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4489E" w14:textId="06BFBB54" w:rsidR="00310D6B" w:rsidRDefault="00E91357" w:rsidP="00080FC6">
      <w:r>
        <w:rPr>
          <w:noProof/>
        </w:rPr>
        <mc:AlternateContent>
          <mc:Choice Requires="wps">
            <w:drawing>
              <wp:anchor distT="0" distB="0" distL="114300" distR="114300" simplePos="0" relativeHeight="251658240" behindDoc="0" locked="0" layoutInCell="1" allowOverlap="1" wp14:anchorId="1AAE6808" wp14:editId="2FD9C4B6">
                <wp:simplePos x="0" y="0"/>
                <wp:positionH relativeFrom="column">
                  <wp:posOffset>4511040</wp:posOffset>
                </wp:positionH>
                <wp:positionV relativeFrom="paragraph">
                  <wp:posOffset>281940</wp:posOffset>
                </wp:positionV>
                <wp:extent cx="2143125" cy="1207770"/>
                <wp:effectExtent l="0" t="0" r="381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9BCAB" w14:textId="6D36392A" w:rsidR="000F483A" w:rsidRPr="008B0978" w:rsidRDefault="000F483A" w:rsidP="008C66A0">
                            <w:pPr>
                              <w:pStyle w:val="NoSpacing"/>
                              <w:rPr>
                                <w:b/>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AE6808" id="_x0000_t202" coordsize="21600,21600" o:spt="202" path="m,l,21600r21600,l21600,xe">
                <v:stroke joinstyle="miter"/>
                <v:path gradientshapeok="t" o:connecttype="rect"/>
              </v:shapetype>
              <v:shape id="Text Box 2" o:spid="_x0000_s1026" type="#_x0000_t202" style="position:absolute;margin-left:355.2pt;margin-top:22.2pt;width:168.75pt;height:95.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" stroked="f">
                <v:textbox style="mso-fit-shape-to-text:t">
                  <w:txbxContent>
                    <w:p w14:paraId="10F9BCAB" w14:textId="6D36392A" w:rsidR="000F483A" w:rsidRPr="008B0978" w:rsidRDefault="000F483A" w:rsidP="008C66A0">
                      <w:pPr>
                        <w:pStyle w:val="NoSpacing"/>
                        <w:rPr>
                          <w:b/>
                          <w:sz w:val="18"/>
                          <w:szCs w:val="18"/>
                        </w:rPr>
                      </w:pPr>
                    </w:p>
                  </w:txbxContent>
                </v:textbox>
              </v:shape>
            </w:pict>
          </mc:Fallback>
        </mc:AlternateContent>
      </w:r>
      <w:bookmarkStart w:id="0" w:name="_Hlk503776811"/>
    </w:p>
    <w:p w14:paraId="6D5C5379" w14:textId="58EF9748" w:rsidR="00E97D63" w:rsidRDefault="00F07B2D" w:rsidP="000318C6">
      <w:pPr>
        <w:jc w:val="center"/>
        <w:rPr>
          <w:rFonts w:ascii="Times New Roman" w:hAnsi="Times New Roman"/>
          <w:sz w:val="24"/>
          <w:szCs w:val="24"/>
        </w:rPr>
      </w:pPr>
      <w:r>
        <w:rPr>
          <w:rFonts w:ascii="Times New Roman" w:hAnsi="Times New Roman"/>
          <w:sz w:val="24"/>
          <w:szCs w:val="24"/>
        </w:rPr>
        <w:t>5/</w:t>
      </w:r>
      <w:r w:rsidR="006D72C5">
        <w:rPr>
          <w:rFonts w:ascii="Times New Roman" w:hAnsi="Times New Roman"/>
          <w:sz w:val="24"/>
          <w:szCs w:val="24"/>
        </w:rPr>
        <w:t>5</w:t>
      </w:r>
      <w:r w:rsidR="00BB145E">
        <w:rPr>
          <w:rFonts w:ascii="Times New Roman" w:hAnsi="Times New Roman"/>
          <w:sz w:val="24"/>
          <w:szCs w:val="24"/>
        </w:rPr>
        <w:t>/</w:t>
      </w:r>
      <w:r w:rsidR="00310992">
        <w:rPr>
          <w:rFonts w:ascii="Times New Roman" w:hAnsi="Times New Roman"/>
          <w:sz w:val="24"/>
          <w:szCs w:val="24"/>
        </w:rPr>
        <w:t xml:space="preserve">2026 </w:t>
      </w:r>
      <w:r w:rsidR="00C0703E">
        <w:rPr>
          <w:rFonts w:ascii="Times New Roman" w:hAnsi="Times New Roman"/>
          <w:sz w:val="24"/>
          <w:szCs w:val="24"/>
        </w:rPr>
        <w:t xml:space="preserve"> </w:t>
      </w:r>
      <w:r w:rsidR="00812C71">
        <w:rPr>
          <w:rFonts w:ascii="Times New Roman" w:hAnsi="Times New Roman"/>
          <w:sz w:val="24"/>
          <w:szCs w:val="24"/>
        </w:rPr>
        <w:t xml:space="preserve">  </w:t>
      </w:r>
    </w:p>
    <w:p w14:paraId="01728056" w14:textId="78168CA1" w:rsidR="000318C6" w:rsidRDefault="000318C6" w:rsidP="000318C6">
      <w:pPr>
        <w:jc w:val="center"/>
        <w:rPr>
          <w:rFonts w:ascii="Arial Black" w:hAnsi="Arial Black"/>
          <w:sz w:val="40"/>
          <w:szCs w:val="40"/>
        </w:rPr>
      </w:pPr>
      <w:r>
        <w:rPr>
          <w:rFonts w:ascii="Arial Black" w:hAnsi="Arial Black"/>
          <w:sz w:val="40"/>
          <w:szCs w:val="40"/>
        </w:rPr>
        <w:t>FIRE</w:t>
      </w:r>
      <w:r w:rsidR="00D507CB">
        <w:rPr>
          <w:rFonts w:ascii="Arial Black" w:hAnsi="Arial Black"/>
          <w:sz w:val="40"/>
          <w:szCs w:val="40"/>
        </w:rPr>
        <w:t xml:space="preserve"> &amp; E</w:t>
      </w:r>
      <w:r>
        <w:rPr>
          <w:rFonts w:ascii="Arial Black" w:hAnsi="Arial Black"/>
          <w:sz w:val="40"/>
          <w:szCs w:val="40"/>
        </w:rPr>
        <w:t>MS</w:t>
      </w:r>
      <w:r w:rsidR="00877589">
        <w:rPr>
          <w:rFonts w:ascii="Arial Black" w:hAnsi="Arial Black"/>
          <w:sz w:val="40"/>
          <w:szCs w:val="40"/>
        </w:rPr>
        <w:t xml:space="preserve"> </w:t>
      </w:r>
      <w:r>
        <w:rPr>
          <w:rFonts w:ascii="Arial Black" w:hAnsi="Arial Black"/>
          <w:sz w:val="40"/>
          <w:szCs w:val="40"/>
        </w:rPr>
        <w:t>LAW –</w:t>
      </w:r>
      <w:r w:rsidR="008C6EC1">
        <w:rPr>
          <w:rFonts w:ascii="Arial Black" w:hAnsi="Arial Black"/>
          <w:sz w:val="40"/>
          <w:szCs w:val="40"/>
        </w:rPr>
        <w:t xml:space="preserve"> LIBRARY </w:t>
      </w:r>
      <w:r>
        <w:rPr>
          <w:rFonts w:ascii="Arial Black" w:hAnsi="Arial Black"/>
          <w:sz w:val="40"/>
          <w:szCs w:val="40"/>
        </w:rPr>
        <w:t>RECENT CASE SUMMARIES</w:t>
      </w:r>
    </w:p>
    <w:p w14:paraId="32C2A09A" w14:textId="4FC10198" w:rsidR="00B90800" w:rsidRPr="00B90800" w:rsidRDefault="00B90800" w:rsidP="000318C6">
      <w:pPr>
        <w:jc w:val="center"/>
        <w:rPr>
          <w:rFonts w:ascii="Arial Black" w:hAnsi="Arial Black"/>
          <w:color w:val="EE0000"/>
          <w:sz w:val="28"/>
          <w:szCs w:val="28"/>
        </w:rPr>
      </w:pPr>
      <w:r w:rsidRPr="00B90800">
        <w:rPr>
          <w:rFonts w:ascii="Arial Black" w:hAnsi="Arial Black"/>
          <w:color w:val="EE0000"/>
          <w:sz w:val="28"/>
          <w:szCs w:val="28"/>
        </w:rPr>
        <w:t>1,6</w:t>
      </w:r>
      <w:r w:rsidR="00F07B2D">
        <w:rPr>
          <w:rFonts w:ascii="Arial Black" w:hAnsi="Arial Black"/>
          <w:color w:val="EE0000"/>
          <w:sz w:val="28"/>
          <w:szCs w:val="28"/>
        </w:rPr>
        <w:t>3</w:t>
      </w:r>
      <w:r w:rsidR="009C0CA8">
        <w:rPr>
          <w:rFonts w:ascii="Arial Black" w:hAnsi="Arial Black"/>
          <w:color w:val="EE0000"/>
          <w:sz w:val="28"/>
          <w:szCs w:val="28"/>
        </w:rPr>
        <w:t>7</w:t>
      </w:r>
      <w:r w:rsidRPr="00B90800">
        <w:rPr>
          <w:rFonts w:ascii="Arial Black" w:hAnsi="Arial Black"/>
          <w:color w:val="EE0000"/>
          <w:sz w:val="28"/>
          <w:szCs w:val="28"/>
        </w:rPr>
        <w:t xml:space="preserve"> CASES</w:t>
      </w:r>
      <w:r w:rsidR="00C134B7">
        <w:rPr>
          <w:rFonts w:ascii="Arial Black" w:hAnsi="Arial Black"/>
          <w:color w:val="EE0000"/>
          <w:sz w:val="28"/>
          <w:szCs w:val="28"/>
        </w:rPr>
        <w:t xml:space="preserve"> (2018 – Present)</w:t>
      </w:r>
    </w:p>
    <w:p w14:paraId="711A9CD4" w14:textId="77777777" w:rsidR="003209F9" w:rsidRDefault="001C1C3A" w:rsidP="001C1C3A">
      <w:pPr>
        <w:pStyle w:val="NoSpacing"/>
        <w:ind w:left="1440" w:firstLine="720"/>
      </w:pPr>
      <w:r w:rsidRPr="00D72CFF">
        <w:rPr>
          <w:rFonts w:ascii="Times New Roman" w:hAnsi="Times New Roman"/>
          <w:bCs/>
          <w:sz w:val="20"/>
          <w:szCs w:val="20"/>
        </w:rPr>
        <w:t xml:space="preserve">Posted online, UC Libraries, </w:t>
      </w:r>
      <w:proofErr w:type="spellStart"/>
      <w:r w:rsidRPr="00D72CFF">
        <w:rPr>
          <w:rFonts w:ascii="Times New Roman" w:hAnsi="Times New Roman"/>
          <w:bCs/>
          <w:sz w:val="20"/>
          <w:szCs w:val="20"/>
        </w:rPr>
        <w:t>Scholar@UC</w:t>
      </w:r>
      <w:proofErr w:type="spellEnd"/>
      <w:r w:rsidRPr="00D72CFF">
        <w:rPr>
          <w:rFonts w:ascii="Times New Roman" w:hAnsi="Times New Roman"/>
          <w:bCs/>
          <w:sz w:val="20"/>
          <w:szCs w:val="20"/>
        </w:rPr>
        <w:t>:</w:t>
      </w:r>
      <w:r>
        <w:rPr>
          <w:rFonts w:ascii="Times New Roman" w:hAnsi="Times New Roman"/>
          <w:bCs/>
          <w:sz w:val="20"/>
          <w:szCs w:val="20"/>
        </w:rPr>
        <w:t xml:space="preserve"> </w:t>
      </w:r>
      <w:hyperlink r:id="rId8" w:history="1">
        <w:r w:rsidRPr="00EE6CD3">
          <w:rPr>
            <w:rStyle w:val="Hyperlink"/>
            <w:sz w:val="20"/>
            <w:szCs w:val="20"/>
          </w:rPr>
          <w:t>https://doi.org/10.7945/j6c2-q930</w:t>
        </w:r>
      </w:hyperlink>
    </w:p>
    <w:p w14:paraId="51B8C5CE" w14:textId="77777777" w:rsidR="00C134B7" w:rsidRDefault="00C134B7" w:rsidP="00336514">
      <w:pPr>
        <w:pStyle w:val="NoSpacing"/>
        <w:ind w:left="2880"/>
        <w:rPr>
          <w:rFonts w:ascii="Arial Black" w:hAnsi="Arial Black"/>
          <w:sz w:val="28"/>
          <w:szCs w:val="28"/>
        </w:rPr>
      </w:pPr>
    </w:p>
    <w:p w14:paraId="7DDE9128" w14:textId="3797B2F2" w:rsidR="00336514" w:rsidRDefault="00336514" w:rsidP="00336514">
      <w:pPr>
        <w:pStyle w:val="NoSpacing"/>
        <w:ind w:left="2880"/>
        <w:rPr>
          <w:rFonts w:ascii="Arial Black" w:hAnsi="Arial Black"/>
          <w:sz w:val="28"/>
          <w:szCs w:val="28"/>
        </w:rPr>
      </w:pPr>
      <w:r w:rsidRPr="006216EF">
        <w:rPr>
          <w:rFonts w:ascii="Arial Black" w:hAnsi="Arial Black"/>
          <w:sz w:val="28"/>
          <w:szCs w:val="28"/>
        </w:rPr>
        <w:t>NOT PROVIDING LEGAL ADVICE.</w:t>
      </w:r>
    </w:p>
    <w:p w14:paraId="59FC0D6D" w14:textId="77777777" w:rsidR="001C1C3A" w:rsidRDefault="001C1C3A" w:rsidP="00336514">
      <w:pPr>
        <w:pStyle w:val="NoSpacing"/>
        <w:ind w:left="2880"/>
        <w:rPr>
          <w:rFonts w:ascii="Arial Black" w:hAnsi="Arial Black"/>
          <w:sz w:val="28"/>
          <w:szCs w:val="28"/>
        </w:rPr>
      </w:pPr>
    </w:p>
    <w:p w14:paraId="7F7A5763" w14:textId="77777777" w:rsidR="00DA1200" w:rsidRDefault="00DA1200" w:rsidP="00DA1200">
      <w:pPr>
        <w:pStyle w:val="p0"/>
        <w:ind w:left="1440"/>
        <w:rPr>
          <w:b/>
          <w:bCs/>
          <w:sz w:val="16"/>
          <w:szCs w:val="16"/>
        </w:rPr>
      </w:pPr>
      <w:r w:rsidRPr="00492302">
        <w:rPr>
          <w:bCs/>
          <w:noProof/>
        </w:rPr>
        <w:drawing>
          <wp:inline distT="0" distB="0" distL="0" distR="0" wp14:anchorId="13777092" wp14:editId="68265166">
            <wp:extent cx="2171700" cy="1630680"/>
            <wp:effectExtent l="0" t="0" r="0" b="0"/>
            <wp:docPr id="1122263655" name="Picture 4" descr="A person holding a fire truck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holding a fire truck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Pr>
          <w:b/>
          <w:bCs/>
        </w:rPr>
        <w:t xml:space="preserve">      </w:t>
      </w:r>
      <w:r w:rsidRPr="00492302">
        <w:rPr>
          <w:bCs/>
          <w:noProof/>
        </w:rPr>
        <w:drawing>
          <wp:inline distT="0" distB="0" distL="0" distR="0" wp14:anchorId="210DB762" wp14:editId="2640F1B6">
            <wp:extent cx="1554480" cy="1630680"/>
            <wp:effectExtent l="0" t="0" r="0" b="0"/>
            <wp:docPr id="618278438" name="Picture 1"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holding a do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630680"/>
                    </a:xfrm>
                    <a:prstGeom prst="rect">
                      <a:avLst/>
                    </a:prstGeom>
                    <a:noFill/>
                    <a:ln>
                      <a:noFill/>
                    </a:ln>
                  </pic:spPr>
                </pic:pic>
              </a:graphicData>
            </a:graphic>
          </wp:inline>
        </w:drawing>
      </w:r>
      <w:r w:rsidRPr="004D7B96">
        <w:rPr>
          <w:b/>
          <w:bCs/>
          <w:sz w:val="16"/>
          <w:szCs w:val="16"/>
        </w:rPr>
        <w:t>Pet Therapy dog FRYE</w:t>
      </w:r>
    </w:p>
    <w:p w14:paraId="205294EC" w14:textId="77777777" w:rsidR="008E3395" w:rsidRPr="008E3395" w:rsidRDefault="008E3395" w:rsidP="008E3395"/>
    <w:p w14:paraId="5D3C60EC" w14:textId="50D8080A" w:rsidR="00327B64" w:rsidRDefault="006C14C0" w:rsidP="008E3395">
      <w:pPr>
        <w:ind w:left="2160" w:firstLine="720"/>
        <w:rPr>
          <w:rStyle w:val="Strong"/>
          <w:b w:val="0"/>
        </w:rPr>
      </w:pPr>
      <w:r>
        <w:rPr>
          <w:noProof/>
        </w:rPr>
        <w:drawing>
          <wp:inline distT="0" distB="0" distL="0" distR="0" wp14:anchorId="671DD1C9" wp14:editId="59B0B555">
            <wp:extent cx="1623060" cy="2163211"/>
            <wp:effectExtent l="0" t="0" r="0" b="8890"/>
            <wp:docPr id="1143274283" name="Picture 1" descr="Fire Service Law:  by Lawrence T.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Service Law:  by Lawrence T. Bennet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340" cy="2207566"/>
                    </a:xfrm>
                    <a:prstGeom prst="rect">
                      <a:avLst/>
                    </a:prstGeom>
                    <a:noFill/>
                    <a:ln>
                      <a:noFill/>
                    </a:ln>
                  </pic:spPr>
                </pic:pic>
              </a:graphicData>
            </a:graphic>
          </wp:inline>
        </w:drawing>
      </w:r>
      <w:r w:rsidR="00327B64" w:rsidRPr="00E87FC9">
        <w:rPr>
          <w:noProof/>
        </w:rPr>
        <w:drawing>
          <wp:inline distT="0" distB="0" distL="0" distR="0" wp14:anchorId="0AB9545B" wp14:editId="02E5F00B">
            <wp:extent cx="2179320" cy="2144864"/>
            <wp:effectExtent l="0" t="0" r="0" b="0"/>
            <wp:docPr id="1757636339" name="Picture 12" descr="A firefighter wearing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36339" name="Picture 12" descr="A firefighter wearing a mask&#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935" cy="2152359"/>
                    </a:xfrm>
                    <a:prstGeom prst="rect">
                      <a:avLst/>
                    </a:prstGeom>
                    <a:noFill/>
                    <a:ln>
                      <a:noFill/>
                    </a:ln>
                  </pic:spPr>
                </pic:pic>
              </a:graphicData>
            </a:graphic>
          </wp:inline>
        </w:drawing>
      </w:r>
    </w:p>
    <w:p w14:paraId="685461D8" w14:textId="78880B6F" w:rsidR="001C1C3A" w:rsidRPr="001C1C3A" w:rsidRDefault="001C1C3A" w:rsidP="008D7007">
      <w:pPr>
        <w:pStyle w:val="NoSpacing"/>
      </w:pPr>
      <w:r w:rsidRPr="00E7637D">
        <w:t>Updating 18 chapters of my textbook</w:t>
      </w:r>
      <w:r w:rsidR="00C134B7">
        <w:t xml:space="preserve">: </w:t>
      </w:r>
      <w:r w:rsidRPr="00E7637D">
        <w:t>Fire Service Law (2017)</w:t>
      </w:r>
      <w:r w:rsidR="00D4353F">
        <w:t>:</w:t>
      </w:r>
      <w:hyperlink r:id="rId13" w:history="1">
        <w:r w:rsidRPr="00E7637D">
          <w:rPr>
            <w:rStyle w:val="Hyperlink"/>
            <w:rFonts w:ascii="Times New Roman" w:hAnsi="Times New Roman"/>
            <w:bCs/>
            <w:szCs w:val="20"/>
          </w:rPr>
          <w:t>http://www.waveland.com/browse.php?t=708</w:t>
        </w:r>
      </w:hyperlink>
    </w:p>
    <w:p w14:paraId="38451120" w14:textId="77777777" w:rsidR="001C1C3A" w:rsidRDefault="001C1C3A" w:rsidP="004E6CA7">
      <w:pPr>
        <w:pStyle w:val="NoSpacing"/>
        <w:jc w:val="center"/>
        <w:rPr>
          <w:rFonts w:ascii="Times New Roman" w:hAnsi="Times New Roman"/>
          <w:sz w:val="24"/>
          <w:szCs w:val="24"/>
        </w:rPr>
      </w:pPr>
    </w:p>
    <w:p w14:paraId="353FA1A8" w14:textId="3B153954" w:rsidR="004E6CA7" w:rsidRDefault="004E6CA7" w:rsidP="004E6CA7">
      <w:pPr>
        <w:pStyle w:val="NoSpacing"/>
        <w:jc w:val="center"/>
        <w:rPr>
          <w:rFonts w:ascii="Times New Roman" w:hAnsi="Times New Roman"/>
          <w:sz w:val="24"/>
          <w:szCs w:val="24"/>
        </w:rPr>
      </w:pPr>
      <w:r w:rsidRPr="00403244">
        <w:rPr>
          <w:rFonts w:ascii="Times New Roman" w:hAnsi="Times New Roman"/>
          <w:sz w:val="24"/>
          <w:szCs w:val="24"/>
        </w:rPr>
        <w:t>Lawrence T. Bennett, Esq.</w:t>
      </w:r>
    </w:p>
    <w:p w14:paraId="65297302" w14:textId="77777777" w:rsidR="004E6CA7" w:rsidRPr="00403244" w:rsidRDefault="004E6CA7" w:rsidP="004E6CA7">
      <w:pPr>
        <w:pStyle w:val="NoSpacing"/>
        <w:jc w:val="center"/>
        <w:rPr>
          <w:rFonts w:ascii="Times New Roman" w:hAnsi="Times New Roman"/>
          <w:sz w:val="24"/>
          <w:szCs w:val="24"/>
        </w:rPr>
      </w:pPr>
      <w:r>
        <w:rPr>
          <w:rFonts w:ascii="Times New Roman" w:hAnsi="Times New Roman"/>
          <w:sz w:val="24"/>
          <w:szCs w:val="24"/>
        </w:rPr>
        <w:t>Professor – Educator Emeritus</w:t>
      </w:r>
    </w:p>
    <w:p w14:paraId="022E10C9" w14:textId="27CE8FC9" w:rsidR="004E6CA7" w:rsidRPr="00403244" w:rsidRDefault="00684B8D" w:rsidP="004E6CA7">
      <w:pPr>
        <w:pStyle w:val="NoSpacing"/>
        <w:jc w:val="center"/>
        <w:rPr>
          <w:rFonts w:ascii="Times New Roman" w:hAnsi="Times New Roman"/>
          <w:sz w:val="24"/>
          <w:szCs w:val="24"/>
        </w:rPr>
      </w:pPr>
      <w:r>
        <w:rPr>
          <w:rFonts w:ascii="Times New Roman" w:hAnsi="Times New Roman"/>
          <w:sz w:val="24"/>
          <w:szCs w:val="24"/>
        </w:rPr>
        <w:t xml:space="preserve">Former </w:t>
      </w:r>
      <w:r w:rsidR="004E6CA7" w:rsidRPr="00403244">
        <w:rPr>
          <w:rFonts w:ascii="Times New Roman" w:hAnsi="Times New Roman"/>
          <w:sz w:val="24"/>
          <w:szCs w:val="24"/>
        </w:rPr>
        <w:t>Program Chair</w:t>
      </w:r>
    </w:p>
    <w:p w14:paraId="3C46A891" w14:textId="77777777" w:rsidR="004E6CA7" w:rsidRPr="00403244" w:rsidRDefault="004E6CA7" w:rsidP="004E6CA7">
      <w:pPr>
        <w:pStyle w:val="NoSpacing"/>
        <w:jc w:val="center"/>
        <w:rPr>
          <w:rFonts w:ascii="Times New Roman" w:hAnsi="Times New Roman"/>
          <w:sz w:val="24"/>
          <w:szCs w:val="24"/>
        </w:rPr>
      </w:pPr>
      <w:r w:rsidRPr="00403244">
        <w:rPr>
          <w:rFonts w:ascii="Times New Roman" w:hAnsi="Times New Roman"/>
          <w:sz w:val="24"/>
          <w:szCs w:val="24"/>
        </w:rPr>
        <w:t>Fire Science &amp; Emergency Management</w:t>
      </w:r>
    </w:p>
    <w:p w14:paraId="7DBD8955" w14:textId="77777777" w:rsidR="004E6CA7" w:rsidRPr="00403244" w:rsidRDefault="004E6CA7" w:rsidP="004E6CA7">
      <w:pPr>
        <w:pStyle w:val="NoSpacing"/>
        <w:jc w:val="center"/>
        <w:rPr>
          <w:rFonts w:ascii="Times New Roman" w:hAnsi="Times New Roman"/>
          <w:sz w:val="24"/>
          <w:szCs w:val="24"/>
        </w:rPr>
      </w:pPr>
      <w:r w:rsidRPr="00403244">
        <w:rPr>
          <w:rFonts w:ascii="Times New Roman" w:hAnsi="Times New Roman"/>
          <w:sz w:val="24"/>
          <w:szCs w:val="24"/>
        </w:rPr>
        <w:t>Cell 513-470-2744</w:t>
      </w:r>
    </w:p>
    <w:p w14:paraId="6B4A7DBC" w14:textId="77777777" w:rsidR="004E6CA7" w:rsidRDefault="004E6CA7" w:rsidP="004E6CA7">
      <w:pPr>
        <w:pStyle w:val="NoSpacing"/>
        <w:jc w:val="center"/>
      </w:pPr>
      <w:hyperlink r:id="rId14" w:history="1">
        <w:r w:rsidRPr="00403244">
          <w:rPr>
            <w:rStyle w:val="Hyperlink"/>
            <w:rFonts w:ascii="Times New Roman" w:hAnsi="Times New Roman"/>
            <w:sz w:val="24"/>
            <w:szCs w:val="24"/>
          </w:rPr>
          <w:t>Lawrence.bennett@uc.edu</w:t>
        </w:r>
      </w:hyperlink>
    </w:p>
    <w:p w14:paraId="5D83A70E" w14:textId="77777777" w:rsidR="00B921CF" w:rsidRDefault="00B921CF" w:rsidP="004E6CA7">
      <w:pPr>
        <w:pStyle w:val="NoSpacing"/>
        <w:jc w:val="center"/>
      </w:pPr>
    </w:p>
    <w:p w14:paraId="630A6671" w14:textId="5B4CA81F" w:rsidR="00F326E5" w:rsidRPr="00105EF2"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w:t>
      </w:r>
      <w:r w:rsidR="00F22A0D">
        <w:rPr>
          <w:rFonts w:ascii="Times New Roman" w:hAnsi="Times New Roman"/>
          <w:b/>
          <w:sz w:val="24"/>
          <w:szCs w:val="24"/>
        </w:rPr>
        <w:tab/>
      </w:r>
      <w:r w:rsidRPr="00F22A0D">
        <w:rPr>
          <w:rFonts w:ascii="Times New Roman" w:hAnsi="Times New Roman"/>
          <w:b/>
          <w:sz w:val="24"/>
          <w:szCs w:val="24"/>
        </w:rPr>
        <w:t>American Legal System</w:t>
      </w:r>
      <w:r w:rsidR="003F660F" w:rsidRPr="00F22A0D">
        <w:rPr>
          <w:rFonts w:ascii="Times New Roman" w:hAnsi="Times New Roman"/>
          <w:b/>
          <w:sz w:val="24"/>
          <w:szCs w:val="24"/>
        </w:rPr>
        <w:t xml:space="preserve">, incl. Fire Code, Fire Invest. </w:t>
      </w:r>
      <w:r w:rsidR="00636395" w:rsidRPr="00F22A0D">
        <w:rPr>
          <w:rFonts w:ascii="Times New Roman" w:hAnsi="Times New Roman"/>
          <w:b/>
          <w:sz w:val="24"/>
          <w:szCs w:val="24"/>
        </w:rPr>
        <w:t xml:space="preserve"> </w:t>
      </w:r>
      <w:r w:rsidRPr="00F22A0D">
        <w:rPr>
          <w:rFonts w:ascii="Times New Roman" w:hAnsi="Times New Roman"/>
          <w:b/>
          <w:sz w:val="24"/>
          <w:szCs w:val="24"/>
        </w:rPr>
        <w:t xml:space="preserve">   </w:t>
      </w:r>
      <w:r w:rsidR="00105EF2">
        <w:rPr>
          <w:rFonts w:ascii="Times New Roman" w:hAnsi="Times New Roman"/>
          <w:b/>
          <w:sz w:val="24"/>
          <w:szCs w:val="24"/>
        </w:rPr>
        <w:t xml:space="preserve"> </w:t>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t xml:space="preserve"> </w:t>
      </w:r>
      <w:r w:rsidR="00105EF2" w:rsidRPr="00105EF2">
        <w:rPr>
          <w:rFonts w:ascii="Times New Roman" w:hAnsi="Times New Roman"/>
          <w:b/>
          <w:color w:val="EE0000"/>
          <w:sz w:val="24"/>
          <w:szCs w:val="24"/>
        </w:rPr>
        <w:t>20</w:t>
      </w:r>
      <w:r w:rsidR="00CA73AA">
        <w:rPr>
          <w:rFonts w:ascii="Times New Roman" w:hAnsi="Times New Roman"/>
          <w:b/>
          <w:color w:val="EE0000"/>
          <w:sz w:val="24"/>
          <w:szCs w:val="24"/>
        </w:rPr>
        <w:t>9</w:t>
      </w:r>
      <w:r w:rsidR="00105EF2" w:rsidRPr="00105EF2">
        <w:rPr>
          <w:rFonts w:ascii="Times New Roman" w:hAnsi="Times New Roman"/>
          <w:b/>
          <w:color w:val="EE0000"/>
          <w:sz w:val="24"/>
          <w:szCs w:val="24"/>
        </w:rPr>
        <w:t xml:space="preserve"> cases</w:t>
      </w:r>
    </w:p>
    <w:p w14:paraId="2108EABF" w14:textId="26A6E00B"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lastRenderedPageBreak/>
        <w:t>Chap. 2</w:t>
      </w:r>
      <w:r w:rsidRPr="00F22A0D">
        <w:rPr>
          <w:rFonts w:ascii="Times New Roman" w:hAnsi="Times New Roman"/>
          <w:b/>
          <w:sz w:val="24"/>
          <w:szCs w:val="24"/>
        </w:rPr>
        <w:tab/>
        <w:t xml:space="preserve">Line </w:t>
      </w:r>
      <w:proofErr w:type="gramStart"/>
      <w:r w:rsidRPr="00F22A0D">
        <w:rPr>
          <w:rFonts w:ascii="Times New Roman" w:hAnsi="Times New Roman"/>
          <w:b/>
          <w:sz w:val="24"/>
          <w:szCs w:val="24"/>
        </w:rPr>
        <w:t>Of</w:t>
      </w:r>
      <w:proofErr w:type="gramEnd"/>
      <w:r w:rsidRPr="00F22A0D">
        <w:rPr>
          <w:rFonts w:ascii="Times New Roman" w:hAnsi="Times New Roman"/>
          <w:b/>
          <w:sz w:val="24"/>
          <w:szCs w:val="24"/>
        </w:rPr>
        <w:t xml:space="preserve"> Duty Death</w:t>
      </w:r>
      <w:r w:rsidR="00636395" w:rsidRPr="00F22A0D">
        <w:rPr>
          <w:rFonts w:ascii="Times New Roman" w:hAnsi="Times New Roman"/>
          <w:b/>
          <w:sz w:val="24"/>
          <w:szCs w:val="24"/>
        </w:rPr>
        <w:t xml:space="preserve"> / </w:t>
      </w:r>
      <w:r w:rsidRPr="00F22A0D">
        <w:rPr>
          <w:rFonts w:ascii="Times New Roman" w:hAnsi="Times New Roman"/>
          <w:b/>
          <w:sz w:val="24"/>
          <w:szCs w:val="24"/>
        </w:rPr>
        <w:t>Safety</w:t>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597923" w:rsidRPr="00597923">
        <w:rPr>
          <w:rFonts w:ascii="Times New Roman" w:hAnsi="Times New Roman"/>
          <w:b/>
          <w:color w:val="EE0000"/>
          <w:sz w:val="24"/>
          <w:szCs w:val="24"/>
        </w:rPr>
        <w:t>1</w:t>
      </w:r>
      <w:r w:rsidR="00CA73AA">
        <w:rPr>
          <w:rFonts w:ascii="Times New Roman" w:hAnsi="Times New Roman"/>
          <w:b/>
          <w:color w:val="EE0000"/>
          <w:sz w:val="24"/>
          <w:szCs w:val="24"/>
        </w:rPr>
        <w:t>10</w:t>
      </w:r>
      <w:r w:rsidR="00597923" w:rsidRPr="00597923">
        <w:rPr>
          <w:rFonts w:ascii="Times New Roman" w:hAnsi="Times New Roman"/>
          <w:b/>
          <w:color w:val="EE0000"/>
          <w:sz w:val="24"/>
          <w:szCs w:val="24"/>
        </w:rPr>
        <w:t xml:space="preserve"> cases</w:t>
      </w:r>
      <w:r w:rsidR="00105EF2">
        <w:rPr>
          <w:rFonts w:ascii="Times New Roman" w:hAnsi="Times New Roman"/>
          <w:b/>
          <w:sz w:val="24"/>
          <w:szCs w:val="24"/>
        </w:rPr>
        <w:tab/>
      </w:r>
      <w:r w:rsidR="00105EF2">
        <w:rPr>
          <w:rFonts w:ascii="Times New Roman" w:hAnsi="Times New Roman"/>
          <w:b/>
          <w:sz w:val="24"/>
          <w:szCs w:val="24"/>
        </w:rPr>
        <w:tab/>
      </w:r>
    </w:p>
    <w:p w14:paraId="6E22783A" w14:textId="5ABB804C" w:rsidR="00F326E5" w:rsidRPr="00597923"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3</w:t>
      </w:r>
      <w:r w:rsidRPr="00F22A0D">
        <w:rPr>
          <w:rFonts w:ascii="Times New Roman" w:hAnsi="Times New Roman"/>
          <w:b/>
          <w:sz w:val="24"/>
          <w:szCs w:val="24"/>
        </w:rPr>
        <w:tab/>
        <w:t>Homeland Security</w:t>
      </w:r>
      <w:r w:rsidR="003F660F" w:rsidRPr="00F22A0D">
        <w:rPr>
          <w:rFonts w:ascii="Times New Roman" w:hAnsi="Times New Roman"/>
          <w:b/>
          <w:sz w:val="24"/>
          <w:szCs w:val="24"/>
        </w:rPr>
        <w:t>, incl.</w:t>
      </w:r>
      <w:r w:rsidR="00636395" w:rsidRPr="00F22A0D">
        <w:rPr>
          <w:rFonts w:ascii="Times New Roman" w:hAnsi="Times New Roman"/>
          <w:b/>
          <w:sz w:val="24"/>
          <w:szCs w:val="24"/>
        </w:rPr>
        <w:t xml:space="preserve"> </w:t>
      </w:r>
      <w:r w:rsidRPr="00F22A0D">
        <w:rPr>
          <w:rFonts w:ascii="Times New Roman" w:hAnsi="Times New Roman"/>
          <w:b/>
          <w:sz w:val="24"/>
          <w:szCs w:val="24"/>
        </w:rPr>
        <w:t>Active Shooter</w:t>
      </w:r>
      <w:r w:rsidR="003F660F" w:rsidRPr="00F22A0D">
        <w:rPr>
          <w:rFonts w:ascii="Times New Roman" w:hAnsi="Times New Roman"/>
          <w:b/>
          <w:sz w:val="24"/>
          <w:szCs w:val="24"/>
        </w:rPr>
        <w:t xml:space="preserve">, </w:t>
      </w:r>
      <w:r w:rsidR="00636395" w:rsidRPr="00F22A0D">
        <w:rPr>
          <w:rFonts w:ascii="Times New Roman" w:hAnsi="Times New Roman"/>
          <w:b/>
          <w:sz w:val="24"/>
          <w:szCs w:val="24"/>
        </w:rPr>
        <w:t>Cybersecurity</w:t>
      </w:r>
      <w:r w:rsidR="003741FE" w:rsidRPr="00F22A0D">
        <w:rPr>
          <w:rFonts w:ascii="Times New Roman" w:hAnsi="Times New Roman"/>
          <w:b/>
          <w:sz w:val="24"/>
          <w:szCs w:val="24"/>
        </w:rPr>
        <w:t>, Immigration</w:t>
      </w:r>
      <w:r w:rsidR="00597923">
        <w:rPr>
          <w:rFonts w:ascii="Times New Roman" w:hAnsi="Times New Roman"/>
          <w:b/>
          <w:sz w:val="24"/>
          <w:szCs w:val="24"/>
        </w:rPr>
        <w:tab/>
      </w:r>
      <w:r w:rsidR="00CA73AA">
        <w:rPr>
          <w:rFonts w:ascii="Times New Roman" w:hAnsi="Times New Roman"/>
          <w:b/>
          <w:color w:val="EE0000"/>
          <w:sz w:val="24"/>
          <w:szCs w:val="24"/>
        </w:rPr>
        <w:t>91</w:t>
      </w:r>
      <w:r w:rsidR="00597923" w:rsidRPr="00597923">
        <w:rPr>
          <w:rFonts w:ascii="Times New Roman" w:hAnsi="Times New Roman"/>
          <w:b/>
          <w:color w:val="EE0000"/>
          <w:sz w:val="24"/>
          <w:szCs w:val="24"/>
        </w:rPr>
        <w:t xml:space="preserve"> cases</w:t>
      </w:r>
    </w:p>
    <w:p w14:paraId="3B6B36EA" w14:textId="029009C8" w:rsidR="00F326E5" w:rsidRPr="0076241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4</w:t>
      </w:r>
      <w:r w:rsidRPr="00F22A0D">
        <w:rPr>
          <w:rFonts w:ascii="Times New Roman" w:hAnsi="Times New Roman"/>
          <w:b/>
          <w:sz w:val="24"/>
          <w:szCs w:val="24"/>
        </w:rPr>
        <w:tab/>
        <w:t>Incident Command</w:t>
      </w:r>
      <w:r w:rsidR="003F660F" w:rsidRPr="00F22A0D">
        <w:rPr>
          <w:rFonts w:ascii="Times New Roman" w:hAnsi="Times New Roman"/>
          <w:b/>
          <w:sz w:val="24"/>
          <w:szCs w:val="24"/>
        </w:rPr>
        <w:t xml:space="preserve">, incl </w:t>
      </w:r>
      <w:r w:rsidRPr="00F22A0D">
        <w:rPr>
          <w:rFonts w:ascii="Times New Roman" w:hAnsi="Times New Roman"/>
          <w:b/>
          <w:sz w:val="24"/>
          <w:szCs w:val="24"/>
        </w:rPr>
        <w:t>Training</w:t>
      </w:r>
      <w:r w:rsidR="003F660F" w:rsidRPr="00F22A0D">
        <w:rPr>
          <w:rFonts w:ascii="Times New Roman" w:hAnsi="Times New Roman"/>
          <w:b/>
          <w:sz w:val="24"/>
          <w:szCs w:val="24"/>
        </w:rPr>
        <w:t xml:space="preserve">, </w:t>
      </w:r>
      <w:r w:rsidRPr="00F22A0D">
        <w:rPr>
          <w:rFonts w:ascii="Times New Roman" w:hAnsi="Times New Roman"/>
          <w:b/>
          <w:sz w:val="24"/>
          <w:szCs w:val="24"/>
        </w:rPr>
        <w:t>Drones</w:t>
      </w:r>
      <w:r w:rsidR="00597923">
        <w:rPr>
          <w:rFonts w:ascii="Times New Roman" w:hAnsi="Times New Roman"/>
          <w:b/>
          <w:sz w:val="24"/>
          <w:szCs w:val="24"/>
        </w:rPr>
        <w:tab/>
      </w:r>
      <w:r w:rsidR="00597923">
        <w:rPr>
          <w:rFonts w:ascii="Times New Roman" w:hAnsi="Times New Roman"/>
          <w:b/>
          <w:sz w:val="24"/>
          <w:szCs w:val="24"/>
        </w:rPr>
        <w:tab/>
      </w:r>
      <w:r w:rsidR="00597923">
        <w:rPr>
          <w:rFonts w:ascii="Times New Roman" w:hAnsi="Times New Roman"/>
          <w:b/>
          <w:sz w:val="24"/>
          <w:szCs w:val="24"/>
        </w:rPr>
        <w:tab/>
      </w:r>
      <w:r w:rsidR="00597923">
        <w:rPr>
          <w:rFonts w:ascii="Times New Roman" w:hAnsi="Times New Roman"/>
          <w:b/>
          <w:sz w:val="24"/>
          <w:szCs w:val="24"/>
        </w:rPr>
        <w:tab/>
      </w:r>
      <w:r w:rsidR="00597923">
        <w:rPr>
          <w:rFonts w:ascii="Times New Roman" w:hAnsi="Times New Roman"/>
          <w:b/>
          <w:sz w:val="24"/>
          <w:szCs w:val="24"/>
        </w:rPr>
        <w:tab/>
      </w:r>
      <w:r w:rsidR="0076241C" w:rsidRPr="0076241C">
        <w:rPr>
          <w:rFonts w:ascii="Times New Roman" w:hAnsi="Times New Roman"/>
          <w:b/>
          <w:color w:val="EE0000"/>
          <w:sz w:val="24"/>
          <w:szCs w:val="24"/>
        </w:rPr>
        <w:t>54 cases</w:t>
      </w:r>
    </w:p>
    <w:p w14:paraId="1B2693F0" w14:textId="16CECD53"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5</w:t>
      </w:r>
      <w:r w:rsidRPr="00F22A0D">
        <w:rPr>
          <w:rFonts w:ascii="Times New Roman" w:hAnsi="Times New Roman"/>
          <w:b/>
          <w:sz w:val="24"/>
          <w:szCs w:val="24"/>
        </w:rPr>
        <w:tab/>
        <w:t>Emergency Vehicle Operations</w:t>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sidRPr="0076241C">
        <w:rPr>
          <w:rFonts w:ascii="Times New Roman" w:hAnsi="Times New Roman"/>
          <w:b/>
          <w:color w:val="EE0000"/>
          <w:sz w:val="24"/>
          <w:szCs w:val="24"/>
        </w:rPr>
        <w:t>6</w:t>
      </w:r>
      <w:r w:rsidR="001F5D19">
        <w:rPr>
          <w:rFonts w:ascii="Times New Roman" w:hAnsi="Times New Roman"/>
          <w:b/>
          <w:color w:val="EE0000"/>
          <w:sz w:val="24"/>
          <w:szCs w:val="24"/>
        </w:rPr>
        <w:t>3</w:t>
      </w:r>
      <w:r w:rsidR="0076241C" w:rsidRPr="0076241C">
        <w:rPr>
          <w:rFonts w:ascii="Times New Roman" w:hAnsi="Times New Roman"/>
          <w:b/>
          <w:color w:val="EE0000"/>
          <w:sz w:val="24"/>
          <w:szCs w:val="24"/>
        </w:rPr>
        <w:t xml:space="preserve"> cases</w:t>
      </w:r>
    </w:p>
    <w:p w14:paraId="32062B5D" w14:textId="366D26F5"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6</w:t>
      </w:r>
      <w:r w:rsidRPr="00F22A0D">
        <w:rPr>
          <w:rFonts w:ascii="Times New Roman" w:hAnsi="Times New Roman"/>
          <w:b/>
          <w:sz w:val="24"/>
          <w:szCs w:val="24"/>
        </w:rPr>
        <w:tab/>
        <w:t>Employment Litigation</w:t>
      </w:r>
      <w:r w:rsidR="003F660F" w:rsidRPr="00F22A0D">
        <w:rPr>
          <w:rFonts w:ascii="Times New Roman" w:hAnsi="Times New Roman"/>
          <w:b/>
          <w:sz w:val="24"/>
          <w:szCs w:val="24"/>
        </w:rPr>
        <w:t xml:space="preserve">, incl. </w:t>
      </w:r>
      <w:r w:rsidR="00BB43DD" w:rsidRPr="00F22A0D">
        <w:rPr>
          <w:rFonts w:ascii="Times New Roman" w:hAnsi="Times New Roman"/>
          <w:b/>
          <w:sz w:val="24"/>
          <w:szCs w:val="24"/>
        </w:rPr>
        <w:t>Worker’s Comp</w:t>
      </w:r>
      <w:r w:rsidR="003741FE" w:rsidRPr="00F22A0D">
        <w:rPr>
          <w:rFonts w:ascii="Times New Roman" w:hAnsi="Times New Roman"/>
          <w:b/>
          <w:sz w:val="24"/>
          <w:szCs w:val="24"/>
        </w:rPr>
        <w:t xml:space="preserve">, Disability </w:t>
      </w:r>
      <w:r w:rsidR="0076241C">
        <w:rPr>
          <w:rFonts w:ascii="Times New Roman" w:hAnsi="Times New Roman"/>
          <w:b/>
          <w:sz w:val="24"/>
          <w:szCs w:val="24"/>
        </w:rPr>
        <w:tab/>
      </w:r>
      <w:r w:rsidR="0076241C">
        <w:rPr>
          <w:rFonts w:ascii="Times New Roman" w:hAnsi="Times New Roman"/>
          <w:b/>
          <w:sz w:val="24"/>
          <w:szCs w:val="24"/>
        </w:rPr>
        <w:tab/>
      </w:r>
      <w:r w:rsidR="0076241C" w:rsidRPr="0076241C">
        <w:rPr>
          <w:rFonts w:ascii="Times New Roman" w:hAnsi="Times New Roman"/>
          <w:b/>
          <w:color w:val="EE0000"/>
          <w:sz w:val="24"/>
          <w:szCs w:val="24"/>
        </w:rPr>
        <w:t>18</w:t>
      </w:r>
      <w:r w:rsidR="001F5D19">
        <w:rPr>
          <w:rFonts w:ascii="Times New Roman" w:hAnsi="Times New Roman"/>
          <w:b/>
          <w:color w:val="EE0000"/>
          <w:sz w:val="24"/>
          <w:szCs w:val="24"/>
        </w:rPr>
        <w:t>2</w:t>
      </w:r>
      <w:r w:rsidR="0076241C" w:rsidRPr="0076241C">
        <w:rPr>
          <w:rFonts w:ascii="Times New Roman" w:hAnsi="Times New Roman"/>
          <w:b/>
          <w:color w:val="EE0000"/>
          <w:sz w:val="24"/>
          <w:szCs w:val="24"/>
        </w:rPr>
        <w:t xml:space="preserve"> cases</w:t>
      </w:r>
    </w:p>
    <w:p w14:paraId="31BA6C12" w14:textId="08D26C7F" w:rsidR="00F326E5" w:rsidRPr="0076241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7</w:t>
      </w:r>
      <w:r w:rsidRPr="00F22A0D">
        <w:rPr>
          <w:rFonts w:ascii="Times New Roman" w:hAnsi="Times New Roman"/>
          <w:b/>
          <w:sz w:val="24"/>
          <w:szCs w:val="24"/>
        </w:rPr>
        <w:tab/>
        <w:t>Sexual Harassment</w:t>
      </w:r>
      <w:r w:rsidR="003F660F" w:rsidRPr="00F22A0D">
        <w:rPr>
          <w:rFonts w:ascii="Times New Roman" w:hAnsi="Times New Roman"/>
          <w:b/>
          <w:sz w:val="24"/>
          <w:szCs w:val="24"/>
        </w:rPr>
        <w:t xml:space="preserve">, incl. </w:t>
      </w:r>
      <w:r w:rsidRPr="00F22A0D">
        <w:rPr>
          <w:rFonts w:ascii="Times New Roman" w:hAnsi="Times New Roman"/>
          <w:b/>
          <w:sz w:val="24"/>
          <w:szCs w:val="24"/>
        </w:rPr>
        <w:t>Pregnancy Discrimination</w:t>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1F5D19">
        <w:rPr>
          <w:rFonts w:ascii="Times New Roman" w:hAnsi="Times New Roman"/>
          <w:b/>
          <w:color w:val="EE0000"/>
          <w:sz w:val="24"/>
          <w:szCs w:val="24"/>
        </w:rPr>
        <w:t>90</w:t>
      </w:r>
      <w:r w:rsidR="0076241C" w:rsidRPr="0076241C">
        <w:rPr>
          <w:rFonts w:ascii="Times New Roman" w:hAnsi="Times New Roman"/>
          <w:b/>
          <w:color w:val="EE0000"/>
          <w:sz w:val="24"/>
          <w:szCs w:val="24"/>
        </w:rPr>
        <w:t xml:space="preserve"> cases</w:t>
      </w:r>
    </w:p>
    <w:p w14:paraId="57D0CDD9" w14:textId="06A230BC" w:rsidR="00F326E5" w:rsidRPr="007209A9"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8</w:t>
      </w:r>
      <w:r w:rsidRPr="00F22A0D">
        <w:rPr>
          <w:rFonts w:ascii="Times New Roman" w:hAnsi="Times New Roman"/>
          <w:b/>
          <w:sz w:val="24"/>
          <w:szCs w:val="24"/>
        </w:rPr>
        <w:tab/>
        <w:t>Race Discrimination</w:t>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209A9" w:rsidRPr="007209A9">
        <w:rPr>
          <w:rFonts w:ascii="Times New Roman" w:hAnsi="Times New Roman"/>
          <w:b/>
          <w:color w:val="EE0000"/>
          <w:sz w:val="24"/>
          <w:szCs w:val="24"/>
        </w:rPr>
        <w:t>8</w:t>
      </w:r>
      <w:r w:rsidR="001F5D19">
        <w:rPr>
          <w:rFonts w:ascii="Times New Roman" w:hAnsi="Times New Roman"/>
          <w:b/>
          <w:color w:val="EE0000"/>
          <w:sz w:val="24"/>
          <w:szCs w:val="24"/>
        </w:rPr>
        <w:t>9</w:t>
      </w:r>
      <w:r w:rsidR="007209A9" w:rsidRPr="007209A9">
        <w:rPr>
          <w:rFonts w:ascii="Times New Roman" w:hAnsi="Times New Roman"/>
          <w:b/>
          <w:color w:val="EE0000"/>
          <w:sz w:val="24"/>
          <w:szCs w:val="24"/>
        </w:rPr>
        <w:t xml:space="preserve"> cases</w:t>
      </w:r>
    </w:p>
    <w:p w14:paraId="0075D979" w14:textId="6BE43EE8" w:rsidR="00F326E5" w:rsidRPr="007209A9"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9</w:t>
      </w:r>
      <w:r w:rsidRPr="00F22A0D">
        <w:rPr>
          <w:rFonts w:ascii="Times New Roman" w:hAnsi="Times New Roman"/>
          <w:b/>
          <w:sz w:val="24"/>
          <w:szCs w:val="24"/>
        </w:rPr>
        <w:tab/>
        <w:t xml:space="preserve">Americans </w:t>
      </w:r>
      <w:proofErr w:type="gramStart"/>
      <w:r w:rsidRPr="00F22A0D">
        <w:rPr>
          <w:rFonts w:ascii="Times New Roman" w:hAnsi="Times New Roman"/>
          <w:b/>
          <w:sz w:val="24"/>
          <w:szCs w:val="24"/>
        </w:rPr>
        <w:t>With</w:t>
      </w:r>
      <w:proofErr w:type="gramEnd"/>
      <w:r w:rsidRPr="00F22A0D">
        <w:rPr>
          <w:rFonts w:ascii="Times New Roman" w:hAnsi="Times New Roman"/>
          <w:b/>
          <w:sz w:val="24"/>
          <w:szCs w:val="24"/>
        </w:rPr>
        <w:t xml:space="preserve"> Disabilities Act</w:t>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1F5D19">
        <w:rPr>
          <w:rFonts w:ascii="Times New Roman" w:hAnsi="Times New Roman"/>
          <w:b/>
          <w:color w:val="EE0000"/>
          <w:sz w:val="24"/>
          <w:szCs w:val="24"/>
        </w:rPr>
        <w:t>6</w:t>
      </w:r>
      <w:r w:rsidR="00E155C9">
        <w:rPr>
          <w:rFonts w:ascii="Times New Roman" w:hAnsi="Times New Roman"/>
          <w:b/>
          <w:color w:val="EE0000"/>
          <w:sz w:val="24"/>
          <w:szCs w:val="24"/>
        </w:rPr>
        <w:t>4</w:t>
      </w:r>
      <w:r w:rsidR="007209A9" w:rsidRPr="007209A9">
        <w:rPr>
          <w:rFonts w:ascii="Times New Roman" w:hAnsi="Times New Roman"/>
          <w:b/>
          <w:color w:val="EE0000"/>
          <w:sz w:val="24"/>
          <w:szCs w:val="24"/>
        </w:rPr>
        <w:t xml:space="preserve"> cases</w:t>
      </w:r>
    </w:p>
    <w:p w14:paraId="4424B00D" w14:textId="737DF983"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10</w:t>
      </w:r>
      <w:r w:rsidRPr="00F22A0D">
        <w:rPr>
          <w:rFonts w:ascii="Times New Roman" w:hAnsi="Times New Roman"/>
          <w:b/>
          <w:sz w:val="24"/>
          <w:szCs w:val="24"/>
        </w:rPr>
        <w:tab/>
        <w:t>Family Medical Leave Act</w:t>
      </w:r>
      <w:r w:rsidRPr="00F22A0D">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4246F0" w:rsidRPr="004246F0">
        <w:rPr>
          <w:rFonts w:ascii="Times New Roman" w:hAnsi="Times New Roman"/>
          <w:b/>
          <w:color w:val="EE0000"/>
          <w:sz w:val="24"/>
          <w:szCs w:val="24"/>
        </w:rPr>
        <w:t>13 cases</w:t>
      </w:r>
    </w:p>
    <w:p w14:paraId="4E82CC4C" w14:textId="1F1B6440"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11</w:t>
      </w:r>
      <w:r w:rsidRPr="00F22A0D">
        <w:rPr>
          <w:rFonts w:ascii="Times New Roman" w:hAnsi="Times New Roman"/>
          <w:b/>
          <w:sz w:val="24"/>
          <w:szCs w:val="24"/>
        </w:rPr>
        <w:tab/>
        <w:t>Fair Labor Standards Act</w:t>
      </w:r>
      <w:r w:rsidR="00664013">
        <w:rPr>
          <w:rFonts w:ascii="Times New Roman" w:hAnsi="Times New Roman"/>
          <w:b/>
          <w:sz w:val="24"/>
          <w:szCs w:val="24"/>
        </w:rPr>
        <w:t xml:space="preserve">, and Military Leave </w:t>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3814D7">
        <w:rPr>
          <w:rFonts w:ascii="Times New Roman" w:hAnsi="Times New Roman"/>
          <w:b/>
          <w:color w:val="EE0000"/>
          <w:sz w:val="24"/>
          <w:szCs w:val="24"/>
        </w:rPr>
        <w:t>7</w:t>
      </w:r>
      <w:r w:rsidR="00751EBA">
        <w:rPr>
          <w:rFonts w:ascii="Times New Roman" w:hAnsi="Times New Roman"/>
          <w:b/>
          <w:color w:val="EE0000"/>
          <w:sz w:val="24"/>
          <w:szCs w:val="24"/>
        </w:rPr>
        <w:t>0</w:t>
      </w:r>
      <w:r w:rsidR="004246F0" w:rsidRPr="004246F0">
        <w:rPr>
          <w:rFonts w:ascii="Times New Roman" w:hAnsi="Times New Roman"/>
          <w:b/>
          <w:color w:val="EE0000"/>
          <w:sz w:val="24"/>
          <w:szCs w:val="24"/>
        </w:rPr>
        <w:t xml:space="preserve"> cases</w:t>
      </w:r>
      <w:r w:rsidRPr="00F22A0D">
        <w:rPr>
          <w:rFonts w:ascii="Times New Roman" w:hAnsi="Times New Roman"/>
          <w:b/>
          <w:sz w:val="24"/>
          <w:szCs w:val="24"/>
        </w:rPr>
        <w:tab/>
      </w:r>
    </w:p>
    <w:p w14:paraId="0AE4624B" w14:textId="285281DF" w:rsidR="00F326E5" w:rsidRPr="009C594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12</w:t>
      </w:r>
      <w:r w:rsidRPr="00F22A0D">
        <w:rPr>
          <w:rFonts w:ascii="Times New Roman" w:hAnsi="Times New Roman"/>
          <w:b/>
          <w:sz w:val="24"/>
          <w:szCs w:val="24"/>
        </w:rPr>
        <w:tab/>
        <w:t>Drug-Free Workplace</w:t>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9C594C" w:rsidRPr="009C594C">
        <w:rPr>
          <w:rFonts w:ascii="Times New Roman" w:hAnsi="Times New Roman"/>
          <w:b/>
          <w:color w:val="EE0000"/>
          <w:sz w:val="24"/>
          <w:szCs w:val="24"/>
        </w:rPr>
        <w:t>3</w:t>
      </w:r>
      <w:r w:rsidR="003814D7">
        <w:rPr>
          <w:rFonts w:ascii="Times New Roman" w:hAnsi="Times New Roman"/>
          <w:b/>
          <w:color w:val="EE0000"/>
          <w:sz w:val="24"/>
          <w:szCs w:val="24"/>
        </w:rPr>
        <w:t>7</w:t>
      </w:r>
      <w:r w:rsidR="009C594C" w:rsidRPr="009C594C">
        <w:rPr>
          <w:rFonts w:ascii="Times New Roman" w:hAnsi="Times New Roman"/>
          <w:b/>
          <w:color w:val="EE0000"/>
          <w:sz w:val="24"/>
          <w:szCs w:val="24"/>
        </w:rPr>
        <w:t xml:space="preserve"> cases</w:t>
      </w:r>
    </w:p>
    <w:p w14:paraId="769B9330" w14:textId="28580E0B" w:rsidR="00F326E5" w:rsidRPr="009C594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13</w:t>
      </w:r>
      <w:r w:rsidRPr="00F22A0D">
        <w:rPr>
          <w:rFonts w:ascii="Times New Roman" w:hAnsi="Times New Roman"/>
          <w:b/>
          <w:sz w:val="24"/>
          <w:szCs w:val="24"/>
        </w:rPr>
        <w:tab/>
        <w:t>EMS</w:t>
      </w:r>
      <w:r w:rsidR="003F660F" w:rsidRPr="00F22A0D">
        <w:rPr>
          <w:rFonts w:ascii="Times New Roman" w:hAnsi="Times New Roman"/>
          <w:b/>
          <w:sz w:val="24"/>
          <w:szCs w:val="24"/>
        </w:rPr>
        <w:t xml:space="preserve">, incl. </w:t>
      </w:r>
      <w:r w:rsidR="00636395" w:rsidRPr="00F22A0D">
        <w:rPr>
          <w:rFonts w:ascii="Times New Roman" w:hAnsi="Times New Roman"/>
          <w:b/>
          <w:sz w:val="24"/>
          <w:szCs w:val="24"/>
        </w:rPr>
        <w:t>Community Paramedicine</w:t>
      </w:r>
      <w:r w:rsidR="003F660F" w:rsidRPr="00F22A0D">
        <w:rPr>
          <w:rFonts w:ascii="Times New Roman" w:hAnsi="Times New Roman"/>
          <w:b/>
          <w:sz w:val="24"/>
          <w:szCs w:val="24"/>
        </w:rPr>
        <w:t>, Corona Virus</w:t>
      </w:r>
      <w:r w:rsidRPr="00F22A0D">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sidRPr="009C594C">
        <w:rPr>
          <w:rFonts w:ascii="Times New Roman" w:hAnsi="Times New Roman"/>
          <w:b/>
          <w:color w:val="EE0000"/>
          <w:sz w:val="24"/>
          <w:szCs w:val="24"/>
        </w:rPr>
        <w:t>25</w:t>
      </w:r>
      <w:r w:rsidR="003814D7">
        <w:rPr>
          <w:rFonts w:ascii="Times New Roman" w:hAnsi="Times New Roman"/>
          <w:b/>
          <w:color w:val="EE0000"/>
          <w:sz w:val="24"/>
          <w:szCs w:val="24"/>
        </w:rPr>
        <w:t>6</w:t>
      </w:r>
      <w:r w:rsidR="009C594C" w:rsidRPr="009C594C">
        <w:rPr>
          <w:rFonts w:ascii="Times New Roman" w:hAnsi="Times New Roman"/>
          <w:b/>
          <w:color w:val="EE0000"/>
          <w:sz w:val="24"/>
          <w:szCs w:val="24"/>
        </w:rPr>
        <w:t xml:space="preserve"> cases</w:t>
      </w:r>
    </w:p>
    <w:p w14:paraId="496A7E44" w14:textId="3C7C52B2" w:rsidR="00F326E5" w:rsidRPr="000A5D63"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14</w:t>
      </w:r>
      <w:r w:rsidRPr="00F22A0D">
        <w:rPr>
          <w:rFonts w:ascii="Times New Roman" w:hAnsi="Times New Roman"/>
          <w:b/>
          <w:sz w:val="24"/>
          <w:szCs w:val="24"/>
        </w:rPr>
        <w:tab/>
        <w:t>Physical Fitness</w:t>
      </w:r>
      <w:r w:rsidR="00BE44CB">
        <w:rPr>
          <w:rFonts w:ascii="Times New Roman" w:hAnsi="Times New Roman"/>
          <w:b/>
          <w:sz w:val="24"/>
          <w:szCs w:val="24"/>
        </w:rPr>
        <w:t xml:space="preserve"> and</w:t>
      </w:r>
      <w:r w:rsidR="00D5755F">
        <w:rPr>
          <w:rFonts w:ascii="Times New Roman" w:hAnsi="Times New Roman"/>
          <w:b/>
          <w:sz w:val="24"/>
          <w:szCs w:val="24"/>
        </w:rPr>
        <w:t xml:space="preserve"> Light Duty</w:t>
      </w:r>
      <w:r w:rsidRPr="00F22A0D">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751EBA">
        <w:rPr>
          <w:rFonts w:ascii="Times New Roman" w:hAnsi="Times New Roman"/>
          <w:b/>
          <w:color w:val="EE0000"/>
          <w:sz w:val="24"/>
          <w:szCs w:val="24"/>
        </w:rPr>
        <w:t>9</w:t>
      </w:r>
      <w:r w:rsidR="00F42EFD">
        <w:rPr>
          <w:rFonts w:ascii="Times New Roman" w:hAnsi="Times New Roman"/>
          <w:b/>
          <w:color w:val="EE0000"/>
          <w:sz w:val="24"/>
          <w:szCs w:val="24"/>
        </w:rPr>
        <w:t xml:space="preserve"> </w:t>
      </w:r>
      <w:r w:rsidR="000A5D63" w:rsidRPr="000A5D63">
        <w:rPr>
          <w:rFonts w:ascii="Times New Roman" w:hAnsi="Times New Roman"/>
          <w:b/>
          <w:color w:val="EE0000"/>
          <w:sz w:val="24"/>
          <w:szCs w:val="24"/>
        </w:rPr>
        <w:t>cases</w:t>
      </w:r>
    </w:p>
    <w:p w14:paraId="157ACADA" w14:textId="09CBEF1B" w:rsidR="00F326E5" w:rsidRPr="000A5D63"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15</w:t>
      </w:r>
      <w:r w:rsidRPr="00F22A0D">
        <w:rPr>
          <w:rFonts w:ascii="Times New Roman" w:hAnsi="Times New Roman"/>
          <w:b/>
          <w:sz w:val="24"/>
          <w:szCs w:val="24"/>
        </w:rPr>
        <w:tab/>
      </w:r>
      <w:r w:rsidR="00C61FBA">
        <w:rPr>
          <w:rFonts w:ascii="Times New Roman" w:hAnsi="Times New Roman"/>
          <w:b/>
          <w:sz w:val="24"/>
          <w:szCs w:val="24"/>
        </w:rPr>
        <w:t xml:space="preserve">Mental Health, incl. </w:t>
      </w:r>
      <w:r w:rsidRPr="00F22A0D">
        <w:rPr>
          <w:rFonts w:ascii="Times New Roman" w:hAnsi="Times New Roman"/>
          <w:b/>
          <w:sz w:val="24"/>
          <w:szCs w:val="24"/>
        </w:rPr>
        <w:t>C</w:t>
      </w:r>
      <w:r w:rsidR="006D5E9F" w:rsidRPr="00F22A0D">
        <w:rPr>
          <w:rFonts w:ascii="Times New Roman" w:hAnsi="Times New Roman"/>
          <w:b/>
          <w:sz w:val="24"/>
          <w:szCs w:val="24"/>
        </w:rPr>
        <w:t>ISM</w:t>
      </w:r>
      <w:r w:rsidR="003F660F" w:rsidRPr="00F22A0D">
        <w:rPr>
          <w:rFonts w:ascii="Times New Roman" w:hAnsi="Times New Roman"/>
          <w:b/>
          <w:sz w:val="24"/>
          <w:szCs w:val="24"/>
        </w:rPr>
        <w:t>, Pee</w:t>
      </w:r>
      <w:r w:rsidR="00321766" w:rsidRPr="00F22A0D">
        <w:rPr>
          <w:rFonts w:ascii="Times New Roman" w:hAnsi="Times New Roman"/>
          <w:b/>
          <w:sz w:val="24"/>
          <w:szCs w:val="24"/>
        </w:rPr>
        <w:t>r Support</w:t>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sidRPr="000A5D63">
        <w:rPr>
          <w:rFonts w:ascii="Times New Roman" w:hAnsi="Times New Roman"/>
          <w:b/>
          <w:color w:val="EE0000"/>
          <w:sz w:val="24"/>
          <w:szCs w:val="24"/>
        </w:rPr>
        <w:t>5</w:t>
      </w:r>
      <w:r w:rsidR="00F42EFD">
        <w:rPr>
          <w:rFonts w:ascii="Times New Roman" w:hAnsi="Times New Roman"/>
          <w:b/>
          <w:color w:val="EE0000"/>
          <w:sz w:val="24"/>
          <w:szCs w:val="24"/>
        </w:rPr>
        <w:t>2</w:t>
      </w:r>
      <w:r w:rsidR="000A5D63" w:rsidRPr="000A5D63">
        <w:rPr>
          <w:rFonts w:ascii="Times New Roman" w:hAnsi="Times New Roman"/>
          <w:b/>
          <w:color w:val="EE0000"/>
          <w:sz w:val="24"/>
          <w:szCs w:val="24"/>
        </w:rPr>
        <w:t xml:space="preserve"> cases</w:t>
      </w:r>
    </w:p>
    <w:p w14:paraId="22C4C000" w14:textId="7C7DBEAE"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16</w:t>
      </w:r>
      <w:r w:rsidRPr="00F22A0D">
        <w:rPr>
          <w:rFonts w:ascii="Times New Roman" w:hAnsi="Times New Roman"/>
          <w:b/>
          <w:sz w:val="24"/>
          <w:szCs w:val="24"/>
        </w:rPr>
        <w:tab/>
        <w:t>Discipline</w:t>
      </w:r>
      <w:r w:rsidR="00F27CD5" w:rsidRPr="00F22A0D">
        <w:rPr>
          <w:rFonts w:ascii="Times New Roman" w:hAnsi="Times New Roman"/>
          <w:b/>
          <w:sz w:val="24"/>
          <w:szCs w:val="24"/>
        </w:rPr>
        <w:t xml:space="preserve">, incl. </w:t>
      </w:r>
      <w:proofErr w:type="gramStart"/>
      <w:r w:rsidR="00F27CD5" w:rsidRPr="00F22A0D">
        <w:rPr>
          <w:rFonts w:ascii="Times New Roman" w:hAnsi="Times New Roman"/>
          <w:b/>
          <w:sz w:val="24"/>
          <w:szCs w:val="24"/>
        </w:rPr>
        <w:t>Social Media</w:t>
      </w:r>
      <w:proofErr w:type="gramEnd"/>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644E1A" w:rsidRPr="00644E1A">
        <w:rPr>
          <w:rFonts w:ascii="Times New Roman" w:hAnsi="Times New Roman"/>
          <w:b/>
          <w:color w:val="EE0000"/>
          <w:sz w:val="24"/>
          <w:szCs w:val="24"/>
        </w:rPr>
        <w:t>15</w:t>
      </w:r>
      <w:r w:rsidR="00F42EFD">
        <w:rPr>
          <w:rFonts w:ascii="Times New Roman" w:hAnsi="Times New Roman"/>
          <w:b/>
          <w:color w:val="EE0000"/>
          <w:sz w:val="24"/>
          <w:szCs w:val="24"/>
        </w:rPr>
        <w:t>5</w:t>
      </w:r>
      <w:r w:rsidR="00644E1A" w:rsidRPr="00644E1A">
        <w:rPr>
          <w:rFonts w:ascii="Times New Roman" w:hAnsi="Times New Roman"/>
          <w:b/>
          <w:color w:val="EE0000"/>
          <w:sz w:val="24"/>
          <w:szCs w:val="24"/>
        </w:rPr>
        <w:t xml:space="preserve"> cases</w:t>
      </w:r>
      <w:r w:rsidRPr="00F22A0D">
        <w:rPr>
          <w:rFonts w:ascii="Times New Roman" w:hAnsi="Times New Roman"/>
          <w:b/>
          <w:sz w:val="24"/>
          <w:szCs w:val="24"/>
        </w:rPr>
        <w:tab/>
      </w:r>
    </w:p>
    <w:p w14:paraId="71067951" w14:textId="178538EF"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17</w:t>
      </w:r>
      <w:r w:rsidRPr="00F22A0D">
        <w:rPr>
          <w:rFonts w:ascii="Times New Roman" w:hAnsi="Times New Roman"/>
          <w:b/>
          <w:sz w:val="24"/>
          <w:szCs w:val="24"/>
        </w:rPr>
        <w:tab/>
        <w:t>Arbitration</w:t>
      </w:r>
      <w:r w:rsidR="005E16F7" w:rsidRPr="00F22A0D">
        <w:rPr>
          <w:rFonts w:ascii="Times New Roman" w:hAnsi="Times New Roman"/>
          <w:b/>
          <w:sz w:val="24"/>
          <w:szCs w:val="24"/>
        </w:rPr>
        <w:t xml:space="preserve">, </w:t>
      </w:r>
      <w:r w:rsidR="00F27CD5" w:rsidRPr="00F22A0D">
        <w:rPr>
          <w:rFonts w:ascii="Times New Roman" w:hAnsi="Times New Roman"/>
          <w:b/>
          <w:sz w:val="24"/>
          <w:szCs w:val="24"/>
        </w:rPr>
        <w:t xml:space="preserve">incl. </w:t>
      </w:r>
      <w:r w:rsidRPr="00F22A0D">
        <w:rPr>
          <w:rFonts w:ascii="Times New Roman" w:hAnsi="Times New Roman"/>
          <w:b/>
          <w:sz w:val="24"/>
          <w:szCs w:val="24"/>
        </w:rPr>
        <w:t>Mediation</w:t>
      </w:r>
      <w:r w:rsidR="005E16F7" w:rsidRPr="00F22A0D">
        <w:rPr>
          <w:rFonts w:ascii="Times New Roman" w:hAnsi="Times New Roman"/>
          <w:b/>
          <w:sz w:val="24"/>
          <w:szCs w:val="24"/>
        </w:rPr>
        <w:t>, Labor Relations</w:t>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F42EFD">
        <w:rPr>
          <w:rFonts w:ascii="Times New Roman" w:hAnsi="Times New Roman"/>
          <w:b/>
          <w:color w:val="EE0000"/>
          <w:sz w:val="24"/>
          <w:szCs w:val="24"/>
        </w:rPr>
        <w:t>60</w:t>
      </w:r>
      <w:r w:rsidR="00644E1A" w:rsidRPr="00644E1A">
        <w:rPr>
          <w:rFonts w:ascii="Times New Roman" w:hAnsi="Times New Roman"/>
          <w:b/>
          <w:color w:val="EE0000"/>
          <w:sz w:val="24"/>
          <w:szCs w:val="24"/>
        </w:rPr>
        <w:t xml:space="preserve"> cases</w:t>
      </w:r>
    </w:p>
    <w:p w14:paraId="74F6F193" w14:textId="31998BBB" w:rsidR="00447518" w:rsidRPr="00165526"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 xml:space="preserve">Chap. 18 </w:t>
      </w:r>
      <w:r w:rsidRPr="00F22A0D">
        <w:rPr>
          <w:rFonts w:ascii="Times New Roman" w:hAnsi="Times New Roman"/>
          <w:b/>
          <w:sz w:val="24"/>
          <w:szCs w:val="24"/>
        </w:rPr>
        <w:tab/>
        <w:t>Legislation</w:t>
      </w:r>
      <w:r w:rsidR="00801D3A">
        <w:rPr>
          <w:rFonts w:ascii="Times New Roman" w:hAnsi="Times New Roman"/>
          <w:b/>
          <w:sz w:val="24"/>
          <w:szCs w:val="24"/>
        </w:rPr>
        <w:t>, incl. Public Documents</w:t>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165526" w:rsidRPr="00165526">
        <w:rPr>
          <w:rFonts w:ascii="Times New Roman" w:hAnsi="Times New Roman"/>
          <w:b/>
          <w:color w:val="EE0000"/>
          <w:sz w:val="24"/>
          <w:szCs w:val="24"/>
        </w:rPr>
        <w:t>33 cases</w:t>
      </w:r>
    </w:p>
    <w:p w14:paraId="786BD399" w14:textId="77777777" w:rsidR="00EE45D8" w:rsidRDefault="00EE45D8" w:rsidP="00F326E5">
      <w:pPr>
        <w:pStyle w:val="NoSpacing"/>
        <w:rPr>
          <w:rFonts w:ascii="Times New Roman" w:hAnsi="Times New Roman"/>
          <w:b/>
          <w:sz w:val="24"/>
          <w:szCs w:val="24"/>
        </w:rPr>
      </w:pPr>
    </w:p>
    <w:p w14:paraId="2CD1179B" w14:textId="77777777" w:rsidR="00080FC6" w:rsidRDefault="00080FC6" w:rsidP="00F326E5">
      <w:pPr>
        <w:pStyle w:val="NoSpacing"/>
        <w:rPr>
          <w:rFonts w:ascii="Times New Roman" w:hAnsi="Times New Roman"/>
          <w:b/>
          <w:sz w:val="20"/>
          <w:szCs w:val="20"/>
        </w:rPr>
      </w:pPr>
    </w:p>
    <w:p w14:paraId="4AAD5054" w14:textId="77777777" w:rsidR="006D2D4A" w:rsidRDefault="006D2D4A" w:rsidP="006D2D4A">
      <w:pPr>
        <w:rPr>
          <w:b/>
          <w:sz w:val="20"/>
          <w:szCs w:val="20"/>
          <w:u w:val="single"/>
        </w:rPr>
      </w:pPr>
      <w:r w:rsidRPr="00FC0B61">
        <w:rPr>
          <w:b/>
          <w:sz w:val="20"/>
          <w:szCs w:val="20"/>
          <w:u w:val="single"/>
        </w:rPr>
        <w:t>Textbooks / Other Publications</w:t>
      </w:r>
    </w:p>
    <w:p w14:paraId="75EF7650" w14:textId="77777777" w:rsidR="006D2D4A" w:rsidRDefault="006D2D4A" w:rsidP="006D2D4A">
      <w:pPr>
        <w:pStyle w:val="NoSpacing"/>
        <w:rPr>
          <w:b/>
          <w:bCs/>
          <w:sz w:val="16"/>
          <w:szCs w:val="16"/>
        </w:rPr>
      </w:pPr>
    </w:p>
    <w:p w14:paraId="12AD15FA" w14:textId="77777777" w:rsidR="006D2D4A" w:rsidRPr="00F5681B" w:rsidRDefault="006D2D4A" w:rsidP="006D2D4A">
      <w:pPr>
        <w:pStyle w:val="NoSpacing"/>
        <w:ind w:left="720"/>
        <w:rPr>
          <w:rFonts w:ascii="Times New Roman" w:hAnsi="Times New Roman"/>
          <w:b/>
          <w:bCs/>
          <w:sz w:val="20"/>
          <w:szCs w:val="20"/>
        </w:rPr>
      </w:pPr>
    </w:p>
    <w:p w14:paraId="1530DA49" w14:textId="77777777" w:rsidR="006D2D4A" w:rsidRPr="00F5681B" w:rsidRDefault="006D2D4A" w:rsidP="006D2D4A">
      <w:pPr>
        <w:pStyle w:val="NoSpacing"/>
        <w:numPr>
          <w:ilvl w:val="0"/>
          <w:numId w:val="12"/>
        </w:numPr>
        <w:ind w:left="720"/>
        <w:rPr>
          <w:rFonts w:ascii="Times New Roman" w:hAnsi="Times New Roman"/>
          <w:b/>
          <w:bCs/>
          <w:sz w:val="20"/>
          <w:szCs w:val="20"/>
        </w:rPr>
      </w:pPr>
      <w:r w:rsidRPr="00F5681B">
        <w:rPr>
          <w:rFonts w:ascii="Times New Roman" w:hAnsi="Times New Roman"/>
          <w:b/>
          <w:bCs/>
          <w:sz w:val="20"/>
          <w:szCs w:val="20"/>
        </w:rPr>
        <w:t xml:space="preserve">2026: POLITICAL &amp; LEGAL APPLICATIONS FOR EMERGENCY SERVICES (3 Author text for National Fire Academy / FESHE online course): </w:t>
      </w:r>
      <w:hyperlink r:id="rId15" w:history="1">
        <w:r w:rsidRPr="00F5681B">
          <w:rPr>
            <w:rStyle w:val="Hyperlink"/>
            <w:rFonts w:ascii="Times New Roman" w:hAnsi="Times New Roman"/>
            <w:sz w:val="20"/>
            <w:szCs w:val="20"/>
          </w:rPr>
          <w:t>https://doi.org/10.7945/av8d-c920</w:t>
        </w:r>
      </w:hyperlink>
    </w:p>
    <w:p w14:paraId="0E32DA6B" w14:textId="77777777" w:rsidR="006D2D4A" w:rsidRPr="00F5681B" w:rsidRDefault="006D2D4A" w:rsidP="006D2D4A">
      <w:pPr>
        <w:pStyle w:val="NoSpacing"/>
        <w:rPr>
          <w:rFonts w:ascii="Times New Roman" w:hAnsi="Times New Roman"/>
          <w:b/>
          <w:bCs/>
          <w:sz w:val="20"/>
          <w:szCs w:val="20"/>
        </w:rPr>
      </w:pPr>
    </w:p>
    <w:p w14:paraId="4FF201AD" w14:textId="77777777" w:rsidR="006D2D4A" w:rsidRPr="00F5681B" w:rsidRDefault="006D2D4A" w:rsidP="006D2D4A">
      <w:pPr>
        <w:numPr>
          <w:ilvl w:val="0"/>
          <w:numId w:val="12"/>
        </w:numPr>
        <w:spacing w:after="0" w:line="240" w:lineRule="auto"/>
        <w:ind w:left="720"/>
        <w:rPr>
          <w:rFonts w:ascii="Times New Roman" w:hAnsi="Times New Roman"/>
          <w:sz w:val="20"/>
          <w:szCs w:val="20"/>
        </w:rPr>
      </w:pPr>
      <w:r w:rsidRPr="00F5681B">
        <w:rPr>
          <w:rFonts w:ascii="Times New Roman" w:hAnsi="Times New Roman"/>
          <w:b/>
          <w:sz w:val="20"/>
          <w:szCs w:val="20"/>
        </w:rPr>
        <w:t xml:space="preserve">2026: EMS POLITICAL &amp; LEGAL APPLICATIONS FOR EMERGENCY MEDICAL SERVICES  </w:t>
      </w:r>
      <w:r w:rsidRPr="00F5681B">
        <w:rPr>
          <w:rFonts w:ascii="Times New Roman" w:hAnsi="Times New Roman"/>
          <w:b/>
          <w:bCs/>
          <w:sz w:val="20"/>
          <w:szCs w:val="20"/>
        </w:rPr>
        <w:t xml:space="preserve">(4 Author text for National Fire Academy / FESHE online course): </w:t>
      </w:r>
      <w:hyperlink r:id="rId16" w:history="1">
        <w:r w:rsidRPr="00F5681B">
          <w:rPr>
            <w:rStyle w:val="Hyperlink"/>
            <w:rFonts w:ascii="Times New Roman" w:hAnsi="Times New Roman"/>
            <w:sz w:val="20"/>
            <w:szCs w:val="20"/>
          </w:rPr>
          <w:t>https://scholar.uc.edu/concern/documents/ht24wm15r?locale=en</w:t>
        </w:r>
      </w:hyperlink>
    </w:p>
    <w:p w14:paraId="12373CA4" w14:textId="77777777" w:rsidR="006D2D4A" w:rsidRPr="00F5681B" w:rsidRDefault="006D2D4A" w:rsidP="006D2D4A">
      <w:pPr>
        <w:pStyle w:val="NoSpacing"/>
        <w:ind w:left="720"/>
        <w:rPr>
          <w:rFonts w:ascii="Times New Roman" w:hAnsi="Times New Roman"/>
          <w:b/>
          <w:bCs/>
          <w:sz w:val="20"/>
          <w:szCs w:val="20"/>
        </w:rPr>
      </w:pPr>
    </w:p>
    <w:p w14:paraId="6C1E1D8B" w14:textId="77777777" w:rsidR="006D2D4A" w:rsidRPr="00F5681B" w:rsidRDefault="006D2D4A" w:rsidP="006D2D4A">
      <w:pPr>
        <w:pStyle w:val="NoSpacing"/>
        <w:numPr>
          <w:ilvl w:val="0"/>
          <w:numId w:val="12"/>
        </w:numPr>
        <w:ind w:left="720"/>
        <w:rPr>
          <w:rStyle w:val="Strong"/>
          <w:rFonts w:ascii="Times New Roman" w:hAnsi="Times New Roman"/>
          <w:sz w:val="20"/>
          <w:szCs w:val="20"/>
        </w:rPr>
      </w:pPr>
      <w:r w:rsidRPr="00F5681B">
        <w:rPr>
          <w:rFonts w:ascii="Times New Roman" w:hAnsi="Times New Roman"/>
          <w:b/>
          <w:bCs/>
          <w:sz w:val="20"/>
          <w:szCs w:val="20"/>
        </w:rPr>
        <w:t>2026: FIRE &amp; EMS  -  RECENT CASE SUMMARIES</w:t>
      </w:r>
      <w:r w:rsidRPr="00F5681B">
        <w:rPr>
          <w:rFonts w:ascii="Times New Roman" w:hAnsi="Times New Roman"/>
          <w:sz w:val="20"/>
          <w:szCs w:val="20"/>
        </w:rPr>
        <w:t xml:space="preserve">:  Case summaries since 2018 from monthly newsletters (supplement my 2017 Textbook, Fire Service Law):  </w:t>
      </w:r>
      <w:hyperlink r:id="rId17" w:history="1">
        <w:r w:rsidRPr="00F5681B">
          <w:rPr>
            <w:rStyle w:val="Hyperlink"/>
            <w:rFonts w:ascii="Times New Roman" w:hAnsi="Times New Roman"/>
            <w:sz w:val="20"/>
            <w:szCs w:val="20"/>
          </w:rPr>
          <w:t>https://doi.org/10.7945/j6c2-q930</w:t>
        </w:r>
      </w:hyperlink>
    </w:p>
    <w:p w14:paraId="5A603FA7" w14:textId="77777777" w:rsidR="006D2D4A" w:rsidRPr="00F5681B" w:rsidRDefault="006D2D4A" w:rsidP="006D2D4A">
      <w:pPr>
        <w:pStyle w:val="NoSpacing"/>
        <w:rPr>
          <w:rStyle w:val="Strong"/>
          <w:rFonts w:ascii="Times New Roman" w:hAnsi="Times New Roman"/>
          <w:sz w:val="20"/>
          <w:szCs w:val="20"/>
        </w:rPr>
      </w:pPr>
    </w:p>
    <w:p w14:paraId="3976C1B6" w14:textId="77777777" w:rsidR="006D2D4A" w:rsidRPr="00F5681B" w:rsidRDefault="006D2D4A" w:rsidP="006D2D4A">
      <w:pPr>
        <w:pStyle w:val="NoSpacing"/>
        <w:numPr>
          <w:ilvl w:val="0"/>
          <w:numId w:val="12"/>
        </w:numPr>
        <w:ind w:left="720"/>
        <w:rPr>
          <w:rFonts w:ascii="Times New Roman" w:hAnsi="Times New Roman"/>
          <w:b/>
          <w:bCs/>
          <w:sz w:val="20"/>
          <w:szCs w:val="20"/>
        </w:rPr>
      </w:pPr>
      <w:r w:rsidRPr="00F5681B">
        <w:rPr>
          <w:rFonts w:ascii="Times New Roman" w:hAnsi="Times New Roman"/>
          <w:b/>
          <w:bCs/>
          <w:sz w:val="20"/>
          <w:szCs w:val="20"/>
        </w:rPr>
        <w:t>2026:</w:t>
      </w:r>
      <w:r w:rsidRPr="00F5681B">
        <w:rPr>
          <w:rStyle w:val="Strong"/>
          <w:rFonts w:ascii="Times New Roman" w:hAnsi="Times New Roman"/>
          <w:sz w:val="20"/>
          <w:szCs w:val="20"/>
        </w:rPr>
        <w:t xml:space="preserve"> FIRE &amp; EMS - CURRENT EVENTS &amp; AMERICAN HISTORY:   </w:t>
      </w:r>
      <w:hyperlink r:id="rId18" w:history="1">
        <w:r w:rsidRPr="00F5681B">
          <w:rPr>
            <w:rStyle w:val="Hyperlink"/>
            <w:rFonts w:ascii="Times New Roman" w:hAnsi="Times New Roman"/>
            <w:sz w:val="20"/>
            <w:szCs w:val="20"/>
          </w:rPr>
          <w:t>https://doi.org/10.7945/0dwx-fc52</w:t>
        </w:r>
      </w:hyperlink>
    </w:p>
    <w:p w14:paraId="1BF22701" w14:textId="77777777" w:rsidR="006D2D4A" w:rsidRPr="00F5681B" w:rsidRDefault="006D2D4A" w:rsidP="006D2D4A">
      <w:pPr>
        <w:ind w:left="720"/>
        <w:rPr>
          <w:rFonts w:ascii="Times New Roman" w:hAnsi="Times New Roman"/>
          <w:sz w:val="20"/>
          <w:szCs w:val="20"/>
        </w:rPr>
      </w:pPr>
    </w:p>
    <w:p w14:paraId="33CF1A92" w14:textId="77777777" w:rsidR="006D2D4A" w:rsidRPr="00F5681B" w:rsidRDefault="006D2D4A" w:rsidP="006D2D4A">
      <w:pPr>
        <w:numPr>
          <w:ilvl w:val="0"/>
          <w:numId w:val="12"/>
        </w:numPr>
        <w:spacing w:after="0" w:line="240" w:lineRule="auto"/>
        <w:ind w:left="720"/>
        <w:rPr>
          <w:rFonts w:ascii="Times New Roman" w:hAnsi="Times New Roman"/>
          <w:b/>
          <w:bCs/>
          <w:sz w:val="20"/>
          <w:szCs w:val="20"/>
        </w:rPr>
      </w:pPr>
      <w:r w:rsidRPr="00F5681B">
        <w:rPr>
          <w:rFonts w:ascii="Times New Roman" w:hAnsi="Times New Roman"/>
          <w:b/>
          <w:bCs/>
          <w:sz w:val="20"/>
          <w:szCs w:val="20"/>
        </w:rPr>
        <w:t>2026: INTERDISCIPLINARY STUDIES: Fire Service, Legal Issues, American History (new UC course starting Fall 2026)</w:t>
      </w:r>
    </w:p>
    <w:p w14:paraId="2B3B1846" w14:textId="77777777" w:rsidR="006D2D4A" w:rsidRPr="00F5681B" w:rsidRDefault="006D2D4A" w:rsidP="006D2D4A">
      <w:pPr>
        <w:pStyle w:val="NoSpacing"/>
        <w:ind w:left="720"/>
        <w:rPr>
          <w:rFonts w:ascii="Times New Roman" w:hAnsi="Times New Roman"/>
          <w:b/>
          <w:bCs/>
          <w:sz w:val="20"/>
          <w:szCs w:val="20"/>
        </w:rPr>
      </w:pPr>
      <w:hyperlink r:id="rId19" w:history="1">
        <w:r w:rsidRPr="00F5681B">
          <w:rPr>
            <w:rStyle w:val="Hyperlink"/>
            <w:rFonts w:ascii="Times New Roman" w:hAnsi="Times New Roman"/>
            <w:sz w:val="20"/>
            <w:szCs w:val="20"/>
          </w:rPr>
          <w:t>https://scholar.uc.edu/show/ks65hd707</w:t>
        </w:r>
      </w:hyperlink>
    </w:p>
    <w:p w14:paraId="151F08FA" w14:textId="77777777" w:rsidR="006D2D4A" w:rsidRPr="00F5681B" w:rsidRDefault="006D2D4A" w:rsidP="006D2D4A">
      <w:pPr>
        <w:pStyle w:val="NoSpacing"/>
        <w:rPr>
          <w:rFonts w:ascii="Times New Roman" w:hAnsi="Times New Roman"/>
          <w:sz w:val="20"/>
          <w:szCs w:val="20"/>
        </w:rPr>
      </w:pPr>
    </w:p>
    <w:p w14:paraId="62A8269A" w14:textId="77777777" w:rsidR="006D2D4A" w:rsidRPr="00F5681B" w:rsidRDefault="006D2D4A" w:rsidP="006D2D4A">
      <w:pPr>
        <w:pStyle w:val="NoSpacing"/>
        <w:numPr>
          <w:ilvl w:val="0"/>
          <w:numId w:val="12"/>
        </w:numPr>
        <w:ind w:left="720"/>
        <w:rPr>
          <w:rFonts w:ascii="Times New Roman" w:hAnsi="Times New Roman"/>
          <w:sz w:val="20"/>
          <w:szCs w:val="20"/>
        </w:rPr>
      </w:pPr>
      <w:r w:rsidRPr="00F5681B">
        <w:rPr>
          <w:rFonts w:ascii="Times New Roman" w:hAnsi="Times New Roman"/>
          <w:b/>
          <w:bCs/>
          <w:sz w:val="20"/>
          <w:szCs w:val="20"/>
        </w:rPr>
        <w:t>2017: TEXTBOOK:  FIRE SERVICE LAW</w:t>
      </w:r>
      <w:r w:rsidRPr="00F5681B">
        <w:rPr>
          <w:rFonts w:ascii="Times New Roman" w:hAnsi="Times New Roman"/>
          <w:sz w:val="20"/>
          <w:szCs w:val="20"/>
        </w:rPr>
        <w:t xml:space="preserve"> (Second Edition) (ISBN 978-1-4786-3397-6); Waveland Press: </w:t>
      </w:r>
      <w:hyperlink r:id="rId20" w:history="1">
        <w:r w:rsidRPr="00F5681B">
          <w:rPr>
            <w:rStyle w:val="Hyperlink"/>
            <w:rFonts w:ascii="Times New Roman" w:hAnsi="Times New Roman"/>
            <w:sz w:val="20"/>
            <w:szCs w:val="20"/>
          </w:rPr>
          <w:t>http://www.waveland.com/browse.php?t=708</w:t>
        </w:r>
      </w:hyperlink>
      <w:r w:rsidRPr="00F5681B">
        <w:rPr>
          <w:rFonts w:ascii="Times New Roman" w:hAnsi="Times New Roman"/>
          <w:sz w:val="20"/>
          <w:szCs w:val="20"/>
        </w:rPr>
        <w:t xml:space="preserve">  (First Edition – Prentice Hall, 2008).</w:t>
      </w:r>
    </w:p>
    <w:p w14:paraId="67DDBC3B" w14:textId="77777777" w:rsidR="006D2D4A" w:rsidRPr="00F5681B" w:rsidRDefault="006D2D4A" w:rsidP="006D2D4A">
      <w:pPr>
        <w:pStyle w:val="NoSpacing"/>
        <w:ind w:left="720"/>
        <w:rPr>
          <w:rFonts w:ascii="Times New Roman" w:hAnsi="Times New Roman"/>
          <w:sz w:val="20"/>
          <w:szCs w:val="20"/>
        </w:rPr>
      </w:pPr>
    </w:p>
    <w:p w14:paraId="408B1EEA" w14:textId="77777777" w:rsidR="006D2D4A" w:rsidRPr="00F5681B" w:rsidRDefault="006D2D4A" w:rsidP="006D2D4A">
      <w:pPr>
        <w:pStyle w:val="NoSpacing"/>
        <w:numPr>
          <w:ilvl w:val="0"/>
          <w:numId w:val="12"/>
        </w:numPr>
        <w:ind w:left="720"/>
        <w:rPr>
          <w:rFonts w:ascii="Times New Roman" w:hAnsi="Times New Roman"/>
          <w:sz w:val="20"/>
          <w:szCs w:val="20"/>
          <w:u w:val="single"/>
        </w:rPr>
      </w:pPr>
      <w:r w:rsidRPr="00F5681B">
        <w:rPr>
          <w:rFonts w:ascii="Times New Roman" w:hAnsi="Times New Roman"/>
          <w:b/>
          <w:bCs/>
          <w:sz w:val="20"/>
          <w:szCs w:val="20"/>
        </w:rPr>
        <w:t>2006: CHIEF FIRE OFFICER’S DESK REFERENCE</w:t>
      </w:r>
      <w:r w:rsidRPr="00F5681B">
        <w:rPr>
          <w:rFonts w:ascii="Times New Roman" w:hAnsi="Times New Roman"/>
          <w:sz w:val="20"/>
          <w:szCs w:val="20"/>
        </w:rPr>
        <w:t>: Jones &amp; Bartlett, Chap. 4: U.S. Legal System.</w:t>
      </w:r>
    </w:p>
    <w:p w14:paraId="342DDE09" w14:textId="77777777" w:rsidR="006D2D4A" w:rsidRPr="00F5681B" w:rsidRDefault="006D2D4A" w:rsidP="006D2D4A">
      <w:pPr>
        <w:pStyle w:val="NoSpacing"/>
        <w:rPr>
          <w:rFonts w:ascii="Times New Roman" w:hAnsi="Times New Roman"/>
          <w:sz w:val="20"/>
          <w:szCs w:val="20"/>
          <w:u w:val="single"/>
        </w:rPr>
      </w:pPr>
    </w:p>
    <w:p w14:paraId="5EABCFBE" w14:textId="77777777" w:rsidR="006D2D4A" w:rsidRPr="00F5681B" w:rsidRDefault="006D2D4A" w:rsidP="006D2D4A">
      <w:pPr>
        <w:pStyle w:val="NoSpacing"/>
        <w:numPr>
          <w:ilvl w:val="0"/>
          <w:numId w:val="12"/>
        </w:numPr>
        <w:ind w:left="720"/>
        <w:rPr>
          <w:rFonts w:ascii="Times New Roman" w:hAnsi="Times New Roman"/>
          <w:b/>
          <w:sz w:val="20"/>
          <w:szCs w:val="20"/>
          <w:u w:val="single"/>
        </w:rPr>
      </w:pPr>
      <w:r w:rsidRPr="00F5681B">
        <w:rPr>
          <w:rFonts w:ascii="Times New Roman" w:hAnsi="Times New Roman"/>
          <w:b/>
          <w:bCs/>
          <w:sz w:val="20"/>
          <w:szCs w:val="20"/>
        </w:rPr>
        <w:t>2005: FIRE &amp; EMS LAW FOR OFFICERS</w:t>
      </w:r>
      <w:r w:rsidRPr="00F5681B">
        <w:rPr>
          <w:rFonts w:ascii="Times New Roman" w:hAnsi="Times New Roman"/>
          <w:sz w:val="20"/>
          <w:szCs w:val="20"/>
        </w:rPr>
        <w:t>: Fire Protection Publications, Okla. State: Employment Best Practices (2005); Safety (2004).</w:t>
      </w:r>
    </w:p>
    <w:p w14:paraId="544D5725" w14:textId="77777777" w:rsidR="006C4753" w:rsidRPr="00F5681B" w:rsidRDefault="006C4753" w:rsidP="00F326E5">
      <w:pPr>
        <w:pStyle w:val="NoSpacing"/>
        <w:rPr>
          <w:rFonts w:ascii="Times New Roman" w:hAnsi="Times New Roman"/>
          <w:sz w:val="20"/>
          <w:szCs w:val="20"/>
        </w:rPr>
      </w:pPr>
    </w:p>
    <w:p w14:paraId="3216C5A5" w14:textId="24866E97" w:rsidR="00F326E5" w:rsidRDefault="00F326E5" w:rsidP="00F326E5">
      <w:pPr>
        <w:pStyle w:val="NoSpacing"/>
        <w:rPr>
          <w:rFonts w:ascii="Arial Black" w:hAnsi="Arial Black"/>
          <w:sz w:val="40"/>
          <w:szCs w:val="40"/>
        </w:rPr>
      </w:pPr>
      <w:r w:rsidRPr="007732FA">
        <w:rPr>
          <w:rFonts w:ascii="Arial Black" w:hAnsi="Arial Black"/>
          <w:sz w:val="40"/>
          <w:szCs w:val="40"/>
        </w:rPr>
        <w:t>Chap. 1</w:t>
      </w:r>
      <w:r w:rsidRPr="007732FA">
        <w:rPr>
          <w:rFonts w:ascii="Arial Black" w:hAnsi="Arial Black"/>
          <w:sz w:val="40"/>
          <w:szCs w:val="40"/>
        </w:rPr>
        <w:tab/>
        <w:t>American Legal System</w:t>
      </w:r>
      <w:r w:rsidR="003F660F">
        <w:rPr>
          <w:rFonts w:ascii="Arial Black" w:hAnsi="Arial Black"/>
          <w:sz w:val="40"/>
          <w:szCs w:val="40"/>
        </w:rPr>
        <w:t>, incl</w:t>
      </w:r>
      <w:r w:rsidR="00022BE4">
        <w:rPr>
          <w:rFonts w:ascii="Arial Black" w:hAnsi="Arial Black"/>
          <w:sz w:val="40"/>
          <w:szCs w:val="40"/>
        </w:rPr>
        <w:t xml:space="preserve">. </w:t>
      </w:r>
      <w:r w:rsidR="00636395">
        <w:rPr>
          <w:rFonts w:ascii="Arial Black" w:hAnsi="Arial Black"/>
          <w:sz w:val="40"/>
          <w:szCs w:val="40"/>
        </w:rPr>
        <w:t xml:space="preserve">Fire </w:t>
      </w:r>
      <w:r w:rsidRPr="007732FA">
        <w:rPr>
          <w:rFonts w:ascii="Arial Black" w:hAnsi="Arial Black"/>
          <w:sz w:val="40"/>
          <w:szCs w:val="40"/>
        </w:rPr>
        <w:t>Code</w:t>
      </w:r>
      <w:r w:rsidR="00636395">
        <w:rPr>
          <w:rFonts w:ascii="Arial Black" w:hAnsi="Arial Black"/>
          <w:sz w:val="40"/>
          <w:szCs w:val="40"/>
        </w:rPr>
        <w:t>s</w:t>
      </w:r>
      <w:r w:rsidR="003F660F">
        <w:rPr>
          <w:rFonts w:ascii="Arial Black" w:hAnsi="Arial Black"/>
          <w:sz w:val="40"/>
          <w:szCs w:val="40"/>
        </w:rPr>
        <w:t xml:space="preserve">, </w:t>
      </w:r>
      <w:r w:rsidR="00636395">
        <w:rPr>
          <w:rFonts w:ascii="Arial Black" w:hAnsi="Arial Black"/>
          <w:sz w:val="40"/>
          <w:szCs w:val="40"/>
        </w:rPr>
        <w:t xml:space="preserve">Arson </w:t>
      </w:r>
      <w:r w:rsidRPr="007732FA">
        <w:rPr>
          <w:rFonts w:ascii="Arial Black" w:hAnsi="Arial Black"/>
          <w:sz w:val="40"/>
          <w:szCs w:val="40"/>
        </w:rPr>
        <w:t xml:space="preserve"> </w:t>
      </w:r>
    </w:p>
    <w:p w14:paraId="42575F13" w14:textId="77777777" w:rsidR="006E51B1" w:rsidRDefault="006E51B1" w:rsidP="00037CB8">
      <w:pPr>
        <w:pStyle w:val="NoSpacing"/>
        <w:rPr>
          <w:rFonts w:ascii="Arial Black" w:hAnsi="Arial Black"/>
          <w:sz w:val="24"/>
          <w:szCs w:val="24"/>
        </w:rPr>
      </w:pPr>
    </w:p>
    <w:p w14:paraId="6CCEA4D1" w14:textId="23B8164D" w:rsidR="00822052" w:rsidRDefault="00822052" w:rsidP="00822052">
      <w:pPr>
        <w:pStyle w:val="NoSpacing"/>
        <w:rPr>
          <w:rFonts w:ascii="Arial Black" w:hAnsi="Arial Black"/>
          <w:sz w:val="24"/>
          <w:szCs w:val="24"/>
        </w:rPr>
      </w:pPr>
      <w:r>
        <w:rPr>
          <w:rFonts w:ascii="Arial Black" w:hAnsi="Arial Black"/>
          <w:sz w:val="24"/>
          <w:szCs w:val="24"/>
        </w:rPr>
        <w:t>1-209</w:t>
      </w:r>
    </w:p>
    <w:p w14:paraId="358353C4" w14:textId="77777777" w:rsidR="00822052" w:rsidRDefault="00822052" w:rsidP="00387E6C">
      <w:pPr>
        <w:pStyle w:val="NoSpacing"/>
        <w:rPr>
          <w:rFonts w:ascii="Arial Black" w:hAnsi="Arial Black"/>
          <w:sz w:val="28"/>
          <w:szCs w:val="28"/>
        </w:rPr>
      </w:pPr>
    </w:p>
    <w:p w14:paraId="2263E180" w14:textId="77777777" w:rsidR="00822052" w:rsidRDefault="00822052" w:rsidP="00387E6C">
      <w:pPr>
        <w:pStyle w:val="NoSpacing"/>
        <w:rPr>
          <w:rFonts w:ascii="Arial Black" w:hAnsi="Arial Black"/>
          <w:sz w:val="28"/>
          <w:szCs w:val="28"/>
        </w:rPr>
      </w:pPr>
    </w:p>
    <w:p w14:paraId="14A052D7" w14:textId="0A315A5A" w:rsidR="00387E6C" w:rsidRDefault="00387E6C" w:rsidP="00387E6C">
      <w:pPr>
        <w:pStyle w:val="NoSpacing"/>
        <w:rPr>
          <w:rFonts w:ascii="Arial Black" w:hAnsi="Arial Black"/>
          <w:sz w:val="28"/>
          <w:szCs w:val="28"/>
        </w:rPr>
      </w:pPr>
      <w:r>
        <w:rPr>
          <w:rFonts w:ascii="Arial Black" w:hAnsi="Arial Black"/>
          <w:sz w:val="28"/>
          <w:szCs w:val="28"/>
        </w:rPr>
        <w:lastRenderedPageBreak/>
        <w:t>MN: CHINA PHONE BATTERY - $3.8M FIRE – AMAZON SUED</w:t>
      </w:r>
    </w:p>
    <w:p w14:paraId="6596CDB5" w14:textId="77777777" w:rsidR="00387E6C" w:rsidRDefault="00387E6C" w:rsidP="00387E6C">
      <w:pPr>
        <w:pStyle w:val="NoSpacing"/>
      </w:pPr>
    </w:p>
    <w:p w14:paraId="655E7D28" w14:textId="77777777" w:rsidR="00387E6C" w:rsidRDefault="00387E6C" w:rsidP="00387E6C">
      <w:pPr>
        <w:pStyle w:val="NoSpacing"/>
      </w:pPr>
      <w:r>
        <w:t xml:space="preserve">On April 27, 2028, in </w:t>
      </w:r>
      <w:r w:rsidRPr="0025753E">
        <w:rPr>
          <w:u w:val="single"/>
        </w:rPr>
        <w:t>Berkly Regional Insurance Company, et al. v. John Doe Battery Manufacturer</w:t>
      </w:r>
      <w:r>
        <w:rPr>
          <w:u w:val="single"/>
        </w:rPr>
        <w:t xml:space="preserve">; </w:t>
      </w:r>
      <w:proofErr w:type="spellStart"/>
      <w:r>
        <w:rPr>
          <w:u w:val="single"/>
        </w:rPr>
        <w:t>Yishda</w:t>
      </w:r>
      <w:proofErr w:type="spellEnd"/>
      <w:r>
        <w:rPr>
          <w:u w:val="single"/>
        </w:rPr>
        <w:t xml:space="preserve">; </w:t>
      </w:r>
      <w:r w:rsidRPr="0025753E">
        <w:rPr>
          <w:u w:val="single"/>
        </w:rPr>
        <w:t>et al</w:t>
      </w:r>
      <w:r>
        <w:t>., the United States Court of Appeals for the Eight Circuit (St. Louis) held (3 to 0) that the lawsuit against Amazon cannot proceed in federal court until state law is clarified.  When Rochelle Zappa’s cellphone would not hold a charge, she searched</w:t>
      </w:r>
    </w:p>
    <w:p w14:paraId="74F450A7" w14:textId="77777777" w:rsidR="00387E6C" w:rsidRDefault="00387E6C" w:rsidP="00387E6C">
      <w:pPr>
        <w:pStyle w:val="NoSpacing"/>
      </w:pPr>
      <w:r>
        <w:t xml:space="preserve">Amazon for a replacement battery. She picked one sold by a Chinese company named </w:t>
      </w:r>
      <w:proofErr w:type="spellStart"/>
      <w:r>
        <w:t>Yishda</w:t>
      </w:r>
      <w:proofErr w:type="spellEnd"/>
      <w:r>
        <w:t xml:space="preserve"> that the website advertised as “Amazon’s Choice.”  When she plugged her phone in at work to charge the battery, it fizzled, sparked, and then burst into flames. Smoke soon enveloped the office. By the time firefighters put out the fire, it had caused $3,881,280 in damage.  The employer’s insurance company sued Amazon in state court; Amazon removed it </w:t>
      </w:r>
      <w:proofErr w:type="gramStart"/>
      <w:r>
        <w:t>to federal</w:t>
      </w:r>
      <w:proofErr w:type="gramEnd"/>
      <w:r>
        <w:t xml:space="preserve"> court. The 8</w:t>
      </w:r>
      <w:r w:rsidRPr="00463C71">
        <w:rPr>
          <w:vertAlign w:val="superscript"/>
        </w:rPr>
        <w:t>th</w:t>
      </w:r>
      <w:r>
        <w:t xml:space="preserve"> Circuit is sending following </w:t>
      </w:r>
      <w:proofErr w:type="gramStart"/>
      <w:r>
        <w:t>question</w:t>
      </w:r>
      <w:proofErr w:type="gramEnd"/>
      <w:r>
        <w:t xml:space="preserve"> to the Minnesota Supreme Court to answer following </w:t>
      </w:r>
      <w:proofErr w:type="gramStart"/>
      <w:r>
        <w:t>question</w:t>
      </w:r>
      <w:proofErr w:type="gramEnd"/>
      <w:r>
        <w:t xml:space="preserve">:  </w:t>
      </w:r>
    </w:p>
    <w:p w14:paraId="5BC710CD" w14:textId="77777777" w:rsidR="00387E6C" w:rsidRDefault="00387E6C" w:rsidP="00387E6C">
      <w:pPr>
        <w:pStyle w:val="NoSpacing"/>
      </w:pPr>
    </w:p>
    <w:p w14:paraId="7EDC654E" w14:textId="77777777" w:rsidR="00387E6C" w:rsidRDefault="00387E6C" w:rsidP="00387E6C">
      <w:pPr>
        <w:pStyle w:val="NoSpacing"/>
        <w:ind w:firstLine="720"/>
      </w:pPr>
      <w:r>
        <w:t>“Under Minnesota law, if an e-commerce company allows an unrelated</w:t>
      </w:r>
    </w:p>
    <w:p w14:paraId="6827638F" w14:textId="77777777" w:rsidR="00387E6C" w:rsidRDefault="00387E6C" w:rsidP="00387E6C">
      <w:pPr>
        <w:pStyle w:val="NoSpacing"/>
        <w:ind w:firstLine="720"/>
      </w:pPr>
      <w:r>
        <w:t>party to sell a defective product through its website and provides order-</w:t>
      </w:r>
    </w:p>
    <w:p w14:paraId="4A235976" w14:textId="77777777" w:rsidR="00387E6C" w:rsidRDefault="00387E6C" w:rsidP="00387E6C">
      <w:pPr>
        <w:pStyle w:val="NoSpacing"/>
        <w:ind w:firstLine="720"/>
      </w:pPr>
      <w:r>
        <w:t>fulfillment services for the sale, is it strictly liable for any harm caused</w:t>
      </w:r>
    </w:p>
    <w:p w14:paraId="492BEF04" w14:textId="77777777" w:rsidR="00387E6C" w:rsidRDefault="00387E6C" w:rsidP="00387E6C">
      <w:pPr>
        <w:pStyle w:val="NoSpacing"/>
        <w:ind w:firstLine="720"/>
      </w:pPr>
      <w:r>
        <w:t xml:space="preserve">by the defect?” </w:t>
      </w:r>
    </w:p>
    <w:p w14:paraId="357D3C8D" w14:textId="77777777" w:rsidR="00387E6C" w:rsidRDefault="00387E6C" w:rsidP="00387E6C">
      <w:pPr>
        <w:pStyle w:val="NoSpacing"/>
        <w:ind w:firstLine="720"/>
      </w:pPr>
    </w:p>
    <w:p w14:paraId="2088CDBC" w14:textId="77777777" w:rsidR="00387E6C" w:rsidRDefault="00387E6C" w:rsidP="00387E6C">
      <w:pPr>
        <w:pStyle w:val="NoSpacing"/>
      </w:pPr>
      <w:hyperlink r:id="rId21" w:history="1">
        <w:r w:rsidRPr="00CF721F">
          <w:rPr>
            <w:rStyle w:val="Hyperlink"/>
          </w:rPr>
          <w:t>https://ecf.ca8.uscourts.gov/opndir/26/04/242159P.pdf</w:t>
        </w:r>
      </w:hyperlink>
      <w:r>
        <w:t xml:space="preserve"> </w:t>
      </w:r>
    </w:p>
    <w:p w14:paraId="3B4956FA" w14:textId="77777777" w:rsidR="00387E6C" w:rsidRDefault="00387E6C" w:rsidP="00387E6C">
      <w:pPr>
        <w:pStyle w:val="NoSpacing"/>
        <w:ind w:firstLine="720"/>
      </w:pPr>
    </w:p>
    <w:p w14:paraId="079A78B6" w14:textId="77777777" w:rsidR="00387E6C" w:rsidRDefault="00387E6C" w:rsidP="00387E6C">
      <w:r>
        <w:t>THE COURT HELD:</w:t>
      </w:r>
    </w:p>
    <w:p w14:paraId="4C1580F5" w14:textId="77777777" w:rsidR="00387E6C" w:rsidRDefault="00387E6C" w:rsidP="00387E6C">
      <w:pPr>
        <w:pStyle w:val="NoSpacing"/>
        <w:ind w:left="720"/>
      </w:pPr>
      <w:r>
        <w:t>“When Rochelle Zappa’s cellphone would not hold a charge, she searched</w:t>
      </w:r>
    </w:p>
    <w:p w14:paraId="70012299" w14:textId="77777777" w:rsidR="00387E6C" w:rsidRDefault="00387E6C" w:rsidP="00387E6C">
      <w:pPr>
        <w:pStyle w:val="NoSpacing"/>
        <w:ind w:firstLine="720"/>
      </w:pPr>
      <w:r>
        <w:t>Amazon for a replacement battery. She picked one sold by a Chinese company</w:t>
      </w:r>
    </w:p>
    <w:p w14:paraId="7699417D" w14:textId="77777777" w:rsidR="00387E6C" w:rsidRDefault="00387E6C" w:rsidP="00387E6C">
      <w:pPr>
        <w:pStyle w:val="NoSpacing"/>
        <w:ind w:firstLine="720"/>
      </w:pPr>
      <w:r>
        <w:t xml:space="preserve">named </w:t>
      </w:r>
      <w:proofErr w:type="spellStart"/>
      <w:r>
        <w:t>Yishda</w:t>
      </w:r>
      <w:proofErr w:type="spellEnd"/>
      <w:r>
        <w:t xml:space="preserve"> that the website advertised as ‘Amazon’s Choice.’</w:t>
      </w:r>
    </w:p>
    <w:p w14:paraId="707246A1" w14:textId="77777777" w:rsidR="00387E6C" w:rsidRDefault="00387E6C" w:rsidP="00387E6C">
      <w:pPr>
        <w:pStyle w:val="NoSpacing"/>
        <w:ind w:firstLine="720"/>
      </w:pPr>
    </w:p>
    <w:p w14:paraId="6B0C6FD1" w14:textId="77777777" w:rsidR="00387E6C" w:rsidRDefault="00387E6C" w:rsidP="00387E6C">
      <w:pPr>
        <w:pStyle w:val="NoSpacing"/>
        <w:ind w:firstLine="720"/>
      </w:pPr>
      <w:r>
        <w:t>The company took part in the “Fulfillment by Amazon” program, a service</w:t>
      </w:r>
    </w:p>
    <w:p w14:paraId="572AA354" w14:textId="77777777" w:rsidR="00387E6C" w:rsidRDefault="00387E6C" w:rsidP="00387E6C">
      <w:pPr>
        <w:pStyle w:val="NoSpacing"/>
        <w:ind w:firstLine="720"/>
      </w:pPr>
      <w:r>
        <w:t>that allows sellers to use Amazon’s infrastructure, including its website, its</w:t>
      </w:r>
    </w:p>
    <w:p w14:paraId="19C8B7D7" w14:textId="77777777" w:rsidR="00387E6C" w:rsidRDefault="00387E6C" w:rsidP="00387E6C">
      <w:pPr>
        <w:pStyle w:val="NoSpacing"/>
        <w:ind w:firstLine="720"/>
      </w:pPr>
      <w:r>
        <w:t>warehouses, and its delivery drivers. For a fee, Amazon handled storage, order</w:t>
      </w:r>
    </w:p>
    <w:p w14:paraId="44418347" w14:textId="77777777" w:rsidR="00387E6C" w:rsidRDefault="00387E6C" w:rsidP="00387E6C">
      <w:pPr>
        <w:pStyle w:val="NoSpacing"/>
        <w:ind w:firstLine="720"/>
      </w:pPr>
      <w:r>
        <w:t>fulfillment, returns, and customer service. See Pickard v. Amazon.com, Inc., 387</w:t>
      </w:r>
    </w:p>
    <w:p w14:paraId="20562245" w14:textId="77777777" w:rsidR="00387E6C" w:rsidRDefault="00387E6C" w:rsidP="00387E6C">
      <w:pPr>
        <w:pStyle w:val="NoSpacing"/>
        <w:ind w:firstLine="720"/>
      </w:pPr>
      <w:r>
        <w:t>So.3d 515, 518 (La. 2024) (describing Amazon’s order-fulfillment service). Here,</w:t>
      </w:r>
    </w:p>
    <w:p w14:paraId="236D84FD" w14:textId="77777777" w:rsidR="00387E6C" w:rsidRDefault="00387E6C" w:rsidP="00387E6C">
      <w:pPr>
        <w:pStyle w:val="NoSpacing"/>
        <w:ind w:firstLine="720"/>
      </w:pPr>
      <w:proofErr w:type="gramStart"/>
      <w:r>
        <w:t>it</w:t>
      </w:r>
      <w:proofErr w:type="gramEnd"/>
      <w:r>
        <w:t xml:space="preserve"> resulted in an Amazon driver delivering a </w:t>
      </w:r>
      <w:proofErr w:type="spellStart"/>
      <w:r>
        <w:t>Yishda</w:t>
      </w:r>
      <w:proofErr w:type="spellEnd"/>
      <w:r>
        <w:t xml:space="preserve"> battery inside an Amazon bag to</w:t>
      </w:r>
    </w:p>
    <w:p w14:paraId="3B93A22C" w14:textId="77777777" w:rsidR="00387E6C" w:rsidRDefault="00387E6C" w:rsidP="00387E6C">
      <w:pPr>
        <w:pStyle w:val="NoSpacing"/>
        <w:ind w:firstLine="720"/>
      </w:pPr>
      <w:r>
        <w:t>her doorstep.</w:t>
      </w:r>
    </w:p>
    <w:p w14:paraId="29C137AB" w14:textId="77777777" w:rsidR="00387E6C" w:rsidRDefault="00387E6C" w:rsidP="00387E6C">
      <w:pPr>
        <w:ind w:firstLine="720"/>
        <w:rPr>
          <w:b/>
          <w:bCs/>
        </w:rPr>
      </w:pPr>
    </w:p>
    <w:p w14:paraId="7481721C" w14:textId="77777777" w:rsidR="00387E6C" w:rsidRDefault="00387E6C" w:rsidP="00387E6C">
      <w:pPr>
        <w:pStyle w:val="NoSpacing"/>
        <w:ind w:firstLine="720"/>
      </w:pPr>
      <w:r>
        <w:t>***</w:t>
      </w:r>
    </w:p>
    <w:p w14:paraId="250397F5" w14:textId="77777777" w:rsidR="00387E6C" w:rsidRDefault="00387E6C" w:rsidP="00387E6C">
      <w:pPr>
        <w:ind w:left="720"/>
        <w:rPr>
          <w:b/>
          <w:bCs/>
        </w:rPr>
      </w:pPr>
      <w:r>
        <w:t xml:space="preserve">We need to know whether, under Minnesota law, Amazon is strictly liable for a defective product it offered, stored, and shipped, even though someone else was the seller. The Minnesota Supreme Court ought to be the one to decide this novel legal issue, so we give it the right of first refusal… Finally, the legal question we have is about </w:t>
      </w:r>
      <w:proofErr w:type="gramStart"/>
      <w:r>
        <w:t>as</w:t>
      </w:r>
      <w:proofErr w:type="gramEnd"/>
      <w:r>
        <w:t xml:space="preserve"> clean as it gets. Whether Amazon is strictly liable for </w:t>
      </w:r>
      <w:proofErr w:type="spellStart"/>
      <w:r>
        <w:t>Yishda’s</w:t>
      </w:r>
      <w:proofErr w:type="spellEnd"/>
      <w:r>
        <w:t xml:space="preserve"> batteries depends on undisputed facts. The record is clear that, as the seller, </w:t>
      </w:r>
      <w:proofErr w:type="spellStart"/>
      <w:r>
        <w:t>Yishda</w:t>
      </w:r>
      <w:proofErr w:type="spellEnd"/>
      <w:r>
        <w:t xml:space="preserve"> listed the batteries online, sent them to warehouses around the country, and left the rest to Amazon.”</w:t>
      </w:r>
    </w:p>
    <w:p w14:paraId="15E9482E" w14:textId="77777777" w:rsidR="00387E6C" w:rsidRPr="001C2DCD" w:rsidRDefault="00387E6C" w:rsidP="00387E6C">
      <w:pPr>
        <w:rPr>
          <w:b/>
          <w:bCs/>
        </w:rPr>
      </w:pPr>
      <w:r>
        <w:rPr>
          <w:b/>
        </w:rPr>
        <w:t xml:space="preserve">Legal lesson learned: Battery fires are becoming all too common; the question here is whether the insurance company for the $3.8 million loss can recover from Amazon and was  Amazon aware of prior fires with this product. </w:t>
      </w:r>
    </w:p>
    <w:p w14:paraId="3182CCB3" w14:textId="77777777" w:rsidR="00387E6C" w:rsidRDefault="00387E6C" w:rsidP="00387E6C">
      <w:pPr>
        <w:pStyle w:val="NoSpacing"/>
        <w:rPr>
          <w:bCs/>
        </w:rPr>
      </w:pPr>
    </w:p>
    <w:p w14:paraId="3DA51BA2" w14:textId="4ED6D940" w:rsidR="00822052" w:rsidRDefault="00822052" w:rsidP="00822052">
      <w:pPr>
        <w:pStyle w:val="NoSpacing"/>
        <w:rPr>
          <w:rFonts w:ascii="Arial Black" w:hAnsi="Arial Black"/>
          <w:sz w:val="24"/>
          <w:szCs w:val="24"/>
        </w:rPr>
      </w:pPr>
      <w:r>
        <w:rPr>
          <w:rFonts w:ascii="Arial Black" w:hAnsi="Arial Black"/>
          <w:sz w:val="24"/>
          <w:szCs w:val="24"/>
        </w:rPr>
        <w:t>1-208</w:t>
      </w:r>
    </w:p>
    <w:p w14:paraId="01F3CD84" w14:textId="77777777" w:rsidR="00387E6C" w:rsidRDefault="00387E6C" w:rsidP="00387E6C">
      <w:pPr>
        <w:pStyle w:val="NoSpacing"/>
        <w:rPr>
          <w:bCs/>
        </w:rPr>
      </w:pPr>
    </w:p>
    <w:p w14:paraId="011FF64E" w14:textId="77777777" w:rsidR="00387E6C" w:rsidRDefault="00387E6C" w:rsidP="00387E6C">
      <w:pPr>
        <w:pStyle w:val="NoSpacing"/>
        <w:rPr>
          <w:b/>
        </w:rPr>
      </w:pPr>
    </w:p>
    <w:p w14:paraId="2F5E6217" w14:textId="77777777" w:rsidR="008326CD" w:rsidRPr="00891643" w:rsidRDefault="008326CD" w:rsidP="008326CD">
      <w:pPr>
        <w:pStyle w:val="NoSpacing"/>
        <w:rPr>
          <w:rFonts w:ascii="Arial Black" w:hAnsi="Arial Black"/>
          <w:sz w:val="28"/>
          <w:szCs w:val="28"/>
        </w:rPr>
      </w:pPr>
      <w:r>
        <w:rPr>
          <w:rFonts w:ascii="Arial Black" w:hAnsi="Arial Black"/>
          <w:sz w:val="28"/>
          <w:szCs w:val="28"/>
        </w:rPr>
        <w:t xml:space="preserve">WV: ARSON - SIGNED CONFESSION / NO NEED PD TO VIDEO </w:t>
      </w:r>
    </w:p>
    <w:p w14:paraId="52E5C633" w14:textId="77777777" w:rsidR="008326CD" w:rsidRDefault="008326CD" w:rsidP="008326CD">
      <w:pPr>
        <w:pStyle w:val="NoSpacing"/>
      </w:pPr>
    </w:p>
    <w:p w14:paraId="53F1750F" w14:textId="77777777" w:rsidR="008326CD" w:rsidRDefault="008326CD" w:rsidP="008326CD">
      <w:pPr>
        <w:pStyle w:val="NoSpacing"/>
        <w:rPr>
          <w:bCs/>
        </w:rPr>
      </w:pPr>
      <w:r>
        <w:lastRenderedPageBreak/>
        <w:t xml:space="preserve">On April 21, 2026, in  </w:t>
      </w:r>
      <w:r w:rsidRPr="00E63016">
        <w:rPr>
          <w:u w:val="single"/>
        </w:rPr>
        <w:t>State of West Virginia v. Harry Lee Steele</w:t>
      </w:r>
      <w:r>
        <w:t xml:space="preserve">, the </w:t>
      </w:r>
      <w:r w:rsidRPr="00E63016">
        <w:t>Supreme Court of Appeals of West Virginia</w:t>
      </w:r>
      <w:r>
        <w:t xml:space="preserve">, held (5 to 0) that trial court properly denied motion to suppress written confession, which was given voluntarily; jury convicted him of first-degree arson for light couch on fire on front of house, and sentenced him to 20 years.  He confessed to lighting a couch on the front porch, which led to structure fire; he turned himself in the next day and admitted he started the fire out of personal animosity with the owner of the house. </w:t>
      </w:r>
      <w:r w:rsidRPr="004C6462">
        <w:t>Deputy Martin stated that he recorded only part of the interview because his bodycam</w:t>
      </w:r>
      <w:r>
        <w:t xml:space="preserve"> </w:t>
      </w:r>
      <w:r w:rsidRPr="004C6462">
        <w:t xml:space="preserve">needed to charge. </w:t>
      </w:r>
    </w:p>
    <w:p w14:paraId="712494D1" w14:textId="77777777" w:rsidR="008326CD" w:rsidRPr="00883C4E" w:rsidRDefault="008326CD" w:rsidP="008326CD">
      <w:pPr>
        <w:pStyle w:val="NoSpacing"/>
        <w:rPr>
          <w:bCs/>
        </w:rPr>
      </w:pPr>
      <w:hyperlink r:id="rId22" w:history="1">
        <w:r w:rsidRPr="00072B77">
          <w:rPr>
            <w:rStyle w:val="Hyperlink"/>
          </w:rPr>
          <w:t>https://www.courtswv.gov/sites/default/pubfilesmnt/2026-04/24-79%20Memorandum%20Decision.pdf</w:t>
        </w:r>
      </w:hyperlink>
      <w:r w:rsidRPr="00883C4E">
        <w:t xml:space="preserve"> </w:t>
      </w:r>
    </w:p>
    <w:p w14:paraId="236E03FF" w14:textId="77777777" w:rsidR="008326CD" w:rsidRPr="00883C4E" w:rsidRDefault="008326CD" w:rsidP="008326CD">
      <w:pPr>
        <w:pStyle w:val="NoSpacing"/>
        <w:rPr>
          <w:bCs/>
        </w:rPr>
      </w:pPr>
    </w:p>
    <w:p w14:paraId="4E9C2108" w14:textId="77777777" w:rsidR="008326CD" w:rsidRDefault="008326CD" w:rsidP="008326CD">
      <w:pPr>
        <w:pStyle w:val="NoSpacing"/>
        <w:rPr>
          <w:bCs/>
        </w:rPr>
      </w:pPr>
    </w:p>
    <w:p w14:paraId="56AC101D" w14:textId="77777777" w:rsidR="008326CD" w:rsidRPr="00E63016" w:rsidRDefault="008326CD" w:rsidP="008326CD">
      <w:pPr>
        <w:pStyle w:val="NoSpacing"/>
        <w:rPr>
          <w:bCs/>
        </w:rPr>
      </w:pPr>
      <w:r>
        <w:t>THE COURT HELD:</w:t>
      </w:r>
    </w:p>
    <w:p w14:paraId="21F30B11" w14:textId="77777777" w:rsidR="008326CD" w:rsidRDefault="008326CD" w:rsidP="008326CD">
      <w:pPr>
        <w:pStyle w:val="NoSpacing"/>
      </w:pPr>
    </w:p>
    <w:p w14:paraId="03FC5F8D" w14:textId="77777777" w:rsidR="008326CD" w:rsidRPr="00891643" w:rsidRDefault="008326CD" w:rsidP="008326CD">
      <w:pPr>
        <w:pStyle w:val="NoSpacing"/>
        <w:ind w:firstLine="720"/>
      </w:pPr>
      <w:r>
        <w:t>“</w:t>
      </w:r>
      <w:r w:rsidRPr="00891643">
        <w:t>Here, the circuit court considered the evidence presented at the suppression hearing and</w:t>
      </w:r>
    </w:p>
    <w:p w14:paraId="03EA4592" w14:textId="77777777" w:rsidR="008326CD" w:rsidRDefault="008326CD" w:rsidP="008326CD">
      <w:pPr>
        <w:pStyle w:val="NoSpacing"/>
        <w:ind w:left="720"/>
      </w:pPr>
      <w:r w:rsidRPr="00891643">
        <w:t xml:space="preserve">found that the petitioner did not appear intoxicated; that his signatures on both the </w:t>
      </w:r>
      <w:r w:rsidRPr="00883C4E">
        <w:rPr>
          <w:i/>
          <w:iCs/>
        </w:rPr>
        <w:t>Miranda</w:t>
      </w:r>
      <w:r w:rsidRPr="00891643">
        <w:t xml:space="preserve"> waiver</w:t>
      </w:r>
      <w:r>
        <w:t xml:space="preserve"> </w:t>
      </w:r>
      <w:r w:rsidRPr="00891643">
        <w:t>form and the written statement matched; and that the petitioner affirmed the accuracy of the</w:t>
      </w:r>
      <w:r>
        <w:t xml:space="preserve"> </w:t>
      </w:r>
      <w:r w:rsidRPr="00891643">
        <w:t>statement as observed in the recorded portion of the interview—all of which led the court to</w:t>
      </w:r>
      <w:r>
        <w:t xml:space="preserve"> </w:t>
      </w:r>
      <w:r w:rsidRPr="00891643">
        <w:t xml:space="preserve">conclude that the petitioner’s confession was voluntary and not made under duress. </w:t>
      </w:r>
    </w:p>
    <w:p w14:paraId="4D7B9EFF" w14:textId="77777777" w:rsidR="008326CD" w:rsidRDefault="008326CD" w:rsidP="008326CD">
      <w:pPr>
        <w:pStyle w:val="NoSpacing"/>
        <w:ind w:left="720"/>
      </w:pPr>
    </w:p>
    <w:p w14:paraId="1A8F75E1" w14:textId="77777777" w:rsidR="008326CD" w:rsidRDefault="008326CD" w:rsidP="008326CD">
      <w:pPr>
        <w:pStyle w:val="NoSpacing"/>
        <w:ind w:left="720"/>
      </w:pPr>
      <w:r w:rsidRPr="00891643">
        <w:t>While the</w:t>
      </w:r>
      <w:r>
        <w:t xml:space="preserve"> </w:t>
      </w:r>
      <w:r w:rsidRPr="00891643">
        <w:t>petitioner argues that the voluntariness of his confession cannot be proven because his initial</w:t>
      </w:r>
      <w:r>
        <w:t xml:space="preserve"> </w:t>
      </w:r>
      <w:r w:rsidRPr="00891643">
        <w:t xml:space="preserve">statement to Deputy Martin was not recorded, we have previously declined to </w:t>
      </w:r>
      <w:r>
        <w:t>‘</w:t>
      </w:r>
      <w:r w:rsidRPr="00891643">
        <w:t>establish an</w:t>
      </w:r>
      <w:r>
        <w:t xml:space="preserve"> </w:t>
      </w:r>
      <w:r w:rsidRPr="00891643">
        <w:t>absolute rule requiring such recording,</w:t>
      </w:r>
      <w:r>
        <w:t>’</w:t>
      </w:r>
      <w:r w:rsidRPr="00891643">
        <w:t xml:space="preserve"> noting that</w:t>
      </w:r>
      <w:r>
        <w:t xml:space="preserve"> ‘</w:t>
      </w:r>
      <w:r w:rsidRPr="00891643">
        <w:t xml:space="preserve">requiring police agencies to record </w:t>
      </w:r>
      <w:r>
        <w:t>i</w:t>
      </w:r>
      <w:r w:rsidRPr="00891643">
        <w:t>nterrogations is impractical and does not offer any greater safeguards for protecting the accused’s</w:t>
      </w:r>
      <w:r>
        <w:t xml:space="preserve"> </w:t>
      </w:r>
      <w:r w:rsidRPr="00891643">
        <w:t>rights than would be afforded by writing the statements affords.</w:t>
      </w:r>
      <w:r>
        <w:t>’</w:t>
      </w:r>
      <w:r w:rsidRPr="00891643">
        <w:t xml:space="preserve"> State v. Kilmer, 190 W. Va. 617,</w:t>
      </w:r>
      <w:r>
        <w:t xml:space="preserve"> </w:t>
      </w:r>
      <w:r w:rsidRPr="00891643">
        <w:t xml:space="preserve">628-29, 439 S.E.2d 881, 892-93 (1993). </w:t>
      </w:r>
    </w:p>
    <w:p w14:paraId="0CA9F908" w14:textId="77777777" w:rsidR="008326CD" w:rsidRDefault="008326CD" w:rsidP="008326CD">
      <w:pPr>
        <w:pStyle w:val="NoSpacing"/>
        <w:ind w:left="720"/>
      </w:pPr>
      <w:r w:rsidRPr="00891643">
        <w:t>Further, to the extent that petitioner claims the</w:t>
      </w:r>
      <w:r>
        <w:t xml:space="preserve"> </w:t>
      </w:r>
      <w:r w:rsidRPr="00891643">
        <w:t>voluntariness of his statement cannot be proven because Deputy Martin drafted it on his behalf,</w:t>
      </w:r>
      <w:r>
        <w:t xml:space="preserve"> </w:t>
      </w:r>
      <w:r w:rsidRPr="00891643">
        <w:t>we have previously held that</w:t>
      </w:r>
      <w:r>
        <w:t xml:space="preserve"> </w:t>
      </w:r>
      <w:r w:rsidRPr="00891643">
        <w:t>[a] confession or statement made by a suspect is admissible if it is freely</w:t>
      </w:r>
      <w:r>
        <w:t xml:space="preserve"> </w:t>
      </w:r>
      <w:r w:rsidRPr="00891643">
        <w:t>and voluntarily made despite the fact that it is written by an arresting officer if the</w:t>
      </w:r>
      <w:r>
        <w:t xml:space="preserve"> </w:t>
      </w:r>
      <w:r w:rsidRPr="00891643">
        <w:t>confession or statement is read, translated (if necessary), signed by the accused and</w:t>
      </w:r>
      <w:r>
        <w:t xml:space="preserve"> </w:t>
      </w:r>
      <w:r w:rsidRPr="00891643">
        <w:t>admitted by him to be correct.</w:t>
      </w:r>
      <w:r>
        <w:t xml:space="preserve">”  </w:t>
      </w:r>
    </w:p>
    <w:p w14:paraId="6FC35589" w14:textId="77777777" w:rsidR="008326CD" w:rsidRDefault="008326CD" w:rsidP="008326CD">
      <w:pPr>
        <w:pStyle w:val="NoSpacing"/>
        <w:ind w:left="720"/>
      </w:pPr>
    </w:p>
    <w:p w14:paraId="33B55A5D" w14:textId="77777777" w:rsidR="008326CD" w:rsidRPr="003D0F2A" w:rsidRDefault="008326CD" w:rsidP="008326CD">
      <w:pPr>
        <w:pStyle w:val="NoSpacing"/>
        <w:rPr>
          <w:b/>
          <w:bCs/>
        </w:rPr>
      </w:pPr>
      <w:r>
        <w:rPr>
          <w:b/>
        </w:rPr>
        <w:t xml:space="preserve">Legal lesson learned: If PD drafts the confession document, it would be helpful to video the draft being read to the defendant prior to his signature. </w:t>
      </w:r>
    </w:p>
    <w:p w14:paraId="54286982" w14:textId="77777777" w:rsidR="00387E6C" w:rsidRDefault="00387E6C" w:rsidP="00037CB8">
      <w:pPr>
        <w:pStyle w:val="NoSpacing"/>
        <w:rPr>
          <w:rFonts w:ascii="Arial Black" w:hAnsi="Arial Black"/>
          <w:sz w:val="24"/>
          <w:szCs w:val="24"/>
        </w:rPr>
      </w:pPr>
    </w:p>
    <w:p w14:paraId="1527E0F3" w14:textId="77777777" w:rsidR="00822052" w:rsidRDefault="00822052" w:rsidP="00037CB8">
      <w:pPr>
        <w:pStyle w:val="NoSpacing"/>
        <w:rPr>
          <w:rFonts w:ascii="Arial Black" w:hAnsi="Arial Black"/>
          <w:sz w:val="24"/>
          <w:szCs w:val="24"/>
        </w:rPr>
      </w:pPr>
    </w:p>
    <w:p w14:paraId="606A6F7B" w14:textId="59B2DBBF" w:rsidR="00822052" w:rsidRDefault="00822052" w:rsidP="00822052">
      <w:pPr>
        <w:pStyle w:val="NoSpacing"/>
        <w:rPr>
          <w:rFonts w:ascii="Arial Black" w:hAnsi="Arial Black"/>
          <w:sz w:val="24"/>
          <w:szCs w:val="24"/>
        </w:rPr>
      </w:pPr>
      <w:r>
        <w:rPr>
          <w:rFonts w:ascii="Arial Black" w:hAnsi="Arial Black"/>
          <w:sz w:val="24"/>
          <w:szCs w:val="24"/>
        </w:rPr>
        <w:t>1-207</w:t>
      </w:r>
    </w:p>
    <w:p w14:paraId="64F48355" w14:textId="77777777" w:rsidR="00822052" w:rsidRDefault="00822052" w:rsidP="00037CB8">
      <w:pPr>
        <w:pStyle w:val="NoSpacing"/>
        <w:rPr>
          <w:rFonts w:ascii="Arial Black" w:hAnsi="Arial Black"/>
          <w:sz w:val="24"/>
          <w:szCs w:val="24"/>
        </w:rPr>
      </w:pPr>
    </w:p>
    <w:p w14:paraId="49D08AD2" w14:textId="77777777" w:rsidR="00822052" w:rsidRDefault="00822052" w:rsidP="00037CB8">
      <w:pPr>
        <w:pStyle w:val="NoSpacing"/>
        <w:rPr>
          <w:rFonts w:ascii="Arial Black" w:hAnsi="Arial Black"/>
          <w:sz w:val="24"/>
          <w:szCs w:val="24"/>
        </w:rPr>
      </w:pPr>
    </w:p>
    <w:p w14:paraId="3E197E33" w14:textId="77777777" w:rsidR="00822052" w:rsidRDefault="00822052" w:rsidP="00822052">
      <w:pPr>
        <w:pStyle w:val="NoSpacing"/>
        <w:rPr>
          <w:rFonts w:ascii="Arial Black" w:hAnsi="Arial Black"/>
          <w:b/>
          <w:sz w:val="28"/>
          <w:szCs w:val="28"/>
        </w:rPr>
      </w:pPr>
      <w:r>
        <w:rPr>
          <w:rFonts w:ascii="Arial Black" w:hAnsi="Arial Black"/>
          <w:b/>
          <w:sz w:val="28"/>
          <w:szCs w:val="28"/>
        </w:rPr>
        <w:t>TX: BATTERY STORAGE PLANT– INJUNCTION – RISK PLAN</w:t>
      </w:r>
    </w:p>
    <w:p w14:paraId="730B4CC1" w14:textId="77777777" w:rsidR="00822052" w:rsidRDefault="00822052" w:rsidP="00822052">
      <w:pPr>
        <w:pStyle w:val="NoSpacing"/>
        <w:rPr>
          <w:rFonts w:ascii="Arial Black" w:hAnsi="Arial Black"/>
          <w:b/>
          <w:sz w:val="28"/>
          <w:szCs w:val="28"/>
        </w:rPr>
      </w:pPr>
    </w:p>
    <w:p w14:paraId="138C8D57" w14:textId="77777777" w:rsidR="00822052" w:rsidRDefault="00822052" w:rsidP="00822052">
      <w:pPr>
        <w:pStyle w:val="NoSpacing"/>
        <w:rPr>
          <w:b/>
        </w:rPr>
      </w:pPr>
      <w:r>
        <w:t xml:space="preserve">On April 9, 2026, in </w:t>
      </w:r>
      <w:r w:rsidRPr="00D9240F">
        <w:t xml:space="preserve">Jim Clements, et al. v. Jason McBroom, et al., </w:t>
      </w:r>
      <w:r>
        <w:t xml:space="preserve">the </w:t>
      </w:r>
      <w:r w:rsidRPr="00D9240F">
        <w:t>Court of Appeals of Texas, Third District, Austin</w:t>
      </w:r>
      <w:r>
        <w:t xml:space="preserve"> held (3 to 0) reversed trial court and held that landowners are entitled to an injunction to </w:t>
      </w:r>
      <w:r w:rsidRPr="00792680">
        <w:t xml:space="preserve">temporarily halt the construction of a planned 200-megawatt Battery Energy Storage System (BESS) on the </w:t>
      </w:r>
      <w:proofErr w:type="spellStart"/>
      <w:r w:rsidRPr="00792680">
        <w:t>McBrooms</w:t>
      </w:r>
      <w:proofErr w:type="spellEnd"/>
      <w:r w:rsidRPr="00792680">
        <w:t xml:space="preserve">' property until the </w:t>
      </w:r>
      <w:proofErr w:type="spellStart"/>
      <w:r w:rsidRPr="00792680">
        <w:t>McBrooms</w:t>
      </w:r>
      <w:proofErr w:type="spellEnd"/>
      <w:r w:rsidRPr="00792680">
        <w:t xml:space="preserve"> ensure the implementation of a “Court-approved hazard mitigation plan, including specific measures for fire containment, contamination prevention, and emergency response.”</w:t>
      </w:r>
      <w:r>
        <w:t xml:space="preserve">  </w:t>
      </w:r>
    </w:p>
    <w:p w14:paraId="1216F496" w14:textId="77777777" w:rsidR="00822052" w:rsidRPr="00656164" w:rsidRDefault="00822052" w:rsidP="00822052">
      <w:pPr>
        <w:pStyle w:val="NoSpacing"/>
        <w:rPr>
          <w:bCs/>
        </w:rPr>
      </w:pPr>
      <w:hyperlink r:id="rId23" w:history="1">
        <w:r w:rsidRPr="00656164">
          <w:rPr>
            <w:rStyle w:val="Hyperlink"/>
          </w:rPr>
          <w:t>https://caselaw.findlaw.com/court/tx-court-of-appeals/118277713.html</w:t>
        </w:r>
      </w:hyperlink>
    </w:p>
    <w:p w14:paraId="15B1D7E4" w14:textId="77777777" w:rsidR="00822052" w:rsidRPr="00656164" w:rsidRDefault="00822052" w:rsidP="00822052">
      <w:pPr>
        <w:pStyle w:val="NoSpacing"/>
        <w:rPr>
          <w:bCs/>
        </w:rPr>
      </w:pPr>
    </w:p>
    <w:p w14:paraId="62B3FE8C" w14:textId="77777777" w:rsidR="00822052" w:rsidRPr="00656164" w:rsidRDefault="00822052" w:rsidP="00822052">
      <w:pPr>
        <w:pStyle w:val="NoSpacing"/>
        <w:rPr>
          <w:bCs/>
        </w:rPr>
      </w:pPr>
      <w:r w:rsidRPr="00656164">
        <w:t xml:space="preserve">THE COURT HELD: </w:t>
      </w:r>
    </w:p>
    <w:p w14:paraId="2E392DF5" w14:textId="77777777" w:rsidR="00822052" w:rsidRDefault="00822052" w:rsidP="00822052">
      <w:pPr>
        <w:pStyle w:val="NoSpacing"/>
        <w:rPr>
          <w:bCs/>
        </w:rPr>
      </w:pPr>
    </w:p>
    <w:p w14:paraId="62A4D576" w14:textId="77777777" w:rsidR="00822052" w:rsidRPr="002E6437" w:rsidRDefault="00822052" w:rsidP="00822052">
      <w:pPr>
        <w:pStyle w:val="NoSpacing"/>
        <w:ind w:left="720"/>
        <w:rPr>
          <w:bCs/>
        </w:rPr>
      </w:pPr>
      <w:r>
        <w:t>“</w:t>
      </w:r>
      <w:r w:rsidRPr="002E6437">
        <w:t xml:space="preserve">In their live petition, filed November 26, 2024, Landowners asserted a claim against the </w:t>
      </w:r>
      <w:proofErr w:type="spellStart"/>
      <w:r w:rsidRPr="002E6437">
        <w:t>McBrooms</w:t>
      </w:r>
      <w:proofErr w:type="spellEnd"/>
      <w:r w:rsidRPr="002E6437">
        <w:t xml:space="preserve"> for private nuisance based on negligence to support their request for injunctive relief and damages. Landowners' factual allegations include the following:</w:t>
      </w:r>
    </w:p>
    <w:p w14:paraId="689DF851" w14:textId="77777777" w:rsidR="00822052" w:rsidRDefault="00822052" w:rsidP="00822052">
      <w:pPr>
        <w:pStyle w:val="NoSpacing"/>
        <w:rPr>
          <w:bCs/>
        </w:rPr>
      </w:pPr>
    </w:p>
    <w:p w14:paraId="0F4C1D36" w14:textId="77777777" w:rsidR="00822052" w:rsidRPr="002E6437" w:rsidRDefault="00822052" w:rsidP="00822052">
      <w:pPr>
        <w:pStyle w:val="NoSpacing"/>
        <w:ind w:left="1440"/>
        <w:rPr>
          <w:bCs/>
        </w:rPr>
      </w:pPr>
      <w:r w:rsidRPr="002E6437">
        <w:lastRenderedPageBreak/>
        <w:t>• Construction on the planned BESS facility could begin as early as “the fourth quarter of 2025,” with operations beginning in 2026;</w:t>
      </w:r>
    </w:p>
    <w:p w14:paraId="760955AA" w14:textId="77777777" w:rsidR="00822052" w:rsidRDefault="00822052" w:rsidP="00822052">
      <w:pPr>
        <w:pStyle w:val="NoSpacing"/>
        <w:ind w:left="1440"/>
        <w:rPr>
          <w:bCs/>
        </w:rPr>
      </w:pPr>
      <w:r w:rsidRPr="002E6437">
        <w:t xml:space="preserve">• The planned BESS relies on lithium-ion battery technology, which is prone to </w:t>
      </w:r>
      <w:r>
        <w:t>‘</w:t>
      </w:r>
      <w:r w:rsidRPr="002E6437">
        <w:t>thermal runaway,</w:t>
      </w:r>
      <w:r>
        <w:t>’</w:t>
      </w:r>
      <w:r w:rsidRPr="002E6437">
        <w:t xml:space="preserve"> a self-sustaining process triggered by overheating that can lead to the rapid release of flammable gases, high-temperature fires, and even explosions</w:t>
      </w:r>
      <w:r>
        <w:t>; …</w:t>
      </w:r>
    </w:p>
    <w:p w14:paraId="5F284BAC" w14:textId="77777777" w:rsidR="00822052" w:rsidRPr="005B0BC8" w:rsidRDefault="00822052" w:rsidP="00822052">
      <w:pPr>
        <w:pStyle w:val="NoSpacing"/>
        <w:ind w:left="1440"/>
        <w:rPr>
          <w:bCs/>
        </w:rPr>
      </w:pPr>
      <w:r w:rsidRPr="005B0BC8">
        <w:t>The phenomenon of thermal runaway is well-documented in federal research and has been observed in multiple large-scale BESS incidents, underscoring the immediate risks posed to nearby residents;</w:t>
      </w:r>
    </w:p>
    <w:p w14:paraId="27EBFB80" w14:textId="77777777" w:rsidR="00822052" w:rsidRPr="005B0BC8" w:rsidRDefault="00822052" w:rsidP="00822052">
      <w:pPr>
        <w:pStyle w:val="NoSpacing"/>
        <w:ind w:left="1440"/>
        <w:rPr>
          <w:bCs/>
        </w:rPr>
      </w:pPr>
      <w:r w:rsidRPr="005B0BC8">
        <w:t xml:space="preserve">• Despite these substantial hazards, Texas currently lacks adequate regulations for BESS facilities, leaving the burden of risk entirely on </w:t>
      </w:r>
      <w:proofErr w:type="gramStart"/>
      <w:r w:rsidRPr="005B0BC8">
        <w:t>local residents</w:t>
      </w:r>
      <w:proofErr w:type="gramEnd"/>
      <w:r w:rsidRPr="005B0BC8">
        <w:t>;</w:t>
      </w:r>
    </w:p>
    <w:p w14:paraId="231C1433" w14:textId="77777777" w:rsidR="00822052" w:rsidRPr="005B0BC8" w:rsidRDefault="00822052" w:rsidP="00822052">
      <w:pPr>
        <w:pStyle w:val="NoSpacing"/>
        <w:ind w:left="1440"/>
        <w:rPr>
          <w:bCs/>
        </w:rPr>
      </w:pPr>
      <w:r w:rsidRPr="005B0BC8">
        <w:t>• Fayette County is ill-equipped to address the unique and severe dangers associated with BESS fires. The County relies on a volunteer firefighting force that lacks the specialized training, personnel, and resources—such as water supplies and hazardous-material-response capabilities—necessary to manage such incidents;</w:t>
      </w:r>
    </w:p>
    <w:p w14:paraId="073FB2EF" w14:textId="77777777" w:rsidR="00822052" w:rsidRPr="005B0BC8" w:rsidRDefault="00822052" w:rsidP="00822052">
      <w:pPr>
        <w:pStyle w:val="NoSpacing"/>
        <w:ind w:left="1440"/>
        <w:rPr>
          <w:bCs/>
        </w:rPr>
      </w:pPr>
      <w:r w:rsidRPr="005B0BC8">
        <w:t>• Fire Chief Eddie Schneider confirmed at a local town hall that the County's emergency response infrastructure is insufficient for handling BESS fires, noting that the County lacks both the resources and an emergency plan tailored to the hazards posed by lithium-ion battery fires;</w:t>
      </w:r>
    </w:p>
    <w:p w14:paraId="31C03C76" w14:textId="77777777" w:rsidR="00822052" w:rsidRPr="005B0BC8" w:rsidRDefault="00822052" w:rsidP="00822052">
      <w:pPr>
        <w:pStyle w:val="NoSpacing"/>
        <w:ind w:left="1440"/>
        <w:rPr>
          <w:bCs/>
        </w:rPr>
      </w:pPr>
      <w:r w:rsidRPr="005B0BC8">
        <w:t>• The County's unpreparedness directly endangers Landowners, as the County cannot effectively contain a BESS fire or prevent its resulting contamination from spreading through the environment</w:t>
      </w:r>
      <w:r>
        <w:t xml:space="preserve">…. </w:t>
      </w:r>
    </w:p>
    <w:p w14:paraId="36DC5934" w14:textId="77777777" w:rsidR="00822052" w:rsidRPr="002E6437" w:rsidRDefault="00822052" w:rsidP="00822052">
      <w:pPr>
        <w:pStyle w:val="NoSpacing"/>
        <w:ind w:left="1440"/>
        <w:rPr>
          <w:bCs/>
        </w:rPr>
      </w:pPr>
    </w:p>
    <w:p w14:paraId="3E56EDAB" w14:textId="77777777" w:rsidR="00822052" w:rsidRPr="00656164" w:rsidRDefault="00822052" w:rsidP="00822052">
      <w:pPr>
        <w:pStyle w:val="NoSpacing"/>
        <w:rPr>
          <w:bCs/>
        </w:rPr>
      </w:pPr>
      <w:r>
        <w:tab/>
        <w:t>***</w:t>
      </w:r>
    </w:p>
    <w:p w14:paraId="27E8816E" w14:textId="77777777" w:rsidR="00822052" w:rsidRPr="00656164" w:rsidRDefault="00822052" w:rsidP="00822052">
      <w:pPr>
        <w:pStyle w:val="NoSpacing"/>
        <w:rPr>
          <w:bCs/>
        </w:rPr>
      </w:pPr>
    </w:p>
    <w:p w14:paraId="1DBA174E" w14:textId="77777777" w:rsidR="00822052" w:rsidRDefault="00822052" w:rsidP="00822052">
      <w:pPr>
        <w:pStyle w:val="NoSpacing"/>
        <w:ind w:left="720"/>
      </w:pPr>
      <w:proofErr w:type="gramStart"/>
      <w:r w:rsidRPr="00DE129C">
        <w:t>Similarly</w:t>
      </w:r>
      <w:proofErr w:type="gramEnd"/>
      <w:r w:rsidRPr="00DE129C">
        <w:t xml:space="preserve"> here, we conclude that Landowners have sufficiently alleged facts that, if proven, would support their request for injunctive relief to redress a prospective nuisance that plausibly will be caused by the </w:t>
      </w:r>
      <w:proofErr w:type="spellStart"/>
      <w:r w:rsidRPr="00DE129C">
        <w:t>McBrooms</w:t>
      </w:r>
      <w:proofErr w:type="spellEnd"/>
      <w:r w:rsidRPr="00DE129C">
        <w:t xml:space="preserve">' and Staccato's imminent actions that will likely cause irreparable harm for which they would have no adequate remedy at law. Viewing the allegations liberally and making all reasonable inferences in Landowners' favor, as we must, we conclude that they have sufficiently pleaded that the </w:t>
      </w:r>
      <w:proofErr w:type="spellStart"/>
      <w:r w:rsidRPr="00DE129C">
        <w:t>McBrooms</w:t>
      </w:r>
      <w:proofErr w:type="spellEnd"/>
      <w:r w:rsidRPr="00DE129C">
        <w:t xml:space="preserve"> will indeed engage in the activity sought to be enjoined—allowing Staccato to construct and operate a BESS on their property without sufficient hazard-mitigation plans and measures in place, highlighted by Staccato's alleged demonstrable intent to construct and operate the BESS in such manner—to entitle Landowners to the relief sought and pass the hurdle of a Rule 91a motion. See Tex. R. Civ. P. 91a. Landowners' allegations are sufficient to state a cognizable claim for the court to exercise its equitable power to enjoin a prospective nuisance, if proven, see Huynh, 694 S.W.3d at 679, and the trial court erred in determining otherwise.</w:t>
      </w:r>
      <w:r>
        <w:t>”</w:t>
      </w:r>
    </w:p>
    <w:p w14:paraId="071CC39C" w14:textId="77777777" w:rsidR="00822052" w:rsidRDefault="00822052" w:rsidP="00822052">
      <w:pPr>
        <w:pStyle w:val="NoSpacing"/>
        <w:ind w:left="720"/>
      </w:pPr>
    </w:p>
    <w:p w14:paraId="7588FAF4" w14:textId="77777777" w:rsidR="00822052" w:rsidRPr="00CA65F9" w:rsidRDefault="00822052" w:rsidP="00822052">
      <w:pPr>
        <w:pStyle w:val="NoSpacing"/>
        <w:rPr>
          <w:b/>
          <w:bCs/>
        </w:rPr>
      </w:pPr>
      <w:r w:rsidRPr="00CA65F9">
        <w:rPr>
          <w:b/>
        </w:rPr>
        <w:t xml:space="preserve">Legal lesson learned: Texas currently lacks adequate regulations for BESS facilities; hazard-mitigation plan needed to address thermal runaway and other safety hazards. </w:t>
      </w:r>
    </w:p>
    <w:p w14:paraId="23106731" w14:textId="77777777" w:rsidR="00822052" w:rsidRDefault="00822052" w:rsidP="00822052">
      <w:pPr>
        <w:pStyle w:val="NoSpacing"/>
        <w:rPr>
          <w:bCs/>
        </w:rPr>
      </w:pPr>
    </w:p>
    <w:p w14:paraId="475382B7" w14:textId="77777777" w:rsidR="00822052" w:rsidRDefault="00822052" w:rsidP="00822052">
      <w:pPr>
        <w:pStyle w:val="NoSpacing"/>
        <w:rPr>
          <w:bCs/>
        </w:rPr>
      </w:pPr>
    </w:p>
    <w:p w14:paraId="69CA7DFF" w14:textId="77777777" w:rsidR="00822052" w:rsidRDefault="00822052" w:rsidP="00822052">
      <w:pPr>
        <w:pStyle w:val="NoSpacing"/>
        <w:rPr>
          <w:bCs/>
        </w:rPr>
      </w:pPr>
    </w:p>
    <w:p w14:paraId="75E3C56B" w14:textId="77777777" w:rsidR="00822052" w:rsidRDefault="00822052" w:rsidP="00037CB8">
      <w:pPr>
        <w:pStyle w:val="NoSpacing"/>
        <w:rPr>
          <w:rFonts w:ascii="Arial Black" w:hAnsi="Arial Black"/>
          <w:sz w:val="24"/>
          <w:szCs w:val="24"/>
        </w:rPr>
      </w:pPr>
    </w:p>
    <w:p w14:paraId="0543B1FA" w14:textId="77777777" w:rsidR="00387E6C" w:rsidRDefault="00387E6C" w:rsidP="00037CB8">
      <w:pPr>
        <w:pStyle w:val="NoSpacing"/>
        <w:rPr>
          <w:rFonts w:ascii="Arial Black" w:hAnsi="Arial Black"/>
          <w:sz w:val="24"/>
          <w:szCs w:val="24"/>
        </w:rPr>
      </w:pPr>
    </w:p>
    <w:p w14:paraId="1A6044C6" w14:textId="77777777" w:rsidR="00387E6C" w:rsidRDefault="00387E6C" w:rsidP="00037CB8">
      <w:pPr>
        <w:pStyle w:val="NoSpacing"/>
        <w:rPr>
          <w:rFonts w:ascii="Arial Black" w:hAnsi="Arial Black"/>
          <w:sz w:val="24"/>
          <w:szCs w:val="24"/>
        </w:rPr>
      </w:pPr>
    </w:p>
    <w:p w14:paraId="76950E13" w14:textId="77777777" w:rsidR="00387E6C" w:rsidRDefault="00387E6C" w:rsidP="00037CB8">
      <w:pPr>
        <w:pStyle w:val="NoSpacing"/>
        <w:rPr>
          <w:rFonts w:ascii="Arial Black" w:hAnsi="Arial Black"/>
          <w:sz w:val="24"/>
          <w:szCs w:val="24"/>
        </w:rPr>
      </w:pPr>
    </w:p>
    <w:p w14:paraId="62529162" w14:textId="77777777" w:rsidR="00387E6C" w:rsidRDefault="00387E6C" w:rsidP="00037CB8">
      <w:pPr>
        <w:pStyle w:val="NoSpacing"/>
        <w:rPr>
          <w:rFonts w:ascii="Arial Black" w:hAnsi="Arial Black"/>
          <w:sz w:val="24"/>
          <w:szCs w:val="24"/>
        </w:rPr>
      </w:pPr>
    </w:p>
    <w:p w14:paraId="5DD865EA" w14:textId="4F49EE94" w:rsidR="006C4753" w:rsidRDefault="006C4753" w:rsidP="00037CB8">
      <w:pPr>
        <w:pStyle w:val="NoSpacing"/>
        <w:rPr>
          <w:rFonts w:ascii="Arial Black" w:hAnsi="Arial Black"/>
          <w:sz w:val="24"/>
          <w:szCs w:val="24"/>
        </w:rPr>
      </w:pPr>
      <w:r>
        <w:rPr>
          <w:rFonts w:ascii="Arial Black" w:hAnsi="Arial Black"/>
          <w:sz w:val="24"/>
          <w:szCs w:val="24"/>
        </w:rPr>
        <w:t>1-206</w:t>
      </w:r>
    </w:p>
    <w:p w14:paraId="2C398EFF" w14:textId="77777777" w:rsidR="006C4753" w:rsidRDefault="006C4753" w:rsidP="00037CB8">
      <w:pPr>
        <w:pStyle w:val="NoSpacing"/>
        <w:rPr>
          <w:rFonts w:ascii="Arial Black" w:hAnsi="Arial Black"/>
          <w:sz w:val="24"/>
          <w:szCs w:val="24"/>
        </w:rPr>
      </w:pPr>
    </w:p>
    <w:p w14:paraId="1F787486" w14:textId="77777777" w:rsidR="00961DF4" w:rsidRPr="007F62AA" w:rsidRDefault="00961DF4" w:rsidP="00961DF4">
      <w:pPr>
        <w:pStyle w:val="NoSpacing"/>
        <w:rPr>
          <w:rFonts w:ascii="Arial Black" w:hAnsi="Arial Black"/>
          <w:b/>
          <w:sz w:val="28"/>
          <w:szCs w:val="28"/>
        </w:rPr>
      </w:pPr>
      <w:r>
        <w:rPr>
          <w:rFonts w:ascii="Arial Black" w:hAnsi="Arial Black"/>
          <w:b/>
          <w:sz w:val="28"/>
          <w:szCs w:val="28"/>
        </w:rPr>
        <w:t>TX: PUBLIC RECORDS - 19 CHILDREN / 2 TEACHERS KILLED</w:t>
      </w:r>
    </w:p>
    <w:p w14:paraId="6B1AFA8A" w14:textId="77777777" w:rsidR="00961DF4" w:rsidRDefault="00961DF4" w:rsidP="00961DF4">
      <w:pPr>
        <w:pStyle w:val="NoSpacing"/>
        <w:rPr>
          <w:b/>
        </w:rPr>
      </w:pPr>
    </w:p>
    <w:p w14:paraId="050A7360" w14:textId="77777777" w:rsidR="00961DF4" w:rsidRDefault="00961DF4" w:rsidP="00961DF4">
      <w:pPr>
        <w:pStyle w:val="NoSpacing"/>
        <w:rPr>
          <w:bCs/>
        </w:rPr>
      </w:pPr>
      <w:r w:rsidRPr="00BC7AD6">
        <w:t xml:space="preserve">On March 6, 2026, in </w:t>
      </w:r>
      <w:r w:rsidRPr="00BC7AD6">
        <w:rPr>
          <w:u w:val="single"/>
        </w:rPr>
        <w:t>Texas Department of Public Safety, et al. v. Texas Tribune, CBS News; Cable News Network, Inc., et al</w:t>
      </w:r>
      <w:r w:rsidRPr="00BC7AD6">
        <w:t>.</w:t>
      </w:r>
      <w:r>
        <w:t xml:space="preserve">, the Texas </w:t>
      </w:r>
      <w:r w:rsidRPr="008C739B">
        <w:t>Fifteenth Court of Appeals</w:t>
      </w:r>
      <w:r>
        <w:t xml:space="preserve"> held (3 to 0) that the trial court improperly granted summary judgment to news media for access to law enforcement records while District Attorney was actively interviewing witnesses. The prosecutor </w:t>
      </w:r>
      <w:r>
        <w:lastRenderedPageBreak/>
        <w:t xml:space="preserve">had filed an affidavit confirming </w:t>
      </w:r>
      <w:r w:rsidRPr="00932725">
        <w:t>that her office will be questioning many witnesses and needs</w:t>
      </w:r>
      <w:r>
        <w:t xml:space="preserve"> </w:t>
      </w:r>
      <w:r w:rsidRPr="00932725">
        <w:t xml:space="preserve">such </w:t>
      </w:r>
      <w:r>
        <w:t>“</w:t>
      </w:r>
      <w:r w:rsidRPr="00932725">
        <w:t>testimony to be uninfluenced by media accounts.</w:t>
      </w:r>
      <w:r>
        <w:t xml:space="preserve">” </w:t>
      </w:r>
    </w:p>
    <w:p w14:paraId="7CF8EB6F" w14:textId="77777777" w:rsidR="00961DF4" w:rsidRDefault="00961DF4" w:rsidP="00961DF4">
      <w:pPr>
        <w:pStyle w:val="NoSpacing"/>
        <w:rPr>
          <w:bCs/>
        </w:rPr>
      </w:pPr>
      <w:hyperlink r:id="rId24" w:history="1">
        <w:r w:rsidRPr="004D13CD">
          <w:rPr>
            <w:rStyle w:val="Hyperlink"/>
          </w:rPr>
          <w:t>https://cases.justia.com/texas/fifteenth-court-of-appeals/2026-15-24-00010-cv.pdf?ts=1772815197</w:t>
        </w:r>
      </w:hyperlink>
      <w:r>
        <w:t xml:space="preserve"> </w:t>
      </w:r>
    </w:p>
    <w:p w14:paraId="746CFF0D" w14:textId="77777777" w:rsidR="00961DF4" w:rsidRDefault="00961DF4" w:rsidP="00961DF4">
      <w:pPr>
        <w:pStyle w:val="NoSpacing"/>
        <w:rPr>
          <w:bCs/>
        </w:rPr>
      </w:pPr>
    </w:p>
    <w:p w14:paraId="14818E23" w14:textId="77777777" w:rsidR="00961DF4" w:rsidRDefault="00961DF4" w:rsidP="00961DF4">
      <w:pPr>
        <w:pStyle w:val="NoSpacing"/>
        <w:rPr>
          <w:bCs/>
        </w:rPr>
      </w:pPr>
      <w:r>
        <w:t>THE COURT HELD:  “</w:t>
      </w:r>
      <w:r w:rsidRPr="009A68DF">
        <w:t>On May 24, 2022, an 18-year-old former student of Robb Elementary in</w:t>
      </w:r>
      <w:r>
        <w:t xml:space="preserve"> </w:t>
      </w:r>
      <w:r w:rsidRPr="009A68DF">
        <w:t>Uvalde shot his grandmother, crashed her truck in a ditch near the school, made his</w:t>
      </w:r>
      <w:r>
        <w:t xml:space="preserve"> </w:t>
      </w:r>
      <w:r w:rsidRPr="009A68DF">
        <w:t>way to the school, and killed twenty-one people and injured seventeen others. Three</w:t>
      </w:r>
      <w:r>
        <w:t xml:space="preserve"> </w:t>
      </w:r>
      <w:r w:rsidRPr="009A68DF">
        <w:t>hundred and seventy-six officers from almost two dozen state, federal, and local law</w:t>
      </w:r>
      <w:r>
        <w:t xml:space="preserve"> </w:t>
      </w:r>
      <w:r w:rsidRPr="009A68DF">
        <w:t>enforcement agencies responded to the shooting, including ninety-one from DPS.</w:t>
      </w:r>
      <w:r>
        <w:t xml:space="preserve"> </w:t>
      </w:r>
      <w:r w:rsidRPr="009A68DF">
        <w:t>Although some arrived within minutes of the gunman, approximately seventy-four</w:t>
      </w:r>
      <w:r>
        <w:t xml:space="preserve"> </w:t>
      </w:r>
      <w:r w:rsidRPr="009A68DF">
        <w:t>minutes elapsed between the time the gunman entered the school and when officers</w:t>
      </w:r>
      <w:r>
        <w:t xml:space="preserve"> </w:t>
      </w:r>
      <w:r w:rsidRPr="009A68DF">
        <w:t>breached the room where he was located and killed him. The loss of life and time it</w:t>
      </w:r>
      <w:r>
        <w:t xml:space="preserve"> </w:t>
      </w:r>
      <w:r w:rsidRPr="009A68DF">
        <w:t>took to neutralize the gunman immediately prompted questions about law</w:t>
      </w:r>
      <w:r>
        <w:t xml:space="preserve"> </w:t>
      </w:r>
      <w:r w:rsidRPr="009A68DF">
        <w:t>enforcement’s response.</w:t>
      </w:r>
    </w:p>
    <w:p w14:paraId="4936844B" w14:textId="77777777" w:rsidR="00961DF4" w:rsidRDefault="00961DF4" w:rsidP="00961DF4">
      <w:pPr>
        <w:pStyle w:val="NoSpacing"/>
        <w:rPr>
          <w:bCs/>
        </w:rPr>
      </w:pPr>
    </w:p>
    <w:p w14:paraId="4B7E1832" w14:textId="77777777" w:rsidR="00961DF4" w:rsidRDefault="00961DF4" w:rsidP="00961DF4">
      <w:pPr>
        <w:pStyle w:val="NoSpacing"/>
        <w:rPr>
          <w:bCs/>
        </w:rPr>
      </w:pPr>
      <w:r>
        <w:t>***</w:t>
      </w:r>
    </w:p>
    <w:p w14:paraId="3F732608" w14:textId="77777777" w:rsidR="00961DF4" w:rsidRDefault="00961DF4" w:rsidP="00961DF4">
      <w:pPr>
        <w:pStyle w:val="NoSpacing"/>
        <w:rPr>
          <w:bCs/>
        </w:rPr>
      </w:pPr>
    </w:p>
    <w:p w14:paraId="3F86E203" w14:textId="77777777" w:rsidR="00961DF4" w:rsidRDefault="00961DF4" w:rsidP="00961DF4">
      <w:pPr>
        <w:pStyle w:val="NoSpacing"/>
        <w:rPr>
          <w:bCs/>
        </w:rPr>
      </w:pPr>
      <w:r>
        <w:t xml:space="preserve">[District Attorney] </w:t>
      </w:r>
      <w:r w:rsidRPr="00932725">
        <w:t>Mitchell opined that her office will be questioning many witnesses and needs</w:t>
      </w:r>
      <w:r>
        <w:t xml:space="preserve"> </w:t>
      </w:r>
      <w:r w:rsidRPr="00932725">
        <w:t xml:space="preserve">such </w:t>
      </w:r>
      <w:r>
        <w:t>‘</w:t>
      </w:r>
      <w:r w:rsidRPr="00932725">
        <w:t>testimony to be uninfluenced by media accounts.</w:t>
      </w:r>
      <w:r>
        <w:t xml:space="preserve">’ </w:t>
      </w:r>
      <w:r w:rsidRPr="00932725">
        <w:t xml:space="preserve"> She alleged that this has</w:t>
      </w:r>
      <w:r>
        <w:t xml:space="preserve"> </w:t>
      </w:r>
      <w:r w:rsidRPr="00932725">
        <w:t xml:space="preserve">already become an issue as one interviewed witness </w:t>
      </w:r>
      <w:proofErr w:type="gramStart"/>
      <w:r w:rsidRPr="00932725">
        <w:t>said</w:t>
      </w:r>
      <w:proofErr w:type="gramEnd"/>
      <w:r w:rsidRPr="00932725">
        <w:t xml:space="preserve"> </w:t>
      </w:r>
      <w:r>
        <w:t>‘</w:t>
      </w:r>
      <w:r w:rsidRPr="00932725">
        <w:t>that they cannot remember</w:t>
      </w:r>
      <w:r>
        <w:t xml:space="preserve"> </w:t>
      </w:r>
      <w:r w:rsidRPr="00932725">
        <w:t xml:space="preserve">if what they are </w:t>
      </w:r>
      <w:proofErr w:type="spellStart"/>
      <w:r w:rsidRPr="00932725">
        <w:t>stating</w:t>
      </w:r>
      <w:proofErr w:type="spellEnd"/>
      <w:r w:rsidRPr="00932725">
        <w:t xml:space="preserve"> to investigators is their individual and personal recollection</w:t>
      </w:r>
      <w:r>
        <w:t xml:space="preserve"> </w:t>
      </w:r>
      <w:r w:rsidRPr="00932725">
        <w:t>from the event or from events reported by and in the media.</w:t>
      </w:r>
      <w:r>
        <w:t>’</w:t>
      </w:r>
      <w:r w:rsidRPr="00932725">
        <w:t xml:space="preserve"> At bottom, Mitchell</w:t>
      </w:r>
      <w:r>
        <w:t xml:space="preserve"> </w:t>
      </w:r>
      <w:r w:rsidRPr="00932725">
        <w:t xml:space="preserve">opined that disclosing the information </w:t>
      </w:r>
      <w:r>
        <w:t>‘</w:t>
      </w:r>
      <w:r w:rsidRPr="00932725">
        <w:t>would ultimately leave [her] office, the</w:t>
      </w:r>
      <w:r>
        <w:t xml:space="preserve"> </w:t>
      </w:r>
      <w:r w:rsidRPr="00932725">
        <w:t>families of the deceased and injured children, the other victims, and the overall</w:t>
      </w:r>
      <w:r>
        <w:t xml:space="preserve"> </w:t>
      </w:r>
      <w:r w:rsidRPr="00932725">
        <w:t>Uvalde community with an investigation for which a valid prosecution could not be</w:t>
      </w:r>
      <w:r>
        <w:t xml:space="preserve"> </w:t>
      </w:r>
      <w:proofErr w:type="gramStart"/>
      <w:r w:rsidRPr="00932725">
        <w:t>dependent.</w:t>
      </w:r>
      <w:r>
        <w:t>’</w:t>
      </w:r>
      <w:proofErr w:type="gramEnd"/>
    </w:p>
    <w:p w14:paraId="34997684" w14:textId="77777777" w:rsidR="00961DF4" w:rsidRDefault="00961DF4" w:rsidP="00961DF4">
      <w:pPr>
        <w:pStyle w:val="NoSpacing"/>
        <w:rPr>
          <w:bCs/>
        </w:rPr>
      </w:pPr>
    </w:p>
    <w:p w14:paraId="7E646F3B" w14:textId="77777777" w:rsidR="00961DF4" w:rsidRDefault="00961DF4" w:rsidP="00961DF4">
      <w:pPr>
        <w:pStyle w:val="NoSpacing"/>
        <w:rPr>
          <w:bCs/>
        </w:rPr>
      </w:pPr>
      <w:r>
        <w:t>***</w:t>
      </w:r>
    </w:p>
    <w:p w14:paraId="6E0C1CFF" w14:textId="77777777" w:rsidR="00961DF4" w:rsidRDefault="00961DF4" w:rsidP="00961DF4">
      <w:pPr>
        <w:pStyle w:val="NoSpacing"/>
        <w:rPr>
          <w:bCs/>
        </w:rPr>
      </w:pPr>
    </w:p>
    <w:p w14:paraId="61C1587F" w14:textId="77777777" w:rsidR="00961DF4" w:rsidRDefault="00961DF4" w:rsidP="00961DF4">
      <w:pPr>
        <w:pStyle w:val="NoSpacing"/>
        <w:rPr>
          <w:bCs/>
        </w:rPr>
      </w:pPr>
    </w:p>
    <w:p w14:paraId="516CF5B3" w14:textId="77777777" w:rsidR="00961DF4" w:rsidRDefault="00961DF4" w:rsidP="00961DF4">
      <w:pPr>
        <w:pStyle w:val="NoSpacing"/>
        <w:rPr>
          <w:bCs/>
        </w:rPr>
      </w:pPr>
      <w:r>
        <w:t>[W]</w:t>
      </w:r>
      <w:r w:rsidRPr="00D15E6B">
        <w:t>e</w:t>
      </w:r>
      <w:r>
        <w:t xml:space="preserve"> </w:t>
      </w:r>
      <w:proofErr w:type="gramStart"/>
      <w:r w:rsidRPr="00D15E6B">
        <w:t>hold</w:t>
      </w:r>
      <w:proofErr w:type="gramEnd"/>
      <w:r w:rsidRPr="00D15E6B">
        <w:t xml:space="preserve"> that DPS carried its burden of supplying more than a mere </w:t>
      </w:r>
      <w:proofErr w:type="gramStart"/>
      <w:r w:rsidRPr="00D15E6B">
        <w:t>scintilla</w:t>
      </w:r>
      <w:proofErr w:type="gramEnd"/>
      <w:r w:rsidRPr="00D15E6B">
        <w:t xml:space="preserve"> of evidence</w:t>
      </w:r>
      <w:r>
        <w:t xml:space="preserve"> </w:t>
      </w:r>
      <w:r w:rsidRPr="00D15E6B">
        <w:t>to support the law enforcement’s exception’s application. Significantly, we do not</w:t>
      </w:r>
      <w:r>
        <w:t xml:space="preserve"> </w:t>
      </w:r>
      <w:r w:rsidRPr="00D15E6B">
        <w:t>hold that each file and video clip contained in the massive volume of responsive</w:t>
      </w:r>
      <w:r>
        <w:t xml:space="preserve"> </w:t>
      </w:r>
      <w:r w:rsidRPr="00D15E6B">
        <w:t>information is forever shielded from public view. Rather, we conclude that DPS</w:t>
      </w:r>
      <w:r>
        <w:t xml:space="preserve"> </w:t>
      </w:r>
      <w:r w:rsidRPr="00D15E6B">
        <w:t>cleared the bar of defeating a summary judgment with respect to the responsive</w:t>
      </w:r>
      <w:r>
        <w:t xml:space="preserve"> </w:t>
      </w:r>
      <w:r w:rsidRPr="00D15E6B">
        <w:t>information and is entitled to proceed to a trial. At trial, DPS will bear the burden of</w:t>
      </w:r>
      <w:r>
        <w:t xml:space="preserve"> </w:t>
      </w:r>
      <w:r w:rsidRPr="00D15E6B">
        <w:t>proving that the information sought qualifies for the law enforcement exception to</w:t>
      </w:r>
      <w:r>
        <w:t xml:space="preserve"> </w:t>
      </w:r>
      <w:r w:rsidRPr="00D15E6B">
        <w:t>disclosure. But that was not DPS’s burden at this early juncture.</w:t>
      </w:r>
      <w:r>
        <w:t>:</w:t>
      </w:r>
    </w:p>
    <w:p w14:paraId="5C1AADA4" w14:textId="77777777" w:rsidR="00961DF4" w:rsidRDefault="00961DF4" w:rsidP="00961DF4">
      <w:pPr>
        <w:pStyle w:val="NoSpacing"/>
        <w:rPr>
          <w:bCs/>
        </w:rPr>
      </w:pPr>
    </w:p>
    <w:p w14:paraId="06844FB6" w14:textId="77777777" w:rsidR="00961DF4" w:rsidRPr="002C6D76" w:rsidRDefault="00961DF4" w:rsidP="00961DF4">
      <w:pPr>
        <w:pStyle w:val="NoSpacing"/>
        <w:rPr>
          <w:b/>
        </w:rPr>
      </w:pPr>
      <w:r>
        <w:rPr>
          <w:b/>
        </w:rPr>
        <w:t xml:space="preserve">Legal lesson learned: Public records requests must be balanced against the need for investigators to interview witnesses without being influenced by the media. </w:t>
      </w:r>
    </w:p>
    <w:p w14:paraId="54C18782" w14:textId="77777777" w:rsidR="00961DF4" w:rsidRDefault="00961DF4" w:rsidP="00037CB8">
      <w:pPr>
        <w:pStyle w:val="NoSpacing"/>
        <w:rPr>
          <w:rFonts w:ascii="Arial Black" w:hAnsi="Arial Black"/>
          <w:sz w:val="24"/>
          <w:szCs w:val="24"/>
        </w:rPr>
      </w:pPr>
    </w:p>
    <w:p w14:paraId="66E60D30" w14:textId="77777777" w:rsidR="006C4753" w:rsidRDefault="006C4753" w:rsidP="00037CB8">
      <w:pPr>
        <w:pStyle w:val="NoSpacing"/>
        <w:rPr>
          <w:rFonts w:ascii="Arial Black" w:hAnsi="Arial Black"/>
          <w:sz w:val="24"/>
          <w:szCs w:val="24"/>
        </w:rPr>
      </w:pPr>
    </w:p>
    <w:p w14:paraId="44C9B4F5" w14:textId="77777777" w:rsidR="006C4753" w:rsidRDefault="006C4753" w:rsidP="00037CB8">
      <w:pPr>
        <w:pStyle w:val="NoSpacing"/>
        <w:rPr>
          <w:rFonts w:ascii="Arial Black" w:hAnsi="Arial Black"/>
          <w:sz w:val="24"/>
          <w:szCs w:val="24"/>
        </w:rPr>
      </w:pPr>
    </w:p>
    <w:p w14:paraId="76BADCF2" w14:textId="2294E2B3" w:rsidR="007A0B60" w:rsidRDefault="007A0B60" w:rsidP="00037CB8">
      <w:pPr>
        <w:pStyle w:val="NoSpacing"/>
        <w:rPr>
          <w:rFonts w:ascii="Arial Black" w:hAnsi="Arial Black"/>
          <w:sz w:val="24"/>
          <w:szCs w:val="24"/>
        </w:rPr>
      </w:pPr>
      <w:r>
        <w:rPr>
          <w:rFonts w:ascii="Arial Black" w:hAnsi="Arial Black"/>
          <w:sz w:val="24"/>
          <w:szCs w:val="24"/>
        </w:rPr>
        <w:t>1-205</w:t>
      </w:r>
    </w:p>
    <w:p w14:paraId="34826ACD" w14:textId="77777777" w:rsidR="007A0B60" w:rsidRDefault="007A0B60" w:rsidP="00037CB8">
      <w:pPr>
        <w:pStyle w:val="NoSpacing"/>
        <w:rPr>
          <w:rFonts w:ascii="Arial Black" w:hAnsi="Arial Black"/>
          <w:sz w:val="24"/>
          <w:szCs w:val="24"/>
        </w:rPr>
      </w:pPr>
    </w:p>
    <w:p w14:paraId="11A11520" w14:textId="77777777" w:rsidR="007A0B60" w:rsidRPr="007076A7" w:rsidRDefault="007A0B60" w:rsidP="007A0B60">
      <w:pPr>
        <w:pStyle w:val="NoSpacing"/>
        <w:rPr>
          <w:rFonts w:ascii="Arial Black" w:hAnsi="Arial Black"/>
          <w:b/>
          <w:sz w:val="28"/>
          <w:szCs w:val="28"/>
        </w:rPr>
      </w:pPr>
      <w:r>
        <w:rPr>
          <w:rFonts w:ascii="Arial Black" w:hAnsi="Arial Black"/>
          <w:b/>
          <w:sz w:val="28"/>
          <w:szCs w:val="28"/>
        </w:rPr>
        <w:t>CA: ARSON / MJ GROW IN BLDG / CITY KNEW - IMMUNITY</w:t>
      </w:r>
    </w:p>
    <w:p w14:paraId="6BB4154F" w14:textId="77777777" w:rsidR="007A0B60" w:rsidRDefault="007A0B60" w:rsidP="007A0B60">
      <w:pPr>
        <w:pStyle w:val="NoSpacing"/>
        <w:rPr>
          <w:bCs/>
        </w:rPr>
      </w:pPr>
    </w:p>
    <w:p w14:paraId="76A269BD" w14:textId="77777777" w:rsidR="007A0B60" w:rsidRPr="00867718" w:rsidRDefault="007A0B60" w:rsidP="007A0B60">
      <w:pPr>
        <w:pStyle w:val="NoSpacing"/>
      </w:pPr>
      <w:r>
        <w:t xml:space="preserve">On February 24, 2026, in </w:t>
      </w:r>
      <w:r w:rsidRPr="004C7E3E">
        <w:rPr>
          <w:u w:val="single"/>
        </w:rPr>
        <w:t xml:space="preserve">Pink </w:t>
      </w:r>
      <w:proofErr w:type="spellStart"/>
      <w:r w:rsidRPr="004C7E3E">
        <w:rPr>
          <w:u w:val="single"/>
        </w:rPr>
        <w:t>Selkin</w:t>
      </w:r>
      <w:proofErr w:type="spellEnd"/>
      <w:r w:rsidRPr="004C7E3E">
        <w:rPr>
          <w:u w:val="single"/>
        </w:rPr>
        <w:t>, et al. v. City of Los Angeles</w:t>
      </w:r>
      <w:r>
        <w:t xml:space="preserve">, the </w:t>
      </w:r>
      <w:r w:rsidRPr="004C7E3E">
        <w:t>California Court of Appeals, Second District, Fifth Division</w:t>
      </w:r>
      <w:r>
        <w:t xml:space="preserve"> held (3 to 0) that trial court properly dismissed the lawsuit be individuals living in the commercial building who were injured in the arson fire.  While police on prior occasions observed safety issues in the building, and </w:t>
      </w:r>
      <w:r w:rsidRPr="00E864A2">
        <w:t xml:space="preserve">the fire department received two customer service requests regarding an alleged marijuana grow operation at the property, </w:t>
      </w:r>
      <w:r>
        <w:t>which were forwarded t</w:t>
      </w:r>
      <w:r w:rsidRPr="00E864A2">
        <w:t>o the Los Angeles Department of Building and Safety (DBS)</w:t>
      </w:r>
      <w:r>
        <w:t xml:space="preserve">, there is governmental immunity for the </w:t>
      </w:r>
      <w:r w:rsidRPr="00F126CC">
        <w:t>City of Los Angeles under the Government Claims Act under section 815.6, based on its failure to carry out a mandatory duty to abate obvious building and safety code violations.</w:t>
      </w:r>
      <w:r>
        <w:t xml:space="preserve">  </w:t>
      </w:r>
      <w:hyperlink r:id="rId25" w:history="1">
        <w:r w:rsidRPr="00867718">
          <w:rPr>
            <w:rStyle w:val="Hyperlink"/>
          </w:rPr>
          <w:t>https://public.fastcase.com/Jhe1Qn%2BmJndQYQU6z%2FeNm57E189vmSMp%2BOS67ay8wFWitKPcCGY4GMdxJS93bY4IOZ1rR%2BpqLAwnmO1MhhKsFw8mOzyCAgo2oZ0ZZPsNViU%3D?utm_medium=email&amp;_hsenc=p2ANqtz-_RDDEsF8WYWrAIUyd_V4g0U3Z9WIVpc4wUXBmJG03XH_ukvjIDW01jf2KlbNNNJy_jYwJIbAOIzBm1vMJk5QjVjhiSog&amp;_hsmi=226712652&amp;utm_content=226712652&amp;utm_source=hs_email</w:t>
        </w:r>
      </w:hyperlink>
      <w:r w:rsidRPr="00867718">
        <w:t xml:space="preserve"> </w:t>
      </w:r>
    </w:p>
    <w:p w14:paraId="4FBF632E" w14:textId="77777777" w:rsidR="007A0B60" w:rsidRDefault="007A0B60" w:rsidP="007A0B60">
      <w:pPr>
        <w:pStyle w:val="NoSpacing"/>
      </w:pPr>
    </w:p>
    <w:p w14:paraId="7C4CCEB9" w14:textId="77777777" w:rsidR="007A0B60" w:rsidRPr="00E864A2" w:rsidRDefault="007A0B60" w:rsidP="007A0B60">
      <w:pPr>
        <w:pStyle w:val="NoSpacing"/>
      </w:pPr>
      <w:r>
        <w:t>THE COURT HELD: “</w:t>
      </w:r>
      <w:r w:rsidRPr="009913E2">
        <w:t xml:space="preserve">This case arises from an arson fire at a commercial building in Los Angeles which killed two individuals. The survivors of the deceased filed several suits against the </w:t>
      </w:r>
      <w:proofErr w:type="gramStart"/>
      <w:r w:rsidRPr="009913E2">
        <w:t>City</w:t>
      </w:r>
      <w:proofErr w:type="gramEnd"/>
      <w:r w:rsidRPr="009913E2">
        <w:t xml:space="preserve">. Pink </w:t>
      </w:r>
      <w:proofErr w:type="spellStart"/>
      <w:r w:rsidRPr="009913E2">
        <w:t>Selkin</w:t>
      </w:r>
      <w:proofErr w:type="spellEnd"/>
      <w:r w:rsidRPr="009913E2">
        <w:t xml:space="preserve">, who was also trapped in the fire and survived, filed a separate suit, seeking damages for her permanent injuries, including severe burns over more than three-quarters of her body. </w:t>
      </w:r>
      <w:r>
        <w:t xml:space="preserve"> </w:t>
      </w:r>
      <w:r w:rsidRPr="009913E2">
        <w:t>Plaintiffs' theory of liability is that because City employees had actual knowledge of obvious fire safety hazards, the City had a mandatory duty to ensure that the substandard conditions were addressed, and because the City's knowledge was not in any way related to a building inspection, the inspection immunity statute does not protect the City from liability for its failure to fulfill its mandatory duties</w:t>
      </w:r>
      <w:r>
        <w:t xml:space="preserve">…. </w:t>
      </w:r>
      <w:r w:rsidRPr="00E864A2">
        <w:t>A</w:t>
      </w:r>
      <w:r>
        <w:t xml:space="preserve"> </w:t>
      </w:r>
      <w:r w:rsidRPr="00E864A2">
        <w:t xml:space="preserve"> DBS </w:t>
      </w:r>
      <w:r>
        <w:t>[</w:t>
      </w:r>
      <w:r w:rsidRPr="00E864A2">
        <w:t>Department of Building and Safety</w:t>
      </w:r>
      <w:r>
        <w:t>]</w:t>
      </w:r>
      <w:r w:rsidRPr="00E864A2">
        <w:t xml:space="preserve"> staff member testified that DBS is not trained in matters concerning unlawful growing of marijuana, however, and therefore DBS forwarded the requests to the police department.</w:t>
      </w:r>
      <w:r w:rsidRPr="00E864A2">
        <w:rPr>
          <w:vertAlign w:val="superscript"/>
        </w:rPr>
        <w:t>[</w:t>
      </w:r>
      <w:hyperlink r:id="rId26" w:anchor="ftn.FN3" w:history="1">
        <w:r w:rsidRPr="00E864A2">
          <w:rPr>
            <w:rStyle w:val="Hyperlink"/>
            <w:vertAlign w:val="superscript"/>
          </w:rPr>
          <w:t>3</w:t>
        </w:r>
      </w:hyperlink>
      <w:r w:rsidRPr="00E864A2">
        <w:rPr>
          <w:vertAlign w:val="superscript"/>
        </w:rPr>
        <w:t>]</w:t>
      </w:r>
    </w:p>
    <w:p w14:paraId="29A38871" w14:textId="77777777" w:rsidR="007A0B60" w:rsidRDefault="007A0B60" w:rsidP="007A0B60">
      <w:pPr>
        <w:pStyle w:val="NoSpacing"/>
      </w:pPr>
    </w:p>
    <w:p w14:paraId="01B62CFF" w14:textId="77777777" w:rsidR="007A0B60" w:rsidRDefault="007A0B60" w:rsidP="007A0B60">
      <w:pPr>
        <w:pStyle w:val="NoSpacing"/>
        <w:ind w:left="720"/>
        <w:rPr>
          <w:bCs/>
        </w:rPr>
      </w:pPr>
      <w:r>
        <w:t xml:space="preserve">Footnote 3: </w:t>
      </w:r>
      <w:r w:rsidRPr="00545AD8">
        <w:t>Based upon the appellate briefing and the trial court's minute order, we understand that no party presented evidence that any DBS personnel inspected the property or personally observed any substandard conditions of the property.</w:t>
      </w:r>
    </w:p>
    <w:p w14:paraId="44E8F33A" w14:textId="77777777" w:rsidR="007A0B60" w:rsidRDefault="007A0B60" w:rsidP="007A0B60">
      <w:pPr>
        <w:pStyle w:val="NoSpacing"/>
      </w:pPr>
    </w:p>
    <w:p w14:paraId="37C7C194" w14:textId="77777777" w:rsidR="007A0B60" w:rsidRDefault="007A0B60" w:rsidP="007A0B60">
      <w:pPr>
        <w:pStyle w:val="NoSpacing"/>
      </w:pPr>
      <w:r w:rsidRPr="00BB5BC7">
        <w:t xml:space="preserve">However, </w:t>
      </w:r>
      <w:r>
        <w:t xml:space="preserve">[Government Code] </w:t>
      </w:r>
      <w:r w:rsidRPr="00BB5BC7">
        <w:t xml:space="preserve">section 818.6 provides a specific statutory immunity for inspections: </w:t>
      </w:r>
      <w:r>
        <w:t>‘</w:t>
      </w:r>
      <w:r w:rsidRPr="00BB5BC7">
        <w:t>A public entity is not liable for injury caused by its failure to make an inspection, or by reason of making an inadequate or negligent inspection . . . for the purpose of determining whether the property complies with or violates any enactment or contains or constitutes a hazard to health or safety.</w:t>
      </w:r>
      <w:r>
        <w:t>’”</w:t>
      </w:r>
    </w:p>
    <w:p w14:paraId="055A1C84" w14:textId="77777777" w:rsidR="007A0B60" w:rsidRDefault="007A0B60" w:rsidP="007A0B60">
      <w:pPr>
        <w:pStyle w:val="NoSpacing"/>
      </w:pPr>
    </w:p>
    <w:p w14:paraId="6D04ADF2" w14:textId="77777777" w:rsidR="007A0B60" w:rsidRPr="00CC7E78" w:rsidRDefault="007A0B60" w:rsidP="007A0B60">
      <w:pPr>
        <w:pStyle w:val="NoSpacing"/>
        <w:rPr>
          <w:b/>
          <w:bCs/>
        </w:rPr>
      </w:pPr>
      <w:r>
        <w:rPr>
          <w:b/>
        </w:rPr>
        <w:t xml:space="preserve">Legal lesson learned: There is broad statutory immunity for failure to inspect, or apparently also for failure to follow up.  </w:t>
      </w:r>
      <w:r w:rsidRPr="00CC7E78">
        <w:rPr>
          <w:b/>
        </w:rPr>
        <w:t xml:space="preserve">LA’s </w:t>
      </w:r>
      <w:r w:rsidRPr="00E864A2">
        <w:rPr>
          <w:b/>
        </w:rPr>
        <w:t>Department of Building and Safety</w:t>
      </w:r>
      <w:r>
        <w:rPr>
          <w:b/>
        </w:rPr>
        <w:t xml:space="preserve"> needs a protocol on handling calls for marijuana growth operations in buildings. </w:t>
      </w:r>
    </w:p>
    <w:p w14:paraId="67920D61" w14:textId="77777777" w:rsidR="007A0B60" w:rsidRDefault="007A0B60" w:rsidP="007A0B60">
      <w:pPr>
        <w:pStyle w:val="NoSpacing"/>
      </w:pPr>
    </w:p>
    <w:p w14:paraId="07D8EE6A" w14:textId="77777777" w:rsidR="007A0B60" w:rsidRDefault="007A0B60" w:rsidP="00037CB8">
      <w:pPr>
        <w:pStyle w:val="NoSpacing"/>
        <w:rPr>
          <w:rFonts w:ascii="Arial Black" w:hAnsi="Arial Black"/>
          <w:sz w:val="24"/>
          <w:szCs w:val="24"/>
        </w:rPr>
      </w:pPr>
    </w:p>
    <w:p w14:paraId="3A992096" w14:textId="77777777" w:rsidR="00E5401A" w:rsidRDefault="00E5401A" w:rsidP="00037CB8">
      <w:pPr>
        <w:pStyle w:val="NoSpacing"/>
        <w:rPr>
          <w:rFonts w:ascii="Arial Black" w:hAnsi="Arial Black"/>
          <w:sz w:val="24"/>
          <w:szCs w:val="24"/>
        </w:rPr>
      </w:pPr>
    </w:p>
    <w:p w14:paraId="22D9E2B8" w14:textId="664D3078" w:rsidR="00E5401A" w:rsidRDefault="00E5401A" w:rsidP="00037CB8">
      <w:pPr>
        <w:pStyle w:val="NoSpacing"/>
        <w:rPr>
          <w:rFonts w:ascii="Arial Black" w:hAnsi="Arial Black"/>
          <w:sz w:val="24"/>
          <w:szCs w:val="24"/>
        </w:rPr>
      </w:pPr>
      <w:r>
        <w:rPr>
          <w:rFonts w:ascii="Arial Black" w:hAnsi="Arial Black"/>
          <w:sz w:val="24"/>
          <w:szCs w:val="24"/>
        </w:rPr>
        <w:t>1-20</w:t>
      </w:r>
      <w:r w:rsidR="00345B75">
        <w:rPr>
          <w:rFonts w:ascii="Arial Black" w:hAnsi="Arial Black"/>
          <w:sz w:val="24"/>
          <w:szCs w:val="24"/>
        </w:rPr>
        <w:t>4</w:t>
      </w:r>
    </w:p>
    <w:p w14:paraId="2CF5CB94" w14:textId="77777777" w:rsidR="00345B75" w:rsidRDefault="00345B75" w:rsidP="00037CB8">
      <w:pPr>
        <w:pStyle w:val="NoSpacing"/>
        <w:rPr>
          <w:rFonts w:ascii="Arial Black" w:hAnsi="Arial Black"/>
          <w:sz w:val="24"/>
          <w:szCs w:val="24"/>
        </w:rPr>
      </w:pPr>
    </w:p>
    <w:p w14:paraId="7D6B2F26" w14:textId="77777777" w:rsidR="00345B75" w:rsidRDefault="00345B75" w:rsidP="00345B75">
      <w:pPr>
        <w:pStyle w:val="NoSpacing"/>
        <w:rPr>
          <w:rFonts w:ascii="Arial Black" w:hAnsi="Arial Black"/>
          <w:bCs/>
          <w:sz w:val="28"/>
          <w:szCs w:val="28"/>
        </w:rPr>
      </w:pPr>
      <w:r>
        <w:rPr>
          <w:rFonts w:ascii="Arial Black" w:hAnsi="Arial Black"/>
          <w:sz w:val="28"/>
          <w:szCs w:val="28"/>
        </w:rPr>
        <w:t>CA: ARSON FOREST - DROUGHT / “BEETLE” – RE-SENTENCE</w:t>
      </w:r>
    </w:p>
    <w:p w14:paraId="13FCCB3B" w14:textId="77777777" w:rsidR="00345B75" w:rsidRDefault="00345B75" w:rsidP="00345B75">
      <w:pPr>
        <w:pStyle w:val="NoSpacing"/>
        <w:rPr>
          <w:rFonts w:ascii="Arial Black" w:hAnsi="Arial Black"/>
          <w:bCs/>
          <w:sz w:val="28"/>
          <w:szCs w:val="28"/>
        </w:rPr>
      </w:pPr>
    </w:p>
    <w:p w14:paraId="640D44D0" w14:textId="77777777" w:rsidR="00345B75" w:rsidRDefault="00345B75" w:rsidP="00345B75">
      <w:pPr>
        <w:pStyle w:val="NoSpacing"/>
      </w:pPr>
      <w:r>
        <w:t xml:space="preserve">On February 17, 2026, in </w:t>
      </w:r>
      <w:r w:rsidRPr="00731068">
        <w:rPr>
          <w:u w:val="single"/>
        </w:rPr>
        <w:t>The People v. Derek J. Gutierrez</w:t>
      </w:r>
      <w:r>
        <w:t xml:space="preserve">, the California </w:t>
      </w:r>
      <w:r w:rsidRPr="00731068">
        <w:t>Court of Appeal, Fourth District, Division 1</w:t>
      </w:r>
      <w:r>
        <w:t xml:space="preserve"> held (3 to 0) that the trial court must resentence him; he received an enhanced prison term for setting fire to a forest during a declared state of emergency (drought caused beetle infestation filling millions of trees). </w:t>
      </w:r>
      <w:r w:rsidRPr="00CE6B93">
        <w:t xml:space="preserve">A jury convicted him of felony arson of forest land and found </w:t>
      </w:r>
      <w:proofErr w:type="gramStart"/>
      <w:r w:rsidRPr="00CE6B93">
        <w:t>true a</w:t>
      </w:r>
      <w:proofErr w:type="gramEnd"/>
      <w:r w:rsidRPr="00CE6B93">
        <w:t xml:space="preserve"> sentencing enhancement allegation that he set the fire "during and within an area" proclaimed by the Governor to be in a state of emergency. (Pen. Code, § 454, subd. (a)(2).) The enhancement elevates the sentencing triad for this type of arson by five, seven, or nine years.</w:t>
      </w:r>
      <w:r>
        <w:t xml:space="preserve"> However, the prosecutor failed to prove to the jury that the 2015 </w:t>
      </w:r>
      <w:r w:rsidRPr="00290677">
        <w:t xml:space="preserve">state of emergency </w:t>
      </w:r>
      <w:r>
        <w:t xml:space="preserve">applied to Riverside County when in December 2023 </w:t>
      </w:r>
      <w:r w:rsidRPr="003E03D1">
        <w:t>Derek J. Gutierrez was arrested for setting a fire</w:t>
      </w:r>
      <w:r>
        <w:t xml:space="preserve">.  </w:t>
      </w:r>
      <w:hyperlink r:id="rId27" w:history="1">
        <w:r w:rsidRPr="00125CD1">
          <w:rPr>
            <w:rStyle w:val="Hyperlink"/>
          </w:rPr>
          <w:t>https://www.casemine.com/judgement/us/6995c147d22bd43f3d89db5b</w:t>
        </w:r>
      </w:hyperlink>
      <w:r>
        <w:t xml:space="preserve"> </w:t>
      </w:r>
    </w:p>
    <w:p w14:paraId="6C15CA1C" w14:textId="77777777" w:rsidR="00345B75" w:rsidRDefault="00345B75" w:rsidP="00345B75">
      <w:pPr>
        <w:pStyle w:val="NoSpacing"/>
      </w:pPr>
    </w:p>
    <w:p w14:paraId="1AF77941" w14:textId="77777777" w:rsidR="00345B75" w:rsidRDefault="00345B75" w:rsidP="00345B75">
      <w:pPr>
        <w:pStyle w:val="NoSpacing"/>
      </w:pPr>
      <w:r>
        <w:t>THE COURT HELD:  “</w:t>
      </w:r>
      <w:r w:rsidRPr="003F7FB0">
        <w:t xml:space="preserve">On December 9, 2023, around 6:30 a.m., </w:t>
      </w:r>
      <w:r>
        <w:t xml:space="preserve">[property owner] </w:t>
      </w:r>
      <w:r w:rsidRPr="003F7FB0">
        <w:t xml:space="preserve">Jorge heard </w:t>
      </w:r>
      <w:r>
        <w:t>‘</w:t>
      </w:r>
      <w:r w:rsidRPr="003F7FB0">
        <w:t>yelling and screaming</w:t>
      </w:r>
      <w:r>
        <w:t>’</w:t>
      </w:r>
      <w:r w:rsidRPr="003F7FB0">
        <w:t xml:space="preserve"> outside. He drove up the hill to investigate. He stopped the truck near some bushes about halfway between his house and the mountains.</w:t>
      </w:r>
      <w:r>
        <w:t xml:space="preserve"> </w:t>
      </w:r>
      <w:r w:rsidRPr="007E21E1">
        <w:t>Gutierrez came out of the bushes wearing a backpack. He was about 100 or 200 feet from Jorge. Jorge recognized him because, about a year earlier, he had seen the owner of the property tell Gutierrez to leave the property and never come back.</w:t>
      </w:r>
      <w:r>
        <w:t xml:space="preserve"> </w:t>
      </w:r>
      <w:r w:rsidRPr="007E21E1">
        <w:t xml:space="preserve">Jorge asked Gutierrez what he was doing, and Gutierrez asked him for a beer. Jorge took a photograph of Gutierrez and told him he had no beer. Gutierrez went back into the bushes, and Jorge could no longer see him. A few minutes later, Jorge saw smoke coming from the bushes. He called the property owner, then 911. While Jorge was on the phone reporting the smoke to the 911 dispatcher, Gutierrez began walking down the hill while </w:t>
      </w:r>
      <w:r>
        <w:t>‘</w:t>
      </w:r>
      <w:proofErr w:type="gramStart"/>
      <w:r w:rsidRPr="007E21E1">
        <w:t>yelling, and</w:t>
      </w:r>
      <w:proofErr w:type="gramEnd"/>
      <w:r w:rsidRPr="007E21E1">
        <w:t xml:space="preserve"> saying something.</w:t>
      </w:r>
      <w:r>
        <w:t xml:space="preserve">’ </w:t>
      </w:r>
      <w:r w:rsidRPr="00C17AFF">
        <w:t>Firefighters from the Riverside County Fire Department arrived within 15 to 20 minutes. A fire captain noticed smoke as he approached. He saw a person standing near the location of the smoke. The person started walking down the hill through the forest toward Lakeland Village. The captain later identified the person as Gutierrez</w:t>
      </w:r>
      <w:r>
        <w:t xml:space="preserve">…. </w:t>
      </w:r>
      <w:r w:rsidRPr="003463CD">
        <w:t xml:space="preserve">The fire investigator headed back to where he had seen Gutierrez and found him walking on Grand Avenue about a mile </w:t>
      </w:r>
      <w:r w:rsidRPr="003463CD">
        <w:lastRenderedPageBreak/>
        <w:t>from the location of the fire. He arrested him and patted him down for weapons. According to the investigator, Gutierrez physically resisted when he tried to handcuff him. The investigator called for backup and eventually managed to place Gutierrez in the back of his CAL FIRE truck.</w:t>
      </w:r>
      <w:r>
        <w:t xml:space="preserve"> </w:t>
      </w:r>
      <w:r w:rsidRPr="0024559A">
        <w:t xml:space="preserve">The fire investigator found two lighters in Gutierrez's pocket and three lighters in his backpack and grocery bag. One of the lighters was a "small butane lighter" that was out of fuel. </w:t>
      </w:r>
      <w:r>
        <w:t xml:space="preserve">*** </w:t>
      </w:r>
      <w:r w:rsidRPr="000F17F2">
        <w:t>We agree with Gutierrez that this language in the proclamation does not declare a statewide state of emergency, but rather expressly limits the state of emergency to areas and zones of the state that were yet to be identified. Because the proclamation did not extend statewide, the People failed to prove Gutierrez committed arson during and within an area in a state of emergency.</w:t>
      </w:r>
      <w:r>
        <w:t>”</w:t>
      </w:r>
    </w:p>
    <w:p w14:paraId="22F36771" w14:textId="77777777" w:rsidR="00345B75" w:rsidRDefault="00345B75" w:rsidP="00345B75">
      <w:pPr>
        <w:pStyle w:val="NoSpacing"/>
      </w:pPr>
    </w:p>
    <w:p w14:paraId="5EB268CB" w14:textId="6ED40FB2" w:rsidR="00345B75" w:rsidRDefault="00345B75" w:rsidP="00345B75">
      <w:pPr>
        <w:pStyle w:val="NoSpacing"/>
        <w:rPr>
          <w:rFonts w:ascii="Arial Black" w:hAnsi="Arial Black"/>
          <w:sz w:val="24"/>
          <w:szCs w:val="24"/>
        </w:rPr>
      </w:pPr>
      <w:r w:rsidRPr="001C250F">
        <w:rPr>
          <w:b/>
        </w:rPr>
        <w:t xml:space="preserve">Legal lesson learned: </w:t>
      </w:r>
      <w:r>
        <w:rPr>
          <w:b/>
        </w:rPr>
        <w:t>The defendant remains convicted of arson but must be re-sentenced</w:t>
      </w:r>
    </w:p>
    <w:p w14:paraId="28F3464D" w14:textId="77777777" w:rsidR="007A0B60" w:rsidRDefault="007A0B60" w:rsidP="00037CB8">
      <w:pPr>
        <w:pStyle w:val="NoSpacing"/>
        <w:rPr>
          <w:rFonts w:ascii="Arial Black" w:hAnsi="Arial Black"/>
          <w:sz w:val="24"/>
          <w:szCs w:val="24"/>
        </w:rPr>
      </w:pPr>
    </w:p>
    <w:p w14:paraId="0D27CD36" w14:textId="77777777" w:rsidR="007A0B60" w:rsidRDefault="007A0B60" w:rsidP="00037CB8">
      <w:pPr>
        <w:pStyle w:val="NoSpacing"/>
        <w:rPr>
          <w:rFonts w:ascii="Arial Black" w:hAnsi="Arial Black"/>
          <w:sz w:val="24"/>
          <w:szCs w:val="24"/>
        </w:rPr>
      </w:pPr>
    </w:p>
    <w:p w14:paraId="33FCA000" w14:textId="77777777" w:rsidR="007A0B60" w:rsidRDefault="007A0B60" w:rsidP="00037CB8">
      <w:pPr>
        <w:pStyle w:val="NoSpacing"/>
        <w:rPr>
          <w:rFonts w:ascii="Arial Black" w:hAnsi="Arial Black"/>
          <w:sz w:val="24"/>
          <w:szCs w:val="24"/>
        </w:rPr>
      </w:pPr>
    </w:p>
    <w:p w14:paraId="090EEFB9" w14:textId="77777777" w:rsidR="007A0B60" w:rsidRDefault="007A0B60" w:rsidP="00037CB8">
      <w:pPr>
        <w:pStyle w:val="NoSpacing"/>
        <w:rPr>
          <w:rFonts w:ascii="Arial Black" w:hAnsi="Arial Black"/>
          <w:sz w:val="24"/>
          <w:szCs w:val="24"/>
        </w:rPr>
      </w:pPr>
    </w:p>
    <w:p w14:paraId="6D66EA1B" w14:textId="77777777" w:rsidR="007A0B60" w:rsidRDefault="007A0B60" w:rsidP="00037CB8">
      <w:pPr>
        <w:pStyle w:val="NoSpacing"/>
        <w:rPr>
          <w:rFonts w:ascii="Arial Black" w:hAnsi="Arial Black"/>
          <w:sz w:val="24"/>
          <w:szCs w:val="24"/>
        </w:rPr>
      </w:pPr>
    </w:p>
    <w:p w14:paraId="7122DA9F" w14:textId="1D0F4215" w:rsidR="00D035D9" w:rsidRDefault="00C137EF" w:rsidP="00037CB8">
      <w:pPr>
        <w:pStyle w:val="NoSpacing"/>
        <w:rPr>
          <w:rFonts w:ascii="Arial Black" w:hAnsi="Arial Black"/>
          <w:sz w:val="24"/>
          <w:szCs w:val="24"/>
        </w:rPr>
      </w:pPr>
      <w:r>
        <w:rPr>
          <w:rFonts w:ascii="Arial Black" w:hAnsi="Arial Black"/>
          <w:sz w:val="24"/>
          <w:szCs w:val="24"/>
        </w:rPr>
        <w:t>1-20</w:t>
      </w:r>
      <w:r w:rsidR="0015512D">
        <w:rPr>
          <w:rFonts w:ascii="Arial Black" w:hAnsi="Arial Black"/>
          <w:sz w:val="24"/>
          <w:szCs w:val="24"/>
        </w:rPr>
        <w:t>3</w:t>
      </w:r>
    </w:p>
    <w:p w14:paraId="65FBB331" w14:textId="77777777" w:rsidR="00C137EF" w:rsidRDefault="00C137EF" w:rsidP="00037CB8">
      <w:pPr>
        <w:pStyle w:val="NoSpacing"/>
        <w:rPr>
          <w:rFonts w:ascii="Arial Black" w:hAnsi="Arial Black"/>
          <w:sz w:val="24"/>
          <w:szCs w:val="24"/>
        </w:rPr>
      </w:pPr>
    </w:p>
    <w:p w14:paraId="12E90B59" w14:textId="77777777" w:rsidR="00C137EF" w:rsidRPr="005E65E1" w:rsidRDefault="00C137EF" w:rsidP="00C137EF">
      <w:pPr>
        <w:pStyle w:val="NoSpacing"/>
        <w:rPr>
          <w:rFonts w:ascii="Arial Black" w:hAnsi="Arial Black"/>
          <w:sz w:val="28"/>
          <w:szCs w:val="28"/>
        </w:rPr>
      </w:pPr>
      <w:r>
        <w:rPr>
          <w:rFonts w:ascii="Arial Black" w:hAnsi="Arial Black"/>
          <w:sz w:val="28"/>
          <w:szCs w:val="28"/>
        </w:rPr>
        <w:t>U.S. SUP CT: MED. EMERG - PD ENTER HOME W/O WARRANT</w:t>
      </w:r>
    </w:p>
    <w:p w14:paraId="116517CC" w14:textId="77777777" w:rsidR="00C137EF" w:rsidRDefault="00C137EF" w:rsidP="00C137EF">
      <w:pPr>
        <w:pStyle w:val="NoSpacing"/>
      </w:pPr>
    </w:p>
    <w:p w14:paraId="6E4EA501" w14:textId="77777777" w:rsidR="00C137EF" w:rsidRDefault="00C137EF" w:rsidP="00C137EF">
      <w:pPr>
        <w:pStyle w:val="NoSpacing"/>
      </w:pPr>
      <w:r>
        <w:t xml:space="preserve">On Jan. 14, 2026, in </w:t>
      </w:r>
      <w:r w:rsidRPr="00860758">
        <w:rPr>
          <w:u w:val="single"/>
        </w:rPr>
        <w:t>William Trevor Case v. Montana</w:t>
      </w:r>
      <w:r>
        <w:t xml:space="preserve">, the Supreme Court of the United States held (9 to 0) that “In Brigham City v. Stuart, 547 U. S. 398, 400 (2006), this Court held that police officers may enter a home without a warrant if they have an “objectively reasonable basis for believing” that someone inside needs emergency assistance.  In 2006, the Court in  </w:t>
      </w:r>
      <w:r w:rsidRPr="001249E8">
        <w:t>Brigham City v. Stuart, 547 U. S. 398, 403 (2006)</w:t>
      </w:r>
      <w:r>
        <w:t xml:space="preserve">, held that police ca enter home to break up </w:t>
      </w:r>
      <w:proofErr w:type="gramStart"/>
      <w:r>
        <w:t>an ongoing</w:t>
      </w:r>
      <w:proofErr w:type="gramEnd"/>
    </w:p>
    <w:p w14:paraId="5A1D0488" w14:textId="77777777" w:rsidR="00C137EF" w:rsidRDefault="00C137EF" w:rsidP="00C137EF">
      <w:pPr>
        <w:pStyle w:val="NoSpacing"/>
      </w:pPr>
      <w:r>
        <w:t xml:space="preserve">fight to protect a person.  </w:t>
      </w:r>
      <w:r w:rsidRPr="00D74B75">
        <w:t>In September 2021, law enforcement officers in Anaconda, Montana, entered the home of William Trevor Case after his ex-girlfriend reported he had threatened suicide, was acting erratically and may have fired a gun.</w:t>
      </w:r>
      <w:r>
        <w:t xml:space="preserve"> Police found him hiding behind a closet curtain holding dark object (he recovered) and found his gun; the trial court judge denied his motion to suppress the gun (police didn’t need “probable cause” to enter house), and he was convicted by jury of assaulting a police officer. U.S. Supreme Court Justice </w:t>
      </w:r>
      <w:r w:rsidRPr="00C4737C">
        <w:t>Elena Kagan</w:t>
      </w:r>
      <w:r>
        <w:t xml:space="preserve"> wrote the opinion: “The question in this presented is whether that standard means that officers must have ‘probable cause’ for the intrusion, as they typically would when investigating a crime. We </w:t>
      </w:r>
      <w:proofErr w:type="gramStart"/>
      <w:r>
        <w:t>hold it does not.”</w:t>
      </w:r>
      <w:proofErr w:type="gramEnd"/>
      <w:r>
        <w:t xml:space="preserve"> </w:t>
      </w:r>
      <w:hyperlink r:id="rId28" w:history="1">
        <w:r w:rsidRPr="00815351">
          <w:rPr>
            <w:rStyle w:val="Hyperlink"/>
          </w:rPr>
          <w:t>https://www.supremecourt.gov/opinions/25pdf/24-624_b07d.pdf</w:t>
        </w:r>
      </w:hyperlink>
      <w:r>
        <w:t xml:space="preserve"> </w:t>
      </w:r>
    </w:p>
    <w:p w14:paraId="2643C846" w14:textId="77777777" w:rsidR="00C137EF" w:rsidRDefault="00C137EF" w:rsidP="00C137EF">
      <w:pPr>
        <w:pStyle w:val="NoSpacing"/>
      </w:pPr>
    </w:p>
    <w:p w14:paraId="1166EA5E" w14:textId="77777777" w:rsidR="00C137EF" w:rsidRDefault="00C137EF" w:rsidP="00C137EF">
      <w:pPr>
        <w:pStyle w:val="NoSpacing"/>
      </w:pPr>
      <w:r>
        <w:t>THE COURT HELD:</w:t>
      </w:r>
    </w:p>
    <w:p w14:paraId="3439CFD2" w14:textId="77777777" w:rsidR="00C137EF" w:rsidRDefault="00C137EF" w:rsidP="00C137EF">
      <w:pPr>
        <w:pStyle w:val="NoSpacing"/>
      </w:pPr>
    </w:p>
    <w:p w14:paraId="28E6838E" w14:textId="77777777" w:rsidR="00C137EF" w:rsidRDefault="00C137EF" w:rsidP="00C137EF">
      <w:pPr>
        <w:pStyle w:val="NoSpacing"/>
        <w:ind w:left="720"/>
      </w:pPr>
      <w:r>
        <w:t>“This case began with an alarming phone call—from petitioner William Case to his ex-girlfriend J. H., both residents of a small town in Montana. Case told J. H. on the call that</w:t>
      </w:r>
    </w:p>
    <w:p w14:paraId="2E51B761" w14:textId="77777777" w:rsidR="00C137EF" w:rsidRDefault="00C137EF" w:rsidP="00C137EF">
      <w:pPr>
        <w:pStyle w:val="NoSpacing"/>
        <w:ind w:left="720"/>
      </w:pPr>
      <w:r>
        <w:t>‘</w:t>
      </w:r>
      <w:proofErr w:type="gramStart"/>
      <w:r>
        <w:t>he</w:t>
      </w:r>
      <w:proofErr w:type="gramEnd"/>
      <w:r>
        <w:t xml:space="preserve"> was going to kill himself.”’ … Because Case sounded ‘erratic,’ J. H. assumed he had been drinking…. She tried to talk Case out of committing suicide, but ‘couldn’t reel him back’: With each passing moment, Case ‘became more methodical about what he was</w:t>
      </w:r>
    </w:p>
    <w:p w14:paraId="0FF4C115" w14:textId="77777777" w:rsidR="00C137EF" w:rsidRDefault="00C137EF" w:rsidP="00C137EF">
      <w:pPr>
        <w:pStyle w:val="NoSpacing"/>
        <w:ind w:left="720"/>
      </w:pPr>
      <w:r>
        <w:t>going to do.’ … Case said that he was ‘going to get a note’—presumably meaning a suicide note, for J. H. or others to find…. And then J. H. heard a ‘clicking’ sound, like the ‘cock[</w:t>
      </w:r>
      <w:proofErr w:type="spellStart"/>
      <w:r>
        <w:t>ing</w:t>
      </w:r>
      <w:proofErr w:type="spellEnd"/>
      <w:r>
        <w:t xml:space="preserve"> of] a gun.’ … J. H. told Case she was going to call the police, but that seemed only to antagonize him: Case </w:t>
      </w:r>
      <w:proofErr w:type="gramStart"/>
      <w:r>
        <w:t>replied</w:t>
      </w:r>
      <w:proofErr w:type="gramEnd"/>
      <w:r>
        <w:t xml:space="preserve"> ‘he would shoot them all too.”… Finally, J. H. heard ‘a pop’ followed by ‘nothing’—'just dead air.’ … She ‘yelled [Case’s] name a few</w:t>
      </w:r>
    </w:p>
    <w:p w14:paraId="3BA008FD" w14:textId="77777777" w:rsidR="00C137EF" w:rsidRDefault="00C137EF" w:rsidP="00C137EF">
      <w:pPr>
        <w:pStyle w:val="NoSpacing"/>
        <w:ind w:left="720"/>
      </w:pPr>
      <w:r>
        <w:t xml:space="preserve">times,’ but got no response, leading her to think he had ‘pulled the trigger.’ … </w:t>
      </w:r>
      <w:proofErr w:type="gramStart"/>
      <w:r>
        <w:t>So</w:t>
      </w:r>
      <w:proofErr w:type="gramEnd"/>
      <w:r>
        <w:t xml:space="preserve"> she called 9–1–1 to report the incident and drove as fast as she could to Case’s home.</w:t>
      </w:r>
    </w:p>
    <w:p w14:paraId="05859AE5" w14:textId="77777777" w:rsidR="00C137EF" w:rsidRDefault="00C137EF" w:rsidP="00C137EF">
      <w:pPr>
        <w:pStyle w:val="NoSpacing"/>
        <w:ind w:left="720"/>
      </w:pPr>
    </w:p>
    <w:p w14:paraId="7193F384" w14:textId="77777777" w:rsidR="00C137EF" w:rsidRDefault="00C137EF" w:rsidP="00C137EF">
      <w:pPr>
        <w:pStyle w:val="NoSpacing"/>
        <w:ind w:left="720"/>
      </w:pPr>
      <w:r>
        <w:t>***</w:t>
      </w:r>
    </w:p>
    <w:p w14:paraId="53F21539" w14:textId="77777777" w:rsidR="00C137EF" w:rsidRDefault="00C137EF" w:rsidP="00C137EF">
      <w:pPr>
        <w:pStyle w:val="NoSpacing"/>
        <w:ind w:left="720"/>
      </w:pPr>
      <w:r>
        <w:t xml:space="preserve">Once the [Police] chief came, the officers conferred and decided to enter the house ‘to render emergency aid.’ … In the best-case scenario, they hoped to ‘talk [Case] down’ and prevent any injury…. But given J. H.’s account, the officers considered </w:t>
      </w:r>
      <w:proofErr w:type="gramStart"/>
      <w:r>
        <w:t>as well another possibility</w:t>
      </w:r>
      <w:proofErr w:type="gramEnd"/>
      <w:r>
        <w:t xml:space="preserve">—that Case had already shot himself and might be ‘in </w:t>
      </w:r>
      <w:proofErr w:type="gramStart"/>
      <w:r>
        <w:t>there</w:t>
      </w:r>
      <w:proofErr w:type="gramEnd"/>
      <w:r>
        <w:t xml:space="preserve"> bleeding.’ … At the same time, they worried that if Case remained unharmed, their entry could spark a </w:t>
      </w:r>
      <w:r>
        <w:lastRenderedPageBreak/>
        <w:t xml:space="preserve">confrontation…. </w:t>
      </w:r>
      <w:proofErr w:type="gramStart"/>
      <w:r>
        <w:t>So</w:t>
      </w:r>
      <w:proofErr w:type="gramEnd"/>
      <w:r>
        <w:t xml:space="preserve"> they equipped themselves with long-barrel guns and a ballistic shield before going in. The officers entered the house through the front door, about 40 minutes after they first arrived. They announced themselves </w:t>
      </w:r>
      <w:proofErr w:type="gramStart"/>
      <w:r>
        <w:t>loudly, and</w:t>
      </w:r>
      <w:proofErr w:type="gramEnd"/>
      <w:r>
        <w:t xml:space="preserve"> continued to call out as they walked through the home. Case did not answer; he was hiding in the closet of a bedroom upstairs. When one of the officers entered that room, Case threw open the closet curtain and appeared from behind it, holding ‘a black object’ which looked like a gun…. Fearing that he was about to be shot, the officer fired his own rifle. The bullet hit Case</w:t>
      </w:r>
    </w:p>
    <w:p w14:paraId="092518BB" w14:textId="77777777" w:rsidR="00C137EF" w:rsidRDefault="00C137EF" w:rsidP="00C137EF">
      <w:pPr>
        <w:pStyle w:val="NoSpacing"/>
        <w:ind w:left="720"/>
      </w:pPr>
      <w:r>
        <w:t>in the abdomen, and another officer rushed to administer first aid. An ambulance was called to take Case to the nearest hospital (where he recovered). Meanwhile, one of the</w:t>
      </w:r>
    </w:p>
    <w:p w14:paraId="6F327C6C" w14:textId="77777777" w:rsidR="00C137EF" w:rsidRDefault="00C137EF" w:rsidP="00C137EF">
      <w:pPr>
        <w:pStyle w:val="NoSpacing"/>
        <w:ind w:left="720"/>
      </w:pPr>
      <w:r>
        <w:t>officers found a handgun in a laundry basket next to the place where Case had stood.</w:t>
      </w:r>
    </w:p>
    <w:p w14:paraId="7EDC27CD" w14:textId="77777777" w:rsidR="00C137EF" w:rsidRDefault="00C137EF" w:rsidP="00C137EF">
      <w:pPr>
        <w:pStyle w:val="NoSpacing"/>
        <w:ind w:left="720"/>
      </w:pPr>
    </w:p>
    <w:p w14:paraId="5EEFEB51" w14:textId="77777777" w:rsidR="00C137EF" w:rsidRDefault="00C137EF" w:rsidP="00C137EF">
      <w:pPr>
        <w:pStyle w:val="NoSpacing"/>
        <w:ind w:left="720"/>
      </w:pPr>
      <w:r>
        <w:t>The county attorney charged Case with assaulting a police officer…. A Montana</w:t>
      </w:r>
    </w:p>
    <w:p w14:paraId="35236867" w14:textId="77777777" w:rsidR="00C137EF" w:rsidRDefault="00C137EF" w:rsidP="00C137EF">
      <w:pPr>
        <w:pStyle w:val="NoSpacing"/>
        <w:ind w:left="720"/>
      </w:pPr>
      <w:r>
        <w:t xml:space="preserve">jury then found Case guilty of the crime charged. Case moved to suppress all evidence obtained </w:t>
      </w:r>
      <w:proofErr w:type="gramStart"/>
      <w:r>
        <w:t>as a result of</w:t>
      </w:r>
      <w:proofErr w:type="gramEnd"/>
      <w:r>
        <w:t xml:space="preserve"> the home entry, arguing that the police had violated the Fourth Amendment by coming into his house without a warrant. The trial court denied the motion on the ground that the police officers were responding legitimately </w:t>
      </w:r>
    </w:p>
    <w:p w14:paraId="2A69196D" w14:textId="77777777" w:rsidR="00C137EF" w:rsidRDefault="00C137EF" w:rsidP="00C137EF">
      <w:pPr>
        <w:pStyle w:val="NoSpacing"/>
        <w:ind w:left="720"/>
      </w:pPr>
      <w:r>
        <w:t>to an “emergency.”</w:t>
      </w:r>
    </w:p>
    <w:p w14:paraId="1D01348E" w14:textId="77777777" w:rsidR="00C137EF" w:rsidRDefault="00C137EF" w:rsidP="00C137EF">
      <w:pPr>
        <w:pStyle w:val="NoSpacing"/>
        <w:ind w:left="720"/>
      </w:pPr>
    </w:p>
    <w:p w14:paraId="5249E9C7" w14:textId="77777777" w:rsidR="00C137EF" w:rsidRDefault="00C137EF" w:rsidP="00C137EF">
      <w:pPr>
        <w:pStyle w:val="NoSpacing"/>
        <w:ind w:left="720"/>
      </w:pPr>
      <w:r>
        <w:t>***</w:t>
      </w:r>
    </w:p>
    <w:p w14:paraId="789A47FD" w14:textId="77777777" w:rsidR="00C137EF" w:rsidRDefault="00C137EF" w:rsidP="00C137EF">
      <w:pPr>
        <w:pStyle w:val="NoSpacing"/>
        <w:ind w:left="720"/>
      </w:pPr>
      <w:r>
        <w:t xml:space="preserve">We…hold just what we have held before: that the officers may enter if, but only if, they have an “objectively reasonable basis for believing” that an occupant faces </w:t>
      </w:r>
      <w:proofErr w:type="gramStart"/>
      <w:r>
        <w:t>serious danger</w:t>
      </w:r>
      <w:proofErr w:type="gramEnd"/>
      <w:r>
        <w:t>. Brigham City, 547 U. S., at 400.”</w:t>
      </w:r>
    </w:p>
    <w:p w14:paraId="51C8A6CD" w14:textId="77777777" w:rsidR="00C137EF" w:rsidRDefault="00C137EF" w:rsidP="00C137EF">
      <w:pPr>
        <w:pStyle w:val="NoSpacing"/>
        <w:ind w:left="720"/>
      </w:pPr>
    </w:p>
    <w:p w14:paraId="19B3E3E9" w14:textId="77777777" w:rsidR="00C137EF" w:rsidRPr="000E4D83" w:rsidRDefault="00C137EF" w:rsidP="00C137EF">
      <w:pPr>
        <w:pStyle w:val="NoSpacing"/>
        <w:rPr>
          <w:b/>
          <w:bCs/>
        </w:rPr>
      </w:pPr>
      <w:r>
        <w:rPr>
          <w:b/>
        </w:rPr>
        <w:t xml:space="preserve">Legal lesson learned: Decision will also apply to fire and EMS forcing entry for a medical emergency. </w:t>
      </w:r>
    </w:p>
    <w:p w14:paraId="253B2887" w14:textId="77777777" w:rsidR="00C137EF" w:rsidRDefault="00C137EF" w:rsidP="00C137EF">
      <w:pPr>
        <w:pStyle w:val="NoSpacing"/>
      </w:pPr>
    </w:p>
    <w:p w14:paraId="6450F432" w14:textId="698E9670" w:rsidR="00C137EF" w:rsidRDefault="00C137EF" w:rsidP="00C137EF">
      <w:pPr>
        <w:pStyle w:val="NoSpacing"/>
        <w:rPr>
          <w:rFonts w:ascii="Arial Black" w:hAnsi="Arial Black"/>
          <w:sz w:val="24"/>
          <w:szCs w:val="24"/>
        </w:rPr>
      </w:pPr>
      <w:r>
        <w:t xml:space="preserve">Note: Can listen to Oral Argument in this case: </w:t>
      </w:r>
      <w:hyperlink r:id="rId29" w:history="1">
        <w:r w:rsidRPr="00815351">
          <w:rPr>
            <w:rStyle w:val="Hyperlink"/>
          </w:rPr>
          <w:t>https://www.youtube.com/watch?v=lqmk210Y9sk</w:t>
        </w:r>
      </w:hyperlink>
    </w:p>
    <w:p w14:paraId="7C4A6982" w14:textId="77777777" w:rsidR="00C137EF" w:rsidRDefault="00C137EF" w:rsidP="00037CB8">
      <w:pPr>
        <w:pStyle w:val="NoSpacing"/>
        <w:rPr>
          <w:rFonts w:ascii="Arial Black" w:hAnsi="Arial Black"/>
          <w:sz w:val="24"/>
          <w:szCs w:val="24"/>
        </w:rPr>
      </w:pPr>
    </w:p>
    <w:p w14:paraId="26879D6A" w14:textId="69E11388" w:rsidR="00C137EF" w:rsidRDefault="00C137EF" w:rsidP="00037CB8">
      <w:pPr>
        <w:pStyle w:val="NoSpacing"/>
        <w:rPr>
          <w:rFonts w:ascii="Arial Black" w:hAnsi="Arial Black"/>
          <w:sz w:val="24"/>
          <w:szCs w:val="24"/>
        </w:rPr>
      </w:pPr>
      <w:r>
        <w:rPr>
          <w:rFonts w:ascii="Arial Black" w:hAnsi="Arial Black"/>
          <w:sz w:val="24"/>
          <w:szCs w:val="24"/>
        </w:rPr>
        <w:t>1-20</w:t>
      </w:r>
      <w:r w:rsidR="0015512D">
        <w:rPr>
          <w:rFonts w:ascii="Arial Black" w:hAnsi="Arial Black"/>
          <w:sz w:val="24"/>
          <w:szCs w:val="24"/>
        </w:rPr>
        <w:t>2</w:t>
      </w:r>
    </w:p>
    <w:p w14:paraId="6207F5C2" w14:textId="77777777" w:rsidR="0015512D" w:rsidRDefault="0015512D" w:rsidP="00037CB8">
      <w:pPr>
        <w:pStyle w:val="NoSpacing"/>
        <w:rPr>
          <w:rFonts w:ascii="Arial Black" w:hAnsi="Arial Black"/>
          <w:sz w:val="24"/>
          <w:szCs w:val="24"/>
        </w:rPr>
      </w:pPr>
    </w:p>
    <w:p w14:paraId="6F07D39C" w14:textId="77777777" w:rsidR="0015512D" w:rsidRDefault="0015512D" w:rsidP="0015512D">
      <w:pPr>
        <w:pStyle w:val="NoSpacing"/>
      </w:pPr>
      <w:r>
        <w:rPr>
          <w:rFonts w:ascii="Arial Black" w:hAnsi="Arial Black"/>
          <w:sz w:val="28"/>
          <w:szCs w:val="28"/>
        </w:rPr>
        <w:t xml:space="preserve">TX: PAINTER AT FD – KNOCKED OFF LIFT - NO FD NEG </w:t>
      </w:r>
    </w:p>
    <w:p w14:paraId="1A4DF5AB" w14:textId="77777777" w:rsidR="0015512D" w:rsidRDefault="0015512D" w:rsidP="0015512D">
      <w:pPr>
        <w:pStyle w:val="NoSpacing"/>
      </w:pPr>
    </w:p>
    <w:p w14:paraId="3BD66D79" w14:textId="77777777" w:rsidR="0015512D" w:rsidRDefault="0015512D" w:rsidP="0015512D">
      <w:pPr>
        <w:rPr>
          <w:bCs/>
        </w:rPr>
      </w:pPr>
      <w:r>
        <w:t xml:space="preserve">On December 31, 2025, in </w:t>
      </w:r>
      <w:r w:rsidRPr="000F5A08">
        <w:rPr>
          <w:u w:val="single"/>
        </w:rPr>
        <w:t>City of Houston v. Jose Torres</w:t>
      </w:r>
      <w:r>
        <w:t xml:space="preserve">, </w:t>
      </w:r>
      <w:r w:rsidRPr="00DE41E5">
        <w:t>the Court of Appeals of Texas, First District, Houston</w:t>
      </w:r>
      <w:r>
        <w:t xml:space="preserve"> held (3 to 0) that trial court, after a bench trial, improperly found that the city was liable because the station District Chief didn’t deactivate the bay door.  The painter never asked that this be done, never told anyone he was going to be operating scissor lift inside the station, and never blocked the front of the bay door. </w:t>
      </w:r>
      <w:hyperlink r:id="rId30" w:history="1">
        <w:r w:rsidRPr="00091B3B">
          <w:rPr>
            <w:rStyle w:val="Hyperlink"/>
          </w:rPr>
          <w:t>https://cases.justia.com/texas/first-court-of-appeals/2025-01-23-00905-cv.pdf?ts=1767189326</w:t>
        </w:r>
      </w:hyperlink>
      <w:r>
        <w:t xml:space="preserve"> </w:t>
      </w:r>
    </w:p>
    <w:p w14:paraId="2C329852" w14:textId="77777777" w:rsidR="0015512D" w:rsidRDefault="0015512D" w:rsidP="0015512D">
      <w:pPr>
        <w:rPr>
          <w:bCs/>
        </w:rPr>
      </w:pPr>
      <w:r>
        <w:t>THE COURT HELD:</w:t>
      </w:r>
    </w:p>
    <w:p w14:paraId="2C0A41B4" w14:textId="77777777" w:rsidR="0015512D" w:rsidRPr="00830678" w:rsidRDefault="0015512D" w:rsidP="0015512D">
      <w:pPr>
        <w:pStyle w:val="NoSpacing"/>
        <w:ind w:left="720"/>
      </w:pPr>
      <w:r>
        <w:t>“</w:t>
      </w:r>
      <w:r w:rsidRPr="00830678">
        <w:t>Jose Torres, a painter employed by Arredondo’s Real Drywall, Inc., was</w:t>
      </w:r>
      <w:r>
        <w:t xml:space="preserve"> </w:t>
      </w:r>
      <w:r w:rsidRPr="00830678">
        <w:t>working at Houston Fire Department (HFD) Station #34. When he arrived on the</w:t>
      </w:r>
      <w:r>
        <w:t xml:space="preserve"> </w:t>
      </w:r>
      <w:r w:rsidRPr="00830678">
        <w:t>morning of this incident, around 8:30 a.m., there were no emergency vehicles inside</w:t>
      </w:r>
      <w:r>
        <w:t xml:space="preserve"> </w:t>
      </w:r>
      <w:r w:rsidRPr="00830678">
        <w:t>the fire station, although some were parked outside.</w:t>
      </w:r>
    </w:p>
    <w:p w14:paraId="20876DE9" w14:textId="77777777" w:rsidR="0015512D" w:rsidRDefault="0015512D" w:rsidP="0015512D">
      <w:pPr>
        <w:pStyle w:val="NoSpacing"/>
      </w:pPr>
    </w:p>
    <w:p w14:paraId="06903D1E" w14:textId="77777777" w:rsidR="0015512D" w:rsidRDefault="0015512D" w:rsidP="0015512D">
      <w:pPr>
        <w:pStyle w:val="NoSpacing"/>
        <w:ind w:left="720"/>
      </w:pPr>
      <w:r w:rsidRPr="00830678">
        <w:t>Torres began setting up his equipment, including a scissor lift, in one of the</w:t>
      </w:r>
      <w:r>
        <w:t xml:space="preserve"> </w:t>
      </w:r>
      <w:r w:rsidRPr="00830678">
        <w:t>bays of the fire station so he could paint the station’s ceiling. Because the station’s</w:t>
      </w:r>
      <w:r>
        <w:t xml:space="preserve"> </w:t>
      </w:r>
      <w:r w:rsidRPr="00830678">
        <w:t>large bay doors were open, and he needed them closed to paint the ceiling, Torres</w:t>
      </w:r>
      <w:r>
        <w:t xml:space="preserve"> </w:t>
      </w:r>
      <w:r w:rsidRPr="00830678">
        <w:t>asked one of the firefighters on duty how to close the doors. Torres closed the bay</w:t>
      </w:r>
      <w:r>
        <w:t xml:space="preserve"> </w:t>
      </w:r>
      <w:r w:rsidRPr="00830678">
        <w:t>doors by pushing a red button located inside the station. He then positioned the</w:t>
      </w:r>
      <w:r>
        <w:t xml:space="preserve"> </w:t>
      </w:r>
      <w:r w:rsidRPr="00830678">
        <w:t>scissor lift directly behind one of the closed bay doors, elevated himself on it, and</w:t>
      </w:r>
      <w:r>
        <w:t xml:space="preserve"> </w:t>
      </w:r>
      <w:r w:rsidRPr="00830678">
        <w:t>began painting the ceiling of the station.</w:t>
      </w:r>
    </w:p>
    <w:p w14:paraId="66856796" w14:textId="77777777" w:rsidR="0015512D" w:rsidRDefault="0015512D" w:rsidP="0015512D">
      <w:pPr>
        <w:pStyle w:val="NoSpacing"/>
      </w:pPr>
    </w:p>
    <w:p w14:paraId="26E3CE78" w14:textId="77777777" w:rsidR="0015512D" w:rsidRDefault="0015512D" w:rsidP="0015512D">
      <w:pPr>
        <w:pStyle w:val="NoSpacing"/>
        <w:ind w:left="720"/>
      </w:pPr>
      <w:r>
        <w:t>Adam Ricci, a firefighter employed by HFD at Fire Station #34, arrived at the fire station that morning at 6:30 a.m.—two hours before Torres—to begin his 24-hour shift. Around 8:00 a.</w:t>
      </w:r>
      <w:proofErr w:type="gramStart"/>
      <w:r>
        <w:t>m.—</w:t>
      </w:r>
      <w:proofErr w:type="gramEnd"/>
      <w:r>
        <w:t>about 30 minutes before Torres arrived—Ricci left the station in one of the emergency vehicles to respond to a call. Before he left, Ricci did not see anyone painting inside the fire station. And before returning to the station, Ricci had not seen or spoken to Torres and did not know that he (or anyone) was inside the station painting.</w:t>
      </w:r>
    </w:p>
    <w:p w14:paraId="0C74976E" w14:textId="77777777" w:rsidR="0015512D" w:rsidRDefault="0015512D" w:rsidP="0015512D">
      <w:pPr>
        <w:pStyle w:val="NoSpacing"/>
      </w:pPr>
    </w:p>
    <w:p w14:paraId="6FE21586" w14:textId="77777777" w:rsidR="0015512D" w:rsidRDefault="0015512D" w:rsidP="0015512D">
      <w:pPr>
        <w:pStyle w:val="NoSpacing"/>
        <w:ind w:left="720"/>
      </w:pPr>
      <w:r>
        <w:t>When Ricci returned to the fire station, he pushed a remote control inside his vehicle to open one of the bay doors. Unbeknownst to Ricci, Torres was standing on top of the scissor lift directly behind that door. When the door opened, it knocked over the scissor lift, injuring Torres.</w:t>
      </w:r>
    </w:p>
    <w:p w14:paraId="4F60A938" w14:textId="77777777" w:rsidR="0015512D" w:rsidRDefault="0015512D" w:rsidP="0015512D">
      <w:pPr>
        <w:pStyle w:val="NoSpacing"/>
      </w:pPr>
    </w:p>
    <w:p w14:paraId="4A48A6C7" w14:textId="77777777" w:rsidR="0015512D" w:rsidRDefault="0015512D" w:rsidP="0015512D">
      <w:pPr>
        <w:pStyle w:val="NoSpacing"/>
        <w:ind w:left="720"/>
      </w:pPr>
      <w:r>
        <w:t xml:space="preserve">The record shows that the bay door could have been deactivated. And, according to the City, District Chief Troy Koteras was the highest-ranking person on site that day—and he had the authority to do that. Following a bench trial, the trial court found that the </w:t>
      </w:r>
      <w:proofErr w:type="gramStart"/>
      <w:r>
        <w:t>City</w:t>
      </w:r>
      <w:proofErr w:type="gramEnd"/>
      <w:r>
        <w:t xml:space="preserve"> “did not act reasonably and its actions proximately causes [Torres’s] injuries.” It concluded that the </w:t>
      </w:r>
      <w:proofErr w:type="gramStart"/>
      <w:r>
        <w:t>City</w:t>
      </w:r>
      <w:proofErr w:type="gramEnd"/>
      <w:r>
        <w:t xml:space="preserve"> was negligent3 and awarded Torres damages.</w:t>
      </w:r>
    </w:p>
    <w:p w14:paraId="60330D89" w14:textId="77777777" w:rsidR="0015512D" w:rsidRDefault="0015512D" w:rsidP="0015512D">
      <w:pPr>
        <w:pStyle w:val="NoSpacing"/>
        <w:ind w:left="720"/>
      </w:pPr>
    </w:p>
    <w:p w14:paraId="219B3A88" w14:textId="77777777" w:rsidR="0015512D" w:rsidRDefault="0015512D" w:rsidP="0015512D">
      <w:pPr>
        <w:pStyle w:val="NoSpacing"/>
        <w:ind w:left="720"/>
      </w:pPr>
      <w:r>
        <w:t>***</w:t>
      </w:r>
    </w:p>
    <w:p w14:paraId="5B212D40" w14:textId="77777777" w:rsidR="0015512D" w:rsidRDefault="0015512D" w:rsidP="0015512D">
      <w:pPr>
        <w:pStyle w:val="NoSpacing"/>
        <w:ind w:firstLine="720"/>
      </w:pPr>
    </w:p>
    <w:p w14:paraId="22D1D2C8" w14:textId="77777777" w:rsidR="0015512D" w:rsidRDefault="0015512D" w:rsidP="0015512D">
      <w:pPr>
        <w:pStyle w:val="NoSpacing"/>
        <w:ind w:firstLine="720"/>
      </w:pPr>
      <w:r>
        <w:t xml:space="preserve">Accordingly, for </w:t>
      </w:r>
      <w:proofErr w:type="gramStart"/>
      <w:r>
        <w:t>all of</w:t>
      </w:r>
      <w:proofErr w:type="gramEnd"/>
      <w:r>
        <w:t xml:space="preserve"> the foregoing reasons, we hold that the evidence</w:t>
      </w:r>
    </w:p>
    <w:p w14:paraId="66901706" w14:textId="77777777" w:rsidR="0015512D" w:rsidRDefault="0015512D" w:rsidP="0015512D">
      <w:pPr>
        <w:pStyle w:val="NoSpacing"/>
        <w:ind w:firstLine="720"/>
      </w:pPr>
      <w:r>
        <w:t>establishes that the City owed no duty to Torres, a required element of negligence.</w:t>
      </w:r>
    </w:p>
    <w:p w14:paraId="40D02F40" w14:textId="77777777" w:rsidR="0015512D" w:rsidRDefault="0015512D" w:rsidP="0015512D">
      <w:pPr>
        <w:pStyle w:val="NoSpacing"/>
        <w:ind w:firstLine="720"/>
      </w:pPr>
      <w:r>
        <w:t xml:space="preserve">Absent proof of the common-law elements of negligence, the </w:t>
      </w:r>
      <w:proofErr w:type="gramStart"/>
      <w:r>
        <w:t>City</w:t>
      </w:r>
      <w:proofErr w:type="gramEnd"/>
      <w:r>
        <w:t xml:space="preserve"> was entitled to</w:t>
      </w:r>
    </w:p>
    <w:p w14:paraId="0DB17D93" w14:textId="77777777" w:rsidR="0015512D" w:rsidRDefault="0015512D" w:rsidP="0015512D">
      <w:pPr>
        <w:pStyle w:val="NoSpacing"/>
        <w:ind w:firstLine="720"/>
      </w:pPr>
      <w:r>
        <w:t>governmental immunity under the TTCA. We therefore reverse the trial court’s</w:t>
      </w:r>
    </w:p>
    <w:p w14:paraId="6D2B2347" w14:textId="77777777" w:rsidR="0015512D" w:rsidRDefault="0015512D" w:rsidP="0015512D">
      <w:pPr>
        <w:pStyle w:val="NoSpacing"/>
        <w:ind w:firstLine="720"/>
      </w:pPr>
      <w:r>
        <w:t xml:space="preserve">judgment and render judgment dismissing Torres’s claims against the </w:t>
      </w:r>
      <w:proofErr w:type="gramStart"/>
      <w:r>
        <w:t>City</w:t>
      </w:r>
      <w:proofErr w:type="gramEnd"/>
      <w:r>
        <w:t xml:space="preserve"> for lack</w:t>
      </w:r>
    </w:p>
    <w:p w14:paraId="2AF54172" w14:textId="77777777" w:rsidR="0015512D" w:rsidRDefault="0015512D" w:rsidP="0015512D">
      <w:pPr>
        <w:pStyle w:val="NoSpacing"/>
        <w:ind w:firstLine="720"/>
      </w:pPr>
      <w:r>
        <w:t>of subject-matter jurisdiction.”</w:t>
      </w:r>
    </w:p>
    <w:p w14:paraId="1DDC8690" w14:textId="77777777" w:rsidR="0015512D" w:rsidRDefault="0015512D" w:rsidP="0015512D">
      <w:pPr>
        <w:pStyle w:val="NoSpacing"/>
        <w:ind w:firstLine="720"/>
      </w:pPr>
    </w:p>
    <w:p w14:paraId="3022F51D" w14:textId="77777777" w:rsidR="0015512D" w:rsidRPr="0059074F" w:rsidRDefault="0015512D" w:rsidP="0015512D">
      <w:pPr>
        <w:pStyle w:val="NoSpacing"/>
        <w:rPr>
          <w:b/>
          <w:bCs/>
        </w:rPr>
      </w:pPr>
      <w:r>
        <w:rPr>
          <w:b/>
        </w:rPr>
        <w:t xml:space="preserve">Legal lesson learned: The injured painter was negligent and not requiring the bay door be deactivated; he is covered by worker’s comp. but can’t sue the city for damages. </w:t>
      </w:r>
    </w:p>
    <w:p w14:paraId="48223938" w14:textId="77777777" w:rsidR="0015512D" w:rsidRDefault="0015512D" w:rsidP="0015512D">
      <w:pPr>
        <w:pStyle w:val="NoSpacing"/>
        <w:ind w:firstLine="720"/>
      </w:pPr>
    </w:p>
    <w:p w14:paraId="59E2DB67" w14:textId="0CA4B440" w:rsidR="0015512D" w:rsidRDefault="0015512D" w:rsidP="00037CB8">
      <w:pPr>
        <w:pStyle w:val="NoSpacing"/>
        <w:rPr>
          <w:rFonts w:ascii="Arial Black" w:hAnsi="Arial Black"/>
          <w:sz w:val="24"/>
          <w:szCs w:val="24"/>
        </w:rPr>
      </w:pPr>
      <w:r>
        <w:rPr>
          <w:rFonts w:ascii="Arial Black" w:hAnsi="Arial Black"/>
          <w:sz w:val="24"/>
          <w:szCs w:val="24"/>
        </w:rPr>
        <w:t>1-201</w:t>
      </w:r>
    </w:p>
    <w:p w14:paraId="161948B9" w14:textId="77777777" w:rsidR="0015512D" w:rsidRDefault="0015512D" w:rsidP="00037CB8">
      <w:pPr>
        <w:pStyle w:val="NoSpacing"/>
        <w:rPr>
          <w:rFonts w:ascii="Arial Black" w:hAnsi="Arial Black"/>
          <w:sz w:val="24"/>
          <w:szCs w:val="24"/>
        </w:rPr>
      </w:pPr>
    </w:p>
    <w:p w14:paraId="3C2D52E9" w14:textId="77777777" w:rsidR="00ED1FF6" w:rsidRPr="00DD5FA8" w:rsidRDefault="00ED1FF6" w:rsidP="00ED1FF6">
      <w:pPr>
        <w:rPr>
          <w:rFonts w:ascii="Arial Black" w:hAnsi="Arial Black"/>
          <w:b/>
          <w:sz w:val="28"/>
          <w:szCs w:val="28"/>
        </w:rPr>
      </w:pPr>
      <w:r>
        <w:rPr>
          <w:rFonts w:ascii="Arial Black" w:hAnsi="Arial Black"/>
          <w:b/>
          <w:sz w:val="28"/>
          <w:szCs w:val="28"/>
        </w:rPr>
        <w:t>NJ: ARSON – PD SEIZED DVR CAMERA IN GARAGE - LAWFUL</w:t>
      </w:r>
    </w:p>
    <w:p w14:paraId="31D29707" w14:textId="77777777" w:rsidR="00ED1FF6" w:rsidRDefault="00ED1FF6" w:rsidP="00ED1FF6">
      <w:r>
        <w:t xml:space="preserve">On December 4, 2025, in </w:t>
      </w:r>
      <w:r w:rsidRPr="00EA75F6">
        <w:rPr>
          <w:u w:val="single"/>
        </w:rPr>
        <w:t xml:space="preserve">State of New Jersey v. Paul J. </w:t>
      </w:r>
      <w:proofErr w:type="spellStart"/>
      <w:r w:rsidRPr="00EA75F6">
        <w:rPr>
          <w:u w:val="single"/>
        </w:rPr>
        <w:t>Caneiro</w:t>
      </w:r>
      <w:proofErr w:type="spellEnd"/>
      <w:r>
        <w:t xml:space="preserve">, the </w:t>
      </w:r>
      <w:r w:rsidRPr="00EA75F6">
        <w:t>Supreme Court of New Jersey</w:t>
      </w:r>
      <w:r>
        <w:t xml:space="preserve"> held (7 to 0) that trial court improperly granted defense motion to suppress, and the Court of Appeals improperly confirmed the trial court decision.  Under the “exigent circumstances” police properly seized the security camera digital video recorder, which showed defendant disconnecting the camera before starting fire in his home. </w:t>
      </w:r>
      <w:hyperlink r:id="rId31" w:history="1">
        <w:r w:rsidRPr="00091B3B">
          <w:rPr>
            <w:rStyle w:val="Hyperlink"/>
          </w:rPr>
          <w:t>https://www.njcourts.gov/system/files/court-opinions/2025/a_1_25.pdf</w:t>
        </w:r>
      </w:hyperlink>
      <w:r>
        <w:t xml:space="preserve"> </w:t>
      </w:r>
    </w:p>
    <w:p w14:paraId="76F8ADF9" w14:textId="77777777" w:rsidR="00ED1FF6" w:rsidRPr="00EA75F6" w:rsidRDefault="00ED1FF6" w:rsidP="00ED1FF6">
      <w:pPr>
        <w:rPr>
          <w:bCs/>
        </w:rPr>
      </w:pPr>
      <w:r>
        <w:t>THE COURT HELD:</w:t>
      </w:r>
    </w:p>
    <w:p w14:paraId="3D371FC5" w14:textId="77777777" w:rsidR="00ED1FF6" w:rsidRDefault="00ED1FF6" w:rsidP="00ED1FF6">
      <w:pPr>
        <w:pStyle w:val="NoSpacing"/>
        <w:ind w:left="720"/>
      </w:pPr>
      <w:r>
        <w:t xml:space="preserve">“A fire was reported at defendant Paul J. </w:t>
      </w:r>
      <w:proofErr w:type="spellStart"/>
      <w:r>
        <w:t>Caneiro’s</w:t>
      </w:r>
      <w:proofErr w:type="spellEnd"/>
      <w:r>
        <w:t xml:space="preserve"> home at around 5:02 a.m. in November 2018. About forty minutes after arriving at defendant’s home, and while the house fire remained active, police seized, without a warrant, a security camera digital video recorder (DVR) located in the home’s attached garage…. Defendant later provided consent to </w:t>
      </w:r>
      <w:proofErr w:type="gramStart"/>
      <w:r>
        <w:t>search</w:t>
      </w:r>
      <w:proofErr w:type="gramEnd"/>
      <w:r>
        <w:t xml:space="preserve"> the DVR’s contents. </w:t>
      </w:r>
    </w:p>
    <w:p w14:paraId="06CA9B37" w14:textId="77777777" w:rsidR="00ED1FF6" w:rsidRDefault="00ED1FF6" w:rsidP="00ED1FF6">
      <w:pPr>
        <w:pStyle w:val="NoSpacing"/>
        <w:ind w:left="720"/>
      </w:pPr>
    </w:p>
    <w:p w14:paraId="25B14DDF" w14:textId="77777777" w:rsidR="00ED1FF6" w:rsidRDefault="00ED1FF6" w:rsidP="00ED1FF6">
      <w:pPr>
        <w:pStyle w:val="NoSpacing"/>
        <w:ind w:left="720"/>
      </w:pPr>
      <w:r>
        <w:t>***</w:t>
      </w:r>
    </w:p>
    <w:p w14:paraId="1E052307" w14:textId="77777777" w:rsidR="00ED1FF6" w:rsidRDefault="00ED1FF6" w:rsidP="00ED1FF6">
      <w:pPr>
        <w:pStyle w:val="NoSpacing"/>
        <w:ind w:left="720"/>
      </w:pPr>
      <w:r>
        <w:t>The State alleges that defendant murdered his brother, his brother’s wife, and</w:t>
      </w:r>
    </w:p>
    <w:p w14:paraId="461D942A" w14:textId="77777777" w:rsidR="00ED1FF6" w:rsidRDefault="00ED1FF6" w:rsidP="00ED1FF6">
      <w:pPr>
        <w:pStyle w:val="NoSpacing"/>
        <w:ind w:left="720"/>
      </w:pPr>
      <w:r>
        <w:t>their two children, and then set their house ablaze to cover up his involvement in</w:t>
      </w:r>
    </w:p>
    <w:p w14:paraId="77C9FA2D" w14:textId="77777777" w:rsidR="00ED1FF6" w:rsidRDefault="00ED1FF6" w:rsidP="00ED1FF6">
      <w:pPr>
        <w:pStyle w:val="NoSpacing"/>
        <w:ind w:left="720"/>
      </w:pPr>
      <w:r>
        <w:t>those crimes. The State further contends that defendant then set his own house on</w:t>
      </w:r>
    </w:p>
    <w:p w14:paraId="1A8F9845" w14:textId="77777777" w:rsidR="00ED1FF6" w:rsidRDefault="00ED1FF6" w:rsidP="00ED1FF6">
      <w:pPr>
        <w:pStyle w:val="NoSpacing"/>
        <w:ind w:left="720"/>
      </w:pPr>
      <w:r>
        <w:t>fire with his wife and children asleep inside as a ruse to suggest that criminals</w:t>
      </w:r>
    </w:p>
    <w:p w14:paraId="11D155BA" w14:textId="77777777" w:rsidR="00ED1FF6" w:rsidRDefault="00ED1FF6" w:rsidP="00ED1FF6">
      <w:pPr>
        <w:pStyle w:val="NoSpacing"/>
        <w:ind w:left="720"/>
      </w:pPr>
      <w:r>
        <w:t>targeted both families. The State asserts that the DVR showed defendant</w:t>
      </w:r>
    </w:p>
    <w:p w14:paraId="26D27F10" w14:textId="77777777" w:rsidR="00ED1FF6" w:rsidRDefault="00ED1FF6" w:rsidP="00ED1FF6">
      <w:pPr>
        <w:pStyle w:val="NoSpacing"/>
        <w:ind w:left="720"/>
      </w:pPr>
      <w:r>
        <w:t>disconnecting the security camera system prior to starting the fire in his house.</w:t>
      </w:r>
    </w:p>
    <w:p w14:paraId="74614F04" w14:textId="77777777" w:rsidR="00ED1FF6" w:rsidRDefault="00ED1FF6" w:rsidP="00ED1FF6">
      <w:pPr>
        <w:pStyle w:val="NoSpacing"/>
        <w:ind w:left="720"/>
      </w:pPr>
    </w:p>
    <w:p w14:paraId="54215439" w14:textId="77777777" w:rsidR="00ED1FF6" w:rsidRDefault="00ED1FF6" w:rsidP="00ED1FF6">
      <w:pPr>
        <w:pStyle w:val="NoSpacing"/>
        <w:ind w:left="720"/>
      </w:pPr>
      <w:r>
        <w:t>***</w:t>
      </w:r>
    </w:p>
    <w:p w14:paraId="1DA8EDA5" w14:textId="77777777" w:rsidR="00ED1FF6" w:rsidRDefault="00ED1FF6" w:rsidP="00ED1FF6">
      <w:pPr>
        <w:pStyle w:val="NoSpacing"/>
        <w:ind w:left="720"/>
      </w:pPr>
    </w:p>
    <w:p w14:paraId="74B18BBC" w14:textId="77777777" w:rsidR="00ED1FF6" w:rsidRDefault="00ED1FF6" w:rsidP="00ED1FF6">
      <w:pPr>
        <w:pStyle w:val="NoSpacing"/>
        <w:ind w:left="720"/>
      </w:pPr>
      <w:r>
        <w:t xml:space="preserve">The parties do not dispute that </w:t>
      </w:r>
      <w:proofErr w:type="gramStart"/>
      <w:r>
        <w:t>defendant’s</w:t>
      </w:r>
      <w:proofErr w:type="gramEnd"/>
      <w:r>
        <w:t xml:space="preserve"> consent to </w:t>
      </w:r>
      <w:proofErr w:type="gramStart"/>
      <w:r>
        <w:t>search</w:t>
      </w:r>
      <w:proofErr w:type="gramEnd"/>
      <w:r>
        <w:t xml:space="preserve"> the DVR was valid. They dispute only whether the warrantless seizure of the DVR was justified by the exigency exception to the warrant requirement. The trial judge, focusing on the fact that the garage itself was not on fire, granted defendant’s motion to suppress the </w:t>
      </w:r>
      <w:r>
        <w:lastRenderedPageBreak/>
        <w:t>DVR. The Appellate Division affirmed. We granted the State’s motion for leave to appeal and have proceeded on an accelerated basis.</w:t>
      </w:r>
    </w:p>
    <w:p w14:paraId="5A4A9F5C" w14:textId="77777777" w:rsidR="00ED1FF6" w:rsidRDefault="00ED1FF6" w:rsidP="00ED1FF6">
      <w:pPr>
        <w:pStyle w:val="NoSpacing"/>
        <w:ind w:left="720"/>
      </w:pPr>
    </w:p>
    <w:p w14:paraId="7BD07432" w14:textId="77777777" w:rsidR="00ED1FF6" w:rsidRDefault="00ED1FF6" w:rsidP="00ED1FF6">
      <w:pPr>
        <w:pStyle w:val="NoSpacing"/>
        <w:ind w:left="720"/>
      </w:pPr>
      <w:r>
        <w:t>***</w:t>
      </w:r>
    </w:p>
    <w:p w14:paraId="070691F6" w14:textId="77777777" w:rsidR="00ED1FF6" w:rsidRDefault="00ED1FF6" w:rsidP="00ED1FF6">
      <w:pPr>
        <w:pStyle w:val="NoSpacing"/>
        <w:ind w:left="720"/>
      </w:pPr>
      <w:r w:rsidRPr="00305E47">
        <w:t>Under the totality of the circumstances in this case, the police acted in an</w:t>
      </w:r>
      <w:r>
        <w:t xml:space="preserve"> </w:t>
      </w:r>
      <w:r w:rsidRPr="00305E47">
        <w:t>objectively reasonable manner to meet an exigency that did not permit time to secure</w:t>
      </w:r>
      <w:r>
        <w:t xml:space="preserve"> </w:t>
      </w:r>
      <w:r w:rsidRPr="00305E47">
        <w:t xml:space="preserve">a warrant. No bright-line rule governs the question of </w:t>
      </w:r>
      <w:proofErr w:type="gramStart"/>
      <w:r w:rsidRPr="00305E47">
        <w:t>exigency, and</w:t>
      </w:r>
      <w:proofErr w:type="gramEnd"/>
      <w:r w:rsidRPr="00305E47">
        <w:t xml:space="preserve"> determining</w:t>
      </w:r>
      <w:r>
        <w:t xml:space="preserve"> </w:t>
      </w:r>
      <w:r w:rsidRPr="00305E47">
        <w:t xml:space="preserve">whether the exigency exception to the </w:t>
      </w:r>
      <w:proofErr w:type="gramStart"/>
      <w:r w:rsidRPr="00305E47">
        <w:t>warrant requirement applies</w:t>
      </w:r>
      <w:proofErr w:type="gramEnd"/>
      <w:r w:rsidRPr="00305E47">
        <w:t xml:space="preserve"> requires courts to</w:t>
      </w:r>
      <w:r>
        <w:t xml:space="preserve"> </w:t>
      </w:r>
      <w:r w:rsidRPr="00F565F4">
        <w:t>conduct an objective, fact-sensitive analysis. Drawing de novo legal conclusions</w:t>
      </w:r>
      <w:r>
        <w:t xml:space="preserve"> </w:t>
      </w:r>
      <w:r w:rsidRPr="00F565F4">
        <w:t>from the facts found by the trial judge, the Court finds that here, time was of the</w:t>
      </w:r>
      <w:r>
        <w:t xml:space="preserve"> </w:t>
      </w:r>
      <w:r w:rsidRPr="00F565F4">
        <w:t>essence, delay was not reasonable, and seizure of the DVR by the police without a</w:t>
      </w:r>
      <w:r>
        <w:t xml:space="preserve"> </w:t>
      </w:r>
      <w:r w:rsidRPr="00F565F4">
        <w:t xml:space="preserve">warrant was justified by exigent </w:t>
      </w:r>
      <w:r>
        <w:t>c</w:t>
      </w:r>
      <w:r w:rsidRPr="00F565F4">
        <w:t>ircumstances.</w:t>
      </w:r>
      <w:r>
        <w:t>”</w:t>
      </w:r>
    </w:p>
    <w:p w14:paraId="221A3E25" w14:textId="77777777" w:rsidR="00ED1FF6" w:rsidRDefault="00ED1FF6" w:rsidP="00ED1FF6">
      <w:pPr>
        <w:pStyle w:val="NoSpacing"/>
        <w:ind w:left="720"/>
      </w:pPr>
    </w:p>
    <w:p w14:paraId="63CED89F" w14:textId="77777777" w:rsidR="00ED1FF6" w:rsidRDefault="00ED1FF6" w:rsidP="00ED1FF6">
      <w:pPr>
        <w:pStyle w:val="NoSpacing"/>
        <w:rPr>
          <w:b/>
          <w:bCs/>
        </w:rPr>
      </w:pPr>
      <w:r>
        <w:rPr>
          <w:b/>
        </w:rPr>
        <w:t>Legal lesson learned: Exigent circumstances justified seizing the security camera without a search warrant.</w:t>
      </w:r>
    </w:p>
    <w:p w14:paraId="11593B09" w14:textId="77777777" w:rsidR="00ED1FF6" w:rsidRDefault="00ED1FF6" w:rsidP="00ED1FF6">
      <w:pPr>
        <w:pStyle w:val="NoSpacing"/>
        <w:rPr>
          <w:b/>
          <w:bCs/>
        </w:rPr>
      </w:pPr>
    </w:p>
    <w:p w14:paraId="79C95776" w14:textId="77777777" w:rsidR="00ED1FF6" w:rsidRDefault="00ED1FF6" w:rsidP="00037CB8">
      <w:pPr>
        <w:pStyle w:val="NoSpacing"/>
        <w:rPr>
          <w:rFonts w:ascii="Arial Black" w:hAnsi="Arial Black"/>
          <w:sz w:val="24"/>
          <w:szCs w:val="24"/>
        </w:rPr>
      </w:pPr>
    </w:p>
    <w:p w14:paraId="7C5061BC" w14:textId="77777777" w:rsidR="00C137EF" w:rsidRDefault="00C137EF" w:rsidP="00037CB8">
      <w:pPr>
        <w:pStyle w:val="NoSpacing"/>
        <w:rPr>
          <w:rFonts w:ascii="Arial Black" w:hAnsi="Arial Black"/>
          <w:sz w:val="24"/>
          <w:szCs w:val="24"/>
        </w:rPr>
      </w:pPr>
    </w:p>
    <w:p w14:paraId="38BC3130" w14:textId="77777777" w:rsidR="00C137EF" w:rsidRDefault="00C137EF" w:rsidP="00037CB8">
      <w:pPr>
        <w:pStyle w:val="NoSpacing"/>
        <w:rPr>
          <w:rFonts w:ascii="Arial Black" w:hAnsi="Arial Black"/>
          <w:sz w:val="24"/>
          <w:szCs w:val="24"/>
        </w:rPr>
      </w:pPr>
    </w:p>
    <w:p w14:paraId="7661086B" w14:textId="77777777" w:rsidR="00C137EF" w:rsidRDefault="00C137EF" w:rsidP="00037CB8">
      <w:pPr>
        <w:pStyle w:val="NoSpacing"/>
        <w:rPr>
          <w:rFonts w:ascii="Arial Black" w:hAnsi="Arial Black"/>
          <w:sz w:val="24"/>
          <w:szCs w:val="24"/>
        </w:rPr>
      </w:pPr>
    </w:p>
    <w:p w14:paraId="243C462B" w14:textId="26B7DB33" w:rsidR="00D035D9" w:rsidRDefault="00D035D9" w:rsidP="00037CB8">
      <w:pPr>
        <w:pStyle w:val="NoSpacing"/>
        <w:rPr>
          <w:rFonts w:ascii="Arial Black" w:hAnsi="Arial Black"/>
          <w:sz w:val="24"/>
          <w:szCs w:val="24"/>
        </w:rPr>
      </w:pPr>
      <w:r>
        <w:rPr>
          <w:rFonts w:ascii="Arial Black" w:hAnsi="Arial Black"/>
          <w:sz w:val="24"/>
          <w:szCs w:val="24"/>
        </w:rPr>
        <w:t>1-</w:t>
      </w:r>
      <w:r w:rsidR="0028642A">
        <w:rPr>
          <w:rFonts w:ascii="Arial Black" w:hAnsi="Arial Black"/>
          <w:sz w:val="24"/>
          <w:szCs w:val="24"/>
        </w:rPr>
        <w:t>20</w:t>
      </w:r>
      <w:r w:rsidR="00A44AF2">
        <w:rPr>
          <w:rFonts w:ascii="Arial Black" w:hAnsi="Arial Black"/>
          <w:sz w:val="24"/>
          <w:szCs w:val="24"/>
        </w:rPr>
        <w:t>0</w:t>
      </w:r>
    </w:p>
    <w:p w14:paraId="4686B41B" w14:textId="77777777" w:rsidR="00D035D9" w:rsidRDefault="00D035D9" w:rsidP="00037CB8">
      <w:pPr>
        <w:pStyle w:val="NoSpacing"/>
        <w:rPr>
          <w:rFonts w:ascii="Arial Black" w:hAnsi="Arial Black"/>
          <w:sz w:val="24"/>
          <w:szCs w:val="24"/>
        </w:rPr>
      </w:pPr>
    </w:p>
    <w:p w14:paraId="66EA8208" w14:textId="2E3C5C85" w:rsidR="00D035D9" w:rsidRPr="00DD3D69" w:rsidRDefault="00D035D9" w:rsidP="00D035D9">
      <w:pPr>
        <w:rPr>
          <w:rFonts w:ascii="Arial Black" w:hAnsi="Arial Black"/>
          <w:b/>
          <w:sz w:val="28"/>
          <w:szCs w:val="28"/>
        </w:rPr>
      </w:pPr>
      <w:r>
        <w:rPr>
          <w:rFonts w:ascii="Arial Black" w:hAnsi="Arial Black"/>
          <w:b/>
          <w:sz w:val="28"/>
          <w:szCs w:val="28"/>
        </w:rPr>
        <w:t>UT: TOWN COUNCIL – DID</w:t>
      </w:r>
      <w:r w:rsidR="00932FB7">
        <w:rPr>
          <w:rFonts w:ascii="Arial Black" w:hAnsi="Arial Black"/>
          <w:b/>
          <w:sz w:val="28"/>
          <w:szCs w:val="28"/>
        </w:rPr>
        <w:t xml:space="preserve">N’T </w:t>
      </w:r>
      <w:r>
        <w:rPr>
          <w:rFonts w:ascii="Arial Black" w:hAnsi="Arial Black"/>
          <w:b/>
          <w:sz w:val="28"/>
          <w:szCs w:val="28"/>
        </w:rPr>
        <w:t xml:space="preserve"> APPROVE NEW CHIEF</w:t>
      </w:r>
      <w:r w:rsidR="00932FB7">
        <w:rPr>
          <w:rFonts w:ascii="Arial Black" w:hAnsi="Arial Black"/>
          <w:b/>
          <w:sz w:val="28"/>
          <w:szCs w:val="28"/>
        </w:rPr>
        <w:t xml:space="preserve"> – NO SEVERANCE</w:t>
      </w:r>
    </w:p>
    <w:p w14:paraId="4D8B4ACA" w14:textId="77777777" w:rsidR="00D035D9" w:rsidRPr="009C12DF" w:rsidRDefault="00D035D9" w:rsidP="00D035D9">
      <w:pPr>
        <w:pStyle w:val="NoSpacing"/>
        <w:rPr>
          <w:bCs/>
        </w:rPr>
      </w:pPr>
      <w:r w:rsidRPr="00DF4246">
        <w:t xml:space="preserve">On December 26, 2025, in </w:t>
      </w:r>
      <w:r w:rsidRPr="00DF4246">
        <w:rPr>
          <w:u w:val="single"/>
        </w:rPr>
        <w:t>Daniel N. Musser v. Town of Apple Valley, et al</w:t>
      </w:r>
      <w:r w:rsidRPr="00DF4246">
        <w:t>.</w:t>
      </w:r>
      <w:r>
        <w:rPr>
          <w:b/>
        </w:rPr>
        <w:t xml:space="preserve">, </w:t>
      </w:r>
      <w:r w:rsidRPr="00DF4246">
        <w:t>the Court of Appeals of Utah</w:t>
      </w:r>
      <w:r>
        <w:t xml:space="preserve"> held (3 to 0) that the trial court properly dismissed the lawsuit by the plaintiff seeking a severance payment of one year’s salary.  On November 4, </w:t>
      </w:r>
      <w:proofErr w:type="gramStart"/>
      <w:r>
        <w:t>2021</w:t>
      </w:r>
      <w:proofErr w:type="gramEnd"/>
      <w:r>
        <w:t xml:space="preserve"> he signed a contract to be Fire Chief and Police Chief, two days after the election of the new Mayor, </w:t>
      </w:r>
      <w:r w:rsidRPr="00FC03C2">
        <w:t>Dina Mason Walters</w:t>
      </w:r>
      <w:r>
        <w:t>, who took office one month later.  According to his lawsuit: “</w:t>
      </w:r>
      <w:r w:rsidRPr="008527CE">
        <w:t>In August 2021, Apple Valley’s mayor, Dale Beddo (</w:t>
      </w:r>
      <w:r>
        <w:t>‘</w:t>
      </w:r>
      <w:r w:rsidRPr="008527CE">
        <w:t>Mayor Beddo</w:t>
      </w:r>
      <w:r>
        <w:t>’</w:t>
      </w:r>
      <w:r w:rsidRPr="008527CE">
        <w:t xml:space="preserve">), contacted Plaintiff </w:t>
      </w:r>
      <w:r>
        <w:t xml:space="preserve"> </w:t>
      </w:r>
      <w:r w:rsidRPr="008527CE">
        <w:t>and inquired whether Plaintiff would be interested in a position with Apple Valley as the police chief and fire chief</w:t>
      </w:r>
      <w:r>
        <w:t xml:space="preserve">…. </w:t>
      </w:r>
      <w:r w:rsidRPr="008561FF">
        <w:t xml:space="preserve">Plaintiff informed Mayor Beddo that although Plaintiff had worked for the Colorado City Marshals Office for over six years, trained, and worked with the Colorado City Fire </w:t>
      </w:r>
      <w:r>
        <w:t xml:space="preserve"> </w:t>
      </w:r>
      <w:r w:rsidRPr="008561FF">
        <w:t>Department, Plaintiff did not have any Fire Certifications.</w:t>
      </w:r>
      <w:r>
        <w:t xml:space="preserve">”  He then obtained the required certifications to be a Utah firefighter and police officer.  He apparently did not know that </w:t>
      </w:r>
      <w:r w:rsidRPr="009C12DF">
        <w:t>under a council-mayor form of government, Utah law required the advice and consent of the Council</w:t>
      </w:r>
      <w:r>
        <w:t xml:space="preserve"> </w:t>
      </w:r>
      <w:r w:rsidRPr="009C12DF">
        <w:t>when appointing a department head. See Utah Code § 10-3b-202(1)(d)(ii).</w:t>
      </w:r>
      <w:r>
        <w:t xml:space="preserve">  The new Mayor, Ms. Walters, </w:t>
      </w:r>
      <w:r w:rsidRPr="00C21543">
        <w:t xml:space="preserve">took office on January 3, 2022. A week later, she and a majority of the </w:t>
      </w:r>
      <w:r>
        <w:t xml:space="preserve">[5-member] </w:t>
      </w:r>
      <w:r w:rsidRPr="00C21543">
        <w:t>Council sent Musser a letter terminating his</w:t>
      </w:r>
      <w:r>
        <w:t xml:space="preserve"> </w:t>
      </w:r>
      <w:r w:rsidRPr="00C21543">
        <w:t>employment</w:t>
      </w:r>
      <w:r>
        <w:t xml:space="preserve">. </w:t>
      </w:r>
      <w:hyperlink r:id="rId32" w:history="1">
        <w:r w:rsidRPr="007B3445">
          <w:rPr>
            <w:rStyle w:val="Hyperlink"/>
          </w:rPr>
          <w:t>https://cases.justia.com/utah/court-of-appeals-published/2025-20241334-ca.pdf?ts=1766864394</w:t>
        </w:r>
      </w:hyperlink>
      <w:r>
        <w:t xml:space="preserve"> </w:t>
      </w:r>
    </w:p>
    <w:p w14:paraId="73C11812" w14:textId="77777777" w:rsidR="00D035D9" w:rsidRDefault="00D035D9" w:rsidP="00D035D9">
      <w:pPr>
        <w:rPr>
          <w:bCs/>
        </w:rPr>
      </w:pPr>
    </w:p>
    <w:p w14:paraId="51C571EF" w14:textId="77777777" w:rsidR="00D035D9" w:rsidRDefault="00D035D9" w:rsidP="00D035D9">
      <w:pPr>
        <w:rPr>
          <w:bCs/>
        </w:rPr>
      </w:pPr>
      <w:r>
        <w:t xml:space="preserve">THE COURT HELD:  </w:t>
      </w:r>
    </w:p>
    <w:p w14:paraId="1EB0C05B" w14:textId="77777777" w:rsidR="00D035D9" w:rsidRDefault="00D035D9" w:rsidP="00D035D9">
      <w:pPr>
        <w:pStyle w:val="NoSpacing"/>
        <w:ind w:left="720"/>
        <w:rPr>
          <w:bCs/>
        </w:rPr>
      </w:pPr>
      <w:r>
        <w:t>“</w:t>
      </w:r>
      <w:r w:rsidRPr="00F2593C">
        <w:t xml:space="preserve">On November 2, 2021, </w:t>
      </w:r>
      <w:r>
        <w:t>[D</w:t>
      </w:r>
      <w:r w:rsidRPr="004B6AE3">
        <w:t xml:space="preserve">ina Mason </w:t>
      </w:r>
      <w:r>
        <w:t xml:space="preserve">] </w:t>
      </w:r>
      <w:r w:rsidRPr="00F2593C">
        <w:t>Walters was elected mayor of Apple Valley, with her term beginning in January 2022. Two days later,</w:t>
      </w:r>
      <w:r>
        <w:t xml:space="preserve"> </w:t>
      </w:r>
      <w:r w:rsidRPr="00F2593C">
        <w:t xml:space="preserve">on November 4, 2021, Musser </w:t>
      </w:r>
      <w:proofErr w:type="gramStart"/>
      <w:r w:rsidRPr="00F2593C">
        <w:t>entered into</w:t>
      </w:r>
      <w:proofErr w:type="gramEnd"/>
      <w:r w:rsidRPr="00F2593C">
        <w:t xml:space="preserve"> the Contract with Apple Valley to employ him as the chief of its fire and police</w:t>
      </w:r>
      <w:r>
        <w:t xml:space="preserve"> </w:t>
      </w:r>
      <w:r w:rsidRPr="00F2593C">
        <w:t>departments.</w:t>
      </w:r>
      <w:r>
        <w:t xml:space="preserve">  </w:t>
      </w:r>
      <w:r w:rsidRPr="00F2593C">
        <w:t xml:space="preserve">The mayor pro </w:t>
      </w:r>
      <w:proofErr w:type="spellStart"/>
      <w:proofErr w:type="gramStart"/>
      <w:r w:rsidRPr="00F2593C">
        <w:t>tem</w:t>
      </w:r>
      <w:proofErr w:type="spellEnd"/>
      <w:proofErr w:type="gramEnd"/>
      <w:r w:rsidRPr="00F2593C">
        <w:t xml:space="preserve"> </w:t>
      </w:r>
      <w:r>
        <w:t xml:space="preserve">[temporary acting Mayor] </w:t>
      </w:r>
      <w:r w:rsidRPr="00F2593C">
        <w:t>signed on behalf of Apple Valley. Musser began his employment on November 11, 2021.</w:t>
      </w:r>
    </w:p>
    <w:p w14:paraId="7DD0376D" w14:textId="77777777" w:rsidR="00D035D9" w:rsidRDefault="00D035D9" w:rsidP="00D035D9">
      <w:pPr>
        <w:pStyle w:val="NoSpacing"/>
        <w:ind w:left="720"/>
        <w:rPr>
          <w:bCs/>
        </w:rPr>
      </w:pPr>
    </w:p>
    <w:p w14:paraId="37EB3EAB" w14:textId="77777777" w:rsidR="00D035D9" w:rsidRDefault="00D035D9" w:rsidP="00D035D9">
      <w:pPr>
        <w:pStyle w:val="NoSpacing"/>
        <w:ind w:left="720"/>
        <w:rPr>
          <w:bCs/>
        </w:rPr>
      </w:pPr>
      <w:r w:rsidRPr="006D2942">
        <w:t xml:space="preserve">In response to concerns about the validity of the Contract and Musser's employment, the mayor pro </w:t>
      </w:r>
      <w:proofErr w:type="spellStart"/>
      <w:r w:rsidRPr="006D2942">
        <w:t>tem</w:t>
      </w:r>
      <w:proofErr w:type="spellEnd"/>
      <w:r w:rsidRPr="006D2942">
        <w:t xml:space="preserve"> presented the Council</w:t>
      </w:r>
      <w:r>
        <w:t xml:space="preserve"> </w:t>
      </w:r>
      <w:r w:rsidRPr="006D2942">
        <w:t>with a resolution (the Appointment Resolution) on December 2, 2021, to confirm Musser's appointment as the police and fire</w:t>
      </w:r>
      <w:r>
        <w:t xml:space="preserve"> </w:t>
      </w:r>
      <w:r w:rsidRPr="004E3A4E">
        <w:t>chief. Of the five Council members, only three voted on the Appointment Resolution, with two in favor and one against. The</w:t>
      </w:r>
      <w:r>
        <w:t xml:space="preserve"> </w:t>
      </w:r>
      <w:r w:rsidRPr="004E3A4E">
        <w:t>other two Council members were absent from the vote.</w:t>
      </w:r>
    </w:p>
    <w:p w14:paraId="56CFF984" w14:textId="77777777" w:rsidR="00D035D9" w:rsidRDefault="00D035D9" w:rsidP="00D035D9">
      <w:pPr>
        <w:pStyle w:val="NoSpacing"/>
        <w:ind w:left="720"/>
        <w:rPr>
          <w:bCs/>
        </w:rPr>
      </w:pPr>
    </w:p>
    <w:p w14:paraId="03A41D2A" w14:textId="77777777" w:rsidR="00D035D9" w:rsidRDefault="00D035D9" w:rsidP="00D035D9">
      <w:pPr>
        <w:pStyle w:val="NoSpacing"/>
        <w:ind w:left="720"/>
        <w:rPr>
          <w:bCs/>
        </w:rPr>
      </w:pPr>
      <w:r w:rsidRPr="00C21543">
        <w:lastRenderedPageBreak/>
        <w:t xml:space="preserve">Walters took office on January 3, 2022. A week later, she and </w:t>
      </w:r>
      <w:proofErr w:type="gramStart"/>
      <w:r w:rsidRPr="00C21543">
        <w:t>a majority of</w:t>
      </w:r>
      <w:proofErr w:type="gramEnd"/>
      <w:r w:rsidRPr="00C21543">
        <w:t xml:space="preserve"> the Council sent Musser a letter terminating his</w:t>
      </w:r>
      <w:r>
        <w:t xml:space="preserve"> </w:t>
      </w:r>
      <w:r w:rsidRPr="00C21543">
        <w:t>employment, which gave several reasons for Musser's termination. As relevant to this appeal, the letter explained that Musser's</w:t>
      </w:r>
      <w:r>
        <w:t xml:space="preserve"> </w:t>
      </w:r>
      <w:r w:rsidRPr="00C21543">
        <w:t xml:space="preserve">termination was necessary because the Council </w:t>
      </w:r>
      <w:r>
        <w:t>‘</w:t>
      </w:r>
      <w:r w:rsidRPr="00C21543">
        <w:t>never approved or ratified</w:t>
      </w:r>
      <w:r>
        <w:t>’</w:t>
      </w:r>
      <w:r w:rsidRPr="00C21543">
        <w:t xml:space="preserve"> the Contract.</w:t>
      </w:r>
    </w:p>
    <w:p w14:paraId="49FF906D" w14:textId="77777777" w:rsidR="00D035D9" w:rsidRDefault="00D035D9" w:rsidP="00D035D9">
      <w:pPr>
        <w:pStyle w:val="NoSpacing"/>
        <w:ind w:left="720"/>
        <w:rPr>
          <w:bCs/>
        </w:rPr>
      </w:pPr>
    </w:p>
    <w:p w14:paraId="6C5479F7" w14:textId="77777777" w:rsidR="00D035D9" w:rsidRDefault="00D035D9" w:rsidP="00D035D9">
      <w:pPr>
        <w:pStyle w:val="NoSpacing"/>
        <w:ind w:left="720"/>
        <w:rPr>
          <w:bCs/>
        </w:rPr>
      </w:pPr>
      <w:r>
        <w:t>***</w:t>
      </w:r>
    </w:p>
    <w:p w14:paraId="7FD7E6CC" w14:textId="77777777" w:rsidR="00D035D9" w:rsidRDefault="00D035D9" w:rsidP="00D035D9">
      <w:pPr>
        <w:pStyle w:val="NoSpacing"/>
        <w:ind w:left="720"/>
        <w:rPr>
          <w:bCs/>
        </w:rPr>
      </w:pPr>
      <w:r w:rsidRPr="00711A48">
        <w:t>In response to his termination, Musser filed a complaint against the Town alleging breach of the Contract because he</w:t>
      </w:r>
      <w:r>
        <w:t xml:space="preserve"> </w:t>
      </w:r>
      <w:r w:rsidRPr="00711A48">
        <w:t xml:space="preserve">was terminated </w:t>
      </w:r>
      <w:r>
        <w:t>‘</w:t>
      </w:r>
      <w:r w:rsidRPr="00711A48">
        <w:t>without notice</w:t>
      </w:r>
      <w:r>
        <w:t>’</w:t>
      </w:r>
      <w:r w:rsidRPr="00711A48">
        <w:t xml:space="preserve"> and was not given the severance he was entitled to under the Contract. The Contract described</w:t>
      </w:r>
      <w:r>
        <w:t xml:space="preserve"> </w:t>
      </w:r>
      <w:r w:rsidRPr="00711A48">
        <w:t xml:space="preserve">reasonable and sufficient notice as </w:t>
      </w:r>
      <w:r>
        <w:t>‘</w:t>
      </w:r>
      <w:r w:rsidRPr="00711A48">
        <w:t>the greater of four (4) weeks or any minimum notice required by law</w:t>
      </w:r>
      <w:r>
        <w:t xml:space="preserve">’ </w:t>
      </w:r>
      <w:r w:rsidRPr="00711A48">
        <w:t xml:space="preserve"> and provided, </w:t>
      </w:r>
      <w:r>
        <w:t>‘</w:t>
      </w:r>
      <w:r w:rsidRPr="00711A48">
        <w:t>Upon</w:t>
      </w:r>
      <w:r>
        <w:t xml:space="preserve"> </w:t>
      </w:r>
      <w:r w:rsidRPr="00711A48">
        <w:t>any termination, by [Apple Valley], the employee will be entitled to one full year of compensation paid within 14 days of</w:t>
      </w:r>
      <w:r>
        <w:t xml:space="preserve"> </w:t>
      </w:r>
      <w:r w:rsidRPr="00711A48">
        <w:t>termination.</w:t>
      </w:r>
      <w:r>
        <w:t>’</w:t>
      </w:r>
    </w:p>
    <w:p w14:paraId="18BE19DF" w14:textId="77777777" w:rsidR="00D035D9" w:rsidRDefault="00D035D9" w:rsidP="00D035D9">
      <w:pPr>
        <w:pStyle w:val="NoSpacing"/>
        <w:ind w:left="720"/>
        <w:rPr>
          <w:bCs/>
        </w:rPr>
      </w:pPr>
    </w:p>
    <w:p w14:paraId="4FF339EE" w14:textId="77777777" w:rsidR="00D035D9" w:rsidRDefault="00D035D9" w:rsidP="00D035D9">
      <w:pPr>
        <w:pStyle w:val="NoSpacing"/>
        <w:ind w:left="720"/>
        <w:rPr>
          <w:bCs/>
        </w:rPr>
      </w:pPr>
      <w:r>
        <w:t>***</w:t>
      </w:r>
    </w:p>
    <w:p w14:paraId="410248F6" w14:textId="77777777" w:rsidR="00D035D9" w:rsidRDefault="00D035D9" w:rsidP="00D035D9">
      <w:pPr>
        <w:pStyle w:val="NoSpacing"/>
        <w:ind w:left="720"/>
        <w:rPr>
          <w:bCs/>
        </w:rPr>
      </w:pPr>
    </w:p>
    <w:p w14:paraId="0FB5D59E" w14:textId="77777777" w:rsidR="00D035D9" w:rsidRDefault="00D035D9" w:rsidP="00D035D9">
      <w:pPr>
        <w:pStyle w:val="NoSpacing"/>
        <w:ind w:left="720"/>
        <w:rPr>
          <w:bCs/>
        </w:rPr>
      </w:pPr>
      <w:r w:rsidRPr="0049467E">
        <w:t>The district court concluded that the Contract was null and void as an ultra vires act because Musser was hired without</w:t>
      </w:r>
      <w:r>
        <w:t xml:space="preserve"> </w:t>
      </w:r>
      <w:r w:rsidRPr="0049467E">
        <w:t>the advice and consent of the Council. Specifically, the district court concluded that the council-mayor form of government</w:t>
      </w:r>
      <w:r>
        <w:t xml:space="preserve"> ‘</w:t>
      </w:r>
      <w:r w:rsidRPr="0049467E">
        <w:t>allowed [Musser] to be hired as the head of [Apple Valley's] police and fire departments only with the advice and consent</w:t>
      </w:r>
      <w:r>
        <w:t xml:space="preserve"> </w:t>
      </w:r>
      <w:r w:rsidRPr="0049467E">
        <w:t>of the ... Council</w:t>
      </w:r>
      <w:r>
        <w:t xml:space="preserve">’ </w:t>
      </w:r>
      <w:r w:rsidRPr="0049467E">
        <w:t xml:space="preserve">pursuant to Utah law. Because the Contract was </w:t>
      </w:r>
      <w:r>
        <w:t>‘</w:t>
      </w:r>
      <w:r w:rsidRPr="0049467E">
        <w:t>executed in violation of ... statute,</w:t>
      </w:r>
      <w:r>
        <w:t>’</w:t>
      </w:r>
      <w:r w:rsidRPr="0049467E">
        <w:t xml:space="preserve"> it was </w:t>
      </w:r>
      <w:r>
        <w:t>‘</w:t>
      </w:r>
      <w:r w:rsidRPr="0049467E">
        <w:t>null and void</w:t>
      </w:r>
      <w:r>
        <w:t xml:space="preserve"> </w:t>
      </w:r>
      <w:r w:rsidRPr="0049467E">
        <w:t>as an ultra vires act.</w:t>
      </w:r>
      <w:r>
        <w:t>’</w:t>
      </w:r>
    </w:p>
    <w:p w14:paraId="4DD0D67B" w14:textId="77777777" w:rsidR="00D035D9" w:rsidRDefault="00D035D9" w:rsidP="00D035D9">
      <w:pPr>
        <w:pStyle w:val="NoSpacing"/>
        <w:ind w:left="720"/>
        <w:rPr>
          <w:bCs/>
        </w:rPr>
      </w:pPr>
    </w:p>
    <w:p w14:paraId="5FC0FC7B" w14:textId="77777777" w:rsidR="00D035D9" w:rsidRDefault="00D035D9" w:rsidP="00D035D9">
      <w:pPr>
        <w:pStyle w:val="NoSpacing"/>
        <w:ind w:left="720"/>
        <w:rPr>
          <w:bCs/>
        </w:rPr>
      </w:pPr>
      <w:r w:rsidRPr="0099019A">
        <w:t xml:space="preserve">Musser does not challenge this conclusion by the district court. Rather, he asserts </w:t>
      </w:r>
      <w:proofErr w:type="gramStart"/>
      <w:r w:rsidRPr="0099019A">
        <w:t>a number of</w:t>
      </w:r>
      <w:proofErr w:type="gramEnd"/>
      <w:r w:rsidRPr="0099019A">
        <w:t xml:space="preserve"> arguments as to why the</w:t>
      </w:r>
      <w:r>
        <w:t xml:space="preserve"> </w:t>
      </w:r>
      <w:r w:rsidRPr="0099019A">
        <w:t>Contract is nonetheless enforceable, including that he had no knowledge of the relevant statutes and ordinances and that Apple</w:t>
      </w:r>
      <w:r>
        <w:t xml:space="preserve"> </w:t>
      </w:r>
      <w:r w:rsidRPr="0099019A">
        <w:t>Valley ratified the Contract by acquiescence. We find neither argument persuasive</w:t>
      </w:r>
      <w:r>
        <w:t xml:space="preserve">…. </w:t>
      </w:r>
      <w:r w:rsidRPr="00B50A0A">
        <w:t xml:space="preserve">Thus, the mayor pro </w:t>
      </w:r>
      <w:proofErr w:type="spellStart"/>
      <w:r w:rsidRPr="00B50A0A">
        <w:t>tem's</w:t>
      </w:r>
      <w:proofErr w:type="spellEnd"/>
      <w:r w:rsidRPr="00B50A0A">
        <w:t xml:space="preserve"> apparent authority and Musser's lack of knowledge are irrelevant and cannot overcome</w:t>
      </w:r>
      <w:r>
        <w:t xml:space="preserve"> </w:t>
      </w:r>
      <w:r w:rsidRPr="00B50A0A">
        <w:t>the fact that the Contract was never approved by Apple Valley</w:t>
      </w:r>
      <w:r>
        <w:t xml:space="preserve">…. </w:t>
      </w:r>
      <w:r w:rsidRPr="00100751">
        <w:t>The district court did not err in concluding that the Contract was invalid, because the Council never gave its advice and</w:t>
      </w:r>
      <w:r>
        <w:t xml:space="preserve"> </w:t>
      </w:r>
      <w:r w:rsidRPr="00100751">
        <w:t>consent as required by statute. Musser's arguments to the contrary are unavailing. Accordingly, we affirm the district court's</w:t>
      </w:r>
      <w:r>
        <w:t xml:space="preserve"> </w:t>
      </w:r>
      <w:r w:rsidRPr="00100751">
        <w:t>grant of summary judgment in favor of the Town</w:t>
      </w:r>
      <w:r>
        <w:t>.”</w:t>
      </w:r>
    </w:p>
    <w:p w14:paraId="09A2E5AF" w14:textId="77777777" w:rsidR="00D035D9" w:rsidRDefault="00D035D9" w:rsidP="00D035D9">
      <w:pPr>
        <w:pStyle w:val="NoSpacing"/>
        <w:ind w:left="720"/>
        <w:rPr>
          <w:bCs/>
        </w:rPr>
      </w:pPr>
    </w:p>
    <w:p w14:paraId="49522CBC" w14:textId="77777777" w:rsidR="00D035D9" w:rsidRDefault="00D035D9" w:rsidP="00D035D9">
      <w:pPr>
        <w:pStyle w:val="NoSpacing"/>
        <w:rPr>
          <w:b/>
        </w:rPr>
      </w:pPr>
      <w:r>
        <w:rPr>
          <w:b/>
        </w:rPr>
        <w:t>Legal lesson learned: Before accepting new position as Fire Chief, you need to first meet with the incoming Mayor and Council members before signing the contract.</w:t>
      </w:r>
    </w:p>
    <w:p w14:paraId="708B110B" w14:textId="77777777" w:rsidR="00D035D9" w:rsidRDefault="00D035D9" w:rsidP="00D035D9">
      <w:pPr>
        <w:pStyle w:val="NoSpacing"/>
        <w:rPr>
          <w:b/>
        </w:rPr>
      </w:pPr>
    </w:p>
    <w:p w14:paraId="2219D0A7" w14:textId="77777777" w:rsidR="00D035D9" w:rsidRDefault="00D035D9" w:rsidP="00D035D9">
      <w:pPr>
        <w:pStyle w:val="NoSpacing"/>
      </w:pPr>
      <w:r w:rsidRPr="0056174D">
        <w:t xml:space="preserve">Note:  </w:t>
      </w:r>
      <w:r>
        <w:t xml:space="preserve">Read the plaintiff’s lawsuit; he apparently had been in discussions with Mayor Dale Beddo since August 2021 and took the necessary courses to be certified as a firefighter and police officer.  </w:t>
      </w:r>
      <w:hyperlink r:id="rId33" w:history="1">
        <w:r w:rsidRPr="00811005">
          <w:rPr>
            <w:rStyle w:val="Hyperlink"/>
          </w:rPr>
          <w:t>https://www.facebook.com/groups/336997465025309/posts/424479052943816/</w:t>
        </w:r>
      </w:hyperlink>
    </w:p>
    <w:p w14:paraId="536661AC" w14:textId="77777777" w:rsidR="00D035D9" w:rsidRDefault="00D035D9" w:rsidP="00D035D9">
      <w:pPr>
        <w:pStyle w:val="NoSpacing"/>
      </w:pPr>
    </w:p>
    <w:p w14:paraId="131854FD" w14:textId="77777777" w:rsidR="00473C4B" w:rsidRDefault="00D035D9" w:rsidP="00037CB8">
      <w:pPr>
        <w:pStyle w:val="NoSpacing"/>
        <w:rPr>
          <w:rFonts w:ascii="Arial Black" w:hAnsi="Arial Black"/>
          <w:sz w:val="24"/>
          <w:szCs w:val="24"/>
        </w:rPr>
      </w:pPr>
      <w:r>
        <w:rPr>
          <w:rFonts w:ascii="Arial Black" w:hAnsi="Arial Black"/>
          <w:sz w:val="24"/>
          <w:szCs w:val="24"/>
        </w:rPr>
        <w:t xml:space="preserve"> </w:t>
      </w:r>
    </w:p>
    <w:p w14:paraId="22ADC4D3" w14:textId="4DC2845E" w:rsidR="00473C4B" w:rsidRDefault="00473C4B" w:rsidP="00037CB8">
      <w:pPr>
        <w:pStyle w:val="NoSpacing"/>
        <w:rPr>
          <w:rFonts w:ascii="Arial Black" w:hAnsi="Arial Black"/>
          <w:sz w:val="24"/>
          <w:szCs w:val="24"/>
        </w:rPr>
      </w:pPr>
      <w:r>
        <w:rPr>
          <w:rFonts w:ascii="Arial Black" w:hAnsi="Arial Black"/>
          <w:sz w:val="24"/>
          <w:szCs w:val="24"/>
        </w:rPr>
        <w:t>1-</w:t>
      </w:r>
      <w:r w:rsidR="00A44AF2">
        <w:rPr>
          <w:rFonts w:ascii="Arial Black" w:hAnsi="Arial Black"/>
          <w:sz w:val="24"/>
          <w:szCs w:val="24"/>
        </w:rPr>
        <w:t>199</w:t>
      </w:r>
    </w:p>
    <w:p w14:paraId="5A848819" w14:textId="77777777" w:rsidR="00473C4B" w:rsidRDefault="00473C4B" w:rsidP="00473C4B">
      <w:pPr>
        <w:pStyle w:val="NoSpacing"/>
        <w:rPr>
          <w:rFonts w:ascii="Arial Black" w:hAnsi="Arial Black"/>
          <w:sz w:val="28"/>
          <w:szCs w:val="28"/>
        </w:rPr>
      </w:pPr>
      <w:r>
        <w:rPr>
          <w:rFonts w:ascii="Arial Black" w:hAnsi="Arial Black"/>
          <w:sz w:val="28"/>
          <w:szCs w:val="28"/>
        </w:rPr>
        <w:t>KY: FF RESIDENCY – FDs CAN REQUIRE – NEED NEW LAW</w:t>
      </w:r>
    </w:p>
    <w:p w14:paraId="2965FF20" w14:textId="77777777" w:rsidR="00473C4B" w:rsidRDefault="00473C4B" w:rsidP="00473C4B">
      <w:pPr>
        <w:pStyle w:val="NoSpacing"/>
        <w:rPr>
          <w:bCs/>
        </w:rPr>
      </w:pPr>
    </w:p>
    <w:p w14:paraId="48F93283" w14:textId="34E20D58" w:rsidR="00473C4B" w:rsidRDefault="00473C4B" w:rsidP="00473C4B">
      <w:pPr>
        <w:pStyle w:val="NoSpacing"/>
        <w:rPr>
          <w:bCs/>
        </w:rPr>
      </w:pPr>
      <w:r>
        <w:t xml:space="preserve">On December 18, 2025, in </w:t>
      </w:r>
      <w:r w:rsidRPr="001A4912">
        <w:rPr>
          <w:u w:val="single"/>
        </w:rPr>
        <w:t>Nathan Torain, et al. v. City of Paducah</w:t>
      </w:r>
      <w:r>
        <w:t xml:space="preserve">, the Kentuck Supreme Court held (6 to 1) that the City of Paducah, which has no ambulances and relies on private ambulance service to transport patients, may impose a residency requirement that firefighters to live within McCracken County (their ordinance has exception – can reside outside County if live within 45 minute response time of Station 4).  The state legislature was concerned about recruitment, particularly in rural areas has enacted a statute with following prohibition on residency. </w:t>
      </w:r>
      <w:r w:rsidRPr="00FF28DE">
        <w:t>KRS 311A.027(1) states “No public agency, tax district, or other publicly</w:t>
      </w:r>
      <w:r>
        <w:t xml:space="preserve"> </w:t>
      </w:r>
      <w:r w:rsidRPr="00FF28DE">
        <w:t>funded emergency medical service first response provider or licensed</w:t>
      </w:r>
      <w:r>
        <w:t xml:space="preserve"> </w:t>
      </w:r>
      <w:r w:rsidRPr="00FF28DE">
        <w:t>ambulance service shall have a residence requirement for an employee of or</w:t>
      </w:r>
      <w:r>
        <w:t xml:space="preserve"> </w:t>
      </w:r>
      <w:r w:rsidRPr="00FF28DE">
        <w:t>volunteer for the organization.”</w:t>
      </w:r>
      <w:r>
        <w:t xml:space="preserve">  The Kentucky Supreme Court majority decision recognizes that many fire departments do have ambulances and suggests that Kentucky legislature clarify whether “fire &amp; EMS” departments can impose a residency requirement.  The one Dissenting Justice would extend the residency statute to Paducah, which has </w:t>
      </w:r>
      <w:r w:rsidRPr="00A3098D">
        <w:t>five (5) fire stations</w:t>
      </w:r>
      <w:r>
        <w:t xml:space="preserve">, and </w:t>
      </w:r>
      <w:r w:rsidRPr="00A3098D">
        <w:t>one (1) private ambulance</w:t>
      </w:r>
      <w:r>
        <w:t xml:space="preserve"> </w:t>
      </w:r>
      <w:r w:rsidRPr="00A3098D">
        <w:t>station</w:t>
      </w:r>
      <w:r>
        <w:t xml:space="preserve">, and all firefighters must be EMTs. </w:t>
      </w:r>
      <w:r w:rsidR="00F84DC5">
        <w:t xml:space="preserve"> </w:t>
      </w:r>
      <w:hyperlink r:id="rId34" w:history="1">
        <w:r w:rsidR="00F84DC5" w:rsidRPr="00D0038D">
          <w:rPr>
            <w:rStyle w:val="Hyperlink"/>
          </w:rPr>
          <w:t>https://law.justia.com/cases/kentucky/supreme-court/2025/2023-sc-0395-dg.html</w:t>
        </w:r>
      </w:hyperlink>
      <w:r w:rsidR="00F84DC5">
        <w:t xml:space="preserve"> </w:t>
      </w:r>
    </w:p>
    <w:p w14:paraId="1B1394CC" w14:textId="77777777" w:rsidR="00473C4B" w:rsidRDefault="00473C4B" w:rsidP="00473C4B">
      <w:pPr>
        <w:pStyle w:val="NoSpacing"/>
        <w:rPr>
          <w:bCs/>
        </w:rPr>
      </w:pPr>
    </w:p>
    <w:p w14:paraId="59401B58" w14:textId="77777777" w:rsidR="00473C4B" w:rsidRDefault="00473C4B" w:rsidP="00473C4B">
      <w:pPr>
        <w:pStyle w:val="NoSpacing"/>
      </w:pPr>
      <w:r>
        <w:t>THE COURT HELD:</w:t>
      </w:r>
    </w:p>
    <w:p w14:paraId="0B65D284" w14:textId="77777777" w:rsidR="00473C4B" w:rsidRDefault="00473C4B" w:rsidP="00473C4B">
      <w:pPr>
        <w:pStyle w:val="NoSpacing"/>
      </w:pPr>
    </w:p>
    <w:p w14:paraId="5C49D9BC" w14:textId="77777777" w:rsidR="00473C4B" w:rsidRDefault="00473C4B" w:rsidP="00473C4B">
      <w:pPr>
        <w:pStyle w:val="NoSpacing"/>
        <w:ind w:left="720"/>
      </w:pPr>
      <w:r>
        <w:t xml:space="preserve">“Paducah’s Ordinance § 2-304 states, ‘All members of the fire department hired after October 1, 1998, shall reside within McCracken County or within forty-five minutes of Station 4 as measured by a recognized mapping program . . . as a condition of their continued employment with the fire department of the city.’ </w:t>
      </w:r>
    </w:p>
    <w:p w14:paraId="1832DB97" w14:textId="77777777" w:rsidR="00473C4B" w:rsidRDefault="00473C4B" w:rsidP="00473C4B">
      <w:pPr>
        <w:pStyle w:val="NoSpacing"/>
      </w:pPr>
    </w:p>
    <w:p w14:paraId="721EDE9C" w14:textId="77777777" w:rsidR="00473C4B" w:rsidRDefault="00473C4B" w:rsidP="00473C4B">
      <w:pPr>
        <w:pStyle w:val="NoSpacing"/>
        <w:ind w:firstLine="720"/>
      </w:pPr>
      <w:r>
        <w:t>***</w:t>
      </w:r>
    </w:p>
    <w:p w14:paraId="254EEDB3" w14:textId="77777777" w:rsidR="00473C4B" w:rsidRDefault="00473C4B" w:rsidP="00473C4B">
      <w:pPr>
        <w:pStyle w:val="NoSpacing"/>
      </w:pPr>
    </w:p>
    <w:p w14:paraId="6001BC93" w14:textId="77777777" w:rsidR="00473C4B" w:rsidRDefault="00473C4B" w:rsidP="00473C4B">
      <w:pPr>
        <w:pStyle w:val="NoSpacing"/>
        <w:ind w:firstLine="720"/>
      </w:pPr>
      <w:r>
        <w:t>The trial court found,</w:t>
      </w:r>
    </w:p>
    <w:p w14:paraId="3DAC375B" w14:textId="77777777" w:rsidR="00473C4B" w:rsidRDefault="00473C4B" w:rsidP="00473C4B">
      <w:pPr>
        <w:pStyle w:val="NoSpacing"/>
      </w:pPr>
    </w:p>
    <w:p w14:paraId="12D483BD" w14:textId="77777777" w:rsidR="00473C4B" w:rsidRDefault="00473C4B" w:rsidP="00473C4B">
      <w:pPr>
        <w:pStyle w:val="NoSpacing"/>
        <w:ind w:left="1440"/>
      </w:pPr>
      <w:r>
        <w:t xml:space="preserve">‘If Paducah firefighters were emergency medical service first responders only, or even if their primary duty were medical service first response providers, Torian’s argument may have merit. However, firefighters are firefighters first and emergency medical responders second. KRS 311A.027 was not intended to apply to firefighters. Firefighters’ duties are governed by KRS Chapter 95 </w:t>
      </w:r>
      <w:proofErr w:type="gramStart"/>
      <w:r>
        <w:t>which was</w:t>
      </w:r>
      <w:proofErr w:type="gramEnd"/>
      <w:r>
        <w:t xml:space="preserve"> does not preclude ordinances establishing residence requirements for firefighters. If the legislature had intended for this section to apply to </w:t>
      </w:r>
      <w:proofErr w:type="gramStart"/>
      <w:r>
        <w:t>firefighters</w:t>
      </w:r>
      <w:proofErr w:type="gramEnd"/>
      <w:r>
        <w:t xml:space="preserve"> it would have used the term ‘firefighter’ in the body of the subsection and would not have</w:t>
      </w:r>
    </w:p>
    <w:p w14:paraId="7DCEAFCA" w14:textId="77777777" w:rsidR="00473C4B" w:rsidRDefault="00473C4B" w:rsidP="00473C4B">
      <w:pPr>
        <w:pStyle w:val="NoSpacing"/>
        <w:ind w:left="1440"/>
      </w:pPr>
      <w:r>
        <w:t>placed the statute in a chapter dealing exclusively with emergency medical services.’</w:t>
      </w:r>
    </w:p>
    <w:p w14:paraId="7D3AD92E" w14:textId="77777777" w:rsidR="00473C4B" w:rsidRDefault="00473C4B" w:rsidP="00473C4B">
      <w:pPr>
        <w:ind w:firstLine="720"/>
        <w:rPr>
          <w:bCs/>
        </w:rPr>
      </w:pPr>
      <w:r>
        <w:t>***</w:t>
      </w:r>
    </w:p>
    <w:p w14:paraId="55AAC334" w14:textId="77777777" w:rsidR="00473C4B" w:rsidRPr="00610A05" w:rsidRDefault="00473C4B" w:rsidP="00473C4B">
      <w:pPr>
        <w:pStyle w:val="NoSpacing"/>
        <w:ind w:left="720"/>
        <w:rPr>
          <w:bCs/>
        </w:rPr>
      </w:pPr>
      <w:r w:rsidRPr="00610A05">
        <w:t>At first blush, this term would seem to</w:t>
      </w:r>
      <w:r>
        <w:t xml:space="preserve"> </w:t>
      </w:r>
      <w:r w:rsidRPr="00610A05">
        <w:t>encompass fire departments since they respond to emergencies; are first</w:t>
      </w:r>
      <w:r>
        <w:t xml:space="preserve"> </w:t>
      </w:r>
      <w:r w:rsidRPr="00610A05">
        <w:t>responders; and firefighters do, or at least are trained to, provide medical</w:t>
      </w:r>
      <w:r>
        <w:t xml:space="preserve"> </w:t>
      </w:r>
      <w:r w:rsidRPr="00610A05">
        <w:t>service when called. Reference to the regulations, however, demonstrates that</w:t>
      </w:r>
    </w:p>
    <w:p w14:paraId="130F87B9" w14:textId="77777777" w:rsidR="00473C4B" w:rsidRDefault="00473C4B" w:rsidP="00473C4B">
      <w:pPr>
        <w:pStyle w:val="NoSpacing"/>
        <w:ind w:left="720"/>
        <w:rPr>
          <w:bCs/>
        </w:rPr>
      </w:pPr>
      <w:proofErr w:type="gramStart"/>
      <w:r w:rsidRPr="00610A05">
        <w:t>emergency</w:t>
      </w:r>
      <w:proofErr w:type="gramEnd"/>
      <w:r w:rsidRPr="00610A05">
        <w:t xml:space="preserve"> medical first response services are exclusively understood in the</w:t>
      </w:r>
      <w:r>
        <w:t xml:space="preserve"> </w:t>
      </w:r>
      <w:r w:rsidRPr="00610A05">
        <w:t>context of ambulance services. Since Paducah Fire Department does not</w:t>
      </w:r>
      <w:r>
        <w:t xml:space="preserve"> </w:t>
      </w:r>
      <w:r w:rsidRPr="00610A05">
        <w:t>provide ambulance services it is not covered by KRS 311A.027(1)</w:t>
      </w:r>
      <w:r>
        <w:t>.</w:t>
      </w:r>
    </w:p>
    <w:p w14:paraId="55D671EA" w14:textId="77777777" w:rsidR="00473C4B" w:rsidRDefault="00473C4B" w:rsidP="00473C4B">
      <w:pPr>
        <w:pStyle w:val="NoSpacing"/>
        <w:ind w:left="720"/>
        <w:rPr>
          <w:bCs/>
        </w:rPr>
      </w:pPr>
    </w:p>
    <w:p w14:paraId="1EDCF035" w14:textId="77777777" w:rsidR="00473C4B" w:rsidRDefault="00473C4B" w:rsidP="00473C4B">
      <w:pPr>
        <w:pStyle w:val="NoSpacing"/>
        <w:ind w:left="720"/>
        <w:rPr>
          <w:bCs/>
        </w:rPr>
      </w:pPr>
      <w:r>
        <w:t>***</w:t>
      </w:r>
    </w:p>
    <w:p w14:paraId="1CF7DEB3" w14:textId="77777777" w:rsidR="00473C4B" w:rsidRDefault="00473C4B" w:rsidP="00473C4B">
      <w:pPr>
        <w:pStyle w:val="NoSpacing"/>
        <w:ind w:left="720"/>
        <w:rPr>
          <w:bCs/>
        </w:rPr>
      </w:pPr>
      <w:r w:rsidRPr="003F0DC2">
        <w:t xml:space="preserve">The Paducah Fire Department does not maintain an </w:t>
      </w:r>
      <w:proofErr w:type="gramStart"/>
      <w:r w:rsidRPr="003F0DC2">
        <w:t>ambulance</w:t>
      </w:r>
      <w:proofErr w:type="gramEnd"/>
      <w:r w:rsidRPr="003F0DC2">
        <w:t xml:space="preserve"> and it does not</w:t>
      </w:r>
      <w:r>
        <w:t xml:space="preserve">  </w:t>
      </w:r>
      <w:r w:rsidRPr="007F3D51">
        <w:t>provide ambulance services</w:t>
      </w:r>
      <w:r>
        <w:t xml:space="preserve">. </w:t>
      </w:r>
      <w:r w:rsidRPr="007F3D51">
        <w:t xml:space="preserve"> </w:t>
      </w:r>
      <w:r>
        <w:t xml:space="preserve">[Footnote 8.] </w:t>
      </w:r>
      <w:r w:rsidRPr="007F3D51">
        <w:t xml:space="preserve">It is not a </w:t>
      </w:r>
      <w:r>
        <w:t>‘</w:t>
      </w:r>
      <w:r w:rsidRPr="007F3D51">
        <w:t>medical first response agency</w:t>
      </w:r>
      <w:r>
        <w:t xml:space="preserve">’ </w:t>
      </w:r>
      <w:r w:rsidRPr="007F3D51">
        <w:t>under</w:t>
      </w:r>
      <w:r>
        <w:t xml:space="preserve"> </w:t>
      </w:r>
      <w:r w:rsidRPr="007F3D51">
        <w:t xml:space="preserve">the regulations, therefore, we conclude it is not an </w:t>
      </w:r>
      <w:r>
        <w:t>‘</w:t>
      </w:r>
      <w:r w:rsidRPr="007F3D51">
        <w:t>emergency medical first</w:t>
      </w:r>
      <w:r>
        <w:t xml:space="preserve"> </w:t>
      </w:r>
      <w:r w:rsidRPr="007F3D51">
        <w:t>response provider</w:t>
      </w:r>
      <w:r>
        <w:t>’</w:t>
      </w:r>
      <w:r w:rsidRPr="007F3D51">
        <w:t xml:space="preserve"> under KRS 311A.027(1) since the two phrases are</w:t>
      </w:r>
      <w:r>
        <w:t xml:space="preserve"> </w:t>
      </w:r>
      <w:r w:rsidRPr="007F3D51">
        <w:t>functionally equivalent.</w:t>
      </w:r>
    </w:p>
    <w:p w14:paraId="6C272A67" w14:textId="77777777" w:rsidR="00473C4B" w:rsidRDefault="00473C4B" w:rsidP="00473C4B">
      <w:pPr>
        <w:pStyle w:val="NoSpacing"/>
        <w:ind w:left="720"/>
        <w:rPr>
          <w:bCs/>
        </w:rPr>
      </w:pPr>
    </w:p>
    <w:p w14:paraId="3592A628" w14:textId="77777777" w:rsidR="00473C4B" w:rsidRDefault="00473C4B" w:rsidP="00473C4B">
      <w:pPr>
        <w:pStyle w:val="NoSpacing"/>
        <w:ind w:left="1440"/>
        <w:rPr>
          <w:bCs/>
        </w:rPr>
      </w:pPr>
      <w:r>
        <w:t xml:space="preserve">Footnote 8: </w:t>
      </w:r>
      <w:r w:rsidRPr="001E1034">
        <w:t xml:space="preserve">Paducah represented both in briefing </w:t>
      </w:r>
      <w:proofErr w:type="gramStart"/>
      <w:r w:rsidRPr="001E1034">
        <w:t>and at</w:t>
      </w:r>
      <w:proofErr w:type="gramEnd"/>
      <w:r w:rsidRPr="001E1034">
        <w:t xml:space="preserve"> oral argument that Paducah Fire</w:t>
      </w:r>
      <w:r>
        <w:t xml:space="preserve"> </w:t>
      </w:r>
      <w:r w:rsidRPr="001E1034">
        <w:t>Department does not operate an ambulance service. The only ambulance service in</w:t>
      </w:r>
      <w:r>
        <w:t xml:space="preserve"> </w:t>
      </w:r>
      <w:r w:rsidRPr="001E1034">
        <w:t>Paducah is a private company operated by the local hospitals. Torian has not denied</w:t>
      </w:r>
      <w:r>
        <w:t xml:space="preserve"> </w:t>
      </w:r>
      <w:r w:rsidRPr="001E1034">
        <w:t>this assertion nor produced evidence to the contrary.</w:t>
      </w:r>
    </w:p>
    <w:p w14:paraId="55FD265F" w14:textId="77777777" w:rsidR="00473C4B" w:rsidRDefault="00473C4B" w:rsidP="00473C4B">
      <w:pPr>
        <w:pStyle w:val="NoSpacing"/>
        <w:ind w:left="1440"/>
        <w:rPr>
          <w:bCs/>
        </w:rPr>
      </w:pPr>
    </w:p>
    <w:p w14:paraId="6BB5DC2E" w14:textId="77777777" w:rsidR="00473C4B" w:rsidRDefault="00473C4B" w:rsidP="00473C4B">
      <w:pPr>
        <w:pStyle w:val="NoSpacing"/>
        <w:rPr>
          <w:bCs/>
        </w:rPr>
      </w:pPr>
      <w:r>
        <w:tab/>
        <w:t>***</w:t>
      </w:r>
    </w:p>
    <w:p w14:paraId="3ACCD077" w14:textId="77777777" w:rsidR="00473C4B" w:rsidRDefault="00473C4B" w:rsidP="00473C4B">
      <w:pPr>
        <w:pStyle w:val="NoSpacing"/>
        <w:rPr>
          <w:bCs/>
        </w:rPr>
      </w:pPr>
    </w:p>
    <w:p w14:paraId="5E663387" w14:textId="77777777" w:rsidR="00473C4B" w:rsidRDefault="00473C4B" w:rsidP="00473C4B">
      <w:pPr>
        <w:pStyle w:val="NoSpacing"/>
        <w:ind w:left="720"/>
        <w:rPr>
          <w:bCs/>
        </w:rPr>
      </w:pPr>
      <w:r w:rsidRPr="005C67B6">
        <w:t>The amicus brief filed by Kentucky</w:t>
      </w:r>
      <w:r>
        <w:t xml:space="preserve"> </w:t>
      </w:r>
      <w:r w:rsidRPr="005C67B6">
        <w:t>Professional Firefighters Association has also pointed out that several cities</w:t>
      </w:r>
      <w:r>
        <w:t xml:space="preserve"> </w:t>
      </w:r>
      <w:r w:rsidRPr="005C67B6">
        <w:t>and counties maintain departments which combine both fire response and</w:t>
      </w:r>
      <w:r>
        <w:t xml:space="preserve"> </w:t>
      </w:r>
      <w:r w:rsidRPr="005C67B6">
        <w:t>emergency medical services, such Winchester Fire and EMS, and Frankfort Fire</w:t>
      </w:r>
      <w:r>
        <w:t xml:space="preserve"> </w:t>
      </w:r>
      <w:r w:rsidRPr="005C67B6">
        <w:t>and EMS.</w:t>
      </w:r>
      <w:r>
        <w:t xml:space="preserve">  </w:t>
      </w:r>
      <w:r w:rsidRPr="005C67B6">
        <w:t>Presumably it is these kinds of combined service departments that</w:t>
      </w:r>
      <w:r>
        <w:t xml:space="preserve"> </w:t>
      </w:r>
      <w:r w:rsidRPr="005C67B6">
        <w:t xml:space="preserve">the parties were referring to by the term </w:t>
      </w:r>
      <w:r>
        <w:t>‘</w:t>
      </w:r>
      <w:r w:rsidRPr="005C67B6">
        <w:t>fire-based EMS.</w:t>
      </w:r>
      <w:r>
        <w:t>’</w:t>
      </w:r>
      <w:r w:rsidRPr="005C67B6">
        <w:t xml:space="preserve"> Because any</w:t>
      </w:r>
      <w:r>
        <w:t xml:space="preserve"> </w:t>
      </w:r>
      <w:r w:rsidRPr="005C67B6">
        <w:t>department which maintains an ambulance and provides ambulance services</w:t>
      </w:r>
      <w:r>
        <w:t xml:space="preserve"> </w:t>
      </w:r>
      <w:r w:rsidRPr="005C67B6">
        <w:t>is subject to the applicable regulations, they are distinct from those fire</w:t>
      </w:r>
      <w:r>
        <w:t xml:space="preserve"> </w:t>
      </w:r>
      <w:r w:rsidRPr="005C67B6">
        <w:t>departments which do not. We, therefore, do not think affirming the Court of</w:t>
      </w:r>
      <w:r>
        <w:t xml:space="preserve"> </w:t>
      </w:r>
      <w:r w:rsidRPr="00451943">
        <w:t xml:space="preserve">Appeals is quite as broad as </w:t>
      </w:r>
      <w:proofErr w:type="gramStart"/>
      <w:r w:rsidRPr="00451943">
        <w:t>amici</w:t>
      </w:r>
      <w:proofErr w:type="gramEnd"/>
      <w:r w:rsidRPr="00451943">
        <w:t xml:space="preserve"> believes. </w:t>
      </w:r>
    </w:p>
    <w:p w14:paraId="11D3BB21" w14:textId="77777777" w:rsidR="00473C4B" w:rsidRDefault="00473C4B" w:rsidP="00473C4B">
      <w:pPr>
        <w:pStyle w:val="NoSpacing"/>
        <w:ind w:left="720"/>
        <w:rPr>
          <w:bCs/>
        </w:rPr>
      </w:pPr>
    </w:p>
    <w:p w14:paraId="02BEA8D9" w14:textId="77777777" w:rsidR="00473C4B" w:rsidRPr="00451943" w:rsidRDefault="00473C4B" w:rsidP="00473C4B">
      <w:pPr>
        <w:pStyle w:val="NoSpacing"/>
        <w:ind w:left="720"/>
        <w:rPr>
          <w:bCs/>
        </w:rPr>
      </w:pPr>
      <w:r w:rsidRPr="00451943">
        <w:t>In plain terms, this decision does</w:t>
      </w:r>
      <w:r>
        <w:t xml:space="preserve"> </w:t>
      </w:r>
      <w:r w:rsidRPr="00451943">
        <w:t>not answer the question of whether combined service departments that</w:t>
      </w:r>
      <w:r>
        <w:t xml:space="preserve"> </w:t>
      </w:r>
      <w:r w:rsidRPr="00451943">
        <w:t>function as both fire departments and EMS providers are subject to KRS</w:t>
      </w:r>
    </w:p>
    <w:p w14:paraId="676047B9" w14:textId="77777777" w:rsidR="00473C4B" w:rsidRPr="00451943" w:rsidRDefault="00473C4B" w:rsidP="00473C4B">
      <w:pPr>
        <w:pStyle w:val="NoSpacing"/>
        <w:ind w:left="720"/>
        <w:rPr>
          <w:bCs/>
        </w:rPr>
      </w:pPr>
      <w:r w:rsidRPr="00451943">
        <w:t>311A.027(1).</w:t>
      </w:r>
      <w:r>
        <w:t xml:space="preserve"> </w:t>
      </w:r>
      <w:r w:rsidRPr="00451943">
        <w:t>We will not engage in dicta to provide a clue as to how that question</w:t>
      </w:r>
    </w:p>
    <w:p w14:paraId="73AC7B91" w14:textId="77777777" w:rsidR="00473C4B" w:rsidRDefault="00473C4B" w:rsidP="00473C4B">
      <w:pPr>
        <w:pStyle w:val="NoSpacing"/>
        <w:ind w:left="720"/>
        <w:rPr>
          <w:bCs/>
        </w:rPr>
      </w:pPr>
      <w:r w:rsidRPr="00451943">
        <w:t>should be resolved. It exceeds the authority of this Court to fill gaps in the</w:t>
      </w:r>
      <w:r>
        <w:t xml:space="preserve"> </w:t>
      </w:r>
      <w:r w:rsidRPr="00451943">
        <w:t>applicable legislation or regulations.</w:t>
      </w:r>
    </w:p>
    <w:p w14:paraId="3B0D6815" w14:textId="77777777" w:rsidR="00473C4B" w:rsidRDefault="00473C4B" w:rsidP="00473C4B">
      <w:pPr>
        <w:pStyle w:val="NoSpacing"/>
        <w:ind w:left="720"/>
        <w:rPr>
          <w:bCs/>
        </w:rPr>
      </w:pPr>
    </w:p>
    <w:p w14:paraId="0C5EB198" w14:textId="77777777" w:rsidR="00473C4B" w:rsidRDefault="00473C4B" w:rsidP="00473C4B">
      <w:pPr>
        <w:pStyle w:val="NoSpacing"/>
        <w:ind w:left="720"/>
        <w:rPr>
          <w:bCs/>
        </w:rPr>
      </w:pPr>
      <w:r>
        <w:lastRenderedPageBreak/>
        <w:t>***</w:t>
      </w:r>
    </w:p>
    <w:p w14:paraId="27CFBE08" w14:textId="77777777" w:rsidR="00473C4B" w:rsidRPr="00A24BAF" w:rsidRDefault="00473C4B" w:rsidP="00473C4B">
      <w:pPr>
        <w:pStyle w:val="NoSpacing"/>
        <w:ind w:left="720"/>
        <w:rPr>
          <w:bCs/>
        </w:rPr>
      </w:pPr>
      <w:r w:rsidRPr="00A24BAF">
        <w:t xml:space="preserve">Nonetheless, the fact that there exists in </w:t>
      </w:r>
      <w:proofErr w:type="gramStart"/>
      <w:r w:rsidRPr="00A24BAF">
        <w:t>this</w:t>
      </w:r>
      <w:proofErr w:type="gramEnd"/>
      <w:r w:rsidRPr="00A24BAF">
        <w:t xml:space="preserve"> Commonwealth</w:t>
      </w:r>
      <w:r>
        <w:t xml:space="preserve"> </w:t>
      </w:r>
      <w:r w:rsidRPr="00A24BAF">
        <w:t>departments that combine both firefighting and emergency medical services,</w:t>
      </w:r>
      <w:r>
        <w:t xml:space="preserve"> </w:t>
      </w:r>
      <w:r w:rsidRPr="00A24BAF">
        <w:t>yet such combined departments are undefined in statutory or regulatory law,</w:t>
      </w:r>
      <w:r>
        <w:t xml:space="preserve"> </w:t>
      </w:r>
      <w:r w:rsidRPr="00A24BAF">
        <w:t>leaves them in a precarious state. We call upon the General Assembly to bring</w:t>
      </w:r>
      <w:r>
        <w:t xml:space="preserve"> </w:t>
      </w:r>
      <w:r w:rsidRPr="00A24BAF">
        <w:t xml:space="preserve">clarity to this situation; if not for the sake of </w:t>
      </w:r>
      <w:proofErr w:type="gramStart"/>
      <w:r w:rsidRPr="00A24BAF">
        <w:t>the judiciary</w:t>
      </w:r>
      <w:proofErr w:type="gramEnd"/>
      <w:r w:rsidRPr="00A24BAF">
        <w:t>, then at least for the</w:t>
      </w:r>
      <w:r>
        <w:t xml:space="preserve"> </w:t>
      </w:r>
      <w:r w:rsidRPr="00A24BAF">
        <w:t>sake of the thousands of fire fighters in the Commonwealth who serve our</w:t>
      </w:r>
      <w:r>
        <w:t xml:space="preserve"> </w:t>
      </w:r>
      <w:r w:rsidRPr="00A24BAF">
        <w:t>communities. These men and women richly deserve, at the very least, to know</w:t>
      </w:r>
    </w:p>
    <w:p w14:paraId="67B9FA04" w14:textId="77777777" w:rsidR="00473C4B" w:rsidRDefault="00473C4B" w:rsidP="00473C4B">
      <w:pPr>
        <w:pStyle w:val="NoSpacing"/>
        <w:ind w:left="720"/>
        <w:rPr>
          <w:bCs/>
        </w:rPr>
      </w:pPr>
      <w:r w:rsidRPr="00A24BAF">
        <w:t>with certainty which statutes govern them. The General Assembly is quite</w:t>
      </w:r>
      <w:r>
        <w:t xml:space="preserve"> </w:t>
      </w:r>
      <w:r w:rsidRPr="00A24BAF">
        <w:t>capable of providing that certainty.</w:t>
      </w:r>
      <w:r>
        <w:t>”</w:t>
      </w:r>
    </w:p>
    <w:p w14:paraId="64B965BC" w14:textId="77777777" w:rsidR="00473C4B" w:rsidRDefault="00473C4B" w:rsidP="00473C4B">
      <w:pPr>
        <w:pStyle w:val="NoSpacing"/>
        <w:ind w:left="720"/>
        <w:rPr>
          <w:bCs/>
        </w:rPr>
      </w:pPr>
    </w:p>
    <w:p w14:paraId="3780C7EC" w14:textId="77777777" w:rsidR="00473C4B" w:rsidRDefault="00473C4B" w:rsidP="00473C4B">
      <w:pPr>
        <w:pStyle w:val="NoSpacing"/>
        <w:rPr>
          <w:bCs/>
        </w:rPr>
      </w:pPr>
      <w:r>
        <w:t xml:space="preserve">DISSENT – Justice </w:t>
      </w:r>
      <w:r w:rsidRPr="00DD15C7">
        <w:t>Michelle M. Keller</w:t>
      </w:r>
      <w:r>
        <w:t xml:space="preserve"> </w:t>
      </w:r>
    </w:p>
    <w:p w14:paraId="62826E6A" w14:textId="77777777" w:rsidR="00473C4B" w:rsidRDefault="00473C4B" w:rsidP="00473C4B">
      <w:pPr>
        <w:pStyle w:val="NoSpacing"/>
        <w:rPr>
          <w:bCs/>
        </w:rPr>
      </w:pPr>
    </w:p>
    <w:p w14:paraId="40D2D5DD" w14:textId="77777777" w:rsidR="00473C4B" w:rsidRDefault="00473C4B" w:rsidP="00473C4B">
      <w:pPr>
        <w:pStyle w:val="NoSpacing"/>
        <w:ind w:left="720"/>
        <w:rPr>
          <w:bCs/>
        </w:rPr>
      </w:pPr>
      <w:r>
        <w:t>“</w:t>
      </w:r>
      <w:r w:rsidRPr="00A3098D">
        <w:t>There are five (5) fire stations versus one (1) private ambulance</w:t>
      </w:r>
      <w:r>
        <w:t xml:space="preserve"> </w:t>
      </w:r>
      <w:r w:rsidRPr="00A3098D">
        <w:t>station in Paducah. When a citizen of Paducah calls 911 for a non-fire related</w:t>
      </w:r>
      <w:r>
        <w:t xml:space="preserve"> </w:t>
      </w:r>
      <w:r w:rsidRPr="00A3098D">
        <w:t>medical emergency, a firefighter responds and arrives, often before the private</w:t>
      </w:r>
      <w:r>
        <w:t xml:space="preserve"> </w:t>
      </w:r>
      <w:r w:rsidRPr="00A3098D">
        <w:t>ambulance service. The firefighters administer medical aid, as they are trained</w:t>
      </w:r>
      <w:r>
        <w:t xml:space="preserve"> </w:t>
      </w:r>
      <w:r w:rsidRPr="00A3098D">
        <w:t>to do. In essence, this makes them emergency medical service first response</w:t>
      </w:r>
      <w:r>
        <w:t xml:space="preserve"> </w:t>
      </w:r>
      <w:r w:rsidRPr="00A3098D">
        <w:t>providers</w:t>
      </w:r>
      <w:r>
        <w:t xml:space="preserve">…. </w:t>
      </w:r>
      <w:r w:rsidRPr="007A3DA1">
        <w:t>By both ordinance and</w:t>
      </w:r>
      <w:r>
        <w:t xml:space="preserve"> </w:t>
      </w:r>
      <w:r w:rsidRPr="007A3DA1">
        <w:t>function, Paducah’s fire department is a publicly funded emergency medical</w:t>
      </w:r>
      <w:r>
        <w:t xml:space="preserve"> </w:t>
      </w:r>
      <w:r w:rsidRPr="007A3DA1">
        <w:t>service first-response provider, its members trained, certified, and dispatched</w:t>
      </w:r>
      <w:r>
        <w:t xml:space="preserve"> </w:t>
      </w:r>
      <w:r w:rsidRPr="007A3DA1">
        <w:t>as initial medical responders.</w:t>
      </w:r>
    </w:p>
    <w:p w14:paraId="736354B3" w14:textId="77777777" w:rsidR="00473C4B" w:rsidRDefault="00473C4B" w:rsidP="00473C4B">
      <w:pPr>
        <w:pStyle w:val="NoSpacing"/>
        <w:ind w:left="720"/>
        <w:rPr>
          <w:bCs/>
        </w:rPr>
      </w:pPr>
    </w:p>
    <w:p w14:paraId="44B559ED" w14:textId="77777777" w:rsidR="00473C4B" w:rsidRDefault="00473C4B" w:rsidP="00473C4B">
      <w:pPr>
        <w:pStyle w:val="NoSpacing"/>
        <w:ind w:left="720"/>
        <w:rPr>
          <w:bCs/>
        </w:rPr>
      </w:pPr>
      <w:r>
        <w:t>***</w:t>
      </w:r>
    </w:p>
    <w:p w14:paraId="7C47BF85" w14:textId="77777777" w:rsidR="00473C4B" w:rsidRDefault="00473C4B" w:rsidP="00473C4B">
      <w:pPr>
        <w:pStyle w:val="NoSpacing"/>
        <w:ind w:left="720"/>
        <w:rPr>
          <w:bCs/>
        </w:rPr>
      </w:pPr>
      <w:r w:rsidRPr="00E04227">
        <w:t>Paducah cannot have it both ways. Paducah mandates that its</w:t>
      </w:r>
      <w:r>
        <w:t xml:space="preserve"> </w:t>
      </w:r>
      <w:r w:rsidRPr="00E04227">
        <w:t>firefighters maintain KBEMS medical responder certification precisely because</w:t>
      </w:r>
      <w:r>
        <w:t xml:space="preserve"> </w:t>
      </w:r>
      <w:r w:rsidRPr="00E04227">
        <w:t>they are the first to arrive at medical 911 scenes. This operational reality</w:t>
      </w:r>
      <w:r>
        <w:t xml:space="preserve"> </w:t>
      </w:r>
      <w:r w:rsidRPr="00E04227">
        <w:t>places the department squarely within the statute’s definition. It calls them</w:t>
      </w:r>
      <w:r>
        <w:t xml:space="preserve"> ‘</w:t>
      </w:r>
      <w:r w:rsidRPr="00E04227">
        <w:t>first responders</w:t>
      </w:r>
      <w:r>
        <w:t>’</w:t>
      </w:r>
      <w:r w:rsidRPr="00E04227">
        <w:t xml:space="preserve"> for training, insurance, and dispatch purposes, yet denies</w:t>
      </w:r>
      <w:r>
        <w:t xml:space="preserve"> </w:t>
      </w:r>
      <w:r w:rsidRPr="00E04227">
        <w:t>them that same status when the legislature extends statutory protection.</w:t>
      </w:r>
      <w:r>
        <w:t>”</w:t>
      </w:r>
    </w:p>
    <w:p w14:paraId="678B5D21" w14:textId="77777777" w:rsidR="00473C4B" w:rsidRDefault="00473C4B" w:rsidP="00473C4B">
      <w:pPr>
        <w:pStyle w:val="NoSpacing"/>
        <w:ind w:left="720"/>
        <w:rPr>
          <w:bCs/>
        </w:rPr>
      </w:pPr>
    </w:p>
    <w:p w14:paraId="6880B917" w14:textId="77777777" w:rsidR="00473C4B" w:rsidRPr="008E1096" w:rsidRDefault="00473C4B" w:rsidP="00473C4B">
      <w:pPr>
        <w:pStyle w:val="NoSpacing"/>
        <w:rPr>
          <w:b/>
        </w:rPr>
      </w:pPr>
      <w:r>
        <w:rPr>
          <w:b/>
        </w:rPr>
        <w:t xml:space="preserve">Legal lesson learned:  This decision will likely lead to further legislation to clarify residency requirements for “fire &amp; EMS” departments.  </w:t>
      </w:r>
    </w:p>
    <w:p w14:paraId="2D499C18" w14:textId="77777777" w:rsidR="00473C4B" w:rsidRDefault="00473C4B" w:rsidP="00473C4B">
      <w:pPr>
        <w:pStyle w:val="NoSpacing"/>
        <w:ind w:left="720"/>
        <w:rPr>
          <w:bCs/>
        </w:rPr>
      </w:pPr>
    </w:p>
    <w:p w14:paraId="7BF61E68" w14:textId="77777777" w:rsidR="00473C4B" w:rsidRPr="00AC06CD" w:rsidRDefault="00473C4B" w:rsidP="00473C4B">
      <w:pPr>
        <w:pStyle w:val="NoSpacing"/>
        <w:ind w:left="720"/>
        <w:rPr>
          <w:bCs/>
        </w:rPr>
      </w:pPr>
      <w:r>
        <w:t>Note: Ohio Revised Code:</w:t>
      </w:r>
      <w:r w:rsidRPr="00AC06CD">
        <w:rPr>
          <w:rFonts w:eastAsia="Times New Roman"/>
          <w:b/>
          <w:kern w:val="36"/>
          <w:sz w:val="48"/>
          <w:szCs w:val="48"/>
        </w:rPr>
        <w:t xml:space="preserve"> </w:t>
      </w:r>
      <w:r w:rsidRPr="00AC06CD">
        <w:t>Section 9.481 | Residency requirements prohibited for certain employees.</w:t>
      </w:r>
      <w:r w:rsidRPr="000E0CFF">
        <w:t xml:space="preserve"> </w:t>
      </w:r>
      <w:hyperlink r:id="rId35" w:history="1">
        <w:r w:rsidRPr="00C950F1">
          <w:rPr>
            <w:rStyle w:val="Hyperlink"/>
          </w:rPr>
          <w:t>https://codes.ohio.gov/ohio-revised-code/section-9.481</w:t>
        </w:r>
      </w:hyperlink>
      <w:r>
        <w:t xml:space="preserve"> </w:t>
      </w:r>
    </w:p>
    <w:p w14:paraId="2BF965E2" w14:textId="77777777" w:rsidR="00473C4B" w:rsidRDefault="00473C4B" w:rsidP="00473C4B">
      <w:pPr>
        <w:pStyle w:val="NoSpacing"/>
        <w:rPr>
          <w:bCs/>
        </w:rPr>
      </w:pPr>
    </w:p>
    <w:p w14:paraId="19C64A5F" w14:textId="77777777" w:rsidR="00473C4B" w:rsidRDefault="00473C4B" w:rsidP="00473C4B">
      <w:pPr>
        <w:pStyle w:val="NoSpacing"/>
        <w:rPr>
          <w:bCs/>
        </w:rPr>
      </w:pPr>
    </w:p>
    <w:p w14:paraId="671FEBFC" w14:textId="77777777" w:rsidR="00473C4B" w:rsidRDefault="00473C4B" w:rsidP="00473C4B">
      <w:pPr>
        <w:pStyle w:val="NoSpacing"/>
        <w:ind w:left="720"/>
      </w:pPr>
      <w:r>
        <w:t>“(2)(</w:t>
      </w:r>
      <w:r w:rsidRPr="009729F6">
        <w:t>b) 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w:t>
      </w:r>
      <w:r>
        <w:t>”</w:t>
      </w:r>
    </w:p>
    <w:p w14:paraId="4EAD1BB5" w14:textId="77777777" w:rsidR="00473C4B" w:rsidRDefault="00473C4B" w:rsidP="00473C4B">
      <w:pPr>
        <w:pStyle w:val="NoSpacing"/>
        <w:ind w:left="720"/>
      </w:pPr>
    </w:p>
    <w:p w14:paraId="620CBD94" w14:textId="77777777" w:rsidR="00473C4B" w:rsidRDefault="00473C4B" w:rsidP="00473C4B">
      <w:pPr>
        <w:pStyle w:val="NoSpacing"/>
        <w:ind w:left="720"/>
      </w:pPr>
      <w:r>
        <w:t>***</w:t>
      </w:r>
    </w:p>
    <w:p w14:paraId="1DD1B3E7" w14:textId="77777777" w:rsidR="00473C4B" w:rsidRDefault="00473C4B" w:rsidP="00473C4B">
      <w:pPr>
        <w:pStyle w:val="NoSpacing"/>
        <w:ind w:left="720"/>
      </w:pPr>
    </w:p>
    <w:p w14:paraId="10EF764B" w14:textId="77777777" w:rsidR="00473C4B" w:rsidRDefault="00473C4B" w:rsidP="00473C4B">
      <w:pPr>
        <w:pStyle w:val="NoSpacing"/>
        <w:ind w:left="720"/>
        <w:rPr>
          <w:bCs/>
        </w:rPr>
      </w:pPr>
      <w:r>
        <w:t>Cincinnati Fire Department has following residency requirements. “</w:t>
      </w:r>
      <w:r w:rsidRPr="00D1365F">
        <w:t>All members shall reside within Hamilton County, Ohio, or within any county that is adjacent to Hamilton County, Ohio, or within a 35-mile radius of CFD Headquarters, located at 430 Central Ave., Cincinnati, OH 45202.</w:t>
      </w:r>
      <w:r>
        <w:t xml:space="preserve">”  </w:t>
      </w:r>
      <w:hyperlink r:id="rId36" w:history="1">
        <w:r w:rsidRPr="00C950F1">
          <w:rPr>
            <w:rStyle w:val="Hyperlink"/>
          </w:rPr>
          <w:t>https://www.cincinnati-oh.gov/fire/recruiting/requirements-to-apply/</w:t>
        </w:r>
      </w:hyperlink>
      <w:r>
        <w:t xml:space="preserve"> </w:t>
      </w:r>
    </w:p>
    <w:p w14:paraId="49E7BE83" w14:textId="77777777" w:rsidR="00473C4B" w:rsidRDefault="00473C4B" w:rsidP="00037CB8">
      <w:pPr>
        <w:pStyle w:val="NoSpacing"/>
        <w:rPr>
          <w:rFonts w:ascii="Arial Black" w:hAnsi="Arial Black"/>
          <w:sz w:val="24"/>
          <w:szCs w:val="24"/>
        </w:rPr>
      </w:pPr>
    </w:p>
    <w:p w14:paraId="51B64C6A" w14:textId="77777777" w:rsidR="00473C4B" w:rsidRDefault="00473C4B" w:rsidP="00037CB8">
      <w:pPr>
        <w:pStyle w:val="NoSpacing"/>
        <w:rPr>
          <w:rFonts w:ascii="Arial Black" w:hAnsi="Arial Black"/>
          <w:sz w:val="24"/>
          <w:szCs w:val="24"/>
        </w:rPr>
      </w:pPr>
    </w:p>
    <w:p w14:paraId="2B009C62" w14:textId="77777777" w:rsidR="00473C4B" w:rsidRDefault="00473C4B" w:rsidP="00037CB8">
      <w:pPr>
        <w:pStyle w:val="NoSpacing"/>
        <w:rPr>
          <w:rFonts w:ascii="Arial Black" w:hAnsi="Arial Black"/>
          <w:sz w:val="24"/>
          <w:szCs w:val="24"/>
        </w:rPr>
      </w:pPr>
    </w:p>
    <w:p w14:paraId="4043C759" w14:textId="77777777" w:rsidR="0028642A" w:rsidRDefault="0028642A" w:rsidP="0028642A">
      <w:pPr>
        <w:pStyle w:val="NoSpacing"/>
      </w:pPr>
    </w:p>
    <w:p w14:paraId="433F0386" w14:textId="35D5F065" w:rsidR="00374747" w:rsidRDefault="00374747" w:rsidP="00374747">
      <w:pPr>
        <w:pStyle w:val="NoSpacing"/>
        <w:rPr>
          <w:rFonts w:ascii="Arial Black" w:hAnsi="Arial Black"/>
          <w:sz w:val="24"/>
          <w:szCs w:val="24"/>
        </w:rPr>
      </w:pPr>
      <w:r>
        <w:rPr>
          <w:rFonts w:ascii="Arial Black" w:hAnsi="Arial Black"/>
          <w:sz w:val="24"/>
          <w:szCs w:val="24"/>
        </w:rPr>
        <w:t>1-198</w:t>
      </w:r>
    </w:p>
    <w:p w14:paraId="3F0523E6" w14:textId="77777777" w:rsidR="00374747" w:rsidRDefault="00374747" w:rsidP="0028642A">
      <w:pPr>
        <w:pStyle w:val="NoSpacing"/>
      </w:pPr>
    </w:p>
    <w:p w14:paraId="2C413E24" w14:textId="77777777" w:rsidR="00374747" w:rsidRPr="00C62797" w:rsidRDefault="00374747" w:rsidP="00374747">
      <w:pPr>
        <w:rPr>
          <w:rFonts w:ascii="Arial Black" w:hAnsi="Arial Black"/>
          <w:b/>
          <w:sz w:val="28"/>
          <w:szCs w:val="28"/>
        </w:rPr>
      </w:pPr>
      <w:r>
        <w:rPr>
          <w:rFonts w:ascii="Arial Black" w:hAnsi="Arial Black"/>
          <w:b/>
          <w:sz w:val="28"/>
          <w:szCs w:val="28"/>
        </w:rPr>
        <w:t xml:space="preserve">NJ: OLD TIRES – FIRE HAZARD - COMPANY SHUT DOWN </w:t>
      </w:r>
    </w:p>
    <w:p w14:paraId="5DF9AB24" w14:textId="77777777" w:rsidR="00374747" w:rsidRDefault="00374747" w:rsidP="00374747">
      <w:pPr>
        <w:pStyle w:val="NoSpacing"/>
      </w:pPr>
      <w:r>
        <w:lastRenderedPageBreak/>
        <w:t xml:space="preserve">On December 2, 2025, in </w:t>
      </w:r>
      <w:r w:rsidRPr="003D5FD0">
        <w:rPr>
          <w:u w:val="single"/>
        </w:rPr>
        <w:t>Township of Gloucester v. Harry’s Tires, et al</w:t>
      </w:r>
      <w:r>
        <w:t xml:space="preserve">., the </w:t>
      </w:r>
      <w:r w:rsidRPr="003D5FD0">
        <w:t>Superior Court of New Jersey, Appellate Division</w:t>
      </w:r>
      <w:r>
        <w:t xml:space="preserve"> held (2 to 0) that the trial court properly denied the motion by Harry Lamplugh, owner of Harry’s Tires, to vacate the final judgment rendered 16 months prior and re-start the business.  Since 2017 the Township zoning officer has ordered the tires stored outside his two locations be removed. The Township's acting fire marshal certified that Harry's Tires received numerous notices of violation through June 28, </w:t>
      </w:r>
      <w:proofErr w:type="gramStart"/>
      <w:r>
        <w:t>2021</w:t>
      </w:r>
      <w:proofErr w:type="gramEnd"/>
      <w:r>
        <w:t xml:space="preserve"> and failed to pay a total of $16,558 in unpaid fines. On August 18, </w:t>
      </w:r>
      <w:proofErr w:type="gramStart"/>
      <w:r>
        <w:t>2021</w:t>
      </w:r>
      <w:proofErr w:type="gramEnd"/>
      <w:r>
        <w:t xml:space="preserve"> the Township had the tires removed from his principal place of business - removal costs of $34,043, including waste disposal fees of $17,015 from Magnus Environmental and manpower costs for the Township's employees of $17,028. The township filed a lawsuit on January18, 2022 and the Court on February 28, </w:t>
      </w:r>
      <w:proofErr w:type="gramStart"/>
      <w:r>
        <w:t>2022</w:t>
      </w:r>
      <w:proofErr w:type="gramEnd"/>
      <w:r>
        <w:t xml:space="preserve"> granted the Township a permanent injunction, preventing defendants from operating their tire businesses "at the two locations" and requiring defendants to pay damages of $50,601.  The Township</w:t>
      </w:r>
    </w:p>
    <w:p w14:paraId="4E276988" w14:textId="77777777" w:rsidR="00374747" w:rsidRDefault="00374747" w:rsidP="00374747">
      <w:pPr>
        <w:pStyle w:val="NoSpacing"/>
      </w:pPr>
      <w:r>
        <w:t xml:space="preserve">thereafter remediated defendants' properties for a second time. </w:t>
      </w:r>
      <w:hyperlink r:id="rId37" w:history="1">
        <w:r w:rsidRPr="00E7352C">
          <w:rPr>
            <w:rStyle w:val="Hyperlink"/>
          </w:rPr>
          <w:t>https://cases.justia.com/new-jersey/appellate-division-unpublished/2025-a-1179-23.pdf?ts=1765469961</w:t>
        </w:r>
      </w:hyperlink>
      <w:r>
        <w:t xml:space="preserve"> </w:t>
      </w:r>
    </w:p>
    <w:p w14:paraId="59085DFF" w14:textId="77777777" w:rsidR="00374747" w:rsidRDefault="00374747" w:rsidP="00374747">
      <w:pPr>
        <w:pStyle w:val="NoSpacing"/>
      </w:pPr>
    </w:p>
    <w:p w14:paraId="310AE671" w14:textId="77777777" w:rsidR="00374747" w:rsidRDefault="00374747" w:rsidP="00374747">
      <w:pPr>
        <w:pStyle w:val="NoSpacing"/>
      </w:pPr>
      <w:r>
        <w:t>THE COURT HELD:</w:t>
      </w:r>
    </w:p>
    <w:p w14:paraId="0A37389F" w14:textId="77777777" w:rsidR="00374747" w:rsidRDefault="00374747" w:rsidP="00374747">
      <w:pPr>
        <w:pStyle w:val="NoSpacing"/>
      </w:pPr>
    </w:p>
    <w:p w14:paraId="0383EEC0" w14:textId="77777777" w:rsidR="00374747" w:rsidRDefault="00374747" w:rsidP="00374747">
      <w:pPr>
        <w:pStyle w:val="NoSpacing"/>
        <w:ind w:left="720"/>
      </w:pPr>
      <w:r>
        <w:t xml:space="preserve">“ [Township’s acting fire marshal] certified that in November 2021, ‘the Township Fire Department responded to a fire at defendants' North Black Horse Pike location because a single tire had caught fire and ‘spread to some scrap lumber and a tree branch before it was extinguished.’ The officer attached a police report stating that </w:t>
      </w:r>
      <w:proofErr w:type="gramStart"/>
      <w:r>
        <w:t>‘stacks of several</w:t>
      </w:r>
      <w:proofErr w:type="gramEnd"/>
      <w:r>
        <w:t xml:space="preserve"> hundred new and old </w:t>
      </w:r>
      <w:proofErr w:type="gramStart"/>
      <w:r>
        <w:t>tires’</w:t>
      </w:r>
      <w:proofErr w:type="gramEnd"/>
      <w:r>
        <w:t xml:space="preserve"> enclosed the fire </w:t>
      </w:r>
      <w:proofErr w:type="gramStart"/>
      <w:r>
        <w:t>area, ‘</w:t>
      </w:r>
      <w:proofErr w:type="gramEnd"/>
      <w:r>
        <w:t>making it a difficult area to access.’</w:t>
      </w:r>
    </w:p>
    <w:p w14:paraId="776AFE0F" w14:textId="77777777" w:rsidR="00374747" w:rsidRDefault="00374747" w:rsidP="00374747">
      <w:pPr>
        <w:pStyle w:val="NoSpacing"/>
        <w:ind w:left="720"/>
      </w:pPr>
    </w:p>
    <w:p w14:paraId="5EA17C22" w14:textId="77777777" w:rsidR="00374747" w:rsidRDefault="00374747" w:rsidP="00374747">
      <w:pPr>
        <w:pStyle w:val="NoSpacing"/>
        <w:ind w:left="720"/>
      </w:pPr>
      <w:r>
        <w:t>***</w:t>
      </w:r>
    </w:p>
    <w:p w14:paraId="742419C3" w14:textId="77777777" w:rsidR="00374747" w:rsidRDefault="00374747" w:rsidP="00374747">
      <w:pPr>
        <w:pStyle w:val="NoSpacing"/>
        <w:ind w:firstLine="720"/>
      </w:pPr>
    </w:p>
    <w:p w14:paraId="27FD3FE2" w14:textId="77777777" w:rsidR="00374747" w:rsidRDefault="00374747" w:rsidP="00374747">
      <w:pPr>
        <w:pStyle w:val="NoSpacing"/>
        <w:ind w:firstLine="720"/>
      </w:pPr>
      <w:r>
        <w:t xml:space="preserve">The Township's emergency management coordinator certified </w:t>
      </w:r>
      <w:proofErr w:type="gramStart"/>
      <w:r>
        <w:t>that ‘[</w:t>
      </w:r>
      <w:proofErr w:type="gramEnd"/>
      <w:r>
        <w:t>a]</w:t>
      </w:r>
    </w:p>
    <w:p w14:paraId="39888643" w14:textId="77777777" w:rsidR="00374747" w:rsidRDefault="00374747" w:rsidP="00374747">
      <w:pPr>
        <w:pStyle w:val="NoSpacing"/>
        <w:ind w:firstLine="720"/>
      </w:pPr>
      <w:r>
        <w:t>fire from any of the Harry's Tires sites would pose a major environmental and</w:t>
      </w:r>
    </w:p>
    <w:p w14:paraId="459384EB" w14:textId="77777777" w:rsidR="00374747" w:rsidRDefault="00374747" w:rsidP="00374747">
      <w:pPr>
        <w:pStyle w:val="NoSpacing"/>
        <w:ind w:firstLine="720"/>
      </w:pPr>
      <w:r>
        <w:t>logistical nightmare for emergency responders.’</w:t>
      </w:r>
    </w:p>
    <w:p w14:paraId="475EF746" w14:textId="77777777" w:rsidR="00374747" w:rsidRDefault="00374747" w:rsidP="00374747">
      <w:pPr>
        <w:pStyle w:val="NoSpacing"/>
        <w:ind w:firstLine="720"/>
      </w:pPr>
    </w:p>
    <w:p w14:paraId="21411259" w14:textId="77777777" w:rsidR="00374747" w:rsidRDefault="00374747" w:rsidP="00374747">
      <w:pPr>
        <w:pStyle w:val="NoSpacing"/>
        <w:ind w:firstLine="720"/>
      </w:pPr>
      <w:r>
        <w:t>***</w:t>
      </w:r>
    </w:p>
    <w:p w14:paraId="5869929C" w14:textId="77777777" w:rsidR="00374747" w:rsidRDefault="00374747" w:rsidP="00374747">
      <w:pPr>
        <w:pStyle w:val="NoSpacing"/>
        <w:ind w:left="720"/>
      </w:pPr>
      <w:r>
        <w:t>During argument, the … court noted the final judgment did not preclude defendants from leasing the properties or seeking approval for another use before the appropriate Township board. The second court also found that defendants offered no meritorious</w:t>
      </w:r>
    </w:p>
    <w:p w14:paraId="652A3FF0" w14:textId="77777777" w:rsidR="00374747" w:rsidRDefault="00374747" w:rsidP="00374747">
      <w:pPr>
        <w:pStyle w:val="NoSpacing"/>
        <w:ind w:firstLine="720"/>
      </w:pPr>
      <w:r>
        <w:t>defense to the Township's claims. Defendants never asserted they were ‘in</w:t>
      </w:r>
    </w:p>
    <w:p w14:paraId="20E3CF27" w14:textId="77777777" w:rsidR="00374747" w:rsidRDefault="00374747" w:rsidP="00374747">
      <w:pPr>
        <w:pStyle w:val="NoSpacing"/>
        <w:ind w:firstLine="720"/>
      </w:pPr>
      <w:r>
        <w:t>compliance’ with the Township's ordinances and had the required ‘licenses that</w:t>
      </w:r>
    </w:p>
    <w:p w14:paraId="5E8ED366" w14:textId="77777777" w:rsidR="00374747" w:rsidRDefault="00374747" w:rsidP="00374747">
      <w:pPr>
        <w:pStyle w:val="NoSpacing"/>
        <w:ind w:firstLine="720"/>
      </w:pPr>
      <w:r>
        <w:t>[they were] supposed to have.’"</w:t>
      </w:r>
    </w:p>
    <w:p w14:paraId="2850CDCB" w14:textId="77777777" w:rsidR="00374747" w:rsidRDefault="00374747" w:rsidP="00374747">
      <w:pPr>
        <w:pStyle w:val="NoSpacing"/>
        <w:ind w:firstLine="720"/>
      </w:pPr>
    </w:p>
    <w:p w14:paraId="3EF3A124" w14:textId="77777777" w:rsidR="00374747" w:rsidRPr="002B36A6" w:rsidRDefault="00374747" w:rsidP="00374747">
      <w:pPr>
        <w:pStyle w:val="NoSpacing"/>
        <w:rPr>
          <w:b/>
          <w:bCs/>
        </w:rPr>
      </w:pPr>
      <w:r>
        <w:rPr>
          <w:b/>
        </w:rPr>
        <w:t xml:space="preserve">Legal lesson learned: Storage of large </w:t>
      </w:r>
      <w:proofErr w:type="gramStart"/>
      <w:r>
        <w:rPr>
          <w:b/>
        </w:rPr>
        <w:t>amount</w:t>
      </w:r>
      <w:proofErr w:type="gramEnd"/>
      <w:r>
        <w:rPr>
          <w:b/>
        </w:rPr>
        <w:t xml:space="preserve"> of abandoned tires is a clear fire hazard. </w:t>
      </w:r>
    </w:p>
    <w:p w14:paraId="4E7D2842" w14:textId="77777777" w:rsidR="0028642A" w:rsidRDefault="0028642A" w:rsidP="0028642A">
      <w:pPr>
        <w:pStyle w:val="NoSpacing"/>
      </w:pPr>
    </w:p>
    <w:p w14:paraId="6B756B2F" w14:textId="77777777" w:rsidR="0028642A" w:rsidRDefault="0028642A" w:rsidP="00037CB8">
      <w:pPr>
        <w:pStyle w:val="NoSpacing"/>
        <w:rPr>
          <w:rFonts w:ascii="Arial Black" w:hAnsi="Arial Black"/>
          <w:sz w:val="24"/>
          <w:szCs w:val="24"/>
        </w:rPr>
      </w:pPr>
    </w:p>
    <w:p w14:paraId="75AF15D0" w14:textId="77777777" w:rsidR="00D035D9" w:rsidRDefault="00D035D9" w:rsidP="00037CB8">
      <w:pPr>
        <w:pStyle w:val="NoSpacing"/>
        <w:rPr>
          <w:rFonts w:ascii="Arial Black" w:hAnsi="Arial Black"/>
          <w:sz w:val="24"/>
          <w:szCs w:val="24"/>
        </w:rPr>
      </w:pPr>
    </w:p>
    <w:p w14:paraId="58FB5621" w14:textId="77777777" w:rsidR="00D035D9" w:rsidRDefault="00D035D9" w:rsidP="00037CB8">
      <w:pPr>
        <w:pStyle w:val="NoSpacing"/>
        <w:rPr>
          <w:rFonts w:ascii="Arial Black" w:hAnsi="Arial Black"/>
          <w:sz w:val="24"/>
          <w:szCs w:val="24"/>
        </w:rPr>
      </w:pPr>
    </w:p>
    <w:p w14:paraId="2C126ABF" w14:textId="77777777" w:rsidR="00D035D9" w:rsidRDefault="00D035D9" w:rsidP="00037CB8">
      <w:pPr>
        <w:pStyle w:val="NoSpacing"/>
        <w:rPr>
          <w:rFonts w:ascii="Arial Black" w:hAnsi="Arial Black"/>
          <w:sz w:val="24"/>
          <w:szCs w:val="24"/>
        </w:rPr>
      </w:pPr>
    </w:p>
    <w:p w14:paraId="3F8F39EF" w14:textId="3D2413A5" w:rsidR="006E51B1" w:rsidRDefault="009135A7" w:rsidP="00037CB8">
      <w:pPr>
        <w:pStyle w:val="NoSpacing"/>
        <w:rPr>
          <w:rFonts w:ascii="Arial Black" w:hAnsi="Arial Black"/>
          <w:sz w:val="24"/>
          <w:szCs w:val="24"/>
        </w:rPr>
      </w:pPr>
      <w:r>
        <w:rPr>
          <w:rFonts w:ascii="Arial Black" w:hAnsi="Arial Black"/>
          <w:sz w:val="24"/>
          <w:szCs w:val="24"/>
        </w:rPr>
        <w:t>1-197</w:t>
      </w:r>
    </w:p>
    <w:p w14:paraId="4F552192" w14:textId="77777777" w:rsidR="009135A7" w:rsidRDefault="009135A7" w:rsidP="00037CB8">
      <w:pPr>
        <w:pStyle w:val="NoSpacing"/>
        <w:rPr>
          <w:rFonts w:ascii="Arial Black" w:hAnsi="Arial Black"/>
          <w:sz w:val="24"/>
          <w:szCs w:val="24"/>
        </w:rPr>
      </w:pPr>
    </w:p>
    <w:p w14:paraId="5E376A1A" w14:textId="77777777" w:rsidR="007A5DCD" w:rsidRDefault="007A5DCD" w:rsidP="007A5DCD">
      <w:pPr>
        <w:pStyle w:val="NoSpacing"/>
        <w:rPr>
          <w:bCs/>
        </w:rPr>
      </w:pPr>
      <w:r>
        <w:rPr>
          <w:rFonts w:ascii="Arial Black" w:hAnsi="Arial Black"/>
          <w:sz w:val="28"/>
          <w:szCs w:val="28"/>
        </w:rPr>
        <w:t xml:space="preserve">PA: ARSON – LIQUID ON FLOOR - 4 PD FLED – ONE FELONY </w:t>
      </w:r>
    </w:p>
    <w:p w14:paraId="0EEE433C" w14:textId="77777777" w:rsidR="007A5DCD" w:rsidRDefault="007A5DCD" w:rsidP="007A5DCD">
      <w:pPr>
        <w:pStyle w:val="NoSpacing"/>
        <w:rPr>
          <w:bCs/>
        </w:rPr>
      </w:pPr>
    </w:p>
    <w:p w14:paraId="65961BD4" w14:textId="77777777" w:rsidR="007A5DCD" w:rsidRDefault="007A5DCD" w:rsidP="007A5DCD">
      <w:pPr>
        <w:pStyle w:val="NoSpacing"/>
      </w:pPr>
      <w:r>
        <w:t xml:space="preserve">On Nov. 19, 2025, in </w:t>
      </w:r>
      <w:r w:rsidRPr="00395990">
        <w:rPr>
          <w:u w:val="single"/>
        </w:rPr>
        <w:t>Commonwealth of Pennsylvania v. Vincent Smith</w:t>
      </w:r>
      <w:r>
        <w:t xml:space="preserve">, the </w:t>
      </w:r>
      <w:r w:rsidRPr="0048298D">
        <w:t>Supreme Court of Pennsylvania</w:t>
      </w:r>
      <w:r>
        <w:t xml:space="preserve"> held (4 to 2) that the defendant, who pled guilty, can be sentenced for one count of </w:t>
      </w:r>
      <w:r w:rsidRPr="003560CE">
        <w:t>Arson Endangering Persons (“AEP”)</w:t>
      </w:r>
      <w:r>
        <w:t>, not four counts even though he endangered four police officers.  The trial court rejected defense argument that he only committed one arson offense; the court sentenced to 4 to 8 years imprisonment for each AEP offense. He also pled guilty to involuntary manslaughter of two roommates, for aggregate sentence of 26 to 52 years imprisonment.  THE COURT WROTE: “Thus, the Crimes Code</w:t>
      </w:r>
      <w:proofErr w:type="gramStart"/>
      <w:r>
        <w:t>, as a whole, was</w:t>
      </w:r>
      <w:proofErr w:type="gramEnd"/>
      <w:r>
        <w:t xml:space="preserve"> enacted to classify all crimes into grades and degrees. Moreover, Section 3301</w:t>
      </w:r>
      <w:proofErr w:type="gramStart"/>
      <w:r>
        <w:t>, in particular, differentiates</w:t>
      </w:r>
      <w:proofErr w:type="gramEnd"/>
      <w:r>
        <w:t xml:space="preserve"> between arson endangering persons and property − Section 3301(a) </w:t>
      </w:r>
      <w:r>
        <w:lastRenderedPageBreak/>
        <w:t xml:space="preserve">− and arson endangering only property – Section 3301(c) – and allows for a harsher sentence for the former by designating the offense of AEP as a felony of the first degree. There is nothing, however, to suggest that the underlying intent of Section 3301(a) was to allow for separate convictions and sentences for each endangered </w:t>
      </w:r>
      <w:proofErr w:type="gramStart"/>
      <w:r>
        <w:t>individual.”</w:t>
      </w:r>
      <w:proofErr w:type="gramEnd"/>
      <w:r>
        <w:t xml:space="preserve"> </w:t>
      </w:r>
      <w:hyperlink r:id="rId38" w:history="1">
        <w:r w:rsidRPr="00422760">
          <w:rPr>
            <w:rStyle w:val="Hyperlink"/>
          </w:rPr>
          <w:t>https://cases.justia.com/pennsylvania/supreme-court/2025-15-wap-2024.pdf?ts=1763559881</w:t>
        </w:r>
      </w:hyperlink>
      <w:r>
        <w:t xml:space="preserve"> </w:t>
      </w:r>
    </w:p>
    <w:p w14:paraId="4AB67559" w14:textId="77777777" w:rsidR="007A5DCD" w:rsidRDefault="007A5DCD" w:rsidP="007A5DCD">
      <w:pPr>
        <w:pStyle w:val="NoSpacing"/>
      </w:pPr>
    </w:p>
    <w:p w14:paraId="54C0AF4C" w14:textId="77777777" w:rsidR="007A5DCD" w:rsidRDefault="007A5DCD" w:rsidP="007A5DCD">
      <w:pPr>
        <w:pStyle w:val="NoSpacing"/>
      </w:pPr>
      <w:r>
        <w:t>THE COURT HELD:</w:t>
      </w:r>
    </w:p>
    <w:p w14:paraId="7F11D9E3" w14:textId="77777777" w:rsidR="007A5DCD" w:rsidRDefault="007A5DCD" w:rsidP="007A5DCD">
      <w:pPr>
        <w:pStyle w:val="NoSpacing"/>
      </w:pPr>
    </w:p>
    <w:p w14:paraId="6AE0CD27" w14:textId="77777777" w:rsidR="007A5DCD" w:rsidRDefault="007A5DCD" w:rsidP="007A5DCD">
      <w:pPr>
        <w:pStyle w:val="NoSpacing"/>
        <w:ind w:left="720"/>
      </w:pPr>
      <w:r>
        <w:t>“</w:t>
      </w:r>
      <w:r w:rsidRPr="00932361">
        <w:t xml:space="preserve">In February 2018, four police officers arrived at a rowhouse in Pittsburgh </w:t>
      </w:r>
      <w:proofErr w:type="gramStart"/>
      <w:r w:rsidRPr="00932361">
        <w:t>in an</w:t>
      </w:r>
      <w:r>
        <w:t xml:space="preserve"> </w:t>
      </w:r>
      <w:r w:rsidRPr="00932361">
        <w:t>effort to</w:t>
      </w:r>
      <w:proofErr w:type="gramEnd"/>
      <w:r w:rsidRPr="00932361">
        <w:t xml:space="preserve"> locate a missing person, John Van Dyke. The officers forcibly entered the home</w:t>
      </w:r>
      <w:r>
        <w:t xml:space="preserve"> </w:t>
      </w:r>
      <w:r w:rsidRPr="00932361">
        <w:t>and repeatedly announced their presence. Once inside, the officers heard Appellant,</w:t>
      </w:r>
      <w:r>
        <w:t xml:space="preserve"> </w:t>
      </w:r>
      <w:r w:rsidRPr="00932361">
        <w:t xml:space="preserve">Vincent Smith, who was on the second floor of the residence, declare </w:t>
      </w:r>
      <w:r>
        <w:t>‘</w:t>
      </w:r>
      <w:r w:rsidRPr="00932361">
        <w:t>Steve’s not here.</w:t>
      </w:r>
      <w:r>
        <w:t xml:space="preserve">’ …  </w:t>
      </w:r>
      <w:r w:rsidRPr="00932361">
        <w:t>After re-announcing</w:t>
      </w:r>
      <w:r>
        <w:t xml:space="preserve"> </w:t>
      </w:r>
      <w:r w:rsidRPr="00932361">
        <w:t>their presence and stating their purpose, the officers observed Appellant striking matches</w:t>
      </w:r>
      <w:r>
        <w:t xml:space="preserve"> </w:t>
      </w:r>
      <w:r w:rsidRPr="00932361">
        <w:t>and throwing them on the floor, instantly setting a fire that traveled down the stairs toward</w:t>
      </w:r>
      <w:r>
        <w:t xml:space="preserve"> </w:t>
      </w:r>
      <w:r w:rsidRPr="00932361">
        <w:t>the officers. The officers immediately exited the residence, and Appellant was rescued</w:t>
      </w:r>
      <w:r>
        <w:t xml:space="preserve"> </w:t>
      </w:r>
      <w:r w:rsidRPr="00932361">
        <w:t>by firemen and treated for smoke inhalation.</w:t>
      </w:r>
    </w:p>
    <w:p w14:paraId="4D2B3C64" w14:textId="77777777" w:rsidR="007A5DCD" w:rsidRDefault="007A5DCD" w:rsidP="007A5DCD">
      <w:pPr>
        <w:pStyle w:val="NoSpacing"/>
      </w:pPr>
    </w:p>
    <w:p w14:paraId="0EB89F79" w14:textId="77777777" w:rsidR="007A5DCD" w:rsidRDefault="007A5DCD" w:rsidP="007A5DCD">
      <w:pPr>
        <w:pStyle w:val="NoSpacing"/>
        <w:ind w:left="720"/>
      </w:pPr>
      <w:r w:rsidRPr="007C4267">
        <w:t>Subsequently, the bodies of Van Dyke and another man, Steven Pariser, were</w:t>
      </w:r>
      <w:r>
        <w:t xml:space="preserve"> </w:t>
      </w:r>
      <w:r w:rsidRPr="007C4267">
        <w:t>recovered from the residence. Both men had trauma to the back of their heads, and it</w:t>
      </w:r>
      <w:r>
        <w:t xml:space="preserve"> </w:t>
      </w:r>
      <w:r w:rsidRPr="007C4267">
        <w:t>was determined that Appellant had killed the men approximately five days earlier; thus,</w:t>
      </w:r>
      <w:r>
        <w:t xml:space="preserve"> </w:t>
      </w:r>
      <w:r w:rsidRPr="007C4267">
        <w:t>their deaths were ruled as homicides. Appellant told detectives that the two victims had</w:t>
      </w:r>
      <w:r>
        <w:t xml:space="preserve"> </w:t>
      </w:r>
      <w:r w:rsidRPr="007C4267">
        <w:t>attacked him, and he fought back by throwing them down a flight of stairs, after which he</w:t>
      </w:r>
      <w:r>
        <w:t xml:space="preserve"> </w:t>
      </w:r>
      <w:r w:rsidRPr="007C4267">
        <w:t>covered them with blankets and bags. Appellant also stated that he wanted to kill himself,</w:t>
      </w:r>
      <w:r>
        <w:t xml:space="preserve"> </w:t>
      </w:r>
      <w:r w:rsidRPr="007C4267">
        <w:t>and that he had attempted to do so by taking some pills and spreading lighter fluid around</w:t>
      </w:r>
      <w:r>
        <w:t xml:space="preserve"> </w:t>
      </w:r>
      <w:r w:rsidRPr="007C4267">
        <w:t>the residence.</w:t>
      </w:r>
      <w:r>
        <w:t>”</w:t>
      </w:r>
    </w:p>
    <w:p w14:paraId="5BCAA1F3" w14:textId="77777777" w:rsidR="007A5DCD" w:rsidRDefault="007A5DCD" w:rsidP="007A5DCD">
      <w:pPr>
        <w:pStyle w:val="NoSpacing"/>
        <w:ind w:left="720"/>
      </w:pPr>
    </w:p>
    <w:p w14:paraId="07B3BB93" w14:textId="77777777" w:rsidR="007A5DCD" w:rsidRDefault="007A5DCD" w:rsidP="007A5DCD">
      <w:pPr>
        <w:pStyle w:val="NoSpacing"/>
      </w:pPr>
      <w:r>
        <w:t>DISSENT (Opinion by Justice Sallie Updyke Mundy; joined by Justice Kevin Brobson)</w:t>
      </w:r>
    </w:p>
    <w:p w14:paraId="152FB725" w14:textId="77777777" w:rsidR="007A5DCD" w:rsidRDefault="007A5DCD" w:rsidP="007A5DCD">
      <w:pPr>
        <w:pStyle w:val="NoSpacing"/>
      </w:pPr>
    </w:p>
    <w:p w14:paraId="6291B785" w14:textId="77777777" w:rsidR="007A5DCD" w:rsidRDefault="007A5DCD" w:rsidP="007A5DCD">
      <w:pPr>
        <w:pStyle w:val="NoSpacing"/>
        <w:ind w:left="720"/>
      </w:pPr>
      <w:r>
        <w:t xml:space="preserve">“As the majority itself concedes, the offense of AEP cannot be completed without </w:t>
      </w:r>
      <w:proofErr w:type="gramStart"/>
      <w:r>
        <w:t>both of these</w:t>
      </w:r>
      <w:proofErr w:type="gramEnd"/>
      <w:r>
        <w:t xml:space="preserve"> actions. Majority Op. at 15 (‘[P]lacing another person in danger of death or bodily injury is not merely a description of the result of the prohibited act of starting a fire or causing an explosion, but, rather, an essential component of the minimum conduct that must be proven to support a conviction – the actus reus − under Section 3301(a)(1)(</w:t>
      </w:r>
      <w:proofErr w:type="spellStart"/>
      <w:r>
        <w:t>i</w:t>
      </w:r>
      <w:proofErr w:type="spellEnd"/>
      <w:r>
        <w:t xml:space="preserve">).’). The General Assembly therefore intended a count of AEP to apply to each victim endangered by the intentional act of starting a fire.” </w:t>
      </w:r>
    </w:p>
    <w:p w14:paraId="0B3A422F" w14:textId="77777777" w:rsidR="007A5DCD" w:rsidRDefault="007A5DCD" w:rsidP="007A5DCD">
      <w:pPr>
        <w:pStyle w:val="NoSpacing"/>
        <w:ind w:left="720"/>
      </w:pPr>
      <w:hyperlink r:id="rId39" w:history="1">
        <w:r w:rsidRPr="00422760">
          <w:rPr>
            <w:rStyle w:val="Hyperlink"/>
          </w:rPr>
          <w:t>https://cases.justia.com/pennsylvania/supreme-court/2025-15-wap-2024-0.pdf?ts=1763559882</w:t>
        </w:r>
      </w:hyperlink>
      <w:r>
        <w:t xml:space="preserve"> </w:t>
      </w:r>
    </w:p>
    <w:p w14:paraId="5509C8E2" w14:textId="77777777" w:rsidR="007A5DCD" w:rsidRDefault="007A5DCD" w:rsidP="007A5DCD">
      <w:pPr>
        <w:pStyle w:val="NoSpacing"/>
        <w:ind w:left="720"/>
      </w:pPr>
    </w:p>
    <w:p w14:paraId="736C6EB3" w14:textId="754F208D" w:rsidR="007A5DCD" w:rsidRPr="00C63759" w:rsidRDefault="007A5DCD" w:rsidP="007A5DCD">
      <w:pPr>
        <w:pStyle w:val="NoSpacing"/>
        <w:rPr>
          <w:b/>
          <w:bCs/>
        </w:rPr>
      </w:pPr>
      <w:r>
        <w:rPr>
          <w:b/>
        </w:rPr>
        <w:t xml:space="preserve">Legal lesson learned:  </w:t>
      </w:r>
      <w:r w:rsidRPr="00C63759">
        <w:rPr>
          <w:b/>
        </w:rPr>
        <w:t>“Arson Endangering Persons”</w:t>
      </w:r>
      <w:r>
        <w:rPr>
          <w:b/>
        </w:rPr>
        <w:t xml:space="preserve"> – the two Dissenting Justices agreed with the trial court judge – the defe</w:t>
      </w:r>
      <w:r w:rsidR="00CD4F1A">
        <w:rPr>
          <w:b/>
        </w:rPr>
        <w:t xml:space="preserve">ndant </w:t>
      </w:r>
      <w:r>
        <w:rPr>
          <w:b/>
        </w:rPr>
        <w:t xml:space="preserve">endangered four police </w:t>
      </w:r>
      <w:proofErr w:type="gramStart"/>
      <w:r>
        <w:rPr>
          <w:b/>
        </w:rPr>
        <w:t>officers, and</w:t>
      </w:r>
      <w:proofErr w:type="gramEnd"/>
      <w:r>
        <w:rPr>
          <w:b/>
        </w:rPr>
        <w:t xml:space="preserve"> should be sentenced for four counts.  </w:t>
      </w:r>
    </w:p>
    <w:p w14:paraId="21DFB8BF" w14:textId="77777777" w:rsidR="007A5DCD" w:rsidRDefault="007A5DCD" w:rsidP="007A5DCD">
      <w:pPr>
        <w:rPr>
          <w:bCs/>
        </w:rPr>
      </w:pPr>
    </w:p>
    <w:p w14:paraId="60CFC215" w14:textId="77777777" w:rsidR="009135A7" w:rsidRDefault="009135A7" w:rsidP="00037CB8">
      <w:pPr>
        <w:pStyle w:val="NoSpacing"/>
        <w:rPr>
          <w:rFonts w:ascii="Arial Black" w:hAnsi="Arial Black"/>
          <w:sz w:val="24"/>
          <w:szCs w:val="24"/>
        </w:rPr>
      </w:pPr>
    </w:p>
    <w:p w14:paraId="73723EA4" w14:textId="77777777" w:rsidR="009135A7" w:rsidRDefault="009135A7" w:rsidP="00037CB8">
      <w:pPr>
        <w:pStyle w:val="NoSpacing"/>
        <w:rPr>
          <w:rFonts w:ascii="Arial Black" w:hAnsi="Arial Black"/>
          <w:sz w:val="24"/>
          <w:szCs w:val="24"/>
        </w:rPr>
      </w:pPr>
    </w:p>
    <w:p w14:paraId="49FF20B2" w14:textId="77777777" w:rsidR="009135A7" w:rsidRDefault="009135A7" w:rsidP="00037CB8">
      <w:pPr>
        <w:pStyle w:val="NoSpacing"/>
        <w:rPr>
          <w:rFonts w:ascii="Arial Black" w:hAnsi="Arial Black"/>
          <w:sz w:val="24"/>
          <w:szCs w:val="24"/>
        </w:rPr>
      </w:pPr>
    </w:p>
    <w:p w14:paraId="5DBBCF68" w14:textId="7AD7BA31" w:rsidR="006E51B1" w:rsidRDefault="006E51B1" w:rsidP="00037CB8">
      <w:pPr>
        <w:pStyle w:val="NoSpacing"/>
        <w:rPr>
          <w:rFonts w:ascii="Arial Black" w:hAnsi="Arial Black"/>
          <w:sz w:val="24"/>
          <w:szCs w:val="24"/>
        </w:rPr>
      </w:pPr>
      <w:r>
        <w:rPr>
          <w:rFonts w:ascii="Arial Black" w:hAnsi="Arial Black"/>
          <w:sz w:val="24"/>
          <w:szCs w:val="24"/>
        </w:rPr>
        <w:t>1-196</w:t>
      </w:r>
    </w:p>
    <w:p w14:paraId="71E9947D" w14:textId="77777777" w:rsidR="006E51B1" w:rsidRDefault="006E51B1" w:rsidP="00037CB8">
      <w:pPr>
        <w:pStyle w:val="NoSpacing"/>
        <w:rPr>
          <w:rFonts w:ascii="Arial Black" w:hAnsi="Arial Black"/>
          <w:sz w:val="24"/>
          <w:szCs w:val="24"/>
        </w:rPr>
      </w:pPr>
    </w:p>
    <w:p w14:paraId="516E312F" w14:textId="77777777" w:rsidR="006E51B1" w:rsidRPr="008E4E50" w:rsidRDefault="006E51B1" w:rsidP="006E51B1">
      <w:pPr>
        <w:pStyle w:val="NoSpacing"/>
        <w:rPr>
          <w:rFonts w:ascii="Arial Black" w:hAnsi="Arial Black"/>
          <w:bCs/>
          <w:sz w:val="28"/>
          <w:szCs w:val="28"/>
        </w:rPr>
      </w:pPr>
      <w:r>
        <w:rPr>
          <w:rFonts w:ascii="Arial Black" w:hAnsi="Arial Black"/>
          <w:sz w:val="28"/>
          <w:szCs w:val="28"/>
        </w:rPr>
        <w:t xml:space="preserve">WI: ARSON – NO </w:t>
      </w:r>
      <w:r w:rsidRPr="007F0262">
        <w:rPr>
          <w:rFonts w:ascii="Arial Black" w:hAnsi="Arial Black"/>
          <w:i/>
          <w:iCs/>
          <w:sz w:val="28"/>
          <w:szCs w:val="28"/>
        </w:rPr>
        <w:t>MIRANDA</w:t>
      </w:r>
      <w:r>
        <w:rPr>
          <w:rFonts w:ascii="Arial Black" w:hAnsi="Arial Black"/>
          <w:sz w:val="28"/>
          <w:szCs w:val="28"/>
        </w:rPr>
        <w:t xml:space="preserve"> – NOT IN CUSTODY BY ATF</w:t>
      </w:r>
    </w:p>
    <w:p w14:paraId="0B61AE52" w14:textId="77777777" w:rsidR="006E51B1" w:rsidRDefault="006E51B1" w:rsidP="006E51B1">
      <w:pPr>
        <w:pStyle w:val="NoSpacing"/>
        <w:rPr>
          <w:b/>
        </w:rPr>
      </w:pPr>
    </w:p>
    <w:p w14:paraId="3D6935E3" w14:textId="77777777" w:rsidR="006E51B1" w:rsidRDefault="006E51B1" w:rsidP="006E51B1">
      <w:pPr>
        <w:pStyle w:val="NoSpacing"/>
        <w:rPr>
          <w:bCs/>
        </w:rPr>
      </w:pPr>
      <w:r>
        <w:t xml:space="preserve">On October 28, 2025, in </w:t>
      </w:r>
      <w:r w:rsidRPr="001E3816">
        <w:rPr>
          <w:u w:val="single"/>
        </w:rPr>
        <w:t>United States of America v. Arletta Allen</w:t>
      </w:r>
      <w:r>
        <w:t xml:space="preserve">, U.S. District Court Chief Judge Pamela A. Pepper, United States District Court for the Eastern District of Wisconsin adopted the U.S. Magistrate Judge William E. Duffin’s recommendation to deny defense </w:t>
      </w:r>
      <w:r w:rsidRPr="006D53D8">
        <w:t xml:space="preserve">motion to suppress statements she made to </w:t>
      </w:r>
      <w:r>
        <w:t xml:space="preserve">ATF Special Agents </w:t>
      </w:r>
      <w:r w:rsidRPr="006D53D8">
        <w:t>on November 2, 2021</w:t>
      </w:r>
      <w:r>
        <w:t xml:space="preserve"> sitting in their vehicle as agents searched her home.  </w:t>
      </w:r>
      <w:r w:rsidRPr="001E3816">
        <w:t>According to the indictment, on or about October 10, 2021, Allen maliciously damaged by fire a restaurant known as “A Family Affair Soulfood Kitchen” located at 417 S. Main Street in Fond du Lac, Wisconsin.</w:t>
      </w:r>
      <w:r>
        <w:t xml:space="preserve">  </w:t>
      </w:r>
      <w:r w:rsidRPr="008231EE">
        <w:t xml:space="preserve">Judge Duffin determined that </w:t>
      </w:r>
      <w:proofErr w:type="gramStart"/>
      <w:r w:rsidRPr="008231EE">
        <w:t>in light of</w:t>
      </w:r>
      <w:proofErr w:type="gramEnd"/>
      <w:r w:rsidRPr="008231EE">
        <w:t xml:space="preserve"> all the facts, the defendant had failed to establish that her movement was restricted to the degree of an arrest</w:t>
      </w:r>
      <w:r>
        <w:t xml:space="preserve">.  </w:t>
      </w:r>
      <w:r w:rsidRPr="008231EE">
        <w:t>Judge Duffin recounted that SA Heimerl had told the defendant that she was not under arrest and had explained that the search team was present to execute the warran</w:t>
      </w:r>
      <w:r>
        <w:t xml:space="preserve">t. </w:t>
      </w:r>
      <w:hyperlink r:id="rId40" w:history="1">
        <w:r w:rsidRPr="00467EB3">
          <w:rPr>
            <w:rStyle w:val="Hyperlink"/>
          </w:rPr>
          <w:t>https://public.fastcase.com/jaEE2PXzRXmZ99jOLMt1Io7YtJZzhGRSpWTaEU5VEs33%2BTg9rUAoQurxZOT9gqkAJFaugLm9Mxx2CSeMl9vD0%2FrzAe6H5F%2F5zH2a3krjQxc%3D?utm_medium=email&amp;_hsenc=p2ANqtz--xi3xhqQTQTPjw8tThXPxla5fboNp_lyjnL-u37viXN8Zx1O-9U8osPNb7oBpn1RZ6w4oAGvXBZvBP5z9zhZ_Qvufy4w&amp;_hsmi=226712652&amp;utm_content=226712652&amp;utm_source=hs_email</w:t>
        </w:r>
      </w:hyperlink>
      <w:r>
        <w:t xml:space="preserve"> </w:t>
      </w:r>
    </w:p>
    <w:p w14:paraId="084524DA" w14:textId="77777777" w:rsidR="006E51B1" w:rsidRDefault="006E51B1" w:rsidP="006E51B1">
      <w:pPr>
        <w:pStyle w:val="NoSpacing"/>
        <w:rPr>
          <w:bCs/>
        </w:rPr>
      </w:pPr>
    </w:p>
    <w:p w14:paraId="5FA37B70" w14:textId="77777777" w:rsidR="006E51B1" w:rsidRDefault="006E51B1" w:rsidP="006E51B1">
      <w:pPr>
        <w:pStyle w:val="NoSpacing"/>
        <w:rPr>
          <w:bCs/>
        </w:rPr>
      </w:pPr>
    </w:p>
    <w:p w14:paraId="1DC35307" w14:textId="77777777" w:rsidR="006E51B1" w:rsidRDefault="006E51B1" w:rsidP="006E51B1">
      <w:pPr>
        <w:pStyle w:val="NoSpacing"/>
      </w:pPr>
      <w:r>
        <w:t>THE COURT HELD:</w:t>
      </w:r>
    </w:p>
    <w:p w14:paraId="6954F720" w14:textId="77777777" w:rsidR="006E51B1" w:rsidRDefault="006E51B1" w:rsidP="006E51B1">
      <w:pPr>
        <w:pStyle w:val="NoSpacing"/>
      </w:pPr>
    </w:p>
    <w:p w14:paraId="7B9980AE" w14:textId="77777777" w:rsidR="006E51B1" w:rsidRDefault="006E51B1" w:rsidP="006E51B1">
      <w:pPr>
        <w:pStyle w:val="NoSpacing"/>
        <w:ind w:left="720"/>
      </w:pPr>
      <w:r>
        <w:t>“</w:t>
      </w:r>
      <w:r w:rsidRPr="007C1D31">
        <w:t>On November 1, 2021, Magistrate Judge Stephen C. Dries issued search warrants for the restaurant, the defendant's house and the defendant's Dodge Durango</w:t>
      </w:r>
      <w:r>
        <w:t xml:space="preserve">…. </w:t>
      </w:r>
      <w:r w:rsidRPr="007C1D31">
        <w:t>Judge Dries also issued a search warrant for the defendant's Facebook account</w:t>
      </w:r>
      <w:r>
        <w:t xml:space="preserve">…. </w:t>
      </w:r>
    </w:p>
    <w:p w14:paraId="4AEA8F4B" w14:textId="77777777" w:rsidR="006E51B1" w:rsidRDefault="006E51B1" w:rsidP="006E51B1">
      <w:pPr>
        <w:pStyle w:val="NoSpacing"/>
        <w:ind w:left="720"/>
      </w:pPr>
    </w:p>
    <w:p w14:paraId="2388024B" w14:textId="77777777" w:rsidR="006E51B1" w:rsidRDefault="006E51B1" w:rsidP="006E51B1">
      <w:pPr>
        <w:pStyle w:val="NoSpacing"/>
        <w:ind w:left="720"/>
      </w:pPr>
      <w:r w:rsidRPr="00773286">
        <w:t xml:space="preserve">On the morning of November 2, 2021, Special Agent Kevin Heimerl called the defendant and asked to meet with her to </w:t>
      </w:r>
      <w:r>
        <w:t>‘</w:t>
      </w:r>
      <w:r w:rsidRPr="00773286">
        <w:t>share a little bit of information.</w:t>
      </w:r>
      <w:r>
        <w:t>’ ....</w:t>
      </w:r>
      <w:r w:rsidRPr="00773286">
        <w:t xml:space="preserve"> </w:t>
      </w:r>
      <w:r>
        <w:t xml:space="preserve"> </w:t>
      </w:r>
      <w:r w:rsidRPr="00773286">
        <w:t>SA Heimerl and SA Matthew Anderson were parked about one block away from the defendant's house at the time of the call</w:t>
      </w:r>
      <w:r>
        <w:t xml:space="preserve">…. </w:t>
      </w:r>
      <w:r w:rsidRPr="00773286">
        <w:t>Heimerl recorded a portion of this phone call and his later in-person conversation with the defendant that morning</w:t>
      </w:r>
      <w:r>
        <w:t xml:space="preserve">…. </w:t>
      </w:r>
      <w:r w:rsidRPr="00773286">
        <w:t>About two minutes after speaking with the defendant on the phone, the agents arrived at her home and parked in her driveway at the rear of the home</w:t>
      </w:r>
      <w:r>
        <w:t xml:space="preserve">…. </w:t>
      </w:r>
    </w:p>
    <w:p w14:paraId="33CCCD1D" w14:textId="77777777" w:rsidR="006E51B1" w:rsidRDefault="006E51B1" w:rsidP="006E51B1">
      <w:pPr>
        <w:pStyle w:val="NoSpacing"/>
        <w:ind w:left="720"/>
      </w:pPr>
    </w:p>
    <w:p w14:paraId="52E5B184" w14:textId="77777777" w:rsidR="006E51B1" w:rsidRDefault="006E51B1" w:rsidP="006E51B1">
      <w:pPr>
        <w:pStyle w:val="NoSpacing"/>
        <w:ind w:left="720"/>
      </w:pPr>
      <w:r>
        <w:t>***</w:t>
      </w:r>
    </w:p>
    <w:p w14:paraId="50D808F1" w14:textId="77777777" w:rsidR="006E51B1" w:rsidRPr="00773286" w:rsidRDefault="006E51B1" w:rsidP="006E51B1">
      <w:pPr>
        <w:pStyle w:val="NoSpacing"/>
        <w:ind w:left="720"/>
      </w:pPr>
      <w:r w:rsidRPr="00773286">
        <w:t xml:space="preserve"> </w:t>
      </w:r>
    </w:p>
    <w:p w14:paraId="0ADBE649" w14:textId="77777777" w:rsidR="006E51B1" w:rsidRDefault="006E51B1" w:rsidP="006E51B1">
      <w:pPr>
        <w:pStyle w:val="NoSpacing"/>
        <w:ind w:left="720"/>
      </w:pPr>
      <w:r w:rsidRPr="009D7443">
        <w:t xml:space="preserve">Heimerl told the defendant, </w:t>
      </w:r>
      <w:r>
        <w:t>‘</w:t>
      </w:r>
      <w:r w:rsidRPr="009D7443">
        <w:t xml:space="preserve">Just get what you need to get and we're </w:t>
      </w:r>
      <w:proofErr w:type="spellStart"/>
      <w:r w:rsidRPr="009D7443">
        <w:t>gonna</w:t>
      </w:r>
      <w:proofErr w:type="spellEnd"/>
      <w:r w:rsidRPr="009D7443">
        <w:t xml:space="preserve"> go outside and sit in my truck</w:t>
      </w:r>
      <w:proofErr w:type="gramStart"/>
      <w:r w:rsidRPr="009D7443">
        <w:t>.</w:t>
      </w:r>
      <w:proofErr w:type="gramEnd"/>
      <w:r w:rsidRPr="009D7443">
        <w:t xml:space="preserve"> Okay?</w:t>
      </w:r>
      <w:r>
        <w:t xml:space="preserve">’ … </w:t>
      </w:r>
      <w:r w:rsidRPr="009D7443">
        <w:t>The agents then escorted the defendant downstairs and toward the parked truck</w:t>
      </w:r>
      <w:r>
        <w:t xml:space="preserve">…. </w:t>
      </w:r>
      <w:r w:rsidRPr="009D7443">
        <w:t xml:space="preserve"> The agents did not pat the defendant down or place her in handcuffs</w:t>
      </w:r>
      <w:r>
        <w:t xml:space="preserve">…. </w:t>
      </w:r>
      <w:r w:rsidRPr="009D7443">
        <w:t xml:space="preserve"> The defendant asserts that Heimerl placed his hand on her arm and physically guided her out the door of her home, while Heimerl states that he did not have any physical contact with the defendant after taking her phone</w:t>
      </w:r>
      <w:r>
        <w:t xml:space="preserve">…. </w:t>
      </w:r>
      <w:r w:rsidRPr="009D7443">
        <w:t>Once at the truck, the defendant was escorted into the front passenger seat</w:t>
      </w:r>
      <w:r>
        <w:t xml:space="preserve">…. </w:t>
      </w:r>
      <w:r w:rsidRPr="009D7443">
        <w:t>Heimerl sat in the driver's seat and turned on the vehicle and its heating system, while Anderson sat in the rear passenger seat behind the defendant.</w:t>
      </w:r>
    </w:p>
    <w:p w14:paraId="311E451A" w14:textId="77777777" w:rsidR="006E51B1" w:rsidRDefault="006E51B1" w:rsidP="006E51B1">
      <w:pPr>
        <w:pStyle w:val="NoSpacing"/>
        <w:ind w:left="720"/>
      </w:pPr>
    </w:p>
    <w:p w14:paraId="714DD454" w14:textId="77777777" w:rsidR="006E51B1" w:rsidRDefault="006E51B1" w:rsidP="006E51B1">
      <w:pPr>
        <w:pStyle w:val="NoSpacing"/>
        <w:ind w:left="720"/>
      </w:pPr>
      <w:r w:rsidRPr="007B5FA6">
        <w:t>The defendant then saw approximately ten officers approaching her home with weapons drawn</w:t>
      </w:r>
      <w:r>
        <w:t xml:space="preserve">…. </w:t>
      </w:r>
      <w:r w:rsidRPr="007B5FA6">
        <w:t>The defendant believed that the officers looked like a SWAT team and was visibly shaken, anxious and upset</w:t>
      </w:r>
      <w:r>
        <w:t xml:space="preserve">….  </w:t>
      </w:r>
      <w:r w:rsidRPr="007B5FA6">
        <w:t>Heimerl questioned the defendant about the fire, including showing her images from the surveillance footage, while law enforcement executed the search warrant</w:t>
      </w:r>
      <w:r>
        <w:t xml:space="preserve">… </w:t>
      </w:r>
      <w:r w:rsidRPr="007B5FA6">
        <w:t>The defendant was in the truck for approximately two hours</w:t>
      </w:r>
      <w:r>
        <w:t xml:space="preserve">…. </w:t>
      </w:r>
      <w:r w:rsidRPr="007B5FA6">
        <w:t xml:space="preserve">Neither agent informed the defendant of her </w:t>
      </w:r>
      <w:r w:rsidRPr="007B5FA6">
        <w:rPr>
          <w:i/>
          <w:iCs/>
        </w:rPr>
        <w:t>Miranda</w:t>
      </w:r>
      <w:r w:rsidRPr="007B5FA6">
        <w:t xml:space="preserve"> rights</w:t>
      </w:r>
      <w:r>
        <w:t xml:space="preserve">…. </w:t>
      </w:r>
      <w:r w:rsidRPr="007B5FA6">
        <w:t>The defendant previously had met or spoken with Heimerl six times before this but never had been shown the surveillance images from the night of the fire</w:t>
      </w:r>
      <w:r>
        <w:t xml:space="preserve">…. </w:t>
      </w:r>
      <w:r w:rsidRPr="007B5FA6">
        <w:t xml:space="preserve">Both agents were in plainclothes and armed during the </w:t>
      </w:r>
      <w:proofErr w:type="gramStart"/>
      <w:r w:rsidRPr="007B5FA6">
        <w:t>interview, but</w:t>
      </w:r>
      <w:proofErr w:type="gramEnd"/>
      <w:r w:rsidRPr="007B5FA6">
        <w:t xml:space="preserve"> did not display their weapons to the defendant</w:t>
      </w:r>
      <w:r>
        <w:t xml:space="preserve">…. </w:t>
      </w:r>
      <w:r w:rsidRPr="007B5FA6">
        <w:t xml:space="preserve">During the interview, the defendant was </w:t>
      </w:r>
      <w:r>
        <w:t>‘</w:t>
      </w:r>
      <w:r w:rsidRPr="007B5FA6">
        <w:t>visibly shaken, upset, and scared</w:t>
      </w:r>
      <w:r>
        <w:t>’</w:t>
      </w:r>
      <w:r w:rsidRPr="007B5FA6">
        <w:t xml:space="preserve"> with </w:t>
      </w:r>
      <w:r>
        <w:t>‘</w:t>
      </w:r>
      <w:r w:rsidRPr="007B5FA6">
        <w:t>tears in her eyes at times.</w:t>
      </w:r>
      <w:r>
        <w:t xml:space="preserve">’ … </w:t>
      </w:r>
      <w:r w:rsidRPr="007B5FA6">
        <w:t xml:space="preserve">The parties agree that </w:t>
      </w:r>
      <w:r>
        <w:t>‘</w:t>
      </w:r>
      <w:r w:rsidRPr="007B5FA6">
        <w:t>portions</w:t>
      </w:r>
      <w:r>
        <w:t>’</w:t>
      </w:r>
      <w:r w:rsidRPr="007B5FA6">
        <w:t xml:space="preserve"> of Heimerl's questioning constituted an interrogation, but dispute whether the interrogation was conducted in a custodial setting. </w:t>
      </w:r>
    </w:p>
    <w:p w14:paraId="51D78B35" w14:textId="77777777" w:rsidR="006E51B1" w:rsidRDefault="006E51B1" w:rsidP="006E51B1">
      <w:pPr>
        <w:pStyle w:val="NoSpacing"/>
        <w:ind w:left="720"/>
      </w:pPr>
    </w:p>
    <w:p w14:paraId="55045149" w14:textId="77777777" w:rsidR="006E51B1" w:rsidRDefault="006E51B1" w:rsidP="006E51B1">
      <w:pPr>
        <w:pStyle w:val="NoSpacing"/>
        <w:ind w:left="720"/>
      </w:pPr>
      <w:r>
        <w:t>***</w:t>
      </w:r>
    </w:p>
    <w:p w14:paraId="21AF3FFA" w14:textId="77777777" w:rsidR="006E51B1" w:rsidRDefault="006E51B1" w:rsidP="006E51B1">
      <w:pPr>
        <w:pStyle w:val="NoSpacing"/>
        <w:ind w:left="720"/>
      </w:pPr>
      <w:r w:rsidRPr="00804126">
        <w:t xml:space="preserve">Based on the totality of the circumstances, the court agrees with Judge Duffin that the defendant was not in custody. The defendant's initial contact with the agents was at her house. Although the agents went with her, she was allowed to get warmer clothing. She left her house and went with the agents to their truck, which was on her property. She remained in the truck for about an hour for the </w:t>
      </w:r>
      <w:proofErr w:type="gramStart"/>
      <w:r w:rsidRPr="00804126">
        <w:t>purposes</w:t>
      </w:r>
      <w:proofErr w:type="gramEnd"/>
      <w:r w:rsidRPr="00804126">
        <w:t xml:space="preserve"> of questioning (the questioning did not continue into the second hour), she was not physically </w:t>
      </w:r>
      <w:proofErr w:type="gramStart"/>
      <w:r w:rsidRPr="00804126">
        <w:t>restrained</w:t>
      </w:r>
      <w:proofErr w:type="gramEnd"/>
      <w:r w:rsidRPr="00804126">
        <w:t xml:space="preserve"> and she was released at the end of the conversation. The agents did not point their weapons at the defendant or threaten her. She was not detained at a police station or government building. Heimerl told the defendant that she did not have to answer the agents' questions, and the defendant demonstrated that she understood by declining to answer when asked to explain why she may have been at her restaurant on the night of the fire. Although there were several officers present to execute the search warrant, the defendant directly interacted only with Heimerl and Anderson, both of whom were known to her from previous interactions. The defendant has not alleged that the agents yelled at her or that they physically or verbally abused her. Although the defendant may have felt scared or upset during the </w:t>
      </w:r>
      <w:r w:rsidRPr="00804126">
        <w:lastRenderedPageBreak/>
        <w:t>interview, her subjective perception of the circumstances is not the issue. The question is whether a reasonable person in her position would have felt free to leave. Judge Duffin did not err in concluding that a reasonable person in that position would have felt free to leave.</w:t>
      </w:r>
      <w:r>
        <w:t>”</w:t>
      </w:r>
    </w:p>
    <w:p w14:paraId="5B362738" w14:textId="77777777" w:rsidR="006E51B1" w:rsidRDefault="006E51B1" w:rsidP="006E51B1">
      <w:pPr>
        <w:pStyle w:val="NoSpacing"/>
        <w:ind w:left="720"/>
      </w:pPr>
    </w:p>
    <w:p w14:paraId="478B8189" w14:textId="41238CE4" w:rsidR="006E51B1" w:rsidRPr="00804126" w:rsidRDefault="006E51B1" w:rsidP="006E51B1">
      <w:pPr>
        <w:pStyle w:val="NoSpacing"/>
        <w:rPr>
          <w:b/>
          <w:bCs/>
        </w:rPr>
      </w:pPr>
      <w:r>
        <w:rPr>
          <w:b/>
        </w:rPr>
        <w:t xml:space="preserve">Lesson learned:  The case will now proceed to trial; arson investigators should consult with prosecutors about their plan to have </w:t>
      </w:r>
      <w:proofErr w:type="gramStart"/>
      <w:r>
        <w:rPr>
          <w:b/>
        </w:rPr>
        <w:t>defendant</w:t>
      </w:r>
      <w:proofErr w:type="gramEnd"/>
      <w:r>
        <w:rPr>
          <w:b/>
        </w:rPr>
        <w:t xml:space="preserve"> wait in their vehicle as her home is searched, and when </w:t>
      </w:r>
      <w:r w:rsidRPr="00A058B6">
        <w:rPr>
          <w:b/>
          <w:i/>
          <w:iCs/>
        </w:rPr>
        <w:t xml:space="preserve">Miranda </w:t>
      </w:r>
      <w:r>
        <w:rPr>
          <w:b/>
        </w:rPr>
        <w:t xml:space="preserve">warnings should be given.  </w:t>
      </w:r>
    </w:p>
    <w:p w14:paraId="4DF537B7" w14:textId="77777777" w:rsidR="006E51B1" w:rsidRPr="007B5FA6" w:rsidRDefault="006E51B1" w:rsidP="006E51B1">
      <w:pPr>
        <w:pStyle w:val="NoSpacing"/>
        <w:ind w:left="720"/>
      </w:pPr>
    </w:p>
    <w:p w14:paraId="5367443E" w14:textId="77777777" w:rsidR="006E51B1" w:rsidRPr="000A4CD4" w:rsidRDefault="006E51B1" w:rsidP="006E51B1">
      <w:pPr>
        <w:pStyle w:val="NoSpacing"/>
        <w:ind w:left="720"/>
        <w:rPr>
          <w:b/>
        </w:rPr>
      </w:pPr>
      <w:r>
        <w:t xml:space="preserve">Note: See the Dec. 17, </w:t>
      </w:r>
      <w:proofErr w:type="gramStart"/>
      <w:r>
        <w:t>2024</w:t>
      </w:r>
      <w:proofErr w:type="gramEnd"/>
      <w:r>
        <w:t xml:space="preserve"> Press Release by U.S. Attorney’s Office when she was indicted. “</w:t>
      </w:r>
      <w:r w:rsidRPr="007F0061">
        <w:t>Former Restaurant Owner Indicted for Arson and Related Charges</w:t>
      </w:r>
      <w:r>
        <w:t>”</w:t>
      </w:r>
    </w:p>
    <w:p w14:paraId="3BB1D36B" w14:textId="77777777" w:rsidR="006E51B1" w:rsidRDefault="006E51B1" w:rsidP="006E51B1">
      <w:pPr>
        <w:pStyle w:val="NoSpacing"/>
        <w:ind w:left="720"/>
      </w:pPr>
      <w:hyperlink r:id="rId41" w:history="1">
        <w:r w:rsidRPr="00465B64">
          <w:rPr>
            <w:rStyle w:val="Hyperlink"/>
          </w:rPr>
          <w:t>https://www.justice.gov/usao-edwi/pr/former-restaurant-owner-indicted-arson-and-related-charges</w:t>
        </w:r>
      </w:hyperlink>
      <w:r>
        <w:t xml:space="preserve"> </w:t>
      </w:r>
    </w:p>
    <w:p w14:paraId="7A92164B" w14:textId="77777777" w:rsidR="006E51B1" w:rsidRDefault="006E51B1" w:rsidP="00037CB8">
      <w:pPr>
        <w:pStyle w:val="NoSpacing"/>
        <w:rPr>
          <w:rFonts w:ascii="Arial Black" w:hAnsi="Arial Black"/>
          <w:sz w:val="24"/>
          <w:szCs w:val="24"/>
        </w:rPr>
      </w:pPr>
    </w:p>
    <w:p w14:paraId="15E46EAC" w14:textId="77777777" w:rsidR="003306E6" w:rsidRDefault="003306E6" w:rsidP="00037CB8">
      <w:pPr>
        <w:pStyle w:val="NoSpacing"/>
        <w:rPr>
          <w:rFonts w:ascii="Arial Black" w:hAnsi="Arial Black"/>
          <w:sz w:val="24"/>
          <w:szCs w:val="24"/>
        </w:rPr>
      </w:pPr>
    </w:p>
    <w:p w14:paraId="17B76AC3" w14:textId="388F7597" w:rsidR="003306E6" w:rsidRDefault="003306E6" w:rsidP="00037CB8">
      <w:pPr>
        <w:pStyle w:val="NoSpacing"/>
        <w:rPr>
          <w:rFonts w:ascii="Arial Black" w:hAnsi="Arial Black"/>
          <w:sz w:val="24"/>
          <w:szCs w:val="24"/>
        </w:rPr>
      </w:pPr>
      <w:r>
        <w:rPr>
          <w:rFonts w:ascii="Arial Black" w:hAnsi="Arial Black"/>
          <w:sz w:val="24"/>
          <w:szCs w:val="24"/>
        </w:rPr>
        <w:t>1-195</w:t>
      </w:r>
    </w:p>
    <w:p w14:paraId="466A705C" w14:textId="77777777" w:rsidR="003306E6" w:rsidRDefault="003306E6" w:rsidP="003306E6">
      <w:pPr>
        <w:spacing w:after="0"/>
        <w:rPr>
          <w:rFonts w:ascii="Arial Black" w:hAnsi="Arial Black"/>
          <w:sz w:val="28"/>
          <w:szCs w:val="28"/>
        </w:rPr>
      </w:pPr>
    </w:p>
    <w:p w14:paraId="2F3D1EEB" w14:textId="5862191E" w:rsidR="003306E6" w:rsidRPr="00FD1C42" w:rsidRDefault="003306E6" w:rsidP="003306E6">
      <w:pPr>
        <w:spacing w:after="0"/>
        <w:rPr>
          <w:rFonts w:ascii="Arial Black" w:hAnsi="Arial Black"/>
          <w:sz w:val="28"/>
          <w:szCs w:val="28"/>
        </w:rPr>
      </w:pPr>
      <w:r>
        <w:rPr>
          <w:rFonts w:ascii="Arial Black" w:hAnsi="Arial Black"/>
          <w:sz w:val="28"/>
          <w:szCs w:val="28"/>
        </w:rPr>
        <w:t>NY: HOSP FIRE – PT’s FRAYED CELL CHARGING CABLE</w:t>
      </w:r>
    </w:p>
    <w:p w14:paraId="56D7E9F2" w14:textId="77777777" w:rsidR="003306E6" w:rsidRDefault="003306E6" w:rsidP="003306E6">
      <w:pPr>
        <w:spacing w:after="0"/>
      </w:pPr>
    </w:p>
    <w:p w14:paraId="3436DB2E" w14:textId="77777777" w:rsidR="003306E6" w:rsidRPr="00D86092" w:rsidRDefault="003306E6" w:rsidP="003306E6">
      <w:pPr>
        <w:pStyle w:val="NoSpacing"/>
      </w:pPr>
      <w:r>
        <w:t xml:space="preserve">On Oct. 9, 2025, in </w:t>
      </w:r>
      <w:r w:rsidRPr="00690F8A">
        <w:rPr>
          <w:u w:val="single"/>
        </w:rPr>
        <w:t xml:space="preserve">Krystel-Marie </w:t>
      </w:r>
      <w:proofErr w:type="spellStart"/>
      <w:r w:rsidRPr="00690F8A">
        <w:rPr>
          <w:u w:val="single"/>
        </w:rPr>
        <w:t>Desmornes</w:t>
      </w:r>
      <w:proofErr w:type="spellEnd"/>
      <w:r w:rsidRPr="00690F8A">
        <w:rPr>
          <w:u w:val="single"/>
        </w:rPr>
        <w:t xml:space="preserve"> as Administrator of Jean-Daniel Desmornes v. The Brooklyn Hospital Center</w:t>
      </w:r>
      <w:r>
        <w:t xml:space="preserve">, Judge Ruper P. Barry, </w:t>
      </w:r>
      <w:r w:rsidRPr="00D86092">
        <w:t>Supreme Court, Kings County</w:t>
      </w:r>
      <w:r>
        <w:t xml:space="preserve">, granted defense motion for summary judgment.  The COVID patient started a fire caused by his </w:t>
      </w:r>
      <w:r w:rsidRPr="00CA17D7">
        <w:t>use of his frayed,</w:t>
      </w:r>
      <w:r>
        <w:t xml:space="preserve"> </w:t>
      </w:r>
      <w:r w:rsidRPr="00CA17D7">
        <w:t>after-market cellphone charging cable.</w:t>
      </w:r>
      <w:r>
        <w:t xml:space="preserve"> </w:t>
      </w:r>
      <w:hyperlink r:id="rId42" w:history="1">
        <w:r w:rsidRPr="00307531">
          <w:rPr>
            <w:rStyle w:val="Hyperlink"/>
          </w:rPr>
          <w:t>https://cases.justia.com/new-york/other-courts/2025-2025-ny-slip-op-33961-u.pdf?ts=1761686709</w:t>
        </w:r>
      </w:hyperlink>
      <w:r>
        <w:t xml:space="preserve"> </w:t>
      </w:r>
    </w:p>
    <w:p w14:paraId="37834DA0" w14:textId="77777777" w:rsidR="003306E6" w:rsidRDefault="003306E6" w:rsidP="003306E6">
      <w:pPr>
        <w:spacing w:after="0"/>
        <w:rPr>
          <w:rFonts w:ascii="Arial Black" w:hAnsi="Arial Black"/>
          <w:sz w:val="28"/>
          <w:szCs w:val="28"/>
        </w:rPr>
      </w:pPr>
    </w:p>
    <w:p w14:paraId="4345CBC4" w14:textId="77777777" w:rsidR="003306E6" w:rsidRDefault="003306E6" w:rsidP="003306E6">
      <w:pPr>
        <w:pStyle w:val="NoSpacing"/>
      </w:pPr>
      <w:r>
        <w:t xml:space="preserve"> THE COURT HELD:</w:t>
      </w:r>
    </w:p>
    <w:p w14:paraId="67A6F378" w14:textId="77777777" w:rsidR="003306E6" w:rsidRDefault="003306E6" w:rsidP="003306E6">
      <w:pPr>
        <w:pStyle w:val="NoSpacing"/>
      </w:pPr>
    </w:p>
    <w:p w14:paraId="0AD7378F" w14:textId="77777777" w:rsidR="003306E6" w:rsidRDefault="003306E6" w:rsidP="003306E6">
      <w:pPr>
        <w:pStyle w:val="NoSpacing"/>
        <w:ind w:left="720"/>
      </w:pPr>
      <w:r>
        <w:t>“This action concerns a fire in the Brooklyn Hospital Center (hereafter ‘BHC’) Emergency Department on March 26, 2020, involving Jean-Daniel Desmornes, who had been admitted to BHC with covid on March 25, 2020. Immediately after the fire, the FDNY examined the scene and FDNY Marshall John Urrico concluded that the fire was solely caused by Mr. Jean-Daniel Desmornes’ use of his frayed, after-market cellphone charging cable.</w:t>
      </w:r>
    </w:p>
    <w:p w14:paraId="7D7B312D" w14:textId="77777777" w:rsidR="003306E6" w:rsidRDefault="003306E6" w:rsidP="003306E6">
      <w:pPr>
        <w:pStyle w:val="NoSpacing"/>
        <w:ind w:left="720"/>
      </w:pPr>
    </w:p>
    <w:p w14:paraId="7A1A8F71" w14:textId="77777777" w:rsidR="003306E6" w:rsidRDefault="003306E6" w:rsidP="003306E6">
      <w:pPr>
        <w:pStyle w:val="NoSpacing"/>
        <w:ind w:left="720"/>
      </w:pPr>
      <w:r>
        <w:t>***</w:t>
      </w:r>
    </w:p>
    <w:p w14:paraId="67FDEB3E" w14:textId="77777777" w:rsidR="003306E6" w:rsidRDefault="003306E6" w:rsidP="003306E6">
      <w:pPr>
        <w:pStyle w:val="NoSpacing"/>
        <w:ind w:left="720"/>
      </w:pPr>
      <w:r>
        <w:t xml:space="preserve">In support of its motion, BHC submits the medical records, the FDNY records, the deposition of its then BHC Chief Operating Officer, Robert Aucilino, the expert affirmation of Eugene West (hereafter ‘Mr. West’), and the expert affirmation of Mark Silberman, M.D. </w:t>
      </w:r>
      <w:proofErr w:type="gramStart"/>
      <w:r>
        <w:t>hereafter (‘</w:t>
      </w:r>
      <w:proofErr w:type="gramEnd"/>
      <w:r>
        <w:t>Dr. Silberman’). Mr. West is an expert in fire origin and cause, fire/arson related human factors and behavioral profiling, the management of major case fire incidents, fire department operations, fire incident sequencing, fire scene</w:t>
      </w:r>
    </w:p>
    <w:p w14:paraId="133699D8" w14:textId="77777777" w:rsidR="003306E6" w:rsidRDefault="003306E6" w:rsidP="003306E6">
      <w:pPr>
        <w:pStyle w:val="NoSpacing"/>
        <w:ind w:left="720"/>
      </w:pPr>
      <w:r>
        <w:t>reconstruction, building codes and fire codes.”</w:t>
      </w:r>
    </w:p>
    <w:p w14:paraId="30B8B1A9" w14:textId="77777777" w:rsidR="003306E6" w:rsidRDefault="003306E6" w:rsidP="003306E6">
      <w:pPr>
        <w:pStyle w:val="NoSpacing"/>
        <w:ind w:left="720"/>
      </w:pPr>
    </w:p>
    <w:p w14:paraId="38847118" w14:textId="77777777" w:rsidR="003306E6" w:rsidRPr="00AD46FA" w:rsidRDefault="003306E6" w:rsidP="003306E6">
      <w:pPr>
        <w:pStyle w:val="NoSpacing"/>
        <w:rPr>
          <w:b/>
          <w:bCs/>
        </w:rPr>
      </w:pPr>
      <w:r>
        <w:rPr>
          <w:b/>
        </w:rPr>
        <w:t>Legal lesson learned:  Frayed  cell phone charging cable can cause a fire.</w:t>
      </w:r>
    </w:p>
    <w:p w14:paraId="4BF3713F" w14:textId="77777777" w:rsidR="003306E6" w:rsidRDefault="003306E6" w:rsidP="003306E6">
      <w:pPr>
        <w:pStyle w:val="NoSpacing"/>
      </w:pPr>
    </w:p>
    <w:p w14:paraId="554C5B52" w14:textId="77777777" w:rsidR="003306E6" w:rsidRDefault="003306E6" w:rsidP="003306E6">
      <w:pPr>
        <w:pStyle w:val="NoSpacing"/>
        <w:ind w:left="720"/>
      </w:pPr>
    </w:p>
    <w:p w14:paraId="6D584608" w14:textId="77777777" w:rsidR="003306E6" w:rsidRPr="00BB26AD" w:rsidRDefault="003306E6" w:rsidP="003306E6">
      <w:pPr>
        <w:pStyle w:val="NoSpacing"/>
        <w:ind w:left="720"/>
        <w:rPr>
          <w:bCs/>
        </w:rPr>
      </w:pPr>
      <w:r>
        <w:t xml:space="preserve">Read this Feb. 3, </w:t>
      </w:r>
      <w:proofErr w:type="gramStart"/>
      <w:r>
        <w:t>2025</w:t>
      </w:r>
      <w:proofErr w:type="gramEnd"/>
      <w:r>
        <w:t xml:space="preserve"> article: </w:t>
      </w:r>
      <w:r w:rsidRPr="00BB26AD">
        <w:t xml:space="preserve">What Causes Phone Chargers to Explode? (And How to Avoid It). </w:t>
      </w:r>
      <w:hyperlink r:id="rId43" w:history="1">
        <w:r w:rsidRPr="00BB26AD">
          <w:rPr>
            <w:rStyle w:val="Hyperlink"/>
          </w:rPr>
          <w:t>https://www.voltacharger.com/blogs/news/what-causes-phone-chargers-to-explode-and-how-to-avoid-it?srsltid=AfmBOor-D0Mt5iX7UDwb-r4sqdnXak-6s4LPkG62kZWVkLQCSPJSBjBB</w:t>
        </w:r>
      </w:hyperlink>
      <w:r w:rsidRPr="00BB26AD">
        <w:t xml:space="preserve"> </w:t>
      </w:r>
    </w:p>
    <w:p w14:paraId="6E839AAA" w14:textId="77777777" w:rsidR="003306E6" w:rsidRDefault="003306E6" w:rsidP="003306E6">
      <w:pPr>
        <w:pStyle w:val="NoSpacing"/>
      </w:pPr>
    </w:p>
    <w:p w14:paraId="49D14C0A" w14:textId="77777777" w:rsidR="003306E6" w:rsidRDefault="003306E6" w:rsidP="003306E6">
      <w:pPr>
        <w:pStyle w:val="NoSpacing"/>
      </w:pPr>
    </w:p>
    <w:p w14:paraId="594460A9" w14:textId="77777777" w:rsidR="003306E6" w:rsidRDefault="003306E6" w:rsidP="00037CB8">
      <w:pPr>
        <w:pStyle w:val="NoSpacing"/>
        <w:rPr>
          <w:rFonts w:ascii="Arial Black" w:hAnsi="Arial Black"/>
          <w:sz w:val="24"/>
          <w:szCs w:val="24"/>
        </w:rPr>
      </w:pPr>
    </w:p>
    <w:p w14:paraId="606EE616" w14:textId="77777777" w:rsidR="006E51B1" w:rsidRDefault="006E51B1" w:rsidP="00037CB8">
      <w:pPr>
        <w:pStyle w:val="NoSpacing"/>
        <w:rPr>
          <w:rFonts w:ascii="Arial Black" w:hAnsi="Arial Black"/>
          <w:sz w:val="24"/>
          <w:szCs w:val="24"/>
        </w:rPr>
      </w:pPr>
    </w:p>
    <w:p w14:paraId="06070874" w14:textId="77777777" w:rsidR="006E51B1" w:rsidRDefault="006E51B1" w:rsidP="00037CB8">
      <w:pPr>
        <w:pStyle w:val="NoSpacing"/>
        <w:rPr>
          <w:rFonts w:ascii="Arial Black" w:hAnsi="Arial Black"/>
          <w:sz w:val="24"/>
          <w:szCs w:val="24"/>
        </w:rPr>
      </w:pPr>
    </w:p>
    <w:p w14:paraId="4E8C7FDE" w14:textId="77777777" w:rsidR="006E51B1" w:rsidRDefault="006E51B1" w:rsidP="00037CB8">
      <w:pPr>
        <w:pStyle w:val="NoSpacing"/>
        <w:rPr>
          <w:rFonts w:ascii="Arial Black" w:hAnsi="Arial Black"/>
          <w:sz w:val="24"/>
          <w:szCs w:val="24"/>
        </w:rPr>
      </w:pPr>
    </w:p>
    <w:p w14:paraId="78FCFA60" w14:textId="77777777" w:rsidR="006E51B1" w:rsidRDefault="006E51B1" w:rsidP="00037CB8">
      <w:pPr>
        <w:pStyle w:val="NoSpacing"/>
        <w:rPr>
          <w:rFonts w:ascii="Arial Black" w:hAnsi="Arial Black"/>
          <w:sz w:val="24"/>
          <w:szCs w:val="24"/>
        </w:rPr>
      </w:pPr>
    </w:p>
    <w:p w14:paraId="26C59824" w14:textId="7F12380B" w:rsidR="00037CB8" w:rsidRPr="00E24913" w:rsidRDefault="00037CB8" w:rsidP="00037CB8">
      <w:pPr>
        <w:pStyle w:val="NoSpacing"/>
        <w:rPr>
          <w:rFonts w:ascii="Arial Black" w:hAnsi="Arial Black"/>
          <w:sz w:val="24"/>
          <w:szCs w:val="24"/>
        </w:rPr>
      </w:pPr>
      <w:r w:rsidRPr="00E24913">
        <w:rPr>
          <w:rFonts w:ascii="Arial Black" w:hAnsi="Arial Black"/>
          <w:sz w:val="24"/>
          <w:szCs w:val="24"/>
        </w:rPr>
        <w:lastRenderedPageBreak/>
        <w:t>1-1</w:t>
      </w:r>
      <w:r>
        <w:rPr>
          <w:rFonts w:ascii="Arial Black" w:hAnsi="Arial Black"/>
          <w:sz w:val="24"/>
          <w:szCs w:val="24"/>
        </w:rPr>
        <w:t>94</w:t>
      </w:r>
    </w:p>
    <w:p w14:paraId="7414BED1" w14:textId="77777777" w:rsidR="00B232CB" w:rsidRDefault="00B232CB" w:rsidP="00F326E5">
      <w:pPr>
        <w:pStyle w:val="NoSpacing"/>
        <w:rPr>
          <w:rFonts w:ascii="Arial Black" w:hAnsi="Arial Black"/>
          <w:sz w:val="24"/>
          <w:szCs w:val="24"/>
        </w:rPr>
      </w:pPr>
    </w:p>
    <w:p w14:paraId="5765F509" w14:textId="03366397" w:rsidR="00B232CB" w:rsidRDefault="00B232CB" w:rsidP="00B232CB">
      <w:pPr>
        <w:spacing w:after="0" w:line="240" w:lineRule="auto"/>
        <w:rPr>
          <w:bCs/>
        </w:rPr>
      </w:pPr>
      <w:r>
        <w:rPr>
          <w:rFonts w:ascii="Arial Black" w:hAnsi="Arial Black"/>
          <w:sz w:val="28"/>
          <w:szCs w:val="28"/>
        </w:rPr>
        <w:t xml:space="preserve">ARTICLE – </w:t>
      </w:r>
      <w:r w:rsidRPr="00891811">
        <w:rPr>
          <w:rFonts w:ascii="Arial Black" w:hAnsi="Arial Black"/>
          <w:b/>
          <w:sz w:val="28"/>
          <w:szCs w:val="28"/>
        </w:rPr>
        <w:t>“EYES IN THE SKY: Do Cities Need Warrants for Drones?</w:t>
      </w:r>
      <w:r w:rsidRPr="00891811">
        <w:rPr>
          <w:rFonts w:ascii="Arial Black" w:hAnsi="Arial Black"/>
          <w:sz w:val="28"/>
          <w:szCs w:val="28"/>
        </w:rPr>
        <w:t>”</w:t>
      </w:r>
      <w:r>
        <w:t xml:space="preserve"> September 24, 2013, Homeland Security Today</w:t>
      </w:r>
      <w:r w:rsidR="00891811">
        <w:t xml:space="preserve">, by </w:t>
      </w:r>
      <w:r w:rsidR="0080370D">
        <w:t>Lawrence T. Bennett.</w:t>
      </w:r>
    </w:p>
    <w:p w14:paraId="7D763049" w14:textId="77777777" w:rsidR="00B232CB" w:rsidRDefault="00B232CB" w:rsidP="00B232CB">
      <w:pPr>
        <w:spacing w:after="0" w:line="240" w:lineRule="auto"/>
      </w:pPr>
      <w:hyperlink r:id="rId44" w:history="1">
        <w:r w:rsidRPr="00483260">
          <w:rPr>
            <w:rStyle w:val="Hyperlink"/>
          </w:rPr>
          <w:t>https://www.hstoday.us/subject-matter-areas/unmanned-vehicles/eyes-in-the-sky-do-cities-need-warrants-for-drones/</w:t>
        </w:r>
      </w:hyperlink>
      <w:r>
        <w:t xml:space="preserve">  [Personal thank you to Megan Norris for her very thorough and helpful editing of my first article for Homeland Security Today: </w:t>
      </w:r>
      <w:hyperlink r:id="rId45" w:history="1">
        <w:r w:rsidRPr="00483260">
          <w:rPr>
            <w:rStyle w:val="Hyperlink"/>
          </w:rPr>
          <w:t>https://www.norriseditorial.com</w:t>
        </w:r>
      </w:hyperlink>
      <w:r>
        <w:t xml:space="preserve">.]  </w:t>
      </w:r>
    </w:p>
    <w:p w14:paraId="3A274E71" w14:textId="77777777" w:rsidR="00B232CB" w:rsidRPr="00E91251" w:rsidRDefault="00B232CB" w:rsidP="00B232CB">
      <w:pPr>
        <w:spacing w:after="0" w:line="240" w:lineRule="auto"/>
      </w:pPr>
    </w:p>
    <w:p w14:paraId="19A052CF" w14:textId="450F5758"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93</w:t>
      </w:r>
    </w:p>
    <w:p w14:paraId="0CF1218A" w14:textId="77777777" w:rsidR="00037CB8" w:rsidRDefault="00037CB8" w:rsidP="00F326E5">
      <w:pPr>
        <w:pStyle w:val="NoSpacing"/>
        <w:rPr>
          <w:rFonts w:ascii="Arial Black" w:hAnsi="Arial Black"/>
          <w:sz w:val="24"/>
          <w:szCs w:val="24"/>
        </w:rPr>
      </w:pPr>
    </w:p>
    <w:p w14:paraId="442D5959" w14:textId="77777777" w:rsidR="008F5629" w:rsidRDefault="008F5629" w:rsidP="008F5629">
      <w:pPr>
        <w:pStyle w:val="NoSpacing"/>
        <w:rPr>
          <w:rFonts w:ascii="Arial Black" w:hAnsi="Arial Black"/>
          <w:sz w:val="28"/>
          <w:szCs w:val="28"/>
        </w:rPr>
      </w:pPr>
      <w:r>
        <w:rPr>
          <w:rFonts w:ascii="Arial Black" w:hAnsi="Arial Black"/>
          <w:sz w:val="28"/>
          <w:szCs w:val="28"/>
        </w:rPr>
        <w:t xml:space="preserve">MI: INTER. FIRE CODE - FIRE CHIEF NO LONGER “AT WILL” </w:t>
      </w:r>
    </w:p>
    <w:p w14:paraId="1AC98985" w14:textId="77777777" w:rsidR="008F5629" w:rsidRDefault="008F5629" w:rsidP="008F5629">
      <w:pPr>
        <w:pStyle w:val="NoSpacing"/>
      </w:pPr>
    </w:p>
    <w:p w14:paraId="40AD7328" w14:textId="77777777" w:rsidR="008F5629" w:rsidRDefault="008F5629" w:rsidP="008F5629">
      <w:pPr>
        <w:pStyle w:val="NoSpacing"/>
      </w:pPr>
      <w:r>
        <w:t xml:space="preserve">On September 19, 2025, in </w:t>
      </w:r>
      <w:r w:rsidRPr="00A5472D">
        <w:rPr>
          <w:u w:val="single"/>
        </w:rPr>
        <w:t>Ronald Lammers v. City of Riverview</w:t>
      </w:r>
      <w:r>
        <w:t xml:space="preserve">, U.S. Federal District Court Judge </w:t>
      </w:r>
      <w:r w:rsidRPr="00C3664A">
        <w:t>Shalina D. Kumar</w:t>
      </w:r>
      <w:r>
        <w:t xml:space="preserve">, United States District Court, Eastern District of Michigan (Southern Division) denied the City’s motion to dismiss the former Fire Chief’s lawsuit, based on a provision in International Fire Code which city had adopted in 2022.  </w:t>
      </w:r>
    </w:p>
    <w:p w14:paraId="59279614" w14:textId="77777777" w:rsidR="008F5629" w:rsidRDefault="008F5629" w:rsidP="008F5629">
      <w:pPr>
        <w:pStyle w:val="NoSpacing"/>
      </w:pPr>
    </w:p>
    <w:p w14:paraId="5EB56138" w14:textId="77777777" w:rsidR="008F5629" w:rsidRDefault="008F5629" w:rsidP="008F5629">
      <w:pPr>
        <w:pStyle w:val="NoSpacing"/>
      </w:pPr>
      <w:r w:rsidRPr="00913B5B">
        <w:rPr>
          <w:b/>
        </w:rPr>
        <w:t>THE COURT HELD</w:t>
      </w:r>
      <w:r>
        <w:t>:  “</w:t>
      </w:r>
      <w:r w:rsidRPr="00C715F2">
        <w:t xml:space="preserve">And since Lammers became the City's fire chief in 2018 and held that position when it adopted the IFC in 2022, it can be reasonably inferred that he was familiar with the IFC and its just-cause provision because his position required him to </w:t>
      </w:r>
      <w:r>
        <w:t>‘</w:t>
      </w:r>
      <w:r w:rsidRPr="00C715F2">
        <w:t>adhere to the provisions of the 2015 International Fire Code (IFC) as identified in the city ordinances.</w:t>
      </w:r>
      <w:r>
        <w:t xml:space="preserve">’ …  </w:t>
      </w:r>
      <w:r w:rsidRPr="00D54466">
        <w:t xml:space="preserve">The fact that this section of the IFC includes the mandatory provision </w:t>
      </w:r>
      <w:r>
        <w:t>‘</w:t>
      </w:r>
      <w:r w:rsidRPr="00D54466">
        <w:t>shall not</w:t>
      </w:r>
      <w:r>
        <w:t xml:space="preserve">’ </w:t>
      </w:r>
      <w:r w:rsidRPr="00D54466">
        <w:t>indicates that the City promised not to terminate Lammers absent just cause. As such, Lammers contends that it was reasonable for him to have a legitimate expectation of just-cause employment with the City, and to have an opportunity to be heard by the city council prior to his termination</w:t>
      </w:r>
      <w:r>
        <w:t xml:space="preserve">.” </w:t>
      </w:r>
      <w:hyperlink r:id="rId46" w:history="1">
        <w:r w:rsidRPr="00EE407B">
          <w:rPr>
            <w:rStyle w:val="Hyperlink"/>
          </w:rPr>
          <w:t>https://public.fastcase.com/jaEE2PXzRXmZ99jOLMt1Ips4C6WkUGp0KzACPcngYbWmPTLfIWMstLJyRryzc8Dq?utm_medium=email&amp;_hsenc=p2ANqtz-94X9-jvo7aphxCTddVbMuFo0h95bmcaFpGEwlnAd6pPwVsx4xOyg-iR7W5WKYYvAnlQWrH3LVFVTBhWCeJd3O3dSBjuA&amp;_hsmi=226712652&amp;utm_content=226712652&amp;utm_source=hs_email</w:t>
        </w:r>
      </w:hyperlink>
    </w:p>
    <w:p w14:paraId="6F5F8705" w14:textId="77777777" w:rsidR="008F5629" w:rsidRDefault="008F5629" w:rsidP="008F5629">
      <w:pPr>
        <w:pStyle w:val="NoSpacing"/>
      </w:pPr>
    </w:p>
    <w:p w14:paraId="3ECBB750" w14:textId="77777777" w:rsidR="008F5629" w:rsidRDefault="008F5629" w:rsidP="008F5629">
      <w:pPr>
        <w:pStyle w:val="NoSpacing"/>
      </w:pPr>
    </w:p>
    <w:p w14:paraId="28445281" w14:textId="77777777" w:rsidR="008F5629" w:rsidRPr="00913B5B" w:rsidRDefault="008F5629" w:rsidP="008F5629">
      <w:pPr>
        <w:pStyle w:val="NoSpacing"/>
        <w:rPr>
          <w:b/>
          <w:bCs/>
        </w:rPr>
      </w:pPr>
      <w:r w:rsidRPr="00913B5B">
        <w:rPr>
          <w:b/>
        </w:rPr>
        <w:t xml:space="preserve">KEY FACTS: </w:t>
      </w:r>
    </w:p>
    <w:p w14:paraId="601DDB8E" w14:textId="77777777" w:rsidR="008F5629" w:rsidRDefault="008F5629" w:rsidP="008F5629">
      <w:pPr>
        <w:pStyle w:val="NoSpacing"/>
      </w:pPr>
    </w:p>
    <w:p w14:paraId="747CB55E" w14:textId="77777777" w:rsidR="008F5629" w:rsidRDefault="008F5629" w:rsidP="008F5629">
      <w:pPr>
        <w:pStyle w:val="NoSpacing"/>
        <w:ind w:left="720"/>
      </w:pPr>
      <w:r>
        <w:t>“</w:t>
      </w:r>
      <w:r w:rsidRPr="00306699">
        <w:t xml:space="preserve">Lammers began working for the </w:t>
      </w:r>
      <w:proofErr w:type="gramStart"/>
      <w:r w:rsidRPr="00306699">
        <w:t>City</w:t>
      </w:r>
      <w:proofErr w:type="gramEnd"/>
      <w:r w:rsidRPr="00306699">
        <w:t xml:space="preserve"> in 2007</w:t>
      </w:r>
      <w:r>
        <w:t>….</w:t>
      </w:r>
      <w:r w:rsidRPr="00306699">
        <w:t>In 2018, he was appointed the City's fire chief by the mayor and city council</w:t>
      </w:r>
      <w:r>
        <w:t xml:space="preserve">…. </w:t>
      </w:r>
      <w:r w:rsidRPr="00306699">
        <w:t>Dobek was appointed the city manager in 2022</w:t>
      </w:r>
      <w:r>
        <w:t xml:space="preserve">…. </w:t>
      </w:r>
      <w:r w:rsidRPr="00306699">
        <w:t>In January 2024, the fire department's supervisor group organized a union of which the deputy fire chief was a member</w:t>
      </w:r>
      <w:r>
        <w:t xml:space="preserve">…. </w:t>
      </w:r>
      <w:r w:rsidRPr="00306699">
        <w:t>Two months later, Dobek informed Lammers that he intended to eliminate the deputy fire chief position due to budgetary constraints</w:t>
      </w:r>
      <w:r>
        <w:t xml:space="preserve">…. </w:t>
      </w:r>
      <w:r w:rsidRPr="00306699">
        <w:t>Lammers disagreed with this decision and told Dobek, human resources, and city council members that this decision was not cost-effective and contrary to public safety</w:t>
      </w:r>
      <w:r>
        <w:t xml:space="preserve">…. </w:t>
      </w:r>
      <w:r w:rsidRPr="00306699">
        <w:t xml:space="preserve"> Thereafter, Dobek advised Lammers in writing to bring any concerns directly to him and to cease voicing his disagreement regarding the decision to terminate the deputy fire chief position to others</w:t>
      </w:r>
      <w:r>
        <w:t xml:space="preserve">…. </w:t>
      </w:r>
      <w:r w:rsidRPr="00306699">
        <w:t>Dobek verbally eliminated Lammers' employment with the City in July 2024, without providing him notice or a hearing beforehand.</w:t>
      </w:r>
    </w:p>
    <w:p w14:paraId="6F46CEBB" w14:textId="77777777" w:rsidR="008F5629" w:rsidRDefault="008F5629" w:rsidP="008F5629">
      <w:pPr>
        <w:pStyle w:val="NoSpacing"/>
        <w:ind w:left="720"/>
      </w:pPr>
    </w:p>
    <w:p w14:paraId="0A75D83E" w14:textId="77777777" w:rsidR="008F5629" w:rsidRDefault="008F5629" w:rsidP="008F5629">
      <w:pPr>
        <w:pStyle w:val="NoSpacing"/>
        <w:ind w:left="720"/>
      </w:pPr>
      <w:r>
        <w:t>***</w:t>
      </w:r>
    </w:p>
    <w:p w14:paraId="65F5832F" w14:textId="77777777" w:rsidR="008F5629" w:rsidRPr="005826E0" w:rsidRDefault="008F5629" w:rsidP="008F5629">
      <w:pPr>
        <w:pStyle w:val="NoSpacing"/>
        <w:ind w:left="720"/>
      </w:pPr>
      <w:r w:rsidRPr="00DA1947">
        <w:t xml:space="preserve">Here, Lammers does not allege that he had a written employment contract with the City. Rather, he claims that the City's adoption of the IFC </w:t>
      </w:r>
      <w:r>
        <w:t xml:space="preserve">[International Fire Code, adopted by city in 2022] </w:t>
      </w:r>
      <w:r w:rsidRPr="00DA1947">
        <w:t>created a legitimate expectation of just-cause employment</w:t>
      </w:r>
      <w:r>
        <w:t xml:space="preserve">…. </w:t>
      </w:r>
      <w:r w:rsidRPr="005826E0">
        <w:t xml:space="preserve">Lammers claims that Section 103.2 of the IFC designated him as a just-cause employee. That Section reads: </w:t>
      </w:r>
    </w:p>
    <w:p w14:paraId="16B698EA" w14:textId="77777777" w:rsidR="008F5629" w:rsidRDefault="008F5629" w:rsidP="008F5629">
      <w:pPr>
        <w:pStyle w:val="NoSpacing"/>
        <w:ind w:left="1440"/>
      </w:pPr>
    </w:p>
    <w:p w14:paraId="7614FFA1" w14:textId="77777777" w:rsidR="008F5629" w:rsidRDefault="008F5629" w:rsidP="008F5629">
      <w:pPr>
        <w:pStyle w:val="NoSpacing"/>
        <w:ind w:left="1440"/>
      </w:pPr>
      <w:r w:rsidRPr="005826E0">
        <w:t xml:space="preserve">The </w:t>
      </w:r>
      <w:r w:rsidRPr="005826E0">
        <w:rPr>
          <w:i/>
          <w:iCs/>
        </w:rPr>
        <w:t>fire code official</w:t>
      </w:r>
      <w:r w:rsidRPr="005826E0">
        <w:t xml:space="preserve"> shall be appointed by the chief appointing authority of the jurisdiction; and the </w:t>
      </w:r>
      <w:r w:rsidRPr="005826E0">
        <w:rPr>
          <w:i/>
          <w:iCs/>
        </w:rPr>
        <w:t>fire code official</w:t>
      </w:r>
      <w:r w:rsidRPr="005826E0">
        <w:t xml:space="preserve"> shall not be removed from office except for cause and after full opportunity to be heard on specific and relevant charges by and before the appointing authority.</w:t>
      </w:r>
      <w:r>
        <w:t>”</w:t>
      </w:r>
    </w:p>
    <w:p w14:paraId="1E9FAD4A" w14:textId="77777777" w:rsidR="008F5629" w:rsidRDefault="008F5629" w:rsidP="008F5629">
      <w:pPr>
        <w:pStyle w:val="NoSpacing"/>
        <w:ind w:left="1440"/>
      </w:pPr>
    </w:p>
    <w:p w14:paraId="6EC7B5A3" w14:textId="5D0E4E3F" w:rsidR="008F5629" w:rsidRPr="00817EEB" w:rsidRDefault="008F5629" w:rsidP="008F5629">
      <w:pPr>
        <w:pStyle w:val="NoSpacing"/>
        <w:rPr>
          <w:b/>
          <w:bCs/>
        </w:rPr>
      </w:pPr>
      <w:r w:rsidRPr="00817EEB">
        <w:rPr>
          <w:b/>
        </w:rPr>
        <w:lastRenderedPageBreak/>
        <w:t xml:space="preserve">Lesson learned: </w:t>
      </w:r>
      <w:r>
        <w:rPr>
          <w:b/>
        </w:rPr>
        <w:t>City’s adoption of International Fire Code “</w:t>
      </w:r>
      <w:r w:rsidRPr="002104E5">
        <w:rPr>
          <w:b/>
        </w:rPr>
        <w:t>created a legitimate expectation of just-cause employment.</w:t>
      </w:r>
      <w:r>
        <w:rPr>
          <w:b/>
        </w:rPr>
        <w:t>”</w:t>
      </w:r>
    </w:p>
    <w:p w14:paraId="7E903289" w14:textId="77777777" w:rsidR="008F5629" w:rsidRDefault="008F5629" w:rsidP="008F5629">
      <w:pPr>
        <w:rPr>
          <w:rFonts w:ascii="Arial Black" w:hAnsi="Arial Black"/>
          <w:sz w:val="28"/>
          <w:szCs w:val="28"/>
        </w:rPr>
      </w:pPr>
    </w:p>
    <w:p w14:paraId="11CB6D50" w14:textId="77777777" w:rsidR="008F5629" w:rsidRDefault="008F5629" w:rsidP="00F326E5">
      <w:pPr>
        <w:pStyle w:val="NoSpacing"/>
        <w:rPr>
          <w:rFonts w:ascii="Arial Black" w:hAnsi="Arial Black"/>
          <w:sz w:val="24"/>
          <w:szCs w:val="24"/>
        </w:rPr>
      </w:pPr>
    </w:p>
    <w:p w14:paraId="1D561103" w14:textId="4FFC3FFB"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92</w:t>
      </w:r>
    </w:p>
    <w:p w14:paraId="77AF718F" w14:textId="77777777" w:rsidR="00037CB8" w:rsidRDefault="00037CB8" w:rsidP="005142F0">
      <w:pPr>
        <w:pStyle w:val="NoSpacing"/>
        <w:rPr>
          <w:rFonts w:ascii="Arial Black" w:hAnsi="Arial Black"/>
          <w:sz w:val="28"/>
          <w:szCs w:val="28"/>
        </w:rPr>
      </w:pPr>
    </w:p>
    <w:p w14:paraId="0580C586" w14:textId="29D4118D" w:rsidR="005142F0" w:rsidRDefault="005142F0" w:rsidP="005142F0">
      <w:pPr>
        <w:pStyle w:val="NoSpacing"/>
        <w:rPr>
          <w:rFonts w:ascii="Arial Black" w:hAnsi="Arial Black"/>
          <w:sz w:val="28"/>
          <w:szCs w:val="28"/>
        </w:rPr>
      </w:pPr>
      <w:r>
        <w:rPr>
          <w:rFonts w:ascii="Arial Black" w:hAnsi="Arial Black"/>
          <w:sz w:val="28"/>
          <w:szCs w:val="28"/>
        </w:rPr>
        <w:t xml:space="preserve">GA: DRONE / CODE OFFICER </w:t>
      </w:r>
      <w:r w:rsidR="001D4188">
        <w:rPr>
          <w:rFonts w:ascii="Arial Black" w:hAnsi="Arial Black"/>
          <w:sz w:val="28"/>
          <w:szCs w:val="28"/>
        </w:rPr>
        <w:t>–</w:t>
      </w:r>
      <w:r w:rsidR="00EB07EC">
        <w:rPr>
          <w:rFonts w:ascii="Arial Black" w:hAnsi="Arial Black"/>
          <w:sz w:val="28"/>
          <w:szCs w:val="28"/>
        </w:rPr>
        <w:t xml:space="preserve"> </w:t>
      </w:r>
      <w:r>
        <w:rPr>
          <w:rFonts w:ascii="Arial Black" w:hAnsi="Arial Black"/>
          <w:sz w:val="28"/>
          <w:szCs w:val="28"/>
        </w:rPr>
        <w:t>WARRANT AFTER HIS VISIT</w:t>
      </w:r>
    </w:p>
    <w:p w14:paraId="382654F6" w14:textId="77777777" w:rsidR="005142F0" w:rsidRDefault="005142F0" w:rsidP="005142F0">
      <w:pPr>
        <w:pStyle w:val="NoSpacing"/>
      </w:pPr>
    </w:p>
    <w:p w14:paraId="31962C72" w14:textId="77777777" w:rsidR="005142F0" w:rsidRDefault="005142F0" w:rsidP="005142F0">
      <w:pPr>
        <w:pStyle w:val="NoSpacing"/>
        <w:rPr>
          <w:bCs/>
        </w:rPr>
      </w:pPr>
      <w:r>
        <w:t xml:space="preserve">On September 18, 2025, in </w:t>
      </w:r>
      <w:r w:rsidRPr="00735CF2">
        <w:rPr>
          <w:u w:val="single"/>
        </w:rPr>
        <w:t>Dunn Terrious Bradford v. State of Georgia</w:t>
      </w:r>
      <w:r>
        <w:t xml:space="preserve">, the </w:t>
      </w:r>
      <w:r w:rsidRPr="00F17116">
        <w:t>Court of Appeals of Georgia, Third Division</w:t>
      </w:r>
      <w:r>
        <w:t xml:space="preserve"> held (3 to 0) held that trial court properly denied the property owner’s </w:t>
      </w:r>
      <w:r w:rsidRPr="00BF3969">
        <w:t xml:space="preserve"> motion to suppress evidence obtained in a civil forfeiture proceeding </w:t>
      </w:r>
      <w:r>
        <w:t xml:space="preserve">for operating a dog fighting operation (forfeiture of both his </w:t>
      </w:r>
      <w:r w:rsidRPr="00531C02">
        <w:t>real</w:t>
      </w:r>
      <w:r>
        <w:t xml:space="preserve"> estate </w:t>
      </w:r>
      <w:r w:rsidRPr="00531C02">
        <w:t xml:space="preserve">property, </w:t>
      </w:r>
      <w:r>
        <w:t xml:space="preserve">and </w:t>
      </w:r>
      <w:r w:rsidRPr="00531C02">
        <w:t>two rifles, a shotgun, a handgun,</w:t>
      </w:r>
      <w:r>
        <w:t xml:space="preserve"> </w:t>
      </w:r>
      <w:r w:rsidRPr="00531C02">
        <w:t>ammunition, and cash</w:t>
      </w:r>
      <w:r>
        <w:t xml:space="preserve">).  </w:t>
      </w:r>
      <w:r w:rsidRPr="00BF3969">
        <w:t xml:space="preserve"> </w:t>
      </w:r>
    </w:p>
    <w:p w14:paraId="6933EB67" w14:textId="77777777" w:rsidR="005142F0" w:rsidRDefault="005142F0" w:rsidP="005142F0">
      <w:pPr>
        <w:pStyle w:val="NoSpacing"/>
        <w:rPr>
          <w:bCs/>
        </w:rPr>
      </w:pPr>
    </w:p>
    <w:p w14:paraId="07DAAE08" w14:textId="77777777" w:rsidR="005142F0" w:rsidRPr="00F17116" w:rsidRDefault="005142F0" w:rsidP="005142F0">
      <w:pPr>
        <w:pStyle w:val="NoSpacing"/>
        <w:rPr>
          <w:bCs/>
        </w:rPr>
      </w:pPr>
      <w:r w:rsidRPr="00913B5B">
        <w:rPr>
          <w:b/>
        </w:rPr>
        <w:t>THE COURT HELD</w:t>
      </w:r>
      <w:r>
        <w:t>:  “A</w:t>
      </w:r>
      <w:r w:rsidRPr="005076D5">
        <w:t>s a threshold matter, we assume without deciding that the drone flight that</w:t>
      </w:r>
      <w:r>
        <w:t xml:space="preserve"> </w:t>
      </w:r>
      <w:r w:rsidRPr="005076D5">
        <w:t>observed Bradford’s property was an unauthorized search without a warrant.</w:t>
      </w:r>
      <w:r>
        <w:t xml:space="preserve"> </w:t>
      </w:r>
      <w:proofErr w:type="gramStart"/>
      <w:r w:rsidRPr="005076D5">
        <w:t>So</w:t>
      </w:r>
      <w:proofErr w:type="gramEnd"/>
      <w:r w:rsidRPr="005076D5">
        <w:t xml:space="preserve"> the</w:t>
      </w:r>
      <w:r>
        <w:t xml:space="preserve"> </w:t>
      </w:r>
      <w:r w:rsidRPr="005076D5">
        <w:t xml:space="preserve">question before us is whether the warrant that authorized the search </w:t>
      </w:r>
      <w:proofErr w:type="gramStart"/>
      <w:r w:rsidRPr="005076D5">
        <w:t>of</w:t>
      </w:r>
      <w:proofErr w:type="gramEnd"/>
      <w:r w:rsidRPr="005076D5">
        <w:t xml:space="preserve"> Bradford’s</w:t>
      </w:r>
      <w:r>
        <w:t xml:space="preserve"> </w:t>
      </w:r>
      <w:r w:rsidRPr="005076D5">
        <w:t>home was based on an independent source of probable cause, such that the warrant</w:t>
      </w:r>
      <w:r>
        <w:t xml:space="preserve"> </w:t>
      </w:r>
      <w:r w:rsidRPr="005076D5">
        <w:t>was not derived from the drone flight.</w:t>
      </w:r>
      <w:r>
        <w:t xml:space="preserve"> *** T</w:t>
      </w:r>
      <w:r w:rsidRPr="00EC56C1">
        <w:t>hus, the warrant affidavit did not mention the drone flight or any information</w:t>
      </w:r>
      <w:r>
        <w:t xml:space="preserve"> </w:t>
      </w:r>
      <w:r w:rsidRPr="00EC56C1">
        <w:t>gleaned from the drone flight. The warrant affidavit merely described the scene</w:t>
      </w:r>
      <w:r>
        <w:t xml:space="preserve"> </w:t>
      </w:r>
      <w:r w:rsidRPr="00EC56C1">
        <w:t>encountered by the investigator and code enforcement officer during their in-person</w:t>
      </w:r>
      <w:r>
        <w:t xml:space="preserve"> </w:t>
      </w:r>
      <w:r w:rsidRPr="00EC56C1">
        <w:t>visit to Bradford’s residence a week later. That information, which was not</w:t>
      </w:r>
      <w:r>
        <w:t xml:space="preserve"> </w:t>
      </w:r>
      <w:r w:rsidRPr="00EC56C1">
        <w:t>discernable from the drone flight, presented evidence of animal cruelty</w:t>
      </w:r>
      <w:r>
        <w:t xml:space="preserve"> </w:t>
      </w:r>
      <w:r w:rsidRPr="00EC56C1">
        <w:t>and illegal</w:t>
      </w:r>
      <w:r>
        <w:t xml:space="preserve"> </w:t>
      </w:r>
      <w:r w:rsidRPr="00ED078F">
        <w:t>dogfighting, which provided probable cause to issue a warrant to investigate those</w:t>
      </w:r>
      <w:r>
        <w:t xml:space="preserve"> </w:t>
      </w:r>
      <w:r w:rsidRPr="00ED078F">
        <w:t>activities</w:t>
      </w:r>
      <w:r>
        <w:t xml:space="preserve">.” </w:t>
      </w:r>
      <w:hyperlink r:id="rId47" w:history="1">
        <w:r w:rsidRPr="006F63BB">
          <w:rPr>
            <w:rStyle w:val="Hyperlink"/>
          </w:rPr>
          <w:t>https://cases.justia.com/georgia/court-of-appeals/2025-a25a0954.pdf?ts=1758208974</w:t>
        </w:r>
      </w:hyperlink>
      <w:r>
        <w:t xml:space="preserve"> </w:t>
      </w:r>
    </w:p>
    <w:p w14:paraId="6B5313B0" w14:textId="77777777" w:rsidR="005142F0" w:rsidRDefault="005142F0" w:rsidP="005142F0">
      <w:pPr>
        <w:pStyle w:val="NoSpacing"/>
        <w:rPr>
          <w:bCs/>
        </w:rPr>
      </w:pPr>
    </w:p>
    <w:p w14:paraId="6D273C46" w14:textId="77777777" w:rsidR="005142F0" w:rsidRPr="00913B5B" w:rsidRDefault="005142F0" w:rsidP="005142F0">
      <w:pPr>
        <w:pStyle w:val="NoSpacing"/>
        <w:rPr>
          <w:b/>
        </w:rPr>
      </w:pPr>
      <w:r w:rsidRPr="00913B5B">
        <w:rPr>
          <w:b/>
        </w:rPr>
        <w:t xml:space="preserve">KEY FACTS: </w:t>
      </w:r>
    </w:p>
    <w:p w14:paraId="154034A8" w14:textId="77777777" w:rsidR="005142F0" w:rsidRDefault="005142F0" w:rsidP="005142F0">
      <w:pPr>
        <w:pStyle w:val="NoSpacing"/>
        <w:rPr>
          <w:bCs/>
        </w:rPr>
      </w:pPr>
    </w:p>
    <w:p w14:paraId="5B30C1CF" w14:textId="77777777" w:rsidR="005142F0" w:rsidRDefault="005142F0" w:rsidP="005142F0">
      <w:pPr>
        <w:pStyle w:val="NoSpacing"/>
        <w:ind w:left="720"/>
        <w:rPr>
          <w:bCs/>
        </w:rPr>
      </w:pPr>
      <w:r>
        <w:t>“[T]</w:t>
      </w:r>
      <w:r w:rsidRPr="00FA0DEF">
        <w:t>he record shows that on February 15, 2024, a Mitchell County</w:t>
      </w:r>
      <w:r>
        <w:t xml:space="preserve"> </w:t>
      </w:r>
      <w:r w:rsidRPr="00FA0DEF">
        <w:t>Sheriff’s Department investigator received a call from the sheriff, who had received</w:t>
      </w:r>
      <w:r>
        <w:t xml:space="preserve"> </w:t>
      </w:r>
      <w:r w:rsidRPr="00FA0DEF">
        <w:t xml:space="preserve">a call from a </w:t>
      </w:r>
      <w:r>
        <w:t>‘</w:t>
      </w:r>
      <w:r w:rsidRPr="00FA0DEF">
        <w:t>concerned citizen.</w:t>
      </w:r>
      <w:r>
        <w:t>’</w:t>
      </w:r>
      <w:r w:rsidRPr="00FA0DEF">
        <w:t xml:space="preserve"> The caller reported a noise complaint due to a large</w:t>
      </w:r>
      <w:r>
        <w:t xml:space="preserve"> </w:t>
      </w:r>
      <w:r w:rsidRPr="00FA0DEF">
        <w:t>group of dogs constantly barking at a property on Pinewood Lane. Approximately</w:t>
      </w:r>
      <w:r>
        <w:t xml:space="preserve"> </w:t>
      </w:r>
      <w:r w:rsidRPr="00FA0DEF">
        <w:t>seven residences are located along the road, and based on the call, the investigator</w:t>
      </w:r>
      <w:r>
        <w:t xml:space="preserve"> ‘</w:t>
      </w:r>
      <w:r w:rsidRPr="00FA0DEF">
        <w:t>went and met with a guy that lives right down the road and got permission to get on</w:t>
      </w:r>
      <w:r>
        <w:t xml:space="preserve"> </w:t>
      </w:r>
      <w:r w:rsidRPr="00FA0DEF">
        <w:t>his property. [The investigator] flew [a] drone over the tree line of the property and</w:t>
      </w:r>
      <w:r>
        <w:t xml:space="preserve"> </w:t>
      </w:r>
      <w:r w:rsidRPr="00FA0DEF">
        <w:t xml:space="preserve">observed a large </w:t>
      </w:r>
      <w:proofErr w:type="gramStart"/>
      <w:r w:rsidRPr="00FA0DEF">
        <w:t>amount</w:t>
      </w:r>
      <w:proofErr w:type="gramEnd"/>
      <w:r w:rsidRPr="00FA0DEF">
        <w:t xml:space="preserve"> of dogs in a wooded area in the back of the residence” at 600</w:t>
      </w:r>
      <w:r>
        <w:t xml:space="preserve"> </w:t>
      </w:r>
      <w:r w:rsidRPr="00FA0DEF">
        <w:t>Pinewood Lane, where Bradford lives. Using the drone’s camera, the investigator saw</w:t>
      </w:r>
      <w:r>
        <w:t xml:space="preserve"> ‘</w:t>
      </w:r>
      <w:r w:rsidRPr="00FA0DEF">
        <w:t>approximately 40 to 50</w:t>
      </w:r>
      <w:r>
        <w:t>’</w:t>
      </w:r>
      <w:r w:rsidRPr="00FA0DEF">
        <w:t xml:space="preserve"> dogs on the property. He </w:t>
      </w:r>
      <w:proofErr w:type="gramStart"/>
      <w:r w:rsidRPr="00FA0DEF">
        <w:t>was not able to</w:t>
      </w:r>
      <w:proofErr w:type="gramEnd"/>
      <w:r w:rsidRPr="00FA0DEF">
        <w:t xml:space="preserve"> discern their</w:t>
      </w:r>
      <w:r>
        <w:t xml:space="preserve"> </w:t>
      </w:r>
      <w:r w:rsidRPr="00FA0DEF">
        <w:t>condition, and he pursued no further investigation or criminal action at that time.</w:t>
      </w:r>
    </w:p>
    <w:p w14:paraId="7888058D" w14:textId="77777777" w:rsidR="005142F0" w:rsidRDefault="005142F0" w:rsidP="005142F0">
      <w:pPr>
        <w:pStyle w:val="NoSpacing"/>
        <w:ind w:left="720"/>
        <w:rPr>
          <w:bCs/>
        </w:rPr>
      </w:pPr>
    </w:p>
    <w:p w14:paraId="1549ECE2" w14:textId="77777777" w:rsidR="005142F0" w:rsidRDefault="005142F0" w:rsidP="005142F0">
      <w:pPr>
        <w:pStyle w:val="NoSpacing"/>
        <w:ind w:left="720"/>
        <w:rPr>
          <w:bCs/>
        </w:rPr>
      </w:pPr>
      <w:r w:rsidRPr="00DA2CA3">
        <w:t>A week later, on February 22, 2024, the sheriff received a second call from a</w:t>
      </w:r>
      <w:r>
        <w:t xml:space="preserve"> </w:t>
      </w:r>
      <w:r w:rsidRPr="00DA2CA3">
        <w:t xml:space="preserve">neighbor on the same street stating that </w:t>
      </w:r>
      <w:r>
        <w:t>‘</w:t>
      </w:r>
      <w:r w:rsidRPr="00DA2CA3">
        <w:t>one of the dogs had gotten loose and come</w:t>
      </w:r>
      <w:r>
        <w:t xml:space="preserve"> </w:t>
      </w:r>
      <w:r w:rsidRPr="00DA2CA3">
        <w:t>up to their property and he looked malnourished.</w:t>
      </w:r>
      <w:r>
        <w:t xml:space="preserve">’ </w:t>
      </w:r>
      <w:r w:rsidRPr="00DA2CA3">
        <w:t xml:space="preserve"> Based on this, the investigator</w:t>
      </w:r>
      <w:r>
        <w:t xml:space="preserve"> </w:t>
      </w:r>
      <w:r w:rsidRPr="00DA2CA3">
        <w:t>contacted the county code enforcement officer to conduct a welfare check regarding</w:t>
      </w:r>
      <w:r>
        <w:t xml:space="preserve"> </w:t>
      </w:r>
      <w:r w:rsidRPr="00DA2CA3">
        <w:t xml:space="preserve">the loose dog. The investigator testified </w:t>
      </w:r>
      <w:proofErr w:type="gramStart"/>
      <w:r w:rsidRPr="00DA2CA3">
        <w:t xml:space="preserve">that, </w:t>
      </w:r>
      <w:r>
        <w:t>‘</w:t>
      </w:r>
      <w:proofErr w:type="gramEnd"/>
      <w:r w:rsidRPr="00DA2CA3">
        <w:t>when we rode down [Pinewood Lane],</w:t>
      </w:r>
      <w:r>
        <w:t xml:space="preserve"> </w:t>
      </w:r>
      <w:r w:rsidRPr="00DA2CA3">
        <w:t>we didn’t observe any dogs at any of the other residences until we got to the end and</w:t>
      </w:r>
      <w:r>
        <w:t xml:space="preserve"> </w:t>
      </w:r>
      <w:r w:rsidRPr="00632369">
        <w:t>observed</w:t>
      </w:r>
      <w:r>
        <w:t>’</w:t>
      </w:r>
      <w:r w:rsidRPr="00632369">
        <w:t xml:space="preserve"> two dogs in the front yard of Bradford’s property. The two dogs were</w:t>
      </w:r>
      <w:r>
        <w:t xml:space="preserve"> </w:t>
      </w:r>
      <w:r w:rsidRPr="00632369">
        <w:t xml:space="preserve">visible from the road, and one dog was confined in a small cage </w:t>
      </w:r>
      <w:proofErr w:type="gramStart"/>
      <w:r w:rsidRPr="00632369">
        <w:t>similar to</w:t>
      </w:r>
      <w:proofErr w:type="gramEnd"/>
      <w:r w:rsidRPr="00632369">
        <w:t xml:space="preserve"> a rabbit cage,</w:t>
      </w:r>
      <w:r>
        <w:t xml:space="preserve"> </w:t>
      </w:r>
      <w:r w:rsidRPr="00632369">
        <w:t xml:space="preserve">and the other dog was attached to a heavy logging chain. The caged dog was </w:t>
      </w:r>
      <w:r>
        <w:t>‘</w:t>
      </w:r>
      <w:r w:rsidRPr="00632369">
        <w:t>almost</w:t>
      </w:r>
      <w:r>
        <w:t xml:space="preserve"> </w:t>
      </w:r>
      <w:r w:rsidRPr="00632369">
        <w:t>bigger than the cage it was in,</w:t>
      </w:r>
      <w:r>
        <w:t>’</w:t>
      </w:r>
      <w:r w:rsidRPr="00632369">
        <w:t xml:space="preserve"> such that its confinement appeared inhumane. Also</w:t>
      </w:r>
      <w:r>
        <w:t xml:space="preserve"> </w:t>
      </w:r>
      <w:r w:rsidRPr="00632369">
        <w:t xml:space="preserve">audible from the road was the sound of </w:t>
      </w:r>
      <w:proofErr w:type="gramStart"/>
      <w:r w:rsidRPr="00632369">
        <w:t>a large number of</w:t>
      </w:r>
      <w:proofErr w:type="gramEnd"/>
      <w:r w:rsidRPr="00632369">
        <w:t xml:space="preserve"> dogs barking from the back</w:t>
      </w:r>
      <w:r>
        <w:t xml:space="preserve"> </w:t>
      </w:r>
      <w:r w:rsidRPr="00632369">
        <w:t>of Bradford’s property.</w:t>
      </w:r>
    </w:p>
    <w:p w14:paraId="50115AEA" w14:textId="77777777" w:rsidR="005142F0" w:rsidRDefault="005142F0" w:rsidP="005142F0">
      <w:pPr>
        <w:pStyle w:val="NoSpacing"/>
        <w:ind w:left="720"/>
        <w:rPr>
          <w:bCs/>
        </w:rPr>
      </w:pPr>
    </w:p>
    <w:p w14:paraId="44D9A16B" w14:textId="77777777" w:rsidR="005142F0" w:rsidRDefault="005142F0" w:rsidP="005142F0">
      <w:pPr>
        <w:pStyle w:val="NoSpacing"/>
        <w:ind w:left="720"/>
        <w:rPr>
          <w:bCs/>
        </w:rPr>
      </w:pPr>
      <w:r>
        <w:t>***</w:t>
      </w:r>
    </w:p>
    <w:p w14:paraId="6C125A9D" w14:textId="77777777" w:rsidR="005142F0" w:rsidRDefault="005142F0" w:rsidP="005142F0">
      <w:pPr>
        <w:pStyle w:val="NoSpacing"/>
        <w:ind w:left="720"/>
        <w:rPr>
          <w:bCs/>
        </w:rPr>
      </w:pPr>
      <w:proofErr w:type="gramStart"/>
      <w:r w:rsidRPr="0079581D">
        <w:t>In light of</w:t>
      </w:r>
      <w:proofErr w:type="gramEnd"/>
      <w:r w:rsidRPr="0079581D">
        <w:t xml:space="preserve"> the grim scene, the investigator determined that he would seek a</w:t>
      </w:r>
      <w:r>
        <w:t xml:space="preserve"> </w:t>
      </w:r>
      <w:r w:rsidRPr="0079581D">
        <w:t>warrant to search for evidence of crimes pertaining to animal cruelty. After obtaining</w:t>
      </w:r>
      <w:r>
        <w:t xml:space="preserve"> </w:t>
      </w:r>
      <w:r w:rsidRPr="0079581D">
        <w:t>the search warrant, police discovered contraband leading to Bradford’s indictment for</w:t>
      </w:r>
      <w:r>
        <w:t xml:space="preserve"> </w:t>
      </w:r>
      <w:r w:rsidRPr="0079581D">
        <w:t>drug crimes, dog fighting, cruelty to animals, firearm violations, and commercial</w:t>
      </w:r>
      <w:r>
        <w:t xml:space="preserve"> </w:t>
      </w:r>
      <w:r w:rsidRPr="0079581D">
        <w:t>gambling, as well as the forfeiture of property involved in this appeal.</w:t>
      </w:r>
      <w:r>
        <w:t>”</w:t>
      </w:r>
    </w:p>
    <w:p w14:paraId="172B2396" w14:textId="77777777" w:rsidR="005142F0" w:rsidRPr="000506B0" w:rsidRDefault="005142F0" w:rsidP="005142F0">
      <w:pPr>
        <w:pStyle w:val="NoSpacing"/>
      </w:pPr>
    </w:p>
    <w:p w14:paraId="6D00F05B" w14:textId="77777777" w:rsidR="005142F0" w:rsidRDefault="005142F0" w:rsidP="005142F0">
      <w:pPr>
        <w:pStyle w:val="NoSpacing"/>
        <w:rPr>
          <w:b/>
          <w:bCs/>
        </w:rPr>
      </w:pPr>
      <w:r>
        <w:rPr>
          <w:b/>
        </w:rPr>
        <w:t>Legal lesson learned:  When using a drone for code enforcement, avoid flying over target property until search warrant is obtained.</w:t>
      </w:r>
    </w:p>
    <w:p w14:paraId="5811BC1B" w14:textId="77777777" w:rsidR="005142F0" w:rsidRDefault="005142F0" w:rsidP="005142F0">
      <w:pPr>
        <w:pStyle w:val="NoSpacing"/>
        <w:rPr>
          <w:b/>
          <w:bCs/>
        </w:rPr>
      </w:pPr>
      <w:r>
        <w:rPr>
          <w:b/>
        </w:rPr>
        <w:tab/>
      </w:r>
    </w:p>
    <w:p w14:paraId="3B6A4B20" w14:textId="77777777" w:rsidR="005142F0" w:rsidRDefault="005142F0" w:rsidP="005142F0">
      <w:pPr>
        <w:pStyle w:val="NoSpacing"/>
        <w:ind w:left="720"/>
      </w:pPr>
      <w:r w:rsidRPr="00826E91">
        <w:t xml:space="preserve">Note: </w:t>
      </w:r>
      <w:r w:rsidRPr="008D2B93">
        <w:t>See also see this</w:t>
      </w:r>
      <w:r>
        <w:t xml:space="preserve"> April 17, </w:t>
      </w:r>
      <w:proofErr w:type="gramStart"/>
      <w:r>
        <w:t>2025</w:t>
      </w:r>
      <w:proofErr w:type="gramEnd"/>
      <w:r>
        <w:t xml:space="preserve"> Illinois decision </w:t>
      </w:r>
      <w:r w:rsidRPr="008D2B93">
        <w:t xml:space="preserve">where Sheriff </w:t>
      </w:r>
      <w:r>
        <w:t xml:space="preserve">wisely </w:t>
      </w:r>
      <w:r w:rsidRPr="008D2B93">
        <w:t xml:space="preserve">obtained search warrant </w:t>
      </w:r>
      <w:r>
        <w:t xml:space="preserve">to use a </w:t>
      </w:r>
      <w:r w:rsidRPr="008D2B93">
        <w:t xml:space="preserve">drone to </w:t>
      </w:r>
      <w:r>
        <w:t xml:space="preserve">film run down </w:t>
      </w:r>
      <w:r w:rsidRPr="008D2B93">
        <w:t>hotel</w:t>
      </w:r>
      <w:r>
        <w:t xml:space="preserve"> to support condemnation. </w:t>
      </w:r>
    </w:p>
    <w:p w14:paraId="77D0D301" w14:textId="77777777" w:rsidR="005142F0" w:rsidRPr="008D2B93" w:rsidRDefault="005142F0" w:rsidP="005142F0">
      <w:pPr>
        <w:ind w:left="720"/>
      </w:pPr>
      <w:r>
        <w:t xml:space="preserve">“On July 24, 2023, with judicial approval, the Winnebago County Sheriff’s Office used a drone to make a video of the Hotel. At trial, as the video was played, Henthorn pointed out to the circuit court the vandalized entryway, water damage and mildew on the walls and ceiling, the nonfunctioning plumbing, the lack of electrical service, and the unsecured and vacant condition of the Hotel.”  </w:t>
      </w:r>
      <w:r w:rsidRPr="001116F2">
        <w:rPr>
          <w:u w:val="single"/>
        </w:rPr>
        <w:t>The City of South Beloit, Illinois v. The New Chapter Group, et al</w:t>
      </w:r>
      <w:r>
        <w:t xml:space="preserve">., Appellate Court of Illinois. April 17, 2025. </w:t>
      </w:r>
      <w:hyperlink r:id="rId48" w:history="1">
        <w:r w:rsidRPr="005A0008">
          <w:rPr>
            <w:rStyle w:val="Hyperlink"/>
          </w:rPr>
          <w:t>https://legal.iml.org/file.cfm?key=29946</w:t>
        </w:r>
      </w:hyperlink>
      <w:r>
        <w:t xml:space="preserve"> </w:t>
      </w:r>
    </w:p>
    <w:p w14:paraId="0EDC12B0" w14:textId="60821484"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91</w:t>
      </w:r>
    </w:p>
    <w:p w14:paraId="213BB90A" w14:textId="77777777" w:rsidR="005142F0" w:rsidRPr="00306696" w:rsidRDefault="005142F0" w:rsidP="00037CB8">
      <w:pPr>
        <w:pStyle w:val="NoSpacing"/>
      </w:pPr>
    </w:p>
    <w:p w14:paraId="104D090D" w14:textId="77777777" w:rsidR="001F3C9E" w:rsidRDefault="001F3C9E" w:rsidP="001F3C9E">
      <w:pPr>
        <w:rPr>
          <w:rFonts w:ascii="Arial Black" w:hAnsi="Arial Black"/>
          <w:b/>
          <w:sz w:val="28"/>
          <w:szCs w:val="28"/>
        </w:rPr>
      </w:pPr>
      <w:r>
        <w:rPr>
          <w:rFonts w:ascii="Arial Black" w:hAnsi="Arial Black"/>
          <w:b/>
          <w:sz w:val="28"/>
          <w:szCs w:val="28"/>
        </w:rPr>
        <w:t>OH: LIQUOR LICENSE NOT RENEWED – FD / PD TESTIMONY</w:t>
      </w:r>
    </w:p>
    <w:p w14:paraId="7660F6F6" w14:textId="77777777" w:rsidR="001F3C9E" w:rsidRDefault="001F3C9E" w:rsidP="001F3C9E">
      <w:pPr>
        <w:pStyle w:val="NoSpacing"/>
        <w:rPr>
          <w:bCs/>
        </w:rPr>
      </w:pPr>
      <w:r w:rsidRPr="001C15AB">
        <w:t xml:space="preserve">On September 12, </w:t>
      </w:r>
      <w:proofErr w:type="gramStart"/>
      <w:r w:rsidRPr="001C15AB">
        <w:t>2025</w:t>
      </w:r>
      <w:proofErr w:type="gramEnd"/>
      <w:r w:rsidRPr="001C15AB">
        <w:t xml:space="preserve"> in </w:t>
      </w:r>
      <w:r w:rsidRPr="001C15AB">
        <w:rPr>
          <w:u w:val="single"/>
        </w:rPr>
        <w:t>City of Sharonville v. Ohio Liquor Control Commission, et al</w:t>
      </w:r>
      <w:r w:rsidRPr="001C15AB">
        <w:t xml:space="preserve">., </w:t>
      </w:r>
      <w:r>
        <w:t xml:space="preserve">the </w:t>
      </w:r>
      <w:r w:rsidRPr="00862D06">
        <w:t>Court of Appeals of Ohio, Tenth District</w:t>
      </w:r>
      <w:r>
        <w:t xml:space="preserve"> held (2 to 1) that trial court judge, after testimony from Acting Fire Chief and Police Chief, properly reversed the Commission and liquor license of the “Cove 51” bar was not renewed.  </w:t>
      </w:r>
    </w:p>
    <w:p w14:paraId="00EF20E6" w14:textId="77777777" w:rsidR="001F3C9E" w:rsidRDefault="001F3C9E" w:rsidP="001F3C9E">
      <w:pPr>
        <w:pStyle w:val="NoSpacing"/>
        <w:rPr>
          <w:bCs/>
        </w:rPr>
      </w:pPr>
    </w:p>
    <w:p w14:paraId="70CDCFD3" w14:textId="77777777" w:rsidR="001F3C9E" w:rsidRDefault="001F3C9E" w:rsidP="001F3C9E">
      <w:pPr>
        <w:pStyle w:val="NoSpacing"/>
        <w:rPr>
          <w:bCs/>
        </w:rPr>
      </w:pPr>
      <w:r w:rsidRPr="005A464F">
        <w:rPr>
          <w:b/>
        </w:rPr>
        <w:t>THE COURT HELD:</w:t>
      </w:r>
      <w:r>
        <w:t xml:space="preserve"> “</w:t>
      </w:r>
      <w:r w:rsidRPr="001D46D4">
        <w:t xml:space="preserve">The Sharonville Fire Department’s Acting Chief </w:t>
      </w:r>
      <w:r>
        <w:t xml:space="preserve">[John Mackey] </w:t>
      </w:r>
      <w:r w:rsidRPr="001D46D4">
        <w:t>testified that the operation of</w:t>
      </w:r>
      <w:r>
        <w:t xml:space="preserve"> </w:t>
      </w:r>
      <w:r w:rsidRPr="001D46D4">
        <w:t>Cove 51 had substantially affected the delivery of emergency services to the business. The</w:t>
      </w:r>
      <w:r>
        <w:t xml:space="preserve"> </w:t>
      </w:r>
      <w:r w:rsidRPr="001D46D4">
        <w:t xml:space="preserve">parking lot was frequently overcrowded and difficult to navigate, and patrons </w:t>
      </w:r>
      <w:proofErr w:type="gramStart"/>
      <w:r w:rsidRPr="001D46D4">
        <w:t>have</w:t>
      </w:r>
      <w:r>
        <w:t xml:space="preserve"> </w:t>
      </w:r>
      <w:r w:rsidRPr="001D46D4">
        <w:t>confronted</w:t>
      </w:r>
      <w:proofErr w:type="gramEnd"/>
      <w:r w:rsidRPr="001D46D4">
        <w:t xml:space="preserve"> EMS teams with weapons while they were treating patients. As a result, EMS</w:t>
      </w:r>
      <w:r>
        <w:t xml:space="preserve"> </w:t>
      </w:r>
      <w:r w:rsidRPr="001D46D4">
        <w:t>personnel have been required to wear ballistic vests when responding to the area, and have</w:t>
      </w:r>
      <w:r>
        <w:t xml:space="preserve"> </w:t>
      </w:r>
      <w:r w:rsidRPr="001D46D4">
        <w:t>been instructed to transport patients away from the area for any treatment</w:t>
      </w:r>
      <w:r>
        <w:t>….</w:t>
      </w:r>
      <w:r w:rsidRPr="001D46D4">
        <w:t>Further,</w:t>
      </w:r>
      <w:r>
        <w:t xml:space="preserve"> </w:t>
      </w:r>
      <w:r w:rsidRPr="001D46D4">
        <w:t>the operations commander of the Sharonville Police Department testified about numerous</w:t>
      </w:r>
      <w:r>
        <w:t xml:space="preserve"> </w:t>
      </w:r>
      <w:r w:rsidRPr="001D46D4">
        <w:t>incidents requiring police intervention traceable to Cove 51, including 118 documented calls</w:t>
      </w:r>
      <w:r>
        <w:t xml:space="preserve"> </w:t>
      </w:r>
      <w:r w:rsidRPr="001D46D4">
        <w:t>and 43 calls over the course of a single year, including assaults, shots fired incidents, thefts,</w:t>
      </w:r>
      <w:r>
        <w:t xml:space="preserve"> </w:t>
      </w:r>
      <w:r w:rsidRPr="001D46D4">
        <w:t>trouble runs, criminal damaging, and disruption of other area businesses.</w:t>
      </w:r>
      <w:r>
        <w:t xml:space="preserve"> *** Chief Mackey’s testimony as stated above also shows that Cove’s patrons’ conduct has also had a significant impact on the City’s fire department not only for runs to Cove, but to all calls on Chester Road. *** The [trial] court’s review of the facts is very thorough and completely reasonable, and its partial reversal of the OLCC’s decision is appropriate on these facts. And given our own limited standard of review, we cannot conclude that review of the facts and partial reversal constitutes an abuse of the common pleas court’s discretion.” </w:t>
      </w:r>
      <w:hyperlink r:id="rId49" w:history="1">
        <w:r w:rsidRPr="00854CEF">
          <w:rPr>
            <w:rStyle w:val="Hyperlink"/>
            <w:b/>
          </w:rPr>
          <w:t>https://cases.justia.com/ohio/tenth-district-court-of-appeals/2025-24ap-255.pdf?ts=1757620491</w:t>
        </w:r>
      </w:hyperlink>
    </w:p>
    <w:p w14:paraId="22AABB4E" w14:textId="77777777" w:rsidR="001F3C9E" w:rsidRDefault="001F3C9E" w:rsidP="001F3C9E">
      <w:pPr>
        <w:pStyle w:val="NoSpacing"/>
        <w:rPr>
          <w:bCs/>
        </w:rPr>
      </w:pPr>
    </w:p>
    <w:p w14:paraId="0AE062B3" w14:textId="77777777" w:rsidR="001F3C9E" w:rsidRPr="005A464F" w:rsidRDefault="001F3C9E" w:rsidP="001F3C9E">
      <w:pPr>
        <w:pStyle w:val="NoSpacing"/>
        <w:rPr>
          <w:b/>
        </w:rPr>
      </w:pPr>
      <w:r w:rsidRPr="005A464F">
        <w:rPr>
          <w:b/>
        </w:rPr>
        <w:t>KEY FACTS:</w:t>
      </w:r>
    </w:p>
    <w:p w14:paraId="5D372BD1" w14:textId="77777777" w:rsidR="001F3C9E" w:rsidRDefault="001F3C9E" w:rsidP="001F3C9E">
      <w:pPr>
        <w:pStyle w:val="NoSpacing"/>
        <w:rPr>
          <w:bCs/>
        </w:rPr>
      </w:pPr>
    </w:p>
    <w:p w14:paraId="2898D302" w14:textId="77777777" w:rsidR="001F3C9E" w:rsidRPr="00DC61C4" w:rsidRDefault="001F3C9E" w:rsidP="001F3C9E">
      <w:pPr>
        <w:pStyle w:val="NoSpacing"/>
        <w:ind w:left="720"/>
        <w:rPr>
          <w:bCs/>
        </w:rPr>
      </w:pPr>
      <w:r>
        <w:t>“</w:t>
      </w:r>
      <w:r w:rsidRPr="00DC61C4">
        <w:t>On May 25, 2021, Sharonville’s City Council adopted an emergency</w:t>
      </w:r>
      <w:r>
        <w:t xml:space="preserve"> </w:t>
      </w:r>
      <w:r w:rsidRPr="00DC61C4">
        <w:t xml:space="preserve">resolution stating its position that </w:t>
      </w:r>
      <w:r>
        <w:t>‘</w:t>
      </w:r>
      <w:r w:rsidRPr="00DC61C4">
        <w:t xml:space="preserve">the liquor permit issued to Elizabeth </w:t>
      </w:r>
      <w:proofErr w:type="spellStart"/>
      <w:r w:rsidRPr="00DC61C4">
        <w:t>Iloegbunam</w:t>
      </w:r>
      <w:proofErr w:type="spellEnd"/>
      <w:r w:rsidRPr="00DC61C4">
        <w:t xml:space="preserve"> for</w:t>
      </w:r>
      <w:r>
        <w:t xml:space="preserve"> </w:t>
      </w:r>
      <w:r w:rsidRPr="00DC61C4">
        <w:t>Klass Entertainment, dba Cove 51, should not be renewed,</w:t>
      </w:r>
      <w:r>
        <w:t xml:space="preserve">’ </w:t>
      </w:r>
      <w:r w:rsidRPr="00DC61C4">
        <w:t xml:space="preserve">and requested a hearing </w:t>
      </w:r>
      <w:r>
        <w:t>‘</w:t>
      </w:r>
      <w:r w:rsidRPr="00DC61C4">
        <w:t>before</w:t>
      </w:r>
    </w:p>
    <w:p w14:paraId="09E3C4A7" w14:textId="77777777" w:rsidR="001F3C9E" w:rsidRDefault="001F3C9E" w:rsidP="001F3C9E">
      <w:pPr>
        <w:pStyle w:val="NoSpacing"/>
        <w:ind w:left="720"/>
        <w:rPr>
          <w:bCs/>
        </w:rPr>
      </w:pPr>
      <w:r w:rsidRPr="00DC61C4">
        <w:t>the Ohio Department of Liquor Control [sic] to prove the authenticity of these findings and</w:t>
      </w:r>
      <w:r>
        <w:t xml:space="preserve"> </w:t>
      </w:r>
      <w:r w:rsidRPr="00DC61C4">
        <w:t>to document the fact that the liquor permit should be cancelled.</w:t>
      </w:r>
      <w:r>
        <w:t>’</w:t>
      </w:r>
    </w:p>
    <w:p w14:paraId="01FBF4BE" w14:textId="77777777" w:rsidR="001F3C9E" w:rsidRDefault="001F3C9E" w:rsidP="001F3C9E">
      <w:pPr>
        <w:pStyle w:val="NoSpacing"/>
        <w:ind w:left="720"/>
        <w:rPr>
          <w:bCs/>
        </w:rPr>
      </w:pPr>
    </w:p>
    <w:p w14:paraId="39E8C7BC" w14:textId="77777777" w:rsidR="001F3C9E" w:rsidRDefault="001F3C9E" w:rsidP="001F3C9E">
      <w:pPr>
        <w:pStyle w:val="NoSpacing"/>
        <w:ind w:left="720"/>
        <w:rPr>
          <w:bCs/>
        </w:rPr>
      </w:pPr>
      <w:r>
        <w:t>***</w:t>
      </w:r>
    </w:p>
    <w:p w14:paraId="32433F4E" w14:textId="77777777" w:rsidR="001F3C9E" w:rsidRPr="00C17172" w:rsidRDefault="001F3C9E" w:rsidP="001F3C9E">
      <w:pPr>
        <w:pStyle w:val="NoSpacing"/>
        <w:ind w:left="720"/>
        <w:rPr>
          <w:bCs/>
        </w:rPr>
      </w:pPr>
      <w:r w:rsidRPr="00C17172">
        <w:t>The denial was supported by extensive evidence, both regarding the nature</w:t>
      </w:r>
      <w:r>
        <w:t xml:space="preserve"> </w:t>
      </w:r>
      <w:r w:rsidRPr="00C17172">
        <w:t>of the neighborhood where Cove 51 is located and of the incidents with public safety and</w:t>
      </w:r>
    </w:p>
    <w:p w14:paraId="58E0732B" w14:textId="77777777" w:rsidR="001F3C9E" w:rsidRDefault="001F3C9E" w:rsidP="001F3C9E">
      <w:pPr>
        <w:pStyle w:val="NoSpacing"/>
        <w:ind w:left="720"/>
        <w:rPr>
          <w:bCs/>
        </w:rPr>
      </w:pPr>
      <w:r w:rsidRPr="00C17172">
        <w:t xml:space="preserve">law enforcement that prompted Sharonville’s objection to renewal of </w:t>
      </w:r>
      <w:proofErr w:type="spellStart"/>
      <w:r w:rsidRPr="00C17172">
        <w:t>Iloegbunam’s</w:t>
      </w:r>
      <w:proofErr w:type="spellEnd"/>
      <w:r w:rsidRPr="00C17172">
        <w:t xml:space="preserve"> permit.</w:t>
      </w:r>
      <w:r>
        <w:t xml:space="preserve"> </w:t>
      </w:r>
      <w:r w:rsidRPr="00C17172">
        <w:t>Representatives of three nearby hotels described regular disruptions by Cove 51’s patrons</w:t>
      </w:r>
      <w:r>
        <w:t xml:space="preserve"> </w:t>
      </w:r>
      <w:r w:rsidRPr="00C17172">
        <w:t>on their properties, which included excessive late-night noise, unauthorized use of private</w:t>
      </w:r>
      <w:r>
        <w:t xml:space="preserve"> </w:t>
      </w:r>
      <w:r w:rsidRPr="00C17172">
        <w:t>parking lots, fights, discarded and broken alcohol containers, abandoned litter, and used</w:t>
      </w:r>
      <w:r>
        <w:t xml:space="preserve"> </w:t>
      </w:r>
      <w:r w:rsidRPr="00C17172">
        <w:t>condoms. One of the managers testified that a Cove 51 patron had run through their hotel</w:t>
      </w:r>
      <w:r>
        <w:t xml:space="preserve"> </w:t>
      </w:r>
      <w:r w:rsidRPr="00C17172">
        <w:t>lobby brandishing a gun, and the director of guest services for another hotel testified that</w:t>
      </w:r>
      <w:r>
        <w:t xml:space="preserve"> </w:t>
      </w:r>
      <w:r w:rsidRPr="00C17172">
        <w:t xml:space="preserve">the hotel had lost the business of traveling sports teams because of </w:t>
      </w:r>
      <w:r>
        <w:t>‘</w:t>
      </w:r>
      <w:r w:rsidRPr="00C17172">
        <w:t>shots fired</w:t>
      </w:r>
      <w:r>
        <w:t>’</w:t>
      </w:r>
      <w:r w:rsidRPr="00C17172">
        <w:t xml:space="preserve"> incidents</w:t>
      </w:r>
      <w:r>
        <w:t xml:space="preserve"> </w:t>
      </w:r>
      <w:r w:rsidRPr="00C17172">
        <w:t xml:space="preserve">at Cove 51 and the </w:t>
      </w:r>
      <w:r w:rsidRPr="00C17172">
        <w:lastRenderedPageBreak/>
        <w:t>required police response to those incidents. Id. Sharonville’s City</w:t>
      </w:r>
      <w:r>
        <w:t xml:space="preserve"> </w:t>
      </w:r>
      <w:r w:rsidRPr="00C17172">
        <w:t>Director testified that the area surrounding those hotels had been a subject of revitalization</w:t>
      </w:r>
      <w:r>
        <w:t xml:space="preserve"> </w:t>
      </w:r>
      <w:r w:rsidRPr="00C17172">
        <w:t>and investment efforts over the past few years, and also that Sharonville had planned to</w:t>
      </w:r>
      <w:r>
        <w:t xml:space="preserve"> </w:t>
      </w:r>
      <w:r w:rsidRPr="00C17172">
        <w:t>borrow nearly $20 million over the next quarter to expand the Sharonville Convention</w:t>
      </w:r>
      <w:r>
        <w:t xml:space="preserve"> </w:t>
      </w:r>
      <w:r w:rsidRPr="00616855">
        <w:t>Center, which is in that same area on the same side of the street and just south of Cove 51.</w:t>
      </w:r>
      <w:r>
        <w:t>”</w:t>
      </w:r>
    </w:p>
    <w:p w14:paraId="35AF1EAD" w14:textId="77777777" w:rsidR="001F3C9E" w:rsidRDefault="001F3C9E" w:rsidP="001F3C9E">
      <w:pPr>
        <w:pStyle w:val="NoSpacing"/>
        <w:rPr>
          <w:bCs/>
        </w:rPr>
      </w:pPr>
    </w:p>
    <w:p w14:paraId="1A389576" w14:textId="7485D4E8" w:rsidR="001F3C9E" w:rsidRPr="004E4F8A" w:rsidRDefault="001F3C9E" w:rsidP="001F3C9E">
      <w:pPr>
        <w:pStyle w:val="NoSpacing"/>
        <w:rPr>
          <w:b/>
          <w:bCs/>
        </w:rPr>
      </w:pPr>
      <w:r>
        <w:rPr>
          <w:b/>
        </w:rPr>
        <w:t xml:space="preserve">Lesson learned: Excellent example of fire and police testimony leading to revocation of liquor license. </w:t>
      </w:r>
    </w:p>
    <w:p w14:paraId="07CA95B4" w14:textId="77777777" w:rsidR="001F3C9E" w:rsidRDefault="001F3C9E" w:rsidP="001F3C9E">
      <w:pPr>
        <w:pStyle w:val="NoSpacing"/>
      </w:pPr>
    </w:p>
    <w:p w14:paraId="55574709" w14:textId="77777777" w:rsidR="001F3C9E" w:rsidRDefault="001F3C9E" w:rsidP="00F326E5">
      <w:pPr>
        <w:pStyle w:val="NoSpacing"/>
        <w:rPr>
          <w:rFonts w:ascii="Arial Black" w:hAnsi="Arial Black"/>
          <w:sz w:val="24"/>
          <w:szCs w:val="24"/>
        </w:rPr>
      </w:pPr>
    </w:p>
    <w:p w14:paraId="5BBF69C0" w14:textId="730CED6F"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90</w:t>
      </w:r>
    </w:p>
    <w:p w14:paraId="336B7366" w14:textId="77777777" w:rsidR="00141CEC" w:rsidRDefault="00141CEC" w:rsidP="0044195B">
      <w:pPr>
        <w:rPr>
          <w:rFonts w:ascii="Arial Black" w:hAnsi="Arial Black"/>
          <w:b/>
          <w:sz w:val="28"/>
          <w:szCs w:val="28"/>
        </w:rPr>
      </w:pPr>
    </w:p>
    <w:p w14:paraId="353322A6" w14:textId="11B04C4A" w:rsidR="0044195B" w:rsidRPr="00B80244" w:rsidRDefault="0044195B" w:rsidP="0044195B">
      <w:pPr>
        <w:rPr>
          <w:rFonts w:ascii="Arial Black" w:hAnsi="Arial Black"/>
          <w:b/>
          <w:sz w:val="28"/>
          <w:szCs w:val="28"/>
        </w:rPr>
      </w:pPr>
      <w:r>
        <w:rPr>
          <w:rFonts w:ascii="Arial Black" w:hAnsi="Arial Black"/>
          <w:b/>
          <w:sz w:val="28"/>
          <w:szCs w:val="28"/>
        </w:rPr>
        <w:t>WY: ARSON TRAILER – CIR. EVID. / BLEACH ON SHIRT</w:t>
      </w:r>
    </w:p>
    <w:p w14:paraId="05C50ADB" w14:textId="77777777" w:rsidR="0044195B" w:rsidRDefault="0044195B" w:rsidP="0044195B">
      <w:pPr>
        <w:rPr>
          <w:bCs/>
        </w:rPr>
      </w:pPr>
      <w:r w:rsidRPr="00A2196C">
        <w:t xml:space="preserve">On September 12, 2025, in </w:t>
      </w:r>
      <w:r w:rsidRPr="00240688">
        <w:rPr>
          <w:u w:val="single"/>
        </w:rPr>
        <w:t>Andrew Lee Boyer v. The State of Wyoming</w:t>
      </w:r>
      <w:r>
        <w:t xml:space="preserve">, the Supreme Court of Wyoming held (5 to 0) there was sufficient circumstantial evidence when jury found him guilty of first-degree arson (sentenced to 8-14 years).  </w:t>
      </w:r>
    </w:p>
    <w:p w14:paraId="733E3126" w14:textId="77777777" w:rsidR="0044195B" w:rsidRDefault="0044195B" w:rsidP="0044195B">
      <w:r w:rsidRPr="00B511E1">
        <w:rPr>
          <w:b/>
        </w:rPr>
        <w:t>THE COURT HELD</w:t>
      </w:r>
      <w:r>
        <w:t>: “</w:t>
      </w:r>
      <w:r w:rsidRPr="00B80244">
        <w:t>We find there was substantial evidence to support Mr. Boyer’s conviction. While</w:t>
      </w:r>
      <w:r>
        <w:t xml:space="preserve"> </w:t>
      </w:r>
      <w:r w:rsidRPr="00B80244">
        <w:t>there was no direct evidence linking Mr. Boyer to the fire, there was plenty of</w:t>
      </w:r>
      <w:r>
        <w:t xml:space="preserve"> </w:t>
      </w:r>
      <w:r w:rsidRPr="00B80244">
        <w:t>circumstantial evidence to support the jury’s verdict. Mr. Boyer was the last person to be</w:t>
      </w:r>
      <w:r>
        <w:t xml:space="preserve"> </w:t>
      </w:r>
      <w:r w:rsidRPr="00B80244">
        <w:t>seen in the trailer. The doors to the trailer were locked, the windows were shut, and there</w:t>
      </w:r>
      <w:r>
        <w:t xml:space="preserve"> </w:t>
      </w:r>
      <w:r w:rsidRPr="00B80244">
        <w:t xml:space="preserve">was no sign of a break-in. Ms. Haglund </w:t>
      </w:r>
      <w:r>
        <w:t xml:space="preserve">[neighbor] </w:t>
      </w:r>
      <w:r w:rsidRPr="00B80244">
        <w:t>smelled and observed smoke just thirty minutes</w:t>
      </w:r>
      <w:r>
        <w:t xml:space="preserve"> </w:t>
      </w:r>
      <w:r w:rsidRPr="00B80244">
        <w:t>after Mr. Boyer left her home. Ms. Haglund saw him walk toward the main road after</w:t>
      </w:r>
      <w:r>
        <w:t xml:space="preserve"> </w:t>
      </w:r>
      <w:r w:rsidRPr="00B80244">
        <w:t>borrowing her lighter. The fire started in two or three spots and was lit on purpose.</w:t>
      </w:r>
      <w:r>
        <w:t xml:space="preserve"> </w:t>
      </w:r>
      <w:r w:rsidRPr="00B80244">
        <w:t>Mr. Boyer was covered with bleach, which can be used to manipulate evidence.</w:t>
      </w:r>
      <w:r>
        <w:t xml:space="preserve"> </w:t>
      </w:r>
      <w:r w:rsidRPr="00B80244">
        <w:t>Mr. Boyer discarded his bleach covered shirt before returning to his trailer. Contrary to</w:t>
      </w:r>
      <w:r>
        <w:t xml:space="preserve"> </w:t>
      </w:r>
      <w:r w:rsidRPr="00B80244">
        <w:t>Mr. Boyer’s story that his dogs ran away, officers found Mr. Boyer’s dogs nearby, and</w:t>
      </w:r>
      <w:r>
        <w:t xml:space="preserve"> </w:t>
      </w:r>
      <w:r w:rsidRPr="00B80244">
        <w:t>Mr. Boyer said they often got out and would come back. A jury could reasonably</w:t>
      </w:r>
      <w:r>
        <w:t xml:space="preserve"> </w:t>
      </w:r>
      <w:r w:rsidRPr="00B80244">
        <w:t>conclude that Mr. Boyer started the fire, let his dogs out, and used the fact they got out as</w:t>
      </w:r>
      <w:r>
        <w:t xml:space="preserve"> </w:t>
      </w:r>
      <w:r w:rsidRPr="00B80244">
        <w:t xml:space="preserve">a pretense to give the fire time to burn and give him time to leave the </w:t>
      </w:r>
      <w:proofErr w:type="gramStart"/>
      <w:r w:rsidRPr="00B80244">
        <w:t>scene</w:t>
      </w:r>
      <w:r>
        <w:t>.”</w:t>
      </w:r>
      <w:proofErr w:type="gramEnd"/>
      <w:r>
        <w:t xml:space="preserve">  </w:t>
      </w:r>
      <w:hyperlink r:id="rId50" w:history="1">
        <w:r w:rsidRPr="00E220D9">
          <w:rPr>
            <w:rStyle w:val="Hyperlink"/>
          </w:rPr>
          <w:t>https://cases.justia.com/wyoming/supreme-court/2025-s-24-0295.pdf?ts=1757689246</w:t>
        </w:r>
      </w:hyperlink>
      <w:r>
        <w:t xml:space="preserve"> </w:t>
      </w:r>
    </w:p>
    <w:p w14:paraId="33F0647C" w14:textId="77777777" w:rsidR="0044195B" w:rsidRDefault="0044195B" w:rsidP="0044195B">
      <w:r w:rsidRPr="00B511E1">
        <w:rPr>
          <w:b/>
        </w:rPr>
        <w:t>KEY FACTS</w:t>
      </w:r>
      <w:r>
        <w:t>:</w:t>
      </w:r>
    </w:p>
    <w:p w14:paraId="284BAF42" w14:textId="77777777" w:rsidR="0044195B" w:rsidRDefault="0044195B" w:rsidP="0044195B">
      <w:pPr>
        <w:pStyle w:val="NoSpacing"/>
        <w:ind w:firstLine="720"/>
      </w:pPr>
      <w:r>
        <w:t xml:space="preserve">“Mr. Boyer owned a trailer home located at 1605 </w:t>
      </w:r>
      <w:proofErr w:type="spellStart"/>
      <w:r>
        <w:t>Echeta</w:t>
      </w:r>
      <w:proofErr w:type="spellEnd"/>
      <w:r>
        <w:t xml:space="preserve"> Road, Lot 21 in Gillette.</w:t>
      </w:r>
    </w:p>
    <w:p w14:paraId="7A8F3204" w14:textId="77777777" w:rsidR="0044195B" w:rsidRDefault="0044195B" w:rsidP="0044195B">
      <w:pPr>
        <w:pStyle w:val="NoSpacing"/>
        <w:ind w:firstLine="720"/>
      </w:pPr>
      <w:r>
        <w:t>On the morning of August 2, 2022, Charlene Haglund was smoking a cigarette outside of</w:t>
      </w:r>
    </w:p>
    <w:p w14:paraId="627EC8C0" w14:textId="77777777" w:rsidR="0044195B" w:rsidRDefault="0044195B" w:rsidP="0044195B">
      <w:pPr>
        <w:pStyle w:val="NoSpacing"/>
        <w:ind w:firstLine="720"/>
      </w:pPr>
      <w:r>
        <w:t>her trailer home, directly across from Mr. Boyer’s trailer home. Mr. Boyer approached</w:t>
      </w:r>
    </w:p>
    <w:p w14:paraId="34E84CFC" w14:textId="77777777" w:rsidR="0044195B" w:rsidRDefault="0044195B" w:rsidP="0044195B">
      <w:pPr>
        <w:pStyle w:val="NoSpacing"/>
        <w:ind w:firstLine="720"/>
      </w:pPr>
      <w:r>
        <w:t xml:space="preserve">Ms. </w:t>
      </w:r>
      <w:proofErr w:type="gramStart"/>
      <w:r>
        <w:t>Haglund and</w:t>
      </w:r>
      <w:proofErr w:type="gramEnd"/>
      <w:r>
        <w:t xml:space="preserve"> asked if he could borrow her lighter. He lit his cigarette, made some</w:t>
      </w:r>
    </w:p>
    <w:p w14:paraId="4EDE3437" w14:textId="77777777" w:rsidR="0044195B" w:rsidRDefault="0044195B" w:rsidP="0044195B">
      <w:pPr>
        <w:pStyle w:val="NoSpacing"/>
        <w:ind w:firstLine="720"/>
      </w:pPr>
      <w:r>
        <w:t xml:space="preserve">small </w:t>
      </w:r>
      <w:proofErr w:type="gramStart"/>
      <w:r>
        <w:t>talk, and</w:t>
      </w:r>
      <w:proofErr w:type="gramEnd"/>
      <w:r>
        <w:t xml:space="preserve"> walked toward the main road. Ms. Haglund said Mr. Boyer was wearing a</w:t>
      </w:r>
    </w:p>
    <w:p w14:paraId="3D860590" w14:textId="77777777" w:rsidR="0044195B" w:rsidRDefault="0044195B" w:rsidP="0044195B">
      <w:pPr>
        <w:pStyle w:val="NoSpacing"/>
        <w:ind w:firstLine="720"/>
      </w:pPr>
      <w:r>
        <w:t>dark-colored polo shirt. About thirty minutes later, Ms. Haglund smelled and saw smoke</w:t>
      </w:r>
    </w:p>
    <w:p w14:paraId="59902826" w14:textId="77777777" w:rsidR="0044195B" w:rsidRDefault="0044195B" w:rsidP="0044195B">
      <w:pPr>
        <w:pStyle w:val="NoSpacing"/>
        <w:ind w:firstLine="720"/>
      </w:pPr>
      <w:r>
        <w:t>coming from Mr. Boyer’s trailer home. She had her boyfriend call 911 to report the</w:t>
      </w:r>
    </w:p>
    <w:p w14:paraId="0A61148C" w14:textId="77777777" w:rsidR="0044195B" w:rsidRDefault="0044195B" w:rsidP="0044195B">
      <w:pPr>
        <w:pStyle w:val="NoSpacing"/>
        <w:ind w:firstLine="720"/>
      </w:pPr>
      <w:r>
        <w:t>possible fire. Ms. Haglund did not see anyone else exit Mr. Boyer’s trailer that morning.</w:t>
      </w:r>
    </w:p>
    <w:p w14:paraId="495DF110" w14:textId="77777777" w:rsidR="0044195B" w:rsidRDefault="0044195B" w:rsidP="0044195B">
      <w:pPr>
        <w:pStyle w:val="NoSpacing"/>
        <w:ind w:firstLine="720"/>
      </w:pPr>
    </w:p>
    <w:p w14:paraId="33F5C11D" w14:textId="77777777" w:rsidR="0044195B" w:rsidRDefault="0044195B" w:rsidP="0044195B">
      <w:pPr>
        <w:pStyle w:val="NoSpacing"/>
        <w:ind w:left="720"/>
      </w:pPr>
      <w:r>
        <w:t xml:space="preserve">After leaving Ms. Haglund’s home, Mr. Boyer stopped at JB Auto Glass. Mr. Boyer was wearing shorts, flip-flops, and a black T-shirt. He had a dog with him. He asked Joseph Billington, owner of JB Auto Glass, if he could use the restroom. Mr. Billington gave him permission. Mr. Billington noticed a strong bleach odor coming from the restroom after Mr. Boyer finished using it. Mr. Boyer was covered in bleach when he came out of the restroom, and his shirt had bleach spot stains all over it. There was also bleach on his flip-flops. Mr. Billington asked Mr. Boyer what happened and if he was alright. Mr. Boyer told him not to worry about it. Mr. Boyer grabbed his dog and left on </w:t>
      </w:r>
      <w:proofErr w:type="gramStart"/>
      <w:r>
        <w:t>foot,</w:t>
      </w:r>
      <w:proofErr w:type="gramEnd"/>
      <w:r>
        <w:t xml:space="preserve"> in the opposite direction he came from. The bleach had been in a spray bottle. There was bleach on the floor when Mr. Billington went into the restroom afterwards.</w:t>
      </w:r>
    </w:p>
    <w:p w14:paraId="75FE4841" w14:textId="77777777" w:rsidR="0044195B" w:rsidRDefault="0044195B" w:rsidP="0044195B">
      <w:pPr>
        <w:pStyle w:val="NoSpacing"/>
        <w:ind w:left="720"/>
      </w:pPr>
    </w:p>
    <w:p w14:paraId="3726D3D5" w14:textId="77777777" w:rsidR="0044195B" w:rsidRDefault="0044195B" w:rsidP="0044195B">
      <w:pPr>
        <w:pStyle w:val="NoSpacing"/>
        <w:ind w:left="720"/>
      </w:pPr>
      <w:r>
        <w:t>***</w:t>
      </w:r>
    </w:p>
    <w:p w14:paraId="679973B5" w14:textId="77777777" w:rsidR="0044195B" w:rsidRDefault="0044195B" w:rsidP="0044195B">
      <w:pPr>
        <w:pStyle w:val="NoSpacing"/>
        <w:ind w:left="720"/>
      </w:pPr>
      <w:r>
        <w:t>Regarding the bleach, Mr. Boyer said the restroom at JB Auto Glass did not have</w:t>
      </w:r>
    </w:p>
    <w:p w14:paraId="04F8E516" w14:textId="77777777" w:rsidR="0044195B" w:rsidRDefault="0044195B" w:rsidP="0044195B">
      <w:pPr>
        <w:pStyle w:val="NoSpacing"/>
        <w:ind w:left="720"/>
      </w:pPr>
      <w:r>
        <w:lastRenderedPageBreak/>
        <w:t>soap or paper towels, but there was a bottle of 409 cleaning spray on the shelf. He</w:t>
      </w:r>
    </w:p>
    <w:p w14:paraId="5B7939E8" w14:textId="77777777" w:rsidR="0044195B" w:rsidRDefault="0044195B" w:rsidP="0044195B">
      <w:pPr>
        <w:pStyle w:val="NoSpacing"/>
        <w:ind w:left="720"/>
      </w:pPr>
      <w:r>
        <w:t>figured it was safe to use on hands and proceeded to wash his hands with it. He then</w:t>
      </w:r>
    </w:p>
    <w:p w14:paraId="54AF6CF8" w14:textId="77777777" w:rsidR="0044195B" w:rsidRDefault="0044195B" w:rsidP="0044195B">
      <w:pPr>
        <w:pStyle w:val="NoSpacing"/>
        <w:ind w:left="720"/>
      </w:pPr>
      <w:r>
        <w:t>dried his hands on his shirt. After he left the restroom, Mr. Boyer noticed he had bleach</w:t>
      </w:r>
    </w:p>
    <w:p w14:paraId="68F45150" w14:textId="77777777" w:rsidR="0044195B" w:rsidRDefault="0044195B" w:rsidP="0044195B">
      <w:pPr>
        <w:pStyle w:val="NoSpacing"/>
        <w:ind w:left="720"/>
      </w:pPr>
      <w:r>
        <w:t>stains all over his shirt and told Mr. Billington it “wasn’t a big deal.” While continuing</w:t>
      </w:r>
    </w:p>
    <w:p w14:paraId="7FE0677D" w14:textId="77777777" w:rsidR="0044195B" w:rsidRDefault="0044195B" w:rsidP="0044195B">
      <w:pPr>
        <w:pStyle w:val="NoSpacing"/>
        <w:ind w:left="720"/>
      </w:pPr>
      <w:r>
        <w:t>walking to Ms. Exley’s house, Mr. Boyer decided to throw away his shirt because it was</w:t>
      </w:r>
    </w:p>
    <w:p w14:paraId="5EEF2929" w14:textId="77777777" w:rsidR="0044195B" w:rsidRDefault="0044195B" w:rsidP="0044195B">
      <w:pPr>
        <w:pStyle w:val="NoSpacing"/>
        <w:ind w:left="720"/>
      </w:pPr>
      <w:r>
        <w:t>hot outside and it was a throwaway shirt he wore for work. According to Mr. Boyer, his</w:t>
      </w:r>
    </w:p>
    <w:p w14:paraId="180AE263" w14:textId="77777777" w:rsidR="0044195B" w:rsidRDefault="0044195B" w:rsidP="0044195B">
      <w:pPr>
        <w:pStyle w:val="NoSpacing"/>
        <w:ind w:left="720"/>
      </w:pPr>
      <w:r>
        <w:t>son gave him a gray tank top to wear.”</w:t>
      </w:r>
    </w:p>
    <w:p w14:paraId="749BB74B" w14:textId="77777777" w:rsidR="0044195B" w:rsidRDefault="0044195B" w:rsidP="0044195B">
      <w:pPr>
        <w:pStyle w:val="NoSpacing"/>
        <w:ind w:firstLine="720"/>
      </w:pPr>
    </w:p>
    <w:p w14:paraId="14D3B574" w14:textId="39E75D7D" w:rsidR="0044195B" w:rsidRPr="00815797" w:rsidRDefault="0044195B" w:rsidP="0044195B">
      <w:pPr>
        <w:pStyle w:val="NoSpacing"/>
        <w:rPr>
          <w:b/>
          <w:bCs/>
        </w:rPr>
      </w:pPr>
      <w:r>
        <w:rPr>
          <w:b/>
        </w:rPr>
        <w:t xml:space="preserve">Lesson learned:  Circumstantial evidence can lead to arson conviction. </w:t>
      </w:r>
    </w:p>
    <w:p w14:paraId="3D7CE79D" w14:textId="77777777" w:rsidR="0044195B" w:rsidRDefault="0044195B" w:rsidP="00F326E5">
      <w:pPr>
        <w:pStyle w:val="NoSpacing"/>
        <w:rPr>
          <w:rFonts w:ascii="Arial Black" w:hAnsi="Arial Black"/>
          <w:sz w:val="24"/>
          <w:szCs w:val="24"/>
        </w:rPr>
      </w:pPr>
    </w:p>
    <w:p w14:paraId="14BCFF23" w14:textId="556DE7C6"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1-18</w:t>
      </w:r>
      <w:r>
        <w:rPr>
          <w:rFonts w:ascii="Arial Black" w:hAnsi="Arial Black"/>
          <w:sz w:val="24"/>
          <w:szCs w:val="24"/>
        </w:rPr>
        <w:t>9</w:t>
      </w:r>
    </w:p>
    <w:p w14:paraId="7406034E" w14:textId="77777777" w:rsidR="00037CB8" w:rsidRDefault="00037CB8" w:rsidP="00F326E5">
      <w:pPr>
        <w:pStyle w:val="NoSpacing"/>
        <w:rPr>
          <w:rFonts w:ascii="Arial Black" w:hAnsi="Arial Black"/>
          <w:sz w:val="24"/>
          <w:szCs w:val="24"/>
        </w:rPr>
      </w:pPr>
    </w:p>
    <w:p w14:paraId="1DDDF586" w14:textId="77777777" w:rsidR="00037CB8" w:rsidRDefault="00037CB8" w:rsidP="00037CB8">
      <w:pPr>
        <w:rPr>
          <w:rFonts w:ascii="Arial Black" w:hAnsi="Arial Black"/>
          <w:sz w:val="28"/>
          <w:szCs w:val="28"/>
        </w:rPr>
      </w:pPr>
      <w:r>
        <w:rPr>
          <w:rFonts w:ascii="Arial Black" w:hAnsi="Arial Black"/>
          <w:sz w:val="28"/>
          <w:szCs w:val="28"/>
        </w:rPr>
        <w:t xml:space="preserve">SC: RESTAURANT $3.9M – GREASE FIRE – BATTLE EXPERTS </w:t>
      </w:r>
    </w:p>
    <w:p w14:paraId="6720D97D" w14:textId="77777777" w:rsidR="00037CB8" w:rsidRDefault="00037CB8" w:rsidP="00037CB8">
      <w:pPr>
        <w:pStyle w:val="NoSpacing"/>
      </w:pPr>
      <w:r>
        <w:t xml:space="preserve">On September 2, 2025, in </w:t>
      </w:r>
      <w:r w:rsidRPr="00AF68AC">
        <w:rPr>
          <w:u w:val="single"/>
        </w:rPr>
        <w:t>Axis Surplus Insurance Company v. Pye-Barker Fire and Safety, LLC</w:t>
      </w:r>
      <w:r>
        <w:t xml:space="preserve">, U.S. District Court Judge </w:t>
      </w:r>
      <w:r w:rsidRPr="00814051">
        <w:t>Richard Mark Gergel</w:t>
      </w:r>
      <w:r>
        <w:t xml:space="preserve">, United States District Court for the District of South Carolina (Charleston Division) held that most of the experts for both sides in this litigation may testify as experts under </w:t>
      </w:r>
      <w:r w:rsidRPr="009828B6">
        <w:rPr>
          <w:i/>
          <w:iCs/>
        </w:rPr>
        <w:t>Daubert v. Merrell Dow Pharm. Inc.</w:t>
      </w:r>
      <w:r w:rsidRPr="009828B6">
        <w:t>, 509 U.S. 579, 589 (1993)</w:t>
      </w:r>
      <w:r>
        <w:t xml:space="preserve">.  Case will </w:t>
      </w:r>
      <w:proofErr w:type="gramStart"/>
      <w:r>
        <w:t>no</w:t>
      </w:r>
      <w:proofErr w:type="gramEnd"/>
      <w:r>
        <w:t xml:space="preserve"> proceed to jury trial.  The plaintiff, Axis Surplus Insurance Company, provided</w:t>
      </w:r>
    </w:p>
    <w:p w14:paraId="72447902" w14:textId="77777777" w:rsidR="00037CB8" w:rsidRDefault="00037CB8" w:rsidP="00037CB8">
      <w:pPr>
        <w:pStyle w:val="NoSpacing"/>
      </w:pPr>
      <w:r>
        <w:t xml:space="preserve">insurance coverage for its insured, Hospitality Management Group, Inc., for </w:t>
      </w:r>
      <w:proofErr w:type="gramStart"/>
      <w:r>
        <w:t>damages</w:t>
      </w:r>
      <w:proofErr w:type="gramEnd"/>
      <w:r>
        <w:t xml:space="preserve"> suffered from a fire at one of Hospitality’s properties, Magnolias Restaurant, located in Charleston, South Carolina. Plaintiff reimbursed its insured </w:t>
      </w:r>
      <w:proofErr w:type="gramStart"/>
      <w:r>
        <w:t>in excess of</w:t>
      </w:r>
      <w:proofErr w:type="gramEnd"/>
      <w:r>
        <w:t xml:space="preserve"> $3.9 million for damages from the fire and was subrogated to its insured’s right of recovery against any at fault third party.</w:t>
      </w:r>
    </w:p>
    <w:p w14:paraId="47E33172" w14:textId="77777777" w:rsidR="00037CB8" w:rsidRDefault="00037CB8" w:rsidP="00037CB8">
      <w:pPr>
        <w:pStyle w:val="NoSpacing"/>
      </w:pPr>
    </w:p>
    <w:p w14:paraId="71ECB5A8" w14:textId="77777777" w:rsidR="00037CB8" w:rsidRDefault="00037CB8" w:rsidP="00037CB8">
      <w:pPr>
        <w:pStyle w:val="NoSpacing"/>
      </w:pPr>
      <w:r w:rsidRPr="00B71171">
        <w:rPr>
          <w:b/>
        </w:rPr>
        <w:t>THE COURT HELD:</w:t>
      </w:r>
      <w:r>
        <w:t xml:space="preserve"> “</w:t>
      </w:r>
      <w:r w:rsidRPr="00217646">
        <w:t xml:space="preserve">The bottom line is that both Plaintiff's and Defendant's experts have offered plausible explanations for the causes of the fire damage. The course of the Magnolias Restaurant fire and its impact on the fire suppression system are hotly contested by the parties, and there is circumstantial evidence sufficient to support both the Plaintiff's and Defendant's scenarios. Like many unwitnessed fire cases, the experts, often able and experienced, offer distinctly different opinions on critical issues </w:t>
      </w:r>
      <w:proofErr w:type="gramStart"/>
      <w:r w:rsidRPr="00217646">
        <w:t>of in</w:t>
      </w:r>
      <w:proofErr w:type="gramEnd"/>
      <w:r w:rsidRPr="00217646">
        <w:t xml:space="preserve"> the case. Under the present circumstances, a jury needs to hear the full case and determine which scenario more likely than not caused the extensive fire damage on August 7, 2021.</w:t>
      </w:r>
      <w:r>
        <w:t>”</w:t>
      </w:r>
    </w:p>
    <w:p w14:paraId="2101E6AB" w14:textId="77777777" w:rsidR="00037CB8" w:rsidRDefault="00037CB8" w:rsidP="00037CB8">
      <w:pPr>
        <w:pStyle w:val="NoSpacing"/>
      </w:pPr>
      <w:hyperlink r:id="rId51" w:history="1">
        <w:r w:rsidRPr="00494FBC">
          <w:rPr>
            <w:rStyle w:val="Hyperlink"/>
          </w:rPr>
          <w:t>https://cases.justia.com/federal/district-courts/south-carolina/scdce/2:2024cv02173/290787/65/0.pdf?ts=1756990440</w:t>
        </w:r>
      </w:hyperlink>
    </w:p>
    <w:p w14:paraId="60FAF2AE" w14:textId="77777777" w:rsidR="00037CB8" w:rsidRDefault="00037CB8" w:rsidP="00037CB8">
      <w:pPr>
        <w:pStyle w:val="NoSpacing"/>
      </w:pPr>
    </w:p>
    <w:p w14:paraId="163CDEC5" w14:textId="77777777" w:rsidR="00037CB8" w:rsidRPr="00B71171" w:rsidRDefault="00037CB8" w:rsidP="00037CB8">
      <w:pPr>
        <w:pStyle w:val="NoSpacing"/>
        <w:rPr>
          <w:b/>
          <w:bCs/>
        </w:rPr>
      </w:pPr>
      <w:r w:rsidRPr="00B71171">
        <w:rPr>
          <w:b/>
        </w:rPr>
        <w:t xml:space="preserve">KEY FACTS: </w:t>
      </w:r>
    </w:p>
    <w:p w14:paraId="383AF213" w14:textId="77777777" w:rsidR="00037CB8" w:rsidRDefault="00037CB8" w:rsidP="00037CB8">
      <w:pPr>
        <w:pStyle w:val="NoSpacing"/>
      </w:pPr>
    </w:p>
    <w:p w14:paraId="486599D2" w14:textId="77777777" w:rsidR="00037CB8" w:rsidRDefault="00037CB8" w:rsidP="00037CB8">
      <w:pPr>
        <w:pStyle w:val="NoSpacing"/>
        <w:ind w:firstLine="720"/>
      </w:pPr>
      <w:r>
        <w:t>“This action was brought by Plaintiff Axis Surplus Insurance Company, which provided</w:t>
      </w:r>
    </w:p>
    <w:p w14:paraId="7CCADBBC" w14:textId="77777777" w:rsidR="00037CB8" w:rsidRDefault="00037CB8" w:rsidP="00037CB8">
      <w:pPr>
        <w:pStyle w:val="NoSpacing"/>
        <w:ind w:left="720"/>
      </w:pPr>
      <w:r>
        <w:t xml:space="preserve">insurance coverage for its insured, Hospitality Management Group, Inc., for </w:t>
      </w:r>
      <w:proofErr w:type="gramStart"/>
      <w:r>
        <w:t>damages</w:t>
      </w:r>
      <w:proofErr w:type="gramEnd"/>
      <w:r>
        <w:t xml:space="preserve"> suffered from a fire at one of Hospitality’s properties, Magnolias Restaurant, located in Charleston, South Carolina. Plaintiff reimbursed its insured </w:t>
      </w:r>
      <w:proofErr w:type="gramStart"/>
      <w:r>
        <w:t>in excess of</w:t>
      </w:r>
      <w:proofErr w:type="gramEnd"/>
      <w:r>
        <w:t xml:space="preserve"> $3.9 million for damages from the fire and was subrogated to its insured’s right of recovery against any at fault third party. Plaintiff sued Defendant for negligence and breach of contract related to the performance of its duties to inspect, test, and maintain a fire suppression system, which Plaintiff alleges failed to properly operate to suppress the fire.</w:t>
      </w:r>
    </w:p>
    <w:p w14:paraId="0D5CC252" w14:textId="77777777" w:rsidR="00037CB8" w:rsidRDefault="00037CB8" w:rsidP="00037CB8">
      <w:pPr>
        <w:pStyle w:val="NoSpacing"/>
      </w:pPr>
    </w:p>
    <w:p w14:paraId="3A97838E" w14:textId="77777777" w:rsidR="00037CB8" w:rsidRDefault="00037CB8" w:rsidP="00037CB8">
      <w:pPr>
        <w:pStyle w:val="NoSpacing"/>
        <w:ind w:firstLine="720"/>
      </w:pPr>
      <w:r>
        <w:t>The Magnolia’s Restaurant fire occurred in the early morning hours on August 7, 2021.</w:t>
      </w:r>
    </w:p>
    <w:p w14:paraId="619EA82A" w14:textId="77777777" w:rsidR="00037CB8" w:rsidRDefault="00037CB8" w:rsidP="00037CB8">
      <w:pPr>
        <w:pStyle w:val="NoSpacing"/>
        <w:ind w:left="720"/>
      </w:pPr>
      <w:r>
        <w:t xml:space="preserve">There were no eyewitnesses to the outbreak of the fire. The parties agree that the fire began when a restaurant employee left a plastic dish rack on a </w:t>
      </w:r>
      <w:proofErr w:type="gramStart"/>
      <w:r>
        <w:t>two burner</w:t>
      </w:r>
      <w:proofErr w:type="gramEnd"/>
      <w:r>
        <w:t xml:space="preserve"> range in the prep kitchen, which subsequently melted from the heat of the burner range’s pilot light. Beyond that fact, the parties and their experts disagree about whether the fire suppression system failed due to improper maintenance by the Defendant (Plaintiff’s view) or whether excess grease near the burner range ignited and produced a massive fire outside the area of the fire suppression system (Defendant’s view).</w:t>
      </w:r>
    </w:p>
    <w:p w14:paraId="1EA63B56" w14:textId="77777777" w:rsidR="00037CB8" w:rsidRDefault="00037CB8" w:rsidP="00037CB8">
      <w:pPr>
        <w:pStyle w:val="NoSpacing"/>
        <w:ind w:left="720"/>
      </w:pPr>
    </w:p>
    <w:p w14:paraId="6A3F112E" w14:textId="77777777" w:rsidR="00037CB8" w:rsidRDefault="00037CB8" w:rsidP="00037CB8">
      <w:pPr>
        <w:pStyle w:val="NoSpacing"/>
        <w:ind w:left="720"/>
      </w:pPr>
      <w:r>
        <w:t>***</w:t>
      </w:r>
    </w:p>
    <w:p w14:paraId="108301BB" w14:textId="77777777" w:rsidR="00037CB8" w:rsidRDefault="00037CB8" w:rsidP="00037CB8">
      <w:pPr>
        <w:pStyle w:val="NoSpacing"/>
        <w:ind w:left="720"/>
      </w:pPr>
      <w:r>
        <w:t>Plaintiff’s expert, Daniel Arnold, is a professional engineer who has four decades of</w:t>
      </w:r>
    </w:p>
    <w:p w14:paraId="0CE62B9E" w14:textId="77777777" w:rsidR="00037CB8" w:rsidRDefault="00037CB8" w:rsidP="00037CB8">
      <w:pPr>
        <w:pStyle w:val="NoSpacing"/>
        <w:ind w:left="720"/>
      </w:pPr>
      <w:r>
        <w:lastRenderedPageBreak/>
        <w:t>experience in fire protection engineering and design of fire suppression systems. (</w:t>
      </w:r>
      <w:proofErr w:type="spellStart"/>
      <w:r>
        <w:t>Dkt</w:t>
      </w:r>
      <w:proofErr w:type="spellEnd"/>
      <w:r>
        <w:t xml:space="preserve">. No. 43-1 at 19-20). Arnold opines that the restaurant’s fire suppression system, which was designed to disperse a chemical retardant to suppress a fire, failed because Defendant improperly placed a critical piece of the system known as the fusible link. Arnold further opines that had the suppression system performed properly, the August 21, </w:t>
      </w:r>
      <w:proofErr w:type="gramStart"/>
      <w:r>
        <w:t>2025</w:t>
      </w:r>
      <w:proofErr w:type="gramEnd"/>
      <w:r>
        <w:t xml:space="preserve"> fire would </w:t>
      </w:r>
      <w:proofErr w:type="gramStart"/>
      <w:r>
        <w:t>have been</w:t>
      </w:r>
      <w:proofErr w:type="gramEnd"/>
      <w:r>
        <w:t xml:space="preserve"> caused only limited damage in the immediate area of the </w:t>
      </w:r>
      <w:proofErr w:type="gramStart"/>
      <w:r>
        <w:t>two burner</w:t>
      </w:r>
      <w:proofErr w:type="gramEnd"/>
      <w:r>
        <w:t xml:space="preserve"> range. (Id. at 15).</w:t>
      </w:r>
    </w:p>
    <w:p w14:paraId="75240737" w14:textId="77777777" w:rsidR="00037CB8" w:rsidRDefault="00037CB8" w:rsidP="00037CB8">
      <w:pPr>
        <w:pStyle w:val="NoSpacing"/>
        <w:ind w:left="720"/>
      </w:pPr>
      <w:r>
        <w:t>***</w:t>
      </w:r>
    </w:p>
    <w:p w14:paraId="0235B961" w14:textId="77777777" w:rsidR="00037CB8" w:rsidRDefault="00037CB8" w:rsidP="00037CB8">
      <w:pPr>
        <w:pStyle w:val="NoSpacing"/>
        <w:ind w:left="720"/>
      </w:pPr>
      <w:r w:rsidRPr="009F5ECF">
        <w:t>Defendant’s expert Jeffrey Berino is a fire origin and cause investigator with forty years of</w:t>
      </w:r>
      <w:r>
        <w:t xml:space="preserve"> </w:t>
      </w:r>
      <w:r w:rsidRPr="009F5ECF">
        <w:t>experience as a firefighter and significant experience investigating fires. (</w:t>
      </w:r>
      <w:proofErr w:type="spellStart"/>
      <w:r w:rsidRPr="009F5ECF">
        <w:t>Dkt</w:t>
      </w:r>
      <w:proofErr w:type="spellEnd"/>
      <w:r w:rsidRPr="009F5ECF">
        <w:t>. No. 46-2 at 2-6).</w:t>
      </w:r>
      <w:r>
        <w:t xml:space="preserve"> </w:t>
      </w:r>
      <w:r w:rsidRPr="009F5ECF">
        <w:t>Berino opines that the fire was initially caused by a restaurant employee leaving a plastic object</w:t>
      </w:r>
      <w:r>
        <w:t xml:space="preserve"> </w:t>
      </w:r>
      <w:r w:rsidRPr="009F5ECF">
        <w:t xml:space="preserve">on a </w:t>
      </w:r>
      <w:proofErr w:type="gramStart"/>
      <w:r w:rsidRPr="009F5ECF">
        <w:t>two burner</w:t>
      </w:r>
      <w:proofErr w:type="gramEnd"/>
      <w:r w:rsidRPr="009F5ECF">
        <w:t xml:space="preserve"> range and the melted plastic ignited extensive grease residue and deposits on the</w:t>
      </w:r>
      <w:r>
        <w:t xml:space="preserve"> </w:t>
      </w:r>
      <w:r w:rsidRPr="009F5ECF">
        <w:t>floor and in the nearby area. Berino further opines that the fire from the ignited grease migrated</w:t>
      </w:r>
      <w:r>
        <w:t xml:space="preserve"> </w:t>
      </w:r>
      <w:r w:rsidRPr="009F5ECF">
        <w:t>to the area of fire suppression system’s control box, which caused the system to fail. (Id. at 18-19).</w:t>
      </w:r>
    </w:p>
    <w:p w14:paraId="62155D08" w14:textId="77777777" w:rsidR="00037CB8" w:rsidRDefault="00037CB8" w:rsidP="00037CB8">
      <w:pPr>
        <w:pStyle w:val="NoSpacing"/>
        <w:ind w:left="720"/>
      </w:pPr>
    </w:p>
    <w:p w14:paraId="689EEED9" w14:textId="77777777" w:rsidR="00037CB8" w:rsidRDefault="00037CB8" w:rsidP="00037CB8">
      <w:pPr>
        <w:pStyle w:val="NoSpacing"/>
        <w:ind w:left="720"/>
      </w:pPr>
      <w:r>
        <w:t>***</w:t>
      </w:r>
    </w:p>
    <w:p w14:paraId="343DDDBD" w14:textId="77777777" w:rsidR="00037CB8" w:rsidRDefault="00037CB8" w:rsidP="00037CB8">
      <w:pPr>
        <w:pStyle w:val="NoSpacing"/>
        <w:ind w:left="720"/>
      </w:pPr>
      <w:r>
        <w:t xml:space="preserve">The Court finds that the testimony of the parties’ respective expert witnesses </w:t>
      </w:r>
      <w:proofErr w:type="gramStart"/>
      <w:r>
        <w:t>meet</w:t>
      </w:r>
      <w:proofErr w:type="gramEnd"/>
      <w:r>
        <w:t xml:space="preserve"> Rule</w:t>
      </w:r>
    </w:p>
    <w:p w14:paraId="44706C82" w14:textId="77777777" w:rsidR="00037CB8" w:rsidRPr="009F5ECF" w:rsidRDefault="00037CB8" w:rsidP="00037CB8">
      <w:pPr>
        <w:pStyle w:val="NoSpacing"/>
        <w:ind w:left="720"/>
      </w:pPr>
      <w:r>
        <w:t>702 standards and should not be excluded under Rule 403.”</w:t>
      </w:r>
    </w:p>
    <w:p w14:paraId="27FF90B1" w14:textId="77777777" w:rsidR="00037CB8" w:rsidRDefault="00037CB8" w:rsidP="00037CB8">
      <w:pPr>
        <w:pStyle w:val="NoSpacing"/>
        <w:ind w:left="720"/>
      </w:pPr>
    </w:p>
    <w:p w14:paraId="125EAB7F" w14:textId="5B00D54C" w:rsidR="00037CB8" w:rsidRDefault="00037CB8" w:rsidP="00037CB8">
      <w:pPr>
        <w:pStyle w:val="NoSpacing"/>
        <w:rPr>
          <w:b/>
          <w:bCs/>
        </w:rPr>
      </w:pPr>
      <w:r>
        <w:rPr>
          <w:b/>
        </w:rPr>
        <w:t xml:space="preserve">Lesson learned:  The case may now go to a jury, where the experts can testify.  </w:t>
      </w:r>
    </w:p>
    <w:p w14:paraId="54E5EEC4" w14:textId="77777777" w:rsidR="00037CB8" w:rsidRDefault="00037CB8" w:rsidP="00037CB8">
      <w:pPr>
        <w:pStyle w:val="NoSpacing"/>
        <w:rPr>
          <w:b/>
          <w:bCs/>
        </w:rPr>
      </w:pPr>
    </w:p>
    <w:p w14:paraId="1405C7EC" w14:textId="77777777" w:rsidR="00037CB8" w:rsidRPr="00AE45BD" w:rsidRDefault="00037CB8" w:rsidP="00037CB8">
      <w:pPr>
        <w:pStyle w:val="NoSpacing"/>
        <w:ind w:left="720"/>
      </w:pPr>
      <w:r w:rsidRPr="00AE45BD">
        <w:t xml:space="preserve">Note: Under Federal Rule of Evidence 702, the Court acts as a gatekeeper “to verify that expert testimony is based on sufficient facts or data” The expert testimony must be shown to be “not only relevant, but reliable.’ </w:t>
      </w:r>
      <w:r w:rsidRPr="00AE45BD">
        <w:rPr>
          <w:i/>
          <w:iCs/>
        </w:rPr>
        <w:t>Daubert v. Merrell Dow Pharm. Inc.</w:t>
      </w:r>
      <w:r w:rsidRPr="00AE45BD">
        <w:t xml:space="preserve">, 509 U.S. 579, 589 (1993). </w:t>
      </w:r>
    </w:p>
    <w:p w14:paraId="4518E214" w14:textId="77777777" w:rsidR="00B232CB" w:rsidRDefault="00B232CB" w:rsidP="00F326E5">
      <w:pPr>
        <w:pStyle w:val="NoSpacing"/>
        <w:rPr>
          <w:rFonts w:ascii="Arial Black" w:hAnsi="Arial Black"/>
          <w:sz w:val="24"/>
          <w:szCs w:val="24"/>
        </w:rPr>
      </w:pPr>
    </w:p>
    <w:p w14:paraId="0A2C64CD" w14:textId="77777777" w:rsidR="00B232CB" w:rsidRDefault="00B232CB" w:rsidP="00F326E5">
      <w:pPr>
        <w:pStyle w:val="NoSpacing"/>
        <w:rPr>
          <w:rFonts w:ascii="Arial Black" w:hAnsi="Arial Black"/>
          <w:sz w:val="24"/>
          <w:szCs w:val="24"/>
        </w:rPr>
      </w:pPr>
    </w:p>
    <w:p w14:paraId="3212F1C8" w14:textId="77777777" w:rsidR="00B232CB" w:rsidRDefault="00B232CB" w:rsidP="00F326E5">
      <w:pPr>
        <w:pStyle w:val="NoSpacing"/>
        <w:rPr>
          <w:rFonts w:ascii="Arial Black" w:hAnsi="Arial Black"/>
          <w:sz w:val="24"/>
          <w:szCs w:val="24"/>
        </w:rPr>
      </w:pPr>
    </w:p>
    <w:p w14:paraId="6B856FB4" w14:textId="23709BBA" w:rsidR="00E24913" w:rsidRPr="00E24913" w:rsidRDefault="00E24913" w:rsidP="00F326E5">
      <w:pPr>
        <w:pStyle w:val="NoSpacing"/>
        <w:rPr>
          <w:rFonts w:ascii="Arial Black" w:hAnsi="Arial Black"/>
          <w:sz w:val="24"/>
          <w:szCs w:val="24"/>
        </w:rPr>
      </w:pPr>
      <w:r w:rsidRPr="00E24913">
        <w:rPr>
          <w:rFonts w:ascii="Arial Black" w:hAnsi="Arial Black"/>
          <w:sz w:val="24"/>
          <w:szCs w:val="24"/>
        </w:rPr>
        <w:t>1-188</w:t>
      </w:r>
    </w:p>
    <w:p w14:paraId="0CABC036" w14:textId="77777777" w:rsidR="00AC44B8" w:rsidRDefault="00AC44B8" w:rsidP="00B86628">
      <w:pPr>
        <w:pStyle w:val="NoSpacing"/>
        <w:rPr>
          <w:rFonts w:ascii="Arial Black" w:hAnsi="Arial Black"/>
          <w:sz w:val="24"/>
          <w:szCs w:val="24"/>
        </w:rPr>
      </w:pPr>
    </w:p>
    <w:p w14:paraId="0ADF7975" w14:textId="77777777" w:rsidR="00421D18" w:rsidRDefault="00421D18" w:rsidP="00421D18">
      <w:pPr>
        <w:rPr>
          <w:rFonts w:ascii="Arial Black" w:hAnsi="Arial Black"/>
          <w:b/>
          <w:sz w:val="28"/>
          <w:szCs w:val="28"/>
        </w:rPr>
      </w:pPr>
      <w:r>
        <w:rPr>
          <w:rFonts w:ascii="Arial Black" w:hAnsi="Arial Black"/>
          <w:b/>
          <w:sz w:val="28"/>
          <w:szCs w:val="28"/>
        </w:rPr>
        <w:t xml:space="preserve">FL: EXPERT QUAL - BUTANE “MOSQUITOE SHIELD” FIRE </w:t>
      </w:r>
    </w:p>
    <w:p w14:paraId="3A4341D7" w14:textId="36A3B283" w:rsidR="00421D18" w:rsidRPr="0092209D" w:rsidRDefault="00421D18" w:rsidP="00421D18">
      <w:pPr>
        <w:rPr>
          <w:rFonts w:ascii="Times New Roman" w:hAnsi="Times New Roman"/>
          <w:sz w:val="24"/>
          <w:szCs w:val="24"/>
        </w:rPr>
      </w:pPr>
      <w:r w:rsidRPr="0092209D">
        <w:rPr>
          <w:rFonts w:ascii="Times New Roman" w:hAnsi="Times New Roman"/>
          <w:sz w:val="24"/>
          <w:szCs w:val="24"/>
        </w:rPr>
        <w:t xml:space="preserve">On July 28, 2025, in </w:t>
      </w:r>
      <w:r w:rsidRPr="0092209D">
        <w:rPr>
          <w:rFonts w:ascii="Times New Roman" w:hAnsi="Times New Roman"/>
          <w:sz w:val="24"/>
          <w:szCs w:val="24"/>
          <w:u w:val="single"/>
        </w:rPr>
        <w:t>Jacqueline Flynn v. Thermal Repellents, Inc. and Lowe’s Home Centers, LLC</w:t>
      </w:r>
      <w:r w:rsidRPr="0092209D">
        <w:rPr>
          <w:rFonts w:ascii="Times New Roman" w:hAnsi="Times New Roman"/>
          <w:sz w:val="24"/>
          <w:szCs w:val="24"/>
        </w:rPr>
        <w:t>, U.S. District Court Judge Paul G. Byron, United States District Court for Middle District of Florida (Orlando Division) denied the defense motion to exclude the testimony of Plaintiff’s cause and origin expert, Mr. Patrick B. Dugan, CFI concerning porch fire in 2021.  The expert followed 921, Guide for Fire and Explosion Investigations.  The lawsuit  involves a “</w:t>
      </w:r>
      <w:proofErr w:type="spellStart"/>
      <w:r w:rsidRPr="0092209D">
        <w:rPr>
          <w:rFonts w:ascii="Times New Roman" w:hAnsi="Times New Roman"/>
          <w:sz w:val="24"/>
          <w:szCs w:val="24"/>
        </w:rPr>
        <w:t>Thermacell</w:t>
      </w:r>
      <w:proofErr w:type="spellEnd"/>
      <w:r w:rsidRPr="0092209D">
        <w:rPr>
          <w:rFonts w:ascii="Times New Roman" w:hAnsi="Times New Roman"/>
          <w:sz w:val="24"/>
          <w:szCs w:val="24"/>
        </w:rPr>
        <w:t xml:space="preserve"> Patio Shield” – per Lowe’s advertisement, it “provides a 15 - foot zone of protection against mosquitoes” and is “powered by a butane cartridge, so you never need to plug in to charge or use batteries to repel mosquitoes.”</w:t>
      </w:r>
      <w:r w:rsidRPr="0092209D">
        <w:rPr>
          <w:rFonts w:ascii="Times New Roman" w:hAnsi="Times New Roman"/>
          <w:b/>
          <w:sz w:val="24"/>
          <w:szCs w:val="24"/>
        </w:rPr>
        <w:t xml:space="preserve"> </w:t>
      </w:r>
      <w:r w:rsidRPr="0092209D">
        <w:rPr>
          <w:rFonts w:ascii="Times New Roman" w:hAnsi="Times New Roman"/>
          <w:sz w:val="24"/>
          <w:szCs w:val="24"/>
        </w:rPr>
        <w:t xml:space="preserve">Plaintiff purchased the </w:t>
      </w:r>
      <w:proofErr w:type="spellStart"/>
      <w:r w:rsidRPr="0092209D">
        <w:rPr>
          <w:rFonts w:ascii="Times New Roman" w:hAnsi="Times New Roman"/>
          <w:sz w:val="24"/>
          <w:szCs w:val="24"/>
        </w:rPr>
        <w:t>Thermacell</w:t>
      </w:r>
      <w:proofErr w:type="spellEnd"/>
      <w:r w:rsidRPr="0092209D">
        <w:rPr>
          <w:rFonts w:ascii="Times New Roman" w:hAnsi="Times New Roman"/>
          <w:sz w:val="24"/>
          <w:szCs w:val="24"/>
        </w:rPr>
        <w:t xml:space="preserve"> Patio Shield from Lowe’s, arriving home around 5:30 </w:t>
      </w:r>
      <w:proofErr w:type="spellStart"/>
      <w:r w:rsidRPr="0092209D">
        <w:rPr>
          <w:rFonts w:ascii="Times New Roman" w:hAnsi="Times New Roman"/>
          <w:sz w:val="24"/>
          <w:szCs w:val="24"/>
        </w:rPr>
        <w:t>p.m</w:t>
      </w:r>
      <w:proofErr w:type="spellEnd"/>
      <w:r w:rsidRPr="0092209D">
        <w:rPr>
          <w:rFonts w:ascii="Times New Roman" w:hAnsi="Times New Roman"/>
          <w:sz w:val="24"/>
          <w:szCs w:val="24"/>
        </w:rPr>
        <w:t xml:space="preserve">, and around 7:15 p.m., after her son set up the device, Ms. Flynn placed it on a glass-topped wicker table on the second-floor balcony and turned it on.  She went downstairs to prepare dinner for her family, and </w:t>
      </w:r>
      <w:proofErr w:type="spellStart"/>
      <w:r w:rsidRPr="0092209D">
        <w:rPr>
          <w:rFonts w:ascii="Times New Roman" w:hAnsi="Times New Roman"/>
          <w:sz w:val="24"/>
          <w:szCs w:val="24"/>
        </w:rPr>
        <w:t>aound</w:t>
      </w:r>
      <w:proofErr w:type="spellEnd"/>
      <w:r w:rsidRPr="0092209D">
        <w:rPr>
          <w:rFonts w:ascii="Times New Roman" w:hAnsi="Times New Roman"/>
          <w:sz w:val="24"/>
          <w:szCs w:val="24"/>
        </w:rPr>
        <w:t xml:space="preserve"> 8:00 p.m., someone saw flames or an orange glow outside. When she went to investigate, Ms. Flynn saw flames coming from the second-floor balcony. THE COURT HELD: “Mr. Dugan’s investigation and analysis easily satisfy </w:t>
      </w:r>
      <w:r w:rsidRPr="0092209D">
        <w:rPr>
          <w:rFonts w:ascii="Times New Roman" w:hAnsi="Times New Roman"/>
          <w:i/>
          <w:iCs/>
          <w:sz w:val="24"/>
          <w:szCs w:val="24"/>
        </w:rPr>
        <w:t>Daubert’s</w:t>
      </w:r>
      <w:r w:rsidRPr="0092209D">
        <w:rPr>
          <w:rFonts w:ascii="Times New Roman" w:hAnsi="Times New Roman"/>
          <w:sz w:val="24"/>
          <w:szCs w:val="24"/>
        </w:rPr>
        <w:t xml:space="preserve"> mandate that an expert employ a ‘sufficiently reliable’ methodology. His opinions are based on sufficient facts and data; he does not unjustifiably extrapolate his research to reach an unfounded conclusion; he considered—and ruled out—contradictory data (other known ignition sources); his analysis is based on objective data including burn patterns, weather, timing, and available ignition sources, and Mr. Dugan is as careful as an expert would be in conducting professional work outside the context of paid litigation.”</w:t>
      </w:r>
      <w:r w:rsidR="00802D6B" w:rsidRPr="0092209D">
        <w:rPr>
          <w:rFonts w:ascii="Times New Roman" w:hAnsi="Times New Roman"/>
          <w:sz w:val="24"/>
          <w:szCs w:val="24"/>
        </w:rPr>
        <w:t xml:space="preserve"> </w:t>
      </w:r>
      <w:hyperlink r:id="rId52" w:history="1">
        <w:r w:rsidR="0092209D" w:rsidRPr="0092209D">
          <w:rPr>
            <w:rStyle w:val="Hyperlink"/>
            <w:rFonts w:ascii="Times New Roman" w:hAnsi="Times New Roman"/>
            <w:sz w:val="24"/>
            <w:szCs w:val="24"/>
          </w:rPr>
          <w:t>https://ecf.flmd.uscourts.gov/cgi-bin/show_public_doc?2023-01890-113-6-cv</w:t>
        </w:r>
      </w:hyperlink>
    </w:p>
    <w:p w14:paraId="223F1C1E" w14:textId="655FA1E5" w:rsidR="0092209D" w:rsidRPr="0092209D" w:rsidRDefault="0092209D" w:rsidP="0092209D">
      <w:pPr>
        <w:pStyle w:val="NoSpacing"/>
        <w:rPr>
          <w:rFonts w:ascii="Times New Roman" w:hAnsi="Times New Roman"/>
          <w:b/>
          <w:sz w:val="24"/>
          <w:szCs w:val="24"/>
        </w:rPr>
      </w:pPr>
      <w:r w:rsidRPr="0092209D">
        <w:rPr>
          <w:rFonts w:ascii="Times New Roman" w:hAnsi="Times New Roman"/>
          <w:b/>
          <w:sz w:val="24"/>
          <w:szCs w:val="24"/>
        </w:rPr>
        <w:t xml:space="preserve">Lesson learned:  The expert followed NFPA 921, Guide for Fire and Explosions Investigations. </w:t>
      </w:r>
    </w:p>
    <w:p w14:paraId="6A267A05" w14:textId="77777777" w:rsidR="0092209D" w:rsidRPr="0092209D" w:rsidRDefault="0092209D" w:rsidP="0092209D">
      <w:pPr>
        <w:pStyle w:val="NoSpacing"/>
        <w:rPr>
          <w:rFonts w:ascii="Times New Roman" w:hAnsi="Times New Roman"/>
          <w:b/>
          <w:sz w:val="24"/>
          <w:szCs w:val="24"/>
        </w:rPr>
      </w:pPr>
    </w:p>
    <w:p w14:paraId="61240AD3" w14:textId="77777777" w:rsidR="0092209D" w:rsidRPr="0092209D" w:rsidRDefault="0092209D" w:rsidP="0092209D">
      <w:pPr>
        <w:pStyle w:val="NoSpacing"/>
        <w:ind w:left="720"/>
        <w:rPr>
          <w:rFonts w:ascii="Times New Roman" w:hAnsi="Times New Roman"/>
          <w:bCs/>
          <w:sz w:val="24"/>
          <w:szCs w:val="24"/>
        </w:rPr>
      </w:pPr>
      <w:r w:rsidRPr="0092209D">
        <w:rPr>
          <w:rFonts w:ascii="Times New Roman" w:hAnsi="Times New Roman"/>
          <w:sz w:val="24"/>
          <w:szCs w:val="24"/>
        </w:rPr>
        <w:t xml:space="preserve">Note: See the U.S. Supreme Court decision in </w:t>
      </w:r>
      <w:r w:rsidRPr="0092209D">
        <w:rPr>
          <w:rFonts w:ascii="Times New Roman" w:hAnsi="Times New Roman"/>
          <w:sz w:val="24"/>
          <w:szCs w:val="24"/>
          <w:u w:val="single"/>
        </w:rPr>
        <w:t>Daubert v. Merrell Dow Pharmaceuticals, Inc.,</w:t>
      </w:r>
      <w:r w:rsidRPr="0092209D">
        <w:rPr>
          <w:rFonts w:ascii="Times New Roman" w:hAnsi="Times New Roman"/>
          <w:sz w:val="24"/>
          <w:szCs w:val="24"/>
        </w:rPr>
        <w:t xml:space="preserve"> 509 U.S. 579 (1993); </w:t>
      </w:r>
      <w:hyperlink r:id="rId53" w:history="1">
        <w:r w:rsidRPr="0092209D">
          <w:rPr>
            <w:rStyle w:val="Hyperlink"/>
            <w:rFonts w:ascii="Times New Roman" w:hAnsi="Times New Roman"/>
            <w:sz w:val="24"/>
            <w:szCs w:val="24"/>
          </w:rPr>
          <w:t>https://supreme.justia.com/cases/federal/us/509/579/</w:t>
        </w:r>
      </w:hyperlink>
      <w:r w:rsidRPr="0092209D">
        <w:rPr>
          <w:rFonts w:ascii="Times New Roman" w:hAnsi="Times New Roman"/>
          <w:sz w:val="24"/>
          <w:szCs w:val="24"/>
        </w:rPr>
        <w:t xml:space="preserve"> </w:t>
      </w:r>
    </w:p>
    <w:p w14:paraId="3EC027E7" w14:textId="77777777" w:rsidR="0092209D" w:rsidRPr="0092209D" w:rsidRDefault="0092209D" w:rsidP="0092209D">
      <w:pPr>
        <w:pStyle w:val="NoSpacing"/>
        <w:ind w:left="720"/>
        <w:rPr>
          <w:rFonts w:ascii="Times New Roman" w:hAnsi="Times New Roman"/>
          <w:sz w:val="24"/>
          <w:szCs w:val="24"/>
        </w:rPr>
      </w:pPr>
      <w:r w:rsidRPr="0092209D">
        <w:rPr>
          <w:rFonts w:ascii="Times New Roman" w:hAnsi="Times New Roman"/>
          <w:sz w:val="24"/>
          <w:szCs w:val="24"/>
        </w:rPr>
        <w:t>“An expert may testify about scientific knowledge that assists the jury in understanding the evidence or determining a fact in issue in the case. Factors that a judge should consider include whether the theory or technique in question can be and has been tested, whether it has been subjected to peer review and publication, its known or potential error rate, the existence and maintenance of standards controlling its operation, and whether it is widely accepted in the relevant scientific community.</w:t>
      </w:r>
    </w:p>
    <w:p w14:paraId="6CC7AE4B" w14:textId="77777777" w:rsidR="0092209D" w:rsidRDefault="0092209D" w:rsidP="0092209D">
      <w:pPr>
        <w:rPr>
          <w:b/>
        </w:rPr>
      </w:pPr>
    </w:p>
    <w:p w14:paraId="478F877B" w14:textId="7D91A566" w:rsidR="0092209D" w:rsidRPr="00E24913" w:rsidRDefault="00E24913" w:rsidP="00421D18">
      <w:pPr>
        <w:rPr>
          <w:rFonts w:ascii="Arial Black" w:hAnsi="Arial Black"/>
          <w:bCs/>
          <w:sz w:val="24"/>
          <w:szCs w:val="24"/>
        </w:rPr>
      </w:pPr>
      <w:r w:rsidRPr="00E24913">
        <w:rPr>
          <w:rFonts w:ascii="Arial Black" w:hAnsi="Arial Black"/>
          <w:bCs/>
          <w:sz w:val="24"/>
          <w:szCs w:val="24"/>
        </w:rPr>
        <w:t>1-187</w:t>
      </w:r>
    </w:p>
    <w:p w14:paraId="1D12AF6F" w14:textId="77777777" w:rsidR="009A7014" w:rsidRDefault="009A7014" w:rsidP="009A7014">
      <w:pPr>
        <w:pStyle w:val="NoSpacing"/>
        <w:rPr>
          <w:rFonts w:ascii="Arial Black" w:hAnsi="Arial Black"/>
          <w:sz w:val="28"/>
          <w:szCs w:val="28"/>
        </w:rPr>
      </w:pPr>
      <w:r>
        <w:rPr>
          <w:rFonts w:ascii="Arial Black" w:hAnsi="Arial Black"/>
          <w:sz w:val="28"/>
          <w:szCs w:val="28"/>
        </w:rPr>
        <w:t>IL: COMMERCIAL / MULTI-FAMILY ALARMS - DIRECT TO 911</w:t>
      </w:r>
    </w:p>
    <w:p w14:paraId="70E0EA98" w14:textId="77777777" w:rsidR="009A7014" w:rsidRDefault="009A7014" w:rsidP="009A7014">
      <w:pPr>
        <w:pStyle w:val="NoSpacing"/>
        <w:rPr>
          <w:rFonts w:ascii="Arial Black" w:hAnsi="Arial Black"/>
          <w:sz w:val="28"/>
          <w:szCs w:val="28"/>
        </w:rPr>
      </w:pPr>
    </w:p>
    <w:p w14:paraId="7F94CF0A" w14:textId="77777777" w:rsidR="009A7014" w:rsidRPr="008712E6" w:rsidRDefault="009A7014" w:rsidP="009A7014">
      <w:pPr>
        <w:pStyle w:val="NoSpacing"/>
        <w:rPr>
          <w:rFonts w:ascii="Times New Roman" w:hAnsi="Times New Roman"/>
          <w:sz w:val="24"/>
          <w:szCs w:val="24"/>
        </w:rPr>
      </w:pPr>
      <w:r w:rsidRPr="008712E6">
        <w:rPr>
          <w:rFonts w:ascii="Times New Roman" w:hAnsi="Times New Roman"/>
          <w:sz w:val="24"/>
          <w:szCs w:val="24"/>
        </w:rPr>
        <w:t xml:space="preserve">On July 22, 2025, in </w:t>
      </w:r>
      <w:r w:rsidRPr="008712E6">
        <w:rPr>
          <w:rFonts w:ascii="Times New Roman" w:hAnsi="Times New Roman"/>
          <w:sz w:val="24"/>
          <w:szCs w:val="24"/>
          <w:u w:val="single"/>
        </w:rPr>
        <w:t>Alarm Detection Systems, Inc, et al. v. Village of Schaumburg</w:t>
      </w:r>
      <w:r w:rsidRPr="008712E6">
        <w:rPr>
          <w:rFonts w:ascii="Times New Roman" w:hAnsi="Times New Roman"/>
          <w:sz w:val="24"/>
          <w:szCs w:val="24"/>
        </w:rPr>
        <w:t>, the United States Court of Appeals for 7</w:t>
      </w:r>
      <w:r w:rsidRPr="008712E6">
        <w:rPr>
          <w:rFonts w:ascii="Times New Roman" w:hAnsi="Times New Roman"/>
          <w:sz w:val="24"/>
          <w:szCs w:val="24"/>
          <w:vertAlign w:val="superscript"/>
        </w:rPr>
        <w:t>th</w:t>
      </w:r>
      <w:r w:rsidRPr="008712E6">
        <w:rPr>
          <w:rFonts w:ascii="Times New Roman" w:hAnsi="Times New Roman"/>
          <w:sz w:val="24"/>
          <w:szCs w:val="24"/>
        </w:rPr>
        <w:t xml:space="preserve"> Circuit (Chicago) held (3 to 0) that the Village had right to change alarm code ordinance in 2016, requiring by August 31, 2019 that all multi-family dwellings and commercial establishments to install system reporting directly to 911 dispatch, instead of to an alarm company center. Four alarm companies sued, claiming loss of 250 customers, since the only direct reporting system was owned by Tyco/Johnson Controls which had a contract with the Northwest Central Dispatch System.   Trial court dismissed the lawsuit since no proof customers breached their </w:t>
      </w:r>
      <w:proofErr w:type="gramStart"/>
      <w:r w:rsidRPr="008712E6">
        <w:rPr>
          <w:rFonts w:ascii="Times New Roman" w:hAnsi="Times New Roman"/>
          <w:sz w:val="24"/>
          <w:szCs w:val="24"/>
        </w:rPr>
        <w:t>contracts,</w:t>
      </w:r>
      <w:proofErr w:type="gramEnd"/>
      <w:r w:rsidRPr="008712E6">
        <w:rPr>
          <w:rFonts w:ascii="Times New Roman" w:hAnsi="Times New Roman"/>
          <w:sz w:val="24"/>
          <w:szCs w:val="24"/>
        </w:rPr>
        <w:t xml:space="preserve"> they merely didn’t renew with the four companies. THE COURT HELD:  “The Alarm Companies appealed, and we reversed in part, holding that they had stated a Contracts Clause claim. Alarm Detection Sys., Inc. v. Vill. of Schaumburg (“Alarm </w:t>
      </w:r>
      <w:proofErr w:type="spellStart"/>
      <w:r w:rsidRPr="008712E6">
        <w:rPr>
          <w:rFonts w:ascii="Times New Roman" w:hAnsi="Times New Roman"/>
          <w:sz w:val="24"/>
          <w:szCs w:val="24"/>
        </w:rPr>
        <w:t>Detec</w:t>
      </w:r>
      <w:proofErr w:type="spellEnd"/>
      <w:r w:rsidRPr="008712E6">
        <w:rPr>
          <w:rFonts w:ascii="Times New Roman" w:hAnsi="Times New Roman"/>
          <w:sz w:val="24"/>
          <w:szCs w:val="24"/>
        </w:rPr>
        <w:t>-</w:t>
      </w:r>
    </w:p>
    <w:p w14:paraId="0AD79C5C" w14:textId="77777777" w:rsidR="009A7014" w:rsidRPr="008712E6" w:rsidRDefault="009A7014" w:rsidP="009A7014">
      <w:pPr>
        <w:pStyle w:val="NoSpacing"/>
        <w:rPr>
          <w:rFonts w:ascii="Times New Roman" w:hAnsi="Times New Roman"/>
          <w:sz w:val="24"/>
          <w:szCs w:val="24"/>
        </w:rPr>
      </w:pPr>
      <w:proofErr w:type="spellStart"/>
      <w:r w:rsidRPr="008712E6">
        <w:rPr>
          <w:rFonts w:ascii="Times New Roman" w:hAnsi="Times New Roman"/>
          <w:sz w:val="24"/>
          <w:szCs w:val="24"/>
        </w:rPr>
        <w:t>tion</w:t>
      </w:r>
      <w:proofErr w:type="spellEnd"/>
      <w:r w:rsidRPr="008712E6">
        <w:rPr>
          <w:rFonts w:ascii="Times New Roman" w:hAnsi="Times New Roman"/>
          <w:sz w:val="24"/>
          <w:szCs w:val="24"/>
        </w:rPr>
        <w:t xml:space="preserve"> I”), 930 F.3d 812, 823–24 (7th Cir. 2019). We cautioned, however, that to ultimately prevail, the Alarm Companies would need to show the Ordinance caused their customers to prematurely cancel existing contracts, not just decline to renew them. See id. The district court granted the Village’s motion in a thorough written opinion. It </w:t>
      </w:r>
      <w:proofErr w:type="gramStart"/>
      <w:r w:rsidRPr="008712E6">
        <w:rPr>
          <w:rFonts w:ascii="Times New Roman" w:hAnsi="Times New Roman"/>
          <w:sz w:val="24"/>
          <w:szCs w:val="24"/>
        </w:rPr>
        <w:t>reasoned</w:t>
      </w:r>
      <w:proofErr w:type="gramEnd"/>
      <w:r w:rsidRPr="008712E6">
        <w:rPr>
          <w:rFonts w:ascii="Times New Roman" w:hAnsi="Times New Roman"/>
          <w:sz w:val="24"/>
          <w:szCs w:val="24"/>
        </w:rPr>
        <w:t xml:space="preserve"> that the Alarm Companies had offered no admissible evidence substantiating their claim that the Ordinance caused customers to breach contracts with them. *** They do not reveal which customers breached, when they breached, how the companies were notified of the breaches, or the reasons given for the breaches—all information a reasonable jury would need to understand how the Alarm Companies reached their conclusion that breaches occurred. Without any of this basic information, the Alarm Companies’ bare allegations are too conclusory to carry their burden at summary judgment.”  </w:t>
      </w:r>
      <w:hyperlink r:id="rId54" w:history="1">
        <w:r w:rsidRPr="008712E6">
          <w:rPr>
            <w:rStyle w:val="Hyperlink"/>
            <w:rFonts w:ascii="Times New Roman" w:hAnsi="Times New Roman"/>
            <w:sz w:val="24"/>
            <w:szCs w:val="24"/>
          </w:rPr>
          <w:t>https://cases.justia.com/federal/appellate-courts/ca7/24-3163/24-3163-2025-07-22.pdf?ts=1753214416</w:t>
        </w:r>
      </w:hyperlink>
      <w:r w:rsidRPr="008712E6">
        <w:rPr>
          <w:rFonts w:ascii="Times New Roman" w:hAnsi="Times New Roman"/>
          <w:sz w:val="24"/>
          <w:szCs w:val="24"/>
        </w:rPr>
        <w:t xml:space="preserve"> </w:t>
      </w:r>
    </w:p>
    <w:p w14:paraId="7DC559A3" w14:textId="77777777" w:rsidR="008712E6" w:rsidRPr="008712E6" w:rsidRDefault="008712E6" w:rsidP="008712E6">
      <w:pPr>
        <w:pStyle w:val="NoSpacing"/>
        <w:rPr>
          <w:rFonts w:ascii="Times New Roman" w:hAnsi="Times New Roman"/>
          <w:b/>
          <w:sz w:val="24"/>
          <w:szCs w:val="24"/>
        </w:rPr>
      </w:pPr>
    </w:p>
    <w:p w14:paraId="27CE7D9F" w14:textId="389F37D3" w:rsidR="008712E6" w:rsidRPr="008712E6" w:rsidRDefault="008712E6" w:rsidP="008712E6">
      <w:pPr>
        <w:pStyle w:val="NoSpacing"/>
        <w:rPr>
          <w:rFonts w:ascii="Times New Roman" w:hAnsi="Times New Roman"/>
          <w:b/>
          <w:bCs/>
          <w:sz w:val="24"/>
          <w:szCs w:val="24"/>
        </w:rPr>
      </w:pPr>
      <w:r w:rsidRPr="008712E6">
        <w:rPr>
          <w:rFonts w:ascii="Times New Roman" w:hAnsi="Times New Roman"/>
          <w:b/>
          <w:sz w:val="24"/>
          <w:szCs w:val="24"/>
        </w:rPr>
        <w:t xml:space="preserve">Lesson learned: Public safety prevails over alarm company’s loss of profits. </w:t>
      </w:r>
    </w:p>
    <w:p w14:paraId="37B5F662" w14:textId="77777777" w:rsidR="008712E6" w:rsidRDefault="008712E6" w:rsidP="008712E6">
      <w:pPr>
        <w:pStyle w:val="NoSpacing"/>
        <w:rPr>
          <w:bCs/>
        </w:rPr>
      </w:pPr>
    </w:p>
    <w:p w14:paraId="6C79F0AB" w14:textId="77777777" w:rsidR="009A7014" w:rsidRPr="00421D18" w:rsidRDefault="009A7014" w:rsidP="00421D18">
      <w:pPr>
        <w:rPr>
          <w:bCs/>
          <w:sz w:val="24"/>
          <w:szCs w:val="24"/>
        </w:rPr>
      </w:pPr>
    </w:p>
    <w:p w14:paraId="05797B85" w14:textId="69B543CB" w:rsidR="00421D18" w:rsidRDefault="00E24913" w:rsidP="007B08FB">
      <w:pPr>
        <w:pStyle w:val="NoSpacing"/>
        <w:rPr>
          <w:rFonts w:ascii="Arial Black" w:hAnsi="Arial Black"/>
          <w:sz w:val="24"/>
          <w:szCs w:val="24"/>
        </w:rPr>
      </w:pPr>
      <w:r>
        <w:rPr>
          <w:rFonts w:ascii="Arial Black" w:hAnsi="Arial Black"/>
          <w:sz w:val="24"/>
          <w:szCs w:val="24"/>
        </w:rPr>
        <w:t>1-186</w:t>
      </w:r>
    </w:p>
    <w:p w14:paraId="388DEDE0" w14:textId="77777777" w:rsidR="00E24913" w:rsidRDefault="00E24913" w:rsidP="007B08FB">
      <w:pPr>
        <w:pStyle w:val="NoSpacing"/>
        <w:rPr>
          <w:rFonts w:ascii="Arial Black" w:hAnsi="Arial Black"/>
          <w:sz w:val="24"/>
          <w:szCs w:val="24"/>
        </w:rPr>
      </w:pPr>
    </w:p>
    <w:p w14:paraId="514C6E56" w14:textId="77777777" w:rsidR="000A7B66" w:rsidRPr="0013391C" w:rsidRDefault="000A7B66" w:rsidP="000A7B66">
      <w:pPr>
        <w:pStyle w:val="NoSpacing"/>
        <w:rPr>
          <w:rFonts w:ascii="Arial Black" w:hAnsi="Arial Black"/>
          <w:sz w:val="28"/>
          <w:szCs w:val="28"/>
        </w:rPr>
      </w:pPr>
      <w:r>
        <w:rPr>
          <w:rFonts w:ascii="Arial Black" w:hAnsi="Arial Black"/>
          <w:sz w:val="28"/>
          <w:szCs w:val="28"/>
        </w:rPr>
        <w:t>TX: CITY DEMOLISHED HOUSE W/O NOTICE – 1-YR FIRE</w:t>
      </w:r>
    </w:p>
    <w:p w14:paraId="7C31CC41" w14:textId="77777777" w:rsidR="000A7B66" w:rsidRDefault="000A7B66" w:rsidP="000A7B66">
      <w:pPr>
        <w:pStyle w:val="NoSpacing"/>
      </w:pPr>
    </w:p>
    <w:p w14:paraId="0FC8C5A9" w14:textId="1D75D2DA" w:rsidR="00421D18" w:rsidRPr="00CC7E4B" w:rsidRDefault="000A7B66" w:rsidP="000A7B66">
      <w:pPr>
        <w:pStyle w:val="NoSpacing"/>
        <w:rPr>
          <w:rFonts w:ascii="Times New Roman" w:hAnsi="Times New Roman"/>
          <w:sz w:val="24"/>
          <w:szCs w:val="24"/>
        </w:rPr>
      </w:pPr>
      <w:r w:rsidRPr="00CC7E4B">
        <w:rPr>
          <w:rFonts w:ascii="Times New Roman" w:hAnsi="Times New Roman"/>
          <w:sz w:val="24"/>
          <w:szCs w:val="24"/>
        </w:rPr>
        <w:t xml:space="preserve">On July 18, 2025, in Michael Ramirez v. City of Texas City, U.S. District Court Judge Jeffrey Vincent Brown, United States District Court for Southern District of Texas (Galveston), after a one-day bench trial, held that while City violated property owner’s due process rights on failing to notify him that the house will be demolished, the owner is only entitled to $1 in nominal damages, and nothing for rehab materials in the house, and no attorney fees, since the house was not rehabbed for over a year.  The electrical fire was on April 10, 2022, with substantial damage; on April 13th, 2022, the city sent him  a Notice of Substandard Structure and of Abatement; Ramirez retained Michael Gaertner, a licensed architect, to help him obtain a permit to begin property </w:t>
      </w:r>
      <w:proofErr w:type="gramStart"/>
      <w:r w:rsidRPr="00CC7E4B">
        <w:rPr>
          <w:rFonts w:ascii="Times New Roman" w:hAnsi="Times New Roman"/>
          <w:sz w:val="24"/>
          <w:szCs w:val="24"/>
        </w:rPr>
        <w:t>renovations, but</w:t>
      </w:r>
      <w:proofErr w:type="gramEnd"/>
      <w:r w:rsidRPr="00CC7E4B">
        <w:rPr>
          <w:rFonts w:ascii="Times New Roman" w:hAnsi="Times New Roman"/>
          <w:sz w:val="24"/>
          <w:szCs w:val="24"/>
        </w:rPr>
        <w:t xml:space="preserve"> failed to provide a report from a structural engineer. Couple of break-ins; The </w:t>
      </w:r>
      <w:r w:rsidRPr="00CC7E4B">
        <w:rPr>
          <w:rFonts w:ascii="Times New Roman" w:hAnsi="Times New Roman"/>
          <w:sz w:val="24"/>
          <w:szCs w:val="24"/>
        </w:rPr>
        <w:lastRenderedPageBreak/>
        <w:t xml:space="preserve">damaged property languished without repair for about a year until its demolition on or around May 9th, 2023. THE COURT HELD: “Based on the fact findings and legal conclusions set forth above, the court concludes that although Ramirez’s fire-damaged home was ‘substandard’ and a public nuisance, it was not a clear and imminent danger that justified Texas City’s emergency demolition actions. Because Ramirez was not afforded an opportunity to be heard, the city deprived him of due process. Ramirez is therefore awarded $1 in nominal damages. Each party shall bear his or its own attorney’s fees and costs.”  </w:t>
      </w:r>
      <w:hyperlink r:id="rId55" w:history="1">
        <w:r w:rsidRPr="00CC7E4B">
          <w:rPr>
            <w:rStyle w:val="Hyperlink"/>
            <w:rFonts w:ascii="Times New Roman" w:hAnsi="Times New Roman"/>
            <w:sz w:val="24"/>
            <w:szCs w:val="24"/>
          </w:rPr>
          <w:t>https://cases.justia.com/federal/district-courts/texas/txsdce/3:2023cv00356/1939756/67/0.pdf?ts=1752929790</w:t>
        </w:r>
      </w:hyperlink>
    </w:p>
    <w:p w14:paraId="391533BB" w14:textId="77777777" w:rsidR="00421D18" w:rsidRPr="00CC7E4B" w:rsidRDefault="00421D18" w:rsidP="007B08FB">
      <w:pPr>
        <w:pStyle w:val="NoSpacing"/>
        <w:rPr>
          <w:rFonts w:ascii="Times New Roman" w:hAnsi="Times New Roman"/>
          <w:sz w:val="24"/>
          <w:szCs w:val="24"/>
        </w:rPr>
      </w:pPr>
    </w:p>
    <w:p w14:paraId="253B9104" w14:textId="77777777" w:rsidR="00CC7E4B" w:rsidRPr="00CC7E4B" w:rsidRDefault="00CC7E4B" w:rsidP="00CC7E4B">
      <w:pPr>
        <w:pStyle w:val="NoSpacing"/>
        <w:rPr>
          <w:rFonts w:ascii="Times New Roman" w:hAnsi="Times New Roman"/>
          <w:b/>
          <w:bCs/>
          <w:sz w:val="24"/>
          <w:szCs w:val="24"/>
        </w:rPr>
      </w:pPr>
      <w:r w:rsidRPr="00CC7E4B">
        <w:rPr>
          <w:rFonts w:ascii="Times New Roman" w:hAnsi="Times New Roman"/>
          <w:b/>
          <w:sz w:val="24"/>
          <w:szCs w:val="24"/>
        </w:rPr>
        <w:t xml:space="preserve">Legal lesson learned:  Give property owner written notice of plan to demolish.  While the City only </w:t>
      </w:r>
      <w:proofErr w:type="gramStart"/>
      <w:r w:rsidRPr="00CC7E4B">
        <w:rPr>
          <w:rFonts w:ascii="Times New Roman" w:hAnsi="Times New Roman"/>
          <w:b/>
          <w:sz w:val="24"/>
          <w:szCs w:val="24"/>
        </w:rPr>
        <w:t>has to</w:t>
      </w:r>
      <w:proofErr w:type="gramEnd"/>
      <w:r w:rsidRPr="00CC7E4B">
        <w:rPr>
          <w:rFonts w:ascii="Times New Roman" w:hAnsi="Times New Roman"/>
          <w:b/>
          <w:sz w:val="24"/>
          <w:szCs w:val="24"/>
        </w:rPr>
        <w:t xml:space="preserve"> pay property owner $1, the City has had to incur legal expenses simply because it failed to give notice of planned demolition. </w:t>
      </w:r>
    </w:p>
    <w:p w14:paraId="793718DF" w14:textId="77777777" w:rsidR="00CC7E4B" w:rsidRDefault="00CC7E4B" w:rsidP="00CC7E4B">
      <w:pPr>
        <w:pStyle w:val="NoSpacing"/>
      </w:pPr>
    </w:p>
    <w:p w14:paraId="52B6299A" w14:textId="77777777" w:rsidR="00E24913" w:rsidRDefault="00E24913" w:rsidP="007B08FB">
      <w:pPr>
        <w:pStyle w:val="NoSpacing"/>
        <w:rPr>
          <w:rFonts w:ascii="Arial Black" w:hAnsi="Arial Black"/>
          <w:sz w:val="24"/>
          <w:szCs w:val="24"/>
        </w:rPr>
      </w:pPr>
    </w:p>
    <w:p w14:paraId="10218354" w14:textId="74CF6081" w:rsidR="00421D18" w:rsidRDefault="00E24913" w:rsidP="007B08FB">
      <w:pPr>
        <w:pStyle w:val="NoSpacing"/>
        <w:rPr>
          <w:rFonts w:ascii="Arial Black" w:hAnsi="Arial Black"/>
          <w:sz w:val="24"/>
          <w:szCs w:val="24"/>
        </w:rPr>
      </w:pPr>
      <w:r>
        <w:rPr>
          <w:rFonts w:ascii="Arial Black" w:hAnsi="Arial Black"/>
          <w:sz w:val="24"/>
          <w:szCs w:val="24"/>
        </w:rPr>
        <w:t>1-185</w:t>
      </w:r>
    </w:p>
    <w:p w14:paraId="2FB81A72" w14:textId="77777777" w:rsidR="00DC77F7" w:rsidRDefault="00DC77F7" w:rsidP="007B08FB">
      <w:pPr>
        <w:pStyle w:val="NoSpacing"/>
        <w:rPr>
          <w:rFonts w:ascii="Arial Black" w:hAnsi="Arial Black"/>
          <w:sz w:val="24"/>
          <w:szCs w:val="24"/>
        </w:rPr>
      </w:pPr>
    </w:p>
    <w:p w14:paraId="1F95A636" w14:textId="77777777" w:rsidR="0094602E" w:rsidRDefault="0094602E" w:rsidP="0094602E">
      <w:pPr>
        <w:rPr>
          <w:rFonts w:ascii="Arial Black" w:hAnsi="Arial Black"/>
          <w:bCs/>
          <w:sz w:val="28"/>
          <w:szCs w:val="28"/>
        </w:rPr>
      </w:pPr>
      <w:r>
        <w:rPr>
          <w:rFonts w:ascii="Arial Black" w:hAnsi="Arial Black"/>
          <w:sz w:val="28"/>
          <w:szCs w:val="28"/>
        </w:rPr>
        <w:t xml:space="preserve">LA: WIRE FRAUD – LIED TO INSUR. CO. – FIRE “ELECTRICAL” </w:t>
      </w:r>
    </w:p>
    <w:p w14:paraId="4B162E4C" w14:textId="77777777" w:rsidR="0094602E" w:rsidRPr="00C27853" w:rsidRDefault="0094602E" w:rsidP="0094602E">
      <w:pPr>
        <w:pStyle w:val="NoSpacing"/>
        <w:rPr>
          <w:rFonts w:ascii="Times New Roman" w:hAnsi="Times New Roman"/>
          <w:bCs/>
          <w:sz w:val="24"/>
          <w:szCs w:val="24"/>
        </w:rPr>
      </w:pPr>
      <w:r w:rsidRPr="00C27853">
        <w:rPr>
          <w:rFonts w:ascii="Times New Roman" w:hAnsi="Times New Roman"/>
          <w:sz w:val="24"/>
          <w:szCs w:val="24"/>
        </w:rPr>
        <w:t xml:space="preserve">On July 15, 2025, in </w:t>
      </w:r>
      <w:r w:rsidRPr="00C27853">
        <w:rPr>
          <w:rFonts w:ascii="Times New Roman" w:hAnsi="Times New Roman"/>
          <w:sz w:val="24"/>
          <w:szCs w:val="24"/>
          <w:u w:val="single"/>
        </w:rPr>
        <w:t>United States of America v. Saleem Yousef Dabit</w:t>
      </w:r>
      <w:r w:rsidRPr="00C27853">
        <w:rPr>
          <w:rFonts w:ascii="Times New Roman" w:hAnsi="Times New Roman"/>
          <w:sz w:val="24"/>
          <w:szCs w:val="24"/>
        </w:rPr>
        <w:t>, the 5</w:t>
      </w:r>
      <w:r w:rsidRPr="00C27853">
        <w:rPr>
          <w:rFonts w:ascii="Times New Roman" w:hAnsi="Times New Roman"/>
          <w:sz w:val="24"/>
          <w:szCs w:val="24"/>
          <w:vertAlign w:val="superscript"/>
        </w:rPr>
        <w:t>th</w:t>
      </w:r>
      <w:r w:rsidRPr="00C27853">
        <w:rPr>
          <w:rFonts w:ascii="Times New Roman" w:hAnsi="Times New Roman"/>
          <w:sz w:val="24"/>
          <w:szCs w:val="24"/>
        </w:rPr>
        <w:t xml:space="preserve"> Circuit United States Court of Appeals (New Orleans) held (3 to 0) that a jury properly convicted the owner of wire fraud involving insurance claim for Jan. 1, </w:t>
      </w:r>
      <w:proofErr w:type="gramStart"/>
      <w:r w:rsidRPr="00C27853">
        <w:rPr>
          <w:rFonts w:ascii="Times New Roman" w:hAnsi="Times New Roman"/>
          <w:sz w:val="24"/>
          <w:szCs w:val="24"/>
        </w:rPr>
        <w:t>2019</w:t>
      </w:r>
      <w:proofErr w:type="gramEnd"/>
      <w:r w:rsidRPr="00C27853">
        <w:rPr>
          <w:rFonts w:ascii="Times New Roman" w:hAnsi="Times New Roman"/>
          <w:sz w:val="24"/>
          <w:szCs w:val="24"/>
        </w:rPr>
        <w:t xml:space="preserve"> fire at a warehouse - Sam's Men's Fashions.  Dabit was indicted on (1) one count of use of fire to commit a felony (gasoline from at least 15 containers, which resulted in a massive fuel-air explosion), (2) one count of use of fire to maliciously damage property, and (3) one count of wire fraud on Hanover Insurance Company (falsely told insurance company that fire investigators said it was electrical).   The jury found him not guilty of first two </w:t>
      </w:r>
      <w:proofErr w:type="gramStart"/>
      <w:r w:rsidRPr="00C27853">
        <w:rPr>
          <w:rFonts w:ascii="Times New Roman" w:hAnsi="Times New Roman"/>
          <w:sz w:val="24"/>
          <w:szCs w:val="24"/>
        </w:rPr>
        <w:t>counts</w:t>
      </w:r>
      <w:proofErr w:type="gramEnd"/>
      <w:r w:rsidRPr="00C27853">
        <w:rPr>
          <w:rFonts w:ascii="Times New Roman" w:hAnsi="Times New Roman"/>
          <w:sz w:val="24"/>
          <w:szCs w:val="24"/>
        </w:rPr>
        <w:t xml:space="preserve">.  On July 25, </w:t>
      </w:r>
      <w:proofErr w:type="gramStart"/>
      <w:r w:rsidRPr="00C27853">
        <w:rPr>
          <w:rFonts w:ascii="Times New Roman" w:hAnsi="Times New Roman"/>
          <w:sz w:val="24"/>
          <w:szCs w:val="24"/>
        </w:rPr>
        <w:t>2024</w:t>
      </w:r>
      <w:proofErr w:type="gramEnd"/>
      <w:r w:rsidRPr="00C27853">
        <w:rPr>
          <w:rFonts w:ascii="Times New Roman" w:hAnsi="Times New Roman"/>
          <w:sz w:val="24"/>
          <w:szCs w:val="24"/>
        </w:rPr>
        <w:t xml:space="preserve"> he was sentenced to 12 months and one day in jail; and on Aug. 26, </w:t>
      </w:r>
      <w:proofErr w:type="gramStart"/>
      <w:r w:rsidRPr="00C27853">
        <w:rPr>
          <w:rFonts w:ascii="Times New Roman" w:hAnsi="Times New Roman"/>
          <w:sz w:val="24"/>
          <w:szCs w:val="24"/>
        </w:rPr>
        <w:t>2024</w:t>
      </w:r>
      <w:proofErr w:type="gramEnd"/>
      <w:r w:rsidRPr="00C27853">
        <w:rPr>
          <w:rFonts w:ascii="Times New Roman" w:hAnsi="Times New Roman"/>
          <w:sz w:val="24"/>
          <w:szCs w:val="24"/>
        </w:rPr>
        <w:t xml:space="preserve"> the trial court judge denied his motion for release pending appeal. </w:t>
      </w:r>
      <w:hyperlink r:id="rId56" w:history="1">
        <w:r w:rsidRPr="00C27853">
          <w:rPr>
            <w:rStyle w:val="Hyperlink"/>
            <w:rFonts w:ascii="Times New Roman" w:hAnsi="Times New Roman"/>
            <w:sz w:val="24"/>
            <w:szCs w:val="24"/>
          </w:rPr>
          <w:t>https://www.casemine.com/judgement/us/66cea7f23f1f7c7a89e60871</w:t>
        </w:r>
      </w:hyperlink>
      <w:r w:rsidRPr="00C27853">
        <w:rPr>
          <w:rFonts w:ascii="Times New Roman" w:hAnsi="Times New Roman"/>
          <w:sz w:val="24"/>
          <w:szCs w:val="24"/>
        </w:rPr>
        <w:t xml:space="preserve"> . THE 5</w:t>
      </w:r>
      <w:r w:rsidRPr="00C27853">
        <w:rPr>
          <w:rFonts w:ascii="Times New Roman" w:hAnsi="Times New Roman"/>
          <w:sz w:val="24"/>
          <w:szCs w:val="24"/>
          <w:vertAlign w:val="superscript"/>
        </w:rPr>
        <w:t>th</w:t>
      </w:r>
      <w:r w:rsidRPr="00C27853">
        <w:rPr>
          <w:rFonts w:ascii="Times New Roman" w:hAnsi="Times New Roman"/>
          <w:sz w:val="24"/>
          <w:szCs w:val="24"/>
        </w:rPr>
        <w:t xml:space="preserve"> CIRCUIT HELD:  “Here, a rational jury could have found beyond a reasonable doubt that Dabit, with specific intent to defraud, engaged in a scheme to defraud the Hanover Insurance Company using wire communications…. Even if there was insufficient evidence that Dabit set fire to the warehouse, there was sufficient evidence that Dabit lied to Hanover when he said that firefighters told him the fire was probably electrical. Multiple firefighters and certified fire investigators testified that no firefighter or investigator told Dabit that. And we are not entitled to second-guess any credibility determinations the jury might have made in this </w:t>
      </w:r>
      <w:proofErr w:type="gramStart"/>
      <w:r w:rsidRPr="00C27853">
        <w:rPr>
          <w:rFonts w:ascii="Times New Roman" w:hAnsi="Times New Roman"/>
          <w:sz w:val="24"/>
          <w:szCs w:val="24"/>
        </w:rPr>
        <w:t>respect.”</w:t>
      </w:r>
      <w:proofErr w:type="gramEnd"/>
      <w:r w:rsidRPr="00C27853">
        <w:rPr>
          <w:rFonts w:ascii="Times New Roman" w:hAnsi="Times New Roman"/>
          <w:sz w:val="24"/>
          <w:szCs w:val="24"/>
        </w:rPr>
        <w:t xml:space="preserve"> </w:t>
      </w:r>
      <w:hyperlink r:id="rId57" w:history="1">
        <w:r w:rsidRPr="00C27853">
          <w:rPr>
            <w:rStyle w:val="Hyperlink"/>
            <w:rFonts w:ascii="Times New Roman" w:hAnsi="Times New Roman"/>
            <w:sz w:val="24"/>
            <w:szCs w:val="24"/>
          </w:rPr>
          <w:t>https://www.ca5.uscourts.gov/opinions/unpub/24/24-30496.0.pdf</w:t>
        </w:r>
      </w:hyperlink>
      <w:r w:rsidRPr="00C27853">
        <w:rPr>
          <w:rFonts w:ascii="Times New Roman" w:hAnsi="Times New Roman"/>
          <w:sz w:val="24"/>
          <w:szCs w:val="24"/>
        </w:rPr>
        <w:t xml:space="preserve"> </w:t>
      </w:r>
    </w:p>
    <w:p w14:paraId="2CFAFACB" w14:textId="77777777" w:rsidR="0094602E" w:rsidRPr="00C27853" w:rsidRDefault="0094602E" w:rsidP="0094602E">
      <w:pPr>
        <w:pStyle w:val="NoSpacing"/>
        <w:rPr>
          <w:rFonts w:ascii="Times New Roman" w:hAnsi="Times New Roman"/>
          <w:bCs/>
          <w:sz w:val="24"/>
          <w:szCs w:val="24"/>
        </w:rPr>
      </w:pPr>
    </w:p>
    <w:p w14:paraId="4C0026CA" w14:textId="77777777" w:rsidR="00C27853" w:rsidRPr="00C27853" w:rsidRDefault="00C27853" w:rsidP="00C27853">
      <w:pPr>
        <w:pStyle w:val="NoSpacing"/>
        <w:rPr>
          <w:rFonts w:ascii="Times New Roman" w:hAnsi="Times New Roman"/>
          <w:b/>
          <w:bCs/>
          <w:sz w:val="24"/>
          <w:szCs w:val="24"/>
        </w:rPr>
      </w:pPr>
      <w:r w:rsidRPr="00C27853">
        <w:rPr>
          <w:rFonts w:ascii="Times New Roman" w:hAnsi="Times New Roman"/>
          <w:b/>
          <w:sz w:val="24"/>
          <w:szCs w:val="24"/>
        </w:rPr>
        <w:t xml:space="preserve">Legal lesson learned:  Jury found him guilty of scheme to defraud insurance company, even if it did not find him guilty of arson. </w:t>
      </w:r>
    </w:p>
    <w:p w14:paraId="3CDCEE6C" w14:textId="77777777" w:rsidR="00C27853" w:rsidRPr="00C27853" w:rsidRDefault="00C27853" w:rsidP="00C27853">
      <w:pPr>
        <w:pStyle w:val="NoSpacing"/>
        <w:rPr>
          <w:rFonts w:ascii="Times New Roman" w:hAnsi="Times New Roman"/>
          <w:b/>
          <w:bCs/>
          <w:sz w:val="24"/>
          <w:szCs w:val="24"/>
        </w:rPr>
      </w:pPr>
    </w:p>
    <w:p w14:paraId="2CF885C4" w14:textId="02B37350" w:rsidR="00DC77F7" w:rsidRPr="00C27853" w:rsidRDefault="00C27853" w:rsidP="00C27853">
      <w:pPr>
        <w:pStyle w:val="NoSpacing"/>
        <w:ind w:left="720"/>
        <w:rPr>
          <w:rFonts w:ascii="Times New Roman" w:hAnsi="Times New Roman"/>
          <w:sz w:val="24"/>
          <w:szCs w:val="24"/>
        </w:rPr>
      </w:pPr>
      <w:r w:rsidRPr="00C27853">
        <w:rPr>
          <w:rFonts w:ascii="Times New Roman" w:hAnsi="Times New Roman"/>
          <w:sz w:val="24"/>
          <w:szCs w:val="24"/>
        </w:rPr>
        <w:t xml:space="preserve">Note: See Nov. 14, </w:t>
      </w:r>
      <w:proofErr w:type="gramStart"/>
      <w:r w:rsidRPr="00C27853">
        <w:rPr>
          <w:rFonts w:ascii="Times New Roman" w:hAnsi="Times New Roman"/>
          <w:sz w:val="24"/>
          <w:szCs w:val="24"/>
        </w:rPr>
        <w:t>2009</w:t>
      </w:r>
      <w:proofErr w:type="gramEnd"/>
      <w:r w:rsidRPr="00C27853">
        <w:rPr>
          <w:rFonts w:ascii="Times New Roman" w:hAnsi="Times New Roman"/>
          <w:sz w:val="24"/>
          <w:szCs w:val="24"/>
        </w:rPr>
        <w:t xml:space="preserve"> U.S Department of Justice Press Release, “Baton Rouge Man Indicted for Use of Fire to Commit a Felony, Use of Fire to Maliciously Damage Property, and Wire Fraud.” </w:t>
      </w:r>
      <w:hyperlink r:id="rId58" w:history="1">
        <w:r w:rsidRPr="00C27853">
          <w:rPr>
            <w:rStyle w:val="Hyperlink"/>
            <w:rFonts w:ascii="Times New Roman" w:hAnsi="Times New Roman"/>
            <w:sz w:val="24"/>
            <w:szCs w:val="24"/>
          </w:rPr>
          <w:t>https://www.justice.gov/usao-mdla/pr/baton-rouge-man-indicted-use-fire-commit-felony-use-fire-maliciously-damage-property</w:t>
        </w:r>
      </w:hyperlink>
    </w:p>
    <w:p w14:paraId="3D4A31ED" w14:textId="77777777" w:rsidR="00DC77F7" w:rsidRDefault="00DC77F7" w:rsidP="007B08FB">
      <w:pPr>
        <w:pStyle w:val="NoSpacing"/>
        <w:rPr>
          <w:rFonts w:ascii="Arial Black" w:hAnsi="Arial Black"/>
          <w:sz w:val="24"/>
          <w:szCs w:val="24"/>
        </w:rPr>
      </w:pPr>
    </w:p>
    <w:p w14:paraId="1C5D3D9D" w14:textId="77777777" w:rsidR="00DC77F7" w:rsidRDefault="00DC77F7" w:rsidP="007B08FB">
      <w:pPr>
        <w:pStyle w:val="NoSpacing"/>
        <w:rPr>
          <w:rFonts w:ascii="Arial Black" w:hAnsi="Arial Black"/>
          <w:sz w:val="24"/>
          <w:szCs w:val="24"/>
        </w:rPr>
      </w:pPr>
    </w:p>
    <w:p w14:paraId="0A696785" w14:textId="626A2012" w:rsidR="007B08FB" w:rsidRDefault="007B08FB" w:rsidP="007B08FB">
      <w:pPr>
        <w:pStyle w:val="NoSpacing"/>
        <w:rPr>
          <w:rFonts w:ascii="Arial Black" w:hAnsi="Arial Black"/>
          <w:sz w:val="24"/>
          <w:szCs w:val="24"/>
        </w:rPr>
      </w:pPr>
      <w:r>
        <w:rPr>
          <w:rFonts w:ascii="Arial Black" w:hAnsi="Arial Black"/>
          <w:sz w:val="24"/>
          <w:szCs w:val="24"/>
        </w:rPr>
        <w:t>1-184</w:t>
      </w:r>
    </w:p>
    <w:p w14:paraId="7F89048C" w14:textId="77777777" w:rsidR="00324C50" w:rsidRDefault="00324C50" w:rsidP="00B86628">
      <w:pPr>
        <w:pStyle w:val="NoSpacing"/>
        <w:rPr>
          <w:rFonts w:ascii="Arial Black" w:hAnsi="Arial Black"/>
          <w:sz w:val="24"/>
          <w:szCs w:val="24"/>
        </w:rPr>
      </w:pPr>
    </w:p>
    <w:p w14:paraId="6F3F1666" w14:textId="77777777" w:rsidR="00324C50" w:rsidRPr="00B50751" w:rsidRDefault="00324C50" w:rsidP="00324C50">
      <w:pPr>
        <w:rPr>
          <w:rFonts w:ascii="Arial Black" w:hAnsi="Arial Black"/>
          <w:b/>
          <w:sz w:val="28"/>
          <w:szCs w:val="28"/>
        </w:rPr>
      </w:pPr>
      <w:r>
        <w:rPr>
          <w:rFonts w:ascii="Arial Black" w:hAnsi="Arial Black"/>
          <w:b/>
          <w:sz w:val="28"/>
          <w:szCs w:val="28"/>
        </w:rPr>
        <w:t>GA:  FIRE MARSHAL – ARRESTED 2 / FIRE EXTIGUISHER CO.</w:t>
      </w:r>
    </w:p>
    <w:p w14:paraId="49709C47" w14:textId="624B27C9" w:rsidR="00324C50" w:rsidRDefault="00324C50" w:rsidP="00324C50">
      <w:pPr>
        <w:pStyle w:val="NoSpacing"/>
        <w:rPr>
          <w:rFonts w:ascii="Times New Roman" w:hAnsi="Times New Roman"/>
          <w:sz w:val="24"/>
          <w:szCs w:val="24"/>
        </w:rPr>
      </w:pPr>
      <w:r w:rsidRPr="00324C50">
        <w:rPr>
          <w:rFonts w:ascii="Times New Roman" w:hAnsi="Times New Roman"/>
          <w:sz w:val="24"/>
          <w:szCs w:val="24"/>
        </w:rPr>
        <w:t xml:space="preserve">On June 26, 2025, in </w:t>
      </w:r>
      <w:r w:rsidRPr="00324C50">
        <w:rPr>
          <w:rFonts w:ascii="Times New Roman" w:hAnsi="Times New Roman"/>
          <w:sz w:val="24"/>
          <w:szCs w:val="24"/>
          <w:u w:val="single"/>
        </w:rPr>
        <w:t>Karen Diane Wynn Lyle and Lyle Mobile Fire Protection, LLC v. Jerry D. Heath, Jr., individually and in his capacity as Fire Marshal of the City of Hinesville, and the City of Hinesville</w:t>
      </w:r>
      <w:r w:rsidRPr="00324C50">
        <w:rPr>
          <w:rFonts w:ascii="Times New Roman" w:hAnsi="Times New Roman"/>
          <w:sz w:val="24"/>
          <w:szCs w:val="24"/>
        </w:rPr>
        <w:t xml:space="preserve">, the Court </w:t>
      </w:r>
      <w:r w:rsidRPr="00324C50">
        <w:rPr>
          <w:rFonts w:ascii="Times New Roman" w:hAnsi="Times New Roman"/>
          <w:sz w:val="24"/>
          <w:szCs w:val="24"/>
        </w:rPr>
        <w:lastRenderedPageBreak/>
        <w:t xml:space="preserve">of Appeals of Georgia, Third Division, reversed the dismissal of this lawsuit on the basis of governmental immunity, and ordered that pre-trial discovery proceed in this civil lawsuit for malicious prosecution, false arrest, defamation, slander per se, and tortious interference with a business relationship.  Karen Lyle is an elementary school </w:t>
      </w:r>
      <w:proofErr w:type="gramStart"/>
      <w:r w:rsidRPr="00324C50">
        <w:rPr>
          <w:rFonts w:ascii="Times New Roman" w:hAnsi="Times New Roman"/>
          <w:sz w:val="24"/>
          <w:szCs w:val="24"/>
        </w:rPr>
        <w:t>teacher, and</w:t>
      </w:r>
      <w:proofErr w:type="gramEnd"/>
      <w:r w:rsidRPr="00324C50">
        <w:rPr>
          <w:rFonts w:ascii="Times New Roman" w:hAnsi="Times New Roman"/>
          <w:sz w:val="24"/>
          <w:szCs w:val="24"/>
        </w:rPr>
        <w:t xml:space="preserve"> also worked as a bookkeeper for her late husband (died in 2019), who founded the fire extinguisher company.  Starting in </w:t>
      </w:r>
      <w:proofErr w:type="gramStart"/>
      <w:r w:rsidRPr="00324C50">
        <w:rPr>
          <w:rFonts w:ascii="Times New Roman" w:hAnsi="Times New Roman"/>
          <w:sz w:val="24"/>
          <w:szCs w:val="24"/>
        </w:rPr>
        <w:t>September,</w:t>
      </w:r>
      <w:proofErr w:type="gramEnd"/>
      <w:r w:rsidRPr="00324C50">
        <w:rPr>
          <w:rFonts w:ascii="Times New Roman" w:hAnsi="Times New Roman"/>
          <w:sz w:val="24"/>
          <w:szCs w:val="24"/>
        </w:rPr>
        <w:t xml:space="preserve"> 2020, Fire Marshal Heath contacted Shane Taylor with the Enforcement Division of the Insurance and Fire Safety Commissioner's Office regarding LMFP and certain improperly tagged fire extinguishers; Mr. Taylor then spoke with both Karen Lyle and employee John Mann about state regulations.  [TWO ARRESTS.]  On May 4, 2012, the Fire Marshall arrested Ms. Lyle while teaching at her elementary school; and on May 7, 202 he arrested John Mann for “impersonating a fireman” and “failing to abide by fire extinguisher and suppression systems regulations.” On Jan. 26, 2023, all charges were dropped.  THE COURT HELD:  “We therefore vacate the order and remand to more fully develop the factual record, not only as to Heath's status as a municipal or state actor, but also as to the full investigation, which will bear on the remaining questions as to whether the City or Heath are protected by sovereign or official immunity (or whether the Georgia Tort Claims Act applied), and whether Heath acted with malice and its effect on the application of immunity in this case. Thus, we decline the City's request to apply the sovereign immunity analysis </w:t>
      </w:r>
      <w:proofErr w:type="gramStart"/>
      <w:r w:rsidRPr="00324C50">
        <w:rPr>
          <w:rFonts w:ascii="Times New Roman" w:hAnsi="Times New Roman"/>
          <w:sz w:val="24"/>
          <w:szCs w:val="24"/>
        </w:rPr>
        <w:t>at this time</w:t>
      </w:r>
      <w:proofErr w:type="gramEnd"/>
      <w:r w:rsidRPr="00324C50">
        <w:rPr>
          <w:rFonts w:ascii="Times New Roman" w:hAnsi="Times New Roman"/>
          <w:sz w:val="24"/>
          <w:szCs w:val="24"/>
        </w:rPr>
        <w:t xml:space="preserve">.” </w:t>
      </w:r>
      <w:hyperlink r:id="rId59" w:history="1">
        <w:r w:rsidRPr="00324C50">
          <w:rPr>
            <w:rStyle w:val="Hyperlink"/>
            <w:rFonts w:ascii="Times New Roman" w:hAnsi="Times New Roman"/>
            <w:sz w:val="24"/>
            <w:szCs w:val="24"/>
          </w:rPr>
          <w:t>https://caselaw.findlaw.com/court/ga-court-of-appeals/117421566.html</w:t>
        </w:r>
      </w:hyperlink>
    </w:p>
    <w:p w14:paraId="0B17BA8D" w14:textId="77777777" w:rsidR="00E02F60" w:rsidRDefault="00E02F60" w:rsidP="00324C50">
      <w:pPr>
        <w:pStyle w:val="NoSpacing"/>
        <w:rPr>
          <w:rFonts w:ascii="Times New Roman" w:hAnsi="Times New Roman"/>
          <w:sz w:val="24"/>
          <w:szCs w:val="24"/>
        </w:rPr>
      </w:pPr>
    </w:p>
    <w:p w14:paraId="31B199F2" w14:textId="77777777" w:rsidR="00E02F60" w:rsidRPr="00E02F60" w:rsidRDefault="00E02F60" w:rsidP="00E02F60">
      <w:pPr>
        <w:rPr>
          <w:rFonts w:ascii="Times New Roman" w:hAnsi="Times New Roman"/>
          <w:b/>
          <w:bCs/>
          <w:sz w:val="24"/>
          <w:szCs w:val="24"/>
        </w:rPr>
      </w:pPr>
      <w:r w:rsidRPr="00E02F60">
        <w:rPr>
          <w:rFonts w:ascii="Times New Roman" w:hAnsi="Times New Roman"/>
          <w:b/>
          <w:sz w:val="24"/>
          <w:szCs w:val="24"/>
        </w:rPr>
        <w:t xml:space="preserve">Legal lesson learned: Very strange set of facts; there must be “more to this story.”  Pre-trial discovery will now proceed. </w:t>
      </w:r>
    </w:p>
    <w:p w14:paraId="1AAE8545" w14:textId="77777777" w:rsidR="00465650" w:rsidRDefault="00465650" w:rsidP="006F7F26">
      <w:pPr>
        <w:rPr>
          <w:rFonts w:ascii="Arial Black" w:hAnsi="Arial Black"/>
          <w:b/>
          <w:sz w:val="28"/>
          <w:szCs w:val="28"/>
        </w:rPr>
      </w:pPr>
    </w:p>
    <w:p w14:paraId="2ADC53AD" w14:textId="5EBA81C3" w:rsidR="00465650" w:rsidRDefault="00465650" w:rsidP="00465650">
      <w:pPr>
        <w:pStyle w:val="NoSpacing"/>
        <w:rPr>
          <w:rFonts w:ascii="Arial Black" w:hAnsi="Arial Black"/>
          <w:sz w:val="24"/>
          <w:szCs w:val="24"/>
        </w:rPr>
      </w:pPr>
      <w:r>
        <w:rPr>
          <w:rFonts w:ascii="Arial Black" w:hAnsi="Arial Black"/>
          <w:sz w:val="24"/>
          <w:szCs w:val="24"/>
        </w:rPr>
        <w:t>1-183</w:t>
      </w:r>
    </w:p>
    <w:p w14:paraId="09472BD6" w14:textId="77777777" w:rsidR="007B08FB" w:rsidRDefault="007B08FB" w:rsidP="00465650">
      <w:pPr>
        <w:pStyle w:val="NoSpacing"/>
        <w:rPr>
          <w:rFonts w:ascii="Arial Black" w:hAnsi="Arial Black"/>
          <w:b/>
          <w:sz w:val="28"/>
          <w:szCs w:val="28"/>
        </w:rPr>
      </w:pPr>
    </w:p>
    <w:p w14:paraId="1A9635FD" w14:textId="282B9413" w:rsidR="006F7F26" w:rsidRPr="004310F3" w:rsidRDefault="006F7F26" w:rsidP="006F7F26">
      <w:pPr>
        <w:rPr>
          <w:rFonts w:ascii="Arial Black" w:hAnsi="Arial Black"/>
          <w:b/>
          <w:sz w:val="28"/>
          <w:szCs w:val="28"/>
        </w:rPr>
      </w:pPr>
      <w:r>
        <w:rPr>
          <w:rFonts w:ascii="Arial Black" w:hAnsi="Arial Black"/>
          <w:b/>
          <w:sz w:val="28"/>
          <w:szCs w:val="28"/>
        </w:rPr>
        <w:t>FL: APT FIRE / DEATH – PUNITIVE DAMAGES FOR CODE VIOL</w:t>
      </w:r>
    </w:p>
    <w:p w14:paraId="0FA1F611" w14:textId="77777777" w:rsidR="006F7F26" w:rsidRPr="00C30ADD" w:rsidRDefault="006F7F26" w:rsidP="006F7F26">
      <w:pPr>
        <w:pStyle w:val="NoSpacing"/>
        <w:rPr>
          <w:rFonts w:ascii="Times New Roman" w:hAnsi="Times New Roman"/>
          <w:sz w:val="24"/>
          <w:szCs w:val="24"/>
        </w:rPr>
      </w:pPr>
      <w:r w:rsidRPr="00C30ADD">
        <w:rPr>
          <w:rFonts w:ascii="Times New Roman" w:hAnsi="Times New Roman"/>
          <w:sz w:val="24"/>
          <w:szCs w:val="24"/>
        </w:rPr>
        <w:t xml:space="preserve">On June 18, 2025, in  </w:t>
      </w:r>
      <w:proofErr w:type="spellStart"/>
      <w:r w:rsidRPr="00C30ADD">
        <w:rPr>
          <w:rFonts w:ascii="Times New Roman" w:hAnsi="Times New Roman"/>
          <w:sz w:val="24"/>
          <w:szCs w:val="24"/>
          <w:u w:val="single"/>
        </w:rPr>
        <w:t>Menada</w:t>
      </w:r>
      <w:proofErr w:type="spellEnd"/>
      <w:r w:rsidRPr="00C30ADD">
        <w:rPr>
          <w:rFonts w:ascii="Times New Roman" w:hAnsi="Times New Roman"/>
          <w:sz w:val="24"/>
          <w:szCs w:val="24"/>
          <w:u w:val="single"/>
        </w:rPr>
        <w:t>, Inc., et al. v. Gabriela Arevalo</w:t>
      </w:r>
      <w:r w:rsidRPr="00C30ADD">
        <w:rPr>
          <w:rFonts w:ascii="Times New Roman" w:hAnsi="Times New Roman"/>
          <w:sz w:val="24"/>
          <w:szCs w:val="24"/>
        </w:rPr>
        <w:t>. The Florida Court of Appeals, Third District, held (3 to 0) that family of the adult, blind son who did on the 15</w:t>
      </w:r>
      <w:r w:rsidRPr="00C30ADD">
        <w:rPr>
          <w:rFonts w:ascii="Times New Roman" w:hAnsi="Times New Roman"/>
          <w:sz w:val="24"/>
          <w:szCs w:val="24"/>
          <w:vertAlign w:val="superscript"/>
        </w:rPr>
        <w:t>th</w:t>
      </w:r>
      <w:r w:rsidRPr="00C30ADD">
        <w:rPr>
          <w:rFonts w:ascii="Times New Roman" w:hAnsi="Times New Roman"/>
          <w:sz w:val="24"/>
          <w:szCs w:val="24"/>
        </w:rPr>
        <w:t xml:space="preserve"> floor of the building with numerous prior code violations by City of Miami Beach, may file a lawsuit seeking punitive damages.  City of Miami Beach “Special Master” had previously determined the 15</w:t>
      </w:r>
      <w:r w:rsidRPr="00C30ADD">
        <w:rPr>
          <w:rFonts w:ascii="Times New Roman" w:hAnsi="Times New Roman"/>
          <w:sz w:val="24"/>
          <w:szCs w:val="24"/>
          <w:vertAlign w:val="superscript"/>
        </w:rPr>
        <w:t>th</w:t>
      </w:r>
      <w:r w:rsidRPr="00C30ADD">
        <w:rPr>
          <w:rFonts w:ascii="Times New Roman" w:hAnsi="Times New Roman"/>
          <w:sz w:val="24"/>
          <w:szCs w:val="24"/>
        </w:rPr>
        <w:t xml:space="preserve"> floor to be unsafe and prohibited any tenants on that floor. The hotel / apartment building had been fined $6.5 million for fire related violations, including the imposition of a daily fine of $1,000.00 for each day of noncompliance starting from April 1, 2018.  THE COURT HELD: “The trial court concluded that Arevalo satisfied the punitive damages pleading standard set forth in section 768.72(1), Florida Statutes (2024), which requires ‘a reasonable showing by evidence in the record or proffered by the claimant which would provide a reasonable basis for recovery of such damages.’ We agree and therefore affirm.” </w:t>
      </w:r>
      <w:hyperlink r:id="rId60" w:history="1">
        <w:r w:rsidRPr="00C30ADD">
          <w:rPr>
            <w:rStyle w:val="Hyperlink"/>
            <w:rFonts w:ascii="Times New Roman" w:hAnsi="Times New Roman"/>
            <w:sz w:val="24"/>
            <w:szCs w:val="24"/>
          </w:rPr>
          <w:t>https://cases.justia.com/florida/third-district-court-of-appeal/2025-3d23-1625.pdf?ts=1750259354</w:t>
        </w:r>
      </w:hyperlink>
      <w:r w:rsidRPr="00C30ADD">
        <w:rPr>
          <w:rFonts w:ascii="Times New Roman" w:hAnsi="Times New Roman"/>
          <w:sz w:val="24"/>
          <w:szCs w:val="24"/>
        </w:rPr>
        <w:t xml:space="preserve"> </w:t>
      </w:r>
    </w:p>
    <w:p w14:paraId="5369A4C5" w14:textId="77777777" w:rsidR="006F7F26" w:rsidRPr="00C30ADD" w:rsidRDefault="006F7F26" w:rsidP="006F7F26">
      <w:pPr>
        <w:pStyle w:val="NoSpacing"/>
        <w:ind w:left="720"/>
        <w:rPr>
          <w:rFonts w:ascii="Times New Roman" w:hAnsi="Times New Roman"/>
          <w:sz w:val="24"/>
          <w:szCs w:val="24"/>
        </w:rPr>
      </w:pPr>
    </w:p>
    <w:p w14:paraId="614F065A" w14:textId="77777777" w:rsidR="00C30ADD" w:rsidRPr="00C30ADD" w:rsidRDefault="00C30ADD" w:rsidP="00C30ADD">
      <w:pPr>
        <w:pStyle w:val="NoSpacing"/>
        <w:rPr>
          <w:rFonts w:ascii="Times New Roman" w:hAnsi="Times New Roman"/>
          <w:b/>
          <w:bCs/>
          <w:sz w:val="24"/>
          <w:szCs w:val="24"/>
        </w:rPr>
      </w:pPr>
      <w:r w:rsidRPr="00C30ADD">
        <w:rPr>
          <w:rFonts w:ascii="Times New Roman" w:hAnsi="Times New Roman"/>
          <w:b/>
          <w:sz w:val="24"/>
          <w:szCs w:val="24"/>
        </w:rPr>
        <w:t xml:space="preserve">Legal lesson learned: Tenant’s death, with fire code violations, will now proceed to a jury trial that could impose punitive damages.  Insurance does not cover punitive </w:t>
      </w:r>
      <w:proofErr w:type="gramStart"/>
      <w:r w:rsidRPr="00C30ADD">
        <w:rPr>
          <w:rFonts w:ascii="Times New Roman" w:hAnsi="Times New Roman"/>
          <w:b/>
          <w:sz w:val="24"/>
          <w:szCs w:val="24"/>
        </w:rPr>
        <w:t>damages</w:t>
      </w:r>
      <w:proofErr w:type="gramEnd"/>
      <w:r w:rsidRPr="00C30ADD">
        <w:rPr>
          <w:rFonts w:ascii="Times New Roman" w:hAnsi="Times New Roman"/>
          <w:b/>
          <w:sz w:val="24"/>
          <w:szCs w:val="24"/>
        </w:rPr>
        <w:t xml:space="preserve"> in Florida, which is </w:t>
      </w:r>
      <w:proofErr w:type="gramStart"/>
      <w:r w:rsidRPr="00C30ADD">
        <w:rPr>
          <w:rFonts w:ascii="Times New Roman" w:hAnsi="Times New Roman"/>
          <w:b/>
          <w:sz w:val="24"/>
          <w:szCs w:val="24"/>
        </w:rPr>
        <w:t>similar to</w:t>
      </w:r>
      <w:proofErr w:type="gramEnd"/>
      <w:r w:rsidRPr="00C30ADD">
        <w:rPr>
          <w:rFonts w:ascii="Times New Roman" w:hAnsi="Times New Roman"/>
          <w:b/>
          <w:sz w:val="24"/>
          <w:szCs w:val="24"/>
        </w:rPr>
        <w:t xml:space="preserve"> many states.  </w:t>
      </w:r>
    </w:p>
    <w:p w14:paraId="2FB385F6" w14:textId="77777777" w:rsidR="00C30ADD" w:rsidRPr="00C30ADD" w:rsidRDefault="00C30ADD" w:rsidP="00C30ADD">
      <w:pPr>
        <w:pStyle w:val="NoSpacing"/>
        <w:rPr>
          <w:rFonts w:ascii="Times New Roman" w:hAnsi="Times New Roman"/>
          <w:sz w:val="24"/>
          <w:szCs w:val="24"/>
        </w:rPr>
      </w:pPr>
    </w:p>
    <w:p w14:paraId="1526EAFD" w14:textId="34F33A36"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 xml:space="preserve">Note: See the Concurring Opinion by Judge Monic Gordo – </w:t>
      </w:r>
      <w:r>
        <w:rPr>
          <w:rFonts w:ascii="Times New Roman" w:hAnsi="Times New Roman"/>
          <w:sz w:val="24"/>
          <w:szCs w:val="24"/>
        </w:rPr>
        <w:t xml:space="preserve">Code violations </w:t>
      </w:r>
      <w:r w:rsidRPr="00C30ADD">
        <w:rPr>
          <w:rFonts w:ascii="Times New Roman" w:hAnsi="Times New Roman"/>
          <w:sz w:val="24"/>
          <w:szCs w:val="24"/>
        </w:rPr>
        <w:t xml:space="preserve">“SHOCK THE CONCIOUS.”  </w:t>
      </w:r>
    </w:p>
    <w:p w14:paraId="11119D5E" w14:textId="77777777" w:rsidR="00C30ADD" w:rsidRPr="00C30ADD" w:rsidRDefault="00C30ADD" w:rsidP="00C30ADD">
      <w:pPr>
        <w:pStyle w:val="NoSpacing"/>
        <w:ind w:firstLine="720"/>
        <w:rPr>
          <w:rFonts w:ascii="Times New Roman" w:hAnsi="Times New Roman"/>
          <w:sz w:val="24"/>
          <w:szCs w:val="24"/>
        </w:rPr>
      </w:pPr>
    </w:p>
    <w:p w14:paraId="6BCECE20"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“In my view, this case presents a perfect example of the kind of allegations that, if proven to be true, not only shock the conscience but are likely to merit punitive damages.</w:t>
      </w:r>
    </w:p>
    <w:p w14:paraId="77C69D8E" w14:textId="77777777" w:rsidR="00C30ADD" w:rsidRPr="00C30ADD" w:rsidRDefault="00C30ADD" w:rsidP="00C30ADD">
      <w:pPr>
        <w:pStyle w:val="NoSpacing"/>
        <w:ind w:firstLine="720"/>
        <w:rPr>
          <w:rFonts w:ascii="Times New Roman" w:hAnsi="Times New Roman"/>
          <w:sz w:val="24"/>
          <w:szCs w:val="24"/>
        </w:rPr>
      </w:pPr>
      <w:r w:rsidRPr="00C30ADD">
        <w:rPr>
          <w:rFonts w:ascii="Times New Roman" w:hAnsi="Times New Roman"/>
          <w:sz w:val="24"/>
          <w:szCs w:val="24"/>
        </w:rPr>
        <w:t>The proffer by the plaintiff in this case included evidence that the appellants:</w:t>
      </w:r>
    </w:p>
    <w:p w14:paraId="19973B36" w14:textId="77777777" w:rsidR="00C30ADD" w:rsidRPr="00C30ADD" w:rsidRDefault="00C30ADD" w:rsidP="00C30ADD">
      <w:pPr>
        <w:pStyle w:val="NoSpacing"/>
        <w:ind w:firstLine="720"/>
        <w:rPr>
          <w:rFonts w:ascii="Times New Roman" w:hAnsi="Times New Roman"/>
          <w:sz w:val="24"/>
          <w:szCs w:val="24"/>
        </w:rPr>
      </w:pPr>
    </w:p>
    <w:p w14:paraId="59C74C60"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 Engaged in fire safety violations that date back decades and which continued through the date of the subject fire resulting in repeated fines and reprimands from authorities;</w:t>
      </w:r>
    </w:p>
    <w:p w14:paraId="4DC9DCD6"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lastRenderedPageBreak/>
        <w:br/>
        <w:t xml:space="preserve">• Have been fined at least $6.5 million for fire related violations, including the imposition of a daily fine of $1,000.00 for each day of noncompliance starting from April 1, </w:t>
      </w:r>
      <w:proofErr w:type="gramStart"/>
      <w:r w:rsidRPr="00C30ADD">
        <w:rPr>
          <w:rFonts w:ascii="Times New Roman" w:hAnsi="Times New Roman"/>
          <w:sz w:val="24"/>
          <w:szCs w:val="24"/>
        </w:rPr>
        <w:t>2018</w:t>
      </w:r>
      <w:proofErr w:type="gramEnd"/>
      <w:r w:rsidRPr="00C30ADD">
        <w:rPr>
          <w:rFonts w:ascii="Times New Roman" w:hAnsi="Times New Roman"/>
          <w:sz w:val="24"/>
          <w:szCs w:val="24"/>
        </w:rPr>
        <w:t xml:space="preserve"> through the date of the subject fire;</w:t>
      </w:r>
    </w:p>
    <w:p w14:paraId="5429CF0A"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Failed to meet their own submitted compliance deadlines and the City of Miami Beach’s compliance deadlines to install legally required sprinklers in all units on multiple floors, including the unit where the appellants moved the plaintiff and the decedent;</w:t>
      </w:r>
    </w:p>
    <w:p w14:paraId="62F88F8B"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Implemented a life-threatening policy whereby security guards and employees were instructed and required to acknowledge and then silence fire alarms immediately upon them sounding;</w:t>
      </w:r>
    </w:p>
    <w:p w14:paraId="74A7AA53"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xml:space="preserve">• </w:t>
      </w:r>
      <w:proofErr w:type="gramStart"/>
      <w:r w:rsidRPr="00C30ADD">
        <w:rPr>
          <w:rFonts w:ascii="Times New Roman" w:hAnsi="Times New Roman"/>
          <w:sz w:val="24"/>
          <w:szCs w:val="24"/>
        </w:rPr>
        <w:t>Specifically</w:t>
      </w:r>
      <w:proofErr w:type="gramEnd"/>
      <w:r w:rsidRPr="00C30ADD">
        <w:rPr>
          <w:rFonts w:ascii="Times New Roman" w:hAnsi="Times New Roman"/>
          <w:sz w:val="24"/>
          <w:szCs w:val="24"/>
        </w:rPr>
        <w:t xml:space="preserve"> and consciously placed the decedent, who was legally blind, in a unit on the fifteenth floor—a floor the City of Miami Beach Special Master had previously determined to be unsafe and on which the appellants were prohibited from placing tenants;</w:t>
      </w:r>
    </w:p>
    <w:p w14:paraId="5F3E2265"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xml:space="preserve">• Specifically and consciously placed the decedent in a unit on the fifteenth floor which lacked, among other things: (1) fire sprinklers, (2) the minimum number of code-compliant smoke alarms and/or detectors, (3) code-compliant smoke alarms and/or detectors (the subject smoke detection device expired in 2005) and (4) adequately maintained standpipes which provide a water supply; and </w:t>
      </w:r>
    </w:p>
    <w:p w14:paraId="6DBA5A6D" w14:textId="77777777" w:rsidR="00C30ADD" w:rsidRPr="00C30ADD" w:rsidRDefault="00C30ADD" w:rsidP="00C30ADD">
      <w:pPr>
        <w:pStyle w:val="NoSpacing"/>
        <w:rPr>
          <w:rFonts w:ascii="Times New Roman" w:hAnsi="Times New Roman"/>
          <w:sz w:val="24"/>
          <w:szCs w:val="24"/>
        </w:rPr>
      </w:pPr>
    </w:p>
    <w:p w14:paraId="212BEA5B"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 xml:space="preserve">• Continued to conduct hotel operations in violation of applicable codes, laws and administrative orders.” </w:t>
      </w:r>
    </w:p>
    <w:p w14:paraId="2CCA681F" w14:textId="77777777" w:rsidR="00C30ADD" w:rsidRDefault="00C30ADD" w:rsidP="00C30ADD">
      <w:pPr>
        <w:pStyle w:val="NoSpacing"/>
      </w:pPr>
    </w:p>
    <w:p w14:paraId="6C09368A" w14:textId="77777777" w:rsidR="00C30ADD" w:rsidRDefault="00C30ADD" w:rsidP="00C30ADD">
      <w:pPr>
        <w:pStyle w:val="NoSpacing"/>
      </w:pPr>
    </w:p>
    <w:p w14:paraId="7A44850F" w14:textId="77777777" w:rsidR="00E02F60" w:rsidRPr="00324C50" w:rsidRDefault="00E02F60" w:rsidP="00324C50">
      <w:pPr>
        <w:pStyle w:val="NoSpacing"/>
        <w:rPr>
          <w:rFonts w:ascii="Times New Roman" w:hAnsi="Times New Roman"/>
          <w:sz w:val="24"/>
          <w:szCs w:val="24"/>
        </w:rPr>
      </w:pPr>
    </w:p>
    <w:p w14:paraId="22478134" w14:textId="77777777" w:rsidR="00324C50" w:rsidRDefault="00324C50" w:rsidP="00B86628">
      <w:pPr>
        <w:pStyle w:val="NoSpacing"/>
        <w:rPr>
          <w:rFonts w:ascii="Arial Black" w:hAnsi="Arial Black"/>
          <w:sz w:val="24"/>
          <w:szCs w:val="24"/>
        </w:rPr>
      </w:pPr>
    </w:p>
    <w:p w14:paraId="724B468E" w14:textId="77777777" w:rsidR="00324C50" w:rsidRDefault="00324C50" w:rsidP="00B86628">
      <w:pPr>
        <w:pStyle w:val="NoSpacing"/>
        <w:rPr>
          <w:rFonts w:ascii="Arial Black" w:hAnsi="Arial Black"/>
          <w:sz w:val="24"/>
          <w:szCs w:val="24"/>
        </w:rPr>
      </w:pPr>
    </w:p>
    <w:p w14:paraId="13841FA7" w14:textId="77777777" w:rsidR="00324C50" w:rsidRDefault="00324C50" w:rsidP="00B86628">
      <w:pPr>
        <w:pStyle w:val="NoSpacing"/>
        <w:rPr>
          <w:rFonts w:ascii="Arial Black" w:hAnsi="Arial Black"/>
          <w:sz w:val="24"/>
          <w:szCs w:val="24"/>
        </w:rPr>
      </w:pPr>
    </w:p>
    <w:p w14:paraId="10ABDE7C" w14:textId="77777777" w:rsidR="00324C50" w:rsidRDefault="00324C50" w:rsidP="00B86628">
      <w:pPr>
        <w:pStyle w:val="NoSpacing"/>
        <w:rPr>
          <w:rFonts w:ascii="Arial Black" w:hAnsi="Arial Black"/>
          <w:sz w:val="24"/>
          <w:szCs w:val="24"/>
        </w:rPr>
      </w:pPr>
    </w:p>
    <w:p w14:paraId="079366CF" w14:textId="4EBF0190" w:rsidR="00AC44B8" w:rsidRDefault="007A4EAE" w:rsidP="00B86628">
      <w:pPr>
        <w:pStyle w:val="NoSpacing"/>
        <w:rPr>
          <w:rFonts w:ascii="Arial Black" w:hAnsi="Arial Black"/>
          <w:sz w:val="24"/>
          <w:szCs w:val="24"/>
        </w:rPr>
      </w:pPr>
      <w:r>
        <w:rPr>
          <w:rFonts w:ascii="Arial Black" w:hAnsi="Arial Black"/>
          <w:sz w:val="24"/>
          <w:szCs w:val="24"/>
        </w:rPr>
        <w:t>1-182</w:t>
      </w:r>
    </w:p>
    <w:p w14:paraId="08D66F7C" w14:textId="77777777" w:rsidR="00261BA4" w:rsidRDefault="00261BA4" w:rsidP="00B86628">
      <w:pPr>
        <w:pStyle w:val="NoSpacing"/>
        <w:rPr>
          <w:rFonts w:ascii="Arial Black" w:hAnsi="Arial Black"/>
          <w:sz w:val="24"/>
          <w:szCs w:val="24"/>
        </w:rPr>
      </w:pPr>
    </w:p>
    <w:p w14:paraId="4B605433" w14:textId="77777777" w:rsidR="00261BA4" w:rsidRDefault="00261BA4" w:rsidP="00261BA4">
      <w:pPr>
        <w:pStyle w:val="NoSpacing"/>
        <w:rPr>
          <w:rFonts w:ascii="Arial Black" w:hAnsi="Arial Black"/>
          <w:bCs/>
          <w:sz w:val="28"/>
          <w:szCs w:val="28"/>
        </w:rPr>
      </w:pPr>
      <w:r>
        <w:rPr>
          <w:rFonts w:ascii="Arial Black" w:hAnsi="Arial Black"/>
          <w:sz w:val="28"/>
          <w:szCs w:val="28"/>
        </w:rPr>
        <w:t>OH: HOUSE DEMOL – NOTIFY OWNER UNLESS FD “EMERG”</w:t>
      </w:r>
    </w:p>
    <w:p w14:paraId="498AFA76" w14:textId="77777777" w:rsidR="00261BA4" w:rsidRDefault="00261BA4" w:rsidP="00261BA4">
      <w:pPr>
        <w:pStyle w:val="NoSpacing"/>
      </w:pPr>
    </w:p>
    <w:p w14:paraId="73B75F6D" w14:textId="77777777" w:rsidR="00261BA4" w:rsidRPr="00261BA4" w:rsidRDefault="00261BA4" w:rsidP="00261BA4">
      <w:pPr>
        <w:pStyle w:val="NoSpacing"/>
        <w:rPr>
          <w:rFonts w:ascii="Times New Roman" w:hAnsi="Times New Roman"/>
          <w:sz w:val="24"/>
          <w:szCs w:val="24"/>
        </w:rPr>
      </w:pPr>
      <w:r w:rsidRPr="00261BA4">
        <w:rPr>
          <w:rFonts w:ascii="Times New Roman" w:hAnsi="Times New Roman"/>
          <w:sz w:val="24"/>
          <w:szCs w:val="24"/>
        </w:rPr>
        <w:t xml:space="preserve">On May 23, 2025, in </w:t>
      </w:r>
      <w:r w:rsidRPr="00261BA4">
        <w:rPr>
          <w:rFonts w:ascii="Times New Roman" w:hAnsi="Times New Roman"/>
          <w:sz w:val="24"/>
          <w:szCs w:val="24"/>
          <w:u w:val="single"/>
        </w:rPr>
        <w:t>Matthew J. Nicholson v. City of Youngstown, Ohio et al</w:t>
      </w:r>
      <w:r w:rsidRPr="00261BA4">
        <w:rPr>
          <w:rFonts w:ascii="Times New Roman" w:hAnsi="Times New Roman"/>
          <w:sz w:val="24"/>
          <w:szCs w:val="24"/>
        </w:rPr>
        <w:t xml:space="preserve">, the Ohio Court of Appeals for Seventh District (Mahoning) held (3 to 0) that trial court improperly granted summary judgment to the City, since owner was never notified prior to the demolition.  Case returned to trial court; the </w:t>
      </w:r>
      <w:proofErr w:type="gramStart"/>
      <w:r w:rsidRPr="00261BA4">
        <w:rPr>
          <w:rFonts w:ascii="Times New Roman" w:hAnsi="Times New Roman"/>
          <w:sz w:val="24"/>
          <w:szCs w:val="24"/>
        </w:rPr>
        <w:t>City</w:t>
      </w:r>
      <w:proofErr w:type="gramEnd"/>
      <w:r w:rsidRPr="00261BA4">
        <w:rPr>
          <w:rFonts w:ascii="Times New Roman" w:hAnsi="Times New Roman"/>
          <w:sz w:val="24"/>
          <w:szCs w:val="24"/>
        </w:rPr>
        <w:t xml:space="preserve"> must file affidavit or other proof than “emergency” existed </w:t>
      </w:r>
      <w:proofErr w:type="gramStart"/>
      <w:r w:rsidRPr="00261BA4">
        <w:rPr>
          <w:rFonts w:ascii="Times New Roman" w:hAnsi="Times New Roman"/>
          <w:sz w:val="24"/>
          <w:szCs w:val="24"/>
        </w:rPr>
        <w:t>in order to</w:t>
      </w:r>
      <w:proofErr w:type="gramEnd"/>
      <w:r w:rsidRPr="00261BA4">
        <w:rPr>
          <w:rFonts w:ascii="Times New Roman" w:hAnsi="Times New Roman"/>
          <w:sz w:val="24"/>
          <w:szCs w:val="24"/>
        </w:rPr>
        <w:t xml:space="preserve"> collect $7,038.05 demolition charge.</w:t>
      </w:r>
    </w:p>
    <w:p w14:paraId="5CD4BB47" w14:textId="77777777" w:rsidR="00261BA4" w:rsidRPr="00261BA4" w:rsidRDefault="00261BA4" w:rsidP="00261BA4">
      <w:pPr>
        <w:pStyle w:val="NoSpacing"/>
        <w:rPr>
          <w:rFonts w:ascii="Times New Roman" w:hAnsi="Times New Roman"/>
          <w:sz w:val="24"/>
          <w:szCs w:val="24"/>
        </w:rPr>
      </w:pPr>
    </w:p>
    <w:p w14:paraId="6821752C" w14:textId="77777777" w:rsidR="00261BA4" w:rsidRPr="00261BA4" w:rsidRDefault="00261BA4" w:rsidP="00261BA4">
      <w:pPr>
        <w:pStyle w:val="NoSpacing"/>
        <w:rPr>
          <w:rFonts w:ascii="Times New Roman" w:hAnsi="Times New Roman"/>
          <w:sz w:val="24"/>
          <w:szCs w:val="24"/>
        </w:rPr>
      </w:pPr>
      <w:r w:rsidRPr="00261BA4">
        <w:rPr>
          <w:rFonts w:ascii="Times New Roman" w:hAnsi="Times New Roman"/>
          <w:sz w:val="24"/>
          <w:szCs w:val="24"/>
        </w:rPr>
        <w:t>The Court wrote:</w:t>
      </w:r>
    </w:p>
    <w:p w14:paraId="669905C7" w14:textId="77777777" w:rsidR="00261BA4" w:rsidRPr="00261BA4" w:rsidRDefault="00261BA4" w:rsidP="00261BA4">
      <w:pPr>
        <w:pStyle w:val="NoSpacing"/>
        <w:ind w:left="720"/>
        <w:rPr>
          <w:rFonts w:ascii="Times New Roman" w:hAnsi="Times New Roman"/>
          <w:sz w:val="24"/>
          <w:szCs w:val="24"/>
        </w:rPr>
      </w:pPr>
    </w:p>
    <w:p w14:paraId="2A745151" w14:textId="177F999C" w:rsidR="00261BA4" w:rsidRPr="00261BA4" w:rsidRDefault="00261BA4" w:rsidP="00261BA4">
      <w:pPr>
        <w:pStyle w:val="NoSpacing"/>
        <w:rPr>
          <w:rFonts w:ascii="Times New Roman" w:hAnsi="Times New Roman"/>
          <w:sz w:val="24"/>
          <w:szCs w:val="24"/>
        </w:rPr>
      </w:pPr>
      <w:r w:rsidRPr="00261BA4">
        <w:rPr>
          <w:rFonts w:ascii="Times New Roman" w:hAnsi="Times New Roman"/>
          <w:sz w:val="24"/>
          <w:szCs w:val="24"/>
        </w:rPr>
        <w:t xml:space="preserve">Appellees [City] admitted they knew or should have known that Appellant was the owner of the property. In their trial court documents they argued that prior notice was unnecessary because the Fire Chief declared that the house was a public health hazard, that it created an immediate threat to public health and safety, and as such, its condition constituted an emergency. They cited Youngstown Codified Ordinance 1525.01(c) that allows the Fire Chief to order the demolition of any unsafe structure in case of an emergency. They also cited Youngstown Codified Ordinance 1309.04, stating that emergency demolitions require no prior notice to the property owner. They submitted no evidence in support of the alleged emergency.” </w:t>
      </w:r>
      <w:hyperlink r:id="rId61" w:history="1">
        <w:r w:rsidRPr="00261BA4">
          <w:rPr>
            <w:rStyle w:val="Hyperlink"/>
            <w:rFonts w:ascii="Times New Roman" w:hAnsi="Times New Roman"/>
            <w:sz w:val="24"/>
            <w:szCs w:val="24"/>
          </w:rPr>
          <w:t>https://www.supremecourt.ohio.gov/rod/docs/pdf/7/2025/2025-Ohio-1915.pdf</w:t>
        </w:r>
      </w:hyperlink>
    </w:p>
    <w:p w14:paraId="5575F720" w14:textId="77777777" w:rsidR="00AC44B8" w:rsidRDefault="00AC44B8" w:rsidP="00B86628">
      <w:pPr>
        <w:pStyle w:val="NoSpacing"/>
        <w:rPr>
          <w:rFonts w:ascii="Times New Roman" w:hAnsi="Times New Roman"/>
          <w:sz w:val="24"/>
          <w:szCs w:val="24"/>
        </w:rPr>
      </w:pPr>
    </w:p>
    <w:p w14:paraId="0CD4C78B" w14:textId="121426E2" w:rsidR="007959FD" w:rsidRDefault="007959FD" w:rsidP="007959FD">
      <w:pPr>
        <w:pStyle w:val="NoSpacing"/>
        <w:rPr>
          <w:rFonts w:ascii="Times New Roman" w:hAnsi="Times New Roman"/>
          <w:b/>
          <w:sz w:val="24"/>
          <w:szCs w:val="24"/>
        </w:rPr>
      </w:pPr>
      <w:r w:rsidRPr="007959FD">
        <w:rPr>
          <w:rFonts w:ascii="Times New Roman" w:hAnsi="Times New Roman"/>
          <w:b/>
          <w:sz w:val="24"/>
          <w:szCs w:val="24"/>
        </w:rPr>
        <w:lastRenderedPageBreak/>
        <w:t xml:space="preserve">Legal Lesson Learned: Unless a true emergency exists, </w:t>
      </w:r>
      <w:r w:rsidRPr="007959FD">
        <w:rPr>
          <w:rFonts w:ascii="Times New Roman" w:hAnsi="Times New Roman"/>
          <w:b/>
          <w:bCs/>
          <w:sz w:val="24"/>
          <w:szCs w:val="24"/>
        </w:rPr>
        <w:t>City cannot</w:t>
      </w:r>
      <w:r w:rsidRPr="007959FD">
        <w:rPr>
          <w:rFonts w:ascii="Times New Roman" w:hAnsi="Times New Roman"/>
          <w:b/>
          <w:sz w:val="24"/>
          <w:szCs w:val="24"/>
        </w:rPr>
        <w:t xml:space="preserve"> demolish a home without notice to owner and opportunity to challenge the demolition order.</w:t>
      </w:r>
    </w:p>
    <w:p w14:paraId="1B7D361E" w14:textId="77777777" w:rsidR="000C756B" w:rsidRDefault="000C756B" w:rsidP="007959FD">
      <w:pPr>
        <w:pStyle w:val="NoSpacing"/>
        <w:rPr>
          <w:rFonts w:ascii="Times New Roman" w:hAnsi="Times New Roman"/>
          <w:b/>
          <w:sz w:val="24"/>
          <w:szCs w:val="24"/>
        </w:rPr>
      </w:pPr>
    </w:p>
    <w:p w14:paraId="503E2A2A" w14:textId="77777777" w:rsidR="000C756B" w:rsidRDefault="000C756B" w:rsidP="007959FD">
      <w:pPr>
        <w:pStyle w:val="NoSpacing"/>
        <w:rPr>
          <w:rFonts w:ascii="Times New Roman" w:hAnsi="Times New Roman"/>
          <w:b/>
          <w:sz w:val="24"/>
          <w:szCs w:val="24"/>
        </w:rPr>
      </w:pPr>
    </w:p>
    <w:p w14:paraId="04C136D8" w14:textId="77777777" w:rsidR="000C756B" w:rsidRDefault="000C756B" w:rsidP="007959FD">
      <w:pPr>
        <w:pStyle w:val="NoSpacing"/>
        <w:rPr>
          <w:rFonts w:ascii="Times New Roman" w:hAnsi="Times New Roman"/>
          <w:b/>
          <w:sz w:val="24"/>
          <w:szCs w:val="24"/>
        </w:rPr>
      </w:pPr>
    </w:p>
    <w:p w14:paraId="3AE2205B" w14:textId="265FE5DD" w:rsidR="002249FF" w:rsidRDefault="007A4EAE" w:rsidP="000C756B">
      <w:pPr>
        <w:pStyle w:val="NoSpacing"/>
        <w:rPr>
          <w:rFonts w:ascii="Arial Black" w:hAnsi="Arial Black"/>
          <w:sz w:val="28"/>
          <w:szCs w:val="28"/>
        </w:rPr>
      </w:pPr>
      <w:r>
        <w:rPr>
          <w:rFonts w:ascii="Arial Black" w:hAnsi="Arial Black"/>
          <w:sz w:val="28"/>
          <w:szCs w:val="28"/>
        </w:rPr>
        <w:t>1-181</w:t>
      </w:r>
    </w:p>
    <w:p w14:paraId="6C45390C" w14:textId="77777777" w:rsidR="002249FF" w:rsidRDefault="002249FF" w:rsidP="000C756B">
      <w:pPr>
        <w:pStyle w:val="NoSpacing"/>
        <w:rPr>
          <w:rFonts w:ascii="Arial Black" w:hAnsi="Arial Black"/>
          <w:sz w:val="28"/>
          <w:szCs w:val="28"/>
        </w:rPr>
      </w:pPr>
    </w:p>
    <w:p w14:paraId="6EC78121" w14:textId="10000825" w:rsidR="000C756B" w:rsidRPr="006F2B87" w:rsidRDefault="000C756B" w:rsidP="000C756B">
      <w:pPr>
        <w:pStyle w:val="NoSpacing"/>
        <w:rPr>
          <w:rFonts w:ascii="Arial Black" w:hAnsi="Arial Black"/>
          <w:sz w:val="28"/>
          <w:szCs w:val="28"/>
        </w:rPr>
      </w:pPr>
      <w:r w:rsidRPr="006F2B87">
        <w:rPr>
          <w:rFonts w:ascii="Arial Black" w:hAnsi="Arial Black"/>
          <w:sz w:val="28"/>
          <w:szCs w:val="28"/>
        </w:rPr>
        <w:t>MA: CLASS ACTION - IONIZATION SMOKE ALARMS – EXPERT</w:t>
      </w:r>
    </w:p>
    <w:p w14:paraId="76B1B197" w14:textId="77777777" w:rsidR="000C756B" w:rsidRPr="006F2B87" w:rsidRDefault="000C756B" w:rsidP="000C756B">
      <w:pPr>
        <w:pStyle w:val="NoSpacing"/>
      </w:pPr>
    </w:p>
    <w:p w14:paraId="19F6EF8F" w14:textId="77777777" w:rsidR="000C756B" w:rsidRPr="000C756B" w:rsidRDefault="000C756B" w:rsidP="000C756B">
      <w:pPr>
        <w:pStyle w:val="NoSpacing"/>
        <w:rPr>
          <w:rFonts w:ascii="Times New Roman" w:hAnsi="Times New Roman"/>
          <w:sz w:val="24"/>
          <w:szCs w:val="24"/>
        </w:rPr>
      </w:pPr>
      <w:r w:rsidRPr="000C756B">
        <w:rPr>
          <w:rFonts w:ascii="Times New Roman" w:hAnsi="Times New Roman"/>
          <w:sz w:val="24"/>
          <w:szCs w:val="24"/>
        </w:rPr>
        <w:t xml:space="preserve">On May 16, 2025, in </w:t>
      </w:r>
      <w:r w:rsidRPr="000C756B">
        <w:rPr>
          <w:rFonts w:ascii="Times New Roman" w:hAnsi="Times New Roman"/>
          <w:sz w:val="24"/>
          <w:szCs w:val="24"/>
          <w:u w:val="single"/>
        </w:rPr>
        <w:t>Stephen Pons, Caroline Coleman, Charles Bellavia, and Terri Letzman, on behalf of themselves and all others similarly situated v. Walter Kidde Portable Equipment, d/b/a Kidde Safety Equipment and BRK Brands, Inc</w:t>
      </w:r>
      <w:r w:rsidRPr="000C756B">
        <w:rPr>
          <w:rFonts w:ascii="Times New Roman" w:hAnsi="Times New Roman"/>
          <w:sz w:val="24"/>
          <w:szCs w:val="24"/>
        </w:rPr>
        <w:t xml:space="preserve">., U.S. District Court Judge Julia E. </w:t>
      </w:r>
      <w:proofErr w:type="spellStart"/>
      <w:r w:rsidRPr="000C756B">
        <w:rPr>
          <w:rFonts w:ascii="Times New Roman" w:hAnsi="Times New Roman"/>
          <w:sz w:val="24"/>
          <w:szCs w:val="24"/>
        </w:rPr>
        <w:t>Kobick</w:t>
      </w:r>
      <w:proofErr w:type="spellEnd"/>
      <w:r w:rsidRPr="000C756B">
        <w:rPr>
          <w:rFonts w:ascii="Times New Roman" w:hAnsi="Times New Roman"/>
          <w:sz w:val="24"/>
          <w:szCs w:val="24"/>
        </w:rPr>
        <w:t xml:space="preserve">, United States District Court for the District of Massachusetts, held that the defense is entitled to e-mails and other documents exchanged between Joseph Flemming, former Deputy Fire Chief of the Boston Fire Department, and plaintiffs’ legal counsel, even if he was not retained as expert witness for plaintiffs in this class action filed in California.  Chief Flemming’s deposition was taken in Boston on Feb. 27, </w:t>
      </w:r>
      <w:proofErr w:type="gramStart"/>
      <w:r w:rsidRPr="000C756B">
        <w:rPr>
          <w:rFonts w:ascii="Times New Roman" w:hAnsi="Times New Roman"/>
          <w:sz w:val="24"/>
          <w:szCs w:val="24"/>
        </w:rPr>
        <w:t>2025</w:t>
      </w:r>
      <w:proofErr w:type="gramEnd"/>
      <w:r w:rsidRPr="000C756B">
        <w:rPr>
          <w:rFonts w:ascii="Times New Roman" w:hAnsi="Times New Roman"/>
          <w:sz w:val="24"/>
          <w:szCs w:val="24"/>
        </w:rPr>
        <w:t xml:space="preserve"> by both sides.  </w:t>
      </w:r>
    </w:p>
    <w:p w14:paraId="3151049C" w14:textId="77777777" w:rsidR="000C756B" w:rsidRPr="000C756B" w:rsidRDefault="000C756B" w:rsidP="000C756B">
      <w:pPr>
        <w:pStyle w:val="NoSpacing"/>
        <w:rPr>
          <w:rFonts w:ascii="Times New Roman" w:hAnsi="Times New Roman"/>
          <w:sz w:val="24"/>
          <w:szCs w:val="24"/>
        </w:rPr>
      </w:pPr>
    </w:p>
    <w:p w14:paraId="0C2AAF57" w14:textId="77777777" w:rsidR="000C756B" w:rsidRPr="000C756B" w:rsidRDefault="000C756B" w:rsidP="000C756B">
      <w:pPr>
        <w:pStyle w:val="NoSpacing"/>
        <w:rPr>
          <w:rFonts w:ascii="Times New Roman" w:hAnsi="Times New Roman"/>
          <w:sz w:val="24"/>
          <w:szCs w:val="24"/>
        </w:rPr>
      </w:pPr>
      <w:r w:rsidRPr="000C756B">
        <w:rPr>
          <w:rFonts w:ascii="Times New Roman" w:hAnsi="Times New Roman"/>
          <w:sz w:val="24"/>
          <w:szCs w:val="24"/>
        </w:rPr>
        <w:t xml:space="preserve">The Court wrote: “Joseph Fleming is a former Deputy Fire Chief of the Boston Fire Department…. He is a ‘longtime, vocal advocate of restricting the use of ionization-only devices’ and ‘has testified as an expert in numerous cases over the past couple of decades involving deaths or grave injuries in which an ionization device did not timely sound during a home fire.’… Between April and July 2024, he exchanged about twenty emails with plaintiffs’ counsel regarding his potential engagement as an expert witness…. Ultimately, Fleming was not retained, but the plaintiffs subpoenaed Fleming as a fact witness for a February 27, </w:t>
      </w:r>
      <w:proofErr w:type="gramStart"/>
      <w:r w:rsidRPr="000C756B">
        <w:rPr>
          <w:rFonts w:ascii="Times New Roman" w:hAnsi="Times New Roman"/>
          <w:sz w:val="24"/>
          <w:szCs w:val="24"/>
        </w:rPr>
        <w:t>2025</w:t>
      </w:r>
      <w:proofErr w:type="gramEnd"/>
      <w:r w:rsidRPr="000C756B">
        <w:rPr>
          <w:rFonts w:ascii="Times New Roman" w:hAnsi="Times New Roman"/>
          <w:sz w:val="24"/>
          <w:szCs w:val="24"/>
        </w:rPr>
        <w:t xml:space="preserve"> deposition to testify about his participation on a committee of Underwriters Laboratories, Inc., which ‘sets the standards and protocols for laboratory testing of home smoke alarm products.’ …  As part of his work on that committee, Fleming supported the development of new fire testing requirements, which resulted in design changes to smoke detectors made by Kidde and co-defendant BRK Brands Inc. *** [Plaintiffs] on behalf of themselves and all others similarly situated, have moved for a protective order against a subpoena for documents issued by defendant Walter Kidde Portable Equipment, Inc. to third-party fact witness Joseph Fleming. </w:t>
      </w:r>
      <w:proofErr w:type="gramStart"/>
      <w:r w:rsidRPr="000C756B">
        <w:rPr>
          <w:rFonts w:ascii="Times New Roman" w:hAnsi="Times New Roman"/>
          <w:sz w:val="24"/>
          <w:szCs w:val="24"/>
        </w:rPr>
        <w:t>For the reasons that</w:t>
      </w:r>
      <w:proofErr w:type="gramEnd"/>
      <w:r w:rsidRPr="000C756B">
        <w:rPr>
          <w:rFonts w:ascii="Times New Roman" w:hAnsi="Times New Roman"/>
          <w:sz w:val="24"/>
          <w:szCs w:val="24"/>
        </w:rPr>
        <w:t xml:space="preserve"> follow, that motion, which will be construed as a motion to quash, will be denied…. In short, the plaintiffs have waived their privilege against disclosure of work product contained in their counsels’ emails with Fleming, and they are not entitled to an order quashing Kidde’s document subpoena.” </w:t>
      </w:r>
      <w:hyperlink r:id="rId62" w:history="1">
        <w:r w:rsidRPr="000C756B">
          <w:rPr>
            <w:rStyle w:val="Hyperlink"/>
            <w:rFonts w:ascii="Times New Roman" w:hAnsi="Times New Roman"/>
            <w:sz w:val="24"/>
            <w:szCs w:val="24"/>
          </w:rPr>
          <w:t>https://cases.justia.com/federal/district-courts/massachusetts/madce/1:2025mc91106/281992/17/0.pdf?ts=1747471889</w:t>
        </w:r>
      </w:hyperlink>
      <w:r w:rsidRPr="000C756B">
        <w:rPr>
          <w:rFonts w:ascii="Times New Roman" w:hAnsi="Times New Roman"/>
          <w:sz w:val="24"/>
          <w:szCs w:val="24"/>
        </w:rPr>
        <w:t xml:space="preserve"> </w:t>
      </w:r>
    </w:p>
    <w:p w14:paraId="551DAECB" w14:textId="77777777" w:rsidR="000C756B" w:rsidRDefault="000C756B" w:rsidP="007959FD">
      <w:pPr>
        <w:pStyle w:val="NoSpacing"/>
        <w:rPr>
          <w:rFonts w:ascii="Times New Roman" w:hAnsi="Times New Roman"/>
          <w:b/>
          <w:bCs/>
          <w:sz w:val="24"/>
          <w:szCs w:val="24"/>
        </w:rPr>
      </w:pPr>
    </w:p>
    <w:p w14:paraId="406391F8" w14:textId="49AA1092" w:rsidR="002B2465" w:rsidRPr="002B2465" w:rsidRDefault="002B2465" w:rsidP="002B2465">
      <w:pPr>
        <w:pStyle w:val="NoSpacing"/>
        <w:rPr>
          <w:rFonts w:ascii="Times New Roman" w:hAnsi="Times New Roman"/>
          <w:b/>
          <w:bCs/>
          <w:sz w:val="24"/>
          <w:szCs w:val="24"/>
        </w:rPr>
      </w:pPr>
      <w:r w:rsidRPr="002B2465">
        <w:rPr>
          <w:rFonts w:ascii="Times New Roman" w:hAnsi="Times New Roman"/>
          <w:b/>
          <w:sz w:val="24"/>
          <w:szCs w:val="24"/>
        </w:rPr>
        <w:t>Legal Lesson Learned: Expert witnesses can be deposed, and their communications with plaintiff’s counsel can be subject</w:t>
      </w:r>
      <w:r w:rsidRPr="002B2465">
        <w:rPr>
          <w:rFonts w:ascii="Times New Roman" w:hAnsi="Times New Roman"/>
          <w:b/>
          <w:bCs/>
          <w:sz w:val="24"/>
          <w:szCs w:val="24"/>
        </w:rPr>
        <w:t xml:space="preserve"> of pre-trial discovery</w:t>
      </w:r>
      <w:r w:rsidR="00691181">
        <w:rPr>
          <w:rFonts w:ascii="Times New Roman" w:hAnsi="Times New Roman"/>
          <w:b/>
          <w:sz w:val="24"/>
          <w:szCs w:val="24"/>
        </w:rPr>
        <w:t xml:space="preserve"> issues.</w:t>
      </w:r>
    </w:p>
    <w:p w14:paraId="46E3B14F" w14:textId="77777777" w:rsidR="002B2465" w:rsidRPr="002B2465" w:rsidRDefault="002B2465" w:rsidP="002B2465">
      <w:pPr>
        <w:pStyle w:val="NoSpacing"/>
        <w:rPr>
          <w:rFonts w:ascii="Times New Roman" w:hAnsi="Times New Roman"/>
          <w:b/>
          <w:bCs/>
          <w:sz w:val="24"/>
          <w:szCs w:val="24"/>
        </w:rPr>
      </w:pPr>
    </w:p>
    <w:p w14:paraId="2815F1DA" w14:textId="77777777" w:rsidR="002B2465" w:rsidRP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 xml:space="preserve">Note: See April 2, </w:t>
      </w:r>
      <w:proofErr w:type="gramStart"/>
      <w:r w:rsidRPr="002B2465">
        <w:rPr>
          <w:rFonts w:ascii="Times New Roman" w:hAnsi="Times New Roman"/>
          <w:sz w:val="24"/>
          <w:szCs w:val="24"/>
        </w:rPr>
        <w:t>2025</w:t>
      </w:r>
      <w:proofErr w:type="gramEnd"/>
      <w:r w:rsidRPr="002B2465">
        <w:rPr>
          <w:rFonts w:ascii="Times New Roman" w:hAnsi="Times New Roman"/>
          <w:sz w:val="24"/>
          <w:szCs w:val="24"/>
        </w:rPr>
        <w:t xml:space="preserve"> video on Ionization v. Photoelectric alarms: </w:t>
      </w:r>
      <w:hyperlink r:id="rId63" w:history="1">
        <w:r w:rsidRPr="002B2465">
          <w:rPr>
            <w:rStyle w:val="Hyperlink"/>
            <w:rFonts w:ascii="Times New Roman" w:hAnsi="Times New Roman"/>
            <w:sz w:val="24"/>
            <w:szCs w:val="24"/>
          </w:rPr>
          <w:t>https://www.youtube.com/watch?v=pYAlJLy1R8U</w:t>
        </w:r>
      </w:hyperlink>
      <w:r w:rsidRPr="002B2465">
        <w:rPr>
          <w:rFonts w:ascii="Times New Roman" w:hAnsi="Times New Roman"/>
          <w:sz w:val="24"/>
          <w:szCs w:val="24"/>
        </w:rPr>
        <w:t xml:space="preserve"> </w:t>
      </w:r>
    </w:p>
    <w:p w14:paraId="6CEBFCFA" w14:textId="77777777" w:rsidR="002B2465" w:rsidRPr="002B2465" w:rsidRDefault="002B2465" w:rsidP="002B2465">
      <w:pPr>
        <w:pStyle w:val="NoSpacing"/>
        <w:ind w:left="720"/>
        <w:rPr>
          <w:rFonts w:ascii="Times New Roman" w:hAnsi="Times New Roman"/>
          <w:sz w:val="24"/>
          <w:szCs w:val="24"/>
        </w:rPr>
      </w:pPr>
    </w:p>
    <w:p w14:paraId="3454F948" w14:textId="77777777" w:rsidR="002B2465" w:rsidRP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 xml:space="preserve">See also: U.S. Fire Administration publication. </w:t>
      </w:r>
      <w:hyperlink r:id="rId64" w:history="1">
        <w:r w:rsidRPr="002B2465">
          <w:rPr>
            <w:rStyle w:val="Hyperlink"/>
            <w:rFonts w:ascii="Times New Roman" w:hAnsi="Times New Roman"/>
            <w:sz w:val="24"/>
            <w:szCs w:val="24"/>
          </w:rPr>
          <w:t>https://www.usfa.fema.gov/prevention/home-fires/prepare-for-fire/smoke-alarms/</w:t>
        </w:r>
      </w:hyperlink>
      <w:r w:rsidRPr="002B2465">
        <w:rPr>
          <w:rFonts w:ascii="Times New Roman" w:hAnsi="Times New Roman"/>
          <w:sz w:val="24"/>
          <w:szCs w:val="24"/>
        </w:rPr>
        <w:t xml:space="preserve"> </w:t>
      </w:r>
    </w:p>
    <w:p w14:paraId="3AEC1FBD" w14:textId="77777777" w:rsidR="002B2465" w:rsidRP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“There are many brands of smoke alarms on the market, but they fall under 2 basic types: ionization and photoelectric. Ionization and photoelectric smoke alarms detect different types of fires. Since no one can predict what type of fire might start in their home, the U.S. Fire Administration recommends that every home and place where people sleep have:</w:t>
      </w:r>
    </w:p>
    <w:p w14:paraId="0F8A74AC" w14:textId="77777777" w:rsidR="002B2465" w:rsidRPr="002B2465" w:rsidRDefault="002B2465" w:rsidP="002B2465">
      <w:pPr>
        <w:pStyle w:val="NoSpacing"/>
        <w:numPr>
          <w:ilvl w:val="0"/>
          <w:numId w:val="27"/>
        </w:numPr>
        <w:rPr>
          <w:rFonts w:ascii="Times New Roman" w:hAnsi="Times New Roman"/>
          <w:sz w:val="24"/>
          <w:szCs w:val="24"/>
        </w:rPr>
      </w:pPr>
      <w:r w:rsidRPr="002B2465">
        <w:rPr>
          <w:rFonts w:ascii="Times New Roman" w:hAnsi="Times New Roman"/>
          <w:sz w:val="24"/>
          <w:szCs w:val="24"/>
        </w:rPr>
        <w:t>Both ionization AND photoelectric smoke alarms, OR</w:t>
      </w:r>
    </w:p>
    <w:p w14:paraId="4DAAAA3F" w14:textId="77777777" w:rsidR="002B2465" w:rsidRPr="002B2465" w:rsidRDefault="002B2465" w:rsidP="002B2465">
      <w:pPr>
        <w:pStyle w:val="NoSpacing"/>
        <w:numPr>
          <w:ilvl w:val="0"/>
          <w:numId w:val="27"/>
        </w:numPr>
        <w:rPr>
          <w:rFonts w:ascii="Times New Roman" w:hAnsi="Times New Roman"/>
          <w:sz w:val="24"/>
          <w:szCs w:val="24"/>
        </w:rPr>
      </w:pPr>
      <w:r w:rsidRPr="002B2465">
        <w:rPr>
          <w:rFonts w:ascii="Times New Roman" w:hAnsi="Times New Roman"/>
          <w:sz w:val="24"/>
          <w:szCs w:val="24"/>
        </w:rPr>
        <w:t>Dual-sensor smoke alarms, which contain both ionization and photoelectric smoke sensors.</w:t>
      </w:r>
    </w:p>
    <w:p w14:paraId="275222D5" w14:textId="77777777" w:rsidR="002B2465" w:rsidRPr="002B2465" w:rsidRDefault="002B2465" w:rsidP="002B2465">
      <w:pPr>
        <w:pStyle w:val="NoSpacing"/>
        <w:ind w:firstLine="720"/>
        <w:rPr>
          <w:rFonts w:ascii="Times New Roman" w:hAnsi="Times New Roman"/>
          <w:sz w:val="24"/>
          <w:szCs w:val="24"/>
        </w:rPr>
      </w:pPr>
      <w:r w:rsidRPr="002B2465">
        <w:rPr>
          <w:rFonts w:ascii="Times New Roman" w:hAnsi="Times New Roman"/>
          <w:sz w:val="24"/>
          <w:szCs w:val="24"/>
        </w:rPr>
        <w:t>Choose interconnected smoke alarms so that when one sounds, they all sound.</w:t>
      </w:r>
    </w:p>
    <w:p w14:paraId="150F0718" w14:textId="77777777" w:rsid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lastRenderedPageBreak/>
        <w:t>There are also alarms for people with hearing loss. These alarms may have strobe lights that flash and/or vibrate to alert those who are unable to hear standard smoke alarms when they sound.”</w:t>
      </w:r>
    </w:p>
    <w:p w14:paraId="5788AC45" w14:textId="77777777" w:rsidR="00A35301" w:rsidRDefault="00A35301" w:rsidP="002B2465">
      <w:pPr>
        <w:pStyle w:val="NoSpacing"/>
        <w:ind w:left="720"/>
        <w:rPr>
          <w:rFonts w:ascii="Times New Roman" w:hAnsi="Times New Roman"/>
          <w:sz w:val="24"/>
          <w:szCs w:val="24"/>
        </w:rPr>
      </w:pPr>
    </w:p>
    <w:p w14:paraId="5B2C1940" w14:textId="77777777" w:rsidR="00A35301" w:rsidRDefault="00A35301" w:rsidP="002B2465">
      <w:pPr>
        <w:pStyle w:val="NoSpacing"/>
        <w:ind w:left="720"/>
        <w:rPr>
          <w:rFonts w:ascii="Times New Roman" w:hAnsi="Times New Roman"/>
          <w:sz w:val="24"/>
          <w:szCs w:val="24"/>
        </w:rPr>
      </w:pPr>
    </w:p>
    <w:p w14:paraId="14C6B2DD" w14:textId="61868A1E" w:rsidR="00A35301" w:rsidRPr="002249FF" w:rsidRDefault="007A4EAE" w:rsidP="002249FF">
      <w:pPr>
        <w:pStyle w:val="NoSpacing"/>
        <w:rPr>
          <w:rFonts w:ascii="Arial Black" w:hAnsi="Arial Black"/>
          <w:sz w:val="24"/>
          <w:szCs w:val="24"/>
        </w:rPr>
      </w:pPr>
      <w:r>
        <w:rPr>
          <w:rFonts w:ascii="Arial Black" w:hAnsi="Arial Black"/>
          <w:sz w:val="24"/>
          <w:szCs w:val="24"/>
        </w:rPr>
        <w:t>1-180</w:t>
      </w:r>
    </w:p>
    <w:p w14:paraId="17D352EB" w14:textId="77777777" w:rsidR="00A35301" w:rsidRDefault="00A35301" w:rsidP="002B2465">
      <w:pPr>
        <w:pStyle w:val="NoSpacing"/>
        <w:ind w:left="720"/>
        <w:rPr>
          <w:rFonts w:ascii="Times New Roman" w:hAnsi="Times New Roman"/>
          <w:sz w:val="24"/>
          <w:szCs w:val="24"/>
        </w:rPr>
      </w:pPr>
    </w:p>
    <w:p w14:paraId="16B7B5B8" w14:textId="790187C4" w:rsidR="00A35301" w:rsidRPr="006F2B87" w:rsidRDefault="00A35301" w:rsidP="00A35301">
      <w:pPr>
        <w:pStyle w:val="NoSpacing"/>
        <w:rPr>
          <w:rFonts w:ascii="Arial Black" w:hAnsi="Arial Black"/>
          <w:sz w:val="28"/>
          <w:szCs w:val="28"/>
        </w:rPr>
      </w:pPr>
      <w:r w:rsidRPr="006F2B87">
        <w:rPr>
          <w:rFonts w:ascii="Arial Black" w:hAnsi="Arial Black"/>
          <w:sz w:val="28"/>
          <w:szCs w:val="28"/>
        </w:rPr>
        <w:t>A</w:t>
      </w:r>
      <w:r w:rsidR="00376E23">
        <w:rPr>
          <w:rFonts w:ascii="Arial Black" w:hAnsi="Arial Black"/>
          <w:sz w:val="28"/>
          <w:szCs w:val="28"/>
        </w:rPr>
        <w:t>Z</w:t>
      </w:r>
      <w:r w:rsidRPr="006F2B87">
        <w:rPr>
          <w:rFonts w:ascii="Arial Black" w:hAnsi="Arial Black"/>
          <w:sz w:val="28"/>
          <w:szCs w:val="28"/>
        </w:rPr>
        <w:t xml:space="preserve">: ARSON – VEHICLE FIRE </w:t>
      </w:r>
      <w:r>
        <w:rPr>
          <w:rFonts w:ascii="Arial Black" w:hAnsi="Arial Black"/>
          <w:sz w:val="28"/>
          <w:szCs w:val="28"/>
        </w:rPr>
        <w:t xml:space="preserve">- </w:t>
      </w:r>
      <w:r w:rsidRPr="006F2B87">
        <w:rPr>
          <w:rFonts w:ascii="Arial Black" w:hAnsi="Arial Black"/>
          <w:sz w:val="28"/>
          <w:szCs w:val="28"/>
        </w:rPr>
        <w:t xml:space="preserve">“OCCUPIED STRUCTURE” </w:t>
      </w:r>
    </w:p>
    <w:p w14:paraId="20C310C4" w14:textId="77777777" w:rsidR="00A35301" w:rsidRPr="006F2B87" w:rsidRDefault="00A35301" w:rsidP="00A35301">
      <w:pPr>
        <w:pStyle w:val="NoSpacing"/>
      </w:pPr>
    </w:p>
    <w:p w14:paraId="7666ED2A" w14:textId="77777777" w:rsidR="00A35301" w:rsidRPr="00A35301" w:rsidRDefault="00A35301" w:rsidP="00A35301">
      <w:pPr>
        <w:pStyle w:val="NoSpacing"/>
        <w:rPr>
          <w:rFonts w:ascii="Times New Roman" w:hAnsi="Times New Roman"/>
          <w:sz w:val="24"/>
          <w:szCs w:val="24"/>
        </w:rPr>
      </w:pPr>
      <w:r w:rsidRPr="00A35301">
        <w:rPr>
          <w:rFonts w:ascii="Times New Roman" w:hAnsi="Times New Roman"/>
          <w:sz w:val="24"/>
          <w:szCs w:val="24"/>
        </w:rPr>
        <w:t xml:space="preserve">On May 4, 2025, in </w:t>
      </w:r>
      <w:r w:rsidRPr="00A35301">
        <w:rPr>
          <w:rFonts w:ascii="Times New Roman" w:hAnsi="Times New Roman"/>
          <w:sz w:val="24"/>
          <w:szCs w:val="24"/>
          <w:u w:val="single"/>
        </w:rPr>
        <w:t>State of Arizona v. Edward Serrato, III</w:t>
      </w:r>
      <w:r w:rsidRPr="00A35301">
        <w:rPr>
          <w:rFonts w:ascii="Times New Roman" w:hAnsi="Times New Roman"/>
          <w:sz w:val="24"/>
          <w:szCs w:val="24"/>
        </w:rPr>
        <w:t xml:space="preserve">, the Supreme Court of State of Arizona, held (7 to 0) that the State’s most severe arson (Class 2 felony) of arson of “an occupied structure” does not apply where the only person present is the arsonist.  </w:t>
      </w:r>
    </w:p>
    <w:p w14:paraId="65A56CC6" w14:textId="77777777" w:rsidR="00A35301" w:rsidRPr="00A35301" w:rsidRDefault="00A35301" w:rsidP="00A35301">
      <w:pPr>
        <w:pStyle w:val="NoSpacing"/>
        <w:rPr>
          <w:rFonts w:ascii="Times New Roman" w:hAnsi="Times New Roman"/>
          <w:sz w:val="24"/>
          <w:szCs w:val="24"/>
        </w:rPr>
      </w:pPr>
    </w:p>
    <w:p w14:paraId="164AE656" w14:textId="77777777" w:rsidR="00A35301" w:rsidRPr="00A35301" w:rsidRDefault="00A35301" w:rsidP="00A35301">
      <w:pPr>
        <w:pStyle w:val="NoSpacing"/>
        <w:rPr>
          <w:rFonts w:ascii="Times New Roman" w:hAnsi="Times New Roman"/>
          <w:sz w:val="24"/>
          <w:szCs w:val="24"/>
        </w:rPr>
      </w:pPr>
      <w:r w:rsidRPr="00A35301">
        <w:rPr>
          <w:rFonts w:ascii="Times New Roman" w:hAnsi="Times New Roman"/>
          <w:sz w:val="24"/>
          <w:szCs w:val="24"/>
        </w:rPr>
        <w:t xml:space="preserve">The Court wrote: “On Christmas night in 2007, firefighters in Kingman, Arizona extinguished a fire engulfing a pickup truck. Investigators smelled gasoline fumes and discovered a residue of unusual flammable liquids and remnants of a gas can on the driver’s seat. Based on the evidence, investigators confirmed that someone had intentionally set the fire inside the truck. Officers traced the truck’s registration to Anna Hammond, who lived about a mile from the fire. When police entered her home, they found her and her dog lying on the floor in a pool of blood. The dog was dead, and Hammond later died from her injuries. The kitchen stove was on, gas fumes filled the home, and someone had tried to start a fire on the kitchen table. Hammond’s jewelry, </w:t>
      </w:r>
      <w:proofErr w:type="gramStart"/>
      <w:r w:rsidRPr="00A35301">
        <w:rPr>
          <w:rFonts w:ascii="Times New Roman" w:hAnsi="Times New Roman"/>
          <w:sz w:val="24"/>
          <w:szCs w:val="24"/>
        </w:rPr>
        <w:t>gun</w:t>
      </w:r>
      <w:proofErr w:type="gramEnd"/>
      <w:r w:rsidRPr="00A35301">
        <w:rPr>
          <w:rFonts w:ascii="Times New Roman" w:hAnsi="Times New Roman"/>
          <w:sz w:val="24"/>
          <w:szCs w:val="24"/>
        </w:rPr>
        <w:t xml:space="preserve">, coins, and cash were also missing. *** After a seven-day trial in 2023, a jury convicted him of </w:t>
      </w:r>
      <w:proofErr w:type="gramStart"/>
      <w:r w:rsidRPr="00A35301">
        <w:rPr>
          <w:rFonts w:ascii="Times New Roman" w:hAnsi="Times New Roman"/>
          <w:sz w:val="24"/>
          <w:szCs w:val="24"/>
        </w:rPr>
        <w:t>second degree</w:t>
      </w:r>
      <w:proofErr w:type="gramEnd"/>
      <w:r w:rsidRPr="00A35301">
        <w:rPr>
          <w:rFonts w:ascii="Times New Roman" w:hAnsi="Times New Roman"/>
          <w:sz w:val="24"/>
          <w:szCs w:val="24"/>
        </w:rPr>
        <w:t xml:space="preserve"> murder, first degree burglary, arson of an occupied structure (the vehicle), theft of means of transportation, and attempted arson of an occupied structure (the house). The court imposed consecutive sentences for each of these charges, totaling 135 years—35 of which stemmed from the vehicle arson conviction. *** We interpret “occupied structure” in §§ 13-1701(2) and -1704 to mean a structure in which one or more human beings—other than the arsonist—are present, likely to be present, or so near as to be in equivalent danger at the time of the fire or explosion.”  </w:t>
      </w:r>
      <w:hyperlink r:id="rId65" w:history="1">
        <w:r w:rsidRPr="00A35301">
          <w:rPr>
            <w:rStyle w:val="Hyperlink"/>
            <w:rFonts w:ascii="Times New Roman" w:hAnsi="Times New Roman"/>
            <w:sz w:val="24"/>
            <w:szCs w:val="24"/>
          </w:rPr>
          <w:t>https://cases.justia.com/arizona/supreme-court/2025-cr-24-0264-pr.pdf?ts=1747242027</w:t>
        </w:r>
      </w:hyperlink>
      <w:r w:rsidRPr="00A35301">
        <w:rPr>
          <w:rFonts w:ascii="Times New Roman" w:hAnsi="Times New Roman"/>
          <w:sz w:val="24"/>
          <w:szCs w:val="24"/>
        </w:rPr>
        <w:t xml:space="preserve"> </w:t>
      </w:r>
    </w:p>
    <w:p w14:paraId="52733520" w14:textId="77777777" w:rsidR="00A35301" w:rsidRPr="006F2B87" w:rsidRDefault="00A35301" w:rsidP="00A35301">
      <w:pPr>
        <w:pStyle w:val="NoSpacing"/>
      </w:pPr>
    </w:p>
    <w:p w14:paraId="1C492F3B" w14:textId="77777777" w:rsidR="001A2F0B" w:rsidRDefault="001A2F0B" w:rsidP="001A2F0B">
      <w:pPr>
        <w:pStyle w:val="NoSpacing"/>
        <w:rPr>
          <w:rFonts w:ascii="Times New Roman" w:hAnsi="Times New Roman"/>
          <w:b/>
          <w:sz w:val="24"/>
          <w:szCs w:val="24"/>
        </w:rPr>
      </w:pPr>
      <w:r w:rsidRPr="001A2F0B">
        <w:rPr>
          <w:rFonts w:ascii="Times New Roman" w:hAnsi="Times New Roman"/>
          <w:b/>
          <w:sz w:val="24"/>
          <w:szCs w:val="24"/>
        </w:rPr>
        <w:t>Legal Lesson Learned: The Court reviewed the legislature’s “tiered arson punishment scheme” to reach its conclusion; defendant will be resentenced to 100 years, instead of 135 years in prison.</w:t>
      </w:r>
    </w:p>
    <w:p w14:paraId="45B6F43E" w14:textId="77777777" w:rsidR="007A4EAE" w:rsidRDefault="007A4EAE" w:rsidP="001A2F0B">
      <w:pPr>
        <w:pStyle w:val="NoSpacing"/>
        <w:rPr>
          <w:rFonts w:ascii="Times New Roman" w:hAnsi="Times New Roman"/>
          <w:b/>
          <w:sz w:val="24"/>
          <w:szCs w:val="24"/>
        </w:rPr>
      </w:pPr>
    </w:p>
    <w:p w14:paraId="137E8988" w14:textId="77777777" w:rsidR="007A4EAE" w:rsidRPr="001A2F0B" w:rsidRDefault="007A4EAE" w:rsidP="001A2F0B">
      <w:pPr>
        <w:pStyle w:val="NoSpacing"/>
        <w:rPr>
          <w:rFonts w:ascii="Times New Roman" w:hAnsi="Times New Roman"/>
          <w:b/>
          <w:bCs/>
          <w:sz w:val="24"/>
          <w:szCs w:val="24"/>
        </w:rPr>
      </w:pPr>
    </w:p>
    <w:p w14:paraId="01B4F8C1" w14:textId="405FBD86" w:rsidR="00A35301" w:rsidRPr="007A4EAE" w:rsidRDefault="007A4EAE" w:rsidP="007A4EAE">
      <w:pPr>
        <w:pStyle w:val="NoSpacing"/>
        <w:rPr>
          <w:rFonts w:ascii="Arial Black" w:hAnsi="Arial Black"/>
          <w:sz w:val="24"/>
          <w:szCs w:val="24"/>
        </w:rPr>
      </w:pPr>
      <w:r w:rsidRPr="007A4EAE">
        <w:rPr>
          <w:rFonts w:ascii="Arial Black" w:hAnsi="Arial Black"/>
          <w:sz w:val="24"/>
          <w:szCs w:val="24"/>
        </w:rPr>
        <w:t>1-179</w:t>
      </w:r>
    </w:p>
    <w:p w14:paraId="7C8FE2A8" w14:textId="77777777" w:rsidR="002B2465" w:rsidRPr="006F2B87" w:rsidRDefault="002B2465" w:rsidP="002B2465">
      <w:pPr>
        <w:pStyle w:val="NoSpacing"/>
      </w:pPr>
    </w:p>
    <w:p w14:paraId="039184C9" w14:textId="77777777" w:rsidR="007448D6" w:rsidRPr="006F2B87" w:rsidRDefault="007448D6" w:rsidP="007448D6">
      <w:pPr>
        <w:pStyle w:val="NoSpacing"/>
        <w:rPr>
          <w:rFonts w:ascii="Arial Black" w:hAnsi="Arial Black"/>
          <w:sz w:val="28"/>
          <w:szCs w:val="28"/>
        </w:rPr>
      </w:pPr>
      <w:r w:rsidRPr="006F2B87">
        <w:rPr>
          <w:rFonts w:ascii="Arial Black" w:hAnsi="Arial Black"/>
          <w:sz w:val="28"/>
          <w:szCs w:val="28"/>
        </w:rPr>
        <w:t>CA: WILDLAND ARSONIST – 5 FF KILLED – DEATH PENALTY</w:t>
      </w:r>
    </w:p>
    <w:p w14:paraId="009FBDCF" w14:textId="77777777" w:rsidR="007448D6" w:rsidRDefault="007448D6" w:rsidP="007448D6">
      <w:pPr>
        <w:pStyle w:val="NoSpacing"/>
      </w:pPr>
    </w:p>
    <w:p w14:paraId="0B4156D0" w14:textId="77777777" w:rsidR="007448D6" w:rsidRPr="007448D6" w:rsidRDefault="007448D6" w:rsidP="007448D6">
      <w:pPr>
        <w:pStyle w:val="NoSpacing"/>
        <w:rPr>
          <w:rFonts w:ascii="Times New Roman" w:hAnsi="Times New Roman"/>
          <w:sz w:val="24"/>
          <w:szCs w:val="24"/>
        </w:rPr>
      </w:pPr>
      <w:r w:rsidRPr="007448D6">
        <w:rPr>
          <w:rFonts w:ascii="Times New Roman" w:hAnsi="Times New Roman"/>
          <w:sz w:val="24"/>
          <w:szCs w:val="24"/>
        </w:rPr>
        <w:t xml:space="preserve">On May 5, 2025, in </w:t>
      </w:r>
      <w:r w:rsidRPr="007448D6">
        <w:rPr>
          <w:rFonts w:ascii="Times New Roman" w:hAnsi="Times New Roman"/>
          <w:sz w:val="24"/>
          <w:szCs w:val="24"/>
          <w:u w:val="single"/>
        </w:rPr>
        <w:t>The People v. Raymond Lee Oliver</w:t>
      </w:r>
      <w:r w:rsidRPr="007448D6">
        <w:rPr>
          <w:rFonts w:ascii="Times New Roman" w:hAnsi="Times New Roman"/>
          <w:sz w:val="24"/>
          <w:szCs w:val="24"/>
        </w:rPr>
        <w:t xml:space="preserve">, the Supreme Court of California held (5 to 0) that jury properly convicted the defendant five counts of </w:t>
      </w:r>
      <w:proofErr w:type="gramStart"/>
      <w:r w:rsidRPr="007448D6">
        <w:rPr>
          <w:rFonts w:ascii="Times New Roman" w:hAnsi="Times New Roman"/>
          <w:sz w:val="24"/>
          <w:szCs w:val="24"/>
        </w:rPr>
        <w:t>first degree</w:t>
      </w:r>
      <w:proofErr w:type="gramEnd"/>
      <w:r w:rsidRPr="007448D6">
        <w:rPr>
          <w:rFonts w:ascii="Times New Roman" w:hAnsi="Times New Roman"/>
          <w:sz w:val="24"/>
          <w:szCs w:val="24"/>
        </w:rPr>
        <w:t xml:space="preserve"> murder, 20 counts of arson, 17 counts of possession of an incendiary device, and in the </w:t>
      </w:r>
      <w:proofErr w:type="gramStart"/>
      <w:r w:rsidRPr="007448D6">
        <w:rPr>
          <w:rFonts w:ascii="Times New Roman" w:hAnsi="Times New Roman"/>
          <w:sz w:val="24"/>
          <w:szCs w:val="24"/>
        </w:rPr>
        <w:t>penalty</w:t>
      </w:r>
      <w:proofErr w:type="gramEnd"/>
      <w:r w:rsidRPr="007448D6">
        <w:rPr>
          <w:rFonts w:ascii="Times New Roman" w:hAnsi="Times New Roman"/>
          <w:sz w:val="24"/>
          <w:szCs w:val="24"/>
        </w:rPr>
        <w:t xml:space="preserve"> phase returned a verdict of death. </w:t>
      </w:r>
    </w:p>
    <w:p w14:paraId="64AC2E45" w14:textId="77777777" w:rsidR="007448D6" w:rsidRPr="007448D6" w:rsidRDefault="007448D6" w:rsidP="007448D6">
      <w:pPr>
        <w:pStyle w:val="NoSpacing"/>
        <w:rPr>
          <w:rFonts w:ascii="Times New Roman" w:hAnsi="Times New Roman"/>
          <w:sz w:val="24"/>
          <w:szCs w:val="24"/>
        </w:rPr>
      </w:pPr>
    </w:p>
    <w:p w14:paraId="3C780810" w14:textId="77777777" w:rsidR="007448D6" w:rsidRPr="007448D6" w:rsidRDefault="007448D6" w:rsidP="007448D6">
      <w:pPr>
        <w:pStyle w:val="NoSpacing"/>
        <w:rPr>
          <w:rFonts w:ascii="Times New Roman" w:hAnsi="Times New Roman"/>
          <w:b/>
          <w:bCs/>
          <w:sz w:val="24"/>
          <w:szCs w:val="24"/>
        </w:rPr>
      </w:pPr>
      <w:r w:rsidRPr="007448D6">
        <w:rPr>
          <w:rFonts w:ascii="Times New Roman" w:hAnsi="Times New Roman"/>
          <w:sz w:val="24"/>
          <w:szCs w:val="24"/>
        </w:rPr>
        <w:t xml:space="preserve">The Court wrote: “Between May 16 and October 26, 2006, 3 more than two dozen wildland fires were reported in the Banning Pass area of Southern California. The series culminated with a fire known as the Esperanza Fire, which killed five firefighters assigned to Engine 57 of the United States Department of Agriculture Forest Service (Forest Service). *** </w:t>
      </w:r>
    </w:p>
    <w:p w14:paraId="63DA1AB0" w14:textId="77777777" w:rsidR="007448D6" w:rsidRDefault="007448D6" w:rsidP="007448D6">
      <w:pPr>
        <w:pStyle w:val="NoSpacing"/>
        <w:rPr>
          <w:rFonts w:ascii="Times New Roman" w:hAnsi="Times New Roman"/>
          <w:sz w:val="24"/>
          <w:szCs w:val="24"/>
        </w:rPr>
      </w:pPr>
      <w:r w:rsidRPr="007448D6">
        <w:rPr>
          <w:rFonts w:ascii="Times New Roman" w:hAnsi="Times New Roman"/>
          <w:sz w:val="24"/>
          <w:szCs w:val="24"/>
        </w:rPr>
        <w:t xml:space="preserve">An arson investigator who investigated all three fires determined they were caused by arson. At the point of origin of each fire, the investigator found a time-delayed incendiary device consisting of a Marlboro Light cigarette with wooden matchsticks attached lengthwise by a rubber band. The devices at the Sunset/Wilson and Sunset/Mesa fires had 31 matches attached and the device at the Gilman/Pump House fire had 30 matches attached. The matches pointed in both directions, such that some heads were at opposite ends of the cigarette. *** Around 1:10 a.m. on October 26, firefighters were dispatched to a wildland fire at Esperanza Road and Almond Street in Cabazon (about one mile from the origin of the June 14 </w:t>
      </w:r>
      <w:proofErr w:type="gramStart"/>
      <w:r w:rsidRPr="007448D6">
        <w:rPr>
          <w:rFonts w:ascii="Times New Roman" w:hAnsi="Times New Roman"/>
          <w:sz w:val="24"/>
          <w:szCs w:val="24"/>
        </w:rPr>
        <w:t>layover device</w:t>
      </w:r>
      <w:proofErr w:type="gramEnd"/>
      <w:r w:rsidRPr="007448D6">
        <w:rPr>
          <w:rFonts w:ascii="Times New Roman" w:hAnsi="Times New Roman"/>
          <w:sz w:val="24"/>
          <w:szCs w:val="24"/>
        </w:rPr>
        <w:t xml:space="preserve"> fire at Esperanza Road </w:t>
      </w:r>
      <w:r w:rsidRPr="007448D6">
        <w:rPr>
          <w:rFonts w:ascii="Times New Roman" w:hAnsi="Times New Roman"/>
          <w:sz w:val="24"/>
          <w:szCs w:val="24"/>
        </w:rPr>
        <w:lastRenderedPageBreak/>
        <w:t xml:space="preserve">and Broadway). This fire would become known as the Esperanza Fire…. Around 7:00 a.m., the fire rapidly advanced on Engine 57, burned through the crew’s location, and </w:t>
      </w:r>
      <w:proofErr w:type="gramStart"/>
      <w:r w:rsidRPr="007448D6">
        <w:rPr>
          <w:rFonts w:ascii="Times New Roman" w:hAnsi="Times New Roman"/>
          <w:sz w:val="24"/>
          <w:szCs w:val="24"/>
        </w:rPr>
        <w:t>continued on</w:t>
      </w:r>
      <w:proofErr w:type="gramEnd"/>
      <w:r w:rsidRPr="007448D6">
        <w:rPr>
          <w:rFonts w:ascii="Times New Roman" w:hAnsi="Times New Roman"/>
          <w:sz w:val="24"/>
          <w:szCs w:val="24"/>
        </w:rPr>
        <w:t xml:space="preserve">. The crew members did not have time to deploy their emergency protective gear. Three of the firefighters — Daniel Hoover-Najera, Jess McLean, and Jason McKay — died at the scene. The other two crew members — Captain Mark Loutzenhiser and Pablo Cerda — were badly burned and were evacuated by helicopter. Loutzenhiser died at the hospital about three hours later; Cerda died at the hospital five days later.” </w:t>
      </w:r>
      <w:hyperlink r:id="rId66" w:history="1">
        <w:r w:rsidRPr="007448D6">
          <w:rPr>
            <w:rStyle w:val="Hyperlink"/>
            <w:rFonts w:ascii="Times New Roman" w:hAnsi="Times New Roman"/>
            <w:sz w:val="24"/>
            <w:szCs w:val="24"/>
          </w:rPr>
          <w:t>https://cases.justia.com/california/supreme-court/2025-s173784.pdf?ts=1746464481</w:t>
        </w:r>
      </w:hyperlink>
      <w:r w:rsidRPr="007448D6">
        <w:rPr>
          <w:rFonts w:ascii="Times New Roman" w:hAnsi="Times New Roman"/>
          <w:sz w:val="24"/>
          <w:szCs w:val="24"/>
        </w:rPr>
        <w:t xml:space="preserve"> </w:t>
      </w:r>
    </w:p>
    <w:p w14:paraId="428C38C1" w14:textId="77777777" w:rsidR="002249FF" w:rsidRDefault="002249FF" w:rsidP="007448D6">
      <w:pPr>
        <w:pStyle w:val="NoSpacing"/>
        <w:rPr>
          <w:rFonts w:ascii="Times New Roman" w:hAnsi="Times New Roman"/>
          <w:sz w:val="24"/>
          <w:szCs w:val="24"/>
        </w:rPr>
      </w:pPr>
    </w:p>
    <w:p w14:paraId="56C8EE78" w14:textId="77777777" w:rsidR="002249FF" w:rsidRPr="002249FF" w:rsidRDefault="002249FF" w:rsidP="002249FF">
      <w:pPr>
        <w:pStyle w:val="NoSpacing"/>
        <w:rPr>
          <w:rFonts w:ascii="Times New Roman" w:hAnsi="Times New Roman"/>
          <w:b/>
          <w:bCs/>
          <w:sz w:val="24"/>
          <w:szCs w:val="24"/>
        </w:rPr>
      </w:pPr>
      <w:r w:rsidRPr="002249FF">
        <w:rPr>
          <w:rFonts w:ascii="Times New Roman" w:hAnsi="Times New Roman"/>
          <w:b/>
          <w:sz w:val="24"/>
          <w:szCs w:val="24"/>
        </w:rPr>
        <w:t xml:space="preserve">Legal Lesson Learned: Death penalty </w:t>
      </w:r>
      <w:r w:rsidRPr="002249FF">
        <w:rPr>
          <w:rFonts w:ascii="Times New Roman" w:hAnsi="Times New Roman"/>
          <w:b/>
          <w:bCs/>
          <w:sz w:val="24"/>
          <w:szCs w:val="24"/>
        </w:rPr>
        <w:t xml:space="preserve">is the </w:t>
      </w:r>
      <w:r w:rsidRPr="002249FF">
        <w:rPr>
          <w:rFonts w:ascii="Times New Roman" w:hAnsi="Times New Roman"/>
          <w:b/>
          <w:sz w:val="24"/>
          <w:szCs w:val="24"/>
        </w:rPr>
        <w:t xml:space="preserve">appropriate penalty.  </w:t>
      </w:r>
    </w:p>
    <w:p w14:paraId="75714330" w14:textId="77777777" w:rsidR="002249FF" w:rsidRPr="002249FF" w:rsidRDefault="002249FF" w:rsidP="002249FF">
      <w:pPr>
        <w:pStyle w:val="NoSpacing"/>
        <w:rPr>
          <w:rFonts w:ascii="Times New Roman" w:hAnsi="Times New Roman"/>
          <w:b/>
          <w:bCs/>
          <w:sz w:val="24"/>
          <w:szCs w:val="24"/>
        </w:rPr>
      </w:pPr>
    </w:p>
    <w:p w14:paraId="152B813A" w14:textId="77777777" w:rsidR="002249FF" w:rsidRPr="002249FF" w:rsidRDefault="002249FF" w:rsidP="002249FF">
      <w:pPr>
        <w:pStyle w:val="NoSpacing"/>
        <w:ind w:left="720"/>
        <w:rPr>
          <w:rFonts w:ascii="Times New Roman" w:hAnsi="Times New Roman"/>
          <w:sz w:val="24"/>
          <w:szCs w:val="24"/>
        </w:rPr>
      </w:pPr>
      <w:r w:rsidRPr="002249FF">
        <w:rPr>
          <w:rFonts w:ascii="Times New Roman" w:hAnsi="Times New Roman"/>
          <w:sz w:val="24"/>
          <w:szCs w:val="24"/>
        </w:rPr>
        <w:t xml:space="preserve">Note: California Governor Gavin Newsome in 2019 issued a moratorium on imposing death penalty. </w:t>
      </w:r>
      <w:hyperlink r:id="rId67" w:history="1">
        <w:r w:rsidRPr="002249FF">
          <w:rPr>
            <w:rStyle w:val="Hyperlink"/>
            <w:rFonts w:ascii="Times New Roman" w:hAnsi="Times New Roman"/>
            <w:sz w:val="24"/>
            <w:szCs w:val="24"/>
          </w:rPr>
          <w:t>https://www.cdcr.ca.gov/capital-punishment/</w:t>
        </w:r>
      </w:hyperlink>
      <w:r w:rsidRPr="002249FF">
        <w:rPr>
          <w:rFonts w:ascii="Times New Roman" w:hAnsi="Times New Roman"/>
          <w:sz w:val="24"/>
          <w:szCs w:val="24"/>
        </w:rPr>
        <w:t xml:space="preserve"> </w:t>
      </w:r>
    </w:p>
    <w:p w14:paraId="41093A0E" w14:textId="77777777" w:rsidR="002249FF" w:rsidRPr="002249FF" w:rsidRDefault="002249FF" w:rsidP="002249FF">
      <w:pPr>
        <w:pStyle w:val="NoSpacing"/>
        <w:rPr>
          <w:rFonts w:ascii="Times New Roman" w:hAnsi="Times New Roman"/>
          <w:bCs/>
          <w:sz w:val="24"/>
          <w:szCs w:val="24"/>
        </w:rPr>
      </w:pPr>
    </w:p>
    <w:p w14:paraId="07D4945B" w14:textId="77777777" w:rsidR="00AC44B8" w:rsidRDefault="00AC44B8" w:rsidP="00B86628">
      <w:pPr>
        <w:pStyle w:val="NoSpacing"/>
        <w:rPr>
          <w:rFonts w:ascii="Arial Black" w:hAnsi="Arial Black"/>
          <w:sz w:val="24"/>
          <w:szCs w:val="24"/>
        </w:rPr>
      </w:pPr>
    </w:p>
    <w:p w14:paraId="71FA52D2" w14:textId="446670E7" w:rsidR="008D499E" w:rsidRDefault="00453E02" w:rsidP="00B86628">
      <w:pPr>
        <w:pStyle w:val="NoSpacing"/>
        <w:rPr>
          <w:rFonts w:ascii="Arial Black" w:hAnsi="Arial Black"/>
          <w:sz w:val="24"/>
          <w:szCs w:val="24"/>
        </w:rPr>
      </w:pPr>
      <w:r>
        <w:rPr>
          <w:rFonts w:ascii="Arial Black" w:hAnsi="Arial Black"/>
          <w:sz w:val="24"/>
          <w:szCs w:val="24"/>
        </w:rPr>
        <w:t>1-</w:t>
      </w:r>
      <w:r w:rsidR="002202B5">
        <w:rPr>
          <w:rFonts w:ascii="Arial Black" w:hAnsi="Arial Black"/>
          <w:sz w:val="24"/>
          <w:szCs w:val="24"/>
        </w:rPr>
        <w:t>178</w:t>
      </w:r>
    </w:p>
    <w:p w14:paraId="366F6FED" w14:textId="77777777" w:rsidR="003122E5" w:rsidRDefault="003122E5" w:rsidP="00B86628">
      <w:pPr>
        <w:pStyle w:val="NoSpacing"/>
        <w:rPr>
          <w:rFonts w:ascii="Arial Black" w:hAnsi="Arial Black"/>
          <w:sz w:val="24"/>
          <w:szCs w:val="24"/>
        </w:rPr>
      </w:pPr>
    </w:p>
    <w:p w14:paraId="5A1B7AF4" w14:textId="77777777" w:rsidR="003122E5" w:rsidRPr="00E510AC" w:rsidRDefault="003122E5" w:rsidP="003122E5">
      <w:pPr>
        <w:rPr>
          <w:rFonts w:ascii="Arial Black" w:hAnsi="Arial Black"/>
          <w:b/>
          <w:sz w:val="28"/>
          <w:szCs w:val="28"/>
        </w:rPr>
      </w:pPr>
      <w:r>
        <w:rPr>
          <w:rFonts w:ascii="Arial Black" w:hAnsi="Arial Black"/>
          <w:b/>
          <w:sz w:val="28"/>
          <w:szCs w:val="28"/>
        </w:rPr>
        <w:t>OR: HOMELESS - REMOVE NATIONAL FOREST - FIRES</w:t>
      </w:r>
    </w:p>
    <w:p w14:paraId="6B48CFA9" w14:textId="77777777" w:rsidR="003122E5" w:rsidRPr="003122E5" w:rsidRDefault="003122E5" w:rsidP="003122E5">
      <w:pPr>
        <w:rPr>
          <w:rFonts w:ascii="Times New Roman" w:hAnsi="Times New Roman"/>
          <w:bCs/>
          <w:sz w:val="24"/>
          <w:szCs w:val="24"/>
        </w:rPr>
      </w:pPr>
      <w:r w:rsidRPr="003122E5">
        <w:rPr>
          <w:rFonts w:ascii="Times New Roman" w:hAnsi="Times New Roman"/>
          <w:sz w:val="24"/>
          <w:szCs w:val="24"/>
        </w:rPr>
        <w:t xml:space="preserve">On May 1, 2025, in </w:t>
      </w:r>
      <w:r w:rsidRPr="003122E5">
        <w:rPr>
          <w:rFonts w:ascii="Times New Roman" w:hAnsi="Times New Roman"/>
          <w:sz w:val="24"/>
          <w:szCs w:val="24"/>
          <w:u w:val="single"/>
        </w:rPr>
        <w:t>Theresa Bradshaw, et al. v. Holly Jewkes, Bend-Fort Rock Ranger District, Deschutes National Forest, et al</w:t>
      </w:r>
      <w:r w:rsidRPr="003122E5">
        <w:rPr>
          <w:rFonts w:ascii="Times New Roman" w:hAnsi="Times New Roman"/>
          <w:sz w:val="24"/>
          <w:szCs w:val="24"/>
        </w:rPr>
        <w:t xml:space="preserve">.,  U.S. District Court Judge Michael J. McShane, United States District Court for the District of Oregon, Eugene Division, rejected the request of an organization on behalf of 150 homeless to stop U.S. Forest Service from closing a portion of the National Forest called China Hat.  There has been a significant increase in forest fires because of the homeless.  </w:t>
      </w:r>
      <w:hyperlink r:id="rId68" w:history="1">
        <w:r w:rsidRPr="003122E5">
          <w:rPr>
            <w:rStyle w:val="Hyperlink"/>
            <w:rFonts w:ascii="Times New Roman" w:hAnsi="Times New Roman"/>
            <w:sz w:val="24"/>
            <w:szCs w:val="24"/>
          </w:rPr>
          <w:t>https://ktvz.b-cdn.net/2025/05/TRO-ruling.pdf</w:t>
        </w:r>
      </w:hyperlink>
      <w:r w:rsidRPr="003122E5">
        <w:rPr>
          <w:rFonts w:ascii="Times New Roman" w:hAnsi="Times New Roman"/>
          <w:sz w:val="24"/>
          <w:szCs w:val="24"/>
        </w:rPr>
        <w:t xml:space="preserve"> </w:t>
      </w:r>
    </w:p>
    <w:p w14:paraId="7502E76C" w14:textId="77777777" w:rsidR="002714EB" w:rsidRPr="002714EB" w:rsidRDefault="002714EB" w:rsidP="002714EB">
      <w:pPr>
        <w:rPr>
          <w:rFonts w:ascii="Times New Roman" w:hAnsi="Times New Roman"/>
          <w:b/>
          <w:sz w:val="24"/>
          <w:szCs w:val="24"/>
        </w:rPr>
      </w:pPr>
      <w:r w:rsidRPr="002714EB">
        <w:rPr>
          <w:rFonts w:ascii="Times New Roman" w:hAnsi="Times New Roman"/>
          <w:b/>
          <w:sz w:val="24"/>
          <w:szCs w:val="24"/>
        </w:rPr>
        <w:t xml:space="preserve">Legal Lesson Learned: Public interest in prevention of forest fires outweighs the interest of homeless. </w:t>
      </w:r>
    </w:p>
    <w:p w14:paraId="7B35CD8C" w14:textId="0B751BB7" w:rsidR="003122E5" w:rsidRPr="002714EB" w:rsidRDefault="002714EB" w:rsidP="002714EB">
      <w:pPr>
        <w:pStyle w:val="NoSpacing"/>
        <w:ind w:left="720"/>
        <w:rPr>
          <w:rFonts w:ascii="Times New Roman" w:hAnsi="Times New Roman"/>
          <w:sz w:val="24"/>
          <w:szCs w:val="24"/>
        </w:rPr>
      </w:pPr>
      <w:r w:rsidRPr="002714EB">
        <w:rPr>
          <w:rFonts w:ascii="Times New Roman" w:hAnsi="Times New Roman"/>
          <w:sz w:val="24"/>
          <w:szCs w:val="24"/>
        </w:rPr>
        <w:t xml:space="preserve">Note: See this May 2, </w:t>
      </w:r>
      <w:proofErr w:type="gramStart"/>
      <w:r w:rsidRPr="002714EB">
        <w:rPr>
          <w:rFonts w:ascii="Times New Roman" w:hAnsi="Times New Roman"/>
          <w:sz w:val="24"/>
          <w:szCs w:val="24"/>
        </w:rPr>
        <w:t>2025</w:t>
      </w:r>
      <w:proofErr w:type="gramEnd"/>
      <w:r w:rsidRPr="002714EB">
        <w:rPr>
          <w:rFonts w:ascii="Times New Roman" w:hAnsi="Times New Roman"/>
          <w:sz w:val="24"/>
          <w:szCs w:val="24"/>
        </w:rPr>
        <w:t xml:space="preserve"> article, “US Forest Service starts clearing homeless camp in Oregon national forest, where some have lived for years.” </w:t>
      </w:r>
      <w:hyperlink r:id="rId69" w:history="1">
        <w:r w:rsidRPr="002714EB">
          <w:rPr>
            <w:rStyle w:val="Hyperlink"/>
            <w:rFonts w:ascii="Times New Roman" w:hAnsi="Times New Roman"/>
            <w:sz w:val="24"/>
            <w:szCs w:val="24"/>
          </w:rPr>
          <w:t>https://www.cnn.com/2025/05/02/us/oregon-deschutes-national-forest-eviction-hnk</w:t>
        </w:r>
      </w:hyperlink>
    </w:p>
    <w:p w14:paraId="5A781FC7" w14:textId="77777777" w:rsidR="002202B5" w:rsidRDefault="002202B5" w:rsidP="00B86628">
      <w:pPr>
        <w:pStyle w:val="NoSpacing"/>
        <w:rPr>
          <w:rFonts w:ascii="Arial Black" w:hAnsi="Arial Black"/>
          <w:sz w:val="24"/>
          <w:szCs w:val="24"/>
        </w:rPr>
      </w:pPr>
    </w:p>
    <w:p w14:paraId="29F13EA2" w14:textId="77777777" w:rsidR="002202B5" w:rsidRDefault="002202B5" w:rsidP="00B86628">
      <w:pPr>
        <w:pStyle w:val="NoSpacing"/>
        <w:rPr>
          <w:rFonts w:ascii="Arial Black" w:hAnsi="Arial Black"/>
          <w:sz w:val="24"/>
          <w:szCs w:val="24"/>
        </w:rPr>
      </w:pPr>
    </w:p>
    <w:p w14:paraId="767E7C37" w14:textId="1D533C35" w:rsidR="003C62F5" w:rsidRPr="002202B5" w:rsidRDefault="00453E02" w:rsidP="00B86628">
      <w:pPr>
        <w:pStyle w:val="NoSpacing"/>
        <w:rPr>
          <w:rFonts w:ascii="Arial Black" w:hAnsi="Arial Black"/>
          <w:sz w:val="24"/>
          <w:szCs w:val="24"/>
        </w:rPr>
      </w:pPr>
      <w:r>
        <w:rPr>
          <w:rFonts w:ascii="Arial Black" w:hAnsi="Arial Black"/>
          <w:sz w:val="24"/>
          <w:szCs w:val="24"/>
        </w:rPr>
        <w:t>1-</w:t>
      </w:r>
      <w:r w:rsidR="003C62F5" w:rsidRPr="002202B5">
        <w:rPr>
          <w:rFonts w:ascii="Arial Black" w:hAnsi="Arial Black"/>
          <w:sz w:val="24"/>
          <w:szCs w:val="24"/>
        </w:rPr>
        <w:t>177</w:t>
      </w:r>
    </w:p>
    <w:p w14:paraId="7DB2F45F" w14:textId="77777777" w:rsidR="002202B5" w:rsidRDefault="002202B5" w:rsidP="003C62F5">
      <w:pPr>
        <w:rPr>
          <w:rFonts w:ascii="Arial Black" w:hAnsi="Arial Black"/>
          <w:sz w:val="28"/>
          <w:szCs w:val="28"/>
        </w:rPr>
      </w:pPr>
    </w:p>
    <w:p w14:paraId="49A20867" w14:textId="3ECA9B41" w:rsidR="003C62F5" w:rsidRPr="00AE4361" w:rsidRDefault="003C62F5" w:rsidP="003C62F5">
      <w:pPr>
        <w:rPr>
          <w:rFonts w:ascii="Arial Black" w:hAnsi="Arial Black"/>
          <w:bCs/>
          <w:sz w:val="28"/>
          <w:szCs w:val="28"/>
        </w:rPr>
      </w:pPr>
      <w:r>
        <w:rPr>
          <w:rFonts w:ascii="Arial Black" w:hAnsi="Arial Black"/>
          <w:sz w:val="28"/>
          <w:szCs w:val="28"/>
        </w:rPr>
        <w:t>IN: WIFE HAD FF MURDERED – CONV. UPHELD / 90 YRS</w:t>
      </w:r>
    </w:p>
    <w:p w14:paraId="68293081" w14:textId="77777777" w:rsidR="003C62F5" w:rsidRPr="003C62F5" w:rsidRDefault="003C62F5" w:rsidP="003C62F5">
      <w:pPr>
        <w:pStyle w:val="NoSpacing"/>
        <w:rPr>
          <w:rFonts w:ascii="Times New Roman" w:hAnsi="Times New Roman"/>
          <w:bCs/>
          <w:sz w:val="24"/>
          <w:szCs w:val="24"/>
        </w:rPr>
      </w:pPr>
      <w:r w:rsidRPr="003C62F5">
        <w:rPr>
          <w:rFonts w:ascii="Times New Roman" w:hAnsi="Times New Roman"/>
          <w:sz w:val="24"/>
          <w:szCs w:val="24"/>
        </w:rPr>
        <w:t xml:space="preserve">On May 1, 2025, in </w:t>
      </w:r>
      <w:r w:rsidRPr="003C62F5">
        <w:rPr>
          <w:rFonts w:ascii="Times New Roman" w:hAnsi="Times New Roman"/>
          <w:sz w:val="24"/>
          <w:szCs w:val="24"/>
          <w:u w:val="single"/>
        </w:rPr>
        <w:t>Elizabeth Joanne Fox-Doerr v. State of Indiana</w:t>
      </w:r>
      <w:r w:rsidRPr="003C62F5">
        <w:rPr>
          <w:rFonts w:ascii="Times New Roman" w:hAnsi="Times New Roman"/>
          <w:sz w:val="24"/>
          <w:szCs w:val="24"/>
        </w:rPr>
        <w:t>,</w:t>
      </w:r>
      <w:r w:rsidRPr="003C62F5">
        <w:rPr>
          <w:rFonts w:ascii="Times New Roman" w:hAnsi="Times New Roman"/>
          <w:b/>
          <w:sz w:val="24"/>
          <w:szCs w:val="24"/>
        </w:rPr>
        <w:t xml:space="preserve"> </w:t>
      </w:r>
      <w:r w:rsidRPr="003C62F5">
        <w:rPr>
          <w:rFonts w:ascii="Times New Roman" w:hAnsi="Times New Roman"/>
          <w:sz w:val="24"/>
          <w:szCs w:val="24"/>
        </w:rPr>
        <w:t xml:space="preserve">the Court of Appeals of Indiana held (3 to 0; unpublished opinion) that there was sufficient evidence for jury to find that she arranged for the murder of Evanston firefighter Robert Doer on February 26, 2019, and the trial court properly sentenced her to 90 years in prison.  Larry Ali Richmond, Sr. was indicted for shooting Robert Doer.  </w:t>
      </w:r>
      <w:hyperlink r:id="rId70" w:history="1">
        <w:r w:rsidRPr="003C62F5">
          <w:rPr>
            <w:rStyle w:val="Hyperlink"/>
            <w:rFonts w:ascii="Times New Roman" w:hAnsi="Times New Roman"/>
            <w:sz w:val="24"/>
            <w:szCs w:val="24"/>
          </w:rPr>
          <w:t>https://www.aol.com/trial-delayed-man-accused-fatally-135028116.html</w:t>
        </w:r>
      </w:hyperlink>
      <w:r w:rsidRPr="003C62F5">
        <w:rPr>
          <w:rFonts w:ascii="Times New Roman" w:hAnsi="Times New Roman"/>
          <w:sz w:val="24"/>
          <w:szCs w:val="24"/>
        </w:rPr>
        <w:t xml:space="preserve"> . Elizabeth Fox-Doerr was tried first and convicted by a jury of aiding, inducing, or causing murder of her husband; they were only married for about six months (this was her third or fourth marriage).  At some point prior to February of 2019, Larry Ali Richmond’s son had observed Richmond and Fox-Doerr kissing.  On Feb. 26, 2019, firefighter Robert Doer worked a partial shift, returned home at 7:04 pm and was shot three times.  </w:t>
      </w:r>
      <w:hyperlink r:id="rId71" w:history="1">
        <w:r w:rsidRPr="003C62F5">
          <w:rPr>
            <w:rStyle w:val="Hyperlink"/>
            <w:rFonts w:ascii="Times New Roman" w:hAnsi="Times New Roman"/>
            <w:sz w:val="24"/>
            <w:szCs w:val="24"/>
          </w:rPr>
          <w:t>https://cases.justia.com/indiana/court-of-appeals/2025-24a-cr-01673.pdf?ts=1746121391</w:t>
        </w:r>
      </w:hyperlink>
    </w:p>
    <w:p w14:paraId="0F36C3F2" w14:textId="77777777" w:rsidR="003C62F5" w:rsidRPr="003C62F5" w:rsidRDefault="003C62F5" w:rsidP="003C62F5">
      <w:pPr>
        <w:pStyle w:val="NoSpacing"/>
        <w:rPr>
          <w:rFonts w:ascii="Times New Roman" w:hAnsi="Times New Roman"/>
          <w:bCs/>
          <w:sz w:val="24"/>
          <w:szCs w:val="24"/>
        </w:rPr>
      </w:pPr>
    </w:p>
    <w:p w14:paraId="2C9238CE" w14:textId="77777777" w:rsidR="00267F30" w:rsidRPr="00267F30" w:rsidRDefault="00267F30" w:rsidP="00267F30">
      <w:pPr>
        <w:rPr>
          <w:b/>
          <w:sz w:val="24"/>
          <w:szCs w:val="24"/>
        </w:rPr>
      </w:pPr>
      <w:r w:rsidRPr="00267F30">
        <w:rPr>
          <w:b/>
          <w:sz w:val="24"/>
          <w:szCs w:val="24"/>
        </w:rPr>
        <w:t xml:space="preserve">Legal Lesson Learned: The Court will not “reweigh the evidence” of conspiracy presented at trial. </w:t>
      </w:r>
    </w:p>
    <w:p w14:paraId="0099F781" w14:textId="77777777" w:rsidR="00267F30" w:rsidRPr="00267F30" w:rsidRDefault="00267F30" w:rsidP="00267F30">
      <w:pPr>
        <w:ind w:left="720"/>
        <w:rPr>
          <w:bCs/>
          <w:sz w:val="24"/>
          <w:szCs w:val="24"/>
        </w:rPr>
      </w:pPr>
      <w:r w:rsidRPr="00267F30">
        <w:rPr>
          <w:sz w:val="24"/>
          <w:szCs w:val="24"/>
        </w:rPr>
        <w:lastRenderedPageBreak/>
        <w:t xml:space="preserve">Note: Watch her sentencing on June 17, 2024.  “Convicted killer and wife of Evansville firefighter sentenced [TV VIDEO]. </w:t>
      </w:r>
      <w:hyperlink r:id="rId72" w:history="1">
        <w:r w:rsidRPr="00267F30">
          <w:rPr>
            <w:rStyle w:val="Hyperlink"/>
            <w:sz w:val="24"/>
            <w:szCs w:val="24"/>
          </w:rPr>
          <w:t>https://www.14news.com/2024/06/17/convicted-killer-evansville-firefighter-set-be-sentenced-this-afternoon/</w:t>
        </w:r>
      </w:hyperlink>
      <w:r w:rsidRPr="00267F30">
        <w:rPr>
          <w:sz w:val="24"/>
          <w:szCs w:val="24"/>
        </w:rPr>
        <w:t xml:space="preserve"> </w:t>
      </w:r>
    </w:p>
    <w:p w14:paraId="2DB8B9F9" w14:textId="77777777" w:rsidR="00267F30" w:rsidRPr="00F562BC" w:rsidRDefault="00267F30" w:rsidP="00267F30">
      <w:pPr>
        <w:ind w:left="720"/>
        <w:rPr>
          <w:b/>
        </w:rPr>
      </w:pPr>
      <w:r w:rsidRPr="00267F30">
        <w:rPr>
          <w:sz w:val="24"/>
          <w:szCs w:val="24"/>
        </w:rPr>
        <w:t xml:space="preserve">Aug. 18, 2022: “Wife and convicted murderer both charged in death of Evansville firefighter.” </w:t>
      </w:r>
      <w:hyperlink r:id="rId73" w:history="1">
        <w:r w:rsidRPr="00267F30">
          <w:rPr>
            <w:rStyle w:val="Hyperlink"/>
            <w:sz w:val="24"/>
            <w:szCs w:val="24"/>
          </w:rPr>
          <w:t>https://www.14news.com/2022/08/18/wife-convicted-murderer-both-charged-death-evansville-firefighter/</w:t>
        </w:r>
      </w:hyperlink>
      <w:r>
        <w:rPr>
          <w:b/>
        </w:rPr>
        <w:t xml:space="preserve"> </w:t>
      </w:r>
    </w:p>
    <w:p w14:paraId="693BE75B" w14:textId="77777777" w:rsidR="003C62F5" w:rsidRDefault="003C62F5" w:rsidP="00B86628">
      <w:pPr>
        <w:pStyle w:val="NoSpacing"/>
        <w:rPr>
          <w:rFonts w:ascii="Arial Black" w:hAnsi="Arial Black"/>
          <w:sz w:val="24"/>
          <w:szCs w:val="24"/>
        </w:rPr>
      </w:pPr>
    </w:p>
    <w:p w14:paraId="181C8DF3" w14:textId="77777777" w:rsidR="003C62F5" w:rsidRDefault="003C62F5" w:rsidP="00B86628">
      <w:pPr>
        <w:pStyle w:val="NoSpacing"/>
        <w:rPr>
          <w:rFonts w:ascii="Arial Black" w:hAnsi="Arial Black"/>
          <w:sz w:val="24"/>
          <w:szCs w:val="24"/>
        </w:rPr>
      </w:pPr>
    </w:p>
    <w:p w14:paraId="7A5FF2DE" w14:textId="3FCFB3A8" w:rsidR="00B9138D" w:rsidRDefault="00453E02" w:rsidP="00B86628">
      <w:pPr>
        <w:pStyle w:val="NoSpacing"/>
        <w:rPr>
          <w:rFonts w:ascii="Arial Black" w:hAnsi="Arial Black"/>
          <w:sz w:val="24"/>
          <w:szCs w:val="24"/>
        </w:rPr>
      </w:pPr>
      <w:r>
        <w:rPr>
          <w:rFonts w:ascii="Arial Black" w:hAnsi="Arial Black"/>
          <w:sz w:val="24"/>
          <w:szCs w:val="24"/>
        </w:rPr>
        <w:t>1-</w:t>
      </w:r>
      <w:r w:rsidR="00B9138D">
        <w:rPr>
          <w:rFonts w:ascii="Arial Black" w:hAnsi="Arial Black"/>
          <w:sz w:val="24"/>
          <w:szCs w:val="24"/>
        </w:rPr>
        <w:t>176</w:t>
      </w:r>
    </w:p>
    <w:p w14:paraId="2F89B39F" w14:textId="77777777" w:rsidR="00B9138D" w:rsidRDefault="00B9138D" w:rsidP="00B86628">
      <w:pPr>
        <w:pStyle w:val="NoSpacing"/>
        <w:rPr>
          <w:rFonts w:ascii="Arial Black" w:hAnsi="Arial Black"/>
          <w:sz w:val="24"/>
          <w:szCs w:val="24"/>
        </w:rPr>
      </w:pPr>
    </w:p>
    <w:p w14:paraId="48AA7DE0" w14:textId="77777777" w:rsidR="00B9138D" w:rsidRPr="00B71F72" w:rsidRDefault="00B9138D" w:rsidP="00B9138D">
      <w:pPr>
        <w:rPr>
          <w:rFonts w:ascii="Arial Black" w:hAnsi="Arial Black"/>
          <w:bCs/>
          <w:sz w:val="28"/>
          <w:szCs w:val="28"/>
        </w:rPr>
      </w:pPr>
      <w:r>
        <w:rPr>
          <w:rFonts w:ascii="Arial Black" w:hAnsi="Arial Black"/>
          <w:sz w:val="28"/>
          <w:szCs w:val="28"/>
        </w:rPr>
        <w:t>PA: FF EX-WIFE CONV. – GARAGE FIRE – HER FACEBOOK</w:t>
      </w:r>
    </w:p>
    <w:p w14:paraId="7024A3BD" w14:textId="4FABC9B9" w:rsidR="00B9138D" w:rsidRPr="00B9138D" w:rsidRDefault="00B9138D" w:rsidP="00B9138D">
      <w:pPr>
        <w:pStyle w:val="NoSpacing"/>
        <w:rPr>
          <w:rFonts w:ascii="Times New Roman" w:hAnsi="Times New Roman"/>
          <w:sz w:val="24"/>
          <w:szCs w:val="24"/>
        </w:rPr>
      </w:pPr>
      <w:r w:rsidRPr="00B9138D">
        <w:rPr>
          <w:rFonts w:ascii="Times New Roman" w:hAnsi="Times New Roman"/>
          <w:sz w:val="24"/>
          <w:szCs w:val="24"/>
        </w:rPr>
        <w:t xml:space="preserve">On April 29, </w:t>
      </w:r>
      <w:proofErr w:type="gramStart"/>
      <w:r w:rsidRPr="00B9138D">
        <w:rPr>
          <w:rFonts w:ascii="Times New Roman" w:hAnsi="Times New Roman"/>
          <w:sz w:val="24"/>
          <w:szCs w:val="24"/>
        </w:rPr>
        <w:t>2025</w:t>
      </w:r>
      <w:proofErr w:type="gramEnd"/>
      <w:r w:rsidRPr="00B9138D">
        <w:rPr>
          <w:rFonts w:ascii="Times New Roman" w:hAnsi="Times New Roman"/>
          <w:sz w:val="24"/>
          <w:szCs w:val="24"/>
        </w:rPr>
        <w:t xml:space="preserve"> in </w:t>
      </w:r>
      <w:r w:rsidRPr="00B9138D">
        <w:rPr>
          <w:rFonts w:ascii="Times New Roman" w:hAnsi="Times New Roman"/>
          <w:sz w:val="24"/>
          <w:szCs w:val="24"/>
          <w:u w:val="single"/>
        </w:rPr>
        <w:t>Commonwealth of Pennsylvania v. Nia C. Stallworth</w:t>
      </w:r>
      <w:r w:rsidRPr="00B9138D">
        <w:rPr>
          <w:rFonts w:ascii="Times New Roman" w:hAnsi="Times New Roman"/>
          <w:sz w:val="24"/>
          <w:szCs w:val="24"/>
        </w:rPr>
        <w:t xml:space="preserve">, the Superior Court of Pennsylvania held (3 to 0; non-precedential decision) that trial court judge in bench trial properly allowed into evidence a Facebook posting by the ex-wife of a Philadelphia firefighter, Timothy Rawls.  It was a screenshot of a Facebook post … with two photographs of Rawls’ damaged garage and captioned “These mutha </w:t>
      </w:r>
      <w:proofErr w:type="spellStart"/>
      <w:r w:rsidRPr="00B9138D">
        <w:rPr>
          <w:rFonts w:ascii="Times New Roman" w:hAnsi="Times New Roman"/>
          <w:sz w:val="24"/>
          <w:szCs w:val="24"/>
        </w:rPr>
        <w:t>Fuckas</w:t>
      </w:r>
      <w:proofErr w:type="spellEnd"/>
      <w:r w:rsidRPr="00B9138D">
        <w:rPr>
          <w:rFonts w:ascii="Times New Roman" w:hAnsi="Times New Roman"/>
          <w:sz w:val="24"/>
          <w:szCs w:val="24"/>
        </w:rPr>
        <w:t xml:space="preserve"> know I’m fucking crazy!! </w:t>
      </w:r>
      <w:proofErr w:type="gramStart"/>
      <w:r w:rsidRPr="00B9138D">
        <w:rPr>
          <w:rFonts w:ascii="Times New Roman" w:hAnsi="Times New Roman"/>
          <w:sz w:val="24"/>
          <w:szCs w:val="24"/>
        </w:rPr>
        <w:t>Yeah</w:t>
      </w:r>
      <w:proofErr w:type="gramEnd"/>
      <w:r w:rsidRPr="00B9138D">
        <w:rPr>
          <w:rFonts w:ascii="Times New Roman" w:hAnsi="Times New Roman"/>
          <w:sz w:val="24"/>
          <w:szCs w:val="24"/>
        </w:rPr>
        <w:t xml:space="preserve"> I set your shit on [fire emoji] bitch.”  The trial court judge found her guilty of criminal mischief, graded as a felony of the third degree, based upon her causing a pecuniary loss </w:t>
      </w:r>
      <w:proofErr w:type="gramStart"/>
      <w:r w:rsidRPr="00B9138D">
        <w:rPr>
          <w:rFonts w:ascii="Times New Roman" w:hAnsi="Times New Roman"/>
          <w:sz w:val="24"/>
          <w:szCs w:val="24"/>
        </w:rPr>
        <w:t>in excess of</w:t>
      </w:r>
      <w:proofErr w:type="gramEnd"/>
      <w:r w:rsidRPr="00B9138D">
        <w:rPr>
          <w:rFonts w:ascii="Times New Roman" w:hAnsi="Times New Roman"/>
          <w:sz w:val="24"/>
          <w:szCs w:val="24"/>
        </w:rPr>
        <w:t xml:space="preserve"> $5,000; but not guilty of arson, and sentenced her to two years’ probation. </w:t>
      </w:r>
      <w:hyperlink r:id="rId74" w:history="1">
        <w:r w:rsidRPr="00B9138D">
          <w:rPr>
            <w:rStyle w:val="Hyperlink"/>
            <w:rFonts w:ascii="Times New Roman" w:hAnsi="Times New Roman"/>
            <w:sz w:val="24"/>
            <w:szCs w:val="24"/>
          </w:rPr>
          <w:t>https://cases.justia.com/pennsylvania/superior-court/2025-76-eda-2024.pdf?ts=1745952844</w:t>
        </w:r>
      </w:hyperlink>
    </w:p>
    <w:p w14:paraId="507DE540" w14:textId="77777777" w:rsidR="00B9138D" w:rsidRDefault="00B9138D" w:rsidP="00B86628">
      <w:pPr>
        <w:pStyle w:val="NoSpacing"/>
        <w:rPr>
          <w:rFonts w:ascii="Arial Black" w:hAnsi="Arial Black"/>
          <w:sz w:val="24"/>
          <w:szCs w:val="24"/>
        </w:rPr>
      </w:pPr>
    </w:p>
    <w:p w14:paraId="45CA57EF" w14:textId="4A164792" w:rsidR="00D72EC2" w:rsidRPr="00D72EC2" w:rsidRDefault="00D72EC2" w:rsidP="00D72EC2">
      <w:pPr>
        <w:rPr>
          <w:b/>
          <w:sz w:val="24"/>
          <w:szCs w:val="24"/>
        </w:rPr>
      </w:pPr>
      <w:r w:rsidRPr="00D72EC2">
        <w:rPr>
          <w:rFonts w:ascii="Times New Roman" w:hAnsi="Times New Roman"/>
          <w:b/>
          <w:sz w:val="24"/>
          <w:szCs w:val="24"/>
        </w:rPr>
        <w:t xml:space="preserve">Legal Lesson Learned:  The Facebook post by </w:t>
      </w:r>
      <w:r>
        <w:rPr>
          <w:rFonts w:ascii="Times New Roman" w:hAnsi="Times New Roman"/>
          <w:b/>
          <w:sz w:val="24"/>
          <w:szCs w:val="24"/>
        </w:rPr>
        <w:t>ex-</w:t>
      </w:r>
      <w:r w:rsidRPr="00D72EC2">
        <w:rPr>
          <w:rFonts w:ascii="Times New Roman" w:hAnsi="Times New Roman"/>
          <w:b/>
          <w:sz w:val="24"/>
          <w:szCs w:val="24"/>
        </w:rPr>
        <w:t>wife was authenticated</w:t>
      </w:r>
      <w:r w:rsidRPr="00D72EC2">
        <w:rPr>
          <w:b/>
          <w:sz w:val="24"/>
          <w:szCs w:val="24"/>
        </w:rPr>
        <w:t xml:space="preserve">. </w:t>
      </w:r>
    </w:p>
    <w:p w14:paraId="536ADDC3" w14:textId="77777777" w:rsidR="00D72EC2" w:rsidRDefault="00D72EC2" w:rsidP="00B86628">
      <w:pPr>
        <w:pStyle w:val="NoSpacing"/>
        <w:rPr>
          <w:rFonts w:ascii="Arial Black" w:hAnsi="Arial Black"/>
          <w:sz w:val="24"/>
          <w:szCs w:val="24"/>
        </w:rPr>
      </w:pPr>
    </w:p>
    <w:p w14:paraId="49C41D0D" w14:textId="77777777" w:rsidR="00B9138D" w:rsidRDefault="00B9138D" w:rsidP="00B86628">
      <w:pPr>
        <w:pStyle w:val="NoSpacing"/>
        <w:rPr>
          <w:rFonts w:ascii="Arial Black" w:hAnsi="Arial Black"/>
          <w:sz w:val="24"/>
          <w:szCs w:val="24"/>
        </w:rPr>
      </w:pPr>
    </w:p>
    <w:p w14:paraId="0EBE4701" w14:textId="10A8371C" w:rsidR="008D499E" w:rsidRDefault="00453E02" w:rsidP="00B86628">
      <w:pPr>
        <w:pStyle w:val="NoSpacing"/>
        <w:rPr>
          <w:rFonts w:ascii="Arial Black" w:hAnsi="Arial Black"/>
          <w:sz w:val="24"/>
          <w:szCs w:val="24"/>
        </w:rPr>
      </w:pPr>
      <w:r>
        <w:rPr>
          <w:rFonts w:ascii="Arial Black" w:hAnsi="Arial Black"/>
          <w:sz w:val="24"/>
          <w:szCs w:val="24"/>
        </w:rPr>
        <w:t>1-</w:t>
      </w:r>
      <w:r w:rsidR="008D499E">
        <w:rPr>
          <w:rFonts w:ascii="Arial Black" w:hAnsi="Arial Black"/>
          <w:sz w:val="24"/>
          <w:szCs w:val="24"/>
        </w:rPr>
        <w:t>175</w:t>
      </w:r>
    </w:p>
    <w:p w14:paraId="6F060733" w14:textId="77777777" w:rsidR="008D499E" w:rsidRDefault="008D499E" w:rsidP="00B86628">
      <w:pPr>
        <w:pStyle w:val="NoSpacing"/>
        <w:rPr>
          <w:rFonts w:ascii="Arial Black" w:hAnsi="Arial Black"/>
          <w:sz w:val="24"/>
          <w:szCs w:val="24"/>
        </w:rPr>
      </w:pPr>
    </w:p>
    <w:p w14:paraId="57DD6EA0" w14:textId="77777777" w:rsidR="008D499E" w:rsidRDefault="008D499E" w:rsidP="008D499E">
      <w:pPr>
        <w:spacing w:after="0"/>
        <w:rPr>
          <w:rFonts w:ascii="Arial Black" w:hAnsi="Arial Black"/>
          <w:b/>
          <w:bCs/>
          <w:sz w:val="28"/>
          <w:szCs w:val="28"/>
        </w:rPr>
      </w:pPr>
      <w:r>
        <w:rPr>
          <w:rFonts w:ascii="Arial Black" w:hAnsi="Arial Black"/>
          <w:b/>
          <w:sz w:val="28"/>
          <w:szCs w:val="28"/>
        </w:rPr>
        <w:t>MO: ARSON - HOUSE FIRE - INSURED $350K / WORTH $60K</w:t>
      </w:r>
    </w:p>
    <w:p w14:paraId="64E9CC82" w14:textId="77777777" w:rsidR="008D499E" w:rsidRPr="00E57AE8" w:rsidRDefault="008D499E" w:rsidP="008D499E">
      <w:pPr>
        <w:spacing w:after="0"/>
        <w:rPr>
          <w:rFonts w:ascii="Times New Roman" w:hAnsi="Times New Roman"/>
          <w:sz w:val="24"/>
          <w:szCs w:val="24"/>
        </w:rPr>
      </w:pPr>
    </w:p>
    <w:p w14:paraId="78579601" w14:textId="77777777" w:rsidR="008D499E" w:rsidRPr="00C60EC1" w:rsidRDefault="008D499E" w:rsidP="008D499E">
      <w:pPr>
        <w:spacing w:after="0"/>
        <w:rPr>
          <w:rFonts w:ascii="Times New Roman" w:hAnsi="Times New Roman"/>
          <w:sz w:val="24"/>
          <w:szCs w:val="24"/>
        </w:rPr>
      </w:pPr>
      <w:r w:rsidRPr="00C60EC1">
        <w:rPr>
          <w:rFonts w:ascii="Times New Roman" w:hAnsi="Times New Roman"/>
          <w:sz w:val="24"/>
          <w:szCs w:val="24"/>
        </w:rPr>
        <w:t xml:space="preserve">On March 24, 2025, in </w:t>
      </w:r>
      <w:proofErr w:type="spellStart"/>
      <w:r w:rsidRPr="00C60EC1">
        <w:rPr>
          <w:rFonts w:ascii="Times New Roman" w:hAnsi="Times New Roman"/>
          <w:sz w:val="24"/>
          <w:szCs w:val="24"/>
          <w:u w:val="single"/>
        </w:rPr>
        <w:t>Amguard</w:t>
      </w:r>
      <w:proofErr w:type="spellEnd"/>
      <w:r w:rsidRPr="00C60EC1">
        <w:rPr>
          <w:rFonts w:ascii="Times New Roman" w:hAnsi="Times New Roman"/>
          <w:sz w:val="24"/>
          <w:szCs w:val="24"/>
          <w:u w:val="single"/>
        </w:rPr>
        <w:t xml:space="preserve"> Insurance Company v. James Cantrell, III</w:t>
      </w:r>
      <w:r w:rsidRPr="00C60EC1">
        <w:rPr>
          <w:rFonts w:ascii="Times New Roman" w:hAnsi="Times New Roman"/>
          <w:sz w:val="24"/>
          <w:szCs w:val="24"/>
        </w:rPr>
        <w:t xml:space="preserve">, U.S. District Court Judge Douglas Harpool, U.S. District Court for the Western District of Missouri, Southern Division, denied the homeowner’s motion for partial summary judgment in a lawsuit by the insurance company.  The insurance company refused to pay claim for March 8, </w:t>
      </w:r>
      <w:proofErr w:type="gramStart"/>
      <w:r w:rsidRPr="00C60EC1">
        <w:rPr>
          <w:rFonts w:ascii="Times New Roman" w:hAnsi="Times New Roman"/>
          <w:sz w:val="24"/>
          <w:szCs w:val="24"/>
        </w:rPr>
        <w:t>2023</w:t>
      </w:r>
      <w:proofErr w:type="gramEnd"/>
      <w:r w:rsidRPr="00C60EC1">
        <w:rPr>
          <w:rFonts w:ascii="Times New Roman" w:hAnsi="Times New Roman"/>
          <w:sz w:val="24"/>
          <w:szCs w:val="24"/>
        </w:rPr>
        <w:t xml:space="preserve"> house fire of $525,000 ($350,000 for house; $175,000 personal property).  There was little property in the home at the time of the fire; he was observed at </w:t>
      </w:r>
      <w:proofErr w:type="gramStart"/>
      <w:r w:rsidRPr="00C60EC1">
        <w:rPr>
          <w:rFonts w:ascii="Times New Roman" w:hAnsi="Times New Roman"/>
          <w:sz w:val="24"/>
          <w:szCs w:val="24"/>
        </w:rPr>
        <w:t>the home</w:t>
      </w:r>
      <w:proofErr w:type="gramEnd"/>
      <w:r w:rsidRPr="00C60EC1">
        <w:rPr>
          <w:rFonts w:ascii="Times New Roman" w:hAnsi="Times New Roman"/>
          <w:sz w:val="24"/>
          <w:szCs w:val="24"/>
        </w:rPr>
        <w:t xml:space="preserve"> at 8:08 pm, and fire </w:t>
      </w:r>
      <w:proofErr w:type="gramStart"/>
      <w:r w:rsidRPr="00C60EC1">
        <w:rPr>
          <w:rFonts w:ascii="Times New Roman" w:hAnsi="Times New Roman"/>
          <w:sz w:val="24"/>
          <w:szCs w:val="24"/>
        </w:rPr>
        <w:t>run came</w:t>
      </w:r>
      <w:proofErr w:type="gramEnd"/>
      <w:r w:rsidRPr="00C60EC1">
        <w:rPr>
          <w:rFonts w:ascii="Times New Roman" w:hAnsi="Times New Roman"/>
          <w:sz w:val="24"/>
          <w:szCs w:val="24"/>
        </w:rPr>
        <w:t xml:space="preserve"> in at 8:32 pm; and the hydrant had been manually turned off. The homeowner’s wife, Kara Cantrell, testified in her deposition that his husband “had filed previous fire insurance claims in January 2020 when her vehicle and their log cabin in Fair Play, Missouri burned within twenty-four hours of each other…. Ms. Cantrell also testified that on February 27, 2023, Defendant had looked up on her phone how to total a house.” </w:t>
      </w:r>
      <w:hyperlink r:id="rId75" w:history="1">
        <w:r w:rsidRPr="00C60EC1">
          <w:rPr>
            <w:rStyle w:val="Hyperlink"/>
            <w:rFonts w:ascii="Times New Roman" w:hAnsi="Times New Roman"/>
            <w:sz w:val="24"/>
            <w:szCs w:val="24"/>
          </w:rPr>
          <w:t>https://public.fastcase.com/jaEE2PXzRXmZ99jOLMt1IvQQ%2FwWODLAEJBukBPNCALgft0sHziy1G1EiNPA2la2I%2Bz7mV9PFJnpwehw24IHtnmGvfRX%2FCWFczT3vlKR%2B0P0%3D?utm_medium=email&amp;_hsenc=p2ANqtz--SWSAGzwwNdnG_VMPYwGihlDivIcGecVdTRk_nr30XIo07pFHIeVloVzlVGarTG9brlCuLB39_kFjuWt_H_cWvO7FD4A&amp;_hsmi=226712652&amp;utm_content=226712652&amp;utm_source=hs_email</w:t>
        </w:r>
      </w:hyperlink>
      <w:r w:rsidRPr="00C60EC1">
        <w:rPr>
          <w:rFonts w:ascii="Times New Roman" w:hAnsi="Times New Roman"/>
          <w:sz w:val="24"/>
          <w:szCs w:val="24"/>
        </w:rPr>
        <w:t xml:space="preserve"> </w:t>
      </w:r>
    </w:p>
    <w:p w14:paraId="58267EDB" w14:textId="77777777" w:rsidR="008D499E" w:rsidRPr="00C60EC1" w:rsidRDefault="008D499E" w:rsidP="00B86628">
      <w:pPr>
        <w:pStyle w:val="NoSpacing"/>
        <w:rPr>
          <w:rFonts w:ascii="Times New Roman" w:hAnsi="Times New Roman"/>
          <w:sz w:val="24"/>
          <w:szCs w:val="24"/>
        </w:rPr>
      </w:pPr>
    </w:p>
    <w:p w14:paraId="4D0A0C91" w14:textId="77777777" w:rsidR="00C60EC1" w:rsidRPr="00C60EC1" w:rsidRDefault="00C60EC1" w:rsidP="00C60EC1">
      <w:pPr>
        <w:spacing w:after="0"/>
        <w:rPr>
          <w:b/>
          <w:bCs/>
          <w:sz w:val="24"/>
          <w:szCs w:val="24"/>
        </w:rPr>
      </w:pPr>
      <w:r w:rsidRPr="00C60EC1">
        <w:rPr>
          <w:b/>
          <w:sz w:val="24"/>
          <w:szCs w:val="24"/>
        </w:rPr>
        <w:lastRenderedPageBreak/>
        <w:t xml:space="preserve">Legal Lesson Learned:  Insurance companies, when suspecting arson, can file lawsuits seeking court approval to not pay a suspicious claim. </w:t>
      </w:r>
    </w:p>
    <w:p w14:paraId="06CC6608" w14:textId="77777777" w:rsidR="00E57AE8" w:rsidRDefault="00E57AE8" w:rsidP="00B86628">
      <w:pPr>
        <w:pStyle w:val="NoSpacing"/>
        <w:rPr>
          <w:rFonts w:ascii="Arial Black" w:hAnsi="Arial Black"/>
          <w:sz w:val="24"/>
          <w:szCs w:val="24"/>
        </w:rPr>
      </w:pPr>
    </w:p>
    <w:p w14:paraId="5D23C62F" w14:textId="77777777" w:rsidR="008D499E" w:rsidRDefault="008D499E" w:rsidP="00B86628">
      <w:pPr>
        <w:pStyle w:val="NoSpacing"/>
        <w:rPr>
          <w:rFonts w:ascii="Arial Black" w:hAnsi="Arial Black"/>
          <w:sz w:val="24"/>
          <w:szCs w:val="24"/>
        </w:rPr>
      </w:pPr>
    </w:p>
    <w:p w14:paraId="5E5B7F81" w14:textId="1D305179" w:rsidR="00DA55B0" w:rsidRDefault="00453E02" w:rsidP="00B86628">
      <w:pPr>
        <w:pStyle w:val="NoSpacing"/>
        <w:rPr>
          <w:rFonts w:ascii="Arial Black" w:hAnsi="Arial Black"/>
          <w:sz w:val="24"/>
          <w:szCs w:val="24"/>
        </w:rPr>
      </w:pPr>
      <w:r>
        <w:rPr>
          <w:rFonts w:ascii="Arial Black" w:hAnsi="Arial Black"/>
          <w:sz w:val="24"/>
          <w:szCs w:val="24"/>
        </w:rPr>
        <w:t>1-</w:t>
      </w:r>
      <w:r w:rsidR="00DA55B0">
        <w:rPr>
          <w:rFonts w:ascii="Arial Black" w:hAnsi="Arial Black"/>
          <w:sz w:val="24"/>
          <w:szCs w:val="24"/>
        </w:rPr>
        <w:t>174</w:t>
      </w:r>
    </w:p>
    <w:p w14:paraId="7740C0D6" w14:textId="77777777" w:rsidR="00DA55B0" w:rsidRDefault="00DA55B0" w:rsidP="00B86628">
      <w:pPr>
        <w:pStyle w:val="NoSpacing"/>
        <w:rPr>
          <w:rFonts w:ascii="Arial Black" w:hAnsi="Arial Black"/>
          <w:sz w:val="24"/>
          <w:szCs w:val="24"/>
        </w:rPr>
      </w:pPr>
    </w:p>
    <w:p w14:paraId="7F37DB99" w14:textId="320890B7" w:rsidR="005C5C79" w:rsidRDefault="005C5C79" w:rsidP="005C5C79">
      <w:pPr>
        <w:rPr>
          <w:rFonts w:ascii="Arial Black" w:hAnsi="Arial Black"/>
          <w:sz w:val="28"/>
          <w:szCs w:val="28"/>
        </w:rPr>
      </w:pPr>
      <w:r w:rsidRPr="000B7F2C">
        <w:rPr>
          <w:rFonts w:ascii="Arial Black" w:hAnsi="Arial Black"/>
          <w:sz w:val="28"/>
          <w:szCs w:val="28"/>
        </w:rPr>
        <w:t xml:space="preserve">U.S. SUP. CT. – PROS. MUST CORRECT FALSE TESTIMONY </w:t>
      </w:r>
      <w:r w:rsidR="00D97A78">
        <w:rPr>
          <w:rFonts w:ascii="Arial Black" w:hAnsi="Arial Black"/>
          <w:sz w:val="28"/>
          <w:szCs w:val="28"/>
        </w:rPr>
        <w:t>– DEATH ROW INMATE NEW TRIAL</w:t>
      </w:r>
    </w:p>
    <w:p w14:paraId="1CF07A64" w14:textId="77777777" w:rsidR="005C5C79" w:rsidRPr="005C5C79" w:rsidRDefault="005C5C79" w:rsidP="005C5C79">
      <w:pPr>
        <w:pStyle w:val="NoSpacing"/>
        <w:rPr>
          <w:rFonts w:ascii="Times New Roman" w:hAnsi="Times New Roman"/>
          <w:bCs/>
          <w:sz w:val="24"/>
          <w:szCs w:val="24"/>
        </w:rPr>
      </w:pPr>
      <w:r w:rsidRPr="005C5C79">
        <w:rPr>
          <w:rFonts w:ascii="Times New Roman" w:hAnsi="Times New Roman"/>
          <w:sz w:val="24"/>
          <w:szCs w:val="24"/>
        </w:rPr>
        <w:t xml:space="preserve">On Feb. 25, 2025, in </w:t>
      </w:r>
      <w:r w:rsidRPr="005C5C79">
        <w:rPr>
          <w:rFonts w:ascii="Times New Roman" w:hAnsi="Times New Roman"/>
          <w:sz w:val="24"/>
          <w:szCs w:val="24"/>
          <w:u w:val="single"/>
        </w:rPr>
        <w:t>Richard Glossip v. Oklahoma</w:t>
      </w:r>
      <w:r w:rsidRPr="005C5C79">
        <w:rPr>
          <w:rFonts w:ascii="Times New Roman" w:hAnsi="Times New Roman"/>
          <w:sz w:val="24"/>
          <w:szCs w:val="24"/>
        </w:rPr>
        <w:t xml:space="preserve">, the U.S. Supreme Court held (5 to 3) that death row inmate Richard Glossip is entitled to a new trial, since the Oklahoma Attorney General admitted that prosecutors failed to disclose their key witness (Justin Sneed, who committed the murder with a baseball bat) falsely testified he did not suffer from bipolar disorder and was not administered lithium by jail psychiatrist to treat that condition   Richard Glossip was manager of the Best Budget Inn in Tulsa.  Sneed, a part-time employee, said he was paid by Glossip to kill the owner of the hotel (Barry Van Treese) to cover up Glossip’s embezzlement of hotel money.  Sneed testified against Glossip in exchange for avoiding the death penalty, and when first conviction was reversed for ineffective counsel, he testified in a second trial.  Sneed was the “only direct evidence connecting Glossip to the murder.” </w:t>
      </w:r>
      <w:hyperlink r:id="rId76" w:history="1">
        <w:r w:rsidRPr="005C5C79">
          <w:rPr>
            <w:rStyle w:val="Hyperlink"/>
            <w:rFonts w:ascii="Times New Roman" w:hAnsi="Times New Roman"/>
            <w:sz w:val="24"/>
            <w:szCs w:val="24"/>
          </w:rPr>
          <w:t>https://www.supremecourt.gov/opinions/24pdf/22-7466new_6479.pdf</w:t>
        </w:r>
      </w:hyperlink>
      <w:r w:rsidRPr="005C5C79">
        <w:rPr>
          <w:rFonts w:ascii="Times New Roman" w:hAnsi="Times New Roman"/>
          <w:sz w:val="24"/>
          <w:szCs w:val="24"/>
        </w:rPr>
        <w:t xml:space="preserve"> </w:t>
      </w:r>
    </w:p>
    <w:p w14:paraId="1E4C834B" w14:textId="77777777" w:rsidR="005C5C79" w:rsidRDefault="005C5C79" w:rsidP="005C5C79">
      <w:pPr>
        <w:pStyle w:val="NoSpacing"/>
        <w:rPr>
          <w:rFonts w:ascii="Times New Roman" w:hAnsi="Times New Roman"/>
          <w:sz w:val="24"/>
          <w:szCs w:val="24"/>
        </w:rPr>
      </w:pPr>
    </w:p>
    <w:p w14:paraId="509400E7" w14:textId="1B2CBC9D" w:rsidR="005C5C79" w:rsidRPr="005C5C79" w:rsidRDefault="005C5C79" w:rsidP="005C5C79">
      <w:pPr>
        <w:pStyle w:val="NoSpacing"/>
        <w:rPr>
          <w:rFonts w:ascii="Times New Roman" w:hAnsi="Times New Roman"/>
          <w:bCs/>
          <w:sz w:val="24"/>
          <w:szCs w:val="24"/>
        </w:rPr>
      </w:pPr>
      <w:r w:rsidRPr="005C5C79">
        <w:rPr>
          <w:rFonts w:ascii="Times New Roman" w:hAnsi="Times New Roman"/>
          <w:sz w:val="24"/>
          <w:szCs w:val="24"/>
        </w:rPr>
        <w:t>The Majority decision (by Justice Sonia Maria Sotomayor):</w:t>
      </w:r>
    </w:p>
    <w:p w14:paraId="58F38F0F" w14:textId="77777777" w:rsidR="005C5C79" w:rsidRPr="005C5C79" w:rsidRDefault="005C5C79" w:rsidP="005C5C79">
      <w:pPr>
        <w:pStyle w:val="NoSpacing"/>
        <w:rPr>
          <w:rFonts w:ascii="Times New Roman" w:hAnsi="Times New Roman"/>
          <w:bCs/>
          <w:sz w:val="24"/>
          <w:szCs w:val="24"/>
        </w:rPr>
      </w:pPr>
    </w:p>
    <w:p w14:paraId="17199174" w14:textId="6EC1F4CD"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“Nearly two decades later, the State disclosed eight boxes of previously withheld documents from Glossip’s trial. These documents show that Sneed suffered from bipolar</w:t>
      </w:r>
      <w:r>
        <w:rPr>
          <w:rFonts w:ascii="Times New Roman" w:hAnsi="Times New Roman"/>
          <w:sz w:val="24"/>
          <w:szCs w:val="24"/>
        </w:rPr>
        <w:t xml:space="preserve"> </w:t>
      </w:r>
      <w:r w:rsidRPr="005C5C79">
        <w:rPr>
          <w:rFonts w:ascii="Times New Roman" w:hAnsi="Times New Roman"/>
          <w:sz w:val="24"/>
          <w:szCs w:val="24"/>
        </w:rPr>
        <w:t>disorder, which, combined with his known drug use, could have caused impulsive outbursts of violence. They also established, the State agrees, that a jail psychiatrist prescribed Sneed lithium to treat that condition, and that the prosecution allowed Sneed falsely to testify at trial that he had never seen a psychiatrist. Faced with that evidence,</w:t>
      </w:r>
    </w:p>
    <w:p w14:paraId="4AEDC5D7"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Oklahoma’s attorney general confessed error.</w:t>
      </w:r>
    </w:p>
    <w:p w14:paraId="1ECB9383" w14:textId="77777777" w:rsidR="005C5C79" w:rsidRPr="005C5C79" w:rsidRDefault="005C5C79" w:rsidP="005C5C79">
      <w:pPr>
        <w:pStyle w:val="NoSpacing"/>
        <w:rPr>
          <w:rFonts w:ascii="Times New Roman" w:hAnsi="Times New Roman"/>
          <w:bCs/>
          <w:sz w:val="24"/>
          <w:szCs w:val="24"/>
        </w:rPr>
      </w:pPr>
    </w:p>
    <w:p w14:paraId="02E6CA3B"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w:t>
      </w:r>
    </w:p>
    <w:p w14:paraId="6AE8F167"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 xml:space="preserve">Turning to the merits, we conclude that the prosecution violated its constitutional obligation to correct false testimony. In </w:t>
      </w:r>
      <w:r w:rsidRPr="005C5C79">
        <w:rPr>
          <w:rFonts w:ascii="Times New Roman" w:hAnsi="Times New Roman"/>
          <w:sz w:val="24"/>
          <w:szCs w:val="24"/>
          <w:u w:val="single"/>
        </w:rPr>
        <w:t>Napue v. Illinois</w:t>
      </w:r>
      <w:r w:rsidRPr="005C5C79">
        <w:rPr>
          <w:rFonts w:ascii="Times New Roman" w:hAnsi="Times New Roman"/>
          <w:sz w:val="24"/>
          <w:szCs w:val="24"/>
        </w:rPr>
        <w:t xml:space="preserve">, [June 15, 1959; </w:t>
      </w:r>
      <w:hyperlink r:id="rId77" w:history="1">
        <w:r w:rsidRPr="005C5C79">
          <w:rPr>
            <w:rStyle w:val="Hyperlink"/>
            <w:rFonts w:ascii="Times New Roman" w:hAnsi="Times New Roman"/>
            <w:sz w:val="24"/>
            <w:szCs w:val="24"/>
          </w:rPr>
          <w:t>https://supreme.justia.com/cases/federal/us/360/264/</w:t>
        </w:r>
      </w:hyperlink>
      <w:r w:rsidRPr="005C5C79">
        <w:rPr>
          <w:rFonts w:ascii="Times New Roman" w:hAnsi="Times New Roman"/>
          <w:sz w:val="24"/>
          <w:szCs w:val="24"/>
        </w:rPr>
        <w:t xml:space="preserve"> ] this Court held that a conviction</w:t>
      </w:r>
    </w:p>
    <w:p w14:paraId="0581F090"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 xml:space="preserve">knowingly ‘obtained through use of false evidence’ violates the Fourteenth Amendment’s Due Process Clause. 360 U. S., at 269. To establish a Napue violation, a defendant must show that the prosecution knowingly solicited false testimony or knowingly allowed it ‘to go uncorrected when it </w:t>
      </w:r>
      <w:proofErr w:type="gramStart"/>
      <w:r w:rsidRPr="005C5C79">
        <w:rPr>
          <w:rFonts w:ascii="Times New Roman" w:hAnsi="Times New Roman"/>
          <w:sz w:val="24"/>
          <w:szCs w:val="24"/>
        </w:rPr>
        <w:t>appear</w:t>
      </w:r>
      <w:proofErr w:type="gramEnd"/>
      <w:r w:rsidRPr="005C5C79">
        <w:rPr>
          <w:rFonts w:ascii="Times New Roman" w:hAnsi="Times New Roman"/>
          <w:sz w:val="24"/>
          <w:szCs w:val="24"/>
        </w:rPr>
        <w:t>[ed].’ Ibid. If the defendant makes that showing, a new trial is warranted so long as the false testimony ‘may have had an effect on the outcome of the trial,” id., at 272—that is, if it ‘in any reasonable likelihood [could] have affected the judgment of the jury.’</w:t>
      </w:r>
    </w:p>
    <w:p w14:paraId="64F67D55" w14:textId="77777777" w:rsidR="005C5C79" w:rsidRPr="005C5C79" w:rsidRDefault="005C5C79" w:rsidP="005C5C79">
      <w:pPr>
        <w:pStyle w:val="NoSpacing"/>
        <w:rPr>
          <w:rFonts w:ascii="Times New Roman" w:hAnsi="Times New Roman"/>
          <w:bCs/>
          <w:sz w:val="24"/>
          <w:szCs w:val="24"/>
        </w:rPr>
      </w:pPr>
    </w:p>
    <w:p w14:paraId="5F33087C"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w:t>
      </w:r>
    </w:p>
    <w:p w14:paraId="43D95862" w14:textId="77777777" w:rsidR="005C5C79" w:rsidRPr="005C5C79" w:rsidRDefault="005C5C79" w:rsidP="005C5C79">
      <w:pPr>
        <w:pStyle w:val="NoSpacing"/>
        <w:rPr>
          <w:rFonts w:ascii="Times New Roman" w:hAnsi="Times New Roman"/>
          <w:bCs/>
          <w:sz w:val="24"/>
          <w:szCs w:val="24"/>
        </w:rPr>
      </w:pPr>
    </w:p>
    <w:p w14:paraId="0420918E"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The evidence likewise establishes that the prosecution knew Sneed’s statements were false as he testified to them.  The prosecution almost certainly had access to Sneed’s medical file, which would have listed both the lithium prescription and the bipolar diagnosis. Among other things, those records would have been provided to the State as part of Sneed’s competency evaluation …and the State opposed Glossip’s discovery request of Sneed’s medical files on its merits….</w:t>
      </w:r>
    </w:p>
    <w:p w14:paraId="707CA1EA" w14:textId="77777777" w:rsidR="005C5C79" w:rsidRPr="005C5C79" w:rsidRDefault="005C5C79" w:rsidP="005C5C79">
      <w:pPr>
        <w:pStyle w:val="NoSpacing"/>
        <w:rPr>
          <w:rFonts w:ascii="Times New Roman" w:hAnsi="Times New Roman"/>
          <w:bCs/>
          <w:sz w:val="24"/>
          <w:szCs w:val="24"/>
        </w:rPr>
      </w:pPr>
    </w:p>
    <w:p w14:paraId="785C8A16"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w:t>
      </w:r>
    </w:p>
    <w:p w14:paraId="112A6668"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lastRenderedPageBreak/>
        <w:t>For these reasons, we conclude that the prosecution’s failure to correct Sneed’s trial testimony violated the Due Process Clause. Glossip is entitled to a new trial.”</w:t>
      </w:r>
    </w:p>
    <w:p w14:paraId="22A7535D" w14:textId="77777777" w:rsidR="005C5C79" w:rsidRPr="005C5C79" w:rsidRDefault="005C5C79" w:rsidP="005C5C79">
      <w:pPr>
        <w:pStyle w:val="NoSpacing"/>
        <w:rPr>
          <w:rFonts w:ascii="Times New Roman" w:hAnsi="Times New Roman"/>
          <w:bCs/>
          <w:sz w:val="24"/>
          <w:szCs w:val="24"/>
        </w:rPr>
      </w:pPr>
    </w:p>
    <w:p w14:paraId="0835D761" w14:textId="77777777" w:rsidR="005C5C79" w:rsidRPr="005C5C79" w:rsidRDefault="005C5C79" w:rsidP="00687306">
      <w:pPr>
        <w:pStyle w:val="NoSpacing"/>
        <w:ind w:left="720"/>
        <w:rPr>
          <w:rFonts w:ascii="Times New Roman" w:hAnsi="Times New Roman"/>
          <w:b/>
          <w:sz w:val="24"/>
          <w:szCs w:val="24"/>
        </w:rPr>
      </w:pPr>
      <w:r w:rsidRPr="005C5C79">
        <w:rPr>
          <w:rFonts w:ascii="Times New Roman" w:hAnsi="Times New Roman"/>
          <w:b/>
          <w:sz w:val="24"/>
          <w:szCs w:val="24"/>
        </w:rPr>
        <w:t xml:space="preserve">Legal Lesson Learned: Prosecutors must correct false testimony.  In arson and other criminal cases, if fire or EMS learn of incorrect testimony by prosecution  witness, immediately inform the prosecutor so it can be disclosed to the defense and the Court.  </w:t>
      </w:r>
    </w:p>
    <w:p w14:paraId="14944762" w14:textId="77777777" w:rsidR="005C5C79" w:rsidRPr="005C5C79" w:rsidRDefault="005C5C79" w:rsidP="005C5C79">
      <w:pPr>
        <w:pStyle w:val="NoSpacing"/>
        <w:rPr>
          <w:rFonts w:ascii="Times New Roman" w:hAnsi="Times New Roman"/>
          <w:bCs/>
          <w:sz w:val="24"/>
          <w:szCs w:val="24"/>
        </w:rPr>
      </w:pPr>
    </w:p>
    <w:p w14:paraId="56E16E5F" w14:textId="77777777" w:rsidR="00DA55B0" w:rsidRDefault="00DA55B0" w:rsidP="00B86628">
      <w:pPr>
        <w:pStyle w:val="NoSpacing"/>
        <w:rPr>
          <w:rFonts w:ascii="Arial Black" w:hAnsi="Arial Black"/>
          <w:sz w:val="24"/>
          <w:szCs w:val="24"/>
        </w:rPr>
      </w:pPr>
    </w:p>
    <w:p w14:paraId="633EF65D" w14:textId="77777777" w:rsidR="00DA55B0" w:rsidRDefault="00DA55B0" w:rsidP="00B86628">
      <w:pPr>
        <w:pStyle w:val="NoSpacing"/>
        <w:rPr>
          <w:rFonts w:ascii="Arial Black" w:hAnsi="Arial Black"/>
          <w:sz w:val="24"/>
          <w:szCs w:val="24"/>
        </w:rPr>
      </w:pPr>
    </w:p>
    <w:p w14:paraId="1553FDAE" w14:textId="1427812F" w:rsidR="00C11ACF" w:rsidRDefault="00453E02" w:rsidP="00B86628">
      <w:pPr>
        <w:pStyle w:val="NoSpacing"/>
        <w:rPr>
          <w:rFonts w:ascii="Arial Black" w:hAnsi="Arial Black"/>
          <w:sz w:val="24"/>
          <w:szCs w:val="24"/>
        </w:rPr>
      </w:pPr>
      <w:r>
        <w:rPr>
          <w:rFonts w:ascii="Arial Black" w:hAnsi="Arial Black"/>
          <w:sz w:val="24"/>
          <w:szCs w:val="24"/>
        </w:rPr>
        <w:t>1-</w:t>
      </w:r>
      <w:r w:rsidR="00C11ACF">
        <w:rPr>
          <w:rFonts w:ascii="Arial Black" w:hAnsi="Arial Black"/>
          <w:sz w:val="24"/>
          <w:szCs w:val="24"/>
        </w:rPr>
        <w:t>173</w:t>
      </w:r>
    </w:p>
    <w:p w14:paraId="21E9F0B3" w14:textId="77777777" w:rsidR="00C11ACF" w:rsidRDefault="00C11ACF" w:rsidP="00B86628">
      <w:pPr>
        <w:pStyle w:val="NoSpacing"/>
        <w:rPr>
          <w:rFonts w:ascii="Arial Black" w:hAnsi="Arial Black"/>
          <w:sz w:val="24"/>
          <w:szCs w:val="24"/>
        </w:rPr>
      </w:pPr>
    </w:p>
    <w:p w14:paraId="2E8AC6FB" w14:textId="1602A3F4" w:rsidR="008E1AE0" w:rsidRPr="00DA55B0" w:rsidRDefault="008E1AE0" w:rsidP="008E1AE0">
      <w:pPr>
        <w:rPr>
          <w:rFonts w:ascii="Arial Black" w:hAnsi="Arial Black"/>
          <w:sz w:val="28"/>
          <w:szCs w:val="28"/>
        </w:rPr>
      </w:pPr>
      <w:r w:rsidRPr="000B7F2C">
        <w:rPr>
          <w:rFonts w:ascii="Arial Black" w:hAnsi="Arial Black"/>
          <w:sz w:val="28"/>
          <w:szCs w:val="28"/>
        </w:rPr>
        <w:t>AR: LOST FOREST – 3 SIGNAL FIRES – NO “NECESSITY DEF.”</w:t>
      </w:r>
    </w:p>
    <w:p w14:paraId="1B743FBD" w14:textId="3AD8E9B6" w:rsidR="008E1AE0" w:rsidRPr="00DA55B0" w:rsidRDefault="008E1AE0" w:rsidP="008E1AE0">
      <w:pPr>
        <w:rPr>
          <w:rFonts w:ascii="Times New Roman" w:hAnsi="Times New Roman"/>
          <w:sz w:val="24"/>
          <w:szCs w:val="24"/>
        </w:rPr>
      </w:pPr>
      <w:r w:rsidRPr="00DA55B0">
        <w:rPr>
          <w:rFonts w:ascii="Times New Roman" w:hAnsi="Times New Roman"/>
          <w:sz w:val="24"/>
          <w:szCs w:val="24"/>
        </w:rPr>
        <w:t xml:space="preserve">On Feb. 24, 2025, in </w:t>
      </w:r>
      <w:r w:rsidRPr="00DA55B0">
        <w:rPr>
          <w:rFonts w:ascii="Times New Roman" w:hAnsi="Times New Roman"/>
          <w:sz w:val="24"/>
          <w:szCs w:val="24"/>
          <w:u w:val="single"/>
        </w:rPr>
        <w:t>United States of America v. Philip Alejandro Powers, III</w:t>
      </w:r>
      <w:r w:rsidRPr="00DA55B0">
        <w:rPr>
          <w:rFonts w:ascii="Times New Roman" w:hAnsi="Times New Roman"/>
          <w:sz w:val="24"/>
          <w:szCs w:val="24"/>
        </w:rPr>
        <w:t>, the U.S. Court of Appeals for the 9</w:t>
      </w:r>
      <w:r w:rsidRPr="00DA55B0">
        <w:rPr>
          <w:rFonts w:ascii="Times New Roman" w:hAnsi="Times New Roman"/>
          <w:sz w:val="24"/>
          <w:szCs w:val="24"/>
          <w:vertAlign w:val="superscript"/>
        </w:rPr>
        <w:t>th</w:t>
      </w:r>
      <w:r w:rsidRPr="00DA55B0">
        <w:rPr>
          <w:rFonts w:ascii="Times New Roman" w:hAnsi="Times New Roman"/>
          <w:sz w:val="24"/>
          <w:szCs w:val="24"/>
        </w:rPr>
        <w:t xml:space="preserve"> Circuit (San Francisco) held (3 to 0) that the U.S. Magistrate Judge who presided at two-day bench trial [no jury] properly rejected the “necessity defense” and found the defendant guilty of seven misdemeanor counts of leaving fires unattended, sentenced him to supervised probation, and ordered him to pay restitution to the U.S. Forest Service of $293,413.71 in recoverable fire suppression costs. </w:t>
      </w:r>
      <w:hyperlink r:id="rId78" w:history="1">
        <w:r w:rsidRPr="00DA55B0">
          <w:rPr>
            <w:rStyle w:val="Hyperlink"/>
            <w:rFonts w:ascii="Times New Roman" w:hAnsi="Times New Roman"/>
            <w:sz w:val="24"/>
            <w:szCs w:val="24"/>
          </w:rPr>
          <w:t>https://cdn.ca9.uscourts.gov/datastore/opinions/2025/02/24/23-2218.pdf</w:t>
        </w:r>
      </w:hyperlink>
      <w:r w:rsidRPr="00DA55B0">
        <w:rPr>
          <w:rFonts w:ascii="Times New Roman" w:hAnsi="Times New Roman"/>
          <w:sz w:val="24"/>
          <w:szCs w:val="24"/>
        </w:rPr>
        <w:t xml:space="preserve"> </w:t>
      </w:r>
    </w:p>
    <w:p w14:paraId="55BDF0A1" w14:textId="77777777" w:rsidR="008E1AE0" w:rsidRPr="00DA55B0" w:rsidRDefault="008E1AE0" w:rsidP="008E1AE0">
      <w:pPr>
        <w:rPr>
          <w:rFonts w:ascii="Times New Roman" w:hAnsi="Times New Roman"/>
          <w:sz w:val="24"/>
          <w:szCs w:val="24"/>
        </w:rPr>
      </w:pPr>
      <w:r w:rsidRPr="00DA55B0">
        <w:rPr>
          <w:rFonts w:ascii="Times New Roman" w:hAnsi="Times New Roman"/>
          <w:sz w:val="24"/>
          <w:szCs w:val="24"/>
        </w:rPr>
        <w:t>The Court wrote:</w:t>
      </w:r>
    </w:p>
    <w:p w14:paraId="72C52874"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“Because Powers’s actions in setting the fires were objectively unreasonable, and because he was not facing imminent harm when he set the Taylor Fire, he failed to meet the requirements of the necessity defense. Accordingly, we affirm.</w:t>
      </w:r>
    </w:p>
    <w:p w14:paraId="10ADCD6D" w14:textId="77777777" w:rsidR="008E1AE0" w:rsidRPr="00DA55B0" w:rsidRDefault="008E1AE0" w:rsidP="008E1AE0">
      <w:pPr>
        <w:rPr>
          <w:rFonts w:ascii="Times New Roman" w:hAnsi="Times New Roman"/>
          <w:sz w:val="24"/>
          <w:szCs w:val="24"/>
        </w:rPr>
      </w:pPr>
    </w:p>
    <w:p w14:paraId="76AE75A2"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1DE3BA0B"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In May 2018, Powers began an approximately nineteen-mile hike on the Taylor Cabin Loop trail near Sedona, Arizona…. After losing the trail while hiking in northern Arizona, [the defendant] deliberately set three fires in the Prescott and Coconino National Forests…. He tried to use his phone to call for  help, but he had no signal. He decided to stay at the [Taylor] cabin overnight. </w:t>
      </w:r>
    </w:p>
    <w:p w14:paraId="44650AF1"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73619C4F"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[TAYLOR FIRE] Around 9:00 p.m., Powers decided to set a signal fire. There was a fire pit next to Taylor Cabin, but Powers believed that a fire in the pit would not create enough smoke to be noticed by passing planes. Thus, he ignited a nearby patch of ‘dead grass mixed in with vegetation’ that was ‘right next to [the] fire pit.’ This first fire, the Taylor Fire, spread over about a tenth of an acre, burning grass, brush, and small trees, but did not attract any rescuers.</w:t>
      </w:r>
    </w:p>
    <w:p w14:paraId="02B67DF6"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2E0AF234"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[SYCAMORE FIRE] After hiking about three miles away from Taylor Cabin [100 degrees], Powers decided to set another fire. He ‘tried to get to a spot where [he] would be easily visible,’ thinking that a higher ‘vantage point’ would allow the smoke to be ‘easily seen from the canyon.’ After searching for </w:t>
      </w:r>
      <w:r w:rsidRPr="00DA55B0">
        <w:rPr>
          <w:rFonts w:ascii="Times New Roman" w:hAnsi="Times New Roman"/>
          <w:sz w:val="24"/>
          <w:szCs w:val="24"/>
        </w:rPr>
        <w:lastRenderedPageBreak/>
        <w:t xml:space="preserve">‘dead brush that would easily ignite,’ ‘stay lit’ and </w:t>
      </w:r>
      <w:proofErr w:type="spellStart"/>
      <w:r w:rsidRPr="00DA55B0">
        <w:rPr>
          <w:rFonts w:ascii="Times New Roman" w:hAnsi="Times New Roman"/>
          <w:sz w:val="24"/>
          <w:szCs w:val="24"/>
        </w:rPr>
        <w:t>‘cause</w:t>
      </w:r>
      <w:proofErr w:type="spellEnd"/>
      <w:r w:rsidRPr="00DA55B0">
        <w:rPr>
          <w:rFonts w:ascii="Times New Roman" w:hAnsi="Times New Roman"/>
          <w:sz w:val="24"/>
          <w:szCs w:val="24"/>
        </w:rPr>
        <w:t xml:space="preserve"> smoke,’ Powers ignited a dead tree. He did not build a fire ring, dig a fire pit or remove any flammable materials from the area before starting the fire.</w:t>
      </w:r>
    </w:p>
    <w:p w14:paraId="74FA7255"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The Sycamore Fire spread uncontrolled over 230 acres of forest, burning timber, shrubs, and </w:t>
      </w:r>
      <w:proofErr w:type="gramStart"/>
      <w:r w:rsidRPr="00DA55B0">
        <w:rPr>
          <w:rFonts w:ascii="Times New Roman" w:hAnsi="Times New Roman"/>
          <w:sz w:val="24"/>
          <w:szCs w:val="24"/>
        </w:rPr>
        <w:t>grasses</w:t>
      </w:r>
      <w:proofErr w:type="gramEnd"/>
      <w:r w:rsidRPr="00DA55B0">
        <w:rPr>
          <w:rFonts w:ascii="Times New Roman" w:hAnsi="Times New Roman"/>
          <w:sz w:val="24"/>
          <w:szCs w:val="24"/>
        </w:rPr>
        <w:t xml:space="preserve">, and threatening Flagstaff, Arizona and the nearby watershed. Firefighters contained the fire after approximately nine </w:t>
      </w:r>
      <w:proofErr w:type="gramStart"/>
      <w:r w:rsidRPr="00DA55B0">
        <w:rPr>
          <w:rFonts w:ascii="Times New Roman" w:hAnsi="Times New Roman"/>
          <w:sz w:val="24"/>
          <w:szCs w:val="24"/>
        </w:rPr>
        <w:t>day</w:t>
      </w:r>
      <w:proofErr w:type="gramEnd"/>
      <w:r w:rsidRPr="00DA55B0">
        <w:rPr>
          <w:rFonts w:ascii="Times New Roman" w:hAnsi="Times New Roman"/>
          <w:sz w:val="24"/>
          <w:szCs w:val="24"/>
        </w:rPr>
        <w:t xml:space="preserve"> and the USFS incurred $293,413.71 in recoverable fire suppression costs.</w:t>
      </w:r>
    </w:p>
    <w:p w14:paraId="4701159F" w14:textId="77777777" w:rsidR="008E1AE0" w:rsidRPr="00DA55B0" w:rsidRDefault="008E1AE0" w:rsidP="008E1AE0">
      <w:pPr>
        <w:ind w:left="720"/>
        <w:rPr>
          <w:rFonts w:ascii="Times New Roman" w:hAnsi="Times New Roman"/>
          <w:b/>
          <w:bCs/>
          <w:sz w:val="24"/>
          <w:szCs w:val="24"/>
        </w:rPr>
      </w:pPr>
      <w:r w:rsidRPr="00DA55B0">
        <w:rPr>
          <w:rFonts w:ascii="Times New Roman" w:hAnsi="Times New Roman"/>
          <w:sz w:val="24"/>
          <w:szCs w:val="24"/>
        </w:rPr>
        <w:t xml:space="preserve">By choosing not to take any precautions and to set the Sycamore Fire in an unnecessarily careless manner (and then abandon it, unextinguished), Powers acted unreasonably…. Because Powers has not shown that he was facing imminent harm when he set the Taylor Fire, and because the </w:t>
      </w:r>
      <w:proofErr w:type="gramStart"/>
      <w:r w:rsidRPr="00DA55B0">
        <w:rPr>
          <w:rFonts w:ascii="Times New Roman" w:hAnsi="Times New Roman"/>
          <w:sz w:val="24"/>
          <w:szCs w:val="24"/>
        </w:rPr>
        <w:t>manner in which</w:t>
      </w:r>
      <w:proofErr w:type="gramEnd"/>
      <w:r w:rsidRPr="00DA55B0">
        <w:rPr>
          <w:rFonts w:ascii="Times New Roman" w:hAnsi="Times New Roman"/>
          <w:sz w:val="24"/>
          <w:szCs w:val="24"/>
        </w:rPr>
        <w:t xml:space="preserve"> he set the fire was objectively unreasonable, his necessity defense as to Counts 2 and 5 fails.</w:t>
      </w:r>
    </w:p>
    <w:p w14:paraId="0FA76096" w14:textId="77777777" w:rsidR="008E1AE0" w:rsidRPr="00DA55B0" w:rsidRDefault="008E1AE0" w:rsidP="008E1AE0">
      <w:pPr>
        <w:rPr>
          <w:rFonts w:ascii="Times New Roman" w:hAnsi="Times New Roman"/>
          <w:sz w:val="24"/>
          <w:szCs w:val="24"/>
        </w:rPr>
      </w:pPr>
    </w:p>
    <w:p w14:paraId="23311C95"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2E223B8C"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[SYCAMORE 2 FIRE] About thirty minutes after leaving the Sycamore Fire, Powers saw ‘a low-flying helicopter,’ which ‘looped around’ and left. The helicopter returned approximately thirty minutes later, and Powers began doing ‘everything [he] </w:t>
      </w:r>
      <w:proofErr w:type="gramStart"/>
      <w:r w:rsidRPr="00DA55B0">
        <w:rPr>
          <w:rFonts w:ascii="Times New Roman" w:hAnsi="Times New Roman"/>
          <w:sz w:val="24"/>
          <w:szCs w:val="24"/>
        </w:rPr>
        <w:t>could to</w:t>
      </w:r>
      <w:proofErr w:type="gramEnd"/>
      <w:r w:rsidRPr="00DA55B0">
        <w:rPr>
          <w:rFonts w:ascii="Times New Roman" w:hAnsi="Times New Roman"/>
          <w:sz w:val="24"/>
          <w:szCs w:val="24"/>
        </w:rPr>
        <w:t xml:space="preserve"> get its attention.’… He also ignited a third signal fire, the Sycamore 2 Fire, which spread to a three-foot circle before dying out. As with the other two fires, Powers did not start the Sycamore 2 Fire in a fire ring or pit, nor did he clear flammable materials from the area…. In sum, the undisputed facts do not show that Powers acted reasonably to preserve his life when he started the Sycamore 2 Fire.  </w:t>
      </w:r>
    </w:p>
    <w:p w14:paraId="72534545"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7F9558FB"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The helicopter belonged to USFS, which had received reports of </w:t>
      </w:r>
      <w:proofErr w:type="gramStart"/>
      <w:r w:rsidRPr="00DA55B0">
        <w:rPr>
          <w:rFonts w:ascii="Times New Roman" w:hAnsi="Times New Roman"/>
          <w:sz w:val="24"/>
          <w:szCs w:val="24"/>
        </w:rPr>
        <w:t>a wildfire</w:t>
      </w:r>
      <w:proofErr w:type="gramEnd"/>
      <w:r w:rsidRPr="00DA55B0">
        <w:rPr>
          <w:rFonts w:ascii="Times New Roman" w:hAnsi="Times New Roman"/>
          <w:sz w:val="24"/>
          <w:szCs w:val="24"/>
        </w:rPr>
        <w:t>. Unbeknownst to Powers, the Sycamore Fire had not died out—flying in, firefighters saw a smoke column and twenty to thirty acres of burning landscape. After landing, firefighters spotted Powers lying under a tree. He was able to walk to the helicopter with the assistance of two firefighters. The helicopter crew gave him water and flew him to Sedona where he was put in an ambulance and given intravenous (IV) fluids. While in the ambulance, Powers admitted to setting the fires.”</w:t>
      </w:r>
    </w:p>
    <w:p w14:paraId="1F838B33" w14:textId="77777777" w:rsidR="008E1AE0" w:rsidRPr="00DA55B0" w:rsidRDefault="008E1AE0" w:rsidP="008E1AE0">
      <w:pPr>
        <w:rPr>
          <w:rFonts w:ascii="Times New Roman" w:hAnsi="Times New Roman"/>
          <w:b/>
          <w:bCs/>
          <w:sz w:val="24"/>
          <w:szCs w:val="24"/>
        </w:rPr>
      </w:pPr>
      <w:r w:rsidRPr="00DA55B0">
        <w:rPr>
          <w:rFonts w:ascii="Times New Roman" w:hAnsi="Times New Roman"/>
          <w:b/>
          <w:sz w:val="24"/>
          <w:szCs w:val="24"/>
        </w:rPr>
        <w:t xml:space="preserve">Legal Lesson Learned: If you start a “signal fire” need to build fire ring or other method to contain it and stay with it.  </w:t>
      </w:r>
    </w:p>
    <w:p w14:paraId="147FDA4E" w14:textId="77777777" w:rsidR="008E1AE0" w:rsidRPr="00DA55B0" w:rsidRDefault="008E1AE0" w:rsidP="008E1AE0">
      <w:pPr>
        <w:ind w:firstLine="720"/>
        <w:rPr>
          <w:rFonts w:ascii="Times New Roman" w:hAnsi="Times New Roman"/>
          <w:b/>
          <w:bCs/>
          <w:sz w:val="24"/>
          <w:szCs w:val="24"/>
        </w:rPr>
      </w:pPr>
      <w:r w:rsidRPr="00DA55B0">
        <w:rPr>
          <w:rFonts w:ascii="Times New Roman" w:hAnsi="Times New Roman"/>
          <w:sz w:val="24"/>
          <w:szCs w:val="24"/>
        </w:rPr>
        <w:t>Note: The defendant is lucky to be alive; next time purchase a GPS handheld phone</w:t>
      </w:r>
      <w:r w:rsidRPr="00DA55B0">
        <w:rPr>
          <w:rFonts w:ascii="Times New Roman" w:hAnsi="Times New Roman"/>
          <w:b/>
          <w:sz w:val="24"/>
          <w:szCs w:val="24"/>
        </w:rPr>
        <w:t xml:space="preserve">.  </w:t>
      </w:r>
    </w:p>
    <w:p w14:paraId="42422ABA" w14:textId="07E68D59" w:rsidR="00C11ACF" w:rsidRPr="00DA55B0" w:rsidRDefault="008E1AE0" w:rsidP="00DA55B0">
      <w:pPr>
        <w:pStyle w:val="NoSpacing"/>
        <w:ind w:left="720"/>
        <w:rPr>
          <w:rFonts w:ascii="Times New Roman" w:hAnsi="Times New Roman"/>
          <w:sz w:val="24"/>
          <w:szCs w:val="24"/>
        </w:rPr>
      </w:pPr>
      <w:r w:rsidRPr="00DA55B0">
        <w:rPr>
          <w:rFonts w:ascii="Times New Roman" w:hAnsi="Times New Roman"/>
          <w:sz w:val="24"/>
          <w:szCs w:val="24"/>
        </w:rPr>
        <w:t>“Durable devices that go wherever you go and track your precise location along the way. Go farther than ever before when hiking and finding adventure.”</w:t>
      </w:r>
      <w:r w:rsidRPr="00DA55B0">
        <w:rPr>
          <w:rFonts w:ascii="Times New Roman" w:hAnsi="Times New Roman"/>
          <w:b/>
          <w:sz w:val="24"/>
          <w:szCs w:val="24"/>
        </w:rPr>
        <w:t xml:space="preserve"> </w:t>
      </w:r>
      <w:hyperlink r:id="rId79" w:history="1">
        <w:r w:rsidRPr="00DA55B0">
          <w:rPr>
            <w:rStyle w:val="Hyperlink"/>
            <w:rFonts w:ascii="Times New Roman" w:hAnsi="Times New Roman"/>
            <w:b/>
            <w:sz w:val="24"/>
            <w:szCs w:val="24"/>
          </w:rPr>
          <w:t>https://www.garmin.com/en-US/c/outdoor-recreation/handheld-hiking-gps/?gad_source=1&amp;gclid=Cj0KCQiA_Yq-BhC9ARIsAA6fbAg8Hzg7tt3LxTDrvBKQ6Iq20PiW7TlBW7J0osrwHwlbOwcCFzY0rTcaAu65EALw_wcB</w:t>
        </w:r>
      </w:hyperlink>
    </w:p>
    <w:p w14:paraId="3CAF4C5F" w14:textId="77777777" w:rsidR="00C11ACF" w:rsidRPr="00DA55B0" w:rsidRDefault="00C11ACF" w:rsidP="00B86628">
      <w:pPr>
        <w:pStyle w:val="NoSpacing"/>
        <w:rPr>
          <w:rFonts w:ascii="Times New Roman" w:hAnsi="Times New Roman"/>
          <w:sz w:val="24"/>
          <w:szCs w:val="24"/>
        </w:rPr>
      </w:pPr>
    </w:p>
    <w:p w14:paraId="01972C8F" w14:textId="77777777" w:rsidR="00C11ACF" w:rsidRDefault="00C11ACF" w:rsidP="00B86628">
      <w:pPr>
        <w:pStyle w:val="NoSpacing"/>
        <w:rPr>
          <w:rFonts w:ascii="Arial Black" w:hAnsi="Arial Black"/>
          <w:sz w:val="24"/>
          <w:szCs w:val="24"/>
        </w:rPr>
      </w:pPr>
    </w:p>
    <w:p w14:paraId="513F561E" w14:textId="67C8133E" w:rsidR="00AE3DBB" w:rsidRDefault="00C11ACF" w:rsidP="00B86628">
      <w:pPr>
        <w:pStyle w:val="NoSpacing"/>
        <w:rPr>
          <w:rFonts w:ascii="Arial Black" w:hAnsi="Arial Black"/>
          <w:sz w:val="24"/>
          <w:szCs w:val="24"/>
        </w:rPr>
      </w:pPr>
      <w:r>
        <w:rPr>
          <w:rFonts w:ascii="Arial Black" w:hAnsi="Arial Black"/>
          <w:sz w:val="24"/>
          <w:szCs w:val="24"/>
        </w:rPr>
        <w:t>1-172</w:t>
      </w:r>
    </w:p>
    <w:p w14:paraId="1424637B" w14:textId="77777777" w:rsidR="005C5C79" w:rsidRDefault="005C5C79" w:rsidP="00C11ACF">
      <w:pPr>
        <w:rPr>
          <w:rFonts w:ascii="Arial Black" w:hAnsi="Arial Black"/>
          <w:sz w:val="28"/>
          <w:szCs w:val="28"/>
        </w:rPr>
      </w:pPr>
    </w:p>
    <w:p w14:paraId="5F6FACA1" w14:textId="7001E7BE" w:rsidR="00C11ACF" w:rsidRPr="000B7F2C" w:rsidRDefault="00C11ACF" w:rsidP="00C11ACF">
      <w:pPr>
        <w:rPr>
          <w:rFonts w:ascii="Arial Black" w:hAnsi="Arial Black"/>
          <w:sz w:val="28"/>
          <w:szCs w:val="28"/>
        </w:rPr>
      </w:pPr>
      <w:r w:rsidRPr="000B7F2C">
        <w:rPr>
          <w:rFonts w:ascii="Arial Black" w:hAnsi="Arial Black"/>
          <w:sz w:val="28"/>
          <w:szCs w:val="28"/>
        </w:rPr>
        <w:t xml:space="preserve">OR: </w:t>
      </w:r>
      <w:r>
        <w:rPr>
          <w:rFonts w:ascii="Arial Black" w:hAnsi="Arial Black"/>
          <w:sz w:val="28"/>
          <w:szCs w:val="28"/>
        </w:rPr>
        <w:t xml:space="preserve">FF SUED BY COUNCILMEN - </w:t>
      </w:r>
      <w:r w:rsidRPr="000B7F2C">
        <w:rPr>
          <w:rFonts w:ascii="Arial Black" w:hAnsi="Arial Black"/>
          <w:sz w:val="28"/>
          <w:szCs w:val="28"/>
        </w:rPr>
        <w:t xml:space="preserve">RECALL – </w:t>
      </w:r>
      <w:r w:rsidRPr="004F16B9">
        <w:rPr>
          <w:rFonts w:ascii="Arial Black" w:hAnsi="Arial Black"/>
          <w:sz w:val="28"/>
          <w:szCs w:val="28"/>
        </w:rPr>
        <w:t>ANTI-SLAPP</w:t>
      </w:r>
      <w:r>
        <w:rPr>
          <w:rFonts w:ascii="Arial Black" w:hAnsi="Arial Black"/>
          <w:sz w:val="28"/>
          <w:szCs w:val="28"/>
        </w:rPr>
        <w:t xml:space="preserve"> LAW</w:t>
      </w:r>
    </w:p>
    <w:p w14:paraId="5A3E78A6" w14:textId="77777777" w:rsidR="00C11ACF" w:rsidRPr="00C11ACF" w:rsidRDefault="00C11ACF" w:rsidP="00C11ACF">
      <w:pPr>
        <w:rPr>
          <w:rFonts w:ascii="Times New Roman" w:hAnsi="Times New Roman"/>
          <w:sz w:val="24"/>
          <w:szCs w:val="24"/>
        </w:rPr>
      </w:pPr>
      <w:r w:rsidRPr="00C11ACF">
        <w:rPr>
          <w:rFonts w:ascii="Times New Roman" w:hAnsi="Times New Roman"/>
          <w:sz w:val="24"/>
          <w:szCs w:val="24"/>
        </w:rPr>
        <w:lastRenderedPageBreak/>
        <w:t xml:space="preserve">On Jan. 29, 2025, in </w:t>
      </w:r>
      <w:r w:rsidRPr="00C11ACF">
        <w:rPr>
          <w:rFonts w:ascii="Times New Roman" w:hAnsi="Times New Roman"/>
          <w:sz w:val="24"/>
          <w:szCs w:val="24"/>
          <w:u w:val="single"/>
        </w:rPr>
        <w:t>Johnny Waggoner, Sr., Joanne Dixon; Kerry McQuisten v. Casey L. Husk, et al</w:t>
      </w:r>
      <w:r w:rsidRPr="00C11ACF">
        <w:rPr>
          <w:rFonts w:ascii="Times New Roman" w:hAnsi="Times New Roman"/>
          <w:sz w:val="24"/>
          <w:szCs w:val="24"/>
        </w:rPr>
        <w:t xml:space="preserve">., the Court of Appeals of Oregon held (3 to 0) that the three former members of City Council may proceed with their lawsuit under the Oregon Corrupt Practices Act against Casey Husk, a former Lieutenant with the fire department.  He filed recall petitions against 6 of the 7 </w:t>
      </w:r>
      <w:proofErr w:type="gramStart"/>
      <w:r w:rsidRPr="00C11ACF">
        <w:rPr>
          <w:rFonts w:ascii="Times New Roman" w:hAnsi="Times New Roman"/>
          <w:sz w:val="24"/>
          <w:szCs w:val="24"/>
        </w:rPr>
        <w:t>member</w:t>
      </w:r>
      <w:proofErr w:type="gramEnd"/>
      <w:r w:rsidRPr="00C11ACF">
        <w:rPr>
          <w:rFonts w:ascii="Times New Roman" w:hAnsi="Times New Roman"/>
          <w:sz w:val="24"/>
          <w:szCs w:val="24"/>
        </w:rPr>
        <w:t xml:space="preserve"> of City Council, including the 3 plaintiffs, claiming they voted to “dissolve” the fire department. The city council in April 2022 voted to have County EMS take over all EMS runs in the city; the department was not dissolved (staffing went from 15 career firefighters to 9).  Oregon, like many states, has an “Anti-SLAPP law” [strategic lawsuits against public participation] that protects press and citizens from lawsuits by public officials for alleged misconduct, but that protection does not protect against a knowingly false statement.  The lawsuit by the former Council members may now proceed </w:t>
      </w:r>
      <w:proofErr w:type="gramStart"/>
      <w:r w:rsidRPr="00C11ACF">
        <w:rPr>
          <w:rFonts w:ascii="Times New Roman" w:hAnsi="Times New Roman"/>
          <w:sz w:val="24"/>
          <w:szCs w:val="24"/>
        </w:rPr>
        <w:t>to</w:t>
      </w:r>
      <w:proofErr w:type="gramEnd"/>
      <w:r w:rsidRPr="00C11ACF">
        <w:rPr>
          <w:rFonts w:ascii="Times New Roman" w:hAnsi="Times New Roman"/>
          <w:sz w:val="24"/>
          <w:szCs w:val="24"/>
        </w:rPr>
        <w:t xml:space="preserve"> pre-trial discovery. </w:t>
      </w:r>
      <w:hyperlink r:id="rId80" w:history="1">
        <w:r w:rsidRPr="00C11ACF">
          <w:rPr>
            <w:rStyle w:val="Hyperlink"/>
            <w:rFonts w:ascii="Times New Roman" w:hAnsi="Times New Roman"/>
            <w:sz w:val="24"/>
            <w:szCs w:val="24"/>
          </w:rPr>
          <w:t>https://cases.justia.com/oregon/court-of-appeals/2025-a181038.pdf?ts=1738179139</w:t>
        </w:r>
      </w:hyperlink>
      <w:r w:rsidRPr="00C11ACF">
        <w:rPr>
          <w:rFonts w:ascii="Times New Roman" w:hAnsi="Times New Roman"/>
          <w:sz w:val="24"/>
          <w:szCs w:val="24"/>
        </w:rPr>
        <w:t xml:space="preserve"> </w:t>
      </w:r>
    </w:p>
    <w:p w14:paraId="29A7622E" w14:textId="77777777" w:rsidR="00C11ACF" w:rsidRPr="00C11ACF" w:rsidRDefault="00C11ACF" w:rsidP="00C11ACF">
      <w:pPr>
        <w:pStyle w:val="NoSpacing"/>
        <w:rPr>
          <w:rFonts w:ascii="Times New Roman" w:hAnsi="Times New Roman"/>
          <w:sz w:val="24"/>
          <w:szCs w:val="24"/>
        </w:rPr>
      </w:pPr>
      <w:r w:rsidRPr="00C11ACF">
        <w:rPr>
          <w:rFonts w:ascii="Times New Roman" w:hAnsi="Times New Roman"/>
          <w:sz w:val="24"/>
          <w:szCs w:val="24"/>
        </w:rPr>
        <w:t>The Court wrote:</w:t>
      </w:r>
    </w:p>
    <w:p w14:paraId="156E4B71" w14:textId="77777777" w:rsidR="00C11ACF" w:rsidRPr="00C11ACF" w:rsidRDefault="00C11ACF" w:rsidP="00C11ACF">
      <w:pPr>
        <w:pStyle w:val="NoSpacing"/>
        <w:rPr>
          <w:rFonts w:ascii="Times New Roman" w:hAnsi="Times New Roman"/>
          <w:sz w:val="24"/>
          <w:szCs w:val="24"/>
        </w:rPr>
      </w:pPr>
    </w:p>
    <w:p w14:paraId="4350E187" w14:textId="77777777" w:rsidR="00C11ACF" w:rsidRPr="00C11ACF" w:rsidRDefault="00C11ACF" w:rsidP="00C11ACF">
      <w:pPr>
        <w:pStyle w:val="NoSpacing"/>
        <w:ind w:left="720"/>
        <w:rPr>
          <w:rFonts w:ascii="Times New Roman" w:hAnsi="Times New Roman"/>
          <w:sz w:val="24"/>
          <w:szCs w:val="24"/>
        </w:rPr>
      </w:pPr>
      <w:r w:rsidRPr="00C11ACF">
        <w:rPr>
          <w:rFonts w:ascii="Times New Roman" w:hAnsi="Times New Roman"/>
          <w:sz w:val="24"/>
          <w:szCs w:val="24"/>
        </w:rPr>
        <w:t xml:space="preserve">“There is evidence that defendant worked as a firefighter for the Baker City Fire Department from 2020 to July 2022, was involved in union negotiations with the city regarding the fire </w:t>
      </w:r>
      <w:proofErr w:type="gramStart"/>
      <w:r w:rsidRPr="00C11ACF">
        <w:rPr>
          <w:rFonts w:ascii="Times New Roman" w:hAnsi="Times New Roman"/>
          <w:sz w:val="24"/>
          <w:szCs w:val="24"/>
        </w:rPr>
        <w:t>department, and</w:t>
      </w:r>
      <w:proofErr w:type="gramEnd"/>
      <w:r w:rsidRPr="00C11ACF">
        <w:rPr>
          <w:rFonts w:ascii="Times New Roman" w:hAnsi="Times New Roman"/>
          <w:sz w:val="24"/>
          <w:szCs w:val="24"/>
        </w:rPr>
        <w:t xml:space="preserve"> attended multiple city council meetings relating to the April 2022 vote. The record supports a reasonable inference that he knew that the city council did not vote to dissolve the fire department. See id. at 360 (concluding, with respect to an allegedly false statement regarding the fire department, that the plaintiff made out a prima facie case on the mental state element where, among other things, the defendant knew or should have known the true facts as a former fire department lieutenant and former city mayor). Accordingly, we conclude that the trial court did not err in denying defendant’s special motion to strike plaintiff’s complaint for a violation of ORS 260.532.”</w:t>
      </w:r>
    </w:p>
    <w:p w14:paraId="10E8C9B8" w14:textId="77777777" w:rsidR="00C11ACF" w:rsidRPr="00C11ACF" w:rsidRDefault="00C11ACF" w:rsidP="00C11ACF">
      <w:pPr>
        <w:pStyle w:val="NoSpacing"/>
        <w:rPr>
          <w:rFonts w:ascii="Times New Roman" w:hAnsi="Times New Roman"/>
          <w:b/>
          <w:bCs/>
          <w:sz w:val="24"/>
          <w:szCs w:val="24"/>
        </w:rPr>
      </w:pPr>
    </w:p>
    <w:p w14:paraId="4D8F4ADF" w14:textId="77777777" w:rsidR="00C11ACF" w:rsidRPr="00C11ACF" w:rsidRDefault="00C11ACF" w:rsidP="00C11ACF">
      <w:pPr>
        <w:pStyle w:val="NoSpacing"/>
        <w:rPr>
          <w:rFonts w:ascii="Times New Roman" w:hAnsi="Times New Roman"/>
          <w:b/>
          <w:bCs/>
          <w:sz w:val="24"/>
          <w:szCs w:val="24"/>
        </w:rPr>
      </w:pPr>
      <w:r w:rsidRPr="00C11ACF">
        <w:rPr>
          <w:rFonts w:ascii="Times New Roman" w:hAnsi="Times New Roman"/>
          <w:b/>
          <w:sz w:val="24"/>
          <w:szCs w:val="24"/>
        </w:rPr>
        <w:t xml:space="preserve">Legal Lesson Learned: When filing recall petition or other complaints against public official, carefully review allegations – opinions are protected under First Amendment and anti-SLAPP statutes, but not intentional false statements. </w:t>
      </w:r>
    </w:p>
    <w:p w14:paraId="0D381B3E" w14:textId="77777777" w:rsidR="00C11ACF" w:rsidRPr="00C11ACF" w:rsidRDefault="00C11ACF" w:rsidP="00C11ACF">
      <w:pPr>
        <w:pStyle w:val="NoSpacing"/>
        <w:rPr>
          <w:rFonts w:ascii="Times New Roman" w:hAnsi="Times New Roman"/>
          <w:b/>
          <w:bCs/>
          <w:sz w:val="24"/>
          <w:szCs w:val="24"/>
        </w:rPr>
      </w:pPr>
    </w:p>
    <w:p w14:paraId="3C79BEEA" w14:textId="77777777" w:rsidR="00C11ACF" w:rsidRPr="00C11ACF" w:rsidRDefault="00C11ACF" w:rsidP="00C11ACF">
      <w:pPr>
        <w:pStyle w:val="NoSpacing"/>
        <w:ind w:left="720"/>
        <w:rPr>
          <w:rFonts w:ascii="Times New Roman" w:hAnsi="Times New Roman"/>
          <w:sz w:val="24"/>
          <w:szCs w:val="24"/>
        </w:rPr>
      </w:pPr>
      <w:r w:rsidRPr="00C11ACF">
        <w:rPr>
          <w:rFonts w:ascii="Times New Roman" w:hAnsi="Times New Roman"/>
          <w:sz w:val="24"/>
          <w:szCs w:val="24"/>
        </w:rPr>
        <w:t xml:space="preserve">Note:  “Anti-SLAPP laws are intended to prevent people from using courts, and potential threats of a lawsuit, to intimidate people who are exercising their First Amendment rights. In terms of reporting, news organizations and individual journalists can use anti-SLAPP statutes to protect themselves from the financial threat of a groundless defamation case brought by a subject of an enterprise or investigative story. Under most anti-SLAPP statutes, the person sued makes a motion to strike the case because it involves speech on a matter of public concern. The plaintiff then has the burden of showing a probability that they will prevail in the suit — meaning they must show that they have evidence that could result in a favorable verdict. If the plaintiff cannot meet this burden and the suit is dismissed through anti-SLAPP proceedings, many statutes allow defendants to collect attorney’s fees from the plaintiff.”  </w:t>
      </w:r>
      <w:hyperlink r:id="rId81" w:history="1">
        <w:r w:rsidRPr="00C11ACF">
          <w:rPr>
            <w:rStyle w:val="Hyperlink"/>
            <w:rFonts w:ascii="Times New Roman" w:hAnsi="Times New Roman"/>
            <w:sz w:val="24"/>
            <w:szCs w:val="24"/>
          </w:rPr>
          <w:t>https://www.rcfp.org/resources/anti-slapp-laws/</w:t>
        </w:r>
      </w:hyperlink>
      <w:r w:rsidRPr="00C11ACF">
        <w:rPr>
          <w:rFonts w:ascii="Times New Roman" w:hAnsi="Times New Roman"/>
          <w:sz w:val="24"/>
          <w:szCs w:val="24"/>
        </w:rPr>
        <w:t xml:space="preserve"> </w:t>
      </w:r>
    </w:p>
    <w:p w14:paraId="259DE2FD" w14:textId="77777777" w:rsidR="00C11ACF" w:rsidRPr="00C11ACF" w:rsidRDefault="00C11ACF" w:rsidP="00C11ACF">
      <w:pPr>
        <w:rPr>
          <w:rFonts w:ascii="Times New Roman" w:hAnsi="Times New Roman"/>
          <w:sz w:val="24"/>
          <w:szCs w:val="24"/>
        </w:rPr>
      </w:pPr>
    </w:p>
    <w:p w14:paraId="3F05E003" w14:textId="77777777" w:rsidR="00C11ACF" w:rsidRDefault="00C11ACF" w:rsidP="00B86628">
      <w:pPr>
        <w:pStyle w:val="NoSpacing"/>
        <w:rPr>
          <w:rFonts w:ascii="Arial Black" w:hAnsi="Arial Black"/>
          <w:sz w:val="24"/>
          <w:szCs w:val="24"/>
        </w:rPr>
      </w:pPr>
    </w:p>
    <w:p w14:paraId="7C087412" w14:textId="77777777" w:rsidR="00C11ACF" w:rsidRDefault="00C11ACF" w:rsidP="00B86628">
      <w:pPr>
        <w:pStyle w:val="NoSpacing"/>
        <w:rPr>
          <w:rFonts w:ascii="Arial Black" w:hAnsi="Arial Black"/>
          <w:sz w:val="24"/>
          <w:szCs w:val="24"/>
        </w:rPr>
      </w:pPr>
    </w:p>
    <w:p w14:paraId="70A707BC" w14:textId="77777777" w:rsidR="00C11ACF" w:rsidRDefault="00C11ACF" w:rsidP="00B86628">
      <w:pPr>
        <w:pStyle w:val="NoSpacing"/>
        <w:rPr>
          <w:rFonts w:ascii="Arial Black" w:hAnsi="Arial Black"/>
          <w:sz w:val="24"/>
          <w:szCs w:val="24"/>
        </w:rPr>
      </w:pPr>
    </w:p>
    <w:p w14:paraId="0DF8A8C6" w14:textId="77777777" w:rsidR="00C11ACF" w:rsidRDefault="00C11ACF" w:rsidP="00B86628">
      <w:pPr>
        <w:pStyle w:val="NoSpacing"/>
        <w:rPr>
          <w:rFonts w:ascii="Arial Black" w:hAnsi="Arial Black"/>
          <w:sz w:val="24"/>
          <w:szCs w:val="24"/>
        </w:rPr>
      </w:pPr>
    </w:p>
    <w:p w14:paraId="370D70B6" w14:textId="52E09D20" w:rsidR="00EF4D70" w:rsidRDefault="00763EF6" w:rsidP="00B86628">
      <w:pPr>
        <w:pStyle w:val="NoSpacing"/>
        <w:rPr>
          <w:rFonts w:ascii="Arial Black" w:hAnsi="Arial Black"/>
          <w:sz w:val="24"/>
          <w:szCs w:val="24"/>
        </w:rPr>
      </w:pPr>
      <w:r>
        <w:rPr>
          <w:rFonts w:ascii="Arial Black" w:hAnsi="Arial Black"/>
          <w:sz w:val="24"/>
          <w:szCs w:val="24"/>
        </w:rPr>
        <w:t>1-171</w:t>
      </w:r>
    </w:p>
    <w:p w14:paraId="7C4CE94B" w14:textId="77777777" w:rsidR="00763EF6" w:rsidRDefault="00763EF6" w:rsidP="00B86628">
      <w:pPr>
        <w:pStyle w:val="NoSpacing"/>
        <w:rPr>
          <w:rFonts w:ascii="Arial Black" w:hAnsi="Arial Black"/>
          <w:sz w:val="24"/>
          <w:szCs w:val="24"/>
        </w:rPr>
      </w:pPr>
    </w:p>
    <w:p w14:paraId="159E2F97" w14:textId="77777777" w:rsidR="00763EF6" w:rsidRDefault="00763EF6" w:rsidP="00763EF6">
      <w:pPr>
        <w:pStyle w:val="NoSpacing"/>
        <w:rPr>
          <w:rFonts w:ascii="Arial Black" w:hAnsi="Arial Black"/>
          <w:sz w:val="28"/>
          <w:szCs w:val="28"/>
        </w:rPr>
      </w:pPr>
      <w:r>
        <w:rPr>
          <w:rFonts w:ascii="Arial Black" w:hAnsi="Arial Black"/>
          <w:sz w:val="28"/>
          <w:szCs w:val="28"/>
        </w:rPr>
        <w:t>U.S. SUP. CT. - CONGRESS CAN BAN TIKTOK – TRUMP DELAY</w:t>
      </w:r>
    </w:p>
    <w:p w14:paraId="70945E30" w14:textId="77777777" w:rsidR="00763EF6" w:rsidRDefault="00763EF6" w:rsidP="00763EF6">
      <w:pPr>
        <w:pStyle w:val="NoSpacing"/>
      </w:pPr>
    </w:p>
    <w:p w14:paraId="06EE4955" w14:textId="77777777" w:rsidR="00763EF6" w:rsidRPr="00763EF6" w:rsidRDefault="00763EF6" w:rsidP="00763EF6">
      <w:pPr>
        <w:pStyle w:val="NoSpacing"/>
        <w:rPr>
          <w:rFonts w:ascii="Times New Roman" w:hAnsi="Times New Roman"/>
          <w:sz w:val="24"/>
          <w:szCs w:val="24"/>
        </w:rPr>
      </w:pPr>
      <w:r w:rsidRPr="00763EF6">
        <w:rPr>
          <w:rFonts w:ascii="Times New Roman" w:hAnsi="Times New Roman"/>
          <w:sz w:val="24"/>
          <w:szCs w:val="24"/>
        </w:rPr>
        <w:lastRenderedPageBreak/>
        <w:t xml:space="preserve">On January 17, 2025, in </w:t>
      </w:r>
      <w:r w:rsidRPr="00763EF6">
        <w:rPr>
          <w:rFonts w:ascii="Times New Roman" w:hAnsi="Times New Roman"/>
          <w:sz w:val="24"/>
          <w:szCs w:val="24"/>
          <w:u w:val="single"/>
        </w:rPr>
        <w:t>TikTok Inc, et al. v, Merrick B. Garland, Attorney General</w:t>
      </w:r>
      <w:r w:rsidRPr="00763EF6">
        <w:rPr>
          <w:rFonts w:ascii="Times New Roman" w:hAnsi="Times New Roman"/>
          <w:sz w:val="24"/>
          <w:szCs w:val="24"/>
        </w:rPr>
        <w:t xml:space="preserve">, the United States Supreme Court held (9 to 0; per curiam decision – not authored by any individual Justice), that Congress did not violate the First Amendment when it passed the Protecting Americans from Foreign Adversary Controlled Applications Act will make it unlawful  (effective Jan. 19, 2025) for companies in the United States to provide services to distribute, maintain, or update the social media platform TikTok, unless U. S. operation of the platform is severed from Chinese control.  [The ban now delayed by President Trump.] </w:t>
      </w:r>
      <w:hyperlink r:id="rId82" w:history="1">
        <w:r w:rsidRPr="00763EF6">
          <w:rPr>
            <w:rStyle w:val="Hyperlink"/>
            <w:rFonts w:ascii="Times New Roman" w:hAnsi="Times New Roman"/>
            <w:sz w:val="24"/>
            <w:szCs w:val="24"/>
          </w:rPr>
          <w:t>https://www.supremecourt.gov/opinions/24pdf/24-656_ca7d.pdf</w:t>
        </w:r>
      </w:hyperlink>
      <w:r w:rsidRPr="00763EF6">
        <w:rPr>
          <w:rFonts w:ascii="Times New Roman" w:hAnsi="Times New Roman"/>
          <w:sz w:val="24"/>
          <w:szCs w:val="24"/>
        </w:rPr>
        <w:t xml:space="preserve">   </w:t>
      </w:r>
    </w:p>
    <w:p w14:paraId="7E7FF8F3" w14:textId="77777777" w:rsidR="00763EF6" w:rsidRPr="00763EF6" w:rsidRDefault="00763EF6" w:rsidP="00763EF6">
      <w:pPr>
        <w:pStyle w:val="NoSpacing"/>
        <w:rPr>
          <w:rFonts w:ascii="Times New Roman" w:hAnsi="Times New Roman"/>
          <w:sz w:val="24"/>
          <w:szCs w:val="24"/>
        </w:rPr>
      </w:pPr>
    </w:p>
    <w:p w14:paraId="0E7E6F87" w14:textId="77777777" w:rsidR="00763EF6" w:rsidRPr="00763EF6" w:rsidRDefault="00763EF6" w:rsidP="00763EF6">
      <w:pPr>
        <w:pStyle w:val="NoSpacing"/>
        <w:rPr>
          <w:rFonts w:ascii="Times New Roman" w:hAnsi="Times New Roman"/>
          <w:sz w:val="24"/>
          <w:szCs w:val="24"/>
        </w:rPr>
      </w:pPr>
      <w:r w:rsidRPr="00763EF6">
        <w:rPr>
          <w:rFonts w:ascii="Times New Roman" w:hAnsi="Times New Roman"/>
          <w:sz w:val="24"/>
          <w:szCs w:val="24"/>
        </w:rPr>
        <w:t>The Court wrote:</w:t>
      </w:r>
    </w:p>
    <w:p w14:paraId="23893B3A" w14:textId="77777777" w:rsidR="00763EF6" w:rsidRPr="00763EF6" w:rsidRDefault="00763EF6" w:rsidP="00763EF6">
      <w:pPr>
        <w:pStyle w:val="NoSpacing"/>
        <w:rPr>
          <w:rFonts w:ascii="Times New Roman" w:hAnsi="Times New Roman"/>
          <w:sz w:val="24"/>
          <w:szCs w:val="24"/>
        </w:rPr>
      </w:pPr>
    </w:p>
    <w:p w14:paraId="62B1E7DA"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“TikTok is a social media platform that allows users to create, publish, view, share, and interact with short videos overlaid with audio and text. Since its launch in 2017, the</w:t>
      </w:r>
    </w:p>
    <w:p w14:paraId="5E18707B"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platform has accumulated over 170 million users in the United States and more than one billion worldwide. Those users are prolific content creators and viewers. In 2023,</w:t>
      </w:r>
    </w:p>
    <w:p w14:paraId="6AA01A2A"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 xml:space="preserve">U. S. TikTok users uploaded more than 5.5 billion videos, which were in turn viewed more than 13 trillion times around the world. </w:t>
      </w:r>
    </w:p>
    <w:p w14:paraId="1B18A449" w14:textId="77777777" w:rsidR="00763EF6" w:rsidRPr="00763EF6" w:rsidRDefault="00763EF6" w:rsidP="00763EF6">
      <w:pPr>
        <w:pStyle w:val="NoSpacing"/>
        <w:rPr>
          <w:rFonts w:ascii="Times New Roman" w:hAnsi="Times New Roman"/>
          <w:sz w:val="24"/>
          <w:szCs w:val="24"/>
        </w:rPr>
      </w:pPr>
    </w:p>
    <w:p w14:paraId="1B6354FF"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Opening the TikTok application brings a user to the ‘For You’ page —a personalized content feed tailored to the user’s interests. TikTok generates the feed using a proprietary algorithm that recommends videos to a user based on the user’s interactions with the platform. Each interaction a user has on TikTok—watching a video, following an ac-</w:t>
      </w:r>
    </w:p>
    <w:p w14:paraId="4CC07142"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count, leaving a comment—enables the recommendation system to further tailor a personalized content feed.</w:t>
      </w:r>
    </w:p>
    <w:p w14:paraId="0DC5DAC7" w14:textId="77777777" w:rsidR="00763EF6" w:rsidRPr="00763EF6" w:rsidRDefault="00763EF6" w:rsidP="00763EF6">
      <w:pPr>
        <w:pStyle w:val="NoSpacing"/>
        <w:ind w:left="720"/>
        <w:rPr>
          <w:rFonts w:ascii="Times New Roman" w:hAnsi="Times New Roman"/>
          <w:sz w:val="24"/>
          <w:szCs w:val="24"/>
        </w:rPr>
      </w:pPr>
    </w:p>
    <w:p w14:paraId="7A66CA0C"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w:t>
      </w:r>
    </w:p>
    <w:p w14:paraId="546232AF"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TikTok Inc.’s ultimate parent company is ByteDance Ltd., a privately held company that has operations in China. ByteDance Ltd. owns TikTok’s proprietary algorithm, which is developed and maintained in China. The company is also responsible for developing portions of the source code that runs the TikTok platform. ByteDance Ltd. is subject to Chinese laws that require it to ‘assist or cooperate’ with the Chinese Government’s ‘intelligence work’ and to ensure that the Chinese Government has ‘the power to access and control private data’ the company holds. H. R. Rep. No. 118–417, p. 4 (2024) (H. R. Rep.); see 2 App. 673–676.</w:t>
      </w:r>
    </w:p>
    <w:p w14:paraId="563F3505" w14:textId="77777777" w:rsidR="00763EF6" w:rsidRPr="00763EF6" w:rsidRDefault="00763EF6" w:rsidP="00763EF6">
      <w:pPr>
        <w:pStyle w:val="NoSpacing"/>
        <w:ind w:left="720"/>
        <w:rPr>
          <w:rFonts w:ascii="Times New Roman" w:hAnsi="Times New Roman"/>
          <w:sz w:val="24"/>
          <w:szCs w:val="24"/>
        </w:rPr>
      </w:pPr>
    </w:p>
    <w:p w14:paraId="51E1EBAA"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w:t>
      </w:r>
    </w:p>
    <w:p w14:paraId="631AB358"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There is no doubt that, for more than 170 million Americans, TikTok offers a distinctive and expansive outlet for expression, means of engagement, and source of community. But Congress has determined that divestiture is necessary to address its well-supported national security concerns regarding TikTok’s data collection practices and relationship with a foreign adversary. For the foregoing reasons, we conclude that the challenged provisions do not violate petitioners’ First Amendment rights.”</w:t>
      </w:r>
    </w:p>
    <w:p w14:paraId="125F27F7" w14:textId="77777777" w:rsidR="00763EF6" w:rsidRPr="00763EF6" w:rsidRDefault="00763EF6" w:rsidP="00763EF6">
      <w:pPr>
        <w:pStyle w:val="NoSpacing"/>
        <w:ind w:left="720"/>
        <w:rPr>
          <w:rFonts w:ascii="Times New Roman" w:hAnsi="Times New Roman"/>
          <w:sz w:val="24"/>
          <w:szCs w:val="24"/>
        </w:rPr>
      </w:pPr>
    </w:p>
    <w:p w14:paraId="678CDEE8" w14:textId="77777777" w:rsidR="00763EF6" w:rsidRPr="00763EF6" w:rsidRDefault="00763EF6" w:rsidP="00763EF6">
      <w:pPr>
        <w:pStyle w:val="NoSpacing"/>
        <w:rPr>
          <w:rFonts w:ascii="Times New Roman" w:hAnsi="Times New Roman"/>
          <w:b/>
          <w:bCs/>
          <w:sz w:val="24"/>
          <w:szCs w:val="24"/>
        </w:rPr>
      </w:pPr>
      <w:r w:rsidRPr="00763EF6">
        <w:rPr>
          <w:rFonts w:ascii="Times New Roman" w:hAnsi="Times New Roman"/>
          <w:b/>
          <w:sz w:val="24"/>
          <w:szCs w:val="24"/>
        </w:rPr>
        <w:t>Legal Lesson Learned: Fire &amp; EMS departments should review their computer systems that contain protected information, including patient health information, to help prevent “hacking” and unauthorized copying.</w:t>
      </w:r>
    </w:p>
    <w:p w14:paraId="2250629E" w14:textId="77777777" w:rsidR="00763EF6" w:rsidRPr="00763EF6" w:rsidRDefault="00763EF6" w:rsidP="00763EF6">
      <w:pPr>
        <w:rPr>
          <w:rFonts w:ascii="Times New Roman" w:hAnsi="Times New Roman"/>
          <w:b/>
          <w:sz w:val="24"/>
          <w:szCs w:val="24"/>
        </w:rPr>
      </w:pPr>
    </w:p>
    <w:p w14:paraId="00E4164D" w14:textId="77777777" w:rsidR="00763EF6" w:rsidRPr="00763EF6" w:rsidRDefault="00763EF6" w:rsidP="00763EF6">
      <w:pPr>
        <w:pStyle w:val="NoSpacing"/>
        <w:ind w:left="720"/>
        <w:rPr>
          <w:rFonts w:ascii="Times New Roman" w:hAnsi="Times New Roman"/>
          <w:bCs/>
          <w:sz w:val="24"/>
          <w:szCs w:val="24"/>
        </w:rPr>
      </w:pPr>
      <w:r w:rsidRPr="00763EF6">
        <w:rPr>
          <w:rFonts w:ascii="Times New Roman" w:hAnsi="Times New Roman"/>
          <w:sz w:val="24"/>
          <w:szCs w:val="24"/>
        </w:rPr>
        <w:t>Note:</w:t>
      </w:r>
      <w:r w:rsidRPr="00763EF6">
        <w:rPr>
          <w:rFonts w:ascii="Times New Roman" w:hAnsi="Times New Roman"/>
          <w:b/>
          <w:sz w:val="24"/>
          <w:szCs w:val="24"/>
        </w:rPr>
        <w:t xml:space="preserve"> </w:t>
      </w:r>
      <w:r w:rsidRPr="00763EF6">
        <w:rPr>
          <w:rFonts w:ascii="Times New Roman" w:hAnsi="Times New Roman"/>
          <w:sz w:val="24"/>
          <w:szCs w:val="24"/>
        </w:rPr>
        <w:t>See  Jan. 17, 2025: “Justice Department Statements on Supreme Court’s Decision in TikTok, et al. v. Garland.”</w:t>
      </w:r>
    </w:p>
    <w:p w14:paraId="493845B7" w14:textId="77777777" w:rsidR="00763EF6" w:rsidRPr="00763EF6" w:rsidRDefault="00763EF6" w:rsidP="00763EF6">
      <w:pPr>
        <w:pStyle w:val="NoSpacing"/>
        <w:ind w:left="720"/>
        <w:rPr>
          <w:rFonts w:ascii="Times New Roman" w:hAnsi="Times New Roman"/>
          <w:bCs/>
          <w:sz w:val="24"/>
          <w:szCs w:val="24"/>
        </w:rPr>
      </w:pPr>
      <w:hyperlink r:id="rId83" w:history="1">
        <w:r w:rsidRPr="00763EF6">
          <w:rPr>
            <w:rStyle w:val="Hyperlink"/>
            <w:rFonts w:ascii="Times New Roman" w:hAnsi="Times New Roman"/>
            <w:sz w:val="24"/>
            <w:szCs w:val="24"/>
          </w:rPr>
          <w:t>https://www.justice.gov/opa/pr/justice-department-statements-supreme-courts-decision-tiktok-et-al-v-garland</w:t>
        </w:r>
      </w:hyperlink>
      <w:r w:rsidRPr="00763EF6">
        <w:rPr>
          <w:rFonts w:ascii="Times New Roman" w:hAnsi="Times New Roman"/>
          <w:sz w:val="24"/>
          <w:szCs w:val="24"/>
        </w:rPr>
        <w:t xml:space="preserve"> </w:t>
      </w:r>
    </w:p>
    <w:p w14:paraId="0ED74ABC" w14:textId="77777777" w:rsidR="00763EF6" w:rsidRPr="00763EF6" w:rsidRDefault="00763EF6" w:rsidP="00763EF6">
      <w:pPr>
        <w:pStyle w:val="NoSpacing"/>
        <w:ind w:left="720"/>
        <w:rPr>
          <w:rFonts w:ascii="Times New Roman" w:hAnsi="Times New Roman"/>
          <w:bCs/>
          <w:sz w:val="24"/>
          <w:szCs w:val="24"/>
        </w:rPr>
      </w:pPr>
    </w:p>
    <w:p w14:paraId="44DAB6A8" w14:textId="33A88B1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 xml:space="preserve">Jan. 22, 2025: “TikTok still not available on app stores after Trump's executive order: What we know.” </w:t>
      </w:r>
      <w:hyperlink r:id="rId84" w:history="1">
        <w:r w:rsidR="00CD461F" w:rsidRPr="009B5658">
          <w:rPr>
            <w:rStyle w:val="Hyperlink"/>
            <w:rFonts w:ascii="Times New Roman" w:hAnsi="Times New Roman"/>
            <w:sz w:val="24"/>
            <w:szCs w:val="24"/>
          </w:rPr>
          <w:t>https://www.usatoday.com/story/tech/2025/01/22/tiktok-ban-download-app-stores-update/77872210007/</w:t>
        </w:r>
      </w:hyperlink>
    </w:p>
    <w:p w14:paraId="2182085A" w14:textId="77777777" w:rsidR="00EF4D70" w:rsidRDefault="00EF4D70" w:rsidP="00B86628">
      <w:pPr>
        <w:pStyle w:val="NoSpacing"/>
        <w:rPr>
          <w:rFonts w:ascii="Arial Black" w:hAnsi="Arial Black"/>
          <w:sz w:val="24"/>
          <w:szCs w:val="24"/>
        </w:rPr>
      </w:pPr>
    </w:p>
    <w:p w14:paraId="20ADFF84" w14:textId="77777777" w:rsidR="00EF4D70" w:rsidRDefault="00EF4D70" w:rsidP="00B86628">
      <w:pPr>
        <w:pStyle w:val="NoSpacing"/>
        <w:rPr>
          <w:rFonts w:ascii="Arial Black" w:hAnsi="Arial Black"/>
          <w:sz w:val="24"/>
          <w:szCs w:val="24"/>
        </w:rPr>
      </w:pPr>
    </w:p>
    <w:p w14:paraId="0D1FBE9A" w14:textId="14872BF5" w:rsidR="002F5070" w:rsidRDefault="002F5070" w:rsidP="00B86628">
      <w:pPr>
        <w:pStyle w:val="NoSpacing"/>
        <w:rPr>
          <w:rFonts w:ascii="Arial Black" w:hAnsi="Arial Black"/>
          <w:sz w:val="24"/>
          <w:szCs w:val="24"/>
        </w:rPr>
      </w:pPr>
      <w:r>
        <w:rPr>
          <w:rFonts w:ascii="Arial Black" w:hAnsi="Arial Black"/>
          <w:sz w:val="24"/>
          <w:szCs w:val="24"/>
        </w:rPr>
        <w:t>1-1</w:t>
      </w:r>
      <w:r w:rsidR="00F755DB">
        <w:rPr>
          <w:rFonts w:ascii="Arial Black" w:hAnsi="Arial Black"/>
          <w:sz w:val="24"/>
          <w:szCs w:val="24"/>
        </w:rPr>
        <w:t>70</w:t>
      </w:r>
    </w:p>
    <w:p w14:paraId="13C4FBE0" w14:textId="77777777" w:rsidR="009312DC" w:rsidRDefault="009312DC" w:rsidP="00B86628">
      <w:pPr>
        <w:pStyle w:val="NoSpacing"/>
        <w:rPr>
          <w:rFonts w:ascii="Arial Black" w:hAnsi="Arial Black"/>
          <w:sz w:val="24"/>
          <w:szCs w:val="24"/>
        </w:rPr>
      </w:pPr>
    </w:p>
    <w:p w14:paraId="2A1CEA88" w14:textId="77777777" w:rsidR="009312DC" w:rsidRPr="00D57EC3" w:rsidRDefault="009312DC" w:rsidP="009312DC">
      <w:pPr>
        <w:pStyle w:val="NoSpacing"/>
        <w:rPr>
          <w:rFonts w:ascii="Arial Black" w:hAnsi="Arial Black"/>
          <w:bCs/>
          <w:sz w:val="28"/>
          <w:szCs w:val="28"/>
        </w:rPr>
      </w:pPr>
      <w:r w:rsidRPr="00D57EC3">
        <w:rPr>
          <w:rFonts w:ascii="Arial Black" w:hAnsi="Arial Black"/>
          <w:b/>
          <w:sz w:val="28"/>
          <w:szCs w:val="28"/>
        </w:rPr>
        <w:t>PA: ADMIN</w:t>
      </w:r>
      <w:r>
        <w:rPr>
          <w:rFonts w:ascii="Arial Black" w:hAnsi="Arial Black"/>
          <w:b/>
          <w:sz w:val="28"/>
          <w:szCs w:val="28"/>
        </w:rPr>
        <w:t xml:space="preserve">. </w:t>
      </w:r>
      <w:r w:rsidRPr="00D57EC3">
        <w:rPr>
          <w:rFonts w:ascii="Arial Black" w:hAnsi="Arial Black"/>
          <w:b/>
          <w:sz w:val="28"/>
          <w:szCs w:val="28"/>
        </w:rPr>
        <w:t xml:space="preserve">SEARCH WARRANT – SEWER </w:t>
      </w:r>
      <w:r>
        <w:rPr>
          <w:rFonts w:ascii="Arial Black" w:hAnsi="Arial Black"/>
          <w:b/>
          <w:sz w:val="28"/>
          <w:szCs w:val="28"/>
        </w:rPr>
        <w:t xml:space="preserve">GAS </w:t>
      </w:r>
      <w:r w:rsidRPr="00D57EC3">
        <w:rPr>
          <w:rFonts w:ascii="Arial Black" w:hAnsi="Arial Black"/>
          <w:b/>
          <w:sz w:val="28"/>
          <w:szCs w:val="28"/>
        </w:rPr>
        <w:t>HOME</w:t>
      </w:r>
    </w:p>
    <w:p w14:paraId="325E1D7A" w14:textId="77777777" w:rsidR="009312DC" w:rsidRDefault="009312DC" w:rsidP="009312DC">
      <w:pPr>
        <w:pStyle w:val="NoSpacing"/>
        <w:rPr>
          <w:b/>
        </w:rPr>
      </w:pPr>
    </w:p>
    <w:p w14:paraId="7B918FE1" w14:textId="1E86E811" w:rsidR="003C08FD" w:rsidRPr="003C08FD" w:rsidRDefault="003C08FD" w:rsidP="009312DC">
      <w:pPr>
        <w:pStyle w:val="NoSpacing"/>
        <w:rPr>
          <w:rFonts w:ascii="Times New Roman" w:hAnsi="Times New Roman"/>
          <w:sz w:val="24"/>
          <w:szCs w:val="24"/>
        </w:rPr>
      </w:pPr>
      <w:r w:rsidRPr="003C08FD">
        <w:rPr>
          <w:rFonts w:ascii="Times New Roman" w:hAnsi="Times New Roman"/>
          <w:sz w:val="24"/>
          <w:szCs w:val="24"/>
        </w:rPr>
        <w:t xml:space="preserve">On Dec. 17. 2024, in </w:t>
      </w:r>
      <w:r w:rsidRPr="003C08FD">
        <w:rPr>
          <w:rFonts w:ascii="Times New Roman" w:hAnsi="Times New Roman"/>
          <w:sz w:val="24"/>
          <w:szCs w:val="24"/>
          <w:u w:val="single"/>
        </w:rPr>
        <w:t>Karimu Hamilton v. Christopher B. Flannigan; Bryan Mawr Fire Company, et al</w:t>
      </w:r>
      <w:r w:rsidRPr="003C08FD">
        <w:rPr>
          <w:rFonts w:ascii="Times New Roman" w:hAnsi="Times New Roman"/>
          <w:sz w:val="24"/>
          <w:szCs w:val="24"/>
        </w:rPr>
        <w:t>., the United States Court of Appeals for the 3</w:t>
      </w:r>
      <w:r w:rsidRPr="003C08FD">
        <w:rPr>
          <w:rFonts w:ascii="Times New Roman" w:hAnsi="Times New Roman"/>
          <w:sz w:val="24"/>
          <w:szCs w:val="24"/>
          <w:vertAlign w:val="superscript"/>
        </w:rPr>
        <w:t>rd</w:t>
      </w:r>
      <w:r w:rsidRPr="003C08FD">
        <w:rPr>
          <w:rFonts w:ascii="Times New Roman" w:hAnsi="Times New Roman"/>
          <w:sz w:val="24"/>
          <w:szCs w:val="24"/>
        </w:rPr>
        <w:t xml:space="preserve"> Circuit (Philadelphia) held 3 to 0 (not precedential decision) that U.S. District Court judge for Eastern District of Pennsylvania properly dismissed the lawsuit against the firefighters and police officers who entered her home with her consent. </w:t>
      </w:r>
      <w:hyperlink r:id="rId85" w:history="1">
        <w:r w:rsidRPr="003C08FD">
          <w:rPr>
            <w:rStyle w:val="Hyperlink"/>
            <w:rFonts w:ascii="Times New Roman" w:hAnsi="Times New Roman"/>
            <w:sz w:val="24"/>
            <w:szCs w:val="24"/>
          </w:rPr>
          <w:t>https://cases.justia.com/federal/appellate-courts/ca3/24-1567/24-1567-2024-12-17.pdf?ts=1734458412</w:t>
        </w:r>
      </w:hyperlink>
    </w:p>
    <w:p w14:paraId="141C14BC" w14:textId="77777777" w:rsidR="003C08FD" w:rsidRDefault="003C08FD" w:rsidP="009312DC">
      <w:pPr>
        <w:pStyle w:val="NoSpacing"/>
        <w:rPr>
          <w:rFonts w:ascii="Times New Roman" w:hAnsi="Times New Roman"/>
          <w:sz w:val="24"/>
          <w:szCs w:val="24"/>
        </w:rPr>
      </w:pPr>
    </w:p>
    <w:p w14:paraId="5F9DA264" w14:textId="1A49966A" w:rsidR="009312DC" w:rsidRPr="009312DC" w:rsidRDefault="009312DC" w:rsidP="009312DC">
      <w:pPr>
        <w:pStyle w:val="NoSpacing"/>
        <w:rPr>
          <w:rFonts w:ascii="Times New Roman" w:hAnsi="Times New Roman"/>
          <w:bCs/>
          <w:sz w:val="24"/>
          <w:szCs w:val="24"/>
        </w:rPr>
      </w:pPr>
      <w:r w:rsidRPr="009312DC">
        <w:rPr>
          <w:rFonts w:ascii="Times New Roman" w:hAnsi="Times New Roman"/>
          <w:sz w:val="24"/>
          <w:szCs w:val="24"/>
        </w:rPr>
        <w:t>The 3</w:t>
      </w:r>
      <w:r w:rsidRPr="009312DC">
        <w:rPr>
          <w:rFonts w:ascii="Times New Roman" w:hAnsi="Times New Roman"/>
          <w:sz w:val="24"/>
          <w:szCs w:val="24"/>
          <w:vertAlign w:val="superscript"/>
        </w:rPr>
        <w:t>rd</w:t>
      </w:r>
      <w:r w:rsidRPr="009312DC">
        <w:rPr>
          <w:rFonts w:ascii="Times New Roman" w:hAnsi="Times New Roman"/>
          <w:sz w:val="24"/>
          <w:szCs w:val="24"/>
        </w:rPr>
        <w:t xml:space="preserve"> Circuit wrote:</w:t>
      </w:r>
    </w:p>
    <w:p w14:paraId="3D6BC4B3" w14:textId="77777777" w:rsidR="009312DC" w:rsidRPr="009312DC" w:rsidRDefault="009312DC" w:rsidP="009312DC">
      <w:pPr>
        <w:pStyle w:val="NoSpacing"/>
        <w:rPr>
          <w:rFonts w:ascii="Times New Roman" w:hAnsi="Times New Roman"/>
          <w:bCs/>
          <w:sz w:val="24"/>
          <w:szCs w:val="24"/>
        </w:rPr>
      </w:pPr>
    </w:p>
    <w:p w14:paraId="6A65CFDB" w14:textId="77777777" w:rsidR="009312DC" w:rsidRPr="009312DC" w:rsidRDefault="009312DC" w:rsidP="009312DC">
      <w:pPr>
        <w:pStyle w:val="NoSpacing"/>
        <w:ind w:firstLine="720"/>
        <w:rPr>
          <w:rFonts w:ascii="Times New Roman" w:hAnsi="Times New Roman"/>
          <w:bCs/>
          <w:sz w:val="24"/>
          <w:szCs w:val="24"/>
        </w:rPr>
      </w:pPr>
      <w:r w:rsidRPr="009312DC">
        <w:rPr>
          <w:rFonts w:ascii="Times New Roman" w:hAnsi="Times New Roman"/>
          <w:sz w:val="24"/>
          <w:szCs w:val="24"/>
        </w:rPr>
        <w:t>“She also has no Fourth Amendment claim against the firefighters or police officers. The</w:t>
      </w:r>
    </w:p>
    <w:p w14:paraId="5EE3F3AD" w14:textId="77777777" w:rsidR="009312DC" w:rsidRPr="009312DC" w:rsidRDefault="009312DC" w:rsidP="009312DC">
      <w:pPr>
        <w:pStyle w:val="NoSpacing"/>
        <w:ind w:firstLine="720"/>
        <w:rPr>
          <w:rFonts w:ascii="Times New Roman" w:hAnsi="Times New Roman"/>
          <w:bCs/>
          <w:sz w:val="24"/>
          <w:szCs w:val="24"/>
        </w:rPr>
      </w:pPr>
      <w:proofErr w:type="gramStart"/>
      <w:r w:rsidRPr="009312DC">
        <w:rPr>
          <w:rFonts w:ascii="Times New Roman" w:hAnsi="Times New Roman"/>
          <w:sz w:val="24"/>
          <w:szCs w:val="24"/>
        </w:rPr>
        <w:t>firefighters</w:t>
      </w:r>
      <w:proofErr w:type="gramEnd"/>
      <w:r w:rsidRPr="009312DC">
        <w:rPr>
          <w:rFonts w:ascii="Times New Roman" w:hAnsi="Times New Roman"/>
          <w:sz w:val="24"/>
          <w:szCs w:val="24"/>
        </w:rPr>
        <w:t xml:space="preserve"> entered Hamilton’s home only once, when she consented to their search. See</w:t>
      </w:r>
    </w:p>
    <w:p w14:paraId="6A081BFF" w14:textId="77777777" w:rsidR="009312DC" w:rsidRPr="009312DC" w:rsidRDefault="009312DC" w:rsidP="009312DC">
      <w:pPr>
        <w:pStyle w:val="NoSpacing"/>
        <w:ind w:firstLine="720"/>
        <w:rPr>
          <w:rFonts w:ascii="Times New Roman" w:hAnsi="Times New Roman"/>
          <w:bCs/>
          <w:sz w:val="24"/>
          <w:szCs w:val="24"/>
        </w:rPr>
      </w:pPr>
      <w:r w:rsidRPr="009312DC">
        <w:rPr>
          <w:rFonts w:ascii="Times New Roman" w:hAnsi="Times New Roman"/>
          <w:sz w:val="24"/>
          <w:szCs w:val="24"/>
        </w:rPr>
        <w:t>Schneckloth v. Bustamonte, 412 U.S. 218, 219 (1973). When they asked to enter again</w:t>
      </w:r>
    </w:p>
    <w:p w14:paraId="2E2E2465" w14:textId="268AFFB7" w:rsidR="004B0DC2" w:rsidRDefault="009312DC" w:rsidP="009312DC">
      <w:pPr>
        <w:pStyle w:val="NoSpacing"/>
        <w:ind w:left="720"/>
        <w:rPr>
          <w:rFonts w:ascii="Times New Roman" w:hAnsi="Times New Roman"/>
          <w:sz w:val="24"/>
          <w:szCs w:val="24"/>
        </w:rPr>
      </w:pPr>
      <w:proofErr w:type="gramStart"/>
      <w:r w:rsidRPr="009312DC">
        <w:rPr>
          <w:rFonts w:ascii="Times New Roman" w:hAnsi="Times New Roman"/>
          <w:sz w:val="24"/>
          <w:szCs w:val="24"/>
        </w:rPr>
        <w:t>another</w:t>
      </w:r>
      <w:proofErr w:type="gramEnd"/>
      <w:r w:rsidRPr="009312DC">
        <w:rPr>
          <w:rFonts w:ascii="Times New Roman" w:hAnsi="Times New Roman"/>
          <w:sz w:val="24"/>
          <w:szCs w:val="24"/>
        </w:rPr>
        <w:t xml:space="preserve"> time, she refused entry, so they never searched her house. Officer Patterson entered Hamilton’s house in response to the reported smell of gas. The District Court correctly held that qualified immunity shields Patterson because existing precedent does not “squarely govern[ ].” </w:t>
      </w:r>
    </w:p>
    <w:p w14:paraId="63A8977D" w14:textId="77777777" w:rsidR="00AC2AA9" w:rsidRDefault="00AC2AA9" w:rsidP="009312DC">
      <w:pPr>
        <w:pStyle w:val="NoSpacing"/>
        <w:ind w:left="720"/>
        <w:rPr>
          <w:rStyle w:val="Hyperlink"/>
          <w:rFonts w:ascii="Times New Roman" w:hAnsi="Times New Roman"/>
          <w:sz w:val="24"/>
          <w:szCs w:val="24"/>
        </w:rPr>
      </w:pPr>
    </w:p>
    <w:p w14:paraId="5F86E665" w14:textId="77777777" w:rsidR="004B0DC2" w:rsidRPr="004B0DC2" w:rsidRDefault="004B0DC2" w:rsidP="004B0DC2">
      <w:pPr>
        <w:pStyle w:val="NoSpacing"/>
        <w:rPr>
          <w:rFonts w:ascii="Times New Roman" w:hAnsi="Times New Roman"/>
          <w:bCs/>
          <w:sz w:val="24"/>
          <w:szCs w:val="24"/>
        </w:rPr>
      </w:pPr>
      <w:r w:rsidRPr="004B0DC2">
        <w:rPr>
          <w:rFonts w:ascii="Times New Roman" w:hAnsi="Times New Roman"/>
          <w:sz w:val="24"/>
          <w:szCs w:val="24"/>
        </w:rPr>
        <w:t>HOLDING:</w:t>
      </w:r>
    </w:p>
    <w:p w14:paraId="5541A414" w14:textId="77777777" w:rsidR="004B0DC2" w:rsidRPr="004B0DC2" w:rsidRDefault="004B0DC2" w:rsidP="004B0DC2">
      <w:pPr>
        <w:pStyle w:val="NoSpacing"/>
        <w:rPr>
          <w:rFonts w:ascii="Times New Roman" w:hAnsi="Times New Roman"/>
          <w:bCs/>
          <w:sz w:val="24"/>
          <w:szCs w:val="24"/>
        </w:rPr>
      </w:pPr>
    </w:p>
    <w:p w14:paraId="524088FA"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 xml:space="preserve">“Hamilton also got due process. The town warned her of the plumbing problems </w:t>
      </w:r>
      <w:proofErr w:type="gramStart"/>
      <w:r w:rsidRPr="004B0DC2">
        <w:rPr>
          <w:rFonts w:ascii="Times New Roman" w:hAnsi="Times New Roman"/>
          <w:sz w:val="24"/>
          <w:szCs w:val="24"/>
        </w:rPr>
        <w:t>three</w:t>
      </w:r>
      <w:proofErr w:type="gramEnd"/>
    </w:p>
    <w:p w14:paraId="10D3C660"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times starting in December 2018, almost seven months before she was evicted. She</w:t>
      </w:r>
    </w:p>
    <w:p w14:paraId="276E0567"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challenges the June administrative search warrant, arguing that there was no cyanide gas</w:t>
      </w:r>
    </w:p>
    <w:p w14:paraId="42D2008F"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or sewage and that her house was habitable. But she offers no evidence that the affidavit</w:t>
      </w:r>
    </w:p>
    <w:p w14:paraId="0D6C3403" w14:textId="77777777" w:rsidR="004B0DC2" w:rsidRPr="004B0DC2" w:rsidRDefault="004B0DC2" w:rsidP="004B0DC2">
      <w:pPr>
        <w:pStyle w:val="NoSpacing"/>
        <w:ind w:firstLine="720"/>
        <w:rPr>
          <w:rFonts w:ascii="Times New Roman" w:hAnsi="Times New Roman"/>
          <w:bCs/>
          <w:sz w:val="24"/>
          <w:szCs w:val="24"/>
        </w:rPr>
      </w:pPr>
      <w:proofErr w:type="gramStart"/>
      <w:r w:rsidRPr="004B0DC2">
        <w:rPr>
          <w:rFonts w:ascii="Times New Roman" w:hAnsi="Times New Roman"/>
          <w:sz w:val="24"/>
          <w:szCs w:val="24"/>
        </w:rPr>
        <w:t>supporting</w:t>
      </w:r>
      <w:proofErr w:type="gramEnd"/>
      <w:r w:rsidRPr="004B0DC2">
        <w:rPr>
          <w:rFonts w:ascii="Times New Roman" w:hAnsi="Times New Roman"/>
          <w:sz w:val="24"/>
          <w:szCs w:val="24"/>
        </w:rPr>
        <w:t xml:space="preserve"> the warrant was untruthful or that officers had reason to doubt it. And she cites</w:t>
      </w:r>
    </w:p>
    <w:p w14:paraId="0B140433" w14:textId="77777777" w:rsidR="004B0DC2" w:rsidRPr="004B0DC2" w:rsidRDefault="004B0DC2" w:rsidP="004B0DC2">
      <w:pPr>
        <w:pStyle w:val="NoSpacing"/>
        <w:ind w:left="720"/>
        <w:rPr>
          <w:rFonts w:ascii="Times New Roman" w:hAnsi="Times New Roman"/>
          <w:bCs/>
          <w:sz w:val="24"/>
          <w:szCs w:val="24"/>
        </w:rPr>
      </w:pPr>
      <w:r w:rsidRPr="004B0DC2">
        <w:rPr>
          <w:rFonts w:ascii="Times New Roman" w:hAnsi="Times New Roman"/>
          <w:sz w:val="24"/>
          <w:szCs w:val="24"/>
        </w:rPr>
        <w:t>no authority requiring police to have personal knowledge of or verify the underlying facts.”</w:t>
      </w:r>
    </w:p>
    <w:p w14:paraId="19F1D958" w14:textId="77777777" w:rsidR="004B0DC2" w:rsidRPr="004B0DC2" w:rsidRDefault="004B0DC2" w:rsidP="004B0DC2">
      <w:pPr>
        <w:pStyle w:val="NoSpacing"/>
        <w:rPr>
          <w:rFonts w:ascii="Times New Roman" w:hAnsi="Times New Roman"/>
          <w:bCs/>
          <w:sz w:val="24"/>
          <w:szCs w:val="24"/>
        </w:rPr>
      </w:pPr>
    </w:p>
    <w:p w14:paraId="6E2BBD03" w14:textId="77777777" w:rsidR="004B0DC2" w:rsidRPr="004B0DC2" w:rsidRDefault="004B0DC2" w:rsidP="004B0DC2">
      <w:pPr>
        <w:pStyle w:val="NoSpacing"/>
        <w:rPr>
          <w:rFonts w:ascii="Times New Roman" w:hAnsi="Times New Roman"/>
          <w:b/>
          <w:sz w:val="24"/>
          <w:szCs w:val="24"/>
        </w:rPr>
      </w:pPr>
      <w:r w:rsidRPr="004B0DC2">
        <w:rPr>
          <w:rFonts w:ascii="Times New Roman" w:hAnsi="Times New Roman"/>
          <w:b/>
          <w:sz w:val="24"/>
          <w:szCs w:val="24"/>
        </w:rPr>
        <w:t>Legal Lesson Learned:  The 3</w:t>
      </w:r>
      <w:r w:rsidRPr="004B0DC2">
        <w:rPr>
          <w:rFonts w:ascii="Times New Roman" w:hAnsi="Times New Roman"/>
          <w:b/>
          <w:sz w:val="24"/>
          <w:szCs w:val="24"/>
          <w:vertAlign w:val="superscript"/>
        </w:rPr>
        <w:t>rd</w:t>
      </w:r>
      <w:r w:rsidRPr="004B0DC2">
        <w:rPr>
          <w:rFonts w:ascii="Times New Roman" w:hAnsi="Times New Roman"/>
          <w:b/>
          <w:sz w:val="24"/>
          <w:szCs w:val="24"/>
        </w:rPr>
        <w:t xml:space="preserve"> Circuit decision started with following: “Like good fences, good sewage systems make good neighbors.”  </w:t>
      </w:r>
    </w:p>
    <w:p w14:paraId="1EFF1733" w14:textId="77777777" w:rsidR="004B0DC2" w:rsidRDefault="004B0DC2" w:rsidP="004B0DC2">
      <w:pPr>
        <w:pStyle w:val="NoSpacing"/>
        <w:rPr>
          <w:b/>
        </w:rPr>
      </w:pPr>
    </w:p>
    <w:p w14:paraId="482C1DFA" w14:textId="77777777" w:rsidR="004B0DC2" w:rsidRPr="009312DC" w:rsidRDefault="004B0DC2" w:rsidP="009312DC">
      <w:pPr>
        <w:pStyle w:val="NoSpacing"/>
        <w:ind w:left="720"/>
        <w:rPr>
          <w:rFonts w:ascii="Times New Roman" w:hAnsi="Times New Roman"/>
          <w:sz w:val="24"/>
          <w:szCs w:val="24"/>
        </w:rPr>
      </w:pPr>
    </w:p>
    <w:p w14:paraId="4765280F" w14:textId="77777777" w:rsidR="002F5070" w:rsidRPr="009312DC" w:rsidRDefault="002F5070" w:rsidP="00B86628">
      <w:pPr>
        <w:pStyle w:val="NoSpacing"/>
        <w:rPr>
          <w:rFonts w:ascii="Times New Roman" w:hAnsi="Times New Roman"/>
          <w:sz w:val="24"/>
          <w:szCs w:val="24"/>
        </w:rPr>
      </w:pPr>
    </w:p>
    <w:p w14:paraId="432FDAB1" w14:textId="044986F3" w:rsidR="002F5070" w:rsidRPr="00956699" w:rsidRDefault="004B0DC2" w:rsidP="00B86628">
      <w:pPr>
        <w:pStyle w:val="NoSpacing"/>
        <w:rPr>
          <w:rFonts w:ascii="Arial Black" w:hAnsi="Arial Black"/>
          <w:sz w:val="28"/>
          <w:szCs w:val="28"/>
        </w:rPr>
      </w:pPr>
      <w:r w:rsidRPr="00956699">
        <w:rPr>
          <w:rFonts w:ascii="Arial Black" w:hAnsi="Arial Black"/>
          <w:sz w:val="28"/>
          <w:szCs w:val="28"/>
        </w:rPr>
        <w:t>1-16</w:t>
      </w:r>
      <w:r w:rsidR="00F755DB" w:rsidRPr="00956699">
        <w:rPr>
          <w:rFonts w:ascii="Arial Black" w:hAnsi="Arial Black"/>
          <w:sz w:val="28"/>
          <w:szCs w:val="28"/>
        </w:rPr>
        <w:t>9</w:t>
      </w:r>
    </w:p>
    <w:p w14:paraId="34CB414A" w14:textId="77777777" w:rsidR="004B0DC2" w:rsidRDefault="004B0DC2" w:rsidP="00B86628">
      <w:pPr>
        <w:pStyle w:val="NoSpacing"/>
        <w:rPr>
          <w:rFonts w:ascii="Arial Black" w:hAnsi="Arial Black"/>
          <w:sz w:val="24"/>
          <w:szCs w:val="24"/>
        </w:rPr>
      </w:pPr>
    </w:p>
    <w:p w14:paraId="54DA3E1E" w14:textId="77777777" w:rsidR="0060296F" w:rsidRPr="007C467A" w:rsidRDefault="0060296F" w:rsidP="0060296F">
      <w:pPr>
        <w:pStyle w:val="NoSpacing"/>
        <w:rPr>
          <w:rFonts w:ascii="Arial Black" w:hAnsi="Arial Black"/>
          <w:b/>
          <w:sz w:val="28"/>
          <w:szCs w:val="28"/>
        </w:rPr>
      </w:pPr>
      <w:r>
        <w:rPr>
          <w:rFonts w:ascii="Arial Black" w:hAnsi="Arial Black"/>
          <w:b/>
          <w:sz w:val="28"/>
          <w:szCs w:val="28"/>
        </w:rPr>
        <w:t>WA: REMOVAL HOMELESS – PERSONAL PROPERTY</w:t>
      </w:r>
    </w:p>
    <w:p w14:paraId="538DE1F5" w14:textId="77777777" w:rsidR="0060296F" w:rsidRDefault="0060296F" w:rsidP="0060296F">
      <w:pPr>
        <w:pStyle w:val="NoSpacing"/>
        <w:rPr>
          <w:bCs/>
        </w:rPr>
      </w:pPr>
    </w:p>
    <w:p w14:paraId="4D9A54CA" w14:textId="360124E3" w:rsidR="00FE3665" w:rsidRPr="00FE3665" w:rsidRDefault="00FE3665" w:rsidP="0060296F">
      <w:pPr>
        <w:pStyle w:val="NoSpacing"/>
        <w:rPr>
          <w:rFonts w:ascii="Times New Roman" w:hAnsi="Times New Roman"/>
          <w:sz w:val="24"/>
          <w:szCs w:val="24"/>
        </w:rPr>
      </w:pPr>
      <w:r w:rsidRPr="00FE3665">
        <w:rPr>
          <w:sz w:val="24"/>
          <w:szCs w:val="24"/>
        </w:rPr>
        <w:t xml:space="preserve">On Dec. 9, 2024, in </w:t>
      </w:r>
      <w:r w:rsidRPr="00FE3665">
        <w:rPr>
          <w:sz w:val="24"/>
          <w:szCs w:val="24"/>
          <w:u w:val="single"/>
        </w:rPr>
        <w:t>Bobby Kitcheon, Candance Ream, et al.  v. City of Seattle</w:t>
      </w:r>
      <w:r w:rsidRPr="00FE3665">
        <w:rPr>
          <w:sz w:val="24"/>
          <w:szCs w:val="24"/>
        </w:rPr>
        <w:t>, the</w:t>
      </w:r>
      <w:r w:rsidRPr="00FE3665">
        <w:rPr>
          <w:sz w:val="24"/>
          <w:szCs w:val="24"/>
          <w:u w:val="single"/>
        </w:rPr>
        <w:t xml:space="preserve"> </w:t>
      </w:r>
      <w:r w:rsidRPr="00FE3665">
        <w:rPr>
          <w:sz w:val="24"/>
          <w:szCs w:val="24"/>
        </w:rPr>
        <w:t xml:space="preserve">Court of Appeals, Division 1, State of Washington, held (3 to 0) that the city ordinance allowing destruction of property of homeless on city property, without prior notice, must be revised. </w:t>
      </w:r>
      <w:hyperlink r:id="rId86" w:history="1">
        <w:r w:rsidRPr="00FE3665">
          <w:rPr>
            <w:rStyle w:val="Hyperlink"/>
            <w:sz w:val="24"/>
            <w:szCs w:val="24"/>
          </w:rPr>
          <w:t>https://www.courts.wa.gov/opinions/pdf/855832.pdf</w:t>
        </w:r>
      </w:hyperlink>
    </w:p>
    <w:p w14:paraId="3EC3E066" w14:textId="77777777" w:rsidR="00FE3665" w:rsidRDefault="00FE3665" w:rsidP="0060296F">
      <w:pPr>
        <w:pStyle w:val="NoSpacing"/>
        <w:rPr>
          <w:rFonts w:ascii="Times New Roman" w:hAnsi="Times New Roman"/>
          <w:sz w:val="24"/>
          <w:szCs w:val="24"/>
        </w:rPr>
      </w:pPr>
    </w:p>
    <w:p w14:paraId="1380C192" w14:textId="7F6AC992" w:rsidR="0060296F" w:rsidRPr="0060296F" w:rsidRDefault="0060296F" w:rsidP="0060296F">
      <w:pPr>
        <w:pStyle w:val="NoSpacing"/>
        <w:rPr>
          <w:rFonts w:ascii="Times New Roman" w:hAnsi="Times New Roman"/>
          <w:bCs/>
          <w:sz w:val="24"/>
          <w:szCs w:val="24"/>
        </w:rPr>
      </w:pPr>
      <w:r w:rsidRPr="0060296F">
        <w:rPr>
          <w:rFonts w:ascii="Times New Roman" w:hAnsi="Times New Roman"/>
          <w:sz w:val="24"/>
          <w:szCs w:val="24"/>
        </w:rPr>
        <w:t>The Court wrote:</w:t>
      </w:r>
    </w:p>
    <w:p w14:paraId="4D8EB603" w14:textId="77777777" w:rsidR="0060296F" w:rsidRPr="0060296F" w:rsidRDefault="0060296F" w:rsidP="0060296F">
      <w:pPr>
        <w:pStyle w:val="NoSpacing"/>
        <w:rPr>
          <w:rFonts w:ascii="Times New Roman" w:hAnsi="Times New Roman"/>
          <w:bCs/>
          <w:sz w:val="24"/>
          <w:szCs w:val="24"/>
        </w:rPr>
      </w:pPr>
    </w:p>
    <w:p w14:paraId="76E95EDD" w14:textId="77777777" w:rsidR="0060296F" w:rsidRPr="0060296F" w:rsidRDefault="0060296F" w:rsidP="0060296F">
      <w:pPr>
        <w:pStyle w:val="NoSpacing"/>
        <w:ind w:left="720"/>
        <w:rPr>
          <w:rFonts w:ascii="Times New Roman" w:hAnsi="Times New Roman"/>
          <w:bCs/>
          <w:sz w:val="24"/>
          <w:szCs w:val="24"/>
        </w:rPr>
      </w:pPr>
      <w:r w:rsidRPr="0060296F">
        <w:rPr>
          <w:rFonts w:ascii="Times New Roman" w:hAnsi="Times New Roman"/>
          <w:sz w:val="24"/>
          <w:szCs w:val="24"/>
        </w:rPr>
        <w:t>“Applying a rational basis review, we hold that the City’s in-a-park category within FAS 17-01, section 3.4 allows the indiscriminate and standardless removal of such obstructions and is not carefully tailored to meet a legitimate governmental goal. Accordingly, section 3.4 is facially unconstitutional under article I, section 7 of the Washington State Constitution.</w:t>
      </w:r>
    </w:p>
    <w:p w14:paraId="71E932F4" w14:textId="77777777" w:rsidR="0060296F" w:rsidRPr="0060296F" w:rsidRDefault="0060296F" w:rsidP="0060296F">
      <w:pPr>
        <w:pStyle w:val="NoSpacing"/>
        <w:ind w:left="720"/>
        <w:rPr>
          <w:rFonts w:ascii="Times New Roman" w:hAnsi="Times New Roman"/>
          <w:bCs/>
          <w:sz w:val="24"/>
          <w:szCs w:val="24"/>
        </w:rPr>
      </w:pPr>
    </w:p>
    <w:p w14:paraId="1A549F6C" w14:textId="77777777" w:rsidR="0060296F" w:rsidRPr="0060296F" w:rsidRDefault="0060296F" w:rsidP="0060296F">
      <w:pPr>
        <w:pStyle w:val="NoSpacing"/>
        <w:ind w:left="720"/>
        <w:rPr>
          <w:rFonts w:ascii="Times New Roman" w:hAnsi="Times New Roman"/>
          <w:bCs/>
          <w:sz w:val="24"/>
          <w:szCs w:val="24"/>
        </w:rPr>
      </w:pPr>
      <w:r w:rsidRPr="0060296F">
        <w:rPr>
          <w:rFonts w:ascii="Times New Roman" w:hAnsi="Times New Roman"/>
          <w:sz w:val="24"/>
          <w:szCs w:val="24"/>
        </w:rPr>
        <w:t>***</w:t>
      </w:r>
    </w:p>
    <w:p w14:paraId="3B74B18D" w14:textId="77777777" w:rsidR="0060296F" w:rsidRPr="0060296F" w:rsidRDefault="0060296F" w:rsidP="0060296F">
      <w:pPr>
        <w:pStyle w:val="NoSpacing"/>
        <w:rPr>
          <w:rFonts w:ascii="Times New Roman" w:hAnsi="Times New Roman"/>
          <w:bCs/>
          <w:sz w:val="24"/>
          <w:szCs w:val="24"/>
        </w:rPr>
      </w:pPr>
    </w:p>
    <w:p w14:paraId="06CC345C" w14:textId="7BB4EABC" w:rsidR="0060296F" w:rsidRPr="0060296F" w:rsidRDefault="0060296F" w:rsidP="0060296F">
      <w:pPr>
        <w:pStyle w:val="NoSpacing"/>
        <w:ind w:left="720"/>
        <w:rPr>
          <w:rFonts w:ascii="Times New Roman" w:hAnsi="Times New Roman"/>
          <w:bCs/>
          <w:sz w:val="24"/>
          <w:szCs w:val="24"/>
        </w:rPr>
      </w:pPr>
      <w:r w:rsidRPr="0060296F">
        <w:rPr>
          <w:rFonts w:ascii="Times New Roman" w:hAnsi="Times New Roman"/>
          <w:sz w:val="24"/>
          <w:szCs w:val="24"/>
        </w:rPr>
        <w:t xml:space="preserve">On its face, the rules do not bind the in-a-park category with minimum requirements or standards that connect those obstructions to health and safety concerns. To restate the challenged provision, the in-a-park category allows the City to immediately remove ‘people, tents, personal property, garbage, debris or other objects related to an encampment’ merely because the encampment exists ‘in a </w:t>
      </w:r>
      <w:proofErr w:type="gramStart"/>
      <w:r w:rsidRPr="0060296F">
        <w:rPr>
          <w:rFonts w:ascii="Times New Roman" w:hAnsi="Times New Roman"/>
          <w:sz w:val="24"/>
          <w:szCs w:val="24"/>
        </w:rPr>
        <w:t>City</w:t>
      </w:r>
      <w:proofErr w:type="gramEnd"/>
      <w:r w:rsidRPr="0060296F">
        <w:rPr>
          <w:rFonts w:ascii="Times New Roman" w:hAnsi="Times New Roman"/>
          <w:sz w:val="24"/>
          <w:szCs w:val="24"/>
        </w:rPr>
        <w:t xml:space="preserve"> park or on a public sidewalk.” </w:t>
      </w:r>
    </w:p>
    <w:p w14:paraId="55A1E76F" w14:textId="77777777" w:rsidR="00AC2AA9" w:rsidRDefault="00AC2AA9" w:rsidP="0039158C">
      <w:pPr>
        <w:pStyle w:val="NoSpacing"/>
        <w:rPr>
          <w:rFonts w:ascii="Times New Roman" w:hAnsi="Times New Roman"/>
          <w:sz w:val="24"/>
          <w:szCs w:val="24"/>
        </w:rPr>
      </w:pPr>
    </w:p>
    <w:p w14:paraId="53C7D542" w14:textId="65890C18" w:rsidR="0039158C" w:rsidRPr="0039158C" w:rsidRDefault="0039158C" w:rsidP="0039158C">
      <w:pPr>
        <w:pStyle w:val="NoSpacing"/>
        <w:rPr>
          <w:rFonts w:ascii="Times New Roman" w:hAnsi="Times New Roman"/>
          <w:bCs/>
          <w:sz w:val="24"/>
          <w:szCs w:val="24"/>
        </w:rPr>
      </w:pPr>
      <w:r w:rsidRPr="0039158C">
        <w:rPr>
          <w:rFonts w:ascii="Times New Roman" w:hAnsi="Times New Roman"/>
          <w:sz w:val="24"/>
          <w:szCs w:val="24"/>
        </w:rPr>
        <w:t>HOLDING:</w:t>
      </w:r>
    </w:p>
    <w:p w14:paraId="344D367E" w14:textId="77777777" w:rsidR="0039158C" w:rsidRPr="0039158C" w:rsidRDefault="0039158C" w:rsidP="0039158C">
      <w:pPr>
        <w:pStyle w:val="NoSpacing"/>
        <w:rPr>
          <w:rFonts w:ascii="Times New Roman" w:hAnsi="Times New Roman"/>
          <w:b/>
          <w:sz w:val="24"/>
          <w:szCs w:val="24"/>
        </w:rPr>
      </w:pPr>
    </w:p>
    <w:p w14:paraId="113060BC" w14:textId="77777777" w:rsidR="0039158C" w:rsidRPr="0039158C" w:rsidRDefault="0039158C" w:rsidP="0039158C">
      <w:pPr>
        <w:pStyle w:val="NoSpacing"/>
        <w:ind w:left="720"/>
        <w:rPr>
          <w:rFonts w:ascii="Times New Roman" w:hAnsi="Times New Roman"/>
          <w:bCs/>
          <w:sz w:val="24"/>
          <w:szCs w:val="24"/>
        </w:rPr>
      </w:pPr>
      <w:r w:rsidRPr="0039158C">
        <w:rPr>
          <w:rFonts w:ascii="Times New Roman" w:hAnsi="Times New Roman"/>
          <w:sz w:val="24"/>
          <w:szCs w:val="24"/>
        </w:rPr>
        <w:t xml:space="preserve">“We recognize that having one’s belongings and temporary home removed without notice may feel punishing, but that does not equate to criminal punishment as contemplated under article I, section 14. Accordingly, we reverse the trial court’s order concluding that the </w:t>
      </w:r>
      <w:proofErr w:type="gramStart"/>
      <w:r w:rsidRPr="0039158C">
        <w:rPr>
          <w:rFonts w:ascii="Times New Roman" w:hAnsi="Times New Roman"/>
          <w:sz w:val="24"/>
          <w:szCs w:val="24"/>
        </w:rPr>
        <w:t>in-a-park</w:t>
      </w:r>
      <w:proofErr w:type="gramEnd"/>
      <w:r w:rsidRPr="0039158C">
        <w:rPr>
          <w:rFonts w:ascii="Times New Roman" w:hAnsi="Times New Roman"/>
          <w:sz w:val="24"/>
          <w:szCs w:val="24"/>
        </w:rPr>
        <w:t xml:space="preserve"> category is facially unconstitutional under article I, section 14.</w:t>
      </w:r>
    </w:p>
    <w:p w14:paraId="07FBC16D" w14:textId="77777777" w:rsidR="0039158C" w:rsidRPr="0039158C" w:rsidRDefault="0039158C" w:rsidP="0039158C">
      <w:pPr>
        <w:pStyle w:val="NoSpacing"/>
        <w:ind w:left="720"/>
        <w:rPr>
          <w:rFonts w:ascii="Times New Roman" w:hAnsi="Times New Roman"/>
          <w:bCs/>
          <w:sz w:val="24"/>
          <w:szCs w:val="24"/>
        </w:rPr>
      </w:pPr>
    </w:p>
    <w:p w14:paraId="60381DC1" w14:textId="77777777" w:rsidR="0039158C" w:rsidRPr="0039158C" w:rsidRDefault="0039158C" w:rsidP="0039158C">
      <w:pPr>
        <w:pStyle w:val="NoSpacing"/>
        <w:ind w:left="720"/>
        <w:rPr>
          <w:rFonts w:ascii="Times New Roman" w:hAnsi="Times New Roman"/>
          <w:bCs/>
          <w:sz w:val="24"/>
          <w:szCs w:val="24"/>
        </w:rPr>
      </w:pPr>
      <w:r w:rsidRPr="0039158C">
        <w:rPr>
          <w:rFonts w:ascii="Times New Roman" w:hAnsi="Times New Roman"/>
          <w:sz w:val="24"/>
          <w:szCs w:val="24"/>
        </w:rPr>
        <w:t>***</w:t>
      </w:r>
    </w:p>
    <w:p w14:paraId="63DA66ED" w14:textId="77777777" w:rsidR="0039158C" w:rsidRPr="0039158C" w:rsidRDefault="0039158C" w:rsidP="0039158C">
      <w:pPr>
        <w:pStyle w:val="NoSpacing"/>
        <w:ind w:firstLine="720"/>
        <w:rPr>
          <w:rFonts w:ascii="Times New Roman" w:hAnsi="Times New Roman"/>
          <w:bCs/>
          <w:sz w:val="24"/>
          <w:szCs w:val="24"/>
        </w:rPr>
      </w:pPr>
    </w:p>
    <w:p w14:paraId="4CAB8EEE" w14:textId="77777777" w:rsidR="0039158C" w:rsidRPr="0039158C" w:rsidRDefault="0039158C" w:rsidP="0039158C">
      <w:pPr>
        <w:pStyle w:val="NoSpacing"/>
        <w:ind w:firstLine="720"/>
        <w:rPr>
          <w:rFonts w:ascii="Times New Roman" w:hAnsi="Times New Roman"/>
          <w:bCs/>
          <w:sz w:val="24"/>
          <w:szCs w:val="24"/>
        </w:rPr>
      </w:pPr>
      <w:r w:rsidRPr="0039158C">
        <w:rPr>
          <w:rFonts w:ascii="Times New Roman" w:hAnsi="Times New Roman"/>
          <w:sz w:val="24"/>
          <w:szCs w:val="24"/>
        </w:rPr>
        <w:t xml:space="preserve">We affirm in part, reverse in part, and remand for further proceedings.” </w:t>
      </w:r>
    </w:p>
    <w:p w14:paraId="6C970B76" w14:textId="77777777" w:rsidR="0039158C" w:rsidRPr="0039158C" w:rsidRDefault="0039158C" w:rsidP="0039158C">
      <w:pPr>
        <w:pStyle w:val="NoSpacing"/>
        <w:ind w:firstLine="720"/>
        <w:rPr>
          <w:rFonts w:ascii="Times New Roman" w:hAnsi="Times New Roman"/>
          <w:bCs/>
          <w:sz w:val="24"/>
          <w:szCs w:val="24"/>
        </w:rPr>
      </w:pPr>
    </w:p>
    <w:p w14:paraId="799FA73F" w14:textId="77777777" w:rsidR="0039158C" w:rsidRPr="0039158C" w:rsidRDefault="0039158C" w:rsidP="0039158C">
      <w:pPr>
        <w:pStyle w:val="NoSpacing"/>
        <w:rPr>
          <w:rFonts w:ascii="Times New Roman" w:hAnsi="Times New Roman"/>
          <w:b/>
          <w:sz w:val="24"/>
          <w:szCs w:val="24"/>
        </w:rPr>
      </w:pPr>
      <w:r w:rsidRPr="0039158C">
        <w:rPr>
          <w:rFonts w:ascii="Times New Roman" w:hAnsi="Times New Roman"/>
          <w:b/>
          <w:sz w:val="24"/>
          <w:szCs w:val="24"/>
        </w:rPr>
        <w:t>Legal Lesson Learned: When drafting homeless removal ordinance, consider including a pro vision requiring notice be provided at least one day prior to removal of personal property.</w:t>
      </w:r>
    </w:p>
    <w:p w14:paraId="7CE025FA" w14:textId="77777777" w:rsidR="0039158C" w:rsidRPr="0039158C" w:rsidRDefault="0039158C" w:rsidP="0039158C">
      <w:pPr>
        <w:pStyle w:val="NoSpacing"/>
        <w:ind w:firstLine="720"/>
        <w:rPr>
          <w:rFonts w:ascii="Times New Roman" w:hAnsi="Times New Roman"/>
          <w:bCs/>
          <w:sz w:val="24"/>
          <w:szCs w:val="24"/>
        </w:rPr>
      </w:pPr>
    </w:p>
    <w:p w14:paraId="02BFFBDD" w14:textId="77777777" w:rsidR="004B0DC2" w:rsidRDefault="004B0DC2" w:rsidP="00B86628">
      <w:pPr>
        <w:pStyle w:val="NoSpacing"/>
        <w:rPr>
          <w:rFonts w:ascii="Arial Black" w:hAnsi="Arial Black"/>
          <w:sz w:val="24"/>
          <w:szCs w:val="24"/>
        </w:rPr>
      </w:pPr>
    </w:p>
    <w:p w14:paraId="3BA7CACC" w14:textId="695E060F" w:rsidR="004B0DC2" w:rsidRDefault="0039158C" w:rsidP="00B86628">
      <w:pPr>
        <w:pStyle w:val="NoSpacing"/>
        <w:rPr>
          <w:rFonts w:ascii="Arial Black" w:hAnsi="Arial Black"/>
          <w:sz w:val="24"/>
          <w:szCs w:val="24"/>
        </w:rPr>
      </w:pPr>
      <w:r>
        <w:rPr>
          <w:rFonts w:ascii="Arial Black" w:hAnsi="Arial Black"/>
          <w:sz w:val="24"/>
          <w:szCs w:val="24"/>
        </w:rPr>
        <w:t>1-168</w:t>
      </w:r>
    </w:p>
    <w:p w14:paraId="4EA15B80" w14:textId="77777777" w:rsidR="0039158C" w:rsidRDefault="0039158C" w:rsidP="00B86628">
      <w:pPr>
        <w:pStyle w:val="NoSpacing"/>
        <w:rPr>
          <w:rFonts w:ascii="Arial Black" w:hAnsi="Arial Black"/>
          <w:sz w:val="24"/>
          <w:szCs w:val="24"/>
        </w:rPr>
      </w:pPr>
    </w:p>
    <w:p w14:paraId="4C3BDD20" w14:textId="77777777" w:rsidR="006E7CA0" w:rsidRDefault="006E7CA0" w:rsidP="006E7CA0">
      <w:pPr>
        <w:pStyle w:val="NoSpacing"/>
        <w:rPr>
          <w:rFonts w:ascii="Arial Black" w:hAnsi="Arial Black"/>
          <w:b/>
          <w:sz w:val="28"/>
          <w:szCs w:val="28"/>
        </w:rPr>
      </w:pPr>
      <w:r>
        <w:rPr>
          <w:rFonts w:ascii="Arial Black" w:hAnsi="Arial Black"/>
          <w:b/>
          <w:sz w:val="28"/>
          <w:szCs w:val="28"/>
        </w:rPr>
        <w:t>KY: VOL. FFs ARSON – CHURCH – NOT FEDERAL CASE</w:t>
      </w:r>
    </w:p>
    <w:p w14:paraId="487505EE" w14:textId="77777777" w:rsidR="001A3D7F" w:rsidRDefault="001A3D7F" w:rsidP="00905074">
      <w:pPr>
        <w:rPr>
          <w:rFonts w:ascii="Times New Roman" w:hAnsi="Times New Roman"/>
          <w:sz w:val="24"/>
          <w:szCs w:val="24"/>
        </w:rPr>
      </w:pPr>
    </w:p>
    <w:p w14:paraId="434835AC" w14:textId="47CAC1AE" w:rsidR="00905074" w:rsidRPr="00905074" w:rsidRDefault="00905074" w:rsidP="00905074">
      <w:pPr>
        <w:rPr>
          <w:rStyle w:val="Hyperlink"/>
          <w:rFonts w:ascii="Times New Roman" w:hAnsi="Times New Roman"/>
          <w:bCs/>
          <w:sz w:val="24"/>
          <w:szCs w:val="24"/>
        </w:rPr>
      </w:pPr>
      <w:r w:rsidRPr="00905074">
        <w:rPr>
          <w:rFonts w:ascii="Times New Roman" w:hAnsi="Times New Roman"/>
          <w:sz w:val="24"/>
          <w:szCs w:val="24"/>
        </w:rPr>
        <w:t xml:space="preserve">On Dec. 3, 2024, in </w:t>
      </w:r>
      <w:r w:rsidRPr="00905074">
        <w:rPr>
          <w:rFonts w:ascii="Times New Roman" w:hAnsi="Times New Roman"/>
          <w:sz w:val="24"/>
          <w:szCs w:val="24"/>
          <w:u w:val="single"/>
        </w:rPr>
        <w:t>United States of America v. Brendan J. Gibson and Robert J. Hughes</w:t>
      </w:r>
      <w:r w:rsidRPr="00905074">
        <w:rPr>
          <w:rFonts w:ascii="Times New Roman" w:hAnsi="Times New Roman"/>
          <w:sz w:val="24"/>
          <w:szCs w:val="24"/>
        </w:rPr>
        <w:t xml:space="preserve">, United States District Court Judge David L. Bunning, U.S. District Court for the Eastern District of Kentucky, granted the defendant’s motion to dismiss the federal indictment because the church building located at 10950 Dixie Highway, Corinth, KY is not used in interstate commerce,  nor used in any activity affecting interstate commerce. </w:t>
      </w:r>
      <w:hyperlink r:id="rId87" w:history="1">
        <w:r w:rsidRPr="00905074">
          <w:rPr>
            <w:rStyle w:val="Hyperlink"/>
            <w:rFonts w:ascii="Times New Roman" w:hAnsi="Times New Roman"/>
            <w:sz w:val="24"/>
            <w:szCs w:val="24"/>
          </w:rPr>
          <w:t>https://casetext.com/case/united-states-v-gibson-453</w:t>
        </w:r>
      </w:hyperlink>
      <w:r w:rsidRPr="00905074">
        <w:rPr>
          <w:rStyle w:val="Hyperlink"/>
          <w:rFonts w:ascii="Times New Roman" w:hAnsi="Times New Roman"/>
          <w:sz w:val="24"/>
          <w:szCs w:val="24"/>
        </w:rPr>
        <w:t xml:space="preserve"> </w:t>
      </w:r>
    </w:p>
    <w:p w14:paraId="004E8FF9" w14:textId="2C45CA47" w:rsidR="006E7CA0" w:rsidRPr="006E7CA0" w:rsidRDefault="006E7CA0" w:rsidP="006E7CA0">
      <w:pPr>
        <w:pStyle w:val="NoSpacing"/>
        <w:rPr>
          <w:rFonts w:ascii="Times New Roman" w:hAnsi="Times New Roman"/>
          <w:bCs/>
          <w:sz w:val="24"/>
          <w:szCs w:val="24"/>
        </w:rPr>
      </w:pPr>
      <w:r w:rsidRPr="006E7CA0">
        <w:rPr>
          <w:rFonts w:ascii="Times New Roman" w:hAnsi="Times New Roman"/>
          <w:sz w:val="24"/>
          <w:szCs w:val="24"/>
        </w:rPr>
        <w:t>The Court wrote:</w:t>
      </w:r>
    </w:p>
    <w:p w14:paraId="60F6005F" w14:textId="77777777" w:rsidR="006E7CA0" w:rsidRPr="006E7CA0" w:rsidRDefault="006E7CA0" w:rsidP="006E7CA0">
      <w:pPr>
        <w:pStyle w:val="NoSpacing"/>
        <w:rPr>
          <w:rFonts w:ascii="Times New Roman" w:hAnsi="Times New Roman"/>
          <w:bCs/>
          <w:sz w:val="24"/>
          <w:szCs w:val="24"/>
        </w:rPr>
      </w:pPr>
    </w:p>
    <w:p w14:paraId="58793034" w14:textId="519F40E2" w:rsidR="006E7CA0" w:rsidRPr="006E7CA0" w:rsidRDefault="006E7CA0" w:rsidP="006E7CA0">
      <w:pPr>
        <w:pStyle w:val="NoSpacing"/>
        <w:ind w:left="720"/>
        <w:rPr>
          <w:rFonts w:ascii="Times New Roman" w:hAnsi="Times New Roman"/>
          <w:bCs/>
          <w:sz w:val="24"/>
          <w:szCs w:val="24"/>
        </w:rPr>
      </w:pPr>
      <w:r w:rsidRPr="006E7CA0">
        <w:rPr>
          <w:rFonts w:ascii="Times New Roman" w:hAnsi="Times New Roman"/>
          <w:sz w:val="24"/>
          <w:szCs w:val="24"/>
        </w:rPr>
        <w:t xml:space="preserve">“Based on the Government's proffer of the evidence, the arguments presented, and the authorities cited, the Court concludes that the United States cannot, as a matter of law, prove the required interstate commerce element of the offense charged.” </w:t>
      </w:r>
    </w:p>
    <w:p w14:paraId="78D7B5C2" w14:textId="77777777" w:rsidR="0039158C" w:rsidRDefault="0039158C" w:rsidP="00B86628">
      <w:pPr>
        <w:pStyle w:val="NoSpacing"/>
        <w:rPr>
          <w:rFonts w:ascii="Arial Black" w:hAnsi="Arial Black"/>
          <w:sz w:val="24"/>
          <w:szCs w:val="24"/>
        </w:rPr>
      </w:pPr>
    </w:p>
    <w:p w14:paraId="495BF7F9" w14:textId="77777777" w:rsidR="00F755DB" w:rsidRPr="00F755DB" w:rsidRDefault="00F755DB" w:rsidP="00F755DB">
      <w:pPr>
        <w:pStyle w:val="NoSpacing"/>
        <w:rPr>
          <w:rFonts w:ascii="Times New Roman" w:hAnsi="Times New Roman"/>
          <w:sz w:val="24"/>
          <w:szCs w:val="24"/>
        </w:rPr>
      </w:pPr>
      <w:r w:rsidRPr="00F755DB">
        <w:rPr>
          <w:rFonts w:ascii="Times New Roman" w:hAnsi="Times New Roman"/>
          <w:sz w:val="24"/>
          <w:szCs w:val="24"/>
        </w:rPr>
        <w:t>HOLDING:</w:t>
      </w:r>
    </w:p>
    <w:p w14:paraId="6844D4CF" w14:textId="77777777" w:rsidR="00F755DB" w:rsidRPr="00F755DB" w:rsidRDefault="00F755DB" w:rsidP="00F755DB">
      <w:pPr>
        <w:pStyle w:val="NoSpacing"/>
        <w:rPr>
          <w:rFonts w:ascii="Times New Roman" w:hAnsi="Times New Roman"/>
          <w:sz w:val="24"/>
          <w:szCs w:val="24"/>
        </w:rPr>
      </w:pPr>
    </w:p>
    <w:p w14:paraId="33A502BC"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 xml:space="preserve">“At that hearing, the United States confirmed that the building in question was a church. Additionally, when prompted by the Court, the United States proffered the following evidence relating to the Church's interstate activity: (1) the week before the arson occurred, the Church participated in the U.S. 25 yard sale as a fundraiser for an international mission trip, which raised $700; (2) the Church participated in multiple fundraising events for international mission trips; (3) the Church was used as a youth event location; (4) the Church engaged in cookouts; (5) the Church held movie nights; (6) the Church provided food to the community; (7) the Church was a youth facility for a local recovery team; (8) communion </w:t>
      </w:r>
      <w:r w:rsidRPr="00F755DB">
        <w:rPr>
          <w:rFonts w:ascii="Times New Roman" w:hAnsi="Times New Roman"/>
          <w:sz w:val="24"/>
          <w:szCs w:val="24"/>
        </w:rPr>
        <w:lastRenderedPageBreak/>
        <w:t>was purchased out of state; (9) four or five out of state pastors had visited the Church; and (10) the building was an annex. Defendants did not contest any of the above proffered facts.</w:t>
      </w:r>
    </w:p>
    <w:p w14:paraId="5C66B199" w14:textId="77777777" w:rsidR="00F755DB" w:rsidRPr="00F755DB" w:rsidRDefault="00F755DB" w:rsidP="00F755DB">
      <w:pPr>
        <w:pStyle w:val="NoSpacing"/>
        <w:ind w:left="720"/>
        <w:rPr>
          <w:rFonts w:ascii="Times New Roman" w:hAnsi="Times New Roman"/>
          <w:sz w:val="24"/>
          <w:szCs w:val="24"/>
        </w:rPr>
      </w:pPr>
    </w:p>
    <w:p w14:paraId="6AB82979"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w:t>
      </w:r>
    </w:p>
    <w:p w14:paraId="361C0091"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 xml:space="preserve">At the November 21, </w:t>
      </w:r>
      <w:proofErr w:type="gramStart"/>
      <w:r w:rsidRPr="00F755DB">
        <w:rPr>
          <w:rFonts w:ascii="Times New Roman" w:hAnsi="Times New Roman"/>
          <w:sz w:val="24"/>
          <w:szCs w:val="24"/>
        </w:rPr>
        <w:t>2024</w:t>
      </w:r>
      <w:proofErr w:type="gramEnd"/>
      <w:r w:rsidRPr="00F755DB">
        <w:rPr>
          <w:rFonts w:ascii="Times New Roman" w:hAnsi="Times New Roman"/>
          <w:sz w:val="24"/>
          <w:szCs w:val="24"/>
        </w:rPr>
        <w:t xml:space="preserve"> pretrial hearing addressing Defendants' Motions, the United States affirmatively indicated that there is no dispute that the building in question is classified as a church or place of worship. Moreover, the detailed facts proffered by the United States, which this Court would describe as a full proffer of the evidence, were undisputed at the hearing. Thus, collectively, the full proffer of facts presented by the United States (both the classification of the building and the potential interstate activities) are entirely undisputed. What remains then, is solely a question of law-whether the undisputed evidence proffered by the United States is sufficient to satisfy the interstate commerce element of </w:t>
      </w:r>
      <w:hyperlink r:id="rId88" w:history="1">
        <w:r w:rsidRPr="00F755DB">
          <w:rPr>
            <w:rStyle w:val="Hyperlink"/>
            <w:rFonts w:ascii="Times New Roman" w:hAnsi="Times New Roman"/>
            <w:sz w:val="24"/>
            <w:szCs w:val="24"/>
          </w:rPr>
          <w:t>18 U.S.C. § 844(</w:t>
        </w:r>
        <w:proofErr w:type="spellStart"/>
        <w:r w:rsidRPr="00F755DB">
          <w:rPr>
            <w:rStyle w:val="Hyperlink"/>
            <w:rFonts w:ascii="Times New Roman" w:hAnsi="Times New Roman"/>
            <w:sz w:val="24"/>
            <w:szCs w:val="24"/>
          </w:rPr>
          <w:t>i</w:t>
        </w:r>
        <w:proofErr w:type="spellEnd"/>
        <w:r w:rsidRPr="00F755DB">
          <w:rPr>
            <w:rStyle w:val="Hyperlink"/>
            <w:rFonts w:ascii="Times New Roman" w:hAnsi="Times New Roman"/>
            <w:sz w:val="24"/>
            <w:szCs w:val="24"/>
          </w:rPr>
          <w:t>)</w:t>
        </w:r>
      </w:hyperlink>
      <w:r w:rsidRPr="00F755DB">
        <w:rPr>
          <w:rFonts w:ascii="Times New Roman" w:hAnsi="Times New Roman"/>
          <w:sz w:val="24"/>
          <w:szCs w:val="24"/>
        </w:rPr>
        <w:t>.</w:t>
      </w:r>
    </w:p>
    <w:p w14:paraId="6B4E8CF2" w14:textId="77777777" w:rsidR="00F755DB" w:rsidRPr="00F755DB" w:rsidRDefault="00F755DB" w:rsidP="00F755DB">
      <w:pPr>
        <w:pStyle w:val="NoSpacing"/>
        <w:ind w:left="720"/>
        <w:rPr>
          <w:rFonts w:ascii="Times New Roman" w:hAnsi="Times New Roman"/>
          <w:sz w:val="24"/>
          <w:szCs w:val="24"/>
        </w:rPr>
      </w:pPr>
    </w:p>
    <w:p w14:paraId="3F820AB0"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w:t>
      </w:r>
    </w:p>
    <w:p w14:paraId="7AE0D5A1" w14:textId="77777777" w:rsidR="00F755DB" w:rsidRPr="00F755DB" w:rsidRDefault="00F755DB" w:rsidP="00F755DB">
      <w:pPr>
        <w:pStyle w:val="NoSpacing"/>
        <w:ind w:left="720"/>
        <w:rPr>
          <w:rFonts w:ascii="Times New Roman" w:hAnsi="Times New Roman"/>
          <w:bCs/>
          <w:sz w:val="24"/>
          <w:szCs w:val="24"/>
        </w:rPr>
      </w:pPr>
    </w:p>
    <w:p w14:paraId="1E707D92"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However, as part of its commerce clause power, Congress federalized certain arson crimes in 1982. In relevant part, the underlying arson statute provides that: ‘[w]</w:t>
      </w:r>
      <w:proofErr w:type="spellStart"/>
      <w:r w:rsidRPr="00F755DB">
        <w:rPr>
          <w:rFonts w:ascii="Times New Roman" w:hAnsi="Times New Roman"/>
          <w:sz w:val="24"/>
          <w:szCs w:val="24"/>
        </w:rPr>
        <w:t>hoever</w:t>
      </w:r>
      <w:proofErr w:type="spellEnd"/>
      <w:r w:rsidRPr="00F755DB">
        <w:rPr>
          <w:rFonts w:ascii="Times New Roman" w:hAnsi="Times New Roman"/>
          <w:sz w:val="24"/>
          <w:szCs w:val="24"/>
        </w:rPr>
        <w:t xml:space="preserve"> maliciously damages or destroys, or attempts to damage or destroy, by means of fire or an explosive, any building, vehicle, or other real or personal property </w:t>
      </w:r>
      <w:r w:rsidRPr="00F755DB">
        <w:rPr>
          <w:rFonts w:ascii="Times New Roman" w:hAnsi="Times New Roman"/>
          <w:i/>
          <w:iCs/>
          <w:sz w:val="24"/>
          <w:szCs w:val="24"/>
        </w:rPr>
        <w:t>used in interstate or foreign commerce or in any activity affecting interstate or foreign commerce shall be imprisoned</w:t>
      </w:r>
      <w:r w:rsidRPr="00F755DB">
        <w:rPr>
          <w:rFonts w:ascii="Times New Roman" w:hAnsi="Times New Roman"/>
          <w:sz w:val="24"/>
          <w:szCs w:val="24"/>
        </w:rPr>
        <w:t xml:space="preserve">.’ </w:t>
      </w:r>
      <w:hyperlink r:id="rId89" w:history="1">
        <w:r w:rsidRPr="00F755DB">
          <w:rPr>
            <w:rStyle w:val="Hyperlink"/>
            <w:rFonts w:ascii="Times New Roman" w:hAnsi="Times New Roman"/>
            <w:sz w:val="24"/>
            <w:szCs w:val="24"/>
          </w:rPr>
          <w:t>18 U.S.C. § 844(</w:t>
        </w:r>
        <w:proofErr w:type="spellStart"/>
        <w:r w:rsidRPr="00F755DB">
          <w:rPr>
            <w:rStyle w:val="Hyperlink"/>
            <w:rFonts w:ascii="Times New Roman" w:hAnsi="Times New Roman"/>
            <w:sz w:val="24"/>
            <w:szCs w:val="24"/>
          </w:rPr>
          <w:t>i</w:t>
        </w:r>
        <w:proofErr w:type="spellEnd"/>
        <w:r w:rsidRPr="00F755DB">
          <w:rPr>
            <w:rStyle w:val="Hyperlink"/>
            <w:rFonts w:ascii="Times New Roman" w:hAnsi="Times New Roman"/>
            <w:sz w:val="24"/>
            <w:szCs w:val="24"/>
          </w:rPr>
          <w:t>)</w:t>
        </w:r>
      </w:hyperlink>
      <w:r w:rsidRPr="00F755DB">
        <w:rPr>
          <w:rFonts w:ascii="Times New Roman" w:hAnsi="Times New Roman"/>
          <w:sz w:val="24"/>
          <w:szCs w:val="24"/>
        </w:rPr>
        <w:t xml:space="preserve"> (emphasis added). While broad in one aspect (prosecuting the arson of ‘any’ building), it is simultaneously limited by permitting prosecution only when such building is used in or affects interstate or foreign commerce. The effect of such limiting language ensures that there remain buildings which do not fall within the federal statute's domain. </w:t>
      </w:r>
      <w:r w:rsidRPr="00F755DB">
        <w:rPr>
          <w:rFonts w:ascii="Times New Roman" w:hAnsi="Times New Roman"/>
          <w:i/>
          <w:iCs/>
          <w:sz w:val="24"/>
          <w:szCs w:val="24"/>
        </w:rPr>
        <w:t>See</w:t>
      </w:r>
      <w:r w:rsidRPr="00F755DB">
        <w:rPr>
          <w:rFonts w:ascii="Times New Roman" w:hAnsi="Times New Roman"/>
          <w:sz w:val="24"/>
          <w:szCs w:val="24"/>
        </w:rPr>
        <w:t xml:space="preserve"> </w:t>
      </w:r>
      <w:r w:rsidRPr="00F755DB">
        <w:rPr>
          <w:rFonts w:ascii="Times New Roman" w:hAnsi="Times New Roman"/>
          <w:i/>
          <w:iCs/>
          <w:sz w:val="24"/>
          <w:szCs w:val="24"/>
        </w:rPr>
        <w:t>Jones</w:t>
      </w:r>
      <w:r w:rsidRPr="00F755DB">
        <w:rPr>
          <w:rFonts w:ascii="Times New Roman" w:hAnsi="Times New Roman"/>
          <w:sz w:val="24"/>
          <w:szCs w:val="24"/>
        </w:rPr>
        <w:t xml:space="preserve">, </w:t>
      </w:r>
      <w:hyperlink r:id="rId90" w:anchor="p859" w:history="1">
        <w:r w:rsidRPr="00F755DB">
          <w:rPr>
            <w:rStyle w:val="Hyperlink"/>
            <w:rFonts w:ascii="Times New Roman" w:hAnsi="Times New Roman"/>
            <w:sz w:val="24"/>
            <w:szCs w:val="24"/>
          </w:rPr>
          <w:t>529 U.S. at 859</w:t>
        </w:r>
      </w:hyperlink>
      <w:r w:rsidRPr="00F755DB">
        <w:rPr>
          <w:rFonts w:ascii="Times New Roman" w:hAnsi="Times New Roman"/>
          <w:sz w:val="24"/>
          <w:szCs w:val="24"/>
        </w:rPr>
        <w:t xml:space="preserve"> (but for the interstate commerce element, </w:t>
      </w:r>
      <w:hyperlink r:id="rId91" w:history="1">
        <w:r w:rsidRPr="00F755DB">
          <w:rPr>
            <w:rStyle w:val="Hyperlink"/>
            <w:rFonts w:ascii="Times New Roman" w:hAnsi="Times New Roman"/>
            <w:sz w:val="24"/>
            <w:szCs w:val="24"/>
          </w:rPr>
          <w:t>§ 844(</w:t>
        </w:r>
        <w:proofErr w:type="spellStart"/>
        <w:r w:rsidRPr="00F755DB">
          <w:rPr>
            <w:rStyle w:val="Hyperlink"/>
            <w:rFonts w:ascii="Times New Roman" w:hAnsi="Times New Roman"/>
            <w:sz w:val="24"/>
            <w:szCs w:val="24"/>
          </w:rPr>
          <w:t>i</w:t>
        </w:r>
        <w:proofErr w:type="spellEnd"/>
        <w:r w:rsidRPr="00F755DB">
          <w:rPr>
            <w:rStyle w:val="Hyperlink"/>
            <w:rFonts w:ascii="Times New Roman" w:hAnsi="Times New Roman"/>
            <w:sz w:val="24"/>
            <w:szCs w:val="24"/>
          </w:rPr>
          <w:t>)</w:t>
        </w:r>
      </w:hyperlink>
      <w:r w:rsidRPr="00F755DB">
        <w:rPr>
          <w:rFonts w:ascii="Times New Roman" w:hAnsi="Times New Roman"/>
          <w:sz w:val="24"/>
          <w:szCs w:val="24"/>
        </w:rPr>
        <w:t xml:space="preserve"> would transform ‘virtually every arson in the country [into] a federal offense.’).”</w:t>
      </w:r>
    </w:p>
    <w:p w14:paraId="5C8E1C16" w14:textId="77777777" w:rsidR="00F755DB" w:rsidRPr="00F755DB" w:rsidRDefault="00F755DB" w:rsidP="00F755DB">
      <w:pPr>
        <w:pStyle w:val="NoSpacing"/>
        <w:ind w:left="720"/>
        <w:rPr>
          <w:rFonts w:ascii="Times New Roman" w:hAnsi="Times New Roman"/>
          <w:sz w:val="24"/>
          <w:szCs w:val="24"/>
        </w:rPr>
      </w:pPr>
    </w:p>
    <w:p w14:paraId="52D84DDC" w14:textId="77777777" w:rsidR="00F755DB" w:rsidRPr="00F755DB" w:rsidRDefault="00F755DB" w:rsidP="00F755DB">
      <w:pPr>
        <w:pStyle w:val="NoSpacing"/>
        <w:rPr>
          <w:rFonts w:ascii="Times New Roman" w:hAnsi="Times New Roman"/>
          <w:b/>
          <w:bCs/>
          <w:sz w:val="24"/>
          <w:szCs w:val="24"/>
        </w:rPr>
      </w:pPr>
      <w:r w:rsidRPr="00F755DB">
        <w:rPr>
          <w:rFonts w:ascii="Times New Roman" w:hAnsi="Times New Roman"/>
          <w:b/>
          <w:sz w:val="24"/>
          <w:szCs w:val="24"/>
        </w:rPr>
        <w:t>Legal Lesson Learned: The firefighters can now be tried in state court.</w:t>
      </w:r>
    </w:p>
    <w:p w14:paraId="4F2FD0E8" w14:textId="77777777" w:rsidR="00F755DB" w:rsidRPr="004447C7" w:rsidRDefault="00F755DB" w:rsidP="00F755DB">
      <w:pPr>
        <w:pStyle w:val="NoSpacing"/>
        <w:rPr>
          <w:b/>
          <w:bCs/>
        </w:rPr>
      </w:pPr>
    </w:p>
    <w:p w14:paraId="58541979" w14:textId="77777777" w:rsidR="004B0DC2" w:rsidRDefault="004B0DC2" w:rsidP="00B86628">
      <w:pPr>
        <w:pStyle w:val="NoSpacing"/>
        <w:rPr>
          <w:rFonts w:ascii="Arial Black" w:hAnsi="Arial Black"/>
          <w:sz w:val="24"/>
          <w:szCs w:val="24"/>
        </w:rPr>
      </w:pPr>
    </w:p>
    <w:p w14:paraId="2A782240" w14:textId="77777777" w:rsidR="004B0DC2" w:rsidRDefault="004B0DC2" w:rsidP="00B86628">
      <w:pPr>
        <w:pStyle w:val="NoSpacing"/>
        <w:rPr>
          <w:rFonts w:ascii="Arial Black" w:hAnsi="Arial Black"/>
          <w:sz w:val="24"/>
          <w:szCs w:val="24"/>
        </w:rPr>
      </w:pPr>
    </w:p>
    <w:p w14:paraId="3BC156B1" w14:textId="2D622D7F" w:rsidR="00AE3DBB" w:rsidRDefault="00AE3DBB" w:rsidP="00B86628">
      <w:pPr>
        <w:pStyle w:val="NoSpacing"/>
        <w:rPr>
          <w:rFonts w:ascii="Arial Black" w:hAnsi="Arial Black"/>
          <w:sz w:val="24"/>
          <w:szCs w:val="24"/>
        </w:rPr>
      </w:pPr>
      <w:r>
        <w:rPr>
          <w:rFonts w:ascii="Arial Black" w:hAnsi="Arial Black"/>
          <w:sz w:val="24"/>
          <w:szCs w:val="24"/>
        </w:rPr>
        <w:t>1-167</w:t>
      </w:r>
    </w:p>
    <w:p w14:paraId="22A5AC98" w14:textId="77777777" w:rsidR="00AE3DBB" w:rsidRDefault="00AE3DBB" w:rsidP="00B86628">
      <w:pPr>
        <w:pStyle w:val="NoSpacing"/>
        <w:rPr>
          <w:rFonts w:ascii="Arial Black" w:hAnsi="Arial Black"/>
          <w:sz w:val="24"/>
          <w:szCs w:val="24"/>
        </w:rPr>
      </w:pPr>
    </w:p>
    <w:p w14:paraId="1AFFE091" w14:textId="77777777" w:rsidR="00FA5992" w:rsidRPr="0053642C" w:rsidRDefault="00FA5992" w:rsidP="00FA5992">
      <w:pPr>
        <w:pStyle w:val="NoSpacing"/>
        <w:rPr>
          <w:rFonts w:ascii="Arial Black" w:hAnsi="Arial Black"/>
          <w:bCs/>
          <w:sz w:val="28"/>
          <w:szCs w:val="28"/>
        </w:rPr>
      </w:pPr>
      <w:r>
        <w:rPr>
          <w:rFonts w:ascii="Arial Black" w:hAnsi="Arial Black"/>
          <w:sz w:val="28"/>
          <w:szCs w:val="28"/>
        </w:rPr>
        <w:t xml:space="preserve">OH: ARSON - </w:t>
      </w:r>
      <w:r w:rsidRPr="00F01098">
        <w:rPr>
          <w:rFonts w:ascii="Arial Black" w:hAnsi="Arial Black"/>
          <w:sz w:val="28"/>
          <w:szCs w:val="28"/>
        </w:rPr>
        <w:t>2018 H</w:t>
      </w:r>
      <w:r>
        <w:rPr>
          <w:rFonts w:ascii="Arial Black" w:hAnsi="Arial Black"/>
          <w:sz w:val="28"/>
          <w:szCs w:val="28"/>
        </w:rPr>
        <w:t>ONDA ACCORD – “REAL TIME CRIME” STREET CAMERA / ARSONIST</w:t>
      </w:r>
      <w:r>
        <w:rPr>
          <w:rFonts w:ascii="Arial Black" w:hAnsi="Arial Black"/>
          <w:bCs/>
          <w:sz w:val="28"/>
          <w:szCs w:val="28"/>
        </w:rPr>
        <w:t xml:space="preserve"> AT</w:t>
      </w:r>
      <w:r>
        <w:rPr>
          <w:rFonts w:ascii="Arial Black" w:hAnsi="Arial Black"/>
          <w:sz w:val="28"/>
          <w:szCs w:val="28"/>
        </w:rPr>
        <w:t xml:space="preserve"> GAS STATION – 4</w:t>
      </w:r>
      <w:r>
        <w:rPr>
          <w:rFonts w:ascii="Arial Black" w:hAnsi="Arial Black"/>
          <w:bCs/>
          <w:sz w:val="28"/>
          <w:szCs w:val="28"/>
        </w:rPr>
        <w:t xml:space="preserve"> TO </w:t>
      </w:r>
      <w:r>
        <w:rPr>
          <w:rFonts w:ascii="Arial Black" w:hAnsi="Arial Black"/>
          <w:sz w:val="28"/>
          <w:szCs w:val="28"/>
        </w:rPr>
        <w:t>6 Y</w:t>
      </w:r>
      <w:r>
        <w:rPr>
          <w:rFonts w:ascii="Arial Black" w:hAnsi="Arial Black"/>
          <w:bCs/>
          <w:sz w:val="28"/>
          <w:szCs w:val="28"/>
        </w:rPr>
        <w:t xml:space="preserve">RS </w:t>
      </w:r>
    </w:p>
    <w:p w14:paraId="6556CFCC" w14:textId="77777777" w:rsidR="00FA5992" w:rsidRDefault="00FA5992" w:rsidP="00FA5992">
      <w:pPr>
        <w:pStyle w:val="NoSpacing"/>
        <w:rPr>
          <w:bCs/>
        </w:rPr>
      </w:pPr>
    </w:p>
    <w:p w14:paraId="4E6EBCFE" w14:textId="77777777" w:rsidR="00FA5992" w:rsidRPr="009800D6" w:rsidRDefault="00FA5992" w:rsidP="00FA5992">
      <w:pPr>
        <w:pStyle w:val="NoSpacing"/>
        <w:rPr>
          <w:rFonts w:ascii="Times New Roman" w:hAnsi="Times New Roman"/>
          <w:bCs/>
          <w:sz w:val="24"/>
          <w:szCs w:val="24"/>
        </w:rPr>
      </w:pPr>
      <w:r w:rsidRPr="009800D6">
        <w:rPr>
          <w:rFonts w:ascii="Times New Roman" w:hAnsi="Times New Roman"/>
          <w:sz w:val="24"/>
          <w:szCs w:val="24"/>
        </w:rPr>
        <w:t xml:space="preserve">On Nov. 27, 2024, in </w:t>
      </w:r>
      <w:r w:rsidRPr="009800D6">
        <w:rPr>
          <w:rFonts w:ascii="Times New Roman" w:hAnsi="Times New Roman"/>
          <w:sz w:val="24"/>
          <w:szCs w:val="24"/>
          <w:u w:val="single"/>
        </w:rPr>
        <w:t>State of Ohio v. Devontae Sullivan</w:t>
      </w:r>
      <w:r w:rsidRPr="009800D6">
        <w:rPr>
          <w:rFonts w:ascii="Times New Roman" w:hAnsi="Times New Roman"/>
          <w:sz w:val="24"/>
          <w:szCs w:val="24"/>
        </w:rPr>
        <w:t xml:space="preserve">, the Ohio Court of Appeals, Eight Appellate District, Cuyahoga County, held (3 to 0) that there was sufficient evidence presented to the jury that the defendant poured gasoline on the car. The Court wrote: “In his first assignment of error, Sullivan contends that the State failed to present sufficient evidence of identity. We disagree…. Detective David Baker [Cleveland Division of Fire] identified Sullivan as the perpetrator. He viewed surveillance video from a business two doors from the subject house. The video showed a maroon Buick with tinted windows in the area. Using the City of Cleveland’s ‘Real Time Crime’ street cameras, Detective Baker traced the Buick to a gas station located five minutes from the crime scene. The detective was able to obtain a license plate number for the Buick that was registered to a red 1999 Chevrolet Cavalier. *** Detective Baker positively identified Sullivan in court as the person in the driver license photo, as well as the person on the surveillance footage. The license photo and surveillance videos were shown to the jury and admitted into evidence; thus, the State presented sufficient evidence for the jury to determine whether Sullivan was the perpetrator.” </w:t>
      </w:r>
      <w:hyperlink r:id="rId92" w:history="1">
        <w:r w:rsidRPr="009800D6">
          <w:rPr>
            <w:rStyle w:val="Hyperlink"/>
            <w:rFonts w:ascii="Times New Roman" w:hAnsi="Times New Roman"/>
            <w:sz w:val="24"/>
            <w:szCs w:val="24"/>
          </w:rPr>
          <w:t>https://www.supremecourt.ohio.gov/rod/docs/pdf/8/2024/2024-Ohio-5601.pdf</w:t>
        </w:r>
      </w:hyperlink>
      <w:r w:rsidRPr="009800D6">
        <w:rPr>
          <w:rFonts w:ascii="Times New Roman" w:hAnsi="Times New Roman"/>
          <w:sz w:val="24"/>
          <w:szCs w:val="24"/>
        </w:rPr>
        <w:t xml:space="preserve"> </w:t>
      </w:r>
    </w:p>
    <w:p w14:paraId="75A98099" w14:textId="77777777" w:rsidR="009800D6" w:rsidRPr="009800D6" w:rsidRDefault="009800D6" w:rsidP="009800D6">
      <w:pPr>
        <w:pStyle w:val="NoSpacing"/>
        <w:rPr>
          <w:rFonts w:ascii="Times New Roman" w:hAnsi="Times New Roman"/>
          <w:sz w:val="24"/>
          <w:szCs w:val="24"/>
        </w:rPr>
      </w:pPr>
    </w:p>
    <w:p w14:paraId="33CACECE" w14:textId="4129A4F1" w:rsidR="009800D6" w:rsidRPr="009800D6" w:rsidRDefault="009800D6" w:rsidP="009800D6">
      <w:pPr>
        <w:pStyle w:val="NoSpacing"/>
        <w:rPr>
          <w:rFonts w:ascii="Times New Roman" w:hAnsi="Times New Roman"/>
          <w:b/>
          <w:sz w:val="24"/>
          <w:szCs w:val="24"/>
        </w:rPr>
      </w:pPr>
      <w:r w:rsidRPr="009800D6">
        <w:rPr>
          <w:rFonts w:ascii="Times New Roman" w:hAnsi="Times New Roman"/>
          <w:b/>
          <w:sz w:val="24"/>
          <w:szCs w:val="24"/>
        </w:rPr>
        <w:t xml:space="preserve">Legal Lesson Learned: Surveillance videos are powerful evidence. </w:t>
      </w:r>
    </w:p>
    <w:p w14:paraId="15DD3DD1" w14:textId="066C8F5A" w:rsidR="00AE3DBB" w:rsidRDefault="00AE3DBB" w:rsidP="00B86628">
      <w:pPr>
        <w:pStyle w:val="NoSpacing"/>
        <w:rPr>
          <w:rFonts w:ascii="Arial Black" w:hAnsi="Arial Black"/>
          <w:sz w:val="24"/>
          <w:szCs w:val="24"/>
        </w:rPr>
      </w:pPr>
    </w:p>
    <w:p w14:paraId="23C2078B" w14:textId="77777777" w:rsidR="00AE3DBB" w:rsidRDefault="00AE3DBB" w:rsidP="00B86628">
      <w:pPr>
        <w:pStyle w:val="NoSpacing"/>
        <w:rPr>
          <w:rFonts w:ascii="Arial Black" w:hAnsi="Arial Black"/>
          <w:sz w:val="24"/>
          <w:szCs w:val="24"/>
        </w:rPr>
      </w:pPr>
    </w:p>
    <w:p w14:paraId="572FD83E" w14:textId="0327AA6F" w:rsidR="00C437E2" w:rsidRDefault="000F060C" w:rsidP="00B86628">
      <w:pPr>
        <w:pStyle w:val="NoSpacing"/>
        <w:rPr>
          <w:rFonts w:ascii="Arial Black" w:hAnsi="Arial Black"/>
          <w:sz w:val="24"/>
          <w:szCs w:val="24"/>
        </w:rPr>
      </w:pPr>
      <w:r>
        <w:rPr>
          <w:rFonts w:ascii="Arial Black" w:hAnsi="Arial Black"/>
          <w:sz w:val="24"/>
          <w:szCs w:val="24"/>
        </w:rPr>
        <w:t>1-166</w:t>
      </w:r>
    </w:p>
    <w:p w14:paraId="1DC6A6B6" w14:textId="77777777" w:rsidR="000F060C" w:rsidRDefault="000F060C" w:rsidP="00B86628">
      <w:pPr>
        <w:pStyle w:val="NoSpacing"/>
        <w:rPr>
          <w:rFonts w:ascii="Arial Black" w:hAnsi="Arial Black"/>
          <w:sz w:val="24"/>
          <w:szCs w:val="24"/>
        </w:rPr>
      </w:pPr>
    </w:p>
    <w:p w14:paraId="308FE1A5" w14:textId="77777777" w:rsidR="00D60A72" w:rsidRDefault="00D60A72" w:rsidP="00D60A72">
      <w:pPr>
        <w:pStyle w:val="NoSpacing"/>
        <w:rPr>
          <w:rFonts w:ascii="Arial Black" w:hAnsi="Arial Black"/>
          <w:b/>
          <w:sz w:val="28"/>
          <w:szCs w:val="28"/>
        </w:rPr>
      </w:pPr>
      <w:r>
        <w:rPr>
          <w:rFonts w:ascii="Arial Black" w:hAnsi="Arial Black"/>
          <w:b/>
          <w:sz w:val="28"/>
          <w:szCs w:val="28"/>
        </w:rPr>
        <w:t>TN: ARSON – HUSBAND DIED HOUSE FIRE – WIFE “ALFORD PLEA” AFTER 3 DAYS JURY TRIAL – MAX SENTENCE 4-YRS</w:t>
      </w:r>
    </w:p>
    <w:p w14:paraId="1AD04279" w14:textId="77777777" w:rsidR="00D60A72" w:rsidRDefault="00D60A72" w:rsidP="00D60A72">
      <w:pPr>
        <w:pStyle w:val="NoSpacing"/>
        <w:rPr>
          <w:rFonts w:ascii="Arial Black" w:hAnsi="Arial Black"/>
          <w:b/>
          <w:sz w:val="28"/>
          <w:szCs w:val="28"/>
        </w:rPr>
      </w:pPr>
      <w:r>
        <w:rPr>
          <w:rFonts w:ascii="Arial Black" w:hAnsi="Arial Black"/>
          <w:b/>
          <w:sz w:val="28"/>
          <w:szCs w:val="28"/>
        </w:rPr>
        <w:t xml:space="preserve"> </w:t>
      </w:r>
    </w:p>
    <w:p w14:paraId="6990A00A" w14:textId="4292D308" w:rsidR="000F060C" w:rsidRPr="00AE3DBB" w:rsidRDefault="00D60A72" w:rsidP="00D60A72">
      <w:pPr>
        <w:pStyle w:val="NoSpacing"/>
        <w:rPr>
          <w:rStyle w:val="Hyperlink"/>
          <w:rFonts w:ascii="Times New Roman" w:hAnsi="Times New Roman"/>
          <w:sz w:val="24"/>
          <w:szCs w:val="24"/>
        </w:rPr>
      </w:pPr>
      <w:r w:rsidRPr="00AE3DBB">
        <w:rPr>
          <w:rFonts w:ascii="Times New Roman" w:hAnsi="Times New Roman"/>
          <w:sz w:val="24"/>
          <w:szCs w:val="24"/>
        </w:rPr>
        <w:t xml:space="preserve">On Nov. 26, 2024, in </w:t>
      </w:r>
      <w:r w:rsidRPr="00AE3DBB">
        <w:rPr>
          <w:rFonts w:ascii="Times New Roman" w:hAnsi="Times New Roman"/>
          <w:sz w:val="24"/>
          <w:szCs w:val="24"/>
          <w:u w:val="single"/>
        </w:rPr>
        <w:t>State of Tennessee v. Mendy Powell Neal</w:t>
      </w:r>
      <w:r w:rsidRPr="00AE3DBB">
        <w:rPr>
          <w:rFonts w:ascii="Times New Roman" w:hAnsi="Times New Roman"/>
          <w:sz w:val="24"/>
          <w:szCs w:val="24"/>
        </w:rPr>
        <w:t xml:space="preserve">, the Court of Criminal Appeals of Tennessee, at Nashville held (3 to 0) that the trial court judge properly sentenced her to maximum allowed for voluntary manslaughter; she had been charged with felony murder and aggravated arson (“Alford Plea” – defendant does not admit to the criminal act but pleads guilty).  The Court wrote: “In declining to reduce or modify the sentence, the trial court entered a thorough and extensive order in which it reviewed the evidence, including the horrific manner of the victim’s death, before affirming its original sentencing determinations. The Defendant has not shown any circumstances, warranting the alteration of her sentence in the interest of justice.” </w:t>
      </w:r>
      <w:hyperlink r:id="rId93" w:history="1">
        <w:r w:rsidRPr="00AE3DBB">
          <w:rPr>
            <w:rStyle w:val="Hyperlink"/>
            <w:rFonts w:ascii="Times New Roman" w:hAnsi="Times New Roman"/>
            <w:sz w:val="24"/>
            <w:szCs w:val="24"/>
          </w:rPr>
          <w:t>https://www.tncourts.gov/sites/default/files/OpinionsPDFVersion/Majority%20Opinion%20-%20M2023-01176-CCA-R3-CD.pdf</w:t>
        </w:r>
      </w:hyperlink>
    </w:p>
    <w:p w14:paraId="5F8AD572" w14:textId="77777777" w:rsidR="00AE3DBB" w:rsidRPr="00AE3DBB" w:rsidRDefault="00AE3DBB" w:rsidP="00D60A72">
      <w:pPr>
        <w:pStyle w:val="NoSpacing"/>
        <w:rPr>
          <w:rStyle w:val="Hyperlink"/>
          <w:rFonts w:ascii="Times New Roman" w:hAnsi="Times New Roman"/>
          <w:sz w:val="24"/>
          <w:szCs w:val="24"/>
        </w:rPr>
      </w:pPr>
    </w:p>
    <w:p w14:paraId="440F4600" w14:textId="77777777" w:rsidR="00AE3DBB" w:rsidRPr="00AE3DBB" w:rsidRDefault="00AE3DBB" w:rsidP="00AE3DBB">
      <w:pPr>
        <w:pStyle w:val="NoSpacing"/>
        <w:rPr>
          <w:rFonts w:ascii="Times New Roman" w:hAnsi="Times New Roman"/>
          <w:b/>
          <w:bCs/>
          <w:sz w:val="24"/>
          <w:szCs w:val="24"/>
        </w:rPr>
      </w:pPr>
      <w:r w:rsidRPr="00AE3DBB">
        <w:rPr>
          <w:rFonts w:ascii="Times New Roman" w:hAnsi="Times New Roman"/>
          <w:b/>
          <w:sz w:val="24"/>
          <w:szCs w:val="24"/>
        </w:rPr>
        <w:t xml:space="preserve">Legal Lesson Learned: Not </w:t>
      </w:r>
      <w:r w:rsidRPr="00AE3DBB">
        <w:rPr>
          <w:rFonts w:ascii="Times New Roman" w:hAnsi="Times New Roman"/>
          <w:b/>
          <w:bCs/>
          <w:sz w:val="24"/>
          <w:szCs w:val="24"/>
        </w:rPr>
        <w:t>clear</w:t>
      </w:r>
      <w:r w:rsidRPr="00AE3DBB">
        <w:rPr>
          <w:rFonts w:ascii="Times New Roman" w:hAnsi="Times New Roman"/>
          <w:b/>
          <w:sz w:val="24"/>
          <w:szCs w:val="24"/>
        </w:rPr>
        <w:t xml:space="preserve"> why the Prosecution took a plea deal after three days of jury trial, but the maximum sentence for voluntary manslaughter was certainly appropriate</w:t>
      </w:r>
      <w:r w:rsidRPr="00AE3DBB">
        <w:rPr>
          <w:rFonts w:ascii="Times New Roman" w:hAnsi="Times New Roman"/>
          <w:b/>
          <w:bCs/>
          <w:sz w:val="24"/>
          <w:szCs w:val="24"/>
        </w:rPr>
        <w:t xml:space="preserve">. </w:t>
      </w:r>
    </w:p>
    <w:p w14:paraId="54CC7E1F" w14:textId="77777777" w:rsidR="00AE3DBB" w:rsidRDefault="00AE3DBB" w:rsidP="00D60A72">
      <w:pPr>
        <w:pStyle w:val="NoSpacing"/>
        <w:rPr>
          <w:rFonts w:ascii="Arial Black" w:hAnsi="Arial Black"/>
          <w:sz w:val="24"/>
          <w:szCs w:val="24"/>
        </w:rPr>
      </w:pPr>
    </w:p>
    <w:p w14:paraId="2F8AD47B" w14:textId="77777777" w:rsidR="00D757ED" w:rsidRDefault="00D757ED" w:rsidP="006F4352">
      <w:pPr>
        <w:pStyle w:val="NoSpacing"/>
        <w:rPr>
          <w:rFonts w:ascii="Arial Black" w:hAnsi="Arial Black"/>
          <w:sz w:val="24"/>
          <w:szCs w:val="24"/>
        </w:rPr>
      </w:pPr>
    </w:p>
    <w:p w14:paraId="18BAC5FE" w14:textId="701F5F0E" w:rsidR="00D757ED" w:rsidRDefault="00D757ED" w:rsidP="006F4352">
      <w:pPr>
        <w:pStyle w:val="NoSpacing"/>
        <w:rPr>
          <w:rFonts w:ascii="Arial Black" w:hAnsi="Arial Black"/>
          <w:sz w:val="24"/>
          <w:szCs w:val="24"/>
        </w:rPr>
      </w:pPr>
      <w:r>
        <w:rPr>
          <w:rFonts w:ascii="Arial Black" w:hAnsi="Arial Black"/>
          <w:sz w:val="24"/>
          <w:szCs w:val="24"/>
        </w:rPr>
        <w:t>1-165</w:t>
      </w:r>
    </w:p>
    <w:p w14:paraId="40C96C26" w14:textId="77777777" w:rsidR="00D757ED" w:rsidRDefault="00D757ED" w:rsidP="006F4352">
      <w:pPr>
        <w:pStyle w:val="NoSpacing"/>
        <w:rPr>
          <w:rFonts w:ascii="Arial Black" w:hAnsi="Arial Black"/>
          <w:sz w:val="24"/>
          <w:szCs w:val="24"/>
        </w:rPr>
      </w:pPr>
    </w:p>
    <w:p w14:paraId="0F00C5FE" w14:textId="77777777" w:rsidR="00D757ED" w:rsidRDefault="00D757ED" w:rsidP="00D757ED">
      <w:pPr>
        <w:pStyle w:val="NoSpacing"/>
        <w:rPr>
          <w:rFonts w:ascii="Arial Black" w:hAnsi="Arial Black"/>
          <w:b/>
          <w:sz w:val="28"/>
          <w:szCs w:val="28"/>
        </w:rPr>
      </w:pPr>
      <w:r>
        <w:rPr>
          <w:rFonts w:ascii="Arial Black" w:hAnsi="Arial Black"/>
          <w:b/>
          <w:sz w:val="28"/>
          <w:szCs w:val="28"/>
        </w:rPr>
        <w:t xml:space="preserve">CA: HOMELESS - RVs CAN NOT BE PARKED ON CITY STREET – CITY ORDINANCE / $60 FINE UPHELD </w:t>
      </w:r>
    </w:p>
    <w:p w14:paraId="2BB84AA3" w14:textId="77777777" w:rsidR="00D757ED" w:rsidRDefault="00D757ED" w:rsidP="00D757ED">
      <w:pPr>
        <w:pStyle w:val="NoSpacing"/>
        <w:rPr>
          <w:rFonts w:ascii="Arial Black" w:hAnsi="Arial Black"/>
          <w:b/>
          <w:sz w:val="28"/>
          <w:szCs w:val="28"/>
        </w:rPr>
      </w:pPr>
    </w:p>
    <w:p w14:paraId="58140CE1" w14:textId="77777777" w:rsidR="00D757ED" w:rsidRPr="00D757ED" w:rsidRDefault="00D757ED" w:rsidP="00D757ED">
      <w:pPr>
        <w:pStyle w:val="NoSpacing"/>
        <w:rPr>
          <w:rFonts w:ascii="Times New Roman" w:hAnsi="Times New Roman"/>
          <w:bCs/>
          <w:sz w:val="24"/>
          <w:szCs w:val="24"/>
        </w:rPr>
      </w:pPr>
      <w:r w:rsidRPr="00D757ED">
        <w:rPr>
          <w:rFonts w:ascii="Times New Roman" w:hAnsi="Times New Roman"/>
          <w:sz w:val="24"/>
          <w:szCs w:val="24"/>
        </w:rPr>
        <w:t xml:space="preserve">On November 22, 2024, in </w:t>
      </w:r>
      <w:r w:rsidRPr="00D757ED">
        <w:rPr>
          <w:rFonts w:ascii="Times New Roman" w:hAnsi="Times New Roman"/>
          <w:sz w:val="24"/>
          <w:szCs w:val="24"/>
          <w:u w:val="single"/>
        </w:rPr>
        <w:t xml:space="preserve">David Allen </w:t>
      </w:r>
      <w:proofErr w:type="spellStart"/>
      <w:r w:rsidRPr="00D757ED">
        <w:rPr>
          <w:rFonts w:ascii="Times New Roman" w:hAnsi="Times New Roman"/>
          <w:sz w:val="24"/>
          <w:szCs w:val="24"/>
          <w:u w:val="single"/>
        </w:rPr>
        <w:t>Yesue</w:t>
      </w:r>
      <w:proofErr w:type="spellEnd"/>
      <w:r w:rsidRPr="00D757ED">
        <w:rPr>
          <w:rFonts w:ascii="Times New Roman" w:hAnsi="Times New Roman"/>
          <w:sz w:val="24"/>
          <w:szCs w:val="24"/>
          <w:u w:val="single"/>
        </w:rPr>
        <w:t xml:space="preserve"> v. City of Sebastopol</w:t>
      </w:r>
      <w:r w:rsidRPr="00D757ED">
        <w:rPr>
          <w:rFonts w:ascii="Times New Roman" w:hAnsi="Times New Roman"/>
          <w:sz w:val="24"/>
          <w:szCs w:val="24"/>
        </w:rPr>
        <w:t xml:space="preserve">, United States Magistrate Judge Kandis A. Westmore, U.S. District Court for the Northern District of California, upheld the </w:t>
      </w:r>
      <w:proofErr w:type="gramStart"/>
      <w:r w:rsidRPr="00D757ED">
        <w:rPr>
          <w:rFonts w:ascii="Times New Roman" w:hAnsi="Times New Roman"/>
          <w:sz w:val="24"/>
          <w:szCs w:val="24"/>
        </w:rPr>
        <w:t>City</w:t>
      </w:r>
      <w:proofErr w:type="gramEnd"/>
      <w:r w:rsidRPr="00D757ED">
        <w:rPr>
          <w:rFonts w:ascii="Times New Roman" w:hAnsi="Times New Roman"/>
          <w:sz w:val="24"/>
          <w:szCs w:val="24"/>
        </w:rPr>
        <w:t xml:space="preserve"> ordinance in a lawsuit filed by the ACLU.  The Court wrote: “Plaintiffs are effectively requesting that they be allowed to park their RVs in the city because they need to be able to live in their RVs, not because they are unable to access parking otherwise. The Court knows of no authority that would support such a demand…. Footnote 4: Plaintiffs also assert there is no direct evidence of, for example, an RV catching on fire. The Court notes, however, that Plaintiff Wetch herself stated in her declaration that her trailer burned down while she was on Morris Street.”  </w:t>
      </w:r>
      <w:hyperlink r:id="rId94" w:history="1">
        <w:r w:rsidRPr="00D757ED">
          <w:rPr>
            <w:rStyle w:val="Hyperlink"/>
            <w:rFonts w:ascii="Times New Roman" w:hAnsi="Times New Roman"/>
            <w:sz w:val="24"/>
            <w:szCs w:val="24"/>
          </w:rPr>
          <w:t>https://public.fastcase.com/H1P9uiW3J20SFp%2BGCG%2BxLdyLNTd%2BNZHrq5Wsvr6dKQeFEDZwgsQrm3TmKDWH2%2B1z?utm_medium=email&amp;_hsenc=p2ANqtz--qDncIsqCSeahqkjvoaWhQNyG1yg2f5tRQPi1w8DS9NFdMbI3pDOffIzG2fuU_g9WmDOo8NJeLM9bCUVMHJsMZyGOdjg&amp;_hsmi=226712652&amp;utm_content=226712652&amp;utm_source=hs_email</w:t>
        </w:r>
      </w:hyperlink>
      <w:r w:rsidRPr="00D757ED">
        <w:rPr>
          <w:rFonts w:ascii="Times New Roman" w:hAnsi="Times New Roman"/>
          <w:sz w:val="24"/>
          <w:szCs w:val="24"/>
        </w:rPr>
        <w:t xml:space="preserve"> </w:t>
      </w:r>
    </w:p>
    <w:p w14:paraId="58715618" w14:textId="77777777" w:rsidR="00D757ED" w:rsidRDefault="00D757ED" w:rsidP="006F4352">
      <w:pPr>
        <w:pStyle w:val="NoSpacing"/>
        <w:rPr>
          <w:rFonts w:ascii="Arial Black" w:hAnsi="Arial Black"/>
          <w:sz w:val="24"/>
          <w:szCs w:val="24"/>
        </w:rPr>
      </w:pPr>
    </w:p>
    <w:p w14:paraId="5DDF5007" w14:textId="77777777" w:rsidR="000F060C" w:rsidRPr="000F060C" w:rsidRDefault="000F060C" w:rsidP="000F060C">
      <w:pPr>
        <w:pStyle w:val="NoSpacing"/>
        <w:ind w:left="720"/>
        <w:rPr>
          <w:rFonts w:ascii="Times New Roman" w:hAnsi="Times New Roman"/>
          <w:sz w:val="24"/>
          <w:szCs w:val="24"/>
        </w:rPr>
      </w:pPr>
      <w:r w:rsidRPr="000F060C">
        <w:rPr>
          <w:rFonts w:ascii="Times New Roman" w:hAnsi="Times New Roman"/>
          <w:sz w:val="24"/>
          <w:szCs w:val="24"/>
        </w:rPr>
        <w:t>Note: See the City’s press release  about this case. “City of Sebastopol Prevails in Challenge to RV Ordinance,” November 23, 2024, City News</w:t>
      </w:r>
    </w:p>
    <w:p w14:paraId="5B0E067E" w14:textId="77777777" w:rsidR="000F060C" w:rsidRPr="000F060C" w:rsidRDefault="000F060C" w:rsidP="000F060C">
      <w:pPr>
        <w:pStyle w:val="NoSpacing"/>
        <w:ind w:left="720"/>
        <w:rPr>
          <w:rFonts w:ascii="Times New Roman" w:hAnsi="Times New Roman"/>
          <w:b/>
          <w:sz w:val="24"/>
          <w:szCs w:val="24"/>
        </w:rPr>
      </w:pPr>
      <w:hyperlink r:id="rId95" w:history="1">
        <w:r w:rsidRPr="000F060C">
          <w:rPr>
            <w:rStyle w:val="Hyperlink"/>
            <w:rFonts w:ascii="Times New Roman" w:hAnsi="Times New Roman"/>
            <w:b/>
            <w:sz w:val="24"/>
            <w:szCs w:val="24"/>
          </w:rPr>
          <w:t>https://www.cityofsebastopol.gov/city-of-sebastopol-prevails-in-challenge-to-rv-ordinance/</w:t>
        </w:r>
      </w:hyperlink>
      <w:r w:rsidRPr="000F060C">
        <w:rPr>
          <w:rFonts w:ascii="Times New Roman" w:hAnsi="Times New Roman"/>
          <w:b/>
          <w:sz w:val="24"/>
          <w:szCs w:val="24"/>
        </w:rPr>
        <w:t xml:space="preserve"> </w:t>
      </w:r>
    </w:p>
    <w:p w14:paraId="441BE378" w14:textId="77777777" w:rsidR="000F060C" w:rsidRPr="000F060C" w:rsidRDefault="000F060C" w:rsidP="000F060C">
      <w:pPr>
        <w:pStyle w:val="NoSpacing"/>
        <w:ind w:left="720"/>
        <w:rPr>
          <w:rFonts w:ascii="Times New Roman" w:hAnsi="Times New Roman"/>
          <w:bCs/>
          <w:sz w:val="24"/>
          <w:szCs w:val="24"/>
        </w:rPr>
      </w:pPr>
      <w:r w:rsidRPr="000F060C">
        <w:rPr>
          <w:rFonts w:ascii="Times New Roman" w:hAnsi="Times New Roman"/>
          <w:sz w:val="24"/>
          <w:szCs w:val="24"/>
        </w:rPr>
        <w:t xml:space="preserve">“Friday afternoon, November 22, a decision was issued in the case of </w:t>
      </w:r>
      <w:proofErr w:type="spellStart"/>
      <w:r w:rsidRPr="000F060C">
        <w:rPr>
          <w:rFonts w:ascii="Times New Roman" w:hAnsi="Times New Roman"/>
          <w:sz w:val="24"/>
          <w:szCs w:val="24"/>
        </w:rPr>
        <w:t>Yesue</w:t>
      </w:r>
      <w:proofErr w:type="spellEnd"/>
      <w:r w:rsidRPr="000F060C">
        <w:rPr>
          <w:rFonts w:ascii="Times New Roman" w:hAnsi="Times New Roman"/>
          <w:sz w:val="24"/>
          <w:szCs w:val="24"/>
        </w:rPr>
        <w:t xml:space="preserve"> et al. v. City of Sebastopol, commonly known as the ACLU litigation. In 2022, the Sebastopol City Council adopted an ordinance regulating where and when RVs could park on public streets. Soon after the ordinance was adopted, the ACLU filed a lawsuit challenging the ordinance on behalf of several plaintiffs. The lawsuit raised 14 different causes of action. The US District </w:t>
      </w:r>
      <w:proofErr w:type="gramStart"/>
      <w:r w:rsidRPr="000F060C">
        <w:rPr>
          <w:rFonts w:ascii="Times New Roman" w:hAnsi="Times New Roman"/>
          <w:sz w:val="24"/>
          <w:szCs w:val="24"/>
        </w:rPr>
        <w:t>Court,</w:t>
      </w:r>
      <w:proofErr w:type="gramEnd"/>
      <w:r w:rsidRPr="000F060C">
        <w:rPr>
          <w:rFonts w:ascii="Times New Roman" w:hAnsi="Times New Roman"/>
          <w:sz w:val="24"/>
          <w:szCs w:val="24"/>
        </w:rPr>
        <w:t xml:space="preserve"> Northern District of California rejected all claims raised by the Plaintiffs and granted the City’s motion for summary judgment in its entirety. In short, the </w:t>
      </w:r>
      <w:r w:rsidRPr="000F060C">
        <w:rPr>
          <w:rFonts w:ascii="Times New Roman" w:hAnsi="Times New Roman"/>
          <w:sz w:val="24"/>
          <w:szCs w:val="24"/>
        </w:rPr>
        <w:lastRenderedPageBreak/>
        <w:t xml:space="preserve">City of Sebastopol prevailed. The purpose of the RV Ordinance was to address the serious public health and safety issues that arise from RV encampments, and to ensure adequate street parking for the </w:t>
      </w:r>
      <w:proofErr w:type="gramStart"/>
      <w:r w:rsidRPr="000F060C">
        <w:rPr>
          <w:rFonts w:ascii="Times New Roman" w:hAnsi="Times New Roman"/>
          <w:sz w:val="24"/>
          <w:szCs w:val="24"/>
        </w:rPr>
        <w:t>general public</w:t>
      </w:r>
      <w:proofErr w:type="gramEnd"/>
      <w:r w:rsidRPr="000F060C">
        <w:rPr>
          <w:rFonts w:ascii="Times New Roman" w:hAnsi="Times New Roman"/>
          <w:sz w:val="24"/>
          <w:szCs w:val="24"/>
        </w:rPr>
        <w:t xml:space="preserve">. Homelessness is a complex regional and statewide issue, that no one city can solve alone. Sebastopol has consistently done its part, and more, to tackle the crisis in a compassionate manner. ‘The parking ordinance was our small town’s effort to balance the many interests we serve, to find a solution and not turn away from what was a very challenging situation,” said Sebastopol Mayor Diana Rich. ‘It’s a good-faith heartfelt solution that gives consideration and respect to all in our community, including the unhoused. I’m pleased to see that the Court’s decision validates Sebastopol’s efforts to do what is right, fair, and equitable.’ The </w:t>
      </w:r>
      <w:proofErr w:type="gramStart"/>
      <w:r w:rsidRPr="000F060C">
        <w:rPr>
          <w:rFonts w:ascii="Times New Roman" w:hAnsi="Times New Roman"/>
          <w:sz w:val="24"/>
          <w:szCs w:val="24"/>
        </w:rPr>
        <w:t>City</w:t>
      </w:r>
      <w:proofErr w:type="gramEnd"/>
      <w:r w:rsidRPr="000F060C">
        <w:rPr>
          <w:rFonts w:ascii="Times New Roman" w:hAnsi="Times New Roman"/>
          <w:sz w:val="24"/>
          <w:szCs w:val="24"/>
        </w:rPr>
        <w:t xml:space="preserve"> is continuing to review the Court’s decision, and the City Council will discuss how to implement the Court’s decision and the RV Ordinance in the coming weeks.”</w:t>
      </w:r>
    </w:p>
    <w:p w14:paraId="7CF2484F" w14:textId="77777777" w:rsidR="000F060C" w:rsidRDefault="000F060C" w:rsidP="000F060C">
      <w:pPr>
        <w:rPr>
          <w:bCs/>
          <w:sz w:val="20"/>
          <w:szCs w:val="20"/>
        </w:rPr>
      </w:pPr>
    </w:p>
    <w:p w14:paraId="4FCD0DF9" w14:textId="77777777" w:rsidR="00D757ED" w:rsidRDefault="00D757ED" w:rsidP="006F4352">
      <w:pPr>
        <w:pStyle w:val="NoSpacing"/>
        <w:rPr>
          <w:rFonts w:ascii="Arial Black" w:hAnsi="Arial Black"/>
          <w:sz w:val="24"/>
          <w:szCs w:val="24"/>
        </w:rPr>
      </w:pPr>
    </w:p>
    <w:p w14:paraId="5394BF7E" w14:textId="504A5C8B" w:rsidR="006F4352" w:rsidRDefault="006F4352" w:rsidP="006F4352">
      <w:pPr>
        <w:pStyle w:val="NoSpacing"/>
        <w:rPr>
          <w:rFonts w:ascii="Arial Black" w:hAnsi="Arial Black"/>
          <w:sz w:val="24"/>
          <w:szCs w:val="24"/>
        </w:rPr>
      </w:pPr>
      <w:r>
        <w:rPr>
          <w:rFonts w:ascii="Arial Black" w:hAnsi="Arial Black"/>
          <w:sz w:val="24"/>
          <w:szCs w:val="24"/>
        </w:rPr>
        <w:t>1-164</w:t>
      </w:r>
    </w:p>
    <w:p w14:paraId="7EE03FC4" w14:textId="77777777" w:rsidR="009E27B4" w:rsidRDefault="009E27B4" w:rsidP="00B86628">
      <w:pPr>
        <w:pStyle w:val="NoSpacing"/>
        <w:rPr>
          <w:rFonts w:ascii="Arial Black" w:hAnsi="Arial Black"/>
          <w:sz w:val="24"/>
          <w:szCs w:val="24"/>
        </w:rPr>
      </w:pPr>
    </w:p>
    <w:p w14:paraId="02CD07BF" w14:textId="77777777" w:rsidR="009E27B4" w:rsidRPr="00CE10E8" w:rsidRDefault="009E27B4" w:rsidP="009E27B4">
      <w:pPr>
        <w:pStyle w:val="NoSpacing"/>
        <w:rPr>
          <w:rFonts w:ascii="Arial Black" w:hAnsi="Arial Black"/>
          <w:b/>
          <w:bCs/>
          <w:sz w:val="28"/>
          <w:szCs w:val="28"/>
        </w:rPr>
      </w:pPr>
      <w:r w:rsidRPr="00CE10E8">
        <w:rPr>
          <w:rFonts w:ascii="Arial Black" w:hAnsi="Arial Black"/>
          <w:b/>
          <w:bCs/>
          <w:sz w:val="28"/>
          <w:szCs w:val="28"/>
        </w:rPr>
        <w:t>IA: ARSON – FORMER GIRLFRIEND DATING ANOTHER – 5 HOME – CONV. 5 COUNTS ATT. MURDER – 50 YRS PRISON</w:t>
      </w:r>
    </w:p>
    <w:p w14:paraId="0EAEEE0D" w14:textId="77777777" w:rsidR="009E27B4" w:rsidRPr="00CE10E8" w:rsidRDefault="009E27B4" w:rsidP="009E27B4">
      <w:pPr>
        <w:pStyle w:val="NoSpacing"/>
        <w:rPr>
          <w:rFonts w:ascii="Arial Black" w:hAnsi="Arial Black"/>
          <w:sz w:val="28"/>
          <w:szCs w:val="28"/>
        </w:rPr>
      </w:pPr>
    </w:p>
    <w:p w14:paraId="41E95D03" w14:textId="7A778DD4" w:rsidR="009E27B4" w:rsidRPr="009E27B4" w:rsidRDefault="009E27B4" w:rsidP="009E27B4">
      <w:pPr>
        <w:pStyle w:val="NoSpacing"/>
        <w:rPr>
          <w:rFonts w:ascii="Times New Roman" w:hAnsi="Times New Roman"/>
          <w:bCs/>
          <w:sz w:val="24"/>
          <w:szCs w:val="24"/>
        </w:rPr>
      </w:pPr>
      <w:r w:rsidRPr="009E27B4">
        <w:rPr>
          <w:rFonts w:ascii="Times New Roman" w:hAnsi="Times New Roman"/>
          <w:sz w:val="24"/>
          <w:szCs w:val="24"/>
        </w:rPr>
        <w:t xml:space="preserve">On Oct. 30, 2024, in </w:t>
      </w:r>
      <w:r w:rsidRPr="009E27B4">
        <w:rPr>
          <w:rFonts w:ascii="Times New Roman" w:hAnsi="Times New Roman"/>
          <w:sz w:val="24"/>
          <w:szCs w:val="24"/>
          <w:u w:val="single"/>
        </w:rPr>
        <w:t>State of Iowa v. Ishmael Shabazz Carter</w:t>
      </w:r>
      <w:r w:rsidRPr="009E27B4">
        <w:rPr>
          <w:rFonts w:ascii="Times New Roman" w:hAnsi="Times New Roman"/>
          <w:sz w:val="24"/>
          <w:szCs w:val="24"/>
        </w:rPr>
        <w:t>, the Court of Appeals of Iowa held (3 to 0):  “A defendant challenges the sufficiency of the evidence supporting his</w:t>
      </w:r>
      <w:r>
        <w:rPr>
          <w:rFonts w:ascii="Times New Roman" w:hAnsi="Times New Roman"/>
          <w:sz w:val="24"/>
          <w:szCs w:val="24"/>
        </w:rPr>
        <w:t xml:space="preserve"> </w:t>
      </w:r>
      <w:r w:rsidRPr="009E27B4">
        <w:rPr>
          <w:rFonts w:ascii="Times New Roman" w:hAnsi="Times New Roman"/>
          <w:sz w:val="24"/>
          <w:szCs w:val="24"/>
        </w:rPr>
        <w:t>convictions for arson in the first degree and five counts of attempted murder.</w:t>
      </w:r>
      <w:r>
        <w:rPr>
          <w:rFonts w:ascii="Times New Roman" w:hAnsi="Times New Roman"/>
          <w:sz w:val="24"/>
          <w:szCs w:val="24"/>
        </w:rPr>
        <w:t xml:space="preserve"> </w:t>
      </w:r>
      <w:r w:rsidRPr="009E27B4">
        <w:rPr>
          <w:rFonts w:ascii="Times New Roman" w:hAnsi="Times New Roman"/>
          <w:sz w:val="24"/>
          <w:szCs w:val="24"/>
        </w:rPr>
        <w:t xml:space="preserve">AFFIRMED.” </w:t>
      </w:r>
      <w:hyperlink r:id="rId96" w:history="1">
        <w:r w:rsidRPr="009E27B4">
          <w:rPr>
            <w:rStyle w:val="Hyperlink"/>
            <w:rFonts w:ascii="Times New Roman" w:hAnsi="Times New Roman"/>
            <w:sz w:val="24"/>
            <w:szCs w:val="24"/>
          </w:rPr>
          <w:t>https://cases.justia.com/iowa/court-of-appeals/2024-23-0625.pdf?ts=1730301434</w:t>
        </w:r>
      </w:hyperlink>
      <w:r w:rsidRPr="009E27B4">
        <w:rPr>
          <w:rFonts w:ascii="Times New Roman" w:hAnsi="Times New Roman"/>
          <w:sz w:val="24"/>
          <w:szCs w:val="24"/>
        </w:rPr>
        <w:t xml:space="preserve"> </w:t>
      </w:r>
    </w:p>
    <w:p w14:paraId="30A20F43" w14:textId="77777777" w:rsidR="009E27B4" w:rsidRDefault="009E27B4" w:rsidP="009E27B4">
      <w:pPr>
        <w:pStyle w:val="NoSpacing"/>
      </w:pPr>
    </w:p>
    <w:p w14:paraId="42C7DC4B" w14:textId="77777777" w:rsidR="00113436" w:rsidRPr="00113436" w:rsidRDefault="00113436" w:rsidP="00113436">
      <w:pPr>
        <w:pStyle w:val="NoSpacing"/>
        <w:rPr>
          <w:rFonts w:ascii="Times New Roman" w:hAnsi="Times New Roman"/>
          <w:b/>
          <w:bCs/>
          <w:sz w:val="24"/>
          <w:szCs w:val="24"/>
        </w:rPr>
      </w:pPr>
      <w:r w:rsidRPr="00113436">
        <w:rPr>
          <w:rFonts w:ascii="Times New Roman" w:hAnsi="Times New Roman"/>
          <w:b/>
          <w:sz w:val="24"/>
          <w:szCs w:val="24"/>
        </w:rPr>
        <w:t xml:space="preserve">Legal Lesson Learned: Circumstantial evidence can support </w:t>
      </w:r>
      <w:proofErr w:type="gramStart"/>
      <w:r w:rsidRPr="00113436">
        <w:rPr>
          <w:rFonts w:ascii="Times New Roman" w:hAnsi="Times New Roman"/>
          <w:b/>
          <w:sz w:val="24"/>
          <w:szCs w:val="24"/>
        </w:rPr>
        <w:t>an arson</w:t>
      </w:r>
      <w:proofErr w:type="gramEnd"/>
      <w:r w:rsidRPr="00113436">
        <w:rPr>
          <w:rFonts w:ascii="Times New Roman" w:hAnsi="Times New Roman"/>
          <w:b/>
          <w:sz w:val="24"/>
          <w:szCs w:val="24"/>
        </w:rPr>
        <w:t xml:space="preserve"> conviction.</w:t>
      </w:r>
    </w:p>
    <w:p w14:paraId="70A84787" w14:textId="77777777" w:rsidR="009E27B4" w:rsidRDefault="009E27B4" w:rsidP="00B86628">
      <w:pPr>
        <w:pStyle w:val="NoSpacing"/>
        <w:rPr>
          <w:rFonts w:ascii="Arial Black" w:hAnsi="Arial Black"/>
          <w:sz w:val="24"/>
          <w:szCs w:val="24"/>
        </w:rPr>
      </w:pPr>
    </w:p>
    <w:p w14:paraId="6917EB72" w14:textId="77777777" w:rsidR="00C437E2" w:rsidRDefault="00C437E2" w:rsidP="00B86628">
      <w:pPr>
        <w:pStyle w:val="NoSpacing"/>
        <w:rPr>
          <w:rFonts w:ascii="Arial Black" w:hAnsi="Arial Black"/>
          <w:sz w:val="24"/>
          <w:szCs w:val="24"/>
        </w:rPr>
      </w:pPr>
    </w:p>
    <w:p w14:paraId="78094416" w14:textId="77777777" w:rsidR="00CE10E8" w:rsidRDefault="00CE10E8" w:rsidP="00B86628">
      <w:pPr>
        <w:pStyle w:val="NoSpacing"/>
        <w:rPr>
          <w:rFonts w:ascii="Arial Black" w:hAnsi="Arial Black"/>
          <w:sz w:val="24"/>
          <w:szCs w:val="24"/>
        </w:rPr>
      </w:pPr>
    </w:p>
    <w:p w14:paraId="2E354ABD" w14:textId="77777777" w:rsidR="00CE10E8" w:rsidRDefault="00CE10E8" w:rsidP="00B86628">
      <w:pPr>
        <w:pStyle w:val="NoSpacing"/>
        <w:rPr>
          <w:rFonts w:ascii="Arial Black" w:hAnsi="Arial Black"/>
          <w:sz w:val="24"/>
          <w:szCs w:val="24"/>
        </w:rPr>
      </w:pPr>
    </w:p>
    <w:p w14:paraId="400A1E27" w14:textId="16860332" w:rsidR="005C09B0" w:rsidRDefault="00C437E2" w:rsidP="00B86628">
      <w:pPr>
        <w:pStyle w:val="NoSpacing"/>
        <w:rPr>
          <w:rFonts w:ascii="Arial Black" w:hAnsi="Arial Black"/>
          <w:sz w:val="24"/>
          <w:szCs w:val="24"/>
        </w:rPr>
      </w:pPr>
      <w:r>
        <w:rPr>
          <w:rFonts w:ascii="Arial Black" w:hAnsi="Arial Black"/>
          <w:sz w:val="24"/>
          <w:szCs w:val="24"/>
        </w:rPr>
        <w:t>1-16</w:t>
      </w:r>
      <w:r w:rsidR="006F4352">
        <w:rPr>
          <w:rFonts w:ascii="Arial Black" w:hAnsi="Arial Black"/>
          <w:sz w:val="24"/>
          <w:szCs w:val="24"/>
        </w:rPr>
        <w:t>3</w:t>
      </w:r>
    </w:p>
    <w:p w14:paraId="3FE99A9C" w14:textId="77777777" w:rsidR="00C437E2" w:rsidRDefault="00C437E2" w:rsidP="00B86628">
      <w:pPr>
        <w:pStyle w:val="NoSpacing"/>
        <w:rPr>
          <w:rFonts w:ascii="Arial Black" w:hAnsi="Arial Black"/>
          <w:sz w:val="24"/>
          <w:szCs w:val="24"/>
        </w:rPr>
      </w:pPr>
    </w:p>
    <w:p w14:paraId="747B8A41" w14:textId="77777777" w:rsidR="005D2B81" w:rsidRPr="00CE10E8" w:rsidRDefault="005D2B81" w:rsidP="005D2B81">
      <w:pPr>
        <w:rPr>
          <w:rFonts w:ascii="Arial Black" w:hAnsi="Arial Black"/>
          <w:b/>
          <w:sz w:val="28"/>
          <w:szCs w:val="28"/>
        </w:rPr>
      </w:pPr>
      <w:r w:rsidRPr="00CE10E8">
        <w:rPr>
          <w:rFonts w:ascii="Arial Black" w:hAnsi="Arial Black"/>
          <w:b/>
          <w:sz w:val="28"/>
          <w:szCs w:val="28"/>
        </w:rPr>
        <w:t>OH:  OBSTRUCTION OF OFFICIAL BUSINESS - FIRE OUT OF CONTROL IN FRONT HER HOME – THREATENED FIRE CHIEF</w:t>
      </w:r>
    </w:p>
    <w:p w14:paraId="4273DEB1" w14:textId="77777777" w:rsidR="005D2B81" w:rsidRPr="005D2B81" w:rsidRDefault="005D2B81" w:rsidP="005D2B81">
      <w:pPr>
        <w:rPr>
          <w:rFonts w:ascii="Times New Roman" w:hAnsi="Times New Roman"/>
        </w:rPr>
      </w:pPr>
      <w:r w:rsidRPr="005D2B81">
        <w:rPr>
          <w:rFonts w:ascii="Times New Roman" w:hAnsi="Times New Roman"/>
          <w:sz w:val="24"/>
          <w:szCs w:val="24"/>
        </w:rPr>
        <w:t xml:space="preserve">On Oct. 25, </w:t>
      </w:r>
      <w:proofErr w:type="gramStart"/>
      <w:r w:rsidRPr="005D2B81">
        <w:rPr>
          <w:rFonts w:ascii="Times New Roman" w:hAnsi="Times New Roman"/>
          <w:sz w:val="24"/>
          <w:szCs w:val="24"/>
        </w:rPr>
        <w:t>2024</w:t>
      </w:r>
      <w:proofErr w:type="gramEnd"/>
      <w:r w:rsidRPr="005D2B81">
        <w:rPr>
          <w:rFonts w:ascii="Times New Roman" w:hAnsi="Times New Roman"/>
          <w:sz w:val="24"/>
          <w:szCs w:val="24"/>
        </w:rPr>
        <w:t xml:space="preserve"> in </w:t>
      </w:r>
      <w:r w:rsidRPr="005D2B81">
        <w:rPr>
          <w:rFonts w:ascii="Times New Roman" w:hAnsi="Times New Roman"/>
          <w:sz w:val="24"/>
          <w:szCs w:val="24"/>
          <w:u w:val="single"/>
        </w:rPr>
        <w:t>State of Ohio v. Jasmine A. Anderson</w:t>
      </w:r>
      <w:r w:rsidRPr="005D2B81">
        <w:rPr>
          <w:rFonts w:ascii="Times New Roman" w:hAnsi="Times New Roman"/>
          <w:sz w:val="24"/>
          <w:szCs w:val="24"/>
        </w:rPr>
        <w:t xml:space="preserve">, the Ohio Court of Appeals, Seventh Appellate District, Belmont County, held (3 to 0) “Appellant Jasmine A. Anderson argues that her conviction for obstruction of official business was against the sufficiency and manifest weight of the evidence. *** Appellant’s assignment of error is without merit, and her conviction and sentence are affirmed. *** The court sentenced Appellant to 90 days in jail and court costs, with credit for 10 days.” </w:t>
      </w:r>
      <w:hyperlink r:id="rId97" w:history="1">
        <w:r w:rsidRPr="005D2B81">
          <w:rPr>
            <w:rStyle w:val="Hyperlink"/>
            <w:rFonts w:ascii="Times New Roman" w:hAnsi="Times New Roman"/>
            <w:sz w:val="24"/>
            <w:szCs w:val="24"/>
          </w:rPr>
          <w:t>https://cases.justia.com/ohio/seventh-district-court-of-appeals/2024-24-be-0004.pdf?ts=1730297340</w:t>
        </w:r>
      </w:hyperlink>
      <w:r w:rsidRPr="005D2B81">
        <w:rPr>
          <w:rFonts w:ascii="Times New Roman" w:hAnsi="Times New Roman"/>
        </w:rPr>
        <w:t xml:space="preserve"> </w:t>
      </w:r>
    </w:p>
    <w:p w14:paraId="38E9E2B1" w14:textId="77777777" w:rsidR="00E81DD1" w:rsidRPr="00BD3A19" w:rsidRDefault="00E81DD1" w:rsidP="00E81DD1">
      <w:pPr>
        <w:rPr>
          <w:b/>
          <w:bCs/>
        </w:rPr>
      </w:pPr>
      <w:r w:rsidRPr="00E81DD1">
        <w:rPr>
          <w:b/>
          <w:sz w:val="24"/>
          <w:szCs w:val="24"/>
        </w:rPr>
        <w:t>Legal Lesson Learned: Threatening words may constitute obstruction of official business</w:t>
      </w:r>
      <w:r w:rsidRPr="00517201">
        <w:rPr>
          <w:b/>
        </w:rPr>
        <w:t>.</w:t>
      </w:r>
    </w:p>
    <w:p w14:paraId="4DACAD27" w14:textId="77777777" w:rsidR="005D2B81" w:rsidRPr="005D2B81" w:rsidRDefault="005D2B81" w:rsidP="00B86628">
      <w:pPr>
        <w:pStyle w:val="NoSpacing"/>
        <w:rPr>
          <w:rFonts w:ascii="Times New Roman" w:hAnsi="Times New Roman"/>
          <w:sz w:val="24"/>
          <w:szCs w:val="24"/>
        </w:rPr>
      </w:pPr>
    </w:p>
    <w:p w14:paraId="6357AB61" w14:textId="77777777" w:rsidR="00C437E2" w:rsidRDefault="00C437E2" w:rsidP="00B86628">
      <w:pPr>
        <w:pStyle w:val="NoSpacing"/>
        <w:rPr>
          <w:rFonts w:ascii="Arial Black" w:hAnsi="Arial Black"/>
          <w:sz w:val="24"/>
          <w:szCs w:val="24"/>
        </w:rPr>
      </w:pPr>
    </w:p>
    <w:p w14:paraId="590ADA05" w14:textId="1FF9BD86" w:rsidR="005C09B0" w:rsidRDefault="00C437E2" w:rsidP="00B86628">
      <w:pPr>
        <w:pStyle w:val="NoSpacing"/>
        <w:rPr>
          <w:rFonts w:ascii="Arial Black" w:hAnsi="Arial Black"/>
          <w:sz w:val="24"/>
          <w:szCs w:val="24"/>
        </w:rPr>
      </w:pPr>
      <w:r>
        <w:rPr>
          <w:rFonts w:ascii="Arial Black" w:hAnsi="Arial Black"/>
          <w:sz w:val="24"/>
          <w:szCs w:val="24"/>
        </w:rPr>
        <w:t>1-1</w:t>
      </w:r>
      <w:r w:rsidR="006F4352">
        <w:rPr>
          <w:rFonts w:ascii="Arial Black" w:hAnsi="Arial Black"/>
          <w:sz w:val="24"/>
          <w:szCs w:val="24"/>
        </w:rPr>
        <w:t>62</w:t>
      </w:r>
    </w:p>
    <w:p w14:paraId="4096FC4A" w14:textId="77777777" w:rsidR="00E81DD1" w:rsidRDefault="00E81DD1" w:rsidP="00B86628">
      <w:pPr>
        <w:pStyle w:val="NoSpacing"/>
        <w:rPr>
          <w:rFonts w:ascii="Arial Black" w:hAnsi="Arial Black"/>
          <w:sz w:val="24"/>
          <w:szCs w:val="24"/>
        </w:rPr>
      </w:pPr>
    </w:p>
    <w:p w14:paraId="4DAAFBE9" w14:textId="77777777" w:rsidR="004A436F" w:rsidRPr="00CE10E8" w:rsidRDefault="004A436F" w:rsidP="004A436F">
      <w:pPr>
        <w:rPr>
          <w:rFonts w:ascii="Arial Black" w:hAnsi="Arial Black"/>
          <w:b/>
          <w:bCs/>
          <w:sz w:val="28"/>
          <w:szCs w:val="28"/>
        </w:rPr>
      </w:pPr>
      <w:r w:rsidRPr="00CE10E8">
        <w:rPr>
          <w:rFonts w:ascii="Arial Black" w:hAnsi="Arial Black"/>
          <w:b/>
          <w:bCs/>
          <w:sz w:val="28"/>
          <w:szCs w:val="28"/>
        </w:rPr>
        <w:lastRenderedPageBreak/>
        <w:t>PA: ARSON – HIS CELL PHONE RECORDS SHOW AT HOME TIME FIRE – GETTING DIVORCE – 7.5-15 MONTHS / $369K</w:t>
      </w:r>
    </w:p>
    <w:p w14:paraId="338EF79B" w14:textId="77777777" w:rsidR="004A436F" w:rsidRPr="004A436F" w:rsidRDefault="004A436F" w:rsidP="004A436F">
      <w:pPr>
        <w:pStyle w:val="NoSpacing"/>
        <w:rPr>
          <w:rFonts w:ascii="Times New Roman" w:hAnsi="Times New Roman"/>
          <w:sz w:val="24"/>
          <w:szCs w:val="24"/>
        </w:rPr>
      </w:pPr>
      <w:r w:rsidRPr="004A436F">
        <w:rPr>
          <w:rFonts w:ascii="Times New Roman" w:hAnsi="Times New Roman"/>
          <w:sz w:val="24"/>
          <w:szCs w:val="24"/>
        </w:rPr>
        <w:t xml:space="preserve">Oct. 21, </w:t>
      </w:r>
      <w:proofErr w:type="gramStart"/>
      <w:r w:rsidRPr="004A436F">
        <w:rPr>
          <w:rFonts w:ascii="Times New Roman" w:hAnsi="Times New Roman"/>
          <w:sz w:val="24"/>
          <w:szCs w:val="24"/>
        </w:rPr>
        <w:t>2024</w:t>
      </w:r>
      <w:proofErr w:type="gramEnd"/>
      <w:r w:rsidRPr="004A436F">
        <w:rPr>
          <w:rFonts w:ascii="Times New Roman" w:hAnsi="Times New Roman"/>
          <w:sz w:val="24"/>
          <w:szCs w:val="24"/>
        </w:rPr>
        <w:t xml:space="preserve"> in </w:t>
      </w:r>
      <w:r w:rsidRPr="004A436F">
        <w:rPr>
          <w:rFonts w:ascii="Times New Roman" w:hAnsi="Times New Roman"/>
          <w:sz w:val="24"/>
          <w:szCs w:val="24"/>
          <w:u w:val="single"/>
        </w:rPr>
        <w:t>Commonwealth of Pennsylvania v. Sherman E. Lowry</w:t>
      </w:r>
      <w:r w:rsidRPr="004A436F">
        <w:rPr>
          <w:rFonts w:ascii="Times New Roman" w:hAnsi="Times New Roman"/>
          <w:sz w:val="24"/>
          <w:szCs w:val="24"/>
        </w:rPr>
        <w:t xml:space="preserve">, the Superior Court of Pennsylvania held (3 to 0; non-precedential decision): “The evidence was sufficient for the jury to conclude that the fire was set by Appellant and that he did it intentionally, causing the damage that resulted.” </w:t>
      </w:r>
      <w:hyperlink r:id="rId98" w:history="1">
        <w:r w:rsidRPr="004A436F">
          <w:rPr>
            <w:rStyle w:val="Hyperlink"/>
            <w:rFonts w:ascii="Times New Roman" w:hAnsi="Times New Roman"/>
            <w:sz w:val="24"/>
            <w:szCs w:val="24"/>
          </w:rPr>
          <w:t>https://cases.justia.com/pennsylvania/superior-court/2024-1034-mda-2023.pdf?ts=1729535164</w:t>
        </w:r>
      </w:hyperlink>
      <w:r w:rsidRPr="004A436F">
        <w:rPr>
          <w:rFonts w:ascii="Times New Roman" w:hAnsi="Times New Roman"/>
          <w:sz w:val="24"/>
          <w:szCs w:val="24"/>
        </w:rPr>
        <w:t xml:space="preserve"> </w:t>
      </w:r>
    </w:p>
    <w:p w14:paraId="32BC5AC3" w14:textId="77777777" w:rsidR="00E81DD1" w:rsidRDefault="00E81DD1" w:rsidP="00B86628">
      <w:pPr>
        <w:pStyle w:val="NoSpacing"/>
        <w:rPr>
          <w:rFonts w:ascii="Arial Black" w:hAnsi="Arial Black"/>
          <w:sz w:val="24"/>
          <w:szCs w:val="24"/>
        </w:rPr>
      </w:pPr>
    </w:p>
    <w:p w14:paraId="5615005E" w14:textId="77777777" w:rsidR="001D6E51" w:rsidRPr="001D6E51" w:rsidRDefault="001D6E51" w:rsidP="001D6E51">
      <w:pPr>
        <w:pStyle w:val="NoSpacing"/>
        <w:rPr>
          <w:rFonts w:ascii="Times New Roman" w:hAnsi="Times New Roman"/>
          <w:b/>
          <w:bCs/>
          <w:sz w:val="24"/>
          <w:szCs w:val="24"/>
        </w:rPr>
      </w:pPr>
      <w:r w:rsidRPr="001D6E51">
        <w:rPr>
          <w:rFonts w:ascii="Times New Roman" w:hAnsi="Times New Roman"/>
          <w:b/>
          <w:sz w:val="24"/>
          <w:szCs w:val="24"/>
        </w:rPr>
        <w:t xml:space="preserve">Legal Lesson Learned: Cell phone data placed defendant at the scene of the fire.  A search warrant for cell phone records is a powerful investigative tool. </w:t>
      </w:r>
    </w:p>
    <w:p w14:paraId="3DE6CD22" w14:textId="77777777" w:rsidR="00E81DD1" w:rsidRDefault="00E81DD1" w:rsidP="00B86628">
      <w:pPr>
        <w:pStyle w:val="NoSpacing"/>
        <w:rPr>
          <w:rFonts w:ascii="Arial Black" w:hAnsi="Arial Black"/>
          <w:sz w:val="24"/>
          <w:szCs w:val="24"/>
        </w:rPr>
      </w:pPr>
    </w:p>
    <w:p w14:paraId="202309DE" w14:textId="77777777" w:rsidR="00CE10E8" w:rsidRDefault="00CE10E8" w:rsidP="00B86628">
      <w:pPr>
        <w:pStyle w:val="NoSpacing"/>
        <w:rPr>
          <w:rFonts w:ascii="Arial Black" w:hAnsi="Arial Black"/>
          <w:sz w:val="24"/>
          <w:szCs w:val="24"/>
        </w:rPr>
      </w:pPr>
    </w:p>
    <w:p w14:paraId="063DFDF7" w14:textId="0CB1E822" w:rsidR="005C09B0" w:rsidRDefault="005C09B0" w:rsidP="00B86628">
      <w:pPr>
        <w:pStyle w:val="NoSpacing"/>
        <w:rPr>
          <w:rFonts w:ascii="Arial Black" w:hAnsi="Arial Black"/>
          <w:sz w:val="24"/>
          <w:szCs w:val="24"/>
        </w:rPr>
      </w:pPr>
      <w:r>
        <w:rPr>
          <w:rFonts w:ascii="Arial Black" w:hAnsi="Arial Black"/>
          <w:sz w:val="24"/>
          <w:szCs w:val="24"/>
        </w:rPr>
        <w:t>1-16</w:t>
      </w:r>
      <w:r w:rsidR="006F4352">
        <w:rPr>
          <w:rFonts w:ascii="Arial Black" w:hAnsi="Arial Black"/>
          <w:sz w:val="24"/>
          <w:szCs w:val="24"/>
        </w:rPr>
        <w:t>1</w:t>
      </w:r>
    </w:p>
    <w:p w14:paraId="4BEDD57A" w14:textId="77777777" w:rsidR="005C09B0" w:rsidRDefault="005C09B0" w:rsidP="00B86628">
      <w:pPr>
        <w:pStyle w:val="NoSpacing"/>
        <w:rPr>
          <w:rFonts w:ascii="Arial Black" w:hAnsi="Arial Black"/>
          <w:sz w:val="24"/>
          <w:szCs w:val="24"/>
        </w:rPr>
      </w:pPr>
    </w:p>
    <w:p w14:paraId="4E8BB654" w14:textId="77777777" w:rsidR="009F234F" w:rsidRPr="00CE10E8" w:rsidRDefault="009F234F" w:rsidP="009F234F">
      <w:pPr>
        <w:pStyle w:val="NoSpacing"/>
        <w:rPr>
          <w:rFonts w:ascii="Arial Black" w:hAnsi="Arial Black"/>
          <w:b/>
          <w:bCs/>
          <w:sz w:val="28"/>
          <w:szCs w:val="28"/>
        </w:rPr>
      </w:pPr>
      <w:r w:rsidRPr="00CE10E8">
        <w:rPr>
          <w:rFonts w:ascii="Arial Black" w:hAnsi="Arial Black"/>
          <w:b/>
          <w:bCs/>
          <w:sz w:val="28"/>
          <w:szCs w:val="28"/>
        </w:rPr>
        <w:t>AR: ARSON – TRUCK FIRE – DEF. CONV. ARSON OF “OCCUPIED STRUCTURE” – INCLUDES A VEHICLE – 35 YRS</w:t>
      </w:r>
    </w:p>
    <w:p w14:paraId="60DE8104" w14:textId="77777777" w:rsidR="009F234F" w:rsidRPr="006F4352" w:rsidRDefault="009F234F" w:rsidP="009F234F">
      <w:pPr>
        <w:pStyle w:val="NoSpacing"/>
        <w:rPr>
          <w:rFonts w:ascii="Times New Roman" w:hAnsi="Times New Roman"/>
          <w:sz w:val="24"/>
          <w:szCs w:val="24"/>
        </w:rPr>
      </w:pPr>
    </w:p>
    <w:p w14:paraId="530861C0" w14:textId="77777777" w:rsidR="009F234F" w:rsidRPr="006F4352" w:rsidRDefault="009F234F" w:rsidP="009F234F">
      <w:pPr>
        <w:pStyle w:val="NoSpacing"/>
        <w:rPr>
          <w:rFonts w:ascii="Times New Roman" w:hAnsi="Times New Roman"/>
          <w:sz w:val="24"/>
          <w:szCs w:val="24"/>
        </w:rPr>
      </w:pPr>
      <w:r w:rsidRPr="006F4352">
        <w:rPr>
          <w:rFonts w:ascii="Times New Roman" w:hAnsi="Times New Roman"/>
          <w:sz w:val="24"/>
          <w:szCs w:val="24"/>
        </w:rPr>
        <w:t xml:space="preserve">On Sept. 17, 2024 in </w:t>
      </w:r>
      <w:r w:rsidRPr="006F4352">
        <w:rPr>
          <w:rFonts w:ascii="Times New Roman" w:hAnsi="Times New Roman"/>
          <w:sz w:val="24"/>
          <w:szCs w:val="24"/>
          <w:u w:val="single"/>
        </w:rPr>
        <w:t>State of Arizona v. Edwardo Serrato, III</w:t>
      </w:r>
      <w:r w:rsidRPr="006F4352">
        <w:rPr>
          <w:rFonts w:ascii="Times New Roman" w:hAnsi="Times New Roman"/>
          <w:sz w:val="24"/>
          <w:szCs w:val="24"/>
        </w:rPr>
        <w:t>, the Court of Appeals of Arizona, Division 1, held (3 to 0): “Edwardo Serrato, III appeals his conviction and sentence for arson of an occupied structure.</w:t>
      </w:r>
      <w:hyperlink r:id="rId99" w:anchor="footnote_1" w:history="1">
        <w:r w:rsidRPr="006F4352">
          <w:rPr>
            <w:rStyle w:val="Hyperlink"/>
            <w:rFonts w:ascii="Times New Roman" w:hAnsi="Times New Roman"/>
            <w:sz w:val="24"/>
            <w:szCs w:val="24"/>
            <w:vertAlign w:val="superscript"/>
          </w:rPr>
          <w:t>1</w:t>
        </w:r>
      </w:hyperlink>
      <w:r w:rsidRPr="006F4352">
        <w:rPr>
          <w:rFonts w:ascii="Times New Roman" w:hAnsi="Times New Roman"/>
          <w:sz w:val="24"/>
          <w:szCs w:val="24"/>
        </w:rPr>
        <w:t xml:space="preserve"> He argues that the vehicle subject to the arson was not occupied because there was no proof that anyone else was inside or in the vicinity of the vehicle that burned. We address whether a defendant's presence alone is sufficient to find a structure is occupied. We hold that it is. Accordingly, we affirm.”  </w:t>
      </w:r>
      <w:hyperlink r:id="rId100" w:history="1">
        <w:r w:rsidRPr="006F4352">
          <w:rPr>
            <w:rStyle w:val="Hyperlink"/>
            <w:rFonts w:ascii="Times New Roman" w:hAnsi="Times New Roman"/>
            <w:sz w:val="24"/>
            <w:szCs w:val="24"/>
          </w:rPr>
          <w:t>https://caselaw.findlaw.com/court/az-court-of-appeals/116575227.html</w:t>
        </w:r>
      </w:hyperlink>
      <w:r w:rsidRPr="006F4352">
        <w:rPr>
          <w:rFonts w:ascii="Times New Roman" w:hAnsi="Times New Roman"/>
          <w:sz w:val="24"/>
          <w:szCs w:val="24"/>
        </w:rPr>
        <w:t xml:space="preserve"> </w:t>
      </w:r>
    </w:p>
    <w:p w14:paraId="6146A567" w14:textId="77777777" w:rsidR="006F4352" w:rsidRPr="006F4352" w:rsidRDefault="006F4352" w:rsidP="006F4352">
      <w:pPr>
        <w:pStyle w:val="NoSpacing"/>
        <w:rPr>
          <w:rFonts w:ascii="Times New Roman" w:hAnsi="Times New Roman"/>
          <w:b/>
          <w:sz w:val="24"/>
          <w:szCs w:val="24"/>
        </w:rPr>
      </w:pPr>
    </w:p>
    <w:p w14:paraId="746D8E24" w14:textId="4186891B" w:rsidR="006F4352" w:rsidRPr="006F4352" w:rsidRDefault="006F4352" w:rsidP="006F4352">
      <w:pPr>
        <w:pStyle w:val="NoSpacing"/>
        <w:rPr>
          <w:rStyle w:val="Hyperlink"/>
          <w:rFonts w:ascii="Times New Roman" w:hAnsi="Times New Roman"/>
          <w:sz w:val="24"/>
          <w:szCs w:val="24"/>
        </w:rPr>
      </w:pPr>
      <w:r w:rsidRPr="006F4352">
        <w:rPr>
          <w:rFonts w:ascii="Times New Roman" w:hAnsi="Times New Roman"/>
          <w:b/>
          <w:sz w:val="24"/>
          <w:szCs w:val="24"/>
        </w:rPr>
        <w:t xml:space="preserve">Legal Lesson Learned: </w:t>
      </w:r>
      <w:r w:rsidRPr="006F4352">
        <w:rPr>
          <w:rFonts w:ascii="Times New Roman" w:hAnsi="Times New Roman"/>
          <w:b/>
          <w:bCs/>
          <w:sz w:val="24"/>
          <w:szCs w:val="24"/>
        </w:rPr>
        <w:t xml:space="preserve">Arizona has broadly defined </w:t>
      </w:r>
      <w:r w:rsidRPr="006F4352">
        <w:rPr>
          <w:rFonts w:ascii="Times New Roman" w:hAnsi="Times New Roman"/>
          <w:b/>
          <w:sz w:val="24"/>
          <w:szCs w:val="24"/>
        </w:rPr>
        <w:t xml:space="preserve">“occupied structure” </w:t>
      </w:r>
      <w:r w:rsidRPr="006F4352">
        <w:rPr>
          <w:rFonts w:ascii="Times New Roman" w:hAnsi="Times New Roman"/>
          <w:b/>
          <w:bCs/>
          <w:sz w:val="24"/>
          <w:szCs w:val="24"/>
        </w:rPr>
        <w:t xml:space="preserve">in its arson statute. </w:t>
      </w:r>
    </w:p>
    <w:p w14:paraId="20799732" w14:textId="77777777" w:rsidR="001D6E51" w:rsidRPr="006F4352" w:rsidRDefault="001D6E51" w:rsidP="00B86628">
      <w:pPr>
        <w:pStyle w:val="NoSpacing"/>
        <w:rPr>
          <w:rFonts w:ascii="Times New Roman" w:hAnsi="Times New Roman"/>
          <w:sz w:val="24"/>
          <w:szCs w:val="24"/>
        </w:rPr>
      </w:pPr>
    </w:p>
    <w:p w14:paraId="5DC7E058" w14:textId="77777777" w:rsidR="001D6E51" w:rsidRDefault="001D6E51" w:rsidP="00B86628">
      <w:pPr>
        <w:pStyle w:val="NoSpacing"/>
        <w:rPr>
          <w:rFonts w:ascii="Arial Black" w:hAnsi="Arial Black"/>
          <w:sz w:val="24"/>
          <w:szCs w:val="24"/>
        </w:rPr>
      </w:pPr>
    </w:p>
    <w:p w14:paraId="7C264D84" w14:textId="77777777" w:rsidR="00CE10E8" w:rsidRDefault="00CE10E8" w:rsidP="00B86628">
      <w:pPr>
        <w:pStyle w:val="NoSpacing"/>
        <w:rPr>
          <w:rFonts w:ascii="Arial Black" w:hAnsi="Arial Black"/>
          <w:sz w:val="24"/>
          <w:szCs w:val="24"/>
        </w:rPr>
      </w:pPr>
    </w:p>
    <w:p w14:paraId="24A4AC18" w14:textId="69B5BD26" w:rsidR="001D6E51" w:rsidRDefault="00F567E0" w:rsidP="00B86628">
      <w:pPr>
        <w:pStyle w:val="NoSpacing"/>
        <w:rPr>
          <w:rFonts w:ascii="Arial Black" w:hAnsi="Arial Black"/>
          <w:sz w:val="24"/>
          <w:szCs w:val="24"/>
        </w:rPr>
      </w:pPr>
      <w:r>
        <w:rPr>
          <w:rFonts w:ascii="Arial Black" w:hAnsi="Arial Black"/>
          <w:sz w:val="24"/>
          <w:szCs w:val="24"/>
        </w:rPr>
        <w:t>1-160</w:t>
      </w:r>
    </w:p>
    <w:p w14:paraId="0BEB36D5" w14:textId="77777777" w:rsidR="00F567E0" w:rsidRDefault="00F567E0" w:rsidP="00B86628">
      <w:pPr>
        <w:pStyle w:val="NoSpacing"/>
        <w:rPr>
          <w:rFonts w:ascii="Arial Black" w:hAnsi="Arial Black"/>
          <w:sz w:val="24"/>
          <w:szCs w:val="24"/>
        </w:rPr>
      </w:pPr>
    </w:p>
    <w:p w14:paraId="25FF336D" w14:textId="77777777" w:rsidR="004A1004" w:rsidRPr="00CE10E8" w:rsidRDefault="004A1004" w:rsidP="004A1004">
      <w:pPr>
        <w:pStyle w:val="NoSpacing"/>
        <w:rPr>
          <w:rFonts w:ascii="Arial Black" w:hAnsi="Arial Black"/>
          <w:b/>
          <w:bCs/>
          <w:sz w:val="28"/>
          <w:szCs w:val="28"/>
        </w:rPr>
      </w:pPr>
      <w:r w:rsidRPr="00CE10E8">
        <w:rPr>
          <w:rFonts w:ascii="Arial Black" w:hAnsi="Arial Black"/>
          <w:b/>
          <w:bCs/>
          <w:sz w:val="28"/>
          <w:szCs w:val="28"/>
        </w:rPr>
        <w:t>MN: ARSON – SET FIRE IN HIS KITCHEN &amp; LIVING ROOM – TO “SECURE TRIP TO JAIL” – NO PROBATION - 48 MONTHS</w:t>
      </w:r>
    </w:p>
    <w:p w14:paraId="4A64B516" w14:textId="77777777" w:rsidR="004A1004" w:rsidRPr="00290B7D" w:rsidRDefault="004A1004" w:rsidP="004A1004">
      <w:pPr>
        <w:pStyle w:val="NoSpacing"/>
        <w:rPr>
          <w:rFonts w:ascii="Times New Roman" w:hAnsi="Times New Roman"/>
          <w:sz w:val="24"/>
          <w:szCs w:val="24"/>
        </w:rPr>
      </w:pPr>
    </w:p>
    <w:p w14:paraId="1483FAB1"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 xml:space="preserve">On Sept. 16, 2024, in </w:t>
      </w:r>
      <w:r w:rsidRPr="00290B7D">
        <w:rPr>
          <w:rFonts w:ascii="Times New Roman" w:hAnsi="Times New Roman"/>
          <w:sz w:val="24"/>
          <w:szCs w:val="24"/>
          <w:u w:val="single"/>
        </w:rPr>
        <w:t>State of Minnesota v. Hunter Steven Hipp</w:t>
      </w:r>
      <w:r w:rsidRPr="00290B7D">
        <w:rPr>
          <w:rFonts w:ascii="Times New Roman" w:hAnsi="Times New Roman"/>
          <w:sz w:val="24"/>
          <w:szCs w:val="24"/>
        </w:rPr>
        <w:t>, the Minnesota Court of Appeals held (3 to 0) “Hunter Hipp pleaded guilty to first-degree arson after intentionally setting fires in</w:t>
      </w:r>
    </w:p>
    <w:p w14:paraId="263508C8"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the kitchen and living room of his apartment. He notified the district court in writing of his</w:t>
      </w:r>
    </w:p>
    <w:p w14:paraId="5B9EA823"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intent to move ‘for a dispositional and/or durational departure from the presumptive</w:t>
      </w:r>
    </w:p>
    <w:p w14:paraId="70A52B7E"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 xml:space="preserve">sentence,’ and at sentencing he argued exclusively that he was particularly amenable to </w:t>
      </w:r>
    </w:p>
    <w:p w14:paraId="0B826661"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 xml:space="preserve">probation. The district court denied his departure motion. *** We affirm.”  </w:t>
      </w:r>
    </w:p>
    <w:p w14:paraId="249E5668" w14:textId="77777777" w:rsidR="004A1004" w:rsidRPr="00290B7D" w:rsidRDefault="004A1004" w:rsidP="004A1004">
      <w:pPr>
        <w:pStyle w:val="NoSpacing"/>
        <w:rPr>
          <w:rFonts w:ascii="Times New Roman" w:hAnsi="Times New Roman"/>
          <w:sz w:val="24"/>
          <w:szCs w:val="24"/>
        </w:rPr>
      </w:pPr>
      <w:hyperlink r:id="rId101" w:history="1">
        <w:r w:rsidRPr="00290B7D">
          <w:rPr>
            <w:rStyle w:val="Hyperlink"/>
            <w:rFonts w:ascii="Times New Roman" w:hAnsi="Times New Roman"/>
            <w:sz w:val="24"/>
            <w:szCs w:val="24"/>
          </w:rPr>
          <w:t>https://cases.justia.com/minnesota/court-of-appeals/2024-a23-1836.pdf?ts=1726855674</w:t>
        </w:r>
      </w:hyperlink>
      <w:r w:rsidRPr="00290B7D">
        <w:rPr>
          <w:rFonts w:ascii="Times New Roman" w:hAnsi="Times New Roman"/>
          <w:sz w:val="24"/>
          <w:szCs w:val="24"/>
        </w:rPr>
        <w:t xml:space="preserve"> </w:t>
      </w:r>
    </w:p>
    <w:p w14:paraId="692B4F28" w14:textId="77777777" w:rsidR="00F567E0" w:rsidRPr="00290B7D" w:rsidRDefault="00F567E0" w:rsidP="00B86628">
      <w:pPr>
        <w:pStyle w:val="NoSpacing"/>
        <w:rPr>
          <w:rFonts w:ascii="Times New Roman" w:hAnsi="Times New Roman"/>
          <w:sz w:val="24"/>
          <w:szCs w:val="24"/>
        </w:rPr>
      </w:pPr>
    </w:p>
    <w:p w14:paraId="5E9F9035" w14:textId="77777777" w:rsidR="00290B7D" w:rsidRPr="00290B7D" w:rsidRDefault="00290B7D" w:rsidP="00290B7D">
      <w:pPr>
        <w:pStyle w:val="NoSpacing"/>
        <w:rPr>
          <w:rFonts w:ascii="Times New Roman" w:hAnsi="Times New Roman"/>
          <w:b/>
          <w:bCs/>
          <w:sz w:val="24"/>
          <w:szCs w:val="24"/>
        </w:rPr>
      </w:pPr>
      <w:r w:rsidRPr="00290B7D">
        <w:rPr>
          <w:rFonts w:ascii="Times New Roman" w:hAnsi="Times New Roman"/>
          <w:b/>
          <w:sz w:val="24"/>
          <w:szCs w:val="24"/>
        </w:rPr>
        <w:t xml:space="preserve">Legal Lesson Learned: Trial court has discretion in </w:t>
      </w:r>
      <w:r w:rsidRPr="00290B7D">
        <w:rPr>
          <w:rFonts w:ascii="Times New Roman" w:hAnsi="Times New Roman"/>
          <w:b/>
          <w:bCs/>
          <w:sz w:val="24"/>
          <w:szCs w:val="24"/>
        </w:rPr>
        <w:t>sentencing - j</w:t>
      </w:r>
      <w:r w:rsidRPr="00290B7D">
        <w:rPr>
          <w:rFonts w:ascii="Times New Roman" w:hAnsi="Times New Roman"/>
          <w:b/>
          <w:sz w:val="24"/>
          <w:szCs w:val="24"/>
        </w:rPr>
        <w:t xml:space="preserve">ail time or probation. </w:t>
      </w:r>
    </w:p>
    <w:p w14:paraId="317B34A6" w14:textId="77777777" w:rsidR="00290B7D" w:rsidRDefault="00290B7D" w:rsidP="00B86628">
      <w:pPr>
        <w:pStyle w:val="NoSpacing"/>
        <w:rPr>
          <w:rFonts w:ascii="Arial Black" w:hAnsi="Arial Black"/>
          <w:sz w:val="24"/>
          <w:szCs w:val="24"/>
        </w:rPr>
      </w:pPr>
    </w:p>
    <w:p w14:paraId="0CA23D62" w14:textId="77777777" w:rsidR="001D6E51" w:rsidRDefault="001D6E51" w:rsidP="00B86628">
      <w:pPr>
        <w:pStyle w:val="NoSpacing"/>
        <w:rPr>
          <w:rFonts w:ascii="Arial Black" w:hAnsi="Arial Black"/>
          <w:sz w:val="24"/>
          <w:szCs w:val="24"/>
        </w:rPr>
      </w:pPr>
    </w:p>
    <w:p w14:paraId="312FE519" w14:textId="5C6AEA10" w:rsidR="00455B5B" w:rsidRDefault="00455B5B" w:rsidP="00B86628">
      <w:pPr>
        <w:pStyle w:val="NoSpacing"/>
        <w:rPr>
          <w:rFonts w:ascii="Arial Black" w:hAnsi="Arial Black"/>
          <w:sz w:val="24"/>
          <w:szCs w:val="24"/>
        </w:rPr>
      </w:pPr>
      <w:r>
        <w:rPr>
          <w:rFonts w:ascii="Arial Black" w:hAnsi="Arial Black"/>
          <w:sz w:val="24"/>
          <w:szCs w:val="24"/>
        </w:rPr>
        <w:t>1-159</w:t>
      </w:r>
    </w:p>
    <w:p w14:paraId="3845B24E" w14:textId="77777777" w:rsidR="00455B5B" w:rsidRDefault="00455B5B" w:rsidP="00B86628">
      <w:pPr>
        <w:pStyle w:val="NoSpacing"/>
        <w:rPr>
          <w:rFonts w:ascii="Arial Black" w:hAnsi="Arial Black"/>
          <w:sz w:val="24"/>
          <w:szCs w:val="24"/>
        </w:rPr>
      </w:pPr>
    </w:p>
    <w:p w14:paraId="18AE0689" w14:textId="20E4B7B0" w:rsidR="00455B5B" w:rsidRPr="00641056" w:rsidRDefault="00455B5B" w:rsidP="00455B5B">
      <w:pPr>
        <w:rPr>
          <w:rFonts w:ascii="Arial Black" w:hAnsi="Arial Black"/>
          <w:b/>
          <w:bCs/>
          <w:sz w:val="28"/>
        </w:rPr>
      </w:pPr>
      <w:r>
        <w:rPr>
          <w:rFonts w:ascii="Arial Black" w:hAnsi="Arial Black"/>
          <w:b/>
          <w:bCs/>
          <w:sz w:val="28"/>
        </w:rPr>
        <w:lastRenderedPageBreak/>
        <w:t>IL: ARSON CONVICTION REVERSED – FD INVESTIG</w:t>
      </w:r>
      <w:r w:rsidR="00142FA2">
        <w:rPr>
          <w:rFonts w:ascii="Arial Black" w:hAnsi="Arial Black"/>
          <w:b/>
          <w:bCs/>
          <w:sz w:val="28"/>
        </w:rPr>
        <w:t>A</w:t>
      </w:r>
      <w:r>
        <w:rPr>
          <w:rFonts w:ascii="Arial Black" w:hAnsi="Arial Black"/>
          <w:b/>
          <w:bCs/>
          <w:sz w:val="28"/>
        </w:rPr>
        <w:t>TOR / PD NO “MIRANDA” WARNING – CUSTODIAL INTERROGATION</w:t>
      </w:r>
    </w:p>
    <w:p w14:paraId="673D6AE4" w14:textId="77777777" w:rsidR="00455B5B" w:rsidRPr="00455B5B" w:rsidRDefault="00455B5B" w:rsidP="00455B5B">
      <w:pPr>
        <w:rPr>
          <w:rFonts w:ascii="Times New Roman" w:hAnsi="Times New Roman"/>
          <w:sz w:val="24"/>
          <w:szCs w:val="24"/>
        </w:rPr>
      </w:pPr>
      <w:r w:rsidRPr="00455B5B">
        <w:rPr>
          <w:rFonts w:ascii="Times New Roman" w:hAnsi="Times New Roman"/>
          <w:sz w:val="24"/>
          <w:szCs w:val="24"/>
        </w:rPr>
        <w:t xml:space="preserve">On Oct. 1, 2024, in </w:t>
      </w:r>
      <w:r w:rsidRPr="00455B5B">
        <w:rPr>
          <w:rFonts w:ascii="Times New Roman" w:hAnsi="Times New Roman"/>
          <w:sz w:val="24"/>
          <w:szCs w:val="24"/>
          <w:u w:val="single"/>
        </w:rPr>
        <w:t>The People of the State of Illinois v. Adriane L. Parke</w:t>
      </w:r>
      <w:r w:rsidRPr="00455B5B">
        <w:rPr>
          <w:rFonts w:ascii="Times New Roman" w:hAnsi="Times New Roman"/>
          <w:sz w:val="24"/>
          <w:szCs w:val="24"/>
        </w:rPr>
        <w:t xml:space="preserve">, the Court of Appeals of Illinois, Fifth District, held (3 to 0) that the confession by the housekeeper (also volunteer firefighter) started the fire in a room at the Drury Inn must be suppressed; jury conviction set aside but State can re-try her.   The Court wrote: “Defendant argues no reasonable, innocent person in her shoes would have felt free to stop answering [Fire Investigator Shane] Emrich’s and [Mount Vernon Police Officer Nathan] Franklin’s questions during the interrogation. The question before this court is whether a custodial interrogation, requiring </w:t>
      </w:r>
      <w:r w:rsidRPr="00455B5B">
        <w:rPr>
          <w:rFonts w:ascii="Times New Roman" w:hAnsi="Times New Roman"/>
          <w:i/>
          <w:iCs/>
          <w:sz w:val="24"/>
          <w:szCs w:val="24"/>
        </w:rPr>
        <w:t>Miranda</w:t>
      </w:r>
      <w:r w:rsidRPr="00455B5B">
        <w:rPr>
          <w:rFonts w:ascii="Times New Roman" w:hAnsi="Times New Roman"/>
          <w:sz w:val="24"/>
          <w:szCs w:val="24"/>
        </w:rPr>
        <w:t xml:space="preserve">, took place. We believe one did. *** After considering the relevant factors and the circumstances of this case, we find that defendant was subjected to a custodial interrogation, requiring Miranda, when defendant confessed to starting the fire at the Drury Inn on December 2, 2015.” </w:t>
      </w:r>
      <w:hyperlink r:id="rId102" w:history="1">
        <w:r w:rsidRPr="00455B5B">
          <w:rPr>
            <w:rStyle w:val="Hyperlink"/>
            <w:rFonts w:ascii="Times New Roman" w:hAnsi="Times New Roman"/>
            <w:sz w:val="24"/>
            <w:szCs w:val="24"/>
          </w:rPr>
          <w:t>https://ilcourtsaudio.blob.core.windows.net/antilles-resources/resources/b35fd65d-f662-4e1a-abeb-4f9e1aa279eb/People%20v.%20Parke,%202024%20IL%20App%20(5th)%20220703-U.pdf</w:t>
        </w:r>
      </w:hyperlink>
      <w:r w:rsidRPr="00455B5B">
        <w:rPr>
          <w:rFonts w:ascii="Times New Roman" w:hAnsi="Times New Roman"/>
          <w:sz w:val="24"/>
          <w:szCs w:val="24"/>
        </w:rPr>
        <w:t xml:space="preserve"> </w:t>
      </w:r>
    </w:p>
    <w:p w14:paraId="3A3AA4B7" w14:textId="77777777" w:rsidR="00455B5B" w:rsidRPr="00455B5B" w:rsidRDefault="00455B5B" w:rsidP="00455B5B">
      <w:pPr>
        <w:rPr>
          <w:rFonts w:ascii="Times New Roman" w:hAnsi="Times New Roman"/>
          <w:sz w:val="24"/>
          <w:szCs w:val="24"/>
        </w:rPr>
      </w:pPr>
      <w:r w:rsidRPr="00455B5B">
        <w:rPr>
          <w:rFonts w:ascii="Times New Roman" w:hAnsi="Times New Roman"/>
          <w:sz w:val="24"/>
          <w:szCs w:val="24"/>
        </w:rPr>
        <w:t>THE COURT HELD:</w:t>
      </w:r>
    </w:p>
    <w:p w14:paraId="76CDCBEE"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“The [interrogation room] video shows that Emrich stated at least 10 times that he did not believe defendant’s version of events and accused her of lying and withholding the truth. Similarly, Franklin interjected halfway through the interview, informing defendant that he was trained to listen to people talk. Franklin then proceeded to state to defendant at least two times that she was not telling the truth. Franklin also claimed that he and Emrich knew that defendant “intentionally” started the fire in room 603. The trial court made no mention of these facts when it denied defendant’s motion to suppress.</w:t>
      </w:r>
    </w:p>
    <w:p w14:paraId="5015664A" w14:textId="77777777" w:rsidR="00455B5B" w:rsidRPr="00455B5B" w:rsidRDefault="00455B5B" w:rsidP="00455B5B">
      <w:pPr>
        <w:pStyle w:val="NoSpacing"/>
        <w:ind w:left="720"/>
        <w:rPr>
          <w:rFonts w:ascii="Times New Roman" w:hAnsi="Times New Roman"/>
          <w:sz w:val="24"/>
          <w:szCs w:val="24"/>
        </w:rPr>
      </w:pPr>
    </w:p>
    <w:p w14:paraId="60021666"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w:t>
      </w:r>
    </w:p>
    <w:p w14:paraId="4B222803"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 xml:space="preserve">Defendant, however, testified that she encountered Franklin, a police officer wearing a badge with his gun holstered, when she first walked into the room. According to defendant, she saw Franklin for the first time ‘sitting out behind his desk with his legs propped up on the desk.’ Regardless, neither Emrich nor defendant testified that defendant knew Franklin would be present when she agreed to speak with Emrich at the fire department. </w:t>
      </w:r>
    </w:p>
    <w:p w14:paraId="7865D693" w14:textId="77777777" w:rsidR="00455B5B" w:rsidRPr="00455B5B" w:rsidRDefault="00455B5B" w:rsidP="00455B5B">
      <w:pPr>
        <w:pStyle w:val="NoSpacing"/>
        <w:ind w:left="720"/>
        <w:rPr>
          <w:rFonts w:ascii="Times New Roman" w:hAnsi="Times New Roman"/>
          <w:sz w:val="24"/>
          <w:szCs w:val="24"/>
        </w:rPr>
      </w:pPr>
    </w:p>
    <w:p w14:paraId="75E5BD49"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Defendant, instead, agreed to speak with Emrich in the presence of her husband. Importantly, defendant testified at the suppression hearing that she specifically asked Emrich on the phone—at the time she agreed to meet with Emrich—to have her husband present during the interview, stating: ‘I can’t talk—I don’t understand a lot of things and he helps me.’ Despite this, Emrich offered Jeremy a seat downstairs, indicating that Jeremy was not welcome in the interview. As such, the absence of defendant’s husband and the presence of Franklin during the interview weigh in favor of a determination that a custodial interrogation took place.</w:t>
      </w:r>
    </w:p>
    <w:p w14:paraId="099B8B57" w14:textId="77777777" w:rsidR="00455B5B" w:rsidRPr="00455B5B" w:rsidRDefault="00455B5B" w:rsidP="00455B5B">
      <w:pPr>
        <w:pStyle w:val="NoSpacing"/>
        <w:ind w:left="720"/>
        <w:rPr>
          <w:rFonts w:ascii="Times New Roman" w:hAnsi="Times New Roman"/>
          <w:sz w:val="24"/>
          <w:szCs w:val="24"/>
        </w:rPr>
      </w:pPr>
    </w:p>
    <w:p w14:paraId="2F3D38C9"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w:t>
      </w:r>
    </w:p>
    <w:p w14:paraId="5AB848FD" w14:textId="77777777" w:rsidR="00455B5B" w:rsidRPr="00455B5B" w:rsidRDefault="00455B5B" w:rsidP="00455B5B">
      <w:pPr>
        <w:pStyle w:val="NoSpacing"/>
        <w:rPr>
          <w:rFonts w:ascii="Times New Roman" w:hAnsi="Times New Roman"/>
          <w:sz w:val="24"/>
          <w:szCs w:val="24"/>
        </w:rPr>
      </w:pPr>
    </w:p>
    <w:p w14:paraId="6AD5072C"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Defendant underwent a fitness evaluation prior to trial, and Dr. Stanislaus concluded that defendant had borderline intellectual functioning. In her report, Dr. Stanislaus’s indicated that defendant’s ‘younger sister helps her with things if she cannot understand something.’ *** Based on the above reasoning, in our view, defendant’s intelligence and mental makeup weigh in favor of a finding of custodial interrogation.”</w:t>
      </w:r>
    </w:p>
    <w:p w14:paraId="0F287CD6" w14:textId="77777777" w:rsidR="00455B5B" w:rsidRPr="00455B5B" w:rsidRDefault="00455B5B" w:rsidP="00455B5B">
      <w:pPr>
        <w:pStyle w:val="NoSpacing"/>
        <w:rPr>
          <w:rFonts w:ascii="Times New Roman" w:hAnsi="Times New Roman"/>
          <w:b/>
          <w:bCs/>
          <w:sz w:val="24"/>
          <w:szCs w:val="24"/>
        </w:rPr>
      </w:pPr>
    </w:p>
    <w:p w14:paraId="1F49E839" w14:textId="7DA6E08B" w:rsidR="00455B5B" w:rsidRPr="00FE372C" w:rsidRDefault="00455B5B" w:rsidP="00455B5B">
      <w:pPr>
        <w:pStyle w:val="NoSpacing"/>
        <w:rPr>
          <w:rFonts w:ascii="Times New Roman" w:hAnsi="Times New Roman"/>
          <w:b/>
          <w:bCs/>
          <w:sz w:val="24"/>
          <w:szCs w:val="24"/>
        </w:rPr>
      </w:pPr>
      <w:r w:rsidRPr="00FE372C">
        <w:rPr>
          <w:rFonts w:ascii="Times New Roman" w:hAnsi="Times New Roman"/>
          <w:b/>
          <w:bCs/>
          <w:sz w:val="24"/>
          <w:szCs w:val="24"/>
        </w:rPr>
        <w:t xml:space="preserve">Legal Lesson Learned:  Fire Investigators and police, when conducting interview of a prime suspect, should carefully consider </w:t>
      </w:r>
      <w:r w:rsidR="00D3078F">
        <w:rPr>
          <w:rFonts w:ascii="Times New Roman" w:hAnsi="Times New Roman"/>
          <w:b/>
          <w:bCs/>
          <w:sz w:val="24"/>
          <w:szCs w:val="24"/>
        </w:rPr>
        <w:t xml:space="preserve">when to give </w:t>
      </w:r>
      <w:r w:rsidRPr="00FE372C">
        <w:rPr>
          <w:rFonts w:ascii="Times New Roman" w:hAnsi="Times New Roman"/>
          <w:b/>
          <w:bCs/>
          <w:sz w:val="24"/>
          <w:szCs w:val="24"/>
        </w:rPr>
        <w:t xml:space="preserve">a </w:t>
      </w:r>
      <w:r w:rsidRPr="00FE372C">
        <w:rPr>
          <w:rFonts w:ascii="Times New Roman" w:hAnsi="Times New Roman"/>
          <w:b/>
          <w:bCs/>
          <w:i/>
          <w:iCs/>
          <w:sz w:val="24"/>
          <w:szCs w:val="24"/>
        </w:rPr>
        <w:t xml:space="preserve">Miranda </w:t>
      </w:r>
      <w:r w:rsidRPr="00FE372C">
        <w:rPr>
          <w:rFonts w:ascii="Times New Roman" w:hAnsi="Times New Roman"/>
          <w:b/>
          <w:bCs/>
          <w:sz w:val="24"/>
          <w:szCs w:val="24"/>
        </w:rPr>
        <w:t xml:space="preserve">warning.  </w:t>
      </w:r>
    </w:p>
    <w:p w14:paraId="715E9B4F" w14:textId="77777777" w:rsidR="00455B5B" w:rsidRDefault="00455B5B" w:rsidP="00455B5B">
      <w:pPr>
        <w:pStyle w:val="NoSpacing"/>
        <w:rPr>
          <w:b/>
          <w:bCs/>
        </w:rPr>
      </w:pPr>
    </w:p>
    <w:p w14:paraId="55792646" w14:textId="77777777" w:rsidR="00455B5B" w:rsidRDefault="00455B5B" w:rsidP="00455B5B">
      <w:pPr>
        <w:pStyle w:val="NoSpacing"/>
        <w:rPr>
          <w:b/>
          <w:bCs/>
        </w:rPr>
      </w:pPr>
    </w:p>
    <w:p w14:paraId="0ED9D518" w14:textId="77777777" w:rsidR="001B6C81" w:rsidRDefault="00400F67" w:rsidP="00400F67">
      <w:pPr>
        <w:ind w:left="720"/>
        <w:rPr>
          <w:sz w:val="24"/>
          <w:szCs w:val="24"/>
        </w:rPr>
      </w:pPr>
      <w:r w:rsidRPr="00400F67">
        <w:rPr>
          <w:sz w:val="24"/>
          <w:szCs w:val="24"/>
        </w:rPr>
        <w:t>Note: See article</w:t>
      </w:r>
      <w:r w:rsidR="001B6C81">
        <w:rPr>
          <w:sz w:val="24"/>
          <w:szCs w:val="24"/>
        </w:rPr>
        <w:t>s on this case.</w:t>
      </w:r>
    </w:p>
    <w:p w14:paraId="47B62726" w14:textId="448806B2" w:rsidR="00400F67" w:rsidRPr="00400F67" w:rsidRDefault="00400F67" w:rsidP="00400F67">
      <w:pPr>
        <w:ind w:left="720"/>
        <w:rPr>
          <w:sz w:val="24"/>
          <w:szCs w:val="24"/>
        </w:rPr>
      </w:pPr>
      <w:r w:rsidRPr="00400F67">
        <w:rPr>
          <w:sz w:val="24"/>
          <w:szCs w:val="24"/>
        </w:rPr>
        <w:t xml:space="preserve">Oct. 11, 2018: </w:t>
      </w:r>
      <w:r w:rsidRPr="00400F67">
        <w:rPr>
          <w:rFonts w:ascii="Times New Roman" w:eastAsiaTheme="minorHAnsi" w:hAnsi="Times New Roman"/>
          <w:sz w:val="24"/>
          <w:szCs w:val="24"/>
        </w:rPr>
        <w:t xml:space="preserve">Christopher Woman Found Guilty of Setting Fire at Mt. Vernon Hotel </w:t>
      </w:r>
      <w:hyperlink r:id="rId103" w:history="1">
        <w:r w:rsidRPr="00400F67">
          <w:rPr>
            <w:rStyle w:val="Hyperlink"/>
            <w:sz w:val="24"/>
            <w:szCs w:val="24"/>
          </w:rPr>
          <w:t>https://www.wmix94.com/2018/10/11/christopher-woman-found-guilty-of-setting-fire-at-mt-vernon-hotel/</w:t>
        </w:r>
      </w:hyperlink>
      <w:r w:rsidRPr="00400F67">
        <w:rPr>
          <w:sz w:val="24"/>
          <w:szCs w:val="24"/>
        </w:rPr>
        <w:t xml:space="preserve"> </w:t>
      </w:r>
    </w:p>
    <w:p w14:paraId="3208B898" w14:textId="77777777" w:rsidR="00400F67" w:rsidRPr="008D4EE9" w:rsidRDefault="00400F67" w:rsidP="00400F67">
      <w:pPr>
        <w:spacing w:after="160"/>
        <w:ind w:left="720"/>
        <w:rPr>
          <w:rFonts w:ascii="Times New Roman" w:eastAsiaTheme="minorHAnsi" w:hAnsi="Times New Roman"/>
          <w:sz w:val="24"/>
          <w:szCs w:val="24"/>
        </w:rPr>
      </w:pPr>
      <w:r w:rsidRPr="00400F67">
        <w:rPr>
          <w:sz w:val="24"/>
          <w:szCs w:val="24"/>
        </w:rPr>
        <w:t xml:space="preserve">Jan. 12, 2016. </w:t>
      </w:r>
      <w:r w:rsidRPr="00400F67">
        <w:rPr>
          <w:rFonts w:ascii="Times New Roman" w:eastAsiaTheme="minorHAnsi" w:hAnsi="Times New Roman"/>
          <w:sz w:val="24"/>
          <w:szCs w:val="24"/>
        </w:rPr>
        <w:t>Christopher, IL woman arrested on arson charges</w:t>
      </w:r>
      <w:r w:rsidRPr="00400F67">
        <w:rPr>
          <w:sz w:val="24"/>
          <w:szCs w:val="24"/>
        </w:rPr>
        <w:t xml:space="preserve">. </w:t>
      </w:r>
      <w:hyperlink r:id="rId104" w:history="1">
        <w:r w:rsidRPr="00400F67">
          <w:rPr>
            <w:rStyle w:val="Hyperlink"/>
            <w:sz w:val="24"/>
            <w:szCs w:val="24"/>
          </w:rPr>
          <w:t>https://www.kfvs12.com/story/30947819/christopher-il-woman-arrested-on-arson-charges/</w:t>
        </w:r>
      </w:hyperlink>
      <w:r w:rsidRPr="008D4EE9">
        <w:rPr>
          <w:szCs w:val="24"/>
        </w:rPr>
        <w:t xml:space="preserve"> </w:t>
      </w:r>
    </w:p>
    <w:p w14:paraId="3C3F76BC" w14:textId="77777777" w:rsidR="00455B5B" w:rsidRDefault="00455B5B" w:rsidP="00B86628">
      <w:pPr>
        <w:pStyle w:val="NoSpacing"/>
        <w:rPr>
          <w:rFonts w:ascii="Arial Black" w:hAnsi="Arial Black"/>
          <w:sz w:val="24"/>
          <w:szCs w:val="24"/>
        </w:rPr>
      </w:pPr>
    </w:p>
    <w:p w14:paraId="415BE98F" w14:textId="77777777" w:rsidR="00455B5B" w:rsidRDefault="00455B5B" w:rsidP="00B86628">
      <w:pPr>
        <w:pStyle w:val="NoSpacing"/>
        <w:rPr>
          <w:rFonts w:ascii="Arial Black" w:hAnsi="Arial Black"/>
          <w:sz w:val="24"/>
          <w:szCs w:val="24"/>
        </w:rPr>
      </w:pPr>
    </w:p>
    <w:p w14:paraId="01F48A2F" w14:textId="69BAE123" w:rsidR="0011091B" w:rsidRDefault="00B33F53" w:rsidP="00B86628">
      <w:pPr>
        <w:pStyle w:val="NoSpacing"/>
        <w:rPr>
          <w:rFonts w:ascii="Arial Black" w:hAnsi="Arial Black"/>
          <w:sz w:val="24"/>
          <w:szCs w:val="24"/>
        </w:rPr>
      </w:pPr>
      <w:r>
        <w:rPr>
          <w:rFonts w:ascii="Arial Black" w:hAnsi="Arial Black"/>
          <w:sz w:val="24"/>
          <w:szCs w:val="24"/>
        </w:rPr>
        <w:t>1-158</w:t>
      </w:r>
    </w:p>
    <w:p w14:paraId="20D59B9F" w14:textId="77777777" w:rsidR="00B33F53" w:rsidRDefault="00B33F53" w:rsidP="00B86628">
      <w:pPr>
        <w:pStyle w:val="NoSpacing"/>
        <w:rPr>
          <w:rFonts w:ascii="Arial Black" w:hAnsi="Arial Black"/>
          <w:sz w:val="24"/>
          <w:szCs w:val="24"/>
        </w:rPr>
      </w:pPr>
    </w:p>
    <w:p w14:paraId="4DE34087" w14:textId="77777777" w:rsidR="00CE14C4" w:rsidRPr="00A71365" w:rsidRDefault="00CE14C4" w:rsidP="00CE14C4">
      <w:pPr>
        <w:pStyle w:val="NoSpacing"/>
        <w:rPr>
          <w:rFonts w:ascii="Arial Black" w:hAnsi="Arial Black"/>
          <w:sz w:val="28"/>
        </w:rPr>
      </w:pPr>
      <w:r w:rsidRPr="00A71365">
        <w:rPr>
          <w:rFonts w:ascii="Arial Black" w:hAnsi="Arial Black"/>
          <w:sz w:val="28"/>
        </w:rPr>
        <w:t>CA: FED</w:t>
      </w:r>
      <w:r>
        <w:rPr>
          <w:rFonts w:ascii="Arial Black" w:hAnsi="Arial Black"/>
          <w:sz w:val="28"/>
        </w:rPr>
        <w:t xml:space="preserve">ERAL GOV’T SUES </w:t>
      </w:r>
      <w:r w:rsidRPr="00A71365">
        <w:rPr>
          <w:rFonts w:ascii="Arial Black" w:hAnsi="Arial Black"/>
          <w:sz w:val="28"/>
        </w:rPr>
        <w:t>MANUF</w:t>
      </w:r>
      <w:r>
        <w:rPr>
          <w:rFonts w:ascii="Arial Black" w:hAnsi="Arial Black"/>
          <w:sz w:val="28"/>
        </w:rPr>
        <w:t xml:space="preserve">. OF </w:t>
      </w:r>
      <w:r w:rsidRPr="00A71365">
        <w:rPr>
          <w:rFonts w:ascii="Arial Black" w:hAnsi="Arial Black"/>
          <w:sz w:val="28"/>
        </w:rPr>
        <w:t>SMOKE BOMBS</w:t>
      </w:r>
      <w:r>
        <w:rPr>
          <w:rFonts w:ascii="Arial Black" w:hAnsi="Arial Black"/>
          <w:sz w:val="28"/>
        </w:rPr>
        <w:t xml:space="preserve"> – EXCESSIVE SPARKS</w:t>
      </w:r>
      <w:r w:rsidRPr="00A71365">
        <w:rPr>
          <w:rFonts w:ascii="Arial Black" w:hAnsi="Arial Black"/>
          <w:sz w:val="28"/>
        </w:rPr>
        <w:t xml:space="preserve"> –</w:t>
      </w:r>
      <w:r>
        <w:rPr>
          <w:rFonts w:ascii="Arial Black" w:hAnsi="Arial Black"/>
          <w:sz w:val="28"/>
        </w:rPr>
        <w:t xml:space="preserve"> </w:t>
      </w:r>
      <w:r w:rsidRPr="00A71365">
        <w:rPr>
          <w:rFonts w:ascii="Arial Black" w:hAnsi="Arial Black"/>
          <w:sz w:val="28"/>
        </w:rPr>
        <w:t>FOREST FIRE</w:t>
      </w:r>
      <w:r>
        <w:rPr>
          <w:rFonts w:ascii="Arial Black" w:hAnsi="Arial Black"/>
          <w:sz w:val="28"/>
        </w:rPr>
        <w:t xml:space="preserve"> / L</w:t>
      </w:r>
      <w:r w:rsidRPr="00A71365">
        <w:rPr>
          <w:rFonts w:ascii="Arial Black" w:hAnsi="Arial Black"/>
          <w:sz w:val="28"/>
        </w:rPr>
        <w:t>ODD</w:t>
      </w:r>
      <w:r>
        <w:rPr>
          <w:rFonts w:ascii="Arial Black" w:hAnsi="Arial Black"/>
          <w:sz w:val="28"/>
        </w:rPr>
        <w:t xml:space="preserve"> / </w:t>
      </w:r>
      <w:r w:rsidRPr="00A71365">
        <w:rPr>
          <w:rFonts w:ascii="Arial Black" w:hAnsi="Arial Black"/>
          <w:sz w:val="28"/>
        </w:rPr>
        <w:t xml:space="preserve">$41M </w:t>
      </w:r>
    </w:p>
    <w:p w14:paraId="222F6A9D" w14:textId="77777777" w:rsidR="00CE14C4" w:rsidRPr="00CE14C4" w:rsidRDefault="00CE14C4" w:rsidP="00CE14C4">
      <w:pPr>
        <w:pStyle w:val="NoSpacing"/>
        <w:rPr>
          <w:rFonts w:ascii="Times New Roman" w:hAnsi="Times New Roman"/>
          <w:sz w:val="24"/>
          <w:szCs w:val="24"/>
        </w:rPr>
      </w:pPr>
    </w:p>
    <w:p w14:paraId="1019CE46" w14:textId="77777777" w:rsidR="00CE14C4" w:rsidRPr="00CE14C4" w:rsidRDefault="00CE14C4" w:rsidP="00CE14C4">
      <w:pPr>
        <w:pStyle w:val="NoSpacing"/>
        <w:rPr>
          <w:rFonts w:ascii="Times New Roman" w:hAnsi="Times New Roman"/>
          <w:sz w:val="24"/>
          <w:szCs w:val="24"/>
        </w:rPr>
      </w:pPr>
      <w:r w:rsidRPr="00CE14C4">
        <w:rPr>
          <w:rFonts w:ascii="Times New Roman" w:hAnsi="Times New Roman"/>
          <w:sz w:val="24"/>
          <w:szCs w:val="24"/>
        </w:rPr>
        <w:t xml:space="preserve">On September 27, 2024, in </w:t>
      </w:r>
      <w:r w:rsidRPr="00CE14C4">
        <w:rPr>
          <w:rFonts w:ascii="Times New Roman" w:hAnsi="Times New Roman"/>
          <w:sz w:val="24"/>
          <w:szCs w:val="24"/>
          <w:u w:val="single"/>
        </w:rPr>
        <w:t>United States of America v. Wholesale Fireworks Corporation, et al</w:t>
      </w:r>
      <w:r w:rsidRPr="00CE14C4">
        <w:rPr>
          <w:rFonts w:ascii="Times New Roman" w:hAnsi="Times New Roman"/>
          <w:sz w:val="24"/>
          <w:szCs w:val="24"/>
        </w:rPr>
        <w:t xml:space="preserve">.,  United States District Court Judge Maame Ewusi-Mensah Frimpong,  U.S. District Court for Central District of California, denied Wholesale Firework Corporation’s (Hubard, Ohio) motion to dismiss; lawsuit to proceed against that corporation, as well as their distributor (American Fireworks Warehouse) and family that set off the two smoke bombs.  On Sept. 5, 2020, defendants Refugio and Angelina Jimenz set off two smoke bombs at a “gender reveal” party near the National Forest in San Bernadino; the fire destroyed 22,744 acres, damaged or destroyed 24 buildings, resulted in line-of-duty death of Charles Morton, and cost $41 million in fire suppression cost.  The Court wrote:  “[t] the United States alleges Wholesale Fireworks’ failure to properly design and manufacture the gender reveal smoke bombs resulted in the emission of excessive sparks, flames, and molten materials…. The FAC [First Amended Complaint] also alleges that Wholesale Fireworks failed to adequately provide labeling to warn of dangers or instruct on the safe use of the gender reveal smoke bombs….  Additionally, the gender reveal smoke bombs failed to bear the California State Fire Marshall Registration Seal, rendering them illegal in California….  Accordingly, the Court finds that the United States has plausibly alleged that Wholesale Fireworks breached the duty of care imposed by California and federal law.” </w:t>
      </w:r>
      <w:hyperlink r:id="rId105" w:history="1">
        <w:r w:rsidRPr="00CE14C4">
          <w:rPr>
            <w:rStyle w:val="Hyperlink"/>
            <w:rFonts w:ascii="Times New Roman" w:hAnsi="Times New Roman"/>
            <w:sz w:val="24"/>
            <w:szCs w:val="24"/>
          </w:rPr>
          <w:t>https://www.courthousenews.com/wp-content/uploads/2024/09/wholesale-fireworks-ruling.pdf</w:t>
        </w:r>
      </w:hyperlink>
      <w:r w:rsidRPr="00CE14C4">
        <w:rPr>
          <w:rFonts w:ascii="Times New Roman" w:hAnsi="Times New Roman"/>
          <w:sz w:val="24"/>
          <w:szCs w:val="24"/>
        </w:rPr>
        <w:t xml:space="preserve"> </w:t>
      </w:r>
    </w:p>
    <w:p w14:paraId="490B009C" w14:textId="77777777" w:rsidR="00CE14C4" w:rsidRPr="00CE14C4" w:rsidRDefault="00CE14C4" w:rsidP="00CE14C4">
      <w:pPr>
        <w:pStyle w:val="NoSpacing"/>
        <w:rPr>
          <w:rFonts w:ascii="Times New Roman" w:hAnsi="Times New Roman"/>
          <w:sz w:val="24"/>
          <w:szCs w:val="24"/>
        </w:rPr>
      </w:pPr>
    </w:p>
    <w:p w14:paraId="46234ED1" w14:textId="77777777" w:rsidR="00CE14C4" w:rsidRPr="00CE14C4" w:rsidRDefault="00CE14C4" w:rsidP="00CE14C4">
      <w:pPr>
        <w:pStyle w:val="NoSpacing"/>
        <w:rPr>
          <w:rFonts w:ascii="Times New Roman" w:hAnsi="Times New Roman"/>
          <w:sz w:val="24"/>
          <w:szCs w:val="24"/>
        </w:rPr>
      </w:pPr>
      <w:r w:rsidRPr="00CE14C4">
        <w:rPr>
          <w:rFonts w:ascii="Times New Roman" w:hAnsi="Times New Roman"/>
          <w:sz w:val="24"/>
          <w:szCs w:val="24"/>
        </w:rPr>
        <w:t>THE COURT HELD:</w:t>
      </w:r>
    </w:p>
    <w:p w14:paraId="53938237" w14:textId="77777777" w:rsidR="00CE14C4" w:rsidRPr="00CE14C4" w:rsidRDefault="00CE14C4" w:rsidP="00CE14C4">
      <w:pPr>
        <w:pStyle w:val="NoSpacing"/>
        <w:rPr>
          <w:rFonts w:ascii="Times New Roman" w:hAnsi="Times New Roman"/>
          <w:sz w:val="24"/>
          <w:szCs w:val="24"/>
        </w:rPr>
      </w:pPr>
    </w:p>
    <w:p w14:paraId="5CF74D19" w14:textId="77777777" w:rsidR="00CE14C4" w:rsidRDefault="00CE14C4" w:rsidP="00CE14C4">
      <w:pPr>
        <w:pStyle w:val="NoSpacing"/>
        <w:ind w:left="720"/>
        <w:rPr>
          <w:rFonts w:ascii="Times New Roman" w:hAnsi="Times New Roman"/>
          <w:sz w:val="24"/>
          <w:szCs w:val="24"/>
        </w:rPr>
      </w:pPr>
      <w:r w:rsidRPr="00CE14C4">
        <w:rPr>
          <w:rFonts w:ascii="Times New Roman" w:hAnsi="Times New Roman"/>
          <w:sz w:val="24"/>
          <w:szCs w:val="24"/>
        </w:rPr>
        <w:t xml:space="preserve">“T]he Court finds that it is plausible that Wholesale Fireworks allowed the fire to occur. If an entity knows or has reason to know of the risks that may result from the defective labeling or design of its product, yet fails to adequately provide such labeling, it follows that the entity consequently allowed for that danger to ensue. Wholesale Fireworks knew or had reason to know of the risks of fire that may result from the defective labeling or design of the gender </w:t>
      </w:r>
      <w:proofErr w:type="gramStart"/>
      <w:r w:rsidRPr="00CE14C4">
        <w:rPr>
          <w:rFonts w:ascii="Times New Roman" w:hAnsi="Times New Roman"/>
          <w:sz w:val="24"/>
          <w:szCs w:val="24"/>
        </w:rPr>
        <w:t>reveal</w:t>
      </w:r>
      <w:proofErr w:type="gramEnd"/>
      <w:r w:rsidRPr="00CE14C4">
        <w:rPr>
          <w:rFonts w:ascii="Times New Roman" w:hAnsi="Times New Roman"/>
          <w:sz w:val="24"/>
          <w:szCs w:val="24"/>
        </w:rPr>
        <w:t xml:space="preserve"> smoke bombs given </w:t>
      </w:r>
      <w:proofErr w:type="gramStart"/>
      <w:r w:rsidRPr="00CE14C4">
        <w:rPr>
          <w:rFonts w:ascii="Times New Roman" w:hAnsi="Times New Roman"/>
          <w:sz w:val="24"/>
          <w:szCs w:val="24"/>
        </w:rPr>
        <w:t>its</w:t>
      </w:r>
      <w:proofErr w:type="gramEnd"/>
      <w:r w:rsidRPr="00CE14C4">
        <w:rPr>
          <w:rFonts w:ascii="Times New Roman" w:hAnsi="Times New Roman"/>
          <w:sz w:val="24"/>
          <w:szCs w:val="24"/>
        </w:rPr>
        <w:t xml:space="preserve"> training in the industry. Wholesale Fireworks failed to adequately provide warnings </w:t>
      </w:r>
      <w:proofErr w:type="gramStart"/>
      <w:r w:rsidRPr="00CE14C4">
        <w:rPr>
          <w:rFonts w:ascii="Times New Roman" w:hAnsi="Times New Roman"/>
          <w:sz w:val="24"/>
          <w:szCs w:val="24"/>
        </w:rPr>
        <w:t>of</w:t>
      </w:r>
      <w:proofErr w:type="gramEnd"/>
      <w:r w:rsidRPr="00CE14C4">
        <w:rPr>
          <w:rFonts w:ascii="Times New Roman" w:hAnsi="Times New Roman"/>
          <w:sz w:val="24"/>
          <w:szCs w:val="24"/>
        </w:rPr>
        <w:t xml:space="preserve"> the risk of fire that may </w:t>
      </w:r>
      <w:proofErr w:type="gramStart"/>
      <w:r w:rsidRPr="00CE14C4">
        <w:rPr>
          <w:rFonts w:ascii="Times New Roman" w:hAnsi="Times New Roman"/>
          <w:sz w:val="24"/>
          <w:szCs w:val="24"/>
        </w:rPr>
        <w:t>ensue</w:t>
      </w:r>
      <w:proofErr w:type="gramEnd"/>
      <w:r w:rsidRPr="00CE14C4">
        <w:rPr>
          <w:rFonts w:ascii="Times New Roman" w:hAnsi="Times New Roman"/>
          <w:sz w:val="24"/>
          <w:szCs w:val="24"/>
        </w:rPr>
        <w:t xml:space="preserve"> from the misuse of its product, despite knowing or having reason to know of the risks of such danger. Further, this failure was in violation of the law. Therefore, Wholesale Fireworks, in essence, allowed the fire to occur.”</w:t>
      </w:r>
    </w:p>
    <w:p w14:paraId="41CAC3EA" w14:textId="77777777" w:rsidR="00BE0BB3" w:rsidRPr="00BE0BB3" w:rsidRDefault="00BE0BB3" w:rsidP="00BE0BB3">
      <w:pPr>
        <w:pStyle w:val="NoSpacing"/>
        <w:rPr>
          <w:rFonts w:ascii="Times New Roman" w:hAnsi="Times New Roman"/>
          <w:b/>
          <w:bCs/>
          <w:sz w:val="24"/>
          <w:szCs w:val="24"/>
        </w:rPr>
      </w:pPr>
      <w:r w:rsidRPr="00BE0BB3">
        <w:rPr>
          <w:rFonts w:ascii="Times New Roman" w:hAnsi="Times New Roman"/>
          <w:b/>
          <w:bCs/>
          <w:sz w:val="24"/>
          <w:szCs w:val="24"/>
        </w:rPr>
        <w:t>Legal Lesson Learned: The manufacturer of smoke bombs has a duty to warn users about the risks of excessive sparks, flames, and molten materials.</w:t>
      </w:r>
    </w:p>
    <w:p w14:paraId="6FF70DF1" w14:textId="77777777" w:rsidR="00BE0BB3" w:rsidRPr="00BE0BB3" w:rsidRDefault="00BE0BB3" w:rsidP="00BE0BB3">
      <w:pPr>
        <w:ind w:left="720"/>
        <w:rPr>
          <w:rFonts w:ascii="Times New Roman" w:hAnsi="Times New Roman"/>
          <w:sz w:val="24"/>
          <w:szCs w:val="24"/>
        </w:rPr>
      </w:pPr>
      <w:r w:rsidRPr="00BE0BB3">
        <w:rPr>
          <w:rFonts w:ascii="Times New Roman" w:hAnsi="Times New Roman"/>
          <w:sz w:val="24"/>
          <w:szCs w:val="24"/>
        </w:rPr>
        <w:t xml:space="preserve">Note: National Fallen Firefighter Foundation: “Charles Morton, squad boss on the Big Bear Interagency Hotshot Crew, died during interagency fire suppression activities on the El Dorado Fire in the San </w:t>
      </w:r>
      <w:r w:rsidRPr="00BE0BB3">
        <w:rPr>
          <w:rFonts w:ascii="Times New Roman" w:hAnsi="Times New Roman"/>
          <w:sz w:val="24"/>
          <w:szCs w:val="24"/>
        </w:rPr>
        <w:lastRenderedPageBreak/>
        <w:t xml:space="preserve">Bernardino National Forest in California on September 17, 2020. He had been a firefighter for 18 years, 14 of those with the U.S. Forest Service.” </w:t>
      </w:r>
      <w:hyperlink r:id="rId106" w:history="1">
        <w:r w:rsidRPr="00BE0BB3">
          <w:rPr>
            <w:rStyle w:val="Hyperlink"/>
            <w:rFonts w:ascii="Times New Roman" w:hAnsi="Times New Roman"/>
            <w:sz w:val="24"/>
            <w:szCs w:val="24"/>
          </w:rPr>
          <w:t>https://www.firehero.org/fallen-firefighter/charles-e-morton/</w:t>
        </w:r>
      </w:hyperlink>
      <w:r w:rsidRPr="00BE0BB3">
        <w:rPr>
          <w:rFonts w:ascii="Times New Roman" w:hAnsi="Times New Roman"/>
          <w:sz w:val="24"/>
          <w:szCs w:val="24"/>
        </w:rPr>
        <w:t xml:space="preserve"> </w:t>
      </w:r>
    </w:p>
    <w:p w14:paraId="4B6D7914" w14:textId="77777777" w:rsidR="00BE0BB3" w:rsidRPr="00CE14C4" w:rsidRDefault="00BE0BB3" w:rsidP="00CE14C4">
      <w:pPr>
        <w:pStyle w:val="NoSpacing"/>
        <w:ind w:left="720"/>
        <w:rPr>
          <w:rFonts w:ascii="Times New Roman" w:hAnsi="Times New Roman"/>
          <w:sz w:val="24"/>
          <w:szCs w:val="24"/>
        </w:rPr>
      </w:pPr>
    </w:p>
    <w:p w14:paraId="16559F1C" w14:textId="77777777" w:rsidR="00CE14C4" w:rsidRDefault="00CE14C4" w:rsidP="00CE14C4">
      <w:pPr>
        <w:pStyle w:val="NoSpacing"/>
        <w:ind w:left="720"/>
      </w:pPr>
    </w:p>
    <w:p w14:paraId="78626872" w14:textId="77777777" w:rsidR="00B33F53" w:rsidRDefault="00B33F53" w:rsidP="00B86628">
      <w:pPr>
        <w:pStyle w:val="NoSpacing"/>
        <w:rPr>
          <w:rFonts w:ascii="Arial Black" w:hAnsi="Arial Black"/>
          <w:sz w:val="24"/>
          <w:szCs w:val="24"/>
        </w:rPr>
      </w:pPr>
    </w:p>
    <w:p w14:paraId="67E8B875" w14:textId="0DCFCFC5" w:rsidR="0011091B" w:rsidRDefault="0011091B" w:rsidP="00B86628">
      <w:pPr>
        <w:pStyle w:val="NoSpacing"/>
        <w:rPr>
          <w:rFonts w:ascii="Arial Black" w:hAnsi="Arial Black"/>
          <w:sz w:val="24"/>
          <w:szCs w:val="24"/>
        </w:rPr>
      </w:pPr>
      <w:r>
        <w:rPr>
          <w:rFonts w:ascii="Arial Black" w:hAnsi="Arial Black"/>
          <w:sz w:val="24"/>
          <w:szCs w:val="24"/>
        </w:rPr>
        <w:t>1-157</w:t>
      </w:r>
    </w:p>
    <w:p w14:paraId="09C37B75" w14:textId="77777777" w:rsidR="0011091B" w:rsidRDefault="0011091B" w:rsidP="00B86628">
      <w:pPr>
        <w:pStyle w:val="NoSpacing"/>
        <w:rPr>
          <w:rFonts w:ascii="Arial Black" w:hAnsi="Arial Black"/>
          <w:sz w:val="24"/>
          <w:szCs w:val="24"/>
        </w:rPr>
      </w:pPr>
    </w:p>
    <w:p w14:paraId="6A397B91" w14:textId="77777777" w:rsidR="0011091B" w:rsidRPr="00287362" w:rsidRDefault="0011091B" w:rsidP="0011091B">
      <w:pPr>
        <w:pStyle w:val="NoSpacing"/>
        <w:rPr>
          <w:rFonts w:ascii="Arial Black" w:hAnsi="Arial Black"/>
          <w:sz w:val="28"/>
        </w:rPr>
      </w:pPr>
      <w:r>
        <w:rPr>
          <w:rFonts w:ascii="Arial Black" w:hAnsi="Arial Black"/>
          <w:sz w:val="28"/>
        </w:rPr>
        <w:t>NY: YONKRS FIRE INSPECTION FEES - LAWFUL - MULTI-FAMILY OWNERS MUST PAY UP TO $1,250 PER YEAR</w:t>
      </w:r>
    </w:p>
    <w:p w14:paraId="3A464BAF" w14:textId="77777777" w:rsidR="0011091B" w:rsidRDefault="0011091B" w:rsidP="0011091B">
      <w:pPr>
        <w:pStyle w:val="NoSpacing"/>
      </w:pPr>
    </w:p>
    <w:p w14:paraId="35D24288" w14:textId="77777777" w:rsidR="0011091B" w:rsidRPr="0011091B" w:rsidRDefault="0011091B" w:rsidP="0011091B">
      <w:pPr>
        <w:pStyle w:val="NoSpacing"/>
        <w:rPr>
          <w:rFonts w:ascii="Times New Roman" w:hAnsi="Times New Roman"/>
          <w:sz w:val="24"/>
          <w:szCs w:val="24"/>
        </w:rPr>
      </w:pPr>
      <w:r w:rsidRPr="0011091B">
        <w:rPr>
          <w:rFonts w:ascii="Times New Roman" w:hAnsi="Times New Roman"/>
          <w:sz w:val="24"/>
          <w:szCs w:val="24"/>
        </w:rPr>
        <w:t xml:space="preserve">On Sept. 18, 2024, in </w:t>
      </w:r>
      <w:r w:rsidRPr="0011091B">
        <w:rPr>
          <w:rFonts w:ascii="Times New Roman" w:hAnsi="Times New Roman"/>
          <w:sz w:val="24"/>
          <w:szCs w:val="24"/>
          <w:u w:val="single"/>
        </w:rPr>
        <w:t>WMC Realty Cop. and T.A.C. Realty Corp. v. City of Yonkers</w:t>
      </w:r>
      <w:r w:rsidRPr="0011091B">
        <w:rPr>
          <w:rFonts w:ascii="Times New Roman" w:hAnsi="Times New Roman"/>
          <w:sz w:val="24"/>
          <w:szCs w:val="24"/>
        </w:rPr>
        <w:t>, Judge William J. Giacomo, Justice of the West Chester County Supreme Court, granted the City’s motion for summary judgment. The Court wrote: “The record indicates that the total budget for the Yonkers Fire Department for Fiscal Year 2021 was $74,369,758</w:t>
      </w:r>
      <w:proofErr w:type="gramStart"/>
      <w:r w:rsidRPr="0011091B">
        <w:rPr>
          <w:rFonts w:ascii="Times New Roman" w:hAnsi="Times New Roman"/>
          <w:sz w:val="24"/>
          <w:szCs w:val="24"/>
        </w:rPr>
        <w:t>…..</w:t>
      </w:r>
      <w:proofErr w:type="gramEnd"/>
      <w:r w:rsidRPr="0011091B">
        <w:rPr>
          <w:rFonts w:ascii="Times New Roman" w:hAnsi="Times New Roman"/>
          <w:sz w:val="24"/>
          <w:szCs w:val="24"/>
        </w:rPr>
        <w:t xml:space="preserve"> the [Fire Inspection] Program cost approximately $5.8 million </w:t>
      </w:r>
      <w:proofErr w:type="gramStart"/>
      <w:r w:rsidRPr="0011091B">
        <w:rPr>
          <w:rFonts w:ascii="Times New Roman" w:hAnsi="Times New Roman"/>
          <w:sz w:val="24"/>
          <w:szCs w:val="24"/>
        </w:rPr>
        <w:t>and that</w:t>
      </w:r>
      <w:proofErr w:type="gramEnd"/>
      <w:r w:rsidRPr="0011091B">
        <w:rPr>
          <w:rFonts w:ascii="Times New Roman" w:hAnsi="Times New Roman"/>
          <w:sz w:val="24"/>
          <w:szCs w:val="24"/>
        </w:rPr>
        <w:t xml:space="preserve"> only $3.2 million in fees were collected. These mathematical figures were verified by an independent accountants' report. Thus, defendants have demonstrated that the Program fees collected far exceeded the cost of administering the Program. *** Accordingly, defendants established prima facie that the Program Fees imposed pursuant to Section 55-7 of the Yonkers Fire Code are a permissible fee rather than an unconstitutional tax and their motion for summary judgment is granted. In opposition, plaintiffs failed to raise a triable issue of fact </w:t>
      </w:r>
      <w:proofErr w:type="gramStart"/>
      <w:r w:rsidRPr="0011091B">
        <w:rPr>
          <w:rFonts w:ascii="Times New Roman" w:hAnsi="Times New Roman"/>
          <w:sz w:val="24"/>
          <w:szCs w:val="24"/>
        </w:rPr>
        <w:t>and also</w:t>
      </w:r>
      <w:proofErr w:type="gramEnd"/>
      <w:r w:rsidRPr="0011091B">
        <w:rPr>
          <w:rFonts w:ascii="Times New Roman" w:hAnsi="Times New Roman"/>
          <w:sz w:val="24"/>
          <w:szCs w:val="24"/>
        </w:rPr>
        <w:t xml:space="preserve"> fail to support their own motion for summary judgment.” </w:t>
      </w:r>
      <w:hyperlink r:id="rId107" w:history="1">
        <w:r w:rsidRPr="0011091B">
          <w:rPr>
            <w:rStyle w:val="Hyperlink"/>
            <w:rFonts w:ascii="Times New Roman" w:hAnsi="Times New Roman"/>
            <w:sz w:val="24"/>
            <w:szCs w:val="24"/>
          </w:rPr>
          <w:t>https://law.justia.com/cases/new-york/other-courts/2024/2024-ny-slip-op-51294-u.html</w:t>
        </w:r>
      </w:hyperlink>
      <w:r w:rsidRPr="0011091B">
        <w:rPr>
          <w:rFonts w:ascii="Times New Roman" w:hAnsi="Times New Roman"/>
          <w:sz w:val="24"/>
          <w:szCs w:val="24"/>
        </w:rPr>
        <w:t xml:space="preserve"> </w:t>
      </w:r>
    </w:p>
    <w:p w14:paraId="5E4F1998" w14:textId="77777777" w:rsidR="0011091B" w:rsidRPr="0011091B" w:rsidRDefault="0011091B" w:rsidP="0011091B">
      <w:pPr>
        <w:pStyle w:val="NoSpacing"/>
        <w:rPr>
          <w:rFonts w:ascii="Times New Roman" w:hAnsi="Times New Roman"/>
          <w:sz w:val="24"/>
          <w:szCs w:val="24"/>
        </w:rPr>
      </w:pPr>
    </w:p>
    <w:p w14:paraId="1B95D348" w14:textId="77777777" w:rsidR="0011091B" w:rsidRPr="0011091B" w:rsidRDefault="0011091B" w:rsidP="0011091B">
      <w:pPr>
        <w:pStyle w:val="NoSpacing"/>
        <w:rPr>
          <w:rFonts w:ascii="Times New Roman" w:hAnsi="Times New Roman"/>
          <w:sz w:val="24"/>
          <w:szCs w:val="24"/>
        </w:rPr>
      </w:pPr>
      <w:r w:rsidRPr="0011091B">
        <w:rPr>
          <w:rFonts w:ascii="Times New Roman" w:hAnsi="Times New Roman"/>
          <w:sz w:val="24"/>
          <w:szCs w:val="24"/>
        </w:rPr>
        <w:t>THE COURT HELD:</w:t>
      </w:r>
    </w:p>
    <w:p w14:paraId="5DD73CAF" w14:textId="77777777" w:rsidR="0011091B" w:rsidRPr="0011091B" w:rsidRDefault="0011091B" w:rsidP="0011091B">
      <w:pPr>
        <w:pStyle w:val="NoSpacing"/>
        <w:rPr>
          <w:rFonts w:ascii="Times New Roman" w:hAnsi="Times New Roman"/>
          <w:sz w:val="24"/>
          <w:szCs w:val="24"/>
        </w:rPr>
      </w:pPr>
    </w:p>
    <w:p w14:paraId="253FE303" w14:textId="77777777" w:rsidR="0011091B" w:rsidRPr="0011091B" w:rsidRDefault="0011091B" w:rsidP="0011091B">
      <w:pPr>
        <w:pStyle w:val="NoSpacing"/>
        <w:ind w:left="720"/>
        <w:rPr>
          <w:rFonts w:ascii="Times New Roman" w:hAnsi="Times New Roman"/>
          <w:sz w:val="24"/>
          <w:szCs w:val="24"/>
        </w:rPr>
      </w:pPr>
      <w:r w:rsidRPr="0011091B">
        <w:rPr>
          <w:rFonts w:ascii="Times New Roman" w:hAnsi="Times New Roman"/>
          <w:sz w:val="24"/>
          <w:szCs w:val="24"/>
        </w:rPr>
        <w:t xml:space="preserve">“On or about October 3, 2017, plaintiffs filed a class action complaint on their own behalf and on behalf of similarly situated plaintiffs, and a demand for declaratory judgment against defendants. The complaint alleges that the City of Yonkers created a ‘Yonkers Fire and Building Safety Inspection Program,’ </w:t>
      </w:r>
      <w:proofErr w:type="gramStart"/>
      <w:r w:rsidRPr="0011091B">
        <w:rPr>
          <w:rFonts w:ascii="Times New Roman" w:hAnsi="Times New Roman"/>
          <w:sz w:val="24"/>
          <w:szCs w:val="24"/>
        </w:rPr>
        <w:t>in order to</w:t>
      </w:r>
      <w:proofErr w:type="gramEnd"/>
      <w:r w:rsidRPr="0011091B">
        <w:rPr>
          <w:rFonts w:ascii="Times New Roman" w:hAnsi="Times New Roman"/>
          <w:sz w:val="24"/>
          <w:szCs w:val="24"/>
        </w:rPr>
        <w:t xml:space="preserve"> provide fire and safety inspections for all multi-family dwelling units within the </w:t>
      </w:r>
      <w:proofErr w:type="gramStart"/>
      <w:r w:rsidRPr="0011091B">
        <w:rPr>
          <w:rFonts w:ascii="Times New Roman" w:hAnsi="Times New Roman"/>
          <w:sz w:val="24"/>
          <w:szCs w:val="24"/>
        </w:rPr>
        <w:t>City</w:t>
      </w:r>
      <w:proofErr w:type="gramEnd"/>
      <w:r w:rsidRPr="0011091B">
        <w:rPr>
          <w:rFonts w:ascii="Times New Roman" w:hAnsi="Times New Roman"/>
          <w:sz w:val="24"/>
          <w:szCs w:val="24"/>
        </w:rPr>
        <w:t>. The Inspection Program was established pursuant to Article 18 of the Executive Law, entitled the New York State Uniform Fire Prevention and Building Code Act [*3](Uniform Act), as codified in Executive Law § 370 et seq. and the Yonkers Fire and Building Code (</w:t>
      </w:r>
      <w:r w:rsidRPr="0011091B">
        <w:rPr>
          <w:rFonts w:ascii="Times New Roman" w:hAnsi="Times New Roman"/>
          <w:i/>
          <w:iCs/>
          <w:sz w:val="24"/>
          <w:szCs w:val="24"/>
        </w:rPr>
        <w:t xml:space="preserve">see </w:t>
      </w:r>
      <w:r w:rsidRPr="0011091B">
        <w:rPr>
          <w:rFonts w:ascii="Times New Roman" w:hAnsi="Times New Roman"/>
          <w:sz w:val="24"/>
          <w:szCs w:val="24"/>
        </w:rPr>
        <w:t>Yonkers Fire and Building Code § 55-1 et seq.). Section 55-7 of the Yonkers Fire and Building Code, entitled Fees for Fire and Building Safety Inspection Program, sets forth the following:</w:t>
      </w:r>
    </w:p>
    <w:p w14:paraId="1EF4B0F9" w14:textId="77777777" w:rsidR="0011091B" w:rsidRPr="0011091B" w:rsidRDefault="0011091B" w:rsidP="0011091B">
      <w:pPr>
        <w:pStyle w:val="NoSpacing"/>
        <w:ind w:firstLine="720"/>
        <w:rPr>
          <w:rFonts w:ascii="Times New Roman" w:hAnsi="Times New Roman"/>
          <w:sz w:val="24"/>
          <w:szCs w:val="24"/>
        </w:rPr>
      </w:pPr>
    </w:p>
    <w:p w14:paraId="2C3613DB" w14:textId="77777777" w:rsidR="0011091B" w:rsidRPr="0011091B" w:rsidRDefault="0011091B" w:rsidP="0011091B">
      <w:pPr>
        <w:pStyle w:val="NoSpacing"/>
        <w:ind w:left="1440"/>
        <w:rPr>
          <w:rFonts w:ascii="Times New Roman" w:hAnsi="Times New Roman"/>
          <w:sz w:val="24"/>
          <w:szCs w:val="24"/>
        </w:rPr>
      </w:pPr>
      <w:r w:rsidRPr="0011091B">
        <w:rPr>
          <w:rFonts w:ascii="Times New Roman" w:hAnsi="Times New Roman"/>
          <w:sz w:val="24"/>
          <w:szCs w:val="24"/>
        </w:rPr>
        <w:t>‘A. In order to pay for the City of Yonkers Fire and Building Safety Inspection Program, pursuant to which authorized officers and employees of the City of Yonkers inspect residential and business and commercial properties to ensure compliance with applicable codes, including but not limited to the New York State Uniform Fire Prevention and Building Code, the Yonkers Fire and Building Code, the Yonkers Fire Prevention Code, the Multiple Residence Law and other applicable provisions of law, a schedule of fees for classes of occupancies inspected by such program is hereby established.’</w:t>
      </w:r>
    </w:p>
    <w:p w14:paraId="31A47268" w14:textId="77777777" w:rsidR="0011091B" w:rsidRPr="0011091B" w:rsidRDefault="0011091B" w:rsidP="0011091B">
      <w:pPr>
        <w:pStyle w:val="NoSpacing"/>
        <w:rPr>
          <w:rFonts w:ascii="Times New Roman" w:hAnsi="Times New Roman"/>
          <w:sz w:val="24"/>
          <w:szCs w:val="24"/>
        </w:rPr>
      </w:pPr>
      <w:r w:rsidRPr="0011091B">
        <w:rPr>
          <w:rFonts w:ascii="Times New Roman" w:hAnsi="Times New Roman"/>
          <w:sz w:val="24"/>
          <w:szCs w:val="24"/>
        </w:rPr>
        <w:tab/>
      </w:r>
    </w:p>
    <w:p w14:paraId="0CC5BBF4" w14:textId="77777777" w:rsidR="0011091B" w:rsidRPr="0011091B" w:rsidRDefault="0011091B" w:rsidP="0011091B">
      <w:pPr>
        <w:pStyle w:val="NoSpacing"/>
        <w:ind w:left="720" w:firstLine="720"/>
        <w:rPr>
          <w:rFonts w:ascii="Times New Roman" w:hAnsi="Times New Roman"/>
          <w:sz w:val="24"/>
          <w:szCs w:val="24"/>
        </w:rPr>
      </w:pPr>
      <w:r w:rsidRPr="0011091B">
        <w:rPr>
          <w:rFonts w:ascii="Times New Roman" w:hAnsi="Times New Roman"/>
          <w:sz w:val="24"/>
          <w:szCs w:val="24"/>
        </w:rPr>
        <w:t>***</w:t>
      </w:r>
    </w:p>
    <w:p w14:paraId="18C82DA6" w14:textId="77777777" w:rsidR="0011091B" w:rsidRPr="0011091B" w:rsidRDefault="0011091B" w:rsidP="0011091B">
      <w:pPr>
        <w:pStyle w:val="NoSpacing"/>
        <w:ind w:left="1440"/>
        <w:rPr>
          <w:rFonts w:ascii="Times New Roman" w:hAnsi="Times New Roman"/>
          <w:sz w:val="24"/>
          <w:szCs w:val="24"/>
        </w:rPr>
      </w:pPr>
      <w:r w:rsidRPr="0011091B">
        <w:rPr>
          <w:rFonts w:ascii="Times New Roman" w:hAnsi="Times New Roman"/>
          <w:sz w:val="24"/>
          <w:szCs w:val="24"/>
        </w:rPr>
        <w:t xml:space="preserve">Properties are required to be inspected at least once every 36 months and owners are expected to pay annual fees ranging from $250 to $1,250. The Program fees are paid by owners of real property other than </w:t>
      </w:r>
      <w:proofErr w:type="gramStart"/>
      <w:r w:rsidRPr="0011091B">
        <w:rPr>
          <w:rFonts w:ascii="Times New Roman" w:hAnsi="Times New Roman"/>
          <w:sz w:val="24"/>
          <w:szCs w:val="24"/>
        </w:rPr>
        <w:t>one and two family</w:t>
      </w:r>
      <w:proofErr w:type="gramEnd"/>
      <w:r w:rsidRPr="0011091B">
        <w:rPr>
          <w:rFonts w:ascii="Times New Roman" w:hAnsi="Times New Roman"/>
          <w:sz w:val="24"/>
          <w:szCs w:val="24"/>
        </w:rPr>
        <w:t xml:space="preserve"> dwellings and not-for-profit buildings. </w:t>
      </w:r>
    </w:p>
    <w:p w14:paraId="528C0103" w14:textId="77777777" w:rsidR="0011091B" w:rsidRPr="0011091B" w:rsidRDefault="0011091B" w:rsidP="0011091B">
      <w:pPr>
        <w:pStyle w:val="NoSpacing"/>
        <w:ind w:left="720"/>
        <w:rPr>
          <w:rFonts w:ascii="Times New Roman" w:hAnsi="Times New Roman"/>
          <w:sz w:val="24"/>
          <w:szCs w:val="24"/>
        </w:rPr>
      </w:pPr>
    </w:p>
    <w:p w14:paraId="600FA369" w14:textId="77777777" w:rsidR="0011091B" w:rsidRPr="0011091B" w:rsidRDefault="0011091B" w:rsidP="0011091B">
      <w:pPr>
        <w:pStyle w:val="NoSpacing"/>
        <w:ind w:left="720" w:firstLine="720"/>
        <w:rPr>
          <w:rFonts w:ascii="Times New Roman" w:hAnsi="Times New Roman"/>
          <w:sz w:val="24"/>
          <w:szCs w:val="24"/>
        </w:rPr>
      </w:pPr>
      <w:r w:rsidRPr="0011091B">
        <w:rPr>
          <w:rFonts w:ascii="Times New Roman" w:hAnsi="Times New Roman"/>
          <w:sz w:val="24"/>
          <w:szCs w:val="24"/>
        </w:rPr>
        <w:t>***</w:t>
      </w:r>
    </w:p>
    <w:p w14:paraId="52FCCC62" w14:textId="77777777" w:rsidR="0011091B" w:rsidRPr="0011091B" w:rsidRDefault="0011091B" w:rsidP="0011091B">
      <w:pPr>
        <w:pStyle w:val="NoSpacing"/>
        <w:ind w:left="1440"/>
        <w:rPr>
          <w:rFonts w:ascii="Times New Roman" w:hAnsi="Times New Roman"/>
          <w:sz w:val="24"/>
          <w:szCs w:val="24"/>
        </w:rPr>
      </w:pPr>
      <w:r w:rsidRPr="0011091B">
        <w:rPr>
          <w:rFonts w:ascii="Times New Roman" w:hAnsi="Times New Roman"/>
          <w:sz w:val="24"/>
          <w:szCs w:val="24"/>
        </w:rPr>
        <w:lastRenderedPageBreak/>
        <w:t>Finally, it is well established that "[l]</w:t>
      </w:r>
      <w:proofErr w:type="spellStart"/>
      <w:r w:rsidRPr="0011091B">
        <w:rPr>
          <w:rFonts w:ascii="Times New Roman" w:hAnsi="Times New Roman"/>
          <w:sz w:val="24"/>
          <w:szCs w:val="24"/>
        </w:rPr>
        <w:t>egislative</w:t>
      </w:r>
      <w:proofErr w:type="spellEnd"/>
      <w:r w:rsidRPr="0011091B">
        <w:rPr>
          <w:rFonts w:ascii="Times New Roman" w:hAnsi="Times New Roman"/>
          <w:sz w:val="24"/>
          <w:szCs w:val="24"/>
        </w:rPr>
        <w:t xml:space="preserve"> enactments enjoy a strong presumption of constitutionality. While the presumption is not irrefutable, parties challenging a duly </w:t>
      </w:r>
      <w:proofErr w:type="gramStart"/>
      <w:r w:rsidRPr="0011091B">
        <w:rPr>
          <w:rFonts w:ascii="Times New Roman" w:hAnsi="Times New Roman"/>
          <w:sz w:val="24"/>
          <w:szCs w:val="24"/>
        </w:rPr>
        <w:t>enacted [*8]</w:t>
      </w:r>
      <w:proofErr w:type="gramEnd"/>
      <w:r w:rsidRPr="0011091B">
        <w:rPr>
          <w:rFonts w:ascii="Times New Roman" w:hAnsi="Times New Roman"/>
          <w:sz w:val="24"/>
          <w:szCs w:val="24"/>
        </w:rPr>
        <w:t xml:space="preserve">statute face the initial burden of demonstrating the statute's invalidity "beyond a reasonable doubt'. </w:t>
      </w:r>
      <w:r w:rsidRPr="0011091B">
        <w:rPr>
          <w:rFonts w:ascii="Times New Roman" w:hAnsi="Times New Roman"/>
          <w:i/>
          <w:iCs/>
          <w:sz w:val="24"/>
          <w:szCs w:val="24"/>
        </w:rPr>
        <w:t>Lavalle v Hayden</w:t>
      </w:r>
      <w:r w:rsidRPr="0011091B">
        <w:rPr>
          <w:rFonts w:ascii="Times New Roman" w:hAnsi="Times New Roman"/>
          <w:sz w:val="24"/>
          <w:szCs w:val="24"/>
        </w:rPr>
        <w:t xml:space="preserve">, 98 NY2d 155, 161 (2002) (internal quotation marks and citations omitted).Plaintiffs also claim the statute is "invalid" because they allegedly never received an inspection. To the extent that plaintiffs could even maintain this argument separate from claiming a private cause of action, plaintiffs have not met their burden to demonstrate the statute's invalidity beyond a reasonable doubt. First, thousands of properties are subject to </w:t>
      </w:r>
      <w:proofErr w:type="gramStart"/>
      <w:r w:rsidRPr="0011091B">
        <w:rPr>
          <w:rFonts w:ascii="Times New Roman" w:hAnsi="Times New Roman"/>
          <w:sz w:val="24"/>
          <w:szCs w:val="24"/>
        </w:rPr>
        <w:t>inspection</w:t>
      </w:r>
      <w:proofErr w:type="gramEnd"/>
      <w:r w:rsidRPr="0011091B">
        <w:rPr>
          <w:rFonts w:ascii="Times New Roman" w:hAnsi="Times New Roman"/>
          <w:sz w:val="24"/>
          <w:szCs w:val="24"/>
        </w:rPr>
        <w:t xml:space="preserve"> and it is undisputed that there are some written records for inspections. As a result, the alleged failure to inspect one property would not render a statute unconstitutional. Next, the record indicates that plaintiffs' properties were visited and inspected. The owner of the properties, an absentee landlord, testified that he was unaware of any visits by the Fire Department and testified that his tenants do not usually tell him if the Fire Department has visited. Therefore, plaintiffs have failed to prove beyond a reasonable doubt that there were missed inspections. Although there does not appear to be a uniform way the different City Fire Departments document violations and inspections, a motion for summary judgment is not the proper way to challenge a lack of systemic protocols.”</w:t>
      </w:r>
    </w:p>
    <w:p w14:paraId="4739B241" w14:textId="77777777" w:rsidR="0011091B" w:rsidRDefault="0011091B" w:rsidP="0011091B">
      <w:pPr>
        <w:pStyle w:val="NoSpacing"/>
        <w:ind w:left="720"/>
      </w:pPr>
    </w:p>
    <w:p w14:paraId="389A94B7" w14:textId="77777777" w:rsidR="00B33F53" w:rsidRPr="00B33F53" w:rsidRDefault="00B33F53" w:rsidP="00B33F53">
      <w:pPr>
        <w:pStyle w:val="NoSpacing"/>
        <w:rPr>
          <w:rFonts w:ascii="Times New Roman" w:hAnsi="Times New Roman"/>
          <w:b/>
          <w:bCs/>
          <w:sz w:val="24"/>
          <w:szCs w:val="24"/>
        </w:rPr>
      </w:pPr>
      <w:r w:rsidRPr="00B33F53">
        <w:rPr>
          <w:rFonts w:ascii="Times New Roman" w:hAnsi="Times New Roman"/>
          <w:b/>
          <w:bCs/>
          <w:sz w:val="24"/>
          <w:szCs w:val="24"/>
        </w:rPr>
        <w:t xml:space="preserve">Legal Lesson Learned:  State law requiring payment of annual fire inspection fee is lawful. </w:t>
      </w:r>
    </w:p>
    <w:p w14:paraId="31858484" w14:textId="77777777" w:rsidR="0011091B" w:rsidRDefault="0011091B" w:rsidP="00B86628">
      <w:pPr>
        <w:pStyle w:val="NoSpacing"/>
        <w:rPr>
          <w:rFonts w:ascii="Arial Black" w:hAnsi="Arial Black"/>
          <w:sz w:val="24"/>
          <w:szCs w:val="24"/>
        </w:rPr>
      </w:pPr>
    </w:p>
    <w:p w14:paraId="2670C5EF" w14:textId="77777777" w:rsidR="0011091B" w:rsidRDefault="0011091B" w:rsidP="00B86628">
      <w:pPr>
        <w:pStyle w:val="NoSpacing"/>
        <w:rPr>
          <w:rFonts w:ascii="Arial Black" w:hAnsi="Arial Black"/>
          <w:sz w:val="24"/>
          <w:szCs w:val="24"/>
        </w:rPr>
      </w:pPr>
    </w:p>
    <w:p w14:paraId="1DC154D1" w14:textId="77777777" w:rsidR="0011091B" w:rsidRDefault="0011091B" w:rsidP="00B86628">
      <w:pPr>
        <w:pStyle w:val="NoSpacing"/>
        <w:rPr>
          <w:rFonts w:ascii="Arial Black" w:hAnsi="Arial Black"/>
          <w:sz w:val="24"/>
          <w:szCs w:val="24"/>
        </w:rPr>
      </w:pPr>
    </w:p>
    <w:p w14:paraId="76180A73" w14:textId="4F662C61" w:rsidR="00C443C1" w:rsidRDefault="00C443C1" w:rsidP="00B86628">
      <w:pPr>
        <w:pStyle w:val="NoSpacing"/>
        <w:rPr>
          <w:rFonts w:ascii="Arial Black" w:hAnsi="Arial Black"/>
          <w:sz w:val="24"/>
          <w:szCs w:val="24"/>
        </w:rPr>
      </w:pPr>
      <w:r>
        <w:rPr>
          <w:rFonts w:ascii="Arial Black" w:hAnsi="Arial Black"/>
          <w:sz w:val="24"/>
          <w:szCs w:val="24"/>
        </w:rPr>
        <w:t>1-156</w:t>
      </w:r>
    </w:p>
    <w:p w14:paraId="2995E35A" w14:textId="77777777" w:rsidR="00C443C1" w:rsidRDefault="00C443C1" w:rsidP="00B86628">
      <w:pPr>
        <w:pStyle w:val="NoSpacing"/>
        <w:rPr>
          <w:rFonts w:ascii="Arial Black" w:hAnsi="Arial Black"/>
          <w:sz w:val="24"/>
          <w:szCs w:val="24"/>
        </w:rPr>
      </w:pPr>
    </w:p>
    <w:p w14:paraId="2F229D67" w14:textId="0006342D" w:rsidR="005C3A2A" w:rsidRPr="00752E25" w:rsidRDefault="005C3A2A" w:rsidP="005C3A2A">
      <w:pPr>
        <w:pStyle w:val="NoSpacing"/>
        <w:rPr>
          <w:rFonts w:ascii="Arial Black" w:hAnsi="Arial Black"/>
          <w:sz w:val="28"/>
        </w:rPr>
      </w:pPr>
      <w:r w:rsidRPr="00752E25">
        <w:rPr>
          <w:rFonts w:ascii="Arial Black" w:hAnsi="Arial Black"/>
          <w:sz w:val="28"/>
        </w:rPr>
        <w:t xml:space="preserve">OH: MATTRESS FIRE – WOMAN SERVED 6 YRS OHIO PRISON - FD INVESTIGATOR: TWO FIRES – DEFENSE EXPERT: FALSE, </w:t>
      </w:r>
      <w:r w:rsidR="007D62C3" w:rsidRPr="00752E25">
        <w:rPr>
          <w:rFonts w:ascii="Arial Black" w:hAnsi="Arial Black"/>
          <w:sz w:val="28"/>
        </w:rPr>
        <w:t xml:space="preserve">ONLY </w:t>
      </w:r>
      <w:r w:rsidRPr="00752E25">
        <w:rPr>
          <w:rFonts w:ascii="Arial Black" w:hAnsi="Arial Black"/>
          <w:sz w:val="28"/>
        </w:rPr>
        <w:t>ONE FIRE</w:t>
      </w:r>
    </w:p>
    <w:p w14:paraId="5DFD41EC" w14:textId="77777777" w:rsidR="005C3A2A" w:rsidRDefault="005C3A2A" w:rsidP="005C3A2A">
      <w:pPr>
        <w:pStyle w:val="NoSpacing"/>
        <w:rPr>
          <w:szCs w:val="24"/>
        </w:rPr>
      </w:pPr>
    </w:p>
    <w:p w14:paraId="57D6DBD7" w14:textId="77777777" w:rsidR="005C3A2A" w:rsidRPr="005C3A2A" w:rsidRDefault="005C3A2A" w:rsidP="005C3A2A">
      <w:pPr>
        <w:pStyle w:val="NoSpacing"/>
        <w:rPr>
          <w:rFonts w:ascii="Times New Roman" w:hAnsi="Times New Roman"/>
          <w:sz w:val="24"/>
          <w:szCs w:val="24"/>
        </w:rPr>
      </w:pPr>
      <w:r w:rsidRPr="005C3A2A">
        <w:rPr>
          <w:rFonts w:ascii="Times New Roman" w:hAnsi="Times New Roman"/>
          <w:sz w:val="24"/>
          <w:szCs w:val="24"/>
        </w:rPr>
        <w:t xml:space="preserve">On August 26, 2024, in </w:t>
      </w:r>
      <w:r w:rsidRPr="005C3A2A">
        <w:rPr>
          <w:rFonts w:ascii="Times New Roman" w:hAnsi="Times New Roman"/>
          <w:sz w:val="24"/>
          <w:szCs w:val="24"/>
          <w:u w:val="single"/>
        </w:rPr>
        <w:t xml:space="preserve">Kayla Jean Ayers v. Ohio Department of Rehabilitation </w:t>
      </w:r>
      <w:proofErr w:type="gramStart"/>
      <w:r w:rsidRPr="005C3A2A">
        <w:rPr>
          <w:rFonts w:ascii="Times New Roman" w:hAnsi="Times New Roman"/>
          <w:sz w:val="24"/>
          <w:szCs w:val="24"/>
          <w:u w:val="single"/>
        </w:rPr>
        <w:t>And</w:t>
      </w:r>
      <w:proofErr w:type="gramEnd"/>
      <w:r w:rsidRPr="005C3A2A">
        <w:rPr>
          <w:rFonts w:ascii="Times New Roman" w:hAnsi="Times New Roman"/>
          <w:sz w:val="24"/>
          <w:szCs w:val="24"/>
          <w:u w:val="single"/>
        </w:rPr>
        <w:t xml:space="preserve"> Corrections</w:t>
      </w:r>
      <w:r w:rsidRPr="005C3A2A">
        <w:rPr>
          <w:rFonts w:ascii="Times New Roman" w:hAnsi="Times New Roman"/>
          <w:sz w:val="24"/>
          <w:szCs w:val="24"/>
        </w:rPr>
        <w:t xml:space="preserve">, the U.S. Court of Appeals for the Sixth Circuit (Cincinnati), held (3 to 0) that the former prisoner is entitled habeas corpus relief, so she no longer </w:t>
      </w:r>
      <w:proofErr w:type="gramStart"/>
      <w:r w:rsidRPr="005C3A2A">
        <w:rPr>
          <w:rFonts w:ascii="Times New Roman" w:hAnsi="Times New Roman"/>
          <w:sz w:val="24"/>
          <w:szCs w:val="24"/>
        </w:rPr>
        <w:t>has to</w:t>
      </w:r>
      <w:proofErr w:type="gramEnd"/>
      <w:r w:rsidRPr="005C3A2A">
        <w:rPr>
          <w:rFonts w:ascii="Times New Roman" w:hAnsi="Times New Roman"/>
          <w:sz w:val="24"/>
          <w:szCs w:val="24"/>
        </w:rPr>
        <w:t xml:space="preserve"> register annually as an arson offender; can possess a firearm.  Her court-appointed trial attorney was ineffective in not retaining an expert witness concerning the mattress fire in basement on Oct. 3, </w:t>
      </w:r>
      <w:proofErr w:type="gramStart"/>
      <w:r w:rsidRPr="005C3A2A">
        <w:rPr>
          <w:rFonts w:ascii="Times New Roman" w:hAnsi="Times New Roman"/>
          <w:sz w:val="24"/>
          <w:szCs w:val="24"/>
        </w:rPr>
        <w:t>2012</w:t>
      </w:r>
      <w:proofErr w:type="gramEnd"/>
      <w:r w:rsidRPr="005C3A2A">
        <w:rPr>
          <w:rFonts w:ascii="Times New Roman" w:hAnsi="Times New Roman"/>
          <w:sz w:val="24"/>
          <w:szCs w:val="24"/>
        </w:rPr>
        <w:t xml:space="preserve"> which Massillon FD extinguished.  While Ayers was still in prison, the Ohio Innocence Project reviewed the case and consulted with “renowned fire-inspection expert John Lentini (Lentini is one of the principal authors of NFPA 921).” He concluded in his July 29, </w:t>
      </w:r>
      <w:proofErr w:type="gramStart"/>
      <w:r w:rsidRPr="005C3A2A">
        <w:rPr>
          <w:rFonts w:ascii="Times New Roman" w:hAnsi="Times New Roman"/>
          <w:sz w:val="24"/>
          <w:szCs w:val="24"/>
        </w:rPr>
        <w:t>2019</w:t>
      </w:r>
      <w:proofErr w:type="gramEnd"/>
      <w:r w:rsidRPr="005C3A2A">
        <w:rPr>
          <w:rFonts w:ascii="Times New Roman" w:hAnsi="Times New Roman"/>
          <w:sz w:val="24"/>
          <w:szCs w:val="24"/>
        </w:rPr>
        <w:t xml:space="preserve"> report that there were not two separate fires on the mattress.  The Court wrote: “Lentini is one of the principal authors of NFPA 921, the manual that [Fire Inspector Reginald] Winters relied on in formulating his opinions. In his report, Lentini opined that ‘[t]here [was] no evidence that [two fires] were ‘simultaneously burning’ and that ‘[t]he damage [was] indistinguishable from damage caused by normal fire spread from a single point of origin,’ undermining the State’s theory that the fire had been started intentionally Lentini also questioned Winters’s qualifications to testify about the fire’s cause, stating that Winters’s methods were ‘unreliable, unscientific, and at odds with generally accepted fire investigation methodology.’ *** The district court clearly erred in finding that Lentini’s report did not establish the factual predicate for Ayers’s ineffective-assistance claim.” </w:t>
      </w:r>
      <w:hyperlink r:id="rId108" w:history="1">
        <w:r w:rsidRPr="005C3A2A">
          <w:rPr>
            <w:rStyle w:val="Hyperlink"/>
            <w:rFonts w:ascii="Times New Roman" w:hAnsi="Times New Roman"/>
            <w:sz w:val="24"/>
            <w:szCs w:val="24"/>
          </w:rPr>
          <w:t>https://www.opn.ca6.uscourts.gov/opinions.pdf/24a0196p-06.pdf</w:t>
        </w:r>
      </w:hyperlink>
      <w:r w:rsidRPr="005C3A2A">
        <w:rPr>
          <w:rFonts w:ascii="Times New Roman" w:hAnsi="Times New Roman"/>
          <w:sz w:val="24"/>
          <w:szCs w:val="24"/>
        </w:rPr>
        <w:t xml:space="preserve"> </w:t>
      </w:r>
    </w:p>
    <w:p w14:paraId="68BCB087" w14:textId="77777777" w:rsidR="005C3A2A" w:rsidRPr="005C3A2A" w:rsidRDefault="005C3A2A" w:rsidP="005C3A2A">
      <w:pPr>
        <w:pStyle w:val="NoSpacing"/>
        <w:rPr>
          <w:rFonts w:ascii="Times New Roman" w:hAnsi="Times New Roman"/>
          <w:sz w:val="24"/>
          <w:szCs w:val="24"/>
        </w:rPr>
      </w:pPr>
    </w:p>
    <w:p w14:paraId="29CD1AB0" w14:textId="77777777" w:rsidR="005C3A2A" w:rsidRPr="005C3A2A" w:rsidRDefault="005C3A2A" w:rsidP="005C3A2A">
      <w:pPr>
        <w:pStyle w:val="NoSpacing"/>
        <w:rPr>
          <w:rFonts w:ascii="Times New Roman" w:hAnsi="Times New Roman"/>
          <w:sz w:val="24"/>
          <w:szCs w:val="24"/>
        </w:rPr>
      </w:pPr>
      <w:r w:rsidRPr="005C3A2A">
        <w:rPr>
          <w:rFonts w:ascii="Times New Roman" w:hAnsi="Times New Roman"/>
          <w:sz w:val="24"/>
          <w:szCs w:val="24"/>
        </w:rPr>
        <w:t>THE COURT HELD:</w:t>
      </w:r>
    </w:p>
    <w:p w14:paraId="3C859E24" w14:textId="77777777" w:rsidR="005C3A2A" w:rsidRPr="005C3A2A" w:rsidRDefault="005C3A2A" w:rsidP="005C3A2A">
      <w:pPr>
        <w:pStyle w:val="NoSpacing"/>
        <w:rPr>
          <w:rFonts w:ascii="Times New Roman" w:hAnsi="Times New Roman"/>
          <w:sz w:val="24"/>
          <w:szCs w:val="24"/>
        </w:rPr>
      </w:pPr>
    </w:p>
    <w:p w14:paraId="6D109A80" w14:textId="77777777" w:rsidR="005C3A2A" w:rsidRPr="005C3A2A" w:rsidRDefault="005C3A2A" w:rsidP="005C3A2A">
      <w:pPr>
        <w:pStyle w:val="NoSpacing"/>
        <w:ind w:left="720"/>
        <w:rPr>
          <w:rFonts w:ascii="Times New Roman" w:hAnsi="Times New Roman"/>
          <w:sz w:val="24"/>
          <w:szCs w:val="24"/>
        </w:rPr>
      </w:pPr>
      <w:r w:rsidRPr="005C3A2A">
        <w:rPr>
          <w:rFonts w:ascii="Times New Roman" w:hAnsi="Times New Roman"/>
          <w:sz w:val="24"/>
          <w:szCs w:val="24"/>
        </w:rPr>
        <w:t xml:space="preserve">“Although Ayers was released from prison in 2019 and completed post-release control in 2022, she continues to suffer collateral consequences for her felony arson conviction. See, e.g., Ohio Rev. Code </w:t>
      </w:r>
      <w:r w:rsidRPr="005C3A2A">
        <w:rPr>
          <w:rFonts w:ascii="Times New Roman" w:hAnsi="Times New Roman"/>
          <w:sz w:val="24"/>
          <w:szCs w:val="24"/>
        </w:rPr>
        <w:lastRenderedPageBreak/>
        <w:t>Ann. § 2909.15(D)(2) (requiring arson offenders to register annually with the state ‘until the offender’s death’); 18 U.S.C. § 922(g)(1) (prohibiting convicted felons from possessing firearms).</w:t>
      </w:r>
    </w:p>
    <w:p w14:paraId="31040F05" w14:textId="77777777" w:rsidR="005C3A2A" w:rsidRPr="005C3A2A" w:rsidRDefault="005C3A2A" w:rsidP="005C3A2A">
      <w:pPr>
        <w:pStyle w:val="NoSpacing"/>
        <w:ind w:left="720"/>
        <w:rPr>
          <w:rFonts w:ascii="Times New Roman" w:hAnsi="Times New Roman"/>
          <w:sz w:val="24"/>
          <w:szCs w:val="24"/>
        </w:rPr>
      </w:pPr>
    </w:p>
    <w:p w14:paraId="03C109AA" w14:textId="77777777" w:rsidR="005C3A2A" w:rsidRPr="005C3A2A" w:rsidRDefault="005C3A2A" w:rsidP="005C3A2A">
      <w:pPr>
        <w:pStyle w:val="NoSpacing"/>
        <w:ind w:left="720"/>
        <w:rPr>
          <w:rFonts w:ascii="Times New Roman" w:hAnsi="Times New Roman"/>
          <w:sz w:val="24"/>
          <w:szCs w:val="24"/>
        </w:rPr>
      </w:pPr>
      <w:r w:rsidRPr="005C3A2A">
        <w:rPr>
          <w:rFonts w:ascii="Times New Roman" w:hAnsi="Times New Roman"/>
          <w:sz w:val="24"/>
          <w:szCs w:val="24"/>
        </w:rPr>
        <w:t>***</w:t>
      </w:r>
    </w:p>
    <w:p w14:paraId="1F9C5FE1" w14:textId="77777777" w:rsidR="005C3A2A" w:rsidRPr="005C3A2A" w:rsidRDefault="005C3A2A" w:rsidP="005C3A2A">
      <w:pPr>
        <w:pStyle w:val="NoSpacing"/>
        <w:rPr>
          <w:rFonts w:ascii="Times New Roman" w:hAnsi="Times New Roman"/>
          <w:sz w:val="24"/>
          <w:szCs w:val="24"/>
        </w:rPr>
      </w:pPr>
    </w:p>
    <w:p w14:paraId="4D16F927" w14:textId="77777777" w:rsidR="005C3A2A" w:rsidRPr="005C3A2A" w:rsidRDefault="005C3A2A" w:rsidP="005C3A2A">
      <w:pPr>
        <w:pStyle w:val="NoSpacing"/>
        <w:ind w:left="720"/>
        <w:rPr>
          <w:rFonts w:ascii="Times New Roman" w:hAnsi="Times New Roman"/>
          <w:sz w:val="24"/>
          <w:szCs w:val="24"/>
        </w:rPr>
      </w:pPr>
      <w:r w:rsidRPr="005C3A2A">
        <w:rPr>
          <w:rFonts w:ascii="Times New Roman" w:hAnsi="Times New Roman"/>
          <w:sz w:val="24"/>
          <w:szCs w:val="24"/>
        </w:rPr>
        <w:t>And Lentini’s report posits that Winters was not qualified to testify about the fire’s cause and that his conclusion that the fire had two ignition points was not based on sound scientific methodology. Indeed, such evidence could have resulted in Ayers’s acquittal.”</w:t>
      </w:r>
    </w:p>
    <w:p w14:paraId="0F8C34C3" w14:textId="77777777" w:rsidR="005C3A2A" w:rsidRPr="005C3A2A" w:rsidRDefault="005C3A2A" w:rsidP="005C3A2A">
      <w:pPr>
        <w:pStyle w:val="NoSpacing"/>
        <w:ind w:left="720"/>
        <w:rPr>
          <w:rFonts w:ascii="Times New Roman" w:hAnsi="Times New Roman"/>
          <w:sz w:val="24"/>
          <w:szCs w:val="24"/>
        </w:rPr>
      </w:pPr>
    </w:p>
    <w:p w14:paraId="10D0CFDF" w14:textId="77777777" w:rsidR="005C3A2A" w:rsidRPr="005C3A2A" w:rsidRDefault="005C3A2A" w:rsidP="005C3A2A">
      <w:pPr>
        <w:pStyle w:val="NoSpacing"/>
        <w:rPr>
          <w:rFonts w:ascii="Times New Roman" w:hAnsi="Times New Roman"/>
          <w:b/>
          <w:bCs/>
          <w:sz w:val="24"/>
          <w:szCs w:val="24"/>
        </w:rPr>
      </w:pPr>
      <w:r w:rsidRPr="005C3A2A">
        <w:rPr>
          <w:rFonts w:ascii="Times New Roman" w:hAnsi="Times New Roman"/>
          <w:b/>
          <w:bCs/>
          <w:sz w:val="24"/>
          <w:szCs w:val="24"/>
        </w:rPr>
        <w:t xml:space="preserve">Legal Lesson Learned: Arson investigators must be qualified and base their testimony on scientific evidence. </w:t>
      </w:r>
    </w:p>
    <w:p w14:paraId="35C345E0" w14:textId="77777777" w:rsidR="005C3A2A" w:rsidRPr="005C3A2A" w:rsidRDefault="005C3A2A" w:rsidP="005C3A2A">
      <w:pPr>
        <w:pStyle w:val="NoSpacing"/>
        <w:rPr>
          <w:rFonts w:ascii="Times New Roman" w:hAnsi="Times New Roman"/>
          <w:sz w:val="24"/>
          <w:szCs w:val="24"/>
        </w:rPr>
      </w:pPr>
    </w:p>
    <w:p w14:paraId="36B88CEB" w14:textId="77777777" w:rsidR="000338D1" w:rsidRPr="00557963" w:rsidRDefault="000338D1" w:rsidP="000338D1">
      <w:pPr>
        <w:pStyle w:val="NoSpacing"/>
        <w:ind w:left="720"/>
        <w:rPr>
          <w:rFonts w:ascii="Times New Roman" w:hAnsi="Times New Roman"/>
          <w:sz w:val="24"/>
          <w:szCs w:val="24"/>
        </w:rPr>
      </w:pPr>
      <w:r w:rsidRPr="00557963">
        <w:rPr>
          <w:rFonts w:ascii="Times New Roman" w:hAnsi="Times New Roman"/>
          <w:sz w:val="24"/>
          <w:szCs w:val="24"/>
        </w:rPr>
        <w:t>Note: See articles on this case.</w:t>
      </w:r>
    </w:p>
    <w:p w14:paraId="6102DBC0" w14:textId="77777777" w:rsidR="000338D1" w:rsidRPr="00557963" w:rsidRDefault="000338D1" w:rsidP="000338D1">
      <w:pPr>
        <w:pStyle w:val="NoSpacing"/>
        <w:ind w:left="720"/>
        <w:rPr>
          <w:rFonts w:ascii="Times New Roman" w:hAnsi="Times New Roman"/>
          <w:sz w:val="24"/>
          <w:szCs w:val="24"/>
        </w:rPr>
      </w:pPr>
    </w:p>
    <w:p w14:paraId="45B5406C" w14:textId="77777777" w:rsidR="000338D1" w:rsidRDefault="000338D1" w:rsidP="000338D1">
      <w:pPr>
        <w:pStyle w:val="NoSpacing"/>
        <w:ind w:left="720"/>
        <w:rPr>
          <w:rFonts w:ascii="Times New Roman" w:hAnsi="Times New Roman"/>
          <w:sz w:val="24"/>
          <w:szCs w:val="24"/>
        </w:rPr>
      </w:pPr>
      <w:r w:rsidRPr="00557963">
        <w:rPr>
          <w:rFonts w:ascii="Times New Roman" w:hAnsi="Times New Roman"/>
          <w:sz w:val="24"/>
          <w:szCs w:val="24"/>
        </w:rPr>
        <w:t xml:space="preserve">Sept. 4, 2024: Biden Judge Writes Unanimous Opinion Letting Indigent Woman Challenge Her Conviction </w:t>
      </w:r>
      <w:proofErr w:type="gramStart"/>
      <w:r w:rsidRPr="00557963">
        <w:rPr>
          <w:rFonts w:ascii="Times New Roman" w:hAnsi="Times New Roman"/>
          <w:sz w:val="24"/>
          <w:szCs w:val="24"/>
        </w:rPr>
        <w:t>As</w:t>
      </w:r>
      <w:proofErr w:type="gramEnd"/>
      <w:r w:rsidRPr="00557963">
        <w:rPr>
          <w:rFonts w:ascii="Times New Roman" w:hAnsi="Times New Roman"/>
          <w:sz w:val="24"/>
          <w:szCs w:val="24"/>
        </w:rPr>
        <w:t xml:space="preserve"> Unfairly Based on Testimony from an Unqualified Expert. </w:t>
      </w:r>
    </w:p>
    <w:p w14:paraId="557549BF" w14:textId="77777777" w:rsidR="000338D1" w:rsidRDefault="000338D1" w:rsidP="000338D1">
      <w:pPr>
        <w:pStyle w:val="NoSpacing"/>
        <w:ind w:left="720"/>
        <w:rPr>
          <w:rFonts w:ascii="Times New Roman" w:hAnsi="Times New Roman"/>
          <w:sz w:val="24"/>
          <w:szCs w:val="24"/>
        </w:rPr>
      </w:pPr>
      <w:r>
        <w:rPr>
          <w:rFonts w:ascii="Times New Roman" w:hAnsi="Times New Roman"/>
          <w:sz w:val="24"/>
          <w:szCs w:val="24"/>
        </w:rPr>
        <w:t>“</w:t>
      </w:r>
      <w:r w:rsidRPr="00AE5532">
        <w:rPr>
          <w:rFonts w:ascii="Times New Roman" w:hAnsi="Times New Roman"/>
          <w:sz w:val="24"/>
          <w:szCs w:val="24"/>
        </w:rPr>
        <w:t>Judge Andre Mathis, who was nominated by President Biden to the Sixth Circuit court of appeals, wrote a unanimous opinion that reversed a lower court and allowed an indigent woman to proceed with her post-conviction claim that her trial counsel was constitutionally ineffective because he failed to claim that the fire inspector who provided critical testimony that led to her arson conviction was unqualified.</w:t>
      </w:r>
      <w:r>
        <w:rPr>
          <w:rFonts w:ascii="Times New Roman" w:hAnsi="Times New Roman"/>
          <w:sz w:val="24"/>
          <w:szCs w:val="24"/>
        </w:rPr>
        <w:t xml:space="preserve">” </w:t>
      </w:r>
    </w:p>
    <w:p w14:paraId="0F9B0E6A" w14:textId="77777777" w:rsidR="000338D1" w:rsidRPr="00557963" w:rsidRDefault="000338D1" w:rsidP="000338D1">
      <w:pPr>
        <w:pStyle w:val="NoSpacing"/>
        <w:ind w:left="720"/>
        <w:rPr>
          <w:rFonts w:ascii="Times New Roman" w:hAnsi="Times New Roman"/>
          <w:sz w:val="24"/>
          <w:szCs w:val="24"/>
        </w:rPr>
      </w:pPr>
      <w:hyperlink r:id="rId109" w:history="1">
        <w:r w:rsidRPr="00C56BB9">
          <w:rPr>
            <w:rStyle w:val="Hyperlink"/>
            <w:rFonts w:ascii="Times New Roman" w:hAnsi="Times New Roman"/>
            <w:sz w:val="24"/>
            <w:szCs w:val="24"/>
          </w:rPr>
          <w:t>https://www.peoplefor.org/biden-judge-writes-unanimous-opinion-letting-indigent-woman-challenge-her-conviction-unfairly-based</w:t>
        </w:r>
      </w:hyperlink>
      <w:r w:rsidRPr="00557963">
        <w:rPr>
          <w:rFonts w:ascii="Times New Roman" w:hAnsi="Times New Roman"/>
          <w:sz w:val="24"/>
          <w:szCs w:val="24"/>
        </w:rPr>
        <w:t xml:space="preserve"> </w:t>
      </w:r>
    </w:p>
    <w:p w14:paraId="4A84ACCF" w14:textId="77777777" w:rsidR="000338D1" w:rsidRPr="00557963" w:rsidRDefault="000338D1" w:rsidP="000338D1">
      <w:pPr>
        <w:pStyle w:val="NoSpacing"/>
        <w:ind w:left="720"/>
        <w:rPr>
          <w:rFonts w:ascii="Times New Roman" w:hAnsi="Times New Roman"/>
          <w:sz w:val="24"/>
          <w:szCs w:val="24"/>
        </w:rPr>
      </w:pPr>
    </w:p>
    <w:p w14:paraId="5EE652CB" w14:textId="77777777" w:rsidR="000338D1" w:rsidRPr="00557963" w:rsidRDefault="000338D1" w:rsidP="000338D1">
      <w:pPr>
        <w:pStyle w:val="NoSpacing"/>
        <w:ind w:left="720"/>
        <w:rPr>
          <w:rFonts w:ascii="Times New Roman" w:hAnsi="Times New Roman"/>
          <w:sz w:val="24"/>
          <w:szCs w:val="24"/>
        </w:rPr>
      </w:pPr>
    </w:p>
    <w:p w14:paraId="45032E88" w14:textId="77777777" w:rsidR="000338D1" w:rsidRPr="00557963" w:rsidRDefault="000338D1" w:rsidP="000338D1">
      <w:pPr>
        <w:pStyle w:val="NoSpacing"/>
        <w:ind w:left="720"/>
        <w:rPr>
          <w:rFonts w:ascii="Times New Roman" w:hAnsi="Times New Roman"/>
          <w:sz w:val="24"/>
          <w:szCs w:val="24"/>
        </w:rPr>
      </w:pPr>
      <w:r w:rsidRPr="00557963">
        <w:rPr>
          <w:rFonts w:ascii="Times New Roman" w:hAnsi="Times New Roman"/>
          <w:sz w:val="24"/>
          <w:szCs w:val="24"/>
        </w:rPr>
        <w:t xml:space="preserve">Jan. 29, 2013: Massillon woman gets 7 years for setting fire to her house. </w:t>
      </w:r>
      <w:hyperlink r:id="rId110" w:history="1">
        <w:r w:rsidRPr="00557963">
          <w:rPr>
            <w:rStyle w:val="Hyperlink"/>
            <w:rFonts w:ascii="Times New Roman" w:hAnsi="Times New Roman"/>
            <w:sz w:val="24"/>
            <w:szCs w:val="24"/>
          </w:rPr>
          <w:t>https://www.indeonline.com/story/news/2013/01/30/massillon-woman-gets-7-years/65001393007/</w:t>
        </w:r>
      </w:hyperlink>
      <w:r w:rsidRPr="00557963">
        <w:rPr>
          <w:rFonts w:ascii="Times New Roman" w:hAnsi="Times New Roman"/>
          <w:sz w:val="24"/>
          <w:szCs w:val="24"/>
        </w:rPr>
        <w:t xml:space="preserve"> </w:t>
      </w:r>
    </w:p>
    <w:p w14:paraId="261CE9C1" w14:textId="77777777" w:rsidR="000338D1" w:rsidRDefault="000338D1" w:rsidP="000338D1">
      <w:pPr>
        <w:pStyle w:val="NoSpacing"/>
        <w:rPr>
          <w:rFonts w:ascii="Arial Black" w:hAnsi="Arial Black"/>
          <w:sz w:val="28"/>
        </w:rPr>
      </w:pPr>
    </w:p>
    <w:p w14:paraId="1B5BE310" w14:textId="77777777" w:rsidR="005C3A2A" w:rsidRPr="005C3A2A" w:rsidRDefault="005C3A2A" w:rsidP="00B86628">
      <w:pPr>
        <w:pStyle w:val="NoSpacing"/>
        <w:rPr>
          <w:rFonts w:ascii="Times New Roman" w:hAnsi="Times New Roman"/>
          <w:sz w:val="24"/>
          <w:szCs w:val="24"/>
        </w:rPr>
      </w:pPr>
    </w:p>
    <w:p w14:paraId="5EDE8730" w14:textId="77777777" w:rsidR="00C443C1" w:rsidRPr="005C3A2A" w:rsidRDefault="00C443C1" w:rsidP="00B86628">
      <w:pPr>
        <w:pStyle w:val="NoSpacing"/>
        <w:rPr>
          <w:rFonts w:ascii="Times New Roman" w:hAnsi="Times New Roman"/>
          <w:sz w:val="24"/>
          <w:szCs w:val="24"/>
        </w:rPr>
      </w:pPr>
    </w:p>
    <w:p w14:paraId="6F411B77" w14:textId="77777777" w:rsidR="00C443C1" w:rsidRPr="005C3A2A" w:rsidRDefault="00C443C1" w:rsidP="00B86628">
      <w:pPr>
        <w:pStyle w:val="NoSpacing"/>
        <w:rPr>
          <w:rFonts w:ascii="Times New Roman" w:hAnsi="Times New Roman"/>
          <w:sz w:val="24"/>
          <w:szCs w:val="24"/>
        </w:rPr>
      </w:pPr>
    </w:p>
    <w:p w14:paraId="4F5C7340" w14:textId="19F536B9" w:rsidR="00765ABF" w:rsidRDefault="00765ABF" w:rsidP="00B86628">
      <w:pPr>
        <w:pStyle w:val="NoSpacing"/>
        <w:rPr>
          <w:rFonts w:ascii="Arial Black" w:hAnsi="Arial Black"/>
          <w:sz w:val="24"/>
          <w:szCs w:val="24"/>
        </w:rPr>
      </w:pPr>
      <w:r>
        <w:rPr>
          <w:rFonts w:ascii="Arial Black" w:hAnsi="Arial Black"/>
          <w:sz w:val="24"/>
          <w:szCs w:val="24"/>
        </w:rPr>
        <w:t>1-155</w:t>
      </w:r>
    </w:p>
    <w:p w14:paraId="052843EE" w14:textId="77777777" w:rsidR="00765ABF" w:rsidRDefault="00765ABF" w:rsidP="00B86628">
      <w:pPr>
        <w:pStyle w:val="NoSpacing"/>
        <w:rPr>
          <w:rFonts w:ascii="Arial Black" w:hAnsi="Arial Black"/>
          <w:sz w:val="24"/>
          <w:szCs w:val="24"/>
        </w:rPr>
      </w:pPr>
    </w:p>
    <w:p w14:paraId="0E1589D1" w14:textId="77777777" w:rsidR="00C443C1" w:rsidRPr="00C42244" w:rsidRDefault="00C443C1" w:rsidP="00C443C1">
      <w:pPr>
        <w:pStyle w:val="NoSpacing"/>
        <w:rPr>
          <w:rFonts w:ascii="Arial Black" w:hAnsi="Arial Black"/>
          <w:sz w:val="28"/>
        </w:rPr>
      </w:pPr>
      <w:r>
        <w:rPr>
          <w:rFonts w:ascii="Arial Black" w:hAnsi="Arial Black"/>
          <w:sz w:val="28"/>
        </w:rPr>
        <w:t>KY: TRAILER FIRE – 4-YR OLD KILLED – COLD CASE REVIEW – 3 CONVICTED 20 YRS LATER, COMPLICITY</w:t>
      </w:r>
    </w:p>
    <w:p w14:paraId="6B54C634" w14:textId="77777777" w:rsidR="00C443C1" w:rsidRDefault="00C443C1" w:rsidP="00C443C1">
      <w:pPr>
        <w:pStyle w:val="NoSpacing"/>
        <w:rPr>
          <w:szCs w:val="24"/>
        </w:rPr>
      </w:pPr>
    </w:p>
    <w:p w14:paraId="2E44AA55" w14:textId="77777777" w:rsidR="00C443C1" w:rsidRPr="00C443C1" w:rsidRDefault="00C443C1" w:rsidP="00C443C1">
      <w:pPr>
        <w:pStyle w:val="NoSpacing"/>
        <w:rPr>
          <w:rFonts w:ascii="Times New Roman" w:hAnsi="Times New Roman"/>
          <w:sz w:val="24"/>
          <w:szCs w:val="24"/>
        </w:rPr>
      </w:pPr>
      <w:r w:rsidRPr="00C443C1">
        <w:rPr>
          <w:rFonts w:ascii="Times New Roman" w:hAnsi="Times New Roman"/>
          <w:sz w:val="24"/>
          <w:szCs w:val="24"/>
        </w:rPr>
        <w:t xml:space="preserve">On Aug. 22, 2024, in </w:t>
      </w:r>
      <w:r w:rsidRPr="00C443C1">
        <w:rPr>
          <w:rFonts w:ascii="Times New Roman" w:hAnsi="Times New Roman"/>
          <w:sz w:val="24"/>
          <w:szCs w:val="24"/>
          <w:u w:val="single"/>
        </w:rPr>
        <w:t>Tony Lear v. Commonwealth of Kentucky, and Virginia Whitfield v. Commonwealth of Kentucky</w:t>
      </w:r>
      <w:r w:rsidRPr="00C443C1">
        <w:rPr>
          <w:rFonts w:ascii="Times New Roman" w:hAnsi="Times New Roman"/>
          <w:sz w:val="24"/>
          <w:szCs w:val="24"/>
        </w:rPr>
        <w:t xml:space="preserve">, the Supreme Court of Kentucky held (7 to 0; unpublished opinion) that jury properly convicted two defendants in </w:t>
      </w:r>
      <w:proofErr w:type="gramStart"/>
      <w:r w:rsidRPr="00C443C1">
        <w:rPr>
          <w:rFonts w:ascii="Times New Roman" w:hAnsi="Times New Roman"/>
          <w:sz w:val="24"/>
          <w:szCs w:val="24"/>
        </w:rPr>
        <w:t>January,</w:t>
      </w:r>
      <w:proofErr w:type="gramEnd"/>
      <w:r w:rsidRPr="00C443C1">
        <w:rPr>
          <w:rFonts w:ascii="Times New Roman" w:hAnsi="Times New Roman"/>
          <w:sz w:val="24"/>
          <w:szCs w:val="24"/>
        </w:rPr>
        <w:t xml:space="preserve"> 2023 for the September 2, </w:t>
      </w:r>
      <w:proofErr w:type="gramStart"/>
      <w:r w:rsidRPr="00C443C1">
        <w:rPr>
          <w:rFonts w:ascii="Times New Roman" w:hAnsi="Times New Roman"/>
          <w:sz w:val="24"/>
          <w:szCs w:val="24"/>
        </w:rPr>
        <w:t>1999</w:t>
      </w:r>
      <w:proofErr w:type="gramEnd"/>
      <w:r w:rsidRPr="00C443C1">
        <w:rPr>
          <w:rFonts w:ascii="Times New Roman" w:hAnsi="Times New Roman"/>
          <w:sz w:val="24"/>
          <w:szCs w:val="24"/>
        </w:rPr>
        <w:t xml:space="preserve"> trailer fire that killed </w:t>
      </w:r>
      <w:proofErr w:type="gramStart"/>
      <w:r w:rsidRPr="00C443C1">
        <w:rPr>
          <w:rFonts w:ascii="Times New Roman" w:hAnsi="Times New Roman"/>
          <w:sz w:val="24"/>
          <w:szCs w:val="24"/>
        </w:rPr>
        <w:t>4-year old</w:t>
      </w:r>
      <w:proofErr w:type="gramEnd"/>
      <w:r w:rsidRPr="00C443C1">
        <w:rPr>
          <w:rFonts w:ascii="Times New Roman" w:hAnsi="Times New Roman"/>
          <w:sz w:val="24"/>
          <w:szCs w:val="24"/>
        </w:rPr>
        <w:t xml:space="preserve"> Autumn Raymond. Lear, Whitfield and Bobby F. Napier [who owed back rent on the trailer], were all initially charged with murder, arson and first-degree assault, after a 2012 review of open cases by the Kentucky State Police resulting in new information. Napier pleaded guilty in 2019 to amended charges of second-degree arson, in exchange for a 10-year sentence and testified at the trial, He was already serving time on a variety of convictions, including burglary, theft and being a persistent felony offender.  The State was not required to prove who </w:t>
      </w:r>
      <w:proofErr w:type="gramStart"/>
      <w:r w:rsidRPr="00C443C1">
        <w:rPr>
          <w:rFonts w:ascii="Times New Roman" w:hAnsi="Times New Roman"/>
          <w:sz w:val="24"/>
          <w:szCs w:val="24"/>
        </w:rPr>
        <w:t>actually ignited</w:t>
      </w:r>
      <w:proofErr w:type="gramEnd"/>
      <w:r w:rsidRPr="00C443C1">
        <w:rPr>
          <w:rFonts w:ascii="Times New Roman" w:hAnsi="Times New Roman"/>
          <w:sz w:val="24"/>
          <w:szCs w:val="24"/>
        </w:rPr>
        <w:t xml:space="preserve"> the sheets with petroleum fluid around the dryer, since all three were “accomplices” to the crime.  The Court wrote: “After six days of trial, the jury returned a guilty verdict on complicity to murder, complicity to arson, and two counts of complicity to first-degree assault against the Appellants. Following the jury's recommendation, the trial court sentenced Whitfield and Lear respectively to 20 years. *** Although no evidence can directly point to an individual who started the fire, enough evidence was presented by the Commonwealth to show the Appellants aided, solicited, counseled, commanded, or engaged in a conspiracy </w:t>
      </w:r>
      <w:r w:rsidRPr="00C443C1">
        <w:rPr>
          <w:rFonts w:ascii="Times New Roman" w:hAnsi="Times New Roman"/>
          <w:sz w:val="24"/>
          <w:szCs w:val="24"/>
        </w:rPr>
        <w:lastRenderedPageBreak/>
        <w:t xml:space="preserve">with each other to burn down that trailer. The accomplice instructions mirror such evidence. The instructions provide the jury the ability to decide whether the defendant engaged with the other individuals to burn down the trailer.” </w:t>
      </w:r>
      <w:hyperlink r:id="rId111" w:history="1">
        <w:r w:rsidRPr="00C443C1">
          <w:rPr>
            <w:rStyle w:val="Hyperlink"/>
            <w:rFonts w:ascii="Times New Roman" w:hAnsi="Times New Roman"/>
            <w:sz w:val="24"/>
            <w:szCs w:val="24"/>
          </w:rPr>
          <w:t>https://casetext.com/case/lear-v-commonwealth-95</w:t>
        </w:r>
      </w:hyperlink>
      <w:r w:rsidRPr="00C443C1">
        <w:rPr>
          <w:rFonts w:ascii="Times New Roman" w:hAnsi="Times New Roman"/>
          <w:sz w:val="24"/>
          <w:szCs w:val="24"/>
        </w:rPr>
        <w:t xml:space="preserve"> </w:t>
      </w:r>
    </w:p>
    <w:p w14:paraId="1B475905" w14:textId="77777777" w:rsidR="00C443C1" w:rsidRPr="00C443C1" w:rsidRDefault="00C443C1" w:rsidP="00C443C1">
      <w:pPr>
        <w:pStyle w:val="NoSpacing"/>
        <w:rPr>
          <w:rFonts w:ascii="Times New Roman" w:hAnsi="Times New Roman"/>
          <w:sz w:val="24"/>
          <w:szCs w:val="24"/>
        </w:rPr>
      </w:pPr>
    </w:p>
    <w:p w14:paraId="1B2EDC00" w14:textId="77777777" w:rsidR="00C443C1" w:rsidRPr="00C443C1" w:rsidRDefault="00C443C1" w:rsidP="00C443C1">
      <w:pPr>
        <w:pStyle w:val="NoSpacing"/>
        <w:rPr>
          <w:rFonts w:ascii="Times New Roman" w:hAnsi="Times New Roman"/>
          <w:sz w:val="24"/>
          <w:szCs w:val="24"/>
        </w:rPr>
      </w:pPr>
      <w:r w:rsidRPr="00C443C1">
        <w:rPr>
          <w:rFonts w:ascii="Times New Roman" w:hAnsi="Times New Roman"/>
          <w:sz w:val="24"/>
          <w:szCs w:val="24"/>
        </w:rPr>
        <w:t>THE COURT HELD:</w:t>
      </w:r>
    </w:p>
    <w:p w14:paraId="6FBAB4E7" w14:textId="77777777" w:rsidR="00C443C1" w:rsidRPr="00C443C1" w:rsidRDefault="00C443C1" w:rsidP="00C443C1">
      <w:pPr>
        <w:pStyle w:val="NoSpacing"/>
        <w:rPr>
          <w:rFonts w:ascii="Times New Roman" w:hAnsi="Times New Roman"/>
          <w:sz w:val="24"/>
          <w:szCs w:val="24"/>
        </w:rPr>
      </w:pPr>
    </w:p>
    <w:p w14:paraId="68BAF801"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“Here, the Commonwealth’s theory throughout trial was that Walton, Lear, and Whitfield all played a part in burning down the trailer. Testimony from several witnesses placed Whitfield and Lear in the room when Walton discussed burning down the trailer for insurance money. Whitfield moved boxes of clothing out of the trailer a few days before the fire with the help of Lear. Neighbors placed Lear at the trailer on the day of the fire, inspecting the dryer vent with Walton. Expert testimony supported the theory of an intentionally caused fire from items stuffed in and around the dryer.”</w:t>
      </w:r>
    </w:p>
    <w:p w14:paraId="67C92264" w14:textId="77777777" w:rsidR="00C443C1" w:rsidRPr="00C443C1" w:rsidRDefault="00C443C1" w:rsidP="00C443C1">
      <w:pPr>
        <w:pStyle w:val="NoSpacing"/>
        <w:ind w:left="720"/>
        <w:rPr>
          <w:rFonts w:ascii="Times New Roman" w:hAnsi="Times New Roman"/>
          <w:sz w:val="24"/>
          <w:szCs w:val="24"/>
        </w:rPr>
      </w:pPr>
    </w:p>
    <w:p w14:paraId="3A3B1337" w14:textId="77777777" w:rsidR="00C443C1" w:rsidRPr="00C443C1" w:rsidRDefault="00C443C1" w:rsidP="00C443C1">
      <w:pPr>
        <w:pStyle w:val="NoSpacing"/>
        <w:rPr>
          <w:rFonts w:ascii="Times New Roman" w:hAnsi="Times New Roman"/>
          <w:b/>
          <w:bCs/>
          <w:sz w:val="24"/>
          <w:szCs w:val="24"/>
        </w:rPr>
      </w:pPr>
      <w:r w:rsidRPr="00C443C1">
        <w:rPr>
          <w:rFonts w:ascii="Times New Roman" w:hAnsi="Times New Roman"/>
          <w:b/>
          <w:bCs/>
          <w:sz w:val="24"/>
          <w:szCs w:val="24"/>
        </w:rPr>
        <w:t xml:space="preserve">Legal Lesson Learned: When three conspire to commit arson, all three can be charged with murder from the fire. </w:t>
      </w:r>
    </w:p>
    <w:p w14:paraId="075CF1A3" w14:textId="77777777" w:rsidR="00C443C1" w:rsidRPr="00C443C1" w:rsidRDefault="00C443C1" w:rsidP="00C443C1">
      <w:pPr>
        <w:pStyle w:val="NoSpacing"/>
        <w:rPr>
          <w:rFonts w:ascii="Times New Roman" w:hAnsi="Times New Roman"/>
          <w:sz w:val="24"/>
          <w:szCs w:val="24"/>
        </w:rPr>
      </w:pPr>
    </w:p>
    <w:p w14:paraId="13AEA6BA"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 xml:space="preserve">Note:  See Jan. 4, </w:t>
      </w:r>
      <w:proofErr w:type="gramStart"/>
      <w:r w:rsidRPr="00C443C1">
        <w:rPr>
          <w:rFonts w:ascii="Times New Roman" w:hAnsi="Times New Roman"/>
          <w:sz w:val="24"/>
          <w:szCs w:val="24"/>
        </w:rPr>
        <w:t>2023</w:t>
      </w:r>
      <w:proofErr w:type="gramEnd"/>
      <w:r w:rsidRPr="00C443C1">
        <w:rPr>
          <w:rFonts w:ascii="Times New Roman" w:hAnsi="Times New Roman"/>
          <w:sz w:val="24"/>
          <w:szCs w:val="24"/>
        </w:rPr>
        <w:t xml:space="preserve"> article, “Ohio County cold case ends with convictions.” </w:t>
      </w:r>
      <w:hyperlink r:id="rId112" w:history="1">
        <w:r w:rsidRPr="00C443C1">
          <w:rPr>
            <w:rStyle w:val="Hyperlink"/>
            <w:rFonts w:ascii="Times New Roman" w:hAnsi="Times New Roman"/>
            <w:sz w:val="24"/>
            <w:szCs w:val="24"/>
          </w:rPr>
          <w:t>https://www.yahoo.com/news/ohio-county-cold-case-ends-102300006.html</w:t>
        </w:r>
      </w:hyperlink>
      <w:r w:rsidRPr="00C443C1">
        <w:rPr>
          <w:rFonts w:ascii="Times New Roman" w:hAnsi="Times New Roman"/>
          <w:sz w:val="24"/>
          <w:szCs w:val="24"/>
        </w:rPr>
        <w:t xml:space="preserve"> </w:t>
      </w:r>
    </w:p>
    <w:p w14:paraId="2E3EDD00" w14:textId="77777777" w:rsidR="00C443C1" w:rsidRPr="00C443C1" w:rsidRDefault="00C443C1" w:rsidP="00C443C1">
      <w:pPr>
        <w:pStyle w:val="NoSpacing"/>
        <w:ind w:left="720"/>
        <w:rPr>
          <w:rFonts w:ascii="Times New Roman" w:hAnsi="Times New Roman"/>
          <w:sz w:val="24"/>
          <w:szCs w:val="24"/>
        </w:rPr>
      </w:pPr>
    </w:p>
    <w:p w14:paraId="3CB12204"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 xml:space="preserve">Here is the “active inmate” photo of Tony Lear. </w:t>
      </w:r>
      <w:hyperlink r:id="rId113" w:history="1">
        <w:r w:rsidRPr="00C443C1">
          <w:rPr>
            <w:rStyle w:val="Hyperlink"/>
            <w:rFonts w:ascii="Times New Roman" w:hAnsi="Times New Roman"/>
            <w:sz w:val="24"/>
            <w:szCs w:val="24"/>
          </w:rPr>
          <w:t>http://kool.corrections.ky.gov/KOOL/Details/54918</w:t>
        </w:r>
      </w:hyperlink>
    </w:p>
    <w:p w14:paraId="7272C532"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Photo of Virginia Whitfield:</w:t>
      </w:r>
    </w:p>
    <w:p w14:paraId="380415E3" w14:textId="77777777" w:rsidR="00C443C1" w:rsidRPr="00C443C1" w:rsidRDefault="00C443C1" w:rsidP="00C443C1">
      <w:pPr>
        <w:pStyle w:val="NoSpacing"/>
        <w:ind w:left="720"/>
        <w:rPr>
          <w:rFonts w:ascii="Times New Roman" w:hAnsi="Times New Roman"/>
          <w:sz w:val="24"/>
          <w:szCs w:val="24"/>
        </w:rPr>
      </w:pPr>
      <w:hyperlink r:id="rId114" w:history="1">
        <w:r w:rsidRPr="00C443C1">
          <w:rPr>
            <w:rStyle w:val="Hyperlink"/>
            <w:rFonts w:ascii="Times New Roman" w:hAnsi="Times New Roman"/>
            <w:sz w:val="24"/>
            <w:szCs w:val="24"/>
          </w:rPr>
          <w:t>http://kool.corrections.ky.gov/KOOL/Details/61717</w:t>
        </w:r>
      </w:hyperlink>
      <w:r w:rsidRPr="00C443C1">
        <w:rPr>
          <w:rFonts w:ascii="Times New Roman" w:hAnsi="Times New Roman"/>
          <w:sz w:val="24"/>
          <w:szCs w:val="24"/>
        </w:rPr>
        <w:t xml:space="preserve"> </w:t>
      </w:r>
    </w:p>
    <w:p w14:paraId="6E283B66" w14:textId="77777777" w:rsidR="00765ABF" w:rsidRPr="00C443C1" w:rsidRDefault="00765ABF" w:rsidP="00B86628">
      <w:pPr>
        <w:pStyle w:val="NoSpacing"/>
        <w:rPr>
          <w:rFonts w:ascii="Times New Roman" w:hAnsi="Times New Roman"/>
          <w:sz w:val="24"/>
          <w:szCs w:val="24"/>
        </w:rPr>
      </w:pPr>
    </w:p>
    <w:p w14:paraId="27DEB4F9" w14:textId="77777777" w:rsidR="00765ABF" w:rsidRDefault="00765ABF" w:rsidP="00B86628">
      <w:pPr>
        <w:pStyle w:val="NoSpacing"/>
        <w:rPr>
          <w:rFonts w:ascii="Arial Black" w:hAnsi="Arial Black"/>
          <w:sz w:val="24"/>
          <w:szCs w:val="24"/>
        </w:rPr>
      </w:pPr>
    </w:p>
    <w:p w14:paraId="5A25836B" w14:textId="28BE4EB8" w:rsidR="004B4DF6" w:rsidRDefault="004B4DF6" w:rsidP="00B86628">
      <w:pPr>
        <w:pStyle w:val="NoSpacing"/>
        <w:rPr>
          <w:rFonts w:ascii="Arial Black" w:hAnsi="Arial Black"/>
          <w:sz w:val="24"/>
          <w:szCs w:val="24"/>
        </w:rPr>
      </w:pPr>
      <w:r>
        <w:rPr>
          <w:rFonts w:ascii="Arial Black" w:hAnsi="Arial Black"/>
          <w:sz w:val="24"/>
          <w:szCs w:val="24"/>
        </w:rPr>
        <w:t>1-154</w:t>
      </w:r>
    </w:p>
    <w:p w14:paraId="522E4032" w14:textId="77777777" w:rsidR="004B4DF6" w:rsidRDefault="004B4DF6" w:rsidP="00B86628">
      <w:pPr>
        <w:pStyle w:val="NoSpacing"/>
        <w:rPr>
          <w:rFonts w:ascii="Arial Black" w:hAnsi="Arial Black"/>
          <w:sz w:val="24"/>
          <w:szCs w:val="24"/>
        </w:rPr>
      </w:pPr>
    </w:p>
    <w:p w14:paraId="42D8535E" w14:textId="77777777" w:rsidR="00765ABF" w:rsidRPr="00B544ED" w:rsidRDefault="00765ABF" w:rsidP="00765ABF">
      <w:pPr>
        <w:rPr>
          <w:rFonts w:ascii="Arial Black" w:hAnsi="Arial Black"/>
          <w:b/>
          <w:bCs/>
          <w:sz w:val="28"/>
        </w:rPr>
      </w:pPr>
      <w:r>
        <w:rPr>
          <w:rFonts w:ascii="Arial Black" w:hAnsi="Arial Black"/>
          <w:b/>
          <w:bCs/>
          <w:sz w:val="28"/>
        </w:rPr>
        <w:t xml:space="preserve">TX: MAN EVICTED – STARTED FIRE – SAW OWNER, TOLD INVESTIGATOR WILL “TRY AGAIN” – ADMISSIBLE </w:t>
      </w:r>
    </w:p>
    <w:p w14:paraId="000307B5" w14:textId="77777777" w:rsidR="00765ABF" w:rsidRPr="00765ABF" w:rsidRDefault="00765ABF" w:rsidP="00765ABF">
      <w:pPr>
        <w:pStyle w:val="NoSpacing"/>
        <w:rPr>
          <w:rFonts w:ascii="Times New Roman" w:hAnsi="Times New Roman"/>
          <w:sz w:val="24"/>
          <w:szCs w:val="24"/>
        </w:rPr>
      </w:pPr>
      <w:r w:rsidRPr="00765ABF">
        <w:rPr>
          <w:rFonts w:ascii="Times New Roman" w:hAnsi="Times New Roman"/>
          <w:sz w:val="24"/>
          <w:szCs w:val="24"/>
        </w:rPr>
        <w:t xml:space="preserve">On Aug. 22. 2024, in </w:t>
      </w:r>
      <w:proofErr w:type="spellStart"/>
      <w:r w:rsidRPr="00765ABF">
        <w:rPr>
          <w:rFonts w:ascii="Times New Roman" w:hAnsi="Times New Roman"/>
          <w:sz w:val="24"/>
          <w:szCs w:val="24"/>
          <w:u w:val="single"/>
        </w:rPr>
        <w:t>Hueathen</w:t>
      </w:r>
      <w:proofErr w:type="spellEnd"/>
      <w:r w:rsidRPr="00765ABF">
        <w:rPr>
          <w:rFonts w:ascii="Times New Roman" w:hAnsi="Times New Roman"/>
          <w:sz w:val="24"/>
          <w:szCs w:val="24"/>
          <w:u w:val="single"/>
        </w:rPr>
        <w:t xml:space="preserve"> Kirk Gardner v. The State of Texas</w:t>
      </w:r>
      <w:r w:rsidRPr="00765ABF">
        <w:rPr>
          <w:rFonts w:ascii="Times New Roman" w:hAnsi="Times New Roman"/>
          <w:sz w:val="24"/>
          <w:szCs w:val="24"/>
        </w:rPr>
        <w:t xml:space="preserve">, the Court of Appeals of Texas, Fourteenth District, held (3 to 0; unpublished decision) that the trial court properly denied the defendant’s motion to suppress his comments; the jury convicted him of the first-degree felony offense of arson of a habitation.  He was interviewed at the scene for about 15 minutes by Houston Fire Department Senior Arson Investigator Robert Haynes without a </w:t>
      </w:r>
      <w:r w:rsidRPr="00765ABF">
        <w:rPr>
          <w:rFonts w:ascii="Times New Roman" w:hAnsi="Times New Roman"/>
          <w:i/>
          <w:iCs/>
          <w:sz w:val="24"/>
          <w:szCs w:val="24"/>
        </w:rPr>
        <w:t xml:space="preserve">Miranda </w:t>
      </w:r>
      <w:r w:rsidRPr="00765ABF">
        <w:rPr>
          <w:rFonts w:ascii="Times New Roman" w:hAnsi="Times New Roman"/>
          <w:sz w:val="24"/>
          <w:szCs w:val="24"/>
        </w:rPr>
        <w:t xml:space="preserve">warning.  When he was told he was going to be arrested, and he saw the homeowner, he made the comments.  The Court wrote: “Haynes testified that ‘shortly’ after informing appellant that he was going to be charged with arson, appellant saw [homeowner] Hoang and made the statement about "trying again" when he gets out of jail. As the trial court noted, appellant's statement ‘was in response to the complainant coming to the scene, not questions asked at the scene. </w:t>
      </w:r>
      <w:r w:rsidRPr="00765ABF">
        <w:rPr>
          <w:rFonts w:ascii="Times New Roman" w:hAnsi="Times New Roman"/>
          <w:i/>
          <w:iCs/>
          <w:sz w:val="24"/>
          <w:szCs w:val="24"/>
        </w:rPr>
        <w:t>It was happening at the-near the time.</w:t>
      </w:r>
      <w:r w:rsidRPr="00765ABF">
        <w:rPr>
          <w:rFonts w:ascii="Times New Roman" w:hAnsi="Times New Roman"/>
          <w:sz w:val="24"/>
          <w:szCs w:val="24"/>
        </w:rPr>
        <w:t xml:space="preserve"> . . . [H]e just blurted it out when he saw the complainant coming.’ *** This response was not the result of a custodial investigation or in response to any questioning by Haynes. We therefore conclude that </w:t>
      </w:r>
      <w:r w:rsidRPr="00765ABF">
        <w:rPr>
          <w:rFonts w:ascii="Times New Roman" w:hAnsi="Times New Roman"/>
          <w:i/>
          <w:iCs/>
          <w:sz w:val="24"/>
          <w:szCs w:val="24"/>
        </w:rPr>
        <w:t>Miranda</w:t>
      </w:r>
      <w:r w:rsidRPr="00765ABF">
        <w:rPr>
          <w:rFonts w:ascii="Times New Roman" w:hAnsi="Times New Roman"/>
          <w:sz w:val="24"/>
          <w:szCs w:val="24"/>
        </w:rPr>
        <w:t xml:space="preserve"> does not require its exclusion. *** [T]here must be an "exciting" or "stimulating" event. The express statutory terms consider the stimulating event to include the offense itself or the arrest. </w:t>
      </w:r>
      <w:r w:rsidRPr="00765ABF">
        <w:rPr>
          <w:rFonts w:ascii="Times New Roman" w:hAnsi="Times New Roman"/>
          <w:i/>
          <w:iCs/>
          <w:sz w:val="24"/>
          <w:szCs w:val="24"/>
        </w:rPr>
        <w:t>See</w:t>
      </w:r>
      <w:r w:rsidRPr="00765ABF">
        <w:rPr>
          <w:rFonts w:ascii="Times New Roman" w:hAnsi="Times New Roman"/>
          <w:sz w:val="24"/>
          <w:szCs w:val="24"/>
        </w:rPr>
        <w:t xml:space="preserve"> Tex. Code Crim. Proc. Ann. art. 38.22, § 5. Here, the stimulating events consisted of appellant committing arson and then being informed that he was being arrested and charged with arson. We conclude that the first element is met.” </w:t>
      </w:r>
      <w:hyperlink r:id="rId115" w:history="1">
        <w:r w:rsidRPr="00765ABF">
          <w:rPr>
            <w:rStyle w:val="Hyperlink"/>
            <w:rFonts w:ascii="Times New Roman" w:hAnsi="Times New Roman"/>
            <w:sz w:val="24"/>
            <w:szCs w:val="24"/>
          </w:rPr>
          <w:t>https://cases.justia.com/texas/fourteenth-court-of-appeals/2024-14-23-00355-cr.pdf?ts=1724329963</w:t>
        </w:r>
      </w:hyperlink>
      <w:r w:rsidRPr="00765ABF">
        <w:rPr>
          <w:rFonts w:ascii="Times New Roman" w:hAnsi="Times New Roman"/>
          <w:sz w:val="24"/>
          <w:szCs w:val="24"/>
        </w:rPr>
        <w:t xml:space="preserve"> </w:t>
      </w:r>
    </w:p>
    <w:p w14:paraId="0F4B53F8" w14:textId="77777777" w:rsidR="00765ABF" w:rsidRPr="00765ABF" w:rsidRDefault="00765ABF" w:rsidP="00765ABF">
      <w:pPr>
        <w:pStyle w:val="NoSpacing"/>
        <w:rPr>
          <w:rFonts w:ascii="Times New Roman" w:hAnsi="Times New Roman"/>
          <w:sz w:val="24"/>
          <w:szCs w:val="24"/>
        </w:rPr>
      </w:pPr>
    </w:p>
    <w:p w14:paraId="57E100D3" w14:textId="77777777" w:rsidR="00765ABF" w:rsidRPr="00765ABF" w:rsidRDefault="00765ABF" w:rsidP="00765ABF">
      <w:pPr>
        <w:pStyle w:val="NoSpacing"/>
        <w:rPr>
          <w:rFonts w:ascii="Times New Roman" w:hAnsi="Times New Roman"/>
          <w:sz w:val="24"/>
          <w:szCs w:val="24"/>
        </w:rPr>
      </w:pPr>
      <w:r w:rsidRPr="00765ABF">
        <w:rPr>
          <w:rFonts w:ascii="Times New Roman" w:hAnsi="Times New Roman"/>
          <w:sz w:val="24"/>
          <w:szCs w:val="24"/>
        </w:rPr>
        <w:t xml:space="preserve">THE COURT HELD: </w:t>
      </w:r>
    </w:p>
    <w:p w14:paraId="6DE97B00" w14:textId="77777777" w:rsidR="00765ABF" w:rsidRPr="00765ABF" w:rsidRDefault="00765ABF" w:rsidP="00765ABF">
      <w:pPr>
        <w:pStyle w:val="NoSpacing"/>
        <w:rPr>
          <w:rFonts w:ascii="Times New Roman" w:hAnsi="Times New Roman"/>
          <w:i/>
          <w:iCs/>
          <w:sz w:val="24"/>
          <w:szCs w:val="24"/>
        </w:rPr>
      </w:pPr>
    </w:p>
    <w:p w14:paraId="31209727" w14:textId="77777777" w:rsidR="00765ABF" w:rsidRPr="00765ABF" w:rsidRDefault="00765ABF" w:rsidP="00765ABF">
      <w:pPr>
        <w:pStyle w:val="NoSpacing"/>
        <w:ind w:left="720"/>
        <w:rPr>
          <w:rFonts w:ascii="Times New Roman" w:hAnsi="Times New Roman"/>
          <w:sz w:val="24"/>
          <w:szCs w:val="24"/>
        </w:rPr>
      </w:pPr>
      <w:r w:rsidRPr="00765ABF">
        <w:rPr>
          <w:rFonts w:ascii="Times New Roman" w:hAnsi="Times New Roman"/>
          <w:sz w:val="24"/>
          <w:szCs w:val="24"/>
        </w:rPr>
        <w:t xml:space="preserve">“For the second element, the statement must be made sufficiently close in time to the stimulating event. Haynes testified that ‘shortly’ after informing appellant that he was going to be charged with arson, </w:t>
      </w:r>
      <w:r w:rsidRPr="00765ABF">
        <w:rPr>
          <w:rFonts w:ascii="Times New Roman" w:hAnsi="Times New Roman"/>
          <w:sz w:val="24"/>
          <w:szCs w:val="24"/>
        </w:rPr>
        <w:lastRenderedPageBreak/>
        <w:t xml:space="preserve">appellant saw Hoang and made the statement about ‘trying again’ when he </w:t>
      </w:r>
      <w:proofErr w:type="gramStart"/>
      <w:r w:rsidRPr="00765ABF">
        <w:rPr>
          <w:rFonts w:ascii="Times New Roman" w:hAnsi="Times New Roman"/>
          <w:sz w:val="24"/>
          <w:szCs w:val="24"/>
        </w:rPr>
        <w:t>gets</w:t>
      </w:r>
      <w:proofErr w:type="gramEnd"/>
      <w:r w:rsidRPr="00765ABF">
        <w:rPr>
          <w:rFonts w:ascii="Times New Roman" w:hAnsi="Times New Roman"/>
          <w:sz w:val="24"/>
          <w:szCs w:val="24"/>
        </w:rPr>
        <w:t xml:space="preserve"> out of jail. As the trial court noted, appellant's statement ‘was in response to the complainant coming to the scene, not questions asked at the scene. </w:t>
      </w:r>
      <w:r w:rsidRPr="00765ABF">
        <w:rPr>
          <w:rFonts w:ascii="Times New Roman" w:hAnsi="Times New Roman"/>
          <w:i/>
          <w:iCs/>
          <w:sz w:val="24"/>
          <w:szCs w:val="24"/>
        </w:rPr>
        <w:t>It was happening at the-near the time.</w:t>
      </w:r>
      <w:r w:rsidRPr="00765ABF">
        <w:rPr>
          <w:rFonts w:ascii="Times New Roman" w:hAnsi="Times New Roman"/>
          <w:sz w:val="24"/>
          <w:szCs w:val="24"/>
        </w:rPr>
        <w:t xml:space="preserve"> . . . [H]e just blurted it out when he saw the complainant coming.’ (emphasis added). With the statement occurring so shortly after being informed he was going to be arrested for arson, we hold that the second element is satisfied. </w:t>
      </w:r>
    </w:p>
    <w:p w14:paraId="4A53793A" w14:textId="77777777" w:rsidR="00765ABF" w:rsidRPr="00765ABF" w:rsidRDefault="00765ABF" w:rsidP="00765ABF">
      <w:pPr>
        <w:pStyle w:val="NoSpacing"/>
        <w:rPr>
          <w:rFonts w:ascii="Times New Roman" w:hAnsi="Times New Roman"/>
          <w:sz w:val="24"/>
          <w:szCs w:val="24"/>
        </w:rPr>
      </w:pPr>
    </w:p>
    <w:p w14:paraId="7F5E7989" w14:textId="77777777" w:rsidR="00765ABF" w:rsidRPr="00765ABF" w:rsidRDefault="00765ABF" w:rsidP="00765ABF">
      <w:pPr>
        <w:pStyle w:val="NoSpacing"/>
        <w:ind w:left="720"/>
        <w:rPr>
          <w:rFonts w:ascii="Times New Roman" w:hAnsi="Times New Roman"/>
          <w:sz w:val="24"/>
          <w:szCs w:val="24"/>
        </w:rPr>
      </w:pPr>
      <w:r w:rsidRPr="00765ABF">
        <w:rPr>
          <w:rFonts w:ascii="Times New Roman" w:hAnsi="Times New Roman"/>
          <w:sz w:val="24"/>
          <w:szCs w:val="24"/>
        </w:rPr>
        <w:t xml:space="preserve">Concerning the third element, appellant's unsolicited comment clearly related to both </w:t>
      </w:r>
      <w:proofErr w:type="gramStart"/>
      <w:r w:rsidRPr="00765ABF">
        <w:rPr>
          <w:rFonts w:ascii="Times New Roman" w:hAnsi="Times New Roman"/>
          <w:sz w:val="24"/>
          <w:szCs w:val="24"/>
        </w:rPr>
        <w:t>the arson</w:t>
      </w:r>
      <w:proofErr w:type="gramEnd"/>
      <w:r w:rsidRPr="00765ABF">
        <w:rPr>
          <w:rFonts w:ascii="Times New Roman" w:hAnsi="Times New Roman"/>
          <w:sz w:val="24"/>
          <w:szCs w:val="24"/>
        </w:rPr>
        <w:t xml:space="preserve"> and </w:t>
      </w:r>
      <w:proofErr w:type="gramStart"/>
      <w:r w:rsidRPr="00765ABF">
        <w:rPr>
          <w:rFonts w:ascii="Times New Roman" w:hAnsi="Times New Roman"/>
          <w:sz w:val="24"/>
          <w:szCs w:val="24"/>
        </w:rPr>
        <w:t>the arrest</w:t>
      </w:r>
      <w:proofErr w:type="gramEnd"/>
      <w:r w:rsidRPr="00765ABF">
        <w:rPr>
          <w:rFonts w:ascii="Times New Roman" w:hAnsi="Times New Roman"/>
          <w:sz w:val="24"/>
          <w:szCs w:val="24"/>
        </w:rPr>
        <w:t>. Appellant conveyed his intent to burn the house again if Hoang still owned the home after appellant was released from jail. We hold that the third element is satisfied.”</w:t>
      </w:r>
    </w:p>
    <w:p w14:paraId="66698A4F" w14:textId="77777777" w:rsidR="00765ABF" w:rsidRPr="00765ABF" w:rsidRDefault="00765ABF" w:rsidP="00765ABF">
      <w:pPr>
        <w:pStyle w:val="NoSpacing"/>
        <w:ind w:left="720"/>
        <w:rPr>
          <w:rFonts w:ascii="Times New Roman" w:hAnsi="Times New Roman"/>
          <w:sz w:val="24"/>
          <w:szCs w:val="24"/>
        </w:rPr>
      </w:pPr>
    </w:p>
    <w:p w14:paraId="5D9531D1" w14:textId="77777777" w:rsidR="00765ABF" w:rsidRPr="00765ABF" w:rsidRDefault="00765ABF" w:rsidP="00765ABF">
      <w:pPr>
        <w:pStyle w:val="NoSpacing"/>
        <w:rPr>
          <w:rFonts w:ascii="Times New Roman" w:hAnsi="Times New Roman"/>
          <w:b/>
          <w:bCs/>
          <w:sz w:val="24"/>
          <w:szCs w:val="24"/>
        </w:rPr>
      </w:pPr>
      <w:r w:rsidRPr="00765ABF">
        <w:rPr>
          <w:rFonts w:ascii="Times New Roman" w:hAnsi="Times New Roman"/>
          <w:b/>
          <w:bCs/>
          <w:sz w:val="24"/>
          <w:szCs w:val="24"/>
        </w:rPr>
        <w:t>Legal Lesson Learned:  Exciting or spontaneous comments by defendant admissible in evidence; sometimes called “res gestae.”</w:t>
      </w:r>
    </w:p>
    <w:p w14:paraId="3FA510F8" w14:textId="77777777" w:rsidR="00765ABF" w:rsidRPr="00765ABF" w:rsidRDefault="00765ABF" w:rsidP="00765ABF">
      <w:pPr>
        <w:pStyle w:val="NoSpacing"/>
        <w:rPr>
          <w:rFonts w:ascii="Times New Roman" w:hAnsi="Times New Roman"/>
          <w:b/>
          <w:bCs/>
          <w:sz w:val="24"/>
          <w:szCs w:val="24"/>
        </w:rPr>
      </w:pPr>
    </w:p>
    <w:p w14:paraId="3A88BF1A" w14:textId="77777777" w:rsidR="00765ABF" w:rsidRPr="00765ABF" w:rsidRDefault="00765ABF" w:rsidP="00765ABF">
      <w:pPr>
        <w:pStyle w:val="NoSpacing"/>
        <w:rPr>
          <w:rFonts w:ascii="Times New Roman" w:hAnsi="Times New Roman"/>
          <w:sz w:val="24"/>
          <w:szCs w:val="24"/>
        </w:rPr>
      </w:pPr>
      <w:r w:rsidRPr="00765ABF">
        <w:rPr>
          <w:rFonts w:ascii="Times New Roman" w:hAnsi="Times New Roman"/>
          <w:b/>
          <w:bCs/>
          <w:sz w:val="24"/>
          <w:szCs w:val="24"/>
        </w:rPr>
        <w:tab/>
      </w:r>
      <w:r w:rsidRPr="00765ABF">
        <w:rPr>
          <w:rFonts w:ascii="Times New Roman" w:hAnsi="Times New Roman"/>
          <w:sz w:val="24"/>
          <w:szCs w:val="24"/>
        </w:rPr>
        <w:t xml:space="preserve">Note: See definition of “res gestae.” </w:t>
      </w:r>
      <w:hyperlink r:id="rId116" w:history="1">
        <w:r w:rsidRPr="00765ABF">
          <w:rPr>
            <w:rStyle w:val="Hyperlink"/>
            <w:rFonts w:ascii="Times New Roman" w:hAnsi="Times New Roman"/>
            <w:sz w:val="24"/>
            <w:szCs w:val="24"/>
          </w:rPr>
          <w:t>https://www.law.cornell.edu/wex/res_gestae</w:t>
        </w:r>
      </w:hyperlink>
      <w:r w:rsidRPr="00765ABF">
        <w:rPr>
          <w:rFonts w:ascii="Times New Roman" w:hAnsi="Times New Roman"/>
          <w:sz w:val="24"/>
          <w:szCs w:val="24"/>
        </w:rPr>
        <w:t xml:space="preserve"> </w:t>
      </w:r>
    </w:p>
    <w:p w14:paraId="2B182D73" w14:textId="77777777" w:rsidR="00765ABF" w:rsidRPr="00765ABF" w:rsidRDefault="00765ABF" w:rsidP="00765ABF">
      <w:pPr>
        <w:pStyle w:val="NoSpacing"/>
        <w:rPr>
          <w:rFonts w:ascii="Times New Roman" w:hAnsi="Times New Roman"/>
          <w:sz w:val="24"/>
          <w:szCs w:val="24"/>
        </w:rPr>
      </w:pPr>
    </w:p>
    <w:p w14:paraId="599468EC" w14:textId="77777777" w:rsidR="00765ABF" w:rsidRPr="00765ABF" w:rsidRDefault="00765ABF" w:rsidP="00765ABF">
      <w:pPr>
        <w:pStyle w:val="NoSpacing"/>
        <w:ind w:left="720"/>
        <w:rPr>
          <w:rFonts w:ascii="Times New Roman" w:hAnsi="Times New Roman"/>
          <w:sz w:val="24"/>
          <w:szCs w:val="24"/>
        </w:rPr>
      </w:pPr>
      <w:r w:rsidRPr="00765ABF">
        <w:rPr>
          <w:rFonts w:ascii="Times New Roman" w:hAnsi="Times New Roman"/>
          <w:sz w:val="24"/>
          <w:szCs w:val="24"/>
        </w:rPr>
        <w:t xml:space="preserve">“Res gestae is a Latin term meaning “things done” or “things transacted.” It refers to the events or circumstances at issue, as well as other events that are contemporaneous with or related to them. Courts previously employed this term </w:t>
      </w:r>
      <w:proofErr w:type="gramStart"/>
      <w:r w:rsidRPr="00765ABF">
        <w:rPr>
          <w:rFonts w:ascii="Times New Roman" w:hAnsi="Times New Roman"/>
          <w:sz w:val="24"/>
          <w:szCs w:val="24"/>
        </w:rPr>
        <w:t>in order to</w:t>
      </w:r>
      <w:proofErr w:type="gramEnd"/>
      <w:r w:rsidRPr="00765ABF">
        <w:rPr>
          <w:rFonts w:ascii="Times New Roman" w:hAnsi="Times New Roman"/>
          <w:sz w:val="24"/>
          <w:szCs w:val="24"/>
        </w:rPr>
        <w:t xml:space="preserve"> </w:t>
      </w:r>
      <w:hyperlink r:id="rId117" w:history="1">
        <w:r w:rsidRPr="00765ABF">
          <w:rPr>
            <w:rStyle w:val="Hyperlink"/>
            <w:rFonts w:ascii="Times New Roman" w:hAnsi="Times New Roman"/>
            <w:sz w:val="24"/>
            <w:szCs w:val="24"/>
          </w:rPr>
          <w:t>admit</w:t>
        </w:r>
      </w:hyperlink>
      <w:r w:rsidRPr="00765ABF">
        <w:rPr>
          <w:rFonts w:ascii="Times New Roman" w:hAnsi="Times New Roman"/>
          <w:sz w:val="24"/>
          <w:szCs w:val="24"/>
        </w:rPr>
        <w:t xml:space="preserve"> otherwise </w:t>
      </w:r>
      <w:hyperlink r:id="rId118" w:history="1">
        <w:r w:rsidRPr="00765ABF">
          <w:rPr>
            <w:rStyle w:val="Hyperlink"/>
            <w:rFonts w:ascii="Times New Roman" w:hAnsi="Times New Roman"/>
            <w:sz w:val="24"/>
            <w:szCs w:val="24"/>
          </w:rPr>
          <w:t>inadmissible</w:t>
        </w:r>
      </w:hyperlink>
      <w:r w:rsidRPr="00765ABF">
        <w:rPr>
          <w:rFonts w:ascii="Times New Roman" w:hAnsi="Times New Roman"/>
          <w:sz w:val="24"/>
          <w:szCs w:val="24"/>
        </w:rPr>
        <w:t xml:space="preserve"> </w:t>
      </w:r>
      <w:hyperlink r:id="rId119" w:history="1">
        <w:r w:rsidRPr="00765ABF">
          <w:rPr>
            <w:rStyle w:val="Hyperlink"/>
            <w:rFonts w:ascii="Times New Roman" w:hAnsi="Times New Roman"/>
            <w:sz w:val="24"/>
            <w:szCs w:val="24"/>
          </w:rPr>
          <w:t>hearsay</w:t>
        </w:r>
      </w:hyperlink>
      <w:r w:rsidRPr="00765ABF">
        <w:rPr>
          <w:rFonts w:ascii="Times New Roman" w:hAnsi="Times New Roman"/>
          <w:sz w:val="24"/>
          <w:szCs w:val="24"/>
        </w:rPr>
        <w:t xml:space="preserve">. The term is not used much now. In </w:t>
      </w:r>
      <w:hyperlink r:id="rId120" w:history="1">
        <w:r w:rsidRPr="00765ABF">
          <w:rPr>
            <w:rStyle w:val="Hyperlink"/>
            <w:rFonts w:ascii="Times New Roman" w:hAnsi="Times New Roman"/>
            <w:sz w:val="24"/>
            <w:szCs w:val="24"/>
          </w:rPr>
          <w:t>evidence</w:t>
        </w:r>
      </w:hyperlink>
      <w:r w:rsidRPr="00765ABF">
        <w:rPr>
          <w:rFonts w:ascii="Times New Roman" w:hAnsi="Times New Roman"/>
          <w:sz w:val="24"/>
          <w:szCs w:val="24"/>
        </w:rPr>
        <w:t xml:space="preserve"> law, for example, the </w:t>
      </w:r>
      <w:hyperlink r:id="rId121" w:history="1">
        <w:r w:rsidRPr="00765ABF">
          <w:rPr>
            <w:rStyle w:val="Hyperlink"/>
            <w:rFonts w:ascii="Times New Roman" w:hAnsi="Times New Roman"/>
            <w:sz w:val="24"/>
            <w:szCs w:val="24"/>
          </w:rPr>
          <w:t>Federal Rules of Evidence</w:t>
        </w:r>
      </w:hyperlink>
      <w:r w:rsidRPr="00765ABF">
        <w:rPr>
          <w:rFonts w:ascii="Times New Roman" w:hAnsi="Times New Roman"/>
          <w:sz w:val="24"/>
          <w:szCs w:val="24"/>
        </w:rPr>
        <w:t xml:space="preserve">, </w:t>
      </w:r>
      <w:hyperlink r:id="rId122" w:history="1">
        <w:r w:rsidRPr="00765ABF">
          <w:rPr>
            <w:rStyle w:val="Hyperlink"/>
            <w:rFonts w:ascii="Times New Roman" w:hAnsi="Times New Roman"/>
            <w:sz w:val="24"/>
            <w:szCs w:val="24"/>
          </w:rPr>
          <w:t>Rules 803(1)[“present sense impression”], 803(2)[“excited utterance”], 803(3)[“declaration of existing physical condition”], and 803(4)[“declaration of past physical condition"]</w:t>
        </w:r>
      </w:hyperlink>
      <w:r w:rsidRPr="00765ABF">
        <w:rPr>
          <w:rFonts w:ascii="Times New Roman" w:hAnsi="Times New Roman"/>
          <w:sz w:val="24"/>
          <w:szCs w:val="24"/>
        </w:rPr>
        <w:t>, now specifically encompass and limit what was previously used as res gestae.”</w:t>
      </w:r>
    </w:p>
    <w:p w14:paraId="7F678EA5" w14:textId="77777777" w:rsidR="00765ABF" w:rsidRPr="00765ABF" w:rsidRDefault="00765ABF" w:rsidP="00B86628">
      <w:pPr>
        <w:pStyle w:val="NoSpacing"/>
        <w:rPr>
          <w:rFonts w:ascii="Times New Roman" w:hAnsi="Times New Roman"/>
          <w:sz w:val="24"/>
          <w:szCs w:val="24"/>
        </w:rPr>
      </w:pPr>
    </w:p>
    <w:p w14:paraId="77B8861E" w14:textId="77777777" w:rsidR="004B4DF6" w:rsidRPr="00765ABF" w:rsidRDefault="004B4DF6" w:rsidP="00B86628">
      <w:pPr>
        <w:pStyle w:val="NoSpacing"/>
        <w:rPr>
          <w:rFonts w:ascii="Times New Roman" w:hAnsi="Times New Roman"/>
          <w:sz w:val="24"/>
          <w:szCs w:val="24"/>
        </w:rPr>
      </w:pPr>
    </w:p>
    <w:p w14:paraId="3D5758BA" w14:textId="77777777" w:rsidR="004B4DF6" w:rsidRDefault="004B4DF6" w:rsidP="00B86628">
      <w:pPr>
        <w:pStyle w:val="NoSpacing"/>
        <w:rPr>
          <w:rFonts w:ascii="Arial Black" w:hAnsi="Arial Black"/>
          <w:sz w:val="24"/>
          <w:szCs w:val="24"/>
        </w:rPr>
      </w:pPr>
    </w:p>
    <w:p w14:paraId="3B63CAA8" w14:textId="3609B6EE" w:rsidR="004E46C8" w:rsidRPr="004B4DF6" w:rsidRDefault="00127024" w:rsidP="00B86628">
      <w:pPr>
        <w:pStyle w:val="NoSpacing"/>
        <w:rPr>
          <w:rFonts w:ascii="Arial Black" w:hAnsi="Arial Black"/>
          <w:sz w:val="24"/>
          <w:szCs w:val="24"/>
        </w:rPr>
      </w:pPr>
      <w:r w:rsidRPr="004B4DF6">
        <w:rPr>
          <w:rFonts w:ascii="Arial Black" w:hAnsi="Arial Black"/>
          <w:sz w:val="24"/>
          <w:szCs w:val="24"/>
        </w:rPr>
        <w:t>1-15</w:t>
      </w:r>
      <w:r w:rsidR="00A91BAB">
        <w:rPr>
          <w:rFonts w:ascii="Arial Black" w:hAnsi="Arial Black"/>
          <w:sz w:val="24"/>
          <w:szCs w:val="24"/>
        </w:rPr>
        <w:t>4</w:t>
      </w:r>
    </w:p>
    <w:p w14:paraId="1CB6E0FD" w14:textId="77777777" w:rsidR="004B4DF6" w:rsidRDefault="004B4DF6" w:rsidP="00B86628">
      <w:pPr>
        <w:pStyle w:val="NoSpacing"/>
        <w:rPr>
          <w:rFonts w:ascii="Arial Black" w:hAnsi="Arial Black"/>
          <w:sz w:val="24"/>
          <w:szCs w:val="24"/>
        </w:rPr>
      </w:pPr>
    </w:p>
    <w:p w14:paraId="1C2A4E66" w14:textId="77777777" w:rsidR="004B4DF6" w:rsidRPr="000533DB" w:rsidRDefault="004B4DF6" w:rsidP="004B4DF6">
      <w:pPr>
        <w:rPr>
          <w:rFonts w:ascii="Arial Black" w:hAnsi="Arial Black"/>
          <w:b/>
          <w:bCs/>
          <w:sz w:val="28"/>
        </w:rPr>
      </w:pPr>
      <w:r>
        <w:rPr>
          <w:rFonts w:ascii="Arial Black" w:hAnsi="Arial Black"/>
          <w:b/>
          <w:bCs/>
          <w:sz w:val="28"/>
        </w:rPr>
        <w:t>NY: E-BIKE FIRE – TENANT CHARGED BIKE ON 5</w:t>
      </w:r>
      <w:r w:rsidRPr="00AF70EC">
        <w:rPr>
          <w:rFonts w:ascii="Arial Black" w:hAnsi="Arial Black"/>
          <w:b/>
          <w:bCs/>
          <w:sz w:val="28"/>
          <w:vertAlign w:val="superscript"/>
        </w:rPr>
        <w:t>th</w:t>
      </w:r>
      <w:r>
        <w:rPr>
          <w:rFonts w:ascii="Arial Black" w:hAnsi="Arial Black"/>
          <w:b/>
          <w:bCs/>
          <w:sz w:val="28"/>
        </w:rPr>
        <w:t xml:space="preserve"> FLOOR APT - NOT BASEMENT STORAGE – $5,000 </w:t>
      </w:r>
    </w:p>
    <w:p w14:paraId="1E0E5ADA" w14:textId="77777777" w:rsidR="004B4DF6" w:rsidRPr="004B4DF6" w:rsidRDefault="004B4DF6" w:rsidP="004B4DF6">
      <w:pPr>
        <w:rPr>
          <w:rFonts w:ascii="Times New Roman" w:hAnsi="Times New Roman"/>
          <w:sz w:val="24"/>
          <w:szCs w:val="24"/>
        </w:rPr>
      </w:pPr>
      <w:r w:rsidRPr="004B4DF6">
        <w:rPr>
          <w:rFonts w:ascii="Times New Roman" w:hAnsi="Times New Roman"/>
          <w:sz w:val="24"/>
          <w:szCs w:val="24"/>
        </w:rPr>
        <w:t xml:space="preserve">On Aug. 19. 2024, in </w:t>
      </w:r>
      <w:r w:rsidRPr="004B4DF6">
        <w:rPr>
          <w:rFonts w:ascii="Times New Roman" w:hAnsi="Times New Roman"/>
          <w:sz w:val="24"/>
          <w:szCs w:val="24"/>
          <w:u w:val="single"/>
        </w:rPr>
        <w:t>Forest House, LLC v. Jamaris Santos</w:t>
      </w:r>
      <w:r w:rsidRPr="004B4DF6">
        <w:rPr>
          <w:rFonts w:ascii="Times New Roman" w:hAnsi="Times New Roman"/>
          <w:sz w:val="24"/>
          <w:szCs w:val="24"/>
        </w:rPr>
        <w:t>, City of New York, Civil Court, Bronx County, Judge Verena C. Powell held, after a bench trial, that the tenant was negligent in charging e-bike in her 5</w:t>
      </w:r>
      <w:r w:rsidRPr="004B4DF6">
        <w:rPr>
          <w:rFonts w:ascii="Times New Roman" w:hAnsi="Times New Roman"/>
          <w:sz w:val="24"/>
          <w:szCs w:val="24"/>
          <w:vertAlign w:val="superscript"/>
        </w:rPr>
        <w:t>th</w:t>
      </w:r>
      <w:r w:rsidRPr="004B4DF6">
        <w:rPr>
          <w:rFonts w:ascii="Times New Roman" w:hAnsi="Times New Roman"/>
          <w:sz w:val="24"/>
          <w:szCs w:val="24"/>
        </w:rPr>
        <w:t xml:space="preserve"> floor apartment, instead of the basement storage area, and must reimburse the building owner for the $5,000 deductible on their building insurance policy, plus attorney fees.  February 7, 2021, at approximately 1:20 a.m., the New York City Fire Department (FDNY) responded to a 911 fire call on the fifth floor of 770 East 166th Street, Bronx, New York 10456. The Court wrote: “Ms. Santos' testimony established that she was aware of and had access to the building's bike room but decided not to use it, instead storing and charging the device inside her apartment. As the Plaintiff's tenant, the defendant assumed the duty of exercising ordinary care to store the e-bike in an area designated for such items. The defendant's negligence is established by her storing the e-bike in a location other than one designated for its storage, and that, once engulfed in flames, was placed in the public hallway, impeding egress from the building.” </w:t>
      </w:r>
      <w:hyperlink r:id="rId123" w:history="1">
        <w:r w:rsidRPr="004B4DF6">
          <w:rPr>
            <w:rStyle w:val="Hyperlink"/>
            <w:rFonts w:ascii="Times New Roman" w:hAnsi="Times New Roman"/>
            <w:sz w:val="24"/>
            <w:szCs w:val="24"/>
          </w:rPr>
          <w:t>https://law.justia.com/cases/new-york/other-courts/2024/2024-ny-slip-op-51092-u.html</w:t>
        </w:r>
      </w:hyperlink>
      <w:r w:rsidRPr="004B4DF6">
        <w:rPr>
          <w:rFonts w:ascii="Times New Roman" w:hAnsi="Times New Roman"/>
          <w:sz w:val="24"/>
          <w:szCs w:val="24"/>
        </w:rPr>
        <w:t xml:space="preserve"> </w:t>
      </w:r>
    </w:p>
    <w:p w14:paraId="27C00EBA" w14:textId="77777777" w:rsidR="004B4DF6" w:rsidRPr="004B4DF6" w:rsidRDefault="004B4DF6" w:rsidP="004B4DF6">
      <w:pPr>
        <w:rPr>
          <w:rFonts w:ascii="Times New Roman" w:hAnsi="Times New Roman"/>
          <w:sz w:val="24"/>
          <w:szCs w:val="24"/>
        </w:rPr>
      </w:pPr>
      <w:r w:rsidRPr="004B4DF6">
        <w:rPr>
          <w:rFonts w:ascii="Times New Roman" w:hAnsi="Times New Roman"/>
          <w:sz w:val="24"/>
          <w:szCs w:val="24"/>
        </w:rPr>
        <w:t xml:space="preserve">THE COURT HELD:  </w:t>
      </w:r>
    </w:p>
    <w:p w14:paraId="0E01AB86" w14:textId="77777777" w:rsidR="004B4DF6" w:rsidRPr="004B4DF6" w:rsidRDefault="004B4DF6" w:rsidP="004B4DF6">
      <w:pPr>
        <w:ind w:left="720"/>
        <w:rPr>
          <w:rFonts w:ascii="Times New Roman" w:hAnsi="Times New Roman"/>
          <w:sz w:val="24"/>
          <w:szCs w:val="24"/>
        </w:rPr>
      </w:pPr>
      <w:r w:rsidRPr="004B4DF6">
        <w:rPr>
          <w:rFonts w:ascii="Times New Roman" w:hAnsi="Times New Roman"/>
          <w:sz w:val="24"/>
          <w:szCs w:val="24"/>
        </w:rPr>
        <w:t xml:space="preserve">“Fire Marshal Coyle testified that the cause of the fire was the disintegration of the electric wiring coating within the battery compartment of the e-bike. He reached this conclusion by speaking with Battalion Chief </w:t>
      </w:r>
      <w:proofErr w:type="spellStart"/>
      <w:r w:rsidRPr="004B4DF6">
        <w:rPr>
          <w:rFonts w:ascii="Times New Roman" w:hAnsi="Times New Roman"/>
          <w:sz w:val="24"/>
          <w:szCs w:val="24"/>
        </w:rPr>
        <w:t>McGenn</w:t>
      </w:r>
      <w:proofErr w:type="spellEnd"/>
      <w:r w:rsidRPr="004B4DF6">
        <w:rPr>
          <w:rFonts w:ascii="Times New Roman" w:hAnsi="Times New Roman"/>
          <w:sz w:val="24"/>
          <w:szCs w:val="24"/>
        </w:rPr>
        <w:t xml:space="preserve"> and Lieutenant Owens about the e-bike's condition when they reached the fire, </w:t>
      </w:r>
      <w:r w:rsidRPr="004B4DF6">
        <w:rPr>
          <w:rFonts w:ascii="Times New Roman" w:hAnsi="Times New Roman"/>
          <w:sz w:val="24"/>
          <w:szCs w:val="24"/>
        </w:rPr>
        <w:lastRenderedPageBreak/>
        <w:t>interviewing Ms. Santos regarding her observations of the fire, examining a photograph of the charred e-bike, and noting smoke stains on the apartment wall about 3 feet above the floor. The picture of the e-bike shows that the area under the rider's seat sustained the most significant amount of damage, thus indicating where the fire ignited.  This Court credits Fire Marshall Coyle's expert testimony and finds that deterioration of the wiring insulation caused the battery to short circuit, igniting the e-bike battery case covering and the e-bike's seat, thereby causing the February 7, 2021, fire in Ms. Santos' apartment.”</w:t>
      </w:r>
    </w:p>
    <w:p w14:paraId="2F84B898" w14:textId="318B1D1E" w:rsidR="004B4DF6" w:rsidRPr="004B4DF6" w:rsidRDefault="004B4DF6" w:rsidP="005441DE">
      <w:pPr>
        <w:rPr>
          <w:rFonts w:ascii="Times New Roman" w:hAnsi="Times New Roman"/>
          <w:b/>
          <w:bCs/>
          <w:sz w:val="24"/>
          <w:szCs w:val="24"/>
        </w:rPr>
      </w:pPr>
      <w:r w:rsidRPr="004B4DF6">
        <w:rPr>
          <w:rFonts w:ascii="Times New Roman" w:hAnsi="Times New Roman"/>
          <w:b/>
          <w:bCs/>
          <w:sz w:val="24"/>
          <w:szCs w:val="24"/>
        </w:rPr>
        <w:t>Legal Lesson Learned: Do not charge e-</w:t>
      </w:r>
      <w:proofErr w:type="gramStart"/>
      <w:r w:rsidRPr="004B4DF6">
        <w:rPr>
          <w:rFonts w:ascii="Times New Roman" w:hAnsi="Times New Roman"/>
          <w:b/>
          <w:bCs/>
          <w:sz w:val="24"/>
          <w:szCs w:val="24"/>
        </w:rPr>
        <w:t>bike</w:t>
      </w:r>
      <w:proofErr w:type="gramEnd"/>
      <w:r w:rsidRPr="004B4DF6">
        <w:rPr>
          <w:rFonts w:ascii="Times New Roman" w:hAnsi="Times New Roman"/>
          <w:b/>
          <w:bCs/>
          <w:sz w:val="24"/>
          <w:szCs w:val="24"/>
        </w:rPr>
        <w:t xml:space="preserve"> in your apartment or home; tenants will be liable for damages. </w:t>
      </w:r>
    </w:p>
    <w:p w14:paraId="11AA5A1E" w14:textId="77777777" w:rsidR="004B4DF6" w:rsidRPr="004B4DF6" w:rsidRDefault="004B4DF6" w:rsidP="004B4DF6">
      <w:pPr>
        <w:rPr>
          <w:rFonts w:ascii="Times New Roman" w:hAnsi="Times New Roman"/>
          <w:szCs w:val="24"/>
        </w:rPr>
      </w:pPr>
    </w:p>
    <w:p w14:paraId="191FB5EA" w14:textId="77777777" w:rsidR="007C22F6" w:rsidRDefault="007C22F6" w:rsidP="007C22F6">
      <w:pPr>
        <w:pStyle w:val="NoSpacing"/>
        <w:rPr>
          <w:rFonts w:ascii="Arial Black" w:hAnsi="Arial Black"/>
          <w:sz w:val="24"/>
          <w:szCs w:val="24"/>
        </w:rPr>
      </w:pPr>
    </w:p>
    <w:p w14:paraId="2E8417F2" w14:textId="3F304553" w:rsidR="007C22F6" w:rsidRDefault="007C22F6" w:rsidP="007C22F6">
      <w:pPr>
        <w:pStyle w:val="NoSpacing"/>
        <w:rPr>
          <w:rFonts w:ascii="Arial Black" w:hAnsi="Arial Black"/>
          <w:sz w:val="24"/>
          <w:szCs w:val="24"/>
        </w:rPr>
      </w:pPr>
      <w:r>
        <w:rPr>
          <w:rFonts w:ascii="Arial Black" w:hAnsi="Arial Black"/>
          <w:sz w:val="24"/>
          <w:szCs w:val="24"/>
        </w:rPr>
        <w:t>1-15</w:t>
      </w:r>
      <w:r w:rsidR="00A91BAB">
        <w:rPr>
          <w:rFonts w:ascii="Arial Black" w:hAnsi="Arial Black"/>
          <w:sz w:val="24"/>
          <w:szCs w:val="24"/>
        </w:rPr>
        <w:t>3</w:t>
      </w:r>
    </w:p>
    <w:p w14:paraId="74332D37" w14:textId="77777777" w:rsidR="007C22F6" w:rsidRDefault="007C22F6" w:rsidP="007C22F6">
      <w:pPr>
        <w:pStyle w:val="NoSpacing"/>
        <w:rPr>
          <w:rFonts w:ascii="Arial Black" w:hAnsi="Arial Black"/>
          <w:sz w:val="28"/>
        </w:rPr>
      </w:pPr>
    </w:p>
    <w:p w14:paraId="7BA1D00E" w14:textId="78C9E3C0" w:rsidR="007C22F6" w:rsidRPr="00270EFD" w:rsidRDefault="007C22F6" w:rsidP="007C22F6">
      <w:pPr>
        <w:pStyle w:val="NoSpacing"/>
        <w:rPr>
          <w:rFonts w:ascii="Arial Black" w:hAnsi="Arial Black"/>
          <w:sz w:val="28"/>
        </w:rPr>
      </w:pPr>
      <w:r>
        <w:rPr>
          <w:rFonts w:ascii="Arial Black" w:hAnsi="Arial Black"/>
          <w:sz w:val="28"/>
        </w:rPr>
        <w:t xml:space="preserve">IL: ALARM SYSTEM ORDINANCE – COMMERCIAL ALARMS MUST GO DIRECT TO 911 CENTER – LAWFUL </w:t>
      </w:r>
    </w:p>
    <w:p w14:paraId="09B79B21" w14:textId="77777777" w:rsidR="007C22F6" w:rsidRDefault="007C22F6" w:rsidP="007C22F6">
      <w:pPr>
        <w:pStyle w:val="NoSpacing"/>
        <w:rPr>
          <w:szCs w:val="24"/>
        </w:rPr>
      </w:pPr>
    </w:p>
    <w:p w14:paraId="63C70625" w14:textId="77777777" w:rsidR="007C22F6" w:rsidRPr="007C22F6" w:rsidRDefault="007C22F6" w:rsidP="007C22F6">
      <w:pPr>
        <w:pStyle w:val="NoSpacing"/>
        <w:rPr>
          <w:rFonts w:ascii="Times New Roman" w:hAnsi="Times New Roman"/>
          <w:sz w:val="24"/>
          <w:szCs w:val="24"/>
        </w:rPr>
      </w:pPr>
      <w:r w:rsidRPr="007C22F6">
        <w:rPr>
          <w:rFonts w:ascii="Times New Roman" w:hAnsi="Times New Roman"/>
          <w:sz w:val="24"/>
          <w:szCs w:val="24"/>
        </w:rPr>
        <w:t xml:space="preserve">On Aug. 14, 2024, in </w:t>
      </w:r>
      <w:r w:rsidRPr="007C22F6">
        <w:rPr>
          <w:rFonts w:ascii="Times New Roman" w:hAnsi="Times New Roman"/>
          <w:sz w:val="24"/>
          <w:szCs w:val="24"/>
          <w:u w:val="single"/>
        </w:rPr>
        <w:t>Alarm Detection Services, Inc, et al. v. Village of Schaumburg</w:t>
      </w:r>
      <w:r w:rsidRPr="007C22F6">
        <w:rPr>
          <w:rFonts w:ascii="Times New Roman" w:hAnsi="Times New Roman"/>
          <w:sz w:val="24"/>
          <w:szCs w:val="24"/>
        </w:rPr>
        <w:t xml:space="preserve">, United States District Court Judge Joan H. </w:t>
      </w:r>
      <w:proofErr w:type="spellStart"/>
      <w:r w:rsidRPr="007C22F6">
        <w:rPr>
          <w:rFonts w:ascii="Times New Roman" w:hAnsi="Times New Roman"/>
          <w:sz w:val="24"/>
          <w:szCs w:val="24"/>
        </w:rPr>
        <w:t>Lefkow</w:t>
      </w:r>
      <w:proofErr w:type="spellEnd"/>
      <w:r w:rsidRPr="007C22F6">
        <w:rPr>
          <w:rFonts w:ascii="Times New Roman" w:hAnsi="Times New Roman"/>
          <w:sz w:val="24"/>
          <w:szCs w:val="24"/>
        </w:rPr>
        <w:t xml:space="preserve">, U.S. District Court for the Northern District of Illinois, Eastern Division, granted summary judgment to the Village, in lawsuit by four alarm companies that claimed they have lost 250 commercial clients because of the 2016 Ordinance that requires alarms to go direct to 911 Center (system managed by Tyco Company), instead of first to the alarm companies centers.  The Court wrote: “The Village has proffered abundant evidence, as set out above, to demonstrate that it was not motivated to injure Alarm Companies; rather, its motivation was to improve fire safety in the Village…. Unfortunately, Alarm Companies do not counter with data the Village’s evidence </w:t>
      </w:r>
      <w:proofErr w:type="gramStart"/>
      <w:r w:rsidRPr="007C22F6">
        <w:rPr>
          <w:rFonts w:ascii="Times New Roman" w:hAnsi="Times New Roman"/>
          <w:sz w:val="24"/>
          <w:szCs w:val="24"/>
        </w:rPr>
        <w:t>that,</w:t>
      </w:r>
      <w:proofErr w:type="gramEnd"/>
      <w:r w:rsidRPr="007C22F6">
        <w:rPr>
          <w:rFonts w:ascii="Times New Roman" w:hAnsi="Times New Roman"/>
          <w:sz w:val="24"/>
          <w:szCs w:val="24"/>
        </w:rPr>
        <w:t xml:space="preserve"> post passage, response times improved and out-of-service systems decreased. But even if they had, it would not undermine the evidence of the Village’s motivation at the time the Ordinance was passed….In light of the evidence that the Village pursued legitimate public safety goals in enacting the Ordinance and the paucity of evidence that it intended to induce Commercial Properties to discontinue contracting with Alarm Companies, the court concludes that no reasonable jury would find that the Village’s purpose was to induce property owners to cease doing business with Alarm Companies.” </w:t>
      </w:r>
      <w:hyperlink r:id="rId124" w:history="1">
        <w:r w:rsidRPr="007C22F6">
          <w:rPr>
            <w:rStyle w:val="Hyperlink"/>
            <w:rFonts w:ascii="Times New Roman" w:hAnsi="Times New Roman"/>
            <w:sz w:val="24"/>
            <w:szCs w:val="24"/>
          </w:rPr>
          <w:t>https://cases.justia.com/federal/district-courts/illinois/ilndce/1:2017cv02153/337913/236/0.pdf?ts=1723715563</w:t>
        </w:r>
      </w:hyperlink>
      <w:r w:rsidRPr="007C22F6">
        <w:rPr>
          <w:rFonts w:ascii="Times New Roman" w:hAnsi="Times New Roman"/>
          <w:sz w:val="24"/>
          <w:szCs w:val="24"/>
        </w:rPr>
        <w:t xml:space="preserve"> </w:t>
      </w:r>
    </w:p>
    <w:p w14:paraId="6543AC61" w14:textId="77777777" w:rsidR="007C22F6" w:rsidRPr="007C22F6" w:rsidRDefault="007C22F6" w:rsidP="007C22F6">
      <w:pPr>
        <w:pStyle w:val="NoSpacing"/>
        <w:rPr>
          <w:rFonts w:ascii="Times New Roman" w:hAnsi="Times New Roman"/>
          <w:sz w:val="24"/>
          <w:szCs w:val="24"/>
        </w:rPr>
      </w:pPr>
    </w:p>
    <w:p w14:paraId="7038F780" w14:textId="77777777" w:rsidR="007C22F6" w:rsidRPr="007C22F6" w:rsidRDefault="007C22F6" w:rsidP="007C22F6">
      <w:pPr>
        <w:pStyle w:val="NoSpacing"/>
        <w:rPr>
          <w:rFonts w:ascii="Times New Roman" w:hAnsi="Times New Roman"/>
          <w:sz w:val="24"/>
          <w:szCs w:val="24"/>
        </w:rPr>
      </w:pPr>
      <w:r w:rsidRPr="007C22F6">
        <w:rPr>
          <w:rFonts w:ascii="Times New Roman" w:hAnsi="Times New Roman"/>
          <w:sz w:val="24"/>
          <w:szCs w:val="24"/>
        </w:rPr>
        <w:t>THE COURT HELD:</w:t>
      </w:r>
    </w:p>
    <w:p w14:paraId="547BE9C7" w14:textId="77777777" w:rsidR="007C22F6" w:rsidRPr="007C22F6" w:rsidRDefault="007C22F6" w:rsidP="007C22F6">
      <w:pPr>
        <w:pStyle w:val="NoSpacing"/>
        <w:rPr>
          <w:rFonts w:ascii="Times New Roman" w:hAnsi="Times New Roman"/>
          <w:sz w:val="24"/>
          <w:szCs w:val="24"/>
        </w:rPr>
      </w:pPr>
    </w:p>
    <w:p w14:paraId="30C44FEF"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“Local fire codes, including those of the Village, require certain commercial and multi-family buildings to be protected by fire-alarm systems and typically require that those systems comply with national safety standards set forth in the National Fire Protection Association’s National Fire Alarm and Signaling Code (NFPA 72). Under NFPA 72, the installation and maintenance of fire-alarm systems are the responsibility of individual building owners. Owners of commercial and multi-family properties typically contract with private companies, such as Alarm Companies, to provide and maintain the required fire-alarm systems. Such systems generally have three components: (1) smoke and heat detectors that generate signals; (2) an alarm panel that receives signals from those detectors; and (3) a transmission device that sends signals to a monitoring facility. The signals transmitted by the detectors include alarm signals signifying smoke or fire, as well as ‘trouble’ or ‘supervisory’ signals which indicate whether the system is performing properly or is out of service.</w:t>
      </w:r>
    </w:p>
    <w:p w14:paraId="763B5917" w14:textId="77777777" w:rsidR="007C22F6" w:rsidRPr="007C22F6" w:rsidRDefault="007C22F6" w:rsidP="007C22F6">
      <w:pPr>
        <w:pStyle w:val="NoSpacing"/>
        <w:ind w:left="720"/>
        <w:rPr>
          <w:rFonts w:ascii="Times New Roman" w:hAnsi="Times New Roman"/>
          <w:sz w:val="24"/>
          <w:szCs w:val="24"/>
        </w:rPr>
      </w:pPr>
    </w:p>
    <w:p w14:paraId="5DD5BC51"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w:t>
      </w:r>
    </w:p>
    <w:p w14:paraId="6BA65E18" w14:textId="77777777" w:rsidR="007C22F6" w:rsidRPr="007C22F6" w:rsidRDefault="007C22F6" w:rsidP="007C22F6">
      <w:pPr>
        <w:pStyle w:val="NoSpacing"/>
        <w:rPr>
          <w:rFonts w:ascii="Times New Roman" w:hAnsi="Times New Roman"/>
          <w:sz w:val="24"/>
          <w:szCs w:val="24"/>
        </w:rPr>
      </w:pPr>
    </w:p>
    <w:p w14:paraId="6874A36C"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lastRenderedPageBreak/>
        <w:t xml:space="preserve">The court acknowledges that there is record evidence to support Alarm Companies’ contentions that the Ordinance had the effect of requiring Commercial Accounts to purchase or lease from Tyco at least some equipment necessary to connect to NWCDS. The Village itself seems to have suggested to businesses that Tyco transmitters may be required; after passage of the Ordinance, the Village sent a notice to property owners indicating that Tyco was ‘the authorized installer of </w:t>
      </w:r>
      <w:proofErr w:type="gramStart"/>
      <w:r w:rsidRPr="007C22F6">
        <w:rPr>
          <w:rFonts w:ascii="Times New Roman" w:hAnsi="Times New Roman"/>
          <w:sz w:val="24"/>
          <w:szCs w:val="24"/>
        </w:rPr>
        <w:t>the radio</w:t>
      </w:r>
      <w:proofErr w:type="gramEnd"/>
      <w:r w:rsidRPr="007C22F6">
        <w:rPr>
          <w:rFonts w:ascii="Times New Roman" w:hAnsi="Times New Roman"/>
          <w:sz w:val="24"/>
          <w:szCs w:val="24"/>
        </w:rPr>
        <w:t xml:space="preserve"> equipment</w:t>
      </w:r>
    </w:p>
    <w:p w14:paraId="5DAE44DE"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 xml:space="preserve">required for fire alarm systems monitored by NWCDS.’ </w:t>
      </w:r>
    </w:p>
    <w:p w14:paraId="0194E24D"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w:t>
      </w:r>
    </w:p>
    <w:p w14:paraId="47BA5BCB" w14:textId="77777777" w:rsidR="007C22F6" w:rsidRPr="007C22F6" w:rsidRDefault="007C22F6" w:rsidP="007C22F6">
      <w:pPr>
        <w:pStyle w:val="NoSpacing"/>
        <w:ind w:left="720"/>
        <w:rPr>
          <w:rFonts w:ascii="Times New Roman" w:hAnsi="Times New Roman"/>
          <w:sz w:val="24"/>
          <w:szCs w:val="24"/>
        </w:rPr>
      </w:pPr>
    </w:p>
    <w:p w14:paraId="536060F3"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 xml:space="preserve">Alarm Companies argue that there is no genuine dispute of fact that the Ordinance caused many Commercial Accounts either to terminate or to refuse to renew their contracts, costing Alarm Companies hundreds of accounts in the Village. Alarm Companies’ argument, however, has no support in the evidentiary record. They fail to point to any evidence that any Commercial Account </w:t>
      </w:r>
      <w:proofErr w:type="gramStart"/>
      <w:r w:rsidRPr="007C22F6">
        <w:rPr>
          <w:rFonts w:ascii="Times New Roman" w:hAnsi="Times New Roman"/>
          <w:sz w:val="24"/>
          <w:szCs w:val="24"/>
        </w:rPr>
        <w:t>actually terminated</w:t>
      </w:r>
      <w:proofErr w:type="gramEnd"/>
      <w:r w:rsidRPr="007C22F6">
        <w:rPr>
          <w:rFonts w:ascii="Times New Roman" w:hAnsi="Times New Roman"/>
          <w:sz w:val="24"/>
          <w:szCs w:val="24"/>
        </w:rPr>
        <w:t xml:space="preserve"> early or otherwise breached a contract in response to the Ordinance.”</w:t>
      </w:r>
    </w:p>
    <w:p w14:paraId="3374264A" w14:textId="77777777" w:rsidR="007C22F6" w:rsidRPr="007C22F6" w:rsidRDefault="007C22F6" w:rsidP="007C22F6">
      <w:pPr>
        <w:pStyle w:val="NoSpacing"/>
        <w:rPr>
          <w:rFonts w:ascii="Times New Roman" w:hAnsi="Times New Roman"/>
          <w:sz w:val="24"/>
          <w:szCs w:val="24"/>
        </w:rPr>
      </w:pPr>
    </w:p>
    <w:p w14:paraId="63598C8E" w14:textId="77777777" w:rsidR="007C22F6" w:rsidRPr="007C22F6" w:rsidRDefault="007C22F6" w:rsidP="007C22F6">
      <w:pPr>
        <w:pStyle w:val="NoSpacing"/>
        <w:rPr>
          <w:rFonts w:ascii="Times New Roman" w:hAnsi="Times New Roman"/>
          <w:b/>
          <w:bCs/>
          <w:sz w:val="24"/>
          <w:szCs w:val="24"/>
        </w:rPr>
      </w:pPr>
      <w:r w:rsidRPr="007C22F6">
        <w:rPr>
          <w:rFonts w:ascii="Times New Roman" w:hAnsi="Times New Roman"/>
          <w:b/>
          <w:bCs/>
          <w:sz w:val="24"/>
          <w:szCs w:val="24"/>
        </w:rPr>
        <w:t>Legal Lesson Learned:  Village ordinance has proven effective in prompt notification to 911 Center of alarms, and notification to FD of problems with commercial property systems.</w:t>
      </w:r>
    </w:p>
    <w:p w14:paraId="5CAD26A1" w14:textId="77777777" w:rsidR="007C22F6" w:rsidRPr="007C22F6" w:rsidRDefault="007C22F6" w:rsidP="000B35FC">
      <w:pPr>
        <w:rPr>
          <w:rFonts w:ascii="Times New Roman" w:hAnsi="Times New Roman"/>
          <w:sz w:val="24"/>
          <w:szCs w:val="24"/>
        </w:rPr>
      </w:pPr>
    </w:p>
    <w:p w14:paraId="0A8E5FED" w14:textId="77777777" w:rsidR="00127024" w:rsidRDefault="00127024" w:rsidP="00B86628">
      <w:pPr>
        <w:pStyle w:val="NoSpacing"/>
        <w:rPr>
          <w:rFonts w:ascii="Arial Black" w:hAnsi="Arial Black"/>
          <w:sz w:val="24"/>
          <w:szCs w:val="24"/>
        </w:rPr>
      </w:pPr>
    </w:p>
    <w:p w14:paraId="0BBFC3B4" w14:textId="2012094C" w:rsidR="00316842" w:rsidRDefault="00316842" w:rsidP="00B86628">
      <w:pPr>
        <w:pStyle w:val="NoSpacing"/>
        <w:rPr>
          <w:rFonts w:ascii="Arial Black" w:hAnsi="Arial Black"/>
          <w:sz w:val="24"/>
          <w:szCs w:val="24"/>
        </w:rPr>
      </w:pPr>
      <w:r>
        <w:rPr>
          <w:rFonts w:ascii="Arial Black" w:hAnsi="Arial Black"/>
          <w:sz w:val="24"/>
          <w:szCs w:val="24"/>
        </w:rPr>
        <w:t>1-15</w:t>
      </w:r>
      <w:r w:rsidR="00A91BAB">
        <w:rPr>
          <w:rFonts w:ascii="Arial Black" w:hAnsi="Arial Black"/>
          <w:sz w:val="24"/>
          <w:szCs w:val="24"/>
        </w:rPr>
        <w:t>2</w:t>
      </w:r>
    </w:p>
    <w:p w14:paraId="730D1D82" w14:textId="77777777" w:rsidR="00FB79CF" w:rsidRDefault="00FB79CF" w:rsidP="00B86628">
      <w:pPr>
        <w:pStyle w:val="NoSpacing"/>
        <w:rPr>
          <w:rFonts w:ascii="Arial Black" w:hAnsi="Arial Black"/>
          <w:sz w:val="24"/>
          <w:szCs w:val="24"/>
        </w:rPr>
      </w:pPr>
    </w:p>
    <w:p w14:paraId="0E507D42" w14:textId="77777777" w:rsidR="00FB79CF" w:rsidRPr="00AB4CDC" w:rsidRDefault="00FB79CF" w:rsidP="00FB79CF">
      <w:pPr>
        <w:rPr>
          <w:rFonts w:ascii="Arial Black" w:hAnsi="Arial Black"/>
          <w:b/>
          <w:bCs/>
          <w:sz w:val="28"/>
          <w:szCs w:val="28"/>
        </w:rPr>
      </w:pPr>
      <w:r>
        <w:rPr>
          <w:rFonts w:ascii="Arial Black" w:hAnsi="Arial Black"/>
          <w:b/>
          <w:bCs/>
          <w:sz w:val="28"/>
          <w:szCs w:val="28"/>
        </w:rPr>
        <w:t>IN: ARSON INVEST. – MOTEL ROOM FIRE STARTED SHORTLY AFTER GIRLFRIEND LEFT - MJ ROACH DIDN’T START FIRE</w:t>
      </w:r>
    </w:p>
    <w:p w14:paraId="40E206BF" w14:textId="1A90DFE7" w:rsidR="00FB79CF" w:rsidRDefault="00FB79CF" w:rsidP="00FB79CF">
      <w:pPr>
        <w:rPr>
          <w:rFonts w:ascii="Times New Roman" w:hAnsi="Times New Roman"/>
          <w:sz w:val="24"/>
          <w:szCs w:val="24"/>
        </w:rPr>
      </w:pPr>
      <w:r w:rsidRPr="00CC749D">
        <w:rPr>
          <w:rFonts w:ascii="Times New Roman" w:hAnsi="Times New Roman"/>
          <w:sz w:val="24"/>
          <w:szCs w:val="24"/>
        </w:rPr>
        <w:t xml:space="preserve">On </w:t>
      </w:r>
      <w:r>
        <w:rPr>
          <w:rFonts w:ascii="Times New Roman" w:hAnsi="Times New Roman"/>
          <w:sz w:val="24"/>
          <w:szCs w:val="24"/>
        </w:rPr>
        <w:t xml:space="preserve">July 30, 2024, in </w:t>
      </w:r>
      <w:r w:rsidRPr="00152966">
        <w:rPr>
          <w:rFonts w:ascii="Times New Roman" w:hAnsi="Times New Roman"/>
          <w:sz w:val="24"/>
          <w:szCs w:val="24"/>
          <w:u w:val="single"/>
        </w:rPr>
        <w:t>Thomas F. Dunigan, II v. State of Indiana</w:t>
      </w:r>
      <w:r>
        <w:rPr>
          <w:rFonts w:ascii="Times New Roman" w:hAnsi="Times New Roman"/>
          <w:sz w:val="24"/>
          <w:szCs w:val="24"/>
        </w:rPr>
        <w:t>, the Indiana Court of Appeals held (5 to 0) that expert witness testimony was properly admitted, based on peer reviewed articles he read about taking at least 20 minutes for a lit cigarette left on bed to cause ignition.   Defendant was sentenced to 12 years after jury convicted him of arson; trial court did not abuse its discretion “</w:t>
      </w:r>
      <w:r w:rsidRPr="00371817">
        <w:rPr>
          <w:rFonts w:ascii="Times New Roman" w:hAnsi="Times New Roman"/>
          <w:sz w:val="24"/>
          <w:szCs w:val="24"/>
        </w:rPr>
        <w:t>when it permitted an expert witness to testify that the fire in his motel room was intentionally caused by a direct flame source and not accidentally caused by a smoldering marijuana cigarette.</w:t>
      </w:r>
      <w:r>
        <w:rPr>
          <w:rFonts w:ascii="Times New Roman" w:hAnsi="Times New Roman"/>
          <w:sz w:val="24"/>
          <w:szCs w:val="24"/>
        </w:rPr>
        <w:t xml:space="preserve">” </w:t>
      </w:r>
      <w:hyperlink r:id="rId125" w:history="1">
        <w:r w:rsidRPr="00D65D84">
          <w:rPr>
            <w:rStyle w:val="Hyperlink"/>
            <w:rFonts w:ascii="Times New Roman" w:hAnsi="Times New Roman"/>
            <w:sz w:val="24"/>
            <w:szCs w:val="24"/>
          </w:rPr>
          <w:t>https://caselaw.findlaw.com/court/in-court-of-appeals/116435959.html</w:t>
        </w:r>
      </w:hyperlink>
      <w:r>
        <w:rPr>
          <w:rFonts w:ascii="Times New Roman" w:hAnsi="Times New Roman"/>
          <w:sz w:val="24"/>
          <w:szCs w:val="24"/>
        </w:rPr>
        <w:t xml:space="preserve"> </w:t>
      </w:r>
    </w:p>
    <w:p w14:paraId="3A29A8F3" w14:textId="77777777" w:rsidR="00FB79CF" w:rsidRDefault="00FB79CF" w:rsidP="00FB79CF">
      <w:pPr>
        <w:rPr>
          <w:rFonts w:ascii="Times New Roman" w:hAnsi="Times New Roman"/>
          <w:sz w:val="24"/>
          <w:szCs w:val="24"/>
        </w:rPr>
      </w:pPr>
      <w:r>
        <w:rPr>
          <w:rFonts w:ascii="Times New Roman" w:hAnsi="Times New Roman"/>
          <w:sz w:val="24"/>
          <w:szCs w:val="24"/>
        </w:rPr>
        <w:t>THE COURT HELD:</w:t>
      </w:r>
    </w:p>
    <w:p w14:paraId="6B434AC4" w14:textId="77777777" w:rsidR="00FB79CF" w:rsidRDefault="00FB79CF" w:rsidP="00FB79CF">
      <w:pPr>
        <w:ind w:left="720"/>
        <w:rPr>
          <w:rFonts w:ascii="Times New Roman" w:hAnsi="Times New Roman"/>
          <w:sz w:val="24"/>
          <w:szCs w:val="24"/>
        </w:rPr>
      </w:pPr>
      <w:r w:rsidRPr="00744265">
        <w:rPr>
          <w:rFonts w:ascii="Times New Roman" w:hAnsi="Times New Roman"/>
          <w:sz w:val="24"/>
          <w:szCs w:val="24"/>
        </w:rPr>
        <w:t>“Under Evidence Rule 702(b), the trial court had discretion to conclude that Malon's reliance on those articles and studies was sufficient to show that his opinion was supported by reliable scientific principles.</w:t>
      </w:r>
    </w:p>
    <w:p w14:paraId="0F982EE7" w14:textId="77777777" w:rsidR="00FB79CF" w:rsidRDefault="00FB79CF" w:rsidP="00FB79CF">
      <w:pPr>
        <w:ind w:left="720"/>
        <w:rPr>
          <w:rFonts w:ascii="Times New Roman" w:hAnsi="Times New Roman"/>
          <w:sz w:val="24"/>
          <w:szCs w:val="24"/>
        </w:rPr>
      </w:pPr>
      <w:r>
        <w:rPr>
          <w:rFonts w:ascii="Times New Roman" w:hAnsi="Times New Roman"/>
          <w:sz w:val="24"/>
          <w:szCs w:val="24"/>
        </w:rPr>
        <w:t>***</w:t>
      </w:r>
    </w:p>
    <w:p w14:paraId="5C4C0465" w14:textId="77777777" w:rsidR="00FB79CF" w:rsidRDefault="00FB79CF" w:rsidP="00FB79CF">
      <w:pPr>
        <w:ind w:left="720"/>
        <w:rPr>
          <w:rFonts w:ascii="Times New Roman" w:hAnsi="Times New Roman"/>
          <w:sz w:val="24"/>
          <w:szCs w:val="24"/>
        </w:rPr>
      </w:pPr>
      <w:r w:rsidRPr="00FB7826">
        <w:rPr>
          <w:rFonts w:ascii="Times New Roman" w:hAnsi="Times New Roman"/>
          <w:sz w:val="24"/>
          <w:szCs w:val="24"/>
        </w:rPr>
        <w:t xml:space="preserve">Malon testified that, in concluding that the fire was intentionally set and not caused by a smoldering marijuana cigarette, he had relied on </w:t>
      </w:r>
      <w:r>
        <w:rPr>
          <w:rFonts w:ascii="Times New Roman" w:hAnsi="Times New Roman"/>
          <w:sz w:val="24"/>
          <w:szCs w:val="24"/>
        </w:rPr>
        <w:t>‘</w:t>
      </w:r>
      <w:r w:rsidRPr="00FB7826">
        <w:rPr>
          <w:rFonts w:ascii="Times New Roman" w:hAnsi="Times New Roman"/>
          <w:sz w:val="24"/>
          <w:szCs w:val="24"/>
        </w:rPr>
        <w:t>several peer[ ]reviewed articles and studies done through NIST[,] National ․ Association of Fire Investigators[, and] Underwriters Laboratory,</w:t>
      </w:r>
      <w:r>
        <w:rPr>
          <w:rFonts w:ascii="Times New Roman" w:hAnsi="Times New Roman"/>
          <w:sz w:val="24"/>
          <w:szCs w:val="24"/>
        </w:rPr>
        <w:t>’</w:t>
      </w:r>
      <w:r w:rsidRPr="00FB7826">
        <w:rPr>
          <w:rFonts w:ascii="Times New Roman" w:hAnsi="Times New Roman"/>
          <w:sz w:val="24"/>
          <w:szCs w:val="24"/>
        </w:rPr>
        <w:t xml:space="preserve"> including </w:t>
      </w:r>
      <w:r>
        <w:rPr>
          <w:rFonts w:ascii="Times New Roman" w:hAnsi="Times New Roman"/>
          <w:sz w:val="24"/>
          <w:szCs w:val="24"/>
        </w:rPr>
        <w:t>‘</w:t>
      </w:r>
      <w:r w:rsidRPr="00FB7826">
        <w:rPr>
          <w:rFonts w:ascii="Times New Roman" w:hAnsi="Times New Roman"/>
          <w:sz w:val="24"/>
          <w:szCs w:val="24"/>
        </w:rPr>
        <w:t>one study from 2014 done by the National Association of Fire Investigators</w:t>
      </w:r>
      <w:r>
        <w:rPr>
          <w:rFonts w:ascii="Times New Roman" w:hAnsi="Times New Roman"/>
          <w:sz w:val="24"/>
          <w:szCs w:val="24"/>
        </w:rPr>
        <w:t>’</w:t>
      </w:r>
      <w:r w:rsidRPr="00FB7826">
        <w:rPr>
          <w:rFonts w:ascii="Times New Roman" w:hAnsi="Times New Roman"/>
          <w:sz w:val="24"/>
          <w:szCs w:val="24"/>
        </w:rPr>
        <w:t xml:space="preserve"> specifically addressing </w:t>
      </w:r>
      <w:r>
        <w:rPr>
          <w:rFonts w:ascii="Times New Roman" w:hAnsi="Times New Roman"/>
          <w:sz w:val="24"/>
          <w:szCs w:val="24"/>
        </w:rPr>
        <w:t>‘</w:t>
      </w:r>
      <w:r w:rsidRPr="00FB7826">
        <w:rPr>
          <w:rFonts w:ascii="Times New Roman" w:hAnsi="Times New Roman"/>
          <w:sz w:val="24"/>
          <w:szCs w:val="24"/>
        </w:rPr>
        <w:t>the propensity for hand rolled marijuana cigarettes and tube rolled marijuana cigarettes to be self-extinguished.</w:t>
      </w:r>
      <w:r>
        <w:rPr>
          <w:rFonts w:ascii="Times New Roman" w:hAnsi="Times New Roman"/>
          <w:sz w:val="24"/>
          <w:szCs w:val="24"/>
        </w:rPr>
        <w:t xml:space="preserve">’… </w:t>
      </w:r>
      <w:r w:rsidRPr="00FB7826">
        <w:rPr>
          <w:rFonts w:ascii="Times New Roman" w:hAnsi="Times New Roman"/>
          <w:sz w:val="24"/>
          <w:szCs w:val="24"/>
        </w:rPr>
        <w:t xml:space="preserve"> Tr. Under Evidence Rule 702(b), the trial court had discretion to conclude that Malon's reliance on those articles and studies was sufficient to show that his opinion was supported by reliable scientific principles. </w:t>
      </w:r>
    </w:p>
    <w:p w14:paraId="6B518489" w14:textId="77777777" w:rsidR="00FB79CF" w:rsidRDefault="00FB79CF" w:rsidP="00FB79CF">
      <w:pPr>
        <w:ind w:left="720"/>
        <w:rPr>
          <w:rFonts w:ascii="Times New Roman" w:hAnsi="Times New Roman"/>
          <w:sz w:val="24"/>
          <w:szCs w:val="24"/>
        </w:rPr>
      </w:pPr>
      <w:r>
        <w:rPr>
          <w:rFonts w:ascii="Times New Roman" w:hAnsi="Times New Roman"/>
          <w:sz w:val="24"/>
          <w:szCs w:val="24"/>
        </w:rPr>
        <w:t>[He testified.]</w:t>
      </w:r>
    </w:p>
    <w:p w14:paraId="3156608D" w14:textId="77777777" w:rsidR="00FB79CF" w:rsidRPr="005260B5" w:rsidRDefault="00FB79CF" w:rsidP="00FB79CF">
      <w:pPr>
        <w:ind w:left="1440"/>
        <w:rPr>
          <w:rFonts w:ascii="Times New Roman" w:hAnsi="Times New Roman"/>
          <w:sz w:val="24"/>
          <w:szCs w:val="24"/>
        </w:rPr>
      </w:pPr>
      <w:r>
        <w:rPr>
          <w:rFonts w:ascii="Times New Roman" w:hAnsi="Times New Roman"/>
          <w:sz w:val="24"/>
          <w:szCs w:val="24"/>
        </w:rPr>
        <w:lastRenderedPageBreak/>
        <w:t>[S]</w:t>
      </w:r>
      <w:proofErr w:type="spellStart"/>
      <w:r w:rsidRPr="00265615">
        <w:rPr>
          <w:rFonts w:ascii="Times New Roman" w:hAnsi="Times New Roman"/>
          <w:sz w:val="24"/>
          <w:szCs w:val="24"/>
        </w:rPr>
        <w:t>tudies</w:t>
      </w:r>
      <w:proofErr w:type="spellEnd"/>
      <w:r w:rsidRPr="00265615">
        <w:rPr>
          <w:rFonts w:ascii="Times New Roman" w:hAnsi="Times New Roman"/>
          <w:sz w:val="24"/>
          <w:szCs w:val="24"/>
        </w:rPr>
        <w:t xml:space="preserve"> on smoldering fires indicate that the transition from a smoldering fire to an exothermic chemical reaction, which is where we see flaming fire, is twenty (20) minutes to several hours. Um, there was one </w:t>
      </w:r>
      <w:proofErr w:type="gramStart"/>
      <w:r w:rsidRPr="00265615">
        <w:rPr>
          <w:rFonts w:ascii="Times New Roman" w:hAnsi="Times New Roman"/>
          <w:sz w:val="24"/>
          <w:szCs w:val="24"/>
        </w:rPr>
        <w:t>particular peer</w:t>
      </w:r>
      <w:proofErr w:type="gramEnd"/>
      <w:r w:rsidRPr="00265615">
        <w:rPr>
          <w:rFonts w:ascii="Times New Roman" w:hAnsi="Times New Roman"/>
          <w:sz w:val="24"/>
          <w:szCs w:val="24"/>
        </w:rPr>
        <w:t xml:space="preserve"> reviewed article that stated twenty-two (22) minutes on average. But, um, according to other research, smoldering fire, making that transition is twenty (20) minutes to several hours.</w:t>
      </w:r>
      <w:r>
        <w:rPr>
          <w:rFonts w:ascii="Times New Roman" w:hAnsi="Times New Roman"/>
          <w:sz w:val="24"/>
          <w:szCs w:val="24"/>
        </w:rPr>
        <w:t>”</w:t>
      </w:r>
    </w:p>
    <w:p w14:paraId="72AC7CCC" w14:textId="27B58085" w:rsidR="00C32834" w:rsidRDefault="00C32834" w:rsidP="00C32834">
      <w:pPr>
        <w:rPr>
          <w:rFonts w:ascii="Times New Roman" w:hAnsi="Times New Roman"/>
          <w:b/>
          <w:bCs/>
          <w:sz w:val="24"/>
          <w:szCs w:val="24"/>
        </w:rPr>
      </w:pPr>
      <w:r w:rsidRPr="00FB7826">
        <w:rPr>
          <w:rFonts w:ascii="Times New Roman" w:hAnsi="Times New Roman"/>
          <w:b/>
          <w:bCs/>
          <w:sz w:val="24"/>
          <w:szCs w:val="24"/>
        </w:rPr>
        <w:t xml:space="preserve">Legal Lesson Learned: </w:t>
      </w:r>
      <w:r w:rsidR="00DA5BB7">
        <w:rPr>
          <w:rFonts w:ascii="Times New Roman" w:hAnsi="Times New Roman"/>
          <w:b/>
          <w:bCs/>
          <w:sz w:val="24"/>
          <w:szCs w:val="24"/>
        </w:rPr>
        <w:t>Expert</w:t>
      </w:r>
      <w:r w:rsidR="00C93B37">
        <w:rPr>
          <w:rFonts w:ascii="Times New Roman" w:hAnsi="Times New Roman"/>
          <w:b/>
          <w:bCs/>
          <w:sz w:val="24"/>
          <w:szCs w:val="24"/>
        </w:rPr>
        <w:t xml:space="preserve"> may offer opinion on cause of fire</w:t>
      </w:r>
      <w:r w:rsidR="003A0275">
        <w:rPr>
          <w:rFonts w:ascii="Times New Roman" w:hAnsi="Times New Roman"/>
          <w:b/>
          <w:bCs/>
          <w:sz w:val="24"/>
          <w:szCs w:val="24"/>
        </w:rPr>
        <w:t>.</w:t>
      </w:r>
      <w:r>
        <w:rPr>
          <w:rFonts w:ascii="Times New Roman" w:hAnsi="Times New Roman"/>
          <w:b/>
          <w:bCs/>
          <w:sz w:val="24"/>
          <w:szCs w:val="24"/>
        </w:rPr>
        <w:t xml:space="preserve"> </w:t>
      </w:r>
    </w:p>
    <w:p w14:paraId="5E3CA175" w14:textId="77777777" w:rsidR="00C32834" w:rsidRPr="002D4090" w:rsidRDefault="00C32834" w:rsidP="00C32834">
      <w:pPr>
        <w:rPr>
          <w:rFonts w:ascii="Times New Roman" w:hAnsi="Times New Roman"/>
          <w:sz w:val="24"/>
          <w:szCs w:val="24"/>
        </w:rPr>
      </w:pPr>
      <w:r w:rsidRPr="002D4090">
        <w:rPr>
          <w:rFonts w:ascii="Times New Roman" w:hAnsi="Times New Roman"/>
          <w:b/>
          <w:bCs/>
          <w:sz w:val="24"/>
          <w:szCs w:val="24"/>
        </w:rPr>
        <w:tab/>
      </w:r>
      <w:r w:rsidRPr="002D4090">
        <w:rPr>
          <w:rFonts w:ascii="Times New Roman" w:hAnsi="Times New Roman"/>
          <w:sz w:val="24"/>
          <w:szCs w:val="24"/>
        </w:rPr>
        <w:t>Note: Rule 702 provides:</w:t>
      </w:r>
    </w:p>
    <w:p w14:paraId="570AEF60" w14:textId="77777777" w:rsidR="00C32834" w:rsidRPr="002D4090" w:rsidRDefault="00C32834" w:rsidP="00C32834">
      <w:pPr>
        <w:ind w:left="720"/>
        <w:rPr>
          <w:rFonts w:ascii="Times New Roman" w:hAnsi="Times New Roman"/>
          <w:sz w:val="24"/>
          <w:szCs w:val="24"/>
        </w:rPr>
      </w:pPr>
      <w:r w:rsidRPr="002D4090">
        <w:rPr>
          <w:rFonts w:ascii="Times New Roman" w:hAnsi="Times New Roman"/>
          <w:sz w:val="24"/>
          <w:szCs w:val="24"/>
        </w:rPr>
        <w:t>A witness who is qualified as an expert by knowledge, skill, experience, training, or education may testify in the form of an opinion or otherwise if the proponent demonstrates to the court that it is more likely than not that:</w:t>
      </w:r>
    </w:p>
    <w:p w14:paraId="598E28F7" w14:textId="77777777" w:rsidR="00C32834" w:rsidRPr="002D4090" w:rsidRDefault="00C32834" w:rsidP="00C32834">
      <w:pPr>
        <w:ind w:left="720"/>
        <w:rPr>
          <w:rFonts w:ascii="Times New Roman" w:hAnsi="Times New Roman"/>
          <w:sz w:val="24"/>
          <w:szCs w:val="24"/>
        </w:rPr>
      </w:pPr>
      <w:r w:rsidRPr="002D4090">
        <w:rPr>
          <w:rFonts w:ascii="Times New Roman" w:hAnsi="Times New Roman"/>
          <w:b/>
          <w:bCs/>
          <w:sz w:val="24"/>
          <w:szCs w:val="24"/>
        </w:rPr>
        <w:t>(a)</w:t>
      </w:r>
      <w:r w:rsidRPr="002D4090">
        <w:rPr>
          <w:rFonts w:ascii="Times New Roman" w:hAnsi="Times New Roman"/>
          <w:sz w:val="24"/>
          <w:szCs w:val="24"/>
        </w:rPr>
        <w:t xml:space="preserve"> the expert’s scientific, technical, or other specialized knowledge will help the trier of fact to understand the evidence or to determine a fact in issue;</w:t>
      </w:r>
    </w:p>
    <w:p w14:paraId="3DC66592" w14:textId="77777777" w:rsidR="00C32834" w:rsidRPr="002D4090" w:rsidRDefault="00C32834" w:rsidP="00C32834">
      <w:pPr>
        <w:ind w:left="720"/>
        <w:rPr>
          <w:rFonts w:ascii="Times New Roman" w:hAnsi="Times New Roman"/>
          <w:sz w:val="24"/>
          <w:szCs w:val="24"/>
        </w:rPr>
      </w:pPr>
      <w:r w:rsidRPr="002D4090">
        <w:rPr>
          <w:rFonts w:ascii="Times New Roman" w:hAnsi="Times New Roman"/>
          <w:b/>
          <w:bCs/>
          <w:sz w:val="24"/>
          <w:szCs w:val="24"/>
        </w:rPr>
        <w:t>(b)</w:t>
      </w:r>
      <w:r w:rsidRPr="002D4090">
        <w:rPr>
          <w:rFonts w:ascii="Times New Roman" w:hAnsi="Times New Roman"/>
          <w:sz w:val="24"/>
          <w:szCs w:val="24"/>
        </w:rPr>
        <w:t xml:space="preserve"> the testimony is based on sufficient facts or data;</w:t>
      </w:r>
    </w:p>
    <w:p w14:paraId="7F3363B5" w14:textId="77777777" w:rsidR="00C32834" w:rsidRPr="002D4090" w:rsidRDefault="00C32834" w:rsidP="00C32834">
      <w:pPr>
        <w:ind w:firstLine="720"/>
        <w:rPr>
          <w:rFonts w:ascii="Times New Roman" w:hAnsi="Times New Roman"/>
          <w:sz w:val="24"/>
          <w:szCs w:val="24"/>
        </w:rPr>
      </w:pPr>
      <w:r w:rsidRPr="002D4090">
        <w:rPr>
          <w:rFonts w:ascii="Times New Roman" w:hAnsi="Times New Roman"/>
          <w:b/>
          <w:bCs/>
          <w:sz w:val="24"/>
          <w:szCs w:val="24"/>
        </w:rPr>
        <w:t>(c)</w:t>
      </w:r>
      <w:r w:rsidRPr="002D4090">
        <w:rPr>
          <w:rFonts w:ascii="Times New Roman" w:hAnsi="Times New Roman"/>
          <w:sz w:val="24"/>
          <w:szCs w:val="24"/>
        </w:rPr>
        <w:t xml:space="preserve"> the testimony is the product of reliable principles and methods; and</w:t>
      </w:r>
    </w:p>
    <w:p w14:paraId="71851681" w14:textId="77777777" w:rsidR="00C32834" w:rsidRPr="002D4090" w:rsidRDefault="00C32834" w:rsidP="00C32834">
      <w:pPr>
        <w:ind w:left="720"/>
        <w:rPr>
          <w:rFonts w:ascii="Times New Roman" w:hAnsi="Times New Roman"/>
          <w:sz w:val="24"/>
          <w:szCs w:val="24"/>
        </w:rPr>
      </w:pPr>
      <w:r w:rsidRPr="002D4090">
        <w:rPr>
          <w:rFonts w:ascii="Times New Roman" w:hAnsi="Times New Roman"/>
          <w:b/>
          <w:bCs/>
          <w:sz w:val="24"/>
          <w:szCs w:val="24"/>
        </w:rPr>
        <w:t>(d)</w:t>
      </w:r>
      <w:r w:rsidRPr="002D4090">
        <w:rPr>
          <w:rFonts w:ascii="Times New Roman" w:hAnsi="Times New Roman"/>
          <w:sz w:val="24"/>
          <w:szCs w:val="24"/>
        </w:rPr>
        <w:t xml:space="preserve"> the expert's opinion reflects a reliable application of the principles and methods to the facts of the case. </w:t>
      </w:r>
      <w:hyperlink r:id="rId126" w:history="1">
        <w:r w:rsidRPr="002D4090">
          <w:rPr>
            <w:rStyle w:val="Hyperlink"/>
            <w:rFonts w:ascii="Times New Roman" w:hAnsi="Times New Roman"/>
            <w:sz w:val="24"/>
            <w:szCs w:val="24"/>
          </w:rPr>
          <w:t>https://www.law.cornell.edu/rules/fre/rule_702</w:t>
        </w:r>
      </w:hyperlink>
      <w:r w:rsidRPr="002D4090">
        <w:rPr>
          <w:rFonts w:ascii="Times New Roman" w:hAnsi="Times New Roman"/>
          <w:sz w:val="24"/>
          <w:szCs w:val="24"/>
        </w:rPr>
        <w:t xml:space="preserve"> </w:t>
      </w:r>
    </w:p>
    <w:p w14:paraId="6E42A8BE" w14:textId="77777777" w:rsidR="00FB79CF" w:rsidRDefault="00FB79CF" w:rsidP="00B86628">
      <w:pPr>
        <w:pStyle w:val="NoSpacing"/>
        <w:rPr>
          <w:rFonts w:ascii="Arial Black" w:hAnsi="Arial Black"/>
          <w:sz w:val="24"/>
          <w:szCs w:val="24"/>
        </w:rPr>
      </w:pPr>
    </w:p>
    <w:p w14:paraId="28782CDC" w14:textId="62DF6EE9" w:rsidR="00316842" w:rsidRDefault="005178A4" w:rsidP="00B86628">
      <w:pPr>
        <w:pStyle w:val="NoSpacing"/>
        <w:rPr>
          <w:rFonts w:ascii="Arial Black" w:hAnsi="Arial Black"/>
          <w:sz w:val="24"/>
          <w:szCs w:val="24"/>
        </w:rPr>
      </w:pPr>
      <w:r>
        <w:rPr>
          <w:rFonts w:ascii="Arial Black" w:hAnsi="Arial Black"/>
          <w:sz w:val="24"/>
          <w:szCs w:val="24"/>
        </w:rPr>
        <w:t>1-151</w:t>
      </w:r>
    </w:p>
    <w:p w14:paraId="7D33C8D1" w14:textId="77777777" w:rsidR="005178A4" w:rsidRPr="00600BA8" w:rsidRDefault="005178A4" w:rsidP="005178A4">
      <w:pPr>
        <w:rPr>
          <w:rFonts w:ascii="Arial Black" w:hAnsi="Arial Black"/>
          <w:sz w:val="28"/>
        </w:rPr>
      </w:pPr>
      <w:r>
        <w:rPr>
          <w:rFonts w:ascii="Arial Black" w:hAnsi="Arial Black"/>
          <w:sz w:val="28"/>
        </w:rPr>
        <w:t xml:space="preserve">TN: FIREWORKS – CITY MGR / FIRE CHIEF - CANCELLED DUE TO P’s LAWSUIT – FRIVOLOUS CASES - Ps ATTY PAY $19,739 </w:t>
      </w:r>
    </w:p>
    <w:p w14:paraId="46AC0691" w14:textId="77777777" w:rsidR="005178A4" w:rsidRPr="005178A4" w:rsidRDefault="005178A4" w:rsidP="005178A4">
      <w:pPr>
        <w:pStyle w:val="NoSpacing"/>
        <w:rPr>
          <w:rFonts w:ascii="Times New Roman" w:hAnsi="Times New Roman"/>
          <w:sz w:val="24"/>
          <w:szCs w:val="24"/>
        </w:rPr>
      </w:pPr>
      <w:r w:rsidRPr="005178A4">
        <w:rPr>
          <w:rFonts w:ascii="Times New Roman" w:hAnsi="Times New Roman"/>
          <w:sz w:val="24"/>
          <w:szCs w:val="24"/>
        </w:rPr>
        <w:t xml:space="preserve">On July 25, 2024, in </w:t>
      </w:r>
      <w:r w:rsidRPr="005178A4">
        <w:rPr>
          <w:rFonts w:ascii="Times New Roman" w:hAnsi="Times New Roman"/>
          <w:sz w:val="24"/>
          <w:szCs w:val="24"/>
          <w:u w:val="single"/>
        </w:rPr>
        <w:t>Glenn Whiting v. City of Athens, Tennessee, et al.</w:t>
      </w:r>
      <w:r w:rsidRPr="005178A4">
        <w:rPr>
          <w:rFonts w:ascii="Times New Roman" w:hAnsi="Times New Roman"/>
          <w:sz w:val="24"/>
          <w:szCs w:val="24"/>
        </w:rPr>
        <w:t>, the U.S. Court of Appeals for the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Circuit (Cincinnati) held (3 to 0; unpublished decision) that U.S. District Court properly granted the defense motion to dismiss the three lawsuits filed by resident.  The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Circuit wrote: “The district court correctly determined that Keith’s conduct was not sufficiently severe to support Whiting’s retaliation claim. Whiting alleged that Keith informed local news organizations that Whiting’s lawsuit related to the fireworks show was the reason that the 2023 display was canceled. We have repeatedly held that statements made regarding publicly available information do not constitute adverse actions.”  </w:t>
      </w:r>
      <w:hyperlink r:id="rId127" w:history="1">
        <w:r w:rsidRPr="005178A4">
          <w:rPr>
            <w:rStyle w:val="Hyperlink"/>
            <w:rFonts w:ascii="Times New Roman" w:hAnsi="Times New Roman"/>
            <w:sz w:val="24"/>
            <w:szCs w:val="24"/>
          </w:rPr>
          <w:t>https://www.opn.ca6.uscourts.gov/opinions.pdf/24a0323n-06.pdf</w:t>
        </w:r>
      </w:hyperlink>
      <w:r w:rsidRPr="005178A4">
        <w:rPr>
          <w:rFonts w:ascii="Times New Roman" w:hAnsi="Times New Roman"/>
          <w:sz w:val="24"/>
          <w:szCs w:val="24"/>
        </w:rPr>
        <w:t xml:space="preserve"> </w:t>
      </w:r>
    </w:p>
    <w:p w14:paraId="5084C044" w14:textId="77777777" w:rsidR="005178A4" w:rsidRPr="005178A4" w:rsidRDefault="005178A4" w:rsidP="005178A4">
      <w:pPr>
        <w:pStyle w:val="NoSpacing"/>
        <w:rPr>
          <w:rFonts w:ascii="Times New Roman" w:hAnsi="Times New Roman"/>
          <w:sz w:val="24"/>
          <w:szCs w:val="24"/>
        </w:rPr>
      </w:pPr>
    </w:p>
    <w:p w14:paraId="0FD0D782"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On  September 24, 2024, the U.S. District Court judge in Knoxville then granted City’s motion for attorney fees and ordered resident’s attorney to personally pay $19,739.80 for filing frivolous lawsuits.  The Court wrote: “According to Plaintiff, ABC obtained this information on May 18, 2023, from Defendant Mike Keith, who served as interim City Manager at the time. (Id. at 1, 3–4.) Before speaking with ABC, Keith had met with Defendant Brandon Ainsworth, then the City Fire Chief, who allegedly ‘informed Keith that he did not want to . . . order [City] firefighters to provided [sic</w:t>
      </w:r>
      <w:proofErr w:type="gramStart"/>
      <w:r w:rsidRPr="005178A4">
        <w:rPr>
          <w:rFonts w:ascii="Times New Roman" w:hAnsi="Times New Roman"/>
          <w:sz w:val="24"/>
          <w:szCs w:val="24"/>
        </w:rPr>
        <w:t>] emergency</w:t>
      </w:r>
      <w:proofErr w:type="gramEnd"/>
      <w:r w:rsidRPr="005178A4">
        <w:rPr>
          <w:rFonts w:ascii="Times New Roman" w:hAnsi="Times New Roman"/>
          <w:sz w:val="24"/>
          <w:szCs w:val="24"/>
        </w:rPr>
        <w:t xml:space="preserve"> protection at the 2023 Independence Day event. (Id. at 2, 4.) Plaintiff’s suit over the Event included City firefighters as defendants.” </w:t>
      </w:r>
      <w:hyperlink r:id="rId128" w:history="1">
        <w:r w:rsidRPr="005178A4">
          <w:rPr>
            <w:rStyle w:val="Hyperlink"/>
            <w:rFonts w:ascii="Times New Roman" w:hAnsi="Times New Roman"/>
            <w:sz w:val="24"/>
            <w:szCs w:val="24"/>
          </w:rPr>
          <w:t>https://cases.justia.com/federal/district-courts/tennessee/tnedce/3:2023cv00220/110152/57/0.pdf?ts=1727268755</w:t>
        </w:r>
      </w:hyperlink>
    </w:p>
    <w:p w14:paraId="59E851CB" w14:textId="77777777" w:rsidR="005178A4" w:rsidRPr="005178A4" w:rsidRDefault="005178A4" w:rsidP="005178A4">
      <w:pPr>
        <w:pStyle w:val="NoSpacing"/>
        <w:rPr>
          <w:rFonts w:ascii="Times New Roman" w:hAnsi="Times New Roman"/>
          <w:sz w:val="24"/>
          <w:szCs w:val="24"/>
        </w:rPr>
      </w:pPr>
    </w:p>
    <w:p w14:paraId="4096C218" w14:textId="77777777" w:rsidR="005178A4" w:rsidRPr="005178A4" w:rsidRDefault="005178A4" w:rsidP="005178A4">
      <w:pPr>
        <w:pStyle w:val="NoSpacing"/>
        <w:rPr>
          <w:rFonts w:ascii="Times New Roman" w:hAnsi="Times New Roman"/>
          <w:sz w:val="24"/>
          <w:szCs w:val="24"/>
        </w:rPr>
      </w:pPr>
    </w:p>
    <w:p w14:paraId="72A0FB64" w14:textId="77777777" w:rsidR="005178A4" w:rsidRPr="005178A4" w:rsidRDefault="005178A4" w:rsidP="005178A4">
      <w:pPr>
        <w:pStyle w:val="NoSpacing"/>
        <w:rPr>
          <w:rFonts w:ascii="Times New Roman" w:hAnsi="Times New Roman"/>
          <w:sz w:val="24"/>
          <w:szCs w:val="24"/>
        </w:rPr>
      </w:pPr>
      <w:r w:rsidRPr="005178A4">
        <w:rPr>
          <w:rFonts w:ascii="Times New Roman" w:hAnsi="Times New Roman"/>
          <w:sz w:val="24"/>
          <w:szCs w:val="24"/>
        </w:rPr>
        <w:t>THE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CIRCUIT HELD:</w:t>
      </w:r>
    </w:p>
    <w:p w14:paraId="24D92204" w14:textId="77777777" w:rsidR="005178A4" w:rsidRPr="005178A4" w:rsidRDefault="005178A4" w:rsidP="005178A4">
      <w:pPr>
        <w:pStyle w:val="NoSpacing"/>
        <w:rPr>
          <w:rFonts w:ascii="Times New Roman" w:hAnsi="Times New Roman"/>
          <w:sz w:val="24"/>
          <w:szCs w:val="24"/>
        </w:rPr>
      </w:pPr>
    </w:p>
    <w:p w14:paraId="38FAC281" w14:textId="77777777" w:rsidR="005178A4" w:rsidRPr="005178A4" w:rsidRDefault="005178A4" w:rsidP="005178A4">
      <w:pPr>
        <w:pStyle w:val="NoSpacing"/>
        <w:ind w:firstLine="720"/>
        <w:rPr>
          <w:rFonts w:ascii="Times New Roman" w:hAnsi="Times New Roman"/>
          <w:sz w:val="24"/>
          <w:szCs w:val="24"/>
        </w:rPr>
      </w:pPr>
      <w:r w:rsidRPr="005178A4">
        <w:rPr>
          <w:rFonts w:ascii="Times New Roman" w:hAnsi="Times New Roman"/>
          <w:sz w:val="24"/>
          <w:szCs w:val="24"/>
        </w:rPr>
        <w:t>“The allegations in this case are based on events occurring several months after Whiting</w:t>
      </w:r>
    </w:p>
    <w:p w14:paraId="07049A8B"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 xml:space="preserve">filed his initial lawsuit. In May 2023, local news organizations reported that the </w:t>
      </w:r>
      <w:proofErr w:type="gramStart"/>
      <w:r w:rsidRPr="005178A4">
        <w:rPr>
          <w:rFonts w:ascii="Times New Roman" w:hAnsi="Times New Roman"/>
          <w:sz w:val="24"/>
          <w:szCs w:val="24"/>
        </w:rPr>
        <w:t>City</w:t>
      </w:r>
      <w:proofErr w:type="gramEnd"/>
      <w:r w:rsidRPr="005178A4">
        <w:rPr>
          <w:rFonts w:ascii="Times New Roman" w:hAnsi="Times New Roman"/>
          <w:sz w:val="24"/>
          <w:szCs w:val="24"/>
        </w:rPr>
        <w:t xml:space="preserve"> planned to cancel its fireworks show because of ‘[a] man’s pending lawsuit against several city officials over what happened at last year’s event.’ Id., </w:t>
      </w:r>
      <w:proofErr w:type="spellStart"/>
      <w:r w:rsidRPr="005178A4">
        <w:rPr>
          <w:rFonts w:ascii="Times New Roman" w:hAnsi="Times New Roman"/>
          <w:sz w:val="24"/>
          <w:szCs w:val="24"/>
        </w:rPr>
        <w:t>PageID</w:t>
      </w:r>
      <w:proofErr w:type="spellEnd"/>
      <w:r w:rsidRPr="005178A4">
        <w:rPr>
          <w:rFonts w:ascii="Times New Roman" w:hAnsi="Times New Roman"/>
          <w:sz w:val="24"/>
          <w:szCs w:val="24"/>
        </w:rPr>
        <w:t xml:space="preserve"> 4. One news organization, ABC Channel 9, included a link to Whiting’s Complaint in the original action in its report. Keith was cited as the source of the information. After news of the litigation was publicized, Whiting claimed that members of the Athens community began pressuring him to drop the lawsuit. He claimed that he was contacted directly by </w:t>
      </w:r>
      <w:proofErr w:type="gramStart"/>
      <w:r w:rsidRPr="005178A4">
        <w:rPr>
          <w:rFonts w:ascii="Times New Roman" w:hAnsi="Times New Roman"/>
          <w:sz w:val="24"/>
          <w:szCs w:val="24"/>
        </w:rPr>
        <w:t>Athens</w:t>
      </w:r>
      <w:proofErr w:type="gramEnd"/>
      <w:r w:rsidRPr="005178A4">
        <w:rPr>
          <w:rFonts w:ascii="Times New Roman" w:hAnsi="Times New Roman"/>
          <w:sz w:val="24"/>
          <w:szCs w:val="24"/>
        </w:rPr>
        <w:t xml:space="preserve"> citizens and business owners, and that other community members posted on social media ‘blaming [him] for the cancellation and urging him to dismiss his cases.’ Id., </w:t>
      </w:r>
      <w:proofErr w:type="spellStart"/>
      <w:r w:rsidRPr="005178A4">
        <w:rPr>
          <w:rFonts w:ascii="Times New Roman" w:hAnsi="Times New Roman"/>
          <w:sz w:val="24"/>
          <w:szCs w:val="24"/>
        </w:rPr>
        <w:t>PageID</w:t>
      </w:r>
      <w:proofErr w:type="spellEnd"/>
      <w:r w:rsidRPr="005178A4">
        <w:rPr>
          <w:rFonts w:ascii="Times New Roman" w:hAnsi="Times New Roman"/>
          <w:sz w:val="24"/>
          <w:szCs w:val="24"/>
        </w:rPr>
        <w:t xml:space="preserve"> 4–5. He alleged that the public’s response to news of his lawsuits ‘impaired [his] reputation and standing in the community’ and caused him ‘personal humiliation.’ Id., </w:t>
      </w:r>
      <w:proofErr w:type="spellStart"/>
      <w:r w:rsidRPr="005178A4">
        <w:rPr>
          <w:rFonts w:ascii="Times New Roman" w:hAnsi="Times New Roman"/>
          <w:sz w:val="24"/>
          <w:szCs w:val="24"/>
        </w:rPr>
        <w:t>PageID</w:t>
      </w:r>
      <w:proofErr w:type="spellEnd"/>
      <w:r w:rsidRPr="005178A4">
        <w:rPr>
          <w:rFonts w:ascii="Times New Roman" w:hAnsi="Times New Roman"/>
          <w:sz w:val="24"/>
          <w:szCs w:val="24"/>
        </w:rPr>
        <w:t xml:space="preserve"> 19.</w:t>
      </w:r>
    </w:p>
    <w:p w14:paraId="56A98B81" w14:textId="77777777" w:rsidR="005178A4" w:rsidRPr="005178A4" w:rsidRDefault="005178A4" w:rsidP="005178A4">
      <w:pPr>
        <w:pStyle w:val="NoSpacing"/>
        <w:ind w:left="720"/>
        <w:rPr>
          <w:rFonts w:ascii="Times New Roman" w:hAnsi="Times New Roman"/>
          <w:sz w:val="24"/>
          <w:szCs w:val="24"/>
        </w:rPr>
      </w:pPr>
    </w:p>
    <w:p w14:paraId="4159B8DE"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t>
      </w:r>
    </w:p>
    <w:p w14:paraId="2A15F0CB" w14:textId="77777777" w:rsidR="005178A4" w:rsidRPr="005178A4" w:rsidRDefault="005178A4" w:rsidP="005178A4">
      <w:pPr>
        <w:pStyle w:val="NoSpacing"/>
        <w:ind w:left="720"/>
        <w:rPr>
          <w:rFonts w:ascii="Times New Roman" w:hAnsi="Times New Roman"/>
          <w:sz w:val="24"/>
          <w:szCs w:val="24"/>
        </w:rPr>
      </w:pPr>
    </w:p>
    <w:p w14:paraId="26C374EA"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Whiting filed a third lawsuit several weeks later (No. 3:23-CV-221), claiming that the City Mayor lied about settlement negotiations between Whiting and the City. The district court granted the defendants’ motion to dismiss all claims in Case No. 3:23-CV-221 in November 2023.</w:t>
      </w:r>
    </w:p>
    <w:p w14:paraId="3368EE54" w14:textId="77777777" w:rsidR="005178A4" w:rsidRPr="005178A4" w:rsidRDefault="005178A4" w:rsidP="005178A4">
      <w:pPr>
        <w:pStyle w:val="NoSpacing"/>
        <w:ind w:left="720"/>
        <w:rPr>
          <w:rFonts w:ascii="Times New Roman" w:hAnsi="Times New Roman"/>
          <w:sz w:val="24"/>
          <w:szCs w:val="24"/>
        </w:rPr>
      </w:pPr>
    </w:p>
    <w:p w14:paraId="5B8BE4A1"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t>
      </w:r>
    </w:p>
    <w:p w14:paraId="20CEE5B5" w14:textId="77777777" w:rsidR="005178A4" w:rsidRPr="005178A4" w:rsidRDefault="005178A4" w:rsidP="005178A4">
      <w:pPr>
        <w:pStyle w:val="NoSpacing"/>
        <w:rPr>
          <w:rFonts w:ascii="Times New Roman" w:hAnsi="Times New Roman"/>
          <w:sz w:val="24"/>
          <w:szCs w:val="24"/>
        </w:rPr>
      </w:pPr>
    </w:p>
    <w:p w14:paraId="3C4F15D7"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The court dismissed Whiting’s retaliation claim because he did not show that Keith’s statements to the media constituted an adverse action that would deter an average person from continuing to exercise his First Amendment rights.</w:t>
      </w:r>
    </w:p>
    <w:p w14:paraId="41059EB7" w14:textId="77777777" w:rsidR="005178A4" w:rsidRPr="005178A4" w:rsidRDefault="005178A4" w:rsidP="005178A4">
      <w:pPr>
        <w:pStyle w:val="NoSpacing"/>
        <w:ind w:left="720"/>
        <w:rPr>
          <w:rFonts w:ascii="Times New Roman" w:hAnsi="Times New Roman"/>
          <w:sz w:val="24"/>
          <w:szCs w:val="24"/>
        </w:rPr>
      </w:pPr>
    </w:p>
    <w:p w14:paraId="0FA6A282"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t>
      </w:r>
    </w:p>
    <w:p w14:paraId="06B50868" w14:textId="77777777" w:rsidR="005178A4" w:rsidRPr="005178A4" w:rsidRDefault="005178A4" w:rsidP="005178A4">
      <w:pPr>
        <w:pStyle w:val="NoSpacing"/>
        <w:rPr>
          <w:rFonts w:ascii="Times New Roman" w:hAnsi="Times New Roman"/>
          <w:sz w:val="24"/>
          <w:szCs w:val="24"/>
        </w:rPr>
      </w:pPr>
    </w:p>
    <w:p w14:paraId="6A103394" w14:textId="77777777" w:rsidR="005178A4" w:rsidRPr="005178A4" w:rsidRDefault="005178A4" w:rsidP="005178A4">
      <w:pPr>
        <w:pStyle w:val="NoSpacing"/>
        <w:ind w:firstLine="720"/>
        <w:rPr>
          <w:rFonts w:ascii="Times New Roman" w:hAnsi="Times New Roman"/>
          <w:sz w:val="24"/>
          <w:szCs w:val="24"/>
        </w:rPr>
      </w:pPr>
      <w:r w:rsidRPr="005178A4">
        <w:rPr>
          <w:rFonts w:ascii="Times New Roman" w:hAnsi="Times New Roman"/>
          <w:sz w:val="24"/>
          <w:szCs w:val="24"/>
        </w:rPr>
        <w:t>The district court correctly determined that Keith’s conduct was not sufficiently severe to</w:t>
      </w:r>
    </w:p>
    <w:p w14:paraId="0A979EA5"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 xml:space="preserve">support Whiting’s retaliation claim. Whiting alleged that Keith informed local news organizations that Whiting’s lawsuit related to the fireworks show was the reason that the 2023 display was canceled. We have repeatedly held that statements made regarding publicly available information do not constitute adverse actions. See, e.g., McComas v. Bd. of Educ., Rock Hill Loc. Sch. Dist., 422 F. </w:t>
      </w:r>
      <w:proofErr w:type="spellStart"/>
      <w:r w:rsidRPr="005178A4">
        <w:rPr>
          <w:rFonts w:ascii="Times New Roman" w:hAnsi="Times New Roman"/>
          <w:sz w:val="24"/>
          <w:szCs w:val="24"/>
        </w:rPr>
        <w:t>App’x</w:t>
      </w:r>
      <w:proofErr w:type="spellEnd"/>
      <w:r w:rsidRPr="005178A4">
        <w:rPr>
          <w:rFonts w:ascii="Times New Roman" w:hAnsi="Times New Roman"/>
          <w:sz w:val="24"/>
          <w:szCs w:val="24"/>
        </w:rPr>
        <w:t xml:space="preserve"> 462, 469 (6th Cir. 2011) (superintendent’s statement at School Board meeting regarding the plaintiff’s role in a fight at school was not an adverse action); </w:t>
      </w:r>
      <w:proofErr w:type="spellStart"/>
      <w:r w:rsidRPr="005178A4">
        <w:rPr>
          <w:rFonts w:ascii="Times New Roman" w:hAnsi="Times New Roman"/>
          <w:sz w:val="24"/>
          <w:szCs w:val="24"/>
        </w:rPr>
        <w:t>Mezibov</w:t>
      </w:r>
      <w:proofErr w:type="spellEnd"/>
      <w:r w:rsidRPr="005178A4">
        <w:rPr>
          <w:rFonts w:ascii="Times New Roman" w:hAnsi="Times New Roman"/>
          <w:sz w:val="24"/>
          <w:szCs w:val="24"/>
        </w:rPr>
        <w:t xml:space="preserve"> v. Allen, 411 F.3d 712, 722–23 (6th Cir. 2005) (prosecutor’s statements to local news media that the plaintiff “is a bad attorney, that he is inexperienced, and that he was putting his own interests before those of his client” are insufficiently adverse); Mattox v. City of Forest Park, 183 F.3d 515, 522–23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 1999) (publishing a report detailing plaintiffs’ efforts at investigating the City’s Fire Department, which included “revealing personal statements,” was not an adverse action).”</w:t>
      </w:r>
    </w:p>
    <w:p w14:paraId="3D3A35EE" w14:textId="77777777" w:rsidR="005178A4" w:rsidRDefault="005178A4" w:rsidP="00B86628">
      <w:pPr>
        <w:pStyle w:val="NoSpacing"/>
        <w:rPr>
          <w:rFonts w:ascii="Arial Black" w:hAnsi="Arial Black"/>
          <w:sz w:val="24"/>
          <w:szCs w:val="24"/>
        </w:rPr>
      </w:pPr>
    </w:p>
    <w:p w14:paraId="7C7947EF" w14:textId="77777777" w:rsidR="00A91BAB" w:rsidRPr="00502261" w:rsidRDefault="00A91BAB" w:rsidP="00A91BAB">
      <w:pPr>
        <w:pStyle w:val="NoSpacing"/>
        <w:rPr>
          <w:rFonts w:ascii="Times New Roman" w:hAnsi="Times New Roman"/>
          <w:b/>
          <w:bCs/>
          <w:sz w:val="24"/>
          <w:szCs w:val="24"/>
        </w:rPr>
      </w:pPr>
      <w:r w:rsidRPr="00502261">
        <w:rPr>
          <w:rFonts w:ascii="Times New Roman" w:hAnsi="Times New Roman"/>
          <w:b/>
          <w:bCs/>
          <w:sz w:val="24"/>
          <w:szCs w:val="24"/>
        </w:rPr>
        <w:t xml:space="preserve">Legal Lesson Learned: The City Manager can lawfully inform the Press why the fireworks were cancelled.  </w:t>
      </w:r>
    </w:p>
    <w:p w14:paraId="64FA96D5" w14:textId="77777777" w:rsidR="00A91BAB" w:rsidRPr="00502261" w:rsidRDefault="00A91BAB" w:rsidP="00B86628">
      <w:pPr>
        <w:pStyle w:val="NoSpacing"/>
        <w:rPr>
          <w:rFonts w:ascii="Times New Roman" w:hAnsi="Times New Roman"/>
          <w:sz w:val="24"/>
          <w:szCs w:val="24"/>
        </w:rPr>
      </w:pPr>
    </w:p>
    <w:p w14:paraId="1AD0E1D5" w14:textId="77777777" w:rsidR="00316842" w:rsidRDefault="00316842" w:rsidP="00B86628">
      <w:pPr>
        <w:pStyle w:val="NoSpacing"/>
        <w:rPr>
          <w:rFonts w:ascii="Arial Black" w:hAnsi="Arial Black"/>
          <w:sz w:val="24"/>
          <w:szCs w:val="24"/>
        </w:rPr>
      </w:pPr>
    </w:p>
    <w:p w14:paraId="2B2D8B97" w14:textId="77777777" w:rsidR="005178A4" w:rsidRDefault="005178A4" w:rsidP="00B86628">
      <w:pPr>
        <w:pStyle w:val="NoSpacing"/>
        <w:rPr>
          <w:rFonts w:ascii="Arial Black" w:hAnsi="Arial Black"/>
          <w:sz w:val="24"/>
          <w:szCs w:val="24"/>
        </w:rPr>
      </w:pPr>
    </w:p>
    <w:p w14:paraId="71664E6F" w14:textId="77777777" w:rsidR="005178A4" w:rsidRDefault="005178A4" w:rsidP="00B86628">
      <w:pPr>
        <w:pStyle w:val="NoSpacing"/>
        <w:rPr>
          <w:rFonts w:ascii="Arial Black" w:hAnsi="Arial Black"/>
          <w:sz w:val="24"/>
          <w:szCs w:val="24"/>
        </w:rPr>
      </w:pPr>
    </w:p>
    <w:p w14:paraId="1E4FFF6A" w14:textId="77777777" w:rsidR="005178A4" w:rsidRDefault="005178A4" w:rsidP="00B86628">
      <w:pPr>
        <w:pStyle w:val="NoSpacing"/>
        <w:rPr>
          <w:rFonts w:ascii="Arial Black" w:hAnsi="Arial Black"/>
          <w:sz w:val="24"/>
          <w:szCs w:val="24"/>
        </w:rPr>
      </w:pPr>
    </w:p>
    <w:p w14:paraId="22384F59" w14:textId="7CDBFB98" w:rsidR="004E46C8" w:rsidRDefault="004E46C8" w:rsidP="00B86628">
      <w:pPr>
        <w:pStyle w:val="NoSpacing"/>
        <w:rPr>
          <w:rFonts w:ascii="Arial Black" w:hAnsi="Arial Black"/>
          <w:sz w:val="24"/>
          <w:szCs w:val="24"/>
        </w:rPr>
      </w:pPr>
      <w:r>
        <w:rPr>
          <w:rFonts w:ascii="Arial Black" w:hAnsi="Arial Black"/>
          <w:sz w:val="24"/>
          <w:szCs w:val="24"/>
        </w:rPr>
        <w:t>1-150</w:t>
      </w:r>
    </w:p>
    <w:p w14:paraId="14D7BD6C" w14:textId="714010B3" w:rsidR="004E46C8" w:rsidRPr="00704A1E" w:rsidRDefault="004E46C8" w:rsidP="004E46C8">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lastRenderedPageBreak/>
        <w:t>VT: PROPERTY OWNER - 3 RVs – HOMELESS LIV</w:t>
      </w:r>
      <w:r w:rsidR="003016F0">
        <w:rPr>
          <w:rFonts w:ascii="Arial Black" w:hAnsi="Arial Black"/>
          <w:b/>
          <w:bCs/>
          <w:color w:val="454545"/>
          <w:sz w:val="28"/>
          <w:szCs w:val="28"/>
          <w:shd w:val="clear" w:color="auto" w:fill="FFFFFF"/>
        </w:rPr>
        <w:t>ING</w:t>
      </w:r>
      <w:r>
        <w:rPr>
          <w:rFonts w:ascii="Arial Black" w:hAnsi="Arial Black"/>
          <w:b/>
          <w:bCs/>
          <w:color w:val="454545"/>
          <w:sz w:val="28"/>
          <w:szCs w:val="28"/>
          <w:shd w:val="clear" w:color="auto" w:fill="FFFFFF"/>
        </w:rPr>
        <w:t xml:space="preserve"> THERE – VIOLATION OF HEALTH AND SAFETY CODE</w:t>
      </w:r>
    </w:p>
    <w:p w14:paraId="338A839E" w14:textId="51B19CF7" w:rsidR="004E46C8" w:rsidRPr="008F6524" w:rsidRDefault="004E46C8" w:rsidP="004E46C8">
      <w:pPr>
        <w:pStyle w:val="NormalWeb"/>
        <w:rPr>
          <w:color w:val="454545"/>
          <w:shd w:val="clear" w:color="auto" w:fill="FFFFFF"/>
        </w:rPr>
      </w:pPr>
      <w:r w:rsidRPr="008F6524">
        <w:rPr>
          <w:shd w:val="clear" w:color="auto" w:fill="FFFFFF"/>
        </w:rPr>
        <w:t xml:space="preserve">On July 12, 2024, </w:t>
      </w:r>
      <w:proofErr w:type="gramStart"/>
      <w:r w:rsidRPr="008F6524">
        <w:rPr>
          <w:color w:val="454545"/>
          <w:u w:val="single"/>
          <w:shd w:val="clear" w:color="auto" w:fill="FFFFFF"/>
        </w:rPr>
        <w:t>In</w:t>
      </w:r>
      <w:proofErr w:type="gramEnd"/>
      <w:r w:rsidRPr="008F6524">
        <w:rPr>
          <w:color w:val="454545"/>
          <w:u w:val="single"/>
          <w:shd w:val="clear" w:color="auto" w:fill="FFFFFF"/>
        </w:rPr>
        <w:t xml:space="preserve"> re Kurt </w:t>
      </w:r>
      <w:proofErr w:type="spellStart"/>
      <w:r w:rsidRPr="008F6524">
        <w:rPr>
          <w:color w:val="454545"/>
          <w:u w:val="single"/>
          <w:shd w:val="clear" w:color="auto" w:fill="FFFFFF"/>
        </w:rPr>
        <w:t>Daims</w:t>
      </w:r>
      <w:proofErr w:type="spellEnd"/>
      <w:r w:rsidRPr="008F6524">
        <w:rPr>
          <w:color w:val="454545"/>
          <w:u w:val="single"/>
          <w:shd w:val="clear" w:color="auto" w:fill="FFFFFF"/>
        </w:rPr>
        <w:t>/Brattleboro Common Sense</w:t>
      </w:r>
      <w:r w:rsidRPr="008F6524">
        <w:rPr>
          <w:b/>
          <w:bCs/>
          <w:color w:val="454545"/>
          <w:shd w:val="clear" w:color="auto" w:fill="FFFFFF"/>
        </w:rPr>
        <w:t xml:space="preserve">, </w:t>
      </w:r>
      <w:r w:rsidRPr="008F6524">
        <w:rPr>
          <w:color w:val="454545"/>
          <w:shd w:val="clear" w:color="auto" w:fill="FFFFFF"/>
        </w:rPr>
        <w:t xml:space="preserve">they Vermont Supreme Court held (3 to 0) that ordinance was lawful and applied to RVs, rejecting the property owner’s argument that RVs are not “regular residents.” The property owner was given </w:t>
      </w:r>
      <w:r w:rsidR="00CE10E8" w:rsidRPr="008F6524">
        <w:rPr>
          <w:color w:val="454545"/>
          <w:shd w:val="clear" w:color="auto" w:fill="FFFFFF"/>
        </w:rPr>
        <w:t>two-day</w:t>
      </w:r>
      <w:r w:rsidRPr="008F6524">
        <w:rPr>
          <w:color w:val="454545"/>
          <w:shd w:val="clear" w:color="auto" w:fill="FFFFFF"/>
        </w:rPr>
        <w:t xml:space="preserve"> hearing before the Vermont Board of Health, which upheld the eight code citations.  The Vermont Supreme Court agreed that code applied to RVs. “</w:t>
      </w:r>
      <w:r w:rsidRPr="008F6524">
        <w:rPr>
          <w:shd w:val="clear" w:color="auto" w:fill="FFFFFF"/>
        </w:rPr>
        <w:t xml:space="preserve">We agree with the Board that the RVs should be considered regular residences and that appellants must comply with the code here. The RVs were offered to community members as living units.” </w:t>
      </w:r>
      <w:hyperlink r:id="rId129" w:history="1">
        <w:r w:rsidRPr="008F6524">
          <w:rPr>
            <w:rStyle w:val="Hyperlink"/>
            <w:shd w:val="clear" w:color="auto" w:fill="FFFFFF"/>
          </w:rPr>
          <w:t>https://casetext.com/case/in-re-daims</w:t>
        </w:r>
      </w:hyperlink>
      <w:r w:rsidRPr="008F6524">
        <w:rPr>
          <w:shd w:val="clear" w:color="auto" w:fill="FFFFFF"/>
        </w:rPr>
        <w:t xml:space="preserve"> </w:t>
      </w:r>
    </w:p>
    <w:p w14:paraId="63E824C1" w14:textId="77777777" w:rsidR="004E46C8" w:rsidRDefault="004E46C8" w:rsidP="004E46C8">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5BD6F094" w14:textId="77777777" w:rsidR="004E46C8" w:rsidRDefault="004E46C8" w:rsidP="004E46C8">
      <w:pPr>
        <w:pStyle w:val="NoSpacing"/>
        <w:rPr>
          <w:rFonts w:ascii="Times New Roman" w:hAnsi="Times New Roman"/>
          <w:sz w:val="24"/>
          <w:szCs w:val="24"/>
          <w:shd w:val="clear" w:color="auto" w:fill="FFFFFF"/>
        </w:rPr>
      </w:pPr>
    </w:p>
    <w:p w14:paraId="5FD85041" w14:textId="77777777" w:rsidR="004E46C8" w:rsidRPr="00CB28D7" w:rsidRDefault="004E46C8" w:rsidP="004E46C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Appellants argue that the RVs should not be subject to the code because they are not a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regular residence.</w:t>
      </w:r>
      <w:r>
        <w:rPr>
          <w:rFonts w:ascii="Times New Roman" w:hAnsi="Times New Roman"/>
          <w:sz w:val="24"/>
          <w:szCs w:val="24"/>
          <w:shd w:val="clear" w:color="auto" w:fill="FFFFFF"/>
        </w:rPr>
        <w:t xml:space="preserve">’ </w:t>
      </w:r>
      <w:r w:rsidRPr="006F5AC1">
        <w:rPr>
          <w:rFonts w:ascii="Times New Roman" w:hAnsi="Times New Roman"/>
          <w:sz w:val="24"/>
          <w:szCs w:val="24"/>
          <w:shd w:val="clear" w:color="auto" w:fill="FFFFFF"/>
        </w:rPr>
        <w:t xml:space="preserve"> See RRHHS Code § 3.1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This Rental Housing Health and Safety Code shall apply to all rented dwellings, dwelling units, rooming houses, rooming units, and mobile home lots used as a regular residence.</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6F5AC1">
        <w:rPr>
          <w:rFonts w:ascii="Times New Roman" w:hAnsi="Times New Roman"/>
          <w:sz w:val="24"/>
          <w:szCs w:val="24"/>
          <w:shd w:val="clear" w:color="auto" w:fill="FFFFFF"/>
        </w:rPr>
        <w:t xml:space="preserve">We agree with the Board that the RVs should be considered regular residences and that appellants must comply with the code here. The RVs were offered to community members as living units. They fit within the definition of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rooming units.</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See </w:t>
      </w:r>
      <w:r w:rsidRPr="006F5AC1">
        <w:rPr>
          <w:rFonts w:ascii="Times New Roman" w:hAnsi="Times New Roman"/>
          <w:i/>
          <w:iCs/>
          <w:sz w:val="24"/>
          <w:szCs w:val="24"/>
          <w:shd w:val="clear" w:color="auto" w:fill="FFFFFF"/>
        </w:rPr>
        <w:t>id</w:t>
      </w:r>
      <w:r w:rsidRPr="006F5AC1">
        <w:rPr>
          <w:rFonts w:ascii="Times New Roman" w:hAnsi="Times New Roman"/>
          <w:sz w:val="24"/>
          <w:szCs w:val="24"/>
          <w:shd w:val="clear" w:color="auto" w:fill="FFFFFF"/>
        </w:rPr>
        <w:t xml:space="preserve">. § 4.20 (defining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rooming unit</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as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 or group of rooms let to an individual or household for use as living and sleeping, but not for cooking or eating purposes, whether or not, common cooking facilities are made available</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w:t>
      </w:r>
      <w:r w:rsidRPr="006F5AC1">
        <w:rPr>
          <w:rFonts w:ascii="Times New Roman" w:hAnsi="Times New Roman"/>
          <w:i/>
          <w:iCs/>
          <w:sz w:val="24"/>
          <w:szCs w:val="24"/>
          <w:shd w:val="clear" w:color="auto" w:fill="FFFFFF"/>
        </w:rPr>
        <w:t>id</w:t>
      </w:r>
      <w:r w:rsidRPr="006F5AC1">
        <w:rPr>
          <w:rFonts w:ascii="Times New Roman" w:hAnsi="Times New Roman"/>
          <w:sz w:val="24"/>
          <w:szCs w:val="24"/>
          <w:shd w:val="clear" w:color="auto" w:fill="FFFFFF"/>
        </w:rPr>
        <w:t xml:space="preserve">. § 4.19 (defining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rooming house</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as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any dwelling or part thereof containing one or more rooming units and/or one or more dormitory rooms in which space is let by the owner or operator to one or more persons who are not immediate family members of the owner).</w:t>
      </w:r>
      <w:r>
        <w:rPr>
          <w:rFonts w:ascii="Times New Roman" w:hAnsi="Times New Roman"/>
          <w:sz w:val="24"/>
          <w:szCs w:val="24"/>
          <w:shd w:val="clear" w:color="auto" w:fill="FFFFFF"/>
        </w:rPr>
        <w:t>”</w:t>
      </w:r>
    </w:p>
    <w:p w14:paraId="3B851741" w14:textId="77777777" w:rsidR="00316842" w:rsidRDefault="00316842" w:rsidP="00316842">
      <w:pPr>
        <w:pStyle w:val="NoSpacing"/>
        <w:rPr>
          <w:rFonts w:ascii="Times New Roman" w:hAnsi="Times New Roman"/>
          <w:b/>
          <w:bCs/>
          <w:sz w:val="24"/>
          <w:szCs w:val="24"/>
          <w:shd w:val="clear" w:color="auto" w:fill="FFFFFF"/>
        </w:rPr>
      </w:pPr>
    </w:p>
    <w:p w14:paraId="2E89FB93" w14:textId="0B8BC083" w:rsidR="00316842" w:rsidRDefault="00316842" w:rsidP="00316842">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The property owner must comply with Health &amp; Safety Code. </w:t>
      </w:r>
    </w:p>
    <w:p w14:paraId="4BBF2CA0" w14:textId="77777777" w:rsidR="008F287B" w:rsidRDefault="008F287B" w:rsidP="00316842">
      <w:pPr>
        <w:pStyle w:val="NoSpacing"/>
        <w:rPr>
          <w:rFonts w:ascii="Times New Roman" w:hAnsi="Times New Roman"/>
          <w:b/>
          <w:bCs/>
          <w:sz w:val="24"/>
          <w:szCs w:val="24"/>
          <w:shd w:val="clear" w:color="auto" w:fill="FFFFFF"/>
        </w:rPr>
      </w:pPr>
    </w:p>
    <w:p w14:paraId="308C7055" w14:textId="77777777" w:rsidR="008F287B" w:rsidRDefault="008F287B" w:rsidP="008F287B">
      <w:pPr>
        <w:pStyle w:val="NormalWeb"/>
        <w:shd w:val="clear" w:color="auto" w:fill="FFFFFF"/>
        <w:spacing w:before="0" w:beforeAutospacing="0"/>
        <w:ind w:firstLine="720"/>
      </w:pPr>
      <w:r>
        <w:t xml:space="preserve">Note: See this article on the case. </w:t>
      </w:r>
    </w:p>
    <w:p w14:paraId="16BE2D18" w14:textId="77777777" w:rsidR="008F287B" w:rsidRPr="00F32EC7" w:rsidRDefault="008F287B" w:rsidP="008F287B">
      <w:pPr>
        <w:pStyle w:val="NormalWeb"/>
        <w:shd w:val="clear" w:color="auto" w:fill="FFFFFF"/>
        <w:spacing w:before="0"/>
        <w:ind w:left="720"/>
      </w:pPr>
      <w:r w:rsidRPr="00F32EC7">
        <w:t xml:space="preserve">July 23, 20243: Vermont Supreme Court rejects RV housing appeal in Brattleboro </w:t>
      </w:r>
      <w:hyperlink r:id="rId130" w:history="1">
        <w:r w:rsidRPr="00F32EC7">
          <w:rPr>
            <w:rStyle w:val="Hyperlink"/>
          </w:rPr>
          <w:t>https://www.reformer.com/local-news/vermont-supreme-court-rejects-rv-housing-appeal-in-brattleboro/article_1aa8b844-48f7-11ef-b1d5-5784c0449d3d.html</w:t>
        </w:r>
      </w:hyperlink>
      <w:r w:rsidRPr="00F32EC7">
        <w:t xml:space="preserve"> </w:t>
      </w:r>
    </w:p>
    <w:p w14:paraId="5FBC256D" w14:textId="77777777" w:rsidR="008F287B" w:rsidRPr="009C51DC" w:rsidRDefault="008F287B" w:rsidP="00316842">
      <w:pPr>
        <w:pStyle w:val="NoSpacing"/>
        <w:rPr>
          <w:rFonts w:ascii="Times New Roman" w:hAnsi="Times New Roman"/>
          <w:b/>
          <w:bCs/>
          <w:sz w:val="24"/>
          <w:szCs w:val="24"/>
          <w:shd w:val="clear" w:color="auto" w:fill="FFFFFF"/>
        </w:rPr>
      </w:pPr>
    </w:p>
    <w:p w14:paraId="59E08193" w14:textId="77777777" w:rsidR="004E46C8" w:rsidRDefault="004E46C8" w:rsidP="00B86628">
      <w:pPr>
        <w:pStyle w:val="NoSpacing"/>
        <w:rPr>
          <w:rFonts w:ascii="Arial Black" w:hAnsi="Arial Black"/>
          <w:sz w:val="24"/>
          <w:szCs w:val="24"/>
        </w:rPr>
      </w:pPr>
    </w:p>
    <w:p w14:paraId="34071149" w14:textId="77777777" w:rsidR="004E46C8" w:rsidRDefault="004E46C8" w:rsidP="00B86628">
      <w:pPr>
        <w:pStyle w:val="NoSpacing"/>
        <w:rPr>
          <w:rFonts w:ascii="Arial Black" w:hAnsi="Arial Black"/>
          <w:sz w:val="24"/>
          <w:szCs w:val="24"/>
        </w:rPr>
      </w:pPr>
    </w:p>
    <w:p w14:paraId="73C7002F" w14:textId="6548C6FF" w:rsidR="006A0C24" w:rsidRDefault="006A0C24" w:rsidP="00B86628">
      <w:pPr>
        <w:pStyle w:val="NoSpacing"/>
        <w:rPr>
          <w:rFonts w:ascii="Arial Black" w:hAnsi="Arial Black"/>
          <w:sz w:val="24"/>
          <w:szCs w:val="24"/>
        </w:rPr>
      </w:pPr>
      <w:r>
        <w:rPr>
          <w:rFonts w:ascii="Arial Black" w:hAnsi="Arial Black"/>
          <w:sz w:val="24"/>
          <w:szCs w:val="24"/>
        </w:rPr>
        <w:t>1-149</w:t>
      </w:r>
    </w:p>
    <w:p w14:paraId="2B17F572" w14:textId="77777777" w:rsidR="006A0C24" w:rsidRDefault="006A0C24" w:rsidP="00B86628">
      <w:pPr>
        <w:pStyle w:val="NoSpacing"/>
        <w:rPr>
          <w:rFonts w:ascii="Arial Black" w:hAnsi="Arial Black"/>
          <w:sz w:val="24"/>
          <w:szCs w:val="24"/>
        </w:rPr>
      </w:pPr>
    </w:p>
    <w:p w14:paraId="30431926" w14:textId="77777777" w:rsidR="002C7131" w:rsidRPr="00134702" w:rsidRDefault="002C7131" w:rsidP="002C7131">
      <w:pPr>
        <w:rPr>
          <w:rFonts w:ascii="Arial Black" w:hAnsi="Arial Black"/>
          <w:sz w:val="28"/>
          <w:szCs w:val="28"/>
        </w:rPr>
      </w:pPr>
      <w:r>
        <w:rPr>
          <w:rFonts w:ascii="Arial Black" w:hAnsi="Arial Black"/>
          <w:sz w:val="28"/>
          <w:szCs w:val="28"/>
        </w:rPr>
        <w:t>U.S. SUP. CT:  ARIZONA PRISONER DEATH SENTENCE REINSTATED – FED. HABEAS CORPUS DENIED</w:t>
      </w:r>
    </w:p>
    <w:p w14:paraId="19288EF7" w14:textId="77777777" w:rsidR="002C7131" w:rsidRDefault="002C7131" w:rsidP="002C7131">
      <w:pPr>
        <w:pStyle w:val="NoSpacing"/>
        <w:rPr>
          <w:rFonts w:ascii="Times New Roman" w:hAnsi="Times New Roman"/>
          <w:sz w:val="24"/>
          <w:szCs w:val="24"/>
        </w:rPr>
      </w:pPr>
      <w:r>
        <w:rPr>
          <w:rFonts w:ascii="Times New Roman" w:hAnsi="Times New Roman"/>
          <w:sz w:val="24"/>
          <w:szCs w:val="24"/>
        </w:rPr>
        <w:t xml:space="preserve">On May 30, 2024, in </w:t>
      </w:r>
      <w:r w:rsidRPr="00CB67D4">
        <w:rPr>
          <w:rFonts w:ascii="Times New Roman" w:hAnsi="Times New Roman"/>
          <w:sz w:val="24"/>
          <w:szCs w:val="24"/>
          <w:u w:val="single"/>
        </w:rPr>
        <w:t>Ryan Thornell, Director, Arizona Department of Corrections v. Danny Lee</w:t>
      </w:r>
      <w:r>
        <w:rPr>
          <w:rFonts w:ascii="Times New Roman" w:hAnsi="Times New Roman"/>
          <w:sz w:val="24"/>
          <w:szCs w:val="24"/>
        </w:rPr>
        <w:t>, the United States Supreme Court held (6 to 3) that the 3-judge panel of the U.S. Court of Appeals for 9</w:t>
      </w:r>
      <w:r w:rsidRPr="00A00284">
        <w:rPr>
          <w:rFonts w:ascii="Times New Roman" w:hAnsi="Times New Roman"/>
          <w:sz w:val="24"/>
          <w:szCs w:val="24"/>
          <w:vertAlign w:val="superscript"/>
        </w:rPr>
        <w:t>th</w:t>
      </w:r>
      <w:r>
        <w:rPr>
          <w:rFonts w:ascii="Times New Roman" w:hAnsi="Times New Roman"/>
          <w:sz w:val="24"/>
          <w:szCs w:val="24"/>
        </w:rPr>
        <w:t xml:space="preserve"> Circuit (San Francisco) incorrectly granted habeas corpus relief. The defendant stole guns from a home of a person with whom he was drinking to fund a trip to </w:t>
      </w:r>
      <w:proofErr w:type="gramStart"/>
      <w:r>
        <w:rPr>
          <w:rFonts w:ascii="Times New Roman" w:hAnsi="Times New Roman"/>
          <w:sz w:val="24"/>
          <w:szCs w:val="24"/>
        </w:rPr>
        <w:t>Las Vegas, and</w:t>
      </w:r>
      <w:proofErr w:type="gramEnd"/>
      <w:r>
        <w:rPr>
          <w:rFonts w:ascii="Times New Roman" w:hAnsi="Times New Roman"/>
          <w:sz w:val="24"/>
          <w:szCs w:val="24"/>
        </w:rPr>
        <w:t xml:space="preserve"> killed was a baseball bat three in the home, including 7-year-old girl. He was convicted by a jury in Arizona state court, and at sentencing hearing his defense counsel called as an expert witness a C</w:t>
      </w:r>
      <w:r w:rsidRPr="000C25FE">
        <w:rPr>
          <w:rFonts w:ascii="Times New Roman" w:hAnsi="Times New Roman"/>
          <w:sz w:val="24"/>
          <w:szCs w:val="24"/>
        </w:rPr>
        <w:t>ourt-appointed forensic</w:t>
      </w:r>
      <w:r>
        <w:rPr>
          <w:rFonts w:ascii="Times New Roman" w:hAnsi="Times New Roman"/>
          <w:sz w:val="24"/>
          <w:szCs w:val="24"/>
        </w:rPr>
        <w:t xml:space="preserve"> </w:t>
      </w:r>
      <w:r w:rsidRPr="000C25FE">
        <w:rPr>
          <w:rFonts w:ascii="Times New Roman" w:hAnsi="Times New Roman"/>
          <w:sz w:val="24"/>
          <w:szCs w:val="24"/>
        </w:rPr>
        <w:t>psychiatrist</w:t>
      </w:r>
      <w:r>
        <w:rPr>
          <w:rFonts w:ascii="Times New Roman" w:hAnsi="Times New Roman"/>
          <w:sz w:val="24"/>
          <w:szCs w:val="24"/>
        </w:rPr>
        <w:t xml:space="preserve"> who testified about the defendant’s troubled childhood.  The State judge sentenced him to death, affirmed on appeal by Arizona Supreme Court.  He then sought habeas corpus relied in Federal Court, and a U.S. District Court judge had held a hearing about the </w:t>
      </w:r>
      <w:r>
        <w:rPr>
          <w:rFonts w:ascii="Times New Roman" w:hAnsi="Times New Roman"/>
          <w:sz w:val="24"/>
          <w:szCs w:val="24"/>
        </w:rPr>
        <w:lastRenderedPageBreak/>
        <w:t xml:space="preserve">defendant’s terrible </w:t>
      </w:r>
      <w:proofErr w:type="gramStart"/>
      <w:r>
        <w:rPr>
          <w:rFonts w:ascii="Times New Roman" w:hAnsi="Times New Roman"/>
          <w:sz w:val="24"/>
          <w:szCs w:val="24"/>
        </w:rPr>
        <w:t>childhood, and</w:t>
      </w:r>
      <w:proofErr w:type="gramEnd"/>
      <w:r>
        <w:rPr>
          <w:rFonts w:ascii="Times New Roman" w:hAnsi="Times New Roman"/>
          <w:sz w:val="24"/>
          <w:szCs w:val="24"/>
        </w:rPr>
        <w:t xml:space="preserve"> then refused habeas corpus. The U.S. Supreme Court majority (Justice Samuel Alito wrote opinion): </w:t>
      </w:r>
    </w:p>
    <w:p w14:paraId="44014A22" w14:textId="77777777" w:rsidR="002C7131" w:rsidRDefault="002C7131" w:rsidP="002C7131">
      <w:pPr>
        <w:pStyle w:val="NoSpacing"/>
        <w:rPr>
          <w:rFonts w:ascii="Times New Roman" w:hAnsi="Times New Roman"/>
          <w:sz w:val="24"/>
          <w:szCs w:val="24"/>
        </w:rPr>
      </w:pPr>
    </w:p>
    <w:p w14:paraId="0085E13B" w14:textId="77777777" w:rsidR="002C7131" w:rsidRPr="00CB6CEF" w:rsidRDefault="002C7131" w:rsidP="002C7131">
      <w:pPr>
        <w:pStyle w:val="NoSpacing"/>
        <w:ind w:left="720"/>
        <w:rPr>
          <w:rFonts w:ascii="Times New Roman" w:hAnsi="Times New Roman"/>
          <w:sz w:val="24"/>
          <w:szCs w:val="24"/>
        </w:rPr>
      </w:pPr>
      <w:r>
        <w:rPr>
          <w:rFonts w:ascii="Times New Roman" w:hAnsi="Times New Roman"/>
          <w:sz w:val="24"/>
          <w:szCs w:val="24"/>
        </w:rPr>
        <w:t>“</w:t>
      </w:r>
      <w:r w:rsidRPr="00CB6CEF">
        <w:rPr>
          <w:rFonts w:ascii="Times New Roman" w:hAnsi="Times New Roman"/>
          <w:sz w:val="24"/>
          <w:szCs w:val="24"/>
        </w:rPr>
        <w:t>Jones also alleges significant childhood abuse. Brief for</w:t>
      </w:r>
      <w:r>
        <w:rPr>
          <w:rFonts w:ascii="Times New Roman" w:hAnsi="Times New Roman"/>
          <w:sz w:val="24"/>
          <w:szCs w:val="24"/>
        </w:rPr>
        <w:t xml:space="preserve"> </w:t>
      </w:r>
      <w:r w:rsidRPr="00CB6CEF">
        <w:rPr>
          <w:rFonts w:ascii="Times New Roman" w:hAnsi="Times New Roman"/>
          <w:sz w:val="24"/>
          <w:szCs w:val="24"/>
        </w:rPr>
        <w:t>Respondent 44. Again, however, Arizona courts had heard</w:t>
      </w:r>
      <w:r>
        <w:rPr>
          <w:rFonts w:ascii="Times New Roman" w:hAnsi="Times New Roman"/>
          <w:sz w:val="24"/>
          <w:szCs w:val="24"/>
        </w:rPr>
        <w:t xml:space="preserve"> </w:t>
      </w:r>
      <w:r w:rsidRPr="00CB6CEF">
        <w:rPr>
          <w:rFonts w:ascii="Times New Roman" w:hAnsi="Times New Roman"/>
          <w:sz w:val="24"/>
          <w:szCs w:val="24"/>
        </w:rPr>
        <w:t>much on this topic. They knew that Jones’s father abused</w:t>
      </w:r>
      <w:r>
        <w:rPr>
          <w:rFonts w:ascii="Times New Roman" w:hAnsi="Times New Roman"/>
          <w:sz w:val="24"/>
          <w:szCs w:val="24"/>
        </w:rPr>
        <w:t xml:space="preserve"> </w:t>
      </w:r>
      <w:r w:rsidRPr="00CB6CEF">
        <w:rPr>
          <w:rFonts w:ascii="Times New Roman" w:hAnsi="Times New Roman"/>
          <w:sz w:val="24"/>
          <w:szCs w:val="24"/>
        </w:rPr>
        <w:t xml:space="preserve">his pregnant mother, that his first stepfather beat </w:t>
      </w:r>
      <w:proofErr w:type="gramStart"/>
      <w:r w:rsidRPr="00CB6CEF">
        <w:rPr>
          <w:rFonts w:ascii="Times New Roman" w:hAnsi="Times New Roman"/>
          <w:sz w:val="24"/>
          <w:szCs w:val="24"/>
        </w:rPr>
        <w:t>both of</w:t>
      </w:r>
      <w:r>
        <w:rPr>
          <w:rFonts w:ascii="Times New Roman" w:hAnsi="Times New Roman"/>
          <w:sz w:val="24"/>
          <w:szCs w:val="24"/>
        </w:rPr>
        <w:t xml:space="preserve"> </w:t>
      </w:r>
      <w:r w:rsidRPr="00CB6CEF">
        <w:rPr>
          <w:rFonts w:ascii="Times New Roman" w:hAnsi="Times New Roman"/>
          <w:sz w:val="24"/>
          <w:szCs w:val="24"/>
        </w:rPr>
        <w:t>them</w:t>
      </w:r>
      <w:proofErr w:type="gramEnd"/>
      <w:r w:rsidRPr="00CB6CEF">
        <w:rPr>
          <w:rFonts w:ascii="Times New Roman" w:hAnsi="Times New Roman"/>
          <w:sz w:val="24"/>
          <w:szCs w:val="24"/>
        </w:rPr>
        <w:t>, and that his grandfather introduced him to drugs at</w:t>
      </w:r>
      <w:r>
        <w:rPr>
          <w:rFonts w:ascii="Times New Roman" w:hAnsi="Times New Roman"/>
          <w:sz w:val="24"/>
          <w:szCs w:val="24"/>
        </w:rPr>
        <w:t xml:space="preserve"> </w:t>
      </w:r>
      <w:r w:rsidRPr="00CB6CEF">
        <w:rPr>
          <w:rFonts w:ascii="Times New Roman" w:hAnsi="Times New Roman"/>
          <w:sz w:val="24"/>
          <w:szCs w:val="24"/>
        </w:rPr>
        <w:t>young age. And they received testimony that any period</w:t>
      </w:r>
      <w:r>
        <w:rPr>
          <w:rFonts w:ascii="Times New Roman" w:hAnsi="Times New Roman"/>
          <w:sz w:val="24"/>
          <w:szCs w:val="24"/>
        </w:rPr>
        <w:t xml:space="preserve"> </w:t>
      </w:r>
      <w:r w:rsidRPr="00CB6CEF">
        <w:rPr>
          <w:rFonts w:ascii="Times New Roman" w:hAnsi="Times New Roman"/>
          <w:sz w:val="24"/>
          <w:szCs w:val="24"/>
        </w:rPr>
        <w:t xml:space="preserve">of normalcy during Jones’s childhood was </w:t>
      </w:r>
      <w:r>
        <w:rPr>
          <w:rFonts w:ascii="Times New Roman" w:hAnsi="Times New Roman"/>
          <w:sz w:val="24"/>
          <w:szCs w:val="24"/>
        </w:rPr>
        <w:t>‘</w:t>
      </w:r>
      <w:r w:rsidRPr="00CB6CEF">
        <w:rPr>
          <w:rFonts w:ascii="Times New Roman" w:hAnsi="Times New Roman"/>
          <w:sz w:val="24"/>
          <w:szCs w:val="24"/>
        </w:rPr>
        <w:t>too late</w:t>
      </w:r>
      <w:r>
        <w:rPr>
          <w:rFonts w:ascii="Times New Roman" w:hAnsi="Times New Roman"/>
          <w:sz w:val="24"/>
          <w:szCs w:val="24"/>
        </w:rPr>
        <w:t>’</w:t>
      </w:r>
      <w:r w:rsidRPr="00CB6CEF">
        <w:rPr>
          <w:rFonts w:ascii="Times New Roman" w:hAnsi="Times New Roman"/>
          <w:sz w:val="24"/>
          <w:szCs w:val="24"/>
        </w:rPr>
        <w:t xml:space="preserve"> and </w:t>
      </w:r>
      <w:r>
        <w:rPr>
          <w:rFonts w:ascii="Times New Roman" w:hAnsi="Times New Roman"/>
          <w:sz w:val="24"/>
          <w:szCs w:val="24"/>
        </w:rPr>
        <w:t>‘</w:t>
      </w:r>
      <w:r w:rsidRPr="00CB6CEF">
        <w:rPr>
          <w:rFonts w:ascii="Times New Roman" w:hAnsi="Times New Roman"/>
          <w:sz w:val="24"/>
          <w:szCs w:val="24"/>
        </w:rPr>
        <w:t>not</w:t>
      </w:r>
      <w:r>
        <w:rPr>
          <w:rFonts w:ascii="Times New Roman" w:hAnsi="Times New Roman"/>
          <w:sz w:val="24"/>
          <w:szCs w:val="24"/>
        </w:rPr>
        <w:t xml:space="preserve"> </w:t>
      </w:r>
      <w:r w:rsidRPr="00CB6CEF">
        <w:rPr>
          <w:rFonts w:ascii="Times New Roman" w:hAnsi="Times New Roman"/>
          <w:sz w:val="24"/>
          <w:szCs w:val="24"/>
        </w:rPr>
        <w:t>strong enough to counter the earlier abuse.</w:t>
      </w:r>
      <w:r>
        <w:rPr>
          <w:rFonts w:ascii="Times New Roman" w:hAnsi="Times New Roman"/>
          <w:sz w:val="24"/>
          <w:szCs w:val="24"/>
        </w:rPr>
        <w:t xml:space="preserve">’ </w:t>
      </w:r>
      <w:r w:rsidRPr="00CB6CEF">
        <w:rPr>
          <w:rFonts w:ascii="Times New Roman" w:hAnsi="Times New Roman"/>
          <w:sz w:val="24"/>
          <w:szCs w:val="24"/>
        </w:rPr>
        <w:t xml:space="preserve"> 4 Record</w:t>
      </w:r>
      <w:r>
        <w:rPr>
          <w:rFonts w:ascii="Times New Roman" w:hAnsi="Times New Roman"/>
          <w:sz w:val="24"/>
          <w:szCs w:val="24"/>
        </w:rPr>
        <w:t xml:space="preserve"> </w:t>
      </w:r>
      <w:r w:rsidRPr="00CB6CEF">
        <w:rPr>
          <w:rFonts w:ascii="Times New Roman" w:hAnsi="Times New Roman"/>
          <w:sz w:val="24"/>
          <w:szCs w:val="24"/>
        </w:rPr>
        <w:t>1069–1070. They nevertheless concluded that this abuse</w:t>
      </w:r>
      <w:r>
        <w:rPr>
          <w:rFonts w:ascii="Times New Roman" w:hAnsi="Times New Roman"/>
          <w:sz w:val="24"/>
          <w:szCs w:val="24"/>
        </w:rPr>
        <w:t xml:space="preserve"> </w:t>
      </w:r>
      <w:r w:rsidRPr="00CB6CEF">
        <w:rPr>
          <w:rFonts w:ascii="Times New Roman" w:hAnsi="Times New Roman"/>
          <w:sz w:val="24"/>
          <w:szCs w:val="24"/>
        </w:rPr>
        <w:t>did not warrant leniency, primarily because it appeared unconnected to the murders. Jones, 185 Ariz., at 490–491, 917</w:t>
      </w:r>
      <w:r>
        <w:rPr>
          <w:rFonts w:ascii="Times New Roman" w:hAnsi="Times New Roman"/>
          <w:sz w:val="24"/>
          <w:szCs w:val="24"/>
        </w:rPr>
        <w:t xml:space="preserve"> </w:t>
      </w:r>
      <w:r w:rsidRPr="00CB6CEF">
        <w:rPr>
          <w:rFonts w:ascii="Times New Roman" w:hAnsi="Times New Roman"/>
          <w:sz w:val="24"/>
          <w:szCs w:val="24"/>
        </w:rPr>
        <w:t>P. 2d, at 219–220; 9 Record 2465.</w:t>
      </w:r>
      <w:r>
        <w:rPr>
          <w:rFonts w:ascii="Times New Roman" w:hAnsi="Times New Roman"/>
          <w:sz w:val="24"/>
          <w:szCs w:val="24"/>
        </w:rPr>
        <w:t xml:space="preserve"> </w:t>
      </w:r>
      <w:r w:rsidRPr="00CB6CEF">
        <w:rPr>
          <w:rFonts w:ascii="Times New Roman" w:hAnsi="Times New Roman"/>
          <w:sz w:val="24"/>
          <w:szCs w:val="24"/>
        </w:rPr>
        <w:t>In federal court, Jones added two new allegations. First,</w:t>
      </w:r>
      <w:r>
        <w:rPr>
          <w:rFonts w:ascii="Times New Roman" w:hAnsi="Times New Roman"/>
          <w:sz w:val="24"/>
          <w:szCs w:val="24"/>
        </w:rPr>
        <w:t xml:space="preserve"> </w:t>
      </w:r>
      <w:r w:rsidRPr="00CB6CEF">
        <w:rPr>
          <w:rFonts w:ascii="Times New Roman" w:hAnsi="Times New Roman"/>
          <w:sz w:val="24"/>
          <w:szCs w:val="24"/>
        </w:rPr>
        <w:t>he asserted that the grandfather who introduced him to alcohol also sexually abused him. Second, he claimed that his</w:t>
      </w:r>
    </w:p>
    <w:p w14:paraId="2B1E56F9" w14:textId="77777777" w:rsidR="002C7131" w:rsidRDefault="002C7131" w:rsidP="002C7131">
      <w:pPr>
        <w:pStyle w:val="NoSpacing"/>
        <w:ind w:left="720"/>
        <w:rPr>
          <w:rFonts w:ascii="Times New Roman" w:hAnsi="Times New Roman"/>
          <w:sz w:val="24"/>
          <w:szCs w:val="24"/>
        </w:rPr>
      </w:pPr>
      <w:r w:rsidRPr="00CB6CEF">
        <w:rPr>
          <w:rFonts w:ascii="Times New Roman" w:hAnsi="Times New Roman"/>
          <w:sz w:val="24"/>
          <w:szCs w:val="24"/>
        </w:rPr>
        <w:t>second stepfather, Randy, physically abused him. It is not</w:t>
      </w:r>
      <w:r>
        <w:rPr>
          <w:rFonts w:ascii="Times New Roman" w:hAnsi="Times New Roman"/>
          <w:sz w:val="24"/>
          <w:szCs w:val="24"/>
        </w:rPr>
        <w:t xml:space="preserve"> </w:t>
      </w:r>
      <w:r w:rsidRPr="00CB6CEF">
        <w:rPr>
          <w:rFonts w:ascii="Times New Roman" w:hAnsi="Times New Roman"/>
          <w:sz w:val="24"/>
          <w:szCs w:val="24"/>
        </w:rPr>
        <w:t>likely that these allegations would have moved the state</w:t>
      </w:r>
      <w:r>
        <w:rPr>
          <w:rFonts w:ascii="Times New Roman" w:hAnsi="Times New Roman"/>
          <w:sz w:val="24"/>
          <w:szCs w:val="24"/>
        </w:rPr>
        <w:t xml:space="preserve"> </w:t>
      </w:r>
      <w:r w:rsidRPr="00CB6CEF">
        <w:rPr>
          <w:rFonts w:ascii="Times New Roman" w:hAnsi="Times New Roman"/>
          <w:sz w:val="24"/>
          <w:szCs w:val="24"/>
        </w:rPr>
        <w:t>court either.</w:t>
      </w:r>
    </w:p>
    <w:p w14:paraId="45FB4D53" w14:textId="77777777" w:rsidR="002C7131" w:rsidRDefault="002C7131" w:rsidP="002C7131">
      <w:pPr>
        <w:pStyle w:val="NoSpacing"/>
        <w:rPr>
          <w:rFonts w:ascii="Times New Roman" w:hAnsi="Times New Roman"/>
          <w:sz w:val="24"/>
          <w:szCs w:val="24"/>
        </w:rPr>
      </w:pPr>
    </w:p>
    <w:p w14:paraId="54D23757" w14:textId="77777777" w:rsidR="002C7131" w:rsidRDefault="002C7131" w:rsidP="002C7131">
      <w:pPr>
        <w:pStyle w:val="NoSpacing"/>
        <w:rPr>
          <w:rFonts w:ascii="Times New Roman" w:hAnsi="Times New Roman"/>
          <w:sz w:val="24"/>
          <w:szCs w:val="24"/>
        </w:rPr>
      </w:pPr>
      <w:r>
        <w:rPr>
          <w:rFonts w:ascii="Times New Roman" w:hAnsi="Times New Roman"/>
          <w:sz w:val="24"/>
          <w:szCs w:val="24"/>
        </w:rPr>
        <w:tab/>
        <w:t>***</w:t>
      </w:r>
    </w:p>
    <w:p w14:paraId="1FA1E005" w14:textId="77777777" w:rsidR="002C7131" w:rsidRDefault="002C7131" w:rsidP="002C7131">
      <w:pPr>
        <w:pStyle w:val="NoSpacing"/>
        <w:ind w:left="720"/>
        <w:rPr>
          <w:rFonts w:ascii="Times New Roman" w:hAnsi="Times New Roman"/>
          <w:sz w:val="24"/>
          <w:szCs w:val="24"/>
        </w:rPr>
      </w:pPr>
    </w:p>
    <w:p w14:paraId="201BEA5F" w14:textId="77777777" w:rsidR="002C7131" w:rsidRPr="00476CC5" w:rsidRDefault="002C7131" w:rsidP="002C7131">
      <w:pPr>
        <w:pStyle w:val="NoSpacing"/>
        <w:ind w:left="720"/>
      </w:pPr>
      <w:r w:rsidRPr="0081449F">
        <w:rPr>
          <w:rFonts w:ascii="Times New Roman" w:hAnsi="Times New Roman"/>
          <w:sz w:val="24"/>
          <w:szCs w:val="24"/>
        </w:rPr>
        <w:t>When a capital defendant claims that he was prejudiced</w:t>
      </w:r>
      <w:r>
        <w:rPr>
          <w:rFonts w:ascii="Times New Roman" w:hAnsi="Times New Roman"/>
          <w:sz w:val="24"/>
          <w:szCs w:val="24"/>
        </w:rPr>
        <w:t xml:space="preserve"> </w:t>
      </w:r>
      <w:r w:rsidRPr="0081449F">
        <w:rPr>
          <w:rFonts w:ascii="Times New Roman" w:hAnsi="Times New Roman"/>
          <w:sz w:val="24"/>
          <w:szCs w:val="24"/>
        </w:rPr>
        <w:t>at sentencing because counsel failed to present available</w:t>
      </w:r>
      <w:r>
        <w:rPr>
          <w:rFonts w:ascii="Times New Roman" w:hAnsi="Times New Roman"/>
          <w:sz w:val="24"/>
          <w:szCs w:val="24"/>
        </w:rPr>
        <w:t xml:space="preserve"> </w:t>
      </w:r>
      <w:r w:rsidRPr="0081449F">
        <w:rPr>
          <w:rFonts w:ascii="Times New Roman" w:hAnsi="Times New Roman"/>
          <w:sz w:val="24"/>
          <w:szCs w:val="24"/>
        </w:rPr>
        <w:t>mitigating evidence, a court must decide whether it is reasonably likely that the additional evidence would have</w:t>
      </w:r>
      <w:r>
        <w:rPr>
          <w:rFonts w:ascii="Times New Roman" w:hAnsi="Times New Roman"/>
          <w:sz w:val="24"/>
          <w:szCs w:val="24"/>
        </w:rPr>
        <w:t xml:space="preserve"> </w:t>
      </w:r>
      <w:r w:rsidRPr="0081449F">
        <w:rPr>
          <w:rFonts w:ascii="Times New Roman" w:hAnsi="Times New Roman"/>
          <w:sz w:val="24"/>
          <w:szCs w:val="24"/>
        </w:rPr>
        <w:t>avoided a death sentence. This analysis requires an evaluation of the strength of all the evidence and a comparison</w:t>
      </w:r>
      <w:r>
        <w:rPr>
          <w:rFonts w:ascii="Times New Roman" w:hAnsi="Times New Roman"/>
          <w:sz w:val="24"/>
          <w:szCs w:val="24"/>
        </w:rPr>
        <w:t xml:space="preserve"> </w:t>
      </w:r>
      <w:r w:rsidRPr="0081449F">
        <w:rPr>
          <w:rFonts w:ascii="Times New Roman" w:hAnsi="Times New Roman"/>
          <w:sz w:val="24"/>
          <w:szCs w:val="24"/>
        </w:rPr>
        <w:t>of the weight of aggravating and mitigating factors. The</w:t>
      </w:r>
      <w:r>
        <w:rPr>
          <w:rFonts w:ascii="Times New Roman" w:hAnsi="Times New Roman"/>
          <w:sz w:val="24"/>
          <w:szCs w:val="24"/>
        </w:rPr>
        <w:t xml:space="preserve"> </w:t>
      </w:r>
      <w:r w:rsidRPr="0081449F">
        <w:rPr>
          <w:rFonts w:ascii="Times New Roman" w:hAnsi="Times New Roman"/>
          <w:sz w:val="24"/>
          <w:szCs w:val="24"/>
        </w:rPr>
        <w:t>Ninth Circuit did not heed that instruction; rather, it downplayed the serious aggravating factors present here and</w:t>
      </w:r>
      <w:r>
        <w:rPr>
          <w:rFonts w:ascii="Times New Roman" w:hAnsi="Times New Roman"/>
          <w:sz w:val="24"/>
          <w:szCs w:val="24"/>
        </w:rPr>
        <w:t xml:space="preserve"> </w:t>
      </w:r>
      <w:r w:rsidRPr="0081449F">
        <w:rPr>
          <w:rFonts w:ascii="Times New Roman" w:hAnsi="Times New Roman"/>
          <w:sz w:val="24"/>
          <w:szCs w:val="24"/>
        </w:rPr>
        <w:t>overstated the strength of mitigating evidence that differed</w:t>
      </w:r>
      <w:r>
        <w:rPr>
          <w:rFonts w:ascii="Times New Roman" w:hAnsi="Times New Roman"/>
          <w:sz w:val="24"/>
          <w:szCs w:val="24"/>
        </w:rPr>
        <w:t xml:space="preserve"> </w:t>
      </w:r>
      <w:r w:rsidRPr="0081449F">
        <w:rPr>
          <w:rFonts w:ascii="Times New Roman" w:hAnsi="Times New Roman"/>
          <w:sz w:val="24"/>
          <w:szCs w:val="24"/>
        </w:rPr>
        <w:t>very little from the evidence presented at sentencing</w:t>
      </w:r>
      <w:r>
        <w:rPr>
          <w:rFonts w:ascii="Times New Roman" w:hAnsi="Times New Roman"/>
          <w:sz w:val="24"/>
          <w:szCs w:val="24"/>
        </w:rPr>
        <w:t xml:space="preserve">. </w:t>
      </w:r>
      <w:r w:rsidRPr="00273EA8">
        <w:rPr>
          <w:rFonts w:ascii="Times New Roman" w:hAnsi="Times New Roman"/>
          <w:sz w:val="24"/>
          <w:szCs w:val="24"/>
        </w:rPr>
        <w:t>Had</w:t>
      </w:r>
      <w:r>
        <w:rPr>
          <w:rFonts w:ascii="Times New Roman" w:hAnsi="Times New Roman"/>
          <w:sz w:val="24"/>
          <w:szCs w:val="24"/>
        </w:rPr>
        <w:t xml:space="preserve"> </w:t>
      </w:r>
      <w:r w:rsidRPr="00273EA8">
        <w:rPr>
          <w:rFonts w:ascii="Times New Roman" w:hAnsi="Times New Roman"/>
          <w:sz w:val="24"/>
          <w:szCs w:val="24"/>
        </w:rPr>
        <w:t>the Ninth Circuit engaged in the analysis required by</w:t>
      </w:r>
      <w:r>
        <w:rPr>
          <w:rFonts w:ascii="Times New Roman" w:hAnsi="Times New Roman"/>
          <w:sz w:val="24"/>
          <w:szCs w:val="24"/>
        </w:rPr>
        <w:t xml:space="preserve"> </w:t>
      </w:r>
      <w:proofErr w:type="gramStart"/>
      <w:r w:rsidRPr="00164960">
        <w:rPr>
          <w:rFonts w:ascii="Times New Roman" w:hAnsi="Times New Roman"/>
          <w:sz w:val="24"/>
          <w:szCs w:val="24"/>
        </w:rPr>
        <w:t>Strickland,</w:t>
      </w:r>
      <w:proofErr w:type="gramEnd"/>
      <w:r w:rsidRPr="00164960">
        <w:rPr>
          <w:rFonts w:ascii="Times New Roman" w:hAnsi="Times New Roman"/>
          <w:sz w:val="24"/>
          <w:szCs w:val="24"/>
        </w:rPr>
        <w:t xml:space="preserve"> it would have had no choice but to affirm the</w:t>
      </w:r>
      <w:r>
        <w:rPr>
          <w:rFonts w:ascii="Times New Roman" w:hAnsi="Times New Roman"/>
          <w:sz w:val="24"/>
          <w:szCs w:val="24"/>
        </w:rPr>
        <w:t xml:space="preserve"> </w:t>
      </w:r>
      <w:r w:rsidRPr="00164960">
        <w:rPr>
          <w:rFonts w:ascii="Times New Roman" w:hAnsi="Times New Roman"/>
          <w:sz w:val="24"/>
          <w:szCs w:val="24"/>
        </w:rPr>
        <w:t>decision of the District Court denying habeas relief. We</w:t>
      </w:r>
      <w:r>
        <w:rPr>
          <w:rFonts w:ascii="Times New Roman" w:hAnsi="Times New Roman"/>
          <w:sz w:val="24"/>
          <w:szCs w:val="24"/>
        </w:rPr>
        <w:t xml:space="preserve"> </w:t>
      </w:r>
      <w:r w:rsidRPr="00164960">
        <w:rPr>
          <w:rFonts w:ascii="Times New Roman" w:hAnsi="Times New Roman"/>
          <w:sz w:val="24"/>
          <w:szCs w:val="24"/>
        </w:rPr>
        <w:t>therefore reverse the judgment of the Court of Appeals and</w:t>
      </w:r>
      <w:r>
        <w:rPr>
          <w:rFonts w:ascii="Times New Roman" w:hAnsi="Times New Roman"/>
          <w:sz w:val="24"/>
          <w:szCs w:val="24"/>
        </w:rPr>
        <w:t xml:space="preserve"> </w:t>
      </w:r>
      <w:r w:rsidRPr="00164960">
        <w:rPr>
          <w:rFonts w:ascii="Times New Roman" w:hAnsi="Times New Roman"/>
          <w:sz w:val="24"/>
          <w:szCs w:val="24"/>
        </w:rPr>
        <w:t>remand the case for further proceedings consistent with</w:t>
      </w:r>
      <w:r>
        <w:rPr>
          <w:rFonts w:ascii="Times New Roman" w:hAnsi="Times New Roman"/>
          <w:sz w:val="24"/>
          <w:szCs w:val="24"/>
        </w:rPr>
        <w:t xml:space="preserve"> </w:t>
      </w:r>
      <w:r w:rsidRPr="00164960">
        <w:rPr>
          <w:rFonts w:ascii="Times New Roman" w:hAnsi="Times New Roman"/>
          <w:sz w:val="24"/>
          <w:szCs w:val="24"/>
        </w:rPr>
        <w:t>this opinion.</w:t>
      </w:r>
      <w:r>
        <w:rPr>
          <w:rFonts w:ascii="Times New Roman" w:hAnsi="Times New Roman"/>
          <w:sz w:val="24"/>
          <w:szCs w:val="24"/>
        </w:rPr>
        <w:t xml:space="preserve">” </w:t>
      </w:r>
      <w:hyperlink r:id="rId131" w:history="1">
        <w:r w:rsidRPr="00DF21B2">
          <w:rPr>
            <w:rStyle w:val="Hyperlink"/>
            <w:rFonts w:ascii="Times New Roman" w:hAnsi="Times New Roman"/>
            <w:sz w:val="24"/>
            <w:szCs w:val="24"/>
          </w:rPr>
          <w:t>https://www.supremecourt.gov/opinions/23pdf/22-982_bq7d.pdf</w:t>
        </w:r>
      </w:hyperlink>
      <w:r>
        <w:t xml:space="preserve"> </w:t>
      </w:r>
    </w:p>
    <w:p w14:paraId="69FB0E15" w14:textId="77777777" w:rsidR="002C7131" w:rsidRDefault="002C7131" w:rsidP="002C7131">
      <w:pPr>
        <w:pStyle w:val="NoSpacing"/>
        <w:rPr>
          <w:rFonts w:ascii="Times New Roman" w:hAnsi="Times New Roman"/>
          <w:sz w:val="24"/>
          <w:szCs w:val="24"/>
        </w:rPr>
      </w:pPr>
    </w:p>
    <w:p w14:paraId="4065FD90" w14:textId="77777777" w:rsidR="007276B8" w:rsidRPr="00666E81" w:rsidRDefault="007276B8" w:rsidP="007276B8">
      <w:pPr>
        <w:spacing w:after="0" w:line="240" w:lineRule="auto"/>
        <w:rPr>
          <w:rFonts w:ascii="Times New Roman" w:eastAsia="Times New Roman" w:hAnsi="Times New Roman"/>
          <w:sz w:val="24"/>
          <w:szCs w:val="24"/>
        </w:rPr>
      </w:pPr>
      <w:r w:rsidRPr="003C56CA">
        <w:rPr>
          <w:rFonts w:ascii="Times New Roman" w:eastAsia="Times New Roman" w:hAnsi="Times New Roman"/>
          <w:sz w:val="24"/>
          <w:szCs w:val="24"/>
        </w:rPr>
        <w:t>DISSENT</w:t>
      </w:r>
      <w:r w:rsidRPr="00666E81">
        <w:rPr>
          <w:rFonts w:ascii="Times New Roman" w:eastAsia="Times New Roman" w:hAnsi="Times New Roman"/>
          <w:sz w:val="24"/>
          <w:szCs w:val="24"/>
        </w:rPr>
        <w:t xml:space="preserve"> [Opinion by Justice </w:t>
      </w:r>
      <w:r w:rsidRPr="00666E81">
        <w:rPr>
          <w:rFonts w:ascii="Times New Roman" w:hAnsi="Times New Roman"/>
          <w:sz w:val="24"/>
          <w:szCs w:val="24"/>
        </w:rPr>
        <w:t>Ketanji Onyika Brown Jackson]</w:t>
      </w:r>
      <w:r>
        <w:rPr>
          <w:rFonts w:ascii="Times New Roman" w:hAnsi="Times New Roman"/>
          <w:sz w:val="24"/>
          <w:szCs w:val="24"/>
        </w:rPr>
        <w:t>:</w:t>
      </w:r>
    </w:p>
    <w:p w14:paraId="23BD46D2" w14:textId="77777777" w:rsidR="007276B8" w:rsidRDefault="007276B8" w:rsidP="007276B8">
      <w:pPr>
        <w:spacing w:after="0" w:line="240" w:lineRule="auto"/>
        <w:rPr>
          <w:rFonts w:ascii="Times New Roman" w:eastAsia="Times New Roman" w:hAnsi="Times New Roman"/>
          <w:sz w:val="24"/>
          <w:szCs w:val="24"/>
        </w:rPr>
      </w:pPr>
    </w:p>
    <w:p w14:paraId="2F52A109" w14:textId="77777777" w:rsidR="007276B8" w:rsidRPr="00153EC8" w:rsidRDefault="007276B8" w:rsidP="007276B8">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311219">
        <w:rPr>
          <w:rFonts w:ascii="Times New Roman" w:eastAsia="Times New Roman" w:hAnsi="Times New Roman"/>
          <w:sz w:val="24"/>
          <w:szCs w:val="24"/>
        </w:rPr>
        <w:t>I agree with JUSTICE SOTOMAYOR that</w:t>
      </w:r>
      <w:r>
        <w:rPr>
          <w:rFonts w:ascii="Times New Roman" w:eastAsia="Times New Roman" w:hAnsi="Times New Roman"/>
          <w:sz w:val="24"/>
          <w:szCs w:val="24"/>
        </w:rPr>
        <w:t xml:space="preserve"> </w:t>
      </w:r>
      <w:r w:rsidRPr="00311219">
        <w:rPr>
          <w:rFonts w:ascii="Times New Roman" w:eastAsia="Times New Roman" w:hAnsi="Times New Roman"/>
          <w:sz w:val="24"/>
          <w:szCs w:val="24"/>
        </w:rPr>
        <w:t>we are not the right tribunal to parse the extensive factual</w:t>
      </w:r>
      <w:r>
        <w:rPr>
          <w:rFonts w:ascii="Times New Roman" w:eastAsia="Times New Roman" w:hAnsi="Times New Roman"/>
          <w:sz w:val="24"/>
          <w:szCs w:val="24"/>
        </w:rPr>
        <w:t xml:space="preserve"> </w:t>
      </w:r>
      <w:r w:rsidRPr="00311219">
        <w:rPr>
          <w:rFonts w:ascii="Times New Roman" w:eastAsia="Times New Roman" w:hAnsi="Times New Roman"/>
          <w:sz w:val="24"/>
          <w:szCs w:val="24"/>
        </w:rPr>
        <w:t>record in this case in the first instance. That is doubly true</w:t>
      </w:r>
      <w:r>
        <w:rPr>
          <w:rFonts w:ascii="Times New Roman" w:eastAsia="Times New Roman" w:hAnsi="Times New Roman"/>
          <w:sz w:val="24"/>
          <w:szCs w:val="24"/>
        </w:rPr>
        <w:t xml:space="preserve"> </w:t>
      </w:r>
      <w:r w:rsidRPr="00311219">
        <w:rPr>
          <w:rFonts w:ascii="Times New Roman" w:eastAsia="Times New Roman" w:hAnsi="Times New Roman"/>
          <w:sz w:val="24"/>
          <w:szCs w:val="24"/>
        </w:rPr>
        <w:t>where the Ninth Circuit committed no legal error in reviewing that record to begin with. I respectfully dissent</w:t>
      </w:r>
      <w:r>
        <w:rPr>
          <w:rFonts w:ascii="Times New Roman" w:eastAsia="Times New Roman" w:hAnsi="Times New Roman"/>
          <w:sz w:val="24"/>
          <w:szCs w:val="24"/>
        </w:rPr>
        <w:t>.”</w:t>
      </w:r>
    </w:p>
    <w:p w14:paraId="0FF89955" w14:textId="77777777" w:rsidR="007276B8" w:rsidRDefault="007276B8" w:rsidP="007276B8">
      <w:pPr>
        <w:pStyle w:val="NoSpacing"/>
        <w:rPr>
          <w:rFonts w:ascii="Times New Roman" w:hAnsi="Times New Roman"/>
          <w:sz w:val="24"/>
          <w:szCs w:val="24"/>
          <w:shd w:val="clear" w:color="auto" w:fill="FFFFFF"/>
        </w:rPr>
      </w:pPr>
    </w:p>
    <w:p w14:paraId="4F1F1B28" w14:textId="77777777" w:rsidR="007276B8" w:rsidRPr="005446DE" w:rsidRDefault="007276B8" w:rsidP="007276B8">
      <w:pPr>
        <w:pStyle w:val="NormalWeb"/>
        <w:spacing w:before="0" w:beforeAutospacing="0"/>
        <w:rPr>
          <w:b/>
          <w:bCs/>
          <w:color w:val="454545"/>
          <w:shd w:val="clear" w:color="auto" w:fill="FFFFFF"/>
        </w:rPr>
      </w:pPr>
      <w:r w:rsidRPr="005446DE">
        <w:rPr>
          <w:b/>
          <w:bCs/>
          <w:color w:val="454545"/>
          <w:shd w:val="clear" w:color="auto" w:fill="FFFFFF"/>
        </w:rPr>
        <w:t xml:space="preserve">Legal Lesson Learned: </w:t>
      </w:r>
      <w:r>
        <w:rPr>
          <w:b/>
          <w:bCs/>
          <w:color w:val="454545"/>
          <w:shd w:val="clear" w:color="auto" w:fill="FFFFFF"/>
        </w:rPr>
        <w:t xml:space="preserve">Hopefully this decision will lead to far fewer habeas corpus decisions by Federal courts of prisoners convicted in state court. </w:t>
      </w:r>
    </w:p>
    <w:p w14:paraId="3765BC2F" w14:textId="77777777" w:rsidR="006A0C24" w:rsidRDefault="006A0C24" w:rsidP="00B86628">
      <w:pPr>
        <w:pStyle w:val="NoSpacing"/>
        <w:rPr>
          <w:rFonts w:ascii="Arial Black" w:hAnsi="Arial Black"/>
          <w:sz w:val="24"/>
          <w:szCs w:val="24"/>
        </w:rPr>
      </w:pPr>
    </w:p>
    <w:p w14:paraId="3AF77ED2" w14:textId="77777777" w:rsidR="006A0C24" w:rsidRDefault="006A0C24" w:rsidP="00B86628">
      <w:pPr>
        <w:pStyle w:val="NoSpacing"/>
        <w:rPr>
          <w:rFonts w:ascii="Arial Black" w:hAnsi="Arial Black"/>
          <w:sz w:val="24"/>
          <w:szCs w:val="24"/>
        </w:rPr>
      </w:pPr>
    </w:p>
    <w:p w14:paraId="14565FAC" w14:textId="77777777" w:rsidR="006A0C24" w:rsidRDefault="006A0C24" w:rsidP="00B86628">
      <w:pPr>
        <w:pStyle w:val="NoSpacing"/>
        <w:rPr>
          <w:rFonts w:ascii="Arial Black" w:hAnsi="Arial Black"/>
          <w:sz w:val="24"/>
          <w:szCs w:val="24"/>
        </w:rPr>
      </w:pPr>
    </w:p>
    <w:p w14:paraId="3B6AB2D8" w14:textId="43C915CE" w:rsidR="00D91CD7" w:rsidRDefault="00D91CD7" w:rsidP="00B86628">
      <w:pPr>
        <w:pStyle w:val="NoSpacing"/>
        <w:rPr>
          <w:rFonts w:ascii="Arial Black" w:hAnsi="Arial Black"/>
          <w:sz w:val="24"/>
          <w:szCs w:val="24"/>
        </w:rPr>
      </w:pPr>
      <w:r>
        <w:rPr>
          <w:rFonts w:ascii="Arial Black" w:hAnsi="Arial Black"/>
          <w:sz w:val="24"/>
          <w:szCs w:val="24"/>
        </w:rPr>
        <w:t>1-148</w:t>
      </w:r>
    </w:p>
    <w:p w14:paraId="726F1FC2" w14:textId="77777777" w:rsidR="00D91CD7" w:rsidRDefault="00D91CD7" w:rsidP="00B86628">
      <w:pPr>
        <w:pStyle w:val="NoSpacing"/>
        <w:rPr>
          <w:rFonts w:ascii="Arial Black" w:hAnsi="Arial Black"/>
          <w:sz w:val="24"/>
          <w:szCs w:val="24"/>
        </w:rPr>
      </w:pPr>
    </w:p>
    <w:p w14:paraId="0DA13E11" w14:textId="79300BDB" w:rsidR="00D91CD7" w:rsidRPr="002D2487" w:rsidRDefault="00D91CD7" w:rsidP="00D91CD7">
      <w:pPr>
        <w:pStyle w:val="NormalWeb"/>
        <w:shd w:val="clear" w:color="auto" w:fill="FFFFFF"/>
        <w:spacing w:before="0" w:beforeAutospacing="0"/>
        <w:rPr>
          <w:rFonts w:ascii="Arial Black" w:hAnsi="Arial Black"/>
          <w:sz w:val="28"/>
          <w:szCs w:val="28"/>
        </w:rPr>
      </w:pPr>
      <w:r>
        <w:rPr>
          <w:rFonts w:ascii="Arial Black" w:hAnsi="Arial Black"/>
          <w:sz w:val="28"/>
          <w:szCs w:val="28"/>
        </w:rPr>
        <w:t>MI: CODE ENFORCEMENT – DRONE VIDEOTAPED SAVAGE YARD WITHOUT WARRANT – EXCLUS</w:t>
      </w:r>
      <w:r w:rsidR="00162E4F">
        <w:rPr>
          <w:rFonts w:ascii="Arial Black" w:hAnsi="Arial Black"/>
          <w:sz w:val="28"/>
          <w:szCs w:val="28"/>
        </w:rPr>
        <w:t xml:space="preserve">IONARY </w:t>
      </w:r>
      <w:r>
        <w:rPr>
          <w:rFonts w:ascii="Arial Black" w:hAnsi="Arial Black"/>
          <w:sz w:val="28"/>
          <w:szCs w:val="28"/>
        </w:rPr>
        <w:t>RULE NOT APPLY</w:t>
      </w:r>
    </w:p>
    <w:p w14:paraId="7DD6C3B3" w14:textId="77777777" w:rsidR="00D91CD7" w:rsidRDefault="00D91CD7" w:rsidP="00D91CD7">
      <w:pPr>
        <w:pStyle w:val="NormalWeb"/>
        <w:shd w:val="clear" w:color="auto" w:fill="FFFFFF"/>
        <w:spacing w:before="0" w:beforeAutospacing="0"/>
      </w:pPr>
      <w:r>
        <w:t xml:space="preserve">On May 3, 2024, in </w:t>
      </w:r>
      <w:r w:rsidRPr="001C2E85">
        <w:rPr>
          <w:u w:val="single"/>
        </w:rPr>
        <w:t>Long Lake Township v. Todd Maxon and Heather Maxon</w:t>
      </w:r>
      <w:r>
        <w:t xml:space="preserve">, the Supreme Court of Michigan held (7 to 0) that the video is admissible in zoning action.  The Court held: </w:t>
      </w:r>
    </w:p>
    <w:p w14:paraId="3AD446D7" w14:textId="74CE8E10" w:rsidR="00D91CD7" w:rsidRPr="00A97B04" w:rsidRDefault="00D91CD7" w:rsidP="00CD1833">
      <w:pPr>
        <w:pStyle w:val="NoSpacing"/>
        <w:ind w:left="720"/>
        <w:rPr>
          <w:rFonts w:ascii="Times New Roman" w:hAnsi="Times New Roman"/>
          <w:sz w:val="24"/>
          <w:szCs w:val="24"/>
        </w:rPr>
      </w:pPr>
      <w:r>
        <w:rPr>
          <w:rFonts w:ascii="Times New Roman" w:hAnsi="Times New Roman"/>
          <w:sz w:val="24"/>
          <w:szCs w:val="24"/>
        </w:rPr>
        <w:t>“</w:t>
      </w:r>
      <w:r w:rsidRPr="00A97B04">
        <w:rPr>
          <w:rFonts w:ascii="Times New Roman" w:hAnsi="Times New Roman"/>
          <w:sz w:val="24"/>
          <w:szCs w:val="24"/>
        </w:rPr>
        <w:t>We hold that the costs of applying the exclusionary rule in this case would outweigh</w:t>
      </w:r>
      <w:r w:rsidR="00CD1833">
        <w:rPr>
          <w:rFonts w:ascii="Times New Roman" w:hAnsi="Times New Roman"/>
          <w:sz w:val="24"/>
          <w:szCs w:val="24"/>
        </w:rPr>
        <w:t xml:space="preserve"> </w:t>
      </w:r>
      <w:r w:rsidRPr="00A97B04">
        <w:rPr>
          <w:rFonts w:ascii="Times New Roman" w:hAnsi="Times New Roman"/>
          <w:sz w:val="24"/>
          <w:szCs w:val="24"/>
        </w:rPr>
        <w:t>the benefits. Applying the exclusionary rule would prevent the Township from effectuating</w:t>
      </w:r>
      <w:r>
        <w:rPr>
          <w:rFonts w:ascii="Times New Roman" w:hAnsi="Times New Roman"/>
          <w:sz w:val="24"/>
          <w:szCs w:val="24"/>
        </w:rPr>
        <w:t xml:space="preserve"> </w:t>
      </w:r>
      <w:r w:rsidRPr="00A97B04">
        <w:rPr>
          <w:rFonts w:ascii="Times New Roman" w:hAnsi="Times New Roman"/>
          <w:sz w:val="24"/>
          <w:szCs w:val="24"/>
        </w:rPr>
        <w:t xml:space="preserve">its nuisance and zoning </w:t>
      </w:r>
      <w:r w:rsidRPr="00A97B04">
        <w:rPr>
          <w:rFonts w:ascii="Times New Roman" w:hAnsi="Times New Roman"/>
          <w:sz w:val="24"/>
          <w:szCs w:val="24"/>
        </w:rPr>
        <w:lastRenderedPageBreak/>
        <w:t>ordinances—a serious cost. It would do so for little benefit given</w:t>
      </w:r>
      <w:r>
        <w:rPr>
          <w:rFonts w:ascii="Times New Roman" w:hAnsi="Times New Roman"/>
          <w:sz w:val="24"/>
          <w:szCs w:val="24"/>
        </w:rPr>
        <w:t xml:space="preserve"> </w:t>
      </w:r>
      <w:r w:rsidRPr="00A97B04">
        <w:rPr>
          <w:rFonts w:ascii="Times New Roman" w:hAnsi="Times New Roman"/>
          <w:sz w:val="24"/>
          <w:szCs w:val="24"/>
        </w:rPr>
        <w:t>that exclusion of the photographs and video here would not deter future misconduct by law</w:t>
      </w:r>
      <w:r>
        <w:rPr>
          <w:rFonts w:ascii="Times New Roman" w:hAnsi="Times New Roman"/>
          <w:sz w:val="24"/>
          <w:szCs w:val="24"/>
        </w:rPr>
        <w:t xml:space="preserve"> </w:t>
      </w:r>
      <w:r w:rsidRPr="00A97B04">
        <w:rPr>
          <w:rFonts w:ascii="Times New Roman" w:hAnsi="Times New Roman"/>
          <w:sz w:val="24"/>
          <w:szCs w:val="24"/>
        </w:rPr>
        <w:t xml:space="preserve">enforcement officers or their adjuncts, proxies, or agents. We agree with the Court of Appeals’ conclusion </w:t>
      </w:r>
      <w:proofErr w:type="gramStart"/>
      <w:r w:rsidRPr="00A97B04">
        <w:rPr>
          <w:rFonts w:ascii="Times New Roman" w:hAnsi="Times New Roman"/>
          <w:sz w:val="24"/>
          <w:szCs w:val="24"/>
        </w:rPr>
        <w:t xml:space="preserve">that </w:t>
      </w:r>
      <w:r>
        <w:rPr>
          <w:rFonts w:ascii="Times New Roman" w:hAnsi="Times New Roman"/>
          <w:sz w:val="24"/>
          <w:szCs w:val="24"/>
        </w:rPr>
        <w:t>‘</w:t>
      </w:r>
      <w:r w:rsidRPr="00A97B04">
        <w:rPr>
          <w:rFonts w:ascii="Times New Roman" w:hAnsi="Times New Roman"/>
          <w:sz w:val="24"/>
          <w:szCs w:val="24"/>
        </w:rPr>
        <w:t>[t]he</w:t>
      </w:r>
      <w:proofErr w:type="gramEnd"/>
      <w:r w:rsidRPr="00A97B04">
        <w:rPr>
          <w:rFonts w:ascii="Times New Roman" w:hAnsi="Times New Roman"/>
          <w:sz w:val="24"/>
          <w:szCs w:val="24"/>
        </w:rPr>
        <w:t xml:space="preserve"> exclusionary rule was not intended to operate in this arena,</w:t>
      </w:r>
      <w:r>
        <w:rPr>
          <w:rFonts w:ascii="Times New Roman" w:hAnsi="Times New Roman"/>
          <w:sz w:val="24"/>
          <w:szCs w:val="24"/>
        </w:rPr>
        <w:t xml:space="preserve">’ </w:t>
      </w:r>
      <w:r w:rsidRPr="00A97B04">
        <w:rPr>
          <w:rFonts w:ascii="Times New Roman" w:hAnsi="Times New Roman"/>
          <w:sz w:val="24"/>
          <w:szCs w:val="24"/>
        </w:rPr>
        <w:t>and application of the rule in this case would serve no valuable function.</w:t>
      </w:r>
      <w:r>
        <w:rPr>
          <w:rFonts w:ascii="Times New Roman" w:hAnsi="Times New Roman"/>
          <w:sz w:val="24"/>
          <w:szCs w:val="24"/>
        </w:rPr>
        <w:t xml:space="preserve"> </w:t>
      </w:r>
      <w:r w:rsidRPr="00A97B04">
        <w:rPr>
          <w:rFonts w:ascii="Times New Roman" w:hAnsi="Times New Roman"/>
          <w:sz w:val="24"/>
          <w:szCs w:val="24"/>
        </w:rPr>
        <w:t>We therefore</w:t>
      </w:r>
      <w:r>
        <w:rPr>
          <w:rFonts w:ascii="Times New Roman" w:hAnsi="Times New Roman"/>
          <w:sz w:val="24"/>
          <w:szCs w:val="24"/>
        </w:rPr>
        <w:t xml:space="preserve"> </w:t>
      </w:r>
      <w:r w:rsidRPr="00A97B04">
        <w:rPr>
          <w:rFonts w:ascii="Times New Roman" w:hAnsi="Times New Roman"/>
          <w:sz w:val="24"/>
          <w:szCs w:val="24"/>
        </w:rPr>
        <w:t>affirm the judgment of the Court of Appeals and remand to the circuit court for further</w:t>
      </w:r>
      <w:r>
        <w:rPr>
          <w:rFonts w:ascii="Times New Roman" w:hAnsi="Times New Roman"/>
          <w:sz w:val="24"/>
          <w:szCs w:val="24"/>
        </w:rPr>
        <w:t xml:space="preserve"> </w:t>
      </w:r>
      <w:r w:rsidRPr="00A97B04">
        <w:rPr>
          <w:rFonts w:ascii="Times New Roman" w:hAnsi="Times New Roman"/>
          <w:sz w:val="24"/>
          <w:szCs w:val="24"/>
        </w:rPr>
        <w:t>proceedings.</w:t>
      </w:r>
      <w:r>
        <w:rPr>
          <w:rFonts w:ascii="Times New Roman" w:hAnsi="Times New Roman"/>
          <w:sz w:val="24"/>
          <w:szCs w:val="24"/>
        </w:rPr>
        <w:t xml:space="preserve">” </w:t>
      </w:r>
      <w:hyperlink r:id="rId132" w:history="1">
        <w:r w:rsidRPr="00A32FB7">
          <w:rPr>
            <w:rStyle w:val="Hyperlink"/>
            <w:rFonts w:ascii="Times New Roman" w:hAnsi="Times New Roman"/>
            <w:sz w:val="24"/>
            <w:szCs w:val="24"/>
          </w:rPr>
          <w:t>https://www.courts.michigan.gov/49940f/siteassets/case-documents/uploads/opinions/final/sct/164948_142_01.pdf</w:t>
        </w:r>
      </w:hyperlink>
      <w:r>
        <w:rPr>
          <w:rFonts w:ascii="Times New Roman" w:hAnsi="Times New Roman"/>
          <w:sz w:val="24"/>
          <w:szCs w:val="24"/>
        </w:rPr>
        <w:t xml:space="preserve"> </w:t>
      </w:r>
    </w:p>
    <w:p w14:paraId="5FBB60A6" w14:textId="77777777" w:rsidR="00BD2431" w:rsidRDefault="00BD2431" w:rsidP="006A0C24">
      <w:pPr>
        <w:pStyle w:val="NoSpacing"/>
        <w:rPr>
          <w:rFonts w:ascii="Times New Roman" w:hAnsi="Times New Roman"/>
          <w:b/>
          <w:bCs/>
          <w:sz w:val="24"/>
          <w:szCs w:val="24"/>
        </w:rPr>
      </w:pPr>
    </w:p>
    <w:p w14:paraId="7211ABA8" w14:textId="18A3D1FC" w:rsidR="006A0C24" w:rsidRPr="0026088F" w:rsidRDefault="006A0C24" w:rsidP="006A0C24">
      <w:pPr>
        <w:pStyle w:val="NoSpacing"/>
        <w:rPr>
          <w:rFonts w:ascii="Times New Roman" w:hAnsi="Times New Roman"/>
          <w:b/>
          <w:bCs/>
          <w:sz w:val="24"/>
          <w:szCs w:val="24"/>
        </w:rPr>
      </w:pPr>
      <w:r w:rsidRPr="0026088F">
        <w:rPr>
          <w:rFonts w:ascii="Times New Roman" w:hAnsi="Times New Roman"/>
          <w:b/>
          <w:bCs/>
          <w:sz w:val="24"/>
          <w:szCs w:val="24"/>
        </w:rPr>
        <w:t>Legal Lesson Learned:</w:t>
      </w:r>
      <w:r>
        <w:rPr>
          <w:rFonts w:ascii="Times New Roman" w:hAnsi="Times New Roman"/>
          <w:b/>
          <w:bCs/>
          <w:sz w:val="24"/>
          <w:szCs w:val="24"/>
        </w:rPr>
        <w:t xml:space="preserve"> To avoid motions to suppress, consider getting an administrative search warrant prior to using drone to videotape zoning violation. </w:t>
      </w:r>
      <w:r w:rsidR="002A2715">
        <w:rPr>
          <w:rFonts w:ascii="Times New Roman" w:hAnsi="Times New Roman"/>
          <w:b/>
          <w:bCs/>
          <w:sz w:val="24"/>
          <w:szCs w:val="24"/>
        </w:rPr>
        <w:t xml:space="preserve"> </w:t>
      </w:r>
    </w:p>
    <w:p w14:paraId="6D6C62A8" w14:textId="77777777" w:rsidR="006A0C24" w:rsidRDefault="006A0C24" w:rsidP="00B86628">
      <w:pPr>
        <w:pStyle w:val="NoSpacing"/>
        <w:rPr>
          <w:rFonts w:ascii="Arial Black" w:hAnsi="Arial Black"/>
          <w:sz w:val="24"/>
          <w:szCs w:val="24"/>
        </w:rPr>
      </w:pPr>
    </w:p>
    <w:p w14:paraId="1D579FC3" w14:textId="73C16C1B" w:rsidR="002422E0" w:rsidRDefault="002422E0" w:rsidP="002422E0">
      <w:pPr>
        <w:pStyle w:val="NoSpacing"/>
        <w:ind w:left="720"/>
        <w:rPr>
          <w:rFonts w:ascii="Times New Roman" w:hAnsi="Times New Roman"/>
          <w:sz w:val="24"/>
          <w:szCs w:val="24"/>
        </w:rPr>
      </w:pPr>
      <w:r>
        <w:rPr>
          <w:rFonts w:ascii="Times New Roman" w:hAnsi="Times New Roman"/>
          <w:sz w:val="24"/>
          <w:szCs w:val="24"/>
        </w:rPr>
        <w:t xml:space="preserve">Note:  See these articles on the case.  </w:t>
      </w:r>
    </w:p>
    <w:p w14:paraId="4598C6B1" w14:textId="77777777" w:rsidR="002422E0" w:rsidRDefault="002422E0" w:rsidP="002422E0">
      <w:pPr>
        <w:pStyle w:val="NoSpacing"/>
        <w:ind w:left="720"/>
        <w:rPr>
          <w:rFonts w:ascii="Times New Roman" w:hAnsi="Times New Roman"/>
          <w:sz w:val="24"/>
          <w:szCs w:val="24"/>
        </w:rPr>
      </w:pPr>
      <w:r w:rsidRPr="00F65379">
        <w:rPr>
          <w:rFonts w:ascii="Times New Roman" w:hAnsi="Times New Roman"/>
          <w:sz w:val="24"/>
          <w:szCs w:val="24"/>
        </w:rPr>
        <w:t xml:space="preserve">July 22, 2024: This Michigan Supreme Court Case Has the Potential to Guide Drone and Air Rights Law for the Nation. </w:t>
      </w:r>
      <w:hyperlink r:id="rId133" w:history="1">
        <w:r w:rsidRPr="00F65379">
          <w:rPr>
            <w:rStyle w:val="Hyperlink"/>
            <w:rFonts w:ascii="Times New Roman" w:hAnsi="Times New Roman"/>
            <w:sz w:val="24"/>
            <w:szCs w:val="24"/>
          </w:rPr>
          <w:t>https://natlawreview.com/article/michigan-supreme-court-case-has-potential-guide-drone-and-air-rights-law-nation</w:t>
        </w:r>
      </w:hyperlink>
      <w:r w:rsidRPr="00F65379">
        <w:rPr>
          <w:rFonts w:ascii="Times New Roman" w:hAnsi="Times New Roman"/>
          <w:sz w:val="24"/>
          <w:szCs w:val="24"/>
        </w:rPr>
        <w:t xml:space="preserve"> </w:t>
      </w:r>
    </w:p>
    <w:p w14:paraId="52B7E938" w14:textId="77777777" w:rsidR="00F841C3" w:rsidRDefault="00F841C3" w:rsidP="002422E0">
      <w:pPr>
        <w:pStyle w:val="NoSpacing"/>
        <w:ind w:left="720"/>
        <w:rPr>
          <w:rFonts w:ascii="Times New Roman" w:hAnsi="Times New Roman"/>
          <w:sz w:val="24"/>
          <w:szCs w:val="24"/>
        </w:rPr>
      </w:pPr>
    </w:p>
    <w:p w14:paraId="2099B73C" w14:textId="77777777" w:rsidR="00F841C3" w:rsidRPr="00DF31EA" w:rsidRDefault="00F841C3" w:rsidP="00F841C3">
      <w:pPr>
        <w:pStyle w:val="NoSpacing"/>
        <w:ind w:left="720"/>
        <w:rPr>
          <w:rFonts w:ascii="Times New Roman" w:hAnsi="Times New Roman"/>
          <w:sz w:val="24"/>
          <w:szCs w:val="24"/>
        </w:rPr>
      </w:pPr>
      <w:r w:rsidRPr="00DF31EA">
        <w:rPr>
          <w:rFonts w:ascii="Times New Roman" w:hAnsi="Times New Roman"/>
          <w:sz w:val="24"/>
          <w:szCs w:val="24"/>
        </w:rPr>
        <w:t xml:space="preserve">May 8. 2024: Michigan Supreme Court Allows Drone Surveillance Evidence in Civil Case </w:t>
      </w:r>
      <w:hyperlink r:id="rId134" w:history="1">
        <w:r w:rsidRPr="00DF31EA">
          <w:rPr>
            <w:rStyle w:val="Hyperlink"/>
            <w:rFonts w:ascii="Times New Roman" w:hAnsi="Times New Roman"/>
            <w:sz w:val="24"/>
            <w:szCs w:val="24"/>
          </w:rPr>
          <w:t>https://dronelife.com/2024/05/08/michigan-supreme-court-allows-drone-surveillance-evidence-in-civil-case/</w:t>
        </w:r>
      </w:hyperlink>
      <w:r w:rsidRPr="00DF31EA">
        <w:rPr>
          <w:rFonts w:ascii="Times New Roman" w:hAnsi="Times New Roman"/>
          <w:sz w:val="24"/>
          <w:szCs w:val="24"/>
        </w:rPr>
        <w:t xml:space="preserve"> </w:t>
      </w:r>
    </w:p>
    <w:p w14:paraId="27D7E5DA" w14:textId="77777777" w:rsidR="00F841C3" w:rsidRPr="00F65379" w:rsidRDefault="00F841C3" w:rsidP="002422E0">
      <w:pPr>
        <w:pStyle w:val="NoSpacing"/>
        <w:ind w:left="720"/>
        <w:rPr>
          <w:rFonts w:ascii="Times New Roman" w:hAnsi="Times New Roman"/>
          <w:sz w:val="24"/>
          <w:szCs w:val="24"/>
        </w:rPr>
      </w:pPr>
    </w:p>
    <w:p w14:paraId="110B5FC0" w14:textId="77777777" w:rsidR="002422E0" w:rsidRPr="00F65379" w:rsidRDefault="002422E0" w:rsidP="002422E0">
      <w:pPr>
        <w:pStyle w:val="NoSpacing"/>
        <w:ind w:left="720"/>
        <w:rPr>
          <w:rFonts w:ascii="Times New Roman" w:hAnsi="Times New Roman"/>
          <w:sz w:val="24"/>
          <w:szCs w:val="24"/>
        </w:rPr>
      </w:pPr>
    </w:p>
    <w:p w14:paraId="7C650E5B" w14:textId="77777777" w:rsidR="002422E0" w:rsidRPr="00F65379" w:rsidRDefault="002422E0" w:rsidP="002422E0">
      <w:pPr>
        <w:pStyle w:val="NoSpacing"/>
        <w:ind w:left="720"/>
        <w:rPr>
          <w:rFonts w:ascii="Times New Roman" w:hAnsi="Times New Roman"/>
          <w:sz w:val="24"/>
          <w:szCs w:val="24"/>
        </w:rPr>
      </w:pPr>
      <w:r w:rsidRPr="00F65379">
        <w:rPr>
          <w:rFonts w:ascii="Times New Roman" w:hAnsi="Times New Roman"/>
          <w:sz w:val="24"/>
          <w:szCs w:val="24"/>
        </w:rPr>
        <w:t xml:space="preserve">May 3, 2024: Michigan Supreme Court rules against </w:t>
      </w:r>
      <w:proofErr w:type="gramStart"/>
      <w:r w:rsidRPr="00F65379">
        <w:rPr>
          <w:rFonts w:ascii="Times New Roman" w:hAnsi="Times New Roman"/>
          <w:sz w:val="24"/>
          <w:szCs w:val="24"/>
        </w:rPr>
        <w:t>couple</w:t>
      </w:r>
      <w:proofErr w:type="gramEnd"/>
      <w:r w:rsidRPr="00F65379">
        <w:rPr>
          <w:rFonts w:ascii="Times New Roman" w:hAnsi="Times New Roman"/>
          <w:sz w:val="24"/>
          <w:szCs w:val="24"/>
        </w:rPr>
        <w:t xml:space="preserve"> in </w:t>
      </w:r>
      <w:proofErr w:type="gramStart"/>
      <w:r w:rsidRPr="00F65379">
        <w:rPr>
          <w:rFonts w:ascii="Times New Roman" w:hAnsi="Times New Roman"/>
          <w:sz w:val="24"/>
          <w:szCs w:val="24"/>
        </w:rPr>
        <w:t>dispute</w:t>
      </w:r>
      <w:proofErr w:type="gramEnd"/>
      <w:r w:rsidRPr="00F65379">
        <w:rPr>
          <w:rFonts w:ascii="Times New Roman" w:hAnsi="Times New Roman"/>
          <w:sz w:val="24"/>
          <w:szCs w:val="24"/>
        </w:rPr>
        <w:t xml:space="preserve"> over privacy and drone photos of land. </w:t>
      </w:r>
      <w:hyperlink r:id="rId135" w:history="1">
        <w:r w:rsidRPr="00F65379">
          <w:rPr>
            <w:rStyle w:val="Hyperlink"/>
            <w:rFonts w:ascii="Times New Roman" w:hAnsi="Times New Roman"/>
            <w:sz w:val="24"/>
            <w:szCs w:val="24"/>
          </w:rPr>
          <w:t>https://apnews.com/article/michigan-drone-photos-constitution-3c30154b6f1af1b234c1cc8f64945237</w:t>
        </w:r>
      </w:hyperlink>
      <w:r w:rsidRPr="00F65379">
        <w:rPr>
          <w:rFonts w:ascii="Times New Roman" w:hAnsi="Times New Roman"/>
          <w:sz w:val="24"/>
          <w:szCs w:val="24"/>
        </w:rPr>
        <w:t xml:space="preserve"> </w:t>
      </w:r>
    </w:p>
    <w:p w14:paraId="1F2B81F5" w14:textId="77777777" w:rsidR="002422E0" w:rsidRPr="00F65379" w:rsidRDefault="002422E0" w:rsidP="002422E0">
      <w:pPr>
        <w:pStyle w:val="NoSpacing"/>
        <w:ind w:left="720"/>
        <w:rPr>
          <w:rFonts w:ascii="Times New Roman" w:hAnsi="Times New Roman"/>
          <w:sz w:val="24"/>
          <w:szCs w:val="24"/>
        </w:rPr>
      </w:pPr>
    </w:p>
    <w:p w14:paraId="632549CD" w14:textId="77777777" w:rsidR="002422E0" w:rsidRPr="00F65379" w:rsidRDefault="002422E0" w:rsidP="002422E0">
      <w:pPr>
        <w:pStyle w:val="NoSpacing"/>
        <w:ind w:left="720"/>
        <w:rPr>
          <w:rFonts w:ascii="Times New Roman" w:hAnsi="Times New Roman"/>
          <w:sz w:val="24"/>
          <w:szCs w:val="24"/>
        </w:rPr>
      </w:pPr>
      <w:r w:rsidRPr="00F65379">
        <w:rPr>
          <w:rFonts w:ascii="Times New Roman" w:hAnsi="Times New Roman"/>
          <w:sz w:val="24"/>
          <w:szCs w:val="24"/>
        </w:rPr>
        <w:t xml:space="preserve">Nov. 15, 2023: Little-known Michigan court case could have massive constitutional effects across the nation. </w:t>
      </w:r>
      <w:hyperlink r:id="rId136" w:history="1">
        <w:r w:rsidRPr="00F65379">
          <w:rPr>
            <w:rStyle w:val="Hyperlink"/>
            <w:rFonts w:ascii="Times New Roman" w:hAnsi="Times New Roman"/>
            <w:sz w:val="24"/>
            <w:szCs w:val="24"/>
          </w:rPr>
          <w:t>https://www.washingtonexaminer.com/opinion/beltway-confidential/2771350/little-known-michigan-court-case-could-have-massive-constitutional-effects-across-the-nation/</w:t>
        </w:r>
      </w:hyperlink>
      <w:r w:rsidRPr="00F65379">
        <w:rPr>
          <w:rFonts w:ascii="Times New Roman" w:hAnsi="Times New Roman"/>
          <w:sz w:val="24"/>
          <w:szCs w:val="24"/>
        </w:rPr>
        <w:t xml:space="preserve"> </w:t>
      </w:r>
    </w:p>
    <w:p w14:paraId="288D2759" w14:textId="77777777" w:rsidR="002422E0" w:rsidRPr="00F65379" w:rsidRDefault="002422E0" w:rsidP="002422E0">
      <w:pPr>
        <w:pStyle w:val="NoSpacing"/>
        <w:ind w:left="720"/>
        <w:rPr>
          <w:rFonts w:ascii="Times New Roman" w:hAnsi="Times New Roman"/>
          <w:sz w:val="24"/>
          <w:szCs w:val="24"/>
        </w:rPr>
      </w:pPr>
    </w:p>
    <w:p w14:paraId="36EF81E9" w14:textId="77777777" w:rsidR="002422E0" w:rsidRDefault="002422E0" w:rsidP="00B86628">
      <w:pPr>
        <w:pStyle w:val="NoSpacing"/>
        <w:rPr>
          <w:rFonts w:ascii="Arial Black" w:hAnsi="Arial Black"/>
          <w:sz w:val="24"/>
          <w:szCs w:val="24"/>
        </w:rPr>
      </w:pPr>
    </w:p>
    <w:p w14:paraId="6814A441" w14:textId="77777777" w:rsidR="00D91CD7" w:rsidRDefault="00D91CD7" w:rsidP="00B86628">
      <w:pPr>
        <w:pStyle w:val="NoSpacing"/>
        <w:rPr>
          <w:rFonts w:ascii="Arial Black" w:hAnsi="Arial Black"/>
          <w:sz w:val="24"/>
          <w:szCs w:val="24"/>
        </w:rPr>
      </w:pPr>
    </w:p>
    <w:p w14:paraId="7B9B160C" w14:textId="075BCEAE" w:rsidR="00B86628" w:rsidRDefault="00B86628" w:rsidP="00B86628">
      <w:pPr>
        <w:pStyle w:val="NoSpacing"/>
        <w:rPr>
          <w:rFonts w:ascii="Arial Black" w:hAnsi="Arial Black"/>
          <w:sz w:val="24"/>
          <w:szCs w:val="24"/>
        </w:rPr>
      </w:pPr>
      <w:r>
        <w:rPr>
          <w:rFonts w:ascii="Arial Black" w:hAnsi="Arial Black"/>
          <w:sz w:val="24"/>
          <w:szCs w:val="24"/>
        </w:rPr>
        <w:t>1-147</w:t>
      </w:r>
    </w:p>
    <w:p w14:paraId="690FAA92" w14:textId="77777777" w:rsidR="00B86628" w:rsidRDefault="00B86628" w:rsidP="00F326E5">
      <w:pPr>
        <w:pStyle w:val="NoSpacing"/>
        <w:rPr>
          <w:rFonts w:ascii="Arial Black" w:hAnsi="Arial Black"/>
          <w:sz w:val="24"/>
          <w:szCs w:val="24"/>
        </w:rPr>
      </w:pPr>
    </w:p>
    <w:p w14:paraId="59174DED" w14:textId="77777777" w:rsidR="00B86628" w:rsidRPr="00227C43" w:rsidRDefault="00B86628" w:rsidP="00B86628">
      <w:pPr>
        <w:pStyle w:val="NormalWeb"/>
        <w:spacing w:before="0" w:beforeAutospacing="0"/>
        <w:rPr>
          <w:rFonts w:ascii="Arial Black" w:hAnsi="Arial Black"/>
          <w:sz w:val="28"/>
          <w:szCs w:val="28"/>
        </w:rPr>
      </w:pPr>
      <w:r>
        <w:rPr>
          <w:rFonts w:ascii="Arial Black" w:hAnsi="Arial Black"/>
          <w:sz w:val="28"/>
          <w:szCs w:val="28"/>
        </w:rPr>
        <w:t>OK: RV &amp; STRUCTURE FIRE – DUALING EXPERTS – ORIGIN IN RV’S REFRIGERATOR OR IN LOG PILE – BOTH QUALIFIED</w:t>
      </w:r>
    </w:p>
    <w:p w14:paraId="6E156625" w14:textId="77777777" w:rsidR="00B86628" w:rsidRDefault="00B86628" w:rsidP="00B86628">
      <w:pPr>
        <w:pStyle w:val="NormalWeb"/>
        <w:spacing w:before="0" w:beforeAutospacing="0"/>
      </w:pPr>
      <w:r>
        <w:t xml:space="preserve">On March 22, 2024, in </w:t>
      </w:r>
      <w:r w:rsidRPr="008B7C83">
        <w:rPr>
          <w:u w:val="single"/>
        </w:rPr>
        <w:t>Kevin W. Hoog and Rebecca Hoog v. Domestic Corporation</w:t>
      </w:r>
      <w:r>
        <w:t xml:space="preserve">, United States District Court Judge Jodi W. Dishan, U.S. District Court for Western District of Oklahoma, denied the plaintiffs’ motion to exclude the expert testimony of Walter Oliveaux, a certified fire and explosion expert, who will testify that the fire started in wood pile behind the structure, and not from the RV’s “gas absorption “ refrigerator. </w:t>
      </w:r>
    </w:p>
    <w:p w14:paraId="7D489C0E"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5FC8C9B" w14:textId="77777777" w:rsidR="00B86628" w:rsidRDefault="00B86628" w:rsidP="00B86628">
      <w:pPr>
        <w:pStyle w:val="NormalWeb"/>
        <w:ind w:left="720"/>
      </w:pPr>
      <w:r>
        <w:t xml:space="preserve">“The admissibility of expert testimony is governed by Federal Rule of Evidence 702 and the Supreme Court's opinions in </w:t>
      </w:r>
      <w:r>
        <w:rPr>
          <w:rStyle w:val="Emphasis"/>
          <w:rFonts w:eastAsiaTheme="majorEastAsia"/>
        </w:rPr>
        <w:t>Daubert v. Merrell Dow Pharmaceuticals, Inc.</w:t>
      </w:r>
      <w:r>
        <w:t xml:space="preserve">, 509 U.S. 579 (1993) and </w:t>
      </w:r>
      <w:r>
        <w:rPr>
          <w:rStyle w:val="Emphasis"/>
          <w:rFonts w:eastAsiaTheme="majorEastAsia"/>
        </w:rPr>
        <w:t>Kumho Tire. S</w:t>
      </w:r>
      <w:r>
        <w:t xml:space="preserve">ee </w:t>
      </w:r>
      <w:r>
        <w:rPr>
          <w:rStyle w:val="Emphasis"/>
          <w:rFonts w:eastAsiaTheme="majorEastAsia"/>
        </w:rPr>
        <w:t>James River Ins. Co. v. Rapid Funding, LLC</w:t>
      </w:r>
      <w:r>
        <w:t>, 658 F.3d 1207, 1215 n.1 (10th Cir. 2011</w:t>
      </w:r>
      <w:proofErr w:type="gramStart"/>
      <w:r>
        <w:t>) (‘</w:t>
      </w:r>
      <w:proofErr w:type="gramEnd"/>
      <w:r>
        <w:t xml:space="preserve">If expert testimony is not reliable under </w:t>
      </w:r>
      <w:r>
        <w:rPr>
          <w:rStyle w:val="Emphasis"/>
          <w:rFonts w:eastAsiaTheme="majorEastAsia"/>
        </w:rPr>
        <w:t>Daubert/Kumho</w:t>
      </w:r>
      <w:r>
        <w:t xml:space="preserve">, it is not admissible under Rule 702.’). </w:t>
      </w:r>
    </w:p>
    <w:p w14:paraId="04AAF732" w14:textId="77777777" w:rsidR="00B86628" w:rsidRDefault="00B86628" w:rsidP="00B86628">
      <w:pPr>
        <w:pStyle w:val="NormalWeb"/>
        <w:ind w:left="720"/>
      </w:pPr>
      <w:r>
        <w:t>***</w:t>
      </w:r>
    </w:p>
    <w:p w14:paraId="2DD9E752" w14:textId="77777777" w:rsidR="00B86628" w:rsidRDefault="00B86628" w:rsidP="00B86628">
      <w:pPr>
        <w:pStyle w:val="NormalWeb"/>
        <w:ind w:left="720"/>
      </w:pPr>
      <w:r>
        <w:lastRenderedPageBreak/>
        <w:t xml:space="preserve">Mr. Oliveaux has been the Chief Investigator for SOS Investigations, Inc. for 30 years. In that role, he has investigated more than 1,000 fires, including RV fires where gas absorption refrigerators were present. He has provided expert consulting services in fire cause and origin investigations and accident reconstruction for three decades. Additionally, Mr. Oliveaux has served in several different capacities </w:t>
      </w:r>
      <w:proofErr w:type="gramStart"/>
      <w:r>
        <w:t>on</w:t>
      </w:r>
      <w:proofErr w:type="gramEnd"/>
      <w:r>
        <w:t xml:space="preserve"> the West Feliciana Fire Protection District from 1988 to the present, including as a firefighter, instructor, investigator, chief, assistant chief, and interim fire chief. As lead investigator for the department's fire investigations division, he led numerous arson and fire related death investigations. As such, the Court finds that his testimony will be helpful to the trier of fact, and he is qualified to proffer the opinions at issue.” </w:t>
      </w:r>
      <w:hyperlink r:id="rId137" w:history="1">
        <w:r w:rsidRPr="00525B4E">
          <w:rPr>
            <w:rStyle w:val="Hyperlink"/>
          </w:rPr>
          <w:t>https://public.fastcase.com/H1P9uiW3J20SFp%2BGCG%2BxLV1UD86YIpCG84PV7X%2BpnT1bSBvGb5%2F4r%2Bji24INAH28OEKlXyJ%2BAop5b2VZ9ytUlZZgkAmHpAE%2FiqsvJv8QoS0%3D?utm_medium=email&amp;_hsmi=226712652&amp;_hsenc=p2ANqtz--ZkRdN2zXdoxrl3owB4KoaH3odsucPmvtI49_VzIkvckm0OogBea4uvwy0e_nUnYms3ZfEOMqgWPnXMJBVQxzHG3rvjg&amp;utm_content=226712652&amp;utm_source=hs_email</w:t>
        </w:r>
      </w:hyperlink>
      <w:r>
        <w:t xml:space="preserve">  </w:t>
      </w:r>
    </w:p>
    <w:p w14:paraId="2E1E8B00" w14:textId="77777777" w:rsidR="00B86628" w:rsidRPr="003F297A" w:rsidRDefault="00B86628" w:rsidP="00B86628">
      <w:pPr>
        <w:pStyle w:val="NormalWeb"/>
        <w:rPr>
          <w:b/>
          <w:bCs/>
        </w:rPr>
      </w:pPr>
      <w:r>
        <w:rPr>
          <w:b/>
          <w:bCs/>
        </w:rPr>
        <w:t xml:space="preserve">Legal Lesson Learned:  Expert testimony on origin and cause by both plaintiff and defense is not unusual.  </w:t>
      </w:r>
    </w:p>
    <w:p w14:paraId="64C756AB" w14:textId="77777777" w:rsidR="00B86628" w:rsidRPr="00B86628" w:rsidRDefault="00B86628" w:rsidP="00B86628">
      <w:pPr>
        <w:pStyle w:val="Heading1"/>
        <w:ind w:left="720"/>
        <w:rPr>
          <w:b w:val="0"/>
          <w:bCs w:val="0"/>
          <w:sz w:val="24"/>
          <w:szCs w:val="24"/>
        </w:rPr>
      </w:pPr>
      <w:r w:rsidRPr="00B86628">
        <w:rPr>
          <w:b w:val="0"/>
          <w:bCs w:val="0"/>
          <w:sz w:val="24"/>
          <w:szCs w:val="24"/>
        </w:rPr>
        <w:t xml:space="preserve">Note: See Footnote 3: “Additionally, the Court notes that Edmond Fire Department Assistant Chief Mike Fitzgerald completed his investigation after his department extinguished the fire in the early morning hours of March 31, 2018. Due to the extreme fire damage sustained by the structure, Mr. Fitzgerald advised he was unable to determine </w:t>
      </w:r>
      <w:proofErr w:type="gramStart"/>
      <w:r w:rsidRPr="00B86628">
        <w:rPr>
          <w:b w:val="0"/>
          <w:bCs w:val="0"/>
          <w:sz w:val="24"/>
          <w:szCs w:val="24"/>
        </w:rPr>
        <w:t>an</w:t>
      </w:r>
      <w:proofErr w:type="gramEnd"/>
      <w:r w:rsidRPr="00B86628">
        <w:rPr>
          <w:b w:val="0"/>
          <w:bCs w:val="0"/>
          <w:sz w:val="24"/>
          <w:szCs w:val="24"/>
        </w:rPr>
        <w:t xml:space="preserve"> origin or cause of the fire, and the official cause of the fire was listed as ‘undetermined.’ However, he did indicate based on physical evidence and witness statements that in his opinion the area of origin was near or in the motor home or along the north wall by the electrical panel.”</w:t>
      </w:r>
    </w:p>
    <w:p w14:paraId="4E54BC88" w14:textId="77777777" w:rsidR="00B86628" w:rsidRPr="006E7129" w:rsidRDefault="00B86628" w:rsidP="00B86628">
      <w:pPr>
        <w:pStyle w:val="Heading1"/>
        <w:ind w:left="720"/>
        <w:rPr>
          <w:sz w:val="24"/>
          <w:szCs w:val="24"/>
        </w:rPr>
      </w:pPr>
      <w:r w:rsidRPr="006E7129">
        <w:rPr>
          <w:sz w:val="24"/>
          <w:szCs w:val="24"/>
        </w:rPr>
        <w:t xml:space="preserve">See article, “RV HVAC | How Absorption Refrigeration Works.” </w:t>
      </w:r>
      <w:hyperlink r:id="rId138" w:history="1">
        <w:r w:rsidRPr="00525B4E">
          <w:rPr>
            <w:rStyle w:val="Hyperlink"/>
            <w:sz w:val="24"/>
            <w:szCs w:val="24"/>
          </w:rPr>
          <w:t>https://haderhvac.com/blog/rv-hvac-absorption-refrigeration/</w:t>
        </w:r>
      </w:hyperlink>
      <w:r>
        <w:rPr>
          <w:sz w:val="24"/>
          <w:szCs w:val="24"/>
        </w:rPr>
        <w:t xml:space="preserve"> </w:t>
      </w:r>
    </w:p>
    <w:p w14:paraId="23D18227" w14:textId="77777777" w:rsidR="00B86628" w:rsidRDefault="00B86628" w:rsidP="00B86628">
      <w:pPr>
        <w:pStyle w:val="NormalWeb"/>
        <w:ind w:left="720"/>
      </w:pPr>
      <w:r>
        <w:t>“Absorption refrigeration units use heat to make cold through a process that is somewhat difficult to understand. However, understanding how the unit works can give owners a greater appreciation for and more knowledge about maintaining the device.</w:t>
      </w:r>
    </w:p>
    <w:p w14:paraId="377AD65B" w14:textId="77777777" w:rsidR="00B86628" w:rsidRDefault="00B86628" w:rsidP="00B86628">
      <w:pPr>
        <w:pStyle w:val="NormalWeb"/>
        <w:ind w:left="720"/>
      </w:pPr>
      <w:r>
        <w:t xml:space="preserve">Absorption refrigeration units have four main parts – the boiler, condenser, evaporators, and absorber. Inside the boiler, water and liquid ammonia are boiled by heat from an electrical coil or gas flame; the water separates from the ammonia and returns to the boiler while the ammonia travels up through the pipes to the condenser, where it becomes liquid again. After condensing into a liquid, hydrogen vapor is added to the ammonia in the low temperature evaporator, which </w:t>
      </w:r>
      <w:proofErr w:type="gramStart"/>
      <w:r>
        <w:t>is located in</w:t>
      </w:r>
      <w:proofErr w:type="gramEnd"/>
      <w:r>
        <w:t xml:space="preserve"> the freezer section of the refrigerator. At this point, heat from the freezer is absorbed by the liquid ammonia and hydrogen gas mixture in the pipes, then passed on to the exterior of the fridge. From the low temperature evaporator in the freezer, the ammonia and hydrogen travel through more pipes to the high-temperature evaporator, which cools the fridge section of the refrigerator, but not as much as the freezer. Once the ammonia has passed through both evaporators, it enters the absorber. In the absorber coils, it is separated from the gaseous hydrogen – which rises back into the evaporators – and mixed with water before returning to the boiler.”</w:t>
      </w:r>
    </w:p>
    <w:p w14:paraId="66238B7D" w14:textId="77777777" w:rsidR="00A4617E" w:rsidRDefault="00A4617E" w:rsidP="00B86628">
      <w:pPr>
        <w:pStyle w:val="NoSpacing"/>
        <w:rPr>
          <w:rFonts w:ascii="Arial Black" w:hAnsi="Arial Black"/>
          <w:sz w:val="24"/>
          <w:szCs w:val="24"/>
        </w:rPr>
      </w:pPr>
    </w:p>
    <w:p w14:paraId="2F92AA12" w14:textId="6B3B89D4" w:rsidR="00B86628" w:rsidRDefault="00B86628" w:rsidP="00B86628">
      <w:pPr>
        <w:pStyle w:val="NoSpacing"/>
        <w:rPr>
          <w:rFonts w:ascii="Arial Black" w:hAnsi="Arial Black"/>
          <w:sz w:val="24"/>
          <w:szCs w:val="24"/>
        </w:rPr>
      </w:pPr>
      <w:r>
        <w:rPr>
          <w:rFonts w:ascii="Arial Black" w:hAnsi="Arial Black"/>
          <w:sz w:val="24"/>
          <w:szCs w:val="24"/>
        </w:rPr>
        <w:t>1-146</w:t>
      </w:r>
    </w:p>
    <w:p w14:paraId="7E7E1FC5" w14:textId="77777777" w:rsidR="00B86628" w:rsidRDefault="00B86628" w:rsidP="00B86628">
      <w:pPr>
        <w:pStyle w:val="NormalWeb"/>
        <w:spacing w:before="0" w:beforeAutospacing="0"/>
      </w:pPr>
    </w:p>
    <w:p w14:paraId="2F6462E5" w14:textId="114841CA" w:rsidR="00B86628" w:rsidRPr="00073A85" w:rsidRDefault="00B86628" w:rsidP="00B86628">
      <w:pPr>
        <w:pStyle w:val="NoSpacing"/>
        <w:rPr>
          <w:rFonts w:ascii="Arial Black" w:hAnsi="Arial Black"/>
          <w:sz w:val="28"/>
          <w:szCs w:val="28"/>
        </w:rPr>
      </w:pPr>
      <w:r>
        <w:rPr>
          <w:rFonts w:ascii="Arial Black" w:hAnsi="Arial Black"/>
          <w:sz w:val="28"/>
          <w:szCs w:val="28"/>
        </w:rPr>
        <w:lastRenderedPageBreak/>
        <w:t xml:space="preserve">U.S. SUPREME CT: CITY MGR. PERSONAL FACEBOOK PAGE – OK </w:t>
      </w:r>
      <w:r w:rsidR="00DC68EE">
        <w:rPr>
          <w:rFonts w:ascii="Arial Black" w:hAnsi="Arial Black"/>
          <w:sz w:val="28"/>
          <w:szCs w:val="28"/>
        </w:rPr>
        <w:t xml:space="preserve">FOR MGR. </w:t>
      </w:r>
      <w:r>
        <w:rPr>
          <w:rFonts w:ascii="Arial Black" w:hAnsi="Arial Black"/>
          <w:sz w:val="28"/>
          <w:szCs w:val="28"/>
        </w:rPr>
        <w:t xml:space="preserve">TO BLOCK CITIZEN’S NEG. POSTS </w:t>
      </w:r>
      <w:r w:rsidR="008653A5">
        <w:rPr>
          <w:rFonts w:ascii="Arial Black" w:hAnsi="Arial Black"/>
          <w:sz w:val="28"/>
          <w:szCs w:val="28"/>
        </w:rPr>
        <w:t>SINCE PERSONAL PAGE</w:t>
      </w:r>
    </w:p>
    <w:p w14:paraId="3932C7CE" w14:textId="77777777" w:rsidR="00B86628" w:rsidRDefault="00B86628" w:rsidP="00B86628">
      <w:pPr>
        <w:pStyle w:val="NoSpacing"/>
        <w:rPr>
          <w:rFonts w:ascii="Times New Roman" w:hAnsi="Times New Roman"/>
          <w:sz w:val="24"/>
          <w:szCs w:val="24"/>
          <w:shd w:val="clear" w:color="auto" w:fill="FFFFFF"/>
        </w:rPr>
      </w:pPr>
    </w:p>
    <w:p w14:paraId="6C27F0CA" w14:textId="32067B65" w:rsidR="00B86628" w:rsidRDefault="00B86628" w:rsidP="00B86628">
      <w:pPr>
        <w:pStyle w:val="NoSpacing"/>
        <w:rPr>
          <w:rFonts w:ascii="Times New Roman" w:hAnsi="Times New Roman"/>
          <w:sz w:val="24"/>
          <w:szCs w:val="24"/>
          <w:shd w:val="clear" w:color="auto" w:fill="FFFFFF"/>
        </w:rPr>
      </w:pPr>
      <w:r w:rsidRPr="004C0299">
        <w:rPr>
          <w:rFonts w:ascii="Times New Roman" w:hAnsi="Times New Roman"/>
          <w:sz w:val="24"/>
          <w:szCs w:val="24"/>
          <w:shd w:val="clear" w:color="auto" w:fill="FFFFFF"/>
        </w:rPr>
        <w:t xml:space="preserve">On March 15, 2024, in </w:t>
      </w:r>
      <w:r w:rsidRPr="004C0299">
        <w:rPr>
          <w:rFonts w:ascii="Times New Roman" w:hAnsi="Times New Roman"/>
          <w:sz w:val="24"/>
          <w:szCs w:val="24"/>
          <w:u w:val="single"/>
          <w:shd w:val="clear" w:color="auto" w:fill="FFFFFF"/>
        </w:rPr>
        <w:t>Kevin Lindke v. James Freed</w:t>
      </w:r>
      <w:r w:rsidRPr="004C0299">
        <w:rPr>
          <w:rFonts w:ascii="Times New Roman" w:hAnsi="Times New Roman"/>
          <w:sz w:val="24"/>
          <w:szCs w:val="24"/>
          <w:shd w:val="clear" w:color="auto" w:fill="FFFFFF"/>
        </w:rPr>
        <w:t>, the United States Supreme Court held (9 to 0</w:t>
      </w:r>
      <w:r>
        <w:rPr>
          <w:rFonts w:ascii="Times New Roman" w:hAnsi="Times New Roman"/>
          <w:sz w:val="24"/>
          <w:szCs w:val="24"/>
          <w:shd w:val="clear" w:color="auto" w:fill="FFFFFF"/>
        </w:rPr>
        <w:t xml:space="preserve">; opinion </w:t>
      </w:r>
      <w:r w:rsidRPr="006B544B">
        <w:rPr>
          <w:rFonts w:ascii="Times New Roman" w:hAnsi="Times New Roman"/>
          <w:sz w:val="24"/>
          <w:szCs w:val="24"/>
          <w:shd w:val="clear" w:color="auto" w:fill="FFFFFF"/>
        </w:rPr>
        <w:t xml:space="preserve">by Justice </w:t>
      </w:r>
      <w:r w:rsidRPr="006B544B">
        <w:rPr>
          <w:rFonts w:ascii="Times New Roman" w:hAnsi="Times New Roman"/>
          <w:sz w:val="24"/>
          <w:szCs w:val="24"/>
        </w:rPr>
        <w:t>Amy Barrett</w:t>
      </w:r>
      <w:r w:rsidRPr="006B544B">
        <w:rPr>
          <w:rFonts w:ascii="Times New Roman" w:hAnsi="Times New Roman"/>
          <w:sz w:val="24"/>
          <w:szCs w:val="24"/>
          <w:shd w:val="clear" w:color="auto" w:fill="FFFFFF"/>
        </w:rPr>
        <w:t>)</w:t>
      </w:r>
      <w:r w:rsidRPr="004C0299">
        <w:rPr>
          <w:rFonts w:ascii="Times New Roman" w:hAnsi="Times New Roman"/>
          <w:sz w:val="24"/>
          <w:szCs w:val="24"/>
          <w:shd w:val="clear" w:color="auto" w:fill="FFFFFF"/>
        </w:rPr>
        <w:t xml:space="preserve"> that James Freed, </w:t>
      </w:r>
      <w:r>
        <w:rPr>
          <w:rFonts w:ascii="Times New Roman" w:hAnsi="Times New Roman"/>
          <w:sz w:val="24"/>
          <w:szCs w:val="24"/>
          <w:shd w:val="clear" w:color="auto" w:fill="FFFFFF"/>
        </w:rPr>
        <w:t xml:space="preserve">who has a personal FACEBOOK page with family photos, and in 2014 became </w:t>
      </w:r>
      <w:r w:rsidRPr="004C0299">
        <w:rPr>
          <w:rFonts w:ascii="Times New Roman" w:hAnsi="Times New Roman"/>
          <w:sz w:val="24"/>
          <w:szCs w:val="24"/>
          <w:shd w:val="clear" w:color="auto" w:fill="FFFFFF"/>
        </w:rPr>
        <w:t>City Manager of Port Huron, Michigan</w:t>
      </w:r>
      <w:r>
        <w:rPr>
          <w:rFonts w:ascii="Times New Roman" w:hAnsi="Times New Roman"/>
          <w:sz w:val="24"/>
          <w:szCs w:val="24"/>
          <w:shd w:val="clear" w:color="auto" w:fill="FFFFFF"/>
        </w:rPr>
        <w:t>, cannot be sued for blocking negative comments by a resident. The First Amendment lawsuit was dismissed by a U.S. District Court judge in Michigan, and the dismissal upheld by the U.S. Court of Appeals for 6</w:t>
      </w:r>
      <w:r w:rsidRPr="00364CE0">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(Cincinnati). </w:t>
      </w:r>
      <w:hyperlink r:id="rId139" w:history="1">
        <w:r w:rsidR="00CA3B7B" w:rsidRPr="007616D4">
          <w:rPr>
            <w:rStyle w:val="Hyperlink"/>
          </w:rPr>
          <w:t>https://www.supremecourt.gov/opinions/23pdf/22-324_09m1.pdf</w:t>
        </w:r>
      </w:hyperlink>
      <w:r w:rsidR="00CA3B7B">
        <w:rPr>
          <w:rStyle w:val="Hyperlink"/>
        </w:rPr>
        <w:t xml:space="preserve"> </w:t>
      </w:r>
    </w:p>
    <w:p w14:paraId="128AEECE" w14:textId="77777777" w:rsidR="009A27F2" w:rsidRDefault="009A27F2" w:rsidP="009A27F2">
      <w:pPr>
        <w:pStyle w:val="NoSpacing"/>
        <w:rPr>
          <w:rFonts w:ascii="Times New Roman" w:hAnsi="Times New Roman"/>
          <w:sz w:val="24"/>
          <w:szCs w:val="24"/>
          <w:shd w:val="clear" w:color="auto" w:fill="FFFFFF"/>
        </w:rPr>
      </w:pPr>
    </w:p>
    <w:p w14:paraId="3FFD1178" w14:textId="64971198"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A3074C9" w14:textId="77777777" w:rsidR="009A27F2" w:rsidRPr="004C0299" w:rsidRDefault="009A27F2" w:rsidP="00B86628">
      <w:pPr>
        <w:pStyle w:val="NoSpacing"/>
        <w:rPr>
          <w:rFonts w:ascii="Times New Roman" w:hAnsi="Times New Roman"/>
          <w:sz w:val="24"/>
          <w:szCs w:val="24"/>
        </w:rPr>
      </w:pPr>
    </w:p>
    <w:p w14:paraId="5DB8EC68" w14:textId="77777777" w:rsidR="00B86628" w:rsidRPr="00E55007" w:rsidRDefault="00B86628" w:rsidP="00B86628">
      <w:pPr>
        <w:pStyle w:val="NoSpacing"/>
        <w:ind w:left="720"/>
        <w:rPr>
          <w:rFonts w:ascii="Times New Roman" w:hAnsi="Times New Roman"/>
          <w:sz w:val="24"/>
          <w:szCs w:val="24"/>
        </w:rPr>
      </w:pPr>
      <w:r>
        <w:t>“</w:t>
      </w:r>
      <w:r w:rsidRPr="00E55007">
        <w:rPr>
          <w:rFonts w:ascii="Times New Roman" w:hAnsi="Times New Roman"/>
          <w:sz w:val="24"/>
          <w:szCs w:val="24"/>
        </w:rPr>
        <w:t>Freed did not relinquish his First Amendment</w:t>
      </w:r>
      <w:r>
        <w:rPr>
          <w:rFonts w:ascii="Times New Roman" w:hAnsi="Times New Roman"/>
          <w:sz w:val="24"/>
          <w:szCs w:val="24"/>
        </w:rPr>
        <w:t xml:space="preserve"> </w:t>
      </w:r>
      <w:r w:rsidRPr="00E55007">
        <w:rPr>
          <w:rFonts w:ascii="Times New Roman" w:hAnsi="Times New Roman"/>
          <w:sz w:val="24"/>
          <w:szCs w:val="24"/>
        </w:rPr>
        <w:t xml:space="preserve">rights when he became city manager. On the contrary, </w:t>
      </w:r>
      <w:r>
        <w:rPr>
          <w:rFonts w:ascii="Times New Roman" w:hAnsi="Times New Roman"/>
          <w:sz w:val="24"/>
          <w:szCs w:val="24"/>
        </w:rPr>
        <w:t>‘</w:t>
      </w:r>
      <w:r w:rsidRPr="00E55007">
        <w:rPr>
          <w:rFonts w:ascii="Times New Roman" w:hAnsi="Times New Roman"/>
          <w:sz w:val="24"/>
          <w:szCs w:val="24"/>
        </w:rPr>
        <w:t>the</w:t>
      </w:r>
      <w:r>
        <w:rPr>
          <w:rFonts w:ascii="Times New Roman" w:hAnsi="Times New Roman"/>
          <w:sz w:val="24"/>
          <w:szCs w:val="24"/>
        </w:rPr>
        <w:t xml:space="preserve"> </w:t>
      </w:r>
      <w:r w:rsidRPr="00E55007">
        <w:rPr>
          <w:rFonts w:ascii="Times New Roman" w:hAnsi="Times New Roman"/>
          <w:sz w:val="24"/>
          <w:szCs w:val="24"/>
        </w:rPr>
        <w:t>First Amendment protects a public employee’s right, in certain circumstances, to speak as a citizen addressing matters of public concern.</w:t>
      </w:r>
      <w:r>
        <w:rPr>
          <w:rFonts w:ascii="Times New Roman" w:hAnsi="Times New Roman"/>
          <w:sz w:val="24"/>
          <w:szCs w:val="24"/>
        </w:rPr>
        <w:t>’</w:t>
      </w:r>
      <w:r w:rsidRPr="00E55007">
        <w:rPr>
          <w:rFonts w:ascii="Times New Roman" w:hAnsi="Times New Roman"/>
          <w:sz w:val="24"/>
          <w:szCs w:val="24"/>
        </w:rPr>
        <w:t xml:space="preserve"> Garcetti v. Ceballos, 547 U. S. 410,</w:t>
      </w:r>
      <w:r>
        <w:rPr>
          <w:rFonts w:ascii="Times New Roman" w:hAnsi="Times New Roman"/>
          <w:sz w:val="24"/>
          <w:szCs w:val="24"/>
        </w:rPr>
        <w:t xml:space="preserve"> </w:t>
      </w:r>
      <w:r w:rsidRPr="00E55007">
        <w:rPr>
          <w:rFonts w:ascii="Times New Roman" w:hAnsi="Times New Roman"/>
          <w:sz w:val="24"/>
          <w:szCs w:val="24"/>
        </w:rPr>
        <w:t>417 (2006). This right includes the ability to speak about</w:t>
      </w:r>
    </w:p>
    <w:p w14:paraId="1A5242A0" w14:textId="77777777" w:rsidR="00B86628" w:rsidRPr="00E55007" w:rsidRDefault="00B86628" w:rsidP="00B86628">
      <w:pPr>
        <w:pStyle w:val="NoSpacing"/>
        <w:ind w:left="720"/>
        <w:rPr>
          <w:rFonts w:ascii="Times New Roman" w:hAnsi="Times New Roman"/>
          <w:sz w:val="24"/>
          <w:szCs w:val="24"/>
        </w:rPr>
      </w:pPr>
      <w:r>
        <w:rPr>
          <w:rFonts w:ascii="Times New Roman" w:hAnsi="Times New Roman"/>
          <w:sz w:val="24"/>
          <w:szCs w:val="24"/>
        </w:rPr>
        <w:t>‘</w:t>
      </w:r>
      <w:proofErr w:type="gramStart"/>
      <w:r w:rsidRPr="00E55007">
        <w:rPr>
          <w:rFonts w:ascii="Times New Roman" w:hAnsi="Times New Roman"/>
          <w:sz w:val="24"/>
          <w:szCs w:val="24"/>
        </w:rPr>
        <w:t>information</w:t>
      </w:r>
      <w:proofErr w:type="gramEnd"/>
      <w:r w:rsidRPr="00E55007">
        <w:rPr>
          <w:rFonts w:ascii="Times New Roman" w:hAnsi="Times New Roman"/>
          <w:sz w:val="24"/>
          <w:szCs w:val="24"/>
        </w:rPr>
        <w:t xml:space="preserve"> related to or learned through public employment,</w:t>
      </w:r>
      <w:r>
        <w:rPr>
          <w:rFonts w:ascii="Times New Roman" w:hAnsi="Times New Roman"/>
          <w:sz w:val="24"/>
          <w:szCs w:val="24"/>
        </w:rPr>
        <w:t>’</w:t>
      </w:r>
      <w:r w:rsidRPr="00E55007">
        <w:rPr>
          <w:rFonts w:ascii="Times New Roman" w:hAnsi="Times New Roman"/>
          <w:sz w:val="24"/>
          <w:szCs w:val="24"/>
        </w:rPr>
        <w:t xml:space="preserve"> so long as the speech is not </w:t>
      </w:r>
      <w:r>
        <w:rPr>
          <w:rFonts w:ascii="Times New Roman" w:hAnsi="Times New Roman"/>
          <w:sz w:val="24"/>
          <w:szCs w:val="24"/>
        </w:rPr>
        <w:t>‘</w:t>
      </w:r>
      <w:r w:rsidRPr="00E55007">
        <w:rPr>
          <w:rFonts w:ascii="Times New Roman" w:hAnsi="Times New Roman"/>
          <w:sz w:val="24"/>
          <w:szCs w:val="24"/>
        </w:rPr>
        <w:t>itself ordinarily within</w:t>
      </w:r>
      <w:r>
        <w:rPr>
          <w:rFonts w:ascii="Times New Roman" w:hAnsi="Times New Roman"/>
          <w:sz w:val="24"/>
          <w:szCs w:val="24"/>
        </w:rPr>
        <w:t xml:space="preserve"> </w:t>
      </w:r>
      <w:r w:rsidRPr="00E55007">
        <w:rPr>
          <w:rFonts w:ascii="Times New Roman" w:hAnsi="Times New Roman"/>
          <w:sz w:val="24"/>
          <w:szCs w:val="24"/>
        </w:rPr>
        <w:t>the scope of [the] employee’s duties.</w:t>
      </w:r>
      <w:r>
        <w:rPr>
          <w:rFonts w:ascii="Times New Roman" w:hAnsi="Times New Roman"/>
          <w:sz w:val="24"/>
          <w:szCs w:val="24"/>
        </w:rPr>
        <w:t>’</w:t>
      </w:r>
      <w:r w:rsidRPr="00E55007">
        <w:rPr>
          <w:rFonts w:ascii="Times New Roman" w:hAnsi="Times New Roman"/>
          <w:sz w:val="24"/>
          <w:szCs w:val="24"/>
        </w:rPr>
        <w:t xml:space="preserve"> Lane v. Franks, 573</w:t>
      </w:r>
    </w:p>
    <w:p w14:paraId="60D2BCBB" w14:textId="77777777" w:rsidR="00B86628" w:rsidRDefault="00B86628" w:rsidP="00B86628">
      <w:pPr>
        <w:pStyle w:val="NoSpacing"/>
        <w:ind w:firstLine="720"/>
        <w:rPr>
          <w:rFonts w:ascii="Times New Roman" w:hAnsi="Times New Roman"/>
          <w:sz w:val="24"/>
          <w:szCs w:val="24"/>
        </w:rPr>
      </w:pPr>
      <w:r w:rsidRPr="00E55007">
        <w:rPr>
          <w:rFonts w:ascii="Times New Roman" w:hAnsi="Times New Roman"/>
          <w:sz w:val="24"/>
          <w:szCs w:val="24"/>
        </w:rPr>
        <w:t>U. S. 228, 236, 240 (2014)</w:t>
      </w:r>
      <w:r>
        <w:rPr>
          <w:rFonts w:ascii="Times New Roman" w:hAnsi="Times New Roman"/>
          <w:sz w:val="24"/>
          <w:szCs w:val="24"/>
        </w:rPr>
        <w:t>.”</w:t>
      </w:r>
    </w:p>
    <w:p w14:paraId="0F9F2C27" w14:textId="77777777" w:rsidR="00B86628" w:rsidRDefault="00B86628" w:rsidP="00B86628">
      <w:pPr>
        <w:pStyle w:val="NoSpacing"/>
        <w:ind w:firstLine="720"/>
        <w:rPr>
          <w:rFonts w:ascii="Times New Roman" w:hAnsi="Times New Roman"/>
          <w:sz w:val="24"/>
          <w:szCs w:val="24"/>
        </w:rPr>
      </w:pPr>
    </w:p>
    <w:p w14:paraId="36EBE845" w14:textId="77777777" w:rsidR="00B86628" w:rsidRPr="007F37FA" w:rsidRDefault="00B86628" w:rsidP="00B86628">
      <w:pPr>
        <w:pStyle w:val="NoSpacing"/>
        <w:rPr>
          <w:rFonts w:ascii="Times New Roman" w:hAnsi="Times New Roman"/>
          <w:b/>
          <w:bCs/>
          <w:sz w:val="24"/>
          <w:szCs w:val="24"/>
        </w:rPr>
      </w:pPr>
      <w:r w:rsidRPr="007F37FA">
        <w:rPr>
          <w:rFonts w:ascii="Times New Roman" w:hAnsi="Times New Roman"/>
          <w:b/>
          <w:bCs/>
          <w:sz w:val="24"/>
          <w:szCs w:val="24"/>
        </w:rPr>
        <w:t xml:space="preserve">Legal Lesson Learned: When fire or EMS are posting on </w:t>
      </w:r>
      <w:proofErr w:type="gramStart"/>
      <w:r w:rsidRPr="007F37FA">
        <w:rPr>
          <w:rFonts w:ascii="Times New Roman" w:hAnsi="Times New Roman"/>
          <w:b/>
          <w:bCs/>
          <w:sz w:val="24"/>
          <w:szCs w:val="24"/>
        </w:rPr>
        <w:t>Social Media</w:t>
      </w:r>
      <w:proofErr w:type="gramEnd"/>
      <w:r w:rsidRPr="007F37FA">
        <w:rPr>
          <w:rFonts w:ascii="Times New Roman" w:hAnsi="Times New Roman"/>
          <w:b/>
          <w:bCs/>
          <w:sz w:val="24"/>
          <w:szCs w:val="24"/>
        </w:rPr>
        <w:t>, they must exercise extreme care to not discuss internal department issues.</w:t>
      </w:r>
    </w:p>
    <w:p w14:paraId="133A602F" w14:textId="77777777" w:rsidR="00B86628" w:rsidRDefault="00B86628" w:rsidP="00B86628">
      <w:pPr>
        <w:pStyle w:val="NoSpacing"/>
        <w:rPr>
          <w:rFonts w:ascii="Times New Roman" w:hAnsi="Times New Roman"/>
          <w:sz w:val="24"/>
          <w:szCs w:val="24"/>
        </w:rPr>
      </w:pPr>
    </w:p>
    <w:p w14:paraId="418898A1" w14:textId="77777777" w:rsidR="00B86628" w:rsidRDefault="00B86628" w:rsidP="00B86628">
      <w:pPr>
        <w:pStyle w:val="NoSpacing"/>
        <w:ind w:firstLine="720"/>
        <w:rPr>
          <w:rFonts w:ascii="Times New Roman" w:hAnsi="Times New Roman"/>
          <w:sz w:val="24"/>
          <w:szCs w:val="24"/>
        </w:rPr>
      </w:pPr>
      <w:r>
        <w:rPr>
          <w:rFonts w:ascii="Times New Roman" w:hAnsi="Times New Roman"/>
          <w:sz w:val="24"/>
          <w:szCs w:val="24"/>
        </w:rPr>
        <w:t xml:space="preserve">Note: </w:t>
      </w:r>
      <w:r w:rsidRPr="00AC5C49">
        <w:rPr>
          <w:rFonts w:ascii="Times New Roman" w:hAnsi="Times New Roman"/>
          <w:sz w:val="24"/>
          <w:szCs w:val="24"/>
        </w:rPr>
        <w:t xml:space="preserve">Justice </w:t>
      </w:r>
      <w:r>
        <w:rPr>
          <w:rFonts w:ascii="Times New Roman" w:hAnsi="Times New Roman"/>
          <w:sz w:val="24"/>
          <w:szCs w:val="24"/>
        </w:rPr>
        <w:t xml:space="preserve">Barrett offered this helpful suggestion in her opinion. </w:t>
      </w:r>
    </w:p>
    <w:p w14:paraId="3054431D" w14:textId="77777777" w:rsidR="00B86628" w:rsidRPr="00AC5C49" w:rsidRDefault="00B86628" w:rsidP="00B86628">
      <w:pPr>
        <w:pStyle w:val="NoSpacing"/>
        <w:ind w:left="1440"/>
        <w:rPr>
          <w:rFonts w:ascii="Times New Roman" w:hAnsi="Times New Roman"/>
          <w:sz w:val="24"/>
          <w:szCs w:val="24"/>
        </w:rPr>
      </w:pPr>
      <w:r>
        <w:rPr>
          <w:rFonts w:ascii="Times New Roman" w:hAnsi="Times New Roman"/>
          <w:sz w:val="24"/>
          <w:szCs w:val="24"/>
        </w:rPr>
        <w:t>“</w:t>
      </w:r>
      <w:r w:rsidRPr="00AC5C49">
        <w:rPr>
          <w:rFonts w:ascii="Times New Roman" w:hAnsi="Times New Roman"/>
          <w:sz w:val="24"/>
          <w:szCs w:val="24"/>
        </w:rPr>
        <w:t>Had Freed’s account</w:t>
      </w:r>
      <w:r>
        <w:rPr>
          <w:rFonts w:ascii="Times New Roman" w:hAnsi="Times New Roman"/>
          <w:sz w:val="24"/>
          <w:szCs w:val="24"/>
        </w:rPr>
        <w:t xml:space="preserve"> </w:t>
      </w:r>
      <w:r w:rsidRPr="00AC5C49">
        <w:rPr>
          <w:rFonts w:ascii="Times New Roman" w:hAnsi="Times New Roman"/>
          <w:sz w:val="24"/>
          <w:szCs w:val="24"/>
        </w:rPr>
        <w:t xml:space="preserve">carried a label (e.g., </w:t>
      </w:r>
      <w:r>
        <w:rPr>
          <w:rFonts w:ascii="Times New Roman" w:hAnsi="Times New Roman"/>
          <w:sz w:val="24"/>
          <w:szCs w:val="24"/>
        </w:rPr>
        <w:t>‘</w:t>
      </w:r>
      <w:r w:rsidRPr="00AC5C49">
        <w:rPr>
          <w:rFonts w:ascii="Times New Roman" w:hAnsi="Times New Roman"/>
          <w:sz w:val="24"/>
          <w:szCs w:val="24"/>
        </w:rPr>
        <w:t>this is the personal page of James R.</w:t>
      </w:r>
      <w:r>
        <w:rPr>
          <w:rFonts w:ascii="Times New Roman" w:hAnsi="Times New Roman"/>
          <w:sz w:val="24"/>
          <w:szCs w:val="24"/>
        </w:rPr>
        <w:t xml:space="preserve"> </w:t>
      </w:r>
      <w:r w:rsidRPr="00AC5C49">
        <w:rPr>
          <w:rFonts w:ascii="Times New Roman" w:hAnsi="Times New Roman"/>
          <w:sz w:val="24"/>
          <w:szCs w:val="24"/>
        </w:rPr>
        <w:t>Freed</w:t>
      </w:r>
      <w:r>
        <w:rPr>
          <w:rFonts w:ascii="Times New Roman" w:hAnsi="Times New Roman"/>
          <w:sz w:val="24"/>
          <w:szCs w:val="24"/>
        </w:rPr>
        <w:t>’</w:t>
      </w:r>
      <w:r w:rsidRPr="00AC5C49">
        <w:rPr>
          <w:rFonts w:ascii="Times New Roman" w:hAnsi="Times New Roman"/>
          <w:sz w:val="24"/>
          <w:szCs w:val="24"/>
        </w:rPr>
        <w:t xml:space="preserve">) or a disclaimer (e.g., </w:t>
      </w:r>
      <w:r>
        <w:rPr>
          <w:rFonts w:ascii="Times New Roman" w:hAnsi="Times New Roman"/>
          <w:sz w:val="24"/>
          <w:szCs w:val="24"/>
        </w:rPr>
        <w:t>‘</w:t>
      </w:r>
      <w:r w:rsidRPr="00AC5C49">
        <w:rPr>
          <w:rFonts w:ascii="Times New Roman" w:hAnsi="Times New Roman"/>
          <w:sz w:val="24"/>
          <w:szCs w:val="24"/>
        </w:rPr>
        <w:t>the views expressed are</w:t>
      </w:r>
      <w:r>
        <w:rPr>
          <w:rFonts w:ascii="Times New Roman" w:hAnsi="Times New Roman"/>
          <w:sz w:val="24"/>
          <w:szCs w:val="24"/>
        </w:rPr>
        <w:t xml:space="preserve"> </w:t>
      </w:r>
      <w:r w:rsidRPr="00AC5C49">
        <w:rPr>
          <w:rFonts w:ascii="Times New Roman" w:hAnsi="Times New Roman"/>
          <w:sz w:val="24"/>
          <w:szCs w:val="24"/>
        </w:rPr>
        <w:t>strictly my own</w:t>
      </w:r>
      <w:r>
        <w:rPr>
          <w:rFonts w:ascii="Times New Roman" w:hAnsi="Times New Roman"/>
          <w:sz w:val="24"/>
          <w:szCs w:val="24"/>
        </w:rPr>
        <w:t>’</w:t>
      </w:r>
      <w:r w:rsidRPr="00AC5C49">
        <w:rPr>
          <w:rFonts w:ascii="Times New Roman" w:hAnsi="Times New Roman"/>
          <w:sz w:val="24"/>
          <w:szCs w:val="24"/>
        </w:rPr>
        <w:t>), he would be entitled to a heavy (though</w:t>
      </w:r>
      <w:r>
        <w:rPr>
          <w:rFonts w:ascii="Times New Roman" w:hAnsi="Times New Roman"/>
          <w:sz w:val="24"/>
          <w:szCs w:val="24"/>
        </w:rPr>
        <w:t xml:space="preserve"> </w:t>
      </w:r>
      <w:r w:rsidRPr="00AC5C49">
        <w:rPr>
          <w:rFonts w:ascii="Times New Roman" w:hAnsi="Times New Roman"/>
          <w:sz w:val="24"/>
          <w:szCs w:val="24"/>
        </w:rPr>
        <w:t xml:space="preserve">not irrebuttable) presumption that </w:t>
      </w:r>
      <w:proofErr w:type="gramStart"/>
      <w:r w:rsidRPr="00AC5C49">
        <w:rPr>
          <w:rFonts w:ascii="Times New Roman" w:hAnsi="Times New Roman"/>
          <w:sz w:val="24"/>
          <w:szCs w:val="24"/>
        </w:rPr>
        <w:t>all of</w:t>
      </w:r>
      <w:proofErr w:type="gramEnd"/>
      <w:r w:rsidRPr="00AC5C49">
        <w:rPr>
          <w:rFonts w:ascii="Times New Roman" w:hAnsi="Times New Roman"/>
          <w:sz w:val="24"/>
          <w:szCs w:val="24"/>
        </w:rPr>
        <w:t xml:space="preserve"> the posts on his</w:t>
      </w:r>
      <w:r>
        <w:rPr>
          <w:rFonts w:ascii="Times New Roman" w:hAnsi="Times New Roman"/>
          <w:sz w:val="24"/>
          <w:szCs w:val="24"/>
        </w:rPr>
        <w:t xml:space="preserve"> </w:t>
      </w:r>
      <w:r w:rsidRPr="00AC5C49">
        <w:rPr>
          <w:rFonts w:ascii="Times New Roman" w:hAnsi="Times New Roman"/>
          <w:sz w:val="24"/>
          <w:szCs w:val="24"/>
        </w:rPr>
        <w:t>page were personal.</w:t>
      </w:r>
      <w:r>
        <w:rPr>
          <w:rFonts w:ascii="Times New Roman" w:hAnsi="Times New Roman"/>
          <w:sz w:val="24"/>
          <w:szCs w:val="24"/>
        </w:rPr>
        <w:t>”</w:t>
      </w:r>
    </w:p>
    <w:p w14:paraId="2B9F7538" w14:textId="77777777" w:rsidR="00B86628" w:rsidRDefault="00B86628" w:rsidP="00B86628">
      <w:pPr>
        <w:pStyle w:val="NormalWeb"/>
        <w:ind w:left="720"/>
      </w:pPr>
      <w:r>
        <w:t>The U.S. Supreme Court also decided a second case involving two school board members who used their FACEBOOK and TWITTER pages for official purposes. They were sued by parents who were blocked.  That case sent back to U.S. District Court in California.</w:t>
      </w:r>
      <w:r w:rsidRPr="00247024">
        <w:t xml:space="preserve"> </w:t>
      </w:r>
      <w:r w:rsidRPr="006472DD">
        <w:rPr>
          <w:u w:val="single"/>
        </w:rPr>
        <w:t xml:space="preserve">Michelle O’Connor-Ratcliff, et al. v. Christopher Garner, et </w:t>
      </w:r>
      <w:proofErr w:type="gramStart"/>
      <w:r w:rsidRPr="006472DD">
        <w:rPr>
          <w:u w:val="single"/>
        </w:rPr>
        <w:t>al</w:t>
      </w:r>
      <w:r>
        <w:t>,,</w:t>
      </w:r>
      <w:proofErr w:type="gramEnd"/>
      <w:r>
        <w:t xml:space="preserve"> </w:t>
      </w:r>
      <w:hyperlink r:id="rId140" w:history="1">
        <w:r w:rsidRPr="007616D4">
          <w:rPr>
            <w:rStyle w:val="Hyperlink"/>
          </w:rPr>
          <w:t>https://www.supremecourt.gov/opinions/23pdf/22-324_09m1.pdf</w:t>
        </w:r>
      </w:hyperlink>
      <w:r>
        <w:t xml:space="preserve">  </w:t>
      </w:r>
    </w:p>
    <w:p w14:paraId="1F60BC56" w14:textId="77777777" w:rsidR="00B86628" w:rsidRDefault="00B86628" w:rsidP="00B86628">
      <w:pPr>
        <w:pStyle w:val="NormalWeb"/>
        <w:ind w:left="720"/>
      </w:pPr>
    </w:p>
    <w:p w14:paraId="0583AF64" w14:textId="77777777" w:rsidR="00B86628" w:rsidRDefault="00B86628" w:rsidP="00F326E5">
      <w:pPr>
        <w:pStyle w:val="NoSpacing"/>
        <w:rPr>
          <w:rFonts w:ascii="Arial Black" w:hAnsi="Arial Black"/>
          <w:sz w:val="24"/>
          <w:szCs w:val="24"/>
        </w:rPr>
      </w:pPr>
    </w:p>
    <w:p w14:paraId="6AABBA4F" w14:textId="77777777" w:rsidR="00B86628" w:rsidRDefault="00B86628" w:rsidP="00F326E5">
      <w:pPr>
        <w:pStyle w:val="NoSpacing"/>
        <w:rPr>
          <w:rFonts w:ascii="Arial Black" w:hAnsi="Arial Black"/>
          <w:sz w:val="24"/>
          <w:szCs w:val="24"/>
        </w:rPr>
      </w:pPr>
    </w:p>
    <w:p w14:paraId="71523ECF" w14:textId="660F0E7D" w:rsidR="00991260" w:rsidRDefault="00991260" w:rsidP="00F326E5">
      <w:pPr>
        <w:pStyle w:val="NoSpacing"/>
        <w:rPr>
          <w:rFonts w:ascii="Arial Black" w:hAnsi="Arial Black"/>
          <w:sz w:val="24"/>
          <w:szCs w:val="24"/>
        </w:rPr>
      </w:pPr>
      <w:r>
        <w:rPr>
          <w:rFonts w:ascii="Arial Black" w:hAnsi="Arial Black"/>
          <w:sz w:val="24"/>
          <w:szCs w:val="24"/>
        </w:rPr>
        <w:t>1-145</w:t>
      </w:r>
    </w:p>
    <w:p w14:paraId="1DAF82AC" w14:textId="77777777" w:rsidR="00493015" w:rsidRDefault="00493015" w:rsidP="00F326E5">
      <w:pPr>
        <w:pStyle w:val="NoSpacing"/>
        <w:rPr>
          <w:rFonts w:ascii="Arial Black" w:hAnsi="Arial Black"/>
          <w:sz w:val="24"/>
          <w:szCs w:val="24"/>
        </w:rPr>
      </w:pPr>
    </w:p>
    <w:p w14:paraId="31391EAF" w14:textId="77777777" w:rsidR="00493015" w:rsidRDefault="00493015" w:rsidP="00493015">
      <w:pPr>
        <w:pStyle w:val="NoSpacing"/>
        <w:rPr>
          <w:rFonts w:ascii="Arial Black" w:hAnsi="Arial Black"/>
          <w:sz w:val="28"/>
          <w:szCs w:val="28"/>
        </w:rPr>
      </w:pPr>
      <w:r>
        <w:rPr>
          <w:rFonts w:ascii="Arial Black" w:hAnsi="Arial Black"/>
          <w:sz w:val="28"/>
          <w:szCs w:val="28"/>
        </w:rPr>
        <w:t>MI: FIREWORKS – CITATION / $150 FINE SET ASIDE – CITY CAN’T REQ. STORE GIVE OUT FLYER ON STATE / FED. LAWS</w:t>
      </w:r>
    </w:p>
    <w:p w14:paraId="775ADC90" w14:textId="77777777" w:rsidR="00493015" w:rsidRDefault="00493015" w:rsidP="00493015">
      <w:pPr>
        <w:pStyle w:val="NoSpacing"/>
        <w:rPr>
          <w:rFonts w:ascii="Arial Black" w:hAnsi="Arial Black"/>
          <w:sz w:val="28"/>
          <w:szCs w:val="28"/>
        </w:rPr>
      </w:pPr>
    </w:p>
    <w:p w14:paraId="73CC7AF8" w14:textId="77777777" w:rsidR="00493015" w:rsidRDefault="00493015" w:rsidP="00493015">
      <w:pPr>
        <w:pStyle w:val="NoSpacing"/>
        <w:rPr>
          <w:rFonts w:ascii="Times New Roman" w:hAnsi="Times New Roman"/>
          <w:sz w:val="24"/>
          <w:szCs w:val="24"/>
        </w:rPr>
      </w:pPr>
      <w:r>
        <w:rPr>
          <w:rFonts w:ascii="Times New Roman" w:hAnsi="Times New Roman"/>
          <w:sz w:val="24"/>
          <w:szCs w:val="24"/>
        </w:rPr>
        <w:t xml:space="preserve">On Feb. 15, 2024, </w:t>
      </w:r>
      <w:r w:rsidRPr="0001598C">
        <w:rPr>
          <w:rFonts w:ascii="Times New Roman" w:hAnsi="Times New Roman"/>
          <w:sz w:val="24"/>
          <w:szCs w:val="24"/>
          <w:u w:val="single"/>
        </w:rPr>
        <w:t>in People of the City of Sterling Heights v. Robert Bahke</w:t>
      </w:r>
      <w:r>
        <w:rPr>
          <w:rFonts w:ascii="Times New Roman" w:hAnsi="Times New Roman"/>
          <w:sz w:val="24"/>
          <w:szCs w:val="24"/>
        </w:rPr>
        <w:t xml:space="preserve">, the Court of Appeals of Michigan held (3 to 0) that the fireworks Safety Act preempts city ordinance because the ordinance directly with the state law; the Manager of Pro Fireworks store won this appeal after </w:t>
      </w:r>
      <w:proofErr w:type="spellStart"/>
      <w:r>
        <w:rPr>
          <w:rFonts w:ascii="Times New Roman" w:hAnsi="Times New Roman"/>
          <w:sz w:val="24"/>
          <w:szCs w:val="24"/>
        </w:rPr>
        <w:t>loosing</w:t>
      </w:r>
      <w:proofErr w:type="spellEnd"/>
      <w:r>
        <w:rPr>
          <w:rFonts w:ascii="Times New Roman" w:hAnsi="Times New Roman"/>
          <w:sz w:val="24"/>
          <w:szCs w:val="24"/>
        </w:rPr>
        <w:t xml:space="preserve"> before a City Magistrate, a District Court judge and a Circuit Court. </w:t>
      </w:r>
    </w:p>
    <w:p w14:paraId="7EE9D711" w14:textId="77777777" w:rsidR="009A27F2" w:rsidRDefault="009A27F2" w:rsidP="009A27F2">
      <w:pPr>
        <w:pStyle w:val="NoSpacing"/>
        <w:rPr>
          <w:rFonts w:ascii="Times New Roman" w:hAnsi="Times New Roman"/>
          <w:sz w:val="24"/>
          <w:szCs w:val="24"/>
          <w:shd w:val="clear" w:color="auto" w:fill="FFFFFF"/>
        </w:rPr>
      </w:pPr>
    </w:p>
    <w:p w14:paraId="477EC6CA" w14:textId="4D09756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498F8EF" w14:textId="77777777" w:rsidR="00493015" w:rsidRDefault="00493015" w:rsidP="00493015">
      <w:pPr>
        <w:pStyle w:val="NoSpacing"/>
        <w:rPr>
          <w:rFonts w:ascii="Times New Roman" w:hAnsi="Times New Roman"/>
          <w:sz w:val="24"/>
          <w:szCs w:val="24"/>
        </w:rPr>
      </w:pPr>
    </w:p>
    <w:p w14:paraId="2B92CF41" w14:textId="77777777" w:rsidR="00493015" w:rsidRPr="00B71C19" w:rsidRDefault="00493015" w:rsidP="00493015">
      <w:pPr>
        <w:pStyle w:val="NoSpacing"/>
        <w:ind w:left="720"/>
        <w:rPr>
          <w:rFonts w:ascii="Times New Roman" w:hAnsi="Times New Roman"/>
          <w:sz w:val="24"/>
          <w:szCs w:val="24"/>
        </w:rPr>
      </w:pPr>
      <w:r>
        <w:rPr>
          <w:rFonts w:ascii="Times New Roman" w:hAnsi="Times New Roman"/>
          <w:sz w:val="24"/>
          <w:szCs w:val="24"/>
        </w:rPr>
        <w:lastRenderedPageBreak/>
        <w:t>“</w:t>
      </w:r>
      <w:r w:rsidRPr="00B71C19">
        <w:rPr>
          <w:rFonts w:ascii="Times New Roman" w:hAnsi="Times New Roman"/>
          <w:sz w:val="24"/>
          <w:szCs w:val="24"/>
        </w:rPr>
        <w:t xml:space="preserve">Defendant argues that the Michigan Fireworks Safety Act (MFSA), MCL 28.457, preempts </w:t>
      </w:r>
      <w:proofErr w:type="gramStart"/>
      <w:r w:rsidRPr="00B71C19">
        <w:rPr>
          <w:rFonts w:ascii="Times New Roman" w:hAnsi="Times New Roman"/>
          <w:sz w:val="24"/>
          <w:szCs w:val="24"/>
        </w:rPr>
        <w:t>plaintiffs</w:t>
      </w:r>
      <w:proofErr w:type="gramEnd"/>
      <w:r w:rsidRPr="00B71C19">
        <w:rPr>
          <w:rFonts w:ascii="Times New Roman" w:hAnsi="Times New Roman"/>
          <w:sz w:val="24"/>
          <w:szCs w:val="24"/>
        </w:rPr>
        <w:t xml:space="preserve"> ordinance because the ordinance directly conflicts with the statute and because the field of fireworks sales was exclusively occupied by the state. We agree that the ordinance directly conflicts with the statute and is therefore preempted by state </w:t>
      </w:r>
      <w:proofErr w:type="gramStart"/>
      <w:r w:rsidRPr="00B71C19">
        <w:rPr>
          <w:rFonts w:ascii="Times New Roman" w:hAnsi="Times New Roman"/>
          <w:sz w:val="24"/>
          <w:szCs w:val="24"/>
        </w:rPr>
        <w:t>law.</w:t>
      </w:r>
      <w:r>
        <w:rPr>
          <w:rFonts w:ascii="Times New Roman" w:hAnsi="Times New Roman"/>
          <w:sz w:val="24"/>
          <w:szCs w:val="24"/>
        </w:rPr>
        <w:t>”</w:t>
      </w:r>
      <w:proofErr w:type="gramEnd"/>
      <w:r>
        <w:rPr>
          <w:rFonts w:ascii="Times New Roman" w:hAnsi="Times New Roman"/>
          <w:sz w:val="24"/>
          <w:szCs w:val="24"/>
        </w:rPr>
        <w:t xml:space="preserve"> </w:t>
      </w:r>
      <w:hyperlink r:id="rId141" w:history="1">
        <w:r w:rsidRPr="00644350">
          <w:rPr>
            <w:rStyle w:val="Hyperlink"/>
            <w:rFonts w:ascii="Times New Roman" w:hAnsi="Times New Roman"/>
            <w:sz w:val="24"/>
            <w:szCs w:val="24"/>
          </w:rPr>
          <w:t>https://cases.justia.com/michigan/court-of-appeals-published/2024-364264.pdf?ts=1708092018</w:t>
        </w:r>
      </w:hyperlink>
      <w:r>
        <w:rPr>
          <w:rFonts w:ascii="Times New Roman" w:hAnsi="Times New Roman"/>
          <w:sz w:val="24"/>
          <w:szCs w:val="24"/>
        </w:rPr>
        <w:t xml:space="preserve"> </w:t>
      </w:r>
    </w:p>
    <w:p w14:paraId="22FB8BC0" w14:textId="77777777" w:rsidR="00493015" w:rsidRPr="003A172A" w:rsidRDefault="00493015" w:rsidP="00493015">
      <w:pPr>
        <w:spacing w:after="100" w:line="240" w:lineRule="auto"/>
        <w:ind w:left="4320"/>
        <w:rPr>
          <w:rFonts w:ascii="Times New Roman" w:eastAsia="Times New Roman" w:hAnsi="Times New Roman"/>
          <w:sz w:val="24"/>
          <w:szCs w:val="24"/>
        </w:rPr>
      </w:pPr>
    </w:p>
    <w:p w14:paraId="272CFFF2" w14:textId="77777777" w:rsidR="00493015" w:rsidRPr="00941B8F" w:rsidRDefault="00493015" w:rsidP="00493015">
      <w:pPr>
        <w:pStyle w:val="NoSpacing"/>
        <w:ind w:left="720"/>
        <w:rPr>
          <w:rFonts w:ascii="Times New Roman" w:hAnsi="Times New Roman"/>
          <w:b/>
          <w:bCs/>
          <w:sz w:val="24"/>
          <w:szCs w:val="24"/>
        </w:rPr>
      </w:pPr>
      <w:r>
        <w:rPr>
          <w:rFonts w:ascii="Times New Roman" w:hAnsi="Times New Roman"/>
          <w:b/>
          <w:bCs/>
          <w:sz w:val="24"/>
          <w:szCs w:val="24"/>
        </w:rPr>
        <w:t xml:space="preserve">Legal Lesson Learned:  Cities and other municipalities may still have ordinances on hours when fireworks may be set off in that community. </w:t>
      </w:r>
    </w:p>
    <w:p w14:paraId="0463AD6D" w14:textId="77777777" w:rsidR="00493015" w:rsidRDefault="00493015" w:rsidP="00493015">
      <w:pPr>
        <w:pStyle w:val="NormalWeb"/>
      </w:pPr>
    </w:p>
    <w:p w14:paraId="106C9913" w14:textId="77777777" w:rsidR="00493015" w:rsidRDefault="00493015" w:rsidP="00F326E5">
      <w:pPr>
        <w:pStyle w:val="NoSpacing"/>
        <w:rPr>
          <w:rFonts w:ascii="Arial Black" w:hAnsi="Arial Black"/>
          <w:sz w:val="24"/>
          <w:szCs w:val="24"/>
        </w:rPr>
      </w:pPr>
    </w:p>
    <w:p w14:paraId="75C38513" w14:textId="77777777" w:rsidR="00991260" w:rsidRDefault="00991260" w:rsidP="00F326E5">
      <w:pPr>
        <w:pStyle w:val="NoSpacing"/>
        <w:rPr>
          <w:rFonts w:ascii="Arial Black" w:hAnsi="Arial Black"/>
          <w:sz w:val="24"/>
          <w:szCs w:val="24"/>
        </w:rPr>
      </w:pPr>
    </w:p>
    <w:p w14:paraId="2078751E" w14:textId="7B40888D" w:rsidR="007F1354" w:rsidRDefault="007F1354" w:rsidP="00F326E5">
      <w:pPr>
        <w:pStyle w:val="NoSpacing"/>
        <w:rPr>
          <w:rFonts w:ascii="Arial Black" w:hAnsi="Arial Black"/>
          <w:sz w:val="24"/>
          <w:szCs w:val="24"/>
        </w:rPr>
      </w:pPr>
      <w:r>
        <w:rPr>
          <w:rFonts w:ascii="Arial Black" w:hAnsi="Arial Black"/>
          <w:sz w:val="24"/>
          <w:szCs w:val="24"/>
        </w:rPr>
        <w:t>1-144</w:t>
      </w:r>
    </w:p>
    <w:p w14:paraId="6017C4A2" w14:textId="77777777" w:rsidR="003A1658" w:rsidRDefault="003A1658" w:rsidP="00F326E5">
      <w:pPr>
        <w:pStyle w:val="NoSpacing"/>
        <w:rPr>
          <w:rFonts w:ascii="Arial Black" w:hAnsi="Arial Black"/>
          <w:sz w:val="24"/>
          <w:szCs w:val="24"/>
        </w:rPr>
      </w:pPr>
    </w:p>
    <w:p w14:paraId="16E478D6" w14:textId="77777777" w:rsidR="003A1658" w:rsidRDefault="003A1658" w:rsidP="003A1658">
      <w:pPr>
        <w:pStyle w:val="NormalWeb"/>
        <w:rPr>
          <w:rFonts w:ascii="Arial Black" w:hAnsi="Arial Black"/>
          <w:sz w:val="28"/>
          <w:szCs w:val="28"/>
        </w:rPr>
      </w:pPr>
      <w:r>
        <w:rPr>
          <w:rFonts w:ascii="Arial Black" w:hAnsi="Arial Black"/>
          <w:sz w:val="28"/>
          <w:szCs w:val="28"/>
        </w:rPr>
        <w:t>IL:  HOUSE FIRE – CITY “EMERGENCY DEMOLISH ORDER” - FAILURE NOTIFY HOMEOWNER – LAWSUIT TO PROCEED</w:t>
      </w:r>
    </w:p>
    <w:p w14:paraId="55FC6635" w14:textId="77777777" w:rsidR="003A1658" w:rsidRDefault="003A1658" w:rsidP="003A1658">
      <w:pPr>
        <w:pStyle w:val="NormalWeb"/>
      </w:pPr>
      <w:r>
        <w:t xml:space="preserve">On Jan. 25, 2024, in </w:t>
      </w:r>
      <w:r w:rsidRPr="00F208D4">
        <w:rPr>
          <w:u w:val="single"/>
        </w:rPr>
        <w:t xml:space="preserve">Rosie Houston, et al. v. City of Houston, et </w:t>
      </w:r>
      <w:r>
        <w:rPr>
          <w:u w:val="single"/>
        </w:rPr>
        <w:t>a</w:t>
      </w:r>
      <w:r w:rsidRPr="00F208D4">
        <w:rPr>
          <w:u w:val="single"/>
        </w:rPr>
        <w:t>l</w:t>
      </w:r>
      <w:r>
        <w:t>., U.S. District Court Judge Jeremy C. Daniel, U.S. District Court for Northern District of Illinois (Eastern Division) denied the City’s motion to dismiss the lawsuit.</w:t>
      </w:r>
    </w:p>
    <w:p w14:paraId="77243181"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EE9EF7F" w14:textId="77777777" w:rsidR="003A1658" w:rsidRDefault="003A1658" w:rsidP="003A1658">
      <w:pPr>
        <w:pStyle w:val="NormalWeb"/>
        <w:ind w:left="720"/>
      </w:pPr>
      <w:r>
        <w:t>“[P]</w:t>
      </w:r>
      <w:proofErr w:type="spellStart"/>
      <w:r>
        <w:t>laintiffs</w:t>
      </w:r>
      <w:proofErr w:type="spellEnd"/>
      <w:r>
        <w:t>' Fourth Amendment claim may therefore proceed against Defendants City of Chicago, Frydland, Herrera, and Ficco.</w:t>
      </w:r>
    </w:p>
    <w:p w14:paraId="7F95B8B8" w14:textId="77777777" w:rsidR="003A1658" w:rsidRDefault="003A1658" w:rsidP="003A1658">
      <w:pPr>
        <w:pStyle w:val="NoSpacing"/>
        <w:ind w:firstLine="720"/>
        <w:rPr>
          <w:rFonts w:ascii="Times New Roman" w:hAnsi="Times New Roman"/>
          <w:sz w:val="24"/>
          <w:szCs w:val="24"/>
        </w:rPr>
      </w:pPr>
      <w:r>
        <w:rPr>
          <w:rFonts w:ascii="Times New Roman" w:hAnsi="Times New Roman"/>
          <w:sz w:val="24"/>
          <w:szCs w:val="24"/>
        </w:rPr>
        <w:t>***</w:t>
      </w:r>
    </w:p>
    <w:p w14:paraId="2DDC6607" w14:textId="77777777" w:rsidR="003A1658" w:rsidRDefault="003A1658" w:rsidP="003A1658">
      <w:pPr>
        <w:pStyle w:val="NoSpacing"/>
        <w:ind w:firstLine="720"/>
        <w:rPr>
          <w:rFonts w:ascii="Times New Roman" w:hAnsi="Times New Roman"/>
          <w:sz w:val="24"/>
          <w:szCs w:val="24"/>
        </w:rPr>
      </w:pPr>
    </w:p>
    <w:p w14:paraId="7B42E5B1" w14:textId="77777777" w:rsidR="003A1658" w:rsidRPr="005B427D" w:rsidRDefault="003A1658" w:rsidP="003A1658">
      <w:pPr>
        <w:pStyle w:val="NoSpacing"/>
        <w:ind w:firstLine="720"/>
        <w:rPr>
          <w:rFonts w:ascii="Times New Roman" w:hAnsi="Times New Roman"/>
          <w:sz w:val="24"/>
          <w:szCs w:val="24"/>
        </w:rPr>
      </w:pPr>
      <w:r w:rsidRPr="005B427D">
        <w:rPr>
          <w:rFonts w:ascii="Times New Roman" w:hAnsi="Times New Roman"/>
          <w:sz w:val="24"/>
          <w:szCs w:val="24"/>
        </w:rPr>
        <w:t>The defendants’ argument is unavailing because it ignores allegations that the</w:t>
      </w:r>
    </w:p>
    <w:p w14:paraId="5072BE9F" w14:textId="77777777" w:rsidR="003A1658" w:rsidRPr="005B427D" w:rsidRDefault="003A1658" w:rsidP="003A1658">
      <w:pPr>
        <w:pStyle w:val="NoSpacing"/>
        <w:ind w:firstLine="720"/>
        <w:rPr>
          <w:rFonts w:ascii="Times New Roman" w:hAnsi="Times New Roman"/>
          <w:sz w:val="24"/>
          <w:szCs w:val="24"/>
        </w:rPr>
      </w:pPr>
      <w:r w:rsidRPr="005B427D">
        <w:rPr>
          <w:rFonts w:ascii="Times New Roman" w:hAnsi="Times New Roman"/>
          <w:sz w:val="24"/>
          <w:szCs w:val="24"/>
        </w:rPr>
        <w:t>demolition was not random or unpredictable at all, but an entirely predictable</w:t>
      </w:r>
    </w:p>
    <w:p w14:paraId="5D07B566" w14:textId="77777777" w:rsidR="003A1658" w:rsidRPr="005B427D" w:rsidRDefault="003A1658" w:rsidP="003A1658">
      <w:pPr>
        <w:pStyle w:val="NoSpacing"/>
        <w:ind w:firstLine="720"/>
        <w:rPr>
          <w:rFonts w:ascii="Times New Roman" w:hAnsi="Times New Roman"/>
          <w:sz w:val="24"/>
          <w:szCs w:val="24"/>
        </w:rPr>
      </w:pPr>
      <w:r w:rsidRPr="005B427D">
        <w:rPr>
          <w:rFonts w:ascii="Times New Roman" w:hAnsi="Times New Roman"/>
          <w:sz w:val="24"/>
          <w:szCs w:val="24"/>
        </w:rPr>
        <w:t>deprivation that occurred pursuant to state procedures. Specifically, the complaint</w:t>
      </w:r>
    </w:p>
    <w:p w14:paraId="0BC6E984" w14:textId="77777777" w:rsidR="003A1658" w:rsidRPr="005B427D" w:rsidRDefault="003A1658" w:rsidP="003A1658">
      <w:pPr>
        <w:pStyle w:val="NoSpacing"/>
        <w:ind w:left="720"/>
        <w:rPr>
          <w:rFonts w:ascii="Times New Roman" w:hAnsi="Times New Roman"/>
          <w:sz w:val="24"/>
          <w:szCs w:val="24"/>
        </w:rPr>
      </w:pPr>
      <w:r w:rsidRPr="005B427D">
        <w:rPr>
          <w:rFonts w:ascii="Times New Roman" w:hAnsi="Times New Roman"/>
          <w:sz w:val="24"/>
          <w:szCs w:val="24"/>
        </w:rPr>
        <w:t>states that Herrera, while acting under the color of law and within the scope of his</w:t>
      </w:r>
    </w:p>
    <w:p w14:paraId="68F93029" w14:textId="77777777" w:rsidR="003A1658" w:rsidRPr="005B427D" w:rsidRDefault="003A1658" w:rsidP="003A1658">
      <w:pPr>
        <w:pStyle w:val="NoSpacing"/>
        <w:ind w:firstLine="720"/>
        <w:rPr>
          <w:rFonts w:ascii="Times New Roman" w:hAnsi="Times New Roman"/>
          <w:sz w:val="24"/>
          <w:szCs w:val="24"/>
        </w:rPr>
      </w:pPr>
      <w:proofErr w:type="gramStart"/>
      <w:r w:rsidRPr="005B427D">
        <w:rPr>
          <w:rFonts w:ascii="Times New Roman" w:hAnsi="Times New Roman"/>
          <w:sz w:val="24"/>
          <w:szCs w:val="24"/>
        </w:rPr>
        <w:t xml:space="preserve">employment, </w:t>
      </w:r>
      <w:r>
        <w:rPr>
          <w:rFonts w:ascii="Times New Roman" w:hAnsi="Times New Roman"/>
          <w:sz w:val="24"/>
          <w:szCs w:val="24"/>
        </w:rPr>
        <w:t>‘</w:t>
      </w:r>
      <w:proofErr w:type="gramEnd"/>
      <w:r w:rsidRPr="005B427D">
        <w:rPr>
          <w:rFonts w:ascii="Times New Roman" w:hAnsi="Times New Roman"/>
          <w:sz w:val="24"/>
          <w:szCs w:val="24"/>
        </w:rPr>
        <w:t>caused a Permit for a Demolition Application to [be] issued to Delta</w:t>
      </w:r>
    </w:p>
    <w:p w14:paraId="3AB9927A" w14:textId="77777777" w:rsidR="003A1658" w:rsidRDefault="003A1658" w:rsidP="003A1658">
      <w:pPr>
        <w:pStyle w:val="NoSpacing"/>
        <w:ind w:left="720"/>
      </w:pPr>
      <w:r w:rsidRPr="005B427D">
        <w:rPr>
          <w:rFonts w:ascii="Times New Roman" w:hAnsi="Times New Roman"/>
          <w:sz w:val="24"/>
          <w:szCs w:val="24"/>
        </w:rPr>
        <w:t>Demolition.</w:t>
      </w:r>
      <w:r>
        <w:rPr>
          <w:rFonts w:ascii="Times New Roman" w:hAnsi="Times New Roman"/>
          <w:sz w:val="24"/>
          <w:szCs w:val="24"/>
        </w:rPr>
        <w:t xml:space="preserve">’ </w:t>
      </w:r>
      <w:r w:rsidRPr="005B427D">
        <w:rPr>
          <w:rFonts w:ascii="Times New Roman" w:hAnsi="Times New Roman"/>
          <w:sz w:val="24"/>
          <w:szCs w:val="24"/>
        </w:rPr>
        <w:t>The demolition permit was thereafter issued, and the</w:t>
      </w:r>
      <w:r>
        <w:rPr>
          <w:rFonts w:ascii="Times New Roman" w:hAnsi="Times New Roman"/>
          <w:sz w:val="24"/>
          <w:szCs w:val="24"/>
        </w:rPr>
        <w:t xml:space="preserve"> </w:t>
      </w:r>
      <w:r w:rsidRPr="005B427D">
        <w:rPr>
          <w:rFonts w:ascii="Times New Roman" w:hAnsi="Times New Roman"/>
          <w:sz w:val="24"/>
          <w:szCs w:val="24"/>
        </w:rPr>
        <w:t>defendants demolished the plaintiffs’ home. Further, the complaint</w:t>
      </w:r>
      <w:r>
        <w:rPr>
          <w:rFonts w:ascii="Times New Roman" w:hAnsi="Times New Roman"/>
          <w:sz w:val="24"/>
          <w:szCs w:val="24"/>
        </w:rPr>
        <w:t xml:space="preserve"> </w:t>
      </w:r>
      <w:r w:rsidRPr="005B427D">
        <w:rPr>
          <w:rFonts w:ascii="Times New Roman" w:hAnsi="Times New Roman"/>
          <w:sz w:val="24"/>
          <w:szCs w:val="24"/>
        </w:rPr>
        <w:t>explains that an emergency demolition permit may only properly occur after (1)</w:t>
      </w:r>
      <w:r>
        <w:rPr>
          <w:rFonts w:ascii="Times New Roman" w:hAnsi="Times New Roman"/>
          <w:sz w:val="24"/>
          <w:szCs w:val="24"/>
        </w:rPr>
        <w:t xml:space="preserve"> </w:t>
      </w:r>
      <w:r w:rsidRPr="005B427D">
        <w:rPr>
          <w:rFonts w:ascii="Times New Roman" w:hAnsi="Times New Roman"/>
          <w:sz w:val="24"/>
          <w:szCs w:val="24"/>
        </w:rPr>
        <w:t>seeking an affidavit from the owner authorizing the demolition; (2) alternatively,</w:t>
      </w:r>
      <w:r>
        <w:rPr>
          <w:rFonts w:ascii="Times New Roman" w:hAnsi="Times New Roman"/>
          <w:sz w:val="24"/>
          <w:szCs w:val="24"/>
        </w:rPr>
        <w:t xml:space="preserve"> </w:t>
      </w:r>
      <w:r w:rsidRPr="005B427D">
        <w:rPr>
          <w:rFonts w:ascii="Times New Roman" w:hAnsi="Times New Roman"/>
          <w:sz w:val="24"/>
          <w:szCs w:val="24"/>
        </w:rPr>
        <w:t>serving the owner with notice of the demolition via certified mail, and (3) posting a</w:t>
      </w:r>
      <w:r>
        <w:rPr>
          <w:rFonts w:ascii="Times New Roman" w:hAnsi="Times New Roman"/>
          <w:sz w:val="24"/>
          <w:szCs w:val="24"/>
        </w:rPr>
        <w:t xml:space="preserve"> </w:t>
      </w:r>
      <w:r w:rsidRPr="005B427D">
        <w:rPr>
          <w:rFonts w:ascii="Times New Roman" w:hAnsi="Times New Roman"/>
          <w:sz w:val="24"/>
          <w:szCs w:val="24"/>
        </w:rPr>
        <w:t>sign no smaller than two feet by three feet stating that the property will be</w:t>
      </w:r>
      <w:r>
        <w:rPr>
          <w:rFonts w:ascii="Times New Roman" w:hAnsi="Times New Roman"/>
          <w:sz w:val="24"/>
          <w:szCs w:val="24"/>
        </w:rPr>
        <w:t xml:space="preserve"> </w:t>
      </w:r>
      <w:r w:rsidRPr="005B427D">
        <w:rPr>
          <w:rFonts w:ascii="Times New Roman" w:hAnsi="Times New Roman"/>
          <w:sz w:val="24"/>
          <w:szCs w:val="24"/>
        </w:rPr>
        <w:t>demolished within three days, but alleges that it was the City’s routine practice not</w:t>
      </w:r>
      <w:r>
        <w:rPr>
          <w:rFonts w:ascii="Times New Roman" w:hAnsi="Times New Roman"/>
          <w:sz w:val="24"/>
          <w:szCs w:val="24"/>
        </w:rPr>
        <w:t xml:space="preserve"> </w:t>
      </w:r>
      <w:r w:rsidRPr="005B427D">
        <w:rPr>
          <w:rFonts w:ascii="Times New Roman" w:hAnsi="Times New Roman"/>
          <w:sz w:val="24"/>
          <w:szCs w:val="24"/>
        </w:rPr>
        <w:t>to follow these procedures.</w:t>
      </w:r>
      <w:r>
        <w:rPr>
          <w:rFonts w:ascii="Times New Roman" w:hAnsi="Times New Roman"/>
          <w:sz w:val="24"/>
          <w:szCs w:val="24"/>
        </w:rPr>
        <w:t xml:space="preserve">” </w:t>
      </w:r>
      <w:hyperlink r:id="rId142" w:history="1">
        <w:r w:rsidRPr="00D46FE0">
          <w:rPr>
            <w:rStyle w:val="Hyperlink"/>
          </w:rPr>
          <w:t>https://cases.justia.com/federal/district-courts/illinois/ilndce/1:2020cv06720/393181/97/0.pdf?ts=1706261425</w:t>
        </w:r>
      </w:hyperlink>
      <w:r>
        <w:t xml:space="preserve"> </w:t>
      </w:r>
    </w:p>
    <w:p w14:paraId="355EF4DC" w14:textId="77777777" w:rsidR="003A1658" w:rsidRDefault="003A1658" w:rsidP="00F326E5">
      <w:pPr>
        <w:pStyle w:val="NoSpacing"/>
        <w:rPr>
          <w:rFonts w:ascii="Arial Black" w:hAnsi="Arial Black"/>
          <w:sz w:val="24"/>
          <w:szCs w:val="24"/>
        </w:rPr>
      </w:pPr>
    </w:p>
    <w:p w14:paraId="4CFE3D62" w14:textId="77777777" w:rsidR="00A21A2D" w:rsidRPr="00AF656D" w:rsidRDefault="00A21A2D" w:rsidP="00A21A2D">
      <w:pPr>
        <w:pStyle w:val="NormalWeb"/>
        <w:rPr>
          <w:b/>
          <w:bCs/>
        </w:rPr>
      </w:pPr>
      <w:r w:rsidRPr="00AF656D">
        <w:rPr>
          <w:b/>
          <w:bCs/>
        </w:rPr>
        <w:t xml:space="preserve">Legal Lesson Learned: </w:t>
      </w:r>
      <w:r>
        <w:rPr>
          <w:b/>
          <w:bCs/>
        </w:rPr>
        <w:t xml:space="preserve"> In an emergency demolition, personally serve homeowner with demolition order whenever possible. </w:t>
      </w:r>
    </w:p>
    <w:p w14:paraId="078323BA" w14:textId="77777777" w:rsidR="00A21A2D" w:rsidRDefault="00A21A2D" w:rsidP="00F326E5">
      <w:pPr>
        <w:pStyle w:val="NoSpacing"/>
        <w:rPr>
          <w:rFonts w:ascii="Arial Black" w:hAnsi="Arial Black"/>
          <w:sz w:val="24"/>
          <w:szCs w:val="24"/>
        </w:rPr>
      </w:pPr>
    </w:p>
    <w:p w14:paraId="3631163F" w14:textId="77777777" w:rsidR="007F1354" w:rsidRDefault="007F1354" w:rsidP="00F326E5">
      <w:pPr>
        <w:pStyle w:val="NoSpacing"/>
        <w:rPr>
          <w:rFonts w:ascii="Arial Black" w:hAnsi="Arial Black"/>
          <w:sz w:val="24"/>
          <w:szCs w:val="24"/>
        </w:rPr>
      </w:pPr>
    </w:p>
    <w:p w14:paraId="72A194C9" w14:textId="77777777" w:rsidR="007F1354" w:rsidRDefault="007F1354" w:rsidP="00F326E5">
      <w:pPr>
        <w:pStyle w:val="NoSpacing"/>
        <w:rPr>
          <w:rFonts w:ascii="Arial Black" w:hAnsi="Arial Black"/>
          <w:sz w:val="24"/>
          <w:szCs w:val="24"/>
        </w:rPr>
      </w:pPr>
    </w:p>
    <w:p w14:paraId="6A05FDE0" w14:textId="142F38C5" w:rsidR="009B2B83" w:rsidRDefault="009B2B83" w:rsidP="00F326E5">
      <w:pPr>
        <w:pStyle w:val="NoSpacing"/>
        <w:rPr>
          <w:rFonts w:ascii="Arial Black" w:hAnsi="Arial Black"/>
          <w:sz w:val="24"/>
          <w:szCs w:val="24"/>
        </w:rPr>
      </w:pPr>
      <w:r>
        <w:rPr>
          <w:rFonts w:ascii="Arial Black" w:hAnsi="Arial Black"/>
          <w:sz w:val="24"/>
          <w:szCs w:val="24"/>
        </w:rPr>
        <w:t>1-143</w:t>
      </w:r>
    </w:p>
    <w:p w14:paraId="06372553" w14:textId="77777777" w:rsidR="00BF3437" w:rsidRPr="00666238" w:rsidRDefault="00BF3437" w:rsidP="00BF3437">
      <w:pPr>
        <w:pStyle w:val="Heading1"/>
        <w:rPr>
          <w:rFonts w:ascii="Arial Black" w:hAnsi="Arial Black"/>
          <w:sz w:val="28"/>
          <w:szCs w:val="28"/>
        </w:rPr>
      </w:pPr>
      <w:r>
        <w:rPr>
          <w:rFonts w:ascii="Arial Black" w:hAnsi="Arial Black"/>
          <w:sz w:val="28"/>
          <w:szCs w:val="28"/>
        </w:rPr>
        <w:t>WI: ARSON CONV. UPHELD – COMMENTS AT SCENE TO INCIDENT COMMANDER – FIRES IN TWO LOCATIONS</w:t>
      </w:r>
    </w:p>
    <w:p w14:paraId="0C9FA424" w14:textId="77777777" w:rsidR="00BF3437" w:rsidRDefault="00BF3437" w:rsidP="00BF3437">
      <w:pPr>
        <w:pStyle w:val="Heading1"/>
        <w:rPr>
          <w:b w:val="0"/>
          <w:bCs w:val="0"/>
          <w:sz w:val="24"/>
          <w:szCs w:val="24"/>
        </w:rPr>
      </w:pPr>
      <w:r>
        <w:rPr>
          <w:b w:val="0"/>
          <w:bCs w:val="0"/>
          <w:sz w:val="24"/>
          <w:szCs w:val="24"/>
        </w:rPr>
        <w:t xml:space="preserve">On Jan. 23, 2024, in </w:t>
      </w:r>
      <w:r w:rsidRPr="00510D50">
        <w:rPr>
          <w:b w:val="0"/>
          <w:bCs w:val="0"/>
          <w:sz w:val="24"/>
          <w:szCs w:val="24"/>
          <w:u w:val="single"/>
        </w:rPr>
        <w:t>State of Wisconsin v. James Farrar</w:t>
      </w:r>
      <w:r>
        <w:rPr>
          <w:b w:val="0"/>
          <w:bCs w:val="0"/>
          <w:sz w:val="24"/>
          <w:szCs w:val="24"/>
        </w:rPr>
        <w:t xml:space="preserve">, the Court of Appeals of Wisconsin held (3 to 0; unpublished opinion) there was sufficient evidence to support jury’s conviction of arson of a building of another.  The defendant was living in his father’s house (rental), father was in the hospital and would not allow the son to take over the lease.  There were two fires set – one in bedroom and another in the basement. </w:t>
      </w:r>
    </w:p>
    <w:p w14:paraId="4BCCB9AD"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6368BB63" w14:textId="77777777" w:rsidR="00BF3437" w:rsidRDefault="00BF3437" w:rsidP="00BF3437">
      <w:pPr>
        <w:pStyle w:val="Heading1"/>
        <w:ind w:left="720"/>
        <w:rPr>
          <w:b w:val="0"/>
          <w:bCs w:val="0"/>
          <w:sz w:val="24"/>
          <w:szCs w:val="24"/>
        </w:rPr>
      </w:pPr>
      <w:r>
        <w:rPr>
          <w:b w:val="0"/>
          <w:bCs w:val="0"/>
          <w:sz w:val="24"/>
          <w:szCs w:val="24"/>
        </w:rPr>
        <w:t>“</w:t>
      </w:r>
      <w:r w:rsidRPr="00252AFA">
        <w:rPr>
          <w:b w:val="0"/>
          <w:bCs w:val="0"/>
          <w:sz w:val="24"/>
          <w:szCs w:val="24"/>
        </w:rPr>
        <w:t>The jury rejected the defense's theory that Farrar set the fire accidentally and found Farrar guilty of the arson charge. Farrar now appeals, challenging the sufficiency of the evidence to support his conviction.</w:t>
      </w:r>
    </w:p>
    <w:p w14:paraId="43E9BBA7" w14:textId="77777777" w:rsidR="00BF3437" w:rsidRDefault="00BF3437" w:rsidP="00BF3437">
      <w:pPr>
        <w:pStyle w:val="Heading1"/>
        <w:ind w:left="720"/>
        <w:rPr>
          <w:b w:val="0"/>
          <w:bCs w:val="0"/>
          <w:sz w:val="24"/>
          <w:szCs w:val="24"/>
        </w:rPr>
      </w:pPr>
      <w:r>
        <w:rPr>
          <w:b w:val="0"/>
          <w:bCs w:val="0"/>
          <w:sz w:val="24"/>
          <w:szCs w:val="24"/>
        </w:rPr>
        <w:t>***</w:t>
      </w:r>
    </w:p>
    <w:p w14:paraId="78D0C4B7" w14:textId="77777777" w:rsidR="00BF3437" w:rsidRDefault="00BF3437" w:rsidP="00BF3437">
      <w:pPr>
        <w:pStyle w:val="Heading1"/>
        <w:ind w:left="720"/>
        <w:rPr>
          <w:b w:val="0"/>
          <w:bCs w:val="0"/>
          <w:sz w:val="24"/>
          <w:szCs w:val="24"/>
        </w:rPr>
      </w:pPr>
      <w:r w:rsidRPr="007F290B">
        <w:rPr>
          <w:b w:val="0"/>
          <w:bCs w:val="0"/>
          <w:sz w:val="24"/>
          <w:szCs w:val="24"/>
        </w:rPr>
        <w:t>We disagree with Farrar's suggestion that an expression of intent was required for the jury to find that he intentionally set the fires at the residence. As explained above, the evidence introduced at trial, while circumstantial, was sufficient to support a reasonable inference that Farrar started the fires with the intent to damage the residence.</w:t>
      </w:r>
      <w:r>
        <w:rPr>
          <w:b w:val="0"/>
          <w:bCs w:val="0"/>
          <w:sz w:val="24"/>
          <w:szCs w:val="24"/>
        </w:rPr>
        <w:t xml:space="preserve">” </w:t>
      </w:r>
      <w:hyperlink r:id="rId143" w:history="1">
        <w:r w:rsidRPr="00624A20">
          <w:rPr>
            <w:rStyle w:val="Hyperlink"/>
            <w:b w:val="0"/>
            <w:bCs w:val="0"/>
            <w:sz w:val="24"/>
            <w:szCs w:val="24"/>
          </w:rPr>
          <w:t>https://caselaw.findlaw.com/court/wi-court-of-appeals/115735506.html</w:t>
        </w:r>
      </w:hyperlink>
      <w:r>
        <w:rPr>
          <w:b w:val="0"/>
          <w:bCs w:val="0"/>
          <w:sz w:val="24"/>
          <w:szCs w:val="24"/>
        </w:rPr>
        <w:t xml:space="preserve"> </w:t>
      </w:r>
    </w:p>
    <w:p w14:paraId="52BA343D" w14:textId="77777777" w:rsidR="007F1354" w:rsidRPr="004A3354" w:rsidRDefault="007F1354" w:rsidP="007F1354">
      <w:pPr>
        <w:pStyle w:val="NormalWeb"/>
        <w:rPr>
          <w:b/>
          <w:bCs/>
        </w:rPr>
      </w:pPr>
      <w:r w:rsidRPr="004A3354">
        <w:rPr>
          <w:b/>
          <w:bCs/>
        </w:rPr>
        <w:t>Legal Lesson Learned:</w:t>
      </w:r>
      <w:r>
        <w:rPr>
          <w:b/>
          <w:bCs/>
        </w:rPr>
        <w:t xml:space="preserve"> Document in your fire report the suspicious comments of the resident. </w:t>
      </w:r>
    </w:p>
    <w:p w14:paraId="79E5EFBF" w14:textId="78BE2E54" w:rsidR="009B2B83" w:rsidRPr="00021A20" w:rsidRDefault="00021A20" w:rsidP="00F326E5">
      <w:pPr>
        <w:pStyle w:val="NoSpacing"/>
        <w:rPr>
          <w:rFonts w:ascii="Times New Roman" w:hAnsi="Times New Roman"/>
          <w:sz w:val="24"/>
          <w:szCs w:val="24"/>
        </w:rPr>
      </w:pPr>
      <w:r>
        <w:rPr>
          <w:rFonts w:ascii="Arial Black" w:hAnsi="Arial Black"/>
          <w:sz w:val="24"/>
          <w:szCs w:val="24"/>
        </w:rPr>
        <w:tab/>
      </w:r>
      <w:r w:rsidRPr="00021A20">
        <w:rPr>
          <w:rFonts w:ascii="Times New Roman" w:hAnsi="Times New Roman"/>
          <w:sz w:val="24"/>
          <w:szCs w:val="24"/>
        </w:rPr>
        <w:t xml:space="preserve">Note: See article on this case. </w:t>
      </w:r>
    </w:p>
    <w:p w14:paraId="042CBE7C" w14:textId="77777777" w:rsidR="00021A20" w:rsidRPr="00585D67" w:rsidRDefault="00021A20" w:rsidP="00021A20">
      <w:pPr>
        <w:pStyle w:val="NormalWeb"/>
        <w:ind w:left="720"/>
      </w:pPr>
      <w:r w:rsidRPr="00585D67">
        <w:t xml:space="preserve">March 2, 2022: Wausau Man Sentenced </w:t>
      </w:r>
      <w:proofErr w:type="gramStart"/>
      <w:r w:rsidRPr="00585D67">
        <w:t>In</w:t>
      </w:r>
      <w:proofErr w:type="gramEnd"/>
      <w:r w:rsidRPr="00585D67">
        <w:t xml:space="preserve"> Arson Case </w:t>
      </w:r>
      <w:hyperlink r:id="rId144" w:history="1">
        <w:r w:rsidRPr="00585D67">
          <w:rPr>
            <w:rStyle w:val="Hyperlink"/>
          </w:rPr>
          <w:t>https://wsau.com/2022/03/02/wausau-man-sentenced-in-arson-case/</w:t>
        </w:r>
      </w:hyperlink>
      <w:r w:rsidRPr="00585D67">
        <w:t xml:space="preserve"> </w:t>
      </w:r>
    </w:p>
    <w:p w14:paraId="501C27F1" w14:textId="77777777" w:rsidR="009B2B83" w:rsidRDefault="009B2B83" w:rsidP="00F326E5">
      <w:pPr>
        <w:pStyle w:val="NoSpacing"/>
        <w:rPr>
          <w:rFonts w:ascii="Arial Black" w:hAnsi="Arial Black"/>
          <w:sz w:val="24"/>
          <w:szCs w:val="24"/>
        </w:rPr>
      </w:pPr>
    </w:p>
    <w:p w14:paraId="069DD437" w14:textId="77777777" w:rsidR="009B2B83" w:rsidRDefault="009B2B83" w:rsidP="00F326E5">
      <w:pPr>
        <w:pStyle w:val="NoSpacing"/>
        <w:rPr>
          <w:rFonts w:ascii="Arial Black" w:hAnsi="Arial Black"/>
          <w:sz w:val="24"/>
          <w:szCs w:val="24"/>
        </w:rPr>
      </w:pPr>
    </w:p>
    <w:p w14:paraId="4964BD00" w14:textId="6335161A" w:rsidR="00EC5DAB" w:rsidRDefault="00EC5DAB" w:rsidP="00F326E5">
      <w:pPr>
        <w:pStyle w:val="NoSpacing"/>
        <w:rPr>
          <w:rFonts w:ascii="Arial Black" w:hAnsi="Arial Black"/>
          <w:sz w:val="24"/>
          <w:szCs w:val="24"/>
        </w:rPr>
      </w:pPr>
      <w:r>
        <w:rPr>
          <w:rFonts w:ascii="Arial Black" w:hAnsi="Arial Black"/>
          <w:sz w:val="24"/>
          <w:szCs w:val="24"/>
        </w:rPr>
        <w:t>1-142</w:t>
      </w:r>
    </w:p>
    <w:p w14:paraId="17B11D01" w14:textId="77777777" w:rsidR="00307899" w:rsidRPr="007C1A20" w:rsidRDefault="00307899" w:rsidP="00307899">
      <w:pPr>
        <w:pStyle w:val="NormalWeb"/>
        <w:rPr>
          <w:rFonts w:ascii="Arial Black" w:hAnsi="Arial Black"/>
          <w:b/>
          <w:bCs/>
          <w:sz w:val="28"/>
          <w:szCs w:val="28"/>
        </w:rPr>
      </w:pPr>
      <w:r>
        <w:rPr>
          <w:rFonts w:ascii="Arial Black" w:hAnsi="Arial Black"/>
          <w:b/>
          <w:bCs/>
          <w:sz w:val="28"/>
          <w:szCs w:val="28"/>
        </w:rPr>
        <w:t>LA: ARSON – NEIGHBOR’S APT / GASOLINE – MOM HEARD 2</w:t>
      </w:r>
      <w:r w:rsidRPr="00583036">
        <w:rPr>
          <w:rFonts w:ascii="Arial Black" w:hAnsi="Arial Black"/>
          <w:b/>
          <w:bCs/>
          <w:sz w:val="28"/>
          <w:szCs w:val="28"/>
          <w:vertAlign w:val="superscript"/>
        </w:rPr>
        <w:t>ND</w:t>
      </w:r>
      <w:r>
        <w:rPr>
          <w:rFonts w:ascii="Arial Black" w:hAnsi="Arial Black"/>
          <w:b/>
          <w:bCs/>
          <w:sz w:val="28"/>
          <w:szCs w:val="28"/>
        </w:rPr>
        <w:t xml:space="preserve"> MAN TELL SON “YOU PUT TOO MUCH” - CONV. UPHELD</w:t>
      </w:r>
    </w:p>
    <w:p w14:paraId="00B26DB5" w14:textId="77777777" w:rsidR="00307899" w:rsidRDefault="00307899" w:rsidP="00307899">
      <w:pPr>
        <w:pStyle w:val="NormalWeb"/>
      </w:pPr>
      <w:r w:rsidRPr="001B26D3">
        <w:t xml:space="preserve">On Dec. 27, 2023, in </w:t>
      </w:r>
      <w:r w:rsidRPr="001B26D3">
        <w:rPr>
          <w:u w:val="single"/>
        </w:rPr>
        <w:t>State of Louisiana v. Terone R. Thomas</w:t>
      </w:r>
      <w:r w:rsidRPr="001B26D3">
        <w:t xml:space="preserve">, </w:t>
      </w:r>
      <w:r>
        <w:t xml:space="preserve">the Louisiana Fifth Circuit Court of Appeals held (3 to 0) that jury properly found defendant guilty, </w:t>
      </w:r>
      <w:proofErr w:type="gramStart"/>
      <w:r>
        <w:t>sentenced</w:t>
      </w:r>
      <w:proofErr w:type="gramEnd"/>
      <w:r>
        <w:t xml:space="preserve"> 5 years in prison, but judge’s restitution order $4,500 to neighbor requires evidence of the amount of the victim’s loss.  The Court wrote: “[Defendant’s  mother] testified that she heard the other man telling </w:t>
      </w:r>
      <w:proofErr w:type="gramStart"/>
      <w:r>
        <w:t>Defendant</w:t>
      </w:r>
      <w:proofErr w:type="gramEnd"/>
      <w:r>
        <w:t xml:space="preserve"> ‘You put too much’ or ‘You did too much.’ She did not hear Defendant say anything. She saw Defendant and the man get in ‘a little gray Mitsubishi, or whatever it was’ and leave the scene.” </w:t>
      </w:r>
      <w:hyperlink r:id="rId145" w:history="1">
        <w:r w:rsidRPr="00911235">
          <w:rPr>
            <w:rStyle w:val="Hyperlink"/>
          </w:rPr>
          <w:t>https://cases.justia.com/louisiana/fifth-circuit-court-of-appeal/2023-23-ka-234.pdf?ts=1703704652</w:t>
        </w:r>
      </w:hyperlink>
      <w:r>
        <w:t xml:space="preserve"> </w:t>
      </w:r>
    </w:p>
    <w:p w14:paraId="300DDEF2" w14:textId="77777777" w:rsidR="001257CC" w:rsidRDefault="001257CC" w:rsidP="001257CC">
      <w:pPr>
        <w:pStyle w:val="NormalWeb"/>
        <w:rPr>
          <w:b/>
          <w:bCs/>
        </w:rPr>
      </w:pPr>
      <w:r>
        <w:rPr>
          <w:b/>
          <w:bCs/>
        </w:rPr>
        <w:t xml:space="preserve">Legal Lesson Learned: Thorough investigation, clothing seized by consent, crime scene evidence collected with search warrant, expert testimony. </w:t>
      </w:r>
    </w:p>
    <w:p w14:paraId="4CD4B859" w14:textId="77777777" w:rsidR="00307899" w:rsidRDefault="00307899" w:rsidP="00F326E5">
      <w:pPr>
        <w:pStyle w:val="NoSpacing"/>
        <w:rPr>
          <w:rFonts w:ascii="Arial Black" w:hAnsi="Arial Black"/>
          <w:sz w:val="24"/>
          <w:szCs w:val="24"/>
        </w:rPr>
      </w:pPr>
    </w:p>
    <w:p w14:paraId="5BB1CCA0" w14:textId="77777777" w:rsidR="00EC5DAB" w:rsidRDefault="00EC5DAB" w:rsidP="00F326E5">
      <w:pPr>
        <w:pStyle w:val="NoSpacing"/>
        <w:rPr>
          <w:rFonts w:ascii="Arial Black" w:hAnsi="Arial Black"/>
          <w:sz w:val="24"/>
          <w:szCs w:val="24"/>
        </w:rPr>
      </w:pPr>
    </w:p>
    <w:p w14:paraId="6977D618" w14:textId="77777777" w:rsidR="00EC5DAB" w:rsidRDefault="00EC5DAB" w:rsidP="00F326E5">
      <w:pPr>
        <w:pStyle w:val="NoSpacing"/>
        <w:rPr>
          <w:rFonts w:ascii="Arial Black" w:hAnsi="Arial Black"/>
          <w:sz w:val="24"/>
          <w:szCs w:val="24"/>
        </w:rPr>
      </w:pPr>
    </w:p>
    <w:p w14:paraId="1FC7F42A" w14:textId="4F040D1C" w:rsidR="00C22EBB" w:rsidRDefault="00530943" w:rsidP="00F326E5">
      <w:pPr>
        <w:pStyle w:val="NoSpacing"/>
        <w:rPr>
          <w:rFonts w:ascii="Arial Black" w:hAnsi="Arial Black"/>
          <w:sz w:val="24"/>
          <w:szCs w:val="24"/>
        </w:rPr>
      </w:pPr>
      <w:r>
        <w:rPr>
          <w:rFonts w:ascii="Arial Black" w:hAnsi="Arial Black"/>
          <w:sz w:val="24"/>
          <w:szCs w:val="24"/>
        </w:rPr>
        <w:t>1-141</w:t>
      </w:r>
    </w:p>
    <w:p w14:paraId="6233123E" w14:textId="77777777" w:rsidR="00BC0D37" w:rsidRPr="00462C8F" w:rsidRDefault="00BC0D37" w:rsidP="00BC0D37">
      <w:pPr>
        <w:pStyle w:val="NormalWeb"/>
        <w:rPr>
          <w:rFonts w:ascii="Arial Black" w:hAnsi="Arial Black"/>
          <w:sz w:val="28"/>
          <w:szCs w:val="28"/>
        </w:rPr>
      </w:pPr>
      <w:r>
        <w:rPr>
          <w:rFonts w:ascii="Arial Black" w:hAnsi="Arial Black"/>
          <w:sz w:val="28"/>
          <w:szCs w:val="28"/>
        </w:rPr>
        <w:t>MA: ARSON CHURCH – PROBABLE CAUSE SEARCH WARRANT CAR OF CHURCH MEMBER – PORTIONS DELETED</w:t>
      </w:r>
    </w:p>
    <w:p w14:paraId="5C4FB747" w14:textId="77777777" w:rsidR="00BC0D37" w:rsidRDefault="00BC0D37" w:rsidP="00BC0D37">
      <w:pPr>
        <w:pStyle w:val="NormalWeb"/>
      </w:pPr>
      <w:r w:rsidRPr="002F76D0">
        <w:t xml:space="preserve">On Dec. 8, 2023, in </w:t>
      </w:r>
      <w:r w:rsidRPr="002F76D0">
        <w:rPr>
          <w:u w:val="single"/>
        </w:rPr>
        <w:t>Commonwealth v. Lys W. Vincent</w:t>
      </w:r>
      <w:r w:rsidRPr="002F76D0">
        <w:t xml:space="preserve">, the Appeals Court of Massachusetts held (3 to 0) that trial court </w:t>
      </w:r>
      <w:r>
        <w:t xml:space="preserve">motions judge </w:t>
      </w:r>
      <w:r w:rsidRPr="002F76D0">
        <w:t xml:space="preserve">properly found the affidavit to search the car was supported by probable cause.  The Court held: </w:t>
      </w:r>
      <w:r>
        <w:t xml:space="preserve">“The defendant argued in his motion that the warrant affidavit contained unlawfully obtained information. The motion judge agreed that portions of the affidavit were based on </w:t>
      </w:r>
      <w:proofErr w:type="gramStart"/>
      <w:r>
        <w:t>an unconstitutional</w:t>
      </w:r>
      <w:proofErr w:type="gramEnd"/>
      <w:r>
        <w:t xml:space="preserve"> search and interrogation but concluded that, even after the unlawful portions of the affidavit were excised, it still established probable cause for the search. Without the unlawfully obtained information, the affidavit established the following. *** </w:t>
      </w:r>
      <w:r w:rsidRPr="002F76D0">
        <w:t xml:space="preserve">The timing of the car's arrival and departure in relation to the time of the fire, the fact that the car was registered to a church member, and the footage of the driver apparently carrying into the building a bag that could have contained the accelerant, went well beyond mere presence and established a sufficient nexus between the car and the crime. Accordingly, there was probable cause to issue the search warrant, and the evidence found in the car -- including gasoline residue on the passenger-side carpet -- was properly admitted at </w:t>
      </w:r>
      <w:proofErr w:type="gramStart"/>
      <w:r w:rsidRPr="002F76D0">
        <w:t>trial.</w:t>
      </w:r>
      <w:r>
        <w:t>”</w:t>
      </w:r>
      <w:proofErr w:type="gramEnd"/>
      <w:r>
        <w:t xml:space="preserve"> </w:t>
      </w:r>
      <w:hyperlink r:id="rId146" w:history="1">
        <w:r w:rsidRPr="0014393E">
          <w:rPr>
            <w:rStyle w:val="Hyperlink"/>
          </w:rPr>
          <w:t>https://caselaw.findlaw.com/court/ma-court-of-appeals/115598993.html</w:t>
        </w:r>
      </w:hyperlink>
      <w:r>
        <w:t xml:space="preserve"> </w:t>
      </w:r>
    </w:p>
    <w:p w14:paraId="346A6D29" w14:textId="77777777" w:rsidR="00EC5DAB" w:rsidRPr="00B75293" w:rsidRDefault="00EC5DAB" w:rsidP="00EC5DAB">
      <w:pPr>
        <w:pStyle w:val="NormalWeb"/>
        <w:rPr>
          <w:b/>
          <w:bCs/>
        </w:rPr>
      </w:pPr>
      <w:r w:rsidRPr="00B75293">
        <w:rPr>
          <w:b/>
          <w:bCs/>
        </w:rPr>
        <w:t xml:space="preserve">Legal Lesson Learned: </w:t>
      </w:r>
      <w:r>
        <w:rPr>
          <w:b/>
          <w:bCs/>
        </w:rPr>
        <w:t xml:space="preserve">Search warrant of car will be upheld where church video showed suspicious activity. </w:t>
      </w:r>
    </w:p>
    <w:p w14:paraId="757F6C4B" w14:textId="77777777" w:rsidR="00EC5DAB" w:rsidRPr="002F76D0" w:rsidRDefault="00EC5DAB" w:rsidP="00BC0D37">
      <w:pPr>
        <w:pStyle w:val="NormalWeb"/>
      </w:pPr>
    </w:p>
    <w:p w14:paraId="12E58710" w14:textId="77777777" w:rsidR="00530943" w:rsidRDefault="00530943" w:rsidP="00F326E5">
      <w:pPr>
        <w:pStyle w:val="NoSpacing"/>
        <w:rPr>
          <w:rFonts w:ascii="Arial Black" w:hAnsi="Arial Black"/>
          <w:sz w:val="24"/>
          <w:szCs w:val="24"/>
        </w:rPr>
      </w:pPr>
    </w:p>
    <w:p w14:paraId="0DEEC889" w14:textId="77777777" w:rsidR="00530943" w:rsidRDefault="00530943" w:rsidP="00F326E5">
      <w:pPr>
        <w:pStyle w:val="NoSpacing"/>
        <w:rPr>
          <w:rFonts w:ascii="Arial Black" w:hAnsi="Arial Black"/>
          <w:sz w:val="24"/>
          <w:szCs w:val="24"/>
        </w:rPr>
      </w:pPr>
    </w:p>
    <w:p w14:paraId="59947C76" w14:textId="77777777" w:rsidR="00530943" w:rsidRDefault="00530943" w:rsidP="00F326E5">
      <w:pPr>
        <w:pStyle w:val="NoSpacing"/>
        <w:rPr>
          <w:rFonts w:ascii="Arial Black" w:hAnsi="Arial Black"/>
          <w:sz w:val="24"/>
          <w:szCs w:val="24"/>
        </w:rPr>
      </w:pPr>
    </w:p>
    <w:p w14:paraId="18F088E1" w14:textId="1C8FF41B" w:rsidR="00801D3A" w:rsidRDefault="00801D3A" w:rsidP="00F326E5">
      <w:pPr>
        <w:pStyle w:val="NoSpacing"/>
        <w:rPr>
          <w:rFonts w:ascii="Arial Black" w:hAnsi="Arial Black"/>
          <w:sz w:val="24"/>
          <w:szCs w:val="24"/>
        </w:rPr>
      </w:pPr>
      <w:r>
        <w:rPr>
          <w:rFonts w:ascii="Arial Black" w:hAnsi="Arial Black"/>
          <w:sz w:val="24"/>
          <w:szCs w:val="24"/>
        </w:rPr>
        <w:t>1-140</w:t>
      </w:r>
    </w:p>
    <w:p w14:paraId="260C252C" w14:textId="77777777" w:rsidR="00801D3A" w:rsidRPr="00025DFB" w:rsidRDefault="00801D3A" w:rsidP="00801D3A">
      <w:pPr>
        <w:pStyle w:val="NormalWeb"/>
        <w:rPr>
          <w:rFonts w:ascii="Arial Black" w:hAnsi="Arial Black"/>
          <w:sz w:val="28"/>
          <w:szCs w:val="28"/>
        </w:rPr>
      </w:pPr>
      <w:r>
        <w:rPr>
          <w:rFonts w:ascii="Arial Black" w:hAnsi="Arial Black"/>
          <w:sz w:val="28"/>
          <w:szCs w:val="28"/>
        </w:rPr>
        <w:t>OH: ARSON – PLEAD TO MISDEMEANOR - MAX VICTIM RESTITUTION IS $999.99 – MARSY’S LAW NOT APPLICABLE</w:t>
      </w:r>
    </w:p>
    <w:p w14:paraId="3AFAC9B9" w14:textId="77777777" w:rsidR="00801D3A" w:rsidRDefault="00801D3A" w:rsidP="00801D3A">
      <w:pPr>
        <w:pStyle w:val="NormalWeb"/>
      </w:pPr>
      <w:r>
        <w:t xml:space="preserve">On Dec. 4, 2023, in </w:t>
      </w:r>
      <w:r w:rsidRPr="003E3F3A">
        <w:rPr>
          <w:u w:val="single"/>
        </w:rPr>
        <w:t>State of Ohio v. Timothy A. Messer</w:t>
      </w:r>
      <w:r>
        <w:t>, the defendant entered plea deal with prosecutor; he was indicted for aggravated arson in violation of R.C. 2909.02(A)(2), a second-degree felony, but pled guilty to misdemeanor of arson in violation of Ohio Rev. Code 20909.03(A)(1); he was sentenced probation, and victim restitution in the amount of $15,315 (actual loss).  Court  of Appeals reduced restitution to $999.99 since misdemean statute is for property damage up to $1,000.  “The state agrees that a straightforward application of our prior precedent would mean that the trial court erred in awarding restitution in an amount more than $999.99. However, the state argues that Marsy's Law, a victim's rights amendment to the Ohio Constitution effective February 5, 2018, and its effect on restitution was not addressed by the court</w:t>
      </w:r>
      <w:r>
        <w:rPr>
          <w:rStyle w:val="Emphasis"/>
        </w:rPr>
        <w:t>.</w:t>
      </w:r>
      <w:r>
        <w:t xml:space="preserve"> The relevant provision of Marsy's Law gives a victim of a crime the right ‘to full and timely restitution from the person who committed the criminal offense or delinquent act against the victim.’ Article I, Section 10a(A)(7), Ohio Constitution. The state asks us to consider the impact of Marsy's Law on our previous precedent, which limited restitution by the offense. *** Nothing in Marsy's Law changes our analysis. Marsy's Law gives the victim the right ‘to full and timely restitution from the person who committed </w:t>
      </w:r>
      <w:r>
        <w:rPr>
          <w:rStyle w:val="Emphasis"/>
        </w:rPr>
        <w:t>the criminal offense</w:t>
      </w:r>
      <w:r>
        <w:t xml:space="preserve"> or delinquent act against the victim.’ (Emphasis added.) Article I, Section 10a(A)(7), Ohio Constitution. The criminal offense committed against the </w:t>
      </w:r>
      <w:r>
        <w:lastRenderedPageBreak/>
        <w:t>victim here was a first-degree misdemeanor arson offense. Thus, the victim is entitled to full and timely restitution for economic loss of any amount equal to or less than $999.99.”</w:t>
      </w:r>
      <w:r w:rsidRPr="00091FC5">
        <w:t xml:space="preserve"> </w:t>
      </w:r>
      <w:hyperlink r:id="rId147" w:history="1">
        <w:r w:rsidRPr="002D5A3E">
          <w:rPr>
            <w:rStyle w:val="Hyperlink"/>
          </w:rPr>
          <w:t>https://www.anylaw.com/case/state-v-messer/ohio-court-of-appeals/12-04-2023/hMqWTIwBqcoRgE-I70tV</w:t>
        </w:r>
      </w:hyperlink>
      <w:r>
        <w:t xml:space="preserve"> </w:t>
      </w:r>
    </w:p>
    <w:p w14:paraId="0B99FE29" w14:textId="77777777" w:rsidR="00530943" w:rsidRDefault="00530943" w:rsidP="00530943">
      <w:pPr>
        <w:pStyle w:val="NormalWeb"/>
        <w:rPr>
          <w:b/>
          <w:bCs/>
        </w:rPr>
      </w:pPr>
      <w:r w:rsidRPr="007C3E7E">
        <w:rPr>
          <w:b/>
          <w:bCs/>
        </w:rPr>
        <w:t xml:space="preserve">Legal Lesson Learned: </w:t>
      </w:r>
      <w:r>
        <w:rPr>
          <w:b/>
          <w:bCs/>
        </w:rPr>
        <w:t xml:space="preserve">When citizens of Ohio voted to amend state Constitution to add Marsy Law giving victims a right to restitution (effective 2018), it did not change other Revised Code provision limiting restitution amount. </w:t>
      </w:r>
    </w:p>
    <w:p w14:paraId="2DB82005" w14:textId="77777777" w:rsidR="00530943" w:rsidRPr="005349CB" w:rsidRDefault="00530943" w:rsidP="00530943">
      <w:pPr>
        <w:pStyle w:val="NormalWeb"/>
        <w:ind w:left="720"/>
      </w:pPr>
      <w:r w:rsidRPr="005349CB">
        <w:t xml:space="preserve">Note: See </w:t>
      </w:r>
      <w:r>
        <w:t xml:space="preserve">Ohio </w:t>
      </w:r>
      <w:r w:rsidRPr="005349CB">
        <w:t xml:space="preserve">Marcy’s Law restitution request form. </w:t>
      </w:r>
      <w:hyperlink r:id="rId148" w:history="1">
        <w:r w:rsidRPr="002D5A3E">
          <w:rPr>
            <w:rStyle w:val="Hyperlink"/>
          </w:rPr>
          <w:t>https://www.supremecourt.ohio.gov/forms/all-forms/crime-victims-marsys-law-rights/112</w:t>
        </w:r>
      </w:hyperlink>
      <w:r>
        <w:t xml:space="preserve"> </w:t>
      </w:r>
    </w:p>
    <w:p w14:paraId="2409C660" w14:textId="77777777" w:rsidR="00801D3A" w:rsidRDefault="00801D3A" w:rsidP="00F326E5">
      <w:pPr>
        <w:pStyle w:val="NoSpacing"/>
        <w:rPr>
          <w:rFonts w:ascii="Arial Black" w:hAnsi="Arial Black"/>
          <w:sz w:val="24"/>
          <w:szCs w:val="24"/>
        </w:rPr>
      </w:pPr>
    </w:p>
    <w:p w14:paraId="024A1D4F" w14:textId="77777777" w:rsidR="00801D3A" w:rsidRDefault="00801D3A" w:rsidP="00F326E5">
      <w:pPr>
        <w:pStyle w:val="NoSpacing"/>
        <w:rPr>
          <w:rFonts w:ascii="Arial Black" w:hAnsi="Arial Black"/>
          <w:sz w:val="24"/>
          <w:szCs w:val="24"/>
        </w:rPr>
      </w:pPr>
    </w:p>
    <w:p w14:paraId="3DB1BB6B" w14:textId="77777777" w:rsidR="00801D3A" w:rsidRDefault="00801D3A" w:rsidP="00F326E5">
      <w:pPr>
        <w:pStyle w:val="NoSpacing"/>
        <w:rPr>
          <w:rFonts w:ascii="Arial Black" w:hAnsi="Arial Black"/>
          <w:sz w:val="24"/>
          <w:szCs w:val="24"/>
        </w:rPr>
      </w:pPr>
    </w:p>
    <w:p w14:paraId="64B75782" w14:textId="705310A0" w:rsidR="00C22EBB" w:rsidRDefault="00C22EBB" w:rsidP="00F326E5">
      <w:pPr>
        <w:pStyle w:val="NoSpacing"/>
        <w:rPr>
          <w:rFonts w:ascii="Arial Black" w:hAnsi="Arial Black"/>
          <w:sz w:val="24"/>
          <w:szCs w:val="24"/>
        </w:rPr>
      </w:pPr>
      <w:r>
        <w:rPr>
          <w:rFonts w:ascii="Arial Black" w:hAnsi="Arial Black"/>
          <w:sz w:val="24"/>
          <w:szCs w:val="24"/>
        </w:rPr>
        <w:t>1-139</w:t>
      </w:r>
    </w:p>
    <w:p w14:paraId="2DD8E707" w14:textId="77777777" w:rsidR="00C22EBB" w:rsidRPr="00054283" w:rsidRDefault="00C22EBB" w:rsidP="00C22EBB">
      <w:pPr>
        <w:rPr>
          <w:rFonts w:ascii="Arial Black" w:hAnsi="Arial Black"/>
          <w:b/>
          <w:bCs/>
          <w:sz w:val="28"/>
          <w:szCs w:val="28"/>
        </w:rPr>
      </w:pPr>
      <w:r w:rsidRPr="00054283">
        <w:rPr>
          <w:rFonts w:ascii="Arial Black" w:hAnsi="Arial Black"/>
          <w:b/>
          <w:bCs/>
          <w:sz w:val="28"/>
          <w:szCs w:val="28"/>
        </w:rPr>
        <w:t>CO: ARSON – 5 KILLED IN HOME – SEARCH WARRANT</w:t>
      </w:r>
      <w:r>
        <w:rPr>
          <w:rFonts w:ascii="Arial Black" w:hAnsi="Arial Black"/>
          <w:b/>
          <w:bCs/>
          <w:sz w:val="28"/>
          <w:szCs w:val="28"/>
        </w:rPr>
        <w:t>S ON GOOGLE FOR</w:t>
      </w:r>
      <w:r w:rsidRPr="00054283">
        <w:rPr>
          <w:rFonts w:ascii="Arial Black" w:hAnsi="Arial Black"/>
          <w:b/>
          <w:bCs/>
          <w:sz w:val="28"/>
          <w:szCs w:val="28"/>
        </w:rPr>
        <w:t xml:space="preserve"> </w:t>
      </w:r>
      <w:r>
        <w:rPr>
          <w:rFonts w:ascii="Arial Black" w:hAnsi="Arial Black"/>
          <w:b/>
          <w:bCs/>
          <w:sz w:val="28"/>
          <w:szCs w:val="28"/>
        </w:rPr>
        <w:t>“REVERSE KEYWORD” - LOCATED ARSONIST</w:t>
      </w:r>
    </w:p>
    <w:p w14:paraId="7523D3C7" w14:textId="77777777" w:rsidR="00C22EBB" w:rsidRDefault="00C22EBB" w:rsidP="00C22EBB">
      <w:pPr>
        <w:pStyle w:val="p0"/>
        <w:ind w:firstLine="0"/>
        <w:rPr>
          <w:rFonts w:ascii="Times New Roman" w:hAnsi="Times New Roman" w:cs="Times New Roman"/>
          <w:sz w:val="24"/>
          <w:szCs w:val="24"/>
        </w:rPr>
      </w:pPr>
      <w:r w:rsidRPr="007127BF">
        <w:rPr>
          <w:rFonts w:ascii="Times New Roman" w:hAnsi="Times New Roman" w:cs="Times New Roman"/>
          <w:sz w:val="24"/>
          <w:szCs w:val="24"/>
        </w:rPr>
        <w:t>On Oct. 16, 2023</w:t>
      </w:r>
      <w:r>
        <w:rPr>
          <w:rFonts w:ascii="Times New Roman" w:hAnsi="Times New Roman" w:cs="Times New Roman"/>
          <w:sz w:val="24"/>
          <w:szCs w:val="24"/>
        </w:rPr>
        <w:t xml:space="preserve">, in </w:t>
      </w:r>
      <w:r w:rsidRPr="00AA30F9">
        <w:rPr>
          <w:rFonts w:ascii="Times New Roman" w:hAnsi="Times New Roman" w:cs="Times New Roman"/>
          <w:sz w:val="24"/>
          <w:szCs w:val="24"/>
          <w:u w:val="single"/>
        </w:rPr>
        <w:t>The People of the State of Colorado v. Gavin Seymour</w:t>
      </w:r>
      <w:r>
        <w:rPr>
          <w:rFonts w:ascii="Times New Roman" w:hAnsi="Times New Roman" w:cs="Times New Roman"/>
          <w:sz w:val="24"/>
          <w:szCs w:val="24"/>
        </w:rPr>
        <w:t xml:space="preserve">, the Supreme Court of Colorado, upheld (5 to 2) the use of evidence obtained in the “reverse keyword” search warrant that located information on the defendant’s Google account that shows he focused on the house. The majority decision agreed with the trial judge that the search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a massive Google data bank was executed in good faith under several court-ordered search warrants, and therefore evidence was admissible at trial.  </w:t>
      </w:r>
    </w:p>
    <w:p w14:paraId="29F4C290" w14:textId="7A806A22" w:rsidR="00C22EBB" w:rsidRDefault="00C22EBB" w:rsidP="00C22EBB">
      <w:pPr>
        <w:pStyle w:val="NoSpacing"/>
        <w:rPr>
          <w:rStyle w:val="Hyperlink"/>
          <w:rFonts w:ascii="Times New Roman" w:hAnsi="Times New Roman"/>
          <w:sz w:val="24"/>
          <w:szCs w:val="24"/>
        </w:rPr>
      </w:pPr>
      <w:hyperlink r:id="rId149" w:history="1">
        <w:r w:rsidRPr="00182321">
          <w:rPr>
            <w:rStyle w:val="Hyperlink"/>
            <w:rFonts w:ascii="Times New Roman" w:hAnsi="Times New Roman"/>
            <w:sz w:val="24"/>
            <w:szCs w:val="24"/>
          </w:rPr>
          <w:t>https://www.courts.state.co.us/userfiles/file/Court_Probation/Supreme_Court/Opinions/2023/23SA12.pdf?utm_source=substack&amp;utm_medium=email</w:t>
        </w:r>
      </w:hyperlink>
    </w:p>
    <w:p w14:paraId="061DE543" w14:textId="77777777" w:rsidR="00103226" w:rsidRDefault="00103226" w:rsidP="00C22EBB">
      <w:pPr>
        <w:pStyle w:val="NoSpacing"/>
        <w:rPr>
          <w:rStyle w:val="Hyperlink"/>
          <w:rFonts w:ascii="Times New Roman" w:hAnsi="Times New Roman"/>
          <w:sz w:val="24"/>
          <w:szCs w:val="24"/>
        </w:rPr>
      </w:pPr>
    </w:p>
    <w:p w14:paraId="70A685D9" w14:textId="77777777" w:rsidR="00103226" w:rsidRDefault="00103226" w:rsidP="00103226">
      <w:pPr>
        <w:rPr>
          <w:rFonts w:ascii="Times New Roman" w:hAnsi="Times New Roman"/>
          <w:b/>
          <w:bCs/>
          <w:sz w:val="24"/>
          <w:szCs w:val="24"/>
        </w:rPr>
      </w:pPr>
      <w:r w:rsidRPr="005F01DF">
        <w:rPr>
          <w:rFonts w:ascii="Times New Roman" w:hAnsi="Times New Roman"/>
          <w:b/>
          <w:bCs/>
          <w:sz w:val="24"/>
          <w:szCs w:val="24"/>
        </w:rPr>
        <w:t xml:space="preserve">Legal Lesson Learned: </w:t>
      </w:r>
      <w:r>
        <w:rPr>
          <w:rFonts w:ascii="Times New Roman" w:hAnsi="Times New Roman"/>
          <w:b/>
          <w:bCs/>
          <w:sz w:val="24"/>
          <w:szCs w:val="24"/>
        </w:rPr>
        <w:t xml:space="preserve"> New technology leads to arrest of arsonist; evidence collected in “good faith” by law enforcement using a search warrant is admissible in evidence. </w:t>
      </w:r>
    </w:p>
    <w:p w14:paraId="13B65E1E" w14:textId="77777777" w:rsidR="004A5E38" w:rsidRPr="00B52D6C" w:rsidRDefault="004A5E38" w:rsidP="004A5E38">
      <w:pPr>
        <w:pStyle w:val="NormalWeb"/>
        <w:ind w:firstLine="720"/>
      </w:pPr>
      <w:r w:rsidRPr="00B52D6C">
        <w:t xml:space="preserve">Note: See these </w:t>
      </w:r>
      <w:r>
        <w:t xml:space="preserve">articles / TV video </w:t>
      </w:r>
      <w:r w:rsidRPr="00B52D6C">
        <w:t>about the case.</w:t>
      </w:r>
    </w:p>
    <w:p w14:paraId="56456988" w14:textId="77777777" w:rsidR="004A5E38" w:rsidRPr="00B52D6C" w:rsidRDefault="004A5E38" w:rsidP="004A5E38">
      <w:pPr>
        <w:pStyle w:val="NormalWeb"/>
        <w:ind w:left="720"/>
      </w:pPr>
      <w:r w:rsidRPr="00B52D6C">
        <w:t xml:space="preserve">Oct. 16, 2023: Google data ruled admissible in Green Valley </w:t>
      </w:r>
      <w:proofErr w:type="gramStart"/>
      <w:r w:rsidRPr="00B52D6C">
        <w:t>Ranch arson</w:t>
      </w:r>
      <w:proofErr w:type="gramEnd"/>
      <w:r w:rsidRPr="00B52D6C">
        <w:t xml:space="preserve"> case [see TV video]. </w:t>
      </w:r>
      <w:hyperlink r:id="rId150" w:history="1">
        <w:r w:rsidRPr="00B52D6C">
          <w:rPr>
            <w:rStyle w:val="Hyperlink"/>
          </w:rPr>
          <w:t>https://www.9news.com/article/news/local/denver-arson-google-data-fatal-house-fire-colorado-supreme-court-ruling/73-aca77fb3-30d9-4bac-b46c-6d4b4402af16</w:t>
        </w:r>
      </w:hyperlink>
      <w:r w:rsidRPr="00B52D6C">
        <w:t xml:space="preserve"> </w:t>
      </w:r>
    </w:p>
    <w:p w14:paraId="3FEE6EEE" w14:textId="77777777" w:rsidR="004A5E38" w:rsidRPr="00B52D6C" w:rsidRDefault="004A5E38" w:rsidP="004A5E38">
      <w:pPr>
        <w:pStyle w:val="NormalWeb"/>
        <w:ind w:left="720"/>
      </w:pPr>
      <w:r w:rsidRPr="00B52D6C">
        <w:t xml:space="preserve"> Oct. 16, 2023: Colorado Supreme Court ruled in favor of reverse-keyword search Denver Police used to track arson suspects </w:t>
      </w:r>
      <w:hyperlink r:id="rId151" w:history="1">
        <w:r w:rsidRPr="00B52D6C">
          <w:rPr>
            <w:rStyle w:val="Hyperlink"/>
          </w:rPr>
          <w:t>https://www.denver7.com/news/local-news/colorado-supreme-court-ruled-in-favor-of-reverse-keyword-search-denver-police-used-to-track-arson-suspects</w:t>
        </w:r>
      </w:hyperlink>
      <w:r w:rsidRPr="00B52D6C">
        <w:t xml:space="preserve"> </w:t>
      </w:r>
    </w:p>
    <w:p w14:paraId="0DA7925C" w14:textId="77777777" w:rsidR="00103226" w:rsidRDefault="00103226" w:rsidP="00C22EBB">
      <w:pPr>
        <w:pStyle w:val="NoSpacing"/>
        <w:rPr>
          <w:rFonts w:ascii="Arial Black" w:hAnsi="Arial Black"/>
          <w:sz w:val="24"/>
          <w:szCs w:val="24"/>
        </w:rPr>
      </w:pPr>
    </w:p>
    <w:p w14:paraId="1ABFEC2B" w14:textId="77777777" w:rsidR="00C22EBB" w:rsidRDefault="00C22EBB" w:rsidP="00F326E5">
      <w:pPr>
        <w:pStyle w:val="NoSpacing"/>
        <w:rPr>
          <w:rFonts w:ascii="Arial Black" w:hAnsi="Arial Black"/>
          <w:sz w:val="24"/>
          <w:szCs w:val="24"/>
        </w:rPr>
      </w:pPr>
    </w:p>
    <w:p w14:paraId="6A255E31" w14:textId="68A4F10A" w:rsidR="00BB49C5" w:rsidRDefault="00BB49C5" w:rsidP="00F326E5">
      <w:pPr>
        <w:pStyle w:val="NoSpacing"/>
        <w:rPr>
          <w:rFonts w:ascii="Arial Black" w:hAnsi="Arial Black"/>
          <w:sz w:val="24"/>
          <w:szCs w:val="24"/>
        </w:rPr>
      </w:pPr>
      <w:r>
        <w:rPr>
          <w:rFonts w:ascii="Arial Black" w:hAnsi="Arial Black"/>
          <w:sz w:val="24"/>
          <w:szCs w:val="24"/>
        </w:rPr>
        <w:t>1-138</w:t>
      </w:r>
    </w:p>
    <w:p w14:paraId="767D7706" w14:textId="77777777" w:rsidR="00BB49C5" w:rsidRDefault="00BB49C5" w:rsidP="00BB49C5">
      <w:pPr>
        <w:pStyle w:val="NormalWeb"/>
        <w:rPr>
          <w:rFonts w:ascii="Arial Black" w:hAnsi="Arial Black"/>
          <w:b/>
          <w:bCs/>
          <w:sz w:val="28"/>
          <w:szCs w:val="28"/>
        </w:rPr>
      </w:pPr>
      <w:r>
        <w:rPr>
          <w:rFonts w:ascii="Arial Black" w:hAnsi="Arial Black"/>
          <w:b/>
          <w:bCs/>
          <w:sz w:val="28"/>
          <w:szCs w:val="28"/>
        </w:rPr>
        <w:t>CA: ARSON – DELUSIONAL DEFENDANT – FIRE INVESTIGATOR: FORCED ENTRY “CARDINAL SIGN” ARSON</w:t>
      </w:r>
    </w:p>
    <w:p w14:paraId="464C0D60" w14:textId="77777777" w:rsidR="00BB49C5" w:rsidRDefault="00BB49C5" w:rsidP="00BB49C5">
      <w:pPr>
        <w:pStyle w:val="paragraph"/>
      </w:pPr>
      <w:r>
        <w:lastRenderedPageBreak/>
        <w:t xml:space="preserve">On Oct. 24, 2023, in </w:t>
      </w:r>
      <w:r w:rsidRPr="00A924E6">
        <w:rPr>
          <w:u w:val="single"/>
        </w:rPr>
        <w:t>The People v. Donald James Hailey</w:t>
      </w:r>
      <w:r>
        <w:t xml:space="preserve">, the California Court of Appeals, Third District, Sacramento held (3 to 0; unpublished opinion) upheld the defendant’s conviction by a jury of arson (23 years in prison).   The defendant was “delusional” – but not insane.  The Court wrote: “It was ‘either fight or flight’ in defendant's mind. Fearing there was no time to flee into the house where he was staying because he would not be able to open both the </w:t>
      </w:r>
      <w:proofErr w:type="gramStart"/>
      <w:r>
        <w:t>locked metal</w:t>
      </w:r>
      <w:proofErr w:type="gramEnd"/>
      <w:r>
        <w:t xml:space="preserve"> "crash gate" that covered the front door and the front door itself, defendant ran across the street to Sheila F.'s house. He decided to run through Sheila F.'s house because he thought the people chasing him would not follow him inside. *** Here, the record </w:t>
      </w:r>
      <w:proofErr w:type="gramStart"/>
      <w:r>
        <w:t>indicates</w:t>
      </w:r>
      <w:proofErr w:type="gramEnd"/>
      <w:r>
        <w:t xml:space="preserve"> defendant may have been delusional on New Year's Day 2020 when he committed his crimes. But the record does not suggest defendant was unable at his May 2021 trial to consult with his lawyer with a reasonable degree of rational understanding. The suggestion of a discrete delusional episode 17 months prior to trial that led to a temporary not guilty by reason of insanity plea, without more, does not amount to substantial evidence of incompetence to stand trial.” </w:t>
      </w:r>
      <w:hyperlink r:id="rId152" w:history="1">
        <w:r w:rsidRPr="0097451D">
          <w:rPr>
            <w:rStyle w:val="Hyperlink"/>
          </w:rPr>
          <w:t>https://casetext.com/case/people-v-hailey-43</w:t>
        </w:r>
      </w:hyperlink>
      <w:r>
        <w:t xml:space="preserve"> </w:t>
      </w:r>
    </w:p>
    <w:p w14:paraId="6AFE1EE9" w14:textId="77777777" w:rsidR="00BB49C5" w:rsidRPr="004E6FE0" w:rsidRDefault="00BB49C5" w:rsidP="00BB49C5">
      <w:pPr>
        <w:pStyle w:val="paragraph"/>
        <w:rPr>
          <w:b/>
          <w:bCs/>
        </w:rPr>
      </w:pPr>
      <w:r w:rsidRPr="004E6FE0">
        <w:rPr>
          <w:b/>
          <w:bCs/>
        </w:rPr>
        <w:t>Legal Lesson Learned: The fire investigator was qualified as an expert</w:t>
      </w:r>
      <w:r>
        <w:rPr>
          <w:b/>
          <w:bCs/>
        </w:rPr>
        <w:t xml:space="preserve">. </w:t>
      </w:r>
    </w:p>
    <w:p w14:paraId="31F4AFF4" w14:textId="77777777" w:rsidR="00BB49C5" w:rsidRDefault="00BB49C5" w:rsidP="00BB49C5">
      <w:pPr>
        <w:pStyle w:val="paragraph"/>
        <w:ind w:left="720"/>
      </w:pPr>
      <w:r>
        <w:t xml:space="preserve">Note: “Defendant's expert witness was a fire investigator with the Sacramento Fire Department from 1991 to 1993. He testified the cause of the fire should have </w:t>
      </w:r>
      <w:proofErr w:type="gramStart"/>
      <w:r>
        <w:t>been ‘undetermined</w:t>
      </w:r>
      <w:proofErr w:type="gramEnd"/>
      <w:r>
        <w:t>,’ because the investigation was insufficient to rule out multiple causes of the fire, and he did not believe Sheila F.'s assertion she only smoked outside her home. The defense expert explained that a smoldering item (like a cigarette) could have ignited into an open flame by drafts of air that occurred when defendant broke down Sheila F.'s front door and/or when Sheila F. opened the sliding glass door in her bedroom.”</w:t>
      </w:r>
    </w:p>
    <w:p w14:paraId="3DC62B72" w14:textId="77777777" w:rsidR="00BB49C5" w:rsidRDefault="00BB49C5" w:rsidP="00F326E5">
      <w:pPr>
        <w:pStyle w:val="NoSpacing"/>
        <w:rPr>
          <w:rFonts w:ascii="Arial Black" w:hAnsi="Arial Black"/>
          <w:sz w:val="24"/>
          <w:szCs w:val="24"/>
        </w:rPr>
      </w:pPr>
    </w:p>
    <w:p w14:paraId="0260EA87" w14:textId="77777777" w:rsidR="00BB49C5" w:rsidRDefault="00BB49C5" w:rsidP="00F326E5">
      <w:pPr>
        <w:pStyle w:val="NoSpacing"/>
        <w:rPr>
          <w:rFonts w:ascii="Arial Black" w:hAnsi="Arial Black"/>
          <w:sz w:val="24"/>
          <w:szCs w:val="24"/>
        </w:rPr>
      </w:pPr>
    </w:p>
    <w:p w14:paraId="59EEB3DE" w14:textId="77777777" w:rsidR="00BB49C5" w:rsidRDefault="00BB49C5" w:rsidP="00F326E5">
      <w:pPr>
        <w:pStyle w:val="NoSpacing"/>
        <w:rPr>
          <w:rFonts w:ascii="Arial Black" w:hAnsi="Arial Black"/>
          <w:sz w:val="24"/>
          <w:szCs w:val="24"/>
        </w:rPr>
      </w:pPr>
    </w:p>
    <w:p w14:paraId="13C066FD" w14:textId="5B11EE45" w:rsidR="0056123D" w:rsidRDefault="0056123D" w:rsidP="00F326E5">
      <w:pPr>
        <w:pStyle w:val="NoSpacing"/>
        <w:rPr>
          <w:rFonts w:ascii="Arial Black" w:hAnsi="Arial Black"/>
          <w:sz w:val="24"/>
          <w:szCs w:val="24"/>
        </w:rPr>
      </w:pPr>
      <w:r>
        <w:rPr>
          <w:rFonts w:ascii="Arial Black" w:hAnsi="Arial Black"/>
          <w:sz w:val="24"/>
          <w:szCs w:val="24"/>
        </w:rPr>
        <w:t>1-137</w:t>
      </w:r>
    </w:p>
    <w:p w14:paraId="4DED4E29" w14:textId="77777777" w:rsidR="0056123D" w:rsidRDefault="0056123D" w:rsidP="00F326E5">
      <w:pPr>
        <w:pStyle w:val="NoSpacing"/>
        <w:rPr>
          <w:rFonts w:ascii="Arial Black" w:hAnsi="Arial Black"/>
          <w:sz w:val="24"/>
          <w:szCs w:val="24"/>
        </w:rPr>
      </w:pPr>
    </w:p>
    <w:p w14:paraId="4B74343D" w14:textId="77777777" w:rsidR="0056123D" w:rsidRPr="007A2CFD" w:rsidRDefault="0056123D" w:rsidP="0056123D">
      <w:pPr>
        <w:pStyle w:val="NoSpacing"/>
        <w:rPr>
          <w:rFonts w:ascii="Arial Black" w:hAnsi="Arial Black"/>
          <w:sz w:val="28"/>
          <w:szCs w:val="28"/>
        </w:rPr>
      </w:pPr>
      <w:r>
        <w:rPr>
          <w:rFonts w:ascii="Arial Black" w:hAnsi="Arial Black"/>
          <w:sz w:val="28"/>
          <w:szCs w:val="28"/>
        </w:rPr>
        <w:t xml:space="preserve">AR: BLDG FIRE – OWNER REFUSED TALK TO ARSON INVESTIGATORS – SEARCH WARRANTS – QUAL. IMMUNITY </w:t>
      </w:r>
    </w:p>
    <w:p w14:paraId="4404D9FB" w14:textId="77777777" w:rsidR="0056123D" w:rsidRDefault="0056123D" w:rsidP="0056123D">
      <w:pPr>
        <w:pStyle w:val="NoSpacing"/>
        <w:rPr>
          <w:rFonts w:ascii="Times New Roman" w:hAnsi="Times New Roman"/>
          <w:sz w:val="24"/>
          <w:szCs w:val="24"/>
        </w:rPr>
      </w:pPr>
    </w:p>
    <w:p w14:paraId="092B5983"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29, </w:t>
      </w:r>
      <w:proofErr w:type="gramStart"/>
      <w:r>
        <w:rPr>
          <w:rFonts w:ascii="Times New Roman" w:hAnsi="Times New Roman"/>
          <w:sz w:val="24"/>
          <w:szCs w:val="24"/>
        </w:rPr>
        <w:t>2023</w:t>
      </w:r>
      <w:proofErr w:type="gramEnd"/>
      <w:r>
        <w:rPr>
          <w:rFonts w:ascii="Times New Roman" w:hAnsi="Times New Roman"/>
          <w:sz w:val="24"/>
          <w:szCs w:val="24"/>
        </w:rPr>
        <w:t xml:space="preserve"> in </w:t>
      </w:r>
      <w:r w:rsidRPr="007A2CFD">
        <w:rPr>
          <w:rFonts w:ascii="Times New Roman" w:hAnsi="Times New Roman"/>
          <w:sz w:val="24"/>
          <w:szCs w:val="24"/>
          <w:u w:val="single"/>
        </w:rPr>
        <w:t>Greg Moore and Patricia More, et al. v. Sean Garnand, Detective, Dain Salisbury, Sergeant, et al</w:t>
      </w:r>
      <w:r>
        <w:rPr>
          <w:rFonts w:ascii="Times New Roman" w:hAnsi="Times New Roman"/>
          <w:sz w:val="24"/>
          <w:szCs w:val="24"/>
        </w:rPr>
        <w:t xml:space="preserve">., the U.S. Court of Appeals for Ninth Circuit (San Francisco) held (3 to 0) that trial court judge improperly denied the City of Tucson arson investigator’s motion to dismiss until completion of pre-trial discovery.  They enjoy qualified immunity since there is no clearly established law prohibiting arson investigators from launching full investigation when person refuses to talk after June 8, </w:t>
      </w:r>
      <w:proofErr w:type="gramStart"/>
      <w:r>
        <w:rPr>
          <w:rFonts w:ascii="Times New Roman" w:hAnsi="Times New Roman"/>
          <w:sz w:val="24"/>
          <w:szCs w:val="24"/>
        </w:rPr>
        <w:t>2017</w:t>
      </w:r>
      <w:proofErr w:type="gramEnd"/>
      <w:r>
        <w:rPr>
          <w:rFonts w:ascii="Times New Roman" w:hAnsi="Times New Roman"/>
          <w:sz w:val="24"/>
          <w:szCs w:val="24"/>
        </w:rPr>
        <w:t xml:space="preserve"> arson fire in a building he owned.  Investigators met at his office, and pursuant to search warrant seized his cell phone; they took him to jail where DNA was obtained. Five days later they executed a search </w:t>
      </w:r>
      <w:proofErr w:type="gramStart"/>
      <w:r>
        <w:rPr>
          <w:rFonts w:ascii="Times New Roman" w:hAnsi="Times New Roman"/>
          <w:sz w:val="24"/>
          <w:szCs w:val="24"/>
        </w:rPr>
        <w:t>warrant</w:t>
      </w:r>
      <w:proofErr w:type="gramEnd"/>
      <w:r>
        <w:rPr>
          <w:rFonts w:ascii="Times New Roman" w:hAnsi="Times New Roman"/>
          <w:sz w:val="24"/>
          <w:szCs w:val="24"/>
        </w:rPr>
        <w:t xml:space="preserve"> his office and home, and </w:t>
      </w:r>
      <w:proofErr w:type="gramStart"/>
      <w:r>
        <w:rPr>
          <w:rFonts w:ascii="Times New Roman" w:hAnsi="Times New Roman"/>
          <w:sz w:val="24"/>
          <w:szCs w:val="24"/>
        </w:rPr>
        <w:t>opening</w:t>
      </w:r>
      <w:proofErr w:type="gramEnd"/>
      <w:r>
        <w:rPr>
          <w:rFonts w:ascii="Times New Roman" w:hAnsi="Times New Roman"/>
          <w:sz w:val="24"/>
          <w:szCs w:val="24"/>
        </w:rPr>
        <w:t xml:space="preserve"> financial fraud investigation.  He was never charged with arson or other offenses.  </w:t>
      </w:r>
    </w:p>
    <w:p w14:paraId="5F15BC92" w14:textId="77777777" w:rsidR="0056123D" w:rsidRDefault="0056123D" w:rsidP="0056123D">
      <w:pPr>
        <w:pStyle w:val="NoSpacing"/>
        <w:rPr>
          <w:rFonts w:ascii="Times New Roman" w:hAnsi="Times New Roman"/>
          <w:sz w:val="24"/>
          <w:szCs w:val="24"/>
        </w:rPr>
      </w:pPr>
    </w:p>
    <w:p w14:paraId="5FF01FE7"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r w:rsidRPr="007A2CFD">
        <w:rPr>
          <w:rFonts w:ascii="Times New Roman" w:hAnsi="Times New Roman"/>
          <w:sz w:val="24"/>
          <w:szCs w:val="24"/>
        </w:rPr>
        <w:t>We have jurisdiction over the district court’s denial of</w:t>
      </w:r>
      <w:r>
        <w:rPr>
          <w:rFonts w:ascii="Times New Roman" w:hAnsi="Times New Roman"/>
          <w:sz w:val="24"/>
          <w:szCs w:val="24"/>
        </w:rPr>
        <w:t xml:space="preserve"> </w:t>
      </w:r>
      <w:r w:rsidRPr="007A2CFD">
        <w:rPr>
          <w:rFonts w:ascii="Times New Roman" w:hAnsi="Times New Roman"/>
          <w:sz w:val="24"/>
          <w:szCs w:val="24"/>
        </w:rPr>
        <w:t>qualified immunity as to Plaintiffs’ First Amendment claims</w:t>
      </w:r>
      <w:r>
        <w:rPr>
          <w:rFonts w:ascii="Times New Roman" w:hAnsi="Times New Roman"/>
          <w:sz w:val="24"/>
          <w:szCs w:val="24"/>
        </w:rPr>
        <w:t xml:space="preserve"> </w:t>
      </w:r>
      <w:r w:rsidRPr="007A2CFD">
        <w:rPr>
          <w:rFonts w:ascii="Times New Roman" w:hAnsi="Times New Roman"/>
          <w:sz w:val="24"/>
          <w:szCs w:val="24"/>
        </w:rPr>
        <w:t>because Defendants present a purely legal issue: whether,</w:t>
      </w:r>
      <w:r>
        <w:rPr>
          <w:rFonts w:ascii="Times New Roman" w:hAnsi="Times New Roman"/>
          <w:sz w:val="24"/>
          <w:szCs w:val="24"/>
        </w:rPr>
        <w:t xml:space="preserve"> </w:t>
      </w:r>
      <w:r w:rsidRPr="007A2CFD">
        <w:rPr>
          <w:rFonts w:ascii="Times New Roman" w:hAnsi="Times New Roman"/>
          <w:sz w:val="24"/>
          <w:szCs w:val="24"/>
        </w:rPr>
        <w:t>taking as true Plaintiffs’ version of the facts, it was clearly</w:t>
      </w:r>
      <w:r>
        <w:rPr>
          <w:rFonts w:ascii="Times New Roman" w:hAnsi="Times New Roman"/>
          <w:sz w:val="24"/>
          <w:szCs w:val="24"/>
        </w:rPr>
        <w:t xml:space="preserve"> </w:t>
      </w:r>
      <w:r w:rsidRPr="007A2CFD">
        <w:rPr>
          <w:rFonts w:ascii="Times New Roman" w:hAnsi="Times New Roman"/>
          <w:sz w:val="24"/>
          <w:szCs w:val="24"/>
        </w:rPr>
        <w:t>established that Defendants’ conduct violated Plaintiffs’</w:t>
      </w:r>
      <w:r>
        <w:rPr>
          <w:rFonts w:ascii="Times New Roman" w:hAnsi="Times New Roman"/>
          <w:sz w:val="24"/>
          <w:szCs w:val="24"/>
        </w:rPr>
        <w:t xml:space="preserve"> </w:t>
      </w:r>
      <w:r w:rsidRPr="007A2CFD">
        <w:rPr>
          <w:rFonts w:ascii="Times New Roman" w:hAnsi="Times New Roman"/>
          <w:sz w:val="24"/>
          <w:szCs w:val="24"/>
        </w:rPr>
        <w:t>First Amendment rights. Plaintiffs fail to show that</w:t>
      </w:r>
      <w:r>
        <w:rPr>
          <w:rFonts w:ascii="Times New Roman" w:hAnsi="Times New Roman"/>
          <w:sz w:val="24"/>
          <w:szCs w:val="24"/>
        </w:rPr>
        <w:t xml:space="preserve"> </w:t>
      </w:r>
      <w:r w:rsidRPr="007A2CFD">
        <w:rPr>
          <w:rFonts w:ascii="Times New Roman" w:hAnsi="Times New Roman"/>
          <w:sz w:val="24"/>
          <w:szCs w:val="24"/>
        </w:rPr>
        <w:t>Defendants’ conduct violated clearly established law. Thus,</w:t>
      </w:r>
      <w:r>
        <w:rPr>
          <w:rFonts w:ascii="Times New Roman" w:hAnsi="Times New Roman"/>
          <w:sz w:val="24"/>
          <w:szCs w:val="24"/>
        </w:rPr>
        <w:t xml:space="preserve"> </w:t>
      </w:r>
      <w:r w:rsidRPr="007A2CFD">
        <w:rPr>
          <w:rFonts w:ascii="Times New Roman" w:hAnsi="Times New Roman"/>
          <w:sz w:val="24"/>
          <w:szCs w:val="24"/>
        </w:rPr>
        <w:t>Defendants are entitled to qualified immunity on the First</w:t>
      </w:r>
      <w:r>
        <w:rPr>
          <w:rFonts w:ascii="Times New Roman" w:hAnsi="Times New Roman"/>
          <w:sz w:val="24"/>
          <w:szCs w:val="24"/>
        </w:rPr>
        <w:t xml:space="preserve"> </w:t>
      </w:r>
      <w:r w:rsidRPr="007A2CFD">
        <w:rPr>
          <w:rFonts w:ascii="Times New Roman" w:hAnsi="Times New Roman"/>
          <w:sz w:val="24"/>
          <w:szCs w:val="24"/>
        </w:rPr>
        <w:t>Amendment claims, and we reverse the district court’s denial of summary judgment as to the First Amendment</w:t>
      </w:r>
      <w:r>
        <w:rPr>
          <w:rFonts w:ascii="Times New Roman" w:hAnsi="Times New Roman"/>
          <w:sz w:val="24"/>
          <w:szCs w:val="24"/>
        </w:rPr>
        <w:t xml:space="preserve"> </w:t>
      </w:r>
      <w:r w:rsidRPr="007A2CFD">
        <w:rPr>
          <w:rFonts w:ascii="Times New Roman" w:hAnsi="Times New Roman"/>
          <w:sz w:val="24"/>
          <w:szCs w:val="24"/>
        </w:rPr>
        <w:t>claims</w:t>
      </w:r>
      <w:r>
        <w:rPr>
          <w:rFonts w:ascii="Times New Roman" w:hAnsi="Times New Roman"/>
          <w:sz w:val="24"/>
          <w:szCs w:val="24"/>
        </w:rPr>
        <w:t>.</w:t>
      </w:r>
    </w:p>
    <w:p w14:paraId="1A04CC38" w14:textId="77777777" w:rsidR="0056123D" w:rsidRDefault="0056123D" w:rsidP="0056123D">
      <w:pPr>
        <w:pStyle w:val="NoSpacing"/>
        <w:ind w:left="720"/>
        <w:rPr>
          <w:rFonts w:ascii="Times New Roman" w:hAnsi="Times New Roman"/>
          <w:sz w:val="24"/>
          <w:szCs w:val="24"/>
        </w:rPr>
      </w:pPr>
    </w:p>
    <w:p w14:paraId="451B3804"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4040C9B8" w14:textId="77777777" w:rsidR="0056123D" w:rsidRPr="005E396A" w:rsidRDefault="0056123D" w:rsidP="0056123D">
      <w:pPr>
        <w:pStyle w:val="NoSpacing"/>
        <w:ind w:left="720"/>
        <w:rPr>
          <w:rFonts w:ascii="Times New Roman" w:hAnsi="Times New Roman"/>
          <w:sz w:val="24"/>
          <w:szCs w:val="24"/>
        </w:rPr>
      </w:pPr>
      <w:r w:rsidRPr="005E396A">
        <w:rPr>
          <w:rFonts w:ascii="Times New Roman" w:hAnsi="Times New Roman"/>
          <w:sz w:val="24"/>
          <w:szCs w:val="24"/>
        </w:rPr>
        <w:t>We</w:t>
      </w:r>
      <w:r>
        <w:rPr>
          <w:rFonts w:ascii="Times New Roman" w:hAnsi="Times New Roman"/>
          <w:sz w:val="24"/>
          <w:szCs w:val="24"/>
        </w:rPr>
        <w:t xml:space="preserve"> </w:t>
      </w:r>
      <w:r w:rsidRPr="005E396A">
        <w:rPr>
          <w:rFonts w:ascii="Times New Roman" w:hAnsi="Times New Roman"/>
          <w:sz w:val="24"/>
          <w:szCs w:val="24"/>
        </w:rPr>
        <w:t xml:space="preserve">reasoned that jurisdiction was proper </w:t>
      </w:r>
      <w:proofErr w:type="gramStart"/>
      <w:r w:rsidRPr="005E396A">
        <w:rPr>
          <w:rFonts w:ascii="Times New Roman" w:hAnsi="Times New Roman"/>
          <w:sz w:val="24"/>
          <w:szCs w:val="24"/>
        </w:rPr>
        <w:t xml:space="preserve">because </w:t>
      </w:r>
      <w:r>
        <w:rPr>
          <w:rFonts w:ascii="Times New Roman" w:hAnsi="Times New Roman"/>
          <w:sz w:val="24"/>
          <w:szCs w:val="24"/>
        </w:rPr>
        <w:t>‘</w:t>
      </w:r>
      <w:r w:rsidRPr="005E396A">
        <w:rPr>
          <w:rFonts w:ascii="Times New Roman" w:hAnsi="Times New Roman"/>
          <w:sz w:val="24"/>
          <w:szCs w:val="24"/>
        </w:rPr>
        <w:t>[</w:t>
      </w:r>
      <w:proofErr w:type="gramEnd"/>
      <w:r w:rsidRPr="005E396A">
        <w:rPr>
          <w:rFonts w:ascii="Times New Roman" w:hAnsi="Times New Roman"/>
          <w:sz w:val="24"/>
          <w:szCs w:val="24"/>
        </w:rPr>
        <w:t>f]</w:t>
      </w:r>
      <w:proofErr w:type="spellStart"/>
      <w:r w:rsidRPr="005E396A">
        <w:rPr>
          <w:rFonts w:ascii="Times New Roman" w:hAnsi="Times New Roman"/>
          <w:sz w:val="24"/>
          <w:szCs w:val="24"/>
        </w:rPr>
        <w:t>orcing</w:t>
      </w:r>
      <w:proofErr w:type="spellEnd"/>
      <w:r w:rsidRPr="005E396A">
        <w:rPr>
          <w:rFonts w:ascii="Times New Roman" w:hAnsi="Times New Roman"/>
          <w:sz w:val="24"/>
          <w:szCs w:val="24"/>
        </w:rPr>
        <w:t xml:space="preserve"> the</w:t>
      </w:r>
      <w:r>
        <w:rPr>
          <w:rFonts w:ascii="Times New Roman" w:hAnsi="Times New Roman"/>
          <w:sz w:val="24"/>
          <w:szCs w:val="24"/>
        </w:rPr>
        <w:t xml:space="preserve"> </w:t>
      </w:r>
      <w:r w:rsidRPr="005E396A">
        <w:rPr>
          <w:rFonts w:ascii="Times New Roman" w:hAnsi="Times New Roman"/>
          <w:sz w:val="24"/>
          <w:szCs w:val="24"/>
        </w:rPr>
        <w:t>defendant officers to undergo discovery, without the</w:t>
      </w:r>
      <w:r>
        <w:rPr>
          <w:rFonts w:ascii="Times New Roman" w:hAnsi="Times New Roman"/>
          <w:sz w:val="24"/>
          <w:szCs w:val="24"/>
        </w:rPr>
        <w:t xml:space="preserve"> </w:t>
      </w:r>
      <w:r w:rsidRPr="005E396A">
        <w:rPr>
          <w:rFonts w:ascii="Times New Roman" w:hAnsi="Times New Roman"/>
          <w:sz w:val="24"/>
          <w:szCs w:val="24"/>
        </w:rPr>
        <w:t>immunity to the burdens of discovery the officers might</w:t>
      </w:r>
    </w:p>
    <w:p w14:paraId="57ED737C" w14:textId="4F322874" w:rsidR="0056123D" w:rsidRDefault="0056123D" w:rsidP="0056123D">
      <w:pPr>
        <w:pStyle w:val="NoSpacing"/>
        <w:ind w:left="720"/>
        <w:rPr>
          <w:rFonts w:ascii="Arial Black" w:hAnsi="Arial Black"/>
          <w:sz w:val="24"/>
          <w:szCs w:val="24"/>
        </w:rPr>
      </w:pPr>
      <w:r w:rsidRPr="005E396A">
        <w:rPr>
          <w:rFonts w:ascii="Times New Roman" w:hAnsi="Times New Roman"/>
          <w:sz w:val="24"/>
          <w:szCs w:val="24"/>
        </w:rPr>
        <w:lastRenderedPageBreak/>
        <w:t>possess.</w:t>
      </w:r>
      <w:r>
        <w:rPr>
          <w:rFonts w:ascii="Times New Roman" w:hAnsi="Times New Roman"/>
          <w:sz w:val="24"/>
          <w:szCs w:val="24"/>
        </w:rPr>
        <w:t>’</w:t>
      </w:r>
      <w:r w:rsidRPr="005E396A">
        <w:rPr>
          <w:rFonts w:ascii="Times New Roman" w:hAnsi="Times New Roman"/>
          <w:sz w:val="24"/>
          <w:szCs w:val="24"/>
        </w:rPr>
        <w:t xml:space="preserve"> Id.; see also Behrens v. Pelletier, 516 U.S. 299,</w:t>
      </w:r>
      <w:r>
        <w:rPr>
          <w:rFonts w:ascii="Times New Roman" w:hAnsi="Times New Roman"/>
          <w:sz w:val="24"/>
          <w:szCs w:val="24"/>
        </w:rPr>
        <w:t xml:space="preserve"> </w:t>
      </w:r>
      <w:r w:rsidRPr="005E396A">
        <w:rPr>
          <w:rFonts w:ascii="Times New Roman" w:hAnsi="Times New Roman"/>
          <w:sz w:val="24"/>
          <w:szCs w:val="24"/>
        </w:rPr>
        <w:t>308 (1996) (holding that qualified immunity gives</w:t>
      </w:r>
      <w:r>
        <w:rPr>
          <w:rFonts w:ascii="Times New Roman" w:hAnsi="Times New Roman"/>
          <w:sz w:val="24"/>
          <w:szCs w:val="24"/>
        </w:rPr>
        <w:t xml:space="preserve"> </w:t>
      </w:r>
      <w:r w:rsidRPr="005E396A">
        <w:rPr>
          <w:rFonts w:ascii="Times New Roman" w:hAnsi="Times New Roman"/>
          <w:sz w:val="24"/>
          <w:szCs w:val="24"/>
        </w:rPr>
        <w:t>government officials a right “not merely to avoid standing</w:t>
      </w:r>
      <w:r>
        <w:rPr>
          <w:rFonts w:ascii="Times New Roman" w:hAnsi="Times New Roman"/>
          <w:sz w:val="24"/>
          <w:szCs w:val="24"/>
        </w:rPr>
        <w:t xml:space="preserve"> </w:t>
      </w:r>
      <w:r w:rsidRPr="005E396A">
        <w:rPr>
          <w:rFonts w:ascii="Times New Roman" w:hAnsi="Times New Roman"/>
          <w:sz w:val="24"/>
          <w:szCs w:val="24"/>
        </w:rPr>
        <w:t>trial, but also to avoid the burdens of such pretrial matters as</w:t>
      </w:r>
      <w:r>
        <w:rPr>
          <w:rFonts w:ascii="Times New Roman" w:hAnsi="Times New Roman"/>
          <w:sz w:val="24"/>
          <w:szCs w:val="24"/>
        </w:rPr>
        <w:t xml:space="preserve"> </w:t>
      </w:r>
      <w:r w:rsidRPr="005E396A">
        <w:rPr>
          <w:rFonts w:ascii="Times New Roman" w:hAnsi="Times New Roman"/>
          <w:sz w:val="24"/>
          <w:szCs w:val="24"/>
        </w:rPr>
        <w:t>discovery” (internal quotation marks and emphasis omitted)</w:t>
      </w:r>
      <w:r>
        <w:rPr>
          <w:rFonts w:ascii="Times New Roman" w:hAnsi="Times New Roman"/>
          <w:sz w:val="24"/>
          <w:szCs w:val="24"/>
        </w:rPr>
        <w:t xml:space="preserve"> </w:t>
      </w:r>
      <w:r w:rsidRPr="005E396A">
        <w:rPr>
          <w:rFonts w:ascii="Times New Roman" w:hAnsi="Times New Roman"/>
          <w:sz w:val="24"/>
          <w:szCs w:val="24"/>
        </w:rPr>
        <w:t>(quoting Mitchell v. Forsyth, 472 U.S. 511, 526 (1985)));</w:t>
      </w:r>
      <w:r>
        <w:rPr>
          <w:rFonts w:ascii="Times New Roman" w:hAnsi="Times New Roman"/>
          <w:sz w:val="24"/>
          <w:szCs w:val="24"/>
        </w:rPr>
        <w:t xml:space="preserve"> </w:t>
      </w:r>
      <w:r w:rsidRPr="005E396A">
        <w:rPr>
          <w:rFonts w:ascii="Times New Roman" w:hAnsi="Times New Roman"/>
          <w:sz w:val="24"/>
          <w:szCs w:val="24"/>
        </w:rPr>
        <w:t>Moss v. U.S. Secret Serv., 572 F.3d 962, 973 (9th Cir. 2009)</w:t>
      </w:r>
      <w:r>
        <w:rPr>
          <w:rFonts w:ascii="Times New Roman" w:hAnsi="Times New Roman"/>
          <w:sz w:val="24"/>
          <w:szCs w:val="24"/>
        </w:rPr>
        <w:t xml:space="preserve">. </w:t>
      </w:r>
      <w:proofErr w:type="gramStart"/>
      <w:r w:rsidRPr="005E396A">
        <w:rPr>
          <w:rFonts w:ascii="Times New Roman" w:hAnsi="Times New Roman"/>
          <w:sz w:val="24"/>
          <w:szCs w:val="24"/>
        </w:rPr>
        <w:t>(</w:t>
      </w:r>
      <w:r>
        <w:rPr>
          <w:rFonts w:ascii="Times New Roman" w:hAnsi="Times New Roman"/>
          <w:sz w:val="24"/>
          <w:szCs w:val="24"/>
        </w:rPr>
        <w:t>‘</w:t>
      </w:r>
      <w:r w:rsidRPr="005E396A">
        <w:rPr>
          <w:rFonts w:ascii="Times New Roman" w:hAnsi="Times New Roman"/>
          <w:sz w:val="24"/>
          <w:szCs w:val="24"/>
        </w:rPr>
        <w:t>[</w:t>
      </w:r>
      <w:proofErr w:type="gramEnd"/>
      <w:r w:rsidRPr="005E396A">
        <w:rPr>
          <w:rFonts w:ascii="Times New Roman" w:hAnsi="Times New Roman"/>
          <w:sz w:val="24"/>
          <w:szCs w:val="24"/>
        </w:rPr>
        <w:t>A]</w:t>
      </w:r>
      <w:proofErr w:type="gramStart"/>
      <w:r w:rsidRPr="005E396A">
        <w:rPr>
          <w:rFonts w:ascii="Times New Roman" w:hAnsi="Times New Roman"/>
          <w:sz w:val="24"/>
          <w:szCs w:val="24"/>
        </w:rPr>
        <w:t>n order</w:t>
      </w:r>
      <w:proofErr w:type="gramEnd"/>
      <w:r w:rsidRPr="005E396A">
        <w:rPr>
          <w:rFonts w:ascii="Times New Roman" w:hAnsi="Times New Roman"/>
          <w:sz w:val="24"/>
          <w:szCs w:val="24"/>
        </w:rPr>
        <w:t xml:space="preserve"> clearing the way for burdensome pre-trial</w:t>
      </w:r>
      <w:r>
        <w:rPr>
          <w:rFonts w:ascii="Times New Roman" w:hAnsi="Times New Roman"/>
          <w:sz w:val="24"/>
          <w:szCs w:val="24"/>
        </w:rPr>
        <w:t xml:space="preserve"> </w:t>
      </w:r>
      <w:r w:rsidRPr="005E396A">
        <w:rPr>
          <w:rFonts w:ascii="Times New Roman" w:hAnsi="Times New Roman"/>
          <w:sz w:val="24"/>
          <w:szCs w:val="24"/>
        </w:rPr>
        <w:t>discovery obligations renders the denial of immunity</w:t>
      </w:r>
      <w:r>
        <w:rPr>
          <w:rFonts w:ascii="Times New Roman" w:hAnsi="Times New Roman"/>
          <w:sz w:val="24"/>
          <w:szCs w:val="24"/>
        </w:rPr>
        <w:t xml:space="preserve"> </w:t>
      </w:r>
      <w:r w:rsidRPr="005E396A">
        <w:rPr>
          <w:rFonts w:ascii="Times New Roman" w:hAnsi="Times New Roman"/>
          <w:sz w:val="24"/>
          <w:szCs w:val="24"/>
        </w:rPr>
        <w:t>effectively unreviewable on appeal from final judgment—</w:t>
      </w:r>
      <w:r>
        <w:rPr>
          <w:rFonts w:ascii="Times New Roman" w:hAnsi="Times New Roman"/>
          <w:sz w:val="24"/>
          <w:szCs w:val="24"/>
        </w:rPr>
        <w:t xml:space="preserve"> </w:t>
      </w:r>
      <w:r w:rsidRPr="005E396A">
        <w:rPr>
          <w:rFonts w:ascii="Times New Roman" w:hAnsi="Times New Roman"/>
          <w:sz w:val="24"/>
          <w:szCs w:val="24"/>
        </w:rPr>
        <w:t>immunity from suit is of no use at that late stage.</w:t>
      </w:r>
      <w:r>
        <w:rPr>
          <w:rFonts w:ascii="Times New Roman" w:hAnsi="Times New Roman"/>
          <w:sz w:val="24"/>
          <w:szCs w:val="24"/>
        </w:rPr>
        <w:t>’</w:t>
      </w:r>
      <w:proofErr w:type="gramStart"/>
      <w:r w:rsidRPr="005E396A">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w:t>
      </w:r>
      <w:hyperlink r:id="rId153" w:history="1">
        <w:r w:rsidRPr="00537EB6">
          <w:rPr>
            <w:rStyle w:val="Hyperlink"/>
            <w:rFonts w:ascii="Times New Roman" w:hAnsi="Times New Roman"/>
            <w:sz w:val="24"/>
            <w:szCs w:val="24"/>
          </w:rPr>
          <w:t>https://cases.justia.com/federal/appellate-courts/ca9/22-16236/22-16236-2023-09-29.pdf?ts=1696005037</w:t>
        </w:r>
      </w:hyperlink>
    </w:p>
    <w:p w14:paraId="27FC9D33" w14:textId="77777777" w:rsidR="0056123D" w:rsidRDefault="0056123D" w:rsidP="00F326E5">
      <w:pPr>
        <w:pStyle w:val="NoSpacing"/>
        <w:rPr>
          <w:rFonts w:ascii="Arial Black" w:hAnsi="Arial Black"/>
          <w:sz w:val="24"/>
          <w:szCs w:val="24"/>
        </w:rPr>
      </w:pPr>
    </w:p>
    <w:p w14:paraId="09AD3F0C" w14:textId="77777777" w:rsidR="0056123D" w:rsidRDefault="0056123D" w:rsidP="0056123D">
      <w:pPr>
        <w:pStyle w:val="NoSpacing"/>
        <w:rPr>
          <w:rFonts w:ascii="Times New Roman" w:hAnsi="Times New Roman"/>
          <w:sz w:val="24"/>
          <w:szCs w:val="24"/>
        </w:rPr>
      </w:pPr>
      <w:r w:rsidRPr="005E396A">
        <w:rPr>
          <w:rFonts w:ascii="Times New Roman" w:hAnsi="Times New Roman"/>
          <w:b/>
          <w:bCs/>
          <w:sz w:val="24"/>
          <w:szCs w:val="24"/>
        </w:rPr>
        <w:t xml:space="preserve">Legal Lesson Learned: </w:t>
      </w:r>
      <w:r>
        <w:rPr>
          <w:rFonts w:ascii="Times New Roman" w:hAnsi="Times New Roman"/>
          <w:b/>
          <w:bCs/>
          <w:sz w:val="24"/>
          <w:szCs w:val="24"/>
        </w:rPr>
        <w:t xml:space="preserve">The law provides qualified immunity for investigators who aggressively investigate; trial court should delay granting investigators’ motion to dismiss while pre-trial discovery proceeds. </w:t>
      </w:r>
    </w:p>
    <w:p w14:paraId="56586F92" w14:textId="77777777" w:rsidR="0056123D" w:rsidRPr="00B931CF" w:rsidRDefault="0056123D" w:rsidP="0056123D">
      <w:pPr>
        <w:pStyle w:val="NoSpacing"/>
        <w:rPr>
          <w:rFonts w:ascii="Times New Roman" w:hAnsi="Times New Roman"/>
          <w:sz w:val="24"/>
          <w:szCs w:val="24"/>
        </w:rPr>
      </w:pPr>
    </w:p>
    <w:p w14:paraId="14233318" w14:textId="77777777" w:rsidR="0056123D" w:rsidRDefault="0056123D" w:rsidP="00F326E5">
      <w:pPr>
        <w:pStyle w:val="NoSpacing"/>
        <w:rPr>
          <w:rFonts w:ascii="Arial Black" w:hAnsi="Arial Black"/>
          <w:sz w:val="24"/>
          <w:szCs w:val="24"/>
        </w:rPr>
      </w:pPr>
    </w:p>
    <w:p w14:paraId="362464BB" w14:textId="77777777" w:rsidR="0056123D" w:rsidRDefault="0056123D" w:rsidP="00F326E5">
      <w:pPr>
        <w:pStyle w:val="NoSpacing"/>
        <w:rPr>
          <w:rFonts w:ascii="Arial Black" w:hAnsi="Arial Black"/>
          <w:sz w:val="24"/>
          <w:szCs w:val="24"/>
        </w:rPr>
      </w:pPr>
    </w:p>
    <w:p w14:paraId="7F98CB55" w14:textId="256BDDB0" w:rsidR="0056123D" w:rsidRDefault="0056123D" w:rsidP="00F326E5">
      <w:pPr>
        <w:pStyle w:val="NoSpacing"/>
        <w:rPr>
          <w:rFonts w:ascii="Arial Black" w:hAnsi="Arial Black"/>
          <w:sz w:val="24"/>
          <w:szCs w:val="24"/>
        </w:rPr>
      </w:pPr>
      <w:r>
        <w:rPr>
          <w:rFonts w:ascii="Arial Black" w:hAnsi="Arial Black"/>
          <w:sz w:val="24"/>
          <w:szCs w:val="24"/>
        </w:rPr>
        <w:t>1-336</w:t>
      </w:r>
    </w:p>
    <w:p w14:paraId="16068A4A" w14:textId="77777777" w:rsidR="0056123D" w:rsidRPr="00903B6A" w:rsidRDefault="0056123D" w:rsidP="0056123D">
      <w:pPr>
        <w:pStyle w:val="NormalWeb"/>
        <w:rPr>
          <w:rFonts w:ascii="Arial Black" w:hAnsi="Arial Black"/>
          <w:b/>
          <w:bCs/>
          <w:sz w:val="28"/>
          <w:szCs w:val="28"/>
        </w:rPr>
      </w:pPr>
      <w:r>
        <w:rPr>
          <w:rFonts w:ascii="Arial Black" w:hAnsi="Arial Black"/>
          <w:b/>
          <w:bCs/>
          <w:sz w:val="28"/>
          <w:szCs w:val="28"/>
        </w:rPr>
        <w:t xml:space="preserve">CA: ARSON - NO DEFENSE HE STARTED FIRE TO CLEAR TICKS IN PARK – WILLFULL / MALICE PRESUMED </w:t>
      </w:r>
    </w:p>
    <w:p w14:paraId="13F3F3C8" w14:textId="77777777" w:rsidR="0056123D" w:rsidRDefault="0056123D" w:rsidP="0056123D">
      <w:pPr>
        <w:pStyle w:val="NormalWeb"/>
      </w:pPr>
      <w:r>
        <w:t xml:space="preserve">On Sept. 25, 2023, in </w:t>
      </w:r>
      <w:r w:rsidRPr="00040F47">
        <w:rPr>
          <w:u w:val="single"/>
        </w:rPr>
        <w:t>The People v. Souriya Danny Vongchanh</w:t>
      </w:r>
      <w:r>
        <w:t xml:space="preserve">, the California Court of Appeals, Third District, held (3 to 0; unpublished decision) that jury properly found him guilty of arson, and trial court judge properly imposed the added five years, for a total of 13 years in prison since second arson conviction in three years. </w:t>
      </w:r>
    </w:p>
    <w:p w14:paraId="10DBEA4B" w14:textId="77777777" w:rsidR="0056123D" w:rsidRDefault="0056123D" w:rsidP="0056123D">
      <w:pPr>
        <w:pStyle w:val="NormalWeb"/>
        <w:ind w:left="720"/>
      </w:pPr>
      <w:r>
        <w:t>“Defendant's arson conviction is based on the first fire he set on the levee between the park and the tennis courts. Defendant contends there is insufficient evidence that he acted intentionally and maliciously in setting the fire.</w:t>
      </w:r>
    </w:p>
    <w:p w14:paraId="5FB80048" w14:textId="77777777" w:rsidR="0056123D" w:rsidRPr="00A56E59" w:rsidRDefault="0056123D" w:rsidP="0056123D">
      <w:pPr>
        <w:pStyle w:val="NormalWeb"/>
        <w:ind w:left="720"/>
      </w:pPr>
      <w:r w:rsidRPr="00A56E59">
        <w:t>Section 451's requirement that the act be done willfully and maliciously ensures that the fire was deliberate and intentional rather than accidental or unintentional</w:t>
      </w:r>
      <w:r>
        <w:t xml:space="preserve">…. </w:t>
      </w:r>
      <w:r w:rsidRPr="00A56E59">
        <w:t>Due to the dangerous nature of such conduct, a general criminal intent to commit the act suffices to establish the requisite mental state</w:t>
      </w:r>
      <w:r>
        <w:t xml:space="preserve">…. </w:t>
      </w:r>
      <w:r w:rsidRPr="00A56E59">
        <w:t xml:space="preserve"> </w:t>
      </w:r>
    </w:p>
    <w:p w14:paraId="30EFBD79" w14:textId="77777777" w:rsidR="0056123D" w:rsidRDefault="0056123D" w:rsidP="0056123D">
      <w:pPr>
        <w:spacing w:before="100" w:beforeAutospacing="1" w:after="100" w:afterAutospacing="1" w:line="240" w:lineRule="auto"/>
        <w:ind w:left="720"/>
        <w:rPr>
          <w:rFonts w:ascii="Times New Roman" w:eastAsia="Times New Roman" w:hAnsi="Times New Roman"/>
          <w:sz w:val="24"/>
          <w:szCs w:val="24"/>
        </w:rPr>
      </w:pPr>
      <w:proofErr w:type="gramStart"/>
      <w:r w:rsidRPr="00A56E59">
        <w:rPr>
          <w:rFonts w:ascii="Times New Roman" w:eastAsia="Times New Roman" w:hAnsi="Times New Roman"/>
          <w:sz w:val="24"/>
          <w:szCs w:val="24"/>
        </w:rPr>
        <w:t>Defendant's</w:t>
      </w:r>
      <w:proofErr w:type="gramEnd"/>
      <w:r w:rsidRPr="00A56E59">
        <w:rPr>
          <w:rFonts w:ascii="Times New Roman" w:eastAsia="Times New Roman" w:hAnsi="Times New Roman"/>
          <w:sz w:val="24"/>
          <w:szCs w:val="24"/>
        </w:rPr>
        <w:t xml:space="preserve"> conduct satisfies this standard. He admitted lighting the fire to clear the white grass and rid the area of ticks or leeches. His act was intentional and was done without legal justification, therefore maliciousness is presumed or implied.</w:t>
      </w:r>
    </w:p>
    <w:p w14:paraId="78449356" w14:textId="77777777" w:rsidR="0056123D" w:rsidRDefault="0056123D" w:rsidP="0056123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79D535E9" w14:textId="77777777" w:rsidR="0056123D" w:rsidRDefault="0056123D" w:rsidP="0056123D">
      <w:pPr>
        <w:pStyle w:val="NormalWeb"/>
        <w:ind w:left="720"/>
      </w:pPr>
      <w:r>
        <w:t>The trial court declined to strike the enhancement, finding that dismissal of the enhancement would endanger public safety. (§ 1385, subd. (c)(2).) The trial court stated: ‘I've considered the prior offense and current offense both involve setting fires unlawfully</w:t>
      </w:r>
      <w:proofErr w:type="gramStart"/>
      <w:r>
        <w:t>.</w:t>
      </w:r>
      <w:proofErr w:type="gramEnd"/>
      <w:r>
        <w:t xml:space="preserve"> Here the fire was set near the downtown Oroville area, near residences, and in a park area where the potential for danger, of which all of us in Butte County are acutely aware, is extremely high. And </w:t>
      </w:r>
      <w:proofErr w:type="gramStart"/>
      <w:r>
        <w:t>so</w:t>
      </w:r>
      <w:proofErr w:type="gramEnd"/>
      <w:r>
        <w:t xml:space="preserve"> I am finding that it would be a danger to public safety to strike that [section] 667 [subdivision] (a)(1) enhancement, and I'll decline to strike the enhancement under that section.’ </w:t>
      </w:r>
    </w:p>
    <w:p w14:paraId="1BDA1745" w14:textId="03822C9A" w:rsidR="0056123D" w:rsidRDefault="0056123D" w:rsidP="0056123D">
      <w:pPr>
        <w:pStyle w:val="NoSpacing"/>
        <w:ind w:left="720"/>
        <w:rPr>
          <w:rStyle w:val="Hyperlink"/>
          <w:rFonts w:ascii="Times New Roman" w:hAnsi="Times New Roman"/>
          <w:sz w:val="24"/>
          <w:szCs w:val="24"/>
        </w:rPr>
      </w:pPr>
      <w:r w:rsidRPr="00A56E59">
        <w:rPr>
          <w:rFonts w:ascii="Times New Roman" w:hAnsi="Times New Roman"/>
          <w:sz w:val="24"/>
          <w:szCs w:val="24"/>
        </w:rPr>
        <w:t xml:space="preserve">Contrary to defendant's argument, this was not an abuse of discretion, given that defendant was twice convicted of arson within a span of three years and the current arson offense was committed near a residential neighborhood.” </w:t>
      </w:r>
      <w:hyperlink r:id="rId154" w:history="1">
        <w:r w:rsidRPr="00A56E59">
          <w:rPr>
            <w:rStyle w:val="Hyperlink"/>
            <w:rFonts w:ascii="Times New Roman" w:hAnsi="Times New Roman"/>
            <w:sz w:val="24"/>
            <w:szCs w:val="24"/>
          </w:rPr>
          <w:t>https://public.fastcase.com/ppbqSQpNDaJE%2F8PlIk0b8ECWv6%2F0KW8eOOGtTNlYs%2F2eCExN%2BikZLxSyxw9X8iC%2F</w:t>
        </w:r>
      </w:hyperlink>
    </w:p>
    <w:p w14:paraId="2F9B5452" w14:textId="77777777" w:rsidR="0056123D" w:rsidRDefault="0056123D" w:rsidP="0056123D">
      <w:pPr>
        <w:pStyle w:val="NoSpacing"/>
        <w:ind w:left="720"/>
        <w:rPr>
          <w:rStyle w:val="Hyperlink"/>
          <w:rFonts w:ascii="Times New Roman" w:hAnsi="Times New Roman"/>
          <w:sz w:val="24"/>
          <w:szCs w:val="24"/>
        </w:rPr>
      </w:pPr>
    </w:p>
    <w:p w14:paraId="2FD97576" w14:textId="77777777" w:rsidR="0056123D" w:rsidRPr="00877A2C" w:rsidRDefault="0056123D" w:rsidP="0056123D">
      <w:pPr>
        <w:pStyle w:val="NormalWeb"/>
        <w:rPr>
          <w:b/>
          <w:bCs/>
        </w:rPr>
      </w:pPr>
      <w:r w:rsidRPr="00BD4B28">
        <w:rPr>
          <w:b/>
          <w:bCs/>
        </w:rPr>
        <w:t>Legal Lesson Learned</w:t>
      </w:r>
      <w:r w:rsidRPr="00877A2C">
        <w:rPr>
          <w:b/>
          <w:bCs/>
        </w:rPr>
        <w:t xml:space="preserve">: </w:t>
      </w:r>
      <w:r>
        <w:rPr>
          <w:b/>
          <w:bCs/>
        </w:rPr>
        <w:t xml:space="preserve">Intentionally setting a fire in a park is intentionally doing an act without justification, and “malice” is presumed. </w:t>
      </w:r>
    </w:p>
    <w:p w14:paraId="65891EA7" w14:textId="77777777" w:rsidR="0056123D" w:rsidRDefault="0056123D" w:rsidP="0056123D">
      <w:pPr>
        <w:pStyle w:val="NoSpacing"/>
        <w:ind w:left="720"/>
        <w:rPr>
          <w:rFonts w:ascii="Arial Black" w:hAnsi="Arial Black"/>
          <w:sz w:val="24"/>
          <w:szCs w:val="24"/>
        </w:rPr>
      </w:pPr>
    </w:p>
    <w:p w14:paraId="31C26C1B" w14:textId="77777777" w:rsidR="0056123D" w:rsidRDefault="0056123D" w:rsidP="0056123D">
      <w:pPr>
        <w:pStyle w:val="NoSpacing"/>
        <w:ind w:left="720"/>
        <w:rPr>
          <w:rFonts w:ascii="Arial Black" w:hAnsi="Arial Black"/>
          <w:sz w:val="24"/>
          <w:szCs w:val="24"/>
        </w:rPr>
      </w:pPr>
    </w:p>
    <w:p w14:paraId="1F9BA6A5" w14:textId="25D20242" w:rsidR="0056123D" w:rsidRDefault="0056123D" w:rsidP="0056123D">
      <w:pPr>
        <w:pStyle w:val="NoSpacing"/>
        <w:rPr>
          <w:rFonts w:ascii="Arial Black" w:hAnsi="Arial Black"/>
          <w:sz w:val="24"/>
          <w:szCs w:val="24"/>
        </w:rPr>
      </w:pPr>
      <w:r>
        <w:rPr>
          <w:rFonts w:ascii="Arial Black" w:hAnsi="Arial Black"/>
          <w:sz w:val="24"/>
          <w:szCs w:val="24"/>
        </w:rPr>
        <w:t>1-135</w:t>
      </w:r>
    </w:p>
    <w:p w14:paraId="1D0055A5" w14:textId="77777777" w:rsidR="0056123D" w:rsidRPr="00877A2C" w:rsidRDefault="0056123D" w:rsidP="0056123D">
      <w:pPr>
        <w:pStyle w:val="NormalWeb"/>
        <w:rPr>
          <w:rFonts w:ascii="Arial Black" w:hAnsi="Arial Black"/>
          <w:b/>
          <w:bCs/>
          <w:sz w:val="28"/>
          <w:szCs w:val="28"/>
        </w:rPr>
      </w:pPr>
      <w:r>
        <w:rPr>
          <w:rFonts w:ascii="Arial Black" w:hAnsi="Arial Black"/>
          <w:b/>
          <w:bCs/>
          <w:sz w:val="28"/>
          <w:szCs w:val="28"/>
        </w:rPr>
        <w:t xml:space="preserve">TN: OFF-DUTY FD CAPTAIN – OBSERVED DRUNK DRIVER CRASH - ALLOWED TO TESTIFY ON ZOOM / SICK COVID </w:t>
      </w:r>
    </w:p>
    <w:p w14:paraId="30E2669F"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25, 2023, in </w:t>
      </w:r>
      <w:r w:rsidRPr="00877A2C">
        <w:rPr>
          <w:rFonts w:ascii="Times New Roman" w:hAnsi="Times New Roman"/>
          <w:sz w:val="24"/>
          <w:szCs w:val="24"/>
          <w:u w:val="single"/>
        </w:rPr>
        <w:t>State of Tennessee v. William Michael Bowers</w:t>
      </w:r>
      <w:r>
        <w:rPr>
          <w:rFonts w:ascii="Times New Roman" w:hAnsi="Times New Roman"/>
          <w:sz w:val="24"/>
          <w:szCs w:val="24"/>
        </w:rPr>
        <w:t xml:space="preserve">, the Court of Criminal Appeals of Tennessee at Nashville, held (3 to 1) that the evidence was sufficient for the jury to convict the defendant of vehicular homicide by intoxication and driving under the influence; the trial court judge was authorized to allow fire department captain to testify via ZOOM.  </w:t>
      </w:r>
    </w:p>
    <w:p w14:paraId="7887A6C4" w14:textId="77777777" w:rsidR="0056123D" w:rsidRDefault="0056123D" w:rsidP="0056123D">
      <w:pPr>
        <w:pStyle w:val="NoSpacing"/>
        <w:rPr>
          <w:rFonts w:ascii="Times New Roman" w:hAnsi="Times New Roman"/>
          <w:sz w:val="24"/>
          <w:szCs w:val="24"/>
        </w:rPr>
      </w:pPr>
      <w:r w:rsidRPr="001B4670">
        <w:rPr>
          <w:rFonts w:ascii="Times New Roman" w:hAnsi="Times New Roman"/>
          <w:sz w:val="24"/>
          <w:szCs w:val="24"/>
        </w:rPr>
        <w:t xml:space="preserve">On August 21, 2020, </w:t>
      </w:r>
      <w:r>
        <w:rPr>
          <w:rFonts w:ascii="Times New Roman" w:hAnsi="Times New Roman"/>
          <w:sz w:val="24"/>
          <w:szCs w:val="24"/>
        </w:rPr>
        <w:t xml:space="preserve">Captain Phillip Marsh of Columbia Fire Department was off duty when he observed the defendant’s F-150 truck cross over </w:t>
      </w:r>
      <w:r w:rsidRPr="00E460C5">
        <w:rPr>
          <w:rFonts w:ascii="Times New Roman" w:hAnsi="Times New Roman"/>
          <w:sz w:val="24"/>
          <w:szCs w:val="24"/>
        </w:rPr>
        <w:t>from the oncoming lanes and strike the victim’s vehicle at her driver’s side door</w:t>
      </w:r>
      <w:r>
        <w:rPr>
          <w:rFonts w:ascii="Times New Roman" w:hAnsi="Times New Roman"/>
          <w:sz w:val="24"/>
          <w:szCs w:val="24"/>
        </w:rPr>
        <w:t xml:space="preserve">; the defendant’s air bags had deployed and he </w:t>
      </w:r>
      <w:r w:rsidRPr="00E460C5">
        <w:rPr>
          <w:rFonts w:ascii="Times New Roman" w:hAnsi="Times New Roman"/>
          <w:sz w:val="24"/>
          <w:szCs w:val="24"/>
        </w:rPr>
        <w:t>spoke rapidly</w:t>
      </w:r>
      <w:r>
        <w:rPr>
          <w:rFonts w:ascii="Times New Roman" w:hAnsi="Times New Roman"/>
          <w:sz w:val="24"/>
          <w:szCs w:val="24"/>
        </w:rPr>
        <w:t xml:space="preserve"> “</w:t>
      </w:r>
      <w:r w:rsidRPr="00E460C5">
        <w:rPr>
          <w:rFonts w:ascii="Times New Roman" w:hAnsi="Times New Roman"/>
          <w:sz w:val="24"/>
          <w:szCs w:val="24"/>
        </w:rPr>
        <w:t>but nothing [was] making any sense.</w:t>
      </w:r>
      <w:r>
        <w:rPr>
          <w:rFonts w:ascii="Times New Roman" w:hAnsi="Times New Roman"/>
          <w:sz w:val="24"/>
          <w:szCs w:val="24"/>
        </w:rPr>
        <w:t xml:space="preserve">” The Court refenced U.S. Supreme Court decision allowing testimony via closed-circuit TV. </w:t>
      </w:r>
    </w:p>
    <w:p w14:paraId="0715B893" w14:textId="77777777" w:rsidR="0056123D" w:rsidRDefault="0056123D" w:rsidP="0056123D">
      <w:pPr>
        <w:pStyle w:val="NoSpacing"/>
        <w:rPr>
          <w:rFonts w:ascii="Times New Roman" w:hAnsi="Times New Roman"/>
          <w:sz w:val="24"/>
          <w:szCs w:val="24"/>
        </w:rPr>
      </w:pPr>
    </w:p>
    <w:p w14:paraId="67568D2E" w14:textId="77777777" w:rsidR="0056123D" w:rsidRPr="00412D7B" w:rsidRDefault="0056123D" w:rsidP="0056123D">
      <w:pPr>
        <w:pStyle w:val="NoSpacing"/>
        <w:ind w:left="720"/>
        <w:rPr>
          <w:rFonts w:ascii="Times New Roman" w:hAnsi="Times New Roman"/>
          <w:sz w:val="24"/>
          <w:szCs w:val="24"/>
        </w:rPr>
      </w:pPr>
      <w:r>
        <w:rPr>
          <w:rFonts w:ascii="Times New Roman" w:hAnsi="Times New Roman"/>
          <w:sz w:val="24"/>
          <w:szCs w:val="24"/>
        </w:rPr>
        <w:t>“I</w:t>
      </w:r>
      <w:r w:rsidRPr="00412D7B">
        <w:rPr>
          <w:rFonts w:ascii="Times New Roman" w:hAnsi="Times New Roman"/>
          <w:sz w:val="24"/>
          <w:szCs w:val="24"/>
        </w:rPr>
        <w:t xml:space="preserve">n </w:t>
      </w:r>
      <w:r w:rsidRPr="00D41A7C">
        <w:rPr>
          <w:rFonts w:ascii="Times New Roman" w:hAnsi="Times New Roman"/>
          <w:i/>
          <w:iCs/>
          <w:sz w:val="24"/>
          <w:szCs w:val="24"/>
        </w:rPr>
        <w:t>Maryland v. Craig</w:t>
      </w:r>
      <w:r w:rsidRPr="00412D7B">
        <w:rPr>
          <w:rFonts w:ascii="Times New Roman" w:hAnsi="Times New Roman"/>
          <w:sz w:val="24"/>
          <w:szCs w:val="24"/>
        </w:rPr>
        <w:t>, however, the United States Supreme Court noted that it had</w:t>
      </w:r>
    </w:p>
    <w:p w14:paraId="7E731D3C" w14:textId="77777777" w:rsidR="0056123D" w:rsidRPr="00412D7B" w:rsidRDefault="0056123D" w:rsidP="0056123D">
      <w:pPr>
        <w:pStyle w:val="NoSpacing"/>
        <w:ind w:firstLine="720"/>
        <w:rPr>
          <w:rFonts w:ascii="Times New Roman" w:hAnsi="Times New Roman"/>
          <w:sz w:val="24"/>
          <w:szCs w:val="24"/>
        </w:rPr>
      </w:pPr>
      <w:r>
        <w:rPr>
          <w:rFonts w:ascii="Times New Roman" w:hAnsi="Times New Roman"/>
          <w:sz w:val="24"/>
          <w:szCs w:val="24"/>
        </w:rPr>
        <w:t>‘</w:t>
      </w:r>
      <w:proofErr w:type="gramStart"/>
      <w:r w:rsidRPr="00412D7B">
        <w:rPr>
          <w:rFonts w:ascii="Times New Roman" w:hAnsi="Times New Roman"/>
          <w:sz w:val="24"/>
          <w:szCs w:val="24"/>
        </w:rPr>
        <w:t>never</w:t>
      </w:r>
      <w:proofErr w:type="gramEnd"/>
      <w:r w:rsidRPr="00412D7B">
        <w:rPr>
          <w:rFonts w:ascii="Times New Roman" w:hAnsi="Times New Roman"/>
          <w:sz w:val="24"/>
          <w:szCs w:val="24"/>
        </w:rPr>
        <w:t xml:space="preserve"> held . . . that the Confrontation Clause guarantees criminal defendants the absolute</w:t>
      </w:r>
    </w:p>
    <w:p w14:paraId="21358CD9" w14:textId="77777777" w:rsidR="0056123D" w:rsidRPr="00412D7B" w:rsidRDefault="0056123D" w:rsidP="0056123D">
      <w:pPr>
        <w:pStyle w:val="NoSpacing"/>
        <w:ind w:left="720"/>
        <w:rPr>
          <w:rFonts w:ascii="Times New Roman" w:hAnsi="Times New Roman"/>
          <w:sz w:val="24"/>
          <w:szCs w:val="24"/>
        </w:rPr>
      </w:pPr>
      <w:r w:rsidRPr="00412D7B">
        <w:rPr>
          <w:rFonts w:ascii="Times New Roman" w:hAnsi="Times New Roman"/>
          <w:sz w:val="24"/>
          <w:szCs w:val="24"/>
        </w:rPr>
        <w:t>right to a face-to-face meeting with witnesses against them at trial.</w:t>
      </w:r>
      <w:r>
        <w:rPr>
          <w:rFonts w:ascii="Times New Roman" w:hAnsi="Times New Roman"/>
          <w:sz w:val="24"/>
          <w:szCs w:val="24"/>
        </w:rPr>
        <w:t xml:space="preserve">’ </w:t>
      </w:r>
      <w:r w:rsidRPr="00412D7B">
        <w:rPr>
          <w:rFonts w:ascii="Times New Roman" w:hAnsi="Times New Roman"/>
          <w:sz w:val="24"/>
          <w:szCs w:val="24"/>
        </w:rPr>
        <w:t>497 U.S. at 844</w:t>
      </w:r>
      <w:r>
        <w:rPr>
          <w:rFonts w:ascii="Times New Roman" w:hAnsi="Times New Roman"/>
          <w:sz w:val="24"/>
          <w:szCs w:val="24"/>
        </w:rPr>
        <w:t xml:space="preserve"> [1990] </w:t>
      </w:r>
      <w:r w:rsidRPr="00412D7B">
        <w:rPr>
          <w:rFonts w:ascii="Times New Roman" w:hAnsi="Times New Roman"/>
          <w:sz w:val="24"/>
          <w:szCs w:val="24"/>
        </w:rPr>
        <w:t xml:space="preserve">(emphasis in original). </w:t>
      </w:r>
      <w:r w:rsidRPr="00D41A7C">
        <w:rPr>
          <w:rFonts w:ascii="Times New Roman" w:hAnsi="Times New Roman"/>
          <w:i/>
          <w:iCs/>
          <w:sz w:val="24"/>
          <w:szCs w:val="24"/>
        </w:rPr>
        <w:t>Craig</w:t>
      </w:r>
      <w:r w:rsidRPr="00412D7B">
        <w:rPr>
          <w:rFonts w:ascii="Times New Roman" w:hAnsi="Times New Roman"/>
          <w:sz w:val="24"/>
          <w:szCs w:val="24"/>
        </w:rPr>
        <w:t xml:space="preserve"> involved a Confrontation Clause challenge to a Maryland</w:t>
      </w:r>
      <w:r>
        <w:rPr>
          <w:rFonts w:ascii="Times New Roman" w:hAnsi="Times New Roman"/>
          <w:sz w:val="24"/>
          <w:szCs w:val="24"/>
        </w:rPr>
        <w:t xml:space="preserve"> </w:t>
      </w:r>
      <w:r w:rsidRPr="00412D7B">
        <w:rPr>
          <w:rFonts w:ascii="Times New Roman" w:hAnsi="Times New Roman"/>
          <w:sz w:val="24"/>
          <w:szCs w:val="24"/>
        </w:rPr>
        <w:t xml:space="preserve">law that allowed a child sexual assault victim to testify via one-way, </w:t>
      </w:r>
      <w:proofErr w:type="gramStart"/>
      <w:r w:rsidRPr="00412D7B">
        <w:rPr>
          <w:rFonts w:ascii="Times New Roman" w:hAnsi="Times New Roman"/>
          <w:sz w:val="24"/>
          <w:szCs w:val="24"/>
        </w:rPr>
        <w:t>closed circuit</w:t>
      </w:r>
      <w:proofErr w:type="gramEnd"/>
      <w:r>
        <w:rPr>
          <w:rFonts w:ascii="Times New Roman" w:hAnsi="Times New Roman"/>
          <w:sz w:val="24"/>
          <w:szCs w:val="24"/>
        </w:rPr>
        <w:t xml:space="preserve"> </w:t>
      </w:r>
      <w:r w:rsidRPr="00412D7B">
        <w:rPr>
          <w:rFonts w:ascii="Times New Roman" w:hAnsi="Times New Roman"/>
          <w:sz w:val="24"/>
          <w:szCs w:val="24"/>
        </w:rPr>
        <w:t xml:space="preserve">television if the trial judge determined </w:t>
      </w:r>
      <w:r>
        <w:rPr>
          <w:rFonts w:ascii="Times New Roman" w:hAnsi="Times New Roman"/>
          <w:sz w:val="24"/>
          <w:szCs w:val="24"/>
        </w:rPr>
        <w:t>‘</w:t>
      </w:r>
      <w:r w:rsidRPr="00412D7B">
        <w:rPr>
          <w:rFonts w:ascii="Times New Roman" w:hAnsi="Times New Roman"/>
          <w:sz w:val="24"/>
          <w:szCs w:val="24"/>
        </w:rPr>
        <w:t>that testimony by the child victim in the courtroom</w:t>
      </w:r>
      <w:r>
        <w:rPr>
          <w:rFonts w:ascii="Times New Roman" w:hAnsi="Times New Roman"/>
          <w:sz w:val="24"/>
          <w:szCs w:val="24"/>
        </w:rPr>
        <w:t xml:space="preserve"> </w:t>
      </w:r>
      <w:r w:rsidRPr="00412D7B">
        <w:rPr>
          <w:rFonts w:ascii="Times New Roman" w:hAnsi="Times New Roman"/>
          <w:sz w:val="24"/>
          <w:szCs w:val="24"/>
        </w:rPr>
        <w:t>will result in the child suffering serious emotional distress such that the child cannot</w:t>
      </w:r>
      <w:r>
        <w:rPr>
          <w:rFonts w:ascii="Times New Roman" w:hAnsi="Times New Roman"/>
          <w:sz w:val="24"/>
          <w:szCs w:val="24"/>
        </w:rPr>
        <w:t xml:space="preserve"> </w:t>
      </w:r>
      <w:r w:rsidRPr="00412D7B">
        <w:rPr>
          <w:rFonts w:ascii="Times New Roman" w:hAnsi="Times New Roman"/>
          <w:sz w:val="24"/>
          <w:szCs w:val="24"/>
        </w:rPr>
        <w:t>reasonably communicate.</w:t>
      </w:r>
      <w:r>
        <w:rPr>
          <w:rFonts w:ascii="Times New Roman" w:hAnsi="Times New Roman"/>
          <w:sz w:val="24"/>
          <w:szCs w:val="24"/>
        </w:rPr>
        <w:t>’</w:t>
      </w:r>
      <w:r w:rsidRPr="00412D7B">
        <w:rPr>
          <w:rFonts w:ascii="Times New Roman" w:hAnsi="Times New Roman"/>
          <w:sz w:val="24"/>
          <w:szCs w:val="24"/>
        </w:rPr>
        <w:t xml:space="preserve"> Id. at 840-41 (quoting Md. </w:t>
      </w:r>
      <w:proofErr w:type="spellStart"/>
      <w:r w:rsidRPr="00412D7B">
        <w:rPr>
          <w:rFonts w:ascii="Times New Roman" w:hAnsi="Times New Roman"/>
          <w:sz w:val="24"/>
          <w:szCs w:val="24"/>
        </w:rPr>
        <w:t>Cts</w:t>
      </w:r>
      <w:proofErr w:type="spellEnd"/>
      <w:r w:rsidRPr="00412D7B">
        <w:rPr>
          <w:rFonts w:ascii="Times New Roman" w:hAnsi="Times New Roman"/>
          <w:sz w:val="24"/>
          <w:szCs w:val="24"/>
        </w:rPr>
        <w:t xml:space="preserve">. &amp; Jud. Proc. Code Ann. § 9-102(a)(1)(ii) (1989)). If this determination is made, </w:t>
      </w:r>
      <w:proofErr w:type="gramStart"/>
      <w:r w:rsidRPr="00412D7B">
        <w:rPr>
          <w:rFonts w:ascii="Times New Roman" w:hAnsi="Times New Roman"/>
          <w:sz w:val="24"/>
          <w:szCs w:val="24"/>
        </w:rPr>
        <w:t>the Maryland</w:t>
      </w:r>
      <w:proofErr w:type="gramEnd"/>
      <w:r w:rsidRPr="00412D7B">
        <w:rPr>
          <w:rFonts w:ascii="Times New Roman" w:hAnsi="Times New Roman"/>
          <w:sz w:val="24"/>
          <w:szCs w:val="24"/>
        </w:rPr>
        <w:t xml:space="preserve"> law </w:t>
      </w:r>
      <w:proofErr w:type="gramStart"/>
      <w:r w:rsidRPr="00412D7B">
        <w:rPr>
          <w:rFonts w:ascii="Times New Roman" w:hAnsi="Times New Roman"/>
          <w:sz w:val="24"/>
          <w:szCs w:val="24"/>
        </w:rPr>
        <w:t>allowed for</w:t>
      </w:r>
      <w:proofErr w:type="gramEnd"/>
      <w:r w:rsidRPr="00412D7B">
        <w:rPr>
          <w:rFonts w:ascii="Times New Roman" w:hAnsi="Times New Roman"/>
          <w:sz w:val="24"/>
          <w:szCs w:val="24"/>
        </w:rPr>
        <w:t xml:space="preserve"> the child</w:t>
      </w:r>
      <w:r>
        <w:rPr>
          <w:rFonts w:ascii="Times New Roman" w:hAnsi="Times New Roman"/>
          <w:sz w:val="24"/>
          <w:szCs w:val="24"/>
        </w:rPr>
        <w:t xml:space="preserve"> </w:t>
      </w:r>
      <w:r w:rsidRPr="00412D7B">
        <w:rPr>
          <w:rFonts w:ascii="Times New Roman" w:hAnsi="Times New Roman"/>
          <w:sz w:val="24"/>
          <w:szCs w:val="24"/>
        </w:rPr>
        <w:t xml:space="preserve">witness, prosecutor, and defense counsel to withdraw to a separate room </w:t>
      </w:r>
      <w:proofErr w:type="gramStart"/>
      <w:r w:rsidRPr="00412D7B">
        <w:rPr>
          <w:rFonts w:ascii="Times New Roman" w:hAnsi="Times New Roman"/>
          <w:sz w:val="24"/>
          <w:szCs w:val="24"/>
        </w:rPr>
        <w:t>where</w:t>
      </w:r>
      <w:proofErr w:type="gramEnd"/>
      <w:r w:rsidRPr="00412D7B">
        <w:rPr>
          <w:rFonts w:ascii="Times New Roman" w:hAnsi="Times New Roman"/>
          <w:sz w:val="24"/>
          <w:szCs w:val="24"/>
        </w:rPr>
        <w:t xml:space="preserve"> the</w:t>
      </w:r>
    </w:p>
    <w:p w14:paraId="1E6912A9" w14:textId="77777777" w:rsidR="0056123D" w:rsidRPr="00412D7B" w:rsidRDefault="0056123D" w:rsidP="0056123D">
      <w:pPr>
        <w:pStyle w:val="NoSpacing"/>
        <w:ind w:left="720"/>
        <w:rPr>
          <w:rFonts w:ascii="Times New Roman" w:hAnsi="Times New Roman"/>
          <w:sz w:val="24"/>
          <w:szCs w:val="24"/>
        </w:rPr>
      </w:pPr>
      <w:r w:rsidRPr="00412D7B">
        <w:rPr>
          <w:rFonts w:ascii="Times New Roman" w:hAnsi="Times New Roman"/>
          <w:sz w:val="24"/>
          <w:szCs w:val="24"/>
        </w:rPr>
        <w:t>examination of the child would be transmitted to the courtroom for display to the judge,</w:t>
      </w:r>
    </w:p>
    <w:p w14:paraId="3FFDAF37" w14:textId="77777777" w:rsidR="0056123D" w:rsidRPr="00412D7B" w:rsidRDefault="0056123D" w:rsidP="0056123D">
      <w:pPr>
        <w:pStyle w:val="NoSpacing"/>
        <w:ind w:left="720"/>
        <w:rPr>
          <w:rFonts w:ascii="Times New Roman" w:hAnsi="Times New Roman"/>
          <w:sz w:val="24"/>
          <w:szCs w:val="24"/>
        </w:rPr>
      </w:pPr>
      <w:r w:rsidRPr="00412D7B">
        <w:rPr>
          <w:rFonts w:ascii="Times New Roman" w:hAnsi="Times New Roman"/>
          <w:sz w:val="24"/>
          <w:szCs w:val="24"/>
        </w:rPr>
        <w:t>jury, and defendant. Id. at 841. During this time, the witness cannot see the Defendant.</w:t>
      </w:r>
    </w:p>
    <w:p w14:paraId="0237B850" w14:textId="77777777" w:rsidR="0056123D" w:rsidRDefault="0056123D" w:rsidP="0056123D">
      <w:pPr>
        <w:pStyle w:val="NoSpacing"/>
        <w:ind w:left="720"/>
        <w:rPr>
          <w:rFonts w:ascii="Times New Roman" w:hAnsi="Times New Roman"/>
          <w:sz w:val="24"/>
          <w:szCs w:val="24"/>
        </w:rPr>
      </w:pPr>
      <w:r w:rsidRPr="00412D7B">
        <w:rPr>
          <w:rFonts w:ascii="Times New Roman" w:hAnsi="Times New Roman"/>
          <w:sz w:val="24"/>
          <w:szCs w:val="24"/>
        </w:rPr>
        <w:t>Id.</w:t>
      </w:r>
    </w:p>
    <w:p w14:paraId="2EA674AF" w14:textId="77777777" w:rsidR="0056123D" w:rsidRDefault="0056123D" w:rsidP="0056123D">
      <w:pPr>
        <w:pStyle w:val="NoSpacing"/>
        <w:ind w:left="720"/>
        <w:rPr>
          <w:rFonts w:ascii="Times New Roman" w:hAnsi="Times New Roman"/>
          <w:sz w:val="24"/>
          <w:szCs w:val="24"/>
        </w:rPr>
      </w:pPr>
    </w:p>
    <w:p w14:paraId="42D72A14"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53761D34" w14:textId="77777777" w:rsidR="0056123D" w:rsidRDefault="0056123D" w:rsidP="0056123D">
      <w:pPr>
        <w:pStyle w:val="NoSpacing"/>
        <w:ind w:left="720"/>
        <w:rPr>
          <w:rFonts w:ascii="Times New Roman" w:hAnsi="Times New Roman"/>
          <w:sz w:val="24"/>
          <w:szCs w:val="24"/>
        </w:rPr>
      </w:pPr>
    </w:p>
    <w:p w14:paraId="754B28DB"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 xml:space="preserve">[Captain] </w:t>
      </w:r>
      <w:r w:rsidRPr="001B4670">
        <w:rPr>
          <w:rFonts w:ascii="Times New Roman" w:hAnsi="Times New Roman"/>
          <w:sz w:val="24"/>
          <w:szCs w:val="24"/>
        </w:rPr>
        <w:t>Mash</w:t>
      </w:r>
      <w:r>
        <w:rPr>
          <w:rFonts w:ascii="Times New Roman" w:hAnsi="Times New Roman"/>
          <w:sz w:val="24"/>
          <w:szCs w:val="24"/>
        </w:rPr>
        <w:t xml:space="preserve"> </w:t>
      </w:r>
      <w:r w:rsidRPr="001B4670">
        <w:rPr>
          <w:rFonts w:ascii="Times New Roman" w:hAnsi="Times New Roman"/>
          <w:sz w:val="24"/>
          <w:szCs w:val="24"/>
        </w:rPr>
        <w:t>was placed under oath and cross-examined by the Defendant, and the trial court ensured</w:t>
      </w:r>
      <w:r>
        <w:rPr>
          <w:rFonts w:ascii="Times New Roman" w:hAnsi="Times New Roman"/>
          <w:sz w:val="24"/>
          <w:szCs w:val="24"/>
        </w:rPr>
        <w:t xml:space="preserve"> </w:t>
      </w:r>
      <w:r w:rsidRPr="001B4670">
        <w:rPr>
          <w:rFonts w:ascii="Times New Roman" w:hAnsi="Times New Roman"/>
          <w:sz w:val="24"/>
          <w:szCs w:val="24"/>
        </w:rPr>
        <w:t>that, prior to his testimony, all jurors could see the screen displaying his image, thus</w:t>
      </w:r>
      <w:r>
        <w:rPr>
          <w:rFonts w:ascii="Times New Roman" w:hAnsi="Times New Roman"/>
          <w:sz w:val="24"/>
          <w:szCs w:val="24"/>
        </w:rPr>
        <w:t xml:space="preserve"> </w:t>
      </w:r>
      <w:r w:rsidRPr="001B4670">
        <w:rPr>
          <w:rFonts w:ascii="Times New Roman" w:hAnsi="Times New Roman"/>
          <w:sz w:val="24"/>
          <w:szCs w:val="24"/>
        </w:rPr>
        <w:t>allowing them to observe his demeanor while testifying. At the time of cross-examination,</w:t>
      </w:r>
      <w:r>
        <w:rPr>
          <w:rFonts w:ascii="Times New Roman" w:hAnsi="Times New Roman"/>
          <w:sz w:val="24"/>
          <w:szCs w:val="24"/>
        </w:rPr>
        <w:t xml:space="preserve"> </w:t>
      </w:r>
      <w:r w:rsidRPr="001B4670">
        <w:rPr>
          <w:rFonts w:ascii="Times New Roman" w:hAnsi="Times New Roman"/>
          <w:sz w:val="24"/>
          <w:szCs w:val="24"/>
        </w:rPr>
        <w:t>the Defendant possessed a prior written statement from Mr. Mash as well as a recording of</w:t>
      </w:r>
      <w:r>
        <w:rPr>
          <w:rFonts w:ascii="Times New Roman" w:hAnsi="Times New Roman"/>
          <w:sz w:val="24"/>
          <w:szCs w:val="24"/>
        </w:rPr>
        <w:t xml:space="preserve"> </w:t>
      </w:r>
      <w:r w:rsidRPr="001B4670">
        <w:rPr>
          <w:rFonts w:ascii="Times New Roman" w:hAnsi="Times New Roman"/>
          <w:sz w:val="24"/>
          <w:szCs w:val="24"/>
        </w:rPr>
        <w:t>his prior testimony at the preliminary hearing. The prosecutor had previously speculated</w:t>
      </w:r>
      <w:r>
        <w:rPr>
          <w:rFonts w:ascii="Times New Roman" w:hAnsi="Times New Roman"/>
          <w:sz w:val="24"/>
          <w:szCs w:val="24"/>
        </w:rPr>
        <w:t xml:space="preserve"> </w:t>
      </w:r>
      <w:r w:rsidRPr="001B4670">
        <w:rPr>
          <w:rFonts w:ascii="Times New Roman" w:hAnsi="Times New Roman"/>
          <w:sz w:val="24"/>
          <w:szCs w:val="24"/>
        </w:rPr>
        <w:t>that Mr. Mash would testify consistently with his prior statements in the case, and Mr.</w:t>
      </w:r>
      <w:r>
        <w:rPr>
          <w:rFonts w:ascii="Times New Roman" w:hAnsi="Times New Roman"/>
          <w:sz w:val="24"/>
          <w:szCs w:val="24"/>
        </w:rPr>
        <w:t xml:space="preserve"> </w:t>
      </w:r>
      <w:r w:rsidRPr="001B4670">
        <w:rPr>
          <w:rFonts w:ascii="Times New Roman" w:hAnsi="Times New Roman"/>
          <w:sz w:val="24"/>
          <w:szCs w:val="24"/>
        </w:rPr>
        <w:t>Mash explicitly stated during his cross-examination that he had so testified. While the</w:t>
      </w:r>
      <w:r>
        <w:rPr>
          <w:rFonts w:ascii="Times New Roman" w:hAnsi="Times New Roman"/>
          <w:sz w:val="24"/>
          <w:szCs w:val="24"/>
        </w:rPr>
        <w:t xml:space="preserve"> </w:t>
      </w:r>
      <w:r w:rsidRPr="001B4670">
        <w:rPr>
          <w:rFonts w:ascii="Times New Roman" w:hAnsi="Times New Roman"/>
          <w:sz w:val="24"/>
          <w:szCs w:val="24"/>
        </w:rPr>
        <w:t xml:space="preserve">attorneys in </w:t>
      </w:r>
      <w:r w:rsidRPr="00D41A7C">
        <w:rPr>
          <w:rFonts w:ascii="Times New Roman" w:hAnsi="Times New Roman"/>
          <w:i/>
          <w:iCs/>
          <w:sz w:val="24"/>
          <w:szCs w:val="24"/>
        </w:rPr>
        <w:t>Craig</w:t>
      </w:r>
      <w:r w:rsidRPr="001B4670">
        <w:rPr>
          <w:rFonts w:ascii="Times New Roman" w:hAnsi="Times New Roman"/>
          <w:sz w:val="24"/>
          <w:szCs w:val="24"/>
        </w:rPr>
        <w:t xml:space="preserve"> were in the same room as the testifying witness, id. at 841, the record</w:t>
      </w:r>
      <w:r>
        <w:rPr>
          <w:rFonts w:ascii="Times New Roman" w:hAnsi="Times New Roman"/>
          <w:sz w:val="24"/>
          <w:szCs w:val="24"/>
        </w:rPr>
        <w:t xml:space="preserve"> </w:t>
      </w:r>
      <w:r w:rsidRPr="001B4670">
        <w:rPr>
          <w:rFonts w:ascii="Times New Roman" w:hAnsi="Times New Roman"/>
          <w:sz w:val="24"/>
          <w:szCs w:val="24"/>
        </w:rPr>
        <w:t>here reflects that Mr. Mash was able to see the attorneys during questioning through use of</w:t>
      </w:r>
      <w:r>
        <w:rPr>
          <w:rFonts w:ascii="Times New Roman" w:hAnsi="Times New Roman"/>
          <w:sz w:val="24"/>
          <w:szCs w:val="24"/>
        </w:rPr>
        <w:t xml:space="preserve"> </w:t>
      </w:r>
      <w:r w:rsidRPr="001B4670">
        <w:rPr>
          <w:rFonts w:ascii="Times New Roman" w:hAnsi="Times New Roman"/>
          <w:sz w:val="24"/>
          <w:szCs w:val="24"/>
        </w:rPr>
        <w:t xml:space="preserve">the </w:t>
      </w:r>
      <w:r>
        <w:rPr>
          <w:rFonts w:ascii="Times New Roman" w:hAnsi="Times New Roman"/>
          <w:sz w:val="24"/>
          <w:szCs w:val="24"/>
        </w:rPr>
        <w:t>‘</w:t>
      </w:r>
      <w:r w:rsidRPr="001B4670">
        <w:rPr>
          <w:rFonts w:ascii="Times New Roman" w:hAnsi="Times New Roman"/>
          <w:sz w:val="24"/>
          <w:szCs w:val="24"/>
        </w:rPr>
        <w:t>Owl</w:t>
      </w:r>
      <w:r>
        <w:rPr>
          <w:rFonts w:ascii="Times New Roman" w:hAnsi="Times New Roman"/>
          <w:sz w:val="24"/>
          <w:szCs w:val="24"/>
        </w:rPr>
        <w:t>’</w:t>
      </w:r>
      <w:r w:rsidRPr="001B4670">
        <w:rPr>
          <w:rFonts w:ascii="Times New Roman" w:hAnsi="Times New Roman"/>
          <w:sz w:val="24"/>
          <w:szCs w:val="24"/>
        </w:rPr>
        <w:t xml:space="preserve"> device. Other than a </w:t>
      </w:r>
      <w:r>
        <w:rPr>
          <w:rFonts w:ascii="Times New Roman" w:hAnsi="Times New Roman"/>
          <w:sz w:val="24"/>
          <w:szCs w:val="24"/>
        </w:rPr>
        <w:t>‘</w:t>
      </w:r>
      <w:r w:rsidRPr="001B4670">
        <w:rPr>
          <w:rFonts w:ascii="Times New Roman" w:hAnsi="Times New Roman"/>
          <w:sz w:val="24"/>
          <w:szCs w:val="24"/>
        </w:rPr>
        <w:t>little delay</w:t>
      </w:r>
      <w:r>
        <w:rPr>
          <w:rFonts w:ascii="Times New Roman" w:hAnsi="Times New Roman"/>
          <w:sz w:val="24"/>
          <w:szCs w:val="24"/>
        </w:rPr>
        <w:t>’</w:t>
      </w:r>
      <w:r w:rsidRPr="001B4670">
        <w:rPr>
          <w:rFonts w:ascii="Times New Roman" w:hAnsi="Times New Roman"/>
          <w:sz w:val="24"/>
          <w:szCs w:val="24"/>
        </w:rPr>
        <w:t xml:space="preserve"> in the video transmission, it does not appear</w:t>
      </w:r>
      <w:r>
        <w:rPr>
          <w:rFonts w:ascii="Times New Roman" w:hAnsi="Times New Roman"/>
          <w:sz w:val="24"/>
          <w:szCs w:val="24"/>
        </w:rPr>
        <w:t xml:space="preserve"> </w:t>
      </w:r>
      <w:r w:rsidRPr="001B4670">
        <w:rPr>
          <w:rFonts w:ascii="Times New Roman" w:hAnsi="Times New Roman"/>
          <w:sz w:val="24"/>
          <w:szCs w:val="24"/>
        </w:rPr>
        <w:t>that defense counsel’s lack of physical presence during his questioning of Mr. Mash in any</w:t>
      </w:r>
      <w:r>
        <w:rPr>
          <w:rFonts w:ascii="Times New Roman" w:hAnsi="Times New Roman"/>
          <w:sz w:val="24"/>
          <w:szCs w:val="24"/>
        </w:rPr>
        <w:t xml:space="preserve"> </w:t>
      </w:r>
      <w:r w:rsidRPr="001B4670">
        <w:rPr>
          <w:rFonts w:ascii="Times New Roman" w:hAnsi="Times New Roman"/>
          <w:sz w:val="24"/>
          <w:szCs w:val="24"/>
        </w:rPr>
        <w:t>way hindered the effective cross-examination of the witness.</w:t>
      </w:r>
    </w:p>
    <w:p w14:paraId="5F6B5903" w14:textId="77777777" w:rsidR="0056123D" w:rsidRDefault="0056123D" w:rsidP="0056123D">
      <w:pPr>
        <w:pStyle w:val="NoSpacing"/>
        <w:ind w:left="720"/>
        <w:rPr>
          <w:rFonts w:ascii="Times New Roman" w:hAnsi="Times New Roman"/>
          <w:sz w:val="24"/>
          <w:szCs w:val="24"/>
        </w:rPr>
      </w:pPr>
    </w:p>
    <w:p w14:paraId="3442A0E2"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lastRenderedPageBreak/>
        <w:t>***</w:t>
      </w:r>
    </w:p>
    <w:p w14:paraId="7B22BAF1" w14:textId="77777777" w:rsidR="0056123D" w:rsidRPr="001B4670" w:rsidRDefault="0056123D" w:rsidP="0056123D">
      <w:pPr>
        <w:pStyle w:val="NoSpacing"/>
        <w:ind w:left="720"/>
        <w:rPr>
          <w:rFonts w:ascii="Times New Roman" w:hAnsi="Times New Roman"/>
          <w:sz w:val="24"/>
          <w:szCs w:val="24"/>
        </w:rPr>
      </w:pPr>
      <w:r w:rsidRPr="001B4670">
        <w:rPr>
          <w:rFonts w:ascii="Times New Roman" w:hAnsi="Times New Roman"/>
          <w:sz w:val="24"/>
          <w:szCs w:val="24"/>
        </w:rPr>
        <w:t xml:space="preserve">As in </w:t>
      </w:r>
      <w:r w:rsidRPr="00D41A7C">
        <w:rPr>
          <w:rFonts w:ascii="Times New Roman" w:hAnsi="Times New Roman"/>
          <w:i/>
          <w:iCs/>
          <w:sz w:val="24"/>
          <w:szCs w:val="24"/>
        </w:rPr>
        <w:t>Craig,</w:t>
      </w:r>
      <w:r w:rsidRPr="001B4670">
        <w:rPr>
          <w:rFonts w:ascii="Times New Roman" w:hAnsi="Times New Roman"/>
          <w:sz w:val="24"/>
          <w:szCs w:val="24"/>
        </w:rPr>
        <w:t xml:space="preserve"> we conclude that the practice employed here </w:t>
      </w:r>
      <w:r>
        <w:rPr>
          <w:rFonts w:ascii="Times New Roman" w:hAnsi="Times New Roman"/>
          <w:sz w:val="24"/>
          <w:szCs w:val="24"/>
        </w:rPr>
        <w:t>‘</w:t>
      </w:r>
      <w:r w:rsidRPr="001B4670">
        <w:rPr>
          <w:rFonts w:ascii="Times New Roman" w:hAnsi="Times New Roman"/>
          <w:sz w:val="24"/>
          <w:szCs w:val="24"/>
        </w:rPr>
        <w:t>preserve[d] the essence</w:t>
      </w:r>
    </w:p>
    <w:p w14:paraId="7E6A9C45" w14:textId="77777777" w:rsidR="0056123D" w:rsidRPr="001B4670" w:rsidRDefault="0056123D" w:rsidP="0056123D">
      <w:pPr>
        <w:pStyle w:val="NoSpacing"/>
        <w:ind w:left="720"/>
        <w:rPr>
          <w:rFonts w:ascii="Times New Roman" w:hAnsi="Times New Roman"/>
          <w:sz w:val="24"/>
          <w:szCs w:val="24"/>
        </w:rPr>
      </w:pPr>
      <w:r w:rsidRPr="001B4670">
        <w:rPr>
          <w:rFonts w:ascii="Times New Roman" w:hAnsi="Times New Roman"/>
          <w:sz w:val="24"/>
          <w:szCs w:val="24"/>
        </w:rPr>
        <w:t>of effective confrontation[,]</w:t>
      </w:r>
      <w:r>
        <w:rPr>
          <w:rFonts w:ascii="Times New Roman" w:hAnsi="Times New Roman"/>
          <w:sz w:val="24"/>
          <w:szCs w:val="24"/>
        </w:rPr>
        <w:t xml:space="preserve">’ </w:t>
      </w:r>
      <w:r w:rsidRPr="001B4670">
        <w:rPr>
          <w:rFonts w:ascii="Times New Roman" w:hAnsi="Times New Roman"/>
          <w:sz w:val="24"/>
          <w:szCs w:val="24"/>
        </w:rPr>
        <w:t>id. at 857, and thus ensured the reliability of Mr. Mash’s</w:t>
      </w:r>
    </w:p>
    <w:p w14:paraId="5AF9F27C" w14:textId="77777777" w:rsidR="0056123D" w:rsidRPr="001B4670" w:rsidRDefault="0056123D" w:rsidP="0056123D">
      <w:pPr>
        <w:pStyle w:val="NoSpacing"/>
        <w:ind w:left="720"/>
        <w:rPr>
          <w:rFonts w:ascii="Times New Roman" w:hAnsi="Times New Roman"/>
          <w:sz w:val="24"/>
          <w:szCs w:val="24"/>
        </w:rPr>
      </w:pPr>
      <w:r w:rsidRPr="001B4670">
        <w:rPr>
          <w:rFonts w:ascii="Times New Roman" w:hAnsi="Times New Roman"/>
          <w:sz w:val="24"/>
          <w:szCs w:val="24"/>
        </w:rPr>
        <w:t xml:space="preserve">testimony. Both prongs of Craig </w:t>
      </w:r>
      <w:proofErr w:type="gramStart"/>
      <w:r w:rsidRPr="001B4670">
        <w:rPr>
          <w:rFonts w:ascii="Times New Roman" w:hAnsi="Times New Roman"/>
          <w:sz w:val="24"/>
          <w:szCs w:val="24"/>
        </w:rPr>
        <w:t>having</w:t>
      </w:r>
      <w:proofErr w:type="gramEnd"/>
      <w:r w:rsidRPr="001B4670">
        <w:rPr>
          <w:rFonts w:ascii="Times New Roman" w:hAnsi="Times New Roman"/>
          <w:sz w:val="24"/>
          <w:szCs w:val="24"/>
        </w:rPr>
        <w:t xml:space="preserve"> been satisfied, the Defendant is not entitled to</w:t>
      </w:r>
    </w:p>
    <w:p w14:paraId="61CFC16E" w14:textId="718D28F6" w:rsidR="0056123D" w:rsidRDefault="0056123D" w:rsidP="0056123D">
      <w:pPr>
        <w:pStyle w:val="NoSpacing"/>
        <w:ind w:left="720"/>
        <w:rPr>
          <w:rFonts w:ascii="Arial Black" w:hAnsi="Arial Black"/>
          <w:sz w:val="24"/>
          <w:szCs w:val="24"/>
        </w:rPr>
      </w:pPr>
      <w:r w:rsidRPr="001B4670">
        <w:rPr>
          <w:rFonts w:ascii="Times New Roman" w:hAnsi="Times New Roman"/>
          <w:sz w:val="24"/>
          <w:szCs w:val="24"/>
        </w:rPr>
        <w:t>relief pursuant to the Sixth Amendment.</w:t>
      </w:r>
      <w:r>
        <w:rPr>
          <w:rFonts w:ascii="Times New Roman" w:hAnsi="Times New Roman"/>
          <w:sz w:val="24"/>
          <w:szCs w:val="24"/>
        </w:rPr>
        <w:t xml:space="preserve">” </w:t>
      </w:r>
      <w:hyperlink r:id="rId155" w:history="1">
        <w:r w:rsidRPr="00FF56A3">
          <w:rPr>
            <w:rStyle w:val="Hyperlink"/>
            <w:rFonts w:ascii="Times New Roman" w:hAnsi="Times New Roman"/>
            <w:sz w:val="24"/>
            <w:szCs w:val="24"/>
          </w:rPr>
          <w:t>https://cases.justia.com/tennessee/court-of-criminal-appeals/2023-m2022-00949-cca-r3-cd.pdf?ts=1695676978</w:t>
        </w:r>
      </w:hyperlink>
    </w:p>
    <w:p w14:paraId="36E967D4" w14:textId="77777777" w:rsidR="0056123D" w:rsidRDefault="0056123D" w:rsidP="00F326E5">
      <w:pPr>
        <w:pStyle w:val="NoSpacing"/>
        <w:rPr>
          <w:rFonts w:ascii="Arial Black" w:hAnsi="Arial Black"/>
          <w:sz w:val="24"/>
          <w:szCs w:val="24"/>
        </w:rPr>
      </w:pPr>
    </w:p>
    <w:p w14:paraId="734B5399" w14:textId="77777777" w:rsidR="0056123D" w:rsidRPr="00E460C5" w:rsidRDefault="0056123D" w:rsidP="0056123D">
      <w:pPr>
        <w:pStyle w:val="NoSpacing"/>
        <w:rPr>
          <w:rFonts w:ascii="Times New Roman" w:hAnsi="Times New Roman"/>
          <w:b/>
          <w:bCs/>
          <w:sz w:val="24"/>
          <w:szCs w:val="24"/>
        </w:rPr>
      </w:pPr>
      <w:r w:rsidRPr="00E460C5">
        <w:rPr>
          <w:rFonts w:ascii="Times New Roman" w:hAnsi="Times New Roman"/>
          <w:b/>
          <w:bCs/>
          <w:sz w:val="24"/>
          <w:szCs w:val="24"/>
        </w:rPr>
        <w:t xml:space="preserve">Legal Lesson Learned: The Confrontation Clause of the Sixth Amendment provides that </w:t>
      </w:r>
    </w:p>
    <w:p w14:paraId="2BD312B0" w14:textId="77777777" w:rsidR="0056123D" w:rsidRDefault="0056123D" w:rsidP="0056123D">
      <w:pPr>
        <w:pStyle w:val="NoSpacing"/>
        <w:rPr>
          <w:rFonts w:ascii="Times New Roman" w:hAnsi="Times New Roman"/>
          <w:b/>
          <w:bCs/>
          <w:sz w:val="24"/>
          <w:szCs w:val="24"/>
        </w:rPr>
      </w:pPr>
      <w:r w:rsidRPr="00E460C5">
        <w:rPr>
          <w:rFonts w:ascii="Times New Roman" w:hAnsi="Times New Roman"/>
          <w:b/>
          <w:bCs/>
          <w:sz w:val="24"/>
          <w:szCs w:val="24"/>
        </w:rPr>
        <w:t xml:space="preserve"> “[</w:t>
      </w:r>
      <w:proofErr w:type="spellStart"/>
      <w:r w:rsidRPr="00E460C5">
        <w:rPr>
          <w:rFonts w:ascii="Times New Roman" w:hAnsi="Times New Roman"/>
          <w:b/>
          <w:bCs/>
          <w:sz w:val="24"/>
          <w:szCs w:val="24"/>
        </w:rPr>
        <w:t>i</w:t>
      </w:r>
      <w:proofErr w:type="spellEnd"/>
      <w:r w:rsidRPr="00E460C5">
        <w:rPr>
          <w:rFonts w:ascii="Times New Roman" w:hAnsi="Times New Roman"/>
          <w:b/>
          <w:bCs/>
          <w:sz w:val="24"/>
          <w:szCs w:val="24"/>
        </w:rPr>
        <w:t>]n all criminal prosecutions, the accused shall enjoy the right . . . to be confronted with the witnesses against him.”</w:t>
      </w:r>
      <w:r>
        <w:rPr>
          <w:rFonts w:ascii="Times New Roman" w:hAnsi="Times New Roman"/>
          <w:b/>
          <w:bCs/>
          <w:sz w:val="24"/>
          <w:szCs w:val="24"/>
        </w:rPr>
        <w:t xml:space="preserve"> That confrontation can be by ZOOM if witness is ill and contagious. </w:t>
      </w:r>
    </w:p>
    <w:p w14:paraId="5B80B863" w14:textId="77777777" w:rsidR="0056123D" w:rsidRDefault="0056123D" w:rsidP="0056123D">
      <w:pPr>
        <w:pStyle w:val="NoSpacing"/>
        <w:rPr>
          <w:rFonts w:ascii="Times New Roman" w:hAnsi="Times New Roman"/>
          <w:b/>
          <w:bCs/>
          <w:sz w:val="24"/>
          <w:szCs w:val="24"/>
        </w:rPr>
      </w:pPr>
    </w:p>
    <w:p w14:paraId="0C9FEE6A" w14:textId="77777777" w:rsidR="0056123D" w:rsidRDefault="0056123D" w:rsidP="00F326E5">
      <w:pPr>
        <w:pStyle w:val="NoSpacing"/>
        <w:rPr>
          <w:rFonts w:ascii="Arial Black" w:hAnsi="Arial Black"/>
          <w:sz w:val="24"/>
          <w:szCs w:val="24"/>
        </w:rPr>
      </w:pPr>
    </w:p>
    <w:p w14:paraId="3F54073B" w14:textId="77777777" w:rsidR="0056123D" w:rsidRDefault="0056123D" w:rsidP="00F326E5">
      <w:pPr>
        <w:pStyle w:val="NoSpacing"/>
        <w:rPr>
          <w:rFonts w:ascii="Arial Black" w:hAnsi="Arial Black"/>
          <w:sz w:val="24"/>
          <w:szCs w:val="24"/>
        </w:rPr>
      </w:pPr>
    </w:p>
    <w:p w14:paraId="7A3C385D" w14:textId="6E8A00F7" w:rsidR="0056123D" w:rsidRDefault="0056123D" w:rsidP="00F326E5">
      <w:pPr>
        <w:pStyle w:val="NoSpacing"/>
        <w:rPr>
          <w:rFonts w:ascii="Arial Black" w:hAnsi="Arial Black"/>
          <w:sz w:val="24"/>
          <w:szCs w:val="24"/>
        </w:rPr>
      </w:pPr>
      <w:r>
        <w:rPr>
          <w:rFonts w:ascii="Arial Black" w:hAnsi="Arial Black"/>
          <w:sz w:val="24"/>
          <w:szCs w:val="24"/>
        </w:rPr>
        <w:t>1-134</w:t>
      </w:r>
    </w:p>
    <w:p w14:paraId="0976A72C" w14:textId="77777777" w:rsidR="0056123D" w:rsidRDefault="0056123D" w:rsidP="00F326E5">
      <w:pPr>
        <w:pStyle w:val="NoSpacing"/>
        <w:rPr>
          <w:rFonts w:ascii="Arial Black" w:hAnsi="Arial Black"/>
          <w:sz w:val="24"/>
          <w:szCs w:val="24"/>
        </w:rPr>
      </w:pPr>
    </w:p>
    <w:p w14:paraId="33DBBF3D" w14:textId="77777777" w:rsidR="0056123D" w:rsidRDefault="0056123D" w:rsidP="0056123D">
      <w:pPr>
        <w:rPr>
          <w:rFonts w:ascii="Arial Black" w:hAnsi="Arial Black"/>
          <w:sz w:val="28"/>
          <w:szCs w:val="28"/>
        </w:rPr>
      </w:pPr>
      <w:r>
        <w:rPr>
          <w:rFonts w:ascii="Arial Black" w:hAnsi="Arial Black"/>
          <w:sz w:val="28"/>
          <w:szCs w:val="28"/>
        </w:rPr>
        <w:t xml:space="preserve">CA: HIKER - YOSEMITE PARK – GOV’T SHUTDOWN, PARK OPEN - DIED ICY RIVER – RECREATIONAL &amp; FED. IMMUNITY </w:t>
      </w:r>
    </w:p>
    <w:p w14:paraId="10444A4D" w14:textId="77777777" w:rsidR="0056123D" w:rsidRDefault="0056123D" w:rsidP="0056123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Sept. 22, 2023, in </w:t>
      </w:r>
      <w:r w:rsidRPr="0097540D">
        <w:rPr>
          <w:rFonts w:ascii="Times New Roman" w:hAnsi="Times New Roman"/>
          <w:sz w:val="24"/>
          <w:szCs w:val="24"/>
          <w:u w:val="single"/>
        </w:rPr>
        <w:t>Deborah Nickles v. United States of America</w:t>
      </w:r>
      <w:r>
        <w:rPr>
          <w:rFonts w:ascii="Times New Roman" w:hAnsi="Times New Roman"/>
          <w:sz w:val="24"/>
          <w:szCs w:val="24"/>
        </w:rPr>
        <w:t>, U.S. Magistrate Judge, U.S. District Court for Eastern District of California, issued a Report and Recommendation, recommending a U.S. District Court judge dismiss this lawsuit based on the California recreational immunity statute (statute written to encourage landowners to allow others to hike and other recreation on their property) and federal immunity for discretionary executive decisions (such as keeping Park open during funding shutdown).  During a government-wide shut down over Congressional funding dispute, on Christmas Day, Dec. 25, 2018, Joshua Conner and girlfriend walking dogs in Yosemite even though no dogs allowed; about 2:30 pm, he attempted to retrieve a dog, hit his head he fell into Merced River.  Search and rescue team was immediately dispatched, arrived on foot at 3:25 pm but could not revive him.  The plaintiff alleges that federal government is liable for Conner’s death because they failed to close the National Park.</w:t>
      </w:r>
    </w:p>
    <w:p w14:paraId="26E315DC" w14:textId="77777777" w:rsidR="0056123D" w:rsidRPr="0097540D" w:rsidRDefault="0056123D" w:rsidP="0056123D">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hAnsi="Times New Roman"/>
          <w:sz w:val="24"/>
          <w:szCs w:val="24"/>
        </w:rPr>
        <w:t>“</w:t>
      </w:r>
      <w:r w:rsidRPr="00B361B9">
        <w:rPr>
          <w:rFonts w:ascii="Times New Roman" w:eastAsia="Times New Roman" w:hAnsi="Times New Roman"/>
          <w:sz w:val="24"/>
          <w:szCs w:val="24"/>
        </w:rPr>
        <w:t xml:space="preserve">The Court finds Defendant has sufficiently demonstrated that NPS </w:t>
      </w:r>
      <w:r>
        <w:rPr>
          <w:rFonts w:ascii="Times New Roman" w:eastAsia="Times New Roman" w:hAnsi="Times New Roman"/>
          <w:sz w:val="24"/>
          <w:szCs w:val="24"/>
        </w:rPr>
        <w:t xml:space="preserve">[National Park Service] </w:t>
      </w:r>
      <w:r w:rsidRPr="00B361B9">
        <w:rPr>
          <w:rFonts w:ascii="Times New Roman" w:eastAsia="Times New Roman" w:hAnsi="Times New Roman"/>
          <w:sz w:val="24"/>
          <w:szCs w:val="24"/>
        </w:rPr>
        <w:t>responded quickly and appropriately to Conner's emergency, sending medically trained law enforcement rangers to help him, and that the first responder team dispatched within minutes of receiving the 9-1-1 call</w:t>
      </w:r>
      <w:r>
        <w:rPr>
          <w:rFonts w:ascii="Times New Roman" w:eastAsia="Times New Roman" w:hAnsi="Times New Roman"/>
          <w:sz w:val="24"/>
          <w:szCs w:val="24"/>
        </w:rPr>
        <w:t xml:space="preserve">…. </w:t>
      </w:r>
      <w:r w:rsidRPr="00B361B9">
        <w:rPr>
          <w:rFonts w:ascii="Times New Roman" w:eastAsia="Times New Roman" w:hAnsi="Times New Roman"/>
          <w:sz w:val="24"/>
          <w:szCs w:val="24"/>
        </w:rPr>
        <w:t xml:space="preserve">Rangers hiked to Conner's location to render aid, working to resuscitate him. While Plaintiff alleges that Conner was deprived of the opportunity to be evacuated by the NPS </w:t>
      </w:r>
      <w:r>
        <w:rPr>
          <w:rFonts w:ascii="Times New Roman" w:eastAsia="Times New Roman" w:hAnsi="Times New Roman"/>
          <w:sz w:val="24"/>
          <w:szCs w:val="24"/>
        </w:rPr>
        <w:t>‘</w:t>
      </w:r>
      <w:r w:rsidRPr="00B361B9">
        <w:rPr>
          <w:rFonts w:ascii="Times New Roman" w:eastAsia="Times New Roman" w:hAnsi="Times New Roman"/>
          <w:sz w:val="24"/>
          <w:szCs w:val="24"/>
        </w:rPr>
        <w:t>exclusive use helicopter,</w:t>
      </w:r>
      <w:r>
        <w:rPr>
          <w:rFonts w:ascii="Times New Roman" w:eastAsia="Times New Roman" w:hAnsi="Times New Roman"/>
          <w:sz w:val="24"/>
          <w:szCs w:val="24"/>
        </w:rPr>
        <w:t>’</w:t>
      </w:r>
      <w:r w:rsidRPr="00B361B9">
        <w:rPr>
          <w:rFonts w:ascii="Times New Roman" w:eastAsia="Times New Roman" w:hAnsi="Times New Roman"/>
          <w:sz w:val="24"/>
          <w:szCs w:val="24"/>
        </w:rPr>
        <w:t xml:space="preserve"> Defendant has established such service does not operate in December, regardless of whether a federal shutdown occurs</w:t>
      </w:r>
      <w:r>
        <w:rPr>
          <w:rFonts w:ascii="Times New Roman" w:eastAsia="Times New Roman" w:hAnsi="Times New Roman"/>
          <w:sz w:val="24"/>
          <w:szCs w:val="24"/>
        </w:rPr>
        <w:t xml:space="preserve">. *** </w:t>
      </w:r>
      <w:r w:rsidRPr="0097540D">
        <w:rPr>
          <w:rFonts w:ascii="Times New Roman" w:hAnsi="Times New Roman"/>
          <w:sz w:val="24"/>
          <w:szCs w:val="24"/>
        </w:rPr>
        <w:t>Based on the above discussion pertaining to the FTCA and California's recreational immunity statute as applied to the facts here, the Court recommends the Defendant's Rule 12(b)(1) motion to dismiss for lack of jurisdiction be granted.</w:t>
      </w:r>
      <w:r>
        <w:rPr>
          <w:rFonts w:ascii="Times New Roman" w:hAnsi="Times New Roman"/>
          <w:sz w:val="24"/>
          <w:szCs w:val="24"/>
        </w:rPr>
        <w:t xml:space="preserve">” </w:t>
      </w:r>
      <w:hyperlink r:id="rId156" w:history="1">
        <w:r w:rsidRPr="00916560">
          <w:rPr>
            <w:rStyle w:val="Hyperlink"/>
            <w:rFonts w:ascii="Times New Roman" w:hAnsi="Times New Roman"/>
            <w:sz w:val="24"/>
            <w:szCs w:val="24"/>
          </w:rPr>
          <w:t>https://public.fastcase.com/ZZhmr5v9wN%2FXOe5IsQ%2FqDx2aoAq%2F1J3XMBw8WA8L1d7o8S2WtY%2BTDnBn3n2%2F0y8X6CyWkgilV2OmVPwbi%2FNntkvFVphnueZifNbADUBhdiU%3D?utm_medium=email&amp;_hsmi=226712652&amp;_hsenc=p2ANqtz--A7cSCsQiKnmkWIbrJV3BH1NDDsIsoOUsxX371tCp7kUULX-TDL4poIpgmi8VFxIZ6Go7w0Api1t7_UP6pxMUzbV5FWQ&amp;utm_content=226712652&amp;utm_source=hs_email</w:t>
        </w:r>
      </w:hyperlink>
      <w:r>
        <w:rPr>
          <w:rFonts w:ascii="Times New Roman" w:hAnsi="Times New Roman"/>
          <w:sz w:val="24"/>
          <w:szCs w:val="24"/>
        </w:rPr>
        <w:t xml:space="preserve"> </w:t>
      </w:r>
    </w:p>
    <w:p w14:paraId="0F949FB1" w14:textId="77777777" w:rsidR="0056123D" w:rsidRPr="000A2984" w:rsidRDefault="0056123D" w:rsidP="0056123D">
      <w:pPr>
        <w:pStyle w:val="NormalWeb"/>
        <w:rPr>
          <w:b/>
          <w:bCs/>
        </w:rPr>
      </w:pPr>
      <w:r w:rsidRPr="000A2984">
        <w:rPr>
          <w:rFonts w:eastAsiaTheme="minorHAnsi"/>
          <w:b/>
          <w:bCs/>
          <w:kern w:val="2"/>
          <w14:ligatures w14:val="standardContextual"/>
        </w:rPr>
        <w:t xml:space="preserve">Legal Lasson Learned: </w:t>
      </w:r>
      <w:r>
        <w:rPr>
          <w:rFonts w:eastAsiaTheme="minorHAnsi"/>
          <w:b/>
          <w:bCs/>
          <w:kern w:val="2"/>
          <w14:ligatures w14:val="standardContextual"/>
        </w:rPr>
        <w:t xml:space="preserve"> The California recreational immunity statute was enacted to encourage property owners to engage in hiking and other recreational activities. </w:t>
      </w:r>
    </w:p>
    <w:p w14:paraId="53BEF6C8" w14:textId="77777777" w:rsidR="0056123D" w:rsidRDefault="0056123D" w:rsidP="0056123D">
      <w:pPr>
        <w:pStyle w:val="NormalWeb"/>
        <w:ind w:left="720"/>
      </w:pPr>
      <w:r>
        <w:lastRenderedPageBreak/>
        <w:t xml:space="preserve">Note: The California statute provides that: “An owner of any estate or any other interest in real property, whether possessory or nonpossessory, owes no duty of care to keep the premises safe for entry or use by others for any recreational purpose or to give any warning of hazardous conditions, uses of, structures, or activities on those premises to persons entering for a recreational purpose, except as provided in this section.” Cal. Civ. Code § 846(a). California's recreational immunity statute “was enacted to encourage property owners to allow the general public to engage in recreational activities free of charge on privately owned property.” Hubbard v. Brown, 50 Cal.3d 189, 193 (1990) (citations omitted). </w:t>
      </w:r>
    </w:p>
    <w:p w14:paraId="79988309" w14:textId="77777777" w:rsidR="0056123D" w:rsidRDefault="0056123D" w:rsidP="00F326E5">
      <w:pPr>
        <w:pStyle w:val="NoSpacing"/>
        <w:rPr>
          <w:rFonts w:ascii="Arial Black" w:hAnsi="Arial Black"/>
          <w:sz w:val="24"/>
          <w:szCs w:val="24"/>
        </w:rPr>
      </w:pPr>
    </w:p>
    <w:p w14:paraId="6FEA70B3" w14:textId="028313BA" w:rsidR="0056123D" w:rsidRDefault="0056123D" w:rsidP="00F326E5">
      <w:pPr>
        <w:pStyle w:val="NoSpacing"/>
        <w:rPr>
          <w:rFonts w:ascii="Arial Black" w:hAnsi="Arial Black"/>
          <w:sz w:val="24"/>
          <w:szCs w:val="24"/>
        </w:rPr>
      </w:pPr>
      <w:r>
        <w:rPr>
          <w:rFonts w:ascii="Arial Black" w:hAnsi="Arial Black"/>
          <w:sz w:val="24"/>
          <w:szCs w:val="24"/>
        </w:rPr>
        <w:t>1-133</w:t>
      </w:r>
    </w:p>
    <w:p w14:paraId="2EE37A52" w14:textId="77777777" w:rsidR="0056123D" w:rsidRDefault="0056123D" w:rsidP="0056123D">
      <w:pPr>
        <w:pStyle w:val="NormalWeb"/>
        <w:rPr>
          <w:b/>
          <w:bCs/>
        </w:rPr>
      </w:pPr>
      <w:r>
        <w:rPr>
          <w:rFonts w:ascii="Arial Black" w:hAnsi="Arial Black"/>
          <w:b/>
          <w:bCs/>
          <w:sz w:val="28"/>
          <w:szCs w:val="28"/>
        </w:rPr>
        <w:t>CA: ARSON – BURNED DRY GRASS IN FIELD IN 2021 – JURY PROPERLY INFORMED 2014 INCIDENT PRIOR GRASS FIRE</w:t>
      </w:r>
    </w:p>
    <w:p w14:paraId="67D8630B" w14:textId="77777777" w:rsidR="0056123D" w:rsidRPr="006F2A68" w:rsidRDefault="0056123D" w:rsidP="0056123D">
      <w:pPr>
        <w:pStyle w:val="NormalWeb"/>
      </w:pPr>
      <w:r w:rsidRPr="006F2A68">
        <w:t xml:space="preserve">On Sept. 20, 2023, </w:t>
      </w:r>
      <w:r>
        <w:t xml:space="preserve">in </w:t>
      </w:r>
      <w:r w:rsidRPr="006F2A68">
        <w:rPr>
          <w:u w:val="single"/>
        </w:rPr>
        <w:t>The People v. Alejandro Marin</w:t>
      </w:r>
      <w:r>
        <w:t xml:space="preserve">, </w:t>
      </w:r>
      <w:r w:rsidRPr="006F2A68">
        <w:rPr>
          <w:b/>
          <w:bCs/>
        </w:rPr>
        <w:t xml:space="preserve"> </w:t>
      </w:r>
      <w:r w:rsidRPr="006F2A68">
        <w:t xml:space="preserve">the California Court of Appeals, First District, Fifth Division, </w:t>
      </w:r>
      <w:r>
        <w:t>held (3 to 0; unpublished decision) that defendant’s conviction of arson for lighting dry grass near a river trail in Napa was affirmed;  trial court properly allowed jury to learn of the prior incident [not charged] in 2014 where he lit a fire near base of tree and planned to sleep there.</w:t>
      </w:r>
    </w:p>
    <w:p w14:paraId="735C933B" w14:textId="77777777" w:rsidR="0056123D" w:rsidRDefault="0056123D" w:rsidP="0056123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“A</w:t>
      </w:r>
      <w:r w:rsidRPr="006F2A68">
        <w:rPr>
          <w:rFonts w:ascii="Times New Roman" w:eastAsia="Times New Roman" w:hAnsi="Times New Roman"/>
          <w:sz w:val="24"/>
          <w:szCs w:val="24"/>
        </w:rPr>
        <w:t xml:space="preserve">ppellant argues the 2014 incident had minimal probative value and was highly prejudicial. We find no abuse of discretion. First, the 2014 incident was probative of appellant's awareness of the substantial risk of causing a fire in a dry, grassy area, as relevant to the lesser included offense. The incident was also probative of whether appellant would be likely to be careless with a lit object such as a cigarette in a dry, grassy area, or whether any fire started by him was likely to be intentional. Appellant argues the 2014 incident was too dissimilar from the charged offense to be probative because he set the fire in 2014 to stay warm while he slept, while the charged event took place on a mild morning. </w:t>
      </w:r>
      <w:r>
        <w:rPr>
          <w:rFonts w:ascii="Times New Roman" w:eastAsia="Times New Roman" w:hAnsi="Times New Roman"/>
          <w:sz w:val="24"/>
          <w:szCs w:val="24"/>
        </w:rPr>
        <w:t>‘</w:t>
      </w:r>
      <w:r w:rsidRPr="006F2A68">
        <w:rPr>
          <w:rFonts w:ascii="Times New Roman" w:eastAsia="Times New Roman" w:hAnsi="Times New Roman"/>
          <w:sz w:val="24"/>
          <w:szCs w:val="24"/>
        </w:rPr>
        <w:t>In order to be relevant, the 'least degree of similarity (between the uncharged act and the charged offense) is required in order to prove intent.</w:t>
      </w:r>
      <w:r>
        <w:rPr>
          <w:rFonts w:ascii="Times New Roman" w:eastAsia="Times New Roman" w:hAnsi="Times New Roman"/>
          <w:sz w:val="24"/>
          <w:szCs w:val="24"/>
        </w:rPr>
        <w:t>’</w:t>
      </w:r>
      <w:r w:rsidRPr="006F2A68">
        <w:rPr>
          <w:rFonts w:ascii="Times New Roman" w:eastAsia="Times New Roman" w:hAnsi="Times New Roman"/>
          <w:sz w:val="24"/>
          <w:szCs w:val="24"/>
        </w:rPr>
        <w:t xml:space="preserve"> (</w:t>
      </w:r>
      <w:r w:rsidRPr="006F2A68">
        <w:rPr>
          <w:rFonts w:ascii="Times New Roman" w:eastAsia="Times New Roman" w:hAnsi="Times New Roman"/>
          <w:i/>
          <w:iCs/>
          <w:sz w:val="24"/>
          <w:szCs w:val="24"/>
        </w:rPr>
        <w:t>People v. Molano</w:t>
      </w:r>
      <w:r w:rsidRPr="006F2A68">
        <w:rPr>
          <w:rFonts w:ascii="Times New Roman" w:eastAsia="Times New Roman" w:hAnsi="Times New Roman"/>
          <w:sz w:val="24"/>
          <w:szCs w:val="24"/>
        </w:rPr>
        <w:t xml:space="preserve"> (2019) 7 Cal.5th 620, 665.) In both incidents, appellant started a fire in a dry, grassy area; this similarity is sufficient for purposes of intent. Appellant also contends the evidence was cumulative because it is common knowledge that lighting things on fire leads to fire. Given that appellant claimed he threw a lit cigarette in dry grass, evidence that appellant was aware of the dangers of lit objects near dry grass was relevant.</w:t>
      </w:r>
      <w:r>
        <w:rPr>
          <w:rFonts w:ascii="Times New Roman" w:eastAsia="Times New Roman" w:hAnsi="Times New Roman"/>
          <w:sz w:val="24"/>
          <w:szCs w:val="24"/>
        </w:rPr>
        <w:t xml:space="preserve">” </w:t>
      </w:r>
      <w:hyperlink r:id="rId157" w:history="1">
        <w:r w:rsidRPr="00633022">
          <w:rPr>
            <w:rStyle w:val="Hyperlink"/>
            <w:rFonts w:ascii="Times New Roman" w:eastAsia="Times New Roman" w:hAnsi="Times New Roman"/>
            <w:sz w:val="24"/>
            <w:szCs w:val="24"/>
          </w:rPr>
          <w:t>https://public.fastcase.com/ZZhmr5v9wN%2FXOe5IsQ%2FqD2fzv3LeHoflue5q9psYL7ORT%2BZZIoU2RVo8o6kc8WH7t7R2fWOBL%2B6EWJeWP%2BK6nygdTJbos59lEHeljv9w%2F%2Bc%3D?utm_medium=email&amp;_hsmi=226712652&amp;_hsenc=p2ANqtz-9_BwSf3Cp56T9vKm_WV06wXpWhxnLFIP0rTKtRtiI7Ej-XlIsGIA-Piz3XwrAq08q95_o9LD6MRwwtLQfaW73VBnYSKQ&amp;utm_content=226712652&amp;utm_source=hs_email</w:t>
        </w:r>
      </w:hyperlink>
      <w:r>
        <w:rPr>
          <w:rFonts w:ascii="Times New Roman" w:eastAsia="Times New Roman" w:hAnsi="Times New Roman"/>
          <w:sz w:val="24"/>
          <w:szCs w:val="24"/>
        </w:rPr>
        <w:t xml:space="preserve"> </w:t>
      </w:r>
    </w:p>
    <w:p w14:paraId="3FAA3B60" w14:textId="77777777" w:rsidR="0056123D" w:rsidRPr="00844AE1" w:rsidRDefault="0056123D" w:rsidP="0056123D">
      <w:pPr>
        <w:pStyle w:val="NormalWeb"/>
        <w:rPr>
          <w:b/>
          <w:bCs/>
        </w:rPr>
      </w:pPr>
      <w:r w:rsidRPr="00844AE1">
        <w:rPr>
          <w:b/>
          <w:bCs/>
        </w:rPr>
        <w:t xml:space="preserve">Legal Lesson Learned: </w:t>
      </w:r>
      <w:r>
        <w:rPr>
          <w:b/>
          <w:bCs/>
        </w:rPr>
        <w:t xml:space="preserve">Prior incident of starting fire in forest area showed he again acted willfully and recklessly. </w:t>
      </w:r>
    </w:p>
    <w:p w14:paraId="1A031D67" w14:textId="77777777" w:rsidR="0056123D" w:rsidRDefault="0056123D" w:rsidP="00F326E5">
      <w:pPr>
        <w:pStyle w:val="NoSpacing"/>
        <w:rPr>
          <w:rFonts w:ascii="Arial Black" w:hAnsi="Arial Black"/>
          <w:sz w:val="24"/>
          <w:szCs w:val="24"/>
        </w:rPr>
      </w:pPr>
    </w:p>
    <w:p w14:paraId="1277DD22" w14:textId="77777777" w:rsidR="0056123D" w:rsidRDefault="0056123D" w:rsidP="00F326E5">
      <w:pPr>
        <w:pStyle w:val="NoSpacing"/>
        <w:rPr>
          <w:rFonts w:ascii="Arial Black" w:hAnsi="Arial Black"/>
          <w:sz w:val="24"/>
          <w:szCs w:val="24"/>
        </w:rPr>
      </w:pPr>
    </w:p>
    <w:p w14:paraId="5FB118E9" w14:textId="77777777" w:rsidR="0056123D" w:rsidRDefault="0056123D" w:rsidP="00F326E5">
      <w:pPr>
        <w:pStyle w:val="NoSpacing"/>
        <w:rPr>
          <w:rFonts w:ascii="Arial Black" w:hAnsi="Arial Black"/>
          <w:sz w:val="24"/>
          <w:szCs w:val="24"/>
        </w:rPr>
      </w:pPr>
    </w:p>
    <w:p w14:paraId="5110CEAF" w14:textId="33410031" w:rsidR="009B0593" w:rsidRDefault="009B0593" w:rsidP="00F326E5">
      <w:pPr>
        <w:pStyle w:val="NoSpacing"/>
        <w:rPr>
          <w:rFonts w:ascii="Arial Black" w:hAnsi="Arial Black"/>
          <w:sz w:val="24"/>
          <w:szCs w:val="24"/>
        </w:rPr>
      </w:pPr>
      <w:r>
        <w:rPr>
          <w:rFonts w:ascii="Arial Black" w:hAnsi="Arial Black"/>
          <w:sz w:val="24"/>
          <w:szCs w:val="24"/>
        </w:rPr>
        <w:t>1-132</w:t>
      </w:r>
    </w:p>
    <w:p w14:paraId="67044F15" w14:textId="77777777" w:rsidR="009B0593" w:rsidRPr="002D0A5E" w:rsidRDefault="009B0593" w:rsidP="009B0593">
      <w:pPr>
        <w:pStyle w:val="NormalWeb"/>
        <w:rPr>
          <w:rFonts w:ascii="Arial Black" w:hAnsi="Arial Black"/>
          <w:b/>
          <w:bCs/>
          <w:sz w:val="28"/>
          <w:szCs w:val="28"/>
        </w:rPr>
      </w:pPr>
      <w:r>
        <w:rPr>
          <w:rFonts w:ascii="Arial Black" w:hAnsi="Arial Black"/>
          <w:b/>
          <w:bCs/>
          <w:sz w:val="28"/>
          <w:szCs w:val="28"/>
        </w:rPr>
        <w:lastRenderedPageBreak/>
        <w:t>AR: HOMELESS MAN CONV. – CAMPFIRE BURNED HALF ACRE - RANGER TESTIFY ORIGIN &amp; CAUSE - LAY WITNESS</w:t>
      </w:r>
    </w:p>
    <w:p w14:paraId="2B5ACA72" w14:textId="77777777" w:rsidR="009B0593" w:rsidRPr="00FB2002" w:rsidRDefault="009B0593" w:rsidP="009B0593">
      <w:pPr>
        <w:pStyle w:val="NormalWeb"/>
      </w:pPr>
      <w:r w:rsidRPr="00FB2002">
        <w:t xml:space="preserve">On Aug. 21, 2023, in </w:t>
      </w:r>
      <w:r w:rsidRPr="00FB2002">
        <w:rPr>
          <w:u w:val="single"/>
        </w:rPr>
        <w:t>United States of America v. Joseph Ronnie Weathington</w:t>
      </w:r>
      <w:r w:rsidRPr="00FB2002">
        <w:t>, Unites States District Court for District of Arizona, U.S. Magistrate Judge Camille D. Bibles, after a two-day bench trial [no jury] found the defendant guilty of not extinguishing his campfire, that led to the “Schoolhouse” wildland fire on July 4, 2022 in Coconino National Forest.  Prior to trial, defense counsel objected to the testimony of Fire Protection Specialist Andrew Hostad because the government didn’t identify or qualify him as an expert witness. The Magistrate held the Fire Protection Specialist, with 13 years’ experience, may testify about cause and origin as a lay witness under Rule 701, Opinion Testimony by Lay Witnesses, based on his observations at wildland fire.</w:t>
      </w:r>
    </w:p>
    <w:p w14:paraId="55154DE1" w14:textId="77777777" w:rsidR="009B0593" w:rsidRPr="00677985" w:rsidRDefault="009B0593" w:rsidP="009B0593">
      <w:pPr>
        <w:pStyle w:val="NormalWeb"/>
        <w:ind w:left="720"/>
      </w:pPr>
      <w:r>
        <w:t xml:space="preserve">“T]he </w:t>
      </w:r>
      <w:r w:rsidRPr="00677985">
        <w:t xml:space="preserve">Court concluded </w:t>
      </w:r>
      <w:proofErr w:type="spellStart"/>
      <w:r w:rsidRPr="00677985">
        <w:t>Hostad's</w:t>
      </w:r>
      <w:proofErr w:type="spellEnd"/>
      <w:r w:rsidRPr="00677985">
        <w:t xml:space="preserve"> testimony was admissible under Rule 701, provided a proper foundation for the testimony was established. The Court qualified this ruling with the provision that </w:t>
      </w:r>
      <w:proofErr w:type="spellStart"/>
      <w:r w:rsidRPr="00677985">
        <w:t>Hostad</w:t>
      </w:r>
      <w:proofErr w:type="spellEnd"/>
      <w:r w:rsidRPr="00677985">
        <w:t xml:space="preserve"> could not </w:t>
      </w:r>
      <w:proofErr w:type="gramStart"/>
      <w:r w:rsidRPr="00677985">
        <w:t>opine regarding</w:t>
      </w:r>
      <w:proofErr w:type="gramEnd"/>
      <w:r w:rsidRPr="00677985">
        <w:t xml:space="preserve"> the fire's origin or source based on speculation, hearsay, or redefining the obvious. The Court also concluded </w:t>
      </w:r>
      <w:proofErr w:type="spellStart"/>
      <w:r w:rsidRPr="00677985">
        <w:t>Hostad's</w:t>
      </w:r>
      <w:proofErr w:type="spellEnd"/>
      <w:r w:rsidRPr="00677985">
        <w:t xml:space="preserve"> testimony related to </w:t>
      </w:r>
      <w:proofErr w:type="gramStart"/>
      <w:r w:rsidRPr="00677985">
        <w:t>personally-observed</w:t>
      </w:r>
      <w:proofErr w:type="gramEnd"/>
      <w:r w:rsidRPr="00677985">
        <w:t xml:space="preserve"> facts and was not intended solely to implicate Defendant. Additionally, the Court determined </w:t>
      </w:r>
      <w:proofErr w:type="spellStart"/>
      <w:r w:rsidRPr="00677985">
        <w:t>Hostad's</w:t>
      </w:r>
      <w:proofErr w:type="spellEnd"/>
      <w:r w:rsidRPr="00677985">
        <w:t xml:space="preserve"> testimony was credible and reliable.</w:t>
      </w:r>
      <w:r>
        <w:t xml:space="preserve">” </w:t>
      </w:r>
      <w:hyperlink r:id="rId158" w:history="1">
        <w:r w:rsidRPr="00155841">
          <w:rPr>
            <w:rStyle w:val="Hyperlink"/>
            <w:rFonts w:eastAsiaTheme="majorEastAsia"/>
          </w:rPr>
          <w:t>https://casetext.com/case/united-states-v-weathington-3</w:t>
        </w:r>
      </w:hyperlink>
      <w:r>
        <w:t xml:space="preserve"> </w:t>
      </w:r>
    </w:p>
    <w:p w14:paraId="51F370F8" w14:textId="77777777" w:rsidR="009B0593" w:rsidRDefault="009B0593" w:rsidP="009B0593">
      <w:pPr>
        <w:pStyle w:val="NormalWeb"/>
        <w:rPr>
          <w:b/>
          <w:bCs/>
        </w:rPr>
      </w:pPr>
      <w:r>
        <w:rPr>
          <w:b/>
          <w:bCs/>
        </w:rPr>
        <w:t xml:space="preserve">Legal Lesson Learned: Fire investigators may offer their opinion on origin and cause based on their observations at the scene, as lay witness under Rule 70. </w:t>
      </w:r>
    </w:p>
    <w:p w14:paraId="0341B7C2" w14:textId="77777777" w:rsidR="009B0593" w:rsidRDefault="009B0593" w:rsidP="009B0593">
      <w:pPr>
        <w:pStyle w:val="Heading1"/>
        <w:ind w:firstLine="720"/>
        <w:rPr>
          <w:b w:val="0"/>
          <w:bCs w:val="0"/>
          <w:sz w:val="24"/>
          <w:szCs w:val="24"/>
        </w:rPr>
      </w:pPr>
      <w:r>
        <w:rPr>
          <w:b w:val="0"/>
          <w:bCs w:val="0"/>
          <w:sz w:val="24"/>
          <w:szCs w:val="24"/>
        </w:rPr>
        <w:t xml:space="preserve">Note:  </w:t>
      </w:r>
    </w:p>
    <w:p w14:paraId="0B3342E7" w14:textId="77777777" w:rsidR="009B0593" w:rsidRPr="00944FCC" w:rsidRDefault="009B0593" w:rsidP="009B0593">
      <w:pPr>
        <w:pStyle w:val="Heading1"/>
        <w:ind w:left="720"/>
        <w:rPr>
          <w:b w:val="0"/>
          <w:bCs w:val="0"/>
          <w:sz w:val="24"/>
          <w:szCs w:val="24"/>
        </w:rPr>
      </w:pPr>
      <w:r w:rsidRPr="0064709E">
        <w:rPr>
          <w:sz w:val="24"/>
          <w:szCs w:val="24"/>
        </w:rPr>
        <w:t>Rule 701. Opinion Testimony by Lay Witnesses</w:t>
      </w:r>
      <w:r>
        <w:rPr>
          <w:sz w:val="24"/>
          <w:szCs w:val="24"/>
        </w:rPr>
        <w:t xml:space="preserve">; </w:t>
      </w:r>
      <w:hyperlink r:id="rId159" w:history="1">
        <w:r w:rsidRPr="00BB1A19">
          <w:rPr>
            <w:rStyle w:val="Hyperlink"/>
            <w:rFonts w:eastAsiaTheme="majorEastAsia"/>
            <w:b w:val="0"/>
            <w:bCs w:val="0"/>
            <w:sz w:val="24"/>
            <w:szCs w:val="24"/>
          </w:rPr>
          <w:t>https://www.law.cornell.edu/rules/fre/rule_701</w:t>
        </w:r>
      </w:hyperlink>
      <w:r>
        <w:rPr>
          <w:b w:val="0"/>
          <w:bCs w:val="0"/>
          <w:sz w:val="24"/>
          <w:szCs w:val="24"/>
        </w:rPr>
        <w:t xml:space="preserve"> </w:t>
      </w:r>
    </w:p>
    <w:p w14:paraId="489A5EF4" w14:textId="77777777" w:rsidR="009B0593" w:rsidRDefault="009B0593" w:rsidP="009B0593">
      <w:pPr>
        <w:pStyle w:val="statutory-body"/>
        <w:ind w:left="720"/>
      </w:pPr>
      <w:r w:rsidRPr="00944FCC">
        <w:t>If a witness is not testifying as an expert, testimony in the form of an opinion is limited to one that is:</w:t>
      </w:r>
      <w:r>
        <w:t xml:space="preserve"> </w:t>
      </w:r>
      <w:r w:rsidRPr="00944FCC">
        <w:rPr>
          <w:rStyle w:val="Strong"/>
          <w:rFonts w:eastAsiaTheme="majorEastAsia"/>
        </w:rPr>
        <w:t>(a)</w:t>
      </w:r>
      <w:r w:rsidRPr="00944FCC">
        <w:t xml:space="preserve"> rationally based on the witness’s perception;</w:t>
      </w:r>
      <w:r>
        <w:t xml:space="preserve"> </w:t>
      </w:r>
      <w:r w:rsidRPr="00944FCC">
        <w:rPr>
          <w:rStyle w:val="Strong"/>
          <w:rFonts w:eastAsiaTheme="majorEastAsia"/>
        </w:rPr>
        <w:t>(b)</w:t>
      </w:r>
      <w:r w:rsidRPr="00944FCC">
        <w:t xml:space="preserve"> helpful to clearly understanding the witness’s testimony or to determining a fact in issue; and</w:t>
      </w:r>
      <w:r>
        <w:t xml:space="preserve"> </w:t>
      </w:r>
      <w:r w:rsidRPr="00944FCC">
        <w:rPr>
          <w:rStyle w:val="Strong"/>
          <w:rFonts w:eastAsiaTheme="majorEastAsia"/>
        </w:rPr>
        <w:t>(c)</w:t>
      </w:r>
      <w:r w:rsidRPr="00944FCC">
        <w:t xml:space="preserve"> not based on scientific, technical, or other specialized knowledge within the scope of </w:t>
      </w:r>
      <w:hyperlink r:id="rId160" w:history="1">
        <w:r w:rsidRPr="00944FCC">
          <w:rPr>
            <w:rStyle w:val="Hyperlink"/>
            <w:rFonts w:eastAsiaTheme="majorEastAsia"/>
          </w:rPr>
          <w:t>Rule 702</w:t>
        </w:r>
      </w:hyperlink>
      <w:r>
        <w:t>.</w:t>
      </w:r>
    </w:p>
    <w:p w14:paraId="6539889A" w14:textId="77777777" w:rsidR="009B0593" w:rsidRPr="0064709E" w:rsidRDefault="009B0593" w:rsidP="009B0593">
      <w:pPr>
        <w:pStyle w:val="Heading1"/>
        <w:ind w:left="720"/>
        <w:rPr>
          <w:sz w:val="24"/>
          <w:szCs w:val="24"/>
        </w:rPr>
      </w:pPr>
      <w:r w:rsidRPr="0064709E">
        <w:rPr>
          <w:sz w:val="24"/>
          <w:szCs w:val="24"/>
        </w:rPr>
        <w:t>Rule 702. Testimony by Expert Witnesses</w:t>
      </w:r>
      <w:r>
        <w:rPr>
          <w:sz w:val="24"/>
          <w:szCs w:val="24"/>
        </w:rPr>
        <w:t>;</w:t>
      </w:r>
      <w:r w:rsidRPr="0064709E">
        <w:t xml:space="preserve"> </w:t>
      </w:r>
      <w:hyperlink r:id="rId161" w:history="1">
        <w:r w:rsidRPr="0064709E">
          <w:rPr>
            <w:rStyle w:val="Hyperlink"/>
            <w:rFonts w:eastAsiaTheme="majorEastAsia"/>
            <w:b w:val="0"/>
            <w:bCs w:val="0"/>
            <w:sz w:val="24"/>
            <w:szCs w:val="24"/>
          </w:rPr>
          <w:t>https://www.law.cornell.edu/rules/fre/rule_702</w:t>
        </w:r>
      </w:hyperlink>
      <w:r w:rsidRPr="0064709E">
        <w:rPr>
          <w:b w:val="0"/>
          <w:bCs w:val="0"/>
          <w:sz w:val="24"/>
          <w:szCs w:val="24"/>
        </w:rPr>
        <w:t xml:space="preserve"> </w:t>
      </w:r>
    </w:p>
    <w:p w14:paraId="6B3A61EC" w14:textId="77777777" w:rsidR="009B0593" w:rsidRPr="0064709E" w:rsidRDefault="009B0593" w:rsidP="009B0593">
      <w:pPr>
        <w:pStyle w:val="statutory-body"/>
        <w:ind w:left="720"/>
      </w:pPr>
      <w:r w:rsidRPr="0064709E">
        <w:t xml:space="preserve">A witness who is qualified as an expert by knowledge, skill, experience, training, or education may testify in the form of an opinion or otherwise if: </w:t>
      </w:r>
      <w:r w:rsidRPr="0064709E">
        <w:rPr>
          <w:rStyle w:val="Strong"/>
          <w:rFonts w:eastAsiaTheme="majorEastAsia"/>
        </w:rPr>
        <w:t>(a)</w:t>
      </w:r>
      <w:r w:rsidRPr="0064709E">
        <w:t xml:space="preserve"> the expert’s scientific, technical, or other specialized knowledge will help the trier of fact to understand the evidence or to determine a fact in issue; </w:t>
      </w:r>
      <w:r w:rsidRPr="0064709E">
        <w:rPr>
          <w:rStyle w:val="Strong"/>
          <w:rFonts w:eastAsiaTheme="majorEastAsia"/>
        </w:rPr>
        <w:t>(b)</w:t>
      </w:r>
      <w:r w:rsidRPr="0064709E">
        <w:t xml:space="preserve"> the testimony is based on sufficient facts or data; </w:t>
      </w:r>
      <w:r w:rsidRPr="0064709E">
        <w:rPr>
          <w:rStyle w:val="Strong"/>
          <w:rFonts w:eastAsiaTheme="majorEastAsia"/>
        </w:rPr>
        <w:t>(c)</w:t>
      </w:r>
      <w:r w:rsidRPr="0064709E">
        <w:t xml:space="preserve"> the testimony is the product of reliable principles and methods; and </w:t>
      </w:r>
      <w:r w:rsidRPr="0064709E">
        <w:rPr>
          <w:rStyle w:val="Strong"/>
          <w:rFonts w:eastAsiaTheme="majorEastAsia"/>
        </w:rPr>
        <w:t>(d)</w:t>
      </w:r>
      <w:r w:rsidRPr="0064709E">
        <w:t xml:space="preserve"> the expert has reliably applied the principles and methods to the facts of the case.</w:t>
      </w:r>
    </w:p>
    <w:p w14:paraId="66D07ACF" w14:textId="77777777" w:rsidR="009B0593" w:rsidRDefault="009B0593" w:rsidP="00F326E5">
      <w:pPr>
        <w:pStyle w:val="NoSpacing"/>
        <w:rPr>
          <w:rFonts w:ascii="Arial Black" w:hAnsi="Arial Black"/>
          <w:sz w:val="24"/>
          <w:szCs w:val="24"/>
        </w:rPr>
      </w:pPr>
    </w:p>
    <w:p w14:paraId="0825B9A1" w14:textId="77777777" w:rsidR="009B0593" w:rsidRDefault="009B0593" w:rsidP="00F326E5">
      <w:pPr>
        <w:pStyle w:val="NoSpacing"/>
        <w:rPr>
          <w:rFonts w:ascii="Arial Black" w:hAnsi="Arial Black"/>
          <w:sz w:val="24"/>
          <w:szCs w:val="24"/>
        </w:rPr>
      </w:pPr>
    </w:p>
    <w:p w14:paraId="33D00C26" w14:textId="77777777" w:rsidR="009B0593" w:rsidRDefault="009B0593" w:rsidP="00F326E5">
      <w:pPr>
        <w:pStyle w:val="NoSpacing"/>
        <w:rPr>
          <w:rFonts w:ascii="Arial Black" w:hAnsi="Arial Black"/>
          <w:sz w:val="24"/>
          <w:szCs w:val="24"/>
        </w:rPr>
      </w:pPr>
    </w:p>
    <w:p w14:paraId="758C51B0" w14:textId="2A4F006D" w:rsidR="00411936" w:rsidRDefault="00411936" w:rsidP="00F326E5">
      <w:pPr>
        <w:pStyle w:val="NoSpacing"/>
        <w:rPr>
          <w:rFonts w:ascii="Arial Black" w:hAnsi="Arial Black"/>
          <w:sz w:val="24"/>
          <w:szCs w:val="24"/>
        </w:rPr>
      </w:pPr>
      <w:r>
        <w:rPr>
          <w:rFonts w:ascii="Arial Black" w:hAnsi="Arial Black"/>
          <w:sz w:val="24"/>
          <w:szCs w:val="24"/>
        </w:rPr>
        <w:t>1-131</w:t>
      </w:r>
    </w:p>
    <w:p w14:paraId="5DE6D9A7" w14:textId="77777777" w:rsidR="00411936" w:rsidRPr="00C13763" w:rsidRDefault="00411936" w:rsidP="00411936">
      <w:pPr>
        <w:pStyle w:val="NormalWeb"/>
        <w:rPr>
          <w:rFonts w:ascii="Arial Black" w:hAnsi="Arial Black"/>
          <w:sz w:val="28"/>
          <w:szCs w:val="28"/>
        </w:rPr>
      </w:pPr>
      <w:r>
        <w:rPr>
          <w:rFonts w:ascii="Arial Black" w:hAnsi="Arial Black"/>
          <w:sz w:val="28"/>
          <w:szCs w:val="28"/>
        </w:rPr>
        <w:t>CA: BURN BARRELL WAS WASHING MACHINE CYLINDER – REFUSED PUT OUT - $500 FINE UPHELD – PHOTOS HELPFUL</w:t>
      </w:r>
    </w:p>
    <w:p w14:paraId="7C38B8CD" w14:textId="77777777" w:rsidR="00411936" w:rsidRDefault="00411936" w:rsidP="00411936">
      <w:pPr>
        <w:pStyle w:val="NormalWeb"/>
      </w:pPr>
      <w:r>
        <w:t xml:space="preserve">On July 21, 2023, in </w:t>
      </w:r>
      <w:r w:rsidRPr="00C13763">
        <w:rPr>
          <w:u w:val="single"/>
        </w:rPr>
        <w:t>Chuck Dunn v. Kern County, et al.</w:t>
      </w:r>
      <w:r>
        <w:t xml:space="preserve">, the California Court of Appeals, Fifth District, held (3 to 0, unpublished opinion) held that the citation was proper.  Mr. Dunn refused on June 5, </w:t>
      </w:r>
      <w:proofErr w:type="gramStart"/>
      <w:r>
        <w:t>2017</w:t>
      </w:r>
      <w:proofErr w:type="gramEnd"/>
      <w:r>
        <w:t xml:space="preserve"> to put out the fire, in a washing machine cylinder, flames two to four feet above the cylinder, and it was in an area of </w:t>
      </w:r>
      <w:r>
        <w:lastRenderedPageBreak/>
        <w:t xml:space="preserve">California where there had recently been a devastating </w:t>
      </w:r>
      <w:proofErr w:type="gramStart"/>
      <w:r>
        <w:t>wildland fire</w:t>
      </w:r>
      <w:proofErr w:type="gramEnd"/>
      <w:r>
        <w:t xml:space="preserve">. He was not using the fire to cook food. Photos taken at the scene were reviewed in hearing before a Fire Captain, and then on appeal to Kern County Board of Supervisors on Dec. 5, 2017, and on appeal before Kern County Superior Court judge on February 15, 2022. </w:t>
      </w:r>
    </w:p>
    <w:p w14:paraId="27168836" w14:textId="77777777" w:rsidR="00411936" w:rsidRDefault="00411936" w:rsidP="00411936">
      <w:pPr>
        <w:pStyle w:val="NormalWeb"/>
      </w:pPr>
      <w:r>
        <w:t>The Court held:</w:t>
      </w:r>
    </w:p>
    <w:p w14:paraId="765960E3" w14:textId="26743D49" w:rsidR="00411936" w:rsidRPr="007035CA" w:rsidRDefault="00411936" w:rsidP="00411936">
      <w:pPr>
        <w:pStyle w:val="NoSpacing"/>
        <w:rPr>
          <w:rFonts w:ascii="Times New Roman" w:hAnsi="Times New Roman"/>
          <w:sz w:val="24"/>
          <w:szCs w:val="24"/>
        </w:rPr>
      </w:pPr>
      <w:r w:rsidRPr="007035CA">
        <w:rPr>
          <w:rFonts w:ascii="Times New Roman" w:hAnsi="Times New Roman"/>
          <w:sz w:val="24"/>
          <w:szCs w:val="24"/>
        </w:rPr>
        <w:t xml:space="preserve">“Clearly, the fire prevention officials were especially concerned because an apparently devastating fire had damaged the region in the recent past. Notwithstanding the factual disputes present in this case and recognizing firepits and outdoor barbecues are in common use, the concerns of the authorities regarding what they regarded as unsafe burning based on </w:t>
      </w:r>
      <w:proofErr w:type="gramStart"/>
      <w:r w:rsidRPr="007035CA">
        <w:rPr>
          <w:rFonts w:ascii="Times New Roman" w:hAnsi="Times New Roman"/>
          <w:sz w:val="24"/>
          <w:szCs w:val="24"/>
        </w:rPr>
        <w:t>particular conditions</w:t>
      </w:r>
      <w:proofErr w:type="gramEnd"/>
      <w:r w:rsidRPr="007035CA">
        <w:rPr>
          <w:rFonts w:ascii="Times New Roman" w:hAnsi="Times New Roman"/>
          <w:sz w:val="24"/>
          <w:szCs w:val="24"/>
        </w:rPr>
        <w:t xml:space="preserve"> are significant. The fact that </w:t>
      </w:r>
      <w:proofErr w:type="gramStart"/>
      <w:r w:rsidRPr="007035CA">
        <w:rPr>
          <w:rFonts w:ascii="Times New Roman" w:hAnsi="Times New Roman"/>
          <w:sz w:val="24"/>
          <w:szCs w:val="24"/>
        </w:rPr>
        <w:t>petitioner</w:t>
      </w:r>
      <w:proofErr w:type="gramEnd"/>
      <w:r w:rsidRPr="007035CA">
        <w:rPr>
          <w:rFonts w:ascii="Times New Roman" w:hAnsi="Times New Roman"/>
          <w:sz w:val="24"/>
          <w:szCs w:val="24"/>
        </w:rPr>
        <w:t xml:space="preserve"> refused requests to extinguish what officials regarded as an unsafe fire cannot be ignored. Taking all of this into consideration and following the dictates of the law that require courts review administrative decisions with deference, we conclude there was sufficient evidence to justify the citation. </w:t>
      </w:r>
      <w:proofErr w:type="gramStart"/>
      <w:r w:rsidRPr="007035CA">
        <w:rPr>
          <w:rFonts w:ascii="Times New Roman" w:hAnsi="Times New Roman"/>
          <w:sz w:val="24"/>
          <w:szCs w:val="24"/>
        </w:rPr>
        <w:t>For the reasons that</w:t>
      </w:r>
      <w:proofErr w:type="gramEnd"/>
      <w:r w:rsidRPr="007035CA">
        <w:rPr>
          <w:rFonts w:ascii="Times New Roman" w:hAnsi="Times New Roman"/>
          <w:sz w:val="24"/>
          <w:szCs w:val="24"/>
        </w:rPr>
        <w:t xml:space="preserve"> follow, we affirm the trial court's judgment.” </w:t>
      </w:r>
      <w:hyperlink r:id="rId162" w:history="1">
        <w:r w:rsidRPr="007035CA">
          <w:rPr>
            <w:rStyle w:val="Hyperlink"/>
            <w:rFonts w:ascii="Times New Roman" w:eastAsiaTheme="majorEastAsia" w:hAnsi="Times New Roman"/>
            <w:sz w:val="24"/>
            <w:szCs w:val="24"/>
          </w:rPr>
          <w:t>https://public.fastcase.com/ZZhmr5v9wN%2FXOe5IsQ%2FqD3QWuMgnFl%2B3o%2F4uUFiu6RUK1p7KFM%2BXOmaedKhzNCbabAKegQ7cA7QRQh6Aya7idRlRF78qeqCUoqW17wj1IUw%3D?utm_medium=email&amp;_hsmi=226712652&amp;_hsenc=p2ANqtz-87CRXhJMi7biUmbeSml1AgtAY_NVYdYjA00lD_OXsZo9fEN5Imr0EyPY0zfsM2_JyagzI4vAzpnYyJYIEoZ9qDDKxGPw&amp;utm_content=226712652&amp;utm_source=hs_email</w:t>
        </w:r>
      </w:hyperlink>
    </w:p>
    <w:p w14:paraId="236A8650" w14:textId="77777777" w:rsidR="00411936" w:rsidRDefault="00411936" w:rsidP="00F326E5">
      <w:pPr>
        <w:pStyle w:val="NoSpacing"/>
        <w:rPr>
          <w:rFonts w:ascii="Arial Black" w:hAnsi="Arial Black"/>
          <w:sz w:val="24"/>
          <w:szCs w:val="24"/>
        </w:rPr>
      </w:pPr>
    </w:p>
    <w:p w14:paraId="057AD691" w14:textId="77777777" w:rsidR="00411936" w:rsidRPr="00DD4297" w:rsidRDefault="00411936" w:rsidP="00411936">
      <w:pPr>
        <w:pStyle w:val="NormalWeb"/>
        <w:rPr>
          <w:b/>
          <w:bCs/>
        </w:rPr>
      </w:pPr>
      <w:r w:rsidRPr="00DD4297">
        <w:rPr>
          <w:b/>
          <w:bCs/>
        </w:rPr>
        <w:t xml:space="preserve">Legal Lesson Learned: </w:t>
      </w:r>
      <w:r>
        <w:rPr>
          <w:b/>
          <w:bCs/>
        </w:rPr>
        <w:t xml:space="preserve"> The photographs taken by firefighters supported the citation; Courts review administrative decisions with deference.  </w:t>
      </w:r>
    </w:p>
    <w:p w14:paraId="0BA23C1C" w14:textId="77777777" w:rsidR="00411936" w:rsidRDefault="00411936" w:rsidP="00F326E5">
      <w:pPr>
        <w:pStyle w:val="NoSpacing"/>
        <w:rPr>
          <w:rFonts w:ascii="Arial Black" w:hAnsi="Arial Black"/>
          <w:sz w:val="24"/>
          <w:szCs w:val="24"/>
        </w:rPr>
      </w:pPr>
    </w:p>
    <w:p w14:paraId="4E4B78A6" w14:textId="48AF6428" w:rsidR="00411936" w:rsidRDefault="00411936" w:rsidP="00F326E5">
      <w:pPr>
        <w:pStyle w:val="NoSpacing"/>
        <w:rPr>
          <w:rFonts w:ascii="Arial Black" w:hAnsi="Arial Black"/>
          <w:sz w:val="24"/>
          <w:szCs w:val="24"/>
        </w:rPr>
      </w:pPr>
      <w:r>
        <w:rPr>
          <w:rFonts w:ascii="Arial Black" w:hAnsi="Arial Black"/>
          <w:sz w:val="24"/>
          <w:szCs w:val="24"/>
        </w:rPr>
        <w:t>1-130</w:t>
      </w:r>
    </w:p>
    <w:p w14:paraId="7787A714" w14:textId="77777777" w:rsidR="00411936" w:rsidRPr="00487508" w:rsidRDefault="00411936" w:rsidP="00411936">
      <w:pPr>
        <w:pStyle w:val="NormalWeb"/>
        <w:rPr>
          <w:rFonts w:ascii="Arial Black" w:hAnsi="Arial Black"/>
          <w:sz w:val="28"/>
          <w:szCs w:val="28"/>
        </w:rPr>
      </w:pPr>
      <w:r>
        <w:rPr>
          <w:rFonts w:ascii="Arial Black" w:hAnsi="Arial Black"/>
          <w:sz w:val="28"/>
          <w:szCs w:val="28"/>
        </w:rPr>
        <w:t>NC: BURNING BRUSH – NAT. FOREST 70 ACRE FIRE – NEW TRIAL - MAY TELL JURY THOUGHT WAS ON FAMILY LAND</w:t>
      </w:r>
    </w:p>
    <w:p w14:paraId="2A219869" w14:textId="4D41D0FF" w:rsidR="00411936" w:rsidRDefault="00411936" w:rsidP="00411936">
      <w:pPr>
        <w:pStyle w:val="NormalWeb"/>
      </w:pPr>
      <w:r>
        <w:t xml:space="preserve">On July 15, 2023, in </w:t>
      </w:r>
      <w:r w:rsidRPr="004E7A09">
        <w:rPr>
          <w:u w:val="single"/>
        </w:rPr>
        <w:t>United States of America v. Casey Lee Evans, a/k/a James Casey Lee Evans</w:t>
      </w:r>
      <w:r>
        <w:t>, the 4</w:t>
      </w:r>
      <w:r w:rsidRPr="004E7A09">
        <w:rPr>
          <w:vertAlign w:val="superscript"/>
        </w:rPr>
        <w:t>th</w:t>
      </w:r>
      <w:r>
        <w:t xml:space="preserve"> Circuit Court of Appeals (Richmond, VA) held (3 to 0) that trial judge improperly excluded the defendant’s </w:t>
      </w:r>
      <w:r w:rsidR="00352DD8">
        <w:t xml:space="preserve">proffered </w:t>
      </w:r>
      <w:r>
        <w:t xml:space="preserve">testimony that he thought he was burning brush on April 3, 2020 on his family property.  The jury might have therefore found him not guilty since under federal statute the Government must prove he acted “willfully.” He was sentenced in 2022 to “time served” in federal custody, plus </w:t>
      </w:r>
      <w:r w:rsidRPr="00147114">
        <w:t>two years of supervised release</w:t>
      </w:r>
      <w:r>
        <w:t xml:space="preserve">. The conviction is reversed, and he is now entitled to a new trial. </w:t>
      </w:r>
    </w:p>
    <w:p w14:paraId="65E0CE95" w14:textId="77777777" w:rsidR="00411936" w:rsidRDefault="00411936" w:rsidP="00411936">
      <w:pPr>
        <w:pStyle w:val="NormalWeb"/>
      </w:pPr>
      <w:r>
        <w:t xml:space="preserve">The Court held: </w:t>
      </w:r>
    </w:p>
    <w:p w14:paraId="7C620D2E" w14:textId="77777777" w:rsidR="00411936" w:rsidRDefault="00411936" w:rsidP="00411936">
      <w:pPr>
        <w:pStyle w:val="NormalWeb"/>
        <w:tabs>
          <w:tab w:val="left" w:pos="1980"/>
        </w:tabs>
      </w:pPr>
      <w:r>
        <w:t xml:space="preserve">“To summarize, the Government does not have to prove that the defendant knew he was on federal land or intended to burn federal land to obtain a conviction under 18 U.S.C. § 1855. But the Government does have to prove that the defendant acted willfully, and a defendant may attempt to demonstrate an honest mistake of fact to negate the Government's proof on that score. *** Accordingly, we conclude that the district court made an error of law when it excluded Evans's proffered testimony on the ground that his ‘subjective belief’ about whether he was on his family's property when he set the fire was inadmissible for any purpose ‘because it's not relevant to the issues in this case.’ *** On this record, we cannot say the error was harmless. The excluded testimony was Evans's primary defense. If credited by the jury, the testimony would have squarely raised the issue of whether he made a factual mistake sufficient to cast a reasonable doubt on the willfulness of his actions in setting the fire. The jury, not this Court, must assess the credibility of the proffered testimony and weigh it </w:t>
      </w:r>
      <w:r>
        <w:lastRenderedPageBreak/>
        <w:t>against the Government's evidence to make that judgment…</w:t>
      </w:r>
      <w:r>
        <w:rPr>
          <w:vertAlign w:val="superscript"/>
        </w:rPr>
        <w:t xml:space="preserve">. </w:t>
      </w:r>
      <w:r>
        <w:t xml:space="preserve">For these reasons, we vacate Evans's conviction under 18 U.S.C. § 1855. We remand the case to the district court for further proceedings consistent with this opinion.” </w:t>
      </w:r>
      <w:hyperlink r:id="rId163" w:history="1">
        <w:r w:rsidRPr="00024274">
          <w:rPr>
            <w:rStyle w:val="Hyperlink"/>
            <w:rFonts w:eastAsiaTheme="majorEastAsia"/>
          </w:rPr>
          <w:t>https://www.ca4.uscourts.gov/opinions/224307.P.pdf</w:t>
        </w:r>
      </w:hyperlink>
      <w:r>
        <w:t xml:space="preserve"> </w:t>
      </w:r>
    </w:p>
    <w:p w14:paraId="282BA835" w14:textId="77777777" w:rsidR="00411936" w:rsidRPr="002506DD" w:rsidRDefault="00411936" w:rsidP="00411936">
      <w:pPr>
        <w:pStyle w:val="NormalWeb"/>
        <w:rPr>
          <w:b/>
          <w:bCs/>
        </w:rPr>
      </w:pPr>
      <w:r w:rsidRPr="002506DD">
        <w:rPr>
          <w:b/>
          <w:bCs/>
        </w:rPr>
        <w:t xml:space="preserve">Legal Lesson Learned: </w:t>
      </w:r>
      <w:r>
        <w:rPr>
          <w:b/>
          <w:bCs/>
        </w:rPr>
        <w:t xml:space="preserve">Defendant was entitled to tell jury he believed he was burning brush pile on family land.  Anticipating such a defense, it is very helpful to prosecutors if fire investigators have tape record their interviews, with subject’s permission. </w:t>
      </w:r>
    </w:p>
    <w:p w14:paraId="2DE0C96E" w14:textId="77777777" w:rsidR="00411936" w:rsidRPr="00887D21" w:rsidRDefault="00411936" w:rsidP="00411936">
      <w:pPr>
        <w:pStyle w:val="Heading1"/>
        <w:ind w:left="720"/>
        <w:rPr>
          <w:b w:val="0"/>
          <w:bCs w:val="0"/>
          <w:sz w:val="24"/>
          <w:szCs w:val="24"/>
        </w:rPr>
      </w:pPr>
      <w:r w:rsidRPr="00887D21">
        <w:rPr>
          <w:b w:val="0"/>
          <w:bCs w:val="0"/>
          <w:sz w:val="24"/>
          <w:szCs w:val="24"/>
        </w:rPr>
        <w:t xml:space="preserve">Note: See July 25, </w:t>
      </w:r>
      <w:proofErr w:type="gramStart"/>
      <w:r w:rsidRPr="00887D21">
        <w:rPr>
          <w:b w:val="0"/>
          <w:bCs w:val="0"/>
          <w:sz w:val="24"/>
          <w:szCs w:val="24"/>
        </w:rPr>
        <w:t>2023</w:t>
      </w:r>
      <w:proofErr w:type="gramEnd"/>
      <w:r w:rsidRPr="00887D21">
        <w:rPr>
          <w:b w:val="0"/>
          <w:bCs w:val="0"/>
          <w:sz w:val="24"/>
          <w:szCs w:val="24"/>
        </w:rPr>
        <w:t xml:space="preserve"> article, “Federal Appeals Court throws out conviction for burning of federal </w:t>
      </w:r>
      <w:proofErr w:type="gramStart"/>
      <w:r w:rsidRPr="00887D21">
        <w:rPr>
          <w:b w:val="0"/>
          <w:bCs w:val="0"/>
          <w:sz w:val="24"/>
          <w:szCs w:val="24"/>
        </w:rPr>
        <w:t>Nantahala forest</w:t>
      </w:r>
      <w:proofErr w:type="gramEnd"/>
      <w:r w:rsidRPr="00887D21">
        <w:rPr>
          <w:b w:val="0"/>
          <w:bCs w:val="0"/>
          <w:sz w:val="24"/>
          <w:szCs w:val="24"/>
        </w:rPr>
        <w:t xml:space="preserve">.” </w:t>
      </w:r>
      <w:hyperlink r:id="rId164" w:history="1">
        <w:r w:rsidRPr="00887D21">
          <w:rPr>
            <w:rStyle w:val="Hyperlink"/>
            <w:rFonts w:eastAsiaTheme="majorEastAsia"/>
            <w:b w:val="0"/>
            <w:bCs w:val="0"/>
            <w:sz w:val="24"/>
            <w:szCs w:val="24"/>
          </w:rPr>
          <w:t>https://www.carolinajournal.com/federal-appeals-court-throws-out-conviction-for-burning-of-federal-nantahala-forest/</w:t>
        </w:r>
      </w:hyperlink>
      <w:r w:rsidRPr="00887D21">
        <w:rPr>
          <w:b w:val="0"/>
          <w:bCs w:val="0"/>
          <w:sz w:val="24"/>
          <w:szCs w:val="24"/>
        </w:rPr>
        <w:t xml:space="preserve">  </w:t>
      </w:r>
    </w:p>
    <w:p w14:paraId="239C4213" w14:textId="77777777" w:rsidR="00411936" w:rsidRPr="00140F65" w:rsidRDefault="00411936" w:rsidP="00411936">
      <w:pPr>
        <w:pStyle w:val="Heading1"/>
        <w:ind w:left="720"/>
        <w:rPr>
          <w:b w:val="0"/>
          <w:bCs w:val="0"/>
          <w:sz w:val="24"/>
          <w:szCs w:val="24"/>
        </w:rPr>
      </w:pPr>
      <w:r w:rsidRPr="00140F65">
        <w:rPr>
          <w:b w:val="0"/>
          <w:bCs w:val="0"/>
          <w:sz w:val="24"/>
          <w:szCs w:val="24"/>
        </w:rPr>
        <w:t xml:space="preserve">See Jan. 6, </w:t>
      </w:r>
      <w:proofErr w:type="gramStart"/>
      <w:r w:rsidRPr="00140F65">
        <w:rPr>
          <w:b w:val="0"/>
          <w:bCs w:val="0"/>
          <w:sz w:val="24"/>
          <w:szCs w:val="24"/>
        </w:rPr>
        <w:t>2022</w:t>
      </w:r>
      <w:proofErr w:type="gramEnd"/>
      <w:r w:rsidRPr="00140F65">
        <w:rPr>
          <w:b w:val="0"/>
          <w:bCs w:val="0"/>
          <w:sz w:val="24"/>
          <w:szCs w:val="24"/>
        </w:rPr>
        <w:t xml:space="preserve"> </w:t>
      </w:r>
      <w:proofErr w:type="spellStart"/>
      <w:r w:rsidRPr="00140F65">
        <w:rPr>
          <w:b w:val="0"/>
          <w:bCs w:val="0"/>
          <w:sz w:val="24"/>
          <w:szCs w:val="24"/>
        </w:rPr>
        <w:t>DoJ</w:t>
      </w:r>
      <w:proofErr w:type="spellEnd"/>
      <w:r w:rsidRPr="00140F65">
        <w:rPr>
          <w:b w:val="0"/>
          <w:bCs w:val="0"/>
          <w:sz w:val="24"/>
          <w:szCs w:val="24"/>
        </w:rPr>
        <w:t xml:space="preserve"> Press Release</w:t>
      </w:r>
      <w:r>
        <w:rPr>
          <w:b w:val="0"/>
          <w:bCs w:val="0"/>
          <w:sz w:val="24"/>
          <w:szCs w:val="24"/>
        </w:rPr>
        <w:t>: “</w:t>
      </w:r>
      <w:r w:rsidRPr="00140F65">
        <w:rPr>
          <w:rStyle w:val="field-formatter--string"/>
          <w:b w:val="0"/>
          <w:bCs w:val="0"/>
          <w:sz w:val="24"/>
          <w:szCs w:val="24"/>
        </w:rPr>
        <w:t xml:space="preserve">Asheville Jury Convicts Franklin, N.C. Man </w:t>
      </w:r>
      <w:proofErr w:type="gramStart"/>
      <w:r w:rsidRPr="00140F65">
        <w:rPr>
          <w:rStyle w:val="field-formatter--string"/>
          <w:b w:val="0"/>
          <w:bCs w:val="0"/>
          <w:sz w:val="24"/>
          <w:szCs w:val="24"/>
        </w:rPr>
        <w:t>Of</w:t>
      </w:r>
      <w:proofErr w:type="gramEnd"/>
      <w:r w:rsidRPr="00140F65">
        <w:rPr>
          <w:rStyle w:val="field-formatter--string"/>
          <w:b w:val="0"/>
          <w:bCs w:val="0"/>
          <w:sz w:val="24"/>
          <w:szCs w:val="24"/>
        </w:rPr>
        <w:t xml:space="preserve"> Starting </w:t>
      </w:r>
      <w:proofErr w:type="gramStart"/>
      <w:r w:rsidRPr="00140F65">
        <w:rPr>
          <w:rStyle w:val="field-formatter--string"/>
          <w:b w:val="0"/>
          <w:bCs w:val="0"/>
          <w:sz w:val="24"/>
          <w:szCs w:val="24"/>
        </w:rPr>
        <w:t>A</w:t>
      </w:r>
      <w:proofErr w:type="gramEnd"/>
      <w:r w:rsidRPr="00140F65">
        <w:rPr>
          <w:rStyle w:val="field-formatter--string"/>
          <w:b w:val="0"/>
          <w:bCs w:val="0"/>
          <w:sz w:val="24"/>
          <w:szCs w:val="24"/>
        </w:rPr>
        <w:t xml:space="preserve"> Fire That Burned More Than 70 Acres </w:t>
      </w:r>
      <w:proofErr w:type="gramStart"/>
      <w:r w:rsidRPr="00140F65">
        <w:rPr>
          <w:rStyle w:val="field-formatter--string"/>
          <w:b w:val="0"/>
          <w:bCs w:val="0"/>
          <w:sz w:val="24"/>
          <w:szCs w:val="24"/>
        </w:rPr>
        <w:t>Of</w:t>
      </w:r>
      <w:proofErr w:type="gramEnd"/>
      <w:r w:rsidRPr="00140F65">
        <w:rPr>
          <w:rStyle w:val="field-formatter--string"/>
          <w:b w:val="0"/>
          <w:bCs w:val="0"/>
          <w:sz w:val="24"/>
          <w:szCs w:val="24"/>
        </w:rPr>
        <w:t xml:space="preserve"> Federal Land. </w:t>
      </w:r>
      <w:r w:rsidRPr="00140F65">
        <w:rPr>
          <w:b w:val="0"/>
          <w:bCs w:val="0"/>
          <w:sz w:val="24"/>
          <w:szCs w:val="24"/>
        </w:rPr>
        <w:t>Evans was convicted of willfully setting a fire on federal land, which carries a statutory maximum penalty of five years in prison and a $250,000 fine. Following the guilty verdict, Evans was remanded into federal custody. A sentencing date has not been set.</w:t>
      </w:r>
      <w:r>
        <w:rPr>
          <w:b w:val="0"/>
          <w:bCs w:val="0"/>
          <w:sz w:val="24"/>
          <w:szCs w:val="24"/>
        </w:rPr>
        <w:t xml:space="preserve">” </w:t>
      </w:r>
      <w:hyperlink r:id="rId165" w:history="1">
        <w:r w:rsidRPr="00140F65">
          <w:rPr>
            <w:rStyle w:val="Hyperlink"/>
            <w:rFonts w:eastAsiaTheme="majorEastAsia"/>
            <w:b w:val="0"/>
            <w:bCs w:val="0"/>
            <w:sz w:val="24"/>
            <w:szCs w:val="24"/>
          </w:rPr>
          <w:t>https://www.justice.gov/usao-wdnc/pr/asheville-jury-convicts-franklin-nc-man-starting-fire-burned-more-70-acres-federal-land</w:t>
        </w:r>
      </w:hyperlink>
      <w:r w:rsidRPr="00140F65">
        <w:rPr>
          <w:rStyle w:val="field-formatter--string"/>
          <w:b w:val="0"/>
          <w:bCs w:val="0"/>
          <w:sz w:val="24"/>
          <w:szCs w:val="24"/>
        </w:rPr>
        <w:t xml:space="preserve"> </w:t>
      </w:r>
    </w:p>
    <w:p w14:paraId="3C9FA6D3" w14:textId="77777777" w:rsidR="00411936" w:rsidRDefault="00411936" w:rsidP="00411936">
      <w:pPr>
        <w:pStyle w:val="NormalWeb"/>
      </w:pPr>
    </w:p>
    <w:p w14:paraId="23EBAA7D" w14:textId="77777777" w:rsidR="00411936" w:rsidRDefault="00411936" w:rsidP="00F326E5">
      <w:pPr>
        <w:pStyle w:val="NoSpacing"/>
        <w:rPr>
          <w:rFonts w:ascii="Arial Black" w:hAnsi="Arial Black"/>
          <w:sz w:val="24"/>
          <w:szCs w:val="24"/>
        </w:rPr>
      </w:pPr>
    </w:p>
    <w:p w14:paraId="7DF348E3" w14:textId="77777777" w:rsidR="00411936" w:rsidRDefault="00411936" w:rsidP="00F326E5">
      <w:pPr>
        <w:pStyle w:val="NoSpacing"/>
        <w:rPr>
          <w:rFonts w:ascii="Arial Black" w:hAnsi="Arial Black"/>
          <w:sz w:val="24"/>
          <w:szCs w:val="24"/>
        </w:rPr>
      </w:pPr>
    </w:p>
    <w:p w14:paraId="2FDB9867" w14:textId="77777777" w:rsidR="00411936" w:rsidRDefault="00411936" w:rsidP="00F326E5">
      <w:pPr>
        <w:pStyle w:val="NoSpacing"/>
        <w:rPr>
          <w:rFonts w:ascii="Arial Black" w:hAnsi="Arial Black"/>
          <w:sz w:val="24"/>
          <w:szCs w:val="24"/>
        </w:rPr>
      </w:pPr>
    </w:p>
    <w:p w14:paraId="4FE3B7F7" w14:textId="7940391A" w:rsidR="00411936" w:rsidRDefault="00411936" w:rsidP="00F326E5">
      <w:pPr>
        <w:pStyle w:val="NoSpacing"/>
        <w:rPr>
          <w:rFonts w:ascii="Arial Black" w:hAnsi="Arial Black"/>
          <w:sz w:val="24"/>
          <w:szCs w:val="24"/>
        </w:rPr>
      </w:pPr>
      <w:r>
        <w:rPr>
          <w:rFonts w:ascii="Arial Black" w:hAnsi="Arial Black"/>
          <w:sz w:val="24"/>
          <w:szCs w:val="24"/>
        </w:rPr>
        <w:t>1-129</w:t>
      </w:r>
    </w:p>
    <w:p w14:paraId="0A835ECB" w14:textId="77777777" w:rsidR="00411936" w:rsidRDefault="00411936" w:rsidP="00F326E5">
      <w:pPr>
        <w:pStyle w:val="NoSpacing"/>
        <w:rPr>
          <w:rFonts w:ascii="Arial Black" w:hAnsi="Arial Black"/>
          <w:sz w:val="24"/>
          <w:szCs w:val="24"/>
        </w:rPr>
      </w:pPr>
    </w:p>
    <w:p w14:paraId="66F54AF4" w14:textId="414D1F52" w:rsidR="00411936" w:rsidRPr="006C4D29" w:rsidRDefault="00411936" w:rsidP="00411936">
      <w:pPr>
        <w:pStyle w:val="NormalWeb"/>
        <w:rPr>
          <w:rFonts w:ascii="Arial Black" w:hAnsi="Arial Black"/>
          <w:b/>
          <w:bCs/>
          <w:sz w:val="28"/>
          <w:szCs w:val="28"/>
        </w:rPr>
      </w:pPr>
      <w:r>
        <w:rPr>
          <w:rFonts w:ascii="Arial Black" w:hAnsi="Arial Black"/>
          <w:b/>
          <w:bCs/>
          <w:sz w:val="28"/>
          <w:szCs w:val="28"/>
        </w:rPr>
        <w:t>OH: ARSON – CIRCUMSTANTIAL EVIDENCE SUFFIC</w:t>
      </w:r>
      <w:r w:rsidR="0045392E">
        <w:rPr>
          <w:rFonts w:ascii="Arial Black" w:hAnsi="Arial Black"/>
          <w:b/>
          <w:bCs/>
          <w:sz w:val="28"/>
          <w:szCs w:val="28"/>
        </w:rPr>
        <w:t>I</w:t>
      </w:r>
      <w:r>
        <w:rPr>
          <w:rFonts w:ascii="Arial Black" w:hAnsi="Arial Black"/>
          <w:b/>
          <w:bCs/>
          <w:sz w:val="28"/>
          <w:szCs w:val="28"/>
        </w:rPr>
        <w:t>ENT –</w:t>
      </w:r>
      <w:r w:rsidR="00B3611E">
        <w:rPr>
          <w:rFonts w:ascii="Arial Black" w:hAnsi="Arial Black"/>
          <w:b/>
          <w:bCs/>
          <w:sz w:val="28"/>
          <w:szCs w:val="28"/>
        </w:rPr>
        <w:t xml:space="preserve"> </w:t>
      </w:r>
      <w:r>
        <w:rPr>
          <w:rFonts w:ascii="Arial Black" w:hAnsi="Arial Black"/>
          <w:b/>
          <w:bCs/>
          <w:sz w:val="28"/>
          <w:szCs w:val="28"/>
        </w:rPr>
        <w:t>ARSON REGISTRY STATUTE – JUDGE CAN SET LENGTH</w:t>
      </w:r>
    </w:p>
    <w:p w14:paraId="6B497277" w14:textId="77777777" w:rsidR="00411936" w:rsidRPr="00551DA8" w:rsidRDefault="00411936" w:rsidP="00411936">
      <w:pPr>
        <w:pStyle w:val="NormalWeb"/>
      </w:pPr>
      <w:r w:rsidRPr="00551DA8">
        <w:t xml:space="preserve">On July 13, 2023, in </w:t>
      </w:r>
      <w:r w:rsidRPr="00551DA8">
        <w:rPr>
          <w:u w:val="single"/>
        </w:rPr>
        <w:t>State of Ohio v. Anthony D. Lochart</w:t>
      </w:r>
      <w:r w:rsidRPr="00551DA8">
        <w:t xml:space="preserve">, the Court of Appeals of Ohio, Fifth District, Richland, upheld the jury conviction </w:t>
      </w:r>
      <w:r>
        <w:t xml:space="preserve">on circumstantial evidence </w:t>
      </w:r>
      <w:r w:rsidRPr="00551DA8">
        <w:t xml:space="preserve">and </w:t>
      </w:r>
      <w:r>
        <w:t xml:space="preserve">the </w:t>
      </w:r>
      <w:r w:rsidRPr="00551DA8">
        <w:t xml:space="preserve">sentence of 8-12 years, </w:t>
      </w:r>
      <w:r>
        <w:t xml:space="preserve">but order that he been on </w:t>
      </w:r>
      <w:r w:rsidRPr="00551DA8">
        <w:t>lifetime arson registry</w:t>
      </w:r>
      <w:r>
        <w:t xml:space="preserve"> must be re-sentenced.  Judges must have discretion when imposing registration period; the </w:t>
      </w:r>
      <w:r w:rsidRPr="00551DA8">
        <w:t xml:space="preserve">Ohio statute </w:t>
      </w:r>
      <w:r>
        <w:t xml:space="preserve">to be unconstitutional breach of “separation of powers” because judges can only reduce the period of registration rom lifetime to </w:t>
      </w:r>
      <w:r w:rsidRPr="00551DA8">
        <w:t>not less than 10 year</w:t>
      </w:r>
      <w:r>
        <w:t xml:space="preserve">s only </w:t>
      </w:r>
      <w:r w:rsidRPr="00551DA8">
        <w:t xml:space="preserve">if the judge </w:t>
      </w:r>
      <w:r>
        <w:t>“r</w:t>
      </w:r>
      <w:r w:rsidRPr="00551DA8">
        <w:t>eceives a request from the prosecutor and the investigating law enforcement agency to consider limiting the arson offender's registration period.</w:t>
      </w:r>
      <w:r>
        <w:t>”</w:t>
      </w:r>
      <w:r w:rsidRPr="00551DA8">
        <w:t xml:space="preserve"> </w:t>
      </w:r>
    </w:p>
    <w:p w14:paraId="7BB93AC9" w14:textId="77777777" w:rsidR="00411936" w:rsidRDefault="00411936" w:rsidP="00411936">
      <w:pPr>
        <w:pStyle w:val="NormalWeb"/>
      </w:pPr>
      <w:r>
        <w:t xml:space="preserve">The Court held: </w:t>
      </w:r>
    </w:p>
    <w:p w14:paraId="0C111F18" w14:textId="77777777" w:rsidR="00411936" w:rsidRDefault="00411936" w:rsidP="00411936">
      <w:pPr>
        <w:pStyle w:val="NormalWeb"/>
      </w:pPr>
      <w:r>
        <w:t xml:space="preserve">“Although the evidence was circumstantial, it is well settled that the state may rely on circumstantial evidence to prove an essential element of an offense because ‘circumstantial evidence and direct evidence inherently possess the same probative value[.]’ </w:t>
      </w:r>
      <w:r>
        <w:rPr>
          <w:rStyle w:val="Emphasis"/>
        </w:rPr>
        <w:t>Jenks</w:t>
      </w:r>
      <w:r>
        <w:t xml:space="preserve">, 61 Ohio St.3d 259, 574 N.E.2d 492 at paragraph one of the </w:t>
      </w:r>
      <w:proofErr w:type="gramStart"/>
      <w:r>
        <w:t>syllabus</w:t>
      </w:r>
      <w:proofErr w:type="gramEnd"/>
      <w:r>
        <w:t xml:space="preserve">. Lockhart had both the opportunity and the means to set the </w:t>
      </w:r>
      <w:proofErr w:type="gramStart"/>
      <w:r>
        <w:t>fire</w:t>
      </w:r>
      <w:proofErr w:type="gramEnd"/>
      <w:r>
        <w:t xml:space="preserve"> and we find the jury did not lose its way in finding he did so.</w:t>
      </w:r>
    </w:p>
    <w:p w14:paraId="07E288C1" w14:textId="77777777" w:rsidR="00411936" w:rsidRDefault="00411936" w:rsidP="00411936">
      <w:pPr>
        <w:pStyle w:val="NormalWeb"/>
      </w:pPr>
      <w:r>
        <w:t>***</w:t>
      </w:r>
    </w:p>
    <w:p w14:paraId="18A50DF6" w14:textId="77777777" w:rsidR="00411936" w:rsidRDefault="00411936" w:rsidP="00411936">
      <w:pPr>
        <w:pStyle w:val="NormalWeb"/>
      </w:pPr>
      <w:r>
        <w:t xml:space="preserve">Lockhart on appeal argues the fire could have been started by three D batteries discovered in the closet after the fire. “However, fire Captain Bob Dean, a firefighter and investigator with 28 </w:t>
      </w:r>
      <w:proofErr w:type="spellStart"/>
      <w:r>
        <w:t>years experience</w:t>
      </w:r>
      <w:proofErr w:type="spellEnd"/>
      <w:r>
        <w:t xml:space="preserve"> and hundreds of </w:t>
      </w:r>
      <w:r>
        <w:lastRenderedPageBreak/>
        <w:t xml:space="preserve">fire investigations testified he discovered no circumstance which would lead him to conclude the fire started on its own. He observed melted clothing on the floor of the closet which fueled the fire.  Dean further testified that it was highly unlikely that three D batteries would start a fire and that he has never investigated a fire which was started by batteries.”  </w:t>
      </w:r>
    </w:p>
    <w:p w14:paraId="0F15528A" w14:textId="77777777" w:rsidR="00411936" w:rsidRDefault="00411936" w:rsidP="00411936">
      <w:pPr>
        <w:pStyle w:val="NormalWeb"/>
      </w:pPr>
      <w:r>
        <w:t>***</w:t>
      </w:r>
    </w:p>
    <w:p w14:paraId="400C2624" w14:textId="77777777" w:rsidR="00411936" w:rsidRDefault="00411936" w:rsidP="00411936">
      <w:pPr>
        <w:pStyle w:val="NormalWeb"/>
      </w:pPr>
      <w:r>
        <w:t>Returning to the issue at hand [</w:t>
      </w:r>
      <w:proofErr w:type="gramStart"/>
      <w:r>
        <w:t>period of time</w:t>
      </w:r>
      <w:proofErr w:type="gramEnd"/>
      <w:r>
        <w:t xml:space="preserve"> on arson registry], the Fourth District concluded that R.C. 2909.15(D)(2) violates the separation of powers. </w:t>
      </w:r>
      <w:r>
        <w:rPr>
          <w:rStyle w:val="Emphasis"/>
        </w:rPr>
        <w:t>State v. Dingus</w:t>
      </w:r>
      <w:r>
        <w:t xml:space="preserve">, 2017-Ohio-2619, 81 N.E.3d 513, ¶ 31 (4th Dist.). The court expressed its conclusion as </w:t>
      </w:r>
      <w:proofErr w:type="gramStart"/>
      <w:r>
        <w:t>this: ‘</w:t>
      </w:r>
      <w:proofErr w:type="gramEnd"/>
      <w:r>
        <w:t>By depriving the trial court of the ability to act without the request of the prosecutor and the investigating law enforcement agency, the trial court's independence is compromised. The prosecutor and the investigating law enforcement agency effectively decide which registration periods can be reviewed by the trial court; thus, the prosecutor and the investigating law enforcement agency have an "overruling influence" over the trial court….’ We agree with the Fourth District that this statute violates the separation of powers doctrine.”</w:t>
      </w:r>
    </w:p>
    <w:p w14:paraId="3D8308CC" w14:textId="2D1FFAC9" w:rsidR="00411936" w:rsidRDefault="00411936" w:rsidP="00411936">
      <w:pPr>
        <w:pStyle w:val="NoSpacing"/>
        <w:rPr>
          <w:rFonts w:ascii="Arial Black" w:hAnsi="Arial Black"/>
          <w:sz w:val="24"/>
          <w:szCs w:val="24"/>
        </w:rPr>
      </w:pPr>
      <w:hyperlink r:id="rId166" w:history="1">
        <w:r w:rsidRPr="0052585B">
          <w:rPr>
            <w:rStyle w:val="Hyperlink"/>
            <w:rFonts w:eastAsiaTheme="majorEastAsia"/>
          </w:rPr>
          <w:t>https://public.fastcase.com/ZZhmr5v9wN%2FXOe5IsQ%2FqD6Xx7tREqB5H6wemtf0NyhN8u4NUZnGSAantyLeysRAmLMoHIDaVROEStimemn37zFtbEUi2roRyzYg1DUQ2CNY%3D?utm_medium=email&amp;_hsmi=226712652&amp;_hsenc=p2ANqtz--Q_3moeDoiaeECqEOwyhE0ZXPhDkG4WMrF3I2hrcVk-DQ0PMStF7btAcv6bivJ44RNtnNn6LFTST6ermzb3easneInYg&amp;utm_content=226712652&amp;utm_source=hs_email</w:t>
        </w:r>
      </w:hyperlink>
    </w:p>
    <w:p w14:paraId="2A015DA9" w14:textId="77777777" w:rsidR="00411936" w:rsidRPr="00755D6D" w:rsidRDefault="00411936" w:rsidP="00411936">
      <w:pPr>
        <w:pStyle w:val="NormalWeb"/>
        <w:rPr>
          <w:b/>
          <w:bCs/>
        </w:rPr>
      </w:pPr>
      <w:r w:rsidRPr="00755D6D">
        <w:rPr>
          <w:b/>
          <w:bCs/>
        </w:rPr>
        <w:t xml:space="preserve">Legal Lesson Learned: </w:t>
      </w:r>
      <w:r>
        <w:rPr>
          <w:b/>
          <w:bCs/>
        </w:rPr>
        <w:t>The defendant was properly convicted on circumstantial evidence, including testimony of FD arson investigator with 28 years of experience.</w:t>
      </w:r>
    </w:p>
    <w:p w14:paraId="456F19A4" w14:textId="77777777" w:rsidR="00411936" w:rsidRDefault="00411936" w:rsidP="00F326E5">
      <w:pPr>
        <w:pStyle w:val="NoSpacing"/>
        <w:rPr>
          <w:rFonts w:ascii="Arial Black" w:hAnsi="Arial Black"/>
          <w:sz w:val="24"/>
          <w:szCs w:val="24"/>
        </w:rPr>
      </w:pPr>
    </w:p>
    <w:p w14:paraId="357F20F6" w14:textId="77777777" w:rsidR="00411936" w:rsidRDefault="00411936" w:rsidP="00F326E5">
      <w:pPr>
        <w:pStyle w:val="NoSpacing"/>
        <w:rPr>
          <w:rFonts w:ascii="Arial Black" w:hAnsi="Arial Black"/>
          <w:sz w:val="24"/>
          <w:szCs w:val="24"/>
        </w:rPr>
      </w:pPr>
    </w:p>
    <w:p w14:paraId="4C69CE06" w14:textId="52377B39" w:rsidR="00411936" w:rsidRDefault="00411936" w:rsidP="00F326E5">
      <w:pPr>
        <w:pStyle w:val="NoSpacing"/>
        <w:rPr>
          <w:rFonts w:ascii="Arial Black" w:hAnsi="Arial Black"/>
          <w:sz w:val="24"/>
          <w:szCs w:val="24"/>
        </w:rPr>
      </w:pPr>
      <w:r>
        <w:rPr>
          <w:rFonts w:ascii="Arial Black" w:hAnsi="Arial Black"/>
          <w:sz w:val="24"/>
          <w:szCs w:val="24"/>
        </w:rPr>
        <w:t>1-128</w:t>
      </w:r>
    </w:p>
    <w:p w14:paraId="12131675" w14:textId="77777777" w:rsidR="00411936" w:rsidRDefault="00411936" w:rsidP="00F326E5">
      <w:pPr>
        <w:pStyle w:val="NoSpacing"/>
        <w:rPr>
          <w:rFonts w:ascii="Arial Black" w:hAnsi="Arial Black"/>
          <w:sz w:val="24"/>
          <w:szCs w:val="24"/>
        </w:rPr>
      </w:pPr>
    </w:p>
    <w:p w14:paraId="4A24484D" w14:textId="77777777" w:rsidR="00411936" w:rsidRDefault="00411936" w:rsidP="00411936">
      <w:pPr>
        <w:rPr>
          <w:rFonts w:ascii="Arial Black" w:hAnsi="Arial Black"/>
          <w:sz w:val="28"/>
          <w:szCs w:val="28"/>
        </w:rPr>
      </w:pPr>
      <w:r>
        <w:rPr>
          <w:rFonts w:ascii="Arial Black" w:hAnsi="Arial Black"/>
          <w:sz w:val="28"/>
          <w:szCs w:val="28"/>
        </w:rPr>
        <w:t xml:space="preserve">MD:  PLAINTIFF’S EXPERT WITNESSES CAN TESTIFY - BATTERIES IN </w:t>
      </w:r>
      <w:proofErr w:type="spellStart"/>
      <w:r>
        <w:rPr>
          <w:rFonts w:ascii="Arial Black" w:hAnsi="Arial Black"/>
          <w:sz w:val="28"/>
          <w:szCs w:val="28"/>
        </w:rPr>
        <w:t>MacPro</w:t>
      </w:r>
      <w:proofErr w:type="spellEnd"/>
      <w:r>
        <w:rPr>
          <w:rFonts w:ascii="Arial Black" w:hAnsi="Arial Black"/>
          <w:sz w:val="28"/>
          <w:szCs w:val="28"/>
        </w:rPr>
        <w:t xml:space="preserve"> LAPTOP LED TO LARGE CONDO FIRE </w:t>
      </w:r>
    </w:p>
    <w:p w14:paraId="6CF68926" w14:textId="77777777" w:rsidR="00411936" w:rsidRDefault="00411936" w:rsidP="00411936">
      <w:pPr>
        <w:rPr>
          <w:rFonts w:ascii="Times New Roman" w:hAnsi="Times New Roman"/>
          <w:sz w:val="24"/>
          <w:szCs w:val="24"/>
        </w:rPr>
      </w:pPr>
      <w:r w:rsidRPr="001A2CEB">
        <w:rPr>
          <w:rFonts w:ascii="Times New Roman" w:hAnsi="Times New Roman"/>
          <w:sz w:val="24"/>
          <w:szCs w:val="24"/>
        </w:rPr>
        <w:t>On July</w:t>
      </w:r>
      <w:r>
        <w:rPr>
          <w:rFonts w:ascii="Times New Roman" w:hAnsi="Times New Roman"/>
          <w:sz w:val="24"/>
          <w:szCs w:val="24"/>
        </w:rPr>
        <w:t xml:space="preserve"> </w:t>
      </w:r>
      <w:r w:rsidRPr="001A2CEB">
        <w:rPr>
          <w:rFonts w:ascii="Times New Roman" w:hAnsi="Times New Roman"/>
          <w:sz w:val="24"/>
          <w:szCs w:val="24"/>
        </w:rPr>
        <w:t xml:space="preserve">7, 2023, in </w:t>
      </w:r>
      <w:r w:rsidRPr="001A2CEB">
        <w:rPr>
          <w:rFonts w:ascii="Times New Roman" w:hAnsi="Times New Roman"/>
          <w:sz w:val="24"/>
          <w:szCs w:val="24"/>
          <w:u w:val="single"/>
        </w:rPr>
        <w:t>Philadelphia Indemnity Insurance Company, et al. v, Apple, Inc.</w:t>
      </w:r>
      <w:r w:rsidRPr="001A2CEB">
        <w:rPr>
          <w:rFonts w:ascii="Times New Roman" w:hAnsi="Times New Roman"/>
          <w:sz w:val="24"/>
          <w:szCs w:val="24"/>
        </w:rPr>
        <w:t xml:space="preserve">, </w:t>
      </w:r>
      <w:r>
        <w:rPr>
          <w:rFonts w:ascii="Times New Roman" w:hAnsi="Times New Roman"/>
          <w:sz w:val="24"/>
          <w:szCs w:val="24"/>
        </w:rPr>
        <w:t xml:space="preserve">U.S. District Court Judge Stephanie A. Gallaher, U.S. District Court for the District of Maryland, held that plaintiff may use three expert witnesses at trial – a memory export, and two battery fire experts. On Nov. 24, 2017, shortly after midnight a fire broke out in the bedroom of Ms. Ross in Severn House Condominiums in Annapolis, Maryland, that </w:t>
      </w:r>
      <w:proofErr w:type="gramStart"/>
      <w:r>
        <w:rPr>
          <w:rFonts w:ascii="Times New Roman" w:hAnsi="Times New Roman"/>
          <w:sz w:val="24"/>
          <w:szCs w:val="24"/>
        </w:rPr>
        <w:t>damage to</w:t>
      </w:r>
      <w:proofErr w:type="gramEnd"/>
      <w:r>
        <w:rPr>
          <w:rFonts w:ascii="Times New Roman" w:hAnsi="Times New Roman"/>
          <w:sz w:val="24"/>
          <w:szCs w:val="24"/>
        </w:rPr>
        <w:t xml:space="preserve"> her unit and surrounding units.  She initially told FD that it might have been caused by her electric heating pad (12-18 inches under her back), </w:t>
      </w:r>
      <w:r w:rsidRPr="001342A3">
        <w:rPr>
          <w:rFonts w:ascii="Times New Roman" w:hAnsi="Times New Roman"/>
          <w:sz w:val="24"/>
          <w:szCs w:val="24"/>
        </w:rPr>
        <w:t>but six weeks after the incident, Ms. Ross reviewed the fire department's report and learned that some remnants of the MacBook had been found on the remains of her mattress…. At her deposition in 2021, she testified that after reviewing the fire department's report, she had many ‘flashbacks’ and ‘bad dreams’ that left her ‘increasingly convinced’ that the small flames she saw upon awakening were on the laptop at the foot of her bed.</w:t>
      </w:r>
      <w:r>
        <w:rPr>
          <w:rFonts w:ascii="Times New Roman" w:hAnsi="Times New Roman"/>
          <w:sz w:val="24"/>
          <w:szCs w:val="24"/>
        </w:rPr>
        <w:t xml:space="preserve"> A memory expert will be allowed to testify.  The laptop was recovered and examined – two battery experts will testify that batteries in the laptop likely caused the fire.  </w:t>
      </w:r>
    </w:p>
    <w:p w14:paraId="48F870CA" w14:textId="77777777" w:rsidR="00411936" w:rsidRDefault="00411936" w:rsidP="00411936">
      <w:pPr>
        <w:rPr>
          <w:rFonts w:ascii="Times New Roman" w:hAnsi="Times New Roman"/>
          <w:sz w:val="24"/>
          <w:szCs w:val="24"/>
        </w:rPr>
      </w:pPr>
      <w:r>
        <w:rPr>
          <w:rFonts w:ascii="Times New Roman" w:hAnsi="Times New Roman"/>
          <w:sz w:val="24"/>
          <w:szCs w:val="24"/>
        </w:rPr>
        <w:t>The Court held:</w:t>
      </w:r>
    </w:p>
    <w:p w14:paraId="7E0BC421" w14:textId="77777777" w:rsidR="00411936" w:rsidRDefault="00411936" w:rsidP="00411936">
      <w:pPr>
        <w:pStyle w:val="NormalWeb"/>
      </w:pPr>
      <w:r>
        <w:t xml:space="preserve">MEMORY EXPERT. “In this case, then, this Court will allow Dr. Weaver's proposed testimony to some extent. Specifically, he will be permitted to testify as to the process of encoding, particularly in a traumatic situation, memory reconstruction, suggestibility, and post-event information. An explanation of those general principles is </w:t>
      </w:r>
      <w:r>
        <w:lastRenderedPageBreak/>
        <w:t>relevant to the jury's consideration and weighing of Ms. Ross's testimony. Obviously, Dr. Weaver will not be permitted to opine on the ultimate issue of whether Ms. Ross's testimony is credible or incredible. But his inability to reach that issue does not mean his testimony about memory formation, retention, and alteration is irrelevant or useless to the jury… The evidence is helpful and will be permitted.”</w:t>
      </w:r>
    </w:p>
    <w:p w14:paraId="24702285" w14:textId="77777777" w:rsidR="00411936" w:rsidRPr="00A20D55" w:rsidRDefault="00411936" w:rsidP="00411936">
      <w:pPr>
        <w:rPr>
          <w:rFonts w:ascii="Times New Roman" w:hAnsi="Times New Roman"/>
          <w:sz w:val="24"/>
          <w:szCs w:val="24"/>
        </w:rPr>
      </w:pPr>
      <w:r w:rsidRPr="00A20D55">
        <w:rPr>
          <w:rFonts w:ascii="Times New Roman" w:hAnsi="Times New Roman"/>
          <w:sz w:val="24"/>
          <w:szCs w:val="24"/>
        </w:rPr>
        <w:t xml:space="preserve">BATTERY EXPERTS.  “Accordingly, Mr. Hoffmann will be permitted to testify that Ms. Ross's laptop was at a low state of charge, defined as less than fully charged, and that batteries at a low state of charge are less likely to produce enough energy to be a competent ignition source. He will not be permitted to testify more definitively that Ms. Ross's battery cell was at too low of a SoC to ignite the bedding material or cause the fire. </w:t>
      </w:r>
    </w:p>
    <w:p w14:paraId="7CE91DF5" w14:textId="77777777" w:rsidR="00411936" w:rsidRPr="00A20D55" w:rsidRDefault="00411936" w:rsidP="00411936">
      <w:pPr>
        <w:rPr>
          <w:rFonts w:ascii="Times New Roman" w:hAnsi="Times New Roman"/>
          <w:sz w:val="24"/>
          <w:szCs w:val="24"/>
        </w:rPr>
      </w:pPr>
      <w:r w:rsidRPr="00A20D55">
        <w:rPr>
          <w:rFonts w:ascii="Times New Roman" w:hAnsi="Times New Roman"/>
          <w:sz w:val="24"/>
          <w:szCs w:val="24"/>
        </w:rPr>
        <w:t xml:space="preserve">*** </w:t>
      </w:r>
    </w:p>
    <w:p w14:paraId="26634A40" w14:textId="162F3173" w:rsidR="00411936" w:rsidRDefault="00411936" w:rsidP="00411936">
      <w:pPr>
        <w:pStyle w:val="NoSpacing"/>
        <w:rPr>
          <w:rFonts w:ascii="Arial Black" w:hAnsi="Arial Black"/>
          <w:sz w:val="24"/>
          <w:szCs w:val="24"/>
        </w:rPr>
      </w:pPr>
      <w:r w:rsidRPr="00A20D55">
        <w:rPr>
          <w:rFonts w:ascii="Times New Roman" w:hAnsi="Times New Roman"/>
          <w:sz w:val="24"/>
          <w:szCs w:val="24"/>
        </w:rPr>
        <w:t xml:space="preserve">Michael Eskra is a battery expert retained by Plaintiffs. Apple does not challenge </w:t>
      </w:r>
      <w:proofErr w:type="gramStart"/>
      <w:r w:rsidRPr="00A20D55">
        <w:rPr>
          <w:rFonts w:ascii="Times New Roman" w:hAnsi="Times New Roman"/>
          <w:sz w:val="24"/>
          <w:szCs w:val="24"/>
        </w:rPr>
        <w:t>his</w:t>
      </w:r>
      <w:proofErr w:type="gramEnd"/>
      <w:r w:rsidRPr="00A20D55">
        <w:rPr>
          <w:rFonts w:ascii="Times New Roman" w:hAnsi="Times New Roman"/>
          <w:sz w:val="24"/>
          <w:szCs w:val="24"/>
        </w:rPr>
        <w:t xml:space="preserve"> expert qualifications. Instead, it contends that his methodology is unreliable because, in Apple's view, he simply looked at the CT scans of the battery cells to reach his conclusion. Because the fifth cell shows internal, localized damage to the electrode windings while the other four only have exterior damage, Mr. Eskra opines that the fifth cell shorted and caused the ignition… But because Plaintiffs are not relying on Mr. Eskra to establish conclusively the defect in the battery cell, his testimony is relevant and permissible.</w:t>
      </w:r>
      <w:r>
        <w:rPr>
          <w:rFonts w:ascii="Times New Roman" w:hAnsi="Times New Roman"/>
          <w:sz w:val="24"/>
          <w:szCs w:val="24"/>
        </w:rPr>
        <w:t xml:space="preserve">” </w:t>
      </w:r>
      <w:hyperlink r:id="rId167" w:history="1">
        <w:r w:rsidRPr="0052585B">
          <w:rPr>
            <w:rStyle w:val="Hyperlink"/>
            <w:rFonts w:ascii="Times New Roman" w:hAnsi="Times New Roman"/>
            <w:sz w:val="24"/>
            <w:szCs w:val="24"/>
          </w:rPr>
          <w:t>https://public.fastcase.com/ZZhmr5v9wN%2FXOe5IsQ%2FqD2w3LkpuglI3nASy1X40hEavWq5Hg6BXuOMAb4Q%2F0qYvRQrnGJSyHTBcFYNZH%2FPWinF4W28EQi7cn4B0%2Besltk8%3D?utm_medium=email&amp;_hsmi=226712652&amp;_hsenc=p2ANqtz--58Ne7SxJ1hr6i-F8FakyHT8npVqzhLBvm91HO15BtcmmyFpQh4X3iW-xWGAEBSVd3N4PHQcOA9a0ODtOxMPf5jkgwuw&amp;utm_content=226712652&amp;utm_source=hs_email</w:t>
        </w:r>
      </w:hyperlink>
    </w:p>
    <w:p w14:paraId="488F85A9" w14:textId="77777777" w:rsidR="00411936" w:rsidRDefault="00411936" w:rsidP="00F326E5">
      <w:pPr>
        <w:pStyle w:val="NoSpacing"/>
        <w:rPr>
          <w:rFonts w:ascii="Arial Black" w:hAnsi="Arial Black"/>
          <w:sz w:val="24"/>
          <w:szCs w:val="24"/>
        </w:rPr>
      </w:pPr>
    </w:p>
    <w:p w14:paraId="5AFE1841" w14:textId="77777777" w:rsidR="00411936" w:rsidRPr="001342A3" w:rsidRDefault="00411936" w:rsidP="00411936">
      <w:pPr>
        <w:pStyle w:val="NormalWeb"/>
        <w:rPr>
          <w:b/>
          <w:bCs/>
        </w:rPr>
      </w:pPr>
      <w:r w:rsidRPr="001342A3">
        <w:rPr>
          <w:b/>
          <w:bCs/>
        </w:rPr>
        <w:t xml:space="preserve">Legal Lesson Learned: The U.S. Supreme Court has held that trial court judges must ensure prior to trial that proposed expert testimony “both rests on a reliable foundation and is relevant to the task at hand.” </w:t>
      </w:r>
      <w:r w:rsidRPr="001342A3">
        <w:rPr>
          <w:rStyle w:val="Emphasis"/>
          <w:b/>
          <w:bCs/>
        </w:rPr>
        <w:t>Daubert v. Merrell Dow Pharm., Inc.</w:t>
      </w:r>
      <w:r w:rsidRPr="001342A3">
        <w:rPr>
          <w:b/>
          <w:bCs/>
        </w:rPr>
        <w:t>, 509 U.S. 579, 597 (1993).</w:t>
      </w:r>
      <w:r>
        <w:rPr>
          <w:b/>
          <w:bCs/>
        </w:rPr>
        <w:t xml:space="preserve"> </w:t>
      </w:r>
      <w:hyperlink r:id="rId168" w:history="1">
        <w:r w:rsidRPr="0052585B">
          <w:rPr>
            <w:rStyle w:val="Hyperlink"/>
            <w:rFonts w:eastAsiaTheme="majorEastAsia"/>
            <w:b/>
            <w:bCs/>
          </w:rPr>
          <w:t>https://www.loc.gov/item/usrep509579/</w:t>
        </w:r>
      </w:hyperlink>
      <w:r>
        <w:rPr>
          <w:b/>
          <w:bCs/>
        </w:rPr>
        <w:t xml:space="preserve"> </w:t>
      </w:r>
    </w:p>
    <w:p w14:paraId="4A7FE11C" w14:textId="77777777" w:rsidR="00411936" w:rsidRDefault="00411936" w:rsidP="00F326E5">
      <w:pPr>
        <w:pStyle w:val="NoSpacing"/>
        <w:rPr>
          <w:rFonts w:ascii="Arial Black" w:hAnsi="Arial Black"/>
          <w:sz w:val="24"/>
          <w:szCs w:val="24"/>
        </w:rPr>
      </w:pPr>
    </w:p>
    <w:p w14:paraId="3C916086" w14:textId="77777777" w:rsidR="00411936" w:rsidRDefault="00411936" w:rsidP="00F326E5">
      <w:pPr>
        <w:pStyle w:val="NoSpacing"/>
        <w:rPr>
          <w:rFonts w:ascii="Arial Black" w:hAnsi="Arial Black"/>
          <w:sz w:val="24"/>
          <w:szCs w:val="24"/>
        </w:rPr>
      </w:pPr>
    </w:p>
    <w:p w14:paraId="5AD45CF8" w14:textId="77777777" w:rsidR="00411936" w:rsidRDefault="00411936" w:rsidP="00F326E5">
      <w:pPr>
        <w:pStyle w:val="NoSpacing"/>
        <w:rPr>
          <w:rFonts w:ascii="Arial Black" w:hAnsi="Arial Black"/>
          <w:sz w:val="24"/>
          <w:szCs w:val="24"/>
        </w:rPr>
      </w:pPr>
    </w:p>
    <w:p w14:paraId="29FF4140" w14:textId="77777777" w:rsidR="00411936" w:rsidRDefault="00411936" w:rsidP="00F326E5">
      <w:pPr>
        <w:pStyle w:val="NoSpacing"/>
        <w:rPr>
          <w:rFonts w:ascii="Arial Black" w:hAnsi="Arial Black"/>
          <w:sz w:val="24"/>
          <w:szCs w:val="24"/>
        </w:rPr>
      </w:pPr>
    </w:p>
    <w:p w14:paraId="60332905" w14:textId="1FFF8E35" w:rsidR="00AB637D" w:rsidRDefault="00FE60DA" w:rsidP="00F326E5">
      <w:pPr>
        <w:pStyle w:val="NoSpacing"/>
        <w:rPr>
          <w:rFonts w:ascii="Arial Black" w:hAnsi="Arial Black"/>
          <w:sz w:val="24"/>
          <w:szCs w:val="24"/>
        </w:rPr>
      </w:pPr>
      <w:r>
        <w:rPr>
          <w:rFonts w:ascii="Arial Black" w:hAnsi="Arial Black"/>
          <w:sz w:val="24"/>
          <w:szCs w:val="24"/>
        </w:rPr>
        <w:t>1-127</w:t>
      </w:r>
    </w:p>
    <w:p w14:paraId="20CFB8DB" w14:textId="77777777" w:rsidR="00FE60DA" w:rsidRPr="00A37F68" w:rsidRDefault="00FE60DA" w:rsidP="00FE60DA">
      <w:pPr>
        <w:pStyle w:val="NormalWeb"/>
        <w:rPr>
          <w:rFonts w:ascii="Arial Black" w:hAnsi="Arial Black"/>
          <w:sz w:val="28"/>
          <w:szCs w:val="28"/>
        </w:rPr>
      </w:pPr>
      <w:r>
        <w:rPr>
          <w:rFonts w:ascii="Arial Black" w:hAnsi="Arial Black"/>
          <w:sz w:val="28"/>
          <w:szCs w:val="28"/>
        </w:rPr>
        <w:t>PA: ARSON – SET FIRE IN HOUSE WITH FOUR POLICE OFFICERS PRESENT – FOUR CONSECUTIVE JAIL TERMS</w:t>
      </w:r>
    </w:p>
    <w:p w14:paraId="5BF37B01" w14:textId="77777777" w:rsidR="00FE60DA" w:rsidRDefault="00FE60DA" w:rsidP="00FE60DA">
      <w:pPr>
        <w:pStyle w:val="NormalWeb"/>
      </w:pPr>
      <w:r w:rsidRPr="00A37F68">
        <w:t xml:space="preserve">On June 30, 2023, </w:t>
      </w:r>
      <w:r>
        <w:t xml:space="preserve">in </w:t>
      </w:r>
      <w:r w:rsidRPr="00A37F68">
        <w:rPr>
          <w:u w:val="single"/>
        </w:rPr>
        <w:t>Commonwealth of Pennsylvania v. Vincent Smith</w:t>
      </w:r>
      <w:r>
        <w:t xml:space="preserve">, the Superior Court of Pennsylvania held (9 to 0) that trial court properly imposed four terms of imprisonment (four to eight years each), after he pled </w:t>
      </w:r>
      <w:r w:rsidRPr="00A4543F">
        <w:t>guilty to two counts of voluntary manslaughter and four counts of arson endangering persons</w:t>
      </w:r>
      <w:r>
        <w:t xml:space="preserve">.  He endangered four police officers when lighting gasoline he previously poured in house, trying to commit suicide after killing two men.  </w:t>
      </w:r>
    </w:p>
    <w:p w14:paraId="26C2C036" w14:textId="77777777" w:rsidR="00FE60DA" w:rsidRPr="00D73B76" w:rsidRDefault="00FE60DA" w:rsidP="00FE60DA">
      <w:pPr>
        <w:pStyle w:val="NormalWeb"/>
      </w:pPr>
      <w:r>
        <w:t>The Court held: “</w:t>
      </w:r>
      <w:r w:rsidRPr="00D73B76">
        <w:t>In sum, we conclude that under the plain language and meaning of Subsection 3301(a)(1)(</w:t>
      </w:r>
      <w:proofErr w:type="spellStart"/>
      <w:r w:rsidRPr="00D73B76">
        <w:t>i</w:t>
      </w:r>
      <w:proofErr w:type="spellEnd"/>
      <w:r w:rsidRPr="00D73B76">
        <w:t xml:space="preserve">), within the arson endangering persons statute, the unit of prosecution is the intentional starting of a fire which recklessly places another person in danger of death or bodily injury. </w:t>
      </w:r>
      <w:r w:rsidRPr="00D73B76">
        <w:rPr>
          <w:i/>
          <w:iCs/>
        </w:rPr>
        <w:t>See</w:t>
      </w:r>
      <w:r w:rsidRPr="00D73B76">
        <w:t xml:space="preserve"> 18 </w:t>
      </w:r>
      <w:proofErr w:type="spellStart"/>
      <w:r w:rsidRPr="00D73B76">
        <w:t>Pa.C.S</w:t>
      </w:r>
      <w:proofErr w:type="spellEnd"/>
      <w:r w:rsidRPr="00D73B76">
        <w:t>. § 3301(a)(1)(</w:t>
      </w:r>
      <w:proofErr w:type="spellStart"/>
      <w:r w:rsidRPr="00D73B76">
        <w:t>i</w:t>
      </w:r>
      <w:proofErr w:type="spellEnd"/>
      <w:r w:rsidRPr="00D73B76">
        <w:t xml:space="preserve">). Accordingly, a defendant may be convicted of and sentenced separately on multiple counts if one act of arson </w:t>
      </w:r>
      <w:r w:rsidRPr="00D73B76">
        <w:lastRenderedPageBreak/>
        <w:t xml:space="preserve">causes more than one person to be in danger of death or bodily injury. Applying this holding to the case </w:t>
      </w:r>
      <w:r w:rsidRPr="00D73B76">
        <w:rPr>
          <w:i/>
          <w:iCs/>
        </w:rPr>
        <w:t>sub judice,</w:t>
      </w:r>
      <w:r w:rsidRPr="00D73B76">
        <w:t xml:space="preserve"> we affirm the separate sentences imposed on each of Appellant's four arson endangering persons convictions, and hold they are not illegal.</w:t>
      </w:r>
      <w:r>
        <w:t xml:space="preserve">”  </w:t>
      </w:r>
      <w:hyperlink r:id="rId169" w:history="1">
        <w:r w:rsidRPr="00812663">
          <w:rPr>
            <w:rStyle w:val="Hyperlink"/>
          </w:rPr>
          <w:t>https://casetext.com/case/commonwealth-v-smith-1490</w:t>
        </w:r>
      </w:hyperlink>
      <w:r>
        <w:t xml:space="preserve"> </w:t>
      </w:r>
    </w:p>
    <w:p w14:paraId="34AA63B7" w14:textId="77777777" w:rsidR="00FE60DA" w:rsidRPr="00D73B76" w:rsidRDefault="00FE60DA" w:rsidP="00FE60DA">
      <w:pPr>
        <w:pStyle w:val="NormalWeb"/>
        <w:rPr>
          <w:b/>
          <w:bCs/>
        </w:rPr>
      </w:pPr>
      <w:r>
        <w:rPr>
          <w:b/>
          <w:bCs/>
        </w:rPr>
        <w:t xml:space="preserve">Legal Lessons Learned:  The defendant endangered the lives of four policers; the Court properly imposed four separate prison terms. </w:t>
      </w:r>
    </w:p>
    <w:p w14:paraId="7FE21F17" w14:textId="0D6F4E98" w:rsidR="00FE60DA" w:rsidRDefault="00FE60DA" w:rsidP="00F326E5">
      <w:pPr>
        <w:pStyle w:val="NoSpacing"/>
        <w:rPr>
          <w:rFonts w:ascii="Arial Black" w:hAnsi="Arial Black"/>
          <w:sz w:val="24"/>
          <w:szCs w:val="24"/>
        </w:rPr>
      </w:pPr>
      <w:r>
        <w:rPr>
          <w:rFonts w:ascii="Arial Black" w:hAnsi="Arial Black"/>
          <w:sz w:val="24"/>
          <w:szCs w:val="24"/>
        </w:rPr>
        <w:t>1-126</w:t>
      </w:r>
    </w:p>
    <w:p w14:paraId="1ADF81C3" w14:textId="77777777" w:rsidR="00FE60DA" w:rsidRDefault="00FE60DA" w:rsidP="00F326E5">
      <w:pPr>
        <w:pStyle w:val="NoSpacing"/>
        <w:rPr>
          <w:rFonts w:ascii="Arial Black" w:hAnsi="Arial Black"/>
          <w:sz w:val="24"/>
          <w:szCs w:val="24"/>
        </w:rPr>
      </w:pPr>
    </w:p>
    <w:p w14:paraId="199D03FD" w14:textId="77777777" w:rsidR="00FE60DA" w:rsidRPr="00954CB5" w:rsidRDefault="00FE60DA" w:rsidP="00FE60D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NY: EMT POTENTIAL JUROR BURGLARY CASE – CAN’T SERVE IF ADMITS VIEWS PD “VERY FAVORABLE LIGHT” </w:t>
      </w:r>
    </w:p>
    <w:p w14:paraId="37AEB98F" w14:textId="77777777" w:rsidR="00FE60DA" w:rsidRDefault="00FE60DA" w:rsidP="00FE60DA">
      <w:pPr>
        <w:tabs>
          <w:tab w:val="left" w:pos="3582"/>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30, 2023, in </w:t>
      </w:r>
      <w:r w:rsidRPr="00954CB5">
        <w:rPr>
          <w:rFonts w:ascii="Times New Roman" w:hAnsi="Times New Roman"/>
          <w:sz w:val="24"/>
          <w:szCs w:val="24"/>
          <w:u w:val="single"/>
        </w:rPr>
        <w:t>The People Of The State Of New York v. Herbert Smith</w:t>
      </w:r>
      <w:r>
        <w:rPr>
          <w:rFonts w:ascii="Times New Roman" w:hAnsi="Times New Roman"/>
          <w:sz w:val="24"/>
          <w:szCs w:val="24"/>
        </w:rPr>
        <w:t xml:space="preserve">, the Supreme Court of New York, Fourth Division, held (5 to 0) that the burglary defendant is entitled to a new jury trial because two prospective jurors, including an EMT who during voir dire told defense counsel he saw police in “very positive light” were not automatically removed by the judge.  The defense attorney had to use two preparatory challenges to keep them off the jury.  </w:t>
      </w:r>
    </w:p>
    <w:p w14:paraId="451162B7" w14:textId="77777777" w:rsidR="00FE60DA" w:rsidRDefault="00FE60DA" w:rsidP="00FE60DA">
      <w:pPr>
        <w:tabs>
          <w:tab w:val="left" w:pos="3582"/>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The Court held: “</w:t>
      </w:r>
      <w:r w:rsidRPr="001449DC">
        <w:rPr>
          <w:rFonts w:ascii="Times New Roman" w:hAnsi="Times New Roman"/>
          <w:sz w:val="24"/>
          <w:szCs w:val="24"/>
        </w:rPr>
        <w:t xml:space="preserve">It is well established that, when a prospective juror makes a statement or statements that </w:t>
      </w:r>
      <w:r>
        <w:rPr>
          <w:rFonts w:ascii="Times New Roman" w:hAnsi="Times New Roman"/>
          <w:sz w:val="24"/>
          <w:szCs w:val="24"/>
        </w:rPr>
        <w:t>‘</w:t>
      </w:r>
      <w:r w:rsidRPr="001449DC">
        <w:rPr>
          <w:rFonts w:ascii="Times New Roman" w:hAnsi="Times New Roman"/>
          <w:sz w:val="24"/>
          <w:szCs w:val="24"/>
        </w:rPr>
        <w:t>cast serious doubt on their ability to render an impartial verdict</w:t>
      </w:r>
      <w:r>
        <w:rPr>
          <w:rFonts w:ascii="Times New Roman" w:hAnsi="Times New Roman"/>
          <w:sz w:val="24"/>
          <w:szCs w:val="24"/>
        </w:rPr>
        <w:t>’</w:t>
      </w:r>
      <w:r w:rsidRPr="001449DC">
        <w:rPr>
          <w:rFonts w:ascii="Times New Roman" w:hAnsi="Times New Roman"/>
          <w:sz w:val="24"/>
          <w:szCs w:val="24"/>
        </w:rPr>
        <w:t xml:space="preserve"> (</w:t>
      </w:r>
      <w:r w:rsidRPr="001449DC">
        <w:rPr>
          <w:rStyle w:val="Emphasis"/>
          <w:rFonts w:ascii="Times New Roman" w:hAnsi="Times New Roman"/>
          <w:sz w:val="24"/>
          <w:szCs w:val="24"/>
        </w:rPr>
        <w:t>People v Arnold</w:t>
      </w:r>
      <w:r w:rsidRPr="001449DC">
        <w:rPr>
          <w:rFonts w:ascii="Times New Roman" w:hAnsi="Times New Roman"/>
          <w:sz w:val="24"/>
          <w:szCs w:val="24"/>
        </w:rPr>
        <w:t xml:space="preserve">, 96 N.Y.2d 358, 363 [2001]), that prospective juror must be excused for cause unless they provide an </w:t>
      </w:r>
      <w:r>
        <w:rPr>
          <w:rFonts w:ascii="Times New Roman" w:hAnsi="Times New Roman"/>
          <w:sz w:val="24"/>
          <w:szCs w:val="24"/>
        </w:rPr>
        <w:t>‘</w:t>
      </w:r>
      <w:r w:rsidRPr="001449DC">
        <w:rPr>
          <w:rFonts w:ascii="Times New Roman" w:hAnsi="Times New Roman"/>
          <w:sz w:val="24"/>
          <w:szCs w:val="24"/>
        </w:rPr>
        <w:t>unequivocal assurance that they can set aside any bias and render an impartial verdict based on the evidence</w:t>
      </w:r>
      <w:r>
        <w:rPr>
          <w:rFonts w:ascii="Times New Roman" w:hAnsi="Times New Roman"/>
          <w:sz w:val="24"/>
          <w:szCs w:val="24"/>
        </w:rPr>
        <w:t>’</w:t>
      </w:r>
      <w:r w:rsidRPr="001449DC">
        <w:rPr>
          <w:rFonts w:ascii="Times New Roman" w:hAnsi="Times New Roman"/>
          <w:sz w:val="24"/>
          <w:szCs w:val="24"/>
        </w:rPr>
        <w:t xml:space="preserve"> (</w:t>
      </w:r>
      <w:r w:rsidRPr="001449DC">
        <w:rPr>
          <w:rStyle w:val="Emphasis"/>
          <w:rFonts w:ascii="Times New Roman" w:hAnsi="Times New Roman"/>
          <w:sz w:val="24"/>
          <w:szCs w:val="24"/>
        </w:rPr>
        <w:t>People v Johnson</w:t>
      </w:r>
      <w:r w:rsidRPr="001449DC">
        <w:rPr>
          <w:rFonts w:ascii="Times New Roman" w:hAnsi="Times New Roman"/>
          <w:sz w:val="24"/>
          <w:szCs w:val="24"/>
        </w:rPr>
        <w:t xml:space="preserve">, 94 N.Y.2d 600, 614 [2000]; </w:t>
      </w:r>
      <w:r w:rsidRPr="001449DC">
        <w:rPr>
          <w:rStyle w:val="Emphasis"/>
          <w:rFonts w:ascii="Times New Roman" w:hAnsi="Times New Roman"/>
          <w:sz w:val="24"/>
          <w:szCs w:val="24"/>
        </w:rPr>
        <w:t>see People v Nicholas</w:t>
      </w:r>
      <w:r w:rsidRPr="001449DC">
        <w:rPr>
          <w:rFonts w:ascii="Times New Roman" w:hAnsi="Times New Roman"/>
          <w:sz w:val="24"/>
          <w:szCs w:val="24"/>
        </w:rPr>
        <w:t xml:space="preserve">, 98 N.Y.2d 749, 750 [2002]; </w:t>
      </w:r>
      <w:r w:rsidRPr="001449DC">
        <w:rPr>
          <w:rStyle w:val="Emphasis"/>
          <w:rFonts w:ascii="Times New Roman" w:hAnsi="Times New Roman"/>
          <w:sz w:val="24"/>
          <w:szCs w:val="24"/>
        </w:rPr>
        <w:t>People v Chambers</w:t>
      </w:r>
      <w:r w:rsidRPr="001449DC">
        <w:rPr>
          <w:rFonts w:ascii="Times New Roman" w:hAnsi="Times New Roman"/>
          <w:sz w:val="24"/>
          <w:szCs w:val="24"/>
        </w:rPr>
        <w:t>, 97 N.Y.2d 417, 419 [2002]).</w:t>
      </w:r>
      <w:r>
        <w:rPr>
          <w:rFonts w:ascii="Times New Roman" w:hAnsi="Times New Roman"/>
          <w:sz w:val="24"/>
          <w:szCs w:val="24"/>
        </w:rPr>
        <w:t xml:space="preserve">” </w:t>
      </w:r>
      <w:hyperlink r:id="rId170" w:history="1">
        <w:r w:rsidRPr="00812663">
          <w:rPr>
            <w:rStyle w:val="Hyperlink"/>
            <w:sz w:val="24"/>
            <w:szCs w:val="24"/>
          </w:rPr>
          <w:t>https://casetext.com/case/people-v-smith-9160</w:t>
        </w:r>
      </w:hyperlink>
      <w:r>
        <w:rPr>
          <w:rFonts w:ascii="Times New Roman" w:hAnsi="Times New Roman"/>
          <w:sz w:val="24"/>
          <w:szCs w:val="24"/>
        </w:rPr>
        <w:t xml:space="preserve"> </w:t>
      </w:r>
    </w:p>
    <w:p w14:paraId="08DB923B" w14:textId="77777777" w:rsidR="00FE60DA" w:rsidRPr="001449DC" w:rsidRDefault="00FE60DA" w:rsidP="00FE60DA">
      <w:pPr>
        <w:spacing w:before="100" w:beforeAutospacing="1" w:after="100" w:afterAutospacing="1" w:line="240" w:lineRule="auto"/>
        <w:rPr>
          <w:rFonts w:ascii="Times New Roman" w:eastAsia="Times New Roman" w:hAnsi="Times New Roman"/>
          <w:b/>
          <w:bCs/>
          <w:sz w:val="24"/>
          <w:szCs w:val="24"/>
        </w:rPr>
      </w:pPr>
      <w:r w:rsidRPr="001449DC">
        <w:rPr>
          <w:rFonts w:ascii="Times New Roman" w:hAnsi="Times New Roman"/>
          <w:b/>
          <w:bCs/>
          <w:sz w:val="24"/>
          <w:szCs w:val="24"/>
        </w:rPr>
        <w:t xml:space="preserve">Legal Lesson Learned: </w:t>
      </w:r>
      <w:r>
        <w:rPr>
          <w:rFonts w:ascii="Times New Roman" w:hAnsi="Times New Roman"/>
          <w:b/>
          <w:bCs/>
          <w:sz w:val="24"/>
          <w:szCs w:val="24"/>
        </w:rPr>
        <w:t>EMS and firefighters can be jurors in criminal cases, but not if they tell Court they view police in a “very positive light.”</w:t>
      </w:r>
    </w:p>
    <w:p w14:paraId="1108CC94" w14:textId="77777777" w:rsidR="00FE60DA" w:rsidRDefault="00FE60DA" w:rsidP="00F326E5">
      <w:pPr>
        <w:pStyle w:val="NoSpacing"/>
        <w:rPr>
          <w:rFonts w:ascii="Arial Black" w:hAnsi="Arial Black"/>
          <w:sz w:val="24"/>
          <w:szCs w:val="24"/>
        </w:rPr>
      </w:pPr>
    </w:p>
    <w:p w14:paraId="78EC9D04" w14:textId="0E74EAEB" w:rsidR="00FE60DA" w:rsidRDefault="00FE60DA" w:rsidP="00F326E5">
      <w:pPr>
        <w:pStyle w:val="NoSpacing"/>
        <w:rPr>
          <w:rFonts w:ascii="Arial Black" w:hAnsi="Arial Black"/>
          <w:sz w:val="24"/>
          <w:szCs w:val="24"/>
        </w:rPr>
      </w:pPr>
      <w:r>
        <w:rPr>
          <w:rFonts w:ascii="Arial Black" w:hAnsi="Arial Black"/>
          <w:sz w:val="24"/>
          <w:szCs w:val="24"/>
        </w:rPr>
        <w:t>1-125</w:t>
      </w:r>
    </w:p>
    <w:p w14:paraId="5A928EE9" w14:textId="77777777" w:rsidR="00FE60DA" w:rsidRDefault="00FE60DA" w:rsidP="00F326E5">
      <w:pPr>
        <w:pStyle w:val="NoSpacing"/>
        <w:rPr>
          <w:rFonts w:ascii="Arial Black" w:hAnsi="Arial Black"/>
          <w:sz w:val="24"/>
          <w:szCs w:val="24"/>
        </w:rPr>
      </w:pPr>
    </w:p>
    <w:p w14:paraId="2A62469C" w14:textId="77777777" w:rsidR="00FE60DA" w:rsidRDefault="00FE60DA" w:rsidP="00FE60DA">
      <w:pPr>
        <w:pStyle w:val="NormalWeb"/>
        <w:jc w:val="both"/>
        <w:rPr>
          <w:rFonts w:ascii="Arial Black" w:hAnsi="Arial Black"/>
          <w:sz w:val="28"/>
          <w:szCs w:val="28"/>
        </w:rPr>
      </w:pPr>
      <w:r>
        <w:rPr>
          <w:rFonts w:ascii="Arial Black" w:hAnsi="Arial Black"/>
          <w:sz w:val="28"/>
          <w:szCs w:val="28"/>
        </w:rPr>
        <w:t xml:space="preserve">OH: CITY ORDERED VACANT BLDG DEMOLISHED – MAIL NOTICE OWNER RETURNED – DUE PROCESS CASE PROCEED </w:t>
      </w:r>
    </w:p>
    <w:p w14:paraId="173B8632" w14:textId="77777777"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15, 2023, in </w:t>
      </w:r>
      <w:r w:rsidRPr="00856DBC">
        <w:rPr>
          <w:rFonts w:ascii="Times New Roman" w:hAnsi="Times New Roman"/>
          <w:sz w:val="24"/>
          <w:szCs w:val="24"/>
          <w:u w:val="single"/>
        </w:rPr>
        <w:t>Two Bridges, LLC v. City of Youngstown, Ohio</w:t>
      </w:r>
      <w:r>
        <w:rPr>
          <w:rFonts w:ascii="Times New Roman" w:hAnsi="Times New Roman"/>
          <w:sz w:val="24"/>
          <w:szCs w:val="24"/>
        </w:rPr>
        <w:t>, the U.S. Court of Appeals for 6</w:t>
      </w:r>
      <w:r w:rsidRPr="00856DBC">
        <w:rPr>
          <w:rFonts w:ascii="Times New Roman" w:hAnsi="Times New Roman"/>
          <w:sz w:val="24"/>
          <w:szCs w:val="24"/>
          <w:vertAlign w:val="superscript"/>
        </w:rPr>
        <w:t>th</w:t>
      </w:r>
      <w:r>
        <w:rPr>
          <w:rFonts w:ascii="Times New Roman" w:hAnsi="Times New Roman"/>
          <w:sz w:val="24"/>
          <w:szCs w:val="24"/>
        </w:rPr>
        <w:t xml:space="preserve"> Circuit (Cincinnati), held (3 to 0; unpublished decision) that U.S. District Court Judge properly held the city’s immunity under Ohio law does not apply in a lawsuit under 42 U.S.C. 1983 for violation of due process rights of 14</w:t>
      </w:r>
      <w:r w:rsidRPr="004A01B0">
        <w:rPr>
          <w:rFonts w:ascii="Times New Roman" w:hAnsi="Times New Roman"/>
          <w:sz w:val="24"/>
          <w:szCs w:val="24"/>
          <w:vertAlign w:val="superscript"/>
        </w:rPr>
        <w:t>th</w:t>
      </w:r>
      <w:r>
        <w:rPr>
          <w:rFonts w:ascii="Times New Roman" w:hAnsi="Times New Roman"/>
          <w:sz w:val="24"/>
          <w:szCs w:val="24"/>
        </w:rPr>
        <w:t xml:space="preserve"> Amendment to U.S. Constitution. The city mailed several notices of planned demolition that were addressed to the property that had been vacant for four years (none delivered).  The city also mailed notices to two other businesses owned by Two Bridges; all returned undelivered. </w:t>
      </w:r>
    </w:p>
    <w:p w14:paraId="6197F67E" w14:textId="77777777" w:rsidR="00FE60DA" w:rsidRPr="004A01B0"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The Court held: </w:t>
      </w:r>
      <w:r w:rsidRPr="00A3158D">
        <w:rPr>
          <w:rFonts w:ascii="Times New Roman" w:hAnsi="Times New Roman"/>
          <w:sz w:val="24"/>
          <w:szCs w:val="24"/>
        </w:rPr>
        <w:t xml:space="preserve">“The district court denied the city's motion, finding that a state-law provision exempting federal claims from statutory immunity applies. Youngstown now brings this appeal. </w:t>
      </w:r>
      <w:proofErr w:type="gramStart"/>
      <w:r w:rsidRPr="00A3158D">
        <w:rPr>
          <w:rFonts w:ascii="Times New Roman" w:hAnsi="Times New Roman"/>
          <w:sz w:val="24"/>
          <w:szCs w:val="24"/>
        </w:rPr>
        <w:t>For the reasons that</w:t>
      </w:r>
      <w:proofErr w:type="gramEnd"/>
      <w:r w:rsidRPr="00A3158D">
        <w:rPr>
          <w:rFonts w:ascii="Times New Roman" w:hAnsi="Times New Roman"/>
          <w:sz w:val="24"/>
          <w:szCs w:val="24"/>
        </w:rPr>
        <w:t xml:space="preserve"> follow, we AFFIRM the judgment of the district court. *** </w:t>
      </w:r>
      <w:r w:rsidRPr="004A01B0">
        <w:rPr>
          <w:rFonts w:ascii="Times New Roman" w:hAnsi="Times New Roman"/>
          <w:sz w:val="24"/>
          <w:szCs w:val="24"/>
        </w:rPr>
        <w:t xml:space="preserve">In sum, whether a plaintiff can invoke the federal exception to statutory immunity depends on the substance of his claim. Properly pleaded due process claims under the federal Constitution are not transformed into tort actions simply because they are raised in the wake of a </w:t>
      </w:r>
      <w:proofErr w:type="gramStart"/>
      <w:r w:rsidRPr="004A01B0">
        <w:rPr>
          <w:rFonts w:ascii="Times New Roman" w:hAnsi="Times New Roman"/>
          <w:sz w:val="24"/>
          <w:szCs w:val="24"/>
        </w:rPr>
        <w:t>demolition.</w:t>
      </w:r>
      <w:r>
        <w:rPr>
          <w:rFonts w:ascii="Times New Roman" w:hAnsi="Times New Roman"/>
          <w:sz w:val="24"/>
          <w:szCs w:val="24"/>
        </w:rPr>
        <w:t>”</w:t>
      </w:r>
      <w:proofErr w:type="gramEnd"/>
      <w:r w:rsidRPr="004A01B0">
        <w:t xml:space="preserve"> </w:t>
      </w:r>
      <w:hyperlink r:id="rId171" w:history="1">
        <w:r w:rsidRPr="00812663">
          <w:rPr>
            <w:rStyle w:val="Hyperlink"/>
          </w:rPr>
          <w:t>https://casetext.com/case/two-bridges-llc-v-city-of-youngstown</w:t>
        </w:r>
      </w:hyperlink>
      <w:r>
        <w:t xml:space="preserve"> </w:t>
      </w:r>
    </w:p>
    <w:p w14:paraId="0DF0F6BE" w14:textId="77777777" w:rsidR="00FE60DA" w:rsidRPr="00A3158D" w:rsidRDefault="00FE60DA" w:rsidP="00FE60DA">
      <w:pPr>
        <w:spacing w:before="100" w:beforeAutospacing="1" w:after="100" w:afterAutospacing="1" w:line="240" w:lineRule="auto"/>
        <w:rPr>
          <w:rFonts w:ascii="Times New Roman" w:hAnsi="Times New Roman"/>
          <w:b/>
          <w:bCs/>
          <w:sz w:val="24"/>
          <w:szCs w:val="24"/>
        </w:rPr>
      </w:pPr>
      <w:r w:rsidRPr="00A3158D">
        <w:rPr>
          <w:rFonts w:ascii="Times New Roman" w:hAnsi="Times New Roman"/>
          <w:b/>
          <w:bCs/>
          <w:sz w:val="24"/>
          <w:szCs w:val="24"/>
        </w:rPr>
        <w:lastRenderedPageBreak/>
        <w:t>Legal Lesson Learned:</w:t>
      </w:r>
      <w:r>
        <w:rPr>
          <w:rFonts w:ascii="Times New Roman" w:hAnsi="Times New Roman"/>
          <w:b/>
          <w:bCs/>
          <w:sz w:val="24"/>
          <w:szCs w:val="24"/>
        </w:rPr>
        <w:t xml:space="preserve"> If notices of demolition are returned undelivered, pick up the phone and speak with the building owner. </w:t>
      </w:r>
    </w:p>
    <w:p w14:paraId="4852C527" w14:textId="77777777" w:rsidR="00FE60DA" w:rsidRDefault="00FE60DA" w:rsidP="00F326E5">
      <w:pPr>
        <w:pStyle w:val="NoSpacing"/>
        <w:rPr>
          <w:rFonts w:ascii="Arial Black" w:hAnsi="Arial Black"/>
          <w:sz w:val="24"/>
          <w:szCs w:val="24"/>
        </w:rPr>
      </w:pPr>
    </w:p>
    <w:p w14:paraId="38FE32E2" w14:textId="77777777" w:rsidR="00FE60DA" w:rsidRDefault="00FE60DA" w:rsidP="00F326E5">
      <w:pPr>
        <w:pStyle w:val="NoSpacing"/>
        <w:rPr>
          <w:rFonts w:ascii="Arial Black" w:hAnsi="Arial Black"/>
          <w:sz w:val="24"/>
          <w:szCs w:val="24"/>
        </w:rPr>
      </w:pPr>
    </w:p>
    <w:p w14:paraId="23B5C202" w14:textId="77777777" w:rsidR="00FE60DA" w:rsidRDefault="00FE60DA" w:rsidP="00F326E5">
      <w:pPr>
        <w:pStyle w:val="NoSpacing"/>
        <w:rPr>
          <w:rFonts w:ascii="Arial Black" w:hAnsi="Arial Black"/>
          <w:sz w:val="24"/>
          <w:szCs w:val="24"/>
        </w:rPr>
      </w:pPr>
    </w:p>
    <w:p w14:paraId="4097D758" w14:textId="0AF2E7DD" w:rsidR="00DC17BF" w:rsidRDefault="00DC17BF" w:rsidP="00F326E5">
      <w:pPr>
        <w:pStyle w:val="NoSpacing"/>
        <w:rPr>
          <w:rFonts w:ascii="Arial Black" w:hAnsi="Arial Black"/>
          <w:sz w:val="24"/>
          <w:szCs w:val="24"/>
        </w:rPr>
      </w:pPr>
      <w:r>
        <w:rPr>
          <w:rFonts w:ascii="Arial Black" w:hAnsi="Arial Black"/>
          <w:sz w:val="24"/>
          <w:szCs w:val="24"/>
        </w:rPr>
        <w:t>1-124</w:t>
      </w:r>
    </w:p>
    <w:p w14:paraId="52AD7C5D" w14:textId="77777777" w:rsidR="00DC17BF" w:rsidRDefault="00DC17BF" w:rsidP="00F326E5">
      <w:pPr>
        <w:pStyle w:val="NoSpacing"/>
        <w:rPr>
          <w:rFonts w:ascii="Arial Black" w:hAnsi="Arial Black"/>
          <w:sz w:val="24"/>
          <w:szCs w:val="24"/>
        </w:rPr>
      </w:pPr>
    </w:p>
    <w:p w14:paraId="7BF9B1E2" w14:textId="77777777" w:rsidR="00DC17BF" w:rsidRDefault="00DC17BF" w:rsidP="00DC17BF">
      <w:pPr>
        <w:pStyle w:val="NormalWeb"/>
        <w:rPr>
          <w:rFonts w:ascii="Arial Black" w:hAnsi="Arial Black"/>
          <w:sz w:val="28"/>
          <w:szCs w:val="28"/>
        </w:rPr>
      </w:pPr>
      <w:bookmarkStart w:id="1" w:name="_Hlk136857339"/>
      <w:r>
        <w:rPr>
          <w:rFonts w:ascii="Arial Black" w:hAnsi="Arial Black"/>
          <w:sz w:val="28"/>
          <w:szCs w:val="28"/>
        </w:rPr>
        <w:t>GA: FIRE CODE – ETHIOPIAN BAR SHUT DOWN – ALLEGES “RACIAL” ENFORCEMENT – CASE PROCEED COUNTY</w:t>
      </w:r>
    </w:p>
    <w:bookmarkEnd w:id="1"/>
    <w:p w14:paraId="352A2D8D" w14:textId="77777777" w:rsidR="00DC17BF" w:rsidRPr="00DC17BF" w:rsidRDefault="00DC17BF" w:rsidP="00DC17BF">
      <w:pPr>
        <w:pStyle w:val="NormalWeb"/>
      </w:pPr>
      <w:r w:rsidRPr="00DC17BF">
        <w:t xml:space="preserve">On June 1, 2023, </w:t>
      </w:r>
      <w:r w:rsidRPr="00DC17BF">
        <w:rPr>
          <w:u w:val="single"/>
        </w:rPr>
        <w:t>in Sheba Ethiopian Restaurant, Inc., d.ba. Queen of Sheba Ethiopian Restaurant v. Dekalb County, Georgia, et al</w:t>
      </w:r>
      <w:r w:rsidRPr="00DC17BF">
        <w:t xml:space="preserve">., the U.S. Court of Appeals for the Eleventh Circuit (Atlanta) held (3 to 0) that County officials cannot be sued, but case remanded for possible trial for race discrimination claim against the County. The Court described </w:t>
      </w:r>
      <w:proofErr w:type="gramStart"/>
      <w:r w:rsidRPr="00DC17BF">
        <w:t>citizen’s</w:t>
      </w:r>
      <w:proofErr w:type="gramEnd"/>
      <w:r w:rsidRPr="00DC17BF">
        <w:t xml:space="preserve"> complaints. </w:t>
      </w:r>
    </w:p>
    <w:p w14:paraId="7455004E" w14:textId="2E225D34" w:rsidR="00DC17BF" w:rsidRPr="00DC17BF" w:rsidRDefault="00DC17BF" w:rsidP="00DC17BF">
      <w:pPr>
        <w:pStyle w:val="NoSpacing"/>
        <w:rPr>
          <w:rStyle w:val="Hyperlink"/>
          <w:rFonts w:ascii="Times New Roman" w:eastAsiaTheme="majorEastAsia" w:hAnsi="Times New Roman"/>
          <w:sz w:val="24"/>
          <w:szCs w:val="24"/>
        </w:rPr>
      </w:pPr>
      <w:r w:rsidRPr="00DC17BF">
        <w:rPr>
          <w:rFonts w:ascii="Times New Roman" w:hAnsi="Times New Roman"/>
          <w:sz w:val="24"/>
          <w:szCs w:val="24"/>
        </w:rPr>
        <w:t xml:space="preserve">“By all accounts, Sheba's relationship with the county proceeded rather smoothly for seven or so years following these amendments. The relationship started to sour, however, in 2015, when Martha Gross-a private citizen who lived near Sheba and several other Ethiopian restaurants-‘spearheaded’ a campaign to ‘cripple’ the Ethiopian restaurant community. Gross spoke at the county's public meetings and posted on social media about "her desire to prohibit" certain Ethiopian restaurants and hookah bars ‘from operating during late hours . . . either by removing grandfather[ed] status’ or by ‘preventing the establishments from obtaining [special land use permits].’ *** In sum, we do not address whether corporations can-or cannot-state a race discrimination claim under section 1981. We hold only that there was no clearly established law in our circuit determining that officials </w:t>
      </w:r>
      <w:r w:rsidRPr="00DC17BF">
        <w:rPr>
          <w:rStyle w:val="Emphasis"/>
          <w:rFonts w:ascii="Times New Roman" w:hAnsi="Times New Roman"/>
          <w:sz w:val="24"/>
          <w:szCs w:val="24"/>
        </w:rPr>
        <w:t>are</w:t>
      </w:r>
      <w:r w:rsidRPr="00DC17BF">
        <w:rPr>
          <w:rFonts w:ascii="Times New Roman" w:hAnsi="Times New Roman"/>
          <w:sz w:val="24"/>
          <w:szCs w:val="24"/>
        </w:rPr>
        <w:t xml:space="preserve"> liable under section 1981 for discriminating against a corporation. In this absence, the officials in our case were entitled to qualified immunity.” </w:t>
      </w:r>
      <w:hyperlink r:id="rId172" w:history="1">
        <w:r w:rsidRPr="00DC17BF">
          <w:rPr>
            <w:rStyle w:val="Hyperlink"/>
            <w:rFonts w:ascii="Times New Roman" w:eastAsiaTheme="majorEastAsia" w:hAnsi="Times New Roman"/>
            <w:sz w:val="24"/>
            <w:szCs w:val="24"/>
          </w:rPr>
          <w:t>https://public.fastcase.com/ZZhmr5v9wN%2FXOe5IsQ%2FqDyh9W7agvNTeMPH8d1RJsPvP%2Fg5ZmquK03Jneavd35tblyNJzoowc3pRVBJlbMB8OXwMF7nsK7TpaO1eghvi3n8%3D?utm_medium=email&amp;_hsmi=226712652&amp;_hsenc=p2ANqtz-8CWkqPTOXpr4VKRSXFO6n4aimmH3FbbAM7Ve_pkSBcowoTJe6gCXxXh8Df-qrWOoYs_EV26aJQZp9WCJOKGH6IdbP0yQ&amp;utm_content=226712652&amp;utm_source=hs_email</w:t>
        </w:r>
      </w:hyperlink>
    </w:p>
    <w:p w14:paraId="3A34C603" w14:textId="77777777" w:rsidR="00DC17BF" w:rsidRPr="00DC17BF" w:rsidRDefault="00DC17BF" w:rsidP="00DC17BF">
      <w:pPr>
        <w:pStyle w:val="NoSpacing"/>
        <w:rPr>
          <w:rStyle w:val="Hyperlink"/>
          <w:rFonts w:ascii="Times New Roman" w:eastAsiaTheme="majorEastAsia" w:hAnsi="Times New Roman"/>
          <w:sz w:val="24"/>
          <w:szCs w:val="24"/>
        </w:rPr>
      </w:pPr>
    </w:p>
    <w:p w14:paraId="04C4E168" w14:textId="77777777" w:rsidR="00DC17BF" w:rsidRPr="00EA1F9B" w:rsidRDefault="00DC17BF" w:rsidP="00DC17BF">
      <w:pPr>
        <w:pStyle w:val="NormalWeb"/>
        <w:rPr>
          <w:b/>
          <w:bCs/>
        </w:rPr>
      </w:pPr>
      <w:r w:rsidRPr="00EA1F9B">
        <w:rPr>
          <w:b/>
          <w:bCs/>
        </w:rPr>
        <w:t>Legal Lesson Learned:</w:t>
      </w:r>
      <w:r>
        <w:rPr>
          <w:b/>
          <w:bCs/>
        </w:rPr>
        <w:t xml:space="preserve"> The lawsuit for race discrimination has been remanded to U.S. District Court for trial against the County. </w:t>
      </w:r>
    </w:p>
    <w:p w14:paraId="49134EDA" w14:textId="77777777" w:rsidR="00DC17BF" w:rsidRDefault="00DC17BF" w:rsidP="00DC17BF">
      <w:pPr>
        <w:pStyle w:val="NoSpacing"/>
        <w:rPr>
          <w:rFonts w:ascii="Arial Black" w:hAnsi="Arial Black"/>
          <w:sz w:val="24"/>
          <w:szCs w:val="24"/>
        </w:rPr>
      </w:pPr>
    </w:p>
    <w:p w14:paraId="74BBA089" w14:textId="03DF0F9C" w:rsidR="00DC17BF" w:rsidRDefault="00DC17BF" w:rsidP="00DC17BF">
      <w:pPr>
        <w:pStyle w:val="NoSpacing"/>
        <w:rPr>
          <w:rFonts w:ascii="Arial Black" w:hAnsi="Arial Black"/>
          <w:sz w:val="24"/>
          <w:szCs w:val="24"/>
        </w:rPr>
      </w:pPr>
      <w:r>
        <w:rPr>
          <w:rFonts w:ascii="Arial Black" w:hAnsi="Arial Black"/>
          <w:sz w:val="24"/>
          <w:szCs w:val="24"/>
        </w:rPr>
        <w:t>1-123</w:t>
      </w:r>
    </w:p>
    <w:p w14:paraId="73DC8D4C" w14:textId="77777777" w:rsidR="00DC17BF" w:rsidRDefault="00DC17BF" w:rsidP="00DC17BF">
      <w:pPr>
        <w:pStyle w:val="NoSpacing"/>
        <w:rPr>
          <w:rFonts w:ascii="Arial Black" w:hAnsi="Arial Black"/>
          <w:sz w:val="24"/>
          <w:szCs w:val="24"/>
        </w:rPr>
      </w:pPr>
    </w:p>
    <w:p w14:paraId="3F5C5A4B" w14:textId="77777777" w:rsidR="00DC17BF" w:rsidRDefault="00DC17BF" w:rsidP="00DC17BF">
      <w:pPr>
        <w:pStyle w:val="NormalWeb"/>
        <w:rPr>
          <w:rFonts w:ascii="Arial Black" w:hAnsi="Arial Black"/>
          <w:sz w:val="28"/>
          <w:szCs w:val="28"/>
        </w:rPr>
      </w:pPr>
      <w:bookmarkStart w:id="2" w:name="_Hlk136857512"/>
      <w:r>
        <w:rPr>
          <w:rFonts w:ascii="Arial Black" w:hAnsi="Arial Black"/>
          <w:sz w:val="28"/>
          <w:szCs w:val="28"/>
        </w:rPr>
        <w:t>DC: U.S. SUP. CT. – FALSE CLAIMS ACT – WHISTLEBLOWER CASES MADE EASIER - “SUBSTANTIAL RISK” FALSE PRICES</w:t>
      </w:r>
    </w:p>
    <w:bookmarkEnd w:id="2"/>
    <w:p w14:paraId="5500D11A" w14:textId="77777777" w:rsidR="00DC17BF" w:rsidRDefault="00DC17BF" w:rsidP="00DC17BF">
      <w:pPr>
        <w:pStyle w:val="NormalWeb"/>
        <w:rPr>
          <w:rStyle w:val="markedcontent"/>
        </w:rPr>
      </w:pPr>
      <w:r>
        <w:rPr>
          <w:rStyle w:val="markedcontent"/>
        </w:rPr>
        <w:t xml:space="preserve">On June 1, 2023, in </w:t>
      </w:r>
      <w:r w:rsidRPr="00A41C8A">
        <w:rPr>
          <w:rStyle w:val="markedcontent"/>
          <w:u w:val="single"/>
        </w:rPr>
        <w:t xml:space="preserve">United States ex. Rel. Schutte, et al. v. </w:t>
      </w:r>
      <w:proofErr w:type="spellStart"/>
      <w:r w:rsidRPr="00A41C8A">
        <w:rPr>
          <w:rStyle w:val="markedcontent"/>
          <w:u w:val="single"/>
        </w:rPr>
        <w:t>SuperValu</w:t>
      </w:r>
      <w:proofErr w:type="spellEnd"/>
      <w:r w:rsidRPr="00A41C8A">
        <w:rPr>
          <w:rStyle w:val="markedcontent"/>
          <w:u w:val="single"/>
        </w:rPr>
        <w:t>, Inc</w:t>
      </w:r>
      <w:r>
        <w:rPr>
          <w:rStyle w:val="markedcontent"/>
        </w:rPr>
        <w:t xml:space="preserve">. [and companion case of </w:t>
      </w:r>
      <w:r w:rsidRPr="00A41C8A">
        <w:rPr>
          <w:rStyle w:val="markedcontent"/>
          <w:u w:val="single"/>
        </w:rPr>
        <w:t>United State ex rel. Proctor v. Safeway, Inc.</w:t>
      </w:r>
      <w:r>
        <w:rPr>
          <w:rStyle w:val="markedcontent"/>
        </w:rPr>
        <w:t xml:space="preserve">], the U.S. Supreme Court held (9 to 0) in an opinion by Justice Clarence Thomas, that lawsuits by private individuals suing on behalf of U.S. Government against two retail drug store companies may proceed. The plaintiffs claim that companies false certified to Medicaid and Medicare that drug prices were the “usual and customary” price, but many of drugs were </w:t>
      </w:r>
      <w:proofErr w:type="gramStart"/>
      <w:r>
        <w:rPr>
          <w:rStyle w:val="markedcontent"/>
        </w:rPr>
        <w:t>actually sold</w:t>
      </w:r>
      <w:proofErr w:type="gramEnd"/>
      <w:r>
        <w:rPr>
          <w:rStyle w:val="markedcontent"/>
        </w:rPr>
        <w:t xml:space="preserve"> to cash customers at greatly </w:t>
      </w:r>
      <w:r>
        <w:rPr>
          <w:rStyle w:val="markedcontent"/>
        </w:rPr>
        <w:lastRenderedPageBreak/>
        <w:t xml:space="preserve">discounted prices.   Whistleblower lawsuits may proceed if evidence pharmacies to “substantial risk” that drug prices to Federal government did not reflect customer discounts. Justice Thomas described this example. </w:t>
      </w:r>
    </w:p>
    <w:p w14:paraId="1B62B4D4" w14:textId="77777777" w:rsidR="00DC17BF" w:rsidRDefault="00DC17BF" w:rsidP="00DC17BF">
      <w:pPr>
        <w:pStyle w:val="NormalWeb"/>
        <w:ind w:left="720"/>
        <w:rPr>
          <w:b/>
          <w:bCs/>
        </w:rPr>
      </w:pPr>
      <w:r>
        <w:rPr>
          <w:rStyle w:val="markedcontent"/>
        </w:rPr>
        <w:t xml:space="preserve">“For example, petitioners have presented evidence that Safeway charged just $10 for 94% of its cash sales for a 90-day supply of a cholesterol drug between 2008 and 2012. Yet Safeway apparently reported prices as high as $108 as “usual and customary” during that time. And petitioners presented evidence that, at least at some times and for some drugs, </w:t>
      </w:r>
      <w:proofErr w:type="spellStart"/>
      <w:r>
        <w:rPr>
          <w:rStyle w:val="markedcontent"/>
        </w:rPr>
        <w:t>SuperValu</w:t>
      </w:r>
      <w:proofErr w:type="spellEnd"/>
      <w:r>
        <w:rPr>
          <w:rStyle w:val="markedcontent"/>
        </w:rPr>
        <w:t xml:space="preserve"> made more than 80% of its cash sales for prices less than what it disclosed as its “usual and customary” price…. For scienter, it is enough if respondents believed that their claims were not accurate.”</w:t>
      </w:r>
      <w:r w:rsidRPr="00AB1613">
        <w:t xml:space="preserve"> </w:t>
      </w:r>
      <w:hyperlink r:id="rId173" w:history="1">
        <w:r w:rsidRPr="009A7773">
          <w:rPr>
            <w:rStyle w:val="Hyperlink"/>
            <w:rFonts w:eastAsiaTheme="majorEastAsia"/>
          </w:rPr>
          <w:t>https://www.supremecourt.gov/opinions/22pdf/21-1326_6jfl.pdf</w:t>
        </w:r>
      </w:hyperlink>
      <w:r>
        <w:rPr>
          <w:rStyle w:val="markedcontent"/>
        </w:rPr>
        <w:t xml:space="preserve"> </w:t>
      </w:r>
    </w:p>
    <w:p w14:paraId="726EEC56" w14:textId="77777777" w:rsidR="00DC17BF" w:rsidRDefault="00DC17BF" w:rsidP="00DC17BF">
      <w:pPr>
        <w:pStyle w:val="NormalWeb"/>
        <w:rPr>
          <w:rStyle w:val="markedcontent"/>
          <w:b/>
          <w:bCs/>
        </w:rPr>
      </w:pPr>
      <w:r w:rsidRPr="00604354">
        <w:rPr>
          <w:rStyle w:val="markedcontent"/>
          <w:b/>
          <w:bCs/>
        </w:rPr>
        <w:t xml:space="preserve">Legal Lesson Learned: </w:t>
      </w:r>
      <w:r>
        <w:rPr>
          <w:rStyle w:val="markedcontent"/>
          <w:b/>
          <w:bCs/>
        </w:rPr>
        <w:t xml:space="preserve">This is a significant decision given the large number of Whistleblower lawsuits filed in the health care industry, including EMS billing cases. </w:t>
      </w:r>
    </w:p>
    <w:p w14:paraId="246D9C60" w14:textId="77777777" w:rsidR="00DC17BF" w:rsidRPr="00604354" w:rsidRDefault="00DC17BF" w:rsidP="00DC17BF">
      <w:pPr>
        <w:pStyle w:val="Heading1"/>
        <w:ind w:left="720"/>
        <w:rPr>
          <w:b w:val="0"/>
          <w:bCs w:val="0"/>
          <w:sz w:val="24"/>
          <w:szCs w:val="24"/>
        </w:rPr>
      </w:pPr>
      <w:r w:rsidRPr="00604354">
        <w:rPr>
          <w:rStyle w:val="markedcontent"/>
          <w:b w:val="0"/>
          <w:bCs w:val="0"/>
          <w:sz w:val="24"/>
          <w:szCs w:val="24"/>
        </w:rPr>
        <w:t xml:space="preserve">Note: </w:t>
      </w:r>
      <w:r>
        <w:rPr>
          <w:rStyle w:val="markedcontent"/>
          <w:b w:val="0"/>
          <w:bCs w:val="0"/>
          <w:sz w:val="24"/>
          <w:szCs w:val="24"/>
        </w:rPr>
        <w:t xml:space="preserve">See </w:t>
      </w:r>
      <w:r w:rsidRPr="00604354">
        <w:rPr>
          <w:rStyle w:val="markedcontent"/>
          <w:b w:val="0"/>
          <w:bCs w:val="0"/>
          <w:sz w:val="24"/>
          <w:szCs w:val="24"/>
        </w:rPr>
        <w:t>Feb. 7, 2023, the U.S. Department of Justice press release</w:t>
      </w:r>
      <w:r>
        <w:rPr>
          <w:rStyle w:val="markedcontent"/>
          <w:b w:val="0"/>
          <w:bCs w:val="0"/>
          <w:sz w:val="24"/>
          <w:szCs w:val="24"/>
        </w:rPr>
        <w:t>: “</w:t>
      </w:r>
      <w:r w:rsidRPr="00604354">
        <w:rPr>
          <w:b w:val="0"/>
          <w:bCs w:val="0"/>
          <w:sz w:val="24"/>
          <w:szCs w:val="24"/>
        </w:rPr>
        <w:t>False Claims Act Settlements and Judgments Exceed $2 Billion in Fiscal Year 2022</w:t>
      </w:r>
      <w:r>
        <w:rPr>
          <w:b w:val="0"/>
          <w:bCs w:val="0"/>
          <w:sz w:val="24"/>
          <w:szCs w:val="24"/>
        </w:rPr>
        <w:t xml:space="preserve">.  Second Highest Number of Settlements in History. </w:t>
      </w:r>
      <w:hyperlink r:id="rId174" w:history="1">
        <w:r w:rsidRPr="009A7773">
          <w:rPr>
            <w:rStyle w:val="Hyperlink"/>
            <w:rFonts w:eastAsiaTheme="majorEastAsia"/>
            <w:b w:val="0"/>
            <w:bCs w:val="0"/>
            <w:sz w:val="24"/>
            <w:szCs w:val="24"/>
          </w:rPr>
          <w:t>https://www.justice.gov/opa/pr/false-claims-act-settlements-and-judgments-exceed-2-billion-fiscal-year-2022</w:t>
        </w:r>
      </w:hyperlink>
      <w:r>
        <w:rPr>
          <w:b w:val="0"/>
          <w:bCs w:val="0"/>
          <w:sz w:val="24"/>
          <w:szCs w:val="24"/>
        </w:rPr>
        <w:t xml:space="preserve"> </w:t>
      </w:r>
    </w:p>
    <w:p w14:paraId="1C14CF8A" w14:textId="77777777" w:rsidR="00DC17BF" w:rsidRDefault="00DC17BF" w:rsidP="00DC17BF">
      <w:pPr>
        <w:pStyle w:val="NormalWeb"/>
        <w:ind w:left="1440"/>
      </w:pPr>
      <w:r>
        <w:t>“Of the more than $2.2 billion in False Claims Act settlements and judgments reported by the Department of Justice this past fiscal year, over $1.7 billion related to matters that involved the health care industry, including drug and medical device manufacturers, durable medical equipment, home health and managed care providers, hospitals, pharmacies, hospice organizations, and physicians. The amounts included in the $1.7 billion reflect recoveries arising only from federal losses, and, in many of these cases, the department was instrumental in recovering additional amounts for state Medicaid programs. The recoveries in fiscal year 2022 also reflected the department’s focus on new enforcement priorities, including fraud in pandemic relief programs and alleged violations of cybersecurity requirements in government contracts and grants.</w:t>
      </w:r>
    </w:p>
    <w:p w14:paraId="656AB19B" w14:textId="77777777" w:rsidR="00DC17BF" w:rsidRDefault="00DC17BF" w:rsidP="00DC17BF">
      <w:pPr>
        <w:pStyle w:val="NormalWeb"/>
        <w:ind w:left="1440"/>
      </w:pPr>
      <w:r>
        <w:t xml:space="preserve">In 1986, Congress strengthened the False Claims Act by increasing incentives for whistleblowers to file lawsuits alleging false claims on behalf of the government. </w:t>
      </w:r>
      <w:proofErr w:type="gramStart"/>
      <w:r>
        <w:t>These whistleblower</w:t>
      </w:r>
      <w:proofErr w:type="gramEnd"/>
      <w:r>
        <w:t>,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Whistleblowers filed 652 qui tam suits in fiscal year 2022, and this past year the department reported settlements and judgments exceeding $1.9 billion in these and earlier-filed suits.”</w:t>
      </w:r>
    </w:p>
    <w:p w14:paraId="492C644B" w14:textId="77777777" w:rsidR="00DC17BF" w:rsidRDefault="00DC17BF" w:rsidP="00DC17BF">
      <w:pPr>
        <w:pStyle w:val="NormalWeb"/>
      </w:pPr>
    </w:p>
    <w:p w14:paraId="0C3D1B9D" w14:textId="7A51DC60" w:rsidR="00DC17BF" w:rsidRDefault="00DC17BF" w:rsidP="00F326E5">
      <w:pPr>
        <w:pStyle w:val="NoSpacing"/>
        <w:rPr>
          <w:rFonts w:ascii="Arial Black" w:hAnsi="Arial Black"/>
          <w:sz w:val="24"/>
          <w:szCs w:val="24"/>
        </w:rPr>
      </w:pPr>
      <w:r>
        <w:rPr>
          <w:rFonts w:ascii="Arial Black" w:hAnsi="Arial Black"/>
          <w:sz w:val="24"/>
          <w:szCs w:val="24"/>
        </w:rPr>
        <w:t>1-122</w:t>
      </w:r>
    </w:p>
    <w:p w14:paraId="241B705B" w14:textId="77777777" w:rsidR="00DC17BF" w:rsidRDefault="00DC17BF" w:rsidP="00F326E5">
      <w:pPr>
        <w:pStyle w:val="NoSpacing"/>
        <w:rPr>
          <w:rFonts w:ascii="Arial Black" w:hAnsi="Arial Black"/>
          <w:sz w:val="24"/>
          <w:szCs w:val="24"/>
        </w:rPr>
      </w:pPr>
    </w:p>
    <w:p w14:paraId="4C414283" w14:textId="77777777" w:rsidR="00DC17BF" w:rsidRDefault="00DC17BF" w:rsidP="00DC17BF">
      <w:pPr>
        <w:pStyle w:val="NormalWeb"/>
        <w:rPr>
          <w:rFonts w:ascii="Arial Black" w:hAnsi="Arial Black"/>
          <w:sz w:val="28"/>
          <w:szCs w:val="28"/>
        </w:rPr>
      </w:pPr>
      <w:r>
        <w:rPr>
          <w:rFonts w:ascii="Arial Black" w:hAnsi="Arial Black"/>
          <w:sz w:val="28"/>
          <w:szCs w:val="28"/>
        </w:rPr>
        <w:t>DC:  U.S. SUP. CT. – HONEST SERVICES FRAUD CONV. REV – AID NY GOV. COMO PAID $35,000 – BUT LEFT STATE GOV’T</w:t>
      </w:r>
    </w:p>
    <w:p w14:paraId="7EA17E31" w14:textId="77777777" w:rsidR="00DC17BF" w:rsidRDefault="00DC17BF" w:rsidP="00DC17BF">
      <w:pPr>
        <w:pStyle w:val="NormalWeb"/>
      </w:pPr>
      <w:r>
        <w:t xml:space="preserve">On May 11, 2023, in </w:t>
      </w:r>
      <w:r w:rsidRPr="00192D79">
        <w:rPr>
          <w:u w:val="single"/>
        </w:rPr>
        <w:t>Joseph Percoco v. United States</w:t>
      </w:r>
      <w:r>
        <w:t xml:space="preserve">, the U.S. Supreme Court held (9 to 0) in opinion by Justice Samuel Alito that jury instructions were improper regarding </w:t>
      </w:r>
      <w:r>
        <w:rPr>
          <w:rStyle w:val="markedcontent"/>
        </w:rPr>
        <w:t xml:space="preserve">honest-services-fraud </w:t>
      </w:r>
      <w:r>
        <w:t xml:space="preserve">and reversed conviction since conduct occurred when not a </w:t>
      </w:r>
      <w:proofErr w:type="gramStart"/>
      <w:r>
        <w:t>State</w:t>
      </w:r>
      <w:proofErr w:type="gramEnd"/>
      <w:r>
        <w:t xml:space="preserve"> employee. During </w:t>
      </w:r>
      <w:proofErr w:type="gramStart"/>
      <w:r>
        <w:t>8-months</w:t>
      </w:r>
      <w:proofErr w:type="gramEnd"/>
      <w:r>
        <w:t xml:space="preserve"> when he left position of </w:t>
      </w:r>
      <w:r>
        <w:rPr>
          <w:rStyle w:val="markedcontent"/>
        </w:rPr>
        <w:lastRenderedPageBreak/>
        <w:t xml:space="preserve">Executive Deputy Secretary for Governor Como to run his campaign, he accepted $35,000 in two payments from a developer seeking to do  business with the State of New York. </w:t>
      </w:r>
    </w:p>
    <w:p w14:paraId="14731F81" w14:textId="77777777" w:rsidR="00DC17BF" w:rsidRDefault="00DC17BF" w:rsidP="00DC17BF">
      <w:pPr>
        <w:pStyle w:val="NormalWeb"/>
        <w:ind w:left="720"/>
      </w:pPr>
      <w:r>
        <w:t>“</w:t>
      </w:r>
      <w:r>
        <w:rPr>
          <w:rStyle w:val="markedcontent"/>
        </w:rPr>
        <w:t>Petitioner Joseph Percoco was charged with conspiring to commit honest-services wire</w:t>
      </w:r>
      <w:r>
        <w:br/>
      </w:r>
      <w:r>
        <w:rPr>
          <w:rStyle w:val="markedcontent"/>
        </w:rPr>
        <w:t xml:space="preserve">fraud during </w:t>
      </w:r>
      <w:proofErr w:type="gramStart"/>
      <w:r>
        <w:rPr>
          <w:rStyle w:val="markedcontent"/>
        </w:rPr>
        <w:t>a period of time</w:t>
      </w:r>
      <w:proofErr w:type="gramEnd"/>
      <w:r>
        <w:rPr>
          <w:rStyle w:val="markedcontent"/>
        </w:rPr>
        <w:t xml:space="preserve"> that included an eight-month interval between two stints as a top aide to the Governor of New York. Percoco was convicted of this offense based on</w:t>
      </w:r>
      <w:r>
        <w:br/>
      </w:r>
      <w:r>
        <w:rPr>
          <w:rStyle w:val="markedcontent"/>
        </w:rPr>
        <w:t xml:space="preserve">instructions that required the jury to determine whether he had a ‘special relationship’ with the government and had ‘dominated and controlled’ government business…. We conclude that this is not the proper test for determining whether a private person may be convicted of </w:t>
      </w:r>
      <w:proofErr w:type="gramStart"/>
      <w:r>
        <w:rPr>
          <w:rStyle w:val="markedcontent"/>
        </w:rPr>
        <w:t>honest-services</w:t>
      </w:r>
      <w:proofErr w:type="gramEnd"/>
      <w:r>
        <w:rPr>
          <w:rStyle w:val="markedcontent"/>
        </w:rPr>
        <w:t xml:space="preserve"> fraud, and we therefore reverse and remand for further </w:t>
      </w:r>
      <w:proofErr w:type="gramStart"/>
      <w:r>
        <w:rPr>
          <w:rStyle w:val="markedcontent"/>
        </w:rPr>
        <w:t>proceedings.”</w:t>
      </w:r>
      <w:proofErr w:type="gramEnd"/>
      <w:r w:rsidRPr="00192D79">
        <w:t xml:space="preserve"> </w:t>
      </w:r>
      <w:hyperlink r:id="rId175" w:history="1">
        <w:r w:rsidRPr="003B7F1C">
          <w:rPr>
            <w:rStyle w:val="Hyperlink"/>
            <w:rFonts w:eastAsiaTheme="majorEastAsia"/>
          </w:rPr>
          <w:t>https://www.supremecourt.gov/opinions/22pdf/21-1158_p8k0.pdf</w:t>
        </w:r>
      </w:hyperlink>
      <w:r>
        <w:rPr>
          <w:rStyle w:val="markedcontent"/>
        </w:rPr>
        <w:t xml:space="preserve"> </w:t>
      </w:r>
    </w:p>
    <w:p w14:paraId="4AF30ACC" w14:textId="77777777" w:rsidR="00DC17BF" w:rsidRDefault="00DC17BF" w:rsidP="00DC17BF">
      <w:pPr>
        <w:pStyle w:val="NormalWeb"/>
        <w:rPr>
          <w:rStyle w:val="markedcontent"/>
          <w:b/>
          <w:bCs/>
        </w:rPr>
      </w:pPr>
      <w:r w:rsidRPr="00604354">
        <w:rPr>
          <w:rStyle w:val="markedcontent"/>
          <w:b/>
          <w:bCs/>
        </w:rPr>
        <w:t xml:space="preserve">Legal Lesson Learned: </w:t>
      </w:r>
      <w:r>
        <w:rPr>
          <w:rStyle w:val="markedcontent"/>
          <w:b/>
          <w:bCs/>
        </w:rPr>
        <w:t xml:space="preserve">This is a significant decision given the large number of Whistleblower lawsuits filed in the health care industry, including EMS billing cases. </w:t>
      </w:r>
    </w:p>
    <w:p w14:paraId="68F21D88" w14:textId="77777777" w:rsidR="00DC17BF" w:rsidRPr="00604354" w:rsidRDefault="00DC17BF" w:rsidP="00DC17BF">
      <w:pPr>
        <w:pStyle w:val="Heading1"/>
        <w:ind w:left="720"/>
        <w:rPr>
          <w:b w:val="0"/>
          <w:bCs w:val="0"/>
          <w:sz w:val="24"/>
          <w:szCs w:val="24"/>
        </w:rPr>
      </w:pPr>
      <w:r w:rsidRPr="00604354">
        <w:rPr>
          <w:rStyle w:val="markedcontent"/>
          <w:b w:val="0"/>
          <w:bCs w:val="0"/>
          <w:sz w:val="24"/>
          <w:szCs w:val="24"/>
        </w:rPr>
        <w:t xml:space="preserve">Note: </w:t>
      </w:r>
      <w:r>
        <w:rPr>
          <w:rStyle w:val="markedcontent"/>
          <w:b w:val="0"/>
          <w:bCs w:val="0"/>
          <w:sz w:val="24"/>
          <w:szCs w:val="24"/>
        </w:rPr>
        <w:t xml:space="preserve">See </w:t>
      </w:r>
      <w:r w:rsidRPr="00604354">
        <w:rPr>
          <w:rStyle w:val="markedcontent"/>
          <w:b w:val="0"/>
          <w:bCs w:val="0"/>
          <w:sz w:val="24"/>
          <w:szCs w:val="24"/>
        </w:rPr>
        <w:t>Feb. 7, 2023, the U.S. Department of Justice press release</w:t>
      </w:r>
      <w:r>
        <w:rPr>
          <w:rStyle w:val="markedcontent"/>
          <w:b w:val="0"/>
          <w:bCs w:val="0"/>
          <w:sz w:val="24"/>
          <w:szCs w:val="24"/>
        </w:rPr>
        <w:t>: “</w:t>
      </w:r>
      <w:r w:rsidRPr="00604354">
        <w:rPr>
          <w:b w:val="0"/>
          <w:bCs w:val="0"/>
          <w:sz w:val="24"/>
          <w:szCs w:val="24"/>
        </w:rPr>
        <w:t>False Claims Act Settlements and Judgments Exceed $2 Billion in Fiscal Year 2022</w:t>
      </w:r>
      <w:r>
        <w:rPr>
          <w:b w:val="0"/>
          <w:bCs w:val="0"/>
          <w:sz w:val="24"/>
          <w:szCs w:val="24"/>
        </w:rPr>
        <w:t xml:space="preserve">.  Second Highest Number of Settlements in History. </w:t>
      </w:r>
      <w:hyperlink r:id="rId176" w:history="1">
        <w:r w:rsidRPr="009A7773">
          <w:rPr>
            <w:rStyle w:val="Hyperlink"/>
            <w:rFonts w:eastAsiaTheme="majorEastAsia"/>
            <w:b w:val="0"/>
            <w:bCs w:val="0"/>
            <w:sz w:val="24"/>
            <w:szCs w:val="24"/>
          </w:rPr>
          <w:t>https://www.justice.gov/opa/pr/false-claims-act-settlements-and-judgments-exceed-2-billion-fiscal-year-2022</w:t>
        </w:r>
      </w:hyperlink>
      <w:r>
        <w:rPr>
          <w:b w:val="0"/>
          <w:bCs w:val="0"/>
          <w:sz w:val="24"/>
          <w:szCs w:val="24"/>
        </w:rPr>
        <w:t xml:space="preserve"> </w:t>
      </w:r>
    </w:p>
    <w:p w14:paraId="2B63DA0D" w14:textId="77777777" w:rsidR="00DC17BF" w:rsidRDefault="00DC17BF" w:rsidP="00DC17BF">
      <w:pPr>
        <w:pStyle w:val="NormalWeb"/>
        <w:ind w:left="1440"/>
      </w:pPr>
      <w:r>
        <w:t>“Of the more than $2.2 billion in False Claims Act settlements and judgments reported by the Department of Justice this past fiscal year, over $1.7 billion related to matters that involved the health care industry, including drug and medical device manufacturers, durable medical equipment, home health and managed care providers, hospitals, pharmacies, hospice organizations, and physicians. The amounts included in the $1.7 billion reflect recoveries arising only from federal losses, and, in many of these cases, the department was instrumental in recovering additional amounts for state Medicaid programs. The recoveries in fiscal year 2022 also reflected the department’s focus on new enforcement priorities, including fraud in pandemic relief programs and alleged violations of cybersecurity requirements in government contracts and grants.</w:t>
      </w:r>
    </w:p>
    <w:p w14:paraId="30B0F0ED" w14:textId="77777777" w:rsidR="00DC17BF" w:rsidRDefault="00DC17BF" w:rsidP="00DC17BF">
      <w:pPr>
        <w:pStyle w:val="NormalWeb"/>
        <w:ind w:left="1440"/>
      </w:pPr>
      <w:r>
        <w:t xml:space="preserve">In 1986, Congress strengthened the False Claims Act by increasing incentives for whistleblowers to file lawsuits alleging false claims on behalf of the government. </w:t>
      </w:r>
      <w:proofErr w:type="gramStart"/>
      <w:r>
        <w:t>These whistleblower</w:t>
      </w:r>
      <w:proofErr w:type="gramEnd"/>
      <w:r>
        <w:t>,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Whistleblowers filed 652 qui tam suits in fiscal year 2022, and this past year the department reported settlements and judgments exceeding $1.9 billion in these and earlier-filed suits.”</w:t>
      </w:r>
    </w:p>
    <w:p w14:paraId="0F178386" w14:textId="77777777" w:rsidR="00DC17BF" w:rsidRDefault="00DC17BF" w:rsidP="00DC17BF">
      <w:pPr>
        <w:pStyle w:val="NormalWeb"/>
      </w:pPr>
    </w:p>
    <w:p w14:paraId="236C3784" w14:textId="5977A549" w:rsidR="00DC17BF" w:rsidRDefault="00DC17BF" w:rsidP="00F326E5">
      <w:pPr>
        <w:pStyle w:val="NoSpacing"/>
        <w:rPr>
          <w:rFonts w:ascii="Arial Black" w:hAnsi="Arial Black"/>
          <w:sz w:val="24"/>
          <w:szCs w:val="24"/>
        </w:rPr>
      </w:pPr>
      <w:r>
        <w:rPr>
          <w:rFonts w:ascii="Arial Black" w:hAnsi="Arial Black"/>
          <w:sz w:val="24"/>
          <w:szCs w:val="24"/>
        </w:rPr>
        <w:t>1-121</w:t>
      </w:r>
    </w:p>
    <w:p w14:paraId="2DD4F80C" w14:textId="77777777" w:rsidR="00DC17BF" w:rsidRDefault="00DC17BF" w:rsidP="00F326E5">
      <w:pPr>
        <w:pStyle w:val="NoSpacing"/>
        <w:rPr>
          <w:rFonts w:ascii="Arial Black" w:hAnsi="Arial Black"/>
          <w:sz w:val="24"/>
          <w:szCs w:val="24"/>
        </w:rPr>
      </w:pPr>
    </w:p>
    <w:p w14:paraId="617F5931" w14:textId="77777777" w:rsidR="00DC17BF" w:rsidRDefault="00DC17BF" w:rsidP="00DC17BF">
      <w:pPr>
        <w:pStyle w:val="NormalWeb"/>
        <w:rPr>
          <w:b/>
          <w:bCs/>
        </w:rPr>
      </w:pPr>
      <w:bookmarkStart w:id="3" w:name="_Hlk136857835"/>
      <w:r>
        <w:rPr>
          <w:rFonts w:ascii="Arial Black" w:hAnsi="Arial Black"/>
          <w:b/>
          <w:bCs/>
          <w:sz w:val="28"/>
          <w:szCs w:val="28"/>
        </w:rPr>
        <w:t xml:space="preserve">CA (5/1/2023): ARSON – CONV. UPHELD – CIRCUMSTANTIAL EVIDENCE - DEFENDANT SEEN AT 4 OF 5 FIRES ONE YEAR </w:t>
      </w:r>
    </w:p>
    <w:bookmarkEnd w:id="3"/>
    <w:p w14:paraId="6D8D9D0A" w14:textId="77777777" w:rsidR="00DC17BF" w:rsidRPr="00DC17BF" w:rsidRDefault="00DC17BF" w:rsidP="00DC17BF">
      <w:pPr>
        <w:pStyle w:val="NormalWeb"/>
      </w:pPr>
      <w:r w:rsidRPr="00FD7241">
        <w:lastRenderedPageBreak/>
        <w:t xml:space="preserve">On May 1, 2023, in </w:t>
      </w:r>
      <w:r w:rsidRPr="00FD7241">
        <w:rPr>
          <w:u w:val="single"/>
        </w:rPr>
        <w:t>The People v. Franklin Alan Goubert</w:t>
      </w:r>
      <w:r>
        <w:t xml:space="preserve">, the California Court of Appeals, Third District, Tehama </w:t>
      </w:r>
      <w:r w:rsidRPr="00DC17BF">
        <w:t xml:space="preserve">held (3 to 0; unpublished decision) that the trial court judge, in a bench trial (no jury) properly found defendant guilty of two counts of arson to property, and one count of arson of forest land. </w:t>
      </w:r>
    </w:p>
    <w:p w14:paraId="57FE02DE" w14:textId="6CCE8C94" w:rsidR="00DC17BF" w:rsidRPr="00DC17BF" w:rsidRDefault="00DC17BF" w:rsidP="00DC17BF">
      <w:pPr>
        <w:pStyle w:val="NoSpacing"/>
        <w:rPr>
          <w:rFonts w:ascii="Times New Roman" w:hAnsi="Times New Roman"/>
          <w:sz w:val="24"/>
          <w:szCs w:val="24"/>
        </w:rPr>
      </w:pPr>
      <w:r w:rsidRPr="00DC17BF">
        <w:rPr>
          <w:rFonts w:ascii="Times New Roman" w:hAnsi="Times New Roman"/>
          <w:sz w:val="24"/>
          <w:szCs w:val="24"/>
        </w:rPr>
        <w:t xml:space="preserve">“The trial court heard testimony that the fire department saw defendant at four out of the five suspicious fires, and that seeing someone at multiple fires is unusual. The fifth suspicious </w:t>
      </w:r>
      <w:proofErr w:type="gramStart"/>
      <w:r w:rsidRPr="00DC17BF">
        <w:rPr>
          <w:rFonts w:ascii="Times New Roman" w:hAnsi="Times New Roman"/>
          <w:sz w:val="24"/>
          <w:szCs w:val="24"/>
        </w:rPr>
        <w:t>fire further</w:t>
      </w:r>
      <w:proofErr w:type="gramEnd"/>
      <w:r w:rsidRPr="00DC17BF">
        <w:rPr>
          <w:rFonts w:ascii="Times New Roman" w:hAnsi="Times New Roman"/>
          <w:sz w:val="24"/>
          <w:szCs w:val="24"/>
        </w:rPr>
        <w:t xml:space="preserve"> occurred near the camp where defendant was living. The five fires occurred over a one-year span; the fires were relatively small; two occurred near a railroad; at least three occurred in the middle of the night; four were near homeless encampments; and all five fires involved the burning of vegetation. There was further testimony that three of the fires were deliberately set and were not accidental or unintentional. Based on defendant's unusual presence at the restaurant fire (and the other fires), and the similarities between the restaurant fire and the other fires, it is reasonable to infer someone started the restaurant fire, and it was defendant who did so. (See </w:t>
      </w:r>
      <w:r w:rsidRPr="00DC17BF">
        <w:rPr>
          <w:rStyle w:val="Emphasis"/>
          <w:rFonts w:ascii="Times New Roman" w:hAnsi="Times New Roman"/>
          <w:sz w:val="24"/>
          <w:szCs w:val="24"/>
        </w:rPr>
        <w:t>Andrews I</w:t>
      </w:r>
      <w:r w:rsidRPr="00DC17BF">
        <w:rPr>
          <w:rFonts w:ascii="Times New Roman" w:hAnsi="Times New Roman"/>
          <w:sz w:val="24"/>
          <w:szCs w:val="24"/>
        </w:rPr>
        <w:t xml:space="preserve">, </w:t>
      </w:r>
      <w:r w:rsidRPr="00DC17BF">
        <w:rPr>
          <w:rStyle w:val="Emphasis"/>
          <w:rFonts w:ascii="Times New Roman" w:hAnsi="Times New Roman"/>
          <w:sz w:val="24"/>
          <w:szCs w:val="24"/>
        </w:rPr>
        <w:t>supra</w:t>
      </w:r>
      <w:r w:rsidRPr="00DC17BF">
        <w:rPr>
          <w:rFonts w:ascii="Times New Roman" w:hAnsi="Times New Roman"/>
          <w:sz w:val="24"/>
          <w:szCs w:val="24"/>
        </w:rPr>
        <w:t>, 222 Cal.App.2d at pp. 245-246 [finding sufficient evidence to establish the corpus delicti of arson when "[f]our fires within the same neighborhood, close in point of date . . ., closer in point of time of day . . ., all started by an apparently similar method, cumulate[d] to give to [the] circumstantial proof much more than prima facie veracity"].) The circumstantial evidence in this case "</w:t>
      </w:r>
      <w:proofErr w:type="spellStart"/>
      <w:r w:rsidRPr="00DC17BF">
        <w:rPr>
          <w:rFonts w:ascii="Times New Roman" w:hAnsi="Times New Roman"/>
          <w:sz w:val="24"/>
          <w:szCs w:val="24"/>
        </w:rPr>
        <w:t>snapp</w:t>
      </w:r>
      <w:proofErr w:type="spellEnd"/>
      <w:r w:rsidRPr="00DC17BF">
        <w:rPr>
          <w:rFonts w:ascii="Times New Roman" w:hAnsi="Times New Roman"/>
          <w:sz w:val="24"/>
          <w:szCs w:val="24"/>
        </w:rPr>
        <w:t>[ed] the long arm of coincidence" and established the corpus delicti for the restaurant fire. (</w:t>
      </w:r>
      <w:r w:rsidRPr="00DC17BF">
        <w:rPr>
          <w:rStyle w:val="Emphasis"/>
          <w:rFonts w:ascii="Times New Roman" w:hAnsi="Times New Roman"/>
          <w:sz w:val="24"/>
          <w:szCs w:val="24"/>
        </w:rPr>
        <w:t>Andrews I</w:t>
      </w:r>
      <w:r w:rsidRPr="00DC17BF">
        <w:rPr>
          <w:rFonts w:ascii="Times New Roman" w:hAnsi="Times New Roman"/>
          <w:sz w:val="24"/>
          <w:szCs w:val="24"/>
        </w:rPr>
        <w:t xml:space="preserve">, </w:t>
      </w:r>
      <w:r w:rsidRPr="00DC17BF">
        <w:rPr>
          <w:rStyle w:val="Emphasis"/>
          <w:rFonts w:ascii="Times New Roman" w:hAnsi="Times New Roman"/>
          <w:sz w:val="24"/>
          <w:szCs w:val="24"/>
        </w:rPr>
        <w:t>supra</w:t>
      </w:r>
      <w:r w:rsidRPr="00DC17BF">
        <w:rPr>
          <w:rFonts w:ascii="Times New Roman" w:hAnsi="Times New Roman"/>
          <w:sz w:val="24"/>
          <w:szCs w:val="24"/>
        </w:rPr>
        <w:t xml:space="preserve">, 222 Cal.App.2d at p. 245.)” </w:t>
      </w:r>
      <w:hyperlink r:id="rId177" w:history="1">
        <w:r w:rsidRPr="00DC17BF">
          <w:rPr>
            <w:rStyle w:val="Hyperlink"/>
            <w:rFonts w:ascii="Times New Roman" w:eastAsiaTheme="majorEastAsia" w:hAnsi="Times New Roman"/>
            <w:sz w:val="24"/>
            <w:szCs w:val="24"/>
          </w:rPr>
          <w:t>https://public.fastcase.com/ZZhmr5v9wN%2FXOe5IsQ%2FqDwpaI7JNx0yucAfBBTCYhVf6eRN0F6j2PHZ4Bf4v9PLOEuaobgTYEa8%2BzQGGWxAHAgvFhF3yj4k41BJEkNmdniM%3D?utm_medium=email&amp;_hsmi=226712652&amp;_hsenc=p2ANqtz-_dwT49KfhNPpDq3N3VwSjkZTEUiwZEDoqDlulVdR_yzkAg6581Fi_9SACtWrDkZJ_u8Xp6dukkkP4Lu33go_UmHv0HyQ&amp;utm_content=226712652&amp;utm_source=hs_email</w:t>
        </w:r>
      </w:hyperlink>
    </w:p>
    <w:p w14:paraId="059BAD30" w14:textId="77777777" w:rsidR="00DC17BF" w:rsidRDefault="00DC17BF" w:rsidP="00F326E5">
      <w:pPr>
        <w:pStyle w:val="NoSpacing"/>
        <w:rPr>
          <w:rFonts w:ascii="Arial Black" w:hAnsi="Arial Black"/>
          <w:sz w:val="24"/>
          <w:szCs w:val="24"/>
        </w:rPr>
      </w:pPr>
    </w:p>
    <w:p w14:paraId="15B5368A" w14:textId="77777777" w:rsidR="00DC17BF" w:rsidRPr="00DF03D1" w:rsidRDefault="00DC17BF" w:rsidP="00DC17BF">
      <w:pPr>
        <w:pStyle w:val="NormalWeb"/>
        <w:rPr>
          <w:b/>
          <w:bCs/>
        </w:rPr>
      </w:pPr>
      <w:r w:rsidRPr="00DF03D1">
        <w:rPr>
          <w:b/>
          <w:bCs/>
        </w:rPr>
        <w:t>Legal Lesson Learned:</w:t>
      </w:r>
      <w:r>
        <w:rPr>
          <w:b/>
          <w:bCs/>
        </w:rPr>
        <w:t xml:space="preserve"> Observing </w:t>
      </w:r>
      <w:proofErr w:type="gramStart"/>
      <w:r>
        <w:rPr>
          <w:b/>
          <w:bCs/>
        </w:rPr>
        <w:t>defendant</w:t>
      </w:r>
      <w:proofErr w:type="gramEnd"/>
      <w:r>
        <w:rPr>
          <w:b/>
          <w:bCs/>
        </w:rPr>
        <w:t xml:space="preserve"> at multiple fires led to his convictions. </w:t>
      </w:r>
    </w:p>
    <w:p w14:paraId="6529F552" w14:textId="5E513569" w:rsidR="00DC17BF" w:rsidRDefault="00DC17BF" w:rsidP="00F326E5">
      <w:pPr>
        <w:pStyle w:val="NoSpacing"/>
        <w:rPr>
          <w:rFonts w:ascii="Arial Black" w:hAnsi="Arial Black"/>
          <w:sz w:val="24"/>
          <w:szCs w:val="24"/>
        </w:rPr>
      </w:pPr>
      <w:r>
        <w:rPr>
          <w:rFonts w:ascii="Arial Black" w:hAnsi="Arial Black"/>
          <w:sz w:val="24"/>
          <w:szCs w:val="24"/>
        </w:rPr>
        <w:t xml:space="preserve"> </w:t>
      </w:r>
    </w:p>
    <w:p w14:paraId="4FCDB951" w14:textId="77777777" w:rsidR="00DC17BF" w:rsidRDefault="00DC17BF" w:rsidP="00F326E5">
      <w:pPr>
        <w:pStyle w:val="NoSpacing"/>
        <w:rPr>
          <w:rFonts w:ascii="Arial Black" w:hAnsi="Arial Black"/>
          <w:sz w:val="24"/>
          <w:szCs w:val="24"/>
        </w:rPr>
      </w:pPr>
    </w:p>
    <w:p w14:paraId="384D3DF7" w14:textId="77777777" w:rsidR="00DC17BF" w:rsidRDefault="00DC17BF" w:rsidP="00F326E5">
      <w:pPr>
        <w:pStyle w:val="NoSpacing"/>
        <w:rPr>
          <w:rFonts w:ascii="Arial Black" w:hAnsi="Arial Black"/>
          <w:sz w:val="24"/>
          <w:szCs w:val="24"/>
        </w:rPr>
      </w:pPr>
    </w:p>
    <w:p w14:paraId="31CAF639" w14:textId="1F591580" w:rsidR="007A0E71" w:rsidRDefault="007A0E71" w:rsidP="00F326E5">
      <w:pPr>
        <w:pStyle w:val="NoSpacing"/>
        <w:rPr>
          <w:rFonts w:ascii="Arial Black" w:hAnsi="Arial Black"/>
          <w:sz w:val="24"/>
          <w:szCs w:val="24"/>
        </w:rPr>
      </w:pPr>
      <w:r>
        <w:rPr>
          <w:rFonts w:ascii="Arial Black" w:hAnsi="Arial Black"/>
          <w:sz w:val="24"/>
          <w:szCs w:val="24"/>
        </w:rPr>
        <w:t>1-120</w:t>
      </w:r>
    </w:p>
    <w:p w14:paraId="5F584F5E" w14:textId="77777777" w:rsidR="007A0E71" w:rsidRDefault="007A0E71" w:rsidP="00F326E5">
      <w:pPr>
        <w:pStyle w:val="NoSpacing"/>
        <w:rPr>
          <w:rFonts w:ascii="Arial Black" w:hAnsi="Arial Black"/>
          <w:sz w:val="24"/>
          <w:szCs w:val="24"/>
        </w:rPr>
      </w:pPr>
    </w:p>
    <w:p w14:paraId="5779B036" w14:textId="77777777" w:rsidR="007A0E71" w:rsidRPr="001F782C" w:rsidRDefault="007A0E71" w:rsidP="007A0E71">
      <w:pPr>
        <w:pStyle w:val="NormalWeb"/>
        <w:rPr>
          <w:rFonts w:ascii="Arial Black" w:hAnsi="Arial Black"/>
          <w:sz w:val="28"/>
          <w:szCs w:val="28"/>
        </w:rPr>
      </w:pPr>
      <w:r w:rsidRPr="001F782C">
        <w:rPr>
          <w:rFonts w:ascii="Arial Black" w:hAnsi="Arial Black"/>
          <w:sz w:val="28"/>
          <w:szCs w:val="28"/>
        </w:rPr>
        <w:t>CA (4/12/2023)</w:t>
      </w:r>
      <w:r>
        <w:rPr>
          <w:rFonts w:ascii="Arial Black" w:hAnsi="Arial Black"/>
          <w:sz w:val="28"/>
          <w:szCs w:val="28"/>
        </w:rPr>
        <w:t xml:space="preserve"> – SAFER GRANT – FRAUD – RECRUITING VOL. FF - 12 MONTHS PRISON, $1.2 MILLION RESTITUTION</w:t>
      </w:r>
    </w:p>
    <w:p w14:paraId="7269FBFA" w14:textId="77777777" w:rsidR="007A0E71" w:rsidRDefault="007A0E71" w:rsidP="007A0E71">
      <w:pPr>
        <w:pStyle w:val="NormalWeb"/>
      </w:pPr>
      <w:r w:rsidRPr="001F782C">
        <w:rPr>
          <w:u w:val="single"/>
        </w:rPr>
        <w:t>United States v. Samuel Thomas Lanier</w:t>
      </w:r>
      <w:r>
        <w:t xml:space="preserve">, U.S. District Court Chief Judge Kimberly J. Mueller. </w:t>
      </w:r>
      <w:hyperlink r:id="rId178" w:history="1">
        <w:r w:rsidRPr="00173A17">
          <w:rPr>
            <w:rStyle w:val="Hyperlink"/>
            <w:rFonts w:eastAsiaTheme="majorEastAsia"/>
          </w:rPr>
          <w:t>https://www.leagle.com/decision/infdco20230413c44</w:t>
        </w:r>
      </w:hyperlink>
    </w:p>
    <w:p w14:paraId="20F88F65" w14:textId="77777777" w:rsidR="007A0E71" w:rsidRPr="004D4F51" w:rsidRDefault="007A0E71" w:rsidP="007A0E71">
      <w:pPr>
        <w:pStyle w:val="NormalWeb"/>
        <w:rPr>
          <w:b/>
          <w:bCs/>
        </w:rPr>
      </w:pPr>
      <w:r w:rsidRPr="004D4F51">
        <w:rPr>
          <w:b/>
          <w:bCs/>
        </w:rPr>
        <w:t xml:space="preserve">Legal Lesson Learned: </w:t>
      </w:r>
      <w:r>
        <w:rPr>
          <w:b/>
          <w:bCs/>
        </w:rPr>
        <w:t>Fraudulent charges to Fed. Government can lead to prison time and restitution.</w:t>
      </w:r>
    </w:p>
    <w:p w14:paraId="7568FB32" w14:textId="7AA1DB4C" w:rsidR="007A0E71" w:rsidRDefault="007A0E71" w:rsidP="007A0E71">
      <w:pPr>
        <w:pStyle w:val="NoSpacing"/>
        <w:rPr>
          <w:rFonts w:ascii="Arial Black" w:hAnsi="Arial Black"/>
          <w:sz w:val="24"/>
          <w:szCs w:val="24"/>
        </w:rPr>
      </w:pPr>
      <w:r w:rsidRPr="004D4F51">
        <w:rPr>
          <w:sz w:val="24"/>
          <w:szCs w:val="24"/>
        </w:rPr>
        <w:t xml:space="preserve">Note: See </w:t>
      </w:r>
      <w:r>
        <w:rPr>
          <w:sz w:val="24"/>
          <w:szCs w:val="24"/>
        </w:rPr>
        <w:t xml:space="preserve">Oct. 17, </w:t>
      </w:r>
      <w:proofErr w:type="gramStart"/>
      <w:r>
        <w:rPr>
          <w:sz w:val="24"/>
          <w:szCs w:val="24"/>
        </w:rPr>
        <w:t>2022</w:t>
      </w:r>
      <w:proofErr w:type="gramEnd"/>
      <w:r>
        <w:rPr>
          <w:sz w:val="24"/>
          <w:szCs w:val="24"/>
        </w:rPr>
        <w:t xml:space="preserve"> Press Release – “</w:t>
      </w:r>
      <w:r w:rsidRPr="004D4F51">
        <w:rPr>
          <w:rStyle w:val="field-formatter--string"/>
          <w:sz w:val="24"/>
          <w:szCs w:val="24"/>
        </w:rPr>
        <w:t>Siskiyou County Man Sentenced to 1 Year in Prison for Major Fraud Against the United States for Taking FEMA Grant Funds</w:t>
      </w:r>
      <w:r>
        <w:rPr>
          <w:rStyle w:val="field-formatter--string"/>
          <w:sz w:val="24"/>
          <w:szCs w:val="24"/>
        </w:rPr>
        <w:t xml:space="preserve">.” </w:t>
      </w:r>
      <w:hyperlink r:id="rId179" w:history="1">
        <w:r w:rsidRPr="00173A17">
          <w:rPr>
            <w:rStyle w:val="Hyperlink"/>
            <w:rFonts w:eastAsiaTheme="majorEastAsia"/>
            <w:sz w:val="24"/>
            <w:szCs w:val="24"/>
          </w:rPr>
          <w:t>https://www.justice.gov/usao-edca/pr/siskiyou-county-man-sentenced-1-year-prison-major-fraud-against-united-states-taking</w:t>
        </w:r>
      </w:hyperlink>
    </w:p>
    <w:p w14:paraId="15206FEB" w14:textId="77777777" w:rsidR="007A0E71" w:rsidRDefault="007A0E71" w:rsidP="00F326E5">
      <w:pPr>
        <w:pStyle w:val="NoSpacing"/>
        <w:rPr>
          <w:rFonts w:ascii="Arial Black" w:hAnsi="Arial Black"/>
          <w:sz w:val="24"/>
          <w:szCs w:val="24"/>
        </w:rPr>
      </w:pPr>
    </w:p>
    <w:p w14:paraId="7B7C6D24" w14:textId="5254AA91" w:rsidR="003F788B" w:rsidRDefault="003F788B" w:rsidP="00F326E5">
      <w:pPr>
        <w:pStyle w:val="NoSpacing"/>
        <w:rPr>
          <w:rFonts w:ascii="Arial Black" w:hAnsi="Arial Black"/>
          <w:sz w:val="24"/>
          <w:szCs w:val="24"/>
        </w:rPr>
      </w:pPr>
      <w:r>
        <w:rPr>
          <w:rFonts w:ascii="Arial Black" w:hAnsi="Arial Black"/>
          <w:sz w:val="24"/>
          <w:szCs w:val="24"/>
        </w:rPr>
        <w:t>1-119</w:t>
      </w:r>
    </w:p>
    <w:p w14:paraId="7FFB5D97" w14:textId="77777777" w:rsidR="003F788B" w:rsidRDefault="003F788B" w:rsidP="003F788B">
      <w:pPr>
        <w:pStyle w:val="NormalWeb"/>
        <w:rPr>
          <w:rFonts w:ascii="Arial Black" w:hAnsi="Arial Black"/>
          <w:sz w:val="28"/>
          <w:szCs w:val="28"/>
        </w:rPr>
      </w:pPr>
      <w:r>
        <w:rPr>
          <w:rFonts w:ascii="Arial Black" w:hAnsi="Arial Black"/>
          <w:sz w:val="28"/>
          <w:szCs w:val="28"/>
        </w:rPr>
        <w:t>MI: FIRE MARSHAL DENIED QUALIFIED IMMUNITY, CHANGED RPT “INCENDIARY” – LODD - BLDG OWNER SUES</w:t>
      </w:r>
    </w:p>
    <w:p w14:paraId="6942614A" w14:textId="77777777" w:rsidR="003F788B" w:rsidRDefault="003F788B" w:rsidP="003F788B">
      <w:pPr>
        <w:pStyle w:val="NormalWeb"/>
      </w:pPr>
      <w:r>
        <w:lastRenderedPageBreak/>
        <w:t xml:space="preserve">On March 24, 2023, in </w:t>
      </w:r>
      <w:r>
        <w:rPr>
          <w:u w:val="single"/>
        </w:rPr>
        <w:t xml:space="preserve">George Marvaso, et al. v. Richard Sanchez, et </w:t>
      </w:r>
      <w:r>
        <w:t>al., U.S. District Court Judge Linda V. Parker, Eastern District of Michigan (Southern Division) held that the lawsuit by the owners of the restaurant and adjacent pool hall may proceed in lawsuit against the Fire Marshal and others for alleged violation of their federal constitutional rights under 4</w:t>
      </w:r>
      <w:r>
        <w:rPr>
          <w:vertAlign w:val="superscript"/>
        </w:rPr>
        <w:t>th</w:t>
      </w:r>
      <w:r>
        <w:t xml:space="preserve"> &amp; 14</w:t>
      </w:r>
      <w:r>
        <w:rPr>
          <w:vertAlign w:val="superscript"/>
        </w:rPr>
        <w:t>th</w:t>
      </w:r>
      <w:r>
        <w:t xml:space="preserve"> Amendment, when Fire Marshall changed his origin and cause report from “undetermined: (May 2013) to “incendiary” (Nov. 2013).   During the fire, there was a building collapse and firefighter Brian Woelke was trapped and died. See NIOSH FF Fatality Report: </w:t>
      </w:r>
      <w:hyperlink r:id="rId180" w:history="1">
        <w:r>
          <w:rPr>
            <w:rStyle w:val="Hyperlink"/>
          </w:rPr>
          <w:t>https://www.cdc.gov/niosh/fire/pdfs/face201314.pdf</w:t>
        </w:r>
      </w:hyperlink>
      <w:r>
        <w:t xml:space="preserve">.  In Aug. 2013, state OSHA issued citations for LODD and FD paid $3,500 in fines. </w:t>
      </w:r>
    </w:p>
    <w:p w14:paraId="329B4267" w14:textId="77777777" w:rsidR="003F788B" w:rsidRDefault="003F788B" w:rsidP="003F788B">
      <w:pPr>
        <w:pStyle w:val="NormalWeb"/>
        <w:ind w:left="720"/>
      </w:pPr>
      <w:r>
        <w:t xml:space="preserve">The Court denied the Fire Marshall’s motion to dismiss the case and referenced the plaintiffs’ allegations. “On or about mid-September 2013, Fire Marshal Adams met with Westland City Councilman Bill Johnson. While Adams previously told Councilman Johnson that the cause of the fire was electrical in nature, he now indicated that he was changing his conclusion to an incendiary cause even though he had no new evidence. When Councilman Johnson asked Fire Marshal Adams why he was changing his mind, Fire Marshal Adams answered: ‘Because a firefighter died, Bill.’”  Plaintiffs further alleged:  “In mid-November 2013, Fire Marshal Adams submitted an alleged false fire origin and cause report to the Michigan State Police (‘MSP’) and Wayne County Prosecutor's Office, which triggered an MSP homicide investigation resulting in the allegedly unlawful search warrants … being executed for Plaintiffs' homes, where records and personal property were seized. Fire Marshal Adams' announcement that the fire had an incendiary cause, and that the MSP would be opening a homicide investigation into Woelke's death was widely reported in the statewide news media.” </w:t>
      </w:r>
      <w:hyperlink r:id="rId181" w:history="1">
        <w:r>
          <w:rPr>
            <w:rStyle w:val="Hyperlink"/>
          </w:rPr>
          <w:t>https://public.fastcase.com/J%2FJP6pdidelsXxEE4k%2BLMh%2BxgKCWLadJ0%2BOScffwypyz9KPkH6WwjXpW3uRa%2FlRTPk79L8Q2wc49Eb83uFrfiOwpLA5%2BzEeF6Sl%2BnZohK7o%3D?utm_medium=email&amp;_hsmi=226712652&amp;_hsenc=p2ANqtz--JRFw_odmHYH-3piiElV-hEg_p30YKZr85DqTYsa6cCP0cQTh9qrySQOzbjYsHMVm2otLm7TlEchGQvTofiaLZzRru3Q&amp;utm_content=226712652&amp;utm_source=hs_email</w:t>
        </w:r>
      </w:hyperlink>
      <w:r>
        <w:t xml:space="preserve"> </w:t>
      </w:r>
    </w:p>
    <w:p w14:paraId="094F4030" w14:textId="77777777" w:rsidR="003F788B" w:rsidRDefault="003F788B" w:rsidP="003F788B">
      <w:pPr>
        <w:pStyle w:val="NormalWeb"/>
        <w:ind w:left="720" w:firstLine="60"/>
      </w:pPr>
      <w:r>
        <w:t>“</w:t>
      </w:r>
      <w:r>
        <w:rPr>
          <w:rStyle w:val="Emphasis"/>
        </w:rPr>
        <w:t>Qualified Immunity as to Alleged Constitutional Violations…</w:t>
      </w:r>
      <w:r>
        <w:t xml:space="preserve"> Plaintiffs have presented sufficient evidence that Fire Marshal Adams was aware that his action was unlawful, which occurred when he allegedly responded to Councilman Johnson with his reasoning for changing the report. A reasonable fireman, officer, or anyone with the requisite training, is aware that engaging in such conduct would be unlawful and at the very least, would likely amount to a termination of employment. As such, absent any evidence on the record to rebut that statement, Fire Marshal Adams is not entitled to the protections of qualified immunity.” </w:t>
      </w:r>
    </w:p>
    <w:p w14:paraId="405E31F3" w14:textId="77777777" w:rsidR="003F788B" w:rsidRDefault="003F788B" w:rsidP="003F788B">
      <w:pPr>
        <w:pStyle w:val="NormalWeb"/>
        <w:rPr>
          <w:b/>
          <w:bCs/>
        </w:rPr>
      </w:pPr>
      <w:r>
        <w:rPr>
          <w:b/>
          <w:bCs/>
        </w:rPr>
        <w:t xml:space="preserve">Legal Lesson Learned: The plaintiffs’ allegations are </w:t>
      </w:r>
      <w:proofErr w:type="gramStart"/>
      <w:r>
        <w:rPr>
          <w:b/>
          <w:bCs/>
        </w:rPr>
        <w:t>shocking, but</w:t>
      </w:r>
      <w:proofErr w:type="gramEnd"/>
      <w:r>
        <w:rPr>
          <w:b/>
          <w:bCs/>
        </w:rPr>
        <w:t xml:space="preserve"> have not been proven at trial.  The Fire Marshall may decide to </w:t>
      </w:r>
      <w:proofErr w:type="gramStart"/>
      <w:r>
        <w:rPr>
          <w:b/>
          <w:bCs/>
        </w:rPr>
        <w:t>take</w:t>
      </w:r>
      <w:proofErr w:type="gramEnd"/>
      <w:r>
        <w:rPr>
          <w:b/>
          <w:bCs/>
        </w:rPr>
        <w:t xml:space="preserve"> an immediate appeal to 6</w:t>
      </w:r>
      <w:r>
        <w:rPr>
          <w:b/>
          <w:bCs/>
          <w:vertAlign w:val="superscript"/>
        </w:rPr>
        <w:t>th</w:t>
      </w:r>
      <w:r>
        <w:rPr>
          <w:b/>
          <w:bCs/>
        </w:rPr>
        <w:t xml:space="preserve"> Circuit on denial of qualified immunity. </w:t>
      </w:r>
    </w:p>
    <w:p w14:paraId="78AF202C" w14:textId="77777777" w:rsidR="003F788B" w:rsidRDefault="003F788B" w:rsidP="003F788B">
      <w:pPr>
        <w:pStyle w:val="NormalWeb"/>
        <w:ind w:left="720"/>
      </w:pPr>
      <w:r>
        <w:t xml:space="preserve">Note: The Court dismissed from this lawsuit the Michigan State Police lieutenant who submitted a search warrant affidavit, that included following: </w:t>
      </w:r>
    </w:p>
    <w:p w14:paraId="71724393"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 multiple tips that the fire was intentionally set, </w:t>
      </w:r>
    </w:p>
    <w:p w14:paraId="47974787"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(2) a vehicle in the parking lot of the business after hours on the night of the fire that matched a description of </w:t>
      </w:r>
      <w:proofErr w:type="spellStart"/>
      <w:r>
        <w:rPr>
          <w:rFonts w:ascii="Times New Roman" w:eastAsia="Times New Roman" w:hAnsi="Times New Roman"/>
          <w:sz w:val="24"/>
          <w:szCs w:val="24"/>
        </w:rPr>
        <w:t>Marvaso</w:t>
      </w:r>
      <w:proofErr w:type="spellEnd"/>
      <w:r>
        <w:rPr>
          <w:rFonts w:ascii="Times New Roman" w:eastAsia="Times New Roman" w:hAnsi="Times New Roman"/>
          <w:sz w:val="24"/>
          <w:szCs w:val="24"/>
        </w:rPr>
        <w:t xml:space="preserve">, Jr.'s car,  </w:t>
      </w:r>
    </w:p>
    <w:p w14:paraId="119FD9E4"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(3) information from a </w:t>
      </w:r>
      <w:proofErr w:type="spellStart"/>
      <w:r>
        <w:rPr>
          <w:rFonts w:ascii="Times New Roman" w:eastAsia="Times New Roman" w:hAnsi="Times New Roman"/>
          <w:sz w:val="24"/>
          <w:szCs w:val="24"/>
        </w:rPr>
        <w:t>Marvaso</w:t>
      </w:r>
      <w:proofErr w:type="spellEnd"/>
      <w:r>
        <w:rPr>
          <w:rFonts w:ascii="Times New Roman" w:eastAsia="Times New Roman" w:hAnsi="Times New Roman"/>
          <w:sz w:val="24"/>
          <w:szCs w:val="24"/>
        </w:rPr>
        <w:t xml:space="preserve"> relative that </w:t>
      </w:r>
      <w:proofErr w:type="spellStart"/>
      <w:r>
        <w:rPr>
          <w:rFonts w:ascii="Times New Roman" w:eastAsia="Times New Roman" w:hAnsi="Times New Roman"/>
          <w:sz w:val="24"/>
          <w:szCs w:val="24"/>
        </w:rPr>
        <w:t>Marvaso</w:t>
      </w:r>
      <w:proofErr w:type="spellEnd"/>
      <w:r>
        <w:rPr>
          <w:rFonts w:ascii="Times New Roman" w:eastAsia="Times New Roman" w:hAnsi="Times New Roman"/>
          <w:sz w:val="24"/>
          <w:szCs w:val="24"/>
        </w:rPr>
        <w:t xml:space="preserve">, Sr. was distraught because the fire was an insurance job and no one was supposed to get hurt, </w:t>
      </w:r>
    </w:p>
    <w:p w14:paraId="3C76BD1F"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(4) a recent fire cause and origin report from Westland determining that the fire was intentionally set, </w:t>
      </w:r>
    </w:p>
    <w:p w14:paraId="32421811"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(5) information that the entry doors were locked and not disturbed, </w:t>
      </w:r>
    </w:p>
    <w:p w14:paraId="2CA21ACB"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(6) the inference that no forced entry suggested an inside job, </w:t>
      </w:r>
    </w:p>
    <w:p w14:paraId="61EAB6AF"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lastRenderedPageBreak/>
        <w:t xml:space="preserve">(7) information about financial difficulties associated with the business, </w:t>
      </w:r>
    </w:p>
    <w:p w14:paraId="046F48B8"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(8) information that Plaintiffs removed items from the scene of the fire, </w:t>
      </w:r>
    </w:p>
    <w:p w14:paraId="3C4578F6"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(9) information regarding business related items that may be located at Plaintiffs' residences and storage lockers, </w:t>
      </w:r>
    </w:p>
    <w:p w14:paraId="503E3F19"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(10) information about telephone numbers associated with the business, </w:t>
      </w:r>
    </w:p>
    <w:p w14:paraId="7F0771BA"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(11) information about the role of each Plaintiff in the business, and </w:t>
      </w:r>
    </w:p>
    <w:p w14:paraId="5BA2EFFE"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(12) information that the insurance coverage was recently raised. </w:t>
      </w:r>
    </w:p>
    <w:p w14:paraId="46532D3D" w14:textId="23062BC0" w:rsidR="003F788B" w:rsidRDefault="003F788B" w:rsidP="00F326E5">
      <w:pPr>
        <w:pStyle w:val="NoSpacing"/>
        <w:rPr>
          <w:rFonts w:ascii="Arial Black" w:hAnsi="Arial Black"/>
          <w:sz w:val="24"/>
          <w:szCs w:val="24"/>
        </w:rPr>
      </w:pPr>
    </w:p>
    <w:p w14:paraId="1EDBFEF6" w14:textId="77777777" w:rsidR="003F788B" w:rsidRDefault="003F788B" w:rsidP="00F326E5">
      <w:pPr>
        <w:pStyle w:val="NoSpacing"/>
        <w:rPr>
          <w:rFonts w:ascii="Arial Black" w:hAnsi="Arial Black"/>
          <w:sz w:val="24"/>
          <w:szCs w:val="24"/>
        </w:rPr>
      </w:pPr>
    </w:p>
    <w:p w14:paraId="008C7A19" w14:textId="77777777" w:rsidR="003F788B" w:rsidRDefault="003F788B" w:rsidP="00F326E5">
      <w:pPr>
        <w:pStyle w:val="NoSpacing"/>
        <w:rPr>
          <w:rFonts w:ascii="Arial Black" w:hAnsi="Arial Black"/>
          <w:sz w:val="24"/>
          <w:szCs w:val="24"/>
        </w:rPr>
      </w:pPr>
    </w:p>
    <w:p w14:paraId="0D599D1F" w14:textId="77777777" w:rsidR="003F788B" w:rsidRDefault="003F788B" w:rsidP="00F326E5">
      <w:pPr>
        <w:pStyle w:val="NoSpacing"/>
        <w:rPr>
          <w:rFonts w:ascii="Arial Black" w:hAnsi="Arial Black"/>
          <w:sz w:val="24"/>
          <w:szCs w:val="24"/>
        </w:rPr>
      </w:pPr>
    </w:p>
    <w:p w14:paraId="4E3989D3" w14:textId="77777777" w:rsidR="003F788B" w:rsidRDefault="003F788B" w:rsidP="00F326E5">
      <w:pPr>
        <w:pStyle w:val="NoSpacing"/>
        <w:rPr>
          <w:rFonts w:ascii="Arial Black" w:hAnsi="Arial Black"/>
          <w:sz w:val="24"/>
          <w:szCs w:val="24"/>
        </w:rPr>
      </w:pPr>
    </w:p>
    <w:p w14:paraId="3EC93410" w14:textId="106930D5" w:rsidR="003F788B" w:rsidRDefault="003F788B" w:rsidP="00F326E5">
      <w:pPr>
        <w:pStyle w:val="NoSpacing"/>
        <w:rPr>
          <w:rFonts w:ascii="Arial Black" w:hAnsi="Arial Black"/>
          <w:sz w:val="24"/>
          <w:szCs w:val="24"/>
        </w:rPr>
      </w:pPr>
      <w:r>
        <w:rPr>
          <w:rFonts w:ascii="Arial Black" w:hAnsi="Arial Black"/>
          <w:sz w:val="24"/>
          <w:szCs w:val="24"/>
        </w:rPr>
        <w:t>1-118</w:t>
      </w:r>
    </w:p>
    <w:p w14:paraId="2E83124E" w14:textId="7561F347" w:rsidR="003F788B" w:rsidRDefault="003F788B" w:rsidP="00F326E5">
      <w:pPr>
        <w:pStyle w:val="NoSpacing"/>
        <w:rPr>
          <w:rFonts w:ascii="Arial Black" w:hAnsi="Arial Black"/>
          <w:sz w:val="24"/>
          <w:szCs w:val="24"/>
        </w:rPr>
      </w:pPr>
    </w:p>
    <w:p w14:paraId="3C8F0748" w14:textId="77777777" w:rsidR="003F788B" w:rsidRDefault="003F788B" w:rsidP="003F788B">
      <w:pPr>
        <w:pStyle w:val="NormalWeb"/>
        <w:rPr>
          <w:rFonts w:ascii="Arial Black" w:hAnsi="Arial Black"/>
          <w:b/>
          <w:bCs/>
          <w:sz w:val="28"/>
          <w:szCs w:val="28"/>
        </w:rPr>
      </w:pPr>
      <w:r>
        <w:rPr>
          <w:rFonts w:ascii="Arial Black" w:hAnsi="Arial Black"/>
          <w:b/>
          <w:bCs/>
          <w:sz w:val="28"/>
          <w:szCs w:val="28"/>
        </w:rPr>
        <w:t>KY: DRUG OVERDOSE – “GOOD SAMARITAN LAW” – DOES NOT PROTECT OVERDOSE VICTIM FOR TRAFFICKING</w:t>
      </w:r>
    </w:p>
    <w:p w14:paraId="56171F56" w14:textId="77777777" w:rsidR="003F788B" w:rsidRDefault="003F788B" w:rsidP="003F788B">
      <w:pPr>
        <w:pStyle w:val="NormalWeb"/>
      </w:pPr>
      <w:r>
        <w:t xml:space="preserve">On March 10, 2023, in </w:t>
      </w:r>
      <w:r>
        <w:rPr>
          <w:u w:val="single"/>
        </w:rPr>
        <w:t>Jordan Brown v. Commonwealth of Kentucky</w:t>
      </w:r>
      <w:r>
        <w:t xml:space="preserve">, the Court of Appeals of Kentucky held (3 to 0; unpublished decision) that trial court properly denied the defendant’s motion to dismiss. “On August 28, 2021, Brown overdosed at the home of Chandra Walker (‘Walker’). Walker called 911. Both law enforcement and emergency medical </w:t>
      </w:r>
      <w:proofErr w:type="gramStart"/>
      <w:r>
        <w:t>services (‘EMS’)</w:t>
      </w:r>
      <w:proofErr w:type="gramEnd"/>
      <w:r>
        <w:t xml:space="preserve"> responded to the call. EMS found Brown unresponsive, administered Narcan, and transported Brown to the hospital. Police searched Brown and his surroundings and discovered a loaded syringe, a scale, heroin, and an ounce of methamphetamine. As a result of this incident, Brown was indicted on one count of trafficking in controlled substances in the first degree. Thereafter, Brown filed a motion to dismiss, arguing KRS 218A.133 bars prosecution for trafficking. The trial court denied the motion. Brown then entered a conditional guilty </w:t>
      </w:r>
      <w:proofErr w:type="gramStart"/>
      <w:r>
        <w:t>plea</w:t>
      </w:r>
      <w:proofErr w:type="gramEnd"/>
      <w:r>
        <w:t xml:space="preserve"> and, upon entry of the final judgment, he was sentenced to seven years' imprisonment. This appeal followed.”</w:t>
      </w:r>
    </w:p>
    <w:p w14:paraId="5019F956" w14:textId="77777777" w:rsidR="003F788B" w:rsidRDefault="003F788B" w:rsidP="003F788B">
      <w:pPr>
        <w:pStyle w:val="NormalWeb"/>
        <w:ind w:left="720"/>
      </w:pPr>
      <w:r>
        <w:t xml:space="preserve">The Court held: “Prosecution for trafficking offenses is not prohibited by KRS 218A.133. It is fundamental to statutory construction that we first look "to the language of the statute, giving the words their plain and ordinary meaning." </w:t>
      </w:r>
      <w:r>
        <w:rPr>
          <w:rStyle w:val="Emphasis"/>
        </w:rPr>
        <w:t>Overstreet v. Kindred Nursing Centers Limited Partnership</w:t>
      </w:r>
      <w:r>
        <w:t xml:space="preserve">, 479 S.W.3d 69, 73 (Ky. 2015) (citation omitted). Where the language of the statute is unambiguous, we will not consider extrinsic evidence, including evidence of legislative intent. </w:t>
      </w:r>
      <w:r>
        <w:rPr>
          <w:rStyle w:val="Emphasis"/>
        </w:rPr>
        <w:t>Id</w:t>
      </w:r>
      <w:r>
        <w:t xml:space="preserve">. (citation omitted). KRS 218A.133 specifically prohibits charging or prosecuting an individual for criminal offenses related to </w:t>
      </w:r>
      <w:r>
        <w:rPr>
          <w:rStyle w:val="Strong"/>
        </w:rPr>
        <w:t>possession</w:t>
      </w:r>
      <w:r>
        <w:t xml:space="preserve"> of controlled substances and/or paraphernalia. The statute does not mention trafficking offenses. Trafficking offenses are distinct from possession charges. Trafficking is separately defined as ‘to manufacture, distribute, dispense, sell, transfer, or possess with intent to manufacture, distribute, dispense, or sell a controlled substance[.]’ KRS 218A.010(56). The General Assembly unambiguously chose only to prohibit charging or prosecuting for possession offenses but not for trafficking offenses.” </w:t>
      </w:r>
      <w:hyperlink r:id="rId182" w:history="1">
        <w:r>
          <w:rPr>
            <w:rStyle w:val="Hyperlink"/>
          </w:rPr>
          <w:t>https://law.justia.com/cases/kentucky/court-of-appeals/2023/2022-ca-0276-mr.html</w:t>
        </w:r>
      </w:hyperlink>
      <w:r>
        <w:t xml:space="preserve"> </w:t>
      </w:r>
    </w:p>
    <w:p w14:paraId="0F7F42F2" w14:textId="77777777" w:rsidR="003F788B" w:rsidRDefault="003F788B" w:rsidP="003F788B">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KRS 218A.133(2), “</w:t>
      </w:r>
      <w:r>
        <w:rPr>
          <w:rStyle w:val="markedcontent"/>
          <w:rFonts w:ascii="Times New Roman" w:hAnsi="Times New Roman"/>
          <w:sz w:val="24"/>
          <w:szCs w:val="24"/>
        </w:rPr>
        <w:t>Exemption from prosecution for possession of controlled substance or drug paraphernalia if seeking assistance with drug overdose.”</w:t>
      </w:r>
    </w:p>
    <w:p w14:paraId="2037E434"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A person shall not be charged with or prosecuted for a criminal offense prohibiting the possession of a controlled substance or the possession of drug paraphernalia if: </w:t>
      </w:r>
    </w:p>
    <w:p w14:paraId="1B3A71C4"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lastRenderedPageBreak/>
        <w:t xml:space="preserve">(a) In good faith, medical assistance with a drug overdose is sought from a public safety answering point, emergency medical services, a law enforcement officer, or a health practitioner because the person: </w:t>
      </w:r>
    </w:p>
    <w:p w14:paraId="2C2B1BA2" w14:textId="77777777" w:rsidR="003F788B" w:rsidRDefault="003F788B" w:rsidP="003F788B">
      <w:pPr>
        <w:spacing w:after="100" w:line="240" w:lineRule="auto"/>
        <w:ind w:left="2160"/>
        <w:rPr>
          <w:rFonts w:ascii="Times New Roman" w:eastAsia="Times New Roman" w:hAnsi="Times New Roman"/>
          <w:sz w:val="24"/>
          <w:szCs w:val="24"/>
        </w:rPr>
      </w:pPr>
      <w:r>
        <w:rPr>
          <w:rFonts w:ascii="Times New Roman" w:eastAsia="Times New Roman" w:hAnsi="Times New Roman"/>
          <w:sz w:val="24"/>
          <w:szCs w:val="24"/>
        </w:rPr>
        <w:t xml:space="preserve">1. Requests emergency medical assistance for himself or herself or another person; </w:t>
      </w:r>
    </w:p>
    <w:p w14:paraId="0CCFEEDF" w14:textId="77777777" w:rsidR="003F788B" w:rsidRDefault="003F788B" w:rsidP="003F788B">
      <w:pPr>
        <w:spacing w:after="100" w:line="240" w:lineRule="auto"/>
        <w:ind w:left="2160"/>
        <w:rPr>
          <w:rFonts w:ascii="Times New Roman" w:eastAsia="Times New Roman" w:hAnsi="Times New Roman"/>
          <w:sz w:val="24"/>
          <w:szCs w:val="24"/>
        </w:rPr>
      </w:pPr>
      <w:r>
        <w:rPr>
          <w:rFonts w:ascii="Times New Roman" w:eastAsia="Times New Roman" w:hAnsi="Times New Roman"/>
          <w:sz w:val="24"/>
          <w:szCs w:val="24"/>
        </w:rPr>
        <w:t xml:space="preserve">2. Acts in concert with another person who requests emergency medical assistance; or </w:t>
      </w:r>
    </w:p>
    <w:p w14:paraId="200B8C66" w14:textId="77777777" w:rsidR="003F788B" w:rsidRDefault="003F788B" w:rsidP="003F788B">
      <w:pPr>
        <w:spacing w:after="100" w:line="240" w:lineRule="auto"/>
        <w:ind w:left="2160"/>
        <w:rPr>
          <w:rFonts w:ascii="Times New Roman" w:eastAsia="Times New Roman" w:hAnsi="Times New Roman"/>
          <w:sz w:val="24"/>
          <w:szCs w:val="24"/>
        </w:rPr>
      </w:pPr>
      <w:r>
        <w:rPr>
          <w:rFonts w:ascii="Times New Roman" w:eastAsia="Times New Roman" w:hAnsi="Times New Roman"/>
          <w:sz w:val="24"/>
          <w:szCs w:val="24"/>
        </w:rPr>
        <w:t xml:space="preserve">3. Appears to </w:t>
      </w:r>
      <w:proofErr w:type="gramStart"/>
      <w:r>
        <w:rPr>
          <w:rFonts w:ascii="Times New Roman" w:eastAsia="Times New Roman" w:hAnsi="Times New Roman"/>
          <w:sz w:val="24"/>
          <w:szCs w:val="24"/>
        </w:rPr>
        <w:t>be in need of</w:t>
      </w:r>
      <w:proofErr w:type="gramEnd"/>
      <w:r>
        <w:rPr>
          <w:rFonts w:ascii="Times New Roman" w:eastAsia="Times New Roman" w:hAnsi="Times New Roman"/>
          <w:sz w:val="24"/>
          <w:szCs w:val="24"/>
        </w:rPr>
        <w:t xml:space="preserve"> emergency medical assistance and is the individual for whom the request was made; </w:t>
      </w:r>
    </w:p>
    <w:p w14:paraId="7615DF0C"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(b) The person remains with, or is, the individual who appears to be experiencing a drug overdose until the requested assistance is provided; and </w:t>
      </w:r>
    </w:p>
    <w:p w14:paraId="401ABFD4"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(c) The evidence for the charge or prosecution is obtained </w:t>
      </w:r>
      <w:proofErr w:type="gramStart"/>
      <w:r>
        <w:rPr>
          <w:rFonts w:ascii="Times New Roman" w:eastAsia="Times New Roman" w:hAnsi="Times New Roman"/>
          <w:sz w:val="24"/>
          <w:szCs w:val="24"/>
        </w:rPr>
        <w:t>as a result of</w:t>
      </w:r>
      <w:proofErr w:type="gramEnd"/>
      <w:r>
        <w:rPr>
          <w:rFonts w:ascii="Times New Roman" w:eastAsia="Times New Roman" w:hAnsi="Times New Roman"/>
          <w:sz w:val="24"/>
          <w:szCs w:val="24"/>
        </w:rPr>
        <w:t xml:space="preserve"> the drug overdose and the need for medical assistance. </w:t>
      </w:r>
      <w:hyperlink r:id="rId183" w:history="1">
        <w:r>
          <w:rPr>
            <w:rStyle w:val="Hyperlink"/>
            <w:sz w:val="24"/>
            <w:szCs w:val="24"/>
          </w:rPr>
          <w:t>https://apps.legislature.ky.gov/law/statutes/statute.aspx?id=44007</w:t>
        </w:r>
      </w:hyperlink>
      <w:r>
        <w:rPr>
          <w:rFonts w:ascii="Times New Roman" w:eastAsia="Times New Roman" w:hAnsi="Times New Roman"/>
          <w:sz w:val="24"/>
          <w:szCs w:val="24"/>
        </w:rPr>
        <w:t xml:space="preserve"> </w:t>
      </w:r>
    </w:p>
    <w:p w14:paraId="5D3DF437" w14:textId="77777777" w:rsidR="003F788B" w:rsidRDefault="003F788B" w:rsidP="003F788B">
      <w:pPr>
        <w:pStyle w:val="NormalWeb"/>
        <w:rPr>
          <w:b/>
          <w:bCs/>
        </w:rPr>
      </w:pPr>
      <w:r>
        <w:rPr>
          <w:b/>
          <w:bCs/>
        </w:rPr>
        <w:t xml:space="preserve">Legal Lesson Learned: Numerous states have enacted similar laws, to encourage drug users and their friends to call 911. </w:t>
      </w:r>
    </w:p>
    <w:p w14:paraId="2CCED7C5" w14:textId="77777777" w:rsidR="003F788B" w:rsidRDefault="003F788B" w:rsidP="003F788B">
      <w:pPr>
        <w:pStyle w:val="NormalWeb"/>
        <w:ind w:left="720"/>
      </w:pPr>
      <w:r>
        <w:t xml:space="preserve">Note: See Ohio Good Samaritan law, Ohio Rev. Code 2925.11, </w:t>
      </w:r>
      <w:hyperlink r:id="rId184" w:history="1">
        <w:r>
          <w:rPr>
            <w:rStyle w:val="Hyperlink"/>
          </w:rPr>
          <w:t>https://codes.ohio.gov/ohio-revised-code/section-2925.11</w:t>
        </w:r>
      </w:hyperlink>
    </w:p>
    <w:p w14:paraId="163868BA" w14:textId="77777777" w:rsidR="003F788B" w:rsidRDefault="003F788B" w:rsidP="003F788B">
      <w:pPr>
        <w:pStyle w:val="NormalWeb"/>
        <w:ind w:left="720"/>
      </w:pPr>
      <w:r>
        <w:t>“(viii): ‘Qualified individual’ means a person who is not on community control or post-release control and is a person acting in good faith who seeks or obtains medical assistance for another person who is experiencing a drug overdose, a person who experiences a drug overdose and who seeks medical assistance for that overdose, or a person who is the subject of another person seeking or obtaining medical assistance for that overdose as described in division (B)(2)(b) of this section.</w:t>
      </w:r>
    </w:p>
    <w:p w14:paraId="0D1657FA" w14:textId="77777777" w:rsidR="003F788B" w:rsidRDefault="003F788B" w:rsidP="003F788B">
      <w:pPr>
        <w:pStyle w:val="NormalWeb"/>
        <w:ind w:left="720"/>
      </w:pPr>
      <w:r>
        <w:t>***</w:t>
      </w:r>
    </w:p>
    <w:p w14:paraId="2D39D256" w14:textId="77777777" w:rsidR="003F788B" w:rsidRDefault="003F788B" w:rsidP="003F788B">
      <w:pPr>
        <w:pStyle w:val="NormalWeb"/>
        <w:ind w:left="720"/>
      </w:pPr>
      <w:r>
        <w:t xml:space="preserve">Subject to division (B)(2)(f) of this section, a qualified individual shall not be arrested, charged, prosecuted, convicted, or penalized pursuant to this chapter for a minor drug possession offense if </w:t>
      </w:r>
      <w:proofErr w:type="gramStart"/>
      <w:r>
        <w:t>all of</w:t>
      </w:r>
      <w:proofErr w:type="gramEnd"/>
      <w:r>
        <w:t xml:space="preserve"> the following apply:</w:t>
      </w:r>
    </w:p>
    <w:p w14:paraId="1E46EFC8" w14:textId="77777777" w:rsidR="003F788B" w:rsidRDefault="003F788B" w:rsidP="003F788B">
      <w:pPr>
        <w:pStyle w:val="NormalWeb"/>
        <w:ind w:left="720"/>
      </w:pPr>
      <w:r>
        <w:t>(</w:t>
      </w:r>
      <w:proofErr w:type="spellStart"/>
      <w:r>
        <w:t>i</w:t>
      </w:r>
      <w:proofErr w:type="spellEnd"/>
      <w:r>
        <w:t xml:space="preserve">) The evidence of the obtaining, possession, or use of the controlled substance or controlled substance analog that would be the basis of the offense was obtained </w:t>
      </w:r>
      <w:proofErr w:type="gramStart"/>
      <w:r>
        <w:t>as a result of</w:t>
      </w:r>
      <w:proofErr w:type="gramEnd"/>
      <w:r>
        <w:t xml:space="preserve"> the qualified individual seeking </w:t>
      </w:r>
      <w:proofErr w:type="gramStart"/>
      <w:r>
        <w:t>the medical</w:t>
      </w:r>
      <w:proofErr w:type="gramEnd"/>
      <w:r>
        <w:t xml:space="preserve"> assistance or experiencing an overdose and needing medical assistance.</w:t>
      </w:r>
    </w:p>
    <w:p w14:paraId="22698A86" w14:textId="77777777" w:rsidR="003F788B" w:rsidRDefault="003F788B" w:rsidP="003F788B">
      <w:pPr>
        <w:pStyle w:val="NormalWeb"/>
        <w:ind w:left="720"/>
      </w:pPr>
      <w:r>
        <w:t xml:space="preserve">(ii) Subject to division (B)(2)(g) of this section, within thirty days after seeking or obtaining </w:t>
      </w:r>
      <w:proofErr w:type="gramStart"/>
      <w:r>
        <w:t>the medical</w:t>
      </w:r>
      <w:proofErr w:type="gramEnd"/>
      <w:r>
        <w:t xml:space="preserve"> assistance, the qualified individual seeks and obtains a screening and receives a referral for treatment from a community addiction services provider or a properly credentialed addiction treatment professional.</w:t>
      </w:r>
    </w:p>
    <w:p w14:paraId="45F3F95E" w14:textId="77777777" w:rsidR="003F788B" w:rsidRDefault="003F788B" w:rsidP="003F788B">
      <w:pPr>
        <w:pStyle w:val="NormalWeb"/>
        <w:ind w:left="720"/>
      </w:pPr>
      <w:r>
        <w:t>(iii) Subject to division (B)(2)(g) of this section, the qualified individual who obtains a screening and receives a referral for treatment under division (B)(2)(b)(ii) of this section, upon the request of any prosecuting attorney, submits documentation to the prosecuting attorney that verifies that the qualified individual satisfied the requirements of that division. The documentation shall be limited to the date and time of the screening obtained and referral received.”</w:t>
      </w:r>
    </w:p>
    <w:p w14:paraId="49BEECCB" w14:textId="77777777" w:rsidR="003F788B" w:rsidRDefault="003F788B" w:rsidP="00F326E5">
      <w:pPr>
        <w:pStyle w:val="NoSpacing"/>
        <w:rPr>
          <w:rFonts w:ascii="Arial Black" w:hAnsi="Arial Black"/>
          <w:sz w:val="24"/>
          <w:szCs w:val="24"/>
        </w:rPr>
      </w:pPr>
    </w:p>
    <w:p w14:paraId="504DBD8F" w14:textId="77777777" w:rsidR="003F788B" w:rsidRDefault="003F788B" w:rsidP="00F326E5">
      <w:pPr>
        <w:pStyle w:val="NoSpacing"/>
        <w:rPr>
          <w:rFonts w:ascii="Arial Black" w:hAnsi="Arial Black"/>
          <w:sz w:val="24"/>
          <w:szCs w:val="24"/>
        </w:rPr>
      </w:pPr>
    </w:p>
    <w:p w14:paraId="044AA993" w14:textId="77777777" w:rsidR="003F788B" w:rsidRDefault="003F788B" w:rsidP="00F326E5">
      <w:pPr>
        <w:pStyle w:val="NoSpacing"/>
        <w:rPr>
          <w:rFonts w:ascii="Arial Black" w:hAnsi="Arial Black"/>
          <w:sz w:val="24"/>
          <w:szCs w:val="24"/>
        </w:rPr>
      </w:pPr>
    </w:p>
    <w:p w14:paraId="5707DBC6" w14:textId="516E01DF" w:rsidR="00AB637D" w:rsidRDefault="00AB637D" w:rsidP="00F326E5">
      <w:pPr>
        <w:pStyle w:val="NoSpacing"/>
        <w:rPr>
          <w:rFonts w:ascii="Arial Black" w:hAnsi="Arial Black"/>
          <w:sz w:val="24"/>
          <w:szCs w:val="24"/>
        </w:rPr>
      </w:pPr>
      <w:r>
        <w:rPr>
          <w:rFonts w:ascii="Arial Black" w:hAnsi="Arial Black"/>
          <w:sz w:val="24"/>
          <w:szCs w:val="24"/>
        </w:rPr>
        <w:lastRenderedPageBreak/>
        <w:t>1-117</w:t>
      </w:r>
    </w:p>
    <w:p w14:paraId="6F0883FE" w14:textId="34BC8D8D" w:rsidR="00AB637D" w:rsidRDefault="00AB637D" w:rsidP="00F326E5">
      <w:pPr>
        <w:pStyle w:val="NoSpacing"/>
        <w:rPr>
          <w:rFonts w:ascii="Arial Black" w:hAnsi="Arial Black"/>
          <w:sz w:val="24"/>
          <w:szCs w:val="24"/>
        </w:rPr>
      </w:pPr>
    </w:p>
    <w:p w14:paraId="5076DF5D" w14:textId="77777777" w:rsidR="00AB637D" w:rsidRPr="00D33471" w:rsidRDefault="00AB637D" w:rsidP="00AB637D">
      <w:pPr>
        <w:pStyle w:val="Heading2"/>
        <w:rPr>
          <w:rStyle w:val="markedcontent"/>
          <w:rFonts w:ascii="Times New Roman" w:hAnsi="Times New Roman"/>
          <w:b w:val="0"/>
          <w:bCs w:val="0"/>
          <w:i w:val="0"/>
          <w:iCs w:val="0"/>
          <w:sz w:val="24"/>
          <w:szCs w:val="24"/>
        </w:rPr>
      </w:pPr>
      <w:r w:rsidRPr="00D33471">
        <w:rPr>
          <w:rStyle w:val="markedcontent"/>
          <w:rFonts w:ascii="Arial Black" w:hAnsi="Arial Black"/>
          <w:i w:val="0"/>
          <w:iCs w:val="0"/>
        </w:rPr>
        <w:t xml:space="preserve">OH: TEACHERS CAN HAVE FIREARMS – WITH SCHOOL PERMISSION - 24 HRS TRAINING – REQUEST LIST </w:t>
      </w:r>
    </w:p>
    <w:p w14:paraId="3FE459D4" w14:textId="77777777" w:rsidR="00AB637D" w:rsidRDefault="00AB637D" w:rsidP="00AB637D">
      <w:pPr>
        <w:rPr>
          <w:rStyle w:val="markedcontent"/>
          <w:rFonts w:ascii="Times New Roman" w:hAnsi="Times New Roman"/>
          <w:sz w:val="24"/>
          <w:szCs w:val="24"/>
        </w:rPr>
      </w:pPr>
      <w:r w:rsidRPr="00FD23CA">
        <w:rPr>
          <w:rStyle w:val="markedcontent"/>
          <w:rFonts w:ascii="Times New Roman" w:hAnsi="Times New Roman"/>
          <w:sz w:val="24"/>
          <w:szCs w:val="24"/>
        </w:rPr>
        <w:t xml:space="preserve">Now that this new statute </w:t>
      </w:r>
      <w:r>
        <w:rPr>
          <w:rStyle w:val="markedcontent"/>
          <w:rFonts w:ascii="Times New Roman" w:hAnsi="Times New Roman"/>
          <w:sz w:val="24"/>
          <w:szCs w:val="24"/>
        </w:rPr>
        <w:t xml:space="preserve">became effective September 12. 2022, </w:t>
      </w:r>
      <w:r w:rsidRPr="00FD23CA">
        <w:rPr>
          <w:rStyle w:val="markedcontent"/>
          <w:rFonts w:ascii="Times New Roman" w:hAnsi="Times New Roman"/>
          <w:sz w:val="24"/>
          <w:szCs w:val="24"/>
        </w:rPr>
        <w:t xml:space="preserve">Ohio Fire &amp; EMS Departments, as well as police departments, should have a current </w:t>
      </w:r>
      <w:proofErr w:type="gramStart"/>
      <w:r w:rsidRPr="00FD23CA">
        <w:rPr>
          <w:rStyle w:val="markedcontent"/>
          <w:rFonts w:ascii="Times New Roman" w:hAnsi="Times New Roman"/>
          <w:sz w:val="24"/>
          <w:szCs w:val="24"/>
        </w:rPr>
        <w:t>list</w:t>
      </w:r>
      <w:proofErr w:type="gramEnd"/>
      <w:r w:rsidRPr="00FD23CA">
        <w:rPr>
          <w:rStyle w:val="markedcontent"/>
          <w:rFonts w:ascii="Times New Roman" w:hAnsi="Times New Roman"/>
          <w:sz w:val="24"/>
          <w:szCs w:val="24"/>
        </w:rPr>
        <w:t xml:space="preserve"> school employees who are authorized to carry firearms. </w:t>
      </w:r>
      <w:hyperlink r:id="rId185" w:history="1">
        <w:r w:rsidRPr="00FE41C2">
          <w:rPr>
            <w:rStyle w:val="Hyperlink"/>
            <w:rFonts w:ascii="Times New Roman" w:hAnsi="Times New Roman"/>
            <w:sz w:val="24"/>
            <w:szCs w:val="24"/>
          </w:rPr>
          <w:t>https://www.legislature.ohio.gov/legislation/134/hb99</w:t>
        </w:r>
      </w:hyperlink>
      <w:r>
        <w:rPr>
          <w:rStyle w:val="markedcontent"/>
          <w:rFonts w:ascii="Times New Roman" w:hAnsi="Times New Roman"/>
          <w:sz w:val="24"/>
          <w:szCs w:val="24"/>
        </w:rPr>
        <w:t xml:space="preserve"> </w:t>
      </w:r>
      <w:r w:rsidRPr="00FD23CA">
        <w:rPr>
          <w:rStyle w:val="markedcontent"/>
          <w:rFonts w:ascii="Times New Roman" w:hAnsi="Times New Roman"/>
          <w:sz w:val="24"/>
          <w:szCs w:val="24"/>
        </w:rPr>
        <w:t xml:space="preserve">  It would also be helpful to have their photographs and invite them to participate in Active Shooter drills.</w:t>
      </w:r>
      <w:r>
        <w:rPr>
          <w:rStyle w:val="markedcontent"/>
          <w:rFonts w:ascii="Times New Roman" w:hAnsi="Times New Roman"/>
          <w:sz w:val="24"/>
          <w:szCs w:val="24"/>
        </w:rPr>
        <w:t xml:space="preserve"> </w:t>
      </w:r>
      <w:r w:rsidRPr="007818B5">
        <w:rPr>
          <w:rFonts w:ascii="Times New Roman" w:hAnsi="Times New Roman"/>
          <w:sz w:val="24"/>
          <w:szCs w:val="24"/>
        </w:rPr>
        <w:t>On June 13, 2022, Governor Mike DeWine signed House Bill 99</w:t>
      </w:r>
      <w:r>
        <w:rPr>
          <w:rFonts w:ascii="Times New Roman" w:hAnsi="Times New Roman"/>
          <w:sz w:val="24"/>
          <w:szCs w:val="24"/>
        </w:rPr>
        <w:t xml:space="preserve">.  The statute requires 24 hours of training, overturning a decision of Ohio Supreme Court, which held that teachers must take same training as police officers – about 60 hours.  </w:t>
      </w:r>
      <w:r w:rsidRPr="007818B5">
        <w:rPr>
          <w:rStyle w:val="markedcontent"/>
          <w:rFonts w:ascii="Times New Roman" w:hAnsi="Times New Roman"/>
          <w:sz w:val="24"/>
          <w:szCs w:val="24"/>
        </w:rPr>
        <w:t>Gabbard et al. v. Madison Local School District Board of Education</w:t>
      </w:r>
      <w:r>
        <w:rPr>
          <w:rStyle w:val="markedcontent"/>
          <w:rFonts w:ascii="Times New Roman" w:hAnsi="Times New Roman"/>
          <w:sz w:val="24"/>
          <w:szCs w:val="24"/>
        </w:rPr>
        <w:t xml:space="preserve">. June 23, 2021; </w:t>
      </w:r>
      <w:hyperlink r:id="rId186" w:history="1">
        <w:r w:rsidRPr="006169C4">
          <w:rPr>
            <w:rStyle w:val="Hyperlink"/>
            <w:rFonts w:ascii="Times New Roman" w:hAnsi="Times New Roman"/>
            <w:sz w:val="24"/>
            <w:szCs w:val="24"/>
          </w:rPr>
          <w:t>https://www.supremecourt.ohio.gov/rod/docs/pdf/0/2021/2021-ohio-2067.pdf</w:t>
        </w:r>
      </w:hyperlink>
      <w:r>
        <w:rPr>
          <w:rStyle w:val="markedcontent"/>
          <w:rFonts w:ascii="Times New Roman" w:hAnsi="Times New Roman"/>
          <w:sz w:val="24"/>
          <w:szCs w:val="24"/>
        </w:rPr>
        <w:t xml:space="preserve"> </w:t>
      </w:r>
    </w:p>
    <w:p w14:paraId="365702D7" w14:textId="77777777" w:rsidR="00AB637D" w:rsidRPr="0095101F" w:rsidRDefault="00AB637D" w:rsidP="00AB637D">
      <w:pPr>
        <w:ind w:left="720"/>
        <w:rPr>
          <w:rStyle w:val="markedcontent"/>
          <w:rFonts w:ascii="Times New Roman" w:hAnsi="Times New Roman"/>
          <w:sz w:val="24"/>
          <w:szCs w:val="24"/>
        </w:rPr>
      </w:pPr>
      <w:r>
        <w:rPr>
          <w:rFonts w:ascii="Times New Roman" w:hAnsi="Times New Roman"/>
          <w:sz w:val="24"/>
          <w:szCs w:val="24"/>
        </w:rPr>
        <w:t>“</w:t>
      </w:r>
      <w:r w:rsidRPr="0095101F">
        <w:rPr>
          <w:rFonts w:ascii="Times New Roman" w:hAnsi="Times New Roman"/>
          <w:sz w:val="24"/>
          <w:szCs w:val="24"/>
        </w:rPr>
        <w:t>In April 2018, just over two years after a school shooting at Madison</w:t>
      </w:r>
      <w:r w:rsidRPr="0095101F">
        <w:rPr>
          <w:rFonts w:ascii="Times New Roman" w:hAnsi="Times New Roman"/>
          <w:sz w:val="24"/>
          <w:szCs w:val="24"/>
        </w:rPr>
        <w:br/>
        <w:t>Junior/Senior High School that resulted in injuries to four students, appellant</w:t>
      </w:r>
      <w:r w:rsidRPr="0095101F">
        <w:rPr>
          <w:rFonts w:ascii="Times New Roman" w:hAnsi="Times New Roman"/>
          <w:sz w:val="24"/>
          <w:szCs w:val="24"/>
        </w:rPr>
        <w:br/>
        <w:t>Madison Local School District Board of Education (</w:t>
      </w:r>
      <w:r>
        <w:rPr>
          <w:rFonts w:ascii="Times New Roman" w:hAnsi="Times New Roman"/>
          <w:sz w:val="24"/>
          <w:szCs w:val="24"/>
        </w:rPr>
        <w:t>‘</w:t>
      </w:r>
      <w:r w:rsidRPr="0095101F">
        <w:rPr>
          <w:rFonts w:ascii="Times New Roman" w:hAnsi="Times New Roman"/>
          <w:sz w:val="24"/>
          <w:szCs w:val="24"/>
        </w:rPr>
        <w:t>the board</w:t>
      </w:r>
      <w:r>
        <w:rPr>
          <w:rFonts w:ascii="Times New Roman" w:hAnsi="Times New Roman"/>
          <w:sz w:val="24"/>
          <w:szCs w:val="24"/>
        </w:rPr>
        <w:t>’</w:t>
      </w:r>
      <w:r w:rsidRPr="0095101F">
        <w:rPr>
          <w:rFonts w:ascii="Times New Roman" w:hAnsi="Times New Roman"/>
          <w:sz w:val="24"/>
          <w:szCs w:val="24"/>
        </w:rPr>
        <w:t>) passed a</w:t>
      </w:r>
      <w:r w:rsidRPr="0095101F">
        <w:rPr>
          <w:rFonts w:ascii="Times New Roman" w:hAnsi="Times New Roman"/>
          <w:sz w:val="24"/>
          <w:szCs w:val="24"/>
        </w:rPr>
        <w:br/>
        <w:t>resolution to authorize certain school-district employees to carry a deadly weapon</w:t>
      </w:r>
      <w:r w:rsidRPr="0095101F">
        <w:rPr>
          <w:rFonts w:ascii="Times New Roman" w:hAnsi="Times New Roman"/>
          <w:sz w:val="24"/>
          <w:szCs w:val="24"/>
        </w:rPr>
        <w:br/>
        <w:t xml:space="preserve">or dangerous ordnance on school property </w:t>
      </w:r>
      <w:r>
        <w:rPr>
          <w:rFonts w:ascii="Times New Roman" w:hAnsi="Times New Roman"/>
          <w:sz w:val="24"/>
          <w:szCs w:val="24"/>
        </w:rPr>
        <w:t>‘</w:t>
      </w:r>
      <w:r w:rsidRPr="0095101F">
        <w:rPr>
          <w:rFonts w:ascii="Times New Roman" w:hAnsi="Times New Roman"/>
          <w:sz w:val="24"/>
          <w:szCs w:val="24"/>
        </w:rPr>
        <w:t>for the welfare and safety of [its]</w:t>
      </w:r>
      <w:r w:rsidRPr="0095101F">
        <w:rPr>
          <w:rFonts w:ascii="Times New Roman" w:hAnsi="Times New Roman"/>
          <w:sz w:val="24"/>
          <w:szCs w:val="24"/>
        </w:rPr>
        <w:br/>
        <w:t>students.</w:t>
      </w:r>
      <w:r>
        <w:rPr>
          <w:rFonts w:ascii="Times New Roman" w:hAnsi="Times New Roman"/>
          <w:sz w:val="24"/>
          <w:szCs w:val="24"/>
        </w:rPr>
        <w:t>’</w:t>
      </w:r>
      <w:r w:rsidRPr="0095101F">
        <w:rPr>
          <w:rFonts w:ascii="Times New Roman" w:hAnsi="Times New Roman"/>
          <w:sz w:val="24"/>
          <w:szCs w:val="24"/>
        </w:rPr>
        <w:t xml:space="preserve"> This appeal asks us to determine whether that resolution complies with</w:t>
      </w:r>
      <w:r w:rsidRPr="0095101F">
        <w:rPr>
          <w:rFonts w:ascii="Times New Roman" w:hAnsi="Times New Roman"/>
          <w:sz w:val="24"/>
          <w:szCs w:val="24"/>
        </w:rPr>
        <w:br/>
        <w:t>Ohio law. We conclude that it does not.</w:t>
      </w:r>
    </w:p>
    <w:p w14:paraId="4314D05E" w14:textId="77777777" w:rsidR="00AB637D" w:rsidRDefault="00AB637D" w:rsidP="00AB637D">
      <w:pPr>
        <w:rPr>
          <w:rStyle w:val="markedcontent"/>
          <w:rFonts w:ascii="Times New Roman" w:hAnsi="Times New Roman"/>
          <w:sz w:val="24"/>
          <w:szCs w:val="24"/>
        </w:rPr>
      </w:pPr>
      <w:r w:rsidRPr="00720D0B">
        <w:rPr>
          <w:rFonts w:ascii="Times New Roman" w:hAnsi="Times New Roman"/>
          <w:sz w:val="24"/>
          <w:szCs w:val="24"/>
        </w:rPr>
        <w:t xml:space="preserve">House Bill 99 requires each school district or governing body to maintain a list of personnel who are trained and qualified to carry a firearm. However, the bill explicitly exempts this list from the definition of a public record. </w:t>
      </w:r>
      <w:hyperlink r:id="rId187" w:history="1">
        <w:r w:rsidRPr="00B71FA0">
          <w:rPr>
            <w:rStyle w:val="Hyperlink"/>
            <w:rFonts w:ascii="Times New Roman" w:hAnsi="Times New Roman"/>
            <w:sz w:val="24"/>
            <w:szCs w:val="24"/>
          </w:rPr>
          <w:t>https://www.legislature.ohio.gov/download?key=19460&amp;format=pdf</w:t>
        </w:r>
      </w:hyperlink>
      <w:r>
        <w:rPr>
          <w:rStyle w:val="markedcontent"/>
          <w:rFonts w:ascii="Times New Roman" w:hAnsi="Times New Roman"/>
          <w:sz w:val="24"/>
          <w:szCs w:val="24"/>
        </w:rPr>
        <w:t xml:space="preserve"> </w:t>
      </w:r>
    </w:p>
    <w:p w14:paraId="108A6CF5" w14:textId="77777777" w:rsidR="00AB637D" w:rsidRDefault="00AB637D" w:rsidP="00AB637D">
      <w:pPr>
        <w:rPr>
          <w:rFonts w:ascii="Times New Roman" w:hAnsi="Times New Roman"/>
          <w:b/>
          <w:bCs/>
          <w:sz w:val="24"/>
          <w:szCs w:val="24"/>
        </w:rPr>
      </w:pPr>
      <w:r w:rsidRPr="001362CF">
        <w:rPr>
          <w:rFonts w:ascii="Times New Roman" w:hAnsi="Times New Roman"/>
          <w:b/>
          <w:bCs/>
          <w:sz w:val="24"/>
          <w:szCs w:val="24"/>
        </w:rPr>
        <w:t xml:space="preserve">Legal Lesson Learned: </w:t>
      </w:r>
      <w:r>
        <w:rPr>
          <w:rFonts w:ascii="Times New Roman" w:hAnsi="Times New Roman"/>
          <w:b/>
          <w:bCs/>
          <w:sz w:val="24"/>
          <w:szCs w:val="24"/>
        </w:rPr>
        <w:t xml:space="preserve"> Fire and Police Departments should have current list of </w:t>
      </w:r>
      <w:proofErr w:type="gramStart"/>
      <w:r>
        <w:rPr>
          <w:rFonts w:ascii="Times New Roman" w:hAnsi="Times New Roman"/>
          <w:b/>
          <w:bCs/>
          <w:sz w:val="24"/>
          <w:szCs w:val="24"/>
        </w:rPr>
        <w:t>these armed</w:t>
      </w:r>
      <w:proofErr w:type="gramEnd"/>
      <w:r>
        <w:rPr>
          <w:rFonts w:ascii="Times New Roman" w:hAnsi="Times New Roman"/>
          <w:b/>
          <w:bCs/>
          <w:sz w:val="24"/>
          <w:szCs w:val="24"/>
        </w:rPr>
        <w:t xml:space="preserve"> personnel. </w:t>
      </w:r>
    </w:p>
    <w:p w14:paraId="2982BF6F" w14:textId="77777777" w:rsidR="00AB637D" w:rsidRPr="001362CF" w:rsidRDefault="00AB637D" w:rsidP="00AB637D">
      <w:pPr>
        <w:rPr>
          <w:rFonts w:ascii="Times New Roman" w:hAnsi="Times New Roman"/>
          <w:sz w:val="24"/>
          <w:szCs w:val="24"/>
        </w:rPr>
      </w:pPr>
      <w:r>
        <w:rPr>
          <w:rFonts w:ascii="Times New Roman" w:hAnsi="Times New Roman"/>
          <w:b/>
          <w:bCs/>
          <w:sz w:val="24"/>
          <w:szCs w:val="24"/>
        </w:rPr>
        <w:tab/>
      </w:r>
      <w:r w:rsidRPr="001362CF">
        <w:rPr>
          <w:rFonts w:ascii="Times New Roman" w:hAnsi="Times New Roman"/>
          <w:sz w:val="24"/>
          <w:szCs w:val="24"/>
        </w:rPr>
        <w:t xml:space="preserve">Note: </w:t>
      </w:r>
      <w:r>
        <w:rPr>
          <w:rFonts w:ascii="Times New Roman" w:hAnsi="Times New Roman"/>
          <w:sz w:val="24"/>
          <w:szCs w:val="24"/>
        </w:rPr>
        <w:t xml:space="preserve">See newspaper comments on the law.  </w:t>
      </w:r>
    </w:p>
    <w:p w14:paraId="17F6C34B" w14:textId="77777777" w:rsidR="00AB637D" w:rsidRPr="001362CF" w:rsidRDefault="00AB637D" w:rsidP="00AB637D">
      <w:pPr>
        <w:ind w:left="720"/>
        <w:rPr>
          <w:rFonts w:ascii="Times New Roman" w:hAnsi="Times New Roman"/>
          <w:sz w:val="24"/>
          <w:szCs w:val="24"/>
        </w:rPr>
      </w:pPr>
      <w:r>
        <w:rPr>
          <w:rFonts w:ascii="Times New Roman" w:hAnsi="Times New Roman"/>
          <w:sz w:val="24"/>
          <w:szCs w:val="24"/>
        </w:rPr>
        <w:t xml:space="preserve"> </w:t>
      </w:r>
      <w:r w:rsidRPr="001362CF">
        <w:rPr>
          <w:rFonts w:ascii="Times New Roman" w:hAnsi="Times New Roman"/>
          <w:sz w:val="24"/>
          <w:szCs w:val="24"/>
        </w:rPr>
        <w:t xml:space="preserve">“Ohio Gov. Mike DeWine </w:t>
      </w:r>
      <w:hyperlink r:id="rId188" w:history="1">
        <w:r w:rsidRPr="001362CF">
          <w:rPr>
            <w:rStyle w:val="Hyperlink"/>
            <w:rFonts w:ascii="Times New Roman" w:hAnsi="Times New Roman"/>
            <w:sz w:val="24"/>
            <w:szCs w:val="24"/>
          </w:rPr>
          <w:t>signed a bill</w:t>
        </w:r>
      </w:hyperlink>
      <w:r w:rsidRPr="001362CF">
        <w:rPr>
          <w:rFonts w:ascii="Times New Roman" w:hAnsi="Times New Roman"/>
          <w:sz w:val="24"/>
          <w:szCs w:val="24"/>
        </w:rPr>
        <w:t xml:space="preserve"> on Monday allowing teachers to carry guns in class after 24 hours of training, over opposition from teachers and a police group. Backers say the policy will make schools safer, but critics say that's not the case, citing experts' analysis. The new law dramatically reduces the amount of training a teacher must undergo before they can carry a gun in a school safety zone. Instead of more than 700 hours of training that's currently required, school staff who want to be armed would get training that "shall not exceed" 24 hours, </w:t>
      </w:r>
      <w:hyperlink r:id="rId189" w:history="1">
        <w:r w:rsidRPr="001362CF">
          <w:rPr>
            <w:rStyle w:val="Hyperlink"/>
            <w:rFonts w:ascii="Times New Roman" w:hAnsi="Times New Roman"/>
            <w:sz w:val="24"/>
            <w:szCs w:val="24"/>
          </w:rPr>
          <w:t>House Bill 99</w:t>
        </w:r>
      </w:hyperlink>
      <w:r w:rsidRPr="001362CF">
        <w:rPr>
          <w:rFonts w:ascii="Times New Roman" w:hAnsi="Times New Roman"/>
          <w:sz w:val="24"/>
          <w:szCs w:val="24"/>
        </w:rPr>
        <w:t xml:space="preserve"> states.”*** "No school has to do this. </w:t>
      </w:r>
      <w:proofErr w:type="gramStart"/>
      <w:r w:rsidRPr="001362CF">
        <w:rPr>
          <w:rFonts w:ascii="Times New Roman" w:hAnsi="Times New Roman"/>
          <w:sz w:val="24"/>
          <w:szCs w:val="24"/>
        </w:rPr>
        <w:t>This</w:t>
      </w:r>
      <w:proofErr w:type="gramEnd"/>
      <w:r w:rsidRPr="001362CF">
        <w:rPr>
          <w:rFonts w:ascii="Times New Roman" w:hAnsi="Times New Roman"/>
          <w:sz w:val="24"/>
          <w:szCs w:val="24"/>
        </w:rPr>
        <w:t xml:space="preserve"> is up to a local school board," DeWine said, adding that some schools might have security officers or other plans to deter or counter an active shooter scenario. "The best thing is to have a police officer in the schools," he said. "They can be plain clothes, but some schools may not be able to do that."  </w:t>
      </w:r>
      <w:hyperlink r:id="rId190" w:history="1">
        <w:r w:rsidRPr="001362CF">
          <w:rPr>
            <w:rStyle w:val="Hyperlink"/>
            <w:rFonts w:ascii="Times New Roman" w:hAnsi="Times New Roman"/>
            <w:sz w:val="24"/>
            <w:szCs w:val="24"/>
          </w:rPr>
          <w:t>https://www.npr.org/2022/06/13/1104570419/ohio-dewine-guns-teachers</w:t>
        </w:r>
      </w:hyperlink>
      <w:r w:rsidRPr="001362CF">
        <w:rPr>
          <w:rFonts w:ascii="Times New Roman" w:hAnsi="Times New Roman"/>
          <w:sz w:val="24"/>
          <w:szCs w:val="24"/>
        </w:rPr>
        <w:t xml:space="preserve"> </w:t>
      </w:r>
    </w:p>
    <w:p w14:paraId="408F31D0" w14:textId="77777777" w:rsidR="00AB637D" w:rsidRDefault="00AB637D" w:rsidP="00F326E5">
      <w:pPr>
        <w:pStyle w:val="NoSpacing"/>
        <w:rPr>
          <w:rFonts w:ascii="Arial Black" w:hAnsi="Arial Black"/>
          <w:sz w:val="24"/>
          <w:szCs w:val="24"/>
        </w:rPr>
      </w:pPr>
    </w:p>
    <w:p w14:paraId="4FD5BF81" w14:textId="77777777" w:rsidR="00AB637D" w:rsidRDefault="00AB637D" w:rsidP="00F326E5">
      <w:pPr>
        <w:pStyle w:val="NoSpacing"/>
        <w:rPr>
          <w:rFonts w:ascii="Arial Black" w:hAnsi="Arial Black"/>
          <w:sz w:val="24"/>
          <w:szCs w:val="24"/>
        </w:rPr>
      </w:pPr>
    </w:p>
    <w:p w14:paraId="3DC5554E" w14:textId="6387124B" w:rsidR="007959C9" w:rsidRDefault="007959C9" w:rsidP="00F326E5">
      <w:pPr>
        <w:pStyle w:val="NoSpacing"/>
        <w:rPr>
          <w:rFonts w:ascii="Arial Black" w:hAnsi="Arial Black"/>
          <w:sz w:val="24"/>
          <w:szCs w:val="24"/>
        </w:rPr>
      </w:pPr>
      <w:r>
        <w:rPr>
          <w:rFonts w:ascii="Arial Black" w:hAnsi="Arial Black"/>
          <w:sz w:val="24"/>
          <w:szCs w:val="24"/>
        </w:rPr>
        <w:t>1-116</w:t>
      </w:r>
    </w:p>
    <w:p w14:paraId="2E9EF346" w14:textId="22E78BB0" w:rsidR="007959C9" w:rsidRDefault="007959C9" w:rsidP="00F326E5">
      <w:pPr>
        <w:pStyle w:val="NoSpacing"/>
        <w:rPr>
          <w:rFonts w:ascii="Arial Black" w:hAnsi="Arial Black"/>
          <w:sz w:val="24"/>
          <w:szCs w:val="24"/>
        </w:rPr>
      </w:pPr>
    </w:p>
    <w:p w14:paraId="3ECB468D" w14:textId="77777777" w:rsidR="007959C9" w:rsidRPr="004F0DF1" w:rsidRDefault="007959C9" w:rsidP="007959C9">
      <w:pPr>
        <w:pStyle w:val="NormalWeb"/>
        <w:rPr>
          <w:rFonts w:ascii="Arial Black" w:hAnsi="Arial Black"/>
          <w:b/>
          <w:bCs/>
          <w:sz w:val="28"/>
          <w:szCs w:val="28"/>
        </w:rPr>
      </w:pPr>
      <w:r>
        <w:rPr>
          <w:rFonts w:ascii="Arial Black" w:hAnsi="Arial Black"/>
          <w:b/>
          <w:bCs/>
          <w:sz w:val="28"/>
          <w:szCs w:val="28"/>
        </w:rPr>
        <w:lastRenderedPageBreak/>
        <w:t>SC: PUBLIC HOUSING – 2 DEAD - BAD FURNACE, NO CO DETECTORS – CITY CAN BE SUED - “SHOCK CONSCIOUS”</w:t>
      </w:r>
    </w:p>
    <w:p w14:paraId="175E5908" w14:textId="77777777" w:rsidR="007959C9" w:rsidRDefault="007959C9" w:rsidP="007959C9">
      <w:pPr>
        <w:pStyle w:val="NormalWeb"/>
      </w:pPr>
      <w:r w:rsidRPr="00493053">
        <w:t xml:space="preserve">On </w:t>
      </w:r>
      <w:r>
        <w:t xml:space="preserve">Jan. 19, 2023, in </w:t>
      </w:r>
      <w:r w:rsidRPr="00493053">
        <w:rPr>
          <w:u w:val="single"/>
        </w:rPr>
        <w:t>Daniel Washington, Personal Representative of the Estate of Calvin Witherspoon v. Housing Authority of the City of Columbia</w:t>
      </w:r>
      <w:r>
        <w:t>, the U.S. Court of Appeals for the Fourth Circuit (Richmond, VA) held (3 to 0) that that the U.S. District Court judge should not have dismissed this lawsuit.  “In sum, at this early stage, Plaintiff has alleged sufficient facts to establish that the Housing Authority's policies and customs were the moving force behind the constitutional injury.”   The gas furnace was installed in 1990, had never regularly inspected, tested, or maintained, and build-up of debris caused the furnace's carbon monoxide venting to stop functioning leading to two deaths and hospitalizations in 2019. Carbon dioxide detectors were required by law to be in each unit, but none were in any of the 244 units. The Court held: “</w:t>
      </w:r>
      <w:r>
        <w:rPr>
          <w:rStyle w:val="markedcontent"/>
          <w:rFonts w:eastAsiaTheme="majorEastAsia"/>
        </w:rPr>
        <w:t>Plaintiff has alleged enough facts at this early stage to establish that the Housing Authority recognized the risk of carbon monoxide poisoning and acted inappropriately in light of that risk.”</w:t>
      </w:r>
      <w:r>
        <w:t xml:space="preserve"> </w:t>
      </w:r>
      <w:hyperlink r:id="rId191" w:history="1">
        <w:r w:rsidRPr="006E56EF">
          <w:rPr>
            <w:rStyle w:val="Hyperlink"/>
          </w:rPr>
          <w:t>https://law.justia.com/cases/federal/appellate-courts/ca4/21-2059/21-2059-2023-01-19.html</w:t>
        </w:r>
      </w:hyperlink>
      <w:r>
        <w:t xml:space="preserve"> </w:t>
      </w:r>
    </w:p>
    <w:p w14:paraId="198A382A" w14:textId="77777777" w:rsidR="007959C9" w:rsidRDefault="007959C9" w:rsidP="007959C9">
      <w:pPr>
        <w:pStyle w:val="NormalWeb"/>
        <w:ind w:left="720"/>
      </w:pPr>
      <w:r>
        <w:t xml:space="preserve">“The police and fire chiefs determined that Witherspoon's death was entirely preventable had the Housing Authority performed regular maintenance. Yet they found that the Housing Authority had performed no preventative maintenance on appliances at the complex, maintenance reports were inadequate or incomplete, and tenants who lived at the apartments believed that "if they complained, things would not be fixed…. The Housing Authority only had a single inspector for all 2,600 of its housing units. And ultimately, an inspection of the apartments revealed 869 code violations, ranging from missing carbon monoxide detectors and faulty smoke detectors to exposed wires and expired fire extinguishers. The fire chief found that several stoves were leaking natural gas, presenting a ‘severe risk for the community and its occupants.’ </w:t>
      </w:r>
    </w:p>
    <w:p w14:paraId="669955D5" w14:textId="77777777" w:rsidR="007959C9" w:rsidRDefault="007959C9" w:rsidP="007959C9">
      <w:pPr>
        <w:pStyle w:val="NormalWeb"/>
        <w:ind w:left="720"/>
      </w:pPr>
      <w:r>
        <w:t>***</w:t>
      </w:r>
    </w:p>
    <w:p w14:paraId="237EBD86" w14:textId="77777777" w:rsidR="007959C9" w:rsidRDefault="007959C9" w:rsidP="007959C9">
      <w:pPr>
        <w:pStyle w:val="NormalWeb"/>
        <w:ind w:left="720"/>
      </w:pPr>
      <w:r>
        <w:t xml:space="preserve">Additionally, the Housing Authority adopted a specific policy in 2017 to ensure that missing carbon monoxide detectors, which it considered to be "life-threatening conditions," were installed in </w:t>
      </w:r>
      <w:r>
        <w:rPr>
          <w:rStyle w:val="Emphasis"/>
        </w:rPr>
        <w:t>some</w:t>
      </w:r>
      <w:r>
        <w:t xml:space="preserve"> (privately owned) properties…. But two years later</w:t>
      </w:r>
      <w:proofErr w:type="gramStart"/>
      <w:r>
        <w:t>-and</w:t>
      </w:r>
      <w:proofErr w:type="gramEnd"/>
      <w:r>
        <w:t xml:space="preserve"> with time to reflect that such "life-threatening conditions" from carbon monoxide threatened </w:t>
      </w:r>
      <w:proofErr w:type="gramStart"/>
      <w:r>
        <w:rPr>
          <w:rStyle w:val="Emphasis"/>
        </w:rPr>
        <w:t>all</w:t>
      </w:r>
      <w:r>
        <w:t xml:space="preserve"> of</w:t>
      </w:r>
      <w:proofErr w:type="gramEnd"/>
      <w:r>
        <w:t xml:space="preserve"> its properties</w:t>
      </w:r>
      <w:proofErr w:type="gramStart"/>
      <w:r>
        <w:t>-the</w:t>
      </w:r>
      <w:proofErr w:type="gramEnd"/>
      <w:r>
        <w:t xml:space="preserve"> Housing Authority had chosen not to apply the same policy to its </w:t>
      </w:r>
      <w:r>
        <w:rPr>
          <w:rStyle w:val="Emphasis"/>
        </w:rPr>
        <w:t>own</w:t>
      </w:r>
      <w:r>
        <w:t xml:space="preserve"> housing. Thus, the facts alleged show there was ample time to deliberate and reflect on those choices. Accordingly, deliberate indifference is the correct standard to apply here.</w:t>
      </w:r>
    </w:p>
    <w:p w14:paraId="50397BCB" w14:textId="77777777" w:rsidR="007959C9" w:rsidRDefault="007959C9" w:rsidP="007959C9">
      <w:pPr>
        <w:pStyle w:val="NormalWeb"/>
        <w:ind w:left="720"/>
      </w:pPr>
      <w:r>
        <w:t>***</w:t>
      </w:r>
    </w:p>
    <w:p w14:paraId="484F0AD7" w14:textId="77777777" w:rsidR="007959C9" w:rsidRDefault="007959C9" w:rsidP="007959C9">
      <w:pPr>
        <w:pStyle w:val="NormalWeb"/>
        <w:ind w:left="720"/>
      </w:pPr>
      <w:r>
        <w:t>To prove a violation of substantive-due-process rights under the Fourteenth Amendment, a plaintiff must show that a defendant's behavior was ‘so egregious, so outrageous, that it may fairly be said to shock the contemporary conscience.’</w:t>
      </w:r>
    </w:p>
    <w:p w14:paraId="1B5FA9C2" w14:textId="77777777" w:rsidR="007959C9" w:rsidRPr="005F7E68" w:rsidRDefault="007959C9" w:rsidP="007959C9">
      <w:pPr>
        <w:pStyle w:val="NormalWeb"/>
        <w:rPr>
          <w:b/>
          <w:bCs/>
        </w:rPr>
      </w:pPr>
      <w:r w:rsidRPr="005F7E68">
        <w:rPr>
          <w:b/>
          <w:bCs/>
        </w:rPr>
        <w:t xml:space="preserve">Legal Lesson Learned: </w:t>
      </w:r>
      <w:r>
        <w:rPr>
          <w:b/>
          <w:bCs/>
        </w:rPr>
        <w:t xml:space="preserve">The facts alleged do “shock the conscious” and </w:t>
      </w:r>
      <w:r w:rsidRPr="005F7E68">
        <w:rPr>
          <w:b/>
          <w:bCs/>
        </w:rPr>
        <w:t xml:space="preserve">the case will now proceed to pre-trial discovery.   </w:t>
      </w:r>
    </w:p>
    <w:p w14:paraId="40002E2D" w14:textId="77777777" w:rsidR="007959C9" w:rsidRDefault="007959C9" w:rsidP="007959C9">
      <w:pPr>
        <w:pStyle w:val="NormalWeb"/>
        <w:jc w:val="center"/>
        <w:rPr>
          <w:b/>
          <w:bCs/>
        </w:rPr>
      </w:pPr>
      <w:r>
        <w:rPr>
          <w:b/>
          <w:bCs/>
        </w:rPr>
        <w:t xml:space="preserve"> </w:t>
      </w:r>
    </w:p>
    <w:p w14:paraId="64893EC7" w14:textId="65A72606" w:rsidR="007959C9" w:rsidRDefault="007959C9" w:rsidP="00F326E5">
      <w:pPr>
        <w:pStyle w:val="NoSpacing"/>
        <w:rPr>
          <w:rFonts w:ascii="Arial Black" w:hAnsi="Arial Black"/>
          <w:sz w:val="24"/>
          <w:szCs w:val="24"/>
        </w:rPr>
      </w:pPr>
      <w:r>
        <w:rPr>
          <w:rFonts w:ascii="Arial Black" w:hAnsi="Arial Black"/>
          <w:sz w:val="24"/>
          <w:szCs w:val="24"/>
        </w:rPr>
        <w:t>1-115</w:t>
      </w:r>
    </w:p>
    <w:p w14:paraId="586AB0DC" w14:textId="100FCB5B" w:rsidR="007959C9" w:rsidRDefault="007959C9" w:rsidP="00F326E5">
      <w:pPr>
        <w:pStyle w:val="NoSpacing"/>
        <w:rPr>
          <w:rFonts w:ascii="Arial Black" w:hAnsi="Arial Black"/>
          <w:sz w:val="24"/>
          <w:szCs w:val="24"/>
        </w:rPr>
      </w:pPr>
    </w:p>
    <w:p w14:paraId="16F297FD" w14:textId="77777777" w:rsidR="007959C9" w:rsidRDefault="007959C9" w:rsidP="007959C9">
      <w:pPr>
        <w:pStyle w:val="NormalWeb"/>
        <w:rPr>
          <w:rFonts w:ascii="Arial Black" w:hAnsi="Arial Black"/>
          <w:sz w:val="28"/>
          <w:szCs w:val="28"/>
        </w:rPr>
      </w:pPr>
      <w:r>
        <w:rPr>
          <w:rFonts w:ascii="Arial Black" w:hAnsi="Arial Black"/>
          <w:sz w:val="28"/>
          <w:szCs w:val="28"/>
        </w:rPr>
        <w:lastRenderedPageBreak/>
        <w:t>SC: SPRINKLERS NOT REQUIRED IN ATTICS OF CONDOS – FIRE CHIEF &amp; BLDG OFFICIAL APPROVED – NO CASE</w:t>
      </w:r>
    </w:p>
    <w:p w14:paraId="73BD765C" w14:textId="77777777" w:rsidR="007959C9" w:rsidRPr="00382792" w:rsidRDefault="007959C9" w:rsidP="007959C9">
      <w:pPr>
        <w:pStyle w:val="NormalWeb"/>
      </w:pPr>
      <w:r>
        <w:t xml:space="preserve">On Jan. 11, 2023, in </w:t>
      </w:r>
      <w:r w:rsidRPr="001D61ED">
        <w:rPr>
          <w:u w:val="single"/>
        </w:rPr>
        <w:t>Palmetto Pointe at Peas Island Condominium Property Owners Association, Inc., et al. v. Island Pointe, LLC, et al</w:t>
      </w:r>
      <w:r>
        <w:t xml:space="preserve">., the Court of Appeals of South Carolina held (3 to 0; unpublished opinion) that jury’s verdict for in favor of WC Services, Inc. (WCS) is upheld.  The  subcontractor that was responsible for supplying and installing fire sprinkler systems in </w:t>
      </w:r>
      <w:proofErr w:type="gramStart"/>
      <w:r>
        <w:t>all of</w:t>
      </w:r>
      <w:proofErr w:type="gramEnd"/>
      <w:r>
        <w:t xml:space="preserve"> the units, per Fire Chief’s advice, was not required to install sprinklers in the attic.  The Court held: “</w:t>
      </w:r>
      <w:r>
        <w:rPr>
          <w:rStyle w:val="markedcontent"/>
          <w:rFonts w:eastAsiaTheme="majorEastAsia"/>
        </w:rPr>
        <w:t xml:space="preserve">Claims against several defendants went to the jury. This appeal concerns the POA's [Property Owners Association] claims against WC Services, Inc. (WCS). WCS is the subcontractor that was responsible for supplying and installing fire sprinkler systems in </w:t>
      </w:r>
      <w:proofErr w:type="gramStart"/>
      <w:r>
        <w:rPr>
          <w:rStyle w:val="markedcontent"/>
          <w:rFonts w:eastAsiaTheme="majorEastAsia"/>
        </w:rPr>
        <w:t>all of</w:t>
      </w:r>
      <w:proofErr w:type="gramEnd"/>
      <w:r>
        <w:rPr>
          <w:rStyle w:val="markedcontent"/>
          <w:rFonts w:eastAsiaTheme="majorEastAsia"/>
        </w:rPr>
        <w:t xml:space="preserve"> the units. The</w:t>
      </w:r>
      <w:r>
        <w:br/>
      </w:r>
      <w:r>
        <w:rPr>
          <w:rStyle w:val="markedcontent"/>
          <w:rFonts w:eastAsiaTheme="majorEastAsia"/>
        </w:rPr>
        <w:t xml:space="preserve">POA's claims against WCS are the only ones that resulted in a defense verdict. We </w:t>
      </w:r>
      <w:r>
        <w:br/>
      </w:r>
      <w:r>
        <w:rPr>
          <w:rStyle w:val="markedcontent"/>
          <w:rFonts w:eastAsiaTheme="majorEastAsia"/>
        </w:rPr>
        <w:t xml:space="preserve">affirm. ***   There is a reasonable </w:t>
      </w:r>
      <w:proofErr w:type="gramStart"/>
      <w:r>
        <w:rPr>
          <w:rStyle w:val="markedcontent"/>
          <w:rFonts w:eastAsiaTheme="majorEastAsia"/>
        </w:rPr>
        <w:t>inference</w:t>
      </w:r>
      <w:proofErr w:type="gramEnd"/>
      <w:r>
        <w:rPr>
          <w:rStyle w:val="markedcontent"/>
          <w:rFonts w:eastAsiaTheme="majorEastAsia"/>
        </w:rPr>
        <w:t xml:space="preserve"> the developer was instructed that it did not need to</w:t>
      </w:r>
      <w:r>
        <w:br/>
      </w:r>
      <w:r>
        <w:rPr>
          <w:rStyle w:val="markedcontent"/>
          <w:rFonts w:eastAsiaTheme="majorEastAsia"/>
        </w:rPr>
        <w:t>include sprinklers in the attics. A key piece of evidence is a memo—the "Hall</w:t>
      </w:r>
      <w:r>
        <w:br/>
      </w:r>
      <w:r>
        <w:rPr>
          <w:rStyle w:val="markedcontent"/>
          <w:rFonts w:eastAsiaTheme="majorEastAsia"/>
        </w:rPr>
        <w:t>Letter"—memorializing a meeting between the developer, the fire chief, and a local</w:t>
      </w:r>
      <w:r>
        <w:br/>
      </w:r>
      <w:r>
        <w:rPr>
          <w:rStyle w:val="markedcontent"/>
          <w:rFonts w:eastAsiaTheme="majorEastAsia"/>
        </w:rPr>
        <w:t>building official. The letter begins by referencing Folly Beach's local sprinkler</w:t>
      </w:r>
      <w:r>
        <w:br/>
      </w:r>
      <w:r>
        <w:rPr>
          <w:rStyle w:val="markedcontent"/>
          <w:rFonts w:eastAsiaTheme="majorEastAsia"/>
        </w:rPr>
        <w:t>system requirements, but after that, the letter explains the development's sprinkler</w:t>
      </w:r>
      <w:r>
        <w:br/>
      </w:r>
      <w:r>
        <w:rPr>
          <w:rStyle w:val="markedcontent"/>
          <w:rFonts w:eastAsiaTheme="majorEastAsia"/>
        </w:rPr>
        <w:t>systems must comply with a national standard. That standard does not require attic</w:t>
      </w:r>
      <w:r>
        <w:br/>
      </w:r>
      <w:r>
        <w:rPr>
          <w:rStyle w:val="markedcontent"/>
          <w:rFonts w:eastAsiaTheme="majorEastAsia"/>
        </w:rPr>
        <w:t xml:space="preserve">sprinklers in this situation.” </w:t>
      </w:r>
      <w:hyperlink r:id="rId192" w:history="1">
        <w:r w:rsidRPr="006E56EF">
          <w:rPr>
            <w:rStyle w:val="Hyperlink"/>
          </w:rPr>
          <w:t>https://www.sccourts.org/opinions//unpublishedopinions/HTMLFiles/COA/2023-UP-014.pdf</w:t>
        </w:r>
      </w:hyperlink>
      <w:r>
        <w:t xml:space="preserve"> </w:t>
      </w:r>
    </w:p>
    <w:p w14:paraId="4672A321" w14:textId="77777777" w:rsidR="007959C9" w:rsidRDefault="007959C9" w:rsidP="007959C9">
      <w:pPr>
        <w:pStyle w:val="NormalWeb"/>
        <w:ind w:left="720"/>
      </w:pPr>
      <w:r>
        <w:t xml:space="preserve">“Then, the letter references two </w:t>
      </w:r>
      <w:proofErr w:type="gramStart"/>
      <w:r>
        <w:t>particular provisions</w:t>
      </w:r>
      <w:proofErr w:type="gramEnd"/>
      <w:r>
        <w:t xml:space="preserve"> (and only those two provisions) of the local sprinkler ordinance. We agree with WCS that it is possible to read the </w:t>
      </w:r>
      <w:proofErr w:type="gramStart"/>
      <w:r>
        <w:t>letter as</w:t>
      </w:r>
      <w:proofErr w:type="gramEnd"/>
      <w:r>
        <w:t xml:space="preserve"> informing the developer that the national standard applies and (by implication) that attic sprinklers are not required.</w:t>
      </w:r>
    </w:p>
    <w:p w14:paraId="36E8FEA2" w14:textId="77777777" w:rsidR="007959C9" w:rsidRDefault="007959C9" w:rsidP="007959C9">
      <w:pPr>
        <w:pStyle w:val="NormalWeb"/>
        <w:ind w:left="720"/>
      </w:pPr>
      <w:r>
        <w:t>***</w:t>
      </w:r>
    </w:p>
    <w:p w14:paraId="237D57EF" w14:textId="77777777" w:rsidR="007959C9" w:rsidRDefault="007959C9" w:rsidP="007959C9">
      <w:pPr>
        <w:pStyle w:val="NormalWeb"/>
        <w:ind w:left="720"/>
      </w:pPr>
      <w:r>
        <w:t>WCS's expert testified that changes to design plans regularly occur in the field and that a building official always ensures that the installed system conforms to the plans before approving the system. This expert said building officials must have permitted changes to the original design because the project successfully received the national standard certificate of material and testing, which is completed by the sprinkler subcontractor and either a representative of the owner or the building official after physically inspecting and pressure testing the installed system. We hold that a jury could reasonably infer that the final plans for the project differed from the plans that were placed into evidence at trial.”</w:t>
      </w:r>
    </w:p>
    <w:p w14:paraId="1AA31F74" w14:textId="77777777" w:rsidR="007959C9" w:rsidRPr="00CB1526" w:rsidRDefault="007959C9" w:rsidP="007959C9">
      <w:pPr>
        <w:pStyle w:val="NormalWeb"/>
        <w:rPr>
          <w:b/>
          <w:bCs/>
        </w:rPr>
      </w:pPr>
      <w:r w:rsidRPr="00CB1526">
        <w:rPr>
          <w:b/>
          <w:bCs/>
        </w:rPr>
        <w:t xml:space="preserve">Legal Lesson Learned: </w:t>
      </w:r>
      <w:r>
        <w:rPr>
          <w:b/>
          <w:bCs/>
        </w:rPr>
        <w:t xml:space="preserve">Code does not require sprinklers in attics. </w:t>
      </w:r>
    </w:p>
    <w:p w14:paraId="48F916F5" w14:textId="77777777" w:rsidR="007959C9" w:rsidRDefault="007959C9" w:rsidP="00F326E5">
      <w:pPr>
        <w:pStyle w:val="NoSpacing"/>
        <w:rPr>
          <w:rFonts w:ascii="Arial Black" w:hAnsi="Arial Black"/>
          <w:sz w:val="24"/>
          <w:szCs w:val="24"/>
        </w:rPr>
      </w:pPr>
    </w:p>
    <w:p w14:paraId="0B60A5C5" w14:textId="15C425C6" w:rsidR="007959C9" w:rsidRDefault="007959C9" w:rsidP="00F326E5">
      <w:pPr>
        <w:pStyle w:val="NoSpacing"/>
        <w:rPr>
          <w:rFonts w:ascii="Arial Black" w:hAnsi="Arial Black"/>
          <w:sz w:val="24"/>
          <w:szCs w:val="24"/>
        </w:rPr>
      </w:pPr>
    </w:p>
    <w:p w14:paraId="20E9E10B" w14:textId="62420A41" w:rsidR="007959C9" w:rsidRDefault="007959C9" w:rsidP="00F326E5">
      <w:pPr>
        <w:pStyle w:val="NoSpacing"/>
        <w:rPr>
          <w:rFonts w:ascii="Arial Black" w:hAnsi="Arial Black"/>
          <w:sz w:val="24"/>
          <w:szCs w:val="24"/>
        </w:rPr>
      </w:pPr>
      <w:r>
        <w:rPr>
          <w:rFonts w:ascii="Arial Black" w:hAnsi="Arial Black"/>
          <w:sz w:val="24"/>
          <w:szCs w:val="24"/>
        </w:rPr>
        <w:t>1-114</w:t>
      </w:r>
    </w:p>
    <w:p w14:paraId="33CE1C24" w14:textId="4A03A9AE" w:rsidR="007959C9" w:rsidRDefault="007959C9" w:rsidP="00F326E5">
      <w:pPr>
        <w:pStyle w:val="NoSpacing"/>
        <w:rPr>
          <w:rFonts w:ascii="Arial Black" w:hAnsi="Arial Black"/>
          <w:sz w:val="24"/>
          <w:szCs w:val="24"/>
        </w:rPr>
      </w:pPr>
    </w:p>
    <w:p w14:paraId="26A99289" w14:textId="77777777" w:rsidR="007959C9" w:rsidRPr="0091639C" w:rsidRDefault="007959C9" w:rsidP="007959C9">
      <w:pPr>
        <w:pStyle w:val="NormalWeb"/>
        <w:rPr>
          <w:rFonts w:ascii="Arial Black" w:hAnsi="Arial Black"/>
          <w:sz w:val="28"/>
          <w:szCs w:val="28"/>
        </w:rPr>
      </w:pPr>
      <w:r>
        <w:rPr>
          <w:rFonts w:ascii="Arial Black" w:hAnsi="Arial Black"/>
          <w:sz w:val="28"/>
          <w:szCs w:val="28"/>
        </w:rPr>
        <w:t xml:space="preserve">NY: ARSONIST – DENIED “COMPASSIONATE RELEASE” - 1994 LODD FDNY LT. – MUST REMAIN PRISON ALL 43 YRS </w:t>
      </w:r>
    </w:p>
    <w:p w14:paraId="52675594" w14:textId="77777777" w:rsidR="007959C9" w:rsidRDefault="007959C9" w:rsidP="007959C9">
      <w:pPr>
        <w:pStyle w:val="NormalWeb"/>
      </w:pPr>
      <w:r>
        <w:t xml:space="preserve">On Jan. 5, 2023, in </w:t>
      </w:r>
      <w:r w:rsidRPr="0073742E">
        <w:rPr>
          <w:u w:val="single"/>
        </w:rPr>
        <w:t>United States of America v. Alberto Raposo</w:t>
      </w:r>
      <w:r>
        <w:t xml:space="preserve">, U.S. District Court Judge John P. Cronan, U.S. District Court for Southern District of New York, denied the prisoner’s motion for compassionate release.  The defendant started eight (8) fires on June 5, </w:t>
      </w:r>
      <w:proofErr w:type="gramStart"/>
      <w:r>
        <w:t>1994</w:t>
      </w:r>
      <w:proofErr w:type="gramEnd"/>
      <w:r>
        <w:t xml:space="preserve"> in a building in Manhattan, after a dispute with the two men he lived with on the fifth floor.  FDNY responded and unfortunately Lt. Gorge Lener died in subcellar.  The Federal judge reviewed his terrible misconduct and denied him early release from prison.  The judge held: “In </w:t>
      </w:r>
      <w:r>
        <w:lastRenderedPageBreak/>
        <w:t xml:space="preserve">sum, granting early release in this case would fail to reflect the seriousness of Raposo's crime of setting a fire that caused the death of Lieutenant Lener, would not justly punish that offense, would fail to promote respect for the law, and would not achieve adequate deterrence for such conduct. Thus, the applicable section 3553(a) factors compel the conclusion that no reduction of the imposed sentence is warranted.”  </w:t>
      </w:r>
      <w:hyperlink r:id="rId193" w:history="1">
        <w:r w:rsidRPr="003E040E">
          <w:rPr>
            <w:rStyle w:val="Hyperlink"/>
          </w:rPr>
          <w:t>https://casetext.com/case/united-states-v-raposo-6</w:t>
        </w:r>
      </w:hyperlink>
      <w:r>
        <w:t xml:space="preserve"> </w:t>
      </w:r>
    </w:p>
    <w:p w14:paraId="614AF75D" w14:textId="77777777" w:rsidR="007959C9" w:rsidRDefault="007959C9" w:rsidP="007959C9">
      <w:pPr>
        <w:pStyle w:val="NormalWeb"/>
        <w:ind w:left="720"/>
      </w:pPr>
      <w:r>
        <w:t xml:space="preserve">“On the evening of June 5, after a dispute with Ruiz, Raposo set eight fires throughout various floors and the subcellar of 79-81 Worth Street….  Raposo waited until Ruiz and Delvalle were inside the building on the fifth floor before setting the fires…. Raposo set the first fire in the subcellar, proceeded to the fourth floor where he gathered his belongings and set more fires, and then set additional fires on the second floor, in the lobby, and outside the building…. Raposo also strategically poured oil on </w:t>
      </w:r>
      <w:proofErr w:type="gramStart"/>
      <w:r>
        <w:t>egresses</w:t>
      </w:r>
      <w:proofErr w:type="gramEnd"/>
      <w:r>
        <w:t xml:space="preserve"> including a stairwell leading to </w:t>
      </w:r>
      <w:proofErr w:type="gramStart"/>
      <w:r>
        <w:t>a fire escape and the</w:t>
      </w:r>
      <w:proofErr w:type="gramEnd"/>
      <w:r>
        <w:t xml:space="preserve"> fire escapes themselves, locked the doors with a mortise lock to which he held the only key, and removed wires to disable the building's fire alarm. </w:t>
      </w:r>
    </w:p>
    <w:p w14:paraId="14009A82" w14:textId="77777777" w:rsidR="007959C9" w:rsidRDefault="007959C9" w:rsidP="007959C9">
      <w:pPr>
        <w:pStyle w:val="NormalWeb"/>
        <w:ind w:left="720"/>
        <w:rPr>
          <w:rStyle w:val="Emphasis"/>
        </w:rPr>
      </w:pPr>
      <w:r>
        <w:t>***</w:t>
      </w:r>
    </w:p>
    <w:p w14:paraId="76341A08" w14:textId="77777777" w:rsidR="007959C9" w:rsidRDefault="007959C9" w:rsidP="007959C9">
      <w:pPr>
        <w:pStyle w:val="NormalWeb"/>
        <w:ind w:left="720"/>
      </w:pPr>
      <w:r>
        <w:t>[F]</w:t>
      </w:r>
      <w:proofErr w:type="spellStart"/>
      <w:r>
        <w:t>irefighters</w:t>
      </w:r>
      <w:proofErr w:type="spellEnd"/>
      <w:r>
        <w:t xml:space="preserve"> with FDNY Ladder Company #6, led by Lieutenant George Lener, fought the blaze in the subcellar of the building, navigating their way through water that had accumulated from the sprinkler system…. Lieutenant Lener remained alone in the subcellar after the tanks of the firefighters under his command ran dry…. Subsequently, other firefighters heard a distress call, and one eventually found Lieutenant Lener facedown and unconscious in a foot of water in the subcellar…. Lieutenant Lener was carried out by five firefighters and rushed to a hospital in an ambulance…. Tragically, Lieutenant Lener never regained consciousness, and, approximately forty-five days later, died of carbon monoxide poisoning endured in the subcellar.”</w:t>
      </w:r>
    </w:p>
    <w:p w14:paraId="47D79693" w14:textId="77777777" w:rsidR="007959C9" w:rsidRPr="00651625" w:rsidRDefault="007959C9" w:rsidP="007959C9">
      <w:pPr>
        <w:pStyle w:val="NormalWeb"/>
        <w:rPr>
          <w:rStyle w:val="Emphasis"/>
          <w:b/>
          <w:bCs/>
          <w:i w:val="0"/>
          <w:iCs w:val="0"/>
        </w:rPr>
      </w:pPr>
      <w:r w:rsidRPr="00651625">
        <w:rPr>
          <w:rStyle w:val="Emphasis"/>
          <w:b/>
          <w:bCs/>
          <w:i w:val="0"/>
          <w:iCs w:val="0"/>
        </w:rPr>
        <w:t xml:space="preserve">Legal Lesson Learned: An arsonist is legally responsible for injuries and deaths to others, including firefighters. </w:t>
      </w:r>
    </w:p>
    <w:p w14:paraId="34B84E02" w14:textId="77777777" w:rsidR="007959C9" w:rsidRPr="007959C9" w:rsidRDefault="007959C9" w:rsidP="007959C9">
      <w:pPr>
        <w:pStyle w:val="NormalWeb"/>
        <w:ind w:left="720"/>
        <w:rPr>
          <w:rStyle w:val="Emphasis"/>
          <w:i w:val="0"/>
          <w:iCs w:val="0"/>
        </w:rPr>
      </w:pPr>
      <w:r w:rsidRPr="007959C9">
        <w:rPr>
          <w:rStyle w:val="Emphasis"/>
          <w:i w:val="0"/>
          <w:iCs w:val="0"/>
        </w:rPr>
        <w:t xml:space="preserve">Note: He was first tried in state court – surprisingly a jury found him not guilty.  Fortunately, he was then charged with federal offense of committing arson of property used in interstate commerce and convicted. </w:t>
      </w:r>
    </w:p>
    <w:p w14:paraId="1D957CF1" w14:textId="77777777" w:rsidR="007959C9" w:rsidRDefault="007959C9" w:rsidP="007959C9">
      <w:pPr>
        <w:pStyle w:val="NormalWeb"/>
        <w:ind w:left="1440" w:firstLine="60"/>
      </w:pPr>
      <w:r>
        <w:t>“Raposo originally was charged in New York Supreme Court, New York County, with arson in the first degree, arson in the third degree, and murder in the second degree…. On July 1, 1996, a jury found Raposo not guilty of those state charges….  A federal investigation followed Raposo's state court acquittal, leading to his arrest on federal arson charges on March 5, 1998…. The Indictment, which was filed on March 4, 1998, charged Raposo with one count of committing arson of property used in interstate commerce, with death resulting, in violation of 18 U.S.C. § 844(</w:t>
      </w:r>
      <w:proofErr w:type="spellStart"/>
      <w:r>
        <w:t>i</w:t>
      </w:r>
      <w:proofErr w:type="spellEnd"/>
      <w:r>
        <w:t>)…. On February 9, 1999, Raposo was found guilty of that count by a jury…. The conviction carried a maximum term of imprisonment of life.”</w:t>
      </w:r>
    </w:p>
    <w:p w14:paraId="09914FA8" w14:textId="77777777" w:rsidR="007959C9" w:rsidRDefault="007959C9" w:rsidP="00F326E5">
      <w:pPr>
        <w:pStyle w:val="NoSpacing"/>
        <w:rPr>
          <w:rFonts w:ascii="Arial Black" w:hAnsi="Arial Black"/>
          <w:sz w:val="24"/>
          <w:szCs w:val="24"/>
        </w:rPr>
      </w:pPr>
    </w:p>
    <w:p w14:paraId="5D853915" w14:textId="77777777" w:rsidR="007959C9" w:rsidRDefault="007959C9" w:rsidP="00F326E5">
      <w:pPr>
        <w:pStyle w:val="NoSpacing"/>
        <w:rPr>
          <w:rFonts w:ascii="Arial Black" w:hAnsi="Arial Black"/>
          <w:sz w:val="24"/>
          <w:szCs w:val="24"/>
        </w:rPr>
      </w:pPr>
    </w:p>
    <w:p w14:paraId="20CA6202" w14:textId="77777777" w:rsidR="007959C9" w:rsidRDefault="007959C9" w:rsidP="00F326E5">
      <w:pPr>
        <w:pStyle w:val="NoSpacing"/>
        <w:rPr>
          <w:rFonts w:ascii="Arial Black" w:hAnsi="Arial Black"/>
          <w:sz w:val="24"/>
          <w:szCs w:val="24"/>
        </w:rPr>
      </w:pPr>
    </w:p>
    <w:p w14:paraId="4DD5B44A" w14:textId="5AEBBD4F" w:rsidR="006C79BE" w:rsidRDefault="006C79BE" w:rsidP="00F326E5">
      <w:pPr>
        <w:pStyle w:val="NoSpacing"/>
        <w:rPr>
          <w:rFonts w:ascii="Arial Black" w:hAnsi="Arial Black"/>
          <w:sz w:val="24"/>
          <w:szCs w:val="24"/>
        </w:rPr>
      </w:pPr>
      <w:r>
        <w:rPr>
          <w:rFonts w:ascii="Arial Black" w:hAnsi="Arial Black"/>
          <w:sz w:val="24"/>
          <w:szCs w:val="24"/>
        </w:rPr>
        <w:t>1-113</w:t>
      </w:r>
    </w:p>
    <w:p w14:paraId="0F4C4BAB" w14:textId="1DBEFAFF" w:rsidR="006C79BE" w:rsidRDefault="006C79BE" w:rsidP="00F326E5">
      <w:pPr>
        <w:pStyle w:val="NoSpacing"/>
        <w:rPr>
          <w:rFonts w:ascii="Arial Black" w:hAnsi="Arial Black"/>
          <w:sz w:val="24"/>
          <w:szCs w:val="24"/>
        </w:rPr>
      </w:pPr>
    </w:p>
    <w:p w14:paraId="6DC19452" w14:textId="77777777" w:rsidR="006C79BE" w:rsidRPr="00F91DD5" w:rsidRDefault="006C79BE" w:rsidP="006C79BE">
      <w:pPr>
        <w:pStyle w:val="NormalWeb"/>
        <w:rPr>
          <w:rFonts w:ascii="Arial Black" w:hAnsi="Arial Black"/>
          <w:sz w:val="28"/>
          <w:szCs w:val="28"/>
        </w:rPr>
      </w:pPr>
      <w:r>
        <w:rPr>
          <w:rFonts w:ascii="Arial Black" w:hAnsi="Arial Black"/>
          <w:sz w:val="28"/>
          <w:szCs w:val="28"/>
        </w:rPr>
        <w:t>NJ:  ARSON – PROSECUTOR FILES CONFIDENTIAL – CIVIL SUIT $4M LOSS BLDG - SECURITY FENCE ONLY 3 SIDES</w:t>
      </w:r>
    </w:p>
    <w:p w14:paraId="366407FF" w14:textId="77777777" w:rsidR="006C79BE" w:rsidRDefault="006C79BE" w:rsidP="006C79BE">
      <w:pPr>
        <w:rPr>
          <w:rFonts w:ascii="Times New Roman" w:hAnsi="Times New Roman"/>
          <w:sz w:val="24"/>
          <w:szCs w:val="24"/>
        </w:rPr>
      </w:pPr>
      <w:r w:rsidRPr="00EE4FE2">
        <w:rPr>
          <w:rFonts w:ascii="Times New Roman" w:hAnsi="Times New Roman"/>
          <w:sz w:val="24"/>
          <w:szCs w:val="24"/>
        </w:rPr>
        <w:lastRenderedPageBreak/>
        <w:t xml:space="preserve">On Dec. 7, 2022, in </w:t>
      </w:r>
      <w:r w:rsidRPr="00EE4FE2">
        <w:rPr>
          <w:rFonts w:ascii="Times New Roman" w:hAnsi="Times New Roman"/>
          <w:sz w:val="24"/>
          <w:szCs w:val="24"/>
          <w:u w:val="single"/>
        </w:rPr>
        <w:t>American Insurance Company, et al. v. Meridia Downtown Urban Renewal, et al. and Somerset County Prosecutor’s Office</w:t>
      </w:r>
      <w:r w:rsidRPr="00EE4FE2">
        <w:rPr>
          <w:rFonts w:ascii="Times New Roman" w:hAnsi="Times New Roman"/>
          <w:sz w:val="24"/>
          <w:szCs w:val="24"/>
        </w:rPr>
        <w:t xml:space="preserve">, the Superior Court of New Jersey, Appellate Division, held (3 to 0) that trial judge improperly ordered the Prosecutor’s Office to disclose documents prior to the trial of the indicted arsonist concerning the January 12, 2020 fire, including videos and witness statements.  The pending civil litigation by the insurance company concerning construction company’s failure to fence in the entire property does not outweigh the </w:t>
      </w:r>
      <w:proofErr w:type="gramStart"/>
      <w:r w:rsidRPr="00EE4FE2">
        <w:rPr>
          <w:rFonts w:ascii="Times New Roman" w:hAnsi="Times New Roman"/>
          <w:sz w:val="24"/>
          <w:szCs w:val="24"/>
        </w:rPr>
        <w:t>public interest</w:t>
      </w:r>
      <w:proofErr w:type="gramEnd"/>
      <w:r w:rsidRPr="00EE4FE2">
        <w:rPr>
          <w:rFonts w:ascii="Times New Roman" w:hAnsi="Times New Roman"/>
          <w:sz w:val="24"/>
          <w:szCs w:val="24"/>
        </w:rPr>
        <w:t xml:space="preserve"> protected by the strict confidentiality that attaches to the criminal investigative file of an ongoing criminal prosecution.</w:t>
      </w:r>
    </w:p>
    <w:p w14:paraId="3693A55E" w14:textId="45323073" w:rsidR="006C79BE" w:rsidRDefault="006C79BE" w:rsidP="006C79BE">
      <w:pPr>
        <w:ind w:left="720"/>
        <w:rPr>
          <w:rFonts w:ascii="Times New Roman" w:hAnsi="Times New Roman"/>
          <w:sz w:val="24"/>
          <w:szCs w:val="24"/>
        </w:rPr>
      </w:pPr>
      <w:r>
        <w:rPr>
          <w:rFonts w:ascii="Times New Roman" w:hAnsi="Times New Roman"/>
          <w:sz w:val="24"/>
          <w:szCs w:val="24"/>
        </w:rPr>
        <w:t xml:space="preserve"> “[W]</w:t>
      </w:r>
      <w:r w:rsidRPr="00EE4FE2">
        <w:rPr>
          <w:rFonts w:ascii="Times New Roman" w:hAnsi="Times New Roman"/>
          <w:sz w:val="24"/>
          <w:szCs w:val="24"/>
        </w:rPr>
        <w:t xml:space="preserve">e </w:t>
      </w:r>
      <w:proofErr w:type="gramStart"/>
      <w:r w:rsidRPr="00EE4FE2">
        <w:rPr>
          <w:rFonts w:ascii="Times New Roman" w:hAnsi="Times New Roman"/>
          <w:sz w:val="24"/>
          <w:szCs w:val="24"/>
        </w:rPr>
        <w:t>believe</w:t>
      </w:r>
      <w:proofErr w:type="gramEnd"/>
      <w:r w:rsidRPr="00EE4FE2">
        <w:rPr>
          <w:rFonts w:ascii="Times New Roman" w:hAnsi="Times New Roman"/>
          <w:sz w:val="24"/>
          <w:szCs w:val="24"/>
        </w:rPr>
        <w:t xml:space="preserve"> the judge mistakenly exercised his discretion by failing to judiciously and painstakingly balance the competing interests at stake. Compelling the production of the materials sought here risks compromising the vital public interest protected by the strict confidentiality that attaches to the criminal investigative file of an ongoing criminal prosecution.</w:t>
      </w:r>
      <w:r>
        <w:rPr>
          <w:rFonts w:ascii="Times New Roman" w:hAnsi="Times New Roman"/>
          <w:sz w:val="24"/>
          <w:szCs w:val="24"/>
        </w:rPr>
        <w:t xml:space="preserve">” </w:t>
      </w:r>
      <w:hyperlink r:id="rId194" w:history="1">
        <w:r w:rsidRPr="00622894">
          <w:rPr>
            <w:rStyle w:val="Hyperlink"/>
            <w:rFonts w:ascii="Times New Roman" w:hAnsi="Times New Roman"/>
            <w:sz w:val="24"/>
            <w:szCs w:val="24"/>
          </w:rPr>
          <w:t>https://law.justia.com/cases/new-jersey/appellate-division-published/2022/a-1868-21.html</w:t>
        </w:r>
      </w:hyperlink>
      <w:r>
        <w:rPr>
          <w:rFonts w:ascii="Times New Roman" w:hAnsi="Times New Roman"/>
          <w:sz w:val="24"/>
          <w:szCs w:val="24"/>
        </w:rPr>
        <w:t xml:space="preserve"> </w:t>
      </w:r>
    </w:p>
    <w:p w14:paraId="593BD7EC" w14:textId="77777777" w:rsidR="006C79BE" w:rsidRPr="00EE4FE2" w:rsidRDefault="006C79BE" w:rsidP="006C79BE">
      <w:pPr>
        <w:rPr>
          <w:rFonts w:ascii="Times New Roman" w:hAnsi="Times New Roman"/>
          <w:b/>
          <w:bCs/>
          <w:sz w:val="24"/>
          <w:szCs w:val="24"/>
        </w:rPr>
      </w:pPr>
      <w:r w:rsidRPr="00EE4FE2">
        <w:rPr>
          <w:rFonts w:ascii="Times New Roman" w:hAnsi="Times New Roman"/>
          <w:b/>
          <w:bCs/>
          <w:sz w:val="24"/>
          <w:szCs w:val="24"/>
        </w:rPr>
        <w:t>Legal Lesson Learned:</w:t>
      </w:r>
      <w:r>
        <w:rPr>
          <w:rFonts w:ascii="Times New Roman" w:hAnsi="Times New Roman"/>
          <w:b/>
          <w:bCs/>
          <w:sz w:val="24"/>
          <w:szCs w:val="24"/>
        </w:rPr>
        <w:t xml:space="preserve"> There is very strong public interest in protecting the confidentiality of Prosecutor’s evidence pending trial of the arsonist. </w:t>
      </w:r>
    </w:p>
    <w:p w14:paraId="67D74B3A" w14:textId="77777777" w:rsidR="006C79BE" w:rsidRDefault="006C79BE" w:rsidP="006C79BE">
      <w:pPr>
        <w:pStyle w:val="NormalWeb"/>
      </w:pPr>
    </w:p>
    <w:p w14:paraId="42AFCFBE" w14:textId="77777777" w:rsidR="006C79BE" w:rsidRDefault="006C79BE" w:rsidP="00F326E5">
      <w:pPr>
        <w:pStyle w:val="NoSpacing"/>
        <w:rPr>
          <w:rFonts w:ascii="Arial Black" w:hAnsi="Arial Black"/>
          <w:sz w:val="24"/>
          <w:szCs w:val="24"/>
        </w:rPr>
      </w:pPr>
    </w:p>
    <w:p w14:paraId="31C6D0BF" w14:textId="77777777" w:rsidR="006C79BE" w:rsidRDefault="006C79BE" w:rsidP="00F326E5">
      <w:pPr>
        <w:pStyle w:val="NoSpacing"/>
        <w:rPr>
          <w:rFonts w:ascii="Arial Black" w:hAnsi="Arial Black"/>
          <w:sz w:val="24"/>
          <w:szCs w:val="24"/>
        </w:rPr>
      </w:pPr>
    </w:p>
    <w:p w14:paraId="230981A3" w14:textId="1A72662F" w:rsidR="00E8117B" w:rsidRDefault="006C79BE" w:rsidP="00F326E5">
      <w:pPr>
        <w:pStyle w:val="NoSpacing"/>
        <w:rPr>
          <w:rFonts w:ascii="Arial Black" w:hAnsi="Arial Black"/>
          <w:sz w:val="24"/>
          <w:szCs w:val="24"/>
        </w:rPr>
      </w:pPr>
      <w:r>
        <w:rPr>
          <w:rFonts w:ascii="Arial Black" w:hAnsi="Arial Black"/>
          <w:sz w:val="24"/>
          <w:szCs w:val="24"/>
        </w:rPr>
        <w:t>1-112</w:t>
      </w:r>
    </w:p>
    <w:p w14:paraId="4B7E437B" w14:textId="77777777" w:rsidR="006C79BE" w:rsidRPr="008B3217" w:rsidRDefault="006C79BE" w:rsidP="006C79BE">
      <w:pPr>
        <w:pStyle w:val="NormalWeb"/>
        <w:rPr>
          <w:rFonts w:ascii="Arial Black" w:hAnsi="Arial Black"/>
          <w:sz w:val="28"/>
          <w:szCs w:val="28"/>
        </w:rPr>
      </w:pPr>
      <w:r>
        <w:rPr>
          <w:rFonts w:ascii="Arial Black" w:hAnsi="Arial Black"/>
          <w:sz w:val="28"/>
          <w:szCs w:val="28"/>
        </w:rPr>
        <w:t>NY: COVID VACCINATIONS – RELIGIOUS EXEMPTION - FDNY FF ORDERED REHIRED – “REASONABLE ACCOMMODATION”</w:t>
      </w:r>
    </w:p>
    <w:p w14:paraId="45EFB268" w14:textId="77777777" w:rsidR="006C79BE" w:rsidRDefault="006C79BE" w:rsidP="006C79BE">
      <w:pPr>
        <w:pStyle w:val="NormalWeb"/>
      </w:pPr>
      <w:r>
        <w:t xml:space="preserve">On Oct. 7, 2022, in </w:t>
      </w:r>
      <w:r w:rsidRPr="004304FB">
        <w:rPr>
          <w:u w:val="single"/>
        </w:rPr>
        <w:t>Timothy Rivicci v. New Yok City Fire Department and The City of New York</w:t>
      </w:r>
      <w:r>
        <w:t xml:space="preserve">, Judge Ralp J. Porzio, Supreme Court, Richmond County (unpublished decision), granted the firefighters petition for reinstatement to full duties at Engine 158, back pay, and attorney fees.  The judge noted in his very direct opinion, that FDNY has granted 20 requests for religious or medical </w:t>
      </w:r>
      <w:proofErr w:type="gramStart"/>
      <w:r>
        <w:t>accommodations</w:t>
      </w:r>
      <w:proofErr w:type="gramEnd"/>
      <w:r>
        <w:t xml:space="preserve">, and referenced the affidavits of Robert Banome and Stephen Fitzgerald, members of the FDNY who were granted reasonable accommodations of weekly testing and mask wearing. The FF has been on FDNY since 2016.  During COVIC-19 pandemic, Mayor Bill DeBtasio declared a state of emergency and required all NYC employees be vaccinated by Oct. 28, 2021.  The FF was placed on leave without pay on Nov. 1, </w:t>
      </w:r>
      <w:proofErr w:type="gramStart"/>
      <w:r>
        <w:t>2021</w:t>
      </w:r>
      <w:proofErr w:type="gramEnd"/>
      <w:r>
        <w:t xml:space="preserve"> for not showing proof of vaccination. On Nov. 5, </w:t>
      </w:r>
      <w:proofErr w:type="gramStart"/>
      <w:r>
        <w:t>2021</w:t>
      </w:r>
      <w:proofErr w:type="gramEnd"/>
      <w:r>
        <w:t xml:space="preserve"> he submitted a </w:t>
      </w:r>
      <w:proofErr w:type="gramStart"/>
      <w:r>
        <w:t>religious reasonable</w:t>
      </w:r>
      <w:proofErr w:type="gramEnd"/>
      <w:r>
        <w:t xml:space="preserve"> accommodation request to the FDNY Equal Employment Opportunity Office (EEO).  Without any dialog with the FF, the EEO denied the request; he appealed to the NY Reasonable Accommodations Appeals Panel, and without any dialog with FF denied his appeal, and he was fired March 14, 2022.</w:t>
      </w:r>
    </w:p>
    <w:p w14:paraId="179C08C4" w14:textId="77777777" w:rsidR="006C79BE" w:rsidRDefault="006C79BE" w:rsidP="006C79BE">
      <w:pPr>
        <w:pStyle w:val="NormalWeb"/>
        <w:ind w:left="720"/>
      </w:pPr>
      <w:r>
        <w:t xml:space="preserve">“The Court cannot help but question, why were those accommodations of testing and masking granted, while this Petitioner's request for an accommodation would cause an ‘undue burden’ to the Department. It makes no difference to this Court whether the accommodation was granted for a religious or medical reason. The record is bereft of any reasoning, rational or otherwise.” </w:t>
      </w:r>
      <w:hyperlink r:id="rId195" w:history="1">
        <w:r w:rsidRPr="00617AE0">
          <w:rPr>
            <w:rStyle w:val="Hyperlink"/>
            <w:rFonts w:eastAsiaTheme="majorEastAsia"/>
          </w:rPr>
          <w:t>https://public.fastcase.com/J%2FJP6pdidelsXxEE4k%2BLMrfSCCaRdL8TI%2B5ioBWNQnh0kDz1GreH4%2B0yNBfnZOTE%2BnPBmU0h571R%2FJckMZe26svndIwXzFkT32fWB37fhjw%3D?utm_medium=email&amp;_hsmi=226712652&amp;_hsenc=p2ANqtz--GP8ZQooCAhfBpKdL9gU4tnEMPEYSQuJhpHC1xgU_R2XIHvEgQGIZy-l9drIqZUjYHZhAeqsmTG1Ww2RK_6TGoVdhMHQ&amp;utm_content=226712652&amp;utm_source=hs_email</w:t>
        </w:r>
      </w:hyperlink>
      <w:r>
        <w:t xml:space="preserve"> </w:t>
      </w:r>
    </w:p>
    <w:p w14:paraId="5808F788" w14:textId="77777777" w:rsidR="006C79BE" w:rsidRPr="0086106F" w:rsidRDefault="006C79BE" w:rsidP="006C79BE">
      <w:pPr>
        <w:pStyle w:val="NormalWeb"/>
        <w:rPr>
          <w:b/>
          <w:bCs/>
        </w:rPr>
      </w:pPr>
      <w:r w:rsidRPr="0086106F">
        <w:rPr>
          <w:b/>
          <w:bCs/>
        </w:rPr>
        <w:lastRenderedPageBreak/>
        <w:t>Legal Lesson Learned:</w:t>
      </w:r>
      <w:r>
        <w:rPr>
          <w:b/>
          <w:bCs/>
        </w:rPr>
        <w:t xml:space="preserve"> </w:t>
      </w:r>
      <w:proofErr w:type="gramStart"/>
      <w:r>
        <w:rPr>
          <w:b/>
          <w:bCs/>
        </w:rPr>
        <w:t>Similar to</w:t>
      </w:r>
      <w:proofErr w:type="gramEnd"/>
      <w:r>
        <w:rPr>
          <w:b/>
          <w:bCs/>
        </w:rPr>
        <w:t xml:space="preserve"> ADA claims, employers need to dialog with requests for accommodation before declaring request is an “undue hardship.” </w:t>
      </w:r>
    </w:p>
    <w:p w14:paraId="60056EF3" w14:textId="77777777" w:rsidR="006C79BE" w:rsidRDefault="006C79BE" w:rsidP="00F326E5">
      <w:pPr>
        <w:pStyle w:val="NoSpacing"/>
        <w:rPr>
          <w:rFonts w:ascii="Arial Black" w:hAnsi="Arial Black"/>
          <w:sz w:val="24"/>
          <w:szCs w:val="24"/>
        </w:rPr>
      </w:pPr>
    </w:p>
    <w:p w14:paraId="4650C6AC" w14:textId="77777777" w:rsidR="006C79BE" w:rsidRDefault="006C79BE" w:rsidP="00F326E5">
      <w:pPr>
        <w:pStyle w:val="NoSpacing"/>
        <w:rPr>
          <w:rFonts w:ascii="Arial Black" w:hAnsi="Arial Black"/>
          <w:sz w:val="24"/>
          <w:szCs w:val="24"/>
        </w:rPr>
      </w:pPr>
    </w:p>
    <w:p w14:paraId="46A2EA81" w14:textId="77777777" w:rsidR="006C79BE" w:rsidRDefault="006C79BE" w:rsidP="00F326E5">
      <w:pPr>
        <w:pStyle w:val="NoSpacing"/>
        <w:rPr>
          <w:rFonts w:ascii="Arial Black" w:hAnsi="Arial Black"/>
          <w:sz w:val="24"/>
          <w:szCs w:val="24"/>
        </w:rPr>
      </w:pPr>
    </w:p>
    <w:p w14:paraId="36E3F9E3" w14:textId="23E2960B" w:rsidR="00AE32D3" w:rsidRDefault="00AE32D3" w:rsidP="00F326E5">
      <w:pPr>
        <w:pStyle w:val="NoSpacing"/>
        <w:rPr>
          <w:rFonts w:ascii="Arial Black" w:hAnsi="Arial Black"/>
          <w:sz w:val="24"/>
          <w:szCs w:val="24"/>
        </w:rPr>
      </w:pPr>
      <w:r>
        <w:rPr>
          <w:rFonts w:ascii="Arial Black" w:hAnsi="Arial Black"/>
          <w:sz w:val="24"/>
          <w:szCs w:val="24"/>
        </w:rPr>
        <w:t>1-111</w:t>
      </w:r>
    </w:p>
    <w:p w14:paraId="0F3F64BC" w14:textId="77777777" w:rsidR="00AE32D3" w:rsidRDefault="00AE32D3" w:rsidP="00AE32D3">
      <w:pPr>
        <w:pStyle w:val="NormalWeb"/>
        <w:rPr>
          <w:rFonts w:ascii="Arial Black" w:hAnsi="Arial Black"/>
          <w:b/>
          <w:bCs/>
          <w:sz w:val="28"/>
          <w:szCs w:val="28"/>
        </w:rPr>
      </w:pPr>
      <w:r>
        <w:rPr>
          <w:rFonts w:ascii="Arial Black" w:hAnsi="Arial Black"/>
          <w:b/>
          <w:bCs/>
          <w:sz w:val="28"/>
          <w:szCs w:val="28"/>
        </w:rPr>
        <w:t>PA: TWO FIRE CALLS APARTMENT BLDG – “SPARKING OVEN” – NO SEARCH WARRANT REQ. ENTER BASEMENT</w:t>
      </w:r>
    </w:p>
    <w:p w14:paraId="0E083BCB" w14:textId="77777777" w:rsidR="00AE32D3" w:rsidRDefault="00AE32D3" w:rsidP="00AE32D3">
      <w:pPr>
        <w:pStyle w:val="NormalWeb"/>
      </w:pPr>
      <w:r w:rsidRPr="00376BC8">
        <w:t>On N</w:t>
      </w:r>
      <w:r>
        <w:t xml:space="preserve">ov. 29, 2022, in </w:t>
      </w:r>
      <w:r w:rsidRPr="00376BC8">
        <w:rPr>
          <w:u w:val="single"/>
        </w:rPr>
        <w:t>George Cannarozzo v. Borough of West Hazelton, et al</w:t>
      </w:r>
      <w:r>
        <w:t xml:space="preserve">., the U.S. Court of Appeals, Third Circuit (Philadelphia) held (3 to 0) that the basement search did not require a search warrant since with a “sparking oven” there was reasonable belief of imminent emergency and need to enter the basement to shut off electricity. </w:t>
      </w:r>
    </w:p>
    <w:p w14:paraId="6CEAA46B" w14:textId="77777777" w:rsidR="00AE32D3" w:rsidRDefault="00AE32D3" w:rsidP="00AE32D3">
      <w:pPr>
        <w:pStyle w:val="NormalWeb"/>
        <w:ind w:left="720"/>
      </w:pPr>
      <w:r>
        <w:t xml:space="preserve">“Cannarozzo [owner </w:t>
      </w:r>
      <w:proofErr w:type="gramStart"/>
      <w:r>
        <w:t>5 unit</w:t>
      </w:r>
      <w:proofErr w:type="gramEnd"/>
      <w:r>
        <w:t xml:space="preserve"> apartment building} contends the record contains factual discrepancies about the actual dangers precipitating the search. But based on the undisputed facts, Panzarella [Code Enforcement Officer and Building Code Official for Borough] had an ‘objectively reasonable </w:t>
      </w:r>
      <w:proofErr w:type="spellStart"/>
      <w:r>
        <w:t>basis’</w:t>
      </w:r>
      <w:proofErr w:type="spellEnd"/>
      <w:r>
        <w:t xml:space="preserve"> for believing an imminent emergency existed which created a ‘compelling urgency to inspect’ the basement.”  </w:t>
      </w:r>
      <w:hyperlink r:id="rId196" w:history="1">
        <w:r w:rsidRPr="00E8516D">
          <w:rPr>
            <w:rStyle w:val="Hyperlink"/>
            <w:rFonts w:eastAsiaTheme="majorEastAsia"/>
          </w:rPr>
          <w:t>https://law.justia.com/cases/federal/appellate-courts/ca3/22-1079/22-1079-2022-11-29.html</w:t>
        </w:r>
      </w:hyperlink>
      <w:r>
        <w:t xml:space="preserve"> </w:t>
      </w:r>
    </w:p>
    <w:p w14:paraId="51E08B2D" w14:textId="77777777" w:rsidR="00AE32D3" w:rsidRPr="00FA6891" w:rsidRDefault="00AE32D3" w:rsidP="00AE32D3">
      <w:pPr>
        <w:pStyle w:val="NormalWeb"/>
        <w:rPr>
          <w:b/>
          <w:bCs/>
        </w:rPr>
      </w:pPr>
      <w:r w:rsidRPr="00FA6891">
        <w:rPr>
          <w:b/>
          <w:bCs/>
        </w:rPr>
        <w:t xml:space="preserve">Legal Lesson Learned: Fire and Fire Code officials may enter property without a search warrant when there </w:t>
      </w:r>
      <w:r>
        <w:rPr>
          <w:b/>
          <w:bCs/>
        </w:rPr>
        <w:t xml:space="preserve">is a reasonable belief of </w:t>
      </w:r>
      <w:r w:rsidRPr="00FA6891">
        <w:rPr>
          <w:b/>
          <w:bCs/>
        </w:rPr>
        <w:t xml:space="preserve">an imminent emergency. </w:t>
      </w:r>
    </w:p>
    <w:p w14:paraId="000D09D8" w14:textId="77777777" w:rsidR="00AE32D3" w:rsidRDefault="00AE32D3" w:rsidP="00F326E5">
      <w:pPr>
        <w:pStyle w:val="NoSpacing"/>
        <w:rPr>
          <w:rFonts w:ascii="Arial Black" w:hAnsi="Arial Black"/>
          <w:sz w:val="24"/>
          <w:szCs w:val="24"/>
        </w:rPr>
      </w:pPr>
    </w:p>
    <w:p w14:paraId="1E56EF7A" w14:textId="77777777" w:rsidR="00AE32D3" w:rsidRDefault="00AE32D3" w:rsidP="00F326E5">
      <w:pPr>
        <w:pStyle w:val="NoSpacing"/>
        <w:rPr>
          <w:rFonts w:ascii="Arial Black" w:hAnsi="Arial Black"/>
          <w:sz w:val="24"/>
          <w:szCs w:val="24"/>
        </w:rPr>
      </w:pPr>
    </w:p>
    <w:p w14:paraId="4C685C89" w14:textId="62F64F8E" w:rsidR="00AE32D3" w:rsidRDefault="00AE32D3" w:rsidP="00F326E5">
      <w:pPr>
        <w:pStyle w:val="NoSpacing"/>
        <w:rPr>
          <w:rFonts w:ascii="Arial Black" w:hAnsi="Arial Black"/>
          <w:sz w:val="24"/>
          <w:szCs w:val="24"/>
        </w:rPr>
      </w:pPr>
      <w:r>
        <w:rPr>
          <w:rFonts w:ascii="Arial Black" w:hAnsi="Arial Black"/>
          <w:sz w:val="24"/>
          <w:szCs w:val="24"/>
        </w:rPr>
        <w:t>1-110</w:t>
      </w:r>
    </w:p>
    <w:p w14:paraId="1B7D8934" w14:textId="77777777" w:rsidR="00AE32D3" w:rsidRDefault="00AE32D3" w:rsidP="00F326E5">
      <w:pPr>
        <w:pStyle w:val="NoSpacing"/>
        <w:rPr>
          <w:rFonts w:ascii="Arial Black" w:hAnsi="Arial Black"/>
          <w:sz w:val="24"/>
          <w:szCs w:val="24"/>
        </w:rPr>
      </w:pPr>
    </w:p>
    <w:p w14:paraId="1FA5538D" w14:textId="77777777" w:rsidR="00AE32D3" w:rsidRDefault="00AE32D3" w:rsidP="00F326E5">
      <w:pPr>
        <w:pStyle w:val="NoSpacing"/>
        <w:rPr>
          <w:rFonts w:ascii="Arial Black" w:hAnsi="Arial Black"/>
          <w:sz w:val="24"/>
          <w:szCs w:val="24"/>
        </w:rPr>
      </w:pPr>
    </w:p>
    <w:p w14:paraId="56B43EEA" w14:textId="77777777" w:rsidR="00AE32D3" w:rsidRPr="00A443BC" w:rsidRDefault="00AE32D3" w:rsidP="00AE32D3">
      <w:pPr>
        <w:pStyle w:val="NormalWeb"/>
        <w:rPr>
          <w:rFonts w:ascii="Arial Black" w:hAnsi="Arial Black"/>
          <w:sz w:val="28"/>
          <w:szCs w:val="28"/>
        </w:rPr>
      </w:pPr>
      <w:r>
        <w:rPr>
          <w:rFonts w:ascii="Arial Black" w:hAnsi="Arial Black"/>
          <w:sz w:val="28"/>
          <w:szCs w:val="28"/>
        </w:rPr>
        <w:t xml:space="preserve">KY: OVEN FIRE – EXPERT OPINIONS THAT INSTALLERS SHOULD ENCLOSED BASE – MAY TESTIFY, NFPA GUIDELINE </w:t>
      </w:r>
    </w:p>
    <w:p w14:paraId="5BDE757E" w14:textId="77777777" w:rsidR="00AE32D3" w:rsidRDefault="00AE32D3" w:rsidP="00AE32D3">
      <w:pPr>
        <w:pStyle w:val="NormalWeb"/>
      </w:pPr>
      <w:r>
        <w:t xml:space="preserve">On Nov. 18, 2022, in </w:t>
      </w:r>
      <w:r w:rsidRPr="00A443BC">
        <w:rPr>
          <w:u w:val="single"/>
        </w:rPr>
        <w:t>American National Property &amp; Casualty Company, et al. v. R&amp;N Enterprises, Inc, D/B/A B&amp;W TV and Appliance Company</w:t>
      </w:r>
      <w:r>
        <w:t xml:space="preserve">, the Court of Appeals of Kentucky held (3 to 0) that the trial court improperly excluded the testimony of the insurance company’s expert.  Installers replace old oven, which never had enclosed bottom, directly over </w:t>
      </w:r>
      <w:proofErr w:type="gramStart"/>
      <w:r>
        <w:t>pull</w:t>
      </w:r>
      <w:proofErr w:type="gramEnd"/>
      <w:r>
        <w:t xml:space="preserve"> out drawer with lots of cloths.  Trial judge excluded insurance company’s two experts because they didn’t use another oven to measure the heat under the bottom, per NFPA 921, as did Appliance company’s expert.  Court of Appeals disagreed – NFPA guidelines, not mandatory under Kentucky law.  </w:t>
      </w:r>
    </w:p>
    <w:p w14:paraId="004E3E7D" w14:textId="77777777" w:rsidR="00AE32D3" w:rsidRDefault="00AE32D3" w:rsidP="00AE32D3">
      <w:pPr>
        <w:pStyle w:val="NormalWeb"/>
        <w:ind w:left="720"/>
      </w:pPr>
      <w:r>
        <w:t xml:space="preserve">“Appellant argues that the circuit court erred in excluding the testimony of Appellant's experts and in denying its request for a </w:t>
      </w:r>
      <w:r>
        <w:rPr>
          <w:rStyle w:val="Emphasis"/>
        </w:rPr>
        <w:t>Daubert</w:t>
      </w:r>
      <w:r>
        <w:rPr>
          <w:vertAlign w:val="superscript"/>
        </w:rPr>
        <w:t xml:space="preserve"> </w:t>
      </w:r>
      <w:r>
        <w:t xml:space="preserve">hearing. After careful review, we conclude that the testimony was improperly excluded. Accordingly, we reverse and </w:t>
      </w:r>
      <w:proofErr w:type="gramStart"/>
      <w:r>
        <w:t>remand</w:t>
      </w:r>
      <w:proofErr w:type="gramEnd"/>
      <w:r>
        <w:t xml:space="preserve"> the judgment on appeal. </w:t>
      </w:r>
    </w:p>
    <w:p w14:paraId="54C00179" w14:textId="77777777" w:rsidR="00AE32D3" w:rsidRDefault="00AE32D3" w:rsidP="00AE32D3">
      <w:pPr>
        <w:pStyle w:val="NormalWeb"/>
        <w:ind w:left="720"/>
      </w:pPr>
      <w:r>
        <w:t>***</w:t>
      </w:r>
    </w:p>
    <w:p w14:paraId="65056469" w14:textId="77777777" w:rsidR="00AE32D3" w:rsidRDefault="00AE32D3" w:rsidP="00AE32D3">
      <w:pPr>
        <w:pStyle w:val="NormalWeb"/>
        <w:ind w:left="720"/>
      </w:pPr>
      <w:r>
        <w:lastRenderedPageBreak/>
        <w:t xml:space="preserve">Appellee asserts, and the circuit court so found, that the framework for evaluating the reliability of the scientific principles of fire investigation found  in NFPA 921 is controlling in the matter before us. Appellee, however, has not cited any case law or statutory law from this jurisdiction so holding. Rather, Appellee has relied on unpublished federal case law and other extra-jurisdictional case law, wherein courts looked to NFPA 921 for guidance in fire investigations. While the guidelines of the National Fire Protection Association provide insight into fire investigation, and though extra-jurisdictional case law can be informative, our research has not revealed any Kentucky case which applied NFPA standards to fire investigation or holds that NFPA standards are controlling. </w:t>
      </w:r>
    </w:p>
    <w:p w14:paraId="1AE9F620" w14:textId="77777777" w:rsidR="00AE32D3" w:rsidRDefault="00AE32D3" w:rsidP="00AE32D3">
      <w:pPr>
        <w:pStyle w:val="NormalWeb"/>
        <w:ind w:left="720"/>
      </w:pPr>
      <w:r>
        <w:t>***</w:t>
      </w:r>
    </w:p>
    <w:p w14:paraId="1C93E545" w14:textId="77777777" w:rsidR="00AE32D3" w:rsidRDefault="00AE32D3" w:rsidP="00AE32D3">
      <w:pPr>
        <w:pStyle w:val="NormalWeb"/>
        <w:ind w:left="720"/>
      </w:pPr>
      <w:r>
        <w:t xml:space="preserve">Burns and Hollis found, and Appellee so acknowledges, that the fire started on the east wall of the kitchen. They excluded the possibility of other ignition sources based on physical examination and interviews with the </w:t>
      </w:r>
      <w:proofErr w:type="spellStart"/>
      <w:r>
        <w:t>Colletts</w:t>
      </w:r>
      <w:proofErr w:type="spellEnd"/>
      <w:r>
        <w:t xml:space="preserve">. Additionally, they found charred cloth material on the bottom of the </w:t>
      </w:r>
      <w:proofErr w:type="gramStart"/>
      <w:r>
        <w:t>oven, and</w:t>
      </w:r>
      <w:proofErr w:type="gramEnd"/>
      <w:r>
        <w:t xml:space="preserve"> noted that combustible kitchen towels and other items were stored in the drawer directly under the oven. And finally, they found no evidence of </w:t>
      </w:r>
      <w:proofErr w:type="gramStart"/>
      <w:r>
        <w:t>a full</w:t>
      </w:r>
      <w:proofErr w:type="gramEnd"/>
      <w:r>
        <w:t xml:space="preserve"> enclosure under the oven, though they acknowledged that it could have been destroyed by the fire. In sum, we conclude that their opinions rise to the level of deductive reasoning or thought </w:t>
      </w:r>
      <w:proofErr w:type="gramStart"/>
      <w:r>
        <w:t>experiments, and</w:t>
      </w:r>
      <w:proofErr w:type="gramEnd"/>
      <w:r>
        <w:t xml:space="preserve"> are more than mere baseless </w:t>
      </w:r>
      <w:proofErr w:type="gramStart"/>
      <w:r>
        <w:t>speculation.”</w:t>
      </w:r>
      <w:proofErr w:type="gramEnd"/>
      <w:r>
        <w:t xml:space="preserve"> </w:t>
      </w:r>
      <w:hyperlink r:id="rId197" w:history="1">
        <w:r w:rsidRPr="00185BEB">
          <w:rPr>
            <w:rStyle w:val="Hyperlink"/>
            <w:rFonts w:eastAsiaTheme="majorEastAsia"/>
          </w:rPr>
          <w:t>https://law.justia.com/cases/kentucky/court-of-appeals/2022/2022-ca-0258-mr.html</w:t>
        </w:r>
      </w:hyperlink>
      <w:r>
        <w:t xml:space="preserve"> </w:t>
      </w:r>
    </w:p>
    <w:p w14:paraId="7278C4F3" w14:textId="77777777" w:rsidR="00AE32D3" w:rsidRPr="002B389C" w:rsidRDefault="00AE32D3" w:rsidP="00AE32D3">
      <w:pPr>
        <w:pStyle w:val="NormalWeb"/>
        <w:rPr>
          <w:b/>
          <w:bCs/>
        </w:rPr>
      </w:pPr>
      <w:r w:rsidRPr="002B389C">
        <w:rPr>
          <w:b/>
          <w:bCs/>
        </w:rPr>
        <w:t xml:space="preserve">Legal Lesson Learned: Expert witnesses </w:t>
      </w:r>
      <w:r>
        <w:rPr>
          <w:b/>
          <w:bCs/>
        </w:rPr>
        <w:t xml:space="preserve">met </w:t>
      </w:r>
      <w:r w:rsidRPr="002B389C">
        <w:rPr>
          <w:b/>
          <w:bCs/>
        </w:rPr>
        <w:t xml:space="preserve">the standards in </w:t>
      </w:r>
      <w:r w:rsidRPr="002B389C">
        <w:rPr>
          <w:rStyle w:val="Emphasis"/>
          <w:b/>
          <w:bCs/>
        </w:rPr>
        <w:t>Daubert v. Merrell Dow Pharmaceuticals Inc</w:t>
      </w:r>
      <w:r w:rsidRPr="002B389C">
        <w:rPr>
          <w:b/>
          <w:bCs/>
        </w:rPr>
        <w:t>, 509 U.S. 579 (1993)</w:t>
      </w:r>
      <w:r>
        <w:rPr>
          <w:b/>
          <w:bCs/>
        </w:rPr>
        <w:t xml:space="preserve"> – their testimony was both relevant and reliable.</w:t>
      </w:r>
    </w:p>
    <w:p w14:paraId="518B81DA" w14:textId="77777777" w:rsidR="00AE32D3" w:rsidRDefault="00AE32D3" w:rsidP="00F326E5">
      <w:pPr>
        <w:pStyle w:val="NoSpacing"/>
        <w:rPr>
          <w:rFonts w:ascii="Arial Black" w:hAnsi="Arial Black"/>
          <w:sz w:val="24"/>
          <w:szCs w:val="24"/>
        </w:rPr>
      </w:pPr>
    </w:p>
    <w:p w14:paraId="010C3A15" w14:textId="77777777" w:rsidR="00AE32D3" w:rsidRDefault="00AE32D3" w:rsidP="00F326E5">
      <w:pPr>
        <w:pStyle w:val="NoSpacing"/>
        <w:rPr>
          <w:rFonts w:ascii="Arial Black" w:hAnsi="Arial Black"/>
          <w:sz w:val="24"/>
          <w:szCs w:val="24"/>
        </w:rPr>
      </w:pPr>
    </w:p>
    <w:p w14:paraId="69463E8C" w14:textId="77777777" w:rsidR="00AE32D3" w:rsidRDefault="00AE32D3" w:rsidP="00F326E5">
      <w:pPr>
        <w:pStyle w:val="NoSpacing"/>
        <w:rPr>
          <w:rFonts w:ascii="Arial Black" w:hAnsi="Arial Black"/>
          <w:sz w:val="24"/>
          <w:szCs w:val="24"/>
        </w:rPr>
      </w:pPr>
    </w:p>
    <w:p w14:paraId="479EB419" w14:textId="77777777" w:rsidR="00AE32D3" w:rsidRDefault="00AE32D3" w:rsidP="00F326E5">
      <w:pPr>
        <w:pStyle w:val="NoSpacing"/>
        <w:rPr>
          <w:rFonts w:ascii="Arial Black" w:hAnsi="Arial Black"/>
          <w:sz w:val="24"/>
          <w:szCs w:val="24"/>
        </w:rPr>
      </w:pPr>
    </w:p>
    <w:p w14:paraId="7A93D52D" w14:textId="3DF03813" w:rsidR="00AE32D3" w:rsidRDefault="00AE32D3" w:rsidP="00F326E5">
      <w:pPr>
        <w:pStyle w:val="NoSpacing"/>
        <w:rPr>
          <w:rFonts w:ascii="Arial Black" w:hAnsi="Arial Black"/>
          <w:sz w:val="24"/>
          <w:szCs w:val="24"/>
        </w:rPr>
      </w:pPr>
      <w:r>
        <w:rPr>
          <w:rFonts w:ascii="Arial Black" w:hAnsi="Arial Black"/>
          <w:sz w:val="24"/>
          <w:szCs w:val="24"/>
        </w:rPr>
        <w:t>1-109</w:t>
      </w:r>
    </w:p>
    <w:p w14:paraId="43A4081E" w14:textId="06D8513A" w:rsidR="00AE32D3" w:rsidRDefault="00AE32D3" w:rsidP="00F326E5">
      <w:pPr>
        <w:pStyle w:val="NoSpacing"/>
        <w:rPr>
          <w:rFonts w:ascii="Arial Black" w:hAnsi="Arial Black"/>
          <w:sz w:val="24"/>
          <w:szCs w:val="24"/>
        </w:rPr>
      </w:pPr>
    </w:p>
    <w:p w14:paraId="33B0C7E2" w14:textId="1FF0EA37" w:rsidR="00AE32D3" w:rsidRDefault="00AE32D3" w:rsidP="00F326E5">
      <w:pPr>
        <w:pStyle w:val="NoSpacing"/>
        <w:rPr>
          <w:rFonts w:ascii="Arial Black" w:hAnsi="Arial Black"/>
          <w:sz w:val="24"/>
          <w:szCs w:val="24"/>
        </w:rPr>
      </w:pPr>
    </w:p>
    <w:p w14:paraId="1946492E" w14:textId="77777777" w:rsidR="00AE32D3" w:rsidRDefault="00AE32D3" w:rsidP="00AE32D3">
      <w:pPr>
        <w:pStyle w:val="NormalWeb"/>
        <w:rPr>
          <w:rFonts w:ascii="Arial Black" w:hAnsi="Arial Black"/>
          <w:b/>
          <w:bCs/>
          <w:sz w:val="28"/>
          <w:szCs w:val="28"/>
        </w:rPr>
      </w:pPr>
      <w:r>
        <w:rPr>
          <w:rFonts w:ascii="Arial Black" w:hAnsi="Arial Black"/>
          <w:b/>
          <w:bCs/>
          <w:sz w:val="28"/>
          <w:szCs w:val="28"/>
        </w:rPr>
        <w:t>PA: SPONTANEOUS COMPUSTION – DECK STAIN, OILY RAGS ICONTAINER – SHERWIN-WILLIAMS LABEL WARNINGS</w:t>
      </w:r>
    </w:p>
    <w:p w14:paraId="38722F78" w14:textId="77777777" w:rsidR="00AE32D3" w:rsidRDefault="00AE32D3" w:rsidP="00AE32D3">
      <w:pPr>
        <w:pStyle w:val="NormalWeb"/>
      </w:pPr>
      <w:r w:rsidRPr="00DB1450">
        <w:t xml:space="preserve">On </w:t>
      </w:r>
      <w:r>
        <w:t xml:space="preserve">Nov. 10, 2022, in </w:t>
      </w:r>
      <w:r w:rsidRPr="00DB1450">
        <w:rPr>
          <w:u w:val="single"/>
        </w:rPr>
        <w:t>Scott Mains v. The Sherwin-Williams Company, d/b/a The Thompson’s Company</w:t>
      </w:r>
      <w:r>
        <w:t xml:space="preserve">, U.S. District Court Judge John M. Gallagher, U.S. District Court for Eastern District of Pennsylvania, granted the defendant’s motion for summary judgment; the label warned of the risk of spontaneous combustion.  Rags were left in metal painting cans, contrary to warnings on the label; the homeowner had never read the warnings. </w:t>
      </w:r>
    </w:p>
    <w:p w14:paraId="0F93EC8F" w14:textId="77777777" w:rsidR="00AE32D3" w:rsidRDefault="00AE32D3" w:rsidP="00AE32D3">
      <w:pPr>
        <w:pStyle w:val="NormalWeb"/>
        <w:ind w:left="600"/>
      </w:pPr>
      <w:r>
        <w:t>“Defendant asserts Plaintiffs insufficiently prove causation concerning the fire cause and origin, as well as the inadequate warnings claim because Mr. Main failed to consult any warnings on the can. The Court again finds Defendant's causation argument persuasive.</w:t>
      </w:r>
    </w:p>
    <w:p w14:paraId="38E6D4E2" w14:textId="77777777" w:rsidR="00AE32D3" w:rsidRDefault="00AE32D3" w:rsidP="00AE32D3">
      <w:pPr>
        <w:pStyle w:val="NormalWeb"/>
        <w:ind w:left="600"/>
      </w:pPr>
      <w:r>
        <w:t>***</w:t>
      </w:r>
    </w:p>
    <w:p w14:paraId="0A81BF04" w14:textId="77777777" w:rsidR="00AE32D3" w:rsidRDefault="00AE32D3" w:rsidP="00AE32D3">
      <w:pPr>
        <w:pStyle w:val="NormalWeb"/>
        <w:ind w:left="600"/>
      </w:pPr>
      <w:r>
        <w:t xml:space="preserve">The front panel also provides the following instruction: ‘Before using, carefully read CAUTIONS on back panel.’  The label's back panel provide instructions for the product's application and disposal…. Specifically addressing the possibility of spontaneous combustion, the label's back panel provides: </w:t>
      </w:r>
    </w:p>
    <w:p w14:paraId="2E89B8EC" w14:textId="77777777" w:rsidR="00AE32D3" w:rsidRPr="00A3199D" w:rsidRDefault="00AE32D3" w:rsidP="00AE32D3">
      <w:pPr>
        <w:ind w:left="1320"/>
        <w:rPr>
          <w:rFonts w:ascii="Times New Roman" w:hAnsi="Times New Roman"/>
          <w:sz w:val="24"/>
          <w:szCs w:val="24"/>
        </w:rPr>
      </w:pPr>
      <w:r w:rsidRPr="00A3199D">
        <w:rPr>
          <w:rStyle w:val="Strong"/>
          <w:rFonts w:ascii="Times New Roman" w:hAnsi="Times New Roman"/>
          <w:sz w:val="24"/>
          <w:szCs w:val="24"/>
        </w:rPr>
        <w:lastRenderedPageBreak/>
        <w:t>DANGER: Rags, steel wool, other waste soaked with this product, and I sanding residue may spontaneously catch fire if improperly discarded. Immediately place rags, steel wool, other waste soaked with this product and sanding residue in a sealed, watered, metal container. Dispose of in accordance with local fire regulations.</w:t>
      </w:r>
      <w:r w:rsidRPr="00A3199D">
        <w:rPr>
          <w:rFonts w:ascii="Times New Roman" w:hAnsi="Times New Roman"/>
          <w:sz w:val="24"/>
          <w:szCs w:val="24"/>
        </w:rPr>
        <w:t xml:space="preserve"> </w:t>
      </w:r>
    </w:p>
    <w:p w14:paraId="7487FF9C" w14:textId="77777777" w:rsidR="00AE32D3" w:rsidRDefault="00AE32D3" w:rsidP="00AE32D3">
      <w:pPr>
        <w:pStyle w:val="NormalWeb"/>
        <w:ind w:left="600"/>
      </w:pPr>
      <w:r>
        <w:t>***</w:t>
      </w:r>
    </w:p>
    <w:p w14:paraId="2066079F" w14:textId="77777777" w:rsidR="00AE32D3" w:rsidRDefault="00AE32D3" w:rsidP="00AE32D3">
      <w:pPr>
        <w:pStyle w:val="NormalWeb"/>
        <w:ind w:left="600"/>
      </w:pPr>
      <w:r>
        <w:t xml:space="preserve">Plaintiffs ask the Court to find a product is defective because it spontaneously combusted after use. But … Plaintiffs in the instant matter must provide evidence showing a defect in the wood stain's design or manufacture caused the fire at issue. And Plaintiffs have not put forward sufficient expert or circumstantial evidence to prove the product at issue caused the fire, let alone that a </w:t>
      </w:r>
      <w:r>
        <w:rPr>
          <w:rStyle w:val="Emphasis"/>
        </w:rPr>
        <w:t>defect</w:t>
      </w:r>
      <w:r>
        <w:t xml:space="preserve"> of the product at issue caused the fire. Plaintiffs minimal evidence concerning defect and causation is fatal where the alleged defect relies on the product lighting on fire.”  </w:t>
      </w:r>
      <w:hyperlink r:id="rId198" w:history="1">
        <w:r w:rsidRPr="00E92B9F">
          <w:rPr>
            <w:rStyle w:val="Hyperlink"/>
            <w:rFonts w:eastAsiaTheme="majorEastAsia"/>
          </w:rPr>
          <w:t>https://public.fastcase.com/J%2FJP6pdidelsXxEE4k%2BLMrejai%2Bw5%2BeDXQox0zGA5TAAjpgBNhW%2BTu8BKpGDyiMDLNszr4O4A0HJdAcQDg8WWefj18tLbckuVQCC3%2F5jGpg%3D?utm_medium=email&amp;_hsmi=226712652&amp;_hsenc=p2ANqtz-8ZmJA9o4nlUCIURyhETyHKM8lkOE8xo-FU4HGJipx6Boh4nCnx77GsOdK5dPH9YVtR5YzBPx6JahAT-_oeRPGcO0F8pg&amp;utm_content=226712652&amp;utm_source=hs_email</w:t>
        </w:r>
      </w:hyperlink>
      <w:r>
        <w:t xml:space="preserve"> </w:t>
      </w:r>
    </w:p>
    <w:p w14:paraId="02A2E056" w14:textId="77777777" w:rsidR="00AE32D3" w:rsidRPr="00A3199D" w:rsidRDefault="00AE32D3" w:rsidP="00AE32D3">
      <w:pPr>
        <w:pStyle w:val="NormalWeb"/>
        <w:rPr>
          <w:b/>
          <w:bCs/>
        </w:rPr>
      </w:pPr>
      <w:r w:rsidRPr="00A3199D">
        <w:rPr>
          <w:b/>
          <w:bCs/>
        </w:rPr>
        <w:t>Legal Lesson Learned:</w:t>
      </w:r>
      <w:r>
        <w:rPr>
          <w:b/>
          <w:bCs/>
        </w:rPr>
        <w:t xml:space="preserve"> Read and follow the warning label on products you purchase. </w:t>
      </w:r>
    </w:p>
    <w:p w14:paraId="785613E6" w14:textId="77777777" w:rsidR="00AE32D3" w:rsidRDefault="00AE32D3" w:rsidP="00F326E5">
      <w:pPr>
        <w:pStyle w:val="NoSpacing"/>
        <w:rPr>
          <w:rFonts w:ascii="Arial Black" w:hAnsi="Arial Black"/>
          <w:sz w:val="24"/>
          <w:szCs w:val="24"/>
        </w:rPr>
      </w:pPr>
    </w:p>
    <w:p w14:paraId="295FDDCE" w14:textId="77777777" w:rsidR="00AE32D3" w:rsidRDefault="00AE32D3" w:rsidP="00F326E5">
      <w:pPr>
        <w:pStyle w:val="NoSpacing"/>
        <w:rPr>
          <w:rFonts w:ascii="Arial Black" w:hAnsi="Arial Black"/>
          <w:sz w:val="24"/>
          <w:szCs w:val="24"/>
        </w:rPr>
      </w:pPr>
    </w:p>
    <w:p w14:paraId="187EECCC" w14:textId="77777777" w:rsidR="00AE32D3" w:rsidRDefault="00AE32D3" w:rsidP="00F326E5">
      <w:pPr>
        <w:pStyle w:val="NoSpacing"/>
        <w:rPr>
          <w:rFonts w:ascii="Arial Black" w:hAnsi="Arial Black"/>
          <w:sz w:val="24"/>
          <w:szCs w:val="24"/>
        </w:rPr>
      </w:pPr>
    </w:p>
    <w:p w14:paraId="359F16D8" w14:textId="5DCCE520" w:rsidR="00804F3A" w:rsidRDefault="00804F3A" w:rsidP="00F326E5">
      <w:pPr>
        <w:pStyle w:val="NoSpacing"/>
        <w:rPr>
          <w:rFonts w:ascii="Arial Black" w:hAnsi="Arial Black"/>
          <w:sz w:val="24"/>
          <w:szCs w:val="24"/>
        </w:rPr>
      </w:pPr>
      <w:r>
        <w:rPr>
          <w:rFonts w:ascii="Arial Black" w:hAnsi="Arial Black"/>
          <w:sz w:val="24"/>
          <w:szCs w:val="24"/>
        </w:rPr>
        <w:t>1-108</w:t>
      </w:r>
    </w:p>
    <w:p w14:paraId="02F741F9" w14:textId="62AA9FE2" w:rsidR="00804F3A" w:rsidRDefault="00804F3A" w:rsidP="00F326E5">
      <w:pPr>
        <w:pStyle w:val="NoSpacing"/>
        <w:rPr>
          <w:rFonts w:ascii="Arial Black" w:hAnsi="Arial Black"/>
          <w:sz w:val="24"/>
          <w:szCs w:val="24"/>
        </w:rPr>
      </w:pPr>
    </w:p>
    <w:p w14:paraId="7C14A80E" w14:textId="77777777" w:rsidR="00804F3A" w:rsidRPr="007B73F7" w:rsidRDefault="00804F3A" w:rsidP="00804F3A">
      <w:pPr>
        <w:pStyle w:val="NormalWeb"/>
        <w:rPr>
          <w:rFonts w:ascii="Arial Black" w:hAnsi="Arial Black"/>
          <w:sz w:val="28"/>
          <w:szCs w:val="28"/>
        </w:rPr>
      </w:pPr>
      <w:r>
        <w:rPr>
          <w:rFonts w:ascii="Arial Black" w:hAnsi="Arial Black"/>
          <w:sz w:val="28"/>
          <w:szCs w:val="28"/>
        </w:rPr>
        <w:t>MA: FIRE CHIEF SELECTION PROCESS CHANGED TO ASSESSMENT CENTER – NO NEED BARGAIN WITH UNION</w:t>
      </w:r>
    </w:p>
    <w:p w14:paraId="3F802DBA" w14:textId="77777777" w:rsidR="00804F3A" w:rsidRDefault="00804F3A" w:rsidP="00804F3A">
      <w:pPr>
        <w:pStyle w:val="NormalWeb"/>
      </w:pPr>
      <w:r w:rsidRPr="00D32866">
        <w:t xml:space="preserve">On Oct. 27, </w:t>
      </w:r>
      <w:proofErr w:type="gramStart"/>
      <w:r w:rsidRPr="00D32866">
        <w:t>2022</w:t>
      </w:r>
      <w:proofErr w:type="gramEnd"/>
      <w:r w:rsidRPr="00D32866">
        <w:t xml:space="preserve"> in </w:t>
      </w:r>
      <w:r w:rsidRPr="00D32866">
        <w:rPr>
          <w:u w:val="single"/>
        </w:rPr>
        <w:t>City of Everett v. Commonwealth Employment Relations Board</w:t>
      </w:r>
      <w:r w:rsidRPr="00D32866">
        <w:t xml:space="preserve">, </w:t>
      </w:r>
      <w:r>
        <w:t xml:space="preserve">the Appeals Court of Massachusetts held (3 to 0), unpublished opinion, that the State Board incorrectly ordered the city to collectively bargain the changes in hiring Fire Chief. In Jan. 2019, after one year of informal dialog with the union, the City proceeded with Assessment Center process; only the seven Deputy Fire Chiefs were eligible to apply. </w:t>
      </w:r>
    </w:p>
    <w:p w14:paraId="3367102A" w14:textId="77777777" w:rsidR="00804F3A" w:rsidRPr="007B73F7" w:rsidRDefault="00804F3A" w:rsidP="00804F3A">
      <w:pPr>
        <w:spacing w:before="100" w:beforeAutospacing="1" w:after="100" w:afterAutospacing="1" w:line="240" w:lineRule="auto"/>
        <w:ind w:left="720"/>
      </w:pPr>
      <w:r>
        <w:rPr>
          <w:rFonts w:ascii="Times New Roman" w:eastAsia="Times New Roman" w:hAnsi="Times New Roman"/>
          <w:sz w:val="24"/>
          <w:szCs w:val="24"/>
        </w:rPr>
        <w:t>“</w:t>
      </w:r>
      <w:r w:rsidRPr="007B73F7">
        <w:rPr>
          <w:rFonts w:ascii="Times New Roman" w:eastAsia="Times New Roman" w:hAnsi="Times New Roman"/>
          <w:sz w:val="24"/>
          <w:szCs w:val="24"/>
        </w:rPr>
        <w:t xml:space="preserve">Under those circumstances, it is incorrect to say that the processes for selecting the fire chief impact the </w:t>
      </w:r>
      <w:r>
        <w:rPr>
          <w:rFonts w:ascii="Times New Roman" w:eastAsia="Times New Roman" w:hAnsi="Times New Roman"/>
          <w:sz w:val="24"/>
          <w:szCs w:val="24"/>
        </w:rPr>
        <w:t>‘</w:t>
      </w:r>
      <w:r w:rsidRPr="007B73F7">
        <w:rPr>
          <w:rFonts w:ascii="Times New Roman" w:eastAsia="Times New Roman" w:hAnsi="Times New Roman"/>
          <w:sz w:val="24"/>
          <w:szCs w:val="24"/>
        </w:rPr>
        <w:t>terms and conditions of employment</w:t>
      </w:r>
      <w:r>
        <w:rPr>
          <w:rFonts w:ascii="Times New Roman" w:eastAsia="Times New Roman" w:hAnsi="Times New Roman"/>
          <w:sz w:val="24"/>
          <w:szCs w:val="24"/>
        </w:rPr>
        <w:t>’</w:t>
      </w:r>
      <w:r w:rsidRPr="007B73F7">
        <w:rPr>
          <w:rFonts w:ascii="Times New Roman" w:eastAsia="Times New Roman" w:hAnsi="Times New Roman"/>
          <w:sz w:val="24"/>
          <w:szCs w:val="24"/>
        </w:rPr>
        <w:t xml:space="preserve"> of the deputy fire chiefs. The selection processes for </w:t>
      </w:r>
      <w:proofErr w:type="gramStart"/>
      <w:r w:rsidRPr="007B73F7">
        <w:rPr>
          <w:rFonts w:ascii="Times New Roman" w:eastAsia="Times New Roman" w:hAnsi="Times New Roman"/>
          <w:sz w:val="24"/>
          <w:szCs w:val="24"/>
        </w:rPr>
        <w:t>chief</w:t>
      </w:r>
      <w:proofErr w:type="gramEnd"/>
      <w:r w:rsidRPr="007B73F7">
        <w:rPr>
          <w:rFonts w:ascii="Times New Roman" w:eastAsia="Times New Roman" w:hAnsi="Times New Roman"/>
          <w:sz w:val="24"/>
          <w:szCs w:val="24"/>
        </w:rPr>
        <w:t xml:space="preserve"> do not change, alter, or impose upon the current jobs of the deputy chiefs or other bargaining unit employees. Rather, the selection process has to do with the deputies' efforts to </w:t>
      </w:r>
      <w:r w:rsidRPr="007B73F7">
        <w:rPr>
          <w:rFonts w:ascii="Times New Roman" w:eastAsia="Times New Roman" w:hAnsi="Times New Roman"/>
          <w:i/>
          <w:iCs/>
          <w:sz w:val="24"/>
          <w:szCs w:val="24"/>
        </w:rPr>
        <w:t>leave</w:t>
      </w:r>
      <w:r w:rsidRPr="007B73F7">
        <w:rPr>
          <w:rFonts w:ascii="Times New Roman" w:eastAsia="Times New Roman" w:hAnsi="Times New Roman"/>
          <w:sz w:val="24"/>
          <w:szCs w:val="24"/>
        </w:rPr>
        <w:t xml:space="preserve"> the bargaining unit and to become part of management, where they would occupy a supervisory </w:t>
      </w:r>
      <w:proofErr w:type="gramStart"/>
      <w:r w:rsidRPr="007B73F7">
        <w:rPr>
          <w:rFonts w:ascii="Times New Roman" w:eastAsia="Times New Roman" w:hAnsi="Times New Roman"/>
          <w:sz w:val="24"/>
          <w:szCs w:val="24"/>
        </w:rPr>
        <w:t>and in some ways</w:t>
      </w:r>
      <w:proofErr w:type="gramEnd"/>
      <w:r w:rsidRPr="007B73F7">
        <w:rPr>
          <w:rFonts w:ascii="Times New Roman" w:eastAsia="Times New Roman" w:hAnsi="Times New Roman"/>
          <w:sz w:val="24"/>
          <w:szCs w:val="24"/>
        </w:rPr>
        <w:t xml:space="preserve"> adverse position to the bargaining unit. As the chief officer, the city's fire chief, among his or her other duties, leads the department, acts under the direction of the mayor, works with employee organizations, responds to employee grievances, assists city officials in the collective bargaining process, and is a member of the city's management team. Cf. </w:t>
      </w:r>
      <w:r w:rsidRPr="007B73F7">
        <w:rPr>
          <w:rFonts w:ascii="Times New Roman" w:eastAsia="Times New Roman" w:hAnsi="Times New Roman"/>
          <w:i/>
          <w:iCs/>
          <w:sz w:val="24"/>
          <w:szCs w:val="24"/>
        </w:rPr>
        <w:t>Harrison v. Labor Relations Comm'n</w:t>
      </w:r>
      <w:r w:rsidRPr="007B73F7">
        <w:rPr>
          <w:rFonts w:ascii="Times New Roman" w:eastAsia="Times New Roman" w:hAnsi="Times New Roman"/>
          <w:sz w:val="24"/>
          <w:szCs w:val="24"/>
        </w:rPr>
        <w:t xml:space="preserve">, 363 Mass. 548, 553 (1973) (fire chiefs participate in development of department policy and implement it on behalf of management). The board's suggestion that bargaining is required because the fire chief position is part of the </w:t>
      </w:r>
      <w:r>
        <w:rPr>
          <w:rFonts w:ascii="Times New Roman" w:eastAsia="Times New Roman" w:hAnsi="Times New Roman"/>
          <w:sz w:val="24"/>
          <w:szCs w:val="24"/>
        </w:rPr>
        <w:t>‘</w:t>
      </w:r>
      <w:r w:rsidRPr="007B73F7">
        <w:rPr>
          <w:rFonts w:ascii="Times New Roman" w:eastAsia="Times New Roman" w:hAnsi="Times New Roman"/>
          <w:sz w:val="24"/>
          <w:szCs w:val="24"/>
        </w:rPr>
        <w:t>promotional ladder</w:t>
      </w:r>
      <w:r>
        <w:rPr>
          <w:rFonts w:ascii="Times New Roman" w:eastAsia="Times New Roman" w:hAnsi="Times New Roman"/>
          <w:sz w:val="24"/>
          <w:szCs w:val="24"/>
        </w:rPr>
        <w:t>’</w:t>
      </w:r>
      <w:r w:rsidRPr="007B73F7">
        <w:rPr>
          <w:rFonts w:ascii="Times New Roman" w:eastAsia="Times New Roman" w:hAnsi="Times New Roman"/>
          <w:sz w:val="24"/>
          <w:szCs w:val="24"/>
        </w:rPr>
        <w:t xml:space="preserve"> for deputy chiefs is accordingly inapt. The promotion the deputies seek here would have them cross over to a fundamentally different job.</w:t>
      </w:r>
      <w:r>
        <w:rPr>
          <w:rFonts w:ascii="Times New Roman" w:eastAsia="Times New Roman" w:hAnsi="Times New Roman"/>
          <w:sz w:val="24"/>
          <w:szCs w:val="24"/>
        </w:rPr>
        <w:t xml:space="preserve">” </w:t>
      </w:r>
      <w:hyperlink r:id="rId199" w:history="1">
        <w:r w:rsidRPr="00671E3F">
          <w:rPr>
            <w:rStyle w:val="Hyperlink"/>
          </w:rPr>
          <w:t>https://public.fastcase.com/J%2FJP6pdidelsXxEE4k%2BLMkioZ6zkCvVA2f7m8MUdZzFChRnZ9pflbw23TgjkZYaZMPShomsfddWFkLQb1Ctqwom4ggqunMxdJpiD327M8Vc%3D?utm_medium=email&amp;_hsmi=226712652&amp;_hsenc=p2ANqtz-90P1mb2f8SYEeO6UfPTx4asdEjFOhLhRS07BbmdC1-wrC8kVAiG6jT85m4y6VmZBAFGCFSBZmuZ2NfaZLtEQDLtFBeQ&amp;utm_content=226712652&amp;utm_source=hs_email</w:t>
        </w:r>
      </w:hyperlink>
      <w:r>
        <w:t xml:space="preserve"> </w:t>
      </w:r>
    </w:p>
    <w:p w14:paraId="1F0CB0C6" w14:textId="77777777" w:rsidR="00804F3A" w:rsidRPr="00D32866" w:rsidRDefault="00804F3A" w:rsidP="00804F3A">
      <w:pPr>
        <w:pStyle w:val="NormalWeb"/>
        <w:rPr>
          <w:b/>
          <w:bCs/>
        </w:rPr>
      </w:pPr>
      <w:r w:rsidRPr="00D32866">
        <w:rPr>
          <w:b/>
          <w:bCs/>
        </w:rPr>
        <w:t xml:space="preserve">Legal Lesson Learned: </w:t>
      </w:r>
      <w:r>
        <w:rPr>
          <w:b/>
          <w:bCs/>
        </w:rPr>
        <w:t xml:space="preserve">A change in the hiring process for Fire Chief did not impact terms and conditions of employment of union members. </w:t>
      </w:r>
    </w:p>
    <w:p w14:paraId="46C4844F" w14:textId="77777777" w:rsidR="00804F3A" w:rsidRDefault="00804F3A" w:rsidP="00F326E5">
      <w:pPr>
        <w:pStyle w:val="NoSpacing"/>
        <w:rPr>
          <w:rFonts w:ascii="Arial Black" w:hAnsi="Arial Black"/>
          <w:sz w:val="24"/>
          <w:szCs w:val="24"/>
        </w:rPr>
      </w:pPr>
    </w:p>
    <w:p w14:paraId="277DCC10" w14:textId="77777777" w:rsidR="00804F3A" w:rsidRDefault="00804F3A" w:rsidP="00F326E5">
      <w:pPr>
        <w:pStyle w:val="NoSpacing"/>
        <w:rPr>
          <w:rFonts w:ascii="Arial Black" w:hAnsi="Arial Black"/>
          <w:sz w:val="24"/>
          <w:szCs w:val="24"/>
        </w:rPr>
      </w:pPr>
    </w:p>
    <w:p w14:paraId="46C73A39" w14:textId="77777777" w:rsidR="00804F3A" w:rsidRDefault="00804F3A" w:rsidP="00F326E5">
      <w:pPr>
        <w:pStyle w:val="NoSpacing"/>
        <w:rPr>
          <w:rFonts w:ascii="Arial Black" w:hAnsi="Arial Black"/>
          <w:sz w:val="24"/>
          <w:szCs w:val="24"/>
        </w:rPr>
      </w:pPr>
    </w:p>
    <w:p w14:paraId="453EA59D" w14:textId="200A50B7" w:rsidR="00E8117B" w:rsidRDefault="00E8117B" w:rsidP="00F326E5">
      <w:pPr>
        <w:pStyle w:val="NoSpacing"/>
        <w:rPr>
          <w:rFonts w:ascii="Arial Black" w:hAnsi="Arial Black"/>
          <w:sz w:val="24"/>
          <w:szCs w:val="24"/>
        </w:rPr>
      </w:pPr>
      <w:r>
        <w:rPr>
          <w:rFonts w:ascii="Arial Black" w:hAnsi="Arial Black"/>
          <w:sz w:val="24"/>
          <w:szCs w:val="24"/>
        </w:rPr>
        <w:t>1-107</w:t>
      </w:r>
    </w:p>
    <w:p w14:paraId="5863698D" w14:textId="78D519FD" w:rsidR="00E8117B" w:rsidRDefault="00E8117B" w:rsidP="00F326E5">
      <w:pPr>
        <w:pStyle w:val="NoSpacing"/>
        <w:rPr>
          <w:rFonts w:ascii="Arial Black" w:hAnsi="Arial Black"/>
          <w:sz w:val="24"/>
          <w:szCs w:val="24"/>
        </w:rPr>
      </w:pPr>
    </w:p>
    <w:p w14:paraId="657F085E" w14:textId="77777777" w:rsidR="00E8117B" w:rsidRDefault="00E8117B" w:rsidP="00E8117B">
      <w:pPr>
        <w:pStyle w:val="NormalWeb"/>
        <w:rPr>
          <w:rFonts w:ascii="Arial Black" w:hAnsi="Arial Black"/>
          <w:b/>
          <w:bCs/>
          <w:sz w:val="28"/>
          <w:szCs w:val="28"/>
        </w:rPr>
      </w:pPr>
      <w:r>
        <w:rPr>
          <w:rFonts w:ascii="Arial Black" w:hAnsi="Arial Black"/>
          <w:b/>
          <w:bCs/>
          <w:sz w:val="28"/>
          <w:szCs w:val="28"/>
        </w:rPr>
        <w:t xml:space="preserve">MI: DRONE VIDEO OF JUNK YARD – NO ADMINISTRATIVE SEARCH WARRANT – MOTION TO SUPPRESS DENIED </w:t>
      </w:r>
    </w:p>
    <w:p w14:paraId="5570DB5C" w14:textId="77777777" w:rsidR="00E8117B" w:rsidRDefault="00E8117B" w:rsidP="00E8117B">
      <w:pPr>
        <w:pStyle w:val="NormalWeb"/>
      </w:pPr>
      <w:r>
        <w:t xml:space="preserve">On Sept. 15, 2022, in </w:t>
      </w:r>
      <w:r>
        <w:rPr>
          <w:u w:val="single"/>
        </w:rPr>
        <w:t>Long Lake Township v. Todd Maxon and Heather Maxon</w:t>
      </w:r>
      <w:r>
        <w:t xml:space="preserve">, the Court of Appeals of Michigan held (2 to1) that trial court judge properly denied the property owner’s motion to suppress aerial photographs taken by Long Lake Township using a drone without the </w:t>
      </w:r>
      <w:proofErr w:type="spellStart"/>
      <w:r>
        <w:t>Maxons</w:t>
      </w:r>
      <w:proofErr w:type="spellEnd"/>
      <w:r>
        <w:t xml:space="preserve">' permission, a warrant, or any other legal authorization.  </w:t>
      </w:r>
    </w:p>
    <w:p w14:paraId="659C30C3" w14:textId="77777777" w:rsidR="00E8117B" w:rsidRDefault="00E8117B" w:rsidP="00E8117B">
      <w:pPr>
        <w:pStyle w:val="NormalWeb"/>
        <w:ind w:left="720"/>
      </w:pPr>
      <w:r>
        <w:t xml:space="preserve">“The township relied on these photos to support a civil action against the </w:t>
      </w:r>
      <w:proofErr w:type="spellStart"/>
      <w:r>
        <w:t>Maxons</w:t>
      </w:r>
      <w:proofErr w:type="spellEnd"/>
      <w:r>
        <w:t xml:space="preserve"> for violating a zoning ordinance, creating a nuisance, and breaching a previous settlement agreement…. The exclusionary rule does not apply in this civil matter. Accordingly, even if the township violated the </w:t>
      </w:r>
      <w:proofErr w:type="spellStart"/>
      <w:r>
        <w:t>Maxons</w:t>
      </w:r>
      <w:proofErr w:type="spellEnd"/>
      <w:r>
        <w:t xml:space="preserve">' constitutional rights, suppression was not supported. We affirm the lower court's order.” </w:t>
      </w:r>
      <w:hyperlink r:id="rId200" w:history="1">
        <w:r>
          <w:rPr>
            <w:rStyle w:val="Hyperlink"/>
          </w:rPr>
          <w:t>https://caselaw.findlaw.com/mi-court-of-appeals/1912425.html</w:t>
        </w:r>
      </w:hyperlink>
      <w:r>
        <w:t xml:space="preserve"> </w:t>
      </w:r>
    </w:p>
    <w:p w14:paraId="406921BF" w14:textId="77777777" w:rsidR="00E8117B" w:rsidRDefault="00E8117B" w:rsidP="00E8117B">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use of drones to enforce nuisance ordinance is a hot topic. Avoid unnecessary litigation, get an administrative search warrant prior to flying drone over the nuisance property. </w:t>
      </w:r>
    </w:p>
    <w:p w14:paraId="225301F6" w14:textId="77777777" w:rsidR="00E8117B" w:rsidRDefault="00E8117B" w:rsidP="00F326E5">
      <w:pPr>
        <w:pStyle w:val="NoSpacing"/>
        <w:rPr>
          <w:rFonts w:ascii="Arial Black" w:hAnsi="Arial Black"/>
          <w:sz w:val="24"/>
          <w:szCs w:val="24"/>
        </w:rPr>
      </w:pPr>
    </w:p>
    <w:p w14:paraId="14D14521" w14:textId="77777777" w:rsidR="00E8117B" w:rsidRDefault="00E8117B" w:rsidP="00F326E5">
      <w:pPr>
        <w:pStyle w:val="NoSpacing"/>
        <w:rPr>
          <w:rFonts w:ascii="Arial Black" w:hAnsi="Arial Black"/>
          <w:sz w:val="24"/>
          <w:szCs w:val="24"/>
        </w:rPr>
      </w:pPr>
    </w:p>
    <w:p w14:paraId="3303EF4E" w14:textId="0F6445AA" w:rsidR="00D5141D" w:rsidRDefault="00D5141D" w:rsidP="00F326E5">
      <w:pPr>
        <w:pStyle w:val="NoSpacing"/>
        <w:rPr>
          <w:rFonts w:ascii="Arial Black" w:hAnsi="Arial Black"/>
          <w:sz w:val="24"/>
          <w:szCs w:val="24"/>
        </w:rPr>
      </w:pPr>
      <w:r>
        <w:rPr>
          <w:rFonts w:ascii="Arial Black" w:hAnsi="Arial Black"/>
          <w:sz w:val="24"/>
          <w:szCs w:val="24"/>
        </w:rPr>
        <w:t>1-106</w:t>
      </w:r>
    </w:p>
    <w:p w14:paraId="0CC5C889" w14:textId="1AAAF53B" w:rsidR="00D5141D" w:rsidRDefault="00D5141D" w:rsidP="00F326E5">
      <w:pPr>
        <w:pStyle w:val="NoSpacing"/>
        <w:rPr>
          <w:rFonts w:ascii="Arial Black" w:hAnsi="Arial Black"/>
          <w:sz w:val="24"/>
          <w:szCs w:val="24"/>
        </w:rPr>
      </w:pPr>
    </w:p>
    <w:p w14:paraId="18CAC21A" w14:textId="77777777" w:rsidR="00D5141D" w:rsidRPr="002441FA" w:rsidRDefault="00D5141D" w:rsidP="00D5141D">
      <w:pPr>
        <w:pStyle w:val="NormalWeb"/>
        <w:rPr>
          <w:rStyle w:val="markedcontent"/>
          <w:rFonts w:ascii="Arial Black" w:hAnsi="Arial Black"/>
          <w:sz w:val="28"/>
          <w:szCs w:val="28"/>
        </w:rPr>
      </w:pPr>
      <w:r>
        <w:rPr>
          <w:rStyle w:val="markedcontent"/>
          <w:rFonts w:ascii="Arial Black" w:hAnsi="Arial Black"/>
          <w:sz w:val="28"/>
          <w:szCs w:val="28"/>
        </w:rPr>
        <w:t xml:space="preserve">OH: STOPPED TRAINS BLOCKING AMBULANCES – HONDA PLANT MARYSVILLE – CAN’T ENFORCE, FED. STATUTE  </w:t>
      </w:r>
    </w:p>
    <w:p w14:paraId="3585147F" w14:textId="7BF32E82" w:rsidR="00D5141D" w:rsidRDefault="00D5141D" w:rsidP="00D5141D">
      <w:pPr>
        <w:pStyle w:val="NormalWeb"/>
        <w:rPr>
          <w:rStyle w:val="markedcontent"/>
        </w:rPr>
      </w:pPr>
      <w:r>
        <w:rPr>
          <w:rStyle w:val="markedcontent"/>
        </w:rPr>
        <w:t xml:space="preserve">On Aug. 17, 2022, in </w:t>
      </w:r>
      <w:r w:rsidRPr="003748FC">
        <w:rPr>
          <w:rStyle w:val="markedcontent"/>
          <w:u w:val="single"/>
        </w:rPr>
        <w:t>The State of Ohio v. CSX Transportation, Inc</w:t>
      </w:r>
      <w:r>
        <w:rPr>
          <w:rStyle w:val="markedcontent"/>
        </w:rPr>
        <w:t xml:space="preserve">., </w:t>
      </w:r>
      <w:r w:rsidRPr="005A3C5F">
        <w:rPr>
          <w:rStyle w:val="markedcontent"/>
        </w:rPr>
        <w:t>Slip Opinion No. 2022-Ohio-2832</w:t>
      </w:r>
      <w:r>
        <w:rPr>
          <w:rStyle w:val="markedcontent"/>
        </w:rPr>
        <w:t xml:space="preserve">, the Ohio Supreme Court held (5 to 2) that federal law prohibits enforcement of state statute imposing $1,000 fine.  </w:t>
      </w:r>
      <w:r w:rsidRPr="007242C6">
        <w:rPr>
          <w:rStyle w:val="markedcontent"/>
        </w:rPr>
        <w:t xml:space="preserve">In 2018, the state charged CSX </w:t>
      </w:r>
      <w:r>
        <w:rPr>
          <w:rStyle w:val="markedcontent"/>
        </w:rPr>
        <w:t xml:space="preserve">on five occasions </w:t>
      </w:r>
      <w:r w:rsidRPr="007242C6">
        <w:rPr>
          <w:rStyle w:val="markedcontent"/>
        </w:rPr>
        <w:t xml:space="preserve">with violating </w:t>
      </w:r>
      <w:r>
        <w:rPr>
          <w:rStyle w:val="markedcontent"/>
        </w:rPr>
        <w:t xml:space="preserve">Ohio </w:t>
      </w:r>
      <w:r w:rsidRPr="007242C6">
        <w:rPr>
          <w:rStyle w:val="markedcontent"/>
        </w:rPr>
        <w:t>R.C. 5589.21</w:t>
      </w:r>
      <w:r>
        <w:rPr>
          <w:rStyle w:val="markedcontent"/>
        </w:rPr>
        <w:t xml:space="preserve"> [maximum of five minutes blocking] for blocking roadways for 45 minutes to one hour near the Honda plant, but the trial court judge in Marysville Municipal Court dismissed the charges. The Court of Appeals reversed, and CSX appealed to Ohio Supreme Court which agreed with trial court. “</w:t>
      </w:r>
      <w:r w:rsidRPr="007242C6">
        <w:rPr>
          <w:rStyle w:val="markedcontent"/>
        </w:rPr>
        <w:t>We acknowledge the significant danger to the public that is created</w:t>
      </w:r>
      <w:r>
        <w:rPr>
          <w:rStyle w:val="markedcontent"/>
        </w:rPr>
        <w:t xml:space="preserve"> </w:t>
      </w:r>
      <w:r w:rsidRPr="007242C6">
        <w:rPr>
          <w:rStyle w:val="markedcontent"/>
        </w:rPr>
        <w:t>when stopped trains obstruct the movement of first responders across railroad</w:t>
      </w:r>
      <w:r>
        <w:rPr>
          <w:rStyle w:val="markedcontent"/>
        </w:rPr>
        <w:t xml:space="preserve"> </w:t>
      </w:r>
      <w:r w:rsidRPr="007242C6">
        <w:rPr>
          <w:rStyle w:val="markedcontent"/>
        </w:rPr>
        <w:t>tracks. However, the regulation of railroad transportation is a matter of federal law,</w:t>
      </w:r>
      <w:r>
        <w:rPr>
          <w:rStyle w:val="markedcontent"/>
        </w:rPr>
        <w:t xml:space="preserve"> </w:t>
      </w:r>
      <w:r w:rsidRPr="007242C6">
        <w:rPr>
          <w:rStyle w:val="markedcontent"/>
        </w:rPr>
        <w:t xml:space="preserve">and the federal government alone has the power </w:t>
      </w:r>
      <w:r w:rsidRPr="007242C6">
        <w:rPr>
          <w:rStyle w:val="markedcontent"/>
        </w:rPr>
        <w:lastRenderedPageBreak/>
        <w:t>to address the threat to public</w:t>
      </w:r>
      <w:r>
        <w:rPr>
          <w:rStyle w:val="markedcontent"/>
        </w:rPr>
        <w:t xml:space="preserve"> </w:t>
      </w:r>
      <w:r w:rsidRPr="007242C6">
        <w:rPr>
          <w:rStyle w:val="markedcontent"/>
        </w:rPr>
        <w:t>safety caused by blocked crossings. Because R.C. 5589.21 is preempted, it cannot</w:t>
      </w:r>
      <w:r>
        <w:rPr>
          <w:rStyle w:val="markedcontent"/>
        </w:rPr>
        <w:t xml:space="preserve"> </w:t>
      </w:r>
      <w:r w:rsidRPr="007242C6">
        <w:rPr>
          <w:rStyle w:val="markedcontent"/>
        </w:rPr>
        <w:t>be enforced against CSX. The trial court correctly dismissed the charges in this</w:t>
      </w:r>
      <w:r>
        <w:rPr>
          <w:rStyle w:val="markedcontent"/>
        </w:rPr>
        <w:t xml:space="preserve"> </w:t>
      </w:r>
      <w:r w:rsidRPr="007242C6">
        <w:rPr>
          <w:rStyle w:val="markedcontent"/>
        </w:rPr>
        <w:t>case.</w:t>
      </w:r>
      <w:r>
        <w:rPr>
          <w:rStyle w:val="markedcontent"/>
        </w:rPr>
        <w:t xml:space="preserve">” </w:t>
      </w:r>
      <w:hyperlink r:id="rId201" w:history="1">
        <w:r w:rsidRPr="00D270FB">
          <w:rPr>
            <w:rStyle w:val="Hyperlink"/>
            <w:rFonts w:eastAsiaTheme="majorEastAsia"/>
          </w:rPr>
          <w:t>https://www.supremecourt.ohio.gov/rod/docs/pdf/0/2022/2022-Ohio-2832.pdf</w:t>
        </w:r>
      </w:hyperlink>
      <w:r>
        <w:rPr>
          <w:rStyle w:val="markedcontent"/>
        </w:rPr>
        <w:t xml:space="preserve"> </w:t>
      </w:r>
    </w:p>
    <w:p w14:paraId="2DB8423F" w14:textId="77777777" w:rsidR="00D5141D" w:rsidRPr="00A516F8" w:rsidRDefault="00D5141D" w:rsidP="00D5141D">
      <w:pPr>
        <w:pStyle w:val="NormalWeb"/>
        <w:rPr>
          <w:b/>
          <w:bCs/>
        </w:rPr>
      </w:pPr>
      <w:r w:rsidRPr="00A516F8">
        <w:rPr>
          <w:b/>
          <w:bCs/>
        </w:rPr>
        <w:t xml:space="preserve">Legal Lesson Learned: </w:t>
      </w:r>
      <w:r>
        <w:rPr>
          <w:b/>
          <w:bCs/>
        </w:rPr>
        <w:t xml:space="preserve">This case illustrates the power of railroad lobbyists to influence Congress in passing a statute that preempts state laws. </w:t>
      </w:r>
    </w:p>
    <w:p w14:paraId="10D23C43" w14:textId="77777777" w:rsidR="00D5141D" w:rsidRPr="006A5641" w:rsidRDefault="00D5141D" w:rsidP="00D5141D">
      <w:pPr>
        <w:pStyle w:val="NormalWeb"/>
        <w:ind w:left="720"/>
      </w:pPr>
      <w:r>
        <w:t xml:space="preserve">Note:  See article - </w:t>
      </w:r>
      <w:r w:rsidRPr="006A5641">
        <w:t xml:space="preserve">Aug. 17, 2022: OH - No More Punishment </w:t>
      </w:r>
      <w:proofErr w:type="gramStart"/>
      <w:r w:rsidRPr="006A5641">
        <w:t>For</w:t>
      </w:r>
      <w:proofErr w:type="gramEnd"/>
      <w:r w:rsidRPr="006A5641">
        <w:t xml:space="preserve"> Trains Blocking Crossings </w:t>
      </w:r>
      <w:proofErr w:type="gramStart"/>
      <w:r w:rsidRPr="006A5641">
        <w:t>In</w:t>
      </w:r>
      <w:proofErr w:type="gramEnd"/>
      <w:r w:rsidRPr="006A5641">
        <w:t xml:space="preserve"> Ohio.</w:t>
      </w:r>
      <w:r>
        <w:t xml:space="preserve">” </w:t>
      </w:r>
      <w:hyperlink r:id="rId202" w:history="1">
        <w:r w:rsidRPr="006A5641">
          <w:rPr>
            <w:rStyle w:val="Hyperlink"/>
            <w:rFonts w:eastAsiaTheme="majorEastAsia"/>
          </w:rPr>
          <w:t>https://local12.com/news/local/blocked-railroad-crossings-ohio-supreme-court-ruling-no-more-fines-trains-safety-butler-county-lockland-emergencies-csx-transportation-anti-blocking-law-federal-railroad-administration-cincinnati-local-12-wkrc-tristate-ohio-kentucky-indiana-news</w:t>
        </w:r>
      </w:hyperlink>
      <w:r w:rsidRPr="006A5641">
        <w:t xml:space="preserve"> </w:t>
      </w:r>
    </w:p>
    <w:p w14:paraId="6C5E93DB" w14:textId="77777777" w:rsidR="00D5141D" w:rsidRPr="00214856" w:rsidRDefault="00D5141D" w:rsidP="00D5141D">
      <w:pPr>
        <w:pStyle w:val="Heading1"/>
        <w:ind w:left="720"/>
        <w:rPr>
          <w:b w:val="0"/>
          <w:bCs w:val="0"/>
          <w:sz w:val="24"/>
          <w:szCs w:val="24"/>
        </w:rPr>
      </w:pPr>
      <w:r w:rsidRPr="00214856">
        <w:rPr>
          <w:b w:val="0"/>
          <w:bCs w:val="0"/>
          <w:sz w:val="24"/>
          <w:szCs w:val="24"/>
        </w:rPr>
        <w:t xml:space="preserve">See also Ohio Revised Code: Section 5589.21 </w:t>
      </w:r>
      <w:r w:rsidRPr="00214856">
        <w:rPr>
          <w:rStyle w:val="codes-separator"/>
          <w:b w:val="0"/>
          <w:bCs w:val="0"/>
          <w:sz w:val="24"/>
          <w:szCs w:val="24"/>
        </w:rPr>
        <w:t>|</w:t>
      </w:r>
      <w:r w:rsidRPr="00214856">
        <w:rPr>
          <w:b w:val="0"/>
          <w:bCs w:val="0"/>
          <w:sz w:val="24"/>
          <w:szCs w:val="24"/>
        </w:rPr>
        <w:t xml:space="preserve"> Obstruction of roads by railroads. </w:t>
      </w:r>
      <w:hyperlink r:id="rId203" w:anchor=":~:text=(A)%20No%20railroad%20company%20shall,passing%20along%20or%20upon%20such" w:history="1">
        <w:r w:rsidRPr="00214856">
          <w:rPr>
            <w:rStyle w:val="Hyperlink"/>
            <w:rFonts w:eastAsiaTheme="majorEastAsia"/>
            <w:b w:val="0"/>
            <w:bCs w:val="0"/>
            <w:sz w:val="24"/>
            <w:szCs w:val="24"/>
          </w:rPr>
          <w:t>https://codes.ohio.gov/ohio-revised-code/section-5589.21#:~:text=(A)%20No%20railroad%20company%20shall,passing%20along%20or%20upon%20such</w:t>
        </w:r>
      </w:hyperlink>
      <w:r w:rsidRPr="00214856">
        <w:rPr>
          <w:b w:val="0"/>
          <w:bCs w:val="0"/>
          <w:sz w:val="24"/>
          <w:szCs w:val="24"/>
        </w:rPr>
        <w:t xml:space="preserve"> </w:t>
      </w:r>
    </w:p>
    <w:p w14:paraId="2B8E9A86" w14:textId="77777777" w:rsidR="00D5141D" w:rsidRDefault="00D5141D" w:rsidP="00F326E5">
      <w:pPr>
        <w:pStyle w:val="NoSpacing"/>
        <w:rPr>
          <w:rFonts w:ascii="Arial Black" w:hAnsi="Arial Black"/>
          <w:sz w:val="24"/>
          <w:szCs w:val="24"/>
        </w:rPr>
      </w:pPr>
    </w:p>
    <w:p w14:paraId="5E7373F9" w14:textId="77777777" w:rsidR="00D5141D" w:rsidRDefault="00D5141D" w:rsidP="00F326E5">
      <w:pPr>
        <w:pStyle w:val="NoSpacing"/>
        <w:rPr>
          <w:rFonts w:ascii="Arial Black" w:hAnsi="Arial Black"/>
          <w:sz w:val="24"/>
          <w:szCs w:val="24"/>
        </w:rPr>
      </w:pPr>
    </w:p>
    <w:p w14:paraId="24B16D64" w14:textId="77777777" w:rsidR="00D5141D" w:rsidRDefault="00D5141D" w:rsidP="00F326E5">
      <w:pPr>
        <w:pStyle w:val="NoSpacing"/>
        <w:rPr>
          <w:rFonts w:ascii="Arial Black" w:hAnsi="Arial Black"/>
          <w:sz w:val="24"/>
          <w:szCs w:val="24"/>
        </w:rPr>
      </w:pPr>
    </w:p>
    <w:p w14:paraId="08B8A70A" w14:textId="0E350FF2" w:rsidR="006D2C51" w:rsidRDefault="006D2C51" w:rsidP="00F326E5">
      <w:pPr>
        <w:pStyle w:val="NoSpacing"/>
        <w:rPr>
          <w:rFonts w:ascii="Arial Black" w:hAnsi="Arial Black"/>
          <w:sz w:val="24"/>
          <w:szCs w:val="24"/>
        </w:rPr>
      </w:pPr>
      <w:r>
        <w:rPr>
          <w:rFonts w:ascii="Arial Black" w:hAnsi="Arial Black"/>
          <w:sz w:val="24"/>
          <w:szCs w:val="24"/>
        </w:rPr>
        <w:t>1-105</w:t>
      </w:r>
    </w:p>
    <w:p w14:paraId="3347D185" w14:textId="3FF365A1" w:rsidR="006D2C51" w:rsidRDefault="006D2C51" w:rsidP="00F326E5">
      <w:pPr>
        <w:pStyle w:val="NoSpacing"/>
        <w:rPr>
          <w:rFonts w:ascii="Arial Black" w:hAnsi="Arial Black"/>
          <w:sz w:val="24"/>
          <w:szCs w:val="24"/>
        </w:rPr>
      </w:pPr>
    </w:p>
    <w:p w14:paraId="3746E794" w14:textId="1049C11B" w:rsidR="006D2C51" w:rsidRPr="00825136" w:rsidRDefault="006D2C51" w:rsidP="006D2C5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PA: ARSON – TENANT 3 MONTHS BEHIND ON HIS RENT -</w:t>
      </w:r>
      <w:r w:rsidR="004432C8">
        <w:rPr>
          <w:rFonts w:ascii="Arial Black" w:eastAsia="Times New Roman" w:hAnsi="Arial Black"/>
          <w:sz w:val="28"/>
          <w:szCs w:val="28"/>
        </w:rPr>
        <w:t xml:space="preserve"> </w:t>
      </w:r>
      <w:r>
        <w:rPr>
          <w:rFonts w:ascii="Arial Black" w:eastAsia="Times New Roman" w:hAnsi="Arial Black"/>
          <w:sz w:val="28"/>
          <w:szCs w:val="28"/>
        </w:rPr>
        <w:t>EVICTED DAY OF FIRE IN HIS ROOM – CONV. UPHELD</w:t>
      </w:r>
    </w:p>
    <w:p w14:paraId="4D530659" w14:textId="77777777" w:rsidR="00A40065" w:rsidRDefault="006D2C51" w:rsidP="006D2C51">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July 5, 2022, in </w:t>
      </w:r>
      <w:r w:rsidRPr="00825136">
        <w:rPr>
          <w:rFonts w:ascii="Times New Roman" w:eastAsia="Times New Roman" w:hAnsi="Times New Roman"/>
          <w:sz w:val="24"/>
          <w:szCs w:val="24"/>
          <w:u w:val="single"/>
        </w:rPr>
        <w:t>Commonwealth of Pennsylvania v. Wesley Wise</w:t>
      </w:r>
      <w:r>
        <w:rPr>
          <w:rFonts w:ascii="Times New Roman" w:eastAsia="Times New Roman" w:hAnsi="Times New Roman"/>
          <w:sz w:val="24"/>
          <w:szCs w:val="24"/>
        </w:rPr>
        <w:t xml:space="preserve">, the Superior Court of Pennsylvania held (3 to 0) in non-precedential decision, that conviction by trial judge after a bench trial [no jury] is affirmed.  Circumstantial evidence is sufficient to </w:t>
      </w:r>
      <w:proofErr w:type="gramStart"/>
      <w:r>
        <w:rPr>
          <w:rFonts w:ascii="Times New Roman" w:eastAsia="Times New Roman" w:hAnsi="Times New Roman"/>
          <w:sz w:val="24"/>
          <w:szCs w:val="24"/>
        </w:rPr>
        <w:t>convict for</w:t>
      </w:r>
      <w:proofErr w:type="gramEnd"/>
      <w:r>
        <w:rPr>
          <w:rFonts w:ascii="Times New Roman" w:eastAsia="Times New Roman" w:hAnsi="Times New Roman"/>
          <w:sz w:val="24"/>
          <w:szCs w:val="24"/>
        </w:rPr>
        <w:t xml:space="preserve"> arson. “</w:t>
      </w:r>
      <w:r w:rsidRPr="00073F76">
        <w:rPr>
          <w:rFonts w:ascii="Times New Roman" w:hAnsi="Times New Roman"/>
          <w:sz w:val="24"/>
          <w:szCs w:val="24"/>
        </w:rPr>
        <w:t xml:space="preserve">Direct evidence is not required. </w:t>
      </w:r>
      <w:r>
        <w:rPr>
          <w:rFonts w:ascii="Times New Roman" w:hAnsi="Times New Roman"/>
          <w:sz w:val="24"/>
          <w:szCs w:val="24"/>
        </w:rPr>
        <w:t>‘</w:t>
      </w:r>
      <w:r w:rsidRPr="00073F76">
        <w:rPr>
          <w:rFonts w:ascii="Times New Roman" w:hAnsi="Times New Roman"/>
          <w:sz w:val="24"/>
          <w:szCs w:val="24"/>
        </w:rPr>
        <w:t>[P]roof of guilt especially in arson cases, may be established [through] circumstantial evidence.</w:t>
      </w:r>
      <w:r>
        <w:rPr>
          <w:rFonts w:ascii="Times New Roman" w:hAnsi="Times New Roman"/>
          <w:sz w:val="24"/>
          <w:szCs w:val="24"/>
        </w:rPr>
        <w:t>’</w:t>
      </w:r>
      <w:r w:rsidRPr="00073F76">
        <w:rPr>
          <w:rFonts w:ascii="Times New Roman" w:hAnsi="Times New Roman"/>
          <w:sz w:val="24"/>
          <w:szCs w:val="24"/>
        </w:rPr>
        <w:t xml:space="preserve"> </w:t>
      </w:r>
      <w:r w:rsidRPr="00073F76">
        <w:rPr>
          <w:rStyle w:val="Emphasis"/>
          <w:rFonts w:ascii="Times New Roman" w:hAnsi="Times New Roman"/>
          <w:sz w:val="24"/>
          <w:szCs w:val="24"/>
        </w:rPr>
        <w:t>Commonwealth v. Counterman</w:t>
      </w:r>
      <w:r w:rsidRPr="00073F76">
        <w:rPr>
          <w:rFonts w:ascii="Times New Roman" w:hAnsi="Times New Roman"/>
          <w:sz w:val="24"/>
          <w:szCs w:val="24"/>
        </w:rPr>
        <w:t>, 719 A.2d 284 (Pa. 1998) (</w:t>
      </w:r>
      <w:r w:rsidRPr="00073F76">
        <w:rPr>
          <w:rStyle w:val="Emphasis"/>
          <w:rFonts w:ascii="Times New Roman" w:hAnsi="Times New Roman"/>
          <w:sz w:val="24"/>
          <w:szCs w:val="24"/>
        </w:rPr>
        <w:t>quoting Commonwealth v. DiNicola</w:t>
      </w:r>
      <w:r w:rsidRPr="00073F76">
        <w:rPr>
          <w:rFonts w:ascii="Times New Roman" w:hAnsi="Times New Roman"/>
          <w:sz w:val="24"/>
          <w:szCs w:val="24"/>
        </w:rPr>
        <w:t xml:space="preserve">, 468 A.2d 1078, 1081 (Pa. 1983). </w:t>
      </w:r>
      <w:r>
        <w:rPr>
          <w:rFonts w:ascii="Times New Roman" w:hAnsi="Times New Roman"/>
          <w:sz w:val="24"/>
          <w:szCs w:val="24"/>
        </w:rPr>
        <w:t>‘</w:t>
      </w:r>
      <w:r w:rsidRPr="00073F76">
        <w:rPr>
          <w:rFonts w:ascii="Times New Roman" w:hAnsi="Times New Roman"/>
          <w:sz w:val="24"/>
          <w:szCs w:val="24"/>
        </w:rPr>
        <w:t>[A]</w:t>
      </w:r>
      <w:proofErr w:type="spellStart"/>
      <w:proofErr w:type="gramStart"/>
      <w:r w:rsidRPr="00073F76">
        <w:rPr>
          <w:rFonts w:ascii="Times New Roman" w:hAnsi="Times New Roman"/>
          <w:sz w:val="24"/>
          <w:szCs w:val="24"/>
        </w:rPr>
        <w:t>rson</w:t>
      </w:r>
      <w:proofErr w:type="spellEnd"/>
      <w:proofErr w:type="gramEnd"/>
      <w:r w:rsidRPr="00073F76">
        <w:rPr>
          <w:rFonts w:ascii="Times New Roman" w:hAnsi="Times New Roman"/>
          <w:sz w:val="24"/>
          <w:szCs w:val="24"/>
        </w:rPr>
        <w:t>, by its very nature, is rarely committed in the presence of others, and a refusal to convict on circumstantial evidence alone would be tantamount to an invitation to commit the crime.</w:t>
      </w:r>
      <w:r>
        <w:rPr>
          <w:rFonts w:ascii="Times New Roman" w:hAnsi="Times New Roman"/>
          <w:sz w:val="24"/>
          <w:szCs w:val="24"/>
        </w:rPr>
        <w:t>’</w:t>
      </w:r>
      <w:r w:rsidRPr="00073F76">
        <w:rPr>
          <w:rFonts w:ascii="Times New Roman" w:hAnsi="Times New Roman"/>
          <w:sz w:val="24"/>
          <w:szCs w:val="24"/>
        </w:rPr>
        <w:t xml:space="preserve"> </w:t>
      </w:r>
      <w:r w:rsidRPr="00073F76">
        <w:rPr>
          <w:rStyle w:val="Emphasis"/>
          <w:rFonts w:ascii="Times New Roman" w:hAnsi="Times New Roman"/>
          <w:sz w:val="24"/>
          <w:szCs w:val="24"/>
        </w:rPr>
        <w:t>Commonwealth v. Colon</w:t>
      </w:r>
      <w:r w:rsidRPr="00073F76">
        <w:rPr>
          <w:rFonts w:ascii="Times New Roman" w:hAnsi="Times New Roman"/>
          <w:sz w:val="24"/>
          <w:szCs w:val="24"/>
        </w:rPr>
        <w:t>, 399 A.2d 1068, 1073 (Pa. Super. 1979).</w:t>
      </w:r>
      <w:r>
        <w:rPr>
          <w:rFonts w:ascii="Times New Roman" w:hAnsi="Times New Roman"/>
          <w:sz w:val="24"/>
          <w:szCs w:val="24"/>
        </w:rPr>
        <w:t xml:space="preserve"> *** </w:t>
      </w:r>
      <w:r w:rsidRPr="0034236E">
        <w:rPr>
          <w:rFonts w:ascii="Times New Roman" w:hAnsi="Times New Roman"/>
          <w:sz w:val="24"/>
          <w:szCs w:val="24"/>
        </w:rPr>
        <w:t>Indisputably, an individual started the fire with an open flame in Wise's bedroom closet; no one except Wise had been in there. Wise, who was evicted as of the day of the fire, left the house carrying a bag; he was the only one who had a reason to start the fire. Not long after he left, the smoke alarm went off; this is evident despite the varying times reflected in the record. Ms. Owens and Mr. Bowe risked their lives and tried to extinguish the fire but had to evacuate, along with Ms. Owens' two young grandchildren. The trial court evidently did not believe Ms. Minnis' testimony that Wise was at her house since early on the day of the fire.</w:t>
      </w:r>
      <w:r>
        <w:rPr>
          <w:rFonts w:ascii="Times New Roman" w:hAnsi="Times New Roman"/>
          <w:sz w:val="24"/>
          <w:szCs w:val="24"/>
        </w:rPr>
        <w:t xml:space="preserve">” </w:t>
      </w:r>
      <w:hyperlink r:id="rId204" w:history="1">
        <w:r w:rsidRPr="00661DF4">
          <w:rPr>
            <w:rStyle w:val="Hyperlink"/>
            <w:rFonts w:ascii="Times New Roman" w:hAnsi="Times New Roman"/>
            <w:sz w:val="24"/>
            <w:szCs w:val="24"/>
          </w:rPr>
          <w:t>https://casetext.com/case/commonwealth-v-wise-36</w:t>
        </w:r>
      </w:hyperlink>
      <w:r>
        <w:rPr>
          <w:rFonts w:ascii="Times New Roman" w:hAnsi="Times New Roman"/>
          <w:sz w:val="24"/>
          <w:szCs w:val="24"/>
        </w:rPr>
        <w:t xml:space="preserve"> </w:t>
      </w:r>
    </w:p>
    <w:p w14:paraId="399D9ACA" w14:textId="75BF775C" w:rsidR="006D2C51" w:rsidRPr="000B73D4" w:rsidRDefault="006D2C51" w:rsidP="006D2C51">
      <w:pPr>
        <w:spacing w:before="100" w:beforeAutospacing="1" w:after="100" w:afterAutospacing="1" w:line="240" w:lineRule="auto"/>
        <w:rPr>
          <w:rFonts w:ascii="Times New Roman" w:eastAsia="Times New Roman" w:hAnsi="Times New Roman"/>
          <w:sz w:val="24"/>
          <w:szCs w:val="24"/>
        </w:rPr>
      </w:pPr>
      <w:r w:rsidRPr="00E97CB8">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Circumstantial evidence may lead to arson conviction.</w:t>
      </w:r>
      <w:r w:rsidRPr="00AD3CF7">
        <w:rPr>
          <w:rFonts w:ascii="Times New Roman" w:eastAsia="Times New Roman" w:hAnsi="Times New Roman"/>
          <w:sz w:val="24"/>
          <w:szCs w:val="24"/>
        </w:rPr>
        <w:t xml:space="preserve"> </w:t>
      </w:r>
      <w:r w:rsidRPr="000B73D4">
        <w:rPr>
          <w:rFonts w:ascii="Times New Roman" w:eastAsia="Times New Roman" w:hAnsi="Times New Roman"/>
          <w:sz w:val="24"/>
          <w:szCs w:val="24"/>
        </w:rPr>
        <w:t xml:space="preserve">    </w:t>
      </w:r>
    </w:p>
    <w:p w14:paraId="778EAB19" w14:textId="77777777" w:rsidR="006D2C51" w:rsidRDefault="006D2C51" w:rsidP="00F326E5">
      <w:pPr>
        <w:pStyle w:val="NoSpacing"/>
        <w:rPr>
          <w:rFonts w:ascii="Arial Black" w:hAnsi="Arial Black"/>
          <w:sz w:val="24"/>
          <w:szCs w:val="24"/>
        </w:rPr>
      </w:pPr>
    </w:p>
    <w:p w14:paraId="4F87B00D" w14:textId="77777777" w:rsidR="006D2C51" w:rsidRDefault="006D2C51" w:rsidP="00F326E5">
      <w:pPr>
        <w:pStyle w:val="NoSpacing"/>
        <w:rPr>
          <w:rFonts w:ascii="Arial Black" w:hAnsi="Arial Black"/>
          <w:sz w:val="24"/>
          <w:szCs w:val="24"/>
        </w:rPr>
      </w:pPr>
    </w:p>
    <w:p w14:paraId="42FE7CC0" w14:textId="2EECDA83" w:rsidR="0073564D" w:rsidRDefault="0073564D" w:rsidP="00F326E5">
      <w:pPr>
        <w:pStyle w:val="NoSpacing"/>
        <w:rPr>
          <w:rFonts w:ascii="Arial Black" w:hAnsi="Arial Black"/>
          <w:sz w:val="24"/>
          <w:szCs w:val="24"/>
        </w:rPr>
      </w:pPr>
      <w:r>
        <w:rPr>
          <w:rFonts w:ascii="Arial Black" w:hAnsi="Arial Black"/>
          <w:sz w:val="24"/>
          <w:szCs w:val="24"/>
        </w:rPr>
        <w:t>1-104</w:t>
      </w:r>
    </w:p>
    <w:p w14:paraId="624F6D16" w14:textId="1C18D2D7" w:rsidR="0073564D" w:rsidRDefault="0073564D" w:rsidP="00F326E5">
      <w:pPr>
        <w:pStyle w:val="NoSpacing"/>
        <w:rPr>
          <w:rFonts w:ascii="Arial Black" w:hAnsi="Arial Black"/>
          <w:sz w:val="24"/>
          <w:szCs w:val="24"/>
        </w:rPr>
      </w:pPr>
    </w:p>
    <w:p w14:paraId="0D27CCCF" w14:textId="77777777" w:rsidR="0073564D" w:rsidRDefault="0073564D" w:rsidP="0073564D">
      <w:pPr>
        <w:pStyle w:val="Heading1"/>
        <w:rPr>
          <w:rFonts w:ascii="Arial Black" w:hAnsi="Arial Black"/>
          <w:sz w:val="28"/>
          <w:szCs w:val="28"/>
        </w:rPr>
      </w:pPr>
      <w:r>
        <w:rPr>
          <w:rFonts w:ascii="Arial Black" w:hAnsi="Arial Black"/>
          <w:sz w:val="28"/>
          <w:szCs w:val="28"/>
        </w:rPr>
        <w:lastRenderedPageBreak/>
        <w:t>IL: ANNUAL TESTING FIRE ALARMS REQ. EACH 48 UNITS – CONDO ASSOC. MUST GET OWNERS TO ALLOW TESTER</w:t>
      </w:r>
    </w:p>
    <w:p w14:paraId="4AE8EC5A" w14:textId="77777777" w:rsidR="0073564D" w:rsidRDefault="0073564D" w:rsidP="0073564D">
      <w:pPr>
        <w:pStyle w:val="Heading1"/>
        <w:rPr>
          <w:b w:val="0"/>
          <w:bCs w:val="0"/>
          <w:sz w:val="24"/>
          <w:szCs w:val="24"/>
        </w:rPr>
      </w:pPr>
      <w:r>
        <w:rPr>
          <w:b w:val="0"/>
          <w:bCs w:val="0"/>
          <w:sz w:val="24"/>
          <w:szCs w:val="24"/>
        </w:rPr>
        <w:t xml:space="preserve">On June 21, 2022, in </w:t>
      </w:r>
      <w:r>
        <w:rPr>
          <w:b w:val="0"/>
          <w:bCs w:val="0"/>
          <w:sz w:val="24"/>
          <w:szCs w:val="24"/>
          <w:u w:val="single"/>
        </w:rPr>
        <w:t>The Village of Downers Grove v. Village Square III Condominium Association</w:t>
      </w:r>
      <w:r>
        <w:rPr>
          <w:b w:val="0"/>
          <w:bCs w:val="0"/>
          <w:sz w:val="24"/>
          <w:szCs w:val="24"/>
        </w:rPr>
        <w:t xml:space="preserve">, the Court of Appeals of Illinois, Second District, held (3 to 0), 2022 IL App (2d) 210098, that the trial court, after a bench trial [no jury] properly upheld the citations. The complex consists of three separate two-story buildings, two that contain 18 units and one that contains 12 units, for a total of 48 units. None of the units </w:t>
      </w:r>
      <w:proofErr w:type="gramStart"/>
      <w:r>
        <w:rPr>
          <w:b w:val="0"/>
          <w:bCs w:val="0"/>
          <w:sz w:val="24"/>
          <w:szCs w:val="24"/>
        </w:rPr>
        <w:t>shares</w:t>
      </w:r>
      <w:proofErr w:type="gramEnd"/>
      <w:r>
        <w:rPr>
          <w:b w:val="0"/>
          <w:bCs w:val="0"/>
          <w:sz w:val="24"/>
          <w:szCs w:val="24"/>
        </w:rPr>
        <w:t xml:space="preserve"> any common entrances/exits or hallways. Rather, each unit has its own separate entrance/exit at grade level.  The fire alarms can only be accessed by unit owner allowing in outside testing company. The trial judge “ultimately found it was required to assess a daily fine and imposed an aggregate fine of $23, 475, which consisted of $75 per day for each of the 313 days between December 21, 2017, and October 29, 2018.”  </w:t>
      </w:r>
      <w:hyperlink r:id="rId205" w:history="1">
        <w:r>
          <w:rPr>
            <w:rStyle w:val="Hyperlink"/>
            <w:sz w:val="24"/>
            <w:szCs w:val="24"/>
          </w:rPr>
          <w:t>https://casetext.com/case/the-vill-of-downers-grove-v-vill-square-iii-condo-assn</w:t>
        </w:r>
      </w:hyperlink>
      <w:r>
        <w:rPr>
          <w:b w:val="0"/>
          <w:bCs w:val="0"/>
          <w:sz w:val="24"/>
          <w:szCs w:val="24"/>
        </w:rPr>
        <w:t xml:space="preserve"> </w:t>
      </w:r>
    </w:p>
    <w:p w14:paraId="0FE86FFD" w14:textId="77777777" w:rsidR="009A0402" w:rsidRDefault="009A0402" w:rsidP="009A0402">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Condo Association needs to educate unit </w:t>
      </w:r>
      <w:proofErr w:type="gramStart"/>
      <w:r>
        <w:rPr>
          <w:rFonts w:ascii="Times New Roman" w:hAnsi="Times New Roman"/>
          <w:b/>
          <w:bCs/>
          <w:sz w:val="24"/>
          <w:szCs w:val="24"/>
        </w:rPr>
        <w:t>owners, and</w:t>
      </w:r>
      <w:proofErr w:type="gramEnd"/>
      <w:r>
        <w:rPr>
          <w:rFonts w:ascii="Times New Roman" w:hAnsi="Times New Roman"/>
          <w:b/>
          <w:bCs/>
          <w:sz w:val="24"/>
          <w:szCs w:val="24"/>
        </w:rPr>
        <w:t xml:space="preserve"> adopt by laws that they must allow in the alarm testing company.   </w:t>
      </w:r>
    </w:p>
    <w:p w14:paraId="303DCFB1" w14:textId="77777777" w:rsidR="009A0402" w:rsidRDefault="009A0402" w:rsidP="00F326E5">
      <w:pPr>
        <w:pStyle w:val="NoSpacing"/>
        <w:rPr>
          <w:rFonts w:ascii="Arial Black" w:hAnsi="Arial Black"/>
          <w:sz w:val="24"/>
          <w:szCs w:val="24"/>
        </w:rPr>
      </w:pPr>
    </w:p>
    <w:p w14:paraId="2B083BEF" w14:textId="5D10BE65" w:rsidR="009579EB" w:rsidRPr="009579EB" w:rsidRDefault="009579EB" w:rsidP="00F326E5">
      <w:pPr>
        <w:pStyle w:val="NoSpacing"/>
        <w:rPr>
          <w:rFonts w:ascii="Arial Black" w:hAnsi="Arial Black"/>
          <w:sz w:val="24"/>
          <w:szCs w:val="24"/>
        </w:rPr>
      </w:pPr>
      <w:r w:rsidRPr="009579EB">
        <w:rPr>
          <w:rFonts w:ascii="Arial Black" w:hAnsi="Arial Black"/>
          <w:sz w:val="24"/>
          <w:szCs w:val="24"/>
        </w:rPr>
        <w:t>1-103</w:t>
      </w:r>
    </w:p>
    <w:p w14:paraId="0F000359" w14:textId="77777777" w:rsidR="009579EB" w:rsidRPr="00E93614" w:rsidRDefault="009579EB" w:rsidP="009579EB">
      <w:pPr>
        <w:spacing w:before="100" w:beforeAutospacing="1" w:after="100" w:afterAutospacing="1" w:line="240" w:lineRule="auto"/>
        <w:rPr>
          <w:rFonts w:ascii="Arial Black" w:eastAsia="Times New Roman" w:hAnsi="Arial Black"/>
          <w:sz w:val="28"/>
          <w:szCs w:val="28"/>
        </w:rPr>
      </w:pPr>
      <w:r>
        <w:rPr>
          <w:rFonts w:ascii="Arial Black" w:hAnsi="Arial Black"/>
          <w:b/>
          <w:sz w:val="28"/>
          <w:szCs w:val="28"/>
        </w:rPr>
        <w:t>AL: DEP. FIRE MARSHAL NO IMMUNITY – FALSELY TOLD PROS. DEF. ADMITTED BURN BARREL DESTROY EVIDENCE</w:t>
      </w:r>
    </w:p>
    <w:p w14:paraId="0E8D380A" w14:textId="29CC9FF9" w:rsidR="009579EB" w:rsidRDefault="009579EB" w:rsidP="009579EB">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27, 2022, in </w:t>
      </w:r>
      <w:r w:rsidRPr="00CD21F9">
        <w:rPr>
          <w:rFonts w:ascii="Times New Roman" w:eastAsia="Times New Roman" w:hAnsi="Times New Roman"/>
          <w:sz w:val="24"/>
          <w:szCs w:val="24"/>
          <w:u w:val="single"/>
        </w:rPr>
        <w:t xml:space="preserve">Ex </w:t>
      </w:r>
      <w:proofErr w:type="spellStart"/>
      <w:r w:rsidRPr="00CD21F9">
        <w:rPr>
          <w:rFonts w:ascii="Times New Roman" w:eastAsia="Times New Roman" w:hAnsi="Times New Roman"/>
          <w:sz w:val="24"/>
          <w:szCs w:val="24"/>
          <w:u w:val="single"/>
        </w:rPr>
        <w:t>parte</w:t>
      </w:r>
      <w:proofErr w:type="spellEnd"/>
      <w:r w:rsidRPr="00CD21F9">
        <w:rPr>
          <w:rFonts w:ascii="Times New Roman" w:eastAsia="Times New Roman" w:hAnsi="Times New Roman"/>
          <w:sz w:val="24"/>
          <w:szCs w:val="24"/>
          <w:u w:val="single"/>
        </w:rPr>
        <w:t xml:space="preserve"> Greg Pinkard</w:t>
      </w:r>
      <w:r>
        <w:rPr>
          <w:rFonts w:ascii="Times New Roman" w:eastAsia="Times New Roman" w:hAnsi="Times New Roman"/>
          <w:sz w:val="24"/>
          <w:szCs w:val="24"/>
          <w:u w:val="single"/>
        </w:rPr>
        <w:t xml:space="preserve"> (</w:t>
      </w:r>
      <w:r w:rsidRPr="00CD21F9">
        <w:rPr>
          <w:rFonts w:ascii="Times New Roman" w:eastAsia="Times New Roman" w:hAnsi="Times New Roman"/>
          <w:sz w:val="24"/>
          <w:szCs w:val="24"/>
          <w:u w:val="single"/>
        </w:rPr>
        <w:t>In re; Ronnie Taylor v. Allstate Property &amp; Casualty Insurance Company, et al.</w:t>
      </w:r>
      <w:r>
        <w:rPr>
          <w:rFonts w:ascii="Times New Roman" w:eastAsia="Times New Roman" w:hAnsi="Times New Roman"/>
          <w:sz w:val="24"/>
          <w:szCs w:val="24"/>
          <w:u w:val="single"/>
        </w:rPr>
        <w:t>)</w:t>
      </w:r>
      <w:r>
        <w:rPr>
          <w:rFonts w:ascii="Times New Roman" w:eastAsia="Times New Roman" w:hAnsi="Times New Roman"/>
          <w:sz w:val="24"/>
          <w:szCs w:val="24"/>
        </w:rPr>
        <w:t xml:space="preserve">, the Supreme Court of Alabama held (8 to 0) that State Deputy Fire Marshal Greg Pinkard’s is not entitled to governmental immunity, holding that the trial court judge properly held he can be personally sued for malicious prosecution and defamation for allegedly falsely reporting to District Attorney’s Office that the owner of a cabin [a volunteer FF] had admitted to placing </w:t>
      </w:r>
      <w:r w:rsidRPr="002A073B">
        <w:rPr>
          <w:rFonts w:ascii="Times New Roman" w:eastAsia="Times New Roman" w:hAnsi="Times New Roman"/>
          <w:sz w:val="24"/>
          <w:szCs w:val="24"/>
        </w:rPr>
        <w:t xml:space="preserve">a </w:t>
      </w:r>
      <w:r>
        <w:rPr>
          <w:rFonts w:ascii="Times New Roman" w:eastAsia="Times New Roman" w:hAnsi="Times New Roman"/>
          <w:sz w:val="24"/>
          <w:szCs w:val="24"/>
        </w:rPr>
        <w:t>55-gallon steel barrel “</w:t>
      </w:r>
      <w:r w:rsidRPr="002A073B">
        <w:rPr>
          <w:rFonts w:ascii="Times New Roman" w:hAnsi="Times New Roman"/>
          <w:sz w:val="24"/>
          <w:szCs w:val="24"/>
        </w:rPr>
        <w:t>onto the structure with extra fuel items to burn maintaining the fire and destroying evidence."</w:t>
      </w:r>
      <w:r>
        <w:rPr>
          <w:rFonts w:ascii="Times New Roman" w:hAnsi="Times New Roman"/>
          <w:sz w:val="24"/>
          <w:szCs w:val="24"/>
        </w:rPr>
        <w:t xml:space="preserve">  He was charged with arson and tampering with evidence; all charges later dropped.  Ronnie Taylor </w:t>
      </w:r>
      <w:proofErr w:type="gramStart"/>
      <w:r>
        <w:rPr>
          <w:rFonts w:ascii="Times New Roman" w:hAnsi="Times New Roman"/>
          <w:sz w:val="24"/>
          <w:szCs w:val="24"/>
        </w:rPr>
        <w:t>actually told</w:t>
      </w:r>
      <w:proofErr w:type="gramEnd"/>
      <w:r>
        <w:rPr>
          <w:rFonts w:ascii="Times New Roman" w:hAnsi="Times New Roman"/>
          <w:sz w:val="24"/>
          <w:szCs w:val="24"/>
        </w:rPr>
        <w:t xml:space="preserve"> the Deputy Fire Marshal that he only used the burn barrel after the fire to clean up remaining </w:t>
      </w:r>
      <w:proofErr w:type="gramStart"/>
      <w:r>
        <w:rPr>
          <w:rFonts w:ascii="Times New Roman" w:hAnsi="Times New Roman"/>
          <w:sz w:val="24"/>
          <w:szCs w:val="24"/>
        </w:rPr>
        <w:t>debris, and</w:t>
      </w:r>
      <w:proofErr w:type="gramEnd"/>
      <w:r>
        <w:rPr>
          <w:rFonts w:ascii="Times New Roman" w:hAnsi="Times New Roman"/>
          <w:sz w:val="24"/>
          <w:szCs w:val="24"/>
        </w:rPr>
        <w:t xml:space="preserve"> lawfully submitted an insurance claim of $40,000 for loss of his cabin, his tools and a 1996 Lincoln Town Car.  </w:t>
      </w:r>
      <w:r>
        <w:rPr>
          <w:rFonts w:ascii="Times New Roman" w:eastAsia="Times New Roman" w:hAnsi="Times New Roman"/>
          <w:sz w:val="24"/>
          <w:szCs w:val="24"/>
        </w:rPr>
        <w:t xml:space="preserve">The lawsuit for damages may now be decided by a civil jury. </w:t>
      </w:r>
      <w:hyperlink r:id="rId206" w:history="1">
        <w:r w:rsidRPr="00A10B90">
          <w:rPr>
            <w:rStyle w:val="Hyperlink"/>
            <w:rFonts w:ascii="Times New Roman" w:eastAsia="Times New Roman" w:hAnsi="Times New Roman"/>
            <w:sz w:val="24"/>
            <w:szCs w:val="24"/>
          </w:rPr>
          <w:t>https://acis.alabama.gov/displaydocs.cfm?no=1126944&amp;event=6CD0OUEMB</w:t>
        </w:r>
      </w:hyperlink>
      <w:r>
        <w:rPr>
          <w:rFonts w:ascii="Times New Roman" w:eastAsia="Times New Roman" w:hAnsi="Times New Roman"/>
          <w:sz w:val="24"/>
          <w:szCs w:val="24"/>
        </w:rPr>
        <w:t xml:space="preserve"> </w:t>
      </w:r>
    </w:p>
    <w:p w14:paraId="6E3560D8" w14:textId="77777777" w:rsidR="009579EB" w:rsidRDefault="009579EB" w:rsidP="009579EB">
      <w:pPr>
        <w:spacing w:before="100" w:beforeAutospacing="1" w:after="100" w:afterAutospacing="1" w:line="240" w:lineRule="auto"/>
        <w:rPr>
          <w:rFonts w:ascii="Times New Roman" w:eastAsia="Times New Roman" w:hAnsi="Times New Roman"/>
          <w:b/>
          <w:bCs/>
          <w:sz w:val="24"/>
          <w:szCs w:val="24"/>
        </w:rPr>
      </w:pPr>
      <w:r w:rsidRPr="007C62E3">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Arson investigators, in their reports to prosecutors, must use extreme care in describing the defendant’s admissions.  </w:t>
      </w:r>
    </w:p>
    <w:p w14:paraId="738B3CFD" w14:textId="77777777" w:rsidR="00CA1367" w:rsidRPr="00CA1367" w:rsidRDefault="00CA1367" w:rsidP="00CA1367">
      <w:pPr>
        <w:spacing w:before="100" w:beforeAutospacing="1" w:after="100" w:afterAutospacing="1" w:line="240" w:lineRule="auto"/>
        <w:ind w:left="720"/>
        <w:rPr>
          <w:rFonts w:eastAsia="Times New Roman"/>
          <w:sz w:val="24"/>
          <w:szCs w:val="24"/>
        </w:rPr>
      </w:pPr>
      <w:r w:rsidRPr="00CA1367">
        <w:rPr>
          <w:rFonts w:eastAsia="Times New Roman"/>
          <w:sz w:val="24"/>
          <w:szCs w:val="24"/>
        </w:rPr>
        <w:t xml:space="preserve">Note: See article on this case.  </w:t>
      </w:r>
    </w:p>
    <w:p w14:paraId="3FAFA9D3" w14:textId="77777777" w:rsidR="00CA1367" w:rsidRPr="00834159" w:rsidRDefault="00CA1367" w:rsidP="00CA1367">
      <w:pPr>
        <w:spacing w:before="100" w:beforeAutospacing="1" w:after="100" w:afterAutospacing="1" w:line="240" w:lineRule="auto"/>
        <w:ind w:left="720"/>
        <w:rPr>
          <w:rFonts w:ascii="Times New Roman" w:eastAsia="Times New Roman" w:hAnsi="Times New Roman"/>
          <w:sz w:val="24"/>
          <w:szCs w:val="24"/>
        </w:rPr>
      </w:pPr>
      <w:r w:rsidRPr="00CA1367">
        <w:rPr>
          <w:rFonts w:eastAsia="Times New Roman"/>
          <w:sz w:val="24"/>
          <w:szCs w:val="24"/>
        </w:rPr>
        <w:t xml:space="preserve">June 6, 2022. </w:t>
      </w:r>
      <w:r w:rsidRPr="00CA1367">
        <w:rPr>
          <w:rFonts w:ascii="Times New Roman" w:eastAsia="Times New Roman" w:hAnsi="Times New Roman"/>
          <w:sz w:val="24"/>
          <w:szCs w:val="24"/>
        </w:rPr>
        <w:t>State Immunity – State-Agent Immunity – Deputy Fire Marshal</w:t>
      </w:r>
      <w:r w:rsidRPr="00CA1367">
        <w:rPr>
          <w:rFonts w:eastAsia="Times New Roman"/>
          <w:sz w:val="24"/>
          <w:szCs w:val="24"/>
        </w:rPr>
        <w:t xml:space="preserve"> </w:t>
      </w:r>
      <w:hyperlink r:id="rId207" w:history="1">
        <w:r w:rsidRPr="00CA1367">
          <w:rPr>
            <w:rStyle w:val="Hyperlink"/>
            <w:rFonts w:eastAsia="Times New Roman"/>
            <w:sz w:val="24"/>
            <w:szCs w:val="24"/>
          </w:rPr>
          <w:t>https://www.cunninghambounds.com/blogs/2022/june/state-immunity-state-agent-immunity-deputy-fire-/</w:t>
        </w:r>
      </w:hyperlink>
      <w:r w:rsidRPr="00834159">
        <w:rPr>
          <w:rFonts w:eastAsia="Times New Roman"/>
          <w:szCs w:val="24"/>
        </w:rPr>
        <w:t xml:space="preserve"> </w:t>
      </w:r>
    </w:p>
    <w:p w14:paraId="2A21D000" w14:textId="77777777" w:rsidR="009579EB" w:rsidRDefault="009579EB" w:rsidP="009579EB">
      <w:pPr>
        <w:spacing w:before="100" w:beforeAutospacing="1" w:after="100" w:afterAutospacing="1" w:line="240" w:lineRule="auto"/>
        <w:rPr>
          <w:rFonts w:ascii="Times New Roman" w:eastAsia="Times New Roman" w:hAnsi="Times New Roman"/>
          <w:sz w:val="24"/>
          <w:szCs w:val="24"/>
        </w:rPr>
      </w:pPr>
    </w:p>
    <w:p w14:paraId="13AB87BF" w14:textId="368376BD" w:rsidR="009579EB" w:rsidRDefault="009579EB" w:rsidP="00F326E5">
      <w:pPr>
        <w:pStyle w:val="NoSpacing"/>
        <w:rPr>
          <w:rFonts w:ascii="Arial Black" w:hAnsi="Arial Black"/>
          <w:sz w:val="40"/>
          <w:szCs w:val="40"/>
        </w:rPr>
      </w:pPr>
    </w:p>
    <w:p w14:paraId="6C6F0E05" w14:textId="77777777" w:rsidR="009579EB" w:rsidRPr="007732FA" w:rsidRDefault="009579EB" w:rsidP="00F326E5">
      <w:pPr>
        <w:pStyle w:val="NoSpacing"/>
        <w:rPr>
          <w:rFonts w:ascii="Arial Black" w:hAnsi="Arial Black"/>
          <w:sz w:val="40"/>
          <w:szCs w:val="40"/>
        </w:rPr>
      </w:pPr>
    </w:p>
    <w:p w14:paraId="77877CDB" w14:textId="29643C46" w:rsidR="009579EB" w:rsidRDefault="009579EB" w:rsidP="002B1283">
      <w:pPr>
        <w:rPr>
          <w:rFonts w:ascii="Arial Black" w:hAnsi="Arial Black"/>
          <w:b/>
          <w:sz w:val="24"/>
          <w:szCs w:val="24"/>
        </w:rPr>
      </w:pPr>
      <w:r>
        <w:rPr>
          <w:rFonts w:ascii="Arial Black" w:hAnsi="Arial Black"/>
          <w:b/>
          <w:sz w:val="24"/>
          <w:szCs w:val="24"/>
        </w:rPr>
        <w:t>1-101</w:t>
      </w:r>
    </w:p>
    <w:p w14:paraId="7E5D28A0" w14:textId="77777777" w:rsidR="009579EB" w:rsidRPr="00222D33" w:rsidRDefault="009579EB" w:rsidP="009579EB">
      <w:pPr>
        <w:spacing w:before="100" w:beforeAutospacing="1" w:after="100" w:afterAutospacing="1" w:line="240" w:lineRule="auto"/>
        <w:rPr>
          <w:rFonts w:ascii="Arial Black" w:hAnsi="Arial Black"/>
          <w:sz w:val="28"/>
          <w:szCs w:val="28"/>
        </w:rPr>
      </w:pPr>
      <w:r>
        <w:rPr>
          <w:rFonts w:ascii="Arial Black" w:hAnsi="Arial Black"/>
          <w:sz w:val="28"/>
          <w:szCs w:val="28"/>
        </w:rPr>
        <w:lastRenderedPageBreak/>
        <w:t>AK: DEF. ENDANGERED FF – 60 MONTHS PRISON - TIMBER THEFT – FAILED REPORT FIRE HE STARTED NAT. FOREST</w:t>
      </w:r>
    </w:p>
    <w:p w14:paraId="56EC7FB4" w14:textId="77777777" w:rsidR="009579EB" w:rsidRDefault="009579EB" w:rsidP="009579E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May 27, 2022, in </w:t>
      </w:r>
      <w:r w:rsidRPr="00F138B9">
        <w:rPr>
          <w:rFonts w:ascii="Times New Roman" w:hAnsi="Times New Roman"/>
          <w:sz w:val="24"/>
          <w:szCs w:val="24"/>
          <w:u w:val="single"/>
        </w:rPr>
        <w:t>United States of America v. Jacob Edward Walls</w:t>
      </w:r>
      <w:r>
        <w:rPr>
          <w:rFonts w:ascii="Times New Roman" w:hAnsi="Times New Roman"/>
          <w:sz w:val="24"/>
          <w:szCs w:val="24"/>
        </w:rPr>
        <w:t xml:space="preserve">, the U.S. Court of Appeals for the Eight Circuit (St. Louis, Missouri) held (3 to 0) that trial court properly sentenced the defendant pursuant to the federal Sentencing Guidelines to the maximum of 60 months since he didn’t report the fire to cover up his illegal timber harvesting. </w:t>
      </w:r>
      <w:r w:rsidRPr="00D20A19">
        <w:rPr>
          <w:rFonts w:ascii="Times New Roman" w:hAnsi="Times New Roman"/>
          <w:sz w:val="24"/>
          <w:szCs w:val="24"/>
        </w:rPr>
        <w:t xml:space="preserve">Jacob Walls pleaded guilty to willfully setting fire to public lands, in violation of 18 U.S.C. § 1855. </w:t>
      </w:r>
      <w:r>
        <w:rPr>
          <w:rFonts w:ascii="Times New Roman" w:hAnsi="Times New Roman"/>
          <w:sz w:val="24"/>
          <w:szCs w:val="24"/>
        </w:rPr>
        <w:t>The fire started    when he “</w:t>
      </w:r>
      <w:r w:rsidRPr="00824081">
        <w:rPr>
          <w:rFonts w:ascii="Times New Roman" w:hAnsi="Times New Roman"/>
          <w:sz w:val="24"/>
          <w:szCs w:val="24"/>
        </w:rPr>
        <w:t xml:space="preserve">burn the debris using two different fires with accelerant from a </w:t>
      </w:r>
      <w:r>
        <w:rPr>
          <w:rFonts w:ascii="Times New Roman" w:hAnsi="Times New Roman"/>
          <w:sz w:val="24"/>
          <w:szCs w:val="24"/>
        </w:rPr>
        <w:t>‘</w:t>
      </w:r>
      <w:r w:rsidRPr="00824081">
        <w:rPr>
          <w:rFonts w:ascii="Times New Roman" w:hAnsi="Times New Roman"/>
          <w:sz w:val="24"/>
          <w:szCs w:val="24"/>
        </w:rPr>
        <w:t>Jerry Can.</w:t>
      </w:r>
      <w:r>
        <w:rPr>
          <w:rFonts w:ascii="Times New Roman" w:hAnsi="Times New Roman"/>
          <w:sz w:val="24"/>
          <w:szCs w:val="24"/>
        </w:rPr>
        <w:t xml:space="preserve">’” When the fire spread, he left the scene and did not report the spreading fire.  A resident notified Park Service, and firefighters working in difficult terrain after dark saved the neighbor’s home. </w:t>
      </w:r>
      <w:hyperlink r:id="rId208" w:history="1">
        <w:r w:rsidRPr="00A10B90">
          <w:rPr>
            <w:rStyle w:val="Hyperlink"/>
            <w:rFonts w:ascii="Times New Roman" w:hAnsi="Times New Roman"/>
            <w:sz w:val="24"/>
            <w:szCs w:val="24"/>
          </w:rPr>
          <w:t>https://ecf.ca8.uscourts.gov/opndir/22/05/212146P.pdf</w:t>
        </w:r>
      </w:hyperlink>
      <w:r>
        <w:rPr>
          <w:rFonts w:ascii="Times New Roman" w:hAnsi="Times New Roman"/>
          <w:sz w:val="24"/>
          <w:szCs w:val="24"/>
        </w:rPr>
        <w:t xml:space="preserve"> </w:t>
      </w:r>
    </w:p>
    <w:p w14:paraId="205F7B42" w14:textId="77777777" w:rsidR="009579EB" w:rsidRPr="00E93614" w:rsidRDefault="009579EB" w:rsidP="009579EB">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sentencing judge properly included the risk of firefighters when imposing the sentence. </w:t>
      </w:r>
    </w:p>
    <w:p w14:paraId="0A08482E" w14:textId="77777777" w:rsidR="009579EB" w:rsidRPr="00B82003" w:rsidRDefault="009579EB" w:rsidP="009579EB">
      <w:pPr>
        <w:spacing w:before="100" w:beforeAutospacing="1" w:after="100" w:afterAutospacing="1" w:line="240" w:lineRule="auto"/>
        <w:ind w:left="720"/>
        <w:rPr>
          <w:rFonts w:ascii="Times New Roman" w:hAnsi="Times New Roman"/>
          <w:bCs/>
          <w:sz w:val="24"/>
          <w:szCs w:val="24"/>
        </w:rPr>
      </w:pPr>
      <w:r w:rsidRPr="00B82003">
        <w:rPr>
          <w:rFonts w:ascii="Times New Roman" w:hAnsi="Times New Roman"/>
          <w:bCs/>
          <w:sz w:val="24"/>
          <w:szCs w:val="24"/>
        </w:rPr>
        <w:t>Note:</w:t>
      </w:r>
      <w:r w:rsidRPr="00B82003">
        <w:rPr>
          <w:rFonts w:ascii="Times New Roman" w:hAnsi="Times New Roman"/>
          <w:bCs/>
          <w:sz w:val="24"/>
          <w:szCs w:val="24"/>
        </w:rPr>
        <w:tab/>
        <w:t xml:space="preserve">Federal Sentencing Guidelines: </w:t>
      </w:r>
      <w:hyperlink r:id="rId209" w:history="1">
        <w:r w:rsidRPr="00B82003">
          <w:rPr>
            <w:rStyle w:val="Hyperlink"/>
            <w:rFonts w:ascii="Times New Roman" w:hAnsi="Times New Roman"/>
            <w:bCs/>
            <w:sz w:val="24"/>
            <w:szCs w:val="24"/>
          </w:rPr>
          <w:t>https://www.law.cornell.edu/wex/federal_sentencing_guidelines</w:t>
        </w:r>
      </w:hyperlink>
      <w:r w:rsidRPr="00B82003">
        <w:rPr>
          <w:rFonts w:ascii="Times New Roman" w:hAnsi="Times New Roman"/>
          <w:bCs/>
          <w:sz w:val="24"/>
          <w:szCs w:val="24"/>
        </w:rPr>
        <w:t xml:space="preserve"> </w:t>
      </w:r>
    </w:p>
    <w:p w14:paraId="7AC5BED6" w14:textId="77777777" w:rsidR="009579EB" w:rsidRPr="003A568B" w:rsidRDefault="009579EB" w:rsidP="009579EB">
      <w:pPr>
        <w:ind w:left="720"/>
        <w:rPr>
          <w:rFonts w:ascii="Times New Roman" w:hAnsi="Times New Roman"/>
          <w:sz w:val="24"/>
          <w:szCs w:val="24"/>
        </w:rPr>
      </w:pPr>
      <w:r>
        <w:rPr>
          <w:rFonts w:ascii="Times New Roman" w:hAnsi="Times New Roman"/>
          <w:sz w:val="24"/>
          <w:szCs w:val="24"/>
        </w:rPr>
        <w:t>“</w:t>
      </w:r>
      <w:r w:rsidRPr="003A568B">
        <w:rPr>
          <w:rFonts w:ascii="Times New Roman" w:hAnsi="Times New Roman"/>
          <w:sz w:val="24"/>
          <w:szCs w:val="24"/>
        </w:rPr>
        <w:t xml:space="preserve">The Federal Sentencing Guidelines are non-binding rules that set out a uniform sentencing policy for defendants convicted in the United States federal court system that became effective in 1987. The Guidelines provide for </w:t>
      </w:r>
      <w:r>
        <w:rPr>
          <w:rFonts w:ascii="Times New Roman" w:hAnsi="Times New Roman"/>
          <w:sz w:val="24"/>
          <w:szCs w:val="24"/>
        </w:rPr>
        <w:t>‘</w:t>
      </w:r>
      <w:r w:rsidRPr="003A568B">
        <w:rPr>
          <w:rFonts w:ascii="Times New Roman" w:hAnsi="Times New Roman"/>
          <w:sz w:val="24"/>
          <w:szCs w:val="24"/>
        </w:rPr>
        <w:t xml:space="preserve">very precise calibration of sentences, depending upon </w:t>
      </w:r>
      <w:proofErr w:type="gramStart"/>
      <w:r w:rsidRPr="003A568B">
        <w:rPr>
          <w:rFonts w:ascii="Times New Roman" w:hAnsi="Times New Roman"/>
          <w:sz w:val="24"/>
          <w:szCs w:val="24"/>
        </w:rPr>
        <w:t>a number of</w:t>
      </w:r>
      <w:proofErr w:type="gramEnd"/>
      <w:r w:rsidRPr="003A568B">
        <w:rPr>
          <w:rFonts w:ascii="Times New Roman" w:hAnsi="Times New Roman"/>
          <w:sz w:val="24"/>
          <w:szCs w:val="24"/>
        </w:rPr>
        <w:t xml:space="preserve"> factors. These factors relate both to the subjective guilt of the defendant and to the harm caused by his facts.</w:t>
      </w:r>
      <w:r>
        <w:rPr>
          <w:rFonts w:ascii="Times New Roman" w:hAnsi="Times New Roman"/>
          <w:sz w:val="24"/>
          <w:szCs w:val="24"/>
        </w:rPr>
        <w:t>’</w:t>
      </w:r>
      <w:r w:rsidRPr="003A568B">
        <w:rPr>
          <w:rFonts w:ascii="Times New Roman" w:hAnsi="Times New Roman"/>
          <w:sz w:val="24"/>
          <w:szCs w:val="24"/>
        </w:rPr>
        <w:t xml:space="preserve"> </w:t>
      </w:r>
      <w:hyperlink r:id="rId210" w:history="1">
        <w:r w:rsidRPr="003A568B">
          <w:rPr>
            <w:rStyle w:val="Hyperlink"/>
            <w:rFonts w:ascii="Times New Roman" w:hAnsi="Times New Roman"/>
            <w:i/>
            <w:iCs/>
            <w:sz w:val="24"/>
            <w:szCs w:val="24"/>
          </w:rPr>
          <w:t>Payne v. Tennessee</w:t>
        </w:r>
      </w:hyperlink>
      <w:r w:rsidRPr="003A568B">
        <w:rPr>
          <w:rFonts w:ascii="Times New Roman" w:hAnsi="Times New Roman"/>
          <w:sz w:val="24"/>
          <w:szCs w:val="24"/>
        </w:rPr>
        <w:t>, 501 U.S. 808, 820 (1991).</w:t>
      </w:r>
    </w:p>
    <w:p w14:paraId="0F370571" w14:textId="77777777" w:rsidR="009579EB" w:rsidRPr="003A568B" w:rsidRDefault="009579EB" w:rsidP="009579EB">
      <w:pPr>
        <w:ind w:left="720"/>
        <w:rPr>
          <w:rFonts w:ascii="Times New Roman" w:hAnsi="Times New Roman"/>
          <w:sz w:val="24"/>
          <w:szCs w:val="24"/>
        </w:rPr>
      </w:pPr>
      <w:r w:rsidRPr="003A568B">
        <w:rPr>
          <w:rFonts w:ascii="Times New Roman" w:hAnsi="Times New Roman"/>
          <w:sz w:val="24"/>
          <w:szCs w:val="24"/>
        </w:rPr>
        <w:t xml:space="preserve">The Guidelines are not mandatory, because they may result in a sentence based on facts not proven beyond a reasonable doubt to a jury, in violation of the Sixth Amendment. </w:t>
      </w:r>
      <w:hyperlink r:id="rId211" w:history="1">
        <w:r w:rsidRPr="003A568B">
          <w:rPr>
            <w:rStyle w:val="Emphasis"/>
            <w:rFonts w:ascii="Times New Roman" w:hAnsi="Times New Roman"/>
            <w:color w:val="0000FF"/>
            <w:sz w:val="24"/>
            <w:szCs w:val="24"/>
            <w:u w:val="single"/>
          </w:rPr>
          <w:t>United States v. Booker</w:t>
        </w:r>
        <w:r w:rsidRPr="003A568B">
          <w:rPr>
            <w:rStyle w:val="Hyperlink"/>
            <w:rFonts w:ascii="Times New Roman" w:hAnsi="Times New Roman"/>
            <w:sz w:val="24"/>
            <w:szCs w:val="24"/>
          </w:rPr>
          <w:t>, 543 U.S. 20 (2005)</w:t>
        </w:r>
      </w:hyperlink>
      <w:r w:rsidRPr="003A568B">
        <w:rPr>
          <w:rFonts w:ascii="Times New Roman" w:hAnsi="Times New Roman"/>
          <w:sz w:val="24"/>
          <w:szCs w:val="24"/>
        </w:rPr>
        <w:t>. However, judges must consider them when determining a criminal defendant's sentence. When a judge determines within his or her discretion to depart from the Guidelines, the judge must explain what factors warranted the increased or decreased sentence.</w:t>
      </w:r>
      <w:r>
        <w:rPr>
          <w:rFonts w:ascii="Times New Roman" w:hAnsi="Times New Roman"/>
          <w:sz w:val="24"/>
          <w:szCs w:val="24"/>
        </w:rPr>
        <w:t xml:space="preserve"> </w:t>
      </w:r>
      <w:r w:rsidRPr="003A568B">
        <w:rPr>
          <w:rFonts w:ascii="Times New Roman" w:hAnsi="Times New Roman"/>
          <w:sz w:val="24"/>
          <w:szCs w:val="24"/>
        </w:rPr>
        <w:t xml:space="preserve">When a Court of Appeals reviews a sentence imposed through a proper application the Guidelines, it may presume the sentence is reasonable. </w:t>
      </w:r>
      <w:hyperlink r:id="rId212" w:history="1">
        <w:r w:rsidRPr="003A568B">
          <w:rPr>
            <w:rStyle w:val="Hyperlink"/>
            <w:rFonts w:ascii="Times New Roman" w:hAnsi="Times New Roman"/>
            <w:i/>
            <w:iCs/>
            <w:sz w:val="24"/>
            <w:szCs w:val="24"/>
          </w:rPr>
          <w:t>Rita v. United States</w:t>
        </w:r>
      </w:hyperlink>
      <w:r w:rsidRPr="003A568B">
        <w:rPr>
          <w:rFonts w:ascii="Times New Roman" w:hAnsi="Times New Roman"/>
          <w:sz w:val="24"/>
          <w:szCs w:val="24"/>
        </w:rPr>
        <w:t xml:space="preserve">, 127 </w:t>
      </w:r>
      <w:proofErr w:type="spellStart"/>
      <w:r w:rsidRPr="003A568B">
        <w:rPr>
          <w:rFonts w:ascii="Times New Roman" w:hAnsi="Times New Roman"/>
          <w:sz w:val="24"/>
          <w:szCs w:val="24"/>
        </w:rPr>
        <w:t>S.Ct</w:t>
      </w:r>
      <w:proofErr w:type="spellEnd"/>
      <w:r w:rsidRPr="003A568B">
        <w:rPr>
          <w:rFonts w:ascii="Times New Roman" w:hAnsi="Times New Roman"/>
          <w:sz w:val="24"/>
          <w:szCs w:val="24"/>
        </w:rPr>
        <w:t>. 2456 (2007).</w:t>
      </w:r>
      <w:r>
        <w:rPr>
          <w:rFonts w:ascii="Times New Roman" w:hAnsi="Times New Roman"/>
          <w:sz w:val="24"/>
          <w:szCs w:val="24"/>
        </w:rPr>
        <w:t>”</w:t>
      </w:r>
    </w:p>
    <w:p w14:paraId="28ECF42E" w14:textId="77777777" w:rsidR="009579EB" w:rsidRDefault="009579EB" w:rsidP="002B1283">
      <w:pPr>
        <w:rPr>
          <w:rFonts w:ascii="Arial Black" w:hAnsi="Arial Black"/>
          <w:b/>
          <w:sz w:val="24"/>
          <w:szCs w:val="24"/>
        </w:rPr>
      </w:pPr>
    </w:p>
    <w:p w14:paraId="059A9A97" w14:textId="23CDCAE2" w:rsidR="00E97D63" w:rsidRDefault="00E97D63" w:rsidP="002B1283">
      <w:pPr>
        <w:rPr>
          <w:rFonts w:ascii="Arial Black" w:hAnsi="Arial Black"/>
          <w:b/>
          <w:sz w:val="24"/>
          <w:szCs w:val="24"/>
        </w:rPr>
      </w:pPr>
      <w:r>
        <w:rPr>
          <w:rFonts w:ascii="Arial Black" w:hAnsi="Arial Black"/>
          <w:b/>
          <w:sz w:val="24"/>
          <w:szCs w:val="24"/>
        </w:rPr>
        <w:t>1-100</w:t>
      </w:r>
    </w:p>
    <w:p w14:paraId="042BD835" w14:textId="77777777" w:rsidR="00E97D63" w:rsidRDefault="00E97D63" w:rsidP="00E97D6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AGGRAVATED ARSON - OCCUPIED APARTMENTS - PLED GUILTY - 24 YEARS IN PRISON – SENTENCE UPHELD</w:t>
      </w:r>
    </w:p>
    <w:p w14:paraId="5AC37595" w14:textId="2CE8F02C" w:rsidR="00E97D63" w:rsidRDefault="00E97D63" w:rsidP="00E97D63">
      <w:pPr>
        <w:rPr>
          <w:rStyle w:val="Hyperlink"/>
          <w:rFonts w:ascii="Times New Roman" w:eastAsia="Times New Roman" w:hAnsi="Times New Roman"/>
          <w:sz w:val="24"/>
          <w:szCs w:val="24"/>
        </w:rPr>
      </w:pPr>
      <w:r w:rsidRPr="00C21EEF">
        <w:rPr>
          <w:rFonts w:ascii="Times New Roman" w:eastAsia="Times New Roman" w:hAnsi="Times New Roman"/>
          <w:sz w:val="24"/>
          <w:szCs w:val="24"/>
        </w:rPr>
        <w:t>On May 5, 2022</w:t>
      </w:r>
      <w:r>
        <w:rPr>
          <w:rFonts w:ascii="Times New Roman" w:eastAsia="Times New Roman" w:hAnsi="Times New Roman"/>
          <w:sz w:val="24"/>
          <w:szCs w:val="24"/>
        </w:rPr>
        <w:t>,</w:t>
      </w:r>
      <w:r w:rsidRPr="00C21EEF">
        <w:rPr>
          <w:rFonts w:ascii="Times New Roman" w:eastAsia="Times New Roman" w:hAnsi="Times New Roman"/>
          <w:sz w:val="24"/>
          <w:szCs w:val="24"/>
        </w:rPr>
        <w:t xml:space="preserve"> in </w:t>
      </w:r>
      <w:r w:rsidRPr="00C21EEF">
        <w:rPr>
          <w:rFonts w:ascii="Times New Roman" w:eastAsia="Times New Roman" w:hAnsi="Times New Roman"/>
          <w:sz w:val="24"/>
          <w:szCs w:val="24"/>
          <w:u w:val="single"/>
        </w:rPr>
        <w:t>The People of the State of Illinois v. Bryan T. Griffin</w:t>
      </w:r>
      <w:r>
        <w:rPr>
          <w:rFonts w:ascii="Times New Roman" w:eastAsia="Times New Roman" w:hAnsi="Times New Roman"/>
          <w:sz w:val="24"/>
          <w:szCs w:val="24"/>
        </w:rPr>
        <w:t xml:space="preserve">, the Court of Appeals of Illinois, Fourth Division, held (3 to 0) that the trial court judge properly rejected the defense suggested 12-year sentence and imposed 24 years which was within the sentencing range of 6 to 30 years (prosecutors recommended 30 years). The defendant set fire to a building where once was a tenant in apartments above Mother’s Bar. There were nine people in the building when the fire </w:t>
      </w:r>
      <w:proofErr w:type="gramStart"/>
      <w:r>
        <w:rPr>
          <w:rFonts w:ascii="Times New Roman" w:eastAsia="Times New Roman" w:hAnsi="Times New Roman"/>
          <w:sz w:val="24"/>
          <w:szCs w:val="24"/>
        </w:rPr>
        <w:t>was started</w:t>
      </w:r>
      <w:proofErr w:type="gramEnd"/>
      <w:r>
        <w:rPr>
          <w:rFonts w:ascii="Times New Roman" w:eastAsia="Times New Roman" w:hAnsi="Times New Roman"/>
          <w:sz w:val="24"/>
          <w:szCs w:val="24"/>
        </w:rPr>
        <w:t xml:space="preserve"> with gasoline, and the fire department had to rescue two from the roof. The trial court judge held a hearing prior to imposing the sentence, where numerous witnesses testified about the potential loss of life from the fire that destroyed the bar and the apartments above it.  </w:t>
      </w:r>
      <w:hyperlink r:id="rId213" w:history="1">
        <w:r w:rsidRPr="00B7678D">
          <w:rPr>
            <w:rStyle w:val="Hyperlink"/>
            <w:rFonts w:ascii="Times New Roman" w:eastAsia="Times New Roman" w:hAnsi="Times New Roman"/>
            <w:sz w:val="24"/>
            <w:szCs w:val="24"/>
          </w:rPr>
          <w:t>https://ilcourtsaudio.blob.core.windows.net/antilles-resources/resources/d420bdc6-9c63-45de-9274-2f897cb58b7d/People%20v.%20Griffin,%202022%20IL%20App%20(4th)%20210360-U.pdf</w:t>
        </w:r>
      </w:hyperlink>
    </w:p>
    <w:p w14:paraId="208CC806" w14:textId="77777777" w:rsidR="00E97D63" w:rsidRPr="00505C92" w:rsidRDefault="00E97D63" w:rsidP="00E97D63">
      <w:pPr>
        <w:spacing w:before="100" w:beforeAutospacing="1" w:after="100" w:afterAutospacing="1" w:line="240" w:lineRule="auto"/>
        <w:rPr>
          <w:rFonts w:ascii="Times New Roman" w:hAnsi="Times New Roman"/>
          <w:b/>
          <w:bCs/>
          <w:sz w:val="24"/>
          <w:szCs w:val="24"/>
        </w:rPr>
      </w:pPr>
      <w:r w:rsidRPr="00505C92">
        <w:rPr>
          <w:rFonts w:ascii="Times New Roman" w:hAnsi="Times New Roman"/>
          <w:b/>
          <w:bCs/>
          <w:sz w:val="24"/>
          <w:szCs w:val="24"/>
        </w:rPr>
        <w:lastRenderedPageBreak/>
        <w:t>Legal Lesson Learned:</w:t>
      </w:r>
      <w:r>
        <w:rPr>
          <w:rFonts w:ascii="Times New Roman" w:hAnsi="Times New Roman"/>
          <w:b/>
          <w:bCs/>
          <w:sz w:val="24"/>
          <w:szCs w:val="24"/>
        </w:rPr>
        <w:t xml:space="preserve">  The trial court properly considered the seriousness of the arsonist’s conduct in imposing the sentence. </w:t>
      </w:r>
    </w:p>
    <w:p w14:paraId="7F52A4E4" w14:textId="77777777" w:rsidR="00E97D63" w:rsidRDefault="00E97D63" w:rsidP="00E97D63">
      <w:pPr>
        <w:rPr>
          <w:rFonts w:ascii="Arial Black" w:hAnsi="Arial Black"/>
          <w:b/>
          <w:sz w:val="24"/>
          <w:szCs w:val="24"/>
        </w:rPr>
      </w:pPr>
    </w:p>
    <w:p w14:paraId="250BE199" w14:textId="77777777" w:rsidR="00E97D63" w:rsidRDefault="00E97D63" w:rsidP="002B1283">
      <w:pPr>
        <w:rPr>
          <w:rFonts w:ascii="Arial Black" w:hAnsi="Arial Black"/>
          <w:b/>
          <w:sz w:val="24"/>
          <w:szCs w:val="24"/>
        </w:rPr>
      </w:pPr>
    </w:p>
    <w:p w14:paraId="45EBE321" w14:textId="17294369" w:rsidR="00E97D63" w:rsidRDefault="00E97D63" w:rsidP="002B1283">
      <w:pPr>
        <w:rPr>
          <w:rFonts w:ascii="Arial Black" w:hAnsi="Arial Black"/>
          <w:b/>
          <w:sz w:val="24"/>
          <w:szCs w:val="24"/>
        </w:rPr>
      </w:pPr>
      <w:r>
        <w:rPr>
          <w:rFonts w:ascii="Arial Black" w:hAnsi="Arial Black"/>
          <w:b/>
          <w:sz w:val="24"/>
          <w:szCs w:val="24"/>
        </w:rPr>
        <w:t>1-99</w:t>
      </w:r>
    </w:p>
    <w:p w14:paraId="7FCA915D" w14:textId="77777777" w:rsidR="00E97D63" w:rsidRDefault="00E97D63" w:rsidP="00E97D6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U.S. SUP. CT: BOSTON CITY HALL - FLAGPOLE - EMS WORKERS &amp; OTHERS – MUST ALLOW “CHRISTIAN” FLAG </w:t>
      </w:r>
    </w:p>
    <w:p w14:paraId="1937931A" w14:textId="77777777" w:rsidR="00E97D63" w:rsidRDefault="00E97D63" w:rsidP="00E97D63">
      <w:pPr>
        <w:spacing w:before="100" w:beforeAutospacing="1" w:after="100" w:afterAutospacing="1" w:line="240" w:lineRule="auto"/>
        <w:rPr>
          <w:rFonts w:ascii="Times New Roman" w:eastAsia="Times New Roman" w:hAnsi="Times New Roman"/>
          <w:sz w:val="24"/>
          <w:szCs w:val="24"/>
        </w:rPr>
      </w:pPr>
      <w:r w:rsidRPr="00175BB2">
        <w:rPr>
          <w:rFonts w:ascii="Times New Roman" w:eastAsia="Times New Roman" w:hAnsi="Times New Roman"/>
          <w:sz w:val="24"/>
          <w:szCs w:val="24"/>
        </w:rPr>
        <w:t xml:space="preserve">On </w:t>
      </w:r>
      <w:r>
        <w:rPr>
          <w:rFonts w:ascii="Times New Roman" w:eastAsia="Times New Roman" w:hAnsi="Times New Roman"/>
          <w:sz w:val="24"/>
          <w:szCs w:val="24"/>
        </w:rPr>
        <w:t xml:space="preserve">May 2, 2022, in </w:t>
      </w:r>
      <w:r w:rsidRPr="00175BB2">
        <w:rPr>
          <w:rFonts w:ascii="Times New Roman" w:eastAsia="Times New Roman" w:hAnsi="Times New Roman"/>
          <w:sz w:val="24"/>
          <w:szCs w:val="24"/>
          <w:u w:val="single"/>
        </w:rPr>
        <w:t>Shurtleff, et al. v. City of Boston</w:t>
      </w:r>
      <w:r>
        <w:rPr>
          <w:rFonts w:ascii="Times New Roman" w:eastAsia="Times New Roman" w:hAnsi="Times New Roman"/>
          <w:sz w:val="24"/>
          <w:szCs w:val="24"/>
        </w:rPr>
        <w:t xml:space="preserve">, the U.S. Supreme Court unanimously held (9 to 0) that the City of Boston has three flag poles at City Hall and has allowed the third pole to be used by wide variety of groups; refusal of a group to raise a “Christian flag” violated First Amendment’s Free Speech clause. </w:t>
      </w:r>
      <w:hyperlink r:id="rId214" w:history="1">
        <w:r w:rsidRPr="00C8589E">
          <w:rPr>
            <w:rStyle w:val="Hyperlink"/>
            <w:rFonts w:ascii="Times New Roman" w:eastAsia="Times New Roman" w:hAnsi="Times New Roman"/>
            <w:sz w:val="24"/>
            <w:szCs w:val="24"/>
          </w:rPr>
          <w:t>https://www.supremecourt.gov/opinions/21pdf/20-1800_7lho.pdf</w:t>
        </w:r>
      </w:hyperlink>
      <w:r>
        <w:rPr>
          <w:rFonts w:ascii="Times New Roman" w:eastAsia="Times New Roman" w:hAnsi="Times New Roman"/>
          <w:sz w:val="24"/>
          <w:szCs w:val="24"/>
        </w:rPr>
        <w:t xml:space="preserve"> </w:t>
      </w:r>
    </w:p>
    <w:p w14:paraId="26400BE2" w14:textId="77777777" w:rsidR="00E97D63" w:rsidRDefault="00E97D63" w:rsidP="00E97D63">
      <w:pPr>
        <w:spacing w:before="100" w:beforeAutospacing="1" w:after="100" w:afterAutospacing="1" w:line="240" w:lineRule="auto"/>
        <w:rPr>
          <w:rFonts w:ascii="Times New Roman" w:eastAsia="Times New Roman" w:hAnsi="Times New Roman"/>
          <w:b/>
          <w:bCs/>
          <w:sz w:val="24"/>
          <w:szCs w:val="24"/>
        </w:rPr>
      </w:pPr>
      <w:r w:rsidRPr="008B63AA">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Fire &amp; EMS Departments that have flag poles should adopt policy restricting use to official activities only.</w:t>
      </w:r>
    </w:p>
    <w:p w14:paraId="70025F4E" w14:textId="77777777" w:rsidR="00E97D63" w:rsidRDefault="00E97D63" w:rsidP="002B1283">
      <w:pPr>
        <w:rPr>
          <w:rFonts w:ascii="Arial Black" w:hAnsi="Arial Black"/>
          <w:b/>
          <w:sz w:val="24"/>
          <w:szCs w:val="24"/>
        </w:rPr>
      </w:pPr>
    </w:p>
    <w:p w14:paraId="0904F329" w14:textId="5A9061BC" w:rsidR="00E97D63" w:rsidRDefault="00E97D63" w:rsidP="002B1283">
      <w:pPr>
        <w:rPr>
          <w:rFonts w:ascii="Arial Black" w:hAnsi="Arial Black"/>
          <w:b/>
          <w:sz w:val="24"/>
          <w:szCs w:val="24"/>
        </w:rPr>
      </w:pPr>
      <w:r>
        <w:rPr>
          <w:rFonts w:ascii="Arial Black" w:hAnsi="Arial Black"/>
          <w:b/>
          <w:sz w:val="24"/>
          <w:szCs w:val="24"/>
        </w:rPr>
        <w:t>1-98</w:t>
      </w:r>
    </w:p>
    <w:p w14:paraId="19C5610F" w14:textId="77777777" w:rsidR="00E97D63" w:rsidRDefault="00E97D63" w:rsidP="00E97D63">
      <w:pPr>
        <w:spacing w:before="100" w:beforeAutospacing="1" w:after="100" w:afterAutospacing="1" w:line="240" w:lineRule="auto"/>
        <w:rPr>
          <w:rFonts w:ascii="Arial Black" w:hAnsi="Arial Black"/>
          <w:sz w:val="28"/>
          <w:szCs w:val="28"/>
        </w:rPr>
      </w:pPr>
      <w:r>
        <w:rPr>
          <w:rFonts w:ascii="Arial Black" w:hAnsi="Arial Black"/>
          <w:sz w:val="28"/>
          <w:szCs w:val="28"/>
        </w:rPr>
        <w:t>VA: HOMEOWNER CONV. ARSON UPHELD - FOUR SEPARATE FIRES – DEF. EXPERT NEVER TALKED FF WHO WERE THERE</w:t>
      </w:r>
    </w:p>
    <w:p w14:paraId="4BECB7C3" w14:textId="44293DC9" w:rsidR="00E97D63" w:rsidRDefault="00E97D63" w:rsidP="00E97D63">
      <w:pPr>
        <w:rPr>
          <w:rFonts w:ascii="Arial Black" w:hAnsi="Arial Black"/>
          <w:b/>
          <w:sz w:val="24"/>
          <w:szCs w:val="24"/>
        </w:rPr>
      </w:pPr>
      <w:r>
        <w:rPr>
          <w:rFonts w:ascii="Times New Roman" w:hAnsi="Times New Roman"/>
          <w:sz w:val="24"/>
          <w:szCs w:val="24"/>
        </w:rPr>
        <w:t xml:space="preserve">On April 26, 2022, in </w:t>
      </w:r>
      <w:r w:rsidRPr="00390AD2">
        <w:rPr>
          <w:rFonts w:ascii="Times New Roman" w:hAnsi="Times New Roman"/>
          <w:sz w:val="24"/>
          <w:szCs w:val="24"/>
          <w:u w:val="single"/>
        </w:rPr>
        <w:t>Maria Goodman v. Commonwealth of Virginia</w:t>
      </w:r>
      <w:r>
        <w:rPr>
          <w:rFonts w:ascii="Times New Roman" w:hAnsi="Times New Roman"/>
          <w:sz w:val="24"/>
          <w:szCs w:val="24"/>
        </w:rPr>
        <w:t xml:space="preserve">, the Court of Appeals of Virginia held (3 to 0) that the jury properly found the homeowner guilty of arson.  The defense expert </w:t>
      </w:r>
      <w:proofErr w:type="gramStart"/>
      <w:r>
        <w:rPr>
          <w:rFonts w:ascii="Times New Roman" w:hAnsi="Times New Roman"/>
          <w:sz w:val="24"/>
          <w:szCs w:val="24"/>
        </w:rPr>
        <w:t>speculated</w:t>
      </w:r>
      <w:proofErr w:type="gramEnd"/>
      <w:r>
        <w:rPr>
          <w:rFonts w:ascii="Times New Roman" w:hAnsi="Times New Roman"/>
          <w:sz w:val="24"/>
          <w:szCs w:val="24"/>
        </w:rPr>
        <w:t xml:space="preserve"> fire might have started in attic and then ignited for locations in </w:t>
      </w:r>
      <w:proofErr w:type="gramStart"/>
      <w:r>
        <w:rPr>
          <w:rFonts w:ascii="Times New Roman" w:hAnsi="Times New Roman"/>
          <w:sz w:val="24"/>
          <w:szCs w:val="24"/>
        </w:rPr>
        <w:t>house</w:t>
      </w:r>
      <w:proofErr w:type="gramEnd"/>
      <w:r>
        <w:rPr>
          <w:rFonts w:ascii="Times New Roman" w:hAnsi="Times New Roman"/>
          <w:sz w:val="24"/>
          <w:szCs w:val="24"/>
        </w:rPr>
        <w:t xml:space="preserve"> but the bedroom doors were shut and he never interviewed any of the firefighters. The jury recommended five </w:t>
      </w:r>
      <w:proofErr w:type="spellStart"/>
      <w:r>
        <w:rPr>
          <w:rFonts w:ascii="Times New Roman" w:hAnsi="Times New Roman"/>
          <w:sz w:val="24"/>
          <w:szCs w:val="24"/>
        </w:rPr>
        <w:t>years</w:t>
      </w:r>
      <w:proofErr w:type="spellEnd"/>
      <w:r>
        <w:rPr>
          <w:rFonts w:ascii="Times New Roman" w:hAnsi="Times New Roman"/>
          <w:sz w:val="24"/>
          <w:szCs w:val="24"/>
        </w:rPr>
        <w:t xml:space="preserve"> incarceration, but trial judge suspended four years. </w:t>
      </w:r>
      <w:hyperlink r:id="rId215" w:history="1">
        <w:r w:rsidRPr="00C8589E">
          <w:rPr>
            <w:rStyle w:val="Hyperlink"/>
            <w:rFonts w:ascii="Times New Roman" w:hAnsi="Times New Roman"/>
            <w:sz w:val="24"/>
            <w:szCs w:val="24"/>
          </w:rPr>
          <w:t>https://law.justia.com/cases/virginia/court-of-appeals-unpublished/2022/0509-21-2.html</w:t>
        </w:r>
      </w:hyperlink>
    </w:p>
    <w:p w14:paraId="09445627" w14:textId="77777777" w:rsidR="00E97D63" w:rsidRDefault="00E97D63" w:rsidP="00E97D63">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Defense expert testimony shown to be unreliable on cross examination. </w:t>
      </w:r>
    </w:p>
    <w:p w14:paraId="4807FD44" w14:textId="77777777" w:rsidR="00E97D63" w:rsidRDefault="00E97D63" w:rsidP="002B1283">
      <w:pPr>
        <w:rPr>
          <w:rFonts w:ascii="Arial Black" w:hAnsi="Arial Black"/>
          <w:b/>
          <w:sz w:val="24"/>
          <w:szCs w:val="24"/>
        </w:rPr>
      </w:pPr>
    </w:p>
    <w:p w14:paraId="08DFF939" w14:textId="1DF12AE9" w:rsidR="00E97D63" w:rsidRDefault="00E97D63" w:rsidP="002B1283">
      <w:pPr>
        <w:rPr>
          <w:rFonts w:ascii="Arial Black" w:hAnsi="Arial Black"/>
          <w:b/>
          <w:sz w:val="24"/>
          <w:szCs w:val="24"/>
        </w:rPr>
      </w:pPr>
      <w:r>
        <w:rPr>
          <w:rFonts w:ascii="Arial Black" w:hAnsi="Arial Black"/>
          <w:b/>
          <w:sz w:val="24"/>
          <w:szCs w:val="24"/>
        </w:rPr>
        <w:t>1-97</w:t>
      </w:r>
    </w:p>
    <w:p w14:paraId="0CA63E7F" w14:textId="77777777" w:rsidR="00E97D63" w:rsidRPr="00914550" w:rsidRDefault="00E97D63" w:rsidP="00E97D63">
      <w:pPr>
        <w:spacing w:before="100" w:beforeAutospacing="1" w:after="100" w:afterAutospacing="1" w:line="240" w:lineRule="auto"/>
        <w:rPr>
          <w:rFonts w:ascii="Arial Black" w:eastAsia="Times New Roman" w:hAnsi="Arial Black"/>
          <w:sz w:val="28"/>
          <w:szCs w:val="28"/>
        </w:rPr>
      </w:pPr>
      <w:r w:rsidRPr="00914550">
        <w:rPr>
          <w:rFonts w:ascii="Arial Black" w:eastAsia="Times New Roman" w:hAnsi="Arial Black"/>
          <w:sz w:val="28"/>
          <w:szCs w:val="28"/>
        </w:rPr>
        <w:t xml:space="preserve">TX: </w:t>
      </w:r>
      <w:r>
        <w:rPr>
          <w:rFonts w:ascii="Arial Black" w:eastAsia="Times New Roman" w:hAnsi="Arial Black"/>
          <w:sz w:val="28"/>
          <w:szCs w:val="28"/>
        </w:rPr>
        <w:t>NO INJURY MVA – INSURANCE CO. PHOTOS HELPFUL – HUSBAND KILLED TAKING PICTURES – CAN’T SUE CO.</w:t>
      </w:r>
    </w:p>
    <w:p w14:paraId="60B83386" w14:textId="77777777" w:rsidR="00E97D63" w:rsidRDefault="00E97D63" w:rsidP="00E97D6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22, 2022, in </w:t>
      </w:r>
      <w:r w:rsidRPr="00902188">
        <w:rPr>
          <w:rFonts w:ascii="Times New Roman" w:eastAsia="Times New Roman" w:hAnsi="Times New Roman"/>
          <w:sz w:val="24"/>
          <w:szCs w:val="24"/>
          <w:u w:val="single"/>
        </w:rPr>
        <w:t>Elephant Insurance Company, LLC v. Lorraine Kenyon, Individually and Executrix of Estate of Theodore Kenyon</w:t>
      </w:r>
      <w:r>
        <w:rPr>
          <w:rFonts w:ascii="Times New Roman" w:eastAsia="Times New Roman" w:hAnsi="Times New Roman"/>
          <w:sz w:val="24"/>
          <w:szCs w:val="24"/>
        </w:rPr>
        <w:t xml:space="preserve">, the Supreme Court of Texas held (3 to 0) that the Insurance Company did not breach a duty of care, and the trial court properly granted summary judgment to the company. Mrs. Kenyon lost </w:t>
      </w:r>
      <w:r>
        <w:rPr>
          <w:rFonts w:ascii="Times New Roman" w:eastAsia="Times New Roman" w:hAnsi="Times New Roman"/>
          <w:sz w:val="24"/>
          <w:szCs w:val="24"/>
        </w:rPr>
        <w:lastRenderedPageBreak/>
        <w:t>control of her car on a rain-slick road, striking a guardrail. She called the Insurance Company’s call center in Virginia and was advised:</w:t>
      </w:r>
    </w:p>
    <w:p w14:paraId="159D8E06" w14:textId="77777777" w:rsidR="00E97D63" w:rsidRPr="00914550" w:rsidRDefault="00E97D63" w:rsidP="00E97D63">
      <w:pPr>
        <w:spacing w:before="100" w:beforeAutospacing="1" w:after="100" w:afterAutospacing="1" w:line="240" w:lineRule="auto"/>
        <w:rPr>
          <w:rFonts w:ascii="Times New Roman" w:eastAsia="Times New Roman" w:hAnsi="Times New Roman"/>
          <w:sz w:val="24"/>
          <w:szCs w:val="24"/>
        </w:rPr>
      </w:pPr>
      <w:r w:rsidRPr="00914550">
        <w:rPr>
          <w:rFonts w:ascii="Times New Roman" w:eastAsia="Times New Roman" w:hAnsi="Times New Roman"/>
          <w:sz w:val="24"/>
          <w:szCs w:val="24"/>
        </w:rPr>
        <w:t>         </w:t>
      </w:r>
      <w:r w:rsidRPr="00914550">
        <w:rPr>
          <w:rFonts w:ascii="Times New Roman" w:eastAsia="Times New Roman" w:hAnsi="Times New Roman"/>
          <w:i/>
          <w:iCs/>
          <w:sz w:val="24"/>
          <w:szCs w:val="24"/>
        </w:rPr>
        <w:t>Kenyon</w:t>
      </w:r>
      <w:r w:rsidRPr="00914550">
        <w:rPr>
          <w:rFonts w:ascii="Times New Roman" w:eastAsia="Times New Roman" w:hAnsi="Times New Roman"/>
          <w:sz w:val="24"/>
          <w:szCs w:val="24"/>
        </w:rPr>
        <w:t xml:space="preserve">: Do you want us to take pictures? </w:t>
      </w:r>
    </w:p>
    <w:p w14:paraId="585E36B3" w14:textId="77777777" w:rsidR="00E97D63" w:rsidRDefault="00E97D63" w:rsidP="00E97D63">
      <w:pPr>
        <w:spacing w:before="100" w:beforeAutospacing="1" w:after="100" w:afterAutospacing="1" w:line="240" w:lineRule="auto"/>
        <w:ind w:left="630"/>
        <w:rPr>
          <w:rFonts w:ascii="Times New Roman" w:eastAsia="Times New Roman" w:hAnsi="Times New Roman"/>
          <w:sz w:val="24"/>
          <w:szCs w:val="24"/>
        </w:rPr>
      </w:pPr>
      <w:r w:rsidRPr="00914550">
        <w:rPr>
          <w:rFonts w:ascii="Times New Roman" w:eastAsia="Times New Roman" w:hAnsi="Times New Roman"/>
          <w:i/>
          <w:iCs/>
          <w:sz w:val="24"/>
          <w:szCs w:val="24"/>
        </w:rPr>
        <w:t>Elephant</w:t>
      </w:r>
      <w:r w:rsidRPr="00914550">
        <w:rPr>
          <w:rFonts w:ascii="Times New Roman" w:eastAsia="Times New Roman" w:hAnsi="Times New Roman"/>
          <w:sz w:val="24"/>
          <w:szCs w:val="24"/>
        </w:rPr>
        <w:t xml:space="preserve">: Yes, ma'am. Go ahead and take pictures. And - And we always recommend that you get the police involved but it's up to you whether you call them or not. Is your vehicle </w:t>
      </w:r>
      <w:proofErr w:type="gramStart"/>
      <w:r w:rsidRPr="00914550">
        <w:rPr>
          <w:rFonts w:ascii="Times New Roman" w:eastAsia="Times New Roman" w:hAnsi="Times New Roman"/>
          <w:sz w:val="24"/>
          <w:szCs w:val="24"/>
        </w:rPr>
        <w:t>drivable</w:t>
      </w:r>
      <w:proofErr w:type="gramEnd"/>
      <w:r w:rsidRPr="00914550">
        <w:rPr>
          <w:rFonts w:ascii="Times New Roman" w:eastAsia="Times New Roman" w:hAnsi="Times New Roman"/>
          <w:sz w:val="24"/>
          <w:szCs w:val="24"/>
        </w:rPr>
        <w:t xml:space="preserve">? </w:t>
      </w:r>
    </w:p>
    <w:p w14:paraId="3165458C" w14:textId="77777777" w:rsidR="00E97D63" w:rsidRPr="00914550" w:rsidRDefault="00E97D63" w:rsidP="00E97D6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Her husband arrived at the scene and was taking photos when another motorist struck slid on the highway, struck and killed him. </w:t>
      </w:r>
      <w:hyperlink r:id="rId216" w:history="1">
        <w:r w:rsidRPr="00D45A3B">
          <w:rPr>
            <w:rStyle w:val="Hyperlink"/>
            <w:rFonts w:ascii="Times New Roman" w:eastAsia="Times New Roman" w:hAnsi="Times New Roman"/>
            <w:sz w:val="24"/>
            <w:szCs w:val="24"/>
          </w:rPr>
          <w:t>https://law.justia.com/cases/texas/supreme-court/2022/20-0366-0.html</w:t>
        </w:r>
      </w:hyperlink>
      <w:r>
        <w:rPr>
          <w:rFonts w:ascii="Times New Roman" w:eastAsia="Times New Roman" w:hAnsi="Times New Roman"/>
          <w:sz w:val="24"/>
          <w:szCs w:val="24"/>
        </w:rPr>
        <w:t xml:space="preserve"> </w:t>
      </w:r>
    </w:p>
    <w:p w14:paraId="7D60B29F" w14:textId="77777777" w:rsidR="00E97D63" w:rsidRPr="0050649F" w:rsidRDefault="00E97D63" w:rsidP="00E97D63">
      <w:pPr>
        <w:pStyle w:val="NormalWeb"/>
        <w:rPr>
          <w:b/>
          <w:bCs/>
        </w:rPr>
      </w:pPr>
      <w:r w:rsidRPr="0050649F">
        <w:rPr>
          <w:b/>
          <w:bCs/>
        </w:rPr>
        <w:t>Legal Lesson Learned:</w:t>
      </w:r>
      <w:r>
        <w:rPr>
          <w:b/>
          <w:bCs/>
        </w:rPr>
        <w:t xml:space="preserve">  Taking photos at MVA scene can be high risk not only for civilians but also for emergency responders; it’s a shame the driver didn’t call for a police officer to arrive and further protect the scene.  </w:t>
      </w:r>
    </w:p>
    <w:p w14:paraId="65872513" w14:textId="77777777" w:rsidR="00E97D63" w:rsidRDefault="00E97D63" w:rsidP="002B1283">
      <w:pPr>
        <w:rPr>
          <w:rFonts w:ascii="Arial Black" w:hAnsi="Arial Black"/>
          <w:b/>
          <w:sz w:val="24"/>
          <w:szCs w:val="24"/>
        </w:rPr>
      </w:pPr>
    </w:p>
    <w:p w14:paraId="3549C5BE" w14:textId="77777777" w:rsidR="00E97D63" w:rsidRDefault="00E97D63" w:rsidP="002B1283">
      <w:pPr>
        <w:rPr>
          <w:rFonts w:ascii="Arial Black" w:hAnsi="Arial Black"/>
          <w:b/>
          <w:sz w:val="24"/>
          <w:szCs w:val="24"/>
        </w:rPr>
      </w:pPr>
    </w:p>
    <w:p w14:paraId="5820F722" w14:textId="5AF92E07" w:rsidR="00E63B44" w:rsidRDefault="00E63B44" w:rsidP="002B1283">
      <w:pPr>
        <w:rPr>
          <w:rFonts w:ascii="Arial Black" w:hAnsi="Arial Black"/>
          <w:b/>
          <w:sz w:val="24"/>
          <w:szCs w:val="24"/>
        </w:rPr>
      </w:pPr>
      <w:r>
        <w:rPr>
          <w:rFonts w:ascii="Arial Black" w:hAnsi="Arial Black"/>
          <w:b/>
          <w:sz w:val="24"/>
          <w:szCs w:val="24"/>
        </w:rPr>
        <w:t>1-96</w:t>
      </w:r>
    </w:p>
    <w:p w14:paraId="2467B08A" w14:textId="107E004C" w:rsidR="00257457" w:rsidRDefault="00257457" w:rsidP="002B1283">
      <w:pPr>
        <w:rPr>
          <w:rFonts w:ascii="Arial Black" w:hAnsi="Arial Black"/>
          <w:b/>
          <w:sz w:val="24"/>
          <w:szCs w:val="24"/>
        </w:rPr>
      </w:pPr>
      <w:r>
        <w:rPr>
          <w:rFonts w:ascii="Arial Black" w:hAnsi="Arial Black"/>
          <w:b/>
          <w:sz w:val="24"/>
          <w:szCs w:val="24"/>
        </w:rPr>
        <w:t>IL – RESIDENTIAL PROPERTY – SPRINKLER ORDINANCE</w:t>
      </w:r>
      <w:r w:rsidR="00EE4546">
        <w:rPr>
          <w:rFonts w:ascii="Arial Black" w:hAnsi="Arial Black"/>
          <w:b/>
          <w:sz w:val="24"/>
          <w:szCs w:val="24"/>
        </w:rPr>
        <w:t xml:space="preserve"> UPHELD</w:t>
      </w:r>
    </w:p>
    <w:p w14:paraId="7CCE4B86" w14:textId="77777777" w:rsidR="00E63B44" w:rsidRDefault="00E63B44" w:rsidP="00E63B44">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March 17, 2022, in </w:t>
      </w:r>
      <w:r w:rsidRPr="00114240">
        <w:rPr>
          <w:rFonts w:ascii="Times New Roman" w:hAnsi="Times New Roman"/>
          <w:sz w:val="24"/>
          <w:szCs w:val="24"/>
          <w:u w:val="single"/>
        </w:rPr>
        <w:t>2095 Stonington, LLC v. Village of Hoffman Estates</w:t>
      </w:r>
      <w:r>
        <w:rPr>
          <w:rFonts w:ascii="Times New Roman" w:hAnsi="Times New Roman"/>
          <w:sz w:val="24"/>
          <w:szCs w:val="24"/>
        </w:rPr>
        <w:t xml:space="preserve">, the Court of Appeals of Illinois, First District (Fourth Division) held (3 to 0) that the trial court properly found that the ordinance is neither arbitrary or discriminatory, and the Plaintiff when acquiring the commercial property in 2016 (13 rental units, including manufacturing operations) had an obligation to comply with the 2002 Village ordinance, at cost of about $573,000 in a building worth $1.5 million.  </w:t>
      </w:r>
      <w:r w:rsidRPr="00BB5D93">
        <w:rPr>
          <w:rFonts w:ascii="Times New Roman" w:hAnsi="Times New Roman"/>
          <w:sz w:val="24"/>
          <w:szCs w:val="24"/>
        </w:rPr>
        <w:t>The trial court concluded that plaintiff failed to prove that residential properties and commercial properties are similarly situated for purposes of fire protection of the occupants and, therefore, plaintiff's equal protection claim failed.</w:t>
      </w:r>
      <w:r>
        <w:rPr>
          <w:rFonts w:ascii="Times New Roman" w:hAnsi="Times New Roman"/>
          <w:sz w:val="24"/>
          <w:szCs w:val="24"/>
        </w:rPr>
        <w:t xml:space="preserve"> </w:t>
      </w:r>
      <w:hyperlink r:id="rId217" w:history="1">
        <w:r w:rsidRPr="0083693C">
          <w:rPr>
            <w:rStyle w:val="Hyperlink"/>
            <w:rFonts w:ascii="Times New Roman" w:eastAsia="Times New Roman" w:hAnsi="Times New Roman"/>
            <w:sz w:val="24"/>
            <w:szCs w:val="24"/>
          </w:rPr>
          <w:t>https://casetext.com/case/2095-stonington-llc-v-vill-of-hoffman-estates</w:t>
        </w:r>
      </w:hyperlink>
      <w:r>
        <w:rPr>
          <w:rFonts w:ascii="Times New Roman" w:eastAsia="Times New Roman" w:hAnsi="Times New Roman"/>
          <w:sz w:val="24"/>
          <w:szCs w:val="24"/>
        </w:rPr>
        <w:t xml:space="preserve"> </w:t>
      </w:r>
    </w:p>
    <w:p w14:paraId="11345250" w14:textId="77777777" w:rsidR="00E63B44" w:rsidRPr="0064523F" w:rsidRDefault="00E63B44" w:rsidP="00E63B44">
      <w:pPr>
        <w:spacing w:before="100" w:beforeAutospacing="1" w:after="100" w:afterAutospacing="1" w:line="240" w:lineRule="auto"/>
        <w:ind w:left="720"/>
        <w:rPr>
          <w:rFonts w:ascii="Times New Roman" w:hAnsi="Times New Roman"/>
          <w:sz w:val="24"/>
          <w:szCs w:val="24"/>
        </w:rPr>
      </w:pPr>
      <w:r>
        <w:t>“</w:t>
      </w:r>
      <w:r w:rsidRPr="0064523F">
        <w:rPr>
          <w:rFonts w:ascii="Times New Roman" w:hAnsi="Times New Roman"/>
          <w:sz w:val="24"/>
          <w:szCs w:val="24"/>
        </w:rPr>
        <w:t>Plaintiff contends that it is both arbitrary and discriminatory as the ordinance makes irrational distinctions between commercial properties and multi-family dwellings. Specifically, plaintiff observes that while defendant amended the ordinance in 2002 to exclude multi-family dwellings based on cost, such an amendment was not considered for older commercial buildings. Furthermore, plaintiff argues that its particular property did not warrant the installation of an automatic sprinkler system because it is equipped with alternative fire prevention measures and his fire expert, Glenn, testified the construction and layout of the property made the property safer than most.</w:t>
      </w:r>
    </w:p>
    <w:p w14:paraId="1F4679A4" w14:textId="77777777" w:rsidR="00E63B44" w:rsidRPr="0064523F" w:rsidRDefault="00E63B44" w:rsidP="00E63B44">
      <w:pPr>
        <w:spacing w:before="100" w:beforeAutospacing="1" w:after="100" w:afterAutospacing="1" w:line="240" w:lineRule="auto"/>
        <w:ind w:left="720"/>
        <w:rPr>
          <w:rFonts w:ascii="Times New Roman" w:hAnsi="Times New Roman"/>
          <w:sz w:val="24"/>
          <w:szCs w:val="24"/>
        </w:rPr>
      </w:pPr>
      <w:r w:rsidRPr="0064523F">
        <w:rPr>
          <w:rFonts w:ascii="Times New Roman" w:hAnsi="Times New Roman"/>
          <w:sz w:val="24"/>
          <w:szCs w:val="24"/>
        </w:rPr>
        <w:t>***</w:t>
      </w:r>
    </w:p>
    <w:p w14:paraId="6DB5535B" w14:textId="77777777" w:rsidR="00E63B44" w:rsidRDefault="00E63B44" w:rsidP="00E63B44">
      <w:pPr>
        <w:spacing w:before="100" w:beforeAutospacing="1" w:after="100" w:afterAutospacing="1" w:line="240" w:lineRule="auto"/>
        <w:ind w:left="720"/>
        <w:rPr>
          <w:rFonts w:ascii="Times New Roman" w:eastAsia="Times New Roman" w:hAnsi="Times New Roman"/>
          <w:sz w:val="24"/>
          <w:szCs w:val="24"/>
        </w:rPr>
      </w:pPr>
      <w:r w:rsidRPr="00CD7D0E">
        <w:rPr>
          <w:rFonts w:ascii="Times New Roman" w:eastAsia="Times New Roman" w:hAnsi="Times New Roman"/>
          <w:sz w:val="24"/>
          <w:szCs w:val="24"/>
        </w:rPr>
        <w:t>While the property at issue is fitted with smoke detectors, a fire alarm system, manual pull stations, and a direct connection to the Hoffman Estates Fire Department, the evidence presented established that more can be done to protect the life and property of the occupants at the property; namely, retrofitting the property with an automatic sprinkler system. There was no dispute that were such a system installed it would benefit the public and offer more protection to the occupants than what is currently installed. The ordinance, as applied to plaintiff's property, is neither arbitrary nor discriminatory. Accordingly, we find that while the trial court did err in not applying the rational basis test, its ultimate finding was correct-the ordinance is not unconstitutional as applied to plaintiff.</w:t>
      </w:r>
      <w:r>
        <w:rPr>
          <w:rFonts w:ascii="Times New Roman" w:eastAsia="Times New Roman" w:hAnsi="Times New Roman"/>
          <w:sz w:val="24"/>
          <w:szCs w:val="24"/>
        </w:rPr>
        <w:t xml:space="preserve">” </w:t>
      </w:r>
      <w:hyperlink r:id="rId218" w:history="1">
        <w:r w:rsidRPr="0083693C">
          <w:rPr>
            <w:rStyle w:val="Hyperlink"/>
            <w:rFonts w:ascii="Times New Roman" w:eastAsia="Times New Roman" w:hAnsi="Times New Roman"/>
            <w:sz w:val="24"/>
            <w:szCs w:val="24"/>
          </w:rPr>
          <w:t>https://casetext.com/case/2095-stonington-llc-v-vill-of-hoffman-estates</w:t>
        </w:r>
      </w:hyperlink>
      <w:r>
        <w:rPr>
          <w:rFonts w:ascii="Times New Roman" w:eastAsia="Times New Roman" w:hAnsi="Times New Roman"/>
          <w:sz w:val="24"/>
          <w:szCs w:val="24"/>
        </w:rPr>
        <w:t xml:space="preserve"> </w:t>
      </w:r>
    </w:p>
    <w:p w14:paraId="59121ED6" w14:textId="77777777" w:rsidR="00E63B44" w:rsidRPr="002C3FE0" w:rsidRDefault="00E63B44" w:rsidP="00E63B44">
      <w:pPr>
        <w:spacing w:before="100" w:beforeAutospacing="1" w:after="100" w:afterAutospacing="1" w:line="240" w:lineRule="auto"/>
        <w:rPr>
          <w:rFonts w:ascii="Times New Roman" w:eastAsia="Times New Roman" w:hAnsi="Times New Roman"/>
          <w:b/>
          <w:bCs/>
          <w:sz w:val="24"/>
          <w:szCs w:val="24"/>
        </w:rPr>
      </w:pPr>
      <w:r w:rsidRPr="00091755">
        <w:rPr>
          <w:rFonts w:ascii="Times New Roman" w:eastAsia="Times New Roman" w:hAnsi="Times New Roman"/>
          <w:b/>
          <w:bCs/>
          <w:sz w:val="24"/>
          <w:szCs w:val="24"/>
        </w:rPr>
        <w:lastRenderedPageBreak/>
        <w:t>Legal Lesson Learned:</w:t>
      </w:r>
      <w:r>
        <w:rPr>
          <w:rFonts w:ascii="Times New Roman" w:eastAsia="Times New Roman" w:hAnsi="Times New Roman"/>
          <w:b/>
          <w:bCs/>
          <w:sz w:val="24"/>
          <w:szCs w:val="24"/>
        </w:rPr>
        <w:t xml:space="preserve"> Excellent decision, balancing the benefits of sprinklers versus costs. </w:t>
      </w:r>
    </w:p>
    <w:p w14:paraId="6ECCFF6C" w14:textId="77777777" w:rsidR="00E63B44" w:rsidRDefault="00E63B44" w:rsidP="002B1283">
      <w:pPr>
        <w:rPr>
          <w:rFonts w:ascii="Arial Black" w:hAnsi="Arial Black"/>
          <w:b/>
          <w:sz w:val="24"/>
          <w:szCs w:val="24"/>
        </w:rPr>
      </w:pPr>
    </w:p>
    <w:p w14:paraId="339A306A" w14:textId="03B5C180" w:rsidR="00A20CA7" w:rsidRDefault="00A20CA7" w:rsidP="002B1283">
      <w:pPr>
        <w:rPr>
          <w:rFonts w:ascii="Arial Black" w:hAnsi="Arial Black"/>
          <w:b/>
          <w:sz w:val="24"/>
          <w:szCs w:val="24"/>
        </w:rPr>
      </w:pPr>
      <w:r>
        <w:rPr>
          <w:rFonts w:ascii="Arial Black" w:hAnsi="Arial Black"/>
          <w:b/>
          <w:sz w:val="24"/>
          <w:szCs w:val="24"/>
        </w:rPr>
        <w:t>1-95</w:t>
      </w:r>
    </w:p>
    <w:p w14:paraId="5DF07700" w14:textId="77777777" w:rsidR="00A20CA7" w:rsidRDefault="00A20CA7" w:rsidP="00A20CA7">
      <w:pPr>
        <w:rPr>
          <w:rStyle w:val="markedcontent"/>
          <w:rFonts w:ascii="Arial Black" w:hAnsi="Arial Black"/>
          <w:sz w:val="28"/>
          <w:szCs w:val="28"/>
        </w:rPr>
      </w:pPr>
      <w:r>
        <w:rPr>
          <w:rStyle w:val="markedcontent"/>
          <w:rFonts w:ascii="Arial Black" w:hAnsi="Arial Black"/>
          <w:sz w:val="28"/>
          <w:szCs w:val="28"/>
        </w:rPr>
        <w:t>U.S. SUP. CT: COVID-19 - OSHA MANDATE SET ASIDE – CMS MANDATE FOR HEALTH WORKERS UPHELD</w:t>
      </w:r>
    </w:p>
    <w:p w14:paraId="6D123222" w14:textId="03B28E12" w:rsidR="00A20CA7" w:rsidRDefault="00A20CA7" w:rsidP="00A20CA7">
      <w:pPr>
        <w:rPr>
          <w:rFonts w:ascii="Times New Roman" w:hAnsi="Times New Roman"/>
          <w:sz w:val="24"/>
          <w:szCs w:val="24"/>
        </w:rPr>
      </w:pPr>
      <w:r>
        <w:rPr>
          <w:rFonts w:ascii="Times New Roman" w:hAnsi="Times New Roman"/>
          <w:sz w:val="24"/>
          <w:szCs w:val="24"/>
        </w:rPr>
        <w:t xml:space="preserve">On Jan. 13, 2022, in </w:t>
      </w:r>
      <w:r w:rsidRPr="00132CF6">
        <w:rPr>
          <w:rFonts w:ascii="Times New Roman" w:hAnsi="Times New Roman"/>
          <w:sz w:val="24"/>
          <w:szCs w:val="24"/>
          <w:u w:val="single"/>
        </w:rPr>
        <w:t>Biden v. Missouri</w:t>
      </w:r>
      <w:r>
        <w:rPr>
          <w:rFonts w:ascii="Times New Roman" w:hAnsi="Times New Roman"/>
          <w:sz w:val="24"/>
          <w:szCs w:val="24"/>
        </w:rPr>
        <w:t>, the U.S. Supreme Court (5 to 4) upheld the health worker</w:t>
      </w:r>
      <w:r w:rsidR="002E00D9">
        <w:rPr>
          <w:rFonts w:ascii="Times New Roman" w:hAnsi="Times New Roman"/>
          <w:sz w:val="24"/>
          <w:szCs w:val="24"/>
        </w:rPr>
        <w:t>’</w:t>
      </w:r>
      <w:r>
        <w:rPr>
          <w:rFonts w:ascii="Times New Roman" w:hAnsi="Times New Roman"/>
          <w:sz w:val="24"/>
          <w:szCs w:val="24"/>
        </w:rPr>
        <w:t xml:space="preserve">s mandate. </w:t>
      </w:r>
    </w:p>
    <w:p w14:paraId="6E1A3B35" w14:textId="00F62972" w:rsidR="00A20CA7" w:rsidRDefault="00A20CA7" w:rsidP="00A20CA7">
      <w:pPr>
        <w:ind w:left="720"/>
        <w:rPr>
          <w:rFonts w:ascii="Times New Roman" w:hAnsi="Times New Roman"/>
          <w:sz w:val="24"/>
          <w:szCs w:val="24"/>
        </w:rPr>
      </w:pPr>
      <w:r>
        <w:rPr>
          <w:rStyle w:val="markedcontent"/>
          <w:rFonts w:ascii="Times New Roman" w:hAnsi="Times New Roman"/>
          <w:sz w:val="24"/>
          <w:szCs w:val="24"/>
        </w:rPr>
        <w:t>“</w:t>
      </w:r>
      <w:r w:rsidRPr="00132CF6">
        <w:rPr>
          <w:rStyle w:val="markedcontent"/>
          <w:rFonts w:ascii="Times New Roman" w:hAnsi="Times New Roman"/>
          <w:sz w:val="24"/>
          <w:szCs w:val="24"/>
        </w:rPr>
        <w:t xml:space="preserve">The Secretary of Health and Human Services </w:t>
      </w:r>
      <w:proofErr w:type="gramStart"/>
      <w:r w:rsidRPr="00132CF6">
        <w:rPr>
          <w:rStyle w:val="markedcontent"/>
          <w:rFonts w:ascii="Times New Roman" w:hAnsi="Times New Roman"/>
          <w:sz w:val="24"/>
          <w:szCs w:val="24"/>
        </w:rPr>
        <w:t>administers</w:t>
      </w:r>
      <w:proofErr w:type="gramEnd"/>
      <w:r w:rsidRPr="00132CF6">
        <w:rPr>
          <w:rStyle w:val="markedcontent"/>
          <w:rFonts w:ascii="Times New Roman" w:hAnsi="Times New Roman"/>
          <w:sz w:val="24"/>
          <w:szCs w:val="24"/>
        </w:rPr>
        <w:t xml:space="preserve"> the Medicare and Medicaid programs, which provide</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 xml:space="preserve">health insurance for millions of elderly, disabled, and low-income Americans. In November 2021, the Secretary announced that, </w:t>
      </w:r>
      <w:proofErr w:type="gramStart"/>
      <w:r w:rsidRPr="00132CF6">
        <w:rPr>
          <w:rStyle w:val="markedcontent"/>
          <w:rFonts w:ascii="Times New Roman" w:hAnsi="Times New Roman"/>
          <w:sz w:val="24"/>
          <w:szCs w:val="24"/>
        </w:rPr>
        <w:t>in order to</w:t>
      </w:r>
      <w:proofErr w:type="gramEnd"/>
      <w:r w:rsidRPr="00132CF6">
        <w:rPr>
          <w:rStyle w:val="markedcontent"/>
          <w:rFonts w:ascii="Times New Roman" w:hAnsi="Times New Roman"/>
          <w:sz w:val="24"/>
          <w:szCs w:val="24"/>
        </w:rPr>
        <w:t xml:space="preserve"> receive Medicare and Medicaid</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funding, participating facilities must ensure that their</w:t>
      </w:r>
      <w:r w:rsidR="002E00D9">
        <w:rPr>
          <w:rStyle w:val="markedcontent"/>
          <w:rFonts w:ascii="Times New Roman" w:hAnsi="Times New Roman"/>
          <w:sz w:val="24"/>
          <w:szCs w:val="24"/>
        </w:rPr>
        <w:t xml:space="preserve"> </w:t>
      </w:r>
      <w:r w:rsidRPr="00132CF6">
        <w:rPr>
          <w:rStyle w:val="markedcontent"/>
          <w:rFonts w:ascii="Times New Roman" w:hAnsi="Times New Roman"/>
          <w:sz w:val="24"/>
          <w:szCs w:val="24"/>
        </w:rPr>
        <w:t>staff—unless exempt for medical or religious reasons—are</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vaccinated against COVID–19</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Two District Courts enjoined enforcement of the rule, and</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the Government now asks us to stay those injunctions.</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Agreeing that it is entitled to such relief, we grant the applications.</w:t>
      </w:r>
      <w:r>
        <w:rPr>
          <w:rStyle w:val="markedcontent"/>
          <w:rFonts w:ascii="Times New Roman" w:hAnsi="Times New Roman"/>
          <w:sz w:val="24"/>
          <w:szCs w:val="24"/>
        </w:rPr>
        <w:t>”</w:t>
      </w:r>
      <w:r w:rsidRPr="00132CF6">
        <w:rPr>
          <w:rFonts w:ascii="Times New Roman" w:hAnsi="Times New Roman"/>
          <w:sz w:val="24"/>
          <w:szCs w:val="24"/>
        </w:rPr>
        <w:t xml:space="preserve">  </w:t>
      </w:r>
      <w:hyperlink r:id="rId219" w:history="1">
        <w:r w:rsidRPr="00A83547">
          <w:rPr>
            <w:rStyle w:val="Hyperlink"/>
            <w:rFonts w:ascii="Times New Roman" w:hAnsi="Times New Roman"/>
            <w:sz w:val="24"/>
            <w:szCs w:val="24"/>
          </w:rPr>
          <w:t>https://www.supremecourt.gov/opinions/21pdf/21a240_d18e.pdf</w:t>
        </w:r>
      </w:hyperlink>
      <w:r>
        <w:rPr>
          <w:rFonts w:ascii="Times New Roman" w:hAnsi="Times New Roman"/>
          <w:sz w:val="24"/>
          <w:szCs w:val="24"/>
        </w:rPr>
        <w:t xml:space="preserve"> </w:t>
      </w:r>
    </w:p>
    <w:p w14:paraId="7F5E6001" w14:textId="77777777" w:rsidR="00A20CA7" w:rsidRDefault="00A20CA7" w:rsidP="00A20CA7">
      <w:pPr>
        <w:ind w:left="720"/>
        <w:rPr>
          <w:rFonts w:ascii="Times New Roman" w:hAnsi="Times New Roman"/>
          <w:sz w:val="24"/>
          <w:szCs w:val="24"/>
        </w:rPr>
      </w:pPr>
    </w:p>
    <w:p w14:paraId="6295FB06" w14:textId="77777777" w:rsidR="00A20CA7" w:rsidRDefault="00A20CA7" w:rsidP="00A20CA7">
      <w:pPr>
        <w:rPr>
          <w:rFonts w:ascii="Times New Roman" w:hAnsi="Times New Roman"/>
          <w:sz w:val="24"/>
          <w:szCs w:val="24"/>
        </w:rPr>
      </w:pPr>
      <w:r>
        <w:rPr>
          <w:rFonts w:ascii="Times New Roman" w:hAnsi="Times New Roman"/>
          <w:sz w:val="24"/>
          <w:szCs w:val="24"/>
        </w:rPr>
        <w:t xml:space="preserve">On Jan. 13, 2022, in </w:t>
      </w:r>
      <w:r w:rsidRPr="007918CC">
        <w:rPr>
          <w:rFonts w:ascii="Times New Roman" w:hAnsi="Times New Roman"/>
          <w:sz w:val="24"/>
          <w:szCs w:val="24"/>
          <w:u w:val="single"/>
        </w:rPr>
        <w:t>National Federal of Independent Business, et al. v. U.S. Department of Labor (OSHA)</w:t>
      </w:r>
      <w:r>
        <w:rPr>
          <w:rFonts w:ascii="Times New Roman" w:hAnsi="Times New Roman"/>
          <w:sz w:val="24"/>
          <w:szCs w:val="24"/>
        </w:rPr>
        <w:t>, the U.S. Supreme Court (6 to 3) struck down the OSHA rule.</w:t>
      </w:r>
    </w:p>
    <w:p w14:paraId="2ECC0E57" w14:textId="77777777" w:rsidR="00A20CA7" w:rsidRPr="007918CC" w:rsidRDefault="00A20CA7" w:rsidP="00A20CA7">
      <w:pPr>
        <w:ind w:left="720"/>
        <w:rPr>
          <w:rFonts w:ascii="Times New Roman" w:hAnsi="Times New Roman"/>
          <w:sz w:val="24"/>
          <w:szCs w:val="24"/>
        </w:rPr>
      </w:pPr>
      <w:r>
        <w:rPr>
          <w:rFonts w:ascii="Times New Roman" w:hAnsi="Times New Roman"/>
          <w:sz w:val="24"/>
          <w:szCs w:val="24"/>
        </w:rPr>
        <w:t>“</w:t>
      </w:r>
      <w:r w:rsidRPr="007918CC">
        <w:rPr>
          <w:rStyle w:val="markedcontent"/>
          <w:rFonts w:ascii="Times New Roman" w:hAnsi="Times New Roman"/>
          <w:sz w:val="24"/>
          <w:szCs w:val="24"/>
        </w:rPr>
        <w:t>The Secretary of Labor, acting through the Occupational</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Safety and Health Administration, recently enacted a vaccine mandate for much of the Nation’s work force. The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mandate, which employers must enforce, applies to roughly</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84 million workers, covering virtually all employers with at</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least 100 employees. It requires that covered workers receive a COVID–19 vaccine, and it pre-empts contrary state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laws. The only exception is for workers who obtain a medical test each week at their own expense and on their own</w:t>
      </w:r>
      <w:r>
        <w:rPr>
          <w:rStyle w:val="markedcontent"/>
          <w:rFonts w:ascii="Times New Roman" w:hAnsi="Times New Roman"/>
          <w:sz w:val="24"/>
          <w:szCs w:val="24"/>
        </w:rPr>
        <w:t xml:space="preserve"> </w:t>
      </w:r>
      <w:proofErr w:type="gramStart"/>
      <w:r w:rsidRPr="007918CC">
        <w:rPr>
          <w:rStyle w:val="markedcontent"/>
          <w:rFonts w:ascii="Times New Roman" w:hAnsi="Times New Roman"/>
          <w:sz w:val="24"/>
          <w:szCs w:val="24"/>
        </w:rPr>
        <w:t>time, and</w:t>
      </w:r>
      <w:proofErr w:type="gramEnd"/>
      <w:r w:rsidRPr="007918CC">
        <w:rPr>
          <w:rStyle w:val="markedcontent"/>
          <w:rFonts w:ascii="Times New Roman" w:hAnsi="Times New Roman"/>
          <w:sz w:val="24"/>
          <w:szCs w:val="24"/>
        </w:rPr>
        <w:t xml:space="preserve"> also wear a mask each workday. OSHA has </w:t>
      </w:r>
      <w:proofErr w:type="gramStart"/>
      <w:r w:rsidRPr="007918CC">
        <w:rPr>
          <w:rStyle w:val="markedcontent"/>
          <w:rFonts w:ascii="Times New Roman" w:hAnsi="Times New Roman"/>
          <w:sz w:val="24"/>
          <w:szCs w:val="24"/>
        </w:rPr>
        <w:t>never</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before</w:t>
      </w:r>
      <w:proofErr w:type="gramEnd"/>
      <w:r w:rsidRPr="007918CC">
        <w:rPr>
          <w:rStyle w:val="markedcontent"/>
          <w:rFonts w:ascii="Times New Roman" w:hAnsi="Times New Roman"/>
          <w:sz w:val="24"/>
          <w:szCs w:val="24"/>
        </w:rPr>
        <w:t xml:space="preserve"> imposed such a mandate. Nor has Congress. Indeed,</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 xml:space="preserve">although Congress has enacted significant legislation addressing the COVID–19 pandemic, it has declined to enact any measure </w:t>
      </w:r>
      <w:proofErr w:type="gramStart"/>
      <w:r w:rsidRPr="007918CC">
        <w:rPr>
          <w:rStyle w:val="markedcontent"/>
          <w:rFonts w:ascii="Times New Roman" w:hAnsi="Times New Roman"/>
          <w:sz w:val="24"/>
          <w:szCs w:val="24"/>
        </w:rPr>
        <w:t>similar to</w:t>
      </w:r>
      <w:proofErr w:type="gramEnd"/>
      <w:r w:rsidRPr="007918CC">
        <w:rPr>
          <w:rStyle w:val="markedcontent"/>
          <w:rFonts w:ascii="Times New Roman" w:hAnsi="Times New Roman"/>
          <w:sz w:val="24"/>
          <w:szCs w:val="24"/>
        </w:rPr>
        <w:t xml:space="preserve"> what OSHA has promulgated here.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Many States, businesses, and nonprofit organizations</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challenged OSHA’s rule in Courts of Appeals across the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country. The Fifth Circuit initially entered a stay. But</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when the cases were consolidated before the Sixth Circuit,</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that court lifted the stay and allowed OSHA’s rule to take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effect. Applicants now seek emergency relief from this</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Court, arguing that OSHA’s mandate exceeds its statutory</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authority and is otherwise unlawful. Agreeing that applicants are likely to prevail, we grant their applications and</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stay the rule.</w:t>
      </w:r>
      <w:r>
        <w:rPr>
          <w:rStyle w:val="markedcontent"/>
          <w:rFonts w:ascii="Times New Roman" w:hAnsi="Times New Roman"/>
          <w:sz w:val="24"/>
          <w:szCs w:val="24"/>
        </w:rPr>
        <w:t xml:space="preserve">” </w:t>
      </w:r>
      <w:hyperlink r:id="rId220" w:history="1">
        <w:r w:rsidRPr="00A83547">
          <w:rPr>
            <w:rStyle w:val="Hyperlink"/>
            <w:rFonts w:ascii="Times New Roman" w:hAnsi="Times New Roman"/>
            <w:sz w:val="24"/>
            <w:szCs w:val="24"/>
          </w:rPr>
          <w:t>https://www.supremecourt.gov/opinions/21pdf/21a244_hgci.pdf</w:t>
        </w:r>
      </w:hyperlink>
      <w:r>
        <w:rPr>
          <w:rStyle w:val="markedcontent"/>
          <w:rFonts w:ascii="Times New Roman" w:hAnsi="Times New Roman"/>
          <w:sz w:val="24"/>
          <w:szCs w:val="24"/>
        </w:rPr>
        <w:t xml:space="preserve"> </w:t>
      </w:r>
    </w:p>
    <w:p w14:paraId="654EEE6E" w14:textId="77777777" w:rsidR="00A20CA7" w:rsidRPr="00893B6D" w:rsidRDefault="00A20CA7" w:rsidP="00A20CA7">
      <w:pPr>
        <w:rPr>
          <w:b/>
          <w:bCs/>
        </w:rPr>
      </w:pPr>
      <w:r w:rsidRPr="00893B6D">
        <w:rPr>
          <w:rFonts w:ascii="Times New Roman" w:hAnsi="Times New Roman"/>
          <w:b/>
          <w:bCs/>
          <w:sz w:val="24"/>
          <w:szCs w:val="24"/>
        </w:rPr>
        <w:t xml:space="preserve">Legal Lesson Learned: In Biden v. Missouri, the health mandate was upheld when two conservative Justices, </w:t>
      </w:r>
      <w:r w:rsidRPr="00E644C2">
        <w:rPr>
          <w:rFonts w:ascii="Times New Roman" w:eastAsia="Times New Roman" w:hAnsi="Times New Roman"/>
          <w:b/>
          <w:bCs/>
          <w:sz w:val="24"/>
          <w:szCs w:val="24"/>
        </w:rPr>
        <w:t>Chief Justice John G. Roberts Jr. and Brett M. Kavanaugh—joined with the court’s three liberal justices to form the majority</w:t>
      </w:r>
      <w:r w:rsidRPr="00893B6D">
        <w:rPr>
          <w:rFonts w:ascii="Times New Roman" w:eastAsia="Times New Roman" w:hAnsi="Times New Roman"/>
          <w:b/>
          <w:bCs/>
          <w:sz w:val="24"/>
          <w:szCs w:val="24"/>
        </w:rPr>
        <w:t xml:space="preserve">. </w:t>
      </w:r>
    </w:p>
    <w:p w14:paraId="201DCF19" w14:textId="77777777" w:rsidR="00A20CA7" w:rsidRPr="00910F74" w:rsidRDefault="00A20CA7" w:rsidP="00A20CA7">
      <w:pPr>
        <w:ind w:left="720" w:firstLine="50"/>
        <w:rPr>
          <w:rFonts w:ascii="Times New Roman" w:hAnsi="Times New Roman"/>
          <w:sz w:val="24"/>
          <w:szCs w:val="24"/>
        </w:rPr>
      </w:pPr>
      <w:r w:rsidRPr="00910F74">
        <w:rPr>
          <w:rFonts w:ascii="Times New Roman" w:hAnsi="Times New Roman"/>
          <w:sz w:val="24"/>
          <w:szCs w:val="24"/>
        </w:rPr>
        <w:t>Note:</w:t>
      </w:r>
      <w:r w:rsidRPr="00910F74">
        <w:rPr>
          <w:rFonts w:ascii="Times New Roman" w:hAnsi="Times New Roman"/>
          <w:color w:val="333333"/>
          <w:sz w:val="24"/>
          <w:szCs w:val="24"/>
        </w:rPr>
        <w:t xml:space="preserve"> On Jan. 13, 2022, the IAFC published this analysis.  “Fire and EMS departments are not covered by the CMS rule. However, if a fire or EMS department is engaged in interfacility transport, it should discuss the CMS rule with the facilities for which it provides interfacility transport to see if the fire or EMS department must come into </w:t>
      </w:r>
      <w:r w:rsidRPr="00910F74">
        <w:rPr>
          <w:rFonts w:ascii="Times New Roman" w:hAnsi="Times New Roman"/>
          <w:color w:val="333333"/>
          <w:sz w:val="24"/>
          <w:szCs w:val="24"/>
        </w:rPr>
        <w:lastRenderedPageBreak/>
        <w:t>compliance.” </w:t>
      </w:r>
      <w:hyperlink r:id="rId221" w:history="1">
        <w:r w:rsidRPr="00910F74">
          <w:rPr>
            <w:rStyle w:val="Hyperlink"/>
            <w:rFonts w:ascii="Times New Roman" w:hAnsi="Times New Roman"/>
            <w:sz w:val="24"/>
            <w:szCs w:val="24"/>
          </w:rPr>
          <w:t>https://www.iafc.org/blogs/blog/iafc/2022/01/13/supreme-court-decision-on-vaccine-mandates-what-it-means-for-fire-departments</w:t>
        </w:r>
      </w:hyperlink>
      <w:r w:rsidRPr="00910F74">
        <w:rPr>
          <w:rFonts w:ascii="Times New Roman" w:hAnsi="Times New Roman"/>
          <w:color w:val="333333"/>
          <w:sz w:val="24"/>
          <w:szCs w:val="24"/>
        </w:rPr>
        <w:t xml:space="preserve"> </w:t>
      </w:r>
    </w:p>
    <w:p w14:paraId="1609BAC7" w14:textId="77777777" w:rsidR="00A20CA7" w:rsidRDefault="00A20CA7" w:rsidP="002B1283">
      <w:pPr>
        <w:rPr>
          <w:rFonts w:ascii="Arial Black" w:hAnsi="Arial Black"/>
          <w:b/>
          <w:sz w:val="24"/>
          <w:szCs w:val="24"/>
        </w:rPr>
      </w:pPr>
    </w:p>
    <w:p w14:paraId="5DD8F335" w14:textId="77777777" w:rsidR="00A20CA7" w:rsidRDefault="00A20CA7" w:rsidP="002B1283">
      <w:pPr>
        <w:rPr>
          <w:rFonts w:ascii="Arial Black" w:hAnsi="Arial Black"/>
          <w:b/>
          <w:sz w:val="24"/>
          <w:szCs w:val="24"/>
        </w:rPr>
      </w:pPr>
    </w:p>
    <w:p w14:paraId="7427FFDE" w14:textId="3D401100" w:rsidR="00A20CA7" w:rsidRDefault="00A20CA7" w:rsidP="002B1283">
      <w:pPr>
        <w:rPr>
          <w:rFonts w:ascii="Arial Black" w:hAnsi="Arial Black"/>
          <w:b/>
          <w:sz w:val="24"/>
          <w:szCs w:val="24"/>
        </w:rPr>
      </w:pPr>
      <w:r>
        <w:rPr>
          <w:rFonts w:ascii="Arial Black" w:hAnsi="Arial Black"/>
          <w:b/>
          <w:sz w:val="24"/>
          <w:szCs w:val="24"/>
        </w:rPr>
        <w:t>1-94</w:t>
      </w:r>
    </w:p>
    <w:p w14:paraId="346A8ADF" w14:textId="77777777" w:rsidR="00A20CA7" w:rsidRPr="00182702" w:rsidRDefault="00A20CA7" w:rsidP="00A20CA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OK: RAILROAD FINED FOR BLOCKING ROADWAYS MORE 10 MIN. - STATE LAW SET ASIDE – FEDERAL LAW CONTROLS</w:t>
      </w:r>
    </w:p>
    <w:p w14:paraId="765E6DBE" w14:textId="77777777" w:rsidR="00A20CA7" w:rsidRPr="0028115D" w:rsidRDefault="00A20CA7" w:rsidP="00A20CA7">
      <w:pPr>
        <w:spacing w:before="100" w:beforeAutospacing="1" w:after="100" w:afterAutospacing="1" w:line="240" w:lineRule="auto"/>
        <w:rPr>
          <w:rFonts w:ascii="Times New Roman" w:eastAsia="Times New Roman" w:hAnsi="Times New Roman"/>
          <w:sz w:val="24"/>
          <w:szCs w:val="24"/>
        </w:rPr>
      </w:pPr>
      <w:r w:rsidRPr="0028115D">
        <w:rPr>
          <w:rFonts w:ascii="Times New Roman" w:eastAsia="Times New Roman" w:hAnsi="Times New Roman"/>
          <w:sz w:val="24"/>
          <w:szCs w:val="24"/>
        </w:rPr>
        <w:t xml:space="preserve">On Jan. 10, 2022, in </w:t>
      </w:r>
      <w:r w:rsidRPr="0028115D">
        <w:rPr>
          <w:rFonts w:ascii="Times New Roman" w:eastAsia="Times New Roman" w:hAnsi="Times New Roman"/>
          <w:sz w:val="24"/>
          <w:szCs w:val="24"/>
          <w:u w:val="single"/>
        </w:rPr>
        <w:t>BNSF Railway Company v. Todd Hiett, Chairman of Oklahoma Corporation Commission, et al</w:t>
      </w:r>
      <w:r>
        <w:rPr>
          <w:rFonts w:ascii="Times New Roman" w:eastAsia="Times New Roman" w:hAnsi="Times New Roman"/>
          <w:sz w:val="24"/>
          <w:szCs w:val="24"/>
        </w:rPr>
        <w:t>., the U.S. Court of Appeals for 10</w:t>
      </w:r>
      <w:r w:rsidRPr="0028115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(Denver) held (3 to 0) that the trial court properly held that Federal law preempts the state from issuing citations to railroads for blocking highway.  The Court recognized why the state has safety concerns, but Federal law prevails. “</w:t>
      </w:r>
      <w:r w:rsidRPr="0000659D">
        <w:rPr>
          <w:rFonts w:ascii="Times New Roman" w:hAnsi="Times New Roman"/>
          <w:sz w:val="24"/>
          <w:szCs w:val="24"/>
        </w:rPr>
        <w:t xml:space="preserve">Defendants explain that blocked crossings in Oklahoma have </w:t>
      </w:r>
      <w:r>
        <w:rPr>
          <w:rFonts w:ascii="Times New Roman" w:hAnsi="Times New Roman"/>
          <w:sz w:val="24"/>
          <w:szCs w:val="24"/>
        </w:rPr>
        <w:t>‘</w:t>
      </w:r>
      <w:r w:rsidRPr="0000659D">
        <w:rPr>
          <w:rFonts w:ascii="Times New Roman" w:hAnsi="Times New Roman"/>
          <w:sz w:val="24"/>
          <w:szCs w:val="24"/>
        </w:rPr>
        <w:t>forced a paramedic . . . to jump between rail cars of a stopped train to reach a patient in time,</w:t>
      </w:r>
      <w:r>
        <w:rPr>
          <w:rFonts w:ascii="Times New Roman" w:hAnsi="Times New Roman"/>
          <w:sz w:val="24"/>
          <w:szCs w:val="24"/>
        </w:rPr>
        <w:t>’</w:t>
      </w:r>
      <w:r w:rsidRPr="0000659D">
        <w:rPr>
          <w:rFonts w:ascii="Times New Roman" w:hAnsi="Times New Roman"/>
          <w:sz w:val="24"/>
          <w:szCs w:val="24"/>
        </w:rPr>
        <w:t xml:space="preserve"> delayed firefighters and paramedics' response times generally, and caused Oklahomans to engage in risky behavior to avoid blocked crossings.</w:t>
      </w:r>
      <w:r>
        <w:rPr>
          <w:rFonts w:ascii="Times New Roman" w:hAnsi="Times New Roman"/>
          <w:sz w:val="24"/>
          <w:szCs w:val="24"/>
        </w:rPr>
        <w:t xml:space="preserve">”   </w:t>
      </w:r>
      <w:hyperlink r:id="rId222" w:history="1">
        <w:r w:rsidRPr="00A83547">
          <w:rPr>
            <w:rStyle w:val="Hyperlink"/>
            <w:rFonts w:ascii="Times New Roman" w:hAnsi="Times New Roman"/>
            <w:sz w:val="24"/>
            <w:szCs w:val="24"/>
          </w:rPr>
          <w:t>https://www.ca10.uscourts.gov/sites/ca10/files/opinions/010110630282.pdf</w:t>
        </w:r>
      </w:hyperlink>
      <w:r>
        <w:rPr>
          <w:rFonts w:ascii="Times New Roman" w:hAnsi="Times New Roman"/>
          <w:sz w:val="24"/>
          <w:szCs w:val="24"/>
        </w:rPr>
        <w:t xml:space="preserve"> </w:t>
      </w:r>
    </w:p>
    <w:p w14:paraId="13CDF0A0" w14:textId="77777777" w:rsidR="00A20CA7" w:rsidRPr="006B6814" w:rsidRDefault="00A20CA7" w:rsidP="00A20CA7">
      <w:pPr>
        <w:spacing w:before="100" w:beforeAutospacing="1" w:after="100" w:afterAutospacing="1" w:line="240" w:lineRule="auto"/>
        <w:rPr>
          <w:rFonts w:ascii="Times New Roman" w:hAnsi="Times New Roman"/>
          <w:b/>
          <w:bCs/>
          <w:sz w:val="24"/>
          <w:szCs w:val="24"/>
        </w:rPr>
      </w:pPr>
      <w:r w:rsidRPr="006B6814">
        <w:rPr>
          <w:rFonts w:ascii="Times New Roman" w:hAnsi="Times New Roman"/>
          <w:b/>
          <w:bCs/>
          <w:sz w:val="24"/>
          <w:szCs w:val="24"/>
        </w:rPr>
        <w:t>Legal Lesson Learned:</w:t>
      </w:r>
      <w:r>
        <w:rPr>
          <w:rFonts w:ascii="Times New Roman" w:hAnsi="Times New Roman"/>
          <w:b/>
          <w:bCs/>
          <w:sz w:val="24"/>
          <w:szCs w:val="24"/>
        </w:rPr>
        <w:t xml:space="preserve"> Congress has preempted railroad safety issues; unfortunately grade crossing issues continue to grow with </w:t>
      </w:r>
      <w:proofErr w:type="gramStart"/>
      <w:r>
        <w:rPr>
          <w:rFonts w:ascii="Times New Roman" w:hAnsi="Times New Roman"/>
          <w:b/>
          <w:bCs/>
          <w:sz w:val="24"/>
          <w:szCs w:val="24"/>
        </w:rPr>
        <w:t>longer and longer</w:t>
      </w:r>
      <w:proofErr w:type="gramEnd"/>
      <w:r>
        <w:rPr>
          <w:rFonts w:ascii="Times New Roman" w:hAnsi="Times New Roman"/>
          <w:b/>
          <w:bCs/>
          <w:sz w:val="24"/>
          <w:szCs w:val="24"/>
        </w:rPr>
        <w:t xml:space="preserve"> trains. </w:t>
      </w:r>
    </w:p>
    <w:p w14:paraId="5E94F07B" w14:textId="77777777" w:rsidR="00A20CA7" w:rsidRPr="006B6814" w:rsidRDefault="00A20CA7" w:rsidP="00A20CA7">
      <w:pPr>
        <w:spacing w:before="100" w:beforeAutospacing="1" w:after="100" w:afterAutospacing="1" w:line="240" w:lineRule="auto"/>
        <w:ind w:left="720"/>
        <w:rPr>
          <w:rFonts w:ascii="Times New Roman" w:hAnsi="Times New Roman"/>
          <w:sz w:val="24"/>
          <w:szCs w:val="24"/>
        </w:rPr>
      </w:pPr>
      <w:r w:rsidRPr="006B6814">
        <w:rPr>
          <w:rFonts w:ascii="Times New Roman" w:hAnsi="Times New Roman"/>
          <w:sz w:val="24"/>
          <w:szCs w:val="24"/>
        </w:rPr>
        <w:t xml:space="preserve">Note: </w:t>
      </w:r>
      <w:r>
        <w:rPr>
          <w:rFonts w:ascii="Times New Roman" w:hAnsi="Times New Roman"/>
          <w:sz w:val="24"/>
          <w:szCs w:val="24"/>
        </w:rPr>
        <w:t>See Association of American Railroads article, Sept. 2021, “</w:t>
      </w:r>
      <w:r w:rsidRPr="006B6814">
        <w:rPr>
          <w:rStyle w:val="markedcontent"/>
          <w:rFonts w:ascii="Times New Roman" w:hAnsi="Times New Roman"/>
          <w:sz w:val="24"/>
          <w:szCs w:val="24"/>
        </w:rPr>
        <w:t>How Railroads Collaborate</w:t>
      </w:r>
      <w:r>
        <w:rPr>
          <w:rFonts w:ascii="Times New Roman" w:hAnsi="Times New Roman"/>
          <w:sz w:val="24"/>
          <w:szCs w:val="24"/>
        </w:rPr>
        <w:t xml:space="preserve"> </w:t>
      </w:r>
      <w:proofErr w:type="spellStart"/>
      <w:proofErr w:type="gramStart"/>
      <w:r w:rsidRPr="006B6814">
        <w:rPr>
          <w:rStyle w:val="markedcontent"/>
          <w:rFonts w:ascii="Times New Roman" w:hAnsi="Times New Roman"/>
          <w:sz w:val="24"/>
          <w:szCs w:val="24"/>
        </w:rPr>
        <w:t>ith</w:t>
      </w:r>
      <w:proofErr w:type="spellEnd"/>
      <w:proofErr w:type="gramEnd"/>
      <w:r w:rsidRPr="006B6814">
        <w:rPr>
          <w:rStyle w:val="markedcontent"/>
          <w:rFonts w:ascii="Times New Roman" w:hAnsi="Times New Roman"/>
          <w:sz w:val="24"/>
          <w:szCs w:val="24"/>
        </w:rPr>
        <w:t xml:space="preserve"> Stakeholders to Reduce Grade Crossing Impacts</w:t>
      </w:r>
      <w:r>
        <w:rPr>
          <w:rStyle w:val="markedcontent"/>
          <w:rFonts w:ascii="Times New Roman" w:hAnsi="Times New Roman"/>
          <w:sz w:val="24"/>
          <w:szCs w:val="24"/>
        </w:rPr>
        <w:t>.” “</w:t>
      </w:r>
      <w:r w:rsidRPr="006B6814">
        <w:rPr>
          <w:rStyle w:val="markedcontent"/>
          <w:rFonts w:ascii="Times New Roman" w:hAnsi="Times New Roman"/>
          <w:sz w:val="24"/>
          <w:szCs w:val="24"/>
        </w:rPr>
        <w:t>With more than 200,000 grade crossings nationwide, railroads</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work closely with community leaders, government partners,</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first responders and the public to manage and mitigate the</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impact of rail crossings on communities. Each grade crossing</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is unique, and railroad operational teams deploy a range of</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strategies, depending on the circumstances, to keep rail and</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 xml:space="preserve">vehicle traffic safely moving through these </w:t>
      </w:r>
      <w:proofErr w:type="gramStart"/>
      <w:r w:rsidRPr="006B6814">
        <w:rPr>
          <w:rStyle w:val="markedcontent"/>
          <w:rFonts w:ascii="Times New Roman" w:hAnsi="Times New Roman"/>
          <w:sz w:val="24"/>
          <w:szCs w:val="24"/>
        </w:rPr>
        <w:t>intersections.</w:t>
      </w:r>
      <w:r>
        <w:rPr>
          <w:rStyle w:val="markedcontent"/>
          <w:rFonts w:ascii="Times New Roman" w:hAnsi="Times New Roman"/>
          <w:sz w:val="24"/>
          <w:szCs w:val="24"/>
        </w:rPr>
        <w:t>”</w:t>
      </w:r>
      <w:proofErr w:type="gramEnd"/>
      <w:r>
        <w:rPr>
          <w:rStyle w:val="markedcontent"/>
          <w:rFonts w:ascii="Times New Roman" w:hAnsi="Times New Roman"/>
          <w:sz w:val="24"/>
          <w:szCs w:val="24"/>
        </w:rPr>
        <w:t xml:space="preserve"> </w:t>
      </w:r>
      <w:hyperlink r:id="rId223" w:history="1">
        <w:r w:rsidRPr="00A83547">
          <w:rPr>
            <w:rStyle w:val="Hyperlink"/>
            <w:rFonts w:ascii="Times New Roman" w:hAnsi="Times New Roman"/>
            <w:sz w:val="24"/>
            <w:szCs w:val="24"/>
          </w:rPr>
          <w:t>https://www.aar.org/wp-content/uploads/2020/02/AAR-Occupied-Crossings-Fact-Sheet.pdf</w:t>
        </w:r>
      </w:hyperlink>
      <w:r>
        <w:rPr>
          <w:rStyle w:val="markedcontent"/>
          <w:rFonts w:ascii="Times New Roman" w:hAnsi="Times New Roman"/>
          <w:sz w:val="24"/>
          <w:szCs w:val="24"/>
        </w:rPr>
        <w:t xml:space="preserve"> </w:t>
      </w:r>
    </w:p>
    <w:p w14:paraId="7474804A" w14:textId="77777777" w:rsidR="00A20CA7" w:rsidRDefault="00A20CA7" w:rsidP="002B1283">
      <w:pPr>
        <w:rPr>
          <w:rFonts w:ascii="Arial Black" w:hAnsi="Arial Black"/>
          <w:b/>
          <w:sz w:val="24"/>
          <w:szCs w:val="24"/>
        </w:rPr>
      </w:pPr>
    </w:p>
    <w:p w14:paraId="560EB8BC" w14:textId="77777777" w:rsidR="00A20CA7" w:rsidRDefault="00A20CA7" w:rsidP="002B1283">
      <w:pPr>
        <w:rPr>
          <w:rFonts w:ascii="Arial Black" w:hAnsi="Arial Black"/>
          <w:b/>
          <w:sz w:val="24"/>
          <w:szCs w:val="24"/>
        </w:rPr>
      </w:pPr>
    </w:p>
    <w:p w14:paraId="0E7F78EF" w14:textId="3D8FF09E" w:rsidR="00E51408" w:rsidRDefault="00E51408" w:rsidP="002B1283">
      <w:pPr>
        <w:rPr>
          <w:rFonts w:ascii="Arial Black" w:hAnsi="Arial Black"/>
          <w:b/>
          <w:sz w:val="24"/>
          <w:szCs w:val="24"/>
        </w:rPr>
      </w:pPr>
      <w:r>
        <w:rPr>
          <w:rFonts w:ascii="Arial Black" w:hAnsi="Arial Black"/>
          <w:b/>
          <w:sz w:val="24"/>
          <w:szCs w:val="24"/>
        </w:rPr>
        <w:t>1-93</w:t>
      </w:r>
    </w:p>
    <w:p w14:paraId="0EB691BF" w14:textId="77777777" w:rsidR="00E51408" w:rsidRDefault="00E51408" w:rsidP="00E5140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OH: WARRANTLESS ENTRY - CAUSE &amp; ORIGIN OF HOUSE FIRE - DRUGS PLAIN VIEW – ADMISSIBLE IN EVIDENCE </w:t>
      </w:r>
    </w:p>
    <w:p w14:paraId="0D020A0E" w14:textId="77777777" w:rsidR="00E51408" w:rsidRPr="003A0F54" w:rsidRDefault="00E51408" w:rsidP="00E51408">
      <w:pPr>
        <w:rPr>
          <w:rFonts w:ascii="Times New Roman" w:hAnsi="Times New Roman"/>
          <w:bCs/>
          <w:sz w:val="24"/>
          <w:szCs w:val="24"/>
        </w:rPr>
      </w:pPr>
      <w:bookmarkStart w:id="4" w:name="_Hlk91595193"/>
      <w:r w:rsidRPr="003A0F54">
        <w:rPr>
          <w:rFonts w:ascii="Times New Roman" w:hAnsi="Times New Roman"/>
          <w:bCs/>
          <w:sz w:val="24"/>
          <w:szCs w:val="24"/>
        </w:rPr>
        <w:t xml:space="preserve">On Dec. 27, 2021, in </w:t>
      </w:r>
      <w:r w:rsidRPr="003A0F54">
        <w:rPr>
          <w:rFonts w:ascii="Times New Roman" w:hAnsi="Times New Roman"/>
          <w:bCs/>
          <w:sz w:val="24"/>
          <w:szCs w:val="24"/>
          <w:u w:val="single"/>
        </w:rPr>
        <w:t>State of Ohio v. Nicole L. Holmes</w:t>
      </w:r>
      <w:r w:rsidRPr="003A0F54">
        <w:rPr>
          <w:rFonts w:ascii="Times New Roman" w:hAnsi="Times New Roman"/>
          <w:bCs/>
          <w:sz w:val="24"/>
          <w:szCs w:val="24"/>
        </w:rPr>
        <w:t xml:space="preserve">, the Court of Appeals for the Eleventh District (Ashtabula) held (3 to 0) that trial judge improperly granted the defendant’s motion to suppress evidence.  Fire Captain lawfully entered house during overhaul and observed drugs in plain view; warrantless entry during “exigent circumstances” as authorized by U.S. Supreme Court in </w:t>
      </w:r>
      <w:r w:rsidRPr="003A0F54">
        <w:rPr>
          <w:rFonts w:ascii="Times New Roman" w:hAnsi="Times New Roman"/>
          <w:sz w:val="24"/>
          <w:szCs w:val="24"/>
        </w:rPr>
        <w:t xml:space="preserve">Michigan v. Tyler, 436 U.S. 499, 506, 98 </w:t>
      </w:r>
      <w:proofErr w:type="spellStart"/>
      <w:r w:rsidRPr="003A0F54">
        <w:rPr>
          <w:rFonts w:ascii="Times New Roman" w:hAnsi="Times New Roman"/>
          <w:sz w:val="24"/>
          <w:szCs w:val="24"/>
        </w:rPr>
        <w:t>S.Ct</w:t>
      </w:r>
      <w:proofErr w:type="spellEnd"/>
      <w:r w:rsidRPr="003A0F54">
        <w:rPr>
          <w:rFonts w:ascii="Times New Roman" w:hAnsi="Times New Roman"/>
          <w:sz w:val="24"/>
          <w:szCs w:val="24"/>
        </w:rPr>
        <w:t xml:space="preserve">. 1942, 56 L.Ed.2d 486 (1978). </w:t>
      </w:r>
      <w:r w:rsidRPr="003A0F54">
        <w:rPr>
          <w:rFonts w:ascii="Times New Roman" w:hAnsi="Times New Roman"/>
          <w:bCs/>
          <w:sz w:val="24"/>
          <w:szCs w:val="24"/>
        </w:rPr>
        <w:t xml:space="preserve">Case remanded for defendant’s criminal trial - </w:t>
      </w:r>
      <w:r w:rsidRPr="003A0F54">
        <w:rPr>
          <w:rFonts w:ascii="Times New Roman" w:hAnsi="Times New Roman"/>
          <w:sz w:val="24"/>
          <w:szCs w:val="24"/>
        </w:rPr>
        <w:t xml:space="preserve">aggravated trafficking in drugs, aggravated possession of drugs, possessing criminal tools, illegal use or possession of drug paraphernalia, and endangering children. </w:t>
      </w:r>
      <w:r w:rsidRPr="003A0F54">
        <w:rPr>
          <w:rFonts w:ascii="Times New Roman" w:hAnsi="Times New Roman"/>
          <w:bCs/>
          <w:sz w:val="24"/>
          <w:szCs w:val="24"/>
        </w:rPr>
        <w:t xml:space="preserve"> </w:t>
      </w:r>
    </w:p>
    <w:p w14:paraId="2248815F" w14:textId="77777777" w:rsidR="00E51408" w:rsidRPr="003A0F54" w:rsidRDefault="00E51408" w:rsidP="00E51408">
      <w:pPr>
        <w:ind w:left="720"/>
        <w:rPr>
          <w:rFonts w:ascii="Times New Roman" w:hAnsi="Times New Roman"/>
          <w:bCs/>
          <w:sz w:val="24"/>
          <w:szCs w:val="24"/>
        </w:rPr>
      </w:pPr>
      <w:r w:rsidRPr="003A0F54">
        <w:rPr>
          <w:rFonts w:ascii="Times New Roman" w:hAnsi="Times New Roman"/>
          <w:bCs/>
          <w:sz w:val="24"/>
          <w:szCs w:val="24"/>
        </w:rPr>
        <w:lastRenderedPageBreak/>
        <w:t xml:space="preserve">“Here, applying these Fourth Amendment standards and exceptions, we conclude that Captain Chase was permitted to enter the residence without a warrant under the doctrine of exigent circumstances. During the initial entry, while investigating and before he had determined the cause and origin of the fire, Captain Chase discovered contraband in plain view. Due to limitations on his training with evidence collection, he acted appropriately in requesting assistance from the police department. Patrolman Perry was permitted to enter the residence and seize the contraband without a warrant </w:t>
      </w:r>
      <w:r w:rsidRPr="003A0F54">
        <w:rPr>
          <w:rFonts w:ascii="Times New Roman" w:hAnsi="Times New Roman"/>
          <w:bCs/>
          <w:i/>
          <w:iCs/>
          <w:sz w:val="24"/>
          <w:szCs w:val="24"/>
        </w:rPr>
        <w:t>only</w:t>
      </w:r>
      <w:r w:rsidRPr="003A0F54">
        <w:rPr>
          <w:rFonts w:ascii="Times New Roman" w:hAnsi="Times New Roman"/>
          <w:bCs/>
          <w:sz w:val="24"/>
          <w:szCs w:val="24"/>
        </w:rPr>
        <w:t xml:space="preserve"> because he "stepped into the shoes" of Captain Chase, who was still on the scene conducting his initial investigation. Patrolman Perry entered solely for the purpose of assisting Captain Chase; he collected only the items to which he was directed by Captain Chase; he did not search any other area of the residence; and he did not further intrude  on Hommes' privacy interests. Accordingly, the warrantless seizure did not violate Hommes' Fourth Amendment rights. *** The trial court erred in granting Hommes' motion to suppress, and the state's sole assignment of error has merit. The judgment of the Ashtabula County Court of Common Pleas is reversed, and this matter is </w:t>
      </w:r>
      <w:proofErr w:type="gramStart"/>
      <w:r w:rsidRPr="003A0F54">
        <w:rPr>
          <w:rFonts w:ascii="Times New Roman" w:hAnsi="Times New Roman"/>
          <w:bCs/>
          <w:sz w:val="24"/>
          <w:szCs w:val="24"/>
        </w:rPr>
        <w:t>remanded</w:t>
      </w:r>
      <w:proofErr w:type="gramEnd"/>
      <w:r w:rsidRPr="003A0F54">
        <w:rPr>
          <w:rFonts w:ascii="Times New Roman" w:hAnsi="Times New Roman"/>
          <w:bCs/>
          <w:sz w:val="24"/>
          <w:szCs w:val="24"/>
        </w:rPr>
        <w:t xml:space="preserve"> for further proceedings consistent with this </w:t>
      </w:r>
      <w:proofErr w:type="gramStart"/>
      <w:r w:rsidRPr="003A0F54">
        <w:rPr>
          <w:rFonts w:ascii="Times New Roman" w:hAnsi="Times New Roman"/>
          <w:bCs/>
          <w:sz w:val="24"/>
          <w:szCs w:val="24"/>
        </w:rPr>
        <w:t>opinion.”</w:t>
      </w:r>
      <w:proofErr w:type="gramEnd"/>
      <w:r w:rsidRPr="003A0F54">
        <w:rPr>
          <w:rFonts w:ascii="Times New Roman" w:hAnsi="Times New Roman"/>
          <w:bCs/>
          <w:sz w:val="24"/>
          <w:szCs w:val="24"/>
        </w:rPr>
        <w:t xml:space="preserve">  </w:t>
      </w:r>
      <w:hyperlink r:id="rId224" w:history="1">
        <w:r w:rsidRPr="004065C6">
          <w:rPr>
            <w:rStyle w:val="Hyperlink"/>
            <w:rFonts w:ascii="Times New Roman" w:hAnsi="Times New Roman"/>
            <w:bCs/>
            <w:sz w:val="24"/>
            <w:szCs w:val="24"/>
          </w:rPr>
          <w:t>https://www.supremecourt.ohio.gov/rod/docs/pdf/11/2021/2021-Ohio-4568.pdf</w:t>
        </w:r>
      </w:hyperlink>
      <w:r>
        <w:rPr>
          <w:rFonts w:ascii="Times New Roman" w:hAnsi="Times New Roman"/>
          <w:bCs/>
          <w:sz w:val="24"/>
          <w:szCs w:val="24"/>
        </w:rPr>
        <w:t xml:space="preserve"> </w:t>
      </w:r>
    </w:p>
    <w:bookmarkEnd w:id="4"/>
    <w:p w14:paraId="5472100B" w14:textId="77777777" w:rsidR="00E51408" w:rsidRPr="003A0F54" w:rsidRDefault="00E51408" w:rsidP="00E51408">
      <w:pPr>
        <w:spacing w:after="100" w:line="240" w:lineRule="auto"/>
        <w:rPr>
          <w:rFonts w:ascii="Times New Roman" w:eastAsia="Times New Roman" w:hAnsi="Times New Roman"/>
          <w:b/>
          <w:bCs/>
          <w:sz w:val="24"/>
          <w:szCs w:val="24"/>
        </w:rPr>
      </w:pPr>
      <w:r w:rsidRPr="003A0F54">
        <w:rPr>
          <w:rFonts w:ascii="Times New Roman" w:eastAsia="Times New Roman" w:hAnsi="Times New Roman"/>
          <w:b/>
          <w:bCs/>
          <w:sz w:val="24"/>
          <w:szCs w:val="24"/>
        </w:rPr>
        <w:t>Legal Lesson Learned: Wonderful decision; exce</w:t>
      </w:r>
      <w:r>
        <w:rPr>
          <w:rFonts w:ascii="Times New Roman" w:eastAsia="Times New Roman" w:hAnsi="Times New Roman"/>
          <w:b/>
          <w:bCs/>
          <w:sz w:val="24"/>
          <w:szCs w:val="24"/>
        </w:rPr>
        <w:t xml:space="preserve">llent </w:t>
      </w:r>
      <w:r w:rsidRPr="003A0F54">
        <w:rPr>
          <w:rFonts w:ascii="Times New Roman" w:eastAsia="Times New Roman" w:hAnsi="Times New Roman"/>
          <w:b/>
          <w:bCs/>
          <w:sz w:val="24"/>
          <w:szCs w:val="24"/>
        </w:rPr>
        <w:t xml:space="preserve">appeal by the Ohio Attorney General’s office. </w:t>
      </w:r>
    </w:p>
    <w:p w14:paraId="36DE492B" w14:textId="77777777" w:rsidR="00E51408" w:rsidRPr="003A0F54" w:rsidRDefault="00E51408" w:rsidP="00E51408">
      <w:pPr>
        <w:spacing w:before="100" w:beforeAutospacing="1" w:after="100" w:afterAutospacing="1" w:line="240" w:lineRule="auto"/>
        <w:ind w:left="720"/>
        <w:rPr>
          <w:rFonts w:ascii="Times New Roman" w:eastAsia="Times New Roman" w:hAnsi="Times New Roman"/>
          <w:sz w:val="24"/>
          <w:szCs w:val="24"/>
        </w:rPr>
      </w:pPr>
    </w:p>
    <w:p w14:paraId="2CC3A87B" w14:textId="4B4F2E95" w:rsidR="00E51408" w:rsidRDefault="00E51408" w:rsidP="002B1283">
      <w:pPr>
        <w:rPr>
          <w:rFonts w:ascii="Arial Black" w:hAnsi="Arial Black"/>
          <w:b/>
          <w:sz w:val="24"/>
          <w:szCs w:val="24"/>
        </w:rPr>
      </w:pPr>
      <w:r>
        <w:rPr>
          <w:rFonts w:ascii="Arial Black" w:hAnsi="Arial Black"/>
          <w:b/>
          <w:sz w:val="24"/>
          <w:szCs w:val="24"/>
        </w:rPr>
        <w:t>1-92</w:t>
      </w:r>
    </w:p>
    <w:p w14:paraId="1171601C" w14:textId="77777777" w:rsidR="00E51408" w:rsidRDefault="00E51408" w:rsidP="00E5140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FD ENTRY BASEMENT WITHOUT WARRANT - ELECTRIC STOVE, CIRCUIT BRAKERS BASEMENT – BLDG CONDEMNED</w:t>
      </w:r>
    </w:p>
    <w:p w14:paraId="4580C6B2" w14:textId="77777777" w:rsidR="00E51408" w:rsidRPr="003A0F54" w:rsidRDefault="00E51408" w:rsidP="00E51408">
      <w:pPr>
        <w:spacing w:before="100" w:beforeAutospacing="1" w:after="100" w:afterAutospacing="1" w:line="240" w:lineRule="auto"/>
        <w:rPr>
          <w:rFonts w:ascii="Times New Roman" w:eastAsia="Times New Roman" w:hAnsi="Times New Roman"/>
          <w:sz w:val="24"/>
          <w:szCs w:val="24"/>
        </w:rPr>
      </w:pPr>
      <w:r w:rsidRPr="003A0F54">
        <w:rPr>
          <w:rFonts w:ascii="Times New Roman" w:eastAsia="Times New Roman" w:hAnsi="Times New Roman"/>
          <w:sz w:val="24"/>
          <w:szCs w:val="24"/>
        </w:rPr>
        <w:t xml:space="preserve">On Dec. 13, 2021, in </w:t>
      </w:r>
      <w:r w:rsidRPr="003A0F54">
        <w:rPr>
          <w:rFonts w:ascii="Times New Roman" w:eastAsia="Times New Roman" w:hAnsi="Times New Roman"/>
          <w:sz w:val="24"/>
          <w:szCs w:val="24"/>
          <w:u w:val="single"/>
        </w:rPr>
        <w:t>George Cannarozzo v. Borough of West Hazleton and Diane Panzarella</w:t>
      </w:r>
      <w:r w:rsidRPr="003A0F54">
        <w:rPr>
          <w:rFonts w:ascii="Times New Roman" w:eastAsia="Times New Roman" w:hAnsi="Times New Roman"/>
          <w:sz w:val="24"/>
          <w:szCs w:val="24"/>
        </w:rPr>
        <w:t xml:space="preserve">, U.S. District Court Judge Robert D. Mariani granted summary judgment to the Borough and their code enforcement officer, Diane Panzarella. The fire department had been dispatched twice to the building; first for light smoke on first floor (cleared scene in 10 minutes) and twelve minutes later called back for electrical stove sparking.  They removed the stove, but circuit brakers were in locked basement; when in basement they observed “dangling” and “hanging” wires, some without coatings and corroded.   </w:t>
      </w:r>
      <w:r>
        <w:rPr>
          <w:rFonts w:ascii="Times New Roman" w:eastAsia="Times New Roman" w:hAnsi="Times New Roman"/>
          <w:sz w:val="24"/>
          <w:szCs w:val="24"/>
        </w:rPr>
        <w:t xml:space="preserve"> </w:t>
      </w:r>
    </w:p>
    <w:p w14:paraId="0907F5E7" w14:textId="7853812A" w:rsidR="00E51408" w:rsidRDefault="00E51408" w:rsidP="00E51408">
      <w:pPr>
        <w:rPr>
          <w:rFonts w:ascii="Arial Black" w:hAnsi="Arial Black"/>
          <w:b/>
          <w:sz w:val="24"/>
          <w:szCs w:val="24"/>
        </w:rPr>
      </w:pPr>
      <w:r w:rsidRPr="003A0F54">
        <w:rPr>
          <w:rFonts w:ascii="Times New Roman" w:eastAsia="Times New Roman" w:hAnsi="Times New Roman"/>
          <w:sz w:val="24"/>
          <w:szCs w:val="24"/>
        </w:rPr>
        <w:t xml:space="preserve">“This evidence shows that the fire crew's entry into the basement was related to the second incident in which the stove was removed from the apartment unit, whether it was to check for extension of the fire or to turn off the circuit breaker "to secure the electrical oven" as </w:t>
      </w:r>
      <w:proofErr w:type="spellStart"/>
      <w:r w:rsidRPr="003A0F54">
        <w:rPr>
          <w:rFonts w:ascii="Times New Roman" w:eastAsia="Times New Roman" w:hAnsi="Times New Roman"/>
          <w:sz w:val="24"/>
          <w:szCs w:val="24"/>
        </w:rPr>
        <w:t>Segaria</w:t>
      </w:r>
      <w:proofErr w:type="spellEnd"/>
      <w:r w:rsidRPr="003A0F54">
        <w:rPr>
          <w:rFonts w:ascii="Times New Roman" w:eastAsia="Times New Roman" w:hAnsi="Times New Roman"/>
          <w:sz w:val="24"/>
          <w:szCs w:val="24"/>
        </w:rPr>
        <w:t xml:space="preserve"> said would be a concern ([Deputy Fire Chief Robert] </w:t>
      </w:r>
      <w:proofErr w:type="spellStart"/>
      <w:r w:rsidRPr="003A0F54">
        <w:rPr>
          <w:rFonts w:ascii="Times New Roman" w:eastAsia="Times New Roman" w:hAnsi="Times New Roman"/>
          <w:sz w:val="24"/>
          <w:szCs w:val="24"/>
        </w:rPr>
        <w:t>Segaria</w:t>
      </w:r>
      <w:proofErr w:type="spellEnd"/>
      <w:r w:rsidRPr="003A0F54">
        <w:rPr>
          <w:rFonts w:ascii="Times New Roman" w:eastAsia="Times New Roman" w:hAnsi="Times New Roman"/>
          <w:sz w:val="24"/>
          <w:szCs w:val="24"/>
        </w:rPr>
        <w:t xml:space="preserve"> Dep. 36:24-37:1 (Doc. 73-2 at 18)). As such, the fire crew's entry into the basement can be considered an extension of their firefighting duties, i.e., remediation of a potential hazard related to the incident or checking for an extension of the fire into the basement. Activities to prevent a fire's recurrence are properly characterized as reasons for firefighters to remain in a building with no warrant and present no Fourth Amendment violation. </w:t>
      </w:r>
      <w:r w:rsidRPr="003A0F54">
        <w:rPr>
          <w:rFonts w:ascii="Times New Roman" w:eastAsia="Times New Roman" w:hAnsi="Times New Roman"/>
          <w:i/>
          <w:iCs/>
          <w:sz w:val="24"/>
          <w:szCs w:val="24"/>
        </w:rPr>
        <w:t>See [U.S. Supreme Court decision in Michigan v.] Tyler,</w:t>
      </w:r>
      <w:r w:rsidRPr="003A0F54">
        <w:rPr>
          <w:rFonts w:ascii="Times New Roman" w:eastAsia="Times New Roman" w:hAnsi="Times New Roman"/>
          <w:sz w:val="24"/>
          <w:szCs w:val="24"/>
        </w:rPr>
        <w:t xml:space="preserve"> 436 U.S. at 510.” </w:t>
      </w:r>
      <w:hyperlink r:id="rId225" w:history="1">
        <w:r w:rsidRPr="00EC5853">
          <w:rPr>
            <w:rStyle w:val="Hyperlink"/>
            <w:rFonts w:ascii="Times New Roman" w:hAnsi="Times New Roman"/>
            <w:sz w:val="24"/>
            <w:szCs w:val="24"/>
          </w:rPr>
          <w:t>https://public.fastcase.com/9SKwsfNqTc6OieYDhNMyM7D5VS5NTHGa%2BVbO5LbgTVCol88giq6gEwqG77t7xxlVdoZinV7rGr3Vonxjs0f%2FBj%2FzJq07gNCdlFI%2FOtwWHGw%3D</w:t>
        </w:r>
      </w:hyperlink>
    </w:p>
    <w:p w14:paraId="4BAA07D2" w14:textId="77777777" w:rsidR="00E51408" w:rsidRPr="003A0F54" w:rsidRDefault="00E51408" w:rsidP="00E51408">
      <w:pPr>
        <w:spacing w:before="100" w:beforeAutospacing="1" w:after="100" w:afterAutospacing="1" w:line="240" w:lineRule="auto"/>
        <w:rPr>
          <w:rFonts w:ascii="Times New Roman" w:eastAsia="Times New Roman" w:hAnsi="Times New Roman"/>
          <w:b/>
          <w:bCs/>
          <w:sz w:val="24"/>
          <w:szCs w:val="24"/>
        </w:rPr>
      </w:pPr>
      <w:r w:rsidRPr="003A0F54">
        <w:rPr>
          <w:rFonts w:ascii="Times New Roman" w:eastAsia="Times New Roman" w:hAnsi="Times New Roman"/>
          <w:b/>
          <w:bCs/>
          <w:sz w:val="24"/>
          <w:szCs w:val="24"/>
        </w:rPr>
        <w:t xml:space="preserve">Legal Lesson Learned: The warrantless entry was lawful, and the Code Enforcement Officer enjoys qualified immunity.  The facts in this case are so clear, it makes you </w:t>
      </w:r>
      <w:proofErr w:type="gramStart"/>
      <w:r w:rsidRPr="003A0F54">
        <w:rPr>
          <w:rFonts w:ascii="Times New Roman" w:eastAsia="Times New Roman" w:hAnsi="Times New Roman"/>
          <w:b/>
          <w:bCs/>
          <w:sz w:val="24"/>
          <w:szCs w:val="24"/>
        </w:rPr>
        <w:t>wonderful</w:t>
      </w:r>
      <w:proofErr w:type="gramEnd"/>
      <w:r w:rsidRPr="003A0F54">
        <w:rPr>
          <w:rFonts w:ascii="Times New Roman" w:eastAsia="Times New Roman" w:hAnsi="Times New Roman"/>
          <w:b/>
          <w:bCs/>
          <w:sz w:val="24"/>
          <w:szCs w:val="24"/>
        </w:rPr>
        <w:t xml:space="preserve"> why the lawsuit was ever filed. </w:t>
      </w:r>
    </w:p>
    <w:p w14:paraId="07F51776" w14:textId="77777777" w:rsidR="00E51408" w:rsidRDefault="00E51408" w:rsidP="002B1283">
      <w:pPr>
        <w:rPr>
          <w:rFonts w:ascii="Arial Black" w:hAnsi="Arial Black"/>
          <w:b/>
          <w:sz w:val="24"/>
          <w:szCs w:val="24"/>
        </w:rPr>
      </w:pPr>
    </w:p>
    <w:p w14:paraId="353F8143" w14:textId="69233D57" w:rsidR="00365F63" w:rsidRDefault="00365F63" w:rsidP="002B1283">
      <w:pPr>
        <w:rPr>
          <w:rFonts w:ascii="Arial Black" w:hAnsi="Arial Black"/>
          <w:b/>
          <w:sz w:val="24"/>
          <w:szCs w:val="24"/>
        </w:rPr>
      </w:pPr>
      <w:r>
        <w:rPr>
          <w:rFonts w:ascii="Arial Black" w:hAnsi="Arial Black"/>
          <w:b/>
          <w:sz w:val="24"/>
          <w:szCs w:val="24"/>
        </w:rPr>
        <w:t>1-91</w:t>
      </w:r>
    </w:p>
    <w:p w14:paraId="71183945" w14:textId="77777777" w:rsidR="00365F63" w:rsidRPr="004620EA" w:rsidRDefault="00365F63" w:rsidP="00365F63">
      <w:pPr>
        <w:spacing w:before="100" w:beforeAutospacing="1" w:after="100" w:afterAutospacing="1" w:line="240" w:lineRule="auto"/>
        <w:rPr>
          <w:rFonts w:ascii="Arial Black" w:hAnsi="Arial Black"/>
          <w:sz w:val="28"/>
          <w:szCs w:val="28"/>
        </w:rPr>
      </w:pPr>
      <w:r>
        <w:rPr>
          <w:rFonts w:ascii="Arial Black" w:hAnsi="Arial Black"/>
          <w:sz w:val="28"/>
          <w:szCs w:val="28"/>
        </w:rPr>
        <w:t>ME: HOUSE UNFIT OCCUPANCY – BOILER, OIL FLOOR, BARE WIRES – NO VIOL. FED. DUE PROCESS, HAD APPEAL RIGHTS</w:t>
      </w:r>
    </w:p>
    <w:p w14:paraId="495A03F4" w14:textId="77777777" w:rsidR="00365F63" w:rsidRDefault="00365F63" w:rsidP="00365F6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18, 2021, in </w:t>
      </w:r>
      <w:r w:rsidRPr="00652AF8">
        <w:rPr>
          <w:rFonts w:ascii="Times New Roman" w:hAnsi="Times New Roman"/>
          <w:sz w:val="24"/>
          <w:szCs w:val="24"/>
          <w:u w:val="single"/>
        </w:rPr>
        <w:t>Joseph Jurkenas, et al. v. City of Brewer, et al</w:t>
      </w:r>
      <w:r>
        <w:rPr>
          <w:rFonts w:ascii="Times New Roman" w:hAnsi="Times New Roman"/>
          <w:sz w:val="24"/>
          <w:szCs w:val="24"/>
        </w:rPr>
        <w:t xml:space="preserve">., U.S. Magistrate Judge John C. Nivison, U.S. District Court, District of Maine, denied the homeowner’s motion for summary judgement, holding that their federal due process rights were not violated when there when the Fire Department ordered them out of the house because of the dangerous conditions, and the City later issued them a </w:t>
      </w:r>
      <w:r w:rsidRPr="00F22712">
        <w:rPr>
          <w:rFonts w:ascii="Times New Roman" w:hAnsi="Times New Roman"/>
          <w:sz w:val="24"/>
          <w:szCs w:val="24"/>
        </w:rPr>
        <w:t>Notice of Violation and Order of Corrective Action</w:t>
      </w:r>
      <w:r>
        <w:rPr>
          <w:rFonts w:ascii="Times New Roman" w:hAnsi="Times New Roman"/>
          <w:sz w:val="24"/>
          <w:szCs w:val="24"/>
        </w:rPr>
        <w:t xml:space="preserve"> on June 11, 2014. The Notice included their right to appeal to the Zoning Board of Appeals within 30 days; the City reject their late appeal (received July 22, 2014); and homeowners never challenged this in State court.  The City Council considered having building destroyed under State “dangerous building” law but tabled a hearing on Oct. 14, 2014, under their longstanding policy to use ongoing inspections to seek homeowner compliance. </w:t>
      </w:r>
    </w:p>
    <w:p w14:paraId="1D567319"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0B4DD9">
        <w:rPr>
          <w:rFonts w:ascii="Times New Roman" w:hAnsi="Times New Roman"/>
          <w:sz w:val="24"/>
          <w:szCs w:val="24"/>
        </w:rPr>
        <w:t xml:space="preserve">Even if Plaintiffs could ultimately convince a fact finder that there was no emergency that could justify the eviction, Plaintiffs have not shown there was inadequate post-deprivation process available for them to challenge the unfit for habitation determination because there was an administrative appeal and a cause of action in the state courts under Maine Rule of Civil Procedure 80B. </w:t>
      </w:r>
      <w:r>
        <w:rPr>
          <w:rFonts w:ascii="Times New Roman" w:hAnsi="Times New Roman"/>
          <w:sz w:val="24"/>
          <w:szCs w:val="24"/>
        </w:rPr>
        <w:t xml:space="preserve"> </w:t>
      </w:r>
    </w:p>
    <w:p w14:paraId="188A3630"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94D9A72" w14:textId="77777777" w:rsidR="00365F63" w:rsidRDefault="00365F63" w:rsidP="00365F63">
      <w:pPr>
        <w:spacing w:before="100" w:beforeAutospacing="1" w:after="100" w:afterAutospacing="1" w:line="240" w:lineRule="auto"/>
        <w:ind w:left="720"/>
      </w:pPr>
      <w:r w:rsidRPr="004620EA">
        <w:rPr>
          <w:rFonts w:ascii="Times New Roman" w:eastAsia="Times New Roman" w:hAnsi="Times New Roman"/>
          <w:sz w:val="24"/>
          <w:szCs w:val="24"/>
        </w:rPr>
        <w:t xml:space="preserve">Although Plaintiffs argue that they were not told of their right to appeal from the original unfit for habitation decision and dispute the grounds upon which the City denied their appeal, the failure to provide notice of the right to appeal </w:t>
      </w:r>
      <w:r>
        <w:rPr>
          <w:rFonts w:ascii="Times New Roman" w:eastAsia="Times New Roman" w:hAnsi="Times New Roman"/>
          <w:sz w:val="24"/>
          <w:szCs w:val="24"/>
        </w:rPr>
        <w:t>‘</w:t>
      </w:r>
      <w:r w:rsidRPr="004620EA">
        <w:rPr>
          <w:rFonts w:ascii="Times New Roman" w:eastAsia="Times New Roman" w:hAnsi="Times New Roman"/>
          <w:sz w:val="24"/>
          <w:szCs w:val="24"/>
        </w:rPr>
        <w:t>does not render the review remedy constitutionally inadequate</w:t>
      </w:r>
      <w:r>
        <w:rPr>
          <w:rFonts w:ascii="Times New Roman" w:eastAsia="Times New Roman" w:hAnsi="Times New Roman"/>
          <w:sz w:val="24"/>
          <w:szCs w:val="24"/>
        </w:rPr>
        <w:t>’</w:t>
      </w:r>
      <w:r w:rsidRPr="004620EA">
        <w:rPr>
          <w:rFonts w:ascii="Times New Roman" w:eastAsia="Times New Roman" w:hAnsi="Times New Roman"/>
          <w:sz w:val="24"/>
          <w:szCs w:val="24"/>
        </w:rPr>
        <w:t xml:space="preserve"> because </w:t>
      </w:r>
      <w:r>
        <w:rPr>
          <w:rFonts w:ascii="Times New Roman" w:eastAsia="Times New Roman" w:hAnsi="Times New Roman"/>
          <w:sz w:val="24"/>
          <w:szCs w:val="24"/>
        </w:rPr>
        <w:t>‘</w:t>
      </w:r>
      <w:r w:rsidRPr="004620EA">
        <w:rPr>
          <w:rFonts w:ascii="Times New Roman" w:eastAsia="Times New Roman" w:hAnsi="Times New Roman"/>
          <w:sz w:val="24"/>
          <w:szCs w:val="24"/>
        </w:rPr>
        <w:t>in most civil matters, citizens are expected to ask about the method to protest or appeal an initial administrative action (or to hire a lawyer)</w:t>
      </w:r>
      <w:r>
        <w:rPr>
          <w:rFonts w:ascii="Times New Roman" w:eastAsia="Times New Roman" w:hAnsi="Times New Roman"/>
          <w:sz w:val="24"/>
          <w:szCs w:val="24"/>
        </w:rPr>
        <w:t xml:space="preserve">’ </w:t>
      </w:r>
      <w:r w:rsidRPr="004620EA">
        <w:rPr>
          <w:rFonts w:ascii="Times New Roman" w:eastAsia="Times New Roman" w:hAnsi="Times New Roman"/>
          <w:sz w:val="24"/>
          <w:szCs w:val="24"/>
        </w:rPr>
        <w:t>and because Plaintiffs could have challenged the local decision on those grounds in state court</w:t>
      </w:r>
      <w:r>
        <w:rPr>
          <w:rFonts w:ascii="Times New Roman" w:eastAsia="Times New Roman" w:hAnsi="Times New Roman"/>
          <w:sz w:val="24"/>
          <w:szCs w:val="24"/>
        </w:rPr>
        <w:t>…</w:t>
      </w:r>
      <w:r w:rsidRPr="004620EA">
        <w:rPr>
          <w:rFonts w:ascii="Times New Roman" w:eastAsia="Times New Roman" w:hAnsi="Times New Roman"/>
          <w:sz w:val="24"/>
          <w:szCs w:val="24"/>
        </w:rPr>
        <w:t>. Plaintiffs have simply not demonstrated that as a matter of law there was no actual emergency nor have Plaintiffs demonstrated as a matter of law that they were due more process under the applicable legal authority.</w:t>
      </w:r>
    </w:p>
    <w:p w14:paraId="012AB413" w14:textId="77777777" w:rsidR="00365F63" w:rsidRDefault="00365F63" w:rsidP="00365F63">
      <w:pPr>
        <w:spacing w:before="100" w:beforeAutospacing="1" w:after="100" w:afterAutospacing="1" w:line="240" w:lineRule="auto"/>
        <w:ind w:left="720"/>
      </w:pPr>
      <w:r>
        <w:t>***</w:t>
      </w:r>
    </w:p>
    <w:p w14:paraId="4180465D" w14:textId="7638A9A2" w:rsidR="00365F63" w:rsidRDefault="00365F63" w:rsidP="00365F63">
      <w:pPr>
        <w:rPr>
          <w:rStyle w:val="Hyperlink"/>
          <w:rFonts w:ascii="Times New Roman" w:eastAsia="Times New Roman" w:hAnsi="Times New Roman"/>
          <w:sz w:val="24"/>
          <w:szCs w:val="24"/>
        </w:rPr>
      </w:pPr>
      <w:r w:rsidRPr="004620EA">
        <w:rPr>
          <w:rFonts w:ascii="Times New Roman" w:hAnsi="Times New Roman"/>
          <w:sz w:val="24"/>
          <w:szCs w:val="24"/>
        </w:rPr>
        <w:t>Accordingly, the Court informs Plaintiff that it will consider Defendants' request for summary judgment and that if Plaintiffs wish to respond to Defendants' request, Plaintiffs shall file their response on or before December 9, 2021.</w:t>
      </w:r>
      <w:r>
        <w:rPr>
          <w:rFonts w:ascii="Times New Roman" w:hAnsi="Times New Roman"/>
          <w:sz w:val="24"/>
          <w:szCs w:val="24"/>
        </w:rPr>
        <w:t xml:space="preserve">” </w:t>
      </w:r>
      <w:hyperlink r:id="rId226" w:history="1">
        <w:r w:rsidRPr="00A37CB0">
          <w:rPr>
            <w:rStyle w:val="Hyperlink"/>
            <w:rFonts w:ascii="Times New Roman" w:eastAsia="Times New Roman" w:hAnsi="Times New Roman"/>
            <w:sz w:val="24"/>
            <w:szCs w:val="24"/>
          </w:rPr>
          <w:t>https://public.fastcase.com/9SKwsfNqTc6OieYDhNMyM84JhiUntSQtUCBlgd6lzoL5y1g0gwdSndjfCHFHqJkk4vcRDuTZ3RRxLgM1%2Fyx%2BQdiK9wqe8J4wfwe4xg454y8%3D</w:t>
        </w:r>
      </w:hyperlink>
    </w:p>
    <w:p w14:paraId="3D37947D" w14:textId="77777777" w:rsidR="00365F63" w:rsidRPr="00917D62" w:rsidRDefault="00365F63" w:rsidP="00365F63">
      <w:pPr>
        <w:pStyle w:val="NormalWeb"/>
        <w:rPr>
          <w:b/>
          <w:bCs/>
        </w:rPr>
      </w:pPr>
      <w:r w:rsidRPr="00917D62">
        <w:rPr>
          <w:b/>
          <w:bCs/>
        </w:rPr>
        <w:t xml:space="preserve">Legal Lesson Learned: </w:t>
      </w:r>
      <w:r>
        <w:rPr>
          <w:b/>
          <w:bCs/>
        </w:rPr>
        <w:t xml:space="preserve"> The City properly gave homeowner opportunity to appeal to the Zoning Board of Appeals; there was no requirement that City hold a hearing since they decided not to destroy the home under State “dangerous buildings” statute. </w:t>
      </w:r>
    </w:p>
    <w:p w14:paraId="18484B2A" w14:textId="77777777" w:rsidR="00365F63" w:rsidRPr="00567B6A" w:rsidRDefault="00365F63" w:rsidP="00365F63">
      <w:pPr>
        <w:spacing w:before="100" w:beforeAutospacing="1" w:after="100" w:afterAutospacing="1" w:line="240" w:lineRule="auto"/>
        <w:ind w:left="720"/>
        <w:rPr>
          <w:rFonts w:ascii="Times New Roman" w:eastAsia="Times New Roman" w:hAnsi="Times New Roman"/>
          <w:sz w:val="24"/>
          <w:szCs w:val="24"/>
        </w:rPr>
      </w:pPr>
      <w:r w:rsidRPr="00567B6A">
        <w:rPr>
          <w:rFonts w:ascii="Times New Roman" w:eastAsia="Times New Roman" w:hAnsi="Times New Roman"/>
          <w:sz w:val="24"/>
          <w:szCs w:val="24"/>
        </w:rPr>
        <w:t>Note: See Maine “</w:t>
      </w:r>
      <w:r>
        <w:rPr>
          <w:rFonts w:ascii="Times New Roman" w:eastAsia="Times New Roman" w:hAnsi="Times New Roman"/>
          <w:sz w:val="24"/>
          <w:szCs w:val="24"/>
        </w:rPr>
        <w:t>d</w:t>
      </w:r>
      <w:r w:rsidRPr="00567B6A">
        <w:rPr>
          <w:rFonts w:ascii="Times New Roman" w:eastAsia="Times New Roman" w:hAnsi="Times New Roman"/>
          <w:sz w:val="24"/>
          <w:szCs w:val="24"/>
        </w:rPr>
        <w:t xml:space="preserve">angerous </w:t>
      </w:r>
      <w:r>
        <w:rPr>
          <w:rFonts w:ascii="Times New Roman" w:eastAsia="Times New Roman" w:hAnsi="Times New Roman"/>
          <w:sz w:val="24"/>
          <w:szCs w:val="24"/>
        </w:rPr>
        <w:t>b</w:t>
      </w:r>
      <w:r w:rsidRPr="00567B6A">
        <w:rPr>
          <w:rFonts w:ascii="Times New Roman" w:eastAsia="Times New Roman" w:hAnsi="Times New Roman"/>
          <w:sz w:val="24"/>
          <w:szCs w:val="24"/>
        </w:rPr>
        <w:t>uilding</w:t>
      </w:r>
      <w:r>
        <w:rPr>
          <w:rFonts w:ascii="Times New Roman" w:eastAsia="Times New Roman" w:hAnsi="Times New Roman"/>
          <w:sz w:val="24"/>
          <w:szCs w:val="24"/>
        </w:rPr>
        <w:t>s</w:t>
      </w:r>
      <w:r w:rsidRPr="00567B6A">
        <w:rPr>
          <w:rFonts w:ascii="Times New Roman" w:eastAsia="Times New Roman" w:hAnsi="Times New Roman"/>
          <w:sz w:val="24"/>
          <w:szCs w:val="24"/>
        </w:rPr>
        <w:t xml:space="preserve">” statute: </w:t>
      </w:r>
      <w:hyperlink r:id="rId227" w:history="1">
        <w:r w:rsidRPr="00567B6A">
          <w:rPr>
            <w:rStyle w:val="Hyperlink"/>
            <w:rFonts w:ascii="Times New Roman" w:eastAsia="Times New Roman" w:hAnsi="Times New Roman"/>
            <w:sz w:val="24"/>
            <w:szCs w:val="24"/>
          </w:rPr>
          <w:t>https://www.mainelegislature.org/legis/statutes/17/title17sec2851.html</w:t>
        </w:r>
      </w:hyperlink>
      <w:r w:rsidRPr="00567B6A">
        <w:rPr>
          <w:rFonts w:ascii="Times New Roman" w:eastAsia="Times New Roman" w:hAnsi="Times New Roman"/>
          <w:sz w:val="24"/>
          <w:szCs w:val="24"/>
        </w:rPr>
        <w:t xml:space="preserve"> </w:t>
      </w:r>
    </w:p>
    <w:p w14:paraId="2878563D" w14:textId="77777777" w:rsidR="00365F63" w:rsidRPr="00567B6A" w:rsidRDefault="00365F63" w:rsidP="00365F63">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lastRenderedPageBreak/>
        <w:t>“</w:t>
      </w:r>
      <w:r w:rsidRPr="00567B6A">
        <w:rPr>
          <w:rFonts w:ascii="Times New Roman" w:hAnsi="Times New Roman"/>
          <w:sz w:val="24"/>
          <w:szCs w:val="24"/>
        </w:rPr>
        <w:t xml:space="preserve">The municipal officers in the case of a municipality or the county commissioners in the case of the unorganized or </w:t>
      </w:r>
      <w:proofErr w:type="spellStart"/>
      <w:r w:rsidRPr="00567B6A">
        <w:rPr>
          <w:rFonts w:ascii="Times New Roman" w:hAnsi="Times New Roman"/>
          <w:sz w:val="24"/>
          <w:szCs w:val="24"/>
        </w:rPr>
        <w:t>deorganized</w:t>
      </w:r>
      <w:proofErr w:type="spellEnd"/>
      <w:r w:rsidRPr="00567B6A">
        <w:rPr>
          <w:rFonts w:ascii="Times New Roman" w:hAnsi="Times New Roman"/>
          <w:sz w:val="24"/>
          <w:szCs w:val="24"/>
        </w:rPr>
        <w:t xml:space="preserve"> areas in their county may after notice pursuant to </w:t>
      </w:r>
      <w:hyperlink r:id="rId228" w:history="1">
        <w:r w:rsidRPr="00567B6A">
          <w:rPr>
            <w:rStyle w:val="Hyperlink"/>
            <w:rFonts w:ascii="Times New Roman" w:hAnsi="Times New Roman"/>
            <w:sz w:val="24"/>
            <w:szCs w:val="24"/>
          </w:rPr>
          <w:t>section 2857</w:t>
        </w:r>
      </w:hyperlink>
      <w:r w:rsidRPr="00567B6A">
        <w:rPr>
          <w:rFonts w:ascii="Times New Roman" w:hAnsi="Times New Roman"/>
          <w:sz w:val="24"/>
          <w:szCs w:val="24"/>
        </w:rPr>
        <w:t xml:space="preserve"> and hearing adjudge a building to be a nuisance or dangerous, in accordance with </w:t>
      </w:r>
      <w:hyperlink r:id="rId229" w:history="1">
        <w:r w:rsidRPr="00567B6A">
          <w:rPr>
            <w:rStyle w:val="Hyperlink"/>
            <w:rFonts w:ascii="Times New Roman" w:hAnsi="Times New Roman"/>
            <w:sz w:val="24"/>
            <w:szCs w:val="24"/>
          </w:rPr>
          <w:t>subsection 2-A</w:t>
        </w:r>
      </w:hyperlink>
      <w:r w:rsidRPr="00567B6A">
        <w:rPr>
          <w:rFonts w:ascii="Times New Roman" w:hAnsi="Times New Roman"/>
          <w:sz w:val="24"/>
          <w:szCs w:val="24"/>
        </w:rPr>
        <w:t xml:space="preserve">, and may make and record an order, in accordance with </w:t>
      </w:r>
      <w:hyperlink r:id="rId230" w:history="1">
        <w:r w:rsidRPr="00567B6A">
          <w:rPr>
            <w:rStyle w:val="Hyperlink"/>
            <w:rFonts w:ascii="Times New Roman" w:hAnsi="Times New Roman"/>
            <w:sz w:val="24"/>
            <w:szCs w:val="24"/>
          </w:rPr>
          <w:t>subsection 3</w:t>
        </w:r>
      </w:hyperlink>
      <w:r w:rsidRPr="00567B6A">
        <w:rPr>
          <w:rFonts w:ascii="Times New Roman" w:hAnsi="Times New Roman"/>
          <w:sz w:val="24"/>
          <w:szCs w:val="24"/>
        </w:rPr>
        <w:t>, prescribing what disposal must be made of that building. The order may allow for delay of disposal if the owner or party in interest has demonstrated the ability and willingness to satisfactorily rehabilitate the building</w:t>
      </w:r>
      <w:r>
        <w:rPr>
          <w:rFonts w:ascii="Times New Roman" w:hAnsi="Times New Roman"/>
          <w:sz w:val="24"/>
          <w:szCs w:val="24"/>
        </w:rPr>
        <w:t>.”</w:t>
      </w:r>
    </w:p>
    <w:p w14:paraId="76D0A42F" w14:textId="77777777" w:rsidR="00365F63" w:rsidRDefault="00365F63" w:rsidP="00365F63">
      <w:pPr>
        <w:rPr>
          <w:rFonts w:ascii="Arial Black" w:hAnsi="Arial Black"/>
          <w:b/>
          <w:sz w:val="24"/>
          <w:szCs w:val="24"/>
        </w:rPr>
      </w:pPr>
    </w:p>
    <w:p w14:paraId="4453A18D" w14:textId="77777777" w:rsidR="00365F63" w:rsidRDefault="00365F63" w:rsidP="002B1283">
      <w:pPr>
        <w:rPr>
          <w:rFonts w:ascii="Arial Black" w:hAnsi="Arial Black"/>
          <w:b/>
          <w:sz w:val="24"/>
          <w:szCs w:val="24"/>
        </w:rPr>
      </w:pPr>
    </w:p>
    <w:p w14:paraId="7BDE9A22" w14:textId="604EA66E" w:rsidR="00D84F3A" w:rsidRDefault="00D84F3A" w:rsidP="002B1283">
      <w:pPr>
        <w:rPr>
          <w:rFonts w:ascii="Arial Black" w:hAnsi="Arial Black"/>
          <w:b/>
          <w:sz w:val="24"/>
          <w:szCs w:val="24"/>
        </w:rPr>
      </w:pPr>
      <w:r>
        <w:rPr>
          <w:rFonts w:ascii="Arial Black" w:hAnsi="Arial Black"/>
          <w:b/>
          <w:sz w:val="24"/>
          <w:szCs w:val="24"/>
        </w:rPr>
        <w:t>1-90</w:t>
      </w:r>
    </w:p>
    <w:p w14:paraId="16E692C6" w14:textId="6503E5BB" w:rsidR="00D84F3A" w:rsidRPr="00AA3338" w:rsidRDefault="00D84F3A" w:rsidP="00D84F3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 FALSE ALARM ORDINANCE – ILLEGAL “DOUBLE TAX” -</w:t>
      </w:r>
      <w:r w:rsidR="00E869E6">
        <w:rPr>
          <w:rFonts w:ascii="Arial Black" w:eastAsia="Times New Roman" w:hAnsi="Arial Black"/>
          <w:b/>
          <w:bCs/>
          <w:sz w:val="28"/>
          <w:szCs w:val="28"/>
        </w:rPr>
        <w:t xml:space="preserve"> </w:t>
      </w:r>
      <w:r>
        <w:rPr>
          <w:rFonts w:ascii="Arial Black" w:eastAsia="Times New Roman" w:hAnsi="Arial Black"/>
          <w:b/>
          <w:bCs/>
          <w:sz w:val="28"/>
          <w:szCs w:val="28"/>
        </w:rPr>
        <w:t xml:space="preserve">ALARM CO. $250 / YR – RESID. $50, BUS. $100 TWO YRS.  </w:t>
      </w:r>
    </w:p>
    <w:p w14:paraId="269980DC" w14:textId="77777777" w:rsidR="00D84F3A" w:rsidRDefault="00D84F3A" w:rsidP="00D84F3A">
      <w:pPr>
        <w:rPr>
          <w:rFonts w:ascii="Times New Roman" w:hAnsi="Times New Roman"/>
          <w:sz w:val="24"/>
          <w:szCs w:val="24"/>
        </w:rPr>
      </w:pPr>
      <w:r>
        <w:rPr>
          <w:rFonts w:ascii="Times New Roman" w:hAnsi="Times New Roman"/>
          <w:sz w:val="24"/>
          <w:szCs w:val="24"/>
        </w:rPr>
        <w:t xml:space="preserve">On Nov. 10, 2021, in </w:t>
      </w:r>
      <w:r w:rsidRPr="006F3656">
        <w:rPr>
          <w:rFonts w:ascii="Times New Roman" w:hAnsi="Times New Roman"/>
          <w:sz w:val="24"/>
          <w:szCs w:val="24"/>
          <w:u w:val="single"/>
        </w:rPr>
        <w:t>Andrew White, et al. v. City of Cincinnati</w:t>
      </w:r>
      <w:r>
        <w:rPr>
          <w:rFonts w:ascii="Times New Roman" w:hAnsi="Times New Roman"/>
          <w:sz w:val="24"/>
          <w:szCs w:val="24"/>
        </w:rPr>
        <w:t xml:space="preserve">, the Ohio Court of Appeals, First Appellate District (Hamilton County), held (3 to 0) in lawsuit brought by companies that install and maintain alarm systems, and users of alarm systems, that the current city ordinance is unconstitutional.  </w:t>
      </w:r>
      <w:r w:rsidRPr="005555E8">
        <w:rPr>
          <w:rFonts w:ascii="Times New Roman" w:hAnsi="Times New Roman"/>
          <w:sz w:val="24"/>
          <w:szCs w:val="24"/>
        </w:rPr>
        <w:t>Alarm businesses must pay a registration fee of $250 annually. If an alarm business fails to register, the city imposes a $1000 civil penalty for each request for a police response related to an alarm system by an unregistered alarm business or for each request by an alarm user for registration of an alarm system installed by an unregistered alarm business.</w:t>
      </w:r>
      <w:r>
        <w:rPr>
          <w:rFonts w:ascii="Times New Roman" w:hAnsi="Times New Roman"/>
          <w:sz w:val="24"/>
          <w:szCs w:val="24"/>
        </w:rPr>
        <w:t xml:space="preserve"> </w:t>
      </w:r>
      <w:r w:rsidRPr="005555E8">
        <w:rPr>
          <w:rFonts w:ascii="Times New Roman" w:hAnsi="Times New Roman"/>
          <w:sz w:val="24"/>
          <w:szCs w:val="24"/>
        </w:rPr>
        <w:t xml:space="preserve">Alarm users must also register with </w:t>
      </w:r>
      <w:r>
        <w:rPr>
          <w:rFonts w:ascii="Times New Roman" w:hAnsi="Times New Roman"/>
          <w:sz w:val="24"/>
          <w:szCs w:val="24"/>
        </w:rPr>
        <w:t xml:space="preserve">Police Department </w:t>
      </w:r>
      <w:r w:rsidRPr="005555E8">
        <w:rPr>
          <w:rFonts w:ascii="Times New Roman" w:hAnsi="Times New Roman"/>
          <w:sz w:val="24"/>
          <w:szCs w:val="24"/>
        </w:rPr>
        <w:t xml:space="preserve">before an alarm system is activated. Residential alarm users must pay $50 every two </w:t>
      </w:r>
      <w:proofErr w:type="gramStart"/>
      <w:r w:rsidRPr="005555E8">
        <w:rPr>
          <w:rFonts w:ascii="Times New Roman" w:hAnsi="Times New Roman"/>
          <w:sz w:val="24"/>
          <w:szCs w:val="24"/>
        </w:rPr>
        <w:t>years</w:t>
      </w:r>
      <w:proofErr w:type="gramEnd"/>
      <w:r w:rsidRPr="005555E8">
        <w:rPr>
          <w:rFonts w:ascii="Times New Roman" w:hAnsi="Times New Roman"/>
          <w:sz w:val="24"/>
          <w:szCs w:val="24"/>
        </w:rPr>
        <w:t xml:space="preserve"> and nonresidential alarm users must pay $100 every two years. The city imposes a $100 civil penalty on an alarm user for using an unregistered alarm system, but the penalties may be waived if the alarm user completes registration within 21 days of the first notice of a violation. All fees imposed on both alarm businesses and alarm users are non-refundable, nontransferable, and </w:t>
      </w:r>
      <w:proofErr w:type="gramStart"/>
      <w:r w:rsidRPr="005555E8">
        <w:rPr>
          <w:rFonts w:ascii="Times New Roman" w:hAnsi="Times New Roman"/>
          <w:sz w:val="24"/>
          <w:szCs w:val="24"/>
        </w:rPr>
        <w:t>location-specific</w:t>
      </w:r>
      <w:proofErr w:type="gramEnd"/>
      <w:r w:rsidRPr="005555E8">
        <w:rPr>
          <w:rFonts w:ascii="Times New Roman" w:hAnsi="Times New Roman"/>
          <w:sz w:val="24"/>
          <w:szCs w:val="24"/>
        </w:rPr>
        <w:t>.</w:t>
      </w:r>
    </w:p>
    <w:p w14:paraId="69F143F9" w14:textId="77777777" w:rsidR="00D84F3A" w:rsidRDefault="00D84F3A" w:rsidP="00D84F3A">
      <w:pPr>
        <w:pStyle w:val="NormalWeb"/>
        <w:ind w:left="720"/>
      </w:pPr>
      <w:r>
        <w:t>“[T]</w:t>
      </w:r>
      <w:r w:rsidRPr="00AA3338">
        <w:t xml:space="preserve">he city does not provide the alarm businesses or the alarm users with any services over and above what it already provides for taxpayers in general. Chapter 807 does not entitle alarm business and alarm users to any particular response from the city or give them the right to any particular response. The city has not given anything to them for which it can ask for the assessments in return. The assessments, particularly the registration fees, do not bear a reasonable relationship </w:t>
      </w:r>
      <w:proofErr w:type="gramStart"/>
      <w:r w:rsidRPr="00AA3338">
        <w:t>to</w:t>
      </w:r>
      <w:proofErr w:type="gramEnd"/>
      <w:r w:rsidRPr="00AA3338">
        <w:t xml:space="preserve"> protections, benefits or opportunities provided by the city to those paying the assessments.</w:t>
      </w:r>
    </w:p>
    <w:p w14:paraId="67C98F4E" w14:textId="77777777" w:rsidR="00D84F3A" w:rsidRPr="00AA3338" w:rsidRDefault="00D84F3A" w:rsidP="00D84F3A">
      <w:pPr>
        <w:pStyle w:val="NormalWeb"/>
        <w:ind w:left="720"/>
      </w:pPr>
      <w:r w:rsidRPr="00AA3338">
        <w:t>Based on this analysis, we hold that the assessments imposed by Cincinnati Municipal Code 807-1-A4 violate the Due Process Clauses of the Ohio and United States Constitutions. We do not hold that the city is prohibited from amending the current ordinance or passing another ordinance regulating alarm systems and false alarms. If it is so inclined, the city must do so in a manner that assures that the assessments constitute a fee rather than a tax.</w:t>
      </w:r>
      <w:r>
        <w:t xml:space="preserve">” </w:t>
      </w:r>
      <w:hyperlink r:id="rId231" w:history="1">
        <w:r w:rsidRPr="0064789D">
          <w:rPr>
            <w:rStyle w:val="Hyperlink"/>
          </w:rPr>
          <w:t>https://www.supremecourt.ohio.gov/rod/docs/pdf/1/2021/2021-Ohio-4003.pdf</w:t>
        </w:r>
      </w:hyperlink>
      <w:r>
        <w:t xml:space="preserve"> </w:t>
      </w:r>
    </w:p>
    <w:p w14:paraId="37E55BF3" w14:textId="77777777" w:rsidR="00365F63" w:rsidRPr="00A77CD4" w:rsidRDefault="00365F63" w:rsidP="00365F63">
      <w:pPr>
        <w:pStyle w:val="NormalWeb"/>
        <w:rPr>
          <w:b/>
          <w:bCs/>
        </w:rPr>
      </w:pPr>
      <w:r w:rsidRPr="00A77CD4">
        <w:rPr>
          <w:b/>
          <w:bCs/>
        </w:rPr>
        <w:t>Legal Lesson Learned:</w:t>
      </w:r>
      <w:r>
        <w:rPr>
          <w:b/>
          <w:bCs/>
        </w:rPr>
        <w:t xml:space="preserve">  The City may now adopt a new ordinance only setting fines for false alarms. </w:t>
      </w:r>
    </w:p>
    <w:p w14:paraId="750545A0" w14:textId="77777777" w:rsidR="00365F63" w:rsidRDefault="00365F63" w:rsidP="00365F63">
      <w:pPr>
        <w:pStyle w:val="NormalWeb"/>
        <w:ind w:left="720"/>
        <w:rPr>
          <w:rStyle w:val="post-title"/>
          <w:rFonts w:eastAsiaTheme="majorEastAsia"/>
        </w:rPr>
      </w:pPr>
      <w:r>
        <w:t>Note: See article on this case; Nov. 15, 2021: “</w:t>
      </w:r>
      <w:r>
        <w:rPr>
          <w:rStyle w:val="post-title"/>
          <w:rFonts w:eastAsiaTheme="majorEastAsia"/>
        </w:rPr>
        <w:t xml:space="preserve">Cincinnati burglar arm fee struck down. ‘A giant scam’ says lawyer.” </w:t>
      </w:r>
      <w:hyperlink r:id="rId232" w:history="1">
        <w:r w:rsidRPr="00AA5D51">
          <w:rPr>
            <w:rStyle w:val="Hyperlink"/>
            <w:rFonts w:eastAsiaTheme="majorEastAsia"/>
          </w:rPr>
          <w:t>https://ohiotimes.news/cincinnati-burglar-arm-fee-struck-down-a-giant-scam-says-lawyer/?doing_wp_cron=1637522583.8115420341491699218750</w:t>
        </w:r>
      </w:hyperlink>
      <w:r>
        <w:rPr>
          <w:rStyle w:val="post-title"/>
          <w:rFonts w:eastAsiaTheme="majorEastAsia"/>
        </w:rPr>
        <w:t xml:space="preserve"> </w:t>
      </w:r>
    </w:p>
    <w:p w14:paraId="26549BB7" w14:textId="77777777" w:rsidR="00D84F3A" w:rsidRDefault="00D84F3A" w:rsidP="002B1283">
      <w:pPr>
        <w:rPr>
          <w:rFonts w:ascii="Arial Black" w:hAnsi="Arial Black"/>
          <w:b/>
          <w:sz w:val="24"/>
          <w:szCs w:val="24"/>
        </w:rPr>
      </w:pPr>
    </w:p>
    <w:p w14:paraId="1D8774E3" w14:textId="77777777" w:rsidR="00D84F3A" w:rsidRDefault="00D84F3A" w:rsidP="002B1283">
      <w:pPr>
        <w:rPr>
          <w:rFonts w:ascii="Arial Black" w:hAnsi="Arial Black"/>
          <w:b/>
          <w:sz w:val="24"/>
          <w:szCs w:val="24"/>
        </w:rPr>
      </w:pPr>
    </w:p>
    <w:p w14:paraId="36815AAF" w14:textId="25CBFBCC" w:rsidR="00D84F3A" w:rsidRDefault="00D84F3A" w:rsidP="002B1283">
      <w:pPr>
        <w:rPr>
          <w:rFonts w:ascii="Arial Black" w:hAnsi="Arial Black"/>
          <w:b/>
          <w:sz w:val="24"/>
          <w:szCs w:val="24"/>
        </w:rPr>
      </w:pPr>
      <w:r>
        <w:rPr>
          <w:rFonts w:ascii="Arial Black" w:hAnsi="Arial Black"/>
          <w:b/>
          <w:sz w:val="24"/>
          <w:szCs w:val="24"/>
        </w:rPr>
        <w:t>1-89</w:t>
      </w:r>
    </w:p>
    <w:p w14:paraId="54AFBDC8" w14:textId="77777777" w:rsidR="00D84F3A" w:rsidRPr="00E22703" w:rsidRDefault="00D84F3A" w:rsidP="00D84F3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KY: EVIDENCE SUPPRESSED - WELLNESS CHECK - VOL. FF HEADFIRST INTO CAR - NOT “COMMUNITY CARETAKING”</w:t>
      </w:r>
    </w:p>
    <w:p w14:paraId="751089A7" w14:textId="77777777" w:rsidR="00D84F3A" w:rsidRPr="00B20BEC" w:rsidRDefault="00D84F3A" w:rsidP="00D84F3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2, 2021, in </w:t>
      </w:r>
      <w:r w:rsidRPr="00B20BEC">
        <w:rPr>
          <w:rFonts w:ascii="Times New Roman" w:hAnsi="Times New Roman"/>
          <w:sz w:val="24"/>
          <w:szCs w:val="24"/>
          <w:u w:val="single"/>
        </w:rPr>
        <w:t>United States of America v. Michael M. Fairrow, Jr</w:t>
      </w:r>
      <w:r>
        <w:rPr>
          <w:rFonts w:ascii="Times New Roman" w:hAnsi="Times New Roman"/>
          <w:sz w:val="24"/>
          <w:szCs w:val="24"/>
        </w:rPr>
        <w:t xml:space="preserve">,, U.S. District Court Senior Judge Joseph R. McKinley Jr., U.S. District Court for Western District of Kentucky (Owensboro Division) upheld defendant’s motion to suppress evidence seized in his car: </w:t>
      </w:r>
      <w:r w:rsidRPr="00B20BEC">
        <w:rPr>
          <w:rFonts w:ascii="Times New Roman" w:hAnsi="Times New Roman"/>
          <w:sz w:val="24"/>
          <w:szCs w:val="24"/>
        </w:rPr>
        <w:t xml:space="preserve">five bags of methamphetamine and a loaded nine-millimeter handgun in a backpack in the back seat. </w:t>
      </w:r>
      <w:r>
        <w:rPr>
          <w:rFonts w:ascii="Times New Roman" w:hAnsi="Times New Roman"/>
          <w:sz w:val="24"/>
          <w:szCs w:val="24"/>
        </w:rPr>
        <w:t xml:space="preserve">The Court rejected the government’s argument that volunteer firefighter Michael Wahl was lawfully trying to stop the car from leaving under the “Community Caretaking Doctrine.” </w:t>
      </w:r>
    </w:p>
    <w:p w14:paraId="167DD05E" w14:textId="77777777" w:rsidR="00D84F3A" w:rsidRDefault="00D84F3A" w:rsidP="00D84F3A">
      <w:pPr>
        <w:spacing w:before="100" w:beforeAutospacing="1" w:after="100" w:afterAutospacing="1" w:line="240" w:lineRule="auto"/>
        <w:ind w:left="720"/>
        <w:rPr>
          <w:rStyle w:val="Emphasis"/>
          <w:rFonts w:ascii="Times New Roman" w:hAnsi="Times New Roman"/>
          <w:sz w:val="24"/>
          <w:szCs w:val="24"/>
        </w:rPr>
      </w:pPr>
      <w:r>
        <w:rPr>
          <w:rFonts w:ascii="Times New Roman" w:hAnsi="Times New Roman"/>
          <w:sz w:val="24"/>
          <w:szCs w:val="24"/>
        </w:rPr>
        <w:t>“</w:t>
      </w:r>
      <w:r w:rsidRPr="005F7F88">
        <w:rPr>
          <w:rFonts w:ascii="Times New Roman" w:hAnsi="Times New Roman"/>
          <w:sz w:val="24"/>
          <w:szCs w:val="24"/>
        </w:rPr>
        <w:t>Basically, Wahl lacked facts about Fairrow's medical condition. He jumped through the window so he could figure out more. The Fourth Amendment flatly proscribes this shoot-</w:t>
      </w:r>
      <w:proofErr w:type="gramStart"/>
      <w:r w:rsidRPr="005F7F88">
        <w:rPr>
          <w:rFonts w:ascii="Times New Roman" w:hAnsi="Times New Roman"/>
          <w:sz w:val="24"/>
          <w:szCs w:val="24"/>
        </w:rPr>
        <w:t>first-ask</w:t>
      </w:r>
      <w:proofErr w:type="gramEnd"/>
      <w:r w:rsidRPr="005F7F88">
        <w:rPr>
          <w:rFonts w:ascii="Times New Roman" w:hAnsi="Times New Roman"/>
          <w:sz w:val="24"/>
          <w:szCs w:val="24"/>
        </w:rPr>
        <w:t xml:space="preserve">-questions-later approach. </w:t>
      </w:r>
    </w:p>
    <w:p w14:paraId="73AF73FF" w14:textId="77777777" w:rsidR="00D84F3A" w:rsidRPr="00BA25D8" w:rsidRDefault="00D84F3A" w:rsidP="00D84F3A">
      <w:pPr>
        <w:spacing w:before="100" w:beforeAutospacing="1" w:after="100" w:afterAutospacing="1" w:line="240" w:lineRule="auto"/>
        <w:ind w:left="720"/>
        <w:rPr>
          <w:rFonts w:ascii="Times New Roman" w:hAnsi="Times New Roman"/>
          <w:sz w:val="24"/>
          <w:szCs w:val="24"/>
        </w:rPr>
      </w:pPr>
      <w:r>
        <w:rPr>
          <w:rStyle w:val="Emphasis"/>
          <w:rFonts w:ascii="Times New Roman" w:hAnsi="Times New Roman"/>
          <w:sz w:val="24"/>
          <w:szCs w:val="24"/>
        </w:rPr>
        <w:t>***</w:t>
      </w:r>
    </w:p>
    <w:p w14:paraId="2D01F347" w14:textId="77777777" w:rsidR="00D84F3A" w:rsidRPr="00D81A8F" w:rsidRDefault="00D84F3A" w:rsidP="00D84F3A">
      <w:pPr>
        <w:spacing w:before="100" w:beforeAutospacing="1" w:after="100" w:afterAutospacing="1" w:line="240" w:lineRule="auto"/>
        <w:ind w:left="720"/>
        <w:rPr>
          <w:rFonts w:ascii="Times New Roman" w:hAnsi="Times New Roman"/>
          <w:sz w:val="24"/>
          <w:szCs w:val="24"/>
        </w:rPr>
      </w:pPr>
      <w:r w:rsidRPr="00D81A8F">
        <w:rPr>
          <w:rFonts w:ascii="Times New Roman" w:hAnsi="Times New Roman"/>
          <w:sz w:val="24"/>
          <w:szCs w:val="24"/>
        </w:rPr>
        <w:t xml:space="preserve">These facts render this case a far cry from </w:t>
      </w:r>
      <w:r w:rsidRPr="00D81A8F">
        <w:rPr>
          <w:rStyle w:val="Emphasis"/>
          <w:rFonts w:ascii="Times New Roman" w:hAnsi="Times New Roman"/>
          <w:sz w:val="24"/>
          <w:szCs w:val="24"/>
        </w:rPr>
        <w:t>United States v. Overton,</w:t>
      </w:r>
      <w:r w:rsidRPr="00D81A8F">
        <w:rPr>
          <w:rFonts w:ascii="Times New Roman" w:hAnsi="Times New Roman"/>
          <w:sz w:val="24"/>
          <w:szCs w:val="24"/>
        </w:rPr>
        <w:t xml:space="preserve"> the most relevant Sixth Circuit precedent. 600 </w:t>
      </w:r>
      <w:proofErr w:type="spellStart"/>
      <w:r w:rsidRPr="00D81A8F">
        <w:rPr>
          <w:rFonts w:ascii="Times New Roman" w:hAnsi="Times New Roman"/>
          <w:sz w:val="24"/>
          <w:szCs w:val="24"/>
        </w:rPr>
        <w:t>Fed.Appx</w:t>
      </w:r>
      <w:proofErr w:type="spellEnd"/>
      <w:r w:rsidRPr="00D81A8F">
        <w:rPr>
          <w:rFonts w:ascii="Times New Roman" w:hAnsi="Times New Roman"/>
          <w:sz w:val="24"/>
          <w:szCs w:val="24"/>
        </w:rPr>
        <w:t>. 303, 310 (6th Cir. 2014) ]</w:t>
      </w:r>
      <w:hyperlink r:id="rId233" w:history="1">
        <w:r w:rsidRPr="00D81A8F">
          <w:rPr>
            <w:rStyle w:val="Hyperlink"/>
            <w:rFonts w:ascii="Times New Roman" w:hAnsi="Times New Roman"/>
            <w:sz w:val="24"/>
            <w:szCs w:val="24"/>
          </w:rPr>
          <w:t>https://law.justia.com/cases/federal/appellate-courts/ca6/13-3274/13-3274-2014-03-13.html</w:t>
        </w:r>
      </w:hyperlink>
      <w:r w:rsidRPr="00D81A8F">
        <w:rPr>
          <w:rFonts w:ascii="Times New Roman" w:hAnsi="Times New Roman"/>
          <w:sz w:val="24"/>
          <w:szCs w:val="24"/>
        </w:rPr>
        <w:t xml:space="preserve">]. In Overton, the court held there was no unreasonable seizure when EMS personnel detained a man, who had been unconscious when they arrived on scene, for thirty seconds out of concern for his medical wellbeing. </w:t>
      </w:r>
      <w:r w:rsidRPr="00D81A8F">
        <w:rPr>
          <w:rStyle w:val="Emphasis"/>
          <w:rFonts w:ascii="Times New Roman" w:hAnsi="Times New Roman"/>
          <w:sz w:val="24"/>
          <w:szCs w:val="24"/>
        </w:rPr>
        <w:t>Id.</w:t>
      </w:r>
      <w:r w:rsidRPr="00D81A8F">
        <w:rPr>
          <w:rFonts w:ascii="Times New Roman" w:hAnsi="Times New Roman"/>
          <w:sz w:val="24"/>
          <w:szCs w:val="24"/>
        </w:rPr>
        <w:t xml:space="preserve"> at 310-311. The brief seizure to substantiate the man's claims that he was fine was reasonable in furtherance of their medical duties. </w:t>
      </w:r>
      <w:r w:rsidRPr="00D81A8F">
        <w:rPr>
          <w:rStyle w:val="Emphasis"/>
          <w:rFonts w:ascii="Times New Roman" w:hAnsi="Times New Roman"/>
          <w:sz w:val="24"/>
          <w:szCs w:val="24"/>
        </w:rPr>
        <w:t>Id.</w:t>
      </w:r>
      <w:r w:rsidRPr="00D81A8F">
        <w:rPr>
          <w:rFonts w:ascii="Times New Roman" w:hAnsi="Times New Roman"/>
          <w:sz w:val="24"/>
          <w:szCs w:val="24"/>
        </w:rPr>
        <w:t xml:space="preserve"> To analogize, a brief seizure here may have been reasonable if the firefighters found Fairrow unconscious, if Fairrow was slurring words, or if they had other specific concerns about Fairrow's medical capacity. But unlike the EMTs in Overton, the firefighters had no reason to question Fairrow's medical capacity. Fairrow was never unconscious, passed the medical screening, and repeatedly said he was fine, yet Wahl aggressively prevented his departure.” </w:t>
      </w:r>
      <w:hyperlink r:id="rId234" w:history="1">
        <w:r w:rsidRPr="00D81A8F">
          <w:rPr>
            <w:rStyle w:val="Hyperlink"/>
            <w:rFonts w:ascii="Times New Roman" w:hAnsi="Times New Roman"/>
            <w:sz w:val="24"/>
            <w:szCs w:val="24"/>
          </w:rPr>
          <w:t>https://www.leagle.com/decision/infdco20211108549</w:t>
        </w:r>
      </w:hyperlink>
      <w:r w:rsidRPr="00D81A8F">
        <w:rPr>
          <w:rFonts w:ascii="Times New Roman" w:hAnsi="Times New Roman"/>
          <w:sz w:val="24"/>
          <w:szCs w:val="24"/>
        </w:rPr>
        <w:t xml:space="preserve"> </w:t>
      </w:r>
    </w:p>
    <w:p w14:paraId="4A93D042" w14:textId="04F6CBF7" w:rsidR="00D84F3A" w:rsidRPr="005F7F88" w:rsidRDefault="00D84F3A" w:rsidP="00D84F3A">
      <w:pPr>
        <w:spacing w:before="100" w:beforeAutospacing="1" w:after="100" w:afterAutospacing="1" w:line="240" w:lineRule="auto"/>
        <w:rPr>
          <w:rFonts w:ascii="Times New Roman" w:eastAsia="Times New Roman" w:hAnsi="Times New Roman"/>
          <w:b/>
          <w:bCs/>
          <w:sz w:val="24"/>
          <w:szCs w:val="24"/>
        </w:rPr>
      </w:pPr>
      <w:bookmarkStart w:id="5" w:name="_Hlk89146577"/>
      <w:r w:rsidRPr="00FE5C3D">
        <w:rPr>
          <w:rFonts w:ascii="Times New Roman" w:hAnsi="Times New Roman"/>
          <w:b/>
          <w:bCs/>
          <w:sz w:val="24"/>
          <w:szCs w:val="24"/>
        </w:rPr>
        <w:t>Legal Lesson Learned: The “Community Caretaking Doctrine” has been widely applied when there is real danger</w:t>
      </w:r>
      <w:r>
        <w:rPr>
          <w:rFonts w:ascii="Times New Roman" w:hAnsi="Times New Roman"/>
          <w:b/>
          <w:bCs/>
          <w:sz w:val="24"/>
          <w:szCs w:val="24"/>
        </w:rPr>
        <w:t xml:space="preserve"> to</w:t>
      </w:r>
      <w:r w:rsidRPr="00FE5C3D">
        <w:rPr>
          <w:rFonts w:ascii="Times New Roman" w:hAnsi="Times New Roman"/>
          <w:b/>
          <w:bCs/>
          <w:sz w:val="24"/>
          <w:szCs w:val="24"/>
        </w:rPr>
        <w:t xml:space="preserve"> emergency responders</w:t>
      </w:r>
      <w:r>
        <w:rPr>
          <w:rFonts w:ascii="Times New Roman" w:hAnsi="Times New Roman"/>
          <w:b/>
          <w:bCs/>
          <w:sz w:val="24"/>
          <w:szCs w:val="24"/>
        </w:rPr>
        <w:t xml:space="preserve"> or to the public. If the volunteer firefighter had smelled strong odor of marijuana, Court may have not suppressed the evidence.  </w:t>
      </w:r>
      <w:r w:rsidRPr="00FE5C3D">
        <w:rPr>
          <w:rFonts w:ascii="Times New Roman" w:hAnsi="Times New Roman"/>
          <w:b/>
          <w:bCs/>
          <w:sz w:val="24"/>
          <w:szCs w:val="24"/>
        </w:rPr>
        <w:t xml:space="preserve"> </w:t>
      </w:r>
    </w:p>
    <w:bookmarkEnd w:id="5"/>
    <w:p w14:paraId="304EA8D5" w14:textId="77777777" w:rsidR="00D84F3A" w:rsidRDefault="00D84F3A" w:rsidP="002B1283">
      <w:pPr>
        <w:rPr>
          <w:rFonts w:ascii="Arial Black" w:hAnsi="Arial Black"/>
          <w:b/>
          <w:sz w:val="24"/>
          <w:szCs w:val="24"/>
        </w:rPr>
      </w:pPr>
    </w:p>
    <w:p w14:paraId="32F1E9E9" w14:textId="77777777" w:rsidR="00D84F3A" w:rsidRDefault="00D84F3A" w:rsidP="002B1283">
      <w:pPr>
        <w:rPr>
          <w:rFonts w:ascii="Arial Black" w:hAnsi="Arial Black"/>
          <w:b/>
          <w:sz w:val="24"/>
          <w:szCs w:val="24"/>
        </w:rPr>
      </w:pPr>
    </w:p>
    <w:p w14:paraId="525D6CE7" w14:textId="1B80B023" w:rsidR="00243A7F" w:rsidRDefault="00243A7F" w:rsidP="002B1283">
      <w:pPr>
        <w:rPr>
          <w:rFonts w:ascii="Arial Black" w:hAnsi="Arial Black"/>
          <w:b/>
          <w:sz w:val="24"/>
          <w:szCs w:val="24"/>
        </w:rPr>
      </w:pPr>
      <w:r>
        <w:rPr>
          <w:rFonts w:ascii="Arial Black" w:hAnsi="Arial Black"/>
          <w:b/>
          <w:sz w:val="24"/>
          <w:szCs w:val="24"/>
        </w:rPr>
        <w:t>1-88</w:t>
      </w:r>
    </w:p>
    <w:p w14:paraId="0BD96F53" w14:textId="77777777" w:rsidR="00243A7F" w:rsidRPr="004E6D58" w:rsidRDefault="00243A7F" w:rsidP="00243A7F">
      <w:pPr>
        <w:pStyle w:val="NormalWeb"/>
        <w:rPr>
          <w:rFonts w:ascii="Arial Black" w:hAnsi="Arial Black"/>
          <w:sz w:val="28"/>
          <w:szCs w:val="28"/>
        </w:rPr>
      </w:pPr>
      <w:r>
        <w:rPr>
          <w:rFonts w:ascii="Arial Black" w:hAnsi="Arial Black"/>
          <w:sz w:val="28"/>
          <w:szCs w:val="28"/>
        </w:rPr>
        <w:t>OH: WOMAN DIED IN HOUSE FIRE – IGNORED 13 WARNING LOW BATTERY FROM CABLE COMPANY – CASE DISMISSED</w:t>
      </w:r>
    </w:p>
    <w:p w14:paraId="2F9077AE" w14:textId="77777777" w:rsidR="00243A7F" w:rsidRDefault="00243A7F" w:rsidP="00243A7F">
      <w:pPr>
        <w:pStyle w:val="NormalWeb"/>
      </w:pPr>
      <w:r>
        <w:lastRenderedPageBreak/>
        <w:t xml:space="preserve">On Oct. 26, 2021, in </w:t>
      </w:r>
      <w:r w:rsidRPr="004E6D58">
        <w:rPr>
          <w:u w:val="single"/>
        </w:rPr>
        <w:t xml:space="preserve">Jeffrey Kahl v. </w:t>
      </w:r>
      <w:proofErr w:type="spellStart"/>
      <w:r w:rsidRPr="004E6D58">
        <w:rPr>
          <w:u w:val="single"/>
        </w:rPr>
        <w:t>Sectrum</w:t>
      </w:r>
      <w:proofErr w:type="spellEnd"/>
      <w:r w:rsidRPr="004E6D58">
        <w:rPr>
          <w:u w:val="single"/>
        </w:rPr>
        <w:t xml:space="preserve"> Security, LLC, doing business as Spectrum, et al</w:t>
      </w:r>
      <w:r>
        <w:t>., the U.S. Court of Appeals for the 6</w:t>
      </w:r>
      <w:r w:rsidRPr="004E6D58">
        <w:rPr>
          <w:vertAlign w:val="superscript"/>
        </w:rPr>
        <w:t>th</w:t>
      </w:r>
      <w:r>
        <w:t xml:space="preserve"> Circuit (Cincinnati) held (3 to 0) in unpublished decision that Federal District Court judge had properly dismissed the husband’s lawsuit. </w:t>
      </w:r>
    </w:p>
    <w:p w14:paraId="544C0E59" w14:textId="77777777" w:rsidR="00243A7F" w:rsidRPr="004E6D58" w:rsidRDefault="00243A7F" w:rsidP="00243A7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4E6D58">
        <w:rPr>
          <w:rFonts w:ascii="Times New Roman" w:eastAsia="Times New Roman" w:hAnsi="Times New Roman"/>
          <w:sz w:val="24"/>
          <w:szCs w:val="24"/>
        </w:rPr>
        <w:t>Under the unique facts of this case, a reasonable person must conclude that Heather's negligence in failing to heed the warnings provided by Spectrum about the low-battery signal outweighed any negligence by the defendants. At the outset, we emphasize that this is not a case where a fire-alarm company provided little or no warning about faulty equipment. Starting in June 2017, Spectrum repeatedly notified Heather of the smoke detector's dying battery, using different mediums to send duplicative alerts</w:t>
      </w:r>
      <w:r>
        <w:rPr>
          <w:rFonts w:ascii="Times New Roman" w:eastAsia="Times New Roman" w:hAnsi="Times New Roman"/>
          <w:sz w:val="24"/>
          <w:szCs w:val="24"/>
        </w:rPr>
        <w:t>….</w:t>
      </w:r>
      <w:r w:rsidRPr="004E6D58">
        <w:rPr>
          <w:rFonts w:ascii="Times New Roman" w:eastAsia="Times New Roman" w:hAnsi="Times New Roman"/>
          <w:sz w:val="24"/>
          <w:szCs w:val="24"/>
        </w:rPr>
        <w:t xml:space="preserve"> The company also provided a complimentary replacement battery to fix the problem</w:t>
      </w:r>
      <w:r>
        <w:rPr>
          <w:rFonts w:ascii="Times New Roman" w:eastAsia="Times New Roman" w:hAnsi="Times New Roman"/>
          <w:sz w:val="24"/>
          <w:szCs w:val="24"/>
        </w:rPr>
        <w:t>….</w:t>
      </w:r>
      <w:r w:rsidRPr="004E6D58">
        <w:rPr>
          <w:rFonts w:ascii="Times New Roman" w:eastAsia="Times New Roman" w:hAnsi="Times New Roman"/>
          <w:sz w:val="24"/>
          <w:szCs w:val="24"/>
        </w:rPr>
        <w:t xml:space="preserve"> When the issue persisted after Spectrum shipped the new battery to Heather, the company scheduled a maintenance appointment to have a technician examine the smoke detector</w:t>
      </w:r>
      <w:r>
        <w:rPr>
          <w:rFonts w:ascii="Times New Roman" w:eastAsia="Times New Roman" w:hAnsi="Times New Roman"/>
          <w:sz w:val="24"/>
          <w:szCs w:val="24"/>
        </w:rPr>
        <w:t xml:space="preserve">…. </w:t>
      </w:r>
      <w:r w:rsidRPr="004E6D58">
        <w:rPr>
          <w:rFonts w:ascii="Times New Roman" w:eastAsia="Times New Roman" w:hAnsi="Times New Roman"/>
          <w:sz w:val="24"/>
          <w:szCs w:val="24"/>
        </w:rPr>
        <w:t xml:space="preserve">Heather was certainly aware of the problem with the smoke detector as she cancelled that appointment the day it was scheduled to take place. </w:t>
      </w:r>
      <w:r>
        <w:rPr>
          <w:rFonts w:ascii="Times New Roman" w:eastAsia="Times New Roman" w:hAnsi="Times New Roman"/>
          <w:sz w:val="24"/>
          <w:szCs w:val="24"/>
        </w:rPr>
        <w:t xml:space="preserve">*** </w:t>
      </w:r>
      <w:r w:rsidRPr="004E6D58">
        <w:rPr>
          <w:rFonts w:ascii="Times New Roman" w:eastAsia="Times New Roman" w:hAnsi="Times New Roman"/>
          <w:sz w:val="24"/>
          <w:szCs w:val="24"/>
        </w:rPr>
        <w:t>It is true that the iControl panel in the Kahl residence registered a low-battery signal on September 14 and that the defendants did not alert Heather of that problem that day</w:t>
      </w:r>
      <w:r>
        <w:rPr>
          <w:rFonts w:ascii="Times New Roman" w:eastAsia="Times New Roman" w:hAnsi="Times New Roman"/>
          <w:sz w:val="24"/>
          <w:szCs w:val="24"/>
        </w:rPr>
        <w:t>…</w:t>
      </w:r>
      <w:r w:rsidRPr="004E6D58">
        <w:rPr>
          <w:rFonts w:ascii="Times New Roman" w:eastAsia="Times New Roman" w:hAnsi="Times New Roman"/>
          <w:sz w:val="24"/>
          <w:szCs w:val="24"/>
        </w:rPr>
        <w:t xml:space="preserve">. Crucially, however, Spectrum made five attempts </w:t>
      </w:r>
      <w:r w:rsidRPr="004E6D58">
        <w:rPr>
          <w:rFonts w:ascii="Times New Roman" w:eastAsia="Times New Roman" w:hAnsi="Times New Roman"/>
          <w:i/>
          <w:iCs/>
          <w:sz w:val="24"/>
          <w:szCs w:val="24"/>
        </w:rPr>
        <w:t>after</w:t>
      </w:r>
      <w:r w:rsidRPr="004E6D58">
        <w:rPr>
          <w:rFonts w:ascii="Times New Roman" w:eastAsia="Times New Roman" w:hAnsi="Times New Roman"/>
          <w:sz w:val="24"/>
          <w:szCs w:val="24"/>
        </w:rPr>
        <w:t xml:space="preserve"> September 14 to alert Heather to the issue, the last attempt coming approximately two weeks before the fire.</w:t>
      </w:r>
      <w:r>
        <w:rPr>
          <w:rFonts w:ascii="Times New Roman" w:eastAsia="Times New Roman" w:hAnsi="Times New Roman"/>
          <w:sz w:val="24"/>
          <w:szCs w:val="24"/>
        </w:rPr>
        <w:t xml:space="preserve"> *** </w:t>
      </w:r>
      <w:r w:rsidRPr="008F13A3">
        <w:rPr>
          <w:rFonts w:ascii="Times New Roman" w:eastAsia="Times New Roman" w:hAnsi="Times New Roman"/>
          <w:sz w:val="24"/>
          <w:szCs w:val="24"/>
        </w:rPr>
        <w:t xml:space="preserve">By the last notification on October 16, 2017, Spectrum had contacted Heather on thirteen different days about the smoke detector's low </w:t>
      </w:r>
      <w:proofErr w:type="gramStart"/>
      <w:r w:rsidRPr="008F13A3">
        <w:rPr>
          <w:rFonts w:ascii="Times New Roman" w:eastAsia="Times New Roman" w:hAnsi="Times New Roman"/>
          <w:sz w:val="24"/>
          <w:szCs w:val="24"/>
        </w:rPr>
        <w:t>battery.</w:t>
      </w:r>
      <w:r>
        <w:rPr>
          <w:rFonts w:ascii="Times New Roman" w:eastAsia="Times New Roman" w:hAnsi="Times New Roman"/>
          <w:sz w:val="24"/>
          <w:szCs w:val="24"/>
        </w:rPr>
        <w:t>”</w:t>
      </w:r>
      <w:proofErr w:type="gramEnd"/>
      <w:r w:rsidRPr="008F13A3">
        <w:rPr>
          <w:rFonts w:ascii="Times New Roman" w:eastAsia="Times New Roman" w:hAnsi="Times New Roman"/>
          <w:sz w:val="24"/>
          <w:szCs w:val="24"/>
        </w:rPr>
        <w:t xml:space="preserve"> </w:t>
      </w:r>
      <w:hyperlink r:id="rId235" w:history="1">
        <w:r w:rsidRPr="00AB11A6">
          <w:rPr>
            <w:rStyle w:val="Hyperlink"/>
            <w:sz w:val="24"/>
            <w:szCs w:val="24"/>
          </w:rPr>
          <w:t>https://www.opn.ca6.uscourts.gov/opinions.pdf/21a0484n-06.pdf</w:t>
        </w:r>
      </w:hyperlink>
      <w:r>
        <w:rPr>
          <w:rFonts w:ascii="Times New Roman" w:eastAsia="Times New Roman" w:hAnsi="Times New Roman"/>
          <w:sz w:val="24"/>
          <w:szCs w:val="24"/>
        </w:rPr>
        <w:t xml:space="preserve"> </w:t>
      </w:r>
    </w:p>
    <w:p w14:paraId="753DACBE" w14:textId="77777777" w:rsidR="00243A7F" w:rsidRPr="008F13A3" w:rsidRDefault="00243A7F" w:rsidP="00243A7F">
      <w:pPr>
        <w:spacing w:before="100" w:beforeAutospacing="1" w:after="100" w:afterAutospacing="1" w:line="240" w:lineRule="auto"/>
        <w:rPr>
          <w:rFonts w:ascii="Times New Roman" w:eastAsia="Times New Roman" w:hAnsi="Times New Roman"/>
          <w:b/>
          <w:bCs/>
          <w:sz w:val="24"/>
          <w:szCs w:val="24"/>
        </w:rPr>
      </w:pPr>
      <w:r w:rsidRPr="008F13A3">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Working smoke detectors save lives; cable </w:t>
      </w:r>
      <w:proofErr w:type="gramStart"/>
      <w:r>
        <w:rPr>
          <w:rFonts w:ascii="Times New Roman" w:eastAsia="Times New Roman" w:hAnsi="Times New Roman"/>
          <w:b/>
          <w:bCs/>
          <w:sz w:val="24"/>
          <w:szCs w:val="24"/>
        </w:rPr>
        <w:t>company</w:t>
      </w:r>
      <w:proofErr w:type="gramEnd"/>
      <w:r>
        <w:rPr>
          <w:rFonts w:ascii="Times New Roman" w:eastAsia="Times New Roman" w:hAnsi="Times New Roman"/>
          <w:b/>
          <w:bCs/>
          <w:sz w:val="24"/>
          <w:szCs w:val="24"/>
        </w:rPr>
        <w:t xml:space="preserve"> not liable when </w:t>
      </w:r>
      <w:proofErr w:type="gramStart"/>
      <w:r>
        <w:rPr>
          <w:rFonts w:ascii="Times New Roman" w:eastAsia="Times New Roman" w:hAnsi="Times New Roman"/>
          <w:b/>
          <w:bCs/>
          <w:sz w:val="24"/>
          <w:szCs w:val="24"/>
        </w:rPr>
        <w:t>customer ignores</w:t>
      </w:r>
      <w:proofErr w:type="gramEnd"/>
      <w:r>
        <w:rPr>
          <w:rFonts w:ascii="Times New Roman" w:eastAsia="Times New Roman" w:hAnsi="Times New Roman"/>
          <w:b/>
          <w:bCs/>
          <w:sz w:val="24"/>
          <w:szCs w:val="24"/>
        </w:rPr>
        <w:t xml:space="preserve"> 13 notifications of low </w:t>
      </w:r>
      <w:proofErr w:type="gramStart"/>
      <w:r>
        <w:rPr>
          <w:rFonts w:ascii="Times New Roman" w:eastAsia="Times New Roman" w:hAnsi="Times New Roman"/>
          <w:b/>
          <w:bCs/>
          <w:sz w:val="24"/>
          <w:szCs w:val="24"/>
        </w:rPr>
        <w:t>battery</w:t>
      </w:r>
      <w:proofErr w:type="gramEnd"/>
      <w:r>
        <w:rPr>
          <w:rFonts w:ascii="Times New Roman" w:eastAsia="Times New Roman" w:hAnsi="Times New Roman"/>
          <w:b/>
          <w:bCs/>
          <w:sz w:val="24"/>
          <w:szCs w:val="24"/>
        </w:rPr>
        <w:t xml:space="preserve">. </w:t>
      </w:r>
    </w:p>
    <w:p w14:paraId="0C8F577E" w14:textId="77777777" w:rsidR="00243A7F" w:rsidRDefault="00243A7F" w:rsidP="002B1283">
      <w:pPr>
        <w:rPr>
          <w:rFonts w:ascii="Arial Black" w:hAnsi="Arial Black"/>
          <w:b/>
          <w:sz w:val="24"/>
          <w:szCs w:val="24"/>
        </w:rPr>
      </w:pPr>
    </w:p>
    <w:p w14:paraId="574FA4E9" w14:textId="74328D23" w:rsidR="00243A7F" w:rsidRDefault="00243A7F" w:rsidP="002B1283">
      <w:pPr>
        <w:rPr>
          <w:rFonts w:ascii="Arial Black" w:hAnsi="Arial Black"/>
          <w:b/>
          <w:sz w:val="24"/>
          <w:szCs w:val="24"/>
        </w:rPr>
      </w:pPr>
      <w:r>
        <w:rPr>
          <w:rFonts w:ascii="Arial Black" w:hAnsi="Arial Black"/>
          <w:b/>
          <w:sz w:val="24"/>
          <w:szCs w:val="24"/>
        </w:rPr>
        <w:t>1-87</w:t>
      </w:r>
    </w:p>
    <w:p w14:paraId="696D3634" w14:textId="77777777" w:rsidR="00243A7F" w:rsidRPr="0029293F" w:rsidRDefault="00243A7F" w:rsidP="00243A7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GAS LEAK - DRUNK HOMEOWNER DROVE OVER HIS GAS METER – OFFICER PROB. CAUSE – NOT “SELF DRIVING” CAR</w:t>
      </w:r>
    </w:p>
    <w:p w14:paraId="1DC56174" w14:textId="77777777" w:rsidR="00243A7F" w:rsidRPr="0029293F" w:rsidRDefault="00243A7F" w:rsidP="00243A7F">
      <w:pPr>
        <w:spacing w:before="100" w:beforeAutospacing="1" w:after="100" w:afterAutospacing="1" w:line="240" w:lineRule="auto"/>
        <w:rPr>
          <w:rFonts w:ascii="Times New Roman" w:eastAsia="Times New Roman" w:hAnsi="Times New Roman"/>
          <w:sz w:val="24"/>
          <w:szCs w:val="24"/>
        </w:rPr>
      </w:pPr>
      <w:r w:rsidRPr="0029293F">
        <w:rPr>
          <w:rFonts w:ascii="Times New Roman" w:eastAsia="Times New Roman" w:hAnsi="Times New Roman"/>
          <w:sz w:val="24"/>
          <w:szCs w:val="24"/>
        </w:rPr>
        <w:t> </w:t>
      </w:r>
      <w:r>
        <w:rPr>
          <w:rFonts w:ascii="Times New Roman" w:eastAsia="Times New Roman" w:hAnsi="Times New Roman"/>
          <w:sz w:val="24"/>
          <w:szCs w:val="24"/>
        </w:rPr>
        <w:t xml:space="preserve">On Oct. 26, 2021, in </w:t>
      </w:r>
      <w:r w:rsidRPr="0029293F">
        <w:rPr>
          <w:rFonts w:ascii="Times New Roman" w:eastAsia="Times New Roman" w:hAnsi="Times New Roman"/>
          <w:sz w:val="24"/>
          <w:szCs w:val="24"/>
          <w:u w:val="single"/>
        </w:rPr>
        <w:t>Gregory A. Switzer v. The Village of Glassford, Illinois and Andrew Burgess</w:t>
      </w:r>
      <w:r>
        <w:rPr>
          <w:rFonts w:ascii="Times New Roman" w:eastAsia="Times New Roman" w:hAnsi="Times New Roman"/>
          <w:sz w:val="24"/>
          <w:szCs w:val="24"/>
        </w:rPr>
        <w:t>, U.S. District Court Judge James E. Shadid, Central District of Illinois, granted Officer Burgess’ motion for summary judgment since he had probable cause to arrest, even if charges later dropped. The judge comically commented on the homeowner’s claim that someone else must have been driving his vehicle.</w:t>
      </w:r>
    </w:p>
    <w:p w14:paraId="38385C95" w14:textId="77777777" w:rsidR="00243A7F" w:rsidRPr="007F2596" w:rsidRDefault="00243A7F" w:rsidP="00243A7F">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7F2596">
        <w:rPr>
          <w:rFonts w:ascii="Times New Roman" w:hAnsi="Times New Roman"/>
          <w:sz w:val="24"/>
          <w:szCs w:val="24"/>
        </w:rPr>
        <w:t xml:space="preserve">While that possibility becomes ever-so-slightly more possible with advances in self-driving technology, it does not yet exist. Notwithstanding the state courts' contrary conclusion, Justice Schmidt was </w:t>
      </w:r>
      <w:proofErr w:type="gramStart"/>
      <w:r w:rsidRPr="007F2596">
        <w:rPr>
          <w:rFonts w:ascii="Times New Roman" w:hAnsi="Times New Roman"/>
          <w:sz w:val="24"/>
          <w:szCs w:val="24"/>
        </w:rPr>
        <w:t>absolutely correct</w:t>
      </w:r>
      <w:proofErr w:type="gramEnd"/>
      <w:r w:rsidRPr="007F2596">
        <w:rPr>
          <w:rFonts w:ascii="Times New Roman" w:hAnsi="Times New Roman"/>
          <w:sz w:val="24"/>
          <w:szCs w:val="24"/>
        </w:rPr>
        <w:t>: Officer Burgess clearly had probable cause to arrest Switzer for the offense of driving under the influence. Accordingly, Defendants are entitled to summary judgment on each of Plaintiff's claims.</w:t>
      </w:r>
      <w:r>
        <w:rPr>
          <w:rFonts w:ascii="Times New Roman" w:hAnsi="Times New Roman"/>
          <w:sz w:val="24"/>
          <w:szCs w:val="24"/>
        </w:rPr>
        <w:t xml:space="preserve">” </w:t>
      </w:r>
      <w:hyperlink r:id="rId236" w:history="1">
        <w:r w:rsidRPr="007148A2">
          <w:rPr>
            <w:rStyle w:val="Hyperlink"/>
            <w:sz w:val="24"/>
            <w:szCs w:val="24"/>
          </w:rPr>
          <w:t>https://public.fastcase.com/9SKwsfNqTc6OieYDhNMyMxCncQbdnZBHHYClkb%2F5rq5vAcucBX21mkOLoZWomgOrkfyB0T1fu8X9VBZqJtLwyHdQaAVKSMi9mGC9zU6KrUc%3D</w:t>
        </w:r>
      </w:hyperlink>
      <w:r>
        <w:rPr>
          <w:rFonts w:ascii="Times New Roman" w:hAnsi="Times New Roman"/>
          <w:sz w:val="24"/>
          <w:szCs w:val="24"/>
        </w:rPr>
        <w:t xml:space="preserve"> </w:t>
      </w:r>
    </w:p>
    <w:p w14:paraId="13DD37C5" w14:textId="77777777" w:rsidR="00243A7F" w:rsidRPr="0029293F" w:rsidRDefault="00243A7F" w:rsidP="00243A7F">
      <w:pPr>
        <w:spacing w:before="100" w:beforeAutospacing="1" w:after="100" w:afterAutospacing="1" w:line="240" w:lineRule="auto"/>
        <w:rPr>
          <w:rFonts w:ascii="Times New Roman" w:eastAsia="Times New Roman" w:hAnsi="Times New Roman"/>
          <w:b/>
          <w:bCs/>
          <w:sz w:val="24"/>
          <w:szCs w:val="24"/>
        </w:rPr>
      </w:pPr>
      <w:r w:rsidRPr="007F2596">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Judges sometimes offer comical comments in their decision; reflects on the frivolous nature of the lawsuit. </w:t>
      </w:r>
    </w:p>
    <w:p w14:paraId="45347B8B" w14:textId="77777777" w:rsidR="00243A7F" w:rsidRDefault="00243A7F" w:rsidP="002B1283">
      <w:pPr>
        <w:rPr>
          <w:rFonts w:ascii="Arial Black" w:hAnsi="Arial Black"/>
          <w:b/>
          <w:sz w:val="24"/>
          <w:szCs w:val="24"/>
        </w:rPr>
      </w:pPr>
    </w:p>
    <w:p w14:paraId="4CFDBE78" w14:textId="205AD2A4" w:rsidR="00243A7F" w:rsidRDefault="00243A7F" w:rsidP="002B1283">
      <w:pPr>
        <w:rPr>
          <w:rFonts w:ascii="Arial Black" w:hAnsi="Arial Black"/>
          <w:b/>
          <w:sz w:val="24"/>
          <w:szCs w:val="24"/>
        </w:rPr>
      </w:pPr>
      <w:r>
        <w:rPr>
          <w:rFonts w:ascii="Arial Black" w:hAnsi="Arial Black"/>
          <w:b/>
          <w:sz w:val="24"/>
          <w:szCs w:val="24"/>
        </w:rPr>
        <w:t>1-86</w:t>
      </w:r>
    </w:p>
    <w:p w14:paraId="0EADFA80" w14:textId="77777777" w:rsidR="00243A7F" w:rsidRPr="009B4011" w:rsidRDefault="00243A7F" w:rsidP="00243A7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CA: HOMEOWNDER REFUSED SIGN CITATION - BURNING 3 CANS POOL – ARRESTED – LAWSUIT DISMISSED</w:t>
      </w:r>
    </w:p>
    <w:p w14:paraId="436FB3D3" w14:textId="77777777" w:rsidR="00243A7F" w:rsidRDefault="00243A7F" w:rsidP="00243A7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Oct. 25, 2021, in </w:t>
      </w:r>
      <w:r w:rsidRPr="009B4011">
        <w:rPr>
          <w:rFonts w:ascii="Times New Roman" w:hAnsi="Times New Roman"/>
          <w:sz w:val="24"/>
          <w:szCs w:val="24"/>
          <w:u w:val="single"/>
        </w:rPr>
        <w:t>James I. McMillan v. County of Shasta</w:t>
      </w:r>
      <w:r>
        <w:rPr>
          <w:rFonts w:ascii="Times New Roman" w:hAnsi="Times New Roman"/>
          <w:sz w:val="24"/>
          <w:szCs w:val="24"/>
        </w:rPr>
        <w:t xml:space="preserve">, U.S. District Court judge John A. Mendez, U.S. District Court for Eastern District of California, dismissed the lawsuit filed by the plaintiff (an attorney, representing himself) against the County, the Fire Chief and police officers. </w:t>
      </w:r>
    </w:p>
    <w:p w14:paraId="2F528FC1" w14:textId="1110A5B7" w:rsidR="00243A7F" w:rsidRDefault="00243A7F" w:rsidP="00243A7F">
      <w:pPr>
        <w:spacing w:before="100" w:beforeAutospacing="1" w:after="100" w:afterAutospacing="1" w:line="240" w:lineRule="auto"/>
        <w:ind w:left="720"/>
        <w:rPr>
          <w:rFonts w:ascii="Times New Roman" w:hAnsi="Times New Roman"/>
          <w:sz w:val="24"/>
          <w:szCs w:val="24"/>
        </w:rPr>
      </w:pPr>
      <w:r w:rsidRPr="009A1AFE">
        <w:rPr>
          <w:rFonts w:ascii="Times New Roman" w:hAnsi="Times New Roman"/>
          <w:sz w:val="24"/>
          <w:szCs w:val="24"/>
        </w:rPr>
        <w:t>“Fire Defendants move to dismiss all claims against Chief Lowe and the Anderson Fire Protection District, contending that none of the factual allegations involving Lowe or the Anderson firefighters provide a basis for liability</w:t>
      </w:r>
      <w:r>
        <w:rPr>
          <w:rFonts w:ascii="Times New Roman" w:hAnsi="Times New Roman"/>
          <w:sz w:val="24"/>
          <w:szCs w:val="24"/>
        </w:rPr>
        <w:t xml:space="preserve">…. </w:t>
      </w:r>
      <w:r w:rsidRPr="009A1AFE">
        <w:rPr>
          <w:rFonts w:ascii="Times New Roman" w:hAnsi="Times New Roman"/>
          <w:sz w:val="24"/>
          <w:szCs w:val="24"/>
        </w:rPr>
        <w:t>The Court agrees.</w:t>
      </w:r>
      <w:r>
        <w:rPr>
          <w:rFonts w:ascii="Times New Roman" w:hAnsi="Times New Roman"/>
          <w:sz w:val="24"/>
          <w:szCs w:val="24"/>
        </w:rPr>
        <w:t xml:space="preserve"> *** </w:t>
      </w:r>
      <w:r w:rsidRPr="009A1AFE">
        <w:rPr>
          <w:rFonts w:ascii="Times New Roman" w:hAnsi="Times New Roman"/>
          <w:sz w:val="24"/>
          <w:szCs w:val="24"/>
        </w:rPr>
        <w:t xml:space="preserve">Simply put, Plaintiff still has not </w:t>
      </w:r>
      <w:proofErr w:type="gramStart"/>
      <w:r w:rsidRPr="009A1AFE">
        <w:rPr>
          <w:rFonts w:ascii="Times New Roman" w:hAnsi="Times New Roman"/>
          <w:sz w:val="24"/>
          <w:szCs w:val="24"/>
        </w:rPr>
        <w:t>pled</w:t>
      </w:r>
      <w:proofErr w:type="gramEnd"/>
      <w:r w:rsidRPr="009A1AFE">
        <w:rPr>
          <w:rFonts w:ascii="Times New Roman" w:hAnsi="Times New Roman"/>
          <w:sz w:val="24"/>
          <w:szCs w:val="24"/>
        </w:rPr>
        <w:t xml:space="preserve"> any legally actionable conduct by the Fire Defendants.</w:t>
      </w:r>
      <w:r>
        <w:rPr>
          <w:rFonts w:ascii="Times New Roman" w:hAnsi="Times New Roman"/>
          <w:sz w:val="24"/>
          <w:szCs w:val="24"/>
        </w:rPr>
        <w:t xml:space="preserve"> *** </w:t>
      </w:r>
      <w:r w:rsidRPr="009A1AFE">
        <w:rPr>
          <w:rFonts w:ascii="Times New Roman" w:hAnsi="Times New Roman"/>
          <w:sz w:val="24"/>
          <w:szCs w:val="24"/>
        </w:rPr>
        <w:t xml:space="preserve">This analysis is not altered by Plaintiff's presentment of new evidence - evidence not alleged in the </w:t>
      </w:r>
      <w:proofErr w:type="gramStart"/>
      <w:r w:rsidRPr="009A1AFE">
        <w:rPr>
          <w:rFonts w:ascii="Times New Roman" w:hAnsi="Times New Roman"/>
          <w:sz w:val="24"/>
          <w:szCs w:val="24"/>
        </w:rPr>
        <w:t>TAC, but</w:t>
      </w:r>
      <w:proofErr w:type="gramEnd"/>
      <w:r w:rsidRPr="009A1AFE">
        <w:rPr>
          <w:rFonts w:ascii="Times New Roman" w:hAnsi="Times New Roman"/>
          <w:sz w:val="24"/>
          <w:szCs w:val="24"/>
        </w:rPr>
        <w:t xml:space="preserve"> rather presented in Plaintiff's request for judicial notice filed with his opposition brief - that his criminal conviction has been vacated</w:t>
      </w:r>
      <w:r>
        <w:rPr>
          <w:rFonts w:ascii="Times New Roman" w:hAnsi="Times New Roman"/>
          <w:sz w:val="24"/>
          <w:szCs w:val="24"/>
        </w:rPr>
        <w:t xml:space="preserve">…. </w:t>
      </w:r>
      <w:r w:rsidRPr="009A1AFE">
        <w:rPr>
          <w:rFonts w:ascii="Times New Roman" w:hAnsi="Times New Roman"/>
          <w:sz w:val="24"/>
          <w:szCs w:val="24"/>
        </w:rPr>
        <w:t xml:space="preserve">Even if Plaintiff were correct that this update in his state criminal case means the Heck bar no longer applies, </w:t>
      </w:r>
      <w:r w:rsidRPr="009A1AFE">
        <w:rPr>
          <w:rStyle w:val="Emphasis"/>
          <w:rFonts w:ascii="Times New Roman" w:hAnsi="Times New Roman"/>
          <w:sz w:val="24"/>
          <w:szCs w:val="24"/>
        </w:rPr>
        <w:t>see</w:t>
      </w:r>
      <w:r w:rsidRPr="009A1AFE">
        <w:rPr>
          <w:rFonts w:ascii="Times New Roman" w:hAnsi="Times New Roman"/>
          <w:sz w:val="24"/>
          <w:szCs w:val="24"/>
        </w:rPr>
        <w:t xml:space="preserve"> Prior Order at 8-12, the factual deficiencies with the TAC remain and warrant dismissal.</w:t>
      </w:r>
      <w:r>
        <w:rPr>
          <w:rFonts w:ascii="Times New Roman" w:hAnsi="Times New Roman"/>
          <w:sz w:val="24"/>
          <w:szCs w:val="24"/>
        </w:rPr>
        <w:t xml:space="preserve">” </w:t>
      </w:r>
      <w:hyperlink r:id="rId237" w:history="1">
        <w:r w:rsidRPr="009545D0">
          <w:rPr>
            <w:rStyle w:val="Hyperlink"/>
            <w:sz w:val="24"/>
            <w:szCs w:val="24"/>
          </w:rPr>
          <w:t>https://public.fastcase.com/9SKwsfNqTc6OieYDhNMyM6jgODeMvtNo11ZvDvT9dExI019FDNN4wp%2BIWQLSUMw%2BxfaNzZaXSMuB0brgu1SRuIg3s6kJiaNRSylEv%2FkVP98%3D</w:t>
        </w:r>
      </w:hyperlink>
      <w:r>
        <w:rPr>
          <w:rFonts w:ascii="Times New Roman" w:hAnsi="Times New Roman"/>
          <w:sz w:val="24"/>
          <w:szCs w:val="24"/>
        </w:rPr>
        <w:t xml:space="preserve"> </w:t>
      </w:r>
    </w:p>
    <w:p w14:paraId="39CE06D4" w14:textId="77777777" w:rsidR="00243A7F" w:rsidRDefault="00243A7F" w:rsidP="00243A7F">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Refusal to sign the citation was very unwise and led to the arrest. </w:t>
      </w:r>
    </w:p>
    <w:p w14:paraId="46B21B4C" w14:textId="77777777" w:rsidR="00243A7F" w:rsidRPr="009A1AFE" w:rsidRDefault="00243A7F" w:rsidP="00243A7F">
      <w:pPr>
        <w:spacing w:before="100" w:beforeAutospacing="1" w:after="100" w:afterAutospacing="1" w:line="240" w:lineRule="auto"/>
        <w:ind w:left="720"/>
        <w:rPr>
          <w:rFonts w:ascii="Times New Roman" w:hAnsi="Times New Roman"/>
          <w:sz w:val="24"/>
          <w:szCs w:val="24"/>
        </w:rPr>
      </w:pPr>
    </w:p>
    <w:p w14:paraId="2094FCAB" w14:textId="77777777" w:rsidR="00243A7F" w:rsidRDefault="00243A7F" w:rsidP="002B1283">
      <w:pPr>
        <w:rPr>
          <w:rFonts w:ascii="Arial Black" w:hAnsi="Arial Black"/>
          <w:b/>
          <w:sz w:val="24"/>
          <w:szCs w:val="24"/>
        </w:rPr>
      </w:pPr>
    </w:p>
    <w:p w14:paraId="14241ADA" w14:textId="77777777" w:rsidR="00243A7F" w:rsidRDefault="00243A7F" w:rsidP="002B1283">
      <w:pPr>
        <w:rPr>
          <w:rFonts w:ascii="Arial Black" w:hAnsi="Arial Black"/>
          <w:b/>
          <w:sz w:val="24"/>
          <w:szCs w:val="24"/>
        </w:rPr>
      </w:pPr>
    </w:p>
    <w:p w14:paraId="170BCF9B" w14:textId="3D80E027" w:rsidR="00BD1702" w:rsidRDefault="00BD1702" w:rsidP="002B1283">
      <w:pPr>
        <w:rPr>
          <w:rFonts w:ascii="Arial Black" w:hAnsi="Arial Black"/>
          <w:b/>
          <w:sz w:val="24"/>
          <w:szCs w:val="24"/>
        </w:rPr>
      </w:pPr>
      <w:r>
        <w:rPr>
          <w:rFonts w:ascii="Arial Black" w:hAnsi="Arial Black"/>
          <w:b/>
          <w:sz w:val="24"/>
          <w:szCs w:val="24"/>
        </w:rPr>
        <w:t>1-85</w:t>
      </w:r>
    </w:p>
    <w:p w14:paraId="1759DDFB" w14:textId="77777777" w:rsidR="00BD1702" w:rsidRPr="00E43AE5" w:rsidRDefault="00BD1702" w:rsidP="00BD1702">
      <w:pPr>
        <w:rPr>
          <w:rFonts w:ascii="Arial Black" w:eastAsia="Times New Roman" w:hAnsi="Arial Black"/>
          <w:b/>
          <w:bCs/>
          <w:sz w:val="28"/>
          <w:szCs w:val="28"/>
        </w:rPr>
      </w:pPr>
      <w:r w:rsidRPr="00E43AE5">
        <w:rPr>
          <w:rFonts w:ascii="Arial Black" w:eastAsia="Times New Roman" w:hAnsi="Arial Black"/>
          <w:b/>
          <w:bCs/>
          <w:sz w:val="28"/>
          <w:szCs w:val="28"/>
        </w:rPr>
        <w:t>NY: FDNY FIRE INSPECTOR – RIGHT TO “GO PUBLIC” ABOUT WHAT HE BEL</w:t>
      </w:r>
      <w:r>
        <w:rPr>
          <w:rFonts w:ascii="Arial Black" w:eastAsia="Times New Roman" w:hAnsi="Arial Black"/>
          <w:b/>
          <w:bCs/>
          <w:sz w:val="28"/>
          <w:szCs w:val="28"/>
        </w:rPr>
        <w:t>IEVES</w:t>
      </w:r>
      <w:r w:rsidRPr="00E43AE5">
        <w:rPr>
          <w:rFonts w:ascii="Arial Black" w:eastAsia="Times New Roman" w:hAnsi="Arial Black"/>
          <w:b/>
          <w:bCs/>
          <w:sz w:val="28"/>
          <w:szCs w:val="28"/>
        </w:rPr>
        <w:t xml:space="preserve"> IS FALSE REPORT - FF LODD / MOVIE FILMED – LAWSUIT REINSTATED</w:t>
      </w:r>
    </w:p>
    <w:p w14:paraId="6DA59BAE" w14:textId="77777777" w:rsidR="00BD1702" w:rsidRDefault="00BD1702" w:rsidP="00BD1702">
      <w:pPr>
        <w:rPr>
          <w:rFonts w:ascii="Times New Roman" w:eastAsia="Times New Roman" w:hAnsi="Times New Roman"/>
          <w:sz w:val="24"/>
          <w:szCs w:val="24"/>
        </w:rPr>
      </w:pPr>
      <w:r>
        <w:rPr>
          <w:rFonts w:ascii="Times New Roman" w:eastAsia="Times New Roman" w:hAnsi="Times New Roman"/>
          <w:sz w:val="24"/>
          <w:szCs w:val="24"/>
        </w:rPr>
        <w:t xml:space="preserve">On Oct. 6, 2021, in </w:t>
      </w:r>
      <w:r>
        <w:rPr>
          <w:rFonts w:ascii="Times New Roman" w:eastAsia="Times New Roman" w:hAnsi="Times New Roman"/>
          <w:sz w:val="24"/>
          <w:szCs w:val="24"/>
          <w:u w:val="single"/>
        </w:rPr>
        <w:t>Scott P. Specht v. The City of New York, Thomas Kane, and John David Lynn</w:t>
      </w:r>
      <w:r>
        <w:rPr>
          <w:rFonts w:ascii="Times New Roman" w:eastAsia="Times New Roman" w:hAnsi="Times New Roman"/>
          <w:sz w:val="24"/>
          <w:szCs w:val="24"/>
        </w:rPr>
        <w:t xml:space="preserve">, the U.S. Court of Appeals for Second Circuit (New Yok City), held (3 to 0) that the retired fire marshal’s lawsuit for First Amendment retaliation is reinstated. </w:t>
      </w:r>
    </w:p>
    <w:p w14:paraId="1C522B75" w14:textId="0B7E6F2E" w:rsidR="00BD1702" w:rsidRDefault="00BD1702" w:rsidP="00BD1702">
      <w:pPr>
        <w:rPr>
          <w:rStyle w:val="Hyperlink"/>
          <w:sz w:val="24"/>
          <w:szCs w:val="24"/>
        </w:rPr>
      </w:pPr>
      <w:r>
        <w:rPr>
          <w:rFonts w:ascii="Times New Roman" w:eastAsia="Times New Roman" w:hAnsi="Times New Roman"/>
          <w:sz w:val="24"/>
          <w:szCs w:val="24"/>
        </w:rPr>
        <w:t>“</w:t>
      </w:r>
      <w:r>
        <w:rPr>
          <w:rFonts w:ascii="Times New Roman" w:hAnsi="Times New Roman"/>
          <w:sz w:val="24"/>
          <w:szCs w:val="24"/>
        </w:rPr>
        <w:t xml:space="preserve">Appellant Scott P. Specht, employed as a New York City fire marshal, alleges that after he refused to file a false report concerning the circumstances of a fire he was investigating and publicly discussed misconduct on the part of his supervisors, he was the subject of retaliation. *** </w:t>
      </w:r>
      <w:r>
        <w:rPr>
          <w:rFonts w:ascii="Times New Roman" w:eastAsia="Times New Roman" w:hAnsi="Times New Roman"/>
          <w:sz w:val="24"/>
          <w:szCs w:val="24"/>
        </w:rPr>
        <w:t>“</w:t>
      </w:r>
      <w:r>
        <w:rPr>
          <w:rStyle w:val="markedcontent"/>
          <w:rFonts w:ascii="Times New Roman" w:hAnsi="Times New Roman"/>
          <w:sz w:val="24"/>
          <w:szCs w:val="24"/>
        </w:rPr>
        <w:t>He concluded that the movie crew had improperly installed high-intensity lighting and had drilled holes in the wall, floors, and ceilings of the basement of the brownstone and that this work had caused the fire. Specht alleges that about three weeks into his investigation, [Chief Fire Marshal Thomas] Kane and [Assistant Chief Fire Marshal John David]</w:t>
      </w:r>
      <w:r>
        <w:rPr>
          <w:rStyle w:val="markedcontent"/>
          <w:sz w:val="33"/>
          <w:szCs w:val="33"/>
        </w:rPr>
        <w:t xml:space="preserve"> </w:t>
      </w:r>
      <w:r>
        <w:rPr>
          <w:rStyle w:val="markedcontent"/>
          <w:rFonts w:ascii="Times New Roman" w:hAnsi="Times New Roman"/>
          <w:sz w:val="24"/>
          <w:szCs w:val="24"/>
        </w:rPr>
        <w:t xml:space="preserve">Lynn convened a meeting at FDNY headquarters where they demanded that he prematurely terminate his work and ordered him to file a final report concluding that a flue connected to the boiler caused the fire.”  </w:t>
      </w:r>
      <w:hyperlink r:id="rId238" w:anchor="xml=https://www.ca2.uscourts.gov/decisions/isysquery/024ad429-f3ca-4195-b401-1dbc5e6424a8/1/hilite/" w:history="1">
        <w:r>
          <w:rPr>
            <w:rStyle w:val="Hyperlink"/>
            <w:sz w:val="24"/>
            <w:szCs w:val="24"/>
          </w:rPr>
          <w:t>https://www.ca2.uscourts.gov/decisions/isysquery/024ad429-f3ca-4195-b401-1dbc5e6424a8/1/doc/20-4211_opn.pdf#xml=https://www.ca2.uscourts.gov/decisions/isysquery/024ad429-f3ca-4195-b401-1dbc5e6424a8/1/hilite/</w:t>
        </w:r>
      </w:hyperlink>
    </w:p>
    <w:p w14:paraId="06C13BB8" w14:textId="77777777" w:rsidR="00BD1702" w:rsidRDefault="00BD1702" w:rsidP="00BD1702">
      <w:pPr>
        <w:rPr>
          <w:rStyle w:val="markedcontent"/>
          <w:b/>
          <w:bCs/>
        </w:rPr>
      </w:pPr>
      <w:r>
        <w:rPr>
          <w:rStyle w:val="markedcontent"/>
          <w:rFonts w:ascii="Times New Roman" w:hAnsi="Times New Roman"/>
          <w:b/>
          <w:bCs/>
          <w:sz w:val="24"/>
          <w:szCs w:val="24"/>
        </w:rPr>
        <w:lastRenderedPageBreak/>
        <w:t xml:space="preserve">Legal Lesson Learned: Fire Inspectors are protected from retaliation under the First Amendment when their speech deals with a matter of “public concern.” </w:t>
      </w:r>
    </w:p>
    <w:p w14:paraId="3E1CBF36" w14:textId="77777777" w:rsidR="00BD1702" w:rsidRDefault="00BD1702" w:rsidP="00BD1702">
      <w:pPr>
        <w:ind w:left="720"/>
        <w:rPr>
          <w:rFonts w:eastAsia="Times New Roman"/>
        </w:rPr>
      </w:pPr>
      <w:r>
        <w:rPr>
          <w:rFonts w:ascii="Times New Roman" w:eastAsia="Times New Roman" w:hAnsi="Times New Roman"/>
          <w:sz w:val="24"/>
          <w:szCs w:val="24"/>
        </w:rPr>
        <w:t xml:space="preserve">Note: See this March 24, </w:t>
      </w:r>
      <w:proofErr w:type="gramStart"/>
      <w:r>
        <w:rPr>
          <w:rFonts w:ascii="Times New Roman" w:eastAsia="Times New Roman" w:hAnsi="Times New Roman"/>
          <w:sz w:val="24"/>
          <w:szCs w:val="24"/>
        </w:rPr>
        <w:t>2018</w:t>
      </w:r>
      <w:proofErr w:type="gramEnd"/>
      <w:r>
        <w:rPr>
          <w:rFonts w:ascii="Times New Roman" w:eastAsia="Times New Roman" w:hAnsi="Times New Roman"/>
          <w:sz w:val="24"/>
          <w:szCs w:val="24"/>
        </w:rPr>
        <w:t xml:space="preserve"> TV video on death of FDNY FF Michael Davidson: </w:t>
      </w:r>
      <w:hyperlink r:id="rId239" w:history="1">
        <w:r>
          <w:rPr>
            <w:rStyle w:val="Hyperlink"/>
            <w:sz w:val="24"/>
            <w:szCs w:val="24"/>
          </w:rPr>
          <w:t>https://abc7ny.com/new-york-city-harlem-fire-edward-norton/3249411/</w:t>
        </w:r>
      </w:hyperlink>
      <w:r>
        <w:rPr>
          <w:rFonts w:ascii="Times New Roman" w:eastAsia="Times New Roman" w:hAnsi="Times New Roman"/>
          <w:sz w:val="24"/>
          <w:szCs w:val="24"/>
        </w:rPr>
        <w:t xml:space="preserve">  </w:t>
      </w:r>
    </w:p>
    <w:p w14:paraId="0C7BDC5B" w14:textId="77777777" w:rsidR="00BD1702" w:rsidRDefault="00BD1702" w:rsidP="00BD1702">
      <w:pPr>
        <w:rPr>
          <w:rFonts w:ascii="Arial Black" w:hAnsi="Arial Black"/>
          <w:b/>
          <w:sz w:val="24"/>
          <w:szCs w:val="24"/>
        </w:rPr>
      </w:pPr>
    </w:p>
    <w:p w14:paraId="0D78D0F4" w14:textId="77777777" w:rsidR="00BD1702" w:rsidRDefault="00BD1702" w:rsidP="002B1283">
      <w:pPr>
        <w:rPr>
          <w:rFonts w:ascii="Arial Black" w:hAnsi="Arial Black"/>
          <w:b/>
          <w:sz w:val="24"/>
          <w:szCs w:val="24"/>
        </w:rPr>
      </w:pPr>
    </w:p>
    <w:p w14:paraId="48D6F6EB" w14:textId="3B2820A3" w:rsidR="00382F02" w:rsidRDefault="00382F02" w:rsidP="002B1283">
      <w:pPr>
        <w:rPr>
          <w:rFonts w:ascii="Arial Black" w:hAnsi="Arial Black"/>
          <w:b/>
          <w:sz w:val="24"/>
          <w:szCs w:val="24"/>
        </w:rPr>
      </w:pPr>
      <w:r>
        <w:rPr>
          <w:rFonts w:ascii="Arial Black" w:hAnsi="Arial Black"/>
          <w:b/>
          <w:sz w:val="24"/>
          <w:szCs w:val="24"/>
        </w:rPr>
        <w:t>1-84</w:t>
      </w:r>
    </w:p>
    <w:p w14:paraId="1E258EFB" w14:textId="77777777" w:rsidR="00382F02" w:rsidRDefault="00382F02" w:rsidP="00382F02">
      <w:pPr>
        <w:pStyle w:val="NoSpacing"/>
        <w:rPr>
          <w:rStyle w:val="markedcontent"/>
          <w:rFonts w:ascii="Arial Black" w:hAnsi="Arial Black"/>
          <w:sz w:val="28"/>
          <w:szCs w:val="28"/>
        </w:rPr>
      </w:pPr>
      <w:bookmarkStart w:id="6" w:name="_Hlk81842473"/>
      <w:r w:rsidRPr="006B6F95">
        <w:rPr>
          <w:rStyle w:val="markedcontent"/>
          <w:rFonts w:ascii="Arial Black" w:hAnsi="Arial Black"/>
          <w:sz w:val="28"/>
          <w:szCs w:val="28"/>
        </w:rPr>
        <w:t xml:space="preserve">U.S. </w:t>
      </w:r>
      <w:r>
        <w:rPr>
          <w:rStyle w:val="markedcontent"/>
          <w:rFonts w:ascii="Arial Black" w:hAnsi="Arial Black"/>
          <w:sz w:val="28"/>
          <w:szCs w:val="28"/>
        </w:rPr>
        <w:t>SUPREME COURT: COVID-19 – CDC NOT AUTHORIZED BY CONGRESS TO STOP TENANTS FROM BEING EVICTED</w:t>
      </w:r>
    </w:p>
    <w:bookmarkEnd w:id="6"/>
    <w:p w14:paraId="21EAED55" w14:textId="77777777" w:rsidR="00382F02" w:rsidRDefault="00382F02" w:rsidP="00382F02">
      <w:pPr>
        <w:pStyle w:val="NoSpacing"/>
        <w:rPr>
          <w:rStyle w:val="markedcontent"/>
          <w:rFonts w:ascii="Arial Black" w:hAnsi="Arial Black"/>
          <w:sz w:val="28"/>
          <w:szCs w:val="28"/>
        </w:rPr>
      </w:pPr>
    </w:p>
    <w:p w14:paraId="4C9F878E" w14:textId="1B963511" w:rsidR="00382F02" w:rsidRDefault="00382F02" w:rsidP="00382F02">
      <w:pPr>
        <w:pStyle w:val="NoSpacing"/>
        <w:rPr>
          <w:rStyle w:val="markedcontent"/>
          <w:rFonts w:ascii="Times New Roman" w:hAnsi="Times New Roman"/>
          <w:sz w:val="24"/>
          <w:szCs w:val="24"/>
        </w:rPr>
      </w:pPr>
      <w:r w:rsidRPr="00B61B0E">
        <w:rPr>
          <w:rStyle w:val="markedcontent"/>
          <w:rFonts w:ascii="Times New Roman" w:hAnsi="Times New Roman"/>
          <w:sz w:val="24"/>
          <w:szCs w:val="24"/>
        </w:rPr>
        <w:t xml:space="preserve">On Aug. 26, 2021, in </w:t>
      </w:r>
      <w:r w:rsidRPr="00B61B0E">
        <w:rPr>
          <w:rStyle w:val="markedcontent"/>
          <w:rFonts w:ascii="Times New Roman" w:hAnsi="Times New Roman"/>
          <w:sz w:val="24"/>
          <w:szCs w:val="24"/>
          <w:u w:val="single"/>
        </w:rPr>
        <w:t>Alabama Association of Realtors, et al. v. Department of Health and Human Services, et al</w:t>
      </w:r>
      <w:r w:rsidRPr="00B61B0E">
        <w:rPr>
          <w:rStyle w:val="markedcontent"/>
          <w:rFonts w:ascii="Times New Roman" w:hAnsi="Times New Roman"/>
          <w:sz w:val="24"/>
          <w:szCs w:val="24"/>
        </w:rPr>
        <w:t xml:space="preserve">., the U.S. Supreme Court held (6 to 3) in a Per </w:t>
      </w:r>
      <w:r w:rsidR="009344F3" w:rsidRPr="00B61B0E">
        <w:rPr>
          <w:rStyle w:val="markedcontent"/>
          <w:rFonts w:ascii="Times New Roman" w:hAnsi="Times New Roman"/>
          <w:sz w:val="24"/>
          <w:szCs w:val="24"/>
        </w:rPr>
        <w:t>Curium</w:t>
      </w:r>
      <w:r w:rsidRPr="00B61B0E">
        <w:rPr>
          <w:rStyle w:val="markedcontent"/>
          <w:rFonts w:ascii="Times New Roman" w:hAnsi="Times New Roman"/>
          <w:sz w:val="24"/>
          <w:szCs w:val="24"/>
        </w:rPr>
        <w:t xml:space="preserve"> opinion (not signed by a single Justice) that the Centers For Disease </w:t>
      </w:r>
      <w:r>
        <w:rPr>
          <w:rStyle w:val="markedcontent"/>
          <w:rFonts w:ascii="Times New Roman" w:hAnsi="Times New Roman"/>
          <w:sz w:val="24"/>
          <w:szCs w:val="24"/>
        </w:rPr>
        <w:t>C</w:t>
      </w:r>
      <w:r w:rsidRPr="00B61B0E">
        <w:rPr>
          <w:rStyle w:val="markedcontent"/>
          <w:rFonts w:ascii="Times New Roman" w:hAnsi="Times New Roman"/>
          <w:sz w:val="24"/>
          <w:szCs w:val="24"/>
        </w:rPr>
        <w:t xml:space="preserve">ontrol </w:t>
      </w:r>
      <w:r>
        <w:rPr>
          <w:rStyle w:val="markedcontent"/>
          <w:rFonts w:ascii="Times New Roman" w:hAnsi="Times New Roman"/>
          <w:sz w:val="24"/>
          <w:szCs w:val="24"/>
        </w:rPr>
        <w:t>under President Biden had no authority when it issued a memorandum to prohibit evictions from Aug. 3, 2021 to Oct. 3, 2021</w:t>
      </w:r>
      <w:r w:rsidR="00F8544A">
        <w:rPr>
          <w:rStyle w:val="markedcontent"/>
          <w:rFonts w:ascii="Times New Roman" w:hAnsi="Times New Roman"/>
          <w:sz w:val="24"/>
          <w:szCs w:val="24"/>
        </w:rPr>
        <w:t xml:space="preserve"> </w:t>
      </w:r>
      <w:r>
        <w:rPr>
          <w:rStyle w:val="markedcontent"/>
          <w:rFonts w:ascii="Times New Roman" w:hAnsi="Times New Roman"/>
          <w:sz w:val="24"/>
          <w:szCs w:val="24"/>
        </w:rPr>
        <w:t xml:space="preserve">in states with counties that had very high COVID-19 rates.  The CDC sought to </w:t>
      </w:r>
      <w:r w:rsidRPr="00B61B0E">
        <w:rPr>
          <w:rStyle w:val="markedcontent"/>
          <w:rFonts w:ascii="Times New Roman" w:hAnsi="Times New Roman"/>
          <w:sz w:val="24"/>
          <w:szCs w:val="24"/>
        </w:rPr>
        <w:t xml:space="preserve">extend the </w:t>
      </w:r>
      <w:r>
        <w:rPr>
          <w:rStyle w:val="markedcontent"/>
          <w:rFonts w:ascii="Times New Roman" w:hAnsi="Times New Roman"/>
          <w:sz w:val="24"/>
          <w:szCs w:val="24"/>
        </w:rPr>
        <w:t xml:space="preserve">2020 </w:t>
      </w:r>
      <w:r w:rsidRPr="00B61B0E">
        <w:rPr>
          <w:rStyle w:val="markedcontent"/>
          <w:rFonts w:ascii="Times New Roman" w:hAnsi="Times New Roman"/>
          <w:sz w:val="24"/>
          <w:szCs w:val="24"/>
        </w:rPr>
        <w:t>Congressional moratorium</w:t>
      </w:r>
      <w:r>
        <w:rPr>
          <w:rStyle w:val="markedcontent"/>
          <w:rFonts w:ascii="Times New Roman" w:hAnsi="Times New Roman"/>
          <w:sz w:val="24"/>
          <w:szCs w:val="24"/>
        </w:rPr>
        <w:t xml:space="preserve"> [issued during Trump Administration] which had expired in </w:t>
      </w:r>
      <w:proofErr w:type="gramStart"/>
      <w:r>
        <w:rPr>
          <w:rStyle w:val="markedcontent"/>
          <w:rFonts w:ascii="Times New Roman" w:hAnsi="Times New Roman"/>
          <w:sz w:val="24"/>
          <w:szCs w:val="24"/>
        </w:rPr>
        <w:t>July,</w:t>
      </w:r>
      <w:proofErr w:type="gramEnd"/>
      <w:r>
        <w:rPr>
          <w:rStyle w:val="markedcontent"/>
          <w:rFonts w:ascii="Times New Roman" w:hAnsi="Times New Roman"/>
          <w:sz w:val="24"/>
          <w:szCs w:val="24"/>
        </w:rPr>
        <w:t xml:space="preserve"> 2021, claiming the CDC had this power under the long-standing federal statute which gives CDC powers concerning fumigation, disinfection, sanitation, pest extermination, contaminated animals.  The plaintiff Associations represent landlords in Alabama and Georgia, and they sued in U.S. District Court in D.C. and federal judge issued an injunction to stop CDC moratorium; the U.S. sought a stay in the U.S. Supreme Court, which denied the stay. </w:t>
      </w:r>
    </w:p>
    <w:p w14:paraId="1F203CD6" w14:textId="77777777" w:rsidR="00382F02" w:rsidRDefault="00382F02" w:rsidP="00382F02">
      <w:pPr>
        <w:pStyle w:val="NoSpacing"/>
        <w:rPr>
          <w:rStyle w:val="markedcontent"/>
          <w:rFonts w:ascii="Times New Roman" w:hAnsi="Times New Roman"/>
          <w:sz w:val="24"/>
          <w:szCs w:val="24"/>
        </w:rPr>
      </w:pPr>
    </w:p>
    <w:p w14:paraId="32CAA6F3"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r w:rsidRPr="008E03C4">
        <w:rPr>
          <w:rStyle w:val="markedcontent"/>
          <w:rFonts w:ascii="Times New Roman" w:hAnsi="Times New Roman"/>
          <w:sz w:val="24"/>
          <w:szCs w:val="24"/>
        </w:rPr>
        <w:t>In March 2020, Congress passed the Coronavirus Aid, Relief, and Economic Security Act to alleviate burdens caused</w:t>
      </w:r>
      <w:r>
        <w:rPr>
          <w:rStyle w:val="markedcontent"/>
          <w:rFonts w:ascii="Times New Roman" w:hAnsi="Times New Roman"/>
          <w:sz w:val="24"/>
          <w:szCs w:val="24"/>
        </w:rPr>
        <w:t xml:space="preserve"> </w:t>
      </w:r>
      <w:r w:rsidRPr="008E03C4">
        <w:rPr>
          <w:rStyle w:val="markedcontent"/>
          <w:rFonts w:ascii="Times New Roman" w:hAnsi="Times New Roman"/>
          <w:sz w:val="24"/>
          <w:szCs w:val="24"/>
        </w:rPr>
        <w:t>by the burgeoning COVID–19 pandemic. Pub. L. 116–136, 134 Stat. 281. Among other relief programs, the Act imposed a 120-day eviction moratorium for properties that</w:t>
      </w:r>
      <w:r>
        <w:rPr>
          <w:rStyle w:val="markedcontent"/>
          <w:rFonts w:ascii="Times New Roman" w:hAnsi="Times New Roman"/>
          <w:sz w:val="24"/>
          <w:szCs w:val="24"/>
        </w:rPr>
        <w:t xml:space="preserve"> </w:t>
      </w:r>
      <w:r w:rsidRPr="008E03C4">
        <w:rPr>
          <w:rStyle w:val="markedcontent"/>
          <w:rFonts w:ascii="Times New Roman" w:hAnsi="Times New Roman"/>
          <w:sz w:val="24"/>
          <w:szCs w:val="24"/>
        </w:rPr>
        <w:t>participated in federal assistance programs or were subject</w:t>
      </w:r>
      <w:r w:rsidRPr="008E03C4">
        <w:rPr>
          <w:rFonts w:ascii="Times New Roman" w:hAnsi="Times New Roman"/>
          <w:sz w:val="24"/>
          <w:szCs w:val="24"/>
        </w:rPr>
        <w:br/>
      </w:r>
      <w:r w:rsidRPr="008E03C4">
        <w:rPr>
          <w:rStyle w:val="markedcontent"/>
          <w:rFonts w:ascii="Times New Roman" w:hAnsi="Times New Roman"/>
          <w:sz w:val="24"/>
          <w:szCs w:val="24"/>
        </w:rPr>
        <w:t>to federally backed loans. §4024, id., at 492–494. When the eviction moratorium expired in July, Congress</w:t>
      </w:r>
      <w:r>
        <w:rPr>
          <w:rStyle w:val="markedcontent"/>
          <w:rFonts w:ascii="Times New Roman" w:hAnsi="Times New Roman"/>
          <w:sz w:val="24"/>
          <w:szCs w:val="24"/>
        </w:rPr>
        <w:t xml:space="preserve"> </w:t>
      </w:r>
      <w:r w:rsidRPr="008E03C4">
        <w:rPr>
          <w:rStyle w:val="markedcontent"/>
          <w:rFonts w:ascii="Times New Roman" w:hAnsi="Times New Roman"/>
          <w:sz w:val="24"/>
          <w:szCs w:val="24"/>
        </w:rPr>
        <w:t xml:space="preserve">did not renew it. </w:t>
      </w:r>
    </w:p>
    <w:p w14:paraId="23737D83" w14:textId="77777777" w:rsidR="00382F02" w:rsidRDefault="00382F02" w:rsidP="00382F02">
      <w:pPr>
        <w:pStyle w:val="NoSpacing"/>
        <w:ind w:left="720"/>
        <w:rPr>
          <w:rStyle w:val="markedcontent"/>
          <w:rFonts w:ascii="Times New Roman" w:hAnsi="Times New Roman"/>
          <w:sz w:val="24"/>
          <w:szCs w:val="24"/>
        </w:rPr>
      </w:pPr>
    </w:p>
    <w:p w14:paraId="20A2DE23" w14:textId="77777777" w:rsidR="00382F02" w:rsidRDefault="00382F02" w:rsidP="00382F02">
      <w:pPr>
        <w:pStyle w:val="NoSpacing"/>
        <w:ind w:left="720"/>
        <w:rPr>
          <w:rStyle w:val="markedcontent"/>
          <w:rFonts w:ascii="Times New Roman" w:hAnsi="Times New Roman"/>
          <w:sz w:val="24"/>
          <w:szCs w:val="24"/>
        </w:rPr>
      </w:pPr>
      <w:r w:rsidRPr="008E03C4">
        <w:rPr>
          <w:rStyle w:val="markedcontent"/>
          <w:rFonts w:ascii="Times New Roman" w:hAnsi="Times New Roman"/>
          <w:sz w:val="24"/>
          <w:szCs w:val="24"/>
        </w:rPr>
        <w:t xml:space="preserve">Concluding that further action was needed, the CDC decided to do what Congress had not. See 85 Fed. Reg. 55292 (2020). The new, administratively imposed moratorium went further than its statutory predecessor, covering all residential </w:t>
      </w:r>
      <w:proofErr w:type="gramStart"/>
      <w:r w:rsidRPr="008E03C4">
        <w:rPr>
          <w:rStyle w:val="markedcontent"/>
          <w:rFonts w:ascii="Times New Roman" w:hAnsi="Times New Roman"/>
          <w:sz w:val="24"/>
          <w:szCs w:val="24"/>
        </w:rPr>
        <w:t>properties</w:t>
      </w:r>
      <w:proofErr w:type="gramEnd"/>
      <w:r w:rsidRPr="008E03C4">
        <w:rPr>
          <w:rStyle w:val="markedcontent"/>
          <w:rFonts w:ascii="Times New Roman" w:hAnsi="Times New Roman"/>
          <w:sz w:val="24"/>
          <w:szCs w:val="24"/>
        </w:rPr>
        <w:t xml:space="preserve"> nationwide and imposing criminal penalties on violators. </w:t>
      </w:r>
    </w:p>
    <w:p w14:paraId="2330AC80" w14:textId="77777777" w:rsidR="00382F02" w:rsidRDefault="00382F02" w:rsidP="00382F02">
      <w:pPr>
        <w:pStyle w:val="NoSpacing"/>
        <w:ind w:left="720"/>
        <w:rPr>
          <w:rStyle w:val="markedcontent"/>
          <w:rFonts w:ascii="Times New Roman" w:hAnsi="Times New Roman"/>
          <w:sz w:val="24"/>
          <w:szCs w:val="24"/>
        </w:rPr>
      </w:pPr>
    </w:p>
    <w:p w14:paraId="1D565E6E"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p>
    <w:p w14:paraId="157150B8" w14:textId="77777777" w:rsidR="00382F02" w:rsidRDefault="00382F02" w:rsidP="00382F02">
      <w:pPr>
        <w:pStyle w:val="NoSpacing"/>
        <w:rPr>
          <w:rStyle w:val="markedcontent"/>
          <w:rFonts w:ascii="Times New Roman" w:hAnsi="Times New Roman"/>
          <w:sz w:val="24"/>
          <w:szCs w:val="24"/>
        </w:rPr>
      </w:pPr>
    </w:p>
    <w:p w14:paraId="37326382" w14:textId="77777777" w:rsidR="00382F02" w:rsidRPr="00B14006" w:rsidRDefault="00382F02" w:rsidP="00382F02">
      <w:pPr>
        <w:pStyle w:val="NoSpacing"/>
        <w:ind w:left="720"/>
        <w:rPr>
          <w:rStyle w:val="markedcontent"/>
          <w:rFonts w:ascii="Times New Roman" w:hAnsi="Times New Roman"/>
          <w:sz w:val="24"/>
          <w:szCs w:val="24"/>
        </w:rPr>
      </w:pPr>
      <w:r w:rsidRPr="00B14006">
        <w:rPr>
          <w:rStyle w:val="markedcontent"/>
          <w:rFonts w:ascii="Times New Roman" w:hAnsi="Times New Roman"/>
          <w:sz w:val="24"/>
          <w:szCs w:val="24"/>
        </w:rPr>
        <w:t>If a federally imposed eviction moratorium is to continue,</w:t>
      </w:r>
      <w:r>
        <w:rPr>
          <w:rStyle w:val="markedcontent"/>
          <w:rFonts w:ascii="Times New Roman" w:hAnsi="Times New Roman"/>
          <w:sz w:val="24"/>
          <w:szCs w:val="24"/>
        </w:rPr>
        <w:t xml:space="preserve"> </w:t>
      </w:r>
      <w:r w:rsidRPr="00B14006">
        <w:rPr>
          <w:rStyle w:val="markedcontent"/>
          <w:rFonts w:ascii="Times New Roman" w:hAnsi="Times New Roman"/>
          <w:sz w:val="24"/>
          <w:szCs w:val="24"/>
        </w:rPr>
        <w:t>Congress must specifically authorize it.</w:t>
      </w:r>
      <w:r>
        <w:rPr>
          <w:rStyle w:val="markedcontent"/>
          <w:rFonts w:ascii="Times New Roman" w:hAnsi="Times New Roman"/>
          <w:sz w:val="24"/>
          <w:szCs w:val="24"/>
        </w:rPr>
        <w:t xml:space="preserve">”  </w:t>
      </w:r>
      <w:hyperlink r:id="rId240" w:history="1">
        <w:r w:rsidRPr="007D2E44">
          <w:rPr>
            <w:rStyle w:val="Hyperlink"/>
            <w:sz w:val="24"/>
            <w:szCs w:val="24"/>
          </w:rPr>
          <w:t>https://www.supremecourt.gov/opinions/20pdf/21a23_ap6c.pdf</w:t>
        </w:r>
      </w:hyperlink>
      <w:r>
        <w:rPr>
          <w:rStyle w:val="markedcontent"/>
          <w:rFonts w:ascii="Times New Roman" w:hAnsi="Times New Roman"/>
          <w:sz w:val="24"/>
          <w:szCs w:val="24"/>
        </w:rPr>
        <w:t xml:space="preserve"> </w:t>
      </w:r>
    </w:p>
    <w:p w14:paraId="7ECD0B4D" w14:textId="77777777" w:rsidR="00382F02" w:rsidRDefault="00382F02" w:rsidP="00382F02">
      <w:pPr>
        <w:pStyle w:val="NoSpacing"/>
        <w:rPr>
          <w:rStyle w:val="markedcontent"/>
          <w:rFonts w:ascii="Times New Roman" w:hAnsi="Times New Roman"/>
          <w:b/>
          <w:bCs/>
          <w:sz w:val="24"/>
          <w:szCs w:val="24"/>
        </w:rPr>
      </w:pPr>
    </w:p>
    <w:p w14:paraId="42FBFAE0" w14:textId="6BE301E8" w:rsidR="00382F02" w:rsidRDefault="00382F02" w:rsidP="00382F02">
      <w:pPr>
        <w:pStyle w:val="NoSpacing"/>
        <w:rPr>
          <w:rStyle w:val="markedcontent"/>
          <w:rFonts w:ascii="Times New Roman" w:hAnsi="Times New Roman"/>
          <w:b/>
          <w:bCs/>
          <w:sz w:val="24"/>
          <w:szCs w:val="24"/>
        </w:rPr>
      </w:pPr>
      <w:r w:rsidRPr="00C708A4">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 The Court’s majority are obviously conservative; Congress can now act to implement a moratorium if it so chooses. </w:t>
      </w:r>
    </w:p>
    <w:p w14:paraId="57D444A1" w14:textId="77777777" w:rsidR="00382F02" w:rsidRDefault="00382F02" w:rsidP="00382F02">
      <w:pPr>
        <w:pStyle w:val="NoSpacing"/>
        <w:rPr>
          <w:rStyle w:val="markedcontent"/>
          <w:rFonts w:ascii="Times New Roman" w:hAnsi="Times New Roman"/>
          <w:b/>
          <w:bCs/>
          <w:sz w:val="24"/>
          <w:szCs w:val="24"/>
        </w:rPr>
      </w:pPr>
    </w:p>
    <w:p w14:paraId="0559CBDA"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 xml:space="preserve">Note:  Amicus Brief [twenty-two states and District of Columbia filed Amicus brief supporting the CDC memorandum.]  </w:t>
      </w:r>
    </w:p>
    <w:p w14:paraId="60EE2B3B" w14:textId="77777777" w:rsidR="00382F02" w:rsidRDefault="00382F02" w:rsidP="00382F02">
      <w:pPr>
        <w:pStyle w:val="NoSpacing"/>
        <w:rPr>
          <w:rStyle w:val="markedcontent"/>
          <w:rFonts w:ascii="Times New Roman" w:hAnsi="Times New Roman"/>
          <w:sz w:val="24"/>
          <w:szCs w:val="24"/>
        </w:rPr>
      </w:pPr>
    </w:p>
    <w:p w14:paraId="2BFD69C0"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r w:rsidRPr="00B14006">
        <w:rPr>
          <w:rStyle w:val="markedcontent"/>
          <w:rFonts w:ascii="Times New Roman" w:hAnsi="Times New Roman"/>
          <w:sz w:val="24"/>
          <w:szCs w:val="24"/>
        </w:rPr>
        <w:t xml:space="preserve">Eviction protections have been key public health tools to slow the spread of the virus. They ensure individuals have a space to isolate, and they prevent vulnerable individuals from being forced out onto </w:t>
      </w:r>
      <w:r w:rsidRPr="00B14006">
        <w:rPr>
          <w:rStyle w:val="markedcontent"/>
          <w:rFonts w:ascii="Times New Roman" w:hAnsi="Times New Roman"/>
          <w:sz w:val="24"/>
          <w:szCs w:val="24"/>
        </w:rPr>
        <w:lastRenderedPageBreak/>
        <w:t>the street, into shelters, or into the homes of family or friends, potentially exposing themselves and others to the virus. Forty-four states—from Alabama to California and Hawaii to Montana—have implemented eviction protections of some sort during the pandemic.</w:t>
      </w:r>
      <w:r>
        <w:rPr>
          <w:rStyle w:val="markedcontent"/>
          <w:rFonts w:ascii="Times New Roman" w:hAnsi="Times New Roman"/>
          <w:sz w:val="24"/>
          <w:szCs w:val="24"/>
        </w:rPr>
        <w:t xml:space="preserve">” </w:t>
      </w:r>
      <w:hyperlink r:id="rId241" w:history="1">
        <w:r w:rsidRPr="007D2E44">
          <w:rPr>
            <w:rStyle w:val="Hyperlink"/>
            <w:sz w:val="24"/>
            <w:szCs w:val="24"/>
          </w:rPr>
          <w:t>https://www.supremecourt.gov/DocketPDF/20/20A169/181359/20210610165940894_20A169%20Amicus%20Mot.pdf</w:t>
        </w:r>
      </w:hyperlink>
      <w:r>
        <w:rPr>
          <w:rStyle w:val="markedcontent"/>
          <w:rFonts w:ascii="Times New Roman" w:hAnsi="Times New Roman"/>
          <w:sz w:val="24"/>
          <w:szCs w:val="24"/>
        </w:rPr>
        <w:t xml:space="preserve"> </w:t>
      </w:r>
    </w:p>
    <w:p w14:paraId="33CEB322" w14:textId="77777777" w:rsidR="00382F02" w:rsidRDefault="00382F02" w:rsidP="00382F02">
      <w:pPr>
        <w:pStyle w:val="NoSpacing"/>
        <w:ind w:left="720"/>
        <w:rPr>
          <w:rStyle w:val="markedcontent"/>
          <w:rFonts w:ascii="Times New Roman" w:hAnsi="Times New Roman"/>
          <w:sz w:val="24"/>
          <w:szCs w:val="24"/>
        </w:rPr>
      </w:pPr>
    </w:p>
    <w:p w14:paraId="1BBAE4AA" w14:textId="77777777" w:rsidR="00382F02" w:rsidRDefault="00382F02" w:rsidP="00382F02">
      <w:pPr>
        <w:pStyle w:val="articleparagraph"/>
        <w:ind w:left="720"/>
      </w:pPr>
      <w:r w:rsidRPr="00515C58">
        <w:rPr>
          <w:rStyle w:val="markedcontent"/>
        </w:rPr>
        <w:t>See article (Aug. 26, 2021): “</w:t>
      </w:r>
      <w:r w:rsidRPr="00515C58">
        <w:t xml:space="preserve">Supreme Court blocks Biden's COVID-19 eviction moratorium in a blow to renters.” </w:t>
      </w:r>
      <w:hyperlink r:id="rId242" w:history="1">
        <w:r w:rsidRPr="00515C58">
          <w:rPr>
            <w:rStyle w:val="Hyperlink"/>
          </w:rPr>
          <w:t>https://www.usatoday.com/story/news/politics/2021/08/27/supreme-court-blocks-president-bidens-covid-19-eviction-moratorium/8243599002/</w:t>
        </w:r>
      </w:hyperlink>
    </w:p>
    <w:p w14:paraId="0A37EA56" w14:textId="77777777" w:rsidR="00382F02" w:rsidRDefault="00382F02" w:rsidP="002B1283">
      <w:pPr>
        <w:rPr>
          <w:rFonts w:ascii="Arial Black" w:hAnsi="Arial Black"/>
          <w:b/>
          <w:sz w:val="24"/>
          <w:szCs w:val="24"/>
        </w:rPr>
      </w:pPr>
    </w:p>
    <w:p w14:paraId="0BE3A2E3" w14:textId="77777777" w:rsidR="00382F02" w:rsidRDefault="00382F02" w:rsidP="002B1283">
      <w:pPr>
        <w:rPr>
          <w:rFonts w:ascii="Arial Black" w:hAnsi="Arial Black"/>
          <w:b/>
          <w:sz w:val="24"/>
          <w:szCs w:val="24"/>
        </w:rPr>
      </w:pPr>
    </w:p>
    <w:p w14:paraId="159EF509" w14:textId="79CB6B63" w:rsidR="00382F02" w:rsidRDefault="00382F02" w:rsidP="002B1283">
      <w:pPr>
        <w:rPr>
          <w:rFonts w:ascii="Arial Black" w:hAnsi="Arial Black"/>
          <w:b/>
          <w:sz w:val="24"/>
          <w:szCs w:val="24"/>
        </w:rPr>
      </w:pPr>
      <w:r>
        <w:rPr>
          <w:rFonts w:ascii="Arial Black" w:hAnsi="Arial Black"/>
          <w:b/>
          <w:sz w:val="24"/>
          <w:szCs w:val="24"/>
        </w:rPr>
        <w:t>1-83</w:t>
      </w:r>
    </w:p>
    <w:p w14:paraId="1B388008" w14:textId="77777777" w:rsidR="00382F02" w:rsidRPr="00E900D2" w:rsidRDefault="00382F02" w:rsidP="00382F02">
      <w:pPr>
        <w:pStyle w:val="NoSpacing"/>
        <w:rPr>
          <w:rStyle w:val="markedcontent"/>
          <w:rFonts w:ascii="Arial Black" w:hAnsi="Arial Black"/>
          <w:sz w:val="28"/>
          <w:szCs w:val="28"/>
        </w:rPr>
      </w:pPr>
      <w:bookmarkStart w:id="7" w:name="_Hlk81840928"/>
      <w:r w:rsidRPr="00E900D2">
        <w:rPr>
          <w:rStyle w:val="markedcontent"/>
          <w:rFonts w:ascii="Arial Black" w:hAnsi="Arial Black"/>
          <w:sz w:val="28"/>
          <w:szCs w:val="28"/>
        </w:rPr>
        <w:t>U.S. SUPREME COURT</w:t>
      </w:r>
      <w:r>
        <w:rPr>
          <w:rStyle w:val="markedcontent"/>
          <w:rFonts w:ascii="Arial Black" w:hAnsi="Arial Black"/>
          <w:sz w:val="28"/>
          <w:szCs w:val="28"/>
        </w:rPr>
        <w:t>: DEPORTATIONS BACK TO MEXICO - TX, MO. WIN INJUNCTION, TRUMP POLICY RESTARTED</w:t>
      </w:r>
    </w:p>
    <w:bookmarkEnd w:id="7"/>
    <w:p w14:paraId="619460C3" w14:textId="77777777" w:rsidR="00382F02" w:rsidRDefault="00382F02" w:rsidP="00382F02">
      <w:pPr>
        <w:pStyle w:val="NoSpacing"/>
        <w:rPr>
          <w:rStyle w:val="markedcontent"/>
          <w:rFonts w:ascii="Courier New" w:hAnsi="Courier New" w:cs="Courier New"/>
          <w:sz w:val="25"/>
          <w:szCs w:val="25"/>
        </w:rPr>
      </w:pPr>
    </w:p>
    <w:p w14:paraId="1450F8FA" w14:textId="77777777" w:rsidR="00382F02" w:rsidRDefault="00382F02" w:rsidP="00382F02">
      <w:pPr>
        <w:pStyle w:val="NoSpacing"/>
        <w:rPr>
          <w:rStyle w:val="markedcontent"/>
          <w:rFonts w:ascii="Times New Roman" w:hAnsi="Times New Roman"/>
          <w:sz w:val="24"/>
          <w:szCs w:val="24"/>
        </w:rPr>
      </w:pPr>
      <w:r w:rsidRPr="00E900D2">
        <w:rPr>
          <w:rStyle w:val="markedcontent"/>
          <w:rFonts w:ascii="Times New Roman" w:hAnsi="Times New Roman"/>
          <w:sz w:val="24"/>
          <w:szCs w:val="24"/>
        </w:rPr>
        <w:t xml:space="preserve">On </w:t>
      </w:r>
      <w:r>
        <w:rPr>
          <w:rStyle w:val="markedcontent"/>
          <w:rFonts w:ascii="Times New Roman" w:hAnsi="Times New Roman"/>
          <w:sz w:val="24"/>
          <w:szCs w:val="24"/>
        </w:rPr>
        <w:t xml:space="preserve">Aug. 24, 2021, in </w:t>
      </w:r>
      <w:r w:rsidRPr="007029FC">
        <w:rPr>
          <w:rStyle w:val="markedcontent"/>
          <w:rFonts w:ascii="Times New Roman" w:hAnsi="Times New Roman"/>
          <w:sz w:val="24"/>
          <w:szCs w:val="24"/>
          <w:u w:val="single"/>
        </w:rPr>
        <w:t>Biden, President of U.S. v. Texas &amp; Missouri</w:t>
      </w:r>
      <w:r>
        <w:rPr>
          <w:rStyle w:val="markedcontent"/>
          <w:rFonts w:ascii="Times New Roman" w:hAnsi="Times New Roman"/>
          <w:sz w:val="24"/>
          <w:szCs w:val="24"/>
        </w:rPr>
        <w:t xml:space="preserve">, the U.S. Supreme Court denied the U.S. Government’s application to stay a nationwide injunction issued on Aug. 13, </w:t>
      </w:r>
      <w:proofErr w:type="gramStart"/>
      <w:r>
        <w:rPr>
          <w:rStyle w:val="markedcontent"/>
          <w:rFonts w:ascii="Times New Roman" w:hAnsi="Times New Roman"/>
          <w:sz w:val="24"/>
          <w:szCs w:val="24"/>
        </w:rPr>
        <w:t>2021</w:t>
      </w:r>
      <w:proofErr w:type="gramEnd"/>
      <w:r>
        <w:rPr>
          <w:rStyle w:val="markedcontent"/>
          <w:rFonts w:ascii="Times New Roman" w:hAnsi="Times New Roman"/>
          <w:sz w:val="24"/>
          <w:szCs w:val="24"/>
        </w:rPr>
        <w:t xml:space="preserve"> by Federal District Court Judge in Texas in a lawsuit filed by states of Texas and Missouri.  U.S. District Court Judge  Matthew J. Kacsmaryk, Northern District of Texas, held a one-day evidentiary hearing and found that President Biden’s </w:t>
      </w:r>
      <w:r w:rsidRPr="00054653">
        <w:rPr>
          <w:rStyle w:val="markedcontent"/>
          <w:rFonts w:ascii="Times New Roman" w:hAnsi="Times New Roman"/>
          <w:sz w:val="24"/>
          <w:szCs w:val="24"/>
        </w:rPr>
        <w:t>Secretary</w:t>
      </w:r>
      <w:r>
        <w:rPr>
          <w:rStyle w:val="markedcontent"/>
          <w:rFonts w:ascii="Times New Roman" w:hAnsi="Times New Roman"/>
          <w:sz w:val="24"/>
          <w:szCs w:val="24"/>
        </w:rPr>
        <w:t xml:space="preserve"> of Department of Homeland Security, in cancelling President Trump’s 2018 Migrant Protection Protocols [which had deported 68,000 aliens by Dec. 31, 2020] “</w:t>
      </w:r>
      <w:r w:rsidRPr="00054653">
        <w:rPr>
          <w:rStyle w:val="markedcontent"/>
          <w:rFonts w:ascii="Times New Roman" w:hAnsi="Times New Roman"/>
          <w:sz w:val="24"/>
          <w:szCs w:val="24"/>
        </w:rPr>
        <w:t xml:space="preserve">failed to consider the warnings by career DHS personnel that </w:t>
      </w:r>
      <w:r>
        <w:rPr>
          <w:rStyle w:val="markedcontent"/>
          <w:rFonts w:ascii="Times New Roman" w:hAnsi="Times New Roman"/>
          <w:sz w:val="24"/>
          <w:szCs w:val="24"/>
        </w:rPr>
        <w:t>‘</w:t>
      </w:r>
      <w:r w:rsidRPr="00054653">
        <w:rPr>
          <w:rStyle w:val="markedcontent"/>
          <w:rFonts w:ascii="Times New Roman" w:hAnsi="Times New Roman"/>
          <w:sz w:val="24"/>
          <w:szCs w:val="24"/>
        </w:rPr>
        <w:t>the suspension of the MPP</w:t>
      </w:r>
      <w:r>
        <w:rPr>
          <w:rStyle w:val="markedcontent"/>
          <w:rFonts w:ascii="Times New Roman" w:hAnsi="Times New Roman"/>
          <w:sz w:val="24"/>
          <w:szCs w:val="24"/>
        </w:rPr>
        <w:t xml:space="preserve"> </w:t>
      </w:r>
      <w:r w:rsidRPr="00054653">
        <w:rPr>
          <w:rStyle w:val="markedcontent"/>
          <w:rFonts w:ascii="Times New Roman" w:hAnsi="Times New Roman"/>
          <w:sz w:val="24"/>
          <w:szCs w:val="24"/>
        </w:rPr>
        <w:t xml:space="preserve"> along with other policies, would lead to a resurgence of illegal aliens attempting to illegally</w:t>
      </w:r>
      <w:r>
        <w:rPr>
          <w:rStyle w:val="markedcontent"/>
          <w:rFonts w:ascii="Times New Roman" w:hAnsi="Times New Roman"/>
          <w:sz w:val="24"/>
          <w:szCs w:val="24"/>
        </w:rPr>
        <w:t>’</w:t>
      </w:r>
      <w:r w:rsidRPr="00054653">
        <w:rPr>
          <w:rStyle w:val="markedcontent"/>
          <w:rFonts w:ascii="Times New Roman" w:hAnsi="Times New Roman"/>
          <w:sz w:val="24"/>
          <w:szCs w:val="24"/>
        </w:rPr>
        <w:t xml:space="preserve"> cross the border.</w:t>
      </w:r>
      <w:r>
        <w:rPr>
          <w:rStyle w:val="markedcontent"/>
          <w:rFonts w:ascii="Times New Roman" w:hAnsi="Times New Roman"/>
          <w:sz w:val="24"/>
          <w:szCs w:val="24"/>
        </w:rPr>
        <w:t xml:space="preserve">”  </w:t>
      </w:r>
      <w:hyperlink r:id="rId243" w:history="1">
        <w:r w:rsidRPr="007D2E44">
          <w:rPr>
            <w:rStyle w:val="Hyperlink"/>
            <w:sz w:val="24"/>
            <w:szCs w:val="24"/>
          </w:rPr>
          <w:t>https://storage.courtlistener.com/recap/gov.uscourts.txnd.346680/gov.uscourts.txnd.346680.94.0.pdf</w:t>
        </w:r>
      </w:hyperlink>
      <w:r>
        <w:rPr>
          <w:rStyle w:val="markedcontent"/>
          <w:rFonts w:ascii="Times New Roman" w:hAnsi="Times New Roman"/>
          <w:sz w:val="24"/>
          <w:szCs w:val="24"/>
        </w:rPr>
        <w:t xml:space="preserve"> </w:t>
      </w:r>
    </w:p>
    <w:p w14:paraId="032BF5D9" w14:textId="1282F4A8" w:rsidR="00382F02" w:rsidRDefault="00382F02" w:rsidP="002B1283">
      <w:pPr>
        <w:rPr>
          <w:rFonts w:ascii="Arial Black" w:hAnsi="Arial Black"/>
          <w:b/>
          <w:sz w:val="24"/>
          <w:szCs w:val="24"/>
        </w:rPr>
      </w:pPr>
    </w:p>
    <w:p w14:paraId="5A2C5FFE" w14:textId="77777777" w:rsidR="00382F02" w:rsidRDefault="00382F02" w:rsidP="00382F02">
      <w:pPr>
        <w:pStyle w:val="NoSpacing"/>
        <w:rPr>
          <w:rStyle w:val="markedcontent"/>
          <w:rFonts w:ascii="Times New Roman" w:hAnsi="Times New Roman"/>
          <w:b/>
          <w:bCs/>
          <w:sz w:val="24"/>
          <w:szCs w:val="24"/>
        </w:rPr>
      </w:pPr>
      <w:r w:rsidRPr="00DD6BC5">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A powerful win for the states of Texas and Missouri, and other states that are incurring costs from illegal aliens.  </w:t>
      </w:r>
    </w:p>
    <w:p w14:paraId="736B762D" w14:textId="77777777" w:rsidR="00382F02" w:rsidRDefault="00382F02" w:rsidP="00382F02">
      <w:pPr>
        <w:pStyle w:val="NoSpacing"/>
        <w:rPr>
          <w:rStyle w:val="markedcontent"/>
          <w:rFonts w:ascii="Times New Roman" w:hAnsi="Times New Roman"/>
          <w:b/>
          <w:bCs/>
          <w:sz w:val="24"/>
          <w:szCs w:val="24"/>
        </w:rPr>
      </w:pPr>
    </w:p>
    <w:p w14:paraId="7CA1938E" w14:textId="77777777" w:rsidR="00382F02" w:rsidRDefault="00382F02" w:rsidP="00382F02">
      <w:pPr>
        <w:pStyle w:val="NoSpacing"/>
        <w:ind w:left="720"/>
        <w:rPr>
          <w:rStyle w:val="markedcontent"/>
          <w:rFonts w:ascii="Times New Roman" w:hAnsi="Times New Roman"/>
          <w:sz w:val="24"/>
          <w:szCs w:val="24"/>
        </w:rPr>
      </w:pPr>
      <w:r w:rsidRPr="00DD6BC5">
        <w:rPr>
          <w:rStyle w:val="markedcontent"/>
          <w:rFonts w:ascii="Times New Roman" w:hAnsi="Times New Roman"/>
          <w:sz w:val="24"/>
          <w:szCs w:val="24"/>
        </w:rPr>
        <w:t xml:space="preserve">Note: The Administrative Procedures Act provides that “[t]he reviewing court shall . . . hold unlawful and set aside agency action, findings, and conclusions found to be . . . arbitrary, capricious, an abuse of discretion, or otherwise not in accordance with law.” 5 U.S.C. § 706(2)(A).  </w:t>
      </w:r>
    </w:p>
    <w:p w14:paraId="5DA6AE7D" w14:textId="77777777" w:rsidR="00382F02" w:rsidRDefault="00382F02" w:rsidP="00382F02">
      <w:pPr>
        <w:pStyle w:val="NoSpacing"/>
        <w:ind w:left="720"/>
        <w:rPr>
          <w:rStyle w:val="markedcontent"/>
          <w:sz w:val="24"/>
          <w:szCs w:val="24"/>
        </w:rPr>
      </w:pPr>
    </w:p>
    <w:p w14:paraId="5E80CDA5" w14:textId="77777777" w:rsidR="00382F02" w:rsidRDefault="00382F02" w:rsidP="00382F02">
      <w:pPr>
        <w:pStyle w:val="NoSpacing"/>
        <w:ind w:left="720"/>
        <w:rPr>
          <w:rStyle w:val="markedcontent"/>
          <w:rFonts w:ascii="Times New Roman" w:hAnsi="Times New Roman"/>
          <w:sz w:val="24"/>
          <w:szCs w:val="24"/>
        </w:rPr>
      </w:pPr>
      <w:r w:rsidRPr="00B17D11">
        <w:rPr>
          <w:rStyle w:val="markedcontent"/>
          <w:rFonts w:ascii="Times New Roman" w:hAnsi="Times New Roman"/>
          <w:sz w:val="24"/>
          <w:szCs w:val="24"/>
        </w:rPr>
        <w:t>See article: Aug. 25, 2021: “</w:t>
      </w:r>
      <w:r w:rsidRPr="00B17D11">
        <w:rPr>
          <w:rFonts w:ascii="Times New Roman" w:hAnsi="Times New Roman"/>
          <w:sz w:val="24"/>
          <w:szCs w:val="24"/>
        </w:rPr>
        <w:t>Supreme Court allows revival of Trump-era ‘Remain in Mexico’ asylum policy.”</w:t>
      </w:r>
      <w:r w:rsidRPr="00803923">
        <w:rPr>
          <w:sz w:val="24"/>
          <w:szCs w:val="24"/>
        </w:rPr>
        <w:t xml:space="preserve">  </w:t>
      </w:r>
      <w:hyperlink r:id="rId244" w:history="1">
        <w:r w:rsidRPr="00803923">
          <w:rPr>
            <w:rStyle w:val="Hyperlink"/>
            <w:sz w:val="24"/>
            <w:szCs w:val="24"/>
          </w:rPr>
          <w:t>https://indianexpress.com/article/world/supreme-court-allows-revival-of-trump-era-remain-in-mexico-asylum-policy-7469812/</w:t>
        </w:r>
      </w:hyperlink>
    </w:p>
    <w:p w14:paraId="44F08508" w14:textId="77777777" w:rsidR="00382F02" w:rsidRDefault="00382F02" w:rsidP="002B1283">
      <w:pPr>
        <w:rPr>
          <w:rFonts w:ascii="Arial Black" w:hAnsi="Arial Black"/>
          <w:b/>
          <w:sz w:val="24"/>
          <w:szCs w:val="24"/>
        </w:rPr>
      </w:pPr>
    </w:p>
    <w:p w14:paraId="25A3FF96" w14:textId="77777777" w:rsidR="00382F02" w:rsidRDefault="00382F02" w:rsidP="002B1283">
      <w:pPr>
        <w:rPr>
          <w:rFonts w:ascii="Arial Black" w:hAnsi="Arial Black"/>
          <w:b/>
          <w:sz w:val="24"/>
          <w:szCs w:val="24"/>
        </w:rPr>
      </w:pPr>
    </w:p>
    <w:p w14:paraId="379562E7" w14:textId="0E2B13D1" w:rsidR="00382F02" w:rsidRDefault="00382F02" w:rsidP="002B1283">
      <w:pPr>
        <w:rPr>
          <w:rFonts w:ascii="Arial Black" w:hAnsi="Arial Black"/>
          <w:b/>
          <w:sz w:val="24"/>
          <w:szCs w:val="24"/>
        </w:rPr>
      </w:pPr>
      <w:r>
        <w:rPr>
          <w:rFonts w:ascii="Arial Black" w:hAnsi="Arial Black"/>
          <w:b/>
          <w:sz w:val="24"/>
          <w:szCs w:val="24"/>
        </w:rPr>
        <w:t>1-82</w:t>
      </w:r>
    </w:p>
    <w:p w14:paraId="17C258E0" w14:textId="77777777" w:rsidR="00382F02" w:rsidRPr="00967053" w:rsidRDefault="00382F02" w:rsidP="00382F02">
      <w:pPr>
        <w:pStyle w:val="NormalWeb"/>
        <w:rPr>
          <w:rFonts w:ascii="Arial Black" w:hAnsi="Arial Black"/>
          <w:sz w:val="28"/>
          <w:szCs w:val="28"/>
        </w:rPr>
      </w:pPr>
      <w:bookmarkStart w:id="8" w:name="_Hlk81841064"/>
      <w:r>
        <w:rPr>
          <w:rFonts w:ascii="Arial Black" w:hAnsi="Arial Black"/>
          <w:sz w:val="28"/>
          <w:szCs w:val="28"/>
        </w:rPr>
        <w:lastRenderedPageBreak/>
        <w:t xml:space="preserve">OK: ARSON INVESTIGATORS OBTAINED ARREST WARRANT – NO LIABILITY WHEN FEDERAL ARSON CASE DROPPED </w:t>
      </w:r>
    </w:p>
    <w:bookmarkEnd w:id="8"/>
    <w:p w14:paraId="15D83E6D" w14:textId="77777777" w:rsidR="00382F02" w:rsidRDefault="00382F02" w:rsidP="00382F02">
      <w:pPr>
        <w:pStyle w:val="NormalWeb"/>
        <w:tabs>
          <w:tab w:val="left" w:pos="8070"/>
        </w:tabs>
      </w:pPr>
      <w:r>
        <w:t xml:space="preserve">On Aug. 10, 2021, in </w:t>
      </w:r>
      <w:r w:rsidRPr="00967053">
        <w:rPr>
          <w:u w:val="single"/>
        </w:rPr>
        <w:t>David Anthony Ciempa v. City of Del City, Oklahoma</w:t>
      </w:r>
      <w:r>
        <w:t>, the U.S. Court of Appeals for the 10</w:t>
      </w:r>
      <w:r w:rsidRPr="00967053">
        <w:rPr>
          <w:vertAlign w:val="superscript"/>
        </w:rPr>
        <w:t>th</w:t>
      </w:r>
      <w:r>
        <w:t xml:space="preserve"> Circuit (Denver, Colorado) held (3 to 0) that U.S. District Court properly dismissed the pro se [not represented by an attorney] lawsuit for “malicious prosecution” against Deputy Fire Chief Jeff Keester and police officer [Major] Zion Williams; an arrest warrant for arson had been obtained from a state judge based on probable cause, there were no false statements in warrant affidavit; the federal arson charges were dropped because of an uncooperative witness, not because arson defendant was innocent.  </w:t>
      </w:r>
    </w:p>
    <w:p w14:paraId="23DFA627" w14:textId="77777777" w:rsidR="00382F02" w:rsidRDefault="00382F02" w:rsidP="00382F02">
      <w:pPr>
        <w:pStyle w:val="NormalWeb"/>
        <w:ind w:left="720"/>
      </w:pPr>
      <w:r>
        <w:t xml:space="preserve">“In particular, the court said the criminal case was dismissed due to an uncooperative victim, not because Mr. Ciempa was </w:t>
      </w:r>
      <w:proofErr w:type="gramStart"/>
      <w:r>
        <w:t>actually innocent</w:t>
      </w:r>
      <w:proofErr w:type="gramEnd"/>
      <w:r>
        <w:t xml:space="preserve">. </w:t>
      </w:r>
      <w:r>
        <w:rPr>
          <w:rStyle w:val="Emphasis"/>
        </w:rPr>
        <w:t>See id.</w:t>
      </w:r>
      <w:r>
        <w:t xml:space="preserve"> at 802-03 (explaining that to qualify as a favorable termination, a dismissal must indicate the accused's innocence or at least be inconsistent with guilt). It also noted that the state judge had determined there was probable cause for the arrest and prosecution, and that Mr. Ciempa could not show the investigators procured the warrant by knowingly or recklessly relying on false information. </w:t>
      </w:r>
      <w:r>
        <w:rPr>
          <w:rStyle w:val="Emphasis"/>
        </w:rPr>
        <w:t>See Sanchez v. Hartley</w:t>
      </w:r>
      <w:r>
        <w:t xml:space="preserve">, 810 F.3d 750, 754 (10th Cir. 2016) (recognizing a plaintiff can establish a malicious prosecution constitutional violation by showing "officers . . . knowingly or recklessly </w:t>
      </w:r>
      <w:proofErr w:type="spellStart"/>
      <w:r>
        <w:t>rel</w:t>
      </w:r>
      <w:proofErr w:type="spellEnd"/>
      <w:r>
        <w:t>[</w:t>
      </w:r>
      <w:proofErr w:type="spellStart"/>
      <w:r>
        <w:t>ied</w:t>
      </w:r>
      <w:proofErr w:type="spellEnd"/>
      <w:r>
        <w:t>] on false information to institute legal process . . . result[</w:t>
      </w:r>
      <w:proofErr w:type="spellStart"/>
      <w:r>
        <w:t>ing</w:t>
      </w:r>
      <w:proofErr w:type="spellEnd"/>
      <w:r>
        <w:t xml:space="preserve">] in an unreasonable seizure"). It further concluded Mr. Ciempa could not establish malice, which requires "a substantial showing of deliberate falsehood or reckless disregard for truth," </w:t>
      </w:r>
      <w:r>
        <w:rPr>
          <w:rStyle w:val="Emphasis"/>
        </w:rPr>
        <w:t>Snell v. Tunnell</w:t>
      </w:r>
      <w:r>
        <w:t xml:space="preserve">, 920 F.2d 673, 698 (10th Cir. 1990). The court therefore granted summary judgment based on qualified immunity. Mr. Ciempa appealed the malicious prosecution ruling.” </w:t>
      </w:r>
      <w:hyperlink r:id="rId245" w:history="1">
        <w:r w:rsidRPr="00472D9E">
          <w:rPr>
            <w:rStyle w:val="Hyperlink"/>
          </w:rPr>
          <w:t>https://casetext.com/case/ciempa-v-city-of-del-city</w:t>
        </w:r>
      </w:hyperlink>
      <w:r>
        <w:t xml:space="preserve"> </w:t>
      </w:r>
    </w:p>
    <w:p w14:paraId="17707474" w14:textId="77777777" w:rsidR="00382F02" w:rsidRPr="005E5430" w:rsidRDefault="00382F02" w:rsidP="00382F02">
      <w:pPr>
        <w:rPr>
          <w:rFonts w:ascii="Times New Roman" w:hAnsi="Times New Roman"/>
          <w:b/>
          <w:bCs/>
          <w:sz w:val="24"/>
          <w:szCs w:val="24"/>
        </w:rPr>
      </w:pPr>
      <w:r w:rsidRPr="005E5430">
        <w:rPr>
          <w:rFonts w:ascii="Times New Roman" w:hAnsi="Times New Roman"/>
          <w:b/>
          <w:bCs/>
          <w:sz w:val="24"/>
          <w:szCs w:val="24"/>
        </w:rPr>
        <w:t>Legal Lesson Learned:</w:t>
      </w:r>
      <w:r>
        <w:rPr>
          <w:rFonts w:ascii="Times New Roman" w:hAnsi="Times New Roman"/>
          <w:b/>
          <w:bCs/>
          <w:sz w:val="24"/>
          <w:szCs w:val="24"/>
        </w:rPr>
        <w:t xml:space="preserve"> Arson investigators wisely obtained an arrest warrant based on probable cause.  </w:t>
      </w:r>
    </w:p>
    <w:p w14:paraId="21B0D404" w14:textId="77777777" w:rsidR="00382F02" w:rsidRDefault="00382F02" w:rsidP="002B1283">
      <w:pPr>
        <w:rPr>
          <w:rFonts w:ascii="Arial Black" w:hAnsi="Arial Black"/>
          <w:b/>
          <w:sz w:val="24"/>
          <w:szCs w:val="24"/>
        </w:rPr>
      </w:pPr>
    </w:p>
    <w:p w14:paraId="0F9F94B7" w14:textId="77777777" w:rsidR="00382F02" w:rsidRDefault="00382F02" w:rsidP="002B1283">
      <w:pPr>
        <w:rPr>
          <w:rFonts w:ascii="Arial Black" w:hAnsi="Arial Black"/>
          <w:b/>
          <w:sz w:val="24"/>
          <w:szCs w:val="24"/>
        </w:rPr>
      </w:pPr>
    </w:p>
    <w:p w14:paraId="01AE6D52" w14:textId="78FFFD26" w:rsidR="00382F02" w:rsidRDefault="00382F02" w:rsidP="002B1283">
      <w:pPr>
        <w:rPr>
          <w:rFonts w:ascii="Arial Black" w:hAnsi="Arial Black"/>
          <w:b/>
          <w:sz w:val="24"/>
          <w:szCs w:val="24"/>
        </w:rPr>
      </w:pPr>
      <w:r>
        <w:rPr>
          <w:rFonts w:ascii="Arial Black" w:hAnsi="Arial Black"/>
          <w:b/>
          <w:sz w:val="24"/>
          <w:szCs w:val="24"/>
        </w:rPr>
        <w:t>1-81</w:t>
      </w:r>
    </w:p>
    <w:p w14:paraId="0F1D3515" w14:textId="77777777" w:rsidR="00382F02" w:rsidRDefault="00382F02" w:rsidP="00382F02">
      <w:pPr>
        <w:pStyle w:val="NoSpacing"/>
        <w:rPr>
          <w:rStyle w:val="markedcontent"/>
          <w:rFonts w:ascii="Arial Black" w:hAnsi="Arial Black"/>
          <w:sz w:val="28"/>
          <w:szCs w:val="28"/>
        </w:rPr>
      </w:pPr>
      <w:bookmarkStart w:id="9" w:name="_Hlk81841159"/>
      <w:r>
        <w:rPr>
          <w:rStyle w:val="markedcontent"/>
          <w:rFonts w:ascii="Arial Black" w:hAnsi="Arial Black"/>
          <w:sz w:val="28"/>
          <w:szCs w:val="28"/>
        </w:rPr>
        <w:t xml:space="preserve">CA: FIRE MARSHAL FIRED – RETALIATION - JURY AWARDED HIM $4M – COURT: $1 MILLION &amp; $100,000 OR NEW TRIAL </w:t>
      </w:r>
    </w:p>
    <w:bookmarkEnd w:id="9"/>
    <w:p w14:paraId="6E8A1E86" w14:textId="77777777" w:rsidR="00382F02" w:rsidRDefault="00382F02" w:rsidP="00382F02">
      <w:pPr>
        <w:pStyle w:val="NoSpacing"/>
        <w:rPr>
          <w:rStyle w:val="markedcontent"/>
          <w:rFonts w:ascii="Arial Black" w:hAnsi="Arial Black"/>
          <w:sz w:val="28"/>
          <w:szCs w:val="28"/>
        </w:rPr>
      </w:pPr>
    </w:p>
    <w:p w14:paraId="43C1E7DA" w14:textId="77777777" w:rsidR="00382F02" w:rsidRDefault="00382F02" w:rsidP="00382F02">
      <w:pPr>
        <w:pStyle w:val="NoSpacing"/>
        <w:rPr>
          <w:rStyle w:val="markedcontent"/>
          <w:rFonts w:ascii="Times New Roman" w:hAnsi="Times New Roman"/>
          <w:sz w:val="24"/>
          <w:szCs w:val="24"/>
        </w:rPr>
      </w:pPr>
      <w:r w:rsidRPr="00D01726">
        <w:rPr>
          <w:rStyle w:val="markedcontent"/>
          <w:rFonts w:ascii="Times New Roman" w:hAnsi="Times New Roman"/>
          <w:sz w:val="24"/>
          <w:szCs w:val="24"/>
        </w:rPr>
        <w:t xml:space="preserve">On </w:t>
      </w:r>
      <w:r>
        <w:rPr>
          <w:rStyle w:val="markedcontent"/>
          <w:rFonts w:ascii="Times New Roman" w:hAnsi="Times New Roman"/>
          <w:sz w:val="24"/>
          <w:szCs w:val="24"/>
        </w:rPr>
        <w:t xml:space="preserve">July 1, 2021, in </w:t>
      </w:r>
      <w:r w:rsidRPr="00D01726">
        <w:rPr>
          <w:rStyle w:val="markedcontent"/>
          <w:rFonts w:ascii="Times New Roman" w:hAnsi="Times New Roman"/>
          <w:sz w:val="24"/>
          <w:szCs w:val="24"/>
          <w:u w:val="single"/>
        </w:rPr>
        <w:t>Jason Briley v. City of West Covina</w:t>
      </w:r>
      <w:r>
        <w:rPr>
          <w:rStyle w:val="markedcontent"/>
          <w:rFonts w:ascii="Times New Roman" w:hAnsi="Times New Roman"/>
          <w:sz w:val="24"/>
          <w:szCs w:val="24"/>
        </w:rPr>
        <w:t xml:space="preserve">, the Court of Appeal of the State of California, Second Appellate District (Division Four), held (3 to 0) that the jury verdict in favor of the former Fire Marshal for retaliation was affirmed; in June 2014 he complained that City Mgr. had approved building permit for a development before building plans passed fire inspection.  He was fired Sept. 2015 after city investigated him for using profanity in speaking to an employee at Victoria Secret after a fire </w:t>
      </w:r>
      <w:proofErr w:type="gramStart"/>
      <w:r>
        <w:rPr>
          <w:rStyle w:val="markedcontent"/>
          <w:rFonts w:ascii="Times New Roman" w:hAnsi="Times New Roman"/>
          <w:sz w:val="24"/>
          <w:szCs w:val="24"/>
        </w:rPr>
        <w:t>alarm, and</w:t>
      </w:r>
      <w:proofErr w:type="gramEnd"/>
      <w:r>
        <w:rPr>
          <w:rStyle w:val="markedcontent"/>
          <w:rFonts w:ascii="Times New Roman" w:hAnsi="Times New Roman"/>
          <w:sz w:val="24"/>
          <w:szCs w:val="24"/>
        </w:rPr>
        <w:t xml:space="preserve"> again using profanity talking to employees at a CrossFit gym.  On appeal, the city claimed he failed to exhaust his administrative remedy before filing lawsuit by not first appealing his firing to the City’s Human Relations Commission; but trial court judge, and the Court of Appeals held that this would have been a waste of time since the HR Commission merely makes a recommendation to the same City Manager that fired him.  However, Court of Appeals found $4 million jury verdict was excessive; several months after he was </w:t>
      </w:r>
      <w:proofErr w:type="gramStart"/>
      <w:r>
        <w:rPr>
          <w:rStyle w:val="markedcontent"/>
          <w:rFonts w:ascii="Times New Roman" w:hAnsi="Times New Roman"/>
          <w:sz w:val="24"/>
          <w:szCs w:val="24"/>
        </w:rPr>
        <w:t>fired</w:t>
      </w:r>
      <w:proofErr w:type="gramEnd"/>
      <w:r>
        <w:rPr>
          <w:rStyle w:val="markedcontent"/>
          <w:rFonts w:ascii="Times New Roman" w:hAnsi="Times New Roman"/>
          <w:sz w:val="24"/>
          <w:szCs w:val="24"/>
        </w:rPr>
        <w:t xml:space="preserve"> he was hired as Fire Marshall at City of Murrieta [resigned 10 months later] and testified he suffered little emotional damage.    </w:t>
      </w:r>
    </w:p>
    <w:p w14:paraId="00E862B4" w14:textId="77777777" w:rsidR="00382F02" w:rsidRDefault="00382F02" w:rsidP="00382F02">
      <w:pPr>
        <w:pStyle w:val="NoSpacing"/>
        <w:rPr>
          <w:rStyle w:val="markedcontent"/>
          <w:rFonts w:ascii="Times New Roman" w:hAnsi="Times New Roman"/>
          <w:sz w:val="24"/>
          <w:szCs w:val="24"/>
        </w:rPr>
      </w:pPr>
    </w:p>
    <w:p w14:paraId="6E1F31F5" w14:textId="77777777" w:rsidR="00382F02" w:rsidRDefault="00382F02" w:rsidP="00382F02">
      <w:pPr>
        <w:pStyle w:val="NoSpacing"/>
        <w:ind w:left="720"/>
        <w:rPr>
          <w:rFonts w:ascii="Times New Roman" w:hAnsi="Times New Roman"/>
          <w:sz w:val="24"/>
          <w:szCs w:val="24"/>
        </w:rPr>
      </w:pPr>
      <w:r>
        <w:rPr>
          <w:rStyle w:val="markedcontent"/>
          <w:rFonts w:ascii="Times New Roman" w:hAnsi="Times New Roman"/>
          <w:sz w:val="24"/>
          <w:szCs w:val="24"/>
        </w:rPr>
        <w:t>“</w:t>
      </w:r>
      <w:r w:rsidRPr="00A170C7">
        <w:rPr>
          <w:rFonts w:ascii="Times New Roman" w:hAnsi="Times New Roman"/>
          <w:sz w:val="24"/>
          <w:szCs w:val="24"/>
        </w:rPr>
        <w:t xml:space="preserve">On cross-examination, Briley confirmed he had experienced </w:t>
      </w:r>
      <w:r>
        <w:rPr>
          <w:rFonts w:ascii="Times New Roman" w:hAnsi="Times New Roman"/>
          <w:sz w:val="24"/>
          <w:szCs w:val="24"/>
        </w:rPr>
        <w:t>‘</w:t>
      </w:r>
      <w:r w:rsidRPr="00A170C7">
        <w:rPr>
          <w:rFonts w:ascii="Times New Roman" w:hAnsi="Times New Roman"/>
          <w:sz w:val="24"/>
          <w:szCs w:val="24"/>
        </w:rPr>
        <w:t>the gamut of emotions</w:t>
      </w:r>
      <w:r>
        <w:rPr>
          <w:rFonts w:ascii="Times New Roman" w:hAnsi="Times New Roman"/>
          <w:sz w:val="24"/>
          <w:szCs w:val="24"/>
        </w:rPr>
        <w:t>’</w:t>
      </w:r>
      <w:r w:rsidRPr="00A170C7">
        <w:rPr>
          <w:rFonts w:ascii="Times New Roman" w:hAnsi="Times New Roman"/>
          <w:sz w:val="24"/>
          <w:szCs w:val="24"/>
        </w:rPr>
        <w:t xml:space="preserve"> anyone would experience upon being terminated. He further revealed that he had seen a counselor once or </w:t>
      </w:r>
      <w:proofErr w:type="gramStart"/>
      <w:r w:rsidRPr="00A170C7">
        <w:rPr>
          <w:rFonts w:ascii="Times New Roman" w:hAnsi="Times New Roman"/>
          <w:sz w:val="24"/>
          <w:szCs w:val="24"/>
        </w:rPr>
        <w:t>twice, but</w:t>
      </w:r>
      <w:proofErr w:type="gramEnd"/>
      <w:r w:rsidRPr="00A170C7">
        <w:rPr>
          <w:rFonts w:ascii="Times New Roman" w:hAnsi="Times New Roman"/>
          <w:sz w:val="24"/>
          <w:szCs w:val="24"/>
        </w:rPr>
        <w:t xml:space="preserve"> </w:t>
      </w:r>
      <w:r w:rsidRPr="00A170C7">
        <w:rPr>
          <w:rFonts w:ascii="Times New Roman" w:hAnsi="Times New Roman"/>
          <w:sz w:val="24"/>
          <w:szCs w:val="24"/>
        </w:rPr>
        <w:lastRenderedPageBreak/>
        <w:t xml:space="preserve">reported no mental health issues. The City’s counsel noted that Briley had obtained a position as a fire marshal with the City of Murrieta </w:t>
      </w:r>
      <w:proofErr w:type="gramStart"/>
      <w:r w:rsidRPr="00A170C7">
        <w:rPr>
          <w:rFonts w:ascii="Times New Roman" w:hAnsi="Times New Roman"/>
          <w:sz w:val="24"/>
          <w:szCs w:val="24"/>
        </w:rPr>
        <w:t>subsequent to</w:t>
      </w:r>
      <w:proofErr w:type="gramEnd"/>
      <w:r w:rsidRPr="00A170C7">
        <w:rPr>
          <w:rFonts w:ascii="Times New Roman" w:hAnsi="Times New Roman"/>
          <w:sz w:val="24"/>
          <w:szCs w:val="24"/>
        </w:rPr>
        <w:t xml:space="preserve"> his termination and asked Briley if his decision to leave this position after about 10 months is what truly bothered him. In response, Briley admitted he had </w:t>
      </w:r>
      <w:r>
        <w:rPr>
          <w:rFonts w:ascii="Times New Roman" w:hAnsi="Times New Roman"/>
          <w:sz w:val="24"/>
          <w:szCs w:val="24"/>
        </w:rPr>
        <w:t>‘</w:t>
      </w:r>
      <w:r w:rsidRPr="00A170C7">
        <w:rPr>
          <w:rFonts w:ascii="Times New Roman" w:hAnsi="Times New Roman"/>
          <w:sz w:val="24"/>
          <w:szCs w:val="24"/>
        </w:rPr>
        <w:t>walked away</w:t>
      </w:r>
      <w:r>
        <w:rPr>
          <w:rFonts w:ascii="Times New Roman" w:hAnsi="Times New Roman"/>
          <w:sz w:val="24"/>
          <w:szCs w:val="24"/>
        </w:rPr>
        <w:t>’</w:t>
      </w:r>
      <w:r w:rsidRPr="00A170C7">
        <w:rPr>
          <w:rFonts w:ascii="Times New Roman" w:hAnsi="Times New Roman"/>
          <w:sz w:val="24"/>
          <w:szCs w:val="24"/>
        </w:rPr>
        <w:t xml:space="preserve"> from this fire-service </w:t>
      </w:r>
      <w:proofErr w:type="gramStart"/>
      <w:r w:rsidRPr="00A170C7">
        <w:rPr>
          <w:rFonts w:ascii="Times New Roman" w:hAnsi="Times New Roman"/>
          <w:sz w:val="24"/>
          <w:szCs w:val="24"/>
        </w:rPr>
        <w:t>position, but</w:t>
      </w:r>
      <w:proofErr w:type="gramEnd"/>
      <w:r w:rsidRPr="00A170C7">
        <w:rPr>
          <w:rFonts w:ascii="Times New Roman" w:hAnsi="Times New Roman"/>
          <w:sz w:val="24"/>
          <w:szCs w:val="24"/>
        </w:rPr>
        <w:t xml:space="preserve"> claimed that what bothered him were West Covina’s false allegations against him.</w:t>
      </w:r>
    </w:p>
    <w:p w14:paraId="3DCC8867" w14:textId="77777777" w:rsidR="00382F02" w:rsidRDefault="00382F02" w:rsidP="00382F02">
      <w:pPr>
        <w:pStyle w:val="NoSpacing"/>
        <w:ind w:left="720"/>
        <w:rPr>
          <w:rFonts w:ascii="Times New Roman" w:hAnsi="Times New Roman"/>
          <w:sz w:val="24"/>
          <w:szCs w:val="24"/>
        </w:rPr>
      </w:pPr>
    </w:p>
    <w:p w14:paraId="6A99BB4C" w14:textId="77777777" w:rsidR="00382F02" w:rsidRDefault="00382F02" w:rsidP="00382F02">
      <w:pPr>
        <w:pStyle w:val="NoSpacing"/>
        <w:ind w:left="720"/>
        <w:rPr>
          <w:rStyle w:val="markedcontent"/>
          <w:rFonts w:ascii="Times New Roman" w:hAnsi="Times New Roman"/>
          <w:sz w:val="24"/>
          <w:szCs w:val="24"/>
        </w:rPr>
      </w:pPr>
      <w:r>
        <w:rPr>
          <w:rFonts w:ascii="Times New Roman" w:hAnsi="Times New Roman"/>
          <w:sz w:val="24"/>
          <w:szCs w:val="24"/>
        </w:rPr>
        <w:t>***</w:t>
      </w:r>
    </w:p>
    <w:p w14:paraId="26B33152" w14:textId="77777777" w:rsidR="00382F02" w:rsidRDefault="00382F02" w:rsidP="00382F02">
      <w:pPr>
        <w:pStyle w:val="NoSpacing"/>
        <w:ind w:left="720"/>
        <w:rPr>
          <w:rStyle w:val="markedcontent"/>
          <w:rFonts w:ascii="Times New Roman" w:hAnsi="Times New Roman"/>
          <w:sz w:val="24"/>
          <w:szCs w:val="24"/>
        </w:rPr>
      </w:pPr>
    </w:p>
    <w:p w14:paraId="4377E10B" w14:textId="77777777" w:rsidR="00382F02" w:rsidRDefault="00382F02" w:rsidP="00382F02">
      <w:pPr>
        <w:pStyle w:val="NoSpacing"/>
        <w:ind w:left="720"/>
        <w:rPr>
          <w:rStyle w:val="markedcontent"/>
          <w:rFonts w:ascii="Times New Roman" w:hAnsi="Times New Roman"/>
          <w:sz w:val="24"/>
          <w:szCs w:val="24"/>
        </w:rPr>
      </w:pPr>
      <w:r w:rsidRPr="00C254BC">
        <w:rPr>
          <w:rStyle w:val="markedcontent"/>
          <w:rFonts w:ascii="Times New Roman" w:hAnsi="Times New Roman"/>
          <w:sz w:val="24"/>
          <w:szCs w:val="24"/>
        </w:rPr>
        <w:t xml:space="preserve">Based on our review of the record, and in our collective experience, the jury </w:t>
      </w:r>
      <w:r>
        <w:rPr>
          <w:rStyle w:val="markedcontent"/>
          <w:rFonts w:ascii="Times New Roman" w:hAnsi="Times New Roman"/>
          <w:sz w:val="24"/>
          <w:szCs w:val="24"/>
        </w:rPr>
        <w:t>[which awarded him $500,000 economic damages; $2 million past non-economic damages and $1.5 million in future non-economic damages]</w:t>
      </w:r>
      <w:r w:rsidRPr="00C254BC">
        <w:rPr>
          <w:rStyle w:val="markedcontent"/>
          <w:rFonts w:ascii="Times New Roman" w:hAnsi="Times New Roman"/>
          <w:sz w:val="24"/>
          <w:szCs w:val="24"/>
        </w:rPr>
        <w:t>,</w:t>
      </w:r>
      <w:r>
        <w:rPr>
          <w:rStyle w:val="markedcontent"/>
          <w:rFonts w:ascii="Times New Roman" w:hAnsi="Times New Roman"/>
          <w:sz w:val="24"/>
          <w:szCs w:val="24"/>
        </w:rPr>
        <w:t xml:space="preserve"> </w:t>
      </w:r>
      <w:r w:rsidRPr="00C254BC">
        <w:rPr>
          <w:rStyle w:val="markedcontent"/>
          <w:rFonts w:ascii="Times New Roman" w:hAnsi="Times New Roman"/>
          <w:sz w:val="24"/>
          <w:szCs w:val="24"/>
        </w:rPr>
        <w:t xml:space="preserve">could have awarded Briley no more than $1 million for past noneconomic damages reflecting the distress, financial uncertainty, and sleep-related issues he experienced in the aftermath of his termination. </w:t>
      </w:r>
      <w:proofErr w:type="gramStart"/>
      <w:r w:rsidRPr="00C254BC">
        <w:rPr>
          <w:rStyle w:val="markedcontent"/>
          <w:rFonts w:ascii="Times New Roman" w:hAnsi="Times New Roman"/>
          <w:sz w:val="24"/>
          <w:szCs w:val="24"/>
        </w:rPr>
        <w:t>We further</w:t>
      </w:r>
      <w:proofErr w:type="gramEnd"/>
      <w:r w:rsidRPr="00C254BC">
        <w:rPr>
          <w:rStyle w:val="markedcontent"/>
          <w:rFonts w:ascii="Times New Roman" w:hAnsi="Times New Roman"/>
          <w:sz w:val="24"/>
          <w:szCs w:val="24"/>
        </w:rPr>
        <w:t xml:space="preserve"> conclude the jury could have </w:t>
      </w:r>
      <w:proofErr w:type="gramStart"/>
      <w:r w:rsidRPr="00C254BC">
        <w:rPr>
          <w:rStyle w:val="markedcontent"/>
          <w:rFonts w:ascii="Times New Roman" w:hAnsi="Times New Roman"/>
          <w:sz w:val="24"/>
          <w:szCs w:val="24"/>
        </w:rPr>
        <w:t>awarded</w:t>
      </w:r>
      <w:proofErr w:type="gramEnd"/>
      <w:r w:rsidRPr="00C254BC">
        <w:rPr>
          <w:rStyle w:val="markedcontent"/>
          <w:rFonts w:ascii="Times New Roman" w:hAnsi="Times New Roman"/>
          <w:sz w:val="24"/>
          <w:szCs w:val="24"/>
        </w:rPr>
        <w:t xml:space="preserve"> no more than $100,000 for Briley’s future noneconomic damages, reflecting the largely diminished effects of his termination in the wake of the jury’s verdict. While these amounts remain high in relation to the evidence of Briley’s harm, we may not insert our own assessment for that of the jury; instead, we ask only what amount the jury could reasonably have awarded. (See Bigler-Engler, supra, 7 Cal.App.5th at 299.) Accordingly, we vacate the past and future noneconomic damages awards and </w:t>
      </w:r>
      <w:proofErr w:type="gramStart"/>
      <w:r w:rsidRPr="00C254BC">
        <w:rPr>
          <w:rStyle w:val="markedcontent"/>
          <w:rFonts w:ascii="Times New Roman" w:hAnsi="Times New Roman"/>
          <w:sz w:val="24"/>
          <w:szCs w:val="24"/>
        </w:rPr>
        <w:t>remand</w:t>
      </w:r>
      <w:proofErr w:type="gramEnd"/>
      <w:r w:rsidRPr="00C254BC">
        <w:rPr>
          <w:rStyle w:val="markedcontent"/>
          <w:rFonts w:ascii="Times New Roman" w:hAnsi="Times New Roman"/>
          <w:sz w:val="24"/>
          <w:szCs w:val="24"/>
        </w:rPr>
        <w:t xml:space="preserve"> for a new trial on those issues, unless Briley accepts a reduction of the awards to $1 million and $100,000, respectively. (See id., at 306.)</w:t>
      </w:r>
      <w:r>
        <w:rPr>
          <w:rStyle w:val="markedcontent"/>
          <w:rFonts w:ascii="Times New Roman" w:hAnsi="Times New Roman"/>
          <w:sz w:val="24"/>
          <w:szCs w:val="24"/>
        </w:rPr>
        <w:t xml:space="preserve">” </w:t>
      </w:r>
      <w:hyperlink r:id="rId246" w:history="1">
        <w:r w:rsidRPr="00C10414">
          <w:rPr>
            <w:rStyle w:val="Hyperlink"/>
            <w:sz w:val="24"/>
            <w:szCs w:val="24"/>
          </w:rPr>
          <w:t>https://cases.justia.com/california/court-of-appeal/2021-b295666.pdf?ts=1625180487</w:t>
        </w:r>
      </w:hyperlink>
      <w:r>
        <w:rPr>
          <w:rStyle w:val="markedcontent"/>
          <w:rFonts w:ascii="Times New Roman" w:hAnsi="Times New Roman"/>
          <w:sz w:val="24"/>
          <w:szCs w:val="24"/>
        </w:rPr>
        <w:t xml:space="preserve"> </w:t>
      </w:r>
    </w:p>
    <w:p w14:paraId="3D8E1736" w14:textId="4E8830E9" w:rsidR="00382F02" w:rsidRDefault="00382F02" w:rsidP="002B1283">
      <w:pPr>
        <w:rPr>
          <w:rFonts w:ascii="Arial Black" w:hAnsi="Arial Black"/>
          <w:b/>
          <w:sz w:val="24"/>
          <w:szCs w:val="24"/>
        </w:rPr>
      </w:pPr>
    </w:p>
    <w:p w14:paraId="1A6782C2" w14:textId="77777777" w:rsidR="00382F02" w:rsidRPr="002C56EC" w:rsidRDefault="00382F02" w:rsidP="00382F02">
      <w:pPr>
        <w:pStyle w:val="NoSpacing"/>
        <w:rPr>
          <w:rStyle w:val="markedcontent"/>
          <w:rFonts w:ascii="Times New Roman" w:hAnsi="Times New Roman"/>
          <w:b/>
          <w:bCs/>
          <w:sz w:val="24"/>
          <w:szCs w:val="24"/>
        </w:rPr>
      </w:pPr>
      <w:r w:rsidRPr="002C56EC">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Retaliation claims can result in very large jury verdicts. </w:t>
      </w:r>
    </w:p>
    <w:p w14:paraId="59C94BA3" w14:textId="77777777" w:rsidR="00382F02" w:rsidRDefault="00382F02" w:rsidP="002B1283">
      <w:pPr>
        <w:rPr>
          <w:rFonts w:ascii="Arial Black" w:hAnsi="Arial Black"/>
          <w:b/>
          <w:sz w:val="24"/>
          <w:szCs w:val="24"/>
        </w:rPr>
      </w:pPr>
    </w:p>
    <w:p w14:paraId="14002210" w14:textId="77777777" w:rsidR="00382F02" w:rsidRDefault="00382F02" w:rsidP="002B1283">
      <w:pPr>
        <w:rPr>
          <w:rFonts w:ascii="Arial Black" w:hAnsi="Arial Black"/>
          <w:b/>
          <w:sz w:val="24"/>
          <w:szCs w:val="24"/>
        </w:rPr>
      </w:pPr>
    </w:p>
    <w:p w14:paraId="4FFA695F" w14:textId="1BA4954B" w:rsidR="00A82898" w:rsidRDefault="00A82898" w:rsidP="002B1283">
      <w:pPr>
        <w:rPr>
          <w:rFonts w:ascii="Arial Black" w:hAnsi="Arial Black"/>
          <w:b/>
          <w:sz w:val="24"/>
          <w:szCs w:val="24"/>
        </w:rPr>
      </w:pPr>
      <w:r>
        <w:rPr>
          <w:rFonts w:ascii="Arial Black" w:hAnsi="Arial Black"/>
          <w:b/>
          <w:sz w:val="24"/>
          <w:szCs w:val="24"/>
        </w:rPr>
        <w:t>1-</w:t>
      </w:r>
      <w:r w:rsidR="00382F02">
        <w:rPr>
          <w:rFonts w:ascii="Arial Black" w:hAnsi="Arial Black"/>
          <w:b/>
          <w:sz w:val="24"/>
          <w:szCs w:val="24"/>
        </w:rPr>
        <w:t>80</w:t>
      </w:r>
    </w:p>
    <w:p w14:paraId="47C95009" w14:textId="77777777" w:rsidR="00A82898" w:rsidRPr="00C11FBB" w:rsidRDefault="00A82898" w:rsidP="00A82898">
      <w:pPr>
        <w:pStyle w:val="NormalWeb"/>
        <w:spacing w:before="0" w:beforeAutospacing="0" w:after="0" w:afterAutospacing="0" w:line="255" w:lineRule="atLeast"/>
        <w:rPr>
          <w:rFonts w:ascii="Arial Black" w:hAnsi="Arial Black"/>
          <w:sz w:val="28"/>
          <w:szCs w:val="28"/>
        </w:rPr>
      </w:pPr>
      <w:r>
        <w:rPr>
          <w:rFonts w:ascii="Arial Black" w:hAnsi="Arial Black"/>
          <w:sz w:val="28"/>
          <w:szCs w:val="28"/>
        </w:rPr>
        <w:t>PA: IMMUNITY / 5</w:t>
      </w:r>
      <w:r w:rsidRPr="000732DE">
        <w:rPr>
          <w:rFonts w:ascii="Arial Black" w:hAnsi="Arial Black"/>
          <w:sz w:val="28"/>
          <w:szCs w:val="28"/>
          <w:vertAlign w:val="superscript"/>
        </w:rPr>
        <w:t>th</w:t>
      </w:r>
      <w:r>
        <w:rPr>
          <w:rFonts w:ascii="Arial Black" w:hAnsi="Arial Black"/>
          <w:sz w:val="28"/>
          <w:szCs w:val="28"/>
        </w:rPr>
        <w:t xml:space="preserve"> AMENDMENT - BILL COSBY CONV. VACATED – DA’s UNCONDITIONAL PROMISE </w:t>
      </w:r>
    </w:p>
    <w:p w14:paraId="111054DF" w14:textId="77777777" w:rsidR="00A82898" w:rsidRDefault="00A82898" w:rsidP="00A82898">
      <w:pPr>
        <w:pStyle w:val="NormalWeb"/>
        <w:spacing w:before="0" w:beforeAutospacing="0" w:after="0" w:afterAutospacing="0" w:line="255" w:lineRule="atLeast"/>
      </w:pPr>
    </w:p>
    <w:p w14:paraId="3A949C32" w14:textId="77777777" w:rsidR="00A82898" w:rsidRDefault="00A82898" w:rsidP="00A82898">
      <w:pPr>
        <w:pStyle w:val="NormalWeb"/>
        <w:spacing w:before="0" w:beforeAutospacing="0" w:after="0" w:afterAutospacing="0" w:line="255" w:lineRule="atLeast"/>
      </w:pPr>
      <w:r>
        <w:t xml:space="preserve">On June 30, 2021, in </w:t>
      </w:r>
      <w:r w:rsidRPr="00C11FBB">
        <w:rPr>
          <w:u w:val="single"/>
        </w:rPr>
        <w:t>Commonwealth of Pennsylvania v. William Henry Cosby Jr.,</w:t>
      </w:r>
      <w:r>
        <w:t xml:space="preserve"> the Supreme Court of Pennsylvania, Middle District, held (4 to 3) that Cosby’s 5</w:t>
      </w:r>
      <w:r w:rsidRPr="002052D5">
        <w:rPr>
          <w:vertAlign w:val="superscript"/>
        </w:rPr>
        <w:t>th</w:t>
      </w:r>
      <w:r>
        <w:t xml:space="preserve"> Amendment rights were violated when the Montgomery County District Attorney made “an unconditional promise of non-prosecution.” Crosby was later indicted just prior to expiration of 12-year statute of limitations by new DA, who read Crosby’s 4 depositions in a civil lawsuit brought by female victim, where he testified about giving pills to other women, and the DA located 19 prior victims (going back 15 to 22 years).   </w:t>
      </w:r>
    </w:p>
    <w:p w14:paraId="7238F1F1" w14:textId="77777777" w:rsidR="00A82898" w:rsidRDefault="00A82898" w:rsidP="00A82898">
      <w:pPr>
        <w:pStyle w:val="NormalWeb"/>
        <w:spacing w:before="0" w:beforeAutospacing="0" w:after="0" w:afterAutospacing="0" w:line="255" w:lineRule="atLeast"/>
      </w:pPr>
    </w:p>
    <w:p w14:paraId="0DA6AB35" w14:textId="77777777" w:rsidR="00A82898" w:rsidRDefault="00A82898" w:rsidP="00A82898">
      <w:pPr>
        <w:pStyle w:val="NormalWeb"/>
        <w:spacing w:before="0" w:beforeAutospacing="0" w:after="0" w:afterAutospacing="0" w:line="255" w:lineRule="atLeast"/>
        <w:ind w:left="720"/>
      </w:pPr>
      <w:r>
        <w:t>“</w:t>
      </w:r>
      <w:r w:rsidRPr="009A1E55">
        <w:t>For the reasons detailed below, we hold that,</w:t>
      </w:r>
      <w:r>
        <w:t xml:space="preserve"> </w:t>
      </w:r>
      <w:r w:rsidRPr="009A1E55">
        <w:t>when a prosecutor makes</w:t>
      </w:r>
      <w:r>
        <w:t xml:space="preserve"> </w:t>
      </w:r>
      <w:r w:rsidRPr="009A1E55">
        <w:t>an unconditional promise</w:t>
      </w:r>
      <w:r>
        <w:t xml:space="preserve"> </w:t>
      </w:r>
      <w:r w:rsidRPr="009A1E55">
        <w:t>of non-prosecution, and when the defendant relies upon that guarantee</w:t>
      </w:r>
      <w:r>
        <w:t xml:space="preserve"> </w:t>
      </w:r>
      <w:r w:rsidRPr="009A1E55">
        <w:t>to the detriment of his constitutional right not to testify, the principle of fundamental fairness that undergirds</w:t>
      </w:r>
      <w:r>
        <w:t xml:space="preserve"> </w:t>
      </w:r>
      <w:r w:rsidRPr="009A1E55">
        <w:t>due process of law in</w:t>
      </w:r>
      <w:r>
        <w:t xml:space="preserve"> </w:t>
      </w:r>
      <w:r w:rsidRPr="009A1E55">
        <w:t xml:space="preserve">our criminal justice system demands that the promise be enforced. </w:t>
      </w:r>
    </w:p>
    <w:p w14:paraId="4E02BF15" w14:textId="77777777" w:rsidR="00A82898" w:rsidRDefault="00A82898" w:rsidP="00A82898">
      <w:pPr>
        <w:pStyle w:val="NormalWeb"/>
        <w:spacing w:before="0" w:beforeAutospacing="0" w:after="0" w:afterAutospacing="0" w:line="255" w:lineRule="atLeast"/>
      </w:pPr>
    </w:p>
    <w:p w14:paraId="5A69769F" w14:textId="77777777" w:rsidR="00A82898" w:rsidRDefault="00A82898" w:rsidP="00A82898">
      <w:pPr>
        <w:pStyle w:val="NormalWeb"/>
        <w:spacing w:before="0" w:beforeAutospacing="0" w:after="0" w:afterAutospacing="0" w:line="255" w:lineRule="atLeast"/>
        <w:ind w:firstLine="720"/>
      </w:pPr>
      <w:r>
        <w:t>***</w:t>
      </w:r>
    </w:p>
    <w:p w14:paraId="1AF8A47B" w14:textId="77777777" w:rsidR="00A82898" w:rsidRDefault="00A82898" w:rsidP="00A82898">
      <w:pPr>
        <w:pStyle w:val="NormalWeb"/>
        <w:spacing w:before="0" w:beforeAutospacing="0" w:after="0" w:afterAutospacing="0" w:line="255" w:lineRule="atLeast"/>
      </w:pPr>
    </w:p>
    <w:p w14:paraId="4FCAB9AE" w14:textId="77777777" w:rsidR="00A82898" w:rsidRDefault="00A82898" w:rsidP="00A82898">
      <w:pPr>
        <w:pStyle w:val="NormalWeb"/>
        <w:spacing w:before="0" w:beforeAutospacing="0" w:after="0" w:afterAutospacing="0" w:line="255" w:lineRule="atLeast"/>
        <w:ind w:left="720"/>
      </w:pPr>
      <w:r w:rsidRPr="00C11FBB">
        <w:rPr>
          <w:rStyle w:val="highlight"/>
        </w:rPr>
        <w:t>Cosby</w:t>
      </w:r>
      <w:r w:rsidRPr="00C11FBB">
        <w:t xml:space="preserve"> was forced to sit for four depositions. That he did not—and could not—choose to remain silent is apparent from the record. When </w:t>
      </w:r>
      <w:r w:rsidRPr="00C11FBB">
        <w:rPr>
          <w:rStyle w:val="highlight"/>
        </w:rPr>
        <w:t xml:space="preserve">Cosby </w:t>
      </w:r>
      <w:r w:rsidRPr="00C11FBB">
        <w:t xml:space="preserve">attempted to decline to answer certain questions about Constand, Constand’s attorneys obtained a ruling from the civil trial judge forcing </w:t>
      </w:r>
      <w:r w:rsidRPr="00C11FBB">
        <w:rPr>
          <w:rStyle w:val="highlight"/>
        </w:rPr>
        <w:t>Cosby</w:t>
      </w:r>
      <w:r w:rsidRPr="00C11FBB">
        <w:t xml:space="preserve"> to answer. Most significantly, </w:t>
      </w:r>
      <w:r w:rsidRPr="00C11FBB">
        <w:rPr>
          <w:rStyle w:val="highlight"/>
        </w:rPr>
        <w:t>Cosby</w:t>
      </w:r>
      <w:r w:rsidRPr="00C11FBB">
        <w:t xml:space="preserve">, having maintained his innocence in all matters and having been advised by </w:t>
      </w:r>
      <w:proofErr w:type="gramStart"/>
      <w:r w:rsidRPr="00C11FBB">
        <w:t xml:space="preserve">a </w:t>
      </w:r>
      <w:r w:rsidRPr="00C11FBB">
        <w:lastRenderedPageBreak/>
        <w:t>number of</w:t>
      </w:r>
      <w:proofErr w:type="gramEnd"/>
      <w:r w:rsidRPr="00C11FBB">
        <w:t xml:space="preserve"> attorneys, provided critical evidence of his recurring history</w:t>
      </w:r>
      <w:r>
        <w:t xml:space="preserve"> </w:t>
      </w:r>
      <w:r w:rsidRPr="00C11FBB">
        <w:t>of supplying women with central nervous system depressants before engaging in (allegedly unwanted) sexual activity with them—the very assertion that undergirded Constand’s criminal complaint</w:t>
      </w:r>
      <w:r>
        <w:t>….</w:t>
      </w:r>
    </w:p>
    <w:p w14:paraId="2F422E7D" w14:textId="77777777" w:rsidR="00A82898" w:rsidRDefault="00A82898" w:rsidP="00A82898">
      <w:pPr>
        <w:pStyle w:val="NormalWeb"/>
        <w:spacing w:before="0" w:beforeAutospacing="0" w:after="0" w:afterAutospacing="0" w:line="255" w:lineRule="atLeast"/>
        <w:ind w:left="720"/>
      </w:pPr>
    </w:p>
    <w:p w14:paraId="18FE48EE" w14:textId="77777777" w:rsidR="00A82898" w:rsidRDefault="00A82898" w:rsidP="00A82898">
      <w:pPr>
        <w:pStyle w:val="NormalWeb"/>
        <w:spacing w:before="0" w:beforeAutospacing="0" w:after="0" w:afterAutospacing="0" w:line="255" w:lineRule="atLeast"/>
        <w:ind w:left="720"/>
      </w:pPr>
      <w:r>
        <w:t>***</w:t>
      </w:r>
    </w:p>
    <w:p w14:paraId="6E408BEE" w14:textId="77777777" w:rsidR="00A82898" w:rsidRDefault="00A82898" w:rsidP="00A82898">
      <w:pPr>
        <w:pStyle w:val="NormalWeb"/>
        <w:spacing w:before="0" w:beforeAutospacing="0" w:after="0" w:afterAutospacing="0" w:line="255" w:lineRule="atLeast"/>
        <w:ind w:left="720"/>
      </w:pPr>
    </w:p>
    <w:p w14:paraId="2107EAD9" w14:textId="3D450F84" w:rsidR="00A82898" w:rsidRDefault="00A82898" w:rsidP="00A82898">
      <w:pPr>
        <w:rPr>
          <w:rFonts w:ascii="Arial Black" w:hAnsi="Arial Black"/>
          <w:b/>
          <w:sz w:val="24"/>
          <w:szCs w:val="24"/>
        </w:rPr>
      </w:pPr>
      <w:r w:rsidRPr="00C11FBB">
        <w:t xml:space="preserve">For these reasons, </w:t>
      </w:r>
      <w:r w:rsidRPr="00C11FBB">
        <w:rPr>
          <w:rStyle w:val="highlight"/>
        </w:rPr>
        <w:t>Cosby</w:t>
      </w:r>
      <w:r w:rsidRPr="00C11FBB">
        <w:t>’s convictions and judgment of sentence are</w:t>
      </w:r>
      <w:r>
        <w:t xml:space="preserve"> </w:t>
      </w:r>
      <w:r w:rsidRPr="00C11FBB">
        <w:t>vacated, and he is discharged.</w:t>
      </w:r>
      <w:r>
        <w:t xml:space="preserve">” </w:t>
      </w:r>
      <w:hyperlink r:id="rId247" w:anchor="search=%22Cosby%20%27Supreme%2bCourt%27%22" w:history="1">
        <w:r w:rsidRPr="007B464E">
          <w:rPr>
            <w:rStyle w:val="Hyperlink"/>
          </w:rPr>
          <w:t>http://www.pacourts.us/assets/opinions/Supreme/out/j-100-2020mo%20-%20104821740139246918.pdf#search=%22Cosby%20%27Supreme%2bCourt%27%22</w:t>
        </w:r>
      </w:hyperlink>
    </w:p>
    <w:p w14:paraId="2A016F03" w14:textId="77777777" w:rsidR="00A82898" w:rsidRDefault="00A82898" w:rsidP="00A82898">
      <w:pPr>
        <w:pStyle w:val="NormalWeb"/>
        <w:spacing w:before="0" w:beforeAutospacing="0" w:after="0" w:afterAutospacing="0" w:line="255" w:lineRule="atLeast"/>
        <w:rPr>
          <w:rStyle w:val="markedcontent"/>
          <w:b/>
          <w:bCs/>
        </w:rPr>
      </w:pPr>
      <w:r w:rsidRPr="00DE31ED">
        <w:rPr>
          <w:rStyle w:val="markedcontent"/>
          <w:b/>
          <w:bCs/>
        </w:rPr>
        <w:t>Legal Lesson Learned:</w:t>
      </w:r>
      <w:r>
        <w:rPr>
          <w:rStyle w:val="markedcontent"/>
          <w:b/>
          <w:bCs/>
        </w:rPr>
        <w:t xml:space="preserve">  This is a very usual decision, finding that a DA’s Press Release and comments to defense counsel amounted to a “transactional immunity” agreement, binding other DAs during the 12-year statute of limitations.   In fire service, arson investigators seeking to obtain immunity for a key witness should consider asking Prosecutors to grant “use and derivative use” immunity, not “transactional immunity.”</w:t>
      </w:r>
    </w:p>
    <w:p w14:paraId="140C943E" w14:textId="77777777" w:rsidR="00A82898" w:rsidRDefault="00A82898" w:rsidP="00A82898">
      <w:pPr>
        <w:pStyle w:val="NormalWeb"/>
        <w:spacing w:before="0" w:beforeAutospacing="0" w:after="0" w:afterAutospacing="0" w:line="255" w:lineRule="atLeast"/>
        <w:rPr>
          <w:rStyle w:val="markedcontent"/>
          <w:b/>
          <w:bCs/>
        </w:rPr>
      </w:pPr>
    </w:p>
    <w:p w14:paraId="419FD34F" w14:textId="77777777" w:rsidR="00A82898" w:rsidRDefault="00A82898" w:rsidP="00A82898">
      <w:pPr>
        <w:pStyle w:val="NormalWeb"/>
        <w:spacing w:before="0" w:beforeAutospacing="0" w:after="0" w:afterAutospacing="0" w:line="255" w:lineRule="atLeast"/>
        <w:ind w:left="720"/>
      </w:pPr>
      <w:r>
        <w:t xml:space="preserve">“Use and derivative use immunity is more common (used by both state and federal prosecutors) and narrower than transactional immunity. It prevents the prosecution from using the witness's </w:t>
      </w:r>
      <w:proofErr w:type="gramStart"/>
      <w:r>
        <w:t>statements (‘</w:t>
      </w:r>
      <w:proofErr w:type="gramEnd"/>
      <w:r>
        <w:t xml:space="preserve">use’) or any evidence derived from those </w:t>
      </w:r>
      <w:proofErr w:type="gramStart"/>
      <w:r>
        <w:t>statements (‘</w:t>
      </w:r>
      <w:proofErr w:type="gramEnd"/>
      <w:r>
        <w:t>derivative use’) against the witness in a criminal prosecution. In theory, use and derivative use immunity provides as much protection as the witness not testifying.”</w:t>
      </w:r>
    </w:p>
    <w:p w14:paraId="2B7A4DCD" w14:textId="77777777" w:rsidR="00A82898" w:rsidRDefault="00A82898" w:rsidP="00A82898">
      <w:pPr>
        <w:pStyle w:val="NormalWeb"/>
        <w:spacing w:before="0" w:beforeAutospacing="0" w:after="0" w:afterAutospacing="0" w:line="255" w:lineRule="atLeast"/>
        <w:ind w:left="720"/>
      </w:pPr>
      <w:hyperlink r:id="rId248" w:history="1">
        <w:r w:rsidRPr="007B464E">
          <w:rPr>
            <w:rStyle w:val="Hyperlink"/>
          </w:rPr>
          <w:t>https://www.nolo.com/legal-encyclopedia/immunity-exchange-testimony.html</w:t>
        </w:r>
      </w:hyperlink>
      <w:r>
        <w:t xml:space="preserve"> </w:t>
      </w:r>
    </w:p>
    <w:p w14:paraId="0E076B9F" w14:textId="77777777" w:rsidR="00A82898" w:rsidRPr="00DE31ED" w:rsidRDefault="00A82898" w:rsidP="00A82898">
      <w:pPr>
        <w:pStyle w:val="NormalWeb"/>
        <w:spacing w:before="0" w:beforeAutospacing="0" w:after="0" w:afterAutospacing="0" w:line="255" w:lineRule="atLeast"/>
        <w:ind w:left="720"/>
        <w:rPr>
          <w:rStyle w:val="markedcontent"/>
          <w:b/>
          <w:bCs/>
        </w:rPr>
      </w:pPr>
    </w:p>
    <w:p w14:paraId="4DB86470" w14:textId="77777777" w:rsidR="00A82898" w:rsidRPr="007614C6" w:rsidRDefault="00A82898" w:rsidP="00A82898">
      <w:pPr>
        <w:ind w:left="720"/>
        <w:rPr>
          <w:rFonts w:ascii="Times New Roman" w:hAnsi="Times New Roman"/>
          <w:sz w:val="24"/>
          <w:szCs w:val="24"/>
        </w:rPr>
      </w:pPr>
      <w:r w:rsidRPr="002052D5">
        <w:rPr>
          <w:rStyle w:val="markedcontent"/>
          <w:rFonts w:ascii="Times New Roman" w:hAnsi="Times New Roman"/>
          <w:sz w:val="24"/>
          <w:szCs w:val="24"/>
        </w:rPr>
        <w:t xml:space="preserve">See June 30, </w:t>
      </w:r>
      <w:proofErr w:type="gramStart"/>
      <w:r w:rsidRPr="002052D5">
        <w:rPr>
          <w:rStyle w:val="markedcontent"/>
          <w:rFonts w:ascii="Times New Roman" w:hAnsi="Times New Roman"/>
          <w:sz w:val="24"/>
          <w:szCs w:val="24"/>
        </w:rPr>
        <w:t>2021</w:t>
      </w:r>
      <w:proofErr w:type="gramEnd"/>
      <w:r w:rsidRPr="002052D5">
        <w:rPr>
          <w:rStyle w:val="markedcontent"/>
          <w:rFonts w:ascii="Times New Roman" w:hAnsi="Times New Roman"/>
          <w:sz w:val="24"/>
          <w:szCs w:val="24"/>
        </w:rPr>
        <w:t xml:space="preserve"> article on the case: </w:t>
      </w:r>
      <w:r>
        <w:rPr>
          <w:rStyle w:val="markedcontent"/>
          <w:rFonts w:ascii="Times New Roman" w:hAnsi="Times New Roman"/>
          <w:sz w:val="24"/>
          <w:szCs w:val="24"/>
        </w:rPr>
        <w:t>“</w:t>
      </w:r>
      <w:r w:rsidRPr="002052D5">
        <w:rPr>
          <w:rFonts w:ascii="Times New Roman" w:hAnsi="Times New Roman"/>
          <w:sz w:val="24"/>
          <w:szCs w:val="24"/>
        </w:rPr>
        <w:t>All Your Questions About Bill Cosby’s Overturned Verdict, Answered</w:t>
      </w:r>
      <w:r>
        <w:rPr>
          <w:rFonts w:ascii="Times New Roman" w:hAnsi="Times New Roman"/>
          <w:sz w:val="24"/>
          <w:szCs w:val="24"/>
        </w:rPr>
        <w:t xml:space="preserve">.” </w:t>
      </w:r>
      <w:hyperlink r:id="rId249" w:history="1">
        <w:r w:rsidRPr="007614C6">
          <w:rPr>
            <w:rStyle w:val="Hyperlink"/>
            <w:sz w:val="24"/>
            <w:szCs w:val="24"/>
          </w:rPr>
          <w:t>https://www.vulture.com/article/bill-cosby-overturned-sexual-assault-conviction-explained.html</w:t>
        </w:r>
      </w:hyperlink>
      <w:r w:rsidRPr="007614C6">
        <w:rPr>
          <w:rFonts w:ascii="Times New Roman" w:hAnsi="Times New Roman"/>
          <w:sz w:val="24"/>
          <w:szCs w:val="24"/>
        </w:rPr>
        <w:t xml:space="preserve"> </w:t>
      </w:r>
    </w:p>
    <w:p w14:paraId="7BB878F7" w14:textId="706826DC" w:rsidR="00A82898" w:rsidRDefault="00382F02" w:rsidP="002B1283">
      <w:pPr>
        <w:rPr>
          <w:rFonts w:ascii="Arial Black" w:hAnsi="Arial Black"/>
          <w:b/>
          <w:sz w:val="24"/>
          <w:szCs w:val="24"/>
        </w:rPr>
      </w:pPr>
      <w:r>
        <w:rPr>
          <w:rFonts w:ascii="Arial Black" w:hAnsi="Arial Black"/>
          <w:b/>
          <w:sz w:val="24"/>
          <w:szCs w:val="24"/>
        </w:rPr>
        <w:t>1-79</w:t>
      </w:r>
    </w:p>
    <w:p w14:paraId="4C9F5FF7" w14:textId="77777777" w:rsidR="00382F02" w:rsidRDefault="00382F02" w:rsidP="00382F02">
      <w:pPr>
        <w:pStyle w:val="articleparagraph"/>
        <w:rPr>
          <w:rFonts w:ascii="Arial Black" w:hAnsi="Arial Black"/>
          <w:sz w:val="28"/>
          <w:szCs w:val="28"/>
        </w:rPr>
      </w:pPr>
      <w:bookmarkStart w:id="10" w:name="_Hlk81841241"/>
      <w:r>
        <w:rPr>
          <w:rFonts w:ascii="Arial Black" w:hAnsi="Arial Black"/>
          <w:sz w:val="28"/>
          <w:szCs w:val="28"/>
        </w:rPr>
        <w:t xml:space="preserve">U.S. SUPREME COURT: UNANIMOUS DECISION - SEARCH &amp; SEIZURE DRUNK DRIVER UPHELD – COMMUNITY SAFETY </w:t>
      </w:r>
    </w:p>
    <w:bookmarkEnd w:id="10"/>
    <w:p w14:paraId="1931539C" w14:textId="77777777" w:rsidR="00382F02" w:rsidRDefault="00382F02" w:rsidP="00382F02">
      <w:pPr>
        <w:pStyle w:val="articleparagraph"/>
      </w:pPr>
      <w:r>
        <w:t xml:space="preserve">On June 1, 2021, in </w:t>
      </w:r>
      <w:r w:rsidRPr="005E6136">
        <w:rPr>
          <w:u w:val="single"/>
        </w:rPr>
        <w:t>United States v. Cooley</w:t>
      </w:r>
      <w:r>
        <w:t xml:space="preserve">, the U.S. Supreme Court held (9 to 0) that the trial court judge improperly granted defense motion to suppress the meth found in the driver’s </w:t>
      </w:r>
      <w:proofErr w:type="gramStart"/>
      <w:r>
        <w:t>truck, and</w:t>
      </w:r>
      <w:proofErr w:type="gramEnd"/>
      <w:r>
        <w:t xml:space="preserve"> reversed the 3-judges on the 9</w:t>
      </w:r>
      <w:r w:rsidRPr="005E6136">
        <w:rPr>
          <w:vertAlign w:val="superscript"/>
        </w:rPr>
        <w:t>th</w:t>
      </w:r>
      <w:r>
        <w:t xml:space="preserve"> Circuit (San Francisco) that found the search illegal.  Justice Steven Breyer wrote the unanimous opinion of the court, which focused on the health and welfare of the Tribal police officer and the Indian reservation where the driver was pulled over. </w:t>
      </w:r>
    </w:p>
    <w:p w14:paraId="14614916" w14:textId="77777777" w:rsidR="00382F02" w:rsidRDefault="00382F02" w:rsidP="00382F02">
      <w:pPr>
        <w:ind w:left="720"/>
        <w:rPr>
          <w:rStyle w:val="markedcontent"/>
          <w:rFonts w:ascii="Times New Roman" w:hAnsi="Times New Roman"/>
          <w:sz w:val="24"/>
          <w:szCs w:val="24"/>
        </w:rPr>
      </w:pPr>
      <w:r>
        <w:rPr>
          <w:rStyle w:val="markedcontent"/>
          <w:rFonts w:ascii="Times New Roman" w:hAnsi="Times New Roman"/>
          <w:sz w:val="24"/>
          <w:szCs w:val="24"/>
        </w:rPr>
        <w:t>“</w:t>
      </w:r>
      <w:r w:rsidRPr="00512F9B">
        <w:rPr>
          <w:rStyle w:val="markedcontent"/>
          <w:rFonts w:ascii="Times New Roman" w:hAnsi="Times New Roman"/>
          <w:sz w:val="24"/>
          <w:szCs w:val="24"/>
        </w:rPr>
        <w:t xml:space="preserve">The second exception we have just quoted fits the present case, almost like a glove. The phrase speaks of the protection of the </w:t>
      </w:r>
      <w:r>
        <w:rPr>
          <w:rStyle w:val="markedcontent"/>
          <w:rFonts w:ascii="Times New Roman" w:hAnsi="Times New Roman"/>
          <w:sz w:val="24"/>
          <w:szCs w:val="24"/>
        </w:rPr>
        <w:t>‘</w:t>
      </w:r>
      <w:r w:rsidRPr="00512F9B">
        <w:rPr>
          <w:rStyle w:val="markedcontent"/>
          <w:rFonts w:ascii="Times New Roman" w:hAnsi="Times New Roman"/>
          <w:sz w:val="24"/>
          <w:szCs w:val="24"/>
        </w:rPr>
        <w:t>health or welfare of the tribe.</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To deny a tribal</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police officer authority to search and detain for a reasonable</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time any person he or she believes may commit or has committed a crime would make it difficult for tribes to protect</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themselves against ongoing threats. Such threats may be posed by, for instance, non-Indian drunk drivers, transporters of contraband, or other criminal offenders operating on</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roads within the boundaries of a tribal reservation. As the Washington Supreme Court has noted, </w:t>
      </w:r>
      <w:r>
        <w:rPr>
          <w:rStyle w:val="markedcontent"/>
          <w:rFonts w:ascii="Times New Roman" w:hAnsi="Times New Roman"/>
          <w:sz w:val="24"/>
          <w:szCs w:val="24"/>
        </w:rPr>
        <w:t>‘</w:t>
      </w:r>
      <w:r w:rsidRPr="00512F9B">
        <w:rPr>
          <w:rStyle w:val="markedcontent"/>
          <w:rFonts w:ascii="Times New Roman" w:hAnsi="Times New Roman"/>
          <w:sz w:val="24"/>
          <w:szCs w:val="24"/>
        </w:rPr>
        <w:t>[a]</w:t>
      </w:r>
      <w:proofErr w:type="spellStart"/>
      <w:r w:rsidRPr="00512F9B">
        <w:rPr>
          <w:rStyle w:val="markedcontent"/>
          <w:rFonts w:ascii="Times New Roman" w:hAnsi="Times New Roman"/>
          <w:sz w:val="24"/>
          <w:szCs w:val="24"/>
        </w:rPr>
        <w:t>llowing</w:t>
      </w:r>
      <w:proofErr w:type="spellEnd"/>
      <w:r w:rsidRPr="00512F9B">
        <w:rPr>
          <w:rStyle w:val="markedcontent"/>
          <w:rFonts w:ascii="Times New Roman" w:hAnsi="Times New Roman"/>
          <w:sz w:val="24"/>
          <w:szCs w:val="24"/>
        </w:rPr>
        <w:t xml:space="preserve"> a known</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drunk driver to get back in his or her car, careen off down</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the road, and possibly kill or injure Indians or non-Indians</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would certainly be detrimental to the health or welfare of </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the </w:t>
      </w:r>
      <w:proofErr w:type="spellStart"/>
      <w:r w:rsidRPr="00512F9B">
        <w:rPr>
          <w:rStyle w:val="markedcontent"/>
          <w:rFonts w:ascii="Times New Roman" w:hAnsi="Times New Roman"/>
          <w:sz w:val="24"/>
          <w:szCs w:val="24"/>
        </w:rPr>
        <w:t>Tribe.”</w:t>
      </w:r>
      <w:r>
        <w:rPr>
          <w:rStyle w:val="markedcontent"/>
          <w:rFonts w:ascii="Times New Roman" w:hAnsi="Times New Roman"/>
          <w:sz w:val="24"/>
          <w:szCs w:val="24"/>
        </w:rPr>
        <w:t>’</w:t>
      </w:r>
      <w:r w:rsidRPr="00512F9B">
        <w:rPr>
          <w:rStyle w:val="markedcontent"/>
          <w:rFonts w:ascii="Times New Roman" w:hAnsi="Times New Roman"/>
          <w:sz w:val="24"/>
          <w:szCs w:val="24"/>
        </w:rPr>
        <w:t>State</w:t>
      </w:r>
      <w:proofErr w:type="spellEnd"/>
      <w:r w:rsidRPr="00512F9B">
        <w:rPr>
          <w:rStyle w:val="markedcontent"/>
          <w:rFonts w:ascii="Times New Roman" w:hAnsi="Times New Roman"/>
          <w:sz w:val="24"/>
          <w:szCs w:val="24"/>
        </w:rPr>
        <w:t xml:space="preserve"> v. Schmuck, 121 Wash. 2d 373, 391, 850 P. 2d 1332, 1341, cert. denied, 510 U. S. 931 (1993).</w:t>
      </w:r>
    </w:p>
    <w:p w14:paraId="733D9A6B" w14:textId="77777777" w:rsidR="00382F02" w:rsidRDefault="00382F02" w:rsidP="00382F02">
      <w:pPr>
        <w:ind w:left="720"/>
        <w:rPr>
          <w:rStyle w:val="markedcontent"/>
          <w:rFonts w:ascii="Times New Roman" w:hAnsi="Times New Roman"/>
          <w:sz w:val="24"/>
          <w:szCs w:val="24"/>
        </w:rPr>
      </w:pPr>
      <w:r>
        <w:rPr>
          <w:rStyle w:val="markedcontent"/>
          <w:rFonts w:ascii="Times New Roman" w:hAnsi="Times New Roman"/>
          <w:sz w:val="24"/>
          <w:szCs w:val="24"/>
        </w:rPr>
        <w:lastRenderedPageBreak/>
        <w:t>***</w:t>
      </w:r>
    </w:p>
    <w:p w14:paraId="1D59FB60" w14:textId="77777777" w:rsidR="00382F02" w:rsidRDefault="00382F02" w:rsidP="00382F02">
      <w:pPr>
        <w:ind w:left="720"/>
        <w:rPr>
          <w:rStyle w:val="markedcontent"/>
          <w:rFonts w:ascii="Times New Roman" w:hAnsi="Times New Roman"/>
          <w:sz w:val="24"/>
          <w:szCs w:val="24"/>
        </w:rPr>
      </w:pPr>
      <w:r w:rsidRPr="00512F9B">
        <w:rPr>
          <w:rStyle w:val="markedcontent"/>
          <w:rFonts w:ascii="Times New Roman" w:hAnsi="Times New Roman"/>
          <w:sz w:val="24"/>
          <w:szCs w:val="24"/>
        </w:rPr>
        <w:t>Finally, we have doubts about the workability of the</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standards that the Ninth Circuit set out. Those standards require tribal officers first to determine whether a suspect</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is non-Indian and, if so, allow temporary detention only if the violation of law is </w:t>
      </w:r>
      <w:r>
        <w:rPr>
          <w:rStyle w:val="markedcontent"/>
          <w:rFonts w:ascii="Times New Roman" w:hAnsi="Times New Roman"/>
          <w:sz w:val="24"/>
          <w:szCs w:val="24"/>
        </w:rPr>
        <w:t>‘</w:t>
      </w:r>
      <w:r w:rsidRPr="00512F9B">
        <w:rPr>
          <w:rStyle w:val="markedcontent"/>
          <w:rFonts w:ascii="Times New Roman" w:hAnsi="Times New Roman"/>
          <w:sz w:val="24"/>
          <w:szCs w:val="24"/>
        </w:rPr>
        <w:t>apparent.</w:t>
      </w:r>
      <w:r>
        <w:rPr>
          <w:rStyle w:val="markedcontent"/>
          <w:rFonts w:ascii="Times New Roman" w:hAnsi="Times New Roman"/>
          <w:sz w:val="24"/>
          <w:szCs w:val="24"/>
        </w:rPr>
        <w:t>’</w:t>
      </w:r>
      <w:r w:rsidRPr="00512F9B">
        <w:rPr>
          <w:rStyle w:val="markedcontent"/>
          <w:rFonts w:ascii="Times New Roman" w:hAnsi="Times New Roman"/>
          <w:sz w:val="24"/>
          <w:szCs w:val="24"/>
        </w:rPr>
        <w:t xml:space="preserve"> 919 F. 3d, at 1142. The first requirement, even if limited to asking a single question, would produce an incentive to lie. The second requirement—that the violation of law be </w:t>
      </w:r>
      <w:r>
        <w:rPr>
          <w:rStyle w:val="markedcontent"/>
          <w:rFonts w:ascii="Times New Roman" w:hAnsi="Times New Roman"/>
          <w:sz w:val="24"/>
          <w:szCs w:val="24"/>
        </w:rPr>
        <w:t>‘</w:t>
      </w:r>
      <w:r w:rsidRPr="00512F9B">
        <w:rPr>
          <w:rStyle w:val="markedcontent"/>
          <w:rFonts w:ascii="Times New Roman" w:hAnsi="Times New Roman"/>
          <w:sz w:val="24"/>
          <w:szCs w:val="24"/>
        </w:rPr>
        <w:t>apparent</w:t>
      </w:r>
      <w:r>
        <w:rPr>
          <w:rStyle w:val="markedcontent"/>
          <w:rFonts w:ascii="Times New Roman" w:hAnsi="Times New Roman"/>
          <w:sz w:val="24"/>
          <w:szCs w:val="24"/>
        </w:rPr>
        <w:t>’</w:t>
      </w:r>
      <w:r w:rsidRPr="00512F9B">
        <w:rPr>
          <w:rStyle w:val="markedcontent"/>
          <w:rFonts w:ascii="Times New Roman" w:hAnsi="Times New Roman"/>
          <w:sz w:val="24"/>
          <w:szCs w:val="24"/>
        </w:rPr>
        <w:t>—introduces</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a new standard into search and seizure law.</w:t>
      </w:r>
      <w:r>
        <w:rPr>
          <w:rStyle w:val="markedcontent"/>
          <w:rFonts w:ascii="Times New Roman" w:hAnsi="Times New Roman"/>
          <w:sz w:val="24"/>
          <w:szCs w:val="24"/>
        </w:rPr>
        <w:t xml:space="preserve"> </w:t>
      </w:r>
      <w:r w:rsidRPr="005E6136">
        <w:rPr>
          <w:rStyle w:val="markedcontent"/>
          <w:rFonts w:ascii="Times New Roman" w:hAnsi="Times New Roman"/>
          <w:sz w:val="24"/>
          <w:szCs w:val="24"/>
        </w:rPr>
        <w:t>Whether, or how, that standard would be met is not obvious.</w:t>
      </w:r>
      <w:r>
        <w:rPr>
          <w:rStyle w:val="markedcontent"/>
          <w:rFonts w:ascii="Times New Roman" w:hAnsi="Times New Roman"/>
          <w:sz w:val="24"/>
          <w:szCs w:val="24"/>
        </w:rPr>
        <w:t xml:space="preserve">” </w:t>
      </w:r>
      <w:hyperlink r:id="rId250" w:history="1">
        <w:r w:rsidRPr="00843DBD">
          <w:rPr>
            <w:rStyle w:val="Hyperlink"/>
            <w:sz w:val="24"/>
            <w:szCs w:val="24"/>
          </w:rPr>
          <w:t>https://www.supremecourt.gov/opinions/20pdf/19-1414_8m58.pdf</w:t>
        </w:r>
      </w:hyperlink>
      <w:r>
        <w:rPr>
          <w:rStyle w:val="markedcontent"/>
          <w:rFonts w:ascii="Times New Roman" w:hAnsi="Times New Roman"/>
          <w:sz w:val="24"/>
          <w:szCs w:val="24"/>
        </w:rPr>
        <w:t xml:space="preserve"> </w:t>
      </w:r>
    </w:p>
    <w:p w14:paraId="49633F0D" w14:textId="77777777" w:rsidR="00382F02" w:rsidRPr="001B07D0" w:rsidRDefault="00382F02" w:rsidP="00382F02">
      <w:pPr>
        <w:pStyle w:val="NoSpacing"/>
        <w:rPr>
          <w:rStyle w:val="markedcontent"/>
          <w:rFonts w:ascii="Times New Roman" w:hAnsi="Times New Roman"/>
          <w:b/>
          <w:bCs/>
          <w:sz w:val="24"/>
          <w:szCs w:val="24"/>
        </w:rPr>
      </w:pPr>
      <w:r w:rsidRPr="001B07D0">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Very helpful to have a unanimous opinion upholding a search and focused on the safety of the officer and the community he protects. </w:t>
      </w:r>
    </w:p>
    <w:p w14:paraId="66A7C0E1" w14:textId="77777777" w:rsidR="00382F02" w:rsidRDefault="00382F02" w:rsidP="002B1283">
      <w:pPr>
        <w:rPr>
          <w:rFonts w:ascii="Arial Black" w:hAnsi="Arial Black"/>
          <w:b/>
          <w:sz w:val="24"/>
          <w:szCs w:val="24"/>
        </w:rPr>
      </w:pPr>
    </w:p>
    <w:p w14:paraId="472A5B54" w14:textId="77777777" w:rsidR="00A82898" w:rsidRDefault="00A82898" w:rsidP="002B1283">
      <w:pPr>
        <w:rPr>
          <w:rFonts w:ascii="Arial Black" w:hAnsi="Arial Black"/>
          <w:b/>
          <w:sz w:val="24"/>
          <w:szCs w:val="24"/>
        </w:rPr>
      </w:pPr>
    </w:p>
    <w:p w14:paraId="4DD4B24A" w14:textId="6F05A8D1" w:rsidR="0077274E" w:rsidRDefault="0077274E" w:rsidP="002B1283">
      <w:pPr>
        <w:rPr>
          <w:rFonts w:ascii="Arial Black" w:hAnsi="Arial Black"/>
          <w:b/>
          <w:sz w:val="24"/>
          <w:szCs w:val="24"/>
        </w:rPr>
      </w:pPr>
      <w:r>
        <w:rPr>
          <w:rFonts w:ascii="Arial Black" w:hAnsi="Arial Black"/>
          <w:b/>
          <w:sz w:val="24"/>
          <w:szCs w:val="24"/>
        </w:rPr>
        <w:t>1-78</w:t>
      </w:r>
    </w:p>
    <w:p w14:paraId="22CE8643" w14:textId="77777777" w:rsidR="0077274E" w:rsidRPr="0069099B" w:rsidRDefault="0077274E" w:rsidP="0077274E">
      <w:pPr>
        <w:pStyle w:val="Heading1"/>
        <w:rPr>
          <w:rFonts w:ascii="Arial Black" w:hAnsi="Arial Black"/>
          <w:sz w:val="28"/>
          <w:szCs w:val="28"/>
        </w:rPr>
      </w:pPr>
      <w:r>
        <w:rPr>
          <w:rFonts w:ascii="Arial Black" w:hAnsi="Arial Black"/>
          <w:sz w:val="28"/>
          <w:szCs w:val="28"/>
        </w:rPr>
        <w:t>FL: FATAL MVA I-95 – PD SEIZED PHONE PERSON TAKING PHOTOS - $1,000 JURY VERDICT – IMMUNE FALSE ARREST</w:t>
      </w:r>
    </w:p>
    <w:p w14:paraId="68018703" w14:textId="77777777" w:rsidR="0077274E" w:rsidRPr="008C6D29" w:rsidRDefault="0077274E" w:rsidP="0077274E">
      <w:pPr>
        <w:pStyle w:val="NoSpacing"/>
        <w:rPr>
          <w:rFonts w:ascii="Times New Roman" w:hAnsi="Times New Roman"/>
          <w:sz w:val="24"/>
          <w:szCs w:val="24"/>
        </w:rPr>
      </w:pPr>
      <w:r>
        <w:rPr>
          <w:rFonts w:ascii="Times New Roman" w:hAnsi="Times New Roman"/>
          <w:sz w:val="24"/>
          <w:szCs w:val="24"/>
        </w:rPr>
        <w:t xml:space="preserve">On April 20, 2021 </w:t>
      </w:r>
      <w:r w:rsidRPr="0069099B">
        <w:rPr>
          <w:rFonts w:ascii="Times New Roman" w:hAnsi="Times New Roman"/>
          <w:sz w:val="24"/>
          <w:szCs w:val="24"/>
          <w:u w:val="single"/>
        </w:rPr>
        <w:t>in James P. Crocker v. Deputy Sheriff Steve E. Beatty, Martin County Sheriff’s Office, in his individual capacity</w:t>
      </w:r>
      <w:r>
        <w:rPr>
          <w:rFonts w:ascii="Times New Roman" w:hAnsi="Times New Roman"/>
          <w:sz w:val="24"/>
          <w:szCs w:val="24"/>
        </w:rPr>
        <w:t>, the U.S. Court of Appeals for the 11</w:t>
      </w:r>
      <w:r w:rsidRPr="0069099B">
        <w:rPr>
          <w:rFonts w:ascii="Times New Roman" w:hAnsi="Times New Roman"/>
          <w:sz w:val="24"/>
          <w:szCs w:val="24"/>
          <w:vertAlign w:val="superscript"/>
        </w:rPr>
        <w:t>th</w:t>
      </w:r>
      <w:r>
        <w:rPr>
          <w:rFonts w:ascii="Times New Roman" w:hAnsi="Times New Roman"/>
          <w:sz w:val="24"/>
          <w:szCs w:val="24"/>
        </w:rPr>
        <w:t xml:space="preserve"> Circuit (Atlanta, GA) held (2 to 1) that the police officer enjoys immunity from false arrest since he had parked his car on shoulder of I-95 (a “limited access” highway) and refused to leave the scene until his cell phone was returned.  The Court noted: “</w:t>
      </w:r>
      <w:r w:rsidRPr="008C6D29">
        <w:rPr>
          <w:rFonts w:ascii="Times New Roman" w:hAnsi="Times New Roman"/>
          <w:sz w:val="24"/>
          <w:szCs w:val="24"/>
        </w:rPr>
        <w:t>In his affidavit, Crocker</w:t>
      </w:r>
      <w:r>
        <w:rPr>
          <w:rFonts w:ascii="Times New Roman" w:hAnsi="Times New Roman"/>
          <w:sz w:val="24"/>
          <w:szCs w:val="24"/>
        </w:rPr>
        <w:t xml:space="preserve"> s</w:t>
      </w:r>
      <w:r w:rsidRPr="008C6D29">
        <w:rPr>
          <w:rFonts w:ascii="Times New Roman" w:hAnsi="Times New Roman"/>
          <w:sz w:val="24"/>
          <w:szCs w:val="24"/>
        </w:rPr>
        <w:t xml:space="preserve">aid that he stood in the median </w:t>
      </w:r>
      <w:r>
        <w:rPr>
          <w:rFonts w:ascii="Times New Roman" w:hAnsi="Times New Roman"/>
          <w:sz w:val="24"/>
          <w:szCs w:val="24"/>
        </w:rPr>
        <w:t>‘</w:t>
      </w:r>
      <w:r w:rsidRPr="008C6D29">
        <w:rPr>
          <w:rFonts w:ascii="Times New Roman" w:hAnsi="Times New Roman"/>
          <w:sz w:val="24"/>
          <w:szCs w:val="24"/>
        </w:rPr>
        <w:t>taking photographs and recording video . . . of the crashed vehicle, the first responders and the jaws of life.</w:t>
      </w:r>
      <w:r>
        <w:rPr>
          <w:rFonts w:ascii="Times New Roman" w:hAnsi="Times New Roman"/>
          <w:sz w:val="24"/>
          <w:szCs w:val="24"/>
        </w:rPr>
        <w:t>’</w:t>
      </w:r>
      <w:r w:rsidRPr="008C6D29">
        <w:rPr>
          <w:rFonts w:ascii="Times New Roman" w:hAnsi="Times New Roman"/>
          <w:sz w:val="24"/>
          <w:szCs w:val="24"/>
        </w:rPr>
        <w:t xml:space="preserve"> Asked in his deposition, </w:t>
      </w:r>
      <w:r>
        <w:rPr>
          <w:rFonts w:ascii="Times New Roman" w:hAnsi="Times New Roman"/>
          <w:sz w:val="24"/>
          <w:szCs w:val="24"/>
        </w:rPr>
        <w:t>‘</w:t>
      </w:r>
      <w:r w:rsidRPr="008C6D29">
        <w:rPr>
          <w:rFonts w:ascii="Times New Roman" w:hAnsi="Times New Roman"/>
          <w:sz w:val="24"/>
          <w:szCs w:val="24"/>
        </w:rPr>
        <w:t>What were you taking pictures of?</w:t>
      </w:r>
      <w:r>
        <w:rPr>
          <w:rFonts w:ascii="Times New Roman" w:hAnsi="Times New Roman"/>
          <w:sz w:val="24"/>
          <w:szCs w:val="24"/>
        </w:rPr>
        <w:t>’</w:t>
      </w:r>
      <w:r w:rsidRPr="008C6D29">
        <w:rPr>
          <w:rFonts w:ascii="Times New Roman" w:hAnsi="Times New Roman"/>
          <w:sz w:val="24"/>
          <w:szCs w:val="24"/>
        </w:rPr>
        <w:t xml:space="preserve"> Crocker replied, </w:t>
      </w:r>
      <w:r>
        <w:rPr>
          <w:rFonts w:ascii="Times New Roman" w:hAnsi="Times New Roman"/>
          <w:sz w:val="24"/>
          <w:szCs w:val="24"/>
        </w:rPr>
        <w:t>‘</w:t>
      </w:r>
      <w:r w:rsidRPr="008C6D29">
        <w:rPr>
          <w:rFonts w:ascii="Times New Roman" w:hAnsi="Times New Roman"/>
          <w:sz w:val="24"/>
          <w:szCs w:val="24"/>
        </w:rPr>
        <w:t>The overall scene, overturned vehicle, firemen.</w:t>
      </w:r>
      <w:r>
        <w:rPr>
          <w:rFonts w:ascii="Times New Roman" w:hAnsi="Times New Roman"/>
          <w:sz w:val="24"/>
          <w:szCs w:val="24"/>
        </w:rPr>
        <w:t xml:space="preserve">’ </w:t>
      </w:r>
      <w:r w:rsidRPr="008C6D29">
        <w:rPr>
          <w:rFonts w:ascii="Times New Roman" w:hAnsi="Times New Roman"/>
          <w:sz w:val="24"/>
          <w:szCs w:val="24"/>
        </w:rPr>
        <w:t xml:space="preserve">And when asked if he had </w:t>
      </w:r>
      <w:r>
        <w:rPr>
          <w:rFonts w:ascii="Times New Roman" w:hAnsi="Times New Roman"/>
          <w:sz w:val="24"/>
          <w:szCs w:val="24"/>
        </w:rPr>
        <w:t>‘</w:t>
      </w:r>
      <w:r w:rsidRPr="008C6D29">
        <w:rPr>
          <w:rFonts w:ascii="Times New Roman" w:hAnsi="Times New Roman"/>
          <w:sz w:val="24"/>
          <w:szCs w:val="24"/>
        </w:rPr>
        <w:t>a specific reason</w:t>
      </w:r>
      <w:r>
        <w:rPr>
          <w:rFonts w:ascii="Times New Roman" w:hAnsi="Times New Roman"/>
          <w:sz w:val="24"/>
          <w:szCs w:val="24"/>
        </w:rPr>
        <w:t>’</w:t>
      </w:r>
      <w:r w:rsidRPr="008C6D29">
        <w:rPr>
          <w:rFonts w:ascii="Times New Roman" w:hAnsi="Times New Roman"/>
          <w:sz w:val="24"/>
          <w:szCs w:val="24"/>
        </w:rPr>
        <w:t xml:space="preserve"> for taking pictures of the accident scene, Crocker said: </w:t>
      </w:r>
      <w:r>
        <w:rPr>
          <w:rFonts w:ascii="Times New Roman" w:hAnsi="Times New Roman"/>
          <w:sz w:val="24"/>
          <w:szCs w:val="24"/>
        </w:rPr>
        <w:t>‘</w:t>
      </w:r>
      <w:r w:rsidRPr="008C6D29">
        <w:rPr>
          <w:rFonts w:ascii="Times New Roman" w:hAnsi="Times New Roman"/>
          <w:sz w:val="24"/>
          <w:szCs w:val="24"/>
        </w:rPr>
        <w:t>I really didn’t have a clear and present agenda. I do remember seeing beer bottles laying there and I do remember photographing the beer bottles.</w:t>
      </w:r>
      <w:r>
        <w:rPr>
          <w:rFonts w:ascii="Times New Roman" w:hAnsi="Times New Roman"/>
          <w:sz w:val="24"/>
          <w:szCs w:val="24"/>
        </w:rPr>
        <w:t>’”</w:t>
      </w:r>
    </w:p>
    <w:p w14:paraId="1DA573A8" w14:textId="77777777" w:rsidR="0077274E" w:rsidRPr="008C6D29" w:rsidRDefault="0077274E" w:rsidP="0077274E">
      <w:pPr>
        <w:pStyle w:val="NoSpacing"/>
        <w:rPr>
          <w:rFonts w:ascii="Times New Roman" w:hAnsi="Times New Roman"/>
          <w:sz w:val="24"/>
          <w:szCs w:val="24"/>
        </w:rPr>
      </w:pPr>
    </w:p>
    <w:p w14:paraId="6F52A748" w14:textId="77777777" w:rsidR="0077274E" w:rsidRDefault="0077274E" w:rsidP="0077274E">
      <w:pPr>
        <w:pStyle w:val="NoSpacing"/>
        <w:ind w:left="720"/>
        <w:rPr>
          <w:rFonts w:ascii="Times New Roman" w:hAnsi="Times New Roman"/>
          <w:sz w:val="24"/>
          <w:szCs w:val="24"/>
        </w:rPr>
      </w:pPr>
      <w:r>
        <w:rPr>
          <w:rFonts w:ascii="Times New Roman" w:hAnsi="Times New Roman"/>
          <w:sz w:val="24"/>
          <w:szCs w:val="24"/>
        </w:rPr>
        <w:t xml:space="preserve">“[W]e </w:t>
      </w:r>
      <w:r w:rsidRPr="005C18FF">
        <w:rPr>
          <w:rFonts w:ascii="Times New Roman" w:hAnsi="Times New Roman"/>
          <w:sz w:val="24"/>
          <w:szCs w:val="24"/>
        </w:rPr>
        <w:t>hold (1) that Crocker’s First Amendment claim is barred by qualified immunity, (2) that his false-arrest claims fail because Beatty had probable cause to arrest him, and (3) that his excessive-force claim fails on the merits and, in any event, is barred by qualified immunity.</w:t>
      </w:r>
    </w:p>
    <w:p w14:paraId="50E85849" w14:textId="77777777" w:rsidR="0077274E" w:rsidRDefault="0077274E" w:rsidP="0077274E">
      <w:pPr>
        <w:pStyle w:val="NoSpacing"/>
        <w:ind w:left="720"/>
        <w:rPr>
          <w:rFonts w:ascii="Times New Roman" w:hAnsi="Times New Roman"/>
          <w:sz w:val="24"/>
          <w:szCs w:val="24"/>
        </w:rPr>
      </w:pPr>
    </w:p>
    <w:p w14:paraId="7C8FCE58" w14:textId="77777777" w:rsidR="0077274E" w:rsidRDefault="0077274E" w:rsidP="0077274E">
      <w:pPr>
        <w:pStyle w:val="NoSpacing"/>
        <w:ind w:left="720"/>
        <w:rPr>
          <w:rFonts w:ascii="Times New Roman" w:hAnsi="Times New Roman"/>
          <w:sz w:val="24"/>
          <w:szCs w:val="24"/>
        </w:rPr>
      </w:pPr>
      <w:r>
        <w:rPr>
          <w:rFonts w:ascii="Times New Roman" w:hAnsi="Times New Roman"/>
          <w:sz w:val="24"/>
          <w:szCs w:val="24"/>
        </w:rPr>
        <w:t>***</w:t>
      </w:r>
    </w:p>
    <w:p w14:paraId="33EC0067" w14:textId="77777777" w:rsidR="0077274E" w:rsidRDefault="0077274E" w:rsidP="0077274E">
      <w:pPr>
        <w:pStyle w:val="NoSpacing"/>
        <w:ind w:left="720"/>
        <w:rPr>
          <w:rFonts w:ascii="Times New Roman" w:hAnsi="Times New Roman"/>
          <w:sz w:val="24"/>
          <w:szCs w:val="24"/>
        </w:rPr>
      </w:pPr>
      <w:r w:rsidRPr="009771AF">
        <w:rPr>
          <w:rFonts w:ascii="Times New Roman" w:hAnsi="Times New Roman"/>
          <w:sz w:val="24"/>
          <w:szCs w:val="24"/>
        </w:rPr>
        <w:t>Because Crocker’s car was parked on the shoulder of I-95, a “limited access facility,” the district court held that Beatty had probable cause to arrest him. And although Crocker might initially have been covered by the Good Samaritan exception, the court held that he no longer qualified by the time he encountered Beatty, at which point he was standing 40–50 feet away from the crash scene and merely observing it. We agree with the district court that Officer Beatty had probable cause to arrest Crocker.</w:t>
      </w:r>
      <w:r>
        <w:rPr>
          <w:rFonts w:ascii="Times New Roman" w:hAnsi="Times New Roman"/>
          <w:sz w:val="24"/>
          <w:szCs w:val="24"/>
        </w:rPr>
        <w:t>”</w:t>
      </w:r>
    </w:p>
    <w:p w14:paraId="7FD841C3" w14:textId="77777777" w:rsidR="0077274E" w:rsidRDefault="0077274E" w:rsidP="0077274E">
      <w:pPr>
        <w:pStyle w:val="NoSpacing"/>
        <w:ind w:firstLine="720"/>
        <w:rPr>
          <w:rFonts w:ascii="Times New Roman" w:hAnsi="Times New Roman"/>
          <w:sz w:val="24"/>
          <w:szCs w:val="24"/>
        </w:rPr>
      </w:pPr>
      <w:hyperlink r:id="rId251" w:history="1">
        <w:r w:rsidRPr="00E10E69">
          <w:rPr>
            <w:rStyle w:val="Hyperlink"/>
            <w:sz w:val="24"/>
            <w:szCs w:val="24"/>
          </w:rPr>
          <w:t>https://media.ca11.uscourts.gov/opinions/pub/files/201814682.pdf</w:t>
        </w:r>
      </w:hyperlink>
      <w:r>
        <w:rPr>
          <w:rFonts w:ascii="Times New Roman" w:hAnsi="Times New Roman"/>
          <w:sz w:val="24"/>
          <w:szCs w:val="24"/>
        </w:rPr>
        <w:t xml:space="preserve"> </w:t>
      </w:r>
    </w:p>
    <w:p w14:paraId="2E919A05" w14:textId="6DF869D9" w:rsidR="0077274E" w:rsidRDefault="0077274E" w:rsidP="002B1283">
      <w:pPr>
        <w:rPr>
          <w:rFonts w:ascii="Arial Black" w:hAnsi="Arial Black"/>
          <w:b/>
          <w:sz w:val="24"/>
          <w:szCs w:val="24"/>
        </w:rPr>
      </w:pPr>
    </w:p>
    <w:p w14:paraId="4EEB03C7" w14:textId="77777777" w:rsidR="0077274E" w:rsidRDefault="0077274E" w:rsidP="0077274E">
      <w:pPr>
        <w:pStyle w:val="NoSpacing"/>
        <w:rPr>
          <w:rFonts w:ascii="Times New Roman" w:hAnsi="Times New Roman"/>
          <w:sz w:val="24"/>
          <w:szCs w:val="24"/>
        </w:rPr>
      </w:pPr>
      <w:r>
        <w:rPr>
          <w:rFonts w:ascii="Times New Roman" w:hAnsi="Times New Roman"/>
          <w:sz w:val="24"/>
          <w:szCs w:val="24"/>
        </w:rPr>
        <w:t>Note:  The officer is still liable, however, for jury verdict (Oct. 3, 2018) of $1000 compensatory damages for seizing the cell phone, which the 11</w:t>
      </w:r>
      <w:r w:rsidRPr="005C18FF">
        <w:rPr>
          <w:rFonts w:ascii="Times New Roman" w:hAnsi="Times New Roman"/>
          <w:sz w:val="24"/>
          <w:szCs w:val="24"/>
          <w:vertAlign w:val="superscript"/>
        </w:rPr>
        <w:t>th</w:t>
      </w:r>
      <w:r>
        <w:rPr>
          <w:rFonts w:ascii="Times New Roman" w:hAnsi="Times New Roman"/>
          <w:sz w:val="24"/>
          <w:szCs w:val="24"/>
        </w:rPr>
        <w:t xml:space="preserve"> Circuit in decision (April 2, 2018) held was a violation of 4</w:t>
      </w:r>
      <w:r w:rsidRPr="005C18FF">
        <w:rPr>
          <w:rFonts w:ascii="Times New Roman" w:hAnsi="Times New Roman"/>
          <w:sz w:val="24"/>
          <w:szCs w:val="24"/>
          <w:vertAlign w:val="superscript"/>
        </w:rPr>
        <w:t>th</w:t>
      </w:r>
      <w:r>
        <w:rPr>
          <w:rFonts w:ascii="Times New Roman" w:hAnsi="Times New Roman"/>
          <w:sz w:val="24"/>
          <w:szCs w:val="24"/>
        </w:rPr>
        <w:t xml:space="preserve"> Amendment.  </w:t>
      </w:r>
    </w:p>
    <w:p w14:paraId="28FCC621" w14:textId="77777777" w:rsidR="0077274E" w:rsidRDefault="0077274E" w:rsidP="0077274E">
      <w:pPr>
        <w:pStyle w:val="NoSpacing"/>
        <w:ind w:firstLine="720"/>
        <w:rPr>
          <w:rFonts w:ascii="Times New Roman" w:hAnsi="Times New Roman"/>
          <w:sz w:val="24"/>
          <w:szCs w:val="24"/>
        </w:rPr>
      </w:pPr>
    </w:p>
    <w:p w14:paraId="0449BBDB" w14:textId="77777777" w:rsidR="0077274E" w:rsidRPr="00A30885" w:rsidRDefault="0077274E" w:rsidP="0077274E">
      <w:pPr>
        <w:pStyle w:val="NoSpacing"/>
        <w:ind w:left="720" w:firstLine="60"/>
        <w:rPr>
          <w:rFonts w:ascii="Times New Roman" w:hAnsi="Times New Roman"/>
          <w:sz w:val="24"/>
          <w:szCs w:val="24"/>
        </w:rPr>
      </w:pPr>
      <w:r>
        <w:rPr>
          <w:rFonts w:ascii="Times New Roman" w:hAnsi="Times New Roman"/>
          <w:sz w:val="24"/>
          <w:szCs w:val="24"/>
        </w:rPr>
        <w:t>“</w:t>
      </w:r>
      <w:r w:rsidRPr="000C4BE8">
        <w:rPr>
          <w:rFonts w:ascii="Times New Roman" w:hAnsi="Times New Roman"/>
          <w:sz w:val="24"/>
          <w:szCs w:val="24"/>
        </w:rPr>
        <w:t xml:space="preserve">Crocker, however, </w:t>
      </w:r>
      <w:proofErr w:type="gramStart"/>
      <w:r w:rsidRPr="000C4BE8">
        <w:rPr>
          <w:rFonts w:ascii="Times New Roman" w:hAnsi="Times New Roman"/>
          <w:sz w:val="24"/>
          <w:szCs w:val="24"/>
        </w:rPr>
        <w:t>had no involvement</w:t>
      </w:r>
      <w:proofErr w:type="gramEnd"/>
      <w:r w:rsidRPr="000C4BE8">
        <w:rPr>
          <w:rFonts w:ascii="Times New Roman" w:hAnsi="Times New Roman"/>
          <w:sz w:val="24"/>
          <w:szCs w:val="24"/>
        </w:rPr>
        <w:t xml:space="preserve"> with the car accident that he had photographed. He was merely a curious passerby.</w:t>
      </w:r>
      <w:r>
        <w:rPr>
          <w:rFonts w:ascii="Times New Roman" w:hAnsi="Times New Roman"/>
          <w:sz w:val="24"/>
          <w:szCs w:val="24"/>
        </w:rPr>
        <w:t xml:space="preserve"> </w:t>
      </w:r>
      <w:r w:rsidRPr="00606988">
        <w:rPr>
          <w:rFonts w:ascii="Times New Roman" w:hAnsi="Times New Roman"/>
          <w:sz w:val="24"/>
          <w:szCs w:val="24"/>
        </w:rPr>
        <w:t xml:space="preserve">When Beatty approached Crocker and took his iPhone before speaking, there was no </w:t>
      </w:r>
      <w:r w:rsidRPr="00606988">
        <w:rPr>
          <w:rFonts w:ascii="Times New Roman" w:hAnsi="Times New Roman"/>
          <w:sz w:val="24"/>
          <w:szCs w:val="24"/>
        </w:rPr>
        <w:lastRenderedPageBreak/>
        <w:t xml:space="preserve">indication whatsoever that Crocker </w:t>
      </w:r>
      <w:proofErr w:type="gramStart"/>
      <w:r w:rsidRPr="00606988">
        <w:rPr>
          <w:rFonts w:ascii="Times New Roman" w:hAnsi="Times New Roman"/>
          <w:sz w:val="24"/>
          <w:szCs w:val="24"/>
        </w:rPr>
        <w:t>would have soon deleted</w:t>
      </w:r>
      <w:proofErr w:type="gramEnd"/>
      <w:r w:rsidRPr="00606988">
        <w:rPr>
          <w:rFonts w:ascii="Times New Roman" w:hAnsi="Times New Roman"/>
          <w:sz w:val="24"/>
          <w:szCs w:val="24"/>
        </w:rPr>
        <w:t xml:space="preserve"> the photographs and videos he had just taken the time to capture himself. We conclude that no reasonable law enforcement officer would have believed that the evidence on Crocker’s iPhone was at risk of imminent destruction at the time of the seizure</w:t>
      </w:r>
      <w:r>
        <w:rPr>
          <w:rFonts w:ascii="Times New Roman" w:hAnsi="Times New Roman"/>
          <w:sz w:val="24"/>
          <w:szCs w:val="24"/>
        </w:rPr>
        <w:t xml:space="preserve">…  </w:t>
      </w:r>
      <w:r w:rsidRPr="00606988">
        <w:rPr>
          <w:rFonts w:ascii="Times New Roman" w:hAnsi="Times New Roman"/>
          <w:sz w:val="24"/>
          <w:szCs w:val="24"/>
        </w:rPr>
        <w:t>Under these facts (viewed in the light most favorable to Crocker), we determine that Beatty violated Crocker’s Fourth Amendment rights when he seized the iPhone. We further determine that these rights were clearly established at the time of the seizure such that Beatty is not entitled to qualified immunity.</w:t>
      </w:r>
      <w:r>
        <w:rPr>
          <w:rFonts w:ascii="Times New Roman" w:hAnsi="Times New Roman"/>
          <w:sz w:val="24"/>
          <w:szCs w:val="24"/>
        </w:rPr>
        <w:t xml:space="preserve">” </w:t>
      </w:r>
      <w:hyperlink r:id="rId252" w:history="1">
        <w:r w:rsidRPr="00A30885">
          <w:rPr>
            <w:rStyle w:val="Hyperlink"/>
            <w:sz w:val="24"/>
            <w:szCs w:val="24"/>
          </w:rPr>
          <w:t>https://media.ca11.uscourts.gov/opinions/pub/files/201713526.pdf</w:t>
        </w:r>
      </w:hyperlink>
    </w:p>
    <w:p w14:paraId="6E019CD8" w14:textId="0C0D147D" w:rsidR="0077274E" w:rsidRDefault="0077274E" w:rsidP="002B1283">
      <w:pPr>
        <w:rPr>
          <w:rFonts w:ascii="Arial Black" w:hAnsi="Arial Black"/>
          <w:b/>
          <w:sz w:val="24"/>
          <w:szCs w:val="24"/>
        </w:rPr>
      </w:pPr>
    </w:p>
    <w:p w14:paraId="2BDF2A27" w14:textId="77777777" w:rsidR="0077274E" w:rsidRPr="00AE31BB" w:rsidRDefault="0077274E" w:rsidP="0077274E">
      <w:pPr>
        <w:pStyle w:val="NoSpacing"/>
        <w:rPr>
          <w:rFonts w:ascii="Times New Roman" w:hAnsi="Times New Roman"/>
          <w:b/>
          <w:bCs/>
          <w:sz w:val="24"/>
          <w:szCs w:val="24"/>
        </w:rPr>
      </w:pPr>
      <w:r w:rsidRPr="00AE31BB">
        <w:rPr>
          <w:rFonts w:ascii="Times New Roman" w:hAnsi="Times New Roman"/>
          <w:b/>
          <w:bCs/>
          <w:sz w:val="24"/>
          <w:szCs w:val="24"/>
        </w:rPr>
        <w:t>Legal Lesson Learned:</w:t>
      </w:r>
      <w:r>
        <w:rPr>
          <w:rFonts w:ascii="Times New Roman" w:hAnsi="Times New Roman"/>
          <w:b/>
          <w:bCs/>
          <w:sz w:val="24"/>
          <w:szCs w:val="24"/>
        </w:rPr>
        <w:t xml:space="preserve"> Seizing a by-standers cell phone is violation of 4</w:t>
      </w:r>
      <w:r w:rsidRPr="00AE31BB">
        <w:rPr>
          <w:rFonts w:ascii="Times New Roman" w:hAnsi="Times New Roman"/>
          <w:b/>
          <w:bCs/>
          <w:sz w:val="24"/>
          <w:szCs w:val="24"/>
          <w:vertAlign w:val="superscript"/>
        </w:rPr>
        <w:t>th</w:t>
      </w:r>
      <w:r>
        <w:rPr>
          <w:rFonts w:ascii="Times New Roman" w:hAnsi="Times New Roman"/>
          <w:b/>
          <w:bCs/>
          <w:sz w:val="24"/>
          <w:szCs w:val="24"/>
        </w:rPr>
        <w:t xml:space="preserve"> Amendment unless there is reasonable </w:t>
      </w:r>
      <w:proofErr w:type="gramStart"/>
      <w:r>
        <w:rPr>
          <w:rFonts w:ascii="Times New Roman" w:hAnsi="Times New Roman"/>
          <w:b/>
          <w:bCs/>
          <w:sz w:val="24"/>
          <w:szCs w:val="24"/>
        </w:rPr>
        <w:t>believe</w:t>
      </w:r>
      <w:proofErr w:type="gramEnd"/>
      <w:r>
        <w:rPr>
          <w:rFonts w:ascii="Times New Roman" w:hAnsi="Times New Roman"/>
          <w:b/>
          <w:bCs/>
          <w:sz w:val="24"/>
          <w:szCs w:val="24"/>
        </w:rPr>
        <w:t xml:space="preserve"> the cell phone photos or videos contain evidence of crime. </w:t>
      </w:r>
    </w:p>
    <w:p w14:paraId="2B60E985" w14:textId="77777777" w:rsidR="0077274E" w:rsidRPr="00A30885" w:rsidRDefault="0077274E" w:rsidP="0077274E">
      <w:pPr>
        <w:pStyle w:val="Heading1"/>
        <w:ind w:left="720"/>
        <w:rPr>
          <w:b w:val="0"/>
          <w:bCs w:val="0"/>
          <w:sz w:val="24"/>
          <w:szCs w:val="24"/>
        </w:rPr>
      </w:pPr>
      <w:r w:rsidRPr="00A30885">
        <w:rPr>
          <w:b w:val="0"/>
          <w:bCs w:val="0"/>
          <w:sz w:val="24"/>
          <w:szCs w:val="24"/>
        </w:rPr>
        <w:t>Note:  See 11th Circuit decision in Smith v. City of Cumming (May 30, 2020):</w:t>
      </w:r>
      <w:hyperlink r:id="rId253" w:history="1">
        <w:r w:rsidRPr="00A30885">
          <w:rPr>
            <w:rStyle w:val="Hyperlink"/>
            <w:sz w:val="24"/>
            <w:szCs w:val="24"/>
          </w:rPr>
          <w:t>https://casetext.com/case/smith-v-city-of-</w:t>
        </w:r>
        <w:proofErr w:type="spellStart"/>
        <w:r w:rsidRPr="00A30885">
          <w:rPr>
            <w:rStyle w:val="Hyperlink"/>
            <w:sz w:val="24"/>
            <w:szCs w:val="24"/>
          </w:rPr>
          <w:t>cumming</w:t>
        </w:r>
        <w:proofErr w:type="spellEnd"/>
      </w:hyperlink>
      <w:r w:rsidRPr="00A30885">
        <w:rPr>
          <w:b w:val="0"/>
          <w:bCs w:val="0"/>
          <w:sz w:val="24"/>
          <w:szCs w:val="24"/>
        </w:rPr>
        <w:t xml:space="preserve"> </w:t>
      </w:r>
    </w:p>
    <w:p w14:paraId="3FEB5481" w14:textId="77777777" w:rsidR="0077274E" w:rsidRPr="00D91F21" w:rsidRDefault="0077274E" w:rsidP="0077274E">
      <w:pPr>
        <w:pStyle w:val="NoSpacing"/>
        <w:ind w:left="720"/>
        <w:rPr>
          <w:rFonts w:ascii="Times New Roman" w:hAnsi="Times New Roman"/>
          <w:sz w:val="24"/>
          <w:szCs w:val="24"/>
        </w:rPr>
      </w:pPr>
      <w:r>
        <w:rPr>
          <w:rFonts w:ascii="Times New Roman" w:hAnsi="Times New Roman"/>
          <w:sz w:val="24"/>
          <w:szCs w:val="24"/>
        </w:rPr>
        <w:t>“</w:t>
      </w:r>
      <w:r w:rsidRPr="00D91F21">
        <w:rPr>
          <w:rFonts w:ascii="Times New Roman" w:hAnsi="Times New Roman"/>
          <w:sz w:val="24"/>
          <w:szCs w:val="24"/>
        </w:rPr>
        <w:t>As to the First Amendment claim under Section 1983, we agree with the Smiths that they had a First Amendment right, subject to reasonable time, manner and place restrictions, to photograph or videotape police conduct</w:t>
      </w:r>
      <w:r>
        <w:rPr>
          <w:rFonts w:ascii="Times New Roman" w:hAnsi="Times New Roman"/>
          <w:sz w:val="24"/>
          <w:szCs w:val="24"/>
        </w:rPr>
        <w:t xml:space="preserve">. </w:t>
      </w:r>
      <w:r w:rsidRPr="00D91F21">
        <w:rPr>
          <w:rFonts w:ascii="Times New Roman" w:hAnsi="Times New Roman"/>
          <w:sz w:val="24"/>
          <w:szCs w:val="24"/>
        </w:rPr>
        <w:t xml:space="preserve">The First Amendment protects the right to gather information about what public officials do on public property, and specifically, a right to record matters of public </w:t>
      </w:r>
      <w:proofErr w:type="gramStart"/>
      <w:r w:rsidRPr="00D91F21">
        <w:rPr>
          <w:rFonts w:ascii="Times New Roman" w:hAnsi="Times New Roman"/>
          <w:sz w:val="24"/>
          <w:szCs w:val="24"/>
        </w:rPr>
        <w:t>interest.</w:t>
      </w:r>
      <w:r>
        <w:rPr>
          <w:rFonts w:ascii="Times New Roman" w:hAnsi="Times New Roman"/>
          <w:sz w:val="24"/>
          <w:szCs w:val="24"/>
        </w:rPr>
        <w:t>”</w:t>
      </w:r>
      <w:proofErr w:type="gramEnd"/>
    </w:p>
    <w:p w14:paraId="4215B3C0" w14:textId="77777777" w:rsidR="0077274E" w:rsidRPr="00A30885" w:rsidRDefault="0077274E" w:rsidP="0077274E">
      <w:pPr>
        <w:pStyle w:val="Heading1"/>
        <w:ind w:left="720"/>
        <w:rPr>
          <w:b w:val="0"/>
          <w:bCs w:val="0"/>
          <w:sz w:val="24"/>
          <w:szCs w:val="24"/>
        </w:rPr>
      </w:pPr>
      <w:r w:rsidRPr="00A30885">
        <w:rPr>
          <w:b w:val="0"/>
          <w:bCs w:val="0"/>
          <w:sz w:val="24"/>
          <w:szCs w:val="24"/>
        </w:rPr>
        <w:t xml:space="preserve">See the Oct. 5, </w:t>
      </w:r>
      <w:proofErr w:type="gramStart"/>
      <w:r w:rsidRPr="00A30885">
        <w:rPr>
          <w:b w:val="0"/>
          <w:bCs w:val="0"/>
          <w:sz w:val="24"/>
          <w:szCs w:val="24"/>
        </w:rPr>
        <w:t>2018</w:t>
      </w:r>
      <w:proofErr w:type="gramEnd"/>
      <w:r w:rsidRPr="00A30885">
        <w:rPr>
          <w:b w:val="0"/>
          <w:bCs w:val="0"/>
          <w:sz w:val="24"/>
          <w:szCs w:val="24"/>
        </w:rPr>
        <w:t xml:space="preserve"> article, “Federal jury finds Martin sheriff's deputy made illegal seizure when taking crash bystander's phone.”</w:t>
      </w:r>
    </w:p>
    <w:p w14:paraId="559DB340" w14:textId="77777777" w:rsidR="0077274E" w:rsidRPr="0041276B" w:rsidRDefault="0077274E" w:rsidP="0077274E">
      <w:pPr>
        <w:ind w:left="720"/>
        <w:rPr>
          <w:rFonts w:ascii="Times New Roman" w:hAnsi="Times New Roman"/>
          <w:b/>
          <w:bCs/>
          <w:sz w:val="24"/>
          <w:szCs w:val="24"/>
        </w:rPr>
      </w:pPr>
      <w:r w:rsidRPr="00606988">
        <w:rPr>
          <w:rFonts w:ascii="Times New Roman" w:hAnsi="Times New Roman"/>
          <w:sz w:val="24"/>
          <w:szCs w:val="24"/>
        </w:rPr>
        <w:t xml:space="preserve">“The jury of six women and one man in U.S. District Court deliberated for only an hour Wednesday before deciding Deputy Steven Beatty, a 29-year veteran of the Martin County Sheriff’s Office, violated county resident James Crocker's civil rights when the deputy grabbed the traffic accident bystander's cellphone saying any photos taken are state’s evidence.”  </w:t>
      </w:r>
      <w:hyperlink r:id="rId254" w:history="1">
        <w:r w:rsidRPr="0041276B">
          <w:rPr>
            <w:rStyle w:val="Hyperlink"/>
            <w:rFonts w:ascii="Times New Roman" w:hAnsi="Times New Roman"/>
            <w:sz w:val="24"/>
            <w:szCs w:val="24"/>
          </w:rPr>
          <w:t>https://www.tcpalm.com/story/news/crime/st-lucie-county/2018/10/05/verdict-deputy-violated-martin-mans-civil-rights/1526605002/</w:t>
        </w:r>
      </w:hyperlink>
    </w:p>
    <w:p w14:paraId="6CD7BF9F" w14:textId="77777777" w:rsidR="0077274E" w:rsidRDefault="0077274E" w:rsidP="002B1283">
      <w:pPr>
        <w:rPr>
          <w:rFonts w:ascii="Arial Black" w:hAnsi="Arial Black"/>
          <w:b/>
          <w:sz w:val="24"/>
          <w:szCs w:val="24"/>
        </w:rPr>
      </w:pPr>
    </w:p>
    <w:p w14:paraId="71FB7BD7" w14:textId="77777777" w:rsidR="0077274E" w:rsidRDefault="0077274E" w:rsidP="002B1283">
      <w:pPr>
        <w:rPr>
          <w:rFonts w:ascii="Arial Black" w:hAnsi="Arial Black"/>
          <w:b/>
          <w:sz w:val="24"/>
          <w:szCs w:val="24"/>
        </w:rPr>
      </w:pPr>
    </w:p>
    <w:p w14:paraId="6B2D18B6" w14:textId="73C89B52" w:rsidR="000915C1" w:rsidRDefault="000915C1"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7</w:t>
      </w:r>
    </w:p>
    <w:p w14:paraId="526953FD" w14:textId="77777777" w:rsidR="000915C1" w:rsidRPr="00B4563E" w:rsidRDefault="000915C1" w:rsidP="000915C1">
      <w:pPr>
        <w:pStyle w:val="NoSpacing"/>
        <w:rPr>
          <w:rFonts w:ascii="Arial Black" w:hAnsi="Arial Black"/>
          <w:sz w:val="28"/>
          <w:szCs w:val="28"/>
        </w:rPr>
      </w:pPr>
      <w:r>
        <w:rPr>
          <w:rFonts w:ascii="Arial Black" w:hAnsi="Arial Black"/>
          <w:sz w:val="28"/>
          <w:szCs w:val="28"/>
        </w:rPr>
        <w:t>U.S. SUP. CT: WOMAN FLEEING POLICE IN CAR – 13 SHOTS BY PD – PLED “NO CONTEST” ASSAULT – CAN ALSO SUE PD</w:t>
      </w:r>
    </w:p>
    <w:p w14:paraId="2DC7F58A" w14:textId="77777777" w:rsidR="000915C1" w:rsidRDefault="000915C1" w:rsidP="000915C1">
      <w:pPr>
        <w:pStyle w:val="NoSpacing"/>
      </w:pPr>
    </w:p>
    <w:p w14:paraId="6B2386CC" w14:textId="77777777" w:rsidR="000915C1" w:rsidRDefault="000915C1" w:rsidP="000915C1">
      <w:pPr>
        <w:pStyle w:val="NoSpacing"/>
        <w:rPr>
          <w:rFonts w:ascii="Times New Roman" w:hAnsi="Times New Roman"/>
          <w:sz w:val="24"/>
          <w:szCs w:val="24"/>
        </w:rPr>
      </w:pPr>
      <w:r w:rsidRPr="00B4563E">
        <w:rPr>
          <w:rFonts w:ascii="Times New Roman" w:hAnsi="Times New Roman"/>
          <w:sz w:val="24"/>
          <w:szCs w:val="24"/>
        </w:rPr>
        <w:t xml:space="preserve">On March 25, 2021, </w:t>
      </w:r>
      <w:r w:rsidRPr="00B4563E">
        <w:rPr>
          <w:rFonts w:ascii="Times New Roman" w:hAnsi="Times New Roman"/>
          <w:sz w:val="24"/>
          <w:szCs w:val="24"/>
          <w:u w:val="single"/>
        </w:rPr>
        <w:t>Roxanne Torres v. Janice Madrid, et al</w:t>
      </w:r>
      <w:r>
        <w:rPr>
          <w:rFonts w:ascii="Times New Roman" w:hAnsi="Times New Roman"/>
          <w:sz w:val="24"/>
          <w:szCs w:val="24"/>
        </w:rPr>
        <w:t>., the U.S. Supreme Court (5 to 3) held that a female who fled from police in vehicle, after being shot in her left arm, who later pled no contest in state court to “assault on a police officer,” “aggravated fleeing from an officer,” and unlawful taking of a motor vehicle,” may still proceed with her lawsuit against federal court against the police officers for violation of 4</w:t>
      </w:r>
      <w:r w:rsidRPr="00CD32CB">
        <w:rPr>
          <w:rFonts w:ascii="Times New Roman" w:hAnsi="Times New Roman"/>
          <w:sz w:val="24"/>
          <w:szCs w:val="24"/>
          <w:vertAlign w:val="superscript"/>
        </w:rPr>
        <w:t>th</w:t>
      </w:r>
      <w:r>
        <w:rPr>
          <w:rFonts w:ascii="Times New Roman" w:hAnsi="Times New Roman"/>
          <w:sz w:val="24"/>
          <w:szCs w:val="24"/>
        </w:rPr>
        <w:t xml:space="preserve"> Amendment protection against unreasonable seizures.   </w:t>
      </w:r>
    </w:p>
    <w:p w14:paraId="4CF72DE1" w14:textId="77777777" w:rsidR="000915C1" w:rsidRDefault="000915C1" w:rsidP="000915C1">
      <w:pPr>
        <w:pStyle w:val="NoSpacing"/>
        <w:rPr>
          <w:rFonts w:ascii="Times New Roman" w:hAnsi="Times New Roman"/>
          <w:sz w:val="24"/>
          <w:szCs w:val="24"/>
        </w:rPr>
      </w:pPr>
    </w:p>
    <w:p w14:paraId="20A3B86D" w14:textId="1DB4DBD3" w:rsidR="000915C1" w:rsidRPr="000915C1" w:rsidRDefault="000915C1" w:rsidP="000915C1">
      <w:pPr>
        <w:pStyle w:val="NoSpacing"/>
        <w:ind w:left="720"/>
        <w:rPr>
          <w:rFonts w:ascii="Times New Roman" w:hAnsi="Times New Roman"/>
          <w:sz w:val="24"/>
          <w:szCs w:val="24"/>
        </w:rPr>
      </w:pPr>
      <w:bookmarkStart w:id="11" w:name="_Hlk68349465"/>
      <w:r>
        <w:rPr>
          <w:rFonts w:ascii="Times New Roman" w:hAnsi="Times New Roman"/>
          <w:sz w:val="24"/>
          <w:szCs w:val="24"/>
        </w:rPr>
        <w:t>MAJORITY: “</w:t>
      </w:r>
      <w:r w:rsidRPr="00B4563E">
        <w:rPr>
          <w:rFonts w:ascii="Times New Roman" w:hAnsi="Times New Roman"/>
          <w:sz w:val="24"/>
          <w:szCs w:val="24"/>
        </w:rPr>
        <w:t>The question in this case is whether a seizure occurs when an officer shoots someone who temporarily eludes capture after the shooting. The answer is yes: The application of physical force to the body of a person with intent to restrain is a seizure, even if</w:t>
      </w:r>
      <w:r>
        <w:rPr>
          <w:rFonts w:ascii="Times New Roman" w:hAnsi="Times New Roman"/>
          <w:sz w:val="24"/>
          <w:szCs w:val="24"/>
        </w:rPr>
        <w:t xml:space="preserve"> </w:t>
      </w:r>
      <w:r w:rsidRPr="00B4563E">
        <w:rPr>
          <w:rFonts w:ascii="Times New Roman" w:hAnsi="Times New Roman"/>
          <w:sz w:val="24"/>
          <w:szCs w:val="24"/>
        </w:rPr>
        <w:t xml:space="preserve">the force </w:t>
      </w:r>
      <w:proofErr w:type="gramStart"/>
      <w:r w:rsidRPr="00B4563E">
        <w:rPr>
          <w:rFonts w:ascii="Times New Roman" w:hAnsi="Times New Roman"/>
          <w:sz w:val="24"/>
          <w:szCs w:val="24"/>
        </w:rPr>
        <w:t>does not succeed</w:t>
      </w:r>
      <w:proofErr w:type="gramEnd"/>
      <w:r w:rsidRPr="00B4563E">
        <w:rPr>
          <w:rFonts w:ascii="Times New Roman" w:hAnsi="Times New Roman"/>
          <w:sz w:val="24"/>
          <w:szCs w:val="24"/>
        </w:rPr>
        <w:t xml:space="preserve"> in subduing the </w:t>
      </w:r>
      <w:proofErr w:type="gramStart"/>
      <w:r w:rsidRPr="00B4563E">
        <w:rPr>
          <w:rFonts w:ascii="Times New Roman" w:hAnsi="Times New Roman"/>
          <w:sz w:val="24"/>
          <w:szCs w:val="24"/>
        </w:rPr>
        <w:t>person.</w:t>
      </w:r>
      <w:r>
        <w:rPr>
          <w:rFonts w:ascii="Times New Roman" w:hAnsi="Times New Roman"/>
          <w:sz w:val="24"/>
          <w:szCs w:val="24"/>
        </w:rPr>
        <w:t>”</w:t>
      </w:r>
      <w:proofErr w:type="gramEnd"/>
      <w:r>
        <w:rPr>
          <w:rFonts w:ascii="Times New Roman" w:hAnsi="Times New Roman"/>
          <w:sz w:val="24"/>
          <w:szCs w:val="24"/>
        </w:rPr>
        <w:t xml:space="preserve"> </w:t>
      </w:r>
      <w:hyperlink r:id="rId255" w:history="1">
        <w:r w:rsidRPr="000915C1">
          <w:rPr>
            <w:rStyle w:val="Hyperlink"/>
            <w:rFonts w:ascii="Times New Roman" w:hAnsi="Times New Roman"/>
            <w:sz w:val="24"/>
            <w:szCs w:val="24"/>
          </w:rPr>
          <w:t>https://www.supremecourt.gov/opinions/20pdf/19-292_21p3.pdf</w:t>
        </w:r>
      </w:hyperlink>
      <w:r w:rsidRPr="000915C1">
        <w:rPr>
          <w:rFonts w:ascii="Times New Roman" w:hAnsi="Times New Roman"/>
          <w:sz w:val="24"/>
          <w:szCs w:val="24"/>
        </w:rPr>
        <w:t xml:space="preserve"> </w:t>
      </w:r>
    </w:p>
    <w:p w14:paraId="627A3A74" w14:textId="77777777" w:rsidR="000915C1" w:rsidRDefault="000915C1" w:rsidP="000915C1">
      <w:pPr>
        <w:pStyle w:val="NoSpacing"/>
        <w:ind w:left="720"/>
        <w:rPr>
          <w:rFonts w:ascii="Times New Roman" w:hAnsi="Times New Roman"/>
          <w:sz w:val="24"/>
          <w:szCs w:val="24"/>
        </w:rPr>
      </w:pPr>
    </w:p>
    <w:p w14:paraId="0621552D" w14:textId="7BFD1A21" w:rsidR="000915C1" w:rsidRDefault="000915C1" w:rsidP="000915C1">
      <w:pPr>
        <w:pStyle w:val="NoSpacing"/>
        <w:ind w:left="720"/>
        <w:rPr>
          <w:rFonts w:ascii="Times New Roman" w:eastAsia="Times New Roman" w:hAnsi="Times New Roman"/>
          <w:b/>
          <w:bCs/>
          <w:sz w:val="24"/>
          <w:szCs w:val="24"/>
        </w:rPr>
      </w:pPr>
      <w:r w:rsidRPr="00D225BD">
        <w:rPr>
          <w:rFonts w:ascii="Times New Roman" w:hAnsi="Times New Roman"/>
          <w:sz w:val="24"/>
          <w:szCs w:val="24"/>
        </w:rPr>
        <w:lastRenderedPageBreak/>
        <w:t xml:space="preserve">DISSENT: “A fleeing suspect briefly touched by pursuing officers may have a claim. But a suspect who evades a hail of bullets unscathed, or one who endures a series of flash-bang grenades untouched, is out of luck. That distinction is no less </w:t>
      </w:r>
      <w:r>
        <w:rPr>
          <w:rFonts w:ascii="Times New Roman" w:hAnsi="Times New Roman"/>
          <w:sz w:val="24"/>
          <w:szCs w:val="24"/>
        </w:rPr>
        <w:t>‘</w:t>
      </w:r>
      <w:r w:rsidRPr="00D225BD">
        <w:rPr>
          <w:rFonts w:ascii="Times New Roman" w:hAnsi="Times New Roman"/>
          <w:sz w:val="24"/>
          <w:szCs w:val="24"/>
        </w:rPr>
        <w:t>artificial</w:t>
      </w:r>
      <w:r>
        <w:rPr>
          <w:rFonts w:ascii="Times New Roman" w:hAnsi="Times New Roman"/>
          <w:sz w:val="24"/>
          <w:szCs w:val="24"/>
        </w:rPr>
        <w:t>’</w:t>
      </w:r>
      <w:r w:rsidRPr="00D225BD">
        <w:rPr>
          <w:rFonts w:ascii="Times New Roman" w:hAnsi="Times New Roman"/>
          <w:sz w:val="24"/>
          <w:szCs w:val="24"/>
        </w:rPr>
        <w:t xml:space="preserve"> than the one the law has recognized for centuries. And the majority’s new rule promises such scarce relief that it can hardly claim more sensitivity to </w:t>
      </w:r>
      <w:r>
        <w:rPr>
          <w:rFonts w:ascii="Times New Roman" w:hAnsi="Times New Roman"/>
          <w:sz w:val="24"/>
          <w:szCs w:val="24"/>
        </w:rPr>
        <w:t>‘</w:t>
      </w:r>
      <w:r w:rsidRPr="00D225BD">
        <w:rPr>
          <w:rFonts w:ascii="Times New Roman" w:hAnsi="Times New Roman"/>
          <w:sz w:val="24"/>
          <w:szCs w:val="24"/>
        </w:rPr>
        <w:t>personal security</w:t>
      </w:r>
      <w:r>
        <w:rPr>
          <w:rFonts w:ascii="Times New Roman" w:hAnsi="Times New Roman"/>
          <w:sz w:val="24"/>
          <w:szCs w:val="24"/>
        </w:rPr>
        <w:t xml:space="preserve">’ </w:t>
      </w:r>
      <w:r w:rsidRPr="00D225BD">
        <w:rPr>
          <w:rFonts w:ascii="Times New Roman" w:hAnsi="Times New Roman"/>
          <w:sz w:val="24"/>
          <w:szCs w:val="24"/>
        </w:rPr>
        <w:t xml:space="preserve">than the rule the Constitution has long </w:t>
      </w:r>
      <w:proofErr w:type="gramStart"/>
      <w:r w:rsidRPr="00D225BD">
        <w:rPr>
          <w:rFonts w:ascii="Times New Roman" w:hAnsi="Times New Roman"/>
          <w:sz w:val="24"/>
          <w:szCs w:val="24"/>
        </w:rPr>
        <w:t>enshrined.</w:t>
      </w:r>
      <w:r>
        <w:rPr>
          <w:rFonts w:ascii="Times New Roman" w:eastAsia="Times New Roman" w:hAnsi="Times New Roman"/>
          <w:b/>
          <w:bCs/>
          <w:sz w:val="24"/>
          <w:szCs w:val="24"/>
        </w:rPr>
        <w:t>”</w:t>
      </w:r>
      <w:proofErr w:type="gramEnd"/>
      <w:r>
        <w:rPr>
          <w:rFonts w:ascii="Times New Roman" w:eastAsia="Times New Roman" w:hAnsi="Times New Roman"/>
          <w:b/>
          <w:bCs/>
          <w:sz w:val="24"/>
          <w:szCs w:val="24"/>
        </w:rPr>
        <w:t xml:space="preserve"> </w:t>
      </w:r>
    </w:p>
    <w:p w14:paraId="37E06D08" w14:textId="4EE56772" w:rsidR="000915C1" w:rsidRDefault="000915C1" w:rsidP="000915C1">
      <w:pPr>
        <w:pStyle w:val="NoSpacing"/>
        <w:ind w:left="1440"/>
        <w:rPr>
          <w:rFonts w:ascii="Times New Roman" w:hAnsi="Times New Roman"/>
          <w:sz w:val="24"/>
          <w:szCs w:val="24"/>
        </w:rPr>
      </w:pPr>
    </w:p>
    <w:p w14:paraId="309DB84F" w14:textId="77777777" w:rsidR="000915C1" w:rsidRPr="00CA7A75" w:rsidRDefault="000915C1" w:rsidP="000915C1">
      <w:pPr>
        <w:spacing w:before="100" w:beforeAutospacing="1" w:after="100" w:afterAutospacing="1" w:line="240" w:lineRule="auto"/>
        <w:rPr>
          <w:rFonts w:ascii="Times New Roman" w:hAnsi="Times New Roman"/>
          <w:b/>
          <w:bCs/>
          <w:sz w:val="24"/>
          <w:szCs w:val="24"/>
        </w:rPr>
      </w:pPr>
      <w:r w:rsidRPr="00CA7A75">
        <w:rPr>
          <w:rFonts w:ascii="Times New Roman" w:hAnsi="Times New Roman"/>
          <w:b/>
          <w:bCs/>
          <w:sz w:val="24"/>
          <w:szCs w:val="24"/>
        </w:rPr>
        <w:t>Legal Lesson Learned:</w:t>
      </w:r>
      <w:r>
        <w:rPr>
          <w:rFonts w:ascii="Times New Roman" w:hAnsi="Times New Roman"/>
          <w:b/>
          <w:bCs/>
          <w:sz w:val="24"/>
          <w:szCs w:val="24"/>
        </w:rPr>
        <w:t xml:space="preserve"> The Majority decision certainly </w:t>
      </w:r>
      <w:proofErr w:type="gramStart"/>
      <w:r>
        <w:rPr>
          <w:rFonts w:ascii="Times New Roman" w:hAnsi="Times New Roman"/>
          <w:b/>
          <w:bCs/>
          <w:sz w:val="24"/>
          <w:szCs w:val="24"/>
        </w:rPr>
        <w:t>opens up</w:t>
      </w:r>
      <w:proofErr w:type="gramEnd"/>
      <w:r>
        <w:rPr>
          <w:rFonts w:ascii="Times New Roman" w:hAnsi="Times New Roman"/>
          <w:b/>
          <w:bCs/>
          <w:sz w:val="24"/>
          <w:szCs w:val="24"/>
        </w:rPr>
        <w:t xml:space="preserve"> Federal courts to more lawsuits for alleged violation of Constitutional rights, including plaintiffs who have pled guilty or no contest to assaulting the police officers they are now suing. </w:t>
      </w:r>
    </w:p>
    <w:p w14:paraId="2DB47E80" w14:textId="77777777" w:rsidR="000915C1" w:rsidRDefault="000915C1" w:rsidP="000915C1">
      <w:pPr>
        <w:pStyle w:val="Heading1"/>
        <w:ind w:left="720"/>
        <w:rPr>
          <w:b w:val="0"/>
          <w:bCs w:val="0"/>
          <w:sz w:val="24"/>
          <w:szCs w:val="24"/>
        </w:rPr>
      </w:pPr>
      <w:r w:rsidRPr="00D406C0">
        <w:rPr>
          <w:b w:val="0"/>
          <w:bCs w:val="0"/>
          <w:sz w:val="24"/>
          <w:szCs w:val="24"/>
        </w:rPr>
        <w:t xml:space="preserve">Note: Case </w:t>
      </w:r>
      <w:proofErr w:type="gramStart"/>
      <w:r w:rsidRPr="00D406C0">
        <w:rPr>
          <w:b w:val="0"/>
          <w:bCs w:val="0"/>
          <w:sz w:val="24"/>
          <w:szCs w:val="24"/>
        </w:rPr>
        <w:t>made</w:t>
      </w:r>
      <w:proofErr w:type="gramEnd"/>
      <w:r w:rsidRPr="00D406C0">
        <w:rPr>
          <w:b w:val="0"/>
          <w:bCs w:val="0"/>
          <w:sz w:val="24"/>
          <w:szCs w:val="24"/>
        </w:rPr>
        <w:t xml:space="preserve"> national news</w:t>
      </w:r>
      <w:r>
        <w:rPr>
          <w:b w:val="0"/>
          <w:bCs w:val="0"/>
          <w:sz w:val="24"/>
          <w:szCs w:val="24"/>
        </w:rPr>
        <w:t>.</w:t>
      </w:r>
    </w:p>
    <w:p w14:paraId="0065B923" w14:textId="77777777" w:rsidR="000915C1" w:rsidRPr="00840EF8" w:rsidRDefault="000915C1" w:rsidP="000915C1">
      <w:pPr>
        <w:pStyle w:val="NoSpacing"/>
        <w:ind w:left="720"/>
        <w:rPr>
          <w:rFonts w:ascii="Times New Roman" w:hAnsi="Times New Roman"/>
          <w:sz w:val="24"/>
          <w:szCs w:val="24"/>
        </w:rPr>
      </w:pPr>
      <w:r w:rsidRPr="00840EF8">
        <w:rPr>
          <w:rFonts w:ascii="Times New Roman" w:hAnsi="Times New Roman"/>
          <w:sz w:val="24"/>
          <w:szCs w:val="24"/>
        </w:rPr>
        <w:t xml:space="preserve">“Supreme Court Dips Gingerly </w:t>
      </w:r>
      <w:proofErr w:type="gramStart"/>
      <w:r w:rsidRPr="00840EF8">
        <w:rPr>
          <w:rFonts w:ascii="Times New Roman" w:hAnsi="Times New Roman"/>
          <w:sz w:val="24"/>
          <w:szCs w:val="24"/>
        </w:rPr>
        <w:t>Into</w:t>
      </w:r>
      <w:proofErr w:type="gramEnd"/>
      <w:r w:rsidRPr="00840EF8">
        <w:rPr>
          <w:rFonts w:ascii="Times New Roman" w:hAnsi="Times New Roman"/>
          <w:sz w:val="24"/>
          <w:szCs w:val="24"/>
        </w:rPr>
        <w:t xml:space="preserve"> Roiling Police Misconduct Waters.” (March 25, 2021) </w:t>
      </w:r>
      <w:hyperlink r:id="rId256" w:history="1">
        <w:r w:rsidRPr="00840EF8">
          <w:rPr>
            <w:rStyle w:val="Hyperlink"/>
            <w:sz w:val="24"/>
            <w:szCs w:val="24"/>
          </w:rPr>
          <w:t>https://www.npr.org/2021/03/25/981297231/supreme-court-dips-gingerly-into-roiling-police-misconduct-waters</w:t>
        </w:r>
      </w:hyperlink>
      <w:r w:rsidRPr="00840EF8">
        <w:rPr>
          <w:rFonts w:ascii="Times New Roman" w:hAnsi="Times New Roman"/>
          <w:sz w:val="24"/>
          <w:szCs w:val="24"/>
        </w:rPr>
        <w:t xml:space="preserve"> </w:t>
      </w:r>
    </w:p>
    <w:p w14:paraId="597C35E0" w14:textId="77777777" w:rsidR="000915C1" w:rsidRDefault="000915C1" w:rsidP="000915C1">
      <w:pPr>
        <w:pStyle w:val="NoSpacing"/>
        <w:ind w:left="720"/>
      </w:pPr>
    </w:p>
    <w:p w14:paraId="0D2BBB21" w14:textId="77777777" w:rsidR="000915C1" w:rsidRPr="00D406C0" w:rsidRDefault="000915C1" w:rsidP="000915C1">
      <w:pPr>
        <w:pStyle w:val="NoSpacing"/>
        <w:ind w:left="720"/>
        <w:rPr>
          <w:rFonts w:ascii="Times New Roman" w:hAnsi="Times New Roman"/>
          <w:sz w:val="24"/>
          <w:szCs w:val="24"/>
        </w:rPr>
      </w:pPr>
      <w:r w:rsidRPr="00D406C0">
        <w:rPr>
          <w:rFonts w:ascii="Times New Roman" w:hAnsi="Times New Roman"/>
          <w:sz w:val="24"/>
          <w:szCs w:val="24"/>
        </w:rPr>
        <w:t xml:space="preserve">“'Nothing subtle about a bullet': Supreme Court says police 'seizure' includes shots fired at fleeing suspect.” </w:t>
      </w:r>
      <w:r>
        <w:rPr>
          <w:rFonts w:ascii="Times New Roman" w:hAnsi="Times New Roman"/>
          <w:sz w:val="24"/>
          <w:szCs w:val="24"/>
        </w:rPr>
        <w:t xml:space="preserve">(March 25, 2021) </w:t>
      </w:r>
      <w:hyperlink r:id="rId257" w:history="1">
        <w:r w:rsidRPr="00D60E44">
          <w:rPr>
            <w:rStyle w:val="Hyperlink"/>
            <w:sz w:val="24"/>
            <w:szCs w:val="24"/>
          </w:rPr>
          <w:t>https://www.usatoday.com/story/news/politics/2021/03/25/supreme-court-police-seizure-includes-shots-fired-fleeing-suspect/6995659002/</w:t>
        </w:r>
      </w:hyperlink>
      <w:r w:rsidRPr="00D406C0">
        <w:rPr>
          <w:rFonts w:ascii="Times New Roman" w:hAnsi="Times New Roman"/>
          <w:sz w:val="24"/>
          <w:szCs w:val="24"/>
        </w:rPr>
        <w:t xml:space="preserve"> </w:t>
      </w:r>
    </w:p>
    <w:p w14:paraId="61B6A04D" w14:textId="77777777" w:rsidR="000915C1" w:rsidRPr="00D406C0" w:rsidRDefault="000915C1" w:rsidP="000915C1">
      <w:pPr>
        <w:pStyle w:val="Heading1"/>
        <w:ind w:left="720"/>
        <w:rPr>
          <w:b w:val="0"/>
          <w:bCs w:val="0"/>
          <w:sz w:val="24"/>
          <w:szCs w:val="24"/>
        </w:rPr>
      </w:pPr>
      <w:r w:rsidRPr="00D406C0">
        <w:rPr>
          <w:b w:val="0"/>
          <w:bCs w:val="0"/>
          <w:sz w:val="24"/>
          <w:szCs w:val="24"/>
        </w:rPr>
        <w:t xml:space="preserve"> “Supreme Court sides with New Mexico woman shot by police while fleeing.” </w:t>
      </w:r>
      <w:r>
        <w:rPr>
          <w:b w:val="0"/>
          <w:bCs w:val="0"/>
          <w:sz w:val="24"/>
          <w:szCs w:val="24"/>
        </w:rPr>
        <w:t xml:space="preserve">(March 25, 2021) </w:t>
      </w:r>
      <w:hyperlink r:id="rId258" w:history="1">
        <w:r w:rsidRPr="00D60E44">
          <w:rPr>
            <w:rStyle w:val="Hyperlink"/>
            <w:sz w:val="24"/>
            <w:szCs w:val="24"/>
          </w:rPr>
          <w:t>https://ktla.com/news/nationworld/supreme-court-sides-with-new-mexico-woman-shot-by-police-while-fleeing/</w:t>
        </w:r>
      </w:hyperlink>
      <w:r w:rsidRPr="00D406C0">
        <w:rPr>
          <w:b w:val="0"/>
          <w:bCs w:val="0"/>
          <w:sz w:val="24"/>
          <w:szCs w:val="24"/>
        </w:rPr>
        <w:t xml:space="preserve"> </w:t>
      </w:r>
    </w:p>
    <w:p w14:paraId="51BE60B2" w14:textId="77777777" w:rsidR="000915C1" w:rsidRDefault="000915C1" w:rsidP="000915C1">
      <w:pPr>
        <w:pStyle w:val="NoSpacing"/>
        <w:ind w:left="1440"/>
        <w:rPr>
          <w:rFonts w:ascii="Times New Roman" w:hAnsi="Times New Roman"/>
          <w:sz w:val="24"/>
          <w:szCs w:val="24"/>
        </w:rPr>
      </w:pPr>
    </w:p>
    <w:bookmarkEnd w:id="11"/>
    <w:p w14:paraId="527114F4" w14:textId="77777777" w:rsidR="000915C1" w:rsidRDefault="000915C1" w:rsidP="002B1283">
      <w:pPr>
        <w:rPr>
          <w:rFonts w:ascii="Arial Black" w:hAnsi="Arial Black"/>
          <w:b/>
          <w:sz w:val="24"/>
          <w:szCs w:val="24"/>
        </w:rPr>
      </w:pPr>
    </w:p>
    <w:p w14:paraId="065E246C" w14:textId="4DC824D8" w:rsidR="000915C1" w:rsidRDefault="000915C1"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6</w:t>
      </w:r>
    </w:p>
    <w:p w14:paraId="772298AE" w14:textId="77777777" w:rsidR="000915C1" w:rsidRPr="00AA0D4F" w:rsidRDefault="000915C1" w:rsidP="000915C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WI:  PROPERTY OWNER BURNING DEBRIS WITHOUT PERMIT - FOREST PROTECTION AREA – CITATION UPHELD </w:t>
      </w:r>
    </w:p>
    <w:p w14:paraId="05484C04" w14:textId="77777777" w:rsidR="000915C1" w:rsidRDefault="000915C1" w:rsidP="000915C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4, 2021, in </w:t>
      </w:r>
      <w:r w:rsidRPr="00CE7812">
        <w:rPr>
          <w:rFonts w:ascii="Times New Roman" w:eastAsia="Times New Roman" w:hAnsi="Times New Roman"/>
          <w:sz w:val="24"/>
          <w:szCs w:val="24"/>
          <w:u w:val="single"/>
        </w:rPr>
        <w:t>State of Wisconsin v. Greg D. Griswold</w:t>
      </w:r>
      <w:r>
        <w:rPr>
          <w:rFonts w:ascii="Times New Roman" w:eastAsia="Times New Roman" w:hAnsi="Times New Roman"/>
          <w:sz w:val="24"/>
          <w:szCs w:val="24"/>
        </w:rPr>
        <w:t xml:space="preserve">, the State of Wisconsin Court of Appeals (District IV) held [one judge decision] that the trial court properly concluded the property owner did not show he was burning debris from his house, that had been destroyed by fire, for the purpose of warmth.  The Appeals judge agreed with the trial judge – he was burning wood at 8 pm on May 4 not to keep warm; he was simply avoiding cost of taking debris to the dump.  </w:t>
      </w:r>
    </w:p>
    <w:p w14:paraId="4198F238" w14:textId="77777777" w:rsidR="000915C1" w:rsidRDefault="000915C1" w:rsidP="000915C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AA0D4F">
        <w:rPr>
          <w:rFonts w:ascii="Times New Roman" w:eastAsia="Times New Roman" w:hAnsi="Times New Roman"/>
          <w:sz w:val="24"/>
          <w:szCs w:val="24"/>
        </w:rPr>
        <w:t>Greg Griswold appeals pro se from a judgment of conviction of a civil forfeiture, which was entered after the circuit court found him</w:t>
      </w:r>
      <w:r>
        <w:rPr>
          <w:rFonts w:ascii="Times New Roman" w:eastAsia="Times New Roman" w:hAnsi="Times New Roman"/>
          <w:sz w:val="24"/>
          <w:szCs w:val="24"/>
        </w:rPr>
        <w:t xml:space="preserve"> </w:t>
      </w:r>
      <w:r w:rsidRPr="00AA0D4F">
        <w:rPr>
          <w:rFonts w:ascii="Times New Roman" w:eastAsia="Times New Roman" w:hAnsi="Times New Roman"/>
          <w:sz w:val="24"/>
          <w:szCs w:val="24"/>
        </w:rPr>
        <w:t>guilty of violating WIS. STAT. § 26.12(5)(b). That statute prohibits setting unpermitted fires in certain areas of the state, but it contains an exception for fires that are set "for warming the person." Griswold contends that his fire fits within this exception, but I conclude that the trial evidence is sufficient to sustain the court's finding that it did not. Accordingly, I affirm.</w:t>
      </w:r>
      <w:r>
        <w:rPr>
          <w:rFonts w:ascii="Times New Roman" w:eastAsia="Times New Roman" w:hAnsi="Times New Roman"/>
          <w:sz w:val="24"/>
          <w:szCs w:val="24"/>
        </w:rPr>
        <w:t xml:space="preserve">” </w:t>
      </w:r>
      <w:hyperlink r:id="rId259" w:history="1">
        <w:r w:rsidRPr="00B568EC">
          <w:rPr>
            <w:rStyle w:val="Hyperlink"/>
            <w:rFonts w:ascii="Times New Roman" w:eastAsia="Times New Roman" w:hAnsi="Times New Roman"/>
            <w:sz w:val="24"/>
            <w:szCs w:val="24"/>
          </w:rPr>
          <w:t>https://www.wicourts.gov/ca/opinion/DisplayDocument.pdf?content=pdf&amp;seqNo=342440</w:t>
        </w:r>
      </w:hyperlink>
      <w:r>
        <w:rPr>
          <w:rFonts w:ascii="Times New Roman" w:eastAsia="Times New Roman" w:hAnsi="Times New Roman"/>
          <w:sz w:val="24"/>
          <w:szCs w:val="24"/>
        </w:rPr>
        <w:t xml:space="preserve"> </w:t>
      </w:r>
    </w:p>
    <w:p w14:paraId="2AFBBB8F" w14:textId="77777777" w:rsidR="000915C1" w:rsidRPr="006D6C21" w:rsidRDefault="000915C1" w:rsidP="000915C1">
      <w:pPr>
        <w:spacing w:before="100" w:beforeAutospacing="1" w:after="100" w:afterAutospacing="1" w:line="240" w:lineRule="auto"/>
        <w:rPr>
          <w:rFonts w:ascii="Times New Roman" w:eastAsia="Times New Roman" w:hAnsi="Times New Roman"/>
          <w:b/>
          <w:bCs/>
          <w:sz w:val="24"/>
          <w:szCs w:val="24"/>
        </w:rPr>
      </w:pPr>
      <w:r w:rsidRPr="006D6C21">
        <w:rPr>
          <w:rFonts w:ascii="Times New Roman" w:hAnsi="Times New Roman"/>
          <w:b/>
          <w:bCs/>
          <w:sz w:val="24"/>
          <w:szCs w:val="24"/>
        </w:rPr>
        <w:t>Legal Lesson Learned:</w:t>
      </w:r>
      <w:r>
        <w:rPr>
          <w:rFonts w:ascii="Times New Roman" w:hAnsi="Times New Roman"/>
          <w:b/>
          <w:bCs/>
          <w:sz w:val="24"/>
          <w:szCs w:val="24"/>
        </w:rPr>
        <w:t xml:space="preserve"> Citation upheld; good work by the Fire Chief and the Department of Natural Resources. </w:t>
      </w:r>
    </w:p>
    <w:p w14:paraId="16572B41" w14:textId="79D07F7A" w:rsidR="000915C1" w:rsidRPr="00CE7812" w:rsidRDefault="000915C1" w:rsidP="000915C1">
      <w:pPr>
        <w:spacing w:before="100" w:beforeAutospacing="1" w:after="100" w:afterAutospacing="1" w:line="240" w:lineRule="auto"/>
        <w:ind w:left="720"/>
        <w:rPr>
          <w:rFonts w:ascii="Times New Roman" w:eastAsia="Times New Roman" w:hAnsi="Times New Roman"/>
          <w:sz w:val="24"/>
          <w:szCs w:val="24"/>
        </w:rPr>
      </w:pPr>
      <w:bookmarkStart w:id="12" w:name="_Hlk68349328"/>
      <w:r>
        <w:rPr>
          <w:rFonts w:ascii="Times New Roman" w:eastAsia="Times New Roman" w:hAnsi="Times New Roman"/>
          <w:sz w:val="24"/>
          <w:szCs w:val="24"/>
        </w:rPr>
        <w:lastRenderedPageBreak/>
        <w:t>Note: “</w:t>
      </w:r>
      <w:r w:rsidRPr="00CE7812">
        <w:rPr>
          <w:rFonts w:ascii="Times New Roman" w:hAnsi="Times New Roman"/>
          <w:sz w:val="24"/>
          <w:szCs w:val="24"/>
        </w:rPr>
        <w:t>There was also testimony that, even if Griswold had had a permit, the fire would have violated the statewide burn ban that was in effect at the time due to the COVID-19 pandemic. We address this testimony no further, since neither the citation that was issued nor the circuit court's judgment of conviction were based on any statewide burn ban. Both were based on a violation of WIS. STAT. § 26.12(5)(b).</w:t>
      </w:r>
      <w:r>
        <w:rPr>
          <w:rFonts w:ascii="Times New Roman" w:hAnsi="Times New Roman"/>
          <w:sz w:val="24"/>
          <w:szCs w:val="24"/>
        </w:rPr>
        <w:t xml:space="preserve">”  </w:t>
      </w:r>
      <w:hyperlink r:id="rId260" w:history="1">
        <w:r w:rsidRPr="00B568EC">
          <w:rPr>
            <w:rStyle w:val="Hyperlink"/>
            <w:rFonts w:ascii="Times New Roman" w:eastAsia="Times New Roman" w:hAnsi="Times New Roman"/>
            <w:sz w:val="24"/>
            <w:szCs w:val="24"/>
          </w:rPr>
          <w:t>https://www.wicourts.gov/ca/opinion/DisplayDocument.pdf?content=pdf&amp;seqNo=342440</w:t>
        </w:r>
      </w:hyperlink>
    </w:p>
    <w:bookmarkEnd w:id="12"/>
    <w:p w14:paraId="763F5812" w14:textId="77777777" w:rsidR="000915C1" w:rsidRDefault="000915C1" w:rsidP="002B1283">
      <w:pPr>
        <w:rPr>
          <w:rFonts w:ascii="Arial Black" w:hAnsi="Arial Black"/>
          <w:b/>
          <w:sz w:val="24"/>
          <w:szCs w:val="24"/>
        </w:rPr>
      </w:pPr>
    </w:p>
    <w:p w14:paraId="1AB63588" w14:textId="77777777" w:rsidR="000915C1" w:rsidRDefault="000915C1" w:rsidP="002B1283">
      <w:pPr>
        <w:rPr>
          <w:rFonts w:ascii="Arial Black" w:hAnsi="Arial Black"/>
          <w:b/>
          <w:sz w:val="24"/>
          <w:szCs w:val="24"/>
        </w:rPr>
      </w:pPr>
    </w:p>
    <w:p w14:paraId="2046FA60" w14:textId="26F89856" w:rsidR="00CD5950" w:rsidRDefault="00CD5950"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5</w:t>
      </w:r>
    </w:p>
    <w:p w14:paraId="306E032D" w14:textId="77777777" w:rsidR="00CD5950" w:rsidRPr="001D0C68" w:rsidRDefault="00CD5950" w:rsidP="00CD595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IA: CITY CODE OFFICER NOT PROTECTED 1</w:t>
      </w:r>
      <w:r w:rsidRPr="00EA2DE7">
        <w:rPr>
          <w:rFonts w:ascii="Arial Black" w:eastAsia="Times New Roman" w:hAnsi="Arial Black"/>
          <w:b/>
          <w:bCs/>
          <w:sz w:val="28"/>
          <w:szCs w:val="28"/>
          <w:vertAlign w:val="superscript"/>
        </w:rPr>
        <w:t>St</w:t>
      </w:r>
      <w:r>
        <w:rPr>
          <w:rFonts w:ascii="Arial Black" w:eastAsia="Times New Roman" w:hAnsi="Arial Black"/>
          <w:b/>
          <w:bCs/>
          <w:sz w:val="28"/>
          <w:szCs w:val="28"/>
        </w:rPr>
        <w:t xml:space="preserve"> AMENDMENT “FREEDOM OF SPEECH” – OFFICIAL DUTIES - FIRED   </w:t>
      </w:r>
    </w:p>
    <w:p w14:paraId="077CA167" w14:textId="77777777" w:rsidR="00CD5950" w:rsidRDefault="00CD5950" w:rsidP="00CD595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Feb. 24, 2021, in </w:t>
      </w:r>
      <w:r w:rsidRPr="0019521C">
        <w:rPr>
          <w:rFonts w:ascii="Times New Roman" w:eastAsia="Times New Roman" w:hAnsi="Times New Roman"/>
          <w:sz w:val="24"/>
          <w:szCs w:val="24"/>
          <w:u w:val="single"/>
        </w:rPr>
        <w:t>David R. Christensen v. City of Sergeant Bluff</w:t>
      </w:r>
      <w:r>
        <w:rPr>
          <w:rFonts w:ascii="Times New Roman" w:eastAsia="Times New Roman" w:hAnsi="Times New Roman"/>
          <w:sz w:val="24"/>
          <w:szCs w:val="24"/>
        </w:rPr>
        <w:t xml:space="preserve">, U.S. District Court Chief Judge Leonard T. Strand, U.S. District Court for the Northern District of Iowa (Western District), granted the city’s motion for summary judgment.   City was installing underground wiring to 220 duplex houses and agreed to not require any city permits. State Fire Marshall informed the city that all meter installations had to be approved by a state inspector, since plaintiff didn’t have electrical certification.   Plaintiff is not protected under First Amendment freedom of speech since his job duties include reporting possible code violations to state officials.  Case </w:t>
      </w:r>
      <w:proofErr w:type="gramStart"/>
      <w:r>
        <w:rPr>
          <w:rFonts w:ascii="Times New Roman" w:eastAsia="Times New Roman" w:hAnsi="Times New Roman"/>
          <w:sz w:val="24"/>
          <w:szCs w:val="24"/>
        </w:rPr>
        <w:t>remanded</w:t>
      </w:r>
      <w:proofErr w:type="gramEnd"/>
      <w:r>
        <w:rPr>
          <w:rFonts w:ascii="Times New Roman" w:eastAsia="Times New Roman" w:hAnsi="Times New Roman"/>
          <w:sz w:val="24"/>
          <w:szCs w:val="24"/>
        </w:rPr>
        <w:t xml:space="preserve"> to state court on his claims of violation of Iowa whistleblower and state code enforcement laws. </w:t>
      </w:r>
    </w:p>
    <w:p w14:paraId="5348ADE8" w14:textId="77777777" w:rsidR="00CD5950" w:rsidRPr="00710662"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“[S]</w:t>
      </w:r>
      <w:r w:rsidRPr="00710662">
        <w:rPr>
          <w:rFonts w:ascii="Times New Roman" w:hAnsi="Times New Roman"/>
          <w:sz w:val="24"/>
          <w:szCs w:val="24"/>
        </w:rPr>
        <w:t xml:space="preserve">ee </w:t>
      </w:r>
      <w:r>
        <w:rPr>
          <w:rFonts w:ascii="Times New Roman" w:hAnsi="Times New Roman"/>
          <w:sz w:val="24"/>
          <w:szCs w:val="24"/>
        </w:rPr>
        <w:t xml:space="preserve">also </w:t>
      </w:r>
      <w:r w:rsidRPr="00710662">
        <w:rPr>
          <w:rFonts w:ascii="Times New Roman" w:hAnsi="Times New Roman"/>
          <w:sz w:val="24"/>
          <w:szCs w:val="24"/>
        </w:rPr>
        <w:t>Garcetti v. Ceballos, 547 U.S. 410, 421 (2006) "We hold that when public employees make statements pursuant to their official duties, the employees are not speaking as citizens for first Amendment purposes, and the Constitution does not insulate their communications from employer discipline."</w:t>
      </w:r>
    </w:p>
    <w:p w14:paraId="26446DAE" w14:textId="77777777" w:rsidR="00CD5950" w:rsidRPr="00BE4A1E" w:rsidRDefault="00CD5950" w:rsidP="00CD5950">
      <w:pPr>
        <w:spacing w:before="100" w:beforeAutospacing="1" w:after="100" w:afterAutospacing="1" w:line="240" w:lineRule="auto"/>
        <w:ind w:left="720"/>
        <w:rPr>
          <w:rFonts w:ascii="Times New Roman" w:eastAsia="Times New Roman" w:hAnsi="Times New Roman"/>
          <w:sz w:val="24"/>
          <w:szCs w:val="24"/>
        </w:rPr>
      </w:pPr>
      <w:r w:rsidRPr="00BE4A1E">
        <w:rPr>
          <w:rFonts w:ascii="Times New Roman" w:eastAsia="Times New Roman" w:hAnsi="Times New Roman"/>
          <w:sz w:val="24"/>
          <w:szCs w:val="24"/>
        </w:rPr>
        <w:t>***</w:t>
      </w:r>
    </w:p>
    <w:p w14:paraId="79A4556C" w14:textId="2A30823B" w:rsidR="00CD5950" w:rsidRDefault="00CD5950" w:rsidP="00CD5950">
      <w:pPr>
        <w:rPr>
          <w:rFonts w:ascii="Arial Black" w:hAnsi="Arial Black"/>
          <w:b/>
          <w:sz w:val="24"/>
          <w:szCs w:val="24"/>
        </w:rPr>
      </w:pPr>
      <w:r w:rsidRPr="00710662">
        <w:rPr>
          <w:rFonts w:ascii="Times New Roman" w:eastAsia="Times New Roman" w:hAnsi="Times New Roman"/>
          <w:sz w:val="24"/>
          <w:szCs w:val="24"/>
        </w:rPr>
        <w:t xml:space="preserve">Christensen's report of electrical violations to the regional state electrical inspector was also made pursuant to his position as the City Inspector/Code Enforcement Officer. </w:t>
      </w:r>
      <w:r w:rsidRPr="00710662">
        <w:rPr>
          <w:rFonts w:ascii="Times New Roman" w:eastAsia="Times New Roman" w:hAnsi="Times New Roman"/>
          <w:i/>
          <w:iCs/>
          <w:sz w:val="24"/>
          <w:szCs w:val="24"/>
        </w:rPr>
        <w:t>Compare McGee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Public Water Supply</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Dist</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No</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2 of Jefferson County</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Mo</w:t>
      </w:r>
      <w:r w:rsidRPr="00710662">
        <w:rPr>
          <w:rFonts w:ascii="Times New Roman" w:eastAsia="Times New Roman" w:hAnsi="Times New Roman"/>
          <w:sz w:val="24"/>
          <w:szCs w:val="24"/>
        </w:rPr>
        <w:t xml:space="preserve">., 471 F.3d 918, 921 (8th Cir. 2006) (concluding district manager of public water supply district who expressed concerns over the district's compliance with environmental regulations made the statements as part of his official duties); </w:t>
      </w:r>
      <w:r w:rsidRPr="00710662">
        <w:rPr>
          <w:rFonts w:ascii="Times New Roman" w:eastAsia="Times New Roman" w:hAnsi="Times New Roman"/>
          <w:i/>
          <w:iCs/>
          <w:sz w:val="24"/>
          <w:szCs w:val="24"/>
        </w:rPr>
        <w:t>Batz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City of Sebring</w:t>
      </w:r>
      <w:r w:rsidRPr="00710662">
        <w:rPr>
          <w:rFonts w:ascii="Times New Roman" w:eastAsia="Times New Roman" w:hAnsi="Times New Roman"/>
          <w:sz w:val="24"/>
          <w:szCs w:val="24"/>
        </w:rPr>
        <w:t xml:space="preserve">, 794 F. </w:t>
      </w:r>
      <w:proofErr w:type="spellStart"/>
      <w:r w:rsidRPr="00710662">
        <w:rPr>
          <w:rFonts w:ascii="Times New Roman" w:eastAsia="Times New Roman" w:hAnsi="Times New Roman"/>
          <w:sz w:val="24"/>
          <w:szCs w:val="24"/>
        </w:rPr>
        <w:t>App'x</w:t>
      </w:r>
      <w:proofErr w:type="spellEnd"/>
      <w:r w:rsidRPr="00710662">
        <w:rPr>
          <w:rFonts w:ascii="Times New Roman" w:eastAsia="Times New Roman" w:hAnsi="Times New Roman"/>
          <w:sz w:val="24"/>
          <w:szCs w:val="24"/>
        </w:rPr>
        <w:t xml:space="preserve"> 889, 898 (11th Cir. 2019) (concluding city fire chief spoke as an employee when he made complaints about various city officials undermining his efforts to enforce fire safety rules</w:t>
      </w:r>
      <w:r>
        <w:rPr>
          <w:rFonts w:ascii="Times New Roman" w:eastAsia="Times New Roman" w:hAnsi="Times New Roman"/>
          <w:sz w:val="24"/>
          <w:szCs w:val="24"/>
        </w:rPr>
        <w:t xml:space="preserve"> </w:t>
      </w:r>
      <w:r w:rsidRPr="00710662">
        <w:rPr>
          <w:rFonts w:ascii="Times New Roman" w:eastAsia="Times New Roman" w:hAnsi="Times New Roman"/>
          <w:sz w:val="24"/>
          <w:szCs w:val="24"/>
        </w:rPr>
        <w:t xml:space="preserve">at a historical building owned by persons with connections to the city council and administration); </w:t>
      </w:r>
      <w:r w:rsidRPr="00710662">
        <w:rPr>
          <w:rFonts w:ascii="Times New Roman" w:eastAsia="Times New Roman" w:hAnsi="Times New Roman"/>
          <w:i/>
          <w:iCs/>
          <w:sz w:val="24"/>
          <w:szCs w:val="24"/>
        </w:rPr>
        <w:t>Morris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Philadelphia Housing Authority</w:t>
      </w:r>
      <w:r w:rsidRPr="00710662">
        <w:rPr>
          <w:rFonts w:ascii="Times New Roman" w:eastAsia="Times New Roman" w:hAnsi="Times New Roman"/>
          <w:sz w:val="24"/>
          <w:szCs w:val="24"/>
        </w:rPr>
        <w:t xml:space="preserve">, 487 F. </w:t>
      </w:r>
      <w:proofErr w:type="spellStart"/>
      <w:r w:rsidRPr="00710662">
        <w:rPr>
          <w:rFonts w:ascii="Times New Roman" w:eastAsia="Times New Roman" w:hAnsi="Times New Roman"/>
          <w:sz w:val="24"/>
          <w:szCs w:val="24"/>
        </w:rPr>
        <w:t>App'x</w:t>
      </w:r>
      <w:proofErr w:type="spellEnd"/>
      <w:r w:rsidRPr="00710662">
        <w:rPr>
          <w:rFonts w:ascii="Times New Roman" w:eastAsia="Times New Roman" w:hAnsi="Times New Roman"/>
          <w:sz w:val="24"/>
          <w:szCs w:val="24"/>
        </w:rPr>
        <w:t xml:space="preserve"> 37, 40 (3d Cir. 2012) (concluding an executive assistant's complaints up the chain of command about legality of housing authority's actions fell within his job duties); </w:t>
      </w:r>
      <w:r w:rsidRPr="00710662">
        <w:rPr>
          <w:rFonts w:ascii="Times New Roman" w:eastAsia="Times New Roman" w:hAnsi="Times New Roman"/>
          <w:i/>
          <w:iCs/>
          <w:sz w:val="24"/>
          <w:szCs w:val="24"/>
        </w:rPr>
        <w:t>Lyons II</w:t>
      </w:r>
      <w:r w:rsidRPr="00710662">
        <w:rPr>
          <w:rFonts w:ascii="Times New Roman" w:eastAsia="Times New Roman" w:hAnsi="Times New Roman"/>
          <w:sz w:val="24"/>
          <w:szCs w:val="24"/>
        </w:rPr>
        <w:t xml:space="preserve">, 875 F.3d at 1175 (noting that court's analysis in </w:t>
      </w:r>
      <w:r w:rsidRPr="00710662">
        <w:rPr>
          <w:rFonts w:ascii="Times New Roman" w:eastAsia="Times New Roman" w:hAnsi="Times New Roman"/>
          <w:i/>
          <w:iCs/>
          <w:sz w:val="24"/>
          <w:szCs w:val="24"/>
        </w:rPr>
        <w:t>Kincade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City of Blue Springs</w:t>
      </w:r>
      <w:r w:rsidRPr="00710662">
        <w:rPr>
          <w:rFonts w:ascii="Times New Roman" w:eastAsia="Times New Roman" w:hAnsi="Times New Roman"/>
          <w:sz w:val="24"/>
          <w:szCs w:val="24"/>
        </w:rPr>
        <w:t xml:space="preserve">, 64 F.3d 389 (8th Cir. 1995) that city engineer's complaints about a dam's funding and safety issues that were made pursuant to an assignment from his employer and in his capacity as city engineer and that were deemed protected would not suffice under </w:t>
      </w:r>
      <w:r w:rsidRPr="00710662">
        <w:rPr>
          <w:rFonts w:ascii="Times New Roman" w:eastAsia="Times New Roman" w:hAnsi="Times New Roman"/>
          <w:i/>
          <w:iCs/>
          <w:sz w:val="24"/>
          <w:szCs w:val="24"/>
        </w:rPr>
        <w:t>Garcetti</w:t>
      </w:r>
      <w:r w:rsidRPr="00710662">
        <w:rPr>
          <w:rFonts w:ascii="Times New Roman" w:eastAsia="Times New Roman" w:hAnsi="Times New Roman"/>
          <w:sz w:val="24"/>
          <w:szCs w:val="24"/>
        </w:rPr>
        <w:t>).</w:t>
      </w:r>
      <w:r>
        <w:rPr>
          <w:rFonts w:ascii="Times New Roman" w:eastAsia="Times New Roman" w:hAnsi="Times New Roman"/>
          <w:sz w:val="24"/>
          <w:szCs w:val="24"/>
        </w:rPr>
        <w:t xml:space="preserve">” </w:t>
      </w:r>
      <w:hyperlink r:id="rId261" w:history="1">
        <w:r w:rsidRPr="004C3F50">
          <w:rPr>
            <w:rStyle w:val="Hyperlink"/>
            <w:rFonts w:ascii="Times New Roman" w:eastAsia="Times New Roman" w:hAnsi="Times New Roman"/>
            <w:sz w:val="24"/>
            <w:szCs w:val="24"/>
          </w:rPr>
          <w:t>https://public.fastcase.com/Wl%2B2t%2BeVuI35%2FN70vAMFZnSQz8BzpEWSl4qvcEU%2FNgbENUBBcIuF0iEqrodjguq8</w:t>
        </w:r>
      </w:hyperlink>
    </w:p>
    <w:p w14:paraId="6580BB5A" w14:textId="77777777" w:rsidR="00CD5950" w:rsidRDefault="00CD5950" w:rsidP="00CD5950">
      <w:pPr>
        <w:spacing w:before="100" w:beforeAutospacing="1" w:after="100" w:afterAutospacing="1" w:line="240" w:lineRule="auto"/>
        <w:rPr>
          <w:rFonts w:ascii="Times New Roman" w:hAnsi="Times New Roman"/>
          <w:b/>
          <w:bCs/>
          <w:sz w:val="24"/>
          <w:szCs w:val="24"/>
        </w:rPr>
      </w:pPr>
      <w:r w:rsidRPr="00710662">
        <w:rPr>
          <w:rFonts w:ascii="Times New Roman" w:hAnsi="Times New Roman"/>
          <w:b/>
          <w:bCs/>
          <w:sz w:val="24"/>
          <w:szCs w:val="24"/>
        </w:rPr>
        <w:t>Legal Lessons Learned:</w:t>
      </w:r>
      <w:r>
        <w:rPr>
          <w:rFonts w:ascii="Times New Roman" w:hAnsi="Times New Roman"/>
          <w:b/>
          <w:bCs/>
          <w:sz w:val="24"/>
          <w:szCs w:val="24"/>
        </w:rPr>
        <w:t xml:space="preserve"> This case is now </w:t>
      </w:r>
      <w:proofErr w:type="gramStart"/>
      <w:r>
        <w:rPr>
          <w:rFonts w:ascii="Times New Roman" w:hAnsi="Times New Roman"/>
          <w:b/>
          <w:bCs/>
          <w:sz w:val="24"/>
          <w:szCs w:val="24"/>
        </w:rPr>
        <w:t>remanded</w:t>
      </w:r>
      <w:proofErr w:type="gramEnd"/>
      <w:r>
        <w:rPr>
          <w:rFonts w:ascii="Times New Roman" w:hAnsi="Times New Roman"/>
          <w:b/>
          <w:bCs/>
          <w:sz w:val="24"/>
          <w:szCs w:val="24"/>
        </w:rPr>
        <w:t xml:space="preserve"> to Iowa state court where plaintiff may seek to prove to a jury that the city violated State whistleblower laws and State code enforcement laws. </w:t>
      </w:r>
    </w:p>
    <w:p w14:paraId="16A053A0" w14:textId="77777777" w:rsidR="00CD5950" w:rsidRDefault="00CD5950" w:rsidP="00CD5950">
      <w:pPr>
        <w:pStyle w:val="NormalWeb"/>
        <w:ind w:left="720"/>
      </w:pPr>
      <w:r w:rsidRPr="00710662">
        <w:lastRenderedPageBreak/>
        <w:t xml:space="preserve">Note: </w:t>
      </w:r>
      <w:r>
        <w:t xml:space="preserve">The U.S. Supreme Court in </w:t>
      </w:r>
      <w:r>
        <w:rPr>
          <w:i/>
          <w:iCs/>
        </w:rPr>
        <w:t>Garcetti v</w:t>
      </w:r>
      <w:r>
        <w:t xml:space="preserve">. </w:t>
      </w:r>
      <w:r>
        <w:rPr>
          <w:i/>
          <w:iCs/>
        </w:rPr>
        <w:t>Ceballos</w:t>
      </w:r>
      <w:r>
        <w:t xml:space="preserve">, 547 U.S. 410, 421 (2006), greatly limited the ability of public employees to sue in Federal court for retaliation in violation of the First Amendment “freedom of speech.”  Ceballos was a LA County Supervising attorney, who was re-assigned after questioning the accuracy of Deputy Sheriff’s search warrant application and writing a memo documenting his concerns.  The U.S. Supreme Court held [5 to 4]: “Proper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 </w:t>
      </w:r>
      <w:hyperlink r:id="rId262" w:history="1">
        <w:r w:rsidRPr="004C3F50">
          <w:rPr>
            <w:rStyle w:val="Hyperlink"/>
          </w:rPr>
          <w:t>https://supreme.justia.com/cases/federal/us/547/410/</w:t>
        </w:r>
      </w:hyperlink>
      <w:r>
        <w:t xml:space="preserve"> </w:t>
      </w:r>
    </w:p>
    <w:p w14:paraId="3E47ED72" w14:textId="25978566" w:rsidR="00CD5950" w:rsidRDefault="00CD5950" w:rsidP="002B1283">
      <w:pPr>
        <w:rPr>
          <w:rFonts w:ascii="Arial Black" w:hAnsi="Arial Black"/>
          <w:b/>
          <w:sz w:val="24"/>
          <w:szCs w:val="24"/>
        </w:rPr>
      </w:pPr>
    </w:p>
    <w:p w14:paraId="40E55BEB" w14:textId="7F243F8F" w:rsidR="00CD5950" w:rsidRDefault="00CD5950"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4</w:t>
      </w:r>
    </w:p>
    <w:p w14:paraId="62203C37" w14:textId="77777777" w:rsidR="00CD5950" w:rsidRDefault="00CD5950" w:rsidP="00CD5950">
      <w:r>
        <w:rPr>
          <w:rFonts w:ascii="Arial Black" w:hAnsi="Arial Black"/>
          <w:sz w:val="28"/>
          <w:szCs w:val="28"/>
        </w:rPr>
        <w:t>OH: OHIO ETHICS COMMISSION – HELPFUL NEW VIDEO – PUBLIC OFFICIALS &amp; GIFTS OF “SUBSTANTIAL VALUE”</w:t>
      </w:r>
    </w:p>
    <w:p w14:paraId="09B2E758" w14:textId="77777777" w:rsidR="00CD5950" w:rsidRDefault="00CD5950" w:rsidP="00CD5950">
      <w:pPr>
        <w:rPr>
          <w:rFonts w:ascii="Times New Roman" w:hAnsi="Times New Roman"/>
          <w:sz w:val="24"/>
          <w:szCs w:val="24"/>
        </w:rPr>
      </w:pPr>
      <w:r>
        <w:rPr>
          <w:rFonts w:ascii="Times New Roman" w:hAnsi="Times New Roman"/>
          <w:sz w:val="24"/>
          <w:szCs w:val="24"/>
        </w:rPr>
        <w:t xml:space="preserve">Feb. 22, 2021: </w:t>
      </w:r>
    </w:p>
    <w:p w14:paraId="2F61DAE2" w14:textId="77777777" w:rsidR="00CD5950" w:rsidRDefault="00CD5950" w:rsidP="00CD5950">
      <w:pPr>
        <w:rPr>
          <w:rStyle w:val="Hyperlink"/>
          <w:rFonts w:ascii="Times New Roman" w:hAnsi="Times New Roman"/>
          <w:sz w:val="24"/>
          <w:szCs w:val="24"/>
        </w:rPr>
      </w:pPr>
      <w:r>
        <w:rPr>
          <w:rFonts w:ascii="Times New Roman" w:hAnsi="Times New Roman"/>
          <w:sz w:val="24"/>
          <w:szCs w:val="24"/>
        </w:rPr>
        <w:t xml:space="preserve">See helpful new training video: </w:t>
      </w:r>
      <w:hyperlink r:id="rId263" w:history="1">
        <w:r w:rsidRPr="00EA374E">
          <w:rPr>
            <w:rStyle w:val="Hyperlink"/>
            <w:rFonts w:ascii="Times New Roman" w:hAnsi="Times New Roman"/>
            <w:sz w:val="24"/>
            <w:szCs w:val="24"/>
          </w:rPr>
          <w:t>https://ethics.ohio.gov/education/elearning/ecourses.html</w:t>
        </w:r>
      </w:hyperlink>
    </w:p>
    <w:p w14:paraId="5816E79E" w14:textId="77777777" w:rsidR="00CD5950" w:rsidRDefault="00CD5950" w:rsidP="00CD5950">
      <w:pPr>
        <w:rPr>
          <w:rFonts w:ascii="Times New Roman" w:hAnsi="Times New Roman"/>
          <w:sz w:val="24"/>
          <w:szCs w:val="24"/>
        </w:rPr>
      </w:pPr>
      <w:r>
        <w:rPr>
          <w:rFonts w:ascii="Times New Roman" w:hAnsi="Times New Roman"/>
          <w:sz w:val="24"/>
          <w:szCs w:val="24"/>
        </w:rPr>
        <w:t>See also: “</w:t>
      </w:r>
      <w:r w:rsidRPr="00D13E5D">
        <w:rPr>
          <w:rFonts w:ascii="Times New Roman" w:hAnsi="Times New Roman"/>
          <w:sz w:val="24"/>
          <w:szCs w:val="24"/>
        </w:rPr>
        <w:t xml:space="preserve">The first quarter edition of </w:t>
      </w:r>
      <w:hyperlink r:id="rId264" w:history="1">
        <w:r w:rsidRPr="00D13E5D">
          <w:rPr>
            <w:rStyle w:val="Hyperlink"/>
            <w:rFonts w:ascii="Times New Roman" w:hAnsi="Times New Roman"/>
            <w:sz w:val="24"/>
            <w:szCs w:val="24"/>
          </w:rPr>
          <w:t>The Voice of Ethics</w:t>
        </w:r>
      </w:hyperlink>
      <w:r w:rsidRPr="00D13E5D">
        <w:rPr>
          <w:rFonts w:ascii="Times New Roman" w:hAnsi="Times New Roman"/>
          <w:sz w:val="24"/>
          <w:szCs w:val="24"/>
        </w:rPr>
        <w:t xml:space="preserve"> has been issued!  I hope you enjoy it and as always, please feel free to contact me if I can be of any assistance.</w:t>
      </w:r>
      <w:r>
        <w:rPr>
          <w:rFonts w:ascii="Times New Roman" w:hAnsi="Times New Roman"/>
          <w:sz w:val="24"/>
          <w:szCs w:val="24"/>
        </w:rPr>
        <w:t>”</w:t>
      </w:r>
      <w:hyperlink r:id="rId265" w:history="1">
        <w:r w:rsidRPr="00BA411D">
          <w:rPr>
            <w:rStyle w:val="Hyperlink"/>
            <w:rFonts w:ascii="Times New Roman" w:hAnsi="Times New Roman"/>
            <w:sz w:val="24"/>
            <w:szCs w:val="24"/>
          </w:rPr>
          <w:t>https://ethics.ohio.gov/education/newsletters/VOE_21Q1.pdf</w:t>
        </w:r>
      </w:hyperlink>
      <w:r>
        <w:rPr>
          <w:rFonts w:ascii="Times New Roman" w:hAnsi="Times New Roman"/>
          <w:sz w:val="24"/>
          <w:szCs w:val="24"/>
        </w:rPr>
        <w:t xml:space="preserve"> </w:t>
      </w:r>
    </w:p>
    <w:p w14:paraId="01C0783C" w14:textId="77777777" w:rsidR="00CD5950" w:rsidRDefault="00CD5950" w:rsidP="00CD5950">
      <w:pPr>
        <w:rPr>
          <w:rFonts w:ascii="Times New Roman" w:hAnsi="Times New Roman"/>
          <w:sz w:val="24"/>
          <w:szCs w:val="24"/>
        </w:rPr>
      </w:pPr>
      <w:r>
        <w:rPr>
          <w:rFonts w:ascii="Times New Roman" w:hAnsi="Times New Roman"/>
          <w:sz w:val="24"/>
          <w:szCs w:val="24"/>
        </w:rPr>
        <w:t xml:space="preserve">Both kindly sent to me by: </w:t>
      </w:r>
    </w:p>
    <w:p w14:paraId="4FD1557C"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Susan Willeke</w:t>
      </w:r>
    </w:p>
    <w:p w14:paraId="2CC95F06"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Education &amp; Communications Administrator</w:t>
      </w:r>
    </w:p>
    <w:p w14:paraId="444F4604"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Ohio Ethics Commission</w:t>
      </w:r>
    </w:p>
    <w:p w14:paraId="303DE351"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William Green Building</w:t>
      </w:r>
    </w:p>
    <w:p w14:paraId="5146686D"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30 W. Spring St.</w:t>
      </w:r>
    </w:p>
    <w:p w14:paraId="1520FAD0"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Columbus, Ohio 43215</w:t>
      </w:r>
    </w:p>
    <w:p w14:paraId="2D42AF8B" w14:textId="77777777" w:rsidR="00CD5950" w:rsidRDefault="00CD5950" w:rsidP="00CD5950">
      <w:pPr>
        <w:pStyle w:val="NoSpacing"/>
        <w:ind w:firstLine="720"/>
        <w:rPr>
          <w:rFonts w:ascii="Times New Roman" w:hAnsi="Times New Roman"/>
          <w:sz w:val="24"/>
          <w:szCs w:val="24"/>
        </w:rPr>
      </w:pPr>
    </w:p>
    <w:p w14:paraId="725520E3" w14:textId="77777777" w:rsidR="00CD5950" w:rsidRDefault="00CD5950" w:rsidP="00CD5950">
      <w:pPr>
        <w:pStyle w:val="NoSpacing"/>
        <w:ind w:firstLine="720"/>
        <w:rPr>
          <w:rFonts w:ascii="Times New Roman" w:hAnsi="Times New Roman"/>
          <w:sz w:val="24"/>
          <w:szCs w:val="24"/>
        </w:rPr>
      </w:pPr>
    </w:p>
    <w:p w14:paraId="46DBA9E9"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(614) 466 – 7090</w:t>
      </w:r>
    </w:p>
    <w:p w14:paraId="74123CD0" w14:textId="77777777" w:rsidR="00CD5950" w:rsidRPr="00EB1AAF" w:rsidRDefault="00CD5950" w:rsidP="00CD5950">
      <w:pPr>
        <w:pStyle w:val="NoSpacing"/>
        <w:ind w:firstLine="720"/>
        <w:rPr>
          <w:rFonts w:ascii="Times New Roman" w:hAnsi="Times New Roman"/>
          <w:sz w:val="24"/>
          <w:szCs w:val="24"/>
        </w:rPr>
      </w:pPr>
      <w:hyperlink r:id="rId266" w:history="1">
        <w:r w:rsidRPr="00EA374E">
          <w:rPr>
            <w:rStyle w:val="Hyperlink"/>
            <w:rFonts w:ascii="Times New Roman" w:hAnsi="Times New Roman"/>
            <w:sz w:val="24"/>
            <w:szCs w:val="24"/>
          </w:rPr>
          <w:t>www.ethics.ohio.gov</w:t>
        </w:r>
      </w:hyperlink>
    </w:p>
    <w:p w14:paraId="7AB3EA59" w14:textId="77777777" w:rsidR="00CD5950" w:rsidRPr="00EB1AAF" w:rsidRDefault="00CD5950" w:rsidP="00CD5950">
      <w:pPr>
        <w:pStyle w:val="NoSpacing"/>
        <w:ind w:firstLine="720"/>
        <w:rPr>
          <w:rStyle w:val="Hyperlink"/>
          <w:rFonts w:ascii="Times New Roman" w:hAnsi="Times New Roman"/>
          <w:sz w:val="24"/>
          <w:szCs w:val="24"/>
        </w:rPr>
      </w:pPr>
      <w:hyperlink r:id="rId267" w:history="1">
        <w:r w:rsidRPr="00EA374E">
          <w:rPr>
            <w:rStyle w:val="Hyperlink"/>
            <w:rFonts w:ascii="Times New Roman" w:hAnsi="Times New Roman"/>
            <w:sz w:val="24"/>
            <w:szCs w:val="24"/>
          </w:rPr>
          <w:t>susan.willeke@ethics.ohio.gov</w:t>
        </w:r>
      </w:hyperlink>
    </w:p>
    <w:p w14:paraId="63326306" w14:textId="77777777" w:rsidR="00CD5950" w:rsidRPr="00EB1AAF" w:rsidRDefault="00CD5950" w:rsidP="00CD5950">
      <w:pPr>
        <w:pStyle w:val="NoSpacing"/>
        <w:rPr>
          <w:rStyle w:val="Hyperlink"/>
          <w:rFonts w:ascii="Times New Roman" w:hAnsi="Times New Roman"/>
          <w:sz w:val="24"/>
          <w:szCs w:val="24"/>
        </w:rPr>
      </w:pPr>
    </w:p>
    <w:p w14:paraId="1F0DBF6A" w14:textId="77777777" w:rsidR="00CD5950" w:rsidRPr="00716E29" w:rsidRDefault="00CD5950" w:rsidP="00CD5950">
      <w:pPr>
        <w:pStyle w:val="NoSpacing"/>
        <w:rPr>
          <w:rStyle w:val="Hyperlink"/>
          <w:rFonts w:ascii="Times New Roman" w:hAnsi="Times New Roman"/>
          <w:b/>
          <w:bCs/>
          <w:color w:val="auto"/>
          <w:sz w:val="24"/>
          <w:szCs w:val="24"/>
          <w:u w:val="none"/>
        </w:rPr>
      </w:pPr>
      <w:r w:rsidRPr="00716E29">
        <w:rPr>
          <w:rStyle w:val="Hyperlink"/>
          <w:rFonts w:ascii="Times New Roman" w:hAnsi="Times New Roman"/>
          <w:b/>
          <w:bCs/>
          <w:color w:val="auto"/>
          <w:sz w:val="24"/>
          <w:szCs w:val="24"/>
          <w:u w:val="none"/>
        </w:rPr>
        <w:t xml:space="preserve">Legal Lesson Learned: Golf outings, sports or theater tickets, vacations, jewelry have been items deemed items of “substantial value” by the Ohio Ethics Commission; when in doubt, consult with the Commission. </w:t>
      </w:r>
    </w:p>
    <w:p w14:paraId="6D74FE00" w14:textId="77777777" w:rsidR="00CD5950" w:rsidRDefault="00CD5950" w:rsidP="00CD5950">
      <w:pPr>
        <w:pStyle w:val="NoSpacing"/>
        <w:rPr>
          <w:rStyle w:val="Hyperlink"/>
          <w:rFonts w:ascii="Times New Roman" w:hAnsi="Times New Roman"/>
          <w:b/>
          <w:bCs/>
          <w:sz w:val="24"/>
          <w:szCs w:val="24"/>
        </w:rPr>
      </w:pPr>
    </w:p>
    <w:p w14:paraId="3C41448E" w14:textId="77777777" w:rsidR="00CD5950" w:rsidRDefault="00CD5950" w:rsidP="00CD5950">
      <w:pPr>
        <w:pStyle w:val="NoSpacing"/>
        <w:ind w:left="720"/>
        <w:rPr>
          <w:rFonts w:ascii="Times New Roman" w:hAnsi="Times New Roman"/>
          <w:sz w:val="24"/>
          <w:szCs w:val="24"/>
        </w:rPr>
      </w:pPr>
      <w:r w:rsidRPr="00167F7C">
        <w:rPr>
          <w:rStyle w:val="Hyperlink"/>
          <w:rFonts w:ascii="Times New Roman" w:hAnsi="Times New Roman"/>
          <w:sz w:val="24"/>
          <w:szCs w:val="24"/>
        </w:rPr>
        <w:t>Note: See Ohio Ethics Commission publication</w:t>
      </w:r>
      <w:r>
        <w:rPr>
          <w:rStyle w:val="Hyperlink"/>
          <w:rFonts w:ascii="Times New Roman" w:hAnsi="Times New Roman"/>
          <w:sz w:val="24"/>
          <w:szCs w:val="24"/>
        </w:rPr>
        <w:t>:</w:t>
      </w:r>
      <w:r w:rsidRPr="00167F7C">
        <w:rPr>
          <w:rStyle w:val="Hyperlink"/>
          <w:rFonts w:ascii="Times New Roman" w:hAnsi="Times New Roman"/>
          <w:sz w:val="24"/>
          <w:szCs w:val="24"/>
        </w:rPr>
        <w:t xml:space="preserve"> </w:t>
      </w:r>
      <w:r w:rsidRPr="00167F7C">
        <w:rPr>
          <w:rFonts w:ascii="Times New Roman" w:hAnsi="Times New Roman"/>
          <w:b/>
          <w:bCs/>
          <w:sz w:val="24"/>
          <w:szCs w:val="24"/>
        </w:rPr>
        <w:t>Gifts and the Ohio Ethics Law</w:t>
      </w:r>
      <w:r w:rsidRPr="00167F7C">
        <w:rPr>
          <w:rFonts w:ascii="Times New Roman" w:hAnsi="Times New Roman"/>
          <w:sz w:val="24"/>
          <w:szCs w:val="24"/>
        </w:rPr>
        <w:t xml:space="preserve">: </w:t>
      </w:r>
      <w:hyperlink r:id="rId268" w:history="1">
        <w:r w:rsidRPr="00EA374E">
          <w:rPr>
            <w:rStyle w:val="Hyperlink"/>
            <w:rFonts w:ascii="Times New Roman" w:hAnsi="Times New Roman"/>
            <w:sz w:val="24"/>
            <w:szCs w:val="24"/>
          </w:rPr>
          <w:t>https://www.ethics.ohio.gov/education/gifts.html</w:t>
        </w:r>
      </w:hyperlink>
      <w:r w:rsidRPr="00167F7C">
        <w:rPr>
          <w:rFonts w:ascii="Times New Roman" w:hAnsi="Times New Roman"/>
          <w:sz w:val="24"/>
          <w:szCs w:val="24"/>
        </w:rPr>
        <w:t xml:space="preserve"> </w:t>
      </w:r>
    </w:p>
    <w:p w14:paraId="2EEFCD7C" w14:textId="77777777" w:rsidR="00CD5950" w:rsidRDefault="00CD5950" w:rsidP="00CD5950">
      <w:pPr>
        <w:pStyle w:val="NoSpacing"/>
        <w:ind w:left="720"/>
        <w:rPr>
          <w:rFonts w:ascii="Times New Roman" w:hAnsi="Times New Roman"/>
          <w:sz w:val="24"/>
          <w:szCs w:val="24"/>
        </w:rPr>
      </w:pPr>
    </w:p>
    <w:p w14:paraId="40AAD5FA" w14:textId="77777777" w:rsidR="00CD5950" w:rsidRPr="00167F7C" w:rsidRDefault="00CD5950" w:rsidP="00CD5950">
      <w:pPr>
        <w:pStyle w:val="NoSpacing"/>
        <w:ind w:left="720"/>
        <w:rPr>
          <w:rFonts w:ascii="Times New Roman" w:hAnsi="Times New Roman"/>
          <w:sz w:val="24"/>
          <w:szCs w:val="24"/>
        </w:rPr>
      </w:pPr>
      <w:r>
        <w:rPr>
          <w:rFonts w:ascii="Times New Roman" w:hAnsi="Times New Roman"/>
          <w:sz w:val="24"/>
          <w:szCs w:val="24"/>
        </w:rPr>
        <w:t xml:space="preserve">See also Advisory Opinions on </w:t>
      </w:r>
      <w:r w:rsidRPr="00167F7C">
        <w:rPr>
          <w:rFonts w:ascii="Times New Roman" w:hAnsi="Times New Roman"/>
          <w:b/>
          <w:bCs/>
          <w:sz w:val="24"/>
          <w:szCs w:val="24"/>
        </w:rPr>
        <w:t>Conflict of Interest</w:t>
      </w:r>
      <w:r>
        <w:rPr>
          <w:rFonts w:ascii="Times New Roman" w:hAnsi="Times New Roman"/>
          <w:sz w:val="24"/>
          <w:szCs w:val="24"/>
        </w:rPr>
        <w:t xml:space="preserve">, and advisory opinions on </w:t>
      </w:r>
      <w:r w:rsidRPr="00167F7C">
        <w:rPr>
          <w:rFonts w:ascii="Times New Roman" w:hAnsi="Times New Roman"/>
          <w:b/>
          <w:bCs/>
          <w:sz w:val="24"/>
          <w:szCs w:val="24"/>
        </w:rPr>
        <w:t>Gifts:</w:t>
      </w:r>
      <w:r>
        <w:rPr>
          <w:rFonts w:ascii="Times New Roman" w:hAnsi="Times New Roman"/>
          <w:sz w:val="24"/>
          <w:szCs w:val="24"/>
        </w:rPr>
        <w:t xml:space="preserve"> </w:t>
      </w:r>
      <w:hyperlink r:id="rId269" w:anchor="Gifts" w:history="1">
        <w:r w:rsidRPr="00EA374E">
          <w:rPr>
            <w:rStyle w:val="Hyperlink"/>
            <w:rFonts w:ascii="Times New Roman" w:hAnsi="Times New Roman"/>
            <w:sz w:val="24"/>
            <w:szCs w:val="24"/>
          </w:rPr>
          <w:t>https://www.ethics.ohio.gov/advice/formaltopics.html#Gifts</w:t>
        </w:r>
      </w:hyperlink>
      <w:r>
        <w:rPr>
          <w:rFonts w:ascii="Times New Roman" w:hAnsi="Times New Roman"/>
          <w:sz w:val="24"/>
          <w:szCs w:val="24"/>
        </w:rPr>
        <w:t xml:space="preserve"> </w:t>
      </w:r>
    </w:p>
    <w:p w14:paraId="74DFC00B" w14:textId="77777777" w:rsidR="00CD5950" w:rsidRDefault="00CD5950" w:rsidP="00CD5950">
      <w:pPr>
        <w:pStyle w:val="Heading2"/>
        <w:ind w:left="720"/>
        <w:rPr>
          <w:rStyle w:val="Hyperlink"/>
          <w:rFonts w:ascii="Times New Roman" w:hAnsi="Times New Roman"/>
          <w:b w:val="0"/>
          <w:bCs w:val="0"/>
          <w:i w:val="0"/>
          <w:iCs w:val="0"/>
          <w:color w:val="auto"/>
          <w:sz w:val="24"/>
          <w:szCs w:val="24"/>
          <w:u w:val="none"/>
        </w:rPr>
      </w:pPr>
      <w:r w:rsidRPr="00716E29">
        <w:rPr>
          <w:rStyle w:val="Hyperlink"/>
          <w:rFonts w:ascii="Times New Roman" w:hAnsi="Times New Roman"/>
          <w:b w:val="0"/>
          <w:bCs w:val="0"/>
          <w:i w:val="0"/>
          <w:iCs w:val="0"/>
          <w:color w:val="auto"/>
          <w:sz w:val="24"/>
          <w:szCs w:val="24"/>
          <w:u w:val="none"/>
        </w:rPr>
        <w:lastRenderedPageBreak/>
        <w:t>Ohio Revised Code</w:t>
      </w:r>
      <w:r>
        <w:rPr>
          <w:rStyle w:val="Hyperlink"/>
          <w:rFonts w:ascii="Times New Roman" w:hAnsi="Times New Roman"/>
          <w:b w:val="0"/>
          <w:bCs w:val="0"/>
          <w:i w:val="0"/>
          <w:iCs w:val="0"/>
          <w:color w:val="auto"/>
          <w:sz w:val="24"/>
          <w:szCs w:val="24"/>
          <w:u w:val="none"/>
        </w:rPr>
        <w:t>:</w:t>
      </w:r>
    </w:p>
    <w:p w14:paraId="46D7593C" w14:textId="77777777" w:rsidR="00CD5950" w:rsidRPr="00716E29" w:rsidRDefault="00CD5950" w:rsidP="00CD5950">
      <w:pPr>
        <w:pStyle w:val="Heading2"/>
        <w:ind w:left="720"/>
        <w:rPr>
          <w:rStyle w:val="Hyperlink"/>
          <w:rFonts w:ascii="Times New Roman" w:hAnsi="Times New Roman"/>
          <w:b w:val="0"/>
          <w:bCs w:val="0"/>
          <w:i w:val="0"/>
          <w:iCs w:val="0"/>
          <w:sz w:val="24"/>
          <w:szCs w:val="24"/>
          <w:u w:val="none"/>
        </w:rPr>
      </w:pPr>
      <w:r w:rsidRPr="00716E29">
        <w:rPr>
          <w:rStyle w:val="Hyperlink"/>
          <w:rFonts w:ascii="Times New Roman" w:hAnsi="Times New Roman"/>
          <w:b w:val="0"/>
          <w:bCs w:val="0"/>
          <w:i w:val="0"/>
          <w:iCs w:val="0"/>
          <w:color w:val="auto"/>
          <w:sz w:val="24"/>
          <w:szCs w:val="24"/>
          <w:u w:val="none"/>
        </w:rPr>
        <w:t xml:space="preserve">102.01 Public officers – ethics definitions:  </w:t>
      </w:r>
      <w:hyperlink r:id="rId270" w:history="1">
        <w:r w:rsidRPr="002013DF">
          <w:rPr>
            <w:rStyle w:val="Hyperlink"/>
            <w:rFonts w:ascii="Times New Roman" w:hAnsi="Times New Roman"/>
            <w:b w:val="0"/>
            <w:bCs w:val="0"/>
            <w:i w:val="0"/>
            <w:iCs w:val="0"/>
            <w:sz w:val="24"/>
            <w:szCs w:val="24"/>
          </w:rPr>
          <w:t>http://codes.ohio.gov/orc/102.01</w:t>
        </w:r>
      </w:hyperlink>
      <w:r>
        <w:rPr>
          <w:rStyle w:val="Hyperlink"/>
          <w:rFonts w:ascii="Times New Roman" w:hAnsi="Times New Roman"/>
          <w:b w:val="0"/>
          <w:bCs w:val="0"/>
          <w:i w:val="0"/>
          <w:iCs w:val="0"/>
          <w:color w:val="auto"/>
          <w:sz w:val="24"/>
          <w:szCs w:val="24"/>
          <w:u w:val="none"/>
        </w:rPr>
        <w:t xml:space="preserve"> </w:t>
      </w:r>
    </w:p>
    <w:p w14:paraId="4E873AB9" w14:textId="77777777" w:rsidR="00CD5950" w:rsidRPr="00716E29" w:rsidRDefault="00CD5950" w:rsidP="00CD5950">
      <w:pPr>
        <w:pStyle w:val="Heading2"/>
        <w:ind w:left="720"/>
        <w:rPr>
          <w:rFonts w:ascii="Times New Roman" w:hAnsi="Times New Roman"/>
          <w:b w:val="0"/>
          <w:bCs w:val="0"/>
          <w:i w:val="0"/>
          <w:iCs w:val="0"/>
          <w:sz w:val="24"/>
          <w:szCs w:val="24"/>
        </w:rPr>
      </w:pPr>
      <w:r w:rsidRPr="00716E29">
        <w:rPr>
          <w:rFonts w:ascii="Times New Roman" w:hAnsi="Times New Roman"/>
          <w:b w:val="0"/>
          <w:bCs w:val="0"/>
          <w:i w:val="0"/>
          <w:iCs w:val="0"/>
          <w:sz w:val="24"/>
          <w:szCs w:val="24"/>
        </w:rPr>
        <w:t xml:space="preserve">2921.43 Soliciting or accepting improper compensation. </w:t>
      </w:r>
      <w:hyperlink r:id="rId271" w:history="1">
        <w:r w:rsidRPr="00716E29">
          <w:rPr>
            <w:rStyle w:val="Hyperlink"/>
            <w:rFonts w:ascii="Times New Roman" w:hAnsi="Times New Roman"/>
            <w:b w:val="0"/>
            <w:bCs w:val="0"/>
            <w:i w:val="0"/>
            <w:iCs w:val="0"/>
            <w:sz w:val="24"/>
            <w:szCs w:val="24"/>
          </w:rPr>
          <w:t>http://codes.ohio.gov/orc/2921.43</w:t>
        </w:r>
      </w:hyperlink>
      <w:r w:rsidRPr="00716E29">
        <w:rPr>
          <w:rFonts w:ascii="Times New Roman" w:hAnsi="Times New Roman"/>
          <w:b w:val="0"/>
          <w:bCs w:val="0"/>
          <w:i w:val="0"/>
          <w:iCs w:val="0"/>
          <w:sz w:val="24"/>
          <w:szCs w:val="24"/>
        </w:rPr>
        <w:t xml:space="preserve"> </w:t>
      </w:r>
    </w:p>
    <w:p w14:paraId="4871180E" w14:textId="541458E7" w:rsidR="00CD5950" w:rsidRDefault="00CD5950" w:rsidP="002B1283">
      <w:pPr>
        <w:rPr>
          <w:rFonts w:ascii="Arial Black" w:hAnsi="Arial Black"/>
          <w:b/>
          <w:sz w:val="24"/>
          <w:szCs w:val="24"/>
        </w:rPr>
      </w:pPr>
    </w:p>
    <w:p w14:paraId="2BA37E25" w14:textId="0CD43D28" w:rsidR="00CD5950" w:rsidRDefault="00CD5950"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3</w:t>
      </w:r>
    </w:p>
    <w:p w14:paraId="51570D31" w14:textId="77777777" w:rsidR="00CD5950" w:rsidRPr="00DF1EAD" w:rsidRDefault="00CD5950" w:rsidP="00CD5950">
      <w:pPr>
        <w:rPr>
          <w:rStyle w:val="num"/>
          <w:rFonts w:ascii="Arial Black" w:hAnsi="Arial Black"/>
          <w:sz w:val="28"/>
          <w:szCs w:val="28"/>
        </w:rPr>
      </w:pPr>
      <w:r>
        <w:rPr>
          <w:rStyle w:val="num"/>
          <w:rFonts w:ascii="Arial Black" w:hAnsi="Arial Black"/>
          <w:sz w:val="28"/>
          <w:szCs w:val="28"/>
        </w:rPr>
        <w:t>VA:  FED. FIREARMS LAW – MISD. DOMESTIC VIOLENCE CONV. - LIFETIME BAN – VOL. FF MUST GET EXPUNGED</w:t>
      </w:r>
    </w:p>
    <w:p w14:paraId="13A1E40D" w14:textId="77777777" w:rsidR="00CD5950" w:rsidRDefault="00CD5950" w:rsidP="00CD5950">
      <w:pPr>
        <w:pStyle w:val="Heading1"/>
        <w:rPr>
          <w:b w:val="0"/>
          <w:bCs w:val="0"/>
          <w:sz w:val="24"/>
          <w:szCs w:val="24"/>
        </w:rPr>
      </w:pPr>
      <w:r>
        <w:rPr>
          <w:b w:val="0"/>
          <w:bCs w:val="0"/>
          <w:sz w:val="24"/>
          <w:szCs w:val="24"/>
        </w:rPr>
        <w:t xml:space="preserve">On Feb. 22, 2021, in </w:t>
      </w:r>
      <w:r w:rsidRPr="00506AF4">
        <w:rPr>
          <w:b w:val="0"/>
          <w:bCs w:val="0"/>
          <w:sz w:val="24"/>
          <w:szCs w:val="24"/>
          <w:u w:val="single"/>
        </w:rPr>
        <w:t>Robert Timothy Harley v. Robert M. Wil</w:t>
      </w:r>
      <w:r>
        <w:rPr>
          <w:b w:val="0"/>
          <w:bCs w:val="0"/>
          <w:sz w:val="24"/>
          <w:szCs w:val="24"/>
          <w:u w:val="single"/>
        </w:rPr>
        <w:t>kin</w:t>
      </w:r>
      <w:r w:rsidRPr="00506AF4">
        <w:rPr>
          <w:b w:val="0"/>
          <w:bCs w:val="0"/>
          <w:sz w:val="24"/>
          <w:szCs w:val="24"/>
          <w:u w:val="single"/>
        </w:rPr>
        <w:t>son, Acting Attorney General of United States</w:t>
      </w:r>
      <w:r>
        <w:rPr>
          <w:b w:val="0"/>
          <w:bCs w:val="0"/>
          <w:sz w:val="24"/>
          <w:szCs w:val="24"/>
        </w:rPr>
        <w:t>, the U.S. Court of Appeals for the Fourth Circuit held (2 to 1) that federal courts have no authority to amend the life-time ban imposed by Congress in 1996 on possession of a firearm by anyone convicted of “</w:t>
      </w:r>
      <w:hyperlink r:id="rId272" w:history="1">
        <w:r w:rsidRPr="00041BD1">
          <w:rPr>
            <w:rStyle w:val="Hyperlink"/>
            <w:b w:val="0"/>
            <w:bCs w:val="0"/>
            <w:sz w:val="24"/>
            <w:szCs w:val="24"/>
          </w:rPr>
          <w:t>misdemeanor crime of domestic violence</w:t>
        </w:r>
      </w:hyperlink>
      <w:r>
        <w:rPr>
          <w:b w:val="0"/>
          <w:bCs w:val="0"/>
          <w:sz w:val="24"/>
          <w:szCs w:val="24"/>
        </w:rPr>
        <w:t xml:space="preserve">” (18 USC 922 (g)(9)). His only remedy is to seek expungement of the conviction in Virginia, or a pardon from the President. </w:t>
      </w:r>
    </w:p>
    <w:p w14:paraId="44B672A1" w14:textId="77777777" w:rsidR="00CD5950" w:rsidRDefault="00CD5950" w:rsidP="00CD5950">
      <w:pPr>
        <w:pStyle w:val="Heading1"/>
        <w:ind w:left="720"/>
        <w:rPr>
          <w:b w:val="0"/>
          <w:bCs w:val="0"/>
          <w:sz w:val="24"/>
          <w:szCs w:val="24"/>
        </w:rPr>
      </w:pPr>
      <w:r>
        <w:rPr>
          <w:b w:val="0"/>
          <w:bCs w:val="0"/>
          <w:sz w:val="24"/>
          <w:szCs w:val="24"/>
        </w:rPr>
        <w:t>“</w:t>
      </w:r>
      <w:r w:rsidRPr="00A555AB">
        <w:rPr>
          <w:b w:val="0"/>
          <w:bCs w:val="0"/>
          <w:sz w:val="24"/>
          <w:szCs w:val="24"/>
        </w:rPr>
        <w:t>Harley argues that the district court improperly conducted its as-applied analysis under the Second Amendment because the court failed to consider Harley's personal history following his conviction. He contends that his individual characteristics, namely, the long passage of time since his misdemeanor conviction and his exemplary life in the many years since his conviction, render Section 922(g)(9) unconstitutional as applied to him.</w:t>
      </w:r>
    </w:p>
    <w:p w14:paraId="26587543" w14:textId="77777777" w:rsidR="00CD5950" w:rsidRDefault="00CD5950" w:rsidP="00CD5950">
      <w:pPr>
        <w:pStyle w:val="Heading1"/>
        <w:ind w:firstLine="720"/>
        <w:rPr>
          <w:b w:val="0"/>
          <w:bCs w:val="0"/>
          <w:sz w:val="24"/>
          <w:szCs w:val="24"/>
        </w:rPr>
      </w:pPr>
      <w:r>
        <w:rPr>
          <w:b w:val="0"/>
          <w:bCs w:val="0"/>
          <w:sz w:val="24"/>
          <w:szCs w:val="24"/>
        </w:rPr>
        <w:t>***</w:t>
      </w:r>
    </w:p>
    <w:p w14:paraId="2A975EF6" w14:textId="77777777" w:rsidR="00CD5950" w:rsidRDefault="00CD5950" w:rsidP="00CD5950">
      <w:pPr>
        <w:pStyle w:val="Heading1"/>
        <w:ind w:left="720"/>
        <w:rPr>
          <w:b w:val="0"/>
          <w:bCs w:val="0"/>
          <w:sz w:val="24"/>
          <w:szCs w:val="24"/>
        </w:rPr>
      </w:pPr>
      <w:r w:rsidRPr="00DF1EAD">
        <w:rPr>
          <w:b w:val="0"/>
          <w:bCs w:val="0"/>
          <w:sz w:val="24"/>
          <w:szCs w:val="24"/>
        </w:rPr>
        <w:t>Harley's suggested approach is fundamentally flawed because it effectively would create an exception to the statute that does not exist. The statute imposes a flat prohibition, with no reference to individual circumstances occurring after the disqualifying conviction. Despite its power to do so, Congress did not provide a sunset clause or a good behavior exception to the statute.</w:t>
      </w:r>
      <w:r>
        <w:rPr>
          <w:b w:val="0"/>
          <w:bCs w:val="0"/>
          <w:sz w:val="24"/>
          <w:szCs w:val="24"/>
        </w:rPr>
        <w:t xml:space="preserve">” </w:t>
      </w:r>
      <w:hyperlink r:id="rId273" w:history="1">
        <w:r w:rsidRPr="00EA374E">
          <w:rPr>
            <w:rStyle w:val="Hyperlink"/>
            <w:b w:val="0"/>
            <w:bCs w:val="0"/>
            <w:sz w:val="24"/>
            <w:szCs w:val="24"/>
          </w:rPr>
          <w:t>https://www.ca4.uscourts.gov/opinions/191632.P.pdf</w:t>
        </w:r>
      </w:hyperlink>
      <w:r>
        <w:rPr>
          <w:b w:val="0"/>
          <w:bCs w:val="0"/>
          <w:sz w:val="24"/>
          <w:szCs w:val="24"/>
        </w:rPr>
        <w:t xml:space="preserve"> </w:t>
      </w:r>
    </w:p>
    <w:p w14:paraId="0C22D21F" w14:textId="77777777" w:rsidR="00CD5950" w:rsidRDefault="00CD5950" w:rsidP="00CD5950">
      <w:pPr>
        <w:pStyle w:val="NoSpacing"/>
        <w:rPr>
          <w:rFonts w:ascii="Times New Roman" w:hAnsi="Times New Roman"/>
          <w:sz w:val="24"/>
          <w:szCs w:val="24"/>
        </w:rPr>
      </w:pPr>
    </w:p>
    <w:p w14:paraId="66E8928F" w14:textId="77777777" w:rsidR="00CD5950" w:rsidRDefault="00CD5950" w:rsidP="00CD5950">
      <w:pPr>
        <w:pStyle w:val="NoSpacing"/>
        <w:rPr>
          <w:rFonts w:ascii="Times New Roman" w:hAnsi="Times New Roman"/>
          <w:sz w:val="24"/>
          <w:szCs w:val="24"/>
        </w:rPr>
      </w:pPr>
      <w:r w:rsidRPr="00041BD1">
        <w:rPr>
          <w:rFonts w:ascii="Times New Roman" w:hAnsi="Times New Roman"/>
          <w:b/>
          <w:bCs/>
          <w:sz w:val="24"/>
          <w:szCs w:val="24"/>
        </w:rPr>
        <w:t>Legal Lesson Learned:</w:t>
      </w:r>
      <w:r>
        <w:rPr>
          <w:rFonts w:ascii="Times New Roman" w:hAnsi="Times New Roman"/>
          <w:b/>
          <w:bCs/>
          <w:sz w:val="24"/>
          <w:szCs w:val="24"/>
        </w:rPr>
        <w:t xml:space="preserve">  Congress enacted this statute in 1996 in response to an increase in use of firearms in domestic violence cases.  </w:t>
      </w:r>
    </w:p>
    <w:p w14:paraId="034B5DB5" w14:textId="77777777" w:rsidR="00CD5950" w:rsidRDefault="00CD5950" w:rsidP="00CD5950">
      <w:pPr>
        <w:pStyle w:val="NoSpacing"/>
        <w:rPr>
          <w:rFonts w:ascii="Times New Roman" w:hAnsi="Times New Roman"/>
          <w:sz w:val="24"/>
          <w:szCs w:val="24"/>
        </w:rPr>
      </w:pPr>
    </w:p>
    <w:p w14:paraId="7D568F7D" w14:textId="77777777" w:rsidR="00CD5950" w:rsidRDefault="00CD5950" w:rsidP="00CD5950">
      <w:pPr>
        <w:pStyle w:val="NoSpacing"/>
        <w:ind w:left="720"/>
        <w:rPr>
          <w:rFonts w:ascii="Times New Roman" w:hAnsi="Times New Roman"/>
          <w:sz w:val="24"/>
          <w:szCs w:val="24"/>
        </w:rPr>
      </w:pPr>
      <w:r>
        <w:rPr>
          <w:rFonts w:ascii="Times New Roman" w:hAnsi="Times New Roman"/>
          <w:sz w:val="24"/>
          <w:szCs w:val="24"/>
        </w:rPr>
        <w:t xml:space="preserve">Note:   See these additional facts [from Dissenting Opinion by Circuit Judge Julius N. Richardson]  </w:t>
      </w:r>
    </w:p>
    <w:p w14:paraId="7CCBAB17" w14:textId="77777777" w:rsidR="00CD5950" w:rsidRDefault="00CD5950" w:rsidP="00CD5950">
      <w:pPr>
        <w:pStyle w:val="NoSpacing"/>
        <w:rPr>
          <w:rFonts w:ascii="Times New Roman" w:hAnsi="Times New Roman"/>
          <w:sz w:val="24"/>
          <w:szCs w:val="24"/>
        </w:rPr>
      </w:pPr>
    </w:p>
    <w:p w14:paraId="2C6F8BDD" w14:textId="77777777" w:rsidR="00CD5950" w:rsidRPr="00420C04" w:rsidRDefault="00CD5950" w:rsidP="00CD5950">
      <w:pPr>
        <w:pStyle w:val="NoSpacing"/>
        <w:ind w:left="1440"/>
        <w:rPr>
          <w:rFonts w:ascii="Times New Roman" w:eastAsia="Times New Roman" w:hAnsi="Times New Roman"/>
          <w:sz w:val="24"/>
          <w:szCs w:val="24"/>
        </w:rPr>
      </w:pPr>
      <w:r>
        <w:rPr>
          <w:rFonts w:ascii="Times New Roman" w:hAnsi="Times New Roman"/>
          <w:sz w:val="24"/>
          <w:szCs w:val="24"/>
        </w:rPr>
        <w:t>“</w:t>
      </w:r>
      <w:r w:rsidRPr="00420C04">
        <w:rPr>
          <w:rFonts w:ascii="Times New Roman" w:eastAsia="Times New Roman" w:hAnsi="Times New Roman"/>
          <w:sz w:val="24"/>
          <w:szCs w:val="24"/>
        </w:rPr>
        <w:t>Nearly thirty years ago, Harley paid a $75 fine after pleading guilty to a misdemeanor domestic assault charge under Virginia Code § 18.2-57.2. As Harley alleges,</w:t>
      </w:r>
      <w:r>
        <w:rPr>
          <w:rFonts w:ascii="Times New Roman" w:eastAsia="Times New Roman" w:hAnsi="Times New Roman"/>
          <w:sz w:val="24"/>
          <w:szCs w:val="24"/>
        </w:rPr>
        <w:t xml:space="preserve"> </w:t>
      </w:r>
      <w:r w:rsidRPr="00420C04">
        <w:rPr>
          <w:rFonts w:ascii="Times New Roman" w:eastAsia="Times New Roman" w:hAnsi="Times New Roman"/>
          <w:sz w:val="24"/>
          <w:szCs w:val="24"/>
        </w:rPr>
        <w:t xml:space="preserve">[t]he charge was based on a single, </w:t>
      </w:r>
      <w:proofErr w:type="gramStart"/>
      <w:r w:rsidRPr="00420C04">
        <w:rPr>
          <w:rFonts w:ascii="Times New Roman" w:eastAsia="Times New Roman" w:hAnsi="Times New Roman"/>
          <w:sz w:val="24"/>
          <w:szCs w:val="24"/>
        </w:rPr>
        <w:t>one off</w:t>
      </w:r>
      <w:proofErr w:type="gramEnd"/>
      <w:r w:rsidRPr="00420C04">
        <w:rPr>
          <w:rFonts w:ascii="Times New Roman" w:eastAsia="Times New Roman" w:hAnsi="Times New Roman"/>
          <w:sz w:val="24"/>
          <w:szCs w:val="24"/>
        </w:rPr>
        <w:t xml:space="preserve"> incident[:] Mr. Harley and his wife had an argument while she was inside a </w:t>
      </w:r>
      <w:proofErr w:type="gramStart"/>
      <w:r w:rsidRPr="00420C04">
        <w:rPr>
          <w:rFonts w:ascii="Times New Roman" w:eastAsia="Times New Roman" w:hAnsi="Times New Roman"/>
          <w:sz w:val="24"/>
          <w:szCs w:val="24"/>
        </w:rPr>
        <w:t>SUV</w:t>
      </w:r>
      <w:proofErr w:type="gramEnd"/>
      <w:r w:rsidRPr="00420C04">
        <w:rPr>
          <w:rFonts w:ascii="Times New Roman" w:eastAsia="Times New Roman" w:hAnsi="Times New Roman"/>
          <w:sz w:val="24"/>
          <w:szCs w:val="24"/>
        </w:rPr>
        <w:t xml:space="preserve"> and he was standing outside the vehicle. He stood on the running board and reached into the vehicle to turn it off, and she pushed him. He reached inside the vehicle to hold on and, in so doing, he grabbed her arm</w:t>
      </w:r>
      <w:r>
        <w:rPr>
          <w:rFonts w:ascii="Times New Roman" w:eastAsia="Times New Roman" w:hAnsi="Times New Roman"/>
          <w:sz w:val="24"/>
          <w:szCs w:val="24"/>
        </w:rPr>
        <w:t xml:space="preserve">…. </w:t>
      </w:r>
      <w:r w:rsidRPr="00420C04">
        <w:rPr>
          <w:rFonts w:ascii="Times New Roman" w:eastAsia="Times New Roman" w:hAnsi="Times New Roman"/>
          <w:sz w:val="24"/>
          <w:szCs w:val="24"/>
        </w:rPr>
        <w:t xml:space="preserve">During the incident, there </w:t>
      </w:r>
      <w:r>
        <w:rPr>
          <w:rFonts w:ascii="Times New Roman" w:eastAsia="Times New Roman" w:hAnsi="Times New Roman"/>
          <w:sz w:val="24"/>
          <w:szCs w:val="24"/>
        </w:rPr>
        <w:t>‘</w:t>
      </w:r>
      <w:r w:rsidRPr="00420C04">
        <w:rPr>
          <w:rFonts w:ascii="Times New Roman" w:eastAsia="Times New Roman" w:hAnsi="Times New Roman"/>
          <w:sz w:val="24"/>
          <w:szCs w:val="24"/>
        </w:rPr>
        <w:t>was no punching, slapping, hitting, or violence.</w:t>
      </w:r>
      <w:r>
        <w:rPr>
          <w:rFonts w:ascii="Times New Roman" w:eastAsia="Times New Roman" w:hAnsi="Times New Roman"/>
          <w:sz w:val="24"/>
          <w:szCs w:val="24"/>
        </w:rPr>
        <w:t>’</w:t>
      </w:r>
      <w:r w:rsidRPr="00420C04">
        <w:rPr>
          <w:rFonts w:ascii="Times New Roman" w:eastAsia="Times New Roman" w:hAnsi="Times New Roman"/>
          <w:sz w:val="24"/>
          <w:szCs w:val="24"/>
        </w:rPr>
        <w:t xml:space="preserve"> </w:t>
      </w:r>
      <w:r w:rsidRPr="00420C04">
        <w:rPr>
          <w:rFonts w:ascii="Times New Roman" w:eastAsia="Times New Roman" w:hAnsi="Times New Roman"/>
          <w:i/>
          <w:iCs/>
          <w:sz w:val="24"/>
          <w:szCs w:val="24"/>
        </w:rPr>
        <w:t>Id</w:t>
      </w:r>
      <w:r w:rsidRPr="00420C04">
        <w:rPr>
          <w:rFonts w:ascii="Times New Roman" w:eastAsia="Times New Roman" w:hAnsi="Times New Roman"/>
          <w:sz w:val="24"/>
          <w:szCs w:val="24"/>
        </w:rPr>
        <w:t xml:space="preserve">. While Harley and his wife later separated and divorced, they </w:t>
      </w:r>
      <w:r>
        <w:rPr>
          <w:rFonts w:ascii="Times New Roman" w:eastAsia="Times New Roman" w:hAnsi="Times New Roman"/>
          <w:sz w:val="24"/>
          <w:szCs w:val="24"/>
        </w:rPr>
        <w:t>‘</w:t>
      </w:r>
      <w:r w:rsidRPr="00420C04">
        <w:rPr>
          <w:rFonts w:ascii="Times New Roman" w:eastAsia="Times New Roman" w:hAnsi="Times New Roman"/>
          <w:sz w:val="24"/>
          <w:szCs w:val="24"/>
        </w:rPr>
        <w:t>remained on friendly and amicable terms working collaboratively to successfully raise their children.</w:t>
      </w:r>
      <w:r>
        <w:rPr>
          <w:rFonts w:ascii="Times New Roman" w:eastAsia="Times New Roman" w:hAnsi="Times New Roman"/>
          <w:sz w:val="24"/>
          <w:szCs w:val="24"/>
        </w:rPr>
        <w:t>’</w:t>
      </w:r>
      <w:r w:rsidRPr="00420C04">
        <w:rPr>
          <w:rFonts w:ascii="Times New Roman" w:eastAsia="Times New Roman" w:hAnsi="Times New Roman"/>
          <w:sz w:val="24"/>
          <w:szCs w:val="24"/>
        </w:rPr>
        <w:t xml:space="preserve"> </w:t>
      </w:r>
      <w:r w:rsidRPr="00420C04">
        <w:rPr>
          <w:rFonts w:ascii="Times New Roman" w:eastAsia="Times New Roman" w:hAnsi="Times New Roman"/>
          <w:i/>
          <w:iCs/>
          <w:sz w:val="24"/>
          <w:szCs w:val="24"/>
        </w:rPr>
        <w:t>Id</w:t>
      </w:r>
      <w:r w:rsidRPr="00420C04">
        <w:rPr>
          <w:rFonts w:ascii="Times New Roman" w:eastAsia="Times New Roman" w:hAnsi="Times New Roman"/>
          <w:sz w:val="24"/>
          <w:szCs w:val="24"/>
        </w:rPr>
        <w:t>. Harley provided an affidavit from his ex-wife supporting his version of the incident underlying his conviction. J.A. 23-24.</w:t>
      </w:r>
    </w:p>
    <w:p w14:paraId="4E557686" w14:textId="77777777" w:rsidR="00CD5950" w:rsidRDefault="00CD5950" w:rsidP="00CD5950">
      <w:pPr>
        <w:pStyle w:val="NoSpacing"/>
        <w:ind w:left="720" w:firstLine="720"/>
        <w:rPr>
          <w:rFonts w:ascii="Times New Roman" w:hAnsi="Times New Roman"/>
          <w:sz w:val="24"/>
          <w:szCs w:val="24"/>
        </w:rPr>
      </w:pPr>
    </w:p>
    <w:p w14:paraId="7E8E65DF" w14:textId="77777777" w:rsidR="00CD5950" w:rsidRDefault="00CD5950" w:rsidP="00CD5950">
      <w:pPr>
        <w:pStyle w:val="NoSpacing"/>
        <w:ind w:left="720" w:firstLine="720"/>
        <w:rPr>
          <w:rFonts w:ascii="Times New Roman" w:hAnsi="Times New Roman"/>
          <w:sz w:val="24"/>
          <w:szCs w:val="24"/>
        </w:rPr>
      </w:pPr>
    </w:p>
    <w:p w14:paraId="37E70D9B" w14:textId="77777777" w:rsidR="00CD5950" w:rsidRDefault="00CD5950" w:rsidP="00CD5950">
      <w:pPr>
        <w:pStyle w:val="NoSpacing"/>
        <w:ind w:left="720" w:firstLine="720"/>
        <w:rPr>
          <w:rFonts w:ascii="Times New Roman" w:hAnsi="Times New Roman"/>
          <w:sz w:val="24"/>
          <w:szCs w:val="24"/>
        </w:rPr>
      </w:pPr>
      <w:r>
        <w:rPr>
          <w:rFonts w:ascii="Times New Roman" w:hAnsi="Times New Roman"/>
          <w:sz w:val="24"/>
          <w:szCs w:val="24"/>
        </w:rPr>
        <w:lastRenderedPageBreak/>
        <w:t>***</w:t>
      </w:r>
    </w:p>
    <w:p w14:paraId="3601B4DF" w14:textId="77777777" w:rsidR="00CD5950" w:rsidRPr="00420C04" w:rsidRDefault="00CD5950" w:rsidP="00CD5950">
      <w:pPr>
        <w:pStyle w:val="NoSpacing"/>
        <w:ind w:left="1440"/>
        <w:rPr>
          <w:rFonts w:ascii="Times New Roman" w:hAnsi="Times New Roman"/>
          <w:sz w:val="24"/>
          <w:szCs w:val="24"/>
        </w:rPr>
      </w:pPr>
      <w:r w:rsidRPr="00420C04">
        <w:rPr>
          <w:rFonts w:ascii="Times New Roman" w:hAnsi="Times New Roman"/>
          <w:sz w:val="24"/>
          <w:szCs w:val="24"/>
        </w:rPr>
        <w:t xml:space="preserve">The government, citing a police report, suggests that Harley's actions were more serious and perhaps not a lone incident. </w:t>
      </w:r>
      <w:r w:rsidRPr="00420C04">
        <w:rPr>
          <w:rFonts w:ascii="Times New Roman" w:hAnsi="Times New Roman"/>
          <w:i/>
          <w:iCs/>
          <w:sz w:val="24"/>
          <w:szCs w:val="24"/>
        </w:rPr>
        <w:t>See</w:t>
      </w:r>
      <w:r w:rsidRPr="00420C04">
        <w:rPr>
          <w:rFonts w:ascii="Times New Roman" w:hAnsi="Times New Roman"/>
          <w:sz w:val="24"/>
          <w:szCs w:val="24"/>
        </w:rPr>
        <w:t xml:space="preserve"> Appellee Br. 3; J.A. 73. Maybe so. But the district court ignored the conduct underlying the conviction, believing it was not germane, and granted summary judgment for the government. In doing so, the court disregarded Harley's particular conviction.</w:t>
      </w:r>
    </w:p>
    <w:p w14:paraId="7A84A660" w14:textId="77777777" w:rsidR="00CD5950" w:rsidRDefault="00CD5950" w:rsidP="00CD5950">
      <w:pPr>
        <w:pStyle w:val="NoSpacing"/>
        <w:ind w:left="720"/>
        <w:rPr>
          <w:rFonts w:ascii="Times New Roman" w:hAnsi="Times New Roman"/>
          <w:sz w:val="24"/>
          <w:szCs w:val="24"/>
        </w:rPr>
      </w:pPr>
    </w:p>
    <w:p w14:paraId="4DEFA922" w14:textId="77777777" w:rsidR="00CD5950" w:rsidRDefault="00CD5950" w:rsidP="00CD5950">
      <w:pPr>
        <w:pStyle w:val="NoSpacing"/>
        <w:ind w:left="720" w:firstLine="720"/>
        <w:rPr>
          <w:rFonts w:ascii="Times New Roman" w:hAnsi="Times New Roman"/>
          <w:sz w:val="24"/>
          <w:szCs w:val="24"/>
        </w:rPr>
      </w:pPr>
      <w:r>
        <w:rPr>
          <w:rFonts w:ascii="Times New Roman" w:hAnsi="Times New Roman"/>
          <w:sz w:val="24"/>
          <w:szCs w:val="24"/>
        </w:rPr>
        <w:t>***</w:t>
      </w:r>
    </w:p>
    <w:p w14:paraId="7E386BB8" w14:textId="77777777" w:rsidR="00CD5950" w:rsidRDefault="00CD5950" w:rsidP="00CD5950">
      <w:pPr>
        <w:pStyle w:val="NoSpacing"/>
        <w:rPr>
          <w:rFonts w:ascii="Times New Roman" w:hAnsi="Times New Roman"/>
          <w:sz w:val="24"/>
          <w:szCs w:val="24"/>
        </w:rPr>
      </w:pPr>
    </w:p>
    <w:p w14:paraId="55896109" w14:textId="77777777" w:rsidR="00CD5950" w:rsidRPr="00420C04" w:rsidRDefault="00CD5950" w:rsidP="00CD5950">
      <w:pPr>
        <w:pStyle w:val="NoSpacing"/>
        <w:ind w:left="1440"/>
        <w:rPr>
          <w:rFonts w:ascii="Times New Roman" w:hAnsi="Times New Roman"/>
          <w:sz w:val="24"/>
          <w:szCs w:val="24"/>
        </w:rPr>
      </w:pPr>
      <w:r w:rsidRPr="00420C04">
        <w:rPr>
          <w:rFonts w:ascii="Times New Roman" w:hAnsi="Times New Roman"/>
          <w:sz w:val="24"/>
          <w:szCs w:val="24"/>
        </w:rPr>
        <w:t>Harley plausibly claims that § 922(g)(9) cannot be constitutionally applied to him as an individual with a nearly thirty-year-old misdemeanor conviction for recklessly causing an offensive touching. We should not categorically reject that claim. Accordingly, I respectfully dissent.</w:t>
      </w:r>
      <w:r>
        <w:rPr>
          <w:rFonts w:ascii="Times New Roman" w:hAnsi="Times New Roman"/>
          <w:sz w:val="24"/>
          <w:szCs w:val="24"/>
        </w:rPr>
        <w:t>”</w:t>
      </w:r>
    </w:p>
    <w:p w14:paraId="125C8564" w14:textId="77777777" w:rsidR="00CD5950" w:rsidRDefault="00CD5950" w:rsidP="00CD5950">
      <w:pPr>
        <w:pStyle w:val="NoSpacing"/>
        <w:ind w:left="720"/>
        <w:rPr>
          <w:rFonts w:ascii="Times New Roman" w:hAnsi="Times New Roman"/>
          <w:sz w:val="24"/>
          <w:szCs w:val="24"/>
        </w:rPr>
      </w:pPr>
    </w:p>
    <w:p w14:paraId="30F0AFD9" w14:textId="77777777" w:rsidR="00CD5950" w:rsidRDefault="00CD5950" w:rsidP="002B1283">
      <w:pPr>
        <w:rPr>
          <w:rFonts w:ascii="Arial Black" w:hAnsi="Arial Black"/>
          <w:b/>
          <w:sz w:val="24"/>
          <w:szCs w:val="24"/>
        </w:rPr>
      </w:pPr>
    </w:p>
    <w:p w14:paraId="3772B35A" w14:textId="77777777" w:rsidR="00CD5950" w:rsidRDefault="00CD5950" w:rsidP="002B1283">
      <w:pPr>
        <w:rPr>
          <w:rFonts w:ascii="Arial Black" w:hAnsi="Arial Black"/>
          <w:b/>
          <w:sz w:val="24"/>
          <w:szCs w:val="24"/>
        </w:rPr>
      </w:pPr>
    </w:p>
    <w:p w14:paraId="50C66CFE" w14:textId="43748C91" w:rsidR="00F90EE5" w:rsidRDefault="00F90EE5"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2</w:t>
      </w:r>
    </w:p>
    <w:p w14:paraId="6F934797" w14:textId="77777777" w:rsidR="00F90EE5" w:rsidRDefault="00F90EE5" w:rsidP="00F90EE5">
      <w:pPr>
        <w:rPr>
          <w:rFonts w:ascii="Arial Black" w:hAnsi="Arial Black"/>
          <w:sz w:val="28"/>
          <w:szCs w:val="28"/>
        </w:rPr>
      </w:pPr>
      <w:r>
        <w:rPr>
          <w:rFonts w:ascii="Arial Black" w:hAnsi="Arial Black"/>
          <w:sz w:val="28"/>
          <w:szCs w:val="28"/>
        </w:rPr>
        <w:t>WA: BURN BAN – SMALL FIRE – PD NEEDED WARRANT, “COMMUNITY CARETAKING” EXCEPTION DOESN’T APPY</w:t>
      </w:r>
    </w:p>
    <w:p w14:paraId="002E708F" w14:textId="77777777" w:rsidR="00F90EE5" w:rsidRDefault="00F90EE5" w:rsidP="00F90EE5">
      <w:pPr>
        <w:rPr>
          <w:rFonts w:ascii="Times New Roman" w:hAnsi="Times New Roman"/>
          <w:sz w:val="24"/>
          <w:szCs w:val="24"/>
        </w:rPr>
      </w:pPr>
      <w:r>
        <w:rPr>
          <w:rFonts w:ascii="Times New Roman" w:hAnsi="Times New Roman"/>
          <w:sz w:val="24"/>
          <w:szCs w:val="24"/>
        </w:rPr>
        <w:t xml:space="preserve">On Jan. 26, 2021, in </w:t>
      </w:r>
      <w:r w:rsidRPr="00E17590">
        <w:rPr>
          <w:rFonts w:ascii="Times New Roman" w:hAnsi="Times New Roman"/>
          <w:sz w:val="24"/>
          <w:szCs w:val="24"/>
          <w:u w:val="single"/>
        </w:rPr>
        <w:t xml:space="preserve">State of Washington v. Troy C. </w:t>
      </w:r>
      <w:proofErr w:type="spellStart"/>
      <w:r w:rsidRPr="00E17590">
        <w:rPr>
          <w:rFonts w:ascii="Times New Roman" w:hAnsi="Times New Roman"/>
          <w:sz w:val="24"/>
          <w:szCs w:val="24"/>
          <w:u w:val="single"/>
        </w:rPr>
        <w:t>Restvedt</w:t>
      </w:r>
      <w:proofErr w:type="spellEnd"/>
      <w:r>
        <w:rPr>
          <w:rFonts w:ascii="Times New Roman" w:hAnsi="Times New Roman"/>
          <w:sz w:val="24"/>
          <w:szCs w:val="24"/>
        </w:rPr>
        <w:t xml:space="preserve">, the Court of Appeals of the State of Washington (Division II) held (2 to 1; unpublished opinion) that </w:t>
      </w:r>
      <w:r w:rsidRPr="00E17590">
        <w:rPr>
          <w:rFonts w:ascii="Times New Roman" w:hAnsi="Times New Roman"/>
          <w:sz w:val="24"/>
          <w:szCs w:val="24"/>
        </w:rPr>
        <w:t xml:space="preserve">the trial court trial court </w:t>
      </w:r>
      <w:r>
        <w:rPr>
          <w:rFonts w:ascii="Times New Roman" w:hAnsi="Times New Roman"/>
          <w:sz w:val="24"/>
          <w:szCs w:val="24"/>
        </w:rPr>
        <w:t xml:space="preserve">improperly ruled </w:t>
      </w:r>
      <w:r w:rsidRPr="00E17590">
        <w:rPr>
          <w:rFonts w:ascii="Times New Roman" w:hAnsi="Times New Roman"/>
          <w:sz w:val="24"/>
          <w:szCs w:val="24"/>
        </w:rPr>
        <w:t>that the emergency aid function of the community caretaking exception applied to the officers' warrantless search</w:t>
      </w:r>
      <w:r>
        <w:rPr>
          <w:rFonts w:ascii="Times New Roman" w:hAnsi="Times New Roman"/>
          <w:sz w:val="24"/>
          <w:szCs w:val="24"/>
        </w:rPr>
        <w:t xml:space="preserve"> of the property and reversed the homeowners convictions for violating the no burn ordinance and resisting arrest.  The dissenting justice agreed with the trial court judge that no search warrant was required.</w:t>
      </w:r>
    </w:p>
    <w:p w14:paraId="10A0C571" w14:textId="77777777" w:rsidR="00F90EE5" w:rsidRPr="00D52F5A" w:rsidRDefault="00F90EE5" w:rsidP="00F90EE5">
      <w:pPr>
        <w:ind w:left="720"/>
        <w:rPr>
          <w:rFonts w:ascii="Times New Roman" w:hAnsi="Times New Roman"/>
          <w:sz w:val="24"/>
          <w:szCs w:val="24"/>
        </w:rPr>
      </w:pPr>
      <w:r>
        <w:rPr>
          <w:rFonts w:ascii="Times New Roman" w:hAnsi="Times New Roman"/>
          <w:sz w:val="24"/>
          <w:szCs w:val="24"/>
        </w:rPr>
        <w:t>“[T]he</w:t>
      </w:r>
      <w:r w:rsidRPr="00D52F5A">
        <w:rPr>
          <w:rFonts w:ascii="Times New Roman" w:hAnsi="Times New Roman"/>
          <w:sz w:val="24"/>
          <w:szCs w:val="24"/>
        </w:rPr>
        <w:t xml:space="preserve"> community caretaking exception is not the only exception to the warrant requirement. If officers were addressing a fire that was out of control, the exigent circumstances exception to the warrant requirement could have applied. </w:t>
      </w:r>
      <w:r w:rsidRPr="00D52F5A">
        <w:rPr>
          <w:rFonts w:ascii="Times New Roman" w:hAnsi="Times New Roman"/>
          <w:i/>
          <w:iCs/>
          <w:sz w:val="24"/>
          <w:szCs w:val="24"/>
        </w:rPr>
        <w:t>See State v</w:t>
      </w:r>
      <w:r w:rsidRPr="00D52F5A">
        <w:rPr>
          <w:rFonts w:ascii="Times New Roman" w:hAnsi="Times New Roman"/>
          <w:sz w:val="24"/>
          <w:szCs w:val="24"/>
        </w:rPr>
        <w:t xml:space="preserve">. </w:t>
      </w:r>
      <w:r w:rsidRPr="00D52F5A">
        <w:rPr>
          <w:rFonts w:ascii="Times New Roman" w:hAnsi="Times New Roman"/>
          <w:i/>
          <w:iCs/>
          <w:sz w:val="24"/>
          <w:szCs w:val="24"/>
        </w:rPr>
        <w:t>Rawley</w:t>
      </w:r>
      <w:r w:rsidRPr="00D52F5A">
        <w:rPr>
          <w:rFonts w:ascii="Times New Roman" w:hAnsi="Times New Roman"/>
          <w:sz w:val="24"/>
          <w:szCs w:val="24"/>
        </w:rPr>
        <w:t xml:space="preserve">, 13 </w:t>
      </w:r>
      <w:proofErr w:type="spellStart"/>
      <w:r w:rsidRPr="00D52F5A">
        <w:rPr>
          <w:rFonts w:ascii="Times New Roman" w:hAnsi="Times New Roman"/>
          <w:sz w:val="24"/>
          <w:szCs w:val="24"/>
        </w:rPr>
        <w:t>Wn</w:t>
      </w:r>
      <w:proofErr w:type="spellEnd"/>
      <w:r w:rsidRPr="00D52F5A">
        <w:rPr>
          <w:rFonts w:ascii="Times New Roman" w:hAnsi="Times New Roman"/>
          <w:sz w:val="24"/>
          <w:szCs w:val="24"/>
        </w:rPr>
        <w:t>. App. 2d 474, 479, 466 P.3d 784 (2020). But here there was no evidence of any exigent circumstances.</w:t>
      </w:r>
      <w:r>
        <w:rPr>
          <w:rFonts w:ascii="Times New Roman" w:hAnsi="Times New Roman"/>
          <w:sz w:val="24"/>
          <w:szCs w:val="24"/>
        </w:rPr>
        <w:t xml:space="preserve">” </w:t>
      </w:r>
      <w:hyperlink r:id="rId274" w:history="1">
        <w:r w:rsidRPr="00741B4E">
          <w:rPr>
            <w:rStyle w:val="Hyperlink"/>
            <w:rFonts w:ascii="Times New Roman" w:hAnsi="Times New Roman"/>
            <w:sz w:val="24"/>
            <w:szCs w:val="24"/>
          </w:rPr>
          <w:t>https://law.justia.com/cases/washington/court-of-appeals-division-ii/2021/53365-1.html</w:t>
        </w:r>
      </w:hyperlink>
      <w:r>
        <w:rPr>
          <w:rFonts w:ascii="Times New Roman" w:hAnsi="Times New Roman"/>
          <w:sz w:val="24"/>
          <w:szCs w:val="24"/>
        </w:rPr>
        <w:t xml:space="preserve"> </w:t>
      </w:r>
    </w:p>
    <w:p w14:paraId="126D9A86" w14:textId="77777777" w:rsidR="00F90EE5" w:rsidRDefault="00F90EE5" w:rsidP="00F90EE5">
      <w:pPr>
        <w:spacing w:after="100" w:line="240" w:lineRule="auto"/>
        <w:rPr>
          <w:rFonts w:ascii="Times New Roman" w:hAnsi="Times New Roman"/>
          <w:b/>
          <w:bCs/>
          <w:sz w:val="24"/>
          <w:szCs w:val="24"/>
        </w:rPr>
      </w:pPr>
      <w:r w:rsidRPr="00AF6A7E">
        <w:rPr>
          <w:rFonts w:ascii="Times New Roman" w:hAnsi="Times New Roman"/>
          <w:b/>
          <w:bCs/>
          <w:sz w:val="24"/>
          <w:szCs w:val="24"/>
        </w:rPr>
        <w:t xml:space="preserve">Legal Lesson Learned: </w:t>
      </w:r>
      <w:r>
        <w:rPr>
          <w:rFonts w:ascii="Times New Roman" w:hAnsi="Times New Roman"/>
          <w:b/>
          <w:bCs/>
          <w:sz w:val="24"/>
          <w:szCs w:val="24"/>
        </w:rPr>
        <w:t xml:space="preserve"> The dissenting judge agreed with the trial court that the police did not need a search warrant to enter the property. </w:t>
      </w:r>
      <w:r>
        <w:rPr>
          <w:rFonts w:ascii="Times New Roman" w:hAnsi="Times New Roman"/>
          <w:b/>
          <w:bCs/>
          <w:sz w:val="24"/>
          <w:szCs w:val="24"/>
        </w:rPr>
        <w:br/>
      </w:r>
    </w:p>
    <w:p w14:paraId="11CDB43D" w14:textId="77777777" w:rsidR="00F90EE5" w:rsidRDefault="00F90EE5" w:rsidP="00F90EE5">
      <w:pPr>
        <w:spacing w:after="100" w:line="240" w:lineRule="auto"/>
        <w:rPr>
          <w:rFonts w:ascii="Times New Roman" w:hAnsi="Times New Roman"/>
          <w:b/>
          <w:bCs/>
          <w:sz w:val="24"/>
          <w:szCs w:val="24"/>
        </w:rPr>
      </w:pPr>
      <w:r>
        <w:rPr>
          <w:rFonts w:ascii="Times New Roman" w:hAnsi="Times New Roman"/>
          <w:b/>
          <w:bCs/>
          <w:sz w:val="24"/>
          <w:szCs w:val="24"/>
        </w:rPr>
        <w:tab/>
      </w:r>
      <w:r w:rsidRPr="00AF6A7E">
        <w:rPr>
          <w:rFonts w:ascii="Times New Roman" w:hAnsi="Times New Roman"/>
          <w:sz w:val="24"/>
          <w:szCs w:val="24"/>
        </w:rPr>
        <w:t>Note: Dissenting Judge</w:t>
      </w:r>
      <w:r>
        <w:rPr>
          <w:rFonts w:ascii="Times New Roman" w:hAnsi="Times New Roman"/>
          <w:sz w:val="24"/>
          <w:szCs w:val="24"/>
        </w:rPr>
        <w:t>’s opinion</w:t>
      </w:r>
      <w:r w:rsidRPr="00AF6A7E">
        <w:rPr>
          <w:rFonts w:ascii="Times New Roman" w:hAnsi="Times New Roman"/>
          <w:sz w:val="24"/>
          <w:szCs w:val="24"/>
        </w:rPr>
        <w:t>:</w:t>
      </w:r>
      <w:r>
        <w:rPr>
          <w:rFonts w:ascii="Times New Roman" w:hAnsi="Times New Roman"/>
          <w:b/>
          <w:bCs/>
          <w:sz w:val="24"/>
          <w:szCs w:val="24"/>
        </w:rPr>
        <w:t xml:space="preserve"> </w:t>
      </w:r>
    </w:p>
    <w:p w14:paraId="1B884C6C" w14:textId="77777777" w:rsidR="00F90EE5" w:rsidRPr="00AF6A7E" w:rsidRDefault="00F90EE5" w:rsidP="00F90EE5">
      <w:pPr>
        <w:spacing w:after="100" w:line="240" w:lineRule="auto"/>
        <w:ind w:left="720"/>
        <w:rPr>
          <w:rFonts w:ascii="Times New Roman" w:hAnsi="Times New Roman"/>
          <w:b/>
          <w:bCs/>
          <w:sz w:val="24"/>
          <w:szCs w:val="24"/>
        </w:rPr>
      </w:pPr>
      <w:r>
        <w:rPr>
          <w:rFonts w:ascii="Times New Roman" w:hAnsi="Times New Roman"/>
          <w:b/>
          <w:bCs/>
          <w:sz w:val="24"/>
          <w:szCs w:val="24"/>
        </w:rPr>
        <w:t>“</w:t>
      </w:r>
      <w:r w:rsidRPr="00AF6A7E">
        <w:rPr>
          <w:rFonts w:ascii="Times New Roman" w:hAnsi="Times New Roman"/>
          <w:sz w:val="24"/>
          <w:szCs w:val="24"/>
        </w:rPr>
        <w:t xml:space="preserve">The trial court concluded that given what the officers knew when they arrived, that there was a burn ban because of severe fire danger, that </w:t>
      </w:r>
      <w:proofErr w:type="spellStart"/>
      <w:r w:rsidRPr="00AF6A7E">
        <w:rPr>
          <w:rFonts w:ascii="Times New Roman" w:hAnsi="Times New Roman"/>
          <w:sz w:val="24"/>
          <w:szCs w:val="24"/>
        </w:rPr>
        <w:t>Restvedt</w:t>
      </w:r>
      <w:proofErr w:type="spellEnd"/>
      <w:r w:rsidRPr="00AF6A7E">
        <w:rPr>
          <w:rFonts w:ascii="Times New Roman" w:hAnsi="Times New Roman"/>
          <w:sz w:val="24"/>
          <w:szCs w:val="24"/>
        </w:rPr>
        <w:t xml:space="preserve"> was ignoring a fire department demand that he not burn fires in his backyard, that the fire department had asked for police assistance, that there were large trees nearby, and that they smelled smoke as soon as they arrived, this warranted them walking on the gravel driveway toward the backyard. Once they were near the backyard, they saw the fire through hanging tarps. All of this warranted them entering the backyard because they had </w:t>
      </w:r>
      <w:r>
        <w:rPr>
          <w:rFonts w:ascii="Times New Roman" w:hAnsi="Times New Roman"/>
          <w:sz w:val="24"/>
          <w:szCs w:val="24"/>
        </w:rPr>
        <w:t>‘</w:t>
      </w:r>
      <w:r w:rsidRPr="00AF6A7E">
        <w:rPr>
          <w:rFonts w:ascii="Times New Roman" w:hAnsi="Times New Roman"/>
          <w:sz w:val="24"/>
          <w:szCs w:val="24"/>
        </w:rPr>
        <w:t>a legitimate emergency concern in ensuring the defendant's fire was out during a county-wide burn ban</w:t>
      </w:r>
      <w:r>
        <w:rPr>
          <w:rFonts w:ascii="Times New Roman" w:hAnsi="Times New Roman"/>
          <w:sz w:val="24"/>
          <w:szCs w:val="24"/>
        </w:rPr>
        <w:t>’</w:t>
      </w:r>
      <w:r w:rsidRPr="00AF6A7E">
        <w:rPr>
          <w:rFonts w:ascii="Times New Roman" w:hAnsi="Times New Roman"/>
          <w:sz w:val="24"/>
          <w:szCs w:val="24"/>
        </w:rPr>
        <w:t xml:space="preserve"> under the community caretaking exception to the warrant requirement.</w:t>
      </w:r>
      <w:r>
        <w:rPr>
          <w:rFonts w:ascii="Times New Roman" w:hAnsi="Times New Roman"/>
          <w:sz w:val="24"/>
          <w:szCs w:val="24"/>
        </w:rPr>
        <w:t>”</w:t>
      </w:r>
    </w:p>
    <w:p w14:paraId="56E890EB" w14:textId="77777777" w:rsidR="00F90EE5" w:rsidRDefault="00F90EE5" w:rsidP="00F90EE5">
      <w:pPr>
        <w:spacing w:after="100" w:line="240" w:lineRule="auto"/>
        <w:ind w:left="720"/>
        <w:rPr>
          <w:rFonts w:ascii="Times New Roman" w:hAnsi="Times New Roman"/>
          <w:sz w:val="24"/>
          <w:szCs w:val="24"/>
        </w:rPr>
      </w:pPr>
    </w:p>
    <w:p w14:paraId="773E9EC0" w14:textId="40DF3C82" w:rsidR="00F90EE5" w:rsidRDefault="00F90EE5"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1</w:t>
      </w:r>
    </w:p>
    <w:p w14:paraId="2C155BE7" w14:textId="77777777" w:rsidR="00F90EE5" w:rsidRPr="00E91447" w:rsidRDefault="00F90EE5" w:rsidP="00F90EE5">
      <w:pPr>
        <w:rPr>
          <w:rFonts w:ascii="Arial Black" w:hAnsi="Arial Black"/>
          <w:sz w:val="28"/>
          <w:szCs w:val="28"/>
        </w:rPr>
      </w:pPr>
      <w:r>
        <w:rPr>
          <w:rFonts w:ascii="Arial Black" w:hAnsi="Arial Black"/>
          <w:sz w:val="28"/>
          <w:szCs w:val="28"/>
        </w:rPr>
        <w:lastRenderedPageBreak/>
        <w:t>IOWA:  ARSON – MOTORCYCLE HELMET / GLOVES / SUIT SMELLED GAS – USE NYLON EVIDENCE BAGS IF AVAILABLE</w:t>
      </w:r>
    </w:p>
    <w:p w14:paraId="4A736B42" w14:textId="77777777" w:rsidR="00F90EE5" w:rsidRDefault="00F90EE5" w:rsidP="00F90EE5">
      <w:pPr>
        <w:rPr>
          <w:rFonts w:ascii="Times New Roman" w:hAnsi="Times New Roman"/>
          <w:sz w:val="24"/>
          <w:szCs w:val="24"/>
        </w:rPr>
      </w:pPr>
      <w:r w:rsidRPr="00E91447">
        <w:rPr>
          <w:rFonts w:ascii="Times New Roman" w:hAnsi="Times New Roman"/>
          <w:sz w:val="24"/>
          <w:szCs w:val="24"/>
        </w:rPr>
        <w:t xml:space="preserve">On Jan. 21, 2021, in </w:t>
      </w:r>
      <w:r w:rsidRPr="00E91447">
        <w:rPr>
          <w:rFonts w:ascii="Times New Roman" w:hAnsi="Times New Roman"/>
          <w:sz w:val="24"/>
          <w:szCs w:val="24"/>
          <w:u w:val="single"/>
        </w:rPr>
        <w:t>State of Iowa v. Patrick Ryan Thompson</w:t>
      </w:r>
      <w:r>
        <w:rPr>
          <w:rFonts w:ascii="Times New Roman" w:hAnsi="Times New Roman"/>
          <w:sz w:val="24"/>
          <w:szCs w:val="24"/>
        </w:rPr>
        <w:t>, the Court of Appeals of Iowa upheld (3 to 0) the jury conviction for murder and arson; while the smell of gasoline on the defendant’s motorcycle suit, helmet and gloves, when evidence reached the state crime lab “</w:t>
      </w:r>
      <w:r w:rsidRPr="00A1755E">
        <w:rPr>
          <w:rFonts w:ascii="Times New Roman" w:hAnsi="Times New Roman"/>
          <w:sz w:val="24"/>
          <w:szCs w:val="24"/>
        </w:rPr>
        <w:t>none of the items had traces of gasoline.</w:t>
      </w:r>
      <w:r>
        <w:rPr>
          <w:rFonts w:ascii="Times New Roman" w:hAnsi="Times New Roman"/>
          <w:sz w:val="24"/>
          <w:szCs w:val="24"/>
        </w:rPr>
        <w:t xml:space="preserve">”  The trial judge properly refused to give the jury instruction on “spoliation.”  </w:t>
      </w:r>
    </w:p>
    <w:p w14:paraId="48E6A19C" w14:textId="77777777" w:rsidR="00F90EE5" w:rsidRDefault="00F90EE5" w:rsidP="00F90EE5">
      <w:pPr>
        <w:ind w:left="720"/>
        <w:rPr>
          <w:rFonts w:ascii="Times New Roman" w:hAnsi="Times New Roman"/>
          <w:sz w:val="24"/>
          <w:szCs w:val="24"/>
        </w:rPr>
      </w:pPr>
      <w:r>
        <w:rPr>
          <w:rFonts w:ascii="Times New Roman" w:hAnsi="Times New Roman"/>
          <w:sz w:val="24"/>
          <w:szCs w:val="24"/>
        </w:rPr>
        <w:t>“</w:t>
      </w:r>
      <w:r w:rsidRPr="00A1755E">
        <w:rPr>
          <w:rFonts w:ascii="Times New Roman" w:hAnsi="Times New Roman"/>
          <w:sz w:val="24"/>
          <w:szCs w:val="24"/>
        </w:rPr>
        <w:t>The nylon bags are expensive, and departments do not always have them. In this case, while waiting for a warrant to collect the evidence, which took more than two hours, law enforcement officials attempted to locate a nylon bag and were unable to do so. The items were placed in a paper bag and then placed in the trunk of the collecting officer's car. When the paper bag was delivered to the lab for testing, it was placed in a nylon bag. Later, when the bag was opened, the smell of gasoline had dissipated.</w:t>
      </w:r>
    </w:p>
    <w:p w14:paraId="7B3572F8" w14:textId="77777777" w:rsidR="00F90EE5" w:rsidRPr="00A1755E" w:rsidRDefault="00F90EE5" w:rsidP="00F90EE5">
      <w:pPr>
        <w:ind w:left="720"/>
        <w:rPr>
          <w:rFonts w:ascii="Times New Roman" w:hAnsi="Times New Roman"/>
          <w:sz w:val="24"/>
          <w:szCs w:val="24"/>
        </w:rPr>
      </w:pPr>
      <w:r>
        <w:rPr>
          <w:rFonts w:ascii="Times New Roman" w:hAnsi="Times New Roman"/>
          <w:sz w:val="24"/>
          <w:szCs w:val="24"/>
        </w:rPr>
        <w:t>***</w:t>
      </w:r>
    </w:p>
    <w:p w14:paraId="4C88A0A9" w14:textId="77777777" w:rsidR="00F90EE5" w:rsidRDefault="00F90EE5" w:rsidP="00F90EE5">
      <w:pPr>
        <w:pStyle w:val="NoSpacing"/>
        <w:ind w:left="720"/>
        <w:rPr>
          <w:rFonts w:ascii="Times New Roman" w:hAnsi="Times New Roman"/>
          <w:sz w:val="24"/>
          <w:szCs w:val="24"/>
        </w:rPr>
      </w:pPr>
      <w:r w:rsidRPr="009D30DF">
        <w:rPr>
          <w:rFonts w:ascii="Times New Roman" w:hAnsi="Times New Roman"/>
          <w:sz w:val="24"/>
          <w:szCs w:val="24"/>
        </w:rPr>
        <w:t xml:space="preserve">Thompson has failed to show there was an intentional destruction of evidence to necessitate a spoliation instruction. </w:t>
      </w:r>
      <w:hyperlink r:id="rId275" w:history="1">
        <w:r w:rsidRPr="00574F77">
          <w:rPr>
            <w:rStyle w:val="Hyperlink"/>
            <w:rFonts w:ascii="Times New Roman" w:hAnsi="Times New Roman"/>
            <w:sz w:val="24"/>
            <w:szCs w:val="24"/>
          </w:rPr>
          <w:t>https://law.justia.com/cases/iowa/court-of-appeals/2021/18-1821.html</w:t>
        </w:r>
      </w:hyperlink>
      <w:r>
        <w:rPr>
          <w:rFonts w:ascii="Times New Roman" w:hAnsi="Times New Roman"/>
          <w:sz w:val="24"/>
          <w:szCs w:val="24"/>
        </w:rPr>
        <w:t xml:space="preserve"> </w:t>
      </w:r>
    </w:p>
    <w:p w14:paraId="14D4A274" w14:textId="77777777" w:rsidR="00F90EE5" w:rsidRPr="00AC3DB0" w:rsidRDefault="00F90EE5" w:rsidP="00F90EE5">
      <w:pPr>
        <w:spacing w:before="100" w:beforeAutospacing="1" w:after="100" w:afterAutospacing="1" w:line="240" w:lineRule="auto"/>
        <w:rPr>
          <w:rFonts w:ascii="Times New Roman" w:eastAsia="Times New Roman" w:hAnsi="Times New Roman"/>
          <w:b/>
          <w:bCs/>
          <w:sz w:val="24"/>
          <w:szCs w:val="24"/>
        </w:rPr>
      </w:pPr>
      <w:r w:rsidRPr="00AC3DB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 jury instruction on “spoliation” is only required under Iowa law when there has been an intentional act of destruction.   Other states may require when evidence is </w:t>
      </w:r>
      <w:proofErr w:type="gramStart"/>
      <w:r>
        <w:rPr>
          <w:rFonts w:ascii="Times New Roman" w:eastAsia="Times New Roman" w:hAnsi="Times New Roman"/>
          <w:b/>
          <w:bCs/>
          <w:sz w:val="24"/>
          <w:szCs w:val="24"/>
        </w:rPr>
        <w:t>loss</w:t>
      </w:r>
      <w:proofErr w:type="gramEnd"/>
      <w:r>
        <w:rPr>
          <w:rFonts w:ascii="Times New Roman" w:eastAsia="Times New Roman" w:hAnsi="Times New Roman"/>
          <w:b/>
          <w:bCs/>
          <w:sz w:val="24"/>
          <w:szCs w:val="24"/>
        </w:rPr>
        <w:t xml:space="preserve"> due to negligence.  </w:t>
      </w:r>
    </w:p>
    <w:p w14:paraId="6C9FC22E" w14:textId="7FA88298" w:rsidR="00F90EE5" w:rsidRDefault="00F90EE5" w:rsidP="00F90EE5">
      <w:pPr>
        <w:pStyle w:val="NormalWeb"/>
        <w:ind w:left="720"/>
      </w:pPr>
      <w:r>
        <w:t xml:space="preserve">Note: Under Iowa case law: </w:t>
      </w:r>
      <w:r w:rsidRPr="00AC3DB0">
        <w:t> </w:t>
      </w:r>
      <w:r>
        <w:t xml:space="preserve">"Spoliation involves more than destruction of evidence. Application of the concept requires an intentional act of destruction. Only intentional destruction supports the rationale of the rule that </w:t>
      </w:r>
      <w:proofErr w:type="gramStart"/>
      <w:r>
        <w:t>the destruction</w:t>
      </w:r>
      <w:proofErr w:type="gramEnd"/>
      <w:r>
        <w:t xml:space="preserve"> amounts to an admission by conduct of the weakness of one's case." </w:t>
      </w:r>
      <w:r>
        <w:rPr>
          <w:i/>
          <w:iCs/>
        </w:rPr>
        <w:t>State v</w:t>
      </w:r>
      <w:r>
        <w:t xml:space="preserve">. </w:t>
      </w:r>
      <w:r>
        <w:rPr>
          <w:i/>
          <w:iCs/>
        </w:rPr>
        <w:t>Langlet</w:t>
      </w:r>
      <w:r>
        <w:t>, 283 N.W.2d 330, 333 (Iowa 1979).</w:t>
      </w:r>
      <w:r w:rsidR="00F00958">
        <w:t xml:space="preserve"> </w:t>
      </w:r>
      <w:r>
        <w:t xml:space="preserve">See other states: </w:t>
      </w:r>
      <w:hyperlink r:id="rId276" w:history="1">
        <w:r w:rsidRPr="00574F77">
          <w:rPr>
            <w:rStyle w:val="Hyperlink"/>
          </w:rPr>
          <w:t>https://www.mwl-law.com/wp-content/uploads/2018/02/SPOLIATION-OF-EVIDENCE-CHART.pdf</w:t>
        </w:r>
      </w:hyperlink>
      <w:r>
        <w:t xml:space="preserve"> </w:t>
      </w:r>
    </w:p>
    <w:p w14:paraId="308843F2" w14:textId="77777777" w:rsidR="00F90EE5" w:rsidRDefault="00F90EE5" w:rsidP="00F90EE5">
      <w:pPr>
        <w:pStyle w:val="NoSpacing"/>
        <w:ind w:left="720"/>
        <w:rPr>
          <w:rFonts w:ascii="Times New Roman" w:hAnsi="Times New Roman"/>
          <w:sz w:val="24"/>
          <w:szCs w:val="24"/>
        </w:rPr>
      </w:pPr>
    </w:p>
    <w:p w14:paraId="35377878" w14:textId="77777777" w:rsidR="00F90EE5" w:rsidRDefault="00F90EE5" w:rsidP="002B1283">
      <w:pPr>
        <w:rPr>
          <w:rFonts w:ascii="Arial Black" w:hAnsi="Arial Black"/>
          <w:b/>
          <w:sz w:val="24"/>
          <w:szCs w:val="24"/>
        </w:rPr>
      </w:pPr>
    </w:p>
    <w:p w14:paraId="67B7150B" w14:textId="77777777" w:rsidR="00F90EE5" w:rsidRDefault="00F90EE5" w:rsidP="002B1283">
      <w:pPr>
        <w:rPr>
          <w:rFonts w:ascii="Arial Black" w:hAnsi="Arial Black"/>
          <w:b/>
          <w:sz w:val="24"/>
          <w:szCs w:val="24"/>
        </w:rPr>
      </w:pPr>
    </w:p>
    <w:p w14:paraId="1A365E1E" w14:textId="6D6A4DE1" w:rsidR="005E132A" w:rsidRDefault="005E132A"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0</w:t>
      </w:r>
    </w:p>
    <w:p w14:paraId="7224EB54" w14:textId="77777777" w:rsidR="005E132A" w:rsidRDefault="005E132A" w:rsidP="005E132A">
      <w:pPr>
        <w:pStyle w:val="NoSpacing"/>
        <w:rPr>
          <w:rFonts w:ascii="Arial Black" w:hAnsi="Arial Black"/>
          <w:sz w:val="28"/>
          <w:szCs w:val="28"/>
        </w:rPr>
      </w:pPr>
      <w:bookmarkStart w:id="13" w:name="_Hlk66941108"/>
      <w:r>
        <w:rPr>
          <w:rFonts w:ascii="Arial Black" w:hAnsi="Arial Black"/>
          <w:sz w:val="28"/>
          <w:szCs w:val="28"/>
        </w:rPr>
        <w:t>IL: ARSON INVEST. (7 KILLED) - FIRE MARSHAL WAS EXPERT, FIRE REAR PORCH – NO ACCELERANT, BUT DEF. RECORDED</w:t>
      </w:r>
    </w:p>
    <w:p w14:paraId="0D64E5D6" w14:textId="77777777" w:rsidR="005E132A" w:rsidRDefault="005E132A" w:rsidP="005E132A">
      <w:pPr>
        <w:spacing w:before="100" w:beforeAutospacing="1" w:after="100" w:afterAutospacing="1" w:line="240" w:lineRule="auto"/>
        <w:rPr>
          <w:rFonts w:ascii="Times New Roman" w:hAnsi="Times New Roman"/>
          <w:sz w:val="24"/>
          <w:szCs w:val="24"/>
        </w:rPr>
      </w:pPr>
      <w:bookmarkStart w:id="14" w:name="_Hlk60572120"/>
      <w:r>
        <w:rPr>
          <w:rFonts w:ascii="Times New Roman" w:hAnsi="Times New Roman"/>
          <w:sz w:val="24"/>
          <w:szCs w:val="24"/>
        </w:rPr>
        <w:t xml:space="preserve">On Dec. 30, 2020, in </w:t>
      </w:r>
      <w:r>
        <w:rPr>
          <w:rFonts w:ascii="Times New Roman" w:hAnsi="Times New Roman"/>
          <w:sz w:val="24"/>
          <w:szCs w:val="24"/>
          <w:u w:val="single"/>
        </w:rPr>
        <w:t>The People of the State of Illinois v. Marion Andre Comier</w:t>
      </w:r>
      <w:r>
        <w:rPr>
          <w:rFonts w:ascii="Times New Roman" w:hAnsi="Times New Roman"/>
          <w:sz w:val="24"/>
          <w:szCs w:val="24"/>
        </w:rPr>
        <w:t xml:space="preserve">, the Appellate Court of Illinois, First Judicial District (Third Division), </w:t>
      </w:r>
      <w:r>
        <w:rPr>
          <w:rFonts w:ascii="Times New Roman" w:eastAsia="Times New Roman" w:hAnsi="Times New Roman"/>
          <w:sz w:val="24"/>
          <w:szCs w:val="24"/>
        </w:rPr>
        <w:t xml:space="preserve">2020 IL App (1st) 170500, </w:t>
      </w:r>
      <w:r>
        <w:rPr>
          <w:rFonts w:ascii="Times New Roman" w:hAnsi="Times New Roman"/>
          <w:sz w:val="24"/>
          <w:szCs w:val="24"/>
        </w:rPr>
        <w:t>held (3 to 1) that the defendant was properly convicted by jury of 7 murders and sentenced to life in prison [property owner</w:t>
      </w:r>
      <w:bookmarkEnd w:id="14"/>
      <w:r>
        <w:rPr>
          <w:rFonts w:ascii="Times New Roman" w:hAnsi="Times New Roman"/>
          <w:sz w:val="24"/>
          <w:szCs w:val="24"/>
        </w:rPr>
        <w:t xml:space="preserve">]. The Court held that the trial judge properly allowed the Fire Marshal to testify about his opinion on how the fire started, even if no accelerant was detected, since he </w:t>
      </w:r>
      <w:proofErr w:type="gramStart"/>
      <w:r>
        <w:rPr>
          <w:rFonts w:ascii="Times New Roman" w:hAnsi="Times New Roman"/>
          <w:sz w:val="24"/>
          <w:szCs w:val="24"/>
        </w:rPr>
        <w:t>knew</w:t>
      </w:r>
      <w:proofErr w:type="gramEnd"/>
      <w:r>
        <w:rPr>
          <w:rFonts w:ascii="Times New Roman" w:hAnsi="Times New Roman"/>
          <w:sz w:val="24"/>
          <w:szCs w:val="24"/>
        </w:rPr>
        <w:t xml:space="preserve"> the defendant had admitted starting the fire when defendant was recorded on a “wire” secretly warn by the girlfriend of the property owner.    </w:t>
      </w:r>
    </w:p>
    <w:bookmarkEnd w:id="13"/>
    <w:p w14:paraId="72D20101"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“Kushner's testimony concerning the nature and sources of his training, his methodology, industry standards, and the evidence upon which he relied in this case provided sufficient evidence that the underlying facts, data, and opinions were reasonably relied upon by experts in his field. "The opposing </w:t>
      </w:r>
      <w:r>
        <w:rPr>
          <w:rFonts w:ascii="Times New Roman" w:eastAsia="Times New Roman" w:hAnsi="Times New Roman"/>
          <w:sz w:val="24"/>
          <w:szCs w:val="24"/>
        </w:rPr>
        <w:lastRenderedPageBreak/>
        <w:t>party has the responsibility to challenge on cross-examination the sufficiency or reliability of the expert's opinion" (</w:t>
      </w:r>
      <w:r>
        <w:rPr>
          <w:rFonts w:ascii="Times New Roman" w:eastAsia="Times New Roman" w:hAnsi="Times New Roman"/>
          <w:i/>
          <w:iCs/>
          <w:sz w:val="24"/>
          <w:szCs w:val="24"/>
        </w:rPr>
        <w:t>id</w:t>
      </w:r>
      <w:r>
        <w:rPr>
          <w:rFonts w:ascii="Times New Roman" w:eastAsia="Times New Roman" w:hAnsi="Times New Roman"/>
          <w:sz w:val="24"/>
          <w:szCs w:val="24"/>
        </w:rPr>
        <w:t>.), which defendant did in this case. Accordingly, we conclude that there existed an adequate foundation for Kushner's expert opinion and the trial court did not abuse its discretion in admitting Kushner's testimony.</w:t>
      </w:r>
    </w:p>
    <w:p w14:paraId="7D7D8164"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52D9C73F"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Regarding the conflicting evidence as to industry standards concerning ‘negative corpus’ at the time of the fire and at the time of trial, defendant's expert admitted that the determination by the State's fire investigators that the fire started on the rear porch and that the specific area of origin was somewhere near the couch complied with NFPA 921 but testified that the conclusion that the ignition source was an open flame, that an ignitable liquid was used, and that the fire was incendiary (man-made) were not reached in compliance with industry standards because those opinions were based solely on the negative corpus approach, and it was not based on any physical evidence, in violation of NFPA 921 and the standards in the relevant scientific community. We note the trial court found Kushner did rely on ‘some physical evidence.’ </w:t>
      </w:r>
      <w:proofErr w:type="gramStart"/>
      <w:r>
        <w:rPr>
          <w:rFonts w:ascii="Times New Roman" w:eastAsia="Times New Roman" w:hAnsi="Times New Roman"/>
          <w:sz w:val="24"/>
          <w:szCs w:val="24"/>
        </w:rPr>
        <w:t>Regardless, ‘[a]</w:t>
      </w:r>
      <w:proofErr w:type="spellStart"/>
      <w:r>
        <w:rPr>
          <w:rFonts w:ascii="Times New Roman" w:eastAsia="Times New Roman" w:hAnsi="Times New Roman"/>
          <w:sz w:val="24"/>
          <w:szCs w:val="24"/>
        </w:rPr>
        <w:t>ny</w:t>
      </w:r>
      <w:proofErr w:type="spellEnd"/>
      <w:proofErr w:type="gramEnd"/>
      <w:r>
        <w:rPr>
          <w:rFonts w:ascii="Times New Roman" w:eastAsia="Times New Roman" w:hAnsi="Times New Roman"/>
          <w:sz w:val="24"/>
          <w:szCs w:val="24"/>
        </w:rPr>
        <w:t xml:space="preserve"> weakness in the basis of an expert's opinion goes to the weight of the testimony; it should not affect its admissibility if the facts, data, or opinions are reasonably relied upon by experts in the relevant field.’ </w:t>
      </w:r>
      <w:r>
        <w:rPr>
          <w:rFonts w:ascii="Times New Roman" w:eastAsia="Times New Roman" w:hAnsi="Times New Roman"/>
          <w:i/>
          <w:iCs/>
          <w:sz w:val="24"/>
          <w:szCs w:val="24"/>
        </w:rPr>
        <w:t>People v</w:t>
      </w:r>
      <w:r>
        <w:rPr>
          <w:rFonts w:ascii="Times New Roman" w:eastAsia="Times New Roman" w:hAnsi="Times New Roman"/>
          <w:sz w:val="24"/>
          <w:szCs w:val="24"/>
        </w:rPr>
        <w:t xml:space="preserve">. </w:t>
      </w:r>
      <w:r>
        <w:rPr>
          <w:rFonts w:ascii="Times New Roman" w:eastAsia="Times New Roman" w:hAnsi="Times New Roman"/>
          <w:i/>
          <w:iCs/>
          <w:sz w:val="24"/>
          <w:szCs w:val="24"/>
        </w:rPr>
        <w:t>Lind</w:t>
      </w:r>
      <w:r>
        <w:rPr>
          <w:rFonts w:ascii="Times New Roman" w:eastAsia="Times New Roman" w:hAnsi="Times New Roman"/>
          <w:sz w:val="24"/>
          <w:szCs w:val="24"/>
        </w:rPr>
        <w:t xml:space="preserve">, 307 Ill. App. 3d 727, 739 (1999).” </w:t>
      </w:r>
      <w:bookmarkStart w:id="15" w:name="_Hlk66941130"/>
      <w:r w:rsidR="00F00958">
        <w:fldChar w:fldCharType="begin"/>
      </w:r>
      <w:r w:rsidR="00F00958">
        <w:instrText xml:space="preserve"> HYPERLINK "https://courts.illinois.gov/Opinions/AppellateCourt/2020/1stDistrict/1170500.pdf" </w:instrText>
      </w:r>
      <w:r w:rsidR="00F00958">
        <w:fldChar w:fldCharType="separate"/>
      </w:r>
      <w:r>
        <w:rPr>
          <w:rStyle w:val="Hyperlink"/>
        </w:rPr>
        <w:t>https://courts.illinois.gov/Opinions/AppellateCourt/2020/1stDistrict/1170500.pdf</w:t>
      </w:r>
      <w:r w:rsidR="00F00958">
        <w:rPr>
          <w:rStyle w:val="Hyperlink"/>
        </w:rPr>
        <w:fldChar w:fldCharType="end"/>
      </w:r>
      <w:r>
        <w:rPr>
          <w:rFonts w:ascii="Times New Roman" w:eastAsia="Times New Roman" w:hAnsi="Times New Roman"/>
          <w:sz w:val="24"/>
          <w:szCs w:val="24"/>
        </w:rPr>
        <w:t xml:space="preserve"> </w:t>
      </w:r>
    </w:p>
    <w:p w14:paraId="1202CAAE" w14:textId="77777777" w:rsidR="005E132A" w:rsidRDefault="005E132A" w:rsidP="005E132A">
      <w:pPr>
        <w:pStyle w:val="NormalWeb"/>
        <w:rPr>
          <w:b/>
          <w:bCs/>
        </w:rPr>
      </w:pPr>
      <w:bookmarkStart w:id="16" w:name="_Hlk66941171"/>
      <w:bookmarkEnd w:id="15"/>
      <w:r>
        <w:rPr>
          <w:b/>
          <w:bCs/>
        </w:rPr>
        <w:t xml:space="preserve">Legal Lesson Learned: Fire Marshal did rely on some physical evidence, as well as the secretly taped confession of the defendant. </w:t>
      </w:r>
    </w:p>
    <w:p w14:paraId="10262F35" w14:textId="77777777" w:rsidR="005E132A" w:rsidRDefault="005E132A" w:rsidP="005E132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w:t>
      </w:r>
      <w:proofErr w:type="gramStart"/>
      <w:r>
        <w:rPr>
          <w:rFonts w:ascii="Times New Roman" w:eastAsia="Times New Roman" w:hAnsi="Times New Roman"/>
          <w:sz w:val="24"/>
          <w:szCs w:val="24"/>
        </w:rPr>
        <w:t>The girlfriend of the owner [Bonita Robertson],</w:t>
      </w:r>
      <w:proofErr w:type="gramEnd"/>
      <w:r>
        <w:rPr>
          <w:rFonts w:ascii="Times New Roman" w:eastAsia="Times New Roman" w:hAnsi="Times New Roman"/>
          <w:sz w:val="24"/>
          <w:szCs w:val="24"/>
        </w:rPr>
        <w:t xml:space="preserve"> wore a wire provided by police, and recorded following about why accelerant wasn’t detected by arson dog. </w:t>
      </w:r>
    </w:p>
    <w:bookmarkEnd w:id="16"/>
    <w:p w14:paraId="23EDCE5C" w14:textId="77777777" w:rsidR="005E132A" w:rsidRDefault="005E132A" w:rsidP="005E132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br/>
        <w:t>ROBERTSON: They said they didn't smell any accelerants like gas or any of that.</w:t>
      </w:r>
      <w:r>
        <w:rPr>
          <w:rFonts w:ascii="Times New Roman" w:eastAsia="Times New Roman" w:hAnsi="Times New Roman"/>
          <w:sz w:val="24"/>
          <w:szCs w:val="24"/>
        </w:rPr>
        <w:br/>
      </w:r>
      <w:r>
        <w:rPr>
          <w:rFonts w:ascii="Times New Roman" w:eastAsia="Times New Roman" w:hAnsi="Times New Roman"/>
          <w:sz w:val="24"/>
          <w:szCs w:val="24"/>
        </w:rPr>
        <w:br/>
        <w:t>DEFENDANT: And I, and I know, and I know why, I know why they didn't.</w:t>
      </w:r>
    </w:p>
    <w:p w14:paraId="75126B8C" w14:textId="77777777" w:rsidR="005E132A" w:rsidRDefault="005E132A" w:rsidP="005E132A">
      <w:pPr>
        <w:spacing w:after="100" w:line="240" w:lineRule="auto"/>
        <w:rPr>
          <w:rFonts w:ascii="Times New Roman" w:eastAsia="Times New Roman" w:hAnsi="Times New Roman"/>
          <w:sz w:val="24"/>
          <w:szCs w:val="24"/>
        </w:rPr>
      </w:pPr>
    </w:p>
    <w:p w14:paraId="5EB4C8AD" w14:textId="77777777" w:rsidR="005E132A" w:rsidRDefault="005E132A" w:rsidP="005E132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ROBERTSON: Why?</w:t>
      </w:r>
      <w:r>
        <w:rPr>
          <w:rFonts w:ascii="Times New Roman" w:eastAsia="Times New Roman" w:hAnsi="Times New Roman"/>
          <w:sz w:val="24"/>
          <w:szCs w:val="24"/>
        </w:rPr>
        <w:br/>
      </w:r>
      <w:r>
        <w:rPr>
          <w:rFonts w:ascii="Times New Roman" w:eastAsia="Times New Roman" w:hAnsi="Times New Roman"/>
          <w:sz w:val="24"/>
          <w:szCs w:val="24"/>
        </w:rPr>
        <w:br/>
        <w:t>***</w:t>
      </w:r>
      <w:r>
        <w:rPr>
          <w:rFonts w:ascii="Times New Roman" w:eastAsia="Times New Roman" w:hAnsi="Times New Roman"/>
          <w:sz w:val="24"/>
          <w:szCs w:val="24"/>
        </w:rPr>
        <w:br/>
      </w:r>
      <w:r>
        <w:rPr>
          <w:rFonts w:ascii="Times New Roman" w:eastAsia="Times New Roman" w:hAnsi="Times New Roman"/>
          <w:sz w:val="24"/>
          <w:szCs w:val="24"/>
        </w:rPr>
        <w:br/>
        <w:t xml:space="preserve">DEFENDANT: </w:t>
      </w:r>
      <w:proofErr w:type="gramStart"/>
      <w:r>
        <w:rPr>
          <w:rFonts w:ascii="Times New Roman" w:eastAsia="Times New Roman" w:hAnsi="Times New Roman"/>
          <w:sz w:val="24"/>
          <w:szCs w:val="24"/>
        </w:rPr>
        <w:t>Cause</w:t>
      </w:r>
      <w:proofErr w:type="gramEnd"/>
      <w:r>
        <w:rPr>
          <w:rFonts w:ascii="Times New Roman" w:eastAsia="Times New Roman" w:hAnsi="Times New Roman"/>
          <w:sz w:val="24"/>
          <w:szCs w:val="24"/>
        </w:rPr>
        <w:t xml:space="preserve"> I put oil with the gas. That's why.</w:t>
      </w:r>
    </w:p>
    <w:p w14:paraId="58838790" w14:textId="77777777" w:rsidR="005E132A" w:rsidRDefault="005E132A" w:rsidP="005E132A">
      <w:pPr>
        <w:spacing w:after="100" w:line="240" w:lineRule="auto"/>
        <w:ind w:left="720"/>
        <w:rPr>
          <w:rFonts w:ascii="Times New Roman" w:hAnsi="Times New Roman"/>
          <w:sz w:val="24"/>
          <w:szCs w:val="24"/>
        </w:rPr>
      </w:pPr>
      <w:r>
        <w:rPr>
          <w:rFonts w:ascii="Times New Roman" w:eastAsia="Times New Roman" w:hAnsi="Times New Roman"/>
          <w:sz w:val="24"/>
          <w:szCs w:val="24"/>
        </w:rPr>
        <w:t>***</w:t>
      </w:r>
    </w:p>
    <w:p w14:paraId="48F47CAC" w14:textId="77777777" w:rsidR="005E132A" w:rsidRDefault="005E132A" w:rsidP="005E132A">
      <w:pPr>
        <w:spacing w:after="100" w:line="240" w:lineRule="auto"/>
        <w:ind w:left="720"/>
        <w:rPr>
          <w:rFonts w:ascii="Times New Roman" w:hAnsi="Times New Roman"/>
          <w:sz w:val="24"/>
          <w:szCs w:val="24"/>
        </w:rPr>
      </w:pPr>
      <w:r>
        <w:rPr>
          <w:rFonts w:ascii="Times New Roman" w:hAnsi="Times New Roman"/>
          <w:sz w:val="24"/>
          <w:szCs w:val="24"/>
        </w:rPr>
        <w:t>ROBERTSON: So that the dogs couldn't pick it up?</w:t>
      </w:r>
      <w:r>
        <w:rPr>
          <w:rFonts w:ascii="Times New Roman" w:hAnsi="Times New Roman"/>
          <w:sz w:val="24"/>
          <w:szCs w:val="24"/>
        </w:rPr>
        <w:br/>
      </w:r>
      <w:r>
        <w:rPr>
          <w:rFonts w:ascii="Times New Roman" w:hAnsi="Times New Roman"/>
          <w:sz w:val="24"/>
          <w:szCs w:val="24"/>
        </w:rPr>
        <w:br/>
        <w:t xml:space="preserve">DEFENDANT: There you go, and, and it burnt too </w:t>
      </w:r>
      <w:proofErr w:type="gramStart"/>
      <w:r>
        <w:rPr>
          <w:rFonts w:ascii="Times New Roman" w:hAnsi="Times New Roman"/>
          <w:sz w:val="24"/>
          <w:szCs w:val="24"/>
        </w:rPr>
        <w:t>bad</w:t>
      </w:r>
      <w:proofErr w:type="gramEnd"/>
      <w:r>
        <w:rPr>
          <w:rFonts w:ascii="Times New Roman" w:hAnsi="Times New Roman"/>
          <w:sz w:val="24"/>
          <w:szCs w:val="24"/>
        </w:rPr>
        <w:t xml:space="preserve"> for them to find anything.</w:t>
      </w:r>
      <w:r>
        <w:rPr>
          <w:rFonts w:ascii="Times New Roman" w:hAnsi="Times New Roman"/>
          <w:sz w:val="24"/>
          <w:szCs w:val="24"/>
        </w:rPr>
        <w:br/>
      </w:r>
      <w:r>
        <w:rPr>
          <w:rFonts w:ascii="Times New Roman" w:hAnsi="Times New Roman"/>
          <w:sz w:val="24"/>
          <w:szCs w:val="24"/>
        </w:rPr>
        <w:br/>
        <w:t>ROBERTSON: But you started it on the back porch?</w:t>
      </w:r>
      <w:r>
        <w:rPr>
          <w:rFonts w:ascii="Times New Roman" w:hAnsi="Times New Roman"/>
          <w:sz w:val="24"/>
          <w:szCs w:val="24"/>
        </w:rPr>
        <w:br/>
      </w:r>
      <w:r>
        <w:rPr>
          <w:rFonts w:ascii="Times New Roman" w:hAnsi="Times New Roman"/>
          <w:sz w:val="24"/>
          <w:szCs w:val="24"/>
        </w:rPr>
        <w:br/>
        <w:t xml:space="preserve">DEFENDANT: And it went up, Bonita. I don't want to talk about this. *** Everybody just </w:t>
      </w:r>
      <w:proofErr w:type="gramStart"/>
      <w:r>
        <w:rPr>
          <w:rFonts w:ascii="Times New Roman" w:hAnsi="Times New Roman"/>
          <w:sz w:val="24"/>
          <w:szCs w:val="24"/>
        </w:rPr>
        <w:t>say</w:t>
      </w:r>
      <w:proofErr w:type="gramEnd"/>
      <w:r>
        <w:rPr>
          <w:rFonts w:ascii="Times New Roman" w:hAnsi="Times New Roman"/>
          <w:sz w:val="24"/>
          <w:szCs w:val="24"/>
        </w:rPr>
        <w:t xml:space="preserve"> they don't know, okay, just leave it like that. That's what you do. Don't worry, okay. They didn't find </w:t>
      </w:r>
      <w:proofErr w:type="gramStart"/>
      <w:r>
        <w:rPr>
          <w:rFonts w:ascii="Times New Roman" w:hAnsi="Times New Roman"/>
          <w:sz w:val="24"/>
          <w:szCs w:val="24"/>
        </w:rPr>
        <w:t>nothing</w:t>
      </w:r>
      <w:proofErr w:type="gramEnd"/>
      <w:r>
        <w:rPr>
          <w:rFonts w:ascii="Times New Roman" w:hAnsi="Times New Roman"/>
          <w:sz w:val="24"/>
          <w:szCs w:val="24"/>
        </w:rPr>
        <w:t xml:space="preserve"> and that's great. They think the electrical box did it.”</w:t>
      </w:r>
    </w:p>
    <w:p w14:paraId="665FB8C2" w14:textId="77777777" w:rsidR="005E132A" w:rsidRDefault="005E132A" w:rsidP="005E132A">
      <w:pPr>
        <w:rPr>
          <w:rFonts w:ascii="Times New Roman" w:hAnsi="Times New Roman"/>
          <w:sz w:val="24"/>
          <w:szCs w:val="24"/>
        </w:rPr>
      </w:pPr>
      <w:hyperlink r:id="rId277" w:history="1">
        <w:r>
          <w:rPr>
            <w:rStyle w:val="Hyperlink"/>
          </w:rPr>
          <w:t>https://public.fastcase.com/Wl%2B2t%2BeVuI35%2FN70vAMFZsWJ6AvEppVwuFRKTwz4M5aFuXQum0lUiq0Q02rKgFN1</w:t>
        </w:r>
      </w:hyperlink>
    </w:p>
    <w:p w14:paraId="6EACB191" w14:textId="77777777" w:rsidR="005E132A" w:rsidRDefault="005E132A" w:rsidP="002B1283">
      <w:pPr>
        <w:rPr>
          <w:rFonts w:ascii="Arial Black" w:hAnsi="Arial Black"/>
          <w:b/>
          <w:sz w:val="24"/>
          <w:szCs w:val="24"/>
        </w:rPr>
      </w:pPr>
    </w:p>
    <w:p w14:paraId="5BCA3F48" w14:textId="77777777" w:rsidR="005E132A" w:rsidRDefault="005E132A" w:rsidP="002B1283">
      <w:pPr>
        <w:rPr>
          <w:rFonts w:ascii="Arial Black" w:hAnsi="Arial Black"/>
          <w:b/>
          <w:sz w:val="24"/>
          <w:szCs w:val="24"/>
        </w:rPr>
      </w:pPr>
    </w:p>
    <w:p w14:paraId="68892771" w14:textId="7D31624C" w:rsidR="007D178F" w:rsidRDefault="007D178F" w:rsidP="002B1283">
      <w:pPr>
        <w:rPr>
          <w:rFonts w:ascii="Arial Black" w:hAnsi="Arial Black"/>
          <w:b/>
          <w:sz w:val="24"/>
          <w:szCs w:val="24"/>
        </w:rPr>
      </w:pPr>
      <w:r>
        <w:rPr>
          <w:rFonts w:ascii="Arial Black" w:hAnsi="Arial Black"/>
          <w:b/>
          <w:sz w:val="24"/>
          <w:szCs w:val="24"/>
        </w:rPr>
        <w:t>1-</w:t>
      </w:r>
      <w:r w:rsidR="000F483A">
        <w:rPr>
          <w:rFonts w:ascii="Arial Black" w:hAnsi="Arial Black"/>
          <w:b/>
          <w:sz w:val="24"/>
          <w:szCs w:val="24"/>
        </w:rPr>
        <w:t>69</w:t>
      </w:r>
    </w:p>
    <w:p w14:paraId="12408389" w14:textId="77777777" w:rsidR="007D178F" w:rsidRDefault="007D178F" w:rsidP="007D178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HOUSE FIRE - SPONTANEOUS COMBUSTION - OILY RAGS HARDWOOD FLOORS – CONFLICTING EXPERTS - CASE PROCEED</w:t>
      </w:r>
    </w:p>
    <w:p w14:paraId="5002E128" w14:textId="77777777" w:rsidR="007D178F" w:rsidRDefault="007D178F" w:rsidP="007D178F">
      <w:pPr>
        <w:rPr>
          <w:rFonts w:ascii="Times New Roman" w:hAnsi="Times New Roman"/>
          <w:sz w:val="24"/>
          <w:szCs w:val="24"/>
        </w:rPr>
      </w:pPr>
      <w:r w:rsidRPr="00ED36EF">
        <w:rPr>
          <w:rFonts w:ascii="Times New Roman" w:hAnsi="Times New Roman"/>
          <w:sz w:val="24"/>
          <w:szCs w:val="24"/>
        </w:rPr>
        <w:t xml:space="preserve">On Nov. 25, 2020, in </w:t>
      </w:r>
      <w:r w:rsidRPr="00ED36EF">
        <w:rPr>
          <w:rFonts w:ascii="Times New Roman" w:hAnsi="Times New Roman"/>
          <w:sz w:val="24"/>
          <w:szCs w:val="24"/>
          <w:u w:val="single"/>
        </w:rPr>
        <w:t>State Farm Fire &amp; Casualty Company, as Subrogee of Yolanda Clarke v. Real Wood Fabricating, LLC</w:t>
      </w:r>
      <w:r w:rsidRPr="00ED36EF">
        <w:rPr>
          <w:rFonts w:ascii="Times New Roman" w:hAnsi="Times New Roman"/>
          <w:sz w:val="24"/>
          <w:szCs w:val="24"/>
        </w:rPr>
        <w:t>, the Appellate Division of the Supreme Court of the State of New York, held (</w:t>
      </w:r>
      <w:r>
        <w:rPr>
          <w:rFonts w:ascii="Times New Roman" w:hAnsi="Times New Roman"/>
          <w:sz w:val="24"/>
          <w:szCs w:val="24"/>
        </w:rPr>
        <w:t>5</w:t>
      </w:r>
      <w:r w:rsidRPr="00ED36EF">
        <w:rPr>
          <w:rFonts w:ascii="Times New Roman" w:hAnsi="Times New Roman"/>
          <w:sz w:val="24"/>
          <w:szCs w:val="24"/>
        </w:rPr>
        <w:t xml:space="preserve"> to 0) that the trial court properly </w:t>
      </w:r>
      <w:r>
        <w:rPr>
          <w:rFonts w:ascii="Times New Roman" w:hAnsi="Times New Roman"/>
          <w:sz w:val="24"/>
          <w:szCs w:val="24"/>
        </w:rPr>
        <w:t xml:space="preserve">denied </w:t>
      </w:r>
      <w:r w:rsidRPr="00ED36EF">
        <w:rPr>
          <w:rFonts w:ascii="Times New Roman" w:hAnsi="Times New Roman"/>
          <w:sz w:val="24"/>
          <w:szCs w:val="24"/>
        </w:rPr>
        <w:t xml:space="preserve">summary judgment to the </w:t>
      </w:r>
      <w:r>
        <w:rPr>
          <w:rFonts w:ascii="Times New Roman" w:hAnsi="Times New Roman"/>
          <w:sz w:val="24"/>
          <w:szCs w:val="24"/>
        </w:rPr>
        <w:t xml:space="preserve">plaintiff </w:t>
      </w:r>
      <w:r w:rsidRPr="00ED36EF">
        <w:rPr>
          <w:rFonts w:ascii="Times New Roman" w:hAnsi="Times New Roman"/>
          <w:sz w:val="24"/>
          <w:szCs w:val="24"/>
        </w:rPr>
        <w:t>insurance compa</w:t>
      </w:r>
      <w:r>
        <w:rPr>
          <w:rFonts w:ascii="Times New Roman" w:hAnsi="Times New Roman"/>
          <w:sz w:val="24"/>
          <w:szCs w:val="24"/>
        </w:rPr>
        <w:t xml:space="preserve">ny </w:t>
      </w:r>
      <w:proofErr w:type="gramStart"/>
      <w:r>
        <w:rPr>
          <w:rFonts w:ascii="Times New Roman" w:hAnsi="Times New Roman"/>
          <w:sz w:val="24"/>
          <w:szCs w:val="24"/>
        </w:rPr>
        <w:t>and also</w:t>
      </w:r>
      <w:proofErr w:type="gramEnd"/>
      <w:r>
        <w:rPr>
          <w:rFonts w:ascii="Times New Roman" w:hAnsi="Times New Roman"/>
          <w:sz w:val="24"/>
          <w:szCs w:val="24"/>
        </w:rPr>
        <w:t xml:space="preserve"> to defendant </w:t>
      </w:r>
      <w:r w:rsidRPr="00ED36EF">
        <w:rPr>
          <w:rFonts w:ascii="Times New Roman" w:hAnsi="Times New Roman"/>
          <w:sz w:val="24"/>
          <w:szCs w:val="24"/>
        </w:rPr>
        <w:t>Real Wood Fabricating</w:t>
      </w:r>
      <w:r>
        <w:rPr>
          <w:rFonts w:ascii="Times New Roman" w:hAnsi="Times New Roman"/>
          <w:sz w:val="24"/>
          <w:szCs w:val="24"/>
        </w:rPr>
        <w:t xml:space="preserve">. </w:t>
      </w:r>
      <w:r w:rsidRPr="00ED36EF">
        <w:rPr>
          <w:rFonts w:ascii="Times New Roman" w:hAnsi="Times New Roman"/>
          <w:sz w:val="24"/>
          <w:szCs w:val="24"/>
        </w:rPr>
        <w:t xml:space="preserve"> </w:t>
      </w:r>
    </w:p>
    <w:p w14:paraId="198492D3" w14:textId="77777777" w:rsidR="007D178F" w:rsidRPr="003E7DDA" w:rsidRDefault="007D178F" w:rsidP="007D178F">
      <w:pPr>
        <w:ind w:left="720"/>
        <w:rPr>
          <w:rFonts w:ascii="Times New Roman" w:hAnsi="Times New Roman"/>
          <w:sz w:val="24"/>
          <w:szCs w:val="24"/>
        </w:rPr>
      </w:pPr>
      <w:r>
        <w:rPr>
          <w:rFonts w:ascii="Times New Roman" w:hAnsi="Times New Roman"/>
          <w:sz w:val="24"/>
          <w:szCs w:val="24"/>
        </w:rPr>
        <w:t>“</w:t>
      </w:r>
      <w:r w:rsidRPr="003E7DDA">
        <w:rPr>
          <w:rFonts w:ascii="Times New Roman" w:hAnsi="Times New Roman"/>
          <w:sz w:val="24"/>
          <w:szCs w:val="24"/>
        </w:rPr>
        <w:t xml:space="preserve">After paying Clarke over $389,000 for the property damage caused by the fire, plaintiff, as subrogee of Clarke, commenced this action against defendant, alleging that defendant negligently caused the fire by failing to remove combustible floor materials from the garage. Following joinder of issue, plaintiff moved for summary judgment on the complaint, relying on the opinions of Holter and Thomas and the deposition testimony of Clarke and McCarty. Defendant opposed the motion and cross-moved for summary judgment dismissing the complaint, submitting an affidavit of Jason Karasinski, president and owner of Fire Research &amp; Technology Inc., who was retained </w:t>
      </w:r>
      <w:r>
        <w:rPr>
          <w:rFonts w:ascii="Times New Roman" w:hAnsi="Times New Roman"/>
          <w:sz w:val="24"/>
          <w:szCs w:val="24"/>
        </w:rPr>
        <w:t>‘</w:t>
      </w:r>
      <w:r w:rsidRPr="003E7DDA">
        <w:rPr>
          <w:rFonts w:ascii="Times New Roman" w:hAnsi="Times New Roman"/>
          <w:sz w:val="24"/>
          <w:szCs w:val="24"/>
        </w:rPr>
        <w:t>to review the investigation of [the] fire.</w:t>
      </w:r>
      <w:r>
        <w:rPr>
          <w:rFonts w:ascii="Times New Roman" w:hAnsi="Times New Roman"/>
          <w:sz w:val="24"/>
          <w:szCs w:val="24"/>
        </w:rPr>
        <w:t>’</w:t>
      </w:r>
      <w:r w:rsidRPr="003E7DDA">
        <w:rPr>
          <w:rFonts w:ascii="Times New Roman" w:hAnsi="Times New Roman"/>
          <w:sz w:val="24"/>
          <w:szCs w:val="24"/>
        </w:rPr>
        <w:t xml:space="preserve"> Karasinski concluded that the reports prepared by Holter and Thomas were speculative and that their investigations failed to follow the standards promulgated by the National Fire Protection Association (hereinafter NFPA). Supreme Court denied both motions, finding that the conflicting expert opinions presented issues of fact and credibility as </w:t>
      </w:r>
      <w:proofErr w:type="gramStart"/>
      <w:r w:rsidRPr="003E7DDA">
        <w:rPr>
          <w:rFonts w:ascii="Times New Roman" w:hAnsi="Times New Roman"/>
          <w:sz w:val="24"/>
          <w:szCs w:val="24"/>
        </w:rPr>
        <w:t>to</w:t>
      </w:r>
      <w:proofErr w:type="gramEnd"/>
      <w:r w:rsidRPr="003E7DDA">
        <w:rPr>
          <w:rFonts w:ascii="Times New Roman" w:hAnsi="Times New Roman"/>
          <w:sz w:val="24"/>
          <w:szCs w:val="24"/>
        </w:rPr>
        <w:t xml:space="preserve"> causation. Defendant appeals and plaintiff cross-appeals.</w:t>
      </w:r>
    </w:p>
    <w:p w14:paraId="0E017396" w14:textId="77777777" w:rsidR="007D178F" w:rsidRPr="00865DC4" w:rsidRDefault="007D178F" w:rsidP="007D178F">
      <w:pPr>
        <w:ind w:left="720"/>
        <w:rPr>
          <w:rFonts w:ascii="Times New Roman" w:hAnsi="Times New Roman"/>
          <w:sz w:val="24"/>
          <w:szCs w:val="24"/>
        </w:rPr>
      </w:pPr>
      <w:r>
        <w:rPr>
          <w:rFonts w:ascii="Times New Roman" w:hAnsi="Times New Roman"/>
          <w:sz w:val="24"/>
          <w:szCs w:val="24"/>
        </w:rPr>
        <w:t>“</w:t>
      </w:r>
      <w:r w:rsidRPr="00865DC4">
        <w:rPr>
          <w:rFonts w:ascii="Times New Roman" w:hAnsi="Times New Roman"/>
          <w:sz w:val="24"/>
          <w:szCs w:val="24"/>
        </w:rPr>
        <w:t>We affirm. The record demonstrates that all three experts were duly qualified by their education, training and experience to conduct a fire scene investigation.</w:t>
      </w:r>
      <w:r>
        <w:rPr>
          <w:rFonts w:ascii="Times New Roman" w:hAnsi="Times New Roman"/>
          <w:sz w:val="24"/>
          <w:szCs w:val="24"/>
        </w:rPr>
        <w:t xml:space="preserve">”  </w:t>
      </w:r>
      <w:hyperlink r:id="rId278" w:history="1">
        <w:r w:rsidRPr="00695F3D">
          <w:rPr>
            <w:rStyle w:val="Hyperlink"/>
            <w:rFonts w:ascii="Times New Roman" w:hAnsi="Times New Roman"/>
            <w:sz w:val="24"/>
            <w:szCs w:val="24"/>
          </w:rPr>
          <w:t>http://decisions.courts.state.ny.us/ad3/Decisions/2020/530081.pdf</w:t>
        </w:r>
      </w:hyperlink>
      <w:r>
        <w:rPr>
          <w:rFonts w:ascii="Times New Roman" w:hAnsi="Times New Roman"/>
          <w:sz w:val="24"/>
          <w:szCs w:val="24"/>
        </w:rPr>
        <w:t xml:space="preserve"> </w:t>
      </w:r>
    </w:p>
    <w:p w14:paraId="03F612EB" w14:textId="77777777" w:rsidR="007D178F" w:rsidRDefault="007D178F" w:rsidP="002B1283">
      <w:pPr>
        <w:rPr>
          <w:rFonts w:ascii="Arial Black" w:hAnsi="Arial Black"/>
          <w:b/>
          <w:sz w:val="24"/>
          <w:szCs w:val="24"/>
        </w:rPr>
      </w:pPr>
    </w:p>
    <w:p w14:paraId="4FCC3C42" w14:textId="77777777" w:rsidR="007D178F" w:rsidRDefault="007D178F" w:rsidP="002B1283">
      <w:pPr>
        <w:rPr>
          <w:rFonts w:ascii="Arial Black" w:hAnsi="Arial Black"/>
          <w:b/>
          <w:sz w:val="24"/>
          <w:szCs w:val="24"/>
        </w:rPr>
      </w:pPr>
    </w:p>
    <w:p w14:paraId="483C2B5F" w14:textId="459531CA" w:rsidR="007D178F" w:rsidRDefault="007D178F"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8</w:t>
      </w:r>
    </w:p>
    <w:p w14:paraId="3366AEC9" w14:textId="77777777" w:rsidR="007D178F" w:rsidRPr="00297C6C" w:rsidRDefault="007D178F" w:rsidP="007D178F">
      <w:pPr>
        <w:rPr>
          <w:rFonts w:ascii="Arial Black" w:hAnsi="Arial Black"/>
          <w:sz w:val="28"/>
          <w:szCs w:val="28"/>
        </w:rPr>
      </w:pPr>
      <w:r>
        <w:rPr>
          <w:rFonts w:ascii="Arial Black" w:hAnsi="Arial Black"/>
          <w:sz w:val="28"/>
          <w:szCs w:val="28"/>
        </w:rPr>
        <w:t>MA: SPRINKLER LAW – WHEN CITY ADOPTS STATE LAW, UNLICENSED “SOBER HOMES” – 6+ RESIDENTS MUST COMPLY</w:t>
      </w:r>
    </w:p>
    <w:p w14:paraId="054C17EF" w14:textId="77777777" w:rsidR="007D178F" w:rsidRDefault="007D178F" w:rsidP="007D178F">
      <w:pPr>
        <w:rPr>
          <w:rFonts w:ascii="Times New Roman" w:hAnsi="Times New Roman"/>
          <w:sz w:val="24"/>
          <w:szCs w:val="24"/>
        </w:rPr>
      </w:pPr>
      <w:r>
        <w:rPr>
          <w:rFonts w:ascii="Times New Roman" w:hAnsi="Times New Roman"/>
          <w:sz w:val="24"/>
          <w:szCs w:val="24"/>
        </w:rPr>
        <w:t xml:space="preserve">On Nov. 23, 2020, in </w:t>
      </w:r>
      <w:r w:rsidRPr="00297C6C">
        <w:rPr>
          <w:rFonts w:ascii="Times New Roman" w:hAnsi="Times New Roman"/>
          <w:sz w:val="24"/>
          <w:szCs w:val="24"/>
          <w:u w:val="single"/>
        </w:rPr>
        <w:t>Crossing Over, Inc. v. City of Fitchburg</w:t>
      </w:r>
      <w:r>
        <w:rPr>
          <w:rFonts w:ascii="Times New Roman" w:hAnsi="Times New Roman"/>
          <w:sz w:val="24"/>
          <w:szCs w:val="24"/>
        </w:rPr>
        <w:t xml:space="preserve">, the Appeals Court of Massachusetts upheld (3 to 0) the trial judge’s decision upholding Automatic Sprinkler Appeals Board, and the Fire Chief’s March 8, </w:t>
      </w:r>
      <w:proofErr w:type="gramStart"/>
      <w:r>
        <w:rPr>
          <w:rFonts w:ascii="Times New Roman" w:hAnsi="Times New Roman"/>
          <w:sz w:val="24"/>
          <w:szCs w:val="24"/>
        </w:rPr>
        <w:t>2017</w:t>
      </w:r>
      <w:proofErr w:type="gramEnd"/>
      <w:r>
        <w:rPr>
          <w:rFonts w:ascii="Times New Roman" w:hAnsi="Times New Roman"/>
          <w:sz w:val="24"/>
          <w:szCs w:val="24"/>
        </w:rPr>
        <w:t xml:space="preserve"> letter requiring sprinklers </w:t>
      </w:r>
      <w:proofErr w:type="gramStart"/>
      <w:r>
        <w:rPr>
          <w:rFonts w:ascii="Times New Roman" w:hAnsi="Times New Roman"/>
          <w:sz w:val="24"/>
          <w:szCs w:val="24"/>
        </w:rPr>
        <w:t>be</w:t>
      </w:r>
      <w:proofErr w:type="gramEnd"/>
      <w:r>
        <w:rPr>
          <w:rFonts w:ascii="Times New Roman" w:hAnsi="Times New Roman"/>
          <w:sz w:val="24"/>
          <w:szCs w:val="24"/>
        </w:rPr>
        <w:t xml:space="preserve"> installed since home has 8 residents.  Case remanded to trail judge concerning whether statute violates federal or state laws discriminating against disabled.</w:t>
      </w:r>
    </w:p>
    <w:p w14:paraId="533EE72B" w14:textId="77777777" w:rsidR="007D178F" w:rsidRDefault="007D178F" w:rsidP="007D178F">
      <w:pPr>
        <w:spacing w:before="100" w:beforeAutospacing="1" w:after="100" w:afterAutospacing="1" w:line="240" w:lineRule="auto"/>
        <w:ind w:left="720"/>
        <w:rPr>
          <w:rFonts w:ascii="Times New Roman" w:eastAsia="Times New Roman" w:hAnsi="Times New Roman"/>
          <w:sz w:val="24"/>
          <w:szCs w:val="24"/>
        </w:rPr>
      </w:pPr>
      <w:r>
        <w:t>“</w:t>
      </w:r>
      <w:r w:rsidRPr="00F4679A">
        <w:rPr>
          <w:rFonts w:ascii="Times New Roman" w:eastAsia="Times New Roman" w:hAnsi="Times New Roman"/>
          <w:sz w:val="24"/>
          <w:szCs w:val="24"/>
        </w:rPr>
        <w:t xml:space="preserve">Crossing Over notes that G. L. c. 148, § 26H, carves out from the obligation to install sprinklers "fraternity houses or dormitories, rest homes or group residences licensed or regulated by agencies of the commonwealth," and suggests that the carve-out means that the Legislature either intended to relieve group homes and lodging houses of the obligation to install sprinklers, or that different treatment should </w:t>
      </w:r>
      <w:r w:rsidRPr="00F4679A">
        <w:rPr>
          <w:rFonts w:ascii="Times New Roman" w:eastAsia="Times New Roman" w:hAnsi="Times New Roman"/>
          <w:sz w:val="24"/>
          <w:szCs w:val="24"/>
        </w:rPr>
        <w:lastRenderedPageBreak/>
        <w:t>be afforded group homes. Lodging houses for the disabled, Crossing Over argues, should be treated in the same manner. The premise is incorrect. The distinction drawn between the lodging houses and other congregate living</w:t>
      </w:r>
      <w:r>
        <w:rPr>
          <w:rFonts w:ascii="Times New Roman" w:eastAsia="Times New Roman" w:hAnsi="Times New Roman"/>
          <w:sz w:val="24"/>
          <w:szCs w:val="24"/>
        </w:rPr>
        <w:t xml:space="preserve"> </w:t>
      </w:r>
      <w:r w:rsidRPr="00F4679A">
        <w:rPr>
          <w:rFonts w:ascii="Times New Roman" w:eastAsia="Times New Roman" w:hAnsi="Times New Roman"/>
          <w:sz w:val="24"/>
          <w:szCs w:val="24"/>
        </w:rPr>
        <w:t>arrangements in G. L. c. 148, § 26H, preserves the regulatory authority granted to State agencies and municipalities over licensed group homes, dormitories, or fraternities, but does not generally exempt them from fire safety regulation.</w:t>
      </w:r>
      <w:r>
        <w:rPr>
          <w:rFonts w:ascii="Times New Roman" w:eastAsia="Times New Roman" w:hAnsi="Times New Roman"/>
          <w:sz w:val="24"/>
          <w:szCs w:val="24"/>
        </w:rPr>
        <w:t xml:space="preserve">”  </w:t>
      </w:r>
      <w:hyperlink r:id="rId279" w:history="1">
        <w:r w:rsidRPr="005709A5">
          <w:rPr>
            <w:rStyle w:val="Hyperlink"/>
            <w:rFonts w:ascii="Times New Roman" w:hAnsi="Times New Roman"/>
            <w:sz w:val="24"/>
            <w:szCs w:val="24"/>
          </w:rPr>
          <w:t>https://law.justia.com/cases/massachusetts/court-of-appeals/2020/19-p-903.html</w:t>
        </w:r>
      </w:hyperlink>
      <w:r>
        <w:rPr>
          <w:rFonts w:ascii="Times New Roman" w:eastAsia="Times New Roman" w:hAnsi="Times New Roman"/>
          <w:sz w:val="24"/>
          <w:szCs w:val="24"/>
        </w:rPr>
        <w:t xml:space="preserve"> </w:t>
      </w:r>
    </w:p>
    <w:p w14:paraId="2F373111" w14:textId="77777777" w:rsidR="007D178F" w:rsidRPr="00FE5C5F" w:rsidRDefault="007D178F" w:rsidP="007D178F">
      <w:pPr>
        <w:spacing w:before="100" w:beforeAutospacing="1" w:after="100" w:afterAutospacing="1" w:line="240" w:lineRule="auto"/>
        <w:ind w:firstLine="720"/>
        <w:rPr>
          <w:rFonts w:ascii="Times New Roman" w:eastAsia="Times New Roman" w:hAnsi="Times New Roman"/>
          <w:sz w:val="24"/>
          <w:szCs w:val="24"/>
        </w:rPr>
      </w:pPr>
      <w:r w:rsidRPr="00FE5C5F">
        <w:rPr>
          <w:rFonts w:ascii="Times New Roman" w:eastAsia="Times New Roman" w:hAnsi="Times New Roman"/>
          <w:sz w:val="24"/>
          <w:szCs w:val="24"/>
        </w:rPr>
        <w:t>***</w:t>
      </w:r>
    </w:p>
    <w:p w14:paraId="736227D9" w14:textId="77777777" w:rsidR="007D178F" w:rsidRPr="00FE5C5F" w:rsidRDefault="007D178F" w:rsidP="007D178F">
      <w:pPr>
        <w:spacing w:before="100" w:beforeAutospacing="1" w:after="100" w:afterAutospacing="1" w:line="240" w:lineRule="auto"/>
        <w:ind w:left="720"/>
        <w:rPr>
          <w:rFonts w:ascii="Times New Roman" w:hAnsi="Times New Roman"/>
          <w:sz w:val="24"/>
          <w:szCs w:val="24"/>
        </w:rPr>
      </w:pPr>
      <w:r w:rsidRPr="00FE5C5F">
        <w:rPr>
          <w:rFonts w:ascii="Times New Roman" w:hAnsi="Times New Roman"/>
          <w:sz w:val="24"/>
          <w:szCs w:val="24"/>
        </w:rPr>
        <w:t xml:space="preserve">Sober homes, however, are not licensed by the Commonwealth. </w:t>
      </w:r>
      <w:proofErr w:type="gramStart"/>
      <w:r w:rsidRPr="00FE5C5F">
        <w:rPr>
          <w:rFonts w:ascii="Times New Roman" w:hAnsi="Times New Roman"/>
          <w:sz w:val="24"/>
          <w:szCs w:val="24"/>
        </w:rPr>
        <w:t>Instead</w:t>
      </w:r>
      <w:proofErr w:type="gramEnd"/>
      <w:r w:rsidRPr="00FE5C5F">
        <w:rPr>
          <w:rFonts w:ascii="Times New Roman" w:hAnsi="Times New Roman"/>
          <w:sz w:val="24"/>
          <w:szCs w:val="24"/>
        </w:rPr>
        <w:t xml:space="preserve"> they are subject to a voluntary State accreditation and training program, G. L. c. 17, § 18A, inserted by St. 2014, c. 165, § 37; accreditation is required if the sober home is to receive referrals from State agencies. G. L. c. 17, § 18A (</w:t>
      </w:r>
      <w:r w:rsidRPr="00FE5C5F">
        <w:rPr>
          <w:rFonts w:ascii="Times New Roman" w:hAnsi="Times New Roman"/>
          <w:sz w:val="24"/>
          <w:szCs w:val="24"/>
          <w:u w:val="single"/>
        </w:rPr>
        <w:t>h</w:t>
      </w:r>
      <w:r w:rsidRPr="00FE5C5F">
        <w:rPr>
          <w:rFonts w:ascii="Times New Roman" w:hAnsi="Times New Roman"/>
          <w:sz w:val="24"/>
          <w:szCs w:val="24"/>
        </w:rPr>
        <w:t xml:space="preserve">). Contrast G. L. c. 111, § 73 (providing fines for operation of rest home without license). General Laws c. 148, 26H, thus has the effect of extending the sprinkler statute to lodging houses that are sober homes; other statutes and regulations extend varying levels of fire safety standards to other congregate living </w:t>
      </w:r>
      <w:proofErr w:type="gramStart"/>
      <w:r w:rsidRPr="00FE5C5F">
        <w:rPr>
          <w:rFonts w:ascii="Times New Roman" w:hAnsi="Times New Roman"/>
          <w:sz w:val="24"/>
          <w:szCs w:val="24"/>
        </w:rPr>
        <w:t>arrangements.”</w:t>
      </w:r>
      <w:proofErr w:type="gramEnd"/>
      <w:r w:rsidRPr="00FE5C5F">
        <w:rPr>
          <w:rFonts w:ascii="Times New Roman" w:hAnsi="Times New Roman"/>
          <w:sz w:val="24"/>
          <w:szCs w:val="24"/>
        </w:rPr>
        <w:t xml:space="preserve"> </w:t>
      </w:r>
      <w:hyperlink r:id="rId280" w:history="1">
        <w:r w:rsidRPr="00FE5C5F">
          <w:rPr>
            <w:rStyle w:val="Hyperlink"/>
            <w:rFonts w:ascii="Times New Roman" w:hAnsi="Times New Roman"/>
            <w:sz w:val="24"/>
            <w:szCs w:val="24"/>
          </w:rPr>
          <w:t>https://public.fastcase.com/Wl%2B2t%2BeVuI35%2FN70vAMFZn5gKg3cdbP6IN7E7ywDm7QNgGMGGIVm2eo9gH1WNWLv</w:t>
        </w:r>
      </w:hyperlink>
      <w:r w:rsidRPr="00FE5C5F">
        <w:rPr>
          <w:rFonts w:ascii="Times New Roman" w:hAnsi="Times New Roman"/>
          <w:sz w:val="24"/>
          <w:szCs w:val="24"/>
        </w:rPr>
        <w:t xml:space="preserve"> </w:t>
      </w:r>
    </w:p>
    <w:p w14:paraId="6F120D4E" w14:textId="77777777" w:rsidR="007D178F" w:rsidRDefault="007D178F" w:rsidP="007D178F">
      <w:pPr>
        <w:pStyle w:val="NoSpacing"/>
        <w:tabs>
          <w:tab w:val="left" w:pos="3200"/>
        </w:tabs>
        <w:rPr>
          <w:rFonts w:ascii="Times New Roman" w:hAnsi="Times New Roman"/>
          <w:b/>
          <w:bCs/>
          <w:sz w:val="24"/>
          <w:szCs w:val="24"/>
        </w:rPr>
      </w:pPr>
      <w:r w:rsidRPr="00091FFE">
        <w:rPr>
          <w:rFonts w:ascii="Times New Roman" w:hAnsi="Times New Roman"/>
          <w:b/>
          <w:bCs/>
          <w:sz w:val="24"/>
          <w:szCs w:val="24"/>
        </w:rPr>
        <w:t>Legal Lesson Learned:</w:t>
      </w:r>
      <w:r>
        <w:rPr>
          <w:rFonts w:ascii="Times New Roman" w:hAnsi="Times New Roman"/>
          <w:b/>
          <w:bCs/>
          <w:sz w:val="24"/>
          <w:szCs w:val="24"/>
        </w:rPr>
        <w:t xml:space="preserve"> State sprinkler code can be enforced not only against state-licensed facilities, such as rest homes and group mental health facilities, but also to unlicensed “sober houses” voluntarily seeking State accreditation </w:t>
      </w:r>
      <w:proofErr w:type="gramStart"/>
      <w:r>
        <w:rPr>
          <w:rFonts w:ascii="Times New Roman" w:hAnsi="Times New Roman"/>
          <w:b/>
          <w:bCs/>
          <w:sz w:val="24"/>
          <w:szCs w:val="24"/>
        </w:rPr>
        <w:t>in order to</w:t>
      </w:r>
      <w:proofErr w:type="gramEnd"/>
      <w:r>
        <w:rPr>
          <w:rFonts w:ascii="Times New Roman" w:hAnsi="Times New Roman"/>
          <w:b/>
          <w:bCs/>
          <w:sz w:val="24"/>
          <w:szCs w:val="24"/>
        </w:rPr>
        <w:t xml:space="preserve"> receive patient referrals from State agencies. </w:t>
      </w:r>
    </w:p>
    <w:p w14:paraId="22956CD6" w14:textId="77777777" w:rsidR="007D178F" w:rsidRDefault="007D178F" w:rsidP="007D178F">
      <w:pPr>
        <w:pStyle w:val="NoSpacing"/>
        <w:tabs>
          <w:tab w:val="left" w:pos="3200"/>
        </w:tabs>
        <w:rPr>
          <w:rFonts w:ascii="Times New Roman" w:hAnsi="Times New Roman"/>
          <w:b/>
          <w:bCs/>
          <w:sz w:val="24"/>
          <w:szCs w:val="24"/>
        </w:rPr>
      </w:pPr>
    </w:p>
    <w:p w14:paraId="597D1F30" w14:textId="77777777" w:rsidR="007D178F" w:rsidRDefault="007D178F" w:rsidP="007D178F">
      <w:pPr>
        <w:pStyle w:val="NoSpacing"/>
        <w:tabs>
          <w:tab w:val="left" w:pos="3200"/>
        </w:tabs>
        <w:ind w:left="630"/>
      </w:pPr>
      <w:r>
        <w:rPr>
          <w:rFonts w:ascii="Times New Roman" w:hAnsi="Times New Roman"/>
          <w:sz w:val="24"/>
          <w:szCs w:val="24"/>
        </w:rPr>
        <w:t xml:space="preserve">Note:  The Court described how fire codes nationwide have expanded after tragic fires, including </w:t>
      </w:r>
      <w:r w:rsidRPr="00906A73">
        <w:rPr>
          <w:rFonts w:ascii="Times New Roman" w:hAnsi="Times New Roman"/>
          <w:sz w:val="24"/>
          <w:szCs w:val="24"/>
        </w:rPr>
        <w:t>the Triangle Shirtwaist Factory Fire in New York</w:t>
      </w:r>
      <w:r>
        <w:rPr>
          <w:rFonts w:ascii="Times New Roman" w:hAnsi="Times New Roman"/>
          <w:sz w:val="24"/>
          <w:szCs w:val="24"/>
        </w:rPr>
        <w:t xml:space="preserve"> (1911 – 146 died), and the </w:t>
      </w:r>
      <w:r w:rsidRPr="00906A73">
        <w:rPr>
          <w:rFonts w:ascii="Times New Roman" w:hAnsi="Times New Roman"/>
          <w:sz w:val="24"/>
          <w:szCs w:val="24"/>
        </w:rPr>
        <w:t>Cocoanut Grove nightclub fire in Boston</w:t>
      </w:r>
      <w:r>
        <w:rPr>
          <w:rFonts w:ascii="Times New Roman" w:hAnsi="Times New Roman"/>
          <w:sz w:val="24"/>
          <w:szCs w:val="24"/>
        </w:rPr>
        <w:t xml:space="preserve"> (1942 – 492 died).  [Footnote 5.]  Sprinkler codes in Massachusetts were also expanded after tragic fires. </w:t>
      </w:r>
    </w:p>
    <w:p w14:paraId="30225F49" w14:textId="77777777" w:rsidR="007D178F" w:rsidRDefault="007D178F" w:rsidP="007D178F">
      <w:pPr>
        <w:pStyle w:val="NormalWeb"/>
        <w:ind w:left="720"/>
      </w:pPr>
      <w:r>
        <w:t xml:space="preserve">“The Commonwealth's sprinkler laws reflect a patchwork of requirements enacted, seriatim, in response to various </w:t>
      </w:r>
      <w:proofErr w:type="spellStart"/>
      <w:r>
        <w:t>tragedies.</w:t>
      </w:r>
      <w:bookmarkStart w:id="17" w:name="fn5"/>
      <w:r>
        <w:rPr>
          <w:sz w:val="20"/>
          <w:szCs w:val="20"/>
          <w:vertAlign w:val="superscript"/>
        </w:rPr>
        <w:fldChar w:fldCharType="begin"/>
      </w:r>
      <w:r>
        <w:rPr>
          <w:sz w:val="20"/>
          <w:szCs w:val="20"/>
          <w:vertAlign w:val="superscript"/>
        </w:rPr>
        <w:instrText xml:space="preserve"> HYPERLINK "https://public.fastcase.com/" \l "fr5" </w:instrText>
      </w:r>
      <w:r>
        <w:rPr>
          <w:sz w:val="20"/>
          <w:szCs w:val="20"/>
          <w:vertAlign w:val="superscript"/>
        </w:rPr>
      </w:r>
      <w:r>
        <w:rPr>
          <w:sz w:val="20"/>
          <w:szCs w:val="20"/>
          <w:vertAlign w:val="superscript"/>
        </w:rPr>
        <w:fldChar w:fldCharType="separate"/>
      </w:r>
      <w:r w:rsidR="00814FB6">
        <w:rPr>
          <w:rStyle w:val="Hyperlink"/>
          <w:rFonts w:ascii="Calibri" w:eastAsia="Calibri" w:hAnsi="Calibri"/>
          <w:sz w:val="22"/>
          <w:szCs w:val="22"/>
        </w:rPr>
        <w:t>https</w:t>
      </w:r>
      <w:proofErr w:type="spellEnd"/>
      <w:r w:rsidR="00814FB6">
        <w:rPr>
          <w:rStyle w:val="Hyperlink"/>
          <w:rFonts w:ascii="Calibri" w:eastAsia="Calibri" w:hAnsi="Calibri"/>
          <w:sz w:val="22"/>
          <w:szCs w:val="22"/>
        </w:rPr>
        <w:t>://public.fastcase.com/ - fr5</w:t>
      </w:r>
      <w:r>
        <w:rPr>
          <w:sz w:val="20"/>
          <w:szCs w:val="20"/>
          <w:vertAlign w:val="superscript"/>
        </w:rPr>
        <w:fldChar w:fldCharType="end"/>
      </w:r>
      <w:bookmarkEnd w:id="17"/>
      <w:r>
        <w:rPr>
          <w:sz w:val="20"/>
          <w:szCs w:val="20"/>
          <w:vertAlign w:val="superscript"/>
        </w:rPr>
        <w:t xml:space="preserve"> </w:t>
      </w:r>
      <w:r>
        <w:t>‘[F]</w:t>
      </w:r>
      <w:proofErr w:type="spellStart"/>
      <w:r>
        <w:t>ollowing</w:t>
      </w:r>
      <w:proofErr w:type="spellEnd"/>
      <w:r>
        <w:t xml:space="preserve"> a fire in a luxury high rise hotel that killed nine firefighters,’ </w:t>
      </w:r>
      <w:proofErr w:type="spellStart"/>
      <w:r>
        <w:rPr>
          <w:u w:val="single"/>
        </w:rPr>
        <w:t>MacLaurin</w:t>
      </w:r>
      <w:proofErr w:type="spellEnd"/>
      <w:r>
        <w:t xml:space="preserve"> v. </w:t>
      </w:r>
      <w:r>
        <w:rPr>
          <w:u w:val="single"/>
        </w:rPr>
        <w:t>Holyoke</w:t>
      </w:r>
      <w:r>
        <w:t xml:space="preserve">, 475 Mass. 231, 245 n.33 (2016), "automatic sprinklers were first required in 1972, in new high rise buildings throughout the Commonwealth, for buildings built after March 1, 1974. See G. L. c. 148, § 26A; St. 1973, c. 395, § 1." </w:t>
      </w:r>
      <w:r>
        <w:rPr>
          <w:u w:val="single"/>
        </w:rPr>
        <w:t>Id</w:t>
      </w:r>
      <w:r>
        <w:t xml:space="preserve">. at 245. "In 1982, following a deadly fire in Fall River, the commercial sprinkler provision, applicable to new nonresidential buildings of more than 7,500 square feet, and existing such buildings when they underwent 'major alterations,' was adopted." </w:t>
      </w:r>
      <w:r>
        <w:rPr>
          <w:u w:val="single"/>
        </w:rPr>
        <w:t>Id</w:t>
      </w:r>
      <w:r>
        <w:t>., discussing G. L. c. 148, § 26G, inserted by St. 1982, c. 545, § 1. "[I]</w:t>
      </w:r>
      <w:proofErr w:type="gramStart"/>
      <w:r>
        <w:t>n 1986</w:t>
      </w:r>
      <w:proofErr w:type="gramEnd"/>
      <w:r>
        <w:t xml:space="preserve">, after a major fire in the Prudential Center in Boston, sprinklers were required in existing, and not just new, </w:t>
      </w:r>
      <w:proofErr w:type="gramStart"/>
      <w:r>
        <w:t>high rise</w:t>
      </w:r>
      <w:proofErr w:type="gramEnd"/>
      <w:r>
        <w:t xml:space="preserve"> buildings across the Commonwealth, G. L. c. 148, § 26A 1/2, with a ten-year phase-in period. St. 1986, c. 633, § 2." (Footnote omitted.) </w:t>
      </w:r>
      <w:proofErr w:type="spellStart"/>
      <w:r>
        <w:rPr>
          <w:u w:val="single"/>
        </w:rPr>
        <w:t>MacLaurin</w:t>
      </w:r>
      <w:proofErr w:type="spellEnd"/>
      <w:r>
        <w:t xml:space="preserve">, </w:t>
      </w:r>
      <w:r>
        <w:rPr>
          <w:u w:val="single"/>
        </w:rPr>
        <w:t>supra</w:t>
      </w:r>
      <w:r>
        <w:t>. The sprinkler requirement for lodging houses at issue in this case was enacted within two years of the 1984 Elliot Chambers rooming house fire, a fire in Beverly in which fifteen people died and fourteen more were injured. See G. L. c. 148, § 26H, inserted by St. 1986, c. 265; Ortega, 1984 Beverly Fire Etched into Memory of Witnesses, Boston Globe (July 4, 2014), https://www.bostonglobe.com/metro/2014/07/03/three-decades-later-beverly-rooming-house-fire-that-killed-leaves-legacy-loss-and-reform/PljEbDRo6WmiAs5L84MRNP/story.html [https://perma.cc/VXQ7-R5NF].”</w:t>
      </w:r>
    </w:p>
    <w:p w14:paraId="31AE4E1C" w14:textId="77777777" w:rsidR="007D178F" w:rsidRDefault="007D178F" w:rsidP="007D178F">
      <w:pPr>
        <w:pStyle w:val="NoSpacing"/>
        <w:tabs>
          <w:tab w:val="left" w:pos="3200"/>
        </w:tabs>
        <w:rPr>
          <w:rFonts w:ascii="Times New Roman" w:hAnsi="Times New Roman"/>
          <w:sz w:val="24"/>
          <w:szCs w:val="24"/>
        </w:rPr>
      </w:pPr>
      <w:r>
        <w:rPr>
          <w:rFonts w:ascii="Times New Roman" w:hAnsi="Times New Roman"/>
          <w:sz w:val="24"/>
          <w:szCs w:val="24"/>
        </w:rPr>
        <w:t xml:space="preserve"> </w:t>
      </w:r>
    </w:p>
    <w:p w14:paraId="06F752CE" w14:textId="77777777" w:rsidR="007D178F" w:rsidRDefault="007D178F" w:rsidP="007D178F">
      <w:pPr>
        <w:pStyle w:val="NoSpacing"/>
        <w:rPr>
          <w:rFonts w:ascii="Times New Roman" w:hAnsi="Times New Roman"/>
          <w:sz w:val="24"/>
          <w:szCs w:val="24"/>
        </w:rPr>
      </w:pPr>
    </w:p>
    <w:p w14:paraId="0D237155" w14:textId="77777777" w:rsidR="007D178F" w:rsidRDefault="007D178F" w:rsidP="002B1283">
      <w:pPr>
        <w:rPr>
          <w:rFonts w:ascii="Arial Black" w:hAnsi="Arial Black"/>
          <w:b/>
          <w:sz w:val="24"/>
          <w:szCs w:val="24"/>
        </w:rPr>
      </w:pPr>
    </w:p>
    <w:p w14:paraId="318E0B3B" w14:textId="77777777" w:rsidR="007D178F" w:rsidRDefault="007D178F" w:rsidP="002B1283">
      <w:pPr>
        <w:rPr>
          <w:rFonts w:ascii="Arial Black" w:hAnsi="Arial Black"/>
          <w:b/>
          <w:sz w:val="24"/>
          <w:szCs w:val="24"/>
        </w:rPr>
      </w:pPr>
    </w:p>
    <w:p w14:paraId="3BB07011" w14:textId="09CB6DEA" w:rsidR="00DD03E3" w:rsidRDefault="00DD03E3" w:rsidP="002B1283">
      <w:pPr>
        <w:rPr>
          <w:rFonts w:ascii="Arial Black" w:hAnsi="Arial Black"/>
          <w:b/>
          <w:sz w:val="24"/>
          <w:szCs w:val="24"/>
        </w:rPr>
      </w:pPr>
      <w:r>
        <w:rPr>
          <w:rFonts w:ascii="Arial Black" w:hAnsi="Arial Black"/>
          <w:b/>
          <w:sz w:val="24"/>
          <w:szCs w:val="24"/>
        </w:rPr>
        <w:lastRenderedPageBreak/>
        <w:t>1-6</w:t>
      </w:r>
      <w:r w:rsidR="000F483A">
        <w:rPr>
          <w:rFonts w:ascii="Arial Black" w:hAnsi="Arial Black"/>
          <w:b/>
          <w:sz w:val="24"/>
          <w:szCs w:val="24"/>
        </w:rPr>
        <w:t>7</w:t>
      </w:r>
    </w:p>
    <w:p w14:paraId="5CBC4D03" w14:textId="77777777" w:rsidR="00DD03E3" w:rsidRPr="000A4BA4" w:rsidRDefault="00DD03E3" w:rsidP="00DD03E3">
      <w:pPr>
        <w:spacing w:before="100" w:beforeAutospacing="1" w:after="100" w:afterAutospacing="1" w:line="240" w:lineRule="auto"/>
        <w:rPr>
          <w:rFonts w:ascii="Arial Black" w:eastAsia="Times New Roman" w:hAnsi="Arial Black"/>
          <w:b/>
          <w:bCs/>
          <w:sz w:val="28"/>
          <w:szCs w:val="28"/>
        </w:rPr>
      </w:pPr>
      <w:r w:rsidRPr="000A4BA4">
        <w:rPr>
          <w:rFonts w:ascii="Arial Black" w:eastAsia="Times New Roman" w:hAnsi="Arial Black"/>
          <w:b/>
          <w:bCs/>
          <w:sz w:val="28"/>
          <w:szCs w:val="28"/>
        </w:rPr>
        <w:t>CA:</w:t>
      </w:r>
      <w:r>
        <w:rPr>
          <w:rFonts w:ascii="Arial Black" w:eastAsia="Times New Roman" w:hAnsi="Arial Black"/>
          <w:b/>
          <w:bCs/>
          <w:sz w:val="28"/>
          <w:szCs w:val="28"/>
        </w:rPr>
        <w:t xml:space="preserve"> ARSON – EMPLOYEE FIRED COFFEE SHOP - SEARCH WARRANT UPHELD – U.S. SUP. CT’s “GOOD FAITH EXCEPTION” ALSO APPLIES</w:t>
      </w:r>
    </w:p>
    <w:p w14:paraId="3EE354FD" w14:textId="77777777" w:rsidR="00DD03E3" w:rsidRDefault="00DD03E3" w:rsidP="00DD03E3">
      <w:pPr>
        <w:spacing w:before="100" w:beforeAutospacing="1" w:after="100" w:afterAutospacing="1" w:line="240" w:lineRule="auto"/>
        <w:rPr>
          <w:rFonts w:ascii="Times New Roman" w:hAnsi="Times New Roman"/>
          <w:sz w:val="24"/>
          <w:szCs w:val="24"/>
        </w:rPr>
      </w:pPr>
      <w:r w:rsidRPr="000A4BA4">
        <w:rPr>
          <w:rFonts w:ascii="Times New Roman" w:hAnsi="Times New Roman"/>
          <w:sz w:val="24"/>
          <w:szCs w:val="24"/>
        </w:rPr>
        <w:t xml:space="preserve">On Oct. 13, 2020, in </w:t>
      </w:r>
      <w:r w:rsidRPr="000A4BA4">
        <w:rPr>
          <w:rFonts w:ascii="Times New Roman" w:hAnsi="Times New Roman"/>
          <w:sz w:val="24"/>
          <w:szCs w:val="24"/>
          <w:u w:val="single"/>
        </w:rPr>
        <w:t>The People v. Muhammad Khan</w:t>
      </w:r>
      <w:r w:rsidRPr="000A4BA4">
        <w:rPr>
          <w:rFonts w:ascii="Times New Roman" w:hAnsi="Times New Roman"/>
          <w:sz w:val="24"/>
          <w:szCs w:val="24"/>
        </w:rPr>
        <w:t xml:space="preserve">, </w:t>
      </w:r>
      <w:r>
        <w:rPr>
          <w:rFonts w:ascii="Times New Roman" w:hAnsi="Times New Roman"/>
          <w:sz w:val="24"/>
          <w:szCs w:val="24"/>
        </w:rPr>
        <w:t xml:space="preserve">the Court of Appeal of the State of California (Sixth Appellate District), held (3 to 0) unpublished decision, that the trial court judge had properly denied the defense motion to suppress evidence seized at defendant’s home.  Court also held that even if the search warrant was found to be technically deficient, the evidence was properly allowed into evidence based on  the U.S. Supreme Court’s “good faith exception” in United States v. Leon, 468 U.S. 89 (1984), </w:t>
      </w:r>
      <w:hyperlink r:id="rId281" w:history="1">
        <w:r w:rsidRPr="00457ADD">
          <w:rPr>
            <w:rStyle w:val="Hyperlink"/>
            <w:rFonts w:ascii="Times New Roman" w:hAnsi="Times New Roman"/>
            <w:sz w:val="24"/>
            <w:szCs w:val="24"/>
          </w:rPr>
          <w:t>https://supreme.justia.com/cases/federal/us/468/897/</w:t>
        </w:r>
      </w:hyperlink>
      <w:r>
        <w:rPr>
          <w:rFonts w:ascii="Times New Roman" w:hAnsi="Times New Roman"/>
          <w:sz w:val="24"/>
          <w:szCs w:val="24"/>
        </w:rPr>
        <w:t xml:space="preserve"> </w:t>
      </w:r>
    </w:p>
    <w:p w14:paraId="32405324" w14:textId="77777777" w:rsidR="00DD03E3" w:rsidRDefault="00DD03E3" w:rsidP="00DD03E3">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0A4BA4">
        <w:rPr>
          <w:rFonts w:ascii="Times New Roman" w:hAnsi="Times New Roman"/>
          <w:sz w:val="24"/>
          <w:szCs w:val="24"/>
        </w:rPr>
        <w:t>Even if a close question, we conclude that the issuing magistrate had a substantial basis for concluding that probable cause existed for issuance of the search warrant, i.e., there was a fair probability that evidence of the crime would be found in defendant's home.</w:t>
      </w:r>
      <w:r>
        <w:rPr>
          <w:rFonts w:ascii="Times New Roman" w:hAnsi="Times New Roman"/>
          <w:sz w:val="24"/>
          <w:szCs w:val="24"/>
        </w:rPr>
        <w:t xml:space="preserve"> </w:t>
      </w:r>
      <w:r w:rsidRPr="00F02ED3">
        <w:rPr>
          <w:rFonts w:ascii="Times New Roman" w:eastAsia="Times New Roman" w:hAnsi="Times New Roman"/>
          <w:sz w:val="24"/>
          <w:szCs w:val="24"/>
        </w:rPr>
        <w:t xml:space="preserve">In </w:t>
      </w:r>
      <w:r w:rsidRPr="00F02ED3">
        <w:rPr>
          <w:rFonts w:ascii="Times New Roman" w:eastAsia="Times New Roman" w:hAnsi="Times New Roman"/>
          <w:i/>
          <w:iCs/>
          <w:sz w:val="24"/>
          <w:szCs w:val="24"/>
        </w:rPr>
        <w:t>Leon</w:t>
      </w:r>
      <w:r w:rsidRPr="00F02ED3">
        <w:rPr>
          <w:rFonts w:ascii="Times New Roman" w:eastAsia="Times New Roman" w:hAnsi="Times New Roman"/>
          <w:sz w:val="24"/>
          <w:szCs w:val="24"/>
        </w:rPr>
        <w:t xml:space="preserve">, the United States Supreme Court recognized a good faith exception to the exclusionary rule where police conduct a search in </w:t>
      </w:r>
      <w:r>
        <w:rPr>
          <w:rFonts w:ascii="Times New Roman" w:eastAsia="Times New Roman" w:hAnsi="Times New Roman"/>
          <w:sz w:val="24"/>
          <w:szCs w:val="24"/>
        </w:rPr>
        <w:t>‘</w:t>
      </w:r>
      <w:r w:rsidRPr="00F02ED3">
        <w:rPr>
          <w:rFonts w:ascii="Times New Roman" w:eastAsia="Times New Roman" w:hAnsi="Times New Roman"/>
          <w:sz w:val="24"/>
          <w:szCs w:val="24"/>
        </w:rPr>
        <w:t>objectively reasonable reliance</w:t>
      </w:r>
      <w:r>
        <w:rPr>
          <w:rFonts w:ascii="Times New Roman" w:eastAsia="Times New Roman" w:hAnsi="Times New Roman"/>
          <w:sz w:val="24"/>
          <w:szCs w:val="24"/>
        </w:rPr>
        <w:t>’</w:t>
      </w:r>
      <w:r w:rsidRPr="00F02ED3">
        <w:rPr>
          <w:rFonts w:ascii="Times New Roman" w:eastAsia="Times New Roman" w:hAnsi="Times New Roman"/>
          <w:sz w:val="24"/>
          <w:szCs w:val="24"/>
        </w:rPr>
        <w:t xml:space="preserve"> on a warrant later held invalid. (</w:t>
      </w:r>
      <w:r w:rsidRPr="00F02ED3">
        <w:rPr>
          <w:rFonts w:ascii="Times New Roman" w:eastAsia="Times New Roman" w:hAnsi="Times New Roman"/>
          <w:i/>
          <w:iCs/>
          <w:sz w:val="24"/>
          <w:szCs w:val="24"/>
        </w:rPr>
        <w:t>Leon</w:t>
      </w:r>
      <w:r w:rsidRPr="00F02ED3">
        <w:rPr>
          <w:rFonts w:ascii="Times New Roman" w:eastAsia="Times New Roman" w:hAnsi="Times New Roman"/>
          <w:sz w:val="24"/>
          <w:szCs w:val="24"/>
        </w:rPr>
        <w:t xml:space="preserve">, </w:t>
      </w:r>
      <w:r w:rsidRPr="00F02ED3">
        <w:rPr>
          <w:rFonts w:ascii="Times New Roman" w:eastAsia="Times New Roman" w:hAnsi="Times New Roman"/>
          <w:i/>
          <w:iCs/>
          <w:sz w:val="24"/>
          <w:szCs w:val="24"/>
        </w:rPr>
        <w:t>supra</w:t>
      </w:r>
      <w:r w:rsidRPr="00F02ED3">
        <w:rPr>
          <w:rFonts w:ascii="Times New Roman" w:eastAsia="Times New Roman" w:hAnsi="Times New Roman"/>
          <w:sz w:val="24"/>
          <w:szCs w:val="24"/>
        </w:rPr>
        <w:t xml:space="preserve">, 468 U.S. at p. 922; see </w:t>
      </w:r>
      <w:r w:rsidRPr="00F02ED3">
        <w:rPr>
          <w:rFonts w:ascii="Times New Roman" w:eastAsia="Times New Roman" w:hAnsi="Times New Roman"/>
          <w:i/>
          <w:iCs/>
          <w:sz w:val="24"/>
          <w:szCs w:val="24"/>
        </w:rPr>
        <w:t>id</w:t>
      </w:r>
      <w:r w:rsidRPr="00F02ED3">
        <w:rPr>
          <w:rFonts w:ascii="Times New Roman" w:eastAsia="Times New Roman" w:hAnsi="Times New Roman"/>
          <w:sz w:val="24"/>
          <w:szCs w:val="24"/>
        </w:rPr>
        <w:t xml:space="preserve">. </w:t>
      </w:r>
      <w:proofErr w:type="gramStart"/>
      <w:r w:rsidRPr="00F02ED3">
        <w:rPr>
          <w:rFonts w:ascii="Times New Roman" w:eastAsia="Times New Roman" w:hAnsi="Times New Roman"/>
          <w:sz w:val="24"/>
          <w:szCs w:val="24"/>
        </w:rPr>
        <w:t>at p.</w:t>
      </w:r>
      <w:proofErr w:type="gramEnd"/>
      <w:r w:rsidRPr="00F02ED3">
        <w:rPr>
          <w:rFonts w:ascii="Times New Roman" w:eastAsia="Times New Roman" w:hAnsi="Times New Roman"/>
          <w:sz w:val="24"/>
          <w:szCs w:val="24"/>
        </w:rPr>
        <w:t xml:space="preserve"> 924 [the good-faith exception turns on objective reasonableness].) The court </w:t>
      </w:r>
      <w:proofErr w:type="gramStart"/>
      <w:r w:rsidRPr="00F02ED3">
        <w:rPr>
          <w:rFonts w:ascii="Times New Roman" w:eastAsia="Times New Roman" w:hAnsi="Times New Roman"/>
          <w:sz w:val="24"/>
          <w:szCs w:val="24"/>
        </w:rPr>
        <w:t xml:space="preserve">explained: </w:t>
      </w:r>
      <w:r>
        <w:rPr>
          <w:rFonts w:ascii="Times New Roman" w:eastAsia="Times New Roman" w:hAnsi="Times New Roman"/>
          <w:sz w:val="24"/>
          <w:szCs w:val="24"/>
        </w:rPr>
        <w:t>‘</w:t>
      </w:r>
      <w:proofErr w:type="gramEnd"/>
      <w:r w:rsidRPr="00F02ED3">
        <w:rPr>
          <w:rFonts w:ascii="Times New Roman" w:eastAsia="Times New Roman" w:hAnsi="Times New Roman"/>
          <w:sz w:val="24"/>
          <w:szCs w:val="24"/>
        </w:rPr>
        <w:t>It is the magistrate's responsibility to determine whether the officer's allegations establish probable cause and, if so, to issue a warrant comporting in form with the requirements of the Fourth Amendment. In the ordinary case, an officer cannot be expected to question</w:t>
      </w:r>
      <w:r>
        <w:rPr>
          <w:rFonts w:ascii="Times New Roman" w:eastAsia="Times New Roman" w:hAnsi="Times New Roman"/>
          <w:sz w:val="24"/>
          <w:szCs w:val="24"/>
        </w:rPr>
        <w:t xml:space="preserve"> </w:t>
      </w:r>
      <w:r w:rsidRPr="00F02ED3">
        <w:rPr>
          <w:rFonts w:ascii="Times New Roman" w:eastAsia="Times New Roman" w:hAnsi="Times New Roman"/>
          <w:sz w:val="24"/>
          <w:szCs w:val="24"/>
        </w:rPr>
        <w:t xml:space="preserve">the magistrate's probable-cause determination or his judgment that the form of the </w:t>
      </w:r>
      <w:proofErr w:type="gramStart"/>
      <w:r w:rsidRPr="00F02ED3">
        <w:rPr>
          <w:rFonts w:ascii="Times New Roman" w:eastAsia="Times New Roman" w:hAnsi="Times New Roman"/>
          <w:sz w:val="24"/>
          <w:szCs w:val="24"/>
        </w:rPr>
        <w:t>warrant</w:t>
      </w:r>
      <w:proofErr w:type="gramEnd"/>
      <w:r w:rsidRPr="00F02ED3">
        <w:rPr>
          <w:rFonts w:ascii="Times New Roman" w:eastAsia="Times New Roman" w:hAnsi="Times New Roman"/>
          <w:sz w:val="24"/>
          <w:szCs w:val="24"/>
        </w:rPr>
        <w:t xml:space="preserve"> is technically sufficient.</w:t>
      </w:r>
      <w:r>
        <w:rPr>
          <w:rFonts w:ascii="Times New Roman" w:eastAsia="Times New Roman" w:hAnsi="Times New Roman"/>
          <w:sz w:val="24"/>
          <w:szCs w:val="24"/>
        </w:rPr>
        <w:t>’</w:t>
      </w:r>
      <w:r w:rsidRPr="00F02ED3">
        <w:rPr>
          <w:rFonts w:ascii="Times New Roman" w:eastAsia="Times New Roman" w:hAnsi="Times New Roman"/>
          <w:sz w:val="24"/>
          <w:szCs w:val="24"/>
        </w:rPr>
        <w:t xml:space="preserve"> (</w:t>
      </w:r>
      <w:r w:rsidRPr="00F02ED3">
        <w:rPr>
          <w:rFonts w:ascii="Times New Roman" w:eastAsia="Times New Roman" w:hAnsi="Times New Roman"/>
          <w:i/>
          <w:iCs/>
          <w:sz w:val="24"/>
          <w:szCs w:val="24"/>
        </w:rPr>
        <w:t>Id</w:t>
      </w:r>
      <w:r w:rsidRPr="00F02ED3">
        <w:rPr>
          <w:rFonts w:ascii="Times New Roman" w:eastAsia="Times New Roman" w:hAnsi="Times New Roman"/>
          <w:sz w:val="24"/>
          <w:szCs w:val="24"/>
        </w:rPr>
        <w:t>. at p. 921.)</w:t>
      </w:r>
      <w:r>
        <w:rPr>
          <w:rFonts w:ascii="Times New Roman" w:eastAsia="Times New Roman" w:hAnsi="Times New Roman"/>
          <w:sz w:val="24"/>
          <w:szCs w:val="24"/>
        </w:rPr>
        <w:t xml:space="preserve"> </w:t>
      </w:r>
    </w:p>
    <w:p w14:paraId="68C24EC3" w14:textId="77777777" w:rsidR="00DD03E3" w:rsidRDefault="00DD03E3" w:rsidP="00DD03E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01548202" w14:textId="77777777" w:rsidR="00DD03E3" w:rsidRDefault="00DD03E3" w:rsidP="00DD03E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[SEARCH WARRANT AFFIDAVIT] </w:t>
      </w:r>
    </w:p>
    <w:p w14:paraId="220C412C" w14:textId="77777777" w:rsidR="00DD03E3" w:rsidRPr="00F02ED3" w:rsidRDefault="00DD03E3" w:rsidP="00DD03E3">
      <w:pPr>
        <w:spacing w:before="100" w:beforeAutospacing="1" w:after="100" w:afterAutospacing="1" w:line="240" w:lineRule="auto"/>
        <w:ind w:left="720"/>
        <w:rPr>
          <w:rFonts w:ascii="Times New Roman" w:eastAsia="Times New Roman" w:hAnsi="Times New Roman"/>
          <w:sz w:val="24"/>
          <w:szCs w:val="24"/>
        </w:rPr>
      </w:pPr>
      <w:r w:rsidRPr="001E6223">
        <w:rPr>
          <w:rFonts w:ascii="Times New Roman" w:hAnsi="Times New Roman"/>
          <w:sz w:val="24"/>
          <w:szCs w:val="24"/>
        </w:rPr>
        <w:t xml:space="preserve">Based on his experience that people often keep receipts from recent purchases, Detective Bulatao stated his belief that receipts from purchases of </w:t>
      </w:r>
      <w:r>
        <w:rPr>
          <w:rFonts w:ascii="Times New Roman" w:hAnsi="Times New Roman"/>
          <w:sz w:val="24"/>
          <w:szCs w:val="24"/>
        </w:rPr>
        <w:t>‘</w:t>
      </w:r>
      <w:r w:rsidRPr="001E6223">
        <w:rPr>
          <w:rFonts w:ascii="Times New Roman" w:hAnsi="Times New Roman"/>
          <w:sz w:val="24"/>
          <w:szCs w:val="24"/>
        </w:rPr>
        <w:t>items pertaining to [the] investigation (i.e. gas purchases, towels, canisters)</w:t>
      </w:r>
      <w:r>
        <w:rPr>
          <w:rFonts w:ascii="Times New Roman" w:hAnsi="Times New Roman"/>
          <w:sz w:val="24"/>
          <w:szCs w:val="24"/>
        </w:rPr>
        <w:t>’</w:t>
      </w:r>
      <w:r w:rsidRPr="001E6223">
        <w:rPr>
          <w:rFonts w:ascii="Times New Roman" w:hAnsi="Times New Roman"/>
          <w:sz w:val="24"/>
          <w:szCs w:val="24"/>
        </w:rPr>
        <w:t xml:space="preserve"> would be found in defendant’s residence. He also stated, based on his training and experience, that he knew that fire accelerant is </w:t>
      </w:r>
      <w:r>
        <w:rPr>
          <w:rFonts w:ascii="Times New Roman" w:hAnsi="Times New Roman"/>
          <w:sz w:val="24"/>
          <w:szCs w:val="24"/>
        </w:rPr>
        <w:t>‘</w:t>
      </w:r>
      <w:r w:rsidRPr="001E6223">
        <w:rPr>
          <w:rFonts w:ascii="Times New Roman" w:hAnsi="Times New Roman"/>
          <w:sz w:val="24"/>
          <w:szCs w:val="24"/>
        </w:rPr>
        <w:t>contained in canisters or other containers,</w:t>
      </w:r>
      <w:r>
        <w:rPr>
          <w:rFonts w:ascii="Times New Roman" w:hAnsi="Times New Roman"/>
          <w:sz w:val="24"/>
          <w:szCs w:val="24"/>
        </w:rPr>
        <w:t>’</w:t>
      </w:r>
      <w:r w:rsidRPr="001E6223">
        <w:rPr>
          <w:rFonts w:ascii="Times New Roman" w:hAnsi="Times New Roman"/>
          <w:sz w:val="24"/>
          <w:szCs w:val="24"/>
        </w:rPr>
        <w:t xml:space="preserve"> that </w:t>
      </w:r>
      <w:r>
        <w:rPr>
          <w:rFonts w:ascii="Times New Roman" w:hAnsi="Times New Roman"/>
          <w:sz w:val="24"/>
          <w:szCs w:val="24"/>
        </w:rPr>
        <w:t>‘</w:t>
      </w:r>
      <w:r w:rsidRPr="001E6223">
        <w:rPr>
          <w:rFonts w:ascii="Times New Roman" w:hAnsi="Times New Roman"/>
          <w:sz w:val="24"/>
          <w:szCs w:val="24"/>
        </w:rPr>
        <w:t>persons who use accelerants to soak rags, such as the blue towels in this case, may do so in the safety of their homes to avoid detection,</w:t>
      </w:r>
      <w:r>
        <w:rPr>
          <w:rFonts w:ascii="Times New Roman" w:hAnsi="Times New Roman"/>
          <w:sz w:val="24"/>
          <w:szCs w:val="24"/>
        </w:rPr>
        <w:t>’</w:t>
      </w:r>
      <w:r w:rsidRPr="001E6223">
        <w:rPr>
          <w:rFonts w:ascii="Times New Roman" w:hAnsi="Times New Roman"/>
          <w:sz w:val="24"/>
          <w:szCs w:val="24"/>
        </w:rPr>
        <w:t xml:space="preserve"> that </w:t>
      </w:r>
      <w:r>
        <w:rPr>
          <w:rFonts w:ascii="Times New Roman" w:hAnsi="Times New Roman"/>
          <w:sz w:val="24"/>
          <w:szCs w:val="24"/>
        </w:rPr>
        <w:t>‘</w:t>
      </w:r>
      <w:r w:rsidRPr="001E6223">
        <w:rPr>
          <w:rFonts w:ascii="Times New Roman" w:hAnsi="Times New Roman"/>
          <w:sz w:val="24"/>
          <w:szCs w:val="24"/>
        </w:rPr>
        <w:t>those canisters or other containers of accelerant may be found if a search is conducted,</w:t>
      </w:r>
      <w:r>
        <w:rPr>
          <w:rFonts w:ascii="Times New Roman" w:hAnsi="Times New Roman"/>
          <w:sz w:val="24"/>
          <w:szCs w:val="24"/>
        </w:rPr>
        <w:t>’</w:t>
      </w:r>
      <w:r w:rsidRPr="001E6223">
        <w:rPr>
          <w:rFonts w:ascii="Times New Roman" w:hAnsi="Times New Roman"/>
          <w:sz w:val="24"/>
          <w:szCs w:val="24"/>
        </w:rPr>
        <w:t xml:space="preserve"> and that </w:t>
      </w:r>
      <w:r>
        <w:rPr>
          <w:rFonts w:ascii="Times New Roman" w:hAnsi="Times New Roman"/>
          <w:sz w:val="24"/>
          <w:szCs w:val="24"/>
        </w:rPr>
        <w:t>‘</w:t>
      </w:r>
      <w:r w:rsidRPr="001E6223">
        <w:rPr>
          <w:rFonts w:ascii="Times New Roman" w:hAnsi="Times New Roman"/>
          <w:sz w:val="24"/>
          <w:szCs w:val="24"/>
        </w:rPr>
        <w:t>when a specific item is used in a crime—in this case, blue towels cut into rags</w:t>
      </w:r>
      <w:r>
        <w:rPr>
          <w:rFonts w:ascii="Times New Roman" w:hAnsi="Times New Roman"/>
          <w:sz w:val="24"/>
          <w:szCs w:val="24"/>
        </w:rPr>
        <w:t>’</w:t>
      </w:r>
      <w:r w:rsidRPr="001E6223">
        <w:rPr>
          <w:rFonts w:ascii="Times New Roman" w:hAnsi="Times New Roman"/>
          <w:sz w:val="24"/>
          <w:szCs w:val="24"/>
        </w:rPr>
        <w:t>—</w:t>
      </w:r>
      <w:r>
        <w:rPr>
          <w:rFonts w:ascii="Times New Roman" w:hAnsi="Times New Roman"/>
          <w:sz w:val="24"/>
          <w:szCs w:val="24"/>
        </w:rPr>
        <w:t>'</w:t>
      </w:r>
      <w:r w:rsidRPr="001E6223">
        <w:rPr>
          <w:rFonts w:ascii="Times New Roman" w:hAnsi="Times New Roman"/>
          <w:sz w:val="24"/>
          <w:szCs w:val="24"/>
        </w:rPr>
        <w:t>often more of the same type of items will be found in a person’s home.</w:t>
      </w:r>
      <w:r>
        <w:rPr>
          <w:rFonts w:ascii="Times New Roman" w:hAnsi="Times New Roman"/>
          <w:sz w:val="24"/>
          <w:szCs w:val="24"/>
        </w:rPr>
        <w:t>’</w:t>
      </w:r>
      <w:r w:rsidRPr="001E6223">
        <w:rPr>
          <w:rFonts w:ascii="Times New Roman" w:hAnsi="Times New Roman"/>
          <w:sz w:val="24"/>
          <w:szCs w:val="24"/>
        </w:rPr>
        <w:t xml:space="preserve"> The detective believed that </w:t>
      </w:r>
      <w:r>
        <w:rPr>
          <w:rFonts w:ascii="Times New Roman" w:hAnsi="Times New Roman"/>
          <w:sz w:val="24"/>
          <w:szCs w:val="24"/>
        </w:rPr>
        <w:t>‘</w:t>
      </w:r>
      <w:r w:rsidRPr="001E6223">
        <w:rPr>
          <w:rFonts w:ascii="Times New Roman" w:hAnsi="Times New Roman"/>
          <w:sz w:val="24"/>
          <w:szCs w:val="24"/>
        </w:rPr>
        <w:t>a certified canine</w:t>
      </w:r>
      <w:r>
        <w:rPr>
          <w:rFonts w:ascii="Times New Roman" w:hAnsi="Times New Roman"/>
          <w:sz w:val="24"/>
          <w:szCs w:val="24"/>
        </w:rPr>
        <w:t>’</w:t>
      </w:r>
      <w:r w:rsidRPr="001E6223">
        <w:rPr>
          <w:rFonts w:ascii="Times New Roman" w:hAnsi="Times New Roman"/>
          <w:sz w:val="24"/>
          <w:szCs w:val="24"/>
        </w:rPr>
        <w:t xml:space="preserve"> would provide </w:t>
      </w:r>
      <w:r>
        <w:rPr>
          <w:rFonts w:ascii="Times New Roman" w:hAnsi="Times New Roman"/>
          <w:sz w:val="24"/>
          <w:szCs w:val="24"/>
        </w:rPr>
        <w:t>‘</w:t>
      </w:r>
      <w:r w:rsidRPr="001E6223">
        <w:rPr>
          <w:rFonts w:ascii="Times New Roman" w:hAnsi="Times New Roman"/>
          <w:sz w:val="24"/>
          <w:szCs w:val="24"/>
        </w:rPr>
        <w:t>great assistance in locating the presence of accelerant.</w:t>
      </w:r>
      <w:r>
        <w:rPr>
          <w:rFonts w:ascii="Times New Roman" w:hAnsi="Times New Roman"/>
          <w:sz w:val="24"/>
          <w:szCs w:val="24"/>
        </w:rPr>
        <w:t>’</w:t>
      </w:r>
      <w:r w:rsidRPr="001E6223">
        <w:rPr>
          <w:rFonts w:ascii="Times New Roman" w:hAnsi="Times New Roman"/>
          <w:sz w:val="24"/>
          <w:szCs w:val="24"/>
        </w:rPr>
        <w:t xml:space="preserve"> The detective also knew, based on his training and/or experience, that </w:t>
      </w:r>
      <w:r>
        <w:rPr>
          <w:rFonts w:ascii="Times New Roman" w:hAnsi="Times New Roman"/>
          <w:sz w:val="24"/>
          <w:szCs w:val="24"/>
        </w:rPr>
        <w:t>‘</w:t>
      </w:r>
      <w:r w:rsidRPr="001E6223">
        <w:rPr>
          <w:rFonts w:ascii="Times New Roman" w:hAnsi="Times New Roman"/>
          <w:sz w:val="24"/>
          <w:szCs w:val="24"/>
        </w:rPr>
        <w:t>liquids [such] as a fire accelerant can often spill onto a person’s clothes,</w:t>
      </w:r>
      <w:r>
        <w:rPr>
          <w:rFonts w:ascii="Times New Roman" w:hAnsi="Times New Roman"/>
          <w:sz w:val="24"/>
          <w:szCs w:val="24"/>
        </w:rPr>
        <w:t>’</w:t>
      </w:r>
      <w:r w:rsidRPr="001E6223">
        <w:rPr>
          <w:rFonts w:ascii="Times New Roman" w:hAnsi="Times New Roman"/>
          <w:sz w:val="24"/>
          <w:szCs w:val="24"/>
        </w:rPr>
        <w:t xml:space="preserve"> that </w:t>
      </w:r>
      <w:r>
        <w:rPr>
          <w:rFonts w:ascii="Times New Roman" w:hAnsi="Times New Roman"/>
          <w:sz w:val="24"/>
          <w:szCs w:val="24"/>
        </w:rPr>
        <w:t>‘</w:t>
      </w:r>
      <w:r w:rsidRPr="001E6223">
        <w:rPr>
          <w:rFonts w:ascii="Times New Roman" w:hAnsi="Times New Roman"/>
          <w:sz w:val="24"/>
          <w:szCs w:val="24"/>
        </w:rPr>
        <w:t>dogs trained in accelerant detection can alert to the presence or non-presence of an accelerant,</w:t>
      </w:r>
      <w:r>
        <w:rPr>
          <w:rFonts w:ascii="Times New Roman" w:hAnsi="Times New Roman"/>
          <w:sz w:val="24"/>
          <w:szCs w:val="24"/>
        </w:rPr>
        <w:t>’</w:t>
      </w:r>
      <w:r w:rsidRPr="001E6223">
        <w:rPr>
          <w:rFonts w:ascii="Times New Roman" w:hAnsi="Times New Roman"/>
          <w:sz w:val="24"/>
          <w:szCs w:val="24"/>
        </w:rPr>
        <w:t xml:space="preserve"> and that </w:t>
      </w:r>
      <w:r>
        <w:rPr>
          <w:rFonts w:ascii="Times New Roman" w:hAnsi="Times New Roman"/>
          <w:sz w:val="24"/>
          <w:szCs w:val="24"/>
        </w:rPr>
        <w:t>‘</w:t>
      </w:r>
      <w:r w:rsidRPr="001E6223">
        <w:rPr>
          <w:rFonts w:ascii="Times New Roman" w:hAnsi="Times New Roman"/>
          <w:sz w:val="24"/>
          <w:szCs w:val="24"/>
        </w:rPr>
        <w:t>personal items of clothing will be found in a person’s residence.</w:t>
      </w:r>
      <w:r>
        <w:rPr>
          <w:rFonts w:ascii="Times New Roman" w:hAnsi="Times New Roman"/>
          <w:sz w:val="24"/>
          <w:szCs w:val="24"/>
        </w:rPr>
        <w:t>’”</w:t>
      </w:r>
      <w:hyperlink r:id="rId282" w:history="1">
        <w:r w:rsidRPr="00C93B62">
          <w:rPr>
            <w:rStyle w:val="Hyperlink"/>
            <w:rFonts w:ascii="Times New Roman" w:hAnsi="Times New Roman"/>
            <w:sz w:val="24"/>
            <w:szCs w:val="24"/>
          </w:rPr>
          <w:t>https://law.justia.com/cases/california/court-of-appeal/2019/h045524.html</w:t>
        </w:r>
      </w:hyperlink>
      <w:r>
        <w:rPr>
          <w:rFonts w:ascii="Times New Roman" w:hAnsi="Times New Roman"/>
          <w:sz w:val="24"/>
          <w:szCs w:val="24"/>
        </w:rPr>
        <w:t xml:space="preserve"> </w:t>
      </w:r>
    </w:p>
    <w:p w14:paraId="1FE00AC0" w14:textId="77777777" w:rsidR="00DD03E3" w:rsidRPr="007C664A" w:rsidRDefault="00DD03E3" w:rsidP="00DD03E3">
      <w:pPr>
        <w:spacing w:before="100" w:beforeAutospacing="1" w:after="100" w:afterAutospacing="1" w:line="240" w:lineRule="auto"/>
        <w:rPr>
          <w:rFonts w:ascii="Times New Roman" w:hAnsi="Times New Roman"/>
          <w:b/>
          <w:bCs/>
          <w:sz w:val="24"/>
          <w:szCs w:val="24"/>
        </w:rPr>
      </w:pPr>
      <w:r w:rsidRPr="007C664A">
        <w:rPr>
          <w:rFonts w:ascii="Times New Roman" w:hAnsi="Times New Roman"/>
          <w:b/>
          <w:bCs/>
          <w:sz w:val="24"/>
          <w:szCs w:val="24"/>
        </w:rPr>
        <w:t>Legal Lesson Learned:</w:t>
      </w:r>
      <w:r>
        <w:rPr>
          <w:rFonts w:ascii="Times New Roman" w:hAnsi="Times New Roman"/>
          <w:b/>
          <w:bCs/>
          <w:sz w:val="24"/>
          <w:szCs w:val="24"/>
        </w:rPr>
        <w:t xml:space="preserve"> U.S. Supreme Court’s “Good Faith Exception” helps ensure that evidence seized pursuant to a search warrant will be introduced in evidence at trial. </w:t>
      </w:r>
    </w:p>
    <w:p w14:paraId="65CBF67F" w14:textId="77777777" w:rsidR="00DD03E3" w:rsidRDefault="00DD03E3" w:rsidP="002B1283">
      <w:pPr>
        <w:rPr>
          <w:rFonts w:ascii="Arial Black" w:hAnsi="Arial Black"/>
          <w:b/>
          <w:sz w:val="24"/>
          <w:szCs w:val="24"/>
        </w:rPr>
      </w:pPr>
    </w:p>
    <w:p w14:paraId="668EC551" w14:textId="77777777" w:rsidR="00DD03E3" w:rsidRDefault="00DD03E3" w:rsidP="002B1283">
      <w:pPr>
        <w:rPr>
          <w:rFonts w:ascii="Arial Black" w:hAnsi="Arial Black"/>
          <w:b/>
          <w:sz w:val="24"/>
          <w:szCs w:val="24"/>
        </w:rPr>
      </w:pPr>
    </w:p>
    <w:p w14:paraId="7FC3CA93" w14:textId="3F1C7874" w:rsidR="00F824FE" w:rsidRDefault="00F824FE"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6</w:t>
      </w:r>
    </w:p>
    <w:p w14:paraId="680E34FF" w14:textId="77777777" w:rsidR="00F824FE" w:rsidRPr="00AA2E64" w:rsidRDefault="00F824FE" w:rsidP="00F824FE">
      <w:pPr>
        <w:rPr>
          <w:rFonts w:ascii="Arial Black" w:hAnsi="Arial Black"/>
          <w:sz w:val="28"/>
          <w:szCs w:val="28"/>
        </w:rPr>
      </w:pPr>
      <w:r w:rsidRPr="00AA2E64">
        <w:rPr>
          <w:rFonts w:ascii="Arial Black" w:hAnsi="Arial Black"/>
          <w:sz w:val="28"/>
          <w:szCs w:val="28"/>
        </w:rPr>
        <w:lastRenderedPageBreak/>
        <w:t xml:space="preserve">TN: </w:t>
      </w:r>
      <w:r>
        <w:rPr>
          <w:rFonts w:ascii="Arial Black" w:hAnsi="Arial Black"/>
          <w:sz w:val="28"/>
          <w:szCs w:val="28"/>
        </w:rPr>
        <w:t>FIRE MARSHAL – OPPOSED CANDIDATE FOR ALDERMAN – CITY PHONE, ON DUTY – NO FED. 1</w:t>
      </w:r>
      <w:r w:rsidRPr="00911830">
        <w:rPr>
          <w:rFonts w:ascii="Arial Black" w:hAnsi="Arial Black"/>
          <w:sz w:val="28"/>
          <w:szCs w:val="28"/>
          <w:vertAlign w:val="superscript"/>
        </w:rPr>
        <w:t>st</w:t>
      </w:r>
      <w:r>
        <w:rPr>
          <w:rFonts w:ascii="Arial Black" w:hAnsi="Arial Black"/>
          <w:sz w:val="28"/>
          <w:szCs w:val="28"/>
        </w:rPr>
        <w:t xml:space="preserve"> AMEND VIOL., LAWSUIT DISMISSED</w:t>
      </w:r>
    </w:p>
    <w:p w14:paraId="041401D1" w14:textId="77777777" w:rsidR="00F824FE" w:rsidRDefault="00F824FE" w:rsidP="00F824FE">
      <w:pPr>
        <w:pStyle w:val="NormalWeb"/>
      </w:pPr>
      <w:r>
        <w:t xml:space="preserve">On Sept. 17, 2020, in </w:t>
      </w:r>
      <w:r w:rsidRPr="00AA2E64">
        <w:rPr>
          <w:u w:val="single"/>
        </w:rPr>
        <w:t>Chris Spencer v. City of Henderson, et al</w:t>
      </w:r>
      <w:r>
        <w:t xml:space="preserve">., U.S. District Court Judge Aleta A. Trauger, U.S. District Court for the Middle District of Tennessee (Nashville Division) granted the defendants’ motion to dismiss; a political activist who lost (by 359 votes) an election to become a </w:t>
      </w:r>
      <w:proofErr w:type="gramStart"/>
      <w:r>
        <w:t>city</w:t>
      </w:r>
      <w:proofErr w:type="gramEnd"/>
      <w:r>
        <w:t xml:space="preserve"> Alderman.  He had campaigned for “small government – anti-corruption” and sued Fire Marshal Paul Varble and City alleging Varble used city phones while on duty to oppose his candidacy. </w:t>
      </w:r>
    </w:p>
    <w:p w14:paraId="0E9666FA" w14:textId="77777777" w:rsidR="00F824FE" w:rsidRDefault="00F824FE" w:rsidP="00F824FE">
      <w:pPr>
        <w:pStyle w:val="NormalWeb"/>
        <w:ind w:left="720"/>
      </w:pPr>
      <w:r>
        <w:t xml:space="preserve">“Even though Varble is alleged to have engaged in this conduct during City time and using City resources, the court cannot find that this behavior would deter a person of ordinary firmness from continuing to campaign on his own behalf and to attempt to spread his own political message. An adverse campaign is the price of running for political office. The fact that Varble may have violated state law or a city ordinance while campaigning against Spencer does not make the conduct so adverse as to give rise to a First Amendment retaliation claim.” </w:t>
      </w:r>
      <w:hyperlink r:id="rId283" w:history="1">
        <w:r w:rsidRPr="00374F49">
          <w:rPr>
            <w:rStyle w:val="Hyperlink"/>
          </w:rPr>
          <w:t>https://public.fastcase.com/Wl%2B2t%2BeVuI35%2FN70vAMFZg2BMAXQvmThuD9oRUd4r3OTVcwOC01J7TzGKhK5Lojo</w:t>
        </w:r>
      </w:hyperlink>
      <w:r>
        <w:t xml:space="preserve"> </w:t>
      </w:r>
    </w:p>
    <w:p w14:paraId="799AF6F7" w14:textId="77777777" w:rsidR="00F824FE" w:rsidRDefault="00F824FE" w:rsidP="00F824FE">
      <w:pPr>
        <w:tabs>
          <w:tab w:val="left" w:pos="3360"/>
        </w:tabs>
        <w:rPr>
          <w:rFonts w:ascii="Times New Roman" w:hAnsi="Times New Roman"/>
          <w:b/>
          <w:bCs/>
          <w:sz w:val="24"/>
          <w:szCs w:val="24"/>
        </w:rPr>
      </w:pPr>
      <w:r w:rsidRPr="00C53C46">
        <w:rPr>
          <w:rFonts w:ascii="Times New Roman" w:hAnsi="Times New Roman"/>
          <w:b/>
          <w:bCs/>
          <w:sz w:val="24"/>
          <w:szCs w:val="24"/>
        </w:rPr>
        <w:t>Legal Lessons Learned</w:t>
      </w:r>
      <w:r>
        <w:rPr>
          <w:rFonts w:ascii="Times New Roman" w:hAnsi="Times New Roman"/>
          <w:b/>
          <w:bCs/>
          <w:sz w:val="24"/>
          <w:szCs w:val="24"/>
        </w:rPr>
        <w:t xml:space="preserve">: Fire &amp; EMS departments should have a policy concerning political activity on duty, and use of FD computers, cell phones or other property concerning political candidates. </w:t>
      </w:r>
    </w:p>
    <w:p w14:paraId="4901642E" w14:textId="77777777" w:rsidR="00F824FE" w:rsidRPr="00EA5852" w:rsidRDefault="00F824FE" w:rsidP="00F824FE">
      <w:pPr>
        <w:ind w:left="720"/>
        <w:rPr>
          <w:rFonts w:ascii="Times New Roman" w:hAnsi="Times New Roman"/>
          <w:sz w:val="24"/>
          <w:szCs w:val="24"/>
        </w:rPr>
      </w:pPr>
      <w:r w:rsidRPr="008D7ABD">
        <w:rPr>
          <w:rFonts w:ascii="Times New Roman" w:hAnsi="Times New Roman"/>
          <w:sz w:val="24"/>
          <w:szCs w:val="24"/>
        </w:rPr>
        <w:t>Note:</w:t>
      </w:r>
      <w:r w:rsidRPr="00156CE2">
        <w:rPr>
          <w:rFonts w:ascii="Times New Roman" w:hAnsi="Times New Roman"/>
          <w:b/>
          <w:bCs/>
          <w:sz w:val="24"/>
          <w:szCs w:val="24"/>
        </w:rPr>
        <w:t xml:space="preserve"> </w:t>
      </w:r>
      <w:r w:rsidRPr="005E6FCA">
        <w:rPr>
          <w:rFonts w:ascii="Times New Roman" w:hAnsi="Times New Roman"/>
          <w:sz w:val="24"/>
          <w:szCs w:val="24"/>
        </w:rPr>
        <w:t xml:space="preserve">Hamilton County Ohio requires </w:t>
      </w:r>
      <w:r>
        <w:rPr>
          <w:rFonts w:ascii="Times New Roman" w:hAnsi="Times New Roman"/>
          <w:sz w:val="24"/>
          <w:szCs w:val="24"/>
        </w:rPr>
        <w:t xml:space="preserve">employee </w:t>
      </w:r>
      <w:r w:rsidRPr="005E6FCA">
        <w:rPr>
          <w:rFonts w:ascii="Times New Roman" w:hAnsi="Times New Roman"/>
          <w:sz w:val="24"/>
          <w:szCs w:val="24"/>
        </w:rPr>
        <w:t>annual refresher training – see their Manual</w:t>
      </w:r>
      <w:r>
        <w:rPr>
          <w:rFonts w:ascii="Times New Roman" w:hAnsi="Times New Roman"/>
          <w:b/>
          <w:bCs/>
          <w:sz w:val="24"/>
          <w:szCs w:val="24"/>
        </w:rPr>
        <w:t xml:space="preserve">, </w:t>
      </w:r>
      <w:r w:rsidRPr="005E6FCA">
        <w:rPr>
          <w:rFonts w:ascii="Times New Roman" w:hAnsi="Times New Roman"/>
          <w:sz w:val="24"/>
          <w:szCs w:val="24"/>
        </w:rPr>
        <w:t xml:space="preserve">“Ethics </w:t>
      </w:r>
      <w:proofErr w:type="gramStart"/>
      <w:r w:rsidRPr="005E6FCA">
        <w:rPr>
          <w:rFonts w:ascii="Times New Roman" w:hAnsi="Times New Roman"/>
          <w:sz w:val="24"/>
          <w:szCs w:val="24"/>
        </w:rPr>
        <w:t>In</w:t>
      </w:r>
      <w:proofErr w:type="gramEnd"/>
      <w:r w:rsidRPr="005E6FCA">
        <w:rPr>
          <w:rFonts w:ascii="Times New Roman" w:hAnsi="Times New Roman"/>
          <w:sz w:val="24"/>
          <w:szCs w:val="24"/>
        </w:rPr>
        <w:t xml:space="preserve"> Government Guide</w:t>
      </w:r>
      <w:r>
        <w:rPr>
          <w:rFonts w:ascii="Times New Roman" w:hAnsi="Times New Roman"/>
          <w:sz w:val="24"/>
          <w:szCs w:val="24"/>
        </w:rPr>
        <w:t xml:space="preserve"> </w:t>
      </w:r>
      <w:proofErr w:type="gramStart"/>
      <w:r>
        <w:rPr>
          <w:rFonts w:ascii="Times New Roman" w:hAnsi="Times New Roman"/>
          <w:sz w:val="24"/>
          <w:szCs w:val="24"/>
        </w:rPr>
        <w:t>For</w:t>
      </w:r>
      <w:proofErr w:type="gramEnd"/>
      <w:r>
        <w:rPr>
          <w:rFonts w:ascii="Times New Roman" w:hAnsi="Times New Roman"/>
          <w:sz w:val="24"/>
          <w:szCs w:val="24"/>
        </w:rPr>
        <w:t xml:space="preserve"> Employees</w:t>
      </w:r>
      <w:r w:rsidRPr="005E6FCA">
        <w:rPr>
          <w:rFonts w:ascii="Times New Roman" w:hAnsi="Times New Roman"/>
          <w:sz w:val="24"/>
          <w:szCs w:val="24"/>
        </w:rPr>
        <w:t>”</w:t>
      </w:r>
      <w:r>
        <w:rPr>
          <w:rFonts w:ascii="Times New Roman" w:hAnsi="Times New Roman"/>
          <w:b/>
          <w:bCs/>
          <w:sz w:val="24"/>
          <w:szCs w:val="24"/>
        </w:rPr>
        <w:t xml:space="preserve">: </w:t>
      </w:r>
      <w:hyperlink r:id="rId284" w:history="1">
        <w:r w:rsidRPr="00443DB2">
          <w:rPr>
            <w:rStyle w:val="Hyperlink"/>
            <w:rFonts w:ascii="Times New Roman" w:hAnsi="Times New Roman"/>
            <w:sz w:val="24"/>
            <w:szCs w:val="24"/>
          </w:rPr>
          <w:t>https://www.hamiltoncountyohio.gov/UserFiles/Servers/Server_3788196/File/Government/Departments/Human%20Resources/Ethics%20in%20Government/HamiltonCountyEthicsBooklet.pdf</w:t>
        </w:r>
      </w:hyperlink>
      <w:r>
        <w:rPr>
          <w:rFonts w:ascii="Times New Roman" w:hAnsi="Times New Roman"/>
          <w:sz w:val="24"/>
          <w:szCs w:val="24"/>
        </w:rPr>
        <w:t xml:space="preserve"> </w:t>
      </w:r>
    </w:p>
    <w:p w14:paraId="556D1BB1" w14:textId="77777777" w:rsidR="00F824FE" w:rsidRPr="00EA5852" w:rsidRDefault="00F824FE" w:rsidP="00F824FE">
      <w:pPr>
        <w:ind w:left="720"/>
        <w:rPr>
          <w:rFonts w:ascii="Times New Roman" w:hAnsi="Times New Roman"/>
          <w:sz w:val="24"/>
          <w:szCs w:val="24"/>
        </w:rPr>
      </w:pPr>
      <w:r w:rsidRPr="005E6FCA">
        <w:rPr>
          <w:rFonts w:ascii="Times New Roman" w:hAnsi="Times New Roman"/>
          <w:sz w:val="24"/>
          <w:szCs w:val="24"/>
        </w:rPr>
        <w:t>Ohio Revised Code 2921.43(C)(2): 2921.43 Soliciting or accepting improper compensation</w:t>
      </w:r>
      <w:r>
        <w:rPr>
          <w:rFonts w:ascii="Times New Roman" w:hAnsi="Times New Roman"/>
          <w:sz w:val="24"/>
          <w:szCs w:val="24"/>
        </w:rPr>
        <w:t xml:space="preserve">: </w:t>
      </w:r>
      <w:hyperlink r:id="rId285" w:history="1">
        <w:r w:rsidRPr="00443DB2">
          <w:rPr>
            <w:rStyle w:val="Hyperlink"/>
            <w:rFonts w:ascii="Times New Roman" w:hAnsi="Times New Roman"/>
            <w:sz w:val="24"/>
            <w:szCs w:val="24"/>
          </w:rPr>
          <w:t>http://codes.ohio.gov/orc/2921.43</w:t>
        </w:r>
      </w:hyperlink>
      <w:r>
        <w:rPr>
          <w:rFonts w:ascii="Times New Roman" w:hAnsi="Times New Roman"/>
          <w:sz w:val="24"/>
          <w:szCs w:val="24"/>
        </w:rPr>
        <w:t xml:space="preserve">  [</w:t>
      </w:r>
      <w:r w:rsidRPr="00EA5852">
        <w:rPr>
          <w:rFonts w:ascii="Times New Roman" w:hAnsi="Times New Roman"/>
          <w:sz w:val="24"/>
          <w:szCs w:val="24"/>
        </w:rPr>
        <w:t>Note: RC 2921.43(C)(2) applies to ALL employees, both classified and unclassified</w:t>
      </w:r>
      <w:r>
        <w:rPr>
          <w:rFonts w:ascii="Times New Roman" w:hAnsi="Times New Roman"/>
          <w:sz w:val="24"/>
          <w:szCs w:val="24"/>
        </w:rPr>
        <w:t xml:space="preserve">.] </w:t>
      </w:r>
    </w:p>
    <w:p w14:paraId="55CC2D1E" w14:textId="77777777" w:rsidR="00F824FE" w:rsidRPr="005E6FCA" w:rsidRDefault="00F824FE" w:rsidP="00F824FE">
      <w:pPr>
        <w:spacing w:before="100" w:beforeAutospacing="1" w:after="100" w:afterAutospacing="1" w:line="240" w:lineRule="auto"/>
        <w:ind w:left="1440"/>
        <w:rPr>
          <w:rFonts w:ascii="Times New Roman" w:eastAsia="Times New Roman" w:hAnsi="Times New Roman"/>
          <w:sz w:val="24"/>
          <w:szCs w:val="24"/>
        </w:rPr>
      </w:pPr>
      <w:r w:rsidRPr="005E6FCA">
        <w:rPr>
          <w:rFonts w:ascii="Times New Roman" w:eastAsia="Times New Roman" w:hAnsi="Times New Roman"/>
          <w:sz w:val="24"/>
          <w:szCs w:val="24"/>
        </w:rPr>
        <w:t xml:space="preserve">(C) No person for the benefit of a political party, campaign committee, legislative campaign fund, political action committee, or political contributing entity shall coerce any contribution in consideration of either of the following: </w:t>
      </w:r>
    </w:p>
    <w:p w14:paraId="14EBAD3F" w14:textId="77777777" w:rsidR="00F824FE" w:rsidRPr="005E6FCA" w:rsidRDefault="00F824FE" w:rsidP="00F824FE">
      <w:pPr>
        <w:spacing w:before="100" w:beforeAutospacing="1" w:after="100" w:afterAutospacing="1" w:line="240" w:lineRule="auto"/>
        <w:ind w:left="1440"/>
        <w:rPr>
          <w:rFonts w:ascii="Times New Roman" w:eastAsia="Times New Roman" w:hAnsi="Times New Roman"/>
          <w:sz w:val="24"/>
          <w:szCs w:val="24"/>
        </w:rPr>
      </w:pPr>
      <w:r w:rsidRPr="005E6FCA">
        <w:rPr>
          <w:rFonts w:ascii="Times New Roman" w:eastAsia="Times New Roman" w:hAnsi="Times New Roman"/>
          <w:sz w:val="24"/>
          <w:szCs w:val="24"/>
        </w:rPr>
        <w:t xml:space="preserve">(1) Appointing or securing, maintaining, or renewing the appointment of any person to any public office, employment, or agency; </w:t>
      </w:r>
    </w:p>
    <w:p w14:paraId="3061F918" w14:textId="77777777" w:rsidR="00F824FE" w:rsidRPr="005E6FCA" w:rsidRDefault="00F824FE" w:rsidP="00F824FE">
      <w:pPr>
        <w:spacing w:before="100" w:beforeAutospacing="1" w:after="100" w:afterAutospacing="1" w:line="240" w:lineRule="auto"/>
        <w:ind w:left="1440"/>
        <w:rPr>
          <w:rFonts w:ascii="Times New Roman" w:eastAsia="Times New Roman" w:hAnsi="Times New Roman"/>
          <w:sz w:val="24"/>
          <w:szCs w:val="24"/>
        </w:rPr>
      </w:pPr>
      <w:r w:rsidRPr="005E6FCA">
        <w:rPr>
          <w:rFonts w:ascii="Times New Roman" w:eastAsia="Times New Roman" w:hAnsi="Times New Roman"/>
          <w:sz w:val="24"/>
          <w:szCs w:val="24"/>
        </w:rPr>
        <w:t xml:space="preserve">(2) Preferring, or maintaining the status of, any public employee with respect to compensation, duties, placement, location, promotion, or other material aspects of employment. </w:t>
      </w:r>
    </w:p>
    <w:p w14:paraId="399DD1D4" w14:textId="77777777" w:rsidR="00F824FE" w:rsidRPr="002D3CB4" w:rsidRDefault="00F824FE" w:rsidP="00F824FE">
      <w:pPr>
        <w:pStyle w:val="Heading2"/>
        <w:ind w:left="720"/>
        <w:rPr>
          <w:rFonts w:ascii="Times New Roman" w:hAnsi="Times New Roman"/>
          <w:b w:val="0"/>
          <w:bCs w:val="0"/>
          <w:i w:val="0"/>
          <w:iCs w:val="0"/>
          <w:sz w:val="24"/>
          <w:szCs w:val="24"/>
        </w:rPr>
      </w:pPr>
      <w:r w:rsidRPr="002D3CB4">
        <w:rPr>
          <w:rFonts w:ascii="Times New Roman" w:hAnsi="Times New Roman"/>
          <w:b w:val="0"/>
          <w:bCs w:val="0"/>
          <w:i w:val="0"/>
          <w:iCs w:val="0"/>
          <w:sz w:val="24"/>
          <w:szCs w:val="24"/>
        </w:rPr>
        <w:t xml:space="preserve">See also: 123:1-46-02 Political activity of employees in the classified service of the state. </w:t>
      </w:r>
      <w:hyperlink r:id="rId286" w:history="1">
        <w:r w:rsidRPr="002D3CB4">
          <w:rPr>
            <w:rStyle w:val="Hyperlink"/>
            <w:rFonts w:ascii="Times New Roman" w:hAnsi="Times New Roman"/>
            <w:b w:val="0"/>
            <w:bCs w:val="0"/>
            <w:i w:val="0"/>
            <w:iCs w:val="0"/>
            <w:sz w:val="24"/>
            <w:szCs w:val="24"/>
          </w:rPr>
          <w:t>http://codes.ohio.gov/oac/123:1-46-02</w:t>
        </w:r>
      </w:hyperlink>
      <w:r w:rsidRPr="002D3CB4">
        <w:rPr>
          <w:rFonts w:ascii="Times New Roman" w:hAnsi="Times New Roman"/>
          <w:b w:val="0"/>
          <w:bCs w:val="0"/>
          <w:i w:val="0"/>
          <w:iCs w:val="0"/>
          <w:sz w:val="24"/>
          <w:szCs w:val="24"/>
        </w:rPr>
        <w:t xml:space="preserve"> </w:t>
      </w:r>
    </w:p>
    <w:p w14:paraId="7687901F" w14:textId="77777777" w:rsidR="00F824FE" w:rsidRPr="008D7ABD" w:rsidRDefault="00F824FE" w:rsidP="00F824FE">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(C)</w:t>
      </w:r>
      <w:r w:rsidRPr="008D7ABD">
        <w:rPr>
          <w:rFonts w:ascii="Times New Roman" w:eastAsia="Times New Roman" w:hAnsi="Times New Roman"/>
          <w:sz w:val="24"/>
          <w:szCs w:val="24"/>
        </w:rPr>
        <w:t xml:space="preserve">(7) Campaigning by writing for publications, by distributing political material, or by writing or making speeches on behalf of a candidate for partisan elective office, when such activities are directed toward party success; </w:t>
      </w:r>
    </w:p>
    <w:p w14:paraId="49B0FADC" w14:textId="77777777" w:rsidR="00F824FE" w:rsidRDefault="00F824FE" w:rsidP="00F824FE">
      <w:pPr>
        <w:spacing w:before="100" w:beforeAutospacing="1" w:after="100" w:afterAutospacing="1" w:line="240" w:lineRule="auto"/>
        <w:ind w:left="1440"/>
        <w:rPr>
          <w:rFonts w:ascii="Times New Roman" w:eastAsia="Times New Roman" w:hAnsi="Times New Roman"/>
          <w:sz w:val="24"/>
          <w:szCs w:val="24"/>
        </w:rPr>
      </w:pPr>
      <w:r w:rsidRPr="008D7ABD">
        <w:rPr>
          <w:rFonts w:ascii="Times New Roman" w:eastAsia="Times New Roman" w:hAnsi="Times New Roman"/>
          <w:sz w:val="24"/>
          <w:szCs w:val="24"/>
        </w:rPr>
        <w:t>(8) Solicitation, either directly or indirectly, of any assessment, contribution or subscription, either monetary or in-kind, for any political party or political candidate</w:t>
      </w:r>
      <w:r>
        <w:rPr>
          <w:rFonts w:ascii="Times New Roman" w:eastAsia="Times New Roman" w:hAnsi="Times New Roman"/>
          <w:sz w:val="24"/>
          <w:szCs w:val="24"/>
        </w:rPr>
        <w:t>….</w:t>
      </w:r>
    </w:p>
    <w:p w14:paraId="25949EAB" w14:textId="77777777" w:rsidR="00F824FE" w:rsidRPr="00156CE2" w:rsidRDefault="00F824FE" w:rsidP="00F824FE">
      <w:pPr>
        <w:spacing w:before="100" w:beforeAutospacing="1" w:after="100" w:afterAutospacing="1" w:line="240" w:lineRule="auto"/>
        <w:ind w:left="1440"/>
        <w:rPr>
          <w:rFonts w:ascii="Times New Roman" w:hAnsi="Times New Roman"/>
          <w:sz w:val="24"/>
          <w:szCs w:val="24"/>
        </w:rPr>
      </w:pPr>
      <w:r w:rsidRPr="00156CE2">
        <w:rPr>
          <w:rFonts w:ascii="Times New Roman" w:hAnsi="Times New Roman"/>
          <w:sz w:val="24"/>
          <w:szCs w:val="24"/>
        </w:rPr>
        <w:lastRenderedPageBreak/>
        <w:t xml:space="preserve">(D) An employee in the classified service who engages in any of the activities listed in paragraphs (C)(1) to (C)(13) of this rule is subject to removal from his or her position in the classified </w:t>
      </w:r>
      <w:proofErr w:type="gramStart"/>
      <w:r w:rsidRPr="00156CE2">
        <w:rPr>
          <w:rFonts w:ascii="Times New Roman" w:hAnsi="Times New Roman"/>
          <w:sz w:val="24"/>
          <w:szCs w:val="24"/>
        </w:rPr>
        <w:t>service.</w:t>
      </w:r>
      <w:r>
        <w:rPr>
          <w:rFonts w:ascii="Times New Roman" w:hAnsi="Times New Roman"/>
          <w:sz w:val="24"/>
          <w:szCs w:val="24"/>
        </w:rPr>
        <w:t>”</w:t>
      </w:r>
      <w:proofErr w:type="gramEnd"/>
    </w:p>
    <w:p w14:paraId="602AE132" w14:textId="77777777" w:rsidR="00F824FE" w:rsidRDefault="00F824FE" w:rsidP="002B1283">
      <w:pPr>
        <w:rPr>
          <w:rFonts w:ascii="Arial Black" w:hAnsi="Arial Black"/>
          <w:b/>
          <w:sz w:val="24"/>
          <w:szCs w:val="24"/>
        </w:rPr>
      </w:pPr>
    </w:p>
    <w:p w14:paraId="3CEB6F3F" w14:textId="77777777" w:rsidR="00F824FE" w:rsidRDefault="00F824FE" w:rsidP="002B1283">
      <w:pPr>
        <w:rPr>
          <w:rFonts w:ascii="Arial Black" w:hAnsi="Arial Black"/>
          <w:b/>
          <w:sz w:val="24"/>
          <w:szCs w:val="24"/>
        </w:rPr>
      </w:pPr>
    </w:p>
    <w:p w14:paraId="629E6569" w14:textId="01A51BF9" w:rsidR="00C630E7" w:rsidRDefault="00C630E7"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5</w:t>
      </w:r>
    </w:p>
    <w:p w14:paraId="0CFFD3A6" w14:textId="77777777" w:rsidR="00C630E7" w:rsidRDefault="00C630E7" w:rsidP="00C630E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GA: CONTROLLED BURN AT FORT STEWART – BURN LEFT PROPERTY, DAMAGED LOGGING EQUIPMENT – IMMUNITY</w:t>
      </w:r>
    </w:p>
    <w:p w14:paraId="4D673622" w14:textId="77777777" w:rsidR="00C630E7" w:rsidRDefault="00C630E7" w:rsidP="00C630E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August 24, 2020, in </w:t>
      </w:r>
      <w:r>
        <w:rPr>
          <w:rFonts w:ascii="Times New Roman" w:eastAsia="Times New Roman" w:hAnsi="Times New Roman"/>
          <w:sz w:val="24"/>
          <w:szCs w:val="24"/>
          <w:u w:val="single"/>
        </w:rPr>
        <w:t xml:space="preserve">Foster Logging, Inc. and </w:t>
      </w:r>
      <w:r>
        <w:rPr>
          <w:rFonts w:ascii="Times New Roman" w:hAnsi="Times New Roman"/>
          <w:sz w:val="24"/>
          <w:szCs w:val="24"/>
          <w:u w:val="single"/>
        </w:rPr>
        <w:t xml:space="preserve">American Guarantee &amp; Liability Insurance Company </w:t>
      </w:r>
      <w:r>
        <w:rPr>
          <w:rFonts w:ascii="Times New Roman" w:eastAsia="Times New Roman" w:hAnsi="Times New Roman"/>
          <w:sz w:val="24"/>
          <w:szCs w:val="24"/>
          <w:u w:val="single"/>
        </w:rPr>
        <w:t>v. United States of America</w:t>
      </w:r>
      <w:r>
        <w:rPr>
          <w:rFonts w:ascii="Times New Roman" w:eastAsia="Times New Roman" w:hAnsi="Times New Roman"/>
          <w:sz w:val="24"/>
          <w:szCs w:val="24"/>
        </w:rPr>
        <w:t xml:space="preserve">, the U.S. Court of Appeals for the Eleventh Circuit (Atlanta, GA) held (2 to 1) that U.S. District Court judge properly granted the U.S. Government’s motion to dismiss based on the “discretionary function”  exception to liability under the Federal Tort Claims Act, since the U.S. Forestry Branch exercised discretion on how it conducted and monitored the controlled burn at Fort Stewart – Hunter Army Airfield. </w:t>
      </w:r>
    </w:p>
    <w:p w14:paraId="78C73316" w14:textId="0B94A45A" w:rsidR="00C630E7" w:rsidRDefault="00C630E7" w:rsidP="00C630E7">
      <w:pPr>
        <w:rPr>
          <w:rFonts w:ascii="Arial Black" w:hAnsi="Arial Black"/>
          <w:b/>
          <w:sz w:val="24"/>
          <w:szCs w:val="24"/>
        </w:rPr>
      </w:pPr>
      <w:r>
        <w:rPr>
          <w:rFonts w:ascii="Times New Roman" w:hAnsi="Times New Roman"/>
          <w:sz w:val="24"/>
          <w:szCs w:val="24"/>
        </w:rPr>
        <w:t>“We assume, as we must at this stage, that U.S. Forestry Branch officials were negligent in their observation, monitoring, and maintenance during the controlled burn itself as alleged in the complaint. But that alleged conduct—the steps and measures taken to safely execute a controlled burn—by its nature, involves an exercise of discretion and considerations of social, economic, political, and public policy. *** The government's decisions about how to monitor and maintain a controlled burn are shielded from judicial second-guessing by the discretionary-function exception to the FTCA.”</w:t>
      </w:r>
      <w:r>
        <w:t xml:space="preserve"> </w:t>
      </w:r>
      <w:hyperlink r:id="rId287" w:history="1">
        <w:r>
          <w:rPr>
            <w:rStyle w:val="Hyperlink"/>
            <w:sz w:val="24"/>
            <w:szCs w:val="24"/>
          </w:rPr>
          <w:t>https://law.justia.com/cases/federal/appellate-courts/ca11/18-15033/18-15033-2020-08-24.html</w:t>
        </w:r>
      </w:hyperlink>
    </w:p>
    <w:p w14:paraId="5F9176DD" w14:textId="77777777" w:rsidR="00C630E7" w:rsidRDefault="00C630E7" w:rsidP="00C630E7">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This case does raise the question of why someone wasn’t posted to make sure the “controlled burns” stayed on Ft. Stewart property. </w:t>
      </w:r>
    </w:p>
    <w:p w14:paraId="6DBAB68B" w14:textId="77777777" w:rsidR="00C630E7" w:rsidRDefault="00C630E7" w:rsidP="002B1283">
      <w:pPr>
        <w:rPr>
          <w:rFonts w:ascii="Arial Black" w:hAnsi="Arial Black"/>
          <w:b/>
          <w:sz w:val="24"/>
          <w:szCs w:val="24"/>
        </w:rPr>
      </w:pPr>
    </w:p>
    <w:p w14:paraId="24DEA73A" w14:textId="63228175" w:rsidR="00C630E7" w:rsidRDefault="00C630E7" w:rsidP="002B1283">
      <w:pPr>
        <w:rPr>
          <w:rFonts w:ascii="Arial Black" w:hAnsi="Arial Black"/>
          <w:b/>
          <w:sz w:val="24"/>
          <w:szCs w:val="24"/>
        </w:rPr>
      </w:pPr>
      <w:r>
        <w:rPr>
          <w:rFonts w:ascii="Arial Black" w:hAnsi="Arial Black"/>
          <w:b/>
          <w:sz w:val="24"/>
          <w:szCs w:val="24"/>
        </w:rPr>
        <w:t>1-64</w:t>
      </w:r>
    </w:p>
    <w:p w14:paraId="3E3DB57D" w14:textId="77777777" w:rsidR="00C630E7" w:rsidRDefault="00C630E7" w:rsidP="00C630E7">
      <w:pPr>
        <w:rPr>
          <w:rFonts w:asciiTheme="minorHAnsi" w:hAnsiTheme="minorHAnsi"/>
        </w:rPr>
      </w:pPr>
      <w:r>
        <w:rPr>
          <w:rFonts w:ascii="Arial Black" w:hAnsi="Arial Black"/>
          <w:sz w:val="28"/>
          <w:szCs w:val="28"/>
        </w:rPr>
        <w:t>CT: WAREHOUSE FIRE – 1500 BARRELS OILS – NO CODE INSPECTIONS 15 YRS, USED WATER NOT FOAM - IMMUNITY</w:t>
      </w:r>
    </w:p>
    <w:p w14:paraId="60684C5B" w14:textId="77777777" w:rsidR="00C630E7" w:rsidRDefault="00C630E7" w:rsidP="00C630E7">
      <w:pPr>
        <w:rPr>
          <w:rFonts w:ascii="Times New Roman" w:hAnsi="Times New Roman"/>
          <w:sz w:val="24"/>
          <w:szCs w:val="24"/>
        </w:rPr>
      </w:pPr>
      <w:r>
        <w:rPr>
          <w:rFonts w:ascii="Times New Roman" w:hAnsi="Times New Roman"/>
          <w:sz w:val="24"/>
          <w:szCs w:val="24"/>
        </w:rPr>
        <w:t xml:space="preserve">On Aug.18, 2020, in </w:t>
      </w:r>
      <w:r>
        <w:rPr>
          <w:rFonts w:ascii="Times New Roman" w:hAnsi="Times New Roman"/>
          <w:sz w:val="24"/>
          <w:szCs w:val="24"/>
          <w:u w:val="single"/>
        </w:rPr>
        <w:t>25 Grant Street, LLC v. City of Bridgeport, et al</w:t>
      </w:r>
      <w:r>
        <w:rPr>
          <w:rFonts w:ascii="Times New Roman" w:hAnsi="Times New Roman"/>
          <w:sz w:val="24"/>
          <w:szCs w:val="24"/>
        </w:rPr>
        <w:t>., the Court of Appeals of the State of Connecticut, held (3 to 0) held that the trial court properly granted summary judgment to the City, but on different grounds: that the June, 2018 complaint alleging city negligence in failing to find fire code violations was filed too late under statute of limitations.</w:t>
      </w:r>
    </w:p>
    <w:p w14:paraId="1C4637FF" w14:textId="77777777" w:rsidR="00C630E7" w:rsidRDefault="00C630E7" w:rsidP="00C630E7">
      <w:pPr>
        <w:ind w:left="720"/>
        <w:rPr>
          <w:rFonts w:ascii="Times New Roman" w:hAnsi="Times New Roman"/>
          <w:sz w:val="24"/>
          <w:szCs w:val="24"/>
        </w:rPr>
      </w:pPr>
      <w:r>
        <w:rPr>
          <w:rFonts w:ascii="Times New Roman" w:hAnsi="Times New Roman"/>
          <w:sz w:val="24"/>
          <w:szCs w:val="24"/>
        </w:rPr>
        <w:t xml:space="preserve">“In the present case, the plaintiff failed to provide the city with notice of its theory of liability concerning fire code violations in the warehouse in all iterations of the complaint preceding the proposed </w:t>
      </w:r>
      <w:proofErr w:type="gramStart"/>
      <w:r>
        <w:rPr>
          <w:rFonts w:ascii="Times New Roman" w:hAnsi="Times New Roman"/>
          <w:sz w:val="24"/>
          <w:szCs w:val="24"/>
        </w:rPr>
        <w:t>June,</w:t>
      </w:r>
      <w:proofErr w:type="gramEnd"/>
      <w:r>
        <w:rPr>
          <w:rFonts w:ascii="Times New Roman" w:hAnsi="Times New Roman"/>
          <w:sz w:val="24"/>
          <w:szCs w:val="24"/>
        </w:rPr>
        <w:t xml:space="preserve"> 2018 complaint. Thus, even if the plaintiff described this theory in its response to an interrogatory, this response alone is insufficient for it to relate back for purposes of compliance with the statute of limitations.” </w:t>
      </w:r>
      <w:hyperlink r:id="rId288" w:history="1">
        <w:r>
          <w:rPr>
            <w:rStyle w:val="Hyperlink"/>
            <w:sz w:val="24"/>
            <w:szCs w:val="24"/>
          </w:rPr>
          <w:t>https://casetext.com/case/25-grant-st-llc-v-city-of-bridgeport</w:t>
        </w:r>
      </w:hyperlink>
      <w:r>
        <w:rPr>
          <w:rFonts w:ascii="Times New Roman" w:hAnsi="Times New Roman"/>
          <w:sz w:val="24"/>
          <w:szCs w:val="24"/>
        </w:rPr>
        <w:t xml:space="preserve">  </w:t>
      </w:r>
    </w:p>
    <w:p w14:paraId="2F256AFB" w14:textId="77777777" w:rsidR="00C630E7" w:rsidRDefault="00C630E7" w:rsidP="00C630E7">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Legal Lessons Learned: Government mental immunity prevailed, but alleged failure to inspect a large warehouse in 15 years raises serious questions about the City’s code enforcement practices.</w:t>
      </w:r>
    </w:p>
    <w:p w14:paraId="4985EBE9" w14:textId="77777777" w:rsidR="00C630E7" w:rsidRDefault="00C630E7" w:rsidP="00C630E7">
      <w:pPr>
        <w:pStyle w:val="NormalWeb"/>
        <w:ind w:left="720"/>
      </w:pPr>
      <w:r>
        <w:t xml:space="preserve">Note: See the Supreme Court of Connecticut’s Dec. 26, </w:t>
      </w:r>
      <w:proofErr w:type="gramStart"/>
      <w:r>
        <w:t>2017</w:t>
      </w:r>
      <w:proofErr w:type="gramEnd"/>
      <w:r>
        <w:t xml:space="preserve"> decision establishing municipal liability for failure to conduct inspections: Williams v. Housing Authority of Bridgeport, 327 Ct. 338, 174 A.3d 137 (2017): </w:t>
      </w:r>
      <w:hyperlink r:id="rId289" w:history="1">
        <w:r>
          <w:rPr>
            <w:rStyle w:val="Hyperlink"/>
            <w:rFonts w:eastAsiaTheme="majorEastAsia"/>
          </w:rPr>
          <w:t>https://www.leagle.com/decision/inctco20171226041</w:t>
        </w:r>
      </w:hyperlink>
      <w:r>
        <w:t xml:space="preserve"> </w:t>
      </w:r>
    </w:p>
    <w:p w14:paraId="31B8237C" w14:textId="77777777" w:rsidR="00C630E7" w:rsidRDefault="00C630E7" w:rsidP="00C630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“This certified appeal arises out of a tragic fire in which four residents of a Bridgeport public housing complex — Tiana N.A. Black and her three young children — lost their lives. </w:t>
      </w:r>
    </w:p>
    <w:p w14:paraId="00361DB9" w14:textId="77777777" w:rsidR="00C630E7" w:rsidRDefault="00C630E7" w:rsidP="00C630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371EF53C" w14:textId="77777777" w:rsidR="00C630E7" w:rsidRDefault="00C630E7" w:rsidP="00C630E7">
      <w:pPr>
        <w:pStyle w:val="NormalWeb"/>
        <w:ind w:left="720"/>
      </w:pPr>
      <w:r>
        <w:t xml:space="preserve">“The Appellate Court reversed [trial court’s summary judgment for the city], concluding that a jury reasonably could find that the conduct of the municipal defendants demonstrated ‘a reckless disregard for </w:t>
      </w:r>
    </w:p>
    <w:p w14:paraId="39B2CD06" w14:textId="77777777" w:rsidR="00C630E7" w:rsidRDefault="00C630E7" w:rsidP="00C630E7">
      <w:pPr>
        <w:pStyle w:val="NormalWeb"/>
        <w:ind w:left="720"/>
      </w:pPr>
    </w:p>
    <w:p w14:paraId="1B703952" w14:textId="77777777" w:rsidR="00C630E7" w:rsidRDefault="00C630E7" w:rsidP="00C630E7">
      <w:pPr>
        <w:pStyle w:val="NormalWeb"/>
        <w:ind w:left="720"/>
      </w:pPr>
      <w:r>
        <w:t>health or safety under all the relevant circumstances’ and, therefore, that they were potentially liable pursuant to § 52-557n (b) (8).”</w:t>
      </w:r>
    </w:p>
    <w:p w14:paraId="1181DE66" w14:textId="77777777" w:rsidR="00C630E7" w:rsidRDefault="00C630E7" w:rsidP="002B1283">
      <w:pPr>
        <w:rPr>
          <w:rFonts w:ascii="Arial Black" w:hAnsi="Arial Black"/>
          <w:b/>
          <w:sz w:val="24"/>
          <w:szCs w:val="24"/>
        </w:rPr>
      </w:pPr>
    </w:p>
    <w:p w14:paraId="0D1A512E" w14:textId="77777777" w:rsidR="00C630E7" w:rsidRDefault="00C630E7" w:rsidP="002B1283">
      <w:pPr>
        <w:rPr>
          <w:rFonts w:ascii="Arial Black" w:hAnsi="Arial Black"/>
          <w:b/>
          <w:sz w:val="24"/>
          <w:szCs w:val="24"/>
        </w:rPr>
      </w:pPr>
    </w:p>
    <w:p w14:paraId="3D4DF684" w14:textId="0CC217DE" w:rsidR="00C630E7" w:rsidRDefault="00C630E7" w:rsidP="002B1283">
      <w:pPr>
        <w:rPr>
          <w:rFonts w:ascii="Arial Black" w:hAnsi="Arial Black"/>
          <w:b/>
          <w:sz w:val="24"/>
          <w:szCs w:val="24"/>
        </w:rPr>
      </w:pPr>
      <w:r>
        <w:rPr>
          <w:rFonts w:ascii="Arial Black" w:hAnsi="Arial Black"/>
          <w:b/>
          <w:sz w:val="24"/>
          <w:szCs w:val="24"/>
        </w:rPr>
        <w:t>1-63</w:t>
      </w:r>
    </w:p>
    <w:p w14:paraId="1EE2AABF" w14:textId="77777777" w:rsidR="00C630E7" w:rsidRDefault="00C630E7" w:rsidP="00C630E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RI: FIRE INVESTIGATIONS - ADJUSTERS, RESTORES CAN CONTACT OWNERS, BUT NOT VISIT SCENE 24 HRS</w:t>
      </w:r>
    </w:p>
    <w:p w14:paraId="78BD2A24" w14:textId="77777777" w:rsidR="00C630E7" w:rsidRDefault="00C630E7" w:rsidP="00C630E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11, 2020, in </w:t>
      </w:r>
      <w:r>
        <w:rPr>
          <w:rFonts w:ascii="Times New Roman" w:eastAsia="Times New Roman" w:hAnsi="Times New Roman"/>
          <w:sz w:val="24"/>
          <w:szCs w:val="24"/>
          <w:u w:val="single"/>
        </w:rPr>
        <w:t>Ernest G. Pullano, PA, doing business as Pullano Public Adjusters, LLC, et al. v. Rhode Island Division of State Fire Marshal</w:t>
      </w:r>
      <w:r>
        <w:rPr>
          <w:rFonts w:ascii="Times New Roman" w:eastAsia="Times New Roman" w:hAnsi="Times New Roman"/>
          <w:sz w:val="24"/>
          <w:szCs w:val="24"/>
        </w:rPr>
        <w:t xml:space="preserve">, U.S. District Court Judge John J. McConnell, Jr.,  District of Rhode Island, granted the State’s motion to dismiss, based on the Judge’s narrow interpretation of the statute – does not prohibit e-mail or other off-premises contact with property owner.  </w:t>
      </w:r>
    </w:p>
    <w:p w14:paraId="0C068F3B" w14:textId="77777777" w:rsidR="00C630E7" w:rsidRDefault="00C630E7" w:rsidP="00C630E7">
      <w:pPr>
        <w:pStyle w:val="NormalWeb"/>
        <w:ind w:left="720"/>
      </w:pPr>
      <w:r>
        <w:t xml:space="preserve">“The Court is convinced that the second interpretation, using the ‘series-qualifier principle,’ is the correct interpretation and thus holds that R.I. Gen. Laws § 23-28.2-11 only prohibits solicitation </w:t>
      </w:r>
      <w:r>
        <w:rPr>
          <w:i/>
          <w:iCs/>
        </w:rPr>
        <w:t>on the premises</w:t>
      </w:r>
      <w:r>
        <w:t xml:space="preserve"> during an investigation. It does not prohibit other types of non-</w:t>
      </w:r>
      <w:proofErr w:type="gramStart"/>
      <w:r>
        <w:t>premises</w:t>
      </w:r>
      <w:proofErr w:type="gramEnd"/>
      <w:r>
        <w:t xml:space="preserve"> solicitations, like phone, email, or mail. And it does not prevent on-the-premise solicitations if the person is invited onto the property by the homeowner. This is the right interpretation because it offers the most logical reading of the plain language of the Statute, while following the State's interpretation of the Statute, and avoiding constitutional </w:t>
      </w:r>
      <w:proofErr w:type="gramStart"/>
      <w:r>
        <w:t>transgressions.”</w:t>
      </w:r>
      <w:proofErr w:type="gramEnd"/>
      <w:r>
        <w:t xml:space="preserve"> </w:t>
      </w:r>
      <w:hyperlink r:id="rId290" w:history="1">
        <w:r>
          <w:rPr>
            <w:rStyle w:val="Hyperlink"/>
            <w:rFonts w:eastAsiaTheme="majorEastAsia"/>
          </w:rPr>
          <w:t>https://public.fastcase.com/Wl%2B2t%2BeVuI35%2FN70vAMFZuQf%2BCvER%2BbrYG4WrLB4YIQfdBBmlMCsuqEI%2FSqG9cxo</w:t>
        </w:r>
      </w:hyperlink>
      <w:r>
        <w:t xml:space="preserve"> </w:t>
      </w:r>
    </w:p>
    <w:p w14:paraId="52AA44D6" w14:textId="77777777" w:rsidR="00C630E7" w:rsidRDefault="00C630E7" w:rsidP="00C630E7">
      <w:pPr>
        <w:pStyle w:val="NormalWeb"/>
        <w:rPr>
          <w:b/>
          <w:bCs/>
        </w:rPr>
      </w:pPr>
      <w:r>
        <w:rPr>
          <w:b/>
          <w:bCs/>
        </w:rPr>
        <w:t xml:space="preserve">Legal Lessons Learned:  The State may now either accept this interpretation of the </w:t>
      </w:r>
      <w:proofErr w:type="gramStart"/>
      <w:r>
        <w:rPr>
          <w:b/>
          <w:bCs/>
        </w:rPr>
        <w:t>statute, or</w:t>
      </w:r>
      <w:proofErr w:type="gramEnd"/>
      <w:r>
        <w:rPr>
          <w:b/>
          <w:bCs/>
        </w:rPr>
        <w:t xml:space="preserve"> seek to appeal the decision. </w:t>
      </w:r>
    </w:p>
    <w:p w14:paraId="691FAD5E" w14:textId="77777777" w:rsidR="00C630E7" w:rsidRDefault="00C630E7" w:rsidP="00C630E7">
      <w:pPr>
        <w:pStyle w:val="Heading1"/>
        <w:ind w:left="720"/>
        <w:rPr>
          <w:b w:val="0"/>
          <w:bCs w:val="0"/>
          <w:sz w:val="24"/>
          <w:szCs w:val="24"/>
        </w:rPr>
      </w:pPr>
      <w:r>
        <w:rPr>
          <w:b w:val="0"/>
          <w:bCs w:val="0"/>
          <w:sz w:val="24"/>
          <w:szCs w:val="24"/>
        </w:rPr>
        <w:t xml:space="preserve">Note: See Florida statutes on public adjusters – </w:t>
      </w:r>
      <w:proofErr w:type="gramStart"/>
      <w:r>
        <w:rPr>
          <w:b w:val="0"/>
          <w:bCs w:val="0"/>
          <w:sz w:val="24"/>
          <w:szCs w:val="24"/>
        </w:rPr>
        <w:t>48 hour</w:t>
      </w:r>
      <w:proofErr w:type="gramEnd"/>
      <w:r>
        <w:rPr>
          <w:b w:val="0"/>
          <w:bCs w:val="0"/>
          <w:sz w:val="24"/>
          <w:szCs w:val="24"/>
        </w:rPr>
        <w:t xml:space="preserve"> notice visit property: </w:t>
      </w:r>
      <w:hyperlink r:id="rId291" w:history="1">
        <w:r>
          <w:rPr>
            <w:rStyle w:val="Hyperlink"/>
            <w:rFonts w:eastAsiaTheme="majorEastAsia"/>
            <w:b w:val="0"/>
            <w:bCs w:val="0"/>
            <w:sz w:val="24"/>
            <w:szCs w:val="24"/>
          </w:rPr>
          <w:t>https://www.myfloridacfo.com/division/agents/Industry/News/PubAdjRegs.htm</w:t>
        </w:r>
      </w:hyperlink>
      <w:r>
        <w:rPr>
          <w:b w:val="0"/>
          <w:bCs w:val="0"/>
          <w:sz w:val="24"/>
          <w:szCs w:val="24"/>
        </w:rPr>
        <w:t xml:space="preserve"> </w:t>
      </w:r>
    </w:p>
    <w:p w14:paraId="7F4AD100" w14:textId="77777777" w:rsidR="00C630E7" w:rsidRDefault="00C630E7" w:rsidP="00C630E7">
      <w:pPr>
        <w:pStyle w:val="Heading1"/>
        <w:ind w:left="720"/>
        <w:rPr>
          <w:b w:val="0"/>
          <w:bCs w:val="0"/>
          <w:sz w:val="24"/>
          <w:szCs w:val="24"/>
        </w:rPr>
      </w:pPr>
      <w:r>
        <w:rPr>
          <w:b w:val="0"/>
          <w:bCs w:val="0"/>
          <w:sz w:val="24"/>
          <w:szCs w:val="24"/>
        </w:rPr>
        <w:lastRenderedPageBreak/>
        <w:t xml:space="preserve">“The law states that company adjusters, independent adjusters, attorneys, investigators, or others acting on behalf of the insurer must give the insured, claimant, public adjuster or legal representative of the insured at least 48 </w:t>
      </w:r>
      <w:proofErr w:type="spellStart"/>
      <w:r>
        <w:rPr>
          <w:b w:val="0"/>
          <w:bCs w:val="0"/>
          <w:sz w:val="24"/>
          <w:szCs w:val="24"/>
        </w:rPr>
        <w:t>hours notice</w:t>
      </w:r>
      <w:proofErr w:type="spellEnd"/>
      <w:r>
        <w:rPr>
          <w:b w:val="0"/>
          <w:bCs w:val="0"/>
          <w:sz w:val="24"/>
          <w:szCs w:val="24"/>
        </w:rPr>
        <w:t xml:space="preserve"> that they need access to the damaged property. The insured or claimant can waive this notice.”</w:t>
      </w:r>
    </w:p>
    <w:p w14:paraId="3E66E55B" w14:textId="77777777" w:rsidR="00C630E7" w:rsidRDefault="00C630E7" w:rsidP="002B1283">
      <w:pPr>
        <w:rPr>
          <w:rFonts w:ascii="Arial Black" w:hAnsi="Arial Black"/>
          <w:b/>
          <w:sz w:val="24"/>
          <w:szCs w:val="24"/>
        </w:rPr>
      </w:pPr>
    </w:p>
    <w:p w14:paraId="092A3BA3" w14:textId="77777777" w:rsidR="00C630E7" w:rsidRDefault="00C630E7" w:rsidP="002B1283">
      <w:pPr>
        <w:rPr>
          <w:rFonts w:ascii="Arial Black" w:hAnsi="Arial Black"/>
          <w:b/>
          <w:sz w:val="24"/>
          <w:szCs w:val="24"/>
        </w:rPr>
      </w:pPr>
    </w:p>
    <w:p w14:paraId="312ECA1F" w14:textId="72F70290" w:rsidR="00C630E7" w:rsidRDefault="00C630E7" w:rsidP="002B1283">
      <w:pPr>
        <w:rPr>
          <w:rFonts w:ascii="Arial Black" w:hAnsi="Arial Black"/>
          <w:b/>
          <w:sz w:val="24"/>
          <w:szCs w:val="24"/>
        </w:rPr>
      </w:pPr>
      <w:r>
        <w:rPr>
          <w:rFonts w:ascii="Arial Black" w:hAnsi="Arial Black"/>
          <w:b/>
          <w:sz w:val="24"/>
          <w:szCs w:val="24"/>
        </w:rPr>
        <w:t>1-62</w:t>
      </w:r>
    </w:p>
    <w:p w14:paraId="736DFB5A" w14:textId="77777777" w:rsidR="00C630E7" w:rsidRDefault="00C630E7" w:rsidP="00C630E7">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MD: PG COUNTY FIRE CHIEF – BATTALION CHIEFS TO OUTRANK VOLUNTEER CO. CHIEF - AUTHORIZED</w:t>
      </w:r>
    </w:p>
    <w:p w14:paraId="5D509AAA" w14:textId="77777777" w:rsidR="00C630E7" w:rsidRDefault="00C630E7" w:rsidP="00C630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4, 2020, in Prince George’s Volunteer Fire And Rescue Association, Inc. v. Prince George’s County, Maryland, the Court of Special Appeals of Maryland, held (3 to 0; unreported decision) that the County Fire Chief had the authority in 2016 to issue revised General Order 01-03 that elevated the rank of County Battalion Chiefs, over that of Chiefs of volunteer fire companies.   </w:t>
      </w:r>
    </w:p>
    <w:p w14:paraId="784A460B" w14:textId="77777777" w:rsidR="00C630E7" w:rsidRDefault="00C630E7" w:rsidP="00C630E7">
      <w:pPr>
        <w:spacing w:after="100" w:line="240" w:lineRule="auto"/>
        <w:ind w:left="720"/>
        <w:rPr>
          <w:rFonts w:ascii="Times New Roman" w:eastAsia="Times New Roman" w:hAnsi="Times New Roman"/>
          <w:sz w:val="24"/>
          <w:szCs w:val="24"/>
        </w:rPr>
      </w:pPr>
      <w:r>
        <w:rPr>
          <w:rFonts w:ascii="Times New Roman" w:hAnsi="Times New Roman"/>
          <w:sz w:val="24"/>
          <w:szCs w:val="24"/>
        </w:rPr>
        <w:t xml:space="preserve">“Ultimately, PGCVFRA failed to sufficiently allege that it suffered irreparable injury through the Fire Chief's revision of General Order 01-03 and its amendment of the chain of command. As noted in our discussion on PGCVFRA's governmental </w:t>
      </w:r>
      <w:proofErr w:type="gramStart"/>
      <w:r>
        <w:rPr>
          <w:rFonts w:ascii="Times New Roman" w:hAnsi="Times New Roman"/>
          <w:sz w:val="24"/>
          <w:szCs w:val="24"/>
        </w:rPr>
        <w:t>takings</w:t>
      </w:r>
      <w:proofErr w:type="gramEnd"/>
      <w:r>
        <w:rPr>
          <w:rFonts w:ascii="Times New Roman" w:hAnsi="Times New Roman"/>
          <w:sz w:val="24"/>
          <w:szCs w:val="24"/>
        </w:rPr>
        <w:t xml:space="preserve"> claim, PGCVFRA failed to establish any sort of injury. Its claims regarding potential injury are hypothetical, speculative, and depend on future—uncertain—conduct that PGCVFRA alleges the County may undertake. The speculative nature of these complaints is apparent, and these ‘mere allegations’ are insufficient to ground PGCVFRA's claim for permanent injunctive relief.” </w:t>
      </w:r>
      <w:hyperlink r:id="rId292"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2465D741" w14:textId="77777777" w:rsidR="00C630E7" w:rsidRDefault="00C630E7" w:rsidP="00C630E7">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County Fire Chief has authority over firefighting and chain of command. </w:t>
      </w:r>
    </w:p>
    <w:p w14:paraId="76D5DBAF" w14:textId="77777777" w:rsidR="00C630E7" w:rsidRDefault="00C630E7" w:rsidP="00C630E7">
      <w:pPr>
        <w:spacing w:after="100" w:line="240" w:lineRule="auto"/>
        <w:ind w:left="720"/>
        <w:rPr>
          <w:rFonts w:ascii="Times New Roman" w:eastAsiaTheme="minorHAnsi" w:hAnsi="Times New Roman"/>
          <w:sz w:val="24"/>
          <w:szCs w:val="24"/>
        </w:rPr>
      </w:pPr>
      <w:r>
        <w:rPr>
          <w:rFonts w:ascii="Times New Roman" w:eastAsia="Times New Roman" w:hAnsi="Times New Roman"/>
          <w:sz w:val="24"/>
          <w:szCs w:val="24"/>
        </w:rPr>
        <w:t xml:space="preserve">Note:  </w:t>
      </w:r>
      <w:r>
        <w:rPr>
          <w:rFonts w:ascii="Times New Roman" w:hAnsi="Times New Roman"/>
          <w:sz w:val="24"/>
          <w:szCs w:val="24"/>
        </w:rPr>
        <w:t>Under revised General Order 01-03, the relevant portion of the chain of command reads as follows:</w:t>
      </w:r>
    </w:p>
    <w:p w14:paraId="0559C14A" w14:textId="77777777" w:rsidR="00C630E7" w:rsidRDefault="00C630E7" w:rsidP="00C630E7">
      <w:pPr>
        <w:ind w:left="1440"/>
        <w:rPr>
          <w:rFonts w:ascii="Times New Roman" w:hAnsi="Times New Roman"/>
          <w:sz w:val="24"/>
          <w:szCs w:val="24"/>
        </w:rPr>
      </w:pPr>
      <w:r>
        <w:rPr>
          <w:rFonts w:ascii="Times New Roman" w:hAnsi="Times New Roman"/>
          <w:sz w:val="24"/>
          <w:szCs w:val="24"/>
        </w:rPr>
        <w:t>1. County Fire Chief</w:t>
      </w:r>
      <w:r>
        <w:rPr>
          <w:rFonts w:ascii="Times New Roman" w:hAnsi="Times New Roman"/>
          <w:sz w:val="24"/>
          <w:szCs w:val="24"/>
        </w:rPr>
        <w:br/>
        <w:t>2. Chief Deputy</w:t>
      </w:r>
      <w:r>
        <w:rPr>
          <w:rFonts w:ascii="Times New Roman" w:hAnsi="Times New Roman"/>
          <w:sz w:val="24"/>
          <w:szCs w:val="24"/>
        </w:rPr>
        <w:br/>
        <w:t>3. Deputy Fire Chief</w:t>
      </w:r>
      <w:r>
        <w:rPr>
          <w:rFonts w:ascii="Times New Roman" w:hAnsi="Times New Roman"/>
          <w:sz w:val="24"/>
          <w:szCs w:val="24"/>
        </w:rPr>
        <w:br/>
        <w:t>4. Assistant Fire Chief, Career/Volunteer</w:t>
      </w:r>
      <w:r>
        <w:rPr>
          <w:rFonts w:ascii="Times New Roman" w:hAnsi="Times New Roman"/>
          <w:sz w:val="24"/>
          <w:szCs w:val="24"/>
        </w:rPr>
        <w:br/>
        <w:t>5. Battalion Chief, Career/Volunteer</w:t>
      </w:r>
      <w:r>
        <w:rPr>
          <w:rFonts w:ascii="Times New Roman" w:hAnsi="Times New Roman"/>
          <w:sz w:val="24"/>
          <w:szCs w:val="24"/>
        </w:rPr>
        <w:br/>
        <w:t xml:space="preserve">6. Volunteer Company Chief   </w:t>
      </w:r>
    </w:p>
    <w:p w14:paraId="5F58D8F9" w14:textId="77777777" w:rsidR="00C630E7" w:rsidRDefault="00C630E7" w:rsidP="00C630E7">
      <w:pPr>
        <w:ind w:left="720"/>
        <w:rPr>
          <w:rFonts w:ascii="Times New Roman" w:hAnsi="Times New Roman"/>
          <w:sz w:val="24"/>
          <w:szCs w:val="24"/>
        </w:rPr>
      </w:pPr>
      <w:r>
        <w:rPr>
          <w:rFonts w:ascii="Times New Roman" w:hAnsi="Times New Roman"/>
          <w:sz w:val="24"/>
          <w:szCs w:val="24"/>
        </w:rPr>
        <w:t xml:space="preserve">[Footnote 8 of the Court’s decision.] </w:t>
      </w:r>
      <w:hyperlink r:id="rId293"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6DEB3570" w14:textId="77777777" w:rsidR="00C630E7" w:rsidRDefault="00C630E7" w:rsidP="002B1283">
      <w:pPr>
        <w:rPr>
          <w:rFonts w:ascii="Arial Black" w:hAnsi="Arial Black"/>
          <w:b/>
          <w:sz w:val="24"/>
          <w:szCs w:val="24"/>
        </w:rPr>
      </w:pPr>
    </w:p>
    <w:p w14:paraId="65F3ED55" w14:textId="77777777" w:rsidR="00C630E7" w:rsidRDefault="00C630E7" w:rsidP="002B1283">
      <w:pPr>
        <w:rPr>
          <w:rFonts w:ascii="Arial Black" w:hAnsi="Arial Black"/>
          <w:b/>
          <w:sz w:val="24"/>
          <w:szCs w:val="24"/>
        </w:rPr>
      </w:pPr>
    </w:p>
    <w:p w14:paraId="16F88F35" w14:textId="6B0CD27D" w:rsidR="00A672EE" w:rsidRDefault="00A672EE" w:rsidP="002B1283">
      <w:pPr>
        <w:rPr>
          <w:rFonts w:ascii="Arial Black" w:hAnsi="Arial Black"/>
          <w:b/>
          <w:sz w:val="24"/>
          <w:szCs w:val="24"/>
        </w:rPr>
      </w:pPr>
      <w:r>
        <w:rPr>
          <w:rFonts w:ascii="Arial Black" w:hAnsi="Arial Black"/>
          <w:b/>
          <w:sz w:val="24"/>
          <w:szCs w:val="24"/>
        </w:rPr>
        <w:t>1-61</w:t>
      </w:r>
    </w:p>
    <w:p w14:paraId="6591CB4B" w14:textId="77777777" w:rsidR="00A672EE" w:rsidRDefault="00A672EE" w:rsidP="00A672EE">
      <w:pPr>
        <w:pStyle w:val="NoSpacing"/>
        <w:rPr>
          <w:rFonts w:ascii="Arial Black" w:hAnsi="Arial Black"/>
          <w:sz w:val="28"/>
          <w:szCs w:val="28"/>
        </w:rPr>
      </w:pPr>
      <w:r w:rsidRPr="007501C3">
        <w:rPr>
          <w:rFonts w:ascii="Arial Black" w:hAnsi="Arial Black"/>
          <w:sz w:val="28"/>
          <w:szCs w:val="28"/>
        </w:rPr>
        <w:lastRenderedPageBreak/>
        <w:t xml:space="preserve">NY: </w:t>
      </w:r>
      <w:r>
        <w:rPr>
          <w:rFonts w:ascii="Arial Black" w:hAnsi="Arial Black"/>
          <w:sz w:val="28"/>
          <w:szCs w:val="28"/>
        </w:rPr>
        <w:t>CA WOMAN SUPPORTS STRONG IMMIGATION – CAN SUE TV COMMENTATOR - FALSE TWEETS TO 1.24 MILLION</w:t>
      </w:r>
    </w:p>
    <w:p w14:paraId="2530EFF0" w14:textId="77777777" w:rsidR="00A672EE" w:rsidRDefault="00A672EE" w:rsidP="00A672EE">
      <w:pPr>
        <w:pStyle w:val="NoSpacing"/>
        <w:rPr>
          <w:rFonts w:ascii="Arial Black" w:hAnsi="Arial Black"/>
          <w:sz w:val="28"/>
          <w:szCs w:val="28"/>
        </w:rPr>
      </w:pPr>
      <w:r>
        <w:rPr>
          <w:rFonts w:ascii="Arial Black" w:hAnsi="Arial Black"/>
          <w:sz w:val="28"/>
          <w:szCs w:val="28"/>
        </w:rPr>
        <w:t xml:space="preserve"> </w:t>
      </w:r>
    </w:p>
    <w:p w14:paraId="61718F0B" w14:textId="77777777" w:rsidR="00A672EE" w:rsidRDefault="00A672EE" w:rsidP="00A672EE">
      <w:pPr>
        <w:pStyle w:val="NoSpacing"/>
        <w:rPr>
          <w:rFonts w:ascii="Times New Roman" w:hAnsi="Times New Roman"/>
          <w:sz w:val="24"/>
          <w:szCs w:val="24"/>
        </w:rPr>
      </w:pPr>
      <w:r w:rsidRPr="000C4CED">
        <w:rPr>
          <w:rFonts w:ascii="Times New Roman" w:hAnsi="Times New Roman"/>
          <w:sz w:val="24"/>
          <w:szCs w:val="24"/>
        </w:rPr>
        <w:t xml:space="preserve">On </w:t>
      </w:r>
      <w:r>
        <w:rPr>
          <w:rFonts w:ascii="Times New Roman" w:hAnsi="Times New Roman"/>
          <w:sz w:val="24"/>
          <w:szCs w:val="24"/>
        </w:rPr>
        <w:t xml:space="preserve">July 15, 2020, in </w:t>
      </w:r>
      <w:r w:rsidRPr="000C4CED">
        <w:rPr>
          <w:rFonts w:ascii="Times New Roman" w:hAnsi="Times New Roman"/>
          <w:sz w:val="24"/>
          <w:szCs w:val="24"/>
          <w:u w:val="single"/>
        </w:rPr>
        <w:t>Roslyn La Liberte v. Joy Reid</w:t>
      </w:r>
      <w:r>
        <w:rPr>
          <w:rFonts w:ascii="Times New Roman" w:hAnsi="Times New Roman"/>
          <w:sz w:val="24"/>
          <w:szCs w:val="24"/>
        </w:rPr>
        <w:t xml:space="preserve">, the U.S. Court of Appeals for Second Circuit (New York City) held that the defamation lawsuit will be reinstated; the defendant, Joy Reid, an MSNBC commentator, sent Tweet to 1.24 million followers, falsely alleging Ms. La Liberte threated 14-year-old Hispanic boy at a Simi Valley Council Meeting.  La Liberte received hate mail, including threats of mutilation and recommendations she </w:t>
      </w:r>
      <w:proofErr w:type="gramStart"/>
      <w:r>
        <w:rPr>
          <w:rFonts w:ascii="Times New Roman" w:hAnsi="Times New Roman"/>
          <w:sz w:val="24"/>
          <w:szCs w:val="24"/>
        </w:rPr>
        <w:t>commit</w:t>
      </w:r>
      <w:proofErr w:type="gramEnd"/>
      <w:r>
        <w:rPr>
          <w:rFonts w:ascii="Times New Roman" w:hAnsi="Times New Roman"/>
          <w:sz w:val="24"/>
          <w:szCs w:val="24"/>
        </w:rPr>
        <w:t xml:space="preserve"> suicide.  Court wrote: “</w:t>
      </w:r>
      <w:r w:rsidRPr="003E3B28">
        <w:rPr>
          <w:rFonts w:ascii="Times New Roman" w:hAnsi="Times New Roman"/>
          <w:sz w:val="24"/>
          <w:szCs w:val="24"/>
        </w:rPr>
        <w:t xml:space="preserve">In effect, Reid is arguing </w:t>
      </w:r>
      <w:r>
        <w:rPr>
          <w:rFonts w:ascii="Times New Roman" w:hAnsi="Times New Roman"/>
          <w:sz w:val="24"/>
          <w:szCs w:val="24"/>
        </w:rPr>
        <w:t xml:space="preserve">[in this Appeal] </w:t>
      </w:r>
      <w:r w:rsidRPr="003E3B28">
        <w:rPr>
          <w:rFonts w:ascii="Times New Roman" w:hAnsi="Times New Roman"/>
          <w:sz w:val="24"/>
          <w:szCs w:val="24"/>
        </w:rPr>
        <w:t>that a plaintiff can sue only the first defamer. If that were so, a post by an obscure social media user with few followers, blogging in the recesses of the internet, would allow everyone else to pile on without consequence. No one’s reputation would be worth a thing.</w:t>
      </w:r>
      <w:r>
        <w:rPr>
          <w:rFonts w:ascii="Times New Roman" w:hAnsi="Times New Roman"/>
          <w:sz w:val="24"/>
          <w:szCs w:val="24"/>
        </w:rPr>
        <w:t>”</w:t>
      </w:r>
    </w:p>
    <w:p w14:paraId="5C89966D" w14:textId="77777777" w:rsidR="00A672EE" w:rsidRDefault="00A672EE" w:rsidP="00A672EE">
      <w:pPr>
        <w:pStyle w:val="NoSpacing"/>
        <w:rPr>
          <w:rFonts w:ascii="Times New Roman" w:hAnsi="Times New Roman"/>
          <w:sz w:val="24"/>
          <w:szCs w:val="24"/>
        </w:rPr>
      </w:pPr>
      <w:hyperlink r:id="rId294" w:anchor="xml=https://www.ca2.uscourts.gov/decisions/isysquery/2a455a3a-04be-4845-88fb-6da61a7004cf/1/hilite/" w:history="1">
        <w:r w:rsidRPr="00C24307">
          <w:rPr>
            <w:rStyle w:val="Hyperlink"/>
            <w:rFonts w:ascii="Times New Roman" w:hAnsi="Times New Roman"/>
            <w:sz w:val="24"/>
            <w:szCs w:val="24"/>
          </w:rPr>
          <w:t>https://www.ca2.uscourts.gov/decisions/isysquery/2a455a3a-04be-4845-88fb-6da61a7004cf/1/doc/19-3574_opn.pdf#xml=https://www.ca2.uscourts.gov/decisions/isysquery/2a455a3a-04be-4845-88fb-6da61a7004cf/1/hilite/</w:t>
        </w:r>
      </w:hyperlink>
      <w:r>
        <w:rPr>
          <w:rFonts w:ascii="Times New Roman" w:hAnsi="Times New Roman"/>
          <w:sz w:val="24"/>
          <w:szCs w:val="24"/>
        </w:rPr>
        <w:t xml:space="preserve"> </w:t>
      </w:r>
    </w:p>
    <w:p w14:paraId="45017FD4" w14:textId="752A78F5" w:rsidR="00A672EE" w:rsidRDefault="00A672EE" w:rsidP="002B1283">
      <w:pPr>
        <w:rPr>
          <w:rFonts w:ascii="Arial Black" w:hAnsi="Arial Black"/>
          <w:b/>
          <w:sz w:val="24"/>
          <w:szCs w:val="24"/>
        </w:rPr>
      </w:pPr>
    </w:p>
    <w:p w14:paraId="3AC35E18" w14:textId="77777777" w:rsidR="006B2083" w:rsidRPr="00143120" w:rsidRDefault="006B2083" w:rsidP="006B2083">
      <w:pPr>
        <w:pStyle w:val="NoSpacing"/>
        <w:rPr>
          <w:rFonts w:ascii="Times New Roman" w:hAnsi="Times New Roman"/>
          <w:b/>
          <w:bCs/>
          <w:sz w:val="24"/>
          <w:szCs w:val="24"/>
        </w:rPr>
      </w:pPr>
      <w:r w:rsidRPr="00AE2F30">
        <w:rPr>
          <w:rFonts w:ascii="Times New Roman" w:hAnsi="Times New Roman"/>
          <w:b/>
          <w:bCs/>
        </w:rPr>
        <w:t xml:space="preserve">Legal Lessons Learned: </w:t>
      </w:r>
      <w:r>
        <w:rPr>
          <w:rFonts w:ascii="Times New Roman" w:hAnsi="Times New Roman"/>
          <w:b/>
          <w:bCs/>
        </w:rPr>
        <w:t xml:space="preserve"> Fortunately, the Court also held that plaintiff is not a “public official</w:t>
      </w:r>
      <w:proofErr w:type="gramStart"/>
      <w:r>
        <w:rPr>
          <w:rFonts w:ascii="Times New Roman" w:hAnsi="Times New Roman"/>
          <w:b/>
          <w:bCs/>
        </w:rPr>
        <w:t>”</w:t>
      </w:r>
      <w:proofErr w:type="gramEnd"/>
      <w:r>
        <w:rPr>
          <w:rFonts w:ascii="Times New Roman" w:hAnsi="Times New Roman"/>
          <w:b/>
          <w:bCs/>
        </w:rPr>
        <w:t xml:space="preserve"> and she does not need to prove defendant posted with actual “malice.” </w:t>
      </w:r>
    </w:p>
    <w:p w14:paraId="73FD8453" w14:textId="77777777" w:rsidR="006B2083" w:rsidRDefault="006B2083" w:rsidP="006B2083">
      <w:pPr>
        <w:pStyle w:val="NoSpacing"/>
        <w:rPr>
          <w:rFonts w:ascii="Times New Roman" w:hAnsi="Times New Roman"/>
          <w:b/>
          <w:bCs/>
        </w:rPr>
      </w:pPr>
    </w:p>
    <w:p w14:paraId="5FCA5A8A" w14:textId="77777777" w:rsidR="006B2083" w:rsidRDefault="006B2083" w:rsidP="006B2083">
      <w:pPr>
        <w:pStyle w:val="NoSpacing"/>
        <w:ind w:left="720"/>
        <w:rPr>
          <w:rFonts w:ascii="Times New Roman" w:hAnsi="Times New Roman"/>
          <w:sz w:val="24"/>
          <w:szCs w:val="24"/>
        </w:rPr>
      </w:pPr>
      <w:r w:rsidRPr="00AE2F30">
        <w:rPr>
          <w:rFonts w:ascii="Times New Roman" w:hAnsi="Times New Roman"/>
          <w:sz w:val="24"/>
          <w:szCs w:val="24"/>
        </w:rPr>
        <w:t xml:space="preserve">Note: </w:t>
      </w:r>
      <w:r>
        <w:rPr>
          <w:rFonts w:ascii="Times New Roman" w:hAnsi="Times New Roman"/>
          <w:sz w:val="24"/>
          <w:szCs w:val="24"/>
        </w:rPr>
        <w:t>The 2</w:t>
      </w:r>
      <w:r w:rsidRPr="00143120">
        <w:rPr>
          <w:rFonts w:ascii="Times New Roman" w:hAnsi="Times New Roman"/>
          <w:sz w:val="24"/>
          <w:szCs w:val="24"/>
          <w:vertAlign w:val="superscript"/>
        </w:rPr>
        <w:t>nd</w:t>
      </w:r>
      <w:r>
        <w:rPr>
          <w:rFonts w:ascii="Times New Roman" w:hAnsi="Times New Roman"/>
          <w:sz w:val="24"/>
          <w:szCs w:val="24"/>
        </w:rPr>
        <w:t xml:space="preserve"> Circuit held that Joy Reed was also not protected by California Anti-SLAPP statute, which helps protect news organizations, reporters, journalists, </w:t>
      </w:r>
      <w:proofErr w:type="gramStart"/>
      <w:r>
        <w:rPr>
          <w:rFonts w:ascii="Times New Roman" w:hAnsi="Times New Roman"/>
          <w:sz w:val="24"/>
          <w:szCs w:val="24"/>
        </w:rPr>
        <w:t>other</w:t>
      </w:r>
      <w:proofErr w:type="gramEnd"/>
      <w:r>
        <w:rPr>
          <w:rFonts w:ascii="Times New Roman" w:hAnsi="Times New Roman"/>
          <w:sz w:val="24"/>
          <w:szCs w:val="24"/>
        </w:rPr>
        <w:t xml:space="preserve"> from defamation lawsuits. </w:t>
      </w:r>
      <w:hyperlink r:id="rId295" w:history="1">
        <w:r w:rsidRPr="00AE2F30">
          <w:rPr>
            <w:rStyle w:val="Hyperlink"/>
            <w:rFonts w:ascii="Times New Roman" w:hAnsi="Times New Roman"/>
            <w:sz w:val="24"/>
            <w:szCs w:val="24"/>
          </w:rPr>
          <w:t>https://www.rcfp.org/resources/anti-slapp-laws/</w:t>
        </w:r>
      </w:hyperlink>
    </w:p>
    <w:p w14:paraId="710039AB" w14:textId="77777777" w:rsidR="006B2083" w:rsidRDefault="006B2083" w:rsidP="006B2083">
      <w:pPr>
        <w:pStyle w:val="NoSpacing"/>
        <w:ind w:left="720"/>
        <w:rPr>
          <w:rFonts w:ascii="Times New Roman" w:hAnsi="Times New Roman"/>
          <w:sz w:val="24"/>
          <w:szCs w:val="24"/>
        </w:rPr>
      </w:pPr>
      <w:r>
        <w:rPr>
          <w:rFonts w:ascii="Times New Roman" w:hAnsi="Times New Roman"/>
          <w:sz w:val="24"/>
          <w:szCs w:val="24"/>
        </w:rPr>
        <w:t>The 2</w:t>
      </w:r>
      <w:r w:rsidRPr="00143120">
        <w:rPr>
          <w:rFonts w:ascii="Times New Roman" w:hAnsi="Times New Roman"/>
          <w:sz w:val="24"/>
          <w:szCs w:val="24"/>
          <w:vertAlign w:val="superscript"/>
        </w:rPr>
        <w:t>nd</w:t>
      </w:r>
      <w:r>
        <w:rPr>
          <w:rFonts w:ascii="Times New Roman" w:hAnsi="Times New Roman"/>
          <w:sz w:val="24"/>
          <w:szCs w:val="24"/>
        </w:rPr>
        <w:t xml:space="preserve"> Circuit held: “</w:t>
      </w:r>
      <w:r w:rsidRPr="00AE2F30">
        <w:rPr>
          <w:rFonts w:ascii="Times New Roman" w:hAnsi="Times New Roman"/>
          <w:sz w:val="24"/>
          <w:szCs w:val="24"/>
        </w:rPr>
        <w:t xml:space="preserve">As a matter of first impression in this Circuit, we hold that California’s anti-SLAPP statute is inapplicable in federal court because it increases a plaintiff’s burden to overcome pretrial dismissal, and thus conflicts with Federal Rules of Civil Procedure 12 and 56.” </w:t>
      </w:r>
    </w:p>
    <w:p w14:paraId="30B157A6" w14:textId="77777777" w:rsidR="006B2083" w:rsidRDefault="006B2083" w:rsidP="006B2083">
      <w:pPr>
        <w:pStyle w:val="NoSpacing"/>
        <w:ind w:left="720"/>
        <w:rPr>
          <w:rFonts w:ascii="Times New Roman" w:hAnsi="Times New Roman"/>
          <w:sz w:val="24"/>
          <w:szCs w:val="24"/>
        </w:rPr>
      </w:pPr>
    </w:p>
    <w:p w14:paraId="796F37FA" w14:textId="1E7C3EF8" w:rsidR="006B2083" w:rsidRDefault="006B2083" w:rsidP="006B2083">
      <w:pPr>
        <w:rPr>
          <w:rFonts w:ascii="Arial Black" w:hAnsi="Arial Black"/>
          <w:b/>
          <w:sz w:val="24"/>
          <w:szCs w:val="24"/>
        </w:rPr>
      </w:pPr>
      <w:r>
        <w:rPr>
          <w:rFonts w:ascii="Times New Roman" w:hAnsi="Times New Roman"/>
          <w:sz w:val="24"/>
          <w:szCs w:val="24"/>
        </w:rPr>
        <w:t xml:space="preserve">Courts have held that </w:t>
      </w:r>
      <w:r w:rsidRPr="00143120">
        <w:rPr>
          <w:rFonts w:ascii="Times New Roman" w:hAnsi="Times New Roman"/>
          <w:sz w:val="24"/>
          <w:szCs w:val="24"/>
        </w:rPr>
        <w:t xml:space="preserve">Fire Chiefs </w:t>
      </w:r>
      <w:r>
        <w:rPr>
          <w:rFonts w:ascii="Times New Roman" w:hAnsi="Times New Roman"/>
          <w:sz w:val="24"/>
          <w:szCs w:val="24"/>
        </w:rPr>
        <w:t xml:space="preserve">are </w:t>
      </w:r>
      <w:r w:rsidRPr="00143120">
        <w:rPr>
          <w:rFonts w:ascii="Times New Roman" w:hAnsi="Times New Roman"/>
          <w:sz w:val="24"/>
          <w:szCs w:val="24"/>
        </w:rPr>
        <w:t xml:space="preserve">“public officials” and </w:t>
      </w:r>
      <w:r>
        <w:rPr>
          <w:rFonts w:ascii="Times New Roman" w:hAnsi="Times New Roman"/>
          <w:sz w:val="24"/>
          <w:szCs w:val="24"/>
        </w:rPr>
        <w:t xml:space="preserve">must prove actual malice in defamation lawsuits.  </w:t>
      </w:r>
      <w:hyperlink r:id="rId296" w:history="1">
        <w:r w:rsidRPr="00143120">
          <w:rPr>
            <w:rStyle w:val="Hyperlink"/>
            <w:rFonts w:ascii="Times New Roman" w:hAnsi="Times New Roman"/>
            <w:sz w:val="24"/>
            <w:szCs w:val="24"/>
          </w:rPr>
          <w:t>http://www.firelawblog.com/wp-content/uploads/sites/19/2011/02/becker_final_ruling1.pdf</w:t>
        </w:r>
      </w:hyperlink>
    </w:p>
    <w:p w14:paraId="407ED2CB" w14:textId="77777777" w:rsidR="00A672EE" w:rsidRDefault="00A672EE" w:rsidP="002B1283">
      <w:pPr>
        <w:rPr>
          <w:rFonts w:ascii="Arial Black" w:hAnsi="Arial Black"/>
          <w:b/>
          <w:sz w:val="24"/>
          <w:szCs w:val="24"/>
        </w:rPr>
      </w:pPr>
    </w:p>
    <w:p w14:paraId="08E6CB3F" w14:textId="589AAA29" w:rsidR="00A672EE" w:rsidRDefault="00A672EE" w:rsidP="002B1283">
      <w:pPr>
        <w:rPr>
          <w:rFonts w:ascii="Arial Black" w:hAnsi="Arial Black"/>
          <w:b/>
          <w:sz w:val="24"/>
          <w:szCs w:val="24"/>
        </w:rPr>
      </w:pPr>
      <w:r>
        <w:rPr>
          <w:rFonts w:ascii="Arial Black" w:hAnsi="Arial Black"/>
          <w:b/>
          <w:sz w:val="24"/>
          <w:szCs w:val="24"/>
        </w:rPr>
        <w:t>1-60</w:t>
      </w:r>
    </w:p>
    <w:p w14:paraId="2466E906" w14:textId="77777777" w:rsidR="00A672EE" w:rsidRPr="007F777C" w:rsidRDefault="00A672EE" w:rsidP="00A672EE">
      <w:pPr>
        <w:pStyle w:val="NoSpacing"/>
        <w:rPr>
          <w:rFonts w:ascii="Arial Black" w:hAnsi="Arial Black"/>
          <w:sz w:val="28"/>
          <w:szCs w:val="28"/>
        </w:rPr>
      </w:pPr>
      <w:bookmarkStart w:id="18" w:name="_Hlk69187086"/>
      <w:r w:rsidRPr="007F777C">
        <w:rPr>
          <w:rFonts w:ascii="Arial Black" w:hAnsi="Arial Black"/>
          <w:sz w:val="28"/>
          <w:szCs w:val="28"/>
        </w:rPr>
        <w:t>PA</w:t>
      </w:r>
      <w:r>
        <w:rPr>
          <w:rFonts w:ascii="Arial Black" w:hAnsi="Arial Black"/>
          <w:sz w:val="28"/>
          <w:szCs w:val="28"/>
        </w:rPr>
        <w:t>:  CHILD DIED NEIGHBOR’S SWIMMING POOL – INWARD GATES – CODE OFFICIAL WAS NOT EMPLOYEE – STILL HAS GOV’T IMMUNITY</w:t>
      </w:r>
    </w:p>
    <w:bookmarkEnd w:id="18"/>
    <w:p w14:paraId="1B0656DC" w14:textId="77777777" w:rsidR="00A672EE" w:rsidRDefault="00A672EE" w:rsidP="00A672EE">
      <w:pPr>
        <w:pStyle w:val="NoSpacing"/>
        <w:rPr>
          <w:rFonts w:ascii="Times New Roman" w:hAnsi="Times New Roman"/>
          <w:sz w:val="24"/>
          <w:szCs w:val="24"/>
        </w:rPr>
      </w:pPr>
    </w:p>
    <w:p w14:paraId="5D3EFAEE" w14:textId="77777777" w:rsidR="00A672EE" w:rsidRPr="0039329F" w:rsidRDefault="00A672EE" w:rsidP="00A672EE">
      <w:pPr>
        <w:pStyle w:val="NoSpacing"/>
        <w:rPr>
          <w:rFonts w:ascii="Times New Roman" w:hAnsi="Times New Roman"/>
          <w:sz w:val="24"/>
          <w:szCs w:val="24"/>
        </w:rPr>
      </w:pPr>
      <w:r>
        <w:rPr>
          <w:rFonts w:ascii="Times New Roman" w:hAnsi="Times New Roman"/>
          <w:sz w:val="24"/>
          <w:szCs w:val="24"/>
        </w:rPr>
        <w:t xml:space="preserve">On July 9, 2020, in </w:t>
      </w:r>
      <w:r w:rsidRPr="007F777C">
        <w:rPr>
          <w:rFonts w:ascii="Times New Roman" w:hAnsi="Times New Roman"/>
          <w:sz w:val="24"/>
          <w:szCs w:val="24"/>
          <w:u w:val="single"/>
        </w:rPr>
        <w:t>Anna Oakes</w:t>
      </w:r>
      <w:r>
        <w:rPr>
          <w:rFonts w:ascii="Times New Roman" w:hAnsi="Times New Roman"/>
          <w:sz w:val="24"/>
          <w:szCs w:val="24"/>
          <w:u w:val="single"/>
        </w:rPr>
        <w:t xml:space="preserve">, Administratrix of Estate of </w:t>
      </w:r>
      <w:proofErr w:type="spellStart"/>
      <w:r>
        <w:rPr>
          <w:rFonts w:ascii="Times New Roman" w:hAnsi="Times New Roman"/>
          <w:sz w:val="24"/>
          <w:szCs w:val="24"/>
          <w:u w:val="single"/>
        </w:rPr>
        <w:t>Pheylan</w:t>
      </w:r>
      <w:proofErr w:type="spellEnd"/>
      <w:r>
        <w:rPr>
          <w:rFonts w:ascii="Times New Roman" w:hAnsi="Times New Roman"/>
          <w:sz w:val="24"/>
          <w:szCs w:val="24"/>
          <w:u w:val="single"/>
        </w:rPr>
        <w:t xml:space="preserve"> Marine Cline </w:t>
      </w:r>
      <w:r w:rsidRPr="007F777C">
        <w:rPr>
          <w:rFonts w:ascii="Times New Roman" w:hAnsi="Times New Roman"/>
          <w:sz w:val="24"/>
          <w:szCs w:val="24"/>
          <w:u w:val="single"/>
        </w:rPr>
        <w:t xml:space="preserve"> v. Jeff Richardson and Richardson Inspection Services, LLC</w:t>
      </w:r>
      <w:r>
        <w:rPr>
          <w:rFonts w:ascii="Times New Roman" w:hAnsi="Times New Roman"/>
          <w:sz w:val="24"/>
          <w:szCs w:val="24"/>
        </w:rPr>
        <w:t>, the Commonwealth Court of Pennsylvania, held (3 to 0</w:t>
      </w:r>
      <w:proofErr w:type="gramStart"/>
      <w:r>
        <w:rPr>
          <w:rFonts w:ascii="Times New Roman" w:hAnsi="Times New Roman"/>
          <w:sz w:val="24"/>
          <w:szCs w:val="24"/>
        </w:rPr>
        <w:t>) in</w:t>
      </w:r>
      <w:proofErr w:type="gramEnd"/>
      <w:r>
        <w:rPr>
          <w:rFonts w:ascii="Times New Roman" w:hAnsi="Times New Roman"/>
          <w:sz w:val="24"/>
          <w:szCs w:val="24"/>
        </w:rPr>
        <w:t xml:space="preserve"> an unreported decision that the trial court properly granted summary judgment to the defendants, since Jeff Richardson enjoyed governmental immunity. The Court wrote: </w:t>
      </w:r>
      <w:r w:rsidRPr="0039329F">
        <w:rPr>
          <w:rFonts w:ascii="Times New Roman" w:hAnsi="Times New Roman"/>
          <w:sz w:val="24"/>
          <w:szCs w:val="24"/>
        </w:rPr>
        <w:t xml:space="preserve">For these reasons, we conclude that the trial court correctly determined that Richardson acted on behalf of the Township as an </w:t>
      </w:r>
      <w:r>
        <w:rPr>
          <w:rFonts w:ascii="Times New Roman" w:hAnsi="Times New Roman"/>
          <w:sz w:val="24"/>
          <w:szCs w:val="24"/>
        </w:rPr>
        <w:t>‘</w:t>
      </w:r>
      <w:r w:rsidRPr="0039329F">
        <w:rPr>
          <w:rFonts w:ascii="Times New Roman" w:hAnsi="Times New Roman"/>
          <w:sz w:val="24"/>
          <w:szCs w:val="24"/>
        </w:rPr>
        <w:t>employee</w:t>
      </w:r>
      <w:r>
        <w:rPr>
          <w:rFonts w:ascii="Times New Roman" w:hAnsi="Times New Roman"/>
          <w:sz w:val="24"/>
          <w:szCs w:val="24"/>
        </w:rPr>
        <w:t xml:space="preserve">’ </w:t>
      </w:r>
      <w:r w:rsidRPr="0039329F">
        <w:rPr>
          <w:rFonts w:ascii="Times New Roman" w:hAnsi="Times New Roman"/>
          <w:sz w:val="24"/>
          <w:szCs w:val="24"/>
        </w:rPr>
        <w:t>and</w:t>
      </w:r>
      <w:r>
        <w:rPr>
          <w:rFonts w:ascii="Times New Roman" w:hAnsi="Times New Roman"/>
          <w:sz w:val="24"/>
          <w:szCs w:val="24"/>
        </w:rPr>
        <w:t xml:space="preserve"> </w:t>
      </w:r>
      <w:r w:rsidRPr="0039329F">
        <w:rPr>
          <w:rFonts w:ascii="Times New Roman" w:hAnsi="Times New Roman"/>
          <w:sz w:val="24"/>
          <w:szCs w:val="24"/>
        </w:rPr>
        <w:t>as such</w:t>
      </w:r>
      <w:r>
        <w:rPr>
          <w:rFonts w:ascii="Times New Roman" w:hAnsi="Times New Roman"/>
          <w:sz w:val="24"/>
          <w:szCs w:val="24"/>
        </w:rPr>
        <w:t xml:space="preserve"> </w:t>
      </w:r>
      <w:r w:rsidRPr="0039329F">
        <w:rPr>
          <w:rFonts w:ascii="Times New Roman" w:hAnsi="Times New Roman"/>
          <w:sz w:val="24"/>
          <w:szCs w:val="24"/>
        </w:rPr>
        <w:t xml:space="preserve">is entitled to governmental immunity under the Tort Claims </w:t>
      </w:r>
      <w:proofErr w:type="gramStart"/>
      <w:r w:rsidRPr="0039329F">
        <w:rPr>
          <w:rFonts w:ascii="Times New Roman" w:hAnsi="Times New Roman"/>
          <w:sz w:val="24"/>
          <w:szCs w:val="24"/>
        </w:rPr>
        <w:t>Act.</w:t>
      </w:r>
      <w:r>
        <w:rPr>
          <w:rFonts w:ascii="Times New Roman" w:hAnsi="Times New Roman"/>
          <w:sz w:val="24"/>
          <w:szCs w:val="24"/>
        </w:rPr>
        <w:t>”</w:t>
      </w:r>
      <w:proofErr w:type="gramEnd"/>
      <w:r>
        <w:rPr>
          <w:rFonts w:ascii="Times New Roman" w:hAnsi="Times New Roman"/>
          <w:sz w:val="24"/>
          <w:szCs w:val="24"/>
        </w:rPr>
        <w:t xml:space="preserve"> </w:t>
      </w:r>
    </w:p>
    <w:bookmarkStart w:id="19" w:name="_Hlk69187129"/>
    <w:p w14:paraId="542D6177" w14:textId="77777777" w:rsidR="00A672EE" w:rsidRDefault="000F483A" w:rsidP="00A672EE">
      <w:pPr>
        <w:pStyle w:val="NoSpacing"/>
        <w:rPr>
          <w:rFonts w:ascii="Times New Roman" w:hAnsi="Times New Roman"/>
          <w:sz w:val="24"/>
          <w:szCs w:val="24"/>
        </w:rPr>
      </w:pPr>
      <w:r>
        <w:fldChar w:fldCharType="begin"/>
      </w:r>
      <w:r>
        <w:instrText xml:space="preserve"> HYPERLINK "http://www.pacourts.us/assets/opinions/Commonwealth/out/1368CD19_7-9-20.pdf?cb=1" </w:instrText>
      </w:r>
      <w:r>
        <w:fldChar w:fldCharType="separate"/>
      </w:r>
      <w:r w:rsidR="00A672EE" w:rsidRPr="000603D4">
        <w:rPr>
          <w:rStyle w:val="Hyperlink"/>
          <w:rFonts w:ascii="Times New Roman" w:hAnsi="Times New Roman"/>
          <w:sz w:val="24"/>
          <w:szCs w:val="24"/>
        </w:rPr>
        <w:t>http://www.pacourts.us/assets/opinions/Commonwealth/out/1368CD19_7-9-20.pdf?cb=1</w:t>
      </w:r>
      <w:r>
        <w:rPr>
          <w:rStyle w:val="Hyperlink"/>
          <w:rFonts w:ascii="Times New Roman" w:hAnsi="Times New Roman"/>
          <w:sz w:val="24"/>
          <w:szCs w:val="24"/>
        </w:rPr>
        <w:fldChar w:fldCharType="end"/>
      </w:r>
    </w:p>
    <w:bookmarkEnd w:id="19"/>
    <w:p w14:paraId="1CDADCEA" w14:textId="77777777" w:rsidR="006B2083" w:rsidRDefault="006B2083" w:rsidP="006B2083">
      <w:pPr>
        <w:pStyle w:val="NoSpacing"/>
        <w:rPr>
          <w:rFonts w:ascii="Times New Roman" w:hAnsi="Times New Roman"/>
          <w:b/>
          <w:bCs/>
          <w:sz w:val="24"/>
          <w:szCs w:val="24"/>
        </w:rPr>
      </w:pPr>
    </w:p>
    <w:p w14:paraId="72E697F3" w14:textId="6B89B468" w:rsidR="006B2083" w:rsidRPr="008C3F94" w:rsidRDefault="006B2083" w:rsidP="006B2083">
      <w:pPr>
        <w:pStyle w:val="NoSpacing"/>
        <w:rPr>
          <w:rFonts w:ascii="Times New Roman" w:hAnsi="Times New Roman"/>
          <w:b/>
          <w:bCs/>
          <w:sz w:val="24"/>
          <w:szCs w:val="24"/>
        </w:rPr>
      </w:pPr>
      <w:r w:rsidRPr="008C3F94">
        <w:rPr>
          <w:rFonts w:ascii="Times New Roman" w:hAnsi="Times New Roman"/>
          <w:b/>
          <w:bCs/>
          <w:sz w:val="24"/>
          <w:szCs w:val="24"/>
        </w:rPr>
        <w:t>Legal Lessons Learned:</w:t>
      </w:r>
      <w:r>
        <w:rPr>
          <w:rFonts w:ascii="Times New Roman" w:hAnsi="Times New Roman"/>
          <w:b/>
          <w:bCs/>
          <w:sz w:val="24"/>
          <w:szCs w:val="24"/>
        </w:rPr>
        <w:t xml:space="preserve"> Tragic death of </w:t>
      </w:r>
      <w:proofErr w:type="gramStart"/>
      <w:r>
        <w:rPr>
          <w:rFonts w:ascii="Times New Roman" w:hAnsi="Times New Roman"/>
          <w:b/>
          <w:bCs/>
          <w:sz w:val="24"/>
          <w:szCs w:val="24"/>
        </w:rPr>
        <w:t>20-month old</w:t>
      </w:r>
      <w:proofErr w:type="gramEnd"/>
      <w:r>
        <w:rPr>
          <w:rFonts w:ascii="Times New Roman" w:hAnsi="Times New Roman"/>
          <w:b/>
          <w:bCs/>
          <w:sz w:val="24"/>
          <w:szCs w:val="24"/>
        </w:rPr>
        <w:t>; what is the Code requirement in your community for gates protecting an above-ground swimming pool?</w:t>
      </w:r>
    </w:p>
    <w:p w14:paraId="4A7FD04D" w14:textId="77777777" w:rsidR="00A672EE" w:rsidRDefault="00A672EE" w:rsidP="002B1283">
      <w:pPr>
        <w:rPr>
          <w:rFonts w:ascii="Arial Black" w:hAnsi="Arial Black"/>
          <w:b/>
          <w:sz w:val="24"/>
          <w:szCs w:val="24"/>
        </w:rPr>
      </w:pPr>
    </w:p>
    <w:p w14:paraId="10E5C038" w14:textId="316E5E0B" w:rsidR="00A672EE" w:rsidRDefault="00A672EE" w:rsidP="002B1283">
      <w:pPr>
        <w:rPr>
          <w:rFonts w:ascii="Arial Black" w:hAnsi="Arial Black"/>
          <w:b/>
          <w:sz w:val="24"/>
          <w:szCs w:val="24"/>
        </w:rPr>
      </w:pPr>
      <w:r>
        <w:rPr>
          <w:rFonts w:ascii="Arial Black" w:hAnsi="Arial Black"/>
          <w:b/>
          <w:sz w:val="24"/>
          <w:szCs w:val="24"/>
        </w:rPr>
        <w:t>1-59</w:t>
      </w:r>
    </w:p>
    <w:p w14:paraId="0327F69E" w14:textId="77777777" w:rsidR="00A672EE" w:rsidRPr="007F708E" w:rsidRDefault="00A672EE" w:rsidP="00A672EE">
      <w:pPr>
        <w:pStyle w:val="NoSpacing"/>
        <w:rPr>
          <w:rFonts w:ascii="Arial Black" w:hAnsi="Arial Black"/>
          <w:sz w:val="28"/>
          <w:szCs w:val="28"/>
        </w:rPr>
      </w:pPr>
      <w:r w:rsidRPr="007F708E">
        <w:rPr>
          <w:rFonts w:ascii="Arial Black" w:hAnsi="Arial Black"/>
          <w:sz w:val="28"/>
          <w:szCs w:val="28"/>
        </w:rPr>
        <w:lastRenderedPageBreak/>
        <w:t>A</w:t>
      </w:r>
      <w:r>
        <w:rPr>
          <w:rFonts w:ascii="Arial Black" w:hAnsi="Arial Black"/>
          <w:sz w:val="28"/>
          <w:szCs w:val="28"/>
        </w:rPr>
        <w:t xml:space="preserve">R: ARSON OF APARTMENTS – FINANCIAL FRAUD INVEST –DEFENDANTS CAN’T DEPOSE TUCSON FD INSPECTOR </w:t>
      </w:r>
    </w:p>
    <w:p w14:paraId="2F2CB7D5" w14:textId="77777777" w:rsidR="00A672EE" w:rsidRDefault="00A672EE" w:rsidP="00A672EE">
      <w:pPr>
        <w:pStyle w:val="NoSpacing"/>
      </w:pPr>
    </w:p>
    <w:p w14:paraId="61953534" w14:textId="77777777" w:rsidR="00A672EE" w:rsidRDefault="00A672EE" w:rsidP="00A672EE">
      <w:pPr>
        <w:pStyle w:val="NoSpacing"/>
        <w:rPr>
          <w:rFonts w:ascii="Times New Roman" w:eastAsia="Times New Roman" w:hAnsi="Times New Roman"/>
          <w:sz w:val="24"/>
          <w:szCs w:val="24"/>
        </w:rPr>
      </w:pPr>
      <w:r w:rsidRPr="003747BE">
        <w:rPr>
          <w:rFonts w:ascii="Times New Roman" w:hAnsi="Times New Roman"/>
          <w:sz w:val="24"/>
          <w:szCs w:val="24"/>
        </w:rPr>
        <w:t xml:space="preserve">On </w:t>
      </w:r>
      <w:r>
        <w:rPr>
          <w:rFonts w:ascii="Times New Roman" w:hAnsi="Times New Roman"/>
          <w:sz w:val="24"/>
          <w:szCs w:val="24"/>
        </w:rPr>
        <w:t xml:space="preserve">June 30, 2020, in </w:t>
      </w:r>
      <w:r w:rsidRPr="003747BE">
        <w:rPr>
          <w:rFonts w:ascii="Times New Roman" w:hAnsi="Times New Roman"/>
          <w:sz w:val="24"/>
          <w:szCs w:val="24"/>
          <w:u w:val="single"/>
        </w:rPr>
        <w:t>Greg Moore &amp; Patricia Moore v. Sean Garland, et al</w:t>
      </w:r>
      <w:r>
        <w:rPr>
          <w:rFonts w:ascii="Times New Roman" w:hAnsi="Times New Roman"/>
          <w:sz w:val="24"/>
          <w:szCs w:val="24"/>
        </w:rPr>
        <w:t>., U.S. District Court Judge Rosemary Marquez, District of Arizona, upheld the decision of the U.S. Magistrate Judge that two defendants arrested and awaiting trial, cannot use a civil lawsuit under 42 USC 1983 to take the deposition of the Tucson FD arson investigator, even after they received his report, since there is an ongoing financial fraud investigation.  Likewise, they cannot subpoena police department records that had been provided to insurance company investigators, or PD documents shared with IRS investigators  The District Court Judge agreed with the U.S. Magistrate, and held: “</w:t>
      </w:r>
      <w:r w:rsidRPr="00E9284B">
        <w:rPr>
          <w:rFonts w:ascii="Times New Roman" w:eastAsia="Times New Roman" w:hAnsi="Times New Roman"/>
          <w:sz w:val="24"/>
          <w:szCs w:val="24"/>
        </w:rPr>
        <w:t xml:space="preserve">The </w:t>
      </w:r>
    </w:p>
    <w:p w14:paraId="34270008" w14:textId="77777777" w:rsidR="00A672EE" w:rsidRPr="00E9284B" w:rsidRDefault="00A672EE" w:rsidP="00A672EE">
      <w:pPr>
        <w:pStyle w:val="NoSpacing"/>
        <w:rPr>
          <w:rFonts w:ascii="Times New Roman" w:eastAsia="Times New Roman" w:hAnsi="Times New Roman"/>
          <w:sz w:val="24"/>
          <w:szCs w:val="24"/>
        </w:rPr>
      </w:pPr>
      <w:r>
        <w:rPr>
          <w:rFonts w:ascii="Times New Roman" w:eastAsia="Times New Roman" w:hAnsi="Times New Roman"/>
          <w:sz w:val="24"/>
          <w:szCs w:val="24"/>
        </w:rPr>
        <w:t xml:space="preserve">[Magistrate’s] </w:t>
      </w:r>
      <w:r w:rsidRPr="00E9284B">
        <w:rPr>
          <w:rFonts w:ascii="Times New Roman" w:eastAsia="Times New Roman" w:hAnsi="Times New Roman"/>
          <w:sz w:val="24"/>
          <w:szCs w:val="24"/>
        </w:rPr>
        <w:t xml:space="preserve">Order notes that the City previously disclosed to Plaintiffs TFD Inspector Loya's fifteen-page report on the </w:t>
      </w:r>
      <w:proofErr w:type="spellStart"/>
      <w:r w:rsidRPr="00E9284B">
        <w:rPr>
          <w:rFonts w:ascii="Times New Roman" w:eastAsia="Times New Roman" w:hAnsi="Times New Roman"/>
          <w:sz w:val="24"/>
          <w:szCs w:val="24"/>
        </w:rPr>
        <w:t>Forgeus</w:t>
      </w:r>
      <w:proofErr w:type="spellEnd"/>
      <w:r w:rsidRPr="00E9284B">
        <w:rPr>
          <w:rFonts w:ascii="Times New Roman" w:eastAsia="Times New Roman" w:hAnsi="Times New Roman"/>
          <w:sz w:val="24"/>
          <w:szCs w:val="24"/>
        </w:rPr>
        <w:t xml:space="preserve"> fire </w:t>
      </w:r>
      <w:r>
        <w:rPr>
          <w:rFonts w:ascii="Times New Roman" w:eastAsia="Times New Roman" w:hAnsi="Times New Roman"/>
          <w:sz w:val="24"/>
          <w:szCs w:val="24"/>
        </w:rPr>
        <w:t xml:space="preserve">… </w:t>
      </w:r>
      <w:r w:rsidRPr="00E9284B">
        <w:rPr>
          <w:rFonts w:ascii="Times New Roman" w:eastAsia="Times New Roman" w:hAnsi="Times New Roman"/>
          <w:sz w:val="24"/>
          <w:szCs w:val="24"/>
        </w:rPr>
        <w:t xml:space="preserve">and holds, contrary to Plaintiffs' arguments, that </w:t>
      </w:r>
      <w:r>
        <w:rPr>
          <w:rFonts w:ascii="Times New Roman" w:eastAsia="Times New Roman" w:hAnsi="Times New Roman"/>
          <w:sz w:val="24"/>
          <w:szCs w:val="24"/>
        </w:rPr>
        <w:t>‘</w:t>
      </w:r>
      <w:r w:rsidRPr="00E9284B">
        <w:rPr>
          <w:rFonts w:ascii="Times New Roman" w:eastAsia="Times New Roman" w:hAnsi="Times New Roman"/>
          <w:sz w:val="24"/>
          <w:szCs w:val="24"/>
        </w:rPr>
        <w:t>in the context of the law enforcement privilege, the 'release of a document only waives the privilege for the document or information specifically released, and not for related materials.</w:t>
      </w:r>
      <w:r>
        <w:rPr>
          <w:rFonts w:ascii="Times New Roman" w:eastAsia="Times New Roman" w:hAnsi="Times New Roman"/>
          <w:sz w:val="24"/>
          <w:szCs w:val="24"/>
        </w:rPr>
        <w:t>’”</w:t>
      </w:r>
      <w:r w:rsidRPr="00E9284B">
        <w:t xml:space="preserve"> </w:t>
      </w:r>
      <w:hyperlink r:id="rId297" w:history="1">
        <w:r w:rsidRPr="00DE6B93">
          <w:rPr>
            <w:rStyle w:val="Hyperlink"/>
            <w:rFonts w:ascii="Times New Roman" w:hAnsi="Times New Roman"/>
            <w:sz w:val="24"/>
            <w:szCs w:val="24"/>
          </w:rPr>
          <w:t>https://public.fastcase.com/Wl%2B2t%2BeVuI35%2FN70vAMFZsoxzsfdSpYQWUHzr4LGn9%2B%2B5efEeYPRxdC77jaiEbzw</w:t>
        </w:r>
      </w:hyperlink>
      <w:r>
        <w:rPr>
          <w:rFonts w:ascii="Times New Roman" w:eastAsia="Times New Roman" w:hAnsi="Times New Roman"/>
          <w:sz w:val="24"/>
          <w:szCs w:val="24"/>
        </w:rPr>
        <w:t xml:space="preserve"> </w:t>
      </w:r>
    </w:p>
    <w:p w14:paraId="4377A2B9" w14:textId="77777777" w:rsidR="006B2083" w:rsidRDefault="006B2083" w:rsidP="006B2083">
      <w:pPr>
        <w:pStyle w:val="NoSpacing"/>
        <w:rPr>
          <w:rFonts w:ascii="Times New Roman" w:hAnsi="Times New Roman"/>
          <w:b/>
          <w:bCs/>
          <w:sz w:val="24"/>
          <w:szCs w:val="24"/>
        </w:rPr>
      </w:pPr>
    </w:p>
    <w:p w14:paraId="74A04206" w14:textId="1498C2D8" w:rsidR="006B2083" w:rsidRDefault="006B2083" w:rsidP="006B2083">
      <w:pPr>
        <w:pStyle w:val="NoSpacing"/>
        <w:rPr>
          <w:rFonts w:ascii="Arial Black" w:eastAsia="Times New Roman" w:hAnsi="Arial Black"/>
          <w:sz w:val="28"/>
          <w:szCs w:val="28"/>
        </w:rPr>
      </w:pPr>
      <w:r w:rsidRPr="0043496E">
        <w:rPr>
          <w:rFonts w:ascii="Times New Roman" w:hAnsi="Times New Roman"/>
          <w:b/>
          <w:bCs/>
          <w:sz w:val="24"/>
          <w:szCs w:val="24"/>
        </w:rPr>
        <w:t>Legal Lesson Learned:</w:t>
      </w:r>
      <w:r>
        <w:rPr>
          <w:rFonts w:ascii="Times New Roman" w:hAnsi="Times New Roman"/>
          <w:b/>
          <w:bCs/>
          <w:sz w:val="24"/>
          <w:szCs w:val="24"/>
        </w:rPr>
        <w:t xml:space="preserve"> The “law enforcement investigatory privilege” prevents defendants awaiting trial to use a civil lawsuit to obtain ongoing investigation records.</w:t>
      </w:r>
    </w:p>
    <w:p w14:paraId="38E18840" w14:textId="77777777" w:rsidR="00A672EE" w:rsidRDefault="00A672EE" w:rsidP="002B1283">
      <w:pPr>
        <w:rPr>
          <w:rFonts w:ascii="Arial Black" w:hAnsi="Arial Black"/>
          <w:b/>
          <w:sz w:val="24"/>
          <w:szCs w:val="24"/>
        </w:rPr>
      </w:pPr>
    </w:p>
    <w:p w14:paraId="4232BBF3" w14:textId="590BE874" w:rsidR="0020758F" w:rsidRDefault="0020758F" w:rsidP="002B1283">
      <w:pPr>
        <w:rPr>
          <w:rFonts w:ascii="Arial Black" w:hAnsi="Arial Black"/>
          <w:b/>
          <w:sz w:val="24"/>
          <w:szCs w:val="24"/>
        </w:rPr>
      </w:pPr>
      <w:r>
        <w:rPr>
          <w:rFonts w:ascii="Arial Black" w:hAnsi="Arial Black"/>
          <w:b/>
          <w:sz w:val="24"/>
          <w:szCs w:val="24"/>
        </w:rPr>
        <w:t>1-58</w:t>
      </w:r>
    </w:p>
    <w:p w14:paraId="6187A136" w14:textId="77777777" w:rsidR="0020758F" w:rsidRDefault="0020758F" w:rsidP="0020758F">
      <w:pPr>
        <w:pStyle w:val="Heading1"/>
        <w:rPr>
          <w:rFonts w:ascii="Arial Black" w:hAnsi="Arial Black"/>
          <w:sz w:val="28"/>
          <w:szCs w:val="28"/>
        </w:rPr>
      </w:pPr>
      <w:r w:rsidRPr="00423A7B">
        <w:rPr>
          <w:rFonts w:ascii="Arial Black" w:hAnsi="Arial Black"/>
          <w:sz w:val="28"/>
          <w:szCs w:val="28"/>
        </w:rPr>
        <w:t xml:space="preserve">NY: </w:t>
      </w:r>
      <w:r>
        <w:rPr>
          <w:rFonts w:ascii="Arial Black" w:hAnsi="Arial Black"/>
          <w:sz w:val="28"/>
          <w:szCs w:val="28"/>
        </w:rPr>
        <w:t xml:space="preserve">QUALIFIED IMMUNITY – HOT TOPIC FOR CONGESS - NYPD USED TASER TWICE – $30,000 PUNITIVE DAMAGES </w:t>
      </w:r>
    </w:p>
    <w:p w14:paraId="2B4073C7" w14:textId="77777777" w:rsidR="0020758F" w:rsidRDefault="0020758F" w:rsidP="0020758F">
      <w:pPr>
        <w:pStyle w:val="Heading1"/>
        <w:rPr>
          <w:b w:val="0"/>
          <w:bCs w:val="0"/>
          <w:sz w:val="24"/>
          <w:szCs w:val="24"/>
        </w:rPr>
      </w:pPr>
      <w:r w:rsidRPr="0011766A">
        <w:rPr>
          <w:b w:val="0"/>
          <w:bCs w:val="0"/>
          <w:sz w:val="24"/>
          <w:szCs w:val="24"/>
        </w:rPr>
        <w:t xml:space="preserve">On June 26, 2020, in </w:t>
      </w:r>
      <w:r w:rsidRPr="0011766A">
        <w:rPr>
          <w:b w:val="0"/>
          <w:bCs w:val="0"/>
          <w:sz w:val="24"/>
          <w:szCs w:val="24"/>
          <w:u w:val="single"/>
        </w:rPr>
        <w:t>Matthew Jones v. Lieutenant Christopher Treubig</w:t>
      </w:r>
      <w:r>
        <w:rPr>
          <w:b w:val="0"/>
          <w:bCs w:val="0"/>
          <w:sz w:val="24"/>
          <w:szCs w:val="24"/>
        </w:rPr>
        <w:t xml:space="preserve">, the U.S. Court of Appeals for the Second Circuit [NYC], held 3 to 0, that the U. S. District Court improperly set aside the jury verdict since the Lieutenant’s conduct of using taser twice on a suspect held by other officers on the ground was a clear constitutional violation.  </w:t>
      </w:r>
      <w:r w:rsidRPr="008017E3">
        <w:rPr>
          <w:b w:val="0"/>
          <w:bCs w:val="0"/>
          <w:sz w:val="24"/>
          <w:szCs w:val="24"/>
        </w:rPr>
        <w:t>“In sum, upon a review of the relevant legal authority, we hold that it was clearly established as of April 2015 that a police officer cannot use significant force, such as a taser, against an individual who is no longer resisting or posing a threat to the officers or others.”</w:t>
      </w:r>
      <w:r>
        <w:rPr>
          <w:sz w:val="33"/>
          <w:szCs w:val="33"/>
        </w:rPr>
        <w:t xml:space="preserve"> </w:t>
      </w:r>
      <w:hyperlink r:id="rId298" w:anchor="xml=https://www.ca2.uscourts.gov/decisions/isysquery/93d429af-6bc3-4a16-b287-422f5179acac/1/hilite/" w:history="1">
        <w:r w:rsidRPr="00E3681F">
          <w:rPr>
            <w:rStyle w:val="Hyperlink"/>
            <w:sz w:val="24"/>
            <w:szCs w:val="24"/>
          </w:rPr>
          <w:t>https://www.ca2.uscourts.gov/decisions/isysquery/93d429af-6bc3-4a16-b287-422f5179acac/1/doc/18-3775_opn.pdf#xml=https://www.ca2.uscourts.gov/decisions/isysquery/93d429af-6bc3-4a16-b287-422f5179acac/1/hilite/</w:t>
        </w:r>
      </w:hyperlink>
      <w:r>
        <w:rPr>
          <w:b w:val="0"/>
          <w:bCs w:val="0"/>
          <w:sz w:val="24"/>
          <w:szCs w:val="24"/>
        </w:rPr>
        <w:t xml:space="preserve"> </w:t>
      </w:r>
    </w:p>
    <w:p w14:paraId="006CEC62" w14:textId="77777777" w:rsidR="0020758F" w:rsidRPr="008017E3" w:rsidRDefault="0020758F" w:rsidP="0020758F">
      <w:pPr>
        <w:pStyle w:val="NoSpacing"/>
        <w:rPr>
          <w:rFonts w:ascii="Times New Roman" w:hAnsi="Times New Roman"/>
          <w:b/>
          <w:bCs/>
          <w:sz w:val="24"/>
          <w:szCs w:val="24"/>
        </w:rPr>
      </w:pPr>
      <w:r w:rsidRPr="0039343F">
        <w:rPr>
          <w:rFonts w:ascii="Times New Roman" w:hAnsi="Times New Roman"/>
          <w:b/>
          <w:bCs/>
          <w:sz w:val="24"/>
          <w:szCs w:val="24"/>
        </w:rPr>
        <w:t>Legal Lessons Learned:</w:t>
      </w:r>
      <w:r w:rsidRPr="00601B27">
        <w:t xml:space="preserve"> </w:t>
      </w:r>
      <w:r>
        <w:t xml:space="preserve"> </w:t>
      </w:r>
      <w:r w:rsidRPr="0039343F">
        <w:rPr>
          <w:rFonts w:ascii="Times New Roman" w:hAnsi="Times New Roman"/>
          <w:b/>
          <w:bCs/>
          <w:sz w:val="24"/>
          <w:szCs w:val="24"/>
        </w:rPr>
        <w:t xml:space="preserve">The “qualified immunity” doctrine has protected not only police officers, but also fire &amp; EMS from personal liability, with many lawsuits being dismissed prior to trial.  </w:t>
      </w:r>
      <w:r>
        <w:rPr>
          <w:rFonts w:ascii="Times New Roman" w:hAnsi="Times New Roman"/>
          <w:b/>
          <w:bCs/>
          <w:sz w:val="24"/>
          <w:szCs w:val="24"/>
        </w:rPr>
        <w:t xml:space="preserve">In litigation in federal court, and in many states, if the trial judge denies the motion to dismiss, there normally can be an immediate appeal by the public employee and employer to the Court of Appeals [in this case a pre-trial motion was apparently not filed]. </w:t>
      </w:r>
    </w:p>
    <w:p w14:paraId="6DB52153" w14:textId="77777777" w:rsidR="0020758F" w:rsidRDefault="0020758F" w:rsidP="0020758F">
      <w:pPr>
        <w:pStyle w:val="NoSpacing"/>
        <w:rPr>
          <w:rFonts w:ascii="Times New Roman" w:hAnsi="Times New Roman"/>
          <w:b/>
          <w:bCs/>
          <w:sz w:val="24"/>
          <w:szCs w:val="24"/>
        </w:rPr>
      </w:pPr>
    </w:p>
    <w:p w14:paraId="11B612FA" w14:textId="7A68AA41" w:rsidR="0020758F" w:rsidRDefault="0020758F" w:rsidP="0020758F">
      <w:pPr>
        <w:rPr>
          <w:rStyle w:val="Hyperlink"/>
          <w:rFonts w:ascii="Times New Roman" w:hAnsi="Times New Roman"/>
          <w:sz w:val="24"/>
          <w:szCs w:val="24"/>
        </w:rPr>
      </w:pPr>
      <w:r w:rsidRPr="008017E3">
        <w:rPr>
          <w:rFonts w:ascii="Times New Roman" w:hAnsi="Times New Roman"/>
          <w:sz w:val="24"/>
          <w:szCs w:val="24"/>
        </w:rPr>
        <w:t xml:space="preserve">Note: Following the death of George Floyd in Minneapolis, Congress is current considering enacting several bills to either amend or virtually eliminate the qualified immunity doctrine.  See article, June 19, 2020, “Republican rift opens up </w:t>
      </w:r>
      <w:proofErr w:type="gramStart"/>
      <w:r w:rsidRPr="008017E3">
        <w:rPr>
          <w:rFonts w:ascii="Times New Roman" w:hAnsi="Times New Roman"/>
          <w:sz w:val="24"/>
          <w:szCs w:val="24"/>
        </w:rPr>
        <w:t>over qualified</w:t>
      </w:r>
      <w:proofErr w:type="gramEnd"/>
      <w:r w:rsidRPr="008017E3">
        <w:rPr>
          <w:rFonts w:ascii="Times New Roman" w:hAnsi="Times New Roman"/>
          <w:sz w:val="24"/>
          <w:szCs w:val="24"/>
        </w:rPr>
        <w:t xml:space="preserve"> immunity for police.” </w:t>
      </w:r>
      <w:hyperlink r:id="rId299" w:history="1">
        <w:r w:rsidRPr="00E3681F">
          <w:rPr>
            <w:rStyle w:val="Hyperlink"/>
            <w:rFonts w:ascii="Times New Roman" w:hAnsi="Times New Roman"/>
            <w:sz w:val="24"/>
            <w:szCs w:val="24"/>
          </w:rPr>
          <w:t>https://thehill.com/homenews/senate/503496-republican-rift-opens-up-over-qualified-immunity-for-police</w:t>
        </w:r>
      </w:hyperlink>
    </w:p>
    <w:p w14:paraId="1C588104" w14:textId="77777777" w:rsidR="0020758F" w:rsidRDefault="0020758F" w:rsidP="0020758F">
      <w:pPr>
        <w:rPr>
          <w:rFonts w:ascii="Arial Black" w:hAnsi="Arial Black"/>
          <w:b/>
          <w:sz w:val="24"/>
          <w:szCs w:val="24"/>
        </w:rPr>
      </w:pPr>
    </w:p>
    <w:p w14:paraId="6FD10F59" w14:textId="4583C317" w:rsidR="0020758F" w:rsidRDefault="0020758F" w:rsidP="002B1283">
      <w:pPr>
        <w:rPr>
          <w:rFonts w:ascii="Arial Black" w:hAnsi="Arial Black"/>
          <w:b/>
          <w:sz w:val="24"/>
          <w:szCs w:val="24"/>
        </w:rPr>
      </w:pPr>
      <w:r>
        <w:rPr>
          <w:rFonts w:ascii="Arial Black" w:hAnsi="Arial Black"/>
          <w:b/>
          <w:sz w:val="24"/>
          <w:szCs w:val="24"/>
        </w:rPr>
        <w:lastRenderedPageBreak/>
        <w:t>1-57</w:t>
      </w:r>
    </w:p>
    <w:p w14:paraId="1E5A20DB" w14:textId="77777777" w:rsidR="0020758F" w:rsidRDefault="0020758F" w:rsidP="0020758F">
      <w:pPr>
        <w:pStyle w:val="NoSpacing"/>
        <w:rPr>
          <w:rFonts w:ascii="Arial Black" w:hAnsi="Arial Black"/>
          <w:sz w:val="28"/>
          <w:szCs w:val="28"/>
        </w:rPr>
      </w:pPr>
      <w:r w:rsidRPr="00A4095D">
        <w:rPr>
          <w:rFonts w:ascii="Arial Black" w:hAnsi="Arial Black"/>
          <w:sz w:val="28"/>
          <w:szCs w:val="28"/>
        </w:rPr>
        <w:t xml:space="preserve">MI: </w:t>
      </w:r>
      <w:r>
        <w:rPr>
          <w:rFonts w:ascii="Arial Black" w:hAnsi="Arial Black"/>
          <w:sz w:val="28"/>
          <w:szCs w:val="28"/>
        </w:rPr>
        <w:t>QUALIFIED IMMUNITY – DENIED UNIV. OF MICH. FOOTBALL GAME - “DRUNK” FAN – PD EXCESSIVE FORCE</w:t>
      </w:r>
    </w:p>
    <w:p w14:paraId="02AB3A78" w14:textId="77777777" w:rsidR="0020758F" w:rsidRDefault="0020758F" w:rsidP="0020758F">
      <w:pPr>
        <w:pStyle w:val="NoSpacing"/>
        <w:rPr>
          <w:rFonts w:ascii="Arial Black" w:hAnsi="Arial Black"/>
          <w:sz w:val="28"/>
          <w:szCs w:val="28"/>
        </w:rPr>
      </w:pPr>
    </w:p>
    <w:p w14:paraId="7DEEB6F3" w14:textId="77777777" w:rsidR="0020758F" w:rsidRDefault="0020758F" w:rsidP="0020758F">
      <w:pPr>
        <w:pStyle w:val="NoSpacing"/>
        <w:rPr>
          <w:rFonts w:ascii="Times New Roman" w:hAnsi="Times New Roman"/>
          <w:sz w:val="24"/>
          <w:szCs w:val="24"/>
        </w:rPr>
      </w:pPr>
      <w:r w:rsidRPr="00055D56">
        <w:rPr>
          <w:rFonts w:ascii="Times New Roman" w:hAnsi="Times New Roman"/>
          <w:sz w:val="24"/>
          <w:szCs w:val="24"/>
        </w:rPr>
        <w:t>On</w:t>
      </w:r>
      <w:r>
        <w:rPr>
          <w:rFonts w:ascii="Times New Roman" w:hAnsi="Times New Roman"/>
          <w:sz w:val="24"/>
          <w:szCs w:val="24"/>
        </w:rPr>
        <w:t xml:space="preserve"> June 24, 2020, in </w:t>
      </w:r>
      <w:r w:rsidRPr="00055D56">
        <w:rPr>
          <w:rFonts w:ascii="Times New Roman" w:hAnsi="Times New Roman"/>
          <w:sz w:val="24"/>
          <w:szCs w:val="24"/>
          <w:u w:val="single"/>
        </w:rPr>
        <w:t>Bryan Richards v. County of Washtenaw, et al. &amp; Justin Berent</w:t>
      </w:r>
      <w:r>
        <w:rPr>
          <w:rFonts w:ascii="Times New Roman" w:hAnsi="Times New Roman"/>
          <w:sz w:val="24"/>
          <w:szCs w:val="24"/>
        </w:rPr>
        <w:t>, the U,S. Court of Appeals for the 6</w:t>
      </w:r>
      <w:r w:rsidRPr="00055D56">
        <w:rPr>
          <w:rFonts w:ascii="Times New Roman" w:hAnsi="Times New Roman"/>
          <w:sz w:val="24"/>
          <w:szCs w:val="24"/>
          <w:vertAlign w:val="superscript"/>
        </w:rPr>
        <w:t>th</w:t>
      </w:r>
      <w:r>
        <w:rPr>
          <w:rFonts w:ascii="Times New Roman" w:hAnsi="Times New Roman"/>
          <w:sz w:val="24"/>
          <w:szCs w:val="24"/>
        </w:rPr>
        <w:t xml:space="preserve"> Circuit (Cincinnati) held (3 to 0) that the arresting officers enjoy qualified immunity for their arresting the fan for assaulting the uniformed medic in football stadium’s medical office, but the lawsuit may proceed for excessive force.  The 6</w:t>
      </w:r>
      <w:r w:rsidRPr="00452277">
        <w:rPr>
          <w:rFonts w:ascii="Times New Roman" w:hAnsi="Times New Roman"/>
          <w:sz w:val="24"/>
          <w:szCs w:val="24"/>
          <w:vertAlign w:val="superscript"/>
        </w:rPr>
        <w:t>th</w:t>
      </w:r>
      <w:r>
        <w:rPr>
          <w:rFonts w:ascii="Times New Roman" w:hAnsi="Times New Roman"/>
          <w:sz w:val="24"/>
          <w:szCs w:val="24"/>
        </w:rPr>
        <w:t xml:space="preserve"> Circuit held: “</w:t>
      </w:r>
      <w:r w:rsidRPr="007D0BEC">
        <w:rPr>
          <w:rFonts w:ascii="Times New Roman" w:hAnsi="Times New Roman"/>
          <w:sz w:val="24"/>
          <w:szCs w:val="24"/>
        </w:rPr>
        <w:t>Richards</w:t>
      </w:r>
      <w:r>
        <w:rPr>
          <w:rFonts w:ascii="Times New Roman" w:hAnsi="Times New Roman"/>
          <w:sz w:val="24"/>
          <w:szCs w:val="24"/>
        </w:rPr>
        <w:t xml:space="preserve"> </w:t>
      </w:r>
      <w:r w:rsidRPr="007D0BEC">
        <w:rPr>
          <w:rFonts w:ascii="Times New Roman" w:hAnsi="Times New Roman"/>
          <w:sz w:val="24"/>
          <w:szCs w:val="24"/>
        </w:rPr>
        <w:t>says he was never told he was under arrest and there was not enough time</w:t>
      </w:r>
      <w:r>
        <w:rPr>
          <w:rFonts w:ascii="Times New Roman" w:hAnsi="Times New Roman"/>
          <w:sz w:val="24"/>
          <w:szCs w:val="24"/>
        </w:rPr>
        <w:t xml:space="preserve"> </w:t>
      </w:r>
      <w:r w:rsidRPr="007D0BEC">
        <w:rPr>
          <w:rFonts w:ascii="Times New Roman" w:hAnsi="Times New Roman"/>
          <w:sz w:val="24"/>
          <w:szCs w:val="24"/>
        </w:rPr>
        <w:t>for him</w:t>
      </w:r>
      <w:r>
        <w:rPr>
          <w:rFonts w:ascii="Times New Roman" w:hAnsi="Times New Roman"/>
          <w:sz w:val="24"/>
          <w:szCs w:val="24"/>
        </w:rPr>
        <w:t xml:space="preserve"> </w:t>
      </w:r>
      <w:r w:rsidRPr="007D0BEC">
        <w:rPr>
          <w:rFonts w:ascii="Times New Roman" w:hAnsi="Times New Roman"/>
          <w:sz w:val="24"/>
          <w:szCs w:val="24"/>
        </w:rPr>
        <w:t>to</w:t>
      </w:r>
      <w:r>
        <w:rPr>
          <w:rFonts w:ascii="Times New Roman" w:hAnsi="Times New Roman"/>
          <w:sz w:val="24"/>
          <w:szCs w:val="24"/>
        </w:rPr>
        <w:t xml:space="preserve"> </w:t>
      </w:r>
      <w:r w:rsidRPr="007D0BEC">
        <w:rPr>
          <w:rFonts w:ascii="Times New Roman" w:hAnsi="Times New Roman"/>
          <w:sz w:val="24"/>
          <w:szCs w:val="24"/>
        </w:rPr>
        <w:t>have</w:t>
      </w:r>
      <w:r>
        <w:rPr>
          <w:rFonts w:ascii="Times New Roman" w:hAnsi="Times New Roman"/>
          <w:sz w:val="24"/>
          <w:szCs w:val="24"/>
        </w:rPr>
        <w:t xml:space="preserve"> </w:t>
      </w:r>
      <w:r w:rsidRPr="007D0BEC">
        <w:rPr>
          <w:rFonts w:ascii="Times New Roman" w:hAnsi="Times New Roman"/>
          <w:sz w:val="24"/>
          <w:szCs w:val="24"/>
        </w:rPr>
        <w:t>resisted</w:t>
      </w:r>
      <w:r>
        <w:rPr>
          <w:rFonts w:ascii="Times New Roman" w:hAnsi="Times New Roman"/>
          <w:sz w:val="24"/>
          <w:szCs w:val="24"/>
        </w:rPr>
        <w:t xml:space="preserve"> </w:t>
      </w:r>
      <w:r w:rsidRPr="007D0BEC">
        <w:rPr>
          <w:rFonts w:ascii="Times New Roman" w:hAnsi="Times New Roman"/>
          <w:sz w:val="24"/>
          <w:szCs w:val="24"/>
        </w:rPr>
        <w:t>the officers</w:t>
      </w:r>
      <w:r>
        <w:rPr>
          <w:rFonts w:ascii="Times New Roman" w:hAnsi="Times New Roman"/>
          <w:sz w:val="24"/>
          <w:szCs w:val="24"/>
        </w:rPr>
        <w:t xml:space="preserve"> </w:t>
      </w:r>
      <w:r w:rsidRPr="007D0BEC">
        <w:rPr>
          <w:rFonts w:ascii="Times New Roman" w:hAnsi="Times New Roman"/>
          <w:sz w:val="24"/>
          <w:szCs w:val="24"/>
        </w:rPr>
        <w:t>as they</w:t>
      </w:r>
      <w:r>
        <w:rPr>
          <w:rFonts w:ascii="Times New Roman" w:hAnsi="Times New Roman"/>
          <w:sz w:val="24"/>
          <w:szCs w:val="24"/>
        </w:rPr>
        <w:t xml:space="preserve"> </w:t>
      </w:r>
      <w:r w:rsidRPr="007D0BEC">
        <w:rPr>
          <w:rFonts w:ascii="Times New Roman" w:hAnsi="Times New Roman"/>
          <w:sz w:val="24"/>
          <w:szCs w:val="24"/>
        </w:rPr>
        <w:t>immediately converged on him upon</w:t>
      </w:r>
      <w:r>
        <w:rPr>
          <w:rFonts w:ascii="Times New Roman" w:hAnsi="Times New Roman"/>
          <w:sz w:val="24"/>
          <w:szCs w:val="24"/>
        </w:rPr>
        <w:t xml:space="preserve"> </w:t>
      </w:r>
      <w:r w:rsidRPr="007D0BEC">
        <w:rPr>
          <w:rFonts w:ascii="Times New Roman" w:hAnsi="Times New Roman"/>
          <w:sz w:val="24"/>
          <w:szCs w:val="24"/>
        </w:rPr>
        <w:t xml:space="preserve">entering the medical area. Berent acknowledges that he did not order Richards to stop before moving in for the arrest; and while Berent stated that he told Richards to </w:t>
      </w:r>
      <w:r>
        <w:rPr>
          <w:rFonts w:ascii="Times New Roman" w:hAnsi="Times New Roman"/>
          <w:sz w:val="24"/>
          <w:szCs w:val="24"/>
        </w:rPr>
        <w:t>‘</w:t>
      </w:r>
      <w:r w:rsidRPr="007D0BEC">
        <w:rPr>
          <w:rFonts w:ascii="Times New Roman" w:hAnsi="Times New Roman"/>
          <w:sz w:val="24"/>
          <w:szCs w:val="24"/>
        </w:rPr>
        <w:t>stop resistin</w:t>
      </w:r>
      <w:r>
        <w:rPr>
          <w:rFonts w:ascii="Times New Roman" w:hAnsi="Times New Roman"/>
          <w:sz w:val="24"/>
          <w:szCs w:val="24"/>
        </w:rPr>
        <w:t>g’</w:t>
      </w:r>
      <w:r w:rsidRPr="007D0BEC">
        <w:rPr>
          <w:rFonts w:ascii="Times New Roman" w:hAnsi="Times New Roman"/>
          <w:sz w:val="24"/>
          <w:szCs w:val="24"/>
        </w:rPr>
        <w:t xml:space="preserve"> several times</w:t>
      </w:r>
      <w:r>
        <w:rPr>
          <w:rFonts w:ascii="Times New Roman" w:hAnsi="Times New Roman"/>
          <w:sz w:val="24"/>
          <w:szCs w:val="24"/>
        </w:rPr>
        <w:t xml:space="preserve"> </w:t>
      </w:r>
      <w:r w:rsidRPr="007D0BEC">
        <w:rPr>
          <w:rFonts w:ascii="Times New Roman" w:hAnsi="Times New Roman"/>
          <w:sz w:val="24"/>
          <w:szCs w:val="24"/>
        </w:rPr>
        <w:t>before the officers took Richards to the ground,</w:t>
      </w:r>
      <w:r>
        <w:rPr>
          <w:rFonts w:ascii="Times New Roman" w:hAnsi="Times New Roman"/>
          <w:sz w:val="24"/>
          <w:szCs w:val="24"/>
        </w:rPr>
        <w:t xml:space="preserve"> </w:t>
      </w:r>
      <w:r w:rsidRPr="007D0BEC">
        <w:rPr>
          <w:rFonts w:ascii="Times New Roman" w:hAnsi="Times New Roman"/>
          <w:sz w:val="24"/>
          <w:szCs w:val="24"/>
        </w:rPr>
        <w:t>Richards denies</w:t>
      </w:r>
      <w:r>
        <w:rPr>
          <w:rFonts w:ascii="Times New Roman" w:hAnsi="Times New Roman"/>
          <w:sz w:val="24"/>
          <w:szCs w:val="24"/>
        </w:rPr>
        <w:t xml:space="preserve"> </w:t>
      </w:r>
      <w:r w:rsidRPr="007D0BEC">
        <w:rPr>
          <w:rFonts w:ascii="Times New Roman" w:hAnsi="Times New Roman"/>
          <w:sz w:val="24"/>
          <w:szCs w:val="24"/>
        </w:rPr>
        <w:t>this fact. Richards further testified that, while he was on the ground, he could not comply with any</w:t>
      </w:r>
      <w:r>
        <w:rPr>
          <w:rFonts w:ascii="Times New Roman" w:hAnsi="Times New Roman"/>
          <w:sz w:val="24"/>
          <w:szCs w:val="24"/>
        </w:rPr>
        <w:t xml:space="preserve"> </w:t>
      </w:r>
      <w:r w:rsidRPr="007D0BEC">
        <w:rPr>
          <w:rFonts w:ascii="Times New Roman" w:hAnsi="Times New Roman"/>
          <w:sz w:val="24"/>
          <w:szCs w:val="24"/>
        </w:rPr>
        <w:t>commands to place his hands behind his back as his arms were pinned beneath him.</w:t>
      </w:r>
      <w:r>
        <w:rPr>
          <w:rFonts w:ascii="Times New Roman" w:hAnsi="Times New Roman"/>
          <w:sz w:val="24"/>
          <w:szCs w:val="24"/>
        </w:rPr>
        <w:t>”</w:t>
      </w:r>
    </w:p>
    <w:p w14:paraId="49ED92AC" w14:textId="77777777" w:rsidR="0020758F" w:rsidRPr="007D0BEC" w:rsidRDefault="0020758F" w:rsidP="0020758F">
      <w:pPr>
        <w:pStyle w:val="NoSpacing"/>
        <w:rPr>
          <w:rFonts w:ascii="Times New Roman" w:hAnsi="Times New Roman"/>
          <w:sz w:val="24"/>
          <w:szCs w:val="24"/>
        </w:rPr>
      </w:pPr>
      <w:hyperlink r:id="rId300" w:history="1">
        <w:r w:rsidRPr="0037669D">
          <w:rPr>
            <w:rStyle w:val="Hyperlink"/>
            <w:rFonts w:ascii="Times New Roman" w:hAnsi="Times New Roman"/>
            <w:sz w:val="24"/>
            <w:szCs w:val="24"/>
          </w:rPr>
          <w:t>https://www.opn.ca6.uscourts.gov/opinions.pdf/20a0374n-06.pdf</w:t>
        </w:r>
      </w:hyperlink>
      <w:r>
        <w:rPr>
          <w:rFonts w:ascii="Times New Roman" w:hAnsi="Times New Roman"/>
          <w:sz w:val="24"/>
          <w:szCs w:val="24"/>
        </w:rPr>
        <w:t xml:space="preserve"> </w:t>
      </w:r>
    </w:p>
    <w:p w14:paraId="71828512" w14:textId="77777777" w:rsidR="0020758F" w:rsidRDefault="0020758F" w:rsidP="0020758F">
      <w:pPr>
        <w:pStyle w:val="NoSpacing"/>
        <w:rPr>
          <w:rFonts w:ascii="Times New Roman" w:hAnsi="Times New Roman"/>
          <w:b/>
          <w:bCs/>
          <w:sz w:val="24"/>
          <w:szCs w:val="24"/>
        </w:rPr>
      </w:pPr>
    </w:p>
    <w:p w14:paraId="04789D8B" w14:textId="30D83553" w:rsidR="0020758F" w:rsidRPr="00355FF4" w:rsidRDefault="0020758F" w:rsidP="0020758F">
      <w:pPr>
        <w:pStyle w:val="NoSpacing"/>
        <w:rPr>
          <w:rFonts w:ascii="Times New Roman" w:hAnsi="Times New Roman"/>
          <w:b/>
          <w:bCs/>
          <w:sz w:val="24"/>
          <w:szCs w:val="24"/>
        </w:rPr>
      </w:pPr>
      <w:r w:rsidRPr="00355FF4">
        <w:rPr>
          <w:rFonts w:ascii="Times New Roman" w:hAnsi="Times New Roman"/>
          <w:b/>
          <w:bCs/>
          <w:sz w:val="24"/>
          <w:szCs w:val="24"/>
        </w:rPr>
        <w:t xml:space="preserve">Legal Lessons Learned: </w:t>
      </w:r>
      <w:r>
        <w:rPr>
          <w:rFonts w:ascii="Times New Roman" w:hAnsi="Times New Roman"/>
          <w:b/>
          <w:bCs/>
          <w:sz w:val="24"/>
          <w:szCs w:val="24"/>
        </w:rPr>
        <w:t xml:space="preserve"> Consider installing video cameras in the football stadium medical office. </w:t>
      </w:r>
    </w:p>
    <w:p w14:paraId="264D746F" w14:textId="77777777" w:rsidR="0020758F" w:rsidRDefault="0020758F" w:rsidP="002B1283">
      <w:pPr>
        <w:rPr>
          <w:rFonts w:ascii="Arial Black" w:hAnsi="Arial Black"/>
          <w:b/>
          <w:sz w:val="24"/>
          <w:szCs w:val="24"/>
        </w:rPr>
      </w:pPr>
    </w:p>
    <w:p w14:paraId="3CB11191" w14:textId="4246C4F7" w:rsidR="0020758F" w:rsidRDefault="0020758F" w:rsidP="002B1283">
      <w:pPr>
        <w:rPr>
          <w:rFonts w:ascii="Arial Black" w:hAnsi="Arial Black"/>
          <w:b/>
          <w:sz w:val="24"/>
          <w:szCs w:val="24"/>
        </w:rPr>
      </w:pPr>
      <w:r>
        <w:rPr>
          <w:rFonts w:ascii="Arial Black" w:hAnsi="Arial Black"/>
          <w:b/>
          <w:sz w:val="24"/>
          <w:szCs w:val="24"/>
        </w:rPr>
        <w:t>1-56</w:t>
      </w:r>
    </w:p>
    <w:p w14:paraId="1BDC48CD" w14:textId="77777777" w:rsidR="0020758F" w:rsidRPr="007C314B" w:rsidRDefault="0020758F" w:rsidP="0020758F">
      <w:pPr>
        <w:pStyle w:val="NoSpacing"/>
      </w:pPr>
      <w:r w:rsidRPr="007C314B">
        <w:rPr>
          <w:rFonts w:ascii="Arial Black" w:hAnsi="Arial Black"/>
          <w:b/>
          <w:bCs/>
          <w:sz w:val="28"/>
          <w:szCs w:val="28"/>
        </w:rPr>
        <w:t>O</w:t>
      </w:r>
      <w:r>
        <w:rPr>
          <w:rFonts w:ascii="Arial Black" w:hAnsi="Arial Black"/>
          <w:b/>
          <w:bCs/>
          <w:sz w:val="28"/>
          <w:szCs w:val="28"/>
        </w:rPr>
        <w:t xml:space="preserve">H: TWO ARSON INVEST. TESTIFIED CAUSE &amp; ORIGIN – STRONG CASE – TRIAL JUDGE ALLOWED TESTIFY WITHOUT FIRST BEING QUALIFIED AS “EXPERT WITNESSES” </w:t>
      </w:r>
      <w:r w:rsidRPr="007C314B">
        <w:t xml:space="preserve"> </w:t>
      </w:r>
    </w:p>
    <w:p w14:paraId="6CE1AAA6" w14:textId="77777777" w:rsidR="0020758F" w:rsidRDefault="0020758F" w:rsidP="0020758F">
      <w:pPr>
        <w:spacing w:before="100" w:beforeAutospacing="1" w:after="100" w:afterAutospacing="1" w:line="240" w:lineRule="auto"/>
        <w:rPr>
          <w:rFonts w:ascii="Times New Roman" w:hAnsi="Times New Roman"/>
          <w:sz w:val="24"/>
          <w:szCs w:val="24"/>
        </w:rPr>
      </w:pPr>
      <w:r w:rsidRPr="007C314B">
        <w:rPr>
          <w:rFonts w:ascii="Times New Roman" w:hAnsi="Times New Roman"/>
          <w:sz w:val="24"/>
          <w:szCs w:val="24"/>
        </w:rPr>
        <w:t xml:space="preserve">On </w:t>
      </w:r>
      <w:r>
        <w:rPr>
          <w:rFonts w:ascii="Times New Roman" w:hAnsi="Times New Roman"/>
          <w:sz w:val="24"/>
          <w:szCs w:val="24"/>
        </w:rPr>
        <w:t xml:space="preserve">June 3, 2020, in </w:t>
      </w:r>
      <w:r w:rsidRPr="007C314B">
        <w:rPr>
          <w:rFonts w:ascii="Times New Roman" w:hAnsi="Times New Roman"/>
          <w:sz w:val="24"/>
          <w:szCs w:val="24"/>
          <w:u w:val="single"/>
        </w:rPr>
        <w:t xml:space="preserve">State of Ohio v. </w:t>
      </w:r>
      <w:proofErr w:type="spellStart"/>
      <w:r w:rsidRPr="007C314B">
        <w:rPr>
          <w:rFonts w:ascii="Times New Roman" w:hAnsi="Times New Roman"/>
          <w:sz w:val="24"/>
          <w:szCs w:val="24"/>
          <w:u w:val="single"/>
        </w:rPr>
        <w:t>Jauvaughn</w:t>
      </w:r>
      <w:proofErr w:type="spellEnd"/>
      <w:r w:rsidRPr="007C314B">
        <w:rPr>
          <w:rFonts w:ascii="Times New Roman" w:hAnsi="Times New Roman"/>
          <w:sz w:val="24"/>
          <w:szCs w:val="24"/>
          <w:u w:val="single"/>
        </w:rPr>
        <w:t xml:space="preserve"> Penn</w:t>
      </w:r>
      <w:r>
        <w:rPr>
          <w:rFonts w:ascii="Times New Roman" w:hAnsi="Times New Roman"/>
          <w:sz w:val="24"/>
          <w:szCs w:val="24"/>
        </w:rPr>
        <w:t xml:space="preserve">, the Court of Appeals Ninth Judicial District (Summit County), 2020 Ohio 3158, held (2 to 1) that defendant’s jury conviction of aggravated arson and burglary was affirmed. </w:t>
      </w:r>
      <w:r w:rsidRPr="00DB083C">
        <w:rPr>
          <w:rFonts w:ascii="Times New Roman" w:hAnsi="Times New Roman"/>
          <w:sz w:val="24"/>
          <w:szCs w:val="24"/>
        </w:rPr>
        <w:t xml:space="preserve">The Court </w:t>
      </w:r>
      <w:r>
        <w:rPr>
          <w:rFonts w:ascii="Times New Roman" w:hAnsi="Times New Roman"/>
          <w:sz w:val="24"/>
          <w:szCs w:val="24"/>
        </w:rPr>
        <w:t xml:space="preserve">of Appeals (2 judge majority) </w:t>
      </w:r>
      <w:r w:rsidRPr="00DB083C">
        <w:rPr>
          <w:rFonts w:ascii="Times New Roman" w:hAnsi="Times New Roman"/>
          <w:sz w:val="24"/>
          <w:szCs w:val="24"/>
        </w:rPr>
        <w:t>focused on the strength of the evidence</w:t>
      </w:r>
      <w:r>
        <w:rPr>
          <w:rFonts w:ascii="Times New Roman" w:hAnsi="Times New Roman"/>
          <w:sz w:val="24"/>
          <w:szCs w:val="24"/>
        </w:rPr>
        <w:t xml:space="preserve"> against the defendant, and concluded trial judge did not abuse his discretion in allowing two Akron fire investigators to testify without being first qualified as experts. “[L]</w:t>
      </w:r>
      <w:r w:rsidRPr="00DB083C">
        <w:rPr>
          <w:rFonts w:ascii="Times New Roman" w:hAnsi="Times New Roman"/>
          <w:sz w:val="24"/>
          <w:szCs w:val="24"/>
        </w:rPr>
        <w:t xml:space="preserve">ay opinion testimony is admissible so long as it is </w:t>
      </w:r>
      <w:r>
        <w:rPr>
          <w:rFonts w:ascii="Times New Roman" w:hAnsi="Times New Roman"/>
          <w:sz w:val="24"/>
          <w:szCs w:val="24"/>
        </w:rPr>
        <w:t>‘</w:t>
      </w:r>
      <w:r w:rsidRPr="00DB083C">
        <w:rPr>
          <w:rFonts w:ascii="Times New Roman" w:hAnsi="Times New Roman"/>
          <w:sz w:val="24"/>
          <w:szCs w:val="24"/>
        </w:rPr>
        <w:t>rationally based on the perception of the witness</w:t>
      </w:r>
      <w:r>
        <w:rPr>
          <w:rFonts w:ascii="Times New Roman" w:hAnsi="Times New Roman"/>
          <w:sz w:val="24"/>
          <w:szCs w:val="24"/>
        </w:rPr>
        <w:t>’</w:t>
      </w:r>
      <w:r w:rsidRPr="00DB083C">
        <w:rPr>
          <w:rFonts w:ascii="Times New Roman" w:hAnsi="Times New Roman"/>
          <w:sz w:val="24"/>
          <w:szCs w:val="24"/>
        </w:rPr>
        <w:t xml:space="preserve"> and </w:t>
      </w:r>
      <w:r>
        <w:rPr>
          <w:rFonts w:ascii="Times New Roman" w:hAnsi="Times New Roman"/>
          <w:sz w:val="24"/>
          <w:szCs w:val="24"/>
        </w:rPr>
        <w:t>‘</w:t>
      </w:r>
      <w:r w:rsidRPr="00DB083C">
        <w:rPr>
          <w:rFonts w:ascii="Times New Roman" w:hAnsi="Times New Roman"/>
          <w:sz w:val="24"/>
          <w:szCs w:val="24"/>
        </w:rPr>
        <w:t>helpful to a clear understanding of [his] testimony or the determination of a fact in issue.</w:t>
      </w:r>
      <w:r>
        <w:rPr>
          <w:rFonts w:ascii="Times New Roman" w:hAnsi="Times New Roman"/>
          <w:sz w:val="24"/>
          <w:szCs w:val="24"/>
        </w:rPr>
        <w:t>’</w:t>
      </w:r>
      <w:r w:rsidRPr="00DB083C">
        <w:rPr>
          <w:rFonts w:ascii="Times New Roman" w:hAnsi="Times New Roman"/>
          <w:sz w:val="24"/>
          <w:szCs w:val="24"/>
        </w:rPr>
        <w:t xml:space="preserve"> </w:t>
      </w:r>
      <w:proofErr w:type="spellStart"/>
      <w:r w:rsidRPr="00DB083C">
        <w:rPr>
          <w:rFonts w:ascii="Times New Roman" w:hAnsi="Times New Roman"/>
          <w:sz w:val="24"/>
          <w:szCs w:val="24"/>
        </w:rPr>
        <w:t>Evid.R</w:t>
      </w:r>
      <w:proofErr w:type="spellEnd"/>
      <w:r w:rsidRPr="00DB083C">
        <w:rPr>
          <w:rFonts w:ascii="Times New Roman" w:hAnsi="Times New Roman"/>
          <w:sz w:val="24"/>
          <w:szCs w:val="24"/>
        </w:rPr>
        <w:t xml:space="preserve">. 701. This Court reviews for an abuse of discretion a trial court's decision to admit lay opinion testimony under </w:t>
      </w:r>
      <w:proofErr w:type="spellStart"/>
      <w:r w:rsidRPr="00DB083C">
        <w:rPr>
          <w:rFonts w:ascii="Times New Roman" w:hAnsi="Times New Roman"/>
          <w:sz w:val="24"/>
          <w:szCs w:val="24"/>
        </w:rPr>
        <w:t>Evid.R</w:t>
      </w:r>
      <w:proofErr w:type="spellEnd"/>
      <w:r w:rsidRPr="00DB083C">
        <w:rPr>
          <w:rFonts w:ascii="Times New Roman" w:hAnsi="Times New Roman"/>
          <w:sz w:val="24"/>
          <w:szCs w:val="24"/>
        </w:rPr>
        <w:t>. 701</w:t>
      </w:r>
      <w:r>
        <w:rPr>
          <w:rFonts w:ascii="Times New Roman" w:hAnsi="Times New Roman"/>
          <w:sz w:val="24"/>
          <w:szCs w:val="24"/>
        </w:rPr>
        <w:t>….</w:t>
      </w:r>
      <w:r w:rsidRPr="00DB083C">
        <w:rPr>
          <w:rFonts w:ascii="Times New Roman" w:hAnsi="Times New Roman"/>
          <w:sz w:val="24"/>
          <w:szCs w:val="24"/>
        </w:rPr>
        <w:t xml:space="preserve"> A trial court may be found to have abused its discretion if it rules in an unreasonable, arbitrary, or unconscionable manner. </w:t>
      </w:r>
      <w:r w:rsidRPr="00DB083C">
        <w:rPr>
          <w:rFonts w:ascii="Times New Roman" w:hAnsi="Times New Roman"/>
          <w:i/>
          <w:iCs/>
          <w:sz w:val="24"/>
          <w:szCs w:val="24"/>
        </w:rPr>
        <w:t>Blakemore</w:t>
      </w:r>
      <w:r w:rsidRPr="00DB083C">
        <w:rPr>
          <w:rFonts w:ascii="Times New Roman" w:hAnsi="Times New Roman"/>
          <w:sz w:val="24"/>
          <w:szCs w:val="24"/>
        </w:rPr>
        <w:t>, 5 Ohio St.3d at 219.</w:t>
      </w:r>
      <w:r>
        <w:rPr>
          <w:rFonts w:ascii="Times New Roman" w:hAnsi="Times New Roman"/>
          <w:sz w:val="24"/>
          <w:szCs w:val="24"/>
        </w:rPr>
        <w:t xml:space="preserve">” </w:t>
      </w:r>
      <w:hyperlink r:id="rId301" w:history="1">
        <w:r w:rsidRPr="00B131BD">
          <w:rPr>
            <w:rStyle w:val="Hyperlink"/>
            <w:rFonts w:ascii="Times New Roman" w:hAnsi="Times New Roman"/>
            <w:sz w:val="24"/>
            <w:szCs w:val="24"/>
          </w:rPr>
          <w:t>https://www.supremecourt.ohio.gov/rod/docs/pdf/9/2020/2020-Ohio-3158.pdf</w:t>
        </w:r>
      </w:hyperlink>
      <w:r>
        <w:rPr>
          <w:rFonts w:ascii="Times New Roman" w:hAnsi="Times New Roman"/>
          <w:sz w:val="24"/>
          <w:szCs w:val="24"/>
        </w:rPr>
        <w:t xml:space="preserve"> </w:t>
      </w:r>
    </w:p>
    <w:p w14:paraId="4B821104" w14:textId="77777777" w:rsidR="0020758F" w:rsidRPr="00955CF2" w:rsidRDefault="0020758F" w:rsidP="0020758F">
      <w:pPr>
        <w:spacing w:before="100" w:beforeAutospacing="1" w:after="100" w:afterAutospacing="1" w:line="240" w:lineRule="auto"/>
        <w:rPr>
          <w:rFonts w:ascii="Times New Roman" w:eastAsia="Times New Roman" w:hAnsi="Times New Roman"/>
          <w:b/>
          <w:bCs/>
          <w:sz w:val="24"/>
          <w:szCs w:val="24"/>
        </w:rPr>
      </w:pPr>
      <w:r w:rsidRPr="00955CF2">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 Whenever possible, it is best for prosecutors to have the trial court qualify Arson investigators as expert witnesses and provide a written report to the defense prior to trial. </w:t>
      </w:r>
    </w:p>
    <w:p w14:paraId="57D3A5D6" w14:textId="77777777" w:rsidR="0020758F" w:rsidRDefault="0020758F" w:rsidP="0020758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b/>
        <w:t xml:space="preserve">Note: One of three judges on the Court of Appeals wrote a partial dissenting opinion. </w:t>
      </w:r>
    </w:p>
    <w:p w14:paraId="6D8DE558" w14:textId="77777777" w:rsidR="0020758F" w:rsidRPr="00955CF2" w:rsidRDefault="0020758F" w:rsidP="0020758F">
      <w:pPr>
        <w:pStyle w:val="NoSpacing"/>
        <w:ind w:left="720"/>
        <w:rPr>
          <w:rFonts w:ascii="Times New Roman" w:hAnsi="Times New Roman"/>
          <w:sz w:val="24"/>
          <w:szCs w:val="24"/>
        </w:rPr>
      </w:pPr>
      <w:r>
        <w:rPr>
          <w:rFonts w:ascii="Times New Roman" w:hAnsi="Times New Roman"/>
          <w:sz w:val="24"/>
          <w:szCs w:val="24"/>
        </w:rPr>
        <w:t>“</w:t>
      </w:r>
      <w:r w:rsidRPr="00955CF2">
        <w:rPr>
          <w:rFonts w:ascii="Times New Roman" w:hAnsi="Times New Roman"/>
          <w:sz w:val="24"/>
          <w:szCs w:val="24"/>
        </w:rPr>
        <w:t xml:space="preserve">I respectfully dissent </w:t>
      </w:r>
      <w:proofErr w:type="gramStart"/>
      <w:r w:rsidRPr="00955CF2">
        <w:rPr>
          <w:rFonts w:ascii="Times New Roman" w:hAnsi="Times New Roman"/>
          <w:sz w:val="24"/>
          <w:szCs w:val="24"/>
        </w:rPr>
        <w:t>in regard to</w:t>
      </w:r>
      <w:proofErr w:type="gramEnd"/>
      <w:r w:rsidRPr="00955CF2">
        <w:rPr>
          <w:rFonts w:ascii="Times New Roman" w:hAnsi="Times New Roman"/>
          <w:sz w:val="24"/>
          <w:szCs w:val="24"/>
        </w:rPr>
        <w:t xml:space="preserve"> the majority’s resolution of the first assignment of error as I would conclude that the trial court abused its discretion when it permitted Mr. Hoch and Mr. </w:t>
      </w:r>
      <w:proofErr w:type="spellStart"/>
      <w:r w:rsidRPr="00955CF2">
        <w:rPr>
          <w:rFonts w:ascii="Times New Roman" w:hAnsi="Times New Roman"/>
          <w:sz w:val="24"/>
          <w:szCs w:val="24"/>
        </w:rPr>
        <w:t>D’Avello</w:t>
      </w:r>
      <w:proofErr w:type="spellEnd"/>
      <w:r w:rsidRPr="00955CF2">
        <w:rPr>
          <w:rFonts w:ascii="Times New Roman" w:hAnsi="Times New Roman"/>
          <w:sz w:val="24"/>
          <w:szCs w:val="24"/>
        </w:rPr>
        <w:t xml:space="preserve"> to give expert testimony at trial. *** Mr. Hoch and Mr. </w:t>
      </w:r>
      <w:proofErr w:type="spellStart"/>
      <w:r w:rsidRPr="00955CF2">
        <w:rPr>
          <w:rFonts w:ascii="Times New Roman" w:hAnsi="Times New Roman"/>
          <w:sz w:val="24"/>
          <w:szCs w:val="24"/>
        </w:rPr>
        <w:t>D’Avello</w:t>
      </w:r>
      <w:proofErr w:type="spellEnd"/>
      <w:r w:rsidRPr="00955CF2">
        <w:rPr>
          <w:rFonts w:ascii="Times New Roman" w:hAnsi="Times New Roman"/>
          <w:sz w:val="24"/>
          <w:szCs w:val="24"/>
        </w:rPr>
        <w:t xml:space="preserve"> expressed definitive opinions on the origin of the fire. These opinions were largely predicated on an understanding of charring levels and burn patterns on the walls. Testimony regarding the origin of a fire based on analysis of charring levels and burn patterns observed during a visual inspection frequently falls within the purview of expert testimony.</w:t>
      </w:r>
      <w:r>
        <w:rPr>
          <w:rFonts w:ascii="Times New Roman" w:hAnsi="Times New Roman"/>
          <w:sz w:val="24"/>
          <w:szCs w:val="24"/>
        </w:rPr>
        <w:t>”</w:t>
      </w:r>
    </w:p>
    <w:p w14:paraId="65237214" w14:textId="77777777" w:rsidR="0020758F" w:rsidRDefault="0020758F" w:rsidP="002B1283">
      <w:pPr>
        <w:rPr>
          <w:rFonts w:ascii="Arial Black" w:hAnsi="Arial Black"/>
          <w:b/>
          <w:sz w:val="24"/>
          <w:szCs w:val="24"/>
        </w:rPr>
      </w:pPr>
    </w:p>
    <w:p w14:paraId="25D1B26F" w14:textId="77777777" w:rsidR="0020758F" w:rsidRDefault="0020758F" w:rsidP="002B1283">
      <w:pPr>
        <w:rPr>
          <w:rFonts w:ascii="Arial Black" w:hAnsi="Arial Black"/>
          <w:b/>
          <w:sz w:val="24"/>
          <w:szCs w:val="24"/>
        </w:rPr>
      </w:pPr>
    </w:p>
    <w:p w14:paraId="0BE1BEB5" w14:textId="6FFBB167" w:rsidR="00D94DC4" w:rsidRDefault="00D94DC4" w:rsidP="002B1283">
      <w:pPr>
        <w:rPr>
          <w:rFonts w:ascii="Arial Black" w:hAnsi="Arial Black"/>
          <w:b/>
          <w:sz w:val="24"/>
          <w:szCs w:val="24"/>
        </w:rPr>
      </w:pPr>
      <w:r>
        <w:rPr>
          <w:rFonts w:ascii="Arial Black" w:hAnsi="Arial Black"/>
          <w:b/>
          <w:sz w:val="24"/>
          <w:szCs w:val="24"/>
        </w:rPr>
        <w:t>1-55</w:t>
      </w:r>
    </w:p>
    <w:p w14:paraId="1860BF59" w14:textId="77777777" w:rsidR="00D94DC4" w:rsidRPr="00AA035B" w:rsidRDefault="00D94DC4" w:rsidP="00D94DC4">
      <w:pPr>
        <w:spacing w:before="100" w:beforeAutospacing="1" w:after="100" w:afterAutospacing="1" w:line="240" w:lineRule="auto"/>
        <w:jc w:val="both"/>
        <w:rPr>
          <w:rFonts w:ascii="Arial Black" w:eastAsia="Times New Roman" w:hAnsi="Arial Black"/>
          <w:b/>
          <w:bCs/>
          <w:sz w:val="28"/>
          <w:szCs w:val="28"/>
        </w:rPr>
      </w:pPr>
      <w:r w:rsidRPr="00AA035B">
        <w:rPr>
          <w:rFonts w:ascii="Arial Black" w:eastAsia="Times New Roman" w:hAnsi="Arial Black"/>
          <w:b/>
          <w:bCs/>
          <w:sz w:val="28"/>
          <w:szCs w:val="28"/>
        </w:rPr>
        <w:t>NY:</w:t>
      </w:r>
      <w:r>
        <w:rPr>
          <w:rFonts w:ascii="Arial Black" w:eastAsia="Times New Roman" w:hAnsi="Arial Black"/>
          <w:b/>
          <w:bCs/>
          <w:sz w:val="28"/>
          <w:szCs w:val="28"/>
        </w:rPr>
        <w:t xml:space="preserve"> PHOTO OF KNEELING FDNY FIREFIGHTER DURING 911 RECOVERY – PROF. PHTOGRAPHER COPYRIGHTED PHOTO – COMPANY MUST PAY USE ON SWEATSHIRTS, TEE SHIRTS </w:t>
      </w:r>
    </w:p>
    <w:p w14:paraId="5F4C9799" w14:textId="529968FC" w:rsidR="00D94DC4" w:rsidRDefault="00D94DC4" w:rsidP="00D94DC4">
      <w:pPr>
        <w:rPr>
          <w:rFonts w:ascii="Arial Black" w:hAnsi="Arial Black"/>
          <w:b/>
          <w:sz w:val="24"/>
          <w:szCs w:val="24"/>
        </w:rPr>
      </w:pPr>
      <w:r w:rsidRPr="00A83726">
        <w:rPr>
          <w:rFonts w:ascii="Times New Roman" w:hAnsi="Times New Roman"/>
          <w:sz w:val="24"/>
          <w:szCs w:val="24"/>
        </w:rPr>
        <w:t xml:space="preserve">On May 28, 2020, in </w:t>
      </w:r>
      <w:r w:rsidRPr="00A83726">
        <w:rPr>
          <w:rFonts w:ascii="Times New Roman" w:hAnsi="Times New Roman"/>
          <w:sz w:val="24"/>
          <w:szCs w:val="24"/>
          <w:u w:val="single"/>
        </w:rPr>
        <w:t>Matthew McDermott v. NYFirestore.com, Inc</w:t>
      </w:r>
      <w:r w:rsidRPr="00A83726">
        <w:rPr>
          <w:rFonts w:ascii="Times New Roman" w:hAnsi="Times New Roman"/>
          <w:sz w:val="24"/>
          <w:szCs w:val="24"/>
        </w:rPr>
        <w:t>., U.S. District Court judge Alison J. Nathan</w:t>
      </w:r>
      <w:r>
        <w:rPr>
          <w:rFonts w:ascii="Times New Roman" w:hAnsi="Times New Roman"/>
          <w:sz w:val="24"/>
          <w:szCs w:val="24"/>
        </w:rPr>
        <w:t>, Southern District of New York,</w:t>
      </w:r>
      <w:r w:rsidRPr="00A83726">
        <w:rPr>
          <w:rFonts w:ascii="Times New Roman" w:hAnsi="Times New Roman"/>
          <w:sz w:val="24"/>
          <w:szCs w:val="24"/>
        </w:rPr>
        <w:t xml:space="preserve"> held that the plaintiff, a professional photographer, has </w:t>
      </w:r>
      <w:r>
        <w:rPr>
          <w:rFonts w:ascii="Times New Roman" w:hAnsi="Times New Roman"/>
          <w:sz w:val="24"/>
          <w:szCs w:val="24"/>
        </w:rPr>
        <w:t xml:space="preserve">provided the Court with the photograph’s Certificate of Registration, </w:t>
      </w:r>
      <w:r w:rsidRPr="00A83726">
        <w:rPr>
          <w:rFonts w:ascii="Times New Roman" w:hAnsi="Times New Roman"/>
          <w:sz w:val="24"/>
          <w:szCs w:val="24"/>
        </w:rPr>
        <w:t xml:space="preserve">and is granted a default judgment for liability against </w:t>
      </w:r>
      <w:proofErr w:type="spellStart"/>
      <w:r w:rsidRPr="00A83726">
        <w:rPr>
          <w:rFonts w:ascii="Times New Roman" w:hAnsi="Times New Roman"/>
          <w:sz w:val="24"/>
          <w:szCs w:val="24"/>
        </w:rPr>
        <w:t>NYFirestore</w:t>
      </w:r>
      <w:proofErr w:type="spellEnd"/>
      <w:r w:rsidRPr="00A83726">
        <w:rPr>
          <w:rFonts w:ascii="Times New Roman" w:hAnsi="Times New Roman"/>
          <w:sz w:val="24"/>
          <w:szCs w:val="24"/>
        </w:rPr>
        <w:t xml:space="preserve"> company for </w:t>
      </w:r>
      <w:r>
        <w:rPr>
          <w:rFonts w:ascii="Times New Roman" w:hAnsi="Times New Roman"/>
          <w:sz w:val="24"/>
          <w:szCs w:val="24"/>
        </w:rPr>
        <w:t xml:space="preserve">unauthorized use of </w:t>
      </w:r>
      <w:r w:rsidRPr="00A83726">
        <w:rPr>
          <w:rFonts w:ascii="Times New Roman" w:hAnsi="Times New Roman"/>
          <w:sz w:val="24"/>
          <w:szCs w:val="24"/>
        </w:rPr>
        <w:t xml:space="preserve">the photo on sweatshirts, tee shirts and throw blankets.   Plaintiff seeks $20,000 in actual damages; </w:t>
      </w:r>
      <w:r>
        <w:rPr>
          <w:rFonts w:ascii="Times New Roman" w:hAnsi="Times New Roman"/>
          <w:sz w:val="24"/>
          <w:szCs w:val="24"/>
        </w:rPr>
        <w:t xml:space="preserve">under the </w:t>
      </w:r>
      <w:r w:rsidRPr="00B0015B">
        <w:rPr>
          <w:rFonts w:ascii="Times New Roman" w:eastAsia="Times New Roman" w:hAnsi="Times New Roman"/>
          <w:sz w:val="24"/>
          <w:szCs w:val="24"/>
        </w:rPr>
        <w:t>Digital Millennium Copyright Act</w:t>
      </w:r>
      <w:r>
        <w:rPr>
          <w:rFonts w:ascii="Times New Roman" w:eastAsia="Times New Roman" w:hAnsi="Times New Roman"/>
          <w:sz w:val="24"/>
          <w:szCs w:val="24"/>
        </w:rPr>
        <w:t xml:space="preserve"> the photographer must now show he placed a digital watermark or other “</w:t>
      </w:r>
      <w:r w:rsidRPr="00B0015B">
        <w:rPr>
          <w:rFonts w:ascii="Times New Roman" w:eastAsia="Times New Roman" w:hAnsi="Times New Roman"/>
          <w:sz w:val="24"/>
          <w:szCs w:val="24"/>
        </w:rPr>
        <w:t>copyright management informatio</w:t>
      </w:r>
      <w:r>
        <w:rPr>
          <w:rFonts w:ascii="Times New Roman" w:eastAsia="Times New Roman" w:hAnsi="Times New Roman"/>
          <w:sz w:val="24"/>
          <w:szCs w:val="24"/>
        </w:rPr>
        <w:t xml:space="preserve">n” on the photo; </w:t>
      </w:r>
      <w:r w:rsidRPr="00A83726">
        <w:rPr>
          <w:rFonts w:ascii="Times New Roman" w:hAnsi="Times New Roman"/>
          <w:sz w:val="24"/>
          <w:szCs w:val="24"/>
        </w:rPr>
        <w:t>has 30 days to file motion for damages and attorney fees</w:t>
      </w:r>
      <w:r>
        <w:rPr>
          <w:rFonts w:ascii="Times New Roman" w:hAnsi="Times New Roman"/>
          <w:sz w:val="24"/>
          <w:szCs w:val="24"/>
        </w:rPr>
        <w:t>,</w:t>
      </w:r>
      <w:r w:rsidRPr="00A83726">
        <w:rPr>
          <w:rFonts w:ascii="Times New Roman" w:hAnsi="Times New Roman"/>
          <w:sz w:val="24"/>
          <w:szCs w:val="24"/>
        </w:rPr>
        <w:t xml:space="preserve"> with evidence of licensing fees he has charged </w:t>
      </w:r>
      <w:r>
        <w:rPr>
          <w:rFonts w:ascii="Times New Roman" w:hAnsi="Times New Roman"/>
          <w:sz w:val="24"/>
          <w:szCs w:val="24"/>
        </w:rPr>
        <w:t xml:space="preserve">others </w:t>
      </w:r>
      <w:r w:rsidRPr="00A83726">
        <w:rPr>
          <w:rFonts w:ascii="Times New Roman" w:hAnsi="Times New Roman"/>
          <w:sz w:val="24"/>
          <w:szCs w:val="24"/>
        </w:rPr>
        <w:t xml:space="preserve">for use of his photos. </w:t>
      </w:r>
      <w:hyperlink r:id="rId302" w:history="1">
        <w:r w:rsidRPr="00A83726">
          <w:rPr>
            <w:rStyle w:val="Hyperlink"/>
            <w:sz w:val="24"/>
            <w:szCs w:val="24"/>
          </w:rPr>
          <w:t>https://public.fastcase.com/Wl%2B2t%2BeVuI35%2FN70vAMFZgQb9URzc30c5cCnjaV%2BywxWbGQAvCbjQKWk6ixjSD1I</w:t>
        </w:r>
      </w:hyperlink>
    </w:p>
    <w:p w14:paraId="5B9F9095" w14:textId="77777777" w:rsidR="00D94DC4" w:rsidRDefault="00D94DC4" w:rsidP="00D94DC4">
      <w:pPr>
        <w:spacing w:after="100" w:line="240" w:lineRule="auto"/>
        <w:jc w:val="both"/>
        <w:rPr>
          <w:rFonts w:ascii="Times New Roman" w:hAnsi="Times New Roman"/>
          <w:b/>
          <w:bCs/>
          <w:sz w:val="24"/>
          <w:szCs w:val="24"/>
        </w:rPr>
      </w:pPr>
      <w:r w:rsidRPr="00B0015B">
        <w:rPr>
          <w:rFonts w:ascii="Times New Roman" w:hAnsi="Times New Roman"/>
          <w:b/>
          <w:bCs/>
          <w:sz w:val="24"/>
          <w:szCs w:val="24"/>
        </w:rPr>
        <w:t>Legal Lessons Learned:</w:t>
      </w:r>
      <w:r>
        <w:rPr>
          <w:rFonts w:ascii="Times New Roman" w:hAnsi="Times New Roman"/>
          <w:b/>
          <w:bCs/>
          <w:sz w:val="24"/>
          <w:szCs w:val="24"/>
        </w:rPr>
        <w:t xml:space="preserve"> </w:t>
      </w:r>
      <w:proofErr w:type="gramStart"/>
      <w:r>
        <w:rPr>
          <w:rFonts w:ascii="Times New Roman" w:hAnsi="Times New Roman"/>
          <w:b/>
          <w:bCs/>
          <w:sz w:val="24"/>
          <w:szCs w:val="24"/>
        </w:rPr>
        <w:t>In order to</w:t>
      </w:r>
      <w:proofErr w:type="gramEnd"/>
      <w:r>
        <w:rPr>
          <w:rFonts w:ascii="Times New Roman" w:hAnsi="Times New Roman"/>
          <w:b/>
          <w:bCs/>
          <w:sz w:val="24"/>
          <w:szCs w:val="24"/>
        </w:rPr>
        <w:t xml:space="preserve"> help protect copyrighted photos, add a copyright watermark pattern to the photo.  </w:t>
      </w:r>
    </w:p>
    <w:p w14:paraId="137A8850" w14:textId="77777777" w:rsidR="00D94DC4" w:rsidRDefault="00D94DC4" w:rsidP="00D94DC4">
      <w:pPr>
        <w:pStyle w:val="Heading1"/>
        <w:ind w:left="720"/>
        <w:jc w:val="both"/>
        <w:rPr>
          <w:b w:val="0"/>
          <w:bCs w:val="0"/>
          <w:sz w:val="24"/>
          <w:szCs w:val="24"/>
        </w:rPr>
      </w:pPr>
      <w:r w:rsidRPr="00B0015B">
        <w:rPr>
          <w:b w:val="0"/>
          <w:bCs w:val="0"/>
          <w:sz w:val="24"/>
          <w:szCs w:val="24"/>
        </w:rPr>
        <w:t xml:space="preserve">Note: See this article, “Add A Copyright Watermark Pattern </w:t>
      </w:r>
      <w:proofErr w:type="gramStart"/>
      <w:r w:rsidRPr="00B0015B">
        <w:rPr>
          <w:b w:val="0"/>
          <w:bCs w:val="0"/>
          <w:sz w:val="24"/>
          <w:szCs w:val="24"/>
        </w:rPr>
        <w:t>To</w:t>
      </w:r>
      <w:proofErr w:type="gramEnd"/>
      <w:r w:rsidRPr="00B0015B">
        <w:rPr>
          <w:b w:val="0"/>
          <w:bCs w:val="0"/>
          <w:sz w:val="24"/>
          <w:szCs w:val="24"/>
        </w:rPr>
        <w:t xml:space="preserve"> </w:t>
      </w:r>
      <w:proofErr w:type="gramStart"/>
      <w:r w:rsidRPr="00B0015B">
        <w:rPr>
          <w:b w:val="0"/>
          <w:bCs w:val="0"/>
          <w:sz w:val="24"/>
          <w:szCs w:val="24"/>
        </w:rPr>
        <w:t>A</w:t>
      </w:r>
      <w:proofErr w:type="gramEnd"/>
      <w:r w:rsidRPr="00B0015B">
        <w:rPr>
          <w:b w:val="0"/>
          <w:bCs w:val="0"/>
          <w:sz w:val="24"/>
          <w:szCs w:val="24"/>
        </w:rPr>
        <w:t xml:space="preserve"> Photo </w:t>
      </w:r>
      <w:proofErr w:type="gramStart"/>
      <w:r w:rsidRPr="00B0015B">
        <w:rPr>
          <w:b w:val="0"/>
          <w:bCs w:val="0"/>
          <w:sz w:val="24"/>
          <w:szCs w:val="24"/>
        </w:rPr>
        <w:t>With</w:t>
      </w:r>
      <w:proofErr w:type="gramEnd"/>
      <w:r w:rsidRPr="00B0015B">
        <w:rPr>
          <w:b w:val="0"/>
          <w:bCs w:val="0"/>
          <w:sz w:val="24"/>
          <w:szCs w:val="24"/>
        </w:rPr>
        <w:t xml:space="preserve"> Photoshop,” </w:t>
      </w:r>
      <w:hyperlink r:id="rId303" w:history="1">
        <w:r w:rsidRPr="00931365">
          <w:rPr>
            <w:rStyle w:val="Hyperlink"/>
            <w:sz w:val="24"/>
            <w:szCs w:val="24"/>
          </w:rPr>
          <w:t>https://www.photoshopessentials.com/photo-effects/copyright/</w:t>
        </w:r>
      </w:hyperlink>
      <w:r w:rsidRPr="00B0015B">
        <w:rPr>
          <w:b w:val="0"/>
          <w:bCs w:val="0"/>
          <w:sz w:val="24"/>
          <w:szCs w:val="24"/>
        </w:rPr>
        <w:t xml:space="preserve"> </w:t>
      </w:r>
    </w:p>
    <w:p w14:paraId="22EA6C85" w14:textId="77777777" w:rsidR="00D94DC4" w:rsidRDefault="00D94DC4" w:rsidP="002B1283">
      <w:pPr>
        <w:rPr>
          <w:rFonts w:ascii="Arial Black" w:hAnsi="Arial Black"/>
          <w:b/>
          <w:sz w:val="24"/>
          <w:szCs w:val="24"/>
        </w:rPr>
      </w:pPr>
    </w:p>
    <w:p w14:paraId="40B34CC8" w14:textId="6E5DE36B" w:rsidR="00D94DC4" w:rsidRDefault="00D94DC4" w:rsidP="002B1283">
      <w:pPr>
        <w:rPr>
          <w:rFonts w:ascii="Arial Black" w:hAnsi="Arial Black"/>
          <w:b/>
          <w:sz w:val="24"/>
          <w:szCs w:val="24"/>
        </w:rPr>
      </w:pPr>
      <w:r>
        <w:rPr>
          <w:rFonts w:ascii="Arial Black" w:hAnsi="Arial Black"/>
          <w:b/>
          <w:sz w:val="24"/>
          <w:szCs w:val="24"/>
        </w:rPr>
        <w:t>1-54</w:t>
      </w:r>
    </w:p>
    <w:p w14:paraId="662F2BA4" w14:textId="77777777" w:rsidR="00D94DC4" w:rsidRDefault="00D94DC4" w:rsidP="00D94DC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OR: FALSE 9-1-1 CALLS – FOUR CALLS, FEMALE DEF. CLAIMED ANOTHER FEMALE WAS REPEATEDLY STALKING HER – “SCREENSHOTS” GOOGLE MAPS PROVED SHE LIED</w:t>
      </w:r>
    </w:p>
    <w:p w14:paraId="3AAA2D50" w14:textId="77777777" w:rsidR="00D94DC4" w:rsidRDefault="00D94DC4" w:rsidP="00D94DC4">
      <w:pPr>
        <w:spacing w:after="0" w:line="240" w:lineRule="auto"/>
        <w:rPr>
          <w:rFonts w:ascii="Times New Roman" w:eastAsia="Times New Roman" w:hAnsi="Times New Roman"/>
          <w:sz w:val="27"/>
          <w:szCs w:val="27"/>
        </w:rPr>
      </w:pPr>
      <w:r w:rsidRPr="00B41A2A">
        <w:rPr>
          <w:rFonts w:ascii="Times New Roman" w:eastAsia="Times New Roman" w:hAnsi="Times New Roman"/>
          <w:sz w:val="24"/>
          <w:szCs w:val="24"/>
        </w:rPr>
        <w:t xml:space="preserve">On May 28, 2020, in </w:t>
      </w:r>
      <w:r w:rsidRPr="00B41A2A">
        <w:rPr>
          <w:rFonts w:ascii="Times New Roman" w:eastAsia="Times New Roman" w:hAnsi="Times New Roman"/>
          <w:sz w:val="24"/>
          <w:szCs w:val="24"/>
          <w:u w:val="single"/>
        </w:rPr>
        <w:t>State of Oregon v. H.D.E</w:t>
      </w:r>
      <w:r w:rsidRPr="00B41A2A">
        <w:rPr>
          <w:rFonts w:ascii="Times New Roman" w:eastAsia="Times New Roman" w:hAnsi="Times New Roman"/>
          <w:sz w:val="24"/>
          <w:szCs w:val="24"/>
        </w:rPr>
        <w:t xml:space="preserve">., 304 Or App 375, the Court of Appeals of the State of Oregon held (3 to 0) upheld her convictions, holding that trial judge properly allowed the screenshots into evidence, and State proved that claims by </w:t>
      </w:r>
      <w:proofErr w:type="gramStart"/>
      <w:r w:rsidRPr="00B41A2A">
        <w:rPr>
          <w:rFonts w:ascii="Times New Roman" w:eastAsia="Times New Roman" w:hAnsi="Times New Roman"/>
          <w:sz w:val="24"/>
          <w:szCs w:val="24"/>
        </w:rPr>
        <w:t>defendant</w:t>
      </w:r>
      <w:proofErr w:type="gramEnd"/>
      <w:r w:rsidRPr="00B41A2A">
        <w:rPr>
          <w:rFonts w:ascii="Times New Roman" w:eastAsia="Times New Roman" w:hAnsi="Times New Roman"/>
          <w:sz w:val="24"/>
          <w:szCs w:val="24"/>
        </w:rPr>
        <w:t xml:space="preserve"> that Ms. </w:t>
      </w:r>
      <w:proofErr w:type="gramStart"/>
      <w:r w:rsidRPr="00B41A2A">
        <w:rPr>
          <w:rFonts w:ascii="Times New Roman" w:eastAsia="Times New Roman" w:hAnsi="Times New Roman"/>
          <w:sz w:val="24"/>
          <w:szCs w:val="24"/>
        </w:rPr>
        <w:t>Garcia was</w:t>
      </w:r>
      <w:proofErr w:type="gramEnd"/>
      <w:r w:rsidRPr="00B41A2A">
        <w:rPr>
          <w:rFonts w:ascii="Times New Roman" w:eastAsia="Times New Roman" w:hAnsi="Times New Roman"/>
          <w:sz w:val="24"/>
          <w:szCs w:val="24"/>
        </w:rPr>
        <w:t xml:space="preserve"> stalking her were false.</w:t>
      </w:r>
      <w:r>
        <w:rPr>
          <w:rFonts w:ascii="On Times New Roman" w:eastAsia="Times New Roman" w:hAnsi="On Times New Roman"/>
          <w:sz w:val="24"/>
          <w:szCs w:val="24"/>
        </w:rPr>
        <w:t xml:space="preserve">  </w:t>
      </w:r>
      <w:hyperlink r:id="rId304" w:history="1">
        <w:r w:rsidRPr="003826A8">
          <w:rPr>
            <w:rStyle w:val="Hyperlink"/>
            <w:sz w:val="27"/>
            <w:szCs w:val="27"/>
          </w:rPr>
          <w:t>https://cdm17027.contentdm.oclc.org/digital/collection/p17027coll5/id/26716/rec/1</w:t>
        </w:r>
      </w:hyperlink>
      <w:r>
        <w:rPr>
          <w:rFonts w:ascii="Times New Roman" w:eastAsia="Times New Roman" w:hAnsi="Times New Roman"/>
          <w:sz w:val="27"/>
          <w:szCs w:val="27"/>
        </w:rPr>
        <w:t xml:space="preserve"> </w:t>
      </w:r>
    </w:p>
    <w:p w14:paraId="47AF9288" w14:textId="77777777" w:rsidR="00ED66A0" w:rsidRDefault="00ED66A0" w:rsidP="00D94DC4">
      <w:pPr>
        <w:spacing w:after="0" w:line="240" w:lineRule="auto"/>
        <w:jc w:val="both"/>
        <w:rPr>
          <w:rFonts w:ascii="Times New Roman" w:eastAsia="Times New Roman" w:hAnsi="Times New Roman"/>
          <w:b/>
          <w:bCs/>
          <w:sz w:val="24"/>
          <w:szCs w:val="24"/>
        </w:rPr>
      </w:pPr>
    </w:p>
    <w:p w14:paraId="18D8D20C" w14:textId="510BAB18" w:rsidR="00D94DC4" w:rsidRDefault="00D94DC4" w:rsidP="00D94DC4">
      <w:pPr>
        <w:spacing w:after="0" w:line="240" w:lineRule="auto"/>
        <w:jc w:val="both"/>
        <w:rPr>
          <w:rFonts w:ascii="Times New Roman" w:eastAsia="Times New Roman" w:hAnsi="Times New Roman"/>
          <w:b/>
          <w:bCs/>
          <w:sz w:val="24"/>
          <w:szCs w:val="24"/>
        </w:rPr>
      </w:pPr>
      <w:r w:rsidRPr="00585AB9">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New technology, such as cell phone screenshots, can be powerful proof in a trial. </w:t>
      </w:r>
    </w:p>
    <w:p w14:paraId="2A6B01C2" w14:textId="77777777" w:rsidR="00D94DC4" w:rsidRDefault="00D94DC4" w:rsidP="002B1283">
      <w:pPr>
        <w:rPr>
          <w:rFonts w:ascii="Arial Black" w:hAnsi="Arial Black"/>
          <w:b/>
          <w:sz w:val="24"/>
          <w:szCs w:val="24"/>
        </w:rPr>
      </w:pPr>
    </w:p>
    <w:p w14:paraId="3297C883" w14:textId="77777777" w:rsidR="00D94DC4" w:rsidRDefault="00D94DC4" w:rsidP="002B1283">
      <w:pPr>
        <w:rPr>
          <w:rFonts w:ascii="Arial Black" w:hAnsi="Arial Black"/>
          <w:b/>
          <w:sz w:val="24"/>
          <w:szCs w:val="24"/>
        </w:rPr>
      </w:pPr>
    </w:p>
    <w:p w14:paraId="4528C55A" w14:textId="77777777" w:rsidR="00D94DC4" w:rsidRDefault="00D94DC4" w:rsidP="002B1283">
      <w:pPr>
        <w:rPr>
          <w:rFonts w:ascii="Arial Black" w:hAnsi="Arial Black"/>
          <w:b/>
          <w:sz w:val="24"/>
          <w:szCs w:val="24"/>
        </w:rPr>
      </w:pPr>
    </w:p>
    <w:p w14:paraId="2A667339" w14:textId="03F4107A" w:rsidR="00D94DC4" w:rsidRDefault="00D94DC4" w:rsidP="002B1283">
      <w:pPr>
        <w:rPr>
          <w:rFonts w:ascii="Arial Black" w:hAnsi="Arial Black"/>
          <w:b/>
          <w:sz w:val="24"/>
          <w:szCs w:val="24"/>
        </w:rPr>
      </w:pPr>
      <w:r>
        <w:rPr>
          <w:rFonts w:ascii="Arial Black" w:hAnsi="Arial Black"/>
          <w:b/>
          <w:sz w:val="24"/>
          <w:szCs w:val="24"/>
        </w:rPr>
        <w:t>1-53</w:t>
      </w:r>
    </w:p>
    <w:p w14:paraId="14270DF9" w14:textId="77777777" w:rsidR="00D94DC4" w:rsidRDefault="00D94DC4" w:rsidP="00D94DC4">
      <w:pPr>
        <w:spacing w:before="100" w:beforeAutospacing="1" w:after="100" w:afterAutospacing="1" w:line="240" w:lineRule="auto"/>
        <w:jc w:val="both"/>
        <w:rPr>
          <w:rFonts w:ascii="Arial Black" w:eastAsia="Times New Roman" w:hAnsi="Arial Black"/>
          <w:b/>
          <w:bCs/>
          <w:sz w:val="28"/>
          <w:szCs w:val="28"/>
        </w:rPr>
      </w:pPr>
      <w:r w:rsidRPr="00FC7706">
        <w:rPr>
          <w:rFonts w:ascii="Arial Black" w:eastAsia="Times New Roman" w:hAnsi="Arial Black"/>
          <w:b/>
          <w:bCs/>
          <w:sz w:val="28"/>
          <w:szCs w:val="28"/>
        </w:rPr>
        <w:lastRenderedPageBreak/>
        <w:t xml:space="preserve">IA: </w:t>
      </w:r>
      <w:r>
        <w:rPr>
          <w:rFonts w:ascii="Arial Black" w:eastAsia="Times New Roman" w:hAnsi="Arial Black"/>
          <w:b/>
          <w:bCs/>
          <w:sz w:val="28"/>
          <w:szCs w:val="28"/>
        </w:rPr>
        <w:t>FF ARSONIST – SEARCH WARRANTS GPS TRACKER / CELL PHONE LOCATIONS – PLEA DEAL, COOPERATE, NO OTHER CHARGES - BUT INDICTED 4 MORE ARSONS, DISMISSED</w:t>
      </w:r>
    </w:p>
    <w:p w14:paraId="394FBFC8" w14:textId="77777777" w:rsidR="00D94DC4" w:rsidRDefault="00D94DC4" w:rsidP="00D94DC4">
      <w:pPr>
        <w:spacing w:before="100" w:beforeAutospacing="1" w:after="100" w:afterAutospacing="1" w:line="240" w:lineRule="auto"/>
        <w:rPr>
          <w:rFonts w:ascii="Times New Roman" w:hAnsi="Times New Roman"/>
          <w:sz w:val="24"/>
          <w:szCs w:val="24"/>
        </w:rPr>
      </w:pPr>
      <w:r w:rsidRPr="00F77985">
        <w:rPr>
          <w:rFonts w:ascii="Times New Roman" w:hAnsi="Times New Roman"/>
          <w:sz w:val="24"/>
          <w:szCs w:val="24"/>
        </w:rPr>
        <w:t xml:space="preserve">On May 15, 2020, in </w:t>
      </w:r>
      <w:r w:rsidRPr="00F77985">
        <w:rPr>
          <w:rFonts w:ascii="Times New Roman" w:hAnsi="Times New Roman"/>
          <w:sz w:val="24"/>
          <w:szCs w:val="24"/>
          <w:u w:val="single"/>
        </w:rPr>
        <w:t>State of Iowa v. Chance Ryan Beres</w:t>
      </w:r>
      <w:r>
        <w:rPr>
          <w:rFonts w:ascii="Times New Roman" w:hAnsi="Times New Roman"/>
          <w:sz w:val="24"/>
          <w:szCs w:val="24"/>
        </w:rPr>
        <w:t xml:space="preserve">, the Iowa Supreme Court held (7 to 0) that the State is bound by its plea </w:t>
      </w:r>
      <w:proofErr w:type="gramStart"/>
      <w:r>
        <w:rPr>
          <w:rFonts w:ascii="Times New Roman" w:hAnsi="Times New Roman"/>
          <w:sz w:val="24"/>
          <w:szCs w:val="24"/>
        </w:rPr>
        <w:t>agreement, and</w:t>
      </w:r>
      <w:proofErr w:type="gramEnd"/>
      <w:r>
        <w:rPr>
          <w:rFonts w:ascii="Times New Roman" w:hAnsi="Times New Roman"/>
          <w:sz w:val="24"/>
          <w:szCs w:val="24"/>
        </w:rPr>
        <w:t xml:space="preserve"> cannot bring four additional arson charges. </w:t>
      </w:r>
      <w:hyperlink r:id="rId305" w:history="1">
        <w:r w:rsidRPr="00250842">
          <w:rPr>
            <w:rStyle w:val="Hyperlink"/>
            <w:sz w:val="24"/>
            <w:szCs w:val="24"/>
          </w:rPr>
          <w:t>https://www.iowacourts.gov/courtcases/9747/embed/SupremeCourtOpinion</w:t>
        </w:r>
      </w:hyperlink>
      <w:r>
        <w:rPr>
          <w:rFonts w:ascii="Times New Roman" w:hAnsi="Times New Roman"/>
          <w:sz w:val="24"/>
          <w:szCs w:val="24"/>
        </w:rPr>
        <w:t xml:space="preserve"> </w:t>
      </w:r>
    </w:p>
    <w:p w14:paraId="78B1AED6" w14:textId="77777777" w:rsidR="00D94DC4" w:rsidRPr="00F77985" w:rsidRDefault="00D94DC4" w:rsidP="00D94DC4">
      <w:pPr>
        <w:spacing w:before="100" w:beforeAutospacing="1" w:after="100" w:afterAutospacing="1" w:line="240" w:lineRule="auto"/>
        <w:jc w:val="both"/>
        <w:rPr>
          <w:rFonts w:ascii="Times New Roman" w:hAnsi="Times New Roman"/>
          <w:b/>
          <w:bCs/>
          <w:sz w:val="24"/>
          <w:szCs w:val="24"/>
        </w:rPr>
      </w:pPr>
      <w:r w:rsidRPr="00F77985">
        <w:rPr>
          <w:rFonts w:ascii="Times New Roman" w:hAnsi="Times New Roman"/>
          <w:b/>
          <w:bCs/>
          <w:sz w:val="24"/>
          <w:szCs w:val="24"/>
        </w:rPr>
        <w:t>Legal Lessons Learned:</w:t>
      </w:r>
      <w:r>
        <w:rPr>
          <w:rFonts w:ascii="Times New Roman" w:hAnsi="Times New Roman"/>
          <w:b/>
          <w:bCs/>
          <w:sz w:val="24"/>
          <w:szCs w:val="24"/>
        </w:rPr>
        <w:t xml:space="preserve"> Prosecutors should not agree to a plea agreement until the defendant has been thoroughly interviewed, </w:t>
      </w:r>
      <w:proofErr w:type="gramStart"/>
      <w:r>
        <w:rPr>
          <w:rFonts w:ascii="Times New Roman" w:hAnsi="Times New Roman"/>
          <w:b/>
          <w:bCs/>
          <w:sz w:val="24"/>
          <w:szCs w:val="24"/>
        </w:rPr>
        <w:t>and also</w:t>
      </w:r>
      <w:proofErr w:type="gramEnd"/>
      <w:r>
        <w:rPr>
          <w:rFonts w:ascii="Times New Roman" w:hAnsi="Times New Roman"/>
          <w:b/>
          <w:bCs/>
          <w:sz w:val="24"/>
          <w:szCs w:val="24"/>
        </w:rPr>
        <w:t xml:space="preserve"> given a complete, written statement about all his arsons.</w:t>
      </w:r>
    </w:p>
    <w:p w14:paraId="59080C2D" w14:textId="77777777" w:rsidR="00D94DC4" w:rsidRDefault="00D94DC4" w:rsidP="002B1283">
      <w:pPr>
        <w:rPr>
          <w:rFonts w:ascii="Arial Black" w:hAnsi="Arial Black"/>
          <w:b/>
          <w:sz w:val="24"/>
          <w:szCs w:val="24"/>
        </w:rPr>
      </w:pPr>
    </w:p>
    <w:p w14:paraId="28F4E453" w14:textId="77777777" w:rsidR="00D94DC4" w:rsidRDefault="00D94DC4" w:rsidP="002B1283">
      <w:pPr>
        <w:rPr>
          <w:rFonts w:ascii="Arial Black" w:hAnsi="Arial Black"/>
          <w:b/>
          <w:sz w:val="24"/>
          <w:szCs w:val="24"/>
        </w:rPr>
      </w:pPr>
    </w:p>
    <w:p w14:paraId="5DE8CC03" w14:textId="24C80858" w:rsidR="00D94DC4" w:rsidRDefault="00D94DC4" w:rsidP="002B1283">
      <w:pPr>
        <w:rPr>
          <w:rFonts w:ascii="Arial Black" w:hAnsi="Arial Black"/>
          <w:b/>
          <w:sz w:val="24"/>
          <w:szCs w:val="24"/>
        </w:rPr>
      </w:pPr>
      <w:r>
        <w:rPr>
          <w:rFonts w:ascii="Arial Black" w:hAnsi="Arial Black"/>
          <w:b/>
          <w:sz w:val="24"/>
          <w:szCs w:val="24"/>
        </w:rPr>
        <w:t>1-52</w:t>
      </w:r>
    </w:p>
    <w:p w14:paraId="7223CCAC" w14:textId="77777777" w:rsidR="00D94DC4" w:rsidRPr="005B2EA2" w:rsidRDefault="00D94DC4" w:rsidP="00D94DC4">
      <w:pPr>
        <w:spacing w:before="100" w:beforeAutospacing="1" w:after="100" w:afterAutospacing="1" w:line="240" w:lineRule="auto"/>
        <w:rPr>
          <w:rFonts w:ascii="Arial Black" w:eastAsia="Times New Roman" w:hAnsi="Arial Black"/>
          <w:b/>
          <w:bCs/>
          <w:sz w:val="28"/>
          <w:szCs w:val="28"/>
        </w:rPr>
      </w:pPr>
      <w:bookmarkStart w:id="20" w:name="_Hlk69187208"/>
      <w:r w:rsidRPr="005B2EA2">
        <w:rPr>
          <w:rFonts w:ascii="Arial Black" w:eastAsia="Times New Roman" w:hAnsi="Arial Black"/>
          <w:b/>
          <w:bCs/>
          <w:sz w:val="28"/>
          <w:szCs w:val="28"/>
        </w:rPr>
        <w:t>KS:</w:t>
      </w:r>
      <w:r>
        <w:rPr>
          <w:rFonts w:ascii="Arial Black" w:eastAsia="Times New Roman" w:hAnsi="Arial Black"/>
          <w:b/>
          <w:bCs/>
          <w:sz w:val="28"/>
          <w:szCs w:val="28"/>
        </w:rPr>
        <w:t xml:space="preserve"> ARSON - 71-YR-OLD WOMAN, HOUSE FORECLOSURE – ARSON INVESTIGATOR INTERVIEWED HER 2-HOURS IN HOSPITAL – MIRANDA WARNING NOT REQUIRED, NOT IN CUSTODY</w:t>
      </w:r>
    </w:p>
    <w:bookmarkEnd w:id="20"/>
    <w:p w14:paraId="626FCB9B" w14:textId="77777777" w:rsidR="00D94DC4" w:rsidRDefault="00D94DC4" w:rsidP="00D94DC4">
      <w:pPr>
        <w:spacing w:before="100" w:beforeAutospacing="1" w:after="100" w:afterAutospacing="1" w:line="240" w:lineRule="auto"/>
        <w:rPr>
          <w:rFonts w:ascii="Times New Roman" w:hAnsi="Times New Roman"/>
          <w:sz w:val="24"/>
          <w:szCs w:val="24"/>
        </w:rPr>
      </w:pPr>
      <w:r w:rsidRPr="00F53109">
        <w:rPr>
          <w:rFonts w:ascii="Times New Roman" w:eastAsia="Times New Roman" w:hAnsi="Times New Roman"/>
          <w:sz w:val="24"/>
          <w:szCs w:val="24"/>
        </w:rPr>
        <w:t xml:space="preserve">On May 8, 2020, in </w:t>
      </w:r>
      <w:r w:rsidRPr="00F53109">
        <w:rPr>
          <w:rFonts w:ascii="Times New Roman" w:eastAsia="Times New Roman" w:hAnsi="Times New Roman"/>
          <w:sz w:val="24"/>
          <w:szCs w:val="24"/>
          <w:u w:val="single"/>
        </w:rPr>
        <w:t>State of Kansas v. Patricia E. Sinclair</w:t>
      </w:r>
      <w:r>
        <w:rPr>
          <w:rFonts w:ascii="Times New Roman" w:eastAsia="Times New Roman" w:hAnsi="Times New Roman"/>
          <w:sz w:val="24"/>
          <w:szCs w:val="24"/>
        </w:rPr>
        <w:t xml:space="preserve">, the Court of Appeals of State of Kansas, held (3 to 0) in unpublished opinion, that trial judge properly denied her motion to suppress the </w:t>
      </w:r>
      <w:proofErr w:type="gramStart"/>
      <w:r>
        <w:rPr>
          <w:rFonts w:ascii="Times New Roman" w:eastAsia="Times New Roman" w:hAnsi="Times New Roman"/>
          <w:sz w:val="24"/>
          <w:szCs w:val="24"/>
        </w:rPr>
        <w:t>tape recorded</w:t>
      </w:r>
      <w:proofErr w:type="gramEnd"/>
      <w:r>
        <w:rPr>
          <w:rFonts w:ascii="Times New Roman" w:eastAsia="Times New Roman" w:hAnsi="Times New Roman"/>
          <w:sz w:val="24"/>
          <w:szCs w:val="24"/>
        </w:rPr>
        <w:t xml:space="preserve"> interview.  “</w:t>
      </w:r>
      <w:r w:rsidRPr="00F53109">
        <w:rPr>
          <w:rFonts w:ascii="Times New Roman" w:hAnsi="Times New Roman"/>
          <w:sz w:val="24"/>
          <w:szCs w:val="24"/>
        </w:rPr>
        <w:t>Thus, looking at the totality of the circumstances, we find Sinclair's interview was not a custodial interrogation</w:t>
      </w:r>
      <w:r>
        <w:rPr>
          <w:rFonts w:ascii="Times New Roman" w:hAnsi="Times New Roman"/>
          <w:sz w:val="24"/>
          <w:szCs w:val="24"/>
        </w:rPr>
        <w:t xml:space="preserve">.”  </w:t>
      </w:r>
      <w:bookmarkStart w:id="21" w:name="_Hlk69187300"/>
      <w:r w:rsidR="000F483A">
        <w:fldChar w:fldCharType="begin"/>
      </w:r>
      <w:r w:rsidR="000F483A">
        <w:instrText xml:space="preserve"> HYPERLINK "https://www.courtlistener.com/pdf/2020/05/08/state_v._sinclair.pdf" </w:instrText>
      </w:r>
      <w:r w:rsidR="000F483A">
        <w:fldChar w:fldCharType="separate"/>
      </w:r>
      <w:r w:rsidRPr="00B56DB8">
        <w:rPr>
          <w:rStyle w:val="Hyperlink"/>
          <w:sz w:val="24"/>
          <w:szCs w:val="24"/>
        </w:rPr>
        <w:t>https://www.courtlistener.com/pdf/2020/05/08/state_v._sinclair.pdf</w:t>
      </w:r>
      <w:r w:rsidR="000F483A">
        <w:rPr>
          <w:rStyle w:val="Hyperlink"/>
          <w:sz w:val="24"/>
          <w:szCs w:val="24"/>
        </w:rPr>
        <w:fldChar w:fldCharType="end"/>
      </w:r>
      <w:r>
        <w:rPr>
          <w:rFonts w:ascii="Times New Roman" w:hAnsi="Times New Roman"/>
          <w:sz w:val="24"/>
          <w:szCs w:val="24"/>
        </w:rPr>
        <w:t xml:space="preserve"> </w:t>
      </w:r>
    </w:p>
    <w:bookmarkEnd w:id="21"/>
    <w:p w14:paraId="68F48E30" w14:textId="77777777" w:rsidR="00D94DC4" w:rsidRPr="006627F5" w:rsidRDefault="00D94DC4" w:rsidP="00D94DC4">
      <w:pPr>
        <w:spacing w:before="100" w:beforeAutospacing="1" w:after="100" w:afterAutospacing="1" w:line="240" w:lineRule="auto"/>
        <w:rPr>
          <w:rFonts w:ascii="Times New Roman" w:hAnsi="Times New Roman"/>
          <w:b/>
          <w:bCs/>
          <w:sz w:val="24"/>
          <w:szCs w:val="24"/>
        </w:rPr>
      </w:pPr>
      <w:r w:rsidRPr="006627F5">
        <w:rPr>
          <w:rFonts w:ascii="Times New Roman" w:hAnsi="Times New Roman"/>
          <w:b/>
          <w:bCs/>
          <w:sz w:val="24"/>
          <w:szCs w:val="24"/>
        </w:rPr>
        <w:t>Legal Lessons Learned:</w:t>
      </w:r>
      <w:r>
        <w:rPr>
          <w:rFonts w:ascii="Times New Roman" w:hAnsi="Times New Roman"/>
          <w:b/>
          <w:bCs/>
          <w:sz w:val="24"/>
          <w:szCs w:val="24"/>
        </w:rPr>
        <w:t xml:space="preserve"> Non-custodial interviews do not require a </w:t>
      </w:r>
      <w:r w:rsidRPr="006627F5">
        <w:rPr>
          <w:rFonts w:ascii="Times New Roman" w:hAnsi="Times New Roman"/>
          <w:b/>
          <w:bCs/>
          <w:i/>
          <w:iCs/>
          <w:sz w:val="24"/>
          <w:szCs w:val="24"/>
        </w:rPr>
        <w:t>Miranda</w:t>
      </w:r>
      <w:r>
        <w:rPr>
          <w:rFonts w:ascii="Times New Roman" w:hAnsi="Times New Roman"/>
          <w:b/>
          <w:bCs/>
          <w:sz w:val="24"/>
          <w:szCs w:val="24"/>
        </w:rPr>
        <w:t xml:space="preserve"> warning.  One technique is to start interview by informing person that it is an “investigative interview</w:t>
      </w:r>
      <w:proofErr w:type="gramStart"/>
      <w:r>
        <w:rPr>
          <w:rFonts w:ascii="Times New Roman" w:hAnsi="Times New Roman"/>
          <w:b/>
          <w:bCs/>
          <w:sz w:val="24"/>
          <w:szCs w:val="24"/>
        </w:rPr>
        <w:t>”</w:t>
      </w:r>
      <w:proofErr w:type="gramEnd"/>
      <w:r>
        <w:rPr>
          <w:rFonts w:ascii="Times New Roman" w:hAnsi="Times New Roman"/>
          <w:b/>
          <w:bCs/>
          <w:sz w:val="24"/>
          <w:szCs w:val="24"/>
        </w:rPr>
        <w:t xml:space="preserve"> and they are not in custody.</w:t>
      </w:r>
    </w:p>
    <w:p w14:paraId="374F6AA8" w14:textId="77777777" w:rsidR="00D94DC4" w:rsidRDefault="00D94DC4" w:rsidP="002B1283">
      <w:pPr>
        <w:rPr>
          <w:rFonts w:ascii="Arial Black" w:hAnsi="Arial Black"/>
          <w:b/>
          <w:sz w:val="24"/>
          <w:szCs w:val="24"/>
        </w:rPr>
      </w:pPr>
    </w:p>
    <w:p w14:paraId="424ABB80" w14:textId="77777777" w:rsidR="00D94DC4" w:rsidRDefault="00D94DC4" w:rsidP="002B1283">
      <w:pPr>
        <w:rPr>
          <w:rFonts w:ascii="Arial Black" w:hAnsi="Arial Black"/>
          <w:b/>
          <w:sz w:val="24"/>
          <w:szCs w:val="24"/>
        </w:rPr>
      </w:pPr>
    </w:p>
    <w:p w14:paraId="19000881" w14:textId="7CBB8E30" w:rsidR="00D94DC4" w:rsidRDefault="00D94DC4" w:rsidP="002B1283">
      <w:pPr>
        <w:rPr>
          <w:rFonts w:ascii="Arial Black" w:hAnsi="Arial Black"/>
          <w:b/>
          <w:sz w:val="24"/>
          <w:szCs w:val="24"/>
        </w:rPr>
      </w:pPr>
      <w:r>
        <w:rPr>
          <w:rFonts w:ascii="Arial Black" w:hAnsi="Arial Black"/>
          <w:b/>
          <w:sz w:val="24"/>
          <w:szCs w:val="24"/>
        </w:rPr>
        <w:t>1-51</w:t>
      </w:r>
    </w:p>
    <w:p w14:paraId="46DA5E2E" w14:textId="77777777" w:rsidR="00D94DC4" w:rsidRDefault="00D94DC4" w:rsidP="00D94DC4">
      <w:pPr>
        <w:spacing w:before="100" w:beforeAutospacing="1" w:after="100" w:afterAutospacing="1" w:line="240" w:lineRule="auto"/>
        <w:jc w:val="both"/>
        <w:rPr>
          <w:rFonts w:ascii="Arial Black" w:eastAsia="Times New Roman" w:hAnsi="Arial Black"/>
          <w:b/>
          <w:bCs/>
          <w:sz w:val="28"/>
          <w:szCs w:val="28"/>
        </w:rPr>
      </w:pPr>
      <w:r w:rsidRPr="002A7FBD">
        <w:rPr>
          <w:rFonts w:ascii="Arial Black" w:eastAsia="Times New Roman" w:hAnsi="Arial Black"/>
          <w:b/>
          <w:bCs/>
          <w:sz w:val="28"/>
          <w:szCs w:val="28"/>
        </w:rPr>
        <w:t>U.S.</w:t>
      </w:r>
      <w:r>
        <w:rPr>
          <w:rFonts w:ascii="Arial Black" w:eastAsia="Times New Roman" w:hAnsi="Arial Black"/>
          <w:b/>
          <w:bCs/>
          <w:sz w:val="28"/>
          <w:szCs w:val="28"/>
        </w:rPr>
        <w:t xml:space="preserve"> SUP. CT: NJ GOV STAFF SHUT DOWN LANES GW BRIDGE – POL. “BACKBACK” MAYOR FT. LEE – FED. CONVICTIONS </w:t>
      </w:r>
      <w:r w:rsidRPr="00D13D07">
        <w:rPr>
          <w:rFonts w:ascii="Arial Black" w:eastAsia="Times New Roman" w:hAnsi="Arial Black"/>
          <w:sz w:val="28"/>
          <w:szCs w:val="28"/>
        </w:rPr>
        <w:t>PROGRAM FRAUD</w:t>
      </w:r>
      <w:r>
        <w:rPr>
          <w:rFonts w:ascii="Arial Black" w:eastAsia="Times New Roman" w:hAnsi="Arial Black"/>
          <w:sz w:val="28"/>
          <w:szCs w:val="28"/>
        </w:rPr>
        <w:t xml:space="preserve"> &amp; </w:t>
      </w:r>
      <w:r w:rsidRPr="00D13D07">
        <w:rPr>
          <w:rFonts w:ascii="Arial Black" w:eastAsia="Times New Roman" w:hAnsi="Arial Black"/>
          <w:sz w:val="28"/>
          <w:szCs w:val="28"/>
        </w:rPr>
        <w:t>WIRE FRAUD</w:t>
      </w:r>
      <w:r>
        <w:rPr>
          <w:rFonts w:ascii="Arial Black" w:eastAsia="Times New Roman" w:hAnsi="Arial Black"/>
          <w:sz w:val="28"/>
          <w:szCs w:val="28"/>
        </w:rPr>
        <w:t xml:space="preserve"> REVERSED  </w:t>
      </w:r>
      <w:r>
        <w:rPr>
          <w:rFonts w:ascii="Arial Black" w:eastAsia="Times New Roman" w:hAnsi="Arial Black"/>
          <w:b/>
          <w:bCs/>
          <w:sz w:val="28"/>
          <w:szCs w:val="28"/>
        </w:rPr>
        <w:t xml:space="preserve"> </w:t>
      </w:r>
    </w:p>
    <w:p w14:paraId="425BEA2B" w14:textId="77777777" w:rsidR="00D94DC4" w:rsidRPr="009920B4" w:rsidRDefault="00D94DC4" w:rsidP="00D94DC4">
      <w:pPr>
        <w:spacing w:before="100" w:beforeAutospacing="1" w:after="100" w:afterAutospacing="1" w:line="240" w:lineRule="auto"/>
        <w:jc w:val="both"/>
        <w:rPr>
          <w:rFonts w:ascii="Times New Roman" w:eastAsia="Times New Roman" w:hAnsi="Times New Roman"/>
          <w:sz w:val="24"/>
          <w:szCs w:val="24"/>
        </w:rPr>
      </w:pPr>
      <w:r w:rsidRPr="009920B4">
        <w:rPr>
          <w:rFonts w:ascii="Times New Roman" w:eastAsia="Times New Roman" w:hAnsi="Times New Roman"/>
          <w:sz w:val="24"/>
          <w:szCs w:val="24"/>
        </w:rPr>
        <w:t xml:space="preserve">On May 7, 2020, in </w:t>
      </w:r>
      <w:r w:rsidRPr="009920B4">
        <w:rPr>
          <w:rFonts w:ascii="Times New Roman" w:eastAsia="Times New Roman" w:hAnsi="Times New Roman"/>
          <w:sz w:val="24"/>
          <w:szCs w:val="24"/>
          <w:u w:val="single"/>
        </w:rPr>
        <w:t>Bridget Anne Kelly v. United States, et al</w:t>
      </w:r>
      <w:r w:rsidRPr="009920B4">
        <w:rPr>
          <w:rFonts w:ascii="Times New Roman" w:eastAsia="Times New Roman" w:hAnsi="Times New Roman"/>
          <w:sz w:val="24"/>
          <w:szCs w:val="24"/>
        </w:rPr>
        <w:t>., the U.S. Supreme Court (9 to 0) held that convictions of Ms. Kelly</w:t>
      </w:r>
      <w:r>
        <w:rPr>
          <w:rFonts w:ascii="Times New Roman" w:eastAsia="Times New Roman" w:hAnsi="Times New Roman"/>
          <w:sz w:val="24"/>
          <w:szCs w:val="24"/>
        </w:rPr>
        <w:t xml:space="preserve">, Deputy Chief of Staff of New Jersey Governor Chris Christie, </w:t>
      </w:r>
      <w:r w:rsidRPr="009920B4">
        <w:rPr>
          <w:rFonts w:ascii="Times New Roman" w:eastAsia="Times New Roman" w:hAnsi="Times New Roman"/>
          <w:sz w:val="24"/>
          <w:szCs w:val="24"/>
        </w:rPr>
        <w:t xml:space="preserve">and </w:t>
      </w:r>
      <w:r w:rsidRPr="009920B4">
        <w:rPr>
          <w:rFonts w:ascii="Times New Roman" w:hAnsi="Times New Roman"/>
          <w:sz w:val="24"/>
          <w:szCs w:val="24"/>
        </w:rPr>
        <w:t>William Baroni</w:t>
      </w:r>
      <w:r>
        <w:rPr>
          <w:rFonts w:ascii="Times New Roman" w:hAnsi="Times New Roman"/>
          <w:sz w:val="24"/>
          <w:szCs w:val="24"/>
        </w:rPr>
        <w:t xml:space="preserve">, Deputy Executive Director of tri-state Port Authority, </w:t>
      </w:r>
      <w:r w:rsidRPr="009920B4">
        <w:rPr>
          <w:rFonts w:ascii="Times New Roman" w:hAnsi="Times New Roman"/>
          <w:sz w:val="24"/>
          <w:szCs w:val="24"/>
        </w:rPr>
        <w:t xml:space="preserve">were reversed.  </w:t>
      </w:r>
      <w:r>
        <w:rPr>
          <w:rFonts w:ascii="Times New Roman" w:hAnsi="Times New Roman"/>
          <w:sz w:val="24"/>
          <w:szCs w:val="24"/>
        </w:rPr>
        <w:t>Justice Elana Kagan, writing for unanimous Court, wrote: “</w:t>
      </w:r>
      <w:r w:rsidRPr="009920B4">
        <w:rPr>
          <w:rFonts w:ascii="Times New Roman" w:hAnsi="Times New Roman"/>
          <w:sz w:val="24"/>
          <w:szCs w:val="24"/>
        </w:rPr>
        <w:t>But not every corrupt act by state or local officials is a federal crime. Because the scheme here did not aim to obtain money or property, Baroni and Kelly could not</w:t>
      </w:r>
      <w:r>
        <w:rPr>
          <w:rFonts w:ascii="Times New Roman" w:hAnsi="Times New Roman"/>
          <w:sz w:val="24"/>
          <w:szCs w:val="24"/>
        </w:rPr>
        <w:t xml:space="preserve"> </w:t>
      </w:r>
      <w:r w:rsidRPr="009920B4">
        <w:rPr>
          <w:rFonts w:ascii="Times New Roman" w:hAnsi="Times New Roman"/>
          <w:sz w:val="24"/>
          <w:szCs w:val="24"/>
        </w:rPr>
        <w:t xml:space="preserve">have violated the federal-program fraud or wire fraud </w:t>
      </w:r>
      <w:proofErr w:type="gramStart"/>
      <w:r w:rsidRPr="009920B4">
        <w:rPr>
          <w:rFonts w:ascii="Times New Roman" w:hAnsi="Times New Roman"/>
          <w:sz w:val="24"/>
          <w:szCs w:val="24"/>
        </w:rPr>
        <w:t>laws.</w:t>
      </w:r>
      <w:r>
        <w:rPr>
          <w:rFonts w:ascii="Times New Roman" w:hAnsi="Times New Roman"/>
          <w:sz w:val="24"/>
          <w:szCs w:val="24"/>
        </w:rPr>
        <w:t>”</w:t>
      </w:r>
      <w:proofErr w:type="gramEnd"/>
      <w:r>
        <w:rPr>
          <w:rFonts w:ascii="Times New Roman" w:hAnsi="Times New Roman"/>
          <w:sz w:val="24"/>
          <w:szCs w:val="24"/>
        </w:rPr>
        <w:t xml:space="preserve"> </w:t>
      </w:r>
      <w:hyperlink r:id="rId306" w:history="1">
        <w:r w:rsidRPr="00502F08">
          <w:rPr>
            <w:rStyle w:val="Hyperlink"/>
            <w:sz w:val="24"/>
            <w:szCs w:val="24"/>
          </w:rPr>
          <w:t>https://www.supremecourt.gov/opinions/19pdf/18-1059_e2p3.pdf</w:t>
        </w:r>
      </w:hyperlink>
      <w:r w:rsidRPr="009920B4">
        <w:rPr>
          <w:rFonts w:ascii="Times New Roman" w:hAnsi="Times New Roman"/>
          <w:sz w:val="24"/>
          <w:szCs w:val="24"/>
        </w:rPr>
        <w:t xml:space="preserve"> </w:t>
      </w:r>
    </w:p>
    <w:p w14:paraId="478DB97C" w14:textId="77777777" w:rsidR="00D94DC4" w:rsidRPr="008A7C9E" w:rsidRDefault="00D94DC4" w:rsidP="00D94DC4">
      <w:pPr>
        <w:spacing w:before="100" w:beforeAutospacing="1" w:after="100" w:afterAutospacing="1" w:line="240" w:lineRule="auto"/>
        <w:jc w:val="both"/>
        <w:rPr>
          <w:rFonts w:ascii="Times New Roman" w:eastAsia="Times New Roman" w:hAnsi="Times New Roman"/>
          <w:b/>
          <w:bCs/>
          <w:sz w:val="24"/>
          <w:szCs w:val="24"/>
        </w:rPr>
      </w:pPr>
      <w:r w:rsidRPr="008A7C9E">
        <w:rPr>
          <w:rFonts w:ascii="Times New Roman" w:hAnsi="Times New Roman"/>
          <w:b/>
          <w:bCs/>
          <w:sz w:val="24"/>
          <w:szCs w:val="24"/>
        </w:rPr>
        <w:lastRenderedPageBreak/>
        <w:t>Legal Lessons Learned: Public corruption is a common issue; Fire &amp; EMS must be extremely careful in expending funds for only public purposes</w:t>
      </w:r>
      <w:r>
        <w:rPr>
          <w:rFonts w:ascii="Times New Roman" w:hAnsi="Times New Roman"/>
          <w:b/>
          <w:bCs/>
          <w:sz w:val="24"/>
          <w:szCs w:val="24"/>
        </w:rPr>
        <w:t xml:space="preserve"> [classic case of using fire engine to fill a politician’s pool can result in state criminal charges]. </w:t>
      </w:r>
    </w:p>
    <w:p w14:paraId="07F23BA6" w14:textId="77777777" w:rsidR="00D94DC4" w:rsidRDefault="00D94DC4" w:rsidP="002B1283">
      <w:pPr>
        <w:rPr>
          <w:rFonts w:ascii="Arial Black" w:hAnsi="Arial Black"/>
          <w:b/>
          <w:sz w:val="24"/>
          <w:szCs w:val="24"/>
        </w:rPr>
      </w:pPr>
    </w:p>
    <w:p w14:paraId="585EEE4F" w14:textId="77777777" w:rsidR="00D94DC4" w:rsidRDefault="00D94DC4" w:rsidP="002B1283">
      <w:pPr>
        <w:rPr>
          <w:rFonts w:ascii="Arial Black" w:hAnsi="Arial Black"/>
          <w:b/>
          <w:sz w:val="24"/>
          <w:szCs w:val="24"/>
        </w:rPr>
      </w:pPr>
    </w:p>
    <w:p w14:paraId="270B12B9" w14:textId="77777777" w:rsidR="00D94DC4" w:rsidRDefault="00D94DC4" w:rsidP="002B1283">
      <w:pPr>
        <w:rPr>
          <w:rFonts w:ascii="Arial Black" w:hAnsi="Arial Black"/>
          <w:b/>
          <w:sz w:val="24"/>
          <w:szCs w:val="24"/>
        </w:rPr>
      </w:pPr>
    </w:p>
    <w:p w14:paraId="179AF845" w14:textId="2DE2F4D1" w:rsidR="00A01ACA" w:rsidRDefault="00A01ACA" w:rsidP="002B1283">
      <w:pPr>
        <w:rPr>
          <w:rFonts w:ascii="Arial Black" w:hAnsi="Arial Black"/>
          <w:b/>
          <w:sz w:val="24"/>
          <w:szCs w:val="24"/>
        </w:rPr>
      </w:pPr>
      <w:r>
        <w:rPr>
          <w:rFonts w:ascii="Arial Black" w:hAnsi="Arial Black"/>
          <w:b/>
          <w:sz w:val="24"/>
          <w:szCs w:val="24"/>
        </w:rPr>
        <w:t>1-</w:t>
      </w:r>
      <w:r w:rsidR="00D94DC4">
        <w:rPr>
          <w:rFonts w:ascii="Arial Black" w:hAnsi="Arial Black"/>
          <w:b/>
          <w:sz w:val="24"/>
          <w:szCs w:val="24"/>
        </w:rPr>
        <w:t>50</w:t>
      </w:r>
    </w:p>
    <w:p w14:paraId="5CD7EC60" w14:textId="77777777" w:rsidR="00A01ACA" w:rsidRPr="00845EB0" w:rsidRDefault="00A01ACA" w:rsidP="00A01ACA">
      <w:pPr>
        <w:pStyle w:val="NoSpacing"/>
        <w:rPr>
          <w:rStyle w:val="citation"/>
          <w:rFonts w:ascii="Arial Black" w:hAnsi="Arial Black"/>
          <w:sz w:val="28"/>
          <w:szCs w:val="28"/>
        </w:rPr>
      </w:pPr>
      <w:r w:rsidRPr="001A0E1F">
        <w:rPr>
          <w:rStyle w:val="citation"/>
          <w:rFonts w:ascii="Arial Black" w:hAnsi="Arial Black"/>
          <w:sz w:val="28"/>
          <w:szCs w:val="28"/>
        </w:rPr>
        <w:t xml:space="preserve">FL: </w:t>
      </w:r>
      <w:r>
        <w:rPr>
          <w:rStyle w:val="citation"/>
          <w:rFonts w:ascii="Arial Black" w:hAnsi="Arial Black"/>
          <w:sz w:val="28"/>
          <w:szCs w:val="28"/>
        </w:rPr>
        <w:t xml:space="preserve">POLICE CANINES – BOTH ALERTED BODY ODOR IN CAR - MURDER CONVICTION UPHELD - </w:t>
      </w:r>
      <w:r w:rsidRPr="00845EB0">
        <w:rPr>
          <w:rStyle w:val="citation"/>
          <w:rFonts w:ascii="Arial Black" w:hAnsi="Arial Black"/>
          <w:i/>
          <w:iCs/>
          <w:sz w:val="28"/>
          <w:szCs w:val="28"/>
        </w:rPr>
        <w:t>DAUBERT</w:t>
      </w:r>
      <w:r>
        <w:rPr>
          <w:rStyle w:val="citation"/>
          <w:rFonts w:ascii="Arial Black" w:hAnsi="Arial Black"/>
          <w:i/>
          <w:iCs/>
          <w:sz w:val="28"/>
          <w:szCs w:val="28"/>
        </w:rPr>
        <w:t xml:space="preserve"> </w:t>
      </w:r>
      <w:r>
        <w:rPr>
          <w:rStyle w:val="citation"/>
          <w:rFonts w:ascii="Arial Black" w:hAnsi="Arial Black"/>
          <w:sz w:val="28"/>
          <w:szCs w:val="28"/>
        </w:rPr>
        <w:t xml:space="preserve">STANDARD </w:t>
      </w:r>
    </w:p>
    <w:p w14:paraId="45E88309" w14:textId="77777777" w:rsidR="006E2F85" w:rsidRDefault="006E2F85" w:rsidP="00A01ACA">
      <w:pPr>
        <w:tabs>
          <w:tab w:val="left" w:pos="5590"/>
        </w:tabs>
        <w:rPr>
          <w:rStyle w:val="citation"/>
          <w:rFonts w:ascii="Times New Roman" w:hAnsi="Times New Roman"/>
          <w:sz w:val="24"/>
          <w:szCs w:val="24"/>
        </w:rPr>
      </w:pPr>
    </w:p>
    <w:p w14:paraId="23A1618A" w14:textId="4DE0D8C3" w:rsidR="00A01ACA" w:rsidRDefault="00A01ACA" w:rsidP="00A01ACA">
      <w:pPr>
        <w:tabs>
          <w:tab w:val="left" w:pos="5590"/>
        </w:tabs>
        <w:rPr>
          <w:rStyle w:val="citation"/>
          <w:rFonts w:ascii="Times New Roman" w:hAnsi="Times New Roman"/>
          <w:sz w:val="24"/>
          <w:szCs w:val="24"/>
        </w:rPr>
      </w:pPr>
      <w:r w:rsidRPr="00002F10">
        <w:rPr>
          <w:rStyle w:val="citation"/>
          <w:rFonts w:ascii="Times New Roman" w:hAnsi="Times New Roman"/>
          <w:sz w:val="24"/>
          <w:szCs w:val="24"/>
        </w:rPr>
        <w:t xml:space="preserve">On April 22, 2020, in </w:t>
      </w:r>
      <w:r w:rsidRPr="00002F10">
        <w:rPr>
          <w:rStyle w:val="citation"/>
          <w:rFonts w:ascii="Times New Roman" w:hAnsi="Times New Roman"/>
          <w:sz w:val="24"/>
          <w:szCs w:val="24"/>
          <w:u w:val="single"/>
        </w:rPr>
        <w:t>Cid Torrez v. State of Florida</w:t>
      </w:r>
      <w:r w:rsidRPr="00002F10">
        <w:rPr>
          <w:rStyle w:val="citation"/>
          <w:rFonts w:ascii="Times New Roman" w:hAnsi="Times New Roman"/>
          <w:sz w:val="24"/>
          <w:szCs w:val="24"/>
        </w:rPr>
        <w:t xml:space="preserve">, </w:t>
      </w:r>
      <w:r>
        <w:rPr>
          <w:rStyle w:val="citation"/>
          <w:rFonts w:ascii="Times New Roman" w:hAnsi="Times New Roman"/>
          <w:sz w:val="24"/>
          <w:szCs w:val="24"/>
        </w:rPr>
        <w:t xml:space="preserve">the District Court of Appeal of the State of Florida (Fourth District), held (3 to 0) that the trial court properly allowed two police detectives and an expert witness to testify that the dogs alerted to human body odor in trunk of defendant’s vehicle. The defendant was convicted of </w:t>
      </w:r>
      <w:proofErr w:type="gramStart"/>
      <w:r>
        <w:rPr>
          <w:rStyle w:val="citation"/>
          <w:rFonts w:ascii="Times New Roman" w:hAnsi="Times New Roman"/>
          <w:sz w:val="24"/>
          <w:szCs w:val="24"/>
        </w:rPr>
        <w:t>murder of</w:t>
      </w:r>
      <w:proofErr w:type="gramEnd"/>
      <w:r>
        <w:rPr>
          <w:rStyle w:val="citation"/>
          <w:rFonts w:ascii="Times New Roman" w:hAnsi="Times New Roman"/>
          <w:sz w:val="24"/>
          <w:szCs w:val="24"/>
        </w:rPr>
        <w:t xml:space="preserve"> his wife, even though her body was never discovered.  The Court found canine evidence admissible under the </w:t>
      </w:r>
      <w:r w:rsidRPr="00832E13">
        <w:rPr>
          <w:rStyle w:val="citation"/>
          <w:rFonts w:ascii="Times New Roman" w:hAnsi="Times New Roman"/>
          <w:i/>
          <w:iCs/>
          <w:sz w:val="24"/>
          <w:szCs w:val="24"/>
        </w:rPr>
        <w:t>Daubert</w:t>
      </w:r>
      <w:r>
        <w:rPr>
          <w:rStyle w:val="citation"/>
          <w:rFonts w:ascii="Times New Roman" w:hAnsi="Times New Roman"/>
          <w:sz w:val="24"/>
          <w:szCs w:val="24"/>
        </w:rPr>
        <w:t xml:space="preserve"> standard [U.S. Supreme Court’s decision in </w:t>
      </w:r>
      <w:r w:rsidRPr="00832E13">
        <w:rPr>
          <w:rFonts w:ascii="Times New Roman" w:hAnsi="Times New Roman"/>
          <w:sz w:val="24"/>
          <w:szCs w:val="24"/>
        </w:rPr>
        <w:t>Daubert v. Merrell Dow Pharmaceuticals (92-102), 509 U.S. 579 (1993)</w:t>
      </w:r>
      <w:r>
        <w:rPr>
          <w:rFonts w:ascii="Times New Roman" w:hAnsi="Times New Roman"/>
          <w:sz w:val="24"/>
          <w:szCs w:val="24"/>
        </w:rPr>
        <w:t>]</w:t>
      </w:r>
      <w:r w:rsidRPr="00832E13">
        <w:rPr>
          <w:rFonts w:ascii="Times New Roman" w:hAnsi="Times New Roman"/>
          <w:sz w:val="24"/>
          <w:szCs w:val="24"/>
        </w:rPr>
        <w:t xml:space="preserve">. </w:t>
      </w:r>
      <w:bookmarkStart w:id="22" w:name="_Hlk39765274"/>
      <w:r>
        <w:rPr>
          <w:rStyle w:val="citation"/>
          <w:rFonts w:ascii="Times New Roman" w:hAnsi="Times New Roman"/>
          <w:sz w:val="24"/>
          <w:szCs w:val="24"/>
        </w:rPr>
        <w:t xml:space="preserve">Judge Mark W. Klingensmith, in his decision for the Court, cited Bob Dylan song: </w:t>
      </w:r>
    </w:p>
    <w:p w14:paraId="01279F70" w14:textId="77777777" w:rsidR="00A01ACA" w:rsidRDefault="00A01ACA" w:rsidP="00A01ACA">
      <w:pPr>
        <w:tabs>
          <w:tab w:val="left" w:pos="5590"/>
        </w:tabs>
        <w:ind w:left="720"/>
        <w:rPr>
          <w:rStyle w:val="citation"/>
          <w:rFonts w:ascii="Times New Roman" w:hAnsi="Times New Roman"/>
          <w:sz w:val="24"/>
          <w:szCs w:val="24"/>
        </w:rPr>
      </w:pPr>
      <w:r>
        <w:rPr>
          <w:rStyle w:val="citation"/>
          <w:rFonts w:ascii="Times New Roman" w:hAnsi="Times New Roman"/>
          <w:sz w:val="24"/>
          <w:szCs w:val="24"/>
        </w:rPr>
        <w:t xml:space="preserve"> </w:t>
      </w:r>
      <w:r w:rsidRPr="00002F10">
        <w:rPr>
          <w:rStyle w:val="citation"/>
          <w:rFonts w:ascii="Times New Roman" w:hAnsi="Times New Roman"/>
          <w:sz w:val="24"/>
          <w:szCs w:val="24"/>
        </w:rPr>
        <w:t>“</w:t>
      </w:r>
      <w:r w:rsidRPr="00002F10">
        <w:rPr>
          <w:rFonts w:ascii="Times New Roman" w:hAnsi="Times New Roman"/>
          <w:sz w:val="24"/>
          <w:szCs w:val="24"/>
        </w:rPr>
        <w:t xml:space="preserve">The evidence of the reliability of a dog’s alert is “readily understood by a jury.” … </w:t>
      </w:r>
      <w:r w:rsidRPr="00002F10">
        <w:rPr>
          <w:rStyle w:val="citation"/>
          <w:rFonts w:ascii="Times New Roman" w:hAnsi="Times New Roman"/>
          <w:sz w:val="24"/>
          <w:szCs w:val="24"/>
        </w:rPr>
        <w:t xml:space="preserve"> </w:t>
      </w:r>
      <w:r w:rsidRPr="00002F10">
        <w:rPr>
          <w:rFonts w:ascii="Times New Roman" w:hAnsi="Times New Roman"/>
          <w:sz w:val="24"/>
          <w:szCs w:val="24"/>
        </w:rPr>
        <w:t xml:space="preserve">Or as </w:t>
      </w:r>
      <w:r>
        <w:rPr>
          <w:rFonts w:ascii="Times New Roman" w:hAnsi="Times New Roman"/>
          <w:sz w:val="24"/>
          <w:szCs w:val="24"/>
        </w:rPr>
        <w:t xml:space="preserve">    </w:t>
      </w:r>
      <w:r w:rsidRPr="00002F10">
        <w:rPr>
          <w:rFonts w:ascii="Times New Roman" w:hAnsi="Times New Roman"/>
          <w:sz w:val="24"/>
          <w:szCs w:val="24"/>
        </w:rPr>
        <w:t>Bob Dylan once said, “you don’t need a weatherman to know which way the wind blows.” BOB DYLAN,</w:t>
      </w:r>
      <w:r>
        <w:rPr>
          <w:rFonts w:ascii="Times New Roman" w:hAnsi="Times New Roman"/>
          <w:sz w:val="24"/>
          <w:szCs w:val="24"/>
        </w:rPr>
        <w:t xml:space="preserve"> </w:t>
      </w:r>
      <w:r w:rsidRPr="00002F10">
        <w:rPr>
          <w:rFonts w:ascii="Times New Roman" w:hAnsi="Times New Roman"/>
          <w:sz w:val="24"/>
          <w:szCs w:val="24"/>
        </w:rPr>
        <w:t>Subterranean Homesick Blues, on BRINGING IT ALL BACK HOME (Columbia Records 1965).</w:t>
      </w:r>
      <w:r>
        <w:rPr>
          <w:rFonts w:ascii="Times New Roman" w:hAnsi="Times New Roman"/>
          <w:sz w:val="24"/>
          <w:szCs w:val="24"/>
        </w:rPr>
        <w:t xml:space="preserve">” </w:t>
      </w:r>
      <w:hyperlink r:id="rId307" w:history="1">
        <w:r w:rsidRPr="00643124">
          <w:rPr>
            <w:rStyle w:val="Hyperlink"/>
            <w:rFonts w:ascii="Times New Roman" w:hAnsi="Times New Roman"/>
            <w:sz w:val="24"/>
            <w:szCs w:val="24"/>
          </w:rPr>
          <w:t>https://www.courtlistener.com/opinion/4747432/cid-torrez-v-state-of-florida/</w:t>
        </w:r>
      </w:hyperlink>
      <w:r>
        <w:rPr>
          <w:rFonts w:ascii="Times New Roman" w:hAnsi="Times New Roman"/>
          <w:sz w:val="24"/>
          <w:szCs w:val="24"/>
        </w:rPr>
        <w:t xml:space="preserve"> </w:t>
      </w:r>
    </w:p>
    <w:bookmarkEnd w:id="22"/>
    <w:p w14:paraId="72731103"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The </w:t>
      </w:r>
      <w:r w:rsidRPr="00976742">
        <w:rPr>
          <w:rFonts w:ascii="Times New Roman" w:hAnsi="Times New Roman"/>
          <w:b/>
          <w:bCs/>
          <w:i/>
          <w:iCs/>
          <w:sz w:val="24"/>
          <w:szCs w:val="24"/>
        </w:rPr>
        <w:t xml:space="preserve">Daubert </w:t>
      </w:r>
      <w:r w:rsidRPr="00976742">
        <w:rPr>
          <w:rFonts w:ascii="Times New Roman" w:hAnsi="Times New Roman"/>
          <w:b/>
          <w:bCs/>
          <w:sz w:val="24"/>
          <w:szCs w:val="24"/>
        </w:rPr>
        <w:t xml:space="preserve">standard must be met for expert testimony, including testimony by canine handlers.  </w:t>
      </w:r>
    </w:p>
    <w:p w14:paraId="436092BB" w14:textId="77777777" w:rsidR="00A01ACA" w:rsidRPr="00976742" w:rsidRDefault="00A01ACA" w:rsidP="00A01ACA">
      <w:pPr>
        <w:pStyle w:val="NoSpacing"/>
        <w:rPr>
          <w:rFonts w:ascii="Times New Roman" w:hAnsi="Times New Roman"/>
          <w:b/>
          <w:bCs/>
          <w:sz w:val="24"/>
          <w:szCs w:val="24"/>
        </w:rPr>
      </w:pPr>
    </w:p>
    <w:p w14:paraId="6AE9E679"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Note: The U.S. Supreme Court decision in </w:t>
      </w:r>
      <w:r w:rsidRPr="00976742">
        <w:rPr>
          <w:rFonts w:ascii="Times New Roman" w:hAnsi="Times New Roman"/>
          <w:bCs/>
          <w:i/>
          <w:iCs/>
          <w:sz w:val="24"/>
          <w:szCs w:val="24"/>
        </w:rPr>
        <w:t>Daubert v. Merrell Dow Pharmaceuticals, Inc.</w:t>
      </w:r>
      <w:r w:rsidRPr="00976742">
        <w:rPr>
          <w:rFonts w:ascii="Times New Roman" w:hAnsi="Times New Roman"/>
          <w:bCs/>
          <w:sz w:val="24"/>
          <w:szCs w:val="24"/>
        </w:rPr>
        <w:t xml:space="preserve">, 509 U.S. 579 (1993), involved a lawsuit alleging that birth defects might have been caused by pregnant women taking Bendectin for anti-nausea.  The federal judge granted summary judgment to Merrell Dow, finding plaintiff’s expert testimony was not based on medical studies of humans, but based “upon ‘in vitro’ (test tube) and ‘in vivo’ (live) animal studies that found a link between Bendectin and malformations.”  </w:t>
      </w:r>
      <w:hyperlink r:id="rId308" w:history="1">
        <w:r w:rsidRPr="00976742">
          <w:rPr>
            <w:rStyle w:val="Hyperlink"/>
            <w:rFonts w:ascii="Times New Roman" w:hAnsi="Times New Roman"/>
            <w:b/>
            <w:sz w:val="24"/>
            <w:szCs w:val="24"/>
          </w:rPr>
          <w:t>https://www.law.cornell.edu/supct/html/92-102.ZO.html</w:t>
        </w:r>
      </w:hyperlink>
      <w:r w:rsidRPr="00976742">
        <w:rPr>
          <w:rFonts w:ascii="Times New Roman" w:hAnsi="Times New Roman"/>
          <w:bCs/>
          <w:sz w:val="24"/>
          <w:szCs w:val="24"/>
        </w:rPr>
        <w:t>.   The Supreme Court remanded the case, and directed the judge to decide if the plaintiffs’ experts met Rule 702 of the Federal Rules of Evidence, which provides (in part):</w:t>
      </w:r>
    </w:p>
    <w:p w14:paraId="2A3BA84B" w14:textId="77777777" w:rsidR="00A01ACA" w:rsidRPr="00976742" w:rsidRDefault="00A01ACA" w:rsidP="00A01ACA">
      <w:pPr>
        <w:pStyle w:val="NoSpacing"/>
        <w:ind w:left="1440"/>
        <w:rPr>
          <w:rFonts w:ascii="Times New Roman" w:eastAsia="Times New Roman" w:hAnsi="Times New Roman"/>
          <w:b/>
          <w:bCs/>
          <w:sz w:val="24"/>
          <w:szCs w:val="24"/>
        </w:rPr>
      </w:pPr>
    </w:p>
    <w:p w14:paraId="4DB4144C" w14:textId="77777777" w:rsidR="00A01ACA" w:rsidRPr="00976742" w:rsidRDefault="00A01ACA" w:rsidP="00A01ACA">
      <w:pPr>
        <w:pStyle w:val="NoSpacing"/>
        <w:ind w:left="1440"/>
        <w:rPr>
          <w:rFonts w:ascii="Times New Roman" w:hAnsi="Times New Roman"/>
          <w:b/>
          <w:bCs/>
          <w:sz w:val="24"/>
          <w:szCs w:val="24"/>
        </w:rPr>
      </w:pPr>
      <w:r>
        <w:rPr>
          <w:rFonts w:ascii="Times New Roman" w:eastAsia="Times New Roman" w:hAnsi="Times New Roman"/>
          <w:bCs/>
          <w:sz w:val="24"/>
          <w:szCs w:val="24"/>
        </w:rPr>
        <w:t>“</w:t>
      </w:r>
      <w:r w:rsidRPr="00976742">
        <w:rPr>
          <w:rFonts w:ascii="Times New Roman" w:eastAsia="Times New Roman" w:hAnsi="Times New Roman"/>
          <w:bCs/>
          <w:sz w:val="24"/>
          <w:szCs w:val="24"/>
        </w:rPr>
        <w:t>If scientific, technical, or other specialized knowledge will assist the trier of fact to understand the evidence or to determine a fact in issue, a witness qualified as an expert by knowledge, skill, experience, training, or education, may testify thereto in the form of an opinion or otherwise...</w:t>
      </w:r>
      <w:r>
        <w:rPr>
          <w:rFonts w:ascii="Times New Roman" w:eastAsia="Times New Roman" w:hAnsi="Times New Roman"/>
          <w:bCs/>
          <w:sz w:val="24"/>
          <w:szCs w:val="24"/>
        </w:rPr>
        <w:t>.”</w:t>
      </w:r>
      <w:r w:rsidRPr="00976742">
        <w:rPr>
          <w:rFonts w:ascii="Times New Roman" w:eastAsia="Times New Roman" w:hAnsi="Times New Roman"/>
          <w:bCs/>
          <w:sz w:val="24"/>
          <w:szCs w:val="24"/>
        </w:rPr>
        <w:t xml:space="preserve"> </w:t>
      </w:r>
    </w:p>
    <w:p w14:paraId="107B734A" w14:textId="77777777" w:rsidR="00A01ACA" w:rsidRPr="00976742" w:rsidRDefault="00A01ACA" w:rsidP="00A01ACA">
      <w:pPr>
        <w:pStyle w:val="NoSpacing"/>
        <w:ind w:left="720"/>
        <w:rPr>
          <w:rFonts w:ascii="Times New Roman" w:hAnsi="Times New Roman"/>
          <w:b/>
          <w:bCs/>
          <w:i/>
          <w:iCs/>
          <w:sz w:val="24"/>
          <w:szCs w:val="24"/>
        </w:rPr>
      </w:pPr>
    </w:p>
    <w:p w14:paraId="6B02A2E4"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The U.S. Supreme Court applied those standards in </w:t>
      </w:r>
      <w:r w:rsidRPr="00976742">
        <w:rPr>
          <w:rFonts w:ascii="Times New Roman" w:hAnsi="Times New Roman"/>
          <w:bCs/>
          <w:i/>
          <w:iCs/>
          <w:sz w:val="24"/>
          <w:szCs w:val="24"/>
        </w:rPr>
        <w:t>Kumho Tire Co. v. Carmichael</w:t>
      </w:r>
      <w:r w:rsidRPr="00976742">
        <w:rPr>
          <w:rFonts w:ascii="Times New Roman" w:hAnsi="Times New Roman"/>
          <w:bCs/>
          <w:sz w:val="24"/>
          <w:szCs w:val="24"/>
        </w:rPr>
        <w:t xml:space="preserve">, 526 U.S. 137 (1999), involving steel belted radial tire on a minivan, where passenger was killed.  The Court rejected the plaintiff’s tire expert: “Applying these standards, we determine that the District Court's decision in this case—not to admit certain expert testimony—was within its discretion and therefore lawful.” </w:t>
      </w:r>
      <w:hyperlink r:id="rId309" w:history="1">
        <w:r w:rsidRPr="00976742">
          <w:rPr>
            <w:rStyle w:val="Hyperlink"/>
            <w:rFonts w:ascii="Times New Roman" w:hAnsi="Times New Roman"/>
            <w:b/>
            <w:sz w:val="24"/>
            <w:szCs w:val="24"/>
          </w:rPr>
          <w:t>https://scholar.google.com/scholar_case?case=11404623739922196630&amp;q=Kumho+Tire+Co.+v.+Carmichael&amp;hl=en&amp;as_sdt=6,36&amp;as_vis=1</w:t>
        </w:r>
      </w:hyperlink>
      <w:r w:rsidRPr="00976742">
        <w:rPr>
          <w:rFonts w:ascii="Times New Roman" w:hAnsi="Times New Roman"/>
          <w:bCs/>
          <w:sz w:val="24"/>
          <w:szCs w:val="24"/>
        </w:rPr>
        <w:t xml:space="preserve"> </w:t>
      </w:r>
    </w:p>
    <w:p w14:paraId="259B960B" w14:textId="77777777" w:rsidR="00A01ACA" w:rsidRDefault="00A01ACA" w:rsidP="002B1283">
      <w:pPr>
        <w:rPr>
          <w:rFonts w:ascii="Arial Black" w:hAnsi="Arial Black"/>
          <w:b/>
          <w:sz w:val="24"/>
          <w:szCs w:val="24"/>
        </w:rPr>
      </w:pPr>
    </w:p>
    <w:p w14:paraId="56904DE0" w14:textId="64536183" w:rsidR="00A01ACA" w:rsidRDefault="00D94DC4" w:rsidP="002B1283">
      <w:pPr>
        <w:rPr>
          <w:rFonts w:ascii="Arial Black" w:hAnsi="Arial Black"/>
          <w:b/>
          <w:sz w:val="24"/>
          <w:szCs w:val="24"/>
        </w:rPr>
      </w:pPr>
      <w:r>
        <w:rPr>
          <w:rFonts w:ascii="Arial Black" w:hAnsi="Arial Black"/>
          <w:b/>
          <w:sz w:val="24"/>
          <w:szCs w:val="24"/>
        </w:rPr>
        <w:t>1-49</w:t>
      </w:r>
    </w:p>
    <w:p w14:paraId="7E0BE56D" w14:textId="77777777" w:rsidR="00D94DC4" w:rsidRPr="005F058B" w:rsidRDefault="00D94DC4" w:rsidP="00D94DC4">
      <w:pPr>
        <w:spacing w:before="100" w:beforeAutospacing="1" w:after="100" w:afterAutospacing="1" w:line="240" w:lineRule="auto"/>
        <w:rPr>
          <w:rFonts w:ascii="Arial Black" w:eastAsia="Times New Roman" w:hAnsi="Arial Black"/>
          <w:b/>
          <w:bCs/>
          <w:sz w:val="28"/>
          <w:szCs w:val="28"/>
        </w:rPr>
      </w:pPr>
      <w:bookmarkStart w:id="23" w:name="_Hlk69187401"/>
      <w:r w:rsidRPr="005F058B">
        <w:rPr>
          <w:rFonts w:ascii="Arial Black" w:eastAsia="Times New Roman" w:hAnsi="Arial Black"/>
          <w:b/>
          <w:bCs/>
          <w:sz w:val="28"/>
          <w:szCs w:val="28"/>
        </w:rPr>
        <w:t xml:space="preserve">MN: </w:t>
      </w:r>
      <w:r>
        <w:rPr>
          <w:rFonts w:ascii="Arial Black" w:eastAsia="Times New Roman" w:hAnsi="Arial Black"/>
          <w:b/>
          <w:bCs/>
          <w:sz w:val="28"/>
          <w:szCs w:val="28"/>
        </w:rPr>
        <w:t xml:space="preserve">ARSON – HOMEOWNER INTENTIONALLY SET FIRE - 41 MONTHS PRISON – TRIAL JUDGE REJECTED PROBATION - KILLED DOG, LIED INVESTIGATORS, INSURANCE FRAUD </w:t>
      </w:r>
    </w:p>
    <w:bookmarkEnd w:id="23"/>
    <w:p w14:paraId="296D9018" w14:textId="77777777" w:rsidR="00D94DC4" w:rsidRDefault="00D94DC4" w:rsidP="00D94DC4">
      <w:pPr>
        <w:spacing w:before="100" w:beforeAutospacing="1" w:after="100" w:afterAutospacing="1" w:line="240" w:lineRule="auto"/>
        <w:rPr>
          <w:rFonts w:ascii="Times New Roman" w:eastAsia="Times New Roman" w:hAnsi="Times New Roman"/>
          <w:sz w:val="24"/>
          <w:szCs w:val="24"/>
        </w:rPr>
      </w:pPr>
      <w:r w:rsidRPr="008067AC">
        <w:rPr>
          <w:rFonts w:ascii="Times New Roman" w:eastAsia="Times New Roman" w:hAnsi="Times New Roman"/>
          <w:sz w:val="24"/>
          <w:szCs w:val="24"/>
        </w:rPr>
        <w:t xml:space="preserve">On April 13, 2020, in </w:t>
      </w:r>
      <w:r w:rsidRPr="008067AC">
        <w:rPr>
          <w:rFonts w:ascii="Times New Roman" w:eastAsia="Times New Roman" w:hAnsi="Times New Roman"/>
          <w:sz w:val="24"/>
          <w:szCs w:val="24"/>
          <w:u w:val="single"/>
        </w:rPr>
        <w:t>State of Minnesota v. Jeffrey George Ackerson, Jr.</w:t>
      </w:r>
      <w:r>
        <w:rPr>
          <w:rFonts w:ascii="Times New Roman" w:eastAsia="Times New Roman" w:hAnsi="Times New Roman"/>
          <w:sz w:val="24"/>
          <w:szCs w:val="24"/>
        </w:rPr>
        <w:t xml:space="preserve">, the State of Minnesota Court of Appeals, held (3 to 0) that the trial judge did not abuse his discretion in refusing to impose a reduced sentence. </w:t>
      </w:r>
      <w:bookmarkStart w:id="24" w:name="_Hlk69187457"/>
      <w:r w:rsidR="000F483A">
        <w:fldChar w:fldCharType="begin"/>
      </w:r>
      <w:r w:rsidR="000F483A">
        <w:instrText xml:space="preserve"> HYPERLINK "https://mn.gov/law-library-stat/archive/ctapun/2020/OPa190562-041320.pdf" </w:instrText>
      </w:r>
      <w:r w:rsidR="000F483A">
        <w:fldChar w:fldCharType="separate"/>
      </w:r>
      <w:r w:rsidRPr="00C46C1D">
        <w:rPr>
          <w:rStyle w:val="Hyperlink"/>
          <w:sz w:val="24"/>
          <w:szCs w:val="24"/>
        </w:rPr>
        <w:t>https://mn.gov/law-library-stat/archive/ctapun/2020/OPa190562-041320.pdf</w:t>
      </w:r>
      <w:r w:rsidR="000F483A">
        <w:rPr>
          <w:rStyle w:val="Hyperlink"/>
          <w:sz w:val="24"/>
          <w:szCs w:val="24"/>
        </w:rPr>
        <w:fldChar w:fldCharType="end"/>
      </w:r>
      <w:r>
        <w:rPr>
          <w:rFonts w:ascii="Times New Roman" w:eastAsia="Times New Roman" w:hAnsi="Times New Roman"/>
          <w:sz w:val="24"/>
          <w:szCs w:val="24"/>
        </w:rPr>
        <w:t xml:space="preserve"> </w:t>
      </w:r>
    </w:p>
    <w:bookmarkEnd w:id="24"/>
    <w:p w14:paraId="355638C3" w14:textId="77777777" w:rsidR="00D94DC4" w:rsidRPr="008067AC" w:rsidRDefault="00D94DC4" w:rsidP="00D94DC4">
      <w:pPr>
        <w:spacing w:before="100" w:beforeAutospacing="1" w:after="100" w:afterAutospacing="1" w:line="240" w:lineRule="auto"/>
        <w:jc w:val="both"/>
        <w:rPr>
          <w:rFonts w:ascii="Times New Roman" w:hAnsi="Times New Roman"/>
          <w:b/>
          <w:bCs/>
          <w:sz w:val="24"/>
          <w:szCs w:val="24"/>
        </w:rPr>
      </w:pPr>
      <w:r w:rsidRPr="008067AC">
        <w:rPr>
          <w:rFonts w:ascii="Times New Roman" w:hAnsi="Times New Roman"/>
          <w:b/>
          <w:bCs/>
          <w:sz w:val="24"/>
          <w:szCs w:val="24"/>
        </w:rPr>
        <w:t xml:space="preserve">Legal Lessons Learned: </w:t>
      </w:r>
      <w:r>
        <w:rPr>
          <w:rFonts w:ascii="Times New Roman" w:hAnsi="Times New Roman"/>
          <w:b/>
          <w:bCs/>
          <w:sz w:val="24"/>
          <w:szCs w:val="24"/>
        </w:rPr>
        <w:t xml:space="preserve">Minnesota uses presumptive sentencing guidelines; the trial court wisely rejected the public defender office </w:t>
      </w:r>
      <w:r w:rsidRPr="00C01962">
        <w:rPr>
          <w:rFonts w:ascii="Times New Roman" w:hAnsi="Times New Roman"/>
          <w:b/>
          <w:bCs/>
          <w:sz w:val="24"/>
          <w:szCs w:val="24"/>
        </w:rPr>
        <w:t>“dispositional advisor”</w:t>
      </w:r>
      <w:r>
        <w:rPr>
          <w:rFonts w:ascii="Times New Roman" w:hAnsi="Times New Roman"/>
          <w:b/>
          <w:bCs/>
          <w:sz w:val="24"/>
          <w:szCs w:val="24"/>
        </w:rPr>
        <w:t xml:space="preserve"> recommendation of probation. </w:t>
      </w:r>
    </w:p>
    <w:p w14:paraId="6DD0CB15" w14:textId="77777777" w:rsidR="00D94DC4" w:rsidRDefault="00D94DC4" w:rsidP="002B1283">
      <w:pPr>
        <w:rPr>
          <w:rFonts w:ascii="Arial Black" w:hAnsi="Arial Black"/>
          <w:b/>
          <w:sz w:val="24"/>
          <w:szCs w:val="24"/>
        </w:rPr>
      </w:pPr>
    </w:p>
    <w:p w14:paraId="54214AD2" w14:textId="77777777" w:rsidR="00A01ACA" w:rsidRDefault="00A01ACA" w:rsidP="002B1283">
      <w:pPr>
        <w:rPr>
          <w:rFonts w:ascii="Arial Black" w:hAnsi="Arial Black"/>
          <w:b/>
          <w:sz w:val="24"/>
          <w:szCs w:val="24"/>
        </w:rPr>
      </w:pPr>
    </w:p>
    <w:p w14:paraId="0E4FF9CA" w14:textId="749AE805" w:rsidR="00A01ACA" w:rsidRDefault="00A01ACA" w:rsidP="002B1283">
      <w:pPr>
        <w:rPr>
          <w:rFonts w:ascii="Arial Black" w:hAnsi="Arial Black"/>
          <w:b/>
          <w:sz w:val="24"/>
          <w:szCs w:val="24"/>
        </w:rPr>
      </w:pPr>
      <w:r>
        <w:rPr>
          <w:rFonts w:ascii="Arial Black" w:hAnsi="Arial Black"/>
          <w:b/>
          <w:sz w:val="24"/>
          <w:szCs w:val="24"/>
        </w:rPr>
        <w:t>1-4</w:t>
      </w:r>
      <w:r w:rsidR="00334940">
        <w:rPr>
          <w:rFonts w:ascii="Arial Black" w:hAnsi="Arial Black"/>
          <w:b/>
          <w:sz w:val="24"/>
          <w:szCs w:val="24"/>
        </w:rPr>
        <w:t>8</w:t>
      </w:r>
    </w:p>
    <w:p w14:paraId="5CD55791" w14:textId="77777777" w:rsidR="00A01ACA" w:rsidRPr="00B6039F" w:rsidRDefault="00A01ACA" w:rsidP="00A01ACA">
      <w:pPr>
        <w:pStyle w:val="NoSpacing"/>
        <w:rPr>
          <w:rFonts w:ascii="Arial Black" w:hAnsi="Arial Black"/>
          <w:sz w:val="28"/>
          <w:szCs w:val="28"/>
        </w:rPr>
      </w:pPr>
      <w:bookmarkStart w:id="25" w:name="_Hlk41315198"/>
      <w:r w:rsidRPr="00B6039F">
        <w:rPr>
          <w:rFonts w:ascii="Arial Black" w:hAnsi="Arial Black"/>
          <w:sz w:val="28"/>
          <w:szCs w:val="28"/>
        </w:rPr>
        <w:t>U.S. SUP</w:t>
      </w:r>
      <w:r>
        <w:rPr>
          <w:rFonts w:ascii="Arial Black" w:hAnsi="Arial Black"/>
          <w:sz w:val="28"/>
          <w:szCs w:val="28"/>
        </w:rPr>
        <w:t xml:space="preserve">. CT:  CRIMINAL CONV. MUST BE </w:t>
      </w:r>
      <w:r w:rsidRPr="00B6039F">
        <w:rPr>
          <w:rFonts w:ascii="Arial Black" w:hAnsi="Arial Black"/>
          <w:sz w:val="28"/>
          <w:szCs w:val="28"/>
        </w:rPr>
        <w:t>UNANIMOUS</w:t>
      </w:r>
      <w:r>
        <w:rPr>
          <w:rFonts w:ascii="Arial Black" w:hAnsi="Arial Black"/>
          <w:sz w:val="28"/>
          <w:szCs w:val="28"/>
        </w:rPr>
        <w:t xml:space="preserve"> JURY – LOUISIANA, OREGON 10-2 UNCONSTITUTIONAL</w:t>
      </w:r>
    </w:p>
    <w:p w14:paraId="7F8D42D8" w14:textId="77777777" w:rsidR="00A01ACA" w:rsidRDefault="00A01ACA" w:rsidP="00A01ACA">
      <w:pPr>
        <w:pStyle w:val="NoSpacing"/>
        <w:rPr>
          <w:sz w:val="27"/>
          <w:szCs w:val="27"/>
        </w:rPr>
      </w:pPr>
    </w:p>
    <w:p w14:paraId="694A4B42"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April 20, </w:t>
      </w:r>
      <w:proofErr w:type="gramStart"/>
      <w:r w:rsidRPr="00976742">
        <w:rPr>
          <w:rFonts w:ascii="Times New Roman" w:hAnsi="Times New Roman"/>
          <w:bCs/>
          <w:sz w:val="24"/>
          <w:szCs w:val="24"/>
        </w:rPr>
        <w:t>2020</w:t>
      </w:r>
      <w:proofErr w:type="gramEnd"/>
      <w:r w:rsidRPr="00976742">
        <w:rPr>
          <w:rFonts w:ascii="Times New Roman" w:hAnsi="Times New Roman"/>
          <w:bCs/>
          <w:sz w:val="24"/>
          <w:szCs w:val="24"/>
        </w:rPr>
        <w:t xml:space="preserve"> in </w:t>
      </w:r>
      <w:proofErr w:type="spellStart"/>
      <w:r w:rsidRPr="00976742">
        <w:rPr>
          <w:rFonts w:ascii="Times New Roman" w:hAnsi="Times New Roman"/>
          <w:bCs/>
          <w:sz w:val="24"/>
          <w:szCs w:val="24"/>
          <w:u w:val="single"/>
        </w:rPr>
        <w:t>Evangelisto</w:t>
      </w:r>
      <w:proofErr w:type="spellEnd"/>
      <w:r w:rsidRPr="00976742">
        <w:rPr>
          <w:rFonts w:ascii="Times New Roman" w:hAnsi="Times New Roman"/>
          <w:bCs/>
          <w:sz w:val="24"/>
          <w:szCs w:val="24"/>
          <w:u w:val="single"/>
        </w:rPr>
        <w:t xml:space="preserve"> Ramos v. Louisiana</w:t>
      </w:r>
      <w:r w:rsidRPr="00976742">
        <w:rPr>
          <w:rFonts w:ascii="Times New Roman" w:hAnsi="Times New Roman"/>
          <w:bCs/>
          <w:sz w:val="24"/>
          <w:szCs w:val="24"/>
        </w:rPr>
        <w:t xml:space="preserve">, the U.S. Supreme Court (6 to 3) set aside prior court precedent from 1972, overturned Ramos’s conviction for second-degree murder, and life imprisonment. Six Justices agreed on setting aside the conviction, but 4 of the 6 wrote concurring opinions outlining different legal reasoning. Louisiana and Oregon are the only states allowing convictions on less than unanimous verdicts (implemented in Louisiana in 1898 out of concern about African American jurors on jury; Oregon in 1930s implemented out of concern of KKK members getting on jury).  Louisiana in 2019 started requiring unanimous verdicts for crimes committed in 2019 or later.  Presumably they will re-try Ramos (an oil-supply boat worker, who admitted having consensual sex with </w:t>
      </w:r>
      <w:proofErr w:type="gramStart"/>
      <w:r w:rsidRPr="00976742">
        <w:rPr>
          <w:rFonts w:ascii="Times New Roman" w:hAnsi="Times New Roman"/>
          <w:bCs/>
          <w:sz w:val="24"/>
          <w:szCs w:val="24"/>
        </w:rPr>
        <w:t>43-year old</w:t>
      </w:r>
      <w:proofErr w:type="gramEnd"/>
      <w:r w:rsidRPr="00976742">
        <w:rPr>
          <w:rFonts w:ascii="Times New Roman" w:hAnsi="Times New Roman"/>
          <w:bCs/>
          <w:sz w:val="24"/>
          <w:szCs w:val="24"/>
        </w:rPr>
        <w:t xml:space="preserve"> </w:t>
      </w:r>
      <w:proofErr w:type="spellStart"/>
      <w:r w:rsidRPr="00976742">
        <w:rPr>
          <w:rFonts w:ascii="Times New Roman" w:hAnsi="Times New Roman"/>
          <w:bCs/>
          <w:sz w:val="24"/>
          <w:szCs w:val="24"/>
        </w:rPr>
        <w:t>Ternice</w:t>
      </w:r>
      <w:proofErr w:type="spellEnd"/>
      <w:r w:rsidRPr="00976742">
        <w:rPr>
          <w:rFonts w:ascii="Times New Roman" w:hAnsi="Times New Roman"/>
          <w:bCs/>
          <w:sz w:val="24"/>
          <w:szCs w:val="24"/>
        </w:rPr>
        <w:t xml:space="preserve"> Fedison the night before her body was stuffed into a garbage can).   </w:t>
      </w:r>
    </w:p>
    <w:p w14:paraId="6236074E" w14:textId="77777777" w:rsidR="00A01ACA" w:rsidRPr="00976742" w:rsidRDefault="00A01ACA" w:rsidP="00A01ACA">
      <w:pPr>
        <w:pStyle w:val="NoSpacing"/>
        <w:rPr>
          <w:rFonts w:ascii="Times New Roman" w:hAnsi="Times New Roman"/>
          <w:b/>
          <w:bCs/>
          <w:sz w:val="24"/>
          <w:szCs w:val="24"/>
        </w:rPr>
      </w:pPr>
    </w:p>
    <w:p w14:paraId="4DC31D7E" w14:textId="77777777" w:rsidR="00A01ACA" w:rsidRPr="00976742" w:rsidRDefault="00A01ACA" w:rsidP="00A01ACA">
      <w:pPr>
        <w:pStyle w:val="NoSpacing"/>
        <w:ind w:left="720"/>
        <w:rPr>
          <w:rFonts w:ascii="Times New Roman" w:hAnsi="Times New Roman"/>
          <w:b/>
          <w:bCs/>
          <w:sz w:val="24"/>
          <w:szCs w:val="24"/>
        </w:rPr>
      </w:pPr>
      <w:bookmarkStart w:id="26" w:name="_Hlk39765318"/>
      <w:r w:rsidRPr="00976742">
        <w:rPr>
          <w:rFonts w:ascii="Times New Roman" w:hAnsi="Times New Roman"/>
          <w:bCs/>
          <w:sz w:val="24"/>
          <w:szCs w:val="24"/>
        </w:rPr>
        <w:t xml:space="preserve">“On what ground would anyone </w:t>
      </w:r>
      <w:proofErr w:type="gramStart"/>
      <w:r w:rsidRPr="00976742">
        <w:rPr>
          <w:rFonts w:ascii="Times New Roman" w:hAnsi="Times New Roman"/>
          <w:bCs/>
          <w:sz w:val="24"/>
          <w:szCs w:val="24"/>
        </w:rPr>
        <w:t>have</w:t>
      </w:r>
      <w:proofErr w:type="gramEnd"/>
      <w:r w:rsidRPr="00976742">
        <w:rPr>
          <w:rFonts w:ascii="Times New Roman" w:hAnsi="Times New Roman"/>
          <w:bCs/>
          <w:sz w:val="24"/>
          <w:szCs w:val="24"/>
        </w:rPr>
        <w:t xml:space="preserve"> us leave Mr. Ramos in prison for the rest of his life? Not a single Member of this Court is prepared to say Louisiana secured his conviction constitutionally under the Sixth Amendment. No one </w:t>
      </w:r>
      <w:proofErr w:type="gramStart"/>
      <w:r w:rsidRPr="00976742">
        <w:rPr>
          <w:rFonts w:ascii="Times New Roman" w:hAnsi="Times New Roman"/>
          <w:bCs/>
          <w:sz w:val="24"/>
          <w:szCs w:val="24"/>
        </w:rPr>
        <w:t>be-fore</w:t>
      </w:r>
      <w:proofErr w:type="gramEnd"/>
      <w:r w:rsidRPr="00976742">
        <w:rPr>
          <w:rFonts w:ascii="Times New Roman" w:hAnsi="Times New Roman"/>
          <w:bCs/>
          <w:sz w:val="24"/>
          <w:szCs w:val="24"/>
        </w:rPr>
        <w:t xml:space="preserve"> us suggests that the error was harmless. Louisiana does not claim precedent commands an affirmance. In the end, the </w:t>
      </w:r>
      <w:proofErr w:type="gramStart"/>
      <w:r w:rsidRPr="00976742">
        <w:rPr>
          <w:rFonts w:ascii="Times New Roman" w:hAnsi="Times New Roman"/>
          <w:bCs/>
          <w:sz w:val="24"/>
          <w:szCs w:val="24"/>
        </w:rPr>
        <w:t>best</w:t>
      </w:r>
      <w:proofErr w:type="gramEnd"/>
      <w:r w:rsidRPr="00976742">
        <w:rPr>
          <w:rFonts w:ascii="Times New Roman" w:hAnsi="Times New Roman"/>
          <w:bCs/>
          <w:sz w:val="24"/>
          <w:szCs w:val="24"/>
        </w:rPr>
        <w:t xml:space="preserve"> anyone </w:t>
      </w:r>
      <w:proofErr w:type="gramStart"/>
      <w:r w:rsidRPr="00976742">
        <w:rPr>
          <w:rFonts w:ascii="Times New Roman" w:hAnsi="Times New Roman"/>
          <w:bCs/>
          <w:sz w:val="24"/>
          <w:szCs w:val="24"/>
        </w:rPr>
        <w:t>can</w:t>
      </w:r>
      <w:proofErr w:type="gramEnd"/>
      <w:r w:rsidRPr="00976742">
        <w:rPr>
          <w:rFonts w:ascii="Times New Roman" w:hAnsi="Times New Roman"/>
          <w:bCs/>
          <w:sz w:val="24"/>
          <w:szCs w:val="24"/>
        </w:rPr>
        <w:t xml:space="preserve"> seem to muster against Mr. Ramos is that, if we dared to admit in his case what we all know to be true about the Sixth Amendment, we might have to say the same in some others. But where is </w:t>
      </w:r>
      <w:proofErr w:type="gramStart"/>
      <w:r w:rsidRPr="00976742">
        <w:rPr>
          <w:rFonts w:ascii="Times New Roman" w:hAnsi="Times New Roman"/>
          <w:bCs/>
          <w:sz w:val="24"/>
          <w:szCs w:val="24"/>
        </w:rPr>
        <w:t>the justice</w:t>
      </w:r>
      <w:proofErr w:type="gramEnd"/>
      <w:r w:rsidRPr="00976742">
        <w:rPr>
          <w:rFonts w:ascii="Times New Roman" w:hAnsi="Times New Roman"/>
          <w:bCs/>
          <w:sz w:val="24"/>
          <w:szCs w:val="24"/>
        </w:rPr>
        <w:t xml:space="preserve"> in that? Every judge must learn to live with the fact he or she will make some mistakes; it comes with the territory. But it is something else entirely to perpetuate something we all know to be wrong only because we fear the consequences of being right. The judgment of the Court of Appeals is Reversed.” </w:t>
      </w:r>
      <w:hyperlink r:id="rId310" w:history="1">
        <w:r w:rsidRPr="00976742">
          <w:rPr>
            <w:rStyle w:val="Hyperlink"/>
            <w:rFonts w:ascii="Times New Roman" w:hAnsi="Times New Roman"/>
            <w:b/>
            <w:sz w:val="24"/>
            <w:szCs w:val="24"/>
          </w:rPr>
          <w:t>https://www.supremecourt.gov/opinions/19pdf/18-5924_n6io.pdf</w:t>
        </w:r>
      </w:hyperlink>
      <w:r w:rsidRPr="00976742">
        <w:rPr>
          <w:rFonts w:ascii="Times New Roman" w:hAnsi="Times New Roman"/>
          <w:bCs/>
          <w:sz w:val="24"/>
          <w:szCs w:val="24"/>
        </w:rPr>
        <w:t xml:space="preserve"> </w:t>
      </w:r>
    </w:p>
    <w:bookmarkEnd w:id="26"/>
    <w:p w14:paraId="7F74FADB" w14:textId="77777777" w:rsidR="00A01ACA" w:rsidRDefault="00A01ACA" w:rsidP="00A01ACA">
      <w:pPr>
        <w:pStyle w:val="NoSpacing"/>
        <w:rPr>
          <w:rFonts w:ascii="Times New Roman" w:hAnsi="Times New Roman"/>
          <w:b/>
          <w:bCs/>
          <w:sz w:val="24"/>
          <w:szCs w:val="24"/>
        </w:rPr>
      </w:pPr>
    </w:p>
    <w:p w14:paraId="6DFB1564" w14:textId="54709E47"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lastRenderedPageBreak/>
        <w:t xml:space="preserve">Legal Lessons Learned:  Our Nation will now be uniform – unanimous jury verdicts will be required to convict (or to acquit). </w:t>
      </w:r>
    </w:p>
    <w:bookmarkEnd w:id="25"/>
    <w:p w14:paraId="41B593FD" w14:textId="77777777" w:rsidR="00A01ACA" w:rsidRDefault="00A01ACA" w:rsidP="002B1283">
      <w:pPr>
        <w:rPr>
          <w:rFonts w:ascii="Arial Black" w:hAnsi="Arial Black"/>
          <w:b/>
          <w:sz w:val="24"/>
          <w:szCs w:val="24"/>
        </w:rPr>
      </w:pPr>
    </w:p>
    <w:p w14:paraId="6A22381E" w14:textId="77777777" w:rsidR="00A01ACA" w:rsidRDefault="00A01ACA" w:rsidP="002B1283">
      <w:pPr>
        <w:rPr>
          <w:rFonts w:ascii="Arial Black" w:hAnsi="Arial Black"/>
          <w:b/>
          <w:sz w:val="24"/>
          <w:szCs w:val="24"/>
        </w:rPr>
      </w:pPr>
    </w:p>
    <w:p w14:paraId="6562A152" w14:textId="77777777" w:rsidR="00A01ACA" w:rsidRDefault="00A01ACA" w:rsidP="002B1283">
      <w:pPr>
        <w:rPr>
          <w:rFonts w:ascii="Arial Black" w:hAnsi="Arial Black"/>
          <w:b/>
          <w:sz w:val="24"/>
          <w:szCs w:val="24"/>
        </w:rPr>
      </w:pPr>
    </w:p>
    <w:p w14:paraId="24419917" w14:textId="6BCF8A7B" w:rsidR="00A01ACA" w:rsidRDefault="00A01ACA" w:rsidP="002B1283">
      <w:pPr>
        <w:rPr>
          <w:rFonts w:ascii="Arial Black" w:hAnsi="Arial Black"/>
          <w:b/>
          <w:sz w:val="24"/>
          <w:szCs w:val="24"/>
        </w:rPr>
      </w:pPr>
      <w:r>
        <w:rPr>
          <w:rFonts w:ascii="Arial Black" w:hAnsi="Arial Black"/>
          <w:b/>
          <w:sz w:val="24"/>
          <w:szCs w:val="24"/>
        </w:rPr>
        <w:t>1-4</w:t>
      </w:r>
      <w:r w:rsidR="00334940">
        <w:rPr>
          <w:rFonts w:ascii="Arial Black" w:hAnsi="Arial Black"/>
          <w:b/>
          <w:sz w:val="24"/>
          <w:szCs w:val="24"/>
        </w:rPr>
        <w:t>7</w:t>
      </w:r>
    </w:p>
    <w:p w14:paraId="17E45F19" w14:textId="77777777" w:rsidR="00A01ACA" w:rsidRPr="008D16D7" w:rsidRDefault="00A01ACA" w:rsidP="00A01ACA">
      <w:pPr>
        <w:pStyle w:val="NoSpacing"/>
        <w:rPr>
          <w:rFonts w:ascii="Arial Black" w:hAnsi="Arial Black"/>
          <w:sz w:val="28"/>
          <w:szCs w:val="28"/>
        </w:rPr>
      </w:pPr>
      <w:bookmarkStart w:id="27" w:name="_Hlk69187531"/>
      <w:r>
        <w:rPr>
          <w:rFonts w:ascii="Arial Black" w:hAnsi="Arial Black"/>
          <w:sz w:val="28"/>
          <w:szCs w:val="28"/>
        </w:rPr>
        <w:t>OH:  FIRE CODES - TWO FIRES AT RECYCLING CENTER – LARGE PILE OF CONSTRUCTION DEBRI - INJUNCTION</w:t>
      </w:r>
    </w:p>
    <w:bookmarkEnd w:id="27"/>
    <w:p w14:paraId="2F2112DB" w14:textId="77777777" w:rsidR="00A01ACA" w:rsidRDefault="00A01ACA" w:rsidP="00A01ACA">
      <w:pPr>
        <w:pStyle w:val="NoSpacing"/>
        <w:rPr>
          <w:b/>
          <w:bCs/>
          <w:sz w:val="24"/>
          <w:szCs w:val="24"/>
        </w:rPr>
      </w:pPr>
    </w:p>
    <w:p w14:paraId="22DD2E0F"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w:t>
      </w:r>
      <w:bookmarkStart w:id="28" w:name="_Hlk39822336"/>
      <w:r w:rsidRPr="00976742">
        <w:rPr>
          <w:rFonts w:ascii="Times New Roman" w:hAnsi="Times New Roman"/>
          <w:bCs/>
          <w:sz w:val="24"/>
          <w:szCs w:val="24"/>
        </w:rPr>
        <w:t xml:space="preserve">April 16, 2020, in </w:t>
      </w:r>
      <w:r w:rsidRPr="00976742">
        <w:rPr>
          <w:rFonts w:ascii="Times New Roman" w:hAnsi="Times New Roman"/>
          <w:bCs/>
          <w:sz w:val="24"/>
          <w:szCs w:val="24"/>
          <w:u w:val="single"/>
        </w:rPr>
        <w:t>State ex rel. Yost v. Baumann's Recycling Ctr., L.L.C.</w:t>
      </w:r>
      <w:r w:rsidRPr="00976742">
        <w:rPr>
          <w:rFonts w:ascii="Times New Roman" w:hAnsi="Times New Roman"/>
          <w:sz w:val="24"/>
          <w:szCs w:val="24"/>
        </w:rPr>
        <w:t xml:space="preserve">, </w:t>
      </w:r>
      <w:r w:rsidRPr="00976742">
        <w:rPr>
          <w:rFonts w:ascii="Times New Roman" w:hAnsi="Times New Roman"/>
          <w:bCs/>
          <w:sz w:val="24"/>
          <w:szCs w:val="24"/>
        </w:rPr>
        <w:t>2020-Ohio-1504</w:t>
      </w:r>
      <w:bookmarkEnd w:id="28"/>
      <w:r w:rsidRPr="00976742">
        <w:rPr>
          <w:rFonts w:ascii="Times New Roman" w:hAnsi="Times New Roman"/>
          <w:bCs/>
          <w:sz w:val="24"/>
          <w:szCs w:val="24"/>
        </w:rPr>
        <w:t xml:space="preserve">, the Ohio Court of Appeals for Eight Appellate District (Cuyahoga County), held (3 to 0) that the trial court properly issued an injunction.  On June 13, 2019, the trial court granted Ohio Attorney General’s lawsuit seeking an injunction, after a bench trial. </w:t>
      </w:r>
    </w:p>
    <w:p w14:paraId="1A3CA867" w14:textId="77777777" w:rsidR="00A01ACA" w:rsidRPr="00976742" w:rsidRDefault="00A01ACA" w:rsidP="00A01ACA">
      <w:pPr>
        <w:pStyle w:val="NoSpacing"/>
        <w:rPr>
          <w:rFonts w:ascii="Times New Roman" w:hAnsi="Times New Roman"/>
          <w:b/>
          <w:bCs/>
          <w:sz w:val="24"/>
          <w:szCs w:val="24"/>
        </w:rPr>
      </w:pPr>
    </w:p>
    <w:p w14:paraId="24153EAD" w14:textId="77777777" w:rsidR="00A01ACA" w:rsidRPr="00976742" w:rsidRDefault="00A01ACA" w:rsidP="00A01ACA">
      <w:pPr>
        <w:pStyle w:val="NoSpacing"/>
        <w:ind w:left="720"/>
        <w:rPr>
          <w:rFonts w:ascii="Times New Roman" w:hAnsi="Times New Roman"/>
          <w:b/>
          <w:bCs/>
          <w:sz w:val="24"/>
          <w:szCs w:val="24"/>
        </w:rPr>
      </w:pPr>
      <w:bookmarkStart w:id="29" w:name="_Hlk39765373"/>
      <w:r w:rsidRPr="00976742">
        <w:rPr>
          <w:rFonts w:ascii="Times New Roman" w:hAnsi="Times New Roman"/>
          <w:bCs/>
          <w:sz w:val="24"/>
          <w:szCs w:val="24"/>
        </w:rPr>
        <w:t>“Here, the evidence of record indicated that the disputed pile of C&amp;DD materials had not decreased in size since 2011. The judge properly found that this was not temporary. Further, the evidence demonstrated that the material was producing steam vents from active decomposition, so the court could properly conclude that the material was not ‘substantially unchanged’ or ‘retrievable.’ Therefore, the court did not err in rejecting BRC’s claim that it simply engaged in permissible storage in connection with its ‘processing’ of C&amp;DD within the facility exclusion from the requirements for C&amp;DD ‘disposal’ set forth in R.C. Chapter 3714.”</w:t>
      </w:r>
    </w:p>
    <w:bookmarkStart w:id="30" w:name="_Hlk39820985"/>
    <w:bookmarkStart w:id="31" w:name="_Hlk69187577"/>
    <w:p w14:paraId="5E1242B8" w14:textId="77777777" w:rsidR="00A01ACA" w:rsidRPr="00976742" w:rsidRDefault="00F2621E" w:rsidP="00A01ACA">
      <w:pPr>
        <w:pStyle w:val="NoSpacing"/>
        <w:ind w:left="720"/>
        <w:rPr>
          <w:rFonts w:ascii="Times New Roman" w:hAnsi="Times New Roman"/>
          <w:b/>
          <w:bCs/>
          <w:sz w:val="24"/>
          <w:szCs w:val="24"/>
        </w:rPr>
      </w:pPr>
      <w:r>
        <w:fldChar w:fldCharType="begin"/>
      </w:r>
      <w:r>
        <w:instrText xml:space="preserve"> HYPERLINK "https://www.supremecourt.ohio.gov/rod/docs/pdf/8/2020/2020-Ohio-1504.pdf" </w:instrText>
      </w:r>
      <w:r>
        <w:fldChar w:fldCharType="separate"/>
      </w:r>
      <w:r w:rsidR="00A01ACA" w:rsidRPr="00976742">
        <w:rPr>
          <w:rStyle w:val="Hyperlink"/>
          <w:rFonts w:ascii="Times New Roman" w:hAnsi="Times New Roman"/>
          <w:b/>
          <w:sz w:val="24"/>
          <w:szCs w:val="24"/>
        </w:rPr>
        <w:t>https://www.supremecourt.ohio.gov/rod/docs/pdf/8/2020/2020-Ohio-1504.pdf</w:t>
      </w:r>
      <w:r>
        <w:rPr>
          <w:rStyle w:val="Hyperlink"/>
          <w:rFonts w:ascii="Times New Roman" w:hAnsi="Times New Roman"/>
          <w:b/>
          <w:sz w:val="24"/>
          <w:szCs w:val="24"/>
        </w:rPr>
        <w:fldChar w:fldCharType="end"/>
      </w:r>
      <w:bookmarkEnd w:id="30"/>
      <w:r w:rsidR="00A01ACA" w:rsidRPr="00976742">
        <w:rPr>
          <w:rFonts w:ascii="Times New Roman" w:hAnsi="Times New Roman"/>
          <w:bCs/>
          <w:sz w:val="24"/>
          <w:szCs w:val="24"/>
        </w:rPr>
        <w:t xml:space="preserve"> </w:t>
      </w:r>
    </w:p>
    <w:bookmarkEnd w:id="29"/>
    <w:bookmarkEnd w:id="31"/>
    <w:p w14:paraId="7D967ECE" w14:textId="77777777" w:rsidR="00A01ACA" w:rsidRPr="00976742" w:rsidRDefault="00A01ACA" w:rsidP="00A01ACA">
      <w:pPr>
        <w:pStyle w:val="NoSpacing"/>
        <w:rPr>
          <w:rFonts w:ascii="Times New Roman" w:hAnsi="Times New Roman"/>
          <w:b/>
          <w:bCs/>
          <w:sz w:val="24"/>
          <w:szCs w:val="24"/>
        </w:rPr>
      </w:pPr>
    </w:p>
    <w:p w14:paraId="5F93B0E3"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The FD wisely called in the Ohio EPA, and when the owner did not promptly act to remove the fire hazard, the Ohio AG obtained an injunction.  </w:t>
      </w:r>
    </w:p>
    <w:p w14:paraId="3FF5F112" w14:textId="77777777" w:rsidR="00A01ACA" w:rsidRPr="00976742" w:rsidRDefault="00A01ACA" w:rsidP="00A01ACA">
      <w:pPr>
        <w:pStyle w:val="NoSpacing"/>
        <w:ind w:left="720"/>
        <w:rPr>
          <w:rFonts w:ascii="Times New Roman" w:hAnsi="Times New Roman"/>
          <w:b/>
          <w:bCs/>
          <w:sz w:val="24"/>
          <w:szCs w:val="24"/>
        </w:rPr>
      </w:pPr>
    </w:p>
    <w:p w14:paraId="592E1C00"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Note: See article, </w:t>
      </w:r>
      <w:bookmarkStart w:id="32" w:name="_Hlk39820886"/>
      <w:r w:rsidRPr="00976742">
        <w:rPr>
          <w:rFonts w:ascii="Times New Roman" w:hAnsi="Times New Roman"/>
          <w:bCs/>
          <w:sz w:val="24"/>
          <w:szCs w:val="24"/>
        </w:rPr>
        <w:t xml:space="preserve">Jan. 27, 2020: “Garfield Heights Recycling Center Held in Contempt of Court for Failing to Address Hazard,” </w:t>
      </w:r>
    </w:p>
    <w:p w14:paraId="58F50B62" w14:textId="77777777" w:rsidR="00A01ACA" w:rsidRPr="00976742" w:rsidRDefault="00A01ACA" w:rsidP="00A01ACA">
      <w:pPr>
        <w:pStyle w:val="NoSpacing"/>
        <w:ind w:left="720"/>
        <w:rPr>
          <w:rFonts w:ascii="Times New Roman" w:hAnsi="Times New Roman"/>
          <w:b/>
          <w:bCs/>
          <w:sz w:val="24"/>
          <w:szCs w:val="24"/>
        </w:rPr>
      </w:pPr>
      <w:hyperlink r:id="rId311" w:history="1">
        <w:r w:rsidRPr="00976742">
          <w:rPr>
            <w:rStyle w:val="Hyperlink"/>
            <w:rFonts w:ascii="Times New Roman" w:hAnsi="Times New Roman"/>
            <w:b/>
            <w:sz w:val="24"/>
            <w:szCs w:val="24"/>
          </w:rPr>
          <w:t>https://www.ohioattorneygeneral.gov/Media/News-Releases/January-2020/Garfield-Heights-Recycling-Center-Held-in-Contempt</w:t>
        </w:r>
      </w:hyperlink>
      <w:r w:rsidRPr="00976742">
        <w:rPr>
          <w:rFonts w:ascii="Times New Roman" w:hAnsi="Times New Roman"/>
          <w:bCs/>
          <w:sz w:val="24"/>
          <w:szCs w:val="24"/>
        </w:rPr>
        <w:t xml:space="preserve"> </w:t>
      </w:r>
    </w:p>
    <w:bookmarkEnd w:id="32"/>
    <w:p w14:paraId="429F2907" w14:textId="6EF5D0C6" w:rsidR="00A01ACA" w:rsidRDefault="00A01ACA" w:rsidP="002B1283">
      <w:pPr>
        <w:rPr>
          <w:rFonts w:ascii="Arial Black" w:hAnsi="Arial Black"/>
          <w:b/>
          <w:sz w:val="24"/>
          <w:szCs w:val="24"/>
        </w:rPr>
      </w:pPr>
    </w:p>
    <w:p w14:paraId="675736F6" w14:textId="77777777" w:rsidR="00A01ACA" w:rsidRDefault="00A01ACA" w:rsidP="002B1283">
      <w:pPr>
        <w:rPr>
          <w:rFonts w:ascii="Arial Black" w:hAnsi="Arial Black"/>
          <w:b/>
          <w:sz w:val="24"/>
          <w:szCs w:val="24"/>
        </w:rPr>
      </w:pPr>
    </w:p>
    <w:p w14:paraId="663FBE09" w14:textId="5398388A" w:rsidR="00A01ACA" w:rsidRDefault="00A01ACA" w:rsidP="002B1283">
      <w:pPr>
        <w:rPr>
          <w:rFonts w:ascii="Arial Black" w:hAnsi="Arial Black"/>
          <w:b/>
          <w:sz w:val="24"/>
          <w:szCs w:val="24"/>
        </w:rPr>
      </w:pPr>
      <w:r>
        <w:rPr>
          <w:rFonts w:ascii="Arial Black" w:hAnsi="Arial Black"/>
          <w:b/>
          <w:sz w:val="24"/>
          <w:szCs w:val="24"/>
        </w:rPr>
        <w:t>1-46</w:t>
      </w:r>
    </w:p>
    <w:p w14:paraId="05E033BC" w14:textId="77777777" w:rsidR="00A01ACA" w:rsidRDefault="00A01ACA" w:rsidP="00A01ACA">
      <w:pPr>
        <w:pStyle w:val="NoSpacing"/>
        <w:rPr>
          <w:rFonts w:ascii="Arial Black" w:hAnsi="Arial Black"/>
          <w:sz w:val="28"/>
          <w:szCs w:val="28"/>
        </w:rPr>
      </w:pPr>
      <w:r>
        <w:rPr>
          <w:rFonts w:ascii="Arial Black" w:hAnsi="Arial Black"/>
          <w:sz w:val="28"/>
          <w:szCs w:val="28"/>
        </w:rPr>
        <w:t>DC: JUROR’S PRE-TRIAL FACEBOOK POSTS - ANTI-TRUMP POSTS – CONVICTION UPHELD - NOT ABOUT DEFENDANT</w:t>
      </w:r>
    </w:p>
    <w:p w14:paraId="052D5851" w14:textId="77777777" w:rsidR="00A01ACA" w:rsidRDefault="00A01ACA" w:rsidP="00A01ACA">
      <w:pPr>
        <w:pStyle w:val="NoSpacing"/>
        <w:tabs>
          <w:tab w:val="left" w:pos="5860"/>
        </w:tabs>
        <w:rPr>
          <w:rFonts w:ascii="Arial Black" w:hAnsi="Arial Black"/>
          <w:sz w:val="28"/>
          <w:szCs w:val="28"/>
        </w:rPr>
      </w:pPr>
    </w:p>
    <w:p w14:paraId="37A1C490" w14:textId="77777777" w:rsidR="00A01ACA" w:rsidRPr="00976742" w:rsidRDefault="00A01ACA" w:rsidP="00A01ACA">
      <w:pPr>
        <w:pStyle w:val="NoSpacing"/>
        <w:tabs>
          <w:tab w:val="left" w:pos="5860"/>
        </w:tabs>
        <w:rPr>
          <w:rFonts w:ascii="Times New Roman" w:hAnsi="Times New Roman"/>
          <w:b/>
          <w:bCs/>
          <w:sz w:val="24"/>
          <w:szCs w:val="24"/>
        </w:rPr>
      </w:pPr>
      <w:r w:rsidRPr="00976742">
        <w:rPr>
          <w:rFonts w:ascii="Times New Roman" w:hAnsi="Times New Roman"/>
          <w:bCs/>
          <w:sz w:val="24"/>
          <w:szCs w:val="24"/>
        </w:rPr>
        <w:t xml:space="preserve">On April 16, 2020, in </w:t>
      </w:r>
      <w:r w:rsidRPr="00976742">
        <w:rPr>
          <w:rFonts w:ascii="Times New Roman" w:hAnsi="Times New Roman"/>
          <w:bCs/>
          <w:sz w:val="24"/>
          <w:szCs w:val="24"/>
          <w:u w:val="single"/>
        </w:rPr>
        <w:t>United States v. Roger Stone, Jr</w:t>
      </w:r>
      <w:r w:rsidRPr="00976742">
        <w:rPr>
          <w:rFonts w:ascii="Times New Roman" w:hAnsi="Times New Roman"/>
          <w:bCs/>
          <w:sz w:val="24"/>
          <w:szCs w:val="24"/>
        </w:rPr>
        <w:t xml:space="preserve">., U.S. District Court Judge Amy Berman Jackson denied the defense motion for new trial.   On the pre-trial Jury Questionnaire, the juror [she became foreperson of the jury] was asked about any social media posts the jury may have posted about the House of Representatives’ investigation of President Trump. The juror truthfully wrote: “I can’t remember if I did, but I may have shared an article on Facebook. Honestly not sure.” The Court denied the motion: “The motion is a tower of indignation, but at the end of the day, there is little of substance holding it up.” </w:t>
      </w:r>
    </w:p>
    <w:p w14:paraId="53FE9770" w14:textId="77777777" w:rsidR="00A01ACA" w:rsidRPr="00976742" w:rsidRDefault="00A01ACA" w:rsidP="00A01ACA">
      <w:pPr>
        <w:pStyle w:val="NoSpacing"/>
        <w:tabs>
          <w:tab w:val="left" w:pos="5860"/>
        </w:tabs>
        <w:ind w:left="720"/>
        <w:rPr>
          <w:rFonts w:ascii="Times New Roman" w:hAnsi="Times New Roman"/>
          <w:b/>
          <w:bCs/>
          <w:sz w:val="24"/>
          <w:szCs w:val="24"/>
        </w:rPr>
      </w:pPr>
    </w:p>
    <w:p w14:paraId="69047655" w14:textId="77777777" w:rsidR="00A01ACA" w:rsidRPr="00976742" w:rsidRDefault="00A01ACA" w:rsidP="00A01ACA">
      <w:pPr>
        <w:pStyle w:val="NoSpacing"/>
        <w:ind w:firstLine="630"/>
        <w:rPr>
          <w:rFonts w:ascii="Times New Roman" w:hAnsi="Times New Roman"/>
          <w:b/>
          <w:bCs/>
          <w:sz w:val="24"/>
          <w:szCs w:val="24"/>
        </w:rPr>
      </w:pPr>
      <w:r w:rsidRPr="00976742">
        <w:rPr>
          <w:rFonts w:ascii="Times New Roman" w:hAnsi="Times New Roman"/>
          <w:bCs/>
          <w:sz w:val="24"/>
          <w:szCs w:val="24"/>
        </w:rPr>
        <w:t>“The defendant has not shown that the juror lied; nor has he shown that the supposedly</w:t>
      </w:r>
    </w:p>
    <w:p w14:paraId="6B3C8221" w14:textId="77777777" w:rsidR="00A01ACA" w:rsidRPr="00976742" w:rsidRDefault="00A01ACA" w:rsidP="00A01ACA">
      <w:pPr>
        <w:pStyle w:val="NoSpacing"/>
        <w:ind w:left="630"/>
        <w:rPr>
          <w:rFonts w:ascii="Times New Roman" w:hAnsi="Times New Roman"/>
          <w:b/>
          <w:bCs/>
          <w:sz w:val="24"/>
          <w:szCs w:val="24"/>
        </w:rPr>
      </w:pPr>
      <w:r w:rsidRPr="00976742">
        <w:rPr>
          <w:rFonts w:ascii="Times New Roman" w:hAnsi="Times New Roman"/>
          <w:bCs/>
          <w:sz w:val="24"/>
          <w:szCs w:val="24"/>
        </w:rPr>
        <w:t xml:space="preserve">disqualifying evidence could not have been found through the exercise of due diligence at the time the jury was selected. Moreover, while the social media communications may suggest that the juror has strong opinions about certain people or issues, they do not reveal that she had an opinion about Roger Stone, which is the opinion that matters.” </w:t>
      </w:r>
      <w:hyperlink r:id="rId312" w:history="1">
        <w:r w:rsidRPr="00976742">
          <w:rPr>
            <w:rStyle w:val="Hyperlink"/>
            <w:rFonts w:ascii="Times New Roman" w:hAnsi="Times New Roman"/>
            <w:b/>
            <w:sz w:val="24"/>
            <w:szCs w:val="24"/>
          </w:rPr>
          <w:t>https://drive.google.com/file/d/1VWwIseEl7gdzhv6UxgyZNZeTX7Y_8-m_/view</w:t>
        </w:r>
      </w:hyperlink>
      <w:r w:rsidRPr="00976742">
        <w:rPr>
          <w:rFonts w:ascii="Times New Roman" w:hAnsi="Times New Roman"/>
          <w:bCs/>
          <w:sz w:val="24"/>
          <w:szCs w:val="24"/>
        </w:rPr>
        <w:t xml:space="preserve"> </w:t>
      </w:r>
    </w:p>
    <w:p w14:paraId="1D4B213C" w14:textId="77777777" w:rsidR="00A01ACA" w:rsidRDefault="00A01ACA" w:rsidP="00A01ACA">
      <w:pPr>
        <w:pStyle w:val="NoSpacing"/>
        <w:rPr>
          <w:rFonts w:ascii="Times New Roman" w:hAnsi="Times New Roman"/>
          <w:b/>
          <w:bCs/>
          <w:sz w:val="24"/>
          <w:szCs w:val="24"/>
        </w:rPr>
      </w:pPr>
    </w:p>
    <w:p w14:paraId="4B92375C" w14:textId="39E83BCE"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Juror’s use of social media is not a basis for setting aside the verdict, unless the posts deal with the case on which they are serving.  </w:t>
      </w:r>
    </w:p>
    <w:p w14:paraId="4362A1DC" w14:textId="77777777" w:rsidR="00A01ACA" w:rsidRDefault="00A01ACA" w:rsidP="00A01ACA">
      <w:pPr>
        <w:pStyle w:val="NoSpacing"/>
        <w:ind w:left="720"/>
        <w:rPr>
          <w:b/>
          <w:bCs/>
          <w:sz w:val="24"/>
          <w:szCs w:val="24"/>
        </w:rPr>
      </w:pPr>
    </w:p>
    <w:p w14:paraId="147FCCCB" w14:textId="77777777" w:rsidR="00A01ACA" w:rsidRDefault="00A01ACA" w:rsidP="002B1283">
      <w:pPr>
        <w:rPr>
          <w:rFonts w:ascii="Arial Black" w:hAnsi="Arial Black"/>
          <w:b/>
          <w:sz w:val="24"/>
          <w:szCs w:val="24"/>
        </w:rPr>
      </w:pPr>
    </w:p>
    <w:p w14:paraId="25B3069C" w14:textId="77777777" w:rsidR="00A01ACA" w:rsidRDefault="00A01ACA" w:rsidP="002B1283">
      <w:pPr>
        <w:rPr>
          <w:rFonts w:ascii="Arial Black" w:hAnsi="Arial Black"/>
          <w:b/>
          <w:sz w:val="24"/>
          <w:szCs w:val="24"/>
        </w:rPr>
      </w:pPr>
    </w:p>
    <w:p w14:paraId="02450068" w14:textId="366A43AD" w:rsidR="00A01ACA" w:rsidRDefault="00A01ACA" w:rsidP="002B1283">
      <w:pPr>
        <w:rPr>
          <w:rFonts w:ascii="Arial Black" w:hAnsi="Arial Black"/>
          <w:b/>
          <w:sz w:val="24"/>
          <w:szCs w:val="24"/>
        </w:rPr>
      </w:pPr>
      <w:r>
        <w:rPr>
          <w:rFonts w:ascii="Arial Black" w:hAnsi="Arial Black"/>
          <w:b/>
          <w:sz w:val="24"/>
          <w:szCs w:val="24"/>
        </w:rPr>
        <w:t>1-45</w:t>
      </w:r>
    </w:p>
    <w:p w14:paraId="1341531D" w14:textId="77777777" w:rsidR="00A01ACA" w:rsidRPr="00496CBF" w:rsidRDefault="00A01ACA" w:rsidP="00A01ACA">
      <w:pPr>
        <w:pStyle w:val="NoSpacing"/>
        <w:rPr>
          <w:rFonts w:ascii="Arial Black" w:hAnsi="Arial Black"/>
          <w:sz w:val="28"/>
          <w:szCs w:val="28"/>
        </w:rPr>
      </w:pPr>
      <w:bookmarkStart w:id="33" w:name="_Hlk39749155"/>
      <w:r w:rsidRPr="00496CBF">
        <w:rPr>
          <w:rFonts w:ascii="Arial Black" w:hAnsi="Arial Black"/>
          <w:sz w:val="28"/>
          <w:szCs w:val="28"/>
        </w:rPr>
        <w:t xml:space="preserve">IA: </w:t>
      </w:r>
      <w:r>
        <w:rPr>
          <w:rFonts w:ascii="Arial Black" w:hAnsi="Arial Black"/>
          <w:sz w:val="28"/>
          <w:szCs w:val="28"/>
        </w:rPr>
        <w:t>FIRE INVESTIGATION - TOASTER FIRE – STATE FARM INSURANCE PROPERLY REFUSED PAY HOMEOWNER</w:t>
      </w:r>
    </w:p>
    <w:p w14:paraId="4C1E4764" w14:textId="77777777" w:rsidR="00A01ACA" w:rsidRDefault="00A01ACA" w:rsidP="00A01ACA">
      <w:pPr>
        <w:pStyle w:val="NoSpacing"/>
        <w:rPr>
          <w:b/>
          <w:bCs/>
          <w:sz w:val="24"/>
          <w:szCs w:val="24"/>
        </w:rPr>
      </w:pPr>
    </w:p>
    <w:p w14:paraId="40A5A896"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April 6, 2020, in </w:t>
      </w:r>
      <w:r w:rsidRPr="00976742">
        <w:rPr>
          <w:rFonts w:ascii="Times New Roman" w:hAnsi="Times New Roman"/>
          <w:bCs/>
          <w:sz w:val="24"/>
          <w:szCs w:val="24"/>
          <w:u w:val="single"/>
        </w:rPr>
        <w:t>Bryan Jones and Sarah Jones v. State Farm And Casualty Company</w:t>
      </w:r>
      <w:r w:rsidRPr="00976742">
        <w:rPr>
          <w:rFonts w:ascii="Times New Roman" w:hAnsi="Times New Roman"/>
          <w:bCs/>
          <w:sz w:val="24"/>
          <w:szCs w:val="24"/>
        </w:rPr>
        <w:t>, U.S. District Court Judge Leonard T. Strand, Chief Judge, U.S. District Court for the Northern District of Iowa, Western Division, granted summary judgment to State Farm and dismissed the lawsuit.  The insurance company refused to pay for the fire damage when evidence showed that paper was put in the toaster, it was turned on and a roll of paper towels was left on top of the toaster.  Former co-workers of Sarah Jones also informed State Farm about suspicious comments.</w:t>
      </w:r>
    </w:p>
    <w:p w14:paraId="2E41537E" w14:textId="77777777" w:rsidR="00A01ACA" w:rsidRPr="00976742" w:rsidRDefault="00A01ACA" w:rsidP="00A01ACA">
      <w:pPr>
        <w:pStyle w:val="NoSpacing"/>
        <w:rPr>
          <w:rFonts w:ascii="Times New Roman" w:hAnsi="Times New Roman"/>
          <w:b/>
          <w:bCs/>
          <w:sz w:val="24"/>
          <w:szCs w:val="24"/>
        </w:rPr>
      </w:pPr>
    </w:p>
    <w:p w14:paraId="1B2CC9D0"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“In short, there is undisputed evidence that the fire started at the toaster, that a paper-like material was observed on top of the toaster after the fire and that the toaster was in the ‘on’ position. There is also unrebutted expert opinion evidence that a defect in the toaster, or in the home's electrical system, could not have caused the fire and that the fire could have been started by putting paper products in and on the toaster. On this record, and regardless of plaintiffs' denials, no reasonable jury could find that the fire was accidental. As such, and as a matter of law, State Farm did not breach the insurance contract by denying coverage for the loss that resulted from the fire.” </w:t>
      </w:r>
    </w:p>
    <w:p w14:paraId="3E9299E7" w14:textId="2046FD84" w:rsidR="00A01ACA" w:rsidRDefault="00A01ACA" w:rsidP="00A01ACA">
      <w:pPr>
        <w:rPr>
          <w:rFonts w:ascii="Arial Black" w:hAnsi="Arial Black"/>
          <w:b/>
          <w:sz w:val="24"/>
          <w:szCs w:val="24"/>
        </w:rPr>
      </w:pPr>
      <w:hyperlink r:id="rId313" w:history="1">
        <w:r w:rsidRPr="00976742">
          <w:rPr>
            <w:rStyle w:val="Hyperlink"/>
            <w:rFonts w:ascii="Times New Roman" w:hAnsi="Times New Roman"/>
            <w:b/>
            <w:sz w:val="24"/>
            <w:szCs w:val="24"/>
          </w:rPr>
          <w:t>https://public.fastcase.com/Wl%2B2t%2BeVuI35%2FN70vAMFZiMSkjeFjM9WB95jitKYLwuiXut%2FEoidjwwdPtdsEj9z</w:t>
        </w:r>
      </w:hyperlink>
    </w:p>
    <w:bookmarkEnd w:id="33"/>
    <w:p w14:paraId="7F114673" w14:textId="77777777" w:rsidR="00A01ACA" w:rsidRPr="00976742" w:rsidRDefault="00A01ACA" w:rsidP="00A01ACA">
      <w:pPr>
        <w:pStyle w:val="NoSpacing"/>
        <w:rPr>
          <w:rFonts w:ascii="Times New Roman" w:hAnsi="Times New Roman"/>
          <w:b/>
          <w:bCs/>
          <w:sz w:val="24"/>
          <w:szCs w:val="24"/>
        </w:rPr>
      </w:pPr>
      <w:r w:rsidRPr="00976742">
        <w:rPr>
          <w:rFonts w:ascii="Times New Roman" w:eastAsia="Times New Roman" w:hAnsi="Times New Roman"/>
          <w:b/>
          <w:bCs/>
          <w:sz w:val="24"/>
          <w:szCs w:val="24"/>
        </w:rPr>
        <w:t xml:space="preserve">Legal Lessons Learned:  Insurance companies wisely use experts to investigate suspicious claims. </w:t>
      </w:r>
      <w:r w:rsidRPr="00976742">
        <w:rPr>
          <w:rFonts w:ascii="Times New Roman" w:hAnsi="Times New Roman"/>
          <w:b/>
          <w:bCs/>
          <w:sz w:val="24"/>
          <w:szCs w:val="24"/>
        </w:rPr>
        <w:t xml:space="preserve">The U.S. District Court judge added this footnote at the end of his decision about prior arson conviction of Bryan Jones. </w:t>
      </w:r>
    </w:p>
    <w:p w14:paraId="54C8A1BD" w14:textId="77777777" w:rsidR="00A01ACA" w:rsidRPr="00976742" w:rsidRDefault="00A01ACA" w:rsidP="00A01ACA">
      <w:pPr>
        <w:pStyle w:val="NoSpacing"/>
        <w:rPr>
          <w:rFonts w:ascii="Times New Roman" w:hAnsi="Times New Roman"/>
          <w:b/>
          <w:bCs/>
          <w:sz w:val="24"/>
          <w:szCs w:val="24"/>
        </w:rPr>
      </w:pPr>
    </w:p>
    <w:p w14:paraId="2FF1A228"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Footnote 4: “Plaintiffs dispute the admissibility of certain other evidence State Farm discovered during its investigation. For example, plaintiffs were experiencing serious financial difficulties, Bryan has a prior arson conviction, Sarah had submitted a prior fire loss claim and Bryan had once reported a vehicle stolen but it was located a short distance away and had been set on fire….  It is not necessary to consider this evidence to conclude that plaintiffs have failed to meet their burden of producing evidence from which reasonable jurors could find that the fire was accidental or that they did not intentionally start the fire. As such, I need not resolve the admissibility issue. I do note that evidence of these additional facts would almost certainly be relevant, at minimum, for purposes of determining whether State Farm acted in bad faith in denying coverage, if that claim could otherwise proceed to trial.”</w:t>
      </w:r>
    </w:p>
    <w:p w14:paraId="6EAB909D" w14:textId="77777777" w:rsidR="00A01ACA" w:rsidRDefault="00A01ACA" w:rsidP="002B1283">
      <w:pPr>
        <w:rPr>
          <w:rFonts w:ascii="Arial Black" w:hAnsi="Arial Black"/>
          <w:b/>
          <w:sz w:val="24"/>
          <w:szCs w:val="24"/>
        </w:rPr>
      </w:pPr>
    </w:p>
    <w:p w14:paraId="602CDF22" w14:textId="62E91B05" w:rsidR="00A01ACA" w:rsidRDefault="00A01ACA" w:rsidP="002B1283">
      <w:pPr>
        <w:rPr>
          <w:rFonts w:ascii="Arial Black" w:hAnsi="Arial Black"/>
          <w:b/>
          <w:sz w:val="24"/>
          <w:szCs w:val="24"/>
        </w:rPr>
      </w:pPr>
      <w:r>
        <w:rPr>
          <w:rFonts w:ascii="Arial Black" w:hAnsi="Arial Black"/>
          <w:b/>
          <w:sz w:val="24"/>
          <w:szCs w:val="24"/>
        </w:rPr>
        <w:t>1-44</w:t>
      </w:r>
    </w:p>
    <w:p w14:paraId="77DBBD28" w14:textId="77777777" w:rsidR="00A01ACA" w:rsidRPr="00FE6BFF" w:rsidRDefault="00A01ACA" w:rsidP="00A01ACA">
      <w:pPr>
        <w:pStyle w:val="NoSpacing"/>
        <w:rPr>
          <w:rFonts w:ascii="Arial Black" w:hAnsi="Arial Black"/>
          <w:b/>
          <w:bCs/>
          <w:sz w:val="28"/>
          <w:szCs w:val="28"/>
        </w:rPr>
      </w:pPr>
      <w:bookmarkStart w:id="34" w:name="_Hlk39749233"/>
      <w:bookmarkStart w:id="35" w:name="_Hlk41315261"/>
      <w:r>
        <w:rPr>
          <w:rFonts w:ascii="Arial Black" w:hAnsi="Arial Black"/>
          <w:bCs/>
          <w:sz w:val="28"/>
          <w:szCs w:val="28"/>
        </w:rPr>
        <w:t xml:space="preserve">U.S. SUP. CT:  POLICE USED “COMMON SENSE” – DRIVER WITH REVOKED LICENSE - REASONABLE SUSPICION </w:t>
      </w:r>
    </w:p>
    <w:p w14:paraId="43F48CFC" w14:textId="77777777" w:rsidR="00A01ACA" w:rsidRDefault="00A01ACA" w:rsidP="00A01ACA">
      <w:pPr>
        <w:pStyle w:val="NoSpacing"/>
        <w:rPr>
          <w:b/>
          <w:bCs/>
          <w:sz w:val="24"/>
          <w:szCs w:val="24"/>
        </w:rPr>
      </w:pPr>
    </w:p>
    <w:p w14:paraId="17D1774A" w14:textId="3D84C8E7" w:rsidR="00A01ACA" w:rsidRPr="00976742" w:rsidRDefault="00A01ACA" w:rsidP="00A01ACA">
      <w:pPr>
        <w:pStyle w:val="NoSpacing"/>
        <w:rPr>
          <w:rFonts w:ascii="Times New Roman" w:hAnsi="Times New Roman"/>
          <w:b/>
          <w:sz w:val="24"/>
          <w:szCs w:val="24"/>
        </w:rPr>
      </w:pPr>
      <w:r w:rsidRPr="00976742">
        <w:rPr>
          <w:rFonts w:ascii="Times New Roman" w:hAnsi="Times New Roman"/>
          <w:sz w:val="24"/>
          <w:szCs w:val="24"/>
        </w:rPr>
        <w:t xml:space="preserve">On April 6, 2020, in </w:t>
      </w:r>
      <w:r w:rsidRPr="00976742">
        <w:rPr>
          <w:rFonts w:ascii="Times New Roman" w:hAnsi="Times New Roman"/>
          <w:sz w:val="24"/>
          <w:szCs w:val="24"/>
          <w:u w:val="single"/>
        </w:rPr>
        <w:t>Kansas v. Charles Glover, Jr</w:t>
      </w:r>
      <w:r w:rsidRPr="00976742">
        <w:rPr>
          <w:rFonts w:ascii="Times New Roman" w:hAnsi="Times New Roman"/>
          <w:sz w:val="24"/>
          <w:szCs w:val="24"/>
        </w:rPr>
        <w:t xml:space="preserve">., held (8 to 0) in an opinion by Justice Clarence Thomas that the Deputy Sheriff on patrol, who runs a license plate and learns owner of vehicle has revoked driver’s license, used his “common sense” and had “reasonable suspicion” to make a traffic stop of the male driver.   The trial judge had granted defense motion to suppress, which the Court of Appeals reversed. The Kansas Supreme Court, however, agreed with the trial judge, finding the Deputy Sheriff  did not have reasonable suspicion because his inference that Glover was behind the wheel amounted to “only a hunch.”  </w:t>
      </w:r>
      <w:proofErr w:type="gramStart"/>
      <w:r w:rsidRPr="00976742">
        <w:rPr>
          <w:rFonts w:ascii="Times New Roman" w:hAnsi="Times New Roman"/>
          <w:sz w:val="24"/>
          <w:szCs w:val="24"/>
        </w:rPr>
        <w:t>Fortunately</w:t>
      </w:r>
      <w:proofErr w:type="gramEnd"/>
      <w:r w:rsidRPr="00976742">
        <w:rPr>
          <w:rFonts w:ascii="Times New Roman" w:hAnsi="Times New Roman"/>
          <w:sz w:val="24"/>
          <w:szCs w:val="24"/>
        </w:rPr>
        <w:t xml:space="preserve"> the U.S. Supreme Court reversed the Kansas Supreme Court.</w:t>
      </w:r>
    </w:p>
    <w:bookmarkEnd w:id="34"/>
    <w:p w14:paraId="59DA2042" w14:textId="77777777" w:rsidR="00A01ACA" w:rsidRPr="00976742" w:rsidRDefault="00A01ACA" w:rsidP="00A01ACA">
      <w:pPr>
        <w:pStyle w:val="NoSpacing"/>
        <w:rPr>
          <w:rFonts w:ascii="Times New Roman" w:hAnsi="Times New Roman"/>
          <w:b/>
          <w:sz w:val="24"/>
          <w:szCs w:val="24"/>
        </w:rPr>
      </w:pPr>
    </w:p>
    <w:p w14:paraId="20145DAB" w14:textId="77777777" w:rsidR="00A01ACA" w:rsidRPr="00976742" w:rsidRDefault="00A01ACA" w:rsidP="00A01ACA">
      <w:pPr>
        <w:pStyle w:val="NoSpacing"/>
        <w:rPr>
          <w:rFonts w:ascii="Times New Roman" w:hAnsi="Times New Roman"/>
          <w:b/>
          <w:sz w:val="24"/>
          <w:szCs w:val="24"/>
        </w:rPr>
      </w:pPr>
      <w:r w:rsidRPr="00976742">
        <w:rPr>
          <w:rFonts w:ascii="Times New Roman" w:hAnsi="Times New Roman"/>
          <w:sz w:val="24"/>
          <w:szCs w:val="24"/>
        </w:rPr>
        <w:t xml:space="preserve">“Because it is a ‘less demanding’ standard, ‘reasonable suspicion can be established with information that is different in quantity or content than that required to establish probable cause.’ Alabama v. White, 496 U. S. 325, 330 (1990). The standard ‘depends on the factual and practical considerations of everyday life on which reasonable and prudent men, not legal technicians, act.’ Navarette, supra, at 402 (quoting Ornelas v. United States, 517 U. S. 690, 695 (1996) (emphasis added; internal quotation marks omitted)). Courts “cannot reasonably demand scientific certainty . . . where none exists.” Illinois v. Wardlow, 528 U. S. 119, 125 (2000). Rather, they must permit officers to make ‘commonsense judgments and inferences about human behavior.’ Ibid.”  </w:t>
      </w:r>
      <w:bookmarkStart w:id="36" w:name="_Hlk39749259"/>
      <w:r w:rsidR="00334940">
        <w:fldChar w:fldCharType="begin"/>
      </w:r>
      <w:r w:rsidR="00334940">
        <w:instrText xml:space="preserve"> HYPERLINK "https://www.supremecourt.gov/opinions/19pdf/18-556_e1pf.pdf" </w:instrText>
      </w:r>
      <w:r w:rsidR="00334940">
        <w:fldChar w:fldCharType="separate"/>
      </w:r>
      <w:r w:rsidRPr="00976742">
        <w:rPr>
          <w:rStyle w:val="Hyperlink"/>
          <w:rFonts w:ascii="Times New Roman" w:hAnsi="Times New Roman"/>
          <w:b/>
          <w:sz w:val="24"/>
          <w:szCs w:val="24"/>
        </w:rPr>
        <w:t>https://www.supremecourt.gov/opinions/19pdf/18-556_e1pf.pdf</w:t>
      </w:r>
      <w:r w:rsidR="00334940">
        <w:rPr>
          <w:rStyle w:val="Hyperlink"/>
          <w:rFonts w:ascii="Times New Roman" w:hAnsi="Times New Roman"/>
          <w:b/>
          <w:sz w:val="24"/>
          <w:szCs w:val="24"/>
        </w:rPr>
        <w:fldChar w:fldCharType="end"/>
      </w:r>
      <w:r w:rsidRPr="00976742">
        <w:rPr>
          <w:rFonts w:ascii="Times New Roman" w:hAnsi="Times New Roman"/>
          <w:sz w:val="24"/>
          <w:szCs w:val="24"/>
        </w:rPr>
        <w:t xml:space="preserve"> </w:t>
      </w:r>
    </w:p>
    <w:bookmarkEnd w:id="36"/>
    <w:p w14:paraId="2D786138" w14:textId="77777777" w:rsidR="00A01ACA" w:rsidRDefault="00A01ACA" w:rsidP="00A01ACA">
      <w:pPr>
        <w:pStyle w:val="NoSpacing"/>
        <w:rPr>
          <w:rFonts w:ascii="Times New Roman" w:hAnsi="Times New Roman"/>
          <w:b/>
          <w:sz w:val="24"/>
          <w:szCs w:val="24"/>
        </w:rPr>
      </w:pPr>
    </w:p>
    <w:p w14:paraId="30124E97" w14:textId="495DC5C1" w:rsidR="00A01ACA" w:rsidRPr="00976742" w:rsidRDefault="00A01ACA" w:rsidP="00A01ACA">
      <w:pPr>
        <w:pStyle w:val="NoSpacing"/>
        <w:rPr>
          <w:rFonts w:ascii="Times New Roman" w:hAnsi="Times New Roman"/>
          <w:b/>
          <w:sz w:val="24"/>
          <w:szCs w:val="24"/>
        </w:rPr>
      </w:pPr>
      <w:r w:rsidRPr="00976742">
        <w:rPr>
          <w:rFonts w:ascii="Times New Roman" w:hAnsi="Times New Roman"/>
          <w:b/>
          <w:sz w:val="24"/>
          <w:szCs w:val="24"/>
        </w:rPr>
        <w:t xml:space="preserve">Legal Lessons Learned:  Excellent “common sense” decision. </w:t>
      </w:r>
    </w:p>
    <w:p w14:paraId="7888B846" w14:textId="77777777" w:rsidR="00A01ACA" w:rsidRDefault="00A01ACA" w:rsidP="002B1283">
      <w:pPr>
        <w:rPr>
          <w:rFonts w:ascii="Arial Black" w:hAnsi="Arial Black"/>
          <w:b/>
          <w:sz w:val="24"/>
          <w:szCs w:val="24"/>
        </w:rPr>
      </w:pPr>
    </w:p>
    <w:bookmarkEnd w:id="35"/>
    <w:p w14:paraId="64B13BB6" w14:textId="77777777" w:rsidR="00A01ACA" w:rsidRDefault="00A01ACA" w:rsidP="002B1283">
      <w:pPr>
        <w:rPr>
          <w:rFonts w:ascii="Arial Black" w:hAnsi="Arial Black"/>
          <w:b/>
          <w:sz w:val="24"/>
          <w:szCs w:val="24"/>
        </w:rPr>
      </w:pPr>
    </w:p>
    <w:p w14:paraId="5FB81DC1" w14:textId="77777777" w:rsidR="00A01ACA" w:rsidRDefault="00A01ACA" w:rsidP="002B1283">
      <w:pPr>
        <w:rPr>
          <w:rFonts w:ascii="Arial Black" w:hAnsi="Arial Black"/>
          <w:b/>
          <w:sz w:val="24"/>
          <w:szCs w:val="24"/>
        </w:rPr>
      </w:pPr>
    </w:p>
    <w:p w14:paraId="62CA3ED8" w14:textId="7E4CB491" w:rsidR="00A01ACA" w:rsidRDefault="00A01ACA" w:rsidP="002B1283">
      <w:pPr>
        <w:rPr>
          <w:rFonts w:ascii="Arial Black" w:hAnsi="Arial Black"/>
          <w:b/>
          <w:sz w:val="24"/>
          <w:szCs w:val="24"/>
        </w:rPr>
      </w:pPr>
      <w:r>
        <w:rPr>
          <w:rFonts w:ascii="Arial Black" w:hAnsi="Arial Black"/>
          <w:b/>
          <w:sz w:val="24"/>
          <w:szCs w:val="24"/>
        </w:rPr>
        <w:t>1-43</w:t>
      </w:r>
    </w:p>
    <w:p w14:paraId="1CB8A4E4" w14:textId="77777777" w:rsidR="00A01ACA" w:rsidRPr="00295EFD" w:rsidRDefault="00A01ACA" w:rsidP="00A01ACA">
      <w:pPr>
        <w:pStyle w:val="NoSpacing"/>
        <w:rPr>
          <w:rFonts w:ascii="Arial Black" w:hAnsi="Arial Black"/>
          <w:sz w:val="28"/>
          <w:szCs w:val="28"/>
        </w:rPr>
      </w:pPr>
      <w:bookmarkStart w:id="37" w:name="_Hlk39749327"/>
      <w:r w:rsidRPr="00295EFD">
        <w:rPr>
          <w:rFonts w:ascii="Arial Black" w:hAnsi="Arial Black"/>
          <w:sz w:val="28"/>
          <w:szCs w:val="28"/>
        </w:rPr>
        <w:t xml:space="preserve">CA: </w:t>
      </w:r>
      <w:r>
        <w:rPr>
          <w:rFonts w:ascii="Arial Black" w:hAnsi="Arial Black"/>
          <w:sz w:val="28"/>
          <w:szCs w:val="28"/>
        </w:rPr>
        <w:t xml:space="preserve">FIRE INVESTIGATION - HOMEOWNER CONFESSED - PROS. DELAYED DISCOSURE OF LAB RECEIPTS – NO HARM </w:t>
      </w:r>
    </w:p>
    <w:p w14:paraId="729A7719" w14:textId="77777777" w:rsidR="00A01ACA" w:rsidRDefault="00A01ACA" w:rsidP="00A01ACA">
      <w:pPr>
        <w:pStyle w:val="NoSpacing"/>
        <w:rPr>
          <w:b/>
          <w:bCs/>
          <w:sz w:val="24"/>
          <w:szCs w:val="24"/>
        </w:rPr>
      </w:pPr>
    </w:p>
    <w:p w14:paraId="2AD7E3BC"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April 3, 2020, in </w:t>
      </w:r>
      <w:r w:rsidRPr="00976742">
        <w:rPr>
          <w:rFonts w:ascii="Times New Roman" w:hAnsi="Times New Roman"/>
          <w:bCs/>
          <w:sz w:val="24"/>
          <w:szCs w:val="24"/>
          <w:u w:val="single"/>
        </w:rPr>
        <w:t xml:space="preserve">The People v. Lincoln </w:t>
      </w:r>
      <w:proofErr w:type="spellStart"/>
      <w:r w:rsidRPr="00976742">
        <w:rPr>
          <w:rFonts w:ascii="Times New Roman" w:hAnsi="Times New Roman"/>
          <w:bCs/>
          <w:sz w:val="24"/>
          <w:szCs w:val="24"/>
          <w:u w:val="single"/>
        </w:rPr>
        <w:t>Testro</w:t>
      </w:r>
      <w:proofErr w:type="spellEnd"/>
      <w:r w:rsidRPr="00976742">
        <w:rPr>
          <w:rFonts w:ascii="Times New Roman" w:hAnsi="Times New Roman"/>
          <w:bCs/>
          <w:sz w:val="24"/>
          <w:szCs w:val="24"/>
          <w:u w:val="single"/>
        </w:rPr>
        <w:t xml:space="preserve"> Smith</w:t>
      </w:r>
      <w:r w:rsidRPr="00976742">
        <w:rPr>
          <w:rFonts w:ascii="Times New Roman" w:hAnsi="Times New Roman"/>
          <w:bCs/>
          <w:sz w:val="24"/>
          <w:szCs w:val="24"/>
        </w:rPr>
        <w:t xml:space="preserve">, the Court of Appeal of California (Second Appellate District / Division Five) held (3 to 0) in an unpublished decision, that trial court properly refused to instruct the jury about late disclosure of 75 pages of lab receipts, since the disclosure the night prior to the second (and last) day of trial was made prior to the LA County Sheriff’s senior criminalist’s testimony, did not cause any harm to the defense.   Defense already had his two page </w:t>
      </w:r>
      <w:proofErr w:type="gramStart"/>
      <w:r w:rsidRPr="00976742">
        <w:rPr>
          <w:rFonts w:ascii="Times New Roman" w:hAnsi="Times New Roman"/>
          <w:bCs/>
          <w:sz w:val="24"/>
          <w:szCs w:val="24"/>
        </w:rPr>
        <w:t>report, and</w:t>
      </w:r>
      <w:proofErr w:type="gramEnd"/>
      <w:r w:rsidRPr="00976742">
        <w:rPr>
          <w:rFonts w:ascii="Times New Roman" w:hAnsi="Times New Roman"/>
          <w:bCs/>
          <w:sz w:val="24"/>
          <w:szCs w:val="24"/>
        </w:rPr>
        <w:t xml:space="preserve"> did not request a continuance of the trial. </w:t>
      </w:r>
    </w:p>
    <w:bookmarkEnd w:id="37"/>
    <w:p w14:paraId="37485B45" w14:textId="77777777" w:rsidR="00A01ACA" w:rsidRPr="00976742" w:rsidRDefault="00A01ACA" w:rsidP="00A01ACA">
      <w:pPr>
        <w:pStyle w:val="NoSpacing"/>
        <w:rPr>
          <w:rFonts w:ascii="Times New Roman" w:hAnsi="Times New Roman"/>
          <w:b/>
          <w:bCs/>
          <w:sz w:val="24"/>
          <w:szCs w:val="24"/>
        </w:rPr>
      </w:pPr>
    </w:p>
    <w:p w14:paraId="6DE233D7"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“[T]he prosecution’s explanation for the discovery delay offered at trial did not reveal any willful misconduct. And most importantly, the defense was unable to articulate any concrete disadvantage </w:t>
      </w:r>
      <w:proofErr w:type="gramStart"/>
      <w:r w:rsidRPr="00976742">
        <w:rPr>
          <w:rFonts w:ascii="Times New Roman" w:hAnsi="Times New Roman"/>
          <w:bCs/>
          <w:sz w:val="24"/>
          <w:szCs w:val="24"/>
        </w:rPr>
        <w:t>occasioned</w:t>
      </w:r>
      <w:proofErr w:type="gramEnd"/>
      <w:r w:rsidRPr="00976742">
        <w:rPr>
          <w:rFonts w:ascii="Times New Roman" w:hAnsi="Times New Roman"/>
          <w:bCs/>
          <w:sz w:val="24"/>
          <w:szCs w:val="24"/>
        </w:rPr>
        <w:t xml:space="preserve"> by the production of the data and notes underlying West’s  [Michael West, a senior criminalist with the Los Angeles County Sheriff’s Department, two </w:t>
      </w:r>
      <w:proofErr w:type="gramStart"/>
      <w:r w:rsidRPr="00976742">
        <w:rPr>
          <w:rFonts w:ascii="Times New Roman" w:hAnsi="Times New Roman"/>
          <w:bCs/>
          <w:sz w:val="24"/>
          <w:szCs w:val="24"/>
        </w:rPr>
        <w:t>page</w:t>
      </w:r>
      <w:proofErr w:type="gramEnd"/>
      <w:r w:rsidRPr="00976742">
        <w:rPr>
          <w:rFonts w:ascii="Times New Roman" w:hAnsi="Times New Roman"/>
          <w:bCs/>
          <w:sz w:val="24"/>
          <w:szCs w:val="24"/>
        </w:rPr>
        <w:t xml:space="preserve">] summary report (which had been timely produced) before West </w:t>
      </w:r>
      <w:proofErr w:type="gramStart"/>
      <w:r w:rsidRPr="00976742">
        <w:rPr>
          <w:rFonts w:ascii="Times New Roman" w:hAnsi="Times New Roman"/>
          <w:bCs/>
          <w:sz w:val="24"/>
          <w:szCs w:val="24"/>
        </w:rPr>
        <w:t>testified.”</w:t>
      </w:r>
      <w:proofErr w:type="gramEnd"/>
      <w:r w:rsidRPr="00976742">
        <w:rPr>
          <w:rFonts w:ascii="Times New Roman" w:hAnsi="Times New Roman"/>
          <w:bCs/>
          <w:sz w:val="24"/>
          <w:szCs w:val="24"/>
        </w:rPr>
        <w:t xml:space="preserve"> </w:t>
      </w:r>
      <w:bookmarkStart w:id="38" w:name="_Hlk39749347"/>
      <w:r w:rsidR="00334940">
        <w:fldChar w:fldCharType="begin"/>
      </w:r>
      <w:r w:rsidR="00334940">
        <w:instrText xml:space="preserve"> HYPERLINK "https://www.courts.ca.gov/opinions/nonpub/B294627.PDF" </w:instrText>
      </w:r>
      <w:r w:rsidR="00334940">
        <w:fldChar w:fldCharType="separate"/>
      </w:r>
      <w:r w:rsidRPr="00976742">
        <w:rPr>
          <w:rStyle w:val="Hyperlink"/>
          <w:rFonts w:ascii="Times New Roman" w:hAnsi="Times New Roman"/>
          <w:b/>
          <w:sz w:val="24"/>
          <w:szCs w:val="24"/>
        </w:rPr>
        <w:t>https://www.courts.ca.gov/opinions/nonpub/B294627.PDF</w:t>
      </w:r>
      <w:r w:rsidR="00334940">
        <w:rPr>
          <w:rStyle w:val="Hyperlink"/>
          <w:rFonts w:ascii="Times New Roman" w:hAnsi="Times New Roman"/>
          <w:b/>
          <w:sz w:val="24"/>
          <w:szCs w:val="24"/>
        </w:rPr>
        <w:fldChar w:fldCharType="end"/>
      </w:r>
      <w:r w:rsidRPr="00976742">
        <w:rPr>
          <w:rFonts w:ascii="Times New Roman" w:hAnsi="Times New Roman"/>
          <w:bCs/>
          <w:sz w:val="24"/>
          <w:szCs w:val="24"/>
        </w:rPr>
        <w:t xml:space="preserve"> </w:t>
      </w:r>
    </w:p>
    <w:bookmarkEnd w:id="38"/>
    <w:p w14:paraId="51DFCA96" w14:textId="77777777" w:rsidR="00A01ACA" w:rsidRDefault="00A01ACA" w:rsidP="00A01ACA">
      <w:pPr>
        <w:pStyle w:val="NoSpacing"/>
        <w:rPr>
          <w:rFonts w:ascii="Times New Roman" w:hAnsi="Times New Roman"/>
          <w:b/>
          <w:bCs/>
          <w:sz w:val="24"/>
          <w:szCs w:val="24"/>
        </w:rPr>
      </w:pPr>
    </w:p>
    <w:p w14:paraId="017669B6" w14:textId="36C22A5C"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lastRenderedPageBreak/>
        <w:t xml:space="preserve">Legal Lessons Learned: Defense counsel is entitled to expert reports, and lab receipts, prior to trial. In this case, was no continuance requested, and no harm. </w:t>
      </w:r>
    </w:p>
    <w:p w14:paraId="0E756384" w14:textId="77777777" w:rsidR="00A01ACA" w:rsidRDefault="00A01ACA" w:rsidP="002B1283">
      <w:pPr>
        <w:rPr>
          <w:rFonts w:ascii="Arial Black" w:hAnsi="Arial Black"/>
          <w:b/>
          <w:sz w:val="24"/>
          <w:szCs w:val="24"/>
        </w:rPr>
      </w:pPr>
    </w:p>
    <w:p w14:paraId="563B0DC8" w14:textId="77777777" w:rsidR="00A01ACA" w:rsidRDefault="00A01ACA" w:rsidP="002B1283">
      <w:pPr>
        <w:rPr>
          <w:rFonts w:ascii="Arial Black" w:hAnsi="Arial Black"/>
          <w:b/>
          <w:sz w:val="24"/>
          <w:szCs w:val="24"/>
        </w:rPr>
      </w:pPr>
    </w:p>
    <w:p w14:paraId="6648F8A8" w14:textId="03D9D132" w:rsidR="007540BD" w:rsidRDefault="007540BD" w:rsidP="002B1283">
      <w:pPr>
        <w:rPr>
          <w:rFonts w:ascii="Arial Black" w:hAnsi="Arial Black"/>
          <w:b/>
          <w:sz w:val="24"/>
          <w:szCs w:val="24"/>
        </w:rPr>
      </w:pPr>
      <w:r>
        <w:rPr>
          <w:rFonts w:ascii="Arial Black" w:hAnsi="Arial Black"/>
          <w:b/>
          <w:sz w:val="24"/>
          <w:szCs w:val="24"/>
        </w:rPr>
        <w:t>1-42</w:t>
      </w:r>
    </w:p>
    <w:p w14:paraId="7E025176" w14:textId="77777777" w:rsidR="007540BD" w:rsidRPr="008B3DEE" w:rsidRDefault="007540BD" w:rsidP="007540BD">
      <w:pPr>
        <w:pStyle w:val="NoSpacing"/>
        <w:rPr>
          <w:rFonts w:ascii="Arial Black" w:hAnsi="Arial Black"/>
          <w:b/>
          <w:bCs/>
          <w:sz w:val="28"/>
          <w:szCs w:val="28"/>
        </w:rPr>
      </w:pPr>
      <w:bookmarkStart w:id="39" w:name="_Hlk69187636"/>
      <w:bookmarkStart w:id="40" w:name="_Hlk39749408"/>
      <w:r w:rsidRPr="008B3DEE">
        <w:rPr>
          <w:rFonts w:ascii="Arial Black" w:hAnsi="Arial Black"/>
          <w:bCs/>
          <w:sz w:val="28"/>
          <w:szCs w:val="28"/>
        </w:rPr>
        <w:t xml:space="preserve">OH: </w:t>
      </w:r>
      <w:r>
        <w:rPr>
          <w:rFonts w:ascii="Arial Black" w:hAnsi="Arial Black"/>
          <w:bCs/>
          <w:sz w:val="28"/>
          <w:szCs w:val="28"/>
        </w:rPr>
        <w:t>42 VIOLATIONS OHIO FIRE CODE – 110 YR-OLD MINI-MALL, “THE ARCADE” - COURT UPHOLDS CITATIONS</w:t>
      </w:r>
    </w:p>
    <w:bookmarkEnd w:id="39"/>
    <w:p w14:paraId="39FC22F7" w14:textId="77777777" w:rsidR="007540BD" w:rsidRPr="00322F87" w:rsidRDefault="007540BD" w:rsidP="007540BD">
      <w:pPr>
        <w:pStyle w:val="NoSpacing"/>
        <w:rPr>
          <w:b/>
          <w:bCs/>
          <w:sz w:val="24"/>
          <w:szCs w:val="24"/>
        </w:rPr>
      </w:pPr>
      <w:r w:rsidRPr="00322F87">
        <w:rPr>
          <w:rStyle w:val="Strong"/>
          <w:sz w:val="24"/>
          <w:szCs w:val="24"/>
        </w:rPr>
        <w:t xml:space="preserve"> </w:t>
      </w:r>
    </w:p>
    <w:p w14:paraId="18D62464" w14:textId="5E1BDF02" w:rsidR="007540BD" w:rsidRPr="007C7258" w:rsidRDefault="007540BD" w:rsidP="007540BD">
      <w:pPr>
        <w:pStyle w:val="NoSpacing"/>
        <w:rPr>
          <w:rFonts w:ascii="Times New Roman" w:hAnsi="Times New Roman"/>
          <w:b/>
          <w:bCs/>
          <w:sz w:val="24"/>
          <w:szCs w:val="24"/>
        </w:rPr>
      </w:pPr>
      <w:r w:rsidRPr="007C7258">
        <w:rPr>
          <w:rFonts w:ascii="Times New Roman" w:hAnsi="Times New Roman"/>
          <w:bCs/>
          <w:sz w:val="24"/>
          <w:szCs w:val="24"/>
        </w:rPr>
        <w:t xml:space="preserve">On </w:t>
      </w:r>
      <w:bookmarkStart w:id="41" w:name="_Hlk39822442"/>
      <w:r w:rsidRPr="007C7258">
        <w:rPr>
          <w:rFonts w:ascii="Times New Roman" w:hAnsi="Times New Roman"/>
          <w:bCs/>
          <w:sz w:val="24"/>
          <w:szCs w:val="24"/>
        </w:rPr>
        <w:t>March 23, 20</w:t>
      </w:r>
      <w:r w:rsidR="00F2621E">
        <w:rPr>
          <w:rFonts w:ascii="Times New Roman" w:hAnsi="Times New Roman"/>
          <w:bCs/>
          <w:sz w:val="24"/>
          <w:szCs w:val="24"/>
        </w:rPr>
        <w:t>20</w:t>
      </w:r>
      <w:r w:rsidRPr="007C7258">
        <w:rPr>
          <w:rFonts w:ascii="Times New Roman" w:hAnsi="Times New Roman"/>
          <w:bCs/>
          <w:sz w:val="24"/>
          <w:szCs w:val="24"/>
        </w:rPr>
        <w:t xml:space="preserve">, in </w:t>
      </w:r>
      <w:r w:rsidRPr="007C7258">
        <w:rPr>
          <w:rFonts w:ascii="Times New Roman" w:hAnsi="Times New Roman"/>
          <w:bCs/>
          <w:sz w:val="24"/>
          <w:szCs w:val="24"/>
          <w:u w:val="single"/>
        </w:rPr>
        <w:t>Tom Cotton v. Patrick Connor, Fire Chief, City of Newark Fire Department</w:t>
      </w:r>
      <w:r w:rsidRPr="007C7258">
        <w:rPr>
          <w:rFonts w:ascii="Times New Roman" w:hAnsi="Times New Roman"/>
          <w:bCs/>
          <w:sz w:val="24"/>
          <w:szCs w:val="24"/>
        </w:rPr>
        <w:t>, the Court of Appeals for Licking County, Fifth Appellate District, 2020-Ohio-1129</w:t>
      </w:r>
      <w:bookmarkEnd w:id="41"/>
      <w:r w:rsidRPr="007C7258">
        <w:rPr>
          <w:rFonts w:ascii="Times New Roman" w:hAnsi="Times New Roman"/>
          <w:bCs/>
          <w:sz w:val="24"/>
          <w:szCs w:val="24"/>
        </w:rPr>
        <w:t>, held (3 to 0),  that the Ohio Board of Building Appeals, and a Common Pleas trial judge, properly denied the appeal of the building owner.  Citations included water flow alarm devices not functioning or disconnected; no fire extinguishers in common hallway; marked exit door with flush bolt locks; holes in fire-rated or resistant construction on floors, walls and ceilings.</w:t>
      </w:r>
    </w:p>
    <w:bookmarkEnd w:id="40"/>
    <w:p w14:paraId="6A3ECED1" w14:textId="77777777" w:rsidR="007540BD" w:rsidRPr="007C7258" w:rsidRDefault="007540BD" w:rsidP="007540BD">
      <w:pPr>
        <w:pStyle w:val="NoSpacing"/>
        <w:rPr>
          <w:rFonts w:ascii="Times New Roman" w:hAnsi="Times New Roman"/>
          <w:b/>
          <w:bCs/>
          <w:sz w:val="24"/>
          <w:szCs w:val="24"/>
        </w:rPr>
      </w:pPr>
    </w:p>
    <w:p w14:paraId="06911480"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“We concur with the trial court's decision. Between the first inspection date of August 3, 2017, and the first citation date of September 19, 2017, </w:t>
      </w:r>
      <w:proofErr w:type="gramStart"/>
      <w:r w:rsidRPr="007C7258">
        <w:rPr>
          <w:rFonts w:ascii="Times New Roman" w:hAnsi="Times New Roman"/>
          <w:bCs/>
          <w:sz w:val="24"/>
          <w:szCs w:val="24"/>
        </w:rPr>
        <w:t>appellant</w:t>
      </w:r>
      <w:proofErr w:type="gramEnd"/>
      <w:r w:rsidRPr="007C7258">
        <w:rPr>
          <w:rFonts w:ascii="Times New Roman" w:hAnsi="Times New Roman"/>
          <w:bCs/>
          <w:sz w:val="24"/>
          <w:szCs w:val="24"/>
        </w:rPr>
        <w:t xml:space="preserve"> had forty-seven days to correct the violations. As for the second citation, appellant had fifteen days to correct the violations from the last inspection date (March 26, 2018) to the issuance of the citation (April 10, 2018). According to the Timeline and Summary of the Inspections outline, appellee worked with appellant from July 2017 through April 2018 to correct the fire code deficiencies on the subject property. As of </w:t>
      </w:r>
      <w:proofErr w:type="gramStart"/>
      <w:r w:rsidRPr="007C7258">
        <w:rPr>
          <w:rFonts w:ascii="Times New Roman" w:hAnsi="Times New Roman"/>
          <w:bCs/>
          <w:sz w:val="24"/>
          <w:szCs w:val="24"/>
        </w:rPr>
        <w:t>the October</w:t>
      </w:r>
      <w:proofErr w:type="gramEnd"/>
      <w:r w:rsidRPr="007C7258">
        <w:rPr>
          <w:rFonts w:ascii="Times New Roman" w:hAnsi="Times New Roman"/>
          <w:bCs/>
          <w:sz w:val="24"/>
          <w:szCs w:val="24"/>
        </w:rPr>
        <w:t xml:space="preserve"> 30, </w:t>
      </w:r>
      <w:proofErr w:type="gramStart"/>
      <w:r w:rsidRPr="007C7258">
        <w:rPr>
          <w:rFonts w:ascii="Times New Roman" w:hAnsi="Times New Roman"/>
          <w:bCs/>
          <w:sz w:val="24"/>
          <w:szCs w:val="24"/>
        </w:rPr>
        <w:t>2018</w:t>
      </w:r>
      <w:proofErr w:type="gramEnd"/>
      <w:r w:rsidRPr="007C7258">
        <w:rPr>
          <w:rFonts w:ascii="Times New Roman" w:hAnsi="Times New Roman"/>
          <w:bCs/>
          <w:sz w:val="24"/>
          <w:szCs w:val="24"/>
        </w:rPr>
        <w:t xml:space="preserve"> hearing date, outstanding violations existed and some of the corrective measures were in question. We do not find testimony from a ‘representative from the Building Code Enforcement for the City of Newark’ was necessary. Appellant's Brief at 6. Upon review, we find a preponderance of reliable, probative, and substantial evidence to support the trial court's decision. The trial court did not abuse its discretion in affirming the decision of the board of building appeals.”   </w:t>
      </w:r>
      <w:bookmarkStart w:id="42" w:name="_Hlk39749430"/>
      <w:bookmarkStart w:id="43" w:name="_Hlk39821152"/>
      <w:r w:rsidR="00334940">
        <w:fldChar w:fldCharType="begin"/>
      </w:r>
      <w:r w:rsidR="00334940">
        <w:instrText xml:space="preserve"> HYPERLINK "https://www.supremecourt.ohio.gov/rod/docs/pdf/5/2020/2020-Ohio-1129.pdf" </w:instrText>
      </w:r>
      <w:r w:rsidR="00334940">
        <w:fldChar w:fldCharType="separate"/>
      </w:r>
      <w:r w:rsidRPr="007C7258">
        <w:rPr>
          <w:rStyle w:val="Hyperlink"/>
          <w:rFonts w:ascii="Times New Roman" w:hAnsi="Times New Roman"/>
          <w:b/>
          <w:sz w:val="24"/>
          <w:szCs w:val="24"/>
        </w:rPr>
        <w:t>https://www.supremecourt.ohio.gov/rod/docs/pdf/5/2020/2020-Ohio-1129.pdf</w:t>
      </w:r>
      <w:r w:rsidR="00334940">
        <w:rPr>
          <w:rStyle w:val="Hyperlink"/>
          <w:rFonts w:ascii="Times New Roman" w:hAnsi="Times New Roman"/>
          <w:b/>
          <w:sz w:val="24"/>
          <w:szCs w:val="24"/>
        </w:rPr>
        <w:fldChar w:fldCharType="end"/>
      </w:r>
      <w:bookmarkEnd w:id="42"/>
    </w:p>
    <w:bookmarkEnd w:id="43"/>
    <w:p w14:paraId="06CC2D8C" w14:textId="77777777" w:rsidR="007540BD" w:rsidRPr="007C7258" w:rsidRDefault="007540BD" w:rsidP="007540BD">
      <w:pPr>
        <w:pStyle w:val="NoSpacing"/>
        <w:ind w:left="720"/>
        <w:rPr>
          <w:rFonts w:ascii="Times New Roman" w:hAnsi="Times New Roman"/>
          <w:b/>
          <w:bCs/>
          <w:sz w:val="24"/>
          <w:szCs w:val="24"/>
        </w:rPr>
      </w:pPr>
    </w:p>
    <w:p w14:paraId="6E831AFF"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
          <w:bCs/>
          <w:sz w:val="24"/>
          <w:szCs w:val="24"/>
        </w:rPr>
        <w:t>Legal Lessons Learned: Well documented code violations</w:t>
      </w:r>
      <w:r>
        <w:rPr>
          <w:rFonts w:ascii="Times New Roman" w:hAnsi="Times New Roman"/>
          <w:b/>
          <w:bCs/>
          <w:sz w:val="24"/>
          <w:szCs w:val="24"/>
        </w:rPr>
        <w:t xml:space="preserve">. </w:t>
      </w:r>
      <w:r w:rsidRPr="007C7258">
        <w:rPr>
          <w:rFonts w:ascii="Times New Roman" w:hAnsi="Times New Roman"/>
          <w:b/>
          <w:bCs/>
          <w:sz w:val="24"/>
          <w:szCs w:val="24"/>
        </w:rPr>
        <w:t xml:space="preserve"> </w:t>
      </w:r>
    </w:p>
    <w:p w14:paraId="0B0FFFFA" w14:textId="5483B796" w:rsidR="007540BD" w:rsidRPr="007C7258" w:rsidRDefault="007540BD" w:rsidP="007540BD">
      <w:pPr>
        <w:pStyle w:val="p-text"/>
        <w:ind w:left="720"/>
        <w:rPr>
          <w:b/>
        </w:rPr>
      </w:pPr>
      <w:bookmarkStart w:id="44" w:name="_Hlk39821066"/>
      <w:r w:rsidRPr="007C7258">
        <w:rPr>
          <w:bCs/>
        </w:rPr>
        <w:t xml:space="preserve">See Oct. 14, </w:t>
      </w:r>
      <w:proofErr w:type="gramStart"/>
      <w:r w:rsidRPr="007C7258">
        <w:rPr>
          <w:bCs/>
        </w:rPr>
        <w:t>2019</w:t>
      </w:r>
      <w:proofErr w:type="gramEnd"/>
      <w:r w:rsidRPr="007C7258">
        <w:rPr>
          <w:bCs/>
        </w:rPr>
        <w:t xml:space="preserve"> article about this property: “Long saga of downtown Newark Arcade property may be near resolution.”  </w:t>
      </w:r>
      <w:bookmarkEnd w:id="44"/>
      <w:r w:rsidRPr="007C7258">
        <w:rPr>
          <w:bCs/>
        </w:rPr>
        <w:t>“</w:t>
      </w:r>
      <w:r w:rsidRPr="007C7258">
        <w:t xml:space="preserve">A year ago, the Ohio Board of Building Appeals upheld violations from April 10, 2018, and Sept. 19, 2017. For the April violations, the board issued Cotton a one-time penalty of $9,000, and an additional $9,000 per month if all violations were not remedied in 60 days.  For the 2017 violations, the board issued a one-time penalty of $6,700 and $6,700 per month if violations remained after 60 days. The 2018 violations included: water flow alarm devices not functioning or disconnected; no fire extinguishers in common hallway; marked exit door with flush bolt locks; holes in fire-rated or resistant construction on floors, walls and </w:t>
      </w:r>
      <w:proofErr w:type="gramStart"/>
      <w:r w:rsidRPr="007C7258">
        <w:t>ceilings.”</w:t>
      </w:r>
      <w:proofErr w:type="gramEnd"/>
      <w:r w:rsidRPr="007C7258">
        <w:t xml:space="preserve"> </w:t>
      </w:r>
      <w:bookmarkStart w:id="45" w:name="_Hlk39821109"/>
      <w:r w:rsidR="00F2621E">
        <w:fldChar w:fldCharType="begin"/>
      </w:r>
      <w:r w:rsidR="00F2621E">
        <w:instrText xml:space="preserve"> HYPERLINK "https://www.newarkadvocate.com/story/news/2019/10/14/downtown-newark-arcade-saga-may-nearing-some-resolution-not/3924621002/" </w:instrText>
      </w:r>
      <w:r w:rsidR="00F2621E">
        <w:fldChar w:fldCharType="separate"/>
      </w:r>
      <w:r w:rsidRPr="007C7258">
        <w:rPr>
          <w:rStyle w:val="Hyperlink"/>
        </w:rPr>
        <w:t>https://www.newarkadvocate.com/story/news/2019/10/14/downtown-newark-arcade-saga-may-nearing-some-resolution-not/3924621002/</w:t>
      </w:r>
      <w:r w:rsidR="00F2621E">
        <w:rPr>
          <w:rStyle w:val="Hyperlink"/>
        </w:rPr>
        <w:fldChar w:fldCharType="end"/>
      </w:r>
      <w:r w:rsidRPr="007C7258">
        <w:rPr>
          <w:b/>
        </w:rPr>
        <w:t xml:space="preserve"> </w:t>
      </w:r>
    </w:p>
    <w:bookmarkEnd w:id="45"/>
    <w:p w14:paraId="01E0050E" w14:textId="77777777" w:rsidR="007540BD" w:rsidRDefault="007540BD" w:rsidP="002B1283">
      <w:pPr>
        <w:rPr>
          <w:rFonts w:ascii="Arial Black" w:hAnsi="Arial Black"/>
          <w:b/>
          <w:sz w:val="24"/>
          <w:szCs w:val="24"/>
        </w:rPr>
      </w:pPr>
    </w:p>
    <w:p w14:paraId="47B2F3CD" w14:textId="31F0E723" w:rsidR="007540BD" w:rsidRDefault="007540BD" w:rsidP="002B1283">
      <w:pPr>
        <w:rPr>
          <w:rFonts w:ascii="Arial Black" w:hAnsi="Arial Black"/>
          <w:b/>
          <w:sz w:val="24"/>
          <w:szCs w:val="24"/>
        </w:rPr>
      </w:pPr>
      <w:r>
        <w:rPr>
          <w:rFonts w:ascii="Arial Black" w:hAnsi="Arial Black"/>
          <w:b/>
          <w:sz w:val="24"/>
          <w:szCs w:val="24"/>
        </w:rPr>
        <w:t>1-41</w:t>
      </w:r>
    </w:p>
    <w:p w14:paraId="239B976A" w14:textId="77777777" w:rsidR="007540BD" w:rsidRPr="00907DE2" w:rsidRDefault="007540BD" w:rsidP="007540BD">
      <w:pPr>
        <w:spacing w:before="100" w:beforeAutospacing="1" w:after="100" w:afterAutospacing="1" w:line="240" w:lineRule="auto"/>
        <w:rPr>
          <w:rFonts w:ascii="Arial Black" w:hAnsi="Arial Black"/>
          <w:sz w:val="28"/>
          <w:szCs w:val="28"/>
        </w:rPr>
      </w:pPr>
      <w:bookmarkStart w:id="46" w:name="_Hlk39817639"/>
      <w:r w:rsidRPr="00907DE2">
        <w:rPr>
          <w:rFonts w:ascii="Arial Black" w:hAnsi="Arial Black"/>
          <w:sz w:val="28"/>
          <w:szCs w:val="28"/>
        </w:rPr>
        <w:lastRenderedPageBreak/>
        <w:t xml:space="preserve">NY: </w:t>
      </w:r>
      <w:r>
        <w:rPr>
          <w:rFonts w:ascii="Arial Black" w:hAnsi="Arial Black"/>
          <w:sz w:val="28"/>
          <w:szCs w:val="28"/>
        </w:rPr>
        <w:t xml:space="preserve">ARSON – ADULT / 3 CHILDREN KILLED – CONVICTIONS – BUT CHARGES LATER DROPPED ONE MAN – ATF AGENTS HAVE IMMUNITY </w:t>
      </w:r>
    </w:p>
    <w:p w14:paraId="230C873D" w14:textId="77777777" w:rsidR="007540BD" w:rsidRDefault="007540BD" w:rsidP="007540BD">
      <w:pPr>
        <w:spacing w:before="100" w:beforeAutospacing="1" w:after="100" w:afterAutospacing="1" w:line="240" w:lineRule="auto"/>
        <w:rPr>
          <w:rFonts w:ascii="Times New Roman" w:hAnsi="Times New Roman"/>
          <w:sz w:val="24"/>
          <w:szCs w:val="24"/>
        </w:rPr>
      </w:pPr>
      <w:r w:rsidRPr="00907DE2">
        <w:rPr>
          <w:rFonts w:ascii="Times New Roman" w:hAnsi="Times New Roman"/>
          <w:sz w:val="24"/>
          <w:szCs w:val="24"/>
        </w:rPr>
        <w:t xml:space="preserve">On March 23, 2020, in </w:t>
      </w:r>
      <w:r w:rsidRPr="00907DE2">
        <w:rPr>
          <w:rFonts w:ascii="Times New Roman" w:hAnsi="Times New Roman"/>
          <w:sz w:val="24"/>
          <w:szCs w:val="24"/>
          <w:u w:val="single"/>
        </w:rPr>
        <w:t>Robert Butler v. Eric Hesch, et al</w:t>
      </w:r>
      <w:r>
        <w:rPr>
          <w:rFonts w:ascii="Times New Roman" w:hAnsi="Times New Roman"/>
          <w:sz w:val="24"/>
          <w:szCs w:val="24"/>
        </w:rPr>
        <w:t xml:space="preserve">., U.S. District Court Judge Mae A. D’Agostino, U.S. District Court for Northern District of New York, granted ATF agents’ motion to dismiss. </w:t>
      </w:r>
    </w:p>
    <w:p w14:paraId="32ACFECF"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“Plaintiff commenced this action on December 28, 2016, pursuant to 42 U.S.C. §§ 1983 and 1985, and </w:t>
      </w:r>
      <w:r w:rsidRPr="007C7258">
        <w:rPr>
          <w:rFonts w:ascii="Times New Roman" w:hAnsi="Times New Roman"/>
          <w:bCs/>
          <w:i/>
          <w:iCs/>
          <w:sz w:val="24"/>
          <w:szCs w:val="24"/>
        </w:rPr>
        <w:t>Bivens v</w:t>
      </w:r>
      <w:r w:rsidRPr="007C7258">
        <w:rPr>
          <w:rFonts w:ascii="Times New Roman" w:hAnsi="Times New Roman"/>
          <w:bCs/>
          <w:sz w:val="24"/>
          <w:szCs w:val="24"/>
        </w:rPr>
        <w:t xml:space="preserve">. </w:t>
      </w:r>
      <w:r w:rsidRPr="007C7258">
        <w:rPr>
          <w:rFonts w:ascii="Times New Roman" w:hAnsi="Times New Roman"/>
          <w:bCs/>
          <w:i/>
          <w:iCs/>
          <w:sz w:val="24"/>
          <w:szCs w:val="24"/>
        </w:rPr>
        <w:t>Six Unknown Named Agents of the Federal Bureau of Narcotics</w:t>
      </w:r>
      <w:r w:rsidRPr="007C7258">
        <w:rPr>
          <w:rFonts w:ascii="Times New Roman" w:hAnsi="Times New Roman"/>
          <w:bCs/>
          <w:sz w:val="24"/>
          <w:szCs w:val="24"/>
        </w:rPr>
        <w:t>, 403 U.S. 388 (1971), complaining of constitutional and civil rights violations stemming from Plaintiff's arrest and detention.</w:t>
      </w:r>
    </w:p>
    <w:p w14:paraId="31B82843" w14:textId="77777777" w:rsidR="007540BD" w:rsidRPr="007C7258" w:rsidRDefault="007540BD" w:rsidP="007540BD">
      <w:pPr>
        <w:pStyle w:val="NoSpacing"/>
        <w:ind w:left="720"/>
        <w:rPr>
          <w:rFonts w:ascii="Times New Roman" w:hAnsi="Times New Roman"/>
          <w:b/>
          <w:bCs/>
          <w:sz w:val="24"/>
          <w:szCs w:val="24"/>
        </w:rPr>
      </w:pPr>
    </w:p>
    <w:p w14:paraId="00ED5CBF"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w:t>
      </w:r>
    </w:p>
    <w:p w14:paraId="2D0BCD06" w14:textId="77777777" w:rsidR="007540BD" w:rsidRPr="007C7258" w:rsidRDefault="007540BD" w:rsidP="007540BD">
      <w:pPr>
        <w:pStyle w:val="NoSpacing"/>
        <w:ind w:left="720"/>
        <w:rPr>
          <w:rFonts w:ascii="Times New Roman" w:hAnsi="Times New Roman"/>
          <w:b/>
          <w:bCs/>
          <w:sz w:val="24"/>
          <w:szCs w:val="24"/>
        </w:rPr>
      </w:pPr>
    </w:p>
    <w:p w14:paraId="221891BC" w14:textId="38C53D84" w:rsidR="007540BD" w:rsidRDefault="007540BD" w:rsidP="007540BD">
      <w:pPr>
        <w:ind w:left="720"/>
        <w:rPr>
          <w:rFonts w:ascii="Arial Black" w:hAnsi="Arial Black"/>
          <w:b/>
          <w:sz w:val="24"/>
          <w:szCs w:val="24"/>
        </w:rPr>
      </w:pPr>
      <w:r w:rsidRPr="007C7258">
        <w:rPr>
          <w:rFonts w:ascii="Times New Roman" w:hAnsi="Times New Roman"/>
          <w:bCs/>
          <w:sz w:val="24"/>
          <w:szCs w:val="24"/>
        </w:rPr>
        <w:t xml:space="preserve">In short, Plaintiff's criminal case was fully managed by the federal prosecutors, who independently interviewed all relevant witnesses and then decided to bring charges against Plaintiff. There is no evidence that the ATF Defendants withheld relevant evidence from the prosecutors, or provided false evidence to them, as would be necessary to establish that the ATF Defendants were responsible for initiating or continuing the prosecution. As such, the ATF Defendants are entitled to summary judgment because Plaintiff failed to satisfy the first element of his malicious prosecution claim. </w:t>
      </w:r>
      <w:r w:rsidRPr="007C7258">
        <w:rPr>
          <w:rFonts w:ascii="Times New Roman" w:hAnsi="Times New Roman"/>
          <w:bCs/>
          <w:i/>
          <w:iCs/>
          <w:sz w:val="24"/>
          <w:szCs w:val="24"/>
        </w:rPr>
        <w:t>See Battisti v</w:t>
      </w:r>
      <w:r w:rsidRPr="007C7258">
        <w:rPr>
          <w:rFonts w:ascii="Times New Roman" w:hAnsi="Times New Roman"/>
          <w:bCs/>
          <w:sz w:val="24"/>
          <w:szCs w:val="24"/>
        </w:rPr>
        <w:t xml:space="preserve">. </w:t>
      </w:r>
      <w:r w:rsidRPr="007C7258">
        <w:rPr>
          <w:rFonts w:ascii="Times New Roman" w:hAnsi="Times New Roman"/>
          <w:bCs/>
          <w:i/>
          <w:iCs/>
          <w:sz w:val="24"/>
          <w:szCs w:val="24"/>
        </w:rPr>
        <w:t>Rice</w:t>
      </w:r>
      <w:r w:rsidRPr="007C7258">
        <w:rPr>
          <w:rFonts w:ascii="Times New Roman" w:hAnsi="Times New Roman"/>
          <w:bCs/>
          <w:sz w:val="24"/>
          <w:szCs w:val="24"/>
        </w:rPr>
        <w:t xml:space="preserve">, No. 10-cv-4139, 2017 WL 78891, *10 (E.D.N.Y. Jan. 9, 2017) (dismissing the plaintiff's malicious prosecution claim because "[t]here is no evidence that either officer importuned [the prosecutor] to prosecute Plaintiff or that either officer fabricated or withheld evidence from [the prosecutor]") (citation omitted); </w:t>
      </w:r>
      <w:r w:rsidRPr="007C7258">
        <w:rPr>
          <w:rFonts w:ascii="Times New Roman" w:hAnsi="Times New Roman"/>
          <w:bCs/>
          <w:i/>
          <w:iCs/>
          <w:sz w:val="24"/>
          <w:szCs w:val="24"/>
        </w:rPr>
        <w:t>Stukes v</w:t>
      </w:r>
      <w:r w:rsidRPr="007C7258">
        <w:rPr>
          <w:rFonts w:ascii="Times New Roman" w:hAnsi="Times New Roman"/>
          <w:bCs/>
          <w:sz w:val="24"/>
          <w:szCs w:val="24"/>
        </w:rPr>
        <w:t xml:space="preserve">. </w:t>
      </w:r>
      <w:r w:rsidRPr="007C7258">
        <w:rPr>
          <w:rFonts w:ascii="Times New Roman" w:hAnsi="Times New Roman"/>
          <w:bCs/>
          <w:i/>
          <w:iCs/>
          <w:sz w:val="24"/>
          <w:szCs w:val="24"/>
        </w:rPr>
        <w:t>City of New York</w:t>
      </w:r>
      <w:r w:rsidRPr="007C7258">
        <w:rPr>
          <w:rFonts w:ascii="Times New Roman" w:hAnsi="Times New Roman"/>
          <w:bCs/>
          <w:sz w:val="24"/>
          <w:szCs w:val="24"/>
        </w:rPr>
        <w:t xml:space="preserve">, No. 13-cv-6166, 2015 WL 1246542, *9 (E.D.N.Y. Mar. 17, 2015).” </w:t>
      </w:r>
      <w:hyperlink r:id="rId314" w:history="1">
        <w:r w:rsidRPr="007C7258">
          <w:rPr>
            <w:rStyle w:val="Hyperlink"/>
            <w:rFonts w:ascii="Times New Roman" w:hAnsi="Times New Roman"/>
            <w:b/>
            <w:sz w:val="24"/>
            <w:szCs w:val="24"/>
          </w:rPr>
          <w:t>https://public.fastcase.com/Wl%2B2t%2BeVuI35%2FN70vAMFZj1n7kcpr8halXGGcU2zGib4k7w6DLSXX7%2BQNj%2B4S4J7</w:t>
        </w:r>
      </w:hyperlink>
    </w:p>
    <w:bookmarkEnd w:id="46"/>
    <w:p w14:paraId="7F3A5218"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
          <w:bCs/>
          <w:sz w:val="24"/>
          <w:szCs w:val="24"/>
        </w:rPr>
        <w:t xml:space="preserve">Legal Lessons Learned:  </w:t>
      </w:r>
      <w:r>
        <w:rPr>
          <w:rFonts w:ascii="Times New Roman" w:hAnsi="Times New Roman"/>
          <w:b/>
          <w:bCs/>
          <w:sz w:val="24"/>
          <w:szCs w:val="24"/>
        </w:rPr>
        <w:t>ATF and other a</w:t>
      </w:r>
      <w:r w:rsidRPr="007C7258">
        <w:rPr>
          <w:rFonts w:ascii="Times New Roman" w:hAnsi="Times New Roman"/>
          <w:b/>
          <w:bCs/>
          <w:sz w:val="24"/>
          <w:szCs w:val="24"/>
        </w:rPr>
        <w:t xml:space="preserve">rson investigators enjoy qualified immunity; the fact that charges were later dropped </w:t>
      </w:r>
      <w:r>
        <w:rPr>
          <w:rFonts w:ascii="Times New Roman" w:hAnsi="Times New Roman"/>
          <w:b/>
          <w:bCs/>
          <w:sz w:val="24"/>
          <w:szCs w:val="24"/>
        </w:rPr>
        <w:t xml:space="preserve">by prosecutors </w:t>
      </w:r>
      <w:r w:rsidRPr="007C7258">
        <w:rPr>
          <w:rFonts w:ascii="Times New Roman" w:hAnsi="Times New Roman"/>
          <w:b/>
          <w:bCs/>
          <w:sz w:val="24"/>
          <w:szCs w:val="24"/>
        </w:rPr>
        <w:t xml:space="preserve">against a person does not give the individual a right to sue the investigators. </w:t>
      </w:r>
    </w:p>
    <w:p w14:paraId="7B6C5E59" w14:textId="77777777" w:rsidR="007540BD" w:rsidRPr="007C7258" w:rsidRDefault="007540BD" w:rsidP="007540BD">
      <w:pPr>
        <w:spacing w:before="100" w:beforeAutospacing="1" w:after="100" w:afterAutospacing="1" w:line="240" w:lineRule="auto"/>
        <w:rPr>
          <w:rFonts w:ascii="Times New Roman" w:eastAsia="Times New Roman" w:hAnsi="Times New Roman"/>
          <w:sz w:val="24"/>
          <w:szCs w:val="24"/>
        </w:rPr>
      </w:pPr>
    </w:p>
    <w:p w14:paraId="28555A2A" w14:textId="77777777" w:rsidR="007540BD" w:rsidRDefault="007540BD" w:rsidP="002B1283">
      <w:pPr>
        <w:rPr>
          <w:rFonts w:ascii="Arial Black" w:hAnsi="Arial Black"/>
          <w:b/>
          <w:sz w:val="24"/>
          <w:szCs w:val="24"/>
        </w:rPr>
      </w:pPr>
    </w:p>
    <w:p w14:paraId="1D32292B" w14:textId="77777777" w:rsidR="007540BD" w:rsidRDefault="007540BD" w:rsidP="002B1283">
      <w:pPr>
        <w:rPr>
          <w:rFonts w:ascii="Arial Black" w:hAnsi="Arial Black"/>
          <w:b/>
          <w:sz w:val="24"/>
          <w:szCs w:val="24"/>
        </w:rPr>
      </w:pPr>
    </w:p>
    <w:p w14:paraId="597A8EE6" w14:textId="6D70D898" w:rsidR="00663160" w:rsidRDefault="00663160" w:rsidP="002B1283">
      <w:pPr>
        <w:rPr>
          <w:rFonts w:ascii="Arial Black" w:hAnsi="Arial Black"/>
          <w:b/>
          <w:sz w:val="24"/>
          <w:szCs w:val="24"/>
        </w:rPr>
      </w:pPr>
      <w:r>
        <w:rPr>
          <w:rFonts w:ascii="Arial Black" w:hAnsi="Arial Black"/>
          <w:b/>
          <w:sz w:val="24"/>
          <w:szCs w:val="24"/>
        </w:rPr>
        <w:t>1-</w:t>
      </w:r>
      <w:r w:rsidR="00637A12">
        <w:rPr>
          <w:rFonts w:ascii="Arial Black" w:hAnsi="Arial Black"/>
          <w:b/>
          <w:sz w:val="24"/>
          <w:szCs w:val="24"/>
        </w:rPr>
        <w:t>40</w:t>
      </w:r>
    </w:p>
    <w:p w14:paraId="3208EC89" w14:textId="77777777" w:rsidR="00663160" w:rsidRPr="00615BC7" w:rsidRDefault="00663160" w:rsidP="00663160">
      <w:pPr>
        <w:spacing w:before="100" w:beforeAutospacing="1" w:after="100" w:afterAutospacing="1" w:line="240" w:lineRule="auto"/>
        <w:rPr>
          <w:rFonts w:ascii="Arial Black" w:eastAsia="Times New Roman" w:hAnsi="Arial Black"/>
          <w:b/>
          <w:bCs/>
          <w:sz w:val="28"/>
          <w:szCs w:val="28"/>
        </w:rPr>
      </w:pPr>
      <w:bookmarkStart w:id="47" w:name="_Hlk39749496"/>
      <w:bookmarkStart w:id="48" w:name="_Hlk41315334"/>
      <w:r w:rsidRPr="00615BC7">
        <w:rPr>
          <w:rFonts w:ascii="Arial Black" w:eastAsia="Times New Roman" w:hAnsi="Arial Black"/>
          <w:b/>
          <w:bCs/>
          <w:sz w:val="28"/>
          <w:szCs w:val="28"/>
        </w:rPr>
        <w:t xml:space="preserve">TX:  </w:t>
      </w:r>
      <w:r>
        <w:rPr>
          <w:rFonts w:ascii="Arial Black" w:eastAsia="Times New Roman" w:hAnsi="Arial Black"/>
          <w:b/>
          <w:bCs/>
          <w:sz w:val="28"/>
          <w:szCs w:val="28"/>
        </w:rPr>
        <w:t>GRANDMOTHER’S 911 CALLS DID NOT GO THROUGH – BABY DIED – T-MOBILE HAS IMMUNITY UNDER STATE LAW</w:t>
      </w:r>
    </w:p>
    <w:p w14:paraId="1B671B23" w14:textId="77777777" w:rsidR="00663160" w:rsidRPr="0049503A" w:rsidRDefault="00663160" w:rsidP="00663160">
      <w:pPr>
        <w:pStyle w:val="NoSpacing"/>
        <w:rPr>
          <w:rFonts w:ascii="Times New Roman" w:hAnsi="Times New Roman"/>
          <w:b/>
          <w:bCs/>
          <w:sz w:val="24"/>
          <w:szCs w:val="24"/>
        </w:rPr>
      </w:pPr>
      <w:r w:rsidRPr="0049503A">
        <w:rPr>
          <w:rFonts w:ascii="Times New Roman" w:hAnsi="Times New Roman"/>
          <w:bCs/>
          <w:sz w:val="24"/>
          <w:szCs w:val="24"/>
        </w:rPr>
        <w:t xml:space="preserve">On Feb. 27, 2020, in </w:t>
      </w:r>
      <w:r w:rsidRPr="0049503A">
        <w:rPr>
          <w:rFonts w:ascii="Times New Roman" w:hAnsi="Times New Roman"/>
          <w:bCs/>
          <w:sz w:val="24"/>
          <w:szCs w:val="24"/>
          <w:u w:val="single"/>
        </w:rPr>
        <w:t>Bridget Alex v. T-Mobile USA</w:t>
      </w:r>
      <w:r w:rsidRPr="0049503A">
        <w:rPr>
          <w:rFonts w:ascii="Times New Roman" w:hAnsi="Times New Roman"/>
          <w:bCs/>
          <w:sz w:val="24"/>
          <w:szCs w:val="24"/>
        </w:rPr>
        <w:t>, the U.S. Court of Appeals for 5</w:t>
      </w:r>
      <w:r w:rsidRPr="0049503A">
        <w:rPr>
          <w:rFonts w:ascii="Times New Roman" w:hAnsi="Times New Roman"/>
          <w:bCs/>
          <w:sz w:val="24"/>
          <w:szCs w:val="24"/>
          <w:vertAlign w:val="superscript"/>
        </w:rPr>
        <w:t>th</w:t>
      </w:r>
      <w:r w:rsidRPr="0049503A">
        <w:rPr>
          <w:rFonts w:ascii="Times New Roman" w:hAnsi="Times New Roman"/>
          <w:bCs/>
          <w:sz w:val="24"/>
          <w:szCs w:val="24"/>
        </w:rPr>
        <w:t xml:space="preserve"> Circuit (New Orleans) held (3 to 0)  that T-Mobile enjoys immunity under State statute. </w:t>
      </w:r>
    </w:p>
    <w:p w14:paraId="5D88DF9C" w14:textId="77777777" w:rsidR="00663160" w:rsidRPr="0049503A" w:rsidRDefault="00663160" w:rsidP="00663160">
      <w:pPr>
        <w:pStyle w:val="NoSpacing"/>
        <w:rPr>
          <w:rFonts w:ascii="Times New Roman" w:hAnsi="Times New Roman"/>
          <w:b/>
          <w:bCs/>
          <w:sz w:val="24"/>
          <w:szCs w:val="24"/>
        </w:rPr>
      </w:pPr>
    </w:p>
    <w:p w14:paraId="7552E761" w14:textId="210A0D85" w:rsidR="00663160" w:rsidRPr="0049503A" w:rsidRDefault="00663160" w:rsidP="00663160">
      <w:pPr>
        <w:pStyle w:val="NoSpacing"/>
        <w:ind w:left="720"/>
        <w:rPr>
          <w:rFonts w:ascii="Times New Roman" w:hAnsi="Times New Roman"/>
          <w:b/>
          <w:bCs/>
          <w:sz w:val="24"/>
          <w:szCs w:val="24"/>
        </w:rPr>
      </w:pPr>
      <w:r w:rsidRPr="0049503A">
        <w:rPr>
          <w:rFonts w:ascii="Times New Roman" w:hAnsi="Times New Roman"/>
          <w:bCs/>
          <w:sz w:val="24"/>
          <w:szCs w:val="24"/>
        </w:rPr>
        <w:t xml:space="preserve">“Seven-month-old Brandon Alex was injured after falling from a daybed. His babysitter dialed 9-1-1 three separate </w:t>
      </w:r>
      <w:proofErr w:type="gramStart"/>
      <w:r w:rsidRPr="0049503A">
        <w:rPr>
          <w:rFonts w:ascii="Times New Roman" w:hAnsi="Times New Roman"/>
          <w:bCs/>
          <w:sz w:val="24"/>
          <w:szCs w:val="24"/>
        </w:rPr>
        <w:t>times, and</w:t>
      </w:r>
      <w:proofErr w:type="gramEnd"/>
      <w:r w:rsidRPr="0049503A">
        <w:rPr>
          <w:rFonts w:ascii="Times New Roman" w:hAnsi="Times New Roman"/>
          <w:bCs/>
          <w:sz w:val="24"/>
          <w:szCs w:val="24"/>
        </w:rPr>
        <w:t xml:space="preserve"> stayed on an unconnected line for over thirty minutes. Unable to connect to a </w:t>
      </w:r>
      <w:r w:rsidRPr="0049503A">
        <w:rPr>
          <w:rFonts w:ascii="Times New Roman" w:hAnsi="Times New Roman"/>
          <w:bCs/>
          <w:sz w:val="24"/>
          <w:szCs w:val="24"/>
        </w:rPr>
        <w:lastRenderedPageBreak/>
        <w:t>dispatcher, Brandon’s grandmother drove him to an emergency room over an hour after the first 9-1-1 call. Brandon was pronounced dead shortly after arriving at the hospital.</w:t>
      </w:r>
      <w:r w:rsidR="000B4D9F">
        <w:rPr>
          <w:rFonts w:ascii="Times New Roman" w:hAnsi="Times New Roman"/>
          <w:bCs/>
          <w:sz w:val="24"/>
          <w:szCs w:val="24"/>
        </w:rPr>
        <w:t xml:space="preserve"> *** </w:t>
      </w:r>
      <w:r w:rsidRPr="0049503A">
        <w:rPr>
          <w:rFonts w:ascii="Times New Roman" w:hAnsi="Times New Roman"/>
          <w:bCs/>
          <w:sz w:val="24"/>
          <w:szCs w:val="24"/>
        </w:rPr>
        <w:t xml:space="preserve">This court has already held that, under the Supreme Court of Texas’s decision in City of Dallas v. Sanchez, 494 S.W.3d 722 (Tex. 2016), Plaintiffs failed to allege proximate cause sufficient to overcome T-Mobile’s immunity…. Because T-Mobile and T-Systems are immune under Texas law, the district court did not err in dismissing Plaintiffs’ claims against them—we affirm. </w:t>
      </w:r>
    </w:p>
    <w:p w14:paraId="088374BE" w14:textId="77777777" w:rsidR="00663160" w:rsidRPr="0049503A" w:rsidRDefault="00663160" w:rsidP="00663160">
      <w:pPr>
        <w:pStyle w:val="NoSpacing"/>
        <w:ind w:left="720"/>
        <w:rPr>
          <w:rFonts w:ascii="Times New Roman" w:eastAsia="Times New Roman" w:hAnsi="Times New Roman"/>
          <w:b/>
          <w:bCs/>
          <w:sz w:val="24"/>
          <w:szCs w:val="24"/>
        </w:rPr>
      </w:pPr>
      <w:hyperlink r:id="rId315" w:history="1">
        <w:r w:rsidRPr="0049503A">
          <w:rPr>
            <w:rStyle w:val="Hyperlink"/>
            <w:rFonts w:ascii="Times New Roman" w:hAnsi="Times New Roman"/>
            <w:bCs/>
            <w:sz w:val="24"/>
            <w:szCs w:val="24"/>
          </w:rPr>
          <w:t>http://www.ca5.uscourts.gov/opinions/unpub/19/19-10878.0.pdf</w:t>
        </w:r>
      </w:hyperlink>
      <w:r w:rsidRPr="0049503A">
        <w:rPr>
          <w:rFonts w:ascii="Times New Roman" w:hAnsi="Times New Roman"/>
          <w:bCs/>
          <w:sz w:val="24"/>
          <w:szCs w:val="24"/>
        </w:rPr>
        <w:t xml:space="preserve"> </w:t>
      </w:r>
    </w:p>
    <w:bookmarkEnd w:id="47"/>
    <w:p w14:paraId="73EF83A1" w14:textId="77777777" w:rsidR="00663160" w:rsidRDefault="00663160" w:rsidP="00663160">
      <w:pPr>
        <w:pStyle w:val="NoSpacing"/>
        <w:rPr>
          <w:rFonts w:ascii="Times New Roman" w:hAnsi="Times New Roman"/>
          <w:b/>
          <w:bCs/>
          <w:sz w:val="24"/>
          <w:szCs w:val="24"/>
        </w:rPr>
      </w:pPr>
    </w:p>
    <w:p w14:paraId="606DEE07" w14:textId="74517482" w:rsidR="00663160" w:rsidRPr="0049503A" w:rsidRDefault="00663160" w:rsidP="00663160">
      <w:pPr>
        <w:pStyle w:val="NoSpacing"/>
        <w:rPr>
          <w:rFonts w:ascii="Times New Roman" w:hAnsi="Times New Roman"/>
          <w:b/>
          <w:bCs/>
          <w:sz w:val="24"/>
          <w:szCs w:val="24"/>
        </w:rPr>
      </w:pPr>
      <w:r w:rsidRPr="0049503A">
        <w:rPr>
          <w:rFonts w:ascii="Times New Roman" w:hAnsi="Times New Roman"/>
          <w:b/>
          <w:bCs/>
          <w:sz w:val="24"/>
          <w:szCs w:val="24"/>
        </w:rPr>
        <w:t xml:space="preserve">Legal Lessons Learned: State statutes often provide immunity to 911 equipment suppliers; this helps avoid suppliers charging municipal </w:t>
      </w:r>
      <w:proofErr w:type="gramStart"/>
      <w:r w:rsidRPr="0049503A">
        <w:rPr>
          <w:rFonts w:ascii="Times New Roman" w:hAnsi="Times New Roman"/>
          <w:b/>
          <w:bCs/>
          <w:sz w:val="24"/>
          <w:szCs w:val="24"/>
        </w:rPr>
        <w:t>governments will</w:t>
      </w:r>
      <w:proofErr w:type="gramEnd"/>
      <w:r w:rsidRPr="0049503A">
        <w:rPr>
          <w:rFonts w:ascii="Times New Roman" w:hAnsi="Times New Roman"/>
          <w:b/>
          <w:bCs/>
          <w:sz w:val="24"/>
          <w:szCs w:val="24"/>
        </w:rPr>
        <w:t xml:space="preserve"> large insurance costs. </w:t>
      </w:r>
    </w:p>
    <w:bookmarkEnd w:id="48"/>
    <w:p w14:paraId="3047154D" w14:textId="77777777" w:rsidR="00663160" w:rsidRDefault="00663160" w:rsidP="002B1283">
      <w:pPr>
        <w:rPr>
          <w:rFonts w:ascii="Arial Black" w:hAnsi="Arial Black"/>
          <w:b/>
          <w:sz w:val="24"/>
          <w:szCs w:val="24"/>
        </w:rPr>
      </w:pPr>
    </w:p>
    <w:p w14:paraId="2EB9C037" w14:textId="049FEAAF" w:rsidR="00663160" w:rsidRDefault="00663160"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9</w:t>
      </w:r>
    </w:p>
    <w:p w14:paraId="6E23A3A0" w14:textId="77777777" w:rsidR="00663160" w:rsidRPr="00562D96" w:rsidRDefault="00663160" w:rsidP="00663160">
      <w:pPr>
        <w:pStyle w:val="NoSpacing"/>
        <w:rPr>
          <w:rFonts w:ascii="Arial Black" w:hAnsi="Arial Black"/>
          <w:sz w:val="28"/>
          <w:szCs w:val="28"/>
        </w:rPr>
      </w:pPr>
      <w:bookmarkStart w:id="49" w:name="_Hlk39749579"/>
      <w:bookmarkStart w:id="50" w:name="_Hlk39817858"/>
      <w:r w:rsidRPr="00562D96">
        <w:rPr>
          <w:rFonts w:ascii="Arial Black" w:hAnsi="Arial Black"/>
          <w:sz w:val="28"/>
          <w:szCs w:val="28"/>
        </w:rPr>
        <w:t xml:space="preserve">MI: </w:t>
      </w:r>
      <w:r>
        <w:rPr>
          <w:rFonts w:ascii="Arial Black" w:hAnsi="Arial Black"/>
          <w:sz w:val="28"/>
          <w:szCs w:val="28"/>
        </w:rPr>
        <w:t>ARSON CASE TO BE RE-TRIED – ARSON INVESTIGATORS CHANGED OPINION – 2 POINTS OF ORIGIN TO 1 LOCATION</w:t>
      </w:r>
    </w:p>
    <w:p w14:paraId="68491680" w14:textId="77777777" w:rsidR="00663160" w:rsidRDefault="00663160" w:rsidP="00663160">
      <w:pPr>
        <w:pStyle w:val="NoSpacing"/>
        <w:rPr>
          <w:b/>
          <w:bCs/>
          <w:sz w:val="24"/>
          <w:szCs w:val="24"/>
        </w:rPr>
      </w:pPr>
    </w:p>
    <w:p w14:paraId="56F1238F" w14:textId="77777777" w:rsidR="00663160" w:rsidRPr="0049503A" w:rsidRDefault="00663160" w:rsidP="00663160">
      <w:pPr>
        <w:pStyle w:val="NoSpacing"/>
        <w:rPr>
          <w:rFonts w:ascii="Times New Roman" w:hAnsi="Times New Roman"/>
          <w:b/>
          <w:bCs/>
          <w:sz w:val="24"/>
          <w:szCs w:val="24"/>
        </w:rPr>
      </w:pPr>
      <w:r w:rsidRPr="0049503A">
        <w:rPr>
          <w:rFonts w:ascii="Times New Roman" w:hAnsi="Times New Roman"/>
          <w:bCs/>
          <w:sz w:val="24"/>
          <w:szCs w:val="24"/>
        </w:rPr>
        <w:t xml:space="preserve">On Feb. 25, 2020, in </w:t>
      </w:r>
      <w:r w:rsidRPr="0049503A">
        <w:rPr>
          <w:rFonts w:ascii="Times New Roman" w:hAnsi="Times New Roman"/>
          <w:bCs/>
          <w:sz w:val="24"/>
          <w:szCs w:val="24"/>
          <w:u w:val="single"/>
        </w:rPr>
        <w:t>People of the State of Michigan v. Joshua Mark Burger</w:t>
      </w:r>
      <w:r w:rsidRPr="0049503A">
        <w:rPr>
          <w:rFonts w:ascii="Times New Roman" w:hAnsi="Times New Roman"/>
          <w:bCs/>
          <w:sz w:val="24"/>
          <w:szCs w:val="24"/>
        </w:rPr>
        <w:t xml:space="preserve">, the Michigan Court of Appeals held (3 to 0) that the defendant must re-tried.   Two arson investigators also changed their opinion from two points or origin to </w:t>
      </w:r>
      <w:proofErr w:type="gramStart"/>
      <w:r w:rsidRPr="0049503A">
        <w:rPr>
          <w:rFonts w:ascii="Times New Roman" w:hAnsi="Times New Roman"/>
          <w:bCs/>
          <w:sz w:val="24"/>
          <w:szCs w:val="24"/>
        </w:rPr>
        <w:t>one, but</w:t>
      </w:r>
      <w:proofErr w:type="gramEnd"/>
      <w:r w:rsidRPr="0049503A">
        <w:rPr>
          <w:rFonts w:ascii="Times New Roman" w:hAnsi="Times New Roman"/>
          <w:bCs/>
          <w:sz w:val="24"/>
          <w:szCs w:val="24"/>
        </w:rPr>
        <w:t xml:space="preserve"> not disclosed to defense until first day of trial. Also, defendant owned a successful pawn shop, and the trial court improperly prohibited him from calling two witnesses who would testify his pawn shop was financially doing well – insurance adjustor, and the landlord.  </w:t>
      </w:r>
    </w:p>
    <w:p w14:paraId="7BEE16D6" w14:textId="77777777" w:rsidR="00663160" w:rsidRPr="0049503A" w:rsidRDefault="00663160" w:rsidP="00663160">
      <w:pPr>
        <w:pStyle w:val="NoSpacing"/>
        <w:rPr>
          <w:rFonts w:ascii="Times New Roman" w:hAnsi="Times New Roman"/>
          <w:b/>
          <w:bCs/>
          <w:sz w:val="24"/>
          <w:szCs w:val="24"/>
        </w:rPr>
      </w:pPr>
    </w:p>
    <w:bookmarkEnd w:id="49"/>
    <w:p w14:paraId="77EF138A" w14:textId="77777777" w:rsidR="00663160" w:rsidRPr="0049503A" w:rsidRDefault="00663160" w:rsidP="00663160">
      <w:pPr>
        <w:pStyle w:val="NoSpacing"/>
        <w:ind w:left="720"/>
        <w:rPr>
          <w:rFonts w:ascii="Times New Roman" w:hAnsi="Times New Roman"/>
          <w:b/>
          <w:bCs/>
          <w:sz w:val="24"/>
          <w:szCs w:val="24"/>
        </w:rPr>
      </w:pPr>
      <w:r w:rsidRPr="0049503A">
        <w:rPr>
          <w:rFonts w:ascii="Times New Roman" w:hAnsi="Times New Roman"/>
          <w:bCs/>
          <w:sz w:val="24"/>
          <w:szCs w:val="24"/>
        </w:rPr>
        <w:t xml:space="preserve">“Defendant’s primary theory of the case was spontaneous combustion of the rag soaked with linseed oil that he had been using to finish a guitar in the days leading up to the fire, as he argued in closing. *** </w:t>
      </w:r>
    </w:p>
    <w:p w14:paraId="29CD8274" w14:textId="77777777" w:rsidR="00663160" w:rsidRPr="0049503A" w:rsidRDefault="00663160" w:rsidP="00663160">
      <w:pPr>
        <w:pStyle w:val="NoSpacing"/>
        <w:ind w:left="720"/>
        <w:rPr>
          <w:rFonts w:ascii="Times New Roman" w:hAnsi="Times New Roman"/>
          <w:b/>
          <w:bCs/>
          <w:sz w:val="24"/>
          <w:szCs w:val="24"/>
        </w:rPr>
      </w:pPr>
      <w:r w:rsidRPr="0049503A">
        <w:rPr>
          <w:rFonts w:ascii="Times New Roman" w:hAnsi="Times New Roman"/>
          <w:bCs/>
          <w:sz w:val="24"/>
          <w:szCs w:val="24"/>
        </w:rPr>
        <w:t xml:space="preserve">It is undisputed in this case that defendant learned for the first time at trial that the fire chiefs had changed their opinion regarding the fire’s point of origin. In their original reports, which were disclosed to </w:t>
      </w:r>
      <w:proofErr w:type="gramStart"/>
      <w:r w:rsidRPr="0049503A">
        <w:rPr>
          <w:rFonts w:ascii="Times New Roman" w:hAnsi="Times New Roman"/>
          <w:bCs/>
          <w:sz w:val="24"/>
          <w:szCs w:val="24"/>
        </w:rPr>
        <w:t>defendant</w:t>
      </w:r>
      <w:proofErr w:type="gramEnd"/>
      <w:r w:rsidRPr="0049503A">
        <w:rPr>
          <w:rFonts w:ascii="Times New Roman" w:hAnsi="Times New Roman"/>
          <w:bCs/>
          <w:sz w:val="24"/>
          <w:szCs w:val="24"/>
        </w:rPr>
        <w:t>, both chiefs opined that the fire had two points of origin. However, the chiefs later altered their conclusions, indicating that indeed, the fire had a single point of origin. We conclude that this information was suppressed, as it was not disclosed until the beginning of trial, and that it was material to defendant’s case.”</w:t>
      </w:r>
    </w:p>
    <w:bookmarkStart w:id="51" w:name="_Hlk39749601"/>
    <w:p w14:paraId="4C127694" w14:textId="77777777" w:rsidR="00663160" w:rsidRPr="0049503A" w:rsidRDefault="00334940" w:rsidP="00663160">
      <w:pPr>
        <w:pStyle w:val="NoSpacing"/>
        <w:ind w:left="720"/>
        <w:rPr>
          <w:rFonts w:ascii="Times New Roman" w:hAnsi="Times New Roman"/>
          <w:b/>
          <w:bCs/>
          <w:sz w:val="24"/>
          <w:szCs w:val="24"/>
        </w:rPr>
      </w:pPr>
      <w:r>
        <w:fldChar w:fldCharType="begin"/>
      </w:r>
      <w:r>
        <w:instrText xml:space="preserve"> HYPERLINK "https://cases.justia.com/michigan/court-of-appeals-published/2020-343332.pdf?ts=1582725736" </w:instrText>
      </w:r>
      <w:r>
        <w:fldChar w:fldCharType="separate"/>
      </w:r>
      <w:r w:rsidR="00663160" w:rsidRPr="0049503A">
        <w:rPr>
          <w:rStyle w:val="Hyperlink"/>
          <w:rFonts w:ascii="Times New Roman" w:hAnsi="Times New Roman"/>
          <w:bCs/>
          <w:sz w:val="24"/>
          <w:szCs w:val="24"/>
        </w:rPr>
        <w:t>https://cases.justia.com/michigan/court-of-appeals-published/2020-343332.pdf?ts=1582725736</w:t>
      </w:r>
      <w:r>
        <w:rPr>
          <w:rStyle w:val="Hyperlink"/>
          <w:rFonts w:ascii="Times New Roman" w:hAnsi="Times New Roman"/>
          <w:bCs/>
          <w:sz w:val="24"/>
          <w:szCs w:val="24"/>
        </w:rPr>
        <w:fldChar w:fldCharType="end"/>
      </w:r>
      <w:r w:rsidR="00663160" w:rsidRPr="0049503A">
        <w:rPr>
          <w:rFonts w:ascii="Times New Roman" w:hAnsi="Times New Roman"/>
          <w:bCs/>
          <w:sz w:val="24"/>
          <w:szCs w:val="24"/>
        </w:rPr>
        <w:t xml:space="preserve"> </w:t>
      </w:r>
    </w:p>
    <w:bookmarkEnd w:id="50"/>
    <w:bookmarkEnd w:id="51"/>
    <w:p w14:paraId="762A0384" w14:textId="77777777" w:rsidR="00663160" w:rsidRDefault="00663160" w:rsidP="00663160">
      <w:pPr>
        <w:pStyle w:val="NoSpacing"/>
        <w:tabs>
          <w:tab w:val="left" w:pos="2970"/>
        </w:tabs>
        <w:rPr>
          <w:rFonts w:ascii="Times New Roman" w:hAnsi="Times New Roman"/>
          <w:b/>
          <w:bCs/>
          <w:sz w:val="24"/>
          <w:szCs w:val="24"/>
        </w:rPr>
      </w:pPr>
    </w:p>
    <w:p w14:paraId="5AF92333" w14:textId="22C83871" w:rsidR="00663160" w:rsidRPr="0049503A" w:rsidRDefault="00663160" w:rsidP="00663160">
      <w:pPr>
        <w:pStyle w:val="NoSpacing"/>
        <w:tabs>
          <w:tab w:val="left" w:pos="2970"/>
        </w:tabs>
        <w:rPr>
          <w:rFonts w:ascii="Times New Roman" w:hAnsi="Times New Roman"/>
          <w:b/>
          <w:bCs/>
          <w:sz w:val="24"/>
          <w:szCs w:val="24"/>
        </w:rPr>
      </w:pPr>
      <w:r w:rsidRPr="0049503A">
        <w:rPr>
          <w:rFonts w:ascii="Times New Roman" w:hAnsi="Times New Roman"/>
          <w:b/>
          <w:bCs/>
          <w:sz w:val="24"/>
          <w:szCs w:val="24"/>
        </w:rPr>
        <w:t xml:space="preserve">Legal Lessons Learned:  Prosecutors must disclose, prior to trial, when arson investigators change their findings from two points of origin to one point. </w:t>
      </w:r>
    </w:p>
    <w:p w14:paraId="7B5BEED1" w14:textId="77777777" w:rsidR="00663160" w:rsidRPr="0049503A" w:rsidRDefault="00663160" w:rsidP="00663160">
      <w:pPr>
        <w:pStyle w:val="NoSpacing"/>
        <w:rPr>
          <w:rFonts w:ascii="Times New Roman" w:hAnsi="Times New Roman"/>
          <w:b/>
          <w:bCs/>
          <w:sz w:val="24"/>
          <w:szCs w:val="24"/>
        </w:rPr>
      </w:pPr>
    </w:p>
    <w:p w14:paraId="55C127E0" w14:textId="77777777" w:rsidR="00663160" w:rsidRDefault="00663160" w:rsidP="002B1283">
      <w:pPr>
        <w:rPr>
          <w:rFonts w:ascii="Arial Black" w:hAnsi="Arial Black"/>
          <w:b/>
          <w:sz w:val="24"/>
          <w:szCs w:val="24"/>
        </w:rPr>
      </w:pPr>
    </w:p>
    <w:p w14:paraId="22FA65F1" w14:textId="77777777" w:rsidR="00663160" w:rsidRDefault="00663160" w:rsidP="002B1283">
      <w:pPr>
        <w:rPr>
          <w:rFonts w:ascii="Arial Black" w:hAnsi="Arial Black"/>
          <w:b/>
          <w:sz w:val="24"/>
          <w:szCs w:val="24"/>
        </w:rPr>
      </w:pPr>
    </w:p>
    <w:p w14:paraId="6B2A9EFE" w14:textId="77777777" w:rsidR="00663160" w:rsidRDefault="00663160" w:rsidP="002B1283">
      <w:pPr>
        <w:rPr>
          <w:rFonts w:ascii="Arial Black" w:hAnsi="Arial Black"/>
          <w:b/>
          <w:sz w:val="24"/>
          <w:szCs w:val="24"/>
        </w:rPr>
      </w:pPr>
    </w:p>
    <w:p w14:paraId="48F9AA74" w14:textId="41AFD911" w:rsidR="00C9355B" w:rsidRDefault="00C9355B"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8</w:t>
      </w:r>
    </w:p>
    <w:p w14:paraId="33EED068" w14:textId="77777777" w:rsidR="00C9355B" w:rsidRPr="00B51160" w:rsidRDefault="00C9355B" w:rsidP="00C9355B">
      <w:pPr>
        <w:pStyle w:val="Heading1"/>
        <w:rPr>
          <w:rFonts w:ascii="Arial Black" w:hAnsi="Arial Black"/>
          <w:sz w:val="28"/>
          <w:szCs w:val="28"/>
        </w:rPr>
      </w:pPr>
      <w:bookmarkStart w:id="52" w:name="_Hlk69187758"/>
      <w:bookmarkStart w:id="53" w:name="_Hlk39749674"/>
      <w:bookmarkStart w:id="54" w:name="_Hlk39817933"/>
      <w:r w:rsidRPr="00B51160">
        <w:rPr>
          <w:rFonts w:ascii="Arial Black" w:hAnsi="Arial Black"/>
          <w:sz w:val="28"/>
          <w:szCs w:val="28"/>
        </w:rPr>
        <w:t>CA:</w:t>
      </w:r>
      <w:r>
        <w:rPr>
          <w:rFonts w:ascii="Arial Black" w:hAnsi="Arial Black"/>
          <w:sz w:val="28"/>
          <w:szCs w:val="28"/>
        </w:rPr>
        <w:t xml:space="preserve"> HOUSE EXPLOSION – HASHISH OIL – AFTER FIRE OUT, HAZMAT CAPT. / PD LATER SEARCHED WITHOUT WARRANT </w:t>
      </w:r>
    </w:p>
    <w:bookmarkEnd w:id="52"/>
    <w:p w14:paraId="6BBE029D" w14:textId="77777777" w:rsidR="00C9355B" w:rsidRPr="00695030" w:rsidRDefault="00C9355B" w:rsidP="00C9355B">
      <w:pPr>
        <w:pStyle w:val="NoSpacing"/>
        <w:rPr>
          <w:rFonts w:ascii="Times New Roman" w:hAnsi="Times New Roman"/>
          <w:b/>
          <w:bCs/>
          <w:sz w:val="24"/>
          <w:szCs w:val="24"/>
        </w:rPr>
      </w:pPr>
      <w:r w:rsidRPr="00695030">
        <w:rPr>
          <w:rFonts w:ascii="Times New Roman" w:hAnsi="Times New Roman"/>
          <w:bCs/>
          <w:sz w:val="24"/>
          <w:szCs w:val="24"/>
        </w:rPr>
        <w:t xml:space="preserve">On Jan. 28, 2020, in </w:t>
      </w:r>
      <w:r w:rsidRPr="00695030">
        <w:rPr>
          <w:rFonts w:ascii="Times New Roman" w:hAnsi="Times New Roman"/>
          <w:bCs/>
          <w:sz w:val="24"/>
          <w:szCs w:val="24"/>
          <w:u w:val="single"/>
        </w:rPr>
        <w:t>United States of America v. Joseph Jay Spadafore</w:t>
      </w:r>
      <w:r w:rsidRPr="00695030">
        <w:rPr>
          <w:rFonts w:ascii="Times New Roman" w:hAnsi="Times New Roman"/>
          <w:bCs/>
          <w:sz w:val="24"/>
          <w:szCs w:val="24"/>
        </w:rPr>
        <w:t>, the U.S. Court of Appeals for the 9</w:t>
      </w:r>
      <w:r w:rsidRPr="00695030">
        <w:rPr>
          <w:rFonts w:ascii="Times New Roman" w:hAnsi="Times New Roman"/>
          <w:bCs/>
          <w:sz w:val="24"/>
          <w:szCs w:val="24"/>
          <w:vertAlign w:val="superscript"/>
        </w:rPr>
        <w:t>th</w:t>
      </w:r>
      <w:r w:rsidRPr="00695030">
        <w:rPr>
          <w:rFonts w:ascii="Times New Roman" w:hAnsi="Times New Roman"/>
          <w:bCs/>
          <w:sz w:val="24"/>
          <w:szCs w:val="24"/>
        </w:rPr>
        <w:t xml:space="preserve"> Circuit (San Francisco) held (3 to 0, unpublished decision) that trial judge properly denied his motion to </w:t>
      </w:r>
      <w:r w:rsidRPr="00695030">
        <w:rPr>
          <w:rFonts w:ascii="Times New Roman" w:hAnsi="Times New Roman"/>
          <w:bCs/>
          <w:sz w:val="24"/>
          <w:szCs w:val="24"/>
        </w:rPr>
        <w:lastRenderedPageBreak/>
        <w:t xml:space="preserve">suppress evidence; it was reasonable for a fire department Captain and police officers to conduct the later search the home without a search warrant, due to presence of hazardous and volatile materials.  </w:t>
      </w:r>
    </w:p>
    <w:bookmarkEnd w:id="53"/>
    <w:p w14:paraId="73774342" w14:textId="77777777" w:rsidR="00C9355B" w:rsidRPr="00695030" w:rsidRDefault="00C9355B" w:rsidP="00C9355B">
      <w:pPr>
        <w:pStyle w:val="NoSpacing"/>
        <w:rPr>
          <w:rFonts w:ascii="Times New Roman" w:hAnsi="Times New Roman"/>
          <w:b/>
          <w:bCs/>
          <w:sz w:val="24"/>
          <w:szCs w:val="24"/>
        </w:rPr>
      </w:pPr>
    </w:p>
    <w:p w14:paraId="415C2F7E"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“[E]</w:t>
      </w:r>
      <w:proofErr w:type="spellStart"/>
      <w:r w:rsidRPr="00695030">
        <w:rPr>
          <w:rFonts w:ascii="Times New Roman" w:hAnsi="Times New Roman"/>
          <w:bCs/>
          <w:sz w:val="24"/>
          <w:szCs w:val="24"/>
        </w:rPr>
        <w:t>xigent</w:t>
      </w:r>
      <w:proofErr w:type="spellEnd"/>
      <w:r w:rsidRPr="00695030">
        <w:rPr>
          <w:rFonts w:ascii="Times New Roman" w:hAnsi="Times New Roman"/>
          <w:bCs/>
          <w:sz w:val="24"/>
          <w:szCs w:val="24"/>
        </w:rPr>
        <w:t xml:space="preserve"> circumstances involving the explosion of volatile materials used for manufacturing hashish oil justified the search of the residence by fire department personnel and law enforcement officers. During the initial search for potential victims of the explosion, first responders observed ‘glassware, tubing, jars, and other equipment that resembled a drug lab.’ Later in the night, a fire captain with the ‘hazardous materials unit’ accompanied law enforcement officers, while wearing ‘air monitoring devices . . . in order to check the air quality and confirm the nature of the lab inside the home, particularly whether it involved hazardous materials that could pose a danger to life, property, or the environment.’ Although the fire had been extinguished, it was reasonable for fire department personnel and law enforcement officers to search the property due to the explosion and the presence of other hazardous and volatile materials.” </w:t>
      </w:r>
      <w:bookmarkStart w:id="55" w:name="_Hlk69187822"/>
      <w:bookmarkStart w:id="56" w:name="_Hlk39749691"/>
      <w:r w:rsidR="00334940">
        <w:fldChar w:fldCharType="begin"/>
      </w:r>
      <w:r w:rsidR="00334940">
        <w:instrText xml:space="preserve"> HYPERLINK "http://cdn.ca9.uscourts.gov/datastore/memoranda/2020/01/28/18-50189.pdf" </w:instrText>
      </w:r>
      <w:r w:rsidR="00334940">
        <w:fldChar w:fldCharType="separate"/>
      </w:r>
      <w:r w:rsidRPr="00695030">
        <w:rPr>
          <w:rStyle w:val="Hyperlink"/>
          <w:rFonts w:ascii="Times New Roman" w:hAnsi="Times New Roman"/>
          <w:b/>
          <w:sz w:val="24"/>
          <w:szCs w:val="24"/>
        </w:rPr>
        <w:t>http://cdn.ca9.uscourts.gov/datastore/memoranda/2020/01/28/18-50189.pdf</w:t>
      </w:r>
      <w:r w:rsidR="00334940">
        <w:rPr>
          <w:rStyle w:val="Hyperlink"/>
          <w:rFonts w:ascii="Times New Roman" w:hAnsi="Times New Roman"/>
          <w:b/>
          <w:sz w:val="24"/>
          <w:szCs w:val="24"/>
        </w:rPr>
        <w:fldChar w:fldCharType="end"/>
      </w:r>
      <w:r w:rsidRPr="00695030">
        <w:rPr>
          <w:rFonts w:ascii="Times New Roman" w:hAnsi="Times New Roman"/>
          <w:bCs/>
          <w:sz w:val="24"/>
          <w:szCs w:val="24"/>
        </w:rPr>
        <w:t xml:space="preserve"> </w:t>
      </w:r>
      <w:bookmarkEnd w:id="55"/>
    </w:p>
    <w:bookmarkEnd w:id="56"/>
    <w:p w14:paraId="2D46859A" w14:textId="77777777" w:rsidR="007A1E7A" w:rsidRDefault="007A1E7A" w:rsidP="00C9355B">
      <w:pPr>
        <w:pStyle w:val="NoSpacing"/>
        <w:rPr>
          <w:rFonts w:ascii="Times New Roman" w:hAnsi="Times New Roman"/>
          <w:b/>
          <w:bCs/>
          <w:sz w:val="24"/>
          <w:szCs w:val="24"/>
        </w:rPr>
      </w:pPr>
    </w:p>
    <w:bookmarkEnd w:id="54"/>
    <w:p w14:paraId="195C52EC" w14:textId="3B7C5E9D" w:rsidR="00C9355B" w:rsidRPr="00695030" w:rsidRDefault="00C9355B" w:rsidP="00C9355B">
      <w:pPr>
        <w:pStyle w:val="NoSpacing"/>
        <w:rPr>
          <w:rFonts w:ascii="Times New Roman" w:hAnsi="Times New Roman"/>
          <w:b/>
          <w:bCs/>
          <w:sz w:val="24"/>
          <w:szCs w:val="24"/>
        </w:rPr>
      </w:pPr>
      <w:r w:rsidRPr="00695030">
        <w:rPr>
          <w:rFonts w:ascii="Times New Roman" w:hAnsi="Times New Roman"/>
          <w:b/>
          <w:bCs/>
          <w:sz w:val="24"/>
          <w:szCs w:val="24"/>
        </w:rPr>
        <w:t xml:space="preserve">Legal Lessons Learned: Great decision; remember to keep a firefighter at the scene while waiting for HAZMAT, fire investigator, or other specialized resources to arrive. </w:t>
      </w:r>
    </w:p>
    <w:p w14:paraId="6ECC6FED" w14:textId="77777777" w:rsidR="00C9355B" w:rsidRDefault="00C9355B" w:rsidP="002B1283">
      <w:pPr>
        <w:rPr>
          <w:rFonts w:ascii="Arial Black" w:hAnsi="Arial Black"/>
          <w:b/>
          <w:sz w:val="24"/>
          <w:szCs w:val="24"/>
        </w:rPr>
      </w:pPr>
    </w:p>
    <w:p w14:paraId="66EE328D" w14:textId="77777777" w:rsidR="00C9355B" w:rsidRDefault="00C9355B" w:rsidP="002B1283">
      <w:pPr>
        <w:rPr>
          <w:rFonts w:ascii="Arial Black" w:hAnsi="Arial Black"/>
          <w:b/>
          <w:sz w:val="24"/>
          <w:szCs w:val="24"/>
        </w:rPr>
      </w:pPr>
    </w:p>
    <w:p w14:paraId="7EF421D0" w14:textId="77777777" w:rsidR="00C9355B" w:rsidRDefault="00C9355B" w:rsidP="002B1283">
      <w:pPr>
        <w:rPr>
          <w:rFonts w:ascii="Arial Black" w:hAnsi="Arial Black"/>
          <w:b/>
          <w:sz w:val="24"/>
          <w:szCs w:val="24"/>
        </w:rPr>
      </w:pPr>
    </w:p>
    <w:p w14:paraId="4AB217A3" w14:textId="5A96FFB4" w:rsidR="00980EAD" w:rsidRDefault="007C6FEF"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7</w:t>
      </w:r>
    </w:p>
    <w:p w14:paraId="7B07AE07" w14:textId="77777777" w:rsidR="007C6FEF" w:rsidRPr="007B1262" w:rsidRDefault="007C6FEF" w:rsidP="007C6FEF">
      <w:pPr>
        <w:spacing w:before="100" w:beforeAutospacing="1" w:after="100" w:afterAutospacing="1" w:line="240" w:lineRule="auto"/>
        <w:rPr>
          <w:rFonts w:ascii="Arial Black" w:hAnsi="Arial Black"/>
          <w:sz w:val="28"/>
          <w:szCs w:val="28"/>
        </w:rPr>
      </w:pPr>
      <w:r>
        <w:rPr>
          <w:rFonts w:ascii="Arial Black" w:hAnsi="Arial Black"/>
          <w:sz w:val="28"/>
          <w:szCs w:val="28"/>
        </w:rPr>
        <w:t>FL:</w:t>
      </w:r>
      <w:r w:rsidRPr="007B1262">
        <w:rPr>
          <w:rFonts w:ascii="Arial Black" w:hAnsi="Arial Black"/>
          <w:sz w:val="28"/>
          <w:szCs w:val="28"/>
        </w:rPr>
        <w:t xml:space="preserve"> </w:t>
      </w:r>
      <w:r>
        <w:rPr>
          <w:rFonts w:ascii="Arial Black" w:hAnsi="Arial Black"/>
          <w:sz w:val="28"/>
          <w:szCs w:val="28"/>
        </w:rPr>
        <w:t>FIRE CHIEF – CODE ENFORCEMENT / 100-YR OLD LODGE WAS CONDEMNED – FIRED – 1</w:t>
      </w:r>
      <w:r w:rsidRPr="002A643A">
        <w:rPr>
          <w:rFonts w:ascii="Arial Black" w:hAnsi="Arial Black"/>
          <w:sz w:val="28"/>
          <w:szCs w:val="28"/>
          <w:vertAlign w:val="superscript"/>
        </w:rPr>
        <w:t>st</w:t>
      </w:r>
      <w:r>
        <w:rPr>
          <w:rFonts w:ascii="Arial Black" w:hAnsi="Arial Black"/>
          <w:sz w:val="28"/>
          <w:szCs w:val="28"/>
        </w:rPr>
        <w:t xml:space="preserve"> AMENDMENT CASE DISMISSED</w:t>
      </w:r>
    </w:p>
    <w:p w14:paraId="70AC31BC" w14:textId="77777777" w:rsidR="007C6FEF" w:rsidRPr="00B47705" w:rsidRDefault="007C6FEF" w:rsidP="007C6FEF">
      <w:pPr>
        <w:spacing w:before="100" w:beforeAutospacing="1" w:after="100" w:afterAutospacing="1" w:line="240" w:lineRule="auto"/>
        <w:rPr>
          <w:rFonts w:ascii="Times New Roman" w:hAnsi="Times New Roman"/>
          <w:sz w:val="24"/>
          <w:szCs w:val="24"/>
        </w:rPr>
      </w:pPr>
      <w:r w:rsidRPr="00B47705">
        <w:rPr>
          <w:rFonts w:ascii="Times New Roman" w:hAnsi="Times New Roman"/>
          <w:sz w:val="24"/>
          <w:szCs w:val="24"/>
        </w:rPr>
        <w:t xml:space="preserve">On Dec. 12, 2019, in </w:t>
      </w:r>
      <w:r w:rsidRPr="00B47705">
        <w:rPr>
          <w:rFonts w:ascii="Times New Roman" w:hAnsi="Times New Roman"/>
          <w:sz w:val="24"/>
          <w:szCs w:val="24"/>
          <w:u w:val="single"/>
        </w:rPr>
        <w:t>Bradley Batz v. City of Sebring</w:t>
      </w:r>
      <w:r w:rsidRPr="00B47705">
        <w:rPr>
          <w:rFonts w:ascii="Times New Roman" w:hAnsi="Times New Roman"/>
          <w:sz w:val="24"/>
          <w:szCs w:val="24"/>
        </w:rPr>
        <w:t>, the U.S. Court of Appeals for the 11</w:t>
      </w:r>
      <w:r w:rsidRPr="00B47705">
        <w:rPr>
          <w:rFonts w:ascii="Times New Roman" w:hAnsi="Times New Roman"/>
          <w:sz w:val="24"/>
          <w:szCs w:val="24"/>
          <w:vertAlign w:val="superscript"/>
        </w:rPr>
        <w:t>th</w:t>
      </w:r>
      <w:r w:rsidRPr="00B47705">
        <w:rPr>
          <w:rFonts w:ascii="Times New Roman" w:hAnsi="Times New Roman"/>
          <w:sz w:val="24"/>
          <w:szCs w:val="24"/>
        </w:rPr>
        <w:t xml:space="preserve"> Circuit (Atlanta) held (3 to 0) that the U.S. District Court judge had properly dismissed his First Amendment lawsuit, despite his claims of retaliation for his lawful efforts to condemn a 100-year old Lodge, partially owned by a member of City Council.   </w:t>
      </w:r>
    </w:p>
    <w:p w14:paraId="18FCE86B" w14:textId="77777777" w:rsidR="007C6FEF" w:rsidRPr="007B1262" w:rsidRDefault="007C6FEF" w:rsidP="007C6FEF">
      <w:pPr>
        <w:pStyle w:val="NoSpacing"/>
        <w:ind w:left="720"/>
        <w:rPr>
          <w:rFonts w:ascii="Times New Roman" w:eastAsia="Times New Roman" w:hAnsi="Times New Roman"/>
          <w:b/>
          <w:bCs/>
          <w:sz w:val="24"/>
          <w:szCs w:val="24"/>
        </w:rPr>
      </w:pPr>
      <w:r>
        <w:rPr>
          <w:rFonts w:ascii="Times New Roman" w:hAnsi="Times New Roman"/>
          <w:sz w:val="24"/>
          <w:szCs w:val="24"/>
        </w:rPr>
        <w:t>“</w:t>
      </w:r>
      <w:r w:rsidRPr="007B1262">
        <w:rPr>
          <w:rFonts w:ascii="Times New Roman" w:hAnsi="Times New Roman"/>
          <w:sz w:val="24"/>
          <w:szCs w:val="24"/>
        </w:rPr>
        <w:t xml:space="preserve">In other words, one of Batz’s core responsibilities as the </w:t>
      </w:r>
      <w:proofErr w:type="gramStart"/>
      <w:r w:rsidRPr="007B1262">
        <w:rPr>
          <w:rFonts w:ascii="Times New Roman" w:hAnsi="Times New Roman"/>
          <w:sz w:val="24"/>
          <w:szCs w:val="24"/>
        </w:rPr>
        <w:t>City</w:t>
      </w:r>
      <w:proofErr w:type="gramEnd"/>
      <w:r w:rsidRPr="007B1262">
        <w:rPr>
          <w:rFonts w:ascii="Times New Roman" w:hAnsi="Times New Roman"/>
          <w:sz w:val="24"/>
          <w:szCs w:val="24"/>
        </w:rPr>
        <w:t xml:space="preserve"> employee responsible for enforcing the Safety Code was ensuring public safety. Thus, his continued assertion that his speech was motivated by a concern for public safety does not remove it from the realm of employment-related speech…. At the very least, he made no effort to communicate his safety concerns to the public or otherwise communicate with anyone outside other government officials…. Accordingly, we conclude Batz spoke in his role as a </w:t>
      </w:r>
      <w:proofErr w:type="gramStart"/>
      <w:r w:rsidRPr="007B1262">
        <w:rPr>
          <w:rFonts w:ascii="Times New Roman" w:hAnsi="Times New Roman"/>
          <w:sz w:val="24"/>
          <w:szCs w:val="24"/>
        </w:rPr>
        <w:t>City</w:t>
      </w:r>
      <w:proofErr w:type="gramEnd"/>
      <w:r w:rsidRPr="007B1262">
        <w:rPr>
          <w:rFonts w:ascii="Times New Roman" w:hAnsi="Times New Roman"/>
          <w:sz w:val="24"/>
          <w:szCs w:val="24"/>
        </w:rPr>
        <w:t xml:space="preserve"> employee when he expressed concerns about efforts to undermine and delay his enforcement efforts against the Lodge. His speech therefore was not protected by the First Amendment.</w:t>
      </w:r>
      <w:r>
        <w:rPr>
          <w:rFonts w:ascii="Times New Roman" w:hAnsi="Times New Roman"/>
          <w:sz w:val="24"/>
          <w:szCs w:val="24"/>
        </w:rPr>
        <w:t xml:space="preserve"> </w:t>
      </w:r>
      <w:hyperlink r:id="rId316" w:history="1">
        <w:r w:rsidRPr="00D24870">
          <w:rPr>
            <w:rStyle w:val="Hyperlink"/>
            <w:rFonts w:ascii="Times New Roman" w:hAnsi="Times New Roman"/>
            <w:sz w:val="24"/>
            <w:szCs w:val="24"/>
          </w:rPr>
          <w:t>https://cases.justia.com/federal/appellate-courts/ca11/19-11399/19-11399-2019-12-12.pdf?ts=1576184426</w:t>
        </w:r>
      </w:hyperlink>
      <w:r>
        <w:rPr>
          <w:rFonts w:ascii="Times New Roman" w:hAnsi="Times New Roman"/>
          <w:sz w:val="24"/>
          <w:szCs w:val="24"/>
        </w:rPr>
        <w:t xml:space="preserve"> </w:t>
      </w:r>
    </w:p>
    <w:p w14:paraId="01FAB458" w14:textId="05803340" w:rsidR="003464C5" w:rsidRDefault="003464C5" w:rsidP="002B1283">
      <w:pPr>
        <w:rPr>
          <w:rFonts w:ascii="Times New Roman" w:hAnsi="Times New Roman"/>
          <w:bCs/>
          <w:sz w:val="24"/>
          <w:szCs w:val="24"/>
        </w:rPr>
      </w:pPr>
    </w:p>
    <w:p w14:paraId="223ACA9C" w14:textId="39C517A8" w:rsidR="007A1E7A" w:rsidRDefault="007A1E7A" w:rsidP="002B1283">
      <w:pPr>
        <w:rPr>
          <w:rFonts w:ascii="Times New Roman" w:hAnsi="Times New Roman"/>
          <w:b/>
          <w:bCs/>
          <w:sz w:val="24"/>
          <w:szCs w:val="24"/>
        </w:rPr>
      </w:pPr>
      <w:r w:rsidRPr="007A1E7A">
        <w:rPr>
          <w:rFonts w:ascii="Times New Roman" w:hAnsi="Times New Roman"/>
          <w:b/>
          <w:bCs/>
          <w:sz w:val="24"/>
          <w:szCs w:val="24"/>
        </w:rPr>
        <w:t xml:space="preserve">Legal Lessons Learned: Fire Chiefs are other public employees have only limited First Amendment rights under the “balancing test.” The Court also dismissed his Florida Whistleblower claims because he did not submit a “written and signed complaint.” </w:t>
      </w:r>
    </w:p>
    <w:p w14:paraId="592965FD" w14:textId="77777777" w:rsidR="007A1E7A" w:rsidRPr="007A1E7A" w:rsidRDefault="007A1E7A" w:rsidP="002B1283">
      <w:pPr>
        <w:rPr>
          <w:rFonts w:ascii="Times New Roman" w:hAnsi="Times New Roman"/>
          <w:b/>
          <w:bCs/>
          <w:sz w:val="24"/>
          <w:szCs w:val="24"/>
        </w:rPr>
      </w:pPr>
    </w:p>
    <w:p w14:paraId="156DD20A" w14:textId="26031537" w:rsidR="007C6FEF" w:rsidRDefault="007C6FEF"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6</w:t>
      </w:r>
    </w:p>
    <w:p w14:paraId="0ADD3840" w14:textId="77777777" w:rsidR="007C6FEF" w:rsidRPr="00A2453E" w:rsidRDefault="007C6FEF" w:rsidP="007C6FEF">
      <w:pPr>
        <w:rPr>
          <w:rFonts w:ascii="Arial Black" w:hAnsi="Arial Black"/>
          <w:sz w:val="28"/>
          <w:szCs w:val="28"/>
        </w:rPr>
      </w:pPr>
      <w:bookmarkStart w:id="57" w:name="_Hlk29226241"/>
      <w:r w:rsidRPr="00A2453E">
        <w:rPr>
          <w:rFonts w:ascii="Arial Black" w:hAnsi="Arial Black"/>
          <w:sz w:val="28"/>
          <w:szCs w:val="28"/>
        </w:rPr>
        <w:lastRenderedPageBreak/>
        <w:t xml:space="preserve">VA: </w:t>
      </w:r>
      <w:r>
        <w:rPr>
          <w:rFonts w:ascii="Arial Black" w:hAnsi="Arial Black"/>
          <w:sz w:val="28"/>
          <w:szCs w:val="28"/>
        </w:rPr>
        <w:t xml:space="preserve"> HYDRANT NEAR HOUSE OUT OF SERVICE – 1000 FOOT LAY – PERSON DIED - GOVERNMENTAL IMMUNITY, CASE DISMISSED</w:t>
      </w:r>
    </w:p>
    <w:p w14:paraId="63C3AA5E" w14:textId="77777777" w:rsidR="007C6FEF" w:rsidRDefault="007C6FEF" w:rsidP="007C6FEF">
      <w:pPr>
        <w:rPr>
          <w:rFonts w:ascii="Times New Roman" w:hAnsi="Times New Roman"/>
          <w:sz w:val="24"/>
          <w:szCs w:val="24"/>
        </w:rPr>
      </w:pPr>
      <w:r>
        <w:rPr>
          <w:rFonts w:ascii="Times New Roman" w:hAnsi="Times New Roman"/>
          <w:sz w:val="24"/>
          <w:szCs w:val="24"/>
        </w:rPr>
        <w:t xml:space="preserve">On Dec. 12, 2019, in </w:t>
      </w:r>
      <w:r w:rsidRPr="003F4B77">
        <w:rPr>
          <w:rFonts w:ascii="Times New Roman" w:hAnsi="Times New Roman"/>
          <w:sz w:val="24"/>
          <w:szCs w:val="24"/>
          <w:u w:val="single"/>
        </w:rPr>
        <w:t>Sam Massenburg, Administrator of the Estate of Corey Demetrius Massenburg, Deceased v. City of Petersburg</w:t>
      </w:r>
      <w:r>
        <w:rPr>
          <w:rFonts w:ascii="Times New Roman" w:hAnsi="Times New Roman"/>
          <w:sz w:val="24"/>
          <w:szCs w:val="24"/>
        </w:rPr>
        <w:t xml:space="preserve">, the Supreme Court of Appeals of Virginia, held that the Circuit Court judge properly granted summary judgment to the City. </w:t>
      </w:r>
    </w:p>
    <w:p w14:paraId="47D6ADEA" w14:textId="6CF97968" w:rsidR="007C6FEF" w:rsidRDefault="007C6FEF" w:rsidP="007C6FEF">
      <w:pPr>
        <w:ind w:left="720"/>
        <w:rPr>
          <w:rFonts w:ascii="Times New Roman" w:hAnsi="Times New Roman"/>
          <w:sz w:val="24"/>
          <w:szCs w:val="24"/>
        </w:rPr>
      </w:pPr>
      <w:r>
        <w:rPr>
          <w:rFonts w:ascii="Times New Roman" w:hAnsi="Times New Roman"/>
          <w:sz w:val="24"/>
          <w:szCs w:val="24"/>
        </w:rPr>
        <w:t>“</w:t>
      </w:r>
      <w:r w:rsidRPr="003F4B77">
        <w:rPr>
          <w:rFonts w:ascii="Times New Roman" w:hAnsi="Times New Roman"/>
          <w:sz w:val="24"/>
          <w:szCs w:val="24"/>
        </w:rPr>
        <w:t xml:space="preserve">A fire hydrant, as the name suggests, exists to facilitate the firefighting function of the municipality that installed it. That function is quintessentially governmental. That fire hydrants can be put to other uses is inconsequential because the sole reason municipalities undertake the expense of installing fire hydrants is to promote their ability to respond to fire emergencies. </w:t>
      </w:r>
      <w:r>
        <w:rPr>
          <w:rFonts w:ascii="Times New Roman" w:hAnsi="Times New Roman"/>
          <w:sz w:val="24"/>
          <w:szCs w:val="24"/>
        </w:rPr>
        <w:t xml:space="preserve">*** </w:t>
      </w:r>
      <w:r w:rsidRPr="003F4B77">
        <w:rPr>
          <w:rFonts w:ascii="Times New Roman" w:hAnsi="Times New Roman"/>
          <w:sz w:val="24"/>
          <w:szCs w:val="24"/>
        </w:rPr>
        <w:t>The City’s provision and maintenance of fire hydrants is therefore an immune governmental function.</w:t>
      </w:r>
      <w:r>
        <w:rPr>
          <w:rFonts w:ascii="Times New Roman" w:hAnsi="Times New Roman"/>
          <w:sz w:val="24"/>
          <w:szCs w:val="24"/>
        </w:rPr>
        <w:t xml:space="preserve"> </w:t>
      </w:r>
      <w:bookmarkStart w:id="58" w:name="_Hlk29226264"/>
      <w:bookmarkEnd w:id="57"/>
      <w:r>
        <w:rPr>
          <w:rFonts w:asciiTheme="minorHAnsi" w:hAnsiTheme="minorHAnsi" w:cstheme="minorBidi"/>
        </w:rPr>
        <w:fldChar w:fldCharType="begin"/>
      </w:r>
      <w:r>
        <w:instrText xml:space="preserve"> HYPERLINK "https://cases.justia.com/virginia/supreme-court/2019-190071.pdf?ts=1576159671" </w:instrText>
      </w:r>
      <w:r>
        <w:rPr>
          <w:rFonts w:asciiTheme="minorHAnsi" w:hAnsiTheme="minorHAnsi" w:cstheme="minorBidi"/>
        </w:rPr>
      </w:r>
      <w:r>
        <w:rPr>
          <w:rFonts w:asciiTheme="minorHAnsi" w:hAnsiTheme="minorHAnsi" w:cstheme="minorBidi"/>
        </w:rPr>
        <w:fldChar w:fldCharType="separate"/>
      </w:r>
      <w:r w:rsidRPr="00BF6E5A">
        <w:rPr>
          <w:rStyle w:val="Hyperlink"/>
          <w:rFonts w:ascii="Times New Roman" w:hAnsi="Times New Roman"/>
          <w:sz w:val="24"/>
          <w:szCs w:val="24"/>
        </w:rPr>
        <w:t>https://cases.justia.com/virginia/supreme-court/2019-190071.pdf?ts=1576159671</w:t>
      </w:r>
      <w:r>
        <w:rPr>
          <w:rStyle w:val="Hyperlink"/>
          <w:rFonts w:ascii="Times New Roman" w:hAnsi="Times New Roman"/>
          <w:sz w:val="24"/>
          <w:szCs w:val="24"/>
        </w:rPr>
        <w:fldChar w:fldCharType="end"/>
      </w:r>
      <w:r>
        <w:rPr>
          <w:rFonts w:ascii="Times New Roman" w:hAnsi="Times New Roman"/>
          <w:sz w:val="24"/>
          <w:szCs w:val="24"/>
        </w:rPr>
        <w:t xml:space="preserve"> </w:t>
      </w:r>
      <w:bookmarkEnd w:id="58"/>
    </w:p>
    <w:p w14:paraId="772D0160" w14:textId="24A8FDA9" w:rsidR="006C7F17" w:rsidRPr="006C7F17" w:rsidRDefault="006C7F17" w:rsidP="006C7F17">
      <w:pPr>
        <w:rPr>
          <w:rFonts w:ascii="Times New Roman" w:hAnsi="Times New Roman"/>
          <w:b/>
          <w:bCs/>
          <w:sz w:val="24"/>
          <w:szCs w:val="24"/>
        </w:rPr>
      </w:pPr>
      <w:r w:rsidRPr="006C7F17">
        <w:rPr>
          <w:rFonts w:ascii="Times New Roman" w:hAnsi="Times New Roman"/>
          <w:b/>
          <w:bCs/>
          <w:sz w:val="24"/>
          <w:szCs w:val="24"/>
        </w:rPr>
        <w:t xml:space="preserve">Legal Lessons Learned: Governmental immunity is recognized in </w:t>
      </w:r>
      <w:proofErr w:type="gramStart"/>
      <w:r w:rsidRPr="006C7F17">
        <w:rPr>
          <w:rFonts w:ascii="Times New Roman" w:hAnsi="Times New Roman"/>
          <w:b/>
          <w:bCs/>
          <w:sz w:val="24"/>
          <w:szCs w:val="24"/>
        </w:rPr>
        <w:t>Virginia, and</w:t>
      </w:r>
      <w:proofErr w:type="gramEnd"/>
      <w:r w:rsidRPr="006C7F17">
        <w:rPr>
          <w:rFonts w:ascii="Times New Roman" w:hAnsi="Times New Roman"/>
          <w:b/>
          <w:bCs/>
          <w:sz w:val="24"/>
          <w:szCs w:val="24"/>
        </w:rPr>
        <w:t xml:space="preserve"> protects the city when performing services that are not provided by private companies.</w:t>
      </w:r>
    </w:p>
    <w:p w14:paraId="1EF2D9A6" w14:textId="77777777" w:rsidR="007C6FEF" w:rsidRDefault="007C6FEF" w:rsidP="002B1283">
      <w:pPr>
        <w:rPr>
          <w:rFonts w:ascii="Arial Black" w:hAnsi="Arial Black"/>
          <w:b/>
          <w:sz w:val="24"/>
          <w:szCs w:val="24"/>
        </w:rPr>
      </w:pPr>
    </w:p>
    <w:p w14:paraId="56C6B4D2" w14:textId="205A337C" w:rsidR="007C6FEF" w:rsidRDefault="007C6FEF"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5</w:t>
      </w:r>
    </w:p>
    <w:p w14:paraId="3EF82BA9" w14:textId="77777777" w:rsidR="007C6FEF" w:rsidRDefault="007C6FEF" w:rsidP="007C6FEF">
      <w:pPr>
        <w:pStyle w:val="NoSpacing"/>
        <w:rPr>
          <w:rFonts w:ascii="Arial Black" w:hAnsi="Arial Black"/>
          <w:sz w:val="28"/>
          <w:szCs w:val="28"/>
        </w:rPr>
      </w:pPr>
      <w:bookmarkStart w:id="59" w:name="_Hlk29226180"/>
      <w:r w:rsidRPr="00243657">
        <w:rPr>
          <w:rFonts w:ascii="Arial Black" w:hAnsi="Arial Black"/>
          <w:sz w:val="28"/>
          <w:szCs w:val="28"/>
        </w:rPr>
        <w:t>OH:</w:t>
      </w:r>
      <w:r>
        <w:rPr>
          <w:rFonts w:ascii="Arial Black" w:hAnsi="Arial Black"/>
          <w:sz w:val="28"/>
          <w:szCs w:val="28"/>
        </w:rPr>
        <w:t xml:space="preserve"> ARSON CONVICTION UPHELD – FIRE IN 3 LOCATIONS – FESH GASOLINE – DIRECT &amp; CIRCUMSTANTIAL EVIDENCE</w:t>
      </w:r>
    </w:p>
    <w:p w14:paraId="51AFC736" w14:textId="77777777" w:rsidR="007C6FEF" w:rsidRPr="00E73E17" w:rsidRDefault="007C6FEF" w:rsidP="007C6FEF">
      <w:pPr>
        <w:spacing w:before="100" w:beforeAutospacing="1" w:after="100" w:afterAutospacing="1" w:line="240" w:lineRule="auto"/>
        <w:rPr>
          <w:rFonts w:ascii="Times New Roman" w:eastAsia="Times New Roman" w:hAnsi="Times New Roman"/>
          <w:sz w:val="24"/>
          <w:szCs w:val="24"/>
        </w:rPr>
      </w:pPr>
      <w:r w:rsidRPr="00243657">
        <w:rPr>
          <w:rFonts w:ascii="Times New Roman" w:hAnsi="Times New Roman"/>
          <w:sz w:val="24"/>
          <w:szCs w:val="24"/>
        </w:rPr>
        <w:t>On</w:t>
      </w:r>
      <w:r>
        <w:rPr>
          <w:rFonts w:ascii="Times New Roman" w:hAnsi="Times New Roman"/>
          <w:sz w:val="24"/>
          <w:szCs w:val="24"/>
        </w:rPr>
        <w:t xml:space="preserve"> Dec. 12, 2019, in </w:t>
      </w:r>
      <w:r w:rsidRPr="00B47705">
        <w:rPr>
          <w:rFonts w:ascii="Times New Roman" w:hAnsi="Times New Roman"/>
          <w:sz w:val="24"/>
          <w:szCs w:val="24"/>
          <w:u w:val="single"/>
        </w:rPr>
        <w:t xml:space="preserve">State of Ohio v. Gina M. </w:t>
      </w:r>
      <w:proofErr w:type="spellStart"/>
      <w:r w:rsidRPr="00B47705">
        <w:rPr>
          <w:rFonts w:ascii="Times New Roman" w:hAnsi="Times New Roman"/>
          <w:sz w:val="24"/>
          <w:szCs w:val="24"/>
          <w:u w:val="single"/>
        </w:rPr>
        <w:t>Huler</w:t>
      </w:r>
      <w:proofErr w:type="spellEnd"/>
      <w:r>
        <w:rPr>
          <w:rFonts w:ascii="Times New Roman" w:hAnsi="Times New Roman"/>
          <w:sz w:val="24"/>
          <w:szCs w:val="24"/>
        </w:rPr>
        <w:t>, the Ohio Court of Appeals for the 8</w:t>
      </w:r>
      <w:r w:rsidRPr="00243657">
        <w:rPr>
          <w:rFonts w:ascii="Times New Roman" w:hAnsi="Times New Roman"/>
          <w:sz w:val="24"/>
          <w:szCs w:val="24"/>
          <w:vertAlign w:val="superscript"/>
        </w:rPr>
        <w:t>th</w:t>
      </w:r>
      <w:r>
        <w:rPr>
          <w:rFonts w:ascii="Times New Roman" w:hAnsi="Times New Roman"/>
          <w:sz w:val="24"/>
          <w:szCs w:val="24"/>
        </w:rPr>
        <w:t xml:space="preserve"> District (Cuyahoga County), held (3 to 0) </w:t>
      </w:r>
      <w:r>
        <w:rPr>
          <w:rFonts w:ascii="Times New Roman" w:eastAsia="Times New Roman" w:hAnsi="Times New Roman"/>
          <w:sz w:val="24"/>
          <w:szCs w:val="24"/>
        </w:rPr>
        <w:t xml:space="preserve">that there was sufficient direct and circumstantial evidence for the trial judge to find her guilty of aggravated arson. </w:t>
      </w:r>
    </w:p>
    <w:p w14:paraId="5F7A5422" w14:textId="77777777" w:rsidR="007C6FEF" w:rsidRPr="00E73E17" w:rsidRDefault="007C6FEF" w:rsidP="007C6FEF">
      <w:pPr>
        <w:pStyle w:val="NoSpacing"/>
        <w:ind w:left="720"/>
        <w:rPr>
          <w:rFonts w:ascii="Times New Roman" w:hAnsi="Times New Roman"/>
          <w:sz w:val="24"/>
          <w:szCs w:val="24"/>
        </w:rPr>
      </w:pPr>
      <w:r>
        <w:rPr>
          <w:rFonts w:ascii="Times New Roman" w:hAnsi="Times New Roman"/>
          <w:sz w:val="24"/>
          <w:szCs w:val="24"/>
        </w:rPr>
        <w:t>“[Jeff] K</w:t>
      </w:r>
      <w:r w:rsidRPr="00243657">
        <w:rPr>
          <w:rFonts w:ascii="Times New Roman" w:hAnsi="Times New Roman"/>
          <w:sz w:val="24"/>
          <w:szCs w:val="24"/>
        </w:rPr>
        <w:t>oehn</w:t>
      </w:r>
      <w:r>
        <w:rPr>
          <w:rFonts w:ascii="Times New Roman" w:hAnsi="Times New Roman"/>
          <w:sz w:val="24"/>
          <w:szCs w:val="24"/>
        </w:rPr>
        <w:t xml:space="preserve"> [Ohio Fire Marshal investigator] </w:t>
      </w:r>
      <w:r w:rsidRPr="00243657">
        <w:rPr>
          <w:rFonts w:ascii="Times New Roman" w:hAnsi="Times New Roman"/>
          <w:sz w:val="24"/>
          <w:szCs w:val="24"/>
        </w:rPr>
        <w:t xml:space="preserve">also determined that three separate fires were set in three separate locations in the house and a fourth was </w:t>
      </w:r>
      <w:proofErr w:type="gramStart"/>
      <w:r w:rsidRPr="00243657">
        <w:rPr>
          <w:rFonts w:ascii="Times New Roman" w:hAnsi="Times New Roman"/>
          <w:sz w:val="24"/>
          <w:szCs w:val="24"/>
        </w:rPr>
        <w:t>attempted, but</w:t>
      </w:r>
      <w:proofErr w:type="gramEnd"/>
      <w:r w:rsidRPr="00243657">
        <w:rPr>
          <w:rFonts w:ascii="Times New Roman" w:hAnsi="Times New Roman"/>
          <w:sz w:val="24"/>
          <w:szCs w:val="24"/>
        </w:rPr>
        <w:t xml:space="preserve"> failed to erupt. In support of his determination, Koehn discussed in detail three distinct fire patterns, which had no connection to each other and did not spread across the ceiling as a normal house fire would spread. A determination that there were three separate and distinct fires, with no connecting patterns, serves to eliminate the notion that sparks from the masonry work completed earlier that day could have gone down the chimney, into the house, and started the fire. </w:t>
      </w:r>
      <w:r>
        <w:rPr>
          <w:rFonts w:ascii="Times New Roman" w:hAnsi="Times New Roman"/>
          <w:sz w:val="24"/>
          <w:szCs w:val="24"/>
        </w:rPr>
        <w:t xml:space="preserve">*** </w:t>
      </w:r>
      <w:r w:rsidRPr="00243657">
        <w:rPr>
          <w:rFonts w:ascii="Times New Roman" w:hAnsi="Times New Roman"/>
          <w:sz w:val="24"/>
          <w:szCs w:val="24"/>
        </w:rPr>
        <w:t>The debris from the trash can on the stairs tested positive for acetone; debris from the attic tested positive for gasoline, and the plastic water bottle tested positive for gasoline. The forensic lab report also indicated the gasoline was fresh, not weathered or aged gasoline</w:t>
      </w:r>
      <w:r>
        <w:t xml:space="preserve">. *** </w:t>
      </w:r>
      <w:r w:rsidRPr="00E73E17">
        <w:rPr>
          <w:rFonts w:ascii="Times New Roman" w:hAnsi="Times New Roman"/>
          <w:sz w:val="24"/>
          <w:szCs w:val="24"/>
        </w:rPr>
        <w:t xml:space="preserve">Further, although the fire investigation determined that the cause of the fire was classified as incendiary and was intentionally set by Huler, we could arrive at the same conclusion using only circumstantial evidence. </w:t>
      </w:r>
      <w:r>
        <w:rPr>
          <w:rFonts w:ascii="Times New Roman" w:hAnsi="Times New Roman"/>
          <w:sz w:val="24"/>
          <w:szCs w:val="24"/>
        </w:rPr>
        <w:t>‘</w:t>
      </w:r>
      <w:r w:rsidRPr="00E73E17">
        <w:rPr>
          <w:rFonts w:ascii="Times New Roman" w:hAnsi="Times New Roman"/>
          <w:sz w:val="24"/>
          <w:szCs w:val="24"/>
        </w:rPr>
        <w:t>Circumstantial evidence and direct evidence inherently possess the same probative value.</w:t>
      </w:r>
      <w:r>
        <w:rPr>
          <w:rFonts w:ascii="Times New Roman" w:hAnsi="Times New Roman"/>
          <w:sz w:val="24"/>
          <w:szCs w:val="24"/>
        </w:rPr>
        <w:t>’</w:t>
      </w:r>
      <w:r w:rsidRPr="00E73E17">
        <w:rPr>
          <w:rFonts w:ascii="Times New Roman" w:hAnsi="Times New Roman"/>
          <w:sz w:val="24"/>
          <w:szCs w:val="24"/>
        </w:rPr>
        <w:t xml:space="preserve"> Jenks, 61 Ohio St.3d 259, 574 N.E.2d 492, at paragraph one of the </w:t>
      </w:r>
      <w:proofErr w:type="gramStart"/>
      <w:r w:rsidRPr="00E73E17">
        <w:rPr>
          <w:rFonts w:ascii="Times New Roman" w:hAnsi="Times New Roman"/>
          <w:sz w:val="24"/>
          <w:szCs w:val="24"/>
        </w:rPr>
        <w:t>syllabus</w:t>
      </w:r>
      <w:proofErr w:type="gramEnd"/>
      <w:r w:rsidRPr="00E73E17">
        <w:rPr>
          <w:rFonts w:ascii="Times New Roman" w:hAnsi="Times New Roman"/>
          <w:sz w:val="24"/>
          <w:szCs w:val="24"/>
        </w:rPr>
        <w:t>.</w:t>
      </w:r>
      <w:r>
        <w:rPr>
          <w:rFonts w:ascii="Times New Roman" w:hAnsi="Times New Roman"/>
          <w:sz w:val="24"/>
          <w:szCs w:val="24"/>
        </w:rPr>
        <w:t>”</w:t>
      </w:r>
    </w:p>
    <w:p w14:paraId="72FA7D4E" w14:textId="77777777" w:rsidR="007C6FEF" w:rsidRDefault="007C6FEF" w:rsidP="007C6FEF">
      <w:pPr>
        <w:pStyle w:val="NoSpacing"/>
        <w:ind w:left="720"/>
      </w:pPr>
      <w:hyperlink r:id="rId317" w:history="1">
        <w:r w:rsidRPr="00BF6E5A">
          <w:rPr>
            <w:rStyle w:val="Hyperlink"/>
          </w:rPr>
          <w:t>https://cases.justia.com/ohio/eighth-district-court-of-appeals/2019-108224.pdf?ts=1576167401</w:t>
        </w:r>
      </w:hyperlink>
      <w:r>
        <w:t xml:space="preserve"> </w:t>
      </w:r>
      <w:bookmarkEnd w:id="59"/>
    </w:p>
    <w:p w14:paraId="488D8B6E" w14:textId="0192DB9B" w:rsidR="003464C5" w:rsidRDefault="003464C5" w:rsidP="002B1283">
      <w:pPr>
        <w:rPr>
          <w:rFonts w:ascii="Arial Black" w:hAnsi="Arial Black"/>
          <w:b/>
          <w:sz w:val="24"/>
          <w:szCs w:val="24"/>
        </w:rPr>
      </w:pPr>
    </w:p>
    <w:p w14:paraId="79FF78CF" w14:textId="1B2BC6E0" w:rsidR="006C7F17" w:rsidRPr="006C7F17" w:rsidRDefault="006C7F17" w:rsidP="002B1283">
      <w:pPr>
        <w:rPr>
          <w:rFonts w:ascii="Times New Roman" w:hAnsi="Times New Roman"/>
          <w:b/>
          <w:bCs/>
          <w:sz w:val="24"/>
          <w:szCs w:val="24"/>
        </w:rPr>
      </w:pPr>
      <w:r w:rsidRPr="006C7F17">
        <w:rPr>
          <w:rFonts w:ascii="Times New Roman" w:hAnsi="Times New Roman"/>
          <w:b/>
          <w:bCs/>
          <w:sz w:val="24"/>
          <w:szCs w:val="24"/>
        </w:rPr>
        <w:t>Legal Lessons Learned: Expert testimony by State Fire Marshal investigator who “meticulously” eliminated other causes, and laboratory tests confirming gasoline, led to this conviction.</w:t>
      </w:r>
    </w:p>
    <w:p w14:paraId="61DEDD0F" w14:textId="77777777" w:rsidR="003464C5" w:rsidRDefault="003464C5" w:rsidP="002B1283">
      <w:pPr>
        <w:rPr>
          <w:rFonts w:ascii="Arial Black" w:hAnsi="Arial Black"/>
          <w:b/>
          <w:sz w:val="24"/>
          <w:szCs w:val="24"/>
        </w:rPr>
      </w:pPr>
    </w:p>
    <w:p w14:paraId="76B585C5" w14:textId="77777777" w:rsidR="003464C5" w:rsidRDefault="003464C5" w:rsidP="002B1283">
      <w:pPr>
        <w:rPr>
          <w:rFonts w:ascii="Arial Black" w:hAnsi="Arial Black"/>
          <w:b/>
          <w:sz w:val="24"/>
          <w:szCs w:val="24"/>
        </w:rPr>
      </w:pPr>
    </w:p>
    <w:p w14:paraId="3931366C" w14:textId="77777777" w:rsidR="003464C5" w:rsidRDefault="003464C5" w:rsidP="002B1283">
      <w:pPr>
        <w:rPr>
          <w:rFonts w:ascii="Arial Black" w:hAnsi="Arial Black"/>
          <w:b/>
          <w:sz w:val="24"/>
          <w:szCs w:val="24"/>
        </w:rPr>
      </w:pPr>
    </w:p>
    <w:p w14:paraId="493ACD09" w14:textId="2838F8A1" w:rsidR="00980EAD" w:rsidRDefault="00980EAD"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4</w:t>
      </w:r>
    </w:p>
    <w:p w14:paraId="10AA4EB5" w14:textId="77777777" w:rsidR="00980EAD" w:rsidRDefault="00980EAD" w:rsidP="00980EAD">
      <w:pPr>
        <w:pStyle w:val="NoSpacing"/>
        <w:rPr>
          <w:rFonts w:ascii="Arial Black" w:hAnsi="Arial Black"/>
          <w:sz w:val="28"/>
          <w:szCs w:val="28"/>
        </w:rPr>
      </w:pPr>
      <w:r>
        <w:rPr>
          <w:rFonts w:ascii="Arial Black" w:hAnsi="Arial Black"/>
          <w:sz w:val="28"/>
          <w:szCs w:val="28"/>
        </w:rPr>
        <w:t>WA: ARSON – DEFENSE EXPERT FAILED TO FOLLOW NFPA 921 – TESTIMONY PROPERLY LIMITED – SENTENCED TO LIFE IN PRISON</w:t>
      </w:r>
    </w:p>
    <w:p w14:paraId="709A3B5C" w14:textId="77777777" w:rsidR="00980EAD" w:rsidRDefault="00980EAD" w:rsidP="00980EAD">
      <w:pPr>
        <w:pStyle w:val="NoSpacing"/>
        <w:rPr>
          <w:rFonts w:ascii="Arial Black" w:hAnsi="Arial Black"/>
          <w:sz w:val="28"/>
          <w:szCs w:val="28"/>
        </w:rPr>
      </w:pPr>
    </w:p>
    <w:p w14:paraId="67E42ECE" w14:textId="77777777" w:rsidR="00980EAD" w:rsidRDefault="00980EAD" w:rsidP="00980EAD">
      <w:pPr>
        <w:pStyle w:val="NoSpacing"/>
        <w:rPr>
          <w:rFonts w:ascii="Times New Roman" w:hAnsi="Times New Roman"/>
          <w:sz w:val="24"/>
          <w:szCs w:val="24"/>
        </w:rPr>
      </w:pPr>
      <w:r>
        <w:rPr>
          <w:rFonts w:ascii="Times New Roman" w:hAnsi="Times New Roman"/>
          <w:sz w:val="24"/>
          <w:szCs w:val="24"/>
        </w:rPr>
        <w:t xml:space="preserve">On Dec. 5, 2019, in </w:t>
      </w:r>
      <w:r>
        <w:rPr>
          <w:rFonts w:ascii="Times New Roman" w:hAnsi="Times New Roman"/>
          <w:sz w:val="24"/>
          <w:szCs w:val="24"/>
          <w:u w:val="single"/>
        </w:rPr>
        <w:t>State of Washington v. Shelly Margaret Arndt</w:t>
      </w:r>
      <w:r>
        <w:rPr>
          <w:rFonts w:ascii="Times New Roman" w:hAnsi="Times New Roman"/>
          <w:sz w:val="24"/>
          <w:szCs w:val="24"/>
        </w:rPr>
        <w:t>, the Supreme Court of Washington (</w:t>
      </w:r>
      <w:proofErr w:type="spellStart"/>
      <w:r>
        <w:rPr>
          <w:rFonts w:ascii="Times New Roman" w:hAnsi="Times New Roman"/>
          <w:sz w:val="24"/>
          <w:szCs w:val="24"/>
        </w:rPr>
        <w:t>en</w:t>
      </w:r>
      <w:proofErr w:type="spellEnd"/>
      <w:r>
        <w:rPr>
          <w:rFonts w:ascii="Times New Roman" w:hAnsi="Times New Roman"/>
          <w:sz w:val="24"/>
          <w:szCs w:val="24"/>
        </w:rPr>
        <w:t xml:space="preserve"> banc – all 9 Justices hearing the case) held (8 to 1) that the trial court properly restricted the testimony of the defense expert,  Dale Mann (former State Patrol crime lab supervisor and certified arson investigator) for failure to conduct a cause and origin investigation under NFPA 921. </w:t>
      </w:r>
    </w:p>
    <w:p w14:paraId="37E494BD" w14:textId="77777777" w:rsidR="00980EAD" w:rsidRDefault="00980EAD" w:rsidP="00980EAD">
      <w:pPr>
        <w:pStyle w:val="NoSpacing"/>
        <w:rPr>
          <w:rFonts w:ascii="Arial Black" w:hAnsi="Arial Black" w:cstheme="minorBidi"/>
          <w:sz w:val="28"/>
          <w:szCs w:val="28"/>
        </w:rPr>
      </w:pPr>
    </w:p>
    <w:p w14:paraId="572AF2D2"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 xml:space="preserve">“After a </w:t>
      </w:r>
      <w:proofErr w:type="gramStart"/>
      <w:r>
        <w:rPr>
          <w:rFonts w:ascii="Times New Roman" w:hAnsi="Times New Roman"/>
          <w:sz w:val="24"/>
          <w:szCs w:val="24"/>
        </w:rPr>
        <w:t>three month</w:t>
      </w:r>
      <w:proofErr w:type="gramEnd"/>
      <w:r>
        <w:rPr>
          <w:rFonts w:ascii="Times New Roman" w:hAnsi="Times New Roman"/>
          <w:sz w:val="24"/>
          <w:szCs w:val="24"/>
        </w:rPr>
        <w:t xml:space="preserve"> trial, a jury found Arndt guilty [in death of her boyfriend] of all crimes as charged by the State. The trial court sentenced Arndt to life without the possibility of parole per RCW 10.95.030(1). CP at 475.</w:t>
      </w:r>
    </w:p>
    <w:p w14:paraId="25B24C2A" w14:textId="77777777" w:rsidR="00980EAD" w:rsidRDefault="00980EAD" w:rsidP="00980EAD">
      <w:pPr>
        <w:pStyle w:val="NoSpacing"/>
        <w:ind w:left="720"/>
        <w:rPr>
          <w:rFonts w:ascii="Times New Roman" w:hAnsi="Times New Roman"/>
          <w:sz w:val="24"/>
          <w:szCs w:val="24"/>
        </w:rPr>
      </w:pPr>
    </w:p>
    <w:p w14:paraId="4420B3FC"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w:t>
      </w:r>
    </w:p>
    <w:p w14:paraId="35A5A463" w14:textId="77777777" w:rsidR="00980EAD" w:rsidRDefault="00980EAD" w:rsidP="00980EAD">
      <w:pPr>
        <w:pStyle w:val="NoSpacing"/>
        <w:ind w:left="720"/>
        <w:rPr>
          <w:rFonts w:ascii="Times New Roman" w:hAnsi="Times New Roman"/>
          <w:sz w:val="24"/>
          <w:szCs w:val="24"/>
        </w:rPr>
      </w:pPr>
    </w:p>
    <w:p w14:paraId="2EA03BA3"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 xml:space="preserve">Arndt takes issue with the limitations the trial judge placed on Mann's testimony </w:t>
      </w:r>
      <w:proofErr w:type="gramStart"/>
      <w:r>
        <w:rPr>
          <w:rFonts w:ascii="Times New Roman" w:hAnsi="Times New Roman"/>
          <w:sz w:val="24"/>
          <w:szCs w:val="24"/>
        </w:rPr>
        <w:t>due to the fact that</w:t>
      </w:r>
      <w:proofErr w:type="gramEnd"/>
      <w:r>
        <w:rPr>
          <w:rFonts w:ascii="Times New Roman" w:hAnsi="Times New Roman"/>
          <w:sz w:val="24"/>
          <w:szCs w:val="24"/>
        </w:rPr>
        <w:t xml:space="preserve"> he had not personally conducted a complete origin and cause investigation of the scene…. In placing these limitations on Mann's testimony, the judge clearly stated that her rationale was based on Mann's failure to follow well established scientific methodology:</w:t>
      </w:r>
    </w:p>
    <w:p w14:paraId="541CB59A" w14:textId="77777777" w:rsidR="00980EAD" w:rsidRDefault="00980EAD" w:rsidP="00980EAD">
      <w:pPr>
        <w:pStyle w:val="NoSpacing"/>
        <w:ind w:left="720"/>
        <w:rPr>
          <w:rFonts w:ascii="Times New Roman" w:hAnsi="Times New Roman"/>
          <w:sz w:val="24"/>
          <w:szCs w:val="24"/>
        </w:rPr>
      </w:pPr>
    </w:p>
    <w:p w14:paraId="6C6FC988"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 xml:space="preserve">THE COURT: It is not a problem that he goes to the scene, as [the]defense argues, but it is a problem when he starts to test ….  If he were to do an origin and cause, he would need to follow the scientific method and eliminate various hypotheses. Instead </w:t>
      </w:r>
      <w:proofErr w:type="gramStart"/>
      <w:r>
        <w:rPr>
          <w:rFonts w:ascii="Times New Roman" w:hAnsi="Times New Roman"/>
          <w:sz w:val="24"/>
          <w:szCs w:val="24"/>
        </w:rPr>
        <w:t>by</w:t>
      </w:r>
      <w:proofErr w:type="gramEnd"/>
      <w:r>
        <w:rPr>
          <w:rFonts w:ascii="Times New Roman" w:hAnsi="Times New Roman"/>
          <w:sz w:val="24"/>
          <w:szCs w:val="24"/>
        </w:rPr>
        <w:t xml:space="preserve"> focusing on one area, which seems to be this foosball area, he's taking one hypothesis and testing it. And not eliminating, under the scientific method, the entire scene.</w:t>
      </w:r>
    </w:p>
    <w:p w14:paraId="17935886" w14:textId="77777777" w:rsidR="00980EAD" w:rsidRDefault="00980EAD" w:rsidP="00980EAD">
      <w:pPr>
        <w:pStyle w:val="NoSpacing"/>
        <w:ind w:left="720"/>
        <w:rPr>
          <w:rFonts w:ascii="Times New Roman" w:hAnsi="Times New Roman"/>
          <w:sz w:val="24"/>
          <w:szCs w:val="24"/>
        </w:rPr>
      </w:pPr>
      <w:hyperlink r:id="rId318" w:history="1">
        <w:r>
          <w:rPr>
            <w:rStyle w:val="Hyperlink"/>
            <w:rFonts w:ascii="Times New Roman" w:hAnsi="Times New Roman"/>
            <w:sz w:val="24"/>
            <w:szCs w:val="24"/>
          </w:rPr>
          <w:t>https://www.courts.wa.gov/opinions/pdf/953961.pdf</w:t>
        </w:r>
      </w:hyperlink>
      <w:r>
        <w:rPr>
          <w:rFonts w:ascii="Times New Roman" w:hAnsi="Times New Roman"/>
          <w:sz w:val="24"/>
          <w:szCs w:val="24"/>
        </w:rPr>
        <w:t xml:space="preserve"> </w:t>
      </w:r>
    </w:p>
    <w:p w14:paraId="6E28073B" w14:textId="4A0265C9" w:rsidR="00980EAD" w:rsidRDefault="00980EAD" w:rsidP="002B1283">
      <w:pPr>
        <w:rPr>
          <w:rFonts w:ascii="Arial Black" w:hAnsi="Arial Black"/>
          <w:b/>
          <w:sz w:val="24"/>
          <w:szCs w:val="24"/>
        </w:rPr>
      </w:pPr>
    </w:p>
    <w:p w14:paraId="14A1FEE4" w14:textId="77777777" w:rsidR="00980EAD" w:rsidRDefault="00980EAD" w:rsidP="00980EAD">
      <w:pPr>
        <w:pStyle w:val="NoSpacing"/>
        <w:rPr>
          <w:rFonts w:ascii="Times New Roman" w:hAnsi="Times New Roman"/>
          <w:sz w:val="24"/>
          <w:szCs w:val="24"/>
        </w:rPr>
      </w:pPr>
      <w:r>
        <w:rPr>
          <w:rFonts w:ascii="Times New Roman" w:hAnsi="Times New Roman"/>
          <w:b/>
          <w:bCs/>
          <w:sz w:val="24"/>
          <w:szCs w:val="24"/>
        </w:rPr>
        <w:t>Legal Lessons Learned:  The trial court properly restricted the testimony of the defense expert for failure to follow NFPA 921, Guide for Fire and Explosion Investigations (excellent guide for conducting cause &amp; origin investigations):</w:t>
      </w:r>
      <w:r>
        <w:rPr>
          <w:rFonts w:ascii="Times New Roman" w:hAnsi="Times New Roman"/>
          <w:sz w:val="24"/>
          <w:szCs w:val="24"/>
        </w:rPr>
        <w:t xml:space="preserve">  </w:t>
      </w:r>
      <w:hyperlink r:id="rId319" w:history="1">
        <w:r>
          <w:rPr>
            <w:rStyle w:val="Hyperlink"/>
            <w:rFonts w:ascii="Times New Roman" w:hAnsi="Times New Roman"/>
            <w:sz w:val="24"/>
            <w:szCs w:val="24"/>
          </w:rPr>
          <w:t>https://catalog.nfpa.org/NFPA-921-Guide-for-Fire-and-Explosion-Investigations-C472.aspx?order_src=C900&amp;gclid=EAIaIQobChMI3pOKsKem5gIVJIVaBR1UwAkCEAAYASAAEgLHSvD_BwE</w:t>
        </w:r>
      </w:hyperlink>
      <w:r>
        <w:rPr>
          <w:rFonts w:ascii="Times New Roman" w:hAnsi="Times New Roman"/>
          <w:sz w:val="24"/>
          <w:szCs w:val="24"/>
        </w:rPr>
        <w:t xml:space="preserve"> </w:t>
      </w:r>
    </w:p>
    <w:p w14:paraId="658648E5" w14:textId="77777777" w:rsidR="00980EAD" w:rsidRDefault="00980EAD" w:rsidP="002B1283">
      <w:pPr>
        <w:rPr>
          <w:rFonts w:ascii="Arial Black" w:hAnsi="Arial Black"/>
          <w:b/>
          <w:sz w:val="24"/>
          <w:szCs w:val="24"/>
        </w:rPr>
      </w:pPr>
    </w:p>
    <w:p w14:paraId="5C84FAC9" w14:textId="4DC9FA31" w:rsidR="00A06387" w:rsidRDefault="00A06387"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3</w:t>
      </w:r>
    </w:p>
    <w:p w14:paraId="6D61F3E4" w14:textId="55C3DD9F" w:rsidR="00A06387" w:rsidRPr="00706498" w:rsidRDefault="00A06387" w:rsidP="00A06387">
      <w:pPr>
        <w:rPr>
          <w:rFonts w:ascii="Arial Black" w:hAnsi="Arial Black"/>
          <w:sz w:val="28"/>
          <w:szCs w:val="28"/>
        </w:rPr>
      </w:pPr>
      <w:r w:rsidRPr="00706498">
        <w:rPr>
          <w:rFonts w:ascii="Arial Black" w:hAnsi="Arial Black"/>
          <w:sz w:val="28"/>
          <w:szCs w:val="28"/>
        </w:rPr>
        <w:t xml:space="preserve">IN: DRONE – WOMAN FINDS DRONE IN HER YARD – ONBOARD VIDEO SHOWS NEIGHBOR CARRYING DRUGS </w:t>
      </w:r>
      <w:r w:rsidR="007471AF">
        <w:rPr>
          <w:rFonts w:ascii="Arial Black" w:hAnsi="Arial Black"/>
          <w:sz w:val="28"/>
          <w:szCs w:val="28"/>
        </w:rPr>
        <w:t>[also filed, Chap. 4]</w:t>
      </w:r>
    </w:p>
    <w:p w14:paraId="61D656D4" w14:textId="77777777" w:rsidR="00A06387" w:rsidRPr="006C7F17" w:rsidRDefault="00A06387" w:rsidP="00A06387">
      <w:pPr>
        <w:pStyle w:val="NoSpacing"/>
        <w:rPr>
          <w:rFonts w:ascii="Times New Roman" w:hAnsi="Times New Roman"/>
          <w:b/>
          <w:bCs/>
          <w:sz w:val="24"/>
          <w:szCs w:val="24"/>
        </w:rPr>
      </w:pPr>
      <w:r w:rsidRPr="006C7F17">
        <w:rPr>
          <w:rFonts w:ascii="Times New Roman" w:hAnsi="Times New Roman"/>
          <w:bCs/>
          <w:sz w:val="24"/>
          <w:szCs w:val="24"/>
        </w:rPr>
        <w:t xml:space="preserve">On Oct. 24, 2019, in </w:t>
      </w:r>
      <w:r w:rsidRPr="006C7F17">
        <w:rPr>
          <w:rFonts w:ascii="Times New Roman" w:hAnsi="Times New Roman"/>
          <w:bCs/>
          <w:sz w:val="24"/>
          <w:szCs w:val="24"/>
          <w:u w:val="single"/>
        </w:rPr>
        <w:t>Galen Byers v. State of Indiana</w:t>
      </w:r>
      <w:r w:rsidRPr="006C7F17">
        <w:rPr>
          <w:rFonts w:ascii="Times New Roman" w:hAnsi="Times New Roman"/>
          <w:bCs/>
          <w:sz w:val="24"/>
          <w:szCs w:val="24"/>
        </w:rPr>
        <w:t xml:space="preserve">, Court of Appeals of Indiana held (3 to 0) that the search warrant was obtained timely, and the trial court properly denied the defendant’s motion to suppress.  Criminal </w:t>
      </w:r>
      <w:proofErr w:type="gramStart"/>
      <w:r w:rsidRPr="006C7F17">
        <w:rPr>
          <w:rFonts w:ascii="Times New Roman" w:hAnsi="Times New Roman"/>
          <w:bCs/>
          <w:sz w:val="24"/>
          <w:szCs w:val="24"/>
        </w:rPr>
        <w:t>case</w:t>
      </w:r>
      <w:proofErr w:type="gramEnd"/>
      <w:r w:rsidRPr="006C7F17">
        <w:rPr>
          <w:rFonts w:ascii="Times New Roman" w:hAnsi="Times New Roman"/>
          <w:bCs/>
          <w:sz w:val="24"/>
          <w:szCs w:val="24"/>
        </w:rPr>
        <w:t xml:space="preserve"> for </w:t>
      </w:r>
      <w:proofErr w:type="gramStart"/>
      <w:r w:rsidRPr="006C7F17">
        <w:rPr>
          <w:rFonts w:ascii="Times New Roman" w:hAnsi="Times New Roman"/>
          <w:bCs/>
          <w:sz w:val="24"/>
          <w:szCs w:val="24"/>
        </w:rPr>
        <w:t>dealing</w:t>
      </w:r>
      <w:proofErr w:type="gramEnd"/>
      <w:r w:rsidRPr="006C7F17">
        <w:rPr>
          <w:rFonts w:ascii="Times New Roman" w:hAnsi="Times New Roman"/>
          <w:bCs/>
          <w:sz w:val="24"/>
          <w:szCs w:val="24"/>
        </w:rPr>
        <w:t xml:space="preserve"> methamphetamine will now be tried, unless the defendant enters a guilty plea.  </w:t>
      </w:r>
    </w:p>
    <w:p w14:paraId="76CDFD85" w14:textId="77777777" w:rsidR="00A06387" w:rsidRPr="006C7F17" w:rsidRDefault="00A06387" w:rsidP="00A06387">
      <w:pPr>
        <w:pStyle w:val="NoSpacing"/>
        <w:rPr>
          <w:rFonts w:ascii="Times New Roman" w:hAnsi="Times New Roman"/>
          <w:b/>
          <w:bCs/>
          <w:sz w:val="24"/>
          <w:szCs w:val="24"/>
        </w:rPr>
      </w:pPr>
    </w:p>
    <w:p w14:paraId="5783D6D8" w14:textId="77777777" w:rsidR="00A06387" w:rsidRPr="006C7F17" w:rsidRDefault="00A06387" w:rsidP="00A06387">
      <w:pPr>
        <w:pStyle w:val="NoSpacing"/>
        <w:ind w:left="720"/>
        <w:rPr>
          <w:rFonts w:ascii="Times New Roman" w:hAnsi="Times New Roman"/>
          <w:b/>
          <w:bCs/>
          <w:sz w:val="24"/>
          <w:szCs w:val="24"/>
        </w:rPr>
      </w:pPr>
      <w:r w:rsidRPr="006C7F17">
        <w:rPr>
          <w:rFonts w:ascii="Times New Roman" w:hAnsi="Times New Roman"/>
          <w:bCs/>
          <w:sz w:val="24"/>
          <w:szCs w:val="24"/>
        </w:rPr>
        <w:t xml:space="preserve">“Moreover, while we look at the date of the video footage to determine whether probable cause existed, some lapse can also be accounted for here because [Marcie] </w:t>
      </w:r>
      <w:proofErr w:type="spellStart"/>
      <w:r w:rsidRPr="006C7F17">
        <w:rPr>
          <w:rFonts w:ascii="Times New Roman" w:hAnsi="Times New Roman"/>
          <w:bCs/>
          <w:sz w:val="24"/>
          <w:szCs w:val="24"/>
        </w:rPr>
        <w:t>Vormohr</w:t>
      </w:r>
      <w:proofErr w:type="spellEnd"/>
      <w:r w:rsidRPr="006C7F17">
        <w:rPr>
          <w:rFonts w:ascii="Times New Roman" w:hAnsi="Times New Roman"/>
          <w:bCs/>
          <w:sz w:val="24"/>
          <w:szCs w:val="24"/>
        </w:rPr>
        <w:t xml:space="preserve"> was in possession of the drone for likely at least one of those days. And, although we acknowledge that the woman in the video handled the alleged substances, the video also shows another individual—a man who </w:t>
      </w:r>
      <w:proofErr w:type="spellStart"/>
      <w:r w:rsidRPr="006C7F17">
        <w:rPr>
          <w:rFonts w:ascii="Times New Roman" w:hAnsi="Times New Roman"/>
          <w:bCs/>
          <w:sz w:val="24"/>
          <w:szCs w:val="24"/>
        </w:rPr>
        <w:t>Vormohr</w:t>
      </w:r>
      <w:proofErr w:type="spellEnd"/>
      <w:r w:rsidRPr="006C7F17">
        <w:rPr>
          <w:rFonts w:ascii="Times New Roman" w:hAnsi="Times New Roman"/>
          <w:bCs/>
          <w:sz w:val="24"/>
          <w:szCs w:val="24"/>
        </w:rPr>
        <w:t xml:space="preserve"> testified was Byers—handling the drone moments later in the same and subsequent video recordings. Based on the facts and circumstances before us, we cannot say that a four-day period between the activity and the finding of probable cause renders the warrant constitutionally stale.”</w:t>
      </w:r>
    </w:p>
    <w:p w14:paraId="77D5FC4D" w14:textId="77777777" w:rsidR="00A06387" w:rsidRPr="006C7F17" w:rsidRDefault="00A06387" w:rsidP="00A06387">
      <w:pPr>
        <w:pStyle w:val="NoSpacing"/>
        <w:ind w:left="720"/>
        <w:rPr>
          <w:rFonts w:ascii="Times New Roman" w:hAnsi="Times New Roman"/>
          <w:b/>
          <w:bCs/>
          <w:sz w:val="24"/>
          <w:szCs w:val="24"/>
        </w:rPr>
      </w:pPr>
      <w:hyperlink r:id="rId320" w:history="1">
        <w:r w:rsidRPr="006C7F17">
          <w:rPr>
            <w:rStyle w:val="Hyperlink"/>
            <w:rFonts w:ascii="Times New Roman" w:hAnsi="Times New Roman"/>
            <w:bCs/>
            <w:sz w:val="24"/>
            <w:szCs w:val="24"/>
          </w:rPr>
          <w:t>https://www.in.gov/judiciary/opinions/pdf/10241902eft.pdf</w:t>
        </w:r>
      </w:hyperlink>
      <w:r w:rsidRPr="006C7F17">
        <w:rPr>
          <w:rFonts w:ascii="Times New Roman" w:hAnsi="Times New Roman"/>
          <w:bCs/>
          <w:sz w:val="24"/>
          <w:szCs w:val="24"/>
        </w:rPr>
        <w:t xml:space="preserve"> </w:t>
      </w:r>
    </w:p>
    <w:p w14:paraId="429BAC24" w14:textId="77777777" w:rsidR="006C7F17" w:rsidRPr="006C7F17" w:rsidRDefault="006C7F17" w:rsidP="00A06387">
      <w:pPr>
        <w:pStyle w:val="NoSpacing"/>
        <w:rPr>
          <w:rFonts w:ascii="Times New Roman" w:hAnsi="Times New Roman"/>
          <w:b/>
          <w:bCs/>
          <w:sz w:val="24"/>
          <w:szCs w:val="24"/>
        </w:rPr>
      </w:pPr>
    </w:p>
    <w:p w14:paraId="544C4F7E" w14:textId="19B151CC" w:rsidR="00A06387" w:rsidRPr="006C7F17" w:rsidRDefault="00A06387" w:rsidP="00A06387">
      <w:pPr>
        <w:pStyle w:val="NoSpacing"/>
        <w:rPr>
          <w:rFonts w:ascii="Times New Roman" w:hAnsi="Times New Roman"/>
          <w:b/>
          <w:bCs/>
          <w:sz w:val="24"/>
          <w:szCs w:val="24"/>
        </w:rPr>
      </w:pPr>
      <w:r w:rsidRPr="006C7F17">
        <w:rPr>
          <w:rFonts w:ascii="Times New Roman" w:hAnsi="Times New Roman"/>
          <w:b/>
          <w:bCs/>
          <w:sz w:val="24"/>
          <w:szCs w:val="24"/>
        </w:rPr>
        <w:t xml:space="preserve">Legal Lessons Learned:  If you are a drug dealer, be cautious of drones with video cameras. </w:t>
      </w:r>
    </w:p>
    <w:p w14:paraId="7FB2F241" w14:textId="0F04A306" w:rsidR="00A67C57" w:rsidRDefault="00A67C57" w:rsidP="00A06387">
      <w:pPr>
        <w:pStyle w:val="NoSpacing"/>
        <w:rPr>
          <w:b/>
          <w:bCs/>
          <w:sz w:val="24"/>
          <w:szCs w:val="24"/>
        </w:rPr>
      </w:pPr>
    </w:p>
    <w:p w14:paraId="670D9A77" w14:textId="1313CE54" w:rsidR="00A67C57" w:rsidRDefault="00A67C57" w:rsidP="002B1283">
      <w:pPr>
        <w:rPr>
          <w:rFonts w:ascii="Arial Black" w:hAnsi="Arial Black"/>
          <w:b/>
          <w:sz w:val="24"/>
          <w:szCs w:val="24"/>
        </w:rPr>
      </w:pPr>
    </w:p>
    <w:p w14:paraId="11CDF6E0" w14:textId="43645BE2" w:rsidR="00A06387" w:rsidRDefault="00A06387" w:rsidP="00A06387">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2</w:t>
      </w:r>
    </w:p>
    <w:p w14:paraId="525842C4" w14:textId="77777777" w:rsidR="00A06387" w:rsidRPr="00C60A81" w:rsidRDefault="00A06387" w:rsidP="00A06387">
      <w:pPr>
        <w:pStyle w:val="NoSpacing"/>
        <w:rPr>
          <w:rFonts w:ascii="Arial Black" w:hAnsi="Arial Black"/>
          <w:sz w:val="28"/>
          <w:szCs w:val="28"/>
        </w:rPr>
      </w:pPr>
      <w:r w:rsidRPr="00C60A81">
        <w:rPr>
          <w:rFonts w:ascii="Arial Black" w:hAnsi="Arial Black"/>
          <w:sz w:val="28"/>
          <w:szCs w:val="28"/>
        </w:rPr>
        <w:t xml:space="preserve">PA:  </w:t>
      </w:r>
      <w:r>
        <w:rPr>
          <w:rFonts w:ascii="Arial Black" w:hAnsi="Arial Black"/>
          <w:sz w:val="28"/>
          <w:szCs w:val="28"/>
        </w:rPr>
        <w:t xml:space="preserve">HOUSE FIRE - </w:t>
      </w:r>
      <w:r w:rsidRPr="00C60A81">
        <w:rPr>
          <w:rFonts w:ascii="Arial Black" w:hAnsi="Arial Black"/>
          <w:sz w:val="28"/>
          <w:szCs w:val="28"/>
        </w:rPr>
        <w:t xml:space="preserve">ARSON </w:t>
      </w:r>
      <w:r>
        <w:rPr>
          <w:rFonts w:ascii="Arial Black" w:hAnsi="Arial Black"/>
          <w:sz w:val="28"/>
          <w:szCs w:val="28"/>
        </w:rPr>
        <w:t xml:space="preserve">SUSPECTED, OWNER BEHIND MORTGAGE – </w:t>
      </w:r>
      <w:r w:rsidRPr="00C60A81">
        <w:rPr>
          <w:rFonts w:ascii="Arial Black" w:hAnsi="Arial Black"/>
          <w:sz w:val="28"/>
          <w:szCs w:val="28"/>
        </w:rPr>
        <w:t>INSUR</w:t>
      </w:r>
      <w:r>
        <w:rPr>
          <w:rFonts w:ascii="Arial Black" w:hAnsi="Arial Black"/>
          <w:sz w:val="28"/>
          <w:szCs w:val="28"/>
        </w:rPr>
        <w:t xml:space="preserve">. CO. PROPERLY DELAYED PAYMENT </w:t>
      </w:r>
    </w:p>
    <w:p w14:paraId="1F064AF2" w14:textId="77777777" w:rsidR="00A06387" w:rsidRDefault="00A06387" w:rsidP="00A06387">
      <w:pPr>
        <w:pStyle w:val="NoSpacing"/>
        <w:rPr>
          <w:rFonts w:ascii="PArial Black" w:hAnsi="PArial Black"/>
          <w:sz w:val="28"/>
          <w:szCs w:val="28"/>
        </w:rPr>
      </w:pPr>
    </w:p>
    <w:p w14:paraId="4F75F56A" w14:textId="77777777" w:rsidR="00A06387" w:rsidRPr="006C7F17" w:rsidRDefault="00A06387" w:rsidP="00A06387">
      <w:pPr>
        <w:pStyle w:val="NoSpacing"/>
        <w:rPr>
          <w:rFonts w:ascii="Times New Roman" w:hAnsi="Times New Roman"/>
          <w:b/>
          <w:bCs/>
          <w:sz w:val="24"/>
          <w:szCs w:val="24"/>
        </w:rPr>
      </w:pPr>
      <w:r w:rsidRPr="006C7F17">
        <w:rPr>
          <w:rFonts w:ascii="Times New Roman" w:hAnsi="Times New Roman"/>
          <w:bCs/>
          <w:sz w:val="24"/>
          <w:szCs w:val="24"/>
        </w:rPr>
        <w:t xml:space="preserve">On Oct. 21, 2019, in </w:t>
      </w:r>
      <w:r w:rsidRPr="006C7F17">
        <w:rPr>
          <w:rFonts w:ascii="Times New Roman" w:hAnsi="Times New Roman"/>
          <w:bCs/>
          <w:sz w:val="24"/>
          <w:szCs w:val="24"/>
          <w:u w:val="single"/>
        </w:rPr>
        <w:t xml:space="preserve">Darlene </w:t>
      </w:r>
      <w:proofErr w:type="spellStart"/>
      <w:r w:rsidRPr="006C7F17">
        <w:rPr>
          <w:rFonts w:ascii="Times New Roman" w:hAnsi="Times New Roman"/>
          <w:bCs/>
          <w:sz w:val="24"/>
          <w:szCs w:val="24"/>
          <w:u w:val="single"/>
        </w:rPr>
        <w:t>Merrone</w:t>
      </w:r>
      <w:proofErr w:type="spellEnd"/>
      <w:r w:rsidRPr="006C7F17">
        <w:rPr>
          <w:rFonts w:ascii="Times New Roman" w:hAnsi="Times New Roman"/>
          <w:bCs/>
          <w:sz w:val="24"/>
          <w:szCs w:val="24"/>
          <w:u w:val="single"/>
        </w:rPr>
        <w:t xml:space="preserve"> v. for Allstate Vehicle </w:t>
      </w:r>
      <w:proofErr w:type="gramStart"/>
      <w:r w:rsidRPr="006C7F17">
        <w:rPr>
          <w:rFonts w:ascii="Times New Roman" w:hAnsi="Times New Roman"/>
          <w:bCs/>
          <w:sz w:val="24"/>
          <w:szCs w:val="24"/>
          <w:u w:val="single"/>
        </w:rPr>
        <w:t>And</w:t>
      </w:r>
      <w:proofErr w:type="gramEnd"/>
      <w:r w:rsidRPr="006C7F17">
        <w:rPr>
          <w:rFonts w:ascii="Times New Roman" w:hAnsi="Times New Roman"/>
          <w:bCs/>
          <w:sz w:val="24"/>
          <w:szCs w:val="24"/>
          <w:u w:val="single"/>
        </w:rPr>
        <w:t xml:space="preserve"> Property Insurance Company</w:t>
      </w:r>
      <w:r w:rsidRPr="006C7F17">
        <w:rPr>
          <w:rFonts w:ascii="Times New Roman" w:hAnsi="Times New Roman"/>
          <w:bCs/>
          <w:sz w:val="24"/>
          <w:szCs w:val="24"/>
        </w:rPr>
        <w:t xml:space="preserve">, U.S. District Court Judge Kim R. Gibson, U.S. District Court for Western District of Pennsylvania, granted summary judgment for Allstate. </w:t>
      </w:r>
    </w:p>
    <w:p w14:paraId="7B54B2A1" w14:textId="77777777" w:rsidR="00A06387" w:rsidRPr="006C7F17" w:rsidRDefault="00A06387" w:rsidP="00A06387">
      <w:pPr>
        <w:pStyle w:val="NoSpacing"/>
        <w:rPr>
          <w:rFonts w:ascii="Times New Roman" w:hAnsi="Times New Roman"/>
          <w:b/>
          <w:bCs/>
          <w:sz w:val="24"/>
          <w:szCs w:val="24"/>
        </w:rPr>
      </w:pPr>
    </w:p>
    <w:p w14:paraId="7B55C37F" w14:textId="77777777" w:rsidR="00A06387" w:rsidRPr="006C7F17" w:rsidRDefault="00A06387" w:rsidP="00A06387">
      <w:pPr>
        <w:pStyle w:val="NoSpacing"/>
        <w:ind w:left="720"/>
        <w:rPr>
          <w:rFonts w:ascii="Times New Roman" w:hAnsi="Times New Roman"/>
          <w:b/>
          <w:bCs/>
          <w:sz w:val="24"/>
          <w:szCs w:val="24"/>
        </w:rPr>
      </w:pPr>
      <w:r w:rsidRPr="006C7F17">
        <w:rPr>
          <w:rFonts w:ascii="Times New Roman" w:hAnsi="Times New Roman"/>
          <w:bCs/>
          <w:sz w:val="24"/>
          <w:szCs w:val="24"/>
        </w:rPr>
        <w:t xml:space="preserve">“Because payment of the insurance proceeds negates any breach of contract action, Allstate has paid the policy limits on both the structure and ALE claims, and Plaintiff has not presented any evidence that Allstate has failed to compensate her for lost personal property, Plaintiff's claim must fail. Plaintiff argues that Allstate breached the insurance contract by failing to pay her claim once it was clear that Allstate could not prove arson. (ECF No. 28 at 9.) Allstate responds that it had a reasonable basis to investigate and delay payment. For the reasons discussed in depth above, Plaintiff has not shown that Allstate did not have a reasonable basis to investigate and delay payment, so this delay cannot form the basis of a breach of </w:t>
      </w:r>
      <w:proofErr w:type="gramStart"/>
      <w:r w:rsidRPr="006C7F17">
        <w:rPr>
          <w:rFonts w:ascii="Times New Roman" w:hAnsi="Times New Roman"/>
          <w:bCs/>
          <w:sz w:val="24"/>
          <w:szCs w:val="24"/>
        </w:rPr>
        <w:t>contract.”</w:t>
      </w:r>
      <w:proofErr w:type="gramEnd"/>
      <w:r w:rsidRPr="006C7F17">
        <w:rPr>
          <w:rFonts w:ascii="Times New Roman" w:hAnsi="Times New Roman"/>
          <w:bCs/>
          <w:sz w:val="24"/>
          <w:szCs w:val="24"/>
        </w:rPr>
        <w:t xml:space="preserve">  </w:t>
      </w:r>
    </w:p>
    <w:p w14:paraId="5E2BD35B" w14:textId="48987128" w:rsidR="00A06387" w:rsidRPr="006C7F17" w:rsidRDefault="006C7F17" w:rsidP="006C7F17">
      <w:pPr>
        <w:ind w:left="720"/>
        <w:rPr>
          <w:rFonts w:ascii="Times New Roman" w:hAnsi="Times New Roman"/>
          <w:b/>
          <w:sz w:val="24"/>
          <w:szCs w:val="24"/>
        </w:rPr>
      </w:pPr>
      <w:hyperlink r:id="rId321" w:history="1">
        <w:r w:rsidRPr="002F304C">
          <w:rPr>
            <w:rStyle w:val="Hyperlink"/>
            <w:rFonts w:ascii="Times New Roman" w:hAnsi="Times New Roman"/>
            <w:bCs/>
            <w:sz w:val="24"/>
            <w:szCs w:val="24"/>
          </w:rPr>
          <w:t>https://cases.justia.com/federal/district-courts/pennsylvania/pawdce/3:2018cv00193/249675/37/0.pdf?ts=1571736238</w:t>
        </w:r>
      </w:hyperlink>
    </w:p>
    <w:p w14:paraId="6BDBD660" w14:textId="77777777" w:rsidR="00A06387" w:rsidRPr="006C7F17" w:rsidRDefault="00A06387" w:rsidP="00A06387">
      <w:pPr>
        <w:pStyle w:val="NoSpacing"/>
        <w:rPr>
          <w:rFonts w:ascii="Times New Roman" w:hAnsi="Times New Roman"/>
          <w:b/>
          <w:bCs/>
          <w:sz w:val="24"/>
          <w:szCs w:val="24"/>
        </w:rPr>
      </w:pPr>
      <w:r w:rsidRPr="006C7F17">
        <w:rPr>
          <w:rFonts w:ascii="Times New Roman" w:hAnsi="Times New Roman"/>
          <w:b/>
          <w:bCs/>
          <w:sz w:val="24"/>
          <w:szCs w:val="24"/>
        </w:rPr>
        <w:t xml:space="preserve">Legal Lessons Learned: “Red flags” were certainly flying in this case.  </w:t>
      </w:r>
    </w:p>
    <w:p w14:paraId="35AD5C64" w14:textId="3CEF3DE9" w:rsidR="00A06387" w:rsidRDefault="00A06387" w:rsidP="002B1283">
      <w:pPr>
        <w:rPr>
          <w:rFonts w:ascii="Arial Black" w:hAnsi="Arial Black"/>
          <w:b/>
          <w:sz w:val="24"/>
          <w:szCs w:val="24"/>
        </w:rPr>
      </w:pPr>
    </w:p>
    <w:p w14:paraId="4126F2F4" w14:textId="77777777" w:rsidR="00A67C57" w:rsidRDefault="00A67C57" w:rsidP="002B1283">
      <w:pPr>
        <w:rPr>
          <w:rFonts w:ascii="Arial Black" w:hAnsi="Arial Black"/>
          <w:b/>
          <w:sz w:val="24"/>
          <w:szCs w:val="24"/>
        </w:rPr>
      </w:pPr>
    </w:p>
    <w:p w14:paraId="5ABB4BC7" w14:textId="77777777" w:rsidR="00A06387" w:rsidRDefault="00A06387" w:rsidP="002B1283">
      <w:pPr>
        <w:rPr>
          <w:rFonts w:ascii="Arial Black" w:hAnsi="Arial Black"/>
          <w:b/>
          <w:sz w:val="24"/>
          <w:szCs w:val="24"/>
        </w:rPr>
      </w:pPr>
    </w:p>
    <w:p w14:paraId="12296DC6" w14:textId="2C667427" w:rsidR="005A414F" w:rsidRDefault="005A414F" w:rsidP="002B1283">
      <w:pPr>
        <w:rPr>
          <w:rFonts w:ascii="Arial Black" w:hAnsi="Arial Black"/>
          <w:b/>
          <w:sz w:val="24"/>
          <w:szCs w:val="24"/>
        </w:rPr>
      </w:pPr>
      <w:r>
        <w:rPr>
          <w:rFonts w:ascii="Arial Black" w:hAnsi="Arial Black"/>
          <w:b/>
          <w:sz w:val="24"/>
          <w:szCs w:val="24"/>
        </w:rPr>
        <w:t>1-</w:t>
      </w:r>
      <w:r w:rsidR="00637A12">
        <w:rPr>
          <w:rFonts w:ascii="Arial Black" w:hAnsi="Arial Black"/>
          <w:b/>
          <w:sz w:val="24"/>
          <w:szCs w:val="24"/>
        </w:rPr>
        <w:t>31</w:t>
      </w:r>
    </w:p>
    <w:p w14:paraId="5E3ABD8C" w14:textId="77777777" w:rsidR="005A414F" w:rsidRDefault="005A414F" w:rsidP="005A414F">
      <w:pPr>
        <w:rPr>
          <w:rFonts w:ascii="Arial Black" w:hAnsi="Arial Black"/>
          <w:sz w:val="28"/>
          <w:szCs w:val="28"/>
        </w:rPr>
      </w:pPr>
      <w:r w:rsidRPr="007313FF">
        <w:rPr>
          <w:rFonts w:ascii="Arial Black" w:hAnsi="Arial Black"/>
          <w:sz w:val="28"/>
          <w:szCs w:val="28"/>
        </w:rPr>
        <w:t xml:space="preserve">CA: </w:t>
      </w:r>
      <w:r>
        <w:rPr>
          <w:rFonts w:ascii="Arial Black" w:hAnsi="Arial Black"/>
          <w:sz w:val="28"/>
          <w:szCs w:val="28"/>
        </w:rPr>
        <w:t xml:space="preserve"> ARSON - FF TESTIFIED AGAIN GIRLFRIEND – SHE ADMITTED ARSON CAR FIRE – HE WAS NOT ACCOMPLICE, NO JURY INSTRUCTION NEEDED</w:t>
      </w:r>
    </w:p>
    <w:p w14:paraId="75AF396B" w14:textId="170C65C2" w:rsidR="005A414F" w:rsidRDefault="005A414F" w:rsidP="005A414F">
      <w:pPr>
        <w:rPr>
          <w:rStyle w:val="Hyperlink"/>
          <w:rFonts w:ascii="Times New Roman" w:hAnsi="Times New Roman"/>
          <w:sz w:val="24"/>
          <w:szCs w:val="24"/>
        </w:rPr>
      </w:pPr>
      <w:r w:rsidRPr="005F65FF">
        <w:rPr>
          <w:rFonts w:ascii="Times New Roman" w:hAnsi="Times New Roman"/>
          <w:sz w:val="24"/>
          <w:szCs w:val="24"/>
        </w:rPr>
        <w:lastRenderedPageBreak/>
        <w:t>On</w:t>
      </w:r>
      <w:r>
        <w:rPr>
          <w:rFonts w:ascii="Times New Roman" w:hAnsi="Times New Roman"/>
          <w:sz w:val="24"/>
          <w:szCs w:val="24"/>
        </w:rPr>
        <w:t xml:space="preserve"> Aug. 29, 2019, in </w:t>
      </w:r>
      <w:r w:rsidRPr="00D929D6">
        <w:rPr>
          <w:rFonts w:ascii="Times New Roman" w:hAnsi="Times New Roman"/>
          <w:sz w:val="24"/>
          <w:szCs w:val="24"/>
          <w:u w:val="single"/>
        </w:rPr>
        <w:t>The People v. Crystal Lynn Rothgery</w:t>
      </w:r>
      <w:r w:rsidRPr="00D929D6">
        <w:rPr>
          <w:rFonts w:ascii="Times New Roman" w:hAnsi="Times New Roman"/>
          <w:sz w:val="24"/>
          <w:szCs w:val="24"/>
        </w:rPr>
        <w:t>, the</w:t>
      </w:r>
      <w:r>
        <w:rPr>
          <w:rFonts w:ascii="Times New Roman" w:hAnsi="Times New Roman"/>
          <w:sz w:val="24"/>
          <w:szCs w:val="24"/>
          <w:u w:val="single"/>
        </w:rPr>
        <w:t xml:space="preserve"> </w:t>
      </w:r>
      <w:r w:rsidRPr="005238A8">
        <w:rPr>
          <w:rFonts w:ascii="Times New Roman" w:hAnsi="Times New Roman"/>
          <w:sz w:val="24"/>
          <w:szCs w:val="24"/>
        </w:rPr>
        <w:t xml:space="preserve">Court of Appeal of State of California, Third Appellate District, </w:t>
      </w:r>
      <w:r>
        <w:rPr>
          <w:rFonts w:ascii="Times New Roman" w:hAnsi="Times New Roman"/>
          <w:sz w:val="24"/>
          <w:szCs w:val="24"/>
        </w:rPr>
        <w:t xml:space="preserve">in an unpublished opinion, denied (3 to 0) her appeal of jury conviction of arson.   The trial judge did not need to instructor jury about being suspicious of accomplice testimony since no evidence that her boyfriend [a “wilderness firefighter”] was involved in the car fire. </w:t>
      </w:r>
      <w:hyperlink r:id="rId322" w:history="1">
        <w:r w:rsidRPr="0075063D">
          <w:rPr>
            <w:rStyle w:val="Hyperlink"/>
            <w:rFonts w:ascii="Times New Roman" w:hAnsi="Times New Roman"/>
            <w:sz w:val="24"/>
            <w:szCs w:val="24"/>
          </w:rPr>
          <w:t>https://www.courts.ca.gov/opinions/nonpub/C087060.PDF</w:t>
        </w:r>
      </w:hyperlink>
    </w:p>
    <w:p w14:paraId="484410AA" w14:textId="77777777" w:rsidR="005A414F" w:rsidRDefault="005A414F" w:rsidP="005A414F">
      <w:pPr>
        <w:rPr>
          <w:rFonts w:ascii="Times New Roman" w:hAnsi="Times New Roman"/>
          <w:sz w:val="24"/>
          <w:szCs w:val="24"/>
        </w:rPr>
      </w:pPr>
      <w:r w:rsidRPr="00285E04">
        <w:rPr>
          <w:rFonts w:ascii="Times New Roman" w:hAnsi="Times New Roman"/>
          <w:sz w:val="24"/>
          <w:szCs w:val="24"/>
        </w:rPr>
        <w:t>The Court wrote:</w:t>
      </w:r>
    </w:p>
    <w:p w14:paraId="76402338" w14:textId="77777777" w:rsidR="005A414F" w:rsidRPr="007E4C13" w:rsidRDefault="005A414F" w:rsidP="005A414F">
      <w:pPr>
        <w:pStyle w:val="NoSpacing"/>
        <w:ind w:left="1440"/>
        <w:rPr>
          <w:rFonts w:ascii="Times New Roman" w:hAnsi="Times New Roman"/>
          <w:sz w:val="24"/>
          <w:szCs w:val="24"/>
        </w:rPr>
      </w:pPr>
      <w:r>
        <w:rPr>
          <w:rFonts w:ascii="Times New Roman" w:hAnsi="Times New Roman"/>
          <w:sz w:val="24"/>
          <w:szCs w:val="24"/>
        </w:rPr>
        <w:t>“</w:t>
      </w:r>
      <w:r w:rsidRPr="007E4C13">
        <w:rPr>
          <w:rFonts w:ascii="Times New Roman" w:hAnsi="Times New Roman"/>
          <w:sz w:val="24"/>
          <w:szCs w:val="24"/>
        </w:rPr>
        <w:t xml:space="preserve">Here, the trial court was not required to instruct the jury </w:t>
      </w:r>
      <w:proofErr w:type="spellStart"/>
      <w:r w:rsidRPr="007E4C13">
        <w:rPr>
          <w:rFonts w:ascii="Times New Roman" w:hAnsi="Times New Roman"/>
          <w:sz w:val="24"/>
          <w:szCs w:val="24"/>
        </w:rPr>
        <w:t>sua</w:t>
      </w:r>
      <w:proofErr w:type="spellEnd"/>
      <w:r w:rsidRPr="007E4C13">
        <w:rPr>
          <w:rFonts w:ascii="Times New Roman" w:hAnsi="Times New Roman"/>
          <w:sz w:val="24"/>
          <w:szCs w:val="24"/>
        </w:rPr>
        <w:t xml:space="preserve"> sponte on accomplice testimony because there was no evidence from which a reasonable jury could find Hoskey was an accomplice. To be an accomplice, one </w:t>
      </w:r>
      <w:proofErr w:type="gramStart"/>
      <w:r w:rsidRPr="007E4C13">
        <w:rPr>
          <w:rFonts w:ascii="Times New Roman" w:hAnsi="Times New Roman"/>
          <w:sz w:val="24"/>
          <w:szCs w:val="24"/>
        </w:rPr>
        <w:t>must,</w:t>
      </w:r>
      <w:r>
        <w:rPr>
          <w:rFonts w:ascii="Times New Roman" w:hAnsi="Times New Roman"/>
          <w:sz w:val="24"/>
          <w:szCs w:val="24"/>
        </w:rPr>
        <w:t xml:space="preserve"> </w:t>
      </w:r>
      <w:r w:rsidRPr="007E4C13">
        <w:rPr>
          <w:rFonts w:ascii="Times New Roman" w:hAnsi="Times New Roman"/>
          <w:sz w:val="24"/>
          <w:szCs w:val="24"/>
        </w:rPr>
        <w:t>‘</w:t>
      </w:r>
      <w:proofErr w:type="gramEnd"/>
      <w:r w:rsidRPr="007E4C13">
        <w:rPr>
          <w:rFonts w:ascii="Times New Roman" w:hAnsi="Times New Roman"/>
          <w:sz w:val="24"/>
          <w:szCs w:val="24"/>
        </w:rPr>
        <w:t>act with knowledge of the criminal purpose of the perpetrator and</w:t>
      </w:r>
      <w:r>
        <w:rPr>
          <w:rFonts w:ascii="Times New Roman" w:hAnsi="Times New Roman"/>
          <w:sz w:val="24"/>
          <w:szCs w:val="24"/>
        </w:rPr>
        <w:t xml:space="preserve"> </w:t>
      </w:r>
      <w:r w:rsidRPr="007E4C13">
        <w:rPr>
          <w:rFonts w:ascii="Times New Roman" w:hAnsi="Times New Roman"/>
          <w:sz w:val="24"/>
          <w:szCs w:val="24"/>
        </w:rPr>
        <w:t>with an intent or purpose either of committing, or of encouraging or facilitating commission of, the offense.’ (People v. Stankewitz (1990) 51 Cal.3d 72, 90-91.)</w:t>
      </w:r>
      <w:r>
        <w:rPr>
          <w:rFonts w:ascii="Times New Roman" w:hAnsi="Times New Roman"/>
          <w:sz w:val="24"/>
          <w:szCs w:val="24"/>
        </w:rPr>
        <w:t xml:space="preserve">  </w:t>
      </w:r>
      <w:r w:rsidRPr="007E4C13">
        <w:rPr>
          <w:rFonts w:ascii="Times New Roman" w:hAnsi="Times New Roman"/>
          <w:sz w:val="24"/>
          <w:szCs w:val="24"/>
        </w:rPr>
        <w:t>In arguing Hoskey was an accomplice, defendant cites no evidence to satisfy these elements.</w:t>
      </w:r>
      <w:r>
        <w:rPr>
          <w:rFonts w:ascii="Times New Roman" w:hAnsi="Times New Roman"/>
          <w:sz w:val="24"/>
          <w:szCs w:val="24"/>
        </w:rPr>
        <w:t>”</w:t>
      </w:r>
    </w:p>
    <w:p w14:paraId="51A88005" w14:textId="77777777" w:rsidR="005A414F" w:rsidRDefault="005A414F" w:rsidP="005A414F">
      <w:pPr>
        <w:rPr>
          <w:rStyle w:val="Hyperlink"/>
          <w:rFonts w:ascii="Times New Roman" w:hAnsi="Times New Roman"/>
          <w:sz w:val="24"/>
          <w:szCs w:val="24"/>
        </w:rPr>
      </w:pPr>
    </w:p>
    <w:p w14:paraId="204CC706" w14:textId="569889B0" w:rsidR="005A414F" w:rsidRDefault="005A414F" w:rsidP="005A414F">
      <w:pPr>
        <w:pStyle w:val="NoSpacing"/>
        <w:rPr>
          <w:rFonts w:ascii="Times New Roman" w:hAnsi="Times New Roman"/>
          <w:b/>
          <w:bCs/>
          <w:sz w:val="24"/>
          <w:szCs w:val="24"/>
        </w:rPr>
      </w:pPr>
      <w:r w:rsidRPr="00F524F6">
        <w:rPr>
          <w:rFonts w:ascii="Times New Roman" w:hAnsi="Times New Roman"/>
          <w:b/>
          <w:bCs/>
          <w:sz w:val="24"/>
          <w:szCs w:val="24"/>
        </w:rPr>
        <w:t xml:space="preserve">Legal Lessons Learned: </w:t>
      </w:r>
      <w:r>
        <w:rPr>
          <w:rFonts w:ascii="Times New Roman" w:hAnsi="Times New Roman"/>
          <w:b/>
          <w:bCs/>
          <w:sz w:val="24"/>
          <w:szCs w:val="24"/>
        </w:rPr>
        <w:t xml:space="preserve">No proof this “wilderness firefighter” was involved in his live-in girlfriend’s arson.  </w:t>
      </w:r>
    </w:p>
    <w:p w14:paraId="6DC9502B" w14:textId="77777777" w:rsidR="00E26EA8" w:rsidRDefault="00E26EA8" w:rsidP="005A414F">
      <w:pPr>
        <w:pStyle w:val="NoSpacing"/>
        <w:rPr>
          <w:rFonts w:ascii="Times New Roman" w:hAnsi="Times New Roman"/>
          <w:b/>
          <w:bCs/>
          <w:sz w:val="24"/>
          <w:szCs w:val="24"/>
        </w:rPr>
      </w:pPr>
    </w:p>
    <w:p w14:paraId="2A4D2958" w14:textId="77777777" w:rsidR="00715CF2" w:rsidRDefault="00715CF2" w:rsidP="002B1283">
      <w:pPr>
        <w:rPr>
          <w:rFonts w:ascii="Arial Black" w:hAnsi="Arial Black"/>
          <w:b/>
          <w:sz w:val="24"/>
          <w:szCs w:val="24"/>
        </w:rPr>
      </w:pPr>
    </w:p>
    <w:p w14:paraId="4EEE914F" w14:textId="0C8E98AD" w:rsidR="00791CA3" w:rsidRDefault="00791CA3" w:rsidP="002B1283">
      <w:pPr>
        <w:rPr>
          <w:rFonts w:ascii="Arial Black" w:hAnsi="Arial Black"/>
          <w:sz w:val="28"/>
          <w:szCs w:val="28"/>
        </w:rPr>
      </w:pPr>
      <w:r w:rsidRPr="00791CA3">
        <w:rPr>
          <w:rFonts w:ascii="Arial Black" w:hAnsi="Arial Black"/>
          <w:b/>
          <w:sz w:val="24"/>
          <w:szCs w:val="24"/>
        </w:rPr>
        <w:t>1-</w:t>
      </w:r>
      <w:r w:rsidR="00637A12">
        <w:rPr>
          <w:rFonts w:ascii="Arial Black" w:hAnsi="Arial Black"/>
          <w:b/>
          <w:sz w:val="24"/>
          <w:szCs w:val="24"/>
        </w:rPr>
        <w:t>30</w:t>
      </w:r>
    </w:p>
    <w:p w14:paraId="29D072AB" w14:textId="54FED2EC" w:rsidR="002B1283" w:rsidRDefault="002B1283" w:rsidP="002B1283">
      <w:pPr>
        <w:rPr>
          <w:rFonts w:ascii="Arial Black" w:hAnsi="Arial Black"/>
          <w:sz w:val="28"/>
          <w:szCs w:val="28"/>
        </w:rPr>
      </w:pPr>
      <w:r>
        <w:rPr>
          <w:rFonts w:ascii="Arial Black" w:hAnsi="Arial Black"/>
          <w:sz w:val="28"/>
          <w:szCs w:val="28"/>
        </w:rPr>
        <w:t>IL: COMMERCIAL BUILDING FIRE ALARMS MUST GO DIRECT TO 911 DISPATCH – ORDINANCE REQ. ONE PROVIDER UPHELD</w:t>
      </w:r>
    </w:p>
    <w:p w14:paraId="3CCBDA25" w14:textId="77777777" w:rsidR="002B1283" w:rsidRDefault="002B1283" w:rsidP="002B1283">
      <w:pPr>
        <w:rPr>
          <w:rFonts w:ascii="Times New Roman" w:hAnsi="Times New Roman"/>
          <w:sz w:val="24"/>
          <w:szCs w:val="24"/>
        </w:rPr>
      </w:pPr>
      <w:r w:rsidRPr="00C338B2">
        <w:rPr>
          <w:rFonts w:ascii="Times New Roman" w:hAnsi="Times New Roman"/>
          <w:sz w:val="24"/>
          <w:szCs w:val="24"/>
        </w:rPr>
        <w:t xml:space="preserve">On July 15, 2019, in </w:t>
      </w:r>
      <w:r w:rsidRPr="00C338B2">
        <w:rPr>
          <w:rFonts w:ascii="Times New Roman" w:hAnsi="Times New Roman"/>
          <w:sz w:val="24"/>
          <w:szCs w:val="24"/>
          <w:u w:val="single"/>
        </w:rPr>
        <w:t>Alarm Detection Systems, Inc. v. Orland Fire Protect District, et al</w:t>
      </w:r>
      <w:r w:rsidRPr="00C338B2">
        <w:rPr>
          <w:rFonts w:ascii="Times New Roman" w:hAnsi="Times New Roman"/>
          <w:sz w:val="24"/>
          <w:szCs w:val="24"/>
        </w:rPr>
        <w:t xml:space="preserve">, </w:t>
      </w:r>
      <w:r>
        <w:rPr>
          <w:rFonts w:ascii="Times New Roman" w:hAnsi="Times New Roman"/>
          <w:sz w:val="24"/>
          <w:szCs w:val="24"/>
        </w:rPr>
        <w:t>the U.S. Court of Appeals for 7</w:t>
      </w:r>
      <w:r w:rsidRPr="00C338B2">
        <w:rPr>
          <w:rFonts w:ascii="Times New Roman" w:hAnsi="Times New Roman"/>
          <w:sz w:val="24"/>
          <w:szCs w:val="24"/>
          <w:vertAlign w:val="superscript"/>
        </w:rPr>
        <w:t>th</w:t>
      </w:r>
      <w:r>
        <w:rPr>
          <w:rFonts w:ascii="Times New Roman" w:hAnsi="Times New Roman"/>
          <w:sz w:val="24"/>
          <w:szCs w:val="24"/>
        </w:rPr>
        <w:t xml:space="preserve"> Circuit held (3 to 0) that ordinances by several Villages were lawful and no violation of Sherman Antitrust Act. </w:t>
      </w:r>
    </w:p>
    <w:p w14:paraId="737C96FA"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100A56">
        <w:rPr>
          <w:rFonts w:ascii="Times New Roman" w:hAnsi="Times New Roman"/>
          <w:sz w:val="24"/>
          <w:szCs w:val="24"/>
        </w:rPr>
        <w:t>ADS worries that without introducing competition against Tyco the alarm-system market will stagnate; Tyco will have little reason to innovate and more flexibility to charge high prices. We are not unsympathetic to the point, in theory. But ADS had its chance at trial to demonstrate to the district court that its alternative methods can work in an RSS system, and it did not. And no one should lose sight of the fact that competition for the exclusive contract is competition.</w:t>
      </w:r>
      <w:r>
        <w:rPr>
          <w:rFonts w:ascii="Times New Roman" w:hAnsi="Times New Roman"/>
          <w:sz w:val="24"/>
          <w:szCs w:val="24"/>
        </w:rPr>
        <w:t>”</w:t>
      </w:r>
    </w:p>
    <w:p w14:paraId="0DB8F759" w14:textId="77777777" w:rsidR="002B1283" w:rsidRDefault="002B1283" w:rsidP="002B1283">
      <w:pPr>
        <w:ind w:left="720"/>
      </w:pPr>
      <w:hyperlink r:id="rId323" w:history="1">
        <w:r w:rsidRPr="00455844">
          <w:rPr>
            <w:rStyle w:val="Hyperlink"/>
          </w:rPr>
          <w:t>https://cases.justia.com/federal/appellate-courts/ca7/18-2926/18-2926-2019-07-15.pdf?ts=1563219019</w:t>
        </w:r>
      </w:hyperlink>
      <w:r>
        <w:t xml:space="preserve"> </w:t>
      </w:r>
    </w:p>
    <w:p w14:paraId="6EB00456" w14:textId="3BE822F9" w:rsidR="002B1283" w:rsidRDefault="002B1283" w:rsidP="002B1283">
      <w:pPr>
        <w:rPr>
          <w:rFonts w:ascii="Times New Roman" w:hAnsi="Times New Roman"/>
          <w:b/>
          <w:bCs/>
          <w:sz w:val="24"/>
          <w:szCs w:val="24"/>
        </w:rPr>
      </w:pPr>
      <w:r w:rsidRPr="00100A56">
        <w:rPr>
          <w:rFonts w:ascii="Times New Roman" w:hAnsi="Times New Roman"/>
          <w:b/>
          <w:bCs/>
          <w:sz w:val="24"/>
          <w:szCs w:val="24"/>
        </w:rPr>
        <w:t xml:space="preserve">Legal Lessons Learned: </w:t>
      </w:r>
      <w:r>
        <w:rPr>
          <w:rFonts w:ascii="Times New Roman" w:hAnsi="Times New Roman"/>
          <w:b/>
          <w:bCs/>
          <w:sz w:val="24"/>
          <w:szCs w:val="24"/>
        </w:rPr>
        <w:t xml:space="preserve"> The Court of Appeals upheld the findings of the U.S. District Court judge, who held a 6-day bench [non-jury] trial, and referenced NFPA 72 and the safety need for an exclusive fire-alarm provider.  </w:t>
      </w:r>
    </w:p>
    <w:p w14:paraId="0B7D4E64" w14:textId="149D5C28" w:rsidR="0097592D" w:rsidRPr="0097592D" w:rsidRDefault="0097592D" w:rsidP="002B1283">
      <w:pPr>
        <w:rPr>
          <w:rFonts w:ascii="Times New Roman" w:hAnsi="Times New Roman"/>
          <w:sz w:val="24"/>
          <w:szCs w:val="24"/>
        </w:rPr>
      </w:pPr>
    </w:p>
    <w:p w14:paraId="2A31529E" w14:textId="77777777" w:rsidR="00F326E5" w:rsidRDefault="00F326E5" w:rsidP="00F326E5">
      <w:pPr>
        <w:pStyle w:val="NoSpacing"/>
        <w:rPr>
          <w:rFonts w:ascii="Times New Roman" w:hAnsi="Times New Roman"/>
          <w:sz w:val="24"/>
          <w:szCs w:val="24"/>
        </w:rPr>
      </w:pPr>
    </w:p>
    <w:p w14:paraId="5AC1EE6D" w14:textId="48B9E2F1" w:rsidR="005A414F" w:rsidRDefault="005A414F" w:rsidP="00791CA3">
      <w:pPr>
        <w:rPr>
          <w:rFonts w:ascii="Arial Black" w:hAnsi="Arial Black"/>
          <w:b/>
          <w:sz w:val="24"/>
          <w:szCs w:val="24"/>
        </w:rPr>
      </w:pPr>
      <w:r>
        <w:rPr>
          <w:rFonts w:ascii="Arial Black" w:hAnsi="Arial Black"/>
          <w:b/>
          <w:sz w:val="24"/>
          <w:szCs w:val="24"/>
        </w:rPr>
        <w:t>1-2</w:t>
      </w:r>
      <w:r w:rsidR="00637A12">
        <w:rPr>
          <w:rFonts w:ascii="Arial Black" w:hAnsi="Arial Black"/>
          <w:b/>
          <w:sz w:val="24"/>
          <w:szCs w:val="24"/>
        </w:rPr>
        <w:t>9</w:t>
      </w:r>
    </w:p>
    <w:p w14:paraId="4D276FD2" w14:textId="77777777" w:rsidR="005A414F" w:rsidRPr="00A95E8D" w:rsidRDefault="005A414F" w:rsidP="005A414F">
      <w:pPr>
        <w:rPr>
          <w:rFonts w:ascii="Arial Black" w:hAnsi="Arial Black"/>
          <w:sz w:val="28"/>
          <w:szCs w:val="28"/>
        </w:rPr>
      </w:pPr>
      <w:r w:rsidRPr="00A95E8D">
        <w:rPr>
          <w:rFonts w:ascii="Arial Black" w:hAnsi="Arial Black"/>
          <w:sz w:val="28"/>
          <w:szCs w:val="28"/>
        </w:rPr>
        <w:lastRenderedPageBreak/>
        <w:t>U.S. SUP</w:t>
      </w:r>
      <w:r>
        <w:rPr>
          <w:rFonts w:ascii="Arial Black" w:hAnsi="Arial Black"/>
          <w:sz w:val="28"/>
          <w:szCs w:val="28"/>
        </w:rPr>
        <w:t>REME CT: DRUNK DRIVER UNCONSCIOUS – BLOOD DRAW WITHOUT SEARCH WARRANT PERMITTED - EXIGENT CIRCUMSTANCES</w:t>
      </w:r>
    </w:p>
    <w:p w14:paraId="7CF99BE9" w14:textId="77777777" w:rsidR="005A414F" w:rsidRDefault="005A414F" w:rsidP="005A414F">
      <w:pPr>
        <w:rPr>
          <w:rFonts w:ascii="Times New Roman" w:hAnsi="Times New Roman"/>
          <w:sz w:val="24"/>
          <w:szCs w:val="24"/>
        </w:rPr>
      </w:pPr>
      <w:r>
        <w:rPr>
          <w:rFonts w:ascii="Times New Roman" w:hAnsi="Times New Roman"/>
          <w:sz w:val="24"/>
          <w:szCs w:val="24"/>
        </w:rPr>
        <w:t xml:space="preserve">On June 27, 2019, in </w:t>
      </w:r>
      <w:r w:rsidRPr="000D023B">
        <w:rPr>
          <w:rFonts w:ascii="Times New Roman" w:hAnsi="Times New Roman"/>
          <w:sz w:val="24"/>
          <w:szCs w:val="24"/>
          <w:u w:val="single"/>
        </w:rPr>
        <w:t>Mitchell v. Wisconsin</w:t>
      </w:r>
      <w:r>
        <w:rPr>
          <w:rFonts w:ascii="Times New Roman" w:hAnsi="Times New Roman"/>
          <w:sz w:val="24"/>
          <w:szCs w:val="24"/>
        </w:rPr>
        <w:t xml:space="preserve">, the U.S. Supreme Court held (5 to 4), on the defendant’s appeal from decision of the Wisconsin Supreme Court, that when the driver is unconscious, and cannot be given a breath test, they may generally obtain a blood draw at a hospital without a search warrant under the “exigent circumstances” doctrine.  </w:t>
      </w:r>
      <w:hyperlink r:id="rId324" w:history="1">
        <w:r w:rsidRPr="00DD407F">
          <w:rPr>
            <w:rStyle w:val="Hyperlink"/>
            <w:rFonts w:ascii="Times New Roman" w:hAnsi="Times New Roman"/>
            <w:sz w:val="24"/>
            <w:szCs w:val="24"/>
          </w:rPr>
          <w:t>https://www.supremecourt.gov/opinions/18pdf/18-6210_2co3.pdf</w:t>
        </w:r>
      </w:hyperlink>
      <w:r>
        <w:rPr>
          <w:rFonts w:ascii="Times New Roman" w:hAnsi="Times New Roman"/>
          <w:sz w:val="24"/>
          <w:szCs w:val="24"/>
        </w:rPr>
        <w:t xml:space="preserve"> </w:t>
      </w:r>
    </w:p>
    <w:p w14:paraId="0EDF2492" w14:textId="77777777" w:rsidR="005A414F" w:rsidRPr="00230C85" w:rsidRDefault="005A414F" w:rsidP="005A414F">
      <w:pPr>
        <w:pStyle w:val="NoSpacing"/>
        <w:rPr>
          <w:rFonts w:ascii="Times New Roman" w:hAnsi="Times New Roman"/>
          <w:b/>
          <w:bCs/>
          <w:sz w:val="24"/>
          <w:szCs w:val="24"/>
        </w:rPr>
      </w:pPr>
      <w:r w:rsidRPr="00230C85">
        <w:rPr>
          <w:rFonts w:ascii="Times New Roman" w:hAnsi="Times New Roman"/>
          <w:b/>
          <w:bCs/>
          <w:sz w:val="24"/>
          <w:szCs w:val="24"/>
        </w:rPr>
        <w:t xml:space="preserve">Legal Lessons Learned: </w:t>
      </w:r>
      <w:r>
        <w:rPr>
          <w:rFonts w:ascii="Times New Roman" w:hAnsi="Times New Roman"/>
          <w:b/>
          <w:bCs/>
          <w:sz w:val="24"/>
          <w:szCs w:val="24"/>
        </w:rPr>
        <w:t xml:space="preserve">Very helpful majority decision, expanding the “exigent circumstances” doctrine, to allow police to rapidly obtain blood draws without a search warrant. </w:t>
      </w:r>
    </w:p>
    <w:p w14:paraId="7003CA67" w14:textId="77777777" w:rsidR="000D5056" w:rsidRDefault="000D5056" w:rsidP="005A414F">
      <w:pPr>
        <w:ind w:firstLine="720"/>
        <w:rPr>
          <w:rFonts w:ascii="Times New Roman" w:hAnsi="Times New Roman"/>
          <w:sz w:val="24"/>
          <w:szCs w:val="24"/>
        </w:rPr>
      </w:pPr>
    </w:p>
    <w:p w14:paraId="609A942C" w14:textId="502D2C28" w:rsidR="005A414F" w:rsidRDefault="005A414F" w:rsidP="005A414F">
      <w:pPr>
        <w:ind w:firstLine="720"/>
        <w:rPr>
          <w:rFonts w:ascii="Times New Roman" w:hAnsi="Times New Roman"/>
          <w:sz w:val="24"/>
          <w:szCs w:val="24"/>
        </w:rPr>
      </w:pPr>
      <w:r>
        <w:rPr>
          <w:rFonts w:ascii="Times New Roman" w:hAnsi="Times New Roman"/>
          <w:sz w:val="24"/>
          <w:szCs w:val="24"/>
        </w:rPr>
        <w:t xml:space="preserve">Justice Samuel Alito wrote the majority opinion: </w:t>
      </w:r>
    </w:p>
    <w:p w14:paraId="25335525" w14:textId="02D5DFF3" w:rsidR="005A414F" w:rsidRDefault="005A414F" w:rsidP="005A414F">
      <w:pPr>
        <w:ind w:left="1440"/>
        <w:rPr>
          <w:rFonts w:ascii="Times New Roman" w:hAnsi="Times New Roman"/>
          <w:sz w:val="24"/>
          <w:szCs w:val="24"/>
        </w:rPr>
      </w:pPr>
      <w:r>
        <w:rPr>
          <w:rFonts w:ascii="Times New Roman" w:hAnsi="Times New Roman"/>
          <w:sz w:val="24"/>
          <w:szCs w:val="24"/>
        </w:rPr>
        <w:t>“</w:t>
      </w:r>
      <w:r w:rsidRPr="00A95E8D">
        <w:rPr>
          <w:rFonts w:ascii="Times New Roman" w:hAnsi="Times New Roman"/>
          <w:sz w:val="24"/>
          <w:szCs w:val="24"/>
        </w:rPr>
        <w:t xml:space="preserve">Today, we consider what police officers may do in a narrow but important category of cases: those in which the driver is unconscious and therefore cannot be given a breath test. In such cases, we hold, the </w:t>
      </w:r>
      <w:proofErr w:type="gramStart"/>
      <w:r w:rsidRPr="00A95E8D">
        <w:rPr>
          <w:rFonts w:ascii="Times New Roman" w:hAnsi="Times New Roman"/>
          <w:sz w:val="24"/>
          <w:szCs w:val="24"/>
        </w:rPr>
        <w:t>exigent</w:t>
      </w:r>
      <w:r>
        <w:rPr>
          <w:rFonts w:ascii="Times New Roman" w:hAnsi="Times New Roman"/>
          <w:sz w:val="24"/>
          <w:szCs w:val="24"/>
        </w:rPr>
        <w:t>-</w:t>
      </w:r>
      <w:r w:rsidRPr="00A95E8D">
        <w:rPr>
          <w:rFonts w:ascii="Times New Roman" w:hAnsi="Times New Roman"/>
          <w:sz w:val="24"/>
          <w:szCs w:val="24"/>
        </w:rPr>
        <w:t>circumstances</w:t>
      </w:r>
      <w:proofErr w:type="gramEnd"/>
      <w:r w:rsidRPr="00A95E8D">
        <w:rPr>
          <w:rFonts w:ascii="Times New Roman" w:hAnsi="Times New Roman"/>
          <w:sz w:val="24"/>
          <w:szCs w:val="24"/>
        </w:rPr>
        <w:t xml:space="preserve"> rule almost always permits a blood test without a warrant. When a breath test is impossible, enforcement of the drunk-driving laws depends upon the administration of a blood test. And when a police officer</w:t>
      </w:r>
      <w:r>
        <w:rPr>
          <w:rFonts w:ascii="Times New Roman" w:hAnsi="Times New Roman"/>
          <w:sz w:val="24"/>
          <w:szCs w:val="24"/>
        </w:rPr>
        <w:t xml:space="preserve"> </w:t>
      </w:r>
      <w:r w:rsidRPr="00A95E8D">
        <w:rPr>
          <w:rFonts w:ascii="Times New Roman" w:hAnsi="Times New Roman"/>
          <w:sz w:val="24"/>
          <w:szCs w:val="24"/>
        </w:rPr>
        <w:t>encounters an unconscious driver, it is very likely that the driver would be taken to an emergency room and that his blood would be drawn for diagnostic purposes even if the police were not seeking BAC information. In addition, police officers most frequently come upon unconscious drivers when they report to the scene of an accident, and under those circumstances, the officers’ many responsibilities—such as attending to other injured drivers or passengers</w:t>
      </w:r>
      <w:r>
        <w:rPr>
          <w:rFonts w:ascii="Times New Roman" w:hAnsi="Times New Roman"/>
          <w:sz w:val="24"/>
          <w:szCs w:val="24"/>
        </w:rPr>
        <w:t xml:space="preserve"> </w:t>
      </w:r>
      <w:r w:rsidRPr="00A95E8D">
        <w:rPr>
          <w:rFonts w:ascii="Times New Roman" w:hAnsi="Times New Roman"/>
          <w:sz w:val="24"/>
          <w:szCs w:val="24"/>
        </w:rPr>
        <w:t>and preventing further accidents—may be incompatible with the procedures that would be required to obtain a warrant. Thus, when a driver is unconscious, the general rule is that a warrant is not needed.</w:t>
      </w:r>
      <w:r>
        <w:rPr>
          <w:rFonts w:ascii="Times New Roman" w:hAnsi="Times New Roman"/>
          <w:sz w:val="24"/>
          <w:szCs w:val="24"/>
        </w:rPr>
        <w:t>”</w:t>
      </w:r>
    </w:p>
    <w:p w14:paraId="28A37239" w14:textId="77777777" w:rsidR="00715CF2" w:rsidRDefault="00715CF2" w:rsidP="00791CA3">
      <w:pPr>
        <w:rPr>
          <w:rFonts w:ascii="Arial Black" w:hAnsi="Arial Black"/>
          <w:b/>
          <w:sz w:val="24"/>
          <w:szCs w:val="24"/>
        </w:rPr>
      </w:pPr>
    </w:p>
    <w:p w14:paraId="1763116F" w14:textId="5BD9E373" w:rsidR="00B22CD4" w:rsidRDefault="00791CA3" w:rsidP="00791CA3">
      <w:pPr>
        <w:rPr>
          <w:rFonts w:ascii="Times New Roman" w:hAnsi="Times New Roman"/>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8</w:t>
      </w:r>
    </w:p>
    <w:p w14:paraId="24111B64" w14:textId="39359B2E" w:rsidR="00B22CD4" w:rsidRPr="00B60691" w:rsidRDefault="00B22CD4" w:rsidP="00B22CD4">
      <w:pPr>
        <w:pStyle w:val="NoSpacing"/>
        <w:rPr>
          <w:rFonts w:ascii="Arial Black" w:hAnsi="Arial Black"/>
          <w:sz w:val="28"/>
          <w:szCs w:val="28"/>
        </w:rPr>
      </w:pPr>
      <w:bookmarkStart w:id="60" w:name="_Hlk10126418"/>
      <w:r>
        <w:rPr>
          <w:rFonts w:ascii="Arial Black" w:hAnsi="Arial Black"/>
          <w:sz w:val="28"/>
          <w:szCs w:val="28"/>
        </w:rPr>
        <w:t>IL: SUICIDE - U.S. SUP. CT. NOT TAKE APPEAL – SUICIDE BY ATTORNEY ON ANTI-DEPRESSANTS - FDA DID NOT APPROVE LABEL</w:t>
      </w:r>
    </w:p>
    <w:p w14:paraId="3F548AF1" w14:textId="77777777" w:rsidR="00B22CD4" w:rsidRPr="002F51DD" w:rsidRDefault="00B22CD4" w:rsidP="00B22CD4">
      <w:pPr>
        <w:pStyle w:val="Heading1"/>
        <w:rPr>
          <w:b w:val="0"/>
          <w:sz w:val="24"/>
          <w:szCs w:val="24"/>
        </w:rPr>
      </w:pPr>
      <w:r w:rsidRPr="002F51DD">
        <w:rPr>
          <w:b w:val="0"/>
          <w:sz w:val="24"/>
          <w:szCs w:val="24"/>
        </w:rPr>
        <w:t xml:space="preserve">On May 28, 2019, in </w:t>
      </w:r>
      <w:r w:rsidRPr="002F51DD">
        <w:rPr>
          <w:b w:val="0"/>
          <w:sz w:val="24"/>
          <w:szCs w:val="24"/>
          <w:u w:val="single"/>
        </w:rPr>
        <w:t>Wendy B. Dolin v. GlaxoSmith</w:t>
      </w:r>
      <w:r>
        <w:rPr>
          <w:b w:val="0"/>
          <w:sz w:val="24"/>
          <w:szCs w:val="24"/>
          <w:u w:val="single"/>
        </w:rPr>
        <w:t>K</w:t>
      </w:r>
      <w:r w:rsidRPr="002F51DD">
        <w:rPr>
          <w:b w:val="0"/>
          <w:sz w:val="24"/>
          <w:szCs w:val="24"/>
          <w:u w:val="single"/>
        </w:rPr>
        <w:t>line</w:t>
      </w:r>
      <w:r>
        <w:rPr>
          <w:b w:val="0"/>
          <w:sz w:val="24"/>
          <w:szCs w:val="24"/>
          <w:u w:val="single"/>
        </w:rPr>
        <w:t>, LLC</w:t>
      </w:r>
      <w:r w:rsidRPr="002F51DD">
        <w:rPr>
          <w:b w:val="0"/>
          <w:sz w:val="24"/>
          <w:szCs w:val="24"/>
        </w:rPr>
        <w:t xml:space="preserve">, the U.S. Supreme Court declined to hear the appeal of widow of </w:t>
      </w:r>
      <w:proofErr w:type="gramStart"/>
      <w:r w:rsidRPr="002F51DD">
        <w:rPr>
          <w:b w:val="0"/>
          <w:sz w:val="24"/>
          <w:szCs w:val="24"/>
        </w:rPr>
        <w:t>57-year old</w:t>
      </w:r>
      <w:proofErr w:type="gramEnd"/>
      <w:r w:rsidRPr="002F51DD">
        <w:rPr>
          <w:b w:val="0"/>
          <w:sz w:val="24"/>
          <w:szCs w:val="24"/>
        </w:rPr>
        <w:t xml:space="preserve"> attorney who committed suicide after taking Paxil.  Thereby leaving in place the decision of the U.S. Court of Appeals for the 7</w:t>
      </w:r>
      <w:r w:rsidRPr="002F51DD">
        <w:rPr>
          <w:b w:val="0"/>
          <w:sz w:val="24"/>
          <w:szCs w:val="24"/>
          <w:vertAlign w:val="superscript"/>
        </w:rPr>
        <w:t>th</w:t>
      </w:r>
      <w:r w:rsidRPr="002F51DD">
        <w:rPr>
          <w:b w:val="0"/>
          <w:sz w:val="24"/>
          <w:szCs w:val="24"/>
        </w:rPr>
        <w:t xml:space="preserve"> Circuit, which had set aside $3 million jury verdict for widow.  </w:t>
      </w:r>
      <w:hyperlink r:id="rId325" w:history="1">
        <w:r w:rsidRPr="002F51DD">
          <w:rPr>
            <w:rStyle w:val="Hyperlink"/>
            <w:b w:val="0"/>
            <w:sz w:val="24"/>
            <w:szCs w:val="24"/>
          </w:rPr>
          <w:t>https://www.supremecourt.gov/orders/courtorders/052819zor_2dq3.pdf</w:t>
        </w:r>
      </w:hyperlink>
      <w:r w:rsidRPr="002F51DD">
        <w:rPr>
          <w:b w:val="0"/>
          <w:sz w:val="24"/>
          <w:szCs w:val="24"/>
        </w:rPr>
        <w:t xml:space="preserve"> </w:t>
      </w:r>
    </w:p>
    <w:p w14:paraId="2963218F" w14:textId="77777777" w:rsidR="00B22CD4" w:rsidRPr="008E1A98" w:rsidRDefault="00B22CD4" w:rsidP="00B22CD4">
      <w:pPr>
        <w:pStyle w:val="NoSpacing"/>
        <w:rPr>
          <w:rFonts w:ascii="Times New Roman" w:hAnsi="Times New Roman"/>
          <w:sz w:val="24"/>
          <w:szCs w:val="24"/>
        </w:rPr>
      </w:pPr>
      <w:r w:rsidRPr="008E1A98">
        <w:rPr>
          <w:rFonts w:ascii="Times New Roman" w:hAnsi="Times New Roman"/>
          <w:sz w:val="24"/>
          <w:szCs w:val="24"/>
        </w:rPr>
        <w:t>On Aug. 22, 2018, the 7</w:t>
      </w:r>
      <w:r w:rsidRPr="008E1A98">
        <w:rPr>
          <w:rFonts w:ascii="Times New Roman" w:hAnsi="Times New Roman"/>
          <w:sz w:val="24"/>
          <w:szCs w:val="24"/>
          <w:vertAlign w:val="superscript"/>
        </w:rPr>
        <w:t>th</w:t>
      </w:r>
      <w:r w:rsidRPr="008E1A98">
        <w:rPr>
          <w:rFonts w:ascii="Times New Roman" w:hAnsi="Times New Roman"/>
          <w:sz w:val="24"/>
          <w:szCs w:val="24"/>
        </w:rPr>
        <w:t xml:space="preserve"> Circuit held that Food and Drug Administration refused to allow the manufacturer </w:t>
      </w:r>
      <w:r>
        <w:rPr>
          <w:rFonts w:ascii="Times New Roman" w:hAnsi="Times New Roman"/>
          <w:sz w:val="24"/>
          <w:szCs w:val="24"/>
        </w:rPr>
        <w:t xml:space="preserve">to added to Paxil label a warning that the drug may lead to increase in suicide of not only patients under 24, but also in older adults.  The FDA wanted the same, </w:t>
      </w:r>
      <w:r w:rsidRPr="008E1A98">
        <w:rPr>
          <w:rFonts w:ascii="Times New Roman" w:hAnsi="Times New Roman"/>
          <w:sz w:val="24"/>
          <w:szCs w:val="24"/>
        </w:rPr>
        <w:t>uniform warning on all anti-depressant drugs</w:t>
      </w:r>
      <w:r>
        <w:rPr>
          <w:rFonts w:ascii="Times New Roman" w:hAnsi="Times New Roman"/>
          <w:sz w:val="24"/>
          <w:szCs w:val="24"/>
        </w:rPr>
        <w:t xml:space="preserve">.  </w:t>
      </w:r>
      <w:r w:rsidRPr="008E1A98">
        <w:rPr>
          <w:rFonts w:ascii="Times New Roman" w:hAnsi="Times New Roman"/>
          <w:sz w:val="24"/>
          <w:szCs w:val="24"/>
        </w:rPr>
        <w:t xml:space="preserve"> </w:t>
      </w:r>
      <w:hyperlink r:id="rId326" w:history="1">
        <w:r w:rsidRPr="008E1A98">
          <w:rPr>
            <w:rStyle w:val="Hyperlink"/>
            <w:rFonts w:ascii="Times New Roman" w:hAnsi="Times New Roman"/>
            <w:sz w:val="24"/>
            <w:szCs w:val="24"/>
          </w:rPr>
          <w:t>https://law.justia.com/cases/federal/appellate-courts/ca7/17-3030/17-3030-2018-08-22.html</w:t>
        </w:r>
      </w:hyperlink>
      <w:r w:rsidRPr="008E1A98">
        <w:rPr>
          <w:rFonts w:ascii="Times New Roman" w:hAnsi="Times New Roman"/>
          <w:sz w:val="24"/>
          <w:szCs w:val="24"/>
        </w:rPr>
        <w:t xml:space="preserve"> </w:t>
      </w:r>
    </w:p>
    <w:p w14:paraId="5B0B34E7" w14:textId="77777777" w:rsidR="00B22CD4" w:rsidRPr="008E1A98" w:rsidRDefault="00B22CD4" w:rsidP="00B22CD4">
      <w:pPr>
        <w:pStyle w:val="NoSpacing"/>
        <w:rPr>
          <w:rFonts w:ascii="Times New Roman" w:hAnsi="Times New Roman"/>
          <w:sz w:val="24"/>
          <w:szCs w:val="24"/>
        </w:rPr>
      </w:pPr>
    </w:p>
    <w:p w14:paraId="57F96678" w14:textId="77777777" w:rsidR="00B22CD4" w:rsidRPr="008E1A98" w:rsidRDefault="00B22CD4" w:rsidP="00B22CD4">
      <w:pPr>
        <w:pStyle w:val="NoSpacing"/>
        <w:ind w:left="720"/>
        <w:rPr>
          <w:rFonts w:ascii="Times New Roman" w:hAnsi="Times New Roman"/>
          <w:sz w:val="24"/>
          <w:szCs w:val="24"/>
        </w:rPr>
      </w:pPr>
      <w:r w:rsidRPr="008E1A98">
        <w:rPr>
          <w:rFonts w:ascii="Times New Roman" w:hAnsi="Times New Roman"/>
          <w:sz w:val="24"/>
          <w:szCs w:val="24"/>
        </w:rPr>
        <w:t xml:space="preserve">“GSK asked the FDA for permission to modify the paroxetine label as plaintiff argues was needed. The FDA said no, repeatedly. Federal law thus preempted plaintiff’s Illinois‐law claim that GSK should have </w:t>
      </w:r>
      <w:r w:rsidRPr="008E1A98">
        <w:rPr>
          <w:rFonts w:ascii="Times New Roman" w:hAnsi="Times New Roman"/>
          <w:sz w:val="24"/>
          <w:szCs w:val="24"/>
        </w:rPr>
        <w:lastRenderedPageBreak/>
        <w:t xml:space="preserve">warned of a risk of adult suicidality on the paroxetine label in 2010. GSK added a similar warning in 2006, and the FDA ordered that GSK remove that label and replace it with a class‐wide SSRI warning in 2007.” </w:t>
      </w:r>
    </w:p>
    <w:bookmarkEnd w:id="60"/>
    <w:p w14:paraId="035FC5ED" w14:textId="77777777" w:rsidR="00B22CD4" w:rsidRDefault="00B22CD4" w:rsidP="00F326E5">
      <w:pPr>
        <w:pStyle w:val="NoSpacing"/>
        <w:rPr>
          <w:rFonts w:ascii="Times New Roman" w:hAnsi="Times New Roman"/>
          <w:sz w:val="24"/>
          <w:szCs w:val="24"/>
        </w:rPr>
      </w:pPr>
    </w:p>
    <w:p w14:paraId="5EE36E18" w14:textId="77777777" w:rsidR="00B22CD4" w:rsidRDefault="00B22CD4" w:rsidP="00B22CD4">
      <w:pPr>
        <w:pStyle w:val="NoSpacing"/>
        <w:rPr>
          <w:rFonts w:ascii="Times New Roman" w:hAnsi="Times New Roman"/>
          <w:b/>
          <w:sz w:val="24"/>
          <w:szCs w:val="24"/>
        </w:rPr>
      </w:pPr>
      <w:bookmarkStart w:id="61" w:name="_Hlk10126496"/>
      <w:r w:rsidRPr="00F26738">
        <w:rPr>
          <w:rFonts w:ascii="Times New Roman" w:hAnsi="Times New Roman"/>
          <w:b/>
          <w:sz w:val="24"/>
          <w:szCs w:val="24"/>
        </w:rPr>
        <w:t>Legal Lessons Learned:</w:t>
      </w:r>
      <w:r>
        <w:rPr>
          <w:rFonts w:ascii="Times New Roman" w:hAnsi="Times New Roman"/>
          <w:b/>
          <w:sz w:val="24"/>
          <w:szCs w:val="24"/>
        </w:rPr>
        <w:t xml:space="preserve">  FDs should have a drug-free workplace policy that requires disclosure of anti-depressant medication that could affect performance of their duties. </w:t>
      </w:r>
    </w:p>
    <w:p w14:paraId="560388DA" w14:textId="77777777" w:rsidR="00B22CD4" w:rsidRDefault="00B22CD4" w:rsidP="00B22CD4">
      <w:pPr>
        <w:pStyle w:val="NoSpacing"/>
        <w:rPr>
          <w:rFonts w:ascii="Times New Roman" w:hAnsi="Times New Roman"/>
          <w:b/>
          <w:sz w:val="24"/>
          <w:szCs w:val="24"/>
        </w:rPr>
      </w:pPr>
    </w:p>
    <w:p w14:paraId="60A5EFE1" w14:textId="77777777" w:rsidR="00B22CD4" w:rsidRPr="0082157F" w:rsidRDefault="00B22CD4" w:rsidP="00B22CD4">
      <w:pPr>
        <w:pStyle w:val="NoSpacing"/>
        <w:ind w:firstLine="720"/>
        <w:rPr>
          <w:rFonts w:ascii="Times New Roman" w:hAnsi="Times New Roman"/>
          <w:sz w:val="24"/>
          <w:szCs w:val="24"/>
        </w:rPr>
      </w:pPr>
      <w:r w:rsidRPr="0082157F">
        <w:rPr>
          <w:rFonts w:ascii="Times New Roman" w:hAnsi="Times New Roman"/>
          <w:sz w:val="24"/>
          <w:szCs w:val="24"/>
        </w:rPr>
        <w:t>See IAFC Position: Drug and Alcohol-Free Awareness, including:</w:t>
      </w:r>
    </w:p>
    <w:p w14:paraId="58F07F07" w14:textId="77777777" w:rsidR="00B22CD4" w:rsidRPr="0082157F" w:rsidRDefault="00B22CD4" w:rsidP="00B22CD4">
      <w:pPr>
        <w:pStyle w:val="NoSpacing"/>
        <w:rPr>
          <w:rFonts w:ascii="Times New Roman" w:hAnsi="Times New Roman"/>
          <w:b/>
          <w:sz w:val="24"/>
          <w:szCs w:val="24"/>
        </w:rPr>
      </w:pPr>
    </w:p>
    <w:p w14:paraId="1D4605CA" w14:textId="77777777" w:rsidR="00B22CD4" w:rsidRDefault="00B22CD4" w:rsidP="00B22CD4">
      <w:pPr>
        <w:pStyle w:val="NoSpacing"/>
        <w:ind w:left="720"/>
        <w:rPr>
          <w:rFonts w:ascii="Times New Roman" w:hAnsi="Times New Roman"/>
          <w:sz w:val="24"/>
          <w:szCs w:val="24"/>
        </w:rPr>
      </w:pPr>
      <w:r>
        <w:rPr>
          <w:rFonts w:ascii="Times New Roman" w:hAnsi="Times New Roman"/>
          <w:sz w:val="24"/>
          <w:szCs w:val="24"/>
        </w:rPr>
        <w:t>“</w:t>
      </w:r>
      <w:r w:rsidRPr="0082157F">
        <w:rPr>
          <w:rFonts w:ascii="Times New Roman" w:hAnsi="Times New Roman"/>
          <w:sz w:val="24"/>
          <w:szCs w:val="24"/>
        </w:rPr>
        <w:t xml:space="preserve">Any personnel using </w:t>
      </w:r>
      <w:proofErr w:type="gramStart"/>
      <w:r w:rsidRPr="0082157F">
        <w:rPr>
          <w:rFonts w:ascii="Times New Roman" w:hAnsi="Times New Roman"/>
          <w:sz w:val="24"/>
          <w:szCs w:val="24"/>
        </w:rPr>
        <w:t>over-the-counter</w:t>
      </w:r>
      <w:proofErr w:type="gramEnd"/>
      <w:r w:rsidRPr="0082157F">
        <w:rPr>
          <w:rFonts w:ascii="Times New Roman" w:hAnsi="Times New Roman"/>
          <w:sz w:val="24"/>
          <w:szCs w:val="24"/>
        </w:rPr>
        <w:t xml:space="preserve"> or prescription medications where potential side effects that may reasonably affect the performance of their duties have been identified by a healthcare provider or manufacturer’s packaging should report their use to their supervisor when they are functioning in a capacity responsible for emergency and non-emergency operations. Upon notification, supervisors should, in the case of prescription medications, direct personnel to obtain appropriate documentation from the prescribing healthcare provider attesting to the medication’s safety while performing the essential duties of the fire service position. In the case of over-the-counter medications, supervisors should contact the fire department physician or other health care provider to consult on the potential side effects. Personnel should refrain from engaging in such activities until the appropriate release is </w:t>
      </w:r>
      <w:proofErr w:type="gramStart"/>
      <w:r w:rsidRPr="0082157F">
        <w:rPr>
          <w:rFonts w:ascii="Times New Roman" w:hAnsi="Times New Roman"/>
          <w:sz w:val="24"/>
          <w:szCs w:val="24"/>
        </w:rPr>
        <w:t>obtained.</w:t>
      </w:r>
      <w:r>
        <w:rPr>
          <w:rFonts w:ascii="Times New Roman" w:hAnsi="Times New Roman"/>
          <w:sz w:val="24"/>
          <w:szCs w:val="24"/>
        </w:rPr>
        <w:t>”</w:t>
      </w:r>
      <w:proofErr w:type="gramEnd"/>
    </w:p>
    <w:p w14:paraId="2258CC7C" w14:textId="77777777" w:rsidR="00B22CD4" w:rsidRPr="0082157F" w:rsidRDefault="00B22CD4" w:rsidP="00B22CD4">
      <w:pPr>
        <w:pStyle w:val="NoSpacing"/>
        <w:ind w:left="720"/>
        <w:rPr>
          <w:rFonts w:ascii="Times New Roman" w:hAnsi="Times New Roman"/>
          <w:b/>
          <w:sz w:val="24"/>
          <w:szCs w:val="24"/>
        </w:rPr>
      </w:pPr>
      <w:hyperlink r:id="rId327" w:history="1">
        <w:r w:rsidRPr="0082157F">
          <w:rPr>
            <w:rStyle w:val="Hyperlink"/>
            <w:rFonts w:ascii="Times New Roman" w:hAnsi="Times New Roman"/>
            <w:sz w:val="24"/>
            <w:szCs w:val="24"/>
          </w:rPr>
          <w:t>https://www.iafc.org/topics-and-tools/resources/resource/iafc-position-drug-and-alcohol-free-awareness</w:t>
        </w:r>
      </w:hyperlink>
      <w:r w:rsidRPr="0082157F">
        <w:rPr>
          <w:rFonts w:ascii="Times New Roman" w:hAnsi="Times New Roman"/>
          <w:sz w:val="24"/>
          <w:szCs w:val="24"/>
        </w:rPr>
        <w:t xml:space="preserve"> </w:t>
      </w:r>
      <w:bookmarkEnd w:id="61"/>
    </w:p>
    <w:p w14:paraId="76DB7EF2" w14:textId="77777777" w:rsidR="00B22CD4" w:rsidRDefault="00B22CD4" w:rsidP="00F326E5">
      <w:pPr>
        <w:pStyle w:val="NoSpacing"/>
        <w:rPr>
          <w:rFonts w:ascii="Times New Roman" w:hAnsi="Times New Roman"/>
          <w:sz w:val="24"/>
          <w:szCs w:val="24"/>
        </w:rPr>
      </w:pPr>
    </w:p>
    <w:p w14:paraId="2B489FC9" w14:textId="1C85579B" w:rsidR="00B22CD4" w:rsidRDefault="00B22CD4" w:rsidP="00F326E5">
      <w:pPr>
        <w:pStyle w:val="NoSpacing"/>
        <w:rPr>
          <w:rFonts w:ascii="Times New Roman" w:hAnsi="Times New Roman"/>
          <w:sz w:val="24"/>
          <w:szCs w:val="24"/>
        </w:rPr>
      </w:pPr>
    </w:p>
    <w:p w14:paraId="49F22C3D" w14:textId="6A980B75" w:rsidR="00F4486C" w:rsidRDefault="00F4486C" w:rsidP="00F326E5">
      <w:pPr>
        <w:pStyle w:val="NoSpacing"/>
        <w:rPr>
          <w:rFonts w:ascii="Times New Roman" w:hAnsi="Times New Roman"/>
          <w:sz w:val="24"/>
          <w:szCs w:val="24"/>
        </w:rPr>
      </w:pPr>
    </w:p>
    <w:p w14:paraId="65FC6589" w14:textId="77777777" w:rsidR="00F4486C" w:rsidRDefault="00F4486C" w:rsidP="00F326E5">
      <w:pPr>
        <w:pStyle w:val="NoSpacing"/>
        <w:rPr>
          <w:rFonts w:ascii="Times New Roman" w:hAnsi="Times New Roman"/>
          <w:sz w:val="24"/>
          <w:szCs w:val="24"/>
        </w:rPr>
      </w:pPr>
    </w:p>
    <w:p w14:paraId="2575213C" w14:textId="58EC5B0D"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7</w:t>
      </w:r>
    </w:p>
    <w:p w14:paraId="071AA3F8" w14:textId="77777777" w:rsidR="00B22CD4" w:rsidRDefault="00B22CD4" w:rsidP="00F326E5">
      <w:pPr>
        <w:pStyle w:val="NoSpacing"/>
        <w:rPr>
          <w:rFonts w:ascii="Times New Roman" w:hAnsi="Times New Roman"/>
          <w:sz w:val="24"/>
          <w:szCs w:val="24"/>
        </w:rPr>
      </w:pPr>
    </w:p>
    <w:p w14:paraId="413B3DE8" w14:textId="588EF400" w:rsidR="00F326E5" w:rsidRDefault="00F326E5" w:rsidP="00F326E5">
      <w:pPr>
        <w:pStyle w:val="NoSpacing"/>
        <w:rPr>
          <w:rFonts w:ascii="Arial Black" w:hAnsi="Arial Black"/>
          <w:sz w:val="28"/>
          <w:szCs w:val="28"/>
        </w:rPr>
      </w:pPr>
      <w:r w:rsidRPr="00CE4550">
        <w:rPr>
          <w:rFonts w:ascii="Arial Black" w:hAnsi="Arial Black"/>
          <w:sz w:val="28"/>
          <w:szCs w:val="28"/>
        </w:rPr>
        <w:t xml:space="preserve">IL: </w:t>
      </w:r>
      <w:r>
        <w:rPr>
          <w:rFonts w:ascii="Arial Black" w:hAnsi="Arial Black"/>
          <w:sz w:val="28"/>
          <w:szCs w:val="28"/>
        </w:rPr>
        <w:t>BILLING FOR FD SERVICES – ORDINANCE LAWFUL TO BILL NON-RESIDENTS</w:t>
      </w:r>
    </w:p>
    <w:p w14:paraId="0B0A7BEE" w14:textId="77777777" w:rsidR="006C7F17"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March 28, 2019, in </w:t>
      </w:r>
      <w:r w:rsidRPr="00015208">
        <w:rPr>
          <w:rFonts w:ascii="Times New Roman" w:hAnsi="Times New Roman"/>
          <w:sz w:val="24"/>
          <w:szCs w:val="24"/>
          <w:u w:val="single"/>
        </w:rPr>
        <w:t>The City of Effingham, Illinois v. Diss Truck &amp; Repair, LLC</w:t>
      </w:r>
      <w:r w:rsidRPr="00015208">
        <w:rPr>
          <w:rFonts w:ascii="Times New Roman" w:hAnsi="Times New Roman"/>
          <w:sz w:val="24"/>
          <w:szCs w:val="24"/>
        </w:rPr>
        <w:t xml:space="preserve">, the Appellate Court of Illinois - Fifth District, held (3 to 0), that the Fire Department may bill for these services for a non-resident. </w:t>
      </w:r>
    </w:p>
    <w:p w14:paraId="54BA1A75" w14:textId="77777777" w:rsidR="006C7F17" w:rsidRDefault="006C7F17" w:rsidP="00F326E5">
      <w:pPr>
        <w:pStyle w:val="NoSpacing"/>
        <w:rPr>
          <w:rFonts w:ascii="Times New Roman" w:hAnsi="Times New Roman"/>
          <w:sz w:val="24"/>
          <w:szCs w:val="24"/>
        </w:rPr>
      </w:pPr>
    </w:p>
    <w:p w14:paraId="18C2C433" w14:textId="2C41006D" w:rsidR="00F326E5" w:rsidRPr="00015208" w:rsidRDefault="00F326E5" w:rsidP="006C7F17">
      <w:pPr>
        <w:pStyle w:val="NoSpacing"/>
        <w:ind w:left="720"/>
        <w:rPr>
          <w:rFonts w:ascii="Times New Roman" w:hAnsi="Times New Roman"/>
          <w:b/>
          <w:sz w:val="24"/>
          <w:szCs w:val="24"/>
        </w:rPr>
      </w:pPr>
      <w:r w:rsidRPr="00015208">
        <w:rPr>
          <w:rFonts w:ascii="Times New Roman" w:hAnsi="Times New Roman"/>
          <w:sz w:val="24"/>
          <w:szCs w:val="24"/>
        </w:rPr>
        <w:t xml:space="preserve">“After reviewing the legislative history, both before and after the enactment of the statute, we conclude that the legislature’s intent in allowing a municipality to seek reimbursement for firefighting services provided to nonresidents was to eliminate the taxpayer’s burden for such services; the intent was to allocate the cost of the services to nonresidents so that the citizens of the municipality were not forced to bear the cost of services performed on behalf of those not paying taxes to the municipality.” </w:t>
      </w:r>
      <w:hyperlink r:id="rId328" w:history="1">
        <w:r w:rsidRPr="00015208">
          <w:rPr>
            <w:rStyle w:val="Hyperlink"/>
            <w:rFonts w:ascii="Times New Roman" w:hAnsi="Times New Roman"/>
            <w:sz w:val="24"/>
            <w:szCs w:val="24"/>
          </w:rPr>
          <w:t>https://cases.justia.com/illinois/court-of-appeals-fifth-appellate-district/2019-5-18-0064.pdf?ts=1553818548</w:t>
        </w:r>
      </w:hyperlink>
      <w:r w:rsidRPr="00015208">
        <w:rPr>
          <w:rFonts w:ascii="Times New Roman" w:hAnsi="Times New Roman"/>
          <w:b/>
          <w:sz w:val="24"/>
          <w:szCs w:val="24"/>
        </w:rPr>
        <w:t xml:space="preserve"> </w:t>
      </w:r>
    </w:p>
    <w:p w14:paraId="4895AA6D" w14:textId="77777777" w:rsidR="006C7F17" w:rsidRDefault="006C7F17" w:rsidP="00F326E5">
      <w:pPr>
        <w:pStyle w:val="NoSpacing"/>
        <w:rPr>
          <w:rFonts w:ascii="Times New Roman" w:hAnsi="Times New Roman"/>
          <w:b/>
          <w:sz w:val="24"/>
          <w:szCs w:val="24"/>
        </w:rPr>
      </w:pPr>
      <w:bookmarkStart w:id="62" w:name="_Hlk6656862"/>
    </w:p>
    <w:p w14:paraId="02EDA6FB" w14:textId="0295D193"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Soft billing of residents deemed lawful. </w:t>
      </w:r>
    </w:p>
    <w:bookmarkEnd w:id="62"/>
    <w:p w14:paraId="37411F91" w14:textId="77777777" w:rsidR="00D07E6E" w:rsidRPr="00015208" w:rsidRDefault="00D07E6E" w:rsidP="00F326E5">
      <w:pPr>
        <w:pStyle w:val="NoSpacing"/>
        <w:rPr>
          <w:rFonts w:ascii="Times New Roman" w:hAnsi="Times New Roman"/>
          <w:bCs/>
          <w:sz w:val="24"/>
          <w:szCs w:val="24"/>
        </w:rPr>
      </w:pPr>
    </w:p>
    <w:p w14:paraId="4650D12A" w14:textId="3D7B7B5F" w:rsidR="00791CA3" w:rsidRDefault="00791CA3" w:rsidP="00791CA3">
      <w:pPr>
        <w:rPr>
          <w:rFonts w:ascii="Arial Black" w:hAnsi="Arial Black"/>
          <w:b/>
          <w:sz w:val="24"/>
          <w:szCs w:val="24"/>
        </w:rPr>
      </w:pPr>
    </w:p>
    <w:p w14:paraId="4538AD60" w14:textId="77777777" w:rsidR="006C7F17" w:rsidRDefault="006C7F17" w:rsidP="00791CA3">
      <w:pPr>
        <w:rPr>
          <w:rFonts w:ascii="Arial Black" w:hAnsi="Arial Black"/>
          <w:b/>
          <w:sz w:val="24"/>
          <w:szCs w:val="24"/>
        </w:rPr>
      </w:pPr>
    </w:p>
    <w:p w14:paraId="1333F74C" w14:textId="151B39C1"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6</w:t>
      </w:r>
    </w:p>
    <w:p w14:paraId="69863D94" w14:textId="7F3377FE" w:rsidR="00B22CD4" w:rsidRDefault="00B22CD4" w:rsidP="00B22CD4">
      <w:pPr>
        <w:pStyle w:val="NoSpacing"/>
        <w:rPr>
          <w:rFonts w:ascii="Arial Black" w:hAnsi="Arial Black"/>
          <w:sz w:val="28"/>
          <w:szCs w:val="28"/>
        </w:rPr>
      </w:pPr>
      <w:proofErr w:type="spellStart"/>
      <w:r>
        <w:rPr>
          <w:rFonts w:ascii="Arial Black" w:hAnsi="Arial Black"/>
          <w:sz w:val="28"/>
          <w:szCs w:val="28"/>
        </w:rPr>
        <w:lastRenderedPageBreak/>
        <w:t>lA</w:t>
      </w:r>
      <w:proofErr w:type="spellEnd"/>
      <w:r>
        <w:rPr>
          <w:rFonts w:ascii="Arial Black" w:hAnsi="Arial Black"/>
          <w:sz w:val="28"/>
          <w:szCs w:val="28"/>
        </w:rPr>
        <w:t xml:space="preserve">:  STATE SUP. CT. UPHOLDS STATUTE - NO PAYROLL DEDUCT. OF UNION DUES – LIMITED COLLECTIVE BARG. LESS 30% PUB SAFETY </w:t>
      </w:r>
    </w:p>
    <w:p w14:paraId="24BDA04F" w14:textId="77777777" w:rsidR="00B22CD4" w:rsidRPr="00AD3B98" w:rsidRDefault="00B22CD4" w:rsidP="00B22CD4">
      <w:pPr>
        <w:pStyle w:val="NoSpacing"/>
        <w:rPr>
          <w:rFonts w:ascii="Times New Roman" w:hAnsi="Times New Roman"/>
          <w:sz w:val="24"/>
          <w:szCs w:val="24"/>
        </w:rPr>
      </w:pPr>
      <w:r w:rsidRPr="00AD3B98">
        <w:rPr>
          <w:rFonts w:ascii="Times New Roman" w:hAnsi="Times New Roman"/>
          <w:sz w:val="24"/>
          <w:szCs w:val="24"/>
        </w:rPr>
        <w:t xml:space="preserve">On May 17, 2019, in </w:t>
      </w:r>
      <w:r w:rsidRPr="00AD3B98">
        <w:rPr>
          <w:rFonts w:ascii="Times New Roman" w:hAnsi="Times New Roman"/>
          <w:sz w:val="24"/>
          <w:szCs w:val="24"/>
          <w:u w:val="single"/>
        </w:rPr>
        <w:t xml:space="preserve">AFSCME Iowa Council 61, et al. v. State of Iowa and Iowa </w:t>
      </w:r>
      <w:proofErr w:type="gramStart"/>
      <w:r w:rsidRPr="00AD3B98">
        <w:rPr>
          <w:rFonts w:ascii="Times New Roman" w:hAnsi="Times New Roman"/>
          <w:sz w:val="24"/>
          <w:szCs w:val="24"/>
          <w:u w:val="single"/>
        </w:rPr>
        <w:t>Public Employment</w:t>
      </w:r>
      <w:proofErr w:type="gramEnd"/>
      <w:r w:rsidRPr="00AD3B98">
        <w:rPr>
          <w:rFonts w:ascii="Times New Roman" w:hAnsi="Times New Roman"/>
          <w:sz w:val="24"/>
          <w:szCs w:val="24"/>
          <w:u w:val="single"/>
        </w:rPr>
        <w:t xml:space="preserve"> Relations Board</w:t>
      </w:r>
      <w:r w:rsidRPr="00AD3B98">
        <w:rPr>
          <w:rFonts w:ascii="Times New Roman" w:hAnsi="Times New Roman"/>
          <w:sz w:val="24"/>
          <w:szCs w:val="24"/>
        </w:rPr>
        <w:t>, the Iowa Supreme Court held (4 to 3)</w:t>
      </w:r>
      <w:r>
        <w:rPr>
          <w:rFonts w:ascii="Times New Roman" w:hAnsi="Times New Roman"/>
          <w:sz w:val="24"/>
          <w:szCs w:val="24"/>
        </w:rPr>
        <w:t xml:space="preserve"> </w:t>
      </w:r>
      <w:r w:rsidRPr="00AD3B98">
        <w:rPr>
          <w:rFonts w:ascii="Times New Roman" w:hAnsi="Times New Roman"/>
          <w:sz w:val="24"/>
          <w:szCs w:val="24"/>
        </w:rPr>
        <w:t>that the 2017 statute was constitutional.</w:t>
      </w:r>
    </w:p>
    <w:p w14:paraId="19BBAA2D" w14:textId="77777777" w:rsidR="00B22CD4" w:rsidRPr="00AD3B98" w:rsidRDefault="00B22CD4" w:rsidP="00B22CD4">
      <w:pPr>
        <w:pStyle w:val="NoSpacing"/>
        <w:rPr>
          <w:rFonts w:ascii="Times New Roman" w:hAnsi="Times New Roman"/>
        </w:rPr>
      </w:pPr>
    </w:p>
    <w:p w14:paraId="4F7C5205" w14:textId="77777777" w:rsidR="00B22CD4" w:rsidRPr="006C2CBF" w:rsidRDefault="00B22CD4" w:rsidP="00B22CD4">
      <w:pPr>
        <w:pStyle w:val="NoSpacing"/>
        <w:ind w:left="720"/>
        <w:rPr>
          <w:rFonts w:ascii="Times New Roman" w:hAnsi="Times New Roman"/>
          <w:b/>
          <w:sz w:val="24"/>
          <w:szCs w:val="24"/>
        </w:rPr>
      </w:pPr>
      <w:r w:rsidRPr="006C2CBF">
        <w:rPr>
          <w:rFonts w:ascii="Times New Roman" w:hAnsi="Times New Roman"/>
          <w:sz w:val="24"/>
          <w:szCs w:val="24"/>
        </w:rPr>
        <w:t xml:space="preserve">“Our role is to decide whether constitutional lines were crossed, not to sit as a </w:t>
      </w:r>
      <w:proofErr w:type="gramStart"/>
      <w:r w:rsidRPr="006C2CBF">
        <w:rPr>
          <w:rFonts w:ascii="Times New Roman" w:hAnsi="Times New Roman"/>
          <w:sz w:val="24"/>
          <w:szCs w:val="24"/>
        </w:rPr>
        <w:t>super</w:t>
      </w:r>
      <w:r>
        <w:rPr>
          <w:rFonts w:ascii="Times New Roman" w:hAnsi="Times New Roman"/>
          <w:sz w:val="24"/>
          <w:szCs w:val="24"/>
        </w:rPr>
        <w:t xml:space="preserve"> </w:t>
      </w:r>
      <w:r w:rsidRPr="006C2CBF">
        <w:rPr>
          <w:rFonts w:ascii="Times New Roman" w:hAnsi="Times New Roman"/>
          <w:sz w:val="24"/>
          <w:szCs w:val="24"/>
        </w:rPr>
        <w:t>legislature rethinking policy choices of the elected branches</w:t>
      </w:r>
      <w:proofErr w:type="gramEnd"/>
      <w:r w:rsidRPr="006C2CBF">
        <w:rPr>
          <w:rFonts w:ascii="Times New Roman" w:hAnsi="Times New Roman"/>
          <w:sz w:val="24"/>
          <w:szCs w:val="24"/>
        </w:rPr>
        <w:t>. We conclude the 2017 amendments withstand the constitutional challenges. The plaintiffs concede there is no constitutional right to public-sector collective bargaining or payroll deductions. The parties agree the equal protection claims are reviewed under the rational basis test. The legislature could reasonably conclude that the goal of keeping labor peace with unions comprised of at least thirty percent public safety employees, and the greater risks faced by emergency first responders, justified the classification. We hold the legislative classifications are not so overinclusive or underinclusive as to be unconstitutional under our highly deferential standard of review. We further hold the amendments do not violate constitutional rights of freedom of association. Public employees remain free to belong to the same unions. Accordingly, we affirm the district court's summary judgment.</w:t>
      </w:r>
      <w:r>
        <w:rPr>
          <w:rFonts w:ascii="Times New Roman" w:hAnsi="Times New Roman"/>
          <w:sz w:val="24"/>
          <w:szCs w:val="24"/>
        </w:rPr>
        <w:t>”</w:t>
      </w:r>
    </w:p>
    <w:p w14:paraId="6F636334" w14:textId="77777777" w:rsidR="00B22CD4" w:rsidRDefault="00B22CD4" w:rsidP="00B22CD4">
      <w:pPr>
        <w:pStyle w:val="NoSpacing"/>
        <w:rPr>
          <w:rFonts w:ascii="Times New Roman" w:hAnsi="Times New Roman"/>
          <w:sz w:val="24"/>
          <w:szCs w:val="24"/>
        </w:rPr>
      </w:pPr>
      <w:r>
        <w:rPr>
          <w:rFonts w:ascii="Times New Roman" w:hAnsi="Times New Roman"/>
          <w:sz w:val="24"/>
          <w:szCs w:val="24"/>
        </w:rPr>
        <w:tab/>
      </w:r>
      <w:hyperlink r:id="rId329" w:history="1">
        <w:r w:rsidRPr="001602A2">
          <w:rPr>
            <w:rStyle w:val="Hyperlink"/>
            <w:rFonts w:ascii="Times New Roman" w:hAnsi="Times New Roman"/>
            <w:sz w:val="24"/>
            <w:szCs w:val="24"/>
          </w:rPr>
          <w:t>https://www.leagle.com/decision/iniaco20190517282</w:t>
        </w:r>
      </w:hyperlink>
      <w:r>
        <w:rPr>
          <w:rFonts w:ascii="Times New Roman" w:hAnsi="Times New Roman"/>
          <w:sz w:val="24"/>
          <w:szCs w:val="24"/>
        </w:rPr>
        <w:t xml:space="preserve"> </w:t>
      </w:r>
    </w:p>
    <w:p w14:paraId="1862C2B6" w14:textId="334E9A67" w:rsidR="00B22CD4" w:rsidRDefault="00B22CD4" w:rsidP="00ED63B1">
      <w:pPr>
        <w:pStyle w:val="NoSpacing"/>
        <w:rPr>
          <w:sz w:val="24"/>
          <w:szCs w:val="24"/>
        </w:rPr>
      </w:pPr>
    </w:p>
    <w:p w14:paraId="114BC2BA" w14:textId="1B89CA5E" w:rsidR="00B22CD4" w:rsidRDefault="00B22CD4" w:rsidP="00B22CD4">
      <w:pPr>
        <w:pStyle w:val="NoSpacing"/>
        <w:rPr>
          <w:rFonts w:ascii="Times New Roman" w:hAnsi="Times New Roman"/>
          <w:b/>
          <w:sz w:val="24"/>
          <w:szCs w:val="24"/>
        </w:rPr>
      </w:pPr>
      <w:bookmarkStart w:id="63" w:name="_Hlk10126588"/>
      <w:r w:rsidRPr="00A14F0A">
        <w:rPr>
          <w:rFonts w:ascii="Times New Roman" w:hAnsi="Times New Roman"/>
          <w:b/>
          <w:sz w:val="24"/>
          <w:szCs w:val="24"/>
        </w:rPr>
        <w:t xml:space="preserve">Legal Lessons Learned: </w:t>
      </w:r>
      <w:r>
        <w:rPr>
          <w:rFonts w:ascii="Times New Roman" w:hAnsi="Times New Roman"/>
          <w:b/>
          <w:sz w:val="24"/>
          <w:szCs w:val="24"/>
        </w:rPr>
        <w:t xml:space="preserve">Collective bargaining for fire &amp; police has been addressed by many state legislatures.  </w:t>
      </w:r>
      <w:r w:rsidRPr="00A265CA">
        <w:rPr>
          <w:rFonts w:ascii="Times New Roman" w:hAnsi="Times New Roman"/>
          <w:b/>
          <w:sz w:val="24"/>
          <w:szCs w:val="24"/>
        </w:rPr>
        <w:t xml:space="preserve">The U.S. Supreme Court’s </w:t>
      </w:r>
      <w:r w:rsidRPr="00A265CA">
        <w:rPr>
          <w:rFonts w:ascii="Times New Roman" w:hAnsi="Times New Roman"/>
          <w:b/>
          <w:sz w:val="24"/>
          <w:szCs w:val="24"/>
          <w:u w:val="single"/>
        </w:rPr>
        <w:t>Janis</w:t>
      </w:r>
      <w:r w:rsidRPr="00A265CA">
        <w:rPr>
          <w:rFonts w:ascii="Times New Roman" w:hAnsi="Times New Roman"/>
          <w:b/>
          <w:sz w:val="24"/>
          <w:szCs w:val="24"/>
        </w:rPr>
        <w:t xml:space="preserve"> decision on June 27, 2018,</w:t>
      </w:r>
      <w:r>
        <w:rPr>
          <w:rFonts w:ascii="Times New Roman" w:hAnsi="Times New Roman"/>
          <w:b/>
          <w:sz w:val="24"/>
          <w:szCs w:val="24"/>
        </w:rPr>
        <w:t xml:space="preserve">  “</w:t>
      </w:r>
      <w:r w:rsidRPr="00A265CA">
        <w:rPr>
          <w:rFonts w:ascii="Times New Roman" w:hAnsi="Times New Roman"/>
          <w:b/>
          <w:sz w:val="24"/>
          <w:szCs w:val="24"/>
        </w:rPr>
        <w:t>States and public-sector unions may no longer extract agency fees from nonconsenting employees</w:t>
      </w:r>
      <w:r>
        <w:rPr>
          <w:rFonts w:ascii="Times New Roman" w:hAnsi="Times New Roman"/>
          <w:b/>
          <w:sz w:val="24"/>
          <w:szCs w:val="24"/>
        </w:rPr>
        <w:t xml:space="preserve">” - </w:t>
      </w:r>
      <w:r w:rsidRPr="00A265CA">
        <w:rPr>
          <w:rFonts w:ascii="Times New Roman" w:hAnsi="Times New Roman"/>
          <w:b/>
          <w:sz w:val="24"/>
          <w:szCs w:val="24"/>
        </w:rPr>
        <w:t>may lead other states to also limit employer deduction of union dues.</w:t>
      </w:r>
      <w:r>
        <w:rPr>
          <w:rFonts w:ascii="Times New Roman" w:hAnsi="Times New Roman"/>
          <w:b/>
          <w:sz w:val="24"/>
          <w:szCs w:val="24"/>
        </w:rPr>
        <w:t xml:space="preserve"> </w:t>
      </w:r>
      <w:bookmarkStart w:id="64" w:name="_Hlk39821565"/>
      <w:r w:rsidR="00F2621E">
        <w:fldChar w:fldCharType="begin"/>
      </w:r>
      <w:r w:rsidR="00F2621E">
        <w:instrText xml:space="preserve"> HYPERLINK "https://www.supremecourt.gov/opinions/17pdf/16-1466_2b3j.pdf" </w:instrText>
      </w:r>
      <w:r w:rsidR="00F2621E">
        <w:fldChar w:fldCharType="separate"/>
      </w:r>
      <w:r w:rsidRPr="001602A2">
        <w:rPr>
          <w:rStyle w:val="Hyperlink"/>
          <w:rFonts w:ascii="Times New Roman" w:hAnsi="Times New Roman"/>
          <w:b/>
          <w:sz w:val="24"/>
          <w:szCs w:val="24"/>
        </w:rPr>
        <w:t>https://www.supremecourt.gov/opinions/17pdf/16-1466_2b3j.pdf</w:t>
      </w:r>
      <w:r w:rsidR="00F2621E">
        <w:rPr>
          <w:rStyle w:val="Hyperlink"/>
          <w:rFonts w:ascii="Times New Roman" w:hAnsi="Times New Roman"/>
          <w:b/>
          <w:sz w:val="24"/>
          <w:szCs w:val="24"/>
        </w:rPr>
        <w:fldChar w:fldCharType="end"/>
      </w:r>
      <w:r>
        <w:rPr>
          <w:rFonts w:ascii="Times New Roman" w:hAnsi="Times New Roman"/>
          <w:b/>
          <w:sz w:val="24"/>
          <w:szCs w:val="24"/>
        </w:rPr>
        <w:t xml:space="preserve"> </w:t>
      </w:r>
      <w:bookmarkEnd w:id="64"/>
    </w:p>
    <w:p w14:paraId="227A24A7" w14:textId="77777777" w:rsidR="00B22CD4" w:rsidRDefault="00B22CD4" w:rsidP="00B22CD4">
      <w:pPr>
        <w:pStyle w:val="NoSpacing"/>
        <w:ind w:firstLine="720"/>
        <w:rPr>
          <w:rFonts w:ascii="Times New Roman" w:hAnsi="Times New Roman"/>
          <w:sz w:val="24"/>
          <w:szCs w:val="24"/>
        </w:rPr>
      </w:pPr>
    </w:p>
    <w:p w14:paraId="42DCCE4B" w14:textId="77777777" w:rsidR="00B22CD4" w:rsidRDefault="00B22CD4" w:rsidP="00B22CD4">
      <w:pPr>
        <w:pStyle w:val="NoSpacing"/>
        <w:ind w:firstLine="720"/>
        <w:rPr>
          <w:rFonts w:ascii="Times New Roman" w:hAnsi="Times New Roman"/>
          <w:sz w:val="24"/>
          <w:szCs w:val="24"/>
        </w:rPr>
      </w:pPr>
      <w:r>
        <w:rPr>
          <w:rFonts w:ascii="Times New Roman" w:hAnsi="Times New Roman"/>
          <w:sz w:val="24"/>
          <w:szCs w:val="24"/>
        </w:rPr>
        <w:t xml:space="preserve">See footnote 4 of the Majority’s decision: </w:t>
      </w:r>
    </w:p>
    <w:p w14:paraId="2BE2F2DB" w14:textId="77777777" w:rsidR="00B22CD4" w:rsidRPr="00A14F0A" w:rsidRDefault="00B22CD4" w:rsidP="00B22CD4">
      <w:pPr>
        <w:spacing w:after="0" w:line="240" w:lineRule="auto"/>
        <w:ind w:left="1440"/>
        <w:rPr>
          <w:rFonts w:ascii="Times New Roman" w:eastAsia="Times New Roman" w:hAnsi="Times New Roman"/>
          <w:sz w:val="24"/>
          <w:szCs w:val="24"/>
        </w:rPr>
      </w:pPr>
      <w:r w:rsidRPr="00A14F0A">
        <w:rPr>
          <w:rFonts w:ascii="Times New Roman" w:eastAsia="Times New Roman" w:hAnsi="Times New Roman"/>
          <w:sz w:val="24"/>
          <w:szCs w:val="24"/>
        </w:rPr>
        <w:t xml:space="preserve">As of 2018, twenty-eight states require collective bargaining. Eric J. Brunner &amp; Andrew Ju, </w:t>
      </w:r>
      <w:r w:rsidRPr="00A14F0A">
        <w:rPr>
          <w:rFonts w:ascii="Times New Roman" w:eastAsia="Times New Roman" w:hAnsi="Times New Roman"/>
          <w:i/>
          <w:iCs/>
          <w:sz w:val="24"/>
          <w:szCs w:val="24"/>
        </w:rPr>
        <w:t>State Collective Bargaining Laws and Public-Sector Pay,</w:t>
      </w:r>
      <w:r w:rsidRPr="00A14F0A">
        <w:rPr>
          <w:rFonts w:ascii="Times New Roman" w:eastAsia="Times New Roman" w:hAnsi="Times New Roman"/>
          <w:sz w:val="24"/>
          <w:szCs w:val="24"/>
        </w:rPr>
        <w:t xml:space="preserve"> 72 ILR Rev. 480, 487 (2019) [hereinafter Brunner &amp; Ju]. Fifteen states allow state employers to decide </w:t>
      </w:r>
      <w:proofErr w:type="gramStart"/>
      <w:r w:rsidRPr="00A14F0A">
        <w:rPr>
          <w:rFonts w:ascii="Times New Roman" w:eastAsia="Times New Roman" w:hAnsi="Times New Roman"/>
          <w:sz w:val="24"/>
          <w:szCs w:val="24"/>
        </w:rPr>
        <w:t>whether or not</w:t>
      </w:r>
      <w:proofErr w:type="gramEnd"/>
      <w:r w:rsidRPr="00A14F0A">
        <w:rPr>
          <w:rFonts w:ascii="Times New Roman" w:eastAsia="Times New Roman" w:hAnsi="Times New Roman"/>
          <w:sz w:val="24"/>
          <w:szCs w:val="24"/>
        </w:rPr>
        <w:t xml:space="preserve"> to collectively bargain. </w:t>
      </w:r>
      <w:r w:rsidRPr="00A14F0A">
        <w:rPr>
          <w:rFonts w:ascii="Times New Roman" w:eastAsia="Times New Roman" w:hAnsi="Times New Roman"/>
          <w:i/>
          <w:iCs/>
          <w:sz w:val="24"/>
          <w:szCs w:val="24"/>
        </w:rPr>
        <w:t>Id.</w:t>
      </w:r>
      <w:r w:rsidRPr="00A14F0A">
        <w:rPr>
          <w:rFonts w:ascii="Times New Roman" w:eastAsia="Times New Roman" w:hAnsi="Times New Roman"/>
          <w:sz w:val="24"/>
          <w:szCs w:val="24"/>
        </w:rPr>
        <w:t xml:space="preserve"> The range of topics public employees </w:t>
      </w:r>
      <w:proofErr w:type="gramStart"/>
      <w:r w:rsidRPr="00A14F0A">
        <w:rPr>
          <w:rFonts w:ascii="Times New Roman" w:eastAsia="Times New Roman" w:hAnsi="Times New Roman"/>
          <w:sz w:val="24"/>
          <w:szCs w:val="24"/>
        </w:rPr>
        <w:t>are able to</w:t>
      </w:r>
      <w:proofErr w:type="gramEnd"/>
      <w:r w:rsidRPr="00A14F0A">
        <w:rPr>
          <w:rFonts w:ascii="Times New Roman" w:eastAsia="Times New Roman" w:hAnsi="Times New Roman"/>
          <w:sz w:val="24"/>
          <w:szCs w:val="24"/>
        </w:rPr>
        <w:t xml:space="preserve"> bargain over varies from state to state, as does the employees' ability to compel arbitration in the event of an impasse. Raskin-Ortiz &amp; Martin at 4-10. Of the states that require or permit collective bargaining, Alabama, Delaware, Idaho, Kentucky, Oklahoma, Rhode Island, and Wyoming have separate bargaining rights for police officers and/or firefighters. </w:t>
      </w:r>
      <w:r w:rsidRPr="00A14F0A">
        <w:rPr>
          <w:rFonts w:ascii="Times New Roman" w:eastAsia="Times New Roman" w:hAnsi="Times New Roman"/>
          <w:i/>
          <w:iCs/>
          <w:sz w:val="24"/>
          <w:szCs w:val="24"/>
        </w:rPr>
        <w:t>Id.</w:t>
      </w:r>
      <w:r w:rsidRPr="00A14F0A">
        <w:rPr>
          <w:rFonts w:ascii="Times New Roman" w:eastAsia="Times New Roman" w:hAnsi="Times New Roman"/>
          <w:sz w:val="24"/>
          <w:szCs w:val="24"/>
        </w:rPr>
        <w:t xml:space="preserve"> Three states—North Carolina, South Carolina, and Virginia—prohibit collective bargaining for any public employees. Brunner &amp; Ju at 487. Arizona and Texas limit collective bargaining to police officers and firefighters, while Georgia limits collective bargaining rights to firefighters alone. </w:t>
      </w:r>
      <w:r w:rsidRPr="00A14F0A">
        <w:rPr>
          <w:rFonts w:ascii="Times New Roman" w:eastAsia="Times New Roman" w:hAnsi="Times New Roman"/>
          <w:i/>
          <w:iCs/>
          <w:sz w:val="24"/>
          <w:szCs w:val="24"/>
        </w:rPr>
        <w:t>Id.</w:t>
      </w:r>
    </w:p>
    <w:p w14:paraId="3C8B8CB5" w14:textId="0184A27D" w:rsidR="00B22CD4" w:rsidRPr="0082157F" w:rsidRDefault="00B22CD4" w:rsidP="00B22CD4">
      <w:pPr>
        <w:pStyle w:val="Heading2"/>
        <w:ind w:left="720"/>
        <w:rPr>
          <w:rFonts w:ascii="Times New Roman" w:hAnsi="Times New Roman"/>
          <w:b w:val="0"/>
          <w:i w:val="0"/>
          <w:sz w:val="24"/>
          <w:szCs w:val="24"/>
        </w:rPr>
      </w:pPr>
      <w:r w:rsidRPr="0082157F">
        <w:rPr>
          <w:rFonts w:ascii="Times New Roman" w:hAnsi="Times New Roman"/>
          <w:b w:val="0"/>
          <w:i w:val="0"/>
          <w:sz w:val="24"/>
          <w:szCs w:val="24"/>
        </w:rPr>
        <w:t xml:space="preserve">See also this </w:t>
      </w:r>
      <w:bookmarkStart w:id="65" w:name="_Hlk39821485"/>
      <w:r w:rsidR="00AF713A">
        <w:rPr>
          <w:rFonts w:ascii="Times New Roman" w:hAnsi="Times New Roman"/>
          <w:b w:val="0"/>
          <w:i w:val="0"/>
          <w:sz w:val="24"/>
          <w:szCs w:val="24"/>
        </w:rPr>
        <w:t xml:space="preserve">May 16, </w:t>
      </w:r>
      <w:proofErr w:type="gramStart"/>
      <w:r w:rsidR="00AF713A">
        <w:rPr>
          <w:rFonts w:ascii="Times New Roman" w:hAnsi="Times New Roman"/>
          <w:b w:val="0"/>
          <w:i w:val="0"/>
          <w:sz w:val="24"/>
          <w:szCs w:val="24"/>
        </w:rPr>
        <w:t>2019</w:t>
      </w:r>
      <w:proofErr w:type="gramEnd"/>
      <w:r w:rsidR="00AF713A">
        <w:rPr>
          <w:rFonts w:ascii="Times New Roman" w:hAnsi="Times New Roman"/>
          <w:b w:val="0"/>
          <w:i w:val="0"/>
          <w:sz w:val="24"/>
          <w:szCs w:val="24"/>
        </w:rPr>
        <w:t xml:space="preserve"> </w:t>
      </w:r>
      <w:r w:rsidRPr="0082157F">
        <w:rPr>
          <w:rFonts w:ascii="Times New Roman" w:hAnsi="Times New Roman"/>
          <w:b w:val="0"/>
          <w:i w:val="0"/>
          <w:sz w:val="24"/>
          <w:szCs w:val="24"/>
        </w:rPr>
        <w:t xml:space="preserve">article: “Union Dues Deductions – Tips for Public Employers” -  </w:t>
      </w:r>
      <w:hyperlink r:id="rId330" w:history="1">
        <w:r w:rsidRPr="005B46AA">
          <w:rPr>
            <w:rStyle w:val="Hyperlink"/>
            <w:rFonts w:ascii="Times New Roman" w:hAnsi="Times New Roman"/>
            <w:b w:val="0"/>
            <w:i w:val="0"/>
            <w:sz w:val="24"/>
            <w:szCs w:val="24"/>
          </w:rPr>
          <w:t>https://fisheldowney.com/union-dues-deductions-tips-public-employers/</w:t>
        </w:r>
      </w:hyperlink>
      <w:r w:rsidRPr="0082157F">
        <w:rPr>
          <w:rFonts w:ascii="Times New Roman" w:hAnsi="Times New Roman"/>
          <w:b w:val="0"/>
          <w:i w:val="0"/>
          <w:sz w:val="24"/>
          <w:szCs w:val="24"/>
        </w:rPr>
        <w:t xml:space="preserve"> </w:t>
      </w:r>
    </w:p>
    <w:bookmarkEnd w:id="63"/>
    <w:bookmarkEnd w:id="65"/>
    <w:p w14:paraId="77AD563B" w14:textId="413C9587" w:rsidR="00F4486C" w:rsidRDefault="00F4486C" w:rsidP="00F4486C">
      <w:pPr>
        <w:pStyle w:val="NoSpacing"/>
        <w:rPr>
          <w:rFonts w:ascii="Times New Roman" w:hAnsi="Times New Roman"/>
          <w:sz w:val="24"/>
          <w:szCs w:val="24"/>
        </w:rPr>
      </w:pPr>
    </w:p>
    <w:p w14:paraId="55B17074" w14:textId="78B94C34" w:rsidR="00791CA3" w:rsidRDefault="00791CA3" w:rsidP="00791CA3">
      <w:pPr>
        <w:rPr>
          <w:rFonts w:ascii="Arial Black" w:hAnsi="Arial Black"/>
          <w:b/>
          <w:sz w:val="24"/>
          <w:szCs w:val="24"/>
        </w:rPr>
      </w:pPr>
    </w:p>
    <w:p w14:paraId="7F6931DF" w14:textId="2D30854D"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5</w:t>
      </w:r>
    </w:p>
    <w:p w14:paraId="01F667B8" w14:textId="748F3CDD" w:rsidR="00B22CD4" w:rsidRPr="00A14F0A" w:rsidRDefault="00B22CD4" w:rsidP="00B22CD4">
      <w:pPr>
        <w:pStyle w:val="NoSpacing"/>
        <w:tabs>
          <w:tab w:val="left" w:pos="2280"/>
        </w:tabs>
        <w:rPr>
          <w:rFonts w:ascii="Arial Black" w:hAnsi="Arial Black"/>
          <w:sz w:val="28"/>
          <w:szCs w:val="28"/>
        </w:rPr>
      </w:pPr>
      <w:bookmarkStart w:id="66" w:name="_Hlk10126640"/>
      <w:r w:rsidRPr="00A14F0A">
        <w:rPr>
          <w:rFonts w:ascii="Arial Black" w:hAnsi="Arial Black"/>
          <w:sz w:val="28"/>
          <w:szCs w:val="28"/>
        </w:rPr>
        <w:t xml:space="preserve">TX: </w:t>
      </w:r>
      <w:r>
        <w:rPr>
          <w:rFonts w:ascii="Arial Black" w:hAnsi="Arial Black"/>
          <w:sz w:val="28"/>
          <w:szCs w:val="28"/>
        </w:rPr>
        <w:t>APARTMENT FIRE - DRUG PARAPHERNALIA IN “PLAIN VIEW” - PD CALLED IN, SEARCH WARRANT – METH CONVICTION UPHELD</w:t>
      </w:r>
    </w:p>
    <w:p w14:paraId="4277D341" w14:textId="77777777" w:rsidR="00B22CD4" w:rsidRDefault="00B22CD4" w:rsidP="00B22CD4">
      <w:pPr>
        <w:pStyle w:val="NoSpacing"/>
        <w:rPr>
          <w:rFonts w:ascii="Times New Roman" w:hAnsi="Times New Roman"/>
          <w:sz w:val="24"/>
          <w:szCs w:val="24"/>
        </w:rPr>
      </w:pPr>
      <w:r w:rsidRPr="00BA2225">
        <w:rPr>
          <w:rFonts w:ascii="Times New Roman" w:hAnsi="Times New Roman"/>
          <w:sz w:val="24"/>
          <w:szCs w:val="24"/>
        </w:rPr>
        <w:t xml:space="preserve">On May 16, 2019, in </w:t>
      </w:r>
      <w:r w:rsidRPr="00BA2225">
        <w:rPr>
          <w:rFonts w:ascii="Times New Roman" w:hAnsi="Times New Roman"/>
          <w:sz w:val="24"/>
          <w:szCs w:val="24"/>
          <w:u w:val="single"/>
        </w:rPr>
        <w:t>Casey Allen Martin v. State of Texas</w:t>
      </w:r>
      <w:r w:rsidRPr="00BA2225">
        <w:rPr>
          <w:rFonts w:ascii="Times New Roman" w:hAnsi="Times New Roman"/>
          <w:sz w:val="24"/>
          <w:szCs w:val="24"/>
        </w:rPr>
        <w:t>, the Court of Appeals of Texas, Second Appellate District (Fort Worth) held (3 to 0) the trial court properly denied the defendant’s motion to suppress the methamphetamine.</w:t>
      </w:r>
      <w:r>
        <w:rPr>
          <w:rFonts w:ascii="Times New Roman" w:hAnsi="Times New Roman"/>
          <w:sz w:val="24"/>
          <w:szCs w:val="24"/>
        </w:rPr>
        <w:t xml:space="preserve">  </w:t>
      </w:r>
    </w:p>
    <w:p w14:paraId="09F03D55" w14:textId="77777777" w:rsidR="00B22CD4" w:rsidRDefault="00B22CD4" w:rsidP="00B22CD4">
      <w:pPr>
        <w:pStyle w:val="NoSpacing"/>
        <w:rPr>
          <w:rFonts w:ascii="Times New Roman" w:hAnsi="Times New Roman"/>
          <w:sz w:val="24"/>
          <w:szCs w:val="24"/>
        </w:rPr>
      </w:pPr>
    </w:p>
    <w:p w14:paraId="606D9BC0" w14:textId="77777777" w:rsidR="00B22CD4" w:rsidRPr="00BA2225" w:rsidRDefault="00B22CD4" w:rsidP="00B22CD4">
      <w:pPr>
        <w:pStyle w:val="NoSpacing"/>
        <w:ind w:left="720"/>
        <w:rPr>
          <w:rFonts w:ascii="Times New Roman" w:hAnsi="Times New Roman"/>
          <w:sz w:val="24"/>
          <w:szCs w:val="24"/>
        </w:rPr>
      </w:pPr>
      <w:r>
        <w:rPr>
          <w:rFonts w:ascii="Times New Roman" w:hAnsi="Times New Roman"/>
          <w:sz w:val="24"/>
          <w:szCs w:val="24"/>
        </w:rPr>
        <w:lastRenderedPageBreak/>
        <w:t>“</w:t>
      </w:r>
      <w:r w:rsidRPr="00BA2225">
        <w:rPr>
          <w:rFonts w:ascii="Times New Roman" w:hAnsi="Times New Roman"/>
          <w:sz w:val="24"/>
          <w:szCs w:val="24"/>
        </w:rPr>
        <w:t>Fire broke out in appellant Casey Allen Martin’s apartment, and firefighters entered to battle the blaze. Firefighters saw drug paraphernalia inside, and they called police in to observe the scene. Officers then obtained a search warrant, which led to the discovery of the methamphetamine that was the basis for Martin’s conviction.</w:t>
      </w:r>
      <w:r>
        <w:rPr>
          <w:rFonts w:ascii="Times New Roman" w:hAnsi="Times New Roman"/>
          <w:sz w:val="24"/>
          <w:szCs w:val="24"/>
        </w:rPr>
        <w:t xml:space="preserve"> </w:t>
      </w:r>
      <w:r w:rsidRPr="00BA2225">
        <w:rPr>
          <w:rFonts w:ascii="Times New Roman" w:hAnsi="Times New Roman"/>
          <w:sz w:val="24"/>
          <w:szCs w:val="24"/>
        </w:rPr>
        <w:t>In one issue, Martin appeals the denial of his motion to suppress. Martin does not dispute that the fire permitted firefighters to enter the apartment. But he contends that the same exigent circumstances did not also authorize officers to enter and observe, in plain view, the same contraband that firefighters had already seen. Because we disagree, we affirm.</w:t>
      </w:r>
    </w:p>
    <w:p w14:paraId="67FD0597" w14:textId="3223F1B5" w:rsidR="00B22CD4" w:rsidRDefault="00B22CD4" w:rsidP="00B22CD4">
      <w:pPr>
        <w:pStyle w:val="NoSpacing"/>
        <w:ind w:left="720"/>
        <w:rPr>
          <w:rFonts w:ascii="Times New Roman" w:hAnsi="Times New Roman"/>
          <w:sz w:val="24"/>
          <w:szCs w:val="24"/>
        </w:rPr>
      </w:pPr>
      <w:hyperlink r:id="rId331" w:history="1">
        <w:r w:rsidRPr="00BA2225">
          <w:rPr>
            <w:rStyle w:val="Hyperlink"/>
            <w:rFonts w:ascii="Times New Roman" w:hAnsi="Times New Roman"/>
            <w:sz w:val="24"/>
            <w:szCs w:val="24"/>
          </w:rPr>
          <w:t>https://cases.justia.com/texas/second-court-of-appeals/2019-02-18-00333-cr.pdf?ts=1558106104</w:t>
        </w:r>
      </w:hyperlink>
      <w:r w:rsidRPr="00BA2225">
        <w:rPr>
          <w:rFonts w:ascii="Times New Roman" w:hAnsi="Times New Roman"/>
          <w:sz w:val="24"/>
          <w:szCs w:val="24"/>
        </w:rPr>
        <w:t xml:space="preserve"> </w:t>
      </w:r>
    </w:p>
    <w:p w14:paraId="27FC7F07" w14:textId="1CA1F3F4" w:rsidR="00B22CD4" w:rsidRDefault="00B22CD4" w:rsidP="00B22CD4">
      <w:pPr>
        <w:pStyle w:val="NoSpacing"/>
        <w:ind w:left="720"/>
        <w:rPr>
          <w:rFonts w:ascii="Times New Roman" w:hAnsi="Times New Roman"/>
          <w:sz w:val="24"/>
          <w:szCs w:val="24"/>
        </w:rPr>
      </w:pPr>
    </w:p>
    <w:p w14:paraId="296EF817" w14:textId="77777777" w:rsidR="00B22CD4" w:rsidRPr="00BA2225" w:rsidRDefault="00B22CD4" w:rsidP="00B22CD4">
      <w:pPr>
        <w:pStyle w:val="NoSpacing"/>
        <w:rPr>
          <w:rFonts w:ascii="Times New Roman" w:hAnsi="Times New Roman"/>
          <w:b/>
          <w:sz w:val="24"/>
          <w:szCs w:val="24"/>
        </w:rPr>
      </w:pPr>
      <w:bookmarkStart w:id="67" w:name="_Hlk10126666"/>
      <w:r w:rsidRPr="00BA2225">
        <w:rPr>
          <w:rFonts w:ascii="Times New Roman" w:hAnsi="Times New Roman"/>
          <w:b/>
          <w:sz w:val="24"/>
          <w:szCs w:val="24"/>
        </w:rPr>
        <w:t>Legal Lessons Learned:</w:t>
      </w:r>
      <w:r>
        <w:rPr>
          <w:rFonts w:ascii="Times New Roman" w:hAnsi="Times New Roman"/>
          <w:b/>
          <w:sz w:val="24"/>
          <w:szCs w:val="24"/>
        </w:rPr>
        <w:t xml:space="preserve"> The “Plain View Rule” is alive and well.  The police probably could have seized the meth and the firearm without a search </w:t>
      </w:r>
      <w:proofErr w:type="gramStart"/>
      <w:r>
        <w:rPr>
          <w:rFonts w:ascii="Times New Roman" w:hAnsi="Times New Roman"/>
          <w:b/>
          <w:sz w:val="24"/>
          <w:szCs w:val="24"/>
        </w:rPr>
        <w:t>warrant, but</w:t>
      </w:r>
      <w:proofErr w:type="gramEnd"/>
      <w:r>
        <w:rPr>
          <w:rFonts w:ascii="Times New Roman" w:hAnsi="Times New Roman"/>
          <w:b/>
          <w:sz w:val="24"/>
          <w:szCs w:val="24"/>
        </w:rPr>
        <w:t xml:space="preserve"> getting the warrant “virtually guaranteed” that a motion to suppress would be denied.</w:t>
      </w:r>
    </w:p>
    <w:bookmarkEnd w:id="67"/>
    <w:p w14:paraId="0C18AB44" w14:textId="77777777" w:rsidR="00B22CD4" w:rsidRPr="00BA2225" w:rsidRDefault="00B22CD4" w:rsidP="00B22CD4">
      <w:pPr>
        <w:pStyle w:val="NoSpacing"/>
        <w:ind w:left="720"/>
        <w:rPr>
          <w:rFonts w:ascii="Times New Roman" w:hAnsi="Times New Roman"/>
          <w:sz w:val="24"/>
          <w:szCs w:val="24"/>
        </w:rPr>
      </w:pPr>
    </w:p>
    <w:bookmarkEnd w:id="66"/>
    <w:p w14:paraId="3807C109" w14:textId="77777777" w:rsidR="006C7F17" w:rsidRDefault="006C7F17" w:rsidP="00791CA3">
      <w:pPr>
        <w:rPr>
          <w:rFonts w:ascii="Arial Black" w:hAnsi="Arial Black"/>
          <w:b/>
          <w:sz w:val="24"/>
          <w:szCs w:val="24"/>
        </w:rPr>
      </w:pPr>
    </w:p>
    <w:p w14:paraId="2AFFFACF" w14:textId="2BE51347" w:rsidR="00D07E6E" w:rsidRDefault="00D07E6E" w:rsidP="00791CA3">
      <w:pPr>
        <w:rPr>
          <w:rFonts w:ascii="Arial Black" w:hAnsi="Arial Black"/>
          <w:b/>
          <w:sz w:val="24"/>
          <w:szCs w:val="24"/>
        </w:rPr>
      </w:pPr>
      <w:r>
        <w:rPr>
          <w:rFonts w:ascii="Arial Black" w:hAnsi="Arial Black"/>
          <w:b/>
          <w:sz w:val="24"/>
          <w:szCs w:val="24"/>
        </w:rPr>
        <w:t>1-2</w:t>
      </w:r>
      <w:r w:rsidR="00637A12">
        <w:rPr>
          <w:rFonts w:ascii="Arial Black" w:hAnsi="Arial Black"/>
          <w:b/>
          <w:sz w:val="24"/>
          <w:szCs w:val="24"/>
        </w:rPr>
        <w:t>4</w:t>
      </w:r>
    </w:p>
    <w:p w14:paraId="4C26BCE1" w14:textId="77777777" w:rsidR="00D07E6E" w:rsidRPr="00D07E6E" w:rsidRDefault="00D07E6E" w:rsidP="00791CA3">
      <w:pPr>
        <w:rPr>
          <w:rFonts w:ascii="Arial Black" w:hAnsi="Arial Black" w:cs="Arial"/>
          <w:b/>
          <w:bCs/>
          <w:sz w:val="28"/>
          <w:szCs w:val="28"/>
        </w:rPr>
      </w:pPr>
      <w:r w:rsidRPr="00D07E6E">
        <w:rPr>
          <w:rFonts w:ascii="Arial Black" w:hAnsi="Arial Black" w:cs="Arial"/>
          <w:b/>
          <w:bCs/>
          <w:sz w:val="28"/>
          <w:szCs w:val="28"/>
        </w:rPr>
        <w:t xml:space="preserve">NY: 911 CALL - ELEVATOR SUDDENLY DROPPED WHILE FDNY AT SCENE – LAWSUIT DISMISSED, “SPECIAL DUTY” RULE </w:t>
      </w:r>
    </w:p>
    <w:p w14:paraId="74893CC1" w14:textId="77777777" w:rsidR="006C7F17" w:rsidRDefault="00D07E6E" w:rsidP="00791CA3">
      <w:pPr>
        <w:rPr>
          <w:rFonts w:ascii="Times New Roman" w:hAnsi="Times New Roman"/>
          <w:sz w:val="24"/>
          <w:szCs w:val="24"/>
        </w:rPr>
      </w:pPr>
      <w:r w:rsidRPr="00015208">
        <w:rPr>
          <w:rFonts w:ascii="Times New Roman" w:hAnsi="Times New Roman"/>
          <w:sz w:val="24"/>
          <w:szCs w:val="24"/>
        </w:rPr>
        <w:t>On April 24, 2019, in Daniel Ortiz v. City of New York, et al, the Supreme Court of New York, Appellate Division, Second Department, 2019 NY Slip Op 03062,</w:t>
      </w:r>
      <w:r w:rsidR="006C7F17">
        <w:rPr>
          <w:rFonts w:ascii="Times New Roman" w:hAnsi="Times New Roman"/>
          <w:sz w:val="24"/>
          <w:szCs w:val="24"/>
        </w:rPr>
        <w:t xml:space="preserve"> </w:t>
      </w:r>
      <w:r w:rsidRPr="00015208">
        <w:rPr>
          <w:rFonts w:ascii="Times New Roman" w:hAnsi="Times New Roman"/>
          <w:sz w:val="24"/>
          <w:szCs w:val="24"/>
        </w:rPr>
        <w:t>held (5 to 0) that the lawsuit was properly dismissed by Kings County judge.</w:t>
      </w:r>
    </w:p>
    <w:p w14:paraId="3FB174CF" w14:textId="21311F44" w:rsidR="00D07E6E" w:rsidRPr="00015208" w:rsidRDefault="00D07E6E" w:rsidP="006C7F17">
      <w:pPr>
        <w:ind w:left="720"/>
        <w:rPr>
          <w:rFonts w:ascii="Times New Roman" w:hAnsi="Times New Roman"/>
          <w:sz w:val="24"/>
          <w:szCs w:val="24"/>
        </w:rPr>
      </w:pPr>
      <w:r w:rsidRPr="00015208">
        <w:rPr>
          <w:rFonts w:ascii="Times New Roman" w:hAnsi="Times New Roman"/>
          <w:sz w:val="24"/>
          <w:szCs w:val="24"/>
        </w:rPr>
        <w:t xml:space="preserve">“Here, the City defendants were acting in a governmental capacity when the plaintiff was injured during the firefighters' rescue operation (see </w:t>
      </w:r>
      <w:proofErr w:type="spellStart"/>
      <w:r w:rsidRPr="00015208">
        <w:rPr>
          <w:rFonts w:ascii="Times New Roman" w:hAnsi="Times New Roman"/>
          <w:sz w:val="24"/>
          <w:szCs w:val="24"/>
        </w:rPr>
        <w:t>Kadymir</w:t>
      </w:r>
      <w:proofErr w:type="spellEnd"/>
      <w:r w:rsidRPr="00015208">
        <w:rPr>
          <w:rFonts w:ascii="Times New Roman" w:hAnsi="Times New Roman"/>
          <w:sz w:val="24"/>
          <w:szCs w:val="24"/>
        </w:rPr>
        <w:t xml:space="preserve"> v New York City Tr. Auth., 55 AD3d 549, 552). The inquiry then turns to whether the </w:t>
      </w:r>
      <w:proofErr w:type="gramStart"/>
      <w:r w:rsidRPr="00015208">
        <w:rPr>
          <w:rFonts w:ascii="Times New Roman" w:hAnsi="Times New Roman"/>
          <w:sz w:val="24"/>
          <w:szCs w:val="24"/>
        </w:rPr>
        <w:t>City</w:t>
      </w:r>
      <w:proofErr w:type="gramEnd"/>
      <w:r w:rsidRPr="00015208">
        <w:rPr>
          <w:rFonts w:ascii="Times New Roman" w:hAnsi="Times New Roman"/>
          <w:sz w:val="24"/>
          <w:szCs w:val="24"/>
        </w:rPr>
        <w:t xml:space="preserve"> defendants owed the plaintiff a special duty (see Applewhite v </w:t>
      </w:r>
      <w:proofErr w:type="spellStart"/>
      <w:r w:rsidRPr="00015208">
        <w:rPr>
          <w:rFonts w:ascii="Times New Roman" w:hAnsi="Times New Roman"/>
          <w:sz w:val="24"/>
          <w:szCs w:val="24"/>
        </w:rPr>
        <w:t>Accuhealth</w:t>
      </w:r>
      <w:proofErr w:type="spellEnd"/>
      <w:r w:rsidRPr="00015208">
        <w:rPr>
          <w:rFonts w:ascii="Times New Roman" w:hAnsi="Times New Roman"/>
          <w:sz w:val="24"/>
          <w:szCs w:val="24"/>
        </w:rPr>
        <w:t xml:space="preserve">, Inc., 21 NY3d at 426). Contrary to the plaintiff's contention that no special duty was required, a special duty was ‘an essential element of the negligence claim itself’ (id.). Because the plaintiff concedes that the City defendants owed him no special duty of care, ‘the analysis ends and liability may not be imputed to the’ City defendants (id.).” </w:t>
      </w:r>
      <w:hyperlink r:id="rId332" w:history="1">
        <w:r w:rsidRPr="00015208">
          <w:rPr>
            <w:rStyle w:val="Hyperlink"/>
            <w:rFonts w:ascii="Times New Roman" w:hAnsi="Times New Roman"/>
            <w:sz w:val="24"/>
            <w:szCs w:val="24"/>
          </w:rPr>
          <w:t>https://law.justia.com/cases/new-york/appellate-division-second-department/2019/2017-01910.html</w:t>
        </w:r>
      </w:hyperlink>
      <w:r w:rsidRPr="00015208">
        <w:rPr>
          <w:rFonts w:ascii="Times New Roman" w:hAnsi="Times New Roman"/>
          <w:sz w:val="24"/>
          <w:szCs w:val="24"/>
        </w:rPr>
        <w:t xml:space="preserve"> </w:t>
      </w:r>
    </w:p>
    <w:p w14:paraId="0073D181" w14:textId="5CFC4257" w:rsidR="00D07E6E" w:rsidRPr="00015208" w:rsidRDefault="00D07E6E" w:rsidP="00791CA3">
      <w:pPr>
        <w:rPr>
          <w:rFonts w:ascii="Times New Roman" w:hAnsi="Times New Roman"/>
          <w:b/>
          <w:bCs/>
          <w:sz w:val="24"/>
          <w:szCs w:val="24"/>
        </w:rPr>
      </w:pPr>
      <w:r w:rsidRPr="00015208">
        <w:rPr>
          <w:rFonts w:ascii="Times New Roman" w:hAnsi="Times New Roman"/>
          <w:b/>
          <w:bCs/>
          <w:sz w:val="24"/>
          <w:szCs w:val="24"/>
        </w:rPr>
        <w:t>Legal Lessons Learned: The “special duty rule” protects municipalities when performing a governmental function.</w:t>
      </w:r>
    </w:p>
    <w:p w14:paraId="0C38FD85" w14:textId="4C412579" w:rsidR="00D07E6E" w:rsidRPr="00015208" w:rsidRDefault="00D07E6E" w:rsidP="00791CA3">
      <w:pPr>
        <w:rPr>
          <w:rFonts w:ascii="Times New Roman" w:hAnsi="Times New Roman"/>
          <w:bCs/>
          <w:sz w:val="24"/>
          <w:szCs w:val="24"/>
        </w:rPr>
      </w:pPr>
    </w:p>
    <w:p w14:paraId="072F49C2" w14:textId="77777777" w:rsidR="00D07E6E" w:rsidRDefault="00D07E6E" w:rsidP="00791CA3">
      <w:pPr>
        <w:rPr>
          <w:rFonts w:ascii="Arial Black" w:hAnsi="Arial Black"/>
          <w:b/>
          <w:sz w:val="24"/>
          <w:szCs w:val="24"/>
        </w:rPr>
      </w:pPr>
    </w:p>
    <w:p w14:paraId="355C8987" w14:textId="6F919A94" w:rsidR="00C17A9D" w:rsidRDefault="00C17A9D" w:rsidP="00791CA3">
      <w:pPr>
        <w:rPr>
          <w:rFonts w:ascii="Arial Black" w:hAnsi="Arial Black"/>
          <w:b/>
          <w:sz w:val="24"/>
          <w:szCs w:val="24"/>
        </w:rPr>
      </w:pPr>
      <w:r>
        <w:rPr>
          <w:rFonts w:ascii="Arial Black" w:hAnsi="Arial Black"/>
          <w:b/>
          <w:sz w:val="24"/>
          <w:szCs w:val="24"/>
        </w:rPr>
        <w:t>1-2</w:t>
      </w:r>
      <w:r w:rsidR="00637A12">
        <w:rPr>
          <w:rFonts w:ascii="Arial Black" w:hAnsi="Arial Black"/>
          <w:b/>
          <w:sz w:val="24"/>
          <w:szCs w:val="24"/>
        </w:rPr>
        <w:t>3</w:t>
      </w:r>
    </w:p>
    <w:p w14:paraId="19ED4F76" w14:textId="77777777" w:rsidR="00015208" w:rsidRDefault="00C17A9D" w:rsidP="00791CA3">
      <w:pPr>
        <w:rPr>
          <w:rFonts w:ascii="Arial" w:hAnsi="Arial" w:cs="Arial"/>
          <w:sz w:val="35"/>
          <w:szCs w:val="35"/>
        </w:rPr>
      </w:pPr>
      <w:r w:rsidRPr="00C17A9D">
        <w:rPr>
          <w:rFonts w:ascii="Arial Black" w:hAnsi="Arial Black"/>
          <w:sz w:val="28"/>
          <w:szCs w:val="28"/>
        </w:rPr>
        <w:t>IL: BILLING FOR FD SEVICES – ORDINANCE LAWFUL TO BILL NON-RESIDENTS, INCLUDING EXTRICATING EMPLOYEE UNDER VEHICLE</w:t>
      </w:r>
      <w:r>
        <w:rPr>
          <w:rFonts w:ascii="Arial" w:hAnsi="Arial" w:cs="Arial"/>
          <w:sz w:val="35"/>
          <w:szCs w:val="35"/>
        </w:rPr>
        <w:t xml:space="preserve"> </w:t>
      </w:r>
    </w:p>
    <w:p w14:paraId="47FA66A7" w14:textId="77777777" w:rsidR="006C7F17" w:rsidRDefault="00C17A9D" w:rsidP="00791CA3">
      <w:pPr>
        <w:rPr>
          <w:rFonts w:ascii="Times New Roman" w:hAnsi="Times New Roman"/>
          <w:sz w:val="24"/>
          <w:szCs w:val="24"/>
        </w:rPr>
      </w:pPr>
      <w:r w:rsidRPr="00015208">
        <w:rPr>
          <w:rFonts w:ascii="Times New Roman" w:hAnsi="Times New Roman"/>
          <w:sz w:val="24"/>
          <w:szCs w:val="24"/>
        </w:rPr>
        <w:t xml:space="preserve">On March 28, 2019, in The City of Effingham, Illinois v. Diss Truck &amp; Repair, LLC, the Appellate Court of Illinois - Fifth District, held (3 to 0) that the Fire Department may bill for these services for a non-resident. </w:t>
      </w:r>
    </w:p>
    <w:p w14:paraId="5F7F2EDA" w14:textId="341FFB8F" w:rsidR="00C17A9D" w:rsidRPr="00015208" w:rsidRDefault="00C17A9D" w:rsidP="006C7F17">
      <w:pPr>
        <w:ind w:left="720"/>
        <w:rPr>
          <w:rFonts w:ascii="Times New Roman" w:hAnsi="Times New Roman"/>
          <w:b/>
          <w:sz w:val="24"/>
          <w:szCs w:val="24"/>
        </w:rPr>
      </w:pPr>
      <w:r w:rsidRPr="00015208">
        <w:rPr>
          <w:rFonts w:ascii="Times New Roman" w:hAnsi="Times New Roman"/>
          <w:sz w:val="24"/>
          <w:szCs w:val="24"/>
        </w:rPr>
        <w:lastRenderedPageBreak/>
        <w:t>“After reviewing the legislative history, both before and after the enactment of the statute, we conclude that the legislature’s intent in allowing a municipality to seek reimbursement for firefighting services provided to nonresidents was to eliminate the taxpayer’s burden for such services; the intent was to allocate the cost of the services to nonresidents so that the citizens of the municipality were not forced to bear the cost of services performed on behalf of those not paying taxes to the municipality.”</w:t>
      </w:r>
      <w:r w:rsidR="006C7F17">
        <w:rPr>
          <w:rFonts w:ascii="Times New Roman" w:hAnsi="Times New Roman"/>
          <w:sz w:val="24"/>
          <w:szCs w:val="24"/>
        </w:rPr>
        <w:t xml:space="preserve"> </w:t>
      </w:r>
      <w:hyperlink r:id="rId333" w:history="1">
        <w:r w:rsidR="006C7F17" w:rsidRPr="002F304C">
          <w:rPr>
            <w:rStyle w:val="Hyperlink"/>
            <w:rFonts w:ascii="Times New Roman" w:hAnsi="Times New Roman"/>
            <w:sz w:val="24"/>
            <w:szCs w:val="24"/>
          </w:rPr>
          <w:t>https://law.justia.com/cases/illinois/court-of-appeals-fifth-appellate-district/2019/5-18-0064.html</w:t>
        </w:r>
      </w:hyperlink>
      <w:r w:rsidR="006C7F17">
        <w:rPr>
          <w:rFonts w:ascii="Times New Roman" w:hAnsi="Times New Roman"/>
          <w:sz w:val="24"/>
          <w:szCs w:val="24"/>
        </w:rPr>
        <w:t xml:space="preserve"> </w:t>
      </w:r>
    </w:p>
    <w:p w14:paraId="4959EE6B" w14:textId="282598F9" w:rsidR="00C17A9D" w:rsidRPr="00015208" w:rsidRDefault="00C17A9D" w:rsidP="00791CA3">
      <w:pPr>
        <w:rPr>
          <w:rFonts w:ascii="Times New Roman" w:hAnsi="Times New Roman"/>
          <w:b/>
          <w:bCs/>
          <w:sz w:val="24"/>
          <w:szCs w:val="24"/>
        </w:rPr>
      </w:pPr>
      <w:r w:rsidRPr="00015208">
        <w:rPr>
          <w:rFonts w:ascii="Times New Roman" w:hAnsi="Times New Roman"/>
          <w:b/>
          <w:bCs/>
          <w:sz w:val="24"/>
          <w:szCs w:val="24"/>
        </w:rPr>
        <w:t>Legal Lessons Learned: Ordinances authorizing billing of non-residents for fire department services are becoming increasingly common.</w:t>
      </w:r>
    </w:p>
    <w:p w14:paraId="35D80C66" w14:textId="77777777" w:rsidR="00015208" w:rsidRDefault="00015208" w:rsidP="00791CA3">
      <w:pPr>
        <w:rPr>
          <w:rFonts w:ascii="Arial Black" w:hAnsi="Arial Black"/>
          <w:b/>
          <w:sz w:val="24"/>
          <w:szCs w:val="24"/>
        </w:rPr>
      </w:pPr>
    </w:p>
    <w:p w14:paraId="5BA77B5B" w14:textId="77777777" w:rsidR="00C17A9D" w:rsidRDefault="00C17A9D" w:rsidP="00791CA3">
      <w:pPr>
        <w:rPr>
          <w:rFonts w:ascii="Arial Black" w:hAnsi="Arial Black"/>
          <w:b/>
          <w:sz w:val="24"/>
          <w:szCs w:val="24"/>
        </w:rPr>
      </w:pPr>
    </w:p>
    <w:p w14:paraId="6AF48E99" w14:textId="15E9BF94" w:rsidR="00B22CD4" w:rsidRDefault="00791CA3" w:rsidP="00791CA3">
      <w:pPr>
        <w:rPr>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2</w:t>
      </w:r>
    </w:p>
    <w:p w14:paraId="48B44BFB" w14:textId="361ED236" w:rsidR="00ED63B1" w:rsidRDefault="00ED63B1" w:rsidP="00ED63B1">
      <w:pPr>
        <w:pStyle w:val="NoSpacing"/>
        <w:rPr>
          <w:rFonts w:ascii="Arial Black" w:hAnsi="Arial Black"/>
          <w:sz w:val="28"/>
          <w:szCs w:val="28"/>
        </w:rPr>
      </w:pPr>
      <w:r w:rsidRPr="004875B7">
        <w:rPr>
          <w:rFonts w:ascii="Arial Black" w:hAnsi="Arial Black"/>
          <w:sz w:val="28"/>
          <w:szCs w:val="28"/>
        </w:rPr>
        <w:t xml:space="preserve">CO:  ARSON - $3M </w:t>
      </w:r>
      <w:r>
        <w:rPr>
          <w:rFonts w:ascii="Arial Black" w:hAnsi="Arial Black"/>
          <w:sz w:val="28"/>
          <w:szCs w:val="28"/>
        </w:rPr>
        <w:t xml:space="preserve">LOSS TO HOTEL BEING BUILT– NO SECURITY </w:t>
      </w:r>
      <w:r w:rsidRPr="004875B7">
        <w:rPr>
          <w:rFonts w:ascii="Arial Black" w:hAnsi="Arial Black"/>
          <w:sz w:val="28"/>
          <w:szCs w:val="28"/>
        </w:rPr>
        <w:t>FENCE</w:t>
      </w:r>
      <w:r>
        <w:rPr>
          <w:rFonts w:ascii="Arial Black" w:hAnsi="Arial Black"/>
          <w:sz w:val="28"/>
          <w:szCs w:val="28"/>
        </w:rPr>
        <w:t xml:space="preserve">, NO INSURANCE </w:t>
      </w:r>
    </w:p>
    <w:p w14:paraId="5766A52A" w14:textId="77777777" w:rsidR="006C7F17" w:rsidRDefault="00ED63B1" w:rsidP="00ED63B1">
      <w:pPr>
        <w:pStyle w:val="NoSpacing"/>
        <w:rPr>
          <w:rFonts w:ascii="Times New Roman" w:hAnsi="Times New Roman"/>
          <w:sz w:val="24"/>
          <w:szCs w:val="24"/>
        </w:rPr>
      </w:pPr>
      <w:r w:rsidRPr="00015208">
        <w:rPr>
          <w:rFonts w:ascii="Times New Roman" w:hAnsi="Times New Roman"/>
          <w:sz w:val="24"/>
          <w:szCs w:val="24"/>
        </w:rPr>
        <w:t xml:space="preserve">On March 1, 2019, in </w:t>
      </w:r>
      <w:r w:rsidRPr="00015208">
        <w:rPr>
          <w:rFonts w:ascii="Times New Roman" w:hAnsi="Times New Roman"/>
          <w:sz w:val="24"/>
          <w:szCs w:val="24"/>
          <w:u w:val="single"/>
        </w:rPr>
        <w:t>Praetorian Insurance Company v. Axia Contracting, LLC and 255 Blackhawk Hospitality, LLP</w:t>
      </w:r>
      <w:r w:rsidRPr="00015208">
        <w:rPr>
          <w:rFonts w:ascii="Times New Roman" w:hAnsi="Times New Roman"/>
          <w:sz w:val="24"/>
          <w:szCs w:val="24"/>
        </w:rPr>
        <w:t xml:space="preserve">, U.S. District Court Judge William J. Martinez, District of Colorado, granted summary judgment to the insurance company. </w:t>
      </w:r>
    </w:p>
    <w:p w14:paraId="4AA0D21E" w14:textId="77777777" w:rsidR="006C7F17" w:rsidRDefault="006C7F17" w:rsidP="00ED63B1">
      <w:pPr>
        <w:pStyle w:val="NoSpacing"/>
        <w:rPr>
          <w:rFonts w:ascii="Times New Roman" w:hAnsi="Times New Roman"/>
          <w:sz w:val="24"/>
          <w:szCs w:val="24"/>
        </w:rPr>
      </w:pPr>
    </w:p>
    <w:p w14:paraId="47D3A58A" w14:textId="16A99A59" w:rsidR="00ED63B1" w:rsidRDefault="00ED63B1" w:rsidP="006C7F17">
      <w:pPr>
        <w:pStyle w:val="NoSpacing"/>
        <w:ind w:left="720"/>
        <w:rPr>
          <w:rFonts w:ascii="Times New Roman" w:eastAsia="Times New Roman" w:hAnsi="Times New Roman"/>
          <w:bCs/>
          <w:sz w:val="24"/>
          <w:szCs w:val="24"/>
        </w:rPr>
      </w:pPr>
      <w:r w:rsidRPr="00015208">
        <w:rPr>
          <w:rFonts w:ascii="Times New Roman" w:hAnsi="Times New Roman"/>
          <w:sz w:val="24"/>
          <w:szCs w:val="24"/>
        </w:rPr>
        <w:t xml:space="preserve">“On summary judgment, the parties seek clarity from this Court on whether, under the Policy, Defendants’ failure to maintain a protective device, a six-foot fence enclosing the entire job site, which was listed in an endorsement and schedule attached to the contract, relieves Praetorian of its obligation to pay for Defendants’ losses due to fire…. For the reasons discussed below, the Court will grant Praetorian’s Motion for Summary Judgment (‘the Motion’), direct entry of judgment, and terminate this case.” </w:t>
      </w:r>
      <w:hyperlink r:id="rId334" w:history="1">
        <w:r w:rsidRPr="00015208">
          <w:rPr>
            <w:rStyle w:val="Hyperlink"/>
            <w:rFonts w:ascii="Times New Roman" w:eastAsia="Times New Roman" w:hAnsi="Times New Roman"/>
            <w:sz w:val="24"/>
            <w:szCs w:val="24"/>
          </w:rPr>
          <w:t>https://cases.justia.com/federal/district-courts/colorado/codce/1:2017cv02034/173671/65/0.pdf?ts=1551517811</w:t>
        </w:r>
      </w:hyperlink>
      <w:r w:rsidRPr="00015208">
        <w:rPr>
          <w:rFonts w:ascii="Times New Roman" w:eastAsia="Times New Roman" w:hAnsi="Times New Roman"/>
          <w:bCs/>
          <w:sz w:val="24"/>
          <w:szCs w:val="24"/>
        </w:rPr>
        <w:t xml:space="preserve"> </w:t>
      </w:r>
    </w:p>
    <w:p w14:paraId="03930CD2" w14:textId="77777777" w:rsidR="006C7F17" w:rsidRPr="00015208" w:rsidRDefault="006C7F17" w:rsidP="006C7F17">
      <w:pPr>
        <w:pStyle w:val="NoSpacing"/>
        <w:ind w:left="720"/>
        <w:rPr>
          <w:rFonts w:ascii="Times New Roman" w:eastAsia="Times New Roman" w:hAnsi="Times New Roman"/>
          <w:bCs/>
          <w:sz w:val="24"/>
          <w:szCs w:val="24"/>
        </w:rPr>
      </w:pPr>
    </w:p>
    <w:p w14:paraId="1D82724E" w14:textId="77777777" w:rsidR="00ED63B1" w:rsidRPr="00015208" w:rsidRDefault="00ED63B1" w:rsidP="00ED63B1">
      <w:pPr>
        <w:pStyle w:val="NoSpacing"/>
        <w:rPr>
          <w:rFonts w:ascii="Times New Roman" w:hAnsi="Times New Roman"/>
          <w:b/>
          <w:sz w:val="24"/>
          <w:szCs w:val="24"/>
        </w:rPr>
      </w:pPr>
      <w:r w:rsidRPr="00015208">
        <w:rPr>
          <w:rFonts w:ascii="Times New Roman" w:hAnsi="Times New Roman"/>
          <w:b/>
          <w:sz w:val="24"/>
          <w:szCs w:val="24"/>
        </w:rPr>
        <w:t>Legal Lessons Learned:  FDs should encourage owners of large construction sites to enclose the site with fencing and nighttime lights.</w:t>
      </w:r>
    </w:p>
    <w:p w14:paraId="07F65D9E" w14:textId="77777777" w:rsidR="00FB71EA" w:rsidRPr="00015208" w:rsidRDefault="00FB71EA" w:rsidP="00ED63B1">
      <w:pPr>
        <w:pStyle w:val="NoSpacing"/>
        <w:rPr>
          <w:rFonts w:ascii="Times New Roman" w:hAnsi="Times New Roman"/>
          <w:bCs/>
          <w:sz w:val="24"/>
          <w:szCs w:val="24"/>
        </w:rPr>
      </w:pPr>
    </w:p>
    <w:p w14:paraId="05D957A7" w14:textId="77777777" w:rsidR="00F326E5" w:rsidRDefault="00F326E5" w:rsidP="00F326E5">
      <w:pPr>
        <w:pStyle w:val="NoSpacing"/>
        <w:rPr>
          <w:rFonts w:ascii="Times New Roman" w:eastAsia="Times New Roman" w:hAnsi="Times New Roman"/>
          <w:sz w:val="24"/>
          <w:szCs w:val="24"/>
        </w:rPr>
      </w:pPr>
    </w:p>
    <w:p w14:paraId="46AD8CDA" w14:textId="77777777" w:rsidR="00ED63B1" w:rsidRDefault="00ED63B1" w:rsidP="00F326E5">
      <w:pPr>
        <w:pStyle w:val="NoSpacing"/>
        <w:rPr>
          <w:rFonts w:ascii="Times New Roman" w:eastAsia="Times New Roman" w:hAnsi="Times New Roman"/>
          <w:sz w:val="24"/>
          <w:szCs w:val="24"/>
        </w:rPr>
      </w:pPr>
    </w:p>
    <w:p w14:paraId="75B027F1" w14:textId="42604589" w:rsidR="00ED63B1" w:rsidRDefault="00791CA3" w:rsidP="00791CA3">
      <w:pPr>
        <w:rPr>
          <w:rFonts w:ascii="Times New Roman" w:eastAsia="Times New Roman" w:hAnsi="Times New Roman"/>
          <w:sz w:val="24"/>
          <w:szCs w:val="24"/>
        </w:rPr>
      </w:pPr>
      <w:r w:rsidRPr="00791CA3">
        <w:rPr>
          <w:rFonts w:ascii="Arial Black" w:hAnsi="Arial Black"/>
          <w:b/>
          <w:sz w:val="24"/>
          <w:szCs w:val="24"/>
        </w:rPr>
        <w:t>1-</w:t>
      </w:r>
      <w:r w:rsidR="00637A12">
        <w:rPr>
          <w:rFonts w:ascii="Arial Black" w:hAnsi="Arial Black"/>
          <w:b/>
          <w:sz w:val="24"/>
          <w:szCs w:val="24"/>
        </w:rPr>
        <w:t>21</w:t>
      </w:r>
    </w:p>
    <w:p w14:paraId="7E0460AE" w14:textId="5773390F" w:rsidR="00F326E5" w:rsidRDefault="00F326E5" w:rsidP="00F326E5">
      <w:pPr>
        <w:pStyle w:val="NoSpacing"/>
        <w:rPr>
          <w:rFonts w:ascii="Times New Roman" w:hAnsi="Times New Roman"/>
          <w:sz w:val="24"/>
          <w:szCs w:val="24"/>
        </w:rPr>
      </w:pPr>
      <w:bookmarkStart w:id="68" w:name="_Hlk7339238"/>
      <w:r w:rsidRPr="000D5825">
        <w:rPr>
          <w:rFonts w:ascii="Arial Black" w:hAnsi="Arial Black"/>
          <w:b/>
          <w:sz w:val="28"/>
          <w:szCs w:val="28"/>
        </w:rPr>
        <w:t xml:space="preserve">MD:  GOVT IMMUNITY – COUNTY 911 </w:t>
      </w:r>
      <w:r>
        <w:rPr>
          <w:rFonts w:ascii="Arial Black" w:hAnsi="Arial Black"/>
          <w:b/>
          <w:sz w:val="28"/>
          <w:szCs w:val="28"/>
        </w:rPr>
        <w:t xml:space="preserve">SYSTEM </w:t>
      </w:r>
      <w:r w:rsidRPr="000D5825">
        <w:rPr>
          <w:rFonts w:ascii="Arial Black" w:hAnsi="Arial Black"/>
          <w:b/>
          <w:sz w:val="28"/>
          <w:szCs w:val="28"/>
        </w:rPr>
        <w:t>DOWN 3 HOURS</w:t>
      </w:r>
      <w:r>
        <w:rPr>
          <w:rFonts w:ascii="Arial Black" w:hAnsi="Arial Black"/>
          <w:b/>
          <w:sz w:val="28"/>
          <w:szCs w:val="28"/>
        </w:rPr>
        <w:t xml:space="preserve"> – RESIDENT DIED </w:t>
      </w:r>
      <w:r w:rsidRPr="000D5825">
        <w:rPr>
          <w:rFonts w:ascii="Arial Black" w:hAnsi="Arial Black"/>
          <w:b/>
          <w:sz w:val="28"/>
          <w:szCs w:val="28"/>
        </w:rPr>
        <w:t xml:space="preserve"> </w:t>
      </w:r>
      <w:r w:rsidRPr="000D5825">
        <w:rPr>
          <w:rFonts w:ascii="Times New Roman" w:hAnsi="Times New Roman"/>
          <w:sz w:val="24"/>
          <w:szCs w:val="24"/>
        </w:rPr>
        <w:t xml:space="preserve"> </w:t>
      </w:r>
    </w:p>
    <w:p w14:paraId="5B04FA95" w14:textId="77777777" w:rsidR="006C7F17" w:rsidRDefault="006C7F17" w:rsidP="00F326E5">
      <w:pPr>
        <w:pStyle w:val="NoSpacing"/>
        <w:rPr>
          <w:rFonts w:ascii="Times New Roman" w:hAnsi="Times New Roman"/>
          <w:sz w:val="24"/>
          <w:szCs w:val="24"/>
        </w:rPr>
      </w:pPr>
    </w:p>
    <w:p w14:paraId="58A32474" w14:textId="77777777" w:rsidR="006C7F17" w:rsidRDefault="00F326E5" w:rsidP="00F326E5">
      <w:pPr>
        <w:pStyle w:val="NoSpacing"/>
        <w:rPr>
          <w:rFonts w:ascii="Times New Roman" w:hAnsi="Times New Roman"/>
          <w:sz w:val="24"/>
          <w:szCs w:val="24"/>
        </w:rPr>
      </w:pPr>
      <w:r w:rsidRPr="000D5825">
        <w:rPr>
          <w:rFonts w:ascii="Times New Roman" w:hAnsi="Times New Roman"/>
          <w:sz w:val="24"/>
          <w:szCs w:val="24"/>
        </w:rPr>
        <w:t xml:space="preserve">On Feb. 22, 2019, in </w:t>
      </w:r>
      <w:r w:rsidRPr="000D5825">
        <w:rPr>
          <w:rFonts w:ascii="Times New Roman" w:hAnsi="Times New Roman"/>
          <w:sz w:val="24"/>
          <w:szCs w:val="24"/>
          <w:u w:val="single"/>
        </w:rPr>
        <w:t xml:space="preserve">Raul T. </w:t>
      </w:r>
      <w:proofErr w:type="spellStart"/>
      <w:r w:rsidRPr="000D5825">
        <w:rPr>
          <w:rFonts w:ascii="Times New Roman" w:hAnsi="Times New Roman"/>
          <w:sz w:val="24"/>
          <w:szCs w:val="24"/>
          <w:u w:val="single"/>
        </w:rPr>
        <w:t>Aristorenas</w:t>
      </w:r>
      <w:proofErr w:type="spellEnd"/>
      <w:r w:rsidRPr="000D5825">
        <w:rPr>
          <w:rFonts w:ascii="Times New Roman" w:hAnsi="Times New Roman"/>
          <w:sz w:val="24"/>
          <w:szCs w:val="24"/>
          <w:u w:val="single"/>
        </w:rPr>
        <w:t>, et al. v. Montgomery County, Maryland</w:t>
      </w:r>
      <w:r w:rsidRPr="000D5825">
        <w:rPr>
          <w:rFonts w:ascii="Times New Roman" w:hAnsi="Times New Roman"/>
          <w:sz w:val="24"/>
          <w:szCs w:val="24"/>
        </w:rPr>
        <w:t xml:space="preserve">, the Court of Appeals of Maryland, held (3 to 0) in unreported decision upheld the dismissal of the lawsuit by Circuit Court trial judge: </w:t>
      </w:r>
    </w:p>
    <w:p w14:paraId="5BB73285" w14:textId="77777777" w:rsidR="006C7F17" w:rsidRDefault="006C7F17" w:rsidP="00F326E5">
      <w:pPr>
        <w:pStyle w:val="NoSpacing"/>
        <w:rPr>
          <w:rFonts w:ascii="Times New Roman" w:hAnsi="Times New Roman"/>
          <w:sz w:val="24"/>
          <w:szCs w:val="24"/>
        </w:rPr>
      </w:pPr>
    </w:p>
    <w:p w14:paraId="056A9A0A" w14:textId="77777777" w:rsidR="006C7F17" w:rsidRPr="006C7F17" w:rsidRDefault="00F326E5" w:rsidP="006C7F17">
      <w:pPr>
        <w:pStyle w:val="NoSpacing"/>
        <w:ind w:left="720"/>
        <w:rPr>
          <w:rFonts w:ascii="Times New Roman" w:hAnsi="Times New Roman"/>
          <w:sz w:val="24"/>
          <w:szCs w:val="24"/>
        </w:rPr>
      </w:pPr>
      <w:r w:rsidRPr="006C7F17">
        <w:rPr>
          <w:rFonts w:ascii="Times New Roman" w:hAnsi="Times New Roman"/>
          <w:sz w:val="24"/>
          <w:szCs w:val="24"/>
        </w:rPr>
        <w:t>“The [trial] court concluded that the allegations did not state a claim for negligence—which underlies both the wrongful death and the survival claims—because the County is immune from suit and the individual defendants did not owe a duty to Mr. Somarriba or Marlon. We agree and affirm.”</w:t>
      </w:r>
    </w:p>
    <w:p w14:paraId="08FDEA33" w14:textId="76716B15" w:rsidR="00F326E5" w:rsidRPr="006C7F17" w:rsidRDefault="006C7F17" w:rsidP="006C7F17">
      <w:pPr>
        <w:pStyle w:val="NoSpacing"/>
        <w:ind w:left="720"/>
        <w:rPr>
          <w:rFonts w:ascii="Times New Roman" w:hAnsi="Times New Roman"/>
          <w:sz w:val="24"/>
          <w:szCs w:val="24"/>
        </w:rPr>
      </w:pPr>
      <w:hyperlink r:id="rId335" w:history="1">
        <w:r w:rsidRPr="006C7F17">
          <w:rPr>
            <w:rStyle w:val="Hyperlink"/>
            <w:rFonts w:ascii="Times New Roman" w:hAnsi="Times New Roman"/>
            <w:sz w:val="24"/>
            <w:szCs w:val="24"/>
          </w:rPr>
          <w:t>https://mdcourts.gov/sites/default/files/unreported-opinions/2279s17.pdf</w:t>
        </w:r>
      </w:hyperlink>
      <w:r w:rsidR="00F326E5" w:rsidRPr="006C7F17">
        <w:rPr>
          <w:rFonts w:ascii="Times New Roman" w:hAnsi="Times New Roman"/>
          <w:sz w:val="24"/>
          <w:szCs w:val="24"/>
        </w:rPr>
        <w:t xml:space="preserve"> </w:t>
      </w:r>
    </w:p>
    <w:p w14:paraId="43C66349" w14:textId="77777777" w:rsidR="006C7F17" w:rsidRDefault="006C7F17" w:rsidP="00F326E5">
      <w:pPr>
        <w:pStyle w:val="NoSpacing"/>
        <w:rPr>
          <w:rFonts w:ascii="Times New Roman" w:hAnsi="Times New Roman"/>
          <w:b/>
          <w:sz w:val="24"/>
          <w:szCs w:val="24"/>
        </w:rPr>
      </w:pPr>
    </w:p>
    <w:p w14:paraId="100E6B17" w14:textId="51D06BDA" w:rsidR="00F326E5" w:rsidRPr="000D5825" w:rsidRDefault="00F326E5" w:rsidP="00F326E5">
      <w:pPr>
        <w:pStyle w:val="NoSpacing"/>
        <w:rPr>
          <w:rFonts w:ascii="Times New Roman" w:hAnsi="Times New Roman"/>
          <w:b/>
          <w:sz w:val="24"/>
          <w:szCs w:val="24"/>
        </w:rPr>
      </w:pPr>
      <w:r w:rsidRPr="000D5825">
        <w:rPr>
          <w:rFonts w:ascii="Times New Roman" w:hAnsi="Times New Roman"/>
          <w:b/>
          <w:sz w:val="24"/>
          <w:szCs w:val="24"/>
        </w:rPr>
        <w:lastRenderedPageBreak/>
        <w:t xml:space="preserve">Legal Lessons Learned:  This is a tragic case – amazing there was no back up system, or ability to have another 911 Center pick up the calls. </w:t>
      </w:r>
    </w:p>
    <w:bookmarkEnd w:id="68"/>
    <w:p w14:paraId="3EEDA415" w14:textId="77777777" w:rsidR="006C7F17" w:rsidRDefault="006C7F17" w:rsidP="00791CA3">
      <w:pPr>
        <w:rPr>
          <w:rFonts w:ascii="Arial Black" w:hAnsi="Arial Black"/>
          <w:b/>
          <w:sz w:val="24"/>
          <w:szCs w:val="24"/>
        </w:rPr>
      </w:pPr>
    </w:p>
    <w:p w14:paraId="07668947" w14:textId="77777777" w:rsidR="006C7F17" w:rsidRDefault="006C7F17" w:rsidP="00791CA3">
      <w:pPr>
        <w:rPr>
          <w:rFonts w:ascii="Arial Black" w:hAnsi="Arial Black"/>
          <w:b/>
          <w:sz w:val="24"/>
          <w:szCs w:val="24"/>
        </w:rPr>
      </w:pPr>
    </w:p>
    <w:p w14:paraId="079033DB" w14:textId="5A48DD72" w:rsidR="00F326E5" w:rsidRDefault="00791CA3" w:rsidP="00791CA3">
      <w:pPr>
        <w:rPr>
          <w:sz w:val="24"/>
          <w:szCs w:val="24"/>
        </w:rPr>
      </w:pPr>
      <w:r w:rsidRPr="00791CA3">
        <w:rPr>
          <w:rFonts w:ascii="Arial Black" w:hAnsi="Arial Black"/>
          <w:b/>
          <w:sz w:val="24"/>
          <w:szCs w:val="24"/>
        </w:rPr>
        <w:t>1-</w:t>
      </w:r>
      <w:r w:rsidR="00637A12">
        <w:rPr>
          <w:rFonts w:ascii="Arial Black" w:hAnsi="Arial Black"/>
          <w:b/>
          <w:sz w:val="24"/>
          <w:szCs w:val="24"/>
        </w:rPr>
        <w:t>20</w:t>
      </w:r>
    </w:p>
    <w:p w14:paraId="422200A5" w14:textId="7A60CD50" w:rsidR="00F326E5" w:rsidRDefault="00F326E5" w:rsidP="00F326E5">
      <w:pPr>
        <w:pStyle w:val="NoSpacing"/>
        <w:rPr>
          <w:rFonts w:ascii="Arial Black" w:hAnsi="Arial Black"/>
          <w:sz w:val="28"/>
          <w:szCs w:val="28"/>
        </w:rPr>
      </w:pPr>
      <w:bookmarkStart w:id="69" w:name="_Hlk7339326"/>
      <w:r w:rsidRPr="006F4065">
        <w:rPr>
          <w:rFonts w:ascii="Arial Black" w:hAnsi="Arial Black"/>
          <w:sz w:val="28"/>
          <w:szCs w:val="28"/>
        </w:rPr>
        <w:t>U.S. SUPREME COURT:  EXECUTION</w:t>
      </w:r>
      <w:r>
        <w:rPr>
          <w:rFonts w:ascii="Arial Black" w:hAnsi="Arial Black"/>
          <w:sz w:val="28"/>
          <w:szCs w:val="28"/>
        </w:rPr>
        <w:t xml:space="preserve"> – INMATE NOT ENTITLED TO HAVE IMAM PRESENT IN DEATH CHAMBER </w:t>
      </w:r>
    </w:p>
    <w:p w14:paraId="0CAD3B26" w14:textId="77777777" w:rsidR="00637A12" w:rsidRDefault="00637A12" w:rsidP="00F326E5">
      <w:pPr>
        <w:rPr>
          <w:rFonts w:ascii="Times New Roman" w:hAnsi="Times New Roman"/>
          <w:sz w:val="24"/>
          <w:szCs w:val="24"/>
        </w:rPr>
      </w:pPr>
    </w:p>
    <w:p w14:paraId="2D7F9A9A" w14:textId="3FDFEDA9" w:rsidR="00F326E5" w:rsidRPr="00015208" w:rsidRDefault="00F326E5" w:rsidP="00F326E5">
      <w:pPr>
        <w:rPr>
          <w:rStyle w:val="Hyperlink"/>
          <w:rFonts w:ascii="Times New Roman" w:hAnsi="Times New Roman"/>
          <w:sz w:val="24"/>
          <w:szCs w:val="24"/>
        </w:rPr>
      </w:pPr>
      <w:r w:rsidRPr="00015208">
        <w:rPr>
          <w:rFonts w:ascii="Times New Roman" w:hAnsi="Times New Roman"/>
          <w:sz w:val="24"/>
          <w:szCs w:val="24"/>
        </w:rPr>
        <w:t xml:space="preserve">On Feb. 7, 2019, in </w:t>
      </w:r>
      <w:r w:rsidRPr="00015208">
        <w:rPr>
          <w:rFonts w:ascii="Times New Roman" w:hAnsi="Times New Roman"/>
          <w:sz w:val="24"/>
          <w:szCs w:val="24"/>
          <w:u w:val="single"/>
        </w:rPr>
        <w:t>Jefferson S. Dunn, Commissioner, Alabama Department of Corrections v. Dominique Hakim Marcelle Ray</w:t>
      </w:r>
      <w:r w:rsidRPr="00015208">
        <w:rPr>
          <w:rFonts w:ascii="Times New Roman" w:hAnsi="Times New Roman"/>
          <w:sz w:val="24"/>
          <w:szCs w:val="24"/>
        </w:rPr>
        <w:t xml:space="preserve">, </w:t>
      </w:r>
      <w:proofErr w:type="gramStart"/>
      <w:r w:rsidRPr="00015208">
        <w:rPr>
          <w:rFonts w:ascii="Times New Roman" w:hAnsi="Times New Roman"/>
          <w:sz w:val="24"/>
          <w:szCs w:val="24"/>
        </w:rPr>
        <w:t>the majority of</w:t>
      </w:r>
      <w:proofErr w:type="gramEnd"/>
      <w:r w:rsidRPr="00015208">
        <w:rPr>
          <w:rFonts w:ascii="Times New Roman" w:hAnsi="Times New Roman"/>
          <w:sz w:val="24"/>
          <w:szCs w:val="24"/>
        </w:rPr>
        <w:t xml:space="preserve"> Justices [5 to 4] overturned 11</w:t>
      </w:r>
      <w:r w:rsidRPr="00015208">
        <w:rPr>
          <w:rFonts w:ascii="Times New Roman" w:hAnsi="Times New Roman"/>
          <w:sz w:val="24"/>
          <w:szCs w:val="24"/>
          <w:vertAlign w:val="superscript"/>
        </w:rPr>
        <w:t>th</w:t>
      </w:r>
      <w:r w:rsidRPr="00015208">
        <w:rPr>
          <w:rFonts w:ascii="Times New Roman" w:hAnsi="Times New Roman"/>
          <w:sz w:val="24"/>
          <w:szCs w:val="24"/>
        </w:rPr>
        <w:t xml:space="preserve"> Circuit’s Feb. 6, </w:t>
      </w:r>
      <w:proofErr w:type="gramStart"/>
      <w:r w:rsidRPr="00015208">
        <w:rPr>
          <w:rFonts w:ascii="Times New Roman" w:hAnsi="Times New Roman"/>
          <w:sz w:val="24"/>
          <w:szCs w:val="24"/>
        </w:rPr>
        <w:t>2019</w:t>
      </w:r>
      <w:proofErr w:type="gramEnd"/>
      <w:r w:rsidRPr="00015208">
        <w:rPr>
          <w:rFonts w:ascii="Times New Roman" w:hAnsi="Times New Roman"/>
          <w:sz w:val="24"/>
          <w:szCs w:val="24"/>
        </w:rPr>
        <w:t xml:space="preserve"> stay of execution of Ray, who has raped and murdered a </w:t>
      </w:r>
      <w:proofErr w:type="gramStart"/>
      <w:r w:rsidRPr="00015208">
        <w:rPr>
          <w:rFonts w:ascii="Times New Roman" w:hAnsi="Times New Roman"/>
          <w:sz w:val="24"/>
          <w:szCs w:val="24"/>
        </w:rPr>
        <w:t>15-year old</w:t>
      </w:r>
      <w:proofErr w:type="gramEnd"/>
      <w:r w:rsidRPr="00015208">
        <w:rPr>
          <w:rFonts w:ascii="Times New Roman" w:hAnsi="Times New Roman"/>
          <w:sz w:val="24"/>
          <w:szCs w:val="24"/>
        </w:rPr>
        <w:t xml:space="preserve"> girl in 1995.   Ray had asked Alabama prison officials to allow an imam to be in the death chamber, but only correction employees are allowed, including a long employed Christian chaplain. [The State of Alabama then executed the prisoner on Feb. 7, at 10:12 pm.] </w:t>
      </w:r>
      <w:hyperlink r:id="rId336" w:history="1">
        <w:r w:rsidRPr="00015208">
          <w:rPr>
            <w:rStyle w:val="Hyperlink"/>
            <w:rFonts w:ascii="Times New Roman" w:hAnsi="Times New Roman"/>
            <w:sz w:val="24"/>
            <w:szCs w:val="24"/>
          </w:rPr>
          <w:t>https://www.supremecourt.gov/opinions/18pdf/18a815_3d9g.pdf</w:t>
        </w:r>
      </w:hyperlink>
    </w:p>
    <w:p w14:paraId="135AC590" w14:textId="77777777" w:rsidR="00F326E5" w:rsidRPr="00015208" w:rsidRDefault="00F326E5" w:rsidP="00F326E5">
      <w:pPr>
        <w:pStyle w:val="NoSpacing"/>
        <w:rPr>
          <w:rFonts w:ascii="Times New Roman" w:hAnsi="Times New Roman"/>
          <w:sz w:val="24"/>
          <w:szCs w:val="24"/>
        </w:rPr>
      </w:pPr>
      <w:r w:rsidRPr="00015208">
        <w:rPr>
          <w:rFonts w:ascii="Times New Roman" w:hAnsi="Times New Roman"/>
          <w:b/>
          <w:sz w:val="24"/>
          <w:szCs w:val="24"/>
        </w:rPr>
        <w:t>Legal Lessons Learned:  The Supreme Court’s five “conservative” Justices have made it clear that last minute stays of execution are not favored</w:t>
      </w:r>
      <w:r w:rsidRPr="00015208">
        <w:rPr>
          <w:rFonts w:ascii="Times New Roman" w:hAnsi="Times New Roman"/>
          <w:sz w:val="24"/>
          <w:szCs w:val="24"/>
        </w:rPr>
        <w:t xml:space="preserve">. </w:t>
      </w:r>
    </w:p>
    <w:p w14:paraId="25C5C679" w14:textId="77777777" w:rsidR="002B1283" w:rsidRDefault="002B1283" w:rsidP="00F326E5">
      <w:pPr>
        <w:pStyle w:val="NoSpacing"/>
        <w:ind w:left="720"/>
        <w:rPr>
          <w:sz w:val="24"/>
          <w:szCs w:val="24"/>
        </w:rPr>
      </w:pPr>
    </w:p>
    <w:p w14:paraId="3F17E0F5" w14:textId="6EB1603C" w:rsidR="00F326E5" w:rsidRPr="00015208" w:rsidRDefault="00F326E5" w:rsidP="00F326E5">
      <w:pPr>
        <w:pStyle w:val="NoSpacing"/>
        <w:ind w:left="720"/>
        <w:rPr>
          <w:rFonts w:ascii="Times New Roman" w:hAnsi="Times New Roman"/>
          <w:sz w:val="24"/>
          <w:szCs w:val="24"/>
        </w:rPr>
      </w:pPr>
      <w:r w:rsidRPr="00015208">
        <w:rPr>
          <w:rFonts w:ascii="Times New Roman" w:hAnsi="Times New Roman"/>
          <w:sz w:val="24"/>
          <w:szCs w:val="24"/>
        </w:rPr>
        <w:t xml:space="preserve">See Feb. 7, </w:t>
      </w:r>
      <w:proofErr w:type="gramStart"/>
      <w:r w:rsidRPr="00015208">
        <w:rPr>
          <w:rFonts w:ascii="Times New Roman" w:hAnsi="Times New Roman"/>
          <w:sz w:val="24"/>
          <w:szCs w:val="24"/>
        </w:rPr>
        <w:t>2018</w:t>
      </w:r>
      <w:proofErr w:type="gramEnd"/>
      <w:r w:rsidRPr="00015208">
        <w:rPr>
          <w:rFonts w:ascii="Times New Roman" w:hAnsi="Times New Roman"/>
          <w:sz w:val="24"/>
          <w:szCs w:val="24"/>
        </w:rPr>
        <w:t xml:space="preserve"> article, “Alabama Executes Muslim Inmate Who Wanted Imam Present.”   “Ray was convicted in 1999 after another man, Marcus Owden, confessed to his role in the crime and implicated Ray. </w:t>
      </w:r>
      <w:proofErr w:type="spellStart"/>
      <w:r w:rsidRPr="00015208">
        <w:rPr>
          <w:rFonts w:ascii="Times New Roman" w:hAnsi="Times New Roman"/>
          <w:sz w:val="24"/>
          <w:szCs w:val="24"/>
        </w:rPr>
        <w:t>Owden</w:t>
      </w:r>
      <w:proofErr w:type="spellEnd"/>
      <w:r w:rsidRPr="00015208">
        <w:rPr>
          <w:rFonts w:ascii="Times New Roman" w:hAnsi="Times New Roman"/>
          <w:sz w:val="24"/>
          <w:szCs w:val="24"/>
        </w:rPr>
        <w:t xml:space="preserve"> told police that they had picked the girl up for a night out on the town and then raped her. </w:t>
      </w:r>
      <w:proofErr w:type="spellStart"/>
      <w:r w:rsidRPr="00015208">
        <w:rPr>
          <w:rFonts w:ascii="Times New Roman" w:hAnsi="Times New Roman"/>
          <w:sz w:val="24"/>
          <w:szCs w:val="24"/>
        </w:rPr>
        <w:t>Owden</w:t>
      </w:r>
      <w:proofErr w:type="spellEnd"/>
      <w:r w:rsidRPr="00015208">
        <w:rPr>
          <w:rFonts w:ascii="Times New Roman" w:hAnsi="Times New Roman"/>
          <w:sz w:val="24"/>
          <w:szCs w:val="24"/>
        </w:rPr>
        <w:t xml:space="preserve"> said that Ray cut the girl’s throat. </w:t>
      </w:r>
      <w:proofErr w:type="spellStart"/>
      <w:r w:rsidRPr="00015208">
        <w:rPr>
          <w:rFonts w:ascii="Times New Roman" w:hAnsi="Times New Roman"/>
          <w:sz w:val="24"/>
          <w:szCs w:val="24"/>
        </w:rPr>
        <w:t>Owden</w:t>
      </w:r>
      <w:proofErr w:type="spellEnd"/>
      <w:r w:rsidRPr="00015208">
        <w:rPr>
          <w:rFonts w:ascii="Times New Roman" w:hAnsi="Times New Roman"/>
          <w:sz w:val="24"/>
          <w:szCs w:val="24"/>
        </w:rPr>
        <w:t xml:space="preserve"> pleaded guilty to murder, testified against Ray and is serving a life sentence without parole. A jury recommended the death penalty for Ray by an 11-1 vote.” </w:t>
      </w:r>
      <w:hyperlink r:id="rId337" w:history="1">
        <w:r w:rsidRPr="00015208">
          <w:rPr>
            <w:rStyle w:val="Hyperlink"/>
            <w:rFonts w:ascii="Times New Roman" w:hAnsi="Times New Roman"/>
            <w:sz w:val="24"/>
            <w:szCs w:val="24"/>
          </w:rPr>
          <w:t>https://www.apnews.com/50ced4152dc74df1975a925e4fa29038</w:t>
        </w:r>
      </w:hyperlink>
    </w:p>
    <w:p w14:paraId="121DFB90" w14:textId="77777777" w:rsidR="00F326E5" w:rsidRPr="00015208" w:rsidRDefault="00F326E5" w:rsidP="00F326E5">
      <w:pPr>
        <w:pStyle w:val="NoSpacing"/>
        <w:ind w:left="720"/>
        <w:rPr>
          <w:rStyle w:val="Hyperlink"/>
          <w:rFonts w:ascii="Times New Roman" w:hAnsi="Times New Roman"/>
          <w:sz w:val="24"/>
          <w:szCs w:val="24"/>
        </w:rPr>
      </w:pPr>
      <w:r w:rsidRPr="00015208">
        <w:rPr>
          <w:rFonts w:ascii="Times New Roman" w:hAnsi="Times New Roman"/>
          <w:sz w:val="24"/>
          <w:szCs w:val="24"/>
        </w:rPr>
        <w:t xml:space="preserve">See Feb. 8, </w:t>
      </w:r>
      <w:proofErr w:type="gramStart"/>
      <w:r w:rsidRPr="00015208">
        <w:rPr>
          <w:rFonts w:ascii="Times New Roman" w:hAnsi="Times New Roman"/>
          <w:sz w:val="24"/>
          <w:szCs w:val="24"/>
        </w:rPr>
        <w:t>2019</w:t>
      </w:r>
      <w:proofErr w:type="gramEnd"/>
      <w:r w:rsidRPr="00015208">
        <w:rPr>
          <w:rFonts w:ascii="Times New Roman" w:hAnsi="Times New Roman"/>
          <w:sz w:val="24"/>
          <w:szCs w:val="24"/>
        </w:rPr>
        <w:t xml:space="preserve"> Washington Post article: “Abortion, Death Penalty, Religion: Late-Night Rulings Show New Alliances </w:t>
      </w:r>
      <w:proofErr w:type="gramStart"/>
      <w:r w:rsidRPr="00015208">
        <w:rPr>
          <w:rFonts w:ascii="Times New Roman" w:hAnsi="Times New Roman"/>
          <w:sz w:val="24"/>
          <w:szCs w:val="24"/>
        </w:rPr>
        <w:t>At</w:t>
      </w:r>
      <w:proofErr w:type="gramEnd"/>
      <w:r w:rsidRPr="00015208">
        <w:rPr>
          <w:rFonts w:ascii="Times New Roman" w:hAnsi="Times New Roman"/>
          <w:sz w:val="24"/>
          <w:szCs w:val="24"/>
        </w:rPr>
        <w:t xml:space="preserve"> Supreme Court.”  </w:t>
      </w:r>
      <w:hyperlink r:id="rId338" w:history="1">
        <w:r w:rsidRPr="00015208">
          <w:rPr>
            <w:rStyle w:val="Hyperlink"/>
            <w:rFonts w:ascii="Times New Roman" w:hAnsi="Times New Roman"/>
            <w:sz w:val="24"/>
            <w:szCs w:val="24"/>
          </w:rPr>
          <w:t>https://www.washingtonpost.com/politics/courts_law/abortion-death-penalty-religion-late-night-rulings-show-new-alliances-at-supreme-court/2019/02/08/681cc252-2bb9-11e9-b011-d8500644dc98_story.html?utm_term=.6e954895539e&amp;wpisrc=nl_evening&amp;wpmm=1</w:t>
        </w:r>
      </w:hyperlink>
    </w:p>
    <w:p w14:paraId="23486DA6" w14:textId="77777777" w:rsidR="00F326E5" w:rsidRPr="00015208" w:rsidRDefault="00F326E5" w:rsidP="00F326E5">
      <w:pPr>
        <w:pStyle w:val="NoSpacing"/>
        <w:rPr>
          <w:rFonts w:ascii="Times New Roman" w:hAnsi="Times New Roman"/>
          <w:sz w:val="24"/>
          <w:szCs w:val="24"/>
        </w:rPr>
      </w:pPr>
    </w:p>
    <w:bookmarkEnd w:id="69"/>
    <w:p w14:paraId="00DEA165" w14:textId="77777777" w:rsidR="00536545" w:rsidRDefault="00536545" w:rsidP="00791CA3">
      <w:pPr>
        <w:rPr>
          <w:rFonts w:ascii="Arial Black" w:hAnsi="Arial Black"/>
          <w:b/>
          <w:sz w:val="24"/>
          <w:szCs w:val="24"/>
        </w:rPr>
      </w:pPr>
    </w:p>
    <w:p w14:paraId="0E947CD1" w14:textId="08C9C62B" w:rsidR="00F326E5" w:rsidRDefault="00791CA3" w:rsidP="00791CA3">
      <w:pPr>
        <w:rPr>
          <w:b/>
          <w:sz w:val="24"/>
          <w:szCs w:val="24"/>
        </w:rPr>
      </w:pPr>
      <w:r w:rsidRPr="00791CA3">
        <w:rPr>
          <w:rFonts w:ascii="Arial Black" w:hAnsi="Arial Black"/>
          <w:b/>
          <w:sz w:val="24"/>
          <w:szCs w:val="24"/>
        </w:rPr>
        <w:t>1-</w:t>
      </w:r>
      <w:r>
        <w:rPr>
          <w:rFonts w:ascii="Arial Black" w:hAnsi="Arial Black"/>
          <w:b/>
          <w:sz w:val="24"/>
          <w:szCs w:val="24"/>
        </w:rPr>
        <w:t>1</w:t>
      </w:r>
      <w:r w:rsidR="00637A12">
        <w:rPr>
          <w:rFonts w:ascii="Arial Black" w:hAnsi="Arial Black"/>
          <w:b/>
          <w:sz w:val="24"/>
          <w:szCs w:val="24"/>
        </w:rPr>
        <w:t>9</w:t>
      </w:r>
    </w:p>
    <w:p w14:paraId="718524CE" w14:textId="2F5BE05B" w:rsidR="00F326E5" w:rsidRDefault="00F326E5" w:rsidP="00F326E5">
      <w:pPr>
        <w:pStyle w:val="NoSpacing"/>
        <w:rPr>
          <w:rFonts w:ascii="Arial Black" w:hAnsi="Arial Black"/>
          <w:sz w:val="28"/>
          <w:szCs w:val="28"/>
        </w:rPr>
      </w:pPr>
      <w:bookmarkStart w:id="70" w:name="_Hlk7339379"/>
      <w:r w:rsidRPr="00C25785">
        <w:rPr>
          <w:rFonts w:ascii="Arial Black" w:hAnsi="Arial Black"/>
          <w:sz w:val="28"/>
          <w:szCs w:val="28"/>
        </w:rPr>
        <w:t xml:space="preserve">MA: </w:t>
      </w:r>
      <w:r>
        <w:rPr>
          <w:rFonts w:ascii="Arial Black" w:hAnsi="Arial Black"/>
          <w:sz w:val="28"/>
          <w:szCs w:val="28"/>
        </w:rPr>
        <w:t>SPRINKLERS - DRUG REHAB HOUSE WITH 8 PATIENTS – COURT UPHOLDS FIRE CODE</w:t>
      </w:r>
    </w:p>
    <w:p w14:paraId="1BE1EC99" w14:textId="77777777" w:rsidR="00F326E5" w:rsidRPr="00015208" w:rsidRDefault="00F326E5" w:rsidP="00F326E5">
      <w:pPr>
        <w:rPr>
          <w:rFonts w:ascii="Times New Roman" w:hAnsi="Times New Roman"/>
          <w:sz w:val="24"/>
          <w:szCs w:val="24"/>
        </w:rPr>
      </w:pPr>
      <w:r w:rsidRPr="00015208">
        <w:rPr>
          <w:rFonts w:ascii="Times New Roman" w:hAnsi="Times New Roman"/>
          <w:sz w:val="24"/>
          <w:szCs w:val="24"/>
        </w:rPr>
        <w:t xml:space="preserve">On Jan. 29, 2019, in </w:t>
      </w:r>
      <w:r w:rsidRPr="00015208">
        <w:rPr>
          <w:rFonts w:ascii="Times New Roman" w:hAnsi="Times New Roman"/>
          <w:sz w:val="24"/>
          <w:szCs w:val="24"/>
          <w:u w:val="single"/>
        </w:rPr>
        <w:t xml:space="preserve">Crossing Over, Inc, et al. v. City of </w:t>
      </w:r>
      <w:proofErr w:type="spellStart"/>
      <w:r w:rsidRPr="00015208">
        <w:rPr>
          <w:rFonts w:ascii="Times New Roman" w:hAnsi="Times New Roman"/>
          <w:sz w:val="24"/>
          <w:szCs w:val="24"/>
          <w:u w:val="single"/>
        </w:rPr>
        <w:t>Fitchberg</w:t>
      </w:r>
      <w:proofErr w:type="spellEnd"/>
      <w:r w:rsidRPr="00015208">
        <w:rPr>
          <w:rFonts w:ascii="Times New Roman" w:hAnsi="Times New Roman"/>
          <w:sz w:val="24"/>
          <w:szCs w:val="24"/>
        </w:rPr>
        <w:t xml:space="preserve">, Justice Rosemary Connelly, MA Superior Court upheld the July 14, </w:t>
      </w:r>
      <w:proofErr w:type="gramStart"/>
      <w:r w:rsidRPr="00015208">
        <w:rPr>
          <w:rFonts w:ascii="Times New Roman" w:hAnsi="Times New Roman"/>
          <w:sz w:val="24"/>
          <w:szCs w:val="24"/>
        </w:rPr>
        <w:t>2017</w:t>
      </w:r>
      <w:proofErr w:type="gramEnd"/>
      <w:r w:rsidRPr="00015208">
        <w:rPr>
          <w:rFonts w:ascii="Times New Roman" w:hAnsi="Times New Roman"/>
          <w:sz w:val="24"/>
          <w:szCs w:val="24"/>
        </w:rPr>
        <w:t xml:space="preserve"> decision of the “Automatic Sprinkler Appeals Board” which held:</w:t>
      </w:r>
    </w:p>
    <w:p w14:paraId="453E6380" w14:textId="5AE47AAE" w:rsidR="00F326E5" w:rsidRPr="00015208" w:rsidRDefault="006C7F17" w:rsidP="00F326E5">
      <w:pPr>
        <w:ind w:left="720"/>
        <w:rPr>
          <w:rFonts w:ascii="Times New Roman" w:hAnsi="Times New Roman"/>
          <w:b/>
          <w:sz w:val="24"/>
          <w:szCs w:val="24"/>
        </w:rPr>
      </w:pPr>
      <w:r>
        <w:rPr>
          <w:rFonts w:ascii="Times New Roman" w:hAnsi="Times New Roman"/>
          <w:sz w:val="24"/>
          <w:szCs w:val="24"/>
        </w:rPr>
        <w:t>“</w:t>
      </w:r>
      <w:r w:rsidR="00F326E5" w:rsidRPr="00015208">
        <w:rPr>
          <w:rFonts w:ascii="Times New Roman" w:hAnsi="Times New Roman"/>
          <w:sz w:val="24"/>
          <w:szCs w:val="24"/>
        </w:rPr>
        <w:t xml:space="preserve">Based upon the aforementioned findings and reasoning, the Board hereby upholds the Order of the Fitchburg Fire Department and requires the installation of an adequate system of sprinklers throughout all portions of the subject building used and/or occupied for boarding or lodging purposes….” </w:t>
      </w:r>
      <w:hyperlink r:id="rId339" w:history="1">
        <w:r w:rsidR="00F326E5" w:rsidRPr="00015208">
          <w:rPr>
            <w:rStyle w:val="Hyperlink"/>
            <w:rFonts w:ascii="Times New Roman" w:hAnsi="Times New Roman"/>
            <w:sz w:val="24"/>
            <w:szCs w:val="24"/>
          </w:rPr>
          <w:t>https://www.mass.gov/files/documents/2018/06/22/ASAB%2017-04%20%2044%20Mt.%20Vernon%20St.%2C%20Fitchburg.pdf?_ga=2.103697088.170248601.1551215432-2018690554.1551215432</w:t>
        </w:r>
      </w:hyperlink>
      <w:r w:rsidR="00F326E5" w:rsidRPr="00015208">
        <w:rPr>
          <w:rFonts w:ascii="Times New Roman" w:hAnsi="Times New Roman"/>
          <w:b/>
          <w:sz w:val="24"/>
          <w:szCs w:val="24"/>
        </w:rPr>
        <w:t xml:space="preserve"> </w:t>
      </w:r>
    </w:p>
    <w:p w14:paraId="057C0F01" w14:textId="77777777" w:rsidR="00F326E5" w:rsidRPr="00015208" w:rsidRDefault="00F326E5" w:rsidP="006C7F17">
      <w:pPr>
        <w:pStyle w:val="NoSpacing"/>
        <w:ind w:left="720"/>
        <w:rPr>
          <w:rStyle w:val="Hyperlink"/>
          <w:rFonts w:ascii="Times New Roman" w:hAnsi="Times New Roman"/>
          <w:bCs/>
          <w:sz w:val="24"/>
          <w:szCs w:val="24"/>
        </w:rPr>
      </w:pPr>
      <w:r w:rsidRPr="00015208">
        <w:rPr>
          <w:rFonts w:ascii="Times New Roman" w:hAnsi="Times New Roman"/>
          <w:sz w:val="24"/>
          <w:szCs w:val="24"/>
        </w:rPr>
        <w:lastRenderedPageBreak/>
        <w:t xml:space="preserve">Justice Connelly denied the property owner’s motion to reverse the Board, holding that the Board’s decision is legal, supported by the record, and the Board has not exceeded </w:t>
      </w:r>
      <w:proofErr w:type="spellStart"/>
      <w:proofErr w:type="gramStart"/>
      <w:r w:rsidRPr="00015208">
        <w:rPr>
          <w:rFonts w:ascii="Times New Roman" w:hAnsi="Times New Roman"/>
          <w:sz w:val="24"/>
          <w:szCs w:val="24"/>
        </w:rPr>
        <w:t>it</w:t>
      </w:r>
      <w:proofErr w:type="spellEnd"/>
      <w:proofErr w:type="gramEnd"/>
      <w:r w:rsidRPr="00015208">
        <w:rPr>
          <w:rFonts w:ascii="Times New Roman" w:hAnsi="Times New Roman"/>
          <w:sz w:val="24"/>
          <w:szCs w:val="24"/>
        </w:rPr>
        <w:t xml:space="preserve"> authority.  The court will give deference to the Board’s reasonable interpretation of its own statute.” </w:t>
      </w:r>
      <w:hyperlink r:id="rId340" w:history="1">
        <w:r w:rsidRPr="00015208">
          <w:rPr>
            <w:rStyle w:val="Hyperlink"/>
            <w:rFonts w:ascii="Times New Roman" w:hAnsi="Times New Roman"/>
            <w:sz w:val="24"/>
            <w:szCs w:val="24"/>
          </w:rPr>
          <w:t>https://d279m997dpfwgl.cloudfront.net/wp/2019/02/EPSON520.pdf</w:t>
        </w:r>
      </w:hyperlink>
    </w:p>
    <w:p w14:paraId="5077CBA9" w14:textId="77777777" w:rsidR="006C7F17" w:rsidRDefault="006C7F17" w:rsidP="00F326E5">
      <w:pPr>
        <w:pStyle w:val="NoSpacing"/>
        <w:rPr>
          <w:rFonts w:ascii="Times New Roman" w:hAnsi="Times New Roman"/>
          <w:b/>
          <w:sz w:val="24"/>
          <w:szCs w:val="24"/>
        </w:rPr>
      </w:pPr>
    </w:p>
    <w:p w14:paraId="03584341" w14:textId="0A433C95"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Sprinkler ordinances save lives. </w:t>
      </w:r>
    </w:p>
    <w:p w14:paraId="64C176AE" w14:textId="61D989AA" w:rsidR="00FB71EA" w:rsidRDefault="00FB71EA" w:rsidP="00F326E5">
      <w:pPr>
        <w:rPr>
          <w:bCs/>
          <w:sz w:val="24"/>
          <w:szCs w:val="24"/>
        </w:rPr>
      </w:pPr>
    </w:p>
    <w:p w14:paraId="79229CA2" w14:textId="77777777" w:rsidR="00637A12" w:rsidRDefault="00637A12" w:rsidP="00F326E5">
      <w:pPr>
        <w:rPr>
          <w:rFonts w:ascii="Arial Black" w:hAnsi="Arial Black"/>
          <w:bCs/>
          <w:sz w:val="24"/>
          <w:szCs w:val="24"/>
        </w:rPr>
      </w:pPr>
    </w:p>
    <w:p w14:paraId="71831CF1" w14:textId="42595BC6" w:rsidR="00637A12" w:rsidRPr="00637A12" w:rsidRDefault="00637A12" w:rsidP="00F326E5">
      <w:pPr>
        <w:rPr>
          <w:rFonts w:ascii="Arial Black" w:hAnsi="Arial Black"/>
          <w:bCs/>
          <w:sz w:val="24"/>
          <w:szCs w:val="24"/>
        </w:rPr>
      </w:pPr>
      <w:r w:rsidRPr="00637A12">
        <w:rPr>
          <w:rFonts w:ascii="Arial Black" w:hAnsi="Arial Black"/>
          <w:bCs/>
          <w:sz w:val="24"/>
          <w:szCs w:val="24"/>
        </w:rPr>
        <w:t>1-18</w:t>
      </w:r>
    </w:p>
    <w:p w14:paraId="39A0482A" w14:textId="77777777" w:rsidR="006C7F17" w:rsidRDefault="006C7F17" w:rsidP="00F326E5">
      <w:pPr>
        <w:pStyle w:val="NoSpacing"/>
        <w:rPr>
          <w:rFonts w:ascii="Arial Black" w:hAnsi="Arial Black"/>
          <w:b/>
          <w:sz w:val="28"/>
          <w:szCs w:val="28"/>
        </w:rPr>
      </w:pPr>
      <w:bookmarkStart w:id="71" w:name="_Hlk7339428"/>
      <w:bookmarkEnd w:id="70"/>
    </w:p>
    <w:p w14:paraId="404CBBDD" w14:textId="1ECD00B1" w:rsidR="00F326E5" w:rsidRDefault="00F326E5" w:rsidP="00F326E5">
      <w:pPr>
        <w:pStyle w:val="NoSpacing"/>
        <w:rPr>
          <w:rFonts w:ascii="Arial Black" w:hAnsi="Arial Black"/>
          <w:b/>
          <w:sz w:val="28"/>
          <w:szCs w:val="28"/>
        </w:rPr>
      </w:pPr>
      <w:r>
        <w:rPr>
          <w:rFonts w:ascii="Arial Black" w:hAnsi="Arial Black"/>
          <w:b/>
          <w:sz w:val="28"/>
          <w:szCs w:val="28"/>
        </w:rPr>
        <w:t>PA: ARSON – DEFENDANT SMELLED OF GASOLINE, TRAINED ARSON DOG ALERTED</w:t>
      </w:r>
    </w:p>
    <w:p w14:paraId="5ACFF1EA" w14:textId="77777777" w:rsidR="00F326E5" w:rsidRPr="00015208" w:rsidRDefault="00F326E5" w:rsidP="00F326E5">
      <w:pPr>
        <w:pStyle w:val="NoSpacing"/>
        <w:rPr>
          <w:rStyle w:val="Hyperlink"/>
          <w:rFonts w:ascii="Times New Roman" w:hAnsi="Times New Roman"/>
          <w:sz w:val="24"/>
          <w:szCs w:val="24"/>
        </w:rPr>
      </w:pPr>
      <w:r w:rsidRPr="00015208">
        <w:rPr>
          <w:rFonts w:ascii="Times New Roman" w:hAnsi="Times New Roman"/>
          <w:sz w:val="24"/>
          <w:szCs w:val="24"/>
        </w:rPr>
        <w:t xml:space="preserve">On Jan. 11, 2019, in </w:t>
      </w:r>
      <w:r w:rsidRPr="00015208">
        <w:rPr>
          <w:rFonts w:ascii="Times New Roman" w:hAnsi="Times New Roman"/>
          <w:sz w:val="24"/>
          <w:szCs w:val="24"/>
          <w:u w:val="single"/>
        </w:rPr>
        <w:t>Commonwealth of Pennsylvania v. Jamat Ali Manzoor</w:t>
      </w:r>
      <w:r w:rsidRPr="00015208">
        <w:rPr>
          <w:rFonts w:ascii="Times New Roman" w:hAnsi="Times New Roman"/>
          <w:sz w:val="24"/>
          <w:szCs w:val="24"/>
        </w:rPr>
        <w:t xml:space="preserve">,  the Superior Court of PA (3 to 0) upheld the jury conviction on two counts of arson, and insurance fraud.  </w:t>
      </w:r>
      <w:hyperlink r:id="rId341" w:history="1">
        <w:r w:rsidRPr="00015208">
          <w:rPr>
            <w:rStyle w:val="Hyperlink"/>
            <w:rFonts w:ascii="Times New Roman" w:hAnsi="Times New Roman"/>
            <w:sz w:val="24"/>
            <w:szCs w:val="24"/>
          </w:rPr>
          <w:t>https://cases.justia.com/pennsylvania/superior-court/2019-1121-mda-2017.pdf?ts=1547235373</w:t>
        </w:r>
      </w:hyperlink>
    </w:p>
    <w:p w14:paraId="768075AC" w14:textId="77777777"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Evidence of trained arson K-9 </w:t>
      </w:r>
      <w:proofErr w:type="gramStart"/>
      <w:r w:rsidRPr="00015208">
        <w:rPr>
          <w:rFonts w:ascii="Times New Roman" w:hAnsi="Times New Roman"/>
          <w:b/>
          <w:sz w:val="24"/>
          <w:szCs w:val="24"/>
        </w:rPr>
        <w:t>alerting for</w:t>
      </w:r>
      <w:proofErr w:type="gramEnd"/>
      <w:r w:rsidRPr="00015208">
        <w:rPr>
          <w:rFonts w:ascii="Times New Roman" w:hAnsi="Times New Roman"/>
          <w:b/>
          <w:sz w:val="24"/>
          <w:szCs w:val="24"/>
        </w:rPr>
        <w:t xml:space="preserve"> accelerants to admissible in arson trial. </w:t>
      </w:r>
    </w:p>
    <w:p w14:paraId="1804AFE1" w14:textId="77777777" w:rsidR="00015208" w:rsidRDefault="00015208" w:rsidP="00F326E5">
      <w:pPr>
        <w:pStyle w:val="NoSpacing"/>
        <w:rPr>
          <w:rFonts w:ascii="Times New Roman" w:hAnsi="Times New Roman"/>
          <w:b/>
          <w:sz w:val="24"/>
          <w:szCs w:val="24"/>
        </w:rPr>
      </w:pPr>
    </w:p>
    <w:p w14:paraId="392F3541" w14:textId="250DA877" w:rsidR="00F326E5" w:rsidRPr="00015208" w:rsidRDefault="00F326E5" w:rsidP="00F326E5">
      <w:pPr>
        <w:pStyle w:val="NoSpacing"/>
        <w:rPr>
          <w:rFonts w:ascii="Times New Roman" w:hAnsi="Times New Roman"/>
          <w:bCs/>
          <w:sz w:val="24"/>
          <w:szCs w:val="24"/>
        </w:rPr>
      </w:pPr>
      <w:r w:rsidRPr="00015208">
        <w:rPr>
          <w:rFonts w:ascii="Times New Roman" w:hAnsi="Times New Roman"/>
          <w:bCs/>
          <w:sz w:val="24"/>
          <w:szCs w:val="24"/>
        </w:rPr>
        <w:t xml:space="preserve">See my case analysis: </w:t>
      </w:r>
      <w:hyperlink r:id="rId342" w:history="1">
        <w:r w:rsidRPr="00015208">
          <w:rPr>
            <w:rStyle w:val="Hyperlink"/>
            <w:rFonts w:ascii="Times New Roman" w:hAnsi="Times New Roman"/>
            <w:bCs/>
            <w:sz w:val="24"/>
            <w:szCs w:val="24"/>
          </w:rPr>
          <w:t>https://ceas.uc.edu/content/dam/refresh/ceas-62/documents/academics/departments/aerospace-engineering-&amp;-engineering-mechanics/fire-science/1Jan.%202019%20Newsletter%20ADA%200.pdf</w:t>
        </w:r>
      </w:hyperlink>
      <w:r w:rsidRPr="00015208">
        <w:rPr>
          <w:rFonts w:ascii="Times New Roman" w:hAnsi="Times New Roman"/>
          <w:bCs/>
          <w:sz w:val="24"/>
          <w:szCs w:val="24"/>
        </w:rPr>
        <w:t xml:space="preserve"> </w:t>
      </w:r>
      <w:r w:rsidRPr="00015208">
        <w:rPr>
          <w:rFonts w:ascii="Times New Roman" w:hAnsi="Times New Roman"/>
          <w:bCs/>
          <w:sz w:val="24"/>
          <w:szCs w:val="24"/>
        </w:rPr>
        <w:tab/>
      </w:r>
    </w:p>
    <w:p w14:paraId="631ADC7F" w14:textId="77777777" w:rsidR="00F326E5" w:rsidRDefault="00F326E5" w:rsidP="00F326E5">
      <w:pPr>
        <w:pStyle w:val="NoSpacing"/>
        <w:rPr>
          <w:rFonts w:ascii="Times New Roman" w:hAnsi="Times New Roman"/>
          <w:sz w:val="24"/>
          <w:szCs w:val="24"/>
        </w:rPr>
      </w:pPr>
    </w:p>
    <w:bookmarkEnd w:id="71"/>
    <w:p w14:paraId="1889E4D5" w14:textId="77777777" w:rsidR="00F326E5" w:rsidRDefault="00F326E5" w:rsidP="00F326E5">
      <w:pPr>
        <w:pStyle w:val="NoSpacing"/>
        <w:rPr>
          <w:rFonts w:ascii="Times New Roman" w:hAnsi="Times New Roman"/>
          <w:sz w:val="24"/>
          <w:szCs w:val="24"/>
        </w:rPr>
      </w:pPr>
    </w:p>
    <w:p w14:paraId="7D1C7A0B" w14:textId="77777777" w:rsidR="00F326E5" w:rsidRDefault="00F326E5" w:rsidP="00F326E5">
      <w:pPr>
        <w:pStyle w:val="NoSpacing"/>
        <w:rPr>
          <w:sz w:val="24"/>
          <w:szCs w:val="24"/>
        </w:rPr>
      </w:pPr>
    </w:p>
    <w:p w14:paraId="488300D1" w14:textId="6A379CE0" w:rsidR="00F326E5" w:rsidRPr="00637A12" w:rsidRDefault="00637A12" w:rsidP="00F326E5">
      <w:pPr>
        <w:pStyle w:val="NoSpacing"/>
        <w:rPr>
          <w:rFonts w:ascii="Arial Black" w:hAnsi="Arial Black"/>
          <w:sz w:val="24"/>
          <w:szCs w:val="24"/>
        </w:rPr>
      </w:pPr>
      <w:r w:rsidRPr="00637A12">
        <w:rPr>
          <w:rFonts w:ascii="Arial Black" w:hAnsi="Arial Black"/>
          <w:sz w:val="24"/>
          <w:szCs w:val="24"/>
        </w:rPr>
        <w:t>1-17</w:t>
      </w:r>
    </w:p>
    <w:p w14:paraId="728A3735" w14:textId="77777777" w:rsidR="00637A12" w:rsidRDefault="00637A12" w:rsidP="00F326E5">
      <w:pPr>
        <w:pStyle w:val="NoSpacing"/>
        <w:rPr>
          <w:sz w:val="24"/>
          <w:szCs w:val="24"/>
        </w:rPr>
      </w:pPr>
    </w:p>
    <w:p w14:paraId="64C31F7A" w14:textId="05269BD3" w:rsidR="00F326E5" w:rsidRDefault="00F326E5" w:rsidP="00F326E5">
      <w:pPr>
        <w:pStyle w:val="NoSpacing"/>
        <w:rPr>
          <w:rFonts w:ascii="Arial Black" w:hAnsi="Arial Black"/>
          <w:b/>
          <w:sz w:val="28"/>
          <w:szCs w:val="28"/>
        </w:rPr>
      </w:pPr>
      <w:bookmarkStart w:id="72" w:name="_Hlk7339518"/>
      <w:r>
        <w:rPr>
          <w:rFonts w:ascii="Arial Black" w:hAnsi="Arial Black"/>
          <w:b/>
          <w:sz w:val="28"/>
          <w:szCs w:val="28"/>
        </w:rPr>
        <w:t>U.S. SUPREME COURT: QUALIFIED IMMUNITY FOR POLICE OFFICERS – DOMESTIC VIOLENCE ARREST</w:t>
      </w:r>
    </w:p>
    <w:p w14:paraId="44BE66DA" w14:textId="568B43A7" w:rsidR="00637A12" w:rsidRDefault="00F326E5" w:rsidP="00F326E5">
      <w:pPr>
        <w:rPr>
          <w:rFonts w:ascii="Times New Roman" w:hAnsi="Times New Roman"/>
          <w:sz w:val="24"/>
          <w:szCs w:val="24"/>
        </w:rPr>
      </w:pPr>
      <w:r w:rsidRPr="00015208">
        <w:rPr>
          <w:rFonts w:ascii="Times New Roman" w:hAnsi="Times New Roman"/>
          <w:sz w:val="24"/>
          <w:szCs w:val="24"/>
        </w:rPr>
        <w:t xml:space="preserve">On Jan. 7, 2019, in </w:t>
      </w:r>
      <w:r w:rsidRPr="00015208">
        <w:rPr>
          <w:rFonts w:ascii="Times New Roman" w:hAnsi="Times New Roman"/>
          <w:sz w:val="24"/>
          <w:szCs w:val="24"/>
          <w:u w:val="single"/>
        </w:rPr>
        <w:t>City of Escondido, California v. Mart Emmons</w:t>
      </w:r>
      <w:r w:rsidRPr="00015208">
        <w:rPr>
          <w:rFonts w:ascii="Times New Roman" w:hAnsi="Times New Roman"/>
          <w:sz w:val="24"/>
          <w:szCs w:val="24"/>
        </w:rPr>
        <w:t>, the U.S. Supreme Court (9 to 0), in a per curiam decision [not authored by a specific Justice], reversed the 9</w:t>
      </w:r>
      <w:r w:rsidRPr="00015208">
        <w:rPr>
          <w:rFonts w:ascii="Times New Roman" w:hAnsi="Times New Roman"/>
          <w:sz w:val="24"/>
          <w:szCs w:val="24"/>
          <w:vertAlign w:val="superscript"/>
        </w:rPr>
        <w:t>th</w:t>
      </w:r>
      <w:r w:rsidRPr="00015208">
        <w:rPr>
          <w:rFonts w:ascii="Times New Roman" w:hAnsi="Times New Roman"/>
          <w:sz w:val="24"/>
          <w:szCs w:val="24"/>
        </w:rPr>
        <w:t xml:space="preserve"> Circuit without the need to even hear oral argument.  The Court held: </w:t>
      </w:r>
    </w:p>
    <w:p w14:paraId="2C9B6516" w14:textId="59A25C5E" w:rsidR="00F326E5" w:rsidRPr="00015208" w:rsidRDefault="00F326E5" w:rsidP="00637A12">
      <w:pPr>
        <w:ind w:left="720"/>
        <w:rPr>
          <w:rFonts w:ascii="Times New Roman" w:eastAsia="Times New Roman" w:hAnsi="Times New Roman"/>
          <w:sz w:val="24"/>
          <w:szCs w:val="24"/>
        </w:rPr>
      </w:pPr>
      <w:r w:rsidRPr="00015208">
        <w:rPr>
          <w:rFonts w:ascii="Times New Roman" w:hAnsi="Times New Roman"/>
          <w:sz w:val="24"/>
          <w:szCs w:val="24"/>
        </w:rPr>
        <w:t>“</w:t>
      </w:r>
      <w:r w:rsidRPr="00015208">
        <w:rPr>
          <w:rFonts w:ascii="Times New Roman" w:eastAsia="Times New Roman" w:hAnsi="Times New Roman"/>
          <w:sz w:val="24"/>
          <w:szCs w:val="24"/>
        </w:rPr>
        <w:t xml:space="preserve">As to Officer Craig, the Ninth Circuit also erred. As we have explained many </w:t>
      </w:r>
      <w:proofErr w:type="gramStart"/>
      <w:r w:rsidRPr="00015208">
        <w:rPr>
          <w:rFonts w:ascii="Times New Roman" w:eastAsia="Times New Roman" w:hAnsi="Times New Roman"/>
          <w:sz w:val="24"/>
          <w:szCs w:val="24"/>
        </w:rPr>
        <w:t>times: ‘</w:t>
      </w:r>
      <w:proofErr w:type="gramEnd"/>
      <w:r w:rsidRPr="00015208">
        <w:rPr>
          <w:rFonts w:ascii="Times New Roman" w:eastAsia="Times New Roman" w:hAnsi="Times New Roman"/>
          <w:sz w:val="24"/>
          <w:szCs w:val="24"/>
        </w:rPr>
        <w:t>Qualified immunity attaches when an official’s conduct does not violate clearly established statutory or constitutional rights of which a reasonable person would have known.’ Kisela v. Hughes, 584 U. S. ___, ___ (2018) (per curiam). The Court of Appeals made no effort to explain how that case law prohibited Officer Craig’s actions in this case.”</w:t>
      </w:r>
      <w:r w:rsidRPr="00015208">
        <w:rPr>
          <w:rFonts w:ascii="Times New Roman" w:hAnsi="Times New Roman"/>
          <w:sz w:val="24"/>
          <w:szCs w:val="24"/>
        </w:rPr>
        <w:t xml:space="preserve"> </w:t>
      </w:r>
      <w:hyperlink r:id="rId343" w:history="1">
        <w:r w:rsidRPr="00015208">
          <w:rPr>
            <w:rStyle w:val="Hyperlink"/>
            <w:rFonts w:ascii="Times New Roman" w:hAnsi="Times New Roman"/>
            <w:sz w:val="24"/>
            <w:szCs w:val="24"/>
          </w:rPr>
          <w:t>https://www.supremecourt.gov/opinions/18pdf/17-1660_5ifl.pdf</w:t>
        </w:r>
      </w:hyperlink>
      <w:r w:rsidRPr="00015208">
        <w:rPr>
          <w:rFonts w:ascii="Times New Roman" w:eastAsia="Times New Roman" w:hAnsi="Times New Roman"/>
          <w:sz w:val="24"/>
          <w:szCs w:val="24"/>
        </w:rPr>
        <w:t xml:space="preserve"> </w:t>
      </w:r>
    </w:p>
    <w:p w14:paraId="6081C7B2" w14:textId="577C97D4" w:rsidR="00F326E5" w:rsidRPr="00015208" w:rsidRDefault="00F326E5" w:rsidP="00F326E5">
      <w:pPr>
        <w:rPr>
          <w:rFonts w:ascii="Times New Roman" w:eastAsia="Times New Roman" w:hAnsi="Times New Roman"/>
          <w:sz w:val="24"/>
          <w:szCs w:val="24"/>
        </w:rPr>
      </w:pPr>
      <w:r w:rsidRPr="00015208">
        <w:rPr>
          <w:rFonts w:ascii="Times New Roman" w:eastAsia="Times New Roman" w:hAnsi="Times New Roman"/>
          <w:b/>
          <w:sz w:val="24"/>
          <w:szCs w:val="24"/>
        </w:rPr>
        <w:t xml:space="preserve">Legal Lessons Learned:  Great decision on “qualified immunity” for emergency responders. </w:t>
      </w:r>
    </w:p>
    <w:p w14:paraId="65BCED32" w14:textId="0C276829" w:rsidR="00F326E5" w:rsidRPr="00015208" w:rsidRDefault="00F326E5" w:rsidP="00ED63B1">
      <w:pPr>
        <w:ind w:left="720"/>
        <w:rPr>
          <w:rFonts w:ascii="Times New Roman" w:eastAsia="Times New Roman" w:hAnsi="Times New Roman"/>
          <w:sz w:val="24"/>
          <w:szCs w:val="24"/>
        </w:rPr>
      </w:pPr>
      <w:r w:rsidRPr="00015208">
        <w:rPr>
          <w:rFonts w:ascii="Times New Roman" w:eastAsia="Times New Roman" w:hAnsi="Times New Roman"/>
          <w:sz w:val="24"/>
          <w:szCs w:val="24"/>
        </w:rPr>
        <w:t xml:space="preserve">See also Chap. 13:  Aug. 14, </w:t>
      </w:r>
      <w:proofErr w:type="gramStart"/>
      <w:r w:rsidRPr="00015208">
        <w:rPr>
          <w:rFonts w:ascii="Times New Roman" w:eastAsia="Times New Roman" w:hAnsi="Times New Roman"/>
          <w:sz w:val="24"/>
          <w:szCs w:val="24"/>
        </w:rPr>
        <w:t>2018</w:t>
      </w:r>
      <w:proofErr w:type="gramEnd"/>
      <w:r w:rsidRPr="00015208">
        <w:rPr>
          <w:rFonts w:ascii="Times New Roman" w:eastAsia="Times New Roman" w:hAnsi="Times New Roman"/>
          <w:sz w:val="24"/>
          <w:szCs w:val="24"/>
        </w:rPr>
        <w:t xml:space="preserve"> decision by 7</w:t>
      </w:r>
      <w:r w:rsidRPr="00015208">
        <w:rPr>
          <w:rFonts w:ascii="Times New Roman" w:eastAsia="Times New Roman" w:hAnsi="Times New Roman"/>
          <w:sz w:val="24"/>
          <w:szCs w:val="24"/>
          <w:vertAlign w:val="superscript"/>
        </w:rPr>
        <w:t>th</w:t>
      </w:r>
      <w:r w:rsidRPr="00015208">
        <w:rPr>
          <w:rFonts w:ascii="Times New Roman" w:eastAsia="Times New Roman" w:hAnsi="Times New Roman"/>
          <w:sz w:val="24"/>
          <w:szCs w:val="24"/>
        </w:rPr>
        <w:t xml:space="preserve"> Circuit in </w:t>
      </w:r>
      <w:r w:rsidRPr="00015208">
        <w:rPr>
          <w:rFonts w:ascii="Times New Roman" w:eastAsia="Times New Roman" w:hAnsi="Times New Roman"/>
          <w:sz w:val="24"/>
          <w:szCs w:val="24"/>
          <w:u w:val="single"/>
        </w:rPr>
        <w:t>Billie Thompson v. Lance Cope</w:t>
      </w:r>
      <w:r w:rsidRPr="00015208">
        <w:rPr>
          <w:rFonts w:ascii="Times New Roman" w:eastAsia="Times New Roman" w:hAnsi="Times New Roman"/>
          <w:sz w:val="24"/>
          <w:szCs w:val="24"/>
        </w:rPr>
        <w:t xml:space="preserve"> where Indianapolis police called EMS to help with </w:t>
      </w:r>
      <w:proofErr w:type="gramStart"/>
      <w:r w:rsidRPr="00015208">
        <w:rPr>
          <w:rFonts w:ascii="Times New Roman" w:eastAsia="Times New Roman" w:hAnsi="Times New Roman"/>
          <w:sz w:val="24"/>
          <w:szCs w:val="24"/>
        </w:rPr>
        <w:t>person</w:t>
      </w:r>
      <w:proofErr w:type="gramEnd"/>
      <w:r w:rsidRPr="00015208">
        <w:rPr>
          <w:rFonts w:ascii="Times New Roman" w:eastAsia="Times New Roman" w:hAnsi="Times New Roman"/>
          <w:sz w:val="24"/>
          <w:szCs w:val="24"/>
        </w:rPr>
        <w:t xml:space="preserve"> found naked, running in street, high on amphetamines, and combative.  EMS administered a sedative – </w:t>
      </w:r>
      <w:r w:rsidRPr="00015208">
        <w:rPr>
          <w:rFonts w:ascii="Times New Roman" w:hAnsi="Times New Roman"/>
          <w:sz w:val="24"/>
          <w:szCs w:val="24"/>
        </w:rPr>
        <w:t xml:space="preserve">Versed - </w:t>
      </w:r>
      <w:r w:rsidRPr="00015208">
        <w:rPr>
          <w:rFonts w:ascii="Times New Roman" w:eastAsia="Times New Roman" w:hAnsi="Times New Roman"/>
          <w:sz w:val="24"/>
          <w:szCs w:val="24"/>
        </w:rPr>
        <w:t xml:space="preserve">patient stopped </w:t>
      </w:r>
      <w:proofErr w:type="gramStart"/>
      <w:r w:rsidRPr="00015208">
        <w:rPr>
          <w:rFonts w:ascii="Times New Roman" w:eastAsia="Times New Roman" w:hAnsi="Times New Roman"/>
          <w:sz w:val="24"/>
          <w:szCs w:val="24"/>
        </w:rPr>
        <w:t>breathing, and</w:t>
      </w:r>
      <w:proofErr w:type="gramEnd"/>
      <w:r w:rsidRPr="00015208">
        <w:rPr>
          <w:rFonts w:ascii="Times New Roman" w:eastAsia="Times New Roman" w:hAnsi="Times New Roman"/>
          <w:sz w:val="24"/>
          <w:szCs w:val="24"/>
        </w:rPr>
        <w:t xml:space="preserve"> was revived; he ultimately died 8-days later.  The Court held (3 to 0), “The paramedic is entitled to qualified immunity on the excessive force claim. Case law did not (and does not) clearly establish that a </w:t>
      </w:r>
      <w:r w:rsidRPr="00015208">
        <w:rPr>
          <w:rFonts w:ascii="Times New Roman" w:eastAsia="Times New Roman" w:hAnsi="Times New Roman"/>
          <w:sz w:val="24"/>
          <w:szCs w:val="24"/>
        </w:rPr>
        <w:lastRenderedPageBreak/>
        <w:t xml:space="preserve">paramedic can violate a patient-arrestee’s Fourth Amendment rights by exercising medical judgment to administer a sedative in a medical </w:t>
      </w:r>
      <w:proofErr w:type="gramStart"/>
      <w:r w:rsidRPr="00015208">
        <w:rPr>
          <w:rFonts w:ascii="Times New Roman" w:eastAsia="Times New Roman" w:hAnsi="Times New Roman"/>
          <w:sz w:val="24"/>
          <w:szCs w:val="24"/>
        </w:rPr>
        <w:t>emergency.”</w:t>
      </w:r>
      <w:proofErr w:type="gramEnd"/>
      <w:r w:rsidRPr="00015208">
        <w:rPr>
          <w:rFonts w:ascii="Times New Roman" w:eastAsia="Times New Roman" w:hAnsi="Times New Roman"/>
          <w:sz w:val="24"/>
          <w:szCs w:val="24"/>
        </w:rPr>
        <w:t xml:space="preserve"> </w:t>
      </w:r>
      <w:hyperlink r:id="rId344" w:history="1">
        <w:r w:rsidRPr="00015208">
          <w:rPr>
            <w:rStyle w:val="Hyperlink"/>
            <w:rFonts w:ascii="Times New Roman" w:hAnsi="Times New Roman"/>
            <w:sz w:val="24"/>
            <w:szCs w:val="24"/>
          </w:rPr>
          <w:t>https://cases.justia.com/federal/appellate-courts/ca7/17-3060/17-3060-2018-08-14.pdf?ts=1534262420</w:t>
        </w:r>
      </w:hyperlink>
      <w:r w:rsidRPr="00015208">
        <w:rPr>
          <w:rFonts w:ascii="Times New Roman" w:eastAsia="Times New Roman" w:hAnsi="Times New Roman"/>
          <w:sz w:val="24"/>
          <w:szCs w:val="24"/>
        </w:rPr>
        <w:t xml:space="preserve"> </w:t>
      </w:r>
    </w:p>
    <w:p w14:paraId="15417390" w14:textId="77777777" w:rsidR="00637A12" w:rsidRDefault="00637A12" w:rsidP="00791CA3">
      <w:pPr>
        <w:rPr>
          <w:rFonts w:ascii="Arial Black" w:hAnsi="Arial Black"/>
          <w:b/>
          <w:sz w:val="24"/>
          <w:szCs w:val="24"/>
        </w:rPr>
      </w:pPr>
      <w:bookmarkStart w:id="73" w:name="_Hlk7339594"/>
      <w:bookmarkEnd w:id="72"/>
    </w:p>
    <w:p w14:paraId="35BEB28B" w14:textId="3190A61D" w:rsidR="002B1283" w:rsidRDefault="00791CA3" w:rsidP="00791CA3">
      <w:pPr>
        <w:rPr>
          <w:rFonts w:ascii="Arial Black" w:hAnsi="Arial Black"/>
          <w:b/>
          <w:sz w:val="28"/>
          <w:szCs w:val="28"/>
        </w:rPr>
      </w:pPr>
      <w:r w:rsidRPr="00791CA3">
        <w:rPr>
          <w:rFonts w:ascii="Arial Black" w:hAnsi="Arial Black"/>
          <w:b/>
          <w:sz w:val="24"/>
          <w:szCs w:val="24"/>
        </w:rPr>
        <w:t>1-</w:t>
      </w:r>
      <w:r>
        <w:rPr>
          <w:rFonts w:ascii="Arial Black" w:hAnsi="Arial Black"/>
          <w:b/>
          <w:sz w:val="24"/>
          <w:szCs w:val="24"/>
        </w:rPr>
        <w:t>16</w:t>
      </w:r>
    </w:p>
    <w:p w14:paraId="76AFE2FC" w14:textId="41C8219F" w:rsidR="00F326E5" w:rsidRPr="007732FA" w:rsidRDefault="00F326E5" w:rsidP="00F326E5">
      <w:pPr>
        <w:pStyle w:val="NoSpacing"/>
        <w:rPr>
          <w:rFonts w:ascii="Arial Black" w:hAnsi="Arial Black"/>
          <w:b/>
          <w:sz w:val="28"/>
          <w:szCs w:val="28"/>
        </w:rPr>
      </w:pPr>
      <w:r w:rsidRPr="007732FA">
        <w:rPr>
          <w:rFonts w:ascii="Arial Black" w:hAnsi="Arial Black"/>
          <w:b/>
          <w:sz w:val="28"/>
          <w:szCs w:val="28"/>
        </w:rPr>
        <w:t>KY</w:t>
      </w:r>
      <w:r>
        <w:rPr>
          <w:rFonts w:ascii="Arial Black" w:hAnsi="Arial Black"/>
          <w:b/>
          <w:sz w:val="28"/>
          <w:szCs w:val="28"/>
        </w:rPr>
        <w:t xml:space="preserve">: </w:t>
      </w:r>
      <w:r w:rsidRPr="007732FA">
        <w:rPr>
          <w:rFonts w:ascii="Arial Black" w:hAnsi="Arial Black"/>
          <w:b/>
          <w:sz w:val="28"/>
          <w:szCs w:val="28"/>
        </w:rPr>
        <w:t>“R</w:t>
      </w:r>
      <w:r>
        <w:rPr>
          <w:rFonts w:ascii="Arial Black" w:hAnsi="Arial Black"/>
          <w:b/>
          <w:sz w:val="28"/>
          <w:szCs w:val="28"/>
        </w:rPr>
        <w:t xml:space="preserve">IGHT TO WORK” </w:t>
      </w:r>
      <w:r w:rsidRPr="007732FA">
        <w:rPr>
          <w:rFonts w:ascii="Arial Black" w:hAnsi="Arial Black"/>
          <w:b/>
          <w:sz w:val="28"/>
          <w:szCs w:val="28"/>
        </w:rPr>
        <w:t xml:space="preserve">STATUTE UPHELD; SIMILAR TO U.S. SUPREME COURT DECISION IN </w:t>
      </w:r>
      <w:r w:rsidRPr="007732FA">
        <w:rPr>
          <w:rFonts w:ascii="Arial Black" w:hAnsi="Arial Black"/>
          <w:b/>
          <w:i/>
          <w:sz w:val="28"/>
          <w:szCs w:val="28"/>
        </w:rPr>
        <w:t xml:space="preserve">Janis </w:t>
      </w:r>
    </w:p>
    <w:p w14:paraId="31DFDE5E" w14:textId="77777777" w:rsidR="00F17F7A" w:rsidRDefault="00F17F7A" w:rsidP="00F326E5">
      <w:pPr>
        <w:rPr>
          <w:rFonts w:ascii="Times New Roman" w:eastAsia="Times New Roman" w:hAnsi="Times New Roman"/>
          <w:sz w:val="24"/>
          <w:szCs w:val="24"/>
        </w:rPr>
      </w:pPr>
    </w:p>
    <w:p w14:paraId="483BC5F0" w14:textId="42542A19" w:rsidR="00637A12" w:rsidRDefault="00F326E5" w:rsidP="00F326E5">
      <w:pPr>
        <w:rPr>
          <w:rFonts w:ascii="Times New Roman" w:eastAsia="Times New Roman" w:hAnsi="Times New Roman"/>
          <w:sz w:val="24"/>
          <w:szCs w:val="24"/>
        </w:rPr>
      </w:pPr>
      <w:r w:rsidRPr="00013C4B">
        <w:rPr>
          <w:rFonts w:ascii="Times New Roman" w:eastAsia="Times New Roman" w:hAnsi="Times New Roman"/>
          <w:sz w:val="24"/>
          <w:szCs w:val="24"/>
        </w:rPr>
        <w:t xml:space="preserve">On Nov. 15, 2018, in </w:t>
      </w:r>
      <w:r w:rsidRPr="00013C4B">
        <w:rPr>
          <w:rFonts w:ascii="Times New Roman" w:eastAsia="Times New Roman" w:hAnsi="Times New Roman"/>
          <w:sz w:val="24"/>
          <w:szCs w:val="24"/>
          <w:u w:val="single"/>
        </w:rPr>
        <w:t xml:space="preserve">Fred Zuckerman, As Representative </w:t>
      </w:r>
      <w:proofErr w:type="gramStart"/>
      <w:r w:rsidRPr="00013C4B">
        <w:rPr>
          <w:rFonts w:ascii="Times New Roman" w:eastAsia="Times New Roman" w:hAnsi="Times New Roman"/>
          <w:sz w:val="24"/>
          <w:szCs w:val="24"/>
          <w:u w:val="single"/>
        </w:rPr>
        <w:t>Of</w:t>
      </w:r>
      <w:proofErr w:type="gramEnd"/>
      <w:r w:rsidRPr="00013C4B">
        <w:rPr>
          <w:rFonts w:ascii="Times New Roman" w:eastAsia="Times New Roman" w:hAnsi="Times New Roman"/>
          <w:sz w:val="24"/>
          <w:szCs w:val="24"/>
          <w:u w:val="single"/>
        </w:rPr>
        <w:t xml:space="preserve"> </w:t>
      </w:r>
      <w:proofErr w:type="gramStart"/>
      <w:r w:rsidRPr="00013C4B">
        <w:rPr>
          <w:rFonts w:ascii="Times New Roman" w:eastAsia="Times New Roman" w:hAnsi="Times New Roman"/>
          <w:sz w:val="24"/>
          <w:szCs w:val="24"/>
          <w:u w:val="single"/>
        </w:rPr>
        <w:t>The</w:t>
      </w:r>
      <w:proofErr w:type="gramEnd"/>
      <w:r w:rsidRPr="00013C4B">
        <w:rPr>
          <w:rFonts w:ascii="Times New Roman" w:eastAsia="Times New Roman" w:hAnsi="Times New Roman"/>
          <w:sz w:val="24"/>
          <w:szCs w:val="24"/>
          <w:u w:val="single"/>
        </w:rPr>
        <w:t xml:space="preserve"> General Drivers, Warehousemen </w:t>
      </w:r>
      <w:proofErr w:type="gramStart"/>
      <w:r w:rsidRPr="00013C4B">
        <w:rPr>
          <w:rFonts w:ascii="Times New Roman" w:eastAsia="Times New Roman" w:hAnsi="Times New Roman"/>
          <w:sz w:val="24"/>
          <w:szCs w:val="24"/>
          <w:u w:val="single"/>
        </w:rPr>
        <w:t>And</w:t>
      </w:r>
      <w:proofErr w:type="gramEnd"/>
      <w:r w:rsidRPr="00013C4B">
        <w:rPr>
          <w:rFonts w:ascii="Times New Roman" w:eastAsia="Times New Roman" w:hAnsi="Times New Roman"/>
          <w:sz w:val="24"/>
          <w:szCs w:val="24"/>
          <w:u w:val="single"/>
        </w:rPr>
        <w:t xml:space="preserve"> Helpers Local Union No. 89 v. Matthew G. Bevin, Governor</w:t>
      </w:r>
      <w:r w:rsidRPr="00013C4B">
        <w:rPr>
          <w:rFonts w:ascii="Times New Roman" w:eastAsia="Times New Roman" w:hAnsi="Times New Roman"/>
          <w:sz w:val="24"/>
          <w:szCs w:val="24"/>
        </w:rPr>
        <w:t xml:space="preserve">, the Kentucky Supreme Court (4 to 3) upheld the statute: </w:t>
      </w:r>
    </w:p>
    <w:p w14:paraId="54A3C40C" w14:textId="38255271" w:rsidR="00F326E5" w:rsidRPr="00013C4B" w:rsidRDefault="00F326E5" w:rsidP="00637A12">
      <w:pPr>
        <w:ind w:left="720"/>
        <w:rPr>
          <w:rFonts w:ascii="Times New Roman" w:eastAsia="Times New Roman" w:hAnsi="Times New Roman"/>
          <w:sz w:val="24"/>
          <w:szCs w:val="24"/>
        </w:rPr>
      </w:pPr>
      <w:r w:rsidRPr="00013C4B">
        <w:rPr>
          <w:rFonts w:ascii="Times New Roman" w:eastAsia="Times New Roman" w:hAnsi="Times New Roman"/>
          <w:sz w:val="24"/>
          <w:szCs w:val="24"/>
        </w:rPr>
        <w:t>“</w:t>
      </w:r>
      <w:proofErr w:type="gramStart"/>
      <w:r w:rsidRPr="00013C4B">
        <w:rPr>
          <w:rFonts w:ascii="Times New Roman" w:eastAsia="Times New Roman" w:hAnsi="Times New Roman"/>
          <w:sz w:val="24"/>
          <w:szCs w:val="24"/>
        </w:rPr>
        <w:t>we</w:t>
      </w:r>
      <w:proofErr w:type="gramEnd"/>
      <w:r w:rsidRPr="00013C4B">
        <w:rPr>
          <w:rFonts w:ascii="Times New Roman" w:eastAsia="Times New Roman" w:hAnsi="Times New Roman"/>
          <w:sz w:val="24"/>
          <w:szCs w:val="24"/>
        </w:rPr>
        <w:t xml:space="preserve"> hold that the Unions’ constitutional challenges to the Act are without merit. In this area of economic legislation, the legislature and the executive branch make the policy, not the courts.” </w:t>
      </w:r>
      <w:hyperlink r:id="rId345" w:history="1">
        <w:r w:rsidRPr="00013C4B">
          <w:rPr>
            <w:rStyle w:val="Hyperlink"/>
            <w:sz w:val="24"/>
            <w:szCs w:val="24"/>
          </w:rPr>
          <w:t>https://cases.justia.com/kentucky/supreme-court/2018-2018-sc-000097-tg.pdf?ts=1542294839</w:t>
        </w:r>
      </w:hyperlink>
      <w:r w:rsidRPr="00013C4B">
        <w:rPr>
          <w:rFonts w:ascii="Times New Roman" w:eastAsia="Times New Roman" w:hAnsi="Times New Roman"/>
          <w:sz w:val="24"/>
          <w:szCs w:val="24"/>
        </w:rPr>
        <w:t xml:space="preserve"> </w:t>
      </w:r>
    </w:p>
    <w:p w14:paraId="29A4ECC8" w14:textId="77777777" w:rsidR="00F326E5" w:rsidRDefault="00F326E5" w:rsidP="00F326E5">
      <w:pPr>
        <w:rPr>
          <w:rFonts w:ascii="Times New Roman" w:eastAsia="Times New Roman" w:hAnsi="Times New Roman"/>
          <w:sz w:val="24"/>
          <w:szCs w:val="24"/>
        </w:rPr>
      </w:pPr>
      <w:r w:rsidRPr="00013C4B">
        <w:rPr>
          <w:rFonts w:ascii="Times New Roman" w:eastAsia="Times New Roman" w:hAnsi="Times New Roman"/>
          <w:b/>
          <w:sz w:val="24"/>
          <w:szCs w:val="24"/>
        </w:rPr>
        <w:t xml:space="preserve">Legal Lessons Learned:  Fire &amp; EMS departments, not only in Kentucky, but in all states must now follow the U.S. Supreme Court’s decision, June 27, 2018, in </w:t>
      </w:r>
      <w:r w:rsidRPr="00013C4B">
        <w:rPr>
          <w:rFonts w:ascii="Times New Roman" w:eastAsia="Times New Roman" w:hAnsi="Times New Roman"/>
          <w:b/>
          <w:sz w:val="24"/>
          <w:szCs w:val="24"/>
          <w:u w:val="single"/>
        </w:rPr>
        <w:t>Janus v. American Federation of State, County, and Municipal Employees, Council 31</w:t>
      </w:r>
      <w:r w:rsidRPr="00013C4B">
        <w:rPr>
          <w:rFonts w:ascii="Times New Roman" w:eastAsia="Times New Roman" w:hAnsi="Times New Roman"/>
          <w:b/>
          <w:sz w:val="24"/>
          <w:szCs w:val="24"/>
        </w:rPr>
        <w:t>, which held (5 to 4), “Under Illinois law, public employees are forced to subsi</w:t>
      </w:r>
      <w:r w:rsidRPr="00013C4B">
        <w:rPr>
          <w:rFonts w:ascii="Times New Roman" w:eastAsia="Times New Roman" w:hAnsi="Times New Roman"/>
          <w:b/>
          <w:sz w:val="24"/>
          <w:szCs w:val="24"/>
        </w:rPr>
        <w:softHyphen/>
        <w:t>dize a union, even if they choose not to join and strongly object to the positions the union takes in collective bar</w:t>
      </w:r>
      <w:r w:rsidRPr="00013C4B">
        <w:rPr>
          <w:rFonts w:ascii="Times New Roman" w:eastAsia="Times New Roman" w:hAnsi="Times New Roman"/>
          <w:b/>
          <w:sz w:val="24"/>
          <w:szCs w:val="24"/>
        </w:rPr>
        <w:softHyphen/>
        <w:t xml:space="preserve"> gaining and related activities. We conclude that this arrangement violates the free speech rights of nonmem</w:t>
      </w:r>
      <w:r w:rsidRPr="00013C4B">
        <w:rPr>
          <w:rFonts w:ascii="Times New Roman" w:eastAsia="Times New Roman" w:hAnsi="Times New Roman"/>
          <w:b/>
          <w:sz w:val="24"/>
          <w:szCs w:val="24"/>
        </w:rPr>
        <w:softHyphen/>
        <w:t xml:space="preserve">bers by compelling them to subsidize private speech on matters of substantial public </w:t>
      </w:r>
      <w:proofErr w:type="gramStart"/>
      <w:r w:rsidRPr="00013C4B">
        <w:rPr>
          <w:rFonts w:ascii="Times New Roman" w:eastAsia="Times New Roman" w:hAnsi="Times New Roman"/>
          <w:b/>
          <w:sz w:val="24"/>
          <w:szCs w:val="24"/>
        </w:rPr>
        <w:t>concern.”</w:t>
      </w:r>
      <w:proofErr w:type="gramEnd"/>
      <w:r w:rsidRPr="00013C4B">
        <w:rPr>
          <w:rFonts w:ascii="Times New Roman" w:eastAsia="Times New Roman" w:hAnsi="Times New Roman"/>
          <w:sz w:val="24"/>
          <w:szCs w:val="24"/>
        </w:rPr>
        <w:t xml:space="preserve">   </w:t>
      </w:r>
      <w:hyperlink r:id="rId346" w:history="1">
        <w:r w:rsidRPr="00013C4B">
          <w:rPr>
            <w:rStyle w:val="Hyperlink"/>
            <w:sz w:val="24"/>
            <w:szCs w:val="24"/>
          </w:rPr>
          <w:t>https://www.supremecourt.gov/opinions/17pdf/16-1466_2b3j.pdf</w:t>
        </w:r>
      </w:hyperlink>
      <w:r w:rsidRPr="00013C4B">
        <w:rPr>
          <w:rFonts w:ascii="Times New Roman" w:eastAsia="Times New Roman" w:hAnsi="Times New Roman"/>
          <w:sz w:val="24"/>
          <w:szCs w:val="24"/>
        </w:rPr>
        <w:t xml:space="preserve"> </w:t>
      </w:r>
    </w:p>
    <w:p w14:paraId="5C9F1ACD" w14:textId="77777777" w:rsidR="00F326E5" w:rsidRPr="00013C4B" w:rsidRDefault="00F326E5" w:rsidP="00F326E5">
      <w:pPr>
        <w:ind w:firstLine="720"/>
        <w:rPr>
          <w:rFonts w:ascii="Times New Roman" w:eastAsia="Times New Roman" w:hAnsi="Times New Roman"/>
          <w:bCs/>
          <w:sz w:val="24"/>
          <w:szCs w:val="24"/>
        </w:rPr>
      </w:pPr>
      <w:r w:rsidRPr="00013C4B">
        <w:rPr>
          <w:rFonts w:ascii="Times New Roman" w:eastAsia="Times New Roman" w:hAnsi="Times New Roman"/>
          <w:sz w:val="24"/>
          <w:szCs w:val="24"/>
        </w:rPr>
        <w:t xml:space="preserve">See IAFF statement in response to the </w:t>
      </w:r>
      <w:r w:rsidRPr="00013C4B">
        <w:rPr>
          <w:rFonts w:ascii="Times New Roman" w:eastAsia="Times New Roman" w:hAnsi="Times New Roman"/>
          <w:i/>
          <w:sz w:val="24"/>
          <w:szCs w:val="24"/>
        </w:rPr>
        <w:t>Janus</w:t>
      </w:r>
      <w:r w:rsidRPr="00013C4B">
        <w:rPr>
          <w:rFonts w:ascii="Times New Roman" w:eastAsia="Times New Roman" w:hAnsi="Times New Roman"/>
          <w:sz w:val="24"/>
          <w:szCs w:val="24"/>
        </w:rPr>
        <w:t xml:space="preserve"> decision:  </w:t>
      </w:r>
    </w:p>
    <w:p w14:paraId="5ED408E1" w14:textId="77777777" w:rsidR="00F326E5" w:rsidRPr="00013C4B" w:rsidRDefault="00F326E5" w:rsidP="00F326E5">
      <w:pPr>
        <w:ind w:left="720"/>
        <w:rPr>
          <w:rFonts w:ascii="Times New Roman" w:eastAsia="Times New Roman" w:hAnsi="Times New Roman"/>
          <w:sz w:val="24"/>
          <w:szCs w:val="24"/>
        </w:rPr>
      </w:pPr>
      <w:r w:rsidRPr="00013C4B">
        <w:rPr>
          <w:rFonts w:ascii="Times New Roman" w:eastAsia="Times New Roman" w:hAnsi="Times New Roman"/>
          <w:bCs/>
          <w:sz w:val="24"/>
          <w:szCs w:val="24"/>
        </w:rPr>
        <w:t xml:space="preserve">General President Harold Schaitberger issued this statement on the Supreme Court 5-4 decision overruling decades of precedent in the case of </w:t>
      </w:r>
      <w:r w:rsidRPr="00013C4B">
        <w:rPr>
          <w:rFonts w:ascii="Times New Roman" w:eastAsia="Times New Roman" w:hAnsi="Times New Roman"/>
          <w:bCs/>
          <w:i/>
          <w:iCs/>
          <w:sz w:val="24"/>
          <w:szCs w:val="24"/>
        </w:rPr>
        <w:t>Janus v AFSCME Council 31</w:t>
      </w:r>
      <w:r w:rsidRPr="00013C4B">
        <w:rPr>
          <w:rFonts w:ascii="Times New Roman" w:eastAsia="Times New Roman" w:hAnsi="Times New Roman"/>
          <w:bCs/>
          <w:sz w:val="24"/>
          <w:szCs w:val="24"/>
        </w:rPr>
        <w:t xml:space="preserve">: </w:t>
      </w:r>
      <w:hyperlink r:id="rId347" w:anchor="contentid=68451" w:history="1">
        <w:r w:rsidRPr="00013C4B">
          <w:rPr>
            <w:rStyle w:val="Hyperlink"/>
            <w:sz w:val="24"/>
            <w:szCs w:val="24"/>
          </w:rPr>
          <w:t>http://client.prod.iaff.org/#contentid=68451</w:t>
        </w:r>
      </w:hyperlink>
      <w:r w:rsidRPr="00013C4B">
        <w:rPr>
          <w:rFonts w:ascii="Times New Roman" w:eastAsia="Times New Roman" w:hAnsi="Times New Roman"/>
          <w:bCs/>
          <w:sz w:val="24"/>
          <w:szCs w:val="24"/>
        </w:rPr>
        <w:t xml:space="preserve"> </w:t>
      </w:r>
    </w:p>
    <w:p w14:paraId="07659AD9"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Washington, DC – “The Janus v AFSCME Council 31 case was pushed by forces that want to take away the voices of fire fighters and the power of all public employee unions. The intent is to </w:t>
      </w:r>
      <w:proofErr w:type="gramStart"/>
      <w:r w:rsidRPr="00013C4B">
        <w:rPr>
          <w:rFonts w:ascii="Times New Roman" w:eastAsia="Times New Roman" w:hAnsi="Times New Roman"/>
          <w:sz w:val="24"/>
          <w:szCs w:val="24"/>
        </w:rPr>
        <w:t>handicap</w:t>
      </w:r>
      <w:proofErr w:type="gramEnd"/>
      <w:r w:rsidRPr="00013C4B">
        <w:rPr>
          <w:rFonts w:ascii="Times New Roman" w:eastAsia="Times New Roman" w:hAnsi="Times New Roman"/>
          <w:sz w:val="24"/>
          <w:szCs w:val="24"/>
        </w:rPr>
        <w:t xml:space="preserve"> unions in our ability to improve members' lives and to weaken the political power of public employees.</w:t>
      </w:r>
    </w:p>
    <w:p w14:paraId="5FF23B04"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“We know the potential negative impacts that could come from the Supreme Court’s decision in </w:t>
      </w:r>
      <w:proofErr w:type="gramStart"/>
      <w:r w:rsidRPr="00013C4B">
        <w:rPr>
          <w:rFonts w:ascii="Times New Roman" w:eastAsia="Times New Roman" w:hAnsi="Times New Roman"/>
          <w:i/>
          <w:iCs/>
          <w:sz w:val="24"/>
          <w:szCs w:val="24"/>
        </w:rPr>
        <w:t>Janus</w:t>
      </w:r>
      <w:r w:rsidRPr="00013C4B">
        <w:rPr>
          <w:rFonts w:ascii="Times New Roman" w:eastAsia="Times New Roman" w:hAnsi="Times New Roman"/>
          <w:sz w:val="24"/>
          <w:szCs w:val="24"/>
        </w:rPr>
        <w:t>,</w:t>
      </w:r>
      <w:proofErr w:type="gramEnd"/>
      <w:r w:rsidRPr="00013C4B">
        <w:rPr>
          <w:rFonts w:ascii="Times New Roman" w:eastAsia="Times New Roman" w:hAnsi="Times New Roman"/>
          <w:sz w:val="24"/>
          <w:szCs w:val="24"/>
        </w:rPr>
        <w:t xml:space="preserve"> however we are ready to take the best punch and deliver some blows ourselves to those that want to see fire fighters and their unions weakened.</w:t>
      </w:r>
    </w:p>
    <w:p w14:paraId="6ACEED87"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“While the Janus decision is another attack on organized labor, every attack can be turned into an opportunity, and we are determined not to let this decision hold us back from our important mission. The IAFF has operated successfully under </w:t>
      </w:r>
      <w:r w:rsidRPr="00013C4B">
        <w:rPr>
          <w:rFonts w:ascii="Times New Roman" w:eastAsia="Times New Roman" w:hAnsi="Times New Roman"/>
          <w:i/>
          <w:iCs/>
          <w:sz w:val="24"/>
          <w:szCs w:val="24"/>
        </w:rPr>
        <w:t>Janus</w:t>
      </w:r>
      <w:r w:rsidRPr="00013C4B">
        <w:rPr>
          <w:rFonts w:ascii="Times New Roman" w:eastAsia="Times New Roman" w:hAnsi="Times New Roman"/>
          <w:sz w:val="24"/>
          <w:szCs w:val="24"/>
        </w:rPr>
        <w:t>-like rules in right-to-work and non-collective bargaining states for decades. We have proven that you can have strong affiliates that deliver better pay, health care, retirement security, health and safety provisions and a voice in keeping their communities safe in these tough environments.</w:t>
      </w:r>
    </w:p>
    <w:p w14:paraId="1F7B5585"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lastRenderedPageBreak/>
        <w:t>“We represent more than 85 percent of all professional fire fighters and paramedics in the U.S. because we consistently demonstrate our value, through our strong affiliates, that being union fire fighters provides a significantly better standard of living and safer working environment than those who are not union. We believe that difference will become even more stark, and we are working to represent that small percentage of fire fighters who aren't in our union so that we can raise their standard of living and increase their ability to have a strong voice in public safety.</w:t>
      </w:r>
    </w:p>
    <w:p w14:paraId="598CA45C"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“This case was intended as a political push to eliminate the power of people who work to support their families and the power of their unions. But instead, the </w:t>
      </w:r>
      <w:r w:rsidRPr="00013C4B">
        <w:rPr>
          <w:rFonts w:ascii="Times New Roman" w:eastAsia="Times New Roman" w:hAnsi="Times New Roman"/>
          <w:i/>
          <w:iCs/>
          <w:sz w:val="24"/>
          <w:szCs w:val="24"/>
        </w:rPr>
        <w:t>Janus</w:t>
      </w:r>
      <w:r w:rsidRPr="00013C4B">
        <w:rPr>
          <w:rFonts w:ascii="Times New Roman" w:eastAsia="Times New Roman" w:hAnsi="Times New Roman"/>
          <w:sz w:val="24"/>
          <w:szCs w:val="24"/>
        </w:rPr>
        <w:t xml:space="preserve"> case is activating an army of union leaders to better engage their members.”</w:t>
      </w:r>
    </w:p>
    <w:bookmarkEnd w:id="73"/>
    <w:p w14:paraId="038A3D7C" w14:textId="77777777" w:rsidR="00F326E5" w:rsidRDefault="00F326E5" w:rsidP="00F326E5">
      <w:pPr>
        <w:pStyle w:val="NoSpacing"/>
        <w:rPr>
          <w:sz w:val="24"/>
          <w:szCs w:val="24"/>
        </w:rPr>
      </w:pPr>
    </w:p>
    <w:p w14:paraId="0AB6162E" w14:textId="77777777" w:rsidR="002B1283" w:rsidRDefault="002B1283" w:rsidP="00F326E5">
      <w:pPr>
        <w:pStyle w:val="NoSpacing"/>
        <w:rPr>
          <w:rFonts w:ascii="Arial Black" w:hAnsi="Arial Black"/>
          <w:b/>
          <w:sz w:val="28"/>
          <w:szCs w:val="28"/>
        </w:rPr>
      </w:pPr>
      <w:bookmarkStart w:id="74" w:name="_Hlk7339701"/>
    </w:p>
    <w:p w14:paraId="1B731B8D" w14:textId="77777777" w:rsidR="002B1283" w:rsidRDefault="002B1283" w:rsidP="00F326E5">
      <w:pPr>
        <w:pStyle w:val="NoSpacing"/>
        <w:rPr>
          <w:rFonts w:ascii="Arial Black" w:hAnsi="Arial Black"/>
          <w:b/>
          <w:sz w:val="28"/>
          <w:szCs w:val="28"/>
        </w:rPr>
      </w:pPr>
    </w:p>
    <w:p w14:paraId="2432A207" w14:textId="7002696A"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15</w:t>
      </w:r>
    </w:p>
    <w:p w14:paraId="309AE323" w14:textId="78D1E78A" w:rsidR="00F326E5" w:rsidRDefault="00F326E5" w:rsidP="00F326E5">
      <w:pPr>
        <w:pStyle w:val="NoSpacing"/>
        <w:rPr>
          <w:rFonts w:ascii="Arial Black" w:hAnsi="Arial Black"/>
          <w:b/>
          <w:sz w:val="24"/>
          <w:szCs w:val="24"/>
        </w:rPr>
      </w:pPr>
      <w:r w:rsidRPr="00BC5C14">
        <w:rPr>
          <w:rFonts w:ascii="Arial Black" w:hAnsi="Arial Black"/>
          <w:b/>
          <w:sz w:val="28"/>
          <w:szCs w:val="28"/>
        </w:rPr>
        <w:t>WI</w:t>
      </w:r>
      <w:r>
        <w:rPr>
          <w:rFonts w:ascii="Arial Black" w:hAnsi="Arial Black"/>
          <w:b/>
          <w:sz w:val="28"/>
          <w:szCs w:val="28"/>
        </w:rPr>
        <w:t xml:space="preserve">: </w:t>
      </w:r>
      <w:r w:rsidRPr="00BC5C14">
        <w:rPr>
          <w:rFonts w:ascii="Arial Black" w:hAnsi="Arial Black"/>
          <w:b/>
          <w:sz w:val="28"/>
          <w:szCs w:val="28"/>
        </w:rPr>
        <w:t>F</w:t>
      </w:r>
      <w:r>
        <w:rPr>
          <w:rFonts w:ascii="Arial Black" w:hAnsi="Arial Black"/>
          <w:b/>
          <w:sz w:val="28"/>
          <w:szCs w:val="28"/>
        </w:rPr>
        <w:t>OREST FIRE – INSURANCE COMPANY HAS LIMITED LIABILITY OF $500,000</w:t>
      </w:r>
    </w:p>
    <w:p w14:paraId="5E3F2990" w14:textId="77777777" w:rsidR="00637A12"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Oct. 30, 2018, in </w:t>
      </w:r>
      <w:r w:rsidRPr="00015208">
        <w:rPr>
          <w:rFonts w:ascii="Times New Roman" w:hAnsi="Times New Roman"/>
          <w:sz w:val="24"/>
          <w:szCs w:val="24"/>
          <w:u w:val="single"/>
        </w:rPr>
        <w:t>SECURA Insurance, A Mutual Company v. Lyme St. Croix Forest Company, LLC, et al.</w:t>
      </w:r>
      <w:r w:rsidRPr="00015208">
        <w:rPr>
          <w:rFonts w:ascii="Times New Roman" w:hAnsi="Times New Roman"/>
          <w:sz w:val="24"/>
          <w:szCs w:val="24"/>
        </w:rPr>
        <w:t xml:space="preserve">, the Wisconsin Supreme Court reversed the trial court, and the Wisconsin Appeals Court, and held (7 to 0): </w:t>
      </w:r>
    </w:p>
    <w:p w14:paraId="4E9BE49C" w14:textId="77777777" w:rsidR="00637A12" w:rsidRDefault="00637A12" w:rsidP="00637A12">
      <w:pPr>
        <w:pStyle w:val="NoSpacing"/>
        <w:ind w:firstLine="720"/>
        <w:rPr>
          <w:rFonts w:ascii="Times New Roman" w:hAnsi="Times New Roman"/>
          <w:sz w:val="24"/>
          <w:szCs w:val="24"/>
        </w:rPr>
      </w:pPr>
    </w:p>
    <w:p w14:paraId="41089480" w14:textId="382A6CC7" w:rsidR="00F326E5" w:rsidRPr="00015208" w:rsidRDefault="00F326E5" w:rsidP="00637A12">
      <w:pPr>
        <w:pStyle w:val="NoSpacing"/>
        <w:ind w:left="720"/>
        <w:rPr>
          <w:rFonts w:ascii="Times New Roman" w:hAnsi="Times New Roman"/>
          <w:sz w:val="24"/>
          <w:szCs w:val="24"/>
        </w:rPr>
      </w:pPr>
      <w:r w:rsidRPr="00015208">
        <w:rPr>
          <w:rFonts w:ascii="Times New Roman" w:hAnsi="Times New Roman"/>
          <w:sz w:val="24"/>
          <w:szCs w:val="24"/>
        </w:rPr>
        <w:t>“Despite the fact that the fire crossed several property lines, Secura contends it was a single, uninterrupted cause of the alleged damages. *** We conclude that the fire at issue constitutes a single occurrence pursuant to the CGL [Commercial General Liability] policy. Consequently, the $500,000 per-occurrence limit for property damage applies.”</w:t>
      </w:r>
    </w:p>
    <w:p w14:paraId="0135C3BA" w14:textId="0360C5D9" w:rsidR="00F326E5" w:rsidRPr="00015208" w:rsidRDefault="00637A12" w:rsidP="00637A12">
      <w:pPr>
        <w:pStyle w:val="NoSpacing"/>
        <w:ind w:firstLine="720"/>
        <w:rPr>
          <w:rFonts w:ascii="Times New Roman" w:hAnsi="Times New Roman"/>
          <w:sz w:val="24"/>
          <w:szCs w:val="24"/>
        </w:rPr>
      </w:pPr>
      <w:hyperlink r:id="rId348" w:history="1">
        <w:r w:rsidRPr="002F304C">
          <w:rPr>
            <w:rStyle w:val="Hyperlink"/>
            <w:rFonts w:ascii="Times New Roman" w:hAnsi="Times New Roman"/>
            <w:sz w:val="24"/>
            <w:szCs w:val="24"/>
          </w:rPr>
          <w:t>https://www.wicourts.gov/sc/opinion/DisplayDocument.pdf?content=pdf&amp;seqNo=224718</w:t>
        </w:r>
      </w:hyperlink>
      <w:r w:rsidR="00F326E5" w:rsidRPr="00015208">
        <w:rPr>
          <w:rFonts w:ascii="Times New Roman" w:hAnsi="Times New Roman"/>
          <w:sz w:val="24"/>
          <w:szCs w:val="24"/>
        </w:rPr>
        <w:t xml:space="preserve"> </w:t>
      </w:r>
    </w:p>
    <w:p w14:paraId="43337987" w14:textId="77777777" w:rsidR="00637A12" w:rsidRDefault="00637A12" w:rsidP="00F326E5">
      <w:pPr>
        <w:rPr>
          <w:rFonts w:ascii="Times New Roman" w:eastAsia="Times New Roman" w:hAnsi="Times New Roman"/>
          <w:b/>
          <w:sz w:val="24"/>
          <w:szCs w:val="24"/>
        </w:rPr>
      </w:pPr>
    </w:p>
    <w:p w14:paraId="06A26627" w14:textId="3292C244"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The logging equipment company, which paid for insurance against this type of loss, must feel that its insurance company has treated their customer like “manure.”  Insurance policies are often difficult to interpret.  Fire &amp; EMS departments should invite their liability insurance carrier(s) in for a discussion about what is covered and what is not covered. </w:t>
      </w:r>
    </w:p>
    <w:bookmarkEnd w:id="74"/>
    <w:p w14:paraId="684B357A" w14:textId="77777777" w:rsidR="00F326E5" w:rsidRPr="00DE6D89" w:rsidRDefault="00F326E5" w:rsidP="00F326E5">
      <w:pPr>
        <w:pStyle w:val="NoSpacing"/>
        <w:rPr>
          <w:b/>
          <w:sz w:val="24"/>
          <w:szCs w:val="24"/>
        </w:rPr>
      </w:pPr>
    </w:p>
    <w:p w14:paraId="6A686F15" w14:textId="77777777" w:rsidR="00637A12" w:rsidRDefault="00637A12" w:rsidP="00791CA3">
      <w:pPr>
        <w:rPr>
          <w:rFonts w:ascii="Arial Black" w:hAnsi="Arial Black"/>
          <w:b/>
          <w:sz w:val="24"/>
          <w:szCs w:val="24"/>
        </w:rPr>
      </w:pPr>
    </w:p>
    <w:p w14:paraId="7041406B" w14:textId="28CA0D2E"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14</w:t>
      </w:r>
    </w:p>
    <w:p w14:paraId="132A03EF" w14:textId="77777777" w:rsidR="00791CA3" w:rsidRDefault="00791CA3" w:rsidP="00F326E5">
      <w:pPr>
        <w:pStyle w:val="NoSpacing"/>
        <w:rPr>
          <w:sz w:val="24"/>
          <w:szCs w:val="24"/>
        </w:rPr>
      </w:pPr>
    </w:p>
    <w:p w14:paraId="0ABF84E5" w14:textId="29F4B1DD" w:rsidR="00F326E5" w:rsidRPr="00992A0C" w:rsidRDefault="00F326E5" w:rsidP="00F326E5">
      <w:pPr>
        <w:pStyle w:val="NoSpacing"/>
        <w:rPr>
          <w:rFonts w:ascii="Arial Black" w:hAnsi="Arial Black"/>
          <w:b/>
          <w:sz w:val="28"/>
          <w:szCs w:val="28"/>
        </w:rPr>
      </w:pPr>
      <w:bookmarkStart w:id="75" w:name="_Hlk7339777"/>
      <w:r w:rsidRPr="00992A0C">
        <w:rPr>
          <w:rFonts w:ascii="Arial Black" w:hAnsi="Arial Black"/>
          <w:b/>
          <w:sz w:val="28"/>
          <w:szCs w:val="28"/>
        </w:rPr>
        <w:t>OH</w:t>
      </w:r>
      <w:r>
        <w:rPr>
          <w:rFonts w:ascii="Arial Black" w:hAnsi="Arial Black"/>
          <w:b/>
          <w:sz w:val="28"/>
          <w:szCs w:val="28"/>
        </w:rPr>
        <w:t xml:space="preserve">: FIRE CODE VIOLATIONS - COURT MAY ORDER INSPECTION OF UNOCCUPIED BUILDING </w:t>
      </w:r>
    </w:p>
    <w:p w14:paraId="55FBF1BB" w14:textId="77777777" w:rsidR="00637A12" w:rsidRDefault="00F326E5" w:rsidP="00F326E5">
      <w:pPr>
        <w:rPr>
          <w:rFonts w:ascii="Times New Roman" w:eastAsia="Times New Roman" w:hAnsi="Times New Roman"/>
          <w:sz w:val="24"/>
          <w:szCs w:val="24"/>
        </w:rPr>
      </w:pPr>
      <w:r w:rsidRPr="00015208">
        <w:rPr>
          <w:rFonts w:ascii="Times New Roman" w:eastAsia="Times New Roman" w:hAnsi="Times New Roman"/>
          <w:sz w:val="24"/>
          <w:szCs w:val="24"/>
        </w:rPr>
        <w:t xml:space="preserve">On Oct. 11, 2018, in </w:t>
      </w:r>
      <w:r w:rsidRPr="00015208">
        <w:rPr>
          <w:rFonts w:ascii="Times New Roman" w:eastAsia="Times New Roman" w:hAnsi="Times New Roman"/>
          <w:sz w:val="24"/>
          <w:szCs w:val="24"/>
          <w:u w:val="single"/>
        </w:rPr>
        <w:t>City of Cleveland v. James Grunt, Jr.,</w:t>
      </w:r>
      <w:r w:rsidRPr="00015208">
        <w:rPr>
          <w:rFonts w:ascii="Times New Roman" w:eastAsia="Times New Roman" w:hAnsi="Times New Roman"/>
          <w:sz w:val="24"/>
          <w:szCs w:val="24"/>
        </w:rPr>
        <w:t xml:space="preserve"> the Ohio Court of Appeals for Cuyahoga County held (3 to 0) that a judge on the Cleveland Municipal Court – Housing Division had authority to allow warrantless inspections of the property to confirm that owner is complying with Cleveland Building Department requirements. </w:t>
      </w:r>
    </w:p>
    <w:p w14:paraId="705A094C" w14:textId="74AE18D7" w:rsidR="00F326E5" w:rsidRPr="00015208" w:rsidRDefault="00F326E5" w:rsidP="00637A12">
      <w:pPr>
        <w:ind w:left="720"/>
        <w:rPr>
          <w:rFonts w:ascii="Times New Roman" w:eastAsia="Times New Roman" w:hAnsi="Times New Roman"/>
          <w:sz w:val="24"/>
          <w:szCs w:val="24"/>
        </w:rPr>
      </w:pPr>
      <w:r w:rsidRPr="00015208">
        <w:rPr>
          <w:rFonts w:ascii="Times New Roman" w:eastAsia="Times New Roman" w:hAnsi="Times New Roman"/>
          <w:sz w:val="24"/>
          <w:szCs w:val="24"/>
        </w:rPr>
        <w:lastRenderedPageBreak/>
        <w:t xml:space="preserve">“[W]e </w:t>
      </w:r>
      <w:proofErr w:type="gramStart"/>
      <w:r w:rsidRPr="00015208">
        <w:rPr>
          <w:rFonts w:ascii="Times New Roman" w:eastAsia="Times New Roman" w:hAnsi="Times New Roman"/>
          <w:sz w:val="24"/>
          <w:szCs w:val="24"/>
        </w:rPr>
        <w:t>find</w:t>
      </w:r>
      <w:proofErr w:type="gramEnd"/>
      <w:r w:rsidRPr="00015208">
        <w:rPr>
          <w:rFonts w:ascii="Times New Roman" w:eastAsia="Times New Roman" w:hAnsi="Times New Roman"/>
          <w:sz w:val="24"/>
          <w:szCs w:val="24"/>
        </w:rPr>
        <w:t xml:space="preserve"> no cases in Ohio directly on point, i.e., discussing the constitutionality of ordering a property inspection as a condition of CCS. However, we find guidance in R.C. 2951.02, which authorizes warrantless searches during an offender’s misdemeanor CCS under certain </w:t>
      </w:r>
      <w:proofErr w:type="gramStart"/>
      <w:r w:rsidRPr="00015208">
        <w:rPr>
          <w:rFonts w:ascii="Times New Roman" w:eastAsia="Times New Roman" w:hAnsi="Times New Roman"/>
          <w:sz w:val="24"/>
          <w:szCs w:val="24"/>
        </w:rPr>
        <w:t>circumstances.”</w:t>
      </w:r>
      <w:proofErr w:type="gramEnd"/>
      <w:r w:rsidRPr="00015208">
        <w:rPr>
          <w:rFonts w:ascii="Times New Roman" w:eastAsia="Times New Roman" w:hAnsi="Times New Roman"/>
          <w:sz w:val="24"/>
          <w:szCs w:val="24"/>
        </w:rPr>
        <w:t xml:space="preserve"> </w:t>
      </w:r>
      <w:hyperlink r:id="rId349" w:history="1">
        <w:r w:rsidRPr="00015208">
          <w:rPr>
            <w:rStyle w:val="Hyperlink"/>
            <w:rFonts w:ascii="Times New Roman" w:hAnsi="Times New Roman"/>
            <w:sz w:val="24"/>
            <w:szCs w:val="24"/>
          </w:rPr>
          <w:t>https://www.supremecourt.ohio.gov/rod/docs/pdf/8/2018/2018-Ohio-4109.pdf</w:t>
        </w:r>
      </w:hyperlink>
      <w:r w:rsidRPr="00015208">
        <w:rPr>
          <w:rFonts w:ascii="Times New Roman" w:eastAsia="Times New Roman" w:hAnsi="Times New Roman"/>
          <w:sz w:val="24"/>
          <w:szCs w:val="24"/>
        </w:rPr>
        <w:t xml:space="preserve"> </w:t>
      </w:r>
    </w:p>
    <w:p w14:paraId="4923AD15" w14:textId="77777777"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This decision can be helpful precedence in Ohio for communities struggling with empty properties. </w:t>
      </w:r>
    </w:p>
    <w:bookmarkEnd w:id="75"/>
    <w:p w14:paraId="46CB0502" w14:textId="77777777" w:rsidR="00791CA3" w:rsidRDefault="00791CA3" w:rsidP="00791CA3">
      <w:pPr>
        <w:rPr>
          <w:rFonts w:ascii="Arial Black" w:hAnsi="Arial Black"/>
          <w:b/>
          <w:sz w:val="24"/>
          <w:szCs w:val="24"/>
        </w:rPr>
      </w:pPr>
    </w:p>
    <w:p w14:paraId="4443AB19" w14:textId="07B5069A"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w:t>
      </w:r>
      <w:r w:rsidRPr="00791CA3">
        <w:rPr>
          <w:rFonts w:ascii="Arial Black" w:hAnsi="Arial Black"/>
          <w:b/>
          <w:sz w:val="24"/>
          <w:szCs w:val="24"/>
        </w:rPr>
        <w:t>3</w:t>
      </w:r>
    </w:p>
    <w:p w14:paraId="2B328449" w14:textId="2B582342" w:rsidR="00F326E5" w:rsidRPr="001456E2" w:rsidRDefault="00F326E5" w:rsidP="00F326E5">
      <w:pPr>
        <w:pStyle w:val="NoSpacing"/>
        <w:rPr>
          <w:rFonts w:ascii="Arial Black" w:hAnsi="Arial Black"/>
          <w:sz w:val="28"/>
          <w:szCs w:val="28"/>
        </w:rPr>
      </w:pPr>
      <w:bookmarkStart w:id="76" w:name="_Hlk7339826"/>
      <w:r w:rsidRPr="001456E2">
        <w:rPr>
          <w:rFonts w:ascii="Arial Black" w:hAnsi="Arial Black"/>
          <w:sz w:val="28"/>
          <w:szCs w:val="28"/>
        </w:rPr>
        <w:t>OH: AUTOPSY REPORTS NOT PUBLIC RECORDS – ONGOING INVESTIGATION, BUT JOURNALISTS CAN READ</w:t>
      </w:r>
      <w:r w:rsidRPr="001456E2">
        <w:rPr>
          <w:sz w:val="28"/>
          <w:szCs w:val="28"/>
        </w:rPr>
        <w:t xml:space="preserve"> </w:t>
      </w:r>
    </w:p>
    <w:p w14:paraId="428EA072" w14:textId="77777777" w:rsidR="00637A12" w:rsidRDefault="00F326E5" w:rsidP="00F326E5">
      <w:pPr>
        <w:rPr>
          <w:rFonts w:ascii="Times New Roman" w:eastAsia="Times New Roman" w:hAnsi="Times New Roman"/>
          <w:sz w:val="24"/>
          <w:szCs w:val="24"/>
        </w:rPr>
      </w:pPr>
      <w:r w:rsidRPr="00015208">
        <w:rPr>
          <w:rFonts w:ascii="Times New Roman" w:eastAsia="Times New Roman" w:hAnsi="Times New Roman"/>
          <w:sz w:val="24"/>
          <w:szCs w:val="24"/>
        </w:rPr>
        <w:t xml:space="preserve">On Sept. 19, 2018, in </w:t>
      </w:r>
      <w:r w:rsidRPr="00015208">
        <w:rPr>
          <w:rFonts w:ascii="Times New Roman" w:eastAsia="Times New Roman" w:hAnsi="Times New Roman"/>
          <w:sz w:val="24"/>
          <w:szCs w:val="24"/>
          <w:u w:val="single"/>
        </w:rPr>
        <w:t>The State Ex Rel. Cincinnati Enquirer v. Pike County General Health District, et al.</w:t>
      </w:r>
      <w:r w:rsidRPr="00015208">
        <w:rPr>
          <w:rFonts w:ascii="Times New Roman" w:eastAsia="Times New Roman" w:hAnsi="Times New Roman"/>
          <w:sz w:val="24"/>
          <w:szCs w:val="24"/>
        </w:rPr>
        <w:t xml:space="preserve">, the Ohio Supreme Court held (5 to 0) that: </w:t>
      </w:r>
    </w:p>
    <w:p w14:paraId="4C09B704" w14:textId="34B5EE95" w:rsidR="00F326E5" w:rsidRPr="00015208" w:rsidRDefault="00F326E5" w:rsidP="00637A12">
      <w:pPr>
        <w:ind w:left="720"/>
        <w:rPr>
          <w:rFonts w:ascii="Times New Roman" w:eastAsia="Times New Roman" w:hAnsi="Times New Roman"/>
          <w:b/>
          <w:sz w:val="24"/>
          <w:szCs w:val="24"/>
        </w:rPr>
      </w:pPr>
      <w:r w:rsidRPr="00015208">
        <w:rPr>
          <w:rFonts w:ascii="Times New Roman" w:eastAsia="Times New Roman" w:hAnsi="Times New Roman"/>
          <w:sz w:val="24"/>
          <w:szCs w:val="24"/>
        </w:rPr>
        <w:t>“</w:t>
      </w:r>
      <w:proofErr w:type="gramStart"/>
      <w:r w:rsidRPr="00015208">
        <w:rPr>
          <w:rFonts w:ascii="Times New Roman" w:eastAsia="Times New Roman" w:hAnsi="Times New Roman"/>
          <w:sz w:val="24"/>
          <w:szCs w:val="24"/>
        </w:rPr>
        <w:t>the</w:t>
      </w:r>
      <w:proofErr w:type="gramEnd"/>
      <w:r w:rsidRPr="00015208">
        <w:rPr>
          <w:rFonts w:ascii="Times New Roman" w:eastAsia="Times New Roman" w:hAnsi="Times New Roman"/>
          <w:sz w:val="24"/>
          <w:szCs w:val="24"/>
        </w:rPr>
        <w:t xml:space="preserve"> function of R.C. 313.10(D) is to give journalists limited access to records that are not public records. If a journalist could review only autopsy reports that are public records, then he would have no greater access than the </w:t>
      </w:r>
      <w:proofErr w:type="gramStart"/>
      <w:r w:rsidRPr="00015208">
        <w:rPr>
          <w:rFonts w:ascii="Times New Roman" w:eastAsia="Times New Roman" w:hAnsi="Times New Roman"/>
          <w:sz w:val="24"/>
          <w:szCs w:val="24"/>
        </w:rPr>
        <w:t>general public</w:t>
      </w:r>
      <w:proofErr w:type="gramEnd"/>
      <w:r w:rsidRPr="00015208">
        <w:rPr>
          <w:rFonts w:ascii="Times New Roman" w:eastAsia="Times New Roman" w:hAnsi="Times New Roman"/>
          <w:sz w:val="24"/>
          <w:szCs w:val="24"/>
        </w:rPr>
        <w:t xml:space="preserve">, and R.C. 313.10(D) would be a dead letter.” </w:t>
      </w:r>
      <w:hyperlink r:id="rId350" w:history="1">
        <w:r w:rsidRPr="00015208">
          <w:rPr>
            <w:rStyle w:val="Hyperlink"/>
            <w:rFonts w:ascii="Times New Roman" w:hAnsi="Times New Roman"/>
            <w:sz w:val="24"/>
            <w:szCs w:val="24"/>
          </w:rPr>
          <w:t>https://www.supremecourt.ohio.gov/rod/docs/pdf/0/2018/2018-Ohio-3721.pdf</w:t>
        </w:r>
      </w:hyperlink>
      <w:r w:rsidRPr="00015208">
        <w:rPr>
          <w:rFonts w:ascii="Times New Roman" w:eastAsia="Times New Roman" w:hAnsi="Times New Roman"/>
          <w:b/>
          <w:sz w:val="24"/>
          <w:szCs w:val="24"/>
        </w:rPr>
        <w:t xml:space="preserve"> </w:t>
      </w:r>
    </w:p>
    <w:p w14:paraId="0E495C83" w14:textId="77777777" w:rsidR="00ED63B1"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The Cincinnati Enquirer may next seek reimbursement of attorney fees.  Fire &amp; EMS departments, when requested to produce documents that may not be “public records” (for example, HIPAA-protected EMS run reports), should consult legal counsel before deciding whether to release the documents. </w:t>
      </w:r>
    </w:p>
    <w:bookmarkEnd w:id="76"/>
    <w:p w14:paraId="61B31F86" w14:textId="77777777" w:rsidR="00F326E5" w:rsidRPr="00015208" w:rsidRDefault="00F326E5" w:rsidP="00F326E5">
      <w:pPr>
        <w:pStyle w:val="NoSpacing"/>
        <w:ind w:left="720"/>
        <w:rPr>
          <w:rFonts w:ascii="Times New Roman" w:hAnsi="Times New Roman"/>
          <w:sz w:val="24"/>
          <w:szCs w:val="24"/>
        </w:rPr>
      </w:pPr>
      <w:r w:rsidRPr="00015208">
        <w:rPr>
          <w:rFonts w:ascii="Times New Roman" w:eastAsia="Times New Roman" w:hAnsi="Times New Roman"/>
          <w:sz w:val="24"/>
          <w:szCs w:val="24"/>
        </w:rPr>
        <w:t>Note: On Nov. 13, 2018, arrests were made: “</w:t>
      </w:r>
      <w:r w:rsidRPr="00015208">
        <w:rPr>
          <w:rFonts w:ascii="Times New Roman" w:hAnsi="Times New Roman"/>
          <w:sz w:val="24"/>
          <w:szCs w:val="24"/>
        </w:rPr>
        <w:t xml:space="preserve">Pike County: Wagner Family Arrested </w:t>
      </w:r>
      <w:proofErr w:type="gramStart"/>
      <w:r w:rsidRPr="00015208">
        <w:rPr>
          <w:rFonts w:ascii="Times New Roman" w:hAnsi="Times New Roman"/>
          <w:sz w:val="24"/>
          <w:szCs w:val="24"/>
        </w:rPr>
        <w:t>In</w:t>
      </w:r>
      <w:proofErr w:type="gramEnd"/>
      <w:r w:rsidRPr="00015208">
        <w:rPr>
          <w:rFonts w:ascii="Times New Roman" w:hAnsi="Times New Roman"/>
          <w:sz w:val="24"/>
          <w:szCs w:val="24"/>
        </w:rPr>
        <w:t xml:space="preserve"> </w:t>
      </w:r>
      <w:proofErr w:type="gramStart"/>
      <w:r w:rsidRPr="00015208">
        <w:rPr>
          <w:rFonts w:ascii="Times New Roman" w:hAnsi="Times New Roman"/>
          <w:sz w:val="24"/>
          <w:szCs w:val="24"/>
        </w:rPr>
        <w:t>The</w:t>
      </w:r>
      <w:proofErr w:type="gramEnd"/>
      <w:r w:rsidRPr="00015208">
        <w:rPr>
          <w:rFonts w:ascii="Times New Roman" w:hAnsi="Times New Roman"/>
          <w:sz w:val="24"/>
          <w:szCs w:val="24"/>
        </w:rPr>
        <w:t xml:space="preserve"> Rhoden Family Massacre…. Arrested and charged with murder and a slew of other charges were Angela Wagner, 48, her husband George ‘Billy’ Wagner, 47, and their two sons, George Wagner IV, 27, and Edward ‘Jake’ Wagner, 26.” </w:t>
      </w:r>
      <w:hyperlink r:id="rId351" w:history="1">
        <w:r w:rsidRPr="00015208">
          <w:rPr>
            <w:rStyle w:val="Hyperlink"/>
            <w:rFonts w:ascii="Times New Roman" w:hAnsi="Times New Roman"/>
            <w:sz w:val="24"/>
            <w:szCs w:val="24"/>
          </w:rPr>
          <w:t>https://www.cincinnati.com/story/news/crime/crime-and-courts/2018/11/13/pike-county-massacre-wagner-family-arrested-rhoden-family-homicides/1373456002/</w:t>
        </w:r>
      </w:hyperlink>
      <w:r w:rsidRPr="00015208">
        <w:rPr>
          <w:rFonts w:ascii="Times New Roman" w:hAnsi="Times New Roman"/>
          <w:sz w:val="24"/>
          <w:szCs w:val="24"/>
        </w:rPr>
        <w:t xml:space="preserve"> </w:t>
      </w:r>
    </w:p>
    <w:p w14:paraId="2FCD49A6" w14:textId="77777777" w:rsidR="00F326E5" w:rsidRPr="00015208" w:rsidRDefault="00F326E5" w:rsidP="00F326E5">
      <w:pPr>
        <w:pStyle w:val="NoSpacing"/>
        <w:rPr>
          <w:rFonts w:ascii="Times New Roman" w:hAnsi="Times New Roman"/>
          <w:b/>
          <w:sz w:val="24"/>
          <w:szCs w:val="24"/>
        </w:rPr>
      </w:pPr>
    </w:p>
    <w:p w14:paraId="7918B77A" w14:textId="77777777" w:rsidR="00791CA3" w:rsidRPr="00015208" w:rsidRDefault="00791CA3" w:rsidP="00791CA3">
      <w:pPr>
        <w:rPr>
          <w:rFonts w:ascii="Times New Roman" w:hAnsi="Times New Roman"/>
          <w:b/>
          <w:sz w:val="24"/>
          <w:szCs w:val="24"/>
        </w:rPr>
      </w:pPr>
      <w:bookmarkStart w:id="77" w:name="_Hlk7339892"/>
    </w:p>
    <w:p w14:paraId="7AC0E8AE" w14:textId="6A487761"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12</w:t>
      </w:r>
    </w:p>
    <w:p w14:paraId="718F2358" w14:textId="44D21E5D" w:rsidR="00F326E5" w:rsidRPr="00237787" w:rsidRDefault="00F326E5" w:rsidP="00F326E5">
      <w:pPr>
        <w:pStyle w:val="Heading1"/>
        <w:rPr>
          <w:sz w:val="24"/>
          <w:szCs w:val="24"/>
        </w:rPr>
      </w:pPr>
      <w:r w:rsidRPr="001456E2">
        <w:rPr>
          <w:rFonts w:ascii="Arial Black" w:hAnsi="Arial Black"/>
          <w:sz w:val="28"/>
          <w:szCs w:val="28"/>
        </w:rPr>
        <w:t>TX: FREE SPEECH - PD OFFICER LAWSUIT MAY PROCEED - FIRED ORGANIZING POLICE ASSOCIATION</w:t>
      </w:r>
      <w:r>
        <w:rPr>
          <w:rFonts w:ascii="Arial Black" w:hAnsi="Arial Black"/>
          <w:sz w:val="24"/>
          <w:szCs w:val="24"/>
        </w:rPr>
        <w:t xml:space="preserve"> </w:t>
      </w:r>
      <w:r w:rsidRPr="00237787">
        <w:rPr>
          <w:sz w:val="24"/>
          <w:szCs w:val="24"/>
        </w:rPr>
        <w:t>[also filed, Chap. 16]</w:t>
      </w:r>
    </w:p>
    <w:p w14:paraId="5EDF39B6" w14:textId="77777777" w:rsidR="00637A12" w:rsidRDefault="00F326E5" w:rsidP="00F326E5">
      <w:pPr>
        <w:rPr>
          <w:rFonts w:ascii="Times New Roman" w:hAnsi="Times New Roman"/>
          <w:sz w:val="24"/>
          <w:szCs w:val="24"/>
        </w:rPr>
      </w:pPr>
      <w:r w:rsidRPr="00015208">
        <w:rPr>
          <w:rFonts w:ascii="Times New Roman" w:hAnsi="Times New Roman"/>
          <w:sz w:val="24"/>
          <w:szCs w:val="24"/>
        </w:rPr>
        <w:t xml:space="preserve">On Aug. 31, 2018, in </w:t>
      </w:r>
      <w:r w:rsidRPr="00015208">
        <w:rPr>
          <w:rFonts w:ascii="Times New Roman" w:hAnsi="Times New Roman"/>
          <w:sz w:val="24"/>
          <w:szCs w:val="24"/>
          <w:u w:val="single"/>
        </w:rPr>
        <w:t>Marcus Mote v. Debra Walthall</w:t>
      </w:r>
      <w:r w:rsidRPr="00015208">
        <w:rPr>
          <w:rFonts w:ascii="Times New Roman" w:hAnsi="Times New Roman"/>
          <w:sz w:val="24"/>
          <w:szCs w:val="24"/>
        </w:rPr>
        <w:t>, the U.S. Court of Appeals for 5</w:t>
      </w:r>
      <w:r w:rsidRPr="00015208">
        <w:rPr>
          <w:rFonts w:ascii="Times New Roman" w:hAnsi="Times New Roman"/>
          <w:sz w:val="24"/>
          <w:szCs w:val="24"/>
          <w:vertAlign w:val="superscript"/>
        </w:rPr>
        <w:t>th</w:t>
      </w:r>
      <w:r w:rsidRPr="00015208">
        <w:rPr>
          <w:rFonts w:ascii="Times New Roman" w:hAnsi="Times New Roman"/>
          <w:sz w:val="24"/>
          <w:szCs w:val="24"/>
        </w:rPr>
        <w:t xml:space="preserve"> Circuit held (3 to 0) that Police Chief Debra Walthall is not entitled to qualified immunity, and Officer Mote’s lawsuit against her may proceed.  Officer Mote sought before he was fired to organize police officers with the City of </w:t>
      </w:r>
      <w:proofErr w:type="spellStart"/>
      <w:r w:rsidRPr="00015208">
        <w:rPr>
          <w:rFonts w:ascii="Times New Roman" w:hAnsi="Times New Roman"/>
          <w:sz w:val="24"/>
          <w:szCs w:val="24"/>
        </w:rPr>
        <w:t>Corith</w:t>
      </w:r>
      <w:proofErr w:type="spellEnd"/>
      <w:r w:rsidRPr="00015208">
        <w:rPr>
          <w:rFonts w:ascii="Times New Roman" w:hAnsi="Times New Roman"/>
          <w:sz w:val="24"/>
          <w:szCs w:val="24"/>
        </w:rPr>
        <w:t xml:space="preserve">, TX into a </w:t>
      </w:r>
    </w:p>
    <w:p w14:paraId="467AFC90" w14:textId="07FBB86F" w:rsidR="00F326E5" w:rsidRPr="00015208" w:rsidRDefault="00F326E5" w:rsidP="00637A12">
      <w:pPr>
        <w:ind w:left="720"/>
        <w:rPr>
          <w:rFonts w:ascii="Times New Roman" w:eastAsia="Times New Roman" w:hAnsi="Times New Roman"/>
          <w:sz w:val="24"/>
          <w:szCs w:val="24"/>
        </w:rPr>
      </w:pPr>
      <w:r w:rsidRPr="00015208">
        <w:rPr>
          <w:rFonts w:ascii="Times New Roman" w:hAnsi="Times New Roman"/>
          <w:sz w:val="24"/>
          <w:szCs w:val="24"/>
        </w:rPr>
        <w:t>“</w:t>
      </w:r>
      <w:proofErr w:type="spellStart"/>
      <w:r w:rsidRPr="00015208">
        <w:rPr>
          <w:rFonts w:ascii="Times New Roman" w:hAnsi="Times New Roman"/>
          <w:sz w:val="24"/>
          <w:szCs w:val="24"/>
        </w:rPr>
        <w:t>Corith</w:t>
      </w:r>
      <w:proofErr w:type="spellEnd"/>
      <w:r w:rsidRPr="00015208">
        <w:rPr>
          <w:rFonts w:ascii="Times New Roman" w:hAnsi="Times New Roman"/>
          <w:sz w:val="24"/>
          <w:szCs w:val="24"/>
        </w:rPr>
        <w:t xml:space="preserve"> Police Officers Association” [no collective bargaining rights under TX law], affiliated with the Texas Municipal Police Association.  The Court wrote, “</w:t>
      </w:r>
      <w:r w:rsidRPr="00015208">
        <w:rPr>
          <w:rFonts w:ascii="Times New Roman" w:eastAsia="Times New Roman" w:hAnsi="Times New Roman"/>
          <w:sz w:val="24"/>
          <w:szCs w:val="24"/>
        </w:rPr>
        <w:t>The First Amendment protects the right of all persons to associate together in groups to ‘</w:t>
      </w:r>
      <w:proofErr w:type="spellStart"/>
      <w:r w:rsidRPr="00015208">
        <w:rPr>
          <w:rFonts w:ascii="Times New Roman" w:eastAsia="Times New Roman" w:hAnsi="Times New Roman"/>
          <w:sz w:val="24"/>
          <w:szCs w:val="24"/>
        </w:rPr>
        <w:t>advanc</w:t>
      </w:r>
      <w:proofErr w:type="spellEnd"/>
      <w:r w:rsidRPr="00015208">
        <w:rPr>
          <w:rFonts w:ascii="Times New Roman" w:eastAsia="Times New Roman" w:hAnsi="Times New Roman"/>
          <w:sz w:val="24"/>
          <w:szCs w:val="24"/>
        </w:rPr>
        <w:t>[e] beliefs and ideas.’ Put another way, ‘the [F]</w:t>
      </w:r>
      <w:proofErr w:type="spellStart"/>
      <w:r w:rsidRPr="00015208">
        <w:rPr>
          <w:rFonts w:ascii="Times New Roman" w:eastAsia="Times New Roman" w:hAnsi="Times New Roman"/>
          <w:sz w:val="24"/>
          <w:szCs w:val="24"/>
        </w:rPr>
        <w:t>irst</w:t>
      </w:r>
      <w:proofErr w:type="spellEnd"/>
      <w:r w:rsidRPr="00015208">
        <w:rPr>
          <w:rFonts w:ascii="Times New Roman" w:eastAsia="Times New Roman" w:hAnsi="Times New Roman"/>
          <w:sz w:val="24"/>
          <w:szCs w:val="24"/>
        </w:rPr>
        <w:t xml:space="preserve"> </w:t>
      </w:r>
      <w:r w:rsidRPr="00015208">
        <w:rPr>
          <w:rFonts w:ascii="Times New Roman" w:eastAsia="Times New Roman" w:hAnsi="Times New Roman"/>
          <w:sz w:val="24"/>
          <w:szCs w:val="24"/>
        </w:rPr>
        <w:lastRenderedPageBreak/>
        <w:t>[A]</w:t>
      </w:r>
      <w:proofErr w:type="spellStart"/>
      <w:r w:rsidRPr="00015208">
        <w:rPr>
          <w:rFonts w:ascii="Times New Roman" w:eastAsia="Times New Roman" w:hAnsi="Times New Roman"/>
          <w:sz w:val="24"/>
          <w:szCs w:val="24"/>
        </w:rPr>
        <w:t>mendment</w:t>
      </w:r>
      <w:proofErr w:type="spellEnd"/>
      <w:r w:rsidRPr="00015208">
        <w:rPr>
          <w:rFonts w:ascii="Times New Roman" w:eastAsia="Times New Roman" w:hAnsi="Times New Roman"/>
          <w:sz w:val="24"/>
          <w:szCs w:val="24"/>
        </w:rPr>
        <w:t xml:space="preserve"> protects the right of all persons to associate together in groups to further their lawful interests.’ When groups </w:t>
      </w:r>
      <w:proofErr w:type="gramStart"/>
      <w:r w:rsidRPr="00015208">
        <w:rPr>
          <w:rFonts w:ascii="Times New Roman" w:eastAsia="Times New Roman" w:hAnsi="Times New Roman"/>
          <w:sz w:val="24"/>
          <w:szCs w:val="24"/>
        </w:rPr>
        <w:t>gather together</w:t>
      </w:r>
      <w:proofErr w:type="gramEnd"/>
      <w:r w:rsidRPr="00015208">
        <w:rPr>
          <w:rFonts w:ascii="Times New Roman" w:eastAsia="Times New Roman" w:hAnsi="Times New Roman"/>
          <w:sz w:val="24"/>
          <w:szCs w:val="24"/>
        </w:rPr>
        <w:t xml:space="preserve"> for this </w:t>
      </w:r>
      <w:proofErr w:type="gramStart"/>
      <w:r w:rsidRPr="00015208">
        <w:rPr>
          <w:rFonts w:ascii="Times New Roman" w:eastAsia="Times New Roman" w:hAnsi="Times New Roman"/>
          <w:sz w:val="24"/>
          <w:szCs w:val="24"/>
        </w:rPr>
        <w:t>purpose, ‘</w:t>
      </w:r>
      <w:proofErr w:type="gramEnd"/>
      <w:r w:rsidRPr="00015208">
        <w:rPr>
          <w:rFonts w:ascii="Times New Roman" w:eastAsia="Times New Roman" w:hAnsi="Times New Roman"/>
          <w:sz w:val="24"/>
          <w:szCs w:val="24"/>
        </w:rPr>
        <w:t xml:space="preserve">it cannot be seriously doubted’ that they comprise associations protected by the First Amendment. *** </w:t>
      </w:r>
      <w:r w:rsidRPr="00015208">
        <w:rPr>
          <w:rFonts w:ascii="Times New Roman" w:hAnsi="Times New Roman"/>
          <w:sz w:val="24"/>
          <w:szCs w:val="24"/>
        </w:rPr>
        <w:t xml:space="preserve">We conclude that Mote’s right to speak </w:t>
      </w:r>
      <w:r w:rsidRPr="00015208">
        <w:rPr>
          <w:rFonts w:ascii="Times New Roman" w:eastAsia="Times New Roman" w:hAnsi="Times New Roman"/>
          <w:sz w:val="24"/>
          <w:szCs w:val="24"/>
        </w:rPr>
        <w:t xml:space="preserve">in furtherance of forming the CPOA was clearly established as an integral part of his association rights. *** We agree with the district court that Mote’s association and speech rights to engage in the activities he alleged were </w:t>
      </w:r>
      <w:proofErr w:type="spellStart"/>
      <w:r w:rsidRPr="00015208">
        <w:rPr>
          <w:rFonts w:ascii="Times New Roman" w:eastAsia="Times New Roman" w:hAnsi="Times New Roman"/>
          <w:sz w:val="24"/>
          <w:szCs w:val="24"/>
        </w:rPr>
        <w:t>cle</w:t>
      </w:r>
      <w:r w:rsidRPr="00015208">
        <w:rPr>
          <w:rFonts w:ascii="Times New Roman" w:hAnsi="Times New Roman"/>
          <w:sz w:val="24"/>
          <w:szCs w:val="24"/>
        </w:rPr>
        <w:t>O</w:t>
      </w:r>
      <w:r w:rsidRPr="00015208">
        <w:rPr>
          <w:rFonts w:ascii="Times New Roman" w:eastAsia="Times New Roman" w:hAnsi="Times New Roman"/>
          <w:sz w:val="24"/>
          <w:szCs w:val="24"/>
        </w:rPr>
        <w:t>arly</w:t>
      </w:r>
      <w:proofErr w:type="spellEnd"/>
      <w:r w:rsidRPr="00015208">
        <w:rPr>
          <w:rFonts w:ascii="Times New Roman" w:eastAsia="Times New Roman" w:hAnsi="Times New Roman"/>
          <w:sz w:val="24"/>
          <w:szCs w:val="24"/>
        </w:rPr>
        <w:t xml:space="preserve"> established. We therefore DISMISS the appeal.” </w:t>
      </w:r>
      <w:hyperlink r:id="rId352" w:history="1">
        <w:r w:rsidRPr="00015208">
          <w:rPr>
            <w:rStyle w:val="Hyperlink"/>
            <w:rFonts w:ascii="Times New Roman" w:hAnsi="Times New Roman"/>
            <w:sz w:val="24"/>
            <w:szCs w:val="24"/>
          </w:rPr>
          <w:t>https://cases.justia.com/federal/appellate-courts/ca5/17-40754/17-40754-2018-08-31.pdf?ts=1535736678</w:t>
        </w:r>
      </w:hyperlink>
      <w:r w:rsidRPr="00015208">
        <w:rPr>
          <w:rFonts w:ascii="Times New Roman" w:eastAsia="Times New Roman" w:hAnsi="Times New Roman"/>
          <w:sz w:val="24"/>
          <w:szCs w:val="24"/>
        </w:rPr>
        <w:t xml:space="preserve"> </w:t>
      </w:r>
    </w:p>
    <w:p w14:paraId="773803F7" w14:textId="77777777"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Very strong opinion concerning free speech rights of public employees.  Fire &amp; EMS departments should adopt a “Social Media” policy that recognizes free speech </w:t>
      </w:r>
      <w:proofErr w:type="gramStart"/>
      <w:r w:rsidRPr="00015208">
        <w:rPr>
          <w:rFonts w:ascii="Times New Roman" w:eastAsia="Times New Roman" w:hAnsi="Times New Roman"/>
          <w:b/>
          <w:sz w:val="24"/>
          <w:szCs w:val="24"/>
        </w:rPr>
        <w:t>rights, but</w:t>
      </w:r>
      <w:proofErr w:type="gramEnd"/>
      <w:r w:rsidRPr="00015208">
        <w:rPr>
          <w:rFonts w:ascii="Times New Roman" w:eastAsia="Times New Roman" w:hAnsi="Times New Roman"/>
          <w:b/>
          <w:sz w:val="24"/>
          <w:szCs w:val="24"/>
        </w:rPr>
        <w:t xml:space="preserve"> also cautions members to not publicly discuss internal matters</w:t>
      </w:r>
      <w:r w:rsidRPr="00015208">
        <w:rPr>
          <w:rFonts w:ascii="Times New Roman" w:eastAsia="Times New Roman" w:hAnsi="Times New Roman"/>
          <w:sz w:val="24"/>
          <w:szCs w:val="24"/>
        </w:rPr>
        <w:t>.</w:t>
      </w:r>
    </w:p>
    <w:bookmarkEnd w:id="77"/>
    <w:p w14:paraId="3AFD0AE6" w14:textId="77777777" w:rsidR="00F326E5" w:rsidRPr="00015208" w:rsidRDefault="00F326E5" w:rsidP="00F326E5">
      <w:pPr>
        <w:pStyle w:val="NoSpacing"/>
        <w:rPr>
          <w:rFonts w:ascii="Times New Roman" w:hAnsi="Times New Roman"/>
          <w:b/>
          <w:sz w:val="24"/>
          <w:szCs w:val="24"/>
        </w:rPr>
      </w:pPr>
    </w:p>
    <w:p w14:paraId="1897F040" w14:textId="77777777" w:rsidR="00F326E5" w:rsidRPr="00015208" w:rsidRDefault="00F326E5" w:rsidP="00F326E5">
      <w:pPr>
        <w:pStyle w:val="NoSpacing"/>
        <w:rPr>
          <w:rFonts w:ascii="Times New Roman" w:hAnsi="Times New Roman"/>
          <w:sz w:val="24"/>
          <w:szCs w:val="24"/>
        </w:rPr>
      </w:pPr>
    </w:p>
    <w:p w14:paraId="2411D8D4" w14:textId="77777777" w:rsidR="00791CA3" w:rsidRDefault="00791CA3" w:rsidP="00F326E5">
      <w:pPr>
        <w:pStyle w:val="NoSpacing"/>
        <w:rPr>
          <w:rFonts w:ascii="Arial Black" w:hAnsi="Arial Black"/>
          <w:b/>
          <w:sz w:val="28"/>
          <w:szCs w:val="28"/>
        </w:rPr>
      </w:pPr>
      <w:bookmarkStart w:id="78" w:name="_Hlk7339942"/>
    </w:p>
    <w:p w14:paraId="1AA97805" w14:textId="6797C79F" w:rsidR="00791CA3" w:rsidRDefault="00791CA3" w:rsidP="00791CA3">
      <w:pPr>
        <w:rPr>
          <w:rFonts w:ascii="Arial Black" w:hAnsi="Arial Black"/>
          <w:b/>
          <w:sz w:val="28"/>
          <w:szCs w:val="28"/>
        </w:rPr>
      </w:pPr>
      <w:r w:rsidRPr="00791CA3">
        <w:rPr>
          <w:rFonts w:ascii="Arial Black" w:hAnsi="Arial Black"/>
          <w:b/>
          <w:sz w:val="24"/>
          <w:szCs w:val="24"/>
        </w:rPr>
        <w:t>1-</w:t>
      </w:r>
      <w:r>
        <w:rPr>
          <w:rFonts w:ascii="Arial Black" w:hAnsi="Arial Black"/>
          <w:b/>
          <w:sz w:val="24"/>
          <w:szCs w:val="24"/>
        </w:rPr>
        <w:t>11</w:t>
      </w:r>
    </w:p>
    <w:p w14:paraId="17E880CC" w14:textId="2D0457CF" w:rsidR="00F326E5" w:rsidRPr="0002048B" w:rsidRDefault="00F326E5" w:rsidP="00F326E5">
      <w:pPr>
        <w:pStyle w:val="NoSpacing"/>
        <w:rPr>
          <w:b/>
          <w:sz w:val="24"/>
          <w:szCs w:val="24"/>
        </w:rPr>
      </w:pPr>
      <w:r w:rsidRPr="00BF4082">
        <w:rPr>
          <w:rFonts w:ascii="Arial Black" w:hAnsi="Arial Black"/>
          <w:b/>
          <w:sz w:val="28"/>
          <w:szCs w:val="28"/>
        </w:rPr>
        <w:t>OH: DYING DECLARATION IN BACK OF AMBULANCE ADMISSIBLE IN MURDER TRIAL</w:t>
      </w:r>
      <w:r>
        <w:rPr>
          <w:rFonts w:ascii="Arial Black" w:hAnsi="Arial Black"/>
          <w:b/>
          <w:sz w:val="24"/>
          <w:szCs w:val="24"/>
        </w:rPr>
        <w:t xml:space="preserve"> </w:t>
      </w:r>
      <w:r w:rsidRPr="0002048B">
        <w:rPr>
          <w:b/>
          <w:sz w:val="24"/>
          <w:szCs w:val="24"/>
        </w:rPr>
        <w:t>[also filed Chap. 13]</w:t>
      </w:r>
    </w:p>
    <w:p w14:paraId="4DA1D8C4" w14:textId="77777777" w:rsidR="00F326E5" w:rsidRPr="00015208" w:rsidRDefault="00F326E5" w:rsidP="00F326E5">
      <w:pPr>
        <w:rPr>
          <w:rFonts w:ascii="Times New Roman" w:eastAsia="Times New Roman" w:hAnsi="Times New Roman"/>
          <w:sz w:val="24"/>
          <w:szCs w:val="24"/>
        </w:rPr>
      </w:pPr>
      <w:r w:rsidRPr="00015208">
        <w:rPr>
          <w:rFonts w:ascii="Times New Roman" w:hAnsi="Times New Roman"/>
          <w:sz w:val="24"/>
          <w:szCs w:val="24"/>
        </w:rPr>
        <w:t xml:space="preserve">On July 25, 2018, in </w:t>
      </w:r>
      <w:r w:rsidRPr="00015208">
        <w:rPr>
          <w:rFonts w:ascii="Times New Roman" w:eastAsia="Times New Roman" w:hAnsi="Times New Roman"/>
          <w:sz w:val="24"/>
          <w:szCs w:val="24"/>
          <w:u w:val="single"/>
        </w:rPr>
        <w:t>State v. Fred Taylor</w:t>
      </w:r>
      <w:r w:rsidRPr="00015208">
        <w:rPr>
          <w:rFonts w:ascii="Times New Roman" w:eastAsia="Times New Roman" w:hAnsi="Times New Roman"/>
          <w:sz w:val="24"/>
          <w:szCs w:val="24"/>
        </w:rPr>
        <w:t xml:space="preserve">, 2018-Ohio-2921, the Ohio Court of Appeals for Summit County, upheld (3 to 0) his conviction of felony murder of Javon Knaff.   </w:t>
      </w:r>
    </w:p>
    <w:p w14:paraId="580C51A8" w14:textId="5E629BB1" w:rsidR="00F326E5" w:rsidRPr="00015208" w:rsidRDefault="00F326E5" w:rsidP="00637A12">
      <w:pPr>
        <w:ind w:left="720"/>
        <w:rPr>
          <w:rFonts w:ascii="Times New Roman" w:eastAsia="Times New Roman" w:hAnsi="Times New Roman"/>
          <w:sz w:val="24"/>
          <w:szCs w:val="24"/>
        </w:rPr>
      </w:pPr>
      <w:r w:rsidRPr="00015208">
        <w:rPr>
          <w:rFonts w:ascii="Times New Roman" w:eastAsia="Times New Roman" w:hAnsi="Times New Roman"/>
          <w:sz w:val="24"/>
          <w:szCs w:val="24"/>
        </w:rPr>
        <w:t>“Mr. Knaff’s repeated statements concerning the fact that he was dying, coupled with the severity of his condition, demonstrate his awareness of his impending death at the time that he stated, ‘Fred shot [me].’ Consequently, this statement was admissible as a dying declaration.”</w:t>
      </w:r>
      <w:hyperlink r:id="rId353" w:history="1">
        <w:r w:rsidR="00637A12" w:rsidRPr="002F304C">
          <w:rPr>
            <w:rStyle w:val="Hyperlink"/>
            <w:rFonts w:ascii="Times New Roman" w:hAnsi="Times New Roman"/>
            <w:sz w:val="24"/>
            <w:szCs w:val="24"/>
          </w:rPr>
          <w:t>https://cases.justia.com/ohio/ninth-district-court-of-appeals/2018-28746.pdf?ts=1532525904</w:t>
        </w:r>
      </w:hyperlink>
      <w:r w:rsidRPr="00015208">
        <w:rPr>
          <w:rFonts w:ascii="Times New Roman" w:eastAsia="Times New Roman" w:hAnsi="Times New Roman"/>
          <w:sz w:val="24"/>
          <w:szCs w:val="24"/>
        </w:rPr>
        <w:t xml:space="preserve"> </w:t>
      </w:r>
    </w:p>
    <w:p w14:paraId="6BA57B70" w14:textId="77777777" w:rsidR="00F326E5" w:rsidRPr="00015208" w:rsidRDefault="00F326E5" w:rsidP="00F326E5">
      <w:pPr>
        <w:rPr>
          <w:rFonts w:ascii="Times New Roman" w:hAnsi="Times New Roman"/>
          <w:b/>
          <w:sz w:val="24"/>
          <w:szCs w:val="24"/>
        </w:rPr>
      </w:pPr>
      <w:r w:rsidRPr="00015208">
        <w:rPr>
          <w:rFonts w:ascii="Times New Roman" w:hAnsi="Times New Roman"/>
          <w:b/>
          <w:sz w:val="24"/>
          <w:szCs w:val="24"/>
        </w:rPr>
        <w:t xml:space="preserve">Legal Lessons Learned:  Document on your EMS run report the actual words spoken by the patient; a “dying declaration” is admissible in evidence.   Recording the words on your run report can help prosecution reach a plea agreement. </w:t>
      </w:r>
    </w:p>
    <w:p w14:paraId="0EB84B91" w14:textId="77777777" w:rsidR="00791CA3" w:rsidRPr="00015208" w:rsidRDefault="00791CA3" w:rsidP="00791CA3">
      <w:pPr>
        <w:rPr>
          <w:rFonts w:ascii="Times New Roman" w:hAnsi="Times New Roman"/>
          <w:b/>
          <w:sz w:val="24"/>
          <w:szCs w:val="24"/>
        </w:rPr>
      </w:pPr>
      <w:bookmarkStart w:id="79" w:name="_Hlk7340011"/>
      <w:bookmarkEnd w:id="78"/>
    </w:p>
    <w:p w14:paraId="0335F4AB" w14:textId="41DB221B"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10</w:t>
      </w:r>
    </w:p>
    <w:p w14:paraId="649C7EBA" w14:textId="4B89F9A6" w:rsidR="00D46F1E" w:rsidRDefault="00F326E5" w:rsidP="00D46F1E">
      <w:pPr>
        <w:rPr>
          <w:rFonts w:ascii="Arial Black" w:hAnsi="Arial Black"/>
          <w:sz w:val="28"/>
          <w:szCs w:val="28"/>
        </w:rPr>
      </w:pPr>
      <w:r w:rsidRPr="0002048B">
        <w:rPr>
          <w:rFonts w:ascii="Arial Black" w:hAnsi="Arial Black"/>
          <w:sz w:val="28"/>
          <w:szCs w:val="28"/>
        </w:rPr>
        <w:t>MI</w:t>
      </w:r>
      <w:r>
        <w:rPr>
          <w:rFonts w:ascii="Arial Black" w:hAnsi="Arial Black"/>
          <w:sz w:val="28"/>
          <w:szCs w:val="28"/>
        </w:rPr>
        <w:t xml:space="preserve">: </w:t>
      </w:r>
      <w:r w:rsidRPr="0002048B">
        <w:rPr>
          <w:rFonts w:ascii="Arial Black" w:hAnsi="Arial Black"/>
          <w:sz w:val="28"/>
          <w:szCs w:val="28"/>
        </w:rPr>
        <w:t>HOMEOWNER CONV. ARSON – NO “MIRANDA WARNING” REQUIRED</w:t>
      </w:r>
      <w:r>
        <w:rPr>
          <w:rFonts w:ascii="Arial Black" w:hAnsi="Arial Black"/>
          <w:sz w:val="28"/>
          <w:szCs w:val="28"/>
        </w:rPr>
        <w:t xml:space="preserve">, SPOKE TO PD INFORMANT </w:t>
      </w:r>
    </w:p>
    <w:p w14:paraId="74DA3B4E" w14:textId="35003921" w:rsidR="00F326E5" w:rsidRPr="00015208" w:rsidRDefault="00F326E5" w:rsidP="00D46F1E">
      <w:pPr>
        <w:rPr>
          <w:rFonts w:ascii="Times New Roman" w:hAnsi="Times New Roman"/>
          <w:b/>
          <w:sz w:val="24"/>
          <w:szCs w:val="24"/>
        </w:rPr>
      </w:pPr>
      <w:r w:rsidRPr="00015208">
        <w:rPr>
          <w:rFonts w:ascii="Times New Roman" w:hAnsi="Times New Roman"/>
          <w:sz w:val="24"/>
          <w:szCs w:val="24"/>
        </w:rPr>
        <w:t xml:space="preserve">On July 24, 2018, in </w:t>
      </w:r>
      <w:r w:rsidRPr="00015208">
        <w:rPr>
          <w:rFonts w:ascii="Times New Roman" w:hAnsi="Times New Roman"/>
          <w:sz w:val="24"/>
          <w:szCs w:val="24"/>
          <w:u w:val="single"/>
        </w:rPr>
        <w:t>Cynthia Marie Stewart-Matzen v. Shawn Brewer</w:t>
      </w:r>
      <w:r w:rsidRPr="00015208">
        <w:rPr>
          <w:rFonts w:ascii="Times New Roman" w:hAnsi="Times New Roman"/>
          <w:sz w:val="24"/>
          <w:szCs w:val="24"/>
        </w:rPr>
        <w:t xml:space="preserve"> [Deputy Warden, Michigan state prison], U.S. District Court judge David M. Lawson, Eastern District of Michigan, Case No. 15-13050 denied prisoner’s petition for </w:t>
      </w:r>
      <w:proofErr w:type="spellStart"/>
      <w:r w:rsidRPr="00015208">
        <w:rPr>
          <w:rFonts w:ascii="Times New Roman" w:hAnsi="Times New Roman"/>
          <w:sz w:val="24"/>
          <w:szCs w:val="24"/>
        </w:rPr>
        <w:t>write</w:t>
      </w:r>
      <w:proofErr w:type="spellEnd"/>
      <w:r w:rsidRPr="00015208">
        <w:rPr>
          <w:rFonts w:ascii="Times New Roman" w:hAnsi="Times New Roman"/>
          <w:sz w:val="24"/>
          <w:szCs w:val="24"/>
        </w:rPr>
        <w:t xml:space="preserve"> of habeas corpus: </w:t>
      </w:r>
    </w:p>
    <w:p w14:paraId="7AD6B447" w14:textId="1DC6A9A4" w:rsidR="00F326E5" w:rsidRPr="00015208" w:rsidRDefault="00F326E5" w:rsidP="00637A12">
      <w:pPr>
        <w:pStyle w:val="NoSpacing"/>
        <w:ind w:left="720"/>
        <w:rPr>
          <w:rFonts w:ascii="Times New Roman" w:hAnsi="Times New Roman"/>
          <w:sz w:val="24"/>
          <w:szCs w:val="24"/>
        </w:rPr>
      </w:pPr>
      <w:r w:rsidRPr="00015208">
        <w:rPr>
          <w:rFonts w:ascii="Times New Roman" w:hAnsi="Times New Roman"/>
          <w:sz w:val="24"/>
          <w:szCs w:val="24"/>
        </w:rPr>
        <w:t xml:space="preserve">“The petitioner was not entitled to Miranda warnings when she was questioned by an informant at a restaurant or when questioned by Detective Morey in connection with her unemployment benefits because she was not in “Miranda custody.” </w:t>
      </w:r>
    </w:p>
    <w:p w14:paraId="19CF0FF1" w14:textId="7E95BA0C" w:rsidR="00F326E5" w:rsidRPr="00015208" w:rsidRDefault="00637A12" w:rsidP="00637A12">
      <w:pPr>
        <w:pStyle w:val="NoSpacing"/>
        <w:ind w:left="720"/>
        <w:rPr>
          <w:rFonts w:ascii="Times New Roman" w:hAnsi="Times New Roman"/>
          <w:sz w:val="24"/>
          <w:szCs w:val="24"/>
        </w:rPr>
      </w:pPr>
      <w:hyperlink r:id="rId354" w:history="1">
        <w:r w:rsidRPr="002F304C">
          <w:rPr>
            <w:rStyle w:val="Hyperlink"/>
            <w:rFonts w:ascii="Times New Roman" w:hAnsi="Times New Roman"/>
            <w:sz w:val="24"/>
            <w:szCs w:val="24"/>
          </w:rPr>
          <w:t>https://cases.justia.com/federal/district-courts/michigan/miedce/2:2015cv13050/304138/9/0.pdf?ts=1532512098</w:t>
        </w:r>
      </w:hyperlink>
    </w:p>
    <w:p w14:paraId="57327A78" w14:textId="77777777" w:rsidR="00637A12" w:rsidRDefault="00637A12" w:rsidP="00F326E5">
      <w:pPr>
        <w:rPr>
          <w:rFonts w:ascii="Times New Roman" w:hAnsi="Times New Roman"/>
          <w:b/>
          <w:sz w:val="24"/>
          <w:szCs w:val="24"/>
        </w:rPr>
      </w:pPr>
    </w:p>
    <w:p w14:paraId="37A345AD" w14:textId="510F68C0" w:rsidR="00F326E5" w:rsidRPr="00015208" w:rsidRDefault="00F326E5" w:rsidP="00F326E5">
      <w:pPr>
        <w:rPr>
          <w:rFonts w:ascii="Times New Roman" w:hAnsi="Times New Roman"/>
          <w:b/>
          <w:sz w:val="24"/>
          <w:szCs w:val="24"/>
        </w:rPr>
      </w:pPr>
      <w:r w:rsidRPr="00015208">
        <w:rPr>
          <w:rFonts w:ascii="Times New Roman" w:hAnsi="Times New Roman"/>
          <w:b/>
          <w:sz w:val="24"/>
          <w:szCs w:val="24"/>
        </w:rPr>
        <w:t xml:space="preserve">Legal Lessons Learned: If suspect in arson case is not in custody, then Miranda warnings </w:t>
      </w:r>
      <w:proofErr w:type="gramStart"/>
      <w:r w:rsidRPr="00015208">
        <w:rPr>
          <w:rFonts w:ascii="Times New Roman" w:hAnsi="Times New Roman"/>
          <w:b/>
          <w:sz w:val="24"/>
          <w:szCs w:val="24"/>
        </w:rPr>
        <w:t>not</w:t>
      </w:r>
      <w:proofErr w:type="gramEnd"/>
      <w:r w:rsidRPr="00015208">
        <w:rPr>
          <w:rFonts w:ascii="Times New Roman" w:hAnsi="Times New Roman"/>
          <w:b/>
          <w:sz w:val="24"/>
          <w:szCs w:val="24"/>
        </w:rPr>
        <w:t xml:space="preserve"> required.</w:t>
      </w:r>
    </w:p>
    <w:bookmarkEnd w:id="79"/>
    <w:p w14:paraId="1685B2FE" w14:textId="77777777" w:rsidR="00791CA3" w:rsidRDefault="00791CA3" w:rsidP="00791CA3">
      <w:pPr>
        <w:rPr>
          <w:rFonts w:ascii="Arial Black" w:hAnsi="Arial Black"/>
          <w:b/>
          <w:sz w:val="24"/>
          <w:szCs w:val="24"/>
        </w:rPr>
      </w:pPr>
    </w:p>
    <w:p w14:paraId="51FA47C9" w14:textId="10D6ABB3"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9</w:t>
      </w:r>
    </w:p>
    <w:p w14:paraId="6C843AF6" w14:textId="073B3AE9" w:rsidR="00F326E5" w:rsidRPr="00BF4082" w:rsidRDefault="00F326E5" w:rsidP="00F326E5">
      <w:pPr>
        <w:pStyle w:val="NoSpacing"/>
        <w:rPr>
          <w:rFonts w:ascii="Arial Black" w:hAnsi="Arial Black"/>
          <w:b/>
          <w:sz w:val="28"/>
          <w:szCs w:val="28"/>
        </w:rPr>
      </w:pPr>
      <w:bookmarkStart w:id="80" w:name="_Hlk7340104"/>
      <w:r w:rsidRPr="00BF4082">
        <w:rPr>
          <w:rFonts w:ascii="Arial Black" w:hAnsi="Arial Black"/>
          <w:b/>
          <w:sz w:val="28"/>
          <w:szCs w:val="28"/>
        </w:rPr>
        <w:t xml:space="preserve">U.S. SUPREME COURT – UNION “FAIR SHARE” FEES </w:t>
      </w:r>
      <w:r>
        <w:rPr>
          <w:rFonts w:ascii="Arial Black" w:hAnsi="Arial Black"/>
          <w:b/>
          <w:sz w:val="28"/>
          <w:szCs w:val="28"/>
        </w:rPr>
        <w:t xml:space="preserve">– REQUIRES </w:t>
      </w:r>
      <w:r w:rsidRPr="00BF4082">
        <w:rPr>
          <w:rFonts w:ascii="Arial Black" w:hAnsi="Arial Black"/>
          <w:b/>
          <w:sz w:val="28"/>
          <w:szCs w:val="28"/>
        </w:rPr>
        <w:t xml:space="preserve">EMPLOYEE </w:t>
      </w:r>
      <w:r>
        <w:rPr>
          <w:rFonts w:ascii="Arial Black" w:hAnsi="Arial Black"/>
          <w:b/>
          <w:sz w:val="28"/>
          <w:szCs w:val="28"/>
        </w:rPr>
        <w:t xml:space="preserve">SPECIFIC </w:t>
      </w:r>
      <w:r w:rsidRPr="00BF4082">
        <w:rPr>
          <w:rFonts w:ascii="Arial Black" w:hAnsi="Arial Black"/>
          <w:b/>
          <w:sz w:val="28"/>
          <w:szCs w:val="28"/>
        </w:rPr>
        <w:t xml:space="preserve">CONSENT </w:t>
      </w:r>
    </w:p>
    <w:p w14:paraId="27D6EC33" w14:textId="77777777" w:rsidR="00F326E5" w:rsidRPr="00015208" w:rsidRDefault="00F326E5" w:rsidP="00F326E5">
      <w:pPr>
        <w:rPr>
          <w:rFonts w:ascii="Times New Roman" w:hAnsi="Times New Roman"/>
          <w:sz w:val="24"/>
          <w:szCs w:val="24"/>
        </w:rPr>
      </w:pPr>
      <w:r w:rsidRPr="00015208">
        <w:rPr>
          <w:rFonts w:ascii="Times New Roman" w:hAnsi="Times New Roman"/>
          <w:sz w:val="24"/>
          <w:szCs w:val="24"/>
        </w:rPr>
        <w:t xml:space="preserve">On June 27, 2018, in </w:t>
      </w:r>
      <w:r w:rsidRPr="00015208">
        <w:rPr>
          <w:rFonts w:ascii="Times New Roman" w:hAnsi="Times New Roman"/>
          <w:sz w:val="24"/>
          <w:szCs w:val="24"/>
          <w:u w:val="single"/>
        </w:rPr>
        <w:t>Janus v. American Federation of State, County, And Municipal Employee, Council 32, et al</w:t>
      </w:r>
      <w:r w:rsidRPr="00015208">
        <w:rPr>
          <w:rFonts w:ascii="Times New Roman" w:hAnsi="Times New Roman"/>
          <w:sz w:val="24"/>
          <w:szCs w:val="24"/>
        </w:rPr>
        <w:t xml:space="preserve">,  the U.S. Supreme Court (5 to 4) held in opinion by Justice </w:t>
      </w:r>
      <w:r w:rsidRPr="00015208">
        <w:rPr>
          <w:rFonts w:ascii="Times New Roman" w:eastAsia="Times New Roman" w:hAnsi="Times New Roman"/>
          <w:sz w:val="24"/>
          <w:szCs w:val="24"/>
        </w:rPr>
        <w:t xml:space="preserve">Alito: </w:t>
      </w:r>
      <w:r w:rsidRPr="00015208">
        <w:rPr>
          <w:rFonts w:ascii="Times New Roman" w:hAnsi="Times New Roman"/>
          <w:sz w:val="24"/>
          <w:szCs w:val="24"/>
        </w:rPr>
        <w:t xml:space="preserve"> </w:t>
      </w:r>
    </w:p>
    <w:p w14:paraId="7B302BAD" w14:textId="77777777" w:rsidR="00F326E5" w:rsidRPr="00015208" w:rsidRDefault="00F326E5" w:rsidP="00F326E5">
      <w:pPr>
        <w:ind w:left="720"/>
        <w:rPr>
          <w:rFonts w:ascii="Times New Roman" w:eastAsia="Times New Roman" w:hAnsi="Times New Roman"/>
          <w:b/>
          <w:sz w:val="24"/>
          <w:szCs w:val="24"/>
        </w:rPr>
      </w:pPr>
      <w:r w:rsidRPr="00015208">
        <w:rPr>
          <w:rFonts w:ascii="Times New Roman" w:hAnsi="Times New Roman"/>
          <w:sz w:val="24"/>
          <w:szCs w:val="24"/>
        </w:rPr>
        <w:t>“</w:t>
      </w:r>
      <w:r w:rsidRPr="00015208">
        <w:rPr>
          <w:rFonts w:ascii="Times New Roman" w:eastAsia="Times New Roman" w:hAnsi="Times New Roman"/>
          <w:sz w:val="24"/>
          <w:szCs w:val="24"/>
        </w:rPr>
        <w:t>Under Illinois law, public employees are forced to subsi</w:t>
      </w:r>
      <w:r w:rsidRPr="00015208">
        <w:rPr>
          <w:rFonts w:ascii="Times New Roman" w:eastAsia="Times New Roman" w:hAnsi="Times New Roman"/>
          <w:sz w:val="24"/>
          <w:szCs w:val="24"/>
        </w:rPr>
        <w:softHyphen/>
        <w:t>dize a union, even if they choose not to join and strongly object to the positions the union takes in collective bar</w:t>
      </w:r>
      <w:r w:rsidRPr="00015208">
        <w:rPr>
          <w:rFonts w:ascii="Times New Roman" w:eastAsia="Times New Roman" w:hAnsi="Times New Roman"/>
          <w:sz w:val="24"/>
          <w:szCs w:val="24"/>
        </w:rPr>
        <w:softHyphen/>
        <w:t>gaining and related activities. We conclude that this arrangement violates the free speech rights of nonmem</w:t>
      </w:r>
      <w:r w:rsidRPr="00015208">
        <w:rPr>
          <w:rFonts w:ascii="Times New Roman" w:eastAsia="Times New Roman" w:hAnsi="Times New Roman"/>
          <w:sz w:val="24"/>
          <w:szCs w:val="24"/>
        </w:rPr>
        <w:softHyphen/>
        <w:t>bers by compelling them to subsidize private speech on matters of substantial public concern.”</w:t>
      </w:r>
      <w:hyperlink r:id="rId355" w:history="1">
        <w:r w:rsidRPr="00015208">
          <w:rPr>
            <w:rStyle w:val="Hyperlink"/>
            <w:rFonts w:ascii="Times New Roman" w:hAnsi="Times New Roman"/>
            <w:sz w:val="24"/>
            <w:szCs w:val="24"/>
          </w:rPr>
          <w:t>https://www.supremecourt.gov/opinions/17pdf/16-1466_2b3j.pdf</w:t>
        </w:r>
      </w:hyperlink>
      <w:r w:rsidRPr="00015208">
        <w:rPr>
          <w:rFonts w:ascii="Times New Roman" w:eastAsia="Times New Roman" w:hAnsi="Times New Roman"/>
          <w:b/>
          <w:sz w:val="24"/>
          <w:szCs w:val="24"/>
        </w:rPr>
        <w:t xml:space="preserve"> </w:t>
      </w:r>
    </w:p>
    <w:p w14:paraId="0208932C" w14:textId="77777777" w:rsidR="00F326E5" w:rsidRPr="00FC2C52" w:rsidRDefault="00F326E5" w:rsidP="00F326E5">
      <w:pPr>
        <w:rPr>
          <w:sz w:val="24"/>
          <w:szCs w:val="24"/>
        </w:rPr>
      </w:pPr>
      <w:r w:rsidRPr="00015208">
        <w:rPr>
          <w:rFonts w:ascii="Times New Roman" w:hAnsi="Times New Roman"/>
          <w:b/>
          <w:sz w:val="24"/>
          <w:szCs w:val="24"/>
        </w:rPr>
        <w:t>Legal Lessons Learned:  Fire &amp; EMS Departments with unions need to dialog with their union officers about getting written authorization from each employee to deduct “fair share” or other union fees.</w:t>
      </w:r>
      <w:r w:rsidRPr="00015208">
        <w:rPr>
          <w:rFonts w:ascii="Times New Roman" w:hAnsi="Times New Roman"/>
          <w:sz w:val="24"/>
          <w:szCs w:val="24"/>
        </w:rPr>
        <w:t xml:space="preserve">  See also IAFF Statement: </w:t>
      </w:r>
      <w:hyperlink r:id="rId356" w:anchor="contentid=68451" w:history="1">
        <w:r w:rsidRPr="00015208">
          <w:rPr>
            <w:rStyle w:val="Hyperlink"/>
            <w:rFonts w:ascii="Times New Roman" w:hAnsi="Times New Roman"/>
            <w:sz w:val="24"/>
            <w:szCs w:val="24"/>
          </w:rPr>
          <w:t>https://client.prod.iaff.org/#contentid=68451</w:t>
        </w:r>
      </w:hyperlink>
      <w:r w:rsidRPr="00015208">
        <w:rPr>
          <w:rFonts w:ascii="Times New Roman" w:hAnsi="Times New Roman"/>
          <w:sz w:val="24"/>
          <w:szCs w:val="24"/>
        </w:rPr>
        <w:t xml:space="preserve">, and Blog: </w:t>
      </w:r>
      <w:hyperlink r:id="rId357" w:history="1">
        <w:r w:rsidRPr="00015208">
          <w:rPr>
            <w:rStyle w:val="Hyperlink"/>
            <w:rFonts w:ascii="Times New Roman" w:hAnsi="Times New Roman"/>
            <w:sz w:val="24"/>
            <w:szCs w:val="24"/>
          </w:rPr>
          <w:t>http://blog.iaff.org/post/2018/06/05/preparing-for-the-janus-v-afscme-council-31-supreme-court-ruling</w:t>
        </w:r>
      </w:hyperlink>
      <w:bookmarkEnd w:id="80"/>
      <w:r w:rsidRPr="00FC2C52">
        <w:rPr>
          <w:sz w:val="24"/>
          <w:szCs w:val="24"/>
        </w:rPr>
        <w:t xml:space="preserve"> </w:t>
      </w:r>
    </w:p>
    <w:p w14:paraId="1E02B443" w14:textId="77777777" w:rsidR="00F326E5" w:rsidRPr="00A56BFE" w:rsidRDefault="00F326E5" w:rsidP="00F326E5">
      <w:pPr>
        <w:pStyle w:val="NoSpacing"/>
        <w:ind w:firstLine="720"/>
        <w:rPr>
          <w:rFonts w:eastAsia="Times New Roman"/>
          <w:b/>
          <w:sz w:val="24"/>
          <w:szCs w:val="24"/>
        </w:rPr>
      </w:pPr>
    </w:p>
    <w:p w14:paraId="6EA447FC" w14:textId="2515D788" w:rsidR="00791CA3" w:rsidRPr="00791CA3" w:rsidRDefault="00791CA3" w:rsidP="00791CA3">
      <w:pPr>
        <w:rPr>
          <w:rFonts w:ascii="Arial Black" w:hAnsi="Arial Black"/>
          <w:b/>
          <w:sz w:val="24"/>
          <w:szCs w:val="24"/>
        </w:rPr>
      </w:pPr>
      <w:bookmarkStart w:id="81" w:name="_Hlk7340141"/>
      <w:r w:rsidRPr="00791CA3">
        <w:rPr>
          <w:rFonts w:ascii="Arial Black" w:hAnsi="Arial Black"/>
          <w:b/>
          <w:sz w:val="24"/>
          <w:szCs w:val="24"/>
        </w:rPr>
        <w:t>1-</w:t>
      </w:r>
      <w:r>
        <w:rPr>
          <w:rFonts w:ascii="Arial Black" w:hAnsi="Arial Black"/>
          <w:b/>
          <w:sz w:val="24"/>
          <w:szCs w:val="24"/>
        </w:rPr>
        <w:t>8</w:t>
      </w:r>
    </w:p>
    <w:p w14:paraId="68CA276F" w14:textId="34F546BB" w:rsidR="00F326E5" w:rsidRPr="00BF4082" w:rsidRDefault="00F326E5" w:rsidP="00F326E5">
      <w:pPr>
        <w:pStyle w:val="NormalWeb"/>
        <w:rPr>
          <w:rFonts w:ascii="Arial Black" w:hAnsi="Arial Black"/>
          <w:b/>
          <w:sz w:val="28"/>
          <w:szCs w:val="28"/>
        </w:rPr>
      </w:pPr>
      <w:r w:rsidRPr="00BF4082">
        <w:rPr>
          <w:rFonts w:ascii="Arial Black" w:hAnsi="Arial Black"/>
          <w:b/>
          <w:sz w:val="28"/>
          <w:szCs w:val="28"/>
        </w:rPr>
        <w:t>U.S. SUPREME COURT</w:t>
      </w:r>
      <w:r>
        <w:rPr>
          <w:rFonts w:ascii="Arial Black" w:hAnsi="Arial Black"/>
          <w:b/>
          <w:sz w:val="28"/>
          <w:szCs w:val="28"/>
        </w:rPr>
        <w:t xml:space="preserve">: </w:t>
      </w:r>
      <w:r w:rsidRPr="00BF4082">
        <w:rPr>
          <w:rFonts w:ascii="Arial Black" w:hAnsi="Arial Black"/>
          <w:b/>
          <w:sz w:val="28"/>
          <w:szCs w:val="28"/>
        </w:rPr>
        <w:t xml:space="preserve">SEARCH WARRANT REQUIRED FOR CELL TOWER DATA, UNLESS EMERGENCY </w:t>
      </w:r>
    </w:p>
    <w:p w14:paraId="2E57CDE7" w14:textId="77777777" w:rsidR="00F326E5" w:rsidRPr="00015208" w:rsidRDefault="00F326E5" w:rsidP="00F326E5">
      <w:pPr>
        <w:pStyle w:val="NormalWeb"/>
      </w:pPr>
      <w:r w:rsidRPr="00015208">
        <w:t xml:space="preserve">On June 22, 2018, in </w:t>
      </w:r>
      <w:r w:rsidRPr="00015208">
        <w:rPr>
          <w:u w:val="single"/>
        </w:rPr>
        <w:t>Carpenter v. United States</w:t>
      </w:r>
      <w:r w:rsidRPr="00015208">
        <w:t>, the U.S. Supreme Court (5 to 4), in opinion by Chief Justice Roberts, held that a search warrant is normally required to track a person’s cell phone location, but also recognized an emergency exception.</w:t>
      </w:r>
    </w:p>
    <w:p w14:paraId="7982E511" w14:textId="77777777" w:rsidR="00F326E5" w:rsidRPr="00015208" w:rsidRDefault="00F326E5" w:rsidP="00F326E5">
      <w:pPr>
        <w:ind w:left="720"/>
        <w:rPr>
          <w:rFonts w:ascii="Times New Roman" w:eastAsia="Times New Roman" w:hAnsi="Times New Roman"/>
          <w:sz w:val="24"/>
          <w:szCs w:val="24"/>
        </w:rPr>
      </w:pPr>
      <w:r w:rsidRPr="00015208">
        <w:rPr>
          <w:rFonts w:ascii="Times New Roman" w:eastAsia="Times New Roman" w:hAnsi="Times New Roman"/>
          <w:sz w:val="24"/>
          <w:szCs w:val="24"/>
        </w:rPr>
        <w:t xml:space="preserve">“Further, even though the Government will generally need a warrant to access CSLI [cell-site location information], case-specific exceptions may support a warrantless search of an individual’s cell-site records under certain circumstances. ‘One well-recognized exception applies when “the exigencies of the situation” make the needs of law enforcement so compelling that [a] warrantless search is objectively reasonable under the Fourth Amendment.’ Kentucky v. King, 563 U. S. 452, 460 (2011) (quoting Mincey v. Arizona, 437 U. S. 385, 394 (1978)). Such exigencies include the need to pursue a fleeing suspect, protect individuals who are threatened with imminent harm, or prevent the imminent destruction of evidence. 563 U. S., at 460, and n. 3. As a result, if law enforcement is confronted with an urgent situation, such fact-specific threats will likely justify the warrantless collection of CSLI.  Lower courts, for instance, have approved warrantless searches related to bomb threats, active shootings, and child abductions. Our decision today does not call into doubt warrantless access to CSLI in such </w:t>
      </w:r>
      <w:r w:rsidRPr="00015208">
        <w:rPr>
          <w:rFonts w:ascii="Times New Roman" w:eastAsia="Times New Roman" w:hAnsi="Times New Roman"/>
          <w:sz w:val="24"/>
          <w:szCs w:val="24"/>
        </w:rPr>
        <w:lastRenderedPageBreak/>
        <w:t>circumstances. While police must get a warrant when collecting CSLI to assist in the mine-run criminal investigation, the rule we set forth does not limit their ability to respond to an ongoing emergency.”</w:t>
      </w:r>
    </w:p>
    <w:p w14:paraId="2D9AA853" w14:textId="77777777" w:rsidR="00F326E5" w:rsidRPr="00015208" w:rsidRDefault="00F326E5" w:rsidP="00F326E5">
      <w:pPr>
        <w:ind w:firstLine="720"/>
        <w:rPr>
          <w:rFonts w:ascii="Times New Roman" w:eastAsia="Times New Roman" w:hAnsi="Times New Roman"/>
          <w:sz w:val="24"/>
          <w:szCs w:val="24"/>
        </w:rPr>
      </w:pPr>
      <w:hyperlink r:id="rId358" w:history="1">
        <w:r w:rsidRPr="00015208">
          <w:rPr>
            <w:rStyle w:val="Hyperlink"/>
            <w:rFonts w:ascii="Times New Roman" w:hAnsi="Times New Roman"/>
            <w:sz w:val="24"/>
            <w:szCs w:val="24"/>
          </w:rPr>
          <w:t>https://www.supremecourt.gov/opinions/17pdf/16-402_h315.pdf</w:t>
        </w:r>
      </w:hyperlink>
      <w:r w:rsidRPr="00015208">
        <w:rPr>
          <w:rFonts w:ascii="Times New Roman" w:eastAsia="Times New Roman" w:hAnsi="Times New Roman"/>
          <w:sz w:val="24"/>
          <w:szCs w:val="24"/>
        </w:rPr>
        <w:t xml:space="preserve"> </w:t>
      </w:r>
    </w:p>
    <w:p w14:paraId="776437A2" w14:textId="77777777" w:rsidR="00354767" w:rsidRDefault="00F326E5" w:rsidP="00F326E5">
      <w:pPr>
        <w:ind w:left="720"/>
        <w:rPr>
          <w:rFonts w:ascii="Times New Roman" w:eastAsia="Times New Roman" w:hAnsi="Times New Roman"/>
          <w:b/>
          <w:sz w:val="24"/>
          <w:szCs w:val="24"/>
        </w:rPr>
      </w:pPr>
      <w:r w:rsidRPr="00015208">
        <w:rPr>
          <w:rFonts w:ascii="Times New Roman" w:eastAsia="Times New Roman" w:hAnsi="Times New Roman"/>
          <w:b/>
          <w:sz w:val="24"/>
          <w:szCs w:val="24"/>
        </w:rPr>
        <w:t>Legal Lessons Learned:  Fire &amp; EMS Departments in emergency situations – for example, when conducting search for a missing person who may be carrying a cell phone – may still coordinate with law enforcement and get cell tower information without a search warrant</w:t>
      </w:r>
    </w:p>
    <w:p w14:paraId="21384867" w14:textId="07A8E2DE" w:rsidR="00F326E5" w:rsidRPr="00015208" w:rsidRDefault="00F326E5" w:rsidP="00F326E5">
      <w:pPr>
        <w:ind w:left="720"/>
        <w:rPr>
          <w:rFonts w:ascii="Times New Roman" w:eastAsia="Times New Roman" w:hAnsi="Times New Roman"/>
          <w:sz w:val="24"/>
          <w:szCs w:val="24"/>
        </w:rPr>
      </w:pPr>
      <w:r w:rsidRPr="00015208">
        <w:rPr>
          <w:rFonts w:ascii="Times New Roman" w:eastAsia="Times New Roman" w:hAnsi="Times New Roman"/>
          <w:sz w:val="24"/>
          <w:szCs w:val="24"/>
        </w:rPr>
        <w:t>Note:  Justice Kennedy announced his retirement on June 27, 2018; he has been the “swing vote” in many 5 to 4 decisions.  Future cases involving access to electronic records will undoubtedly get to the U.S. Supreme Court.</w:t>
      </w:r>
    </w:p>
    <w:bookmarkEnd w:id="81"/>
    <w:p w14:paraId="4F13D79F" w14:textId="1033F972"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7</w:t>
      </w:r>
    </w:p>
    <w:p w14:paraId="52872B9B" w14:textId="5761C3D6" w:rsidR="00F326E5" w:rsidRPr="00F707DC" w:rsidRDefault="00F326E5" w:rsidP="00F326E5">
      <w:pPr>
        <w:rPr>
          <w:sz w:val="24"/>
          <w:szCs w:val="24"/>
        </w:rPr>
      </w:pPr>
      <w:bookmarkStart w:id="82" w:name="_Hlk7340196"/>
      <w:r w:rsidRPr="00F707DC">
        <w:rPr>
          <w:rFonts w:ascii="Arial Black" w:hAnsi="Arial Black"/>
          <w:sz w:val="28"/>
          <w:szCs w:val="28"/>
        </w:rPr>
        <w:t>PA:  DOT E</w:t>
      </w:r>
      <w:r>
        <w:rPr>
          <w:rFonts w:ascii="Arial Black" w:hAnsi="Arial Black"/>
          <w:sz w:val="28"/>
          <w:szCs w:val="28"/>
        </w:rPr>
        <w:t xml:space="preserve">MPLOYEE FIRED FOR </w:t>
      </w:r>
      <w:r w:rsidRPr="00F707DC">
        <w:rPr>
          <w:rFonts w:ascii="Arial Black" w:hAnsi="Arial Black"/>
          <w:sz w:val="28"/>
          <w:szCs w:val="28"/>
        </w:rPr>
        <w:t>FACEBOOK P</w:t>
      </w:r>
      <w:r>
        <w:rPr>
          <w:rFonts w:ascii="Arial Black" w:hAnsi="Arial Black"/>
          <w:sz w:val="28"/>
          <w:szCs w:val="28"/>
        </w:rPr>
        <w:t xml:space="preserve">OSTS ON BAD SCHOOL BUS DRIVERS – REINSTATED </w:t>
      </w:r>
      <w:r w:rsidRPr="00F707DC">
        <w:rPr>
          <w:sz w:val="24"/>
          <w:szCs w:val="24"/>
        </w:rPr>
        <w:t>[also filed, Chap. 16]</w:t>
      </w:r>
    </w:p>
    <w:p w14:paraId="1C8919E6" w14:textId="73F763FF" w:rsidR="00637A12"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June 12, 2018, in </w:t>
      </w:r>
      <w:r w:rsidRPr="00015208">
        <w:rPr>
          <w:rFonts w:ascii="Times New Roman" w:hAnsi="Times New Roman"/>
          <w:sz w:val="24"/>
          <w:szCs w:val="24"/>
          <w:u w:val="single"/>
        </w:rPr>
        <w:t>Rachel L. Carr v. Commonwealth of Pennsylvania / Department of Transportation and Civil Service Commission</w:t>
      </w:r>
      <w:r w:rsidRPr="00015208">
        <w:rPr>
          <w:rFonts w:ascii="Times New Roman" w:hAnsi="Times New Roman"/>
          <w:sz w:val="24"/>
          <w:szCs w:val="24"/>
        </w:rPr>
        <w:t xml:space="preserve">, the Commonwealth Court of Pennsylvania held (3 to 0) that the employee’s FACEBOOK posts about local school bus drivers were “inappropriate” but were protected since it </w:t>
      </w:r>
    </w:p>
    <w:p w14:paraId="26A0C1D6" w14:textId="448424EB" w:rsidR="00F326E5" w:rsidRPr="00015208" w:rsidRDefault="00F326E5" w:rsidP="008D07C2">
      <w:pPr>
        <w:pStyle w:val="NoSpacing"/>
        <w:rPr>
          <w:rFonts w:ascii="Times New Roman" w:hAnsi="Times New Roman"/>
          <w:sz w:val="24"/>
          <w:szCs w:val="24"/>
        </w:rPr>
      </w:pPr>
      <w:r w:rsidRPr="00015208">
        <w:rPr>
          <w:rFonts w:ascii="Times New Roman" w:hAnsi="Times New Roman"/>
          <w:sz w:val="24"/>
          <w:szCs w:val="24"/>
        </w:rPr>
        <w:t>“</w:t>
      </w:r>
      <w:proofErr w:type="gramStart"/>
      <w:r w:rsidRPr="00015208">
        <w:rPr>
          <w:rFonts w:ascii="Times New Roman" w:hAnsi="Times New Roman"/>
          <w:sz w:val="24"/>
          <w:szCs w:val="24"/>
        </w:rPr>
        <w:t>touched</w:t>
      </w:r>
      <w:proofErr w:type="gramEnd"/>
      <w:r w:rsidRPr="00015208">
        <w:rPr>
          <w:rFonts w:ascii="Times New Roman" w:hAnsi="Times New Roman"/>
          <w:sz w:val="24"/>
          <w:szCs w:val="24"/>
        </w:rPr>
        <w:t xml:space="preserve"> on a matter of public concern.” The Court wrote: “After a thorough review of the record and a conscientious analysis of the factors articulated by the United States Supreme Court, we conclude that the Department’s generalized interest in the safety of the traveling public does not outweigh Carr’s specific interest in commenting on the safety of a particular bus driver. While Carr’s comments are undoubtedly inappropriate, such comments still receive protection under the First Amendment.”</w:t>
      </w:r>
    </w:p>
    <w:p w14:paraId="0038F122" w14:textId="54B662C1" w:rsidR="00F326E5" w:rsidRPr="00015208" w:rsidRDefault="00637A12" w:rsidP="008D07C2">
      <w:pPr>
        <w:pStyle w:val="NoSpacing"/>
        <w:rPr>
          <w:rFonts w:ascii="Times New Roman" w:hAnsi="Times New Roman"/>
          <w:sz w:val="24"/>
          <w:szCs w:val="24"/>
        </w:rPr>
      </w:pPr>
      <w:hyperlink r:id="rId359" w:history="1">
        <w:r w:rsidRPr="002F304C">
          <w:rPr>
            <w:rStyle w:val="Hyperlink"/>
            <w:rFonts w:ascii="Times New Roman" w:hAnsi="Times New Roman"/>
            <w:sz w:val="24"/>
            <w:szCs w:val="24"/>
          </w:rPr>
          <w:t>http://www.pacourts.us/assets/opinions/Commonwealth/out/380md17_6-12-18.pdf</w:t>
        </w:r>
      </w:hyperlink>
      <w:r w:rsidR="00F326E5" w:rsidRPr="00015208">
        <w:rPr>
          <w:rFonts w:ascii="Times New Roman" w:hAnsi="Times New Roman"/>
          <w:sz w:val="24"/>
          <w:szCs w:val="24"/>
        </w:rPr>
        <w:t xml:space="preserve"> </w:t>
      </w:r>
    </w:p>
    <w:p w14:paraId="22CC5D8D" w14:textId="77777777" w:rsidR="00637A12" w:rsidRDefault="00637A12" w:rsidP="00F326E5">
      <w:pPr>
        <w:pStyle w:val="NoSpacing"/>
        <w:rPr>
          <w:rFonts w:ascii="Times New Roman" w:hAnsi="Times New Roman"/>
          <w:b/>
          <w:sz w:val="24"/>
          <w:szCs w:val="24"/>
        </w:rPr>
      </w:pPr>
    </w:p>
    <w:p w14:paraId="23875648" w14:textId="74C41E53"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Fire &amp; EMS Departments should have a </w:t>
      </w:r>
      <w:proofErr w:type="gramStart"/>
      <w:r w:rsidRPr="00015208">
        <w:rPr>
          <w:rFonts w:ascii="Times New Roman" w:hAnsi="Times New Roman"/>
          <w:b/>
          <w:sz w:val="24"/>
          <w:szCs w:val="24"/>
        </w:rPr>
        <w:t>Social Media Policy</w:t>
      </w:r>
      <w:proofErr w:type="gramEnd"/>
      <w:r w:rsidRPr="00015208">
        <w:rPr>
          <w:rFonts w:ascii="Times New Roman" w:hAnsi="Times New Roman"/>
          <w:b/>
          <w:sz w:val="24"/>
          <w:szCs w:val="24"/>
        </w:rPr>
        <w:t xml:space="preserve"> that clearly advises personnel that their “Free Speech rights” are limited when discussing FD internal matters. </w:t>
      </w:r>
    </w:p>
    <w:bookmarkEnd w:id="82"/>
    <w:p w14:paraId="1A05D317" w14:textId="77777777" w:rsidR="00F326E5" w:rsidRPr="00A56BFE" w:rsidRDefault="00F326E5" w:rsidP="00F326E5">
      <w:pPr>
        <w:ind w:firstLine="720"/>
        <w:rPr>
          <w:rFonts w:eastAsia="Times New Roman"/>
          <w:b/>
          <w:sz w:val="24"/>
          <w:szCs w:val="24"/>
        </w:rPr>
      </w:pPr>
    </w:p>
    <w:p w14:paraId="13551EB3" w14:textId="77777777" w:rsidR="00637A12" w:rsidRDefault="00637A12" w:rsidP="00791CA3">
      <w:pPr>
        <w:rPr>
          <w:rFonts w:ascii="Arial Black" w:hAnsi="Arial Black"/>
          <w:b/>
          <w:sz w:val="24"/>
          <w:szCs w:val="24"/>
        </w:rPr>
      </w:pPr>
    </w:p>
    <w:p w14:paraId="40627F9E" w14:textId="77777777" w:rsidR="00637A12" w:rsidRDefault="00637A12" w:rsidP="00791CA3">
      <w:pPr>
        <w:rPr>
          <w:rFonts w:ascii="Arial Black" w:hAnsi="Arial Black"/>
          <w:b/>
          <w:sz w:val="24"/>
          <w:szCs w:val="24"/>
        </w:rPr>
      </w:pPr>
    </w:p>
    <w:p w14:paraId="52AAB86B" w14:textId="438780BC"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6</w:t>
      </w:r>
    </w:p>
    <w:p w14:paraId="7DF8D803" w14:textId="5CA2CE91" w:rsidR="00F326E5" w:rsidRDefault="00F326E5" w:rsidP="00F326E5">
      <w:pPr>
        <w:pStyle w:val="NoSpacing"/>
        <w:rPr>
          <w:rFonts w:ascii="Arial Black" w:hAnsi="Arial Black"/>
          <w:b/>
          <w:sz w:val="28"/>
          <w:szCs w:val="28"/>
        </w:rPr>
      </w:pPr>
      <w:bookmarkStart w:id="83" w:name="_Hlk7340230"/>
      <w:r w:rsidRPr="0002084E">
        <w:rPr>
          <w:rFonts w:ascii="Arial Black" w:hAnsi="Arial Black"/>
          <w:b/>
          <w:sz w:val="28"/>
          <w:szCs w:val="28"/>
        </w:rPr>
        <w:t>NY</w:t>
      </w:r>
      <w:r>
        <w:rPr>
          <w:rFonts w:ascii="Arial Black" w:hAnsi="Arial Black"/>
          <w:b/>
          <w:sz w:val="28"/>
          <w:szCs w:val="28"/>
        </w:rPr>
        <w:t>: NY</w:t>
      </w:r>
      <w:r w:rsidRPr="0002084E">
        <w:rPr>
          <w:rFonts w:ascii="Arial Black" w:hAnsi="Arial Black"/>
          <w:b/>
          <w:sz w:val="28"/>
          <w:szCs w:val="28"/>
        </w:rPr>
        <w:t>PD / FDNY TRDEMARKS – CITY SUING “COP SHOP”</w:t>
      </w:r>
    </w:p>
    <w:p w14:paraId="5AD30D1F" w14:textId="77777777" w:rsidR="00637A12" w:rsidRDefault="00637A12" w:rsidP="00F326E5">
      <w:pPr>
        <w:pStyle w:val="NoSpacing"/>
        <w:rPr>
          <w:rFonts w:ascii="Times New Roman" w:hAnsi="Times New Roman"/>
          <w:sz w:val="24"/>
          <w:szCs w:val="24"/>
        </w:rPr>
      </w:pPr>
    </w:p>
    <w:p w14:paraId="4E83F063" w14:textId="35BAD03A" w:rsidR="00F326E5" w:rsidRPr="00015208"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June 7, 2018, in </w:t>
      </w:r>
      <w:r w:rsidRPr="00015208">
        <w:rPr>
          <w:rFonts w:ascii="Times New Roman" w:hAnsi="Times New Roman"/>
          <w:sz w:val="24"/>
          <w:szCs w:val="24"/>
          <w:u w:val="single"/>
        </w:rPr>
        <w:t>The City Of New York v. Blue Rage Inc, d/b/a THE COP SHOP, and Salvatore Piccolo &amp; Susan Piccolo</w:t>
      </w:r>
      <w:r w:rsidRPr="00015208">
        <w:rPr>
          <w:rFonts w:ascii="Times New Roman" w:hAnsi="Times New Roman"/>
          <w:sz w:val="24"/>
          <w:szCs w:val="24"/>
        </w:rPr>
        <w:t xml:space="preserve">, a United States Magistrate Judge in Central Islip, New York, held in a pre-trial dispute that the City does not need to disclose the profits it makes on its merchandise, or its contributions to non-profit organizations. </w:t>
      </w:r>
      <w:hyperlink r:id="rId360" w:history="1">
        <w:r w:rsidRPr="00015208">
          <w:rPr>
            <w:rStyle w:val="Hyperlink"/>
            <w:rFonts w:ascii="Times New Roman" w:hAnsi="Times New Roman"/>
            <w:sz w:val="24"/>
            <w:szCs w:val="24"/>
          </w:rPr>
          <w:t>https://cases.justia.com/federal/district-courts/new-york/nyedce/2:2017cv03480/402865/37/0.pdf?ts=1528277681</w:t>
        </w:r>
      </w:hyperlink>
      <w:r w:rsidRPr="00015208">
        <w:rPr>
          <w:rFonts w:ascii="Times New Roman" w:hAnsi="Times New Roman"/>
          <w:sz w:val="24"/>
          <w:szCs w:val="24"/>
        </w:rPr>
        <w:t xml:space="preserve"> </w:t>
      </w:r>
    </w:p>
    <w:p w14:paraId="6BBFBCCC" w14:textId="77777777" w:rsidR="00637A12" w:rsidRDefault="00637A12" w:rsidP="00F326E5">
      <w:pPr>
        <w:pStyle w:val="NoSpacing"/>
        <w:rPr>
          <w:rFonts w:ascii="Times New Roman" w:hAnsi="Times New Roman"/>
          <w:b/>
          <w:sz w:val="24"/>
          <w:szCs w:val="24"/>
        </w:rPr>
      </w:pPr>
    </w:p>
    <w:p w14:paraId="36A9E533" w14:textId="0B6639B0"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Protect your trademarks. “Under trademark law, the </w:t>
      </w:r>
      <w:proofErr w:type="gramStart"/>
      <w:r w:rsidRPr="00015208">
        <w:rPr>
          <w:rFonts w:ascii="Times New Roman" w:hAnsi="Times New Roman"/>
          <w:b/>
          <w:sz w:val="24"/>
          <w:szCs w:val="24"/>
        </w:rPr>
        <w:t>amount</w:t>
      </w:r>
      <w:proofErr w:type="gramEnd"/>
      <w:r w:rsidRPr="00015208">
        <w:rPr>
          <w:rFonts w:ascii="Times New Roman" w:hAnsi="Times New Roman"/>
          <w:b/>
          <w:sz w:val="24"/>
          <w:szCs w:val="24"/>
        </w:rPr>
        <w:t xml:space="preserve"> of statutory damages can range from a low of $1,000 for innocent infringement to a high of $2,000,000 for willful </w:t>
      </w:r>
      <w:r w:rsidRPr="00015208">
        <w:rPr>
          <w:rFonts w:ascii="Times New Roman" w:hAnsi="Times New Roman"/>
          <w:b/>
          <w:sz w:val="24"/>
          <w:szCs w:val="24"/>
        </w:rPr>
        <w:lastRenderedPageBreak/>
        <w:t xml:space="preserve">infringement.” 15 U.S.C. § 1117(c).  </w:t>
      </w:r>
      <w:hyperlink r:id="rId361" w:history="1">
        <w:r w:rsidRPr="00015208">
          <w:rPr>
            <w:rStyle w:val="Hyperlink"/>
            <w:rFonts w:ascii="Times New Roman" w:hAnsi="Times New Roman"/>
            <w:sz w:val="24"/>
            <w:szCs w:val="24"/>
          </w:rPr>
          <w:t>http://buchanan-labs.com/statutory-damages-for-infringement-of-your-copyrights-and-trademarks/</w:t>
        </w:r>
      </w:hyperlink>
    </w:p>
    <w:bookmarkEnd w:id="83"/>
    <w:p w14:paraId="2ECAAA33" w14:textId="77777777" w:rsidR="00F326E5" w:rsidRDefault="00F326E5" w:rsidP="00F326E5">
      <w:pPr>
        <w:pStyle w:val="NoSpacing"/>
        <w:rPr>
          <w:rFonts w:ascii="Arial Black" w:hAnsi="Arial Black"/>
          <w:b/>
          <w:sz w:val="24"/>
          <w:szCs w:val="24"/>
        </w:rPr>
      </w:pPr>
    </w:p>
    <w:p w14:paraId="2FF023BF" w14:textId="2FFA0C00" w:rsidR="00F326E5" w:rsidRDefault="00F326E5" w:rsidP="00F326E5">
      <w:pPr>
        <w:rPr>
          <w:sz w:val="24"/>
          <w:szCs w:val="24"/>
        </w:rPr>
      </w:pPr>
    </w:p>
    <w:p w14:paraId="5CD0C33D" w14:textId="328FD352" w:rsidR="00791CA3" w:rsidRPr="00791CA3" w:rsidRDefault="00791CA3" w:rsidP="00791CA3">
      <w:pPr>
        <w:rPr>
          <w:rFonts w:ascii="Arial Black" w:hAnsi="Arial Black"/>
          <w:b/>
          <w:sz w:val="24"/>
          <w:szCs w:val="24"/>
        </w:rPr>
      </w:pPr>
      <w:bookmarkStart w:id="84" w:name="_Hlk7340267"/>
      <w:r w:rsidRPr="00791CA3">
        <w:rPr>
          <w:rFonts w:ascii="Arial Black" w:hAnsi="Arial Black"/>
          <w:b/>
          <w:sz w:val="24"/>
          <w:szCs w:val="24"/>
        </w:rPr>
        <w:t>1-</w:t>
      </w:r>
      <w:r>
        <w:rPr>
          <w:rFonts w:ascii="Arial Black" w:hAnsi="Arial Black"/>
          <w:b/>
          <w:sz w:val="24"/>
          <w:szCs w:val="24"/>
        </w:rPr>
        <w:t>5</w:t>
      </w:r>
    </w:p>
    <w:p w14:paraId="4ED0EB42" w14:textId="6CDB8B1B" w:rsidR="00D46F1E" w:rsidRDefault="00F326E5" w:rsidP="00F326E5">
      <w:pPr>
        <w:rPr>
          <w:rFonts w:ascii="Arial Black" w:hAnsi="Arial Black"/>
          <w:b/>
          <w:sz w:val="28"/>
          <w:szCs w:val="28"/>
        </w:rPr>
      </w:pPr>
      <w:r w:rsidRPr="003257B0">
        <w:rPr>
          <w:rFonts w:ascii="Arial Black" w:hAnsi="Arial Black"/>
          <w:b/>
          <w:sz w:val="28"/>
          <w:szCs w:val="28"/>
        </w:rPr>
        <w:t>OH</w:t>
      </w:r>
      <w:r>
        <w:rPr>
          <w:rFonts w:ascii="Arial Black" w:hAnsi="Arial Black"/>
          <w:b/>
          <w:sz w:val="28"/>
          <w:szCs w:val="28"/>
        </w:rPr>
        <w:t xml:space="preserve">: </w:t>
      </w:r>
      <w:r w:rsidRPr="003257B0">
        <w:rPr>
          <w:rFonts w:ascii="Arial Black" w:hAnsi="Arial Black"/>
          <w:b/>
          <w:sz w:val="28"/>
          <w:szCs w:val="28"/>
        </w:rPr>
        <w:t xml:space="preserve">FIRE LOSS INSURANCE – CLEVELAND MUST RETURN </w:t>
      </w:r>
      <w:r>
        <w:rPr>
          <w:rFonts w:ascii="Arial Black" w:hAnsi="Arial Black"/>
          <w:b/>
          <w:sz w:val="28"/>
          <w:szCs w:val="28"/>
        </w:rPr>
        <w:t xml:space="preserve">$175,000 DEPOSITED WITH CITY </w:t>
      </w:r>
    </w:p>
    <w:p w14:paraId="280C7A72" w14:textId="3B1925EE" w:rsidR="00F326E5" w:rsidRPr="00015208" w:rsidRDefault="00F326E5" w:rsidP="00F326E5">
      <w:pPr>
        <w:rPr>
          <w:rFonts w:ascii="Times New Roman" w:hAnsi="Times New Roman"/>
          <w:b/>
          <w:sz w:val="28"/>
          <w:szCs w:val="28"/>
        </w:rPr>
      </w:pPr>
      <w:r w:rsidRPr="00015208">
        <w:rPr>
          <w:rFonts w:ascii="Times New Roman" w:eastAsia="Times New Roman" w:hAnsi="Times New Roman"/>
          <w:sz w:val="24"/>
          <w:szCs w:val="24"/>
        </w:rPr>
        <w:t xml:space="preserve">On May 31, 2018, in </w:t>
      </w:r>
      <w:r w:rsidRPr="00015208">
        <w:rPr>
          <w:rFonts w:ascii="Times New Roman" w:eastAsia="Times New Roman" w:hAnsi="Times New Roman"/>
          <w:sz w:val="24"/>
          <w:szCs w:val="24"/>
          <w:u w:val="single"/>
        </w:rPr>
        <w:t>WRRS, L.L.C. v. City of Cleveland</w:t>
      </w:r>
      <w:r w:rsidRPr="00015208">
        <w:rPr>
          <w:rFonts w:ascii="Times New Roman" w:eastAsia="Times New Roman" w:hAnsi="Times New Roman"/>
          <w:sz w:val="24"/>
          <w:szCs w:val="24"/>
        </w:rPr>
        <w:t>, the Court of Appeals for 8</w:t>
      </w:r>
      <w:r w:rsidRPr="00015208">
        <w:rPr>
          <w:rFonts w:ascii="Times New Roman" w:eastAsia="Times New Roman" w:hAnsi="Times New Roman"/>
          <w:sz w:val="24"/>
          <w:szCs w:val="24"/>
          <w:vertAlign w:val="superscript"/>
        </w:rPr>
        <w:t>th</w:t>
      </w:r>
      <w:r w:rsidRPr="00015208">
        <w:rPr>
          <w:rFonts w:ascii="Times New Roman" w:eastAsia="Times New Roman" w:hAnsi="Times New Roman"/>
          <w:sz w:val="24"/>
          <w:szCs w:val="24"/>
        </w:rPr>
        <w:t xml:space="preserve"> Appellate District (County of Cuyahoga), 2018 Ohio 2129, held (3 to 0):</w:t>
      </w:r>
    </w:p>
    <w:p w14:paraId="01C23FFC" w14:textId="77777777" w:rsidR="00F326E5" w:rsidRPr="00015208" w:rsidRDefault="00F326E5" w:rsidP="00F326E5">
      <w:pPr>
        <w:pStyle w:val="NormalWeb"/>
        <w:ind w:left="720"/>
      </w:pPr>
      <w:r w:rsidRPr="00015208">
        <w:t xml:space="preserve">“The Board's 2012 decision, however, does preclude the </w:t>
      </w:r>
      <w:proofErr w:type="gramStart"/>
      <w:r w:rsidRPr="00015208">
        <w:t>City</w:t>
      </w:r>
      <w:proofErr w:type="gramEnd"/>
      <w:r w:rsidRPr="00015208">
        <w:t xml:space="preserve"> from continuing to withhold the $175,000 WRRS deposited with the </w:t>
      </w:r>
      <w:proofErr w:type="gramStart"/>
      <w:r w:rsidRPr="00015208">
        <w:t>City</w:t>
      </w:r>
      <w:proofErr w:type="gramEnd"/>
      <w:r w:rsidRPr="00015208">
        <w:t xml:space="preserve"> pursuant to Ohio's fire loss statute. In 2012, the Board </w:t>
      </w:r>
      <w:proofErr w:type="gramStart"/>
      <w:r w:rsidRPr="00015208">
        <w:t xml:space="preserve">[of </w:t>
      </w:r>
      <w:proofErr w:type="gramEnd"/>
      <w:r w:rsidRPr="00015208">
        <w:t xml:space="preserve">Building Standards] found the WRRS property to </w:t>
      </w:r>
      <w:proofErr w:type="gramStart"/>
      <w:r w:rsidRPr="00015208">
        <w:t>be in compliance</w:t>
      </w:r>
      <w:proofErr w:type="gramEnd"/>
      <w:r w:rsidRPr="00015208">
        <w:t xml:space="preserve"> after the fire. The City could have appealed from the 2012 </w:t>
      </w:r>
      <w:proofErr w:type="gramStart"/>
      <w:r w:rsidRPr="00015208">
        <w:t>decision,  but</w:t>
      </w:r>
      <w:proofErr w:type="gramEnd"/>
      <w:r w:rsidRPr="00015208">
        <w:t xml:space="preserve"> chose not to do so. Thus, the </w:t>
      </w:r>
      <w:proofErr w:type="gramStart"/>
      <w:r w:rsidRPr="00015208">
        <w:t>City</w:t>
      </w:r>
      <w:proofErr w:type="gramEnd"/>
      <w:r w:rsidRPr="00015208">
        <w:t xml:space="preserve"> is now precluded under res judicata from challenging the Board's 2012 decision. As a result, the </w:t>
      </w:r>
      <w:proofErr w:type="gramStart"/>
      <w:r w:rsidRPr="00015208">
        <w:t>City</w:t>
      </w:r>
      <w:proofErr w:type="gramEnd"/>
      <w:r w:rsidRPr="00015208">
        <w:t xml:space="preserve"> is ordered to return the $175,000 to WRRS.”</w:t>
      </w:r>
      <w:hyperlink r:id="rId362" w:history="1">
        <w:r w:rsidRPr="00015208">
          <w:rPr>
            <w:rStyle w:val="Hyperlink"/>
          </w:rPr>
          <w:t>https://cases.justia.com/ohio/eighth-district-court-of-appeals/2018-105661.pdf?ts=1528147387</w:t>
        </w:r>
      </w:hyperlink>
      <w:r w:rsidRPr="00015208">
        <w:t xml:space="preserve"> </w:t>
      </w:r>
    </w:p>
    <w:p w14:paraId="141D4E7D" w14:textId="77777777"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Under Ohio Revised Code 3929.86, “Fire loss claims,” for claims in excess of $5000, insurance companies must first deposit payment with political subdivision.” </w:t>
      </w:r>
    </w:p>
    <w:p w14:paraId="4358BDC5" w14:textId="77777777" w:rsidR="00F326E5" w:rsidRPr="00015208" w:rsidRDefault="00F326E5" w:rsidP="00F326E5">
      <w:pPr>
        <w:pStyle w:val="NormalWeb"/>
        <w:ind w:left="720"/>
      </w:pPr>
      <w:bookmarkStart w:id="85" w:name="3929.86(A)"/>
      <w:r w:rsidRPr="00015208">
        <w:t>“(A)</w:t>
      </w:r>
      <w:bookmarkEnd w:id="85"/>
      <w:r w:rsidRPr="00015208">
        <w:t xml:space="preserve"> No insurance company doing business in this state shall pay a claim of a named insured for fire damage to a structure located within a municipal corporation or township in this state where the amount recoverable for the fire loss to the structure under all policies exceeds five thousand dollars, unless the company is furnished with a certificate pursuant to division (B) of this section, and unless there is compliance with the procedures set forth in divisions (C) and (D) of this section.”</w:t>
      </w:r>
    </w:p>
    <w:p w14:paraId="48AFB97A" w14:textId="77777777" w:rsidR="00791CA3" w:rsidRDefault="00791CA3" w:rsidP="00F326E5">
      <w:pPr>
        <w:rPr>
          <w:rFonts w:ascii="Arial Black" w:hAnsi="Arial Black"/>
          <w:b/>
          <w:sz w:val="28"/>
          <w:szCs w:val="28"/>
        </w:rPr>
      </w:pPr>
      <w:bookmarkStart w:id="86" w:name="_Hlk7340314"/>
      <w:bookmarkEnd w:id="84"/>
    </w:p>
    <w:p w14:paraId="4EEEC114" w14:textId="07E9D0C0"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4</w:t>
      </w:r>
    </w:p>
    <w:p w14:paraId="2B90E6CA" w14:textId="4B582080" w:rsidR="00F326E5" w:rsidRDefault="00F326E5" w:rsidP="00F326E5">
      <w:pPr>
        <w:rPr>
          <w:rFonts w:ascii="Arial Black" w:hAnsi="Arial Black"/>
          <w:b/>
          <w:sz w:val="28"/>
          <w:szCs w:val="28"/>
        </w:rPr>
      </w:pPr>
      <w:r w:rsidRPr="00CB3546">
        <w:rPr>
          <w:rFonts w:ascii="Arial Black" w:hAnsi="Arial Black"/>
          <w:b/>
          <w:sz w:val="28"/>
          <w:szCs w:val="28"/>
        </w:rPr>
        <w:t>S</w:t>
      </w:r>
      <w:r>
        <w:rPr>
          <w:rFonts w:ascii="Arial Black" w:hAnsi="Arial Black"/>
          <w:b/>
          <w:sz w:val="28"/>
          <w:szCs w:val="28"/>
        </w:rPr>
        <w:t xml:space="preserve">C: </w:t>
      </w:r>
      <w:r w:rsidRPr="00CB3546">
        <w:rPr>
          <w:rFonts w:ascii="Arial Black" w:hAnsi="Arial Black"/>
          <w:b/>
          <w:sz w:val="28"/>
          <w:szCs w:val="28"/>
        </w:rPr>
        <w:t xml:space="preserve">ARSON INVESTIGATOR </w:t>
      </w:r>
      <w:r>
        <w:rPr>
          <w:rFonts w:ascii="Arial Black" w:hAnsi="Arial Black"/>
          <w:b/>
          <w:sz w:val="28"/>
          <w:szCs w:val="28"/>
        </w:rPr>
        <w:t>“</w:t>
      </w:r>
      <w:r w:rsidRPr="00CB3546">
        <w:rPr>
          <w:rFonts w:ascii="Arial Black" w:hAnsi="Arial Black"/>
          <w:b/>
          <w:sz w:val="28"/>
          <w:szCs w:val="28"/>
        </w:rPr>
        <w:t>EXPERT</w:t>
      </w:r>
      <w:r>
        <w:rPr>
          <w:rFonts w:ascii="Arial Black" w:hAnsi="Arial Black"/>
          <w:b/>
          <w:sz w:val="28"/>
          <w:szCs w:val="28"/>
        </w:rPr>
        <w:t xml:space="preserve">” – 1YEAR OF EXPERIENCE - </w:t>
      </w:r>
      <w:r w:rsidRPr="00CB3546">
        <w:rPr>
          <w:rFonts w:ascii="Arial Black" w:hAnsi="Arial Black"/>
          <w:b/>
          <w:sz w:val="28"/>
          <w:szCs w:val="28"/>
        </w:rPr>
        <w:t>ARSON DOG ALSO QUALIFIED</w:t>
      </w:r>
    </w:p>
    <w:p w14:paraId="70F2A534" w14:textId="2094E6C8" w:rsidR="00F326E5" w:rsidRPr="00015208" w:rsidRDefault="00F326E5" w:rsidP="00F326E5">
      <w:pPr>
        <w:rPr>
          <w:rStyle w:val="Hyperlink"/>
          <w:rFonts w:ascii="Times New Roman" w:hAnsi="Times New Roman"/>
          <w:sz w:val="24"/>
          <w:szCs w:val="24"/>
        </w:rPr>
      </w:pPr>
      <w:r w:rsidRPr="00015208">
        <w:rPr>
          <w:rFonts w:ascii="Times New Roman" w:hAnsi="Times New Roman"/>
          <w:sz w:val="24"/>
          <w:szCs w:val="24"/>
        </w:rPr>
        <w:t xml:space="preserve">On April 11, 2018, in </w:t>
      </w:r>
      <w:r w:rsidRPr="00015208">
        <w:rPr>
          <w:rFonts w:ascii="Times New Roman" w:hAnsi="Times New Roman"/>
          <w:sz w:val="24"/>
          <w:szCs w:val="24"/>
          <w:u w:val="single"/>
        </w:rPr>
        <w:t>The State v. Paula Reed Rose</w:t>
      </w:r>
      <w:r w:rsidRPr="00015208">
        <w:rPr>
          <w:rFonts w:ascii="Times New Roman" w:hAnsi="Times New Roman"/>
          <w:sz w:val="24"/>
          <w:szCs w:val="24"/>
        </w:rPr>
        <w:t xml:space="preserve">, the South Carolina Court of Appeals affirmed (3 to 0) the conviction of Ms. Rose of  third-degree arson, filing a false police report, burning personal property to defraud an insurer, and making a false insurance claim to obtain benefits for fire loss, for which the trial court sentenced her to a </w:t>
      </w:r>
      <w:r w:rsidR="00637A12">
        <w:rPr>
          <w:rFonts w:ascii="Times New Roman" w:hAnsi="Times New Roman"/>
          <w:sz w:val="24"/>
          <w:szCs w:val="24"/>
        </w:rPr>
        <w:t>“</w:t>
      </w:r>
      <w:r w:rsidRPr="00015208">
        <w:rPr>
          <w:rFonts w:ascii="Times New Roman" w:hAnsi="Times New Roman"/>
          <w:sz w:val="24"/>
          <w:szCs w:val="24"/>
        </w:rPr>
        <w:t xml:space="preserve">cumulative term of five years' home incarceration with five years' probation.” </w:t>
      </w:r>
      <w:hyperlink r:id="rId363" w:history="1">
        <w:r w:rsidRPr="00015208">
          <w:rPr>
            <w:rStyle w:val="Hyperlink"/>
            <w:rFonts w:ascii="Times New Roman" w:hAnsi="Times New Roman"/>
            <w:sz w:val="24"/>
            <w:szCs w:val="24"/>
          </w:rPr>
          <w:t>https://caselaw.findlaw.com/sc-court-of-appeals/1893632.html</w:t>
        </w:r>
      </w:hyperlink>
    </w:p>
    <w:p w14:paraId="27B8A338" w14:textId="2EA5FACE" w:rsidR="00F326E5" w:rsidRPr="00015208" w:rsidRDefault="00F326E5" w:rsidP="00F326E5">
      <w:pPr>
        <w:rPr>
          <w:rFonts w:ascii="Times New Roman" w:hAnsi="Times New Roman"/>
          <w:sz w:val="24"/>
          <w:szCs w:val="24"/>
        </w:rPr>
      </w:pPr>
      <w:r w:rsidRPr="00015208">
        <w:rPr>
          <w:rFonts w:ascii="Times New Roman" w:hAnsi="Times New Roman"/>
          <w:b/>
          <w:sz w:val="24"/>
          <w:szCs w:val="24"/>
        </w:rPr>
        <w:t>LEGAL LESSONS LEARNED:  There is no specific “time on the job” requirement to be qualified as an expert in origin and cause</w:t>
      </w:r>
      <w:r w:rsidRPr="00015208">
        <w:rPr>
          <w:rFonts w:ascii="Times New Roman" w:hAnsi="Times New Roman"/>
          <w:sz w:val="24"/>
          <w:szCs w:val="24"/>
        </w:rPr>
        <w:t xml:space="preserve">. </w:t>
      </w:r>
    </w:p>
    <w:p w14:paraId="30937DF0" w14:textId="77777777" w:rsidR="00791CA3" w:rsidRPr="00E456E9" w:rsidRDefault="00791CA3" w:rsidP="00F326E5">
      <w:pPr>
        <w:rPr>
          <w:sz w:val="24"/>
          <w:szCs w:val="24"/>
        </w:rPr>
      </w:pPr>
    </w:p>
    <w:bookmarkEnd w:id="86"/>
    <w:p w14:paraId="715A6166" w14:textId="7CF06D81" w:rsidR="00F326E5" w:rsidRPr="00791CA3" w:rsidRDefault="00791CA3" w:rsidP="00F326E5">
      <w:pPr>
        <w:rPr>
          <w:rFonts w:ascii="Arial Black" w:hAnsi="Arial Black"/>
          <w:b/>
          <w:sz w:val="24"/>
          <w:szCs w:val="24"/>
        </w:rPr>
      </w:pPr>
      <w:r w:rsidRPr="00791CA3">
        <w:rPr>
          <w:rFonts w:ascii="Arial Black" w:hAnsi="Arial Black"/>
          <w:b/>
          <w:sz w:val="24"/>
          <w:szCs w:val="24"/>
        </w:rPr>
        <w:t>1-3</w:t>
      </w:r>
    </w:p>
    <w:p w14:paraId="33577FE4" w14:textId="39E09107" w:rsidR="00F326E5" w:rsidRPr="0026507F" w:rsidRDefault="00F326E5" w:rsidP="00F326E5">
      <w:pPr>
        <w:rPr>
          <w:rFonts w:ascii="Times New Roman" w:hAnsi="Times New Roman"/>
          <w:b/>
          <w:color w:val="4A4A4A"/>
          <w:sz w:val="24"/>
          <w:szCs w:val="24"/>
          <w:lang w:val="en"/>
        </w:rPr>
      </w:pPr>
      <w:bookmarkStart w:id="87" w:name="_Hlk515041397"/>
      <w:bookmarkStart w:id="88" w:name="_Hlk6659978"/>
      <w:r w:rsidRPr="00B87096">
        <w:rPr>
          <w:rFonts w:ascii="Arial Black" w:hAnsi="Arial Black"/>
          <w:color w:val="4A4A4A"/>
          <w:sz w:val="28"/>
          <w:szCs w:val="28"/>
          <w:lang w:val="en"/>
        </w:rPr>
        <w:lastRenderedPageBreak/>
        <w:t>U.S. SUPREME COURT</w:t>
      </w:r>
      <w:r>
        <w:rPr>
          <w:rFonts w:ascii="Arial Black" w:hAnsi="Arial Black"/>
          <w:color w:val="4A4A4A"/>
          <w:sz w:val="28"/>
          <w:szCs w:val="28"/>
          <w:lang w:val="en"/>
        </w:rPr>
        <w:t xml:space="preserve">: LANDMARK DECISION ON </w:t>
      </w:r>
      <w:r w:rsidRPr="00B87096">
        <w:rPr>
          <w:rFonts w:ascii="Arial Black" w:hAnsi="Arial Black"/>
          <w:color w:val="4A4A4A"/>
          <w:sz w:val="28"/>
          <w:szCs w:val="28"/>
          <w:lang w:val="en"/>
        </w:rPr>
        <w:t>QUALIFIED IMMUNITY</w:t>
      </w:r>
      <w:r>
        <w:rPr>
          <w:rFonts w:ascii="Arial Black" w:hAnsi="Arial Black"/>
          <w:color w:val="4A4A4A"/>
          <w:sz w:val="28"/>
          <w:szCs w:val="28"/>
          <w:lang w:val="en"/>
        </w:rPr>
        <w:t xml:space="preserve"> – ONLY IF CLEAR CONSTIT. VIOL. </w:t>
      </w:r>
      <w:r>
        <w:rPr>
          <w:rFonts w:ascii="Times New Roman" w:hAnsi="Times New Roman"/>
          <w:color w:val="4A4A4A"/>
          <w:sz w:val="24"/>
          <w:szCs w:val="24"/>
          <w:lang w:val="en"/>
        </w:rPr>
        <w:t>[also filed, Chap. 2]</w:t>
      </w:r>
    </w:p>
    <w:bookmarkEnd w:id="87"/>
    <w:p w14:paraId="33750B5C" w14:textId="77777777" w:rsidR="00637A12" w:rsidRDefault="00F326E5" w:rsidP="00F326E5">
      <w:pPr>
        <w:pStyle w:val="NoSpacing"/>
        <w:rPr>
          <w:rFonts w:ascii="Times New Roman" w:hAnsi="Times New Roman"/>
          <w:sz w:val="24"/>
          <w:szCs w:val="24"/>
          <w:lang w:val="en"/>
        </w:rPr>
      </w:pPr>
      <w:r w:rsidRPr="00015208">
        <w:rPr>
          <w:rFonts w:ascii="Times New Roman" w:hAnsi="Times New Roman"/>
          <w:sz w:val="24"/>
          <w:szCs w:val="24"/>
          <w:lang w:val="en"/>
        </w:rPr>
        <w:t xml:space="preserve">On April 2, 2018, in </w:t>
      </w:r>
      <w:r w:rsidRPr="00015208">
        <w:rPr>
          <w:rFonts w:ascii="Times New Roman" w:hAnsi="Times New Roman"/>
          <w:sz w:val="24"/>
          <w:szCs w:val="24"/>
          <w:u w:val="single"/>
          <w:lang w:val="en"/>
        </w:rPr>
        <w:t>Andrew Kisela v. Amy Hughes</w:t>
      </w:r>
      <w:r w:rsidRPr="00015208">
        <w:rPr>
          <w:rFonts w:ascii="Times New Roman" w:hAnsi="Times New Roman"/>
          <w:sz w:val="24"/>
          <w:szCs w:val="24"/>
          <w:lang w:val="en"/>
        </w:rPr>
        <w:t>, the U.S. Supreme Court reversed the 9</w:t>
      </w:r>
      <w:r w:rsidRPr="00015208">
        <w:rPr>
          <w:rFonts w:ascii="Times New Roman" w:hAnsi="Times New Roman"/>
          <w:sz w:val="24"/>
          <w:szCs w:val="24"/>
          <w:vertAlign w:val="superscript"/>
          <w:lang w:val="en"/>
        </w:rPr>
        <w:t>th</w:t>
      </w:r>
      <w:r w:rsidRPr="00015208">
        <w:rPr>
          <w:rFonts w:ascii="Times New Roman" w:hAnsi="Times New Roman"/>
          <w:sz w:val="24"/>
          <w:szCs w:val="24"/>
          <w:lang w:val="en"/>
        </w:rPr>
        <w:t xml:space="preserve"> Circuit and held (7 to 2) the police officer who shot Amy Hughes should have been dismissed from the lawsuit: </w:t>
      </w:r>
    </w:p>
    <w:p w14:paraId="6A2376BB" w14:textId="77777777" w:rsidR="00637A12" w:rsidRDefault="00637A12" w:rsidP="00F326E5">
      <w:pPr>
        <w:pStyle w:val="NoSpacing"/>
        <w:rPr>
          <w:rFonts w:ascii="Times New Roman" w:hAnsi="Times New Roman"/>
          <w:sz w:val="24"/>
          <w:szCs w:val="24"/>
          <w:lang w:val="en"/>
        </w:rPr>
      </w:pPr>
    </w:p>
    <w:p w14:paraId="3ED20ECB" w14:textId="2C418F4E" w:rsidR="00F326E5" w:rsidRPr="00015208" w:rsidRDefault="00F326E5" w:rsidP="00637A12">
      <w:pPr>
        <w:pStyle w:val="NoSpacing"/>
        <w:ind w:left="720"/>
        <w:rPr>
          <w:rFonts w:ascii="Times New Roman" w:hAnsi="Times New Roman"/>
          <w:b/>
          <w:sz w:val="24"/>
          <w:szCs w:val="24"/>
        </w:rPr>
      </w:pPr>
      <w:r w:rsidRPr="00015208">
        <w:rPr>
          <w:rFonts w:ascii="Times New Roman" w:hAnsi="Times New Roman"/>
          <w:sz w:val="24"/>
          <w:szCs w:val="24"/>
          <w:lang w:val="en"/>
        </w:rPr>
        <w:t>“Here, the Court need not, and does not, decide whether Kisela violated the Fourth Amendment when he used deadly force against Hughes.  For even assuming a Fourth Amendment violation occurred—a proposition that is not at all evident—on these facts Kisela was at least entitled to qualified immunity. Qualified immunity attaches when an official’s conduct does not violate clearly established statutory or constitutional rights of which a reasonable person would have known.”</w:t>
      </w:r>
      <w:r w:rsidRPr="00015208">
        <w:rPr>
          <w:rFonts w:ascii="Times New Roman" w:hAnsi="Times New Roman"/>
          <w:b/>
          <w:sz w:val="24"/>
          <w:szCs w:val="24"/>
        </w:rPr>
        <w:t xml:space="preserve"> </w:t>
      </w:r>
    </w:p>
    <w:p w14:paraId="1B8E47BB" w14:textId="3463FD99" w:rsidR="00F326E5" w:rsidRPr="00015208" w:rsidRDefault="00637A12" w:rsidP="00637A12">
      <w:pPr>
        <w:pStyle w:val="NoSpacing"/>
        <w:ind w:firstLine="720"/>
        <w:rPr>
          <w:rStyle w:val="Hyperlink"/>
          <w:rFonts w:ascii="Times New Roman" w:hAnsi="Times New Roman"/>
          <w:sz w:val="24"/>
          <w:szCs w:val="24"/>
          <w:lang w:val="en"/>
        </w:rPr>
      </w:pPr>
      <w:hyperlink r:id="rId364" w:history="1">
        <w:r w:rsidRPr="002F304C">
          <w:rPr>
            <w:rStyle w:val="Hyperlink"/>
            <w:rFonts w:ascii="Times New Roman" w:hAnsi="Times New Roman"/>
            <w:sz w:val="24"/>
            <w:szCs w:val="24"/>
            <w:lang w:val="en"/>
          </w:rPr>
          <w:t>https://supreme.justia.com/cases/federal/us/584/17-467/</w:t>
        </w:r>
      </w:hyperlink>
      <w:r w:rsidR="00F326E5" w:rsidRPr="00015208">
        <w:rPr>
          <w:rStyle w:val="Hyperlink"/>
          <w:rFonts w:ascii="Times New Roman" w:hAnsi="Times New Roman"/>
          <w:sz w:val="24"/>
          <w:szCs w:val="24"/>
          <w:lang w:val="en"/>
        </w:rPr>
        <w:t xml:space="preserve"> </w:t>
      </w:r>
    </w:p>
    <w:p w14:paraId="7AA0F70E" w14:textId="77777777" w:rsidR="00637A12" w:rsidRDefault="00637A12" w:rsidP="00F326E5">
      <w:pPr>
        <w:rPr>
          <w:rFonts w:ascii="Times New Roman" w:hAnsi="Times New Roman"/>
          <w:b/>
          <w:sz w:val="24"/>
          <w:szCs w:val="24"/>
          <w:lang w:val="en"/>
        </w:rPr>
      </w:pPr>
    </w:p>
    <w:p w14:paraId="3C629D70" w14:textId="7B049A50" w:rsidR="00F326E5" w:rsidRPr="00015208" w:rsidRDefault="00F326E5" w:rsidP="00F326E5">
      <w:pPr>
        <w:rPr>
          <w:rFonts w:ascii="Times New Roman" w:hAnsi="Times New Roman"/>
          <w:b/>
          <w:sz w:val="24"/>
          <w:szCs w:val="24"/>
          <w:lang w:val="en"/>
        </w:rPr>
      </w:pPr>
      <w:r w:rsidRPr="00015208">
        <w:rPr>
          <w:rFonts w:ascii="Times New Roman" w:hAnsi="Times New Roman"/>
          <w:b/>
          <w:sz w:val="24"/>
          <w:szCs w:val="24"/>
          <w:lang w:val="en"/>
        </w:rPr>
        <w:t xml:space="preserve">Legal Lessons Learned:  Justices sent a message that qualified immunity protects police officers from personal liability unless conduct clearly unjustified.  </w:t>
      </w:r>
    </w:p>
    <w:p w14:paraId="2E3E969F" w14:textId="77777777" w:rsidR="00F326E5" w:rsidRPr="00015208" w:rsidRDefault="00F326E5" w:rsidP="00F326E5">
      <w:pPr>
        <w:ind w:left="720"/>
        <w:rPr>
          <w:rFonts w:ascii="Times New Roman" w:hAnsi="Times New Roman"/>
          <w:b/>
          <w:color w:val="4A4A4A"/>
          <w:sz w:val="24"/>
          <w:szCs w:val="24"/>
          <w:lang w:val="en"/>
        </w:rPr>
      </w:pPr>
      <w:r w:rsidRPr="00015208">
        <w:rPr>
          <w:rFonts w:ascii="Times New Roman" w:hAnsi="Times New Roman"/>
          <w:color w:val="4A4A4A"/>
          <w:sz w:val="24"/>
          <w:szCs w:val="24"/>
          <w:lang w:val="en"/>
        </w:rPr>
        <w:t>See New York Times article on this decision: “</w:t>
      </w:r>
      <w:r w:rsidRPr="00015208">
        <w:rPr>
          <w:rFonts w:ascii="Times New Roman" w:hAnsi="Times New Roman"/>
          <w:sz w:val="24"/>
          <w:szCs w:val="24"/>
          <w:lang w:val="en"/>
        </w:rPr>
        <w:t>The court’s decision was unsigned and issued without full briefing and oral argument, an indication that the majority found the case to be easy.”</w:t>
      </w:r>
      <w:r w:rsidRPr="00015208">
        <w:rPr>
          <w:rFonts w:ascii="Times New Roman" w:hAnsi="Times New Roman"/>
          <w:color w:val="4A4A4A"/>
          <w:sz w:val="24"/>
          <w:szCs w:val="24"/>
          <w:lang w:val="en"/>
        </w:rPr>
        <w:t xml:space="preserve"> </w:t>
      </w:r>
      <w:hyperlink r:id="rId365" w:history="1">
        <w:r w:rsidRPr="00015208">
          <w:rPr>
            <w:rStyle w:val="Hyperlink"/>
            <w:rFonts w:ascii="Times New Roman" w:hAnsi="Times New Roman"/>
            <w:sz w:val="24"/>
            <w:szCs w:val="24"/>
            <w:lang w:val="en"/>
          </w:rPr>
          <w:t>https://www.nytimes.com/2018/04/02/us/politics/supreme-court-rules-for-police-officer-in-excessive-force-case.html</w:t>
        </w:r>
      </w:hyperlink>
      <w:r w:rsidRPr="00015208">
        <w:rPr>
          <w:rFonts w:ascii="Times New Roman" w:hAnsi="Times New Roman"/>
          <w:b/>
          <w:color w:val="4A4A4A"/>
          <w:sz w:val="24"/>
          <w:szCs w:val="24"/>
          <w:lang w:val="en"/>
        </w:rPr>
        <w:t xml:space="preserve"> “</w:t>
      </w:r>
    </w:p>
    <w:bookmarkEnd w:id="88"/>
    <w:p w14:paraId="32252FCC" w14:textId="77777777" w:rsidR="00F326E5" w:rsidRPr="008F54C5" w:rsidRDefault="00F326E5" w:rsidP="00F326E5">
      <w:pPr>
        <w:pStyle w:val="NoSpacing"/>
        <w:rPr>
          <w:rFonts w:ascii="Arial Black" w:hAnsi="Arial Black"/>
          <w:b/>
          <w:sz w:val="24"/>
          <w:szCs w:val="24"/>
        </w:rPr>
      </w:pPr>
    </w:p>
    <w:p w14:paraId="57A77D60" w14:textId="0149C388" w:rsidR="00F326E5" w:rsidRPr="00791CA3" w:rsidRDefault="00791CA3" w:rsidP="00F326E5">
      <w:pPr>
        <w:pStyle w:val="NoSpacing"/>
        <w:rPr>
          <w:rFonts w:ascii="Arial Black" w:hAnsi="Arial Black"/>
          <w:sz w:val="24"/>
          <w:szCs w:val="24"/>
        </w:rPr>
      </w:pPr>
      <w:r w:rsidRPr="00791CA3">
        <w:rPr>
          <w:rFonts w:ascii="Arial Black" w:hAnsi="Arial Black"/>
          <w:sz w:val="24"/>
          <w:szCs w:val="24"/>
        </w:rPr>
        <w:t>1-2</w:t>
      </w:r>
    </w:p>
    <w:p w14:paraId="05DED64E" w14:textId="77777777" w:rsidR="00791CA3" w:rsidRDefault="00791CA3" w:rsidP="00F326E5">
      <w:pPr>
        <w:pStyle w:val="NoSpacing"/>
        <w:rPr>
          <w:sz w:val="24"/>
          <w:szCs w:val="24"/>
        </w:rPr>
      </w:pPr>
    </w:p>
    <w:p w14:paraId="4F81A4AA" w14:textId="77289840" w:rsidR="00F326E5" w:rsidRPr="009213BD" w:rsidRDefault="00F326E5" w:rsidP="00F326E5">
      <w:pPr>
        <w:pStyle w:val="NoSpacing"/>
        <w:rPr>
          <w:sz w:val="28"/>
          <w:szCs w:val="28"/>
        </w:rPr>
      </w:pPr>
      <w:bookmarkStart w:id="89" w:name="_Hlk7340402"/>
      <w:r>
        <w:rPr>
          <w:rFonts w:ascii="Arial Black" w:hAnsi="Arial Black"/>
          <w:sz w:val="28"/>
          <w:szCs w:val="28"/>
        </w:rPr>
        <w:t>TX: M</w:t>
      </w:r>
      <w:r w:rsidRPr="009213BD">
        <w:rPr>
          <w:rFonts w:ascii="Arial Black" w:hAnsi="Arial Black"/>
          <w:sz w:val="28"/>
          <w:szCs w:val="28"/>
        </w:rPr>
        <w:t>URDER TRIAL FOR KILLING A POLICE OFFICER –</w:t>
      </w:r>
      <w:r>
        <w:rPr>
          <w:rFonts w:ascii="Arial Black" w:hAnsi="Arial Black"/>
          <w:sz w:val="28"/>
          <w:szCs w:val="28"/>
        </w:rPr>
        <w:t xml:space="preserve"> POLICE MAY ATTEND TRIAL IN </w:t>
      </w:r>
      <w:r w:rsidRPr="009213BD">
        <w:rPr>
          <w:rFonts w:ascii="Arial Black" w:hAnsi="Arial Black"/>
          <w:sz w:val="28"/>
          <w:szCs w:val="28"/>
        </w:rPr>
        <w:t>UNIFORM</w:t>
      </w:r>
    </w:p>
    <w:p w14:paraId="13E003AF" w14:textId="77777777" w:rsidR="00637A12" w:rsidRDefault="00F326E5" w:rsidP="00F326E5">
      <w:pPr>
        <w:rPr>
          <w:rFonts w:ascii="Times New Roman" w:hAnsi="Times New Roman"/>
          <w:color w:val="4A4A4A"/>
          <w:sz w:val="24"/>
          <w:szCs w:val="24"/>
          <w:lang w:val="en"/>
        </w:rPr>
      </w:pPr>
      <w:r w:rsidRPr="00015208">
        <w:rPr>
          <w:rFonts w:ascii="Times New Roman" w:hAnsi="Times New Roman"/>
          <w:color w:val="4A4A4A"/>
          <w:sz w:val="24"/>
          <w:szCs w:val="24"/>
          <w:lang w:val="en"/>
        </w:rPr>
        <w:t xml:space="preserve">On March 27, 2018, in </w:t>
      </w:r>
      <w:r w:rsidRPr="00015208">
        <w:rPr>
          <w:rFonts w:ascii="Times New Roman" w:hAnsi="Times New Roman"/>
          <w:color w:val="4A4A4A"/>
          <w:sz w:val="24"/>
          <w:szCs w:val="24"/>
          <w:u w:val="single"/>
          <w:lang w:val="en"/>
        </w:rPr>
        <w:t xml:space="preserve">Shelton </w:t>
      </w:r>
      <w:proofErr w:type="spellStart"/>
      <w:r w:rsidRPr="00015208">
        <w:rPr>
          <w:rFonts w:ascii="Times New Roman" w:hAnsi="Times New Roman"/>
          <w:color w:val="4A4A4A"/>
          <w:sz w:val="24"/>
          <w:szCs w:val="24"/>
          <w:u w:val="single"/>
          <w:lang w:val="en"/>
        </w:rPr>
        <w:t>Denoria</w:t>
      </w:r>
      <w:proofErr w:type="spellEnd"/>
      <w:r w:rsidRPr="00015208">
        <w:rPr>
          <w:rFonts w:ascii="Times New Roman" w:hAnsi="Times New Roman"/>
          <w:color w:val="4A4A4A"/>
          <w:sz w:val="24"/>
          <w:szCs w:val="24"/>
          <w:u w:val="single"/>
          <w:lang w:val="en"/>
        </w:rPr>
        <w:t xml:space="preserve"> Jones v. Lorie Davis, Director, Texas Department of Criminal Justice</w:t>
      </w:r>
      <w:r w:rsidRPr="00015208">
        <w:rPr>
          <w:rFonts w:ascii="Times New Roman" w:hAnsi="Times New Roman"/>
          <w:color w:val="4A4A4A"/>
          <w:sz w:val="24"/>
          <w:szCs w:val="24"/>
          <w:lang w:val="en"/>
        </w:rPr>
        <w:t>, the U.S. Court of Appeals for 5</w:t>
      </w:r>
      <w:r w:rsidRPr="00015208">
        <w:rPr>
          <w:rFonts w:ascii="Times New Roman" w:hAnsi="Times New Roman"/>
          <w:color w:val="4A4A4A"/>
          <w:sz w:val="24"/>
          <w:szCs w:val="24"/>
          <w:vertAlign w:val="superscript"/>
          <w:lang w:val="en"/>
        </w:rPr>
        <w:t>th</w:t>
      </w:r>
      <w:r w:rsidRPr="00015208">
        <w:rPr>
          <w:rFonts w:ascii="Times New Roman" w:hAnsi="Times New Roman"/>
          <w:color w:val="4A4A4A"/>
          <w:sz w:val="24"/>
          <w:szCs w:val="24"/>
          <w:lang w:val="en"/>
        </w:rPr>
        <w:t xml:space="preserve"> Circuit, held (3 to 0) that the defendant was not deprived of a fair trial in state court: </w:t>
      </w:r>
    </w:p>
    <w:p w14:paraId="3B96F0F7" w14:textId="54B9FF0F" w:rsidR="00F326E5" w:rsidRPr="00015208" w:rsidRDefault="00F326E5" w:rsidP="00637A12">
      <w:pPr>
        <w:ind w:left="720"/>
        <w:rPr>
          <w:rFonts w:ascii="Times New Roman" w:hAnsi="Times New Roman"/>
          <w:color w:val="4A4A4A"/>
          <w:sz w:val="24"/>
          <w:szCs w:val="24"/>
          <w:lang w:val="en"/>
        </w:rPr>
      </w:pPr>
      <w:r w:rsidRPr="00015208">
        <w:rPr>
          <w:rFonts w:ascii="Times New Roman" w:hAnsi="Times New Roman"/>
          <w:color w:val="4A4A4A"/>
          <w:sz w:val="24"/>
          <w:szCs w:val="24"/>
          <w:lang w:val="en"/>
        </w:rPr>
        <w:t>“</w:t>
      </w:r>
      <w:proofErr w:type="gramStart"/>
      <w:r w:rsidRPr="00015208">
        <w:rPr>
          <w:rFonts w:ascii="Times New Roman" w:hAnsi="Times New Roman"/>
          <w:color w:val="4A4A4A"/>
          <w:sz w:val="24"/>
          <w:szCs w:val="24"/>
          <w:lang w:val="en"/>
        </w:rPr>
        <w:t>the</w:t>
      </w:r>
      <w:proofErr w:type="gramEnd"/>
      <w:r w:rsidRPr="00015208">
        <w:rPr>
          <w:rFonts w:ascii="Times New Roman" w:hAnsi="Times New Roman"/>
          <w:color w:val="4A4A4A"/>
          <w:sz w:val="24"/>
          <w:szCs w:val="24"/>
          <w:lang w:val="en"/>
        </w:rPr>
        <w:t xml:space="preserve"> record before us does not suggest the police presence intimidated the jury or disrupted the factfinding process in any way.” </w:t>
      </w:r>
      <w:hyperlink r:id="rId366" w:history="1">
        <w:r w:rsidRPr="00015208">
          <w:rPr>
            <w:rStyle w:val="Hyperlink"/>
            <w:rFonts w:ascii="Times New Roman" w:hAnsi="Times New Roman"/>
            <w:sz w:val="24"/>
            <w:szCs w:val="24"/>
            <w:lang w:val="en"/>
          </w:rPr>
          <w:t>file:///C:/Users/lawre/AppData/Local/Microsoft/Windows/INetCache/IE/XO250S7T/15-70040-CV0.pdf</w:t>
        </w:r>
      </w:hyperlink>
      <w:r w:rsidRPr="00015208">
        <w:rPr>
          <w:rFonts w:ascii="Times New Roman" w:hAnsi="Times New Roman"/>
          <w:color w:val="4A4A4A"/>
          <w:sz w:val="24"/>
          <w:szCs w:val="24"/>
          <w:lang w:val="en"/>
        </w:rPr>
        <w:t xml:space="preserve"> </w:t>
      </w:r>
    </w:p>
    <w:p w14:paraId="28A6FA17" w14:textId="77777777" w:rsidR="00F326E5" w:rsidRPr="00637A12" w:rsidRDefault="00F326E5" w:rsidP="00637A12">
      <w:pPr>
        <w:pStyle w:val="NoSpacing"/>
        <w:rPr>
          <w:rFonts w:ascii="Times New Roman" w:hAnsi="Times New Roman"/>
          <w:b/>
          <w:bCs/>
          <w:sz w:val="24"/>
          <w:szCs w:val="24"/>
          <w:lang w:val="en"/>
        </w:rPr>
      </w:pPr>
      <w:r w:rsidRPr="00637A12">
        <w:rPr>
          <w:rFonts w:ascii="Times New Roman" w:hAnsi="Times New Roman"/>
          <w:b/>
          <w:bCs/>
          <w:sz w:val="24"/>
          <w:szCs w:val="24"/>
          <w:lang w:val="en"/>
        </w:rPr>
        <w:t xml:space="preserve">LEGAL LESSONS LEARNED:  Helpful decision – no evidence of jury intimidation by having emergency responders in uniform, watching a jury trial.  Before showing up in uniform, please discuss with your Chief and the prosecutor, who may want to review with trial judge, prior to start of trial. </w:t>
      </w:r>
    </w:p>
    <w:bookmarkEnd w:id="89"/>
    <w:p w14:paraId="71B3B905" w14:textId="13F9FF68" w:rsidR="00791CA3" w:rsidRDefault="00791CA3" w:rsidP="00F326E5">
      <w:pPr>
        <w:rPr>
          <w:rFonts w:ascii="Arial Black" w:hAnsi="Arial Black"/>
          <w:sz w:val="24"/>
          <w:szCs w:val="24"/>
        </w:rPr>
      </w:pPr>
    </w:p>
    <w:p w14:paraId="78C80069" w14:textId="77777777" w:rsidR="00637A12" w:rsidRPr="00791CA3" w:rsidRDefault="00637A12" w:rsidP="00F326E5">
      <w:pPr>
        <w:rPr>
          <w:rFonts w:ascii="Arial Black" w:hAnsi="Arial Black"/>
          <w:sz w:val="24"/>
          <w:szCs w:val="24"/>
        </w:rPr>
      </w:pPr>
    </w:p>
    <w:p w14:paraId="28D50D56" w14:textId="26D5C357" w:rsidR="00F326E5" w:rsidRPr="00791CA3" w:rsidRDefault="00791CA3" w:rsidP="00F326E5">
      <w:pPr>
        <w:rPr>
          <w:rFonts w:ascii="Arial Black" w:hAnsi="Arial Black"/>
          <w:sz w:val="24"/>
          <w:szCs w:val="24"/>
        </w:rPr>
      </w:pPr>
      <w:r w:rsidRPr="00791CA3">
        <w:rPr>
          <w:rFonts w:ascii="Arial Black" w:hAnsi="Arial Black"/>
          <w:sz w:val="24"/>
          <w:szCs w:val="24"/>
        </w:rPr>
        <w:t>1-1</w:t>
      </w:r>
    </w:p>
    <w:p w14:paraId="106D72F0" w14:textId="6B65BFDD" w:rsidR="00F326E5" w:rsidRPr="00586D43" w:rsidRDefault="00F326E5" w:rsidP="00F326E5">
      <w:pPr>
        <w:pStyle w:val="NoSpacing"/>
        <w:rPr>
          <w:sz w:val="24"/>
          <w:szCs w:val="24"/>
        </w:rPr>
      </w:pPr>
      <w:bookmarkStart w:id="90" w:name="_Hlk7340446"/>
      <w:r w:rsidRPr="009213BD">
        <w:rPr>
          <w:rFonts w:ascii="Arial Black" w:hAnsi="Arial Black" w:cs="Arial"/>
          <w:sz w:val="28"/>
          <w:szCs w:val="28"/>
        </w:rPr>
        <w:t xml:space="preserve">IL: DEPUTY FIRE CHIEF FIRED </w:t>
      </w:r>
      <w:r>
        <w:rPr>
          <w:rFonts w:ascii="Arial Black" w:hAnsi="Arial Black" w:cs="Arial"/>
          <w:sz w:val="28"/>
          <w:szCs w:val="28"/>
        </w:rPr>
        <w:t xml:space="preserve">- </w:t>
      </w:r>
      <w:r w:rsidRPr="009213BD">
        <w:rPr>
          <w:rFonts w:ascii="Arial Black" w:hAnsi="Arial Black" w:cs="Arial"/>
          <w:sz w:val="28"/>
          <w:szCs w:val="28"/>
        </w:rPr>
        <w:t xml:space="preserve">WARNED ABOUT “POLITICAL COMMENTARY” ON FACEBOOK </w:t>
      </w:r>
      <w:r w:rsidRPr="00586D43">
        <w:rPr>
          <w:sz w:val="24"/>
          <w:szCs w:val="24"/>
        </w:rPr>
        <w:t>[also filed, Chap. 16]</w:t>
      </w:r>
    </w:p>
    <w:p w14:paraId="142B050B" w14:textId="77777777" w:rsidR="00637A12" w:rsidRDefault="00F326E5" w:rsidP="00F326E5">
      <w:pPr>
        <w:pStyle w:val="NoSpacing"/>
        <w:rPr>
          <w:rFonts w:ascii="Times New Roman" w:hAnsi="Times New Roman"/>
          <w:sz w:val="24"/>
          <w:szCs w:val="24"/>
        </w:rPr>
      </w:pPr>
      <w:r w:rsidRPr="00015208">
        <w:rPr>
          <w:rFonts w:ascii="Times New Roman" w:hAnsi="Times New Roman"/>
          <w:sz w:val="24"/>
          <w:szCs w:val="24"/>
        </w:rPr>
        <w:lastRenderedPageBreak/>
        <w:t xml:space="preserve">On Jan. 11, 2018, in Richard Banske v. City of Calumet City, U.S. District Court, Northern District of Illinois (Case No. 17C5263), Judge Harry D. </w:t>
      </w:r>
      <w:proofErr w:type="spellStart"/>
      <w:r w:rsidRPr="00015208">
        <w:rPr>
          <w:rFonts w:ascii="Times New Roman" w:hAnsi="Times New Roman"/>
          <w:sz w:val="24"/>
          <w:szCs w:val="24"/>
        </w:rPr>
        <w:t>Leinenweber</w:t>
      </w:r>
      <w:proofErr w:type="spellEnd"/>
      <w:r w:rsidRPr="00015208">
        <w:rPr>
          <w:rFonts w:ascii="Times New Roman" w:hAnsi="Times New Roman"/>
          <w:sz w:val="24"/>
          <w:szCs w:val="24"/>
        </w:rPr>
        <w:t xml:space="preserve"> granted City’s motion to dismiss. </w:t>
      </w:r>
    </w:p>
    <w:p w14:paraId="66957803" w14:textId="77777777" w:rsidR="00637A12" w:rsidRDefault="00637A12" w:rsidP="00F326E5">
      <w:pPr>
        <w:pStyle w:val="NoSpacing"/>
        <w:rPr>
          <w:rFonts w:ascii="Times New Roman" w:hAnsi="Times New Roman"/>
          <w:sz w:val="24"/>
          <w:szCs w:val="24"/>
        </w:rPr>
      </w:pPr>
    </w:p>
    <w:p w14:paraId="51DF1ABB" w14:textId="516D3BA1" w:rsidR="00F326E5" w:rsidRPr="00015208" w:rsidRDefault="00F326E5" w:rsidP="00637A12">
      <w:pPr>
        <w:pStyle w:val="NoSpacing"/>
        <w:ind w:left="720"/>
        <w:rPr>
          <w:rFonts w:ascii="Times New Roman" w:hAnsi="Times New Roman"/>
          <w:sz w:val="24"/>
          <w:szCs w:val="24"/>
        </w:rPr>
      </w:pPr>
      <w:r w:rsidRPr="00015208">
        <w:rPr>
          <w:rFonts w:ascii="Times New Roman" w:hAnsi="Times New Roman"/>
          <w:sz w:val="24"/>
          <w:szCs w:val="24"/>
        </w:rPr>
        <w:t xml:space="preserve">“[A] policymaking employee may be discharged ‘when that individual has engaged in speech on a matter of public concern in a manner that is critical of superiors or their stated </w:t>
      </w:r>
      <w:proofErr w:type="spellStart"/>
      <w:r w:rsidRPr="00015208">
        <w:rPr>
          <w:rFonts w:ascii="Times New Roman" w:hAnsi="Times New Roman"/>
          <w:sz w:val="24"/>
          <w:szCs w:val="24"/>
        </w:rPr>
        <w:t>policies.’Hagan</w:t>
      </w:r>
      <w:proofErr w:type="spellEnd"/>
      <w:r w:rsidRPr="00015208">
        <w:rPr>
          <w:rFonts w:ascii="Times New Roman" w:hAnsi="Times New Roman"/>
          <w:sz w:val="24"/>
          <w:szCs w:val="24"/>
        </w:rPr>
        <w:t xml:space="preserve">, 867 F.3d at 826 (quoting Kiddy-Brown v. Blagojevich, 408 F.3d 346, 358 (7th Cir. 2005)). *** Without well pled factual allegations, the Court is left to guess whether </w:t>
      </w:r>
      <w:proofErr w:type="spellStart"/>
      <w:r w:rsidRPr="00015208">
        <w:rPr>
          <w:rFonts w:ascii="Times New Roman" w:hAnsi="Times New Roman"/>
          <w:sz w:val="24"/>
          <w:szCs w:val="24"/>
        </w:rPr>
        <w:t>Banske's</w:t>
      </w:r>
      <w:proofErr w:type="spellEnd"/>
      <w:r w:rsidRPr="00015208">
        <w:rPr>
          <w:rFonts w:ascii="Times New Roman" w:hAnsi="Times New Roman"/>
          <w:sz w:val="24"/>
          <w:szCs w:val="24"/>
        </w:rPr>
        <w:t xml:space="preserve"> at-issue speech touches upon a subject of public concern. This the Court will not do. The Complaint fails to establish that </w:t>
      </w:r>
      <w:proofErr w:type="spellStart"/>
      <w:r w:rsidRPr="00015208">
        <w:rPr>
          <w:rFonts w:ascii="Times New Roman" w:hAnsi="Times New Roman"/>
          <w:sz w:val="24"/>
          <w:szCs w:val="24"/>
        </w:rPr>
        <w:t>Banske</w:t>
      </w:r>
      <w:proofErr w:type="spellEnd"/>
      <w:r w:rsidRPr="00015208">
        <w:rPr>
          <w:rFonts w:ascii="Times New Roman" w:hAnsi="Times New Roman"/>
          <w:sz w:val="24"/>
          <w:szCs w:val="24"/>
        </w:rPr>
        <w:t xml:space="preserve"> engaged in constitutionally protected speech, so it fails to state a claim upon which relief may be granted.” </w:t>
      </w:r>
    </w:p>
    <w:p w14:paraId="771164F4" w14:textId="32F50D58" w:rsidR="00F326E5" w:rsidRDefault="00637A12" w:rsidP="00637A12">
      <w:pPr>
        <w:pStyle w:val="NoSpacing"/>
        <w:ind w:firstLine="720"/>
        <w:rPr>
          <w:rFonts w:ascii="Times New Roman" w:hAnsi="Times New Roman"/>
          <w:sz w:val="24"/>
          <w:szCs w:val="24"/>
        </w:rPr>
      </w:pPr>
      <w:hyperlink r:id="rId367" w:history="1">
        <w:r w:rsidRPr="002F304C">
          <w:rPr>
            <w:rStyle w:val="Hyperlink"/>
            <w:rFonts w:ascii="Times New Roman" w:hAnsi="Times New Roman"/>
            <w:sz w:val="24"/>
            <w:szCs w:val="24"/>
          </w:rPr>
          <w:t>https://casetext.com/case/banske-v-city-of-calumet-city</w:t>
        </w:r>
      </w:hyperlink>
      <w:r w:rsidR="00F326E5" w:rsidRPr="00015208">
        <w:rPr>
          <w:rFonts w:ascii="Times New Roman" w:hAnsi="Times New Roman"/>
          <w:sz w:val="24"/>
          <w:szCs w:val="24"/>
        </w:rPr>
        <w:t xml:space="preserve"> </w:t>
      </w:r>
    </w:p>
    <w:p w14:paraId="7E0DB95D" w14:textId="77777777" w:rsidR="00637A12" w:rsidRPr="00015208" w:rsidRDefault="00637A12" w:rsidP="00637A12">
      <w:pPr>
        <w:pStyle w:val="NoSpacing"/>
        <w:ind w:firstLine="720"/>
        <w:rPr>
          <w:rFonts w:ascii="Times New Roman" w:hAnsi="Times New Roman"/>
          <w:sz w:val="24"/>
          <w:szCs w:val="24"/>
        </w:rPr>
      </w:pPr>
    </w:p>
    <w:p w14:paraId="715AC97E" w14:textId="77777777" w:rsidR="00F326E5" w:rsidRPr="00015208" w:rsidRDefault="00F326E5" w:rsidP="00F326E5">
      <w:pPr>
        <w:rPr>
          <w:rFonts w:ascii="Times New Roman" w:eastAsia="Times New Roman" w:hAnsi="Times New Roman"/>
          <w:sz w:val="24"/>
          <w:szCs w:val="24"/>
        </w:rPr>
      </w:pPr>
      <w:r w:rsidRPr="00015208">
        <w:rPr>
          <w:rFonts w:ascii="Times New Roman" w:eastAsia="Times New Roman" w:hAnsi="Times New Roman"/>
          <w:b/>
          <w:sz w:val="24"/>
          <w:szCs w:val="24"/>
        </w:rPr>
        <w:t>Legal Lessons Learned: Fire, EMS, police and other public employees have only limited First Amendment rights under the “balancing test” of U.S. Supreme Court’s decision in Pickering v. Board of Education, 391 U.S. 563 (1968).</w:t>
      </w:r>
    </w:p>
    <w:p w14:paraId="42F0D37F" w14:textId="77777777" w:rsidR="00F326E5" w:rsidRPr="00015208" w:rsidRDefault="00F326E5" w:rsidP="00F326E5">
      <w:pPr>
        <w:ind w:left="720"/>
        <w:rPr>
          <w:rFonts w:ascii="Times New Roman" w:hAnsi="Times New Roman"/>
          <w:sz w:val="24"/>
          <w:szCs w:val="24"/>
        </w:rPr>
      </w:pPr>
      <w:r w:rsidRPr="00015208">
        <w:rPr>
          <w:rFonts w:ascii="Times New Roman" w:eastAsia="Times New Roman" w:hAnsi="Times New Roman"/>
          <w:sz w:val="24"/>
          <w:szCs w:val="24"/>
        </w:rPr>
        <w:t xml:space="preserve">Pickering decision:  “Appellant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 In sum, we hold that, in a case such as this, absent proof of false statements knowingly or recklessly made by him, a teacher's exercise of his right to speak on issues of public importance may not furnish the basis for his dismissal from public employment. *** Footnote 3: It is possible to conceive of some positions in public employment in which the need for confidentiality is so great that even completely correct public statements might furnish a permissible ground for dismissal.” </w:t>
      </w:r>
      <w:hyperlink r:id="rId368" w:history="1">
        <w:r w:rsidRPr="00015208">
          <w:rPr>
            <w:rStyle w:val="Hyperlink"/>
            <w:rFonts w:ascii="Times New Roman" w:hAnsi="Times New Roman"/>
            <w:sz w:val="24"/>
            <w:szCs w:val="24"/>
          </w:rPr>
          <w:t>https://supreme.justia.com/cases/federal/us/391/563/</w:t>
        </w:r>
      </w:hyperlink>
      <w:r w:rsidRPr="00015208">
        <w:rPr>
          <w:rFonts w:ascii="Times New Roman" w:eastAsia="Times New Roman" w:hAnsi="Times New Roman"/>
          <w:sz w:val="24"/>
          <w:szCs w:val="24"/>
        </w:rPr>
        <w:t xml:space="preserve"> </w:t>
      </w:r>
    </w:p>
    <w:p w14:paraId="2BEE7831" w14:textId="77777777" w:rsidR="00F326E5" w:rsidRDefault="00F326E5" w:rsidP="00F326E5">
      <w:pPr>
        <w:rPr>
          <w:rFonts w:ascii="Times New Roman" w:hAnsi="Times New Roman"/>
          <w:sz w:val="24"/>
          <w:szCs w:val="24"/>
        </w:rPr>
      </w:pPr>
    </w:p>
    <w:bookmarkEnd w:id="90"/>
    <w:p w14:paraId="7685CD75" w14:textId="77777777" w:rsidR="00F326E5" w:rsidRDefault="00F326E5" w:rsidP="00F326E5">
      <w:pPr>
        <w:rPr>
          <w:rFonts w:ascii="Arial Black" w:hAnsi="Arial Black"/>
          <w:sz w:val="40"/>
          <w:szCs w:val="40"/>
        </w:rPr>
      </w:pPr>
      <w:r>
        <w:rPr>
          <w:rFonts w:ascii="Arial Black" w:hAnsi="Arial Black"/>
          <w:sz w:val="40"/>
          <w:szCs w:val="40"/>
        </w:rPr>
        <w:br w:type="page"/>
      </w:r>
    </w:p>
    <w:p w14:paraId="062803A9" w14:textId="77777777" w:rsidR="00F326E5" w:rsidRDefault="00F326E5" w:rsidP="00F326E5">
      <w:pPr>
        <w:pStyle w:val="NoSpacing"/>
        <w:rPr>
          <w:rFonts w:ascii="Arial Black" w:hAnsi="Arial Black"/>
          <w:sz w:val="40"/>
          <w:szCs w:val="40"/>
        </w:rPr>
      </w:pPr>
    </w:p>
    <w:p w14:paraId="3F43366F" w14:textId="77777777" w:rsidR="008229A3" w:rsidRDefault="008229A3" w:rsidP="00F326E5">
      <w:pPr>
        <w:pStyle w:val="NoSpacing"/>
        <w:rPr>
          <w:rFonts w:ascii="Arial Black" w:hAnsi="Arial Black"/>
          <w:sz w:val="40"/>
          <w:szCs w:val="40"/>
        </w:rPr>
      </w:pPr>
    </w:p>
    <w:p w14:paraId="6933962B" w14:textId="77777777" w:rsidR="008229A3" w:rsidRDefault="008229A3" w:rsidP="00F326E5">
      <w:pPr>
        <w:pStyle w:val="NoSpacing"/>
        <w:rPr>
          <w:rFonts w:ascii="Arial Black" w:hAnsi="Arial Black"/>
          <w:sz w:val="40"/>
          <w:szCs w:val="40"/>
        </w:rPr>
      </w:pPr>
    </w:p>
    <w:p w14:paraId="6D470310" w14:textId="77777777" w:rsidR="008229A3" w:rsidRDefault="008229A3" w:rsidP="00F326E5">
      <w:pPr>
        <w:pStyle w:val="NoSpacing"/>
        <w:rPr>
          <w:rFonts w:ascii="Arial Black" w:hAnsi="Arial Black"/>
          <w:sz w:val="40"/>
          <w:szCs w:val="40"/>
        </w:rPr>
      </w:pPr>
    </w:p>
    <w:p w14:paraId="2E746334" w14:textId="77777777" w:rsidR="008229A3" w:rsidRDefault="008229A3" w:rsidP="00F326E5">
      <w:pPr>
        <w:pStyle w:val="NoSpacing"/>
        <w:rPr>
          <w:rFonts w:ascii="Arial Black" w:hAnsi="Arial Black"/>
          <w:sz w:val="40"/>
          <w:szCs w:val="40"/>
        </w:rPr>
      </w:pPr>
    </w:p>
    <w:p w14:paraId="4359DF0C" w14:textId="77777777" w:rsidR="008229A3" w:rsidRDefault="008229A3" w:rsidP="00F326E5">
      <w:pPr>
        <w:pStyle w:val="NoSpacing"/>
        <w:rPr>
          <w:rFonts w:ascii="Arial Black" w:hAnsi="Arial Black"/>
          <w:sz w:val="40"/>
          <w:szCs w:val="40"/>
        </w:rPr>
      </w:pPr>
    </w:p>
    <w:p w14:paraId="39EA27EE" w14:textId="77777777" w:rsidR="008229A3" w:rsidRDefault="008229A3" w:rsidP="00F326E5">
      <w:pPr>
        <w:pStyle w:val="NoSpacing"/>
        <w:rPr>
          <w:rFonts w:ascii="Arial Black" w:hAnsi="Arial Black"/>
          <w:sz w:val="40"/>
          <w:szCs w:val="40"/>
        </w:rPr>
      </w:pPr>
    </w:p>
    <w:p w14:paraId="1FDA0FD0" w14:textId="77777777" w:rsidR="008229A3" w:rsidRDefault="008229A3" w:rsidP="00F326E5">
      <w:pPr>
        <w:pStyle w:val="NoSpacing"/>
        <w:rPr>
          <w:rFonts w:ascii="Arial Black" w:hAnsi="Arial Black"/>
          <w:sz w:val="40"/>
          <w:szCs w:val="40"/>
        </w:rPr>
      </w:pPr>
    </w:p>
    <w:p w14:paraId="2D1EFE48" w14:textId="77777777" w:rsidR="008229A3" w:rsidRDefault="008229A3" w:rsidP="00F326E5">
      <w:pPr>
        <w:pStyle w:val="NoSpacing"/>
        <w:rPr>
          <w:rFonts w:ascii="Arial Black" w:hAnsi="Arial Black"/>
          <w:sz w:val="40"/>
          <w:szCs w:val="40"/>
        </w:rPr>
      </w:pPr>
    </w:p>
    <w:p w14:paraId="42BA7122" w14:textId="77777777" w:rsidR="008229A3" w:rsidRDefault="008229A3" w:rsidP="00F326E5">
      <w:pPr>
        <w:pStyle w:val="NoSpacing"/>
        <w:rPr>
          <w:rFonts w:ascii="Arial Black" w:hAnsi="Arial Black"/>
          <w:sz w:val="40"/>
          <w:szCs w:val="40"/>
        </w:rPr>
      </w:pPr>
    </w:p>
    <w:p w14:paraId="71DC3D69" w14:textId="77777777" w:rsidR="008229A3" w:rsidRDefault="008229A3" w:rsidP="00F326E5">
      <w:pPr>
        <w:pStyle w:val="NoSpacing"/>
        <w:rPr>
          <w:rFonts w:ascii="Arial Black" w:hAnsi="Arial Black"/>
          <w:sz w:val="40"/>
          <w:szCs w:val="40"/>
        </w:rPr>
      </w:pPr>
    </w:p>
    <w:p w14:paraId="3AC07525" w14:textId="77777777" w:rsidR="008229A3" w:rsidRDefault="008229A3" w:rsidP="00F326E5">
      <w:pPr>
        <w:pStyle w:val="NoSpacing"/>
        <w:rPr>
          <w:rFonts w:ascii="Arial Black" w:hAnsi="Arial Black"/>
          <w:sz w:val="40"/>
          <w:szCs w:val="40"/>
        </w:rPr>
      </w:pPr>
    </w:p>
    <w:p w14:paraId="2E60C868" w14:textId="77777777" w:rsidR="008229A3" w:rsidRDefault="008229A3" w:rsidP="00F326E5">
      <w:pPr>
        <w:pStyle w:val="NoSpacing"/>
        <w:rPr>
          <w:rFonts w:ascii="Arial Black" w:hAnsi="Arial Black"/>
          <w:sz w:val="40"/>
          <w:szCs w:val="40"/>
        </w:rPr>
      </w:pPr>
    </w:p>
    <w:p w14:paraId="417B6D3D" w14:textId="77777777" w:rsidR="008229A3" w:rsidRDefault="008229A3" w:rsidP="00F326E5">
      <w:pPr>
        <w:pStyle w:val="NoSpacing"/>
        <w:rPr>
          <w:rFonts w:ascii="Arial Black" w:hAnsi="Arial Black"/>
          <w:sz w:val="40"/>
          <w:szCs w:val="40"/>
        </w:rPr>
      </w:pPr>
    </w:p>
    <w:p w14:paraId="0FF4E5A3" w14:textId="77777777" w:rsidR="008229A3" w:rsidRDefault="008229A3" w:rsidP="00F326E5">
      <w:pPr>
        <w:pStyle w:val="NoSpacing"/>
        <w:rPr>
          <w:rFonts w:ascii="Arial Black" w:hAnsi="Arial Black"/>
          <w:sz w:val="40"/>
          <w:szCs w:val="40"/>
        </w:rPr>
      </w:pPr>
    </w:p>
    <w:p w14:paraId="2821B778" w14:textId="77777777" w:rsidR="008229A3" w:rsidRDefault="008229A3" w:rsidP="00F326E5">
      <w:pPr>
        <w:pStyle w:val="NoSpacing"/>
        <w:rPr>
          <w:rFonts w:ascii="Arial Black" w:hAnsi="Arial Black"/>
          <w:sz w:val="40"/>
          <w:szCs w:val="40"/>
        </w:rPr>
      </w:pPr>
    </w:p>
    <w:p w14:paraId="74C54F0F" w14:textId="77777777" w:rsidR="008229A3" w:rsidRDefault="008229A3" w:rsidP="00F326E5">
      <w:pPr>
        <w:pStyle w:val="NoSpacing"/>
        <w:rPr>
          <w:rFonts w:ascii="Arial Black" w:hAnsi="Arial Black"/>
          <w:sz w:val="40"/>
          <w:szCs w:val="40"/>
        </w:rPr>
      </w:pPr>
    </w:p>
    <w:p w14:paraId="7CE6323E" w14:textId="77777777" w:rsidR="008229A3" w:rsidRDefault="008229A3" w:rsidP="00F326E5">
      <w:pPr>
        <w:pStyle w:val="NoSpacing"/>
        <w:rPr>
          <w:rFonts w:ascii="Arial Black" w:hAnsi="Arial Black"/>
          <w:sz w:val="40"/>
          <w:szCs w:val="40"/>
        </w:rPr>
      </w:pPr>
    </w:p>
    <w:p w14:paraId="140CE813" w14:textId="77777777" w:rsidR="008229A3" w:rsidRDefault="008229A3" w:rsidP="00F326E5">
      <w:pPr>
        <w:pStyle w:val="NoSpacing"/>
        <w:rPr>
          <w:rFonts w:ascii="Arial Black" w:hAnsi="Arial Black"/>
          <w:sz w:val="40"/>
          <w:szCs w:val="40"/>
        </w:rPr>
      </w:pPr>
    </w:p>
    <w:p w14:paraId="1D99EBE7" w14:textId="77777777" w:rsidR="008229A3" w:rsidRDefault="008229A3" w:rsidP="00F326E5">
      <w:pPr>
        <w:pStyle w:val="NoSpacing"/>
        <w:rPr>
          <w:rFonts w:ascii="Arial Black" w:hAnsi="Arial Black"/>
          <w:sz w:val="40"/>
          <w:szCs w:val="40"/>
        </w:rPr>
      </w:pPr>
    </w:p>
    <w:p w14:paraId="37CD374D" w14:textId="77777777" w:rsidR="008229A3" w:rsidRDefault="008229A3" w:rsidP="00F326E5">
      <w:pPr>
        <w:pStyle w:val="NoSpacing"/>
        <w:rPr>
          <w:rFonts w:ascii="Arial Black" w:hAnsi="Arial Black"/>
          <w:sz w:val="40"/>
          <w:szCs w:val="40"/>
        </w:rPr>
      </w:pPr>
    </w:p>
    <w:p w14:paraId="6D413A0D" w14:textId="77777777" w:rsidR="008229A3" w:rsidRDefault="008229A3" w:rsidP="00F326E5">
      <w:pPr>
        <w:pStyle w:val="NoSpacing"/>
        <w:rPr>
          <w:rFonts w:ascii="Arial Black" w:hAnsi="Arial Black"/>
          <w:sz w:val="40"/>
          <w:szCs w:val="40"/>
        </w:rPr>
      </w:pPr>
    </w:p>
    <w:p w14:paraId="59E6D40F" w14:textId="77777777" w:rsidR="008229A3" w:rsidRDefault="008229A3" w:rsidP="00F326E5">
      <w:pPr>
        <w:pStyle w:val="NoSpacing"/>
        <w:rPr>
          <w:rFonts w:ascii="Arial Black" w:hAnsi="Arial Black"/>
          <w:sz w:val="40"/>
          <w:szCs w:val="40"/>
        </w:rPr>
      </w:pPr>
    </w:p>
    <w:p w14:paraId="5AB6E9CB" w14:textId="77777777" w:rsidR="008229A3" w:rsidRDefault="008229A3" w:rsidP="00F326E5">
      <w:pPr>
        <w:pStyle w:val="NoSpacing"/>
        <w:rPr>
          <w:rFonts w:ascii="Arial Black" w:hAnsi="Arial Black"/>
          <w:sz w:val="40"/>
          <w:szCs w:val="40"/>
        </w:rPr>
      </w:pPr>
    </w:p>
    <w:p w14:paraId="03DA6A37" w14:textId="77777777" w:rsidR="008229A3" w:rsidRDefault="008229A3" w:rsidP="00F326E5">
      <w:pPr>
        <w:pStyle w:val="NoSpacing"/>
        <w:rPr>
          <w:rFonts w:ascii="Arial Black" w:hAnsi="Arial Black"/>
          <w:sz w:val="40"/>
          <w:szCs w:val="40"/>
        </w:rPr>
      </w:pPr>
    </w:p>
    <w:p w14:paraId="6AF718E6" w14:textId="77777777" w:rsidR="008229A3" w:rsidRDefault="008229A3" w:rsidP="00F326E5">
      <w:pPr>
        <w:pStyle w:val="NoSpacing"/>
        <w:rPr>
          <w:rFonts w:ascii="Arial Black" w:hAnsi="Arial Black"/>
          <w:sz w:val="40"/>
          <w:szCs w:val="40"/>
        </w:rPr>
      </w:pPr>
    </w:p>
    <w:p w14:paraId="48210B23" w14:textId="6D297840" w:rsidR="00F326E5" w:rsidRDefault="00F326E5" w:rsidP="00F326E5">
      <w:pPr>
        <w:pStyle w:val="NoSpacing"/>
        <w:rPr>
          <w:rFonts w:ascii="Arial Black" w:hAnsi="Arial Black"/>
          <w:sz w:val="40"/>
          <w:szCs w:val="40"/>
        </w:rPr>
      </w:pPr>
      <w:r w:rsidRPr="007732FA">
        <w:rPr>
          <w:rFonts w:ascii="Arial Black" w:hAnsi="Arial Black"/>
          <w:sz w:val="40"/>
          <w:szCs w:val="40"/>
        </w:rPr>
        <w:t>Chap. 2</w:t>
      </w:r>
      <w:r w:rsidRPr="007732FA">
        <w:rPr>
          <w:rFonts w:ascii="Arial Black" w:hAnsi="Arial Black"/>
          <w:sz w:val="40"/>
          <w:szCs w:val="40"/>
        </w:rPr>
        <w:tab/>
        <w:t xml:space="preserve">Line </w:t>
      </w:r>
      <w:proofErr w:type="gramStart"/>
      <w:r w:rsidRPr="007732FA">
        <w:rPr>
          <w:rFonts w:ascii="Arial Black" w:hAnsi="Arial Black"/>
          <w:sz w:val="40"/>
          <w:szCs w:val="40"/>
        </w:rPr>
        <w:t>Of</w:t>
      </w:r>
      <w:proofErr w:type="gramEnd"/>
      <w:r w:rsidRPr="007732FA">
        <w:rPr>
          <w:rFonts w:ascii="Arial Black" w:hAnsi="Arial Black"/>
          <w:sz w:val="40"/>
          <w:szCs w:val="40"/>
        </w:rPr>
        <w:t xml:space="preserve"> Duty Death</w:t>
      </w:r>
      <w:r w:rsidR="00636395">
        <w:rPr>
          <w:rFonts w:ascii="Arial Black" w:hAnsi="Arial Black"/>
          <w:sz w:val="40"/>
          <w:szCs w:val="40"/>
        </w:rPr>
        <w:t xml:space="preserve"> / </w:t>
      </w:r>
      <w:r w:rsidRPr="007732FA">
        <w:rPr>
          <w:rFonts w:ascii="Arial Black" w:hAnsi="Arial Black"/>
          <w:sz w:val="40"/>
          <w:szCs w:val="40"/>
        </w:rPr>
        <w:t>Safety</w:t>
      </w:r>
    </w:p>
    <w:p w14:paraId="4E5DB655" w14:textId="0D554EF9" w:rsidR="00C342C1" w:rsidRDefault="00F326E5" w:rsidP="00853142">
      <w:pPr>
        <w:rPr>
          <w:rFonts w:ascii="Times New Roman" w:hAnsi="Times New Roman"/>
          <w:sz w:val="24"/>
          <w:szCs w:val="24"/>
        </w:rPr>
      </w:pPr>
      <w:r>
        <w:rPr>
          <w:rFonts w:ascii="Times New Roman" w:hAnsi="Times New Roman"/>
          <w:sz w:val="24"/>
          <w:szCs w:val="24"/>
        </w:rPr>
        <w:t xml:space="preserve"> </w:t>
      </w:r>
      <w:bookmarkStart w:id="91" w:name="_Hlk7340594"/>
    </w:p>
    <w:p w14:paraId="42958980" w14:textId="5AEBC59F" w:rsidR="00816870" w:rsidRDefault="00816870" w:rsidP="00816870">
      <w:pPr>
        <w:rPr>
          <w:rFonts w:ascii="Arial Black" w:hAnsi="Arial Black"/>
          <w:sz w:val="28"/>
          <w:szCs w:val="28"/>
        </w:rPr>
      </w:pPr>
      <w:r>
        <w:rPr>
          <w:rFonts w:ascii="Arial Black" w:hAnsi="Arial Black"/>
          <w:sz w:val="24"/>
          <w:szCs w:val="24"/>
        </w:rPr>
        <w:t>2-110</w:t>
      </w:r>
    </w:p>
    <w:p w14:paraId="55718CA1" w14:textId="03CF4BA4" w:rsidR="00997F6F" w:rsidRPr="00ED3EF8" w:rsidRDefault="00997F6F" w:rsidP="00997F6F">
      <w:pPr>
        <w:pStyle w:val="NoSpacing"/>
        <w:rPr>
          <w:rFonts w:ascii="Arial Black" w:hAnsi="Arial Black"/>
          <w:sz w:val="28"/>
          <w:szCs w:val="28"/>
        </w:rPr>
      </w:pPr>
      <w:r>
        <w:rPr>
          <w:rFonts w:ascii="Arial Black" w:hAnsi="Arial Black"/>
          <w:sz w:val="28"/>
          <w:szCs w:val="28"/>
        </w:rPr>
        <w:t>IL: CATASTROPHIC INJURY – ADDED BENEFITS REMOVED</w:t>
      </w:r>
    </w:p>
    <w:p w14:paraId="002CEB03" w14:textId="77777777" w:rsidR="00997F6F" w:rsidRDefault="00997F6F" w:rsidP="00997F6F">
      <w:pPr>
        <w:pStyle w:val="NoSpacing"/>
      </w:pPr>
    </w:p>
    <w:p w14:paraId="5640827E" w14:textId="77777777" w:rsidR="00997F6F" w:rsidRDefault="00997F6F" w:rsidP="00997F6F">
      <w:pPr>
        <w:pStyle w:val="NoSpacing"/>
      </w:pPr>
      <w:r>
        <w:t xml:space="preserve">On May 1, 2026, in </w:t>
      </w:r>
      <w:r w:rsidRPr="00B944BC">
        <w:rPr>
          <w:u w:val="single"/>
        </w:rPr>
        <w:t>Benjamin Carter v. Fox Lake Fire Protection District</w:t>
      </w:r>
      <w:r>
        <w:t xml:space="preserve">, the </w:t>
      </w:r>
      <w:r w:rsidRPr="00653FCF">
        <w:t>Court of Appeals of Illinois, Second District</w:t>
      </w:r>
      <w:r>
        <w:t xml:space="preserve"> held (3 to 0) that trial court properly held that while state’s </w:t>
      </w:r>
      <w:r w:rsidRPr="00CA16B0">
        <w:t>Public Safety Employee Benefits Act</w:t>
      </w:r>
      <w:r>
        <w:t xml:space="preserve"> required FD to pay premiums for health insurance for his lifetime, the FD can remove “supplemental benefits” offered to him (and all current firefighters) for past six years - vision, dental, and life insurance, and the HRA benefit [Health Reimbursement Arrangement plan] to help pay the high medical expense deductibles and co-pays under the Blue Cross / Blue Shield.  </w:t>
      </w:r>
      <w:hyperlink r:id="rId369" w:history="1">
        <w:r w:rsidRPr="00EF04F6">
          <w:rPr>
            <w:rStyle w:val="Hyperlink"/>
          </w:rPr>
          <w:t>https://ilcourtsaudio.blob.core.windows.net/antilles-resources/resources/865bbd6b-111a-42c0-93b7-0362e44b14c7/Carter%20v.%20Fox%20Lake%20Fire%20Protection%20District%202026%20IL%20App%20(2d)%20250374.pdf</w:t>
        </w:r>
      </w:hyperlink>
      <w:r>
        <w:t xml:space="preserve"> </w:t>
      </w:r>
    </w:p>
    <w:p w14:paraId="03DB02A8" w14:textId="77777777" w:rsidR="00997F6F" w:rsidRDefault="00997F6F" w:rsidP="00997F6F">
      <w:pPr>
        <w:pStyle w:val="NoSpacing"/>
      </w:pPr>
    </w:p>
    <w:p w14:paraId="04019198" w14:textId="77777777" w:rsidR="00997F6F" w:rsidRDefault="00997F6F" w:rsidP="00997F6F">
      <w:pPr>
        <w:pStyle w:val="NoSpacing"/>
      </w:pPr>
      <w:r>
        <w:t>THE COURT HELD:</w:t>
      </w:r>
    </w:p>
    <w:p w14:paraId="4B3B2E4A" w14:textId="77777777" w:rsidR="00997F6F" w:rsidRDefault="00997F6F" w:rsidP="00997F6F">
      <w:pPr>
        <w:pStyle w:val="NoSpacing"/>
      </w:pPr>
    </w:p>
    <w:p w14:paraId="386B9DF5" w14:textId="77777777" w:rsidR="00997F6F" w:rsidRDefault="00997F6F" w:rsidP="00997F6F">
      <w:pPr>
        <w:pStyle w:val="NoSpacing"/>
        <w:ind w:left="720"/>
      </w:pPr>
      <w:r>
        <w:t>“Carter was a firefighter with the District from March 16, 2012, until August 9, 2017. On</w:t>
      </w:r>
    </w:p>
    <w:p w14:paraId="13978803" w14:textId="77777777" w:rsidR="00997F6F" w:rsidRDefault="00997F6F" w:rsidP="00997F6F">
      <w:pPr>
        <w:pStyle w:val="NoSpacing"/>
        <w:ind w:left="720"/>
      </w:pPr>
      <w:r>
        <w:t xml:space="preserve">October 20, 2014, he suffered a catastrophic injury while responding to a motor vehicle crash. On August 9, 2017, Carter was awarded a duty-related disability pension. Further, under section 10 of </w:t>
      </w:r>
      <w:proofErr w:type="spellStart"/>
      <w:proofErr w:type="gramStart"/>
      <w:r>
        <w:t>he</w:t>
      </w:r>
      <w:proofErr w:type="spellEnd"/>
      <w:proofErr w:type="gramEnd"/>
      <w:r>
        <w:t xml:space="preserve"> Public Safety Employee Benefits Act (Benefits Act) (820 ILCS 320/10 (West 2016)), Carter became entitled to receive certain health insurance benefits for the remainder of his life at no cost.</w:t>
      </w:r>
    </w:p>
    <w:p w14:paraId="3749A3EC" w14:textId="77777777" w:rsidR="00997F6F" w:rsidRDefault="00997F6F" w:rsidP="00997F6F">
      <w:pPr>
        <w:pStyle w:val="NoSpacing"/>
        <w:ind w:left="720"/>
      </w:pPr>
    </w:p>
    <w:p w14:paraId="1F225D7E" w14:textId="77777777" w:rsidR="00997F6F" w:rsidRDefault="00997F6F" w:rsidP="00997F6F">
      <w:pPr>
        <w:pStyle w:val="NoSpacing"/>
        <w:ind w:left="720"/>
      </w:pPr>
      <w:r>
        <w:t xml:space="preserve">Since 2012, the </w:t>
      </w:r>
      <w:proofErr w:type="gramStart"/>
      <w:r>
        <w:t>District</w:t>
      </w:r>
      <w:proofErr w:type="gramEnd"/>
      <w:r>
        <w:t xml:space="preserve"> had provided all its employees with a high-deductible group health insurance plan through Blue Cross/Blue Shield. The </w:t>
      </w:r>
      <w:proofErr w:type="gramStart"/>
      <w:r>
        <w:t>District</w:t>
      </w:r>
      <w:proofErr w:type="gramEnd"/>
      <w:r>
        <w:t xml:space="preserve"> also provided all its active members with a Health Reimbursement Arrangement plan (HRA), through Employment Benefits Corporation (EBC), to help pay the high medical expense deductibles and co-pays under the Blue Cross/Blue Shield plan. The HRA benefit was provided in the form of a debit card funded by the </w:t>
      </w:r>
      <w:proofErr w:type="gramStart"/>
      <w:r>
        <w:t>District</w:t>
      </w:r>
      <w:proofErr w:type="gramEnd"/>
      <w:r>
        <w:t xml:space="preserve"> that employees could use to pay non-covered medical expenses.</w:t>
      </w:r>
    </w:p>
    <w:p w14:paraId="04696C90" w14:textId="77777777" w:rsidR="00997F6F" w:rsidRDefault="00997F6F" w:rsidP="00997F6F">
      <w:pPr>
        <w:pStyle w:val="NoSpacing"/>
        <w:ind w:left="720"/>
      </w:pPr>
    </w:p>
    <w:p w14:paraId="5B769638" w14:textId="77777777" w:rsidR="00997F6F" w:rsidRDefault="00997F6F" w:rsidP="00997F6F">
      <w:pPr>
        <w:pStyle w:val="NoSpacing"/>
        <w:ind w:left="720"/>
      </w:pPr>
      <w:r>
        <w:t>***</w:t>
      </w:r>
    </w:p>
    <w:p w14:paraId="6F6DCE3D" w14:textId="77777777" w:rsidR="00997F6F" w:rsidRDefault="00997F6F" w:rsidP="00997F6F">
      <w:pPr>
        <w:pStyle w:val="NoSpacing"/>
        <w:ind w:left="720"/>
      </w:pPr>
      <w:r>
        <w:t xml:space="preserve">From August 2017 through December 31, 2023, the District continued to provide the same benefits to Carter that it provided to its active employees. That is, the </w:t>
      </w:r>
      <w:proofErr w:type="gramStart"/>
      <w:r>
        <w:t>District</w:t>
      </w:r>
      <w:proofErr w:type="gramEnd"/>
      <w:r>
        <w:t xml:space="preserve"> paid the premium for Carter’s coverage in the Blue Cross/Blue Shield group health insurance plan and provided Carter with the HRA benefit. The </w:t>
      </w:r>
      <w:proofErr w:type="gramStart"/>
      <w:r>
        <w:t>District</w:t>
      </w:r>
      <w:proofErr w:type="gramEnd"/>
      <w:r>
        <w:t xml:space="preserve"> also provided Carter with vision, dental, and life insurance.</w:t>
      </w:r>
    </w:p>
    <w:p w14:paraId="628DE994" w14:textId="77777777" w:rsidR="00997F6F" w:rsidRDefault="00997F6F" w:rsidP="00997F6F">
      <w:pPr>
        <w:pStyle w:val="NoSpacing"/>
        <w:ind w:left="720"/>
      </w:pPr>
    </w:p>
    <w:p w14:paraId="7946B07F" w14:textId="77777777" w:rsidR="00997F6F" w:rsidRDefault="00997F6F" w:rsidP="00997F6F">
      <w:pPr>
        <w:pStyle w:val="NoSpacing"/>
        <w:ind w:left="720"/>
      </w:pPr>
      <w:r>
        <w:t>On September 28, 2023, the District notified Carter that it had determined that he was</w:t>
      </w:r>
    </w:p>
    <w:p w14:paraId="27EE0142" w14:textId="77777777" w:rsidR="00997F6F" w:rsidRDefault="00997F6F" w:rsidP="00997F6F">
      <w:pPr>
        <w:pStyle w:val="NoSpacing"/>
        <w:ind w:left="720"/>
      </w:pPr>
      <w:r>
        <w:t xml:space="preserve">receiving benefits beyond those he was entitled to receive under the Benefits Act. Specifically, the District informed Carter that he was not entitled to receive vision, dental, or life insurance or any HRA benefits. The </w:t>
      </w:r>
      <w:proofErr w:type="gramStart"/>
      <w:r>
        <w:t>District</w:t>
      </w:r>
      <w:proofErr w:type="gramEnd"/>
      <w:r>
        <w:t xml:space="preserve"> indicated that those benefits would cease on January 1, 2024.</w:t>
      </w:r>
    </w:p>
    <w:p w14:paraId="70B30409" w14:textId="77777777" w:rsidR="00997F6F" w:rsidRDefault="00997F6F" w:rsidP="00997F6F">
      <w:pPr>
        <w:pStyle w:val="NoSpacing"/>
        <w:ind w:left="720"/>
      </w:pPr>
    </w:p>
    <w:p w14:paraId="1EAEBCEA" w14:textId="77777777" w:rsidR="00997F6F" w:rsidRDefault="00997F6F" w:rsidP="00997F6F">
      <w:pPr>
        <w:pStyle w:val="NoSpacing"/>
        <w:ind w:left="720"/>
      </w:pPr>
      <w:r>
        <w:t>***</w:t>
      </w:r>
    </w:p>
    <w:p w14:paraId="3092295C" w14:textId="77777777" w:rsidR="00997F6F" w:rsidRDefault="00997F6F" w:rsidP="00997F6F">
      <w:pPr>
        <w:pStyle w:val="NoSpacing"/>
        <w:ind w:left="720"/>
      </w:pPr>
      <w:r>
        <w:t xml:space="preserve">The language of the Benefits Act is clear— the </w:t>
      </w:r>
      <w:proofErr w:type="gramStart"/>
      <w:r>
        <w:t>District</w:t>
      </w:r>
      <w:proofErr w:type="gramEnd"/>
      <w:r>
        <w:t xml:space="preserve"> must continue to provide its injured employees with health insurance coverage by paying the entire premium associated with its health insurance plan…. The Benefits Act also plainly states </w:t>
      </w:r>
      <w:proofErr w:type="gramStart"/>
      <w:r>
        <w:t>that ‘[t]</w:t>
      </w:r>
      <w:proofErr w:type="gramEnd"/>
      <w:r>
        <w:t xml:space="preserve">he term ‘health insurance plan’ does not include supplemental benefits that are not part of the basic group health insurance </w:t>
      </w:r>
      <w:proofErr w:type="gramStart"/>
      <w:r>
        <w:t>plan.’</w:t>
      </w:r>
      <w:proofErr w:type="gramEnd"/>
      <w:r>
        <w:t xml:space="preserve"> … There is no indication in the </w:t>
      </w:r>
      <w:proofErr w:type="gramStart"/>
      <w:r>
        <w:t>District’s</w:t>
      </w:r>
      <w:proofErr w:type="gramEnd"/>
      <w:r>
        <w:t xml:space="preserve"> health insurance plan that HRA benefits are part of this plan. Thus, HRA benefits are supplemental benefits that are not mandated by the Benefits Act.”</w:t>
      </w:r>
    </w:p>
    <w:p w14:paraId="72498BC8" w14:textId="77777777" w:rsidR="00997F6F" w:rsidRDefault="00997F6F" w:rsidP="00997F6F">
      <w:pPr>
        <w:pStyle w:val="NoSpacing"/>
        <w:ind w:left="720"/>
      </w:pPr>
    </w:p>
    <w:p w14:paraId="0A845DF0" w14:textId="77777777" w:rsidR="00997F6F" w:rsidRPr="00C46E56" w:rsidRDefault="00997F6F" w:rsidP="00997F6F">
      <w:pPr>
        <w:rPr>
          <w:b/>
          <w:bCs/>
        </w:rPr>
      </w:pPr>
      <w:r>
        <w:rPr>
          <w:b/>
        </w:rPr>
        <w:lastRenderedPageBreak/>
        <w:t xml:space="preserve">Legal lesson learned:  The statute needs to be amended; hard to understand why the Fire District removed benefits they were proving to an injured firefighter for six years.  </w:t>
      </w:r>
    </w:p>
    <w:p w14:paraId="1314716B" w14:textId="77777777" w:rsidR="00997F6F" w:rsidRDefault="00997F6F" w:rsidP="00997F6F">
      <w:pPr>
        <w:pStyle w:val="NoSpacing"/>
      </w:pPr>
      <w:r>
        <w:tab/>
        <w:t xml:space="preserve">Note: See benefits </w:t>
      </w:r>
    </w:p>
    <w:p w14:paraId="124FD650" w14:textId="77777777" w:rsidR="00997F6F" w:rsidRDefault="00997F6F" w:rsidP="00997F6F">
      <w:pPr>
        <w:pStyle w:val="NoSpacing"/>
      </w:pPr>
    </w:p>
    <w:p w14:paraId="1BDD76A2" w14:textId="77777777" w:rsidR="00997F6F" w:rsidRDefault="00997F6F" w:rsidP="00997F6F">
      <w:pPr>
        <w:pStyle w:val="NoSpacing"/>
        <w:ind w:firstLine="720"/>
      </w:pPr>
      <w:r>
        <w:t xml:space="preserve">Section 10(a) of </w:t>
      </w:r>
      <w:r w:rsidRPr="00CA16B0">
        <w:t>Public Safety Employee Benefits Act</w:t>
      </w:r>
      <w:r>
        <w:t>:</w:t>
      </w:r>
    </w:p>
    <w:p w14:paraId="1A1CE7D7" w14:textId="77777777" w:rsidR="00997F6F" w:rsidRDefault="00997F6F" w:rsidP="00997F6F">
      <w:pPr>
        <w:pStyle w:val="NoSpacing"/>
        <w:ind w:firstLine="720"/>
      </w:pPr>
      <w:r>
        <w:t xml:space="preserve">(a) An employer who employs </w:t>
      </w:r>
      <w:proofErr w:type="gramStart"/>
      <w:r>
        <w:t>a full</w:t>
      </w:r>
      <w:proofErr w:type="gramEnd"/>
      <w:r>
        <w:t>-time law enforcement, correctional or</w:t>
      </w:r>
    </w:p>
    <w:p w14:paraId="61F6E56A" w14:textId="77777777" w:rsidR="00997F6F" w:rsidRDefault="00997F6F" w:rsidP="00997F6F">
      <w:pPr>
        <w:pStyle w:val="NoSpacing"/>
        <w:ind w:firstLine="720"/>
      </w:pPr>
      <w:r>
        <w:t>correctional probation officer, or firefighter, who, on or after the effective date of this Act</w:t>
      </w:r>
    </w:p>
    <w:p w14:paraId="57CC0A31" w14:textId="77777777" w:rsidR="00997F6F" w:rsidRDefault="00997F6F" w:rsidP="00997F6F">
      <w:pPr>
        <w:pStyle w:val="NoSpacing"/>
        <w:ind w:firstLine="720"/>
      </w:pPr>
      <w:r>
        <w:t>suffers a catastrophic injury or is killed in the line of duty shall pay the entire premium of</w:t>
      </w:r>
    </w:p>
    <w:p w14:paraId="49AFEF37" w14:textId="77777777" w:rsidR="00997F6F" w:rsidRDefault="00997F6F" w:rsidP="00997F6F">
      <w:pPr>
        <w:pStyle w:val="NoSpacing"/>
        <w:ind w:firstLine="720"/>
      </w:pPr>
      <w:r>
        <w:t>the employer’s health insurance plan for the injured employee, the injured employee’s</w:t>
      </w:r>
    </w:p>
    <w:p w14:paraId="7D78DCA8" w14:textId="77777777" w:rsidR="00997F6F" w:rsidRDefault="00997F6F" w:rsidP="00997F6F">
      <w:pPr>
        <w:pStyle w:val="NoSpacing"/>
        <w:ind w:firstLine="720"/>
      </w:pPr>
      <w:r>
        <w:t>spouse, and for each dependent child of the injured employee until the child reaches the</w:t>
      </w:r>
    </w:p>
    <w:p w14:paraId="20B60468" w14:textId="77777777" w:rsidR="00997F6F" w:rsidRDefault="00997F6F" w:rsidP="00997F6F">
      <w:pPr>
        <w:pStyle w:val="NoSpacing"/>
        <w:ind w:firstLine="720"/>
      </w:pPr>
      <w:r>
        <w:t>age of majority or until the end of the calendar year in which the child reaches the age of</w:t>
      </w:r>
    </w:p>
    <w:p w14:paraId="01D3C880" w14:textId="77777777" w:rsidR="00997F6F" w:rsidRDefault="00997F6F" w:rsidP="00997F6F">
      <w:pPr>
        <w:pStyle w:val="NoSpacing"/>
        <w:ind w:left="720"/>
      </w:pPr>
      <w:r>
        <w:t xml:space="preserve">25 if the child continues to be dependent </w:t>
      </w:r>
      <w:proofErr w:type="gramStart"/>
      <w:r>
        <w:t>for</w:t>
      </w:r>
      <w:proofErr w:type="gramEnd"/>
      <w:r>
        <w:t xml:space="preserve"> support or the child is a full-time or part-time student and is dependent </w:t>
      </w:r>
      <w:proofErr w:type="gramStart"/>
      <w:r>
        <w:t>for</w:t>
      </w:r>
      <w:proofErr w:type="gramEnd"/>
      <w:r>
        <w:t xml:space="preserve"> support. The term “health insurance plan” does not include supplemental benefits that are not part of the basic group health insurance plan. If the injured employee subsequently dies, the employer shall continue to pay the entire health insurance premium for the surviving spouse until remarried and for the dependent children under the conditions established in this Section. (Emphases added.) 820 ILCS </w:t>
      </w:r>
      <w:r w:rsidRPr="008F024B">
        <w:t>320/10(a) (West 2016).</w:t>
      </w:r>
    </w:p>
    <w:p w14:paraId="34BF8B40" w14:textId="77777777" w:rsidR="00997F6F" w:rsidRDefault="00997F6F" w:rsidP="00997F6F">
      <w:pPr>
        <w:pStyle w:val="NoSpacing"/>
      </w:pPr>
    </w:p>
    <w:p w14:paraId="1E845C54" w14:textId="77777777" w:rsidR="00816870" w:rsidRDefault="00816870" w:rsidP="00816870">
      <w:pPr>
        <w:rPr>
          <w:rFonts w:ascii="Arial Black" w:hAnsi="Arial Black"/>
          <w:sz w:val="24"/>
          <w:szCs w:val="24"/>
        </w:rPr>
      </w:pPr>
    </w:p>
    <w:p w14:paraId="4401F132" w14:textId="78C451D5" w:rsidR="00816870" w:rsidRDefault="00816870" w:rsidP="00816870">
      <w:pPr>
        <w:rPr>
          <w:rFonts w:ascii="Arial Black" w:hAnsi="Arial Black"/>
          <w:sz w:val="24"/>
          <w:szCs w:val="24"/>
        </w:rPr>
      </w:pPr>
      <w:r>
        <w:rPr>
          <w:rFonts w:ascii="Arial Black" w:hAnsi="Arial Black"/>
          <w:sz w:val="24"/>
          <w:szCs w:val="24"/>
        </w:rPr>
        <w:t>2-109</w:t>
      </w:r>
    </w:p>
    <w:p w14:paraId="24261033" w14:textId="77777777" w:rsidR="006801BF" w:rsidRPr="00395AD6" w:rsidRDefault="006801BF" w:rsidP="006801BF">
      <w:pPr>
        <w:pStyle w:val="NoSpacing"/>
        <w:rPr>
          <w:rFonts w:ascii="Arial Black" w:hAnsi="Arial Black"/>
          <w:bCs/>
          <w:sz w:val="28"/>
          <w:szCs w:val="28"/>
        </w:rPr>
      </w:pPr>
      <w:r>
        <w:rPr>
          <w:rFonts w:ascii="Arial Black" w:hAnsi="Arial Black"/>
          <w:sz w:val="28"/>
          <w:szCs w:val="28"/>
        </w:rPr>
        <w:t>NY: LODD – NUSING HOME – PRIOR INSPECTIONS RPTS</w:t>
      </w:r>
    </w:p>
    <w:p w14:paraId="63483D6F" w14:textId="77777777" w:rsidR="006801BF" w:rsidRDefault="006801BF" w:rsidP="006801BF">
      <w:pPr>
        <w:pStyle w:val="NoSpacing"/>
        <w:rPr>
          <w:bCs/>
        </w:rPr>
      </w:pPr>
    </w:p>
    <w:p w14:paraId="6569B20D" w14:textId="77777777" w:rsidR="006801BF" w:rsidRDefault="006801BF" w:rsidP="006801BF">
      <w:pPr>
        <w:pStyle w:val="NoSpacing"/>
      </w:pPr>
      <w:r>
        <w:t xml:space="preserve">On April 22, 2026, in </w:t>
      </w:r>
      <w:proofErr w:type="spellStart"/>
      <w:r w:rsidRPr="00CB7B90">
        <w:rPr>
          <w:u w:val="single"/>
        </w:rPr>
        <w:t>Sabrail</w:t>
      </w:r>
      <w:proofErr w:type="spellEnd"/>
      <w:r w:rsidRPr="00CB7B90">
        <w:rPr>
          <w:u w:val="single"/>
        </w:rPr>
        <w:t xml:space="preserve"> Davenport, as Administrator of the Estate of Jared Calvin Lloyd v. Evergreen Court Home for Adults SP LLC, et al</w:t>
      </w:r>
      <w:r w:rsidRPr="002943E4">
        <w:t xml:space="preserve">., </w:t>
      </w:r>
      <w:r>
        <w:t xml:space="preserve">Judge </w:t>
      </w:r>
      <w:r w:rsidRPr="00220073">
        <w:t>John P. Collins, Jr.</w:t>
      </w:r>
      <w:r>
        <w:t xml:space="preserve">, </w:t>
      </w:r>
      <w:r w:rsidRPr="00AD4E97">
        <w:t>Supreme Court, Rockland County</w:t>
      </w:r>
      <w:r>
        <w:t xml:space="preserve">, quashed subpoenas by the firefighters’ family that seek a Wisconsin based  commercial insurance company’s post-fire claims files which include privileged information, but may issue a “narrowly tailed subpoena” concerning pre-loss inspection reports by the insurance company.  </w:t>
      </w:r>
      <w:r w:rsidRPr="00DB3494">
        <w:t> </w:t>
      </w:r>
      <w:r>
        <w:t>“</w:t>
      </w:r>
      <w:r w:rsidRPr="00DB3494">
        <w:t>A liability insurer's claim file, created in connection with its defense of third-party claims against its insured, is conditionally immune from disclosure as material prepared in anticipation of litigation.</w:t>
      </w:r>
      <w:r>
        <w:t xml:space="preserve">” Firefighter Jared Calvin Lloyd was killed on March 23, </w:t>
      </w:r>
      <w:proofErr w:type="gramStart"/>
      <w:r>
        <w:t>2021</w:t>
      </w:r>
      <w:proofErr w:type="gramEnd"/>
      <w:r>
        <w:t xml:space="preserve"> structure fire at </w:t>
      </w:r>
      <w:r w:rsidRPr="001C5294">
        <w:t>Evergreen Home for Adults</w:t>
      </w:r>
      <w:r>
        <w:t xml:space="preserve"> when a rabbi and his son used a blowtorch for a </w:t>
      </w:r>
      <w:r w:rsidRPr="00B62261">
        <w:t>pre-Passover cleaning process</w:t>
      </w:r>
      <w:r>
        <w:t xml:space="preserve">. </w:t>
      </w:r>
      <w:hyperlink r:id="rId370" w:history="1">
        <w:r w:rsidRPr="00ED3F08">
          <w:rPr>
            <w:rStyle w:val="Hyperlink"/>
          </w:rPr>
          <w:t>https://public.fastcase.com/Jhe1Qn%2BmJndQYQU6z%2FeNm1Wc0BhwXqbgUcnfM0G%2F8LGBWKhbC8yUkIyVwLGd8HWj?utm_medium=email&amp;_hsenc=p2ANqtz-85mlG7bjjwBnXQBs8DYGyySvCPBDEvbYyrF7EMhR5VCH2hTuoCLWnOKD3mejXOTkKYawSsNFXD_QLidauQN_0-kPfmHA&amp;_hsmi=226712652&amp;utm_content=226712652&amp;utm_source=hs_email</w:t>
        </w:r>
      </w:hyperlink>
      <w:r>
        <w:t xml:space="preserve"> </w:t>
      </w:r>
    </w:p>
    <w:p w14:paraId="22E077B0" w14:textId="77777777" w:rsidR="006801BF" w:rsidRDefault="006801BF" w:rsidP="006801BF">
      <w:pPr>
        <w:pStyle w:val="NoSpacing"/>
      </w:pPr>
    </w:p>
    <w:p w14:paraId="185C620C" w14:textId="77777777" w:rsidR="006801BF" w:rsidRDefault="006801BF" w:rsidP="006801BF">
      <w:pPr>
        <w:pStyle w:val="NoSpacing"/>
        <w:rPr>
          <w:bCs/>
        </w:rPr>
      </w:pPr>
      <w:r>
        <w:t xml:space="preserve">THE COURT HELD: </w:t>
      </w:r>
    </w:p>
    <w:p w14:paraId="2B2A284C" w14:textId="77777777" w:rsidR="006801BF" w:rsidRDefault="006801BF" w:rsidP="006801BF">
      <w:pPr>
        <w:pStyle w:val="NoSpacing"/>
        <w:rPr>
          <w:bCs/>
        </w:rPr>
      </w:pPr>
    </w:p>
    <w:p w14:paraId="0B58BF75" w14:textId="77777777" w:rsidR="006801BF" w:rsidRDefault="006801BF" w:rsidP="006801BF">
      <w:pPr>
        <w:pStyle w:val="NoSpacing"/>
        <w:ind w:left="720"/>
      </w:pPr>
      <w:r>
        <w:t xml:space="preserve">“[The Court held that family may now issue] “narrowly tailored subpoena … </w:t>
      </w:r>
      <w:r w:rsidRPr="00D83B5B">
        <w:t>seeking specifically: (</w:t>
      </w:r>
      <w:proofErr w:type="spellStart"/>
      <w:r w:rsidRPr="00D83B5B">
        <w:t>i</w:t>
      </w:r>
      <w:proofErr w:type="spellEnd"/>
      <w:r w:rsidRPr="00D83B5B">
        <w:t xml:space="preserve">) any pre-loss inspection reports, hazard assessment reports or written communications between Church Mutual </w:t>
      </w:r>
      <w:r>
        <w:t xml:space="preserve">[insurance company] </w:t>
      </w:r>
      <w:r w:rsidRPr="00D83B5B">
        <w:t>and the insured concerning the physical condition of the premises at 65 Lafayette Street, Spring Valley, New York, generated in connection with the underwriting or renewal of any policy covering those premises; and (ii) any written requirements or recommendations made by Church Mutual to the insured concerning fire safety, building conditions or hazard remediation at the premises.</w:t>
      </w:r>
    </w:p>
    <w:p w14:paraId="66B5A8CB" w14:textId="77777777" w:rsidR="006801BF" w:rsidRDefault="006801BF" w:rsidP="006801BF">
      <w:pPr>
        <w:pStyle w:val="NoSpacing"/>
        <w:ind w:left="720"/>
      </w:pPr>
    </w:p>
    <w:p w14:paraId="621963E9" w14:textId="77777777" w:rsidR="006801BF" w:rsidRDefault="006801BF" w:rsidP="006801BF">
      <w:pPr>
        <w:pStyle w:val="NoSpacing"/>
        <w:ind w:left="720"/>
      </w:pPr>
      <w:r>
        <w:t>***</w:t>
      </w:r>
    </w:p>
    <w:p w14:paraId="031ADEA1" w14:textId="77777777" w:rsidR="006801BF" w:rsidRDefault="006801BF" w:rsidP="006801BF">
      <w:pPr>
        <w:pStyle w:val="NoSpacing"/>
        <w:ind w:left="720"/>
      </w:pPr>
    </w:p>
    <w:p w14:paraId="38DB7911" w14:textId="77777777" w:rsidR="006801BF" w:rsidRDefault="006801BF" w:rsidP="006801BF">
      <w:pPr>
        <w:pStyle w:val="NoSpacing"/>
        <w:ind w:left="720"/>
      </w:pPr>
      <w:r w:rsidRPr="001C5294">
        <w:t xml:space="preserve">This is a wrongful death and conscious pain and suffering action arising from a catastrophic fire on March 22-23, 2021, at the Evergreen Court Home for Adults, located at 65 Lafayette Street, Village of Spring Valley, Rockland County. Plaintiff decedent, Jared Calvin Lloyd, was a volunteer firefighter with the Spring Valley Fire Department </w:t>
      </w:r>
      <w:r w:rsidRPr="001C5294">
        <w:lastRenderedPageBreak/>
        <w:t>who was killed when he became trapped inside the burning building, which ultimately collapsed. A resident of Evergreen Home for Adults, Oliver Hueston, also perished in the fire. The premises were owned by defendant SPJJ LLC and operated by defendant Evergreen Court Home for Adults SP LLC. Church Mutual Insurance Company, S.I</w:t>
      </w:r>
      <w:proofErr w:type="gramStart"/>
      <w:r w:rsidRPr="001C5294">
        <w:t>. (</w:t>
      </w:r>
      <w:r>
        <w:t>‘</w:t>
      </w:r>
      <w:proofErr w:type="gramEnd"/>
      <w:r w:rsidRPr="001C5294">
        <w:t>Church Mutual</w:t>
      </w:r>
      <w:r>
        <w:t>’</w:t>
      </w:r>
      <w:r w:rsidRPr="001C5294">
        <w:t>) is a Wisconsin-based commercial insurer that issued liability and property insurance policies to the facility.</w:t>
      </w:r>
    </w:p>
    <w:p w14:paraId="56C04BF5" w14:textId="77777777" w:rsidR="006801BF" w:rsidRDefault="006801BF" w:rsidP="006801BF">
      <w:pPr>
        <w:pStyle w:val="NoSpacing"/>
      </w:pPr>
    </w:p>
    <w:p w14:paraId="2A2ECB20" w14:textId="77777777" w:rsidR="006801BF" w:rsidRDefault="006801BF" w:rsidP="006801BF">
      <w:pPr>
        <w:pStyle w:val="NoSpacing"/>
        <w:ind w:left="720"/>
      </w:pPr>
      <w:r w:rsidRPr="00BA6DCB">
        <w:t>The fire prompted investigations by at least five governmental agencies, including the New York State Department of Public Service (</w:t>
      </w:r>
      <w:r>
        <w:t>‘</w:t>
      </w:r>
      <w:r w:rsidRPr="00BA6DCB">
        <w:t>DPS</w:t>
      </w:r>
      <w:r>
        <w:t>’</w:t>
      </w:r>
      <w:r w:rsidRPr="00BA6DCB">
        <w:t>), the New York State Office of Fire Prevention and Control (</w:t>
      </w:r>
      <w:r>
        <w:t>‘</w:t>
      </w:r>
      <w:r w:rsidRPr="00BA6DCB">
        <w:t>OFPC</w:t>
      </w:r>
      <w:r>
        <w:t>’</w:t>
      </w:r>
      <w:r w:rsidRPr="00BA6DCB">
        <w:t>), the Rockland County Sheriff's Office, the Spring Valley Police Department, and the United States Bureau of Alcohol, Tobacco, Firearms and Explosives (</w:t>
      </w:r>
      <w:r>
        <w:t>‘</w:t>
      </w:r>
      <w:r w:rsidRPr="00BA6DCB">
        <w:t>ATF</w:t>
      </w:r>
      <w:r>
        <w:t>’</w:t>
      </w:r>
      <w:r w:rsidRPr="00BA6DCB">
        <w:t>). Criminal charges were brought against certain defendants and ultimately resolved by plea agreement.</w:t>
      </w:r>
    </w:p>
    <w:p w14:paraId="60334B49" w14:textId="77777777" w:rsidR="006801BF" w:rsidRDefault="006801BF" w:rsidP="006801BF">
      <w:pPr>
        <w:pStyle w:val="NoSpacing"/>
        <w:ind w:left="720"/>
      </w:pPr>
    </w:p>
    <w:p w14:paraId="2ADC265B" w14:textId="77777777" w:rsidR="006801BF" w:rsidRDefault="006801BF" w:rsidP="006801BF">
      <w:pPr>
        <w:pStyle w:val="NoSpacing"/>
        <w:ind w:left="720"/>
      </w:pPr>
      <w:r>
        <w:t>***</w:t>
      </w:r>
    </w:p>
    <w:p w14:paraId="5AB84E0B" w14:textId="77777777" w:rsidR="006801BF" w:rsidRDefault="006801BF" w:rsidP="006801BF">
      <w:pPr>
        <w:pStyle w:val="NoSpacing"/>
        <w:ind w:left="720"/>
      </w:pPr>
    </w:p>
    <w:p w14:paraId="6B96E5CB" w14:textId="77777777" w:rsidR="006801BF" w:rsidRDefault="006801BF" w:rsidP="006801BF">
      <w:pPr>
        <w:pStyle w:val="NoSpacing"/>
        <w:ind w:left="720"/>
      </w:pPr>
      <w:r w:rsidRPr="00E635C4">
        <w:t>Defense counsel documented that, in 3.7 hours of standard internet research, he was able to locate and download the complete 117-page DPS report, the 12-page OFPC report (originally submitted to the District Attorney with a non-disclosure request), and a 202-page criminal omnibus motion containing color photographs, a detailed kitchen blueprint, the complete 44 Control call detail report and a 19-page expert fire analysis report prepared by John Lentini of Scientific Fire Analysis, LLC. Five governmental agencies participated in the on-site investigation; the identities of whose investigators are specifically named in the record. With all criminal proceedings resolved, FOIL requests will yield the complete investigative record compiled by public agencies with unlimited access to the scene. Plaintiff has not rebutted this showing in any meaningful way.</w:t>
      </w:r>
      <w:r>
        <w:t>”</w:t>
      </w:r>
    </w:p>
    <w:p w14:paraId="16FA88DF" w14:textId="77777777" w:rsidR="006801BF" w:rsidRDefault="006801BF" w:rsidP="006801BF">
      <w:pPr>
        <w:pStyle w:val="NoSpacing"/>
        <w:ind w:left="720"/>
      </w:pPr>
    </w:p>
    <w:p w14:paraId="24618AAF" w14:textId="77777777" w:rsidR="006801BF" w:rsidRPr="00E635C4" w:rsidRDefault="006801BF" w:rsidP="006801BF">
      <w:pPr>
        <w:pStyle w:val="NoSpacing"/>
        <w:rPr>
          <w:b/>
          <w:bCs/>
        </w:rPr>
      </w:pPr>
      <w:r>
        <w:rPr>
          <w:b/>
        </w:rPr>
        <w:t xml:space="preserve">Legal lesson learned: Pre-trial discovery may include prior inspection reports about the building. </w:t>
      </w:r>
    </w:p>
    <w:p w14:paraId="4D1233D7" w14:textId="77777777" w:rsidR="006801BF" w:rsidRDefault="006801BF" w:rsidP="006801BF">
      <w:pPr>
        <w:pStyle w:val="NoSpacing"/>
        <w:rPr>
          <w:bCs/>
        </w:rPr>
      </w:pPr>
    </w:p>
    <w:p w14:paraId="4E5B97E5" w14:textId="77777777" w:rsidR="006801BF" w:rsidRDefault="006801BF" w:rsidP="006801BF">
      <w:pPr>
        <w:pStyle w:val="NoSpacing"/>
        <w:ind w:left="720"/>
        <w:rPr>
          <w:bCs/>
        </w:rPr>
      </w:pPr>
      <w:r>
        <w:t xml:space="preserve">Note: See TV report, five years after the fire. </w:t>
      </w:r>
      <w:hyperlink r:id="rId371" w:history="1">
        <w:r w:rsidRPr="00ED3F08">
          <w:rPr>
            <w:rStyle w:val="Hyperlink"/>
          </w:rPr>
          <w:t>https://www.newsbreak.com/news-12-2283883/4553774051867-today-is-the-fifth-anniversary-of-a-rockland-county-fire-that-killed-two-including-a-local-firefighter</w:t>
        </w:r>
      </w:hyperlink>
      <w:r>
        <w:t xml:space="preserve"> </w:t>
      </w:r>
    </w:p>
    <w:p w14:paraId="2ADF0F66" w14:textId="77777777" w:rsidR="006801BF" w:rsidRDefault="006801BF" w:rsidP="006801BF">
      <w:pPr>
        <w:pStyle w:val="NoSpacing"/>
        <w:ind w:left="720"/>
        <w:rPr>
          <w:bCs/>
        </w:rPr>
      </w:pPr>
    </w:p>
    <w:p w14:paraId="4A5E8269" w14:textId="77777777" w:rsidR="006801BF" w:rsidRPr="00004B01" w:rsidRDefault="006801BF" w:rsidP="006801BF">
      <w:pPr>
        <w:pStyle w:val="NoSpacing"/>
        <w:ind w:left="720"/>
        <w:rPr>
          <w:bCs/>
        </w:rPr>
      </w:pPr>
      <w:r>
        <w:t xml:space="preserve">July 1, 2021: </w:t>
      </w:r>
      <w:r w:rsidRPr="00004B01">
        <w:t xml:space="preserve">Massive blaze in adult care home which killed a resident and a firefighter 'was caused by rabbi and his son who used a BLOWTORCH in pre-Passover kitchen cleaning ritual.  </w:t>
      </w:r>
      <w:hyperlink r:id="rId372" w:history="1">
        <w:r w:rsidRPr="00004B01">
          <w:rPr>
            <w:rStyle w:val="Hyperlink"/>
          </w:rPr>
          <w:t>https://www.dailymail.com/news/article-9746389/Fatal-assisted-living-fire-linked-cleaning-ritual.html</w:t>
        </w:r>
      </w:hyperlink>
      <w:r w:rsidRPr="00004B01">
        <w:t xml:space="preserve"> </w:t>
      </w:r>
    </w:p>
    <w:p w14:paraId="26BDE57D" w14:textId="77777777" w:rsidR="006801BF" w:rsidRDefault="006801BF" w:rsidP="006801BF">
      <w:pPr>
        <w:pStyle w:val="NoSpacing"/>
        <w:ind w:left="720"/>
        <w:rPr>
          <w:bCs/>
        </w:rPr>
      </w:pPr>
    </w:p>
    <w:p w14:paraId="5E19C31A" w14:textId="77777777" w:rsidR="006801BF" w:rsidRPr="0033656E" w:rsidRDefault="006801BF" w:rsidP="006801BF">
      <w:pPr>
        <w:pStyle w:val="NoSpacing"/>
        <w:ind w:left="720"/>
        <w:rPr>
          <w:bCs/>
        </w:rPr>
      </w:pPr>
      <w:r w:rsidRPr="0033656E">
        <w:t xml:space="preserve">National Fallen Firefighters Foundation - Roll of Honor: </w:t>
      </w:r>
      <w:hyperlink r:id="rId373" w:history="1">
        <w:r w:rsidRPr="0033656E">
          <w:rPr>
            <w:rStyle w:val="Hyperlink"/>
          </w:rPr>
          <w:t>https://www.firehero.org/fallen-firefighter/jared-c-lloyd/</w:t>
        </w:r>
      </w:hyperlink>
      <w:r w:rsidRPr="0033656E">
        <w:t xml:space="preserve"> </w:t>
      </w:r>
    </w:p>
    <w:p w14:paraId="1D5E9C5B" w14:textId="77777777" w:rsidR="006801BF" w:rsidRDefault="006801BF" w:rsidP="006801BF">
      <w:pPr>
        <w:pStyle w:val="NoSpacing"/>
        <w:ind w:left="720"/>
        <w:rPr>
          <w:bCs/>
        </w:rPr>
      </w:pPr>
    </w:p>
    <w:p w14:paraId="16AA91FE" w14:textId="75629BB2" w:rsidR="00816870" w:rsidRDefault="00816870" w:rsidP="00816870">
      <w:pPr>
        <w:rPr>
          <w:rFonts w:ascii="Arial Black" w:hAnsi="Arial Black"/>
          <w:sz w:val="24"/>
          <w:szCs w:val="24"/>
        </w:rPr>
      </w:pPr>
      <w:r>
        <w:rPr>
          <w:rFonts w:ascii="Arial Black" w:hAnsi="Arial Black"/>
          <w:sz w:val="24"/>
          <w:szCs w:val="24"/>
        </w:rPr>
        <w:t>2-108</w:t>
      </w:r>
    </w:p>
    <w:p w14:paraId="3380FEDC" w14:textId="77777777" w:rsidR="00785DBA" w:rsidRDefault="00785DBA" w:rsidP="00785DBA">
      <w:pPr>
        <w:pStyle w:val="NoSpacing"/>
        <w:rPr>
          <w:rFonts w:ascii="Arial Black" w:hAnsi="Arial Black"/>
          <w:sz w:val="28"/>
          <w:szCs w:val="28"/>
        </w:rPr>
      </w:pPr>
      <w:r>
        <w:rPr>
          <w:rFonts w:ascii="Arial Black" w:hAnsi="Arial Black"/>
          <w:sz w:val="28"/>
          <w:szCs w:val="28"/>
        </w:rPr>
        <w:t>MO: THYROID CANCER / TURNOUT GEAR – STATE COURT</w:t>
      </w:r>
    </w:p>
    <w:p w14:paraId="76BDFE82" w14:textId="77777777" w:rsidR="00785DBA" w:rsidRDefault="00785DBA" w:rsidP="00785DBA">
      <w:pPr>
        <w:pStyle w:val="NoSpacing"/>
        <w:rPr>
          <w:rFonts w:ascii="Arial Black" w:hAnsi="Arial Black"/>
          <w:sz w:val="28"/>
          <w:szCs w:val="28"/>
        </w:rPr>
      </w:pPr>
    </w:p>
    <w:p w14:paraId="71D9C818" w14:textId="77777777" w:rsidR="00785DBA" w:rsidRDefault="00785DBA" w:rsidP="00785DBA">
      <w:pPr>
        <w:pStyle w:val="NoSpacing"/>
      </w:pPr>
      <w:r>
        <w:t xml:space="preserve">On April 7, 2026, in </w:t>
      </w:r>
      <w:r w:rsidRPr="00CF1C54">
        <w:rPr>
          <w:u w:val="single"/>
        </w:rPr>
        <w:t>Jason Crady and Nicole Crady v. 3M Company</w:t>
      </w:r>
      <w:r>
        <w:t xml:space="preserve">, U.S. District Court Judge John A Ross, United States District Court for Eastern District of Missouri, Eastern Division, granted the firefighter’s motion to return the case to state court. The plaintiff has been a firefighter since </w:t>
      </w:r>
      <w:r w:rsidRPr="00C94CAF">
        <w:t>2005</w:t>
      </w:r>
      <w:r>
        <w:t xml:space="preserve">, and in </w:t>
      </w:r>
      <w:r w:rsidRPr="00C94CAF">
        <w:t>March 2024, Crady was diagnosed with thyroid cancer.</w:t>
      </w:r>
      <w:r>
        <w:t xml:space="preserve">  He and his wife filed suit against 3M in state court, claiming his turn out gear caused his cancer (not  exposure to AFFF foam).  3M removed case to federal court so it could assert the “federal contractor defense” – that </w:t>
      </w:r>
      <w:r w:rsidRPr="00DB077F">
        <w:t>3M manufactured and sold to the U.S. military in accordance with the military's specifications (</w:t>
      </w:r>
      <w:r>
        <w:t>“</w:t>
      </w:r>
      <w:proofErr w:type="spellStart"/>
      <w:r w:rsidRPr="00DB077F">
        <w:t>MilSpec</w:t>
      </w:r>
      <w:proofErr w:type="spellEnd"/>
      <w:r w:rsidRPr="00DB077F">
        <w:t xml:space="preserve"> AFFF</w:t>
      </w:r>
      <w:r>
        <w:t>”).  The firefighter’s attorneys, to avoid that defense, wisely only sued 3M regarding turn out exposure, not AFFF foam exposure. The plaintiff’s deposition was taken in the federal case showing very limited exposure to foam:</w:t>
      </w:r>
    </w:p>
    <w:p w14:paraId="4ADE3F1F" w14:textId="77777777" w:rsidR="00785DBA" w:rsidRDefault="00785DBA" w:rsidP="00785DBA">
      <w:pPr>
        <w:pStyle w:val="NoSpacing"/>
      </w:pPr>
    </w:p>
    <w:p w14:paraId="4B287296" w14:textId="77777777" w:rsidR="00785DBA" w:rsidRDefault="00785DBA" w:rsidP="00785DBA">
      <w:pPr>
        <w:ind w:left="720"/>
      </w:pPr>
      <w:r>
        <w:t>“</w:t>
      </w:r>
      <w:r w:rsidRPr="00310C62">
        <w:t>Crady testified that in one instance during firefighting training, he was in a group that handled a hose used to discharge foam</w:t>
      </w:r>
      <w:r>
        <w:t xml:space="preserve">…. </w:t>
      </w:r>
      <w:r w:rsidRPr="00310C62">
        <w:t xml:space="preserve">He </w:t>
      </w:r>
      <w:r>
        <w:t>‘</w:t>
      </w:r>
      <w:r w:rsidRPr="00310C62">
        <w:t>was probably the fourth person on the hose</w:t>
      </w:r>
      <w:r>
        <w:t>’</w:t>
      </w:r>
      <w:r w:rsidRPr="00310C62">
        <w:t xml:space="preserve"> and approximately ten to twenty feet from the nozzle</w:t>
      </w:r>
      <w:r>
        <w:t xml:space="preserve">…. </w:t>
      </w:r>
      <w:r w:rsidRPr="00310C62">
        <w:t>He did not mix, load, wade in, or touch the foam during that training</w:t>
      </w:r>
      <w:r>
        <w:t xml:space="preserve">…. </w:t>
      </w:r>
      <w:r w:rsidRPr="00310C62">
        <w:t xml:space="preserve">At another training session, Crady learned how to load foam into a truck, but he did not personally load any foam or open any foam </w:t>
      </w:r>
      <w:r w:rsidRPr="00310C62">
        <w:lastRenderedPageBreak/>
        <w:t>container</w:t>
      </w:r>
      <w:r>
        <w:t xml:space="preserve">…. </w:t>
      </w:r>
      <w:r w:rsidRPr="00310C62">
        <w:t>He confirmed that he never loaded foam himself</w:t>
      </w:r>
      <w:r>
        <w:t xml:space="preserve">…. </w:t>
      </w:r>
      <w:r w:rsidRPr="00310C62">
        <w:t xml:space="preserve"> Crady testified that he did not believe he had ever been exposed to foam</w:t>
      </w:r>
      <w:r>
        <w:t xml:space="preserve">…. </w:t>
      </w:r>
      <w:r w:rsidRPr="00310C62">
        <w:t xml:space="preserve">Plaintiffs state that Crady testified </w:t>
      </w:r>
      <w:r>
        <w:t>‘</w:t>
      </w:r>
      <w:r w:rsidRPr="00310C62">
        <w:t>no less than ten times he was not exposed to foam, and he didn't train anyone on the use of foam.</w:t>
      </w:r>
      <w:r>
        <w:t xml:space="preserve">’ </w:t>
      </w:r>
    </w:p>
    <w:p w14:paraId="69C0B4AA" w14:textId="77777777" w:rsidR="00785DBA" w:rsidRDefault="00785DBA" w:rsidP="00785DBA">
      <w:r>
        <w:t xml:space="preserve">The case is now returned to state court for pre-trial discovery. </w:t>
      </w:r>
      <w:hyperlink r:id="rId374" w:history="1">
        <w:r w:rsidRPr="00BB6E17">
          <w:rPr>
            <w:rStyle w:val="Hyperlink"/>
          </w:rPr>
          <w:t>https://public.fastcase.com/Jhe1Qn%2BmJndQYQU6z%2FeNm2HEaeCCWkcBCeUCujqGNVlbyw33GV3OIPoGmz91llGj?utm_medium=email&amp;_hsenc=p2ANqtz--_2koWPJH8aNw9hArqKJahBiDeDbHde9hJY14uLqxi48R0NPU4q8g0_WpBiId9hecTh5LabDNFfk8DSpNZX48Jer-K6w&amp;_hsmi=226712652&amp;utm_content=226712652&amp;utm_source=hs_email</w:t>
        </w:r>
      </w:hyperlink>
      <w:r>
        <w:t xml:space="preserve"> </w:t>
      </w:r>
    </w:p>
    <w:p w14:paraId="20DFC53C" w14:textId="77777777" w:rsidR="00785DBA" w:rsidRDefault="00785DBA" w:rsidP="00785DBA">
      <w:pPr>
        <w:pStyle w:val="NoSpacing"/>
      </w:pPr>
    </w:p>
    <w:p w14:paraId="439E62B7" w14:textId="77777777" w:rsidR="00785DBA" w:rsidRDefault="00785DBA" w:rsidP="00785DBA">
      <w:pPr>
        <w:pStyle w:val="NoSpacing"/>
      </w:pPr>
      <w:r>
        <w:t xml:space="preserve">THE COURT HELD: </w:t>
      </w:r>
    </w:p>
    <w:p w14:paraId="2E3DF11B" w14:textId="77777777" w:rsidR="00785DBA" w:rsidRDefault="00785DBA" w:rsidP="00785DBA">
      <w:pPr>
        <w:pStyle w:val="NoSpacing"/>
      </w:pPr>
    </w:p>
    <w:p w14:paraId="19575E7F" w14:textId="77777777" w:rsidR="00785DBA" w:rsidRDefault="00785DBA" w:rsidP="00785DBA">
      <w:pPr>
        <w:pStyle w:val="NoSpacing"/>
        <w:ind w:left="720"/>
      </w:pPr>
      <w:r>
        <w:t>“</w:t>
      </w:r>
      <w:r w:rsidRPr="00CF1490">
        <w:t xml:space="preserve">Based on the insufficiency of the facts in this </w:t>
      </w:r>
      <w:proofErr w:type="gramStart"/>
      <w:r w:rsidRPr="00CF1490">
        <w:t>particular case</w:t>
      </w:r>
      <w:proofErr w:type="gramEnd"/>
      <w:r w:rsidRPr="00CF1490">
        <w:t>, the Court finds that 3M has failed to establish a colorable federal defense</w:t>
      </w:r>
      <w:r>
        <w:t xml:space="preserve">….  </w:t>
      </w:r>
    </w:p>
    <w:p w14:paraId="47D0DEC4" w14:textId="77777777" w:rsidR="00785DBA" w:rsidRDefault="00785DBA" w:rsidP="00785DBA">
      <w:pPr>
        <w:pStyle w:val="NoSpacing"/>
      </w:pPr>
    </w:p>
    <w:p w14:paraId="32FEDA9F" w14:textId="77777777" w:rsidR="00785DBA" w:rsidRDefault="00785DBA" w:rsidP="00785DBA">
      <w:pPr>
        <w:pStyle w:val="NoSpacing"/>
        <w:ind w:left="720"/>
      </w:pPr>
      <w:r>
        <w:t>T</w:t>
      </w:r>
      <w:r w:rsidRPr="005677C0">
        <w:t xml:space="preserve">he Court finds that Plaintiffs' statement that they have effectively disclaimed AFFF exposure and their additional confirmations that they are not claiming AFFF exposure are sufficient to serve as an express disclaimer of the right to claim damages relating to, or arising out of, exposure to, or injuries suffered as a result of </w:t>
      </w:r>
      <w:proofErr w:type="spellStart"/>
      <w:r w:rsidRPr="005677C0">
        <w:t>MilSpec</w:t>
      </w:r>
      <w:proofErr w:type="spellEnd"/>
      <w:r w:rsidRPr="005677C0">
        <w:t xml:space="preserve"> AFFF.</w:t>
      </w:r>
    </w:p>
    <w:p w14:paraId="7615E24C" w14:textId="77777777" w:rsidR="00785DBA" w:rsidRDefault="00785DBA" w:rsidP="00785DBA">
      <w:pPr>
        <w:pStyle w:val="NoSpacing"/>
        <w:ind w:left="720"/>
      </w:pPr>
    </w:p>
    <w:p w14:paraId="409763F6" w14:textId="77777777" w:rsidR="00785DBA" w:rsidRDefault="00785DBA" w:rsidP="00785DBA">
      <w:pPr>
        <w:pStyle w:val="NoSpacing"/>
        <w:ind w:left="720"/>
      </w:pPr>
      <w:r>
        <w:t xml:space="preserve">***  </w:t>
      </w:r>
    </w:p>
    <w:p w14:paraId="0AE2B301" w14:textId="77777777" w:rsidR="00785DBA" w:rsidRDefault="00785DBA" w:rsidP="00785DBA">
      <w:pPr>
        <w:pStyle w:val="NoSpacing"/>
        <w:ind w:left="720"/>
      </w:pPr>
      <w:r w:rsidRPr="00DB077F">
        <w:t xml:space="preserve">On September 16, 2025, 3M filed a notice of removal in this Court pursuant to 28 U.S.C. § 1442, the federal officer removal statute. In its notice of removal, 3M alleges that the </w:t>
      </w:r>
      <w:proofErr w:type="gramStart"/>
      <w:r w:rsidRPr="00DB077F">
        <w:t>cancer</w:t>
      </w:r>
      <w:r>
        <w:t xml:space="preserve"> </w:t>
      </w:r>
      <w:r w:rsidRPr="00DB077F">
        <w:t>causing</w:t>
      </w:r>
      <w:proofErr w:type="gramEnd"/>
      <w:r w:rsidRPr="00DB077F">
        <w:t xml:space="preserve"> chemicals to which Crady was exposed consisted of per- and poly fluoroalkyl substances (</w:t>
      </w:r>
      <w:r>
        <w:t>‘</w:t>
      </w:r>
      <w:r w:rsidRPr="00DB077F">
        <w:t>PFAS</w:t>
      </w:r>
      <w:r>
        <w:t>’</w:t>
      </w:r>
      <w:r w:rsidRPr="00DB077F">
        <w:t>), which are contained in AFFF that 3M manufactured and sold to the U.S. military in accordance with the military's specifications (</w:t>
      </w:r>
      <w:r>
        <w:t>‘</w:t>
      </w:r>
      <w:proofErr w:type="spellStart"/>
      <w:r w:rsidRPr="00DB077F">
        <w:t>MilSpec</w:t>
      </w:r>
      <w:proofErr w:type="spellEnd"/>
      <w:r w:rsidRPr="00DB077F">
        <w:t xml:space="preserve"> AFFF</w:t>
      </w:r>
      <w:r>
        <w:t>’</w:t>
      </w:r>
      <w:r w:rsidRPr="00DB077F">
        <w:t>)</w:t>
      </w:r>
      <w:r>
        <w:t xml:space="preserve">. </w:t>
      </w:r>
    </w:p>
    <w:p w14:paraId="35F9F0A6" w14:textId="77777777" w:rsidR="00785DBA" w:rsidRDefault="00785DBA" w:rsidP="00785DBA">
      <w:pPr>
        <w:pStyle w:val="NoSpacing"/>
        <w:ind w:left="720"/>
      </w:pPr>
    </w:p>
    <w:p w14:paraId="5091EE7D" w14:textId="77777777" w:rsidR="00785DBA" w:rsidRDefault="00785DBA" w:rsidP="00785DBA">
      <w:pPr>
        <w:pStyle w:val="NoSpacing"/>
        <w:ind w:left="720"/>
      </w:pPr>
      <w:r>
        <w:t>***</w:t>
      </w:r>
    </w:p>
    <w:p w14:paraId="0977179E" w14:textId="77777777" w:rsidR="00785DBA" w:rsidRDefault="00785DBA" w:rsidP="00785DBA">
      <w:pPr>
        <w:pStyle w:val="NoSpacing"/>
        <w:ind w:left="720"/>
      </w:pPr>
    </w:p>
    <w:p w14:paraId="38D1B295" w14:textId="77777777" w:rsidR="00785DBA" w:rsidRDefault="00785DBA" w:rsidP="00785DBA">
      <w:pPr>
        <w:pStyle w:val="NoSpacing"/>
        <w:ind w:left="720"/>
      </w:pPr>
      <w:r w:rsidRPr="00D94D0A">
        <w:t xml:space="preserve">On September 26, 2025, 3M moved to stay all proceedings until the Judicial Panel on Multidistrict Litigation (the “JPML”) rendered a final decision on 3M's motion to transfer this action to the District of South Carolina for inclusion in the multidistrict litigation proceeding captioned </w:t>
      </w:r>
      <w:r w:rsidRPr="00D94D0A">
        <w:rPr>
          <w:i/>
          <w:iCs/>
        </w:rPr>
        <w:t>In re Aqueous Film-Forming Foams (AFFF) Products Liability Litigation</w:t>
      </w:r>
      <w:r w:rsidRPr="00D94D0A">
        <w:t xml:space="preserve"> (MDL No. 2873) (the </w:t>
      </w:r>
      <w:r>
        <w:t>‘</w:t>
      </w:r>
      <w:r w:rsidRPr="00D94D0A">
        <w:t>MDL</w:t>
      </w:r>
      <w:r>
        <w:t>’</w:t>
      </w:r>
      <w:r w:rsidRPr="00D94D0A">
        <w:t>)</w:t>
      </w:r>
      <w:r>
        <w:t xml:space="preserve">…. </w:t>
      </w:r>
      <w:r w:rsidRPr="00376CC0">
        <w:t>On December 11, 2025, the JPML denied 3M's motion to transfer.</w:t>
      </w:r>
    </w:p>
    <w:p w14:paraId="5FBCE215" w14:textId="77777777" w:rsidR="00785DBA" w:rsidRDefault="00785DBA" w:rsidP="00785DBA">
      <w:pPr>
        <w:pStyle w:val="NoSpacing"/>
        <w:ind w:left="720"/>
      </w:pPr>
    </w:p>
    <w:p w14:paraId="6C3A254E" w14:textId="77777777" w:rsidR="00785DBA" w:rsidRDefault="00785DBA" w:rsidP="00785DBA">
      <w:pPr>
        <w:pStyle w:val="NoSpacing"/>
        <w:ind w:left="720"/>
      </w:pPr>
      <w:r>
        <w:t>***</w:t>
      </w:r>
    </w:p>
    <w:p w14:paraId="0DB60DD6" w14:textId="77777777" w:rsidR="00785DBA" w:rsidRDefault="00785DBA" w:rsidP="00785DBA">
      <w:pPr>
        <w:pStyle w:val="NoSpacing"/>
        <w:ind w:left="720"/>
      </w:pPr>
      <w:r w:rsidRPr="0041479E">
        <w:t xml:space="preserve">3M maintains that Plaintiffs are attempting to use state law to attack design choices dictated by the military to impose tort liability on 3M for alleged injuries that were caused in whole or in part by 3M's compliance with military specifications. According to 3M, its status as a government contractor grants that the federal officer defense precludes such an attack. </w:t>
      </w:r>
      <w:r w:rsidRPr="0041479E">
        <w:rPr>
          <w:i/>
          <w:iCs/>
        </w:rPr>
        <w:t>See Boyle v. United Techs. Corp.,</w:t>
      </w:r>
      <w:r w:rsidRPr="0041479E">
        <w:t xml:space="preserve"> 487 U.S. 500, 509 (1988). 3M argues that this defense asserted by 3M and other </w:t>
      </w:r>
      <w:proofErr w:type="spellStart"/>
      <w:r w:rsidRPr="0041479E">
        <w:t>MilSpec</w:t>
      </w:r>
      <w:proofErr w:type="spellEnd"/>
      <w:r w:rsidRPr="0041479E">
        <w:t xml:space="preserve"> AFFF manufacturers presents genuine issues of fact for trial based on an extensive factual record in the MDL. </w:t>
      </w:r>
      <w:r w:rsidRPr="0041479E">
        <w:rPr>
          <w:i/>
          <w:iCs/>
        </w:rPr>
        <w:t xml:space="preserve">See In re AFFF Prods. </w:t>
      </w:r>
      <w:proofErr w:type="spellStart"/>
      <w:r w:rsidRPr="0041479E">
        <w:rPr>
          <w:i/>
          <w:iCs/>
        </w:rPr>
        <w:t>Liab</w:t>
      </w:r>
      <w:proofErr w:type="spellEnd"/>
      <w:r w:rsidRPr="0041479E">
        <w:rPr>
          <w:i/>
          <w:iCs/>
        </w:rPr>
        <w:t>. Litig.,</w:t>
      </w:r>
      <w:r w:rsidRPr="0041479E">
        <w:t xml:space="preserve"> 2:18-mn-02873, 2022 WL 4291357, at *12, 15 (D.S.C. Sept. 16, 2022). 3M submits that a defense that presents triable issues is colorable and that it has satisfied the remaining element required for federal jurisdiction.</w:t>
      </w:r>
      <w:r>
        <w:t>”</w:t>
      </w:r>
    </w:p>
    <w:p w14:paraId="1C3D7ED2" w14:textId="77777777" w:rsidR="00785DBA" w:rsidRDefault="00785DBA" w:rsidP="00785DBA">
      <w:pPr>
        <w:pStyle w:val="NoSpacing"/>
        <w:ind w:left="720"/>
      </w:pPr>
    </w:p>
    <w:p w14:paraId="7E36FAFA" w14:textId="77777777" w:rsidR="00785DBA" w:rsidRPr="00B47E84" w:rsidRDefault="00785DBA" w:rsidP="00785DBA">
      <w:pPr>
        <w:rPr>
          <w:b/>
          <w:bCs/>
        </w:rPr>
      </w:pPr>
      <w:r>
        <w:rPr>
          <w:b/>
        </w:rPr>
        <w:t xml:space="preserve">Legal lesson learned: The case is back to state court where pre-trial discovery will proceed. </w:t>
      </w:r>
    </w:p>
    <w:p w14:paraId="1E474DF8" w14:textId="77777777" w:rsidR="00785DBA" w:rsidRDefault="00785DBA" w:rsidP="00785DBA">
      <w:pPr>
        <w:pStyle w:val="NoSpacing"/>
        <w:ind w:left="720"/>
      </w:pPr>
      <w:r>
        <w:t xml:space="preserve">Note: Military contractor defense was addressed by U.S. Supreme Court in </w:t>
      </w:r>
      <w:r w:rsidRPr="0041479E">
        <w:rPr>
          <w:i/>
          <w:iCs/>
        </w:rPr>
        <w:t>Boyle v. United Techs. Corp.,</w:t>
      </w:r>
      <w:r w:rsidRPr="0041479E">
        <w:t xml:space="preserve"> 487 U.S. 500</w:t>
      </w:r>
      <w:r>
        <w:t xml:space="preserve"> </w:t>
      </w:r>
      <w:r w:rsidRPr="0041479E">
        <w:t>(1988)</w:t>
      </w:r>
      <w:r>
        <w:t xml:space="preserve">.  </w:t>
      </w:r>
      <w:r w:rsidRPr="00FB25AF">
        <w:t xml:space="preserve">Military equipment that meets prior requirements set by the federal government cannot have a design defect sufficient to hold its manufacturer liable. </w:t>
      </w:r>
      <w:hyperlink r:id="rId375" w:history="1">
        <w:r w:rsidRPr="00BB6E17">
          <w:rPr>
            <w:rStyle w:val="Hyperlink"/>
          </w:rPr>
          <w:t>https://supreme.justia.com/cases/federal/us/487/500/</w:t>
        </w:r>
      </w:hyperlink>
      <w:r>
        <w:t xml:space="preserve"> </w:t>
      </w:r>
    </w:p>
    <w:p w14:paraId="3086F464" w14:textId="77777777" w:rsidR="00785DBA" w:rsidRDefault="00785DBA" w:rsidP="00785DBA">
      <w:pPr>
        <w:pStyle w:val="NoSpacing"/>
        <w:ind w:left="720"/>
      </w:pPr>
    </w:p>
    <w:p w14:paraId="445A7D3D" w14:textId="77777777" w:rsidR="00785DBA" w:rsidRDefault="00785DBA" w:rsidP="00785DBA">
      <w:pPr>
        <w:pStyle w:val="NoSpacing"/>
        <w:ind w:left="1440"/>
      </w:pPr>
      <w:r>
        <w:t>“</w:t>
      </w:r>
      <w:r w:rsidRPr="00C7452C">
        <w:t>This case requires us to decide when a contractor providing military equipment to the Federal Government can be held liable under state tort law for injury caused by a design defect</w:t>
      </w:r>
      <w:r>
        <w:t xml:space="preserve">…. [Plaintiff’s] </w:t>
      </w:r>
      <w:r w:rsidRPr="001532A7">
        <w:lastRenderedPageBreak/>
        <w:t>broadest contention is that, in the absence of legislation specifically immunizing Government contractors from liability for design defects, there is no basis for judicial recognition of such a defense. We disagree.</w:t>
      </w:r>
    </w:p>
    <w:p w14:paraId="5E836FFD" w14:textId="77777777" w:rsidR="00785DBA" w:rsidRDefault="00785DBA" w:rsidP="00785DBA">
      <w:pPr>
        <w:pStyle w:val="NoSpacing"/>
        <w:ind w:left="1440"/>
      </w:pPr>
    </w:p>
    <w:p w14:paraId="736C2D26" w14:textId="77777777" w:rsidR="00785DBA" w:rsidRDefault="00785DBA" w:rsidP="00785DBA">
      <w:pPr>
        <w:pStyle w:val="NoSpacing"/>
        <w:ind w:left="1440"/>
      </w:pPr>
      <w:r>
        <w:t>***</w:t>
      </w:r>
    </w:p>
    <w:p w14:paraId="180D0EC2" w14:textId="77777777" w:rsidR="00785DBA" w:rsidRDefault="00785DBA" w:rsidP="00785DBA">
      <w:pPr>
        <w:pStyle w:val="NoSpacing"/>
        <w:ind w:left="1440"/>
      </w:pPr>
    </w:p>
    <w:p w14:paraId="47FBD702" w14:textId="77777777" w:rsidR="00785DBA" w:rsidRDefault="00785DBA" w:rsidP="00785DBA">
      <w:pPr>
        <w:pStyle w:val="NoSpacing"/>
        <w:ind w:left="1440"/>
      </w:pPr>
      <w:r w:rsidRPr="004465FA">
        <w:t xml:space="preserve">On April 27, 1983, David A. Boyle, a United States Marine helicopter copilot, was killed when the CH-53D helicopter in which he was flying crashed off the coast of Virginia Beach, Virginia, during a training exercise. Although Boyle survived the impact of the crash, he was unable to escape from the </w:t>
      </w:r>
      <w:proofErr w:type="gramStart"/>
      <w:r w:rsidRPr="004465FA">
        <w:t>helicopter, and</w:t>
      </w:r>
      <w:proofErr w:type="gramEnd"/>
      <w:r w:rsidRPr="004465FA">
        <w:t xml:space="preserve"> drowned</w:t>
      </w:r>
      <w:r>
        <w:t xml:space="preserve">…. </w:t>
      </w:r>
      <w:r w:rsidRPr="00514E02">
        <w:t>At trial</w:t>
      </w:r>
      <w:r>
        <w:t xml:space="preserve"> [in federal court]</w:t>
      </w:r>
      <w:r w:rsidRPr="00514E02">
        <w:t xml:space="preserve">, petitioner presented two theories of liability under Virginia tort law that were submitted to the jury. First, petitioner alleged that Sikorsky had defectively repaired a device called the servo in the helicopter's automatic flight control system, which allegedly malfunctioned and caused the crash. Second, petitioner alleged that Sikorsky had defectively designed the copilot's emergency escape system: the escape hatch opened out instead of in (and was therefore ineffective in a submerged craft because of water pressure), and access to the escape hatch handle was obstructed by other equipment. The jury returned a general verdict in favor of </w:t>
      </w:r>
      <w:proofErr w:type="gramStart"/>
      <w:r w:rsidRPr="00514E02">
        <w:t>petitioner, and</w:t>
      </w:r>
      <w:proofErr w:type="gramEnd"/>
      <w:r w:rsidRPr="00514E02">
        <w:t xml:space="preserve"> awarded him $725,000</w:t>
      </w:r>
      <w:r>
        <w:t xml:space="preserve">….  [U.S. Court of Appeals reversed; just as Federal Government cannot be sued for defective design, </w:t>
      </w:r>
      <w:r w:rsidRPr="007B4C6E">
        <w:t>Sikorsky</w:t>
      </w:r>
      <w:r>
        <w:t xml:space="preserve"> as military contractor is not liable.] </w:t>
      </w:r>
    </w:p>
    <w:p w14:paraId="237439DA" w14:textId="77777777" w:rsidR="00785DBA" w:rsidRDefault="00785DBA" w:rsidP="00785DBA">
      <w:pPr>
        <w:pStyle w:val="NoSpacing"/>
        <w:ind w:left="1440"/>
      </w:pPr>
    </w:p>
    <w:p w14:paraId="3CDC16AB" w14:textId="77777777" w:rsidR="00785DBA" w:rsidRDefault="00785DBA" w:rsidP="00785DBA">
      <w:pPr>
        <w:pStyle w:val="NoSpacing"/>
        <w:ind w:left="1440"/>
      </w:pPr>
    </w:p>
    <w:p w14:paraId="17135C41" w14:textId="40466002" w:rsidR="00816870" w:rsidRDefault="00816870" w:rsidP="00816870">
      <w:pPr>
        <w:rPr>
          <w:rFonts w:ascii="Arial Black" w:hAnsi="Arial Black"/>
          <w:sz w:val="24"/>
          <w:szCs w:val="24"/>
        </w:rPr>
      </w:pPr>
      <w:r>
        <w:rPr>
          <w:rFonts w:ascii="Arial Black" w:hAnsi="Arial Black"/>
          <w:sz w:val="24"/>
          <w:szCs w:val="24"/>
        </w:rPr>
        <w:t>2-107</w:t>
      </w:r>
    </w:p>
    <w:p w14:paraId="276FA9D6" w14:textId="77777777" w:rsidR="00816870" w:rsidRDefault="00816870" w:rsidP="00816870">
      <w:pPr>
        <w:pStyle w:val="NoSpacing"/>
      </w:pPr>
      <w:r>
        <w:rPr>
          <w:rFonts w:ascii="Arial Black" w:hAnsi="Arial Black"/>
          <w:sz w:val="28"/>
          <w:szCs w:val="28"/>
        </w:rPr>
        <w:t>NH: FIRE POLE – VISITOR “PHOTO” – IMMUNITY / AIR BASE</w:t>
      </w:r>
    </w:p>
    <w:p w14:paraId="01D330AA" w14:textId="77777777" w:rsidR="00816870" w:rsidRDefault="00816870" w:rsidP="00816870">
      <w:pPr>
        <w:pStyle w:val="NoSpacing"/>
      </w:pPr>
    </w:p>
    <w:p w14:paraId="1DFEACE5" w14:textId="77777777" w:rsidR="00816870" w:rsidRDefault="00816870" w:rsidP="00816870">
      <w:pPr>
        <w:pStyle w:val="NoSpacing"/>
      </w:pPr>
      <w:r>
        <w:t xml:space="preserve">On March 31, 2026, in </w:t>
      </w:r>
      <w:r w:rsidRPr="00852BDB">
        <w:rPr>
          <w:u w:val="single"/>
        </w:rPr>
        <w:t>Celena Nixon v. United States of America</w:t>
      </w:r>
      <w:r>
        <w:t xml:space="preserve">, U.S. District Court Judge </w:t>
      </w:r>
      <w:r w:rsidRPr="00100189">
        <w:t>Paul J. Barbadoro</w:t>
      </w:r>
      <w:r>
        <w:t xml:space="preserve">, United States District Court for the District of New Hampshire, held that a visitor at the fire station </w:t>
      </w:r>
      <w:r w:rsidRPr="009B4B39">
        <w:t>Pease Air</w:t>
      </w:r>
      <w:r>
        <w:t xml:space="preserve"> </w:t>
      </w:r>
      <w:r w:rsidRPr="009B4B39">
        <w:t>National Guard Base in Newington, New Hampshire</w:t>
      </w:r>
      <w:r>
        <w:t xml:space="preserve"> cannot sue the government for most of her claims under Federal Tort Claims Act, but further briefing on “failure to train invitees” claim.   </w:t>
      </w:r>
      <w:r w:rsidRPr="00FC696C">
        <w:t>On Easter Sunday in April 2022, the fire department invited the</w:t>
      </w:r>
      <w:r>
        <w:t xml:space="preserve"> </w:t>
      </w:r>
      <w:r w:rsidRPr="00FC696C">
        <w:t>families of its on-duty firefighters to visit the fire station for a holiday</w:t>
      </w:r>
      <w:r>
        <w:t xml:space="preserve"> </w:t>
      </w:r>
      <w:r w:rsidRPr="00FC696C">
        <w:t>gathering.</w:t>
      </w:r>
      <w:r>
        <w:t xml:space="preserve"> Plaintiff’s husband was on duty, and gave his wife, two sons and daughter a tour, including second floor; he and two boys then entered the gated pole and safely went down the pole. Mrs. Nixon asked her daughter to take her photo by pole – fell down the hole.  The Court describes what happened:</w:t>
      </w:r>
    </w:p>
    <w:p w14:paraId="4E3B9D71" w14:textId="77777777" w:rsidR="00816870" w:rsidRDefault="00816870" w:rsidP="00816870">
      <w:pPr>
        <w:pStyle w:val="NoSpacing"/>
      </w:pPr>
    </w:p>
    <w:p w14:paraId="6013D722" w14:textId="77777777" w:rsidR="00816870" w:rsidRDefault="00816870" w:rsidP="00816870">
      <w:pPr>
        <w:pStyle w:val="NoSpacing"/>
        <w:ind w:left="720"/>
      </w:pPr>
      <w:r>
        <w:t>“</w:t>
      </w:r>
      <w:r w:rsidRPr="00C3098E">
        <w:t xml:space="preserve">Upon entering the pole room, Nixon was struck by the pole’s </w:t>
      </w:r>
      <w:r>
        <w:t>‘</w:t>
      </w:r>
      <w:r w:rsidRPr="00C3098E">
        <w:t>timeless</w:t>
      </w:r>
      <w:r>
        <w:t>’ ‘</w:t>
      </w:r>
      <w:r w:rsidRPr="00C3098E">
        <w:t>beauty[y]</w:t>
      </w:r>
      <w:r>
        <w:t>’</w:t>
      </w:r>
      <w:r w:rsidRPr="00C3098E">
        <w:t xml:space="preserve"> and </w:t>
      </w:r>
      <w:r>
        <w:t>‘</w:t>
      </w:r>
      <w:r w:rsidRPr="00C3098E">
        <w:t>wanted [her] picture taken.</w:t>
      </w:r>
      <w:r>
        <w:t xml:space="preserve">’ … </w:t>
      </w:r>
      <w:r w:rsidRPr="00C3098E">
        <w:t>After handing her</w:t>
      </w:r>
      <w:r>
        <w:t xml:space="preserve"> </w:t>
      </w:r>
      <w:r w:rsidRPr="00C3098E">
        <w:t>phone to her daughter, she says that she walked over to the pole, where the</w:t>
      </w:r>
      <w:r>
        <w:t xml:space="preserve"> </w:t>
      </w:r>
      <w:r w:rsidRPr="00C3098E">
        <w:t>gate into its surrounding cage was open</w:t>
      </w:r>
      <w:r>
        <w:t xml:space="preserve">…. </w:t>
      </w:r>
      <w:r w:rsidRPr="00C3098E">
        <w:t>In her telling, she</w:t>
      </w:r>
      <w:r>
        <w:t xml:space="preserve"> </w:t>
      </w:r>
      <w:r w:rsidRPr="00C3098E">
        <w:t xml:space="preserve">stepped inside and placed her weight onto </w:t>
      </w:r>
      <w:r>
        <w:t>‘</w:t>
      </w:r>
      <w:r w:rsidRPr="00C3098E">
        <w:t>another platform</w:t>
      </w:r>
      <w:r>
        <w:t>’</w:t>
      </w:r>
      <w:r w:rsidRPr="00C3098E">
        <w:t xml:space="preserve"> (ostensibly the</w:t>
      </w:r>
      <w:r>
        <w:t xml:space="preserve"> </w:t>
      </w:r>
      <w:r w:rsidRPr="00C3098E">
        <w:t xml:space="preserve">hatch) that </w:t>
      </w:r>
      <w:r>
        <w:t>‘</w:t>
      </w:r>
      <w:r w:rsidRPr="00C3098E">
        <w:t>gave way.</w:t>
      </w:r>
      <w:r>
        <w:t xml:space="preserve">’ … </w:t>
      </w:r>
      <w:r w:rsidRPr="00C3098E">
        <w:t xml:space="preserve"> Because she </w:t>
      </w:r>
      <w:r>
        <w:t>‘</w:t>
      </w:r>
      <w:r w:rsidRPr="00C3098E">
        <w:t>wasn’t like hanging on</w:t>
      </w:r>
      <w:r>
        <w:t xml:space="preserve">’ </w:t>
      </w:r>
      <w:r w:rsidRPr="00C3098E">
        <w:t>as she tried to get a picture, she fell through the hatch to the ground and was</w:t>
      </w:r>
      <w:r>
        <w:t xml:space="preserve"> </w:t>
      </w:r>
      <w:r w:rsidRPr="00C3098E">
        <w:t>injured.</w:t>
      </w:r>
      <w:r>
        <w:t>”</w:t>
      </w:r>
    </w:p>
    <w:p w14:paraId="74312072" w14:textId="77777777" w:rsidR="00816870" w:rsidRDefault="00816870" w:rsidP="00816870">
      <w:pPr>
        <w:pStyle w:val="NoSpacing"/>
      </w:pPr>
      <w:hyperlink r:id="rId376" w:history="1">
        <w:r w:rsidRPr="00402DB2">
          <w:rPr>
            <w:rStyle w:val="Hyperlink"/>
          </w:rPr>
          <w:t>https://cases.justia.com/federal/district-courts/new-hampshire/nhdce/1:2024cv00213/63777/56/0.pdf?ts=1775080109</w:t>
        </w:r>
      </w:hyperlink>
      <w:r>
        <w:t xml:space="preserve"> </w:t>
      </w:r>
    </w:p>
    <w:p w14:paraId="1BB6A13D" w14:textId="77777777" w:rsidR="00816870" w:rsidRDefault="00816870" w:rsidP="00816870">
      <w:pPr>
        <w:pStyle w:val="NoSpacing"/>
      </w:pPr>
    </w:p>
    <w:p w14:paraId="48546352" w14:textId="77777777" w:rsidR="00816870" w:rsidRDefault="00816870" w:rsidP="00816870">
      <w:pPr>
        <w:pStyle w:val="NoSpacing"/>
      </w:pPr>
      <w:r>
        <w:t>THE COURT HELD:</w:t>
      </w:r>
    </w:p>
    <w:p w14:paraId="68732989" w14:textId="77777777" w:rsidR="00816870" w:rsidRDefault="00816870" w:rsidP="00816870">
      <w:pPr>
        <w:pStyle w:val="NoSpacing"/>
        <w:rPr>
          <w:bCs/>
        </w:rPr>
      </w:pPr>
    </w:p>
    <w:p w14:paraId="250D6A6D" w14:textId="77777777" w:rsidR="00816870" w:rsidRDefault="00816870" w:rsidP="00816870">
      <w:pPr>
        <w:pStyle w:val="NoSpacing"/>
        <w:ind w:left="720"/>
      </w:pPr>
      <w:r>
        <w:t>“Nixon filed this lawsuit against the United States in July 2024…. She asserted claims for negligence and premises liability based on the fire department’s failure to: ‘safely secure the premises for invitees’ (‘Theory 1’); ‘train invitees in the proper use”’ of the pole (‘Theory 2’); ‘restrict access to the pole and the pole room’  to individuals without such training (‘Theory 3’); ‘post signs warning invitees not to approach the pole’ (‘Theory 4’); ‘post signs’ warning that the floor plate ‘was not solid footing and would give upon</w:t>
      </w:r>
    </w:p>
    <w:p w14:paraId="0EB8A287" w14:textId="77777777" w:rsidR="00816870" w:rsidRDefault="00816870" w:rsidP="00816870">
      <w:pPr>
        <w:pStyle w:val="NoSpacing"/>
        <w:ind w:left="720"/>
      </w:pPr>
      <w:r>
        <w:t xml:space="preserve">placement of any weight’ (‘Theory 5’); ‘secure’ the hatch ‘such that it did not immediately allow individuals to fall through’ or remove it altogether (‘Theory 6’); and ‘install barriers to prevent’ someone from ‘approaching the pole’ and hatch beneath (‘Theory 7’)…. Nixon demanded damages for physical and mental suffering, medical treatment, and loss of earning capacity. </w:t>
      </w:r>
    </w:p>
    <w:p w14:paraId="5C3FE118" w14:textId="77777777" w:rsidR="00816870" w:rsidRDefault="00816870" w:rsidP="00816870">
      <w:pPr>
        <w:pStyle w:val="NoSpacing"/>
        <w:ind w:left="720"/>
      </w:pPr>
    </w:p>
    <w:p w14:paraId="19AB3D92" w14:textId="77777777" w:rsidR="00816870" w:rsidRDefault="00816870" w:rsidP="00816870">
      <w:pPr>
        <w:pStyle w:val="NoSpacing"/>
        <w:ind w:left="720"/>
      </w:pPr>
      <w:r>
        <w:lastRenderedPageBreak/>
        <w:t>***</w:t>
      </w:r>
    </w:p>
    <w:p w14:paraId="5965DA70" w14:textId="77777777" w:rsidR="00816870" w:rsidRDefault="00816870" w:rsidP="00816870">
      <w:pPr>
        <w:pStyle w:val="NoSpacing"/>
        <w:ind w:left="720"/>
      </w:pPr>
    </w:p>
    <w:p w14:paraId="3379D0B5" w14:textId="77777777" w:rsidR="00816870" w:rsidRDefault="00816870" w:rsidP="00816870">
      <w:pPr>
        <w:pStyle w:val="NoSpacing"/>
        <w:ind w:left="720"/>
      </w:pPr>
      <w:r>
        <w:t>Because Nixon’s failure-to-warn claims are inextricably reliant on the fire department’s alleged failure to communicate information, they are subject to the misrepresentation exception. And, because her remaining claims are barred by the discretionary-function exception, I lack jurisdiction over those claims as well.</w:t>
      </w:r>
    </w:p>
    <w:p w14:paraId="6348774F" w14:textId="77777777" w:rsidR="00816870" w:rsidRDefault="00816870" w:rsidP="00816870">
      <w:pPr>
        <w:pStyle w:val="NoSpacing"/>
        <w:ind w:left="720"/>
      </w:pPr>
    </w:p>
    <w:p w14:paraId="6E15FD72" w14:textId="77777777" w:rsidR="00816870" w:rsidRDefault="00816870" w:rsidP="00816870">
      <w:pPr>
        <w:pStyle w:val="NoSpacing"/>
        <w:ind w:left="720"/>
      </w:pPr>
      <w:r>
        <w:t>***</w:t>
      </w:r>
    </w:p>
    <w:p w14:paraId="5CA8DFE5" w14:textId="77777777" w:rsidR="00816870" w:rsidRDefault="00816870" w:rsidP="00816870">
      <w:pPr>
        <w:pStyle w:val="NoSpacing"/>
        <w:ind w:left="720"/>
      </w:pPr>
      <w:r>
        <w:t>Nixon asserts that the government is liable in part because it failed to ‘train invitees in the proper use’ of the fire pole (Theory 2)….Although it is likely that any claims based on this theory are also barred by the discretion-function exception, I do not presume as much, as the government has not challenged this theory of liability in its motion for</w:t>
      </w:r>
    </w:p>
    <w:p w14:paraId="55A23A2B" w14:textId="77777777" w:rsidR="00816870" w:rsidRDefault="00816870" w:rsidP="00816870">
      <w:pPr>
        <w:pStyle w:val="NoSpacing"/>
        <w:ind w:left="720"/>
      </w:pPr>
      <w:r>
        <w:t>summary judgment. And as applied to this theory, the government’s alternative arguments concerning the scope of the fire department’s duties, the foreseeability of danger posed by the fire pole, and Nixon’s comparative fault present triable disputes of material fact. I therefore deny the government’s motion for summary judgment as to Theory 2 without prejudice to any motion addressing this Court’s jurisdiction over those claims.”</w:t>
      </w:r>
    </w:p>
    <w:p w14:paraId="4B9E65A0" w14:textId="77777777" w:rsidR="00816870" w:rsidRDefault="00816870" w:rsidP="00816870">
      <w:pPr>
        <w:pStyle w:val="NoSpacing"/>
        <w:ind w:left="720"/>
      </w:pPr>
    </w:p>
    <w:p w14:paraId="16AD9B72" w14:textId="77777777" w:rsidR="00816870" w:rsidRDefault="00816870" w:rsidP="00816870">
      <w:r>
        <w:rPr>
          <w:b/>
        </w:rPr>
        <w:t xml:space="preserve">Legal lesson learned: During tours of station, tell all visitors to stay away from fire pole hole. </w:t>
      </w:r>
    </w:p>
    <w:p w14:paraId="1D31229B" w14:textId="77777777" w:rsidR="00816870" w:rsidRDefault="00816870" w:rsidP="00816870">
      <w:pPr>
        <w:pStyle w:val="NoSpacing"/>
        <w:ind w:left="720"/>
      </w:pPr>
      <w:r>
        <w:t xml:space="preserve">Note: Court commented on NFPA 1500: </w:t>
      </w:r>
    </w:p>
    <w:p w14:paraId="01096503" w14:textId="77777777" w:rsidR="00816870" w:rsidRDefault="00816870" w:rsidP="00816870">
      <w:pPr>
        <w:pStyle w:val="NoSpacing"/>
        <w:ind w:left="720" w:firstLine="720"/>
      </w:pPr>
      <w:r>
        <w:t xml:space="preserve"> “In relevant part, section 10.1.8 of the NFPA 1500 directs that:</w:t>
      </w:r>
    </w:p>
    <w:p w14:paraId="6074C941" w14:textId="77777777" w:rsidR="00816870" w:rsidRDefault="00816870" w:rsidP="00816870">
      <w:pPr>
        <w:pStyle w:val="NoSpacing"/>
        <w:ind w:left="720" w:firstLine="720"/>
      </w:pPr>
      <w:r>
        <w:t>Stations utilizing poles to provide rapid access to lower</w:t>
      </w:r>
    </w:p>
    <w:p w14:paraId="7B59A00C" w14:textId="77777777" w:rsidR="00816870" w:rsidRDefault="00816870" w:rsidP="00816870">
      <w:pPr>
        <w:pStyle w:val="NoSpacing"/>
        <w:ind w:left="720" w:firstLine="720"/>
      </w:pPr>
      <w:r>
        <w:t>floors shall ensure that the area around the pole hole</w:t>
      </w:r>
    </w:p>
    <w:p w14:paraId="385DE512" w14:textId="77777777" w:rsidR="00816870" w:rsidRDefault="00816870" w:rsidP="00816870">
      <w:pPr>
        <w:pStyle w:val="NoSpacing"/>
        <w:ind w:left="720" w:firstLine="720"/>
      </w:pPr>
      <w:r>
        <w:t>is secured by means of a cover, enclosure, or other</w:t>
      </w:r>
    </w:p>
    <w:p w14:paraId="0529AEFF" w14:textId="77777777" w:rsidR="00816870" w:rsidRDefault="00816870" w:rsidP="00816870">
      <w:pPr>
        <w:pStyle w:val="NoSpacing"/>
        <w:ind w:left="720" w:firstLine="720"/>
      </w:pPr>
      <w:r>
        <w:t>means to prevent someone from accidentally falling</w:t>
      </w:r>
    </w:p>
    <w:p w14:paraId="2B2B1CBE" w14:textId="77777777" w:rsidR="00816870" w:rsidRDefault="00816870" w:rsidP="00816870">
      <w:pPr>
        <w:pStyle w:val="NoSpacing"/>
        <w:ind w:left="1440"/>
      </w:pPr>
      <w:r>
        <w:t>though the pole hole.</w:t>
      </w:r>
    </w:p>
    <w:p w14:paraId="2FFA7007" w14:textId="77777777" w:rsidR="00816870" w:rsidRDefault="00816870" w:rsidP="00816870">
      <w:pPr>
        <w:pStyle w:val="NoSpacing"/>
        <w:ind w:left="1440"/>
      </w:pPr>
    </w:p>
    <w:p w14:paraId="35A88F91" w14:textId="77777777" w:rsidR="00816870" w:rsidRDefault="00816870" w:rsidP="00816870">
      <w:pPr>
        <w:pStyle w:val="NoSpacing"/>
        <w:ind w:left="1440"/>
      </w:pPr>
      <w:r>
        <w:t>***</w:t>
      </w:r>
    </w:p>
    <w:p w14:paraId="1E986B0B" w14:textId="77777777" w:rsidR="00816870" w:rsidRDefault="00816870" w:rsidP="00816870">
      <w:pPr>
        <w:pStyle w:val="NoSpacing"/>
        <w:ind w:left="1440"/>
      </w:pPr>
    </w:p>
    <w:p w14:paraId="584F55C5" w14:textId="77777777" w:rsidR="00816870" w:rsidRDefault="00816870" w:rsidP="00816870">
      <w:pPr>
        <w:pStyle w:val="NoSpacing"/>
        <w:ind w:left="1440"/>
      </w:pPr>
      <w:r>
        <w:t>Phrased disjunctively, this provision does not require the department to use a cover if it uses an enclosure, which is what it did in this case.”</w:t>
      </w:r>
    </w:p>
    <w:p w14:paraId="769A390F" w14:textId="77777777" w:rsidR="00816870" w:rsidRDefault="00816870" w:rsidP="00816870">
      <w:pPr>
        <w:pStyle w:val="NoSpacing"/>
        <w:rPr>
          <w:bCs/>
        </w:rPr>
      </w:pPr>
    </w:p>
    <w:p w14:paraId="194FDA20" w14:textId="77777777" w:rsidR="00816870" w:rsidRDefault="00816870" w:rsidP="00646EE3">
      <w:pPr>
        <w:rPr>
          <w:rFonts w:ascii="Arial Black" w:hAnsi="Arial Black"/>
          <w:sz w:val="24"/>
          <w:szCs w:val="24"/>
        </w:rPr>
      </w:pPr>
    </w:p>
    <w:p w14:paraId="5454D4B8" w14:textId="77777777" w:rsidR="00997F6F" w:rsidRDefault="00997F6F" w:rsidP="00646EE3">
      <w:pPr>
        <w:rPr>
          <w:rFonts w:ascii="Arial Black" w:hAnsi="Arial Black"/>
          <w:sz w:val="24"/>
          <w:szCs w:val="24"/>
        </w:rPr>
      </w:pPr>
    </w:p>
    <w:p w14:paraId="4BCC8CD0" w14:textId="1D2FF849" w:rsidR="00961DF4" w:rsidRDefault="00961DF4" w:rsidP="00646EE3">
      <w:pPr>
        <w:rPr>
          <w:rFonts w:ascii="Arial Black" w:hAnsi="Arial Black"/>
          <w:sz w:val="24"/>
          <w:szCs w:val="24"/>
        </w:rPr>
      </w:pPr>
      <w:r>
        <w:rPr>
          <w:rFonts w:ascii="Arial Black" w:hAnsi="Arial Black"/>
          <w:sz w:val="24"/>
          <w:szCs w:val="24"/>
        </w:rPr>
        <w:t>2-10</w:t>
      </w:r>
      <w:r w:rsidR="00F52698">
        <w:rPr>
          <w:rFonts w:ascii="Arial Black" w:hAnsi="Arial Black"/>
          <w:sz w:val="24"/>
          <w:szCs w:val="24"/>
        </w:rPr>
        <w:t>6</w:t>
      </w:r>
    </w:p>
    <w:p w14:paraId="591B0E79" w14:textId="77777777" w:rsidR="00916D00" w:rsidRDefault="00916D00" w:rsidP="00916D00">
      <w:pPr>
        <w:pStyle w:val="NoSpacing"/>
        <w:rPr>
          <w:rFonts w:ascii="Arial Black" w:hAnsi="Arial Black"/>
          <w:b/>
          <w:sz w:val="28"/>
          <w:szCs w:val="28"/>
        </w:rPr>
      </w:pPr>
      <w:r>
        <w:rPr>
          <w:rFonts w:ascii="Arial Black" w:hAnsi="Arial Black"/>
          <w:b/>
          <w:sz w:val="28"/>
          <w:szCs w:val="28"/>
        </w:rPr>
        <w:t>TX: DRUNK – HEAD ON AMBULANCE – 2 DEAD / 30 YRS</w:t>
      </w:r>
    </w:p>
    <w:p w14:paraId="7E070C79" w14:textId="77777777" w:rsidR="00916D00" w:rsidRDefault="00916D00" w:rsidP="00916D00">
      <w:pPr>
        <w:pStyle w:val="NoSpacing"/>
        <w:rPr>
          <w:rFonts w:ascii="Arial Black" w:hAnsi="Arial Black"/>
          <w:b/>
          <w:sz w:val="28"/>
          <w:szCs w:val="28"/>
        </w:rPr>
      </w:pPr>
    </w:p>
    <w:p w14:paraId="6F7679F6" w14:textId="77777777" w:rsidR="00916D00" w:rsidRDefault="00916D00" w:rsidP="00916D00">
      <w:pPr>
        <w:pStyle w:val="NoSpacing"/>
        <w:rPr>
          <w:bCs/>
        </w:rPr>
      </w:pPr>
      <w:r w:rsidRPr="00F90D69">
        <w:t xml:space="preserve">On March 19, 2026, in </w:t>
      </w:r>
      <w:r w:rsidRPr="00F90D69">
        <w:rPr>
          <w:u w:val="single"/>
        </w:rPr>
        <w:t>Mitchell Trevino v. The State of Texas</w:t>
      </w:r>
      <w:r w:rsidRPr="00F90D69">
        <w:t>,</w:t>
      </w:r>
      <w:r>
        <w:t xml:space="preserve"> the </w:t>
      </w:r>
      <w:r w:rsidRPr="00E31049">
        <w:t>Court of Appeals of Texas, Thirteenth District, Corpus Christi-Edinburg</w:t>
      </w:r>
      <w:r>
        <w:t xml:space="preserve"> held (3 to 0; unpublished opinion) that trial court judge properly rejected defendant’s offer to stipulate that he was intoxicated and two were killed (EMS driver and patient) and third seriously injured (EMT). The prosecution had every right to provide testimony, photographs, body-camera video of the horrible scene.  The jury assessed imprisonment of total 30 years.</w:t>
      </w:r>
    </w:p>
    <w:p w14:paraId="2F31C3E3" w14:textId="77777777" w:rsidR="00916D00" w:rsidRDefault="00916D00" w:rsidP="00916D00">
      <w:pPr>
        <w:pStyle w:val="NoSpacing"/>
        <w:rPr>
          <w:b/>
        </w:rPr>
      </w:pPr>
      <w:hyperlink r:id="rId377" w:history="1">
        <w:r w:rsidRPr="001F11D0">
          <w:rPr>
            <w:rStyle w:val="Hyperlink"/>
            <w:b/>
          </w:rPr>
          <w:t>https://cases.justia.com/texas/thirteenth-court-of-appeals/2026-13-24-00335-cr.pdf?ts=1773937817</w:t>
        </w:r>
      </w:hyperlink>
      <w:r>
        <w:rPr>
          <w:b/>
        </w:rPr>
        <w:t xml:space="preserve"> </w:t>
      </w:r>
    </w:p>
    <w:p w14:paraId="23349623" w14:textId="77777777" w:rsidR="00916D00" w:rsidRDefault="00916D00" w:rsidP="00916D00">
      <w:pPr>
        <w:pStyle w:val="NoSpacing"/>
        <w:rPr>
          <w:bCs/>
        </w:rPr>
      </w:pPr>
      <w:r>
        <w:t xml:space="preserve"> </w:t>
      </w:r>
    </w:p>
    <w:p w14:paraId="337078CF" w14:textId="77777777" w:rsidR="00916D00" w:rsidRPr="008F1BAC" w:rsidRDefault="00916D00" w:rsidP="00916D00">
      <w:pPr>
        <w:pStyle w:val="NoSpacing"/>
      </w:pPr>
      <w:r>
        <w:t>THE COURT HELD: “</w:t>
      </w:r>
      <w:r w:rsidRPr="008F1BAC">
        <w:t>In December 2018, Trevino collided with the rear of a vehicle traveling in front of</w:t>
      </w:r>
      <w:r>
        <w:t xml:space="preserve"> </w:t>
      </w:r>
      <w:r w:rsidRPr="008F1BAC">
        <w:t>him, crossed into an oncoming lane of traffic, and hit an ambulance head on. The</w:t>
      </w:r>
    </w:p>
    <w:p w14:paraId="7CD76A99" w14:textId="77777777" w:rsidR="00916D00" w:rsidRPr="008F1BAC" w:rsidRDefault="00916D00" w:rsidP="00916D00">
      <w:pPr>
        <w:pStyle w:val="NoSpacing"/>
      </w:pPr>
      <w:r w:rsidRPr="008F1BAC">
        <w:t>ambulance driver was killed, a patient was killed, and an emergency medical technician</w:t>
      </w:r>
    </w:p>
    <w:p w14:paraId="6F2161C5" w14:textId="77777777" w:rsidR="00916D00" w:rsidRPr="008F1BAC" w:rsidRDefault="00916D00" w:rsidP="00916D00">
      <w:pPr>
        <w:pStyle w:val="NoSpacing"/>
      </w:pPr>
      <w:r w:rsidRPr="008F1BAC">
        <w:t>(EMT) was injured. Prior to the commencement of trial, Trevino offered to stipulate that</w:t>
      </w:r>
    </w:p>
    <w:p w14:paraId="6EB0BBDF" w14:textId="77777777" w:rsidR="00916D00" w:rsidRPr="008F1BAC" w:rsidRDefault="00916D00" w:rsidP="00916D00">
      <w:pPr>
        <w:pStyle w:val="NoSpacing"/>
      </w:pPr>
      <w:proofErr w:type="gramStart"/>
      <w:r w:rsidRPr="008F1BAC">
        <w:t>he</w:t>
      </w:r>
      <w:proofErr w:type="gramEnd"/>
      <w:r w:rsidRPr="008F1BAC">
        <w:t xml:space="preserve"> was intoxicated, there were two fatalities, and one person suffered serious bodily</w:t>
      </w:r>
    </w:p>
    <w:p w14:paraId="0D245D37" w14:textId="77777777" w:rsidR="00916D00" w:rsidRDefault="00916D00" w:rsidP="00916D00">
      <w:pPr>
        <w:pStyle w:val="NoSpacing"/>
      </w:pPr>
      <w:r w:rsidRPr="008F1BAC">
        <w:lastRenderedPageBreak/>
        <w:t>injury. The State did not accept Trevino’s offer to stipulate in lieu of presenting evidence.</w:t>
      </w:r>
    </w:p>
    <w:p w14:paraId="4718BC8E" w14:textId="77777777" w:rsidR="00916D00" w:rsidRDefault="00916D00" w:rsidP="00916D00">
      <w:pPr>
        <w:pStyle w:val="NoSpacing"/>
      </w:pPr>
      <w:r>
        <w:t>***</w:t>
      </w:r>
    </w:p>
    <w:p w14:paraId="1B06688F" w14:textId="77777777" w:rsidR="00916D00" w:rsidRDefault="00916D00" w:rsidP="00916D00">
      <w:pPr>
        <w:pStyle w:val="NoSpacing"/>
      </w:pPr>
      <w:r>
        <w:t>Here, Trevino cannot ‘stipulate or admit his way out of the full evidentiary force of</w:t>
      </w:r>
    </w:p>
    <w:p w14:paraId="5FE5E8AD" w14:textId="77777777" w:rsidR="00916D00" w:rsidRDefault="00916D00" w:rsidP="00916D00">
      <w:pPr>
        <w:pStyle w:val="NoSpacing"/>
      </w:pPr>
      <w:r>
        <w:t>the case as the [state chose] chooses to present it.’ … While the State’s evidence is certainly necessary for definitionally proving the elements of an offense, that is not the only role of such evidence…. Evidence also plays a role in providing human jurors what stipulations cannot: narratives, complexity, ability to draw inferences, and connection to human experience.”</w:t>
      </w:r>
    </w:p>
    <w:p w14:paraId="121C0D91" w14:textId="77777777" w:rsidR="00916D00" w:rsidRDefault="00916D00" w:rsidP="00916D00">
      <w:pPr>
        <w:pStyle w:val="NoSpacing"/>
      </w:pPr>
    </w:p>
    <w:p w14:paraId="5941298C" w14:textId="77777777" w:rsidR="00916D00" w:rsidRPr="00FF0645" w:rsidRDefault="00916D00" w:rsidP="00916D00">
      <w:pPr>
        <w:pStyle w:val="NoSpacing"/>
        <w:rPr>
          <w:b/>
          <w:bCs/>
        </w:rPr>
      </w:pPr>
      <w:r w:rsidRPr="00FF0645">
        <w:rPr>
          <w:b/>
        </w:rPr>
        <w:t xml:space="preserve">Legal lesson learned: </w:t>
      </w:r>
      <w:r>
        <w:rPr>
          <w:b/>
        </w:rPr>
        <w:t xml:space="preserve">State was entitled to show the jury the terrible result of drunk driving. </w:t>
      </w:r>
    </w:p>
    <w:p w14:paraId="33E3D0B4" w14:textId="77777777" w:rsidR="00916D00" w:rsidRPr="00FF0645" w:rsidRDefault="00916D00" w:rsidP="00916D00">
      <w:pPr>
        <w:pStyle w:val="NoSpacing"/>
        <w:rPr>
          <w:b/>
          <w:bCs/>
        </w:rPr>
      </w:pPr>
    </w:p>
    <w:p w14:paraId="2A58A00C" w14:textId="77777777" w:rsidR="00916D00" w:rsidRDefault="00916D00" w:rsidP="00646EE3">
      <w:pPr>
        <w:rPr>
          <w:rFonts w:ascii="Arial Black" w:hAnsi="Arial Black"/>
          <w:sz w:val="24"/>
          <w:szCs w:val="24"/>
        </w:rPr>
      </w:pPr>
    </w:p>
    <w:p w14:paraId="7D834173" w14:textId="72679317" w:rsidR="00961DF4" w:rsidRDefault="00916D00" w:rsidP="00646EE3">
      <w:pPr>
        <w:rPr>
          <w:rFonts w:ascii="Arial Black" w:hAnsi="Arial Black"/>
          <w:sz w:val="24"/>
          <w:szCs w:val="24"/>
        </w:rPr>
      </w:pPr>
      <w:r>
        <w:rPr>
          <w:rFonts w:ascii="Arial Black" w:hAnsi="Arial Black"/>
          <w:sz w:val="24"/>
          <w:szCs w:val="24"/>
        </w:rPr>
        <w:t>2-10</w:t>
      </w:r>
      <w:r w:rsidR="00056D43">
        <w:rPr>
          <w:rFonts w:ascii="Arial Black" w:hAnsi="Arial Black"/>
          <w:sz w:val="24"/>
          <w:szCs w:val="24"/>
        </w:rPr>
        <w:t>5</w:t>
      </w:r>
    </w:p>
    <w:p w14:paraId="18670608" w14:textId="77777777" w:rsidR="00F52698" w:rsidRDefault="00F52698" w:rsidP="00F52698">
      <w:pPr>
        <w:pStyle w:val="NoSpacing"/>
        <w:rPr>
          <w:rFonts w:ascii="Arial Black" w:hAnsi="Arial Black"/>
          <w:b/>
          <w:sz w:val="28"/>
          <w:szCs w:val="28"/>
        </w:rPr>
      </w:pPr>
      <w:r>
        <w:rPr>
          <w:rFonts w:ascii="Arial Black" w:hAnsi="Arial Black"/>
          <w:b/>
          <w:sz w:val="28"/>
          <w:szCs w:val="28"/>
        </w:rPr>
        <w:t>PA: SPEEDING DRIVER – KILLED “FIRE POLICE” - 25 YRS</w:t>
      </w:r>
    </w:p>
    <w:p w14:paraId="435F1B6D" w14:textId="77777777" w:rsidR="00F52698" w:rsidRDefault="00F52698" w:rsidP="00F52698">
      <w:pPr>
        <w:pStyle w:val="NoSpacing"/>
        <w:rPr>
          <w:bCs/>
        </w:rPr>
      </w:pPr>
    </w:p>
    <w:p w14:paraId="32ABF91E" w14:textId="77777777" w:rsidR="00F52698" w:rsidRDefault="00F52698" w:rsidP="00F52698">
      <w:pPr>
        <w:pStyle w:val="NoSpacing"/>
      </w:pPr>
      <w:r w:rsidRPr="00434D0D">
        <w:t xml:space="preserve">On March 10, 2026, in </w:t>
      </w:r>
      <w:r w:rsidRPr="00434D0D">
        <w:rPr>
          <w:u w:val="single"/>
        </w:rPr>
        <w:t>Commonwealth of Pennsylvania v. Dawann Matrick Simmons</w:t>
      </w:r>
      <w:r w:rsidRPr="00434D0D">
        <w:t xml:space="preserve">, </w:t>
      </w:r>
      <w:r>
        <w:t xml:space="preserve">the </w:t>
      </w:r>
      <w:r w:rsidRPr="00295533">
        <w:t>Superior Court of Pennsylvania</w:t>
      </w:r>
      <w:r>
        <w:t xml:space="preserve"> held (3 to 0; non precedential) that the trial court judge properly rejected criminal defendant’s motion to set aside his guilty plea.  Court wrote: “His statement that he was unaware of the likelihood of the imposition of the maximum sentence may be true, but it is of no matter.”  On November 7, </w:t>
      </w:r>
      <w:proofErr w:type="gramStart"/>
      <w:r>
        <w:t>2024</w:t>
      </w:r>
      <w:proofErr w:type="gramEnd"/>
      <w:r>
        <w:t xml:space="preserve"> he pled no contest to first count - Count 1, Homicide by Vehicle, a Felony of the Third Degree; and guilty to 9 other counts, with trial court judge advising him of max sentence for each count, and total aggregate of 25 years and six months. On January 2, </w:t>
      </w:r>
      <w:proofErr w:type="gramStart"/>
      <w:r>
        <w:t>2025</w:t>
      </w:r>
      <w:proofErr w:type="gramEnd"/>
      <w:r>
        <w:t xml:space="preserve"> he was sentenced to an aggregate of 109 to 218 months’ incarceration.  </w:t>
      </w:r>
    </w:p>
    <w:p w14:paraId="0A80C98C" w14:textId="77777777" w:rsidR="00F52698" w:rsidRDefault="00F52698" w:rsidP="00F52698">
      <w:pPr>
        <w:pStyle w:val="NoSpacing"/>
      </w:pPr>
      <w:hyperlink r:id="rId378" w:history="1">
        <w:r w:rsidRPr="004D13CD">
          <w:rPr>
            <w:rStyle w:val="Hyperlink"/>
          </w:rPr>
          <w:t>https://www.pacourts.us/assets/opinions/Superior/out/J-S01044-26m%20-%20106707559350028927.pdf?cb=1</w:t>
        </w:r>
      </w:hyperlink>
      <w:r>
        <w:t xml:space="preserve"> </w:t>
      </w:r>
    </w:p>
    <w:p w14:paraId="09C0A494" w14:textId="77777777" w:rsidR="00F52698" w:rsidRDefault="00F52698" w:rsidP="00F52698">
      <w:pPr>
        <w:pStyle w:val="NoSpacing"/>
      </w:pPr>
    </w:p>
    <w:p w14:paraId="3E767564" w14:textId="77777777" w:rsidR="00F52698" w:rsidRDefault="00F52698" w:rsidP="00F52698">
      <w:pPr>
        <w:pStyle w:val="NoSpacing"/>
      </w:pPr>
      <w:r>
        <w:t xml:space="preserve">THE COURT HELD:  “On August 20, 2023, near the intersection of West Main Road and Brickyard Road in </w:t>
      </w:r>
      <w:proofErr w:type="gramStart"/>
      <w:r>
        <w:t>North East</w:t>
      </w:r>
      <w:proofErr w:type="gramEnd"/>
      <w:r>
        <w:t>, Pennsylvania, emergency personnel responded to a two-</w:t>
      </w:r>
    </w:p>
    <w:p w14:paraId="61825CEF" w14:textId="77777777" w:rsidR="00F52698" w:rsidRDefault="00F52698" w:rsidP="00F52698">
      <w:pPr>
        <w:pStyle w:val="NoSpacing"/>
      </w:pPr>
      <w:r>
        <w:t xml:space="preserve">vehicle crash…. Emergency personnel included the Fuller Hose Company of the </w:t>
      </w:r>
      <w:proofErr w:type="gramStart"/>
      <w:r>
        <w:t>North East</w:t>
      </w:r>
      <w:proofErr w:type="gramEnd"/>
    </w:p>
    <w:p w14:paraId="61343455" w14:textId="77777777" w:rsidR="00F52698" w:rsidRDefault="00F52698" w:rsidP="00F52698">
      <w:pPr>
        <w:pStyle w:val="NoSpacing"/>
      </w:pPr>
      <w:r>
        <w:t>Volunteer Fire Department and Pennsylvania State Troopers, relevantly including Fire Police Officer Shawn Giles…. Officer Giles was responsible for traffic control in the eastbound lane while firefighters and state troopers performed their investigation of the crash…. Officer Giles was wearing fluorescent clothing and holding fluorescent flags while conducting these</w:t>
      </w:r>
    </w:p>
    <w:p w14:paraId="2AC89638" w14:textId="77777777" w:rsidR="00F52698" w:rsidRDefault="00F52698" w:rsidP="00F52698">
      <w:pPr>
        <w:pStyle w:val="NoSpacing"/>
      </w:pPr>
      <w:r>
        <w:t>official duties…. At this time, Appellant was traveling in a silver Lexus at a high rate of</w:t>
      </w:r>
    </w:p>
    <w:p w14:paraId="6C37A70D" w14:textId="77777777" w:rsidR="00F52698" w:rsidRDefault="00F52698" w:rsidP="00F52698">
      <w:pPr>
        <w:pStyle w:val="NoSpacing"/>
      </w:pPr>
      <w:r>
        <w:t>speed in the left eastbound lane on State Route 20. Notably, Appellant, the driver and sole occupant of the Lexus, was driving with his license suspended by PennDOT…. Maintaining a high rate of speed, Appellant traveled into the right lane, then abruptly swerved back into the left lane to avoid colliding with a vehicle stopped by Officer Giles…. During this maneuver,</w:t>
      </w:r>
    </w:p>
    <w:p w14:paraId="2E108D38" w14:textId="77777777" w:rsidR="00F52698" w:rsidRDefault="00F52698" w:rsidP="00F52698">
      <w:pPr>
        <w:pStyle w:val="NoSpacing"/>
      </w:pPr>
      <w:r>
        <w:t xml:space="preserve">Appellant’s Lexus struck Officer Giles, causing his death </w:t>
      </w:r>
      <w:proofErr w:type="gramStart"/>
      <w:r>
        <w:t>as a result of</w:t>
      </w:r>
      <w:proofErr w:type="gramEnd"/>
      <w:r>
        <w:t xml:space="preserve"> blunt force trauma. </w:t>
      </w:r>
    </w:p>
    <w:p w14:paraId="4C065B9C" w14:textId="77777777" w:rsidR="00F52698" w:rsidRDefault="00F52698" w:rsidP="00F52698">
      <w:pPr>
        <w:pStyle w:val="NoSpacing"/>
      </w:pPr>
    </w:p>
    <w:p w14:paraId="2AF54757" w14:textId="77777777" w:rsidR="00F52698" w:rsidRDefault="00F52698" w:rsidP="00F52698">
      <w:pPr>
        <w:pStyle w:val="NoSpacing"/>
      </w:pPr>
      <w:r>
        <w:t>Through forensic calculation and investigation, Appellant’s vehicle was determined to have been traveling approximately 78 miles per hour (mph) immediately prior to the crash and approximately 58 mph when his vehicle impacted the victim. The posted speed limit was 55 mph, and the required speed limit in an emergency response area is 20 mph less than the posted</w:t>
      </w:r>
    </w:p>
    <w:p w14:paraId="1EBE9C04" w14:textId="77777777" w:rsidR="00F52698" w:rsidRDefault="00F52698" w:rsidP="00F52698">
      <w:pPr>
        <w:pStyle w:val="NoSpacing"/>
      </w:pPr>
      <w:r>
        <w:t>speed limit, thus resulting in a reduced speed limit of 35 mph.”</w:t>
      </w:r>
      <w:r>
        <w:br/>
      </w:r>
    </w:p>
    <w:p w14:paraId="1173FCE7" w14:textId="77777777" w:rsidR="00F52698" w:rsidRDefault="00F52698" w:rsidP="00F52698">
      <w:pPr>
        <w:pStyle w:val="NoSpacing"/>
        <w:rPr>
          <w:b/>
        </w:rPr>
      </w:pPr>
      <w:r w:rsidRPr="00857C9E">
        <w:rPr>
          <w:b/>
        </w:rPr>
        <w:t xml:space="preserve">Legal lesson learned: </w:t>
      </w:r>
      <w:r>
        <w:rPr>
          <w:b/>
        </w:rPr>
        <w:t xml:space="preserve">Trial court gave him the “max” – very appropriate for his misconduct. </w:t>
      </w:r>
    </w:p>
    <w:p w14:paraId="54D08383" w14:textId="77777777" w:rsidR="00056D43" w:rsidRDefault="00056D43" w:rsidP="00F52698">
      <w:pPr>
        <w:pStyle w:val="NoSpacing"/>
        <w:rPr>
          <w:b/>
        </w:rPr>
      </w:pPr>
    </w:p>
    <w:p w14:paraId="0DED33E3" w14:textId="77777777" w:rsidR="00056D43" w:rsidRDefault="00056D43" w:rsidP="00F52698">
      <w:pPr>
        <w:pStyle w:val="NoSpacing"/>
        <w:rPr>
          <w:b/>
        </w:rPr>
      </w:pPr>
    </w:p>
    <w:p w14:paraId="047C9DA2" w14:textId="7BF933BD" w:rsidR="00056D43" w:rsidRDefault="00056D43" w:rsidP="00F52698">
      <w:pPr>
        <w:pStyle w:val="NoSpacing"/>
        <w:rPr>
          <w:b/>
          <w:sz w:val="28"/>
          <w:szCs w:val="28"/>
        </w:rPr>
      </w:pPr>
      <w:r w:rsidRPr="00056D43">
        <w:rPr>
          <w:b/>
          <w:sz w:val="28"/>
          <w:szCs w:val="28"/>
        </w:rPr>
        <w:t>2-104</w:t>
      </w:r>
    </w:p>
    <w:p w14:paraId="0D178866" w14:textId="77777777" w:rsidR="00BE7AC1" w:rsidRDefault="00BE7AC1" w:rsidP="00F52698">
      <w:pPr>
        <w:pStyle w:val="NoSpacing"/>
        <w:rPr>
          <w:b/>
          <w:sz w:val="28"/>
          <w:szCs w:val="28"/>
        </w:rPr>
      </w:pPr>
    </w:p>
    <w:p w14:paraId="69FFCFDC" w14:textId="77777777" w:rsidR="00BE7AC1" w:rsidRPr="00847DEF" w:rsidRDefault="00BE7AC1" w:rsidP="00BE7AC1">
      <w:pPr>
        <w:pStyle w:val="NoSpacing"/>
        <w:rPr>
          <w:rFonts w:ascii="Arial Black" w:hAnsi="Arial Black"/>
          <w:sz w:val="28"/>
          <w:szCs w:val="28"/>
        </w:rPr>
      </w:pPr>
      <w:r>
        <w:rPr>
          <w:rFonts w:ascii="Arial Black" w:hAnsi="Arial Black"/>
          <w:sz w:val="28"/>
          <w:szCs w:val="28"/>
        </w:rPr>
        <w:t>TX: FD CAPTAIN / DISPATCHER – BEARD - NO OVERTIME</w:t>
      </w:r>
    </w:p>
    <w:p w14:paraId="15D60D02" w14:textId="77777777" w:rsidR="00BE7AC1" w:rsidRDefault="00BE7AC1" w:rsidP="00BE7AC1">
      <w:pPr>
        <w:pStyle w:val="NoSpacing"/>
      </w:pPr>
    </w:p>
    <w:p w14:paraId="4FBDB049" w14:textId="77777777" w:rsidR="00BE7AC1" w:rsidRDefault="00BE7AC1" w:rsidP="00BE7AC1">
      <w:pPr>
        <w:pStyle w:val="NoSpacing"/>
      </w:pPr>
      <w:r>
        <w:t xml:space="preserve">On March 6, 2026, in </w:t>
      </w:r>
      <w:r w:rsidRPr="00383B07">
        <w:rPr>
          <w:u w:val="single"/>
        </w:rPr>
        <w:t>Brandon E. O’Neal v. City of Houston, et al</w:t>
      </w:r>
      <w:r>
        <w:t xml:space="preserve">., U.S. District Court Judge </w:t>
      </w:r>
      <w:r w:rsidRPr="00925618">
        <w:t>Keith P. Ellison,</w:t>
      </w:r>
      <w:r>
        <w:t xml:space="preserve"> United States District Court for Southern District of Texas, Houston Division, denied the City’s motion for summary judgment concerning religious discrimination. The plaintiff, African American man and a devout non-denominational Christian is a </w:t>
      </w:r>
      <w:r w:rsidRPr="006A1E85">
        <w:t xml:space="preserve">Senior Communication Captain </w:t>
      </w:r>
      <w:r>
        <w:t xml:space="preserve">and dispatcher </w:t>
      </w:r>
      <w:r w:rsidRPr="006A1E85">
        <w:t xml:space="preserve">at the Houston Emergency Center </w:t>
      </w:r>
      <w:r>
        <w:t xml:space="preserve">where </w:t>
      </w:r>
      <w:r w:rsidRPr="00064791">
        <w:t>other City employees who work alongside Plaintiff</w:t>
      </w:r>
      <w:r>
        <w:t xml:space="preserve">, </w:t>
      </w:r>
      <w:r w:rsidRPr="00064791">
        <w:t>such as police officers, wear beards.</w:t>
      </w:r>
      <w:r>
        <w:t xml:space="preserve"> The Fire Department refuses to allow plaintiff to work overtime so long as he is in breach of the </w:t>
      </w:r>
      <w:proofErr w:type="gramStart"/>
      <w:r>
        <w:t>no beard</w:t>
      </w:r>
      <w:proofErr w:type="gramEnd"/>
      <w:r>
        <w:t xml:space="preserve"> policy. </w:t>
      </w:r>
      <w:hyperlink r:id="rId379" w:history="1">
        <w:r w:rsidRPr="00D74803">
          <w:rPr>
            <w:rStyle w:val="Hyperlink"/>
          </w:rPr>
          <w:t>https://public.fastcase.com/Jhe1Qn%2BmJndQYQU6z%2FeNm3W8hWyjy%2F1qvTK0bYKmSBd7FCE1skWJo447G5Oh2b2vHFVB1fMS7gUR6rAKwE%2FNSCY%2BUXiquDJL%2FDOTOozOi%2FE%3D?utm_medium=email&amp;_hsenc=p2ANqtz--CwMJ1WgahfFouwurH1AvRaq-FpGCK4j_ZGMvVW2VvGo-JzLehL1L025aP9c9K1EJ-bt_z2jfpLFjtfV3Ucq7sQ0mkPQ&amp;_hsmi=226712652&amp;utm_content=226712652&amp;utm_source=hs_email</w:t>
        </w:r>
      </w:hyperlink>
      <w:r>
        <w:t xml:space="preserve"> </w:t>
      </w:r>
    </w:p>
    <w:p w14:paraId="3B20C0F4" w14:textId="77777777" w:rsidR="00BE7AC1" w:rsidRDefault="00BE7AC1" w:rsidP="00BE7AC1">
      <w:pPr>
        <w:pStyle w:val="NoSpacing"/>
      </w:pPr>
    </w:p>
    <w:p w14:paraId="729721B6" w14:textId="77777777" w:rsidR="00BE7AC1" w:rsidRPr="00EC544D" w:rsidRDefault="00BE7AC1" w:rsidP="00BE7AC1">
      <w:pPr>
        <w:pStyle w:val="NoSpacing"/>
      </w:pPr>
      <w:r>
        <w:t>THE COURT HELD: “</w:t>
      </w:r>
      <w:r w:rsidRPr="00EC544D">
        <w:t>O'Neal is a nondenominational Christian. Since 2020, O'Neal has worn a beard. According to O'Neal, his Christian faith compels him to wear a beard, particularly during observance of the “Nazarite Vow.”</w:t>
      </w:r>
      <w:r>
        <w:t xml:space="preserve"> … </w:t>
      </w:r>
      <w:r w:rsidRPr="00EC544D">
        <w:t>(</w:t>
      </w:r>
      <w:r>
        <w:t>‘</w:t>
      </w:r>
      <w:r w:rsidRPr="00EC544D">
        <w:t xml:space="preserve">My religious belief is to have a beard as commanded and </w:t>
      </w:r>
    </w:p>
    <w:p w14:paraId="2AF5317D" w14:textId="77777777" w:rsidR="00BE7AC1" w:rsidRDefault="00BE7AC1" w:rsidP="00BE7AC1">
      <w:pPr>
        <w:pStyle w:val="NoSpacing"/>
      </w:pPr>
      <w:r w:rsidRPr="00EC544D">
        <w:t>required in the Holy Bible.</w:t>
      </w:r>
      <w:r>
        <w:t>’</w:t>
      </w:r>
      <w:r w:rsidRPr="00EC544D">
        <w:t xml:space="preserve">); </w:t>
      </w:r>
      <w:r>
        <w:t>…</w:t>
      </w:r>
      <w:r w:rsidRPr="00EC544D">
        <w:t>(</w:t>
      </w:r>
      <w:r>
        <w:t>‘</w:t>
      </w:r>
      <w:r w:rsidRPr="00EC544D">
        <w:t xml:space="preserve">When I observe the Nazarite Vow it requires no razor to touch my head and let the hair grow long.). </w:t>
      </w:r>
    </w:p>
    <w:p w14:paraId="1B785151" w14:textId="77777777" w:rsidR="00BE7AC1" w:rsidRDefault="00BE7AC1" w:rsidP="00BE7AC1">
      <w:pPr>
        <w:pStyle w:val="NoSpacing"/>
      </w:pPr>
    </w:p>
    <w:p w14:paraId="71D46026" w14:textId="77777777" w:rsidR="00BE7AC1" w:rsidRDefault="00BE7AC1" w:rsidP="00BE7AC1">
      <w:pPr>
        <w:pStyle w:val="NoSpacing"/>
      </w:pPr>
      <w:r>
        <w:t>***</w:t>
      </w:r>
    </w:p>
    <w:p w14:paraId="7B7975D5" w14:textId="77777777" w:rsidR="00BE7AC1" w:rsidRDefault="00BE7AC1" w:rsidP="00BE7AC1">
      <w:pPr>
        <w:pStyle w:val="NoSpacing"/>
      </w:pPr>
      <w:r w:rsidRPr="00064791">
        <w:t>The relevant question is therefore whether, as a matter of law, Defendant has shown that allowing O'Neal to wear a three inch long, one-and-a-half-inch thick beard presented an undue hardship. The Court concludes that it has not. Notably, Plaintiff does not work in an active firefighting setting and is not deployed in emergencies. Rather, he works in dispatch at the Houston Emergency Center (HEC), alongside many other City and non-City employees. He is not required to wear personal protective gear and has not even been issued such gear</w:t>
      </w:r>
      <w:r>
        <w:t xml:space="preserve">…. </w:t>
      </w:r>
      <w:r w:rsidRPr="00064791">
        <w:t>Chief West specifically stated in his deposition that safety concerns were not relevant to the denial of Plaintiff's request</w:t>
      </w:r>
      <w:r>
        <w:t>…. (</w:t>
      </w:r>
      <w:r w:rsidRPr="00064791">
        <w:t>Q: [D]id safety come into play in the decision to deny Captain O'Neil's request? A: Safety did not.”). Additionally, the Court took judicial notice of the fact that other City employees who work alongside Plaintiff at the HEC, such as police officers, wear beards</w:t>
      </w:r>
      <w:r>
        <w:t xml:space="preserve">…. </w:t>
      </w:r>
      <w:r w:rsidRPr="00064791">
        <w:t>Finally, the undue burden now asserted by Defendant in its summary judgment motion—</w:t>
      </w:r>
      <w:r>
        <w:t>'</w:t>
      </w:r>
      <w:r w:rsidRPr="00064791">
        <w:t>safety concerns related to O'Neal's ability to wear SCBA face piece and/or other safety equipment</w:t>
      </w:r>
      <w:r>
        <w:t>’</w:t>
      </w:r>
      <w:r w:rsidRPr="00064791">
        <w:t xml:space="preserve">—were never mentioned in the letters denying O'Neal's requests for accommodation. Thus, a jury could reasonably conclude that accommodating O'Neal's religious practice would not pose an undue hardship to the </w:t>
      </w:r>
      <w:proofErr w:type="gramStart"/>
      <w:r w:rsidRPr="00064791">
        <w:t>City</w:t>
      </w:r>
      <w:proofErr w:type="gramEnd"/>
      <w:r>
        <w:t>.”</w:t>
      </w:r>
    </w:p>
    <w:p w14:paraId="7DAA5919" w14:textId="77777777" w:rsidR="00BE7AC1" w:rsidRDefault="00BE7AC1" w:rsidP="00BE7AC1">
      <w:pPr>
        <w:pStyle w:val="NoSpacing"/>
      </w:pPr>
    </w:p>
    <w:p w14:paraId="0B290381" w14:textId="77777777" w:rsidR="00BE7AC1" w:rsidRPr="00735A39" w:rsidRDefault="00BE7AC1" w:rsidP="00BE7AC1">
      <w:pPr>
        <w:pStyle w:val="NoSpacing"/>
        <w:rPr>
          <w:b/>
          <w:bCs/>
        </w:rPr>
      </w:pPr>
      <w:r w:rsidRPr="00735A39">
        <w:rPr>
          <w:b/>
        </w:rPr>
        <w:t xml:space="preserve">Legal lesson learned: </w:t>
      </w:r>
      <w:r>
        <w:rPr>
          <w:b/>
        </w:rPr>
        <w:t xml:space="preserve">A jury will be asked to decide whether a firefighter / dispatcher must be clean-shaven. </w:t>
      </w:r>
    </w:p>
    <w:p w14:paraId="3F78233C" w14:textId="77777777" w:rsidR="00BE7AC1" w:rsidRPr="00735A39" w:rsidRDefault="00BE7AC1" w:rsidP="00BE7AC1">
      <w:pPr>
        <w:pStyle w:val="NoSpacing"/>
        <w:rPr>
          <w:b/>
          <w:bCs/>
        </w:rPr>
      </w:pPr>
    </w:p>
    <w:p w14:paraId="7EEC978D" w14:textId="77777777" w:rsidR="00BE7AC1" w:rsidRDefault="00BE7AC1" w:rsidP="00BE7AC1">
      <w:pPr>
        <w:pStyle w:val="NoSpacing"/>
        <w:rPr>
          <w:bCs/>
        </w:rPr>
      </w:pPr>
    </w:p>
    <w:p w14:paraId="3B2DE039" w14:textId="77777777" w:rsidR="00BE7AC1" w:rsidRPr="00056D43" w:rsidRDefault="00BE7AC1" w:rsidP="00F52698">
      <w:pPr>
        <w:pStyle w:val="NoSpacing"/>
        <w:rPr>
          <w:b/>
          <w:sz w:val="28"/>
          <w:szCs w:val="28"/>
        </w:rPr>
      </w:pPr>
    </w:p>
    <w:p w14:paraId="77EC5934" w14:textId="77777777" w:rsidR="00056D43" w:rsidRDefault="00056D43" w:rsidP="00F52698">
      <w:pPr>
        <w:pStyle w:val="NoSpacing"/>
        <w:rPr>
          <w:b/>
        </w:rPr>
      </w:pPr>
    </w:p>
    <w:p w14:paraId="149CAF54" w14:textId="77777777" w:rsidR="00056D43" w:rsidRPr="00857C9E" w:rsidRDefault="00056D43" w:rsidP="00F52698">
      <w:pPr>
        <w:pStyle w:val="NoSpacing"/>
        <w:rPr>
          <w:b/>
          <w:bCs/>
        </w:rPr>
      </w:pPr>
    </w:p>
    <w:p w14:paraId="29B9ED48" w14:textId="77777777" w:rsidR="00F52698" w:rsidRPr="00857C9E" w:rsidRDefault="00F52698" w:rsidP="00F52698">
      <w:pPr>
        <w:pStyle w:val="NoSpacing"/>
        <w:rPr>
          <w:b/>
          <w:bCs/>
        </w:rPr>
      </w:pPr>
    </w:p>
    <w:p w14:paraId="3038AB40" w14:textId="77777777" w:rsidR="00916D00" w:rsidRDefault="00916D00" w:rsidP="00646EE3">
      <w:pPr>
        <w:rPr>
          <w:rFonts w:ascii="Arial Black" w:hAnsi="Arial Black"/>
          <w:sz w:val="24"/>
          <w:szCs w:val="24"/>
        </w:rPr>
      </w:pPr>
    </w:p>
    <w:p w14:paraId="62B900F4" w14:textId="77777777" w:rsidR="00961DF4" w:rsidRDefault="00961DF4" w:rsidP="00646EE3">
      <w:pPr>
        <w:rPr>
          <w:rFonts w:ascii="Arial Black" w:hAnsi="Arial Black"/>
          <w:sz w:val="24"/>
          <w:szCs w:val="24"/>
        </w:rPr>
      </w:pPr>
    </w:p>
    <w:p w14:paraId="784B8DE9" w14:textId="2F72D097" w:rsidR="000A5A6C" w:rsidRDefault="000A5A6C" w:rsidP="00646EE3">
      <w:pPr>
        <w:rPr>
          <w:rFonts w:ascii="Arial Black" w:hAnsi="Arial Black"/>
          <w:sz w:val="24"/>
          <w:szCs w:val="24"/>
        </w:rPr>
      </w:pPr>
      <w:r>
        <w:rPr>
          <w:rFonts w:ascii="Arial Black" w:hAnsi="Arial Black"/>
          <w:sz w:val="24"/>
          <w:szCs w:val="24"/>
        </w:rPr>
        <w:t>2-10</w:t>
      </w:r>
      <w:r w:rsidR="00956699">
        <w:rPr>
          <w:rFonts w:ascii="Arial Black" w:hAnsi="Arial Black"/>
          <w:sz w:val="24"/>
          <w:szCs w:val="24"/>
        </w:rPr>
        <w:t>3</w:t>
      </w:r>
    </w:p>
    <w:p w14:paraId="1B991A90" w14:textId="77777777" w:rsidR="000A5A6C" w:rsidRPr="00086CAB" w:rsidRDefault="000A5A6C" w:rsidP="000A5A6C">
      <w:pPr>
        <w:pStyle w:val="NoSpacing"/>
        <w:rPr>
          <w:rFonts w:ascii="Arial Black" w:hAnsi="Arial Black"/>
          <w:sz w:val="28"/>
          <w:szCs w:val="28"/>
        </w:rPr>
      </w:pPr>
      <w:r>
        <w:rPr>
          <w:rFonts w:ascii="Arial Black" w:hAnsi="Arial Black"/>
          <w:sz w:val="28"/>
          <w:szCs w:val="28"/>
        </w:rPr>
        <w:t xml:space="preserve">MD: 3 LODDs – BLDG NOT MARKED / CAD – WK COMP ONLY </w:t>
      </w:r>
    </w:p>
    <w:p w14:paraId="5B9CBA63" w14:textId="77777777" w:rsidR="000A5A6C" w:rsidRDefault="000A5A6C" w:rsidP="000A5A6C">
      <w:pPr>
        <w:pStyle w:val="NoSpacing"/>
      </w:pPr>
    </w:p>
    <w:p w14:paraId="26A74B06" w14:textId="77777777" w:rsidR="000A5A6C" w:rsidRDefault="000A5A6C" w:rsidP="000A5A6C">
      <w:pPr>
        <w:pStyle w:val="NoSpacing"/>
      </w:pPr>
      <w:r>
        <w:t xml:space="preserve">On Feb. 20, 2026, in </w:t>
      </w:r>
      <w:r w:rsidRPr="00326D71">
        <w:rPr>
          <w:u w:val="single"/>
        </w:rPr>
        <w:t>Rachel Butrim, et al. v. Mayor and City Council of Baltimore</w:t>
      </w:r>
      <w:r>
        <w:t xml:space="preserve">,  U.S. District Court Judge </w:t>
      </w:r>
      <w:r w:rsidRPr="00326D71">
        <w:t>Matthew J. Maddox</w:t>
      </w:r>
      <w:r>
        <w:t xml:space="preserve">. United States District Court for the District of Maryland dismissed the lawsuit by the families of the three firefighters who died on January 24, </w:t>
      </w:r>
      <w:proofErr w:type="gramStart"/>
      <w:r>
        <w:t>2022</w:t>
      </w:r>
      <w:proofErr w:type="gramEnd"/>
      <w:r>
        <w:t xml:space="preserve"> in a condemned rowhome (no marking; not in CAD) since there was no proof of City’s </w:t>
      </w:r>
      <w:r w:rsidRPr="00086CAB">
        <w:t>“deliberate intent of the employer to injure or kill</w:t>
      </w:r>
      <w:r>
        <w:t>.</w:t>
      </w:r>
      <w:r w:rsidRPr="00086CAB">
        <w:t>”</w:t>
      </w:r>
      <w:r>
        <w:t xml:space="preserve">  Their sole remedy is worker’s comp. This is the second lawsuit filed by the families; first dismissed by Judge Maddox on </w:t>
      </w:r>
      <w:r w:rsidRPr="000626FA">
        <w:t xml:space="preserve">Dec. </w:t>
      </w:r>
      <w:r>
        <w:t>20</w:t>
      </w:r>
      <w:r w:rsidRPr="000626FA">
        <w:t>, 2024</w:t>
      </w:r>
      <w:r>
        <w:t xml:space="preserve">, and this case was filed in state court </w:t>
      </w:r>
      <w:r>
        <w:lastRenderedPageBreak/>
        <w:t>alleging “</w:t>
      </w:r>
      <w:r w:rsidRPr="00973E1E">
        <w:t>state-created danger</w:t>
      </w:r>
      <w:r>
        <w:t xml:space="preserve">” and then removed by City to federal court.  </w:t>
      </w:r>
      <w:hyperlink r:id="rId380" w:history="1">
        <w:r w:rsidRPr="00700767">
          <w:rPr>
            <w:rStyle w:val="Hyperlink"/>
          </w:rPr>
          <w:t>https://cases.justia.com/federal/district-courts/maryland/mddce/1:2025cv00796/578117/19/0.pdf?ts=1771692701</w:t>
        </w:r>
      </w:hyperlink>
      <w:r>
        <w:t xml:space="preserve"> </w:t>
      </w:r>
    </w:p>
    <w:p w14:paraId="7AF5DD99" w14:textId="77777777" w:rsidR="000A5A6C" w:rsidRDefault="000A5A6C" w:rsidP="000A5A6C">
      <w:pPr>
        <w:pStyle w:val="NoSpacing"/>
      </w:pPr>
    </w:p>
    <w:p w14:paraId="45432E2B" w14:textId="77777777" w:rsidR="000A5A6C" w:rsidRPr="00A539D8" w:rsidRDefault="000A5A6C" w:rsidP="000A5A6C">
      <w:pPr>
        <w:pStyle w:val="NoSpacing"/>
      </w:pPr>
      <w:r>
        <w:t>THE COURT HELD:  “</w:t>
      </w:r>
      <w:r w:rsidRPr="001B1356">
        <w:t>In the minutes before 6:00 a.m. on January 24, 2022, firefighters from the Third Battalion of the Baltimore City Fire Department (</w:t>
      </w:r>
      <w:r>
        <w:t>‘</w:t>
      </w:r>
      <w:r w:rsidRPr="001B1356">
        <w:t>BFD</w:t>
      </w:r>
      <w:r>
        <w:t>’</w:t>
      </w:r>
      <w:r w:rsidRPr="001B1356">
        <w:t xml:space="preserve">) responded to a fire at 205 South Stricker Street (the </w:t>
      </w:r>
      <w:r>
        <w:t>‘</w:t>
      </w:r>
      <w:r w:rsidRPr="001B1356">
        <w:t>Property</w:t>
      </w:r>
      <w:r>
        <w:t>’</w:t>
      </w:r>
      <w:r w:rsidRPr="001B1356">
        <w:t>), a condemned rowhome in the Mount Clare neighborhood of Baltimore, Maryland</w:t>
      </w:r>
      <w:r>
        <w:t xml:space="preserve">…. </w:t>
      </w:r>
      <w:r w:rsidRPr="001B1356">
        <w:t>Six firefighters were ordered to enter the structure, and the house collapsed moments later</w:t>
      </w:r>
      <w:r>
        <w:t xml:space="preserve">…. </w:t>
      </w:r>
      <w:r w:rsidRPr="001B1356">
        <w:t>There were no markings or placards placed outside the Property indicating that it was structurally compromised</w:t>
      </w:r>
      <w:r>
        <w:t xml:space="preserve">…. </w:t>
      </w:r>
      <w:r w:rsidRPr="001B1356">
        <w:t xml:space="preserve"> After the collapse, a rescue team removed two firefighters from the home; three of the others-Paul Butrim, Kelsey Sadler, and Kenneth Lacayo-died; and the sixth firefighter-John McMaster-sustained serious permanent injuries</w:t>
      </w:r>
      <w:r>
        <w:t>….</w:t>
      </w:r>
      <w:r w:rsidRPr="001B1356">
        <w:t xml:space="preserve"> (Paul Butrim, Kelsey Sadler, Kenneth Lacayo, and John McMaster are referred to herein as </w:t>
      </w:r>
      <w:r>
        <w:t>‘</w:t>
      </w:r>
      <w:r w:rsidRPr="001B1356">
        <w:t>Plaintiff Firefighters.</w:t>
      </w:r>
      <w:r>
        <w:t>’</w:t>
      </w:r>
      <w:r w:rsidRPr="001B1356">
        <w:t>)</w:t>
      </w:r>
      <w:r>
        <w:t xml:space="preserve">… </w:t>
      </w:r>
      <w:r w:rsidRPr="00F463A5">
        <w:t xml:space="preserve">In 2010, </w:t>
      </w:r>
      <w:r>
        <w:t>‘</w:t>
      </w:r>
      <w:r w:rsidRPr="00F463A5">
        <w:t>to comply with federal regulators and industry standards,</w:t>
      </w:r>
      <w:r>
        <w:t>’</w:t>
      </w:r>
      <w:r w:rsidRPr="00F463A5">
        <w:t xml:space="preserve"> as well as </w:t>
      </w:r>
      <w:r>
        <w:t>‘</w:t>
      </w:r>
      <w:r w:rsidRPr="00F463A5">
        <w:t>in response to the ‘serious known threats associated with unsafe vacant buildings,” the City implemented a program called Code X-Ray to ensure that firefighters would never be ordered into a structurally unsafe condemned property</w:t>
      </w:r>
      <w:r>
        <w:t xml:space="preserve">…. </w:t>
      </w:r>
      <w:r w:rsidRPr="00F463A5">
        <w:t xml:space="preserve">Under Code X-Ray, the </w:t>
      </w:r>
      <w:proofErr w:type="gramStart"/>
      <w:r w:rsidRPr="00F463A5">
        <w:t>City</w:t>
      </w:r>
      <w:proofErr w:type="gramEnd"/>
      <w:r w:rsidRPr="00F463A5">
        <w:t xml:space="preserve"> marked structurally compromised buildings with reflective placards or a painted red X, which warned firefighters not to enter</w:t>
      </w:r>
      <w:r>
        <w:t xml:space="preserve">…. </w:t>
      </w:r>
      <w:r w:rsidRPr="00F463A5">
        <w:t xml:space="preserve">A marking system like Code X-Ray was necessary for the City to secure and maintain grants for municipal services, as new federal funding was </w:t>
      </w:r>
      <w:r>
        <w:t>‘</w:t>
      </w:r>
      <w:r w:rsidRPr="00F463A5">
        <w:t>increasingly conditioned on adequate safety and mitigation strategies for vacant and condemned properties.</w:t>
      </w:r>
      <w:r>
        <w:t xml:space="preserve">’ … According to the Complaint, Plaintiff Firefighters would not have continued working for the </w:t>
      </w:r>
      <w:proofErr w:type="gramStart"/>
      <w:r>
        <w:t>City</w:t>
      </w:r>
      <w:proofErr w:type="gramEnd"/>
      <w:r>
        <w:t xml:space="preserve"> if they knew that it had lied about Code X-Ray’s discontinuation ‘because they valued their lives and families more than their municipal jobs.’ *** </w:t>
      </w:r>
      <w:r w:rsidRPr="00A539D8">
        <w:t xml:space="preserve">But even if all the foregoing acts attributed to the </w:t>
      </w:r>
      <w:proofErr w:type="gramStart"/>
      <w:r w:rsidRPr="00A539D8">
        <w:t>City</w:t>
      </w:r>
      <w:proofErr w:type="gramEnd"/>
      <w:r w:rsidRPr="00A539D8">
        <w:t xml:space="preserve"> constituted </w:t>
      </w:r>
      <w:r>
        <w:t>‘</w:t>
      </w:r>
      <w:r w:rsidRPr="00A539D8">
        <w:t>affirmative acts</w:t>
      </w:r>
      <w:r>
        <w:t xml:space="preserve">’ </w:t>
      </w:r>
      <w:r w:rsidRPr="00A539D8">
        <w:t>for purposes of a state-created danger claim, Plaintiffs do not allege any facts to support a reasonable inference that any City or BFD official, at any point, acted “</w:t>
      </w:r>
      <w:r w:rsidRPr="00A539D8">
        <w:rPr>
          <w:i/>
          <w:iCs/>
        </w:rPr>
        <w:t>with the purpose of</w:t>
      </w:r>
      <w:r w:rsidRPr="00A539D8">
        <w:t>” harming Plaintiff Firefighters.</w:t>
      </w:r>
      <w:r>
        <w:t xml:space="preserve">” </w:t>
      </w:r>
    </w:p>
    <w:p w14:paraId="3D4EFD90" w14:textId="77777777" w:rsidR="000A5A6C" w:rsidRPr="001B1356" w:rsidRDefault="000A5A6C" w:rsidP="000A5A6C">
      <w:pPr>
        <w:pStyle w:val="NoSpacing"/>
      </w:pPr>
    </w:p>
    <w:p w14:paraId="1A626444" w14:textId="77777777" w:rsidR="000A5A6C" w:rsidRPr="00F27D15" w:rsidRDefault="000A5A6C" w:rsidP="000A5A6C">
      <w:pPr>
        <w:pStyle w:val="NoSpacing"/>
        <w:rPr>
          <w:b/>
          <w:bCs/>
        </w:rPr>
      </w:pPr>
      <w:r>
        <w:rPr>
          <w:b/>
        </w:rPr>
        <w:t xml:space="preserve">Legal lesson learned: Tragic set of facts, but worker’s comp appears to be the only remedy of the families of the three firefighters killed in this abandoned rowhome. </w:t>
      </w:r>
    </w:p>
    <w:p w14:paraId="4BAD4E35" w14:textId="77777777" w:rsidR="000A5A6C" w:rsidRDefault="000A5A6C" w:rsidP="000A5A6C">
      <w:pPr>
        <w:pStyle w:val="NoSpacing"/>
      </w:pPr>
    </w:p>
    <w:p w14:paraId="35FBE551" w14:textId="529E285C" w:rsidR="000A5A6C" w:rsidRDefault="000A5A6C" w:rsidP="000A5A6C">
      <w:pPr>
        <w:rPr>
          <w:rFonts w:ascii="Arial Black" w:hAnsi="Arial Black"/>
          <w:sz w:val="24"/>
          <w:szCs w:val="24"/>
        </w:rPr>
      </w:pPr>
      <w:r>
        <w:t xml:space="preserve">Note: See the first case that was dismissed in 2024. </w:t>
      </w:r>
      <w:r w:rsidRPr="008A697E">
        <w:rPr>
          <w:i/>
          <w:iCs/>
        </w:rPr>
        <w:t>Butrim v. Mayor of Balt.</w:t>
      </w:r>
      <w:r w:rsidRPr="008A697E">
        <w:t xml:space="preserve"> (“</w:t>
      </w:r>
      <w:r w:rsidRPr="008A697E">
        <w:rPr>
          <w:i/>
          <w:iCs/>
        </w:rPr>
        <w:t>Butrim I</w:t>
      </w:r>
      <w:r w:rsidRPr="008A697E">
        <w:t>”),</w:t>
      </w:r>
      <w:r>
        <w:t xml:space="preserve"> </w:t>
      </w:r>
      <w:hyperlink r:id="rId381" w:history="1">
        <w:r w:rsidRPr="00700767">
          <w:rPr>
            <w:rStyle w:val="Hyperlink"/>
          </w:rPr>
          <w:t>https://cases.justia.com/federal/district-courts/maryland/mddce/1:2025cv00796/578117/19/0.pdf?ts=1771692701</w:t>
        </w:r>
      </w:hyperlink>
    </w:p>
    <w:p w14:paraId="057430E4" w14:textId="77777777" w:rsidR="000A5A6C" w:rsidRDefault="000A5A6C" w:rsidP="00646EE3">
      <w:pPr>
        <w:rPr>
          <w:rFonts w:ascii="Arial Black" w:hAnsi="Arial Black"/>
          <w:sz w:val="24"/>
          <w:szCs w:val="24"/>
        </w:rPr>
      </w:pPr>
    </w:p>
    <w:p w14:paraId="4FF3758D" w14:textId="34709832" w:rsidR="000A5A6C" w:rsidRDefault="005E79E8" w:rsidP="00646EE3">
      <w:pPr>
        <w:rPr>
          <w:rFonts w:ascii="Arial Black" w:hAnsi="Arial Black"/>
          <w:sz w:val="24"/>
          <w:szCs w:val="24"/>
        </w:rPr>
      </w:pPr>
      <w:r>
        <w:rPr>
          <w:rFonts w:ascii="Arial Black" w:hAnsi="Arial Black"/>
          <w:sz w:val="24"/>
          <w:szCs w:val="24"/>
        </w:rPr>
        <w:t>2-10</w:t>
      </w:r>
      <w:r w:rsidR="00956699">
        <w:rPr>
          <w:rFonts w:ascii="Arial Black" w:hAnsi="Arial Black"/>
          <w:sz w:val="24"/>
          <w:szCs w:val="24"/>
        </w:rPr>
        <w:t>2</w:t>
      </w:r>
    </w:p>
    <w:p w14:paraId="7A0E3919" w14:textId="77777777" w:rsidR="005E79E8" w:rsidRDefault="005E79E8" w:rsidP="005E79E8">
      <w:pPr>
        <w:pStyle w:val="NoSpacing"/>
        <w:rPr>
          <w:rFonts w:ascii="Arial Black" w:hAnsi="Arial Black"/>
          <w:bCs/>
          <w:sz w:val="28"/>
          <w:szCs w:val="28"/>
        </w:rPr>
      </w:pPr>
      <w:r>
        <w:rPr>
          <w:rFonts w:ascii="Arial Black" w:hAnsi="Arial Black"/>
          <w:sz w:val="28"/>
          <w:szCs w:val="28"/>
        </w:rPr>
        <w:t>GA: FF LOST FINGERS – CARGO TRAY MFR – PUNITIVE DAM.</w:t>
      </w:r>
    </w:p>
    <w:p w14:paraId="0EB16D3F" w14:textId="77777777" w:rsidR="005E79E8" w:rsidRDefault="005E79E8" w:rsidP="005E79E8">
      <w:pPr>
        <w:pStyle w:val="NoSpacing"/>
        <w:rPr>
          <w:bCs/>
        </w:rPr>
      </w:pPr>
    </w:p>
    <w:p w14:paraId="13A1BD57" w14:textId="77777777" w:rsidR="005E79E8" w:rsidRPr="00497602" w:rsidRDefault="005E79E8" w:rsidP="005E79E8">
      <w:pPr>
        <w:pStyle w:val="NoSpacing"/>
        <w:rPr>
          <w:bCs/>
        </w:rPr>
      </w:pPr>
      <w:r>
        <w:t xml:space="preserve">On February 12, 2026, in </w:t>
      </w:r>
      <w:r w:rsidRPr="00901190">
        <w:rPr>
          <w:u w:val="single"/>
        </w:rPr>
        <w:t xml:space="preserve">Joshua Tayor Chillous v. Kovatch Mobile Equipment Corporation and </w:t>
      </w:r>
      <w:proofErr w:type="spellStart"/>
      <w:r w:rsidRPr="00901190">
        <w:rPr>
          <w:u w:val="single"/>
        </w:rPr>
        <w:t>Onscene</w:t>
      </w:r>
      <w:proofErr w:type="spellEnd"/>
      <w:r w:rsidRPr="00901190">
        <w:rPr>
          <w:u w:val="single"/>
        </w:rPr>
        <w:t xml:space="preserve"> Solutions, LLC</w:t>
      </w:r>
      <w:r>
        <w:t xml:space="preserve">, U.S. District Court Judge Lisa Godbey Wood, </w:t>
      </w:r>
      <w:r w:rsidRPr="00497602">
        <w:t xml:space="preserve">United States District Court for </w:t>
      </w:r>
      <w:r>
        <w:t>S</w:t>
      </w:r>
      <w:r w:rsidRPr="00497602">
        <w:t>outhern District of Georgia, Brunswick Division</w:t>
      </w:r>
      <w:r>
        <w:t xml:space="preserve">, denied partial summary judgments by </w:t>
      </w:r>
      <w:proofErr w:type="spellStart"/>
      <w:r>
        <w:t>OnScene</w:t>
      </w:r>
      <w:proofErr w:type="spellEnd"/>
      <w:r>
        <w:t xml:space="preserve"> (sued for punitive damages; bolts were too short); and KME for negligence (3 fire engines needing repair in Norfolk, Groton, and Guam, but never inspected this engine).  The plaintiff, a civilian firefighter at Kings Bay Naval Base, had two fingers severed on June 16, </w:t>
      </w:r>
      <w:proofErr w:type="gramStart"/>
      <w:r>
        <w:t>2022</w:t>
      </w:r>
      <w:proofErr w:type="gramEnd"/>
      <w:r>
        <w:t xml:space="preserve"> when the cargo bay fell off the KME engine. </w:t>
      </w:r>
      <w:hyperlink r:id="rId382" w:history="1">
        <w:r w:rsidRPr="00C72C21">
          <w:rPr>
            <w:rStyle w:val="Hyperlink"/>
          </w:rPr>
          <w:t>https://cases.justia.com/federal/district-courts/georgia/gasdce/2:2024cv00049/96644/96/0.pdf?ts=1771001361</w:t>
        </w:r>
      </w:hyperlink>
      <w:r>
        <w:t xml:space="preserve"> </w:t>
      </w:r>
    </w:p>
    <w:p w14:paraId="4E5F865A" w14:textId="77777777" w:rsidR="005E79E8" w:rsidRDefault="005E79E8" w:rsidP="005E79E8">
      <w:pPr>
        <w:pStyle w:val="NoSpacing"/>
        <w:rPr>
          <w:bCs/>
        </w:rPr>
      </w:pPr>
    </w:p>
    <w:p w14:paraId="41B21A30" w14:textId="77777777" w:rsidR="005E79E8" w:rsidRDefault="005E79E8" w:rsidP="005E79E8">
      <w:pPr>
        <w:pStyle w:val="NoSpacing"/>
        <w:rPr>
          <w:bCs/>
        </w:rPr>
      </w:pPr>
      <w:r>
        <w:t>THE COURT HELD: “</w:t>
      </w:r>
      <w:r w:rsidRPr="008B2C56">
        <w:t>Plaintiff filed this personal injury action after he was injured by an allegedly defective sliding cargo tray attached to a firetruck located at Kings Bay Naval Base in St. Mary's, Georgia</w:t>
      </w:r>
      <w:r>
        <w:t>…</w:t>
      </w:r>
      <w:r w:rsidRPr="008B2C56">
        <w:t>. On June 16, 2022, Plaintiff, a civil firefighter employed by the Department of Defense, was attempting to access the cargo tray while gathering supplies for an emergency when the deployed tray fell to the ground, trapping his middle and ring finger and severing both fingers at the first joint</w:t>
      </w:r>
      <w:r>
        <w:t xml:space="preserve">…. </w:t>
      </w:r>
      <w:r w:rsidRPr="008B2C56">
        <w:t xml:space="preserve"> A Naval Safety Specialist, Dean Merrill, later investigated the incident and reported that the screws of the tray door had failed, the screws being too short for the screw hold</w:t>
      </w:r>
      <w:r>
        <w:t xml:space="preserve">…. </w:t>
      </w:r>
      <w:proofErr w:type="spellStart"/>
      <w:r w:rsidRPr="008B2C56">
        <w:t>OnScene</w:t>
      </w:r>
      <w:proofErr w:type="spellEnd"/>
      <w:r w:rsidRPr="008B2C56">
        <w:t xml:space="preserve"> designed and built the cargo tray, including the stopping mechanism</w:t>
      </w:r>
      <w:r>
        <w:t xml:space="preserve">…. </w:t>
      </w:r>
      <w:r w:rsidRPr="008B2C56">
        <w:t>The tray was then affixed to the firetruck by the truck's manufacturer, KME, who then sold the truck to the Department of the Navy (</w:t>
      </w:r>
      <w:r>
        <w:t>‘</w:t>
      </w:r>
      <w:r w:rsidRPr="008B2C56">
        <w:t>the Navy</w:t>
      </w:r>
      <w:r>
        <w:t>’</w:t>
      </w:r>
      <w:r w:rsidRPr="008B2C56">
        <w:t>)</w:t>
      </w:r>
      <w:r>
        <w:t xml:space="preserve">…. </w:t>
      </w:r>
      <w:r w:rsidRPr="000F01AB">
        <w:t xml:space="preserve">Plaintiff also points to deposition testimony provided by an </w:t>
      </w:r>
      <w:proofErr w:type="spellStart"/>
      <w:r w:rsidRPr="000F01AB">
        <w:t>OnScene</w:t>
      </w:r>
      <w:proofErr w:type="spellEnd"/>
      <w:r w:rsidRPr="000F01AB">
        <w:t xml:space="preserve"> representative that the cargo tray was approved by non-engineers, after alleged tests that did not </w:t>
      </w:r>
      <w:r w:rsidRPr="000F01AB">
        <w:lastRenderedPageBreak/>
        <w:t xml:space="preserve">include calculations of expected force exerted in the field, even though </w:t>
      </w:r>
      <w:proofErr w:type="spellStart"/>
      <w:r w:rsidRPr="000F01AB">
        <w:t>OnScene</w:t>
      </w:r>
      <w:proofErr w:type="spellEnd"/>
      <w:r w:rsidRPr="000F01AB">
        <w:t xml:space="preserve"> was aware of the danger of a defective cargo tray at the inception of the product</w:t>
      </w:r>
      <w:r>
        <w:t xml:space="preserve">…. </w:t>
      </w:r>
      <w:r w:rsidRPr="000F01AB">
        <w:t xml:space="preserve">Further, </w:t>
      </w:r>
      <w:proofErr w:type="spellStart"/>
      <w:r w:rsidRPr="000F01AB">
        <w:t>OnScene</w:t>
      </w:r>
      <w:proofErr w:type="spellEnd"/>
      <w:r w:rsidRPr="000F01AB">
        <w:t xml:space="preserve"> retained no documentation of the tests</w:t>
      </w:r>
      <w:r>
        <w:t>….  N</w:t>
      </w:r>
      <w:r w:rsidRPr="000F01AB">
        <w:t xml:space="preserve">or did </w:t>
      </w:r>
      <w:proofErr w:type="spellStart"/>
      <w:r w:rsidRPr="000F01AB">
        <w:t>OnScene</w:t>
      </w:r>
      <w:proofErr w:type="spellEnd"/>
      <w:r w:rsidRPr="000F01AB">
        <w:t xml:space="preserve"> retain any design drawings or documents identifying the defective units</w:t>
      </w:r>
      <w:r>
        <w:t xml:space="preserve">…. </w:t>
      </w:r>
      <w:proofErr w:type="spellStart"/>
      <w:r w:rsidRPr="00FA6BE6">
        <w:t>OnScene</w:t>
      </w:r>
      <w:proofErr w:type="spellEnd"/>
      <w:r w:rsidRPr="00FA6BE6">
        <w:t xml:space="preserve"> had identified three trucks with short hardware, Norfolk, Groton, and Guam, omitting the truck at Kings Bay</w:t>
      </w:r>
      <w:r>
        <w:t xml:space="preserve">. *** </w:t>
      </w:r>
      <w:r w:rsidRPr="002478EA">
        <w:t>From these facts, a reasonable jury could conclude that KME's failure to inspect the Kings Bay truck or identify the Kings Bay truck as having a defective cargo tray would foreseeably lead to Plaintiff's injury.</w:t>
      </w:r>
    </w:p>
    <w:p w14:paraId="68A38810" w14:textId="77777777" w:rsidR="005E79E8" w:rsidRDefault="005E79E8" w:rsidP="005E79E8">
      <w:pPr>
        <w:pStyle w:val="NoSpacing"/>
        <w:rPr>
          <w:bCs/>
        </w:rPr>
      </w:pPr>
    </w:p>
    <w:p w14:paraId="64A7CBD7" w14:textId="77777777" w:rsidR="005E79E8" w:rsidRPr="00BE1E86" w:rsidRDefault="005E79E8" w:rsidP="005E79E8">
      <w:pPr>
        <w:pStyle w:val="NoSpacing"/>
        <w:rPr>
          <w:b/>
        </w:rPr>
      </w:pPr>
      <w:r>
        <w:rPr>
          <w:b/>
        </w:rPr>
        <w:t xml:space="preserve">Legal lesson learned: The civilian firefighter may now proceed to trial and seek from a </w:t>
      </w:r>
      <w:proofErr w:type="gramStart"/>
      <w:r>
        <w:rPr>
          <w:b/>
        </w:rPr>
        <w:t>jury punitive damages</w:t>
      </w:r>
      <w:proofErr w:type="gramEnd"/>
      <w:r>
        <w:rPr>
          <w:b/>
        </w:rPr>
        <w:t xml:space="preserve"> against </w:t>
      </w:r>
      <w:proofErr w:type="spellStart"/>
      <w:r>
        <w:rPr>
          <w:b/>
        </w:rPr>
        <w:t>OnScene</w:t>
      </w:r>
      <w:proofErr w:type="spellEnd"/>
      <w:r>
        <w:rPr>
          <w:b/>
        </w:rPr>
        <w:t xml:space="preserve"> and ordinary damages against KME. </w:t>
      </w:r>
    </w:p>
    <w:p w14:paraId="1DE52020" w14:textId="77777777" w:rsidR="005E79E8" w:rsidRDefault="005E79E8" w:rsidP="00646EE3">
      <w:pPr>
        <w:rPr>
          <w:rFonts w:ascii="Arial Black" w:hAnsi="Arial Black"/>
          <w:sz w:val="24"/>
          <w:szCs w:val="24"/>
        </w:rPr>
      </w:pPr>
    </w:p>
    <w:p w14:paraId="4BF2F962" w14:textId="71A37097" w:rsidR="0082202A" w:rsidRDefault="00E90661" w:rsidP="00646EE3">
      <w:pPr>
        <w:rPr>
          <w:rFonts w:ascii="Arial Black" w:hAnsi="Arial Black"/>
          <w:sz w:val="24"/>
          <w:szCs w:val="24"/>
        </w:rPr>
      </w:pPr>
      <w:r>
        <w:rPr>
          <w:rFonts w:ascii="Arial Black" w:hAnsi="Arial Black"/>
          <w:sz w:val="24"/>
          <w:szCs w:val="24"/>
        </w:rPr>
        <w:t>2-</w:t>
      </w:r>
      <w:r w:rsidR="00016469">
        <w:rPr>
          <w:rFonts w:ascii="Arial Black" w:hAnsi="Arial Black"/>
          <w:sz w:val="24"/>
          <w:szCs w:val="24"/>
        </w:rPr>
        <w:t>10</w:t>
      </w:r>
      <w:r w:rsidR="00956699">
        <w:rPr>
          <w:rFonts w:ascii="Arial Black" w:hAnsi="Arial Black"/>
          <w:sz w:val="24"/>
          <w:szCs w:val="24"/>
        </w:rPr>
        <w:t>1</w:t>
      </w:r>
    </w:p>
    <w:p w14:paraId="51AAAB58" w14:textId="77777777" w:rsidR="00016469" w:rsidRPr="00D70545" w:rsidRDefault="00016469" w:rsidP="00016469">
      <w:pPr>
        <w:rPr>
          <w:rFonts w:ascii="Arial Black" w:hAnsi="Arial Black"/>
          <w:b/>
          <w:sz w:val="28"/>
          <w:szCs w:val="28"/>
        </w:rPr>
      </w:pPr>
      <w:r>
        <w:rPr>
          <w:rFonts w:ascii="Arial Black" w:hAnsi="Arial Black"/>
          <w:b/>
          <w:sz w:val="28"/>
          <w:szCs w:val="28"/>
        </w:rPr>
        <w:t xml:space="preserve">NY: FIRE CHIEF – BURNED BY SHOE INSOLE HEATER </w:t>
      </w:r>
    </w:p>
    <w:p w14:paraId="1B7C2C1B" w14:textId="77777777" w:rsidR="00016469" w:rsidRDefault="00016469" w:rsidP="00016469">
      <w:r>
        <w:t xml:space="preserve">On Jan. 22, 2026, in </w:t>
      </w:r>
      <w:r w:rsidRPr="00D86CB4">
        <w:rPr>
          <w:u w:val="single"/>
        </w:rPr>
        <w:t xml:space="preserve">Gregory George v, Shenzhen </w:t>
      </w:r>
      <w:proofErr w:type="spellStart"/>
      <w:r w:rsidRPr="00D86CB4">
        <w:rPr>
          <w:u w:val="single"/>
        </w:rPr>
        <w:t>Tejiali</w:t>
      </w:r>
      <w:proofErr w:type="spellEnd"/>
      <w:r w:rsidRPr="00D86CB4">
        <w:rPr>
          <w:u w:val="single"/>
        </w:rPr>
        <w:t xml:space="preserve"> Technology Co., LTB, d/b/a IHeat</w:t>
      </w:r>
      <w:r>
        <w:t>, U.S. Chief District Court Judge Brenda K. Sannes, United States District Court for Northern District of New York, granted the plaintiff’s m</w:t>
      </w:r>
      <w:r w:rsidRPr="00EB443B">
        <w:t xml:space="preserve">otion for </w:t>
      </w:r>
      <w:r>
        <w:t>d</w:t>
      </w:r>
      <w:r w:rsidRPr="00EB443B">
        <w:t xml:space="preserve">efault </w:t>
      </w:r>
      <w:r>
        <w:t>j</w:t>
      </w:r>
      <w:r w:rsidRPr="00EB443B">
        <w:t>udgmen</w:t>
      </w:r>
      <w:r>
        <w:t xml:space="preserve">t against the manufacturer of the </w:t>
      </w:r>
      <w:r w:rsidRPr="006C1CE4">
        <w:t>lithium battery-powered heated shoe insoles</w:t>
      </w:r>
      <w:r>
        <w:t xml:space="preserve">, located in </w:t>
      </w:r>
      <w:r w:rsidRPr="006C1CE4">
        <w:t>Shenzhen, Guangdong, People's Republic of China</w:t>
      </w:r>
      <w:r>
        <w:t xml:space="preserve">, which he bought through Amazon.  The manufacturer </w:t>
      </w:r>
      <w:r w:rsidRPr="009D675B">
        <w:t>has not answered the complaint or appeared in this action.</w:t>
      </w:r>
      <w:r>
        <w:t xml:space="preserve">  </w:t>
      </w:r>
      <w:hyperlink r:id="rId383" w:history="1">
        <w:r w:rsidRPr="004147E7">
          <w:rPr>
            <w:rStyle w:val="Hyperlink"/>
          </w:rPr>
          <w:t>https://cases.justia.com/federal/district-courts/new-york/nyndce/6:2024cv00956/144608/40/0.pdf?ts=1769171952</w:t>
        </w:r>
      </w:hyperlink>
      <w:r>
        <w:t xml:space="preserve"> </w:t>
      </w:r>
    </w:p>
    <w:p w14:paraId="05B4D92F" w14:textId="77777777" w:rsidR="00016469" w:rsidRDefault="00016469" w:rsidP="00016469">
      <w:r>
        <w:t>THE COURT HELD:</w:t>
      </w:r>
    </w:p>
    <w:p w14:paraId="05FC9D98" w14:textId="77777777" w:rsidR="00016469" w:rsidRDefault="00016469" w:rsidP="00016469">
      <w:pPr>
        <w:ind w:left="720"/>
      </w:pPr>
      <w:r>
        <w:t xml:space="preserve">“Gregory </w:t>
      </w:r>
      <w:r w:rsidRPr="00B008B4">
        <w:t xml:space="preserve">George turned the insoles on </w:t>
      </w:r>
      <w:r>
        <w:t>‘</w:t>
      </w:r>
      <w:r w:rsidRPr="00B008B4">
        <w:t>in accordance with the instructions, put them in his boots, put socks on his feet, and put his boots on.</w:t>
      </w:r>
      <w:r>
        <w:t>’…</w:t>
      </w:r>
      <w:r w:rsidRPr="00B008B4">
        <w:t>He set the insoles to the medium setting (which could heat to a temperature range of 122-131°F) and walked outside</w:t>
      </w:r>
      <w:r>
        <w:t xml:space="preserve">…. </w:t>
      </w:r>
      <w:r w:rsidRPr="00B008B4">
        <w:t xml:space="preserve"> Around five minutes </w:t>
      </w:r>
      <w:proofErr w:type="gramStart"/>
      <w:r w:rsidRPr="00B008B4">
        <w:t xml:space="preserve">later, </w:t>
      </w:r>
      <w:r>
        <w:t>‘</w:t>
      </w:r>
      <w:proofErr w:type="gramEnd"/>
      <w:r w:rsidRPr="00B008B4">
        <w:t>he felt an electric shock to his right foot and his right boot burst into flames.</w:t>
      </w:r>
      <w:r>
        <w:t xml:space="preserve">’ … </w:t>
      </w:r>
      <w:r w:rsidRPr="00B008B4">
        <w:t xml:space="preserve">It took him about 40 seconds to take the boot off. </w:t>
      </w:r>
      <w:r>
        <w:t>‘</w:t>
      </w:r>
      <w:r w:rsidRPr="00B008B4">
        <w:t>George's right foot was severely burned, the skin of his right foot was blackened and some had started to peel off, and he was in extreme pain.</w:t>
      </w:r>
      <w:r>
        <w:t>’ ,,,</w:t>
      </w:r>
      <w:r w:rsidRPr="00B008B4">
        <w:t xml:space="preserve"> He went to the hospital, </w:t>
      </w:r>
      <w:r>
        <w:t>w</w:t>
      </w:r>
      <w:r w:rsidRPr="00B008B4">
        <w:t xml:space="preserve">here he was diagnosed with </w:t>
      </w:r>
      <w:r>
        <w:t>‘</w:t>
      </w:r>
      <w:r w:rsidRPr="00B008B4">
        <w:t>second-degree burns, as well as full-thickness, or third-degree, burns covering 1.5% of his right foot.</w:t>
      </w:r>
      <w:r>
        <w:t xml:space="preserve">’ … </w:t>
      </w:r>
      <w:r w:rsidRPr="00B008B4">
        <w:t xml:space="preserve"> The affected skin was debrided, and he was referred to a burn center for further care</w:t>
      </w:r>
      <w:r>
        <w:t xml:space="preserve">…. </w:t>
      </w:r>
      <w:r w:rsidRPr="00B008B4">
        <w:t xml:space="preserve"> There, he received in-patient wound care for five days</w:t>
      </w:r>
      <w:r>
        <w:t xml:space="preserve">…. </w:t>
      </w:r>
      <w:r w:rsidRPr="00B008B4">
        <w:t xml:space="preserve"> He later returned to the burn center for </w:t>
      </w:r>
      <w:r>
        <w:t>‘</w:t>
      </w:r>
      <w:r w:rsidRPr="00B008B4">
        <w:t>skin grafting using donor skin from two locations on his right thigh to replace the skin that was burned on his right foot.</w:t>
      </w:r>
      <w:r>
        <w:t xml:space="preserve">’ … </w:t>
      </w:r>
      <w:r w:rsidRPr="00B008B4">
        <w:t>He remained</w:t>
      </w:r>
      <w:r>
        <w:t xml:space="preserve"> </w:t>
      </w:r>
      <w:r w:rsidRPr="00E9334F">
        <w:t>at the center for inpatient care for ten days</w:t>
      </w:r>
      <w:r>
        <w:t xml:space="preserve">….  </w:t>
      </w:r>
      <w:r w:rsidRPr="00B91A1F">
        <w:t xml:space="preserve">ORDERED that the Court will hold an evidentiary hearing on February 24, 2026, at 10:30 a.m. to determine damages in accordance with this </w:t>
      </w:r>
      <w:proofErr w:type="gramStart"/>
      <w:r w:rsidRPr="00B91A1F">
        <w:t>order</w:t>
      </w:r>
      <w:r>
        <w:t>.”</w:t>
      </w:r>
      <w:proofErr w:type="gramEnd"/>
      <w:r>
        <w:t xml:space="preserve"> </w:t>
      </w:r>
    </w:p>
    <w:p w14:paraId="47368891" w14:textId="77777777" w:rsidR="00016469" w:rsidRDefault="00016469" w:rsidP="00016469">
      <w:pPr>
        <w:rPr>
          <w:b/>
          <w:bCs/>
        </w:rPr>
      </w:pPr>
      <w:r>
        <w:rPr>
          <w:b/>
        </w:rPr>
        <w:t xml:space="preserve">Legal lesson learned: Be very caution </w:t>
      </w:r>
      <w:r w:rsidRPr="00E9334F">
        <w:rPr>
          <w:b/>
        </w:rPr>
        <w:t>of lithium battery-powered heated shoe insoles</w:t>
      </w:r>
      <w:r>
        <w:rPr>
          <w:b/>
        </w:rPr>
        <w:t xml:space="preserve">.  With a foreign manufacturer he may have great difficulty collecting any </w:t>
      </w:r>
      <w:proofErr w:type="gramStart"/>
      <w:r>
        <w:rPr>
          <w:b/>
        </w:rPr>
        <w:t>damages</w:t>
      </w:r>
      <w:proofErr w:type="gramEnd"/>
      <w:r>
        <w:rPr>
          <w:b/>
        </w:rPr>
        <w:t xml:space="preserve">.  </w:t>
      </w:r>
    </w:p>
    <w:p w14:paraId="1221ECEF" w14:textId="77777777" w:rsidR="00016469" w:rsidRDefault="00016469" w:rsidP="00016469">
      <w:pPr>
        <w:ind w:left="720"/>
      </w:pPr>
      <w:r w:rsidRPr="008C1EE8">
        <w:t xml:space="preserve">Note: Defendants Amazon </w:t>
      </w:r>
      <w:r>
        <w:t xml:space="preserve">and seller </w:t>
      </w:r>
      <w:r w:rsidRPr="008C1EE8">
        <w:t xml:space="preserve">Mirror </w:t>
      </w:r>
      <w:proofErr w:type="spellStart"/>
      <w:r w:rsidRPr="008C1EE8">
        <w:t>Eleanos</w:t>
      </w:r>
      <w:proofErr w:type="spellEnd"/>
      <w:r w:rsidRPr="008C1EE8">
        <w:t xml:space="preserve"> have been dismissed from this action.</w:t>
      </w:r>
      <w:r>
        <w:t xml:space="preserve"> </w:t>
      </w:r>
    </w:p>
    <w:p w14:paraId="164FCEBD" w14:textId="77777777" w:rsidR="00016469" w:rsidRDefault="00016469" w:rsidP="00646EE3">
      <w:pPr>
        <w:rPr>
          <w:rFonts w:ascii="Arial Black" w:hAnsi="Arial Black"/>
          <w:sz w:val="24"/>
          <w:szCs w:val="24"/>
        </w:rPr>
      </w:pPr>
    </w:p>
    <w:p w14:paraId="340BC053" w14:textId="7FA0FF65" w:rsidR="00016469" w:rsidRDefault="00F20BC1" w:rsidP="00646EE3">
      <w:pPr>
        <w:rPr>
          <w:rFonts w:ascii="Arial Black" w:hAnsi="Arial Black"/>
          <w:sz w:val="24"/>
          <w:szCs w:val="24"/>
        </w:rPr>
      </w:pPr>
      <w:r>
        <w:rPr>
          <w:rFonts w:ascii="Arial Black" w:hAnsi="Arial Black"/>
          <w:sz w:val="24"/>
          <w:szCs w:val="24"/>
        </w:rPr>
        <w:t>2-</w:t>
      </w:r>
      <w:r w:rsidR="00956699">
        <w:rPr>
          <w:rFonts w:ascii="Arial Black" w:hAnsi="Arial Black"/>
          <w:sz w:val="24"/>
          <w:szCs w:val="24"/>
        </w:rPr>
        <w:t>100</w:t>
      </w:r>
    </w:p>
    <w:p w14:paraId="33F3D7B5" w14:textId="77777777" w:rsidR="00F20BC1" w:rsidRPr="005D2602" w:rsidRDefault="00F20BC1" w:rsidP="00F20BC1">
      <w:pPr>
        <w:rPr>
          <w:rFonts w:ascii="Arial Black" w:hAnsi="Arial Black"/>
          <w:b/>
          <w:sz w:val="28"/>
          <w:szCs w:val="28"/>
        </w:rPr>
      </w:pPr>
      <w:r>
        <w:rPr>
          <w:rFonts w:ascii="Arial Black" w:hAnsi="Arial Black"/>
          <w:b/>
          <w:sz w:val="28"/>
          <w:szCs w:val="28"/>
        </w:rPr>
        <w:t>MN: PFAS CLASS ACTION – CASE REMAINS IN MONTANA</w:t>
      </w:r>
    </w:p>
    <w:p w14:paraId="2CA6F98C" w14:textId="77777777" w:rsidR="00F20BC1" w:rsidRDefault="00F20BC1" w:rsidP="00F20BC1">
      <w:pPr>
        <w:rPr>
          <w:bCs/>
        </w:rPr>
      </w:pPr>
      <w:r>
        <w:lastRenderedPageBreak/>
        <w:t xml:space="preserve">On January 12, 2026, in </w:t>
      </w:r>
      <w:r w:rsidRPr="00287078">
        <w:rPr>
          <w:u w:val="single"/>
        </w:rPr>
        <w:t>City and County of Butte-Silver Bow v. 3M Company, Dupont, et al</w:t>
      </w:r>
      <w:r>
        <w:t xml:space="preserve">., U.S. District Court Judge Brian Morris, United States District Court for the District of Montana, Butte Division, rejected Dupont’s additional argument that they cannot be sued in Montana. On January 6, </w:t>
      </w:r>
      <w:proofErr w:type="gramStart"/>
      <w:r>
        <w:t>2026</w:t>
      </w:r>
      <w:proofErr w:type="gramEnd"/>
      <w:r>
        <w:t xml:space="preserve"> the Court previously denied the defense motion to dismiss.  In this latest ruling,  the Court found that unlike a case dismissed in Massachusetts on December 30, 2025, Dupont and other defendants’ sales and marketing activities with Montana fire departments established the </w:t>
      </w:r>
      <w:r w:rsidRPr="00C347AF">
        <w:t>requisite</w:t>
      </w:r>
      <w:r>
        <w:t xml:space="preserve"> presence in Montana to proceed.  </w:t>
      </w:r>
      <w:hyperlink r:id="rId384" w:history="1">
        <w:r w:rsidRPr="003004D8">
          <w:rPr>
            <w:rStyle w:val="Hyperlink"/>
          </w:rPr>
          <w:t>https://cases.justia.com/federal/district-courts/montana/mtdce/2:2025cv00036/80451/160/0.pdf?ts=1768305911</w:t>
        </w:r>
      </w:hyperlink>
      <w:r>
        <w:t xml:space="preserve"> </w:t>
      </w:r>
    </w:p>
    <w:p w14:paraId="1CC02B94" w14:textId="77777777" w:rsidR="00F20BC1" w:rsidRDefault="00F20BC1" w:rsidP="00F20BC1">
      <w:pPr>
        <w:rPr>
          <w:bCs/>
        </w:rPr>
      </w:pPr>
      <w:r>
        <w:t>THE COURT HELD:</w:t>
      </w:r>
    </w:p>
    <w:p w14:paraId="13549DB1" w14:textId="77777777" w:rsidR="00F20BC1" w:rsidRPr="00D1073C" w:rsidRDefault="00F20BC1" w:rsidP="00F20BC1">
      <w:pPr>
        <w:pStyle w:val="NoSpacing"/>
        <w:ind w:left="720"/>
        <w:rPr>
          <w:bCs/>
        </w:rPr>
      </w:pPr>
      <w:r>
        <w:t>“</w:t>
      </w:r>
      <w:r w:rsidRPr="00DA50ED">
        <w:t>Plaintiff City and County of Butte Silver</w:t>
      </w:r>
      <w:r>
        <w:t xml:space="preserve"> </w:t>
      </w:r>
      <w:r w:rsidRPr="00DA50ED">
        <w:t>Bow (</w:t>
      </w:r>
      <w:r>
        <w:t>‘</w:t>
      </w:r>
      <w:r w:rsidRPr="00DA50ED">
        <w:t>Plaintiff</w:t>
      </w:r>
      <w:r>
        <w:t>’</w:t>
      </w:r>
      <w:r w:rsidRPr="00DA50ED">
        <w:t>) provided the Court with affidavits and other evidence that</w:t>
      </w:r>
      <w:r>
        <w:t xml:space="preserve"> </w:t>
      </w:r>
      <w:r w:rsidRPr="00D1073C">
        <w:t>Dupont purposefully has directed its conduct toward Montana. The Court found</w:t>
      </w:r>
      <w:r>
        <w:t xml:space="preserve"> </w:t>
      </w:r>
      <w:r w:rsidRPr="00D1073C">
        <w:t>relevant Dupont’s conduct of awarding Montana fire departments turnout gear sets</w:t>
      </w:r>
      <w:r>
        <w:t xml:space="preserve"> </w:t>
      </w:r>
      <w:r w:rsidRPr="00D1073C">
        <w:t>in an annual giveaway</w:t>
      </w:r>
      <w:r>
        <w:t xml:space="preserve">…. </w:t>
      </w:r>
      <w:r w:rsidRPr="00D1073C">
        <w:t>Plaintiff provided declarations that</w:t>
      </w:r>
      <w:r>
        <w:t xml:space="preserve"> </w:t>
      </w:r>
      <w:r w:rsidRPr="00D1073C">
        <w:t>Dupont, in collaboration with another Defendant, Globe, had shipped similar</w:t>
      </w:r>
    </w:p>
    <w:p w14:paraId="3032495F" w14:textId="77777777" w:rsidR="00F20BC1" w:rsidRPr="00D1073C" w:rsidRDefault="00F20BC1" w:rsidP="00F20BC1">
      <w:pPr>
        <w:pStyle w:val="NoSpacing"/>
        <w:ind w:left="720"/>
        <w:rPr>
          <w:bCs/>
        </w:rPr>
      </w:pPr>
      <w:r w:rsidRPr="00D1073C">
        <w:t>turnout gear at issue in this case to Montana fire departments as winners of the</w:t>
      </w:r>
    </w:p>
    <w:p w14:paraId="14359296" w14:textId="77777777" w:rsidR="00F20BC1" w:rsidRDefault="00F20BC1" w:rsidP="00F20BC1">
      <w:pPr>
        <w:pStyle w:val="NoSpacing"/>
        <w:ind w:left="720"/>
        <w:rPr>
          <w:bCs/>
        </w:rPr>
      </w:pPr>
      <w:r w:rsidRPr="00D1073C">
        <w:t>giveaway</w:t>
      </w:r>
      <w:r>
        <w:t xml:space="preserve">…. </w:t>
      </w:r>
      <w:r w:rsidRPr="00D1073C">
        <w:t>Plaintiff asserted that Defendants had encouraged the</w:t>
      </w:r>
      <w:r>
        <w:t xml:space="preserve"> </w:t>
      </w:r>
      <w:r w:rsidRPr="00D1073C">
        <w:t>Montana fire departments who received the Dupont/Globe turnout gear sets to</w:t>
      </w:r>
      <w:r>
        <w:t xml:space="preserve"> </w:t>
      </w:r>
      <w:r w:rsidRPr="00D1073C">
        <w:t>advertise the winnings and charitable acts of Dupont/Globe on social media</w:t>
      </w:r>
      <w:r>
        <w:t xml:space="preserve">…. </w:t>
      </w:r>
    </w:p>
    <w:p w14:paraId="66454C7F" w14:textId="77777777" w:rsidR="00F20BC1" w:rsidRDefault="00F20BC1" w:rsidP="00F20BC1">
      <w:pPr>
        <w:pStyle w:val="NoSpacing"/>
        <w:ind w:left="720"/>
        <w:rPr>
          <w:bCs/>
        </w:rPr>
      </w:pPr>
    </w:p>
    <w:p w14:paraId="0B949355" w14:textId="77777777" w:rsidR="00F20BC1" w:rsidRPr="00732221" w:rsidRDefault="00F20BC1" w:rsidP="00F20BC1">
      <w:pPr>
        <w:pStyle w:val="NoSpacing"/>
        <w:ind w:left="720"/>
        <w:rPr>
          <w:bCs/>
        </w:rPr>
      </w:pPr>
      <w:r w:rsidRPr="00732221">
        <w:t>Plaintiff further provided an affidavit by Diane Evankovich attesting that she</w:t>
      </w:r>
    </w:p>
    <w:p w14:paraId="5DE4ECA2" w14:textId="77777777" w:rsidR="00F20BC1" w:rsidRPr="00732221" w:rsidRDefault="00F20BC1" w:rsidP="00F20BC1">
      <w:pPr>
        <w:pStyle w:val="NoSpacing"/>
        <w:ind w:left="720"/>
        <w:rPr>
          <w:bCs/>
        </w:rPr>
      </w:pPr>
      <w:r w:rsidRPr="00732221">
        <w:t>had been made aware of these Dupont/Globe giveaways in Montana. (Doc. 132.)</w:t>
      </w:r>
    </w:p>
    <w:p w14:paraId="3256EB01" w14:textId="77777777" w:rsidR="00F20BC1" w:rsidRPr="00732221" w:rsidRDefault="00F20BC1" w:rsidP="00F20BC1">
      <w:pPr>
        <w:pStyle w:val="NoSpacing"/>
        <w:ind w:left="720"/>
        <w:rPr>
          <w:bCs/>
        </w:rPr>
      </w:pPr>
      <w:r w:rsidRPr="00732221">
        <w:t>The Court also found relevant Plaintiff’s assertion that Evankovich and Zach</w:t>
      </w:r>
    </w:p>
    <w:p w14:paraId="4B824B45" w14:textId="77777777" w:rsidR="00F20BC1" w:rsidRPr="00732221" w:rsidRDefault="00F20BC1" w:rsidP="00F20BC1">
      <w:pPr>
        <w:pStyle w:val="NoSpacing"/>
        <w:ind w:left="720"/>
        <w:rPr>
          <w:bCs/>
        </w:rPr>
      </w:pPr>
      <w:r w:rsidRPr="00732221">
        <w:t>Osborne, the Butte Silver Bow Fire Chief, attested that they were contacted about</w:t>
      </w:r>
    </w:p>
    <w:p w14:paraId="608E81F6" w14:textId="77777777" w:rsidR="00F20BC1" w:rsidRDefault="00F20BC1" w:rsidP="00F20BC1">
      <w:pPr>
        <w:pStyle w:val="NoSpacing"/>
        <w:ind w:left="720"/>
        <w:rPr>
          <w:bCs/>
        </w:rPr>
      </w:pPr>
      <w:r w:rsidRPr="00732221">
        <w:t>and marketed directly to purchase turnout gear containing Dupont’s PFAS.</w:t>
      </w:r>
      <w:r>
        <w:t>”</w:t>
      </w:r>
    </w:p>
    <w:p w14:paraId="561CA9C9" w14:textId="77777777" w:rsidR="00F20BC1" w:rsidRDefault="00F20BC1" w:rsidP="00F20BC1">
      <w:pPr>
        <w:pStyle w:val="NoSpacing"/>
        <w:ind w:left="720"/>
        <w:rPr>
          <w:bCs/>
        </w:rPr>
      </w:pPr>
    </w:p>
    <w:p w14:paraId="24AA61AF" w14:textId="77777777" w:rsidR="00F20BC1" w:rsidRDefault="00F20BC1" w:rsidP="00F20BC1">
      <w:pPr>
        <w:pStyle w:val="NoSpacing"/>
        <w:rPr>
          <w:b/>
        </w:rPr>
      </w:pPr>
      <w:r>
        <w:rPr>
          <w:b/>
        </w:rPr>
        <w:t xml:space="preserve">Legal lesson learned: Pre-trial discovery will now proceed in this class-action lawsuit. </w:t>
      </w:r>
    </w:p>
    <w:p w14:paraId="37722C00" w14:textId="77777777" w:rsidR="00F20BC1" w:rsidRDefault="00F20BC1" w:rsidP="00F20BC1">
      <w:pPr>
        <w:pStyle w:val="NoSpacing"/>
        <w:rPr>
          <w:b/>
        </w:rPr>
      </w:pPr>
    </w:p>
    <w:p w14:paraId="320EC308" w14:textId="77777777" w:rsidR="00F20BC1" w:rsidRDefault="00F20BC1" w:rsidP="00F20BC1">
      <w:pPr>
        <w:pStyle w:val="NoSpacing"/>
        <w:ind w:left="720"/>
        <w:rPr>
          <w:bCs/>
        </w:rPr>
      </w:pPr>
      <w:r>
        <w:t xml:space="preserve">Note:  </w:t>
      </w:r>
    </w:p>
    <w:p w14:paraId="7B5CEB3C" w14:textId="77777777" w:rsidR="00F20BC1" w:rsidRDefault="00F20BC1" w:rsidP="00F20BC1">
      <w:pPr>
        <w:pStyle w:val="NoSpacing"/>
        <w:ind w:left="720"/>
        <w:rPr>
          <w:bCs/>
        </w:rPr>
      </w:pPr>
    </w:p>
    <w:p w14:paraId="36B95B20" w14:textId="77777777" w:rsidR="00F20BC1" w:rsidRDefault="00F20BC1" w:rsidP="00F20BC1">
      <w:pPr>
        <w:pStyle w:val="NoSpacing"/>
        <w:ind w:left="720"/>
        <w:rPr>
          <w:bCs/>
        </w:rPr>
      </w:pPr>
      <w:r>
        <w:t xml:space="preserve">See Jan. 6, </w:t>
      </w:r>
      <w:proofErr w:type="gramStart"/>
      <w:r>
        <w:t>2025</w:t>
      </w:r>
      <w:proofErr w:type="gramEnd"/>
      <w:r>
        <w:t xml:space="preserve"> law firm press release:  </w:t>
      </w:r>
      <w:r w:rsidRPr="009D04CB">
        <w:t>Montana Court Denies Motions to Dismiss Class-Action Lawsuit Fighting PFAS in Firefighter Turnout</w:t>
      </w:r>
      <w:r>
        <w:t xml:space="preserve"> </w:t>
      </w:r>
      <w:r w:rsidRPr="009D04CB">
        <w:t>Gear</w:t>
      </w:r>
      <w:r>
        <w:t>.</w:t>
      </w:r>
    </w:p>
    <w:p w14:paraId="7FE9BE0D" w14:textId="77777777" w:rsidR="00F20BC1" w:rsidRDefault="00F20BC1" w:rsidP="00F20BC1">
      <w:pPr>
        <w:pStyle w:val="NoSpacing"/>
        <w:ind w:left="720"/>
        <w:rPr>
          <w:bCs/>
        </w:rPr>
      </w:pPr>
      <w:hyperlink r:id="rId385" w:history="1">
        <w:r w:rsidRPr="003004D8">
          <w:rPr>
            <w:rStyle w:val="Hyperlink"/>
          </w:rPr>
          <w:t>https://www.hbsslaw.com/press/pfas-firefighter-turnout-gear/montana-court-denies-motions-to-dismiss-class-action-lawsuit-fighting-pfas-in-firefighter-turnout-gear</w:t>
        </w:r>
      </w:hyperlink>
      <w:r>
        <w:t xml:space="preserve"> </w:t>
      </w:r>
    </w:p>
    <w:p w14:paraId="452CFA59" w14:textId="77777777" w:rsidR="00F20BC1" w:rsidRDefault="00F20BC1" w:rsidP="00F20BC1">
      <w:pPr>
        <w:ind w:left="720"/>
        <w:rPr>
          <w:bCs/>
        </w:rPr>
      </w:pPr>
      <w:r>
        <w:t>“</w:t>
      </w:r>
      <w:r w:rsidRPr="00105A76">
        <w:t xml:space="preserve">A Montana federal judge today denied motions to dismiss a class-action lawsuit brought by attorneys at law firms Hagens Berman, Heenan &amp; Cook and Bliven Law Firm to combat </w:t>
      </w:r>
      <w:hyperlink r:id="rId386" w:history="1">
        <w:r w:rsidRPr="00105A76">
          <w:rPr>
            <w:rStyle w:val="Hyperlink"/>
          </w:rPr>
          <w:t>toxic “forever chemicals” in firefighter turnout gear sold by DuPont/Chemours, 3M</w:t>
        </w:r>
      </w:hyperlink>
      <w:r w:rsidRPr="00105A76">
        <w:t xml:space="preserve"> and other major corporations. The firms represent the city and county of Butte-Silver Bow, Montana, to assist them and other municipalities in abating the costly premature gear replacements faced due to the rampant health risks of perfluoroalkyl and polyfluoroalkyl substances (PFAS).</w:t>
      </w:r>
      <w:r>
        <w:t xml:space="preserve"> *** </w:t>
      </w:r>
      <w:r w:rsidRPr="001C3C1C">
        <w:t xml:space="preserve">The court rejected the defendants’ argument that they were engaging in ordinary commercial activities, explaining that </w:t>
      </w:r>
      <w:r>
        <w:t>‘</w:t>
      </w:r>
      <w:r w:rsidRPr="001C3C1C">
        <w:t>Defendants could not have achieved their goals of selling PFAS and turnout gear containing PFAS if Defendants’ knowledge of the harms of PFAS had been exposed. These actions by Defendants, allegedly acting together to conceal the known dangers of PFAS, do not constitute merely normal or ordinary commercial relationships.</w:t>
      </w:r>
      <w:r>
        <w:t>’”</w:t>
      </w:r>
    </w:p>
    <w:p w14:paraId="698D0B76" w14:textId="77777777" w:rsidR="00F20BC1" w:rsidRDefault="00F20BC1" w:rsidP="00F20BC1">
      <w:pPr>
        <w:ind w:left="720"/>
        <w:rPr>
          <w:bCs/>
        </w:rPr>
      </w:pPr>
      <w:r>
        <w:t xml:space="preserve">See the April 4, 2025 law firm press release </w:t>
      </w:r>
      <w:r w:rsidRPr="00E84B6A">
        <w:t>Butte, Montana Files Class-Action Lawsuit Fighting PFAS in Firefighter Turnout Gear to Aid Those Facing Costly Replacements</w:t>
      </w:r>
      <w:r>
        <w:t>.</w:t>
      </w:r>
      <w:hyperlink r:id="rId387" w:history="1">
        <w:r w:rsidRPr="003004D8">
          <w:rPr>
            <w:rStyle w:val="Hyperlink"/>
          </w:rPr>
          <w:t>https://www.hbsslaw.com/press/pfas-firefighter-turnout-gear/butte-montana-files-class-action-lawsuit-fighting-pfas-in-firefighter-turnout-gear-to-aid-those-facing-costly-replacements</w:t>
        </w:r>
      </w:hyperlink>
      <w:r>
        <w:t xml:space="preserve"> </w:t>
      </w:r>
    </w:p>
    <w:p w14:paraId="62FD939E" w14:textId="77777777" w:rsidR="00F20BC1" w:rsidRPr="000C43B0" w:rsidRDefault="00F20BC1" w:rsidP="00F20BC1">
      <w:pPr>
        <w:ind w:left="720"/>
        <w:rPr>
          <w:bCs/>
        </w:rPr>
      </w:pPr>
    </w:p>
    <w:p w14:paraId="3B0E7038" w14:textId="351507DD" w:rsidR="00F20BC1" w:rsidRDefault="00F20BC1" w:rsidP="00F20BC1">
      <w:pPr>
        <w:rPr>
          <w:rFonts w:ascii="Arial Black" w:hAnsi="Arial Black"/>
          <w:sz w:val="24"/>
          <w:szCs w:val="24"/>
        </w:rPr>
      </w:pPr>
      <w:r w:rsidRPr="000C43B0">
        <w:lastRenderedPageBreak/>
        <w:t xml:space="preserve">See </w:t>
      </w:r>
      <w:r>
        <w:t xml:space="preserve">Jan. 9, </w:t>
      </w:r>
      <w:proofErr w:type="gramStart"/>
      <w:r>
        <w:t>2026</w:t>
      </w:r>
      <w:proofErr w:type="gramEnd"/>
      <w:r>
        <w:t xml:space="preserve"> </w:t>
      </w:r>
      <w:r w:rsidRPr="000C43B0">
        <w:t>case: UNIFORMED PROFESSIONAL FIRE FIGHTERS ASSOCIATION OF CONNECTICUT, et al. v. 3M, et al.</w:t>
      </w:r>
      <w:r>
        <w:t xml:space="preserve"> </w:t>
      </w:r>
      <w:hyperlink r:id="rId388" w:history="1">
        <w:r w:rsidRPr="002B4D2D">
          <w:rPr>
            <w:rStyle w:val="Hyperlink"/>
          </w:rPr>
          <w:t>https://www.casemine.com/judgement/us/6963a657827d4c0685d5653a</w:t>
        </w:r>
      </w:hyperlink>
    </w:p>
    <w:p w14:paraId="2B390073" w14:textId="77777777" w:rsidR="00956699" w:rsidRDefault="00956699" w:rsidP="00646EE3">
      <w:pPr>
        <w:rPr>
          <w:rFonts w:ascii="Arial Black" w:hAnsi="Arial Black"/>
          <w:sz w:val="24"/>
          <w:szCs w:val="24"/>
        </w:rPr>
      </w:pPr>
    </w:p>
    <w:p w14:paraId="7C57DC48" w14:textId="4A9AAF04" w:rsidR="00016469" w:rsidRDefault="00956699" w:rsidP="00646EE3">
      <w:pPr>
        <w:rPr>
          <w:rFonts w:ascii="Arial Black" w:hAnsi="Arial Black"/>
          <w:sz w:val="24"/>
          <w:szCs w:val="24"/>
        </w:rPr>
      </w:pPr>
      <w:r>
        <w:rPr>
          <w:rFonts w:ascii="Arial Black" w:hAnsi="Arial Black"/>
          <w:sz w:val="24"/>
          <w:szCs w:val="24"/>
        </w:rPr>
        <w:t>2-99</w:t>
      </w:r>
    </w:p>
    <w:p w14:paraId="08D06CDE" w14:textId="29660A02" w:rsidR="00956699" w:rsidRPr="00956699" w:rsidRDefault="00956699" w:rsidP="00956699">
      <w:pPr>
        <w:pStyle w:val="NoSpacing"/>
        <w:rPr>
          <w:rFonts w:ascii="Times New Roman" w:hAnsi="Times New Roman"/>
          <w:b/>
          <w:bCs/>
          <w:sz w:val="24"/>
          <w:szCs w:val="24"/>
        </w:rPr>
      </w:pPr>
      <w:r>
        <w:rPr>
          <w:rFonts w:ascii="Arial Black" w:hAnsi="Arial Black"/>
          <w:sz w:val="28"/>
          <w:szCs w:val="28"/>
        </w:rPr>
        <w:t>FL: “HALO LAW”  – 25 FEET NO APPROACH ZONE</w:t>
      </w:r>
      <w:r>
        <w:t xml:space="preserve">  </w:t>
      </w:r>
      <w:r w:rsidRPr="00E96FEA">
        <w:rPr>
          <w:rFonts w:ascii="Arial Black" w:hAnsi="Arial Black"/>
          <w:sz w:val="28"/>
          <w:szCs w:val="28"/>
        </w:rPr>
        <w:t xml:space="preserve">- </w:t>
      </w:r>
      <w:r>
        <w:rPr>
          <w:rFonts w:ascii="Arial Black" w:hAnsi="Arial Black"/>
          <w:sz w:val="28"/>
          <w:szCs w:val="28"/>
        </w:rPr>
        <w:t xml:space="preserve">Eff. </w:t>
      </w:r>
      <w:r w:rsidRPr="00E96FEA">
        <w:rPr>
          <w:rFonts w:ascii="Arial Black" w:hAnsi="Arial Black"/>
          <w:sz w:val="28"/>
          <w:szCs w:val="28"/>
        </w:rPr>
        <w:t>1/1/2025</w:t>
      </w:r>
      <w:r>
        <w:rPr>
          <w:rFonts w:ascii="Arial Black" w:hAnsi="Arial Black"/>
          <w:sz w:val="28"/>
          <w:szCs w:val="28"/>
        </w:rPr>
        <w:t xml:space="preserve">  </w:t>
      </w:r>
      <w:r w:rsidRPr="00956699">
        <w:rPr>
          <w:rFonts w:ascii="Times New Roman" w:hAnsi="Times New Roman"/>
          <w:b/>
          <w:bCs/>
          <w:sz w:val="24"/>
          <w:szCs w:val="24"/>
        </w:rPr>
        <w:t xml:space="preserve">[also filed, Chap. </w:t>
      </w:r>
      <w:r>
        <w:rPr>
          <w:rFonts w:ascii="Times New Roman" w:hAnsi="Times New Roman"/>
          <w:b/>
          <w:bCs/>
          <w:sz w:val="24"/>
          <w:szCs w:val="24"/>
        </w:rPr>
        <w:t>18</w:t>
      </w:r>
      <w:r w:rsidRPr="00956699">
        <w:rPr>
          <w:rFonts w:ascii="Times New Roman" w:hAnsi="Times New Roman"/>
          <w:b/>
          <w:bCs/>
          <w:sz w:val="24"/>
          <w:szCs w:val="24"/>
        </w:rPr>
        <w:t>]</w:t>
      </w:r>
    </w:p>
    <w:p w14:paraId="3EED2F7B" w14:textId="77777777" w:rsidR="00956699" w:rsidRDefault="00956699" w:rsidP="00956699">
      <w:pPr>
        <w:pStyle w:val="NoSpacing"/>
      </w:pPr>
    </w:p>
    <w:p w14:paraId="2C4354D1" w14:textId="77777777" w:rsidR="00956699" w:rsidRPr="009564B9" w:rsidRDefault="00956699" w:rsidP="00956699">
      <w:pPr>
        <w:pStyle w:val="NoSpacing"/>
        <w:rPr>
          <w:b/>
        </w:rPr>
      </w:pPr>
      <w:r>
        <w:t xml:space="preserve">On January 1, 2025, the new “Halo Law” became effective. On April 12, 2024, Governor Ron DeSantis </w:t>
      </w:r>
      <w:proofErr w:type="gramStart"/>
      <w:r>
        <w:t>signed into law</w:t>
      </w:r>
      <w:proofErr w:type="gramEnd"/>
      <w:r>
        <w:t xml:space="preserve"> the Halo Law, passed under House Bill 184, </w:t>
      </w:r>
      <w:r w:rsidRPr="009564B9">
        <w:t>Impeding, Threatening, or Harassing First Responders</w:t>
      </w:r>
      <w:r>
        <w:t xml:space="preserve">. </w:t>
      </w:r>
      <w:hyperlink r:id="rId389" w:history="1">
        <w:r w:rsidRPr="00734647">
          <w:rPr>
            <w:rStyle w:val="Hyperlink"/>
          </w:rPr>
          <w:t>https://www.flhouse.gov/Sections/Bills/billsdetail.aspx?BillId=78745</w:t>
        </w:r>
      </w:hyperlink>
      <w:r>
        <w:t xml:space="preserve"> </w:t>
      </w:r>
    </w:p>
    <w:p w14:paraId="2E19B0E4" w14:textId="77777777" w:rsidR="00956699" w:rsidRDefault="00956699" w:rsidP="00956699">
      <w:pPr>
        <w:pStyle w:val="NoSpacing"/>
      </w:pPr>
    </w:p>
    <w:p w14:paraId="2AA3E1F0" w14:textId="77777777" w:rsidR="00956699" w:rsidRDefault="00956699" w:rsidP="00956699">
      <w:pPr>
        <w:pStyle w:val="NoSpacing"/>
      </w:pPr>
      <w:r>
        <w:t xml:space="preserve">Read the statute: </w:t>
      </w:r>
      <w:hyperlink r:id="rId390" w:history="1">
        <w:r w:rsidRPr="00734647">
          <w:rPr>
            <w:rStyle w:val="Hyperlink"/>
          </w:rPr>
          <w:t>https://www.flhouse.gov/Sections/Documents/loaddoc.aspx?FileName=_s0184er.DOCX&amp;DocumentType=Bill&amp;BillNumber=184&amp;Session=2024</w:t>
        </w:r>
      </w:hyperlink>
      <w:r>
        <w:t xml:space="preserve"> </w:t>
      </w:r>
    </w:p>
    <w:p w14:paraId="6C1F761F" w14:textId="77777777" w:rsidR="00956699" w:rsidRDefault="00956699" w:rsidP="00956699">
      <w:pPr>
        <w:pStyle w:val="NoSpacing"/>
      </w:pPr>
      <w:r>
        <w:t>Section 1</w:t>
      </w:r>
    </w:p>
    <w:p w14:paraId="0E037D79" w14:textId="77777777" w:rsidR="00956699" w:rsidRDefault="00956699" w:rsidP="00956699">
      <w:pPr>
        <w:pStyle w:val="NoSpacing"/>
      </w:pPr>
      <w:r>
        <w:t>Approaching a first responder with specified intent after a warning</w:t>
      </w:r>
    </w:p>
    <w:p w14:paraId="36F14853" w14:textId="77777777" w:rsidR="00956699" w:rsidRDefault="00956699" w:rsidP="00956699">
      <w:pPr>
        <w:pStyle w:val="NoSpacing"/>
      </w:pPr>
      <w:r>
        <w:t>(1) As used in this section, the term:</w:t>
      </w:r>
    </w:p>
    <w:p w14:paraId="617068EC" w14:textId="77777777" w:rsidR="00956699" w:rsidRDefault="00956699" w:rsidP="00956699">
      <w:pPr>
        <w:pStyle w:val="NoSpacing"/>
      </w:pPr>
      <w:r>
        <w:t>(a) “First responder” includes a law enforcement officer as defined in s. 943.10(1), a correctional probation officer as defined in s. 943.10(3), a firefighter as defined in s784.07(1), and an emergency medical care provider as defined in s. 784.07(1)</w:t>
      </w:r>
    </w:p>
    <w:p w14:paraId="30761E98" w14:textId="77777777" w:rsidR="00956699" w:rsidRDefault="00956699" w:rsidP="00956699">
      <w:pPr>
        <w:pStyle w:val="NoSpacing"/>
      </w:pPr>
      <w:r>
        <w:t>(b) “Harass” means to willfully engage in a course of conduct directed at a first responder which intentionally causes substantial emotional distress in that first responder and serves no legitimate purpose.</w:t>
      </w:r>
    </w:p>
    <w:p w14:paraId="3E808689" w14:textId="77777777" w:rsidR="00956699" w:rsidRDefault="00956699" w:rsidP="00956699">
      <w:pPr>
        <w:pStyle w:val="NoSpacing"/>
      </w:pPr>
      <w:r>
        <w:t>(2)(a) It is unlawful for a person, after receiving a verbal warning not to approach from a person he or she knows or reasonably should know is a first responder, who is engaged in the lawful performance of a legal duty, to knowingly and willfully violate such warning and approach or remain within 25 feet of the first responder with the intent to:</w:t>
      </w:r>
    </w:p>
    <w:p w14:paraId="63B5FD06" w14:textId="77777777" w:rsidR="00956699" w:rsidRDefault="00956699" w:rsidP="00956699">
      <w:pPr>
        <w:pStyle w:val="NoSpacing"/>
      </w:pPr>
      <w:r>
        <w:t>1. Impede or interfere with the first responder’s ability to perform such duty;</w:t>
      </w:r>
    </w:p>
    <w:p w14:paraId="57B8C56A" w14:textId="77777777" w:rsidR="00956699" w:rsidRDefault="00956699" w:rsidP="00956699">
      <w:pPr>
        <w:pStyle w:val="NoSpacing"/>
      </w:pPr>
      <w:r>
        <w:t>2. Threaten the first responder with physical harm; or</w:t>
      </w:r>
    </w:p>
    <w:p w14:paraId="667A6579" w14:textId="77777777" w:rsidR="00956699" w:rsidRDefault="00956699" w:rsidP="00956699">
      <w:pPr>
        <w:pStyle w:val="NoSpacing"/>
      </w:pPr>
      <w:r>
        <w:t>3. Harass the first responder.</w:t>
      </w:r>
    </w:p>
    <w:p w14:paraId="0093B75D" w14:textId="77777777" w:rsidR="00956699" w:rsidRDefault="00956699" w:rsidP="00956699">
      <w:pPr>
        <w:pStyle w:val="NoSpacing"/>
      </w:pPr>
      <w:r>
        <w:t>(b) A person who violates this subsection commits a misdemeanor of the second degree, punishable as provided in s. 775.082 or s. 775.083.40</w:t>
      </w:r>
    </w:p>
    <w:p w14:paraId="3DEE2D8C" w14:textId="77777777" w:rsidR="00956699" w:rsidRDefault="00956699" w:rsidP="00956699">
      <w:pPr>
        <w:pStyle w:val="NoSpacing"/>
      </w:pPr>
      <w:r>
        <w:t>Section 2. This act shall take effect January 1, 2025.</w:t>
      </w:r>
    </w:p>
    <w:p w14:paraId="755627A1" w14:textId="77777777" w:rsidR="00956699" w:rsidRDefault="00956699" w:rsidP="00956699">
      <w:pPr>
        <w:pStyle w:val="NoSpacing"/>
      </w:pPr>
    </w:p>
    <w:p w14:paraId="053B33A4" w14:textId="77777777" w:rsidR="00956699" w:rsidRPr="00313F24" w:rsidRDefault="00956699" w:rsidP="00956699">
      <w:pPr>
        <w:pStyle w:val="NoSpacing"/>
        <w:rPr>
          <w:b/>
          <w:bCs/>
        </w:rPr>
      </w:pPr>
      <w:r>
        <w:rPr>
          <w:b/>
        </w:rPr>
        <w:t xml:space="preserve">Legal lesson learned: An excellent statute; hopefully similar laws will be enacted in many other </w:t>
      </w:r>
      <w:proofErr w:type="gramStart"/>
      <w:r>
        <w:rPr>
          <w:b/>
        </w:rPr>
        <w:t>state</w:t>
      </w:r>
      <w:proofErr w:type="gramEnd"/>
      <w:r>
        <w:rPr>
          <w:b/>
        </w:rPr>
        <w:t xml:space="preserve">. </w:t>
      </w:r>
    </w:p>
    <w:p w14:paraId="4B38E0A3" w14:textId="77777777" w:rsidR="00956699" w:rsidRDefault="00956699" w:rsidP="00956699">
      <w:pPr>
        <w:pStyle w:val="NoSpacing"/>
      </w:pPr>
    </w:p>
    <w:p w14:paraId="600EA0AF" w14:textId="77777777" w:rsidR="00956699" w:rsidRPr="00F642E3" w:rsidRDefault="00956699" w:rsidP="00956699">
      <w:pPr>
        <w:pStyle w:val="NoSpacing"/>
        <w:ind w:left="720"/>
        <w:rPr>
          <w:b/>
        </w:rPr>
      </w:pPr>
      <w:r>
        <w:t xml:space="preserve">Note: Jan. 28, 2026:  </w:t>
      </w:r>
      <w:r w:rsidRPr="00F642E3">
        <w:rPr>
          <w:b/>
        </w:rPr>
        <w:t>Man arrested under Florida's Halo Law</w:t>
      </w:r>
      <w:r>
        <w:rPr>
          <w:b/>
        </w:rPr>
        <w:t xml:space="preserve">. </w:t>
      </w:r>
      <w:hyperlink r:id="rId391" w:history="1">
        <w:r w:rsidRPr="00734647">
          <w:rPr>
            <w:rStyle w:val="Hyperlink"/>
            <w:b/>
          </w:rPr>
          <w:t>https://www.youtube.com/watch?v=US5dFGLzqQo</w:t>
        </w:r>
      </w:hyperlink>
      <w:r>
        <w:rPr>
          <w:b/>
        </w:rPr>
        <w:t xml:space="preserve"> </w:t>
      </w:r>
    </w:p>
    <w:p w14:paraId="2C3740C1" w14:textId="77777777" w:rsidR="00956699" w:rsidRPr="00210AB7" w:rsidRDefault="00956699" w:rsidP="00956699">
      <w:pPr>
        <w:pStyle w:val="NoSpacing"/>
        <w:ind w:firstLine="720"/>
        <w:rPr>
          <w:b/>
        </w:rPr>
      </w:pPr>
      <w:r w:rsidRPr="00210AB7">
        <w:rPr>
          <w:b/>
        </w:rPr>
        <w:t>What Is the Halo Law?</w:t>
      </w:r>
    </w:p>
    <w:p w14:paraId="5EBBE428" w14:textId="77777777" w:rsidR="00956699" w:rsidRPr="00210AB7" w:rsidRDefault="00956699" w:rsidP="00956699">
      <w:pPr>
        <w:pStyle w:val="NoSpacing"/>
        <w:ind w:left="720"/>
      </w:pPr>
      <w:r w:rsidRPr="00210AB7">
        <w:t xml:space="preserve">The Halo Law, passed under </w:t>
      </w:r>
      <w:r w:rsidRPr="00210AB7">
        <w:rPr>
          <w:b/>
        </w:rPr>
        <w:t>House Bill 184</w:t>
      </w:r>
      <w:r w:rsidRPr="00210AB7">
        <w:t xml:space="preserve">, was signed into law by Governor Ron DeSantis in April 2024. It establishes a </w:t>
      </w:r>
      <w:r w:rsidRPr="00210AB7">
        <w:rPr>
          <w:b/>
        </w:rPr>
        <w:t>25-foot no-approach zone</w:t>
      </w:r>
      <w:r w:rsidRPr="00210AB7">
        <w:t xml:space="preserve"> around first responders engaged in their official duties. If someone is verbally warned to stay back and continues to approach within this zone, they could face penalties, including fines and potential jail time.</w:t>
      </w:r>
    </w:p>
    <w:p w14:paraId="692CCDA3" w14:textId="77777777" w:rsidR="00956699" w:rsidRPr="00210AB7" w:rsidRDefault="00956699" w:rsidP="00956699">
      <w:pPr>
        <w:pStyle w:val="NoSpacing"/>
        <w:ind w:left="720"/>
      </w:pPr>
      <w:r w:rsidRPr="00210AB7">
        <w:t>Sheriff Grady Judd of Polk County has been a vocal advocate for the law, emphasizing that it does not restrict the public’s right to record first responders but aims to prevent interference or harassment while they work.</w:t>
      </w:r>
      <w:r>
        <w:t xml:space="preserve"> </w:t>
      </w:r>
      <w:hyperlink r:id="rId392" w:history="1">
        <w:r w:rsidRPr="00FF51FB">
          <w:rPr>
            <w:rStyle w:val="Hyperlink"/>
          </w:rPr>
          <w:t>https://www.muscalaw.com/blog/understanding-floridas-new-halo-law-and-its-impact-first-amendment-rights</w:t>
        </w:r>
      </w:hyperlink>
      <w:r>
        <w:t xml:space="preserve"> </w:t>
      </w:r>
    </w:p>
    <w:p w14:paraId="76D9D0C3" w14:textId="77777777" w:rsidR="00956699" w:rsidRDefault="00956699" w:rsidP="00956699">
      <w:pPr>
        <w:pStyle w:val="NoSpacing"/>
      </w:pPr>
    </w:p>
    <w:p w14:paraId="1D2AADEC" w14:textId="77777777" w:rsidR="00956699" w:rsidRDefault="00956699" w:rsidP="00956699">
      <w:pPr>
        <w:pStyle w:val="NoSpacing"/>
      </w:pPr>
    </w:p>
    <w:p w14:paraId="095EEB90" w14:textId="77777777" w:rsidR="00956699" w:rsidRDefault="00956699" w:rsidP="00956699">
      <w:pPr>
        <w:pStyle w:val="NoSpacing"/>
        <w:ind w:left="720"/>
        <w:rPr>
          <w:b/>
        </w:rPr>
      </w:pPr>
      <w:r>
        <w:t xml:space="preserve">See also: ACLU of Florida: </w:t>
      </w:r>
      <w:r w:rsidRPr="00F41534">
        <w:t>HB 75/SB 184 - Criminalizing Bystanders for Exercising First Amendment Rights</w:t>
      </w:r>
      <w:r>
        <w:t xml:space="preserve">. </w:t>
      </w:r>
      <w:r w:rsidRPr="00910752">
        <w:rPr>
          <w:b/>
        </w:rPr>
        <w:t xml:space="preserve"> </w:t>
      </w:r>
      <w:hyperlink r:id="rId393" w:history="1">
        <w:r w:rsidRPr="00FF51FB">
          <w:rPr>
            <w:rStyle w:val="Hyperlink"/>
            <w:b/>
          </w:rPr>
          <w:t>https://www.aclufl.org/legislation/hb-75sb-184-criminalizing-bystanders-exercising-first-amendment-rights/</w:t>
        </w:r>
      </w:hyperlink>
      <w:r>
        <w:rPr>
          <w:b/>
        </w:rPr>
        <w:t xml:space="preserve"> </w:t>
      </w:r>
    </w:p>
    <w:p w14:paraId="197FA8F7" w14:textId="77777777" w:rsidR="00956699" w:rsidRDefault="00956699" w:rsidP="00956699">
      <w:pPr>
        <w:pStyle w:val="NoSpacing"/>
        <w:rPr>
          <w:b/>
        </w:rPr>
      </w:pPr>
    </w:p>
    <w:p w14:paraId="5181C14E" w14:textId="77777777" w:rsidR="00956699" w:rsidRDefault="00956699" w:rsidP="00956699">
      <w:pPr>
        <w:pStyle w:val="NoSpacing"/>
      </w:pPr>
    </w:p>
    <w:p w14:paraId="01111E9F" w14:textId="77777777" w:rsidR="00956699" w:rsidRDefault="00956699" w:rsidP="00646EE3">
      <w:pPr>
        <w:rPr>
          <w:rFonts w:ascii="Arial Black" w:hAnsi="Arial Black"/>
          <w:sz w:val="24"/>
          <w:szCs w:val="24"/>
        </w:rPr>
      </w:pPr>
    </w:p>
    <w:p w14:paraId="55FD9BFD" w14:textId="452D4E55" w:rsidR="0082202A" w:rsidRDefault="00A84727" w:rsidP="00646EE3">
      <w:pPr>
        <w:rPr>
          <w:rFonts w:ascii="Arial Black" w:hAnsi="Arial Black"/>
          <w:sz w:val="24"/>
          <w:szCs w:val="24"/>
        </w:rPr>
      </w:pPr>
      <w:r>
        <w:rPr>
          <w:rFonts w:ascii="Arial Black" w:hAnsi="Arial Black"/>
          <w:sz w:val="24"/>
          <w:szCs w:val="24"/>
        </w:rPr>
        <w:t>2-</w:t>
      </w:r>
      <w:r w:rsidR="008963C8">
        <w:rPr>
          <w:rFonts w:ascii="Arial Black" w:hAnsi="Arial Black"/>
          <w:sz w:val="24"/>
          <w:szCs w:val="24"/>
        </w:rPr>
        <w:t>98</w:t>
      </w:r>
    </w:p>
    <w:p w14:paraId="70297D16" w14:textId="0F151088" w:rsidR="00A84727" w:rsidRPr="00AB2E2B" w:rsidRDefault="00A84727" w:rsidP="00A84727">
      <w:pPr>
        <w:rPr>
          <w:rFonts w:ascii="Arial Black" w:hAnsi="Arial Black"/>
          <w:bCs/>
          <w:sz w:val="28"/>
          <w:szCs w:val="28"/>
        </w:rPr>
      </w:pPr>
      <w:r>
        <w:rPr>
          <w:rFonts w:ascii="Arial Black" w:hAnsi="Arial Black"/>
          <w:sz w:val="28"/>
          <w:szCs w:val="28"/>
        </w:rPr>
        <w:t xml:space="preserve">CT: RUN </w:t>
      </w:r>
      <w:r w:rsidR="00A44AF2">
        <w:rPr>
          <w:rFonts w:ascii="Arial Black" w:hAnsi="Arial Black"/>
          <w:sz w:val="28"/>
          <w:szCs w:val="28"/>
        </w:rPr>
        <w:t xml:space="preserve">FOR </w:t>
      </w:r>
      <w:r>
        <w:rPr>
          <w:rFonts w:ascii="Arial Black" w:hAnsi="Arial Black"/>
          <w:sz w:val="28"/>
          <w:szCs w:val="28"/>
        </w:rPr>
        <w:t>SMOKE</w:t>
      </w:r>
      <w:r w:rsidR="00A44AF2">
        <w:rPr>
          <w:rFonts w:ascii="Arial Black" w:hAnsi="Arial Black"/>
          <w:sz w:val="28"/>
          <w:szCs w:val="28"/>
        </w:rPr>
        <w:t xml:space="preserve"> AREA</w:t>
      </w:r>
      <w:r>
        <w:rPr>
          <w:rFonts w:ascii="Arial Black" w:hAnsi="Arial Black"/>
          <w:sz w:val="28"/>
          <w:szCs w:val="28"/>
        </w:rPr>
        <w:t xml:space="preserve"> – THREAT TO SHOOT FF - 14 MONTHS </w:t>
      </w:r>
    </w:p>
    <w:p w14:paraId="02B0B01A" w14:textId="77777777" w:rsidR="00A84727" w:rsidRDefault="00A84727" w:rsidP="00A84727">
      <w:r>
        <w:t xml:space="preserve">On December 23, 2025, in </w:t>
      </w:r>
      <w:r w:rsidRPr="00CA0F9D">
        <w:rPr>
          <w:u w:val="single"/>
        </w:rPr>
        <w:t>State of Connecticut v. David Valle</w:t>
      </w:r>
      <w:r>
        <w:t xml:space="preserve">, the Court of Appeals of Connecticut held (3 to 0) that jury properly found homeowner guilty of one count of threatening in the second degree, and one count of interfering with an officer, and two counts of cruelty to animals. The defendant “got right into [Captain’s] face’’ and said that the shed was his smokehouse, that he was smoking a deer inside of it, and that he would ‘put a bullet in every one of [the firefighters’] heads if [they] didn’t get off his property.’ </w:t>
      </w:r>
      <w:hyperlink r:id="rId394" w:history="1">
        <w:r w:rsidRPr="003C581C">
          <w:rPr>
            <w:rStyle w:val="Hyperlink"/>
            <w:b/>
          </w:rPr>
          <w:t>https://cases.justia.com/connecticut/court-of-appeals/2025-ac46735.pdf?ts=1766582340</w:t>
        </w:r>
      </w:hyperlink>
    </w:p>
    <w:p w14:paraId="4F6099B4" w14:textId="77777777" w:rsidR="00A84727" w:rsidRDefault="00A84727" w:rsidP="00A84727">
      <w:r>
        <w:t>THE COURT HELD:</w:t>
      </w:r>
    </w:p>
    <w:p w14:paraId="47F57A70" w14:textId="77777777" w:rsidR="00A84727" w:rsidRPr="002E2696" w:rsidRDefault="00A84727" w:rsidP="00A84727">
      <w:pPr>
        <w:pStyle w:val="NoSpacing"/>
        <w:ind w:left="720"/>
      </w:pPr>
      <w:r>
        <w:t>“</w:t>
      </w:r>
      <w:r w:rsidRPr="002E2696">
        <w:t>On the evening of December 1, 2020, the Bridgeport Fire Department (fire department) was dispatched</w:t>
      </w:r>
      <w:r>
        <w:t xml:space="preserve"> </w:t>
      </w:r>
      <w:r w:rsidRPr="002E2696">
        <w:t>to the vicinity of Wayne Street following a report of</w:t>
      </w:r>
      <w:r>
        <w:t xml:space="preserve"> </w:t>
      </w:r>
      <w:r w:rsidRPr="002E2696">
        <w:t>smoke in the area. The responding firefighters noticed</w:t>
      </w:r>
      <w:r>
        <w:t xml:space="preserve"> </w:t>
      </w:r>
      <w:r w:rsidRPr="002E2696">
        <w:t>smoke coming from behind a stockade fence at 675</w:t>
      </w:r>
    </w:p>
    <w:p w14:paraId="2F6708AF" w14:textId="77777777" w:rsidR="00A84727" w:rsidRDefault="00A84727" w:rsidP="00A84727">
      <w:pPr>
        <w:pStyle w:val="NoSpacing"/>
        <w:ind w:left="720"/>
      </w:pPr>
      <w:r w:rsidRPr="002E2696">
        <w:t>Wayne Street. Scott Boris, then a captain with the fire</w:t>
      </w:r>
      <w:r>
        <w:t xml:space="preserve"> </w:t>
      </w:r>
      <w:r w:rsidRPr="002E2696">
        <w:t>department, entered the property to investigate and</w:t>
      </w:r>
      <w:r>
        <w:t xml:space="preserve"> </w:t>
      </w:r>
      <w:r w:rsidRPr="002E2696">
        <w:t xml:space="preserve">saw a three-sided </w:t>
      </w:r>
      <w:proofErr w:type="gramStart"/>
      <w:r w:rsidRPr="002E2696">
        <w:t>shed</w:t>
      </w:r>
      <w:r>
        <w:t xml:space="preserve"> </w:t>
      </w:r>
      <w:r w:rsidRPr="002E2696">
        <w:t>like</w:t>
      </w:r>
      <w:proofErr w:type="gramEnd"/>
      <w:r w:rsidRPr="002E2696">
        <w:t xml:space="preserve"> structure aflame with smoke</w:t>
      </w:r>
      <w:r>
        <w:t xml:space="preserve"> </w:t>
      </w:r>
      <w:r w:rsidRPr="002E2696">
        <w:t>billowing from the top. When Boris opened the gate to</w:t>
      </w:r>
      <w:r>
        <w:t xml:space="preserve"> </w:t>
      </w:r>
      <w:r w:rsidRPr="002E2696">
        <w:t xml:space="preserve">the fence, a ‘‘tiny and </w:t>
      </w:r>
      <w:proofErr w:type="gramStart"/>
      <w:r w:rsidRPr="002E2696">
        <w:t>frail,’</w:t>
      </w:r>
      <w:proofErr w:type="gramEnd"/>
      <w:r w:rsidRPr="002E2696">
        <w:t xml:space="preserve">’ ‘‘unhealthy </w:t>
      </w:r>
      <w:proofErr w:type="gramStart"/>
      <w:r w:rsidRPr="002E2696">
        <w:t>looking’’</w:t>
      </w:r>
      <w:proofErr w:type="gramEnd"/>
      <w:r w:rsidRPr="002E2696">
        <w:t xml:space="preserve"> dog,</w:t>
      </w:r>
      <w:r>
        <w:t xml:space="preserve"> </w:t>
      </w:r>
      <w:r w:rsidRPr="002E2696">
        <w:t>later identified as Sheeba, ran toward him. Boris also</w:t>
      </w:r>
      <w:r>
        <w:t xml:space="preserve"> </w:t>
      </w:r>
      <w:r w:rsidRPr="002E2696">
        <w:t>noticed a kennel behind the shed with another</w:t>
      </w:r>
      <w:r>
        <w:t xml:space="preserve"> </w:t>
      </w:r>
      <w:proofErr w:type="gramStart"/>
      <w:r w:rsidRPr="002E2696">
        <w:t>unhealthy looking</w:t>
      </w:r>
      <w:proofErr w:type="gramEnd"/>
      <w:r w:rsidRPr="002E2696">
        <w:t xml:space="preserve"> dog, later identified as Honey,</w:t>
      </w:r>
      <w:r>
        <w:t xml:space="preserve"> </w:t>
      </w:r>
      <w:r w:rsidRPr="002E2696">
        <w:t>locked inside.</w:t>
      </w:r>
      <w:r>
        <w:t xml:space="preserve"> </w:t>
      </w:r>
      <w:r w:rsidRPr="002E2696">
        <w:t>As the fire department was attempting to extinguish</w:t>
      </w:r>
      <w:r>
        <w:t xml:space="preserve"> </w:t>
      </w:r>
      <w:r w:rsidRPr="002E2696">
        <w:t>the fire, a man exited the residence and told Boris</w:t>
      </w:r>
      <w:r>
        <w:t xml:space="preserve"> </w:t>
      </w:r>
      <w:r w:rsidRPr="002E2696">
        <w:t>that he was burning wood and did not want the fire</w:t>
      </w:r>
      <w:r>
        <w:t xml:space="preserve"> </w:t>
      </w:r>
      <w:r w:rsidRPr="002E2696">
        <w:t>extinguished. Boris explained to the man that a Bridgeport city ordinance prohibited such fires and that the</w:t>
      </w:r>
      <w:r>
        <w:t xml:space="preserve"> </w:t>
      </w:r>
      <w:r w:rsidRPr="002E2696">
        <w:t>fire department was required to extinguish it. The man</w:t>
      </w:r>
      <w:r>
        <w:t xml:space="preserve"> </w:t>
      </w:r>
      <w:r w:rsidRPr="002E2696">
        <w:t xml:space="preserve">went back inside the </w:t>
      </w:r>
      <w:proofErr w:type="gramStart"/>
      <w:r w:rsidRPr="002E2696">
        <w:t>house</w:t>
      </w:r>
      <w:proofErr w:type="gramEnd"/>
      <w:r w:rsidRPr="002E2696">
        <w:t xml:space="preserve"> and Boris called the Bridgeport Police Department (police department) for assistance. A short time later, the same man came back</w:t>
      </w:r>
      <w:r>
        <w:t xml:space="preserve"> </w:t>
      </w:r>
      <w:r w:rsidRPr="002E2696">
        <w:t xml:space="preserve">outside </w:t>
      </w:r>
      <w:proofErr w:type="gramStart"/>
      <w:r w:rsidRPr="002E2696">
        <w:t>and,</w:t>
      </w:r>
      <w:proofErr w:type="gramEnd"/>
      <w:r w:rsidRPr="002E2696">
        <w:t xml:space="preserve"> now agitated and yelling, told Boris that</w:t>
      </w:r>
      <w:r>
        <w:t xml:space="preserve"> </w:t>
      </w:r>
      <w:r w:rsidRPr="002E2696">
        <w:t>the homeowner was on his way and wanted the fire</w:t>
      </w:r>
      <w:r>
        <w:t xml:space="preserve"> </w:t>
      </w:r>
      <w:r w:rsidRPr="002E2696">
        <w:t>department off the property.</w:t>
      </w:r>
    </w:p>
    <w:p w14:paraId="1EC4EDEE" w14:textId="77777777" w:rsidR="00A84727" w:rsidRDefault="00A84727" w:rsidP="00A84727">
      <w:pPr>
        <w:pStyle w:val="NoSpacing"/>
      </w:pPr>
    </w:p>
    <w:p w14:paraId="03E87A76" w14:textId="77777777" w:rsidR="00A84727" w:rsidRDefault="00A84727" w:rsidP="00A84727">
      <w:pPr>
        <w:pStyle w:val="NoSpacing"/>
        <w:ind w:left="720"/>
      </w:pPr>
      <w:r>
        <w:t xml:space="preserve">Shortly thereafter, the defendant drove at a high rate of speed toward the residence, slammed on his brakes, jumped out of the vehicle, and charged toward the firefighters. The </w:t>
      </w:r>
      <w:proofErr w:type="gramStart"/>
      <w:r>
        <w:t>defendant ‘’</w:t>
      </w:r>
      <w:proofErr w:type="gramEnd"/>
      <w:r>
        <w:t xml:space="preserve">got right into [Boris’] </w:t>
      </w:r>
      <w:proofErr w:type="gramStart"/>
      <w:r>
        <w:t>face’’’</w:t>
      </w:r>
      <w:proofErr w:type="gramEnd"/>
      <w:r>
        <w:t xml:space="preserve"> and said that the shed was his smokehouse, that he was smoking a deer inside of it, and that he would ‘put a bullet in every one of [the firefighters’] heads if [they] didn’t get off his property.’ The defendant also attempted to pull the hose away from the firefighters as they attempted to extinguish the fire. While the confrontation between the defendant and the firefighters was ongoing, the police arrived and detained the defendant. During the ensuing investigation, Hiram Velez, a fire inspector for the city of Bridgeport, found three deceased dogs inside the shed amidst a pile of burned trash and other debris. </w:t>
      </w:r>
    </w:p>
    <w:p w14:paraId="08AEC0C9" w14:textId="77777777" w:rsidR="00A84727" w:rsidRDefault="00A84727" w:rsidP="00A84727">
      <w:pPr>
        <w:pStyle w:val="NoSpacing"/>
        <w:ind w:left="720"/>
      </w:pPr>
    </w:p>
    <w:p w14:paraId="3326902C" w14:textId="77777777" w:rsidR="00A84727" w:rsidRDefault="00A84727" w:rsidP="00A84727">
      <w:pPr>
        <w:pStyle w:val="NoSpacing"/>
        <w:ind w:left="720"/>
      </w:pPr>
      <w:r>
        <w:t>***</w:t>
      </w:r>
    </w:p>
    <w:p w14:paraId="6975C7D1" w14:textId="77777777" w:rsidR="00A84727" w:rsidRDefault="00A84727" w:rsidP="00A84727">
      <w:pPr>
        <w:pStyle w:val="NoSpacing"/>
        <w:ind w:left="720"/>
      </w:pPr>
    </w:p>
    <w:p w14:paraId="667F82FA" w14:textId="77777777" w:rsidR="00A84727" w:rsidRDefault="00A84727" w:rsidP="00A84727">
      <w:pPr>
        <w:ind w:left="720"/>
        <w:rPr>
          <w:b/>
        </w:rPr>
      </w:pPr>
      <w:r w:rsidRPr="004B50B7">
        <w:t>On July 14, 2023, the court imposed a total</w:t>
      </w:r>
      <w:r>
        <w:t xml:space="preserve"> </w:t>
      </w:r>
      <w:r w:rsidRPr="004B50B7">
        <w:t>effective sentence of 1456 days of incarceration, execution suspended after fourteen months, followed by</w:t>
      </w:r>
      <w:r>
        <w:t xml:space="preserve"> </w:t>
      </w:r>
      <w:r w:rsidRPr="004B50B7">
        <w:t>three years of probation. This appeal followed.</w:t>
      </w:r>
      <w:r>
        <w:t xml:space="preserve">” </w:t>
      </w:r>
    </w:p>
    <w:p w14:paraId="44D099CB" w14:textId="77777777" w:rsidR="00A84727" w:rsidRDefault="00A84727" w:rsidP="00A84727">
      <w:pPr>
        <w:rPr>
          <w:b/>
        </w:rPr>
      </w:pPr>
      <w:r>
        <w:rPr>
          <w:b/>
        </w:rPr>
        <w:t xml:space="preserve">Legal lesson learned: FD Captain wisely called police when the resident became belligerent; when the owner of home threatened to </w:t>
      </w:r>
      <w:proofErr w:type="gramStart"/>
      <w:r>
        <w:rPr>
          <w:b/>
        </w:rPr>
        <w:t>shot</w:t>
      </w:r>
      <w:proofErr w:type="gramEnd"/>
      <w:r>
        <w:rPr>
          <w:b/>
        </w:rPr>
        <w:t xml:space="preserve"> firefighters, police were there to make a prompt arrest.  </w:t>
      </w:r>
    </w:p>
    <w:p w14:paraId="11A8ECF2" w14:textId="77777777" w:rsidR="00A84727" w:rsidRDefault="00A84727" w:rsidP="00A84727">
      <w:pPr>
        <w:ind w:left="720"/>
      </w:pPr>
      <w:r>
        <w:t xml:space="preserve">Note:  The trial court judge dismissed some counts at close of prosecution’s case.  “The defendant argued that it was undisputed that he was not on the property when the fire was discovered and that there was not sufficient evidence to support a finding beyond a reasonable doubt that he started the fire or that he had any connection </w:t>
      </w:r>
      <w:r>
        <w:lastRenderedPageBreak/>
        <w:t xml:space="preserve">to the three deceased dogs that were found in the shed.”  All the photos and other exhibits were provided to jury.  Defense failed to object to specific evidence being excluded. </w:t>
      </w:r>
    </w:p>
    <w:p w14:paraId="1896BE7B" w14:textId="77777777" w:rsidR="00A84727" w:rsidRDefault="00A84727" w:rsidP="00A84727">
      <w:pPr>
        <w:pStyle w:val="NoSpacing"/>
      </w:pPr>
    </w:p>
    <w:p w14:paraId="05808F3A" w14:textId="77777777" w:rsidR="00A84727" w:rsidRDefault="00A84727" w:rsidP="00646EE3">
      <w:pPr>
        <w:rPr>
          <w:rFonts w:ascii="Arial Black" w:hAnsi="Arial Black"/>
          <w:sz w:val="24"/>
          <w:szCs w:val="24"/>
        </w:rPr>
      </w:pPr>
    </w:p>
    <w:p w14:paraId="6A847CA2" w14:textId="77777777" w:rsidR="0082202A" w:rsidRDefault="0082202A" w:rsidP="00646EE3">
      <w:pPr>
        <w:rPr>
          <w:rFonts w:ascii="Arial Black" w:hAnsi="Arial Black"/>
          <w:sz w:val="24"/>
          <w:szCs w:val="24"/>
        </w:rPr>
      </w:pPr>
    </w:p>
    <w:p w14:paraId="70BF0A0D" w14:textId="7D561585" w:rsidR="00F039D1" w:rsidRDefault="00F039D1" w:rsidP="00646EE3">
      <w:pPr>
        <w:rPr>
          <w:rFonts w:ascii="Arial Black" w:hAnsi="Arial Black"/>
          <w:sz w:val="24"/>
          <w:szCs w:val="24"/>
        </w:rPr>
      </w:pPr>
      <w:r>
        <w:rPr>
          <w:rFonts w:ascii="Arial Black" w:hAnsi="Arial Black"/>
          <w:sz w:val="24"/>
          <w:szCs w:val="24"/>
        </w:rPr>
        <w:t>2-97</w:t>
      </w:r>
    </w:p>
    <w:p w14:paraId="739C4F01" w14:textId="77777777" w:rsidR="00F039D1" w:rsidRPr="00853198" w:rsidRDefault="00F039D1" w:rsidP="00F039D1">
      <w:pPr>
        <w:rPr>
          <w:rFonts w:ascii="Arial Black" w:hAnsi="Arial Black"/>
          <w:b/>
          <w:sz w:val="28"/>
          <w:szCs w:val="28"/>
        </w:rPr>
      </w:pPr>
      <w:r>
        <w:rPr>
          <w:rFonts w:ascii="Arial Black" w:hAnsi="Arial Black"/>
          <w:b/>
          <w:sz w:val="28"/>
          <w:szCs w:val="28"/>
        </w:rPr>
        <w:t>NY: ARSONIST –- 1994 LODD – MUST STAY PRISON 43 YRS</w:t>
      </w:r>
    </w:p>
    <w:p w14:paraId="4E8FD6CB" w14:textId="77777777" w:rsidR="00F039D1" w:rsidRDefault="00F039D1" w:rsidP="00F039D1">
      <w:pPr>
        <w:rPr>
          <w:b/>
        </w:rPr>
      </w:pPr>
      <w:r>
        <w:t xml:space="preserve">On November 25, 2025, in </w:t>
      </w:r>
      <w:r w:rsidRPr="00461D2E">
        <w:rPr>
          <w:u w:val="single"/>
        </w:rPr>
        <w:t>United States of America v. Alberto Raposo</w:t>
      </w:r>
      <w:r>
        <w:t>, U.S. District Court Judge John P. Cronan, United States District Court for the Southern District of New York, denied the prisoner’s third motion for sentence reduction; he must serve out his sentence of 524 months.   THE COURT WROTE: “</w:t>
      </w:r>
      <w:r w:rsidRPr="003133EB">
        <w:t>On June 5, 1994, Defendant Alberto Raposo set fire to a Manhattan building after a fight with his roommates. Waiting until his roommates were inside, Raposo ignited fires in front of the building's front door and in the subcellar, lobby, and second and fourth floors</w:t>
      </w:r>
      <w:r>
        <w:t xml:space="preserve">…. </w:t>
      </w:r>
      <w:r w:rsidRPr="003133EB">
        <w:t>He then poured oil on the stairs and on the fire escapes, locked the front door even though he had the only key, and removed wires to disable the building's fire alarm</w:t>
      </w:r>
      <w:r>
        <w:t xml:space="preserve">…. </w:t>
      </w:r>
      <w:r w:rsidRPr="003133EB">
        <w:t xml:space="preserve"> Miraculously, Raposo's roommates survived, but New York City Fire Department Lieutenant George Lener died from carbon monoxide poisoning after he bravely responded to the scene.</w:t>
      </w:r>
      <w:r>
        <w:t xml:space="preserve"> *** </w:t>
      </w:r>
      <w:r w:rsidRPr="00853198">
        <w:t>Because of Raposo's actions, a firefighter of fifteen years, a husband, and a father of three young children lost his life</w:t>
      </w:r>
      <w:r>
        <w:t xml:space="preserve">…. </w:t>
      </w:r>
      <w:r w:rsidRPr="00853198">
        <w:t>So although Raposo was young when he committed his crime</w:t>
      </w:r>
      <w:r>
        <w:t xml:space="preserve"> [age 22]</w:t>
      </w:r>
      <w:r w:rsidRPr="00853198">
        <w:t>, received a lengthy sentence for his offense, and appears to have made the most of his time in custody by engaging in rehabilitation efforts, the Court remains convinced that a sentence reduction is not warranted.</w:t>
      </w:r>
      <w:r>
        <w:t>”</w:t>
      </w:r>
      <w:r w:rsidRPr="007612B9">
        <w:t xml:space="preserve"> </w:t>
      </w:r>
      <w:hyperlink r:id="rId395" w:history="1">
        <w:r w:rsidRPr="00A550B3">
          <w:rPr>
            <w:rStyle w:val="Hyperlink"/>
            <w:b/>
          </w:rPr>
          <w:t>https://public.fastcase.com/jaEE2PXzRXmZ99jOLMt1ItgJpO3cenZHWG8%2BVkmKxH1HTTAbABiD6rHSJp3pZ1gN%2FmUtcGj1MYmfK4vUiVXj%2F7KJALcf9RQ89nZBN4g9WoM%3D?utm_medium=email&amp;_hsenc=p2ANqtz-8GKw_r7YMLn5ao1TZxs4WqNRhri-535W3eCNA3JduD9CnJg4Ez99C9vjqiY3t5lfrKsWh0EQkMPqhDg1IfFNoFLO22ZQ&amp;_hsmi=226712652&amp;utm_content=226712652&amp;utm_source=hs_email</w:t>
        </w:r>
      </w:hyperlink>
      <w:r>
        <w:rPr>
          <w:b/>
        </w:rPr>
        <w:t xml:space="preserve"> </w:t>
      </w:r>
    </w:p>
    <w:p w14:paraId="7F300647" w14:textId="77777777" w:rsidR="00F039D1" w:rsidRPr="00390FA3" w:rsidRDefault="00F039D1" w:rsidP="00F039D1">
      <w:pPr>
        <w:rPr>
          <w:bCs/>
        </w:rPr>
      </w:pPr>
      <w:r w:rsidRPr="00390FA3">
        <w:t>THE COURT HELD:</w:t>
      </w:r>
    </w:p>
    <w:p w14:paraId="706DDE81" w14:textId="77777777" w:rsidR="00F039D1" w:rsidRDefault="00F039D1" w:rsidP="00F039D1">
      <w:pPr>
        <w:ind w:left="720"/>
      </w:pPr>
      <w:r>
        <w:t>“</w:t>
      </w:r>
      <w:r w:rsidRPr="00CA78AD">
        <w:t>Following a jury trial, Raposo was found guilty on February 9, 1999, of committing arson of property used in interstate commerce, with death resulting</w:t>
      </w:r>
      <w:r>
        <w:t xml:space="preserve">…. </w:t>
      </w:r>
      <w:r w:rsidRPr="00CA78AD">
        <w:t xml:space="preserve"> On June 8, 1999, the Honorable Deborah A. Batts sentenced Raposo to 524 months of imprisonment followed by five years of supervised release</w:t>
      </w:r>
      <w:r>
        <w:t xml:space="preserve">…. </w:t>
      </w:r>
      <w:r w:rsidRPr="00CA78AD">
        <w:t xml:space="preserve">Raposo is currently incarcerated at the Federal Correctional Institution in Danbury, Connecticut, with a projected release date of June 13, </w:t>
      </w:r>
      <w:r>
        <w:t xml:space="preserve">[2033]. </w:t>
      </w:r>
      <w:r w:rsidRPr="00CA78AD">
        <w:rPr>
          <w:i/>
          <w:iCs/>
        </w:rPr>
        <w:t>See</w:t>
      </w:r>
      <w:r w:rsidRPr="00CA78AD">
        <w:t xml:space="preserve"> Federal Bureau of Prisons, Find an Inmate, https://www.bop.gov/inmateloc/ (last visited Nov. 24, 2025).</w:t>
      </w:r>
      <w:r>
        <w:t xml:space="preserve">” </w:t>
      </w:r>
    </w:p>
    <w:p w14:paraId="41FDFFDC" w14:textId="77777777" w:rsidR="00F039D1" w:rsidRPr="00734B1E" w:rsidRDefault="00F039D1" w:rsidP="00F039D1">
      <w:pPr>
        <w:rPr>
          <w:b/>
          <w:bCs/>
        </w:rPr>
      </w:pPr>
      <w:r w:rsidRPr="00734B1E">
        <w:rPr>
          <w:b/>
        </w:rPr>
        <w:t>Legal lesson learned:</w:t>
      </w:r>
      <w:r>
        <w:rPr>
          <w:b/>
        </w:rPr>
        <w:t xml:space="preserve"> Prisoner will serve full time for the death of a firefighter. </w:t>
      </w:r>
    </w:p>
    <w:p w14:paraId="6908045D" w14:textId="77777777" w:rsidR="00F039D1" w:rsidRDefault="00F039D1" w:rsidP="00646EE3">
      <w:pPr>
        <w:rPr>
          <w:rFonts w:ascii="Arial Black" w:hAnsi="Arial Black"/>
          <w:sz w:val="24"/>
          <w:szCs w:val="24"/>
        </w:rPr>
      </w:pPr>
    </w:p>
    <w:p w14:paraId="29B24A79" w14:textId="77777777" w:rsidR="00F039D1" w:rsidRDefault="00F039D1" w:rsidP="00646EE3">
      <w:pPr>
        <w:rPr>
          <w:rFonts w:ascii="Arial Black" w:hAnsi="Arial Black"/>
          <w:sz w:val="24"/>
          <w:szCs w:val="24"/>
        </w:rPr>
      </w:pPr>
    </w:p>
    <w:p w14:paraId="1FC8C9C1" w14:textId="77777777" w:rsidR="00F039D1" w:rsidRDefault="00F039D1" w:rsidP="00646EE3">
      <w:pPr>
        <w:rPr>
          <w:rFonts w:ascii="Arial Black" w:hAnsi="Arial Black"/>
          <w:sz w:val="24"/>
          <w:szCs w:val="24"/>
        </w:rPr>
      </w:pPr>
    </w:p>
    <w:p w14:paraId="56E61D23" w14:textId="37DFCD03" w:rsidR="001D5809" w:rsidRDefault="00161ED7" w:rsidP="00646EE3">
      <w:pPr>
        <w:rPr>
          <w:rFonts w:ascii="Arial Black" w:hAnsi="Arial Black"/>
          <w:sz w:val="24"/>
          <w:szCs w:val="24"/>
        </w:rPr>
      </w:pPr>
      <w:r>
        <w:rPr>
          <w:rFonts w:ascii="Arial Black" w:hAnsi="Arial Black"/>
          <w:sz w:val="24"/>
          <w:szCs w:val="24"/>
        </w:rPr>
        <w:t>2-9</w:t>
      </w:r>
      <w:r w:rsidR="0099399D">
        <w:rPr>
          <w:rFonts w:ascii="Arial Black" w:hAnsi="Arial Black"/>
          <w:sz w:val="24"/>
          <w:szCs w:val="24"/>
        </w:rPr>
        <w:t>6</w:t>
      </w:r>
    </w:p>
    <w:p w14:paraId="3171DC16" w14:textId="1D2D381C" w:rsidR="001D5809" w:rsidRPr="00FF5E77" w:rsidRDefault="001D5809" w:rsidP="001D5809">
      <w:pPr>
        <w:pStyle w:val="NoSpacing"/>
        <w:rPr>
          <w:rFonts w:ascii="Arial Black" w:hAnsi="Arial Black"/>
          <w:b/>
          <w:sz w:val="28"/>
          <w:szCs w:val="28"/>
        </w:rPr>
      </w:pPr>
      <w:r>
        <w:rPr>
          <w:rFonts w:ascii="Arial Black" w:hAnsi="Arial Black"/>
          <w:b/>
          <w:sz w:val="28"/>
          <w:szCs w:val="28"/>
        </w:rPr>
        <w:lastRenderedPageBreak/>
        <w:t xml:space="preserve">MN: </w:t>
      </w:r>
      <w:r w:rsidR="00120DAE">
        <w:rPr>
          <w:rFonts w:ascii="Arial Black" w:hAnsi="Arial Black"/>
          <w:b/>
          <w:sz w:val="28"/>
          <w:szCs w:val="28"/>
        </w:rPr>
        <w:t xml:space="preserve">OFF-DUTY FF </w:t>
      </w:r>
      <w:r>
        <w:rPr>
          <w:rFonts w:ascii="Arial Black" w:hAnsi="Arial Black"/>
          <w:b/>
          <w:sz w:val="28"/>
          <w:szCs w:val="28"/>
        </w:rPr>
        <w:t xml:space="preserve">- PUNCHED IN FACE – “ROAD RAGE”  </w:t>
      </w:r>
    </w:p>
    <w:p w14:paraId="7814F2CF" w14:textId="77777777" w:rsidR="001D5809" w:rsidRDefault="001D5809" w:rsidP="001D5809">
      <w:pPr>
        <w:pStyle w:val="NoSpacing"/>
        <w:rPr>
          <w:b/>
        </w:rPr>
      </w:pPr>
    </w:p>
    <w:p w14:paraId="56B3DF97" w14:textId="77777777" w:rsidR="001D5809" w:rsidRDefault="001D5809" w:rsidP="001D5809">
      <w:pPr>
        <w:pStyle w:val="NoSpacing"/>
        <w:rPr>
          <w:b/>
        </w:rPr>
      </w:pPr>
      <w:r w:rsidRPr="000C0FAB">
        <w:t xml:space="preserve">On October 21, 2025, in </w:t>
      </w:r>
      <w:r w:rsidRPr="00F2361B">
        <w:rPr>
          <w:u w:val="single"/>
        </w:rPr>
        <w:t>State of Montana v. Jeffrey W. Burrington</w:t>
      </w:r>
      <w:r>
        <w:t xml:space="preserve">, the Supreme Court of Montana held (5 to 0) that jury properly convicted the defendant of Aggravated Assault of Ryan Williams. The Trial Court judge sentenced him to seven years, but all suspended.  The firefighter (a smoke jumper) pulled over when the defendant was “tailgating” him and then was punched in the face – fractured </w:t>
      </w:r>
      <w:r w:rsidRPr="00B31A1C">
        <w:t>mandible</w:t>
      </w:r>
      <w:r>
        <w:t xml:space="preserve">.  The jury rejected the defense that Burrington was particularly fearful for being involved with two prior “road range” incidents -  his wife testified about 1987 incident (person pulled a gun on he and his wife); 2023 (a driver </w:t>
      </w:r>
      <w:r w:rsidRPr="007B0A97">
        <w:t>brandished a machete</w:t>
      </w:r>
      <w:r>
        <w:t xml:space="preserve"> at his wife).  The trial court would not allow prosecution to tell jury about third incident:  2017 (he pled guilty to disorderly conduct after he </w:t>
      </w:r>
      <w:r w:rsidRPr="008376FD">
        <w:t>punched one of the</w:t>
      </w:r>
      <w:r>
        <w:t xml:space="preserve"> </w:t>
      </w:r>
      <w:r w:rsidRPr="008376FD">
        <w:t>motorcyclists</w:t>
      </w:r>
      <w:r>
        <w:t xml:space="preserve"> where a group of bikers were </w:t>
      </w:r>
      <w:r w:rsidRPr="00490EEB">
        <w:t>“boxing in” his car</w:t>
      </w:r>
      <w:r>
        <w:t>)</w:t>
      </w:r>
      <w:r w:rsidRPr="00490EEB">
        <w:t>.</w:t>
      </w:r>
      <w:r>
        <w:t xml:space="preserve">  </w:t>
      </w:r>
      <w:hyperlink r:id="rId396" w:history="1">
        <w:r w:rsidRPr="00410A8E">
          <w:rPr>
            <w:rStyle w:val="Hyperlink"/>
            <w:b/>
          </w:rPr>
          <w:t>https://cases.justia.com/montana/supreme-court/2025-da-25-0100.pdf?ts=1761082851</w:t>
        </w:r>
      </w:hyperlink>
      <w:r>
        <w:rPr>
          <w:b/>
        </w:rPr>
        <w:t xml:space="preserve"> </w:t>
      </w:r>
    </w:p>
    <w:p w14:paraId="4D958F61" w14:textId="77777777" w:rsidR="001D5809" w:rsidRDefault="001D5809" w:rsidP="001D5809">
      <w:pPr>
        <w:pStyle w:val="NoSpacing"/>
        <w:rPr>
          <w:b/>
        </w:rPr>
      </w:pPr>
    </w:p>
    <w:p w14:paraId="7DAA48D0" w14:textId="77777777" w:rsidR="001D5809" w:rsidRDefault="001D5809" w:rsidP="001D5809">
      <w:pPr>
        <w:pStyle w:val="NoSpacing"/>
        <w:rPr>
          <w:bCs/>
        </w:rPr>
      </w:pPr>
      <w:r>
        <w:t>THE COURT HELD:</w:t>
      </w:r>
    </w:p>
    <w:p w14:paraId="08B845D5" w14:textId="77777777" w:rsidR="001D5809" w:rsidRDefault="001D5809" w:rsidP="001D5809">
      <w:pPr>
        <w:pStyle w:val="NoSpacing"/>
        <w:rPr>
          <w:bCs/>
        </w:rPr>
      </w:pPr>
    </w:p>
    <w:p w14:paraId="205BB002" w14:textId="77777777" w:rsidR="001D5809" w:rsidRPr="00F051AB" w:rsidRDefault="001D5809" w:rsidP="001D5809">
      <w:pPr>
        <w:pStyle w:val="NoSpacing"/>
        <w:ind w:firstLine="720"/>
        <w:rPr>
          <w:bCs/>
        </w:rPr>
      </w:pPr>
      <w:r>
        <w:t>“</w:t>
      </w:r>
      <w:r w:rsidRPr="00F051AB">
        <w:t>On July 22, 2023, Burrington was driving with his wife, Sally Burrington, when he</w:t>
      </w:r>
    </w:p>
    <w:p w14:paraId="787BF5F8" w14:textId="77777777" w:rsidR="001D5809" w:rsidRPr="00F051AB" w:rsidRDefault="001D5809" w:rsidP="001D5809">
      <w:pPr>
        <w:pStyle w:val="NoSpacing"/>
        <w:ind w:firstLine="720"/>
        <w:rPr>
          <w:bCs/>
        </w:rPr>
      </w:pPr>
      <w:r w:rsidRPr="00F051AB">
        <w:t xml:space="preserve">began </w:t>
      </w:r>
      <w:r>
        <w:t>‘</w:t>
      </w:r>
      <w:r w:rsidRPr="00F051AB">
        <w:t>tailgating</w:t>
      </w:r>
      <w:r>
        <w:t>’</w:t>
      </w:r>
      <w:r w:rsidRPr="00F051AB">
        <w:t xml:space="preserve"> Ryan Williams’s car. Williams pulled over, and the </w:t>
      </w:r>
      <w:proofErr w:type="spellStart"/>
      <w:r w:rsidRPr="00F051AB">
        <w:t>Burringtons</w:t>
      </w:r>
      <w:proofErr w:type="spellEnd"/>
    </w:p>
    <w:p w14:paraId="4698229B" w14:textId="77777777" w:rsidR="001D5809" w:rsidRPr="00F051AB" w:rsidRDefault="001D5809" w:rsidP="001D5809">
      <w:pPr>
        <w:pStyle w:val="NoSpacing"/>
        <w:ind w:firstLine="720"/>
        <w:rPr>
          <w:bCs/>
        </w:rPr>
      </w:pPr>
      <w:r w:rsidRPr="00F051AB">
        <w:t>stopped their vehicle behind him. Both parties stepped out of their vehicles. Williams</w:t>
      </w:r>
    </w:p>
    <w:p w14:paraId="5574635B" w14:textId="77777777" w:rsidR="001D5809" w:rsidRPr="00F051AB" w:rsidRDefault="001D5809" w:rsidP="001D5809">
      <w:pPr>
        <w:pStyle w:val="NoSpacing"/>
        <w:ind w:firstLine="720"/>
        <w:rPr>
          <w:bCs/>
        </w:rPr>
      </w:pPr>
      <w:r w:rsidRPr="00F051AB">
        <w:t xml:space="preserve">asked Burrington, </w:t>
      </w:r>
      <w:r>
        <w:t>‘</w:t>
      </w:r>
      <w:r w:rsidRPr="00F051AB">
        <w:t>What’s wrong?</w:t>
      </w:r>
      <w:r>
        <w:t>’</w:t>
      </w:r>
      <w:r w:rsidRPr="00F051AB">
        <w:t xml:space="preserve"> and Burrington became </w:t>
      </w:r>
      <w:r>
        <w:t>‘</w:t>
      </w:r>
      <w:r w:rsidRPr="00F051AB">
        <w:t>extremely belligerent.</w:t>
      </w:r>
      <w:r>
        <w:t>’</w:t>
      </w:r>
      <w:r w:rsidRPr="00F051AB">
        <w:t xml:space="preserve"> As</w:t>
      </w:r>
    </w:p>
    <w:p w14:paraId="6D148C19" w14:textId="77777777" w:rsidR="001D5809" w:rsidRPr="00F051AB" w:rsidRDefault="001D5809" w:rsidP="001D5809">
      <w:pPr>
        <w:pStyle w:val="NoSpacing"/>
        <w:ind w:firstLine="720"/>
        <w:rPr>
          <w:bCs/>
        </w:rPr>
      </w:pPr>
      <w:proofErr w:type="gramStart"/>
      <w:r w:rsidRPr="00F051AB">
        <w:t>the</w:t>
      </w:r>
      <w:proofErr w:type="gramEnd"/>
      <w:r w:rsidRPr="00F051AB">
        <w:t xml:space="preserve"> altercation escalated, Burrington began accusing Williams of being from Washington.</w:t>
      </w:r>
    </w:p>
    <w:p w14:paraId="484F8674" w14:textId="77777777" w:rsidR="001D5809" w:rsidRPr="00F051AB" w:rsidRDefault="001D5809" w:rsidP="001D5809">
      <w:pPr>
        <w:pStyle w:val="NoSpacing"/>
        <w:ind w:firstLine="720"/>
        <w:rPr>
          <w:bCs/>
        </w:rPr>
      </w:pPr>
      <w:r w:rsidRPr="00F051AB">
        <w:t>Burrington then punched Williams in the face, at which point Williams returned to his car</w:t>
      </w:r>
    </w:p>
    <w:p w14:paraId="2DE5F538" w14:textId="77777777" w:rsidR="001D5809" w:rsidRDefault="001D5809" w:rsidP="001D5809">
      <w:pPr>
        <w:pStyle w:val="NoSpacing"/>
        <w:ind w:left="720"/>
        <w:rPr>
          <w:bCs/>
        </w:rPr>
      </w:pPr>
      <w:r w:rsidRPr="00F051AB">
        <w:t xml:space="preserve">and the </w:t>
      </w:r>
      <w:proofErr w:type="spellStart"/>
      <w:r w:rsidRPr="00F051AB">
        <w:t>Burringtons</w:t>
      </w:r>
      <w:proofErr w:type="spellEnd"/>
      <w:r w:rsidRPr="00F051AB">
        <w:t xml:space="preserve"> left in their vehicle</w:t>
      </w:r>
      <w:r>
        <w:t xml:space="preserve">…. </w:t>
      </w:r>
      <w:r w:rsidRPr="000F227C">
        <w:t>The next day, after suffering significant pain and</w:t>
      </w:r>
      <w:r>
        <w:t xml:space="preserve"> </w:t>
      </w:r>
      <w:r w:rsidRPr="000F227C">
        <w:t>swelling, Williams left work and went to the hospital. He was diagnosed with a fractured</w:t>
      </w:r>
      <w:r>
        <w:t xml:space="preserve"> </w:t>
      </w:r>
      <w:r w:rsidRPr="000F227C">
        <w:t>mandible. He filed a police report after his medical diagnosis.</w:t>
      </w:r>
    </w:p>
    <w:p w14:paraId="69FD4074" w14:textId="77777777" w:rsidR="001D5809" w:rsidRDefault="001D5809" w:rsidP="001D5809">
      <w:pPr>
        <w:pStyle w:val="NoSpacing"/>
        <w:ind w:left="720"/>
        <w:rPr>
          <w:bCs/>
        </w:rPr>
      </w:pPr>
    </w:p>
    <w:p w14:paraId="339E9D8C" w14:textId="77777777" w:rsidR="001D5809" w:rsidRDefault="001D5809" w:rsidP="001D5809">
      <w:pPr>
        <w:pStyle w:val="NoSpacing"/>
        <w:ind w:left="720"/>
        <w:rPr>
          <w:bCs/>
        </w:rPr>
      </w:pPr>
      <w:r>
        <w:t>***</w:t>
      </w:r>
    </w:p>
    <w:p w14:paraId="670EE3EA" w14:textId="77777777" w:rsidR="001D5809" w:rsidRDefault="001D5809" w:rsidP="001D5809">
      <w:pPr>
        <w:pStyle w:val="NoSpacing"/>
        <w:ind w:left="720"/>
        <w:rPr>
          <w:bCs/>
        </w:rPr>
      </w:pPr>
      <w:r>
        <w:t>T</w:t>
      </w:r>
      <w:r w:rsidRPr="007B0A97">
        <w:t xml:space="preserve">o support the JUOF </w:t>
      </w:r>
      <w:r>
        <w:t>[</w:t>
      </w:r>
      <w:r w:rsidRPr="0011479A">
        <w:t>justifiable use of force</w:t>
      </w:r>
      <w:r>
        <w:t xml:space="preserve">] </w:t>
      </w:r>
      <w:r w:rsidRPr="007B0A97">
        <w:t>defense, Burrington introduced two incidents relating to road</w:t>
      </w:r>
      <w:r>
        <w:t xml:space="preserve"> </w:t>
      </w:r>
      <w:r w:rsidRPr="007B0A97">
        <w:t xml:space="preserve">rage. These incidents were meant to demonstrate </w:t>
      </w:r>
      <w:proofErr w:type="spellStart"/>
      <w:r w:rsidRPr="007B0A97">
        <w:t>Burringtons</w:t>
      </w:r>
      <w:proofErr w:type="spellEnd"/>
      <w:r w:rsidRPr="007B0A97">
        <w:t>’ fear during the event.</w:t>
      </w:r>
      <w:r>
        <w:t xml:space="preserve"> </w:t>
      </w:r>
      <w:r w:rsidRPr="007B0A97">
        <w:t>Burrington’s wife, Sally Burrington, testified first. She testified to both incidents. The</w:t>
      </w:r>
      <w:r>
        <w:t xml:space="preserve"> </w:t>
      </w:r>
      <w:r w:rsidRPr="007B0A97">
        <w:t>first incident, which occurred in 1987, involved both Burrington and his wife being</w:t>
      </w:r>
      <w:r>
        <w:t xml:space="preserve"> </w:t>
      </w:r>
      <w:r w:rsidRPr="007B0A97">
        <w:t xml:space="preserve">allegedly involved in a roadside incident where someone </w:t>
      </w:r>
      <w:r>
        <w:t>‘</w:t>
      </w:r>
      <w:r w:rsidRPr="007B0A97">
        <w:t>pulled a gun</w:t>
      </w:r>
      <w:r>
        <w:t xml:space="preserve">’ </w:t>
      </w:r>
      <w:r w:rsidRPr="007B0A97">
        <w:t>on them</w:t>
      </w:r>
      <w:r>
        <w:t xml:space="preserve">. </w:t>
      </w:r>
      <w:r w:rsidRPr="007B0A97">
        <w:t>The</w:t>
      </w:r>
      <w:r>
        <w:t xml:space="preserve"> </w:t>
      </w:r>
      <w:r w:rsidRPr="007B0A97">
        <w:t>second incident occurred in 2023, where another driver brandished a machete at Sally</w:t>
      </w:r>
      <w:r>
        <w:t xml:space="preserve">.   </w:t>
      </w:r>
      <w:r w:rsidRPr="007B0A97">
        <w:t>Burrington in a parking lot behind a gas station. Sally also testified about her husband’</w:t>
      </w:r>
      <w:r>
        <w:t xml:space="preserve">s </w:t>
      </w:r>
      <w:r w:rsidRPr="005753F3">
        <w:t>protective instincts towards his family</w:t>
      </w:r>
      <w:r>
        <w:t>.</w:t>
      </w:r>
    </w:p>
    <w:p w14:paraId="414A82F7" w14:textId="77777777" w:rsidR="001D5809" w:rsidRDefault="001D5809" w:rsidP="001D5809">
      <w:pPr>
        <w:pStyle w:val="NoSpacing"/>
        <w:ind w:left="720"/>
        <w:rPr>
          <w:bCs/>
        </w:rPr>
      </w:pPr>
    </w:p>
    <w:p w14:paraId="628F1A57" w14:textId="77777777" w:rsidR="001D5809" w:rsidRDefault="001D5809" w:rsidP="001D5809">
      <w:pPr>
        <w:pStyle w:val="NoSpacing"/>
        <w:ind w:left="720"/>
        <w:rPr>
          <w:bCs/>
        </w:rPr>
      </w:pPr>
      <w:r>
        <w:t>***</w:t>
      </w:r>
    </w:p>
    <w:p w14:paraId="26F268ED" w14:textId="77777777" w:rsidR="001D5809" w:rsidRDefault="001D5809" w:rsidP="001D5809">
      <w:pPr>
        <w:pStyle w:val="NoSpacing"/>
        <w:ind w:left="720"/>
        <w:rPr>
          <w:bCs/>
        </w:rPr>
      </w:pPr>
      <w:r w:rsidRPr="00C4196C">
        <w:t>Burrington also testified about the two prior incidents introduced in Sally’s</w:t>
      </w:r>
      <w:r>
        <w:t xml:space="preserve"> </w:t>
      </w:r>
      <w:r w:rsidRPr="00C4196C">
        <w:t>testimony. On cross-examination, the State inquired into more detail regarding these</w:t>
      </w:r>
      <w:r>
        <w:t xml:space="preserve"> </w:t>
      </w:r>
      <w:r w:rsidRPr="00C4196C">
        <w:t>events. As the State’s questioning moved from the 2023 incident to the 1987 incident,</w:t>
      </w:r>
      <w:r>
        <w:t xml:space="preserve"> </w:t>
      </w:r>
      <w:r w:rsidRPr="00C4196C">
        <w:t>Burrington’s attorney—anticipating the State was asking about the excluded 2017</w:t>
      </w:r>
      <w:r>
        <w:t xml:space="preserve"> </w:t>
      </w:r>
      <w:r w:rsidRPr="00C4196C">
        <w:t>incident</w:t>
      </w:r>
      <w:r>
        <w:t xml:space="preserve"> [where defendant assaulted a motorcyclist and pled guilty to disorderly conduct]</w:t>
      </w:r>
      <w:r w:rsidRPr="00C4196C">
        <w:t>—objected to the State’s question. The court explained defense counsel was</w:t>
      </w:r>
      <w:r>
        <w:t xml:space="preserve"> </w:t>
      </w:r>
      <w:r w:rsidRPr="00C4196C">
        <w:t xml:space="preserve">mistaken, stating </w:t>
      </w:r>
      <w:r>
        <w:t>‘</w:t>
      </w:r>
      <w:r w:rsidRPr="00C4196C">
        <w:t>He’s talking about Ms. Burrington’s previous road rage.</w:t>
      </w:r>
      <w:r>
        <w:t>’</w:t>
      </w:r>
      <w:r w:rsidRPr="00C4196C">
        <w:t xml:space="preserve"> Burrington</w:t>
      </w:r>
      <w:r>
        <w:t xml:space="preserve"> </w:t>
      </w:r>
      <w:r w:rsidRPr="00C4196C">
        <w:t xml:space="preserve">did not object to the court’s reference </w:t>
      </w:r>
      <w:proofErr w:type="gramStart"/>
      <w:r w:rsidRPr="00C4196C">
        <w:t>of</w:t>
      </w:r>
      <w:proofErr w:type="gramEnd"/>
      <w:r w:rsidRPr="00C4196C">
        <w:t xml:space="preserve"> the 1980’s incident as </w:t>
      </w:r>
      <w:r>
        <w:t>‘</w:t>
      </w:r>
      <w:r w:rsidRPr="00C4196C">
        <w:t>Ms. Burrington’s previous</w:t>
      </w:r>
      <w:r>
        <w:t xml:space="preserve"> </w:t>
      </w:r>
      <w:r w:rsidRPr="00C4196C">
        <w:t>road rage.</w:t>
      </w:r>
      <w:r>
        <w:t>’</w:t>
      </w:r>
    </w:p>
    <w:p w14:paraId="3CB02676" w14:textId="77777777" w:rsidR="001D5809" w:rsidRDefault="001D5809" w:rsidP="001D5809">
      <w:pPr>
        <w:pStyle w:val="NoSpacing"/>
        <w:ind w:left="720"/>
        <w:rPr>
          <w:bCs/>
        </w:rPr>
      </w:pPr>
    </w:p>
    <w:p w14:paraId="4CC058F4" w14:textId="77777777" w:rsidR="001D5809" w:rsidRDefault="001D5809" w:rsidP="001D5809">
      <w:pPr>
        <w:pStyle w:val="NoSpacing"/>
        <w:ind w:left="720"/>
        <w:rPr>
          <w:bCs/>
        </w:rPr>
      </w:pPr>
      <w:r>
        <w:t>***</w:t>
      </w:r>
    </w:p>
    <w:p w14:paraId="0A216B8D" w14:textId="77777777" w:rsidR="001D5809" w:rsidRDefault="001D5809" w:rsidP="001D5809">
      <w:pPr>
        <w:pStyle w:val="NoSpacing"/>
        <w:ind w:left="720"/>
        <w:rPr>
          <w:bCs/>
        </w:rPr>
      </w:pPr>
    </w:p>
    <w:p w14:paraId="3F27AAB5" w14:textId="77777777" w:rsidR="001D5809" w:rsidRPr="009A521B" w:rsidRDefault="001D5809" w:rsidP="001D5809">
      <w:pPr>
        <w:pStyle w:val="NoSpacing"/>
        <w:ind w:left="720"/>
        <w:rPr>
          <w:bCs/>
        </w:rPr>
      </w:pPr>
      <w:r w:rsidRPr="009A521B">
        <w:t>Ultimately, it was Burrington who introduced</w:t>
      </w:r>
      <w:r>
        <w:t xml:space="preserve"> </w:t>
      </w:r>
      <w:r w:rsidRPr="009A521B">
        <w:t xml:space="preserve">this evidence </w:t>
      </w:r>
      <w:r>
        <w:t xml:space="preserve">[prior “road rage” incidents] </w:t>
      </w:r>
      <w:r w:rsidRPr="009A521B">
        <w:t>in the first instance, opening the door for the State to challenge Burrington’s</w:t>
      </w:r>
    </w:p>
    <w:p w14:paraId="6FCCBB37" w14:textId="77777777" w:rsidR="001D5809" w:rsidRPr="009A521B" w:rsidRDefault="001D5809" w:rsidP="001D5809">
      <w:pPr>
        <w:pStyle w:val="NoSpacing"/>
        <w:ind w:firstLine="720"/>
        <w:rPr>
          <w:bCs/>
        </w:rPr>
      </w:pPr>
      <w:r w:rsidRPr="009A521B">
        <w:t>characterization of the events, and did not object to the State’s question or request other</w:t>
      </w:r>
    </w:p>
    <w:p w14:paraId="1C37288A" w14:textId="77777777" w:rsidR="001D5809" w:rsidRDefault="001D5809" w:rsidP="001D5809">
      <w:pPr>
        <w:pStyle w:val="NoSpacing"/>
        <w:ind w:left="720"/>
        <w:rPr>
          <w:bCs/>
        </w:rPr>
      </w:pPr>
      <w:r w:rsidRPr="009A521B">
        <w:t>acts jury instruction. The comment and the lack of other acts instructions did not implicate</w:t>
      </w:r>
      <w:r>
        <w:t xml:space="preserve"> </w:t>
      </w:r>
      <w:r w:rsidRPr="009A521B">
        <w:t>Burrington’s fundamental rights and failure to review it would not result in manifest</w:t>
      </w:r>
      <w:r>
        <w:t xml:space="preserve"> </w:t>
      </w:r>
      <w:r w:rsidRPr="009A521B">
        <w:t>injustice.</w:t>
      </w:r>
      <w:r>
        <w:t>”</w:t>
      </w:r>
    </w:p>
    <w:p w14:paraId="0B1AFDD8" w14:textId="77777777" w:rsidR="001D5809" w:rsidRDefault="001D5809" w:rsidP="001D5809">
      <w:pPr>
        <w:pStyle w:val="NoSpacing"/>
        <w:ind w:left="720"/>
        <w:rPr>
          <w:bCs/>
        </w:rPr>
      </w:pPr>
    </w:p>
    <w:p w14:paraId="2588F46D" w14:textId="2F2E1355" w:rsidR="001D5809" w:rsidRPr="0048238D" w:rsidRDefault="001D5809" w:rsidP="001D5809">
      <w:pPr>
        <w:pStyle w:val="NoSpacing"/>
        <w:rPr>
          <w:b/>
        </w:rPr>
      </w:pPr>
      <w:r>
        <w:rPr>
          <w:b/>
        </w:rPr>
        <w:t xml:space="preserve">Lesson learned: Unfortunate the “road rage” defendant received suspended sentence. </w:t>
      </w:r>
    </w:p>
    <w:p w14:paraId="1215D2D7" w14:textId="77777777" w:rsidR="001D5809" w:rsidRDefault="001D5809" w:rsidP="001D5809">
      <w:pPr>
        <w:tabs>
          <w:tab w:val="left" w:pos="264"/>
        </w:tabs>
      </w:pPr>
    </w:p>
    <w:p w14:paraId="60A85E46" w14:textId="0EE93AE0" w:rsidR="001D5809" w:rsidRDefault="00515316" w:rsidP="00646EE3">
      <w:pPr>
        <w:rPr>
          <w:rFonts w:ascii="Arial Black" w:hAnsi="Arial Black"/>
          <w:sz w:val="24"/>
          <w:szCs w:val="24"/>
        </w:rPr>
      </w:pPr>
      <w:r>
        <w:rPr>
          <w:rFonts w:ascii="Arial Black" w:hAnsi="Arial Black"/>
          <w:sz w:val="24"/>
          <w:szCs w:val="24"/>
        </w:rPr>
        <w:lastRenderedPageBreak/>
        <w:t>2-9</w:t>
      </w:r>
      <w:r w:rsidR="003D47D0">
        <w:rPr>
          <w:rFonts w:ascii="Arial Black" w:hAnsi="Arial Black"/>
          <w:sz w:val="24"/>
          <w:szCs w:val="24"/>
        </w:rPr>
        <w:t>5</w:t>
      </w:r>
    </w:p>
    <w:p w14:paraId="0D90FDC2" w14:textId="77777777" w:rsidR="00515316" w:rsidRDefault="00515316" w:rsidP="00515316">
      <w:pPr>
        <w:pStyle w:val="NoSpacing"/>
        <w:rPr>
          <w:rFonts w:ascii="Arial Black" w:hAnsi="Arial Black"/>
          <w:sz w:val="28"/>
          <w:szCs w:val="28"/>
        </w:rPr>
      </w:pPr>
      <w:r>
        <w:rPr>
          <w:rFonts w:ascii="Arial Black" w:hAnsi="Arial Black"/>
          <w:sz w:val="28"/>
          <w:szCs w:val="28"/>
        </w:rPr>
        <w:t xml:space="preserve">OH: MOBILE HOME FIRE – OWNER THREATENS FF – CONV </w:t>
      </w:r>
    </w:p>
    <w:p w14:paraId="0E63A537" w14:textId="77777777" w:rsidR="00515316" w:rsidRDefault="00515316" w:rsidP="00515316">
      <w:pPr>
        <w:pStyle w:val="NoSpacing"/>
        <w:rPr>
          <w:rFonts w:ascii="Arial Black" w:hAnsi="Arial Black"/>
          <w:sz w:val="28"/>
          <w:szCs w:val="28"/>
        </w:rPr>
      </w:pPr>
    </w:p>
    <w:p w14:paraId="1FC5E921" w14:textId="77777777" w:rsidR="00515316" w:rsidRPr="00742C8D" w:rsidRDefault="00515316" w:rsidP="00515316">
      <w:pPr>
        <w:pStyle w:val="NoSpacing"/>
        <w:rPr>
          <w:b/>
        </w:rPr>
      </w:pPr>
      <w:r>
        <w:t xml:space="preserve">On Oct. 20, 2025, in </w:t>
      </w:r>
      <w:r w:rsidRPr="00D12508">
        <w:rPr>
          <w:u w:val="single"/>
        </w:rPr>
        <w:t>State of Ohio v. Christopher W. Longnecker</w:t>
      </w:r>
      <w:r w:rsidRPr="00D12508">
        <w:t xml:space="preserve">, the Court of Appeals of Ohio, Twelfth District (Clermont County), </w:t>
      </w:r>
      <w:r>
        <w:t xml:space="preserve">held (3 to 0) conviction affirmed.   </w:t>
      </w:r>
      <w:r w:rsidRPr="00A62117">
        <w:t>On July 31, 2023, firefighters were dispatched to extinguish a fire at</w:t>
      </w:r>
      <w:r>
        <w:t xml:space="preserve"> defendant’s mobile home where his son was burned and two pet cats died.  </w:t>
      </w:r>
      <w:r w:rsidRPr="00A62117">
        <w:t>Longnecker arrived, became</w:t>
      </w:r>
      <w:r>
        <w:t xml:space="preserve"> </w:t>
      </w:r>
      <w:r w:rsidRPr="00A62117">
        <w:t>agitated, and threatened to "bash" volunteer firefighter Justin Pendergrass' "face in."</w:t>
      </w:r>
      <w:r>
        <w:t xml:space="preserve"> The jury returned guilty verdicts on all three counts;  trial court judge sentenced Longnecker to 180 days in jail and a $200 fine for aggravated menacing, and 30 days in jail and a $100 fine for misconduct at an emergency (to be served consecutively), plus court costs. On appeal the Court of Appeals held that prosecution had no duty to disclose the oral statements he made to </w:t>
      </w:r>
      <w:r w:rsidRPr="00A0476E">
        <w:t>fire investigation team leader, Christopher</w:t>
      </w:r>
      <w:r>
        <w:t xml:space="preserve"> </w:t>
      </w:r>
      <w:r w:rsidRPr="00A0476E">
        <w:t>Mullins</w:t>
      </w:r>
      <w:r>
        <w:t xml:space="preserve"> - that  “</w:t>
      </w:r>
      <w:r w:rsidRPr="00F1325D">
        <w:t>he was going into the house no matter what</w:t>
      </w:r>
      <w:r>
        <w:t xml:space="preserve">”-  since the statement were not recorded by Mullins or other investigators on a document or on video.   </w:t>
      </w:r>
      <w:hyperlink r:id="rId397" w:history="1">
        <w:r w:rsidRPr="006C2601">
          <w:rPr>
            <w:rStyle w:val="Hyperlink"/>
            <w:b/>
          </w:rPr>
          <w:t>https://www.supremecourt.ohio.gov/rod/docs/pdf/12/2025/2025-Ohio-4780.pdf</w:t>
        </w:r>
      </w:hyperlink>
      <w:r>
        <w:rPr>
          <w:b/>
        </w:rPr>
        <w:t xml:space="preserve"> </w:t>
      </w:r>
    </w:p>
    <w:p w14:paraId="068D48AB" w14:textId="77777777" w:rsidR="00515316" w:rsidRDefault="00515316" w:rsidP="00515316">
      <w:pPr>
        <w:pStyle w:val="NoSpacing"/>
      </w:pPr>
      <w:r>
        <w:t xml:space="preserve"> </w:t>
      </w:r>
    </w:p>
    <w:p w14:paraId="75298C01" w14:textId="77777777" w:rsidR="00515316" w:rsidRDefault="00515316" w:rsidP="00515316">
      <w:pPr>
        <w:pStyle w:val="NoSpacing"/>
      </w:pPr>
      <w:r>
        <w:t>THE COURT HELD:</w:t>
      </w:r>
    </w:p>
    <w:p w14:paraId="55ECF1EE" w14:textId="77777777" w:rsidR="00515316" w:rsidRDefault="00515316" w:rsidP="00515316">
      <w:pPr>
        <w:pStyle w:val="NoSpacing"/>
      </w:pPr>
    </w:p>
    <w:p w14:paraId="7E0A2321" w14:textId="77777777" w:rsidR="00515316" w:rsidRDefault="00515316" w:rsidP="00515316">
      <w:pPr>
        <w:pStyle w:val="NoSpacing"/>
        <w:ind w:left="720"/>
        <w:rPr>
          <w:bCs/>
        </w:rPr>
      </w:pPr>
      <w:r>
        <w:t>“</w:t>
      </w:r>
      <w:r w:rsidRPr="00A62117">
        <w:t>On July 31, 2023, firefighters from the Felicity-Franklin, Washington</w:t>
      </w:r>
      <w:r>
        <w:t xml:space="preserve"> </w:t>
      </w:r>
      <w:r w:rsidRPr="00A62117">
        <w:t>Township, and Bethel-Tate Fire Departments were dispatched to extinguish a fire at</w:t>
      </w:r>
      <w:r>
        <w:t xml:space="preserve"> </w:t>
      </w:r>
      <w:r w:rsidRPr="00A62117">
        <w:t>Christopher Longnecker's home in the Country View Mobile Home Park. Due to the fire,</w:t>
      </w:r>
      <w:r>
        <w:t xml:space="preserve"> </w:t>
      </w:r>
      <w:r w:rsidRPr="00A62117">
        <w:t>Longnecker's home was badly damaged, his son was burned, and his two pet cats died.</w:t>
      </w:r>
      <w:r>
        <w:t xml:space="preserve"> </w:t>
      </w:r>
      <w:r w:rsidRPr="00A62117">
        <w:t>While the firefighters were still working at the scene, Longnecker arrived, became</w:t>
      </w:r>
      <w:r>
        <w:t xml:space="preserve"> </w:t>
      </w:r>
      <w:r w:rsidRPr="00A62117">
        <w:t>agitated, and threatened to "bash" volunteer firefighter Justin Pendergrass' "face in."</w:t>
      </w:r>
    </w:p>
    <w:p w14:paraId="65F2A9DD" w14:textId="77777777" w:rsidR="00515316" w:rsidRDefault="00515316" w:rsidP="00515316">
      <w:pPr>
        <w:pStyle w:val="NoSpacing"/>
        <w:ind w:left="720"/>
        <w:rPr>
          <w:bCs/>
        </w:rPr>
      </w:pPr>
    </w:p>
    <w:p w14:paraId="296B6D4F" w14:textId="77777777" w:rsidR="00515316" w:rsidRDefault="00515316" w:rsidP="00515316">
      <w:pPr>
        <w:pStyle w:val="NoSpacing"/>
        <w:ind w:left="720"/>
      </w:pPr>
      <w:r>
        <w:t>***</w:t>
      </w:r>
    </w:p>
    <w:p w14:paraId="194D4A5D" w14:textId="77777777" w:rsidR="00515316" w:rsidRDefault="00515316" w:rsidP="00515316">
      <w:pPr>
        <w:pStyle w:val="NoSpacing"/>
        <w:ind w:left="720"/>
      </w:pPr>
      <w:r>
        <w:t>Clermont County fire investigation team leader, Christopher Mullins, spoke with Longnecker to obtain consent to search the home for the cause of the fire, but Longnecker refused. Mullins also warned Longnecker that he was not permitted to enter the home, as it was still too dangerous and might interfere with the fire investigation. While the fire investigation team waited to obtain a search warrant, Clermont County Sherrif's deputies followed Longnecker around the property to ensure he did not interfere with the firefighters. Longnecker then attempted to enter the home and was tackled and arrested by the deputies.</w:t>
      </w:r>
    </w:p>
    <w:p w14:paraId="452AA362" w14:textId="77777777" w:rsidR="00515316" w:rsidRDefault="00515316" w:rsidP="00515316">
      <w:pPr>
        <w:pStyle w:val="NoSpacing"/>
      </w:pPr>
    </w:p>
    <w:p w14:paraId="0FCAB907" w14:textId="77777777" w:rsidR="00515316" w:rsidRDefault="00515316" w:rsidP="00515316">
      <w:pPr>
        <w:pStyle w:val="NoSpacing"/>
        <w:ind w:left="720"/>
      </w:pPr>
      <w:r>
        <w:t xml:space="preserve">Longnecker was later indicted for misconduct at an emergency, aggravated menacing, and menacing; the case proceeded to jury trial on October 8, 2024. One of the central theories of Longnecker's defense was that none of the public officials at the scene that day specifically told him he could not enter his home. However, at trial, Fire Investigator Mullins testified that he told Longnecker he could not enter his home and Longnecker answered ‘that he was going into the house no matter what. It was his </w:t>
      </w:r>
      <w:r w:rsidRPr="00523DF2">
        <w:t>house.</w:t>
      </w:r>
      <w:r>
        <w:t>’</w:t>
      </w:r>
    </w:p>
    <w:p w14:paraId="6F28ED86" w14:textId="77777777" w:rsidR="00515316" w:rsidRDefault="00515316" w:rsidP="00515316">
      <w:pPr>
        <w:pStyle w:val="NoSpacing"/>
        <w:ind w:left="720"/>
      </w:pPr>
    </w:p>
    <w:p w14:paraId="102D1F6D" w14:textId="77777777" w:rsidR="00515316" w:rsidRPr="008C4A2B" w:rsidRDefault="00515316" w:rsidP="00515316">
      <w:pPr>
        <w:pStyle w:val="NoSpacing"/>
        <w:ind w:left="720"/>
      </w:pPr>
      <w:r>
        <w:t>***</w:t>
      </w:r>
    </w:p>
    <w:p w14:paraId="2E1B41E2" w14:textId="77777777" w:rsidR="00515316" w:rsidRDefault="00515316" w:rsidP="00515316">
      <w:pPr>
        <w:pStyle w:val="NoSpacing"/>
        <w:rPr>
          <w:b/>
        </w:rPr>
      </w:pPr>
    </w:p>
    <w:p w14:paraId="66BB5829" w14:textId="77777777" w:rsidR="00515316" w:rsidRDefault="00515316" w:rsidP="00515316">
      <w:pPr>
        <w:pStyle w:val="NoSpacing"/>
        <w:ind w:left="720"/>
      </w:pPr>
      <w:r w:rsidRPr="00536C39">
        <w:t>During the sidebar</w:t>
      </w:r>
      <w:r>
        <w:t xml:space="preserve"> </w:t>
      </w:r>
      <w:r w:rsidRPr="00536C39">
        <w:t>discussion, the State did not deny that it was aware Mullins was going to testify to</w:t>
      </w:r>
      <w:r>
        <w:t xml:space="preserve"> </w:t>
      </w:r>
      <w:r w:rsidRPr="00536C39">
        <w:t>Longnecker's statement and responded dismissively to the defense's apparent surprise:</w:t>
      </w:r>
    </w:p>
    <w:p w14:paraId="3C320DAA" w14:textId="77777777" w:rsidR="00515316" w:rsidRPr="00536C39" w:rsidRDefault="00515316" w:rsidP="00515316">
      <w:pPr>
        <w:pStyle w:val="NoSpacing"/>
        <w:ind w:left="720"/>
      </w:pPr>
    </w:p>
    <w:p w14:paraId="6742F465" w14:textId="77777777" w:rsidR="00515316" w:rsidRDefault="00515316" w:rsidP="00515316">
      <w:pPr>
        <w:pStyle w:val="NoSpacing"/>
        <w:ind w:left="1440"/>
      </w:pPr>
      <w:r>
        <w:t>‘</w:t>
      </w:r>
      <w:r w:rsidRPr="00536C39">
        <w:t>I can ask him if he told this man not to go in the property and the fact that they think it's</w:t>
      </w:r>
      <w:r>
        <w:t xml:space="preserve"> </w:t>
      </w:r>
      <w:r w:rsidRPr="00536C39">
        <w:t>prejudicial, it is. Maybe they should pick up the phone and call the witness and interview</w:t>
      </w:r>
      <w:r>
        <w:t xml:space="preserve"> </w:t>
      </w:r>
      <w:r w:rsidRPr="00536C39">
        <w:t>them. I don't have a report to give them. I disclosed the witness. I've done my job. I can</w:t>
      </w:r>
      <w:r>
        <w:t xml:space="preserve"> </w:t>
      </w:r>
      <w:r w:rsidRPr="00536C39">
        <w:t>ask the question.</w:t>
      </w:r>
      <w:r>
        <w:t>’</w:t>
      </w:r>
      <w:r w:rsidRPr="00536C39">
        <w:t xml:space="preserve"> </w:t>
      </w:r>
    </w:p>
    <w:p w14:paraId="0EA6A508" w14:textId="77777777" w:rsidR="00515316" w:rsidRDefault="00515316" w:rsidP="00515316">
      <w:pPr>
        <w:pStyle w:val="NoSpacing"/>
        <w:ind w:left="720"/>
      </w:pPr>
    </w:p>
    <w:p w14:paraId="2A15CB52" w14:textId="77777777" w:rsidR="00515316" w:rsidRPr="00536C39" w:rsidRDefault="00515316" w:rsidP="00515316">
      <w:pPr>
        <w:pStyle w:val="NoSpacing"/>
        <w:ind w:left="720"/>
      </w:pPr>
      <w:r w:rsidRPr="00536C39">
        <w:t>The trial court overruled Longnecker's objections and permitted the</w:t>
      </w:r>
      <w:r>
        <w:t xml:space="preserve"> </w:t>
      </w:r>
      <w:r w:rsidRPr="00536C39">
        <w:t>testimony. Longnecker's oral statement to Mullins was never recorded, summarized, or</w:t>
      </w:r>
    </w:p>
    <w:p w14:paraId="2125D119" w14:textId="77777777" w:rsidR="00515316" w:rsidRDefault="00515316" w:rsidP="00515316">
      <w:pPr>
        <w:pStyle w:val="NoSpacing"/>
        <w:ind w:firstLine="720"/>
      </w:pPr>
      <w:r w:rsidRPr="00536C39">
        <w:t>otherwise documented prior to Mullins' testimony at trial.</w:t>
      </w:r>
    </w:p>
    <w:p w14:paraId="42D36A6C" w14:textId="77777777" w:rsidR="00515316" w:rsidRDefault="00515316" w:rsidP="00515316">
      <w:pPr>
        <w:pStyle w:val="NoSpacing"/>
        <w:ind w:firstLine="720"/>
      </w:pPr>
    </w:p>
    <w:p w14:paraId="43A68FDE" w14:textId="77777777" w:rsidR="00515316" w:rsidRDefault="00515316" w:rsidP="00515316">
      <w:pPr>
        <w:pStyle w:val="NoSpacing"/>
        <w:ind w:firstLine="720"/>
      </w:pPr>
      <w:r>
        <w:t>***</w:t>
      </w:r>
    </w:p>
    <w:p w14:paraId="67EA214C" w14:textId="77777777" w:rsidR="00515316" w:rsidRDefault="00515316" w:rsidP="00515316">
      <w:pPr>
        <w:pStyle w:val="NoSpacing"/>
        <w:ind w:firstLine="720"/>
      </w:pPr>
      <w:r>
        <w:t>Under the plain text of the rule [</w:t>
      </w:r>
      <w:proofErr w:type="spellStart"/>
      <w:r w:rsidRPr="00063EF3">
        <w:t>Crim.R</w:t>
      </w:r>
      <w:proofErr w:type="spellEnd"/>
      <w:r w:rsidRPr="00063EF3">
        <w:t>. 16(B)</w:t>
      </w:r>
      <w:r>
        <w:t>] unrecorded oral statements to a law</w:t>
      </w:r>
    </w:p>
    <w:p w14:paraId="1C0C3ECC" w14:textId="77777777" w:rsidR="00515316" w:rsidRDefault="00515316" w:rsidP="00515316">
      <w:pPr>
        <w:pStyle w:val="NoSpacing"/>
        <w:ind w:firstLine="720"/>
      </w:pPr>
      <w:r>
        <w:lastRenderedPageBreak/>
        <w:t xml:space="preserve">enforcement </w:t>
      </w:r>
      <w:proofErr w:type="gramStart"/>
      <w:r>
        <w:t>officer</w:t>
      </w:r>
      <w:proofErr w:type="gramEnd"/>
      <w:r>
        <w:t>, that are not subsequently documented in a summary or report, are</w:t>
      </w:r>
    </w:p>
    <w:p w14:paraId="1CD1D7F3" w14:textId="77777777" w:rsidR="00515316" w:rsidRDefault="00515316" w:rsidP="00515316">
      <w:pPr>
        <w:pStyle w:val="NoSpacing"/>
        <w:ind w:left="720"/>
      </w:pPr>
      <w:r>
        <w:t>not subject to disclosure in discovery.  [Footnote 1.] Accordingly, we find the trial court did not abuse its discretion when it admitted Mullins' testimony regarding Longnecker's oral statement and did not abuse its discretion when it denied Longnecker's motion for a mistrial. Longnecker's sole assignment of error is overruled.</w:t>
      </w:r>
    </w:p>
    <w:p w14:paraId="395655D3" w14:textId="77777777" w:rsidR="00515316" w:rsidRDefault="00515316" w:rsidP="00515316">
      <w:pPr>
        <w:pStyle w:val="NoSpacing"/>
        <w:ind w:left="720"/>
      </w:pPr>
    </w:p>
    <w:p w14:paraId="4027639B" w14:textId="77777777" w:rsidR="00515316" w:rsidRDefault="00515316" w:rsidP="00515316">
      <w:pPr>
        <w:pStyle w:val="NoSpacing"/>
        <w:ind w:left="1440"/>
      </w:pPr>
      <w:r>
        <w:t xml:space="preserve">Footnote 1: Not every oral statement made by a defendant is always recorded or documented in a report by law enforcement. Therefore, the onus is now on defendants to remember their oral statements. There is concern that a law enforcement officer could specifically choose not to document certain oral statements to avoid disclosure and obtain a surprise advantage at trial.  Nevertheless, we are bound to apply the plain text of the rule without making our own additions or </w:t>
      </w:r>
      <w:proofErr w:type="gramStart"/>
      <w:r>
        <w:t>subtractions.”</w:t>
      </w:r>
      <w:proofErr w:type="gramEnd"/>
    </w:p>
    <w:p w14:paraId="422516FD" w14:textId="77777777" w:rsidR="00515316" w:rsidRDefault="00515316" w:rsidP="00515316">
      <w:pPr>
        <w:pStyle w:val="NoSpacing"/>
        <w:ind w:left="1440"/>
      </w:pPr>
    </w:p>
    <w:p w14:paraId="23EFAE0C" w14:textId="5732968E" w:rsidR="00515316" w:rsidRPr="00971AF7" w:rsidRDefault="00515316" w:rsidP="00515316">
      <w:pPr>
        <w:pStyle w:val="NoSpacing"/>
        <w:rPr>
          <w:b/>
          <w:bCs/>
        </w:rPr>
      </w:pPr>
      <w:r>
        <w:rPr>
          <w:b/>
        </w:rPr>
        <w:t xml:space="preserve">Lesson learned: Defendant sent to prison for threats to firefighters. </w:t>
      </w:r>
    </w:p>
    <w:p w14:paraId="37B09D58" w14:textId="77777777" w:rsidR="00515316" w:rsidRDefault="00515316" w:rsidP="00646EE3">
      <w:pPr>
        <w:rPr>
          <w:rFonts w:ascii="Arial Black" w:hAnsi="Arial Black"/>
          <w:sz w:val="24"/>
          <w:szCs w:val="24"/>
        </w:rPr>
      </w:pPr>
    </w:p>
    <w:p w14:paraId="40CDE6CD" w14:textId="77777777" w:rsidR="001D5809" w:rsidRDefault="001D5809" w:rsidP="00646EE3">
      <w:pPr>
        <w:rPr>
          <w:rFonts w:ascii="Arial Black" w:hAnsi="Arial Black"/>
          <w:sz w:val="24"/>
          <w:szCs w:val="24"/>
        </w:rPr>
      </w:pPr>
    </w:p>
    <w:p w14:paraId="71ED9943" w14:textId="4A8483A5" w:rsidR="001D5809" w:rsidRDefault="00D811D3" w:rsidP="00646EE3">
      <w:pPr>
        <w:rPr>
          <w:rFonts w:ascii="Arial Black" w:hAnsi="Arial Black"/>
          <w:sz w:val="24"/>
          <w:szCs w:val="24"/>
        </w:rPr>
      </w:pPr>
      <w:r>
        <w:rPr>
          <w:rFonts w:ascii="Arial Black" w:hAnsi="Arial Black"/>
          <w:sz w:val="24"/>
          <w:szCs w:val="24"/>
        </w:rPr>
        <w:t>2-9</w:t>
      </w:r>
      <w:r w:rsidR="003D47D0">
        <w:rPr>
          <w:rFonts w:ascii="Arial Black" w:hAnsi="Arial Black"/>
          <w:sz w:val="24"/>
          <w:szCs w:val="24"/>
        </w:rPr>
        <w:t>4</w:t>
      </w:r>
    </w:p>
    <w:p w14:paraId="1CE92539" w14:textId="77777777" w:rsidR="00D811D3" w:rsidRPr="00FE58E1" w:rsidRDefault="00D811D3" w:rsidP="00D811D3">
      <w:pPr>
        <w:spacing w:after="0"/>
        <w:rPr>
          <w:rFonts w:ascii="Arial Black" w:hAnsi="Arial Black"/>
          <w:sz w:val="28"/>
          <w:szCs w:val="28"/>
        </w:rPr>
      </w:pPr>
      <w:r>
        <w:rPr>
          <w:rFonts w:ascii="Arial Black" w:hAnsi="Arial Black"/>
          <w:sz w:val="28"/>
          <w:szCs w:val="28"/>
        </w:rPr>
        <w:t>NY: FDNY INJURED - CAN SUE CONST. CO FOR DEBRY</w:t>
      </w:r>
    </w:p>
    <w:p w14:paraId="3745B5DA" w14:textId="77777777" w:rsidR="00D811D3" w:rsidRDefault="00D811D3" w:rsidP="00D811D3">
      <w:pPr>
        <w:spacing w:after="0"/>
      </w:pPr>
    </w:p>
    <w:p w14:paraId="085E443D" w14:textId="77777777" w:rsidR="00D811D3" w:rsidRDefault="00D811D3" w:rsidP="00D811D3">
      <w:pPr>
        <w:spacing w:after="0"/>
      </w:pPr>
      <w:r>
        <w:t xml:space="preserve">On Oct. 19, 2025, in </w:t>
      </w:r>
      <w:r w:rsidRPr="003A5D65">
        <w:rPr>
          <w:u w:val="single"/>
        </w:rPr>
        <w:t>Christopher Martucci v. 500 W25th Owner, LLC, et al</w:t>
      </w:r>
      <w:r>
        <w:t xml:space="preserve">., Judge Leslie A. Stroth, </w:t>
      </w:r>
      <w:r w:rsidRPr="009D7660">
        <w:t>Supreme Court, New York County</w:t>
      </w:r>
      <w:r>
        <w:t xml:space="preserve"> (unpublished opinion), held that the firefighter may proceed with his lawsuit under the New York statute that amended the “Fireman’s Rule.”  The NY state statute allows firefighters to sue a property owner for damages for </w:t>
      </w:r>
      <w:r w:rsidRPr="002A64EB">
        <w:t>failing to comply with the requirements of any statutes, ordinances, rules, orders and requirements of the federal, state ... or [local] governments' 'directly or indirectly' causes the firefighter's injury or death during the discharge of his or her duties</w:t>
      </w:r>
      <w:r>
        <w:t>. The firefighter injured his leg and arm on March 12, 2018, when moving a construction worker on a stokes basket after the worker’s recovery from a 30–</w:t>
      </w:r>
      <w:proofErr w:type="gramStart"/>
      <w:r>
        <w:t>40 foot</w:t>
      </w:r>
      <w:proofErr w:type="gramEnd"/>
      <w:r>
        <w:t xml:space="preserve"> pit. The firefighter says he fell when walking on “material piles” and this violated </w:t>
      </w:r>
      <w:r w:rsidRPr="00C833B7">
        <w:t>Industrial Code § 23-2.1(a)(1)</w:t>
      </w:r>
      <w:r>
        <w:t xml:space="preserve"> which requires building materials cannot </w:t>
      </w:r>
      <w:r w:rsidRPr="00C833B7">
        <w:t xml:space="preserve">obstruct any </w:t>
      </w:r>
      <w:r>
        <w:t>“</w:t>
      </w:r>
      <w:r w:rsidRPr="00C833B7">
        <w:t>passageway, walkway, stairway or other thoroughfare.</w:t>
      </w:r>
      <w:r>
        <w:t xml:space="preserve">”  </w:t>
      </w:r>
      <w:hyperlink r:id="rId398" w:history="1">
        <w:r w:rsidRPr="00356365">
          <w:rPr>
            <w:rStyle w:val="Hyperlink"/>
          </w:rPr>
          <w:t>https://cases.justia.com/new-york/other-courts/2025-2025-ny-slip-op-33918-u.pdf?ts=1761341322</w:t>
        </w:r>
      </w:hyperlink>
      <w:r>
        <w:t xml:space="preserve"> </w:t>
      </w:r>
    </w:p>
    <w:p w14:paraId="236C9C0C" w14:textId="77777777" w:rsidR="00D811D3" w:rsidRDefault="00D811D3" w:rsidP="00D811D3">
      <w:pPr>
        <w:spacing w:after="0"/>
      </w:pPr>
    </w:p>
    <w:p w14:paraId="18AB4191" w14:textId="77777777" w:rsidR="00D811D3" w:rsidRDefault="00D811D3" w:rsidP="00D811D3">
      <w:pPr>
        <w:spacing w:after="0"/>
      </w:pPr>
      <w:r>
        <w:t>THE COURT HELD:</w:t>
      </w:r>
    </w:p>
    <w:p w14:paraId="7CFF1CE8" w14:textId="77777777" w:rsidR="00D811D3" w:rsidRPr="00C833B7" w:rsidRDefault="00D811D3" w:rsidP="00D811D3">
      <w:pPr>
        <w:spacing w:after="0"/>
      </w:pPr>
    </w:p>
    <w:p w14:paraId="6204EA30" w14:textId="77777777" w:rsidR="00D811D3" w:rsidRDefault="00D811D3" w:rsidP="00D811D3">
      <w:pPr>
        <w:spacing w:after="0"/>
        <w:ind w:left="720"/>
      </w:pPr>
      <w:r>
        <w:t>“</w:t>
      </w:r>
      <w:r w:rsidRPr="00BB1B7E">
        <w:t xml:space="preserve">The Court finds that an issue of material fact remains as to whether there were </w:t>
      </w:r>
      <w:r>
        <w:t>‘</w:t>
      </w:r>
      <w:r w:rsidRPr="00BB1B7E">
        <w:t>material piles</w:t>
      </w:r>
      <w:r>
        <w:t xml:space="preserve">’ </w:t>
      </w:r>
      <w:r w:rsidRPr="00BB1B7E">
        <w:t xml:space="preserve">on a </w:t>
      </w:r>
      <w:r>
        <w:t>‘</w:t>
      </w:r>
      <w:r w:rsidRPr="00BB1B7E">
        <w:t>passageway, walkway, stairway or thoroughfare.</w:t>
      </w:r>
      <w:r>
        <w:t>’</w:t>
      </w:r>
    </w:p>
    <w:p w14:paraId="719921A8" w14:textId="77777777" w:rsidR="00D811D3" w:rsidRDefault="00D811D3" w:rsidP="00D811D3">
      <w:pPr>
        <w:spacing w:after="0"/>
        <w:ind w:left="720"/>
      </w:pPr>
    </w:p>
    <w:p w14:paraId="1AAD0B4A" w14:textId="77777777" w:rsidR="00D811D3" w:rsidRDefault="00D811D3" w:rsidP="00D811D3">
      <w:pPr>
        <w:spacing w:after="0"/>
        <w:ind w:left="720"/>
      </w:pPr>
      <w:r>
        <w:t>***</w:t>
      </w:r>
    </w:p>
    <w:p w14:paraId="7B96E707" w14:textId="77777777" w:rsidR="00D811D3" w:rsidRDefault="00D811D3" w:rsidP="00D811D3">
      <w:pPr>
        <w:spacing w:after="0"/>
        <w:ind w:left="720"/>
      </w:pPr>
    </w:p>
    <w:p w14:paraId="6729ECE1" w14:textId="77777777" w:rsidR="00D811D3" w:rsidRDefault="00D811D3" w:rsidP="00D811D3">
      <w:pPr>
        <w:spacing w:after="0"/>
        <w:ind w:left="720"/>
      </w:pPr>
      <w:r w:rsidRPr="00176E60">
        <w:t>Plaintiff alleges that he responded to an accident on a construction site located at 500 W 25 Street, New York, NY on March 12, 2018. A construction worker had been injured at the bottom of a large excavation pit that was approximately 30-40 feet deep and Plaintiff was dispatched as part of the FDNY Special Operations Rescue Unit. After the injured worker was pulled up from the excavation pit, Plaintiff assisted in carrying him in a titanium basket from the perimeter of the pit, across the construction site, and to the ambulance. As Plaintiff was transporting the injured worker, Plaintiff alleges that he had to step over large amounts of debris and material, that he lost his footing, and that he felt a pop and shooting pain in his left leg and a strain in his arm.</w:t>
      </w:r>
    </w:p>
    <w:p w14:paraId="4E715EF6" w14:textId="77777777" w:rsidR="00D811D3" w:rsidRDefault="00D811D3" w:rsidP="00D811D3">
      <w:pPr>
        <w:spacing w:after="0"/>
        <w:ind w:left="720"/>
      </w:pPr>
    </w:p>
    <w:p w14:paraId="6E54DA6E" w14:textId="77777777" w:rsidR="00D811D3" w:rsidRDefault="00D811D3" w:rsidP="00D811D3">
      <w:pPr>
        <w:spacing w:after="0"/>
        <w:ind w:left="720"/>
      </w:pPr>
      <w:r>
        <w:t>***</w:t>
      </w:r>
    </w:p>
    <w:p w14:paraId="484CB0B6" w14:textId="77777777" w:rsidR="00D811D3" w:rsidRDefault="00D811D3" w:rsidP="00D811D3">
      <w:pPr>
        <w:spacing w:after="0"/>
        <w:ind w:left="720"/>
      </w:pPr>
      <w:r w:rsidRPr="002A64EB">
        <w:lastRenderedPageBreak/>
        <w:t xml:space="preserve">General Municipal Law § 205-a provides an exception to the common-law </w:t>
      </w:r>
      <w:r>
        <w:t>‘</w:t>
      </w:r>
      <w:r w:rsidRPr="002A64EB">
        <w:t>firefighter rule,</w:t>
      </w:r>
      <w:r>
        <w:t>’</w:t>
      </w:r>
      <w:r w:rsidRPr="002A64EB">
        <w:t xml:space="preserve"> </w:t>
      </w:r>
      <w:r w:rsidRPr="002A64EB">
        <w:rPr>
          <w:i/>
          <w:iCs/>
        </w:rPr>
        <w:t>(</w:t>
      </w:r>
      <w:proofErr w:type="spellStart"/>
      <w:r w:rsidRPr="002A64EB">
        <w:rPr>
          <w:i/>
          <w:iCs/>
        </w:rPr>
        <w:t>Galapo</w:t>
      </w:r>
      <w:proofErr w:type="spellEnd"/>
      <w:r w:rsidRPr="002A64EB">
        <w:rPr>
          <w:i/>
          <w:iCs/>
        </w:rPr>
        <w:t xml:space="preserve"> v City of New York,</w:t>
      </w:r>
      <w:r w:rsidRPr="002A64EB">
        <w:t xml:space="preserve"> 95 N.Y.2d 568, 573 [2000]). Under General Municipal Law § 205-a, a firefighter has a right of action where </w:t>
      </w:r>
      <w:r>
        <w:t>‘</w:t>
      </w:r>
      <w:r w:rsidRPr="002A64EB">
        <w:t xml:space="preserve">the negligence of any person ... in failing to comply with the requirements of any statutes, ordinances, rules, orders and requirements of the federal, state ... or [local] governments' 'directly or indirectly' causes the firefighter's injury or death during the discharge of his or her duties </w:t>
      </w:r>
      <w:r w:rsidRPr="002A64EB">
        <w:rPr>
          <w:i/>
          <w:iCs/>
        </w:rPr>
        <w:t>(Giuffrida v Citibank Corp.,</w:t>
      </w:r>
      <w:r w:rsidRPr="002A64EB">
        <w:t xml:space="preserve"> 100 N.Y.2d 72, 77 [2003]).</w:t>
      </w:r>
      <w:r w:rsidRPr="00107955">
        <w:t>"the negligence of any person ... in failing to comply with the requirements of any statutes, ordinances, rules, orders and requirements of the federal, state ... or [local] governments</w:t>
      </w:r>
      <w:r>
        <w:t xml:space="preserve"> </w:t>
      </w:r>
      <w:r w:rsidRPr="00107955">
        <w:t>directly or indirectly causes the firefighter's injury or death during the discharge of his or her duties</w:t>
      </w:r>
      <w:r>
        <w:t>.”</w:t>
      </w:r>
    </w:p>
    <w:p w14:paraId="41240E9C" w14:textId="77777777" w:rsidR="00D811D3" w:rsidRDefault="00D811D3" w:rsidP="00D811D3">
      <w:pPr>
        <w:spacing w:after="0"/>
        <w:ind w:left="720"/>
      </w:pPr>
      <w:r>
        <w:t>***</w:t>
      </w:r>
    </w:p>
    <w:p w14:paraId="1F513E02" w14:textId="77777777" w:rsidR="00D811D3" w:rsidRDefault="00D811D3" w:rsidP="00D811D3">
      <w:pPr>
        <w:spacing w:after="0"/>
        <w:ind w:left="720"/>
      </w:pPr>
      <w:r w:rsidRPr="006404C4">
        <w:t xml:space="preserve">Additionally, Defendants argue that debris is not considered </w:t>
      </w:r>
      <w:r>
        <w:t>‘</w:t>
      </w:r>
      <w:r w:rsidRPr="006404C4">
        <w:t>material piles</w:t>
      </w:r>
      <w:r>
        <w:t>’</w:t>
      </w:r>
      <w:r w:rsidRPr="006404C4">
        <w:t xml:space="preserve"> under Industrial Code § 23-2.1(a)(1). </w:t>
      </w:r>
    </w:p>
    <w:p w14:paraId="0AC48335" w14:textId="77777777" w:rsidR="00D811D3" w:rsidRDefault="00D811D3" w:rsidP="00D811D3">
      <w:pPr>
        <w:spacing w:after="0"/>
        <w:ind w:left="720"/>
      </w:pPr>
    </w:p>
    <w:p w14:paraId="2FEA4FBD" w14:textId="77777777" w:rsidR="00D811D3" w:rsidRDefault="00D811D3" w:rsidP="00D811D3">
      <w:pPr>
        <w:spacing w:after="0"/>
        <w:ind w:left="720"/>
      </w:pPr>
      <w:r w:rsidRPr="006404C4">
        <w:t xml:space="preserve">Conversely, Plaintiff asserts that his testimony clearly demonstrates that he was injured </w:t>
      </w:r>
      <w:proofErr w:type="gramStart"/>
      <w:r w:rsidRPr="006404C4">
        <w:t>as a result of</w:t>
      </w:r>
      <w:proofErr w:type="gramEnd"/>
      <w:r w:rsidRPr="006404C4">
        <w:t xml:space="preserve"> materials and debris. Specifically, Plaintiff stated </w:t>
      </w:r>
      <w:r>
        <w:t>‘</w:t>
      </w:r>
      <w:r w:rsidRPr="006404C4">
        <w:t>I had to climb over and step on concrete forms of all different shapes and sizes, buckets, cut pieces of plywood, bits of construction, concrete and the dirt that was hardened from you know, deep boot footprints and that's when the ground was just moving under me</w:t>
      </w:r>
      <w:r>
        <w:t>’</w:t>
      </w:r>
      <w:r w:rsidRPr="006404C4">
        <w:t xml:space="preserve"> (NYSCEF Doc. No. 188 at 65:3-11). Plaintiff further testified that he was in an area filled with debris and construction material</w:t>
      </w:r>
      <w:r>
        <w:t>….”</w:t>
      </w:r>
    </w:p>
    <w:p w14:paraId="4B01C413" w14:textId="77777777" w:rsidR="00D811D3" w:rsidRDefault="00D811D3" w:rsidP="00D811D3">
      <w:pPr>
        <w:spacing w:after="0"/>
        <w:ind w:left="720"/>
      </w:pPr>
    </w:p>
    <w:p w14:paraId="1DCBF282" w14:textId="742F4473" w:rsidR="00D811D3" w:rsidRPr="006404C4" w:rsidRDefault="00D811D3" w:rsidP="00D811D3">
      <w:pPr>
        <w:spacing w:after="0"/>
        <w:rPr>
          <w:b/>
          <w:bCs/>
        </w:rPr>
      </w:pPr>
      <w:r>
        <w:rPr>
          <w:b/>
        </w:rPr>
        <w:t>L</w:t>
      </w:r>
      <w:r w:rsidRPr="00CB20EE">
        <w:rPr>
          <w:b/>
        </w:rPr>
        <w:t xml:space="preserve">esson Learned:  </w:t>
      </w:r>
      <w:r>
        <w:rPr>
          <w:b/>
        </w:rPr>
        <w:t>The firefighter is covered by worker’s comp</w:t>
      </w:r>
      <w:r>
        <w:rPr>
          <w:b/>
          <w:bCs/>
        </w:rPr>
        <w:t>.</w:t>
      </w:r>
      <w:r>
        <w:rPr>
          <w:b/>
        </w:rPr>
        <w:t xml:space="preserve"> and may be able to obtain damages if he can prove a violation of the N.Y. Industrial Code. </w:t>
      </w:r>
    </w:p>
    <w:p w14:paraId="5F1EA07E" w14:textId="77777777" w:rsidR="00D811D3" w:rsidRDefault="00D811D3" w:rsidP="00646EE3">
      <w:pPr>
        <w:rPr>
          <w:rFonts w:ascii="Arial Black" w:hAnsi="Arial Black"/>
          <w:sz w:val="24"/>
          <w:szCs w:val="24"/>
        </w:rPr>
      </w:pPr>
    </w:p>
    <w:p w14:paraId="63645EE5" w14:textId="77777777" w:rsidR="001D5809" w:rsidRDefault="001D5809" w:rsidP="00646EE3">
      <w:pPr>
        <w:rPr>
          <w:rFonts w:ascii="Arial Black" w:hAnsi="Arial Black"/>
          <w:sz w:val="24"/>
          <w:szCs w:val="24"/>
        </w:rPr>
      </w:pPr>
    </w:p>
    <w:p w14:paraId="44166B6D" w14:textId="11864653" w:rsidR="001D5809" w:rsidRDefault="009B6C6E" w:rsidP="00646EE3">
      <w:pPr>
        <w:rPr>
          <w:rFonts w:ascii="Arial Black" w:hAnsi="Arial Black"/>
          <w:sz w:val="24"/>
          <w:szCs w:val="24"/>
        </w:rPr>
      </w:pPr>
      <w:r>
        <w:rPr>
          <w:rFonts w:ascii="Arial Black" w:hAnsi="Arial Black"/>
          <w:sz w:val="24"/>
          <w:szCs w:val="24"/>
        </w:rPr>
        <w:t>2-93</w:t>
      </w:r>
    </w:p>
    <w:p w14:paraId="4A29BA42" w14:textId="77777777" w:rsidR="009B6C6E" w:rsidRPr="003F3E92" w:rsidRDefault="009B6C6E" w:rsidP="009B6C6E">
      <w:pPr>
        <w:pStyle w:val="NoSpacing"/>
        <w:rPr>
          <w:rFonts w:ascii="Arial Black" w:hAnsi="Arial Black"/>
          <w:sz w:val="28"/>
          <w:szCs w:val="28"/>
        </w:rPr>
      </w:pPr>
      <w:r>
        <w:rPr>
          <w:rFonts w:ascii="Arial Black" w:hAnsi="Arial Black"/>
          <w:sz w:val="28"/>
          <w:szCs w:val="28"/>
        </w:rPr>
        <w:t xml:space="preserve">NY: FDNY – FIRE 2011 / CAN’T SUE LACK TRAINING ON TIC </w:t>
      </w:r>
    </w:p>
    <w:p w14:paraId="3DDB5F07" w14:textId="77777777" w:rsidR="009B6C6E" w:rsidRDefault="009B6C6E" w:rsidP="009B6C6E">
      <w:pPr>
        <w:pStyle w:val="NoSpacing"/>
      </w:pPr>
    </w:p>
    <w:p w14:paraId="23D95C59" w14:textId="77777777" w:rsidR="009B6C6E" w:rsidRDefault="009B6C6E" w:rsidP="009B6C6E">
      <w:pPr>
        <w:pStyle w:val="NoSpacing"/>
        <w:rPr>
          <w:b/>
        </w:rPr>
      </w:pPr>
      <w:r>
        <w:t xml:space="preserve">On Oct. 15, 2025, in </w:t>
      </w:r>
      <w:r w:rsidRPr="009D5624">
        <w:rPr>
          <w:u w:val="single"/>
        </w:rPr>
        <w:t>James Gersbeck v. Robert Wiedmann, Jr., et al., Haldane Rodgers, et al., defendants, City of New York, respondent</w:t>
      </w:r>
      <w:r>
        <w:t xml:space="preserve">, the </w:t>
      </w:r>
      <w:r w:rsidRPr="00684B09">
        <w:t>Supreme Court of New York, Second Department</w:t>
      </w:r>
      <w:r>
        <w:t xml:space="preserve"> held (5 to 0) that lawsuit was properly dismissed.  He was injured in a fire in December 2011. </w:t>
      </w:r>
      <w:r w:rsidRPr="002B7B2B">
        <w:t xml:space="preserve">In February 2013, the injured plaintiff and Catherine </w:t>
      </w:r>
      <w:proofErr w:type="gramStart"/>
      <w:r w:rsidRPr="002B7B2B">
        <w:t>Wiedmann,</w:t>
      </w:r>
      <w:proofErr w:type="gramEnd"/>
      <w:r w:rsidRPr="002B7B2B">
        <w:t xml:space="preserve"> commenced this action against the </w:t>
      </w:r>
      <w:proofErr w:type="gramStart"/>
      <w:r w:rsidRPr="002B7B2B">
        <w:t>City</w:t>
      </w:r>
      <w:proofErr w:type="gramEnd"/>
      <w:r>
        <w:t xml:space="preserve">.  </w:t>
      </w:r>
      <w:r w:rsidRPr="008C7C72">
        <w:t xml:space="preserve">In March 2012, </w:t>
      </w:r>
      <w:r>
        <w:t xml:space="preserve">he </w:t>
      </w:r>
      <w:r w:rsidRPr="008C7C72">
        <w:t xml:space="preserve">filed a notice of claim with the City of New York alleging that the </w:t>
      </w:r>
      <w:proofErr w:type="gramStart"/>
      <w:r w:rsidRPr="008C7C72">
        <w:t>City</w:t>
      </w:r>
      <w:proofErr w:type="gramEnd"/>
      <w:r w:rsidRPr="008C7C72">
        <w:t xml:space="preserve"> was negligent</w:t>
      </w:r>
      <w:r>
        <w:t xml:space="preserve"> in training on use of thermal imaging camera (TIC)</w:t>
      </w:r>
      <w:r w:rsidRPr="008C7C72">
        <w:t xml:space="preserve">. </w:t>
      </w:r>
      <w:r>
        <w:t xml:space="preserve"> </w:t>
      </w:r>
      <w:r w:rsidRPr="008C7C72">
        <w:t xml:space="preserve">A hearing was held, and an investigation by </w:t>
      </w:r>
      <w:proofErr w:type="gramStart"/>
      <w:r w:rsidRPr="008C7C72">
        <w:t>the FDNY</w:t>
      </w:r>
      <w:proofErr w:type="gramEnd"/>
      <w:r w:rsidRPr="008C7C72">
        <w:t xml:space="preserve"> was conducted.</w:t>
      </w:r>
      <w:r>
        <w:t xml:space="preserve">  His </w:t>
      </w:r>
      <w:r w:rsidRPr="00272AE0">
        <w:t>theory of liability that the defendant failed to properly follow an FDNY internal training bulletin regarding the use of thermal imaging cameras—</w:t>
      </w:r>
      <w:r>
        <w:t xml:space="preserve"> </w:t>
      </w:r>
      <w:r w:rsidRPr="00272AE0">
        <w:t>does not fall within the scope of General Municipal Law § 205-a</w:t>
      </w:r>
      <w:r>
        <w:t xml:space="preserve">.  </w:t>
      </w:r>
      <w:hyperlink r:id="rId399" w:history="1">
        <w:r w:rsidRPr="0024236A">
          <w:rPr>
            <w:rStyle w:val="Hyperlink"/>
            <w:b/>
          </w:rPr>
          <w:t>https://law.justia.com/cases/new-york/appellate-division-second-department/2025/2024-09583.html</w:t>
        </w:r>
      </w:hyperlink>
      <w:r>
        <w:rPr>
          <w:b/>
        </w:rPr>
        <w:t xml:space="preserve"> </w:t>
      </w:r>
    </w:p>
    <w:p w14:paraId="64B87CC6" w14:textId="77777777" w:rsidR="009B6C6E" w:rsidRDefault="009B6C6E" w:rsidP="009B6C6E">
      <w:pPr>
        <w:pStyle w:val="NoSpacing"/>
      </w:pPr>
      <w:r>
        <w:t xml:space="preserve"> </w:t>
      </w:r>
    </w:p>
    <w:p w14:paraId="1497ABD9" w14:textId="77777777" w:rsidR="009B6C6E" w:rsidRDefault="009B6C6E" w:rsidP="009B6C6E">
      <w:pPr>
        <w:pStyle w:val="NoSpacing"/>
      </w:pPr>
      <w:r>
        <w:t>THE COURT HELD:</w:t>
      </w:r>
    </w:p>
    <w:p w14:paraId="19A8573C" w14:textId="77777777" w:rsidR="009B6C6E" w:rsidRDefault="009B6C6E" w:rsidP="009B6C6E">
      <w:pPr>
        <w:pStyle w:val="NoSpacing"/>
      </w:pPr>
    </w:p>
    <w:p w14:paraId="6A276380" w14:textId="77777777" w:rsidR="009B6C6E" w:rsidRDefault="009B6C6E" w:rsidP="009B6C6E">
      <w:pPr>
        <w:pStyle w:val="NoSpacing"/>
        <w:ind w:left="720"/>
      </w:pPr>
      <w:r>
        <w:t>“</w:t>
      </w:r>
      <w:r w:rsidRPr="00287D80">
        <w:t xml:space="preserve">Contrary to the plaintiffs' contention, the court properly determined that their notice of claim was insufficient to enable the </w:t>
      </w:r>
      <w:proofErr w:type="gramStart"/>
      <w:r w:rsidRPr="00287D80">
        <w:t>City</w:t>
      </w:r>
      <w:proofErr w:type="gramEnd"/>
      <w:r w:rsidRPr="00287D80">
        <w:t xml:space="preserve"> to investigate, collect evidence, and evaluate the merits</w:t>
      </w:r>
      <w:r>
        <w:t xml:space="preserve"> </w:t>
      </w:r>
      <w:r w:rsidRPr="00287D80">
        <w:t>of the plaintiffs' allegations regarding negligent training in violation of General Municipal Law § 205-a.</w:t>
      </w:r>
    </w:p>
    <w:p w14:paraId="04210304" w14:textId="77777777" w:rsidR="009B6C6E" w:rsidRDefault="009B6C6E" w:rsidP="009B6C6E">
      <w:pPr>
        <w:pStyle w:val="NoSpacing"/>
        <w:ind w:left="720"/>
      </w:pPr>
    </w:p>
    <w:p w14:paraId="017D57F2" w14:textId="77777777" w:rsidR="009B6C6E" w:rsidRDefault="009B6C6E" w:rsidP="009B6C6E">
      <w:pPr>
        <w:pStyle w:val="NoSpacing"/>
        <w:ind w:left="720"/>
      </w:pPr>
      <w:r>
        <w:t>***</w:t>
      </w:r>
    </w:p>
    <w:p w14:paraId="40A387D3" w14:textId="77777777" w:rsidR="009B6C6E" w:rsidRDefault="009B6C6E" w:rsidP="009B6C6E">
      <w:pPr>
        <w:pStyle w:val="NoSpacing"/>
        <w:ind w:left="720"/>
      </w:pPr>
      <w:r w:rsidRPr="00E426EA">
        <w:t>Here, the plaintiffs' notice of claim failed to set forth any negligent training allegations that could later form the basis of their cause of action alleging a violation of General Municipal Law § 205-a.</w:t>
      </w:r>
    </w:p>
    <w:p w14:paraId="5C9E8A3C" w14:textId="77777777" w:rsidR="009B6C6E" w:rsidRDefault="009B6C6E" w:rsidP="009B6C6E">
      <w:pPr>
        <w:pStyle w:val="NoSpacing"/>
        <w:ind w:left="720"/>
      </w:pPr>
    </w:p>
    <w:p w14:paraId="492A0A45" w14:textId="77777777" w:rsidR="009B6C6E" w:rsidRDefault="009B6C6E" w:rsidP="009B6C6E">
      <w:pPr>
        <w:pStyle w:val="NoSpacing"/>
        <w:ind w:left="720"/>
      </w:pPr>
      <w:r>
        <w:t>***</w:t>
      </w:r>
    </w:p>
    <w:p w14:paraId="6CD8D72D" w14:textId="77777777" w:rsidR="009B6C6E" w:rsidRDefault="009B6C6E" w:rsidP="009B6C6E">
      <w:pPr>
        <w:pStyle w:val="NoSpacing"/>
        <w:ind w:left="720"/>
      </w:pPr>
      <w:r>
        <w:t>‘</w:t>
      </w:r>
      <w:r w:rsidRPr="008E352B">
        <w:t xml:space="preserve">General Municipal Law § 205-a establishes the right of an injured firefighter to recover against any party whose neglect or omission to comply with governmental requirements results directly or indirectly in the firefighter's </w:t>
      </w:r>
      <w:r w:rsidRPr="008E352B">
        <w:lastRenderedPageBreak/>
        <w:t>injury</w:t>
      </w:r>
      <w:r>
        <w:t>’</w:t>
      </w:r>
      <w:r w:rsidRPr="008E352B">
        <w:t xml:space="preserve"> (</w:t>
      </w:r>
      <w:r w:rsidRPr="008E352B">
        <w:rPr>
          <w:i/>
          <w:iCs/>
        </w:rPr>
        <w:t>Annunziata v City of New York</w:t>
      </w:r>
      <w:r w:rsidRPr="008E352B">
        <w:t xml:space="preserve">, 175 AD3d 438, 442 [internal quotation marks omitted]; </w:t>
      </w:r>
      <w:r w:rsidRPr="008E352B">
        <w:rPr>
          <w:i/>
          <w:iCs/>
        </w:rPr>
        <w:t>see Shea v New York City Economic Dev. Corp.</w:t>
      </w:r>
      <w:r w:rsidRPr="008E352B">
        <w:t xml:space="preserve">, 161 AD3d 803, 805). </w:t>
      </w:r>
      <w:r>
        <w:t>‘</w:t>
      </w:r>
      <w:r w:rsidRPr="008E352B">
        <w:t>A plaintiff seeking recovery under General Municipal Law § 205-a must identify the statute or ordinance with which the defendant failed to comply, describe the manner in which the firefighter was injured, and set forth those facts from which it may be inferred that the defendant's negligence directly or indirectly caused the harm to the firefighter</w:t>
      </w:r>
      <w:r>
        <w:t>’</w:t>
      </w:r>
      <w:r w:rsidRPr="008E352B">
        <w:t xml:space="preserve"> (</w:t>
      </w:r>
      <w:r w:rsidRPr="008E352B">
        <w:rPr>
          <w:i/>
          <w:iCs/>
        </w:rPr>
        <w:t>Annunziata v City of New York</w:t>
      </w:r>
      <w:r w:rsidRPr="008E352B">
        <w:t xml:space="preserve">, 175 AD3d at 442 [alteration and internal quotation marks omitted]; </w:t>
      </w:r>
      <w:r w:rsidRPr="008E352B">
        <w:rPr>
          <w:i/>
          <w:iCs/>
        </w:rPr>
        <w:t>see Shea v New York City Economic Dev. Corp.</w:t>
      </w:r>
      <w:r w:rsidRPr="008E352B">
        <w:t>, 161 AD3d at 805).</w:t>
      </w:r>
      <w:r>
        <w:t>”</w:t>
      </w:r>
    </w:p>
    <w:p w14:paraId="55C3B895" w14:textId="77777777" w:rsidR="009B6C6E" w:rsidRDefault="009B6C6E" w:rsidP="009B6C6E">
      <w:pPr>
        <w:pStyle w:val="NoSpacing"/>
        <w:ind w:left="720"/>
      </w:pPr>
    </w:p>
    <w:p w14:paraId="508D00DF" w14:textId="631FD494" w:rsidR="009B6C6E" w:rsidRDefault="009B6C6E" w:rsidP="009B6C6E">
      <w:pPr>
        <w:pStyle w:val="NoSpacing"/>
        <w:rPr>
          <w:b/>
          <w:bCs/>
        </w:rPr>
      </w:pPr>
      <w:r>
        <w:rPr>
          <w:b/>
        </w:rPr>
        <w:t xml:space="preserve">Lesson learned:  The NY law allowing injured </w:t>
      </w:r>
      <w:proofErr w:type="gramStart"/>
      <w:r>
        <w:rPr>
          <w:b/>
        </w:rPr>
        <w:t>firefighter</w:t>
      </w:r>
      <w:proofErr w:type="gramEnd"/>
      <w:r>
        <w:rPr>
          <w:b/>
        </w:rPr>
        <w:t xml:space="preserve"> and police to sue third parties requires proof of violation of regulations. </w:t>
      </w:r>
    </w:p>
    <w:p w14:paraId="4C67558F" w14:textId="77777777" w:rsidR="009B6C6E" w:rsidRDefault="009B6C6E" w:rsidP="009B6C6E">
      <w:pPr>
        <w:pStyle w:val="NoSpacing"/>
        <w:rPr>
          <w:b/>
          <w:bCs/>
        </w:rPr>
      </w:pPr>
    </w:p>
    <w:p w14:paraId="334A3407" w14:textId="77777777" w:rsidR="009B6C6E" w:rsidRDefault="009B6C6E" w:rsidP="009B6C6E">
      <w:pPr>
        <w:pStyle w:val="NoSpacing"/>
        <w:ind w:left="720"/>
        <w:rPr>
          <w:bCs/>
        </w:rPr>
      </w:pPr>
      <w:r>
        <w:t xml:space="preserve">Note:  Read the statute: </w:t>
      </w:r>
      <w:r w:rsidRPr="00997FE5">
        <w:t>New York Consolidated Laws, General Municipal Law - GMU § 205-a. Additional right of action to certain injured or representatives of certain deceased firefighters</w:t>
      </w:r>
    </w:p>
    <w:p w14:paraId="40BACBA8" w14:textId="77777777" w:rsidR="009B6C6E" w:rsidRPr="00997FE5" w:rsidRDefault="009B6C6E" w:rsidP="009B6C6E">
      <w:pPr>
        <w:pStyle w:val="NoSpacing"/>
        <w:ind w:left="720"/>
        <w:rPr>
          <w:bCs/>
        </w:rPr>
      </w:pPr>
      <w:hyperlink r:id="rId400" w:history="1">
        <w:r w:rsidRPr="0024236A">
          <w:rPr>
            <w:rStyle w:val="Hyperlink"/>
          </w:rPr>
          <w:t>https://codes.findlaw.com/ny/general-municipal-law/gmu-sect-205-a/</w:t>
        </w:r>
      </w:hyperlink>
      <w:r>
        <w:t xml:space="preserve"> </w:t>
      </w:r>
    </w:p>
    <w:p w14:paraId="5923C113" w14:textId="77777777" w:rsidR="009B6C6E" w:rsidRDefault="009B6C6E" w:rsidP="009B6C6E">
      <w:pPr>
        <w:pStyle w:val="NoSpacing"/>
      </w:pPr>
    </w:p>
    <w:p w14:paraId="4BB2D5F6" w14:textId="77777777" w:rsidR="009B6C6E" w:rsidRPr="00E12E19" w:rsidRDefault="009B6C6E" w:rsidP="009B6C6E">
      <w:pPr>
        <w:pStyle w:val="NoSpacing"/>
        <w:ind w:left="720"/>
      </w:pPr>
      <w:r>
        <w:t>“</w:t>
      </w:r>
      <w:r w:rsidRPr="00E12E19">
        <w:t>In addition to any other right of action or recovery under any other provision of law, in the event any accident, causing injury, death or a disease which results in death, occurs directly or indirectly as a result of any neglect, omission, willful or culpable negligence of any person or persons in failing to comply with the requirements of any of the statutes, ordinances, rules, orders and requirements of the federal, state, county, village, town or city governments or of any and all their departments, divisions and bureaus, the person or persons guilty of said neglect, omission, willful or culpable negligence at the time of such injury or death shall be liable to pay any officer, member, agent or employee of any fire department injured, or whose life may be lost while in the discharge or performance at any time or place of any duty imposed by the fire commissioner, fire chief or other superior officer of the fire department, or to pay to the wife and children, or to pay to the parents, or to pay to the brothers and sisters, being the surviving heirs-at-law of any deceased person thus having lost his life, a sum of money, in case of injury to person, not less than ten thousand dollars, and in case of death not less than forty thousand dollars, such liability to be determined and such sums recovered in an action to be instituted by any person injured or the family or relatives of any person killed as aforesaid.</w:t>
      </w:r>
      <w:r>
        <w:t>”</w:t>
      </w:r>
    </w:p>
    <w:p w14:paraId="4E87C8A8" w14:textId="77777777" w:rsidR="009B6C6E" w:rsidRDefault="009B6C6E" w:rsidP="00646EE3">
      <w:pPr>
        <w:rPr>
          <w:rFonts w:ascii="Arial Black" w:hAnsi="Arial Black"/>
          <w:sz w:val="24"/>
          <w:szCs w:val="24"/>
        </w:rPr>
      </w:pPr>
    </w:p>
    <w:p w14:paraId="23027C93" w14:textId="77777777" w:rsidR="001D5809" w:rsidRDefault="001D5809" w:rsidP="00646EE3">
      <w:pPr>
        <w:rPr>
          <w:rFonts w:ascii="Arial Black" w:hAnsi="Arial Black"/>
          <w:sz w:val="24"/>
          <w:szCs w:val="24"/>
        </w:rPr>
      </w:pPr>
    </w:p>
    <w:p w14:paraId="68A35A19" w14:textId="2B2419E7" w:rsidR="000D2571" w:rsidRDefault="000D2571" w:rsidP="00646EE3">
      <w:pPr>
        <w:rPr>
          <w:rFonts w:ascii="Arial Black" w:hAnsi="Arial Black"/>
          <w:sz w:val="24"/>
          <w:szCs w:val="24"/>
        </w:rPr>
      </w:pPr>
      <w:r>
        <w:rPr>
          <w:rFonts w:ascii="Arial Black" w:hAnsi="Arial Black"/>
          <w:sz w:val="24"/>
          <w:szCs w:val="24"/>
        </w:rPr>
        <w:t>2-9</w:t>
      </w:r>
      <w:r w:rsidR="00393C3E">
        <w:rPr>
          <w:rFonts w:ascii="Arial Black" w:hAnsi="Arial Black"/>
          <w:sz w:val="24"/>
          <w:szCs w:val="24"/>
        </w:rPr>
        <w:t>2</w:t>
      </w:r>
    </w:p>
    <w:p w14:paraId="667789B7" w14:textId="5DB041DD" w:rsidR="000D2571" w:rsidRDefault="000D2571" w:rsidP="000D2571">
      <w:pPr>
        <w:rPr>
          <w:rFonts w:ascii="Arial Black" w:hAnsi="Arial Black"/>
          <w:b/>
          <w:sz w:val="28"/>
          <w:szCs w:val="28"/>
        </w:rPr>
      </w:pPr>
      <w:r>
        <w:rPr>
          <w:rFonts w:ascii="Arial Black" w:hAnsi="Arial Black"/>
          <w:b/>
          <w:sz w:val="28"/>
          <w:szCs w:val="28"/>
        </w:rPr>
        <w:t xml:space="preserve">NY: LODD - BDG INSPEC ARRESTED - FALSE STATE REPORTS </w:t>
      </w:r>
    </w:p>
    <w:p w14:paraId="12EB1391" w14:textId="77777777" w:rsidR="000D2571" w:rsidRDefault="000D2571" w:rsidP="000D2571">
      <w:pPr>
        <w:pStyle w:val="NoSpacing"/>
        <w:rPr>
          <w:bCs/>
        </w:rPr>
      </w:pPr>
      <w:r>
        <w:t xml:space="preserve">On September 2, 2025, in </w:t>
      </w:r>
      <w:r w:rsidRPr="00A91A31">
        <w:rPr>
          <w:u w:val="single"/>
        </w:rPr>
        <w:t>Raymond Canario v. The County of Rockland, et al</w:t>
      </w:r>
      <w:r>
        <w:t xml:space="preserve">., U.S. District Court Judge Kenneth M. Karas, United States District Court for the Southern District of New York, dismissed the false arrest lawsuit by the former Assistant Building Inspector, who was charged with submitting false reports to the state about building inspections in Spring Valley, NY.  He was arrested and indicted but at bench trial was found not guilty since no intent to defraud.    The investigation of building inspections was launched by District Attorney after the </w:t>
      </w:r>
      <w:r w:rsidRPr="00534AF1">
        <w:t xml:space="preserve">March 23, </w:t>
      </w:r>
      <w:proofErr w:type="gramStart"/>
      <w:r w:rsidRPr="00534AF1">
        <w:t>2021</w:t>
      </w:r>
      <w:proofErr w:type="gramEnd"/>
      <w:r>
        <w:t xml:space="preserve"> </w:t>
      </w:r>
      <w:r w:rsidRPr="00534AF1">
        <w:t xml:space="preserve">fire at the Evergreen Court Home for Adults, </w:t>
      </w:r>
      <w:r>
        <w:t xml:space="preserve">which killed </w:t>
      </w:r>
      <w:r w:rsidRPr="00534AF1">
        <w:t>a</w:t>
      </w:r>
      <w:r>
        <w:t xml:space="preserve"> </w:t>
      </w:r>
      <w:r w:rsidRPr="00534AF1">
        <w:t xml:space="preserve">firefighter </w:t>
      </w:r>
      <w:r>
        <w:t xml:space="preserve">(volunteer </w:t>
      </w:r>
      <w:r w:rsidRPr="003178B7">
        <w:t>Jared Lloyd</w:t>
      </w:r>
      <w:r>
        <w:rPr>
          <w:b/>
        </w:rPr>
        <w:t xml:space="preserve">) </w:t>
      </w:r>
      <w:r w:rsidRPr="00534AF1">
        <w:t>and a resident</w:t>
      </w:r>
      <w:r>
        <w:t>.  In September 2023, t</w:t>
      </w:r>
      <w:r w:rsidRPr="00BB5EAD">
        <w:t>wo rabbis, a father and son, were sentenced to probation following a plea deal</w:t>
      </w:r>
      <w:r>
        <w:t xml:space="preserve">; they had used a </w:t>
      </w:r>
      <w:r w:rsidRPr="00D01FB6">
        <w:t>blowtorch to clean the kitchen and utensils of traces of forbidden food before Passover.</w:t>
      </w:r>
    </w:p>
    <w:p w14:paraId="5F5A4C3C" w14:textId="77777777" w:rsidR="000D2571" w:rsidRDefault="000D2571" w:rsidP="000D2571">
      <w:pPr>
        <w:pStyle w:val="NoSpacing"/>
        <w:rPr>
          <w:bCs/>
        </w:rPr>
      </w:pPr>
    </w:p>
    <w:p w14:paraId="262B7A3B" w14:textId="77777777" w:rsidR="000D2571" w:rsidRDefault="000D2571" w:rsidP="000D2571">
      <w:pPr>
        <w:pStyle w:val="NoSpacing"/>
      </w:pPr>
      <w:r w:rsidRPr="002C4FA3">
        <w:rPr>
          <w:b/>
        </w:rPr>
        <w:t xml:space="preserve">THE COURT HELD: </w:t>
      </w:r>
      <w:r>
        <w:t>“</w:t>
      </w:r>
      <w:r w:rsidRPr="00AC5646">
        <w:t>Even drawing inferences in Plaintiff’s</w:t>
      </w:r>
      <w:r>
        <w:t xml:space="preserve"> </w:t>
      </w:r>
      <w:r w:rsidRPr="00AC5646">
        <w:t>favor, the totality of the circumstances supports the existence of probable cause to arrest Plaintiff</w:t>
      </w:r>
      <w:r>
        <w:t xml:space="preserve"> </w:t>
      </w:r>
      <w:r w:rsidRPr="00AC5646">
        <w:t>for offering a false instrument for filing in the first degree.</w:t>
      </w:r>
      <w:r>
        <w:t xml:space="preserve"> These discrepancies may reasonably be seen as false statements or false information, and there is no dispute that the New York Department of State is an entity covered by the statute…. Accordingly, because there was probable cause to arrest, the Court dismisses Plaintiff’s false arrest claims.”  </w:t>
      </w:r>
      <w:hyperlink r:id="rId401" w:history="1">
        <w:r w:rsidRPr="00FC5CC7">
          <w:rPr>
            <w:rStyle w:val="Hyperlink"/>
          </w:rPr>
          <w:t>https://cases.justia.com/federal/district-courts/new-york/nysdce/7:2024cv04470/623029/85/0.pdf?ts=1756903853</w:t>
        </w:r>
      </w:hyperlink>
      <w:r>
        <w:t xml:space="preserve"> </w:t>
      </w:r>
    </w:p>
    <w:p w14:paraId="6CFCFA81" w14:textId="77777777" w:rsidR="000D2571" w:rsidRDefault="000D2571" w:rsidP="000D2571">
      <w:pPr>
        <w:pStyle w:val="NoSpacing"/>
      </w:pPr>
    </w:p>
    <w:p w14:paraId="4023153C" w14:textId="77777777" w:rsidR="000D2571" w:rsidRDefault="000D2571" w:rsidP="000D2571">
      <w:pPr>
        <w:pStyle w:val="NoSpacing"/>
        <w:rPr>
          <w:b/>
          <w:bCs/>
        </w:rPr>
      </w:pPr>
      <w:r w:rsidRPr="00E4138B">
        <w:rPr>
          <w:b/>
        </w:rPr>
        <w:lastRenderedPageBreak/>
        <w:t xml:space="preserve">KEY FACTS: </w:t>
      </w:r>
    </w:p>
    <w:p w14:paraId="1CF267B4" w14:textId="77777777" w:rsidR="000D2571" w:rsidRDefault="000D2571" w:rsidP="000D2571">
      <w:pPr>
        <w:pStyle w:val="NoSpacing"/>
        <w:rPr>
          <w:b/>
          <w:bCs/>
        </w:rPr>
      </w:pPr>
    </w:p>
    <w:p w14:paraId="1A81341E" w14:textId="77777777" w:rsidR="000D2571" w:rsidRPr="00E4138B" w:rsidRDefault="000D2571" w:rsidP="000D2571">
      <w:pPr>
        <w:pStyle w:val="NoSpacing"/>
        <w:ind w:firstLine="720"/>
      </w:pPr>
      <w:r>
        <w:t>“</w:t>
      </w:r>
      <w:r w:rsidRPr="00E4138B">
        <w:t>In April 2019, Plaintiff was hired as Assistant Building Inspector by the mayor of Spring</w:t>
      </w:r>
    </w:p>
    <w:p w14:paraId="69B92090" w14:textId="77777777" w:rsidR="000D2571" w:rsidRPr="00E4138B" w:rsidRDefault="000D2571" w:rsidP="000D2571">
      <w:pPr>
        <w:pStyle w:val="NoSpacing"/>
        <w:ind w:firstLine="720"/>
      </w:pPr>
      <w:r w:rsidRPr="00E4138B">
        <w:t>Valley, New York</w:t>
      </w:r>
      <w:r>
        <w:t xml:space="preserve">…. </w:t>
      </w:r>
      <w:r w:rsidRPr="00E4138B">
        <w:t>19 N.Y.C.R.R. § 1203 requires that municipalities like</w:t>
      </w:r>
    </w:p>
    <w:p w14:paraId="7E2320F4" w14:textId="77777777" w:rsidR="000D2571" w:rsidRDefault="000D2571" w:rsidP="000D2571">
      <w:pPr>
        <w:pStyle w:val="NoSpacing"/>
        <w:ind w:left="720"/>
      </w:pPr>
      <w:r w:rsidRPr="00E4138B">
        <w:t xml:space="preserve">Spring Valley </w:t>
      </w:r>
      <w:r>
        <w:t>‘</w:t>
      </w:r>
      <w:r w:rsidRPr="00E4138B">
        <w:t xml:space="preserve">annually </w:t>
      </w:r>
      <w:proofErr w:type="gramStart"/>
      <w:r w:rsidRPr="00E4138B">
        <w:t>submit</w:t>
      </w:r>
      <w:proofErr w:type="gramEnd"/>
      <w:r w:rsidRPr="00E4138B">
        <w:t xml:space="preserve"> to the [New York] Secretary of State . . . a report of its activities</w:t>
      </w:r>
      <w:r>
        <w:t xml:space="preserve"> </w:t>
      </w:r>
      <w:proofErr w:type="gramStart"/>
      <w:r w:rsidRPr="00E4138B">
        <w:t>relative</w:t>
      </w:r>
      <w:proofErr w:type="gramEnd"/>
      <w:r w:rsidRPr="00E4138B">
        <w:t xml:space="preserve"> to administration and enforcement of the [New York State Uniform Fire Prevention and</w:t>
      </w:r>
      <w:r>
        <w:t xml:space="preserve"> </w:t>
      </w:r>
      <w:r w:rsidRPr="00E4138B">
        <w:t>Building Code and the New York State Energy Conservation Construction Code].</w:t>
      </w:r>
      <w:r>
        <w:t xml:space="preserve">’ … These reports are also called “1203 Reports.”… Plaintiff was assigned to file 1203 Reports…. Plaintiff, who had no prior experience as a building inspector, was supposed to report to the Building Inspector, a position that was vacant…. Plaintiff had difficulty completing the 1203 Reports, … and based his reporting ‘upon charts noting inspection status provided by the staff [and] not from personal visits and investigations,’ which Plaintiff “believe[ed] . . . accurately reflected . . . [building] inspections,’ </w:t>
      </w:r>
      <w:proofErr w:type="gramStart"/>
      <w:r>
        <w:t>…..</w:t>
      </w:r>
      <w:proofErr w:type="gramEnd"/>
      <w:r>
        <w:t xml:space="preserve"> Plaintiff characterized the information contained in the 1203 Reports that he submitted as ‘an estimate.’ </w:t>
      </w:r>
    </w:p>
    <w:p w14:paraId="24B43F62" w14:textId="77777777" w:rsidR="000D2571" w:rsidRDefault="000D2571" w:rsidP="000D2571">
      <w:pPr>
        <w:pStyle w:val="NoSpacing"/>
        <w:ind w:left="720"/>
      </w:pPr>
    </w:p>
    <w:p w14:paraId="31F04721" w14:textId="77777777" w:rsidR="000D2571" w:rsidRDefault="000D2571" w:rsidP="000D2571">
      <w:pPr>
        <w:pStyle w:val="NoSpacing"/>
        <w:ind w:left="720"/>
      </w:pPr>
      <w:r>
        <w:t>***</w:t>
      </w:r>
    </w:p>
    <w:p w14:paraId="69E57D20" w14:textId="77777777" w:rsidR="000D2571" w:rsidRDefault="000D2571" w:rsidP="000D2571">
      <w:pPr>
        <w:pStyle w:val="NoSpacing"/>
        <w:ind w:left="720"/>
      </w:pPr>
      <w:r>
        <w:t>The 1203 Reports list information including, for example, the number of building permits</w:t>
      </w:r>
    </w:p>
    <w:p w14:paraId="23FE210C" w14:textId="77777777" w:rsidR="000D2571" w:rsidRDefault="000D2571" w:rsidP="000D2571">
      <w:pPr>
        <w:pStyle w:val="NoSpacing"/>
        <w:ind w:left="720"/>
      </w:pPr>
      <w:r>
        <w:t xml:space="preserve">issued by building type, the number of buildings by type and how many of each were inspected in the last year, and the number of new constructions complete and percentage thereof that are at least 90% compliant…. </w:t>
      </w:r>
    </w:p>
    <w:p w14:paraId="67469CD4" w14:textId="77777777" w:rsidR="000D2571" w:rsidRDefault="000D2571" w:rsidP="000D2571">
      <w:pPr>
        <w:pStyle w:val="NoSpacing"/>
        <w:ind w:left="720"/>
      </w:pPr>
    </w:p>
    <w:p w14:paraId="1AFB5832" w14:textId="77777777" w:rsidR="000D2571" w:rsidRDefault="000D2571" w:rsidP="000D2571">
      <w:pPr>
        <w:pStyle w:val="NoSpacing"/>
        <w:ind w:left="720"/>
      </w:pPr>
      <w:r>
        <w:t>On March 23, 2021, a fire ignited at the Evergreen Court Home for Adults, killing a</w:t>
      </w:r>
    </w:p>
    <w:p w14:paraId="37732E36" w14:textId="77777777" w:rsidR="000D2571" w:rsidRDefault="000D2571" w:rsidP="000D2571">
      <w:pPr>
        <w:pStyle w:val="NoSpacing"/>
        <w:ind w:left="720"/>
      </w:pPr>
      <w:r>
        <w:t>firefighter and a resident…. The Spring Valley Police Department investigated the fire and concluded its investigation without making any arrests….Plaintiff alleges that, after the police department’s investigation concluded, the DA’s Office ‘took up the criminal investigation,’ at least partly because ‘[t]he local media was pressuring [District Attorney] Walsh to punish someone for the deadly fire.’</w:t>
      </w:r>
    </w:p>
    <w:p w14:paraId="58C0A25C" w14:textId="77777777" w:rsidR="000D2571" w:rsidRDefault="000D2571" w:rsidP="000D2571">
      <w:pPr>
        <w:pStyle w:val="NoSpacing"/>
        <w:ind w:left="720"/>
      </w:pPr>
    </w:p>
    <w:p w14:paraId="71218DF8" w14:textId="77777777" w:rsidR="000D2571" w:rsidRDefault="000D2571" w:rsidP="000D2571">
      <w:pPr>
        <w:pStyle w:val="NoSpacing"/>
        <w:ind w:left="720"/>
      </w:pPr>
      <w:r>
        <w:t>***</w:t>
      </w:r>
    </w:p>
    <w:p w14:paraId="2F50482C" w14:textId="77777777" w:rsidR="000D2571" w:rsidRDefault="000D2571" w:rsidP="000D2571">
      <w:pPr>
        <w:pStyle w:val="NoSpacing"/>
        <w:ind w:left="720"/>
      </w:pPr>
      <w:r>
        <w:t>On June 28, 2021, Chief Criminal Investigator Walker signed a felony complaint that</w:t>
      </w:r>
    </w:p>
    <w:p w14:paraId="35ED9B2C" w14:textId="77777777" w:rsidR="000D2571" w:rsidRDefault="000D2571" w:rsidP="000D2571">
      <w:pPr>
        <w:pStyle w:val="NoSpacing"/>
        <w:ind w:left="720"/>
      </w:pPr>
      <w:r>
        <w:t>charged Plaintiff with three counts of offering a false instrument for filing in the first degree and three counts of falsifying business records in the second degree…. On June 29, 2021, Plaintiff was arrested and given a desk appearance ticket…. Wayne Ballard, another building inspector, was also arrested.</w:t>
      </w:r>
    </w:p>
    <w:p w14:paraId="7766C2FE" w14:textId="77777777" w:rsidR="000D2571" w:rsidRDefault="000D2571" w:rsidP="000D2571">
      <w:pPr>
        <w:pStyle w:val="NoSpacing"/>
      </w:pPr>
    </w:p>
    <w:p w14:paraId="3C538C93" w14:textId="77777777" w:rsidR="000D2571" w:rsidRDefault="000D2571" w:rsidP="000D2571">
      <w:pPr>
        <w:pStyle w:val="NoSpacing"/>
      </w:pPr>
      <w:r>
        <w:tab/>
        <w:t xml:space="preserve">*** </w:t>
      </w:r>
    </w:p>
    <w:p w14:paraId="6C44B872" w14:textId="77777777" w:rsidR="000D2571" w:rsidRDefault="000D2571" w:rsidP="000D2571">
      <w:pPr>
        <w:pStyle w:val="NoSpacing"/>
      </w:pPr>
    </w:p>
    <w:p w14:paraId="2364CD79" w14:textId="77777777" w:rsidR="000D2571" w:rsidRDefault="000D2571" w:rsidP="000D2571">
      <w:pPr>
        <w:pStyle w:val="NoSpacing"/>
        <w:ind w:left="720"/>
      </w:pPr>
      <w:r>
        <w:t>A bench trial was held before Judge Russo in March 2023…. The exact duration of the trial is unclear. On March 14, 2023, Judge Russo dismissed Counts 1, 2, 3, 7, 8, and 9 for lack of evidence going to Plaintiff’s intent to defraud. (March 14 Trial Tr. at 467:13–25.) On March 17, 2023, Plaintiff was found not guilty on Counts 4, 5, and 6. (See March 17 Trial Tr. at 565:20–24.)”</w:t>
      </w:r>
    </w:p>
    <w:p w14:paraId="6D2B6FB3" w14:textId="77777777" w:rsidR="000D2571" w:rsidRPr="00E4138B" w:rsidRDefault="000D2571" w:rsidP="000D2571">
      <w:pPr>
        <w:pStyle w:val="NoSpacing"/>
        <w:ind w:left="720"/>
      </w:pPr>
    </w:p>
    <w:p w14:paraId="36691094" w14:textId="77777777" w:rsidR="000D2571" w:rsidRPr="0025206D" w:rsidRDefault="000D2571" w:rsidP="000D2571">
      <w:pPr>
        <w:pStyle w:val="NoSpacing"/>
        <w:rPr>
          <w:b/>
        </w:rPr>
      </w:pPr>
      <w:r>
        <w:rPr>
          <w:b/>
        </w:rPr>
        <w:t>Legal lesson learned: Building inspection reports must be accurate; submitting reports are “mere estimates” can lead to arrest and prosecution, and civil litigation.</w:t>
      </w:r>
    </w:p>
    <w:p w14:paraId="77ADBCA1" w14:textId="77777777" w:rsidR="000D2571" w:rsidRDefault="000D2571" w:rsidP="000D2571">
      <w:pPr>
        <w:pStyle w:val="NoSpacing"/>
        <w:rPr>
          <w:bCs/>
        </w:rPr>
      </w:pPr>
    </w:p>
    <w:p w14:paraId="5F2A5589" w14:textId="77777777" w:rsidR="000D2571" w:rsidRDefault="000D2571" w:rsidP="000D2571">
      <w:pPr>
        <w:pStyle w:val="NoSpacing"/>
        <w:ind w:left="720"/>
      </w:pPr>
      <w:r>
        <w:t xml:space="preserve">Note: See September 21, </w:t>
      </w:r>
      <w:proofErr w:type="gramStart"/>
      <w:r>
        <w:t>2023</w:t>
      </w:r>
      <w:proofErr w:type="gramEnd"/>
      <w:r>
        <w:t xml:space="preserve"> article and TV VIDEO, </w:t>
      </w:r>
      <w:r w:rsidRPr="007C1410">
        <w:t>“Father, son sentenced to probation in deadly Spring Valley fire that killed 2 people.</w:t>
      </w:r>
      <w:r>
        <w:t>”</w:t>
      </w:r>
    </w:p>
    <w:p w14:paraId="76205C15" w14:textId="77777777" w:rsidR="000D2571" w:rsidRPr="00F46264" w:rsidRDefault="000D2571" w:rsidP="000D2571">
      <w:pPr>
        <w:pStyle w:val="NoSpacing"/>
        <w:ind w:left="720"/>
        <w:rPr>
          <w:bCs/>
        </w:rPr>
      </w:pPr>
      <w:hyperlink r:id="rId402" w:history="1">
        <w:r w:rsidRPr="00F56611">
          <w:rPr>
            <w:rStyle w:val="Hyperlink"/>
          </w:rPr>
          <w:t>https://www.nbcnewyork.com/news/local/father-son-sentenced-to-probation-in-deadly-spring-valley-fire-that-killed-2/4696054/</w:t>
        </w:r>
      </w:hyperlink>
      <w:r>
        <w:t xml:space="preserve"> </w:t>
      </w:r>
    </w:p>
    <w:p w14:paraId="318C5A6C" w14:textId="77777777" w:rsidR="000D2571" w:rsidRDefault="000D2571" w:rsidP="00646EE3">
      <w:pPr>
        <w:rPr>
          <w:rFonts w:ascii="Arial Black" w:hAnsi="Arial Black"/>
          <w:sz w:val="24"/>
          <w:szCs w:val="24"/>
        </w:rPr>
      </w:pPr>
    </w:p>
    <w:p w14:paraId="4F724649" w14:textId="12578EE6" w:rsidR="000D2571" w:rsidRDefault="00393C3E" w:rsidP="00646EE3">
      <w:pPr>
        <w:rPr>
          <w:rFonts w:ascii="Arial Black" w:hAnsi="Arial Black"/>
          <w:sz w:val="24"/>
          <w:szCs w:val="24"/>
        </w:rPr>
      </w:pPr>
      <w:r>
        <w:rPr>
          <w:rFonts w:ascii="Arial Black" w:hAnsi="Arial Black"/>
          <w:sz w:val="24"/>
          <w:szCs w:val="24"/>
        </w:rPr>
        <w:t>2-91</w:t>
      </w:r>
    </w:p>
    <w:p w14:paraId="48AF307D" w14:textId="77777777" w:rsidR="00393C3E" w:rsidRPr="00A31DEF" w:rsidRDefault="00393C3E" w:rsidP="00393C3E">
      <w:pPr>
        <w:pStyle w:val="NoSpacing"/>
        <w:rPr>
          <w:rFonts w:ascii="Arial Black" w:hAnsi="Arial Black"/>
          <w:b/>
          <w:sz w:val="28"/>
          <w:szCs w:val="28"/>
        </w:rPr>
      </w:pPr>
      <w:r>
        <w:rPr>
          <w:rFonts w:ascii="Arial Black" w:hAnsi="Arial Black"/>
          <w:b/>
          <w:sz w:val="28"/>
          <w:szCs w:val="28"/>
        </w:rPr>
        <w:t>IN: POLICE “25-FT BUFFER ZONE” – CAN’T “INTERFERE”</w:t>
      </w:r>
    </w:p>
    <w:p w14:paraId="03E40002" w14:textId="77777777" w:rsidR="00393C3E" w:rsidRDefault="00393C3E" w:rsidP="00393C3E">
      <w:pPr>
        <w:pStyle w:val="NoSpacing"/>
        <w:rPr>
          <w:bCs/>
        </w:rPr>
      </w:pPr>
    </w:p>
    <w:p w14:paraId="5CE102F9" w14:textId="77777777" w:rsidR="00393C3E" w:rsidRDefault="00393C3E" w:rsidP="00393C3E">
      <w:pPr>
        <w:pStyle w:val="NoSpacing"/>
        <w:rPr>
          <w:bCs/>
        </w:rPr>
      </w:pPr>
      <w:r>
        <w:t xml:space="preserve">On August 5, 2025, in </w:t>
      </w:r>
      <w:r w:rsidRPr="00BC797C">
        <w:rPr>
          <w:u w:val="single"/>
        </w:rPr>
        <w:t xml:space="preserve">Reporters Committee </w:t>
      </w:r>
      <w:proofErr w:type="gramStart"/>
      <w:r w:rsidRPr="00BC797C">
        <w:rPr>
          <w:u w:val="single"/>
        </w:rPr>
        <w:t>For</w:t>
      </w:r>
      <w:proofErr w:type="gramEnd"/>
      <w:r w:rsidRPr="00BC797C">
        <w:rPr>
          <w:u w:val="single"/>
        </w:rPr>
        <w:t xml:space="preserve"> Freedom of The Press, et al. v. Todd R. Okita, Attorney General of Indiana, et al</w:t>
      </w:r>
      <w:r>
        <w:t>., the United States Court of Appeals for 7</w:t>
      </w:r>
      <w:r w:rsidRPr="00BC797C">
        <w:rPr>
          <w:vertAlign w:val="superscript"/>
        </w:rPr>
        <w:t>th</w:t>
      </w:r>
      <w:r>
        <w:t xml:space="preserve"> Circuit (Chicago) held (3 to 0) that U.S. District Court </w:t>
      </w:r>
      <w:r w:rsidRPr="002E3B7C">
        <w:t xml:space="preserve">Judge </w:t>
      </w:r>
      <w:r w:rsidRPr="002E3B7C">
        <w:lastRenderedPageBreak/>
        <w:t xml:space="preserve">James R. Sweeney II </w:t>
      </w:r>
      <w:r>
        <w:t xml:space="preserve">properly issued a preliminary injunction to </w:t>
      </w:r>
      <w:r w:rsidRPr="00600E74">
        <w:t>enjoin enforcement of the buffer law.</w:t>
      </w:r>
      <w:r>
        <w:t xml:space="preserve">  I</w:t>
      </w:r>
      <w:r w:rsidRPr="009F7379">
        <w:t>ndiana’s</w:t>
      </w:r>
      <w:r>
        <w:t xml:space="preserve"> original</w:t>
      </w:r>
      <w:r w:rsidRPr="009F7379">
        <w:t xml:space="preserve"> “buffer law” </w:t>
      </w:r>
      <w:r>
        <w:t xml:space="preserve">effective July 1, 2023, </w:t>
      </w:r>
      <w:r w:rsidRPr="009F7379">
        <w:t>makes it a</w:t>
      </w:r>
      <w:r>
        <w:t xml:space="preserve"> </w:t>
      </w:r>
      <w:r w:rsidRPr="009F7379">
        <w:t>crime for a person to knowingly or intentionally approach</w:t>
      </w:r>
      <w:r>
        <w:t xml:space="preserve"> </w:t>
      </w:r>
      <w:r w:rsidRPr="009F7379">
        <w:t>within 25 feet of a law enforcement officer who is “lawfully</w:t>
      </w:r>
      <w:r>
        <w:t xml:space="preserve"> </w:t>
      </w:r>
      <w:r w:rsidRPr="009F7379">
        <w:t>engaged in the execution of the law enforcement officer’s duties after the law enforcement officer has ordered the person</w:t>
      </w:r>
      <w:r>
        <w:t xml:space="preserve"> </w:t>
      </w:r>
      <w:r w:rsidRPr="009F7379">
        <w:t>to stop approaching.” Indiana Code (I.C.) § 35-44.1-2-14.</w:t>
      </w:r>
      <w:r>
        <w:t xml:space="preserve"> Wisely, while this appeal was pending, Indiana has now enacted a new law, effective July 1, 2025, where police </w:t>
      </w:r>
      <w:r w:rsidRPr="00030AD6">
        <w:t>may only order an individual to stop approaching if he “reasonably believes that a person’s presence”</w:t>
      </w:r>
      <w:r>
        <w:t xml:space="preserve"> </w:t>
      </w:r>
      <w:r w:rsidRPr="00030AD6">
        <w:t>within 25 feet “will interfere with the performance” of his</w:t>
      </w:r>
      <w:r>
        <w:t xml:space="preserve"> </w:t>
      </w:r>
      <w:r w:rsidRPr="00030AD6">
        <w:t>“duties.”</w:t>
      </w:r>
      <w:r>
        <w:t xml:space="preserve"> </w:t>
      </w:r>
    </w:p>
    <w:p w14:paraId="3F3BF7C7" w14:textId="77777777" w:rsidR="00393C3E" w:rsidRDefault="00393C3E" w:rsidP="00393C3E">
      <w:pPr>
        <w:pStyle w:val="NoSpacing"/>
        <w:rPr>
          <w:bCs/>
        </w:rPr>
      </w:pPr>
    </w:p>
    <w:p w14:paraId="7A9D67A7" w14:textId="77777777" w:rsidR="00393C3E" w:rsidRDefault="00393C3E" w:rsidP="00393C3E">
      <w:pPr>
        <w:pStyle w:val="NoSpacing"/>
        <w:rPr>
          <w:bCs/>
        </w:rPr>
      </w:pPr>
      <w:r w:rsidRPr="007772CA">
        <w:rPr>
          <w:b/>
        </w:rPr>
        <w:t>THE COURT HELD:</w:t>
      </w:r>
      <w:r>
        <w:t xml:space="preserve"> “As the plaintiffs point out, the problem is more upstream: the [original 223 ] buffer law offers no ‘guidance to the officer deciding whether [a do-not-approach] order should issue’ in the first place…. Without such guidance, any on-duty officer can use the buffer law to subject any pedestrian to potential criminal liability by simply ordering them not to approach, even if the pedestrian is doing nothing more than taking a morning stroll or merely walking up to an officer to ask for directions…. As the Supreme Court explained 60 years ago, a law that effectively says ‘a person may stand on a public sidewalk in [a city] only at the whim of any police officer of that city’ is too vague to satisfy due process. Shuttlesworth v. City of Birmingham, 382 U.S. 87, 90 (1965). The buffer law does just that. The Fourteenth Amendment will not tolerate a law subjecting pedestrians to arrest merely because a police officer had a bad breakfast—no matter how bitter the coffee or how soggy the scrambled eggs.” </w:t>
      </w:r>
      <w:hyperlink r:id="rId403" w:history="1">
        <w:r w:rsidRPr="00FE3641">
          <w:rPr>
            <w:rStyle w:val="Hyperlink"/>
          </w:rPr>
          <w:t>https://www.rcfp.org/wp-content/uploads/2025/08/2025-08-05-RCFP-v.-Rokita-Seventh-Circuit-opinion.pdf</w:t>
        </w:r>
      </w:hyperlink>
    </w:p>
    <w:p w14:paraId="039E741F" w14:textId="77777777" w:rsidR="00393C3E" w:rsidRDefault="00393C3E" w:rsidP="00393C3E">
      <w:pPr>
        <w:rPr>
          <w:bCs/>
        </w:rPr>
      </w:pPr>
    </w:p>
    <w:p w14:paraId="70D985E0" w14:textId="77777777" w:rsidR="00393C3E" w:rsidRDefault="00393C3E" w:rsidP="00393C3E">
      <w:pPr>
        <w:rPr>
          <w:b/>
        </w:rPr>
      </w:pPr>
      <w:r w:rsidRPr="007772CA">
        <w:rPr>
          <w:b/>
        </w:rPr>
        <w:t xml:space="preserve">KEY FACTS: </w:t>
      </w:r>
    </w:p>
    <w:p w14:paraId="63F1E08D" w14:textId="77777777" w:rsidR="00393C3E" w:rsidRDefault="00393C3E" w:rsidP="00393C3E">
      <w:pPr>
        <w:pStyle w:val="NoSpacing"/>
        <w:ind w:left="720"/>
      </w:pPr>
      <w:r>
        <w:t>“I</w:t>
      </w:r>
      <w:r w:rsidRPr="0063384C">
        <w:t xml:space="preserve">ndiana’s </w:t>
      </w:r>
      <w:r>
        <w:t>‘</w:t>
      </w:r>
      <w:r w:rsidRPr="0063384C">
        <w:t>buffer law</w:t>
      </w:r>
      <w:r>
        <w:t>’ m</w:t>
      </w:r>
      <w:r w:rsidRPr="0063384C">
        <w:t>akes it a</w:t>
      </w:r>
      <w:r>
        <w:t xml:space="preserve"> </w:t>
      </w:r>
      <w:r w:rsidRPr="0063384C">
        <w:t>crime for a person to knowingly or intentionally approach</w:t>
      </w:r>
      <w:r>
        <w:t xml:space="preserve"> </w:t>
      </w:r>
      <w:r w:rsidRPr="0063384C">
        <w:t xml:space="preserve">within 25 feet of a law enforcement officer who is </w:t>
      </w:r>
      <w:r>
        <w:t>‘</w:t>
      </w:r>
      <w:r w:rsidRPr="0063384C">
        <w:t>lawfully</w:t>
      </w:r>
      <w:r>
        <w:t xml:space="preserve"> </w:t>
      </w:r>
      <w:r w:rsidRPr="0063384C">
        <w:t>engaged in the execution of the law enforcement officer’s duties after the law enforcement officer has ordered the person</w:t>
      </w:r>
      <w:r>
        <w:t xml:space="preserve"> </w:t>
      </w:r>
      <w:r w:rsidRPr="0063384C">
        <w:t>to stop approaching.</w:t>
      </w:r>
      <w:r>
        <w:t>’</w:t>
      </w:r>
      <w:r w:rsidRPr="0063384C">
        <w:t xml:space="preserve"> Indiana Code (I.C.) § 35-44.1-2-14</w:t>
      </w:r>
      <w:r>
        <w:t>.</w:t>
      </w:r>
    </w:p>
    <w:p w14:paraId="51407CEE" w14:textId="77777777" w:rsidR="00393C3E" w:rsidRDefault="00393C3E" w:rsidP="00393C3E">
      <w:pPr>
        <w:pStyle w:val="NoSpacing"/>
        <w:ind w:left="720"/>
      </w:pPr>
      <w:r>
        <w:t>The plaintiffs, who are various media and media-related organizations, argue that the buffer law is unconstitutionally vague under the Fourteenth Amendment’s Due Process</w:t>
      </w:r>
    </w:p>
    <w:p w14:paraId="32058C08" w14:textId="77777777" w:rsidR="00393C3E" w:rsidRDefault="00393C3E" w:rsidP="00393C3E">
      <w:pPr>
        <w:pStyle w:val="NoSpacing"/>
        <w:ind w:left="720"/>
      </w:pPr>
      <w:r>
        <w:t>Clause because it is susceptible to arbitrary or discriminatory enforcement by the police. The district court concluded that the plaintiffs were likely to succeed in their Fourteenth</w:t>
      </w:r>
    </w:p>
    <w:p w14:paraId="19D9D305" w14:textId="77777777" w:rsidR="00393C3E" w:rsidRPr="007772CA" w:rsidRDefault="00393C3E" w:rsidP="00393C3E">
      <w:pPr>
        <w:pStyle w:val="NoSpacing"/>
        <w:ind w:left="720"/>
      </w:pPr>
      <w:r>
        <w:t xml:space="preserve">Amendment </w:t>
      </w:r>
      <w:proofErr w:type="gramStart"/>
      <w:r>
        <w:t>challenge to</w:t>
      </w:r>
      <w:proofErr w:type="gramEnd"/>
      <w:r>
        <w:t xml:space="preserve"> the buffer law, so the court issued a preliminary injunction blocking its enforcement. For the reasons below, we affirm the district court’s decision to preliminarily enjoin enforcement of the buffer law.”</w:t>
      </w:r>
    </w:p>
    <w:p w14:paraId="54811E90" w14:textId="77777777" w:rsidR="00393C3E" w:rsidRDefault="00393C3E" w:rsidP="00393C3E">
      <w:pPr>
        <w:pStyle w:val="NoSpacing"/>
        <w:rPr>
          <w:b/>
          <w:bCs/>
        </w:rPr>
      </w:pPr>
    </w:p>
    <w:p w14:paraId="787E598B" w14:textId="77777777" w:rsidR="00393C3E" w:rsidRPr="00DD7B9E" w:rsidRDefault="00393C3E" w:rsidP="00393C3E">
      <w:pPr>
        <w:pStyle w:val="NoSpacing"/>
        <w:rPr>
          <w:b/>
          <w:bCs/>
        </w:rPr>
      </w:pPr>
      <w:r w:rsidRPr="00DD7B9E">
        <w:rPr>
          <w:b/>
        </w:rPr>
        <w:t xml:space="preserve">Legal lesson learned: </w:t>
      </w:r>
      <w:r>
        <w:rPr>
          <w:b/>
        </w:rPr>
        <w:t xml:space="preserve">Fire and EMS must allow press reasonable access to </w:t>
      </w:r>
      <w:proofErr w:type="gramStart"/>
      <w:r>
        <w:rPr>
          <w:b/>
        </w:rPr>
        <w:t>scenes, but</w:t>
      </w:r>
      <w:proofErr w:type="gramEnd"/>
      <w:r>
        <w:rPr>
          <w:b/>
        </w:rPr>
        <w:t xml:space="preserve"> can cover patients to protect their identity.  </w:t>
      </w:r>
    </w:p>
    <w:p w14:paraId="223E2488" w14:textId="77777777" w:rsidR="00393C3E" w:rsidRDefault="00393C3E" w:rsidP="00393C3E">
      <w:pPr>
        <w:pStyle w:val="NoSpacing"/>
      </w:pPr>
    </w:p>
    <w:p w14:paraId="450C32C6" w14:textId="77777777" w:rsidR="00393C3E" w:rsidRDefault="00393C3E" w:rsidP="00393C3E">
      <w:pPr>
        <w:ind w:left="720"/>
        <w:rPr>
          <w:bCs/>
        </w:rPr>
      </w:pPr>
      <w:r>
        <w:t xml:space="preserve">Note:  See August 6, </w:t>
      </w:r>
      <w:proofErr w:type="gramStart"/>
      <w:r>
        <w:t>2025</w:t>
      </w:r>
      <w:proofErr w:type="gramEnd"/>
      <w:r>
        <w:t xml:space="preserve"> article, </w:t>
      </w:r>
      <w:r w:rsidRPr="00B33217">
        <w:t>“7th Circuit: Indiana’s police ‘buffer zone’ law is unconstitutional.</w:t>
      </w:r>
      <w:r>
        <w:rPr>
          <w:b/>
        </w:rPr>
        <w:t xml:space="preserve">” </w:t>
      </w:r>
      <w:hyperlink r:id="rId404" w:history="1">
        <w:r w:rsidRPr="00D87E9E">
          <w:rPr>
            <w:rStyle w:val="Hyperlink"/>
          </w:rPr>
          <w:t>https://www.rcfp.org/indiana-buffer-zone-law-7th-circuit/</w:t>
        </w:r>
      </w:hyperlink>
      <w:r>
        <w:t xml:space="preserve"> </w:t>
      </w:r>
    </w:p>
    <w:p w14:paraId="2673EF47" w14:textId="0004A6B5" w:rsidR="00393C3E" w:rsidRDefault="00393C3E" w:rsidP="00393C3E">
      <w:pPr>
        <w:rPr>
          <w:rFonts w:ascii="Arial Black" w:hAnsi="Arial Black"/>
          <w:sz w:val="24"/>
          <w:szCs w:val="24"/>
        </w:rPr>
      </w:pPr>
      <w:r>
        <w:t xml:space="preserve">See also March 11, </w:t>
      </w:r>
      <w:proofErr w:type="gramStart"/>
      <w:r>
        <w:t>2025</w:t>
      </w:r>
      <w:proofErr w:type="gramEnd"/>
      <w:r>
        <w:t xml:space="preserve"> article, “</w:t>
      </w:r>
      <w:r w:rsidRPr="00723714">
        <w:t xml:space="preserve">Buffer zone’ clarification heads to </w:t>
      </w:r>
      <w:proofErr w:type="spellStart"/>
      <w:proofErr w:type="gramStart"/>
      <w:r w:rsidRPr="00723714">
        <w:t>governors</w:t>
      </w:r>
      <w:proofErr w:type="spellEnd"/>
      <w:proofErr w:type="gramEnd"/>
      <w:r w:rsidRPr="00723714">
        <w:t xml:space="preserve"> desk.”</w:t>
      </w:r>
      <w:hyperlink r:id="rId405" w:history="1">
        <w:r w:rsidRPr="00D87E9E">
          <w:rPr>
            <w:rStyle w:val="Hyperlink"/>
          </w:rPr>
          <w:t>https://indianacapitalchronicle.com/briefs/buffer-zone-clarification-heads-to-governors-desk/</w:t>
        </w:r>
      </w:hyperlink>
    </w:p>
    <w:p w14:paraId="7DE2DB41" w14:textId="77777777" w:rsidR="000D2571" w:rsidRDefault="000D2571" w:rsidP="00646EE3">
      <w:pPr>
        <w:rPr>
          <w:rFonts w:ascii="Arial Black" w:hAnsi="Arial Black"/>
          <w:sz w:val="24"/>
          <w:szCs w:val="24"/>
        </w:rPr>
      </w:pPr>
    </w:p>
    <w:p w14:paraId="2B88B869" w14:textId="5542C741" w:rsidR="00646EE3" w:rsidRDefault="00646EE3" w:rsidP="00646EE3">
      <w:pPr>
        <w:rPr>
          <w:rFonts w:ascii="Arial Black" w:hAnsi="Arial Black"/>
          <w:sz w:val="24"/>
          <w:szCs w:val="24"/>
        </w:rPr>
      </w:pPr>
      <w:r>
        <w:rPr>
          <w:rFonts w:ascii="Arial Black" w:hAnsi="Arial Black"/>
          <w:sz w:val="24"/>
          <w:szCs w:val="24"/>
        </w:rPr>
        <w:t>2-9</w:t>
      </w:r>
      <w:r w:rsidR="006528FB">
        <w:rPr>
          <w:rFonts w:ascii="Arial Black" w:hAnsi="Arial Black"/>
          <w:sz w:val="24"/>
          <w:szCs w:val="24"/>
        </w:rPr>
        <w:t>0</w:t>
      </w:r>
    </w:p>
    <w:p w14:paraId="0DF2E8EC" w14:textId="77777777" w:rsidR="007D33D8" w:rsidRDefault="007D33D8" w:rsidP="007D33D8">
      <w:pPr>
        <w:pStyle w:val="NoSpacing"/>
        <w:rPr>
          <w:rFonts w:ascii="Arial Black" w:hAnsi="Arial Black"/>
          <w:sz w:val="28"/>
          <w:szCs w:val="28"/>
        </w:rPr>
      </w:pPr>
      <w:r>
        <w:rPr>
          <w:rFonts w:ascii="Arial Black" w:hAnsi="Arial Black"/>
          <w:sz w:val="28"/>
          <w:szCs w:val="28"/>
        </w:rPr>
        <w:t>KY: TRAIN DERAIL. - CSX “LIED” / SULFOR DIOXIDE – FF SUE</w:t>
      </w:r>
    </w:p>
    <w:p w14:paraId="3ADE6A4B" w14:textId="77777777" w:rsidR="007D33D8" w:rsidRDefault="007D33D8" w:rsidP="007D33D8">
      <w:pPr>
        <w:pStyle w:val="NoSpacing"/>
        <w:rPr>
          <w:rFonts w:ascii="Arial Black" w:hAnsi="Arial Black"/>
          <w:sz w:val="28"/>
          <w:szCs w:val="28"/>
        </w:rPr>
      </w:pPr>
    </w:p>
    <w:p w14:paraId="5BCB0CE6" w14:textId="01A0A0CF" w:rsidR="007D33D8" w:rsidRPr="00911EB2" w:rsidRDefault="007D33D8" w:rsidP="007D33D8">
      <w:pPr>
        <w:rPr>
          <w:rFonts w:ascii="Times New Roman" w:hAnsi="Times New Roman"/>
          <w:sz w:val="24"/>
          <w:szCs w:val="24"/>
        </w:rPr>
      </w:pPr>
      <w:r w:rsidRPr="00911EB2">
        <w:rPr>
          <w:rFonts w:ascii="Times New Roman" w:hAnsi="Times New Roman"/>
          <w:sz w:val="24"/>
          <w:szCs w:val="24"/>
        </w:rPr>
        <w:t xml:space="preserve">On June 16, 2025, in </w:t>
      </w:r>
      <w:r w:rsidRPr="00911EB2">
        <w:rPr>
          <w:rFonts w:ascii="Times New Roman" w:hAnsi="Times New Roman"/>
          <w:sz w:val="24"/>
          <w:szCs w:val="24"/>
          <w:u w:val="single"/>
        </w:rPr>
        <w:t>Shannon Franklin, et al. v. CSX Transportation, Inc. et al</w:t>
      </w:r>
      <w:r w:rsidRPr="00911EB2">
        <w:rPr>
          <w:rFonts w:ascii="Times New Roman" w:hAnsi="Times New Roman"/>
          <w:sz w:val="24"/>
          <w:szCs w:val="24"/>
        </w:rPr>
        <w:t xml:space="preserve">., U.S. District Court Judge Gregory F. Van Tatenhove, United States District Court for Eastern District of Kentucky, Southern Division / London, held that the “Fireman’s Rule” does not prohibit firefighters suffering from respiratory issues from </w:t>
      </w:r>
      <w:r w:rsidRPr="00911EB2">
        <w:rPr>
          <w:rFonts w:ascii="Times New Roman" w:hAnsi="Times New Roman"/>
          <w:sz w:val="24"/>
          <w:szCs w:val="24"/>
        </w:rPr>
        <w:lastRenderedPageBreak/>
        <w:t xml:space="preserve">suing CSX for November 22, 2023 train derailment in Rockcastle County, Kentucky, but they must prove “willful and wanton misconduct” by CSX (lied about contents being “food grade” non-hazardous).  Other claims, such as negligence, and “medical monitoring” were dismissed.  THE COURT HELD:  Plaintiffs suggest that the Firefighter’s Rule is inapplicable in this case because they allege that CSX intentionally mislead responders by telling them the railroad cars ‘were carrying substances that were food grade.’ … They suggest that the Firefighter’s Rule applies only to negligent conduct and not harms ‘resulting from gross negligence, or reckless or intentional conduct.’… The Court agrees.” </w:t>
      </w:r>
      <w:hyperlink r:id="rId406" w:history="1">
        <w:r w:rsidRPr="00911EB2">
          <w:rPr>
            <w:rStyle w:val="Hyperlink"/>
            <w:rFonts w:ascii="Times New Roman" w:hAnsi="Times New Roman"/>
            <w:sz w:val="24"/>
            <w:szCs w:val="24"/>
          </w:rPr>
          <w:t>https://cases.justia.com/federal/district-courts/kentucky/kyedce/6:2024cv00173/106630/18/0.pdf?ts=1750154108</w:t>
        </w:r>
      </w:hyperlink>
    </w:p>
    <w:p w14:paraId="35038B9F" w14:textId="189182C1" w:rsidR="00911EB2" w:rsidRPr="00911EB2" w:rsidRDefault="00911EB2" w:rsidP="00911EB2">
      <w:pPr>
        <w:pStyle w:val="NoSpacing"/>
        <w:rPr>
          <w:rFonts w:ascii="Times New Roman" w:hAnsi="Times New Roman"/>
          <w:b/>
          <w:bCs/>
          <w:sz w:val="24"/>
          <w:szCs w:val="24"/>
        </w:rPr>
      </w:pPr>
      <w:r w:rsidRPr="00911EB2">
        <w:rPr>
          <w:rFonts w:ascii="Times New Roman" w:hAnsi="Times New Roman"/>
          <w:b/>
          <w:sz w:val="24"/>
          <w:szCs w:val="24"/>
        </w:rPr>
        <w:t>Legal lesson learned: When responding to a train enrollment, confirm contents no</w:t>
      </w:r>
      <w:r w:rsidR="0087760A">
        <w:rPr>
          <w:rFonts w:ascii="Times New Roman" w:hAnsi="Times New Roman"/>
          <w:b/>
          <w:sz w:val="24"/>
          <w:szCs w:val="24"/>
        </w:rPr>
        <w:t>t</w:t>
      </w:r>
      <w:r w:rsidRPr="00911EB2">
        <w:rPr>
          <w:rFonts w:ascii="Times New Roman" w:hAnsi="Times New Roman"/>
          <w:b/>
          <w:sz w:val="24"/>
          <w:szCs w:val="24"/>
        </w:rPr>
        <w:t xml:space="preserve"> only with train company but also by reading the hazardous material </w:t>
      </w:r>
      <w:r w:rsidR="004538AA">
        <w:rPr>
          <w:rFonts w:ascii="Times New Roman" w:hAnsi="Times New Roman"/>
          <w:b/>
          <w:sz w:val="24"/>
          <w:szCs w:val="24"/>
        </w:rPr>
        <w:t>placards</w:t>
      </w:r>
      <w:r w:rsidRPr="00911EB2">
        <w:rPr>
          <w:rFonts w:ascii="Times New Roman" w:hAnsi="Times New Roman"/>
          <w:b/>
          <w:sz w:val="24"/>
          <w:szCs w:val="24"/>
        </w:rPr>
        <w:t xml:space="preserve"> on the leaking train cars. </w:t>
      </w:r>
    </w:p>
    <w:p w14:paraId="6410313F" w14:textId="77777777" w:rsidR="00911EB2" w:rsidRPr="00911EB2" w:rsidRDefault="00911EB2" w:rsidP="00911EB2">
      <w:pPr>
        <w:pStyle w:val="NoSpacing"/>
        <w:rPr>
          <w:rFonts w:ascii="Times New Roman" w:hAnsi="Times New Roman"/>
          <w:sz w:val="24"/>
          <w:szCs w:val="24"/>
        </w:rPr>
      </w:pPr>
    </w:p>
    <w:p w14:paraId="3F927537" w14:textId="331B0DD8" w:rsidR="00C342C1" w:rsidRPr="00C342C1" w:rsidRDefault="00C342C1" w:rsidP="00C342C1">
      <w:pPr>
        <w:ind w:left="720"/>
        <w:rPr>
          <w:rFonts w:ascii="Times New Roman" w:hAnsi="Times New Roman"/>
          <w:bCs/>
          <w:sz w:val="24"/>
          <w:szCs w:val="24"/>
        </w:rPr>
      </w:pPr>
    </w:p>
    <w:p w14:paraId="09E144F9" w14:textId="283D180C" w:rsidR="009C21FE" w:rsidRDefault="009C21FE" w:rsidP="009C21FE">
      <w:pPr>
        <w:rPr>
          <w:rFonts w:ascii="Arial Black" w:hAnsi="Arial Black"/>
          <w:sz w:val="24"/>
          <w:szCs w:val="24"/>
        </w:rPr>
      </w:pPr>
      <w:r>
        <w:rPr>
          <w:rFonts w:ascii="Arial Black" w:hAnsi="Arial Black"/>
          <w:sz w:val="24"/>
          <w:szCs w:val="24"/>
        </w:rPr>
        <w:t>2-89</w:t>
      </w:r>
    </w:p>
    <w:p w14:paraId="730D33C6" w14:textId="77777777" w:rsidR="00767EBD" w:rsidRPr="00796314" w:rsidRDefault="00767EBD" w:rsidP="00767EBD">
      <w:pPr>
        <w:rPr>
          <w:rFonts w:ascii="Arial Black" w:hAnsi="Arial Black"/>
          <w:b/>
          <w:sz w:val="28"/>
          <w:szCs w:val="28"/>
        </w:rPr>
      </w:pPr>
      <w:r>
        <w:rPr>
          <w:rFonts w:ascii="Arial Black" w:hAnsi="Arial Black"/>
          <w:b/>
          <w:sz w:val="28"/>
          <w:szCs w:val="28"/>
        </w:rPr>
        <w:t xml:space="preserve">NJ: BEARD - AIR MASK TECH – WHEN DID NO FIREFIGHTING </w:t>
      </w:r>
    </w:p>
    <w:p w14:paraId="5C8825A5" w14:textId="77777777" w:rsidR="00767EBD" w:rsidRPr="005C77FB" w:rsidRDefault="00767EBD" w:rsidP="00767EBD">
      <w:pPr>
        <w:pStyle w:val="NoSpacing"/>
        <w:rPr>
          <w:rFonts w:ascii="Times New Roman" w:hAnsi="Times New Roman"/>
          <w:sz w:val="24"/>
          <w:szCs w:val="24"/>
        </w:rPr>
      </w:pPr>
      <w:r w:rsidRPr="005C77FB">
        <w:rPr>
          <w:rFonts w:ascii="Times New Roman" w:hAnsi="Times New Roman"/>
          <w:sz w:val="24"/>
          <w:szCs w:val="24"/>
        </w:rPr>
        <w:t xml:space="preserve">On May 30, 2025, in </w:t>
      </w:r>
      <w:r w:rsidRPr="005C77FB">
        <w:rPr>
          <w:rFonts w:ascii="Times New Roman" w:hAnsi="Times New Roman"/>
          <w:sz w:val="24"/>
          <w:szCs w:val="24"/>
          <w:u w:val="single"/>
        </w:rPr>
        <w:t>Alexander Smith v. City of Atlantic City, et al</w:t>
      </w:r>
      <w:r w:rsidRPr="005C77FB">
        <w:rPr>
          <w:rFonts w:ascii="Times New Roman" w:hAnsi="Times New Roman"/>
          <w:sz w:val="24"/>
          <w:szCs w:val="24"/>
        </w:rPr>
        <w:t xml:space="preserve">.,  the U.S. Court of Appeals for Third Circuit (Philadelphia), held (2 to 1) that a firefighter may proceed with his lawsuit for failure to accommodate his request to wear a beard for religious reasons, but not his claim of retaliation.  He last fought a fire in 2015 and then became FD’s full time Air Mask Technician – and duties included bringing the Air Truck to structure fires and changing out SCBAs.   He like other “administrative” firefighters were not required to take annual fit testing.  In Dec. 2018 he submitted an accommodation request to wear a beard for religious reasons; that was denied, he was ordered to no longer respond to structure fires and he filed this lawsuit.  In 2020, all “administrative” firefighters were required to pass annual fit testing.   On Aug. 4, 2020, Hurricane Isaias hit New Jersey and all off duty personnel.  He was assigned to Engine 23, but he refused to respond (turned out there were no structure fire, but numerous other runs);  the </w:t>
      </w:r>
      <w:proofErr w:type="gramStart"/>
      <w:r w:rsidRPr="005C77FB">
        <w:rPr>
          <w:rFonts w:ascii="Times New Roman" w:hAnsi="Times New Roman"/>
          <w:sz w:val="24"/>
          <w:szCs w:val="24"/>
        </w:rPr>
        <w:t>City</w:t>
      </w:r>
      <w:proofErr w:type="gramEnd"/>
      <w:r w:rsidRPr="005C77FB">
        <w:rPr>
          <w:rFonts w:ascii="Times New Roman" w:hAnsi="Times New Roman"/>
          <w:sz w:val="24"/>
          <w:szCs w:val="24"/>
        </w:rPr>
        <w:t xml:space="preserve"> charged Smith with insubordination and suspended him for forty days, including twenty without pay.   THE COURT HELD: “The City could remove Smith from fire suppression duty as it did before 2020 or reclassify him as a civilian who is not subject to the SCBA and grooming policies. It could, as a simple fix, at least try and fit test Smith with facial hair to see if his facial hair, at any length, would interfere with the SCBA to a point that creates the risk of air leakage that the </w:t>
      </w:r>
      <w:proofErr w:type="gramStart"/>
      <w:r w:rsidRPr="005C77FB">
        <w:rPr>
          <w:rFonts w:ascii="Times New Roman" w:hAnsi="Times New Roman"/>
          <w:sz w:val="24"/>
          <w:szCs w:val="24"/>
        </w:rPr>
        <w:t>City</w:t>
      </w:r>
      <w:proofErr w:type="gramEnd"/>
      <w:r w:rsidRPr="005C77FB">
        <w:rPr>
          <w:rFonts w:ascii="Times New Roman" w:hAnsi="Times New Roman"/>
          <w:sz w:val="24"/>
          <w:szCs w:val="24"/>
        </w:rPr>
        <w:t xml:space="preserve"> fears. See Potter v. District of Columbia, 382 F. Supp. 2d 35, 38 (D.D.C. 2005) (Muslim employee seeking exception passed fit test with beard). There </w:t>
      </w:r>
      <w:proofErr w:type="gramStart"/>
      <w:r w:rsidRPr="005C77FB">
        <w:rPr>
          <w:rFonts w:ascii="Times New Roman" w:hAnsi="Times New Roman"/>
          <w:sz w:val="24"/>
          <w:szCs w:val="24"/>
        </w:rPr>
        <w:t>are likely</w:t>
      </w:r>
      <w:proofErr w:type="gramEnd"/>
      <w:r w:rsidRPr="005C77FB">
        <w:rPr>
          <w:rFonts w:ascii="Times New Roman" w:hAnsi="Times New Roman"/>
          <w:sz w:val="24"/>
          <w:szCs w:val="24"/>
        </w:rPr>
        <w:t xml:space="preserve"> more solutions than these three, but ‘so long as the government can achieve its interests in a manner that does not burden religion, it must do so.’ Fulton, 593 U.S. at 541. Because the policy fails strict scrutiny, we will vacate the District Court’s judgment.”   </w:t>
      </w:r>
      <w:hyperlink r:id="rId407" w:history="1">
        <w:r w:rsidRPr="005C77FB">
          <w:rPr>
            <w:rStyle w:val="Hyperlink"/>
            <w:rFonts w:ascii="Times New Roman" w:hAnsi="Times New Roman"/>
            <w:sz w:val="24"/>
            <w:szCs w:val="24"/>
          </w:rPr>
          <w:t>https://cases.justia.com/federal/appellate-courts/ca3/23-3265/23-3265-2025-05-30.pdf?ts=1748624416</w:t>
        </w:r>
      </w:hyperlink>
      <w:r w:rsidRPr="005C77FB">
        <w:rPr>
          <w:rFonts w:ascii="Times New Roman" w:hAnsi="Times New Roman"/>
          <w:sz w:val="24"/>
          <w:szCs w:val="24"/>
        </w:rPr>
        <w:t xml:space="preserve"> </w:t>
      </w:r>
    </w:p>
    <w:p w14:paraId="45CB05D0" w14:textId="77777777" w:rsidR="005C77FB" w:rsidRPr="005C77FB" w:rsidRDefault="005C77FB" w:rsidP="005C77FB">
      <w:pPr>
        <w:pStyle w:val="NoSpacing"/>
        <w:rPr>
          <w:rFonts w:ascii="Times New Roman" w:hAnsi="Times New Roman"/>
          <w:b/>
          <w:sz w:val="24"/>
          <w:szCs w:val="24"/>
        </w:rPr>
      </w:pPr>
    </w:p>
    <w:p w14:paraId="77942307" w14:textId="44B7447B" w:rsidR="005C77FB" w:rsidRPr="005C77FB" w:rsidRDefault="005C77FB" w:rsidP="005C77FB">
      <w:pPr>
        <w:pStyle w:val="NoSpacing"/>
        <w:rPr>
          <w:rFonts w:ascii="Times New Roman" w:hAnsi="Times New Roman"/>
          <w:b/>
          <w:bCs/>
          <w:sz w:val="24"/>
          <w:szCs w:val="24"/>
        </w:rPr>
      </w:pPr>
      <w:r w:rsidRPr="005C77FB">
        <w:rPr>
          <w:rFonts w:ascii="Times New Roman" w:hAnsi="Times New Roman"/>
          <w:b/>
          <w:sz w:val="24"/>
          <w:szCs w:val="24"/>
        </w:rPr>
        <w:t>Legal lesson learned: This decision has limited precedent; most fire departments</w:t>
      </w:r>
      <w:r w:rsidRPr="005C77FB">
        <w:rPr>
          <w:rFonts w:ascii="Times New Roman" w:hAnsi="Times New Roman"/>
          <w:b/>
          <w:bCs/>
          <w:sz w:val="24"/>
          <w:szCs w:val="24"/>
        </w:rPr>
        <w:t xml:space="preserve"> require</w:t>
      </w:r>
      <w:r w:rsidRPr="005C77FB">
        <w:rPr>
          <w:rFonts w:ascii="Times New Roman" w:hAnsi="Times New Roman"/>
          <w:b/>
          <w:sz w:val="24"/>
          <w:szCs w:val="24"/>
        </w:rPr>
        <w:t xml:space="preserve"> annual fit testing for all firefighters.  </w:t>
      </w:r>
    </w:p>
    <w:p w14:paraId="0910A866" w14:textId="77777777" w:rsidR="005C77FB" w:rsidRPr="005C77FB" w:rsidRDefault="005C77FB" w:rsidP="005C77FB">
      <w:pPr>
        <w:pStyle w:val="NoSpacing"/>
        <w:rPr>
          <w:rFonts w:ascii="Times New Roman" w:hAnsi="Times New Roman"/>
          <w:b/>
          <w:bCs/>
          <w:sz w:val="24"/>
          <w:szCs w:val="24"/>
        </w:rPr>
      </w:pPr>
    </w:p>
    <w:p w14:paraId="5F191769" w14:textId="77777777" w:rsidR="005C77FB" w:rsidRPr="005C77FB" w:rsidRDefault="005C77FB" w:rsidP="005C77FB">
      <w:pPr>
        <w:ind w:left="720"/>
        <w:rPr>
          <w:rFonts w:ascii="Times New Roman" w:hAnsi="Times New Roman"/>
          <w:b/>
          <w:sz w:val="24"/>
          <w:szCs w:val="24"/>
        </w:rPr>
      </w:pPr>
      <w:r w:rsidRPr="005C77FB">
        <w:rPr>
          <w:rFonts w:ascii="Times New Roman" w:hAnsi="Times New Roman"/>
          <w:sz w:val="24"/>
          <w:szCs w:val="24"/>
        </w:rPr>
        <w:t xml:space="preserve">Note: See this article, “Jersey Shore firefighter wins court battle over growing beard on religious grounds.” </w:t>
      </w:r>
      <w:hyperlink r:id="rId408" w:history="1">
        <w:r w:rsidRPr="005C77FB">
          <w:rPr>
            <w:rStyle w:val="Hyperlink"/>
            <w:rFonts w:ascii="Times New Roman" w:hAnsi="Times New Roman"/>
            <w:sz w:val="24"/>
            <w:szCs w:val="24"/>
          </w:rPr>
          <w:t>https://www.nj.com/atlantic/2025/06/jersey-shore-firefighter-wins-court-battle-over-growing-beard-on-religious-grounds.html?mc_cid=2cb6755cd5&amp;mc_eid=cbaa4ade01</w:t>
        </w:r>
      </w:hyperlink>
    </w:p>
    <w:p w14:paraId="64C869EA" w14:textId="77777777" w:rsidR="005C77FB" w:rsidRDefault="005C77FB" w:rsidP="00767EBD">
      <w:pPr>
        <w:pStyle w:val="NoSpacing"/>
      </w:pPr>
    </w:p>
    <w:p w14:paraId="4CBA1C95" w14:textId="66424917" w:rsidR="00E04C78" w:rsidRDefault="00E04C78" w:rsidP="005D5A0C">
      <w:pPr>
        <w:rPr>
          <w:rFonts w:ascii="Arial Black" w:hAnsi="Arial Black"/>
          <w:sz w:val="24"/>
          <w:szCs w:val="24"/>
        </w:rPr>
      </w:pPr>
      <w:r>
        <w:rPr>
          <w:rFonts w:ascii="Arial Black" w:hAnsi="Arial Black"/>
          <w:sz w:val="24"/>
          <w:szCs w:val="24"/>
        </w:rPr>
        <w:t>2-88</w:t>
      </w:r>
    </w:p>
    <w:p w14:paraId="23E70DC1" w14:textId="77777777" w:rsidR="00E04C78" w:rsidRPr="006F2B87" w:rsidRDefault="00E04C78" w:rsidP="00E04C78">
      <w:pPr>
        <w:pStyle w:val="NoSpacing"/>
        <w:rPr>
          <w:rFonts w:ascii="Arial Black" w:hAnsi="Arial Black"/>
          <w:sz w:val="28"/>
          <w:szCs w:val="28"/>
        </w:rPr>
      </w:pPr>
      <w:r w:rsidRPr="006F2B87">
        <w:rPr>
          <w:rFonts w:ascii="Arial Black" w:hAnsi="Arial Black"/>
          <w:sz w:val="28"/>
          <w:szCs w:val="28"/>
        </w:rPr>
        <w:t xml:space="preserve">U.S. SUP. CT: PD </w:t>
      </w:r>
      <w:r>
        <w:rPr>
          <w:rFonts w:ascii="Arial Black" w:hAnsi="Arial Black"/>
          <w:sz w:val="28"/>
          <w:szCs w:val="28"/>
        </w:rPr>
        <w:t xml:space="preserve">SHOOTINGS - </w:t>
      </w:r>
      <w:r w:rsidRPr="006F2B87">
        <w:rPr>
          <w:rFonts w:ascii="Arial Black" w:hAnsi="Arial Black"/>
          <w:sz w:val="28"/>
          <w:szCs w:val="28"/>
        </w:rPr>
        <w:t xml:space="preserve">REVIEW TOTAL CIRCUM. </w:t>
      </w:r>
    </w:p>
    <w:p w14:paraId="72075FA1" w14:textId="77777777" w:rsidR="00E04C78" w:rsidRPr="006F2B87" w:rsidRDefault="00E04C78" w:rsidP="00E04C78">
      <w:pPr>
        <w:pStyle w:val="NoSpacing"/>
      </w:pPr>
    </w:p>
    <w:p w14:paraId="1FEC9E5F" w14:textId="77777777" w:rsidR="00E04C78" w:rsidRPr="00E04C78" w:rsidRDefault="00E04C78" w:rsidP="00E04C78">
      <w:pPr>
        <w:pStyle w:val="NoSpacing"/>
        <w:rPr>
          <w:rFonts w:ascii="Times New Roman" w:hAnsi="Times New Roman"/>
          <w:sz w:val="24"/>
          <w:szCs w:val="24"/>
        </w:rPr>
      </w:pPr>
      <w:r w:rsidRPr="00E04C78">
        <w:rPr>
          <w:rFonts w:ascii="Times New Roman" w:hAnsi="Times New Roman"/>
          <w:sz w:val="24"/>
          <w:szCs w:val="24"/>
        </w:rPr>
        <w:lastRenderedPageBreak/>
        <w:t xml:space="preserve">On May 15, 2025, in </w:t>
      </w:r>
      <w:r w:rsidRPr="00E04C78">
        <w:rPr>
          <w:rFonts w:ascii="Times New Roman" w:hAnsi="Times New Roman"/>
          <w:sz w:val="24"/>
          <w:szCs w:val="24"/>
          <w:u w:val="single"/>
        </w:rPr>
        <w:t>Janice Hughes Barnes, individually and as representative of the estate of Ashtian Barnes, deceased v. Roberto Felix, et al</w:t>
      </w:r>
      <w:r w:rsidRPr="00E04C78">
        <w:rPr>
          <w:rFonts w:ascii="Times New Roman" w:hAnsi="Times New Roman"/>
          <w:sz w:val="24"/>
          <w:szCs w:val="24"/>
        </w:rPr>
        <w:t>., the United States Supreme Court held (9 to 0) that lawsuit against officer is reinstated; trial court judge when deciding qualified immunity must review all the circumstances involving the incident, as in this case the officer jumped on door of stopped vehicle before the driver tried to speed away.  The Court rejected the 5</w:t>
      </w:r>
      <w:r w:rsidRPr="00E04C78">
        <w:rPr>
          <w:rFonts w:ascii="Times New Roman" w:hAnsi="Times New Roman"/>
          <w:sz w:val="24"/>
          <w:szCs w:val="24"/>
          <w:vertAlign w:val="superscript"/>
        </w:rPr>
        <w:t>th</w:t>
      </w:r>
      <w:r w:rsidRPr="00E04C78">
        <w:rPr>
          <w:rFonts w:ascii="Times New Roman" w:hAnsi="Times New Roman"/>
          <w:sz w:val="24"/>
          <w:szCs w:val="24"/>
        </w:rPr>
        <w:t xml:space="preserve"> Circuit precedent that in police shooting the trial court judge should only review the seconds involving the “moment-of-threat.”  </w:t>
      </w:r>
    </w:p>
    <w:p w14:paraId="53847827" w14:textId="77777777" w:rsidR="00E04C78" w:rsidRPr="00E04C78" w:rsidRDefault="00E04C78" w:rsidP="00E04C78">
      <w:pPr>
        <w:pStyle w:val="NoSpacing"/>
        <w:rPr>
          <w:rFonts w:ascii="Times New Roman" w:hAnsi="Times New Roman"/>
          <w:sz w:val="24"/>
          <w:szCs w:val="24"/>
        </w:rPr>
      </w:pPr>
    </w:p>
    <w:p w14:paraId="1C02619D" w14:textId="77777777" w:rsidR="00E04C78" w:rsidRPr="00E04C78" w:rsidRDefault="00E04C78" w:rsidP="00E04C78">
      <w:pPr>
        <w:pStyle w:val="NoSpacing"/>
        <w:rPr>
          <w:rFonts w:ascii="Times New Roman" w:hAnsi="Times New Roman"/>
          <w:sz w:val="24"/>
          <w:szCs w:val="24"/>
        </w:rPr>
      </w:pPr>
      <w:r w:rsidRPr="00E04C78">
        <w:rPr>
          <w:rFonts w:ascii="Times New Roman" w:hAnsi="Times New Roman"/>
          <w:sz w:val="24"/>
          <w:szCs w:val="24"/>
        </w:rPr>
        <w:t xml:space="preserve">Justice Elena Kagam wrote Court’s opinion: “On the afternoon of April 28, 2016, Roberto Felix, Jr., a law enforcement officer patrolling a highway outside Houston, received a radio alert about an automobile on the road with outstanding toll violations. Felix soon spotted the car, a Toyota Corolla, and turned on his emergency lights to initiate a traffic stop. The driver, Ashtian Barnes, pulled over to the highway’s shoulder…. With his right hand resting on his holster, Felix told Barnes to get out of the car. Barnes opened the door but did not </w:t>
      </w:r>
      <w:proofErr w:type="gramStart"/>
      <w:r w:rsidRPr="00E04C78">
        <w:rPr>
          <w:rFonts w:ascii="Times New Roman" w:hAnsi="Times New Roman"/>
          <w:sz w:val="24"/>
          <w:szCs w:val="24"/>
        </w:rPr>
        <w:t>exit</w:t>
      </w:r>
      <w:proofErr w:type="gramEnd"/>
      <w:r w:rsidRPr="00E04C78">
        <w:rPr>
          <w:rFonts w:ascii="Times New Roman" w:hAnsi="Times New Roman"/>
          <w:sz w:val="24"/>
          <w:szCs w:val="24"/>
        </w:rPr>
        <w:t xml:space="preserve">; instead, he turned the ignition back on. Felix unholstered his gun and, as the car began to move forward, jumped onto its doorsill. He twice shouted, ‘Don’t fucking move.’ And with no visibility into the car (because his head was above the roof), he fired two quick shots inside. Barnes was hit. but managed to stop the car. Felix then radioed for back-up. By the time it arrived, Barnes was dead. All told, about five seconds elapsed between when the car started moving and when it stopped. And within that period, two seconds passed between the moment Felix stepped on the doorsill and the moment he fired his first shot. *** The question here is whether that framework permits courts, in evaluating a police shooting (or other use of force), to apply the so-called moment-of-threat rule used in the courts below. Under that rule, a court looks only to the circumstances existing at the precise time an officer perceived the threat inducing him to shoot. Today, we reject that approach as improperly narrowing the requisite Fourth Amendment analysis. To assess whether an officer acted reasonably in using force, a court must consider all the relevant circumstances, including facts and events leading up to the climactic moment.” ***  [W]e return everything else to the courts below. It is for them now to consider the reasonableness of the shooting, using the lengthier timeframe we have prescribed.” </w:t>
      </w:r>
      <w:hyperlink r:id="rId409" w:history="1">
        <w:r w:rsidRPr="00E04C78">
          <w:rPr>
            <w:rStyle w:val="Hyperlink"/>
            <w:rFonts w:ascii="Times New Roman" w:hAnsi="Times New Roman"/>
            <w:sz w:val="24"/>
            <w:szCs w:val="24"/>
          </w:rPr>
          <w:t>https://www.supremecourt.gov/opinions/24pdf/23-1239_onjq.pdf</w:t>
        </w:r>
      </w:hyperlink>
      <w:r w:rsidRPr="00E04C78">
        <w:rPr>
          <w:rFonts w:ascii="Times New Roman" w:hAnsi="Times New Roman"/>
          <w:sz w:val="24"/>
          <w:szCs w:val="24"/>
        </w:rPr>
        <w:t xml:space="preserve"> </w:t>
      </w:r>
    </w:p>
    <w:p w14:paraId="4920B742" w14:textId="77777777" w:rsidR="0049084F" w:rsidRDefault="0049084F" w:rsidP="0049084F">
      <w:pPr>
        <w:pStyle w:val="NoSpacing"/>
        <w:rPr>
          <w:rFonts w:ascii="Times New Roman" w:hAnsi="Times New Roman"/>
          <w:b/>
          <w:sz w:val="24"/>
          <w:szCs w:val="24"/>
        </w:rPr>
      </w:pPr>
    </w:p>
    <w:p w14:paraId="37451D0C" w14:textId="69930B2D" w:rsidR="0049084F" w:rsidRPr="0049084F" w:rsidRDefault="0049084F" w:rsidP="0049084F">
      <w:pPr>
        <w:pStyle w:val="NoSpacing"/>
        <w:rPr>
          <w:rFonts w:ascii="Times New Roman" w:hAnsi="Times New Roman"/>
          <w:b/>
          <w:bCs/>
          <w:sz w:val="24"/>
          <w:szCs w:val="24"/>
        </w:rPr>
      </w:pPr>
      <w:r w:rsidRPr="0049084F">
        <w:rPr>
          <w:rFonts w:ascii="Times New Roman" w:hAnsi="Times New Roman"/>
          <w:b/>
          <w:sz w:val="24"/>
          <w:szCs w:val="24"/>
        </w:rPr>
        <w:t>Legal Lesson Learned: The unanimous decision will also be</w:t>
      </w:r>
      <w:r w:rsidRPr="0049084F">
        <w:rPr>
          <w:rFonts w:ascii="Times New Roman" w:hAnsi="Times New Roman"/>
          <w:b/>
          <w:bCs/>
          <w:sz w:val="24"/>
          <w:szCs w:val="24"/>
        </w:rPr>
        <w:t xml:space="preserve"> precedent </w:t>
      </w:r>
      <w:r w:rsidRPr="0049084F">
        <w:rPr>
          <w:rFonts w:ascii="Times New Roman" w:hAnsi="Times New Roman"/>
          <w:b/>
          <w:sz w:val="24"/>
          <w:szCs w:val="24"/>
        </w:rPr>
        <w:t xml:space="preserve">when reviewing </w:t>
      </w:r>
      <w:r w:rsidRPr="0049084F">
        <w:rPr>
          <w:rFonts w:ascii="Times New Roman" w:hAnsi="Times New Roman"/>
          <w:b/>
          <w:bCs/>
          <w:sz w:val="24"/>
          <w:szCs w:val="24"/>
        </w:rPr>
        <w:t xml:space="preserve">Fire &amp; </w:t>
      </w:r>
      <w:r w:rsidRPr="0049084F">
        <w:rPr>
          <w:rFonts w:ascii="Times New Roman" w:hAnsi="Times New Roman"/>
          <w:b/>
          <w:sz w:val="24"/>
          <w:szCs w:val="24"/>
        </w:rPr>
        <w:t>MS actions when facing possible harm</w:t>
      </w:r>
      <w:r w:rsidRPr="0049084F">
        <w:rPr>
          <w:rFonts w:ascii="Times New Roman" w:hAnsi="Times New Roman"/>
          <w:b/>
          <w:bCs/>
          <w:sz w:val="24"/>
          <w:szCs w:val="24"/>
        </w:rPr>
        <w:t>, s</w:t>
      </w:r>
      <w:r w:rsidRPr="0049084F">
        <w:rPr>
          <w:rFonts w:ascii="Times New Roman" w:hAnsi="Times New Roman"/>
          <w:b/>
          <w:sz w:val="24"/>
          <w:szCs w:val="24"/>
        </w:rPr>
        <w:t xml:space="preserve">uch as mental patient struggling </w:t>
      </w:r>
      <w:proofErr w:type="gramStart"/>
      <w:r w:rsidRPr="0049084F">
        <w:rPr>
          <w:rFonts w:ascii="Times New Roman" w:hAnsi="Times New Roman"/>
          <w:b/>
          <w:sz w:val="24"/>
          <w:szCs w:val="24"/>
        </w:rPr>
        <w:t>in back of</w:t>
      </w:r>
      <w:proofErr w:type="gramEnd"/>
      <w:r w:rsidRPr="0049084F">
        <w:rPr>
          <w:rFonts w:ascii="Times New Roman" w:hAnsi="Times New Roman"/>
          <w:b/>
          <w:sz w:val="24"/>
          <w:szCs w:val="24"/>
        </w:rPr>
        <w:t xml:space="preserve"> an ambulance</w:t>
      </w:r>
      <w:r w:rsidRPr="0049084F">
        <w:rPr>
          <w:rFonts w:ascii="Times New Roman" w:hAnsi="Times New Roman"/>
          <w:b/>
          <w:bCs/>
          <w:sz w:val="24"/>
          <w:szCs w:val="24"/>
        </w:rPr>
        <w:t xml:space="preserve">. </w:t>
      </w:r>
    </w:p>
    <w:p w14:paraId="71782994" w14:textId="77777777" w:rsidR="0049084F" w:rsidRPr="0049084F" w:rsidRDefault="0049084F" w:rsidP="0049084F">
      <w:pPr>
        <w:pStyle w:val="NoSpacing"/>
        <w:rPr>
          <w:rFonts w:ascii="Times New Roman" w:hAnsi="Times New Roman"/>
          <w:bCs/>
          <w:sz w:val="24"/>
          <w:szCs w:val="24"/>
        </w:rPr>
      </w:pPr>
    </w:p>
    <w:p w14:paraId="36FAC1B5" w14:textId="77777777" w:rsidR="00E04C78" w:rsidRPr="0049084F" w:rsidRDefault="00E04C78" w:rsidP="005D5A0C">
      <w:pPr>
        <w:rPr>
          <w:rFonts w:ascii="Times New Roman" w:hAnsi="Times New Roman"/>
          <w:sz w:val="24"/>
          <w:szCs w:val="24"/>
        </w:rPr>
      </w:pPr>
    </w:p>
    <w:p w14:paraId="3256B2E2" w14:textId="77777777" w:rsidR="00E04C78" w:rsidRDefault="00E04C78" w:rsidP="005D5A0C">
      <w:pPr>
        <w:rPr>
          <w:rFonts w:ascii="Arial Black" w:hAnsi="Arial Black"/>
          <w:sz w:val="24"/>
          <w:szCs w:val="24"/>
        </w:rPr>
      </w:pPr>
    </w:p>
    <w:p w14:paraId="116A7DF5" w14:textId="4CE618EA" w:rsidR="00883B5F" w:rsidRDefault="00883B5F" w:rsidP="005D5A0C">
      <w:pPr>
        <w:rPr>
          <w:rFonts w:ascii="Arial Black" w:hAnsi="Arial Black"/>
          <w:sz w:val="24"/>
          <w:szCs w:val="24"/>
        </w:rPr>
      </w:pPr>
      <w:r>
        <w:rPr>
          <w:rFonts w:ascii="Arial Black" w:hAnsi="Arial Black"/>
          <w:sz w:val="24"/>
          <w:szCs w:val="24"/>
        </w:rPr>
        <w:t>2-87</w:t>
      </w:r>
    </w:p>
    <w:p w14:paraId="329CEA14" w14:textId="77777777" w:rsidR="00E63984" w:rsidRPr="00830E6C" w:rsidRDefault="00E63984" w:rsidP="00E63984">
      <w:pPr>
        <w:rPr>
          <w:rFonts w:ascii="Arial Black" w:hAnsi="Arial Black"/>
          <w:b/>
          <w:sz w:val="28"/>
          <w:szCs w:val="28"/>
        </w:rPr>
      </w:pPr>
      <w:r>
        <w:rPr>
          <w:rFonts w:ascii="Arial Black" w:hAnsi="Arial Black"/>
          <w:b/>
          <w:sz w:val="28"/>
          <w:szCs w:val="28"/>
        </w:rPr>
        <w:t>AK: FF / OTHERS - FORMIC ACID - $75M JURY EXCESSIVE</w:t>
      </w:r>
    </w:p>
    <w:p w14:paraId="3288511F" w14:textId="48CCE21C" w:rsidR="00E63984" w:rsidRDefault="00E63984" w:rsidP="00E63984">
      <w:pPr>
        <w:rPr>
          <w:rFonts w:ascii="Times New Roman" w:hAnsi="Times New Roman"/>
          <w:sz w:val="24"/>
          <w:szCs w:val="24"/>
        </w:rPr>
      </w:pPr>
      <w:r w:rsidRPr="00E63984">
        <w:rPr>
          <w:rFonts w:ascii="Times New Roman" w:hAnsi="Times New Roman"/>
          <w:sz w:val="24"/>
          <w:szCs w:val="24"/>
        </w:rPr>
        <w:t xml:space="preserve">On April 30, 2025, in </w:t>
      </w:r>
      <w:r w:rsidRPr="00E63984">
        <w:rPr>
          <w:rFonts w:ascii="Times New Roman" w:hAnsi="Times New Roman"/>
          <w:sz w:val="24"/>
          <w:szCs w:val="24"/>
          <w:u w:val="single"/>
        </w:rPr>
        <w:t>Old Dominion Freight Line, Inc., and Aaron Marvel Foster v. Frank McMillion, Allen Jones, Carlton Pettus, Hunter Bokker, Bengi Bokker and Zack Billingsley</w:t>
      </w:r>
      <w:r w:rsidRPr="00E63984">
        <w:rPr>
          <w:rFonts w:ascii="Times New Roman" w:hAnsi="Times New Roman"/>
          <w:sz w:val="24"/>
          <w:szCs w:val="24"/>
        </w:rPr>
        <w:t xml:space="preserve">, the Court of Appeals of Arkansas, Division II held (3 to 0) that the jury’s combined award of $75 million for six plaintiffs was excessive and must be retried given the limited injuries suffered.  The six plaintiffs included two law enforcement officers, and a 4-person crew from a tow-truck company, including off-duty firefighter Carlton Pettus who was awarded $5 million. On April 20, </w:t>
      </w:r>
      <w:proofErr w:type="gramStart"/>
      <w:r w:rsidRPr="00E63984">
        <w:rPr>
          <w:rFonts w:ascii="Times New Roman" w:hAnsi="Times New Roman"/>
          <w:sz w:val="24"/>
          <w:szCs w:val="24"/>
        </w:rPr>
        <w:t>2018</w:t>
      </w:r>
      <w:proofErr w:type="gramEnd"/>
      <w:r w:rsidRPr="00E63984">
        <w:rPr>
          <w:rFonts w:ascii="Times New Roman" w:hAnsi="Times New Roman"/>
          <w:sz w:val="24"/>
          <w:szCs w:val="24"/>
        </w:rPr>
        <w:t xml:space="preserve"> a pick-up truck that ran head on into an Old Dominion semi carrying one barrel of formic acid weighing 565 pounds.  The semi-truck was on fire and the Old Dominion driver, Aaron Marvel Foster, falsely told responders that there were no hazardous materials on board.  There also was no HAZMAT placard displayed since the load was less than 1,000 pounds. The six plaintiffs all experienced at the scene difficulty breathing and had burning sensations in their noses, throats, and eyes, and various breathing difficulties thereafter. </w:t>
      </w:r>
      <w:hyperlink r:id="rId410" w:history="1">
        <w:r w:rsidRPr="00E63984">
          <w:rPr>
            <w:rStyle w:val="Hyperlink"/>
            <w:rFonts w:ascii="Times New Roman" w:hAnsi="Times New Roman"/>
            <w:sz w:val="24"/>
            <w:szCs w:val="24"/>
          </w:rPr>
          <w:t>https://cases.justia.com/arkansas/court-of-appeals/2025-cv-22-305.pdf?ts=1746026138</w:t>
        </w:r>
      </w:hyperlink>
    </w:p>
    <w:p w14:paraId="63EE9060" w14:textId="77777777" w:rsidR="006E3103" w:rsidRPr="006E3103" w:rsidRDefault="006E3103" w:rsidP="006E3103">
      <w:pPr>
        <w:pStyle w:val="NoSpacing"/>
        <w:rPr>
          <w:rFonts w:ascii="Times New Roman" w:hAnsi="Times New Roman"/>
          <w:b/>
          <w:sz w:val="24"/>
          <w:szCs w:val="24"/>
        </w:rPr>
      </w:pPr>
      <w:r w:rsidRPr="006E3103">
        <w:rPr>
          <w:rFonts w:ascii="Times New Roman" w:hAnsi="Times New Roman"/>
          <w:b/>
          <w:sz w:val="24"/>
          <w:szCs w:val="24"/>
        </w:rPr>
        <w:lastRenderedPageBreak/>
        <w:t xml:space="preserve">Legal Lesson Learned:  The jury with $75 million judgment “sent a message” to Old Dominion Company and their truck driver that they must disclose hazardous materials to responders. </w:t>
      </w:r>
    </w:p>
    <w:p w14:paraId="0E656C0B" w14:textId="77777777" w:rsidR="006E3103" w:rsidRPr="00E63984" w:rsidRDefault="006E3103" w:rsidP="00E63984">
      <w:pPr>
        <w:rPr>
          <w:rFonts w:ascii="Times New Roman" w:hAnsi="Times New Roman"/>
          <w:sz w:val="24"/>
          <w:szCs w:val="24"/>
        </w:rPr>
      </w:pPr>
    </w:p>
    <w:p w14:paraId="5E1E9997" w14:textId="77777777" w:rsidR="00883B5F" w:rsidRDefault="00883B5F" w:rsidP="005D5A0C">
      <w:pPr>
        <w:rPr>
          <w:rFonts w:ascii="Arial Black" w:hAnsi="Arial Black"/>
          <w:sz w:val="24"/>
          <w:szCs w:val="24"/>
        </w:rPr>
      </w:pPr>
    </w:p>
    <w:p w14:paraId="1C41F4F1" w14:textId="3D6EC8EA" w:rsidR="00A56D83" w:rsidRDefault="00A56D83" w:rsidP="005D5A0C">
      <w:pPr>
        <w:rPr>
          <w:rFonts w:ascii="Arial Black" w:hAnsi="Arial Black"/>
          <w:sz w:val="24"/>
          <w:szCs w:val="24"/>
        </w:rPr>
      </w:pPr>
      <w:r>
        <w:rPr>
          <w:rFonts w:ascii="Arial Black" w:hAnsi="Arial Black"/>
          <w:sz w:val="24"/>
          <w:szCs w:val="24"/>
        </w:rPr>
        <w:t>2-86</w:t>
      </w:r>
    </w:p>
    <w:p w14:paraId="069AC4B2" w14:textId="77777777" w:rsidR="00186708" w:rsidRPr="00C31E7C" w:rsidRDefault="00186708" w:rsidP="00186708">
      <w:pPr>
        <w:rPr>
          <w:rFonts w:ascii="Arial Black" w:hAnsi="Arial Black"/>
          <w:bCs/>
          <w:sz w:val="28"/>
          <w:szCs w:val="28"/>
        </w:rPr>
      </w:pPr>
      <w:r>
        <w:rPr>
          <w:rFonts w:ascii="Arial Black" w:hAnsi="Arial Black"/>
          <w:sz w:val="28"/>
          <w:szCs w:val="28"/>
        </w:rPr>
        <w:t>NY:  HEAD</w:t>
      </w:r>
      <w:r>
        <w:rPr>
          <w:rFonts w:ascii="Arial Black" w:hAnsi="Arial Black"/>
          <w:bCs/>
          <w:sz w:val="28"/>
          <w:szCs w:val="28"/>
        </w:rPr>
        <w:t xml:space="preserve"> INJURY</w:t>
      </w:r>
      <w:r>
        <w:rPr>
          <w:rFonts w:ascii="Arial Black" w:hAnsi="Arial Black"/>
          <w:sz w:val="28"/>
          <w:szCs w:val="28"/>
        </w:rPr>
        <w:t xml:space="preserve"> – ENGINE HIT BUMP – ROAD REPAIR CO.</w:t>
      </w:r>
    </w:p>
    <w:p w14:paraId="7A789EB4" w14:textId="77777777" w:rsidR="00186708" w:rsidRPr="00186708" w:rsidRDefault="00186708" w:rsidP="00186708">
      <w:pPr>
        <w:rPr>
          <w:rFonts w:ascii="Times New Roman" w:hAnsi="Times New Roman"/>
          <w:b/>
          <w:sz w:val="24"/>
          <w:szCs w:val="24"/>
        </w:rPr>
      </w:pPr>
      <w:r w:rsidRPr="00186708">
        <w:rPr>
          <w:rFonts w:ascii="Times New Roman" w:hAnsi="Times New Roman"/>
          <w:sz w:val="24"/>
          <w:szCs w:val="24"/>
        </w:rPr>
        <w:t xml:space="preserve">On April 23, 2025, in </w:t>
      </w:r>
      <w:r w:rsidRPr="00186708">
        <w:rPr>
          <w:rFonts w:ascii="Times New Roman" w:hAnsi="Times New Roman"/>
          <w:sz w:val="24"/>
          <w:szCs w:val="24"/>
          <w:u w:val="single"/>
        </w:rPr>
        <w:t>Vincent Inglese, et al. v. City of New York and Vall Industries, Inc</w:t>
      </w:r>
      <w:r w:rsidRPr="00186708">
        <w:rPr>
          <w:rFonts w:ascii="Times New Roman" w:hAnsi="Times New Roman"/>
          <w:sz w:val="24"/>
          <w:szCs w:val="24"/>
        </w:rPr>
        <w:t xml:space="preserve">., the Supreme Court of New York, Second Department held (4 to 0) that trial court properly held that the injured FF may sue Vall Industries for personal injury suffered when his head hit the ceiling as the fire truck went over the raised section of road that Vall Industries was hired to repair.  The “Fireman’s Rule” was </w:t>
      </w:r>
      <w:r w:rsidRPr="00186708">
        <w:rPr>
          <w:rFonts w:ascii="Times New Roman" w:hAnsi="Times New Roman"/>
          <w:bCs/>
          <w:sz w:val="24"/>
          <w:szCs w:val="24"/>
        </w:rPr>
        <w:t xml:space="preserve">modified </w:t>
      </w:r>
      <w:r w:rsidRPr="00186708">
        <w:rPr>
          <w:rFonts w:ascii="Times New Roman" w:hAnsi="Times New Roman"/>
          <w:sz w:val="24"/>
          <w:szCs w:val="24"/>
        </w:rPr>
        <w:t xml:space="preserve">in New York.  </w:t>
      </w:r>
      <w:hyperlink r:id="rId411" w:history="1">
        <w:r w:rsidRPr="00186708">
          <w:rPr>
            <w:rStyle w:val="Hyperlink"/>
            <w:rFonts w:ascii="Times New Roman" w:hAnsi="Times New Roman"/>
            <w:sz w:val="24"/>
            <w:szCs w:val="24"/>
          </w:rPr>
          <w:t>https://law.justia.com/cases/new-york/appellate-division-second-department/2025/2023-00001.html</w:t>
        </w:r>
      </w:hyperlink>
      <w:r w:rsidRPr="00186708">
        <w:rPr>
          <w:rFonts w:ascii="Times New Roman" w:hAnsi="Times New Roman"/>
          <w:sz w:val="24"/>
          <w:szCs w:val="24"/>
        </w:rPr>
        <w:t xml:space="preserve"> </w:t>
      </w:r>
    </w:p>
    <w:p w14:paraId="1C32B199" w14:textId="77777777" w:rsidR="00883B5F" w:rsidRPr="00883B5F" w:rsidRDefault="00883B5F" w:rsidP="00883B5F">
      <w:pPr>
        <w:rPr>
          <w:b/>
          <w:bCs/>
          <w:sz w:val="24"/>
          <w:szCs w:val="24"/>
        </w:rPr>
      </w:pPr>
      <w:r w:rsidRPr="00883B5F">
        <w:rPr>
          <w:b/>
          <w:sz w:val="24"/>
          <w:szCs w:val="24"/>
        </w:rPr>
        <w:t xml:space="preserve">Legal Lesson Learned: A road repair company can be sued by the firefighter for negligence. </w:t>
      </w:r>
    </w:p>
    <w:p w14:paraId="2993CA02" w14:textId="77777777" w:rsidR="00A56D83" w:rsidRDefault="00A56D83" w:rsidP="005D5A0C">
      <w:pPr>
        <w:rPr>
          <w:rFonts w:ascii="Arial Black" w:hAnsi="Arial Black"/>
          <w:sz w:val="24"/>
          <w:szCs w:val="24"/>
        </w:rPr>
      </w:pPr>
    </w:p>
    <w:p w14:paraId="7556E1F0" w14:textId="295E8151" w:rsidR="008B2721" w:rsidRDefault="00742E47" w:rsidP="005D5A0C">
      <w:pPr>
        <w:rPr>
          <w:rFonts w:ascii="Arial Black" w:hAnsi="Arial Black"/>
          <w:sz w:val="24"/>
          <w:szCs w:val="24"/>
        </w:rPr>
      </w:pPr>
      <w:r>
        <w:rPr>
          <w:rFonts w:ascii="Arial Black" w:hAnsi="Arial Black"/>
          <w:sz w:val="24"/>
          <w:szCs w:val="24"/>
        </w:rPr>
        <w:t>2-85</w:t>
      </w:r>
    </w:p>
    <w:p w14:paraId="59DF50D8" w14:textId="77777777" w:rsidR="0022097E" w:rsidRPr="001A6210" w:rsidRDefault="0022097E" w:rsidP="0022097E">
      <w:pPr>
        <w:pStyle w:val="NoSpacing"/>
        <w:rPr>
          <w:rFonts w:ascii="Arial Black" w:hAnsi="Arial Black"/>
          <w:sz w:val="28"/>
          <w:szCs w:val="28"/>
        </w:rPr>
      </w:pPr>
      <w:r>
        <w:rPr>
          <w:rFonts w:ascii="Arial Black" w:hAnsi="Arial Black"/>
          <w:sz w:val="28"/>
          <w:szCs w:val="28"/>
        </w:rPr>
        <w:t>OH: DRIVER STRUCK / KILLED FF –16-YRS-LIFE – RE-SENT.</w:t>
      </w:r>
    </w:p>
    <w:p w14:paraId="672D5737" w14:textId="77777777" w:rsidR="0022097E" w:rsidRDefault="0022097E" w:rsidP="0022097E">
      <w:pPr>
        <w:pStyle w:val="NoSpacing"/>
      </w:pPr>
    </w:p>
    <w:p w14:paraId="5177D6A2" w14:textId="77777777" w:rsidR="0022097E" w:rsidRPr="0022097E" w:rsidRDefault="0022097E" w:rsidP="0022097E">
      <w:pPr>
        <w:pStyle w:val="NoSpacing"/>
        <w:rPr>
          <w:rFonts w:ascii="Times New Roman" w:hAnsi="Times New Roman"/>
          <w:sz w:val="24"/>
          <w:szCs w:val="24"/>
        </w:rPr>
      </w:pPr>
      <w:r w:rsidRPr="0022097E">
        <w:rPr>
          <w:rFonts w:ascii="Times New Roman" w:hAnsi="Times New Roman"/>
          <w:sz w:val="24"/>
          <w:szCs w:val="24"/>
        </w:rPr>
        <w:t xml:space="preserve">On April 14, 2025, in </w:t>
      </w:r>
      <w:r w:rsidRPr="0022097E">
        <w:rPr>
          <w:rFonts w:ascii="Times New Roman" w:hAnsi="Times New Roman"/>
          <w:sz w:val="24"/>
          <w:szCs w:val="24"/>
          <w:u w:val="single"/>
        </w:rPr>
        <w:t>State of Ohio v. Leander Bissell</w:t>
      </w:r>
      <w:r w:rsidRPr="0022097E">
        <w:rPr>
          <w:rFonts w:ascii="Times New Roman" w:hAnsi="Times New Roman"/>
          <w:sz w:val="24"/>
          <w:szCs w:val="24"/>
        </w:rPr>
        <w:t xml:space="preserve">, the Ohio Supreme Court declined to hear the State’s appeal [requires at least 4 of 7 Justices] after Court of Appeals set aside his felony murder conviction for lesser charge of involuntary manslaughter.  Bissell will be resentenced; he  is currently serving 16 years to life. Bissell on Nov. 19, </w:t>
      </w:r>
      <w:proofErr w:type="gramStart"/>
      <w:r w:rsidRPr="0022097E">
        <w:rPr>
          <w:rFonts w:ascii="Times New Roman" w:hAnsi="Times New Roman"/>
          <w:sz w:val="24"/>
          <w:szCs w:val="24"/>
        </w:rPr>
        <w:t>2022</w:t>
      </w:r>
      <w:proofErr w:type="gramEnd"/>
      <w:r w:rsidRPr="0022097E">
        <w:rPr>
          <w:rFonts w:ascii="Times New Roman" w:hAnsi="Times New Roman"/>
          <w:sz w:val="24"/>
          <w:szCs w:val="24"/>
        </w:rPr>
        <w:t xml:space="preserve"> at accident scene on I-90, in Cleveland drove through at a speed between 45 and 60 m.p.h., hitting and killing firefighter [Johnny] Tetrick. The impact knocked firefighter Tetrick across three lanes of traffic into the berm on the right side of the highway. Bissell did not stop and fled the scene.  On Nov 7, 2024,  the Eighth District Court of Appeals [2 to 1] vacated Bissell’s felony-murder conviction, modified the verdict to a finding of guilt on the lesser included offense of involuntary manslaughter under R.C. 2903.04(A), and remanded the matter to the trial court for resentencing. </w:t>
      </w:r>
      <w:hyperlink r:id="rId412" w:history="1">
        <w:r w:rsidRPr="0022097E">
          <w:rPr>
            <w:rStyle w:val="Hyperlink"/>
            <w:rFonts w:ascii="Times New Roman" w:hAnsi="Times New Roman"/>
            <w:sz w:val="24"/>
            <w:szCs w:val="24"/>
          </w:rPr>
          <w:t>https://www.supremecourt.ohio.gov/rod/docs/pdf/8/2024/2024-Ohio-5317.pdf</w:t>
        </w:r>
      </w:hyperlink>
      <w:r w:rsidRPr="0022097E">
        <w:rPr>
          <w:rFonts w:ascii="Times New Roman" w:hAnsi="Times New Roman"/>
          <w:sz w:val="24"/>
          <w:szCs w:val="24"/>
        </w:rPr>
        <w:t xml:space="preserve"> . </w:t>
      </w:r>
    </w:p>
    <w:p w14:paraId="7D71F624" w14:textId="77777777" w:rsidR="0022097E" w:rsidRDefault="0022097E" w:rsidP="0022097E">
      <w:pPr>
        <w:pStyle w:val="NoSpacing"/>
      </w:pPr>
      <w:r w:rsidRPr="0022097E">
        <w:rPr>
          <w:rFonts w:ascii="Times New Roman" w:hAnsi="Times New Roman"/>
          <w:sz w:val="24"/>
          <w:szCs w:val="24"/>
        </w:rPr>
        <w:t xml:space="preserve">On April 14, 2025, only three Ohio Supreme Court Justices agreed to hear the State’s appeal;  Justice Jennifer Brunner wrote a dissenting opinion.  </w:t>
      </w:r>
      <w:hyperlink r:id="rId413" w:history="1">
        <w:r w:rsidRPr="0022097E">
          <w:rPr>
            <w:rStyle w:val="Hyperlink"/>
            <w:rFonts w:ascii="Times New Roman" w:hAnsi="Times New Roman"/>
            <w:sz w:val="24"/>
            <w:szCs w:val="24"/>
          </w:rPr>
          <w:t>https://www.supremecourt.ohio.gov/rod/docs/pdf/0/2025/2025-Ohio-1296.pdf</w:t>
        </w:r>
      </w:hyperlink>
      <w:r>
        <w:t xml:space="preserve"> </w:t>
      </w:r>
    </w:p>
    <w:p w14:paraId="375AF909" w14:textId="77777777" w:rsidR="00A56D83" w:rsidRDefault="00A56D83" w:rsidP="0022097E">
      <w:pPr>
        <w:pStyle w:val="NoSpacing"/>
      </w:pPr>
    </w:p>
    <w:p w14:paraId="19D73359" w14:textId="77777777" w:rsidR="00A56D83" w:rsidRPr="00A56D83" w:rsidRDefault="00A56D83" w:rsidP="00A56D83">
      <w:pPr>
        <w:pStyle w:val="NoSpacing"/>
        <w:rPr>
          <w:rFonts w:ascii="Times New Roman" w:hAnsi="Times New Roman"/>
          <w:b/>
          <w:bCs/>
          <w:sz w:val="24"/>
          <w:szCs w:val="24"/>
        </w:rPr>
      </w:pPr>
      <w:r w:rsidRPr="00A56D83">
        <w:rPr>
          <w:rFonts w:ascii="Times New Roman" w:hAnsi="Times New Roman"/>
          <w:b/>
          <w:sz w:val="24"/>
          <w:szCs w:val="24"/>
        </w:rPr>
        <w:t xml:space="preserve">Legal Lesson Learned:  Hopefully the defendant gets a substantial new sentence. </w:t>
      </w:r>
    </w:p>
    <w:p w14:paraId="6FD9A5C9" w14:textId="77777777" w:rsidR="00A56D83" w:rsidRDefault="00A56D83" w:rsidP="00A56D83">
      <w:pPr>
        <w:pStyle w:val="NoSpacing"/>
        <w:rPr>
          <w:sz w:val="20"/>
          <w:szCs w:val="20"/>
        </w:rPr>
      </w:pPr>
    </w:p>
    <w:p w14:paraId="73082097" w14:textId="77777777" w:rsidR="00A56D83" w:rsidRDefault="00A56D83" w:rsidP="0022097E">
      <w:pPr>
        <w:pStyle w:val="NoSpacing"/>
      </w:pPr>
    </w:p>
    <w:p w14:paraId="17FCB57F" w14:textId="77777777" w:rsidR="0022097E" w:rsidRDefault="0022097E" w:rsidP="0022097E">
      <w:pPr>
        <w:pStyle w:val="NoSpacing"/>
      </w:pPr>
    </w:p>
    <w:p w14:paraId="1324022F" w14:textId="77777777" w:rsidR="00742E47" w:rsidRDefault="00742E47" w:rsidP="005D5A0C">
      <w:pPr>
        <w:rPr>
          <w:rFonts w:ascii="Arial Black" w:hAnsi="Arial Black"/>
          <w:sz w:val="24"/>
          <w:szCs w:val="24"/>
        </w:rPr>
      </w:pPr>
    </w:p>
    <w:p w14:paraId="13628548" w14:textId="06140CC0" w:rsidR="008B2721" w:rsidRDefault="008B2721" w:rsidP="005D5A0C">
      <w:pPr>
        <w:rPr>
          <w:rFonts w:ascii="Arial Black" w:hAnsi="Arial Black"/>
          <w:sz w:val="24"/>
          <w:szCs w:val="24"/>
        </w:rPr>
      </w:pPr>
      <w:r>
        <w:rPr>
          <w:rFonts w:ascii="Arial Black" w:hAnsi="Arial Black"/>
          <w:sz w:val="24"/>
          <w:szCs w:val="24"/>
        </w:rPr>
        <w:t>2-84</w:t>
      </w:r>
    </w:p>
    <w:p w14:paraId="114383A1" w14:textId="77777777" w:rsidR="0057078B" w:rsidRDefault="0057078B" w:rsidP="0057078B">
      <w:pPr>
        <w:pStyle w:val="NoSpacing"/>
        <w:rPr>
          <w:rFonts w:ascii="Arial Black" w:hAnsi="Arial Black"/>
          <w:bCs/>
          <w:sz w:val="28"/>
          <w:szCs w:val="28"/>
        </w:rPr>
      </w:pPr>
      <w:r>
        <w:rPr>
          <w:rFonts w:ascii="Arial Black" w:hAnsi="Arial Black"/>
          <w:sz w:val="28"/>
          <w:szCs w:val="28"/>
        </w:rPr>
        <w:t>KY: CSX DERAIL – FF MAY SUE – FIREMAN’S RULE NOT BAR</w:t>
      </w:r>
    </w:p>
    <w:p w14:paraId="661D7501" w14:textId="77777777" w:rsidR="0057078B" w:rsidRPr="0029038E" w:rsidRDefault="0057078B" w:rsidP="0057078B">
      <w:pPr>
        <w:pStyle w:val="NoSpacing"/>
        <w:rPr>
          <w:rFonts w:ascii="Times New Roman" w:hAnsi="Times New Roman"/>
          <w:bCs/>
          <w:sz w:val="24"/>
          <w:szCs w:val="24"/>
        </w:rPr>
      </w:pPr>
    </w:p>
    <w:p w14:paraId="131E8613" w14:textId="77777777" w:rsidR="0057078B" w:rsidRPr="0029038E" w:rsidRDefault="0057078B" w:rsidP="0057078B">
      <w:pPr>
        <w:pStyle w:val="NoSpacing"/>
        <w:rPr>
          <w:rFonts w:ascii="Times New Roman" w:hAnsi="Times New Roman"/>
          <w:bCs/>
          <w:sz w:val="24"/>
          <w:szCs w:val="24"/>
        </w:rPr>
      </w:pPr>
      <w:r w:rsidRPr="0029038E">
        <w:rPr>
          <w:rFonts w:ascii="Times New Roman" w:hAnsi="Times New Roman"/>
          <w:sz w:val="24"/>
          <w:szCs w:val="24"/>
        </w:rPr>
        <w:t xml:space="preserve">On March 28, 2025, in </w:t>
      </w:r>
      <w:r w:rsidRPr="0029038E">
        <w:rPr>
          <w:rFonts w:ascii="Times New Roman" w:hAnsi="Times New Roman"/>
          <w:sz w:val="24"/>
          <w:szCs w:val="24"/>
          <w:u w:val="single"/>
        </w:rPr>
        <w:t>Lauren Webb, et al. v. CSX Transportation, Inc.,</w:t>
      </w:r>
      <w:r w:rsidRPr="0029038E">
        <w:rPr>
          <w:rFonts w:ascii="Times New Roman" w:hAnsi="Times New Roman"/>
          <w:sz w:val="24"/>
          <w:szCs w:val="24"/>
        </w:rPr>
        <w:t xml:space="preserve"> U.S. District Court Judge Robert E. Wier, United States District Court, E.D. Kentucky, Southern Division, London, held that lawsuit by three </w:t>
      </w:r>
      <w:r w:rsidRPr="0029038E">
        <w:rPr>
          <w:rFonts w:ascii="Times New Roman" w:hAnsi="Times New Roman"/>
          <w:sz w:val="24"/>
          <w:szCs w:val="24"/>
        </w:rPr>
        <w:lastRenderedPageBreak/>
        <w:t xml:space="preserve">residents near the Nov. 22, 2023 derailment [hot bearing detectors didn’t alert train engineer] may proceed with pre-trial discovery, including Lauren Webb, “a local firefighter who assisted in the evacuation and spent ‘many hours’ at the crash site. She alleges her exposure to SO2 caused ‘sore throat, trouble breathing, headaches and a respiratory infection[,]’ as well as ‘ongoing pulmonary irritation and fear for the long-term consequences to her health’ given her status as an ‘immunocompromised individual.’” The Court rejected CSX argument that the KY Fireman’s Rule prohibits firefighter Webb from filing her claim for damages. </w:t>
      </w:r>
      <w:hyperlink r:id="rId414" w:history="1">
        <w:r w:rsidRPr="0029038E">
          <w:rPr>
            <w:rStyle w:val="Hyperlink"/>
            <w:rFonts w:ascii="Times New Roman" w:hAnsi="Times New Roman"/>
            <w:sz w:val="24"/>
            <w:szCs w:val="24"/>
          </w:rPr>
          <w:t>https://public.fastcase.com/jaEE2PXzRXmZ99jOLMt1IgoAeG7S%2FykfBuI6YcrwSiPTGWPBCOsZ9U9hhbKPvFCclEcN8%2BwauJ9ACloifFNsJP5SY607BhdVsV5o4yY4x1s%3D?utm_medium=email&amp;_hsenc=p2ANqtz-_cDTCyDUjf-GWGQHLWs90oLVQoI7WEBtlECxGBA_PvhPlM3MPPBeVtmuAidKContkLHE5q5E9gdRGYeBGS5gCqwJlBfg&amp;_hsmi=226712652&amp;utm_content=226712652&amp;utm_source=hs_email</w:t>
        </w:r>
      </w:hyperlink>
      <w:r w:rsidRPr="0029038E">
        <w:rPr>
          <w:rFonts w:ascii="Times New Roman" w:hAnsi="Times New Roman"/>
          <w:sz w:val="24"/>
          <w:szCs w:val="24"/>
        </w:rPr>
        <w:t xml:space="preserve">  </w:t>
      </w:r>
    </w:p>
    <w:p w14:paraId="150A5129" w14:textId="77777777" w:rsidR="0057078B" w:rsidRPr="0029038E" w:rsidRDefault="0057078B" w:rsidP="0057078B">
      <w:pPr>
        <w:pStyle w:val="NoSpacing"/>
        <w:rPr>
          <w:rFonts w:ascii="Times New Roman" w:hAnsi="Times New Roman"/>
          <w:bCs/>
          <w:sz w:val="24"/>
          <w:szCs w:val="24"/>
        </w:rPr>
      </w:pPr>
    </w:p>
    <w:p w14:paraId="0D215252" w14:textId="77777777" w:rsidR="0029038E" w:rsidRPr="0029038E" w:rsidRDefault="0029038E" w:rsidP="0029038E">
      <w:pPr>
        <w:pStyle w:val="NoSpacing"/>
        <w:rPr>
          <w:rFonts w:ascii="Times New Roman" w:hAnsi="Times New Roman"/>
          <w:b/>
          <w:sz w:val="24"/>
          <w:szCs w:val="24"/>
        </w:rPr>
      </w:pPr>
      <w:r w:rsidRPr="0029038E">
        <w:rPr>
          <w:rFonts w:ascii="Times New Roman" w:hAnsi="Times New Roman"/>
          <w:b/>
          <w:sz w:val="24"/>
          <w:szCs w:val="24"/>
        </w:rPr>
        <w:t xml:space="preserve">Legal Lesson Learned: The firefighter and her two neighbors may now proceed with pre-trial discovery.  </w:t>
      </w:r>
    </w:p>
    <w:p w14:paraId="525FC8EA" w14:textId="77777777" w:rsidR="0029038E" w:rsidRPr="0029038E" w:rsidRDefault="0029038E" w:rsidP="0029038E">
      <w:pPr>
        <w:pStyle w:val="NoSpacing"/>
        <w:rPr>
          <w:rFonts w:ascii="Times New Roman" w:hAnsi="Times New Roman"/>
          <w:b/>
          <w:sz w:val="24"/>
          <w:szCs w:val="24"/>
        </w:rPr>
      </w:pPr>
    </w:p>
    <w:p w14:paraId="3FAB8A88"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 xml:space="preserve">Note:  See April 25, </w:t>
      </w:r>
      <w:proofErr w:type="gramStart"/>
      <w:r w:rsidRPr="0029038E">
        <w:rPr>
          <w:rFonts w:ascii="Times New Roman" w:hAnsi="Times New Roman"/>
          <w:sz w:val="24"/>
          <w:szCs w:val="24"/>
        </w:rPr>
        <w:t>2024</w:t>
      </w:r>
      <w:proofErr w:type="gramEnd"/>
      <w:r w:rsidRPr="0029038E">
        <w:rPr>
          <w:rFonts w:ascii="Times New Roman" w:hAnsi="Times New Roman"/>
          <w:sz w:val="24"/>
          <w:szCs w:val="24"/>
        </w:rPr>
        <w:t xml:space="preserve"> lawsuit involving massive train derailment and failure of hot bearing detectors;  February 3, 2023, a 149-car Norfolk Southern train derailed in East Palestine, Ohio.  </w:t>
      </w:r>
      <w:hyperlink r:id="rId415" w:history="1">
        <w:r w:rsidRPr="0029038E">
          <w:rPr>
            <w:rStyle w:val="Hyperlink"/>
            <w:rFonts w:ascii="Times New Roman" w:hAnsi="Times New Roman"/>
            <w:sz w:val="24"/>
            <w:szCs w:val="24"/>
          </w:rPr>
          <w:t>https://www.ktmc.com/featured-case/norfolk-southern-corporation</w:t>
        </w:r>
      </w:hyperlink>
      <w:r w:rsidRPr="0029038E">
        <w:rPr>
          <w:rFonts w:ascii="Times New Roman" w:hAnsi="Times New Roman"/>
          <w:sz w:val="24"/>
          <w:szCs w:val="24"/>
        </w:rPr>
        <w:t xml:space="preserve"> </w:t>
      </w:r>
    </w:p>
    <w:p w14:paraId="32EE4EDC" w14:textId="77777777" w:rsidR="0029038E" w:rsidRPr="0029038E" w:rsidRDefault="0029038E" w:rsidP="0029038E">
      <w:pPr>
        <w:pStyle w:val="NoSpacing"/>
        <w:ind w:left="720"/>
        <w:rPr>
          <w:rFonts w:ascii="Times New Roman" w:hAnsi="Times New Roman"/>
          <w:sz w:val="24"/>
          <w:szCs w:val="24"/>
        </w:rPr>
      </w:pPr>
    </w:p>
    <w:p w14:paraId="7B542463"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“As Train 32N neared East Palestine, it passed an HBD registering a journal bearing on the 23rd car that was running 38°F above ambient temperature. Just ten miles later, the next HBD indicated that same bearing was running 65ºF hotter at 103°F above ambient</w:t>
      </w:r>
    </w:p>
    <w:p w14:paraId="6604DB54"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temperature – an increase of nearly 200%. The train’s crew was unaware of the 65°F temperature increase and was not told to stop. In fact, the single Norfolk Southern employee operating Norfolk Southern’s Wayside Detector Help Desk, which monitors HBD alerts for the Company’s entire rail system from a desk in Atlanta, was attending to three other alerts at the time and missed the alert on Train 32N. Twenty miles later, the train passed a third and final HBD, which recorded that the same journal bearing had</w:t>
      </w:r>
    </w:p>
    <w:p w14:paraId="635F1EF9"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reached a temperature of 253°F above ambient. Only at this point did the train crew</w:t>
      </w:r>
    </w:p>
    <w:p w14:paraId="53342127"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receive an alarm to slow the train to inspect the hot axle, but seconds later, the</w:t>
      </w:r>
    </w:p>
    <w:p w14:paraId="11E8C830"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automatic emergency brake initiated. When the train stopped, 38 cars had derailed,</w:t>
      </w:r>
    </w:p>
    <w:p w14:paraId="2A5485F2"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and the train, including cars containing vinyl chloride, was on fire.”</w:t>
      </w:r>
    </w:p>
    <w:p w14:paraId="27F800C5" w14:textId="77777777" w:rsidR="008B2721" w:rsidRDefault="008B2721" w:rsidP="005D5A0C">
      <w:pPr>
        <w:rPr>
          <w:rFonts w:ascii="Arial Black" w:hAnsi="Arial Black"/>
          <w:sz w:val="24"/>
          <w:szCs w:val="24"/>
        </w:rPr>
      </w:pPr>
    </w:p>
    <w:p w14:paraId="3A8CEA66" w14:textId="77777777" w:rsidR="008B2721" w:rsidRDefault="008B2721" w:rsidP="005D5A0C">
      <w:pPr>
        <w:rPr>
          <w:rFonts w:ascii="Arial Black" w:hAnsi="Arial Black"/>
          <w:sz w:val="24"/>
          <w:szCs w:val="24"/>
        </w:rPr>
      </w:pPr>
    </w:p>
    <w:p w14:paraId="652B0EC4" w14:textId="0E4FB8B1" w:rsidR="008B2721" w:rsidRDefault="008B2721" w:rsidP="005D5A0C">
      <w:pPr>
        <w:rPr>
          <w:rFonts w:ascii="Arial Black" w:hAnsi="Arial Black"/>
          <w:sz w:val="24"/>
          <w:szCs w:val="24"/>
        </w:rPr>
      </w:pPr>
      <w:r>
        <w:rPr>
          <w:rFonts w:ascii="Arial Black" w:hAnsi="Arial Black"/>
          <w:sz w:val="24"/>
          <w:szCs w:val="24"/>
        </w:rPr>
        <w:t>2-83</w:t>
      </w:r>
    </w:p>
    <w:p w14:paraId="1E21E502" w14:textId="77777777" w:rsidR="008B2721" w:rsidRPr="00CB1316" w:rsidRDefault="008B2721" w:rsidP="008B2721">
      <w:pPr>
        <w:pStyle w:val="NoSpacing"/>
        <w:rPr>
          <w:rFonts w:ascii="Arial Black" w:hAnsi="Arial Black"/>
          <w:bCs/>
          <w:sz w:val="28"/>
          <w:szCs w:val="28"/>
        </w:rPr>
      </w:pPr>
      <w:r>
        <w:rPr>
          <w:rFonts w:ascii="Arial Black" w:hAnsi="Arial Black"/>
          <w:sz w:val="28"/>
          <w:szCs w:val="28"/>
        </w:rPr>
        <w:t>VA: RECRUIT DIED – ANONYMOUS LETTER – HOSTILE WORK</w:t>
      </w:r>
    </w:p>
    <w:p w14:paraId="155B42BD" w14:textId="77777777" w:rsidR="008B2721" w:rsidRDefault="008B2721" w:rsidP="008B2721">
      <w:pPr>
        <w:pStyle w:val="NoSpacing"/>
        <w:rPr>
          <w:bCs/>
        </w:rPr>
      </w:pPr>
    </w:p>
    <w:p w14:paraId="691C0B4C" w14:textId="77777777" w:rsidR="008B2721" w:rsidRPr="008B2721" w:rsidRDefault="008B2721" w:rsidP="008B2721">
      <w:pPr>
        <w:pStyle w:val="NoSpacing"/>
        <w:rPr>
          <w:rFonts w:ascii="Times New Roman" w:hAnsi="Times New Roman"/>
          <w:bCs/>
          <w:sz w:val="24"/>
          <w:szCs w:val="24"/>
        </w:rPr>
      </w:pPr>
      <w:r w:rsidRPr="008B2721">
        <w:rPr>
          <w:rFonts w:ascii="Times New Roman" w:hAnsi="Times New Roman"/>
          <w:sz w:val="24"/>
          <w:szCs w:val="24"/>
        </w:rPr>
        <w:t xml:space="preserve">On March 25, 2025, in </w:t>
      </w:r>
      <w:r w:rsidRPr="008B2721">
        <w:rPr>
          <w:rFonts w:ascii="Times New Roman" w:hAnsi="Times New Roman"/>
          <w:sz w:val="24"/>
          <w:szCs w:val="24"/>
          <w:u w:val="single"/>
        </w:rPr>
        <w:t>Casey Blake v. Frederick County Fire and Rescue Dept. et al</w:t>
      </w:r>
      <w:r w:rsidRPr="008B2721">
        <w:rPr>
          <w:rFonts w:ascii="Times New Roman" w:hAnsi="Times New Roman"/>
          <w:sz w:val="24"/>
          <w:szCs w:val="24"/>
        </w:rPr>
        <w:t xml:space="preserve">,  U.S. District Court Judge Jasmine H. Yoon, U.S. District Court for the Western District of Virginia, Harrisonburg Division, held that the lawsuit filed by Casey Blake, administrative assistant to the former Fire Chief, who wrote an anonymous letter, may proceed with her hostile workplace lawsuit against the current Fire Chief, and the County Administrator.  Ms. Blake alleges retaliation when the Chief learned she had written an anonymous letter to the family of a recruit, Ian Strickler, who died on July 5, </w:t>
      </w:r>
      <w:proofErr w:type="gramStart"/>
      <w:r w:rsidRPr="008B2721">
        <w:rPr>
          <w:rFonts w:ascii="Times New Roman" w:hAnsi="Times New Roman"/>
          <w:sz w:val="24"/>
          <w:szCs w:val="24"/>
        </w:rPr>
        <w:t>2023</w:t>
      </w:r>
      <w:proofErr w:type="gramEnd"/>
      <w:r w:rsidRPr="008B2721">
        <w:rPr>
          <w:rFonts w:ascii="Times New Roman" w:hAnsi="Times New Roman"/>
          <w:sz w:val="24"/>
          <w:szCs w:val="24"/>
        </w:rPr>
        <w:t xml:space="preserve"> during physical training.  She encouraged them to hire an attorney and investigate the recruit training officer. “Strickler’s heart rate measured at over 200 beats-per-minute before he collapsed, and his body temperature was recorded at 104 degrees Fahrenheit.”  Ms. Blake’s own son, Nick Blake, had to drop out of recruit school on March 3, </w:t>
      </w:r>
      <w:proofErr w:type="gramStart"/>
      <w:r w:rsidRPr="008B2721">
        <w:rPr>
          <w:rFonts w:ascii="Times New Roman" w:hAnsi="Times New Roman"/>
          <w:sz w:val="24"/>
          <w:szCs w:val="24"/>
        </w:rPr>
        <w:t>2022</w:t>
      </w:r>
      <w:proofErr w:type="gramEnd"/>
      <w:r w:rsidRPr="008B2721">
        <w:rPr>
          <w:rFonts w:ascii="Times New Roman" w:hAnsi="Times New Roman"/>
          <w:sz w:val="24"/>
          <w:szCs w:val="24"/>
        </w:rPr>
        <w:t xml:space="preserve"> when he had medical emergency during recruit class run with same training officer in charge of Ian Strickler class. </w:t>
      </w:r>
    </w:p>
    <w:p w14:paraId="73EA5D1D" w14:textId="77777777" w:rsidR="008B2721" w:rsidRPr="008B2721" w:rsidRDefault="008B2721" w:rsidP="008B2721">
      <w:pPr>
        <w:pStyle w:val="NoSpacing"/>
        <w:rPr>
          <w:rFonts w:ascii="Times New Roman" w:hAnsi="Times New Roman"/>
          <w:bCs/>
          <w:sz w:val="24"/>
          <w:szCs w:val="24"/>
        </w:rPr>
      </w:pPr>
    </w:p>
    <w:p w14:paraId="01032111"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lastRenderedPageBreak/>
        <w:t xml:space="preserve">“In Count I, Blake asserts a claim for a declaratory judgment against [Fire Chief </w:t>
      </w:r>
      <w:proofErr w:type="spellStart"/>
      <w:r w:rsidRPr="008B2721">
        <w:rPr>
          <w:rFonts w:ascii="Times New Roman" w:hAnsi="Times New Roman"/>
          <w:sz w:val="24"/>
          <w:szCs w:val="24"/>
        </w:rPr>
        <w:t>tephen</w:t>
      </w:r>
      <w:proofErr w:type="spellEnd"/>
      <w:r w:rsidRPr="008B2721">
        <w:rPr>
          <w:rFonts w:ascii="Times New Roman" w:hAnsi="Times New Roman"/>
          <w:sz w:val="24"/>
          <w:szCs w:val="24"/>
        </w:rPr>
        <w:t>] Majchrzak and [County Administrator Michael] Bollhoefer…. Here, Blake’s allegations describe a real and substantial injury: a hostile workplace and damage to her reputation. In addition, Blake alleges that the controversy remains ongoing, as she claims that she continues to experience a hostile work environment, limited job responsibilities, and active monitoring by an administrator as she works from home…. Blake’s requested declaration would have a concrete remedial effect, as she continues to work from home in the same position. Accepting Blake’s allegations as true, the challenged retaliatory conduct by Defendants has not been rectified, thus is not past conduct, and a declaration regarding its constitutionality would not be advisory. As a result, Defendants’ argument on this issue fails.</w:t>
      </w:r>
    </w:p>
    <w:p w14:paraId="701842A5" w14:textId="77777777" w:rsidR="008B2721" w:rsidRPr="008B2721" w:rsidRDefault="008B2721" w:rsidP="008B2721">
      <w:pPr>
        <w:pStyle w:val="NoSpacing"/>
        <w:ind w:left="720"/>
        <w:rPr>
          <w:rFonts w:ascii="Times New Roman" w:hAnsi="Times New Roman"/>
          <w:bCs/>
          <w:sz w:val="24"/>
          <w:szCs w:val="24"/>
        </w:rPr>
      </w:pPr>
    </w:p>
    <w:p w14:paraId="6DC199FE"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w:t>
      </w:r>
    </w:p>
    <w:p w14:paraId="373D99CA" w14:textId="77777777" w:rsidR="008B2721" w:rsidRPr="008B2721" w:rsidRDefault="008B2721" w:rsidP="008B2721">
      <w:pPr>
        <w:pStyle w:val="NoSpacing"/>
        <w:rPr>
          <w:rFonts w:ascii="Times New Roman" w:hAnsi="Times New Roman"/>
          <w:bCs/>
          <w:sz w:val="24"/>
          <w:szCs w:val="24"/>
        </w:rPr>
      </w:pPr>
    </w:p>
    <w:p w14:paraId="51419F3E"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[Count II - First Amendment retaliation]  Blake responds by pointing to her allegations that Majchrzak limited Blake’s job duties and responsibilities, prevented her from attending staff meetings, and turned her co-workers against her by facilitating a hostile work environment…. Blake has sufficiently alleged retaliatory acts that are more than de minimis or trivial. … Blake alleged that Majchrzak purposefully excluded her from attending meetings by moving the meeting’s physical location and avoided her….  And Majchrzak took steps to reduce Blake’s job responsibilities by managing his own schedule…. Over time, Blake claims that she was deprived of many of her job duties. … As a result, the court will deny Defendants’ motions to dismiss Count II.”</w:t>
      </w:r>
    </w:p>
    <w:p w14:paraId="5D86E497"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w:t>
      </w:r>
    </w:p>
    <w:p w14:paraId="1AFC513F" w14:textId="77777777" w:rsidR="008B2721" w:rsidRPr="008B2721" w:rsidRDefault="008B2721" w:rsidP="008B2721">
      <w:pPr>
        <w:pStyle w:val="NoSpacing"/>
        <w:rPr>
          <w:rFonts w:ascii="Times New Roman" w:hAnsi="Times New Roman"/>
          <w:bCs/>
          <w:sz w:val="24"/>
          <w:szCs w:val="24"/>
        </w:rPr>
      </w:pPr>
    </w:p>
    <w:p w14:paraId="5CC58FF0"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 xml:space="preserve">[Court dismissed other claims, including Intentional Infliction of Emotional Distress claim.] The court finds that the alleged conduct from Majchrzak and Bollhoefer does not rise to the level of ‘outrageous and intolerable.’ Although unprofessional and indecorous, Defendants’ alleged efforts to ostracize her at work, limit her job responsibilities, and exclude her from meetings do not meet the high bar Virginia law requires.” </w:t>
      </w:r>
    </w:p>
    <w:p w14:paraId="222FD0EB" w14:textId="77777777" w:rsidR="008B2721" w:rsidRPr="008B2721" w:rsidRDefault="008B2721" w:rsidP="008B2721">
      <w:pPr>
        <w:pStyle w:val="NoSpacing"/>
        <w:ind w:left="720"/>
        <w:rPr>
          <w:rFonts w:ascii="Times New Roman" w:hAnsi="Times New Roman"/>
          <w:bCs/>
          <w:sz w:val="24"/>
          <w:szCs w:val="24"/>
        </w:rPr>
      </w:pPr>
    </w:p>
    <w:p w14:paraId="6BA52E9D" w14:textId="77777777" w:rsidR="00B404C3" w:rsidRPr="00B404C3" w:rsidRDefault="00B404C3" w:rsidP="00B404C3">
      <w:pPr>
        <w:pStyle w:val="NoSpacing"/>
        <w:rPr>
          <w:rFonts w:ascii="Times New Roman" w:hAnsi="Times New Roman"/>
          <w:b/>
          <w:sz w:val="24"/>
          <w:szCs w:val="24"/>
        </w:rPr>
      </w:pPr>
      <w:r w:rsidRPr="00B404C3">
        <w:rPr>
          <w:rFonts w:ascii="Times New Roman" w:hAnsi="Times New Roman"/>
          <w:b/>
          <w:sz w:val="24"/>
          <w:szCs w:val="24"/>
        </w:rPr>
        <w:t xml:space="preserve">Legal Lesson Learned: The case will now proceed to pre-trial discovery; carefully review your protocols on medical exams for recruits and their fitness testing. </w:t>
      </w:r>
    </w:p>
    <w:p w14:paraId="6C96C690" w14:textId="77777777" w:rsidR="008B2721" w:rsidRDefault="008B2721" w:rsidP="008B2721">
      <w:pPr>
        <w:pStyle w:val="NoSpacing"/>
        <w:ind w:left="720"/>
        <w:rPr>
          <w:bCs/>
        </w:rPr>
      </w:pPr>
    </w:p>
    <w:p w14:paraId="28E2C164" w14:textId="77777777" w:rsidR="008B2721" w:rsidRDefault="008B2721" w:rsidP="005D5A0C">
      <w:pPr>
        <w:rPr>
          <w:rFonts w:ascii="Arial Black" w:hAnsi="Arial Black"/>
          <w:sz w:val="24"/>
          <w:szCs w:val="24"/>
        </w:rPr>
      </w:pPr>
    </w:p>
    <w:p w14:paraId="69BCB69F" w14:textId="77777777" w:rsidR="008B2721" w:rsidRDefault="008B2721" w:rsidP="005D5A0C">
      <w:pPr>
        <w:rPr>
          <w:rFonts w:ascii="Arial Black" w:hAnsi="Arial Black"/>
          <w:sz w:val="24"/>
          <w:szCs w:val="24"/>
        </w:rPr>
      </w:pPr>
    </w:p>
    <w:p w14:paraId="6E9B4DA7" w14:textId="3FE25AA8" w:rsidR="00042223" w:rsidRDefault="00042223" w:rsidP="005D5A0C">
      <w:pPr>
        <w:rPr>
          <w:rFonts w:ascii="Arial Black" w:hAnsi="Arial Black"/>
          <w:sz w:val="24"/>
          <w:szCs w:val="24"/>
        </w:rPr>
      </w:pPr>
      <w:r>
        <w:rPr>
          <w:rFonts w:ascii="Arial Black" w:hAnsi="Arial Black"/>
          <w:sz w:val="24"/>
          <w:szCs w:val="24"/>
        </w:rPr>
        <w:t>2-82</w:t>
      </w:r>
    </w:p>
    <w:p w14:paraId="7436A6A9" w14:textId="77777777" w:rsidR="00042223" w:rsidRPr="000B7F2C" w:rsidRDefault="00042223" w:rsidP="00042223">
      <w:pPr>
        <w:rPr>
          <w:rFonts w:ascii="Arial Black" w:hAnsi="Arial Black"/>
          <w:b/>
          <w:sz w:val="28"/>
          <w:szCs w:val="28"/>
        </w:rPr>
      </w:pPr>
      <w:r w:rsidRPr="000B7F2C">
        <w:rPr>
          <w:rFonts w:ascii="Arial Black" w:hAnsi="Arial Black"/>
          <w:b/>
          <w:sz w:val="28"/>
          <w:szCs w:val="28"/>
        </w:rPr>
        <w:t>MS: LT MURDERED</w:t>
      </w:r>
      <w:r>
        <w:rPr>
          <w:rFonts w:ascii="Arial Black" w:hAnsi="Arial Black"/>
          <w:b/>
          <w:sz w:val="28"/>
          <w:szCs w:val="28"/>
        </w:rPr>
        <w:t xml:space="preserve"> - </w:t>
      </w:r>
      <w:r w:rsidRPr="000B7F2C">
        <w:rPr>
          <w:rFonts w:ascii="Arial Black" w:hAnsi="Arial Black"/>
          <w:b/>
          <w:sz w:val="28"/>
          <w:szCs w:val="28"/>
        </w:rPr>
        <w:t xml:space="preserve">HALF BROTHER – CONV. </w:t>
      </w:r>
      <w:r>
        <w:rPr>
          <w:rFonts w:ascii="Arial Black" w:hAnsi="Arial Black"/>
          <w:b/>
          <w:sz w:val="28"/>
          <w:szCs w:val="28"/>
        </w:rPr>
        <w:t>AFFIRMED</w:t>
      </w:r>
    </w:p>
    <w:p w14:paraId="6FA49322" w14:textId="77777777" w:rsidR="00042223" w:rsidRPr="00042223" w:rsidRDefault="00042223" w:rsidP="00042223">
      <w:pPr>
        <w:rPr>
          <w:rFonts w:ascii="Times New Roman" w:hAnsi="Times New Roman"/>
          <w:bCs/>
          <w:sz w:val="24"/>
          <w:szCs w:val="24"/>
        </w:rPr>
      </w:pPr>
      <w:r w:rsidRPr="00042223">
        <w:rPr>
          <w:rFonts w:ascii="Times New Roman" w:hAnsi="Times New Roman"/>
          <w:sz w:val="24"/>
          <w:szCs w:val="24"/>
        </w:rPr>
        <w:t xml:space="preserve">On Feb. 20, 2025, in </w:t>
      </w:r>
      <w:r w:rsidRPr="00042223">
        <w:rPr>
          <w:rFonts w:ascii="Times New Roman" w:hAnsi="Times New Roman"/>
          <w:sz w:val="24"/>
          <w:szCs w:val="24"/>
          <w:u w:val="single"/>
        </w:rPr>
        <w:t>Terrance Watts v. State of Mississippi</w:t>
      </w:r>
      <w:r w:rsidRPr="00042223">
        <w:rPr>
          <w:rFonts w:ascii="Times New Roman" w:hAnsi="Times New Roman"/>
          <w:sz w:val="24"/>
          <w:szCs w:val="24"/>
        </w:rPr>
        <w:t xml:space="preserve">, the Supreme Court of Mississippi held (3 to 0) that the defendants </w:t>
      </w:r>
      <w:proofErr w:type="gramStart"/>
      <w:r w:rsidRPr="00042223">
        <w:rPr>
          <w:rFonts w:ascii="Times New Roman" w:hAnsi="Times New Roman"/>
          <w:sz w:val="24"/>
          <w:szCs w:val="24"/>
        </w:rPr>
        <w:t>was</w:t>
      </w:r>
      <w:proofErr w:type="gramEnd"/>
      <w:r w:rsidRPr="00042223">
        <w:rPr>
          <w:rFonts w:ascii="Times New Roman" w:hAnsi="Times New Roman"/>
          <w:sz w:val="24"/>
          <w:szCs w:val="24"/>
        </w:rPr>
        <w:t xml:space="preserve"> properly convicted by a jury of first degree </w:t>
      </w:r>
      <w:proofErr w:type="gramStart"/>
      <w:r w:rsidRPr="00042223">
        <w:rPr>
          <w:rFonts w:ascii="Times New Roman" w:hAnsi="Times New Roman"/>
          <w:sz w:val="24"/>
          <w:szCs w:val="24"/>
        </w:rPr>
        <w:t>murder, and</w:t>
      </w:r>
      <w:proofErr w:type="gramEnd"/>
      <w:r w:rsidRPr="00042223">
        <w:rPr>
          <w:rFonts w:ascii="Times New Roman" w:hAnsi="Times New Roman"/>
          <w:sz w:val="24"/>
          <w:szCs w:val="24"/>
        </w:rPr>
        <w:t xml:space="preserve"> sentenced by the judge to life imprisonment. “Around 8:00 a.m., Watts turned himself in at the Flora Police Department. Watts agreed to be interviewed by McNeal. During the video and audio recording of the interview, Watts recounted that he had just met Williams after finding out they were </w:t>
      </w:r>
      <w:proofErr w:type="spellStart"/>
      <w:r w:rsidRPr="00042223">
        <w:rPr>
          <w:rFonts w:ascii="Times New Roman" w:hAnsi="Times New Roman"/>
          <w:sz w:val="24"/>
          <w:szCs w:val="24"/>
        </w:rPr>
        <w:t>half brothers</w:t>
      </w:r>
      <w:proofErr w:type="spellEnd"/>
      <w:r w:rsidRPr="00042223">
        <w:rPr>
          <w:rFonts w:ascii="Times New Roman" w:hAnsi="Times New Roman"/>
          <w:sz w:val="24"/>
          <w:szCs w:val="24"/>
        </w:rPr>
        <w:t xml:space="preserve">. Williams </w:t>
      </w:r>
      <w:proofErr w:type="gramStart"/>
      <w:r w:rsidRPr="00042223">
        <w:rPr>
          <w:rFonts w:ascii="Times New Roman" w:hAnsi="Times New Roman"/>
          <w:sz w:val="24"/>
          <w:szCs w:val="24"/>
        </w:rPr>
        <w:t>had met</w:t>
      </w:r>
      <w:proofErr w:type="gramEnd"/>
      <w:r w:rsidRPr="00042223">
        <w:rPr>
          <w:rFonts w:ascii="Times New Roman" w:hAnsi="Times New Roman"/>
          <w:sz w:val="24"/>
          <w:szCs w:val="24"/>
        </w:rPr>
        <w:t xml:space="preserve"> up with Watts on March 22, 2020, to get to know each </w:t>
      </w:r>
      <w:proofErr w:type="gramStart"/>
      <w:r w:rsidRPr="00042223">
        <w:rPr>
          <w:rFonts w:ascii="Times New Roman" w:hAnsi="Times New Roman"/>
          <w:sz w:val="24"/>
          <w:szCs w:val="24"/>
        </w:rPr>
        <w:t>other.”</w:t>
      </w:r>
      <w:proofErr w:type="gramEnd"/>
      <w:r w:rsidRPr="00042223">
        <w:rPr>
          <w:rFonts w:ascii="Times New Roman" w:hAnsi="Times New Roman"/>
          <w:sz w:val="24"/>
          <w:szCs w:val="24"/>
        </w:rPr>
        <w:t xml:space="preserve">  </w:t>
      </w:r>
      <w:hyperlink r:id="rId416" w:history="1">
        <w:r w:rsidRPr="00042223">
          <w:rPr>
            <w:rStyle w:val="Hyperlink"/>
            <w:rFonts w:ascii="Times New Roman" w:hAnsi="Times New Roman"/>
            <w:sz w:val="24"/>
            <w:szCs w:val="24"/>
          </w:rPr>
          <w:t>https://www.courts.ms.gov/images/Opinions/CO182132.pdf</w:t>
        </w:r>
      </w:hyperlink>
      <w:r w:rsidRPr="00042223">
        <w:rPr>
          <w:rFonts w:ascii="Times New Roman" w:hAnsi="Times New Roman"/>
          <w:sz w:val="24"/>
          <w:szCs w:val="24"/>
        </w:rPr>
        <w:t xml:space="preserve"> </w:t>
      </w:r>
    </w:p>
    <w:p w14:paraId="17AD755E" w14:textId="77777777" w:rsidR="00042223" w:rsidRPr="00042223" w:rsidRDefault="00042223" w:rsidP="00042223">
      <w:pPr>
        <w:rPr>
          <w:rFonts w:ascii="Times New Roman" w:hAnsi="Times New Roman"/>
          <w:bCs/>
          <w:sz w:val="24"/>
          <w:szCs w:val="24"/>
        </w:rPr>
      </w:pPr>
      <w:r w:rsidRPr="00042223">
        <w:rPr>
          <w:rFonts w:ascii="Times New Roman" w:hAnsi="Times New Roman"/>
          <w:sz w:val="24"/>
          <w:szCs w:val="24"/>
        </w:rPr>
        <w:t>The Court held:</w:t>
      </w:r>
    </w:p>
    <w:p w14:paraId="747C4DEB"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“Shortly after midnight on March 23, 2020, Crime Scene Investigator Andrew Harris</w:t>
      </w:r>
    </w:p>
    <w:p w14:paraId="5FC6281B"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of the Jackson Police Department (JPD) was dispatched to a shooting at a Marathon gas</w:t>
      </w:r>
    </w:p>
    <w:p w14:paraId="4FFD77D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lastRenderedPageBreak/>
        <w:t>station on Hanging Moss Road. Harris photographed the scene and collected evidence.</w:t>
      </w:r>
    </w:p>
    <w:p w14:paraId="49EB3963"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Several of Harris’s photographs depicted a deceased male lying on the ground with a gunshot wound to his head.</w:t>
      </w:r>
    </w:p>
    <w:p w14:paraId="60057357" w14:textId="77777777" w:rsidR="00042223" w:rsidRPr="00042223" w:rsidRDefault="00042223" w:rsidP="00042223">
      <w:pPr>
        <w:pStyle w:val="NoSpacing"/>
        <w:rPr>
          <w:rFonts w:ascii="Times New Roman" w:hAnsi="Times New Roman"/>
          <w:bCs/>
          <w:sz w:val="24"/>
          <w:szCs w:val="24"/>
        </w:rPr>
      </w:pPr>
    </w:p>
    <w:p w14:paraId="4C26AB6B"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028B0769"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Also dispatched to the Marathon was Kevin McNeal, who was a detective with JPD</w:t>
      </w:r>
    </w:p>
    <w:p w14:paraId="2AA7EAF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 xml:space="preserve">at the time. McNeal obtained the surveillance footage from the Marathon. These </w:t>
      </w:r>
      <w:proofErr w:type="gramStart"/>
      <w:r w:rsidRPr="00042223">
        <w:rPr>
          <w:rFonts w:ascii="Times New Roman" w:hAnsi="Times New Roman"/>
          <w:sz w:val="24"/>
          <w:szCs w:val="24"/>
        </w:rPr>
        <w:t>video</w:t>
      </w:r>
      <w:proofErr w:type="gramEnd"/>
    </w:p>
    <w:p w14:paraId="06EDB278"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recordings were played in front of the jury. McNeal also spoke with the firemen who</w:t>
      </w:r>
    </w:p>
    <w:p w14:paraId="67E45A91"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responded to the shooting and was informed that Williams had visited Jackson Fire Station Number 20 on March 22, 2023, with a man named Terrance, later identified as Terrance Watts.</w:t>
      </w:r>
      <w:r w:rsidRPr="00042223">
        <w:rPr>
          <w:rFonts w:ascii="Times New Roman" w:hAnsi="Times New Roman"/>
          <w:sz w:val="24"/>
          <w:szCs w:val="24"/>
        </w:rPr>
        <w:tab/>
      </w:r>
    </w:p>
    <w:p w14:paraId="3E7356A0" w14:textId="77777777" w:rsidR="00042223" w:rsidRPr="00042223" w:rsidRDefault="00042223" w:rsidP="00042223">
      <w:pPr>
        <w:pStyle w:val="NoSpacing"/>
        <w:rPr>
          <w:rFonts w:ascii="Times New Roman" w:hAnsi="Times New Roman"/>
          <w:bCs/>
          <w:sz w:val="24"/>
          <w:szCs w:val="24"/>
        </w:rPr>
      </w:pPr>
    </w:p>
    <w:p w14:paraId="69CF0BD1"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47054D02"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Michael Stinson was a fireman at JFD with Williams. He recounted seeing Williams</w:t>
      </w:r>
    </w:p>
    <w:p w14:paraId="316817C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 xml:space="preserve">twice on March 22, 2020. The first </w:t>
      </w:r>
      <w:proofErr w:type="gramStart"/>
      <w:r w:rsidRPr="00042223">
        <w:rPr>
          <w:rFonts w:ascii="Times New Roman" w:hAnsi="Times New Roman"/>
          <w:sz w:val="24"/>
          <w:szCs w:val="24"/>
        </w:rPr>
        <w:t>time when</w:t>
      </w:r>
      <w:proofErr w:type="gramEnd"/>
      <w:r w:rsidRPr="00042223">
        <w:rPr>
          <w:rFonts w:ascii="Times New Roman" w:hAnsi="Times New Roman"/>
          <w:sz w:val="24"/>
          <w:szCs w:val="24"/>
        </w:rPr>
        <w:t xml:space="preserve"> Williams brought Watts to Fire Station</w:t>
      </w:r>
    </w:p>
    <w:p w14:paraId="0164DCCD"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Number 20, Stinson recalled wrestling around with Williams and related that they would</w:t>
      </w:r>
    </w:p>
    <w:p w14:paraId="15775E18"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wrestle almost every shift. The second time Stinson saw Williams that day, Williams was</w:t>
      </w:r>
    </w:p>
    <w:p w14:paraId="1F618C59"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deceased at the Marathon. Stinson was part of the rescue unit that responded to the shooting. Stinson identified the deceased body as Williams.</w:t>
      </w:r>
    </w:p>
    <w:p w14:paraId="7C51F833" w14:textId="77777777" w:rsidR="00042223" w:rsidRPr="00042223" w:rsidRDefault="00042223" w:rsidP="00042223">
      <w:pPr>
        <w:pStyle w:val="NoSpacing"/>
        <w:rPr>
          <w:rFonts w:ascii="Times New Roman" w:hAnsi="Times New Roman"/>
          <w:bCs/>
          <w:sz w:val="24"/>
          <w:szCs w:val="24"/>
        </w:rPr>
      </w:pPr>
    </w:p>
    <w:p w14:paraId="6FABB81E"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29C35B99"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A reasonable juror could infer based on common sense and lived experience that</w:t>
      </w:r>
    </w:p>
    <w:p w14:paraId="469DCA6F"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Watts formed a plan to kill Williams when he retrieved Williams’s pistol from the center</w:t>
      </w:r>
    </w:p>
    <w:p w14:paraId="2E6BD39A"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console, pulled back the slide, and ejected one live round onto the floorboard. The jury</w:t>
      </w:r>
    </w:p>
    <w:p w14:paraId="79A17529"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reasonably could have found that Watts’s actions revealed that he, being previously</w:t>
      </w:r>
    </w:p>
    <w:p w14:paraId="4218AB44"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 xml:space="preserve">unfamiliar with Williams’s pistol, was unsure whether the </w:t>
      </w:r>
      <w:proofErr w:type="gramStart"/>
      <w:r w:rsidRPr="00042223">
        <w:rPr>
          <w:rFonts w:ascii="Times New Roman" w:hAnsi="Times New Roman"/>
          <w:sz w:val="24"/>
          <w:szCs w:val="24"/>
        </w:rPr>
        <w:t>hand gun</w:t>
      </w:r>
      <w:proofErr w:type="gramEnd"/>
      <w:r w:rsidRPr="00042223">
        <w:rPr>
          <w:rFonts w:ascii="Times New Roman" w:hAnsi="Times New Roman"/>
          <w:sz w:val="24"/>
          <w:szCs w:val="24"/>
        </w:rPr>
        <w:t xml:space="preserve"> had a bullet in the</w:t>
      </w:r>
    </w:p>
    <w:p w14:paraId="476F35D5"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chamber. The jury reasonably could have found that once Watts ejected the live round, he</w:t>
      </w:r>
    </w:p>
    <w:p w14:paraId="1070F5F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then had confirmation that the pistol was ready to fire. Accordingly, the jury reasonably</w:t>
      </w:r>
    </w:p>
    <w:p w14:paraId="5898A014"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 xml:space="preserve">could have found that Watts was fully aware of what he was doing when he exited the Tahoe and intentionally shot Williams in the head. Viewing the evidence in the light most favorable to the prosecution, therefore, any rational juror could have found each element of </w:t>
      </w:r>
      <w:proofErr w:type="gramStart"/>
      <w:r w:rsidRPr="00042223">
        <w:rPr>
          <w:rFonts w:ascii="Times New Roman" w:hAnsi="Times New Roman"/>
          <w:sz w:val="24"/>
          <w:szCs w:val="24"/>
        </w:rPr>
        <w:t>first degree</w:t>
      </w:r>
      <w:proofErr w:type="gramEnd"/>
      <w:r w:rsidRPr="00042223">
        <w:rPr>
          <w:rFonts w:ascii="Times New Roman" w:hAnsi="Times New Roman"/>
          <w:sz w:val="24"/>
          <w:szCs w:val="24"/>
        </w:rPr>
        <w:t xml:space="preserve"> murder beyond a reasonable doubt.</w:t>
      </w:r>
    </w:p>
    <w:p w14:paraId="72420491" w14:textId="77777777" w:rsidR="00042223" w:rsidRPr="00042223" w:rsidRDefault="00042223" w:rsidP="00042223">
      <w:pPr>
        <w:pStyle w:val="NoSpacing"/>
        <w:rPr>
          <w:rFonts w:ascii="Times New Roman" w:hAnsi="Times New Roman"/>
          <w:bCs/>
          <w:sz w:val="24"/>
          <w:szCs w:val="24"/>
        </w:rPr>
      </w:pPr>
    </w:p>
    <w:p w14:paraId="69B61EB1"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0AC45B6C"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Occurrences of fratricide are nearly as old as humanity itself. The factual details of</w:t>
      </w:r>
    </w:p>
    <w:p w14:paraId="29F40006"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 xml:space="preserve">today’s case unfortunately </w:t>
      </w:r>
      <w:proofErr w:type="gramStart"/>
      <w:r w:rsidRPr="00042223">
        <w:rPr>
          <w:rFonts w:ascii="Times New Roman" w:hAnsi="Times New Roman"/>
          <w:sz w:val="24"/>
          <w:szCs w:val="24"/>
        </w:rPr>
        <w:t>add</w:t>
      </w:r>
      <w:proofErr w:type="gramEnd"/>
      <w:r w:rsidRPr="00042223">
        <w:rPr>
          <w:rFonts w:ascii="Times New Roman" w:hAnsi="Times New Roman"/>
          <w:sz w:val="24"/>
          <w:szCs w:val="24"/>
        </w:rPr>
        <w:t xml:space="preserve"> another example to this ancient litany. Finding no error, we affirm.”</w:t>
      </w:r>
    </w:p>
    <w:p w14:paraId="10B1AC17" w14:textId="77777777" w:rsidR="00042223" w:rsidRPr="00042223" w:rsidRDefault="00042223" w:rsidP="00042223">
      <w:pPr>
        <w:pStyle w:val="NoSpacing"/>
        <w:rPr>
          <w:rFonts w:ascii="Times New Roman" w:hAnsi="Times New Roman"/>
          <w:bCs/>
          <w:sz w:val="24"/>
          <w:szCs w:val="24"/>
        </w:rPr>
      </w:pPr>
    </w:p>
    <w:p w14:paraId="0B23B3E4" w14:textId="77777777" w:rsidR="00042223" w:rsidRPr="00042223" w:rsidRDefault="00042223" w:rsidP="00042223">
      <w:pPr>
        <w:pStyle w:val="NoSpacing"/>
        <w:rPr>
          <w:rFonts w:ascii="Times New Roman" w:hAnsi="Times New Roman"/>
          <w:b/>
          <w:sz w:val="24"/>
          <w:szCs w:val="24"/>
        </w:rPr>
      </w:pPr>
      <w:r w:rsidRPr="00042223">
        <w:rPr>
          <w:rFonts w:ascii="Times New Roman" w:hAnsi="Times New Roman"/>
          <w:b/>
          <w:sz w:val="24"/>
          <w:szCs w:val="24"/>
        </w:rPr>
        <w:t xml:space="preserve">Legal Lesson Learned: Responding to a shooting and finding body of fellow firefighter is particularly tragic. </w:t>
      </w:r>
    </w:p>
    <w:p w14:paraId="73B8FAE1" w14:textId="77777777" w:rsidR="00042223" w:rsidRPr="00042223" w:rsidRDefault="00042223" w:rsidP="00042223">
      <w:pPr>
        <w:pStyle w:val="NoSpacing"/>
        <w:rPr>
          <w:rFonts w:ascii="Times New Roman" w:hAnsi="Times New Roman"/>
          <w:bCs/>
          <w:sz w:val="24"/>
          <w:szCs w:val="24"/>
        </w:rPr>
      </w:pPr>
    </w:p>
    <w:p w14:paraId="1A7D8DC4" w14:textId="77777777" w:rsidR="00042223" w:rsidRPr="00042223" w:rsidRDefault="00042223" w:rsidP="00042223">
      <w:pPr>
        <w:ind w:left="720"/>
        <w:rPr>
          <w:rFonts w:ascii="Times New Roman" w:hAnsi="Times New Roman"/>
          <w:bCs/>
          <w:sz w:val="24"/>
          <w:szCs w:val="24"/>
        </w:rPr>
      </w:pPr>
      <w:r w:rsidRPr="00042223">
        <w:rPr>
          <w:rFonts w:ascii="Times New Roman" w:hAnsi="Times New Roman"/>
          <w:sz w:val="24"/>
          <w:szCs w:val="24"/>
        </w:rPr>
        <w:t xml:space="preserve">Note: See article / video on the case. Feb. 20, 2025. “Court upholds man’s conviction for killing Jackson firefighter.”  </w:t>
      </w:r>
      <w:hyperlink r:id="rId417" w:history="1">
        <w:r w:rsidRPr="00042223">
          <w:rPr>
            <w:rStyle w:val="Hyperlink"/>
            <w:rFonts w:ascii="Times New Roman" w:hAnsi="Times New Roman"/>
            <w:sz w:val="24"/>
            <w:szCs w:val="24"/>
          </w:rPr>
          <w:t>https://www.wjtv.com/news/local-news/court-upholds-mans-conviction-for-killing-jackson-firefighter/</w:t>
        </w:r>
      </w:hyperlink>
      <w:r w:rsidRPr="00042223">
        <w:rPr>
          <w:rFonts w:ascii="Times New Roman" w:hAnsi="Times New Roman"/>
          <w:sz w:val="24"/>
          <w:szCs w:val="24"/>
        </w:rPr>
        <w:t xml:space="preserve"> </w:t>
      </w:r>
    </w:p>
    <w:p w14:paraId="5DB44DC6" w14:textId="77777777" w:rsidR="00042223" w:rsidRPr="00042223" w:rsidRDefault="00042223" w:rsidP="00042223">
      <w:pPr>
        <w:ind w:left="720"/>
        <w:rPr>
          <w:rFonts w:ascii="Times New Roman" w:hAnsi="Times New Roman"/>
          <w:bCs/>
          <w:sz w:val="24"/>
          <w:szCs w:val="24"/>
        </w:rPr>
      </w:pPr>
      <w:r w:rsidRPr="00042223">
        <w:rPr>
          <w:rFonts w:ascii="Times New Roman" w:hAnsi="Times New Roman"/>
          <w:sz w:val="24"/>
          <w:szCs w:val="24"/>
        </w:rPr>
        <w:t xml:space="preserve">March 23, 2000: </w:t>
      </w:r>
      <w:hyperlink r:id="rId418" w:history="1">
        <w:r w:rsidRPr="00042223">
          <w:rPr>
            <w:rStyle w:val="Hyperlink"/>
            <w:rFonts w:ascii="Times New Roman" w:hAnsi="Times New Roman"/>
            <w:sz w:val="24"/>
            <w:szCs w:val="24"/>
          </w:rPr>
          <w:t>https://www.firerescue1.com/firefighter-death/articles/miss-fire-lieutenant-killed-in-gas-station-robbery-jMwIEdZ3rDnt54xe/</w:t>
        </w:r>
      </w:hyperlink>
      <w:r w:rsidRPr="00042223">
        <w:rPr>
          <w:rFonts w:ascii="Times New Roman" w:hAnsi="Times New Roman"/>
          <w:sz w:val="24"/>
          <w:szCs w:val="24"/>
        </w:rPr>
        <w:t xml:space="preserve"> </w:t>
      </w:r>
    </w:p>
    <w:p w14:paraId="6918A042" w14:textId="77777777" w:rsidR="00042223" w:rsidRPr="000B7F2C" w:rsidRDefault="00042223" w:rsidP="00042223"/>
    <w:p w14:paraId="11219453" w14:textId="56FF0351" w:rsidR="00BE6877" w:rsidRDefault="00BE6877" w:rsidP="005D5A0C">
      <w:pPr>
        <w:rPr>
          <w:rFonts w:ascii="Arial Black" w:hAnsi="Arial Black"/>
          <w:sz w:val="24"/>
          <w:szCs w:val="24"/>
        </w:rPr>
      </w:pPr>
      <w:r>
        <w:rPr>
          <w:rFonts w:ascii="Arial Black" w:hAnsi="Arial Black"/>
          <w:sz w:val="24"/>
          <w:szCs w:val="24"/>
        </w:rPr>
        <w:t>2-81</w:t>
      </w:r>
    </w:p>
    <w:p w14:paraId="0AD4A004" w14:textId="77777777" w:rsidR="00C35636" w:rsidRDefault="00C35636" w:rsidP="00C35636">
      <w:pPr>
        <w:pStyle w:val="NoSpacing"/>
        <w:rPr>
          <w:rFonts w:ascii="Arial Black" w:hAnsi="Arial Black"/>
          <w:bCs/>
          <w:sz w:val="28"/>
          <w:szCs w:val="28"/>
        </w:rPr>
      </w:pPr>
      <w:r>
        <w:rPr>
          <w:rFonts w:ascii="Arial Black" w:hAnsi="Arial Black"/>
          <w:sz w:val="28"/>
          <w:szCs w:val="28"/>
        </w:rPr>
        <w:t>PA: FLEEING DRIVER ALMOST HIT EMS – 5-10 YRS</w:t>
      </w:r>
    </w:p>
    <w:p w14:paraId="1A0B7732" w14:textId="77777777" w:rsidR="00C35636" w:rsidRDefault="00C35636" w:rsidP="00C35636">
      <w:pPr>
        <w:pStyle w:val="NoSpacing"/>
        <w:rPr>
          <w:bCs/>
        </w:rPr>
      </w:pPr>
    </w:p>
    <w:p w14:paraId="44E8866A" w14:textId="77777777" w:rsidR="00C35636" w:rsidRPr="00C35636" w:rsidRDefault="00C35636" w:rsidP="00C35636">
      <w:pPr>
        <w:pStyle w:val="NoSpacing"/>
        <w:rPr>
          <w:rFonts w:ascii="Times New Roman" w:hAnsi="Times New Roman"/>
          <w:bCs/>
          <w:sz w:val="24"/>
          <w:szCs w:val="24"/>
        </w:rPr>
      </w:pPr>
      <w:r w:rsidRPr="00C35636">
        <w:rPr>
          <w:rFonts w:ascii="Times New Roman" w:hAnsi="Times New Roman"/>
          <w:sz w:val="24"/>
          <w:szCs w:val="24"/>
        </w:rPr>
        <w:t xml:space="preserve">On Dec. 23, 2024, in </w:t>
      </w:r>
      <w:r w:rsidRPr="00C35636">
        <w:rPr>
          <w:rFonts w:ascii="Times New Roman" w:hAnsi="Times New Roman"/>
          <w:sz w:val="24"/>
          <w:szCs w:val="24"/>
          <w:u w:val="single"/>
        </w:rPr>
        <w:t>Commonwealth of Pennsylvania v. Marisa Nicole Liddington</w:t>
      </w:r>
      <w:r w:rsidRPr="00C35636">
        <w:rPr>
          <w:rFonts w:ascii="Times New Roman" w:hAnsi="Times New Roman"/>
          <w:sz w:val="24"/>
          <w:szCs w:val="24"/>
        </w:rPr>
        <w:t>, the Superior Court of Pennsylvania held (3 to 0; non-precedential decision) that the sentence of 5 – 10 years in prison was appropriate for aggravate assault on two EMS and for the DUI. The Court wrote:</w:t>
      </w:r>
    </w:p>
    <w:p w14:paraId="277974C4" w14:textId="77777777" w:rsidR="00C35636" w:rsidRPr="00C35636" w:rsidRDefault="00C35636" w:rsidP="00C35636">
      <w:pPr>
        <w:pStyle w:val="NoSpacing"/>
        <w:rPr>
          <w:rFonts w:ascii="Times New Roman" w:hAnsi="Times New Roman"/>
          <w:bCs/>
          <w:sz w:val="24"/>
          <w:szCs w:val="24"/>
        </w:rPr>
      </w:pPr>
    </w:p>
    <w:p w14:paraId="79813806" w14:textId="77777777" w:rsidR="00C35636" w:rsidRPr="00C35636" w:rsidRDefault="00C35636" w:rsidP="00C35636">
      <w:pPr>
        <w:pStyle w:val="NoSpacing"/>
        <w:ind w:left="720"/>
        <w:rPr>
          <w:rFonts w:ascii="Times New Roman" w:hAnsi="Times New Roman"/>
          <w:bCs/>
          <w:sz w:val="24"/>
          <w:szCs w:val="24"/>
        </w:rPr>
      </w:pPr>
      <w:r w:rsidRPr="00C35636">
        <w:rPr>
          <w:rFonts w:ascii="Times New Roman" w:hAnsi="Times New Roman"/>
          <w:sz w:val="24"/>
          <w:szCs w:val="24"/>
        </w:rPr>
        <w:t>““Marisa Nicole Liddington appeals from the judgment of sentence of five to twelve years of imprisonment imposed upon her convictions for driving under the influence (“DUI”) and four counts of aggravated assault. We affirm.</w:t>
      </w:r>
    </w:p>
    <w:p w14:paraId="6D4F408D" w14:textId="77777777" w:rsidR="00C35636" w:rsidRPr="00C35636" w:rsidRDefault="00C35636" w:rsidP="00C35636">
      <w:pPr>
        <w:pStyle w:val="NoSpacing"/>
        <w:rPr>
          <w:rFonts w:ascii="Times New Roman" w:hAnsi="Times New Roman"/>
          <w:b/>
          <w:sz w:val="24"/>
          <w:szCs w:val="24"/>
        </w:rPr>
      </w:pPr>
    </w:p>
    <w:p w14:paraId="146C6387" w14:textId="77777777" w:rsidR="00C35636" w:rsidRPr="00C35636" w:rsidRDefault="00C35636" w:rsidP="00C35636">
      <w:pPr>
        <w:pStyle w:val="NoSpacing"/>
        <w:ind w:left="720"/>
        <w:rPr>
          <w:rFonts w:ascii="Times New Roman" w:hAnsi="Times New Roman"/>
          <w:bCs/>
          <w:sz w:val="24"/>
          <w:szCs w:val="24"/>
        </w:rPr>
      </w:pPr>
      <w:r w:rsidRPr="00C35636">
        <w:rPr>
          <w:rFonts w:ascii="Times New Roman" w:hAnsi="Times New Roman"/>
          <w:sz w:val="24"/>
          <w:szCs w:val="24"/>
        </w:rPr>
        <w:t>***</w:t>
      </w:r>
    </w:p>
    <w:p w14:paraId="1D32E0BA" w14:textId="77777777" w:rsidR="00C35636" w:rsidRPr="00C35636" w:rsidRDefault="00C35636" w:rsidP="00C35636">
      <w:pPr>
        <w:pStyle w:val="NoSpacing"/>
        <w:ind w:left="720"/>
        <w:rPr>
          <w:rFonts w:ascii="Times New Roman" w:hAnsi="Times New Roman"/>
          <w:bCs/>
          <w:sz w:val="24"/>
          <w:szCs w:val="24"/>
        </w:rPr>
      </w:pPr>
      <w:r w:rsidRPr="00C35636">
        <w:rPr>
          <w:rFonts w:ascii="Times New Roman" w:hAnsi="Times New Roman"/>
          <w:sz w:val="24"/>
          <w:szCs w:val="24"/>
        </w:rPr>
        <w:t>We first assess whether the evidence demonstrated that Appellant attempted to cause serious bodily injury to [EMS] Messrs. Ebersole and Eppley and attempted by physical menace to put them in fear of serious bodily injury…. Appellant argues that, even when viewed in the light most favorable to the Commonwealth, the evidence in this case does not prove that she acted with the specific intent to harm or menace anyone. She posits that Mr. Ebersole placed himself in harm’s way by attempting to detain her, and that Mr. Eppley was hit by the car door when she backed up only because he reached to grab Mr. Ebersole…. Here, it appears that neither Appellant’s motivation nor her ultimate</w:t>
      </w:r>
    </w:p>
    <w:p w14:paraId="09389E6D" w14:textId="43E3F944" w:rsidR="00BE6877" w:rsidRPr="00C35636" w:rsidRDefault="00C35636" w:rsidP="00C35636">
      <w:pPr>
        <w:ind w:left="720"/>
        <w:rPr>
          <w:rFonts w:ascii="Times New Roman" w:hAnsi="Times New Roman"/>
          <w:sz w:val="24"/>
          <w:szCs w:val="24"/>
        </w:rPr>
      </w:pPr>
      <w:r w:rsidRPr="00C35636">
        <w:rPr>
          <w:rFonts w:ascii="Times New Roman" w:hAnsi="Times New Roman"/>
          <w:sz w:val="24"/>
          <w:szCs w:val="24"/>
        </w:rPr>
        <w:t xml:space="preserve">goal was to injure the first responders on scene in the Walmart parking lot. Rather, it seems plain that what she wanted was to get away before the police arrived. However, under the totality of the circumstances, the jury was within its rights to conclude that Appellant made the conscious decision to achieve her goal by any means necessary, including causing serious bodily injury to any of the first responders who were in her way.” </w:t>
      </w:r>
      <w:hyperlink r:id="rId419" w:history="1">
        <w:r w:rsidRPr="00C35636">
          <w:rPr>
            <w:rStyle w:val="Hyperlink"/>
            <w:rFonts w:ascii="Times New Roman" w:hAnsi="Times New Roman"/>
            <w:sz w:val="24"/>
            <w:szCs w:val="24"/>
          </w:rPr>
          <w:t>https://www.pacourts.us/assets/opinions/Superior/out/J-A11020-24m%20-%20106209941292398313.pdf?cb=1</w:t>
        </w:r>
      </w:hyperlink>
    </w:p>
    <w:p w14:paraId="697D8929" w14:textId="77777777" w:rsidR="00FE0B61" w:rsidRPr="00FE0B61" w:rsidRDefault="00FE0B61" w:rsidP="00FE0B61">
      <w:pPr>
        <w:pStyle w:val="NoSpacing"/>
        <w:rPr>
          <w:rFonts w:ascii="Times New Roman" w:hAnsi="Times New Roman"/>
          <w:bCs/>
          <w:sz w:val="24"/>
          <w:szCs w:val="24"/>
        </w:rPr>
      </w:pPr>
      <w:r w:rsidRPr="00FE0B61">
        <w:rPr>
          <w:rFonts w:ascii="Times New Roman" w:hAnsi="Times New Roman"/>
          <w:sz w:val="24"/>
          <w:szCs w:val="24"/>
        </w:rPr>
        <w:t>HOLDING:</w:t>
      </w:r>
    </w:p>
    <w:p w14:paraId="1003DAD1" w14:textId="77777777" w:rsidR="00FE0B61" w:rsidRPr="00FE0B61" w:rsidRDefault="00FE0B61" w:rsidP="00FE0B61">
      <w:pPr>
        <w:pStyle w:val="NoSpacing"/>
        <w:rPr>
          <w:rFonts w:ascii="Times New Roman" w:hAnsi="Times New Roman"/>
          <w:bCs/>
          <w:sz w:val="24"/>
          <w:szCs w:val="24"/>
        </w:rPr>
      </w:pPr>
    </w:p>
    <w:p w14:paraId="7EEE2D22" w14:textId="77777777" w:rsidR="00FE0B61" w:rsidRPr="00FE0B61" w:rsidRDefault="00FE0B61" w:rsidP="00FE0B61">
      <w:pPr>
        <w:pStyle w:val="NoSpacing"/>
        <w:ind w:left="720"/>
        <w:rPr>
          <w:rFonts w:ascii="Times New Roman" w:hAnsi="Times New Roman"/>
          <w:bCs/>
          <w:sz w:val="24"/>
          <w:szCs w:val="24"/>
        </w:rPr>
      </w:pPr>
      <w:r w:rsidRPr="00FE0B61">
        <w:rPr>
          <w:rFonts w:ascii="Times New Roman" w:hAnsi="Times New Roman"/>
          <w:b/>
          <w:sz w:val="24"/>
          <w:szCs w:val="24"/>
        </w:rPr>
        <w:t>“</w:t>
      </w:r>
      <w:r w:rsidRPr="00FE0B61">
        <w:rPr>
          <w:rFonts w:ascii="Times New Roman" w:hAnsi="Times New Roman"/>
          <w:sz w:val="24"/>
          <w:szCs w:val="24"/>
        </w:rPr>
        <w:t xml:space="preserve">Messrs. Ebersole and Eppley were not at the Walmart to shop, socialize, or engage in any other personal business. They were there, on duty, in response to an emergency call, and remained in that capacity for the duration of the encounter. Plainly, they were performing their duties at the time she nearly ran them over in her desire to avoid the consequences of her criminal </w:t>
      </w:r>
      <w:proofErr w:type="gramStart"/>
      <w:r w:rsidRPr="00FE0B61">
        <w:rPr>
          <w:rFonts w:ascii="Times New Roman" w:hAnsi="Times New Roman"/>
          <w:sz w:val="24"/>
          <w:szCs w:val="24"/>
        </w:rPr>
        <w:t>conduct.”</w:t>
      </w:r>
      <w:proofErr w:type="gramEnd"/>
    </w:p>
    <w:p w14:paraId="12466DD0" w14:textId="77777777" w:rsidR="00FE0B61" w:rsidRPr="00FE0B61" w:rsidRDefault="00FE0B61" w:rsidP="00FE0B61">
      <w:pPr>
        <w:pStyle w:val="NoSpacing"/>
        <w:ind w:left="720"/>
        <w:rPr>
          <w:rFonts w:ascii="Times New Roman" w:hAnsi="Times New Roman"/>
          <w:bCs/>
          <w:sz w:val="24"/>
          <w:szCs w:val="24"/>
        </w:rPr>
      </w:pPr>
    </w:p>
    <w:p w14:paraId="32EF6CCD" w14:textId="77777777" w:rsidR="00FE0B61" w:rsidRPr="00FE0B61" w:rsidRDefault="00FE0B61" w:rsidP="00FE0B61">
      <w:pPr>
        <w:pStyle w:val="NoSpacing"/>
        <w:rPr>
          <w:rFonts w:ascii="Times New Roman" w:hAnsi="Times New Roman"/>
          <w:b/>
          <w:sz w:val="24"/>
          <w:szCs w:val="24"/>
        </w:rPr>
      </w:pPr>
      <w:r w:rsidRPr="00FE0B61">
        <w:rPr>
          <w:rFonts w:ascii="Times New Roman" w:hAnsi="Times New Roman"/>
          <w:b/>
          <w:sz w:val="24"/>
          <w:szCs w:val="24"/>
        </w:rPr>
        <w:t>Legal Lesson Learned:  The sentence reflects the seriousness of the defendant’s conduct; she could have killed or serious injured the two EMS.</w:t>
      </w:r>
    </w:p>
    <w:p w14:paraId="262DBCB5" w14:textId="77777777" w:rsidR="00FE0B61" w:rsidRPr="00FE0B61" w:rsidRDefault="00FE0B61" w:rsidP="00FE0B61">
      <w:pPr>
        <w:pStyle w:val="NoSpacing"/>
        <w:rPr>
          <w:rFonts w:ascii="Times New Roman" w:hAnsi="Times New Roman"/>
          <w:b/>
          <w:sz w:val="24"/>
          <w:szCs w:val="24"/>
        </w:rPr>
      </w:pPr>
    </w:p>
    <w:p w14:paraId="5BB1B3C6" w14:textId="77777777" w:rsidR="00BE6877" w:rsidRPr="00FE0B61" w:rsidRDefault="00BE6877" w:rsidP="005D5A0C">
      <w:pPr>
        <w:rPr>
          <w:rFonts w:ascii="Times New Roman" w:hAnsi="Times New Roman"/>
          <w:sz w:val="24"/>
          <w:szCs w:val="24"/>
        </w:rPr>
      </w:pPr>
    </w:p>
    <w:p w14:paraId="098DCAA2" w14:textId="77777777" w:rsidR="00BE6877" w:rsidRDefault="00BE6877" w:rsidP="005D5A0C">
      <w:pPr>
        <w:rPr>
          <w:rFonts w:ascii="Arial Black" w:hAnsi="Arial Black"/>
          <w:sz w:val="24"/>
          <w:szCs w:val="24"/>
        </w:rPr>
      </w:pPr>
    </w:p>
    <w:p w14:paraId="153E61DB" w14:textId="4B4AA44C" w:rsidR="00F755DB" w:rsidRDefault="00F755DB" w:rsidP="005D5A0C">
      <w:pPr>
        <w:rPr>
          <w:rFonts w:ascii="Arial Black" w:hAnsi="Arial Black"/>
          <w:sz w:val="24"/>
          <w:szCs w:val="24"/>
        </w:rPr>
      </w:pPr>
      <w:r>
        <w:rPr>
          <w:rFonts w:ascii="Arial Black" w:hAnsi="Arial Black"/>
          <w:sz w:val="24"/>
          <w:szCs w:val="24"/>
        </w:rPr>
        <w:t>2-80</w:t>
      </w:r>
    </w:p>
    <w:p w14:paraId="2F1C945F" w14:textId="77777777" w:rsidR="007353DC" w:rsidRPr="00DE5D8F" w:rsidRDefault="007353DC" w:rsidP="007353DC">
      <w:pPr>
        <w:pStyle w:val="NoSpacing"/>
        <w:rPr>
          <w:rFonts w:ascii="Arial Black" w:hAnsi="Arial Black"/>
          <w:b/>
          <w:sz w:val="28"/>
          <w:szCs w:val="28"/>
        </w:rPr>
      </w:pPr>
      <w:r>
        <w:rPr>
          <w:rFonts w:ascii="Arial Black" w:hAnsi="Arial Black"/>
          <w:b/>
          <w:sz w:val="28"/>
          <w:szCs w:val="28"/>
        </w:rPr>
        <w:t xml:space="preserve">PA: 2 LODD – CONDEMNED BLDG – CITY DISMISSED </w:t>
      </w:r>
    </w:p>
    <w:p w14:paraId="7674CE5C" w14:textId="77777777" w:rsidR="007353DC" w:rsidRDefault="007353DC" w:rsidP="007353DC">
      <w:pPr>
        <w:pStyle w:val="NoSpacing"/>
        <w:rPr>
          <w:bCs/>
        </w:rPr>
      </w:pPr>
    </w:p>
    <w:p w14:paraId="73CDD307" w14:textId="77777777" w:rsidR="00DF7446" w:rsidRPr="00DF7446" w:rsidRDefault="00DF7446" w:rsidP="00DF7446">
      <w:pPr>
        <w:pStyle w:val="NoSpacing"/>
        <w:rPr>
          <w:rFonts w:ascii="Times New Roman" w:hAnsi="Times New Roman"/>
          <w:bCs/>
          <w:sz w:val="24"/>
          <w:szCs w:val="24"/>
        </w:rPr>
      </w:pPr>
      <w:r w:rsidRPr="00DF7446">
        <w:rPr>
          <w:rFonts w:ascii="Times New Roman" w:hAnsi="Times New Roman"/>
          <w:sz w:val="24"/>
          <w:szCs w:val="24"/>
        </w:rPr>
        <w:t xml:space="preserve">On Dec. 9, 2024, in </w:t>
      </w:r>
      <w:r w:rsidRPr="00DF7446">
        <w:rPr>
          <w:rFonts w:ascii="Times New Roman" w:hAnsi="Times New Roman"/>
          <w:sz w:val="24"/>
          <w:szCs w:val="24"/>
          <w:u w:val="single"/>
        </w:rPr>
        <w:t>Rachel Butrim, et al. v. Maor and City Council of Baltimore</w:t>
      </w:r>
      <w:r w:rsidRPr="00DF7446">
        <w:rPr>
          <w:rFonts w:ascii="Times New Roman" w:hAnsi="Times New Roman"/>
          <w:sz w:val="24"/>
          <w:szCs w:val="24"/>
        </w:rPr>
        <w:t xml:space="preserve">, United States District Court Judge Matthew J. Maddox, U.S. District Court for the District of Maryland, granted the city’s motion to dismiss.  Even though the building was condemned, and not marked to warn firefighters, there was no proof the city intended to harm the firefighters. </w:t>
      </w:r>
      <w:hyperlink r:id="rId420" w:history="1">
        <w:r w:rsidRPr="00DF7446">
          <w:rPr>
            <w:rStyle w:val="Hyperlink"/>
            <w:rFonts w:ascii="Times New Roman" w:hAnsi="Times New Roman"/>
            <w:sz w:val="24"/>
            <w:szCs w:val="24"/>
          </w:rPr>
          <w:t>https://storage.courtlistener.com/recap/gov.uscourts.mdd.559142/gov.uscourts.mdd.559142.21.0.pdf</w:t>
        </w:r>
      </w:hyperlink>
      <w:r w:rsidRPr="00DF7446">
        <w:rPr>
          <w:rFonts w:ascii="Times New Roman" w:hAnsi="Times New Roman"/>
          <w:sz w:val="24"/>
          <w:szCs w:val="24"/>
        </w:rPr>
        <w:t xml:space="preserve"> </w:t>
      </w:r>
    </w:p>
    <w:p w14:paraId="3F4389C0" w14:textId="3DBB8B9B" w:rsidR="00DF7446" w:rsidRPr="00DF7446" w:rsidRDefault="00DF7446" w:rsidP="007353DC">
      <w:pPr>
        <w:pStyle w:val="NoSpacing"/>
        <w:rPr>
          <w:rFonts w:ascii="Times New Roman" w:hAnsi="Times New Roman"/>
          <w:sz w:val="24"/>
          <w:szCs w:val="24"/>
        </w:rPr>
      </w:pPr>
    </w:p>
    <w:p w14:paraId="64BA5587" w14:textId="77777777" w:rsidR="00DF7446" w:rsidRDefault="00DF7446" w:rsidP="007353DC">
      <w:pPr>
        <w:pStyle w:val="NoSpacing"/>
        <w:rPr>
          <w:rFonts w:ascii="Times New Roman" w:hAnsi="Times New Roman"/>
          <w:sz w:val="24"/>
          <w:szCs w:val="24"/>
        </w:rPr>
      </w:pPr>
    </w:p>
    <w:p w14:paraId="7A1D950E" w14:textId="1D085BE6" w:rsidR="007353DC" w:rsidRPr="007353DC" w:rsidRDefault="007353DC" w:rsidP="007353DC">
      <w:pPr>
        <w:pStyle w:val="NoSpacing"/>
        <w:rPr>
          <w:rFonts w:ascii="Times New Roman" w:hAnsi="Times New Roman"/>
          <w:bCs/>
          <w:sz w:val="24"/>
          <w:szCs w:val="24"/>
        </w:rPr>
      </w:pPr>
      <w:r w:rsidRPr="007353DC">
        <w:rPr>
          <w:rFonts w:ascii="Times New Roman" w:hAnsi="Times New Roman"/>
          <w:sz w:val="24"/>
          <w:szCs w:val="24"/>
        </w:rPr>
        <w:t>The Court wrote:</w:t>
      </w:r>
    </w:p>
    <w:p w14:paraId="5BEC412E" w14:textId="77777777" w:rsidR="007353DC" w:rsidRPr="007353DC" w:rsidRDefault="007353DC" w:rsidP="007353DC">
      <w:pPr>
        <w:pStyle w:val="NoSpacing"/>
        <w:rPr>
          <w:rFonts w:ascii="Times New Roman" w:hAnsi="Times New Roman"/>
          <w:bCs/>
          <w:sz w:val="24"/>
          <w:szCs w:val="24"/>
        </w:rPr>
      </w:pPr>
    </w:p>
    <w:p w14:paraId="118D6EBC" w14:textId="77777777" w:rsidR="007353DC" w:rsidRPr="007353DC" w:rsidRDefault="007353DC" w:rsidP="007353DC">
      <w:pPr>
        <w:pStyle w:val="NoSpacing"/>
        <w:ind w:firstLine="720"/>
        <w:rPr>
          <w:rFonts w:ascii="Times New Roman" w:hAnsi="Times New Roman"/>
          <w:bCs/>
          <w:sz w:val="24"/>
          <w:szCs w:val="24"/>
        </w:rPr>
      </w:pPr>
      <w:r w:rsidRPr="007353DC">
        <w:rPr>
          <w:rFonts w:ascii="Times New Roman" w:hAnsi="Times New Roman"/>
          <w:sz w:val="24"/>
          <w:szCs w:val="24"/>
        </w:rPr>
        <w:lastRenderedPageBreak/>
        <w:t>“The Motion is fully briefed and ripe for disposition. No hearing is necessary.</w:t>
      </w:r>
    </w:p>
    <w:p w14:paraId="79DDE0C9" w14:textId="77777777" w:rsidR="007353DC" w:rsidRPr="007353DC" w:rsidRDefault="007353DC" w:rsidP="007353DC">
      <w:pPr>
        <w:pStyle w:val="NoSpacing"/>
        <w:ind w:firstLine="720"/>
        <w:rPr>
          <w:rFonts w:ascii="Times New Roman" w:hAnsi="Times New Roman"/>
          <w:bCs/>
          <w:sz w:val="24"/>
          <w:szCs w:val="24"/>
        </w:rPr>
      </w:pPr>
    </w:p>
    <w:p w14:paraId="50056B97" w14:textId="77777777" w:rsidR="007353DC" w:rsidRPr="007353DC" w:rsidRDefault="007353DC" w:rsidP="007353DC">
      <w:pPr>
        <w:pStyle w:val="NoSpacing"/>
        <w:ind w:firstLine="720"/>
        <w:rPr>
          <w:rFonts w:ascii="Times New Roman" w:hAnsi="Times New Roman"/>
          <w:bCs/>
          <w:sz w:val="24"/>
          <w:szCs w:val="24"/>
        </w:rPr>
      </w:pPr>
      <w:r w:rsidRPr="007353DC">
        <w:rPr>
          <w:rFonts w:ascii="Times New Roman" w:hAnsi="Times New Roman"/>
          <w:sz w:val="24"/>
          <w:szCs w:val="24"/>
        </w:rPr>
        <w:t>***</w:t>
      </w:r>
    </w:p>
    <w:p w14:paraId="7AFD6155" w14:textId="77777777" w:rsidR="007353DC" w:rsidRPr="007353DC" w:rsidRDefault="007353DC" w:rsidP="007353DC">
      <w:pPr>
        <w:pStyle w:val="NoSpacing"/>
        <w:rPr>
          <w:rFonts w:ascii="Times New Roman" w:hAnsi="Times New Roman"/>
          <w:bCs/>
          <w:sz w:val="24"/>
          <w:szCs w:val="24"/>
        </w:rPr>
      </w:pPr>
    </w:p>
    <w:p w14:paraId="415100C2" w14:textId="67070486" w:rsidR="007353DC" w:rsidRPr="007353DC" w:rsidRDefault="007353DC" w:rsidP="007353DC">
      <w:pPr>
        <w:pStyle w:val="NoSpacing"/>
        <w:ind w:left="720"/>
        <w:rPr>
          <w:rFonts w:ascii="Times New Roman" w:hAnsi="Times New Roman"/>
          <w:bCs/>
          <w:sz w:val="24"/>
          <w:szCs w:val="24"/>
        </w:rPr>
      </w:pPr>
      <w:r w:rsidRPr="007353DC">
        <w:rPr>
          <w:rFonts w:ascii="Times New Roman" w:hAnsi="Times New Roman"/>
          <w:sz w:val="24"/>
          <w:szCs w:val="24"/>
        </w:rPr>
        <w:t>Although Plaintiffs allege that the City acted ‘deliberately’ and ‘intended to harm</w:t>
      </w:r>
      <w:r>
        <w:rPr>
          <w:rFonts w:ascii="Times New Roman" w:hAnsi="Times New Roman"/>
          <w:sz w:val="24"/>
          <w:szCs w:val="24"/>
        </w:rPr>
        <w:t xml:space="preserve"> </w:t>
      </w:r>
      <w:r w:rsidRPr="007353DC">
        <w:rPr>
          <w:rFonts w:ascii="Times New Roman" w:hAnsi="Times New Roman"/>
          <w:sz w:val="24"/>
          <w:szCs w:val="24"/>
        </w:rPr>
        <w:t xml:space="preserve"> . . . through its egregious affirmative acts,’ … they fail to allege sufficient facts to support these conclusory and formulaic allegations. Plainly, Plaintiffs do not allege that</w:t>
      </w:r>
      <w:r>
        <w:rPr>
          <w:rFonts w:ascii="Times New Roman" w:hAnsi="Times New Roman"/>
          <w:sz w:val="24"/>
          <w:szCs w:val="24"/>
        </w:rPr>
        <w:t xml:space="preserve"> </w:t>
      </w:r>
      <w:r w:rsidRPr="007353DC">
        <w:rPr>
          <w:rFonts w:ascii="Times New Roman" w:hAnsi="Times New Roman"/>
          <w:sz w:val="24"/>
          <w:szCs w:val="24"/>
        </w:rPr>
        <w:t xml:space="preserve">the City sent Plaintiff Firefighters into the Property on January 24, 2022, with the intent to injure them. The only plausible purpose for sending Plaintiff Firefighters into the Property supported by the facts in the Complaint was to fight the fire that engulfed the building. The only facts offered that speak to the City’s motivations in failing to mark the Property as structurally compromised concern the City’s agreement with the Southwest Partnership, a nonprofit community organization. See </w:t>
      </w:r>
      <w:proofErr w:type="spellStart"/>
      <w:r w:rsidRPr="007353DC">
        <w:rPr>
          <w:rFonts w:ascii="Times New Roman" w:hAnsi="Times New Roman"/>
          <w:sz w:val="24"/>
          <w:szCs w:val="24"/>
        </w:rPr>
        <w:t>Compl</w:t>
      </w:r>
      <w:proofErr w:type="spellEnd"/>
      <w:r w:rsidRPr="007353DC">
        <w:rPr>
          <w:rFonts w:ascii="Times New Roman" w:hAnsi="Times New Roman"/>
          <w:sz w:val="24"/>
          <w:szCs w:val="24"/>
        </w:rPr>
        <w:t>. ¶¶ 63–68. Plaintiffs allege on information and belief that this agreement caused the City to avoid marking certain compromised properties because the markings would make them unattractive to potential investors. See id. ¶¶ 64–65, 68. Accepting these allegations as true—and accepting that they may describe wrongful or even egregious conduct by Defendant—the Court does not find that the allegations support a reasonable inference that Defendant acted with the</w:t>
      </w:r>
    </w:p>
    <w:p w14:paraId="7A5911DC" w14:textId="60FB76A9" w:rsidR="00AF7EA6" w:rsidRPr="007353DC" w:rsidRDefault="007353DC" w:rsidP="00037999">
      <w:pPr>
        <w:pStyle w:val="NoSpacing"/>
        <w:ind w:left="720"/>
        <w:rPr>
          <w:rFonts w:ascii="Times New Roman" w:hAnsi="Times New Roman"/>
          <w:sz w:val="24"/>
          <w:szCs w:val="24"/>
        </w:rPr>
      </w:pPr>
      <w:r w:rsidRPr="007353DC">
        <w:rPr>
          <w:rFonts w:ascii="Times New Roman" w:hAnsi="Times New Roman"/>
          <w:sz w:val="24"/>
          <w:szCs w:val="24"/>
        </w:rPr>
        <w:t xml:space="preserve">purpose of causing harm to Plaintiff Firefighters.” </w:t>
      </w:r>
    </w:p>
    <w:p w14:paraId="2A7C560F" w14:textId="77777777" w:rsidR="00037999" w:rsidRDefault="00037999" w:rsidP="00100878">
      <w:pPr>
        <w:pStyle w:val="NoSpacing"/>
        <w:rPr>
          <w:rFonts w:ascii="Times New Roman" w:hAnsi="Times New Roman"/>
          <w:sz w:val="24"/>
          <w:szCs w:val="24"/>
        </w:rPr>
      </w:pPr>
    </w:p>
    <w:p w14:paraId="2B0384C4" w14:textId="3A24A28A" w:rsidR="00100878" w:rsidRPr="00037999" w:rsidRDefault="00100878" w:rsidP="00100878">
      <w:pPr>
        <w:pStyle w:val="NoSpacing"/>
        <w:rPr>
          <w:rFonts w:ascii="Times New Roman" w:hAnsi="Times New Roman"/>
          <w:bCs/>
          <w:sz w:val="24"/>
          <w:szCs w:val="24"/>
        </w:rPr>
      </w:pPr>
      <w:r w:rsidRPr="00037999">
        <w:rPr>
          <w:rFonts w:ascii="Times New Roman" w:hAnsi="Times New Roman"/>
          <w:sz w:val="24"/>
          <w:szCs w:val="24"/>
        </w:rPr>
        <w:t xml:space="preserve">HOLDING: </w:t>
      </w:r>
    </w:p>
    <w:p w14:paraId="4109288C" w14:textId="77777777" w:rsidR="00100878" w:rsidRDefault="00100878" w:rsidP="00100878">
      <w:pPr>
        <w:pStyle w:val="NoSpacing"/>
        <w:ind w:firstLine="720"/>
        <w:rPr>
          <w:bCs/>
        </w:rPr>
      </w:pPr>
    </w:p>
    <w:p w14:paraId="1765586E"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“In Collins [Collins v. Harker Heights, Feb. 26, 1992; </w:t>
      </w:r>
      <w:hyperlink r:id="rId421" w:history="1">
        <w:r w:rsidRPr="00100878">
          <w:rPr>
            <w:rStyle w:val="Hyperlink"/>
            <w:rFonts w:ascii="Times New Roman" w:hAnsi="Times New Roman"/>
            <w:sz w:val="24"/>
            <w:szCs w:val="24"/>
          </w:rPr>
          <w:t>https://supreme.justia.com/cases/federal/us/503/115/</w:t>
        </w:r>
      </w:hyperlink>
      <w:r w:rsidRPr="00100878">
        <w:rPr>
          <w:rFonts w:ascii="Times New Roman" w:hAnsi="Times New Roman"/>
          <w:sz w:val="24"/>
          <w:szCs w:val="24"/>
        </w:rPr>
        <w:t xml:space="preserve"> ] , the Supreme Court affirmed dismissal of a § 1983 due process claim based on ‘the city’s </w:t>
      </w:r>
      <w:proofErr w:type="spellStart"/>
      <w:r w:rsidRPr="00100878">
        <w:rPr>
          <w:rFonts w:ascii="Times New Roman" w:hAnsi="Times New Roman"/>
          <w:sz w:val="24"/>
          <w:szCs w:val="24"/>
        </w:rPr>
        <w:t>customar</w:t>
      </w:r>
      <w:proofErr w:type="spellEnd"/>
      <w:r w:rsidRPr="00100878">
        <w:rPr>
          <w:rFonts w:ascii="Times New Roman" w:hAnsi="Times New Roman"/>
          <w:sz w:val="24"/>
          <w:szCs w:val="24"/>
        </w:rPr>
        <w:t>[y] fail[</w:t>
      </w:r>
      <w:proofErr w:type="spellStart"/>
      <w:r w:rsidRPr="00100878">
        <w:rPr>
          <w:rFonts w:ascii="Times New Roman" w:hAnsi="Times New Roman"/>
          <w:sz w:val="24"/>
          <w:szCs w:val="24"/>
        </w:rPr>
        <w:t>ure</w:t>
      </w:r>
      <w:proofErr w:type="spellEnd"/>
      <w:r w:rsidRPr="00100878">
        <w:rPr>
          <w:rFonts w:ascii="Times New Roman" w:hAnsi="Times New Roman"/>
          <w:sz w:val="24"/>
          <w:szCs w:val="24"/>
        </w:rPr>
        <w:t>] to train or warn its employees about known hazards in the workplace[,]” which was alleged to have resulted in the death of a municipal employee…. The Court rejected the proposition that “the governmental employer’s duty to provide its employees with a safe working environment is a substantive component of the Due Process Clause.”</w:t>
      </w:r>
    </w:p>
    <w:p w14:paraId="25FE3813" w14:textId="77777777" w:rsidR="00100878" w:rsidRPr="00100878" w:rsidRDefault="00100878" w:rsidP="00100878">
      <w:pPr>
        <w:pStyle w:val="NoSpacing"/>
        <w:ind w:left="720"/>
        <w:rPr>
          <w:rFonts w:ascii="Times New Roman" w:hAnsi="Times New Roman"/>
          <w:bCs/>
          <w:sz w:val="24"/>
          <w:szCs w:val="24"/>
        </w:rPr>
      </w:pPr>
    </w:p>
    <w:p w14:paraId="24B9E8A7"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w:t>
      </w:r>
    </w:p>
    <w:p w14:paraId="0B1F078B"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In </w:t>
      </w:r>
      <w:r w:rsidRPr="00100878">
        <w:rPr>
          <w:rFonts w:ascii="Times New Roman" w:hAnsi="Times New Roman"/>
          <w:i/>
          <w:iCs/>
          <w:sz w:val="24"/>
          <w:szCs w:val="24"/>
        </w:rPr>
        <w:t>Waybright v. Frederick Cnty.,</w:t>
      </w:r>
      <w:r w:rsidRPr="00100878">
        <w:rPr>
          <w:rFonts w:ascii="Times New Roman" w:hAnsi="Times New Roman"/>
          <w:sz w:val="24"/>
          <w:szCs w:val="24"/>
        </w:rPr>
        <w:t xml:space="preserve"> Md., [June 2, 2008; </w:t>
      </w:r>
      <w:hyperlink r:id="rId422" w:history="1">
        <w:r w:rsidRPr="00100878">
          <w:rPr>
            <w:rStyle w:val="Hyperlink"/>
            <w:rFonts w:ascii="Times New Roman" w:hAnsi="Times New Roman"/>
            <w:sz w:val="24"/>
            <w:szCs w:val="24"/>
          </w:rPr>
          <w:t>https://casetext.com/case/waybright-v-frederick-county-2</w:t>
        </w:r>
      </w:hyperlink>
      <w:r w:rsidRPr="00100878">
        <w:rPr>
          <w:rFonts w:ascii="Times New Roman" w:hAnsi="Times New Roman"/>
          <w:sz w:val="24"/>
          <w:szCs w:val="24"/>
        </w:rPr>
        <w:t xml:space="preserve"> ] the Fourth Circuit affirmed summary judgment in favor of the municipal defendants on the plaintiffs’ due process claim based upon a fire department</w:t>
      </w:r>
    </w:p>
    <w:p w14:paraId="40710DCD"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recruit’s accidental death following an intensive physical training session. 528 F.3d at 208. As relevant here, the Fourth Circuit rejected the plaintiffs’ contention that Waybright was in a ‘special relationship’ with his supervisor such that the government had ‘a duty to act on [Waybright’s] behalf and its failures to act [were] measured on a deliberate indifference standard[.]’  </w:t>
      </w:r>
    </w:p>
    <w:p w14:paraId="4C2B550D" w14:textId="77777777" w:rsidR="00100878" w:rsidRPr="00100878" w:rsidRDefault="00100878" w:rsidP="00100878">
      <w:pPr>
        <w:pStyle w:val="NoSpacing"/>
        <w:ind w:left="720"/>
        <w:rPr>
          <w:rFonts w:ascii="Times New Roman" w:hAnsi="Times New Roman"/>
          <w:bCs/>
          <w:sz w:val="24"/>
          <w:szCs w:val="24"/>
        </w:rPr>
      </w:pPr>
    </w:p>
    <w:p w14:paraId="356ABCEC"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w:t>
      </w:r>
    </w:p>
    <w:p w14:paraId="5ADE8479"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In </w:t>
      </w:r>
      <w:r w:rsidRPr="00100878">
        <w:rPr>
          <w:rFonts w:ascii="Times New Roman" w:hAnsi="Times New Roman"/>
          <w:i/>
          <w:iCs/>
          <w:sz w:val="24"/>
          <w:szCs w:val="24"/>
        </w:rPr>
        <w:t xml:space="preserve">Slaughter v. Mayor &amp; City Council of Baltimore </w:t>
      </w:r>
      <w:r w:rsidRPr="00100878">
        <w:rPr>
          <w:rFonts w:ascii="Times New Roman" w:hAnsi="Times New Roman"/>
          <w:sz w:val="24"/>
          <w:szCs w:val="24"/>
        </w:rPr>
        <w:t>[June 7, 2012</w:t>
      </w:r>
      <w:r w:rsidRPr="00100878">
        <w:rPr>
          <w:rFonts w:ascii="Times New Roman" w:hAnsi="Times New Roman"/>
          <w:i/>
          <w:iCs/>
          <w:sz w:val="24"/>
          <w:szCs w:val="24"/>
        </w:rPr>
        <w:t xml:space="preserve">; </w:t>
      </w:r>
      <w:hyperlink r:id="rId423" w:history="1">
        <w:r w:rsidRPr="00100878">
          <w:rPr>
            <w:rStyle w:val="Hyperlink"/>
            <w:rFonts w:ascii="Times New Roman" w:hAnsi="Times New Roman"/>
            <w:sz w:val="24"/>
            <w:szCs w:val="24"/>
          </w:rPr>
          <w:t>https://casetext.com/case/slaughter-v-mayor-city-council-of-balt</w:t>
        </w:r>
      </w:hyperlink>
      <w:r w:rsidRPr="00100878">
        <w:rPr>
          <w:rFonts w:ascii="Times New Roman" w:hAnsi="Times New Roman"/>
          <w:sz w:val="24"/>
          <w:szCs w:val="24"/>
        </w:rPr>
        <w:t xml:space="preserve"> ] a fire department recruit, Racheal Wilson, died during a ‘live burn’ training exercise…. The Fourth Circuit affirmed dismissal of the complaint for failure to state a claim … because they did not assert that the Fire Department intended to harm Wilson…. The Fourth Circuit</w:t>
      </w:r>
    </w:p>
    <w:p w14:paraId="258CEE86"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ultimately held, in the context of this case, that the fire department’s constitutional liability ‘turn[ed] on whether it intended to harm the new recruits.’</w:t>
      </w:r>
    </w:p>
    <w:p w14:paraId="2AA758FB" w14:textId="77777777" w:rsidR="00100878" w:rsidRPr="00100878" w:rsidRDefault="00100878" w:rsidP="00100878">
      <w:pPr>
        <w:pStyle w:val="NoSpacing"/>
        <w:ind w:left="720"/>
        <w:rPr>
          <w:rFonts w:ascii="Times New Roman" w:hAnsi="Times New Roman"/>
          <w:bCs/>
          <w:sz w:val="24"/>
          <w:szCs w:val="24"/>
        </w:rPr>
      </w:pPr>
    </w:p>
    <w:p w14:paraId="710D67E7"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w:t>
      </w:r>
    </w:p>
    <w:p w14:paraId="2A57F724"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Because Plaintiffs fail to allege a plausible constitutional violation, their </w:t>
      </w:r>
      <w:r w:rsidRPr="00100878">
        <w:rPr>
          <w:rFonts w:ascii="Times New Roman" w:hAnsi="Times New Roman"/>
          <w:i/>
          <w:iCs/>
          <w:sz w:val="24"/>
          <w:szCs w:val="24"/>
        </w:rPr>
        <w:t>Monell</w:t>
      </w:r>
      <w:r w:rsidRPr="00100878">
        <w:rPr>
          <w:rFonts w:ascii="Times New Roman" w:hAnsi="Times New Roman"/>
          <w:sz w:val="24"/>
          <w:szCs w:val="24"/>
        </w:rPr>
        <w:t xml:space="preserve"> claim</w:t>
      </w:r>
    </w:p>
    <w:p w14:paraId="0BB0DB0D"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cannot survive Defendant’s motion to dismiss.”</w:t>
      </w:r>
    </w:p>
    <w:p w14:paraId="1AD03354" w14:textId="77777777" w:rsidR="00100878" w:rsidRPr="00100878" w:rsidRDefault="00100878" w:rsidP="00100878">
      <w:pPr>
        <w:pStyle w:val="NoSpacing"/>
        <w:ind w:left="720"/>
        <w:rPr>
          <w:rFonts w:ascii="Times New Roman" w:hAnsi="Times New Roman"/>
          <w:bCs/>
          <w:sz w:val="24"/>
          <w:szCs w:val="24"/>
        </w:rPr>
      </w:pPr>
    </w:p>
    <w:p w14:paraId="404DDA6F" w14:textId="77777777" w:rsidR="00100878" w:rsidRPr="00100878" w:rsidRDefault="00100878" w:rsidP="00100878">
      <w:pPr>
        <w:pStyle w:val="NoSpacing"/>
        <w:rPr>
          <w:rFonts w:ascii="Times New Roman" w:hAnsi="Times New Roman"/>
          <w:b/>
          <w:sz w:val="24"/>
          <w:szCs w:val="24"/>
        </w:rPr>
      </w:pPr>
      <w:r w:rsidRPr="00100878">
        <w:rPr>
          <w:rFonts w:ascii="Times New Roman" w:hAnsi="Times New Roman"/>
          <w:b/>
          <w:sz w:val="24"/>
          <w:szCs w:val="24"/>
        </w:rPr>
        <w:t>Legal Lesson Learned: Tragic set of facts, but no city intent to injure was alleged.  Plaintiffs are expected to appeal to the 4</w:t>
      </w:r>
      <w:r w:rsidRPr="00100878">
        <w:rPr>
          <w:rFonts w:ascii="Times New Roman" w:hAnsi="Times New Roman"/>
          <w:b/>
          <w:sz w:val="24"/>
          <w:szCs w:val="24"/>
          <w:vertAlign w:val="superscript"/>
        </w:rPr>
        <w:t>th</w:t>
      </w:r>
      <w:r w:rsidRPr="00100878">
        <w:rPr>
          <w:rFonts w:ascii="Times New Roman" w:hAnsi="Times New Roman"/>
          <w:b/>
          <w:sz w:val="24"/>
          <w:szCs w:val="24"/>
        </w:rPr>
        <w:t xml:space="preserve"> Circuit.</w:t>
      </w:r>
    </w:p>
    <w:p w14:paraId="05C1A1A7" w14:textId="77777777" w:rsidR="00100878" w:rsidRPr="00100878" w:rsidRDefault="00100878" w:rsidP="00100878">
      <w:pPr>
        <w:pStyle w:val="NoSpacing"/>
        <w:rPr>
          <w:rFonts w:ascii="Times New Roman" w:hAnsi="Times New Roman"/>
          <w:b/>
          <w:sz w:val="24"/>
          <w:szCs w:val="24"/>
        </w:rPr>
      </w:pPr>
    </w:p>
    <w:p w14:paraId="70634886" w14:textId="78339C64"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lastRenderedPageBreak/>
        <w:t>See Dec. 27</w:t>
      </w:r>
      <w:r w:rsidR="00BE6877">
        <w:rPr>
          <w:rFonts w:ascii="Times New Roman" w:hAnsi="Times New Roman"/>
          <w:sz w:val="24"/>
          <w:szCs w:val="24"/>
        </w:rPr>
        <w:t>,</w:t>
      </w:r>
      <w:r w:rsidRPr="00100878">
        <w:rPr>
          <w:rFonts w:ascii="Times New Roman" w:hAnsi="Times New Roman"/>
          <w:sz w:val="24"/>
          <w:szCs w:val="24"/>
        </w:rPr>
        <w:t xml:space="preserve"> </w:t>
      </w:r>
      <w:proofErr w:type="gramStart"/>
      <w:r w:rsidRPr="00100878">
        <w:rPr>
          <w:rFonts w:ascii="Times New Roman" w:hAnsi="Times New Roman"/>
          <w:sz w:val="24"/>
          <w:szCs w:val="24"/>
        </w:rPr>
        <w:t>2024</w:t>
      </w:r>
      <w:proofErr w:type="gramEnd"/>
      <w:r w:rsidRPr="00100878">
        <w:rPr>
          <w:rFonts w:ascii="Times New Roman" w:hAnsi="Times New Roman"/>
          <w:sz w:val="24"/>
          <w:szCs w:val="24"/>
        </w:rPr>
        <w:t xml:space="preserve"> article: “Judge tosses out lawsuit from families of Baltimore firefighters killed in blaze.” </w:t>
      </w:r>
    </w:p>
    <w:p w14:paraId="2BE23A1C" w14:textId="77777777" w:rsidR="00100878" w:rsidRPr="00100878" w:rsidRDefault="00100878" w:rsidP="00100878">
      <w:pPr>
        <w:pStyle w:val="NoSpacing"/>
        <w:ind w:left="720"/>
        <w:rPr>
          <w:rFonts w:ascii="Times New Roman" w:hAnsi="Times New Roman"/>
          <w:b/>
          <w:sz w:val="24"/>
          <w:szCs w:val="24"/>
        </w:rPr>
      </w:pPr>
      <w:hyperlink r:id="rId424" w:history="1">
        <w:r w:rsidRPr="00100878">
          <w:rPr>
            <w:rStyle w:val="Hyperlink"/>
            <w:rFonts w:ascii="Times New Roman" w:hAnsi="Times New Roman"/>
            <w:b/>
            <w:sz w:val="24"/>
            <w:szCs w:val="24"/>
          </w:rPr>
          <w:t>https://www.firerescue1.com/legal/judge-tosses-out-lawsuit-from-families-of-baltimore-firefighters-killed-in-2022-blaze?utm_source=delivra&amp;utm_medium=email&amp;utm_campaign=FR1-Daily-12-27-24&amp;utm_id=8279434&amp;dlv-emuid=fed355b8-46a2-4fa4-b55c-4d602dde33c4&amp;dlv-mlid=8279434</w:t>
        </w:r>
      </w:hyperlink>
      <w:r w:rsidRPr="00100878">
        <w:rPr>
          <w:rFonts w:ascii="Times New Roman" w:hAnsi="Times New Roman"/>
          <w:b/>
          <w:sz w:val="24"/>
          <w:szCs w:val="24"/>
        </w:rPr>
        <w:t xml:space="preserve"> </w:t>
      </w:r>
    </w:p>
    <w:p w14:paraId="5A705C76" w14:textId="77777777" w:rsidR="00F755DB" w:rsidRPr="00100878" w:rsidRDefault="00F755DB" w:rsidP="005D5A0C">
      <w:pPr>
        <w:rPr>
          <w:rFonts w:ascii="Times New Roman" w:hAnsi="Times New Roman"/>
          <w:sz w:val="24"/>
          <w:szCs w:val="24"/>
        </w:rPr>
      </w:pPr>
    </w:p>
    <w:p w14:paraId="19AD1D3F" w14:textId="77777777" w:rsidR="00F755DB" w:rsidRDefault="00F755DB" w:rsidP="005D5A0C">
      <w:pPr>
        <w:rPr>
          <w:rFonts w:ascii="Arial Black" w:hAnsi="Arial Black"/>
          <w:sz w:val="24"/>
          <w:szCs w:val="24"/>
        </w:rPr>
      </w:pPr>
    </w:p>
    <w:p w14:paraId="3CB4C5FA" w14:textId="239802B8" w:rsidR="00BC0732" w:rsidRDefault="00BC0732" w:rsidP="005D5A0C">
      <w:pPr>
        <w:rPr>
          <w:rFonts w:ascii="Arial Black" w:hAnsi="Arial Black"/>
          <w:sz w:val="24"/>
          <w:szCs w:val="24"/>
        </w:rPr>
      </w:pPr>
      <w:r>
        <w:rPr>
          <w:rFonts w:ascii="Arial Black" w:hAnsi="Arial Black"/>
          <w:sz w:val="24"/>
          <w:szCs w:val="24"/>
        </w:rPr>
        <w:t>2-7</w:t>
      </w:r>
      <w:r w:rsidR="006D1B8F">
        <w:rPr>
          <w:rFonts w:ascii="Arial Black" w:hAnsi="Arial Black"/>
          <w:sz w:val="24"/>
          <w:szCs w:val="24"/>
        </w:rPr>
        <w:t>9</w:t>
      </w:r>
    </w:p>
    <w:p w14:paraId="13364B28" w14:textId="77777777" w:rsidR="00BC0732" w:rsidRPr="00037999" w:rsidRDefault="00BC0732" w:rsidP="00BC0732">
      <w:pPr>
        <w:pStyle w:val="NoSpacing"/>
        <w:rPr>
          <w:rFonts w:ascii="Arial Black" w:hAnsi="Arial Black"/>
          <w:b/>
          <w:sz w:val="28"/>
          <w:szCs w:val="28"/>
        </w:rPr>
      </w:pPr>
      <w:r w:rsidRPr="00037999">
        <w:rPr>
          <w:rFonts w:ascii="Arial Black" w:hAnsi="Arial Black"/>
          <w:b/>
          <w:sz w:val="28"/>
          <w:szCs w:val="28"/>
        </w:rPr>
        <w:t>OH: FF KILLED AT MVA SCEEN – MOTORIST FAILED YIELD – MURDER LOWERED TO MANSLAUGHTER – PD NOT CONTROL</w:t>
      </w:r>
    </w:p>
    <w:p w14:paraId="24EDE64B" w14:textId="77777777" w:rsidR="00BC0732" w:rsidRPr="00253954" w:rsidRDefault="00BC0732" w:rsidP="00BC0732">
      <w:pPr>
        <w:pStyle w:val="NoSpacing"/>
        <w:ind w:firstLine="720"/>
        <w:rPr>
          <w:rFonts w:ascii="Times New Roman" w:hAnsi="Times New Roman"/>
          <w:b/>
          <w:sz w:val="24"/>
          <w:szCs w:val="24"/>
        </w:rPr>
      </w:pPr>
    </w:p>
    <w:p w14:paraId="55A89DE4" w14:textId="7CF01596" w:rsidR="00BC0732" w:rsidRPr="00253954" w:rsidRDefault="00BC0732" w:rsidP="00BC0732">
      <w:pPr>
        <w:pStyle w:val="NoSpacing"/>
        <w:rPr>
          <w:rFonts w:ascii="Times New Roman" w:hAnsi="Times New Roman"/>
          <w:bCs/>
          <w:sz w:val="24"/>
          <w:szCs w:val="24"/>
        </w:rPr>
      </w:pPr>
      <w:r w:rsidRPr="00253954">
        <w:rPr>
          <w:rFonts w:ascii="Times New Roman" w:hAnsi="Times New Roman"/>
          <w:sz w:val="24"/>
          <w:szCs w:val="24"/>
        </w:rPr>
        <w:t xml:space="preserve">On Nov. 7, 2024, in </w:t>
      </w:r>
      <w:r w:rsidRPr="00253954">
        <w:rPr>
          <w:rFonts w:ascii="Times New Roman" w:hAnsi="Times New Roman"/>
          <w:sz w:val="24"/>
          <w:szCs w:val="24"/>
          <w:u w:val="single"/>
        </w:rPr>
        <w:t>State of Ohio v. Leander Bissell</w:t>
      </w:r>
      <w:r w:rsidRPr="00253954">
        <w:rPr>
          <w:rFonts w:ascii="Times New Roman" w:hAnsi="Times New Roman"/>
          <w:sz w:val="24"/>
          <w:szCs w:val="24"/>
        </w:rPr>
        <w:t xml:space="preserve">, the Ohio Court of Appeals for Eight District, Cuyahoga County, held (2 to 1) that defendant’s conviction and life sentence under the felony-murder statute must be reversed to a lower involuntary manslaughter.  The Court wrote: “[A]s there was no testimony regarding an order or direction, and no officer testified that they were invested with the authority to direct traffic, there was insufficient evidence to support the conviction for failure to comply with the order or signal of a police officer. *** There is no doubt that Bissell caused the death of Firefighter Tetrick. Unlike the cases cited by the State, there is no evidence Bissell knowingly used his car as a weapon to cause serious physical </w:t>
      </w:r>
      <w:proofErr w:type="gramStart"/>
      <w:r w:rsidRPr="00253954">
        <w:rPr>
          <w:rFonts w:ascii="Times New Roman" w:hAnsi="Times New Roman"/>
          <w:sz w:val="24"/>
          <w:szCs w:val="24"/>
        </w:rPr>
        <w:t>harm.</w:t>
      </w:r>
      <w:r w:rsidR="00C34177">
        <w:rPr>
          <w:rFonts w:ascii="Times New Roman" w:hAnsi="Times New Roman"/>
          <w:sz w:val="24"/>
          <w:szCs w:val="24"/>
        </w:rPr>
        <w:t>”</w:t>
      </w:r>
      <w:proofErr w:type="gramEnd"/>
      <w:r w:rsidRPr="00253954">
        <w:rPr>
          <w:rFonts w:ascii="Times New Roman" w:hAnsi="Times New Roman"/>
          <w:sz w:val="24"/>
          <w:szCs w:val="24"/>
        </w:rPr>
        <w:t xml:space="preserve"> </w:t>
      </w:r>
      <w:hyperlink r:id="rId425" w:history="1">
        <w:r w:rsidRPr="00253954">
          <w:rPr>
            <w:rStyle w:val="Hyperlink"/>
            <w:rFonts w:ascii="Times New Roman" w:hAnsi="Times New Roman"/>
            <w:sz w:val="24"/>
            <w:szCs w:val="24"/>
          </w:rPr>
          <w:t>https://www.supremecourt.ohio.gov/rod/docs/pdf/8/2024/2024-Ohio-5317.pdf</w:t>
        </w:r>
      </w:hyperlink>
      <w:r w:rsidRPr="00253954">
        <w:rPr>
          <w:rFonts w:ascii="Times New Roman" w:hAnsi="Times New Roman"/>
          <w:sz w:val="24"/>
          <w:szCs w:val="24"/>
        </w:rPr>
        <w:t xml:space="preserve"> </w:t>
      </w:r>
    </w:p>
    <w:p w14:paraId="44DAD0D3" w14:textId="77777777" w:rsidR="00253954" w:rsidRPr="00253954" w:rsidRDefault="00253954" w:rsidP="00253954">
      <w:pPr>
        <w:pStyle w:val="NoSpacing"/>
        <w:rPr>
          <w:rFonts w:ascii="Times New Roman" w:hAnsi="Times New Roman"/>
          <w:b/>
          <w:sz w:val="24"/>
          <w:szCs w:val="24"/>
        </w:rPr>
      </w:pPr>
    </w:p>
    <w:p w14:paraId="5FAB38FD" w14:textId="2E71ABDC" w:rsidR="00253954" w:rsidRPr="00351E0A" w:rsidRDefault="00253954" w:rsidP="00253954">
      <w:pPr>
        <w:pStyle w:val="NoSpacing"/>
        <w:rPr>
          <w:rFonts w:ascii="Times New Roman" w:hAnsi="Times New Roman"/>
          <w:bCs/>
          <w:sz w:val="24"/>
          <w:szCs w:val="24"/>
        </w:rPr>
      </w:pPr>
      <w:r w:rsidRPr="00351E0A">
        <w:rPr>
          <w:rFonts w:ascii="Times New Roman" w:hAnsi="Times New Roman"/>
          <w:bCs/>
          <w:sz w:val="24"/>
          <w:szCs w:val="24"/>
        </w:rPr>
        <w:t>See Dissent</w:t>
      </w:r>
    </w:p>
    <w:p w14:paraId="5305C9EA" w14:textId="77777777" w:rsidR="00253954" w:rsidRPr="00253954" w:rsidRDefault="00253954" w:rsidP="00253954">
      <w:pPr>
        <w:pStyle w:val="NoSpacing"/>
        <w:rPr>
          <w:rFonts w:ascii="Times New Roman" w:hAnsi="Times New Roman"/>
          <w:b/>
          <w:sz w:val="24"/>
          <w:szCs w:val="24"/>
        </w:rPr>
      </w:pPr>
    </w:p>
    <w:p w14:paraId="0AE32BA3" w14:textId="46B619BA" w:rsidR="00253954" w:rsidRPr="00253954" w:rsidRDefault="00253954" w:rsidP="00253954">
      <w:pPr>
        <w:pStyle w:val="NoSpacing"/>
        <w:rPr>
          <w:rFonts w:ascii="Times New Roman" w:hAnsi="Times New Roman"/>
          <w:b/>
          <w:sz w:val="24"/>
          <w:szCs w:val="24"/>
        </w:rPr>
      </w:pPr>
      <w:r w:rsidRPr="00253954">
        <w:rPr>
          <w:rFonts w:ascii="Times New Roman" w:hAnsi="Times New Roman"/>
          <w:b/>
          <w:sz w:val="24"/>
          <w:szCs w:val="24"/>
        </w:rPr>
        <w:t xml:space="preserve">Legal Lesson Learned: High risk scene when firefighters are at MVA and traffic control not yet established; defendant will be resentenced. </w:t>
      </w:r>
    </w:p>
    <w:p w14:paraId="480DB7D3" w14:textId="77777777" w:rsidR="00253954" w:rsidRPr="00253954" w:rsidRDefault="00253954" w:rsidP="00253954">
      <w:pPr>
        <w:pStyle w:val="NoSpacing"/>
        <w:rPr>
          <w:rFonts w:ascii="Times New Roman" w:hAnsi="Times New Roman"/>
          <w:b/>
          <w:sz w:val="24"/>
          <w:szCs w:val="24"/>
        </w:rPr>
      </w:pPr>
    </w:p>
    <w:p w14:paraId="5151E88D" w14:textId="77777777" w:rsidR="00253954" w:rsidRPr="00253954" w:rsidRDefault="00253954" w:rsidP="00253954">
      <w:pPr>
        <w:pStyle w:val="NoSpacing"/>
        <w:ind w:left="720"/>
        <w:rPr>
          <w:rFonts w:ascii="Times New Roman" w:hAnsi="Times New Roman"/>
          <w:bCs/>
          <w:sz w:val="24"/>
          <w:szCs w:val="24"/>
        </w:rPr>
      </w:pPr>
      <w:r w:rsidRPr="00253954">
        <w:rPr>
          <w:rFonts w:ascii="Times New Roman" w:hAnsi="Times New Roman"/>
          <w:sz w:val="24"/>
          <w:szCs w:val="24"/>
        </w:rPr>
        <w:t xml:space="preserve">Note:  See YouTube of defendant’s original sentencing.  </w:t>
      </w:r>
      <w:hyperlink r:id="rId426" w:history="1">
        <w:r w:rsidRPr="00253954">
          <w:rPr>
            <w:rStyle w:val="Hyperlink"/>
            <w:rFonts w:ascii="Times New Roman" w:hAnsi="Times New Roman"/>
            <w:sz w:val="24"/>
            <w:szCs w:val="24"/>
          </w:rPr>
          <w:t>https://www.youtube.com/watch?v=Y-qURehCp-0</w:t>
        </w:r>
      </w:hyperlink>
      <w:r w:rsidRPr="00253954">
        <w:rPr>
          <w:rFonts w:ascii="Times New Roman" w:hAnsi="Times New Roman"/>
          <w:sz w:val="24"/>
          <w:szCs w:val="24"/>
        </w:rPr>
        <w:t xml:space="preserve"> </w:t>
      </w:r>
    </w:p>
    <w:p w14:paraId="4E534D54" w14:textId="77777777" w:rsidR="00253954" w:rsidRPr="00253954" w:rsidRDefault="00253954" w:rsidP="00253954">
      <w:pPr>
        <w:pStyle w:val="NoSpacing"/>
        <w:ind w:left="720"/>
        <w:rPr>
          <w:rFonts w:ascii="Times New Roman" w:hAnsi="Times New Roman"/>
          <w:bCs/>
          <w:sz w:val="24"/>
          <w:szCs w:val="24"/>
        </w:rPr>
      </w:pPr>
    </w:p>
    <w:p w14:paraId="6CCA5CC4" w14:textId="77777777" w:rsidR="00253954" w:rsidRPr="00253954" w:rsidRDefault="00253954" w:rsidP="00253954">
      <w:pPr>
        <w:pStyle w:val="NoSpacing"/>
        <w:ind w:left="720"/>
        <w:rPr>
          <w:rFonts w:ascii="Times New Roman" w:hAnsi="Times New Roman"/>
          <w:b/>
          <w:sz w:val="24"/>
          <w:szCs w:val="24"/>
        </w:rPr>
      </w:pPr>
      <w:r w:rsidRPr="00253954">
        <w:rPr>
          <w:rFonts w:ascii="Times New Roman" w:hAnsi="Times New Roman"/>
          <w:sz w:val="24"/>
          <w:szCs w:val="24"/>
        </w:rPr>
        <w:t>Leander Bissell apologizes at sentencing for hit-and-run death of Cleveland firefighter Tetrick.</w:t>
      </w:r>
      <w:r w:rsidRPr="00253954">
        <w:rPr>
          <w:rFonts w:ascii="Times New Roman" w:hAnsi="Times New Roman"/>
          <w:b/>
          <w:sz w:val="24"/>
          <w:szCs w:val="24"/>
        </w:rPr>
        <w:t xml:space="preserve"> </w:t>
      </w:r>
      <w:hyperlink r:id="rId427" w:history="1">
        <w:r w:rsidRPr="00253954">
          <w:rPr>
            <w:rStyle w:val="Hyperlink"/>
            <w:rFonts w:ascii="Times New Roman" w:hAnsi="Times New Roman"/>
            <w:b/>
            <w:sz w:val="24"/>
            <w:szCs w:val="24"/>
          </w:rPr>
          <w:t>https://www.youtube.com/watch?v=teM31tC2TMo</w:t>
        </w:r>
      </w:hyperlink>
      <w:r w:rsidRPr="00253954">
        <w:rPr>
          <w:rFonts w:ascii="Times New Roman" w:hAnsi="Times New Roman"/>
          <w:b/>
          <w:sz w:val="24"/>
          <w:szCs w:val="24"/>
        </w:rPr>
        <w:t xml:space="preserve"> </w:t>
      </w:r>
    </w:p>
    <w:p w14:paraId="2A55AF75" w14:textId="77777777" w:rsidR="00253954" w:rsidRPr="00253954" w:rsidRDefault="00253954" w:rsidP="00253954">
      <w:pPr>
        <w:pStyle w:val="NoSpacing"/>
        <w:rPr>
          <w:rFonts w:ascii="Times New Roman" w:hAnsi="Times New Roman"/>
          <w:bCs/>
          <w:sz w:val="24"/>
          <w:szCs w:val="24"/>
        </w:rPr>
      </w:pPr>
    </w:p>
    <w:p w14:paraId="56D84F68" w14:textId="77777777" w:rsidR="00351E0A" w:rsidRDefault="00351E0A" w:rsidP="005D5A0C">
      <w:pPr>
        <w:rPr>
          <w:rFonts w:ascii="Arial Black" w:hAnsi="Arial Black"/>
          <w:sz w:val="24"/>
          <w:szCs w:val="24"/>
        </w:rPr>
      </w:pPr>
    </w:p>
    <w:p w14:paraId="0B62A7F6" w14:textId="0E0E54CF" w:rsidR="00BC0732" w:rsidRDefault="006D1B8F" w:rsidP="005D5A0C">
      <w:pPr>
        <w:rPr>
          <w:rFonts w:ascii="Arial Black" w:hAnsi="Arial Black"/>
          <w:sz w:val="24"/>
          <w:szCs w:val="24"/>
        </w:rPr>
      </w:pPr>
      <w:r w:rsidRPr="006D1B8F">
        <w:rPr>
          <w:rFonts w:ascii="Arial Black" w:hAnsi="Arial Black"/>
          <w:sz w:val="24"/>
          <w:szCs w:val="24"/>
        </w:rPr>
        <w:t>2-78</w:t>
      </w:r>
    </w:p>
    <w:p w14:paraId="304CB382" w14:textId="77777777" w:rsidR="00277909" w:rsidRPr="00402FF4" w:rsidRDefault="00277909" w:rsidP="00277909">
      <w:pPr>
        <w:rPr>
          <w:rFonts w:ascii="Arial Black" w:hAnsi="Arial Black"/>
          <w:sz w:val="28"/>
          <w:szCs w:val="28"/>
        </w:rPr>
      </w:pPr>
      <w:r w:rsidRPr="00402FF4">
        <w:rPr>
          <w:rFonts w:ascii="Arial Black" w:hAnsi="Arial Black"/>
          <w:sz w:val="28"/>
          <w:szCs w:val="28"/>
        </w:rPr>
        <w:t>NY:</w:t>
      </w:r>
      <w:r>
        <w:rPr>
          <w:rFonts w:ascii="Arial Black" w:hAnsi="Arial Black"/>
          <w:sz w:val="28"/>
          <w:szCs w:val="28"/>
        </w:rPr>
        <w:t xml:space="preserve"> FDNY FF STROKE AFTER BLDG FIRE – CAN SUE OWNER BREACH CODE / BLDG NOT SECURED – NY FIREMAN’S RULE </w:t>
      </w:r>
    </w:p>
    <w:p w14:paraId="43338BC4" w14:textId="098F5ED7" w:rsidR="00277909" w:rsidRPr="00351E0A" w:rsidRDefault="00277909" w:rsidP="00277909">
      <w:pPr>
        <w:rPr>
          <w:rStyle w:val="Hyperlink"/>
          <w:rFonts w:ascii="Times New Roman" w:hAnsi="Times New Roman"/>
          <w:sz w:val="24"/>
          <w:szCs w:val="24"/>
        </w:rPr>
      </w:pPr>
      <w:r w:rsidRPr="00351E0A">
        <w:rPr>
          <w:rFonts w:ascii="Times New Roman" w:hAnsi="Times New Roman"/>
          <w:sz w:val="24"/>
          <w:szCs w:val="24"/>
        </w:rPr>
        <w:t xml:space="preserve">On Oct. 29, 2024, in </w:t>
      </w:r>
      <w:r w:rsidRPr="00351E0A">
        <w:rPr>
          <w:rFonts w:ascii="Times New Roman" w:hAnsi="Times New Roman"/>
          <w:sz w:val="24"/>
          <w:szCs w:val="24"/>
          <w:u w:val="single"/>
        </w:rPr>
        <w:t>David Pickford and Rosemarie Pickford v. Noel M. Deleon</w:t>
      </w:r>
      <w:r w:rsidRPr="00351E0A">
        <w:rPr>
          <w:rFonts w:ascii="Times New Roman" w:hAnsi="Times New Roman"/>
          <w:sz w:val="24"/>
          <w:szCs w:val="24"/>
        </w:rPr>
        <w:t xml:space="preserve">, Judge Richard Montelione, Supreme Court of the State of New York, County of Kings, Part 99, granted the plaintiffs’ motion for default judgment.  The Court wrote: “General Municipal Law§ 205-a(l) provides that a firefighter has a cause of action when he or she sustains an injury in the line of duty as a result of any neglect, omission, willful or culpable negligence of any person or persons in failing to comply with the requirements of any of the statutes, </w:t>
      </w:r>
      <w:r w:rsidRPr="00351E0A">
        <w:rPr>
          <w:rFonts w:ascii="Times New Roman" w:hAnsi="Times New Roman"/>
          <w:sz w:val="24"/>
          <w:szCs w:val="24"/>
        </w:rPr>
        <w:lastRenderedPageBreak/>
        <w:t xml:space="preserve">ordinances, rules, orders and requirements of the federal, state, county, village, town or city government.’” </w:t>
      </w:r>
      <w:hyperlink r:id="rId428" w:history="1">
        <w:r w:rsidRPr="00351E0A">
          <w:rPr>
            <w:rStyle w:val="Hyperlink"/>
            <w:rFonts w:ascii="Times New Roman" w:hAnsi="Times New Roman"/>
            <w:sz w:val="24"/>
            <w:szCs w:val="24"/>
          </w:rPr>
          <w:t>https://cases.justia.com/new-york/other-courts/2024-2024-ny-slip-op-33987-u.pdf?ts=1731644847</w:t>
        </w:r>
      </w:hyperlink>
    </w:p>
    <w:p w14:paraId="56D45E31" w14:textId="77777777" w:rsidR="00351E0A" w:rsidRPr="00351E0A" w:rsidRDefault="00351E0A" w:rsidP="00351E0A">
      <w:pPr>
        <w:pStyle w:val="NoSpacing"/>
        <w:rPr>
          <w:rFonts w:ascii="Times New Roman" w:hAnsi="Times New Roman"/>
          <w:b/>
          <w:bCs/>
          <w:sz w:val="24"/>
          <w:szCs w:val="24"/>
        </w:rPr>
      </w:pPr>
      <w:r w:rsidRPr="00351E0A">
        <w:rPr>
          <w:rFonts w:ascii="Times New Roman" w:hAnsi="Times New Roman"/>
          <w:b/>
          <w:sz w:val="24"/>
          <w:szCs w:val="24"/>
        </w:rPr>
        <w:t>Legal Lesson Learned:  The New York statute has modified the Fireman’s Rule to permit emergency responders to sue for damages for injury arising from code violations.</w:t>
      </w:r>
    </w:p>
    <w:p w14:paraId="2C2E58D7" w14:textId="77777777" w:rsidR="00351E0A" w:rsidRPr="00351E0A" w:rsidRDefault="00351E0A" w:rsidP="00351E0A">
      <w:pPr>
        <w:pStyle w:val="NoSpacing"/>
        <w:rPr>
          <w:rFonts w:ascii="Times New Roman" w:hAnsi="Times New Roman"/>
          <w:b/>
          <w:sz w:val="24"/>
          <w:szCs w:val="24"/>
        </w:rPr>
      </w:pPr>
    </w:p>
    <w:p w14:paraId="0912FE2F" w14:textId="77777777" w:rsidR="00351E0A" w:rsidRPr="00351E0A" w:rsidRDefault="00351E0A" w:rsidP="00351E0A">
      <w:pPr>
        <w:pStyle w:val="NoSpacing"/>
        <w:rPr>
          <w:rFonts w:ascii="Times New Roman" w:hAnsi="Times New Roman"/>
          <w:sz w:val="24"/>
          <w:szCs w:val="24"/>
        </w:rPr>
      </w:pPr>
      <w:r w:rsidRPr="00351E0A">
        <w:rPr>
          <w:rFonts w:ascii="Times New Roman" w:hAnsi="Times New Roman"/>
          <w:b/>
          <w:sz w:val="24"/>
          <w:szCs w:val="24"/>
        </w:rPr>
        <w:tab/>
      </w:r>
      <w:r w:rsidRPr="00351E0A">
        <w:rPr>
          <w:rFonts w:ascii="Times New Roman" w:hAnsi="Times New Roman"/>
          <w:sz w:val="24"/>
          <w:szCs w:val="24"/>
        </w:rPr>
        <w:t xml:space="preserve">Note: Some states have abolished the Fireman's Rule, including: </w:t>
      </w:r>
    </w:p>
    <w:p w14:paraId="38AE0EE4"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New Jersey</w:t>
      </w:r>
      <w:r w:rsidRPr="00351E0A">
        <w:rPr>
          <w:rFonts w:ascii="Times New Roman" w:hAnsi="Times New Roman"/>
          <w:sz w:val="24"/>
          <w:szCs w:val="24"/>
        </w:rPr>
        <w:t xml:space="preserve">: In 2007, the New Jersey Supreme Court ruled that the Fireman's Rule was no longer in effect. Ruiz v. Mero, A28/29-06; </w:t>
      </w:r>
      <w:hyperlink r:id="rId429" w:history="1">
        <w:r w:rsidRPr="00351E0A">
          <w:rPr>
            <w:rStyle w:val="Hyperlink"/>
            <w:rFonts w:ascii="Times New Roman" w:hAnsi="Times New Roman"/>
            <w:sz w:val="24"/>
            <w:szCs w:val="24"/>
          </w:rPr>
          <w:t>https://grsl.com/firefighters-rule-struck-down-by-new-jersey-supreme-court/</w:t>
        </w:r>
      </w:hyperlink>
      <w:r w:rsidRPr="00351E0A">
        <w:rPr>
          <w:rFonts w:ascii="Times New Roman" w:hAnsi="Times New Roman"/>
          <w:sz w:val="24"/>
          <w:szCs w:val="24"/>
        </w:rPr>
        <w:t xml:space="preserve"> </w:t>
      </w:r>
    </w:p>
    <w:p w14:paraId="087E150D"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Oregon</w:t>
      </w:r>
      <w:r w:rsidRPr="00351E0A">
        <w:rPr>
          <w:rFonts w:ascii="Times New Roman" w:hAnsi="Times New Roman"/>
          <w:sz w:val="24"/>
          <w:szCs w:val="24"/>
        </w:rPr>
        <w:t xml:space="preserve">: In 1984, the Oregon Supreme Court abolished the Fireman's Rule in the case Christensen v. Murphy, 296 Or. 610 (Or. 1984); </w:t>
      </w:r>
      <w:hyperlink r:id="rId430" w:history="1">
        <w:r w:rsidRPr="00351E0A">
          <w:rPr>
            <w:rStyle w:val="Hyperlink"/>
            <w:rFonts w:ascii="Times New Roman" w:hAnsi="Times New Roman"/>
            <w:sz w:val="24"/>
            <w:szCs w:val="24"/>
          </w:rPr>
          <w:t>https://casetext.com/case/christensen-v-murphy</w:t>
        </w:r>
      </w:hyperlink>
      <w:r w:rsidRPr="00351E0A">
        <w:rPr>
          <w:rFonts w:ascii="Times New Roman" w:hAnsi="Times New Roman"/>
          <w:sz w:val="24"/>
          <w:szCs w:val="24"/>
        </w:rPr>
        <w:t xml:space="preserve"> </w:t>
      </w:r>
    </w:p>
    <w:p w14:paraId="67FA4D7E"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Florida</w:t>
      </w:r>
      <w:r w:rsidRPr="00351E0A">
        <w:rPr>
          <w:rFonts w:ascii="Times New Roman" w:hAnsi="Times New Roman"/>
          <w:sz w:val="24"/>
          <w:szCs w:val="24"/>
        </w:rPr>
        <w:t xml:space="preserve">: By statute, Florida in the 1990s abolished the Rule. </w:t>
      </w:r>
      <w:hyperlink r:id="rId431" w:history="1">
        <w:r w:rsidRPr="00351E0A">
          <w:rPr>
            <w:rStyle w:val="Hyperlink"/>
            <w:rFonts w:ascii="Times New Roman" w:hAnsi="Times New Roman"/>
            <w:sz w:val="24"/>
            <w:szCs w:val="24"/>
          </w:rPr>
          <w:t>https://codes.findlaw.com/fl/title-x-public-officers-employees-and-records/fl-st-sect-112-182/</w:t>
        </w:r>
      </w:hyperlink>
    </w:p>
    <w:p w14:paraId="087BB657" w14:textId="77777777" w:rsidR="00351E0A" w:rsidRPr="00351E0A" w:rsidRDefault="00351E0A" w:rsidP="00351E0A">
      <w:pPr>
        <w:pStyle w:val="ListParagraph"/>
        <w:numPr>
          <w:ilvl w:val="0"/>
          <w:numId w:val="24"/>
        </w:numPr>
        <w:spacing w:after="0" w:line="240" w:lineRule="auto"/>
        <w:rPr>
          <w:rFonts w:ascii="Times New Roman" w:eastAsia="Times New Roman" w:hAnsi="Times New Roman" w:cs="Times New Roman"/>
          <w:sz w:val="24"/>
          <w:szCs w:val="24"/>
        </w:rPr>
      </w:pPr>
      <w:r w:rsidRPr="00351E0A">
        <w:rPr>
          <w:rFonts w:ascii="Times New Roman" w:eastAsia="Times New Roman" w:hAnsi="Times New Roman" w:cs="Times New Roman"/>
          <w:b/>
          <w:sz w:val="24"/>
          <w:szCs w:val="24"/>
        </w:rPr>
        <w:t>Minnesota:</w:t>
      </w:r>
      <w:r w:rsidRPr="00351E0A">
        <w:rPr>
          <w:rFonts w:ascii="Times New Roman" w:eastAsia="Times New Roman" w:hAnsi="Times New Roman" w:cs="Times New Roman"/>
          <w:sz w:val="24"/>
          <w:szCs w:val="24"/>
        </w:rPr>
        <w:t xml:space="preserve">  </w:t>
      </w:r>
      <w:r w:rsidRPr="00351E0A">
        <w:rPr>
          <w:rFonts w:ascii="Times New Roman" w:eastAsia="Times New Roman" w:hAnsi="Times New Roman" w:cs="Times New Roman"/>
          <w:i/>
          <w:iCs/>
          <w:sz w:val="24"/>
          <w:szCs w:val="24"/>
        </w:rPr>
        <w:t>Armstrong v. Mailand,</w:t>
      </w:r>
      <w:r w:rsidRPr="00351E0A">
        <w:rPr>
          <w:rFonts w:ascii="Times New Roman" w:eastAsia="Times New Roman" w:hAnsi="Times New Roman" w:cs="Times New Roman"/>
          <w:sz w:val="24"/>
          <w:szCs w:val="24"/>
        </w:rPr>
        <w:t xml:space="preserve"> Feb. 9, 1979; Supreme Court of MN; </w:t>
      </w:r>
      <w:hyperlink r:id="rId432" w:history="1">
        <w:r w:rsidRPr="00351E0A">
          <w:rPr>
            <w:rStyle w:val="Hyperlink"/>
            <w:rFonts w:ascii="Times New Roman" w:eastAsia="Times New Roman" w:hAnsi="Times New Roman" w:cs="Times New Roman"/>
            <w:sz w:val="24"/>
            <w:szCs w:val="24"/>
          </w:rPr>
          <w:t>https://casetext.com/case/armstrong-v-mailand</w:t>
        </w:r>
      </w:hyperlink>
      <w:r w:rsidRPr="00351E0A">
        <w:rPr>
          <w:rFonts w:ascii="Times New Roman" w:eastAsia="Times New Roman" w:hAnsi="Times New Roman" w:cs="Times New Roman"/>
          <w:sz w:val="24"/>
          <w:szCs w:val="24"/>
        </w:rPr>
        <w:t xml:space="preserve"> </w:t>
      </w:r>
    </w:p>
    <w:p w14:paraId="0D0ED9BC" w14:textId="77777777" w:rsidR="00351E0A" w:rsidRPr="00351E0A" w:rsidRDefault="00351E0A" w:rsidP="00351E0A">
      <w:pPr>
        <w:spacing w:after="0" w:line="240" w:lineRule="auto"/>
        <w:rPr>
          <w:rFonts w:ascii="Times New Roman" w:eastAsia="Times New Roman" w:hAnsi="Times New Roman"/>
          <w:sz w:val="24"/>
          <w:szCs w:val="24"/>
        </w:rPr>
      </w:pPr>
    </w:p>
    <w:p w14:paraId="0DC3C8A2" w14:textId="77777777" w:rsidR="00351E0A" w:rsidRPr="00351E0A" w:rsidRDefault="00351E0A" w:rsidP="00351E0A">
      <w:pPr>
        <w:spacing w:after="0" w:line="240" w:lineRule="auto"/>
        <w:ind w:left="1080"/>
        <w:rPr>
          <w:rFonts w:ascii="Times New Roman" w:eastAsia="Times New Roman" w:hAnsi="Times New Roman"/>
          <w:sz w:val="24"/>
          <w:szCs w:val="24"/>
        </w:rPr>
      </w:pPr>
    </w:p>
    <w:p w14:paraId="2AF49F55"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New York</w:t>
      </w:r>
      <w:r w:rsidRPr="00351E0A">
        <w:rPr>
          <w:rFonts w:ascii="Times New Roman" w:hAnsi="Times New Roman"/>
          <w:sz w:val="24"/>
          <w:szCs w:val="24"/>
        </w:rPr>
        <w:t xml:space="preserve">:  By statute, the </w:t>
      </w:r>
      <w:r w:rsidRPr="00351E0A">
        <w:rPr>
          <w:rFonts w:ascii="Times New Roman" w:hAnsi="Times New Roman"/>
          <w:sz w:val="24"/>
          <w:szCs w:val="24"/>
          <w:lang w:val="en"/>
        </w:rPr>
        <w:t xml:space="preserve">General Municipal Law § 205-a, permits firefighters to sue when they are injured as the result of a violation of a statute, rule, or regulation. </w:t>
      </w:r>
      <w:hyperlink r:id="rId433" w:history="1">
        <w:r w:rsidRPr="00351E0A">
          <w:rPr>
            <w:rStyle w:val="Hyperlink"/>
            <w:rFonts w:ascii="Times New Roman" w:hAnsi="Times New Roman"/>
            <w:sz w:val="24"/>
            <w:szCs w:val="24"/>
            <w:lang w:val="en"/>
          </w:rPr>
          <w:t>https://www.sullivangalleshaw.com/the-professional-rescuers-rule/</w:t>
        </w:r>
      </w:hyperlink>
      <w:r w:rsidRPr="00351E0A">
        <w:rPr>
          <w:rFonts w:ascii="Times New Roman" w:hAnsi="Times New Roman"/>
          <w:sz w:val="24"/>
          <w:szCs w:val="24"/>
          <w:lang w:val="en"/>
        </w:rPr>
        <w:t xml:space="preserve"> </w:t>
      </w:r>
    </w:p>
    <w:p w14:paraId="0591475D" w14:textId="77777777" w:rsidR="00351E0A" w:rsidRPr="00351E0A" w:rsidRDefault="00351E0A" w:rsidP="00351E0A">
      <w:pPr>
        <w:spacing w:after="0" w:line="240" w:lineRule="auto"/>
        <w:ind w:left="720" w:firstLine="720"/>
        <w:rPr>
          <w:rFonts w:ascii="Times New Roman" w:eastAsia="Times New Roman" w:hAnsi="Times New Roman"/>
          <w:sz w:val="24"/>
          <w:szCs w:val="24"/>
        </w:rPr>
      </w:pPr>
      <w:r w:rsidRPr="00351E0A">
        <w:rPr>
          <w:rFonts w:ascii="Times New Roman" w:eastAsia="Times New Roman" w:hAnsi="Times New Roman"/>
          <w:b/>
          <w:sz w:val="24"/>
          <w:szCs w:val="24"/>
        </w:rPr>
        <w:t>General Municipal Law § 205-a</w:t>
      </w:r>
      <w:r w:rsidRPr="00351E0A">
        <w:rPr>
          <w:rFonts w:ascii="Times New Roman" w:eastAsia="Times New Roman" w:hAnsi="Times New Roman"/>
          <w:sz w:val="24"/>
          <w:szCs w:val="24"/>
        </w:rPr>
        <w:t xml:space="preserve"> </w:t>
      </w:r>
    </w:p>
    <w:p w14:paraId="316B7934" w14:textId="77777777" w:rsidR="00351E0A" w:rsidRPr="00351E0A" w:rsidRDefault="00351E0A" w:rsidP="00351E0A">
      <w:pPr>
        <w:pStyle w:val="ListParagraph"/>
        <w:spacing w:after="0" w:line="240" w:lineRule="auto"/>
        <w:ind w:left="1440"/>
        <w:rPr>
          <w:rFonts w:ascii="Times New Roman" w:eastAsia="Times New Roman" w:hAnsi="Times New Roman" w:cs="Times New Roman"/>
          <w:sz w:val="24"/>
          <w:szCs w:val="24"/>
        </w:rPr>
      </w:pPr>
      <w:r w:rsidRPr="00351E0A">
        <w:rPr>
          <w:rFonts w:ascii="Times New Roman" w:eastAsia="Times New Roman" w:hAnsi="Times New Roman" w:cs="Times New Roman"/>
          <w:sz w:val="24"/>
          <w:szCs w:val="24"/>
        </w:rPr>
        <w:t>This law allows firefighters to sue the city for injuries caused by a violation of a rule, statute, or regulation. The law was enacted in 1935 to provide relief from the Fireman's Rule. </w:t>
      </w:r>
    </w:p>
    <w:p w14:paraId="03157F22" w14:textId="77777777" w:rsidR="00351E0A" w:rsidRPr="00351E0A" w:rsidRDefault="00351E0A" w:rsidP="00351E0A">
      <w:pPr>
        <w:spacing w:after="0" w:line="240" w:lineRule="auto"/>
        <w:rPr>
          <w:rFonts w:ascii="Times New Roman" w:eastAsia="Times New Roman" w:hAnsi="Times New Roman"/>
          <w:sz w:val="24"/>
          <w:szCs w:val="24"/>
        </w:rPr>
      </w:pPr>
      <w:r w:rsidRPr="00351E0A">
        <w:rPr>
          <w:rFonts w:ascii="Times New Roman" w:eastAsia="Times New Roman" w:hAnsi="Times New Roman"/>
          <w:sz w:val="24"/>
          <w:szCs w:val="24"/>
        </w:rPr>
        <w:t xml:space="preserve"> </w:t>
      </w:r>
      <w:r w:rsidRPr="00351E0A">
        <w:rPr>
          <w:rFonts w:ascii="Times New Roman" w:eastAsia="Times New Roman" w:hAnsi="Times New Roman"/>
          <w:sz w:val="24"/>
          <w:szCs w:val="24"/>
        </w:rPr>
        <w:tab/>
      </w:r>
      <w:r w:rsidRPr="00351E0A">
        <w:rPr>
          <w:rFonts w:ascii="Times New Roman" w:eastAsia="Times New Roman" w:hAnsi="Times New Roman"/>
          <w:sz w:val="24"/>
          <w:szCs w:val="24"/>
        </w:rPr>
        <w:tab/>
      </w:r>
      <w:r w:rsidRPr="00351E0A">
        <w:rPr>
          <w:rFonts w:ascii="Times New Roman" w:eastAsia="Times New Roman" w:hAnsi="Times New Roman"/>
          <w:b/>
          <w:sz w:val="24"/>
          <w:szCs w:val="24"/>
        </w:rPr>
        <w:t>General Obligations Law 11-106</w:t>
      </w:r>
      <w:r w:rsidRPr="00351E0A">
        <w:rPr>
          <w:rFonts w:ascii="Times New Roman" w:eastAsia="Times New Roman" w:hAnsi="Times New Roman"/>
          <w:sz w:val="24"/>
          <w:szCs w:val="24"/>
        </w:rPr>
        <w:t xml:space="preserve"> </w:t>
      </w:r>
    </w:p>
    <w:p w14:paraId="6ABAFA84" w14:textId="77777777" w:rsidR="00351E0A" w:rsidRPr="00351E0A" w:rsidRDefault="00351E0A" w:rsidP="00351E0A">
      <w:pPr>
        <w:pStyle w:val="ListParagraph"/>
        <w:spacing w:after="0" w:line="240" w:lineRule="auto"/>
        <w:ind w:left="1440"/>
        <w:rPr>
          <w:rFonts w:ascii="Times New Roman" w:eastAsia="Times New Roman" w:hAnsi="Times New Roman" w:cs="Times New Roman"/>
          <w:sz w:val="24"/>
          <w:szCs w:val="24"/>
        </w:rPr>
      </w:pPr>
      <w:r w:rsidRPr="00351E0A">
        <w:rPr>
          <w:rFonts w:ascii="Times New Roman" w:eastAsia="Times New Roman" w:hAnsi="Times New Roman" w:cs="Times New Roman"/>
          <w:sz w:val="24"/>
          <w:szCs w:val="24"/>
        </w:rPr>
        <w:t>This law was enacted in 1996 to ensure that the Fireman's Rule would no longer apply, except for suits against the firefighter's employer and co-workers. </w:t>
      </w:r>
    </w:p>
    <w:p w14:paraId="22297884" w14:textId="77777777" w:rsidR="00351E0A" w:rsidRPr="00351E0A" w:rsidRDefault="00351E0A" w:rsidP="00351E0A">
      <w:pPr>
        <w:spacing w:after="0" w:line="240" w:lineRule="auto"/>
        <w:ind w:left="720" w:firstLine="720"/>
        <w:rPr>
          <w:rFonts w:ascii="Times New Roman" w:eastAsia="Times New Roman" w:hAnsi="Times New Roman"/>
          <w:sz w:val="24"/>
          <w:szCs w:val="24"/>
        </w:rPr>
      </w:pPr>
      <w:r w:rsidRPr="00351E0A">
        <w:rPr>
          <w:rFonts w:ascii="Times New Roman" w:eastAsia="Times New Roman" w:hAnsi="Times New Roman"/>
          <w:b/>
          <w:sz w:val="24"/>
          <w:szCs w:val="24"/>
        </w:rPr>
        <w:t>General Municipal Law § 205-e</w:t>
      </w:r>
      <w:r w:rsidRPr="00351E0A">
        <w:rPr>
          <w:rFonts w:ascii="Times New Roman" w:eastAsia="Times New Roman" w:hAnsi="Times New Roman"/>
          <w:sz w:val="24"/>
          <w:szCs w:val="24"/>
        </w:rPr>
        <w:t xml:space="preserve"> </w:t>
      </w:r>
    </w:p>
    <w:p w14:paraId="2C013346" w14:textId="77777777" w:rsidR="00351E0A" w:rsidRPr="00351E0A" w:rsidRDefault="00351E0A" w:rsidP="00351E0A">
      <w:pPr>
        <w:pStyle w:val="ListParagraph"/>
        <w:spacing w:after="0" w:line="240" w:lineRule="auto"/>
        <w:ind w:left="1440"/>
        <w:rPr>
          <w:rFonts w:ascii="Times New Roman" w:eastAsia="Times New Roman" w:hAnsi="Times New Roman" w:cs="Times New Roman"/>
          <w:sz w:val="24"/>
          <w:szCs w:val="24"/>
        </w:rPr>
      </w:pPr>
      <w:r w:rsidRPr="00351E0A">
        <w:rPr>
          <w:rFonts w:ascii="Times New Roman" w:eastAsia="Times New Roman" w:hAnsi="Times New Roman" w:cs="Times New Roman"/>
          <w:sz w:val="24"/>
          <w:szCs w:val="24"/>
        </w:rPr>
        <w:t>This law gives police officers similar rights to those afforded to firefighters under General Municipal Law § 205-a</w:t>
      </w:r>
    </w:p>
    <w:p w14:paraId="4518DDAB" w14:textId="77777777" w:rsidR="00351E0A" w:rsidRDefault="00351E0A" w:rsidP="00351E0A">
      <w:pPr>
        <w:rPr>
          <w:bCs/>
          <w:sz w:val="20"/>
          <w:szCs w:val="20"/>
        </w:rPr>
      </w:pPr>
    </w:p>
    <w:p w14:paraId="7C9E0FE2" w14:textId="77777777" w:rsidR="00351E0A" w:rsidRPr="006D1B8F" w:rsidRDefault="00351E0A" w:rsidP="00277909">
      <w:pPr>
        <w:rPr>
          <w:rFonts w:ascii="Arial Black" w:hAnsi="Arial Black"/>
          <w:sz w:val="24"/>
          <w:szCs w:val="24"/>
        </w:rPr>
      </w:pPr>
    </w:p>
    <w:p w14:paraId="38FAC05D" w14:textId="77777777" w:rsidR="00BC0732" w:rsidRPr="00253954" w:rsidRDefault="00BC0732" w:rsidP="005D5A0C">
      <w:pPr>
        <w:rPr>
          <w:rFonts w:ascii="Times New Roman" w:hAnsi="Times New Roman"/>
          <w:sz w:val="24"/>
          <w:szCs w:val="24"/>
        </w:rPr>
      </w:pPr>
    </w:p>
    <w:p w14:paraId="2ACFF06A" w14:textId="62D24DAD" w:rsidR="005D5A0C" w:rsidRDefault="005D5A0C" w:rsidP="005D5A0C">
      <w:pPr>
        <w:rPr>
          <w:rFonts w:ascii="Arial Black" w:hAnsi="Arial Black"/>
          <w:sz w:val="24"/>
          <w:szCs w:val="24"/>
        </w:rPr>
      </w:pPr>
      <w:r>
        <w:rPr>
          <w:rFonts w:ascii="Arial Black" w:hAnsi="Arial Black"/>
          <w:sz w:val="24"/>
          <w:szCs w:val="24"/>
        </w:rPr>
        <w:t>2-7</w:t>
      </w:r>
      <w:r w:rsidR="00891E1D">
        <w:rPr>
          <w:rFonts w:ascii="Arial Black" w:hAnsi="Arial Black"/>
          <w:sz w:val="24"/>
          <w:szCs w:val="24"/>
        </w:rPr>
        <w:t>7</w:t>
      </w:r>
    </w:p>
    <w:p w14:paraId="01DD8DEF" w14:textId="77777777" w:rsidR="00DE4B6F" w:rsidRPr="00097DD5" w:rsidRDefault="00DE4B6F" w:rsidP="00DE4B6F">
      <w:pPr>
        <w:pStyle w:val="NoSpacing"/>
        <w:rPr>
          <w:rFonts w:ascii="Times New Roman" w:hAnsi="Times New Roman"/>
          <w:b/>
          <w:bCs/>
          <w:sz w:val="24"/>
          <w:szCs w:val="24"/>
        </w:rPr>
      </w:pPr>
      <w:r w:rsidRPr="00097DD5">
        <w:rPr>
          <w:rFonts w:ascii="Times New Roman" w:hAnsi="Times New Roman"/>
          <w:b/>
          <w:bCs/>
          <w:sz w:val="24"/>
          <w:szCs w:val="24"/>
        </w:rPr>
        <w:t>AR: TUCSON – UNCONSCIOUS BUS STOP – STRUCK FF IN FACE – SENTENCED MAX AGGRAVATED ASSAULT – 3.75 YRS</w:t>
      </w:r>
    </w:p>
    <w:p w14:paraId="2B9AB74F" w14:textId="77777777" w:rsidR="00DE4B6F" w:rsidRPr="00097DD5" w:rsidRDefault="00DE4B6F" w:rsidP="00DE4B6F">
      <w:pPr>
        <w:pStyle w:val="NoSpacing"/>
        <w:rPr>
          <w:rFonts w:ascii="Times New Roman" w:hAnsi="Times New Roman"/>
          <w:sz w:val="24"/>
          <w:szCs w:val="24"/>
        </w:rPr>
      </w:pPr>
    </w:p>
    <w:p w14:paraId="69770EFE" w14:textId="77777777" w:rsidR="00DE4B6F" w:rsidRPr="00097DD5" w:rsidRDefault="00DE4B6F" w:rsidP="00DE4B6F">
      <w:pPr>
        <w:pStyle w:val="NoSpacing"/>
        <w:rPr>
          <w:rFonts w:ascii="Times New Roman" w:hAnsi="Times New Roman"/>
          <w:sz w:val="24"/>
          <w:szCs w:val="24"/>
        </w:rPr>
      </w:pPr>
      <w:r w:rsidRPr="00097DD5">
        <w:rPr>
          <w:rFonts w:ascii="Times New Roman" w:hAnsi="Times New Roman"/>
          <w:sz w:val="24"/>
          <w:szCs w:val="24"/>
        </w:rPr>
        <w:t xml:space="preserve">On Oct. 30, 2024, in </w:t>
      </w:r>
      <w:r w:rsidRPr="00097DD5">
        <w:rPr>
          <w:rFonts w:ascii="Times New Roman" w:hAnsi="Times New Roman"/>
          <w:sz w:val="24"/>
          <w:szCs w:val="24"/>
          <w:u w:val="single"/>
        </w:rPr>
        <w:t>State of Arizona v. Adam F. Rivas</w:t>
      </w:r>
      <w:r w:rsidRPr="00097DD5">
        <w:rPr>
          <w:rFonts w:ascii="Times New Roman" w:hAnsi="Times New Roman"/>
          <w:sz w:val="24"/>
          <w:szCs w:val="24"/>
        </w:rPr>
        <w:t xml:space="preserve">, the Arizona Court of Appeals, Division Two held (3 to 0; not for publication decision): “Adam Rivas appeals from his conviction and sentence for aggravated assault, arguing the trial court erred when it considered a prohibited aggravating factor at sentencing. </w:t>
      </w:r>
      <w:proofErr w:type="gramStart"/>
      <w:r w:rsidRPr="00097DD5">
        <w:rPr>
          <w:rFonts w:ascii="Times New Roman" w:hAnsi="Times New Roman"/>
          <w:sz w:val="24"/>
          <w:szCs w:val="24"/>
        </w:rPr>
        <w:t>For the reasons that</w:t>
      </w:r>
      <w:proofErr w:type="gramEnd"/>
      <w:r w:rsidRPr="00097DD5">
        <w:rPr>
          <w:rFonts w:ascii="Times New Roman" w:hAnsi="Times New Roman"/>
          <w:sz w:val="24"/>
          <w:szCs w:val="24"/>
        </w:rPr>
        <w:t xml:space="preserve"> follow, we affirm.” </w:t>
      </w:r>
    </w:p>
    <w:p w14:paraId="17870715" w14:textId="77777777" w:rsidR="00DE4B6F" w:rsidRPr="00097DD5" w:rsidRDefault="00DE4B6F" w:rsidP="00DE4B6F">
      <w:pPr>
        <w:pStyle w:val="NoSpacing"/>
        <w:rPr>
          <w:rFonts w:ascii="Times New Roman" w:hAnsi="Times New Roman"/>
          <w:sz w:val="24"/>
          <w:szCs w:val="24"/>
        </w:rPr>
      </w:pPr>
      <w:hyperlink r:id="rId434" w:history="1">
        <w:r w:rsidRPr="00097DD5">
          <w:rPr>
            <w:rStyle w:val="Hyperlink"/>
            <w:rFonts w:ascii="Times New Roman" w:hAnsi="Times New Roman"/>
            <w:sz w:val="24"/>
            <w:szCs w:val="24"/>
          </w:rPr>
          <w:t>https://cases.justia.com/arizona/court-of-appeals-division-two-unpublished/2024-2-ca-cr-2024-0065.pdf?ts=1730333249</w:t>
        </w:r>
      </w:hyperlink>
      <w:r w:rsidRPr="00097DD5">
        <w:rPr>
          <w:rFonts w:ascii="Times New Roman" w:hAnsi="Times New Roman"/>
          <w:sz w:val="24"/>
          <w:szCs w:val="24"/>
        </w:rPr>
        <w:t xml:space="preserve"> </w:t>
      </w:r>
    </w:p>
    <w:p w14:paraId="22FCB9D7" w14:textId="77777777" w:rsidR="00097DD5" w:rsidRPr="00097DD5" w:rsidRDefault="00097DD5" w:rsidP="00097DD5">
      <w:pPr>
        <w:pStyle w:val="NoSpacing"/>
        <w:rPr>
          <w:rFonts w:ascii="Times New Roman" w:hAnsi="Times New Roman"/>
          <w:b/>
          <w:sz w:val="24"/>
          <w:szCs w:val="24"/>
        </w:rPr>
      </w:pPr>
    </w:p>
    <w:p w14:paraId="5643AABF" w14:textId="576D9BBE" w:rsidR="00097DD5" w:rsidRDefault="00097DD5" w:rsidP="00097DD5">
      <w:pPr>
        <w:pStyle w:val="NoSpacing"/>
        <w:rPr>
          <w:rFonts w:ascii="Times New Roman" w:hAnsi="Times New Roman"/>
          <w:b/>
          <w:sz w:val="24"/>
          <w:szCs w:val="24"/>
        </w:rPr>
      </w:pPr>
      <w:r w:rsidRPr="00097DD5">
        <w:rPr>
          <w:rFonts w:ascii="Times New Roman" w:hAnsi="Times New Roman"/>
          <w:b/>
          <w:sz w:val="24"/>
          <w:szCs w:val="24"/>
        </w:rPr>
        <w:lastRenderedPageBreak/>
        <w:t>Legal Lesson Learned: Trial court when imposing a sentence will consider aggravating facts, such as assaulting a firefighter.</w:t>
      </w:r>
    </w:p>
    <w:p w14:paraId="26EF2BF3" w14:textId="77777777" w:rsidR="00F97332" w:rsidRDefault="00F97332" w:rsidP="00097DD5">
      <w:pPr>
        <w:pStyle w:val="NoSpacing"/>
        <w:rPr>
          <w:rFonts w:ascii="Times New Roman" w:hAnsi="Times New Roman"/>
          <w:b/>
          <w:sz w:val="24"/>
          <w:szCs w:val="24"/>
        </w:rPr>
      </w:pPr>
    </w:p>
    <w:p w14:paraId="012FFA45" w14:textId="77777777" w:rsidR="00F97332" w:rsidRDefault="00F97332" w:rsidP="00097DD5">
      <w:pPr>
        <w:pStyle w:val="NoSpacing"/>
        <w:rPr>
          <w:rFonts w:ascii="Times New Roman" w:hAnsi="Times New Roman"/>
          <w:b/>
          <w:sz w:val="24"/>
          <w:szCs w:val="24"/>
        </w:rPr>
      </w:pPr>
    </w:p>
    <w:p w14:paraId="47309A73" w14:textId="3464B1E6" w:rsidR="005D5A0C" w:rsidRDefault="005D5A0C" w:rsidP="005D5A0C">
      <w:pPr>
        <w:rPr>
          <w:rFonts w:ascii="Arial Black" w:hAnsi="Arial Black"/>
          <w:sz w:val="24"/>
          <w:szCs w:val="24"/>
        </w:rPr>
      </w:pPr>
      <w:r>
        <w:rPr>
          <w:rFonts w:ascii="Arial Black" w:hAnsi="Arial Black"/>
          <w:sz w:val="24"/>
          <w:szCs w:val="24"/>
        </w:rPr>
        <w:t>2-7</w:t>
      </w:r>
      <w:r w:rsidR="00891E1D">
        <w:rPr>
          <w:rFonts w:ascii="Arial Black" w:hAnsi="Arial Black"/>
          <w:sz w:val="24"/>
          <w:szCs w:val="24"/>
        </w:rPr>
        <w:t>6</w:t>
      </w:r>
    </w:p>
    <w:p w14:paraId="3EC94BB4" w14:textId="77777777" w:rsidR="00F97332" w:rsidRDefault="00F97332" w:rsidP="00097DD5">
      <w:pPr>
        <w:pStyle w:val="NoSpacing"/>
        <w:rPr>
          <w:rFonts w:ascii="Times New Roman" w:hAnsi="Times New Roman"/>
          <w:b/>
          <w:sz w:val="24"/>
          <w:szCs w:val="24"/>
        </w:rPr>
      </w:pPr>
    </w:p>
    <w:p w14:paraId="5193593C" w14:textId="77777777" w:rsidR="005D5A0C" w:rsidRPr="0007510D" w:rsidRDefault="005D5A0C" w:rsidP="005D5A0C">
      <w:pPr>
        <w:rPr>
          <w:rFonts w:ascii="Times New Roman" w:hAnsi="Times New Roman"/>
          <w:b/>
          <w:sz w:val="24"/>
          <w:szCs w:val="24"/>
        </w:rPr>
      </w:pPr>
      <w:r w:rsidRPr="0007510D">
        <w:rPr>
          <w:rFonts w:ascii="Times New Roman" w:hAnsi="Times New Roman"/>
          <w:b/>
          <w:sz w:val="24"/>
          <w:szCs w:val="24"/>
        </w:rPr>
        <w:t xml:space="preserve">OH: COLUMBUS FD - FIRE POLE – RIDE-ALONG BREAKS LEG – IMMUNITY “NEG. TRAINING” BUT CASE PROCEED SAFETY </w:t>
      </w:r>
    </w:p>
    <w:p w14:paraId="1CD32692" w14:textId="77777777" w:rsidR="005D5A0C" w:rsidRPr="0007510D" w:rsidRDefault="005D5A0C" w:rsidP="005D5A0C">
      <w:pPr>
        <w:pStyle w:val="NoSpacing"/>
        <w:rPr>
          <w:rFonts w:ascii="Times New Roman" w:hAnsi="Times New Roman"/>
          <w:sz w:val="24"/>
          <w:szCs w:val="24"/>
        </w:rPr>
      </w:pPr>
      <w:r w:rsidRPr="0007510D">
        <w:rPr>
          <w:rFonts w:ascii="Times New Roman" w:hAnsi="Times New Roman"/>
          <w:sz w:val="24"/>
          <w:szCs w:val="24"/>
        </w:rPr>
        <w:t xml:space="preserve">On Oct. 29, 2024, in </w:t>
      </w:r>
      <w:r w:rsidRPr="0007510D">
        <w:rPr>
          <w:rFonts w:ascii="Times New Roman" w:hAnsi="Times New Roman"/>
          <w:sz w:val="24"/>
          <w:szCs w:val="24"/>
          <w:u w:val="single"/>
        </w:rPr>
        <w:t>Keri Howard, et al. v. City of Columbus</w:t>
      </w:r>
      <w:r w:rsidRPr="0007510D">
        <w:rPr>
          <w:rFonts w:ascii="Times New Roman" w:hAnsi="Times New Roman"/>
          <w:sz w:val="24"/>
          <w:szCs w:val="24"/>
        </w:rPr>
        <w:t xml:space="preserve">, the Court of Appeals of Ohio, Tenth Appellate District, held (3 to 0): “Defendant-appellant, City of Columbus (“City”), appeals from a January 23, 2024 decision and entry from the Franklin County Court of Common Pleas granting in part and denying in part its motion for judgment on the pleadings. </w:t>
      </w:r>
      <w:proofErr w:type="gramStart"/>
      <w:r w:rsidRPr="0007510D">
        <w:rPr>
          <w:rFonts w:ascii="Times New Roman" w:hAnsi="Times New Roman"/>
          <w:sz w:val="24"/>
          <w:szCs w:val="24"/>
        </w:rPr>
        <w:t>For the reasons that</w:t>
      </w:r>
      <w:proofErr w:type="gramEnd"/>
      <w:r w:rsidRPr="0007510D">
        <w:rPr>
          <w:rFonts w:ascii="Times New Roman" w:hAnsi="Times New Roman"/>
          <w:sz w:val="24"/>
          <w:szCs w:val="24"/>
        </w:rPr>
        <w:t xml:space="preserve"> follow, we reverse. *** In the City’s sole assignment of error, it argues that the trial court </w:t>
      </w:r>
      <w:proofErr w:type="gramStart"/>
      <w:r w:rsidRPr="0007510D">
        <w:rPr>
          <w:rFonts w:ascii="Times New Roman" w:hAnsi="Times New Roman"/>
          <w:sz w:val="24"/>
          <w:szCs w:val="24"/>
        </w:rPr>
        <w:t>erred by</w:t>
      </w:r>
      <w:proofErr w:type="gramEnd"/>
      <w:r w:rsidRPr="0007510D">
        <w:rPr>
          <w:rFonts w:ascii="Times New Roman" w:hAnsi="Times New Roman"/>
          <w:sz w:val="24"/>
          <w:szCs w:val="24"/>
        </w:rPr>
        <w:t xml:space="preserve"> denying its claim for immunity as to the appellees’ negligent training and supervision</w:t>
      </w:r>
    </w:p>
    <w:p w14:paraId="6B7B655C" w14:textId="77777777" w:rsidR="005D5A0C" w:rsidRPr="0007510D" w:rsidRDefault="005D5A0C" w:rsidP="005D5A0C">
      <w:pPr>
        <w:pStyle w:val="NoSpacing"/>
        <w:rPr>
          <w:rFonts w:ascii="Times New Roman" w:hAnsi="Times New Roman"/>
          <w:sz w:val="24"/>
          <w:szCs w:val="24"/>
        </w:rPr>
      </w:pPr>
      <w:r w:rsidRPr="0007510D">
        <w:rPr>
          <w:rFonts w:ascii="Times New Roman" w:hAnsi="Times New Roman"/>
          <w:sz w:val="24"/>
          <w:szCs w:val="24"/>
        </w:rPr>
        <w:t xml:space="preserve">theory of premises liability. *** The City’s sole assignment of error is sustained, and this matter is </w:t>
      </w:r>
      <w:proofErr w:type="gramStart"/>
      <w:r w:rsidRPr="0007510D">
        <w:rPr>
          <w:rFonts w:ascii="Times New Roman" w:hAnsi="Times New Roman"/>
          <w:sz w:val="24"/>
          <w:szCs w:val="24"/>
        </w:rPr>
        <w:t>remanded</w:t>
      </w:r>
      <w:proofErr w:type="gramEnd"/>
      <w:r w:rsidRPr="0007510D">
        <w:rPr>
          <w:rFonts w:ascii="Times New Roman" w:hAnsi="Times New Roman"/>
          <w:sz w:val="24"/>
          <w:szCs w:val="24"/>
        </w:rPr>
        <w:t xml:space="preserve"> for further proceedings as to the remaining causes of action [including (2) Defendants failed to warn [Mrs. Howard] not to go down the fire pole. 3) Defendants were negligent due to the absence of any warning or safety equipment appended to the fire pole or near it. 4) Defendant failed to train [Mrs. Howard] how to go down the fire pole].</w:t>
      </w:r>
    </w:p>
    <w:p w14:paraId="77EC6EB5" w14:textId="77777777" w:rsidR="005D5A0C" w:rsidRPr="0007510D" w:rsidRDefault="005D5A0C" w:rsidP="005D5A0C">
      <w:pPr>
        <w:pStyle w:val="NoSpacing"/>
        <w:rPr>
          <w:rFonts w:ascii="Times New Roman" w:hAnsi="Times New Roman"/>
          <w:sz w:val="24"/>
          <w:szCs w:val="24"/>
        </w:rPr>
      </w:pPr>
      <w:hyperlink r:id="rId435" w:history="1">
        <w:r w:rsidRPr="0007510D">
          <w:rPr>
            <w:rStyle w:val="Hyperlink"/>
            <w:rFonts w:ascii="Times New Roman" w:hAnsi="Times New Roman"/>
            <w:sz w:val="24"/>
            <w:szCs w:val="24"/>
          </w:rPr>
          <w:t>https://www.supremecourt.ohio.gov/rod/docs/pdf/10/2024/2024-Ohio-5181.pdf</w:t>
        </w:r>
      </w:hyperlink>
      <w:r w:rsidRPr="0007510D">
        <w:rPr>
          <w:rFonts w:ascii="Times New Roman" w:hAnsi="Times New Roman"/>
          <w:sz w:val="24"/>
          <w:szCs w:val="24"/>
        </w:rPr>
        <w:t xml:space="preserve"> </w:t>
      </w:r>
    </w:p>
    <w:p w14:paraId="4460125C" w14:textId="77777777" w:rsidR="005D5A0C" w:rsidRPr="0007510D" w:rsidRDefault="005D5A0C" w:rsidP="005D5A0C">
      <w:pPr>
        <w:pStyle w:val="NoSpacing"/>
        <w:rPr>
          <w:rFonts w:ascii="Times New Roman" w:hAnsi="Times New Roman"/>
          <w:b/>
          <w:sz w:val="24"/>
          <w:szCs w:val="24"/>
        </w:rPr>
      </w:pPr>
    </w:p>
    <w:p w14:paraId="34AD2FF6" w14:textId="77777777" w:rsidR="005D5A0C" w:rsidRPr="0007510D" w:rsidRDefault="005D5A0C" w:rsidP="005D5A0C">
      <w:pPr>
        <w:pStyle w:val="NoSpacing"/>
        <w:rPr>
          <w:rFonts w:ascii="Times New Roman" w:hAnsi="Times New Roman"/>
          <w:b/>
          <w:bCs/>
          <w:sz w:val="24"/>
          <w:szCs w:val="24"/>
        </w:rPr>
      </w:pPr>
      <w:r w:rsidRPr="0007510D">
        <w:rPr>
          <w:rFonts w:ascii="Times New Roman" w:hAnsi="Times New Roman"/>
          <w:b/>
          <w:sz w:val="24"/>
          <w:szCs w:val="24"/>
        </w:rPr>
        <w:t xml:space="preserve">egal Lesson Learned – Make sure “ride-along” </w:t>
      </w:r>
      <w:r w:rsidRPr="0007510D">
        <w:rPr>
          <w:rFonts w:ascii="Times New Roman" w:hAnsi="Times New Roman"/>
          <w:b/>
          <w:bCs/>
          <w:sz w:val="24"/>
          <w:szCs w:val="24"/>
        </w:rPr>
        <w:t xml:space="preserve">demonstrates </w:t>
      </w:r>
      <w:r w:rsidRPr="0007510D">
        <w:rPr>
          <w:rFonts w:ascii="Times New Roman" w:hAnsi="Times New Roman"/>
          <w:b/>
          <w:sz w:val="24"/>
          <w:szCs w:val="24"/>
        </w:rPr>
        <w:t xml:space="preserve">how to </w:t>
      </w:r>
      <w:r w:rsidRPr="0007510D">
        <w:rPr>
          <w:rFonts w:ascii="Times New Roman" w:hAnsi="Times New Roman"/>
          <w:b/>
          <w:bCs/>
          <w:sz w:val="24"/>
          <w:szCs w:val="24"/>
        </w:rPr>
        <w:t xml:space="preserve">safely </w:t>
      </w:r>
      <w:r w:rsidRPr="0007510D">
        <w:rPr>
          <w:rFonts w:ascii="Times New Roman" w:hAnsi="Times New Roman"/>
          <w:b/>
          <w:sz w:val="24"/>
          <w:szCs w:val="24"/>
        </w:rPr>
        <w:t>go down the fire pole or require</w:t>
      </w:r>
      <w:r w:rsidRPr="0007510D">
        <w:rPr>
          <w:rFonts w:ascii="Times New Roman" w:hAnsi="Times New Roman"/>
          <w:b/>
          <w:bCs/>
          <w:sz w:val="24"/>
          <w:szCs w:val="24"/>
        </w:rPr>
        <w:t xml:space="preserve"> </w:t>
      </w:r>
      <w:r w:rsidRPr="0007510D">
        <w:rPr>
          <w:rFonts w:ascii="Times New Roman" w:hAnsi="Times New Roman"/>
          <w:b/>
          <w:sz w:val="24"/>
          <w:szCs w:val="24"/>
        </w:rPr>
        <w:t xml:space="preserve">use </w:t>
      </w:r>
      <w:r w:rsidRPr="0007510D">
        <w:rPr>
          <w:rFonts w:ascii="Times New Roman" w:hAnsi="Times New Roman"/>
          <w:b/>
          <w:bCs/>
          <w:sz w:val="24"/>
          <w:szCs w:val="24"/>
        </w:rPr>
        <w:t>of the</w:t>
      </w:r>
      <w:r w:rsidRPr="0007510D">
        <w:rPr>
          <w:rFonts w:ascii="Times New Roman" w:hAnsi="Times New Roman"/>
          <w:b/>
          <w:sz w:val="24"/>
          <w:szCs w:val="24"/>
        </w:rPr>
        <w:t xml:space="preserve"> stairs.  </w:t>
      </w:r>
    </w:p>
    <w:p w14:paraId="7315B05A" w14:textId="77777777" w:rsidR="005D5A0C" w:rsidRDefault="005D5A0C" w:rsidP="005D5A0C">
      <w:pPr>
        <w:pStyle w:val="NoSpacing"/>
        <w:rPr>
          <w:rFonts w:asciiTheme="majorHAnsi" w:hAnsiTheme="majorHAnsi"/>
          <w:b/>
          <w:bCs/>
          <w:sz w:val="28"/>
        </w:rPr>
      </w:pPr>
    </w:p>
    <w:p w14:paraId="3ED008A4" w14:textId="77777777" w:rsidR="00F97332" w:rsidRPr="00097DD5" w:rsidRDefault="00F97332" w:rsidP="00097DD5">
      <w:pPr>
        <w:pStyle w:val="NoSpacing"/>
        <w:rPr>
          <w:rFonts w:ascii="Times New Roman" w:hAnsi="Times New Roman"/>
          <w:b/>
          <w:sz w:val="24"/>
          <w:szCs w:val="24"/>
        </w:rPr>
      </w:pPr>
    </w:p>
    <w:p w14:paraId="7CFA4D6E" w14:textId="77777777" w:rsidR="00097DD5" w:rsidRPr="00097DD5" w:rsidRDefault="00097DD5" w:rsidP="00097DD5">
      <w:pPr>
        <w:pStyle w:val="NoSpacing"/>
        <w:rPr>
          <w:rFonts w:ascii="Times New Roman" w:hAnsi="Times New Roman"/>
          <w:sz w:val="24"/>
          <w:szCs w:val="24"/>
        </w:rPr>
      </w:pPr>
    </w:p>
    <w:p w14:paraId="422EDACD" w14:textId="77777777" w:rsidR="00727472" w:rsidRPr="00097DD5" w:rsidRDefault="00727472" w:rsidP="00286F24">
      <w:pPr>
        <w:rPr>
          <w:rFonts w:ascii="Times New Roman" w:hAnsi="Times New Roman"/>
          <w:sz w:val="24"/>
          <w:szCs w:val="24"/>
        </w:rPr>
      </w:pPr>
    </w:p>
    <w:p w14:paraId="23AA95E0" w14:textId="1EFB9C98" w:rsidR="00727472" w:rsidRDefault="00727472"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5</w:t>
      </w:r>
    </w:p>
    <w:p w14:paraId="00F6BBC9" w14:textId="77777777" w:rsidR="008545A2" w:rsidRPr="000617DD" w:rsidRDefault="008545A2" w:rsidP="008545A2">
      <w:pPr>
        <w:pStyle w:val="NoSpacing"/>
        <w:rPr>
          <w:rFonts w:ascii="Times New Roman" w:hAnsi="Times New Roman"/>
          <w:b/>
          <w:bCs/>
          <w:sz w:val="24"/>
          <w:szCs w:val="24"/>
        </w:rPr>
      </w:pPr>
      <w:r w:rsidRPr="000617DD">
        <w:rPr>
          <w:rFonts w:ascii="Times New Roman" w:hAnsi="Times New Roman"/>
          <w:b/>
          <w:bCs/>
          <w:sz w:val="24"/>
          <w:szCs w:val="24"/>
        </w:rPr>
        <w:t>KY: “FIREMAN’S RULE” EXCEPTION - TROPPER I-71 INJURED BY 2 TRUCKERS SPEEDING – SUE COMPANIES DAMAGES</w:t>
      </w:r>
    </w:p>
    <w:p w14:paraId="6B144FC2" w14:textId="77777777" w:rsidR="00434296" w:rsidRPr="000617DD" w:rsidRDefault="00434296" w:rsidP="00434296">
      <w:pPr>
        <w:pStyle w:val="NoSpacing"/>
        <w:rPr>
          <w:b/>
          <w:bCs/>
          <w:sz w:val="24"/>
          <w:szCs w:val="24"/>
        </w:rPr>
      </w:pPr>
    </w:p>
    <w:p w14:paraId="0544A9A9" w14:textId="77777777" w:rsidR="00434296" w:rsidRPr="000617DD" w:rsidRDefault="00434296" w:rsidP="00434296">
      <w:pPr>
        <w:pStyle w:val="NoSpacing"/>
        <w:rPr>
          <w:rFonts w:ascii="Times New Roman" w:hAnsi="Times New Roman"/>
          <w:sz w:val="24"/>
          <w:szCs w:val="24"/>
        </w:rPr>
      </w:pPr>
      <w:r w:rsidRPr="000617DD">
        <w:rPr>
          <w:rFonts w:ascii="Times New Roman" w:hAnsi="Times New Roman"/>
          <w:sz w:val="24"/>
          <w:szCs w:val="24"/>
        </w:rPr>
        <w:t xml:space="preserve">On Oct. 24, 2024, in </w:t>
      </w:r>
      <w:r w:rsidRPr="000617DD">
        <w:rPr>
          <w:rFonts w:ascii="Times New Roman" w:hAnsi="Times New Roman"/>
          <w:sz w:val="24"/>
          <w:szCs w:val="24"/>
          <w:u w:val="single"/>
        </w:rPr>
        <w:t>Wooster Motor Ways, Inc.; James Baumhower; EC Delivery. LLC; Kentucky Farm Bureau Mutual Insurance ;and Teddy Seer v. Michael Gonterman; Jenna Gonterman; and Kentucky Self-Insured Auto Program Risk &amp; Insurance Services Division</w:t>
      </w:r>
      <w:r w:rsidRPr="000617DD">
        <w:rPr>
          <w:rFonts w:ascii="Times New Roman" w:hAnsi="Times New Roman"/>
          <w:sz w:val="24"/>
          <w:szCs w:val="24"/>
        </w:rPr>
        <w:t>, the Supreme Court of Kentucky held (7 to 0):  “The Firefighter’s Rule (‘the Rule’) is a ‘common law rule of long standing,’ judicially created as a ‘public policy’ exception to the liability for</w:t>
      </w:r>
    </w:p>
    <w:p w14:paraId="362D6654" w14:textId="77777777" w:rsidR="00434296" w:rsidRPr="000617DD" w:rsidRDefault="00434296" w:rsidP="00434296">
      <w:pPr>
        <w:pStyle w:val="NoSpacing"/>
        <w:rPr>
          <w:rFonts w:ascii="Times New Roman" w:hAnsi="Times New Roman"/>
          <w:sz w:val="24"/>
          <w:szCs w:val="24"/>
        </w:rPr>
      </w:pPr>
      <w:r w:rsidRPr="000617DD">
        <w:rPr>
          <w:rFonts w:ascii="Times New Roman" w:hAnsi="Times New Roman"/>
          <w:sz w:val="24"/>
          <w:szCs w:val="24"/>
        </w:rPr>
        <w:t>negligence which might otherwise exist.’ *** As applied here, a police officer is injured by the independent negligence of another while performing his duty as a public employee, the Rule will not act to bar suit against the negligent party.”</w:t>
      </w:r>
    </w:p>
    <w:p w14:paraId="35B05D25" w14:textId="06BB6542" w:rsidR="00434296" w:rsidRPr="000617DD" w:rsidRDefault="00434296" w:rsidP="00434296">
      <w:pPr>
        <w:rPr>
          <w:rFonts w:ascii="Times New Roman" w:hAnsi="Times New Roman"/>
          <w:sz w:val="24"/>
          <w:szCs w:val="24"/>
        </w:rPr>
      </w:pPr>
      <w:hyperlink r:id="rId436" w:history="1">
        <w:r w:rsidRPr="000617DD">
          <w:rPr>
            <w:rStyle w:val="Hyperlink"/>
            <w:rFonts w:ascii="Times New Roman" w:hAnsi="Times New Roman"/>
            <w:sz w:val="24"/>
            <w:szCs w:val="24"/>
          </w:rPr>
          <w:t>https://cases.justia.com/kentucky/supreme-court/2024-2023-sc-0062-dg.pdf?ts=1729778750</w:t>
        </w:r>
      </w:hyperlink>
    </w:p>
    <w:p w14:paraId="2B1EBEBB" w14:textId="77777777" w:rsidR="000617DD" w:rsidRPr="000617DD" w:rsidRDefault="000617DD" w:rsidP="000617DD">
      <w:pPr>
        <w:rPr>
          <w:rFonts w:ascii="Times New Roman" w:hAnsi="Times New Roman"/>
          <w:b/>
          <w:bCs/>
          <w:sz w:val="24"/>
          <w:szCs w:val="24"/>
        </w:rPr>
      </w:pPr>
      <w:r w:rsidRPr="000617DD">
        <w:rPr>
          <w:rFonts w:ascii="Times New Roman" w:hAnsi="Times New Roman"/>
          <w:b/>
          <w:sz w:val="24"/>
          <w:szCs w:val="24"/>
        </w:rPr>
        <w:t>Legal Lesson Learned: Excellent decision finding an exception to the Fireman’s Rule</w:t>
      </w:r>
      <w:r w:rsidRPr="000617DD">
        <w:rPr>
          <w:rFonts w:ascii="Times New Roman" w:hAnsi="Times New Roman"/>
          <w:b/>
          <w:bCs/>
          <w:sz w:val="24"/>
          <w:szCs w:val="24"/>
        </w:rPr>
        <w:t xml:space="preserve">; some states have abolished the Fireman’s Rule completely. </w:t>
      </w:r>
    </w:p>
    <w:p w14:paraId="5FA19E77" w14:textId="77777777" w:rsidR="0025049B" w:rsidRDefault="0025049B" w:rsidP="00286F24">
      <w:pPr>
        <w:rPr>
          <w:rFonts w:ascii="Arial Black" w:hAnsi="Arial Black"/>
          <w:sz w:val="24"/>
          <w:szCs w:val="24"/>
        </w:rPr>
      </w:pPr>
    </w:p>
    <w:p w14:paraId="35784B6E" w14:textId="77ED1449" w:rsidR="003C080C" w:rsidRDefault="003C080C"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4</w:t>
      </w:r>
    </w:p>
    <w:p w14:paraId="769C9414" w14:textId="77777777" w:rsidR="003C080C" w:rsidRPr="00A71365" w:rsidRDefault="003C080C" w:rsidP="003C080C">
      <w:pPr>
        <w:pStyle w:val="NoSpacing"/>
        <w:rPr>
          <w:rFonts w:ascii="Arial Black" w:hAnsi="Arial Black"/>
          <w:sz w:val="28"/>
        </w:rPr>
      </w:pPr>
      <w:r w:rsidRPr="00A71365">
        <w:rPr>
          <w:rFonts w:ascii="Arial Black" w:hAnsi="Arial Black"/>
          <w:sz w:val="28"/>
        </w:rPr>
        <w:lastRenderedPageBreak/>
        <w:t>CA: FED</w:t>
      </w:r>
      <w:r>
        <w:rPr>
          <w:rFonts w:ascii="Arial Black" w:hAnsi="Arial Black"/>
          <w:sz w:val="28"/>
        </w:rPr>
        <w:t xml:space="preserve">ERAL GOV’T SUES </w:t>
      </w:r>
      <w:r w:rsidRPr="00A71365">
        <w:rPr>
          <w:rFonts w:ascii="Arial Black" w:hAnsi="Arial Black"/>
          <w:sz w:val="28"/>
        </w:rPr>
        <w:t>MANUF</w:t>
      </w:r>
      <w:r>
        <w:rPr>
          <w:rFonts w:ascii="Arial Black" w:hAnsi="Arial Black"/>
          <w:sz w:val="28"/>
        </w:rPr>
        <w:t xml:space="preserve">. OF </w:t>
      </w:r>
      <w:r w:rsidRPr="00A71365">
        <w:rPr>
          <w:rFonts w:ascii="Arial Black" w:hAnsi="Arial Black"/>
          <w:sz w:val="28"/>
        </w:rPr>
        <w:t>SMOKE BOMBS</w:t>
      </w:r>
      <w:r>
        <w:rPr>
          <w:rFonts w:ascii="Arial Black" w:hAnsi="Arial Black"/>
          <w:sz w:val="28"/>
        </w:rPr>
        <w:t xml:space="preserve"> – EXCESSIVE SPARKS</w:t>
      </w:r>
      <w:r w:rsidRPr="00A71365">
        <w:rPr>
          <w:rFonts w:ascii="Arial Black" w:hAnsi="Arial Black"/>
          <w:sz w:val="28"/>
        </w:rPr>
        <w:t xml:space="preserve"> –</w:t>
      </w:r>
      <w:r>
        <w:rPr>
          <w:rFonts w:ascii="Arial Black" w:hAnsi="Arial Black"/>
          <w:sz w:val="28"/>
        </w:rPr>
        <w:t xml:space="preserve"> </w:t>
      </w:r>
      <w:r w:rsidRPr="00A71365">
        <w:rPr>
          <w:rFonts w:ascii="Arial Black" w:hAnsi="Arial Black"/>
          <w:sz w:val="28"/>
        </w:rPr>
        <w:t>FOREST FIRE</w:t>
      </w:r>
      <w:r>
        <w:rPr>
          <w:rFonts w:ascii="Arial Black" w:hAnsi="Arial Black"/>
          <w:sz w:val="28"/>
        </w:rPr>
        <w:t xml:space="preserve"> / L</w:t>
      </w:r>
      <w:r w:rsidRPr="00A71365">
        <w:rPr>
          <w:rFonts w:ascii="Arial Black" w:hAnsi="Arial Black"/>
          <w:sz w:val="28"/>
        </w:rPr>
        <w:t>ODD</w:t>
      </w:r>
      <w:r>
        <w:rPr>
          <w:rFonts w:ascii="Arial Black" w:hAnsi="Arial Black"/>
          <w:sz w:val="28"/>
        </w:rPr>
        <w:t xml:space="preserve"> / </w:t>
      </w:r>
      <w:r w:rsidRPr="00A71365">
        <w:rPr>
          <w:rFonts w:ascii="Arial Black" w:hAnsi="Arial Black"/>
          <w:sz w:val="28"/>
        </w:rPr>
        <w:t xml:space="preserve">$41M </w:t>
      </w:r>
    </w:p>
    <w:p w14:paraId="6FE9C962" w14:textId="77777777" w:rsidR="003C080C" w:rsidRPr="00CE14C4" w:rsidRDefault="003C080C" w:rsidP="003C080C">
      <w:pPr>
        <w:pStyle w:val="NoSpacing"/>
        <w:rPr>
          <w:rFonts w:ascii="Times New Roman" w:hAnsi="Times New Roman"/>
          <w:sz w:val="24"/>
          <w:szCs w:val="24"/>
        </w:rPr>
      </w:pPr>
    </w:p>
    <w:p w14:paraId="76DFBA32" w14:textId="77777777" w:rsidR="003C080C" w:rsidRPr="00CE14C4" w:rsidRDefault="003C080C" w:rsidP="003C080C">
      <w:pPr>
        <w:pStyle w:val="NoSpacing"/>
        <w:rPr>
          <w:rFonts w:ascii="Times New Roman" w:hAnsi="Times New Roman"/>
          <w:sz w:val="24"/>
          <w:szCs w:val="24"/>
        </w:rPr>
      </w:pPr>
      <w:r w:rsidRPr="00CE14C4">
        <w:rPr>
          <w:rFonts w:ascii="Times New Roman" w:hAnsi="Times New Roman"/>
          <w:sz w:val="24"/>
          <w:szCs w:val="24"/>
        </w:rPr>
        <w:t xml:space="preserve">On September 27, 2024, in </w:t>
      </w:r>
      <w:r w:rsidRPr="00CE14C4">
        <w:rPr>
          <w:rFonts w:ascii="Times New Roman" w:hAnsi="Times New Roman"/>
          <w:sz w:val="24"/>
          <w:szCs w:val="24"/>
          <w:u w:val="single"/>
        </w:rPr>
        <w:t>United States of America v. Wholesale Fireworks Corporation, et al</w:t>
      </w:r>
      <w:r w:rsidRPr="00CE14C4">
        <w:rPr>
          <w:rFonts w:ascii="Times New Roman" w:hAnsi="Times New Roman"/>
          <w:sz w:val="24"/>
          <w:szCs w:val="24"/>
        </w:rPr>
        <w:t xml:space="preserve">.,  United States District Court Judge Maame Ewusi-Mensah Frimpong,  U.S. District Court for Central District of California, denied Wholesale Firework Corporation’s (Hubard, Ohio) motion to dismiss; lawsuit to proceed against that corporation, as well as their distributor (American Fireworks Warehouse) and family that set off the two smoke bombs.  On Sept. 5, 2020, defendants Refugio and Angelina Jimenz set off two smoke bombs at a “gender reveal” party near the National Forest in San Bernadino; the fire destroyed 22,744 acres, damaged or destroyed 24 buildings, resulted in line-of-duty death of Charles Morton, and cost $41 million in fire suppression cost.  The Court wrote:  “[t] the United States alleges Wholesale Fireworks’ failure to properly design and manufacture the gender reveal smoke bombs resulted in the emission of excessive sparks, flames, and molten materials…. The FAC [First Amended Complaint] also alleges that Wholesale Fireworks failed to adequately provide labeling to warn of dangers or instruct on the safe use of the gender reveal smoke bombs….  Additionally, the gender reveal smoke bombs failed to bear the California State Fire Marshall Registration Seal, rendering them illegal in California….  Accordingly, the Court finds that the United States has plausibly alleged that Wholesale Fireworks breached the duty of care imposed by California and federal law.” </w:t>
      </w:r>
      <w:hyperlink r:id="rId437" w:history="1">
        <w:r w:rsidRPr="00CE14C4">
          <w:rPr>
            <w:rStyle w:val="Hyperlink"/>
            <w:rFonts w:ascii="Times New Roman" w:hAnsi="Times New Roman"/>
            <w:sz w:val="24"/>
            <w:szCs w:val="24"/>
          </w:rPr>
          <w:t>https://www.courthousenews.com/wp-content/uploads/2024/09/wholesale-fireworks-ruling.pdf</w:t>
        </w:r>
      </w:hyperlink>
      <w:r w:rsidRPr="00CE14C4">
        <w:rPr>
          <w:rFonts w:ascii="Times New Roman" w:hAnsi="Times New Roman"/>
          <w:sz w:val="24"/>
          <w:szCs w:val="24"/>
        </w:rPr>
        <w:t xml:space="preserve"> </w:t>
      </w:r>
    </w:p>
    <w:p w14:paraId="7FF70B45" w14:textId="77777777" w:rsidR="003C080C" w:rsidRPr="00CE14C4" w:rsidRDefault="003C080C" w:rsidP="003C080C">
      <w:pPr>
        <w:pStyle w:val="NoSpacing"/>
        <w:rPr>
          <w:rFonts w:ascii="Times New Roman" w:hAnsi="Times New Roman"/>
          <w:sz w:val="24"/>
          <w:szCs w:val="24"/>
        </w:rPr>
      </w:pPr>
    </w:p>
    <w:p w14:paraId="437840B1" w14:textId="77777777" w:rsidR="003C080C" w:rsidRPr="00CE14C4" w:rsidRDefault="003C080C" w:rsidP="003C080C">
      <w:pPr>
        <w:pStyle w:val="NoSpacing"/>
        <w:rPr>
          <w:rFonts w:ascii="Times New Roman" w:hAnsi="Times New Roman"/>
          <w:sz w:val="24"/>
          <w:szCs w:val="24"/>
        </w:rPr>
      </w:pPr>
      <w:r w:rsidRPr="00CE14C4">
        <w:rPr>
          <w:rFonts w:ascii="Times New Roman" w:hAnsi="Times New Roman"/>
          <w:sz w:val="24"/>
          <w:szCs w:val="24"/>
        </w:rPr>
        <w:t>THE COURT HELD:</w:t>
      </w:r>
    </w:p>
    <w:p w14:paraId="77568C0E" w14:textId="77777777" w:rsidR="003C080C" w:rsidRPr="00CE14C4" w:rsidRDefault="003C080C" w:rsidP="003C080C">
      <w:pPr>
        <w:pStyle w:val="NoSpacing"/>
        <w:rPr>
          <w:rFonts w:ascii="Times New Roman" w:hAnsi="Times New Roman"/>
          <w:sz w:val="24"/>
          <w:szCs w:val="24"/>
        </w:rPr>
      </w:pPr>
    </w:p>
    <w:p w14:paraId="4E47F969" w14:textId="77777777" w:rsidR="003C080C" w:rsidRDefault="003C080C" w:rsidP="003C080C">
      <w:pPr>
        <w:pStyle w:val="NoSpacing"/>
        <w:ind w:left="720"/>
        <w:rPr>
          <w:rFonts w:ascii="Times New Roman" w:hAnsi="Times New Roman"/>
          <w:sz w:val="24"/>
          <w:szCs w:val="24"/>
        </w:rPr>
      </w:pPr>
      <w:r w:rsidRPr="00CE14C4">
        <w:rPr>
          <w:rFonts w:ascii="Times New Roman" w:hAnsi="Times New Roman"/>
          <w:sz w:val="24"/>
          <w:szCs w:val="24"/>
        </w:rPr>
        <w:t xml:space="preserve">“T]he Court finds that it is plausible that Wholesale Fireworks allowed the fire to occur. If an entity knows or has reason to know of the risks that may result from the defective labeling or design of its product, yet fails to adequately provide such labeling, it follows that the entity consequently allowed for that danger to ensue. Wholesale Fireworks knew or had reason to know of the risks of fire that may result from the defective labeling or design of the gender </w:t>
      </w:r>
      <w:proofErr w:type="gramStart"/>
      <w:r w:rsidRPr="00CE14C4">
        <w:rPr>
          <w:rFonts w:ascii="Times New Roman" w:hAnsi="Times New Roman"/>
          <w:sz w:val="24"/>
          <w:szCs w:val="24"/>
        </w:rPr>
        <w:t>reveal</w:t>
      </w:r>
      <w:proofErr w:type="gramEnd"/>
      <w:r w:rsidRPr="00CE14C4">
        <w:rPr>
          <w:rFonts w:ascii="Times New Roman" w:hAnsi="Times New Roman"/>
          <w:sz w:val="24"/>
          <w:szCs w:val="24"/>
        </w:rPr>
        <w:t xml:space="preserve"> smoke bombs given </w:t>
      </w:r>
      <w:proofErr w:type="gramStart"/>
      <w:r w:rsidRPr="00CE14C4">
        <w:rPr>
          <w:rFonts w:ascii="Times New Roman" w:hAnsi="Times New Roman"/>
          <w:sz w:val="24"/>
          <w:szCs w:val="24"/>
        </w:rPr>
        <w:t>its</w:t>
      </w:r>
      <w:proofErr w:type="gramEnd"/>
      <w:r w:rsidRPr="00CE14C4">
        <w:rPr>
          <w:rFonts w:ascii="Times New Roman" w:hAnsi="Times New Roman"/>
          <w:sz w:val="24"/>
          <w:szCs w:val="24"/>
        </w:rPr>
        <w:t xml:space="preserve"> training in the industry. Wholesale Fireworks failed to adequately provide warnings </w:t>
      </w:r>
      <w:proofErr w:type="gramStart"/>
      <w:r w:rsidRPr="00CE14C4">
        <w:rPr>
          <w:rFonts w:ascii="Times New Roman" w:hAnsi="Times New Roman"/>
          <w:sz w:val="24"/>
          <w:szCs w:val="24"/>
        </w:rPr>
        <w:t>of</w:t>
      </w:r>
      <w:proofErr w:type="gramEnd"/>
      <w:r w:rsidRPr="00CE14C4">
        <w:rPr>
          <w:rFonts w:ascii="Times New Roman" w:hAnsi="Times New Roman"/>
          <w:sz w:val="24"/>
          <w:szCs w:val="24"/>
        </w:rPr>
        <w:t xml:space="preserve"> the risk of fire that may </w:t>
      </w:r>
      <w:proofErr w:type="gramStart"/>
      <w:r w:rsidRPr="00CE14C4">
        <w:rPr>
          <w:rFonts w:ascii="Times New Roman" w:hAnsi="Times New Roman"/>
          <w:sz w:val="24"/>
          <w:szCs w:val="24"/>
        </w:rPr>
        <w:t>ensue</w:t>
      </w:r>
      <w:proofErr w:type="gramEnd"/>
      <w:r w:rsidRPr="00CE14C4">
        <w:rPr>
          <w:rFonts w:ascii="Times New Roman" w:hAnsi="Times New Roman"/>
          <w:sz w:val="24"/>
          <w:szCs w:val="24"/>
        </w:rPr>
        <w:t xml:space="preserve"> from the misuse of its product, despite knowing or having reason to know of the risks of such danger. Further, this failure was in violation of the law. Therefore, Wholesale Fireworks, in essence, allowed the fire to occur.”</w:t>
      </w:r>
    </w:p>
    <w:p w14:paraId="3A380298" w14:textId="77777777" w:rsidR="003C080C" w:rsidRPr="00BE0BB3" w:rsidRDefault="003C080C" w:rsidP="003C080C">
      <w:pPr>
        <w:pStyle w:val="NoSpacing"/>
        <w:rPr>
          <w:rFonts w:ascii="Times New Roman" w:hAnsi="Times New Roman"/>
          <w:b/>
          <w:bCs/>
          <w:sz w:val="24"/>
          <w:szCs w:val="24"/>
        </w:rPr>
      </w:pPr>
      <w:r w:rsidRPr="00BE0BB3">
        <w:rPr>
          <w:rFonts w:ascii="Times New Roman" w:hAnsi="Times New Roman"/>
          <w:b/>
          <w:bCs/>
          <w:sz w:val="24"/>
          <w:szCs w:val="24"/>
        </w:rPr>
        <w:t>Legal Lesson Learned: The manufacturer of smoke bombs has a duty to warn users about the risks of excessive sparks, flames, and molten materials.</w:t>
      </w:r>
    </w:p>
    <w:p w14:paraId="60F5FA5A" w14:textId="77777777" w:rsidR="006D679A" w:rsidRDefault="006D679A" w:rsidP="003C080C">
      <w:pPr>
        <w:ind w:left="720"/>
        <w:rPr>
          <w:rFonts w:ascii="Times New Roman" w:hAnsi="Times New Roman"/>
          <w:sz w:val="24"/>
          <w:szCs w:val="24"/>
        </w:rPr>
      </w:pPr>
    </w:p>
    <w:p w14:paraId="11C845B5" w14:textId="5AD2B852" w:rsidR="003C080C" w:rsidRPr="00BE0BB3" w:rsidRDefault="003C080C" w:rsidP="003C080C">
      <w:pPr>
        <w:ind w:left="720"/>
        <w:rPr>
          <w:rFonts w:ascii="Times New Roman" w:hAnsi="Times New Roman"/>
          <w:sz w:val="24"/>
          <w:szCs w:val="24"/>
        </w:rPr>
      </w:pPr>
      <w:r w:rsidRPr="00BE0BB3">
        <w:rPr>
          <w:rFonts w:ascii="Times New Roman" w:hAnsi="Times New Roman"/>
          <w:sz w:val="24"/>
          <w:szCs w:val="24"/>
        </w:rPr>
        <w:t xml:space="preserve">Note: National Fallen Firefighter Foundation: “Charles Morton, squad boss on the Big Bear Interagency Hotshot Crew, died during interagency fire suppression activities on the El Dorado Fire in the San Bernardino National Forest in California on September 17, 2020. He had been a firefighter for 18 years, 14 of those with the U.S. Forest Service.” </w:t>
      </w:r>
      <w:hyperlink r:id="rId438" w:history="1">
        <w:r w:rsidRPr="00BE0BB3">
          <w:rPr>
            <w:rStyle w:val="Hyperlink"/>
            <w:rFonts w:ascii="Times New Roman" w:hAnsi="Times New Roman"/>
            <w:sz w:val="24"/>
            <w:szCs w:val="24"/>
          </w:rPr>
          <w:t>https://www.firehero.org/fallen-firefighter/charles-e-morton/</w:t>
        </w:r>
      </w:hyperlink>
      <w:r w:rsidRPr="00BE0BB3">
        <w:rPr>
          <w:rFonts w:ascii="Times New Roman" w:hAnsi="Times New Roman"/>
          <w:sz w:val="24"/>
          <w:szCs w:val="24"/>
        </w:rPr>
        <w:t xml:space="preserve"> </w:t>
      </w:r>
    </w:p>
    <w:p w14:paraId="4B26E4FB" w14:textId="77777777" w:rsidR="003C080C" w:rsidRPr="00CE14C4" w:rsidRDefault="003C080C" w:rsidP="003C080C">
      <w:pPr>
        <w:pStyle w:val="NoSpacing"/>
        <w:ind w:left="720"/>
        <w:rPr>
          <w:rFonts w:ascii="Times New Roman" w:hAnsi="Times New Roman"/>
          <w:sz w:val="24"/>
          <w:szCs w:val="24"/>
        </w:rPr>
      </w:pPr>
    </w:p>
    <w:p w14:paraId="2E2B3BD0" w14:textId="77777777" w:rsidR="003C080C" w:rsidRDefault="003C080C" w:rsidP="003C080C">
      <w:pPr>
        <w:pStyle w:val="NoSpacing"/>
        <w:ind w:left="720"/>
      </w:pPr>
    </w:p>
    <w:p w14:paraId="519FB2D6" w14:textId="144D49D1" w:rsidR="003C080C" w:rsidRDefault="00B34767"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3</w:t>
      </w:r>
    </w:p>
    <w:p w14:paraId="30DB49B2" w14:textId="77777777" w:rsidR="00B34767" w:rsidRDefault="00B34767" w:rsidP="00B34767">
      <w:pPr>
        <w:pStyle w:val="NoSpacing"/>
        <w:rPr>
          <w:rFonts w:ascii="Arial Black" w:hAnsi="Arial Black"/>
          <w:sz w:val="28"/>
        </w:rPr>
      </w:pPr>
      <w:r>
        <w:rPr>
          <w:rFonts w:ascii="Arial Black" w:hAnsi="Arial Black"/>
          <w:sz w:val="28"/>
        </w:rPr>
        <w:t>TX: PATIENT FIRES 2 SHOTS / THEN PULLS KNIFE ON EMS DURING TRANSPORT – SENTENCED LIFE IMPRISONMENT</w:t>
      </w:r>
    </w:p>
    <w:p w14:paraId="67A7050F" w14:textId="77777777" w:rsidR="00B34767" w:rsidRDefault="00B34767" w:rsidP="00B34767">
      <w:pPr>
        <w:pStyle w:val="NoSpacing"/>
        <w:rPr>
          <w:szCs w:val="24"/>
        </w:rPr>
      </w:pPr>
    </w:p>
    <w:p w14:paraId="0D79F0A9"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 xml:space="preserve">On September 19, 2024, in </w:t>
      </w:r>
      <w:r w:rsidRPr="00B34767">
        <w:rPr>
          <w:rFonts w:ascii="Times New Roman" w:hAnsi="Times New Roman"/>
          <w:sz w:val="24"/>
          <w:szCs w:val="24"/>
          <w:u w:val="single"/>
        </w:rPr>
        <w:t>Michael McMillian v. The State of Texas</w:t>
      </w:r>
      <w:r w:rsidRPr="00B34767">
        <w:rPr>
          <w:rFonts w:ascii="Times New Roman" w:hAnsi="Times New Roman"/>
          <w:sz w:val="24"/>
          <w:szCs w:val="24"/>
        </w:rPr>
        <w:t xml:space="preserve">, the Court of Appeals of Texas, Eleventh District, held (3 to 0; unpublished decision) that jury properly convicted defendant of two separate offenses against same victim – aggravated assault with gun, and aggravated assault with knife against EMT Tahnee Marks.  The Court wrote: “The jury found Appellant guilty of all six counts and the trial court assessed </w:t>
      </w:r>
      <w:r w:rsidRPr="00B34767">
        <w:rPr>
          <w:rFonts w:ascii="Times New Roman" w:hAnsi="Times New Roman"/>
          <w:sz w:val="24"/>
          <w:szCs w:val="24"/>
        </w:rPr>
        <w:lastRenderedPageBreak/>
        <w:t>punishment at confinement in the Institutional Division of the Texas Department of Criminal Justice for terms ranging from forty years to life—all to run concurrently. *** Here, Appellant was charged with,</w:t>
      </w:r>
    </w:p>
    <w:p w14:paraId="1A123F91"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 xml:space="preserve">convicted </w:t>
      </w:r>
      <w:proofErr w:type="gramStart"/>
      <w:r w:rsidRPr="00B34767">
        <w:rPr>
          <w:rFonts w:ascii="Times New Roman" w:hAnsi="Times New Roman"/>
          <w:sz w:val="24"/>
          <w:szCs w:val="24"/>
        </w:rPr>
        <w:t>of, and</w:t>
      </w:r>
      <w:proofErr w:type="gramEnd"/>
      <w:r w:rsidRPr="00B34767">
        <w:rPr>
          <w:rFonts w:ascii="Times New Roman" w:hAnsi="Times New Roman"/>
          <w:sz w:val="24"/>
          <w:szCs w:val="24"/>
        </w:rPr>
        <w:t xml:space="preserve"> punished for two separate violations of a single statutory offense.</w:t>
      </w:r>
    </w:p>
    <w:p w14:paraId="491D4BAE"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 xml:space="preserve">Therefore, the double jeopardy protections are not implicated here.” </w:t>
      </w:r>
      <w:hyperlink r:id="rId439" w:history="1">
        <w:r w:rsidRPr="00B34767">
          <w:rPr>
            <w:rStyle w:val="Hyperlink"/>
            <w:rFonts w:ascii="Times New Roman" w:hAnsi="Times New Roman"/>
            <w:sz w:val="24"/>
            <w:szCs w:val="24"/>
          </w:rPr>
          <w:t>https://cases.justia.com/texas/eleventh-court-of-appeals/2024-11-22-00155-cr.pdf?ts=1726749633</w:t>
        </w:r>
      </w:hyperlink>
      <w:r w:rsidRPr="00B34767">
        <w:rPr>
          <w:rFonts w:ascii="Times New Roman" w:hAnsi="Times New Roman"/>
          <w:sz w:val="24"/>
          <w:szCs w:val="24"/>
        </w:rPr>
        <w:t xml:space="preserve"> </w:t>
      </w:r>
    </w:p>
    <w:p w14:paraId="03ED4049" w14:textId="77777777" w:rsidR="00B34767" w:rsidRPr="00B34767" w:rsidRDefault="00B34767" w:rsidP="00B34767">
      <w:pPr>
        <w:pStyle w:val="NoSpacing"/>
        <w:rPr>
          <w:rFonts w:ascii="Times New Roman" w:hAnsi="Times New Roman"/>
          <w:sz w:val="24"/>
          <w:szCs w:val="24"/>
        </w:rPr>
      </w:pPr>
    </w:p>
    <w:p w14:paraId="3FC7DD7A"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THE COURT HELD:</w:t>
      </w:r>
    </w:p>
    <w:p w14:paraId="71886A8F" w14:textId="77777777" w:rsidR="00B34767" w:rsidRPr="00B34767" w:rsidRDefault="00B34767" w:rsidP="00B34767">
      <w:pPr>
        <w:pStyle w:val="NoSpacing"/>
        <w:rPr>
          <w:rFonts w:ascii="Times New Roman" w:hAnsi="Times New Roman"/>
          <w:sz w:val="24"/>
          <w:szCs w:val="24"/>
        </w:rPr>
      </w:pPr>
    </w:p>
    <w:p w14:paraId="196CD69B"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“The testimony shows there was a separation—though short—between the first</w:t>
      </w:r>
    </w:p>
    <w:p w14:paraId="7F71A616"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time Appellant threatened Meeks with a gun, and the second time Appellant</w:t>
      </w:r>
    </w:p>
    <w:p w14:paraId="45FD9985"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threatened Meeks with a knife. Meeks described the time in which she was not in</w:t>
      </w:r>
    </w:p>
    <w:p w14:paraId="2CF76327"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the ambulance and was not in a direct struggle with Appellant. Meeks additionally</w:t>
      </w:r>
    </w:p>
    <w:p w14:paraId="29A38EDC"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was able to radio for help two times, once at the end of the first threat, and again</w:t>
      </w:r>
    </w:p>
    <w:p w14:paraId="02AC508A"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right before the second threat. Double jeopardy defines the “same offense” as</w:t>
      </w:r>
    </w:p>
    <w:p w14:paraId="279A5D9B"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 xml:space="preserve">identical criminal acts—not merely the same offense by name. See Ex </w:t>
      </w:r>
      <w:proofErr w:type="spellStart"/>
      <w:r w:rsidRPr="00B34767">
        <w:rPr>
          <w:rFonts w:ascii="Times New Roman" w:hAnsi="Times New Roman"/>
          <w:sz w:val="24"/>
          <w:szCs w:val="24"/>
        </w:rPr>
        <w:t>parte</w:t>
      </w:r>
      <w:proofErr w:type="spellEnd"/>
    </w:p>
    <w:p w14:paraId="6805C1E0"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Goodbread, 967 S.W.2d 859, 860 (Tex. Crim. App. 1998) (citing Luna v. State, 439</w:t>
      </w:r>
    </w:p>
    <w:p w14:paraId="3FEB928E"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S.W.2d 854, 855 (Tex. Crim. App. 1973)).”</w:t>
      </w:r>
    </w:p>
    <w:p w14:paraId="4B6225CE" w14:textId="77777777" w:rsidR="00B34767" w:rsidRPr="00B34767" w:rsidRDefault="00B34767" w:rsidP="00B34767">
      <w:pPr>
        <w:pStyle w:val="NoSpacing"/>
        <w:ind w:firstLine="720"/>
        <w:rPr>
          <w:rFonts w:ascii="Times New Roman" w:hAnsi="Times New Roman"/>
          <w:sz w:val="24"/>
          <w:szCs w:val="24"/>
        </w:rPr>
      </w:pPr>
    </w:p>
    <w:p w14:paraId="5419B923" w14:textId="77777777" w:rsidR="00B34767" w:rsidRPr="00B34767" w:rsidRDefault="00B34767" w:rsidP="00B34767">
      <w:pPr>
        <w:pStyle w:val="NoSpacing"/>
        <w:ind w:left="720"/>
        <w:rPr>
          <w:rFonts w:ascii="Times New Roman" w:hAnsi="Times New Roman"/>
          <w:sz w:val="24"/>
          <w:szCs w:val="24"/>
        </w:rPr>
      </w:pPr>
    </w:p>
    <w:p w14:paraId="79E0593E" w14:textId="29179A1D" w:rsidR="00B34767" w:rsidRPr="00B34767" w:rsidRDefault="00B34767" w:rsidP="00B34767">
      <w:pPr>
        <w:pStyle w:val="NoSpacing"/>
        <w:rPr>
          <w:rFonts w:ascii="Times New Roman" w:hAnsi="Times New Roman"/>
          <w:b/>
          <w:bCs/>
          <w:sz w:val="24"/>
          <w:szCs w:val="24"/>
        </w:rPr>
      </w:pPr>
      <w:r w:rsidRPr="00B34767">
        <w:rPr>
          <w:rFonts w:ascii="Times New Roman" w:hAnsi="Times New Roman"/>
          <w:b/>
          <w:bCs/>
          <w:sz w:val="24"/>
          <w:szCs w:val="24"/>
        </w:rPr>
        <w:t xml:space="preserve">Legal Lesson Learned: No double jeopardy for two offenses against </w:t>
      </w:r>
      <w:r w:rsidR="00B276FE">
        <w:rPr>
          <w:rFonts w:ascii="Times New Roman" w:hAnsi="Times New Roman"/>
          <w:b/>
          <w:bCs/>
          <w:sz w:val="24"/>
          <w:szCs w:val="24"/>
        </w:rPr>
        <w:t xml:space="preserve">the </w:t>
      </w:r>
      <w:r w:rsidRPr="00B34767">
        <w:rPr>
          <w:rFonts w:ascii="Times New Roman" w:hAnsi="Times New Roman"/>
          <w:b/>
          <w:bCs/>
          <w:sz w:val="24"/>
          <w:szCs w:val="24"/>
        </w:rPr>
        <w:t>same victim.  EMS should check patient clothing for weapons prior to transport.</w:t>
      </w:r>
    </w:p>
    <w:p w14:paraId="2ECC9516" w14:textId="77777777" w:rsidR="00B34767" w:rsidRDefault="00B34767" w:rsidP="00B34767">
      <w:pPr>
        <w:pStyle w:val="NoSpacing"/>
      </w:pPr>
    </w:p>
    <w:p w14:paraId="798046AE" w14:textId="77777777" w:rsidR="00B34767" w:rsidRDefault="00B34767" w:rsidP="00B34767">
      <w:pPr>
        <w:pStyle w:val="NoSpacing"/>
      </w:pPr>
    </w:p>
    <w:p w14:paraId="6B36D020" w14:textId="77777777" w:rsidR="00B34767" w:rsidRDefault="00B34767" w:rsidP="00286F24">
      <w:pPr>
        <w:rPr>
          <w:rFonts w:ascii="Arial Black" w:hAnsi="Arial Black"/>
          <w:sz w:val="24"/>
          <w:szCs w:val="24"/>
        </w:rPr>
      </w:pPr>
    </w:p>
    <w:p w14:paraId="0F548D5F" w14:textId="77777777" w:rsidR="003C080C" w:rsidRDefault="003C080C" w:rsidP="00286F24">
      <w:pPr>
        <w:rPr>
          <w:rFonts w:ascii="Arial Black" w:hAnsi="Arial Black"/>
          <w:sz w:val="24"/>
          <w:szCs w:val="24"/>
        </w:rPr>
      </w:pPr>
    </w:p>
    <w:p w14:paraId="7AEAC9BB" w14:textId="2E2CB599" w:rsidR="005C3A2A" w:rsidRDefault="00E03026"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2</w:t>
      </w:r>
    </w:p>
    <w:p w14:paraId="630C1EA6" w14:textId="1A838424" w:rsidR="00671D64" w:rsidRDefault="00671D64" w:rsidP="00671D64">
      <w:pPr>
        <w:rPr>
          <w:rFonts w:ascii="Arial Black" w:hAnsi="Arial Black"/>
          <w:b/>
          <w:bCs/>
          <w:sz w:val="28"/>
        </w:rPr>
      </w:pPr>
      <w:r>
        <w:rPr>
          <w:rFonts w:ascii="Arial Black" w:hAnsi="Arial Black"/>
          <w:b/>
          <w:bCs/>
          <w:sz w:val="28"/>
        </w:rPr>
        <w:t xml:space="preserve">MI: FF KILLED RESTAURANT FIRE – SEARCH WARRANT OWNER’S PROPERTIES, NOT CHARGED – </w:t>
      </w:r>
      <w:r w:rsidR="00D50A15">
        <w:rPr>
          <w:rFonts w:ascii="Arial Black" w:hAnsi="Arial Black"/>
          <w:b/>
          <w:bCs/>
          <w:sz w:val="28"/>
        </w:rPr>
        <w:t>INVESTIGATOR</w:t>
      </w:r>
      <w:r>
        <w:rPr>
          <w:rFonts w:ascii="Arial Black" w:hAnsi="Arial Black"/>
          <w:b/>
          <w:bCs/>
          <w:sz w:val="28"/>
        </w:rPr>
        <w:t xml:space="preserve"> IMMUNITY</w:t>
      </w:r>
    </w:p>
    <w:p w14:paraId="6300B98B" w14:textId="77777777" w:rsidR="00671D64" w:rsidRPr="00671D64" w:rsidRDefault="00671D64" w:rsidP="00671D64">
      <w:pPr>
        <w:rPr>
          <w:rFonts w:ascii="Times New Roman" w:hAnsi="Times New Roman"/>
          <w:sz w:val="24"/>
          <w:szCs w:val="24"/>
        </w:rPr>
      </w:pPr>
      <w:r w:rsidRPr="00671D64">
        <w:rPr>
          <w:rFonts w:ascii="Times New Roman" w:hAnsi="Times New Roman"/>
          <w:sz w:val="24"/>
          <w:szCs w:val="24"/>
        </w:rPr>
        <w:t xml:space="preserve">On Aug. 23, 2024, in </w:t>
      </w:r>
      <w:r w:rsidRPr="00671D64">
        <w:rPr>
          <w:rFonts w:ascii="Times New Roman" w:hAnsi="Times New Roman"/>
          <w:sz w:val="24"/>
          <w:szCs w:val="24"/>
          <w:u w:val="single"/>
        </w:rPr>
        <w:t>George Marvaso, et al. v. Richard Sanchez</w:t>
      </w:r>
      <w:r w:rsidRPr="00671D64">
        <w:rPr>
          <w:rFonts w:ascii="Times New Roman" w:hAnsi="Times New Roman"/>
          <w:sz w:val="24"/>
          <w:szCs w:val="24"/>
        </w:rPr>
        <w:t>, the U.S. Court of Appeals for 6</w:t>
      </w:r>
      <w:r w:rsidRPr="00671D64">
        <w:rPr>
          <w:rFonts w:ascii="Times New Roman" w:hAnsi="Times New Roman"/>
          <w:sz w:val="24"/>
          <w:szCs w:val="24"/>
          <w:vertAlign w:val="superscript"/>
        </w:rPr>
        <w:t>th</w:t>
      </w:r>
      <w:r w:rsidRPr="00671D64">
        <w:rPr>
          <w:rFonts w:ascii="Times New Roman" w:hAnsi="Times New Roman"/>
          <w:sz w:val="24"/>
          <w:szCs w:val="24"/>
        </w:rPr>
        <w:t xml:space="preserve"> Circuit (Cincinnati) held (3 to 0; unpublished opinion) that Michigan State Patrol lieutenant Richard Sanchez was properly dismissed from lawsuit.  Firefighter Brian Woehlke died </w:t>
      </w:r>
      <w:proofErr w:type="gramStart"/>
      <w:r w:rsidRPr="00671D64">
        <w:rPr>
          <w:rFonts w:ascii="Times New Roman" w:hAnsi="Times New Roman"/>
          <w:sz w:val="24"/>
          <w:szCs w:val="24"/>
        </w:rPr>
        <w:t>in</w:t>
      </w:r>
      <w:proofErr w:type="gramEnd"/>
      <w:r w:rsidRPr="00671D64">
        <w:rPr>
          <w:rFonts w:ascii="Times New Roman" w:hAnsi="Times New Roman"/>
          <w:sz w:val="24"/>
          <w:szCs w:val="24"/>
        </w:rPr>
        <w:t xml:space="preserve"> May 8, </w:t>
      </w:r>
      <w:proofErr w:type="gramStart"/>
      <w:r w:rsidRPr="00671D64">
        <w:rPr>
          <w:rFonts w:ascii="Times New Roman" w:hAnsi="Times New Roman"/>
          <w:sz w:val="24"/>
          <w:szCs w:val="24"/>
        </w:rPr>
        <w:t>2013</w:t>
      </w:r>
      <w:proofErr w:type="gramEnd"/>
      <w:r w:rsidRPr="00671D64">
        <w:rPr>
          <w:rFonts w:ascii="Times New Roman" w:hAnsi="Times New Roman"/>
          <w:sz w:val="24"/>
          <w:szCs w:val="24"/>
        </w:rPr>
        <w:t xml:space="preserve"> fire at </w:t>
      </w:r>
      <w:proofErr w:type="spellStart"/>
      <w:r w:rsidRPr="00671D64">
        <w:rPr>
          <w:rFonts w:ascii="Times New Roman" w:hAnsi="Times New Roman"/>
          <w:sz w:val="24"/>
          <w:szCs w:val="24"/>
        </w:rPr>
        <w:t>Marvaso’s</w:t>
      </w:r>
      <w:proofErr w:type="spellEnd"/>
      <w:r w:rsidRPr="00671D64">
        <w:rPr>
          <w:rFonts w:ascii="Times New Roman" w:hAnsi="Times New Roman"/>
          <w:sz w:val="24"/>
          <w:szCs w:val="24"/>
        </w:rPr>
        <w:t xml:space="preserve"> Italian Grille in Westland, Michigan. The Court wrote: “According to Plaintiffs, Sanchez knowingly omitted key information and knowingly included false information in drafting the affidavits, which resulted in the execution of illegal search warrants that violated their Fourth Amendment rights. To support their argument, Plaintiffs list various factual omissions that they claim would have affected the magistrate judge’s ultimate probable cause determination. However, with or without </w:t>
      </w:r>
      <w:proofErr w:type="gramStart"/>
      <w:r w:rsidRPr="00671D64">
        <w:rPr>
          <w:rFonts w:ascii="Times New Roman" w:hAnsi="Times New Roman"/>
          <w:sz w:val="24"/>
          <w:szCs w:val="24"/>
        </w:rPr>
        <w:t>the consideration</w:t>
      </w:r>
      <w:proofErr w:type="gramEnd"/>
      <w:r w:rsidRPr="00671D64">
        <w:rPr>
          <w:rFonts w:ascii="Times New Roman" w:hAnsi="Times New Roman"/>
          <w:sz w:val="24"/>
          <w:szCs w:val="24"/>
        </w:rPr>
        <w:t xml:space="preserve"> of the additional facts that Plaintiffs proffer, there would have been probable cause to search their homes. Because no Fourth Amendment violation occurred, we agree with the district court’s determination that Sanchez is entitled to qualified immunity.” </w:t>
      </w:r>
      <w:hyperlink r:id="rId440" w:history="1">
        <w:r w:rsidRPr="00671D64">
          <w:rPr>
            <w:rStyle w:val="Hyperlink"/>
            <w:rFonts w:ascii="Times New Roman" w:hAnsi="Times New Roman"/>
            <w:sz w:val="24"/>
            <w:szCs w:val="24"/>
          </w:rPr>
          <w:t>https://www.opn.ca6.uscourts.gov/opinions.pdf/24a0367n-06.pdf</w:t>
        </w:r>
      </w:hyperlink>
      <w:r w:rsidRPr="00671D64">
        <w:rPr>
          <w:rFonts w:ascii="Times New Roman" w:hAnsi="Times New Roman"/>
          <w:sz w:val="24"/>
          <w:szCs w:val="24"/>
        </w:rPr>
        <w:t xml:space="preserve"> </w:t>
      </w:r>
    </w:p>
    <w:p w14:paraId="2DDAF146" w14:textId="77777777" w:rsidR="00671D64" w:rsidRPr="00671D64" w:rsidRDefault="00671D64" w:rsidP="00671D64">
      <w:pPr>
        <w:rPr>
          <w:rFonts w:ascii="Times New Roman" w:hAnsi="Times New Roman"/>
          <w:sz w:val="24"/>
          <w:szCs w:val="24"/>
        </w:rPr>
      </w:pPr>
      <w:r w:rsidRPr="00671D64">
        <w:rPr>
          <w:rFonts w:ascii="Times New Roman" w:hAnsi="Times New Roman"/>
          <w:sz w:val="24"/>
          <w:szCs w:val="24"/>
        </w:rPr>
        <w:t xml:space="preserve">[Note: State OSHA fined the FD $3,500; FF entered; evacuation ordered but only 2 came out. </w:t>
      </w:r>
      <w:hyperlink r:id="rId441" w:history="1">
        <w:r w:rsidRPr="00671D64">
          <w:rPr>
            <w:rStyle w:val="Hyperlink"/>
            <w:rFonts w:ascii="Times New Roman" w:hAnsi="Times New Roman"/>
            <w:sz w:val="24"/>
            <w:szCs w:val="24"/>
          </w:rPr>
          <w:t>https://www.osha.gov/ords/imis/establishment.inspection_detail?id=315378885</w:t>
        </w:r>
      </w:hyperlink>
      <w:r w:rsidRPr="00671D64">
        <w:rPr>
          <w:rFonts w:ascii="Times New Roman" w:hAnsi="Times New Roman"/>
          <w:sz w:val="24"/>
          <w:szCs w:val="24"/>
        </w:rPr>
        <w:t>.]</w:t>
      </w:r>
    </w:p>
    <w:p w14:paraId="4366D3DC" w14:textId="77777777" w:rsidR="00671D64" w:rsidRPr="00671D64" w:rsidRDefault="00671D64" w:rsidP="00671D64">
      <w:pPr>
        <w:pStyle w:val="NoSpacing"/>
        <w:rPr>
          <w:rFonts w:ascii="Times New Roman" w:hAnsi="Times New Roman"/>
          <w:sz w:val="24"/>
          <w:szCs w:val="24"/>
        </w:rPr>
      </w:pPr>
      <w:r w:rsidRPr="00671D64">
        <w:rPr>
          <w:rFonts w:ascii="Times New Roman" w:hAnsi="Times New Roman"/>
          <w:sz w:val="24"/>
          <w:szCs w:val="24"/>
        </w:rPr>
        <w:t xml:space="preserve"> </w:t>
      </w:r>
    </w:p>
    <w:p w14:paraId="5ADA790F" w14:textId="77777777" w:rsidR="00671D64" w:rsidRPr="00671D64" w:rsidRDefault="00671D64" w:rsidP="00671D64">
      <w:pPr>
        <w:pStyle w:val="NoSpacing"/>
        <w:rPr>
          <w:rFonts w:ascii="Times New Roman" w:hAnsi="Times New Roman"/>
          <w:sz w:val="24"/>
          <w:szCs w:val="24"/>
        </w:rPr>
      </w:pPr>
      <w:r w:rsidRPr="00671D64">
        <w:rPr>
          <w:rFonts w:ascii="Times New Roman" w:hAnsi="Times New Roman"/>
          <w:sz w:val="24"/>
          <w:szCs w:val="24"/>
        </w:rPr>
        <w:t>THE COURT HELD:</w:t>
      </w:r>
    </w:p>
    <w:p w14:paraId="0A6321FF" w14:textId="77777777" w:rsidR="00671D64" w:rsidRPr="00671D64" w:rsidRDefault="00671D64" w:rsidP="00671D64">
      <w:pPr>
        <w:pStyle w:val="NoSpacing"/>
        <w:rPr>
          <w:rFonts w:ascii="Times New Roman" w:hAnsi="Times New Roman"/>
          <w:sz w:val="24"/>
          <w:szCs w:val="24"/>
        </w:rPr>
      </w:pPr>
    </w:p>
    <w:p w14:paraId="181BFC8B" w14:textId="77777777" w:rsidR="00671D64" w:rsidRPr="00671D64" w:rsidRDefault="00671D64" w:rsidP="00671D64">
      <w:pPr>
        <w:pStyle w:val="NoSpacing"/>
        <w:ind w:left="720"/>
        <w:rPr>
          <w:rFonts w:ascii="Times New Roman" w:hAnsi="Times New Roman"/>
          <w:sz w:val="24"/>
          <w:szCs w:val="24"/>
        </w:rPr>
      </w:pPr>
      <w:r w:rsidRPr="00671D64">
        <w:rPr>
          <w:rFonts w:ascii="Times New Roman" w:hAnsi="Times New Roman"/>
          <w:sz w:val="24"/>
          <w:szCs w:val="24"/>
        </w:rPr>
        <w:t xml:space="preserve">“First, and perhaps most importantly, Plaintiffs argue that Sanchez withheld the </w:t>
      </w:r>
    </w:p>
    <w:p w14:paraId="04B43039" w14:textId="77777777" w:rsidR="00671D64" w:rsidRPr="00671D64" w:rsidRDefault="00671D64" w:rsidP="00671D64">
      <w:pPr>
        <w:pStyle w:val="NoSpacing"/>
        <w:ind w:left="720"/>
        <w:rPr>
          <w:rFonts w:ascii="Times New Roman" w:hAnsi="Times New Roman"/>
          <w:sz w:val="24"/>
          <w:szCs w:val="24"/>
        </w:rPr>
      </w:pPr>
      <w:r w:rsidRPr="00671D64">
        <w:rPr>
          <w:rFonts w:ascii="Times New Roman" w:hAnsi="Times New Roman"/>
          <w:sz w:val="24"/>
          <w:szCs w:val="24"/>
        </w:rPr>
        <w:t>reports of two other fire investigators that concluded that the fire classification was ‘undetermined,’ not ‘incendiary.’  Yet, in writing his search warrant affidavits, Sanchez solely mentioned the most recent fire investigation report, which concluded that the fire was incendiary. Although Sanchez certainly should have provided the magistrate judge with the full picture of the various investigations that had occurred, a status of ‘undetermined’ does not rule out arson. In other words, two reports that failed to arrive at any conclusion at all do not negate or contradict the third report that concluded the fire was likely incendiary. And, without any reports directly contradicting the report that concluded foul play caused the fire, this third report serves as essential evidence to the determination of probable cause, even considering the other two reports. Further, even if the magistrate had the two ‘undetermined’ reports, there was still likely enough evidence in the affidavit to clear the low bar of probable cause. Cf. Gerstein v. Pugh, 420 U.S. 103, 121(1975) (holding that the probable cause determination ‘does not require the fine resolution of conflicting evidence that a reasonable-doubt or even a preponderance standard demands’). Therefore, this omitted fact does not defeat the probable cause determination.”</w:t>
      </w:r>
    </w:p>
    <w:p w14:paraId="0FAAB860" w14:textId="77777777" w:rsidR="00671D64" w:rsidRPr="00671D64" w:rsidRDefault="00671D64" w:rsidP="00671D64">
      <w:pPr>
        <w:pStyle w:val="NoSpacing"/>
        <w:rPr>
          <w:rFonts w:ascii="Times New Roman" w:hAnsi="Times New Roman"/>
          <w:sz w:val="24"/>
          <w:szCs w:val="24"/>
        </w:rPr>
      </w:pPr>
    </w:p>
    <w:p w14:paraId="2C273E6A" w14:textId="77777777" w:rsidR="00671D64" w:rsidRDefault="00671D64" w:rsidP="00671D64">
      <w:pPr>
        <w:pStyle w:val="NoSpacing"/>
        <w:rPr>
          <w:rFonts w:ascii="Times New Roman" w:hAnsi="Times New Roman"/>
          <w:b/>
          <w:bCs/>
          <w:sz w:val="24"/>
          <w:szCs w:val="24"/>
        </w:rPr>
      </w:pPr>
      <w:r w:rsidRPr="00671D64">
        <w:rPr>
          <w:rFonts w:ascii="Times New Roman" w:hAnsi="Times New Roman"/>
          <w:b/>
          <w:bCs/>
          <w:sz w:val="24"/>
          <w:szCs w:val="24"/>
        </w:rPr>
        <w:t xml:space="preserve">Legal Lesson Learned: Arson investigators enjoy qualified immunity if search warrant was sufficient to show probable cause, even if some exculpatory information was not included. </w:t>
      </w:r>
    </w:p>
    <w:p w14:paraId="72819135" w14:textId="77777777" w:rsidR="008A1352" w:rsidRDefault="008A1352" w:rsidP="00671D64">
      <w:pPr>
        <w:pStyle w:val="NoSpacing"/>
        <w:rPr>
          <w:rFonts w:ascii="Times New Roman" w:hAnsi="Times New Roman"/>
          <w:b/>
          <w:bCs/>
          <w:sz w:val="24"/>
          <w:szCs w:val="24"/>
        </w:rPr>
      </w:pPr>
    </w:p>
    <w:p w14:paraId="44FCEAF4" w14:textId="77777777" w:rsidR="008A1352" w:rsidRPr="008A1352" w:rsidRDefault="008A1352" w:rsidP="008A1352">
      <w:pPr>
        <w:ind w:left="720"/>
        <w:rPr>
          <w:rFonts w:ascii="Times New Roman" w:hAnsi="Times New Roman"/>
          <w:sz w:val="24"/>
          <w:szCs w:val="24"/>
        </w:rPr>
      </w:pPr>
      <w:r w:rsidRPr="008A1352">
        <w:rPr>
          <w:rFonts w:ascii="Times New Roman" w:hAnsi="Times New Roman"/>
          <w:sz w:val="24"/>
          <w:szCs w:val="24"/>
        </w:rPr>
        <w:t xml:space="preserve">Note: </w:t>
      </w:r>
    </w:p>
    <w:p w14:paraId="35CE6BA8"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See May 30, </w:t>
      </w:r>
      <w:proofErr w:type="gramStart"/>
      <w:r w:rsidRPr="008A1352">
        <w:rPr>
          <w:rFonts w:ascii="Times New Roman" w:hAnsi="Times New Roman" w:cs="Times New Roman"/>
          <w:sz w:val="24"/>
          <w:szCs w:val="24"/>
        </w:rPr>
        <w:t>2023</w:t>
      </w:r>
      <w:proofErr w:type="gramEnd"/>
      <w:r w:rsidRPr="008A1352">
        <w:rPr>
          <w:rFonts w:ascii="Times New Roman" w:hAnsi="Times New Roman" w:cs="Times New Roman"/>
          <w:sz w:val="24"/>
          <w:szCs w:val="24"/>
        </w:rPr>
        <w:t xml:space="preserve"> article - Westland firefighters remember Brian Woehlke's 'biggest smile' a decade after his death. </w:t>
      </w:r>
      <w:hyperlink r:id="rId442" w:history="1">
        <w:r w:rsidRPr="008A1352">
          <w:rPr>
            <w:rStyle w:val="Hyperlink"/>
            <w:rFonts w:ascii="Times New Roman" w:hAnsi="Times New Roman" w:cs="Times New Roman"/>
            <w:sz w:val="24"/>
            <w:szCs w:val="24"/>
          </w:rPr>
          <w:t>https://www.hometownlife.com/story/news/2023/05/27/westland-firefighters-brian-woehlke-arson-homicide-investigation/70244259007/</w:t>
        </w:r>
      </w:hyperlink>
      <w:r w:rsidRPr="008A1352">
        <w:rPr>
          <w:rFonts w:ascii="Times New Roman" w:hAnsi="Times New Roman" w:cs="Times New Roman"/>
          <w:sz w:val="24"/>
          <w:szCs w:val="24"/>
        </w:rPr>
        <w:t xml:space="preserve">   “Michigan State Police Lt. Mike Shaw said the case is still open and the agency is still actively seeking information. A National Institute of Occupational Safety and Health </w:t>
      </w:r>
      <w:hyperlink r:id="rId443" w:history="1">
        <w:r w:rsidRPr="008A1352">
          <w:rPr>
            <w:rStyle w:val="Hyperlink"/>
            <w:rFonts w:ascii="Times New Roman" w:hAnsi="Times New Roman" w:cs="Times New Roman"/>
            <w:sz w:val="24"/>
            <w:szCs w:val="24"/>
          </w:rPr>
          <w:t>report from 2016 concluded</w:t>
        </w:r>
      </w:hyperlink>
      <w:r w:rsidRPr="008A1352">
        <w:rPr>
          <w:rFonts w:ascii="Times New Roman" w:hAnsi="Times New Roman" w:cs="Times New Roman"/>
          <w:sz w:val="24"/>
          <w:szCs w:val="24"/>
        </w:rPr>
        <w:t xml:space="preserve"> staffing issues and below-industry standard equipment could have played roles in Woehlke's death.”</w:t>
      </w:r>
    </w:p>
    <w:p w14:paraId="4B04DDC7" w14:textId="77777777" w:rsidR="008A1352" w:rsidRPr="008A1352" w:rsidRDefault="008A1352" w:rsidP="008A1352">
      <w:pPr>
        <w:ind w:left="720"/>
        <w:rPr>
          <w:rFonts w:ascii="Times New Roman" w:hAnsi="Times New Roman"/>
          <w:sz w:val="24"/>
          <w:szCs w:val="24"/>
        </w:rPr>
      </w:pPr>
    </w:p>
    <w:p w14:paraId="14BCFBA7"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April 15, </w:t>
      </w:r>
      <w:proofErr w:type="gramStart"/>
      <w:r w:rsidRPr="008A1352">
        <w:rPr>
          <w:rFonts w:ascii="Times New Roman" w:hAnsi="Times New Roman" w:cs="Times New Roman"/>
          <w:sz w:val="24"/>
          <w:szCs w:val="24"/>
        </w:rPr>
        <w:t>2016</w:t>
      </w:r>
      <w:proofErr w:type="gramEnd"/>
      <w:r w:rsidRPr="008A1352">
        <w:rPr>
          <w:rFonts w:ascii="Times New Roman" w:hAnsi="Times New Roman" w:cs="Times New Roman"/>
          <w:sz w:val="24"/>
          <w:szCs w:val="24"/>
        </w:rPr>
        <w:t xml:space="preserve"> article – “Federal agency releases report on fatal Westland fire.” </w:t>
      </w:r>
      <w:hyperlink r:id="rId444" w:history="1">
        <w:r w:rsidRPr="008A1352">
          <w:rPr>
            <w:rStyle w:val="Hyperlink"/>
            <w:rFonts w:ascii="Times New Roman" w:hAnsi="Times New Roman" w:cs="Times New Roman"/>
            <w:sz w:val="24"/>
            <w:szCs w:val="24"/>
          </w:rPr>
          <w:t>https://www.hometownlife.com/story/news/local/westland/2016/04/15/report-released-westland-firefighter-death/83087498/</w:t>
        </w:r>
      </w:hyperlink>
      <w:r w:rsidRPr="008A1352">
        <w:rPr>
          <w:rFonts w:ascii="Times New Roman" w:hAnsi="Times New Roman" w:cs="Times New Roman"/>
          <w:sz w:val="24"/>
          <w:szCs w:val="24"/>
        </w:rPr>
        <w:t xml:space="preserve">  “On Friday, the National Institute of Occupational Safety and Health, a division of the Centers for Disease Control, officially issued its 113-page report investigating the death of Brian Woehlke, who died in the line of duty May 8, 2013. The report provides a detailed account of what happened during the fatal fire, which has been ruled a case of arson and homicide. *** The hose team decided to exit the structure. As they were leaving, Woehlke became separated from the other two crew members. The incident commander saw the two members of the hose team and called over the radio for Woehlke, who responded, giving his location as being at the rear of the building.”</w:t>
      </w:r>
    </w:p>
    <w:p w14:paraId="310EFFC6" w14:textId="77777777" w:rsidR="008A1352" w:rsidRPr="008A1352" w:rsidRDefault="008A1352" w:rsidP="008A1352">
      <w:pPr>
        <w:ind w:left="720"/>
        <w:rPr>
          <w:rFonts w:ascii="Times New Roman" w:hAnsi="Times New Roman"/>
          <w:sz w:val="24"/>
          <w:szCs w:val="24"/>
        </w:rPr>
      </w:pPr>
    </w:p>
    <w:p w14:paraId="27771B0F"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Read NIOSH April 15, </w:t>
      </w:r>
      <w:proofErr w:type="gramStart"/>
      <w:r w:rsidRPr="008A1352">
        <w:rPr>
          <w:rFonts w:ascii="Times New Roman" w:hAnsi="Times New Roman" w:cs="Times New Roman"/>
          <w:sz w:val="24"/>
          <w:szCs w:val="24"/>
        </w:rPr>
        <w:t>2016</w:t>
      </w:r>
      <w:proofErr w:type="gramEnd"/>
      <w:r w:rsidRPr="008A1352">
        <w:rPr>
          <w:rFonts w:ascii="Times New Roman" w:hAnsi="Times New Roman" w:cs="Times New Roman"/>
          <w:sz w:val="24"/>
          <w:szCs w:val="24"/>
        </w:rPr>
        <w:t xml:space="preserve"> report: </w:t>
      </w:r>
      <w:hyperlink r:id="rId445" w:history="1">
        <w:r w:rsidRPr="008A1352">
          <w:rPr>
            <w:rStyle w:val="Hyperlink"/>
            <w:rFonts w:ascii="Times New Roman" w:hAnsi="Times New Roman" w:cs="Times New Roman"/>
            <w:sz w:val="24"/>
            <w:szCs w:val="24"/>
          </w:rPr>
          <w:t>https://www.scribd.com/document/312245216/Career-Probationary-Firefighter-Runs-Out-of-Air-and-Dies-in-Commercial-Structure-Fire</w:t>
        </w:r>
      </w:hyperlink>
      <w:r w:rsidRPr="008A1352">
        <w:rPr>
          <w:rFonts w:ascii="Times New Roman" w:hAnsi="Times New Roman" w:cs="Times New Roman"/>
          <w:sz w:val="24"/>
          <w:szCs w:val="24"/>
        </w:rPr>
        <w:t xml:space="preserve"> </w:t>
      </w:r>
    </w:p>
    <w:p w14:paraId="1F55D6E8" w14:textId="77777777" w:rsidR="008A1352" w:rsidRPr="008A1352" w:rsidRDefault="008A1352" w:rsidP="008A1352">
      <w:pPr>
        <w:ind w:left="720"/>
        <w:rPr>
          <w:rFonts w:ascii="Times New Roman" w:hAnsi="Times New Roman"/>
          <w:sz w:val="24"/>
          <w:szCs w:val="24"/>
        </w:rPr>
      </w:pPr>
    </w:p>
    <w:p w14:paraId="3B224E8F"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June 27, 2013: “Michigan OSHA investigation - $3,500 fine recommended.” Employee #1 was later found approximately six feet from an exit door at the rear of the building and had succumbed to smoke inhalation after running out of air. The hose had looped over itself when the team encountered a wall and moved to the right. It is unknown if this led to Employee #1 </w:t>
      </w:r>
      <w:r w:rsidRPr="008A1352">
        <w:rPr>
          <w:rFonts w:ascii="Times New Roman" w:hAnsi="Times New Roman" w:cs="Times New Roman"/>
          <w:sz w:val="24"/>
          <w:szCs w:val="24"/>
        </w:rPr>
        <w:lastRenderedPageBreak/>
        <w:t xml:space="preserve">becoming disoriented and unable to follow the hose out of the structure.” </w:t>
      </w:r>
      <w:hyperlink r:id="rId446" w:history="1">
        <w:r w:rsidRPr="008A1352">
          <w:rPr>
            <w:rStyle w:val="Hyperlink"/>
            <w:rFonts w:ascii="Times New Roman" w:hAnsi="Times New Roman" w:cs="Times New Roman"/>
            <w:sz w:val="24"/>
            <w:szCs w:val="24"/>
          </w:rPr>
          <w:t>https://www.osha.gov/ords/imis/establishment.inspection_detail?id=315378885</w:t>
        </w:r>
      </w:hyperlink>
    </w:p>
    <w:p w14:paraId="4911A53D" w14:textId="77777777" w:rsidR="008A1352" w:rsidRPr="00671D64" w:rsidRDefault="008A1352" w:rsidP="00671D64">
      <w:pPr>
        <w:pStyle w:val="NoSpacing"/>
        <w:rPr>
          <w:rFonts w:ascii="Times New Roman" w:hAnsi="Times New Roman"/>
          <w:b/>
          <w:bCs/>
          <w:sz w:val="24"/>
          <w:szCs w:val="24"/>
        </w:rPr>
      </w:pPr>
    </w:p>
    <w:p w14:paraId="0EB87AA4" w14:textId="77777777" w:rsidR="00E03026" w:rsidRPr="00671D64" w:rsidRDefault="00E03026" w:rsidP="00286F24">
      <w:pPr>
        <w:rPr>
          <w:rFonts w:ascii="Times New Roman" w:hAnsi="Times New Roman"/>
          <w:sz w:val="24"/>
          <w:szCs w:val="24"/>
        </w:rPr>
      </w:pPr>
    </w:p>
    <w:p w14:paraId="5CBA3091" w14:textId="6F63A2DC" w:rsidR="005C3A2A" w:rsidRDefault="005C3A2A"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1</w:t>
      </w:r>
    </w:p>
    <w:p w14:paraId="691E0CCF" w14:textId="77777777" w:rsidR="004B7CDA" w:rsidRPr="00E179B9" w:rsidRDefault="004B7CDA" w:rsidP="004B7CDA">
      <w:pPr>
        <w:rPr>
          <w:rFonts w:ascii="Arial Black" w:hAnsi="Arial Black"/>
          <w:b/>
          <w:bCs/>
          <w:sz w:val="28"/>
        </w:rPr>
      </w:pPr>
      <w:r>
        <w:rPr>
          <w:rFonts w:ascii="Arial Black" w:hAnsi="Arial Black"/>
          <w:b/>
          <w:bCs/>
          <w:sz w:val="28"/>
        </w:rPr>
        <w:t>KY: EMPLOYEE HAND INJURED IN PRINTER – LOCKED FD, OSHA INSPECTED – COMPANY CONSENTED OSHA</w:t>
      </w:r>
    </w:p>
    <w:p w14:paraId="40DE54F7" w14:textId="77777777" w:rsidR="004B7CDA" w:rsidRPr="004B7CDA" w:rsidRDefault="004B7CDA" w:rsidP="004B7CDA">
      <w:pPr>
        <w:rPr>
          <w:rFonts w:ascii="Times New Roman" w:hAnsi="Times New Roman"/>
          <w:sz w:val="24"/>
          <w:szCs w:val="24"/>
        </w:rPr>
      </w:pPr>
      <w:r w:rsidRPr="004B7CDA">
        <w:rPr>
          <w:rFonts w:ascii="Times New Roman" w:hAnsi="Times New Roman"/>
          <w:sz w:val="24"/>
          <w:szCs w:val="24"/>
        </w:rPr>
        <w:t xml:space="preserve">On August 23, 2024, in </w:t>
      </w:r>
      <w:r w:rsidRPr="004B7CDA">
        <w:rPr>
          <w:rFonts w:ascii="Times New Roman" w:hAnsi="Times New Roman"/>
          <w:sz w:val="24"/>
          <w:szCs w:val="24"/>
          <w:u w:val="single"/>
        </w:rPr>
        <w:t xml:space="preserve">Harland Clarke Corp. v. Kentucky Safety </w:t>
      </w:r>
      <w:proofErr w:type="gramStart"/>
      <w:r w:rsidRPr="004B7CDA">
        <w:rPr>
          <w:rFonts w:ascii="Times New Roman" w:hAnsi="Times New Roman"/>
          <w:sz w:val="24"/>
          <w:szCs w:val="24"/>
          <w:u w:val="single"/>
        </w:rPr>
        <w:t>And</w:t>
      </w:r>
      <w:proofErr w:type="gramEnd"/>
      <w:r w:rsidRPr="004B7CDA">
        <w:rPr>
          <w:rFonts w:ascii="Times New Roman" w:hAnsi="Times New Roman"/>
          <w:sz w:val="24"/>
          <w:szCs w:val="24"/>
          <w:u w:val="single"/>
        </w:rPr>
        <w:t xml:space="preserve"> Health Commission</w:t>
      </w:r>
      <w:r w:rsidRPr="004B7CDA">
        <w:rPr>
          <w:rFonts w:ascii="Times New Roman" w:hAnsi="Times New Roman"/>
          <w:sz w:val="24"/>
          <w:szCs w:val="24"/>
        </w:rPr>
        <w:t xml:space="preserve">, the Kentucky Court of Appeals held (3 to 0; unpublished decision) that the company consented to the Kentucky OSHA [KOSH] inspection of the printer, and the FD policy of locking machinery causing an injury until KOSH inspection did not invalidate the consent. The Court wrote: “In this case, the evidence of record, including Harland’s own witnesses, supported the hearing officer’s finding that valid consent for the inspection was given. A Harland employee contacted the Cabinet to come to its facility. Moreover, Harland gave the KOSH officers access to the facility two separate times.” </w:t>
      </w:r>
      <w:hyperlink r:id="rId447" w:history="1">
        <w:r w:rsidRPr="004B7CDA">
          <w:rPr>
            <w:rStyle w:val="Hyperlink"/>
            <w:rFonts w:ascii="Times New Roman" w:hAnsi="Times New Roman"/>
            <w:sz w:val="24"/>
            <w:szCs w:val="24"/>
          </w:rPr>
          <w:t>https://cases.justia.com/kentucky/court-of-appeals/2024-2023-ca-0968-mr.pdf?ts=1724421865</w:t>
        </w:r>
      </w:hyperlink>
      <w:r w:rsidRPr="004B7CDA">
        <w:rPr>
          <w:rFonts w:ascii="Times New Roman" w:hAnsi="Times New Roman"/>
          <w:sz w:val="24"/>
          <w:szCs w:val="24"/>
        </w:rPr>
        <w:t xml:space="preserve"> </w:t>
      </w:r>
    </w:p>
    <w:p w14:paraId="2C6E538F" w14:textId="77777777" w:rsidR="004B7CDA" w:rsidRPr="004B7CDA" w:rsidRDefault="004B7CDA" w:rsidP="004B7CDA">
      <w:pPr>
        <w:rPr>
          <w:rFonts w:ascii="Times New Roman" w:hAnsi="Times New Roman"/>
          <w:sz w:val="24"/>
          <w:szCs w:val="24"/>
        </w:rPr>
      </w:pPr>
      <w:r w:rsidRPr="004B7CDA">
        <w:rPr>
          <w:rFonts w:ascii="Times New Roman" w:hAnsi="Times New Roman"/>
          <w:sz w:val="24"/>
          <w:szCs w:val="24"/>
        </w:rPr>
        <w:t xml:space="preserve">THE COURT HELD: </w:t>
      </w:r>
    </w:p>
    <w:p w14:paraId="1F8867E6" w14:textId="77777777" w:rsidR="004B7CDA" w:rsidRPr="004B7CDA" w:rsidRDefault="004B7CDA" w:rsidP="004B7CDA">
      <w:pPr>
        <w:ind w:left="720"/>
        <w:rPr>
          <w:rFonts w:ascii="Times New Roman" w:hAnsi="Times New Roman"/>
          <w:sz w:val="24"/>
          <w:szCs w:val="24"/>
        </w:rPr>
      </w:pPr>
      <w:r w:rsidRPr="004B7CDA">
        <w:rPr>
          <w:rFonts w:ascii="Times New Roman" w:hAnsi="Times New Roman"/>
          <w:sz w:val="24"/>
          <w:szCs w:val="24"/>
        </w:rPr>
        <w:t>“On appeal, Harland’s sole argument is that its consent to the KOSH inspection and on-premises investigation was not freely and voluntarily given. Rather, they allege it was coerced by the Fire Department’s actions in locking the printer so that it could not be used until Harland consented to KOSH’s inspection and investigation.  However, we agree with the circuit court, who stated the following:</w:t>
      </w:r>
    </w:p>
    <w:p w14:paraId="4F0698F4" w14:textId="77777777" w:rsidR="004B7CDA" w:rsidRPr="004B7CDA" w:rsidRDefault="004B7CDA" w:rsidP="004B7CDA">
      <w:pPr>
        <w:pStyle w:val="NoSpacing"/>
        <w:ind w:left="1440"/>
        <w:jc w:val="both"/>
        <w:rPr>
          <w:rFonts w:ascii="Times New Roman" w:hAnsi="Times New Roman"/>
          <w:sz w:val="24"/>
          <w:szCs w:val="24"/>
        </w:rPr>
      </w:pPr>
      <w:r w:rsidRPr="004B7CDA">
        <w:rPr>
          <w:rFonts w:ascii="Times New Roman" w:hAnsi="Times New Roman"/>
          <w:sz w:val="24"/>
          <w:szCs w:val="24"/>
        </w:rPr>
        <w:t xml:space="preserve">[Harland] spends </w:t>
      </w:r>
      <w:proofErr w:type="gramStart"/>
      <w:r w:rsidRPr="004B7CDA">
        <w:rPr>
          <w:rFonts w:ascii="Times New Roman" w:hAnsi="Times New Roman"/>
          <w:sz w:val="24"/>
          <w:szCs w:val="24"/>
        </w:rPr>
        <w:t>the majority of</w:t>
      </w:r>
      <w:proofErr w:type="gramEnd"/>
      <w:r w:rsidRPr="004B7CDA">
        <w:rPr>
          <w:rFonts w:ascii="Times New Roman" w:hAnsi="Times New Roman"/>
          <w:sz w:val="24"/>
          <w:szCs w:val="24"/>
        </w:rPr>
        <w:t xml:space="preserve"> its brief asserting that the Fire Department violated its constitutional rights, however, the Fire Department is not under the jurisdiction of the Cabinet and is not a party to this action. Although the Fire Department said it was their policy that the injury causing machine </w:t>
      </w:r>
      <w:proofErr w:type="gramStart"/>
      <w:r w:rsidRPr="004B7CDA">
        <w:rPr>
          <w:rFonts w:ascii="Times New Roman" w:hAnsi="Times New Roman"/>
          <w:sz w:val="24"/>
          <w:szCs w:val="24"/>
        </w:rPr>
        <w:t>be</w:t>
      </w:r>
      <w:proofErr w:type="gramEnd"/>
      <w:r w:rsidRPr="004B7CDA">
        <w:rPr>
          <w:rFonts w:ascii="Times New Roman" w:hAnsi="Times New Roman"/>
          <w:sz w:val="24"/>
          <w:szCs w:val="24"/>
        </w:rPr>
        <w:t xml:space="preserve"> locked up until KOSH] </w:t>
      </w:r>
      <w:proofErr w:type="gramStart"/>
      <w:r w:rsidRPr="004B7CDA">
        <w:rPr>
          <w:rFonts w:ascii="Times New Roman" w:hAnsi="Times New Roman"/>
          <w:sz w:val="24"/>
          <w:szCs w:val="24"/>
        </w:rPr>
        <w:t>conducted an investigation</w:t>
      </w:r>
      <w:proofErr w:type="gramEnd"/>
      <w:r w:rsidRPr="004B7CDA">
        <w:rPr>
          <w:rFonts w:ascii="Times New Roman" w:hAnsi="Times New Roman"/>
          <w:sz w:val="24"/>
          <w:szCs w:val="24"/>
        </w:rPr>
        <w:t>, that policy does not belong to the Cabinet who has the statutory authority to inspect and prosecute occupational violations. At the administrative hearing, the Director of [K]OSH Compliance testified that the Cabinet does not have any policy that would require the Fire Department to lock up a potentially unsafe machine. The Court understands [Harland’s] frustration with the Fire Department’s actions, however, any disagreement with the placement of a lock on the printer is between [Harland] and the Fire Department, a nonparty to this action with zero authority to inspect and prosecute occupational violations.</w:t>
      </w:r>
    </w:p>
    <w:p w14:paraId="4B269D89" w14:textId="77777777" w:rsidR="004B7CDA" w:rsidRPr="004B7CDA" w:rsidRDefault="004B7CDA" w:rsidP="004B7CDA">
      <w:pPr>
        <w:pStyle w:val="NoSpacing"/>
        <w:rPr>
          <w:rFonts w:ascii="Times New Roman" w:hAnsi="Times New Roman"/>
          <w:sz w:val="24"/>
          <w:szCs w:val="24"/>
        </w:rPr>
      </w:pPr>
    </w:p>
    <w:p w14:paraId="0FBCA1AB" w14:textId="6DCE0100" w:rsidR="004B7CDA" w:rsidRDefault="004B7CDA" w:rsidP="004B7CDA">
      <w:pPr>
        <w:pStyle w:val="NoSpacing"/>
        <w:ind w:left="720"/>
        <w:rPr>
          <w:rFonts w:ascii="Times New Roman" w:hAnsi="Times New Roman"/>
          <w:sz w:val="24"/>
          <w:szCs w:val="24"/>
        </w:rPr>
      </w:pPr>
      <w:r w:rsidRPr="004B7CDA">
        <w:rPr>
          <w:rFonts w:ascii="Times New Roman" w:hAnsi="Times New Roman"/>
          <w:sz w:val="24"/>
          <w:szCs w:val="24"/>
        </w:rPr>
        <w:t xml:space="preserve">In this case, the evidence of record, including Harland’s own witnesses, supported the hearing officer’s finding that valid consent for the inspection was given. A Harland employee contacted the Cabinet to come to its facility. Moreover, Harland gave the KOSH officers access to the facility two separate times. Harland – through Birkenfeld – gave the compliance officers verbal consent to conduct an inspection and never made an objection. Finally, another Harland employee, </w:t>
      </w:r>
      <w:proofErr w:type="spellStart"/>
      <w:r w:rsidRPr="004B7CDA">
        <w:rPr>
          <w:rFonts w:ascii="Times New Roman" w:hAnsi="Times New Roman"/>
          <w:sz w:val="24"/>
          <w:szCs w:val="24"/>
        </w:rPr>
        <w:t>Chetson</w:t>
      </w:r>
      <w:proofErr w:type="spellEnd"/>
      <w:r w:rsidRPr="004B7CDA">
        <w:rPr>
          <w:rFonts w:ascii="Times New Roman" w:hAnsi="Times New Roman"/>
          <w:sz w:val="24"/>
          <w:szCs w:val="24"/>
        </w:rPr>
        <w:t xml:space="preserve"> Hammonds, participated in the inspection and never made an </w:t>
      </w:r>
      <w:proofErr w:type="gramStart"/>
      <w:r w:rsidRPr="004B7CDA">
        <w:rPr>
          <w:rFonts w:ascii="Times New Roman" w:hAnsi="Times New Roman"/>
          <w:sz w:val="24"/>
          <w:szCs w:val="24"/>
        </w:rPr>
        <w:t>objection.”</w:t>
      </w:r>
      <w:proofErr w:type="gramEnd"/>
      <w:r>
        <w:rPr>
          <w:rFonts w:ascii="Times New Roman" w:hAnsi="Times New Roman"/>
          <w:sz w:val="24"/>
          <w:szCs w:val="24"/>
        </w:rPr>
        <w:t xml:space="preserve"> </w:t>
      </w:r>
    </w:p>
    <w:p w14:paraId="4390531B" w14:textId="77777777" w:rsidR="00E03026" w:rsidRPr="004B7CDA" w:rsidRDefault="00E03026" w:rsidP="004B7CDA">
      <w:pPr>
        <w:pStyle w:val="NoSpacing"/>
        <w:ind w:left="720"/>
        <w:rPr>
          <w:rFonts w:ascii="Times New Roman" w:hAnsi="Times New Roman"/>
          <w:sz w:val="24"/>
          <w:szCs w:val="24"/>
        </w:rPr>
      </w:pPr>
    </w:p>
    <w:p w14:paraId="5DDB40F6" w14:textId="07521E73" w:rsidR="004B7CDA" w:rsidRPr="004B7CDA" w:rsidRDefault="004B7CDA" w:rsidP="004B7CDA">
      <w:pPr>
        <w:pStyle w:val="NoSpacing"/>
        <w:rPr>
          <w:rFonts w:ascii="Times New Roman" w:hAnsi="Times New Roman"/>
          <w:b/>
          <w:bCs/>
          <w:sz w:val="24"/>
          <w:szCs w:val="24"/>
        </w:rPr>
      </w:pPr>
      <w:r>
        <w:rPr>
          <w:rFonts w:ascii="Times New Roman" w:hAnsi="Times New Roman"/>
          <w:b/>
          <w:bCs/>
          <w:sz w:val="24"/>
          <w:szCs w:val="24"/>
        </w:rPr>
        <w:t>L</w:t>
      </w:r>
      <w:r w:rsidRPr="004B7CDA">
        <w:rPr>
          <w:rFonts w:ascii="Times New Roman" w:hAnsi="Times New Roman"/>
          <w:b/>
          <w:bCs/>
          <w:sz w:val="24"/>
          <w:szCs w:val="24"/>
        </w:rPr>
        <w:t xml:space="preserve">egal Lesson Learned: Consent was given for the Kentucky OSHA inspection; interesting FD policy of locking machines causing injury until inspected by KY OSHA. </w:t>
      </w:r>
    </w:p>
    <w:p w14:paraId="30220144" w14:textId="77777777" w:rsidR="005C3A2A" w:rsidRDefault="005C3A2A" w:rsidP="00286F24">
      <w:pPr>
        <w:rPr>
          <w:rFonts w:ascii="Arial Black" w:hAnsi="Arial Black"/>
          <w:sz w:val="24"/>
          <w:szCs w:val="24"/>
        </w:rPr>
      </w:pPr>
    </w:p>
    <w:p w14:paraId="25BE5B39" w14:textId="14B4F0E8" w:rsidR="00277A51" w:rsidRDefault="00277A51"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0</w:t>
      </w:r>
    </w:p>
    <w:p w14:paraId="0651D9DA" w14:textId="22CE4D49" w:rsidR="00277A51" w:rsidRDefault="00277A51" w:rsidP="00277A51">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IN: CAPTAIN FELL DOWN STAIRWELL BDG FIRE – GAP IN WALL - “FIREMAN’S RULE” EXCEPTION IF </w:t>
      </w:r>
      <w:r w:rsidR="009B2200">
        <w:rPr>
          <w:rFonts w:ascii="Arial Black" w:hAnsi="Arial Black"/>
          <w:b/>
          <w:bCs/>
          <w:color w:val="454545"/>
          <w:sz w:val="28"/>
          <w:szCs w:val="28"/>
          <w:shd w:val="clear" w:color="auto" w:fill="FFFFFF"/>
        </w:rPr>
        <w:t xml:space="preserve">BREACH OF </w:t>
      </w:r>
      <w:r>
        <w:rPr>
          <w:rFonts w:ascii="Arial Black" w:hAnsi="Arial Black"/>
          <w:b/>
          <w:bCs/>
          <w:color w:val="454545"/>
          <w:sz w:val="28"/>
          <w:szCs w:val="28"/>
          <w:shd w:val="clear" w:color="auto" w:fill="FFFFFF"/>
        </w:rPr>
        <w:t>“DUTY TO WARN”</w:t>
      </w:r>
    </w:p>
    <w:p w14:paraId="0D1F3A58" w14:textId="78C1D4A7" w:rsidR="00277A51" w:rsidRPr="00114561" w:rsidRDefault="00277A51" w:rsidP="00277A51">
      <w:pPr>
        <w:pStyle w:val="NormalWeb"/>
        <w:rPr>
          <w:shd w:val="clear" w:color="auto" w:fill="FFFFFF"/>
        </w:rPr>
      </w:pPr>
      <w:r w:rsidRPr="00114561">
        <w:rPr>
          <w:color w:val="454545"/>
          <w:shd w:val="clear" w:color="auto" w:fill="FFFFFF"/>
        </w:rPr>
        <w:t xml:space="preserve">On July 2, 2024, in </w:t>
      </w:r>
      <w:r w:rsidRPr="00114561">
        <w:rPr>
          <w:color w:val="454545"/>
          <w:u w:val="single"/>
          <w:shd w:val="clear" w:color="auto" w:fill="FFFFFF"/>
        </w:rPr>
        <w:t xml:space="preserve">Richard Dolsen, Jr. v. </w:t>
      </w:r>
      <w:proofErr w:type="spellStart"/>
      <w:r w:rsidRPr="00114561">
        <w:rPr>
          <w:color w:val="454545"/>
          <w:u w:val="single"/>
          <w:shd w:val="clear" w:color="auto" w:fill="FFFFFF"/>
        </w:rPr>
        <w:t>VeoRide</w:t>
      </w:r>
      <w:proofErr w:type="spellEnd"/>
      <w:r w:rsidRPr="00114561">
        <w:rPr>
          <w:color w:val="454545"/>
          <w:u w:val="single"/>
          <w:shd w:val="clear" w:color="auto" w:fill="FFFFFF"/>
        </w:rPr>
        <w:t>. Inc. and Sweet Real Estate – City Center, LLC</w:t>
      </w:r>
      <w:r w:rsidRPr="00114561">
        <w:rPr>
          <w:color w:val="454545"/>
          <w:shd w:val="clear" w:color="auto" w:fill="FFFFFF"/>
        </w:rPr>
        <w:t xml:space="preserve">, the Supreme Court of Indiana held (3 to 0) that trial court should not have dismissed the </w:t>
      </w:r>
      <w:proofErr w:type="gramStart"/>
      <w:r w:rsidR="009B2200">
        <w:rPr>
          <w:color w:val="454545"/>
          <w:shd w:val="clear" w:color="auto" w:fill="FFFFFF"/>
        </w:rPr>
        <w:t>C</w:t>
      </w:r>
      <w:r w:rsidR="009B2200" w:rsidRPr="00114561">
        <w:rPr>
          <w:color w:val="454545"/>
          <w:shd w:val="clear" w:color="auto" w:fill="FFFFFF"/>
        </w:rPr>
        <w:t>aptain’s</w:t>
      </w:r>
      <w:proofErr w:type="gramEnd"/>
      <w:r w:rsidRPr="00114561">
        <w:rPr>
          <w:color w:val="454545"/>
          <w:shd w:val="clear" w:color="auto" w:fill="FFFFFF"/>
        </w:rPr>
        <w:t xml:space="preserve"> lawsuit, and case remanded for pre-trial discovery and trial.  He was injured in </w:t>
      </w:r>
      <w:r w:rsidR="009B2200" w:rsidRPr="00114561">
        <w:rPr>
          <w:color w:val="454545"/>
          <w:shd w:val="clear" w:color="auto" w:fill="FFFFFF"/>
        </w:rPr>
        <w:t>a warehouse</w:t>
      </w:r>
      <w:r w:rsidRPr="00114561">
        <w:rPr>
          <w:color w:val="454545"/>
          <w:shd w:val="clear" w:color="auto" w:fill="FFFFFF"/>
        </w:rPr>
        <w:t xml:space="preserve"> fire; the company rents electric scooters and electric bicycles that are powered by lithium batteries, and one of the batteries caught fire.  As the Captain </w:t>
      </w:r>
      <w:r w:rsidR="009B2200" w:rsidRPr="00114561">
        <w:rPr>
          <w:color w:val="454545"/>
          <w:shd w:val="clear" w:color="auto" w:fill="FFFFFF"/>
        </w:rPr>
        <w:t>conducted</w:t>
      </w:r>
      <w:r w:rsidRPr="00114561">
        <w:rPr>
          <w:color w:val="454545"/>
          <w:shd w:val="clear" w:color="auto" w:fill="FFFFFF"/>
        </w:rPr>
        <w:t xml:space="preserve"> </w:t>
      </w:r>
      <w:r w:rsidR="009B2200">
        <w:rPr>
          <w:color w:val="454545"/>
          <w:shd w:val="clear" w:color="auto" w:fill="FFFFFF"/>
        </w:rPr>
        <w:t xml:space="preserve">his </w:t>
      </w:r>
      <w:r w:rsidRPr="00114561">
        <w:rPr>
          <w:color w:val="454545"/>
          <w:shd w:val="clear" w:color="auto" w:fill="FFFFFF"/>
        </w:rPr>
        <w:t>primary search along a wall, it “</w:t>
      </w:r>
      <w:r w:rsidRPr="00114561">
        <w:rPr>
          <w:shd w:val="clear" w:color="auto" w:fill="FFFFFF"/>
        </w:rPr>
        <w:t xml:space="preserve">was composed of bare wooden studs, with a gap left by a missing stud. Dolsen ‘could not see the opening in the wall due to the lack of light and the presence of smoke.’ Id. Dolsen ‘fell to the bottom of the stairwell’ and was injured.” </w:t>
      </w:r>
      <w:hyperlink r:id="rId448" w:history="1">
        <w:r w:rsidRPr="00114561">
          <w:rPr>
            <w:rStyle w:val="Hyperlink"/>
            <w:shd w:val="clear" w:color="auto" w:fill="FFFFFF"/>
          </w:rPr>
          <w:t>https://cases.justia.com/indiana/court-of-appeals/2023-23a-ct-00945.pdf?ts=1698084643</w:t>
        </w:r>
      </w:hyperlink>
      <w:r w:rsidRPr="00114561">
        <w:rPr>
          <w:shd w:val="clear" w:color="auto" w:fill="FFFFFF"/>
        </w:rPr>
        <w:t xml:space="preserve"> </w:t>
      </w:r>
    </w:p>
    <w:p w14:paraId="020DF3A6" w14:textId="77777777" w:rsidR="00277A51" w:rsidRPr="00BC6AAE" w:rsidRDefault="00277A51" w:rsidP="00277A51">
      <w:pPr>
        <w:pStyle w:val="NoSpacing"/>
        <w:rPr>
          <w:rFonts w:ascii="Times New Roman" w:hAnsi="Times New Roman"/>
          <w:sz w:val="24"/>
          <w:szCs w:val="24"/>
          <w:shd w:val="clear" w:color="auto" w:fill="FFFFFF"/>
        </w:rPr>
      </w:pPr>
      <w:r w:rsidRPr="00BC6AAE">
        <w:rPr>
          <w:rFonts w:ascii="Times New Roman" w:hAnsi="Times New Roman"/>
          <w:sz w:val="24"/>
          <w:szCs w:val="24"/>
          <w:shd w:val="clear" w:color="auto" w:fill="FFFFFF"/>
        </w:rPr>
        <w:t xml:space="preserve">THE COURT HELD: </w:t>
      </w:r>
    </w:p>
    <w:p w14:paraId="6C48EB30" w14:textId="77777777" w:rsidR="00277A51" w:rsidRPr="00BC6AAE" w:rsidRDefault="00277A51" w:rsidP="00277A51">
      <w:pPr>
        <w:pStyle w:val="NoSpacing"/>
        <w:rPr>
          <w:rFonts w:ascii="Times New Roman" w:hAnsi="Times New Roman"/>
          <w:sz w:val="24"/>
          <w:szCs w:val="24"/>
          <w:shd w:val="clear" w:color="auto" w:fill="FFFFFF"/>
        </w:rPr>
      </w:pPr>
    </w:p>
    <w:p w14:paraId="44738002" w14:textId="77777777" w:rsidR="00277A51" w:rsidRDefault="00277A51" w:rsidP="00277A51">
      <w:pPr>
        <w:pStyle w:val="NoSpacing"/>
        <w:ind w:left="720"/>
        <w:rPr>
          <w:rFonts w:ascii="Times New Roman" w:hAnsi="Times New Roman"/>
          <w:sz w:val="24"/>
          <w:szCs w:val="24"/>
          <w:shd w:val="clear" w:color="auto" w:fill="FFFFFF"/>
        </w:rPr>
      </w:pPr>
      <w:r w:rsidRPr="00BC6AAE">
        <w:rPr>
          <w:rFonts w:ascii="Times New Roman" w:hAnsi="Times New Roman"/>
          <w:sz w:val="24"/>
          <w:szCs w:val="24"/>
          <w:shd w:val="clear" w:color="auto" w:fill="FFFFFF"/>
        </w:rPr>
        <w:t>“</w:t>
      </w:r>
      <w:r w:rsidRPr="00195E1E">
        <w:rPr>
          <w:rFonts w:ascii="Times New Roman" w:hAnsi="Times New Roman"/>
          <w:sz w:val="24"/>
          <w:szCs w:val="24"/>
          <w:shd w:val="clear" w:color="auto" w:fill="FFFFFF"/>
        </w:rPr>
        <w:t>Fort Wayne Fire Department Captain Richard Dolsen, Jr., was injured while</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 xml:space="preserve">responding to a fire in a building leased by </w:t>
      </w:r>
      <w:proofErr w:type="spellStart"/>
      <w:r w:rsidRPr="00195E1E">
        <w:rPr>
          <w:rFonts w:ascii="Times New Roman" w:hAnsi="Times New Roman"/>
          <w:sz w:val="24"/>
          <w:szCs w:val="24"/>
          <w:shd w:val="clear" w:color="auto" w:fill="FFFFFF"/>
        </w:rPr>
        <w:t>VeoRide</w:t>
      </w:r>
      <w:proofErr w:type="spellEnd"/>
      <w:r w:rsidRPr="00195E1E">
        <w:rPr>
          <w:rFonts w:ascii="Times New Roman" w:hAnsi="Times New Roman"/>
          <w:sz w:val="24"/>
          <w:szCs w:val="24"/>
          <w:shd w:val="clear" w:color="auto" w:fill="FFFFFF"/>
        </w:rPr>
        <w:t xml:space="preserve">, Inc. Dolsen sued </w:t>
      </w:r>
      <w:proofErr w:type="spellStart"/>
      <w:r w:rsidRPr="00195E1E">
        <w:rPr>
          <w:rFonts w:ascii="Times New Roman" w:hAnsi="Times New Roman"/>
          <w:sz w:val="24"/>
          <w:szCs w:val="24"/>
          <w:shd w:val="clear" w:color="auto" w:fill="FFFFFF"/>
        </w:rPr>
        <w:t>VeoRide</w:t>
      </w:r>
      <w:proofErr w:type="spellEnd"/>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 xml:space="preserve">for negligence. </w:t>
      </w:r>
      <w:proofErr w:type="spellStart"/>
      <w:r w:rsidRPr="00195E1E">
        <w:rPr>
          <w:rFonts w:ascii="Times New Roman" w:hAnsi="Times New Roman"/>
          <w:sz w:val="24"/>
          <w:szCs w:val="24"/>
          <w:shd w:val="clear" w:color="auto" w:fill="FFFFFF"/>
        </w:rPr>
        <w:t>VeoRide</w:t>
      </w:r>
      <w:proofErr w:type="spellEnd"/>
      <w:r w:rsidRPr="00195E1E">
        <w:rPr>
          <w:rFonts w:ascii="Times New Roman" w:hAnsi="Times New Roman"/>
          <w:sz w:val="24"/>
          <w:szCs w:val="24"/>
          <w:shd w:val="clear" w:color="auto" w:fill="FFFFFF"/>
        </w:rPr>
        <w:t xml:space="preserve"> moved for summary judgment on the basis that</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Dolsen’s claims were barred by Indiana’s firefighter’s rule,1 and the trial court</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granted that motion. On appeal, Dolsen argues that the trial court erred. We</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agree, so we reverse and remand for further proceedings.</w:t>
      </w:r>
    </w:p>
    <w:p w14:paraId="1E02A8F7" w14:textId="77777777" w:rsidR="00277A51" w:rsidRDefault="00277A51" w:rsidP="00277A51">
      <w:pPr>
        <w:pStyle w:val="NoSpacing"/>
        <w:ind w:left="720"/>
        <w:rPr>
          <w:rFonts w:ascii="Times New Roman" w:hAnsi="Times New Roman"/>
          <w:sz w:val="24"/>
          <w:szCs w:val="24"/>
          <w:shd w:val="clear" w:color="auto" w:fill="FFFFFF"/>
        </w:rPr>
      </w:pPr>
    </w:p>
    <w:p w14:paraId="6718D635" w14:textId="77777777" w:rsidR="00277A51" w:rsidRDefault="00277A51" w:rsidP="00277A51">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3EDE9E39" w14:textId="77777777" w:rsidR="00277A51" w:rsidRDefault="00277A51" w:rsidP="00277A51">
      <w:pPr>
        <w:pStyle w:val="NoSpacing"/>
        <w:ind w:left="720"/>
        <w:rPr>
          <w:rFonts w:ascii="Times New Roman" w:hAnsi="Times New Roman"/>
          <w:sz w:val="24"/>
          <w:szCs w:val="24"/>
          <w:shd w:val="clear" w:color="auto" w:fill="FFFFFF"/>
        </w:rPr>
      </w:pPr>
    </w:p>
    <w:p w14:paraId="7D68CAEB" w14:textId="77777777" w:rsidR="00277A51" w:rsidRPr="00BC6AAE" w:rsidRDefault="00277A51" w:rsidP="00277A51">
      <w:pPr>
        <w:pStyle w:val="NoSpacing"/>
        <w:ind w:left="720"/>
        <w:rPr>
          <w:rFonts w:ascii="Times New Roman" w:hAnsi="Times New Roman"/>
          <w:sz w:val="24"/>
          <w:szCs w:val="24"/>
          <w:shd w:val="clear" w:color="auto" w:fill="FFFFFF"/>
        </w:rPr>
      </w:pPr>
      <w:r w:rsidRPr="00BC6AAE">
        <w:rPr>
          <w:rFonts w:ascii="Times New Roman" w:hAnsi="Times New Roman"/>
          <w:sz w:val="24"/>
          <w:szCs w:val="24"/>
          <w:shd w:val="clear" w:color="auto" w:fill="FFFFFF"/>
        </w:rPr>
        <w:t xml:space="preserve">Based on the foregoing, we conclude that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owed Dolsen a duty to warn him of the gap in the wall next to the stairwell depends upon underlying facts that require resolution by the trier of fact, including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should have realized that the condition involved an unreasonable risk of causing physical harm to Dolsen (who did not know or have reason to know of the condition and the risk involved),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should have expected that Dolsen would not discover or realize the danger, and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had reason to expect that Dolsen would encounter the condition in the exercise of his license.</w:t>
      </w:r>
      <w:r w:rsidRPr="00BC6AAE">
        <w:rPr>
          <w:rFonts w:ascii="Times New Roman" w:hAnsi="Times New Roman"/>
          <w:sz w:val="24"/>
          <w:szCs w:val="24"/>
        </w:rPr>
        <w:t xml:space="preserve"> </w:t>
      </w:r>
      <w:r w:rsidRPr="00BC6AAE">
        <w:rPr>
          <w:rFonts w:ascii="Times New Roman" w:hAnsi="Times New Roman"/>
          <w:sz w:val="24"/>
          <w:szCs w:val="24"/>
          <w:shd w:val="clear" w:color="auto" w:fill="FFFFFF"/>
        </w:rPr>
        <w:t xml:space="preserve">Assuming arguendo that such a duty existed, we further conclude that genuine issues of material fact exist regarding whether </w:t>
      </w:r>
      <w:proofErr w:type="spellStart"/>
      <w:r w:rsidRPr="00BC6AAE">
        <w:rPr>
          <w:rFonts w:ascii="Times New Roman" w:hAnsi="Times New Roman"/>
          <w:sz w:val="24"/>
          <w:szCs w:val="24"/>
          <w:shd w:val="clear" w:color="auto" w:fill="FFFFFF"/>
        </w:rPr>
        <w:t>VeoRide’s</w:t>
      </w:r>
      <w:proofErr w:type="spellEnd"/>
      <w:r w:rsidRPr="00BC6AAE">
        <w:rPr>
          <w:rFonts w:ascii="Times New Roman" w:hAnsi="Times New Roman"/>
          <w:sz w:val="24"/>
          <w:szCs w:val="24"/>
          <w:shd w:val="clear" w:color="auto" w:fill="FFFFFF"/>
        </w:rPr>
        <w:t xml:space="preserve"> failure to warn Dolsen of the condition and the risk involved was a breach of that duty, that is, a failure to exercise reasonable care under the circumstances pursuant to Restatement Section 342(b); among the factors to be considered are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had a reasonable opportunity to alert fire department personnel. Additional issues of material fact exist regarding whether any breach of a duty to warn proximately caused Dolsen’s injuries and the extent to which Dolsen might have contributed to his injuries for purposes of the Comparative Fault Act. Consequently, we reverse the trial court’s entry of summary judgment in</w:t>
      </w:r>
    </w:p>
    <w:p w14:paraId="383D8DE3" w14:textId="77777777" w:rsidR="00277A51" w:rsidRDefault="00277A51" w:rsidP="00277A51">
      <w:pPr>
        <w:pStyle w:val="NoSpacing"/>
        <w:ind w:firstLine="720"/>
        <w:rPr>
          <w:rFonts w:ascii="Times New Roman" w:hAnsi="Times New Roman"/>
          <w:sz w:val="24"/>
          <w:szCs w:val="24"/>
          <w:shd w:val="clear" w:color="auto" w:fill="FFFFFF"/>
        </w:rPr>
      </w:pPr>
      <w:proofErr w:type="spellStart"/>
      <w:r w:rsidRPr="00BC6AAE">
        <w:rPr>
          <w:rFonts w:ascii="Times New Roman" w:hAnsi="Times New Roman"/>
          <w:sz w:val="24"/>
          <w:szCs w:val="24"/>
          <w:shd w:val="clear" w:color="auto" w:fill="FFFFFF"/>
        </w:rPr>
        <w:t>VeoRide’s</w:t>
      </w:r>
      <w:proofErr w:type="spellEnd"/>
      <w:r w:rsidRPr="00BC6AAE">
        <w:rPr>
          <w:rFonts w:ascii="Times New Roman" w:hAnsi="Times New Roman"/>
          <w:sz w:val="24"/>
          <w:szCs w:val="24"/>
          <w:shd w:val="clear" w:color="auto" w:fill="FFFFFF"/>
        </w:rPr>
        <w:t xml:space="preserve"> favor and </w:t>
      </w:r>
      <w:proofErr w:type="gramStart"/>
      <w:r w:rsidRPr="00BC6AAE">
        <w:rPr>
          <w:rFonts w:ascii="Times New Roman" w:hAnsi="Times New Roman"/>
          <w:sz w:val="24"/>
          <w:szCs w:val="24"/>
          <w:shd w:val="clear" w:color="auto" w:fill="FFFFFF"/>
        </w:rPr>
        <w:t>remand</w:t>
      </w:r>
      <w:proofErr w:type="gramEnd"/>
      <w:r w:rsidRPr="00BC6AAE">
        <w:rPr>
          <w:rFonts w:ascii="Times New Roman" w:hAnsi="Times New Roman"/>
          <w:sz w:val="24"/>
          <w:szCs w:val="24"/>
          <w:shd w:val="clear" w:color="auto" w:fill="FFFFFF"/>
        </w:rPr>
        <w:t xml:space="preserve"> for further </w:t>
      </w:r>
      <w:proofErr w:type="gramStart"/>
      <w:r w:rsidRPr="00BC6AAE">
        <w:rPr>
          <w:rFonts w:ascii="Times New Roman" w:hAnsi="Times New Roman"/>
          <w:sz w:val="24"/>
          <w:szCs w:val="24"/>
          <w:shd w:val="clear" w:color="auto" w:fill="FFFFFF"/>
        </w:rPr>
        <w:t>proceedings.”</w:t>
      </w:r>
      <w:proofErr w:type="gramEnd"/>
    </w:p>
    <w:p w14:paraId="143D14C1" w14:textId="77777777" w:rsidR="00277A51" w:rsidRDefault="00277A51" w:rsidP="00286F24">
      <w:pPr>
        <w:rPr>
          <w:rFonts w:ascii="Arial Black" w:hAnsi="Arial Black"/>
          <w:sz w:val="24"/>
          <w:szCs w:val="24"/>
        </w:rPr>
      </w:pPr>
    </w:p>
    <w:p w14:paraId="6F533D41" w14:textId="3A77974A" w:rsidR="00325688" w:rsidRPr="008757E3" w:rsidRDefault="00325688" w:rsidP="00325688">
      <w:pPr>
        <w:pStyle w:val="NoSpacing"/>
        <w:rPr>
          <w:rFonts w:ascii="Times New Roman" w:hAnsi="Times New Roman"/>
          <w:b/>
          <w:bCs/>
          <w:sz w:val="24"/>
          <w:szCs w:val="24"/>
          <w:shd w:val="clear" w:color="auto" w:fill="FFFFFF"/>
        </w:rPr>
      </w:pPr>
      <w:r w:rsidRPr="008757E3">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w:t>
      </w:r>
      <w:r w:rsidR="009B2323">
        <w:rPr>
          <w:rFonts w:ascii="Times New Roman" w:hAnsi="Times New Roman"/>
          <w:b/>
          <w:bCs/>
          <w:sz w:val="24"/>
          <w:szCs w:val="24"/>
          <w:shd w:val="clear" w:color="auto" w:fill="FFFFFF"/>
        </w:rPr>
        <w:t xml:space="preserve">If </w:t>
      </w:r>
      <w:r>
        <w:rPr>
          <w:rFonts w:ascii="Times New Roman" w:hAnsi="Times New Roman"/>
          <w:b/>
          <w:bCs/>
          <w:sz w:val="24"/>
          <w:szCs w:val="24"/>
          <w:shd w:val="clear" w:color="auto" w:fill="FFFFFF"/>
        </w:rPr>
        <w:t xml:space="preserve">trial court </w:t>
      </w:r>
      <w:r w:rsidR="00D20D16">
        <w:rPr>
          <w:rFonts w:ascii="Times New Roman" w:hAnsi="Times New Roman"/>
          <w:b/>
          <w:bCs/>
          <w:sz w:val="24"/>
          <w:szCs w:val="24"/>
          <w:shd w:val="clear" w:color="auto" w:fill="FFFFFF"/>
        </w:rPr>
        <w:t xml:space="preserve">determines the company had </w:t>
      </w:r>
      <w:r>
        <w:rPr>
          <w:rFonts w:ascii="Times New Roman" w:hAnsi="Times New Roman"/>
          <w:b/>
          <w:bCs/>
          <w:sz w:val="24"/>
          <w:szCs w:val="24"/>
          <w:shd w:val="clear" w:color="auto" w:fill="FFFFFF"/>
        </w:rPr>
        <w:t>a “duty to warn” the</w:t>
      </w:r>
      <w:r w:rsidR="00D20D16">
        <w:rPr>
          <w:rFonts w:ascii="Times New Roman" w:hAnsi="Times New Roman"/>
          <w:b/>
          <w:bCs/>
          <w:sz w:val="24"/>
          <w:szCs w:val="24"/>
          <w:shd w:val="clear" w:color="auto" w:fill="FFFFFF"/>
        </w:rPr>
        <w:t xml:space="preserve">n case may proceed to jury trial </w:t>
      </w:r>
      <w:r w:rsidR="00C76A59">
        <w:rPr>
          <w:rFonts w:ascii="Times New Roman" w:hAnsi="Times New Roman"/>
          <w:b/>
          <w:bCs/>
          <w:sz w:val="24"/>
          <w:szCs w:val="24"/>
          <w:shd w:val="clear" w:color="auto" w:fill="FFFFFF"/>
        </w:rPr>
        <w:t xml:space="preserve">for damages. </w:t>
      </w:r>
      <w:r>
        <w:rPr>
          <w:rFonts w:ascii="Times New Roman" w:hAnsi="Times New Roman"/>
          <w:b/>
          <w:bCs/>
          <w:sz w:val="24"/>
          <w:szCs w:val="24"/>
          <w:shd w:val="clear" w:color="auto" w:fill="FFFFFF"/>
        </w:rPr>
        <w:t xml:space="preserve">  </w:t>
      </w:r>
    </w:p>
    <w:p w14:paraId="60EFEC90" w14:textId="77777777" w:rsidR="00325688" w:rsidRDefault="00325688" w:rsidP="00286F24">
      <w:pPr>
        <w:rPr>
          <w:rFonts w:ascii="Arial Black" w:hAnsi="Arial Black"/>
          <w:sz w:val="24"/>
          <w:szCs w:val="24"/>
        </w:rPr>
      </w:pPr>
    </w:p>
    <w:p w14:paraId="2D7529C7" w14:textId="77777777" w:rsidR="00277A51" w:rsidRDefault="00277A51" w:rsidP="00286F24">
      <w:pPr>
        <w:rPr>
          <w:rFonts w:ascii="Arial Black" w:hAnsi="Arial Black"/>
          <w:sz w:val="24"/>
          <w:szCs w:val="24"/>
        </w:rPr>
      </w:pPr>
    </w:p>
    <w:p w14:paraId="1348FA76" w14:textId="77777777" w:rsidR="00277A51" w:rsidRDefault="00277A51" w:rsidP="00286F24">
      <w:pPr>
        <w:rPr>
          <w:rFonts w:ascii="Arial Black" w:hAnsi="Arial Black"/>
          <w:sz w:val="24"/>
          <w:szCs w:val="24"/>
        </w:rPr>
      </w:pPr>
    </w:p>
    <w:p w14:paraId="52DA5E9E" w14:textId="64467CF0" w:rsidR="008E2491" w:rsidRDefault="008E2491" w:rsidP="00286F24">
      <w:pPr>
        <w:rPr>
          <w:rFonts w:ascii="Arial Black" w:hAnsi="Arial Black"/>
          <w:sz w:val="24"/>
          <w:szCs w:val="24"/>
        </w:rPr>
      </w:pPr>
      <w:r>
        <w:rPr>
          <w:rFonts w:ascii="Arial Black" w:hAnsi="Arial Black"/>
          <w:sz w:val="24"/>
          <w:szCs w:val="24"/>
        </w:rPr>
        <w:lastRenderedPageBreak/>
        <w:t>2-</w:t>
      </w:r>
      <w:r w:rsidR="00891E1D">
        <w:rPr>
          <w:rFonts w:ascii="Arial Black" w:hAnsi="Arial Black"/>
          <w:sz w:val="24"/>
          <w:szCs w:val="24"/>
        </w:rPr>
        <w:t>69</w:t>
      </w:r>
    </w:p>
    <w:p w14:paraId="465D29B6" w14:textId="14B56FA8" w:rsidR="00474B94" w:rsidRPr="00DC4333" w:rsidRDefault="00474B94" w:rsidP="00474B94">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PA: FF KILLED - OTHERS INJURED - WOMAN DROVE JEEP </w:t>
      </w:r>
      <w:r w:rsidR="009D06F9">
        <w:rPr>
          <w:rFonts w:ascii="Arial Black" w:hAnsi="Arial Black"/>
          <w:b/>
          <w:bCs/>
          <w:color w:val="454545"/>
          <w:sz w:val="28"/>
          <w:szCs w:val="28"/>
          <w:shd w:val="clear" w:color="auto" w:fill="FFFFFF"/>
        </w:rPr>
        <w:t xml:space="preserve">WITH </w:t>
      </w:r>
      <w:r>
        <w:rPr>
          <w:rFonts w:ascii="Arial Black" w:hAnsi="Arial Black"/>
          <w:b/>
          <w:bCs/>
          <w:color w:val="454545"/>
          <w:sz w:val="28"/>
          <w:szCs w:val="28"/>
          <w:shd w:val="clear" w:color="auto" w:fill="FFFFFF"/>
        </w:rPr>
        <w:t>BAD BREAKS INTO ACCIDENT SCENE – 12-24 YRS PRISON</w:t>
      </w:r>
    </w:p>
    <w:p w14:paraId="43CCD9B3" w14:textId="77777777" w:rsidR="001603B7" w:rsidRDefault="00474B94" w:rsidP="001603B7">
      <w:pPr>
        <w:pStyle w:val="NormalWeb"/>
      </w:pPr>
      <w:r>
        <w:t xml:space="preserve">On May 17, 2024, in </w:t>
      </w:r>
      <w:r w:rsidRPr="008C4838">
        <w:rPr>
          <w:u w:val="single"/>
        </w:rPr>
        <w:t>Commonwealth of Pennsylvania v. Jacquelyn Walker</w:t>
      </w:r>
      <w:r>
        <w:t xml:space="preserve">, the Superior Court of Pennsylvania held (3 to 0) that the sentence was appropriate.  The accident scene on July 24, </w:t>
      </w:r>
      <w:proofErr w:type="gramStart"/>
      <w:r>
        <w:t>2021</w:t>
      </w:r>
      <w:proofErr w:type="gramEnd"/>
      <w:r>
        <w:t xml:space="preserve"> was westbound on I-76 at 3 am.  The defendant drove her 2004 Jeep Grand Cherokee over the rumble strips and into the right berm, and struck three members of the Belmont Hills Fire Department, killing firefighter Thomas Royds, </w:t>
      </w:r>
      <w:proofErr w:type="gramStart"/>
      <w:r>
        <w:t>and also</w:t>
      </w:r>
      <w:proofErr w:type="gramEnd"/>
      <w:r>
        <w:t xml:space="preserve"> striking a Trooper.  The Superior Court agreed with the Sentencing Judge who wrote: “Who protects those first responders who are willing to expose themselves to possible harm or death to protect us? </w:t>
      </w:r>
      <w:r>
        <w:rPr>
          <w:rStyle w:val="Emphasis"/>
          <w:rFonts w:eastAsiaTheme="majorEastAsia"/>
        </w:rPr>
        <w:t>Id</w:t>
      </w:r>
      <w:r>
        <w:t xml:space="preserve">. at 83. [T]hey should not have to be exposed to sustained reckless behavior amounting to malicious conduct almost certain to cause death or serious bodily injury such as the conduct of this defendant.’ </w:t>
      </w:r>
      <w:r>
        <w:rPr>
          <w:rStyle w:val="Emphasis"/>
          <w:rFonts w:eastAsiaTheme="majorEastAsia"/>
        </w:rPr>
        <w:t>Id</w:t>
      </w:r>
      <w:r>
        <w:t xml:space="preserve">. It answered its own question by concluding that ‘first responders can only be protected by the Court,’ and that it could only do so by imposing "appropriate punishment for this type of malice criminal conduct.’ </w:t>
      </w:r>
      <w:r>
        <w:rPr>
          <w:rStyle w:val="Emphasis"/>
          <w:rFonts w:eastAsiaTheme="majorEastAsia"/>
        </w:rPr>
        <w:t>Id</w:t>
      </w:r>
      <w:r>
        <w:t xml:space="preserve">. at 84.”  </w:t>
      </w:r>
      <w:hyperlink r:id="rId449" w:history="1">
        <w:r w:rsidR="001603B7" w:rsidRPr="00CE1BCF">
          <w:rPr>
            <w:rStyle w:val="Hyperlink"/>
          </w:rPr>
          <w:t>https://www.pacourts.us/assets/opinions/Superior/out/J-S40043-23m%20-%20105940494266483578.pdf?cb=1</w:t>
        </w:r>
      </w:hyperlink>
      <w:r w:rsidR="001603B7">
        <w:t xml:space="preserve"> </w:t>
      </w:r>
    </w:p>
    <w:p w14:paraId="7F160434" w14:textId="304A7E87" w:rsidR="00474B94" w:rsidRDefault="00CF7974" w:rsidP="00474B94">
      <w:pPr>
        <w:pStyle w:val="NormalWeb"/>
      </w:pPr>
      <w:r>
        <w:t xml:space="preserve">THE COURT HELD: </w:t>
      </w:r>
      <w:r w:rsidR="00474B94">
        <w:t xml:space="preserve"> </w:t>
      </w:r>
    </w:p>
    <w:p w14:paraId="0AAC3DF9" w14:textId="77777777" w:rsidR="00474B94" w:rsidRDefault="00474B94" w:rsidP="00474B94">
      <w:pPr>
        <w:pStyle w:val="NormalWeb"/>
        <w:ind w:left="720" w:firstLine="60"/>
      </w:pPr>
      <w:r>
        <w:t>“Appellant argues that the sentence imposed ‘amounted to the functional equivalent of a life sentence,’ because she is a 64-year-old disabled woman, and therefore was "at odds with the fundamental norms of the sentencing process.’</w:t>
      </w:r>
    </w:p>
    <w:p w14:paraId="0CD22F55" w14:textId="77777777" w:rsidR="00474B94" w:rsidRDefault="00474B94" w:rsidP="00474B94">
      <w:pPr>
        <w:pStyle w:val="NormalWeb"/>
        <w:ind w:left="720" w:firstLine="60"/>
      </w:pPr>
      <w:r>
        <w:t>***</w:t>
      </w:r>
    </w:p>
    <w:p w14:paraId="766E9A5B" w14:textId="77777777" w:rsidR="00474B94" w:rsidRDefault="00474B94" w:rsidP="00474B94">
      <w:pPr>
        <w:pStyle w:val="NormalWeb"/>
        <w:ind w:left="720"/>
      </w:pPr>
      <w:r>
        <w:t xml:space="preserve">We cannot say that the sentencing court abused its discretion by imposing an aggregate term of 12 to 24 years' imprisonment where Appellant admitted to acting with such recklessness that it amounted to legal malice and which resulted in the killing of one person, caused severe injuries to two others, and endangered several more, all of whom were first responders who had clearly marked the road with sufficient warnings. The three sentence terms that make up the aggregate sentence are all within the standard range, and each are for a different victim: murder in the third degree of Firefighter Thomas Royds; aggravated assault by vehicle of Firefighter Alex Fischer; and aggravated assault by vehicle of Firefighter Sam Sheffer. </w:t>
      </w:r>
    </w:p>
    <w:p w14:paraId="0C248408" w14:textId="34E4CD3F" w:rsidR="00474B94" w:rsidRDefault="00474B94" w:rsidP="00474B94">
      <w:pPr>
        <w:pStyle w:val="NormalWeb"/>
        <w:ind w:left="720"/>
      </w:pPr>
      <w:r>
        <w:t xml:space="preserve">Appellant's implicit argument is that the severity of the crime and admitted malice with which she caused death and serious injury could not warrant standard range sentence terms. As the sentencing court explained: The amount of pain and suffering that this defendant has caused is enormous. The terrible impact of her crime is certainly enduring. It's clearly apparent that the injuries could have been far worse; we have firefighters and the Trooper Burnett who escaped death or serious bodily injury just simply by inches that day. She acted recklessly and she acted with malice. She did not care about the rules of the road or the safety of others. She had no justification or excuse for her conduct.” </w:t>
      </w:r>
    </w:p>
    <w:p w14:paraId="2C969782" w14:textId="77777777" w:rsidR="00AD6C0A" w:rsidRPr="00E76DDF" w:rsidRDefault="00AD6C0A" w:rsidP="00AD6C0A">
      <w:pPr>
        <w:pStyle w:val="NormalWeb"/>
        <w:rPr>
          <w:b/>
          <w:bCs/>
        </w:rPr>
      </w:pPr>
      <w:r>
        <w:rPr>
          <w:b/>
          <w:bCs/>
        </w:rPr>
        <w:t xml:space="preserve">Legal Lesson Learned:  The sentence imposed was appropriate for pain inflicted. </w:t>
      </w:r>
    </w:p>
    <w:p w14:paraId="283F267A" w14:textId="77777777" w:rsidR="00AD6C0A" w:rsidRPr="00AD6C0A" w:rsidRDefault="00AD6C0A" w:rsidP="00AD6C0A">
      <w:pPr>
        <w:pStyle w:val="Heading1"/>
        <w:ind w:left="720"/>
        <w:rPr>
          <w:b w:val="0"/>
          <w:bCs w:val="0"/>
          <w:sz w:val="24"/>
          <w:szCs w:val="24"/>
        </w:rPr>
      </w:pPr>
      <w:r w:rsidRPr="00AD6C0A">
        <w:rPr>
          <w:b w:val="0"/>
          <w:bCs w:val="0"/>
          <w:sz w:val="24"/>
          <w:szCs w:val="24"/>
        </w:rPr>
        <w:t>Note: See National Fallen Firefighters Foundation article on FF Thomas E. Royds, better known as “</w:t>
      </w:r>
      <w:proofErr w:type="spellStart"/>
      <w:r w:rsidRPr="00AD6C0A">
        <w:rPr>
          <w:b w:val="0"/>
          <w:bCs w:val="0"/>
          <w:sz w:val="24"/>
          <w:szCs w:val="24"/>
        </w:rPr>
        <w:t>Roydsy</w:t>
      </w:r>
      <w:proofErr w:type="spellEnd"/>
      <w:r w:rsidRPr="00AD6C0A">
        <w:rPr>
          <w:b w:val="0"/>
          <w:bCs w:val="0"/>
          <w:sz w:val="24"/>
          <w:szCs w:val="24"/>
        </w:rPr>
        <w:t>.”</w:t>
      </w:r>
      <w:r w:rsidRPr="00F125FC">
        <w:t xml:space="preserve"> </w:t>
      </w:r>
      <w:hyperlink r:id="rId450" w:history="1">
        <w:r w:rsidRPr="00AD6C0A">
          <w:rPr>
            <w:rStyle w:val="Hyperlink"/>
            <w:b w:val="0"/>
            <w:bCs w:val="0"/>
            <w:sz w:val="24"/>
            <w:szCs w:val="24"/>
          </w:rPr>
          <w:t>https://www.firehero.org/fallen-firefighter/thomas-e-royds/</w:t>
        </w:r>
      </w:hyperlink>
      <w:r w:rsidRPr="00AD6C0A">
        <w:rPr>
          <w:b w:val="0"/>
          <w:bCs w:val="0"/>
          <w:sz w:val="24"/>
          <w:szCs w:val="24"/>
        </w:rPr>
        <w:t xml:space="preserve"> </w:t>
      </w:r>
    </w:p>
    <w:p w14:paraId="2F963009" w14:textId="77777777" w:rsidR="008E2491" w:rsidRDefault="008E2491" w:rsidP="00286F24">
      <w:pPr>
        <w:rPr>
          <w:rFonts w:ascii="Arial Black" w:hAnsi="Arial Black"/>
          <w:sz w:val="24"/>
          <w:szCs w:val="24"/>
        </w:rPr>
      </w:pPr>
    </w:p>
    <w:p w14:paraId="4B94DF71" w14:textId="77777777" w:rsidR="008E2491" w:rsidRDefault="008E2491" w:rsidP="00286F24">
      <w:pPr>
        <w:rPr>
          <w:rFonts w:ascii="Arial Black" w:hAnsi="Arial Black"/>
          <w:sz w:val="24"/>
          <w:szCs w:val="24"/>
        </w:rPr>
      </w:pPr>
    </w:p>
    <w:p w14:paraId="03648DED" w14:textId="77777777" w:rsidR="008E2491" w:rsidRDefault="008E2491" w:rsidP="00286F24">
      <w:pPr>
        <w:rPr>
          <w:rFonts w:ascii="Arial Black" w:hAnsi="Arial Black"/>
          <w:sz w:val="24"/>
          <w:szCs w:val="24"/>
        </w:rPr>
      </w:pPr>
    </w:p>
    <w:p w14:paraId="04A4600D" w14:textId="4DFC9DA1" w:rsidR="007276B8" w:rsidRDefault="007276B8" w:rsidP="00286F24">
      <w:pPr>
        <w:rPr>
          <w:rFonts w:ascii="Arial Black" w:hAnsi="Arial Black"/>
          <w:sz w:val="24"/>
          <w:szCs w:val="24"/>
        </w:rPr>
      </w:pPr>
      <w:r>
        <w:rPr>
          <w:rFonts w:ascii="Arial Black" w:hAnsi="Arial Black"/>
          <w:sz w:val="24"/>
          <w:szCs w:val="24"/>
        </w:rPr>
        <w:t>2-6</w:t>
      </w:r>
      <w:r w:rsidR="007C073D">
        <w:rPr>
          <w:rFonts w:ascii="Arial Black" w:hAnsi="Arial Black"/>
          <w:sz w:val="24"/>
          <w:szCs w:val="24"/>
        </w:rPr>
        <w:t>8</w:t>
      </w:r>
    </w:p>
    <w:p w14:paraId="739DB05B" w14:textId="77777777" w:rsidR="00C9473D" w:rsidRPr="00310BF3" w:rsidRDefault="00C9473D" w:rsidP="00C9473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NY: FDNY EMT INJURED UNEVEN CONCRETE FD – CAN’T SUE CITY NY “FIREMAN’S RULE” – ONLY WORKER COMP</w:t>
      </w:r>
    </w:p>
    <w:p w14:paraId="19FB3B66" w14:textId="77777777" w:rsidR="009F1660" w:rsidRPr="001D1878" w:rsidRDefault="00C9473D" w:rsidP="009F1660">
      <w:pPr>
        <w:spacing w:before="100" w:beforeAutospacing="1" w:after="100" w:afterAutospacing="1" w:line="240" w:lineRule="auto"/>
        <w:rPr>
          <w:rFonts w:ascii="Times New Roman" w:hAnsi="Times New Roman"/>
          <w:sz w:val="24"/>
          <w:szCs w:val="24"/>
        </w:rPr>
      </w:pPr>
      <w:r w:rsidRPr="00B93E70">
        <w:rPr>
          <w:rFonts w:ascii="Times New Roman" w:eastAsia="Times New Roman" w:hAnsi="Times New Roman"/>
          <w:sz w:val="24"/>
          <w:szCs w:val="24"/>
        </w:rPr>
        <w:t xml:space="preserve">On May 15, 2024, in </w:t>
      </w:r>
      <w:r w:rsidRPr="00B93E70">
        <w:rPr>
          <w:rFonts w:ascii="Times New Roman" w:eastAsia="Times New Roman" w:hAnsi="Times New Roman"/>
          <w:sz w:val="24"/>
          <w:szCs w:val="24"/>
          <w:u w:val="single"/>
        </w:rPr>
        <w:t>Maritza Sanchez v, The City of New York</w:t>
      </w:r>
      <w:r w:rsidRPr="00B93E70">
        <w:rPr>
          <w:rFonts w:ascii="Times New Roman" w:eastAsia="Times New Roman" w:hAnsi="Times New Roman"/>
          <w:sz w:val="24"/>
          <w:szCs w:val="24"/>
        </w:rPr>
        <w:t xml:space="preserve">, Judge </w:t>
      </w:r>
      <w:r w:rsidRPr="00B93E70">
        <w:rPr>
          <w:rFonts w:ascii="Times New Roman" w:hAnsi="Times New Roman"/>
          <w:sz w:val="24"/>
          <w:szCs w:val="24"/>
        </w:rPr>
        <w:t xml:space="preserve"> J. Machelle Sweeting, Supreme Court, New York County, granted the City’s motion to dismiss this lawsuit.  The EMT was injured on July 25, 2022, filed for workers’ comp</w:t>
      </w:r>
      <w:r>
        <w:rPr>
          <w:rFonts w:ascii="Times New Roman" w:hAnsi="Times New Roman"/>
          <w:sz w:val="24"/>
          <w:szCs w:val="24"/>
        </w:rPr>
        <w:t xml:space="preserve">ensation, </w:t>
      </w:r>
      <w:r w:rsidRPr="00B93E70">
        <w:rPr>
          <w:rFonts w:ascii="Times New Roman" w:hAnsi="Times New Roman"/>
          <w:sz w:val="24"/>
          <w:szCs w:val="24"/>
        </w:rPr>
        <w:t xml:space="preserve">and received approximately $8,767.85 in workers' compensation benefits and $8,767.85 in medical benefits.  </w:t>
      </w:r>
      <w:r>
        <w:rPr>
          <w:rFonts w:ascii="Times New Roman" w:hAnsi="Times New Roman"/>
          <w:sz w:val="24"/>
          <w:szCs w:val="24"/>
        </w:rPr>
        <w:t xml:space="preserve">While NY has amended the “fireman’s rule” to allow police and firefighters to sue third parties for injuries at premises cause by breach of statutes and safety codes, this does not allow lawsuits against their employer. </w:t>
      </w:r>
      <w:hyperlink r:id="rId451" w:history="1">
        <w:r w:rsidR="009F1660" w:rsidRPr="00220336">
          <w:rPr>
            <w:rStyle w:val="Hyperlink"/>
            <w:rFonts w:ascii="Times New Roman" w:eastAsia="Times New Roman" w:hAnsi="Times New Roman"/>
            <w:sz w:val="24"/>
            <w:szCs w:val="24"/>
          </w:rPr>
          <w:t>https://cases.justia.com/new-york/other-courts/2024-2024-ny-slip-op-31696-u.pdf?ts=1716238363</w:t>
        </w:r>
      </w:hyperlink>
      <w:r w:rsidR="009F1660">
        <w:rPr>
          <w:rFonts w:ascii="Times New Roman" w:eastAsia="Times New Roman" w:hAnsi="Times New Roman"/>
          <w:sz w:val="24"/>
          <w:szCs w:val="24"/>
        </w:rPr>
        <w:t xml:space="preserve"> </w:t>
      </w:r>
    </w:p>
    <w:p w14:paraId="69704630" w14:textId="49F28EF4" w:rsidR="00C9473D" w:rsidRPr="001D1878" w:rsidRDefault="009F1660" w:rsidP="001D187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w:t>
      </w:r>
      <w:r w:rsidR="001D1878">
        <w:rPr>
          <w:rFonts w:ascii="Times New Roman" w:hAnsi="Times New Roman"/>
          <w:sz w:val="24"/>
          <w:szCs w:val="24"/>
        </w:rPr>
        <w:t xml:space="preserve">THE COURT HELD: </w:t>
      </w:r>
      <w:r w:rsidR="00C9473D">
        <w:rPr>
          <w:rFonts w:ascii="Times New Roman" w:hAnsi="Times New Roman"/>
          <w:sz w:val="24"/>
          <w:szCs w:val="24"/>
        </w:rPr>
        <w:t xml:space="preserve">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More importantly, even if GML 205-e </w:t>
      </w:r>
      <w:r w:rsidR="00C9473D">
        <w:rPr>
          <w:rFonts w:ascii="Times New Roman" w:eastAsia="Times New Roman" w:hAnsi="Times New Roman"/>
          <w:sz w:val="24"/>
          <w:szCs w:val="24"/>
        </w:rPr>
        <w:t xml:space="preserve">[amending Fireman’s Rule’] </w:t>
      </w:r>
      <w:r w:rsidR="00C9473D" w:rsidRPr="00310BF3">
        <w:rPr>
          <w:rFonts w:ascii="Times New Roman" w:eastAsia="Times New Roman" w:hAnsi="Times New Roman"/>
          <w:sz w:val="24"/>
          <w:szCs w:val="24"/>
        </w:rPr>
        <w:t xml:space="preserve">were applicable here, the New York Court of Appeals has made clear that an employee who receives workers' compensation benefits cannot also seek to hold his employer liable under GML 205-e. </w:t>
      </w:r>
      <w:r w:rsidR="00C9473D" w:rsidRPr="00310BF3">
        <w:rPr>
          <w:rFonts w:ascii="Times New Roman" w:eastAsia="Times New Roman" w:hAnsi="Times New Roman"/>
          <w:i/>
          <w:iCs/>
          <w:sz w:val="24"/>
          <w:szCs w:val="24"/>
        </w:rPr>
        <w:t>See Matter of Diegelman v City of Buffalo</w:t>
      </w:r>
      <w:r w:rsidR="00C9473D" w:rsidRPr="00310BF3">
        <w:rPr>
          <w:rFonts w:ascii="Times New Roman" w:eastAsia="Times New Roman" w:hAnsi="Times New Roman"/>
          <w:sz w:val="24"/>
          <w:szCs w:val="24"/>
        </w:rPr>
        <w:t xml:space="preserve">, 28 N.Y.3d 231 (2016):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It is well settled that workers' compensation benefits are generally the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sole and exclusive remedy of an employee against his [or her] employer for injuries in the course of employment,</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 and that the receipt of such benefits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precludes suits against an employer for injuries in the course of employment</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 </w:t>
      </w:r>
      <w:r w:rsidR="00C9473D" w:rsidRPr="00310BF3">
        <w:rPr>
          <w:rFonts w:ascii="Times New Roman" w:eastAsia="Times New Roman" w:hAnsi="Times New Roman"/>
          <w:i/>
          <w:iCs/>
          <w:sz w:val="24"/>
          <w:szCs w:val="24"/>
        </w:rPr>
        <w:t>(Weiner v. City of New York,</w:t>
      </w:r>
      <w:r w:rsidR="00C9473D" w:rsidRPr="00310BF3">
        <w:rPr>
          <w:rFonts w:ascii="Times New Roman" w:eastAsia="Times New Roman" w:hAnsi="Times New Roman"/>
          <w:sz w:val="24"/>
          <w:szCs w:val="24"/>
        </w:rPr>
        <w:t xml:space="preserve"> 19 N.Y.3d 852, 854, 947 N.Y.S.2d 404, 970 N.E.2d 427 [2012]).</w:t>
      </w:r>
      <w:r w:rsidR="00C9473D">
        <w:rPr>
          <w:rFonts w:ascii="Times New Roman" w:eastAsia="Times New Roman" w:hAnsi="Times New Roman"/>
          <w:sz w:val="24"/>
          <w:szCs w:val="24"/>
        </w:rPr>
        <w:t xml:space="preserve">” </w:t>
      </w:r>
    </w:p>
    <w:p w14:paraId="3089FE8E" w14:textId="77777777" w:rsidR="008E2491" w:rsidRDefault="008E2491" w:rsidP="008E2491">
      <w:pPr>
        <w:spacing w:after="100" w:line="240" w:lineRule="auto"/>
        <w:rPr>
          <w:rFonts w:ascii="Times New Roman" w:hAnsi="Times New Roman"/>
          <w:b/>
          <w:bCs/>
          <w:sz w:val="24"/>
          <w:szCs w:val="24"/>
        </w:rPr>
      </w:pPr>
      <w:r w:rsidRPr="00A06313">
        <w:rPr>
          <w:rFonts w:ascii="Times New Roman" w:hAnsi="Times New Roman"/>
          <w:b/>
          <w:bCs/>
          <w:sz w:val="24"/>
          <w:szCs w:val="24"/>
        </w:rPr>
        <w:t>Legal Lesson Learned:</w:t>
      </w:r>
      <w:r>
        <w:rPr>
          <w:rFonts w:ascii="Times New Roman" w:hAnsi="Times New Roman"/>
          <w:b/>
          <w:bCs/>
          <w:sz w:val="24"/>
          <w:szCs w:val="24"/>
        </w:rPr>
        <w:t xml:space="preserve"> EMT’s only remedy is worker’s comp.</w:t>
      </w:r>
    </w:p>
    <w:p w14:paraId="38F74DE0" w14:textId="77777777" w:rsidR="008E2491" w:rsidRDefault="008E2491" w:rsidP="008E2491">
      <w:pPr>
        <w:spacing w:after="100" w:line="240" w:lineRule="auto"/>
        <w:ind w:left="720"/>
        <w:rPr>
          <w:rFonts w:ascii="Times New Roman" w:hAnsi="Times New Roman"/>
          <w:sz w:val="24"/>
          <w:szCs w:val="24"/>
        </w:rPr>
      </w:pPr>
      <w:r w:rsidRPr="00A06313">
        <w:rPr>
          <w:rFonts w:ascii="Times New Roman" w:hAnsi="Times New Roman"/>
          <w:sz w:val="24"/>
          <w:szCs w:val="24"/>
        </w:rPr>
        <w:t xml:space="preserve">Note: </w:t>
      </w:r>
      <w:r>
        <w:rPr>
          <w:rFonts w:ascii="Times New Roman" w:hAnsi="Times New Roman"/>
          <w:sz w:val="24"/>
          <w:szCs w:val="24"/>
        </w:rPr>
        <w:t>Several states have abolished the “Fireman’s Rule” to allow fire and police to sue third parties for injuries at a premises. Ohio has not abolished the Fireman’s Rule.</w:t>
      </w:r>
    </w:p>
    <w:p w14:paraId="02735E60" w14:textId="77777777" w:rsidR="008E2491" w:rsidRDefault="008E2491" w:rsidP="008E2491">
      <w:pPr>
        <w:spacing w:after="100" w:line="240" w:lineRule="auto"/>
        <w:ind w:left="1440"/>
        <w:rPr>
          <w:rFonts w:ascii="Times New Roman" w:hAnsi="Times New Roman"/>
          <w:sz w:val="24"/>
          <w:szCs w:val="24"/>
        </w:rPr>
      </w:pPr>
      <w:r>
        <w:rPr>
          <w:rFonts w:ascii="Times New Roman" w:hAnsi="Times New Roman"/>
          <w:sz w:val="24"/>
          <w:szCs w:val="24"/>
        </w:rPr>
        <w:t xml:space="preserve">Florida: </w:t>
      </w:r>
      <w:hyperlink r:id="rId452" w:history="1">
        <w:r w:rsidRPr="00220336">
          <w:rPr>
            <w:rStyle w:val="Hyperlink"/>
            <w:rFonts w:ascii="Times New Roman" w:hAnsi="Times New Roman"/>
            <w:sz w:val="24"/>
            <w:szCs w:val="24"/>
          </w:rPr>
          <w:t>https://casetext.com/statute/florida-statutes/title-x-public-officers-employees-and-records/chapter-112-public-officers-and-employees-general-provisions/part-i-conditions-of-employment-retirement-travel-expenses/section-112182-firefighter-rule-abolished</w:t>
        </w:r>
      </w:hyperlink>
      <w:r>
        <w:rPr>
          <w:rFonts w:ascii="Times New Roman" w:hAnsi="Times New Roman"/>
          <w:sz w:val="24"/>
          <w:szCs w:val="24"/>
        </w:rPr>
        <w:t xml:space="preserve"> </w:t>
      </w:r>
    </w:p>
    <w:p w14:paraId="1EF82DBE" w14:textId="77777777" w:rsidR="008E2491" w:rsidRDefault="008E2491" w:rsidP="008E2491">
      <w:pPr>
        <w:spacing w:after="100" w:line="240" w:lineRule="auto"/>
        <w:ind w:left="720"/>
        <w:rPr>
          <w:rFonts w:ascii="Times New Roman" w:hAnsi="Times New Roman"/>
          <w:sz w:val="24"/>
          <w:szCs w:val="24"/>
        </w:rPr>
      </w:pPr>
    </w:p>
    <w:p w14:paraId="31FF9397" w14:textId="77777777" w:rsidR="008E2491" w:rsidRDefault="008E2491" w:rsidP="008E2491">
      <w:pPr>
        <w:spacing w:after="100" w:line="240" w:lineRule="auto"/>
        <w:ind w:left="720" w:firstLine="720"/>
        <w:rPr>
          <w:rFonts w:ascii="Times New Roman" w:hAnsi="Times New Roman"/>
          <w:sz w:val="24"/>
          <w:szCs w:val="24"/>
        </w:rPr>
      </w:pPr>
      <w:r>
        <w:rPr>
          <w:rFonts w:ascii="Times New Roman" w:hAnsi="Times New Roman"/>
          <w:sz w:val="24"/>
          <w:szCs w:val="24"/>
        </w:rPr>
        <w:t xml:space="preserve">Minnesota: </w:t>
      </w:r>
      <w:hyperlink r:id="rId453" w:history="1">
        <w:r w:rsidRPr="00220336">
          <w:rPr>
            <w:rStyle w:val="Hyperlink"/>
            <w:rFonts w:ascii="Times New Roman" w:hAnsi="Times New Roman"/>
            <w:sz w:val="24"/>
            <w:szCs w:val="24"/>
          </w:rPr>
          <w:t>https://www.revisor.mn.gov/statutes/cite/604.06</w:t>
        </w:r>
      </w:hyperlink>
      <w:r>
        <w:rPr>
          <w:rFonts w:ascii="Times New Roman" w:hAnsi="Times New Roman"/>
          <w:sz w:val="24"/>
          <w:szCs w:val="24"/>
        </w:rPr>
        <w:t xml:space="preserve"> </w:t>
      </w:r>
    </w:p>
    <w:p w14:paraId="34CDCFDD" w14:textId="77777777" w:rsidR="008E2491" w:rsidRPr="0032228A" w:rsidRDefault="008E2491" w:rsidP="008E2491">
      <w:pPr>
        <w:spacing w:after="100" w:line="240" w:lineRule="auto"/>
        <w:ind w:left="1440"/>
        <w:rPr>
          <w:rFonts w:ascii="Times New Roman" w:eastAsia="Times New Roman" w:hAnsi="Times New Roman"/>
          <w:sz w:val="24"/>
          <w:szCs w:val="24"/>
        </w:rPr>
      </w:pPr>
      <w:r>
        <w:rPr>
          <w:rFonts w:ascii="Times New Roman" w:hAnsi="Times New Roman"/>
          <w:sz w:val="24"/>
          <w:szCs w:val="24"/>
        </w:rPr>
        <w:t>New Jersey.  “</w:t>
      </w:r>
      <w:r w:rsidRPr="0032228A">
        <w:rPr>
          <w:rFonts w:ascii="Times New Roman" w:hAnsi="Times New Roman"/>
          <w:sz w:val="24"/>
          <w:szCs w:val="24"/>
        </w:rPr>
        <w:t>In a decision issued on March 13, 2007, the Supreme Court of New Jersey ruled that the common law doctrine prohibiting first responders from recovering damages from a property owner for a personal injury sustained while confronting an emergency on the owner’s premises, is no longer in effect.</w:t>
      </w:r>
      <w:r>
        <w:rPr>
          <w:rFonts w:ascii="Times New Roman" w:hAnsi="Times New Roman"/>
          <w:sz w:val="24"/>
          <w:szCs w:val="24"/>
        </w:rPr>
        <w:t xml:space="preserve">” </w:t>
      </w:r>
      <w:hyperlink r:id="rId454" w:history="1">
        <w:r w:rsidRPr="00220336">
          <w:rPr>
            <w:rStyle w:val="Hyperlink"/>
            <w:rFonts w:ascii="Times New Roman" w:hAnsi="Times New Roman"/>
            <w:sz w:val="24"/>
            <w:szCs w:val="24"/>
          </w:rPr>
          <w:t>https://www.pralaw.com/articles/the-supreme-court-of-new-jersey-rules-that-the-firefighters-rule-has-been-abolished</w:t>
        </w:r>
      </w:hyperlink>
      <w:r>
        <w:rPr>
          <w:rFonts w:ascii="Times New Roman" w:hAnsi="Times New Roman"/>
          <w:sz w:val="24"/>
          <w:szCs w:val="24"/>
        </w:rPr>
        <w:t xml:space="preserve"> </w:t>
      </w:r>
    </w:p>
    <w:p w14:paraId="56AC1A1D" w14:textId="77777777" w:rsidR="008E2491" w:rsidRDefault="008E2491" w:rsidP="008E24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Ohio has not abolished the Fireman’s Rule.</w:t>
      </w:r>
    </w:p>
    <w:p w14:paraId="2372B9A8" w14:textId="77777777" w:rsidR="008E2491" w:rsidRDefault="008E2491" w:rsidP="008E2491">
      <w:pPr>
        <w:pStyle w:val="NormalWeb"/>
        <w:ind w:left="720"/>
      </w:pPr>
      <w:r>
        <w:t>“</w:t>
      </w:r>
      <w:r w:rsidRPr="00BC1644">
        <w:t xml:space="preserve">In a victory for the rights of police officers and firefighters throughout the State of Ohio, on March 25, 2009, an unanimous Ohio Supreme Court refused to extend Ohio’s Fireman’s Rule to allow independent contractors to escape liability where an emergency responder (police officer, firefighter, etc.) is injured in the course of their employment as a result of a defective condition created by that contractor. In announcing its decision in the case of </w:t>
      </w:r>
      <w:proofErr w:type="spellStart"/>
      <w:r w:rsidRPr="00BC1644">
        <w:rPr>
          <w:i/>
          <w:iCs/>
        </w:rPr>
        <w:t>Torchik</w:t>
      </w:r>
      <w:proofErr w:type="spellEnd"/>
      <w:r w:rsidRPr="00BC1644">
        <w:rPr>
          <w:i/>
          <w:iCs/>
        </w:rPr>
        <w:t xml:space="preserve"> v. Boyce</w:t>
      </w:r>
      <w:r w:rsidRPr="00BC1644">
        <w:t xml:space="preserve">, the Court wrote that it </w:t>
      </w:r>
      <w:r>
        <w:t>‘</w:t>
      </w:r>
      <w:r w:rsidRPr="00BC1644">
        <w:t>ruled today that an independent contractor whose negligent work is alleged to have caused injury to a public safety officer is not covered by a common law ‘fireman’s rule’ that immunizes property owners from civil liability for injuries suffered by public safety officers who enter their property while on duty.</w:t>
      </w:r>
      <w:r>
        <w:t>’”</w:t>
      </w:r>
      <w:r w:rsidRPr="00F01FC6">
        <w:t xml:space="preserve"> </w:t>
      </w:r>
      <w:hyperlink r:id="rId455" w:history="1">
        <w:r w:rsidRPr="00220336">
          <w:rPr>
            <w:rStyle w:val="Hyperlink"/>
          </w:rPr>
          <w:t>https://livornoandarnett.com/ohios-firemans-rule/</w:t>
        </w:r>
      </w:hyperlink>
    </w:p>
    <w:p w14:paraId="554AC590" w14:textId="77777777" w:rsidR="008E2491" w:rsidRDefault="008E2491" w:rsidP="00C9473D">
      <w:pPr>
        <w:spacing w:before="100" w:beforeAutospacing="1" w:after="100" w:afterAutospacing="1" w:line="240" w:lineRule="auto"/>
        <w:ind w:left="720"/>
        <w:rPr>
          <w:rFonts w:ascii="Times New Roman" w:eastAsia="Times New Roman" w:hAnsi="Times New Roman"/>
          <w:sz w:val="24"/>
          <w:szCs w:val="24"/>
        </w:rPr>
      </w:pPr>
    </w:p>
    <w:p w14:paraId="6209AD80" w14:textId="77777777" w:rsidR="007276B8" w:rsidRDefault="007276B8" w:rsidP="00286F24">
      <w:pPr>
        <w:rPr>
          <w:rFonts w:ascii="Arial Black" w:hAnsi="Arial Black"/>
          <w:sz w:val="24"/>
          <w:szCs w:val="24"/>
        </w:rPr>
      </w:pPr>
    </w:p>
    <w:p w14:paraId="3CC35B26" w14:textId="77777777" w:rsidR="007276B8" w:rsidRDefault="007276B8" w:rsidP="00286F24">
      <w:pPr>
        <w:rPr>
          <w:rFonts w:ascii="Arial Black" w:hAnsi="Arial Black"/>
          <w:sz w:val="24"/>
          <w:szCs w:val="24"/>
        </w:rPr>
      </w:pPr>
    </w:p>
    <w:p w14:paraId="0DF52923" w14:textId="205F2041" w:rsidR="008C7F06" w:rsidRDefault="008C7F06" w:rsidP="00286F24">
      <w:pPr>
        <w:rPr>
          <w:rFonts w:ascii="Arial Black" w:hAnsi="Arial Black"/>
          <w:sz w:val="24"/>
          <w:szCs w:val="24"/>
        </w:rPr>
      </w:pPr>
      <w:r>
        <w:rPr>
          <w:rFonts w:ascii="Arial Black" w:hAnsi="Arial Black"/>
          <w:sz w:val="24"/>
          <w:szCs w:val="24"/>
        </w:rPr>
        <w:t>2-6</w:t>
      </w:r>
      <w:r w:rsidR="007C073D">
        <w:rPr>
          <w:rFonts w:ascii="Arial Black" w:hAnsi="Arial Black"/>
          <w:sz w:val="24"/>
          <w:szCs w:val="24"/>
        </w:rPr>
        <w:t>7</w:t>
      </w:r>
    </w:p>
    <w:p w14:paraId="667B89CE" w14:textId="77777777" w:rsidR="008C7F06" w:rsidRPr="005E58F4" w:rsidRDefault="008C7F06" w:rsidP="008C7F0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IN: SCUFFLE WITH MENTAL AT FIRE STATION – TRIED ESCAPE PD CRUISER – HABITUAL OFFENDER – 26 YRS </w:t>
      </w:r>
    </w:p>
    <w:p w14:paraId="2C62A2D7" w14:textId="77777777" w:rsidR="008C7F06" w:rsidRDefault="008C7F06" w:rsidP="008C7F06">
      <w:pPr>
        <w:pStyle w:val="NormalWeb"/>
        <w:spacing w:before="0" w:beforeAutospacing="0"/>
        <w:rPr>
          <w:color w:val="454545"/>
          <w:shd w:val="clear" w:color="auto" w:fill="FFFFFF"/>
        </w:rPr>
      </w:pPr>
      <w:r>
        <w:rPr>
          <w:color w:val="454545"/>
          <w:shd w:val="clear" w:color="auto" w:fill="FFFFFF"/>
        </w:rPr>
        <w:t xml:space="preserve">On April 29, 2024, in </w:t>
      </w:r>
      <w:r w:rsidRPr="001F6456">
        <w:rPr>
          <w:color w:val="454545"/>
          <w:u w:val="single"/>
          <w:shd w:val="clear" w:color="auto" w:fill="FFFFFF"/>
        </w:rPr>
        <w:t>Warren A. Beals v. State of Indiana</w:t>
      </w:r>
      <w:r>
        <w:rPr>
          <w:color w:val="454545"/>
          <w:shd w:val="clear" w:color="auto" w:fill="FFFFFF"/>
        </w:rPr>
        <w:t xml:space="preserve">, the Court of Appeals of Indiana held (3 to 0) that the defendant was properly convicted by a jury and there is no basis for resentencing. On April 27, 2021, members of Marengo Volunteer FD heard yelling outside.  When defendant poked finger at Fire Chief (and reserve PD) </w:t>
      </w:r>
      <w:proofErr w:type="gramStart"/>
      <w:r>
        <w:rPr>
          <w:color w:val="454545"/>
          <w:shd w:val="clear" w:color="auto" w:fill="FFFFFF"/>
        </w:rPr>
        <w:t>tried</w:t>
      </w:r>
      <w:proofErr w:type="gramEnd"/>
      <w:r>
        <w:rPr>
          <w:color w:val="454545"/>
          <w:shd w:val="clear" w:color="auto" w:fill="FFFFFF"/>
        </w:rPr>
        <w:t xml:space="preserve"> to grab his service weapon, firefighters pushed him to floor.  When PD was transporting him to jail in front seat of patrol car without a cage, he tried to escape. </w:t>
      </w:r>
      <w:r>
        <w:t xml:space="preserve">The trial court sentenced Beals to six years for the Level 4 felony, attempted escape from PD causing bodily injury, plus a habitual offender sentencing enhancement of twenty years. </w:t>
      </w:r>
      <w:hyperlink r:id="rId456" w:history="1">
        <w:r w:rsidRPr="00A2355F">
          <w:rPr>
            <w:rStyle w:val="Hyperlink"/>
            <w:shd w:val="clear" w:color="auto" w:fill="FFFFFF"/>
          </w:rPr>
          <w:t>https://caselaw.findlaw.com/court/in-court-of-appeals/116108297.html</w:t>
        </w:r>
      </w:hyperlink>
      <w:r>
        <w:rPr>
          <w:color w:val="454545"/>
          <w:shd w:val="clear" w:color="auto" w:fill="FFFFFF"/>
        </w:rPr>
        <w:t xml:space="preserve"> </w:t>
      </w:r>
    </w:p>
    <w:p w14:paraId="5F0DE75F" w14:textId="77777777" w:rsidR="008C7F06" w:rsidRDefault="008C7F06" w:rsidP="008C7F06">
      <w:pPr>
        <w:pStyle w:val="NormalWeb"/>
        <w:spacing w:before="0" w:beforeAutospacing="0"/>
        <w:rPr>
          <w:color w:val="454545"/>
          <w:shd w:val="clear" w:color="auto" w:fill="FFFFFF"/>
        </w:rPr>
      </w:pPr>
      <w:r>
        <w:rPr>
          <w:color w:val="454545"/>
          <w:shd w:val="clear" w:color="auto" w:fill="FFFFFF"/>
        </w:rPr>
        <w:t>THE COURT HELD:</w:t>
      </w:r>
    </w:p>
    <w:p w14:paraId="33721C7A" w14:textId="77777777" w:rsidR="008C7F06" w:rsidRDefault="008C7F06" w:rsidP="008C7F06">
      <w:pPr>
        <w:pStyle w:val="NormalWeb"/>
        <w:spacing w:before="0" w:beforeAutospacing="0"/>
        <w:ind w:left="720"/>
      </w:pPr>
      <w:r>
        <w:t>“Police officers arrested Warren Beals after a scuffle at a fire station. On the way to jail, Beals opened the door to the police vehicle and attempted to get out, but the transporting officer restrained Beals until he could stop the car. A jury convicted Beals of Level 4 felony attempted escape causing bodily injury and Class A misdemeanor resisting law enforcement. The jury further determined Beals was a habitual offender.</w:t>
      </w:r>
    </w:p>
    <w:p w14:paraId="3BBB3C8D" w14:textId="77777777" w:rsidR="008C7F06" w:rsidRDefault="008C7F06" w:rsidP="008C7F06">
      <w:pPr>
        <w:pStyle w:val="NormalWeb"/>
        <w:spacing w:before="0" w:beforeAutospacing="0"/>
        <w:ind w:left="720"/>
      </w:pPr>
      <w:r>
        <w:t>***</w:t>
      </w:r>
      <w:r>
        <w:rPr>
          <w:color w:val="454545"/>
          <w:shd w:val="clear" w:color="auto" w:fill="FFFFFF"/>
        </w:rPr>
        <w:br/>
      </w:r>
      <w:r>
        <w:t xml:space="preserve">Beals </w:t>
      </w:r>
      <w:proofErr w:type="gramStart"/>
      <w:r>
        <w:t>was</w:t>
      </w:r>
      <w:proofErr w:type="gramEnd"/>
      <w:r>
        <w:t xml:space="preserve"> thirty-two years old at sentencing. He has three prior felony convictions: Class C battery resulting in serious bodily injury; Class D battery resulting in bodily injury to a law enforcement officer; and Class D intimidation. He has four prior misdemeanor convictions: Class A cruelty to an animal; Class B strangulation; Class B reckless driving; and Class B public intoxication. Beals </w:t>
      </w:r>
      <w:proofErr w:type="gramStart"/>
      <w:r>
        <w:t>has</w:t>
      </w:r>
      <w:proofErr w:type="gramEnd"/>
      <w:r>
        <w:t xml:space="preserve"> been placed on probation six times and </w:t>
      </w:r>
      <w:proofErr w:type="gramStart"/>
      <w:r>
        <w:t>has</w:t>
      </w:r>
      <w:proofErr w:type="gramEnd"/>
      <w:r>
        <w:t xml:space="preserve"> violated the terms of probation three times. His lengthy criminal history, including repeated acts of violence, speaks poorly of his character. And Beals' history of probation violations weighs against a lengthy term of probation here.</w:t>
      </w:r>
    </w:p>
    <w:p w14:paraId="190ECAF6" w14:textId="77777777" w:rsidR="008C7F06" w:rsidRDefault="008C7F06" w:rsidP="008C7F06">
      <w:pPr>
        <w:pStyle w:val="NormalWeb"/>
        <w:spacing w:before="0" w:beforeAutospacing="0"/>
        <w:ind w:left="720"/>
      </w:pPr>
      <w:r>
        <w:t>***</w:t>
      </w:r>
    </w:p>
    <w:p w14:paraId="678CFBC2" w14:textId="77777777" w:rsidR="008C7F06" w:rsidRDefault="008C7F06" w:rsidP="008C7F06">
      <w:pPr>
        <w:pStyle w:val="NormalWeb"/>
        <w:spacing w:before="0" w:beforeAutospacing="0"/>
        <w:ind w:left="720"/>
      </w:pPr>
      <w:r>
        <w:t>Based on the foregoing, we do not conclude that Beals was unable to control his behavior when he tried to get out of the vehicle and then tried to walk away. Considering Beals' history of mental illness in context with his extensive violent criminal record and the nature of the offenses, he has failed to persuade us that his sentence is an outlier needing revision.”</w:t>
      </w:r>
    </w:p>
    <w:p w14:paraId="7B47443A" w14:textId="77777777" w:rsidR="008C7F06" w:rsidRPr="001D73FB" w:rsidRDefault="008C7F06" w:rsidP="008C7F06">
      <w:pPr>
        <w:pStyle w:val="NormalWeb"/>
        <w:rPr>
          <w:b/>
          <w:bCs/>
        </w:rPr>
      </w:pPr>
      <w:r w:rsidRPr="001D73FB">
        <w:rPr>
          <w:b/>
          <w:bCs/>
        </w:rPr>
        <w:t>Legal Lesson Learned:</w:t>
      </w:r>
      <w:r>
        <w:rPr>
          <w:b/>
          <w:bCs/>
        </w:rPr>
        <w:t xml:space="preserve"> Habitual offender laws can substantially increase a defendant’s sentence. </w:t>
      </w:r>
    </w:p>
    <w:p w14:paraId="78116891" w14:textId="77777777" w:rsidR="008C7F06" w:rsidRDefault="008C7F06" w:rsidP="008C7F06">
      <w:pPr>
        <w:rPr>
          <w:rFonts w:ascii="Arial Black" w:hAnsi="Arial Black"/>
          <w:sz w:val="28"/>
          <w:szCs w:val="28"/>
        </w:rPr>
      </w:pPr>
    </w:p>
    <w:p w14:paraId="160C072A" w14:textId="77777777" w:rsidR="008C7F06" w:rsidRDefault="008C7F06" w:rsidP="00286F24">
      <w:pPr>
        <w:rPr>
          <w:rFonts w:ascii="Arial Black" w:hAnsi="Arial Black"/>
          <w:sz w:val="24"/>
          <w:szCs w:val="24"/>
        </w:rPr>
      </w:pPr>
    </w:p>
    <w:p w14:paraId="256CCE4E" w14:textId="77777777" w:rsidR="008C7F06" w:rsidRDefault="008C7F06" w:rsidP="00286F24">
      <w:pPr>
        <w:rPr>
          <w:rFonts w:ascii="Arial Black" w:hAnsi="Arial Black"/>
          <w:sz w:val="24"/>
          <w:szCs w:val="24"/>
        </w:rPr>
      </w:pPr>
    </w:p>
    <w:p w14:paraId="0E15BC69" w14:textId="21B7B23E" w:rsidR="00286F24" w:rsidRDefault="00286F24" w:rsidP="00286F24">
      <w:pPr>
        <w:rPr>
          <w:rFonts w:ascii="Arial Black" w:hAnsi="Arial Black"/>
          <w:sz w:val="24"/>
          <w:szCs w:val="24"/>
        </w:rPr>
      </w:pPr>
      <w:r>
        <w:rPr>
          <w:rFonts w:ascii="Arial Black" w:hAnsi="Arial Black"/>
          <w:sz w:val="24"/>
          <w:szCs w:val="24"/>
        </w:rPr>
        <w:lastRenderedPageBreak/>
        <w:t>2-6</w:t>
      </w:r>
      <w:r w:rsidR="007C073D">
        <w:rPr>
          <w:rFonts w:ascii="Arial Black" w:hAnsi="Arial Black"/>
          <w:sz w:val="24"/>
          <w:szCs w:val="24"/>
        </w:rPr>
        <w:t>6</w:t>
      </w:r>
    </w:p>
    <w:p w14:paraId="179C4A70" w14:textId="7BD3FCC6" w:rsidR="00286F24" w:rsidRPr="00A85425" w:rsidRDefault="00286F24" w:rsidP="00286F24">
      <w:pPr>
        <w:pStyle w:val="NoSpacing"/>
        <w:rPr>
          <w:rFonts w:ascii="Arial Black" w:hAnsi="Arial Black"/>
          <w:sz w:val="28"/>
          <w:szCs w:val="28"/>
        </w:rPr>
      </w:pPr>
      <w:r>
        <w:rPr>
          <w:rFonts w:ascii="Arial Black" w:hAnsi="Arial Black"/>
          <w:sz w:val="28"/>
          <w:szCs w:val="28"/>
        </w:rPr>
        <w:t>PA: PSYCH SEVERLY INJURED EMT - TRANSPORT FROM HOSP TO PSCH UNIT – NO PROOF HOSP MALPRACTICE</w:t>
      </w:r>
    </w:p>
    <w:p w14:paraId="61E07A56" w14:textId="16B89E9F" w:rsidR="00286F24" w:rsidRDefault="00286F24" w:rsidP="00286F24">
      <w:pPr>
        <w:pStyle w:val="NormalWeb"/>
      </w:pPr>
      <w:r>
        <w:t xml:space="preserve">On March 20, 2024, in </w:t>
      </w:r>
      <w:r w:rsidRPr="004B6EC2">
        <w:rPr>
          <w:u w:val="single"/>
        </w:rPr>
        <w:t>Cori Larsen v. Wayne Memorial Hospital and Paige Castelino, et al</w:t>
      </w:r>
      <w:r>
        <w:t xml:space="preserve">., the Superior Court of Pennsylvania, held (3 to 0) that the trial court judge properly granted defense motion for summary judgment; the EMT was severely injured by the minor patient during transport: </w:t>
      </w:r>
      <w:r w:rsidRPr="00486655">
        <w:t>detached retina, fractured teeth, concussion, and contusions of the knee and ribs</w:t>
      </w:r>
      <w:r>
        <w:t xml:space="preserve">, but the EMT failed to prove a breach of standard of care when hospital released the patient to a </w:t>
      </w:r>
      <w:r w:rsidRPr="00486655">
        <w:t>psychiatric facility</w:t>
      </w:r>
      <w:r>
        <w:t>. The EMT’s</w:t>
      </w:r>
      <w:r w:rsidRPr="00486655">
        <w:t xml:space="preserve"> </w:t>
      </w:r>
      <w:r>
        <w:t>expert witness affidavit was from an ER doctor, not an Internal Medicine / mental health physician.</w:t>
      </w:r>
    </w:p>
    <w:p w14:paraId="4B60F0E8"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BC2124D" w14:textId="77777777" w:rsidR="00286F24" w:rsidRDefault="00286F24" w:rsidP="00286F24">
      <w:pPr>
        <w:pStyle w:val="NormalWeb"/>
        <w:ind w:left="720"/>
      </w:pPr>
      <w:r>
        <w:t xml:space="preserve">“On appeal, Larsen argues the trial court erred in granting Appellees' motion for summary judgment because (1) Appellees owed Larsen a duty, notwithstanding the fact that Larsen was not Appellees' patient, and (2) Larsen's liability expert was qualified to opine on breaches of the standard of care by Appellees.  Due to our disposition on the second issue, we need not reach the first issue - as even if we assume, arguendo, that Appellees owed Larsen a duty, we agree with the trial court that Larsen failed to meet her burden of producing a qualified expert to opine on a breach of the standard of care by Appellees. </w:t>
      </w:r>
    </w:p>
    <w:p w14:paraId="5F4504BD" w14:textId="77777777" w:rsidR="00286F24" w:rsidRPr="00A85425" w:rsidRDefault="00286F24" w:rsidP="00286F24">
      <w:pPr>
        <w:spacing w:before="100" w:beforeAutospacing="1" w:after="100" w:afterAutospacing="1" w:line="240" w:lineRule="auto"/>
        <w:rPr>
          <w:rFonts w:ascii="Times New Roman" w:eastAsia="Times New Roman" w:hAnsi="Times New Roman"/>
          <w:sz w:val="24"/>
          <w:szCs w:val="24"/>
        </w:rPr>
      </w:pPr>
      <w:r w:rsidRPr="00A85425">
        <w:rPr>
          <w:rFonts w:ascii="Times New Roman" w:eastAsia="Times New Roman" w:hAnsi="Times New Roman"/>
          <w:sz w:val="24"/>
          <w:szCs w:val="24"/>
        </w:rPr>
        <w:t xml:space="preserve">Dr. Kenneth Robinson authored a report in which he concluded "that Dr. Castelino and [WMH] failed to meet the standard of care, and that these failures caused the significant injuries sustained by [] Larsen." Brief in Support of Motion for Summary Judgment, 4/3/23, at Exhibit P. </w:t>
      </w:r>
    </w:p>
    <w:p w14:paraId="75D3AEBC" w14:textId="77777777" w:rsidR="00286F24" w:rsidRPr="00A85425" w:rsidRDefault="00286F24" w:rsidP="00286F24">
      <w:pPr>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w:t>
      </w:r>
      <w:r w:rsidRPr="00A85425">
        <w:rPr>
          <w:rFonts w:ascii="Times New Roman" w:eastAsia="Times New Roman" w:hAnsi="Times New Roman"/>
          <w:sz w:val="24"/>
          <w:szCs w:val="24"/>
        </w:rPr>
        <w:t xml:space="preserve">In its opinion, the trial court concluded Dr. Robinson is not qualified to render an opinion regarding the standard of care of Appellees, explaining as follows: </w:t>
      </w:r>
    </w:p>
    <w:p w14:paraId="54E34799" w14:textId="77777777" w:rsidR="00286F24" w:rsidRPr="00A85425" w:rsidRDefault="00286F24" w:rsidP="00286F24">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A85425">
        <w:rPr>
          <w:rFonts w:ascii="Times New Roman" w:eastAsia="Times New Roman" w:hAnsi="Times New Roman"/>
          <w:sz w:val="24"/>
          <w:szCs w:val="24"/>
        </w:rPr>
        <w:t xml:space="preserve">Dr. Robinson is board certified in emergency medicine while Dr. Castelino is board certified in internal medicine. Dr. Castelino, in her role as a specialist in internal medicine, treated T.D. and monitored her mental health over the course of T.D.'s multi-day commitment at WMH. Dr. Castelino is a hospitalist who coordinates the care of a patient during his or her stay. This is much different than the role of Dr. Robinson, chief of a hospital's department of emergency medicine. Further, Dr. Robinson states generally in the conclusion of his report that he has years of experience treating </w:t>
      </w:r>
      <w:r>
        <w:rPr>
          <w:rFonts w:ascii="Times New Roman" w:eastAsia="Times New Roman" w:hAnsi="Times New Roman"/>
          <w:sz w:val="24"/>
          <w:szCs w:val="24"/>
        </w:rPr>
        <w:t>‘</w:t>
      </w:r>
      <w:r w:rsidRPr="00A85425">
        <w:rPr>
          <w:rFonts w:ascii="Times New Roman" w:eastAsia="Times New Roman" w:hAnsi="Times New Roman"/>
          <w:sz w:val="24"/>
          <w:szCs w:val="24"/>
        </w:rPr>
        <w:t>a wide variety of patients</w:t>
      </w:r>
      <w:r>
        <w:rPr>
          <w:rFonts w:ascii="Times New Roman" w:eastAsia="Times New Roman" w:hAnsi="Times New Roman"/>
          <w:sz w:val="24"/>
          <w:szCs w:val="24"/>
        </w:rPr>
        <w:t>’</w:t>
      </w:r>
      <w:r w:rsidRPr="00A85425">
        <w:rPr>
          <w:rFonts w:ascii="Times New Roman" w:eastAsia="Times New Roman" w:hAnsi="Times New Roman"/>
          <w:sz w:val="24"/>
          <w:szCs w:val="24"/>
        </w:rPr>
        <w:t xml:space="preserve"> including </w:t>
      </w:r>
      <w:r>
        <w:rPr>
          <w:rFonts w:ascii="Times New Roman" w:eastAsia="Times New Roman" w:hAnsi="Times New Roman"/>
          <w:sz w:val="24"/>
          <w:szCs w:val="24"/>
        </w:rPr>
        <w:t>‘</w:t>
      </w:r>
      <w:r w:rsidRPr="00A85425">
        <w:rPr>
          <w:rFonts w:ascii="Times New Roman" w:eastAsia="Times New Roman" w:hAnsi="Times New Roman"/>
          <w:sz w:val="24"/>
          <w:szCs w:val="24"/>
        </w:rPr>
        <w:t>Behavioral Health patients.</w:t>
      </w:r>
      <w:r>
        <w:rPr>
          <w:rFonts w:ascii="Times New Roman" w:eastAsia="Times New Roman" w:hAnsi="Times New Roman"/>
          <w:sz w:val="24"/>
          <w:szCs w:val="24"/>
        </w:rPr>
        <w:t>’</w:t>
      </w:r>
      <w:r w:rsidRPr="00A85425">
        <w:rPr>
          <w:rFonts w:ascii="Times New Roman" w:eastAsia="Times New Roman" w:hAnsi="Times New Roman"/>
          <w:sz w:val="24"/>
          <w:szCs w:val="24"/>
        </w:rPr>
        <w:t xml:space="preserve"> However, his curriculum vitae, while replete with experience, certifications and acclaim in the areas of emergency medical services and trauma, is silent with regard to internal medicine and experience coordinating care of mental health patients</w:t>
      </w:r>
      <w:r>
        <w:rPr>
          <w:rFonts w:ascii="Times New Roman" w:eastAsia="Times New Roman" w:hAnsi="Times New Roman"/>
          <w:sz w:val="24"/>
          <w:szCs w:val="24"/>
        </w:rPr>
        <w:t xml:space="preserve">.” </w:t>
      </w:r>
      <w:hyperlink r:id="rId457" w:history="1">
        <w:r w:rsidRPr="0090046C">
          <w:rPr>
            <w:rStyle w:val="Hyperlink"/>
            <w:rFonts w:ascii="Times New Roman" w:eastAsia="Times New Roman" w:hAnsi="Times New Roman"/>
            <w:sz w:val="24"/>
            <w:szCs w:val="24"/>
          </w:rPr>
          <w:t>https://public.fastcase.com/H1P9uiW3J20SFp%2BGCG%2BxLbl0r%2FVDwzY9bFFJYqsh2zfJNVHn0JMcdFbkvIZSEaI0?utm_medium=email&amp;_hsmi=226712652&amp;_hsenc=p2ANqtz-8YA_f1AfCb15SVfFtIs0GBJg2UPhrOC0M_f0Fb9rbVagQyKLN71UFoiLhG6tJj5xQri87F989l3qtQXeXvmTCDhcNwWw&amp;utm_content=226712652&amp;utm_source=hs_email</w:t>
        </w:r>
      </w:hyperlink>
      <w:r>
        <w:rPr>
          <w:rFonts w:ascii="Times New Roman" w:eastAsia="Times New Roman" w:hAnsi="Times New Roman"/>
          <w:sz w:val="24"/>
          <w:szCs w:val="24"/>
        </w:rPr>
        <w:t xml:space="preserve"> </w:t>
      </w:r>
    </w:p>
    <w:p w14:paraId="5BCC5217" w14:textId="77777777" w:rsidR="00286F24" w:rsidRDefault="00286F24" w:rsidP="00286F24">
      <w:pPr>
        <w:pStyle w:val="NormalWeb"/>
      </w:pPr>
      <w:r w:rsidRPr="00E9331E">
        <w:rPr>
          <w:b/>
          <w:bCs/>
        </w:rPr>
        <w:t xml:space="preserve">Legal Lesson Learned:  The </w:t>
      </w:r>
      <w:r>
        <w:rPr>
          <w:b/>
          <w:bCs/>
        </w:rPr>
        <w:t xml:space="preserve">EMT </w:t>
      </w:r>
      <w:r w:rsidRPr="00E9331E">
        <w:rPr>
          <w:b/>
          <w:bCs/>
        </w:rPr>
        <w:t>failed to meet her burden of producing a qualified expert to opine on a breach of the standard of care</w:t>
      </w:r>
      <w:r>
        <w:rPr>
          <w:b/>
          <w:bCs/>
        </w:rPr>
        <w:t xml:space="preserve"> by hospital MD</w:t>
      </w:r>
      <w:r>
        <w:t xml:space="preserve">. </w:t>
      </w:r>
    </w:p>
    <w:p w14:paraId="48762F4C" w14:textId="77777777" w:rsidR="00286F24" w:rsidRDefault="00286F24" w:rsidP="00286F24">
      <w:pPr>
        <w:pStyle w:val="NormalWeb"/>
        <w:spacing w:before="0" w:beforeAutospacing="0"/>
      </w:pPr>
    </w:p>
    <w:p w14:paraId="79014282" w14:textId="77777777" w:rsidR="00286F24" w:rsidRDefault="00286F24" w:rsidP="00286F24">
      <w:pPr>
        <w:pStyle w:val="NormalWeb"/>
        <w:spacing w:before="0" w:beforeAutospacing="0"/>
      </w:pPr>
    </w:p>
    <w:p w14:paraId="40617581" w14:textId="53CCD726" w:rsidR="00286F24" w:rsidRPr="00760B23" w:rsidRDefault="00286F24" w:rsidP="00286F24">
      <w:pPr>
        <w:rPr>
          <w:rFonts w:ascii="Times New Roman" w:hAnsi="Times New Roman"/>
          <w:b/>
          <w:bCs/>
          <w:sz w:val="24"/>
          <w:szCs w:val="24"/>
        </w:rPr>
      </w:pPr>
      <w:r>
        <w:rPr>
          <w:rFonts w:ascii="Arial Black" w:hAnsi="Arial Black"/>
          <w:sz w:val="24"/>
          <w:szCs w:val="24"/>
        </w:rPr>
        <w:lastRenderedPageBreak/>
        <w:t>2-6</w:t>
      </w:r>
      <w:r w:rsidR="007C073D">
        <w:rPr>
          <w:rFonts w:ascii="Arial Black" w:hAnsi="Arial Black"/>
          <w:sz w:val="24"/>
          <w:szCs w:val="24"/>
        </w:rPr>
        <w:t>5</w:t>
      </w:r>
    </w:p>
    <w:p w14:paraId="75E5AE80" w14:textId="77777777" w:rsidR="00286F24" w:rsidRDefault="00286F24" w:rsidP="00286F24">
      <w:pPr>
        <w:pStyle w:val="NoSpacing"/>
        <w:jc w:val="center"/>
        <w:rPr>
          <w:rFonts w:ascii="Times New Roman" w:hAnsi="Times New Roman"/>
          <w:sz w:val="24"/>
          <w:szCs w:val="24"/>
          <w:shd w:val="clear" w:color="auto" w:fill="FFFFFF"/>
        </w:rPr>
      </w:pPr>
    </w:p>
    <w:p w14:paraId="218B069D" w14:textId="77777777" w:rsidR="00286F24" w:rsidRPr="005E4817" w:rsidRDefault="00286F24" w:rsidP="00286F24">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NJ: FF BACKGROUND CHECK – POOR DRIVING RECORD, FIRED FROM PD, DISORD. CONV – FF PROPERLY NOT HIRED </w:t>
      </w:r>
    </w:p>
    <w:p w14:paraId="6D898A87" w14:textId="77777777" w:rsidR="00286F24" w:rsidRDefault="00286F24" w:rsidP="00286F24">
      <w:pPr>
        <w:pStyle w:val="NoSpacing"/>
        <w:rPr>
          <w:rFonts w:ascii="Times New Roman" w:hAnsi="Times New Roman"/>
          <w:sz w:val="24"/>
          <w:szCs w:val="24"/>
        </w:rPr>
      </w:pPr>
      <w:r>
        <w:rPr>
          <w:rFonts w:ascii="Times New Roman" w:hAnsi="Times New Roman"/>
          <w:sz w:val="24"/>
          <w:szCs w:val="24"/>
        </w:rPr>
        <w:t xml:space="preserve">On March 19, 2024, </w:t>
      </w:r>
      <w:r w:rsidRPr="00AA0C7F">
        <w:rPr>
          <w:rFonts w:ascii="Times New Roman" w:hAnsi="Times New Roman"/>
          <w:sz w:val="24"/>
          <w:szCs w:val="24"/>
          <w:u w:val="single"/>
        </w:rPr>
        <w:t xml:space="preserve">In </w:t>
      </w:r>
      <w:r>
        <w:rPr>
          <w:rFonts w:ascii="Times New Roman" w:hAnsi="Times New Roman"/>
          <w:sz w:val="24"/>
          <w:szCs w:val="24"/>
          <w:u w:val="single"/>
        </w:rPr>
        <w:t>t</w:t>
      </w:r>
      <w:r w:rsidRPr="00AA0C7F">
        <w:rPr>
          <w:rFonts w:ascii="Times New Roman" w:hAnsi="Times New Roman"/>
          <w:sz w:val="24"/>
          <w:szCs w:val="24"/>
          <w:u w:val="single"/>
        </w:rPr>
        <w:t>he Matter of Albert Gonzales, Jr., Fire Fighter (M1844W), Jersey City</w:t>
      </w:r>
      <w:r>
        <w:rPr>
          <w:rFonts w:ascii="Times New Roman" w:hAnsi="Times New Roman"/>
          <w:sz w:val="24"/>
          <w:szCs w:val="24"/>
        </w:rPr>
        <w:t xml:space="preserve">, the Superior Court of New Jersey, Appellate Division, held (2 to 1) that the </w:t>
      </w:r>
      <w:r w:rsidRPr="00BA4882">
        <w:rPr>
          <w:rFonts w:ascii="Times New Roman" w:hAnsi="Times New Roman"/>
          <w:sz w:val="24"/>
          <w:szCs w:val="24"/>
        </w:rPr>
        <w:t>New Jersey Civil Service Commission</w:t>
      </w:r>
      <w:r>
        <w:rPr>
          <w:rFonts w:ascii="Times New Roman" w:hAnsi="Times New Roman"/>
          <w:sz w:val="24"/>
          <w:szCs w:val="24"/>
        </w:rPr>
        <w:t xml:space="preserve"> properly denied the applicant’s appeal.  </w:t>
      </w:r>
    </w:p>
    <w:p w14:paraId="483A3A0F" w14:textId="77777777" w:rsidR="009A27F2" w:rsidRDefault="009A27F2" w:rsidP="00286F24">
      <w:pPr>
        <w:pStyle w:val="NoSpacing"/>
        <w:rPr>
          <w:rFonts w:ascii="Times New Roman" w:hAnsi="Times New Roman"/>
          <w:sz w:val="24"/>
          <w:szCs w:val="24"/>
        </w:rPr>
      </w:pPr>
    </w:p>
    <w:p w14:paraId="58B6A9CF"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5094408C" w14:textId="77777777" w:rsidR="00286F24" w:rsidRDefault="00286F24" w:rsidP="00286F24">
      <w:pPr>
        <w:pStyle w:val="NoSpacing"/>
        <w:rPr>
          <w:rFonts w:ascii="Times New Roman" w:hAnsi="Times New Roman"/>
          <w:sz w:val="24"/>
          <w:szCs w:val="24"/>
        </w:rPr>
      </w:pPr>
    </w:p>
    <w:p w14:paraId="627D1D17" w14:textId="77777777" w:rsidR="00286F24" w:rsidRDefault="00286F24" w:rsidP="00286F24">
      <w:pPr>
        <w:pStyle w:val="NoSpacing"/>
        <w:ind w:left="720"/>
        <w:rPr>
          <w:rFonts w:ascii="Times New Roman" w:hAnsi="Times New Roman"/>
          <w:sz w:val="24"/>
          <w:szCs w:val="24"/>
        </w:rPr>
      </w:pPr>
      <w:r>
        <w:rPr>
          <w:rFonts w:ascii="Times New Roman" w:hAnsi="Times New Roman"/>
          <w:sz w:val="24"/>
          <w:szCs w:val="24"/>
        </w:rPr>
        <w:t>“</w:t>
      </w:r>
      <w:r w:rsidRPr="005E4817">
        <w:rPr>
          <w:rFonts w:ascii="Times New Roman" w:hAnsi="Times New Roman"/>
          <w:sz w:val="24"/>
          <w:szCs w:val="24"/>
        </w:rPr>
        <w:t xml:space="preserve">Appellant appeals from the February 7, 2022, Final Administrative Action (Final Action) of the Civil Service Commission (CSC) denying his motion for reconsideration and upholding his removal from the Jersey City firefighter eligibility list. Appellant was removed from the eligibility list after the review of his background report revealed he was terminated as a police officer from the Jersey City Police Department (JCPD) in 2009 and from another job in 2017. In addition, the report listed arrests in 2009 and 2010. He was convicted of a disorderly </w:t>
      </w:r>
      <w:proofErr w:type="gramStart"/>
      <w:r w:rsidRPr="005E4817">
        <w:rPr>
          <w:rFonts w:ascii="Times New Roman" w:hAnsi="Times New Roman"/>
          <w:sz w:val="24"/>
          <w:szCs w:val="24"/>
        </w:rPr>
        <w:t>persons</w:t>
      </w:r>
      <w:proofErr w:type="gramEnd"/>
      <w:r w:rsidRPr="005E4817">
        <w:rPr>
          <w:rFonts w:ascii="Times New Roman" w:hAnsi="Times New Roman"/>
          <w:sz w:val="24"/>
          <w:szCs w:val="24"/>
        </w:rPr>
        <w:t xml:space="preserve"> offense in 2010 and his driving record showed a history of motor vehicle violations and accidents.</w:t>
      </w:r>
    </w:p>
    <w:p w14:paraId="74D1DA36" w14:textId="77777777" w:rsidR="00286F24" w:rsidRDefault="00286F24" w:rsidP="00286F24">
      <w:pPr>
        <w:pStyle w:val="NoSpacing"/>
        <w:ind w:left="720"/>
        <w:rPr>
          <w:rFonts w:ascii="Times New Roman" w:hAnsi="Times New Roman"/>
          <w:sz w:val="24"/>
          <w:szCs w:val="24"/>
        </w:rPr>
      </w:pPr>
    </w:p>
    <w:p w14:paraId="31AD482C" w14:textId="77777777" w:rsidR="00286F24" w:rsidRDefault="00286F24" w:rsidP="00286F24">
      <w:pPr>
        <w:pStyle w:val="NoSpacing"/>
        <w:ind w:left="720"/>
        <w:rPr>
          <w:rFonts w:ascii="Times New Roman" w:hAnsi="Times New Roman"/>
          <w:sz w:val="24"/>
          <w:szCs w:val="24"/>
        </w:rPr>
      </w:pPr>
      <w:r>
        <w:rPr>
          <w:rFonts w:ascii="Times New Roman" w:hAnsi="Times New Roman"/>
          <w:sz w:val="24"/>
          <w:szCs w:val="24"/>
        </w:rPr>
        <w:t>***</w:t>
      </w:r>
    </w:p>
    <w:p w14:paraId="5FB691E1" w14:textId="77777777" w:rsidR="00286F24" w:rsidRDefault="00286F24" w:rsidP="00286F24">
      <w:pPr>
        <w:pStyle w:val="NoSpacing"/>
        <w:ind w:left="720"/>
        <w:rPr>
          <w:rFonts w:ascii="Times New Roman" w:hAnsi="Times New Roman"/>
          <w:sz w:val="24"/>
          <w:szCs w:val="24"/>
        </w:rPr>
      </w:pPr>
    </w:p>
    <w:p w14:paraId="7A075308" w14:textId="77777777" w:rsidR="00286F24" w:rsidRDefault="00286F24" w:rsidP="00286F24">
      <w:pPr>
        <w:pStyle w:val="NoSpacing"/>
        <w:ind w:left="720"/>
      </w:pPr>
      <w:r w:rsidRPr="00240555">
        <w:rPr>
          <w:rFonts w:ascii="Times New Roman" w:hAnsi="Times New Roman"/>
          <w:sz w:val="24"/>
          <w:szCs w:val="24"/>
        </w:rPr>
        <w:t xml:space="preserve">Appellant's disciplinary adjudications and his disorderly persons conviction all involved instances of dishonesty and deceit-traits not tolerated in </w:t>
      </w:r>
      <w:proofErr w:type="gramStart"/>
      <w:r w:rsidRPr="00240555">
        <w:rPr>
          <w:rFonts w:ascii="Times New Roman" w:hAnsi="Times New Roman"/>
          <w:sz w:val="24"/>
          <w:szCs w:val="24"/>
        </w:rPr>
        <w:t>a position</w:t>
      </w:r>
      <w:proofErr w:type="gramEnd"/>
      <w:r w:rsidRPr="00240555">
        <w:rPr>
          <w:rFonts w:ascii="Times New Roman" w:hAnsi="Times New Roman"/>
          <w:sz w:val="24"/>
          <w:szCs w:val="24"/>
        </w:rPr>
        <w:t xml:space="preserve"> of public service and of a firefighter. In such a visible position, the public must have the utmost confidence and trust in a firefighter and expects the candidate to have an impeccable character. Quite simply, a firefighter candidate must show respect for the law and the rules.</w:t>
      </w:r>
      <w:r>
        <w:rPr>
          <w:rFonts w:ascii="Times New Roman" w:hAnsi="Times New Roman"/>
          <w:sz w:val="24"/>
          <w:szCs w:val="24"/>
        </w:rPr>
        <w:t xml:space="preserve">” </w:t>
      </w:r>
      <w:hyperlink r:id="rId458" w:history="1">
        <w:r w:rsidRPr="007E4CA8">
          <w:rPr>
            <w:rStyle w:val="Hyperlink"/>
          </w:rPr>
          <w:t>https://public.fastcase.com/H1P9uiW3J20SFp%2BGCG%2BxLYPdFYBU6rXmSQ%2By5I06IYNauAow%2BFD183wwpB9seHw0huG9jZnFzDNjvlfgYqLRMXl7VVMzVdIElYOfNiWEhG4%3D?utm_medium=email&amp;_hsmi=226712652&amp;_hsenc=p2ANqtz-9dIeusfdAjuYcHWZc-tZCt-VYwNMyt2XrZBQ64qnpV1yAnhv8veUFYKRs_yaW_VBF9gsQcut_JaRzapEXH-rHIPbxEPQ&amp;utm_content=226712652&amp;utm_source=hs_email</w:t>
        </w:r>
      </w:hyperlink>
      <w:r>
        <w:t xml:space="preserve"> </w:t>
      </w:r>
    </w:p>
    <w:p w14:paraId="06094223" w14:textId="77777777" w:rsidR="00286F24" w:rsidRDefault="00286F24" w:rsidP="00286F24">
      <w:pPr>
        <w:pStyle w:val="NoSpacing"/>
        <w:ind w:left="720"/>
        <w:rPr>
          <w:rFonts w:ascii="Times New Roman" w:hAnsi="Times New Roman"/>
          <w:sz w:val="24"/>
          <w:szCs w:val="24"/>
        </w:rPr>
      </w:pPr>
    </w:p>
    <w:p w14:paraId="6AF5A688" w14:textId="77777777" w:rsidR="00286F24" w:rsidRPr="002E778E" w:rsidRDefault="00286F24" w:rsidP="00286F24">
      <w:pPr>
        <w:pStyle w:val="NormalWeb"/>
        <w:rPr>
          <w:b/>
          <w:bCs/>
        </w:rPr>
      </w:pPr>
      <w:r>
        <w:rPr>
          <w:b/>
          <w:bCs/>
        </w:rPr>
        <w:t>Legal Lesson Learned: Thorough background checks are essential in hiring fire &amp; EMS.</w:t>
      </w:r>
    </w:p>
    <w:p w14:paraId="6D02AE55" w14:textId="77777777" w:rsidR="00286F24" w:rsidRDefault="00286F24" w:rsidP="00286F24">
      <w:pPr>
        <w:pStyle w:val="NormalWeb"/>
        <w:ind w:left="720"/>
      </w:pPr>
    </w:p>
    <w:p w14:paraId="548CDD85" w14:textId="1660C901" w:rsidR="005B2CD1" w:rsidRDefault="005B2CD1" w:rsidP="00853142">
      <w:pPr>
        <w:rPr>
          <w:rFonts w:ascii="Arial Black" w:hAnsi="Arial Black"/>
          <w:sz w:val="24"/>
          <w:szCs w:val="24"/>
        </w:rPr>
      </w:pPr>
      <w:r>
        <w:rPr>
          <w:rFonts w:ascii="Arial Black" w:hAnsi="Arial Black"/>
          <w:sz w:val="24"/>
          <w:szCs w:val="24"/>
        </w:rPr>
        <w:t>2-6</w:t>
      </w:r>
      <w:r w:rsidR="007C073D">
        <w:rPr>
          <w:rFonts w:ascii="Arial Black" w:hAnsi="Arial Black"/>
          <w:sz w:val="24"/>
          <w:szCs w:val="24"/>
        </w:rPr>
        <w:t>4</w:t>
      </w:r>
    </w:p>
    <w:p w14:paraId="1829B3C5" w14:textId="77777777" w:rsidR="005B2CD1" w:rsidRDefault="005B2CD1" w:rsidP="005B2CD1">
      <w:pPr>
        <w:pStyle w:val="NormalWeb"/>
        <w:rPr>
          <w:rFonts w:ascii="Arial Black" w:hAnsi="Arial Black"/>
          <w:sz w:val="28"/>
          <w:szCs w:val="28"/>
        </w:rPr>
      </w:pPr>
      <w:r>
        <w:rPr>
          <w:rFonts w:ascii="Arial Black" w:hAnsi="Arial Black"/>
          <w:sz w:val="28"/>
          <w:szCs w:val="28"/>
        </w:rPr>
        <w:t>WI:  FF INJURED KNEE CARRYING CHILD DOWN STEPS – BOTTOM RISER WAS 10-11” / MAX IS 8” - CASE PROCEED</w:t>
      </w:r>
    </w:p>
    <w:p w14:paraId="12E25B65" w14:textId="77777777" w:rsidR="005B2CD1" w:rsidRDefault="005B2CD1" w:rsidP="005B2CD1">
      <w:pPr>
        <w:pStyle w:val="NormalWeb"/>
      </w:pPr>
      <w:r>
        <w:t xml:space="preserve">On Feb. 22, 2024, in </w:t>
      </w:r>
      <w:r w:rsidRPr="00202B6D">
        <w:rPr>
          <w:u w:val="single"/>
        </w:rPr>
        <w:t>Bradley J. Herring and Kerry L. Hering, et. al. v. Rural Mutual Insurance Company and Edward Bruenig</w:t>
      </w:r>
      <w:r>
        <w:t xml:space="preserve">, the Court of Appeals of Wisconsin (District IV) held (3 to 0; unpublished opinion) that trial court mistakenly granted summary judgment to the building owner and his insurance company; the bottom step had apparently settled over time to 10-11 inches, and the Wisconsin statute barring lawsuits 7 years after a building was installed with unknown “structural defect” did not apply to steps or sidewalk settling. </w:t>
      </w:r>
    </w:p>
    <w:p w14:paraId="68312931"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lastRenderedPageBreak/>
        <w:t>THE COURT HELD:</w:t>
      </w:r>
    </w:p>
    <w:p w14:paraId="6C5AEE9A" w14:textId="77777777" w:rsidR="005B2CD1" w:rsidRDefault="005B2CD1" w:rsidP="005B2CD1">
      <w:pPr>
        <w:pStyle w:val="NormalWeb"/>
        <w:ind w:left="720"/>
      </w:pPr>
      <w:r>
        <w:t xml:space="preserve">“The </w:t>
      </w:r>
      <w:proofErr w:type="spellStart"/>
      <w:r>
        <w:t>Herings</w:t>
      </w:r>
      <w:proofErr w:type="spellEnd"/>
      <w:r>
        <w:t xml:space="preserve"> sued </w:t>
      </w:r>
      <w:proofErr w:type="spellStart"/>
      <w:r>
        <w:t>Bruenig</w:t>
      </w:r>
      <w:proofErr w:type="spellEnd"/>
      <w:r>
        <w:t xml:space="preserve"> for injuries that Hering sustained while descending the front steps of a private residence owned by </w:t>
      </w:r>
      <w:proofErr w:type="spellStart"/>
      <w:r>
        <w:t>Bruenig</w:t>
      </w:r>
      <w:proofErr w:type="spellEnd"/>
      <w:r>
        <w:t xml:space="preserve">. The court dismissed the </w:t>
      </w:r>
      <w:proofErr w:type="spellStart"/>
      <w:r>
        <w:t>Herings</w:t>
      </w:r>
      <w:proofErr w:type="spellEnd"/>
      <w:r>
        <w:t>' claims because it concluded that the claims were time barred by the statute of repose, WIS. STAT. § 893.89 (2021-22).</w:t>
      </w:r>
      <w:r>
        <w:rPr>
          <w:vertAlign w:val="superscript"/>
        </w:rPr>
        <w:t>[</w:t>
      </w:r>
      <w:hyperlink r:id="rId459" w:anchor="ftn.FN2" w:history="1">
        <w:r>
          <w:rPr>
            <w:rStyle w:val="Hyperlink"/>
            <w:vertAlign w:val="superscript"/>
          </w:rPr>
          <w:t>2</w:t>
        </w:r>
      </w:hyperlink>
      <w:r>
        <w:rPr>
          <w:vertAlign w:val="superscript"/>
        </w:rPr>
        <w:t>]</w:t>
      </w:r>
      <w:r>
        <w:t xml:space="preserve"> The </w:t>
      </w:r>
      <w:proofErr w:type="spellStart"/>
      <w:r>
        <w:t>Herings</w:t>
      </w:r>
      <w:proofErr w:type="spellEnd"/>
      <w:r>
        <w:t xml:space="preserve"> argue that the court erred because </w:t>
      </w:r>
      <w:proofErr w:type="spellStart"/>
      <w:r>
        <w:t>Bruenig</w:t>
      </w:r>
      <w:proofErr w:type="spellEnd"/>
      <w:r>
        <w:t xml:space="preserve"> failed to show on summary judgment that Hering's injuries were caused by a "deficiency or defect in the design ... [or] construction of [an] improvement to real property," as required to invoke the statute of repose. </w:t>
      </w:r>
      <w:r>
        <w:rPr>
          <w:rStyle w:val="Emphasis"/>
        </w:rPr>
        <w:t>See</w:t>
      </w:r>
      <w:r>
        <w:t xml:space="preserve"> § 893.89(2). We agree. Accordingly, we reverse the circuit court's summary judgment order.</w:t>
      </w:r>
    </w:p>
    <w:p w14:paraId="77806DD2" w14:textId="77777777" w:rsidR="005B2CD1" w:rsidRDefault="005B2CD1" w:rsidP="005B2CD1">
      <w:pPr>
        <w:pStyle w:val="NormalWeb"/>
        <w:ind w:left="720"/>
      </w:pPr>
      <w:r>
        <w:t>***</w:t>
      </w:r>
    </w:p>
    <w:p w14:paraId="15021671" w14:textId="77777777" w:rsidR="005B2CD1" w:rsidRDefault="005B2CD1" w:rsidP="005B2CD1">
      <w:pPr>
        <w:pStyle w:val="NormalWeb"/>
        <w:ind w:left="720"/>
      </w:pPr>
      <w:proofErr w:type="spellStart"/>
      <w:r>
        <w:t>Bruenig</w:t>
      </w:r>
      <w:proofErr w:type="spellEnd"/>
      <w:r>
        <w:t xml:space="preserve"> moved for summary judgment, arguing that the </w:t>
      </w:r>
      <w:proofErr w:type="spellStart"/>
      <w:r>
        <w:t>Herings</w:t>
      </w:r>
      <w:proofErr w:type="spellEnd"/>
      <w:r>
        <w:t xml:space="preserve">' claims are time barred by the statute of repose, WIS. STAT. § 893.89, because they were brought more than seven years after the walkway and steps were substantially completed and because any injuries that Hering sustained would have been caused by a structural defect of the steps or walkway. The circuit court granted </w:t>
      </w:r>
      <w:proofErr w:type="spellStart"/>
      <w:r>
        <w:t>Bruenig's</w:t>
      </w:r>
      <w:proofErr w:type="spellEnd"/>
      <w:r>
        <w:t xml:space="preserve"> motion. The court did so based on three facts that it characterized as undisputed: that the walkway was constructed in 1999, that the walkway ‘existed through 2019 with no changes,’ and that ‘the condition of the height of the risers of the steps and changes to a cement stoop step[] over time would be a settling, which would go to the construction of the steps at the time.’” </w:t>
      </w:r>
      <w:hyperlink r:id="rId460" w:history="1">
        <w:r w:rsidRPr="00E15FC9">
          <w:rPr>
            <w:rStyle w:val="Hyperlink"/>
          </w:rPr>
          <w:t>https://casetext.com/case/hering-v-rural-mut-ins-co</w:t>
        </w:r>
      </w:hyperlink>
      <w:r>
        <w:t xml:space="preserve"> </w:t>
      </w:r>
    </w:p>
    <w:p w14:paraId="77AF1A55" w14:textId="77777777" w:rsidR="005B2CD1" w:rsidRDefault="005B2CD1" w:rsidP="005B2CD1">
      <w:pPr>
        <w:pStyle w:val="NormalWeb"/>
        <w:rPr>
          <w:b/>
          <w:bCs/>
        </w:rPr>
      </w:pPr>
      <w:r w:rsidRPr="003F00DC">
        <w:rPr>
          <w:b/>
          <w:bCs/>
        </w:rPr>
        <w:t>Legal Lesson Learned:</w:t>
      </w:r>
      <w:r>
        <w:rPr>
          <w:b/>
          <w:bCs/>
        </w:rPr>
        <w:t xml:space="preserve"> If the firefighter wins damages, then his City of Watertown Fire Department will be entitled to reimbursement for </w:t>
      </w:r>
      <w:proofErr w:type="gramStart"/>
      <w:r>
        <w:rPr>
          <w:b/>
          <w:bCs/>
        </w:rPr>
        <w:t>workers</w:t>
      </w:r>
      <w:proofErr w:type="gramEnd"/>
      <w:r>
        <w:rPr>
          <w:b/>
          <w:bCs/>
        </w:rPr>
        <w:t xml:space="preserve"> comp payments.</w:t>
      </w:r>
    </w:p>
    <w:p w14:paraId="13921F20" w14:textId="77777777" w:rsidR="005B2CD1" w:rsidRDefault="005B2CD1" w:rsidP="005B2CD1">
      <w:pPr>
        <w:pStyle w:val="NormalWeb"/>
        <w:ind w:left="720"/>
      </w:pPr>
      <w:r w:rsidRPr="00DB67C5">
        <w:t xml:space="preserve">Note: In many states the “Fireman’s Rule” would prohibit a firefighter for suing homeowner for on duty injuries. </w:t>
      </w:r>
    </w:p>
    <w:p w14:paraId="67C0C5FF" w14:textId="77777777" w:rsidR="005B2CD1" w:rsidRDefault="005B2CD1" w:rsidP="005B2CD1">
      <w:pPr>
        <w:pStyle w:val="NormalWeb"/>
        <w:ind w:left="720"/>
      </w:pPr>
      <w:r>
        <w:t xml:space="preserve">The Wisconsin Supreme Court in 1989 held that Fireman’s Rule normally prohibits firefighters from suing a homeowner for </w:t>
      </w:r>
      <w:proofErr w:type="gramStart"/>
      <w:r>
        <w:t>damages</w:t>
      </w:r>
      <w:proofErr w:type="gramEnd"/>
      <w:r>
        <w:t xml:space="preserve"> unless they created a hidden hazard; such as </w:t>
      </w:r>
      <w:proofErr w:type="gramStart"/>
      <w:r>
        <w:t>storying</w:t>
      </w:r>
      <w:proofErr w:type="gramEnd"/>
      <w:r>
        <w:t xml:space="preserve"> gasoline in basement. “Thus, this court has decided as a matter of policy that, were the landowner's or occupier's negligence is in starting a fire or in failing to curtail its spread, there is no liability to a firefighter.”</w:t>
      </w:r>
      <w:r w:rsidRPr="00335ED9">
        <w:t xml:space="preserve"> </w:t>
      </w:r>
      <w:r>
        <w:t xml:space="preserve">Wright v. Coleman, </w:t>
      </w:r>
      <w:hyperlink r:id="rId461" w:history="1">
        <w:r w:rsidRPr="00E15FC9">
          <w:rPr>
            <w:rStyle w:val="Hyperlink"/>
          </w:rPr>
          <w:t>https://law.justia.com/cases/wisconsin/supreme-court/1989/87-1094-9.html</w:t>
        </w:r>
      </w:hyperlink>
      <w:r>
        <w:t xml:space="preserve"> </w:t>
      </w:r>
    </w:p>
    <w:p w14:paraId="6978AA64" w14:textId="77777777" w:rsidR="005B2CD1" w:rsidRDefault="005B2CD1" w:rsidP="005B2CD1">
      <w:pPr>
        <w:pStyle w:val="NormalWeb"/>
        <w:ind w:left="1440"/>
      </w:pPr>
      <w:r>
        <w:t xml:space="preserve">“Bud Wright, the plaintiff and petitioner before this court, was employed as </w:t>
      </w:r>
      <w:proofErr w:type="gramStart"/>
      <w:r>
        <w:t>a</w:t>
      </w:r>
      <w:proofErr w:type="gramEnd"/>
      <w:r>
        <w:t xml:space="preserve"> </w:t>
      </w:r>
      <w:proofErr w:type="spellStart"/>
      <w:r>
        <w:t>irefighter</w:t>
      </w:r>
      <w:proofErr w:type="spellEnd"/>
      <w:r>
        <w:t xml:space="preserve"> by the city of Brookfield when, on January 8, 1983, at about three o'clock in the morning, he, with his fire company, responded to a report of a fire on the property of Thomas Coleman. The first officer at the scene was a police officer, who ordered Coleman, the landowner, into the house and away from the detached garage, where the fire was blazing. After Wright arrived at the scene, he was attempting to bring a hose line up to the garage when he fell on ‘glare ice’ on the driveway. There were assertions at trial that this ice was the result of Coleman's son using a garden hose late in the preceding afternoon to wash a car. There was some evidence that, on the </w:t>
      </w:r>
      <w:proofErr w:type="gramStart"/>
      <w:r>
        <w:t>particular evening</w:t>
      </w:r>
      <w:proofErr w:type="gramEnd"/>
      <w:r>
        <w:t>, there was no ice anywhere else in the city of Brookfield only this artificially created icy area. It is asserted that Wright so severely injured his knee that he was obliged to retire as a firefighter.”</w:t>
      </w:r>
    </w:p>
    <w:p w14:paraId="715824E6" w14:textId="77777777" w:rsidR="005B2CD1" w:rsidRDefault="005B2CD1" w:rsidP="00853142">
      <w:pPr>
        <w:rPr>
          <w:rFonts w:ascii="Arial Black" w:hAnsi="Arial Black"/>
          <w:sz w:val="24"/>
          <w:szCs w:val="24"/>
        </w:rPr>
      </w:pPr>
    </w:p>
    <w:p w14:paraId="20B242A3" w14:textId="614B2688" w:rsidR="002C34C9" w:rsidRDefault="002C34C9" w:rsidP="00853142">
      <w:pPr>
        <w:rPr>
          <w:rFonts w:ascii="Arial Black" w:hAnsi="Arial Black"/>
          <w:sz w:val="24"/>
          <w:szCs w:val="24"/>
        </w:rPr>
      </w:pPr>
      <w:r>
        <w:rPr>
          <w:rFonts w:ascii="Arial Black" w:hAnsi="Arial Black"/>
          <w:sz w:val="24"/>
          <w:szCs w:val="24"/>
        </w:rPr>
        <w:t>2-6</w:t>
      </w:r>
      <w:r w:rsidR="007C073D">
        <w:rPr>
          <w:rFonts w:ascii="Arial Black" w:hAnsi="Arial Black"/>
          <w:sz w:val="24"/>
          <w:szCs w:val="24"/>
        </w:rPr>
        <w:t>3</w:t>
      </w:r>
    </w:p>
    <w:p w14:paraId="24639D17" w14:textId="65A6BCD4" w:rsidR="00625F79" w:rsidRDefault="00625F79" w:rsidP="00625F79">
      <w:pPr>
        <w:pStyle w:val="NormalWeb"/>
        <w:rPr>
          <w:rFonts w:ascii="Arial Black" w:hAnsi="Arial Black"/>
          <w:sz w:val="28"/>
          <w:szCs w:val="28"/>
        </w:rPr>
      </w:pPr>
      <w:r>
        <w:rPr>
          <w:rFonts w:ascii="Arial Black" w:hAnsi="Arial Black"/>
          <w:sz w:val="28"/>
          <w:szCs w:val="28"/>
        </w:rPr>
        <w:lastRenderedPageBreak/>
        <w:t xml:space="preserve">NY: VOLUNTEER FF - INJURED FELL </w:t>
      </w:r>
      <w:r w:rsidR="009F1D79">
        <w:rPr>
          <w:rFonts w:ascii="Arial Black" w:hAnsi="Arial Black"/>
          <w:sz w:val="28"/>
          <w:szCs w:val="28"/>
        </w:rPr>
        <w:t xml:space="preserve">OFF </w:t>
      </w:r>
      <w:r>
        <w:rPr>
          <w:rFonts w:ascii="Arial Black" w:hAnsi="Arial Black"/>
          <w:sz w:val="28"/>
          <w:szCs w:val="28"/>
        </w:rPr>
        <w:t xml:space="preserve">BACK </w:t>
      </w:r>
      <w:r w:rsidR="009F1D79">
        <w:rPr>
          <w:rFonts w:ascii="Arial Black" w:hAnsi="Arial Black"/>
          <w:sz w:val="28"/>
          <w:szCs w:val="28"/>
        </w:rPr>
        <w:t xml:space="preserve">OF </w:t>
      </w:r>
      <w:r>
        <w:rPr>
          <w:rFonts w:ascii="Arial Black" w:hAnsi="Arial Black"/>
          <w:sz w:val="28"/>
          <w:szCs w:val="28"/>
        </w:rPr>
        <w:t xml:space="preserve">FIRE ENGINE – CANNOT SUE DRILL TEAM, FD OR </w:t>
      </w:r>
      <w:r w:rsidR="009F1D79">
        <w:rPr>
          <w:rFonts w:ascii="Arial Black" w:hAnsi="Arial Black"/>
          <w:sz w:val="28"/>
          <w:szCs w:val="28"/>
        </w:rPr>
        <w:t xml:space="preserve">VOL. FF </w:t>
      </w:r>
      <w:r>
        <w:rPr>
          <w:rFonts w:ascii="Arial Black" w:hAnsi="Arial Black"/>
          <w:sz w:val="28"/>
          <w:szCs w:val="28"/>
        </w:rPr>
        <w:t>DRIVER</w:t>
      </w:r>
    </w:p>
    <w:p w14:paraId="4C07661E" w14:textId="77777777" w:rsidR="00614665" w:rsidRPr="00614665" w:rsidRDefault="00625F79" w:rsidP="00614665">
      <w:pPr>
        <w:rPr>
          <w:rFonts w:ascii="Times New Roman" w:hAnsi="Times New Roman"/>
          <w:sz w:val="24"/>
          <w:szCs w:val="24"/>
        </w:rPr>
      </w:pPr>
      <w:r w:rsidRPr="00614665">
        <w:rPr>
          <w:rFonts w:ascii="Times New Roman" w:hAnsi="Times New Roman"/>
          <w:sz w:val="24"/>
          <w:szCs w:val="24"/>
        </w:rPr>
        <w:t xml:space="preserve">On Jan. 17, 2024, in </w:t>
      </w:r>
      <w:r w:rsidRPr="00614665">
        <w:rPr>
          <w:rFonts w:ascii="Times New Roman" w:hAnsi="Times New Roman"/>
          <w:sz w:val="24"/>
          <w:szCs w:val="24"/>
          <w:u w:val="single"/>
        </w:rPr>
        <w:t xml:space="preserve">William A. Knipper v. Drill Team of </w:t>
      </w:r>
      <w:proofErr w:type="spellStart"/>
      <w:r w:rsidRPr="00614665">
        <w:rPr>
          <w:rFonts w:ascii="Times New Roman" w:hAnsi="Times New Roman"/>
          <w:sz w:val="24"/>
          <w:szCs w:val="24"/>
          <w:u w:val="single"/>
        </w:rPr>
        <w:t>Lindenhust</w:t>
      </w:r>
      <w:proofErr w:type="spellEnd"/>
      <w:r w:rsidRPr="00614665">
        <w:rPr>
          <w:rFonts w:ascii="Times New Roman" w:hAnsi="Times New Roman"/>
          <w:sz w:val="24"/>
          <w:szCs w:val="24"/>
          <w:u w:val="single"/>
        </w:rPr>
        <w:t xml:space="preserve"> Fire Department, Inc, et al.</w:t>
      </w:r>
      <w:r w:rsidRPr="00614665">
        <w:rPr>
          <w:rFonts w:ascii="Times New Roman" w:hAnsi="Times New Roman"/>
          <w:sz w:val="24"/>
          <w:szCs w:val="24"/>
        </w:rPr>
        <w:t xml:space="preserve">, the Superior Court of New York held (4 to 0) that the trial court properly dismissed the lawsuit against the Drill Team, the Fire Department and the volunteer firefighter who drove the fire engine. The injured firefighter already applied for is workers comp, and under the state Volunteer Firefighters’ Benefit Law he cannot sue for damages. </w:t>
      </w:r>
      <w:hyperlink r:id="rId462" w:history="1">
        <w:r w:rsidR="00614665" w:rsidRPr="00614665">
          <w:rPr>
            <w:rStyle w:val="Hyperlink"/>
            <w:rFonts w:ascii="Times New Roman" w:hAnsi="Times New Roman"/>
            <w:sz w:val="24"/>
            <w:szCs w:val="24"/>
          </w:rPr>
          <w:t>https://casetext.com/case/knipper-v-drill-team-of-lindenhurst-fire-dept</w:t>
        </w:r>
      </w:hyperlink>
    </w:p>
    <w:p w14:paraId="6ACC8E58"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1A2AFF10" w14:textId="77777777" w:rsidR="00625F79" w:rsidRDefault="00625F79" w:rsidP="00625F79">
      <w:pPr>
        <w:pStyle w:val="NormalWeb"/>
        <w:ind w:left="720"/>
      </w:pPr>
      <w:r>
        <w:t>“</w:t>
      </w:r>
      <w:hyperlink r:id="rId463" w:history="1">
        <w:r w:rsidRPr="00616D93">
          <w:rPr>
            <w:rStyle w:val="Hyperlink"/>
          </w:rPr>
          <w:t>Section 19 of the Volunteer Firefighters' Benefit Law</w:t>
        </w:r>
      </w:hyperlink>
      <w:r w:rsidRPr="00616D93">
        <w:t xml:space="preserve"> provides, in pertinent part, that </w:t>
      </w:r>
      <w:r>
        <w:t>‘</w:t>
      </w:r>
      <w:r w:rsidRPr="00616D93">
        <w:t>[t]he benefits provided by this chapter shall be the exclusive</w:t>
      </w:r>
      <w:r>
        <w:t xml:space="preserve"> remedy of a volunteer firefighter" for injuries sustained "in line of duty... as against... any person or agency acting under governmental or statutory authority in furtherance of the duties or activities in relation to which any such injury resulted.’ Thus, where a volunteer firefighter sustains an injury in the line of duty, the injured firefighter is barred from seeking recovery against either a fire company with which he or she had an employer/employee relationship … or fellow firefighters acting "in furtherance of their duties and activities" (</w:t>
      </w:r>
      <w:r>
        <w:rPr>
          <w:i/>
          <w:iCs/>
        </w:rPr>
        <w:t xml:space="preserve">Maines v </w:t>
      </w:r>
      <w:proofErr w:type="spellStart"/>
      <w:r>
        <w:rPr>
          <w:i/>
          <w:iCs/>
        </w:rPr>
        <w:t>Cronomer</w:t>
      </w:r>
      <w:proofErr w:type="spellEnd"/>
      <w:r>
        <w:rPr>
          <w:i/>
          <w:iCs/>
        </w:rPr>
        <w:t xml:space="preserve"> Val. Fire Dept.</w:t>
      </w:r>
      <w:r>
        <w:t xml:space="preserve">, </w:t>
      </w:r>
      <w:hyperlink r:id="rId464" w:anchor="p546" w:history="1">
        <w:r>
          <w:rPr>
            <w:rStyle w:val="Hyperlink"/>
          </w:rPr>
          <w:t>50 N.Y.2d 535, 546</w:t>
        </w:r>
      </w:hyperlink>
      <w:r>
        <w:t xml:space="preserve"> [internal quotation marks omitted]).</w:t>
      </w:r>
    </w:p>
    <w:p w14:paraId="7E87DB28" w14:textId="77777777" w:rsidR="00625F79" w:rsidRDefault="00625F79" w:rsidP="00625F79">
      <w:pPr>
        <w:pStyle w:val="NormalWeb"/>
        <w:ind w:left="720"/>
      </w:pPr>
      <w:r>
        <w:t>***</w:t>
      </w:r>
    </w:p>
    <w:p w14:paraId="27DD1F30" w14:textId="3CEF7F46" w:rsidR="002C34C9" w:rsidRPr="00625F79" w:rsidRDefault="00625F79" w:rsidP="00625F79">
      <w:pPr>
        <w:ind w:left="720"/>
        <w:rPr>
          <w:rFonts w:ascii="Times New Roman" w:hAnsi="Times New Roman"/>
          <w:sz w:val="24"/>
          <w:szCs w:val="24"/>
        </w:rPr>
      </w:pPr>
      <w:r w:rsidRPr="00625F79">
        <w:rPr>
          <w:rFonts w:ascii="Times New Roman" w:hAnsi="Times New Roman"/>
          <w:sz w:val="24"/>
          <w:szCs w:val="24"/>
        </w:rPr>
        <w:t>Here, the Lindenhurst defendants submitted, and Weckerle referenced, evidence showing that the plaintiff applied for and was awarded workers' compensation benefits based upon a determination that he was injured in the line of duty. Moreover, viewing the plaintiff's allegations in the light most favorable to him, the plaintiff failed to allege that Weckerle was not acting in furtherance of his duties and activities as a volunteer firefighter at the time of the accident by preparing for a competitive tournament (</w:t>
      </w:r>
      <w:r w:rsidRPr="00625F79">
        <w:rPr>
          <w:rFonts w:ascii="Times New Roman" w:hAnsi="Times New Roman"/>
          <w:i/>
          <w:iCs/>
          <w:sz w:val="24"/>
          <w:szCs w:val="24"/>
        </w:rPr>
        <w:t>see</w:t>
      </w:r>
      <w:r w:rsidRPr="00625F79">
        <w:rPr>
          <w:rFonts w:ascii="Times New Roman" w:hAnsi="Times New Roman"/>
          <w:sz w:val="24"/>
          <w:szCs w:val="24"/>
        </w:rPr>
        <w:t xml:space="preserve"> </w:t>
      </w:r>
      <w:hyperlink r:id="rId465" w:history="1">
        <w:r w:rsidRPr="00625F79">
          <w:rPr>
            <w:rStyle w:val="Hyperlink"/>
            <w:rFonts w:ascii="Times New Roman" w:hAnsi="Times New Roman"/>
            <w:sz w:val="24"/>
            <w:szCs w:val="24"/>
          </w:rPr>
          <w:t>Volunteer Firefighters' Benefit Law § 5</w:t>
        </w:r>
      </w:hyperlink>
      <w:r w:rsidRPr="00625F79">
        <w:rPr>
          <w:rFonts w:ascii="Times New Roman" w:hAnsi="Times New Roman"/>
          <w:sz w:val="24"/>
          <w:szCs w:val="24"/>
        </w:rPr>
        <w:t>[1][</w:t>
      </w:r>
      <w:proofErr w:type="spellStart"/>
      <w:r w:rsidRPr="00625F79">
        <w:rPr>
          <w:rFonts w:ascii="Times New Roman" w:hAnsi="Times New Roman"/>
          <w:sz w:val="24"/>
          <w:szCs w:val="24"/>
        </w:rPr>
        <w:t>i</w:t>
      </w:r>
      <w:proofErr w:type="spellEnd"/>
      <w:r w:rsidRPr="00625F79">
        <w:rPr>
          <w:rFonts w:ascii="Times New Roman" w:hAnsi="Times New Roman"/>
          <w:sz w:val="24"/>
          <w:szCs w:val="24"/>
        </w:rPr>
        <w:t xml:space="preserve">]). Thus, the Lindenhurst defendants and Weckerle demonstrated that the plaintiff did not have a cause of action against them because the plaintiff's claims against them were barred by the exclusivity provisions of </w:t>
      </w:r>
      <w:hyperlink r:id="rId466" w:history="1">
        <w:r w:rsidRPr="00625F79">
          <w:rPr>
            <w:rStyle w:val="Hyperlink"/>
            <w:rFonts w:ascii="Times New Roman" w:hAnsi="Times New Roman"/>
            <w:sz w:val="24"/>
            <w:szCs w:val="24"/>
          </w:rPr>
          <w:t>Volunteer Firefighters' Benefit Law § 19</w:t>
        </w:r>
      </w:hyperlink>
      <w:r w:rsidRPr="00625F79">
        <w:rPr>
          <w:rFonts w:ascii="Times New Roman" w:hAnsi="Times New Roman"/>
          <w:sz w:val="24"/>
          <w:szCs w:val="24"/>
        </w:rPr>
        <w:t xml:space="preserve"> (</w:t>
      </w:r>
      <w:r w:rsidRPr="00625F79">
        <w:rPr>
          <w:rFonts w:ascii="Times New Roman" w:hAnsi="Times New Roman"/>
          <w:i/>
          <w:iCs/>
          <w:sz w:val="24"/>
          <w:szCs w:val="24"/>
        </w:rPr>
        <w:t>see Brady v Village of Malverne</w:t>
      </w:r>
      <w:r w:rsidRPr="00625F79">
        <w:rPr>
          <w:rFonts w:ascii="Times New Roman" w:hAnsi="Times New Roman"/>
          <w:sz w:val="24"/>
          <w:szCs w:val="24"/>
        </w:rPr>
        <w:t xml:space="preserve">, </w:t>
      </w:r>
      <w:hyperlink r:id="rId467" w:anchor="p693" w:history="1">
        <w:r w:rsidRPr="00625F79">
          <w:rPr>
            <w:rStyle w:val="Hyperlink"/>
            <w:rFonts w:ascii="Times New Roman" w:hAnsi="Times New Roman"/>
            <w:sz w:val="24"/>
            <w:szCs w:val="24"/>
          </w:rPr>
          <w:t>76 A.D.3d 691, 693</w:t>
        </w:r>
      </w:hyperlink>
      <w:r w:rsidRPr="00625F79">
        <w:rPr>
          <w:rFonts w:ascii="Times New Roman" w:hAnsi="Times New Roman"/>
          <w:sz w:val="24"/>
          <w:szCs w:val="24"/>
        </w:rPr>
        <w:t xml:space="preserve">; </w:t>
      </w:r>
      <w:proofErr w:type="spellStart"/>
      <w:r w:rsidRPr="00625F79">
        <w:rPr>
          <w:rFonts w:ascii="Times New Roman" w:hAnsi="Times New Roman"/>
          <w:i/>
          <w:iCs/>
          <w:sz w:val="24"/>
          <w:szCs w:val="24"/>
        </w:rPr>
        <w:t>Theodoreu</w:t>
      </w:r>
      <w:proofErr w:type="spellEnd"/>
      <w:r w:rsidRPr="00625F79">
        <w:rPr>
          <w:rFonts w:ascii="Times New Roman" w:hAnsi="Times New Roman"/>
          <w:i/>
          <w:iCs/>
          <w:sz w:val="24"/>
          <w:szCs w:val="24"/>
        </w:rPr>
        <w:t xml:space="preserve"> v Chester Fire Dist.</w:t>
      </w:r>
      <w:r w:rsidRPr="00625F79">
        <w:rPr>
          <w:rFonts w:ascii="Times New Roman" w:hAnsi="Times New Roman"/>
          <w:sz w:val="24"/>
          <w:szCs w:val="24"/>
        </w:rPr>
        <w:t xml:space="preserve">, </w:t>
      </w:r>
      <w:hyperlink r:id="rId468" w:anchor="p500" w:history="1">
        <w:r w:rsidRPr="00625F79">
          <w:rPr>
            <w:rStyle w:val="Hyperlink"/>
            <w:rFonts w:ascii="Times New Roman" w:hAnsi="Times New Roman"/>
            <w:sz w:val="24"/>
            <w:szCs w:val="24"/>
          </w:rPr>
          <w:t>12 A.D.3d at 500</w:t>
        </w:r>
      </w:hyperlink>
      <w:r w:rsidRPr="00625F79">
        <w:rPr>
          <w:rFonts w:ascii="Times New Roman" w:hAnsi="Times New Roman"/>
          <w:sz w:val="24"/>
          <w:szCs w:val="24"/>
        </w:rPr>
        <w:t xml:space="preserve">; </w:t>
      </w:r>
      <w:r w:rsidRPr="00625F79">
        <w:rPr>
          <w:rFonts w:ascii="Times New Roman" w:hAnsi="Times New Roman"/>
          <w:i/>
          <w:iCs/>
          <w:sz w:val="24"/>
          <w:szCs w:val="24"/>
        </w:rPr>
        <w:t>Malone v Jacobs</w:t>
      </w:r>
      <w:r w:rsidRPr="00625F79">
        <w:rPr>
          <w:rFonts w:ascii="Times New Roman" w:hAnsi="Times New Roman"/>
          <w:sz w:val="24"/>
          <w:szCs w:val="24"/>
        </w:rPr>
        <w:t xml:space="preserve">, </w:t>
      </w:r>
      <w:hyperlink r:id="rId469" w:anchor="p928" w:history="1">
        <w:r w:rsidRPr="00625F79">
          <w:rPr>
            <w:rStyle w:val="Hyperlink"/>
            <w:rFonts w:ascii="Times New Roman" w:hAnsi="Times New Roman"/>
            <w:sz w:val="24"/>
            <w:szCs w:val="24"/>
          </w:rPr>
          <w:t>88 A.D.2d at 928</w:t>
        </w:r>
      </w:hyperlink>
      <w:r w:rsidRPr="00625F79">
        <w:rPr>
          <w:rFonts w:ascii="Times New Roman" w:hAnsi="Times New Roman"/>
          <w:sz w:val="24"/>
          <w:szCs w:val="24"/>
        </w:rPr>
        <w:t xml:space="preserve">). Accordingly, the Supreme Court properly granted the motions of the Lindenhurst defendants and Weckerle pursuant to </w:t>
      </w:r>
      <w:hyperlink r:id="rId470" w:history="1">
        <w:r w:rsidRPr="00625F79">
          <w:rPr>
            <w:rStyle w:val="Hyperlink"/>
            <w:rFonts w:ascii="Times New Roman" w:hAnsi="Times New Roman"/>
            <w:sz w:val="24"/>
            <w:szCs w:val="24"/>
          </w:rPr>
          <w:t>CPLR 3211(a)(7)</w:t>
        </w:r>
      </w:hyperlink>
      <w:r w:rsidRPr="00625F79">
        <w:rPr>
          <w:rFonts w:ascii="Times New Roman" w:hAnsi="Times New Roman"/>
          <w:sz w:val="24"/>
          <w:szCs w:val="24"/>
        </w:rPr>
        <w:t xml:space="preserve"> to dismiss the amended complaint insofar as asserted against each of </w:t>
      </w:r>
      <w:proofErr w:type="gramStart"/>
      <w:r w:rsidRPr="00625F79">
        <w:rPr>
          <w:rFonts w:ascii="Times New Roman" w:hAnsi="Times New Roman"/>
          <w:sz w:val="24"/>
          <w:szCs w:val="24"/>
        </w:rPr>
        <w:t>them.”</w:t>
      </w:r>
      <w:proofErr w:type="gramEnd"/>
      <w:r w:rsidRPr="00625F79">
        <w:rPr>
          <w:rFonts w:ascii="Times New Roman" w:hAnsi="Times New Roman"/>
          <w:sz w:val="24"/>
          <w:szCs w:val="24"/>
        </w:rPr>
        <w:t xml:space="preserve"> </w:t>
      </w:r>
      <w:hyperlink r:id="rId471" w:history="1">
        <w:r w:rsidRPr="00625F79">
          <w:rPr>
            <w:rStyle w:val="Hyperlink"/>
            <w:rFonts w:ascii="Times New Roman" w:hAnsi="Times New Roman"/>
            <w:sz w:val="24"/>
            <w:szCs w:val="24"/>
          </w:rPr>
          <w:t>https://casetext.com/case/knipper-v-drill-team-of-lindenhurst-fire-dept</w:t>
        </w:r>
      </w:hyperlink>
    </w:p>
    <w:p w14:paraId="4E028C7C" w14:textId="67E416AF" w:rsidR="001B3B5F" w:rsidRPr="00187D4E" w:rsidRDefault="001B3B5F" w:rsidP="001B3B5F">
      <w:pPr>
        <w:pStyle w:val="NormalWeb"/>
        <w:rPr>
          <w:b/>
          <w:bCs/>
        </w:rPr>
      </w:pPr>
      <w:r w:rsidRPr="00187D4E">
        <w:rPr>
          <w:b/>
          <w:bCs/>
        </w:rPr>
        <w:t>Legal Lesson Learned:</w:t>
      </w:r>
      <w:r>
        <w:rPr>
          <w:b/>
          <w:bCs/>
        </w:rPr>
        <w:t xml:space="preserve"> Volunteer firefighter injured in line of duty </w:t>
      </w:r>
      <w:r w:rsidR="00EE2DFE">
        <w:rPr>
          <w:b/>
          <w:bCs/>
        </w:rPr>
        <w:t xml:space="preserve">is </w:t>
      </w:r>
      <w:r>
        <w:rPr>
          <w:b/>
          <w:bCs/>
        </w:rPr>
        <w:t>covered by worker’s comp</w:t>
      </w:r>
      <w:r w:rsidR="00EE2DFE">
        <w:rPr>
          <w:b/>
          <w:bCs/>
        </w:rPr>
        <w:t xml:space="preserve">; cannot sue </w:t>
      </w:r>
      <w:r w:rsidR="009504C8">
        <w:rPr>
          <w:b/>
          <w:bCs/>
        </w:rPr>
        <w:t xml:space="preserve">for damages. </w:t>
      </w:r>
      <w:r>
        <w:rPr>
          <w:b/>
          <w:bCs/>
        </w:rPr>
        <w:t xml:space="preserve"> </w:t>
      </w:r>
    </w:p>
    <w:p w14:paraId="04214FC8" w14:textId="378EC4AA" w:rsidR="002C34C9" w:rsidRDefault="001B3B5F" w:rsidP="00853142">
      <w:pPr>
        <w:rPr>
          <w:rFonts w:ascii="Arial Black" w:hAnsi="Arial Black"/>
          <w:sz w:val="24"/>
          <w:szCs w:val="24"/>
        </w:rPr>
      </w:pPr>
      <w:r>
        <w:rPr>
          <w:rFonts w:ascii="Arial Black" w:hAnsi="Arial Black"/>
          <w:sz w:val="24"/>
          <w:szCs w:val="24"/>
        </w:rPr>
        <w:t xml:space="preserve"> </w:t>
      </w:r>
    </w:p>
    <w:p w14:paraId="138F044E" w14:textId="77777777" w:rsidR="002C34C9" w:rsidRDefault="002C34C9" w:rsidP="00853142">
      <w:pPr>
        <w:rPr>
          <w:rFonts w:ascii="Arial Black" w:hAnsi="Arial Black"/>
          <w:sz w:val="24"/>
          <w:szCs w:val="24"/>
        </w:rPr>
      </w:pPr>
    </w:p>
    <w:p w14:paraId="4AC80DC2" w14:textId="1EABE174" w:rsidR="00A21A2D" w:rsidRDefault="00A21A2D" w:rsidP="00853142">
      <w:pPr>
        <w:rPr>
          <w:rFonts w:ascii="Arial Black" w:hAnsi="Arial Black"/>
          <w:sz w:val="24"/>
          <w:szCs w:val="24"/>
        </w:rPr>
      </w:pPr>
      <w:r>
        <w:rPr>
          <w:rFonts w:ascii="Arial Black" w:hAnsi="Arial Black"/>
          <w:sz w:val="24"/>
          <w:szCs w:val="24"/>
        </w:rPr>
        <w:t>2-6</w:t>
      </w:r>
      <w:r w:rsidR="00BB73D4">
        <w:rPr>
          <w:rFonts w:ascii="Arial Black" w:hAnsi="Arial Black"/>
          <w:sz w:val="24"/>
          <w:szCs w:val="24"/>
        </w:rPr>
        <w:t>2</w:t>
      </w:r>
    </w:p>
    <w:p w14:paraId="0AB9BC36" w14:textId="77777777" w:rsidR="003312BD" w:rsidRDefault="003312BD" w:rsidP="003312BD">
      <w:pPr>
        <w:pStyle w:val="NormalWeb"/>
        <w:rPr>
          <w:rFonts w:ascii="Arial Black" w:hAnsi="Arial Black"/>
          <w:b/>
          <w:bCs/>
          <w:sz w:val="28"/>
          <w:szCs w:val="28"/>
        </w:rPr>
      </w:pPr>
      <w:r>
        <w:rPr>
          <w:rFonts w:ascii="Arial Black" w:hAnsi="Arial Black"/>
          <w:b/>
          <w:bCs/>
          <w:sz w:val="28"/>
          <w:szCs w:val="28"/>
        </w:rPr>
        <w:t>MO: VOLUNTEER FF LODD – WIFE AWARDED ONLY MIN. OF $40 / WEEK – REVERSED - COMPARE WAGES OF CAREER FF</w:t>
      </w:r>
    </w:p>
    <w:p w14:paraId="12760CC2" w14:textId="77777777" w:rsidR="003312BD" w:rsidRDefault="003312BD" w:rsidP="003312BD">
      <w:pPr>
        <w:pStyle w:val="NormalWeb"/>
      </w:pPr>
      <w:r>
        <w:lastRenderedPageBreak/>
        <w:t xml:space="preserve">On Jan. 10, 2024, in </w:t>
      </w:r>
      <w:r w:rsidRPr="007A32A0">
        <w:rPr>
          <w:u w:val="single"/>
        </w:rPr>
        <w:t>Dependent of Russell Hayes, Deceased, Susan Hayes v. City of Eldorado Springs,</w:t>
      </w:r>
      <w:r>
        <w:t xml:space="preserve"> the Court of Appeals of Missouri, Southern District, held (3 to 0) that Labor and Industrial Commission” is reversed, and must conduct a new hearing before an Administrative Law Judge to determine if duties on a volunteer FF are “similar” to those of a career FF; if they are similar then award a monthly amount consistent with the “usual wage” of a career FF. </w:t>
      </w:r>
    </w:p>
    <w:p w14:paraId="55D4173D" w14:textId="77777777" w:rsidR="003312BD" w:rsidRDefault="003312BD" w:rsidP="003312BD">
      <w:pPr>
        <w:pStyle w:val="NormalWeb"/>
        <w:ind w:left="720"/>
        <w:rPr>
          <w:b/>
          <w:bCs/>
        </w:rPr>
      </w:pPr>
      <w:r>
        <w:t xml:space="preserve">“Having found that Wife presented evidence of the ‘usual wage’ of firefighters, the Commission did not then compare the services provided by such firefighters to the services provided by Husband as a volunteer firefighter to determine whether those services are ‘similar’ as is required by section 287.250.1(6). Rather, the Commission misapplied the law in suggesting that Wife was misguided in asserting ‘that the services rendered by a full-time career firefighter and by a rural volunteer firefighter are similar’ and in ruling that ‘[t]his [Commission] cannot assume facts not in evidence’ as the record reveals that such evidence was produced by Wife.” </w:t>
      </w:r>
      <w:hyperlink r:id="rId472" w:history="1">
        <w:r w:rsidRPr="00092358">
          <w:rPr>
            <w:rStyle w:val="Hyperlink"/>
          </w:rPr>
          <w:t>https://casetext.com/case/dependent-of-hayes-v-city-of-eldorado-springs</w:t>
        </w:r>
      </w:hyperlink>
      <w:r>
        <w:t xml:space="preserve"> </w:t>
      </w:r>
    </w:p>
    <w:p w14:paraId="528956A7" w14:textId="77777777" w:rsidR="002C34C9" w:rsidRDefault="002C34C9" w:rsidP="002C34C9">
      <w:pPr>
        <w:rPr>
          <w:rFonts w:ascii="Times New Roman" w:hAnsi="Times New Roman"/>
          <w:b/>
          <w:bCs/>
          <w:sz w:val="24"/>
          <w:szCs w:val="24"/>
        </w:rPr>
      </w:pPr>
      <w:r w:rsidRPr="00452E49">
        <w:rPr>
          <w:rFonts w:ascii="Times New Roman" w:hAnsi="Times New Roman"/>
          <w:b/>
          <w:bCs/>
          <w:sz w:val="24"/>
          <w:szCs w:val="24"/>
        </w:rPr>
        <w:t xml:space="preserve">Legal Lesson Learned: </w:t>
      </w:r>
      <w:r>
        <w:rPr>
          <w:rFonts w:ascii="Times New Roman" w:hAnsi="Times New Roman"/>
          <w:b/>
          <w:bCs/>
          <w:sz w:val="24"/>
          <w:szCs w:val="24"/>
        </w:rPr>
        <w:t xml:space="preserve">A very positive decision for volunteer firefighters. </w:t>
      </w:r>
    </w:p>
    <w:p w14:paraId="79CE1B05" w14:textId="77777777" w:rsidR="002C34C9" w:rsidRDefault="002C34C9" w:rsidP="002C34C9">
      <w:pPr>
        <w:ind w:left="720"/>
        <w:rPr>
          <w:rFonts w:ascii="Times New Roman" w:hAnsi="Times New Roman"/>
          <w:sz w:val="24"/>
          <w:szCs w:val="24"/>
        </w:rPr>
      </w:pPr>
      <w:r w:rsidRPr="00EB23DB">
        <w:rPr>
          <w:rFonts w:ascii="Times New Roman" w:hAnsi="Times New Roman"/>
          <w:sz w:val="24"/>
          <w:szCs w:val="24"/>
        </w:rPr>
        <w:t xml:space="preserve">Note:  See USA Fire Administration report on death of Firefighter Russell “Russ” H. Hayes. </w:t>
      </w:r>
      <w:hyperlink r:id="rId473" w:history="1">
        <w:r w:rsidRPr="00092358">
          <w:rPr>
            <w:rStyle w:val="Hyperlink"/>
            <w:rFonts w:ascii="Times New Roman" w:hAnsi="Times New Roman"/>
            <w:sz w:val="24"/>
            <w:szCs w:val="24"/>
          </w:rPr>
          <w:t>https://apps.usfa.fema.gov/firefighter-fatalities/fatalityData/detail?fatalityId=4784</w:t>
        </w:r>
      </w:hyperlink>
      <w:r>
        <w:rPr>
          <w:rFonts w:ascii="Times New Roman" w:hAnsi="Times New Roman"/>
          <w:sz w:val="24"/>
          <w:szCs w:val="24"/>
        </w:rPr>
        <w:t xml:space="preserve"> </w:t>
      </w:r>
    </w:p>
    <w:p w14:paraId="72EF88F2" w14:textId="77777777" w:rsidR="002C34C9" w:rsidRDefault="002C34C9" w:rsidP="002C34C9">
      <w:pPr>
        <w:ind w:left="720"/>
        <w:rPr>
          <w:rFonts w:ascii="Times New Roman" w:hAnsi="Times New Roman"/>
          <w:sz w:val="24"/>
          <w:szCs w:val="24"/>
        </w:rPr>
      </w:pPr>
      <w:r w:rsidRPr="00EB23DB">
        <w:rPr>
          <w:rFonts w:ascii="Times New Roman" w:hAnsi="Times New Roman"/>
          <w:sz w:val="24"/>
          <w:szCs w:val="24"/>
        </w:rPr>
        <w:t xml:space="preserve">“On October 3, </w:t>
      </w:r>
      <w:proofErr w:type="gramStart"/>
      <w:r w:rsidRPr="00EB23DB">
        <w:rPr>
          <w:rFonts w:ascii="Times New Roman" w:hAnsi="Times New Roman"/>
          <w:sz w:val="24"/>
          <w:szCs w:val="24"/>
        </w:rPr>
        <w:t>2018</w:t>
      </w:r>
      <w:proofErr w:type="gramEnd"/>
      <w:r w:rsidRPr="00EB23DB">
        <w:rPr>
          <w:rFonts w:ascii="Times New Roman" w:hAnsi="Times New Roman"/>
          <w:sz w:val="24"/>
          <w:szCs w:val="24"/>
        </w:rPr>
        <w:t xml:space="preserve"> at approximately 0855hrs, Firefighter Hayes was driving an engine apparatus along a local highway on the way to a pump test.  Witnesses indicated that they observed the right front tire go </w:t>
      </w:r>
      <w:proofErr w:type="gramStart"/>
      <w:r w:rsidRPr="00EB23DB">
        <w:rPr>
          <w:rFonts w:ascii="Times New Roman" w:hAnsi="Times New Roman"/>
          <w:sz w:val="24"/>
          <w:szCs w:val="24"/>
        </w:rPr>
        <w:t>off of</w:t>
      </w:r>
      <w:proofErr w:type="gramEnd"/>
      <w:r w:rsidRPr="00EB23DB">
        <w:rPr>
          <w:rFonts w:ascii="Times New Roman" w:hAnsi="Times New Roman"/>
          <w:sz w:val="24"/>
          <w:szCs w:val="24"/>
        </w:rPr>
        <w:t xml:space="preserve"> the roadway.  Firefighter Hayes overcorrected as he brought the apparatus back onto the roadway, thereby causing it to travel to the opposite ditch and overturn.  Firefighter Hayes was ejected from the vehicle. He was treated on the scene by local EMS personnel and then flown by medical helicopter to a regional hospital.   Firefighter Hayes was admitted to the hospital and died from his injuries the following day.”</w:t>
      </w:r>
    </w:p>
    <w:p w14:paraId="6A65AF1C" w14:textId="77777777" w:rsidR="002C34C9" w:rsidRPr="00EB23DB" w:rsidRDefault="002C34C9" w:rsidP="002C34C9">
      <w:pPr>
        <w:ind w:left="720"/>
        <w:rPr>
          <w:rFonts w:ascii="Times New Roman" w:hAnsi="Times New Roman"/>
          <w:sz w:val="24"/>
          <w:szCs w:val="24"/>
        </w:rPr>
      </w:pPr>
      <w:r>
        <w:rPr>
          <w:rFonts w:ascii="Times New Roman" w:hAnsi="Times New Roman"/>
          <w:sz w:val="24"/>
          <w:szCs w:val="24"/>
        </w:rPr>
        <w:t xml:space="preserve">See also: </w:t>
      </w:r>
      <w:hyperlink r:id="rId474" w:history="1">
        <w:r w:rsidRPr="00092358">
          <w:rPr>
            <w:rStyle w:val="Hyperlink"/>
            <w:rFonts w:ascii="Times New Roman" w:hAnsi="Times New Roman"/>
            <w:sz w:val="24"/>
            <w:szCs w:val="24"/>
          </w:rPr>
          <w:t>https://www.firehero.org/fallen-firefighter/russell-h-hayes/</w:t>
        </w:r>
      </w:hyperlink>
      <w:r>
        <w:rPr>
          <w:rFonts w:ascii="Times New Roman" w:hAnsi="Times New Roman"/>
          <w:sz w:val="24"/>
          <w:szCs w:val="24"/>
        </w:rPr>
        <w:t xml:space="preserve"> </w:t>
      </w:r>
    </w:p>
    <w:p w14:paraId="59FBC779" w14:textId="77777777" w:rsidR="002C34C9" w:rsidRPr="00013DF2" w:rsidRDefault="002C34C9" w:rsidP="002C34C9">
      <w:pPr>
        <w:pStyle w:val="NoSpacing"/>
        <w:ind w:left="720"/>
        <w:rPr>
          <w:rFonts w:ascii="Times New Roman" w:hAnsi="Times New Roman"/>
          <w:sz w:val="24"/>
          <w:szCs w:val="24"/>
        </w:rPr>
      </w:pPr>
      <w:r w:rsidRPr="00013DF2">
        <w:rPr>
          <w:rFonts w:ascii="Times New Roman" w:hAnsi="Times New Roman"/>
          <w:sz w:val="24"/>
          <w:szCs w:val="24"/>
        </w:rPr>
        <w:t xml:space="preserve">See article on this case. “Volunteer firefighter’s widow wins chance for higher benefits.” (Jan. 18, 2024). </w:t>
      </w:r>
    </w:p>
    <w:p w14:paraId="2B2041ED" w14:textId="77777777" w:rsidR="002C34C9" w:rsidRPr="00013DF2" w:rsidRDefault="002C34C9" w:rsidP="002C34C9">
      <w:pPr>
        <w:pStyle w:val="NoSpacing"/>
        <w:ind w:left="720"/>
        <w:rPr>
          <w:rFonts w:ascii="Times New Roman" w:hAnsi="Times New Roman"/>
          <w:sz w:val="24"/>
          <w:szCs w:val="24"/>
        </w:rPr>
      </w:pPr>
      <w:hyperlink r:id="rId475" w:history="1">
        <w:r w:rsidRPr="00092358">
          <w:rPr>
            <w:rStyle w:val="Hyperlink"/>
            <w:rFonts w:ascii="Times New Roman" w:hAnsi="Times New Roman"/>
            <w:sz w:val="24"/>
            <w:szCs w:val="24"/>
          </w:rPr>
          <w:t>https://molawyersmedia.com/2024/01/18/volunteer-firefighters-widow-wins-chance-for-higher-benefits/</w:t>
        </w:r>
      </w:hyperlink>
      <w:r w:rsidRPr="00013DF2">
        <w:rPr>
          <w:rFonts w:ascii="Times New Roman" w:hAnsi="Times New Roman"/>
          <w:sz w:val="24"/>
          <w:szCs w:val="24"/>
        </w:rPr>
        <w:t xml:space="preserve"> </w:t>
      </w:r>
    </w:p>
    <w:p w14:paraId="4FC768ED" w14:textId="77777777" w:rsidR="00A21A2D" w:rsidRDefault="00A21A2D" w:rsidP="00853142">
      <w:pPr>
        <w:rPr>
          <w:rFonts w:ascii="Arial Black" w:hAnsi="Arial Black"/>
          <w:sz w:val="24"/>
          <w:szCs w:val="24"/>
        </w:rPr>
      </w:pPr>
    </w:p>
    <w:p w14:paraId="1CE37A1F" w14:textId="77777777" w:rsidR="00A21A2D" w:rsidRDefault="00A21A2D" w:rsidP="00853142">
      <w:pPr>
        <w:rPr>
          <w:rFonts w:ascii="Arial Black" w:hAnsi="Arial Black"/>
          <w:sz w:val="24"/>
          <w:szCs w:val="24"/>
        </w:rPr>
      </w:pPr>
    </w:p>
    <w:p w14:paraId="73DAAEFB" w14:textId="75811B02" w:rsidR="000B6343" w:rsidRDefault="000B6343" w:rsidP="00853142">
      <w:pPr>
        <w:rPr>
          <w:rFonts w:ascii="Arial Black" w:hAnsi="Arial Black"/>
          <w:sz w:val="24"/>
          <w:szCs w:val="24"/>
        </w:rPr>
      </w:pPr>
      <w:r>
        <w:rPr>
          <w:rFonts w:ascii="Arial Black" w:hAnsi="Arial Black"/>
          <w:sz w:val="24"/>
          <w:szCs w:val="24"/>
        </w:rPr>
        <w:t>2-6</w:t>
      </w:r>
      <w:r w:rsidR="00BB73D4">
        <w:rPr>
          <w:rFonts w:ascii="Arial Black" w:hAnsi="Arial Black"/>
          <w:sz w:val="24"/>
          <w:szCs w:val="24"/>
        </w:rPr>
        <w:t>1</w:t>
      </w:r>
    </w:p>
    <w:p w14:paraId="5282ABDF" w14:textId="77777777" w:rsidR="009C4318" w:rsidRPr="00DC23A0" w:rsidRDefault="009C4318" w:rsidP="009C4318">
      <w:pPr>
        <w:pStyle w:val="NormalWeb"/>
        <w:rPr>
          <w:rFonts w:ascii="Arial Black" w:hAnsi="Arial Black"/>
          <w:sz w:val="28"/>
          <w:szCs w:val="28"/>
        </w:rPr>
      </w:pPr>
      <w:r>
        <w:rPr>
          <w:rFonts w:ascii="Arial Black" w:hAnsi="Arial Black"/>
          <w:sz w:val="28"/>
          <w:szCs w:val="28"/>
        </w:rPr>
        <w:t xml:space="preserve">CA: FIREHOSE - FF SERIOUSLY INJURED – CITY MUNI BUS DROVE OVER HOSE – CAN’T SUE CITY OR BUS DRIVER </w:t>
      </w:r>
    </w:p>
    <w:p w14:paraId="7A085F5A" w14:textId="77777777" w:rsidR="009C4318" w:rsidRDefault="009C4318" w:rsidP="009C4318">
      <w:pPr>
        <w:pStyle w:val="NormalWeb"/>
      </w:pPr>
      <w:r>
        <w:t xml:space="preserve">On Dec. 12, 2023, in </w:t>
      </w:r>
      <w:r w:rsidRPr="0097494F">
        <w:rPr>
          <w:u w:val="single"/>
        </w:rPr>
        <w:t>Matthew Vann v. City and County of San Franciso, et al.</w:t>
      </w:r>
      <w:r>
        <w:t xml:space="preserve">, the California Court of Appeals, First District, Second Division, held (3 to 0) that trial court properly dismissed the </w:t>
      </w:r>
      <w:proofErr w:type="gramStart"/>
      <w:r>
        <w:t>firefighters</w:t>
      </w:r>
      <w:proofErr w:type="gramEnd"/>
      <w:r>
        <w:t xml:space="preserve"> lawsuit against the city.  The Court wrote: “Here, in contrast, we are dealing with the Workers' Compensation Act, which must be liberally construed in favor of awarding workers' compensation benefits. (§ 3202; </w:t>
      </w:r>
      <w:r>
        <w:rPr>
          <w:rStyle w:val="Emphasis"/>
        </w:rPr>
        <w:t xml:space="preserve">King v. </w:t>
      </w:r>
      <w:proofErr w:type="spellStart"/>
      <w:r>
        <w:rPr>
          <w:rStyle w:val="Emphasis"/>
        </w:rPr>
        <w:t>CompPartners</w:t>
      </w:r>
      <w:proofErr w:type="spellEnd"/>
      <w:r>
        <w:rPr>
          <w:rStyle w:val="Emphasis"/>
        </w:rPr>
        <w:t>, Inc</w:t>
      </w:r>
      <w:r>
        <w:t xml:space="preserve">., </w:t>
      </w:r>
      <w:r>
        <w:rPr>
          <w:rStyle w:val="Emphasis"/>
        </w:rPr>
        <w:t>supra</w:t>
      </w:r>
      <w:r>
        <w:t xml:space="preserve">, 5 Cal.5th at p. 1051.) Application of these </w:t>
      </w:r>
      <w:proofErr w:type="gramStart"/>
      <w:r>
        <w:t>principles</w:t>
      </w:r>
      <w:proofErr w:type="gramEnd"/>
      <w:r>
        <w:t xml:space="preserve"> cuts against concluding that SFMTA [San Francisco Municipal Transportation Agency] and SFFD [San Francisco Fire Department] are distinct entities, and therefore that Yu and appellant have separate employers. To do so would have the effect of circumventing the workers' compensation exclusivity rule, which prevents employees from bringing actions against fellow </w:t>
      </w:r>
      <w:r>
        <w:lastRenderedPageBreak/>
        <w:t xml:space="preserve">employees acting in the scope of employment, such that the fellow employees' negligence could be imputed to their employers.” </w:t>
      </w:r>
      <w:hyperlink r:id="rId476" w:history="1">
        <w:r w:rsidRPr="001075D9">
          <w:rPr>
            <w:rStyle w:val="Hyperlink"/>
          </w:rPr>
          <w:t>https://casetext.com/case/vann-v-city-of-san-francisco</w:t>
        </w:r>
      </w:hyperlink>
      <w:r>
        <w:t xml:space="preserve"> </w:t>
      </w:r>
    </w:p>
    <w:p w14:paraId="7F9A64BD" w14:textId="77777777" w:rsidR="00063E80" w:rsidRPr="002D0030" w:rsidRDefault="00063E80" w:rsidP="00063E80">
      <w:pPr>
        <w:pStyle w:val="NormalWeb"/>
        <w:rPr>
          <w:b/>
          <w:bCs/>
        </w:rPr>
      </w:pPr>
      <w:r w:rsidRPr="002D0030">
        <w:rPr>
          <w:b/>
          <w:bCs/>
        </w:rPr>
        <w:t xml:space="preserve">Legal Lesson Learned: </w:t>
      </w:r>
      <w:r>
        <w:rPr>
          <w:b/>
          <w:bCs/>
        </w:rPr>
        <w:t xml:space="preserve">Both the FD and the bus department are part of the same city; cannot sue the City or the bus driver; only remedy for injured </w:t>
      </w:r>
      <w:proofErr w:type="gramStart"/>
      <w:r>
        <w:rPr>
          <w:b/>
          <w:bCs/>
        </w:rPr>
        <w:t>firefighter</w:t>
      </w:r>
      <w:proofErr w:type="gramEnd"/>
      <w:r>
        <w:rPr>
          <w:b/>
          <w:bCs/>
        </w:rPr>
        <w:t xml:space="preserve"> is workers comp. </w:t>
      </w:r>
    </w:p>
    <w:p w14:paraId="47AA9B25" w14:textId="77777777" w:rsidR="000B6343" w:rsidRDefault="000B6343" w:rsidP="00853142">
      <w:pPr>
        <w:rPr>
          <w:rFonts w:ascii="Arial Black" w:hAnsi="Arial Black"/>
          <w:sz w:val="24"/>
          <w:szCs w:val="24"/>
        </w:rPr>
      </w:pPr>
    </w:p>
    <w:p w14:paraId="7B1C81E0" w14:textId="11890DB2" w:rsidR="001257CC" w:rsidRDefault="00044FB1" w:rsidP="00853142">
      <w:pPr>
        <w:rPr>
          <w:rFonts w:ascii="Arial Black" w:hAnsi="Arial Black"/>
          <w:sz w:val="24"/>
          <w:szCs w:val="24"/>
        </w:rPr>
      </w:pPr>
      <w:r>
        <w:rPr>
          <w:rFonts w:ascii="Arial Black" w:hAnsi="Arial Black"/>
          <w:sz w:val="24"/>
          <w:szCs w:val="24"/>
        </w:rPr>
        <w:t>2-6</w:t>
      </w:r>
      <w:r w:rsidR="00BB73D4">
        <w:rPr>
          <w:rFonts w:ascii="Arial Black" w:hAnsi="Arial Black"/>
          <w:sz w:val="24"/>
          <w:szCs w:val="24"/>
        </w:rPr>
        <w:t>0</w:t>
      </w:r>
    </w:p>
    <w:p w14:paraId="137ACF5F" w14:textId="77777777" w:rsidR="006728B9" w:rsidRDefault="006728B9" w:rsidP="006728B9">
      <w:pPr>
        <w:pStyle w:val="Heading1"/>
        <w:rPr>
          <w:rFonts w:ascii="Arial Black" w:hAnsi="Arial Black"/>
          <w:b w:val="0"/>
          <w:bCs w:val="0"/>
          <w:sz w:val="28"/>
          <w:szCs w:val="28"/>
        </w:rPr>
      </w:pPr>
      <w:r>
        <w:rPr>
          <w:rFonts w:ascii="Arial Black" w:hAnsi="Arial Black"/>
          <w:b w:val="0"/>
          <w:bCs w:val="0"/>
          <w:sz w:val="28"/>
          <w:szCs w:val="28"/>
        </w:rPr>
        <w:t>CA: BLOCKING ENGINE - MOTORIST RAN INTO ENGINE AT MVA - 2 FF HURT - FF GET NEW JURY TRIAL FOR DAMAGES</w:t>
      </w:r>
    </w:p>
    <w:p w14:paraId="69723006" w14:textId="77777777" w:rsidR="006728B9" w:rsidRPr="00BC37ED" w:rsidRDefault="006728B9" w:rsidP="006728B9">
      <w:pPr>
        <w:pStyle w:val="Heading1"/>
        <w:rPr>
          <w:b w:val="0"/>
          <w:bCs w:val="0"/>
          <w:sz w:val="24"/>
          <w:szCs w:val="24"/>
        </w:rPr>
      </w:pPr>
      <w:r>
        <w:rPr>
          <w:b w:val="0"/>
          <w:bCs w:val="0"/>
          <w:sz w:val="24"/>
          <w:szCs w:val="24"/>
        </w:rPr>
        <w:t xml:space="preserve">On Nov. 29, 2023, in </w:t>
      </w:r>
      <w:r w:rsidRPr="004901CF">
        <w:rPr>
          <w:b w:val="0"/>
          <w:bCs w:val="0"/>
          <w:sz w:val="24"/>
          <w:szCs w:val="24"/>
          <w:u w:val="single"/>
        </w:rPr>
        <w:t>Michael Rattary and Stephen Rogness v. Brian Favro</w:t>
      </w:r>
      <w:r>
        <w:rPr>
          <w:b w:val="0"/>
          <w:bCs w:val="0"/>
          <w:sz w:val="24"/>
          <w:szCs w:val="24"/>
        </w:rPr>
        <w:t xml:space="preserve">, the </w:t>
      </w:r>
      <w:r w:rsidRPr="00E60013">
        <w:rPr>
          <w:b w:val="0"/>
          <w:bCs w:val="0"/>
          <w:sz w:val="24"/>
          <w:szCs w:val="24"/>
        </w:rPr>
        <w:t>California Court of Appeals, First District, Fourth Division</w:t>
      </w:r>
      <w:r>
        <w:rPr>
          <w:b w:val="0"/>
          <w:bCs w:val="0"/>
          <w:sz w:val="24"/>
          <w:szCs w:val="24"/>
        </w:rPr>
        <w:t xml:space="preserve">, held (3 to 0) that the two firefighters are entitled to a new civil jury trial since the attorney for Favro told jury in closing argument an improper standard on liability (jury voted against awarding damages to </w:t>
      </w:r>
      <w:proofErr w:type="spellStart"/>
      <w:r>
        <w:rPr>
          <w:b w:val="0"/>
          <w:bCs w:val="0"/>
          <w:sz w:val="24"/>
          <w:szCs w:val="24"/>
        </w:rPr>
        <w:t>Rattery</w:t>
      </w:r>
      <w:proofErr w:type="spellEnd"/>
      <w:r>
        <w:rPr>
          <w:b w:val="0"/>
          <w:bCs w:val="0"/>
          <w:sz w:val="24"/>
          <w:szCs w:val="24"/>
        </w:rPr>
        <w:t xml:space="preserve">  10-2, and against Rogness 12-0).  Their initial lawsuit was dismissed by trial court judge based on Fireman’s Rule; but Court of Appeals reversed and ordered case to be tried on motorist’s duty of ordinary care when </w:t>
      </w:r>
      <w:proofErr w:type="gramStart"/>
      <w:r>
        <w:rPr>
          <w:b w:val="0"/>
          <w:bCs w:val="0"/>
          <w:sz w:val="24"/>
          <w:szCs w:val="24"/>
        </w:rPr>
        <w:t>approach</w:t>
      </w:r>
      <w:proofErr w:type="gramEnd"/>
      <w:r>
        <w:rPr>
          <w:b w:val="0"/>
          <w:bCs w:val="0"/>
          <w:sz w:val="24"/>
          <w:szCs w:val="24"/>
        </w:rPr>
        <w:t xml:space="preserve"> accident scene. Now the Court of Appeals orders a new trial, because Favro’s attorney in closing argument told jury FFs can only get damages if “</w:t>
      </w:r>
      <w:r w:rsidRPr="00BC37ED">
        <w:rPr>
          <w:b w:val="0"/>
          <w:bCs w:val="0"/>
          <w:sz w:val="24"/>
          <w:szCs w:val="24"/>
        </w:rPr>
        <w:t xml:space="preserve">faced from the person they are suing was </w:t>
      </w:r>
      <w:r w:rsidRPr="00BC37ED">
        <w:rPr>
          <w:b w:val="0"/>
          <w:bCs w:val="0"/>
          <w:i/>
          <w:iCs/>
          <w:sz w:val="24"/>
          <w:szCs w:val="24"/>
        </w:rPr>
        <w:t>beyond the risk that's inherent to their job</w:t>
      </w:r>
      <w:r w:rsidRPr="00BC37ED">
        <w:rPr>
          <w:b w:val="0"/>
          <w:bCs w:val="0"/>
          <w:sz w:val="24"/>
          <w:szCs w:val="24"/>
        </w:rPr>
        <w:t>." (Italics added.)</w:t>
      </w:r>
      <w:r>
        <w:rPr>
          <w:b w:val="0"/>
          <w:bCs w:val="0"/>
          <w:sz w:val="24"/>
          <w:szCs w:val="24"/>
        </w:rPr>
        <w:t xml:space="preserve"> The Court of Appeals reverses, writing: </w:t>
      </w:r>
    </w:p>
    <w:p w14:paraId="5CA93F14" w14:textId="77777777" w:rsidR="006728B9" w:rsidRPr="000C74F9" w:rsidRDefault="006728B9" w:rsidP="006728B9">
      <w:pPr>
        <w:pStyle w:val="Heading1"/>
        <w:ind w:left="720"/>
        <w:rPr>
          <w:b w:val="0"/>
          <w:bCs w:val="0"/>
          <w:sz w:val="24"/>
          <w:szCs w:val="24"/>
        </w:rPr>
      </w:pPr>
      <w:hyperlink r:id="rId477" w:history="1">
        <w:r w:rsidRPr="00876603">
          <w:rPr>
            <w:rStyle w:val="Hyperlink"/>
            <w:b w:val="0"/>
            <w:bCs w:val="0"/>
            <w:sz w:val="24"/>
            <w:szCs w:val="24"/>
          </w:rPr>
          <w:t>Section 1714.9</w:t>
        </w:r>
      </w:hyperlink>
      <w:r w:rsidRPr="00876603">
        <w:rPr>
          <w:b w:val="0"/>
          <w:bCs w:val="0"/>
          <w:sz w:val="24"/>
          <w:szCs w:val="24"/>
        </w:rPr>
        <w:t>, subdivision (a)(1) concerns liability to a firefighter for tortious "conduct . . . occur[ring] after the person knows or should have known of the presence of the . . . firefighter." (</w:t>
      </w:r>
      <w:hyperlink r:id="rId478" w:history="1">
        <w:r w:rsidRPr="00876603">
          <w:rPr>
            <w:rStyle w:val="Hyperlink"/>
            <w:b w:val="0"/>
            <w:bCs w:val="0"/>
            <w:sz w:val="24"/>
            <w:szCs w:val="24"/>
          </w:rPr>
          <w:t>§ 1714.9, subd. (a)(1)</w:t>
        </w:r>
      </w:hyperlink>
      <w:r w:rsidRPr="00876603">
        <w:rPr>
          <w:b w:val="0"/>
          <w:bCs w:val="0"/>
          <w:sz w:val="24"/>
          <w:szCs w:val="24"/>
        </w:rPr>
        <w:t>.)</w:t>
      </w:r>
      <w:r>
        <w:rPr>
          <w:b w:val="0"/>
          <w:bCs w:val="0"/>
          <w:sz w:val="24"/>
          <w:szCs w:val="24"/>
        </w:rPr>
        <w:t xml:space="preserve"> </w:t>
      </w:r>
      <w:r w:rsidRPr="000C74F9">
        <w:rPr>
          <w:b w:val="0"/>
          <w:bCs w:val="0"/>
          <w:sz w:val="24"/>
          <w:szCs w:val="24"/>
        </w:rPr>
        <w:t xml:space="preserve">… </w:t>
      </w:r>
      <w:r w:rsidRPr="00D46FA3">
        <w:rPr>
          <w:b w:val="0"/>
          <w:bCs w:val="0"/>
          <w:sz w:val="24"/>
          <w:szCs w:val="24"/>
        </w:rPr>
        <w:t xml:space="preserve">"Although most of the cases analyzing the effect of </w:t>
      </w:r>
      <w:hyperlink r:id="rId479" w:history="1">
        <w:r w:rsidRPr="00D46FA3">
          <w:rPr>
            <w:rStyle w:val="Hyperlink"/>
            <w:b w:val="0"/>
            <w:bCs w:val="0"/>
            <w:sz w:val="24"/>
            <w:szCs w:val="24"/>
          </w:rPr>
          <w:t>section 1714.9</w:t>
        </w:r>
      </w:hyperlink>
      <w:r w:rsidRPr="00D46FA3">
        <w:rPr>
          <w:b w:val="0"/>
          <w:bCs w:val="0"/>
          <w:sz w:val="24"/>
          <w:szCs w:val="24"/>
        </w:rPr>
        <w:t xml:space="preserve"> treat it as stating an exception to the firefighter's rule (e.g. </w:t>
      </w:r>
      <w:r w:rsidRPr="00D46FA3">
        <w:rPr>
          <w:b w:val="0"/>
          <w:bCs w:val="0"/>
          <w:i/>
          <w:iCs/>
          <w:sz w:val="24"/>
          <w:szCs w:val="24"/>
        </w:rPr>
        <w:t>Gibb v. Stetson</w:t>
      </w:r>
      <w:r w:rsidRPr="00D46FA3">
        <w:rPr>
          <w:b w:val="0"/>
          <w:bCs w:val="0"/>
          <w:sz w:val="24"/>
          <w:szCs w:val="24"/>
        </w:rPr>
        <w:t xml:space="preserve"> [(1988)] </w:t>
      </w:r>
      <w:hyperlink r:id="rId480" w:anchor="p1014" w:history="1">
        <w:r w:rsidRPr="00D46FA3">
          <w:rPr>
            <w:rStyle w:val="Hyperlink"/>
            <w:b w:val="0"/>
            <w:bCs w:val="0"/>
            <w:sz w:val="24"/>
            <w:szCs w:val="24"/>
          </w:rPr>
          <w:t>199 Cal.App.3d 1008, 1014-1015</w:t>
        </w:r>
      </w:hyperlink>
      <w:r w:rsidRPr="00D46FA3">
        <w:rPr>
          <w:b w:val="0"/>
          <w:bCs w:val="0"/>
          <w:sz w:val="24"/>
          <w:szCs w:val="24"/>
        </w:rPr>
        <w:t xml:space="preserve">), </w:t>
      </w:r>
      <w:proofErr w:type="spellStart"/>
      <w:r w:rsidRPr="00D46FA3">
        <w:rPr>
          <w:b w:val="0"/>
          <w:bCs w:val="0"/>
          <w:sz w:val="24"/>
          <w:szCs w:val="24"/>
        </w:rPr>
        <w:t>thethe</w:t>
      </w:r>
      <w:proofErr w:type="spellEnd"/>
      <w:r w:rsidRPr="00D46FA3">
        <w:rPr>
          <w:b w:val="0"/>
          <w:bCs w:val="0"/>
          <w:sz w:val="24"/>
          <w:szCs w:val="24"/>
        </w:rPr>
        <w:t xml:space="preserve"> Supreme Court has more accurately described</w:t>
      </w:r>
      <w:r w:rsidRPr="000C74F9">
        <w:rPr>
          <w:b w:val="0"/>
          <w:bCs w:val="0"/>
          <w:sz w:val="24"/>
          <w:szCs w:val="24"/>
        </w:rPr>
        <w:t xml:space="preserve"> the effect of the statute as reimposing 'a duty of ordinary care (see [Civ. Code,] </w:t>
      </w:r>
      <w:hyperlink r:id="rId481" w:history="1">
        <w:r w:rsidRPr="000C74F9">
          <w:rPr>
            <w:rStyle w:val="Hyperlink"/>
            <w:b w:val="0"/>
            <w:bCs w:val="0"/>
            <w:sz w:val="24"/>
            <w:szCs w:val="24"/>
          </w:rPr>
          <w:t>§ 1714</w:t>
        </w:r>
      </w:hyperlink>
      <w:r w:rsidRPr="000C74F9">
        <w:rPr>
          <w:b w:val="0"/>
          <w:bCs w:val="0"/>
          <w:sz w:val="24"/>
          <w:szCs w:val="24"/>
        </w:rPr>
        <w:t>), which would otherwise be abrogated by the firefighter's rule.'" (</w:t>
      </w:r>
      <w:r w:rsidRPr="000C74F9">
        <w:rPr>
          <w:b w:val="0"/>
          <w:bCs w:val="0"/>
          <w:i/>
          <w:iCs/>
          <w:sz w:val="24"/>
          <w:szCs w:val="24"/>
        </w:rPr>
        <w:t>Boon v. Rivera</w:t>
      </w:r>
      <w:r w:rsidRPr="000C74F9">
        <w:rPr>
          <w:b w:val="0"/>
          <w:bCs w:val="0"/>
          <w:sz w:val="24"/>
          <w:szCs w:val="24"/>
        </w:rPr>
        <w:t xml:space="preserve"> (2000) </w:t>
      </w:r>
      <w:hyperlink r:id="rId482" w:anchor="p1330" w:history="1">
        <w:r w:rsidRPr="000C74F9">
          <w:rPr>
            <w:rStyle w:val="Hyperlink"/>
            <w:b w:val="0"/>
            <w:bCs w:val="0"/>
            <w:sz w:val="24"/>
            <w:szCs w:val="24"/>
          </w:rPr>
          <w:t>80 Cal.App.4th 1322, 1330-31</w:t>
        </w:r>
      </w:hyperlink>
      <w:r w:rsidRPr="000C74F9">
        <w:rPr>
          <w:b w:val="0"/>
          <w:bCs w:val="0"/>
          <w:sz w:val="24"/>
          <w:szCs w:val="24"/>
        </w:rPr>
        <w:t xml:space="preserve">, quoting </w:t>
      </w:r>
      <w:r w:rsidRPr="000C74F9">
        <w:rPr>
          <w:b w:val="0"/>
          <w:bCs w:val="0"/>
          <w:i/>
          <w:iCs/>
          <w:sz w:val="24"/>
          <w:szCs w:val="24"/>
        </w:rPr>
        <w:t>Calatayud v. State of California</w:t>
      </w:r>
      <w:r w:rsidRPr="000C74F9">
        <w:rPr>
          <w:b w:val="0"/>
          <w:bCs w:val="0"/>
          <w:sz w:val="24"/>
          <w:szCs w:val="24"/>
        </w:rPr>
        <w:t xml:space="preserve"> (1998) </w:t>
      </w:r>
      <w:hyperlink r:id="rId483" w:anchor="p1068" w:history="1">
        <w:r w:rsidRPr="000C74F9">
          <w:rPr>
            <w:rStyle w:val="Hyperlink"/>
            <w:b w:val="0"/>
            <w:bCs w:val="0"/>
            <w:sz w:val="24"/>
            <w:szCs w:val="24"/>
          </w:rPr>
          <w:t>18 Cal.4th 1057, 1068</w:t>
        </w:r>
      </w:hyperlink>
      <w:r w:rsidRPr="000C74F9">
        <w:rPr>
          <w:b w:val="0"/>
          <w:bCs w:val="0"/>
          <w:sz w:val="24"/>
          <w:szCs w:val="24"/>
        </w:rPr>
        <w:t>.)</w:t>
      </w:r>
    </w:p>
    <w:p w14:paraId="6CD0A834" w14:textId="77777777" w:rsidR="000B6343" w:rsidRPr="003470F7" w:rsidRDefault="000B6343" w:rsidP="000B6343">
      <w:pPr>
        <w:pStyle w:val="Heading1"/>
        <w:rPr>
          <w:sz w:val="24"/>
          <w:szCs w:val="24"/>
        </w:rPr>
      </w:pPr>
      <w:r w:rsidRPr="003470F7">
        <w:rPr>
          <w:sz w:val="24"/>
          <w:szCs w:val="24"/>
        </w:rPr>
        <w:t xml:space="preserve">Legal Lesson Learned: </w:t>
      </w:r>
      <w:r>
        <w:rPr>
          <w:sz w:val="24"/>
          <w:szCs w:val="24"/>
        </w:rPr>
        <w:t xml:space="preserve">The firefighters now get a “second chance” at convincing a jury that they are entitled to damages. </w:t>
      </w:r>
    </w:p>
    <w:p w14:paraId="0DF6AEAE" w14:textId="77777777" w:rsidR="00044FB1" w:rsidRDefault="00044FB1" w:rsidP="00853142">
      <w:pPr>
        <w:rPr>
          <w:rFonts w:ascii="Arial Black" w:hAnsi="Arial Black"/>
          <w:sz w:val="24"/>
          <w:szCs w:val="24"/>
        </w:rPr>
      </w:pPr>
    </w:p>
    <w:p w14:paraId="54D67C1B" w14:textId="194B736A" w:rsidR="001257CC" w:rsidRDefault="001257CC" w:rsidP="00853142">
      <w:pPr>
        <w:rPr>
          <w:rFonts w:ascii="Arial Black" w:hAnsi="Arial Black"/>
          <w:sz w:val="24"/>
          <w:szCs w:val="24"/>
        </w:rPr>
      </w:pPr>
      <w:r>
        <w:rPr>
          <w:rFonts w:ascii="Arial Black" w:hAnsi="Arial Black"/>
          <w:sz w:val="24"/>
          <w:szCs w:val="24"/>
        </w:rPr>
        <w:t>2-</w:t>
      </w:r>
      <w:r w:rsidR="00BB73D4">
        <w:rPr>
          <w:rFonts w:ascii="Arial Black" w:hAnsi="Arial Black"/>
          <w:sz w:val="24"/>
          <w:szCs w:val="24"/>
        </w:rPr>
        <w:t>59</w:t>
      </w:r>
    </w:p>
    <w:p w14:paraId="7F3401D7" w14:textId="77777777" w:rsidR="00E761A8" w:rsidRPr="00583360" w:rsidRDefault="00E761A8" w:rsidP="00E761A8">
      <w:pPr>
        <w:pStyle w:val="NormalWeb"/>
        <w:rPr>
          <w:rFonts w:ascii="Arial Black" w:hAnsi="Arial Black"/>
          <w:sz w:val="28"/>
          <w:szCs w:val="28"/>
        </w:rPr>
      </w:pPr>
      <w:r>
        <w:rPr>
          <w:rFonts w:ascii="Arial Black" w:hAnsi="Arial Black"/>
          <w:sz w:val="28"/>
          <w:szCs w:val="28"/>
        </w:rPr>
        <w:t>NJ: BEARDS - BLACK FF GROWING 3-INCH BEARD - ALSO MINISTER – ORDERED NOT RESPOND FIRES – NO CASE</w:t>
      </w:r>
    </w:p>
    <w:p w14:paraId="3C1B5260" w14:textId="09379490" w:rsidR="00E761A8" w:rsidRDefault="00E761A8" w:rsidP="00E761A8">
      <w:pPr>
        <w:rPr>
          <w:rStyle w:val="Hyperlink"/>
          <w:rFonts w:ascii="Times New Roman" w:hAnsi="Times New Roman"/>
          <w:sz w:val="24"/>
          <w:szCs w:val="24"/>
        </w:rPr>
      </w:pPr>
      <w:r w:rsidRPr="00E761A8">
        <w:rPr>
          <w:rFonts w:ascii="Times New Roman" w:hAnsi="Times New Roman"/>
          <w:sz w:val="24"/>
          <w:szCs w:val="24"/>
        </w:rPr>
        <w:t xml:space="preserve">On Nov. 29, 2023, in </w:t>
      </w:r>
      <w:r w:rsidRPr="00E761A8">
        <w:rPr>
          <w:rFonts w:ascii="Times New Roman" w:hAnsi="Times New Roman"/>
          <w:sz w:val="24"/>
          <w:szCs w:val="24"/>
          <w:u w:val="single"/>
        </w:rPr>
        <w:t>Alexander Smith v. City pf Atlantic City, et al</w:t>
      </w:r>
      <w:r w:rsidRPr="00E761A8">
        <w:rPr>
          <w:rFonts w:ascii="Times New Roman" w:hAnsi="Times New Roman"/>
          <w:sz w:val="24"/>
          <w:szCs w:val="24"/>
        </w:rPr>
        <w:t xml:space="preserve">., U.S. District Court Judge Chritine P. O’Hearn, U.S. District Court for District of New Jersey, granted City’s motion for summary judgment.  The Court held:  “ Defendants submit that the grooming policy advances the government's legitimate objectives of (1) firefighter safety and (2) following state and federal regulations which prohibit facial hair. (ECF No. 115-29 at 13-14). Safety is a well-recognized legitimate government objective. </w:t>
      </w:r>
      <w:r w:rsidRPr="00E761A8">
        <w:rPr>
          <w:rStyle w:val="Emphasis"/>
          <w:rFonts w:ascii="Times New Roman" w:hAnsi="Times New Roman"/>
          <w:sz w:val="24"/>
          <w:szCs w:val="24"/>
        </w:rPr>
        <w:t>Fraternal Ord.</w:t>
      </w:r>
      <w:r w:rsidRPr="00E761A8">
        <w:rPr>
          <w:rFonts w:ascii="Times New Roman" w:hAnsi="Times New Roman"/>
          <w:sz w:val="24"/>
          <w:szCs w:val="24"/>
        </w:rPr>
        <w:t xml:space="preserve">, 170 F.3d at 366. And a fire department's ability to comply with state and federal regulations is certainly a legitimate government objective. </w:t>
      </w:r>
      <w:r w:rsidRPr="00E761A8">
        <w:rPr>
          <w:rStyle w:val="Emphasis"/>
          <w:rFonts w:ascii="Times New Roman" w:hAnsi="Times New Roman"/>
          <w:sz w:val="24"/>
          <w:szCs w:val="24"/>
        </w:rPr>
        <w:t>See e.g.</w:t>
      </w:r>
      <w:r w:rsidRPr="00E761A8">
        <w:rPr>
          <w:rFonts w:ascii="Times New Roman" w:hAnsi="Times New Roman"/>
          <w:sz w:val="24"/>
          <w:szCs w:val="24"/>
        </w:rPr>
        <w:t xml:space="preserve">, </w:t>
      </w:r>
      <w:r w:rsidRPr="00E761A8">
        <w:rPr>
          <w:rStyle w:val="Emphasis"/>
          <w:rFonts w:ascii="Times New Roman" w:hAnsi="Times New Roman"/>
          <w:sz w:val="24"/>
          <w:szCs w:val="24"/>
        </w:rPr>
        <w:t>Hamilton</w:t>
      </w:r>
      <w:r w:rsidRPr="00E761A8">
        <w:rPr>
          <w:rFonts w:ascii="Times New Roman" w:hAnsi="Times New Roman"/>
          <w:sz w:val="24"/>
          <w:szCs w:val="24"/>
        </w:rPr>
        <w:t xml:space="preserve">, 563 F.Supp.3d at 60. The grooming policy is rationally related to these objectives. </w:t>
      </w:r>
      <w:r w:rsidRPr="00E761A8">
        <w:rPr>
          <w:rFonts w:ascii="Times New Roman" w:hAnsi="Times New Roman"/>
          <w:sz w:val="24"/>
          <w:szCs w:val="24"/>
        </w:rPr>
        <w:lastRenderedPageBreak/>
        <w:t xml:space="preserve">First, and most obviously, the policy ensures that the ACFD complies with various state and federal regulations that prohibit devices like SCBAs to be worn by those with facial hair. </w:t>
      </w:r>
      <w:r w:rsidRPr="00E761A8">
        <w:rPr>
          <w:rStyle w:val="Emphasis"/>
          <w:rFonts w:ascii="Times New Roman" w:hAnsi="Times New Roman"/>
          <w:sz w:val="24"/>
          <w:szCs w:val="24"/>
        </w:rPr>
        <w:t>See</w:t>
      </w:r>
      <w:r w:rsidRPr="00E761A8">
        <w:rPr>
          <w:rFonts w:ascii="Times New Roman" w:hAnsi="Times New Roman"/>
          <w:sz w:val="24"/>
          <w:szCs w:val="24"/>
        </w:rPr>
        <w:t xml:space="preserve">, </w:t>
      </w:r>
      <w:r w:rsidRPr="00E761A8">
        <w:rPr>
          <w:rStyle w:val="Emphasis"/>
          <w:rFonts w:ascii="Times New Roman" w:hAnsi="Times New Roman"/>
          <w:sz w:val="24"/>
          <w:szCs w:val="24"/>
        </w:rPr>
        <w:t>e.g.</w:t>
      </w:r>
      <w:r w:rsidRPr="00E761A8">
        <w:rPr>
          <w:rFonts w:ascii="Times New Roman" w:hAnsi="Times New Roman"/>
          <w:sz w:val="24"/>
          <w:szCs w:val="24"/>
        </w:rPr>
        <w:t>, 20 C.F.R. § 1910.134(g). Second, there is no dispute that PEOSH and OSHA find that an ill-fitting SCBA creates a safety risk not only to the firefighter wearing it, but also to fellow firefighters who may be tasked with rescuing those with an ill-fitted mask. Firefighter safety is put at risk when anything inhibits the seal of an SCBA, including facial hair. This is contemplated in the text of the policy which provides that ‘[f]</w:t>
      </w:r>
      <w:proofErr w:type="spellStart"/>
      <w:r w:rsidRPr="00E761A8">
        <w:rPr>
          <w:rFonts w:ascii="Times New Roman" w:hAnsi="Times New Roman"/>
          <w:sz w:val="24"/>
          <w:szCs w:val="24"/>
        </w:rPr>
        <w:t>acial</w:t>
      </w:r>
      <w:proofErr w:type="spellEnd"/>
      <w:r w:rsidRPr="00E761A8">
        <w:rPr>
          <w:rFonts w:ascii="Times New Roman" w:hAnsi="Times New Roman"/>
          <w:sz w:val="24"/>
          <w:szCs w:val="24"/>
        </w:rPr>
        <w:t xml:space="preserve"> hair of any type shall not interfere with the seal of SCBA face piece.’” </w:t>
      </w:r>
      <w:hyperlink r:id="rId484" w:history="1">
        <w:r w:rsidRPr="00E761A8">
          <w:rPr>
            <w:rStyle w:val="Hyperlink"/>
            <w:rFonts w:ascii="Times New Roman" w:hAnsi="Times New Roman"/>
            <w:sz w:val="24"/>
            <w:szCs w:val="24"/>
          </w:rPr>
          <w:t>https://www.anylaw.com/case/smith-v-city-of-atlantic-city-et-al/d-new-jersey/11-28-2023/WMlWRYwBqcoRgE-ICuER</w:t>
        </w:r>
      </w:hyperlink>
    </w:p>
    <w:p w14:paraId="03010CF1" w14:textId="5A5A32DF" w:rsidR="00044FB1" w:rsidRPr="00044FB1" w:rsidRDefault="00044FB1" w:rsidP="00E761A8">
      <w:pPr>
        <w:rPr>
          <w:rFonts w:ascii="Times New Roman" w:hAnsi="Times New Roman"/>
          <w:sz w:val="24"/>
          <w:szCs w:val="24"/>
        </w:rPr>
      </w:pPr>
      <w:r w:rsidRPr="00044FB1">
        <w:rPr>
          <w:rFonts w:ascii="Times New Roman" w:hAnsi="Times New Roman"/>
          <w:b/>
          <w:bCs/>
          <w:sz w:val="24"/>
          <w:szCs w:val="24"/>
        </w:rPr>
        <w:t>Legal Lesson Learned: FF must comply with OSHA standards on facial hair.</w:t>
      </w:r>
    </w:p>
    <w:p w14:paraId="6CD857DC" w14:textId="77777777" w:rsidR="001257CC" w:rsidRDefault="001257CC" w:rsidP="00853142">
      <w:pPr>
        <w:rPr>
          <w:rFonts w:ascii="Arial Black" w:hAnsi="Arial Black"/>
          <w:sz w:val="24"/>
          <w:szCs w:val="24"/>
        </w:rPr>
      </w:pPr>
    </w:p>
    <w:p w14:paraId="2EEE3822" w14:textId="68C9A93B" w:rsidR="00BB49C5" w:rsidRDefault="00BB49C5"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8</w:t>
      </w:r>
    </w:p>
    <w:p w14:paraId="620160D4" w14:textId="77777777" w:rsidR="00BB49C5" w:rsidRPr="00525651" w:rsidRDefault="00BB49C5" w:rsidP="00BB49C5">
      <w:pPr>
        <w:pStyle w:val="paragraph"/>
        <w:rPr>
          <w:rFonts w:ascii="Arial Black" w:hAnsi="Arial Black"/>
          <w:sz w:val="28"/>
          <w:szCs w:val="28"/>
        </w:rPr>
      </w:pPr>
      <w:r>
        <w:rPr>
          <w:rFonts w:ascii="Arial Black" w:hAnsi="Arial Black"/>
          <w:sz w:val="28"/>
          <w:szCs w:val="28"/>
        </w:rPr>
        <w:t xml:space="preserve">OH: SMOKE IN APARTMENT – RESIDENT TACKLED LT. &amp; DREW GUN – LT. TESTIFIED DEF. SENTENCING - 6 MONTHS </w:t>
      </w:r>
    </w:p>
    <w:p w14:paraId="69EC93AF" w14:textId="77777777" w:rsidR="00BB49C5" w:rsidRPr="00E17731" w:rsidRDefault="00BB49C5" w:rsidP="00BB49C5">
      <w:pPr>
        <w:pStyle w:val="paragraph"/>
      </w:pPr>
      <w:r>
        <w:t xml:space="preserve">On Oct. 26, 2023, in </w:t>
      </w:r>
      <w:r w:rsidRPr="00525651">
        <w:rPr>
          <w:u w:val="single"/>
        </w:rPr>
        <w:t>State of Ohio v. Victor Hatcher</w:t>
      </w:r>
      <w:r>
        <w:t xml:space="preserve">, the Court of Appeals of Ohio, Eight District, Cuyahoga County, held (3 to 0) that the </w:t>
      </w:r>
      <w:proofErr w:type="gramStart"/>
      <w:r>
        <w:t>six month</w:t>
      </w:r>
      <w:proofErr w:type="gramEnd"/>
      <w:r>
        <w:t xml:space="preserve"> jail sentence was appropriate for assaulting the Lieutenant of the Cleveland Fire Department, and then pulling a gun on firefighters in front of the building. In a plea bargain, he plead guilty to attempted assault, a felony of the fifth degree.  Court described the incident: “While the firefighters were investigating, appellant approached the firefighters and became angry, demanding that they leave. Lt. Todd O’Neill was the last to leave, and as he did so, appellant tackled him to the ground. Two other firefighters had to pull appellant </w:t>
      </w:r>
      <w:proofErr w:type="gramStart"/>
      <w:r>
        <w:t>off of</w:t>
      </w:r>
      <w:proofErr w:type="gramEnd"/>
      <w:r>
        <w:t xml:space="preserve"> O’Neill. Once the firefighters were outside, appellant went to his vehicle and retrieved a firearm. He waved the firearm at the firefighters and yelled at them. The battalion chief ordered the firefighters back to their rigs and called the police, who subsequently arrested appellant.” </w:t>
      </w:r>
      <w:hyperlink r:id="rId485" w:history="1">
        <w:r w:rsidRPr="0097451D">
          <w:rPr>
            <w:rStyle w:val="Hyperlink"/>
            <w:rFonts w:eastAsiaTheme="majorEastAsia"/>
          </w:rPr>
          <w:t>https://www.supremecourt.ohio.gov/rod/docs/pdf/8/2023/2023-Ohio-3884.pdf</w:t>
        </w:r>
      </w:hyperlink>
      <w:r>
        <w:t xml:space="preserve"> </w:t>
      </w:r>
      <w:r w:rsidRPr="00525651">
        <w:t xml:space="preserve"> </w:t>
      </w:r>
      <w:r>
        <w:t xml:space="preserve"> </w:t>
      </w:r>
      <w:r w:rsidRPr="00E17731">
        <w:t xml:space="preserve"> </w:t>
      </w:r>
    </w:p>
    <w:p w14:paraId="0B096F1A" w14:textId="77777777" w:rsidR="00BB49C5" w:rsidRPr="00E17731" w:rsidRDefault="00BB49C5" w:rsidP="00BB49C5">
      <w:pPr>
        <w:rPr>
          <w:rFonts w:ascii="Times New Roman" w:hAnsi="Times New Roman"/>
          <w:b/>
          <w:bCs/>
          <w:sz w:val="24"/>
          <w:szCs w:val="24"/>
        </w:rPr>
      </w:pPr>
      <w:r w:rsidRPr="00E17731">
        <w:rPr>
          <w:rFonts w:ascii="Times New Roman" w:hAnsi="Times New Roman"/>
          <w:b/>
          <w:bCs/>
          <w:sz w:val="24"/>
          <w:szCs w:val="24"/>
        </w:rPr>
        <w:t>Legal Lesson Learned:</w:t>
      </w:r>
      <w:r>
        <w:rPr>
          <w:rFonts w:ascii="Times New Roman" w:hAnsi="Times New Roman"/>
          <w:b/>
          <w:bCs/>
          <w:sz w:val="24"/>
          <w:szCs w:val="24"/>
        </w:rPr>
        <w:t xml:space="preserve"> Excellent to have Lieutenant testify at sentencing hearing. </w:t>
      </w:r>
    </w:p>
    <w:p w14:paraId="2F0336DF" w14:textId="5451D265" w:rsidR="00BB49C5" w:rsidRPr="00E17731" w:rsidRDefault="00BB49C5" w:rsidP="00BB49C5">
      <w:pPr>
        <w:pStyle w:val="paragraph"/>
      </w:pPr>
      <w:r>
        <w:t xml:space="preserve"> </w:t>
      </w:r>
      <w:r w:rsidRPr="00525651">
        <w:t xml:space="preserve"> </w:t>
      </w:r>
      <w:r>
        <w:t xml:space="preserve"> </w:t>
      </w:r>
      <w:r w:rsidRPr="00E17731">
        <w:t xml:space="preserve"> </w:t>
      </w:r>
    </w:p>
    <w:p w14:paraId="4263D095" w14:textId="77777777" w:rsidR="00BB49C5" w:rsidRDefault="00BB49C5" w:rsidP="00853142">
      <w:pPr>
        <w:rPr>
          <w:rFonts w:ascii="Arial Black" w:hAnsi="Arial Black"/>
          <w:sz w:val="24"/>
          <w:szCs w:val="24"/>
        </w:rPr>
      </w:pPr>
    </w:p>
    <w:p w14:paraId="1B06AA0D" w14:textId="77777777" w:rsidR="00BB49C5" w:rsidRDefault="00BB49C5" w:rsidP="00853142">
      <w:pPr>
        <w:rPr>
          <w:rFonts w:ascii="Arial Black" w:hAnsi="Arial Black"/>
          <w:sz w:val="24"/>
          <w:szCs w:val="24"/>
        </w:rPr>
      </w:pPr>
    </w:p>
    <w:p w14:paraId="2985DEB8" w14:textId="4A9E8FFF" w:rsidR="0056123D" w:rsidRDefault="0056123D"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7</w:t>
      </w:r>
    </w:p>
    <w:p w14:paraId="236F745B" w14:textId="77777777" w:rsidR="0056123D" w:rsidRPr="009932E6" w:rsidRDefault="0056123D" w:rsidP="0056123D">
      <w:pPr>
        <w:pStyle w:val="NoSpacing"/>
        <w:rPr>
          <w:rFonts w:ascii="Arial Black" w:hAnsi="Arial Black"/>
          <w:sz w:val="28"/>
          <w:szCs w:val="28"/>
        </w:rPr>
      </w:pPr>
      <w:r>
        <w:rPr>
          <w:rFonts w:ascii="Arial Black" w:hAnsi="Arial Black"/>
          <w:sz w:val="28"/>
          <w:szCs w:val="28"/>
        </w:rPr>
        <w:t>CA: FOREST FIRE – BULLDOZER OPERATOR KILLED, TWO INJURED – EMPLOYED BY CONTRACTOR - CAN’T SUE STATE</w:t>
      </w:r>
    </w:p>
    <w:p w14:paraId="05CF9F7A" w14:textId="77777777" w:rsidR="0056123D" w:rsidRDefault="0056123D" w:rsidP="0056123D">
      <w:pPr>
        <w:pStyle w:val="NoSpacing"/>
        <w:rPr>
          <w:rFonts w:ascii="Times New Roman" w:hAnsi="Times New Roman"/>
          <w:sz w:val="24"/>
          <w:szCs w:val="24"/>
        </w:rPr>
      </w:pPr>
    </w:p>
    <w:p w14:paraId="0925CBB0"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27, 2023, in </w:t>
      </w:r>
      <w:r w:rsidRPr="00E350E5">
        <w:rPr>
          <w:rFonts w:ascii="Times New Roman" w:hAnsi="Times New Roman"/>
          <w:sz w:val="24"/>
          <w:szCs w:val="24"/>
          <w:u w:val="single"/>
        </w:rPr>
        <w:t>Connie Vandorien, et al. v. Department of Transportation</w:t>
      </w:r>
      <w:r>
        <w:rPr>
          <w:rFonts w:ascii="Times New Roman" w:hAnsi="Times New Roman"/>
          <w:sz w:val="24"/>
          <w:szCs w:val="24"/>
        </w:rPr>
        <w:t>, the Court of Appeal of State of California, Third Appellate District (Shasta), held (3 to 0; unpublished decision) that family of the deceased bulldoze operator (Don Smith) and two injured bulldoze operators (D</w:t>
      </w:r>
      <w:r w:rsidRPr="00E350E5">
        <w:rPr>
          <w:rFonts w:ascii="Times New Roman" w:hAnsi="Times New Roman"/>
          <w:sz w:val="24"/>
          <w:szCs w:val="24"/>
        </w:rPr>
        <w:t>onald Andrews and Terry Cumming</w:t>
      </w:r>
      <w:r>
        <w:rPr>
          <w:rFonts w:ascii="Times New Roman" w:hAnsi="Times New Roman"/>
          <w:sz w:val="24"/>
          <w:szCs w:val="24"/>
        </w:rPr>
        <w:t xml:space="preserve">s) cannot sue California Department of Forestry And Fire Protection (CalFire) or Department of Transportation (Cal Tran) for failure to assess the fire risk in 2018 “Carr Fire” and failure to adequately maintain vegetation near State Route 299. </w:t>
      </w:r>
    </w:p>
    <w:p w14:paraId="0A03D38A" w14:textId="77777777" w:rsidR="0056123D" w:rsidRPr="009932E6" w:rsidRDefault="0056123D" w:rsidP="0056123D">
      <w:pPr>
        <w:pStyle w:val="NoSpacing"/>
        <w:ind w:firstLine="720"/>
        <w:rPr>
          <w:rFonts w:ascii="Times New Roman" w:hAnsi="Times New Roman"/>
          <w:sz w:val="24"/>
          <w:szCs w:val="24"/>
        </w:rPr>
      </w:pPr>
      <w:r>
        <w:rPr>
          <w:rFonts w:ascii="Times New Roman" w:hAnsi="Times New Roman"/>
          <w:sz w:val="24"/>
          <w:szCs w:val="24"/>
        </w:rPr>
        <w:lastRenderedPageBreak/>
        <w:t>“</w:t>
      </w:r>
      <w:proofErr w:type="spellStart"/>
      <w:r w:rsidRPr="009932E6">
        <w:rPr>
          <w:rFonts w:ascii="Times New Roman" w:hAnsi="Times New Roman"/>
          <w:sz w:val="24"/>
          <w:szCs w:val="24"/>
        </w:rPr>
        <w:t>CalTrans</w:t>
      </w:r>
      <w:proofErr w:type="spellEnd"/>
      <w:r w:rsidRPr="009932E6">
        <w:rPr>
          <w:rFonts w:ascii="Times New Roman" w:hAnsi="Times New Roman"/>
          <w:sz w:val="24"/>
          <w:szCs w:val="24"/>
        </w:rPr>
        <w:t xml:space="preserve"> successfully demurred to the SAC and the heirs’ wrongful death claim</w:t>
      </w:r>
    </w:p>
    <w:p w14:paraId="4FD71C3D"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on the basis that it was not liable under our Supreme Court’s holding in Privette v.</w:t>
      </w:r>
    </w:p>
    <w:p w14:paraId="0A633877"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Superior Court (1993) 5 Cal.4th 689 (Privette) and its progeny, which generally prohibit</w:t>
      </w:r>
    </w:p>
    <w:p w14:paraId="1B79DAB7"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an independent contractor or its employees from suing the hirer of the contractor for</w:t>
      </w:r>
    </w:p>
    <w:p w14:paraId="2CC85BC6"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workplace injuries except where the hirer has negligently exercised retained control or</w:t>
      </w:r>
    </w:p>
    <w:p w14:paraId="1D7584BD" w14:textId="77777777" w:rsidR="0056123D" w:rsidRDefault="0056123D" w:rsidP="0056123D">
      <w:pPr>
        <w:pStyle w:val="NoSpacing"/>
        <w:ind w:left="720"/>
        <w:rPr>
          <w:rFonts w:ascii="Times New Roman" w:hAnsi="Times New Roman"/>
          <w:sz w:val="24"/>
          <w:szCs w:val="24"/>
        </w:rPr>
      </w:pPr>
      <w:r w:rsidRPr="009932E6">
        <w:rPr>
          <w:rFonts w:ascii="Times New Roman" w:hAnsi="Times New Roman"/>
          <w:sz w:val="24"/>
          <w:szCs w:val="24"/>
        </w:rPr>
        <w:t>concealed a preexisting hazard.</w:t>
      </w:r>
      <w:r>
        <w:rPr>
          <w:rFonts w:ascii="Times New Roman" w:hAnsi="Times New Roman"/>
          <w:sz w:val="24"/>
          <w:szCs w:val="24"/>
        </w:rPr>
        <w:t xml:space="preserve">”  </w:t>
      </w:r>
      <w:hyperlink r:id="rId486" w:history="1">
        <w:r w:rsidRPr="00537EB6">
          <w:rPr>
            <w:rStyle w:val="Hyperlink"/>
            <w:rFonts w:ascii="Times New Roman" w:hAnsi="Times New Roman"/>
            <w:sz w:val="24"/>
            <w:szCs w:val="24"/>
          </w:rPr>
          <w:t>https://www.courts.ca.gov/opinions/nonpub/C096220.PDF</w:t>
        </w:r>
      </w:hyperlink>
      <w:r>
        <w:rPr>
          <w:rFonts w:ascii="Times New Roman" w:hAnsi="Times New Roman"/>
          <w:sz w:val="24"/>
          <w:szCs w:val="24"/>
        </w:rPr>
        <w:t xml:space="preserve"> </w:t>
      </w:r>
    </w:p>
    <w:p w14:paraId="713BBEF4" w14:textId="77777777" w:rsidR="0056123D" w:rsidRDefault="0056123D" w:rsidP="0056123D">
      <w:pPr>
        <w:pStyle w:val="NoSpacing"/>
        <w:rPr>
          <w:rFonts w:ascii="Times New Roman" w:hAnsi="Times New Roman"/>
          <w:b/>
          <w:bCs/>
          <w:sz w:val="24"/>
          <w:szCs w:val="24"/>
        </w:rPr>
      </w:pPr>
    </w:p>
    <w:p w14:paraId="568A8A30" w14:textId="604FD218" w:rsidR="0056123D" w:rsidRPr="0059137D" w:rsidRDefault="0056123D" w:rsidP="0056123D">
      <w:pPr>
        <w:pStyle w:val="NoSpacing"/>
        <w:rPr>
          <w:rFonts w:ascii="Times New Roman" w:hAnsi="Times New Roman"/>
          <w:b/>
          <w:bCs/>
          <w:sz w:val="24"/>
          <w:szCs w:val="24"/>
        </w:rPr>
      </w:pPr>
      <w:r w:rsidRPr="0059137D">
        <w:rPr>
          <w:rFonts w:ascii="Times New Roman" w:hAnsi="Times New Roman"/>
          <w:b/>
          <w:bCs/>
          <w:sz w:val="24"/>
          <w:szCs w:val="24"/>
        </w:rPr>
        <w:t>Legal Lesson Learned:</w:t>
      </w:r>
      <w:r>
        <w:rPr>
          <w:rFonts w:ascii="Times New Roman" w:hAnsi="Times New Roman"/>
          <w:b/>
          <w:bCs/>
          <w:sz w:val="24"/>
          <w:szCs w:val="24"/>
        </w:rPr>
        <w:t xml:space="preserve"> The bulldoze operators were employees to the independent contractor; their remedy is worker’s comp through their employer. </w:t>
      </w:r>
    </w:p>
    <w:p w14:paraId="1BE42B68" w14:textId="77777777" w:rsidR="0056123D" w:rsidRDefault="0056123D" w:rsidP="0056123D">
      <w:pPr>
        <w:pStyle w:val="NoSpacing"/>
        <w:rPr>
          <w:rFonts w:ascii="Times New Roman" w:hAnsi="Times New Roman"/>
          <w:sz w:val="24"/>
          <w:szCs w:val="24"/>
        </w:rPr>
      </w:pPr>
    </w:p>
    <w:p w14:paraId="1C848859" w14:textId="77777777" w:rsidR="0056123D" w:rsidRDefault="0056123D" w:rsidP="00853142">
      <w:pPr>
        <w:rPr>
          <w:rFonts w:ascii="Arial Black" w:hAnsi="Arial Black"/>
          <w:sz w:val="24"/>
          <w:szCs w:val="24"/>
        </w:rPr>
      </w:pPr>
    </w:p>
    <w:p w14:paraId="76679C0E" w14:textId="75666C9F" w:rsidR="00FE60DA" w:rsidRDefault="00FE60DA"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6</w:t>
      </w:r>
    </w:p>
    <w:p w14:paraId="301CE9F2" w14:textId="77777777" w:rsidR="00FE60DA" w:rsidRPr="009C2567" w:rsidRDefault="00FE60DA" w:rsidP="00FE60DA">
      <w:pPr>
        <w:spacing w:before="100" w:beforeAutospacing="1" w:after="100" w:afterAutospacing="1" w:line="240" w:lineRule="auto"/>
        <w:rPr>
          <w:rFonts w:ascii="Arial Black" w:hAnsi="Arial Black"/>
          <w:sz w:val="28"/>
          <w:szCs w:val="28"/>
        </w:rPr>
      </w:pPr>
      <w:r>
        <w:rPr>
          <w:rFonts w:ascii="Arial Black" w:hAnsi="Arial Black"/>
          <w:sz w:val="28"/>
          <w:szCs w:val="28"/>
        </w:rPr>
        <w:t>NY:  1992 ARSON CLOTHING STORE - LODD OF FDNY LT. –BLDG OWNER 36 YRS PRISON - DENIED HOME DETENTION</w:t>
      </w:r>
    </w:p>
    <w:p w14:paraId="6047AD8C" w14:textId="77777777" w:rsidR="00FE60DA" w:rsidRDefault="00FE60DA" w:rsidP="00FE60DA">
      <w:pPr>
        <w:spacing w:before="100" w:beforeAutospacing="1" w:after="100" w:afterAutospacing="1" w:line="240" w:lineRule="auto"/>
        <w:rPr>
          <w:rFonts w:ascii="Times New Roman" w:hAnsi="Times New Roman"/>
          <w:sz w:val="24"/>
          <w:szCs w:val="24"/>
        </w:rPr>
      </w:pPr>
      <w:r w:rsidRPr="007C560E">
        <w:rPr>
          <w:rFonts w:ascii="Times New Roman" w:eastAsia="Times New Roman" w:hAnsi="Times New Roman"/>
          <w:sz w:val="24"/>
          <w:szCs w:val="24"/>
        </w:rPr>
        <w:t xml:space="preserve">On June 30, 2023, in </w:t>
      </w:r>
      <w:r w:rsidRPr="007C560E">
        <w:rPr>
          <w:rFonts w:ascii="Times New Roman" w:eastAsia="Times New Roman" w:hAnsi="Times New Roman"/>
          <w:sz w:val="24"/>
          <w:szCs w:val="24"/>
          <w:u w:val="single"/>
        </w:rPr>
        <w:t>Jack Ferranti v. Warden Allenwood LSCI</w:t>
      </w:r>
      <w:r w:rsidRPr="007C560E">
        <w:rPr>
          <w:rFonts w:ascii="Times New Roman" w:eastAsia="Times New Roman" w:hAnsi="Times New Roman"/>
          <w:sz w:val="24"/>
          <w:szCs w:val="24"/>
        </w:rPr>
        <w:t xml:space="preserve">, the U.S. Court of Appeals for Third Circuit (Philadelphia) held (3 to 0) that U.S. Bureau of Prisons, and U.S. District Court properly denied his request to serve the remainder of his sentence at home under the </w:t>
      </w:r>
      <w:r w:rsidRPr="007C560E">
        <w:rPr>
          <w:rFonts w:ascii="Times New Roman" w:hAnsi="Times New Roman"/>
          <w:sz w:val="24"/>
          <w:szCs w:val="24"/>
        </w:rPr>
        <w:t xml:space="preserve">Elderly Offender Home Detention Program (EOHDP), a pilot program expanded as part of the 2018 First Step Act signed into law by President Trump. The Feb. 24, 1992, fire, in a three-story brick building with stores on the ground floor, sent smoke-choked tenants into the street and killed Lieut. Thomas A. Williams, 52, a 30-year veteran of the department and the father of two college-age daughters. Lieutenant Williams either fell or was blown out of a second-story window after a buildup of smoke and gases. He was </w:t>
      </w:r>
      <w:proofErr w:type="gramStart"/>
      <w:r w:rsidRPr="007C560E">
        <w:rPr>
          <w:rFonts w:ascii="Times New Roman" w:hAnsi="Times New Roman"/>
          <w:sz w:val="24"/>
          <w:szCs w:val="24"/>
        </w:rPr>
        <w:t>sentenced</w:t>
      </w:r>
      <w:proofErr w:type="gramEnd"/>
      <w:r w:rsidRPr="007C560E">
        <w:rPr>
          <w:rFonts w:ascii="Times New Roman" w:hAnsi="Times New Roman"/>
          <w:sz w:val="24"/>
          <w:szCs w:val="24"/>
        </w:rPr>
        <w:t xml:space="preserve"> 435 months' </w:t>
      </w:r>
      <w:r>
        <w:rPr>
          <w:rFonts w:ascii="Times New Roman" w:hAnsi="Times New Roman"/>
          <w:sz w:val="24"/>
          <w:szCs w:val="24"/>
        </w:rPr>
        <w:t xml:space="preserve">(36 years) </w:t>
      </w:r>
      <w:r w:rsidRPr="007C560E">
        <w:rPr>
          <w:rFonts w:ascii="Times New Roman" w:hAnsi="Times New Roman"/>
          <w:sz w:val="24"/>
          <w:szCs w:val="24"/>
        </w:rPr>
        <w:t>imprisonment</w:t>
      </w:r>
      <w:r>
        <w:rPr>
          <w:rFonts w:ascii="Times New Roman" w:hAnsi="Times New Roman"/>
          <w:sz w:val="24"/>
          <w:szCs w:val="24"/>
        </w:rPr>
        <w:t xml:space="preserve"> and </w:t>
      </w:r>
      <w:r w:rsidRPr="007C560E">
        <w:rPr>
          <w:rFonts w:ascii="Times New Roman" w:hAnsi="Times New Roman"/>
          <w:sz w:val="24"/>
          <w:szCs w:val="24"/>
        </w:rPr>
        <w:t xml:space="preserve">with </w:t>
      </w:r>
      <w:proofErr w:type="gramStart"/>
      <w:r w:rsidRPr="007C560E">
        <w:rPr>
          <w:rFonts w:ascii="Times New Roman" w:hAnsi="Times New Roman"/>
          <w:sz w:val="24"/>
          <w:szCs w:val="24"/>
        </w:rPr>
        <w:t>good time</w:t>
      </w:r>
      <w:proofErr w:type="gramEnd"/>
      <w:r w:rsidRPr="007C560E">
        <w:rPr>
          <w:rFonts w:ascii="Times New Roman" w:hAnsi="Times New Roman"/>
          <w:sz w:val="24"/>
          <w:szCs w:val="24"/>
        </w:rPr>
        <w:t xml:space="preserve"> credits, the Bureau of Prisons (BOP) expects he will be released from prison in April 2026.</w:t>
      </w:r>
      <w:r>
        <w:rPr>
          <w:rFonts w:ascii="Times New Roman" w:hAnsi="Times New Roman"/>
          <w:sz w:val="24"/>
          <w:szCs w:val="24"/>
        </w:rPr>
        <w:t xml:space="preserve"> </w:t>
      </w:r>
    </w:p>
    <w:p w14:paraId="38D9BC63" w14:textId="77777777" w:rsidR="00FE60DA" w:rsidRPr="009C2567" w:rsidRDefault="00FE60DA" w:rsidP="00FE60DA">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The 3</w:t>
      </w:r>
      <w:r w:rsidRPr="009C2567">
        <w:rPr>
          <w:rFonts w:ascii="Times New Roman" w:hAnsi="Times New Roman"/>
          <w:sz w:val="24"/>
          <w:szCs w:val="24"/>
          <w:vertAlign w:val="superscript"/>
        </w:rPr>
        <w:t>rd</w:t>
      </w:r>
      <w:r>
        <w:rPr>
          <w:rFonts w:ascii="Times New Roman" w:hAnsi="Times New Roman"/>
          <w:sz w:val="24"/>
          <w:szCs w:val="24"/>
        </w:rPr>
        <w:t xml:space="preserve"> Circuit held: “</w:t>
      </w:r>
      <w:r>
        <w:rPr>
          <w:rFonts w:ascii="Times New Roman" w:eastAsia="Times New Roman" w:hAnsi="Times New Roman"/>
          <w:sz w:val="24"/>
          <w:szCs w:val="24"/>
        </w:rPr>
        <w:t>[T]</w:t>
      </w:r>
      <w:r w:rsidRPr="009C2567">
        <w:rPr>
          <w:rFonts w:ascii="Times New Roman" w:eastAsia="Times New Roman" w:hAnsi="Times New Roman"/>
          <w:sz w:val="24"/>
          <w:szCs w:val="24"/>
        </w:rPr>
        <w:t>he BOP did not err by concluding that Ferranti's history of violence-comprised of the underlying conduct for his convictions as well as disciplinary infractions in prison-disqualified him from participating in the EOHDP. For the foregoing reasons, we will affirm the District Court's orders denying relief.</w:t>
      </w:r>
      <w:r>
        <w:rPr>
          <w:rFonts w:ascii="Times New Roman" w:eastAsia="Times New Roman" w:hAnsi="Times New Roman"/>
          <w:sz w:val="24"/>
          <w:szCs w:val="24"/>
        </w:rPr>
        <w:t xml:space="preserve">” </w:t>
      </w:r>
      <w:hyperlink r:id="rId487" w:history="1">
        <w:r w:rsidRPr="00812663">
          <w:rPr>
            <w:rStyle w:val="Hyperlink"/>
            <w:sz w:val="24"/>
            <w:szCs w:val="24"/>
          </w:rPr>
          <w:t>https://law.justia.com/cases/federal/appellate-courts/ca3/22-1892/22-1892-2023-06-30.html</w:t>
        </w:r>
      </w:hyperlink>
      <w:r>
        <w:rPr>
          <w:rFonts w:ascii="Times New Roman" w:eastAsia="Times New Roman" w:hAnsi="Times New Roman"/>
          <w:sz w:val="24"/>
          <w:szCs w:val="24"/>
        </w:rPr>
        <w:t xml:space="preserve"> </w:t>
      </w:r>
    </w:p>
    <w:p w14:paraId="17541C2E" w14:textId="77777777" w:rsidR="00FE60DA" w:rsidRPr="007C560E" w:rsidRDefault="00FE60DA" w:rsidP="00FE60DA">
      <w:pPr>
        <w:pStyle w:val="NormalWeb"/>
        <w:rPr>
          <w:b/>
          <w:bCs/>
        </w:rPr>
      </w:pPr>
      <w:r w:rsidRPr="007C560E">
        <w:rPr>
          <w:b/>
          <w:bCs/>
        </w:rPr>
        <w:t>Legal Lesson Learned: Arsonists</w:t>
      </w:r>
      <w:r>
        <w:rPr>
          <w:b/>
          <w:bCs/>
        </w:rPr>
        <w:t>, and other violent offenders,</w:t>
      </w:r>
      <w:r w:rsidRPr="007C560E">
        <w:rPr>
          <w:b/>
          <w:bCs/>
        </w:rPr>
        <w:t xml:space="preserve"> are not qualified for Elderly Offender Home Detention Program</w:t>
      </w:r>
      <w:r>
        <w:rPr>
          <w:b/>
          <w:bCs/>
        </w:rPr>
        <w:t xml:space="preserve"> (age 60 or older)</w:t>
      </w:r>
      <w:r w:rsidRPr="007C560E">
        <w:rPr>
          <w:b/>
          <w:bCs/>
        </w:rPr>
        <w:t xml:space="preserve">. </w:t>
      </w:r>
    </w:p>
    <w:p w14:paraId="10C9BBCC" w14:textId="77777777" w:rsidR="00FE60DA" w:rsidRDefault="00FE60DA" w:rsidP="00FE60DA">
      <w:pPr>
        <w:pStyle w:val="NormalWeb"/>
        <w:ind w:left="720"/>
      </w:pPr>
      <w:r w:rsidRPr="007C560E">
        <w:t xml:space="preserve">Note:  See Aug. 16, </w:t>
      </w:r>
      <w:proofErr w:type="gramStart"/>
      <w:r w:rsidRPr="007C560E">
        <w:t>1995</w:t>
      </w:r>
      <w:proofErr w:type="gramEnd"/>
      <w:r w:rsidRPr="007C560E">
        <w:t xml:space="preserve"> </w:t>
      </w:r>
      <w:r>
        <w:t xml:space="preserve">New York Times </w:t>
      </w:r>
      <w:r w:rsidRPr="007C560E">
        <w:t>article, “Storeowner Guilty of Arson Where Fireman Died.”</w:t>
      </w:r>
      <w:r>
        <w:t xml:space="preserve"> </w:t>
      </w:r>
      <w:hyperlink r:id="rId488" w:history="1">
        <w:r w:rsidRPr="00AA56D8">
          <w:rPr>
            <w:rStyle w:val="Hyperlink"/>
          </w:rPr>
          <w:t>https://www.nytimes.com/1995/08/16/nyregion/storeowner-guilty-of-arson-where-fireman-died.html</w:t>
        </w:r>
      </w:hyperlink>
      <w:r>
        <w:t xml:space="preserve"> </w:t>
      </w:r>
    </w:p>
    <w:p w14:paraId="26364599" w14:textId="77777777" w:rsidR="00FE60DA" w:rsidRDefault="00FE60DA" w:rsidP="00FE60DA">
      <w:pPr>
        <w:pStyle w:val="css-at9mc1"/>
        <w:ind w:left="720"/>
      </w:pPr>
      <w:r>
        <w:t xml:space="preserve">“The owner of a Queens clothing store was convicted of arson by a </w:t>
      </w:r>
      <w:proofErr w:type="gramStart"/>
      <w:r>
        <w:t>Federal</w:t>
      </w:r>
      <w:proofErr w:type="gramEnd"/>
      <w:r>
        <w:t xml:space="preserve"> court jury in Brooklyn yesterday in a fire that killed a highly decorated firefighter. The storeowner, Jack Ferranti, 42, of Manhattan, could receive life in prison. Mr. Ferranti's brother, Mario, 37, was convicted of arson conspiracy, and could receive five years in prison. The sentencing by Judge Jack B. Weinstein will not be scheduled until after the trial of Thomas Tocco, 29, a third defendant, whose case was severed from the Ferranti trial, officials said. Mr. Tocco's trial is scheduled to begin on Monday…. The indictment, unsealed in February, three years after the Feb. 24, 1992, fire, charged that shortly before the blaze, Jack Ferranti had moved a large amount of merchandise from the store, Today's Styles, at 66-45 Grand Avenue in Maspeth, and that after the fire he falsely claimed the goods had been destroyed, for a loss of $100,000. During the investigation, Mr. Ferranti withdrew the insurance claim. Besides the arson charge, Mr. Ferranti was found guilty of 16 counts of mail fraud in connection with the insurance claims and one count of witness tampering. The fire, in a three-story brick building with stores on the ground </w:t>
      </w:r>
      <w:r>
        <w:lastRenderedPageBreak/>
        <w:t>floor, sent smoke-choked tenants into the street and killed Lieut. Thomas A. Williams, 52, a 30-year veteran of the department and the father of two college-age daughters. Lieutenant Williams either fell or was blown out of a second-story window after a buildup of smoke and gases.”</w:t>
      </w:r>
    </w:p>
    <w:p w14:paraId="087FF66A" w14:textId="7238ED89" w:rsidR="00FE60DA" w:rsidRDefault="00FE60DA"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5</w:t>
      </w:r>
    </w:p>
    <w:p w14:paraId="6175D787" w14:textId="77777777" w:rsidR="00FE60DA" w:rsidRPr="00171981" w:rsidRDefault="00FE60DA" w:rsidP="00FE60DA">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PA: KIDNEY CANCER – STATE LAW PROPERLY EXTENDS COVERAGE TO CHEMICALS LATER PLACED IN “GROUP 1” </w:t>
      </w:r>
    </w:p>
    <w:p w14:paraId="00DA3C06" w14:textId="77777777"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21, 2023, in </w:t>
      </w:r>
      <w:r w:rsidRPr="005949A3">
        <w:rPr>
          <w:rFonts w:ascii="Times New Roman" w:hAnsi="Times New Roman"/>
          <w:sz w:val="24"/>
          <w:szCs w:val="24"/>
          <w:u w:val="single"/>
        </w:rPr>
        <w:t>City of Philadelphia v. Joseph Healey (Workers’ Compensation Appeal Board)</w:t>
      </w:r>
      <w:r>
        <w:rPr>
          <w:rFonts w:ascii="Times New Roman" w:hAnsi="Times New Roman"/>
          <w:sz w:val="24"/>
          <w:szCs w:val="24"/>
        </w:rPr>
        <w:t xml:space="preserve">, the Commonwealth Court of Pennsylvania held (7 to 0) that the firefighter was properly granted workers comp for his kidney cancer, rejecting the City’s argument that the state’s 2011 statute improperly allows additional substances like </w:t>
      </w:r>
      <w:r w:rsidRPr="00DB7D8B">
        <w:rPr>
          <w:rFonts w:ascii="Times New Roman" w:hAnsi="Times New Roman"/>
          <w:sz w:val="24"/>
          <w:szCs w:val="24"/>
        </w:rPr>
        <w:t>trichlorethylene</w:t>
      </w:r>
      <w:r>
        <w:t xml:space="preserve"> (</w:t>
      </w:r>
      <w:r>
        <w:rPr>
          <w:rFonts w:ascii="Times New Roman" w:hAnsi="Times New Roman"/>
          <w:sz w:val="24"/>
          <w:szCs w:val="24"/>
        </w:rPr>
        <w:t xml:space="preserve">TCE is </w:t>
      </w:r>
      <w:r w:rsidRPr="00DB7D8B">
        <w:rPr>
          <w:rFonts w:ascii="Times New Roman" w:hAnsi="Times New Roman"/>
          <w:sz w:val="24"/>
          <w:szCs w:val="24"/>
        </w:rPr>
        <w:t>industrial solvent for degreasing metal parts)</w:t>
      </w:r>
      <w:r>
        <w:rPr>
          <w:rFonts w:ascii="Times New Roman" w:hAnsi="Times New Roman"/>
          <w:sz w:val="24"/>
          <w:szCs w:val="24"/>
        </w:rPr>
        <w:t xml:space="preserve"> to be added to Group 1 list by the </w:t>
      </w:r>
      <w:r w:rsidRPr="005949A3">
        <w:rPr>
          <w:rFonts w:ascii="Times New Roman" w:hAnsi="Times New Roman"/>
          <w:sz w:val="24"/>
          <w:szCs w:val="24"/>
        </w:rPr>
        <w:t>International Agency for Research on Cancer</w:t>
      </w:r>
      <w:r>
        <w:rPr>
          <w:rFonts w:ascii="Times New Roman" w:hAnsi="Times New Roman"/>
          <w:sz w:val="24"/>
          <w:szCs w:val="24"/>
        </w:rPr>
        <w:t xml:space="preserve">. In 2011, TCE was listed as a Group 2a substance (“probably carcinogenic to humans”). </w:t>
      </w:r>
    </w:p>
    <w:p w14:paraId="4F3D6DD2" w14:textId="77777777" w:rsidR="00FE60DA" w:rsidRPr="0003518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 Court held: “E</w:t>
      </w:r>
      <w:r w:rsidRPr="005949A3">
        <w:rPr>
          <w:rFonts w:ascii="Times New Roman" w:hAnsi="Times New Roman"/>
          <w:sz w:val="24"/>
          <w:szCs w:val="24"/>
        </w:rPr>
        <w:t xml:space="preserve">mployer argues that the WCJ erred by relying on Claimant's TCE exposure to grant the Claim Petition under Section 108(r) of the Act. Specifically, Employer contends that interpreting Section 108(r) of the Act to include TCE as a Group 1 carcinogen </w:t>
      </w:r>
      <w:r w:rsidRPr="005949A3">
        <w:rPr>
          <w:rStyle w:val="Emphasis"/>
          <w:rFonts w:ascii="Times New Roman" w:hAnsi="Times New Roman"/>
          <w:sz w:val="24"/>
          <w:szCs w:val="24"/>
        </w:rPr>
        <w:t>after</w:t>
      </w:r>
      <w:r w:rsidRPr="005949A3">
        <w:rPr>
          <w:rFonts w:ascii="Times New Roman" w:hAnsi="Times New Roman"/>
          <w:sz w:val="24"/>
          <w:szCs w:val="24"/>
        </w:rPr>
        <w:t xml:space="preserve"> Act 46 became law on July 7, 2011, makes Section 108(r) of the Act reliant on the IARC's ever-changing Group 1 carcinogen list and, thus, the General Assembly unconstitutionally delegated its lawmaking authority to the IARC.</w:t>
      </w:r>
      <w:r>
        <w:rPr>
          <w:rFonts w:ascii="Times New Roman" w:hAnsi="Times New Roman"/>
          <w:sz w:val="24"/>
          <w:szCs w:val="24"/>
        </w:rPr>
        <w:t xml:space="preserve"> *** [Footnote 11. </w:t>
      </w:r>
      <w:r w:rsidRPr="00DB7D8B">
        <w:rPr>
          <w:rFonts w:ascii="Times New Roman" w:hAnsi="Times New Roman"/>
          <w:sz w:val="24"/>
          <w:szCs w:val="24"/>
        </w:rPr>
        <w:t xml:space="preserve">In addition, well-settled delegation standards and case law specify that the General Assembly has the authority </w:t>
      </w:r>
      <w:r>
        <w:rPr>
          <w:rFonts w:ascii="Times New Roman" w:hAnsi="Times New Roman"/>
          <w:sz w:val="24"/>
          <w:szCs w:val="24"/>
        </w:rPr>
        <w:t>‘</w:t>
      </w:r>
      <w:r w:rsidRPr="00DB7D8B">
        <w:rPr>
          <w:rFonts w:ascii="Times New Roman" w:hAnsi="Times New Roman"/>
          <w:sz w:val="24"/>
          <w:szCs w:val="24"/>
        </w:rPr>
        <w:t>to delegate to [the IARC], its execution and administrative authority over Pennsylvania's [occupational disease classifications], . . . as long as: (1) basic policy choices are still made by the General Assembly; and (2) the legislation contains adequate standards to guide and restrain the exercise of those functions.</w:t>
      </w:r>
      <w:r>
        <w:rPr>
          <w:rFonts w:ascii="Times New Roman" w:hAnsi="Times New Roman"/>
          <w:sz w:val="24"/>
          <w:szCs w:val="24"/>
        </w:rPr>
        <w:t>’</w:t>
      </w:r>
      <w:r w:rsidRPr="00DB7D8B">
        <w:rPr>
          <w:rFonts w:ascii="Times New Roman" w:hAnsi="Times New Roman"/>
          <w:sz w:val="24"/>
          <w:szCs w:val="24"/>
        </w:rPr>
        <w:t xml:space="preserve"> </w:t>
      </w:r>
      <w:r w:rsidRPr="00DB7D8B">
        <w:rPr>
          <w:rStyle w:val="Emphasis"/>
          <w:rFonts w:ascii="Times New Roman" w:hAnsi="Times New Roman"/>
          <w:sz w:val="24"/>
          <w:szCs w:val="24"/>
        </w:rPr>
        <w:t xml:space="preserve">Pa. Builders </w:t>
      </w:r>
      <w:proofErr w:type="spellStart"/>
      <w:r w:rsidRPr="00DB7D8B">
        <w:rPr>
          <w:rStyle w:val="Emphasis"/>
          <w:rFonts w:ascii="Times New Roman" w:hAnsi="Times New Roman"/>
          <w:sz w:val="24"/>
          <w:szCs w:val="24"/>
        </w:rPr>
        <w:t>Ass'n</w:t>
      </w:r>
      <w:proofErr w:type="spellEnd"/>
      <w:r w:rsidRPr="00DB7D8B">
        <w:rPr>
          <w:rStyle w:val="Emphasis"/>
          <w:rFonts w:ascii="Times New Roman" w:hAnsi="Times New Roman"/>
          <w:sz w:val="24"/>
          <w:szCs w:val="24"/>
        </w:rPr>
        <w:t xml:space="preserve"> v. </w:t>
      </w:r>
      <w:proofErr w:type="spellStart"/>
      <w:r w:rsidRPr="00DB7D8B">
        <w:rPr>
          <w:rStyle w:val="Emphasis"/>
          <w:rFonts w:ascii="Times New Roman" w:hAnsi="Times New Roman"/>
          <w:sz w:val="24"/>
          <w:szCs w:val="24"/>
        </w:rPr>
        <w:t>Dep't</w:t>
      </w:r>
      <w:proofErr w:type="spellEnd"/>
      <w:r w:rsidRPr="00DB7D8B">
        <w:rPr>
          <w:rStyle w:val="Emphasis"/>
          <w:rFonts w:ascii="Times New Roman" w:hAnsi="Times New Roman"/>
          <w:sz w:val="24"/>
          <w:szCs w:val="24"/>
        </w:rPr>
        <w:t xml:space="preserve"> of Lab. &amp; Indus.</w:t>
      </w:r>
      <w:r w:rsidRPr="00DB7D8B">
        <w:rPr>
          <w:rFonts w:ascii="Times New Roman" w:hAnsi="Times New Roman"/>
          <w:sz w:val="24"/>
          <w:szCs w:val="24"/>
        </w:rPr>
        <w:t xml:space="preserve">, 4 A.3d 215, 224 (Pa. </w:t>
      </w:r>
      <w:proofErr w:type="spellStart"/>
      <w:r w:rsidRPr="00DB7D8B">
        <w:rPr>
          <w:rFonts w:ascii="Times New Roman" w:hAnsi="Times New Roman"/>
          <w:sz w:val="24"/>
          <w:szCs w:val="24"/>
        </w:rPr>
        <w:t>Cmwlth</w:t>
      </w:r>
      <w:proofErr w:type="spellEnd"/>
      <w:r w:rsidRPr="00DB7D8B">
        <w:rPr>
          <w:rFonts w:ascii="Times New Roman" w:hAnsi="Times New Roman"/>
          <w:sz w:val="24"/>
          <w:szCs w:val="24"/>
        </w:rPr>
        <w:t xml:space="preserve">. 2010); </w:t>
      </w:r>
      <w:r w:rsidRPr="00DB7D8B">
        <w:rPr>
          <w:rStyle w:val="Emphasis"/>
          <w:rFonts w:ascii="Times New Roman" w:hAnsi="Times New Roman"/>
          <w:sz w:val="24"/>
          <w:szCs w:val="24"/>
        </w:rPr>
        <w:t>see also Protz</w:t>
      </w:r>
      <w:r w:rsidRPr="00DB7D8B">
        <w:rPr>
          <w:rFonts w:ascii="Times New Roman" w:hAnsi="Times New Roman"/>
          <w:sz w:val="24"/>
          <w:szCs w:val="24"/>
        </w:rPr>
        <w:t>.</w:t>
      </w:r>
      <w:r>
        <w:rPr>
          <w:rFonts w:ascii="Times New Roman" w:hAnsi="Times New Roman"/>
          <w:sz w:val="24"/>
          <w:szCs w:val="24"/>
        </w:rPr>
        <w:t>”</w:t>
      </w:r>
      <w:r w:rsidRPr="00DB7D8B">
        <w:t xml:space="preserve"> </w:t>
      </w:r>
      <w:hyperlink r:id="rId489" w:history="1">
        <w:r w:rsidRPr="0003518A">
          <w:rPr>
            <w:rStyle w:val="Hyperlink"/>
            <w:sz w:val="24"/>
            <w:szCs w:val="24"/>
          </w:rPr>
          <w:t>https://casetext.com/case/city-of-philadelphia-v-healey</w:t>
        </w:r>
      </w:hyperlink>
      <w:r w:rsidRPr="0003518A">
        <w:rPr>
          <w:rFonts w:ascii="Times New Roman" w:hAnsi="Times New Roman"/>
          <w:sz w:val="24"/>
          <w:szCs w:val="24"/>
        </w:rPr>
        <w:t xml:space="preserve"> </w:t>
      </w:r>
    </w:p>
    <w:p w14:paraId="7775C6CC" w14:textId="77777777" w:rsidR="00FE60DA" w:rsidRPr="00726ADA" w:rsidRDefault="00FE60DA" w:rsidP="00FE60DA">
      <w:pPr>
        <w:spacing w:before="100" w:beforeAutospacing="1" w:after="100" w:afterAutospacing="1" w:line="240" w:lineRule="auto"/>
        <w:rPr>
          <w:rFonts w:ascii="Times New Roman" w:hAnsi="Times New Roman"/>
          <w:b/>
          <w:bCs/>
          <w:sz w:val="24"/>
          <w:szCs w:val="24"/>
        </w:rPr>
      </w:pPr>
      <w:r w:rsidRPr="00726ADA">
        <w:rPr>
          <w:rFonts w:ascii="Times New Roman" w:hAnsi="Times New Roman"/>
          <w:b/>
          <w:bCs/>
          <w:sz w:val="24"/>
          <w:szCs w:val="24"/>
        </w:rPr>
        <w:t xml:space="preserve">Legal Lesson Learned: </w:t>
      </w:r>
      <w:r>
        <w:rPr>
          <w:rFonts w:ascii="Times New Roman" w:hAnsi="Times New Roman"/>
          <w:b/>
          <w:bCs/>
          <w:sz w:val="24"/>
          <w:szCs w:val="24"/>
        </w:rPr>
        <w:t xml:space="preserve">It’s amazing what “weak” arguments employer’s workers comp. representatives sometimes make to avoid liability. </w:t>
      </w:r>
    </w:p>
    <w:p w14:paraId="1462041B" w14:textId="77777777" w:rsidR="00FE60DA" w:rsidRPr="00FE60DA" w:rsidRDefault="00FE60DA" w:rsidP="00853142">
      <w:pPr>
        <w:rPr>
          <w:rFonts w:ascii="Arial Black" w:hAnsi="Arial Black"/>
          <w:b/>
          <w:bCs/>
          <w:sz w:val="24"/>
          <w:szCs w:val="24"/>
        </w:rPr>
      </w:pPr>
    </w:p>
    <w:p w14:paraId="0465755D" w14:textId="77777777" w:rsidR="00FE60DA" w:rsidRDefault="00FE60DA" w:rsidP="00853142">
      <w:pPr>
        <w:rPr>
          <w:rFonts w:ascii="Arial Black" w:hAnsi="Arial Black"/>
          <w:sz w:val="24"/>
          <w:szCs w:val="24"/>
        </w:rPr>
      </w:pPr>
    </w:p>
    <w:p w14:paraId="0E7E6A53" w14:textId="77777777" w:rsidR="00FE60DA" w:rsidRDefault="00FE60DA" w:rsidP="00853142">
      <w:pPr>
        <w:rPr>
          <w:rFonts w:ascii="Arial Black" w:hAnsi="Arial Black"/>
          <w:sz w:val="24"/>
          <w:szCs w:val="24"/>
        </w:rPr>
      </w:pPr>
    </w:p>
    <w:p w14:paraId="119A4B9B" w14:textId="3FC4B487" w:rsidR="00DC17BF" w:rsidRPr="00DC17BF" w:rsidRDefault="00DC17BF" w:rsidP="00853142">
      <w:pPr>
        <w:rPr>
          <w:rFonts w:ascii="Arial Black" w:hAnsi="Arial Black"/>
          <w:sz w:val="24"/>
          <w:szCs w:val="24"/>
        </w:rPr>
      </w:pPr>
      <w:r w:rsidRPr="00DC17BF">
        <w:rPr>
          <w:rFonts w:ascii="Arial Black" w:hAnsi="Arial Black"/>
          <w:sz w:val="24"/>
          <w:szCs w:val="24"/>
        </w:rPr>
        <w:t>2-5</w:t>
      </w:r>
      <w:r w:rsidR="00BB73D4">
        <w:rPr>
          <w:rFonts w:ascii="Arial Black" w:hAnsi="Arial Black"/>
          <w:sz w:val="24"/>
          <w:szCs w:val="24"/>
        </w:rPr>
        <w:t>4</w:t>
      </w:r>
    </w:p>
    <w:p w14:paraId="58CC1446" w14:textId="77777777" w:rsidR="00DC17BF" w:rsidRPr="007B16B3" w:rsidRDefault="00DC17BF" w:rsidP="00DC17BF">
      <w:pPr>
        <w:pStyle w:val="NormalWeb"/>
        <w:rPr>
          <w:rFonts w:ascii="Arial Black" w:hAnsi="Arial Black"/>
          <w:b/>
          <w:bCs/>
          <w:sz w:val="28"/>
          <w:szCs w:val="28"/>
        </w:rPr>
      </w:pPr>
      <w:bookmarkStart w:id="92" w:name="_Hlk136858036"/>
      <w:r>
        <w:rPr>
          <w:rFonts w:ascii="Arial Black" w:hAnsi="Arial Black"/>
          <w:b/>
          <w:bCs/>
          <w:sz w:val="28"/>
          <w:szCs w:val="28"/>
        </w:rPr>
        <w:t>IL: FF CANCER - LINE-OF-DUTY DISABILTY PENSION WITH HEALTH INSURANCE - EVEN OFF-DUTY JOBS EXPOSURES</w:t>
      </w:r>
    </w:p>
    <w:bookmarkEnd w:id="92"/>
    <w:p w14:paraId="28329D85" w14:textId="77777777" w:rsidR="00DC17BF" w:rsidRPr="00DC17BF" w:rsidRDefault="00DC17BF" w:rsidP="00DC17BF">
      <w:pPr>
        <w:pStyle w:val="NormalWeb"/>
      </w:pPr>
      <w:r w:rsidRPr="00DC17BF">
        <w:t xml:space="preserve">On May 22, 2023, in </w:t>
      </w:r>
      <w:r w:rsidRPr="00DC17BF">
        <w:rPr>
          <w:u w:val="single"/>
        </w:rPr>
        <w:t xml:space="preserve">James </w:t>
      </w:r>
      <w:proofErr w:type="spellStart"/>
      <w:r w:rsidRPr="00DC17BF">
        <w:rPr>
          <w:u w:val="single"/>
        </w:rPr>
        <w:t>Ivetic</w:t>
      </w:r>
      <w:proofErr w:type="spellEnd"/>
      <w:r w:rsidRPr="00DC17BF">
        <w:rPr>
          <w:u w:val="single"/>
        </w:rPr>
        <w:t xml:space="preserve"> et al. v. The Bensenville Fire Protection District No. 2</w:t>
      </w:r>
      <w:r w:rsidRPr="00DC17BF">
        <w:t xml:space="preserve">, the Court of Appeals of Illinois, First District, First Division, held (3 to 0) that the firefighter and his wife were entitled to health insurance premium benefits.  The Court wrote: </w:t>
      </w:r>
    </w:p>
    <w:p w14:paraId="1E7E4B07" w14:textId="38D1B3DC" w:rsidR="00DC17BF" w:rsidRDefault="00DC17BF" w:rsidP="00DC17BF">
      <w:pPr>
        <w:pStyle w:val="NoSpacing"/>
        <w:rPr>
          <w:rStyle w:val="Hyperlink"/>
          <w:rFonts w:ascii="Times New Roman" w:eastAsiaTheme="majorEastAsia" w:hAnsi="Times New Roman"/>
          <w:sz w:val="24"/>
          <w:szCs w:val="24"/>
        </w:rPr>
      </w:pPr>
      <w:r w:rsidRPr="00DC17BF">
        <w:rPr>
          <w:rFonts w:ascii="Times New Roman" w:hAnsi="Times New Roman"/>
          <w:sz w:val="24"/>
          <w:szCs w:val="24"/>
        </w:rPr>
        <w:t xml:space="preserve">“The Pension Board held a hearing on James' pension application beginning on September 18, 2015. The evidence showed that James worked at a restaurant and a grocery store prior to becoming a firefighter. </w:t>
      </w:r>
      <w:r w:rsidRPr="00DC17BF">
        <w:rPr>
          <w:rFonts w:ascii="Times New Roman" w:hAnsi="Times New Roman"/>
          <w:sz w:val="24"/>
          <w:szCs w:val="24"/>
        </w:rPr>
        <w:lastRenderedPageBreak/>
        <w:t xml:space="preserve">Additionally, during his career as a firefighter, James worked </w:t>
      </w:r>
      <w:proofErr w:type="gramStart"/>
      <w:r w:rsidRPr="00DC17BF">
        <w:rPr>
          <w:rFonts w:ascii="Times New Roman" w:hAnsi="Times New Roman"/>
          <w:sz w:val="24"/>
          <w:szCs w:val="24"/>
        </w:rPr>
        <w:t>a number of</w:t>
      </w:r>
      <w:proofErr w:type="gramEnd"/>
      <w:r w:rsidRPr="00DC17BF">
        <w:rPr>
          <w:rFonts w:ascii="Times New Roman" w:hAnsi="Times New Roman"/>
          <w:sz w:val="24"/>
          <w:szCs w:val="24"/>
        </w:rPr>
        <w:t xml:space="preserve"> part-time jobs, including being taxi and truck drivers and remodeling homes. James admitted that he was likely exposed to some chemicals from his part-time jobs, like oil-based paints and wallpaper removing chemicals. *** Here, the District essentially argues that James cannot satisfy the emergency prong of section 10 because there was no evidence of a direct cause of his cancer. Stated differently, </w:t>
      </w:r>
      <w:proofErr w:type="gramStart"/>
      <w:r w:rsidRPr="00DC17BF">
        <w:rPr>
          <w:rFonts w:ascii="Times New Roman" w:hAnsi="Times New Roman"/>
          <w:sz w:val="24"/>
          <w:szCs w:val="24"/>
        </w:rPr>
        <w:t>in order to</w:t>
      </w:r>
      <w:proofErr w:type="gramEnd"/>
      <w:r w:rsidRPr="00DC17BF">
        <w:rPr>
          <w:rFonts w:ascii="Times New Roman" w:hAnsi="Times New Roman"/>
          <w:sz w:val="24"/>
          <w:szCs w:val="24"/>
        </w:rPr>
        <w:t xml:space="preserve"> recover benefits under the Act, James had to prove that his injury was received during an emergency response and that it was the sole cause of his cancer. This argument, however, ignores </w:t>
      </w:r>
      <w:proofErr w:type="gramStart"/>
      <w:r w:rsidRPr="00DC17BF">
        <w:rPr>
          <w:rFonts w:ascii="Times New Roman" w:hAnsi="Times New Roman"/>
          <w:sz w:val="24"/>
          <w:szCs w:val="24"/>
        </w:rPr>
        <w:t xml:space="preserve">that ‘[a]n </w:t>
      </w:r>
      <w:proofErr w:type="gramEnd"/>
      <w:r w:rsidRPr="00DC17BF">
        <w:rPr>
          <w:rFonts w:ascii="Times New Roman" w:hAnsi="Times New Roman"/>
          <w:sz w:val="24"/>
          <w:szCs w:val="24"/>
        </w:rPr>
        <w:t xml:space="preserve">injury may have more than one proximate cause.’ (Internal quotation marks omitted.) </w:t>
      </w:r>
      <w:r w:rsidRPr="00DC17BF">
        <w:rPr>
          <w:rStyle w:val="Emphasis"/>
          <w:rFonts w:ascii="Times New Roman" w:hAnsi="Times New Roman"/>
          <w:sz w:val="24"/>
          <w:szCs w:val="24"/>
        </w:rPr>
        <w:t>Richter v. Village of Oak Brook</w:t>
      </w:r>
      <w:r w:rsidRPr="00DC17BF">
        <w:rPr>
          <w:rFonts w:ascii="Times New Roman" w:hAnsi="Times New Roman"/>
          <w:sz w:val="24"/>
          <w:szCs w:val="24"/>
        </w:rPr>
        <w:t xml:space="preserve">, 2011 IL App (2d) 100114, ¶ 21. Under Illinois law, proximate cause is defined as a cause that, in the natural or ordinary course of events, produced the plaintiff's injury, but a cause need not be the only, last, or nearest cause; rather, the combination of multiple causes may result in the injury.” </w:t>
      </w:r>
      <w:hyperlink r:id="rId490" w:history="1">
        <w:r w:rsidRPr="00DC17BF">
          <w:rPr>
            <w:rStyle w:val="Hyperlink"/>
            <w:rFonts w:ascii="Times New Roman" w:eastAsiaTheme="majorEastAsia" w:hAnsi="Times New Roman"/>
            <w:sz w:val="24"/>
            <w:szCs w:val="24"/>
          </w:rPr>
          <w:t>https://public.fastcase.com/ZZhmr5v9wN%2FXOe5IsQ%2FqDy4piE023A%2FvmSBZ1OCyQDEvBrcypTxVYbDuh3sY1MRUTGEZ3quKqv94bkTO%2F3v9wUJnk5dj4IB3vpOq4w%2BY%2Blk%3D?utm_medium=email&amp;_hsmi=226712652&amp;_hsenc=p2ANqtz-8dDlTMCBDdR7Y6gBwCrwIFOUd7uQb6M2Q9eK5s_ERy0q0NLXHPkcRz9CocUT1WV-MgV98KLfaLWIoQPZBtf1lJjMQcjw&amp;utm_content=226712652&amp;utm_source=hs_email</w:t>
        </w:r>
      </w:hyperlink>
    </w:p>
    <w:p w14:paraId="04E691BD" w14:textId="77777777" w:rsidR="00DC17BF" w:rsidRDefault="00DC17BF" w:rsidP="00DC17BF">
      <w:pPr>
        <w:pStyle w:val="NoSpacing"/>
        <w:rPr>
          <w:rStyle w:val="Hyperlink"/>
          <w:rFonts w:ascii="Times New Roman" w:eastAsiaTheme="majorEastAsia" w:hAnsi="Times New Roman"/>
          <w:sz w:val="24"/>
          <w:szCs w:val="24"/>
        </w:rPr>
      </w:pPr>
    </w:p>
    <w:p w14:paraId="6BFCE5CF" w14:textId="77777777" w:rsidR="00DC17BF" w:rsidRPr="00287115" w:rsidRDefault="00DC17BF" w:rsidP="00DC17BF">
      <w:pPr>
        <w:pStyle w:val="NormalWeb"/>
        <w:rPr>
          <w:b/>
          <w:bCs/>
        </w:rPr>
      </w:pPr>
      <w:r w:rsidRPr="00287115">
        <w:rPr>
          <w:b/>
          <w:bCs/>
        </w:rPr>
        <w:t xml:space="preserve">Legal Lesson Learned: Under Illinois statute, and case law, there is no requirement that </w:t>
      </w:r>
      <w:proofErr w:type="gramStart"/>
      <w:r w:rsidRPr="00287115">
        <w:rPr>
          <w:b/>
          <w:bCs/>
        </w:rPr>
        <w:t>firefighter</w:t>
      </w:r>
      <w:proofErr w:type="gramEnd"/>
      <w:r w:rsidRPr="00287115">
        <w:rPr>
          <w:b/>
          <w:bCs/>
        </w:rPr>
        <w:t xml:space="preserve"> prove a specific emergency run was the cause of cancer. </w:t>
      </w:r>
    </w:p>
    <w:p w14:paraId="6A0C1134" w14:textId="77777777" w:rsidR="00DC17BF" w:rsidRPr="00DC17BF" w:rsidRDefault="00DC17BF" w:rsidP="00DC17BF">
      <w:pPr>
        <w:pStyle w:val="NoSpacing"/>
        <w:rPr>
          <w:rFonts w:ascii="Times New Roman" w:hAnsi="Times New Roman"/>
          <w:sz w:val="24"/>
          <w:szCs w:val="24"/>
        </w:rPr>
      </w:pPr>
    </w:p>
    <w:p w14:paraId="20756D90" w14:textId="77777777" w:rsidR="00DC17BF" w:rsidRDefault="00DC17BF" w:rsidP="00EF1133">
      <w:pPr>
        <w:pStyle w:val="NoSpacing"/>
        <w:rPr>
          <w:rFonts w:ascii="Arial Black" w:hAnsi="Arial Black"/>
          <w:sz w:val="24"/>
          <w:szCs w:val="24"/>
        </w:rPr>
      </w:pPr>
    </w:p>
    <w:p w14:paraId="69AEBD4D" w14:textId="41BFFDA8" w:rsidR="007A0E71" w:rsidRDefault="007A0E71" w:rsidP="00EF1133">
      <w:pPr>
        <w:pStyle w:val="NoSpacing"/>
        <w:rPr>
          <w:rFonts w:ascii="Arial Black" w:hAnsi="Arial Black"/>
          <w:sz w:val="24"/>
          <w:szCs w:val="24"/>
        </w:rPr>
      </w:pPr>
      <w:r>
        <w:rPr>
          <w:rFonts w:ascii="Arial Black" w:hAnsi="Arial Black"/>
          <w:sz w:val="24"/>
          <w:szCs w:val="24"/>
        </w:rPr>
        <w:t>2-5</w:t>
      </w:r>
      <w:r w:rsidR="00BB73D4">
        <w:rPr>
          <w:rFonts w:ascii="Arial Black" w:hAnsi="Arial Black"/>
          <w:sz w:val="24"/>
          <w:szCs w:val="24"/>
        </w:rPr>
        <w:t>3</w:t>
      </w:r>
    </w:p>
    <w:p w14:paraId="2035D518" w14:textId="77777777" w:rsidR="007A0E71" w:rsidRPr="00B8618D" w:rsidRDefault="007A0E71" w:rsidP="007A0E71">
      <w:pPr>
        <w:pStyle w:val="NormalWeb"/>
        <w:rPr>
          <w:rFonts w:ascii="Arial Black" w:hAnsi="Arial Black"/>
          <w:sz w:val="28"/>
          <w:szCs w:val="28"/>
        </w:rPr>
      </w:pPr>
      <w:r>
        <w:rPr>
          <w:rFonts w:ascii="Arial Black" w:hAnsi="Arial Black"/>
          <w:sz w:val="28"/>
          <w:szCs w:val="28"/>
        </w:rPr>
        <w:t>WV (4/10.2023) – VOL. FF WATERTAKER LOST CONTROL – DIED – WIFE DEATH BENEFITS – CARDIAC NOT PROVEN</w:t>
      </w:r>
    </w:p>
    <w:p w14:paraId="4C3CCC4A" w14:textId="77777777" w:rsidR="007A0E71" w:rsidRPr="008D3008" w:rsidRDefault="007A0E71" w:rsidP="007A0E71">
      <w:pPr>
        <w:pStyle w:val="NormalWeb"/>
      </w:pPr>
      <w:r w:rsidRPr="008D3008">
        <w:rPr>
          <w:u w:val="single"/>
        </w:rPr>
        <w:t>Clover-Roane Volunteer Fire Department v. Sarah Horwich, dependent of Mark Horwich</w:t>
      </w:r>
      <w:r w:rsidRPr="008D3008">
        <w:t>, Intermediate Court of Appeals of West Virginia</w:t>
      </w:r>
      <w:r>
        <w:t xml:space="preserve">. </w:t>
      </w:r>
      <w:hyperlink r:id="rId491" w:history="1">
        <w:r w:rsidRPr="003E63F4">
          <w:rPr>
            <w:rStyle w:val="Hyperlink"/>
            <w:rFonts w:eastAsiaTheme="majorEastAsia"/>
          </w:rPr>
          <w:t>http://courtswv.gov/Intermediate-Court/memo-decisions/Spring2023/22-ICA-216%20md.pdf</w:t>
        </w:r>
      </w:hyperlink>
      <w:r>
        <w:t xml:space="preserve"> </w:t>
      </w:r>
    </w:p>
    <w:p w14:paraId="2BE20572" w14:textId="77777777" w:rsidR="007A0E71" w:rsidRPr="00B8618D" w:rsidRDefault="007A0E71" w:rsidP="007A0E71">
      <w:pPr>
        <w:pStyle w:val="NormalWeb"/>
        <w:rPr>
          <w:b/>
          <w:bCs/>
        </w:rPr>
      </w:pPr>
      <w:r w:rsidRPr="00B8618D">
        <w:rPr>
          <w:b/>
          <w:bCs/>
        </w:rPr>
        <w:t xml:space="preserve">Legal Lesson Learned: Courts will not overturn Workers Comp Board unless decision is clearly wrong. </w:t>
      </w:r>
    </w:p>
    <w:p w14:paraId="6C07B3BC" w14:textId="18F7ADE6" w:rsidR="007A0E71" w:rsidRDefault="007A0E71" w:rsidP="007A0E71">
      <w:pPr>
        <w:pStyle w:val="NoSpacing"/>
        <w:rPr>
          <w:rFonts w:ascii="Arial Black" w:hAnsi="Arial Black"/>
          <w:sz w:val="24"/>
          <w:szCs w:val="24"/>
        </w:rPr>
      </w:pPr>
      <w:r w:rsidRPr="00941D1F">
        <w:rPr>
          <w:sz w:val="24"/>
          <w:szCs w:val="24"/>
        </w:rPr>
        <w:t xml:space="preserve">Note: See Jan. 13, </w:t>
      </w:r>
      <w:proofErr w:type="gramStart"/>
      <w:r w:rsidRPr="00941D1F">
        <w:rPr>
          <w:sz w:val="24"/>
          <w:szCs w:val="24"/>
        </w:rPr>
        <w:t>2020</w:t>
      </w:r>
      <w:proofErr w:type="gramEnd"/>
      <w:r w:rsidRPr="00941D1F">
        <w:rPr>
          <w:sz w:val="24"/>
          <w:szCs w:val="24"/>
        </w:rPr>
        <w:t xml:space="preserve"> article, </w:t>
      </w:r>
      <w:r>
        <w:rPr>
          <w:sz w:val="24"/>
          <w:szCs w:val="24"/>
        </w:rPr>
        <w:t>“</w:t>
      </w:r>
      <w:r w:rsidRPr="00941D1F">
        <w:rPr>
          <w:sz w:val="24"/>
          <w:szCs w:val="24"/>
        </w:rPr>
        <w:t>West Virginia firefighter killed in crash while responding to fire.</w:t>
      </w:r>
      <w:r>
        <w:rPr>
          <w:sz w:val="24"/>
          <w:szCs w:val="24"/>
        </w:rPr>
        <w:t xml:space="preserve">” </w:t>
      </w:r>
      <w:hyperlink r:id="rId492" w:history="1">
        <w:r w:rsidRPr="00297A44">
          <w:rPr>
            <w:rStyle w:val="Hyperlink"/>
            <w:sz w:val="24"/>
            <w:szCs w:val="24"/>
          </w:rPr>
          <w:t>https://www.whsv.com/content/news/West-Virginia-firefighter-killed-in-crash-while-responding-to-fire-566946181.html</w:t>
        </w:r>
      </w:hyperlink>
    </w:p>
    <w:p w14:paraId="1488CA4B" w14:textId="77777777" w:rsidR="007A0E71" w:rsidRDefault="007A0E71" w:rsidP="00EF1133">
      <w:pPr>
        <w:pStyle w:val="NoSpacing"/>
        <w:rPr>
          <w:rFonts w:ascii="Arial Black" w:hAnsi="Arial Black"/>
          <w:sz w:val="24"/>
          <w:szCs w:val="24"/>
        </w:rPr>
      </w:pPr>
    </w:p>
    <w:p w14:paraId="129D718C" w14:textId="4081601C" w:rsidR="007959C9" w:rsidRDefault="00AB637D" w:rsidP="00EF1133">
      <w:pPr>
        <w:pStyle w:val="NoSpacing"/>
        <w:rPr>
          <w:rFonts w:ascii="Arial Black" w:hAnsi="Arial Black"/>
          <w:sz w:val="24"/>
          <w:szCs w:val="24"/>
        </w:rPr>
      </w:pPr>
      <w:r>
        <w:rPr>
          <w:rFonts w:ascii="Arial Black" w:hAnsi="Arial Black"/>
          <w:sz w:val="24"/>
          <w:szCs w:val="24"/>
        </w:rPr>
        <w:t>2-5</w:t>
      </w:r>
      <w:r w:rsidR="00BB73D4">
        <w:rPr>
          <w:rFonts w:ascii="Arial Black" w:hAnsi="Arial Black"/>
          <w:sz w:val="24"/>
          <w:szCs w:val="24"/>
        </w:rPr>
        <w:t>2</w:t>
      </w:r>
    </w:p>
    <w:p w14:paraId="23D2A18D" w14:textId="7C25644F" w:rsidR="00AB637D" w:rsidRDefault="00AB637D" w:rsidP="00EF1133">
      <w:pPr>
        <w:pStyle w:val="NoSpacing"/>
        <w:rPr>
          <w:rFonts w:ascii="Arial Black" w:hAnsi="Arial Black"/>
          <w:sz w:val="24"/>
          <w:szCs w:val="24"/>
        </w:rPr>
      </w:pPr>
    </w:p>
    <w:p w14:paraId="503A737E" w14:textId="77777777" w:rsidR="00AB637D" w:rsidRPr="00144FC9" w:rsidRDefault="00AB637D" w:rsidP="00AB637D">
      <w:pPr>
        <w:pStyle w:val="Heading1"/>
        <w:rPr>
          <w:rFonts w:ascii="Arial Black" w:hAnsi="Arial Black"/>
          <w:sz w:val="28"/>
          <w:szCs w:val="28"/>
        </w:rPr>
      </w:pPr>
      <w:r>
        <w:rPr>
          <w:rFonts w:ascii="Arial Black" w:hAnsi="Arial Black"/>
          <w:sz w:val="28"/>
          <w:szCs w:val="28"/>
        </w:rPr>
        <w:t>FL: JACKSONVILLE FD - NO BEARD RULE UPHELD – OSHA REQUIREMENT - BLACK FIREFIGHTERS CASE DISMISSED</w:t>
      </w:r>
    </w:p>
    <w:p w14:paraId="6D6D9185" w14:textId="77777777" w:rsidR="00AB637D" w:rsidRDefault="00AB637D" w:rsidP="00AB637D">
      <w:pPr>
        <w:pStyle w:val="Heading1"/>
        <w:rPr>
          <w:b w:val="0"/>
          <w:bCs w:val="0"/>
          <w:sz w:val="24"/>
          <w:szCs w:val="24"/>
        </w:rPr>
      </w:pPr>
      <w:r>
        <w:rPr>
          <w:b w:val="0"/>
          <w:bCs w:val="0"/>
          <w:sz w:val="24"/>
          <w:szCs w:val="24"/>
        </w:rPr>
        <w:t xml:space="preserve">On Jan. 13, 2023, in </w:t>
      </w:r>
      <w:r w:rsidRPr="00144FC9">
        <w:rPr>
          <w:b w:val="0"/>
          <w:bCs w:val="0"/>
          <w:sz w:val="24"/>
          <w:szCs w:val="24"/>
          <w:u w:val="single"/>
        </w:rPr>
        <w:t>Terrance Jones v. City of Jacksonville</w:t>
      </w:r>
      <w:r>
        <w:rPr>
          <w:b w:val="0"/>
          <w:bCs w:val="0"/>
          <w:sz w:val="24"/>
          <w:szCs w:val="24"/>
        </w:rPr>
        <w:t xml:space="preserve">, U.S. District Court Judge Harvey E. Schlesinger granted summary judgment to the City of Jacksonville.  The judge wrote: “Title VII does not require employers to depart from binding federal regulations…. Binding federal {OSHA] regulations present a complete defense…. The OSHA regulation in question strictly prohibits any facial hair between the mask and the wearer’s face. Thus, any proposed alternative involving even a scant amount of facial hair would not be an </w:t>
      </w:r>
      <w:r>
        <w:rPr>
          <w:b w:val="0"/>
          <w:bCs w:val="0"/>
          <w:sz w:val="24"/>
          <w:szCs w:val="24"/>
        </w:rPr>
        <w:lastRenderedPageBreak/>
        <w:t xml:space="preserve">available </w:t>
      </w:r>
      <w:proofErr w:type="gramStart"/>
      <w:r>
        <w:rPr>
          <w:b w:val="0"/>
          <w:bCs w:val="0"/>
          <w:sz w:val="24"/>
          <w:szCs w:val="24"/>
        </w:rPr>
        <w:t>alternative.”</w:t>
      </w:r>
      <w:proofErr w:type="gramEnd"/>
      <w:r>
        <w:rPr>
          <w:b w:val="0"/>
          <w:bCs w:val="0"/>
          <w:sz w:val="24"/>
          <w:szCs w:val="24"/>
        </w:rPr>
        <w:t xml:space="preserve"> </w:t>
      </w:r>
      <w:hyperlink r:id="rId493" w:history="1">
        <w:r w:rsidRPr="00CE4DCE">
          <w:rPr>
            <w:rStyle w:val="Hyperlink"/>
            <w:rFonts w:eastAsiaTheme="majorEastAsia"/>
            <w:b w:val="0"/>
            <w:bCs w:val="0"/>
            <w:sz w:val="24"/>
            <w:szCs w:val="24"/>
          </w:rPr>
          <w:t>https://www.documentcloud.org/documents/23589006-firefighter-suit-terrance-jones-et-al-v-coj-order-finalizing-case011323</w:t>
        </w:r>
      </w:hyperlink>
      <w:r>
        <w:rPr>
          <w:b w:val="0"/>
          <w:bCs w:val="0"/>
          <w:sz w:val="24"/>
          <w:szCs w:val="24"/>
        </w:rPr>
        <w:t xml:space="preserve"> </w:t>
      </w:r>
    </w:p>
    <w:p w14:paraId="1F7498F9" w14:textId="77777777" w:rsidR="00AB637D" w:rsidRPr="005B4DF7" w:rsidRDefault="00AB637D" w:rsidP="00AB637D">
      <w:pPr>
        <w:pStyle w:val="NormalWeb"/>
      </w:pPr>
      <w:r w:rsidRPr="005B4DF7">
        <w:t xml:space="preserve">See Jan. 31, </w:t>
      </w:r>
      <w:proofErr w:type="gramStart"/>
      <w:r w:rsidRPr="005B4DF7">
        <w:t>2023</w:t>
      </w:r>
      <w:proofErr w:type="gramEnd"/>
      <w:r w:rsidRPr="005B4DF7">
        <w:t xml:space="preserve"> newspaper description of case. “Black firefighters who sued Jacksonville for requiring them to shave lost case.” </w:t>
      </w:r>
      <w:hyperlink r:id="rId494" w:history="1">
        <w:r w:rsidRPr="005B4DF7">
          <w:rPr>
            <w:rStyle w:val="Hyperlink"/>
            <w:rFonts w:eastAsiaTheme="majorEastAsia"/>
          </w:rPr>
          <w:t>https://www.firstcoastnews.com/article/news/local/judge-jacksonville-has-mechanism-to-deviate-from-rule-making-black-firefighters-shave/77-7e962b25-bfed-4f9c-817e-ba6883a1f94b</w:t>
        </w:r>
      </w:hyperlink>
      <w:r w:rsidRPr="005B4DF7">
        <w:t xml:space="preserve"> </w:t>
      </w:r>
    </w:p>
    <w:p w14:paraId="571D5376" w14:textId="77777777" w:rsidR="00AB637D" w:rsidRDefault="00AB637D" w:rsidP="00AB637D">
      <w:pPr>
        <w:pStyle w:val="NormalWeb"/>
        <w:ind w:left="720"/>
      </w:pPr>
      <w:r w:rsidRPr="005B4DF7">
        <w:t>“The firefighters went to court in 2020 arguing the fire department was wrongly burdening Black firefighters by requiring them to be cleanshaven even if they had a condition called </w:t>
      </w:r>
      <w:hyperlink r:id="rId495" w:history="1">
        <w:r w:rsidRPr="005B4DF7">
          <w:rPr>
            <w:rStyle w:val="Hyperlink"/>
            <w:rFonts w:eastAsiaTheme="majorEastAsia"/>
          </w:rPr>
          <w:t>pseudofolliculitis barbae</w:t>
        </w:r>
      </w:hyperlink>
      <w:r w:rsidRPr="005B4DF7">
        <w:t xml:space="preserve">, or PFB, which can involve ingrown hairs, irritated skin and scarring.*** “At issue is whether the city discriminated against plaintiffs when it required firefighters with PFB, which primarily affects African American men, to be cleanshaven,” U.S. Senior District Judge </w:t>
      </w:r>
      <w:hyperlink r:id="rId496" w:history="1">
        <w:r w:rsidRPr="005B4DF7">
          <w:rPr>
            <w:rStyle w:val="Hyperlink"/>
            <w:rFonts w:eastAsiaTheme="majorEastAsia"/>
          </w:rPr>
          <w:t>Harvey Schlesinger</w:t>
        </w:r>
      </w:hyperlink>
      <w:r w:rsidRPr="005B4DF7">
        <w:t xml:space="preserve"> wrote this month in </w:t>
      </w:r>
      <w:hyperlink r:id="rId497" w:history="1">
        <w:r w:rsidRPr="005B4DF7">
          <w:rPr>
            <w:rStyle w:val="Hyperlink"/>
            <w:rFonts w:eastAsiaTheme="majorEastAsia"/>
          </w:rPr>
          <w:t>an order</w:t>
        </w:r>
      </w:hyperlink>
      <w:r w:rsidRPr="005B4DF7">
        <w:t xml:space="preserve"> that ends the case. Thirty firefighters initially sued, saying they should be allowed to have close-trimmed beards that would be enough to avoid skin inflammation but wouldn’t harm the fit of oxygen masks their jobs require in emergency settings. *** The firefighters had argued the trimmed-bear standard they wanted counted as a “reasonable accommodation” for PFB under the Americans with Disabilities Act, but the ask “is not reasonable within the meaning of the ADA because it is specifically prohibited by a by a binding regulation,” Schlesinger concluded. “The federal regulations do not allow for individual consideration of facial hair,” the judge wrote. “…[I]t prohibits all facial hair. There is no mechanism for the city to deviate.” The city followed the exact accommodation the firefighters were seeking back in </w:t>
      </w:r>
      <w:proofErr w:type="gramStart"/>
      <w:r w:rsidRPr="005B4DF7">
        <w:t>2015, but</w:t>
      </w:r>
      <w:proofErr w:type="gramEnd"/>
      <w:r w:rsidRPr="005B4DF7">
        <w:t xml:space="preserve"> had </w:t>
      </w:r>
      <w:hyperlink r:id="rId498" w:history="1">
        <w:r w:rsidRPr="005B4DF7">
          <w:rPr>
            <w:rStyle w:val="Hyperlink"/>
            <w:rFonts w:eastAsiaTheme="majorEastAsia"/>
          </w:rPr>
          <w:t>backtracked in 2016</w:t>
        </w:r>
      </w:hyperlink>
      <w:r w:rsidRPr="005B4DF7">
        <w:t xml:space="preserve"> after city lawyers said that concession was improper. That had left the firefighters frustrated and confused, leading to attorneys in Jacksonville becoming part of a lengthening list of cities nationwide where rules on firefighter hair were decided by litigation.</w:t>
      </w:r>
      <w:r>
        <w:t>”</w:t>
      </w:r>
    </w:p>
    <w:p w14:paraId="1B17A8E4" w14:textId="77777777" w:rsidR="00AB637D" w:rsidRPr="00CA4868" w:rsidRDefault="00AB637D" w:rsidP="00AB637D">
      <w:pPr>
        <w:pStyle w:val="Heading1"/>
        <w:rPr>
          <w:sz w:val="24"/>
          <w:szCs w:val="24"/>
        </w:rPr>
      </w:pPr>
      <w:r>
        <w:rPr>
          <w:sz w:val="24"/>
          <w:szCs w:val="24"/>
        </w:rPr>
        <w:t xml:space="preserve">Legal Lesson Learned: Fire Departments must follow OSHA regulation. </w:t>
      </w:r>
    </w:p>
    <w:p w14:paraId="41861758" w14:textId="77777777" w:rsidR="00AB637D" w:rsidRDefault="00AB637D" w:rsidP="00EF1133">
      <w:pPr>
        <w:pStyle w:val="NoSpacing"/>
        <w:rPr>
          <w:rFonts w:ascii="Arial Black" w:hAnsi="Arial Black"/>
          <w:sz w:val="24"/>
          <w:szCs w:val="24"/>
        </w:rPr>
      </w:pPr>
    </w:p>
    <w:p w14:paraId="3C32912F" w14:textId="7AF880FA" w:rsidR="00AB637D" w:rsidRDefault="00AB637D" w:rsidP="00EF1133">
      <w:pPr>
        <w:pStyle w:val="NoSpacing"/>
        <w:rPr>
          <w:rFonts w:ascii="Arial Black" w:hAnsi="Arial Black"/>
          <w:sz w:val="24"/>
          <w:szCs w:val="24"/>
        </w:rPr>
      </w:pPr>
    </w:p>
    <w:p w14:paraId="2A78ECE9" w14:textId="77777777" w:rsidR="00AB637D" w:rsidRDefault="00AB637D" w:rsidP="00EF1133">
      <w:pPr>
        <w:pStyle w:val="NoSpacing"/>
        <w:rPr>
          <w:rFonts w:ascii="Arial Black" w:hAnsi="Arial Black"/>
          <w:sz w:val="24"/>
          <w:szCs w:val="24"/>
        </w:rPr>
      </w:pPr>
    </w:p>
    <w:p w14:paraId="1FCCFD10" w14:textId="4BBB8392" w:rsidR="007959C9" w:rsidRDefault="007959C9" w:rsidP="00EF1133">
      <w:pPr>
        <w:pStyle w:val="NoSpacing"/>
        <w:rPr>
          <w:rFonts w:ascii="Arial Black" w:hAnsi="Arial Black"/>
          <w:sz w:val="24"/>
          <w:szCs w:val="24"/>
        </w:rPr>
      </w:pPr>
      <w:r>
        <w:rPr>
          <w:rFonts w:ascii="Arial Black" w:hAnsi="Arial Black"/>
          <w:sz w:val="24"/>
          <w:szCs w:val="24"/>
        </w:rPr>
        <w:t>2-5</w:t>
      </w:r>
      <w:r w:rsidR="00BB73D4">
        <w:rPr>
          <w:rFonts w:ascii="Arial Black" w:hAnsi="Arial Black"/>
          <w:sz w:val="24"/>
          <w:szCs w:val="24"/>
        </w:rPr>
        <w:t>1</w:t>
      </w:r>
    </w:p>
    <w:p w14:paraId="3AE49DA7" w14:textId="77777777" w:rsidR="007959C9" w:rsidRPr="001D5000" w:rsidRDefault="007959C9" w:rsidP="007959C9">
      <w:pPr>
        <w:pStyle w:val="NormalWeb"/>
        <w:rPr>
          <w:rFonts w:ascii="Arial Black" w:hAnsi="Arial Black"/>
          <w:sz w:val="28"/>
          <w:szCs w:val="28"/>
        </w:rPr>
      </w:pPr>
      <w:r>
        <w:rPr>
          <w:rFonts w:ascii="Arial Black" w:hAnsi="Arial Black"/>
          <w:sz w:val="28"/>
          <w:szCs w:val="28"/>
        </w:rPr>
        <w:t>NJ: VOL. FF CLAIMED STRUCK BY CAR – INDICTED FOR INSURANCE FRAUD, NOT GUILTY – BOROUGH IMMUNITY</w:t>
      </w:r>
    </w:p>
    <w:p w14:paraId="6F80F1AC" w14:textId="77777777" w:rsidR="007959C9" w:rsidRDefault="007959C9" w:rsidP="007959C9">
      <w:pPr>
        <w:pStyle w:val="NormalWeb"/>
      </w:pPr>
      <w:r>
        <w:t xml:space="preserve">On Jan. 25, 2023, in </w:t>
      </w:r>
      <w:r w:rsidRPr="009C24E8">
        <w:rPr>
          <w:u w:val="single"/>
        </w:rPr>
        <w:t>Joseph Fehl v. Borough of Allington, et al</w:t>
      </w:r>
      <w:r>
        <w:t xml:space="preserve">., the U.S. Court of Appeals for the Third Circuit (Philadelphia), held (3 to 0) that U.S. District Court properly granted summary judgment to the Borough, its former business administrator, and Police Captain who investigated the claim.  “Drawing all reasonable inferences in Fehl's favor, we see no error in the District Court's analysis. The facts known to Kudlacik at the time of Fehl's arrest provided a sufficient basis to doubt Fehl's credibility and to believe he committed the </w:t>
      </w:r>
      <w:proofErr w:type="gramStart"/>
      <w:r>
        <w:t>charged crimes</w:t>
      </w:r>
      <w:proofErr w:type="gramEnd"/>
      <w:r>
        <w:t xml:space="preserve">. Contrast, for instance, Fehl's statement in his benefits application that he was struck by a car, with the absence of any corroborating physical evidence. Or take Fehl's claim that he suffered nerve damage from the accident-an injury that, according to a responding EMS lieutenant, conflicts with the extent and type of physical harm a victim would typically suffer in a hit-and-run. And Fehl changed his story, first claiming that a vehicle hit him, then conceding that he might have merely tripped and fallen. These facts are sufficient to find probable cause.” </w:t>
      </w:r>
      <w:hyperlink r:id="rId499" w:history="1">
        <w:r w:rsidRPr="001F75F8">
          <w:rPr>
            <w:rStyle w:val="Hyperlink"/>
          </w:rPr>
          <w:t>https://law.justia.com/cases/federal/appellate-courts/ca3/21-3019/21-3019-2023-01-25.html</w:t>
        </w:r>
      </w:hyperlink>
      <w:r>
        <w:t xml:space="preserve"> </w:t>
      </w:r>
    </w:p>
    <w:p w14:paraId="40C443CD" w14:textId="77777777" w:rsidR="007959C9" w:rsidRDefault="007959C9" w:rsidP="007959C9">
      <w:pPr>
        <w:pStyle w:val="NormalWeb"/>
        <w:ind w:left="720"/>
      </w:pPr>
      <w:r>
        <w:t xml:space="preserve">“Fehl served as a volunteer EMT and firefighter for the Borough of Wallington. He filed for worker's compensation, claiming he was "hit by [a] car" during an emergency response. App. 123. Kudlacik </w:t>
      </w:r>
      <w:proofErr w:type="gramStart"/>
      <w:r>
        <w:t>conducted an investigation</w:t>
      </w:r>
      <w:proofErr w:type="gramEnd"/>
      <w:r>
        <w:t xml:space="preserve"> that raised questions about Fehl's story, as it found no physical evidence, no indication of serious injury, and no vehicle matching the description Fehl provided. Nor did video from </w:t>
      </w:r>
      <w:r>
        <w:lastRenderedPageBreak/>
        <w:t xml:space="preserve">the scene show any vehicles in the area where the accident allegedly occurred. As a result, Fehl was indicted for criminal insurance fraud and tampering with public records. Following trial, a jury acquitted him of those charges. </w:t>
      </w:r>
    </w:p>
    <w:p w14:paraId="4469F41A" w14:textId="77777777" w:rsidR="007959C9" w:rsidRDefault="007959C9" w:rsidP="007959C9">
      <w:pPr>
        <w:pStyle w:val="NormalWeb"/>
        <w:ind w:left="720"/>
        <w:rPr>
          <w:vertAlign w:val="superscript"/>
        </w:rPr>
      </w:pPr>
      <w:r>
        <w:t>Based on the acquittal, Fehl sued Baginski, Kudlacik, the Borough, and the Bergen County Prosecutor's Office, asserting several claims arising from his arrest and prosecution.</w:t>
      </w:r>
      <w:r>
        <w:rPr>
          <w:vertAlign w:val="superscript"/>
        </w:rPr>
        <w:t xml:space="preserve"> </w:t>
      </w:r>
      <w:r>
        <w:t>The District Court granted the Defendants' motions for summary judgment, concluding their acts were supported by probable cause. Finding no error, we will affirm.</w:t>
      </w:r>
    </w:p>
    <w:p w14:paraId="2FC6611D" w14:textId="77777777" w:rsidR="007959C9" w:rsidRDefault="007959C9" w:rsidP="007959C9">
      <w:pPr>
        <w:pStyle w:val="NormalWeb"/>
        <w:ind w:left="720"/>
        <w:rPr>
          <w:vertAlign w:val="superscript"/>
        </w:rPr>
      </w:pPr>
      <w:r>
        <w:rPr>
          <w:vertAlign w:val="superscript"/>
        </w:rPr>
        <w:t>***</w:t>
      </w:r>
    </w:p>
    <w:p w14:paraId="68885CF1" w14:textId="77777777" w:rsidR="007959C9" w:rsidRDefault="007959C9" w:rsidP="007959C9">
      <w:pPr>
        <w:pStyle w:val="NormalWeb"/>
        <w:ind w:left="720"/>
      </w:pPr>
      <w:r>
        <w:t xml:space="preserve">Guilt in a criminal case must be proven beyond a reasonable doubt, a standard enforced by the rules of evidence. </w:t>
      </w:r>
      <w:r>
        <w:rPr>
          <w:rStyle w:val="Emphasis"/>
        </w:rPr>
        <w:t>Brinegar</w:t>
      </w:r>
      <w:r>
        <w:t xml:space="preserve">, 338 U.S. at 174. But probable cause imposes no such burden on the Government-rather, it demands that police officers find merely a "fair probability" that a crime was committed. </w:t>
      </w:r>
      <w:r>
        <w:rPr>
          <w:rStyle w:val="Emphasis"/>
        </w:rPr>
        <w:t>Dempsey</w:t>
      </w:r>
      <w:r>
        <w:t>, 834 F.3d at 467. That standard was satisfied at the time of Fehl's arrest, and the jury's verdict does not alter that finding.”</w:t>
      </w:r>
    </w:p>
    <w:p w14:paraId="5262675C" w14:textId="77777777" w:rsidR="007959C9" w:rsidRPr="009C24E8" w:rsidRDefault="007959C9" w:rsidP="007959C9">
      <w:pPr>
        <w:pStyle w:val="NormalWeb"/>
        <w:rPr>
          <w:b/>
          <w:bCs/>
        </w:rPr>
      </w:pPr>
      <w:r w:rsidRPr="009C24E8">
        <w:rPr>
          <w:b/>
          <w:bCs/>
        </w:rPr>
        <w:t>Legal Lesson Learned:</w:t>
      </w:r>
      <w:r>
        <w:rPr>
          <w:b/>
          <w:bCs/>
        </w:rPr>
        <w:t xml:space="preserve"> </w:t>
      </w:r>
      <w:proofErr w:type="gramStart"/>
      <w:r>
        <w:rPr>
          <w:b/>
          <w:bCs/>
        </w:rPr>
        <w:t>Workers</w:t>
      </w:r>
      <w:proofErr w:type="gramEnd"/>
      <w:r>
        <w:rPr>
          <w:b/>
          <w:bCs/>
        </w:rPr>
        <w:t xml:space="preserve"> comp claim, unsupported by physical or other evidence, can lead to indictment. </w:t>
      </w:r>
    </w:p>
    <w:p w14:paraId="3FD93D6A" w14:textId="0C15D3E4" w:rsidR="007959C9" w:rsidRDefault="007959C9" w:rsidP="00EF1133">
      <w:pPr>
        <w:pStyle w:val="NoSpacing"/>
        <w:rPr>
          <w:rFonts w:ascii="Arial Black" w:hAnsi="Arial Black"/>
          <w:sz w:val="24"/>
          <w:szCs w:val="24"/>
        </w:rPr>
      </w:pPr>
    </w:p>
    <w:p w14:paraId="7B6165A9" w14:textId="0A384A40" w:rsidR="007959C9" w:rsidRDefault="00A24839" w:rsidP="00EF1133">
      <w:pPr>
        <w:pStyle w:val="NoSpacing"/>
        <w:rPr>
          <w:rFonts w:ascii="Arial Black" w:hAnsi="Arial Black"/>
          <w:sz w:val="24"/>
          <w:szCs w:val="24"/>
        </w:rPr>
      </w:pPr>
      <w:r>
        <w:rPr>
          <w:rFonts w:ascii="Arial Black" w:hAnsi="Arial Black"/>
          <w:sz w:val="24"/>
          <w:szCs w:val="24"/>
        </w:rPr>
        <w:t>2-50</w:t>
      </w:r>
    </w:p>
    <w:p w14:paraId="7D2C3E35" w14:textId="77777777" w:rsidR="0029560A" w:rsidRDefault="0029560A" w:rsidP="0029560A">
      <w:pPr>
        <w:pStyle w:val="NormalWeb"/>
      </w:pPr>
      <w:r>
        <w:rPr>
          <w:rFonts w:ascii="Arial Black" w:hAnsi="Arial Black"/>
          <w:sz w:val="28"/>
          <w:szCs w:val="28"/>
        </w:rPr>
        <w:t>NJ: CAPT. INJURED - HOSE COUPLING OFF HYDRANT – PROBIE ERROR - CAN’T SUE, NO “SHOCK THE CONSCIOUS”</w:t>
      </w:r>
    </w:p>
    <w:p w14:paraId="255B8193" w14:textId="77777777" w:rsidR="0029560A" w:rsidRDefault="0029560A" w:rsidP="0029560A">
      <w:pPr>
        <w:pStyle w:val="NormalWeb"/>
      </w:pPr>
      <w:r>
        <w:t xml:space="preserve">On Jan. 9, 2023, in </w:t>
      </w:r>
      <w:r w:rsidRPr="002851C1">
        <w:rPr>
          <w:u w:val="single"/>
        </w:rPr>
        <w:t>Robert Eckert v. City of Camden</w:t>
      </w:r>
      <w:r>
        <w:t xml:space="preserve">, the Superior Court of New Jersey, Appellate Division, held (3 to 0) that trial court judge properly held that the </w:t>
      </w:r>
      <w:proofErr w:type="gramStart"/>
      <w:r>
        <w:t>Captain’s</w:t>
      </w:r>
      <w:proofErr w:type="gramEnd"/>
      <w:r>
        <w:t xml:space="preserve"> sole remedy is workers comp.  In </w:t>
      </w:r>
      <w:proofErr w:type="gramStart"/>
      <w:r>
        <w:t>May,</w:t>
      </w:r>
      <w:proofErr w:type="gramEnd"/>
      <w:r>
        <w:t xml:space="preserve"> 2017, FD hired 33 probationary FF, and assigned two to each engine company, instead of usual practice of only one.  On Jan. 31, 2018, at a fire scene the </w:t>
      </w:r>
      <w:proofErr w:type="gramStart"/>
      <w:r>
        <w:t>Captain</w:t>
      </w:r>
      <w:proofErr w:type="gramEnd"/>
      <w:r>
        <w:t xml:space="preserve"> was injured when a probationary FF apparently did not properly secure hose to a hydrant and coupling struck him in the head. The Court held: “Plaintiff here contends that it is sufficient to sustain a cause of action under the ‘state-created danger’ doctrine if the state actor acts with ‘willful disregard’ for the safety of another, even if that conduct or inaction does not ‘shock the conscience.’ We reject that argument.” </w:t>
      </w:r>
      <w:hyperlink r:id="rId500" w:history="1">
        <w:r w:rsidRPr="001F75F8">
          <w:rPr>
            <w:rStyle w:val="Hyperlink"/>
          </w:rPr>
          <w:t>https://www.njcourts.gov/sites/default/files/court-opinions/2023/a2431-20.pdf</w:t>
        </w:r>
      </w:hyperlink>
      <w:r>
        <w:t xml:space="preserve"> </w:t>
      </w:r>
    </w:p>
    <w:p w14:paraId="4286A3DE" w14:textId="77777777" w:rsidR="0029560A" w:rsidRDefault="0029560A" w:rsidP="0029560A">
      <w:pPr>
        <w:pStyle w:val="NormalWeb"/>
        <w:ind w:left="720"/>
      </w:pPr>
      <w:r>
        <w:t xml:space="preserve">“On January 31, 2018, plaintiff Robert Eckert, a captain in the City of Camden's Fire Department (Department), was injured responding to a fire along with two "probationary firefighters," </w:t>
      </w:r>
      <w:proofErr w:type="spellStart"/>
      <w:r>
        <w:t>Achabe</w:t>
      </w:r>
      <w:proofErr w:type="spellEnd"/>
      <w:r>
        <w:t xml:space="preserve"> Quinones and Jose A. Berrios, both recently transferred to plaintiff's fire company. Quinones and Berrios were two of thirty-three probationary firefighters hired in May 2017. In July, the Chief of the Department, Michael Harper, assigned two probationary firefighters to each of eight companies, including plaintiff's company.</w:t>
      </w:r>
    </w:p>
    <w:p w14:paraId="42494FB8" w14:textId="77777777" w:rsidR="0029560A" w:rsidRDefault="0029560A" w:rsidP="0029560A">
      <w:pPr>
        <w:pStyle w:val="NormalWeb"/>
        <w:ind w:left="720"/>
      </w:pPr>
      <w:r>
        <w:t>***</w:t>
      </w:r>
    </w:p>
    <w:p w14:paraId="1184180B" w14:textId="77777777" w:rsidR="0029560A" w:rsidRDefault="0029560A" w:rsidP="0029560A">
      <w:pPr>
        <w:pStyle w:val="NormalWeb"/>
        <w:ind w:left="720"/>
      </w:pPr>
      <w:r>
        <w:t xml:space="preserve">The president of the fire officers' union and captains other than plaintiff complained to Chief Harper about assigning more than one probationary firefighter to a company. Edward Glassman, a Deputy Chief of the Department who retired in 2020, certified that he was aware of </w:t>
      </w:r>
      <w:proofErr w:type="spellStart"/>
      <w:r>
        <w:t>Gforer's</w:t>
      </w:r>
      <w:proofErr w:type="spellEnd"/>
      <w:r>
        <w:t xml:space="preserve"> memorandum [17 years ago, Joseph Gforer, then Deputy Chief of Operations memo wrote that FD make every effort to only assign only one </w:t>
      </w:r>
      <w:proofErr w:type="spellStart"/>
      <w:r>
        <w:t>probie</w:t>
      </w:r>
      <w:proofErr w:type="spellEnd"/>
      <w:r>
        <w:t xml:space="preserve"> per engine company], and Chief Harper knew that captains and other officers in the Department were concerned that assigning two probationary firefighters to a company jeopardized </w:t>
      </w:r>
      <w:r>
        <w:lastRenderedPageBreak/>
        <w:t>the safety of other firefighters and the public. Glassman also asserted that probationary firefighters did not receive adequate training on ‘Camden-type hydrants.’</w:t>
      </w:r>
    </w:p>
    <w:p w14:paraId="139B1B71" w14:textId="77777777" w:rsidR="0029560A" w:rsidRDefault="0029560A" w:rsidP="0029560A">
      <w:pPr>
        <w:pStyle w:val="NormalWeb"/>
        <w:ind w:left="720"/>
      </w:pPr>
      <w:r>
        <w:t>***</w:t>
      </w:r>
    </w:p>
    <w:p w14:paraId="40786F6E" w14:textId="77777777" w:rsidR="0029560A" w:rsidRDefault="0029560A" w:rsidP="0029560A">
      <w:pPr>
        <w:pStyle w:val="NormalWeb"/>
        <w:ind w:left="720"/>
      </w:pPr>
      <w:r>
        <w:t>{P]</w:t>
      </w:r>
      <w:proofErr w:type="spellStart"/>
      <w:r>
        <w:t>laintiff</w:t>
      </w:r>
      <w:proofErr w:type="spellEnd"/>
      <w:r>
        <w:t xml:space="preserve"> fails to meet the second prong of </w:t>
      </w:r>
      <w:r>
        <w:rPr>
          <w:rStyle w:val="Emphasis"/>
        </w:rPr>
        <w:t>Gormley</w:t>
      </w:r>
      <w:r>
        <w:t xml:space="preserve">'s test because no reasonable factfinder could conclude that when Camden assigned two probationary firefighters to plaintiff's company, it acted with a degree of culpability that shocked the conscience. Conscience-shocking conduct occurs if the state actor intentionally caused unjustifiable harm and never occurs if the harm arose from negligence. </w:t>
      </w:r>
      <w:r>
        <w:rPr>
          <w:rStyle w:val="Emphasis"/>
        </w:rPr>
        <w:t>Id.</w:t>
      </w:r>
      <w:r>
        <w:t xml:space="preserve"> at 102 (citing </w:t>
      </w:r>
      <w:r>
        <w:rPr>
          <w:rStyle w:val="Emphasis"/>
        </w:rPr>
        <w:t>Lewis</w:t>
      </w:r>
      <w:r>
        <w:t>, 523 U.S. at 849). ‘[W]</w:t>
      </w:r>
      <w:proofErr w:type="spellStart"/>
      <w:r>
        <w:t>hether</w:t>
      </w:r>
      <w:proofErr w:type="spellEnd"/>
      <w:r>
        <w:t xml:space="preserve"> conduct is conscience-shocking is a fact-sensitive analysis’ which depends on ‘whether the officials' conduct is egregious in light of the particular circumstances.’ </w:t>
      </w:r>
      <w:r>
        <w:rPr>
          <w:rStyle w:val="Emphasis"/>
        </w:rPr>
        <w:t>Id.</w:t>
      </w:r>
      <w:r>
        <w:t xml:space="preserve"> at 103 (citing </w:t>
      </w:r>
      <w:r>
        <w:rPr>
          <w:rStyle w:val="Emphasis"/>
        </w:rPr>
        <w:t>Lewis</w:t>
      </w:r>
      <w:r>
        <w:t>, 523 U.S. at 850).”</w:t>
      </w:r>
    </w:p>
    <w:p w14:paraId="67579D55" w14:textId="77777777" w:rsidR="0029560A" w:rsidRPr="00755BF1" w:rsidRDefault="0029560A" w:rsidP="0029560A">
      <w:pPr>
        <w:pStyle w:val="NormalWeb"/>
        <w:rPr>
          <w:b/>
          <w:bCs/>
        </w:rPr>
      </w:pPr>
      <w:r w:rsidRPr="00755BF1">
        <w:rPr>
          <w:b/>
          <w:bCs/>
        </w:rPr>
        <w:t>Legal Lesson Learned:</w:t>
      </w:r>
      <w:r>
        <w:rPr>
          <w:b/>
          <w:bCs/>
        </w:rPr>
        <w:t xml:space="preserve"> In vast majority of firefighter injuries, workers comp is only remedy.</w:t>
      </w:r>
    </w:p>
    <w:p w14:paraId="491AE289" w14:textId="77777777" w:rsidR="007959C9" w:rsidRDefault="007959C9" w:rsidP="00EF1133">
      <w:pPr>
        <w:pStyle w:val="NoSpacing"/>
        <w:rPr>
          <w:rFonts w:ascii="Arial Black" w:hAnsi="Arial Black"/>
          <w:sz w:val="24"/>
          <w:szCs w:val="24"/>
        </w:rPr>
      </w:pPr>
    </w:p>
    <w:p w14:paraId="15440494" w14:textId="77777777" w:rsidR="0029560A" w:rsidRDefault="0029560A" w:rsidP="00EF1133">
      <w:pPr>
        <w:pStyle w:val="NoSpacing"/>
        <w:rPr>
          <w:rFonts w:ascii="Arial Black" w:hAnsi="Arial Black"/>
          <w:sz w:val="24"/>
          <w:szCs w:val="24"/>
        </w:rPr>
      </w:pPr>
    </w:p>
    <w:p w14:paraId="0A29B5B3" w14:textId="77777777" w:rsidR="0029560A" w:rsidRDefault="0029560A" w:rsidP="00EF1133">
      <w:pPr>
        <w:pStyle w:val="NoSpacing"/>
        <w:rPr>
          <w:rFonts w:ascii="Arial Black" w:hAnsi="Arial Black"/>
          <w:sz w:val="24"/>
          <w:szCs w:val="24"/>
        </w:rPr>
      </w:pPr>
    </w:p>
    <w:p w14:paraId="53EB7F7A" w14:textId="6D705996" w:rsidR="00AE32D3" w:rsidRDefault="006C79BE" w:rsidP="00EF1133">
      <w:pPr>
        <w:pStyle w:val="NoSpacing"/>
        <w:rPr>
          <w:rFonts w:ascii="Arial Black" w:hAnsi="Arial Black"/>
          <w:sz w:val="24"/>
          <w:szCs w:val="24"/>
        </w:rPr>
      </w:pPr>
      <w:r>
        <w:rPr>
          <w:rFonts w:ascii="Arial Black" w:hAnsi="Arial Black"/>
          <w:sz w:val="24"/>
          <w:szCs w:val="24"/>
        </w:rPr>
        <w:t>2-49</w:t>
      </w:r>
    </w:p>
    <w:p w14:paraId="45C3D55B" w14:textId="04DCE518" w:rsidR="006C79BE" w:rsidRDefault="006C79BE" w:rsidP="00EF1133">
      <w:pPr>
        <w:pStyle w:val="NoSpacing"/>
        <w:rPr>
          <w:rFonts w:ascii="Arial Black" w:hAnsi="Arial Black"/>
          <w:sz w:val="24"/>
          <w:szCs w:val="24"/>
        </w:rPr>
      </w:pPr>
    </w:p>
    <w:p w14:paraId="576933F7" w14:textId="77777777" w:rsidR="006C79BE" w:rsidRDefault="006C79BE" w:rsidP="006C79BE">
      <w:pPr>
        <w:pStyle w:val="NormalWeb"/>
        <w:rPr>
          <w:rFonts w:ascii="Arial Black" w:hAnsi="Arial Black"/>
          <w:b/>
          <w:bCs/>
          <w:sz w:val="28"/>
          <w:szCs w:val="28"/>
        </w:rPr>
      </w:pPr>
      <w:r>
        <w:rPr>
          <w:rFonts w:ascii="Arial Black" w:hAnsi="Arial Black"/>
          <w:b/>
          <w:bCs/>
          <w:sz w:val="28"/>
          <w:szCs w:val="28"/>
        </w:rPr>
        <w:t>NY: “FIREMAN’S RULE” MODIFIED BY STATUTE – INJURED FDNY FF MAY SUE RESTAURANT IF CODE VIOLATION</w:t>
      </w:r>
    </w:p>
    <w:p w14:paraId="79FB6E88" w14:textId="77777777" w:rsidR="006C79BE" w:rsidRDefault="006C79BE" w:rsidP="006C79BE">
      <w:pPr>
        <w:pStyle w:val="NormalWeb"/>
      </w:pPr>
      <w:r w:rsidRPr="00C40446">
        <w:t xml:space="preserve">On Dec. 1, 2022, </w:t>
      </w:r>
      <w:r>
        <w:t xml:space="preserve">in </w:t>
      </w:r>
      <w:r w:rsidRPr="00C40446">
        <w:rPr>
          <w:u w:val="single"/>
        </w:rPr>
        <w:t>Frank Ruggiero &amp; Amy Ruggiero v. 357-359 Sixth Avenue Associates, LLC, et al</w:t>
      </w:r>
      <w:r>
        <w:t xml:space="preserve">., Judge Paul A. Goetz, Supreme Court, New York County, in unpublished decision, denied the restaurant’s motion for summary judgement.  On Jan. 11, 2019, the firefighter responded to a fire above the hood from the wood stove; the firefighter went to the second floor to check for extensions and injured his </w:t>
      </w:r>
      <w:proofErr w:type="gramStart"/>
      <w:r>
        <w:t>back</w:t>
      </w:r>
      <w:proofErr w:type="gramEnd"/>
      <w:r>
        <w:t xml:space="preserve"> moving the couch in the </w:t>
      </w:r>
      <w:proofErr w:type="gramStart"/>
      <w:r>
        <w:t>second floor</w:t>
      </w:r>
      <w:proofErr w:type="gramEnd"/>
      <w:r>
        <w:t xml:space="preserve"> storage area with a low ceiling.  NY statute allows fire and police to sue if code violation directly or indirectly caused injuries.</w:t>
      </w:r>
    </w:p>
    <w:p w14:paraId="3DCC5583" w14:textId="77777777" w:rsidR="006C79BE" w:rsidRDefault="006C79BE" w:rsidP="006C79BE">
      <w:pPr>
        <w:pStyle w:val="NormalWeb"/>
        <w:ind w:left="720"/>
      </w:pPr>
      <w:r>
        <w:t xml:space="preserve">“[I]t is undisputed that the only reason plaintiff was at the premises and allegedly lifting the couch was to check for the presence of fire in the floorboards, a fire which allegedly resulted from defendant Llama San's violations of the fire code and negligence. Thus, </w:t>
      </w:r>
      <w:proofErr w:type="spellStart"/>
      <w:r>
        <w:t>plaintiffs</w:t>
      </w:r>
      <w:proofErr w:type="spellEnd"/>
      <w:r>
        <w:t xml:space="preserve"> </w:t>
      </w:r>
      <w:proofErr w:type="gramStart"/>
      <w:r>
        <w:t>claims</w:t>
      </w:r>
      <w:proofErr w:type="gramEnd"/>
      <w:r>
        <w:t xml:space="preserve"> for common law negligence and under the more liberal causation standard under General Municipal Law Section 205-a cannot be </w:t>
      </w:r>
      <w:proofErr w:type="gramStart"/>
      <w:r>
        <w:t>dismissed.’’</w:t>
      </w:r>
      <w:proofErr w:type="gramEnd"/>
      <w:r>
        <w:t xml:space="preserve"> </w:t>
      </w:r>
      <w:hyperlink r:id="rId501" w:history="1">
        <w:r w:rsidRPr="006335C7">
          <w:rPr>
            <w:rStyle w:val="Hyperlink"/>
            <w:rFonts w:eastAsiaTheme="majorEastAsia"/>
          </w:rPr>
          <w:t>https://law.justia.com/cases/new-york/other-courts/2022/2022-ny-slip-op-34279-u.html</w:t>
        </w:r>
      </w:hyperlink>
      <w:r>
        <w:t xml:space="preserve">  </w:t>
      </w:r>
    </w:p>
    <w:p w14:paraId="6D44FD47" w14:textId="77777777" w:rsidR="006C79BE" w:rsidRPr="00923166" w:rsidRDefault="006C79BE" w:rsidP="006C79BE">
      <w:pPr>
        <w:pStyle w:val="NoSpacing"/>
        <w:rPr>
          <w:rFonts w:ascii="Times New Roman" w:hAnsi="Times New Roman"/>
          <w:b/>
          <w:bCs/>
          <w:sz w:val="24"/>
          <w:szCs w:val="24"/>
        </w:rPr>
      </w:pPr>
      <w:r w:rsidRPr="00923166">
        <w:rPr>
          <w:rFonts w:ascii="Times New Roman" w:hAnsi="Times New Roman"/>
          <w:b/>
          <w:bCs/>
          <w:sz w:val="24"/>
          <w:szCs w:val="24"/>
        </w:rPr>
        <w:t>Legal Lessons Learned:</w:t>
      </w:r>
      <w:r>
        <w:rPr>
          <w:rFonts w:ascii="Times New Roman" w:hAnsi="Times New Roman"/>
          <w:b/>
          <w:bCs/>
          <w:sz w:val="24"/>
          <w:szCs w:val="24"/>
        </w:rPr>
        <w:t xml:space="preserve"> Some states like Florida have completely abolished the Fireman’s Rule, while other states like Ohio have not modified or abolished it. </w:t>
      </w:r>
    </w:p>
    <w:p w14:paraId="294D85D0" w14:textId="1E1349F7" w:rsidR="006C79BE" w:rsidRDefault="006C79BE" w:rsidP="00EF1133">
      <w:pPr>
        <w:pStyle w:val="NoSpacing"/>
        <w:rPr>
          <w:rFonts w:ascii="Arial Black" w:hAnsi="Arial Black"/>
          <w:sz w:val="24"/>
          <w:szCs w:val="24"/>
        </w:rPr>
      </w:pPr>
    </w:p>
    <w:p w14:paraId="6509548E" w14:textId="77777777" w:rsidR="006C79BE" w:rsidRDefault="006C79BE" w:rsidP="00EF1133">
      <w:pPr>
        <w:pStyle w:val="NoSpacing"/>
        <w:rPr>
          <w:rFonts w:ascii="Arial Black" w:hAnsi="Arial Black"/>
          <w:sz w:val="24"/>
          <w:szCs w:val="24"/>
        </w:rPr>
      </w:pPr>
    </w:p>
    <w:p w14:paraId="17B03534" w14:textId="77777777" w:rsidR="00AE32D3" w:rsidRDefault="00AE32D3" w:rsidP="00EF1133">
      <w:pPr>
        <w:pStyle w:val="NoSpacing"/>
        <w:rPr>
          <w:rFonts w:ascii="Arial Black" w:hAnsi="Arial Black"/>
          <w:sz w:val="24"/>
          <w:szCs w:val="24"/>
        </w:rPr>
      </w:pPr>
    </w:p>
    <w:p w14:paraId="3BF41A32" w14:textId="45A275E8" w:rsidR="00AE32D3" w:rsidRDefault="00AE32D3" w:rsidP="00EF1133">
      <w:pPr>
        <w:pStyle w:val="NoSpacing"/>
        <w:rPr>
          <w:rFonts w:ascii="Arial Black" w:hAnsi="Arial Black"/>
          <w:sz w:val="24"/>
          <w:szCs w:val="24"/>
        </w:rPr>
      </w:pPr>
      <w:r>
        <w:rPr>
          <w:rFonts w:ascii="Arial Black" w:hAnsi="Arial Black"/>
          <w:sz w:val="24"/>
          <w:szCs w:val="24"/>
        </w:rPr>
        <w:t>2-48</w:t>
      </w:r>
    </w:p>
    <w:p w14:paraId="660E1923" w14:textId="77777777" w:rsidR="00AE32D3" w:rsidRDefault="00AE32D3" w:rsidP="00EF1133">
      <w:pPr>
        <w:pStyle w:val="NoSpacing"/>
        <w:rPr>
          <w:rFonts w:ascii="Arial Black" w:hAnsi="Arial Black"/>
          <w:sz w:val="24"/>
          <w:szCs w:val="24"/>
        </w:rPr>
      </w:pPr>
    </w:p>
    <w:p w14:paraId="38B3B30D" w14:textId="77777777" w:rsidR="00AE32D3" w:rsidRPr="001E1C4B" w:rsidRDefault="00AE32D3" w:rsidP="00AE32D3">
      <w:pPr>
        <w:pStyle w:val="NormalWeb"/>
        <w:rPr>
          <w:rFonts w:ascii="Arial Black" w:hAnsi="Arial Black"/>
          <w:b/>
          <w:bCs/>
          <w:sz w:val="28"/>
          <w:szCs w:val="28"/>
        </w:rPr>
      </w:pPr>
      <w:r>
        <w:rPr>
          <w:rFonts w:ascii="Arial Black" w:hAnsi="Arial Black"/>
          <w:b/>
          <w:bCs/>
          <w:sz w:val="28"/>
          <w:szCs w:val="28"/>
        </w:rPr>
        <w:t xml:space="preserve">DE: LINE-OF-DUTY DEATH – DEATH BENEFITS TO CHILDREN – FATHER’S BREACH FIDUCIARY DUTY – HE OWES $366,412   </w:t>
      </w:r>
    </w:p>
    <w:p w14:paraId="60E8C313" w14:textId="77777777" w:rsidR="00AE32D3" w:rsidRDefault="00AE32D3" w:rsidP="00AE32D3">
      <w:pPr>
        <w:pStyle w:val="NormalWeb"/>
      </w:pPr>
      <w:r>
        <w:lastRenderedPageBreak/>
        <w:t xml:space="preserve">On Nov. 28, 2022, in </w:t>
      </w:r>
      <w:r w:rsidRPr="001E1C4B">
        <w:rPr>
          <w:u w:val="single"/>
        </w:rPr>
        <w:t xml:space="preserve">Senior Partner, Inc. As Trustee </w:t>
      </w:r>
      <w:proofErr w:type="gramStart"/>
      <w:r w:rsidRPr="001E1C4B">
        <w:rPr>
          <w:u w:val="single"/>
        </w:rPr>
        <w:t>Of</w:t>
      </w:r>
      <w:proofErr w:type="gramEnd"/>
      <w:r w:rsidRPr="001E1C4B">
        <w:rPr>
          <w:u w:val="single"/>
        </w:rPr>
        <w:t xml:space="preserve"> </w:t>
      </w:r>
      <w:proofErr w:type="gramStart"/>
      <w:r w:rsidRPr="001E1C4B">
        <w:rPr>
          <w:u w:val="single"/>
        </w:rPr>
        <w:t>The</w:t>
      </w:r>
      <w:proofErr w:type="gramEnd"/>
      <w:r w:rsidRPr="001E1C4B">
        <w:rPr>
          <w:u w:val="single"/>
        </w:rPr>
        <w:t xml:space="preserve"> Ardythe Hope Children’s Hospital v. David L. Lee</w:t>
      </w:r>
      <w:r>
        <w:t xml:space="preserve">, Selena E. Molina, Master in Chancery, Court of Chancery of Delaware, issued a Final Report in this “breach of fiduciary duty action” against father of three daughters of  Ardythe Hope.  She was a senior firefighter with the City of Wilmington, who was injured in the line of duty on September 24, 2016. She succumbed to her injuries December 1, 2016, leaving behind three (3) daughters: Aryelle Hope, Alexis D. Lee, and </w:t>
      </w:r>
      <w:proofErr w:type="spellStart"/>
      <w:r>
        <w:t>Ardavia</w:t>
      </w:r>
      <w:proofErr w:type="spellEnd"/>
      <w:r>
        <w:t xml:space="preserve"> D. Lee.  See article, Dec. 1, 2026: “Third firefighter dies from Canby Park blaze.” “Ardythe Hope, seriously injured in the Canby Park rowhome blaze that killed two colleagues in September, has died. </w:t>
      </w:r>
      <w:hyperlink r:id="rId502" w:history="1">
        <w:r>
          <w:rPr>
            <w:rStyle w:val="Hyperlink"/>
            <w:rFonts w:eastAsiaTheme="majorEastAsia"/>
          </w:rPr>
          <w:t>Hope</w:t>
        </w:r>
      </w:hyperlink>
      <w:r>
        <w:t xml:space="preserve"> was injured after entering the </w:t>
      </w:r>
      <w:proofErr w:type="gramStart"/>
      <w:r>
        <w:t>rowhome</w:t>
      </w:r>
      <w:proofErr w:type="gramEnd"/>
      <w:r>
        <w:t xml:space="preserve"> </w:t>
      </w:r>
      <w:proofErr w:type="gramStart"/>
      <w:r>
        <w:t>in an attempt to</w:t>
      </w:r>
      <w:proofErr w:type="gramEnd"/>
      <w:r>
        <w:t xml:space="preserve"> save another firefighter when the floor gave way. Burned over more than 70 percent of her body, she had been at Crozer-Chester Medical Center in critical condition since the fire.” </w:t>
      </w:r>
      <w:hyperlink r:id="rId503" w:history="1">
        <w:r w:rsidRPr="00AF231E">
          <w:rPr>
            <w:rStyle w:val="Hyperlink"/>
            <w:rFonts w:eastAsiaTheme="majorEastAsia"/>
          </w:rPr>
          <w:t>https://www.delawareonline.com/story/news/local/2016/12/01/ardythe-hope-firefighter-injured-canby-park-blaze-dies/94758432/</w:t>
        </w:r>
      </w:hyperlink>
      <w:r>
        <w:t xml:space="preserve"> </w:t>
      </w:r>
    </w:p>
    <w:p w14:paraId="2E1ED9A3" w14:textId="77777777" w:rsidR="00AE32D3" w:rsidRDefault="00AE32D3" w:rsidP="00AE32D3">
      <w:pPr>
        <w:pStyle w:val="NormalWeb"/>
        <w:ind w:left="720"/>
      </w:pPr>
      <w:r>
        <w:t xml:space="preserve">“Based on the above findings, judgment should be entered against the Defendant in the total amount of $366,412.34, representing $46,653.23 in missing income, $331,401.82 in unsupported expenditures, and $2,750.00 for attorneys' fees, minus a credit of $14,392.71. Pre-judgment and post-judgment interest should be added to this judgment, compounded quarterly. I find the Defendant should be required to make monthly payments on the judgment and accept the Defendant's proposal for a 360-month period as unopposed. </w:t>
      </w:r>
    </w:p>
    <w:p w14:paraId="70900845" w14:textId="77777777" w:rsidR="00AE32D3" w:rsidRDefault="00AE32D3" w:rsidP="00AE32D3">
      <w:pPr>
        <w:pStyle w:val="NormalWeb"/>
        <w:ind w:left="720"/>
      </w:pPr>
      <w:r>
        <w:t>***</w:t>
      </w:r>
    </w:p>
    <w:p w14:paraId="52919DD3" w14:textId="609A38E6" w:rsidR="00AE32D3" w:rsidRPr="00AE32D3" w:rsidRDefault="00AE32D3" w:rsidP="00AE32D3">
      <w:pPr>
        <w:pStyle w:val="NoSpacing"/>
        <w:ind w:left="720"/>
        <w:rPr>
          <w:rFonts w:ascii="Times New Roman" w:hAnsi="Times New Roman"/>
          <w:sz w:val="24"/>
          <w:szCs w:val="24"/>
        </w:rPr>
      </w:pPr>
      <w:r w:rsidRPr="00AE32D3">
        <w:rPr>
          <w:rFonts w:ascii="Times New Roman" w:hAnsi="Times New Roman"/>
          <w:sz w:val="24"/>
          <w:szCs w:val="24"/>
        </w:rPr>
        <w:t xml:space="preserve">[Regarding new house he purchased with their LODD benefits] I recommend the Defendant be ordered to convey the Property to the Trust and vacate the Property within one year of this report becoming an order of the Court.” </w:t>
      </w:r>
      <w:hyperlink r:id="rId504" w:history="1">
        <w:r w:rsidRPr="00AE32D3">
          <w:rPr>
            <w:rStyle w:val="Hyperlink"/>
            <w:rFonts w:ascii="Times New Roman" w:eastAsiaTheme="majorEastAsia" w:hAnsi="Times New Roman"/>
            <w:sz w:val="24"/>
            <w:szCs w:val="24"/>
          </w:rPr>
          <w:t>https://law.justia.com/cases/delaware/court-of-chancery/2022/c-a-no-2020-0226-sem.html</w:t>
        </w:r>
      </w:hyperlink>
    </w:p>
    <w:p w14:paraId="0C6B8F6A" w14:textId="77777777" w:rsidR="00AE32D3" w:rsidRDefault="00AE32D3" w:rsidP="00EF1133">
      <w:pPr>
        <w:pStyle w:val="NoSpacing"/>
        <w:rPr>
          <w:rFonts w:ascii="Arial Black" w:hAnsi="Arial Black"/>
          <w:sz w:val="24"/>
          <w:szCs w:val="24"/>
        </w:rPr>
      </w:pPr>
    </w:p>
    <w:p w14:paraId="350B0A03" w14:textId="77777777" w:rsidR="00AE32D3" w:rsidRPr="0067736B" w:rsidRDefault="00AE32D3" w:rsidP="00AE32D3">
      <w:pPr>
        <w:pStyle w:val="NormalWeb"/>
        <w:rPr>
          <w:b/>
          <w:bCs/>
        </w:rPr>
      </w:pPr>
      <w:r w:rsidRPr="0067736B">
        <w:rPr>
          <w:b/>
          <w:bCs/>
        </w:rPr>
        <w:t>Legal Lesson Learned:</w:t>
      </w:r>
      <w:r>
        <w:rPr>
          <w:b/>
          <w:bCs/>
        </w:rPr>
        <w:t xml:space="preserve"> The father breached </w:t>
      </w:r>
      <w:proofErr w:type="spellStart"/>
      <w:r>
        <w:rPr>
          <w:b/>
          <w:bCs/>
        </w:rPr>
        <w:t>is</w:t>
      </w:r>
      <w:proofErr w:type="spellEnd"/>
      <w:r>
        <w:rPr>
          <w:b/>
          <w:bCs/>
        </w:rPr>
        <w:t xml:space="preserve"> fiduciary duty as original Trustee of the funds. </w:t>
      </w:r>
    </w:p>
    <w:p w14:paraId="038BE8F0" w14:textId="77777777" w:rsidR="00AE32D3" w:rsidRDefault="00AE32D3" w:rsidP="00AE32D3">
      <w:pPr>
        <w:pStyle w:val="NormalWeb"/>
      </w:pPr>
      <w:r>
        <w:tab/>
        <w:t xml:space="preserve">Note: The Master in Chancery shared this comment. </w:t>
      </w:r>
    </w:p>
    <w:p w14:paraId="2973FC7B" w14:textId="77777777" w:rsidR="00AE32D3" w:rsidRPr="0067736B" w:rsidRDefault="00AE32D3" w:rsidP="00AE32D3">
      <w:pPr>
        <w:pStyle w:val="NormalWeb"/>
        <w:ind w:left="720"/>
      </w:pPr>
      <w:r>
        <w:t>[Footnote 5.] “</w:t>
      </w:r>
      <w:r w:rsidRPr="0067736B">
        <w:t xml:space="preserve">I would be remiss not to acknowledge the triumphs and successes of the Beneficiaries. When this matter was heard, the Beneficiaries were both in college, with Alexis on a full volleyball scholarship at Maryland Eastern Shore and </w:t>
      </w:r>
      <w:proofErr w:type="spellStart"/>
      <w:r w:rsidRPr="0067736B">
        <w:t>Ardavia</w:t>
      </w:r>
      <w:proofErr w:type="spellEnd"/>
      <w:r w:rsidRPr="0067736B">
        <w:t xml:space="preserve"> studying political science and pre-law at Delaware State University</w:t>
      </w:r>
      <w:r>
        <w:t xml:space="preserve">…. </w:t>
      </w:r>
      <w:r w:rsidRPr="0067736B">
        <w:t>Their perseverance, drive, and determination in the face of tragedy is inspiring</w:t>
      </w:r>
      <w:r>
        <w:t xml:space="preserve"> … </w:t>
      </w:r>
      <w:r w:rsidRPr="0067736B">
        <w:t xml:space="preserve">(explaining that not only is Alexis on a volleyball scholarship but that she was All-State in basketball and track and field, and that </w:t>
      </w:r>
      <w:proofErr w:type="spellStart"/>
      <w:r w:rsidRPr="0067736B">
        <w:t>Ardavia</w:t>
      </w:r>
      <w:proofErr w:type="spellEnd"/>
      <w:r w:rsidRPr="0067736B">
        <w:t xml:space="preserve"> was Delaware's Boys and Girls Club Youth of the Year and awarded a Sallie Mae scholarship).</w:t>
      </w:r>
      <w:r>
        <w:t>”</w:t>
      </w:r>
    </w:p>
    <w:p w14:paraId="240B34AE" w14:textId="715DA75B" w:rsidR="00AE32D3" w:rsidRDefault="00AE32D3" w:rsidP="00EF1133">
      <w:pPr>
        <w:pStyle w:val="NoSpacing"/>
        <w:rPr>
          <w:rFonts w:ascii="Arial Black" w:hAnsi="Arial Black"/>
          <w:sz w:val="24"/>
          <w:szCs w:val="24"/>
        </w:rPr>
      </w:pPr>
      <w:r>
        <w:rPr>
          <w:rFonts w:ascii="Arial Black" w:hAnsi="Arial Black"/>
          <w:sz w:val="24"/>
          <w:szCs w:val="24"/>
        </w:rPr>
        <w:t>2-47</w:t>
      </w:r>
    </w:p>
    <w:p w14:paraId="30EA49EB" w14:textId="27227997" w:rsidR="00AE32D3" w:rsidRDefault="00AE32D3" w:rsidP="00EF1133">
      <w:pPr>
        <w:pStyle w:val="NoSpacing"/>
        <w:rPr>
          <w:rFonts w:ascii="Arial Black" w:hAnsi="Arial Black"/>
          <w:sz w:val="24"/>
          <w:szCs w:val="24"/>
        </w:rPr>
      </w:pPr>
    </w:p>
    <w:p w14:paraId="025DF895" w14:textId="77777777" w:rsidR="00AE32D3" w:rsidRDefault="00AE32D3" w:rsidP="00AE32D3">
      <w:pPr>
        <w:pStyle w:val="NormalWeb"/>
        <w:rPr>
          <w:rFonts w:ascii="Arial Black" w:hAnsi="Arial Black"/>
          <w:sz w:val="28"/>
          <w:szCs w:val="28"/>
        </w:rPr>
      </w:pPr>
      <w:r>
        <w:rPr>
          <w:rFonts w:ascii="Arial Black" w:hAnsi="Arial Black"/>
          <w:sz w:val="28"/>
          <w:szCs w:val="28"/>
        </w:rPr>
        <w:t>TX: FF FELL THROUGH 3½ FOOT OPENING IN OVERPASS CATWALK – FELL 20+ FEET – DOT CONTRACTOR IMMUNITY</w:t>
      </w:r>
    </w:p>
    <w:p w14:paraId="6A162885" w14:textId="77777777" w:rsidR="00AE32D3" w:rsidRDefault="00AE32D3" w:rsidP="00AE32D3">
      <w:pPr>
        <w:pStyle w:val="NormalWeb"/>
      </w:pPr>
      <w:r>
        <w:t xml:space="preserve">On Nov. 18, 2022, in </w:t>
      </w:r>
      <w:r w:rsidRPr="009D04E6">
        <w:rPr>
          <w:u w:val="single"/>
        </w:rPr>
        <w:t>A.S. Horner, Inc. v. Rafael Navarrette</w:t>
      </w:r>
      <w:r>
        <w:t xml:space="preserve">, the Court of Appeals of Texas, Eight District, El Paso, held (3 to 0)that the trial court improperly denied the construction company’s motion for summary judgment; under Texas statute, a contractor who performs work pursuant to the Texas DOT contract is immune from liability; court rules this applies both during the construction phase and afterwards.  </w:t>
      </w:r>
    </w:p>
    <w:p w14:paraId="6F1D5F97" w14:textId="77777777" w:rsidR="00AE32D3" w:rsidRDefault="00AE32D3" w:rsidP="00AE32D3">
      <w:pPr>
        <w:pStyle w:val="NormalWeb"/>
        <w:ind w:left="720"/>
      </w:pPr>
      <w:r>
        <w:lastRenderedPageBreak/>
        <w:t>“At the time of the incident that is a basis of the suit, Navarrette was on duty responding to a multi-vehicle crash that occurred in the middle of the night on a Loop 375 overpass. Navarrette's suit alleged that, ‘[w]</w:t>
      </w:r>
      <w:proofErr w:type="spellStart"/>
      <w:r>
        <w:t>hile</w:t>
      </w:r>
      <w:proofErr w:type="spellEnd"/>
      <w:r>
        <w:t xml:space="preserve"> between the barricades, on a defectively designed and installed cement catwalk without restraining railings he fell 20 to 30 feet through [a] 3 1/2 or 4 feet opening.’ Horner constructed the overpass from which Navarrette fell. Navarrette asserted claims against Horner pursuant to premises liability based on a dangerous condition on the road or property, and alternatively, based on theories of negligence.  </w:t>
      </w:r>
    </w:p>
    <w:p w14:paraId="54E91C90" w14:textId="77777777" w:rsidR="00AE32D3" w:rsidRDefault="00AE32D3" w:rsidP="00AE32D3">
      <w:pPr>
        <w:pStyle w:val="NormalWeb"/>
        <w:ind w:left="720"/>
      </w:pPr>
      <w:r>
        <w:t>***</w:t>
      </w:r>
    </w:p>
    <w:p w14:paraId="0DF9B222" w14:textId="77777777" w:rsidR="00AE32D3" w:rsidRDefault="00AE32D3" w:rsidP="00AE32D3">
      <w:pPr>
        <w:pStyle w:val="NormalWeb"/>
        <w:ind w:left="720"/>
        <w:rPr>
          <w:rStyle w:val="Hyperlink"/>
          <w:rFonts w:eastAsiaTheme="majorEastAsia"/>
        </w:rPr>
      </w:pPr>
      <w:r>
        <w:t xml:space="preserve">Because TxDOT designed this project and required Horner to perform its work pursuant to contract terms, and because Navarrette did not challenge or otherwise dispute that Horner's work complied with those terms, we determine that section 97.002's conditional pre-requisite was met. </w:t>
      </w:r>
      <w:hyperlink r:id="rId505" w:history="1">
        <w:r w:rsidRPr="00335B71">
          <w:rPr>
            <w:rStyle w:val="Hyperlink"/>
            <w:rFonts w:eastAsiaTheme="majorEastAsia"/>
          </w:rPr>
          <w:t>https://casetext.com/case/as-horner-inc-v-navarrette-4</w:t>
        </w:r>
      </w:hyperlink>
    </w:p>
    <w:p w14:paraId="2962AFC6" w14:textId="77777777" w:rsidR="00AE32D3" w:rsidRDefault="00AE32D3" w:rsidP="00AE32D3">
      <w:pPr>
        <w:pStyle w:val="NormalWeb"/>
        <w:rPr>
          <w:b/>
          <w:bCs/>
        </w:rPr>
      </w:pPr>
      <w:r w:rsidRPr="00A3198D">
        <w:rPr>
          <w:b/>
          <w:bCs/>
        </w:rPr>
        <w:t>Legal Lesson Learned:</w:t>
      </w:r>
      <w:r>
        <w:rPr>
          <w:b/>
          <w:bCs/>
        </w:rPr>
        <w:t xml:space="preserve">  The Texas statute provides immunity to contracts who follow DOT contract requirements. </w:t>
      </w:r>
    </w:p>
    <w:p w14:paraId="49FE13E6" w14:textId="77777777" w:rsidR="00AE32D3" w:rsidRDefault="00AE32D3" w:rsidP="00AE32D3">
      <w:pPr>
        <w:pStyle w:val="Heading1"/>
        <w:ind w:left="720"/>
        <w:rPr>
          <w:b w:val="0"/>
          <w:bCs w:val="0"/>
          <w:sz w:val="24"/>
          <w:szCs w:val="24"/>
        </w:rPr>
      </w:pPr>
      <w:r w:rsidRPr="00876015">
        <w:rPr>
          <w:b w:val="0"/>
          <w:bCs w:val="0"/>
          <w:sz w:val="24"/>
          <w:szCs w:val="24"/>
        </w:rPr>
        <w:t xml:space="preserve">Note: See June 4, </w:t>
      </w:r>
      <w:proofErr w:type="gramStart"/>
      <w:r w:rsidRPr="00876015">
        <w:rPr>
          <w:b w:val="0"/>
          <w:bCs w:val="0"/>
          <w:sz w:val="24"/>
          <w:szCs w:val="24"/>
        </w:rPr>
        <w:t>2014</w:t>
      </w:r>
      <w:proofErr w:type="gramEnd"/>
      <w:r w:rsidRPr="00876015">
        <w:rPr>
          <w:b w:val="0"/>
          <w:bCs w:val="0"/>
          <w:sz w:val="24"/>
          <w:szCs w:val="24"/>
        </w:rPr>
        <w:t xml:space="preserve"> article: Texas firefighter plunges 20 feet off overpass at crash scene; The lieutenant fell through an opening in the overpass and suffered fractures to his face. </w:t>
      </w:r>
      <w:hyperlink r:id="rId506" w:history="1">
        <w:r w:rsidRPr="00335B71">
          <w:rPr>
            <w:rStyle w:val="Hyperlink"/>
            <w:rFonts w:eastAsiaTheme="majorEastAsia"/>
            <w:b w:val="0"/>
            <w:bCs w:val="0"/>
            <w:sz w:val="24"/>
            <w:szCs w:val="24"/>
          </w:rPr>
          <w:t>https://www.firerescue1.com/fire-ems/articles/texas-firefighter-plunges-20-feet-off-overpass-at-crash-scene-lBARe4alhxd9zIr4/</w:t>
        </w:r>
      </w:hyperlink>
      <w:r>
        <w:rPr>
          <w:b w:val="0"/>
          <w:bCs w:val="0"/>
          <w:sz w:val="24"/>
          <w:szCs w:val="24"/>
        </w:rPr>
        <w:t xml:space="preserve"> </w:t>
      </w:r>
    </w:p>
    <w:p w14:paraId="709F58B0" w14:textId="4B762CFC" w:rsidR="00AE32D3" w:rsidRPr="00AE32D3" w:rsidRDefault="00AE32D3" w:rsidP="00AE32D3">
      <w:pPr>
        <w:pStyle w:val="NoSpacing"/>
        <w:ind w:left="720"/>
        <w:rPr>
          <w:rFonts w:ascii="Times New Roman" w:hAnsi="Times New Roman"/>
          <w:sz w:val="24"/>
          <w:szCs w:val="24"/>
        </w:rPr>
      </w:pPr>
      <w:r w:rsidRPr="00AE32D3">
        <w:rPr>
          <w:rFonts w:ascii="Times New Roman" w:hAnsi="Times New Roman"/>
          <w:sz w:val="24"/>
          <w:szCs w:val="24"/>
        </w:rPr>
        <w:t xml:space="preserve">See also: June 3, 2014: El Paso (TX) Firefighter Injured in Fall at MVA Scene. </w:t>
      </w:r>
      <w:hyperlink r:id="rId507" w:anchor="gref" w:history="1">
        <w:r w:rsidRPr="00E01337">
          <w:rPr>
            <w:rStyle w:val="Hyperlink"/>
            <w:rFonts w:ascii="Times New Roman" w:eastAsiaTheme="majorEastAsia" w:hAnsi="Times New Roman"/>
            <w:sz w:val="24"/>
            <w:szCs w:val="24"/>
          </w:rPr>
          <w:t>https://www.fireengineering.com/firefighting/el-paso-tx-firefighter-injured-while-rendering-care/#gref</w:t>
        </w:r>
      </w:hyperlink>
    </w:p>
    <w:p w14:paraId="187D6BDA" w14:textId="77777777" w:rsidR="00AE32D3" w:rsidRPr="00AE32D3" w:rsidRDefault="00AE32D3" w:rsidP="00EF1133">
      <w:pPr>
        <w:pStyle w:val="NoSpacing"/>
        <w:rPr>
          <w:rFonts w:ascii="Times New Roman" w:hAnsi="Times New Roman"/>
          <w:sz w:val="24"/>
          <w:szCs w:val="24"/>
        </w:rPr>
      </w:pPr>
    </w:p>
    <w:p w14:paraId="612CDD34" w14:textId="77777777" w:rsidR="00AE32D3" w:rsidRDefault="00AE32D3" w:rsidP="00EF1133">
      <w:pPr>
        <w:pStyle w:val="NoSpacing"/>
        <w:rPr>
          <w:rFonts w:ascii="Arial Black" w:hAnsi="Arial Black"/>
          <w:sz w:val="24"/>
          <w:szCs w:val="24"/>
        </w:rPr>
      </w:pPr>
    </w:p>
    <w:p w14:paraId="11CB1FD4" w14:textId="1E9F5281" w:rsidR="00804F3A" w:rsidRDefault="00804F3A" w:rsidP="00EF1133">
      <w:pPr>
        <w:pStyle w:val="NoSpacing"/>
        <w:rPr>
          <w:rFonts w:ascii="Arial Black" w:hAnsi="Arial Black"/>
          <w:sz w:val="24"/>
          <w:szCs w:val="24"/>
        </w:rPr>
      </w:pPr>
      <w:r>
        <w:rPr>
          <w:rFonts w:ascii="Arial Black" w:hAnsi="Arial Black"/>
          <w:sz w:val="24"/>
          <w:szCs w:val="24"/>
        </w:rPr>
        <w:t>2-46</w:t>
      </w:r>
    </w:p>
    <w:p w14:paraId="6CF2E265" w14:textId="77777777" w:rsidR="00804F3A" w:rsidRPr="00486C28" w:rsidRDefault="00804F3A" w:rsidP="00804F3A">
      <w:pPr>
        <w:pStyle w:val="NormalWeb"/>
        <w:rPr>
          <w:rFonts w:ascii="Arial Black" w:hAnsi="Arial Black"/>
          <w:b/>
          <w:bCs/>
          <w:sz w:val="28"/>
          <w:szCs w:val="28"/>
        </w:rPr>
      </w:pPr>
      <w:r w:rsidRPr="00486C28">
        <w:rPr>
          <w:rFonts w:ascii="Arial Black" w:hAnsi="Arial Black"/>
          <w:b/>
          <w:bCs/>
          <w:sz w:val="28"/>
          <w:szCs w:val="28"/>
        </w:rPr>
        <w:t xml:space="preserve">LA: </w:t>
      </w:r>
      <w:r>
        <w:rPr>
          <w:rFonts w:ascii="Arial Black" w:hAnsi="Arial Black"/>
          <w:b/>
          <w:bCs/>
          <w:sz w:val="28"/>
          <w:szCs w:val="28"/>
        </w:rPr>
        <w:t>RAILROAD BLOCKED ROAD – CARDIAC PATIENT – NEW HELICOPTER PICKUP, 8 MINUTES – DIED – NO LIAB. FOR RR</w:t>
      </w:r>
    </w:p>
    <w:p w14:paraId="3CE43986" w14:textId="77777777" w:rsidR="00804F3A" w:rsidRDefault="00804F3A" w:rsidP="00804F3A">
      <w:pPr>
        <w:pStyle w:val="NormalWeb"/>
      </w:pPr>
      <w:r>
        <w:t xml:space="preserve">On Oct. 20, 2022, in </w:t>
      </w:r>
      <w:r w:rsidRPr="00486C28">
        <w:rPr>
          <w:u w:val="single"/>
        </w:rPr>
        <w:t>Brenda R. Blalock v. Union Pacific Railroad Company</w:t>
      </w:r>
      <w:r>
        <w:t xml:space="preserve">, U.S. Court of Appeals for Fifth Circuit (New Orleans), the Court held (3 to 0) that trial court properly granted summary judgment to the railroad, since they were not aware of emergency transport until after the ambulance driver decided to take another route. </w:t>
      </w:r>
    </w:p>
    <w:p w14:paraId="1A7F94D6" w14:textId="77777777" w:rsidR="00804F3A" w:rsidRPr="00C40187" w:rsidRDefault="00804F3A" w:rsidP="00804F3A">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“[T]</w:t>
      </w:r>
      <w:r w:rsidRPr="00AC0E66">
        <w:rPr>
          <w:rFonts w:ascii="Times New Roman" w:eastAsia="Times New Roman" w:hAnsi="Times New Roman"/>
          <w:sz w:val="24"/>
          <w:szCs w:val="24"/>
        </w:rPr>
        <w:t xml:space="preserve">here is insufficient evidence to support Brenda's claims that Union Pacific caused a delay in Leo receiving medical care. The timespan from the </w:t>
      </w:r>
      <w:proofErr w:type="spellStart"/>
      <w:r w:rsidRPr="00AC0E66">
        <w:rPr>
          <w:rFonts w:ascii="Times New Roman" w:eastAsia="Times New Roman" w:hAnsi="Times New Roman"/>
          <w:sz w:val="24"/>
          <w:szCs w:val="24"/>
        </w:rPr>
        <w:t>Blalocks</w:t>
      </w:r>
      <w:proofErr w:type="spellEnd"/>
      <w:r w:rsidRPr="00AC0E66">
        <w:rPr>
          <w:rFonts w:ascii="Times New Roman" w:eastAsia="Times New Roman" w:hAnsi="Times New Roman"/>
          <w:sz w:val="24"/>
          <w:szCs w:val="24"/>
        </w:rPr>
        <w:t xml:space="preserve">' home to the new rerouted landing zone was approximately eight minutes. Evidence shows that when the ambulance approached the railroad crossing and noticed it was blocked, paramedics immediately rerouted to Alexandria where the new landing zone and destination hospital were located. The paramedic testified that she did not </w:t>
      </w:r>
      <w:r>
        <w:rPr>
          <w:rFonts w:ascii="Times New Roman" w:eastAsia="Times New Roman" w:hAnsi="Times New Roman"/>
          <w:sz w:val="24"/>
          <w:szCs w:val="24"/>
        </w:rPr>
        <w:t>‘</w:t>
      </w:r>
      <w:r w:rsidRPr="00AC0E66">
        <w:rPr>
          <w:rFonts w:ascii="Times New Roman" w:eastAsia="Times New Roman" w:hAnsi="Times New Roman"/>
          <w:sz w:val="24"/>
          <w:szCs w:val="24"/>
        </w:rPr>
        <w:t xml:space="preserve">even </w:t>
      </w:r>
      <w:proofErr w:type="gramStart"/>
      <w:r w:rsidRPr="00AC0E66">
        <w:rPr>
          <w:rFonts w:ascii="Times New Roman" w:eastAsia="Times New Roman" w:hAnsi="Times New Roman"/>
          <w:sz w:val="24"/>
          <w:szCs w:val="24"/>
        </w:rPr>
        <w:t>waste like</w:t>
      </w:r>
      <w:proofErr w:type="gramEnd"/>
      <w:r w:rsidRPr="00AC0E66">
        <w:rPr>
          <w:rFonts w:ascii="Times New Roman" w:eastAsia="Times New Roman" w:hAnsi="Times New Roman"/>
          <w:sz w:val="24"/>
          <w:szCs w:val="24"/>
        </w:rPr>
        <w:t xml:space="preserve"> 30 </w:t>
      </w:r>
      <w:proofErr w:type="gramStart"/>
      <w:r w:rsidRPr="00AC0E66">
        <w:rPr>
          <w:rFonts w:ascii="Times New Roman" w:eastAsia="Times New Roman" w:hAnsi="Times New Roman"/>
          <w:sz w:val="24"/>
          <w:szCs w:val="24"/>
        </w:rPr>
        <w:t>seconds</w:t>
      </w:r>
      <w:r>
        <w:rPr>
          <w:rFonts w:ascii="Times New Roman" w:eastAsia="Times New Roman" w:hAnsi="Times New Roman"/>
          <w:sz w:val="24"/>
          <w:szCs w:val="24"/>
        </w:rPr>
        <w:t>’</w:t>
      </w:r>
      <w:proofErr w:type="gramEnd"/>
      <w:r w:rsidRPr="00AC0E66">
        <w:rPr>
          <w:rFonts w:ascii="Times New Roman" w:eastAsia="Times New Roman" w:hAnsi="Times New Roman"/>
          <w:sz w:val="24"/>
          <w:szCs w:val="24"/>
        </w:rPr>
        <w:t xml:space="preserve"> and when asked did they </w:t>
      </w:r>
      <w:proofErr w:type="gramStart"/>
      <w:r w:rsidRPr="00AC0E66">
        <w:rPr>
          <w:rFonts w:ascii="Times New Roman" w:eastAsia="Times New Roman" w:hAnsi="Times New Roman"/>
          <w:sz w:val="24"/>
          <w:szCs w:val="24"/>
        </w:rPr>
        <w:t>wait</w:t>
      </w:r>
      <w:proofErr w:type="gramEnd"/>
      <w:r w:rsidRPr="00AC0E66">
        <w:rPr>
          <w:rFonts w:ascii="Times New Roman" w:eastAsia="Times New Roman" w:hAnsi="Times New Roman"/>
          <w:sz w:val="24"/>
          <w:szCs w:val="24"/>
        </w:rPr>
        <w:t xml:space="preserve"> at the track, she responded</w:t>
      </w:r>
      <w:r>
        <w:rPr>
          <w:rFonts w:ascii="Times New Roman" w:eastAsia="Times New Roman" w:hAnsi="Times New Roman"/>
          <w:sz w:val="24"/>
          <w:szCs w:val="24"/>
        </w:rPr>
        <w:t xml:space="preserve"> ‘</w:t>
      </w:r>
      <w:r w:rsidRPr="00AC0E66">
        <w:rPr>
          <w:rFonts w:ascii="Times New Roman" w:eastAsia="Times New Roman" w:hAnsi="Times New Roman"/>
          <w:sz w:val="24"/>
          <w:szCs w:val="24"/>
        </w:rPr>
        <w:t>[w]e didn't.</w:t>
      </w:r>
      <w:r>
        <w:rPr>
          <w:rFonts w:ascii="Times New Roman" w:eastAsia="Times New Roman" w:hAnsi="Times New Roman"/>
          <w:sz w:val="24"/>
          <w:szCs w:val="24"/>
        </w:rPr>
        <w:t>’</w:t>
      </w:r>
      <w:r w:rsidRPr="00AC0E66">
        <w:rPr>
          <w:rFonts w:ascii="Times New Roman" w:eastAsia="Times New Roman" w:hAnsi="Times New Roman"/>
          <w:sz w:val="24"/>
          <w:szCs w:val="24"/>
        </w:rPr>
        <w:t xml:space="preserve"> The evidence also shows that Union Pacific was not notified about the emergency vehicle until </w:t>
      </w:r>
      <w:r w:rsidRPr="00AC0E66">
        <w:rPr>
          <w:rFonts w:ascii="Times New Roman" w:eastAsia="Times New Roman" w:hAnsi="Times New Roman"/>
          <w:i/>
          <w:iCs/>
          <w:sz w:val="24"/>
          <w:szCs w:val="24"/>
        </w:rPr>
        <w:t>after</w:t>
      </w:r>
      <w:r w:rsidRPr="00AC0E66">
        <w:rPr>
          <w:rFonts w:ascii="Times New Roman" w:eastAsia="Times New Roman" w:hAnsi="Times New Roman"/>
          <w:sz w:val="24"/>
          <w:szCs w:val="24"/>
        </w:rPr>
        <w:t xml:space="preserve"> the ambulance had already </w:t>
      </w:r>
      <w:proofErr w:type="gramStart"/>
      <w:r w:rsidRPr="00AC0E66">
        <w:rPr>
          <w:rFonts w:ascii="Times New Roman" w:eastAsia="Times New Roman" w:hAnsi="Times New Roman"/>
          <w:sz w:val="24"/>
          <w:szCs w:val="24"/>
        </w:rPr>
        <w:t>rerouted</w:t>
      </w:r>
      <w:proofErr w:type="gramEnd"/>
      <w:r w:rsidRPr="00AC0E66">
        <w:rPr>
          <w:rFonts w:ascii="Times New Roman" w:eastAsia="Times New Roman" w:hAnsi="Times New Roman"/>
          <w:sz w:val="24"/>
          <w:szCs w:val="24"/>
        </w:rPr>
        <w:t xml:space="preserve">. Therefore, at the time the ambulance needed to cross the railroad tracks, Union Pacific was not aware of Leo's emergency. And even if it were, it </w:t>
      </w:r>
      <w:r>
        <w:rPr>
          <w:rFonts w:ascii="Times New Roman" w:eastAsia="Times New Roman" w:hAnsi="Times New Roman"/>
          <w:sz w:val="24"/>
          <w:szCs w:val="24"/>
        </w:rPr>
        <w:t>‘</w:t>
      </w:r>
      <w:r w:rsidRPr="00AC0E66">
        <w:rPr>
          <w:rFonts w:ascii="Times New Roman" w:eastAsia="Times New Roman" w:hAnsi="Times New Roman"/>
          <w:sz w:val="24"/>
          <w:szCs w:val="24"/>
        </w:rPr>
        <w:t>would have been impossible</w:t>
      </w:r>
      <w:r>
        <w:rPr>
          <w:rFonts w:ascii="Times New Roman" w:eastAsia="Times New Roman" w:hAnsi="Times New Roman"/>
          <w:sz w:val="24"/>
          <w:szCs w:val="24"/>
        </w:rPr>
        <w:t>’</w:t>
      </w:r>
      <w:r w:rsidRPr="00AC0E66">
        <w:rPr>
          <w:rFonts w:ascii="Times New Roman" w:eastAsia="Times New Roman" w:hAnsi="Times New Roman"/>
          <w:sz w:val="24"/>
          <w:szCs w:val="24"/>
        </w:rPr>
        <w:t xml:space="preserve"> for the train to break within the </w:t>
      </w:r>
      <w:r>
        <w:rPr>
          <w:rFonts w:ascii="Times New Roman" w:eastAsia="Times New Roman" w:hAnsi="Times New Roman"/>
          <w:sz w:val="24"/>
          <w:szCs w:val="24"/>
        </w:rPr>
        <w:t>‘</w:t>
      </w:r>
      <w:r w:rsidRPr="00AC0E66">
        <w:rPr>
          <w:rFonts w:ascii="Times New Roman" w:eastAsia="Times New Roman" w:hAnsi="Times New Roman"/>
          <w:sz w:val="24"/>
          <w:szCs w:val="24"/>
        </w:rPr>
        <w:t>seconds</w:t>
      </w:r>
      <w:r>
        <w:rPr>
          <w:rFonts w:ascii="Times New Roman" w:eastAsia="Times New Roman" w:hAnsi="Times New Roman"/>
          <w:sz w:val="24"/>
          <w:szCs w:val="24"/>
        </w:rPr>
        <w:t>’</w:t>
      </w:r>
      <w:r w:rsidRPr="00AC0E66">
        <w:rPr>
          <w:rFonts w:ascii="Times New Roman" w:eastAsia="Times New Roman" w:hAnsi="Times New Roman"/>
          <w:sz w:val="24"/>
          <w:szCs w:val="24"/>
        </w:rPr>
        <w:t xml:space="preserve"> the paramedics were at the crossing. In the absence of sufficient evidence to the contrary, we conclude that Brenda has failed to show a genuine issue of material fact as to </w:t>
      </w:r>
      <w:r w:rsidRPr="00C40187">
        <w:rPr>
          <w:rFonts w:ascii="Times New Roman" w:eastAsia="Times New Roman" w:hAnsi="Times New Roman"/>
          <w:sz w:val="24"/>
          <w:szCs w:val="24"/>
        </w:rPr>
        <w:t>causation.”</w:t>
      </w:r>
      <w:hyperlink r:id="rId508" w:history="1">
        <w:r w:rsidRPr="00C40187">
          <w:rPr>
            <w:rStyle w:val="Hyperlink"/>
            <w:rFonts w:ascii="Times New Roman" w:hAnsi="Times New Roman"/>
            <w:sz w:val="24"/>
            <w:szCs w:val="24"/>
          </w:rPr>
          <w:t>http://www.ca5.uscourts.gov/opinions/unpub/22/22-30100.0.pdf</w:t>
        </w:r>
      </w:hyperlink>
      <w:r w:rsidRPr="00C40187">
        <w:rPr>
          <w:rFonts w:ascii="Times New Roman" w:hAnsi="Times New Roman"/>
          <w:sz w:val="24"/>
          <w:szCs w:val="24"/>
        </w:rPr>
        <w:t xml:space="preserve"> </w:t>
      </w:r>
    </w:p>
    <w:p w14:paraId="0367F1DE" w14:textId="77777777" w:rsidR="00804F3A" w:rsidRPr="00AC0E66" w:rsidRDefault="00804F3A" w:rsidP="00804F3A">
      <w:pPr>
        <w:spacing w:before="100" w:beforeAutospacing="1" w:after="100" w:afterAutospacing="1" w:line="240" w:lineRule="auto"/>
        <w:rPr>
          <w:rFonts w:ascii="Times New Roman" w:eastAsia="Times New Roman" w:hAnsi="Times New Roman"/>
          <w:b/>
          <w:bCs/>
          <w:sz w:val="24"/>
          <w:szCs w:val="24"/>
        </w:rPr>
      </w:pPr>
      <w:r w:rsidRPr="00AC0E66">
        <w:rPr>
          <w:rFonts w:ascii="Times New Roman" w:eastAsia="Times New Roman" w:hAnsi="Times New Roman"/>
          <w:b/>
          <w:bCs/>
          <w:sz w:val="24"/>
          <w:szCs w:val="24"/>
        </w:rPr>
        <w:lastRenderedPageBreak/>
        <w:t>Legal Lesson Learned:</w:t>
      </w:r>
      <w:r>
        <w:rPr>
          <w:rFonts w:ascii="Times New Roman" w:eastAsia="Times New Roman" w:hAnsi="Times New Roman"/>
          <w:b/>
          <w:bCs/>
          <w:sz w:val="24"/>
          <w:szCs w:val="24"/>
        </w:rPr>
        <w:t xml:space="preserve">  Establish protocol for EMS transports when railroad blocking route. </w:t>
      </w:r>
    </w:p>
    <w:p w14:paraId="45B67AC9" w14:textId="77777777" w:rsidR="00804F3A" w:rsidRDefault="00804F3A" w:rsidP="00804F3A">
      <w:pPr>
        <w:pStyle w:val="NormalWeb"/>
        <w:ind w:left="720"/>
      </w:pPr>
      <w:r>
        <w:t>Note:  See this article (Fall 2021):</w:t>
      </w:r>
    </w:p>
    <w:p w14:paraId="04914026" w14:textId="77777777" w:rsidR="00804F3A" w:rsidRPr="002A3E85" w:rsidRDefault="00804F3A" w:rsidP="00804F3A">
      <w:pPr>
        <w:pStyle w:val="NoSpacing"/>
        <w:ind w:firstLine="720"/>
        <w:rPr>
          <w:rFonts w:ascii="Times New Roman" w:hAnsi="Times New Roman"/>
          <w:sz w:val="28"/>
          <w:szCs w:val="28"/>
        </w:rPr>
      </w:pPr>
      <w:r w:rsidRPr="002A3E85">
        <w:rPr>
          <w:rFonts w:ascii="Times New Roman" w:hAnsi="Times New Roman"/>
          <w:sz w:val="28"/>
          <w:szCs w:val="28"/>
        </w:rPr>
        <w:t>Don’t Let Railroads Become Roadblocks</w:t>
      </w:r>
    </w:p>
    <w:p w14:paraId="53569E16" w14:textId="77777777" w:rsidR="00804F3A" w:rsidRPr="00AC0E66" w:rsidRDefault="00804F3A" w:rsidP="00804F3A">
      <w:pPr>
        <w:pStyle w:val="NoSpacing"/>
        <w:ind w:left="720"/>
        <w:rPr>
          <w:rFonts w:ascii="Times New Roman" w:hAnsi="Times New Roman"/>
          <w:i/>
          <w:iCs/>
          <w:sz w:val="24"/>
          <w:szCs w:val="24"/>
        </w:rPr>
      </w:pPr>
      <w:r w:rsidRPr="00AC0E66">
        <w:rPr>
          <w:rFonts w:ascii="Times New Roman" w:hAnsi="Times New Roman"/>
          <w:i/>
          <w:iCs/>
          <w:sz w:val="24"/>
          <w:szCs w:val="24"/>
        </w:rPr>
        <w:t>Take advantage of resources available to help EMS and other first responders avoid delays caused by railroads and respond safely to incidents on or near railroad crossings.</w:t>
      </w:r>
    </w:p>
    <w:p w14:paraId="3CFB993E" w14:textId="77777777" w:rsidR="00804F3A" w:rsidRDefault="00804F3A" w:rsidP="00804F3A">
      <w:pPr>
        <w:pStyle w:val="NoSpacing"/>
        <w:ind w:firstLine="720"/>
      </w:pPr>
      <w:hyperlink r:id="rId509" w:history="1">
        <w:r w:rsidRPr="00A7079D">
          <w:rPr>
            <w:rStyle w:val="Hyperlink"/>
            <w:rFonts w:ascii="Times New Roman" w:hAnsi="Times New Roman"/>
          </w:rPr>
          <w:t>https://www.ems.gov/newsletter/fall2021/dont_let_railroads_become_roadblocks.html</w:t>
        </w:r>
      </w:hyperlink>
      <w:r>
        <w:t xml:space="preserve"> </w:t>
      </w:r>
    </w:p>
    <w:p w14:paraId="1B32C4E7" w14:textId="77777777" w:rsidR="00804F3A" w:rsidRDefault="00804F3A" w:rsidP="00804F3A">
      <w:pPr>
        <w:pStyle w:val="NormalWeb"/>
        <w:ind w:left="720"/>
      </w:pPr>
      <w:r>
        <w:t xml:space="preserve">“Fortunately, resources exist to help first responders facing these circumstances. According to Michail </w:t>
      </w:r>
      <w:proofErr w:type="spellStart"/>
      <w:r>
        <w:t>Grizkewitsch</w:t>
      </w:r>
      <w:proofErr w:type="spellEnd"/>
      <w:r>
        <w:t xml:space="preserve"> with the Federal Railroad Administration’s Office of Railroad Safety, one of the first things responders can do is look for a blue </w:t>
      </w:r>
      <w:proofErr w:type="gramStart"/>
      <w:r>
        <w:t>Emergency Notification</w:t>
      </w:r>
      <w:proofErr w:type="gramEnd"/>
      <w:r>
        <w:t xml:space="preserve"> System sign with two sets of numbers on it. One is the phone number that will connect them directly to the railroad dispatcher overseeing that specific track. The other number is a unique Department of Transportation identifier for that crossing, so you can quickly let the dispatcher know where you are.”</w:t>
      </w:r>
    </w:p>
    <w:p w14:paraId="23B4DF9A" w14:textId="77777777" w:rsidR="00804F3A" w:rsidRDefault="00804F3A" w:rsidP="00EF1133">
      <w:pPr>
        <w:pStyle w:val="NoSpacing"/>
        <w:rPr>
          <w:rFonts w:ascii="Arial Black" w:hAnsi="Arial Black"/>
          <w:sz w:val="24"/>
          <w:szCs w:val="24"/>
        </w:rPr>
      </w:pPr>
    </w:p>
    <w:p w14:paraId="0585D65C" w14:textId="77777777" w:rsidR="00804F3A" w:rsidRDefault="00804F3A" w:rsidP="00EF1133">
      <w:pPr>
        <w:pStyle w:val="NoSpacing"/>
        <w:rPr>
          <w:rFonts w:ascii="Arial Black" w:hAnsi="Arial Black"/>
          <w:sz w:val="24"/>
          <w:szCs w:val="24"/>
        </w:rPr>
      </w:pPr>
    </w:p>
    <w:p w14:paraId="30EA7F7F" w14:textId="77777777" w:rsidR="00804F3A" w:rsidRDefault="00804F3A" w:rsidP="00EF1133">
      <w:pPr>
        <w:pStyle w:val="NoSpacing"/>
        <w:rPr>
          <w:rFonts w:ascii="Arial Black" w:hAnsi="Arial Black"/>
          <w:sz w:val="24"/>
          <w:szCs w:val="24"/>
        </w:rPr>
      </w:pPr>
    </w:p>
    <w:p w14:paraId="5F18F400" w14:textId="7A7D386C" w:rsidR="00E8117B" w:rsidRDefault="00E8117B" w:rsidP="00EF1133">
      <w:pPr>
        <w:pStyle w:val="NoSpacing"/>
        <w:rPr>
          <w:rFonts w:ascii="Arial Black" w:hAnsi="Arial Black"/>
          <w:sz w:val="24"/>
          <w:szCs w:val="24"/>
        </w:rPr>
      </w:pPr>
      <w:r>
        <w:rPr>
          <w:rFonts w:ascii="Arial Black" w:hAnsi="Arial Black"/>
          <w:sz w:val="24"/>
          <w:szCs w:val="24"/>
        </w:rPr>
        <w:t>2-45</w:t>
      </w:r>
    </w:p>
    <w:p w14:paraId="368A07F0" w14:textId="685F4EB0" w:rsidR="00E8117B" w:rsidRDefault="00E8117B" w:rsidP="00EF1133">
      <w:pPr>
        <w:pStyle w:val="NoSpacing"/>
        <w:rPr>
          <w:rFonts w:ascii="Arial Black" w:hAnsi="Arial Black"/>
          <w:sz w:val="24"/>
          <w:szCs w:val="24"/>
        </w:rPr>
      </w:pPr>
    </w:p>
    <w:p w14:paraId="4EE858D5" w14:textId="77777777" w:rsidR="00E8117B" w:rsidRDefault="00E8117B" w:rsidP="00E8117B">
      <w:pPr>
        <w:pStyle w:val="NormalWeb"/>
        <w:rPr>
          <w:rFonts w:ascii="Arial Black" w:hAnsi="Arial Black"/>
          <w:sz w:val="28"/>
          <w:szCs w:val="28"/>
        </w:rPr>
      </w:pPr>
      <w:r>
        <w:rPr>
          <w:rFonts w:ascii="Arial Black" w:hAnsi="Arial Black"/>
          <w:sz w:val="28"/>
          <w:szCs w:val="28"/>
        </w:rPr>
        <w:t xml:space="preserve">OH: LODD – ARSON DEFENDANT’S APPEAL DENIED – PROVIDED SIX WITNESS STATEMENTS BEFORE TRIAL </w:t>
      </w:r>
    </w:p>
    <w:p w14:paraId="42A4BBA5" w14:textId="77777777" w:rsidR="00E8117B" w:rsidRDefault="00E8117B" w:rsidP="00E8117B">
      <w:pPr>
        <w:pStyle w:val="NormalWeb"/>
      </w:pPr>
      <w:r>
        <w:t xml:space="preserve">On Sept. 19, 2022, in </w:t>
      </w:r>
      <w:r>
        <w:rPr>
          <w:u w:val="single"/>
        </w:rPr>
        <w:t>State of Ohio v. William R. Tucker</w:t>
      </w:r>
      <w:r>
        <w:t xml:space="preserve">, the Court of Appeals of Ohio, Twelfth District (Butler County) held (3 to 0) that trial court did not err in denying Tucker's untimely postconviction relief petition.  </w:t>
      </w:r>
    </w:p>
    <w:p w14:paraId="44BF81BB" w14:textId="77777777" w:rsidR="00E8117B" w:rsidRDefault="00E8117B" w:rsidP="00E8117B">
      <w:pPr>
        <w:pStyle w:val="NormalWeb"/>
        <w:ind w:left="720"/>
      </w:pPr>
      <w:r>
        <w:t xml:space="preserve">“After reviewing the record, we find Tucker's assertions are without merit. Tucker does not demonstrate that he was unavoidably prevented from discovering the facts necessary for his claim of relief. Instead, the record shows that the six witness statements were initially provided to Tucker and his attorney during discovery. On January 21, 2017, nearly ten months before trial, the State answered Tucker's request for discovery. Included in the response were items numbered 138, 140, 141, 147, 156, and 157, representing the witness statements of Sebastian, Hartford, Hatfield, Haynes, McAdams, and McDonald, respectively.” </w:t>
      </w:r>
      <w:hyperlink r:id="rId510" w:history="1">
        <w:r>
          <w:rPr>
            <w:rStyle w:val="Hyperlink"/>
          </w:rPr>
          <w:t>https://law.justia.com/cases/ohio/twelfth-district-court-of-appeals/2022/ca2022-02-020.html</w:t>
        </w:r>
      </w:hyperlink>
      <w:r>
        <w:t xml:space="preserve"> </w:t>
      </w:r>
    </w:p>
    <w:p w14:paraId="374A83A4" w14:textId="77777777" w:rsidR="00E8117B" w:rsidRDefault="00E8117B" w:rsidP="00E8117B">
      <w:pPr>
        <w:pStyle w:val="NormalWeb"/>
        <w:rPr>
          <w:b/>
          <w:bCs/>
        </w:rPr>
      </w:pPr>
      <w:r>
        <w:rPr>
          <w:b/>
          <w:bCs/>
        </w:rPr>
        <w:t xml:space="preserve">Legal Lesson Learned: Defendant must remain in prison - </w:t>
      </w:r>
      <w:r>
        <w:rPr>
          <w:rFonts w:eastAsiaTheme="minorHAnsi"/>
          <w:b/>
          <w:bCs/>
        </w:rPr>
        <w:t xml:space="preserve">15 years to life.   </w:t>
      </w:r>
    </w:p>
    <w:p w14:paraId="2B5AA13D" w14:textId="77777777" w:rsidR="00E8117B" w:rsidRDefault="00E8117B" w:rsidP="00EF1133">
      <w:pPr>
        <w:pStyle w:val="NoSpacing"/>
        <w:rPr>
          <w:rFonts w:ascii="Arial Black" w:hAnsi="Arial Black"/>
          <w:sz w:val="24"/>
          <w:szCs w:val="24"/>
        </w:rPr>
      </w:pPr>
    </w:p>
    <w:p w14:paraId="79454FBA" w14:textId="77777777" w:rsidR="00E8117B" w:rsidRDefault="00E8117B" w:rsidP="00EF1133">
      <w:pPr>
        <w:pStyle w:val="NoSpacing"/>
        <w:rPr>
          <w:rFonts w:ascii="Arial Black" w:hAnsi="Arial Black"/>
          <w:sz w:val="24"/>
          <w:szCs w:val="24"/>
        </w:rPr>
      </w:pPr>
    </w:p>
    <w:p w14:paraId="5C183C0E" w14:textId="77777777" w:rsidR="00E8117B" w:rsidRDefault="00E8117B" w:rsidP="00EF1133">
      <w:pPr>
        <w:pStyle w:val="NoSpacing"/>
        <w:rPr>
          <w:rFonts w:ascii="Arial Black" w:hAnsi="Arial Black"/>
          <w:sz w:val="24"/>
          <w:szCs w:val="24"/>
        </w:rPr>
      </w:pPr>
    </w:p>
    <w:p w14:paraId="04A3A2F3" w14:textId="73108702" w:rsidR="009A0402" w:rsidRDefault="009A0402" w:rsidP="00EF1133">
      <w:pPr>
        <w:pStyle w:val="NoSpacing"/>
        <w:rPr>
          <w:rFonts w:ascii="Arial Black" w:hAnsi="Arial Black"/>
          <w:sz w:val="24"/>
          <w:szCs w:val="24"/>
        </w:rPr>
      </w:pPr>
      <w:r>
        <w:rPr>
          <w:rFonts w:ascii="Arial Black" w:hAnsi="Arial Black"/>
          <w:sz w:val="24"/>
          <w:szCs w:val="24"/>
        </w:rPr>
        <w:t>2-44</w:t>
      </w:r>
    </w:p>
    <w:p w14:paraId="1D196A05" w14:textId="77777777" w:rsidR="009A0402" w:rsidRDefault="009A0402" w:rsidP="009A0402">
      <w:pPr>
        <w:spacing w:before="100" w:beforeAutospacing="1" w:after="100" w:afterAutospacing="1" w:line="240" w:lineRule="auto"/>
        <w:rPr>
          <w:rFonts w:ascii="Arial Black" w:hAnsi="Arial Black"/>
          <w:sz w:val="28"/>
          <w:szCs w:val="28"/>
        </w:rPr>
      </w:pPr>
      <w:r>
        <w:rPr>
          <w:rFonts w:ascii="Arial Black" w:hAnsi="Arial Black"/>
          <w:sz w:val="28"/>
          <w:szCs w:val="28"/>
        </w:rPr>
        <w:t>U.S. SUP. COURT:  FIREARMS – STATE OF NEW YORK “PROPER-CAUSE” REQUIREMENT UNCONSTITUTIONAL</w:t>
      </w:r>
    </w:p>
    <w:p w14:paraId="73050240" w14:textId="77777777" w:rsidR="009A0402" w:rsidRDefault="009A0402" w:rsidP="009A040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On June 23, 2022, in </w:t>
      </w:r>
      <w:r>
        <w:rPr>
          <w:rFonts w:ascii="Times New Roman" w:hAnsi="Times New Roman"/>
          <w:sz w:val="24"/>
          <w:szCs w:val="24"/>
          <w:u w:val="single"/>
        </w:rPr>
        <w:t>New York State Rifle &amp; Pistol Association, et al. v. Bruen, Superintendent of New York State Police</w:t>
      </w:r>
      <w:r>
        <w:rPr>
          <w:rFonts w:ascii="Times New Roman" w:hAnsi="Times New Roman"/>
          <w:sz w:val="24"/>
          <w:szCs w:val="24"/>
        </w:rPr>
        <w:t xml:space="preserve">, the U.S. Supreme Court held (6 to 3) that the State’s requirement that residents must show a “proper-cause” to be able to carry a firearm violates their Second Amendment right to bear arms in public for self-defense. Brandon Koch, </w:t>
      </w:r>
      <w:r>
        <w:rPr>
          <w:rStyle w:val="markedcontent"/>
          <w:rFonts w:ascii="Times New Roman" w:hAnsi="Times New Roman"/>
          <w:sz w:val="24"/>
          <w:szCs w:val="24"/>
        </w:rPr>
        <w:t>Rensselaer County</w:t>
      </w:r>
      <w:r>
        <w:rPr>
          <w:rFonts w:ascii="Times New Roman" w:hAnsi="Times New Roman"/>
          <w:sz w:val="24"/>
          <w:szCs w:val="24"/>
        </w:rPr>
        <w:t xml:space="preserve"> and Robert Nash, </w:t>
      </w:r>
      <w:r>
        <w:rPr>
          <w:rStyle w:val="markedcontent"/>
          <w:rFonts w:ascii="Times New Roman" w:hAnsi="Times New Roman"/>
          <w:sz w:val="24"/>
          <w:szCs w:val="24"/>
        </w:rPr>
        <w:t>Averill Park,</w:t>
      </w:r>
      <w:r>
        <w:rPr>
          <w:rFonts w:ascii="Times New Roman" w:hAnsi="Times New Roman"/>
          <w:sz w:val="24"/>
          <w:szCs w:val="24"/>
        </w:rPr>
        <w:t xml:space="preserve"> are both members of the New York Rifle &amp; Pistol Association and were denied licenses to carry a firearm in public since they didn’t show any “special danger” and could only receive restricted licenses for only hunting and target practice. </w:t>
      </w:r>
      <w:hyperlink r:id="rId511" w:history="1">
        <w:r>
          <w:rPr>
            <w:rStyle w:val="Hyperlink"/>
            <w:sz w:val="24"/>
            <w:szCs w:val="24"/>
          </w:rPr>
          <w:t>https://www.supremecourt.gov/opinions/21pdf/20-843_7j80.pdf</w:t>
        </w:r>
      </w:hyperlink>
      <w:r>
        <w:rPr>
          <w:rFonts w:ascii="Times New Roman" w:hAnsi="Times New Roman"/>
          <w:sz w:val="24"/>
          <w:szCs w:val="24"/>
        </w:rPr>
        <w:t xml:space="preserve"> </w:t>
      </w:r>
    </w:p>
    <w:p w14:paraId="24BF93C5" w14:textId="77777777" w:rsidR="009A0402" w:rsidRDefault="009A0402" w:rsidP="009A0402">
      <w:pPr>
        <w:spacing w:before="100" w:beforeAutospacing="1" w:after="100" w:afterAutospacing="1" w:line="240" w:lineRule="auto"/>
        <w:rPr>
          <w:rFonts w:eastAsia="Times New Roman"/>
          <w:b/>
          <w:bCs/>
        </w:rPr>
      </w:pPr>
      <w:r>
        <w:rPr>
          <w:rFonts w:ascii="Times New Roman" w:eastAsia="Times New Roman" w:hAnsi="Times New Roman"/>
          <w:b/>
          <w:bCs/>
          <w:sz w:val="24"/>
          <w:szCs w:val="24"/>
        </w:rPr>
        <w:t xml:space="preserve">Legal Lesson Learned:  Fire &amp; EMS Department can post signs and issue policies prohibiting any firearms in their buildings, or apparatus, including by emergency responders. </w:t>
      </w:r>
    </w:p>
    <w:p w14:paraId="6494AA3B" w14:textId="77777777" w:rsidR="009A0402" w:rsidRDefault="009A0402" w:rsidP="009A0402">
      <w:pPr>
        <w:pStyle w:val="Heading1"/>
        <w:ind w:left="720"/>
        <w:rPr>
          <w:b w:val="0"/>
          <w:bCs w:val="0"/>
          <w:sz w:val="24"/>
          <w:szCs w:val="24"/>
        </w:rPr>
      </w:pPr>
      <w:r>
        <w:rPr>
          <w:b w:val="0"/>
          <w:bCs w:val="0"/>
          <w:sz w:val="24"/>
          <w:szCs w:val="24"/>
        </w:rPr>
        <w:t xml:space="preserve">Note this article: “What the Supreme Court’s Gun Ruling Means for New York” (June 24, 2022); </w:t>
      </w:r>
      <w:hyperlink r:id="rId512" w:history="1">
        <w:r>
          <w:rPr>
            <w:rStyle w:val="Hyperlink"/>
            <w:sz w:val="24"/>
            <w:szCs w:val="24"/>
          </w:rPr>
          <w:t>https://www.newyorker.com/news/our-local-correspondents/what-the-supreme-courts-gun-ruling-means-for-new-york</w:t>
        </w:r>
      </w:hyperlink>
      <w:r>
        <w:rPr>
          <w:b w:val="0"/>
          <w:bCs w:val="0"/>
          <w:sz w:val="24"/>
          <w:szCs w:val="24"/>
        </w:rPr>
        <w:t xml:space="preserve"> .  Within minutes of the ruling’s release, Governor Kathy Hochul, who called the ruling “shocking” and “frightful in its scope,” announced that she would call a special session of the state legislature, likely in the next few weeks, to respond. Just a few days ago, Hochul signed a package of new gun-control laws—including raising the minimum age for buying an AR-15-type rifle from eighteen to twenty-one—in response to the </w:t>
      </w:r>
      <w:hyperlink r:id="rId513" w:history="1">
        <w:r>
          <w:rPr>
            <w:rStyle w:val="Hyperlink"/>
            <w:sz w:val="24"/>
            <w:szCs w:val="24"/>
          </w:rPr>
          <w:t>racist mass shooting in Buffalo</w:t>
        </w:r>
      </w:hyperlink>
      <w:r>
        <w:rPr>
          <w:b w:val="0"/>
          <w:bCs w:val="0"/>
          <w:sz w:val="24"/>
          <w:szCs w:val="24"/>
        </w:rPr>
        <w:t xml:space="preserve">. New York has been one of the few states able to pass robust gun-control measures in response to mass shootings in recent years, and now its lawmakers will be tasked with coming up with a replacement for the Sullivan Act. This will likely include declaring public spaces such as schools and hospitals “sensitive spaces” where guns are barred, even for those with permits. Much of the focus in the debate will surely be on New York City, which saw a spike in shootings last year, and where arguments about crime and violence have lately been dominating the city’s interior monologue. When asked, on Thursday, whether New York City’s subways would qualify as ‘sensitive spaces,’ Hochul replied, ‘In my opinion, they </w:t>
      </w:r>
      <w:proofErr w:type="gramStart"/>
      <w:r>
        <w:rPr>
          <w:b w:val="0"/>
          <w:bCs w:val="0"/>
          <w:sz w:val="24"/>
          <w:szCs w:val="24"/>
        </w:rPr>
        <w:t>are.’”</w:t>
      </w:r>
      <w:proofErr w:type="gramEnd"/>
    </w:p>
    <w:p w14:paraId="593D3B51" w14:textId="77777777" w:rsidR="009A0402" w:rsidRDefault="009A0402" w:rsidP="00EF1133">
      <w:pPr>
        <w:pStyle w:val="NoSpacing"/>
        <w:rPr>
          <w:rFonts w:ascii="Arial Black" w:hAnsi="Arial Black"/>
          <w:sz w:val="24"/>
          <w:szCs w:val="24"/>
        </w:rPr>
      </w:pPr>
    </w:p>
    <w:p w14:paraId="150D93B0" w14:textId="77777777" w:rsidR="009A0402" w:rsidRDefault="009A0402" w:rsidP="00EF1133">
      <w:pPr>
        <w:pStyle w:val="NoSpacing"/>
        <w:rPr>
          <w:rFonts w:ascii="Arial Black" w:hAnsi="Arial Black"/>
          <w:sz w:val="24"/>
          <w:szCs w:val="24"/>
        </w:rPr>
      </w:pPr>
    </w:p>
    <w:p w14:paraId="16C65A2A" w14:textId="14AEE82C" w:rsidR="00E97D63" w:rsidRDefault="003F4E70" w:rsidP="00EF1133">
      <w:pPr>
        <w:pStyle w:val="NoSpacing"/>
        <w:rPr>
          <w:rFonts w:ascii="Arial Black" w:hAnsi="Arial Black"/>
          <w:sz w:val="24"/>
          <w:szCs w:val="24"/>
        </w:rPr>
      </w:pPr>
      <w:r>
        <w:rPr>
          <w:rFonts w:ascii="Arial Black" w:hAnsi="Arial Black"/>
          <w:sz w:val="24"/>
          <w:szCs w:val="24"/>
        </w:rPr>
        <w:t>2-43</w:t>
      </w:r>
    </w:p>
    <w:p w14:paraId="051F219D" w14:textId="77777777" w:rsidR="003F4E70" w:rsidRPr="00CD3B6F" w:rsidRDefault="003F4E70" w:rsidP="003F4E70">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IN: FF DIED CANCER – 4 DAYS PRIOR HE MARRIED FEMALE FF – $1.6M PENSION - SON LOSES ATTEMPT TO ANNUL </w:t>
      </w:r>
    </w:p>
    <w:p w14:paraId="77544263" w14:textId="16594154" w:rsidR="003F4E70" w:rsidRDefault="003F4E70" w:rsidP="003F4E70">
      <w:pPr>
        <w:pStyle w:val="NoSpacing"/>
        <w:rPr>
          <w:rFonts w:ascii="Arial Black" w:hAnsi="Arial Black"/>
          <w:sz w:val="24"/>
          <w:szCs w:val="24"/>
        </w:rPr>
      </w:pPr>
      <w:r>
        <w:rPr>
          <w:rFonts w:ascii="Times New Roman" w:hAnsi="Times New Roman"/>
          <w:sz w:val="24"/>
          <w:szCs w:val="24"/>
        </w:rPr>
        <w:t xml:space="preserve">On April 18, 2002, in </w:t>
      </w:r>
      <w:r w:rsidRPr="000C6632">
        <w:rPr>
          <w:rFonts w:ascii="Times New Roman" w:hAnsi="Times New Roman"/>
          <w:sz w:val="24"/>
          <w:szCs w:val="24"/>
          <w:u w:val="single"/>
        </w:rPr>
        <w:t>The Estate of Michael David Estridge, Sr. v. Lana Ann Taylor</w:t>
      </w:r>
      <w:r>
        <w:rPr>
          <w:rFonts w:ascii="Times New Roman" w:hAnsi="Times New Roman"/>
          <w:sz w:val="24"/>
          <w:szCs w:val="24"/>
        </w:rPr>
        <w:t>, the Court of Appeals of Indiana held (3 to 0) that the trial court judge, after a two-</w:t>
      </w:r>
      <w:proofErr w:type="gramStart"/>
      <w:r>
        <w:rPr>
          <w:rFonts w:ascii="Times New Roman" w:hAnsi="Times New Roman"/>
          <w:sz w:val="24"/>
          <w:szCs w:val="24"/>
        </w:rPr>
        <w:t>day bench</w:t>
      </w:r>
      <w:proofErr w:type="gramEnd"/>
      <w:r>
        <w:rPr>
          <w:rFonts w:ascii="Times New Roman" w:hAnsi="Times New Roman"/>
          <w:sz w:val="24"/>
          <w:szCs w:val="24"/>
        </w:rPr>
        <w:t xml:space="preserve"> trial, properly denied the petition to annul the marriage. </w:t>
      </w:r>
      <w:r w:rsidRPr="00642716">
        <w:rPr>
          <w:rFonts w:ascii="Times New Roman" w:eastAsia="Times New Roman" w:hAnsi="Times New Roman"/>
          <w:sz w:val="24"/>
          <w:szCs w:val="24"/>
        </w:rPr>
        <w:t xml:space="preserve">Estridge and Taylor, both firefighters and EMT/paramedics, first met in 2011 while employed at the same fire station. Estridge was diagnosed with cancer in 2015, and Taylor was informed of this diagnosis together with other co-workers and mutual friends. In the fall of 2016, Estridge and Taylor started dating and near the end of that year, Estridge first broached the subject of marriage. In the beginning of 2017, the relationship became sexual and toward the end of the year, Estridge proposed to </w:t>
      </w:r>
      <w:proofErr w:type="gramStart"/>
      <w:r w:rsidRPr="00642716">
        <w:rPr>
          <w:rFonts w:ascii="Times New Roman" w:eastAsia="Times New Roman" w:hAnsi="Times New Roman"/>
          <w:sz w:val="24"/>
          <w:szCs w:val="24"/>
        </w:rPr>
        <w:t>Taylor</w:t>
      </w:r>
      <w:proofErr w:type="gramEnd"/>
      <w:r w:rsidRPr="00642716">
        <w:rPr>
          <w:rFonts w:ascii="Times New Roman" w:eastAsia="Times New Roman" w:hAnsi="Times New Roman"/>
          <w:sz w:val="24"/>
          <w:szCs w:val="24"/>
        </w:rPr>
        <w:t xml:space="preserve"> but she was hesitant to commit. After another marriage proposal in early 2018, Taylor agreed and accepted Estridge's ring.</w:t>
      </w:r>
      <w:r>
        <w:rPr>
          <w:rFonts w:ascii="Times New Roman" w:eastAsia="Times New Roman" w:hAnsi="Times New Roman"/>
          <w:sz w:val="24"/>
          <w:szCs w:val="24"/>
        </w:rPr>
        <w:t xml:space="preserve"> </w:t>
      </w:r>
      <w:r>
        <w:rPr>
          <w:rFonts w:ascii="Times New Roman" w:hAnsi="Times New Roman"/>
          <w:sz w:val="24"/>
          <w:szCs w:val="24"/>
        </w:rPr>
        <w:t xml:space="preserve">They were married on May 2, </w:t>
      </w:r>
      <w:proofErr w:type="gramStart"/>
      <w:r>
        <w:rPr>
          <w:rFonts w:ascii="Times New Roman" w:hAnsi="Times New Roman"/>
          <w:sz w:val="24"/>
          <w:szCs w:val="24"/>
        </w:rPr>
        <w:t>2019</w:t>
      </w:r>
      <w:proofErr w:type="gramEnd"/>
      <w:r>
        <w:rPr>
          <w:rFonts w:ascii="Times New Roman" w:hAnsi="Times New Roman"/>
          <w:sz w:val="24"/>
          <w:szCs w:val="24"/>
        </w:rPr>
        <w:t xml:space="preserve"> in a courthouse, videotaped with fellow firefighters attending, without informing the firefighter’s children because they might object (36-year-age difference), and he died four days </w:t>
      </w:r>
      <w:proofErr w:type="gramStart"/>
      <w:r>
        <w:rPr>
          <w:rFonts w:ascii="Times New Roman" w:hAnsi="Times New Roman"/>
          <w:sz w:val="24"/>
          <w:szCs w:val="24"/>
        </w:rPr>
        <w:t>later on</w:t>
      </w:r>
      <w:proofErr w:type="gramEnd"/>
      <w:r>
        <w:rPr>
          <w:rFonts w:ascii="Times New Roman" w:hAnsi="Times New Roman"/>
          <w:sz w:val="24"/>
          <w:szCs w:val="24"/>
        </w:rPr>
        <w:t xml:space="preserve"> May 6, 2019.  The trial judge noted that </w:t>
      </w:r>
      <w:r w:rsidRPr="004518B5">
        <w:rPr>
          <w:rFonts w:ascii="Times New Roman" w:eastAsia="Times New Roman" w:hAnsi="Times New Roman"/>
          <w:sz w:val="24"/>
          <w:szCs w:val="24"/>
        </w:rPr>
        <w:t xml:space="preserve">Estridge had always intended Taylor to have his firefighter's pension, because, if he died unmarried, it would go </w:t>
      </w:r>
      <w:r>
        <w:rPr>
          <w:rFonts w:ascii="Times New Roman" w:eastAsia="Times New Roman" w:hAnsi="Times New Roman"/>
          <w:sz w:val="24"/>
          <w:szCs w:val="24"/>
        </w:rPr>
        <w:t>‘</w:t>
      </w:r>
      <w:r w:rsidRPr="004518B5">
        <w:rPr>
          <w:rFonts w:ascii="Times New Roman" w:eastAsia="Times New Roman" w:hAnsi="Times New Roman"/>
          <w:sz w:val="24"/>
          <w:szCs w:val="24"/>
        </w:rPr>
        <w:t>back into the till</w:t>
      </w:r>
      <w:r>
        <w:rPr>
          <w:rFonts w:ascii="Times New Roman" w:eastAsia="Times New Roman" w:hAnsi="Times New Roman"/>
          <w:sz w:val="24"/>
          <w:szCs w:val="24"/>
        </w:rPr>
        <w:t>’</w:t>
      </w:r>
      <w:r w:rsidRPr="004518B5">
        <w:rPr>
          <w:rFonts w:ascii="Times New Roman" w:eastAsia="Times New Roman" w:hAnsi="Times New Roman"/>
          <w:sz w:val="24"/>
          <w:szCs w:val="24"/>
        </w:rPr>
        <w:t xml:space="preserve"> and he </w:t>
      </w:r>
      <w:r>
        <w:rPr>
          <w:rFonts w:ascii="Times New Roman" w:eastAsia="Times New Roman" w:hAnsi="Times New Roman"/>
          <w:sz w:val="24"/>
          <w:szCs w:val="24"/>
        </w:rPr>
        <w:t>‘</w:t>
      </w:r>
      <w:r w:rsidRPr="004518B5">
        <w:rPr>
          <w:rFonts w:ascii="Times New Roman" w:eastAsia="Times New Roman" w:hAnsi="Times New Roman"/>
          <w:sz w:val="24"/>
          <w:szCs w:val="24"/>
        </w:rPr>
        <w:t>didn't want to work that long for nothing[, ]</w:t>
      </w:r>
      <w:r>
        <w:rPr>
          <w:rFonts w:ascii="Times New Roman" w:eastAsia="Times New Roman" w:hAnsi="Times New Roman"/>
          <w:sz w:val="24"/>
          <w:szCs w:val="24"/>
        </w:rPr>
        <w:t>’</w:t>
      </w:r>
      <w:r w:rsidRPr="004518B5">
        <w:rPr>
          <w:rFonts w:ascii="Times New Roman" w:eastAsia="Times New Roman" w:hAnsi="Times New Roman"/>
          <w:sz w:val="24"/>
          <w:szCs w:val="24"/>
        </w:rPr>
        <w:t xml:space="preserve"> so Estridge also signed a pension benefits beneficiary designation, listing Taylor as his spousal beneficiary. (Transcript Vol. II, p. 234). </w:t>
      </w:r>
      <w:r>
        <w:rPr>
          <w:rFonts w:ascii="Times New Roman" w:eastAsia="Times New Roman" w:hAnsi="Times New Roman"/>
          <w:sz w:val="24"/>
          <w:szCs w:val="24"/>
        </w:rPr>
        <w:t xml:space="preserve"> </w:t>
      </w:r>
      <w:r>
        <w:rPr>
          <w:rFonts w:ascii="Times New Roman" w:hAnsi="Times New Roman"/>
          <w:sz w:val="24"/>
          <w:szCs w:val="24"/>
        </w:rPr>
        <w:t xml:space="preserve">She will now receive $2,711.34 per month, or approximately $1,6 million over her lifetime.  </w:t>
      </w:r>
      <w:r w:rsidRPr="00642716">
        <w:rPr>
          <w:rFonts w:ascii="Times New Roman" w:hAnsi="Times New Roman"/>
          <w:sz w:val="24"/>
          <w:szCs w:val="24"/>
        </w:rPr>
        <w:t xml:space="preserve">In the absence of </w:t>
      </w:r>
      <w:proofErr w:type="gramStart"/>
      <w:r w:rsidRPr="00642716">
        <w:rPr>
          <w:rFonts w:ascii="Times New Roman" w:hAnsi="Times New Roman"/>
          <w:sz w:val="24"/>
          <w:szCs w:val="24"/>
        </w:rPr>
        <w:t>the marriage</w:t>
      </w:r>
      <w:proofErr w:type="gramEnd"/>
      <w:r w:rsidRPr="00642716">
        <w:rPr>
          <w:rFonts w:ascii="Times New Roman" w:hAnsi="Times New Roman"/>
          <w:sz w:val="24"/>
          <w:szCs w:val="24"/>
        </w:rPr>
        <w:t xml:space="preserve">, Estridge's estate would have received </w:t>
      </w:r>
      <w:r>
        <w:rPr>
          <w:rFonts w:ascii="Times New Roman" w:hAnsi="Times New Roman"/>
          <w:sz w:val="24"/>
          <w:szCs w:val="24"/>
        </w:rPr>
        <w:t xml:space="preserve">only </w:t>
      </w:r>
      <w:r w:rsidRPr="00642716">
        <w:rPr>
          <w:rFonts w:ascii="Times New Roman" w:hAnsi="Times New Roman"/>
          <w:sz w:val="24"/>
          <w:szCs w:val="24"/>
        </w:rPr>
        <w:t>the value of his contributions to the pension plan, which would have amounted to approximately $170, 000.</w:t>
      </w:r>
      <w:r>
        <w:rPr>
          <w:rFonts w:ascii="Times New Roman" w:hAnsi="Times New Roman"/>
          <w:sz w:val="24"/>
          <w:szCs w:val="24"/>
        </w:rPr>
        <w:t xml:space="preserve"> </w:t>
      </w:r>
      <w:hyperlink r:id="rId514" w:history="1">
        <w:r w:rsidRPr="00E9684A">
          <w:rPr>
            <w:rStyle w:val="Hyperlink"/>
            <w:rFonts w:ascii="Times New Roman" w:hAnsi="Times New Roman"/>
            <w:sz w:val="24"/>
            <w:szCs w:val="24"/>
          </w:rPr>
          <w:t>https://law.justia.com/cases/indiana/court-of-appeals/2022/21a-dn-01379.html</w:t>
        </w:r>
      </w:hyperlink>
    </w:p>
    <w:p w14:paraId="72A61B46" w14:textId="0C4836C1" w:rsidR="003F4E70" w:rsidRDefault="003F4E70" w:rsidP="00EF1133">
      <w:pPr>
        <w:pStyle w:val="NoSpacing"/>
        <w:rPr>
          <w:rFonts w:ascii="Arial Black" w:hAnsi="Arial Black"/>
          <w:sz w:val="24"/>
          <w:szCs w:val="24"/>
        </w:rPr>
      </w:pPr>
    </w:p>
    <w:p w14:paraId="572E2EDF" w14:textId="77777777" w:rsidR="003F4E70" w:rsidRDefault="003F4E70" w:rsidP="003F4E70">
      <w:pPr>
        <w:spacing w:after="100" w:line="240" w:lineRule="auto"/>
        <w:rPr>
          <w:rFonts w:ascii="Times New Roman" w:hAnsi="Times New Roman"/>
          <w:b/>
          <w:bCs/>
          <w:sz w:val="24"/>
          <w:szCs w:val="24"/>
        </w:rPr>
      </w:pPr>
      <w:r w:rsidRPr="00642716">
        <w:rPr>
          <w:rFonts w:ascii="Times New Roman" w:hAnsi="Times New Roman"/>
          <w:b/>
          <w:bCs/>
          <w:sz w:val="24"/>
          <w:szCs w:val="24"/>
        </w:rPr>
        <w:t>Legal Lesson Learned:</w:t>
      </w:r>
      <w:r>
        <w:rPr>
          <w:rFonts w:ascii="Times New Roman" w:hAnsi="Times New Roman"/>
          <w:b/>
          <w:bCs/>
          <w:sz w:val="24"/>
          <w:szCs w:val="24"/>
        </w:rPr>
        <w:t xml:space="preserve"> They wisely videotaped the wedding. </w:t>
      </w:r>
    </w:p>
    <w:p w14:paraId="0A7F5EC1" w14:textId="5362BF12" w:rsidR="003F4E70" w:rsidRDefault="003F4E70" w:rsidP="00EF1133">
      <w:pPr>
        <w:pStyle w:val="NoSpacing"/>
        <w:rPr>
          <w:rFonts w:ascii="Arial Black" w:hAnsi="Arial Black"/>
          <w:sz w:val="24"/>
          <w:szCs w:val="24"/>
        </w:rPr>
      </w:pPr>
    </w:p>
    <w:p w14:paraId="0E48EEC8" w14:textId="71FECDE8" w:rsidR="003F4E70" w:rsidRDefault="003F4E70" w:rsidP="00EF1133">
      <w:pPr>
        <w:pStyle w:val="NoSpacing"/>
        <w:rPr>
          <w:rFonts w:ascii="Arial Black" w:hAnsi="Arial Black"/>
          <w:sz w:val="24"/>
          <w:szCs w:val="24"/>
        </w:rPr>
      </w:pPr>
    </w:p>
    <w:p w14:paraId="3A1777CC" w14:textId="42708B8B" w:rsidR="00E97D63" w:rsidRDefault="00E97D63" w:rsidP="00EF1133">
      <w:pPr>
        <w:pStyle w:val="NoSpacing"/>
        <w:rPr>
          <w:rFonts w:ascii="Arial Black" w:hAnsi="Arial Black"/>
          <w:sz w:val="24"/>
          <w:szCs w:val="24"/>
        </w:rPr>
      </w:pPr>
      <w:r>
        <w:rPr>
          <w:rFonts w:ascii="Arial Black" w:hAnsi="Arial Black"/>
          <w:sz w:val="24"/>
          <w:szCs w:val="24"/>
        </w:rPr>
        <w:t>2-42</w:t>
      </w:r>
    </w:p>
    <w:p w14:paraId="529F3E56" w14:textId="77777777" w:rsidR="00E97D63" w:rsidRPr="00FF6BD3" w:rsidRDefault="00E97D63" w:rsidP="00E97D6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NM: BORDER PATROL RECRUIT DIED – TIMED RUN  / WARM /  ALTITUDE – SICLE CELL - DEATH BENEFITS NEW REVIEW</w:t>
      </w:r>
    </w:p>
    <w:p w14:paraId="42275D75" w14:textId="77777777" w:rsidR="00E97D63" w:rsidRPr="00EE0394" w:rsidRDefault="00E97D63" w:rsidP="00E97D63">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On April 15, 2022, in </w:t>
      </w:r>
      <w:r w:rsidRPr="00EE0394">
        <w:rPr>
          <w:rFonts w:ascii="Times New Roman" w:eastAsia="Times New Roman" w:hAnsi="Times New Roman"/>
          <w:sz w:val="24"/>
          <w:szCs w:val="24"/>
          <w:u w:val="single"/>
        </w:rPr>
        <w:t>Lisa Afolayan, Widow of Nathaniel Afolayan v. U.S. Department of Justice</w:t>
      </w:r>
      <w:r>
        <w:rPr>
          <w:rFonts w:ascii="Times New Roman" w:eastAsia="Times New Roman" w:hAnsi="Times New Roman"/>
          <w:sz w:val="24"/>
          <w:szCs w:val="24"/>
        </w:rPr>
        <w:t xml:space="preserve">, the U.S. Court of Appeals for Federal Circuit (D.C.), held (3 to 0) that the denial of death benefits is vacated, and case remanded for further review.  The recruit died after a </w:t>
      </w:r>
      <w:r w:rsidRPr="00EE0394">
        <w:rPr>
          <w:rFonts w:ascii="Times New Roman" w:hAnsi="Times New Roman"/>
          <w:sz w:val="24"/>
          <w:szCs w:val="24"/>
        </w:rPr>
        <w:t xml:space="preserve">one-and-a-half mile run </w:t>
      </w:r>
      <w:r>
        <w:rPr>
          <w:rFonts w:ascii="Times New Roman" w:hAnsi="Times New Roman"/>
          <w:sz w:val="24"/>
          <w:szCs w:val="24"/>
        </w:rPr>
        <w:t xml:space="preserve">on April 30, 2019, </w:t>
      </w:r>
      <w:r w:rsidRPr="00EE0394">
        <w:rPr>
          <w:rFonts w:ascii="Times New Roman" w:hAnsi="Times New Roman"/>
          <w:sz w:val="24"/>
          <w:szCs w:val="24"/>
        </w:rPr>
        <w:t>to be completed in thirteen minutes or less</w:t>
      </w:r>
      <w:r>
        <w:rPr>
          <w:rFonts w:ascii="Times New Roman" w:hAnsi="Times New Roman"/>
          <w:sz w:val="24"/>
          <w:szCs w:val="24"/>
        </w:rPr>
        <w:t xml:space="preserve">; </w:t>
      </w:r>
      <w:r w:rsidRPr="00EE0394">
        <w:rPr>
          <w:rFonts w:ascii="Times New Roman" w:hAnsi="Times New Roman"/>
          <w:sz w:val="24"/>
          <w:szCs w:val="24"/>
        </w:rPr>
        <w:t>at approximately 3, 400 feet above sea level, with the temperature at approximately 88 degrees Fahrenheit and relative humidity between six and seven percent.</w:t>
      </w:r>
      <w:r>
        <w:rPr>
          <w:rFonts w:ascii="Times New Roman" w:hAnsi="Times New Roman"/>
          <w:sz w:val="24"/>
          <w:szCs w:val="24"/>
        </w:rPr>
        <w:t xml:space="preserve">  The death certificate listed “Heath Illness” as cause of death. </w:t>
      </w:r>
      <w:r>
        <w:rPr>
          <w:rFonts w:ascii="Times New Roman" w:eastAsia="Times New Roman" w:hAnsi="Times New Roman"/>
          <w:sz w:val="24"/>
          <w:szCs w:val="24"/>
        </w:rPr>
        <w:t xml:space="preserve">The Court found that the </w:t>
      </w:r>
      <w:proofErr w:type="spellStart"/>
      <w:r>
        <w:rPr>
          <w:rFonts w:ascii="Times New Roman" w:eastAsia="Times New Roman" w:hAnsi="Times New Roman"/>
          <w:sz w:val="24"/>
          <w:szCs w:val="24"/>
        </w:rPr>
        <w:t>DoJ</w:t>
      </w:r>
      <w:proofErr w:type="spellEnd"/>
      <w:r>
        <w:rPr>
          <w:rFonts w:ascii="Times New Roman" w:eastAsia="Times New Roman" w:hAnsi="Times New Roman"/>
          <w:sz w:val="24"/>
          <w:szCs w:val="24"/>
        </w:rPr>
        <w:t xml:space="preserve"> Bureau of Justice Assistance </w:t>
      </w:r>
      <w:r w:rsidRPr="00EE0394">
        <w:rPr>
          <w:rFonts w:ascii="Times New Roman" w:hAnsi="Times New Roman"/>
          <w:sz w:val="24"/>
          <w:szCs w:val="24"/>
        </w:rPr>
        <w:t xml:space="preserve">failed to determine whether the climatic conditions surrounding Agent Afolayan's death were a "direct and proximate cause" of his injuries, and if climatic conditions were a cause, whether Agent Afolayan's sickle cell trait could properly be considered in evaluating alternate causation. </w:t>
      </w:r>
      <w:hyperlink r:id="rId515" w:history="1">
        <w:r w:rsidRPr="00451CC8">
          <w:rPr>
            <w:rStyle w:val="Hyperlink"/>
            <w:rFonts w:ascii="Times New Roman" w:hAnsi="Times New Roman"/>
            <w:sz w:val="24"/>
            <w:szCs w:val="24"/>
          </w:rPr>
          <w:t>https://cafc.uscourts.gov/opinions-orders/21-1452.OPINION.4-15-2022_1936831.pdf</w:t>
        </w:r>
      </w:hyperlink>
      <w:r>
        <w:rPr>
          <w:rFonts w:ascii="Times New Roman" w:hAnsi="Times New Roman"/>
          <w:sz w:val="24"/>
          <w:szCs w:val="24"/>
        </w:rPr>
        <w:t xml:space="preserve"> </w:t>
      </w:r>
    </w:p>
    <w:p w14:paraId="05F98EEB" w14:textId="77777777" w:rsidR="003F4E70" w:rsidRPr="00CA3047" w:rsidRDefault="003F4E70" w:rsidP="003F4E70">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Climate conditions can qualify as a “direct and proximate cause” of death. </w:t>
      </w:r>
    </w:p>
    <w:p w14:paraId="6301AEE4" w14:textId="77777777" w:rsidR="00E97D63" w:rsidRDefault="00E97D63" w:rsidP="00EF1133">
      <w:pPr>
        <w:pStyle w:val="NoSpacing"/>
        <w:rPr>
          <w:rFonts w:ascii="Arial Black" w:hAnsi="Arial Black"/>
          <w:sz w:val="24"/>
          <w:szCs w:val="24"/>
        </w:rPr>
      </w:pPr>
    </w:p>
    <w:p w14:paraId="2500BFDD" w14:textId="77777777" w:rsidR="00E97D63" w:rsidRDefault="00E97D63" w:rsidP="00EF1133">
      <w:pPr>
        <w:pStyle w:val="NoSpacing"/>
        <w:rPr>
          <w:rFonts w:ascii="Arial Black" w:hAnsi="Arial Black"/>
          <w:sz w:val="24"/>
          <w:szCs w:val="24"/>
        </w:rPr>
      </w:pPr>
    </w:p>
    <w:p w14:paraId="66EEC629" w14:textId="77777777" w:rsidR="00E97D63" w:rsidRDefault="00E97D63" w:rsidP="00EF1133">
      <w:pPr>
        <w:pStyle w:val="NoSpacing"/>
        <w:rPr>
          <w:rFonts w:ascii="Arial Black" w:hAnsi="Arial Black"/>
          <w:sz w:val="24"/>
          <w:szCs w:val="24"/>
        </w:rPr>
      </w:pPr>
    </w:p>
    <w:p w14:paraId="645A88D2" w14:textId="28CD4C24" w:rsidR="00A20CA7" w:rsidRDefault="00A20CA7" w:rsidP="00EF1133">
      <w:pPr>
        <w:pStyle w:val="NoSpacing"/>
        <w:rPr>
          <w:rFonts w:ascii="Arial Black" w:hAnsi="Arial Black"/>
          <w:sz w:val="24"/>
          <w:szCs w:val="24"/>
        </w:rPr>
      </w:pPr>
      <w:r>
        <w:rPr>
          <w:rFonts w:ascii="Arial Black" w:hAnsi="Arial Black"/>
          <w:sz w:val="24"/>
          <w:szCs w:val="24"/>
        </w:rPr>
        <w:t>2-4</w:t>
      </w:r>
      <w:r w:rsidR="00680939">
        <w:rPr>
          <w:rFonts w:ascii="Arial Black" w:hAnsi="Arial Black"/>
          <w:sz w:val="24"/>
          <w:szCs w:val="24"/>
        </w:rPr>
        <w:t>1</w:t>
      </w:r>
    </w:p>
    <w:p w14:paraId="2594A18E" w14:textId="77777777" w:rsidR="00A20CA7" w:rsidRPr="00D42366" w:rsidRDefault="00A20CA7" w:rsidP="00A20CA7">
      <w:pPr>
        <w:spacing w:before="100" w:beforeAutospacing="1" w:after="100" w:afterAutospacing="1" w:line="240" w:lineRule="auto"/>
        <w:jc w:val="both"/>
        <w:rPr>
          <w:rFonts w:ascii="Arial Black" w:eastAsia="Times New Roman" w:hAnsi="Arial Black"/>
          <w:sz w:val="28"/>
          <w:szCs w:val="28"/>
        </w:rPr>
      </w:pPr>
      <w:r>
        <w:rPr>
          <w:rFonts w:ascii="Arial Black" w:eastAsia="Times New Roman" w:hAnsi="Arial Black"/>
          <w:b/>
          <w:bCs/>
          <w:sz w:val="28"/>
          <w:szCs w:val="28"/>
        </w:rPr>
        <w:t xml:space="preserve">LA: FF BLADDER CANCER – CLAIMS EXPOSURE AFFF FOAM - 2,000 CASES (50% FF) </w:t>
      </w:r>
      <w:r>
        <w:rPr>
          <w:rFonts w:ascii="Arial Black" w:eastAsia="Times New Roman" w:hAnsi="Arial Black"/>
          <w:sz w:val="28"/>
          <w:szCs w:val="28"/>
        </w:rPr>
        <w:t xml:space="preserve">WTH FED. JUDGE IN </w:t>
      </w:r>
      <w:r w:rsidRPr="00D42366">
        <w:rPr>
          <w:rFonts w:ascii="Arial Black" w:eastAsia="Times New Roman" w:hAnsi="Arial Black"/>
          <w:sz w:val="28"/>
          <w:szCs w:val="28"/>
        </w:rPr>
        <w:t>SOUTH CAROLINA</w:t>
      </w:r>
    </w:p>
    <w:p w14:paraId="28782E4A" w14:textId="490503B1" w:rsidR="00A20CA7" w:rsidRDefault="00A20CA7" w:rsidP="00A20CA7">
      <w:pPr>
        <w:pStyle w:val="NoSpacing"/>
        <w:rPr>
          <w:rStyle w:val="Hyperlink"/>
          <w:rFonts w:ascii="Times New Roman" w:hAnsi="Times New Roman"/>
          <w:sz w:val="24"/>
          <w:szCs w:val="24"/>
        </w:rPr>
      </w:pPr>
      <w:r w:rsidRPr="00D42366">
        <w:rPr>
          <w:rFonts w:ascii="Times New Roman" w:eastAsia="Times New Roman" w:hAnsi="Times New Roman"/>
          <w:sz w:val="24"/>
          <w:szCs w:val="24"/>
        </w:rPr>
        <w:t xml:space="preserve">On </w:t>
      </w:r>
      <w:r>
        <w:rPr>
          <w:rFonts w:ascii="Times New Roman" w:eastAsia="Times New Roman" w:hAnsi="Times New Roman"/>
          <w:sz w:val="24"/>
          <w:szCs w:val="24"/>
        </w:rPr>
        <w:t xml:space="preserve">Jan. 27, 2022, in </w:t>
      </w:r>
      <w:r w:rsidRPr="00D42366">
        <w:rPr>
          <w:rFonts w:ascii="Times New Roman" w:eastAsia="Times New Roman" w:hAnsi="Times New Roman"/>
          <w:sz w:val="24"/>
          <w:szCs w:val="24"/>
          <w:u w:val="single"/>
        </w:rPr>
        <w:t xml:space="preserve">David G. Tibbetts v. 3M Company, </w:t>
      </w:r>
      <w:r w:rsidRPr="00AE059C">
        <w:rPr>
          <w:rFonts w:ascii="Times New Roman" w:hAnsi="Times New Roman"/>
          <w:sz w:val="24"/>
          <w:szCs w:val="24"/>
        </w:rPr>
        <w:t xml:space="preserve">Tyco Fire Products LP and </w:t>
      </w:r>
      <w:proofErr w:type="spellStart"/>
      <w:r w:rsidRPr="00AE059C">
        <w:rPr>
          <w:rFonts w:ascii="Times New Roman" w:hAnsi="Times New Roman"/>
          <w:sz w:val="24"/>
          <w:szCs w:val="24"/>
        </w:rPr>
        <w:t>Chemguard</w:t>
      </w:r>
      <w:proofErr w:type="spellEnd"/>
      <w:r w:rsidRPr="00AE059C">
        <w:rPr>
          <w:rFonts w:ascii="Times New Roman" w:hAnsi="Times New Roman"/>
          <w:sz w:val="24"/>
          <w:szCs w:val="24"/>
        </w:rPr>
        <w:t>, Inc</w:t>
      </w:r>
      <w:r>
        <w:t xml:space="preserve">., </w:t>
      </w:r>
      <w:r>
        <w:rPr>
          <w:rFonts w:ascii="Times New Roman" w:eastAsia="Times New Roman" w:hAnsi="Times New Roman"/>
          <w:sz w:val="24"/>
          <w:szCs w:val="24"/>
        </w:rPr>
        <w:t xml:space="preserve">Chief U.S. District Court Judge Nannette Brown, U.S. District Court, Eastern District of Louisiana, granted defense motion to stay all discovery in this case so the Judicial Panel on </w:t>
      </w:r>
      <w:r w:rsidRPr="00AE059C">
        <w:rPr>
          <w:rFonts w:ascii="Times New Roman" w:eastAsia="Times New Roman" w:hAnsi="Times New Roman"/>
          <w:sz w:val="24"/>
          <w:szCs w:val="24"/>
        </w:rPr>
        <w:t xml:space="preserve">Multidistrict Litigation </w:t>
      </w:r>
      <w:r w:rsidRPr="00AE059C">
        <w:rPr>
          <w:rFonts w:ascii="Times New Roman" w:hAnsi="Times New Roman"/>
          <w:sz w:val="24"/>
          <w:szCs w:val="24"/>
        </w:rPr>
        <w:t xml:space="preserve">can decide </w:t>
      </w:r>
      <w:r>
        <w:rPr>
          <w:rFonts w:ascii="Times New Roman" w:hAnsi="Times New Roman"/>
          <w:sz w:val="24"/>
          <w:szCs w:val="24"/>
        </w:rPr>
        <w:t xml:space="preserve">to transfer it to </w:t>
      </w:r>
      <w:r w:rsidRPr="00843A24">
        <w:rPr>
          <w:rFonts w:ascii="Times New Roman" w:hAnsi="Times New Roman"/>
          <w:sz w:val="24"/>
          <w:szCs w:val="24"/>
        </w:rPr>
        <w:t>Judge Richard M. Gergel</w:t>
      </w:r>
      <w:r>
        <w:rPr>
          <w:rFonts w:ascii="Times New Roman" w:hAnsi="Times New Roman"/>
          <w:sz w:val="24"/>
          <w:szCs w:val="24"/>
        </w:rPr>
        <w:t xml:space="preserve">, </w:t>
      </w:r>
      <w:r w:rsidRPr="00843A24">
        <w:rPr>
          <w:rFonts w:ascii="Times New Roman" w:hAnsi="Times New Roman"/>
          <w:sz w:val="24"/>
          <w:szCs w:val="24"/>
        </w:rPr>
        <w:t>U</w:t>
      </w:r>
      <w:r>
        <w:rPr>
          <w:rFonts w:ascii="Times New Roman" w:hAnsi="Times New Roman"/>
          <w:sz w:val="24"/>
          <w:szCs w:val="24"/>
        </w:rPr>
        <w:t xml:space="preserve">.S. District Court in South Carolina, who has been presiding over similar cases since 2018 (now over 2,000 lawsuits, with more than half are firefighters with cancer).   </w:t>
      </w:r>
      <w:hyperlink r:id="rId516" w:history="1">
        <w:r w:rsidRPr="00AC2C12">
          <w:rPr>
            <w:rStyle w:val="Hyperlink"/>
            <w:rFonts w:ascii="Times New Roman" w:hAnsi="Times New Roman"/>
            <w:sz w:val="24"/>
            <w:szCs w:val="24"/>
          </w:rPr>
          <w:t>https://public.fastcase.com/9SKwsfNqTc6OieYDhNMyM9xc2pxP%2FDu9FaHS39uIywoNWZfMpeo5x%2FagXmZgtb6udFSKN2SMusDFZQbDcDfWSogmOURw4QaQEmhtdPNd1MI%3D</w:t>
        </w:r>
      </w:hyperlink>
    </w:p>
    <w:p w14:paraId="606B738B" w14:textId="153C77F6" w:rsidR="00A20CA7" w:rsidRDefault="00A20CA7" w:rsidP="00A20CA7">
      <w:pPr>
        <w:pStyle w:val="NoSpacing"/>
        <w:rPr>
          <w:rStyle w:val="Hyperlink"/>
          <w:rFonts w:ascii="Times New Roman" w:hAnsi="Times New Roman"/>
          <w:sz w:val="24"/>
          <w:szCs w:val="24"/>
        </w:rPr>
      </w:pPr>
    </w:p>
    <w:p w14:paraId="71B7A591" w14:textId="6A9810B9" w:rsidR="00A20CA7" w:rsidRDefault="00A20CA7" w:rsidP="00A20CA7">
      <w:pPr>
        <w:spacing w:before="100" w:beforeAutospacing="1" w:after="100" w:afterAutospacing="1" w:line="240" w:lineRule="auto"/>
        <w:rPr>
          <w:rFonts w:ascii="Times New Roman" w:hAnsi="Times New Roman"/>
          <w:b/>
          <w:bCs/>
          <w:sz w:val="24"/>
          <w:szCs w:val="24"/>
        </w:rPr>
      </w:pPr>
      <w:r w:rsidRPr="00843A24">
        <w:rPr>
          <w:rFonts w:ascii="Times New Roman" w:hAnsi="Times New Roman"/>
          <w:b/>
          <w:bCs/>
          <w:sz w:val="24"/>
          <w:szCs w:val="24"/>
        </w:rPr>
        <w:t xml:space="preserve">Legal Lesson Learned: </w:t>
      </w:r>
      <w:r>
        <w:rPr>
          <w:rFonts w:ascii="Times New Roman" w:hAnsi="Times New Roman"/>
          <w:b/>
          <w:bCs/>
          <w:sz w:val="24"/>
          <w:szCs w:val="24"/>
        </w:rPr>
        <w:t xml:space="preserve">AFFF should not be used at your FD. </w:t>
      </w:r>
    </w:p>
    <w:p w14:paraId="66C66DD5" w14:textId="65708268" w:rsidR="00680939" w:rsidRDefault="00680939" w:rsidP="00A20CA7">
      <w:pPr>
        <w:spacing w:before="100" w:beforeAutospacing="1" w:after="100" w:afterAutospacing="1" w:line="240" w:lineRule="auto"/>
        <w:rPr>
          <w:rFonts w:ascii="Times New Roman" w:hAnsi="Times New Roman"/>
          <w:b/>
          <w:bCs/>
          <w:sz w:val="24"/>
          <w:szCs w:val="24"/>
        </w:rPr>
      </w:pPr>
    </w:p>
    <w:p w14:paraId="2847BD8E" w14:textId="7C82A379" w:rsidR="00680939" w:rsidRDefault="00680939" w:rsidP="00A20CA7">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2-40 [also filed Chap. 17]</w:t>
      </w:r>
    </w:p>
    <w:p w14:paraId="4B7019A4" w14:textId="77777777" w:rsidR="00680939" w:rsidRPr="000007E3" w:rsidRDefault="00680939" w:rsidP="0068093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CBA – 5 FF MINIMUM MANNING – CHIEF CANNOT UNILATERALLY CHANGE – ARBITRATION TO PROCEED</w:t>
      </w:r>
    </w:p>
    <w:p w14:paraId="26948AA9" w14:textId="77777777" w:rsidR="00680939" w:rsidRDefault="00680939" w:rsidP="00680939">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lastRenderedPageBreak/>
        <w:t xml:space="preserve">On Jan. 13, 2022, </w:t>
      </w:r>
      <w:r w:rsidRPr="00DA4E6C">
        <w:rPr>
          <w:rFonts w:ascii="Times New Roman" w:eastAsia="Times New Roman" w:hAnsi="Times New Roman"/>
          <w:sz w:val="24"/>
          <w:szCs w:val="24"/>
          <w:u w:val="single"/>
        </w:rPr>
        <w:t xml:space="preserve">In the Matter of the Arbitration Between </w:t>
      </w:r>
      <w:proofErr w:type="gramStart"/>
      <w:r w:rsidRPr="00DA4E6C">
        <w:rPr>
          <w:rFonts w:ascii="Times New Roman" w:eastAsia="Times New Roman" w:hAnsi="Times New Roman"/>
          <w:sz w:val="24"/>
          <w:szCs w:val="24"/>
          <w:u w:val="single"/>
        </w:rPr>
        <w:t>The</w:t>
      </w:r>
      <w:proofErr w:type="gramEnd"/>
      <w:r w:rsidRPr="00DA4E6C">
        <w:rPr>
          <w:rFonts w:ascii="Times New Roman" w:eastAsia="Times New Roman" w:hAnsi="Times New Roman"/>
          <w:sz w:val="24"/>
          <w:szCs w:val="24"/>
          <w:u w:val="single"/>
        </w:rPr>
        <w:t xml:space="preserve"> City of Ogdensburg and IAFF Local 1792</w:t>
      </w:r>
      <w:r>
        <w:rPr>
          <w:rFonts w:ascii="Times New Roman" w:eastAsia="Times New Roman" w:hAnsi="Times New Roman"/>
          <w:sz w:val="24"/>
          <w:szCs w:val="24"/>
        </w:rPr>
        <w:t xml:space="preserve">, the Superior Court of New York (Third Department), held (5 to 0) that the trial court improperly granted the City’s </w:t>
      </w:r>
      <w:proofErr w:type="gramStart"/>
      <w:r>
        <w:rPr>
          <w:rFonts w:ascii="Times New Roman" w:eastAsia="Times New Roman" w:hAnsi="Times New Roman"/>
          <w:sz w:val="24"/>
          <w:szCs w:val="24"/>
        </w:rPr>
        <w:t>motion to</w:t>
      </w:r>
      <w:proofErr w:type="gramEnd"/>
      <w:r>
        <w:rPr>
          <w:rFonts w:ascii="Times New Roman" w:eastAsia="Times New Roman" w:hAnsi="Times New Roman"/>
          <w:sz w:val="24"/>
          <w:szCs w:val="24"/>
        </w:rPr>
        <w:t xml:space="preserve"> </w:t>
      </w:r>
      <w:r w:rsidRPr="00DA4E6C">
        <w:rPr>
          <w:rFonts w:ascii="Times New Roman" w:hAnsi="Times New Roman"/>
          <w:sz w:val="24"/>
          <w:szCs w:val="24"/>
        </w:rPr>
        <w:t>permanently stay arbitration between the parties.</w:t>
      </w:r>
      <w:r>
        <w:rPr>
          <w:rFonts w:ascii="Times New Roman" w:hAnsi="Times New Roman"/>
          <w:sz w:val="24"/>
          <w:szCs w:val="24"/>
        </w:rPr>
        <w:t xml:space="preserve">  The CBA provides for arbitration, and “</w:t>
      </w:r>
      <w:r w:rsidRPr="00BA6C00">
        <w:rPr>
          <w:rFonts w:ascii="Times New Roman" w:hAnsi="Times New Roman"/>
          <w:sz w:val="24"/>
          <w:szCs w:val="24"/>
        </w:rPr>
        <w:t>having adequate personnel on hand would be essential to ensure firefighter safety as well as success in fighting the fires.</w:t>
      </w:r>
      <w:r>
        <w:rPr>
          <w:rFonts w:ascii="Times New Roman" w:hAnsi="Times New Roman"/>
          <w:sz w:val="24"/>
          <w:szCs w:val="24"/>
        </w:rPr>
        <w:t xml:space="preserve">” </w:t>
      </w:r>
      <w:hyperlink r:id="rId517" w:history="1">
        <w:r w:rsidRPr="00A83547">
          <w:rPr>
            <w:rStyle w:val="Hyperlink"/>
            <w:rFonts w:ascii="Times New Roman" w:hAnsi="Times New Roman"/>
            <w:sz w:val="24"/>
            <w:szCs w:val="24"/>
          </w:rPr>
          <w:t>https://casetext.com/case/in-re-arbitration-between-city-of-ogdensburg</w:t>
        </w:r>
      </w:hyperlink>
      <w:r>
        <w:rPr>
          <w:rFonts w:ascii="Times New Roman" w:hAnsi="Times New Roman"/>
          <w:sz w:val="24"/>
          <w:szCs w:val="24"/>
        </w:rPr>
        <w:t xml:space="preserve"> </w:t>
      </w:r>
    </w:p>
    <w:p w14:paraId="2B984652" w14:textId="77777777" w:rsidR="00680939" w:rsidRDefault="00680939" w:rsidP="00680939">
      <w:pPr>
        <w:spacing w:before="100" w:beforeAutospacing="1" w:after="100" w:afterAutospacing="1" w:line="240" w:lineRule="auto"/>
      </w:pPr>
      <w:r>
        <w:rPr>
          <w:rFonts w:ascii="Times New Roman" w:eastAsia="Times New Roman" w:hAnsi="Times New Roman"/>
          <w:b/>
          <w:bCs/>
          <w:sz w:val="24"/>
          <w:szCs w:val="24"/>
        </w:rPr>
        <w:t xml:space="preserve">Legal Lesson Learned:  If CBA includes provision on minimum manning per shift, it cannot be unilaterally changed. </w:t>
      </w:r>
    </w:p>
    <w:p w14:paraId="1C1E24A2" w14:textId="77777777" w:rsidR="00680939" w:rsidRPr="00843A24" w:rsidRDefault="00680939" w:rsidP="00A20CA7">
      <w:pPr>
        <w:spacing w:before="100" w:beforeAutospacing="1" w:after="100" w:afterAutospacing="1" w:line="240" w:lineRule="auto"/>
        <w:rPr>
          <w:rFonts w:ascii="Times New Roman" w:hAnsi="Times New Roman"/>
          <w:b/>
          <w:bCs/>
          <w:sz w:val="24"/>
          <w:szCs w:val="24"/>
        </w:rPr>
      </w:pPr>
    </w:p>
    <w:p w14:paraId="4BD2D163" w14:textId="5BCBAE04" w:rsidR="00A20CA7" w:rsidRDefault="00A20CA7" w:rsidP="00A20CA7">
      <w:pPr>
        <w:pStyle w:val="NoSpacing"/>
        <w:rPr>
          <w:rFonts w:ascii="Arial Black" w:hAnsi="Arial Black"/>
          <w:sz w:val="24"/>
          <w:szCs w:val="24"/>
        </w:rPr>
      </w:pPr>
    </w:p>
    <w:p w14:paraId="2FDFC8B0" w14:textId="0B184564" w:rsidR="00A20CA7" w:rsidRDefault="00A20CA7" w:rsidP="00A20CA7">
      <w:pPr>
        <w:pStyle w:val="NoSpacing"/>
        <w:rPr>
          <w:rFonts w:ascii="Arial Black" w:hAnsi="Arial Black"/>
          <w:sz w:val="24"/>
          <w:szCs w:val="24"/>
        </w:rPr>
      </w:pPr>
      <w:r>
        <w:rPr>
          <w:rFonts w:ascii="Arial Black" w:hAnsi="Arial Black"/>
          <w:sz w:val="24"/>
          <w:szCs w:val="24"/>
        </w:rPr>
        <w:t>2-39</w:t>
      </w:r>
    </w:p>
    <w:p w14:paraId="0A52E03C" w14:textId="77777777" w:rsidR="00A20CA7" w:rsidRPr="00233069" w:rsidRDefault="00A20CA7" w:rsidP="00A20CA7">
      <w:pPr>
        <w:pStyle w:val="NormalWeb"/>
        <w:rPr>
          <w:rFonts w:ascii="Arial Black" w:hAnsi="Arial Black"/>
          <w:b/>
          <w:bCs/>
          <w:sz w:val="28"/>
          <w:szCs w:val="28"/>
        </w:rPr>
      </w:pPr>
      <w:r>
        <w:rPr>
          <w:rFonts w:ascii="Arial Black" w:hAnsi="Arial Black"/>
          <w:b/>
          <w:bCs/>
          <w:sz w:val="28"/>
          <w:szCs w:val="28"/>
        </w:rPr>
        <w:t xml:space="preserve">MD: FIREFIGHTER’S RULE – DEPUTY SHERRIF CAN’T SUE MOTORIST WHO STRUCK HER MOVING CAR AT ACCIDENT </w:t>
      </w:r>
    </w:p>
    <w:p w14:paraId="28711EFC" w14:textId="77777777" w:rsidR="00A20CA7" w:rsidRPr="006B4314" w:rsidRDefault="00A20CA7" w:rsidP="00A20CA7">
      <w:pPr>
        <w:rPr>
          <w:rFonts w:ascii="Times New Roman" w:hAnsi="Times New Roman"/>
          <w:sz w:val="24"/>
          <w:szCs w:val="24"/>
        </w:rPr>
      </w:pPr>
      <w:r w:rsidRPr="006B4314">
        <w:rPr>
          <w:rFonts w:ascii="Times New Roman" w:hAnsi="Times New Roman"/>
          <w:sz w:val="24"/>
          <w:szCs w:val="24"/>
        </w:rPr>
        <w:t xml:space="preserve">On Jan. 4, 2022, in </w:t>
      </w:r>
      <w:r w:rsidRPr="006B4314">
        <w:rPr>
          <w:rFonts w:ascii="Times New Roman" w:hAnsi="Times New Roman"/>
          <w:sz w:val="24"/>
          <w:szCs w:val="24"/>
          <w:u w:val="single"/>
        </w:rPr>
        <w:t xml:space="preserve">Kassondra Topper v. John C. Thomas, As Special Administrator of the estate of </w:t>
      </w:r>
      <w:proofErr w:type="spellStart"/>
      <w:r w:rsidRPr="006B4314">
        <w:rPr>
          <w:rFonts w:ascii="Times New Roman" w:hAnsi="Times New Roman"/>
          <w:sz w:val="24"/>
          <w:szCs w:val="24"/>
          <w:u w:val="single"/>
        </w:rPr>
        <w:t>Lynwod</w:t>
      </w:r>
      <w:proofErr w:type="spellEnd"/>
      <w:r w:rsidRPr="006B4314">
        <w:rPr>
          <w:rFonts w:ascii="Times New Roman" w:hAnsi="Times New Roman"/>
          <w:sz w:val="24"/>
          <w:szCs w:val="24"/>
          <w:u w:val="single"/>
        </w:rPr>
        <w:t xml:space="preserve"> Samuel Stride</w:t>
      </w:r>
      <w:r w:rsidRPr="006B4314">
        <w:rPr>
          <w:rFonts w:ascii="Times New Roman" w:hAnsi="Times New Roman"/>
          <w:sz w:val="24"/>
          <w:szCs w:val="24"/>
        </w:rPr>
        <w:t xml:space="preserve">, the Court of Special Appeals of Maryland, held (3 to 0) that a Deputy Sheriff is barred by the Fireman’s Rule from suing a motorist (or his estate, since he is now deceased) who ran into her for damages sustained while she was performing her normal duties. “The possibility of injury from the movement of the vehicle involved in the initial accident away from the lanes of travel was reasonably foreseeable as part of Deputy Topper's occupational risk in investigating a motor vehicle collision.” </w:t>
      </w:r>
      <w:hyperlink r:id="rId518" w:history="1">
        <w:r w:rsidRPr="006B4314">
          <w:rPr>
            <w:rStyle w:val="Hyperlink"/>
            <w:rFonts w:ascii="Times New Roman" w:hAnsi="Times New Roman"/>
            <w:sz w:val="24"/>
            <w:szCs w:val="24"/>
          </w:rPr>
          <w:t>https://casetext.com/case/topper-v-thomas</w:t>
        </w:r>
      </w:hyperlink>
      <w:r w:rsidRPr="006B4314">
        <w:rPr>
          <w:rFonts w:ascii="Times New Roman" w:hAnsi="Times New Roman"/>
          <w:sz w:val="24"/>
          <w:szCs w:val="24"/>
        </w:rPr>
        <w:t xml:space="preserve"> </w:t>
      </w:r>
    </w:p>
    <w:p w14:paraId="5F4FBC4C" w14:textId="77777777" w:rsidR="00A20CA7" w:rsidRPr="00DB3B03" w:rsidRDefault="00A20CA7" w:rsidP="00A20CA7">
      <w:pPr>
        <w:pStyle w:val="NormalWeb"/>
        <w:rPr>
          <w:b/>
          <w:bCs/>
        </w:rPr>
      </w:pPr>
      <w:r w:rsidRPr="00DB3B03">
        <w:rPr>
          <w:b/>
          <w:bCs/>
        </w:rPr>
        <w:t>Legal Lesson Learned:</w:t>
      </w:r>
      <w:r>
        <w:rPr>
          <w:b/>
          <w:bCs/>
        </w:rPr>
        <w:t xml:space="preserve"> The Fireman’s Rule is still effective in MD, OH and many other states.  It </w:t>
      </w:r>
      <w:proofErr w:type="gramStart"/>
      <w:r>
        <w:rPr>
          <w:b/>
          <w:bCs/>
        </w:rPr>
        <w:t>has been</w:t>
      </w:r>
      <w:proofErr w:type="gramEnd"/>
      <w:r>
        <w:rPr>
          <w:b/>
          <w:bCs/>
        </w:rPr>
        <w:t xml:space="preserve"> abolished in FL and narrowed in NY. </w:t>
      </w:r>
    </w:p>
    <w:p w14:paraId="1743424A" w14:textId="77777777" w:rsidR="00A20CA7" w:rsidRDefault="00A20CA7" w:rsidP="00A20CA7">
      <w:pPr>
        <w:pStyle w:val="NoSpacing"/>
        <w:rPr>
          <w:rFonts w:ascii="Arial Black" w:hAnsi="Arial Black"/>
          <w:sz w:val="24"/>
          <w:szCs w:val="24"/>
        </w:rPr>
      </w:pPr>
    </w:p>
    <w:p w14:paraId="66491E95" w14:textId="77777777" w:rsidR="00A20CA7" w:rsidRDefault="00A20CA7" w:rsidP="00EF1133">
      <w:pPr>
        <w:pStyle w:val="NoSpacing"/>
        <w:rPr>
          <w:rFonts w:ascii="Arial Black" w:hAnsi="Arial Black"/>
          <w:sz w:val="24"/>
          <w:szCs w:val="24"/>
        </w:rPr>
      </w:pPr>
    </w:p>
    <w:p w14:paraId="22EDEC2A" w14:textId="21FC4754" w:rsidR="00954D68" w:rsidRDefault="00954D68" w:rsidP="00EF1133">
      <w:pPr>
        <w:pStyle w:val="NoSpacing"/>
        <w:rPr>
          <w:rFonts w:ascii="Arial Black" w:hAnsi="Arial Black"/>
          <w:sz w:val="24"/>
          <w:szCs w:val="24"/>
        </w:rPr>
      </w:pPr>
      <w:r>
        <w:rPr>
          <w:rFonts w:ascii="Arial Black" w:hAnsi="Arial Black"/>
          <w:sz w:val="24"/>
          <w:szCs w:val="24"/>
        </w:rPr>
        <w:t>2-38</w:t>
      </w:r>
    </w:p>
    <w:p w14:paraId="50ABCA28" w14:textId="77777777" w:rsidR="00954D68" w:rsidRDefault="00954D68" w:rsidP="00954D68">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NY: POST 9/11 – SINUS/ BREATH - FDNY MEDIC TRAPPED NORTH TOWER - FINALLY GETS 100% DISABILITY </w:t>
      </w:r>
    </w:p>
    <w:p w14:paraId="69773AF8" w14:textId="77777777" w:rsidR="00954D68" w:rsidRPr="0099025C" w:rsidRDefault="00954D68" w:rsidP="00954D68">
      <w:pPr>
        <w:rPr>
          <w:rFonts w:ascii="Times New Roman" w:hAnsi="Times New Roman"/>
          <w:sz w:val="24"/>
          <w:szCs w:val="24"/>
        </w:rPr>
      </w:pPr>
      <w:r w:rsidRPr="0099025C">
        <w:rPr>
          <w:rFonts w:ascii="Times New Roman" w:hAnsi="Times New Roman"/>
          <w:sz w:val="24"/>
          <w:szCs w:val="24"/>
        </w:rPr>
        <w:t xml:space="preserve">On Dec. 13, 2021, </w:t>
      </w:r>
      <w:r w:rsidRPr="0099025C">
        <w:rPr>
          <w:rFonts w:ascii="Times New Roman" w:hAnsi="Times New Roman"/>
          <w:sz w:val="24"/>
          <w:szCs w:val="24"/>
          <w:u w:val="single"/>
        </w:rPr>
        <w:t>In the Matter of the Application of Gary Smiley v. Melanie Winnery, as the Executive Director of the New York City Employee’s Retirement System</w:t>
      </w:r>
      <w:r w:rsidRPr="0099025C">
        <w:rPr>
          <w:rFonts w:ascii="Times New Roman" w:hAnsi="Times New Roman"/>
          <w:sz w:val="24"/>
          <w:szCs w:val="24"/>
        </w:rPr>
        <w:t xml:space="preserve">, Justice Loren Bailey-Schiffman, Supreme Court (Kings County) held (unpublished decision) held that the firefighter is entitled to full “Performance of Duty” (POD) disability benefits since he is no longer able to perform duties of a paramedic. The Workers’ Compensation Board in 2013 </w:t>
      </w:r>
      <w:proofErr w:type="gramStart"/>
      <w:r w:rsidRPr="0099025C">
        <w:rPr>
          <w:rFonts w:ascii="Times New Roman" w:hAnsi="Times New Roman"/>
          <w:sz w:val="24"/>
          <w:szCs w:val="24"/>
        </w:rPr>
        <w:t>had only awarded</w:t>
      </w:r>
      <w:proofErr w:type="gramEnd"/>
      <w:r w:rsidRPr="0099025C">
        <w:rPr>
          <w:rFonts w:ascii="Times New Roman" w:hAnsi="Times New Roman"/>
          <w:sz w:val="24"/>
          <w:szCs w:val="24"/>
        </w:rPr>
        <w:t xml:space="preserve"> him a 45% partial disability for reactive airway disease, eye irritation, shortness of breath, sinusitis &amp; PTSD.</w:t>
      </w:r>
    </w:p>
    <w:p w14:paraId="6FC416CE" w14:textId="1E1E1F27" w:rsidR="00954D68" w:rsidRDefault="00954D68" w:rsidP="00954D68">
      <w:pPr>
        <w:pStyle w:val="NoSpacing"/>
        <w:ind w:left="720"/>
        <w:rPr>
          <w:rFonts w:ascii="Arial Black" w:hAnsi="Arial Black"/>
          <w:sz w:val="24"/>
          <w:szCs w:val="24"/>
        </w:rPr>
      </w:pPr>
      <w:r w:rsidRPr="0099025C">
        <w:rPr>
          <w:rFonts w:ascii="Times New Roman" w:eastAsia="Times New Roman" w:hAnsi="Times New Roman"/>
          <w:sz w:val="24"/>
          <w:szCs w:val="24"/>
        </w:rPr>
        <w:t>“</w:t>
      </w:r>
      <w:r w:rsidRPr="0099025C">
        <w:rPr>
          <w:rFonts w:ascii="Times New Roman" w:hAnsi="Times New Roman"/>
          <w:sz w:val="24"/>
          <w:szCs w:val="24"/>
        </w:rPr>
        <w:t xml:space="preserve">The Board repeatedly found that Petitioner has no functional impairment despite confirmed reports that he cannot be exposed to smoke or other irritants, often has to lie down for hours at a time due to headaches and dizziness and is required to administer no less than three to four sinus rinses per day as well as two or three inhalers and possibly the nebulizer. Clearly, the standard as set forth above has not been met…. </w:t>
      </w:r>
      <w:r w:rsidRPr="0099025C">
        <w:rPr>
          <w:rFonts w:ascii="Times New Roman" w:eastAsia="Times New Roman" w:hAnsi="Times New Roman"/>
          <w:sz w:val="24"/>
          <w:szCs w:val="24"/>
        </w:rPr>
        <w:t xml:space="preserve">The reports upon which Respondents' denials are based fail to set forth any facts supporting </w:t>
      </w:r>
      <w:r w:rsidRPr="0099025C">
        <w:rPr>
          <w:rFonts w:ascii="Times New Roman" w:eastAsia="Times New Roman" w:hAnsi="Times New Roman"/>
          <w:sz w:val="24"/>
          <w:szCs w:val="24"/>
        </w:rPr>
        <w:lastRenderedPageBreak/>
        <w:t xml:space="preserve">the conclusion that Petitioner does not have a functional impairment. No less than four doctors confirmed Petitioner's </w:t>
      </w:r>
      <w:proofErr w:type="gramStart"/>
      <w:r w:rsidRPr="0099025C">
        <w:rPr>
          <w:rFonts w:ascii="Times New Roman" w:eastAsia="Times New Roman" w:hAnsi="Times New Roman"/>
          <w:sz w:val="24"/>
          <w:szCs w:val="24"/>
        </w:rPr>
        <w:t>debilitating severe</w:t>
      </w:r>
      <w:proofErr w:type="gramEnd"/>
      <w:r w:rsidRPr="0099025C">
        <w:rPr>
          <w:rFonts w:ascii="Times New Roman" w:eastAsia="Times New Roman" w:hAnsi="Times New Roman"/>
          <w:sz w:val="24"/>
          <w:szCs w:val="24"/>
        </w:rPr>
        <w:t xml:space="preserve"> and debilitating sinusitis accompanied by headaches and dizziness. Moreover, Dr. Shohet, Dr. Lin, Dr. Crane and all treating doctors have opined that Mr. Smiley cannot perform the duties of a paramedic. No reason is given why these opinions are ignored.” </w:t>
      </w:r>
      <w:hyperlink r:id="rId519" w:history="1">
        <w:r w:rsidRPr="00EC5853">
          <w:rPr>
            <w:rStyle w:val="Hyperlink"/>
            <w:rFonts w:ascii="Times New Roman" w:eastAsia="Times New Roman" w:hAnsi="Times New Roman"/>
            <w:sz w:val="24"/>
            <w:szCs w:val="24"/>
          </w:rPr>
          <w:t>https://public.fastcase.com/9SKwsfNqTc6OieYDhNMyM3GFxg7E14LGt6irGiW6D0AdOSai6WztEAqO8TQbOt2UAfcs%2Ff2iM4MWcxpFzO0W88e5H95ADB2MkHVFfrY4yKc%3D</w:t>
        </w:r>
      </w:hyperlink>
    </w:p>
    <w:p w14:paraId="2C40145E" w14:textId="77777777" w:rsidR="00954D68" w:rsidRDefault="00954D68" w:rsidP="00EF1133">
      <w:pPr>
        <w:pStyle w:val="NoSpacing"/>
        <w:rPr>
          <w:rFonts w:ascii="Arial Black" w:hAnsi="Arial Black"/>
          <w:sz w:val="24"/>
          <w:szCs w:val="24"/>
        </w:rPr>
      </w:pPr>
    </w:p>
    <w:p w14:paraId="15F530DA" w14:textId="77777777" w:rsidR="00954D68" w:rsidRPr="0099025C" w:rsidRDefault="00954D68" w:rsidP="00954D68">
      <w:pPr>
        <w:spacing w:before="100" w:beforeAutospacing="1" w:after="100" w:afterAutospacing="1" w:line="240" w:lineRule="auto"/>
        <w:rPr>
          <w:rFonts w:ascii="Times New Roman" w:hAnsi="Times New Roman"/>
          <w:b/>
          <w:bCs/>
          <w:sz w:val="24"/>
          <w:szCs w:val="24"/>
        </w:rPr>
      </w:pPr>
      <w:r w:rsidRPr="0099025C">
        <w:rPr>
          <w:rFonts w:ascii="Times New Roman" w:hAnsi="Times New Roman"/>
          <w:b/>
          <w:bCs/>
          <w:sz w:val="24"/>
          <w:szCs w:val="24"/>
        </w:rPr>
        <w:t xml:space="preserve">Legal Lesson Learned:  Helpful opinion; the Medical Board cannot “cherry pick” the evidence on disability. </w:t>
      </w:r>
    </w:p>
    <w:p w14:paraId="0AB8AF96" w14:textId="77777777" w:rsidR="00954D68" w:rsidRDefault="00954D68" w:rsidP="00EF1133">
      <w:pPr>
        <w:pStyle w:val="NoSpacing"/>
        <w:rPr>
          <w:rFonts w:ascii="Arial Black" w:hAnsi="Arial Black"/>
          <w:sz w:val="24"/>
          <w:szCs w:val="24"/>
        </w:rPr>
      </w:pPr>
    </w:p>
    <w:p w14:paraId="0731A0DF" w14:textId="77777777" w:rsidR="00954D68" w:rsidRDefault="00954D68" w:rsidP="00EF1133">
      <w:pPr>
        <w:pStyle w:val="NoSpacing"/>
        <w:rPr>
          <w:rFonts w:ascii="Arial Black" w:hAnsi="Arial Black"/>
          <w:sz w:val="24"/>
          <w:szCs w:val="24"/>
        </w:rPr>
      </w:pPr>
    </w:p>
    <w:p w14:paraId="384872EB" w14:textId="6A34D08D" w:rsidR="00365F63" w:rsidRDefault="00365F63" w:rsidP="00EF1133">
      <w:pPr>
        <w:pStyle w:val="NoSpacing"/>
        <w:rPr>
          <w:rFonts w:ascii="Arial Black" w:hAnsi="Arial Black"/>
          <w:sz w:val="24"/>
          <w:szCs w:val="24"/>
        </w:rPr>
      </w:pPr>
      <w:r>
        <w:rPr>
          <w:rFonts w:ascii="Arial Black" w:hAnsi="Arial Black"/>
          <w:sz w:val="24"/>
          <w:szCs w:val="24"/>
        </w:rPr>
        <w:t>2-37</w:t>
      </w:r>
    </w:p>
    <w:p w14:paraId="1BB1AB65" w14:textId="77777777" w:rsidR="00365F63" w:rsidRDefault="00365F63" w:rsidP="00365F63">
      <w:pPr>
        <w:pStyle w:val="NormalWeb"/>
        <w:rPr>
          <w:rFonts w:ascii="Arial Black" w:hAnsi="Arial Black"/>
          <w:sz w:val="28"/>
          <w:szCs w:val="28"/>
        </w:rPr>
      </w:pPr>
      <w:r>
        <w:rPr>
          <w:rFonts w:ascii="Arial Black" w:hAnsi="Arial Black"/>
          <w:sz w:val="28"/>
          <w:szCs w:val="28"/>
        </w:rPr>
        <w:t>KS: FIREFIGHTER HEARING LOSS – ENTITLED TO WORKER’S COMP FOR SIRENS – OTHER LOUD NOISES IN HIS CAREER</w:t>
      </w:r>
    </w:p>
    <w:p w14:paraId="0A08F2FF" w14:textId="77777777" w:rsidR="00365F63" w:rsidRDefault="00365F63" w:rsidP="00365F63">
      <w:pPr>
        <w:pStyle w:val="NormalWeb"/>
      </w:pPr>
      <w:r>
        <w:t xml:space="preserve">On Nov. 19, 2021, in </w:t>
      </w:r>
      <w:r w:rsidRPr="003E0CE5">
        <w:rPr>
          <w:u w:val="single"/>
        </w:rPr>
        <w:t>Patrick O’Neal v. City of Hutchinson</w:t>
      </w:r>
      <w:r>
        <w:t xml:space="preserve">, the Court of Appeals of Kansas, held (3 to 0) (not designated for publication) that the firefighter was entitled to worker’s comp for permanent hearing loss and tinnitus due to repetitive exposure to loud noises during his career. While his initial claim was for a single event with air horn activation inside a fire station (Feb. 23, 2009) was denied, he is entitled to medical coverage for repetitive exposure during his 1994 – 2017 career. </w:t>
      </w:r>
    </w:p>
    <w:p w14:paraId="145EE80C"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3E0CE5">
        <w:rPr>
          <w:rFonts w:ascii="Times New Roman" w:hAnsi="Times New Roman"/>
          <w:sz w:val="24"/>
          <w:szCs w:val="24"/>
        </w:rPr>
        <w:t xml:space="preserve">The </w:t>
      </w:r>
      <w:proofErr w:type="gramStart"/>
      <w:r w:rsidRPr="003E0CE5">
        <w:rPr>
          <w:rFonts w:ascii="Times New Roman" w:hAnsi="Times New Roman"/>
          <w:sz w:val="24"/>
          <w:szCs w:val="24"/>
        </w:rPr>
        <w:t>City</w:t>
      </w:r>
      <w:proofErr w:type="gramEnd"/>
      <w:r w:rsidRPr="003E0CE5">
        <w:rPr>
          <w:rFonts w:ascii="Times New Roman" w:hAnsi="Times New Roman"/>
          <w:sz w:val="24"/>
          <w:szCs w:val="24"/>
        </w:rPr>
        <w:t xml:space="preserve"> has not met its burden to show the Board erred in granting a compensation award to O'Neal. The City's own expert from the single accident claim provided evidence in support of O'Neal's repetitive injury claim. The evidence is sufficient for a reasonable person to find it supported the Board's compensation award.</w:t>
      </w:r>
    </w:p>
    <w:p w14:paraId="17F8CBCF" w14:textId="77777777" w:rsidR="00365F63" w:rsidRPr="003E0CE5" w:rsidRDefault="00365F63" w:rsidP="00365F63">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p>
    <w:p w14:paraId="3EAF878F"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T</w:t>
      </w:r>
      <w:r w:rsidRPr="006863C2">
        <w:rPr>
          <w:rFonts w:ascii="Times New Roman" w:hAnsi="Times New Roman"/>
          <w:sz w:val="24"/>
          <w:szCs w:val="24"/>
        </w:rPr>
        <w:t xml:space="preserve">he City's required hearing exams showed in 2002 that O'Neal sustained hearing loss. Given that it required its firefighters to undergo hearing tests every other year until age 40 and then every year thereafter, the </w:t>
      </w:r>
      <w:proofErr w:type="gramStart"/>
      <w:r w:rsidRPr="006863C2">
        <w:rPr>
          <w:rFonts w:ascii="Times New Roman" w:hAnsi="Times New Roman"/>
          <w:sz w:val="24"/>
          <w:szCs w:val="24"/>
        </w:rPr>
        <w:t>City</w:t>
      </w:r>
      <w:proofErr w:type="gramEnd"/>
      <w:r w:rsidRPr="006863C2">
        <w:rPr>
          <w:rFonts w:ascii="Times New Roman" w:hAnsi="Times New Roman"/>
          <w:sz w:val="24"/>
          <w:szCs w:val="24"/>
        </w:rPr>
        <w:t xml:space="preserve"> was aware firefighters were at risk for hearing loss from their jobs. O'Neal's 2002 audiogram showed he was sustaining hearing loss, and no alternative explanation was given, except for occasionally using firearms. Dr. Epp testified that at the time of the 2002 test, </w:t>
      </w:r>
      <w:proofErr w:type="gramStart"/>
      <w:r w:rsidRPr="006863C2">
        <w:rPr>
          <w:rFonts w:ascii="Times New Roman" w:hAnsi="Times New Roman"/>
          <w:sz w:val="24"/>
          <w:szCs w:val="24"/>
        </w:rPr>
        <w:t>O'Neal</w:t>
      </w:r>
      <w:proofErr w:type="gramEnd"/>
      <w:r w:rsidRPr="006863C2">
        <w:rPr>
          <w:rFonts w:ascii="Times New Roman" w:hAnsi="Times New Roman"/>
          <w:sz w:val="24"/>
          <w:szCs w:val="24"/>
        </w:rPr>
        <w:t xml:space="preserve"> more likely than </w:t>
      </w:r>
      <w:proofErr w:type="gramStart"/>
      <w:r w:rsidRPr="006863C2">
        <w:rPr>
          <w:rFonts w:ascii="Times New Roman" w:hAnsi="Times New Roman"/>
          <w:sz w:val="24"/>
          <w:szCs w:val="24"/>
        </w:rPr>
        <w:t>not</w:t>
      </w:r>
      <w:proofErr w:type="gramEnd"/>
      <w:r w:rsidRPr="006863C2">
        <w:rPr>
          <w:rFonts w:ascii="Times New Roman" w:hAnsi="Times New Roman"/>
          <w:sz w:val="24"/>
          <w:szCs w:val="24"/>
        </w:rPr>
        <w:t xml:space="preserve"> had sustained hearing loss from his job, which was stabilizing at the time of the test.</w:t>
      </w:r>
    </w:p>
    <w:p w14:paraId="6EF05E1A" w14:textId="77777777" w:rsidR="00365F63" w:rsidRPr="006863C2" w:rsidRDefault="00365F63" w:rsidP="00365F63">
      <w:pPr>
        <w:spacing w:before="100" w:beforeAutospacing="1" w:after="100" w:afterAutospacing="1" w:line="240" w:lineRule="auto"/>
        <w:ind w:left="720"/>
        <w:rPr>
          <w:rFonts w:ascii="Times New Roman" w:eastAsia="Times New Roman" w:hAnsi="Times New Roman"/>
        </w:rPr>
      </w:pPr>
      <w:r w:rsidRPr="006863C2">
        <w:rPr>
          <w:rFonts w:ascii="Times New Roman" w:hAnsi="Times New Roman"/>
        </w:rPr>
        <w:t xml:space="preserve">The </w:t>
      </w:r>
      <w:proofErr w:type="gramStart"/>
      <w:r w:rsidRPr="006863C2">
        <w:rPr>
          <w:rFonts w:ascii="Times New Roman" w:hAnsi="Times New Roman"/>
        </w:rPr>
        <w:t>City</w:t>
      </w:r>
      <w:proofErr w:type="gramEnd"/>
      <w:r w:rsidRPr="006863C2">
        <w:rPr>
          <w:rFonts w:ascii="Times New Roman" w:hAnsi="Times New Roman"/>
        </w:rPr>
        <w:t xml:space="preserve"> was on notice, even before the date of the injury, that O'Neal had suffered hearing loss due to repetitive trauma from his work.</w:t>
      </w:r>
      <w:r>
        <w:rPr>
          <w:rFonts w:ascii="Times New Roman" w:hAnsi="Times New Roman"/>
        </w:rPr>
        <w:t xml:space="preserve">” </w:t>
      </w:r>
      <w:hyperlink r:id="rId520" w:history="1">
        <w:r w:rsidRPr="007C6FB3">
          <w:rPr>
            <w:rStyle w:val="Hyperlink"/>
            <w:rFonts w:ascii="Times New Roman" w:hAnsi="Times New Roman"/>
          </w:rPr>
          <w:t>https://casetext.com/case/oneal-v-city-of-hutchinson</w:t>
        </w:r>
      </w:hyperlink>
      <w:r>
        <w:rPr>
          <w:rFonts w:ascii="Times New Roman" w:hAnsi="Times New Roman"/>
        </w:rPr>
        <w:t xml:space="preserve"> </w:t>
      </w:r>
    </w:p>
    <w:p w14:paraId="53516FF7" w14:textId="77777777" w:rsidR="00365F63" w:rsidRPr="0022156A" w:rsidRDefault="00365F63" w:rsidP="00365F63">
      <w:pPr>
        <w:spacing w:before="100" w:beforeAutospacing="1" w:after="100" w:afterAutospacing="1" w:line="240" w:lineRule="auto"/>
        <w:rPr>
          <w:rFonts w:ascii="Times New Roman" w:hAnsi="Times New Roman"/>
          <w:b/>
          <w:bCs/>
          <w:sz w:val="24"/>
          <w:szCs w:val="24"/>
        </w:rPr>
      </w:pPr>
      <w:r w:rsidRPr="0022156A">
        <w:rPr>
          <w:rFonts w:ascii="Times New Roman" w:hAnsi="Times New Roman"/>
          <w:b/>
          <w:bCs/>
          <w:sz w:val="24"/>
          <w:szCs w:val="24"/>
        </w:rPr>
        <w:t>Legal Lesson Learned:</w:t>
      </w:r>
      <w:r>
        <w:rPr>
          <w:rFonts w:ascii="Times New Roman" w:hAnsi="Times New Roman"/>
          <w:b/>
          <w:bCs/>
          <w:sz w:val="24"/>
          <w:szCs w:val="24"/>
        </w:rPr>
        <w:t xml:space="preserve"> Kansas workers comp statutes, like many states, </w:t>
      </w:r>
      <w:proofErr w:type="gramStart"/>
      <w:r>
        <w:rPr>
          <w:rFonts w:ascii="Times New Roman" w:hAnsi="Times New Roman"/>
          <w:b/>
          <w:bCs/>
          <w:sz w:val="24"/>
          <w:szCs w:val="24"/>
        </w:rPr>
        <w:t>provides</w:t>
      </w:r>
      <w:proofErr w:type="gramEnd"/>
      <w:r>
        <w:rPr>
          <w:rFonts w:ascii="Times New Roman" w:hAnsi="Times New Roman"/>
          <w:b/>
          <w:bCs/>
          <w:sz w:val="24"/>
          <w:szCs w:val="24"/>
        </w:rPr>
        <w:t xml:space="preserve"> medical coverage for hearing loss arising from the job.  </w:t>
      </w:r>
    </w:p>
    <w:p w14:paraId="15438586" w14:textId="77777777" w:rsidR="00365F63" w:rsidRDefault="00365F63" w:rsidP="00EF1133">
      <w:pPr>
        <w:pStyle w:val="NoSpacing"/>
        <w:rPr>
          <w:rFonts w:ascii="Arial Black" w:hAnsi="Arial Black"/>
          <w:sz w:val="24"/>
          <w:szCs w:val="24"/>
        </w:rPr>
      </w:pPr>
    </w:p>
    <w:p w14:paraId="5A308BDF" w14:textId="77777777" w:rsidR="00365F63" w:rsidRDefault="00365F63" w:rsidP="00EF1133">
      <w:pPr>
        <w:pStyle w:val="NoSpacing"/>
        <w:rPr>
          <w:rFonts w:ascii="Arial Black" w:hAnsi="Arial Black"/>
          <w:sz w:val="24"/>
          <w:szCs w:val="24"/>
        </w:rPr>
      </w:pPr>
    </w:p>
    <w:p w14:paraId="3A947F93" w14:textId="4E6D8267" w:rsidR="00243A7F" w:rsidRDefault="00243A7F" w:rsidP="00EF1133">
      <w:pPr>
        <w:pStyle w:val="NoSpacing"/>
        <w:rPr>
          <w:rFonts w:ascii="Arial Black" w:hAnsi="Arial Black"/>
          <w:sz w:val="24"/>
          <w:szCs w:val="24"/>
        </w:rPr>
      </w:pPr>
      <w:r>
        <w:rPr>
          <w:rFonts w:ascii="Arial Black" w:hAnsi="Arial Black"/>
          <w:sz w:val="24"/>
          <w:szCs w:val="24"/>
        </w:rPr>
        <w:t>2-36</w:t>
      </w:r>
    </w:p>
    <w:p w14:paraId="2F6C55B7" w14:textId="77777777" w:rsidR="00243A7F" w:rsidRPr="008F74AA" w:rsidRDefault="00243A7F" w:rsidP="00243A7F">
      <w:pPr>
        <w:pStyle w:val="Heading1"/>
        <w:rPr>
          <w:rFonts w:ascii="Arial Black" w:hAnsi="Arial Black"/>
          <w:b w:val="0"/>
          <w:bCs w:val="0"/>
          <w:sz w:val="28"/>
          <w:szCs w:val="28"/>
        </w:rPr>
      </w:pPr>
      <w:r>
        <w:rPr>
          <w:rFonts w:ascii="Arial Black" w:hAnsi="Arial Black"/>
          <w:b w:val="0"/>
          <w:bCs w:val="0"/>
          <w:sz w:val="28"/>
          <w:szCs w:val="28"/>
        </w:rPr>
        <w:lastRenderedPageBreak/>
        <w:t>SC: CHARLESTON – COVID-19 VACCINATIONS MANDATED FOR POLICE AND FIRE – PRELIMINARY INJUNCTION DENIED</w:t>
      </w:r>
    </w:p>
    <w:p w14:paraId="6A2123A5" w14:textId="77777777" w:rsidR="00243A7F" w:rsidRDefault="00243A7F" w:rsidP="00243A7F">
      <w:pPr>
        <w:pStyle w:val="Heading1"/>
        <w:rPr>
          <w:b w:val="0"/>
          <w:bCs w:val="0"/>
          <w:sz w:val="24"/>
          <w:szCs w:val="24"/>
        </w:rPr>
      </w:pPr>
      <w:r>
        <w:rPr>
          <w:b w:val="0"/>
          <w:bCs w:val="0"/>
          <w:sz w:val="24"/>
          <w:szCs w:val="24"/>
        </w:rPr>
        <w:t xml:space="preserve">On Oct. 21, 2021, in three combined cases, </w:t>
      </w:r>
      <w:r w:rsidRPr="008F74AA">
        <w:rPr>
          <w:b w:val="0"/>
          <w:bCs w:val="0"/>
          <w:sz w:val="24"/>
          <w:szCs w:val="24"/>
          <w:u w:val="single"/>
        </w:rPr>
        <w:t>Sean Bauer, et al. v. City of North Charleston; Aaron Gdovicak, et al. v. City of Charleston; Ashleigh Tucker v. St. John Fire District</w:t>
      </w:r>
      <w:r>
        <w:rPr>
          <w:b w:val="0"/>
          <w:bCs w:val="0"/>
          <w:sz w:val="24"/>
          <w:szCs w:val="24"/>
        </w:rPr>
        <w:t xml:space="preserve">, U.S. District Court Judge David C. Norton, U.S. District Court for District of South Caroline (Charleston Division) denied request to issue a preliminary injunction against employers’ vaccination mandates, citing 1905 U.S. Supreme Court decision requiring small pox vaccinations.  </w:t>
      </w:r>
    </w:p>
    <w:p w14:paraId="14616CCD" w14:textId="77777777" w:rsidR="00243A7F" w:rsidRDefault="00243A7F" w:rsidP="00243A7F">
      <w:pPr>
        <w:pStyle w:val="Heading1"/>
        <w:ind w:left="720"/>
        <w:rPr>
          <w:b w:val="0"/>
          <w:bCs w:val="0"/>
          <w:sz w:val="24"/>
          <w:szCs w:val="24"/>
        </w:rPr>
      </w:pPr>
      <w:r>
        <w:rPr>
          <w:b w:val="0"/>
          <w:bCs w:val="0"/>
          <w:sz w:val="24"/>
          <w:szCs w:val="24"/>
        </w:rPr>
        <w:t>“</w:t>
      </w:r>
      <w:r w:rsidRPr="008F74AA">
        <w:rPr>
          <w:b w:val="0"/>
          <w:bCs w:val="0"/>
          <w:sz w:val="24"/>
          <w:szCs w:val="24"/>
        </w:rPr>
        <w:t>While plaintiffs may remain unvaccinated at their own risk, the balance of equities and public interest do not require defendants to allow plaintiffs to spread that risk in their workplace and, by extension, into the communities they serve. Reasonable minds may disagree on the public health consequences of the Policies.</w:t>
      </w:r>
    </w:p>
    <w:p w14:paraId="7897B19C" w14:textId="77777777" w:rsidR="00243A7F" w:rsidRPr="008F74AA" w:rsidRDefault="00243A7F" w:rsidP="00243A7F">
      <w:pPr>
        <w:pStyle w:val="Heading1"/>
        <w:ind w:firstLine="720"/>
        <w:rPr>
          <w:b w:val="0"/>
          <w:bCs w:val="0"/>
          <w:sz w:val="24"/>
          <w:szCs w:val="24"/>
        </w:rPr>
      </w:pPr>
      <w:r>
        <w:rPr>
          <w:b w:val="0"/>
          <w:bCs w:val="0"/>
          <w:sz w:val="24"/>
          <w:szCs w:val="24"/>
        </w:rPr>
        <w:t>***</w:t>
      </w:r>
    </w:p>
    <w:p w14:paraId="6E85B643" w14:textId="77777777" w:rsidR="00243A7F" w:rsidRDefault="00243A7F" w:rsidP="00243A7F">
      <w:pPr>
        <w:pStyle w:val="NormalWeb"/>
        <w:ind w:left="720"/>
      </w:pPr>
      <w:r>
        <w:t xml:space="preserve">Notably, the Supreme Court has expressly rejected the idea of a fundamental right to refuse vaccination. In </w:t>
      </w:r>
      <w:r>
        <w:rPr>
          <w:rStyle w:val="Emphasis"/>
        </w:rPr>
        <w:t>Jacobson v. Massachusetts</w:t>
      </w:r>
      <w:r>
        <w:t xml:space="preserve">, 197 U.S. 11, 26–27 (1905), the Supreme Court upheld a state law allowing cities and towns to implement vaccine mandates </w:t>
      </w:r>
      <w:proofErr w:type="gramStart"/>
      <w:r>
        <w:t>in order to</w:t>
      </w:r>
      <w:proofErr w:type="gramEnd"/>
      <w:r>
        <w:t xml:space="preserve"> contain smallpox outbreaks. In so holding, the Supreme Court rejected an argument that liberty interests under the Fourteenth Amendment inevitably prevail in these circumstances. Specifically, the Supreme Court stated, ‘We are unwilling to hold it to be an element in the liberty secured by the Constitution of the United States that one person, or a minority of persons, residing in any community and enjoying the benefits of its local government, should have the power thus to dominate the majority when supported in their action by the authority of the state.’</w:t>
      </w:r>
    </w:p>
    <w:p w14:paraId="1AAE2DA4" w14:textId="77777777" w:rsidR="00243A7F" w:rsidRDefault="00243A7F" w:rsidP="00243A7F">
      <w:pPr>
        <w:pStyle w:val="Heading1"/>
        <w:ind w:left="720"/>
        <w:rPr>
          <w:b w:val="0"/>
          <w:bCs w:val="0"/>
          <w:sz w:val="24"/>
          <w:szCs w:val="24"/>
        </w:rPr>
      </w:pPr>
      <w:r>
        <w:rPr>
          <w:b w:val="0"/>
          <w:bCs w:val="0"/>
          <w:sz w:val="24"/>
          <w:szCs w:val="24"/>
        </w:rPr>
        <w:t>***</w:t>
      </w:r>
    </w:p>
    <w:p w14:paraId="2719A573" w14:textId="77777777" w:rsidR="00243A7F" w:rsidRPr="008F74AA" w:rsidRDefault="00243A7F" w:rsidP="00243A7F">
      <w:pPr>
        <w:pStyle w:val="Heading1"/>
        <w:ind w:left="720"/>
        <w:rPr>
          <w:b w:val="0"/>
          <w:bCs w:val="0"/>
          <w:sz w:val="24"/>
          <w:szCs w:val="24"/>
        </w:rPr>
      </w:pPr>
      <w:proofErr w:type="gramStart"/>
      <w:r w:rsidRPr="008F74AA">
        <w:rPr>
          <w:b w:val="0"/>
          <w:bCs w:val="0"/>
          <w:sz w:val="24"/>
          <w:szCs w:val="24"/>
        </w:rPr>
        <w:t>In light of</w:t>
      </w:r>
      <w:proofErr w:type="gramEnd"/>
      <w:r w:rsidRPr="008F74AA">
        <w:rPr>
          <w:b w:val="0"/>
          <w:bCs w:val="0"/>
          <w:sz w:val="24"/>
          <w:szCs w:val="24"/>
        </w:rPr>
        <w:t xml:space="preserve"> plaintiffs’ failure to show that their claims are likely to be meritorious, the balance of hardships that weighs in defendants’ favor, and the strong public interest that weighs against enjoining the Policies, the court finds that a preliminary injunction is not appropriate in this case. In denying plaintiffs’ motions, this court is not impugning either the integrity or the sincere nature of plaintiffs’ beliefs. However, it is not the court’s role to determine and impose the employer policies that best strike the balance of the competing interests of a pandemic that has plagued not just this state or country, but the world, for almost two years. Irrespective of politics, the court has evaluated and analyzed the law and the legal arguments raised by both sides. Unfortunately for plaintiffs, they have not stated a viable legal theory in support of an injunction, as each of the factors required to be considered, individually and collectively, weigh against the grant of injunctive relief.</w:t>
      </w:r>
      <w:r>
        <w:rPr>
          <w:b w:val="0"/>
          <w:bCs w:val="0"/>
          <w:sz w:val="24"/>
          <w:szCs w:val="24"/>
        </w:rPr>
        <w:t xml:space="preserve">” </w:t>
      </w:r>
      <w:hyperlink r:id="rId521" w:history="1">
        <w:r w:rsidRPr="00BD2840">
          <w:rPr>
            <w:rStyle w:val="Hyperlink"/>
            <w:sz w:val="24"/>
            <w:szCs w:val="24"/>
          </w:rPr>
          <w:t>https://public.fastcase.com/9SKwsfNqTc6OieYDhNMyMw%2FXypC%2BGCgzOI8YVtEGVa9n7jEOxoaSK8egV%2FDY7vKxD%2FnkzijiMqV0cvRDHM3YNZxTynpkQChMaJvb9tBM2DY%3D</w:t>
        </w:r>
      </w:hyperlink>
      <w:r>
        <w:rPr>
          <w:b w:val="0"/>
          <w:bCs w:val="0"/>
          <w:sz w:val="24"/>
          <w:szCs w:val="24"/>
        </w:rPr>
        <w:t xml:space="preserve"> </w:t>
      </w:r>
    </w:p>
    <w:p w14:paraId="5532DEAC" w14:textId="77777777" w:rsidR="00243A7F" w:rsidRPr="009F2E1C" w:rsidRDefault="00243A7F" w:rsidP="00243A7F">
      <w:pPr>
        <w:pStyle w:val="Heading1"/>
        <w:rPr>
          <w:sz w:val="24"/>
          <w:szCs w:val="24"/>
        </w:rPr>
      </w:pPr>
      <w:r w:rsidRPr="009F2E1C">
        <w:rPr>
          <w:sz w:val="24"/>
          <w:szCs w:val="24"/>
        </w:rPr>
        <w:t>Legal Lesson Learned:</w:t>
      </w:r>
      <w:r>
        <w:rPr>
          <w:sz w:val="24"/>
          <w:szCs w:val="24"/>
        </w:rPr>
        <w:t xml:space="preserve"> The Court issued a very detailed decision, examining and rejecting numerous Constitutional arguments by the plaintiffs. </w:t>
      </w:r>
    </w:p>
    <w:p w14:paraId="1B954DBE" w14:textId="77777777" w:rsidR="00243A7F" w:rsidRPr="00310A49" w:rsidRDefault="00243A7F" w:rsidP="00243A7F">
      <w:pPr>
        <w:pStyle w:val="Heading1"/>
        <w:ind w:left="720"/>
        <w:rPr>
          <w:rStyle w:val="Strong"/>
          <w:rFonts w:eastAsiaTheme="majorEastAsia"/>
          <w:b/>
          <w:bCs/>
          <w:sz w:val="24"/>
          <w:szCs w:val="24"/>
        </w:rPr>
      </w:pPr>
      <w:r w:rsidRPr="00BA6F47">
        <w:rPr>
          <w:rStyle w:val="Strong"/>
          <w:rFonts w:eastAsiaTheme="majorEastAsia"/>
          <w:sz w:val="24"/>
          <w:szCs w:val="24"/>
        </w:rPr>
        <w:t xml:space="preserve">Note: </w:t>
      </w:r>
      <w:r>
        <w:rPr>
          <w:rStyle w:val="Strong"/>
          <w:rFonts w:eastAsiaTheme="majorEastAsia"/>
          <w:sz w:val="24"/>
          <w:szCs w:val="24"/>
        </w:rPr>
        <w:t xml:space="preserve">See Oct. 19, 2021 decision in </w:t>
      </w:r>
      <w:r w:rsidRPr="00310A49">
        <w:rPr>
          <w:b w:val="0"/>
          <w:bCs w:val="0"/>
          <w:sz w:val="24"/>
          <w:szCs w:val="24"/>
          <w:u w:val="single"/>
        </w:rPr>
        <w:t>JANE DOES 1-6, et al. v. Janet T. Mills, Governor of State of Maine</w:t>
      </w:r>
      <w:r w:rsidRPr="00310A49">
        <w:rPr>
          <w:b w:val="0"/>
          <w:bCs w:val="0"/>
          <w:sz w:val="24"/>
          <w:szCs w:val="24"/>
        </w:rPr>
        <w:t xml:space="preserve">, </w:t>
      </w:r>
      <w:r>
        <w:rPr>
          <w:b w:val="0"/>
          <w:bCs w:val="0"/>
          <w:sz w:val="24"/>
          <w:szCs w:val="24"/>
        </w:rPr>
        <w:t>where U.S. Court of Appeals for First Circuit (Boston) held (3 to 0) that Federal District Court Judge properly denied preliminary injunction for s</w:t>
      </w:r>
      <w:r w:rsidRPr="00310A49">
        <w:rPr>
          <w:b w:val="0"/>
          <w:bCs w:val="0"/>
          <w:sz w:val="24"/>
          <w:szCs w:val="24"/>
        </w:rPr>
        <w:t>everal Maine healthcare workers (and a healthcare provider who runs his own practice)</w:t>
      </w:r>
      <w:r>
        <w:rPr>
          <w:b w:val="0"/>
          <w:bCs w:val="0"/>
          <w:sz w:val="24"/>
          <w:szCs w:val="24"/>
        </w:rPr>
        <w:t xml:space="preserve">. </w:t>
      </w:r>
      <w:hyperlink r:id="rId522" w:history="1">
        <w:r w:rsidRPr="00764F47">
          <w:rPr>
            <w:rStyle w:val="Hyperlink"/>
            <w:sz w:val="24"/>
            <w:szCs w:val="24"/>
          </w:rPr>
          <w:t>http://media.ca1.uscourts.gov/pdf.opinions/21-1826P-01A.pdf</w:t>
        </w:r>
      </w:hyperlink>
      <w:r>
        <w:rPr>
          <w:b w:val="0"/>
          <w:bCs w:val="0"/>
          <w:sz w:val="24"/>
          <w:szCs w:val="24"/>
        </w:rPr>
        <w:t xml:space="preserve"> </w:t>
      </w:r>
    </w:p>
    <w:p w14:paraId="49D44305" w14:textId="77777777" w:rsidR="00243A7F" w:rsidRDefault="00243A7F" w:rsidP="00243A7F">
      <w:pPr>
        <w:pStyle w:val="Heading1"/>
        <w:ind w:left="720"/>
        <w:rPr>
          <w:b w:val="0"/>
          <w:bCs w:val="0"/>
          <w:sz w:val="24"/>
          <w:szCs w:val="24"/>
        </w:rPr>
      </w:pPr>
      <w:r>
        <w:rPr>
          <w:b w:val="0"/>
          <w:bCs w:val="0"/>
          <w:sz w:val="24"/>
          <w:szCs w:val="24"/>
        </w:rPr>
        <w:lastRenderedPageBreak/>
        <w:t xml:space="preserve">See Oct. 18, 2021 decision – </w:t>
      </w:r>
      <w:r w:rsidRPr="00B46DFE">
        <w:rPr>
          <w:b w:val="0"/>
          <w:bCs w:val="0"/>
          <w:sz w:val="24"/>
          <w:szCs w:val="24"/>
          <w:u w:val="single"/>
        </w:rPr>
        <w:t>Malcolm Johnson</w:t>
      </w:r>
      <w:r>
        <w:rPr>
          <w:b w:val="0"/>
          <w:bCs w:val="0"/>
          <w:sz w:val="24"/>
          <w:szCs w:val="24"/>
          <w:u w:val="single"/>
        </w:rPr>
        <w:t>, et al.</w:t>
      </w:r>
      <w:r w:rsidRPr="00B46DFE">
        <w:rPr>
          <w:b w:val="0"/>
          <w:bCs w:val="0"/>
          <w:sz w:val="24"/>
          <w:szCs w:val="24"/>
          <w:u w:val="single"/>
        </w:rPr>
        <w:t xml:space="preserve"> v. Brown</w:t>
      </w:r>
      <w:r>
        <w:rPr>
          <w:b w:val="0"/>
          <w:bCs w:val="0"/>
          <w:sz w:val="24"/>
          <w:szCs w:val="24"/>
        </w:rPr>
        <w:t xml:space="preserve">, where U.S. District Court Judge </w:t>
      </w:r>
      <w:r w:rsidRPr="00B46DFE">
        <w:rPr>
          <w:b w:val="0"/>
          <w:bCs w:val="0"/>
          <w:sz w:val="24"/>
          <w:szCs w:val="24"/>
        </w:rPr>
        <w:t>Michael H. Simon</w:t>
      </w:r>
      <w:r>
        <w:rPr>
          <w:b w:val="0"/>
          <w:bCs w:val="0"/>
          <w:sz w:val="24"/>
          <w:szCs w:val="24"/>
        </w:rPr>
        <w:t xml:space="preserve">, U.S. District Court, Oregon, denied temporary restraining order for </w:t>
      </w:r>
      <w:r w:rsidRPr="00B46DFE">
        <w:rPr>
          <w:b w:val="0"/>
          <w:bCs w:val="0"/>
          <w:sz w:val="24"/>
          <w:szCs w:val="24"/>
        </w:rPr>
        <w:t>42 individuals who are healthcare providers, healthcare staff, teachers, school staff, a school volunteer, and a State agency employee</w:t>
      </w:r>
      <w:r>
        <w:rPr>
          <w:b w:val="0"/>
          <w:bCs w:val="0"/>
          <w:sz w:val="24"/>
          <w:szCs w:val="24"/>
        </w:rPr>
        <w:t xml:space="preserve">.  , </w:t>
      </w:r>
      <w:hyperlink r:id="rId523" w:history="1">
        <w:r w:rsidRPr="00764F47">
          <w:rPr>
            <w:rStyle w:val="Hyperlink"/>
            <w:sz w:val="24"/>
            <w:szCs w:val="24"/>
          </w:rPr>
          <w:t>https://public.fastcase.com/9SKwsfNqTc6OieYDhNMyM3Zf%2BPwzrkIbdAwXmhTtl8LsaOGFJIHcsZBv5iyM%2B426E1WD6poza6PbNV5FFspTPxqJQS%2BqrXpJYGMVjXOs9qA%3D</w:t>
        </w:r>
      </w:hyperlink>
      <w:r>
        <w:rPr>
          <w:b w:val="0"/>
          <w:bCs w:val="0"/>
          <w:sz w:val="24"/>
          <w:szCs w:val="24"/>
        </w:rPr>
        <w:t xml:space="preserve"> </w:t>
      </w:r>
    </w:p>
    <w:p w14:paraId="6F1BFE37" w14:textId="77777777" w:rsidR="00243A7F" w:rsidRDefault="00243A7F" w:rsidP="00243A7F">
      <w:pPr>
        <w:pStyle w:val="Heading1"/>
        <w:ind w:left="720"/>
        <w:rPr>
          <w:b w:val="0"/>
          <w:bCs w:val="0"/>
          <w:sz w:val="24"/>
          <w:szCs w:val="24"/>
        </w:rPr>
      </w:pPr>
      <w:r w:rsidRPr="00BA6F47">
        <w:rPr>
          <w:b w:val="0"/>
          <w:bCs w:val="0"/>
          <w:sz w:val="24"/>
          <w:szCs w:val="24"/>
        </w:rPr>
        <w:t xml:space="preserve">See also Aug. 12, </w:t>
      </w:r>
      <w:proofErr w:type="gramStart"/>
      <w:r w:rsidRPr="00BA6F47">
        <w:rPr>
          <w:b w:val="0"/>
          <w:bCs w:val="0"/>
          <w:sz w:val="24"/>
          <w:szCs w:val="24"/>
        </w:rPr>
        <w:t>2021</w:t>
      </w:r>
      <w:proofErr w:type="gramEnd"/>
      <w:r w:rsidRPr="00BA6F47">
        <w:rPr>
          <w:b w:val="0"/>
          <w:bCs w:val="0"/>
          <w:sz w:val="24"/>
          <w:szCs w:val="24"/>
        </w:rPr>
        <w:t xml:space="preserve"> article, “Supreme Court won’t stop Indiana University’s COVID vaccination requirement.” </w:t>
      </w:r>
      <w:hyperlink r:id="rId524" w:history="1">
        <w:r w:rsidRPr="00BD2840">
          <w:rPr>
            <w:rStyle w:val="Hyperlink"/>
            <w:sz w:val="24"/>
            <w:szCs w:val="24"/>
          </w:rPr>
          <w:t>https://www.14news.com/2021/08/12/supreme-court-wont-stop-indiana-universitys-covid-vaccination-requirement/</w:t>
        </w:r>
      </w:hyperlink>
      <w:r>
        <w:rPr>
          <w:b w:val="0"/>
          <w:bCs w:val="0"/>
          <w:sz w:val="24"/>
          <w:szCs w:val="24"/>
        </w:rPr>
        <w:t xml:space="preserve"> “</w:t>
      </w:r>
      <w:r w:rsidRPr="00BA6F47">
        <w:rPr>
          <w:b w:val="0"/>
          <w:bCs w:val="0"/>
          <w:sz w:val="24"/>
          <w:szCs w:val="24"/>
        </w:rPr>
        <w:t>INDIANAPOLIS, Ind. (WFIE) - NBC News reports the Supreme Court refused to block Indiana University’s vaccination requirement, ruling in the first COVID vaccine case to reach the high court on Thursday.</w:t>
      </w:r>
      <w:r>
        <w:rPr>
          <w:b w:val="0"/>
          <w:bCs w:val="0"/>
          <w:sz w:val="24"/>
          <w:szCs w:val="24"/>
        </w:rPr>
        <w:t>”</w:t>
      </w:r>
    </w:p>
    <w:p w14:paraId="1FF4774C" w14:textId="77777777" w:rsidR="00243A7F" w:rsidRDefault="00243A7F" w:rsidP="00243A7F">
      <w:pPr>
        <w:pStyle w:val="Heading1"/>
        <w:ind w:left="720"/>
        <w:rPr>
          <w:b w:val="0"/>
          <w:bCs w:val="0"/>
          <w:sz w:val="24"/>
          <w:szCs w:val="24"/>
        </w:rPr>
      </w:pPr>
      <w:r>
        <w:rPr>
          <w:b w:val="0"/>
          <w:bCs w:val="0"/>
          <w:sz w:val="24"/>
          <w:szCs w:val="24"/>
        </w:rPr>
        <w:t xml:space="preserve">See July 19, </w:t>
      </w:r>
      <w:proofErr w:type="gramStart"/>
      <w:r>
        <w:rPr>
          <w:b w:val="0"/>
          <w:bCs w:val="0"/>
          <w:sz w:val="24"/>
          <w:szCs w:val="24"/>
        </w:rPr>
        <w:t>2021</w:t>
      </w:r>
      <w:proofErr w:type="gramEnd"/>
      <w:r>
        <w:rPr>
          <w:b w:val="0"/>
          <w:bCs w:val="0"/>
          <w:sz w:val="24"/>
          <w:szCs w:val="24"/>
        </w:rPr>
        <w:t xml:space="preserve"> article: </w:t>
      </w:r>
      <w:r w:rsidRPr="00BA6F47">
        <w:rPr>
          <w:rStyle w:val="Strong"/>
          <w:rFonts w:eastAsiaTheme="majorEastAsia"/>
          <w:sz w:val="24"/>
          <w:szCs w:val="24"/>
        </w:rPr>
        <w:t>“</w:t>
      </w:r>
      <w:r w:rsidRPr="00BA6F47">
        <w:rPr>
          <w:b w:val="0"/>
          <w:bCs w:val="0"/>
          <w:sz w:val="24"/>
          <w:szCs w:val="24"/>
        </w:rPr>
        <w:t xml:space="preserve">IU wins court case, can proceed with COVID-19 vaccine requirement.” </w:t>
      </w:r>
      <w:hyperlink r:id="rId525" w:history="1">
        <w:r w:rsidRPr="00BD2840">
          <w:rPr>
            <w:rStyle w:val="Hyperlink"/>
            <w:sz w:val="24"/>
            <w:szCs w:val="24"/>
          </w:rPr>
          <w:t>https://www.953mnc.com/2021/07/19/iu-wins-court-case-can-proceed-with-covid-19-vaccine-requirement/</w:t>
        </w:r>
      </w:hyperlink>
      <w:r>
        <w:rPr>
          <w:b w:val="0"/>
          <w:bCs w:val="0"/>
          <w:sz w:val="24"/>
          <w:szCs w:val="24"/>
        </w:rPr>
        <w:t xml:space="preserve"> “</w:t>
      </w:r>
      <w:r w:rsidRPr="00BA6F47">
        <w:rPr>
          <w:b w:val="0"/>
          <w:bCs w:val="0"/>
          <w:sz w:val="24"/>
          <w:szCs w:val="24"/>
        </w:rPr>
        <w:t>Indiana University has won a court case that could have stopped them from requiring the coronavirus vaccine. The U.S. District Court for the Northern District of Indiana in South Bend issued a ruling overnight that denies an injunction south by at least eight IU students</w:t>
      </w:r>
      <w:r>
        <w:rPr>
          <w:b w:val="0"/>
          <w:bCs w:val="0"/>
          <w:sz w:val="24"/>
          <w:szCs w:val="24"/>
        </w:rPr>
        <w:t>.”</w:t>
      </w:r>
    </w:p>
    <w:p w14:paraId="2B066563" w14:textId="77777777" w:rsidR="00243A7F" w:rsidRDefault="00243A7F" w:rsidP="00EF1133">
      <w:pPr>
        <w:pStyle w:val="NoSpacing"/>
        <w:rPr>
          <w:rFonts w:ascii="Arial Black" w:hAnsi="Arial Black"/>
          <w:sz w:val="24"/>
          <w:szCs w:val="24"/>
        </w:rPr>
      </w:pPr>
    </w:p>
    <w:p w14:paraId="053D934E" w14:textId="77777777" w:rsidR="00243A7F" w:rsidRDefault="00243A7F" w:rsidP="00EF1133">
      <w:pPr>
        <w:pStyle w:val="NoSpacing"/>
        <w:rPr>
          <w:rFonts w:ascii="Arial Black" w:hAnsi="Arial Black"/>
          <w:sz w:val="24"/>
          <w:szCs w:val="24"/>
        </w:rPr>
      </w:pPr>
    </w:p>
    <w:p w14:paraId="4F20FBAF" w14:textId="77777777" w:rsidR="00243A7F" w:rsidRDefault="00243A7F" w:rsidP="00EF1133">
      <w:pPr>
        <w:pStyle w:val="NoSpacing"/>
        <w:rPr>
          <w:rFonts w:ascii="Arial Black" w:hAnsi="Arial Black"/>
          <w:sz w:val="24"/>
          <w:szCs w:val="24"/>
        </w:rPr>
      </w:pPr>
    </w:p>
    <w:p w14:paraId="50EA4138" w14:textId="2648BA54" w:rsidR="00BD1702" w:rsidRDefault="00BD1702" w:rsidP="00EF1133">
      <w:pPr>
        <w:pStyle w:val="NoSpacing"/>
        <w:rPr>
          <w:rFonts w:ascii="Arial Black" w:hAnsi="Arial Black"/>
          <w:sz w:val="24"/>
          <w:szCs w:val="24"/>
        </w:rPr>
      </w:pPr>
      <w:r>
        <w:rPr>
          <w:rFonts w:ascii="Arial Black" w:hAnsi="Arial Black"/>
          <w:sz w:val="24"/>
          <w:szCs w:val="24"/>
        </w:rPr>
        <w:t>2-35</w:t>
      </w:r>
    </w:p>
    <w:p w14:paraId="66397097" w14:textId="77777777" w:rsidR="00BD1702" w:rsidRDefault="00BD1702" w:rsidP="00BD170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WI: AIR CARE HELICOPTER CRASH – ALL KILLED – PILOT MAY HAVE FALLEN ASLEEP – LAWSUIT MAY PROCEED</w:t>
      </w:r>
    </w:p>
    <w:p w14:paraId="44A13EA0" w14:textId="77777777" w:rsidR="00BD1702" w:rsidRDefault="00BD1702" w:rsidP="00BD170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8, 2021, in </w:t>
      </w:r>
      <w:r>
        <w:rPr>
          <w:rFonts w:ascii="Times New Roman" w:eastAsia="Times New Roman" w:hAnsi="Times New Roman"/>
          <w:sz w:val="24"/>
          <w:szCs w:val="24"/>
          <w:u w:val="single"/>
        </w:rPr>
        <w:t xml:space="preserve">Lindsey Ward, Personal </w:t>
      </w:r>
      <w:proofErr w:type="spellStart"/>
      <w:r>
        <w:rPr>
          <w:rFonts w:ascii="Times New Roman" w:eastAsia="Times New Roman" w:hAnsi="Times New Roman"/>
          <w:sz w:val="24"/>
          <w:szCs w:val="24"/>
          <w:u w:val="single"/>
        </w:rPr>
        <w:t>Pepresentative</w:t>
      </w:r>
      <w:proofErr w:type="spellEnd"/>
      <w:r>
        <w:rPr>
          <w:rFonts w:ascii="Times New Roman" w:eastAsia="Times New Roman" w:hAnsi="Times New Roman"/>
          <w:sz w:val="24"/>
          <w:szCs w:val="24"/>
          <w:u w:val="single"/>
        </w:rPr>
        <w:t xml:space="preserve"> of Estate of Klint Mitchell, et al. v. Air Methods Corporation, et al.</w:t>
      </w:r>
      <w:r>
        <w:rPr>
          <w:rFonts w:ascii="Times New Roman" w:eastAsia="Times New Roman" w:hAnsi="Times New Roman"/>
          <w:sz w:val="24"/>
          <w:szCs w:val="24"/>
        </w:rPr>
        <w:t xml:space="preserve">, U.S. District Court Judge William M. Conley, Western District of Wisconsin, denied the defense motion to dismiss, holding that there is evidence of pilot fatigue.  </w:t>
      </w:r>
    </w:p>
    <w:p w14:paraId="78EC5DEF" w14:textId="77777777" w:rsidR="00BD1702" w:rsidRDefault="00BD1702" w:rsidP="00BD170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hAnsi="Times New Roman"/>
          <w:sz w:val="24"/>
          <w:szCs w:val="24"/>
        </w:rPr>
        <w:t xml:space="preserve">Plaintiffs allege that Air Methods knew, or should have known, that Caruso would be too fatigued to transport patients and the medical team safely, and it should now be held liable for Mr. Mitchell's death…. Accordingly, plaintiff's claim for wrongful death based on defendant's alleged negligent entrustment states a claim and will not be dismissed at the pleading stage either.” </w:t>
      </w:r>
      <w:hyperlink r:id="rId526" w:history="1">
        <w:r>
          <w:rPr>
            <w:rStyle w:val="Hyperlink"/>
            <w:sz w:val="24"/>
            <w:szCs w:val="24"/>
          </w:rPr>
          <w:t>https://public.fastcase.com/9SKwsfNqTc6OieYDhNMyM3m3eL%2Bu4x8bx%2FFPqQ706C1Bfi57%2Fsm8VTkLX0Q5d2JY3Hl0cE%2BCK3yDi%2BV1afLDAxYamaVWukse%2F0EpEJzWMdw%3D</w:t>
        </w:r>
      </w:hyperlink>
      <w:r>
        <w:rPr>
          <w:rFonts w:ascii="Times New Roman" w:hAnsi="Times New Roman"/>
          <w:sz w:val="24"/>
          <w:szCs w:val="24"/>
        </w:rPr>
        <w:t xml:space="preserve"> </w:t>
      </w:r>
    </w:p>
    <w:p w14:paraId="216F22CD" w14:textId="77777777" w:rsidR="00BD1702" w:rsidRDefault="00BD1702" w:rsidP="00BD170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 Learned: Fatigue can be a serious factor, not only for pilots, but also fire &amp; EMS personnel. </w:t>
      </w:r>
    </w:p>
    <w:p w14:paraId="50A50CA8" w14:textId="77777777" w:rsidR="00BD1702" w:rsidRDefault="00BD1702" w:rsidP="00EF1133">
      <w:pPr>
        <w:pStyle w:val="NoSpacing"/>
        <w:rPr>
          <w:rFonts w:ascii="Arial Black" w:hAnsi="Arial Black"/>
          <w:sz w:val="24"/>
          <w:szCs w:val="24"/>
        </w:rPr>
      </w:pPr>
    </w:p>
    <w:p w14:paraId="158CC1D9" w14:textId="77777777" w:rsidR="00BD1702" w:rsidRDefault="00BD1702" w:rsidP="00EF1133">
      <w:pPr>
        <w:pStyle w:val="NoSpacing"/>
        <w:rPr>
          <w:rFonts w:ascii="Arial Black" w:hAnsi="Arial Black"/>
          <w:sz w:val="24"/>
          <w:szCs w:val="24"/>
        </w:rPr>
      </w:pPr>
    </w:p>
    <w:p w14:paraId="3A43AE8F" w14:textId="45D4F376" w:rsidR="005217D5" w:rsidRDefault="005217D5" w:rsidP="00EF1133">
      <w:pPr>
        <w:pStyle w:val="NoSpacing"/>
        <w:rPr>
          <w:rFonts w:ascii="Arial Black" w:hAnsi="Arial Black"/>
          <w:sz w:val="24"/>
          <w:szCs w:val="24"/>
        </w:rPr>
      </w:pPr>
      <w:r>
        <w:rPr>
          <w:rFonts w:ascii="Arial Black" w:hAnsi="Arial Black"/>
          <w:sz w:val="24"/>
          <w:szCs w:val="24"/>
        </w:rPr>
        <w:t>2-34</w:t>
      </w:r>
    </w:p>
    <w:p w14:paraId="30B4EAA8" w14:textId="279AF8FD" w:rsidR="005217D5" w:rsidRDefault="005217D5" w:rsidP="00EF1133">
      <w:pPr>
        <w:pStyle w:val="NoSpacing"/>
        <w:rPr>
          <w:rFonts w:ascii="Arial Black" w:hAnsi="Arial Black"/>
          <w:sz w:val="24"/>
          <w:szCs w:val="24"/>
        </w:rPr>
      </w:pPr>
    </w:p>
    <w:p w14:paraId="0B2C7626" w14:textId="77777777" w:rsidR="005217D5" w:rsidRPr="00A05016" w:rsidRDefault="005217D5" w:rsidP="005217D5">
      <w:pPr>
        <w:spacing w:before="100" w:beforeAutospacing="1" w:after="100" w:afterAutospacing="1" w:line="240" w:lineRule="auto"/>
        <w:rPr>
          <w:rFonts w:ascii="Arial Black" w:hAnsi="Arial Black"/>
          <w:sz w:val="28"/>
          <w:szCs w:val="28"/>
        </w:rPr>
      </w:pPr>
      <w:r w:rsidRPr="00A05016">
        <w:rPr>
          <w:rFonts w:ascii="Arial Black" w:hAnsi="Arial Black"/>
          <w:sz w:val="28"/>
          <w:szCs w:val="28"/>
        </w:rPr>
        <w:t>MO</w:t>
      </w:r>
      <w:r>
        <w:rPr>
          <w:rFonts w:ascii="Arial Black" w:hAnsi="Arial Black"/>
          <w:sz w:val="28"/>
          <w:szCs w:val="28"/>
        </w:rPr>
        <w:t xml:space="preserve">: FF INJURED BY FALLING BRICKS – PTSD - BUT NOT TOTALLY &amp; PERMANENTLY DISABLED </w:t>
      </w:r>
    </w:p>
    <w:p w14:paraId="43BD350B" w14:textId="77777777" w:rsidR="005217D5" w:rsidRPr="002E654B" w:rsidRDefault="005217D5" w:rsidP="005217D5">
      <w:pPr>
        <w:spacing w:before="100" w:beforeAutospacing="1" w:after="100" w:afterAutospacing="1" w:line="240" w:lineRule="auto"/>
        <w:rPr>
          <w:rFonts w:ascii="Times New Roman" w:hAnsi="Times New Roman"/>
          <w:sz w:val="24"/>
          <w:szCs w:val="24"/>
        </w:rPr>
      </w:pPr>
      <w:r w:rsidRPr="0040016A">
        <w:rPr>
          <w:rFonts w:ascii="Times New Roman" w:hAnsi="Times New Roman"/>
          <w:sz w:val="24"/>
          <w:szCs w:val="24"/>
        </w:rPr>
        <w:lastRenderedPageBreak/>
        <w:t xml:space="preserve">On July 20, 2021, in </w:t>
      </w:r>
      <w:r w:rsidRPr="0040016A">
        <w:rPr>
          <w:rFonts w:ascii="Times New Roman" w:hAnsi="Times New Roman"/>
          <w:sz w:val="24"/>
          <w:szCs w:val="24"/>
          <w:u w:val="single"/>
        </w:rPr>
        <w:t>Michael Taylor v. The Board of Trustees of the Firefighters’ Retirement Plan of St. Louis</w:t>
      </w:r>
      <w:r w:rsidRPr="0040016A">
        <w:rPr>
          <w:rFonts w:ascii="Times New Roman" w:hAnsi="Times New Roman"/>
          <w:sz w:val="24"/>
          <w:szCs w:val="24"/>
        </w:rPr>
        <w:t xml:space="preserve">, </w:t>
      </w:r>
      <w:r>
        <w:rPr>
          <w:rFonts w:ascii="Times New Roman" w:hAnsi="Times New Roman"/>
          <w:sz w:val="24"/>
          <w:szCs w:val="24"/>
        </w:rPr>
        <w:t xml:space="preserve">the Missouri Court of Appeals (Eastern District – Division Four) held (3 to 0) that the Retirement Board correctly denied his claim for total and permanent disability benefits (25% of his average final compensation), with one doctor describing “symptom magnification.”  </w:t>
      </w:r>
      <w:r w:rsidRPr="0040016A">
        <w:rPr>
          <w:rFonts w:ascii="Times New Roman" w:hAnsi="Times New Roman"/>
          <w:sz w:val="24"/>
          <w:szCs w:val="24"/>
        </w:rPr>
        <w:t>Taylor testified he was working as a stationary engineer trainee for the City of St. Louis at a water purification facility and that his PTSD symptoms were not preventing him from performing that job</w:t>
      </w:r>
      <w:r>
        <w:rPr>
          <w:rFonts w:ascii="Times New Roman" w:hAnsi="Times New Roman"/>
          <w:sz w:val="24"/>
          <w:szCs w:val="24"/>
        </w:rPr>
        <w:t xml:space="preserve">. The Board found </w:t>
      </w:r>
      <w:proofErr w:type="gramStart"/>
      <w:r>
        <w:rPr>
          <w:rFonts w:ascii="Times New Roman" w:hAnsi="Times New Roman"/>
          <w:sz w:val="24"/>
          <w:szCs w:val="24"/>
        </w:rPr>
        <w:t xml:space="preserve">the </w:t>
      </w:r>
      <w:r w:rsidRPr="002E654B">
        <w:rPr>
          <w:rFonts w:ascii="Times New Roman" w:hAnsi="Times New Roman"/>
          <w:sz w:val="24"/>
          <w:szCs w:val="24"/>
        </w:rPr>
        <w:t>Taylor's</w:t>
      </w:r>
      <w:proofErr w:type="gramEnd"/>
      <w:r w:rsidRPr="002E654B">
        <w:rPr>
          <w:rFonts w:ascii="Times New Roman" w:hAnsi="Times New Roman"/>
          <w:sz w:val="24"/>
          <w:szCs w:val="24"/>
        </w:rPr>
        <w:t xml:space="preserve"> failure to return to work </w:t>
      </w:r>
      <w:r>
        <w:rPr>
          <w:rFonts w:ascii="Times New Roman" w:hAnsi="Times New Roman"/>
          <w:sz w:val="24"/>
          <w:szCs w:val="24"/>
        </w:rPr>
        <w:t xml:space="preserve">as a firefighter </w:t>
      </w:r>
      <w:r w:rsidRPr="002E654B">
        <w:rPr>
          <w:rFonts w:ascii="Times New Roman" w:hAnsi="Times New Roman"/>
          <w:sz w:val="24"/>
          <w:szCs w:val="24"/>
        </w:rPr>
        <w:t>was caused by his "unwillingness to return to work</w:t>
      </w:r>
      <w:r>
        <w:rPr>
          <w:rFonts w:ascii="Times New Roman" w:hAnsi="Times New Roman"/>
          <w:sz w:val="24"/>
          <w:szCs w:val="24"/>
        </w:rPr>
        <w:t>.</w:t>
      </w:r>
      <w:r w:rsidRPr="002E654B">
        <w:rPr>
          <w:rFonts w:ascii="Times New Roman" w:hAnsi="Times New Roman"/>
          <w:sz w:val="24"/>
          <w:szCs w:val="24"/>
        </w:rPr>
        <w:t>"</w:t>
      </w:r>
      <w:r>
        <w:rPr>
          <w:rFonts w:ascii="Times New Roman" w:hAnsi="Times New Roman"/>
          <w:sz w:val="24"/>
          <w:szCs w:val="24"/>
        </w:rPr>
        <w:t xml:space="preserve"> </w:t>
      </w:r>
    </w:p>
    <w:p w14:paraId="4CA8CB66"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40016A">
        <w:rPr>
          <w:rFonts w:ascii="Times New Roman" w:hAnsi="Times New Roman"/>
          <w:sz w:val="24"/>
          <w:szCs w:val="24"/>
        </w:rPr>
        <w:t xml:space="preserve">Taylor's argument is premised on the erroneous belief that the Board interpreted the </w:t>
      </w:r>
      <w:r>
        <w:rPr>
          <w:rFonts w:ascii="Times New Roman" w:hAnsi="Times New Roman"/>
          <w:sz w:val="24"/>
          <w:szCs w:val="24"/>
        </w:rPr>
        <w:t>‘</w:t>
      </w:r>
      <w:r w:rsidRPr="0040016A">
        <w:rPr>
          <w:rFonts w:ascii="Times New Roman" w:hAnsi="Times New Roman"/>
          <w:sz w:val="24"/>
          <w:szCs w:val="24"/>
        </w:rPr>
        <w:t>resulting from bodily injury</w:t>
      </w:r>
      <w:r>
        <w:rPr>
          <w:rFonts w:ascii="Times New Roman" w:hAnsi="Times New Roman"/>
          <w:sz w:val="24"/>
          <w:szCs w:val="24"/>
        </w:rPr>
        <w:t>’</w:t>
      </w:r>
      <w:r w:rsidRPr="0040016A">
        <w:rPr>
          <w:rFonts w:ascii="Times New Roman" w:hAnsi="Times New Roman"/>
          <w:sz w:val="24"/>
          <w:szCs w:val="24"/>
        </w:rPr>
        <w:t xml:space="preserve"> requirement contained in section 4.19.070(B)(2) to exclude mental disabilities. Contrary to Taylor's assertion, the Board did not deny his claim on that basis; it instead found he failed to carry his burden of proof to establish three of the requirements of section 4.19.070(b)(2)—specifically, that (1) he incurred a total and permanent disability, (2) his health condition </w:t>
      </w:r>
      <w:r>
        <w:rPr>
          <w:rFonts w:ascii="Times New Roman" w:hAnsi="Times New Roman"/>
          <w:sz w:val="24"/>
          <w:szCs w:val="24"/>
        </w:rPr>
        <w:t>‘</w:t>
      </w:r>
      <w:r w:rsidRPr="0040016A">
        <w:rPr>
          <w:rFonts w:ascii="Times New Roman" w:hAnsi="Times New Roman"/>
          <w:sz w:val="24"/>
          <w:szCs w:val="24"/>
        </w:rPr>
        <w:t>resulted from bodily injury,</w:t>
      </w:r>
      <w:r>
        <w:rPr>
          <w:rFonts w:ascii="Times New Roman" w:hAnsi="Times New Roman"/>
          <w:sz w:val="24"/>
          <w:szCs w:val="24"/>
        </w:rPr>
        <w:t>’</w:t>
      </w:r>
      <w:r w:rsidRPr="0040016A">
        <w:rPr>
          <w:rFonts w:ascii="Times New Roman" w:hAnsi="Times New Roman"/>
          <w:sz w:val="24"/>
          <w:szCs w:val="24"/>
        </w:rPr>
        <w:t xml:space="preserve"> and (3) his health condition rendered him totally and permanently disabled from working as a firefighter.</w:t>
      </w:r>
      <w:r>
        <w:rPr>
          <w:rFonts w:ascii="Times New Roman" w:hAnsi="Times New Roman"/>
          <w:sz w:val="24"/>
          <w:szCs w:val="24"/>
        </w:rPr>
        <w:t xml:space="preserve">” </w:t>
      </w:r>
      <w:hyperlink r:id="rId527" w:history="1">
        <w:r w:rsidRPr="004A379F">
          <w:rPr>
            <w:rStyle w:val="Hyperlink"/>
            <w:sz w:val="24"/>
            <w:szCs w:val="24"/>
          </w:rPr>
          <w:t>https://casetext.com/case/taylor-v-bd-of-trs-of-firefighters-ret-plan-of-st-louis</w:t>
        </w:r>
      </w:hyperlink>
      <w:r>
        <w:rPr>
          <w:rFonts w:ascii="Times New Roman" w:hAnsi="Times New Roman"/>
          <w:sz w:val="24"/>
          <w:szCs w:val="24"/>
        </w:rPr>
        <w:t xml:space="preserve"> </w:t>
      </w:r>
    </w:p>
    <w:p w14:paraId="6F863CCC" w14:textId="77777777" w:rsidR="005217D5" w:rsidRPr="002E654B" w:rsidRDefault="005217D5" w:rsidP="005217D5">
      <w:pPr>
        <w:spacing w:before="100" w:beforeAutospacing="1" w:after="100" w:afterAutospacing="1" w:line="240" w:lineRule="auto"/>
        <w:rPr>
          <w:rFonts w:ascii="Times New Roman" w:eastAsia="Times New Roman" w:hAnsi="Times New Roman"/>
          <w:b/>
          <w:bCs/>
          <w:sz w:val="24"/>
          <w:szCs w:val="24"/>
        </w:rPr>
      </w:pPr>
      <w:r w:rsidRPr="002E654B">
        <w:rPr>
          <w:rFonts w:ascii="Times New Roman" w:hAnsi="Times New Roman"/>
          <w:b/>
          <w:bCs/>
          <w:sz w:val="24"/>
          <w:szCs w:val="24"/>
        </w:rPr>
        <w:t>Legal Lesson Learned:</w:t>
      </w:r>
      <w:r>
        <w:rPr>
          <w:rFonts w:ascii="Times New Roman" w:hAnsi="Times New Roman"/>
          <w:b/>
          <w:bCs/>
          <w:sz w:val="24"/>
          <w:szCs w:val="24"/>
        </w:rPr>
        <w:t xml:space="preserve">  The firefighter failed to prove his suffered from “total and permanent” disability resulting from the </w:t>
      </w:r>
      <w:proofErr w:type="gramStart"/>
      <w:r>
        <w:rPr>
          <w:rFonts w:ascii="Times New Roman" w:hAnsi="Times New Roman"/>
          <w:b/>
          <w:bCs/>
          <w:sz w:val="24"/>
          <w:szCs w:val="24"/>
        </w:rPr>
        <w:t>on duty</w:t>
      </w:r>
      <w:proofErr w:type="gramEnd"/>
      <w:r>
        <w:rPr>
          <w:rFonts w:ascii="Times New Roman" w:hAnsi="Times New Roman"/>
          <w:b/>
          <w:bCs/>
          <w:sz w:val="24"/>
          <w:szCs w:val="24"/>
        </w:rPr>
        <w:t xml:space="preserve"> injury.</w:t>
      </w:r>
    </w:p>
    <w:p w14:paraId="7F4EC019" w14:textId="77777777" w:rsidR="005217D5" w:rsidRDefault="005217D5" w:rsidP="00EF1133">
      <w:pPr>
        <w:pStyle w:val="NoSpacing"/>
        <w:rPr>
          <w:rFonts w:ascii="Arial Black" w:hAnsi="Arial Black"/>
          <w:sz w:val="24"/>
          <w:szCs w:val="24"/>
        </w:rPr>
      </w:pPr>
    </w:p>
    <w:p w14:paraId="1466AFB5" w14:textId="77777777" w:rsidR="005217D5" w:rsidRDefault="005217D5" w:rsidP="00EF1133">
      <w:pPr>
        <w:pStyle w:val="NoSpacing"/>
        <w:rPr>
          <w:rFonts w:ascii="Arial Black" w:hAnsi="Arial Black"/>
          <w:sz w:val="24"/>
          <w:szCs w:val="24"/>
        </w:rPr>
      </w:pPr>
    </w:p>
    <w:p w14:paraId="469D9803" w14:textId="77777777" w:rsidR="005217D5" w:rsidRDefault="005217D5" w:rsidP="00EF1133">
      <w:pPr>
        <w:pStyle w:val="NoSpacing"/>
        <w:rPr>
          <w:rFonts w:ascii="Arial Black" w:hAnsi="Arial Black"/>
          <w:sz w:val="24"/>
          <w:szCs w:val="24"/>
        </w:rPr>
      </w:pPr>
    </w:p>
    <w:p w14:paraId="05EAD169" w14:textId="426F65B5" w:rsidR="0077274E" w:rsidRDefault="00A82898" w:rsidP="00EF1133">
      <w:pPr>
        <w:pStyle w:val="NoSpacing"/>
        <w:rPr>
          <w:rFonts w:ascii="Arial Black" w:hAnsi="Arial Black"/>
          <w:sz w:val="24"/>
          <w:szCs w:val="24"/>
        </w:rPr>
      </w:pPr>
      <w:r>
        <w:rPr>
          <w:rFonts w:ascii="Arial Black" w:hAnsi="Arial Black"/>
          <w:sz w:val="24"/>
          <w:szCs w:val="24"/>
        </w:rPr>
        <w:t>2-33</w:t>
      </w:r>
    </w:p>
    <w:p w14:paraId="00E27B2B" w14:textId="77777777" w:rsidR="00A82898" w:rsidRPr="000C40ED" w:rsidRDefault="00A82898" w:rsidP="00A82898">
      <w:pPr>
        <w:pStyle w:val="Heading1"/>
        <w:rPr>
          <w:rFonts w:ascii="Arial Black" w:hAnsi="Arial Black"/>
          <w:sz w:val="28"/>
          <w:szCs w:val="28"/>
        </w:rPr>
      </w:pPr>
      <w:r>
        <w:rPr>
          <w:rFonts w:ascii="Arial Black" w:hAnsi="Arial Black"/>
          <w:sz w:val="28"/>
          <w:szCs w:val="28"/>
        </w:rPr>
        <w:t>OH: SCHOOL TEACHERS CARRY FIREARMS - MUST TAKE 25-HOURS TRAINING REQUIRED FOR SECURITY GUARDS</w:t>
      </w:r>
    </w:p>
    <w:p w14:paraId="79B0221D" w14:textId="0318763E" w:rsidR="00C52D60" w:rsidRDefault="00C52D60" w:rsidP="00C52D60">
      <w:pPr>
        <w:pStyle w:val="Heading1"/>
        <w:rPr>
          <w:b w:val="0"/>
          <w:bCs w:val="0"/>
          <w:sz w:val="24"/>
          <w:szCs w:val="24"/>
        </w:rPr>
      </w:pPr>
      <w:r>
        <w:rPr>
          <w:b w:val="0"/>
          <w:bCs w:val="0"/>
          <w:sz w:val="24"/>
          <w:szCs w:val="24"/>
        </w:rPr>
        <w:t xml:space="preserve">On June 23, 2021, in </w:t>
      </w:r>
      <w:r>
        <w:rPr>
          <w:b w:val="0"/>
          <w:bCs w:val="0"/>
          <w:sz w:val="24"/>
          <w:szCs w:val="24"/>
          <w:u w:val="single"/>
        </w:rPr>
        <w:t>Erin Gabbard et al. v. Madison Local School District Board of Education</w:t>
      </w:r>
      <w:r>
        <w:rPr>
          <w:b w:val="0"/>
          <w:bCs w:val="0"/>
          <w:sz w:val="24"/>
          <w:szCs w:val="24"/>
        </w:rPr>
        <w:t xml:space="preserve">, the Ohio Supreme Court held (4 to 3) that the School Board cannot authorize 10 teachers to carry concealed firearms while on duty unless they first comply with Ohio Peace Officer Training Commission (OPATC) training requirements for armed security officers: 700 hours, instead of 24-hours, at an approved OPOTC training facility.  </w:t>
      </w:r>
    </w:p>
    <w:p w14:paraId="7172B3CA" w14:textId="3795677E" w:rsidR="00A82898" w:rsidRDefault="00A82898" w:rsidP="00A82898">
      <w:pPr>
        <w:pStyle w:val="Heading1"/>
        <w:ind w:left="720"/>
        <w:rPr>
          <w:b w:val="0"/>
          <w:bCs w:val="0"/>
          <w:sz w:val="24"/>
          <w:szCs w:val="24"/>
        </w:rPr>
      </w:pPr>
      <w:r>
        <w:rPr>
          <w:b w:val="0"/>
          <w:bCs w:val="0"/>
          <w:sz w:val="24"/>
          <w:szCs w:val="24"/>
        </w:rPr>
        <w:t>“</w:t>
      </w:r>
      <w:r w:rsidRPr="000C40ED">
        <w:rPr>
          <w:b w:val="0"/>
          <w:bCs w:val="0"/>
          <w:sz w:val="24"/>
          <w:szCs w:val="24"/>
        </w:rPr>
        <w:t>A person might be hired as a teacher, but when that person agrees to go armed while teaching, his or her duties expand to encompass additional duties akin to those normally performed by special police officers and security guards.</w:t>
      </w:r>
    </w:p>
    <w:p w14:paraId="58684F3E" w14:textId="77777777" w:rsidR="00A82898" w:rsidRDefault="00A82898" w:rsidP="00A82898">
      <w:pPr>
        <w:pStyle w:val="Heading1"/>
        <w:ind w:firstLine="720"/>
        <w:rPr>
          <w:b w:val="0"/>
          <w:bCs w:val="0"/>
          <w:sz w:val="24"/>
          <w:szCs w:val="24"/>
        </w:rPr>
      </w:pPr>
      <w:r>
        <w:rPr>
          <w:b w:val="0"/>
          <w:bCs w:val="0"/>
          <w:sz w:val="24"/>
          <w:szCs w:val="24"/>
        </w:rPr>
        <w:t>***</w:t>
      </w:r>
    </w:p>
    <w:p w14:paraId="34B4F3B0" w14:textId="77777777" w:rsidR="00A82898" w:rsidRDefault="00A82898" w:rsidP="00A82898">
      <w:pPr>
        <w:pStyle w:val="Heading1"/>
        <w:ind w:left="720"/>
        <w:rPr>
          <w:b w:val="0"/>
          <w:bCs w:val="0"/>
          <w:sz w:val="24"/>
          <w:szCs w:val="24"/>
        </w:rPr>
      </w:pPr>
      <w:r w:rsidRPr="000C40ED">
        <w:rPr>
          <w:b w:val="0"/>
          <w:bCs w:val="0"/>
          <w:sz w:val="24"/>
          <w:szCs w:val="24"/>
        </w:rPr>
        <w:t>We conclude that R.C. 2923.122(D)(1)(a) does not clearly constitute a legislative grant of power for school boards to authorize their employees to go armed so long as the employees undergo whatever training a board might deem advisable.</w:t>
      </w:r>
    </w:p>
    <w:p w14:paraId="1CF56B93" w14:textId="77777777" w:rsidR="00A82898" w:rsidRDefault="00A82898" w:rsidP="00A82898">
      <w:pPr>
        <w:pStyle w:val="Heading1"/>
        <w:ind w:firstLine="720"/>
        <w:rPr>
          <w:b w:val="0"/>
          <w:bCs w:val="0"/>
          <w:sz w:val="24"/>
          <w:szCs w:val="24"/>
        </w:rPr>
      </w:pPr>
      <w:r>
        <w:rPr>
          <w:b w:val="0"/>
          <w:bCs w:val="0"/>
          <w:sz w:val="24"/>
          <w:szCs w:val="24"/>
        </w:rPr>
        <w:t>***</w:t>
      </w:r>
    </w:p>
    <w:p w14:paraId="0E2CA891" w14:textId="77777777" w:rsidR="00A82898" w:rsidRDefault="00A82898" w:rsidP="00A82898">
      <w:pPr>
        <w:pStyle w:val="Heading1"/>
        <w:ind w:left="720"/>
        <w:rPr>
          <w:b w:val="0"/>
          <w:bCs w:val="0"/>
          <w:sz w:val="24"/>
          <w:szCs w:val="24"/>
        </w:rPr>
      </w:pPr>
      <w:r w:rsidRPr="000C40ED">
        <w:rPr>
          <w:b w:val="0"/>
          <w:bCs w:val="0"/>
          <w:sz w:val="24"/>
          <w:szCs w:val="24"/>
        </w:rPr>
        <w:t xml:space="preserve">Unlike other state legislatures that have responded to more recent calls to arm teachers and other school staff by enacting legislation that is specifically tailored to that issue, see, e.g., </w:t>
      </w:r>
      <w:proofErr w:type="spellStart"/>
      <w:r w:rsidRPr="000C40ED">
        <w:rPr>
          <w:b w:val="0"/>
          <w:bCs w:val="0"/>
          <w:sz w:val="24"/>
          <w:szCs w:val="24"/>
        </w:rPr>
        <w:t>Kan.Stat.Ann</w:t>
      </w:r>
      <w:proofErr w:type="spellEnd"/>
      <w:r w:rsidRPr="000C40ED">
        <w:rPr>
          <w:b w:val="0"/>
          <w:bCs w:val="0"/>
          <w:sz w:val="24"/>
          <w:szCs w:val="24"/>
        </w:rPr>
        <w:t xml:space="preserve">. 75-7c10(d)(1), </w:t>
      </w:r>
      <w:proofErr w:type="spellStart"/>
      <w:r w:rsidRPr="000C40ED">
        <w:rPr>
          <w:b w:val="0"/>
          <w:bCs w:val="0"/>
          <w:sz w:val="24"/>
          <w:szCs w:val="24"/>
        </w:rPr>
        <w:t>S.D.Codified</w:t>
      </w:r>
      <w:proofErr w:type="spellEnd"/>
      <w:r w:rsidRPr="000C40ED">
        <w:rPr>
          <w:b w:val="0"/>
          <w:bCs w:val="0"/>
          <w:sz w:val="24"/>
          <w:szCs w:val="24"/>
        </w:rPr>
        <w:t xml:space="preserve"> Laws 13-64-1, </w:t>
      </w:r>
      <w:proofErr w:type="spellStart"/>
      <w:r w:rsidRPr="000C40ED">
        <w:rPr>
          <w:b w:val="0"/>
          <w:bCs w:val="0"/>
          <w:sz w:val="24"/>
          <w:szCs w:val="24"/>
        </w:rPr>
        <w:t>Tenn.Code</w:t>
      </w:r>
      <w:proofErr w:type="spellEnd"/>
      <w:r w:rsidRPr="000C40ED">
        <w:rPr>
          <w:b w:val="0"/>
          <w:bCs w:val="0"/>
          <w:sz w:val="24"/>
          <w:szCs w:val="24"/>
        </w:rPr>
        <w:t xml:space="preserve"> Ann. 49-6-815, and </w:t>
      </w:r>
      <w:proofErr w:type="spellStart"/>
      <w:r w:rsidRPr="000C40ED">
        <w:rPr>
          <w:b w:val="0"/>
          <w:bCs w:val="0"/>
          <w:sz w:val="24"/>
          <w:szCs w:val="24"/>
        </w:rPr>
        <w:t>Tex.Educ.Code</w:t>
      </w:r>
      <w:proofErr w:type="spellEnd"/>
      <w:r w:rsidRPr="000C40ED">
        <w:rPr>
          <w:b w:val="0"/>
          <w:bCs w:val="0"/>
          <w:sz w:val="24"/>
          <w:szCs w:val="24"/>
        </w:rPr>
        <w:t xml:space="preserve"> Ann. 37.0811, the General Assembly has not done so.</w:t>
      </w:r>
      <w:r>
        <w:rPr>
          <w:b w:val="0"/>
          <w:bCs w:val="0"/>
          <w:sz w:val="24"/>
          <w:szCs w:val="24"/>
        </w:rPr>
        <w:t xml:space="preserve">  3.</w:t>
      </w:r>
    </w:p>
    <w:p w14:paraId="624B850F" w14:textId="77777777" w:rsidR="00A82898" w:rsidRPr="003D5D8C" w:rsidRDefault="00A82898" w:rsidP="00A82898">
      <w:pPr>
        <w:pStyle w:val="Heading1"/>
        <w:ind w:left="1440"/>
        <w:rPr>
          <w:b w:val="0"/>
          <w:bCs w:val="0"/>
          <w:sz w:val="24"/>
          <w:szCs w:val="24"/>
        </w:rPr>
      </w:pPr>
      <w:r w:rsidRPr="00DA092A">
        <w:rPr>
          <w:b w:val="0"/>
          <w:bCs w:val="0"/>
          <w:sz w:val="24"/>
          <w:szCs w:val="24"/>
        </w:rPr>
        <w:lastRenderedPageBreak/>
        <w:t xml:space="preserve">Footnote 3. There is currently pending in the General Assembly a bill that would exclude from R.C. 109.78(D)’s training-or-experience requirement teachers and other school employees whom a school board authorizes to carry a firearm while on duty. See 2021 H.B. No. 99. As introduced, the bill states an express intention to overrule the Twelfth District Court of Appeals’ decision below in this case.  </w:t>
      </w:r>
      <w:hyperlink r:id="rId528" w:history="1">
        <w:r w:rsidRPr="003D5D8C">
          <w:rPr>
            <w:rStyle w:val="Hyperlink"/>
            <w:sz w:val="24"/>
            <w:szCs w:val="24"/>
          </w:rPr>
          <w:t>https://www.supremecourt.ohio.gov/rod/docs/pdf/0/2021/2021-Ohio-2067.pdf</w:t>
        </w:r>
      </w:hyperlink>
      <w:r w:rsidRPr="003D5D8C">
        <w:rPr>
          <w:b w:val="0"/>
          <w:bCs w:val="0"/>
          <w:sz w:val="24"/>
          <w:szCs w:val="24"/>
        </w:rPr>
        <w:t xml:space="preserve"> </w:t>
      </w:r>
    </w:p>
    <w:p w14:paraId="063C8E1C" w14:textId="77777777" w:rsidR="00A82898" w:rsidRDefault="00A82898" w:rsidP="00A82898">
      <w:pPr>
        <w:pStyle w:val="Heading1"/>
        <w:rPr>
          <w:sz w:val="24"/>
          <w:szCs w:val="24"/>
        </w:rPr>
      </w:pPr>
      <w:r w:rsidRPr="008A7D9D">
        <w:rPr>
          <w:sz w:val="24"/>
          <w:szCs w:val="24"/>
        </w:rPr>
        <w:t xml:space="preserve">Legal Lesson Learned: </w:t>
      </w:r>
      <w:r>
        <w:rPr>
          <w:sz w:val="24"/>
          <w:szCs w:val="24"/>
        </w:rPr>
        <w:t xml:space="preserve">Fire &amp; EMS departments should issue a policy on </w:t>
      </w:r>
      <w:proofErr w:type="gramStart"/>
      <w:r>
        <w:rPr>
          <w:sz w:val="24"/>
          <w:szCs w:val="24"/>
        </w:rPr>
        <w:t>whether on</w:t>
      </w:r>
      <w:proofErr w:type="gramEnd"/>
      <w:r>
        <w:rPr>
          <w:sz w:val="24"/>
          <w:szCs w:val="24"/>
        </w:rPr>
        <w:t xml:space="preserve"> duty personnel may possess firearms, and minimum training required. </w:t>
      </w:r>
    </w:p>
    <w:p w14:paraId="5C246CBC" w14:textId="77777777" w:rsidR="00A82898" w:rsidRPr="00B14793" w:rsidRDefault="00A82898" w:rsidP="00A82898">
      <w:pPr>
        <w:pStyle w:val="NoSpacing"/>
        <w:ind w:left="720"/>
        <w:rPr>
          <w:rFonts w:ascii="Times New Roman" w:hAnsi="Times New Roman"/>
          <w:sz w:val="24"/>
          <w:szCs w:val="24"/>
        </w:rPr>
      </w:pPr>
      <w:r w:rsidRPr="00DA092A">
        <w:rPr>
          <w:rFonts w:ascii="Times New Roman" w:hAnsi="Times New Roman"/>
          <w:sz w:val="24"/>
          <w:szCs w:val="24"/>
        </w:rPr>
        <w:t xml:space="preserve">See this </w:t>
      </w:r>
      <w:r>
        <w:rPr>
          <w:rFonts w:ascii="Times New Roman" w:hAnsi="Times New Roman"/>
          <w:sz w:val="24"/>
          <w:szCs w:val="24"/>
        </w:rPr>
        <w:t xml:space="preserve">Dec. 1, </w:t>
      </w:r>
      <w:proofErr w:type="gramStart"/>
      <w:r>
        <w:rPr>
          <w:rFonts w:ascii="Times New Roman" w:hAnsi="Times New Roman"/>
          <w:sz w:val="24"/>
          <w:szCs w:val="24"/>
        </w:rPr>
        <w:t>2019</w:t>
      </w:r>
      <w:proofErr w:type="gramEnd"/>
      <w:r>
        <w:rPr>
          <w:rFonts w:ascii="Times New Roman" w:hAnsi="Times New Roman"/>
          <w:sz w:val="24"/>
          <w:szCs w:val="24"/>
        </w:rPr>
        <w:t xml:space="preserve"> </w:t>
      </w:r>
      <w:r w:rsidRPr="00DA092A">
        <w:rPr>
          <w:rFonts w:ascii="Times New Roman" w:hAnsi="Times New Roman"/>
          <w:sz w:val="24"/>
          <w:szCs w:val="24"/>
        </w:rPr>
        <w:t>article: “Fire Law: Should Firefighters Be Armed?” Curt Varone explains the challenges of the decision to allow members of a fire department to carry a firearm while on duty.</w:t>
      </w:r>
      <w:r>
        <w:rPr>
          <w:rFonts w:ascii="Times New Roman" w:hAnsi="Times New Roman"/>
          <w:sz w:val="24"/>
          <w:szCs w:val="24"/>
        </w:rPr>
        <w:t xml:space="preserve"> </w:t>
      </w:r>
      <w:hyperlink r:id="rId529" w:history="1">
        <w:r w:rsidRPr="00B14793">
          <w:rPr>
            <w:rStyle w:val="Hyperlink"/>
            <w:sz w:val="24"/>
            <w:szCs w:val="24"/>
          </w:rPr>
          <w:t>https://www.firehouse.com/operations-training/article/21112973/fire-law-should-firefighters-be-armed</w:t>
        </w:r>
      </w:hyperlink>
      <w:r w:rsidRPr="00B14793">
        <w:rPr>
          <w:rFonts w:ascii="Times New Roman" w:hAnsi="Times New Roman"/>
          <w:sz w:val="24"/>
          <w:szCs w:val="24"/>
        </w:rPr>
        <w:t xml:space="preserve"> </w:t>
      </w:r>
    </w:p>
    <w:p w14:paraId="7C6C5AB6" w14:textId="77777777" w:rsidR="00A82898" w:rsidRDefault="00A82898" w:rsidP="00A82898">
      <w:pPr>
        <w:pStyle w:val="NormalWeb"/>
        <w:spacing w:before="0" w:beforeAutospacing="0" w:after="0" w:afterAutospacing="0" w:line="255" w:lineRule="atLeast"/>
        <w:rPr>
          <w:rStyle w:val="markedcontent"/>
        </w:rPr>
      </w:pPr>
    </w:p>
    <w:p w14:paraId="482D9514" w14:textId="77777777" w:rsidR="00A82898" w:rsidRDefault="00A82898" w:rsidP="00EF1133">
      <w:pPr>
        <w:pStyle w:val="NoSpacing"/>
        <w:rPr>
          <w:rFonts w:ascii="Arial Black" w:hAnsi="Arial Black"/>
          <w:sz w:val="24"/>
          <w:szCs w:val="24"/>
        </w:rPr>
      </w:pPr>
    </w:p>
    <w:p w14:paraId="48B9A522" w14:textId="77777777" w:rsidR="00A82898" w:rsidRDefault="00A82898" w:rsidP="00EF1133">
      <w:pPr>
        <w:pStyle w:val="NoSpacing"/>
        <w:rPr>
          <w:rFonts w:ascii="Arial Black" w:hAnsi="Arial Black"/>
          <w:sz w:val="24"/>
          <w:szCs w:val="24"/>
        </w:rPr>
      </w:pPr>
    </w:p>
    <w:p w14:paraId="1E72C7DE" w14:textId="17BD001A" w:rsidR="0077274E" w:rsidRDefault="0077274E" w:rsidP="00EF1133">
      <w:pPr>
        <w:pStyle w:val="NoSpacing"/>
        <w:rPr>
          <w:rFonts w:ascii="Arial Black" w:hAnsi="Arial Black"/>
          <w:sz w:val="24"/>
          <w:szCs w:val="24"/>
        </w:rPr>
      </w:pPr>
      <w:r>
        <w:rPr>
          <w:rFonts w:ascii="Arial Black" w:hAnsi="Arial Black"/>
          <w:sz w:val="24"/>
          <w:szCs w:val="24"/>
        </w:rPr>
        <w:t>2-32</w:t>
      </w:r>
    </w:p>
    <w:p w14:paraId="5002D415" w14:textId="77777777" w:rsidR="0077274E" w:rsidRDefault="0077274E" w:rsidP="0077274E">
      <w:pPr>
        <w:pStyle w:val="gntarbp"/>
        <w:rPr>
          <w:rFonts w:ascii="Arial Black" w:hAnsi="Arial Black"/>
          <w:sz w:val="28"/>
          <w:szCs w:val="28"/>
        </w:rPr>
      </w:pPr>
      <w:r>
        <w:rPr>
          <w:rFonts w:ascii="Arial Black" w:hAnsi="Arial Black"/>
          <w:sz w:val="28"/>
          <w:szCs w:val="28"/>
        </w:rPr>
        <w:t>PA: ARSON CONV. SET ASIDE (3 FF LODD 1995) – ATF PAID REWARDS 2 WIT – NEW FED. CASE, NOT DOUBLE JEOPARDY</w:t>
      </w:r>
    </w:p>
    <w:p w14:paraId="178F06FE" w14:textId="77777777" w:rsidR="0077274E" w:rsidRPr="00E44388" w:rsidRDefault="0077274E" w:rsidP="0077274E">
      <w:pPr>
        <w:rPr>
          <w:rFonts w:ascii="Times New Roman" w:hAnsi="Times New Roman"/>
          <w:sz w:val="24"/>
          <w:szCs w:val="24"/>
        </w:rPr>
      </w:pPr>
      <w:r w:rsidRPr="00E44388">
        <w:rPr>
          <w:rFonts w:ascii="Times New Roman" w:hAnsi="Times New Roman"/>
          <w:sz w:val="24"/>
          <w:szCs w:val="24"/>
        </w:rPr>
        <w:t xml:space="preserve">On April 13, 2021, in </w:t>
      </w:r>
      <w:r w:rsidRPr="00E44388">
        <w:rPr>
          <w:rFonts w:ascii="Times New Roman" w:hAnsi="Times New Roman"/>
          <w:sz w:val="24"/>
          <w:szCs w:val="24"/>
          <w:u w:val="single"/>
        </w:rPr>
        <w:t>United States of America v. Gregory Brown, Jr</w:t>
      </w:r>
      <w:r w:rsidRPr="00E44388">
        <w:rPr>
          <w:rFonts w:ascii="Times New Roman" w:hAnsi="Times New Roman"/>
          <w:sz w:val="24"/>
          <w:szCs w:val="24"/>
        </w:rPr>
        <w:t xml:space="preserve">., the U.S. Court of Appeals for Third Circuit (Philadelphia) held 3-0 that the defendant, serving a life sentence for starting fire in his mother’s apartment </w:t>
      </w:r>
      <w:r>
        <w:rPr>
          <w:rFonts w:ascii="Times New Roman" w:hAnsi="Times New Roman"/>
          <w:sz w:val="24"/>
          <w:szCs w:val="24"/>
        </w:rPr>
        <w:t xml:space="preserve">on Feb. 14, </w:t>
      </w:r>
      <w:proofErr w:type="gramStart"/>
      <w:r>
        <w:rPr>
          <w:rFonts w:ascii="Times New Roman" w:hAnsi="Times New Roman"/>
          <w:sz w:val="24"/>
          <w:szCs w:val="24"/>
        </w:rPr>
        <w:t>1995</w:t>
      </w:r>
      <w:proofErr w:type="gramEnd"/>
      <w:r>
        <w:rPr>
          <w:rFonts w:ascii="Times New Roman" w:hAnsi="Times New Roman"/>
          <w:sz w:val="24"/>
          <w:szCs w:val="24"/>
        </w:rPr>
        <w:t xml:space="preserve"> </w:t>
      </w:r>
      <w:r w:rsidRPr="00E44388">
        <w:rPr>
          <w:rFonts w:ascii="Times New Roman" w:hAnsi="Times New Roman"/>
          <w:sz w:val="24"/>
          <w:szCs w:val="24"/>
        </w:rPr>
        <w:t>to collect renters</w:t>
      </w:r>
      <w:r>
        <w:rPr>
          <w:rFonts w:ascii="Times New Roman" w:hAnsi="Times New Roman"/>
          <w:sz w:val="24"/>
          <w:szCs w:val="24"/>
        </w:rPr>
        <w:t>’</w:t>
      </w:r>
      <w:r w:rsidRPr="00E44388">
        <w:rPr>
          <w:rFonts w:ascii="Times New Roman" w:hAnsi="Times New Roman"/>
          <w:sz w:val="24"/>
          <w:szCs w:val="24"/>
        </w:rPr>
        <w:t xml:space="preserve"> insurance can be re-tried</w:t>
      </w:r>
      <w:r>
        <w:rPr>
          <w:rFonts w:ascii="Times New Roman" w:hAnsi="Times New Roman"/>
          <w:sz w:val="24"/>
          <w:szCs w:val="24"/>
        </w:rPr>
        <w:t xml:space="preserve">, this time in Federal court.  Three firefighters were killed when a staircase collapsed. The state convictions were set aside 20 years after the convictions, when it was discovered that two witnesses were paid rewards by the ATF </w:t>
      </w:r>
      <w:proofErr w:type="spellStart"/>
      <w:r>
        <w:rPr>
          <w:rFonts w:ascii="Times New Roman" w:hAnsi="Times New Roman"/>
          <w:sz w:val="24"/>
          <w:szCs w:val="24"/>
        </w:rPr>
        <w:t>post trial</w:t>
      </w:r>
      <w:proofErr w:type="spellEnd"/>
      <w:r>
        <w:rPr>
          <w:rFonts w:ascii="Times New Roman" w:hAnsi="Times New Roman"/>
          <w:sz w:val="24"/>
          <w:szCs w:val="24"/>
        </w:rPr>
        <w:t xml:space="preserve"> ($10,000 and $5,000) even though they testified that no rewards were expected.  </w:t>
      </w:r>
      <w:r w:rsidRPr="00E44388">
        <w:rPr>
          <w:rFonts w:ascii="Times New Roman" w:hAnsi="Times New Roman"/>
          <w:sz w:val="24"/>
          <w:szCs w:val="24"/>
        </w:rPr>
        <w:t>This time he was indicted in Federal court destruction of property by fire resulting in death under 18 U.S.C. §844(</w:t>
      </w:r>
      <w:proofErr w:type="spellStart"/>
      <w:r w:rsidRPr="00E44388">
        <w:rPr>
          <w:rFonts w:ascii="Times New Roman" w:hAnsi="Times New Roman"/>
          <w:sz w:val="24"/>
          <w:szCs w:val="24"/>
        </w:rPr>
        <w:t>i</w:t>
      </w:r>
      <w:proofErr w:type="spellEnd"/>
      <w:r w:rsidRPr="00E44388">
        <w:rPr>
          <w:rFonts w:ascii="Times New Roman" w:hAnsi="Times New Roman"/>
          <w:sz w:val="24"/>
          <w:szCs w:val="24"/>
        </w:rPr>
        <w:t>).</w:t>
      </w:r>
      <w:r>
        <w:rPr>
          <w:rFonts w:ascii="Times New Roman" w:hAnsi="Times New Roman"/>
          <w:sz w:val="24"/>
          <w:szCs w:val="24"/>
        </w:rPr>
        <w:t xml:space="preserve"> </w:t>
      </w:r>
    </w:p>
    <w:p w14:paraId="650C09A6" w14:textId="77777777" w:rsidR="0077274E" w:rsidRPr="00A30885" w:rsidRDefault="0077274E" w:rsidP="0077274E">
      <w:pPr>
        <w:pStyle w:val="Heading1"/>
        <w:ind w:left="1440"/>
        <w:rPr>
          <w:b w:val="0"/>
          <w:bCs w:val="0"/>
          <w:sz w:val="24"/>
          <w:szCs w:val="24"/>
        </w:rPr>
      </w:pPr>
      <w:r w:rsidRPr="00A30885">
        <w:rPr>
          <w:b w:val="0"/>
          <w:bCs w:val="0"/>
          <w:sz w:val="24"/>
          <w:szCs w:val="24"/>
        </w:rPr>
        <w:t>“[R]</w:t>
      </w:r>
      <w:proofErr w:type="spellStart"/>
      <w:r w:rsidRPr="00A30885">
        <w:rPr>
          <w:b w:val="0"/>
          <w:bCs w:val="0"/>
          <w:sz w:val="24"/>
          <w:szCs w:val="24"/>
        </w:rPr>
        <w:t>etrying</w:t>
      </w:r>
      <w:proofErr w:type="spellEnd"/>
      <w:r w:rsidRPr="00A30885">
        <w:rPr>
          <w:b w:val="0"/>
          <w:bCs w:val="0"/>
          <w:sz w:val="24"/>
          <w:szCs w:val="24"/>
        </w:rPr>
        <w:t xml:space="preserve"> a defendant because the conviction was reversed for trial error is not a second jeopardy. Regardless of whether it proceeds in state or federal court, Brown’s second prosecution does not violate the Double Jeopardy Clause. The District Court did not err in denying Brown’s motion to dismiss the indictment and his motion to compel discovery on the dual-sovereignty issue, so we will affirm.</w:t>
      </w:r>
    </w:p>
    <w:p w14:paraId="19DB1B2B" w14:textId="77777777" w:rsidR="0077274E" w:rsidRDefault="0077274E" w:rsidP="0077274E">
      <w:r>
        <w:tab/>
      </w:r>
      <w:r>
        <w:tab/>
        <w:t>***</w:t>
      </w:r>
    </w:p>
    <w:p w14:paraId="05AE0FC0" w14:textId="77777777" w:rsidR="0077274E" w:rsidRPr="00E44388" w:rsidRDefault="0077274E" w:rsidP="0077274E">
      <w:pPr>
        <w:ind w:left="1440"/>
        <w:rPr>
          <w:rFonts w:ascii="Times New Roman" w:hAnsi="Times New Roman"/>
          <w:sz w:val="24"/>
          <w:szCs w:val="24"/>
        </w:rPr>
      </w:pPr>
      <w:r w:rsidRPr="00E12A9E">
        <w:rPr>
          <w:rFonts w:ascii="Times New Roman" w:hAnsi="Times New Roman"/>
          <w:sz w:val="24"/>
          <w:szCs w:val="24"/>
        </w:rPr>
        <w:t>The Double Jeopardy Clause says</w:t>
      </w:r>
      <w:r>
        <w:rPr>
          <w:rFonts w:ascii="Times New Roman" w:hAnsi="Times New Roman"/>
          <w:sz w:val="24"/>
          <w:szCs w:val="24"/>
        </w:rPr>
        <w:t xml:space="preserve"> </w:t>
      </w:r>
      <w:r w:rsidRPr="00E12A9E">
        <w:rPr>
          <w:rFonts w:ascii="Times New Roman" w:hAnsi="Times New Roman"/>
          <w:sz w:val="24"/>
          <w:szCs w:val="24"/>
        </w:rPr>
        <w:t>that no person</w:t>
      </w:r>
      <w:r>
        <w:rPr>
          <w:rFonts w:ascii="Times New Roman" w:hAnsi="Times New Roman"/>
          <w:sz w:val="24"/>
          <w:szCs w:val="24"/>
        </w:rPr>
        <w:t xml:space="preserve"> </w:t>
      </w:r>
      <w:r w:rsidRPr="00E12A9E">
        <w:rPr>
          <w:rFonts w:ascii="Times New Roman" w:hAnsi="Times New Roman"/>
          <w:sz w:val="24"/>
          <w:szCs w:val="24"/>
        </w:rPr>
        <w:t xml:space="preserve">shall </w:t>
      </w:r>
      <w:r>
        <w:rPr>
          <w:rFonts w:ascii="Times New Roman" w:hAnsi="Times New Roman"/>
          <w:sz w:val="24"/>
          <w:szCs w:val="24"/>
        </w:rPr>
        <w:t>‘</w:t>
      </w:r>
      <w:r w:rsidRPr="00E12A9E">
        <w:rPr>
          <w:rFonts w:ascii="Times New Roman" w:hAnsi="Times New Roman"/>
          <w:sz w:val="24"/>
          <w:szCs w:val="24"/>
        </w:rPr>
        <w:t xml:space="preserve">be subject </w:t>
      </w:r>
      <w:proofErr w:type="gramStart"/>
      <w:r w:rsidRPr="00E12A9E">
        <w:rPr>
          <w:rFonts w:ascii="Times New Roman" w:hAnsi="Times New Roman"/>
          <w:sz w:val="24"/>
          <w:szCs w:val="24"/>
        </w:rPr>
        <w:t>for</w:t>
      </w:r>
      <w:proofErr w:type="gramEnd"/>
      <w:r w:rsidRPr="00E12A9E">
        <w:rPr>
          <w:rFonts w:ascii="Times New Roman" w:hAnsi="Times New Roman"/>
          <w:sz w:val="24"/>
          <w:szCs w:val="24"/>
        </w:rPr>
        <w:t xml:space="preserve"> the same offence to be twice put in jeopardy of life or limb.</w:t>
      </w:r>
      <w:r>
        <w:rPr>
          <w:rFonts w:ascii="Times New Roman" w:hAnsi="Times New Roman"/>
          <w:sz w:val="24"/>
          <w:szCs w:val="24"/>
        </w:rPr>
        <w:t xml:space="preserve">’ </w:t>
      </w:r>
      <w:r w:rsidRPr="00E12A9E">
        <w:rPr>
          <w:rFonts w:ascii="Times New Roman" w:hAnsi="Times New Roman"/>
          <w:sz w:val="24"/>
          <w:szCs w:val="24"/>
        </w:rPr>
        <w:t xml:space="preserve">U.S. Const. </w:t>
      </w:r>
      <w:proofErr w:type="gramStart"/>
      <w:r w:rsidRPr="00E12A9E">
        <w:rPr>
          <w:rFonts w:ascii="Times New Roman" w:hAnsi="Times New Roman"/>
          <w:sz w:val="24"/>
          <w:szCs w:val="24"/>
        </w:rPr>
        <w:t>amend</w:t>
      </w:r>
      <w:proofErr w:type="gramEnd"/>
      <w:r w:rsidRPr="00E12A9E">
        <w:rPr>
          <w:rFonts w:ascii="Times New Roman" w:hAnsi="Times New Roman"/>
          <w:sz w:val="24"/>
          <w:szCs w:val="24"/>
        </w:rPr>
        <w:t>. V. But the clause’s prohibition against a second prosecution for the same offense is not absolute. Two examples are relevant here. First,</w:t>
      </w:r>
      <w:r>
        <w:rPr>
          <w:rFonts w:ascii="Times New Roman" w:hAnsi="Times New Roman"/>
          <w:sz w:val="24"/>
          <w:szCs w:val="24"/>
        </w:rPr>
        <w:t xml:space="preserve"> </w:t>
      </w:r>
      <w:r w:rsidRPr="00E12A9E">
        <w:rPr>
          <w:rFonts w:ascii="Times New Roman" w:hAnsi="Times New Roman"/>
          <w:sz w:val="24"/>
          <w:szCs w:val="24"/>
        </w:rPr>
        <w:t xml:space="preserve">under the trial-error rule, the Double Jeopardy Clause </w:t>
      </w:r>
      <w:r>
        <w:rPr>
          <w:rFonts w:ascii="Times New Roman" w:hAnsi="Times New Roman"/>
          <w:sz w:val="24"/>
          <w:szCs w:val="24"/>
        </w:rPr>
        <w:t>‘</w:t>
      </w:r>
      <w:r w:rsidRPr="00E12A9E">
        <w:rPr>
          <w:rFonts w:ascii="Times New Roman" w:hAnsi="Times New Roman"/>
          <w:sz w:val="24"/>
          <w:szCs w:val="24"/>
        </w:rPr>
        <w:t xml:space="preserve">does not prevent the government from retrying a defendant who succeeds in getting his first conviction set aside, through direct appeal or collateral attack, because of some error in the proceedings leading to </w:t>
      </w:r>
      <w:proofErr w:type="gramStart"/>
      <w:r w:rsidRPr="00E12A9E">
        <w:rPr>
          <w:rFonts w:ascii="Times New Roman" w:hAnsi="Times New Roman"/>
          <w:sz w:val="24"/>
          <w:szCs w:val="24"/>
        </w:rPr>
        <w:t>conviction.</w:t>
      </w:r>
      <w:r>
        <w:rPr>
          <w:rFonts w:ascii="Times New Roman" w:hAnsi="Times New Roman"/>
          <w:sz w:val="24"/>
          <w:szCs w:val="24"/>
        </w:rPr>
        <w:t>’</w:t>
      </w:r>
      <w:proofErr w:type="gramEnd"/>
      <w:r w:rsidRPr="00E12A9E">
        <w:rPr>
          <w:rFonts w:ascii="Times New Roman" w:hAnsi="Times New Roman"/>
          <w:sz w:val="24"/>
          <w:szCs w:val="24"/>
        </w:rPr>
        <w:t xml:space="preserve"> Lockhart v. Nelson, 488 U.S. 33, 38 (1988). Second,</w:t>
      </w:r>
      <w:r>
        <w:rPr>
          <w:rFonts w:ascii="Times New Roman" w:hAnsi="Times New Roman"/>
          <w:sz w:val="24"/>
          <w:szCs w:val="24"/>
        </w:rPr>
        <w:t xml:space="preserve"> </w:t>
      </w:r>
      <w:r w:rsidRPr="00E12A9E">
        <w:rPr>
          <w:rFonts w:ascii="Times New Roman" w:hAnsi="Times New Roman"/>
          <w:sz w:val="24"/>
          <w:szCs w:val="24"/>
        </w:rPr>
        <w:t>the dual-sovereignty principle allows a federal indictment for the same conduct</w:t>
      </w:r>
      <w:r>
        <w:rPr>
          <w:rFonts w:ascii="Times New Roman" w:hAnsi="Times New Roman"/>
          <w:sz w:val="24"/>
          <w:szCs w:val="24"/>
        </w:rPr>
        <w:t xml:space="preserve"> </w:t>
      </w:r>
      <w:r w:rsidRPr="00E12A9E">
        <w:rPr>
          <w:rFonts w:ascii="Times New Roman" w:hAnsi="Times New Roman"/>
          <w:sz w:val="24"/>
          <w:szCs w:val="24"/>
        </w:rPr>
        <w:t xml:space="preserve">punished under state law—and vice versa—because the two prosecutions, under different sovereigns, are not </w:t>
      </w:r>
      <w:r>
        <w:rPr>
          <w:rFonts w:ascii="Times New Roman" w:hAnsi="Times New Roman"/>
          <w:sz w:val="24"/>
          <w:szCs w:val="24"/>
        </w:rPr>
        <w:t>‘</w:t>
      </w:r>
      <w:r w:rsidRPr="00E12A9E">
        <w:rPr>
          <w:rFonts w:ascii="Times New Roman" w:hAnsi="Times New Roman"/>
          <w:sz w:val="24"/>
          <w:szCs w:val="24"/>
        </w:rPr>
        <w:t>for the same offence.</w:t>
      </w:r>
      <w:r>
        <w:rPr>
          <w:rFonts w:ascii="Times New Roman" w:hAnsi="Times New Roman"/>
          <w:sz w:val="24"/>
          <w:szCs w:val="24"/>
        </w:rPr>
        <w:t>’</w:t>
      </w:r>
      <w:r w:rsidRPr="00E12A9E">
        <w:rPr>
          <w:rFonts w:ascii="Times New Roman" w:hAnsi="Times New Roman"/>
          <w:sz w:val="24"/>
          <w:szCs w:val="24"/>
        </w:rPr>
        <w:t xml:space="preserve"> U.S. Const. </w:t>
      </w:r>
      <w:proofErr w:type="gramStart"/>
      <w:r w:rsidRPr="00E12A9E">
        <w:rPr>
          <w:rFonts w:ascii="Times New Roman" w:hAnsi="Times New Roman"/>
          <w:sz w:val="24"/>
          <w:szCs w:val="24"/>
        </w:rPr>
        <w:t>amend</w:t>
      </w:r>
      <w:proofErr w:type="gramEnd"/>
      <w:r w:rsidRPr="00E12A9E">
        <w:rPr>
          <w:rFonts w:ascii="Times New Roman" w:hAnsi="Times New Roman"/>
          <w:sz w:val="24"/>
          <w:szCs w:val="24"/>
        </w:rPr>
        <w:t>. V; Gamble, 139 S. Ct. at1965–66.</w:t>
      </w:r>
      <w:r>
        <w:rPr>
          <w:rFonts w:ascii="Times New Roman" w:hAnsi="Times New Roman"/>
          <w:sz w:val="24"/>
          <w:szCs w:val="24"/>
        </w:rPr>
        <w:t xml:space="preserve">”  </w:t>
      </w:r>
      <w:hyperlink r:id="rId530" w:history="1">
        <w:r w:rsidRPr="0041276B">
          <w:rPr>
            <w:rStyle w:val="Hyperlink"/>
            <w:rFonts w:ascii="Times New Roman" w:hAnsi="Times New Roman"/>
            <w:sz w:val="24"/>
            <w:szCs w:val="24"/>
          </w:rPr>
          <w:t>https://www2.ca3.uscourts.gov/opinarch/201734p.pdf</w:t>
        </w:r>
      </w:hyperlink>
      <w:r w:rsidRPr="00E44388">
        <w:rPr>
          <w:rFonts w:ascii="Times New Roman" w:hAnsi="Times New Roman"/>
          <w:sz w:val="24"/>
          <w:szCs w:val="24"/>
        </w:rPr>
        <w:t xml:space="preserve"> </w:t>
      </w:r>
    </w:p>
    <w:p w14:paraId="04481FBF" w14:textId="77777777" w:rsidR="0077274E" w:rsidRPr="003346FA" w:rsidRDefault="0077274E" w:rsidP="0077274E">
      <w:pPr>
        <w:rPr>
          <w:rFonts w:ascii="Times New Roman" w:hAnsi="Times New Roman"/>
          <w:b/>
          <w:bCs/>
          <w:sz w:val="24"/>
          <w:szCs w:val="24"/>
        </w:rPr>
      </w:pPr>
      <w:r w:rsidRPr="003346FA">
        <w:rPr>
          <w:rFonts w:ascii="Times New Roman" w:hAnsi="Times New Roman"/>
          <w:b/>
          <w:bCs/>
          <w:sz w:val="24"/>
          <w:szCs w:val="24"/>
        </w:rPr>
        <w:lastRenderedPageBreak/>
        <w:t>Legal Lesson Learned:</w:t>
      </w:r>
      <w:r>
        <w:rPr>
          <w:rFonts w:ascii="Times New Roman" w:hAnsi="Times New Roman"/>
          <w:b/>
          <w:bCs/>
          <w:sz w:val="24"/>
          <w:szCs w:val="24"/>
        </w:rPr>
        <w:t xml:space="preserve">  Double jeopardy does not apply to second charges in Federal court, after state charges were set aside. When ATF or other agency offers a reward for information on an arson, the Prosecution must disclose to defense counsel at trial whether any witnesses will be paid the reward.   </w:t>
      </w:r>
    </w:p>
    <w:p w14:paraId="5DF688D3" w14:textId="77777777" w:rsidR="0077274E" w:rsidRDefault="0077274E" w:rsidP="0077274E">
      <w:pPr>
        <w:ind w:left="720" w:firstLine="720"/>
        <w:rPr>
          <w:rFonts w:ascii="Times New Roman" w:hAnsi="Times New Roman"/>
          <w:sz w:val="24"/>
          <w:szCs w:val="24"/>
        </w:rPr>
      </w:pPr>
      <w:r>
        <w:rPr>
          <w:rFonts w:ascii="Times New Roman" w:hAnsi="Times New Roman"/>
          <w:sz w:val="24"/>
          <w:szCs w:val="24"/>
        </w:rPr>
        <w:t xml:space="preserve">Note: See article on the case: </w:t>
      </w:r>
    </w:p>
    <w:p w14:paraId="55EBE775" w14:textId="77777777" w:rsidR="0077274E" w:rsidRPr="0077274E" w:rsidRDefault="0077274E" w:rsidP="0077274E">
      <w:pPr>
        <w:pStyle w:val="Heading1"/>
        <w:ind w:left="1440"/>
        <w:rPr>
          <w:b w:val="0"/>
          <w:bCs w:val="0"/>
          <w:sz w:val="24"/>
          <w:szCs w:val="24"/>
        </w:rPr>
      </w:pPr>
      <w:r w:rsidRPr="000D6C61">
        <w:rPr>
          <w:b w:val="0"/>
          <w:bCs w:val="0"/>
          <w:sz w:val="24"/>
          <w:szCs w:val="24"/>
        </w:rPr>
        <w:t xml:space="preserve">“Court rules Pa. man can be re-tried for allegedly setting blaze that killed 3 firefighters. The man's previous convictions for the deaths of three Pittsburgh firefighters were overturned 20 years into his prison sentences.” (April 15, 2021): </w:t>
      </w:r>
      <w:hyperlink r:id="rId531" w:history="1">
        <w:r w:rsidRPr="0077274E">
          <w:rPr>
            <w:rStyle w:val="Hyperlink"/>
            <w:b w:val="0"/>
            <w:bCs w:val="0"/>
            <w:sz w:val="24"/>
            <w:szCs w:val="24"/>
          </w:rPr>
          <w:t>https://www.firerescue1.com/arson-investigation/articles/court-rules-pa-man-can-be-re-tried-for-allegedly-setting-blaze-that-killed-3-firefighters-lLEkejoGfuP6GGk9/?utm_source=FireRescue1+Daily&amp;utm_campaign=f787a554cb-EMAIL_CAMPAIGN_2021_04_15_07_27&amp;utm_medium=email&amp;utm_term=0_758bdbeffe-f787a554cb-41607823</w:t>
        </w:r>
      </w:hyperlink>
      <w:r w:rsidRPr="0077274E">
        <w:rPr>
          <w:b w:val="0"/>
          <w:bCs w:val="0"/>
          <w:sz w:val="24"/>
          <w:szCs w:val="24"/>
        </w:rPr>
        <w:t xml:space="preserve"> </w:t>
      </w:r>
    </w:p>
    <w:p w14:paraId="561B676B" w14:textId="77777777" w:rsidR="0077274E" w:rsidRPr="00A94994" w:rsidRDefault="0077274E" w:rsidP="0077274E">
      <w:pPr>
        <w:ind w:left="720"/>
        <w:rPr>
          <w:rFonts w:ascii="Times New Roman" w:hAnsi="Times New Roman"/>
          <w:sz w:val="24"/>
          <w:szCs w:val="24"/>
        </w:rPr>
      </w:pPr>
    </w:p>
    <w:p w14:paraId="007CD4F8" w14:textId="77777777" w:rsidR="0077274E" w:rsidRDefault="0077274E" w:rsidP="00EF1133">
      <w:pPr>
        <w:pStyle w:val="NoSpacing"/>
        <w:rPr>
          <w:rFonts w:ascii="Arial Black" w:hAnsi="Arial Black"/>
          <w:sz w:val="24"/>
          <w:szCs w:val="24"/>
        </w:rPr>
      </w:pPr>
    </w:p>
    <w:p w14:paraId="6BD771B5" w14:textId="77777777" w:rsidR="0077274E" w:rsidRDefault="0077274E" w:rsidP="00EF1133">
      <w:pPr>
        <w:pStyle w:val="NoSpacing"/>
        <w:rPr>
          <w:rFonts w:ascii="Arial Black" w:hAnsi="Arial Black"/>
          <w:sz w:val="24"/>
          <w:szCs w:val="24"/>
        </w:rPr>
      </w:pPr>
    </w:p>
    <w:p w14:paraId="2C421661" w14:textId="346A44A0" w:rsidR="00CD5950" w:rsidRDefault="00CD5950" w:rsidP="00EF1133">
      <w:pPr>
        <w:pStyle w:val="NoSpacing"/>
        <w:rPr>
          <w:rFonts w:ascii="Arial Black" w:hAnsi="Arial Black"/>
          <w:sz w:val="24"/>
          <w:szCs w:val="24"/>
        </w:rPr>
      </w:pPr>
      <w:r>
        <w:rPr>
          <w:rFonts w:ascii="Arial Black" w:hAnsi="Arial Black"/>
          <w:sz w:val="24"/>
          <w:szCs w:val="24"/>
        </w:rPr>
        <w:t>2-31</w:t>
      </w:r>
    </w:p>
    <w:p w14:paraId="514DA587" w14:textId="2AD41E3C" w:rsidR="00CD5950" w:rsidRDefault="00CD5950" w:rsidP="00EF1133">
      <w:pPr>
        <w:pStyle w:val="NoSpacing"/>
        <w:rPr>
          <w:rFonts w:ascii="Arial Black" w:hAnsi="Arial Black"/>
          <w:sz w:val="24"/>
          <w:szCs w:val="24"/>
        </w:rPr>
      </w:pPr>
    </w:p>
    <w:p w14:paraId="4BA773C9" w14:textId="77777777" w:rsidR="00CD5950" w:rsidRPr="001C50BB" w:rsidRDefault="00CD5950" w:rsidP="00CD5950">
      <w:pPr>
        <w:pStyle w:val="NoSpacing"/>
        <w:rPr>
          <w:rFonts w:ascii="Arial Black" w:hAnsi="Arial Black"/>
          <w:sz w:val="28"/>
          <w:szCs w:val="28"/>
        </w:rPr>
      </w:pPr>
      <w:r>
        <w:rPr>
          <w:rFonts w:ascii="Arial Black" w:hAnsi="Arial Black"/>
          <w:sz w:val="28"/>
          <w:szCs w:val="28"/>
        </w:rPr>
        <w:t>OH: FIRE CHIEF ALMOST HIT - THIRD-DEGEE FELONY - DRIVER SLEEPING AT GAS STATION SPEAD AWAY FROM DEPUTY SHERIFF</w:t>
      </w:r>
    </w:p>
    <w:p w14:paraId="7211BAE9" w14:textId="77777777" w:rsidR="00CD5950" w:rsidRDefault="00CD5950" w:rsidP="00CD595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Feb. 22, 2021, in </w:t>
      </w:r>
      <w:r w:rsidRPr="001C50BB">
        <w:rPr>
          <w:rFonts w:ascii="Times New Roman" w:hAnsi="Times New Roman"/>
          <w:sz w:val="24"/>
          <w:szCs w:val="24"/>
          <w:u w:val="single"/>
        </w:rPr>
        <w:t>State of Ohio v. David A. Zitney</w:t>
      </w:r>
      <w:r>
        <w:rPr>
          <w:rFonts w:ascii="Times New Roman" w:hAnsi="Times New Roman"/>
          <w:sz w:val="24"/>
          <w:szCs w:val="24"/>
        </w:rPr>
        <w:t xml:space="preserve">, the Court of Appeals for Twelfth Appellate District (Clinton County), </w:t>
      </w:r>
      <w:r w:rsidRPr="003E75FA">
        <w:rPr>
          <w:rFonts w:ascii="Times New Roman" w:eastAsia="Times New Roman" w:hAnsi="Times New Roman"/>
          <w:color w:val="000000" w:themeColor="text1"/>
          <w:sz w:val="24"/>
          <w:szCs w:val="24"/>
        </w:rPr>
        <w:t xml:space="preserve">2021 Ohio </w:t>
      </w:r>
      <w:r w:rsidRPr="003E75FA">
        <w:rPr>
          <w:rFonts w:ascii="Times New Roman" w:eastAsia="Times New Roman" w:hAnsi="Times New Roman"/>
          <w:sz w:val="24"/>
          <w:szCs w:val="24"/>
        </w:rPr>
        <w:t>466</w:t>
      </w:r>
      <w:r>
        <w:rPr>
          <w:rFonts w:ascii="Times New Roman" w:eastAsia="Times New Roman" w:hAnsi="Times New Roman"/>
          <w:sz w:val="24"/>
          <w:szCs w:val="24"/>
        </w:rPr>
        <w:t xml:space="preserve">, </w:t>
      </w:r>
      <w:r>
        <w:rPr>
          <w:rFonts w:ascii="Times New Roman" w:hAnsi="Times New Roman"/>
          <w:sz w:val="24"/>
          <w:szCs w:val="24"/>
        </w:rPr>
        <w:t xml:space="preserve">held (3 to 0) that the drivers’ conduct, failing to comply with officer’s order or signal, and speeding away from the gas station caused a “substantial risk of serious physical harm to others” and was therefore a third-degree felony.  The jury conviction was affirmed; the defendant must serve 3-year sentence. </w:t>
      </w:r>
    </w:p>
    <w:p w14:paraId="2D3C7521" w14:textId="77777777" w:rsidR="00CD5950" w:rsidRPr="00E31E01"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“T</w:t>
      </w:r>
      <w:r w:rsidRPr="00E31E01">
        <w:rPr>
          <w:rFonts w:ascii="Times New Roman" w:eastAsia="Times New Roman" w:hAnsi="Times New Roman"/>
          <w:sz w:val="24"/>
          <w:szCs w:val="24"/>
        </w:rPr>
        <w:t xml:space="preserve">estimony from Deputy Abbitt and Fugate </w:t>
      </w:r>
      <w:r>
        <w:rPr>
          <w:rFonts w:ascii="Times New Roman" w:eastAsia="Times New Roman" w:hAnsi="Times New Roman"/>
          <w:sz w:val="24"/>
          <w:szCs w:val="24"/>
        </w:rPr>
        <w:t xml:space="preserve">[Don Fugate, Fire Chief, Massie Township] </w:t>
      </w:r>
      <w:r w:rsidRPr="00E31E01">
        <w:rPr>
          <w:rFonts w:ascii="Times New Roman" w:eastAsia="Times New Roman" w:hAnsi="Times New Roman"/>
          <w:sz w:val="24"/>
          <w:szCs w:val="24"/>
        </w:rPr>
        <w:t xml:space="preserve">demonstrated that appellant's actions on October 19, </w:t>
      </w:r>
      <w:proofErr w:type="gramStart"/>
      <w:r w:rsidRPr="00E31E01">
        <w:rPr>
          <w:rFonts w:ascii="Times New Roman" w:eastAsia="Times New Roman" w:hAnsi="Times New Roman"/>
          <w:sz w:val="24"/>
          <w:szCs w:val="24"/>
        </w:rPr>
        <w:t>2019</w:t>
      </w:r>
      <w:proofErr w:type="gramEnd"/>
      <w:r w:rsidRPr="00E31E01">
        <w:rPr>
          <w:rFonts w:ascii="Times New Roman" w:eastAsia="Times New Roman" w:hAnsi="Times New Roman"/>
          <w:sz w:val="24"/>
          <w:szCs w:val="24"/>
        </w:rPr>
        <w:t xml:space="preserve"> created a strong possibility of serious physical harm to those individuals present at the Shell gas station and to those motorists traveling along State Route 73 when appellant fled from the gas station. Appellant drove through and exited the parking lot of a commercial establishment where other individuals were present at an excessive rate of speed. </w:t>
      </w:r>
      <w:proofErr w:type="gramStart"/>
      <w:r w:rsidRPr="00E31E01">
        <w:rPr>
          <w:rFonts w:ascii="Times New Roman" w:eastAsia="Times New Roman" w:hAnsi="Times New Roman"/>
          <w:sz w:val="24"/>
          <w:szCs w:val="24"/>
        </w:rPr>
        <w:t>Appellant</w:t>
      </w:r>
      <w:proofErr w:type="gramEnd"/>
      <w:r w:rsidRPr="00E31E01">
        <w:rPr>
          <w:rFonts w:ascii="Times New Roman" w:eastAsia="Times New Roman" w:hAnsi="Times New Roman"/>
          <w:sz w:val="24"/>
          <w:szCs w:val="24"/>
        </w:rPr>
        <w:t xml:space="preserve"> did not </w:t>
      </w:r>
      <w:proofErr w:type="spellStart"/>
      <w:r w:rsidRPr="00E31E01">
        <w:rPr>
          <w:rFonts w:ascii="Times New Roman" w:eastAsia="Times New Roman" w:hAnsi="Times New Roman"/>
          <w:sz w:val="24"/>
          <w:szCs w:val="24"/>
        </w:rPr>
        <w:t>brake</w:t>
      </w:r>
      <w:proofErr w:type="spellEnd"/>
      <w:r w:rsidRPr="00E31E01">
        <w:rPr>
          <w:rFonts w:ascii="Times New Roman" w:eastAsia="Times New Roman" w:hAnsi="Times New Roman"/>
          <w:sz w:val="24"/>
          <w:szCs w:val="24"/>
        </w:rPr>
        <w:t xml:space="preserve"> before entering the roadway and proceeded to drive at a high rate of speed, sometimes on the</w:t>
      </w:r>
      <w:r>
        <w:rPr>
          <w:rFonts w:ascii="Times New Roman" w:eastAsia="Times New Roman" w:hAnsi="Times New Roman"/>
          <w:sz w:val="24"/>
          <w:szCs w:val="24"/>
        </w:rPr>
        <w:t xml:space="preserve"> </w:t>
      </w:r>
      <w:r w:rsidRPr="00E31E01">
        <w:rPr>
          <w:rFonts w:ascii="Times New Roman" w:eastAsia="Times New Roman" w:hAnsi="Times New Roman"/>
          <w:sz w:val="24"/>
          <w:szCs w:val="24"/>
        </w:rPr>
        <w:t xml:space="preserve">wrong side of the road against traffic. As Fugate explained, the area where </w:t>
      </w:r>
      <w:proofErr w:type="gramStart"/>
      <w:r w:rsidRPr="00E31E01">
        <w:rPr>
          <w:rFonts w:ascii="Times New Roman" w:eastAsia="Times New Roman" w:hAnsi="Times New Roman"/>
          <w:sz w:val="24"/>
          <w:szCs w:val="24"/>
        </w:rPr>
        <w:t>appellant</w:t>
      </w:r>
      <w:proofErr w:type="gramEnd"/>
      <w:r w:rsidRPr="00E31E01">
        <w:rPr>
          <w:rFonts w:ascii="Times New Roman" w:eastAsia="Times New Roman" w:hAnsi="Times New Roman"/>
          <w:sz w:val="24"/>
          <w:szCs w:val="24"/>
        </w:rPr>
        <w:t xml:space="preserve"> entered the highway was a </w:t>
      </w:r>
      <w:r>
        <w:rPr>
          <w:rFonts w:ascii="Times New Roman" w:eastAsia="Times New Roman" w:hAnsi="Times New Roman"/>
          <w:sz w:val="24"/>
          <w:szCs w:val="24"/>
        </w:rPr>
        <w:t>‘</w:t>
      </w:r>
      <w:r w:rsidRPr="00E31E01">
        <w:rPr>
          <w:rFonts w:ascii="Times New Roman" w:eastAsia="Times New Roman" w:hAnsi="Times New Roman"/>
          <w:sz w:val="24"/>
          <w:szCs w:val="24"/>
        </w:rPr>
        <w:t>high traffic area</w:t>
      </w:r>
      <w:r>
        <w:rPr>
          <w:rFonts w:ascii="Times New Roman" w:eastAsia="Times New Roman" w:hAnsi="Times New Roman"/>
          <w:sz w:val="24"/>
          <w:szCs w:val="24"/>
        </w:rPr>
        <w:t>’</w:t>
      </w:r>
      <w:r w:rsidRPr="00E31E01">
        <w:rPr>
          <w:rFonts w:ascii="Times New Roman" w:eastAsia="Times New Roman" w:hAnsi="Times New Roman"/>
          <w:sz w:val="24"/>
          <w:szCs w:val="24"/>
        </w:rPr>
        <w:t xml:space="preserve"> and the roadway where </w:t>
      </w:r>
      <w:proofErr w:type="gramStart"/>
      <w:r w:rsidRPr="00E31E01">
        <w:rPr>
          <w:rFonts w:ascii="Times New Roman" w:eastAsia="Times New Roman" w:hAnsi="Times New Roman"/>
          <w:sz w:val="24"/>
          <w:szCs w:val="24"/>
        </w:rPr>
        <w:t>appellant</w:t>
      </w:r>
      <w:proofErr w:type="gramEnd"/>
      <w:r w:rsidRPr="00E31E01">
        <w:rPr>
          <w:rFonts w:ascii="Times New Roman" w:eastAsia="Times New Roman" w:hAnsi="Times New Roman"/>
          <w:sz w:val="24"/>
          <w:szCs w:val="24"/>
        </w:rPr>
        <w:t xml:space="preserve"> drove in the incorrect lane was curvy and hilly. In fact, the bridge appellant drove on had an inclining peak, which made it difficult to see if traffic was approaching on the other side of the bridge. Indeed, as Deputy Abbitt explained, traffic was observed traveling in both directions on State Route 73 during her pursuit of appellant. Appellant was driving at such a rapid speed that the deputy was unable to catch up to appellant, despite traveling more than 100 m.p.h.</w:t>
      </w:r>
      <w:r>
        <w:rPr>
          <w:rFonts w:ascii="Times New Roman" w:eastAsia="Times New Roman" w:hAnsi="Times New Roman"/>
          <w:sz w:val="24"/>
          <w:szCs w:val="24"/>
        </w:rPr>
        <w:t xml:space="preserve">”   </w:t>
      </w:r>
      <w:hyperlink r:id="rId532" w:history="1">
        <w:r w:rsidRPr="00EA374E">
          <w:rPr>
            <w:rStyle w:val="Hyperlink"/>
            <w:rFonts w:ascii="Times New Roman" w:eastAsia="Times New Roman" w:hAnsi="Times New Roman"/>
            <w:sz w:val="24"/>
            <w:szCs w:val="24"/>
          </w:rPr>
          <w:t>https://casetext.com/case/state-v-zitney-1</w:t>
        </w:r>
      </w:hyperlink>
      <w:r>
        <w:rPr>
          <w:rFonts w:ascii="Times New Roman" w:eastAsia="Times New Roman" w:hAnsi="Times New Roman"/>
          <w:sz w:val="24"/>
          <w:szCs w:val="24"/>
        </w:rPr>
        <w:t xml:space="preserve"> </w:t>
      </w:r>
    </w:p>
    <w:p w14:paraId="2698B6BF" w14:textId="77777777" w:rsidR="00CD5950" w:rsidRDefault="00CD5950" w:rsidP="00EF1133">
      <w:pPr>
        <w:pStyle w:val="NoSpacing"/>
        <w:rPr>
          <w:rFonts w:ascii="Arial Black" w:hAnsi="Arial Black"/>
          <w:sz w:val="24"/>
          <w:szCs w:val="24"/>
        </w:rPr>
      </w:pPr>
    </w:p>
    <w:p w14:paraId="78F5AC83" w14:textId="77777777" w:rsidR="00CD5950" w:rsidRDefault="00CD5950" w:rsidP="00EF1133">
      <w:pPr>
        <w:pStyle w:val="NoSpacing"/>
        <w:rPr>
          <w:rFonts w:ascii="Arial Black" w:hAnsi="Arial Black"/>
          <w:sz w:val="24"/>
          <w:szCs w:val="24"/>
        </w:rPr>
      </w:pPr>
    </w:p>
    <w:p w14:paraId="79B2132A" w14:textId="77777777" w:rsidR="00CD5950" w:rsidRDefault="00CD5950" w:rsidP="00EF1133">
      <w:pPr>
        <w:pStyle w:val="NoSpacing"/>
        <w:rPr>
          <w:rFonts w:ascii="Arial Black" w:hAnsi="Arial Black"/>
          <w:sz w:val="24"/>
          <w:szCs w:val="24"/>
        </w:rPr>
      </w:pPr>
    </w:p>
    <w:p w14:paraId="30B1E84B" w14:textId="03E81674" w:rsidR="00F90EE5" w:rsidRDefault="00F90EE5" w:rsidP="00EF1133">
      <w:pPr>
        <w:pStyle w:val="NoSpacing"/>
        <w:rPr>
          <w:rFonts w:ascii="Arial Black" w:hAnsi="Arial Black"/>
          <w:sz w:val="24"/>
          <w:szCs w:val="24"/>
        </w:rPr>
      </w:pPr>
      <w:r>
        <w:rPr>
          <w:rFonts w:ascii="Arial Black" w:hAnsi="Arial Black"/>
          <w:sz w:val="24"/>
          <w:szCs w:val="24"/>
        </w:rPr>
        <w:t>2-30</w:t>
      </w:r>
    </w:p>
    <w:p w14:paraId="4EF4A26E" w14:textId="1A082B15" w:rsidR="00F90EE5" w:rsidRDefault="00F90EE5" w:rsidP="00EF1133">
      <w:pPr>
        <w:pStyle w:val="NoSpacing"/>
        <w:rPr>
          <w:rFonts w:ascii="Arial Black" w:hAnsi="Arial Black"/>
          <w:sz w:val="24"/>
          <w:szCs w:val="24"/>
        </w:rPr>
      </w:pPr>
    </w:p>
    <w:p w14:paraId="592B5EB8" w14:textId="77777777" w:rsidR="00F90EE5" w:rsidRPr="00C90287" w:rsidRDefault="00F90EE5" w:rsidP="00F90EE5">
      <w:pPr>
        <w:pStyle w:val="NoSpacing"/>
        <w:rPr>
          <w:rFonts w:ascii="Arial Black" w:hAnsi="Arial Black"/>
          <w:sz w:val="28"/>
          <w:szCs w:val="28"/>
        </w:rPr>
      </w:pPr>
      <w:r>
        <w:rPr>
          <w:rFonts w:ascii="Arial Black" w:hAnsi="Arial Black"/>
          <w:sz w:val="28"/>
          <w:szCs w:val="28"/>
        </w:rPr>
        <w:lastRenderedPageBreak/>
        <w:t>MI: ENGINE PROTECTING MVA SITE – CIVILIAN DRIVER, TEXTING - RAN INTO ENGINE - 10-30 YEARS, DEATH OF PASSENGER</w:t>
      </w:r>
    </w:p>
    <w:p w14:paraId="6FDD95D4" w14:textId="77777777" w:rsidR="00F90EE5" w:rsidRDefault="00F90EE5" w:rsidP="00F90EE5">
      <w:pPr>
        <w:pStyle w:val="NoSpacing"/>
      </w:pPr>
    </w:p>
    <w:p w14:paraId="22C9CFD1" w14:textId="77777777" w:rsidR="00F90EE5" w:rsidRPr="002B73D2" w:rsidRDefault="00F90EE5" w:rsidP="00F90EE5">
      <w:pPr>
        <w:pStyle w:val="NoSpacing"/>
        <w:rPr>
          <w:rFonts w:ascii="Times New Roman" w:hAnsi="Times New Roman"/>
          <w:sz w:val="24"/>
          <w:szCs w:val="24"/>
        </w:rPr>
      </w:pPr>
      <w:r>
        <w:rPr>
          <w:rFonts w:ascii="Times New Roman" w:hAnsi="Times New Roman"/>
          <w:sz w:val="24"/>
          <w:szCs w:val="24"/>
        </w:rPr>
        <w:t xml:space="preserve">On Jan. 14, 2021, in </w:t>
      </w:r>
      <w:r w:rsidRPr="002B73D2">
        <w:rPr>
          <w:rFonts w:ascii="Times New Roman" w:hAnsi="Times New Roman"/>
          <w:sz w:val="24"/>
          <w:szCs w:val="24"/>
          <w:u w:val="single"/>
        </w:rPr>
        <w:t>People of the State of Michigan v. Charles Edward Horn</w:t>
      </w:r>
      <w:r>
        <w:rPr>
          <w:rFonts w:ascii="Times New Roman" w:hAnsi="Times New Roman"/>
          <w:sz w:val="24"/>
          <w:szCs w:val="24"/>
        </w:rPr>
        <w:t xml:space="preserve">, the State of Michigan Court of Appeals, held (3 to 0; unpublished opinion) that the jury properly convicted the driver of </w:t>
      </w:r>
      <w:r w:rsidRPr="002B73D2">
        <w:rPr>
          <w:rFonts w:ascii="Times New Roman" w:hAnsi="Times New Roman"/>
          <w:sz w:val="24"/>
          <w:szCs w:val="24"/>
        </w:rPr>
        <w:t xml:space="preserve">reckless driving causing death </w:t>
      </w:r>
      <w:r>
        <w:rPr>
          <w:rFonts w:ascii="Times New Roman" w:hAnsi="Times New Roman"/>
          <w:sz w:val="24"/>
          <w:szCs w:val="24"/>
        </w:rPr>
        <w:t xml:space="preserve">(back seat passenger) </w:t>
      </w:r>
      <w:r w:rsidRPr="002B73D2">
        <w:rPr>
          <w:rFonts w:ascii="Times New Roman" w:hAnsi="Times New Roman"/>
          <w:sz w:val="24"/>
          <w:szCs w:val="24"/>
        </w:rPr>
        <w:t>and reckless driving causing impairment of a bodily function</w:t>
      </w:r>
      <w:r>
        <w:rPr>
          <w:rFonts w:ascii="Times New Roman" w:hAnsi="Times New Roman"/>
          <w:sz w:val="24"/>
          <w:szCs w:val="24"/>
        </w:rPr>
        <w:t xml:space="preserve"> (defendant’s daughter)</w:t>
      </w:r>
      <w:r w:rsidRPr="002B73D2">
        <w:rPr>
          <w:rFonts w:ascii="Times New Roman" w:hAnsi="Times New Roman"/>
          <w:sz w:val="24"/>
          <w:szCs w:val="24"/>
        </w:rPr>
        <w:t>.</w:t>
      </w:r>
      <w:r>
        <w:rPr>
          <w:rFonts w:ascii="Times New Roman" w:hAnsi="Times New Roman"/>
          <w:sz w:val="24"/>
          <w:szCs w:val="24"/>
        </w:rPr>
        <w:t xml:space="preserve">  The driver was texting his daughter’s former boyfriend, telling him to stay away from her, when he ran into the back of the engine. </w:t>
      </w:r>
    </w:p>
    <w:p w14:paraId="33364AAF" w14:textId="77777777" w:rsidR="00F90EE5" w:rsidRPr="002B73D2" w:rsidRDefault="00F90EE5" w:rsidP="00F90EE5">
      <w:pPr>
        <w:pStyle w:val="NoSpacing"/>
        <w:rPr>
          <w:rFonts w:ascii="Times New Roman" w:hAnsi="Times New Roman"/>
          <w:sz w:val="24"/>
          <w:szCs w:val="24"/>
        </w:rPr>
      </w:pPr>
    </w:p>
    <w:p w14:paraId="44DBF989" w14:textId="77777777" w:rsidR="00F90EE5" w:rsidRPr="002B73D2" w:rsidRDefault="00F90EE5" w:rsidP="00F90EE5">
      <w:pPr>
        <w:pStyle w:val="NoSpacing"/>
        <w:ind w:left="720"/>
        <w:rPr>
          <w:rFonts w:ascii="Times New Roman" w:hAnsi="Times New Roman"/>
          <w:sz w:val="24"/>
          <w:szCs w:val="24"/>
        </w:rPr>
      </w:pPr>
      <w:r>
        <w:rPr>
          <w:rFonts w:ascii="Times New Roman" w:hAnsi="Times New Roman"/>
          <w:sz w:val="24"/>
          <w:szCs w:val="24"/>
        </w:rPr>
        <w:t>“</w:t>
      </w:r>
      <w:r w:rsidRPr="002B73D2">
        <w:rPr>
          <w:rFonts w:ascii="Times New Roman" w:hAnsi="Times New Roman"/>
          <w:sz w:val="24"/>
          <w:szCs w:val="24"/>
        </w:rPr>
        <w:t xml:space="preserve">Phone records showed that defendant's cell phone sent a text message at 11:01:34 p.m. The crash was called in at 11:02:08 p.m. The jury heard uncontested evidence that the average perception or response time is between 1.5 and 1.6 seconds and that defendant—assuming that he was proceeding at the speed limit—had 34 seconds from the time he entered onto the highway until the scene of the crash approximately .6 miles down the highway from the on-ramp, which was more than enough time to bring the vehicle to a complete stop or to change lanes. The fire truck was bright yellow, parked in a standard technique to assure the safety of emergency responders, and had its emergency lights flashing, as did at least one other emergency response vehicle. The roadway was straight, and there was good visibility that night. Despite this, there was no evidence suggesting that defendant ever perceived the fire engine or that he attempted to brake or change lanes to avoid a collision. Given this evidence, the jury could fairly conclude that the defendant was operating the vehicle </w:t>
      </w:r>
      <w:r>
        <w:rPr>
          <w:rFonts w:ascii="Times New Roman" w:hAnsi="Times New Roman"/>
          <w:sz w:val="24"/>
          <w:szCs w:val="24"/>
        </w:rPr>
        <w:t>‘</w:t>
      </w:r>
      <w:r w:rsidRPr="002B73D2">
        <w:rPr>
          <w:rFonts w:ascii="Times New Roman" w:hAnsi="Times New Roman"/>
          <w:sz w:val="24"/>
          <w:szCs w:val="24"/>
        </w:rPr>
        <w:t>with wanton disregard of the potential consequences, i.e., death and serious injury.</w:t>
      </w:r>
      <w:r>
        <w:rPr>
          <w:rFonts w:ascii="Times New Roman" w:hAnsi="Times New Roman"/>
          <w:sz w:val="24"/>
          <w:szCs w:val="24"/>
        </w:rPr>
        <w:t xml:space="preserve">’” </w:t>
      </w:r>
      <w:hyperlink r:id="rId533" w:history="1">
        <w:r w:rsidRPr="00AA6AFA">
          <w:rPr>
            <w:rStyle w:val="Hyperlink"/>
            <w:rFonts w:ascii="Times New Roman" w:hAnsi="Times New Roman"/>
            <w:sz w:val="24"/>
            <w:szCs w:val="24"/>
          </w:rPr>
          <w:t>https://law.justia.com/cases/michigan/court-of-appeals-unpublished/2021/350129.html</w:t>
        </w:r>
      </w:hyperlink>
      <w:r>
        <w:rPr>
          <w:rFonts w:ascii="Times New Roman" w:hAnsi="Times New Roman"/>
          <w:sz w:val="24"/>
          <w:szCs w:val="24"/>
        </w:rPr>
        <w:t xml:space="preserve"> </w:t>
      </w:r>
    </w:p>
    <w:p w14:paraId="064127D6" w14:textId="77777777" w:rsidR="00F90EE5" w:rsidRDefault="00F90EE5" w:rsidP="00F90EE5">
      <w:pPr>
        <w:spacing w:before="100" w:beforeAutospacing="1" w:after="100" w:afterAutospacing="1" w:line="240" w:lineRule="auto"/>
        <w:rPr>
          <w:rFonts w:ascii="Times New Roman" w:hAnsi="Times New Roman"/>
          <w:b/>
          <w:bCs/>
          <w:sz w:val="24"/>
          <w:szCs w:val="24"/>
        </w:rPr>
      </w:pPr>
      <w:r w:rsidRPr="00E86EB6">
        <w:rPr>
          <w:rFonts w:ascii="Times New Roman" w:hAnsi="Times New Roman"/>
          <w:b/>
          <w:bCs/>
          <w:sz w:val="24"/>
          <w:szCs w:val="24"/>
        </w:rPr>
        <w:t>Legal Lesson Learned:</w:t>
      </w:r>
      <w:r>
        <w:rPr>
          <w:rFonts w:ascii="Times New Roman" w:hAnsi="Times New Roman"/>
          <w:b/>
          <w:bCs/>
          <w:sz w:val="24"/>
          <w:szCs w:val="24"/>
        </w:rPr>
        <w:t xml:space="preserve"> Texting while driving can have deadly consequences.</w:t>
      </w:r>
    </w:p>
    <w:p w14:paraId="6B3C6024" w14:textId="77777777" w:rsidR="00F90EE5" w:rsidRDefault="00F90EE5" w:rsidP="00EF1133">
      <w:pPr>
        <w:pStyle w:val="NoSpacing"/>
        <w:rPr>
          <w:rFonts w:ascii="Arial Black" w:hAnsi="Arial Black"/>
          <w:sz w:val="24"/>
          <w:szCs w:val="24"/>
        </w:rPr>
      </w:pPr>
    </w:p>
    <w:p w14:paraId="2DE4B232" w14:textId="64259423" w:rsidR="00F90EE5" w:rsidRDefault="00F90EE5" w:rsidP="00EF1133">
      <w:pPr>
        <w:pStyle w:val="NoSpacing"/>
        <w:rPr>
          <w:rFonts w:ascii="Arial Black" w:hAnsi="Arial Black"/>
          <w:sz w:val="24"/>
          <w:szCs w:val="24"/>
        </w:rPr>
      </w:pPr>
      <w:r>
        <w:rPr>
          <w:rFonts w:ascii="Arial Black" w:hAnsi="Arial Black"/>
          <w:sz w:val="24"/>
          <w:szCs w:val="24"/>
        </w:rPr>
        <w:t>2-29</w:t>
      </w:r>
    </w:p>
    <w:p w14:paraId="10B0E553" w14:textId="6D5A5620" w:rsidR="00F90EE5" w:rsidRDefault="00F90EE5" w:rsidP="00EF1133">
      <w:pPr>
        <w:pStyle w:val="NoSpacing"/>
        <w:rPr>
          <w:rFonts w:ascii="Arial Black" w:hAnsi="Arial Black"/>
          <w:sz w:val="24"/>
          <w:szCs w:val="24"/>
        </w:rPr>
      </w:pPr>
    </w:p>
    <w:p w14:paraId="48DB223F" w14:textId="77777777" w:rsidR="00F90EE5" w:rsidRPr="00067B64" w:rsidRDefault="00F90EE5" w:rsidP="00F90EE5">
      <w:pPr>
        <w:spacing w:before="100" w:beforeAutospacing="1" w:after="100" w:afterAutospacing="1" w:line="240" w:lineRule="auto"/>
        <w:rPr>
          <w:rFonts w:ascii="Arial Black" w:eastAsia="Times New Roman" w:hAnsi="Arial Black"/>
          <w:sz w:val="28"/>
          <w:szCs w:val="28"/>
        </w:rPr>
      </w:pPr>
      <w:bookmarkStart w:id="93" w:name="_Hlk66941295"/>
      <w:r>
        <w:rPr>
          <w:rFonts w:ascii="Arial Black" w:eastAsia="Times New Roman" w:hAnsi="Arial Black"/>
          <w:sz w:val="28"/>
          <w:szCs w:val="28"/>
        </w:rPr>
        <w:t>DE: FIRE STATION “ROLLING BROWN OUTS” – 3 LODDs – FED. LAWSUIT DISMISSED – RISK DEATH INHERENT IN JOB</w:t>
      </w:r>
    </w:p>
    <w:p w14:paraId="19BDAE8B" w14:textId="77777777" w:rsidR="00F90EE5" w:rsidRDefault="00F90EE5" w:rsidP="00F90EE5">
      <w:pPr>
        <w:pStyle w:val="NormalWeb"/>
      </w:pPr>
      <w:r>
        <w:t xml:space="preserve">On Jan. 6, 2021, in </w:t>
      </w:r>
      <w:r w:rsidRPr="00067B64">
        <w:rPr>
          <w:u w:val="single"/>
        </w:rPr>
        <w:t>Firefighter Brad Speakman, et al. v. Dennis P. Williams, et al</w:t>
      </w:r>
      <w:r>
        <w:t xml:space="preserve">., the U.S. Court </w:t>
      </w:r>
      <w:r w:rsidRPr="00067B64">
        <w:t>of Appeals for the 3</w:t>
      </w:r>
      <w:r w:rsidRPr="00067B64">
        <w:rPr>
          <w:vertAlign w:val="superscript"/>
        </w:rPr>
        <w:t>rd</w:t>
      </w:r>
      <w:r w:rsidRPr="00067B64">
        <w:t xml:space="preserve"> Circuit, held (3 to 0</w:t>
      </w:r>
      <w:r>
        <w:t>; non precedential</w:t>
      </w:r>
      <w:r w:rsidRPr="00067B64">
        <w:t>) that the U.S. District Court judge properly granted defense motion to dismiss the lawsuit brought by the estates and survivors of the three deceased firefighters</w:t>
      </w:r>
      <w:r>
        <w:t>: L</w:t>
      </w:r>
      <w:r w:rsidRPr="00067B64">
        <w:t>ieutenant Christopher Leach, Senior Firefighter Jerry Fickes, and Senior Firefighter Ardythe Hop</w:t>
      </w:r>
      <w:r>
        <w:t>e, and the t</w:t>
      </w:r>
      <w:r w:rsidRPr="00067B64">
        <w:t>hree injured firefighters</w:t>
      </w:r>
      <w:r>
        <w:t>: F</w:t>
      </w:r>
      <w:r w:rsidRPr="00067B64">
        <w:t>irefighter Brad Speakman, Senior Firefighter Terrance Tate, and Lieutenant John Cawthray</w:t>
      </w:r>
      <w:r>
        <w:t>.  The five defendants were</w:t>
      </w:r>
      <w:r w:rsidRPr="00067B64">
        <w:t>: (1) Dennis P. Williams (who served as Mayor of Wilmington from 2013 to 2017); (2) James M. Baker (Williams's predecessor, who was Mayor from 2001 to 2013); (3) Anthony S. Goode (WFD Chief of Fire from 2013 until</w:t>
      </w:r>
      <w:r>
        <w:t xml:space="preserve"> </w:t>
      </w:r>
      <w:r w:rsidRPr="00067B64">
        <w:t>2017); (4) William Patrick, Jr. (Chief of Fire from 2007 until 2013); and (5) the City of Wilmington.</w:t>
      </w:r>
    </w:p>
    <w:bookmarkEnd w:id="93"/>
    <w:p w14:paraId="3DA6F393" w14:textId="51A2912E" w:rsidR="00F90EE5" w:rsidRDefault="00F90EE5" w:rsidP="007F3C7D">
      <w:pPr>
        <w:spacing w:before="100" w:beforeAutospacing="1" w:after="100" w:afterAutospacing="1" w:line="240" w:lineRule="auto"/>
        <w:ind w:left="720"/>
        <w:rPr>
          <w:rStyle w:val="Hyperlink"/>
          <w:rFonts w:ascii="Times New Roman" w:hAnsi="Times New Roman"/>
          <w:sz w:val="24"/>
          <w:szCs w:val="24"/>
        </w:rPr>
      </w:pPr>
      <w:r>
        <w:rPr>
          <w:rFonts w:ascii="Times New Roman" w:eastAsia="Times New Roman" w:hAnsi="Times New Roman"/>
          <w:sz w:val="24"/>
          <w:szCs w:val="24"/>
        </w:rPr>
        <w:t>“</w:t>
      </w:r>
      <w:r w:rsidRPr="005005A2">
        <w:rPr>
          <w:rFonts w:ascii="Times New Roman" w:eastAsia="Times New Roman" w:hAnsi="Times New Roman"/>
          <w:sz w:val="24"/>
          <w:szCs w:val="24"/>
        </w:rPr>
        <w:t xml:space="preserve">Applying </w:t>
      </w:r>
      <w:r w:rsidRPr="005005A2">
        <w:rPr>
          <w:rFonts w:ascii="Times New Roman" w:eastAsia="Times New Roman" w:hAnsi="Times New Roman"/>
          <w:sz w:val="24"/>
          <w:szCs w:val="24"/>
          <w:u w:val="single"/>
        </w:rPr>
        <w:t>Collins</w:t>
      </w:r>
      <w:r w:rsidRPr="005005A2">
        <w:rPr>
          <w:rFonts w:ascii="Times New Roman" w:eastAsia="Times New Roman" w:hAnsi="Times New Roman"/>
          <w:sz w:val="24"/>
          <w:szCs w:val="24"/>
        </w:rPr>
        <w:t xml:space="preserve">, </w:t>
      </w:r>
      <w:r>
        <w:rPr>
          <w:rFonts w:ascii="Times New Roman" w:eastAsia="Times New Roman" w:hAnsi="Times New Roman"/>
          <w:sz w:val="24"/>
          <w:szCs w:val="24"/>
        </w:rPr>
        <w:t xml:space="preserve">[U.S. Supreme Court decision in </w:t>
      </w:r>
      <w:r w:rsidRPr="00A6382B">
        <w:rPr>
          <w:rFonts w:ascii="Times New Roman" w:eastAsia="Times New Roman" w:hAnsi="Times New Roman"/>
          <w:sz w:val="24"/>
          <w:szCs w:val="24"/>
          <w:u w:val="single"/>
        </w:rPr>
        <w:t>Collins v. Harker Heights</w:t>
      </w:r>
      <w:r>
        <w:rPr>
          <w:rFonts w:ascii="Times New Roman" w:eastAsia="Times New Roman" w:hAnsi="Times New Roman"/>
          <w:sz w:val="24"/>
          <w:szCs w:val="24"/>
          <w:u w:val="single"/>
        </w:rPr>
        <w:t>, 503 US 115</w:t>
      </w:r>
      <w:r>
        <w:rPr>
          <w:rFonts w:ascii="Times New Roman" w:eastAsia="Times New Roman" w:hAnsi="Times New Roman"/>
          <w:sz w:val="24"/>
          <w:szCs w:val="24"/>
        </w:rPr>
        <w:t xml:space="preserve"> (1992) where sanitation worker died by fumes in manhole, and Court held that lawsuit by spouse alleging violation of U.S. Constitution, Due Process Clause was properly dismissed]  </w:t>
      </w:r>
      <w:r w:rsidRPr="005005A2">
        <w:rPr>
          <w:rFonts w:ascii="Times New Roman" w:eastAsia="Times New Roman" w:hAnsi="Times New Roman"/>
          <w:sz w:val="24"/>
          <w:szCs w:val="24"/>
        </w:rPr>
        <w:t xml:space="preserve">we have concluded that, while the Due Process Clause does not guarantee public employees certain minimal levels of safety and security, </w:t>
      </w:r>
      <w:r>
        <w:rPr>
          <w:rFonts w:ascii="Times New Roman" w:eastAsia="Times New Roman" w:hAnsi="Times New Roman"/>
          <w:sz w:val="24"/>
          <w:szCs w:val="24"/>
        </w:rPr>
        <w:t>‘</w:t>
      </w:r>
      <w:r w:rsidRPr="005005A2">
        <w:rPr>
          <w:rFonts w:ascii="Times New Roman" w:eastAsia="Times New Roman" w:hAnsi="Times New Roman"/>
          <w:sz w:val="24"/>
          <w:szCs w:val="24"/>
        </w:rPr>
        <w:t>a government employee may bring a substantive due process claim against his employer if the state compelled the employee to be exposed to a risk of harm not inherent in the workplace.</w:t>
      </w:r>
      <w:r>
        <w:rPr>
          <w:rFonts w:ascii="Times New Roman" w:eastAsia="Times New Roman" w:hAnsi="Times New Roman"/>
          <w:sz w:val="24"/>
          <w:szCs w:val="24"/>
        </w:rPr>
        <w:t>’</w:t>
      </w:r>
      <w:r w:rsidRPr="005005A2">
        <w:rPr>
          <w:rFonts w:ascii="Times New Roman" w:eastAsia="Times New Roman" w:hAnsi="Times New Roman"/>
          <w:sz w:val="24"/>
          <w:szCs w:val="24"/>
        </w:rPr>
        <w:t xml:space="preserve"> </w:t>
      </w:r>
      <w:r w:rsidRPr="005005A2">
        <w:rPr>
          <w:rFonts w:ascii="Times New Roman" w:eastAsia="Times New Roman" w:hAnsi="Times New Roman"/>
          <w:sz w:val="24"/>
          <w:szCs w:val="24"/>
          <w:u w:val="single"/>
        </w:rPr>
        <w:t>Kedra</w:t>
      </w:r>
      <w:r w:rsidRPr="005005A2">
        <w:rPr>
          <w:rFonts w:ascii="Times New Roman" w:eastAsia="Times New Roman" w:hAnsi="Times New Roman"/>
          <w:sz w:val="24"/>
          <w:szCs w:val="24"/>
        </w:rPr>
        <w:t xml:space="preserve">, 876 F.3d at 436 n.6 (citing </w:t>
      </w:r>
      <w:r w:rsidRPr="005005A2">
        <w:rPr>
          <w:rFonts w:ascii="Times New Roman" w:eastAsia="Times New Roman" w:hAnsi="Times New Roman"/>
          <w:sz w:val="24"/>
          <w:szCs w:val="24"/>
          <w:u w:val="single"/>
        </w:rPr>
        <w:t>Kaucher</w:t>
      </w:r>
      <w:r w:rsidRPr="005005A2">
        <w:rPr>
          <w:rFonts w:ascii="Times New Roman" w:eastAsia="Times New Roman" w:hAnsi="Times New Roman"/>
          <w:sz w:val="24"/>
          <w:szCs w:val="24"/>
        </w:rPr>
        <w:t xml:space="preserve">, 455 F.3d at 430-31; </w:t>
      </w:r>
      <w:r w:rsidRPr="005005A2">
        <w:rPr>
          <w:rFonts w:ascii="Times New Roman" w:eastAsia="Times New Roman" w:hAnsi="Times New Roman"/>
          <w:sz w:val="24"/>
          <w:szCs w:val="24"/>
          <w:u w:val="single"/>
        </w:rPr>
        <w:t>Eddy v. V.I. Water &amp; Power Auth.</w:t>
      </w:r>
      <w:r w:rsidRPr="005005A2">
        <w:rPr>
          <w:rFonts w:ascii="Times New Roman" w:eastAsia="Times New Roman" w:hAnsi="Times New Roman"/>
          <w:sz w:val="24"/>
          <w:szCs w:val="24"/>
        </w:rPr>
        <w:t xml:space="preserve">, 256 F.3d 204, </w:t>
      </w:r>
      <w:r w:rsidRPr="005005A2">
        <w:rPr>
          <w:rFonts w:ascii="Times New Roman" w:eastAsia="Times New Roman" w:hAnsi="Times New Roman"/>
          <w:sz w:val="24"/>
          <w:szCs w:val="24"/>
        </w:rPr>
        <w:lastRenderedPageBreak/>
        <w:t xml:space="preserve">212-13 (3d Cir. </w:t>
      </w:r>
      <w:proofErr w:type="gramStart"/>
      <w:r w:rsidRPr="005005A2">
        <w:rPr>
          <w:rFonts w:ascii="Times New Roman" w:eastAsia="Times New Roman" w:hAnsi="Times New Roman"/>
          <w:sz w:val="24"/>
          <w:szCs w:val="24"/>
        </w:rPr>
        <w:t>2001))</w:t>
      </w:r>
      <w:proofErr w:type="gramEnd"/>
      <w:r w:rsidRPr="005005A2">
        <w:rPr>
          <w:rFonts w:ascii="Times New Roman" w:eastAsia="Times New Roman" w:hAnsi="Times New Roman"/>
          <w:sz w:val="24"/>
          <w:szCs w:val="24"/>
        </w:rPr>
        <w:t>. Weagree with the District Court</w:t>
      </w:r>
      <w:r>
        <w:rPr>
          <w:rFonts w:ascii="Times New Roman" w:eastAsia="Times New Roman" w:hAnsi="Times New Roman"/>
          <w:sz w:val="24"/>
          <w:szCs w:val="24"/>
        </w:rPr>
        <w:t xml:space="preserve"> </w:t>
      </w:r>
      <w:r w:rsidRPr="005005A2">
        <w:rPr>
          <w:rFonts w:ascii="Times New Roman" w:eastAsia="Times New Roman" w:hAnsi="Times New Roman"/>
          <w:sz w:val="24"/>
          <w:szCs w:val="24"/>
        </w:rPr>
        <w:t xml:space="preserve">that the risk of injury or death is </w:t>
      </w:r>
      <w:r w:rsidRPr="00A6382B">
        <w:rPr>
          <w:rFonts w:ascii="Times New Roman" w:eastAsia="Times New Roman" w:hAnsi="Times New Roman"/>
          <w:sz w:val="24"/>
          <w:szCs w:val="24"/>
        </w:rPr>
        <w:t xml:space="preserve">inherent to a firefighter's job and that any increase in risk on account of either the "rolling bypass" policy, the alleged understaffing, or any other alleged misconduct on the part of Defendants did not alter the fundamental nature of this inherent risk. </w:t>
      </w:r>
      <w:r w:rsidRPr="00A6382B">
        <w:rPr>
          <w:rFonts w:ascii="Times New Roman" w:hAnsi="Times New Roman"/>
          <w:sz w:val="24"/>
          <w:szCs w:val="24"/>
          <w:u w:val="single"/>
        </w:rPr>
        <w:t>See, e.g.</w:t>
      </w:r>
      <w:r w:rsidRPr="00A6382B">
        <w:rPr>
          <w:rFonts w:ascii="Times New Roman" w:hAnsi="Times New Roman"/>
          <w:sz w:val="24"/>
          <w:szCs w:val="24"/>
        </w:rPr>
        <w:t xml:space="preserve">, </w:t>
      </w:r>
      <w:r w:rsidRPr="00A6382B">
        <w:rPr>
          <w:rFonts w:ascii="Times New Roman" w:hAnsi="Times New Roman"/>
          <w:sz w:val="24"/>
          <w:szCs w:val="24"/>
          <w:u w:val="single"/>
        </w:rPr>
        <w:t>Estate of Phillips v. D.C.</w:t>
      </w:r>
      <w:r w:rsidRPr="00A6382B">
        <w:rPr>
          <w:rFonts w:ascii="Times New Roman" w:hAnsi="Times New Roman"/>
          <w:sz w:val="24"/>
          <w:szCs w:val="24"/>
        </w:rPr>
        <w:t>, 455 F.3d 397, 407 (D.C. Cir. 2006) (</w:t>
      </w:r>
      <w:r>
        <w:rPr>
          <w:rFonts w:ascii="Times New Roman" w:hAnsi="Times New Roman"/>
          <w:sz w:val="24"/>
          <w:szCs w:val="24"/>
        </w:rPr>
        <w:t>‘</w:t>
      </w:r>
      <w:r w:rsidRPr="00A6382B">
        <w:rPr>
          <w:rFonts w:ascii="Times New Roman" w:hAnsi="Times New Roman"/>
          <w:sz w:val="24"/>
          <w:szCs w:val="24"/>
        </w:rPr>
        <w:t>[The Fire Chief's] deliberate indifference may have increased the Firefighters' exposure to risk, but the risk itself—injury or death suffered in a fire—is inherent in their profession.</w:t>
      </w:r>
      <w:r>
        <w:rPr>
          <w:rFonts w:ascii="Times New Roman" w:hAnsi="Times New Roman"/>
          <w:sz w:val="24"/>
          <w:szCs w:val="24"/>
        </w:rPr>
        <w:t>’</w:t>
      </w:r>
      <w:r w:rsidRPr="00A6382B">
        <w:rPr>
          <w:rFonts w:ascii="Times New Roman" w:hAnsi="Times New Roman"/>
          <w:sz w:val="24"/>
          <w:szCs w:val="24"/>
        </w:rPr>
        <w:t>)</w:t>
      </w:r>
      <w:r>
        <w:rPr>
          <w:rFonts w:ascii="Times New Roman" w:hAnsi="Times New Roman"/>
          <w:sz w:val="24"/>
          <w:szCs w:val="24"/>
        </w:rPr>
        <w:t xml:space="preserve">” </w:t>
      </w:r>
      <w:bookmarkStart w:id="94" w:name="_Hlk66941320"/>
      <w:r w:rsidR="00F00958">
        <w:fldChar w:fldCharType="begin"/>
      </w:r>
      <w:r w:rsidR="00F00958">
        <w:instrText xml:space="preserve"> HYPERLINK "https://www2.ca3.uscourts.gov/opinarch/201468np.pdf" </w:instrText>
      </w:r>
      <w:r w:rsidR="00F00958">
        <w:fldChar w:fldCharType="separate"/>
      </w:r>
      <w:r w:rsidRPr="00CE47CA">
        <w:rPr>
          <w:rStyle w:val="Hyperlink"/>
          <w:rFonts w:ascii="Times New Roman" w:hAnsi="Times New Roman"/>
          <w:sz w:val="24"/>
          <w:szCs w:val="24"/>
        </w:rPr>
        <w:t>https://www2.ca3.uscourts.gov/opinarch/201468np.pdf</w:t>
      </w:r>
      <w:r w:rsidR="00F00958">
        <w:rPr>
          <w:rStyle w:val="Hyperlink"/>
          <w:rFonts w:ascii="Times New Roman" w:hAnsi="Times New Roman"/>
          <w:sz w:val="24"/>
          <w:szCs w:val="24"/>
        </w:rPr>
        <w:fldChar w:fldCharType="end"/>
      </w:r>
    </w:p>
    <w:p w14:paraId="28567487" w14:textId="77777777" w:rsidR="007F3C7D" w:rsidRDefault="007F3C7D" w:rsidP="007F3C7D">
      <w:pPr>
        <w:spacing w:before="100" w:beforeAutospacing="1" w:after="100" w:afterAutospacing="1" w:line="240" w:lineRule="auto"/>
        <w:rPr>
          <w:rFonts w:ascii="Times New Roman" w:eastAsia="Times New Roman" w:hAnsi="Times New Roman"/>
          <w:b/>
          <w:bCs/>
          <w:sz w:val="24"/>
          <w:szCs w:val="24"/>
        </w:rPr>
      </w:pPr>
      <w:r w:rsidRPr="00D07A6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Station brown outs are most unfortunate, but Federal courts will not interfere with local government decisions on budgets and allocations of resources.</w:t>
      </w:r>
    </w:p>
    <w:p w14:paraId="17C12255" w14:textId="77777777" w:rsidR="007F3C7D" w:rsidRDefault="007F3C7D" w:rsidP="007F3C7D">
      <w:pPr>
        <w:spacing w:before="100" w:beforeAutospacing="1" w:after="100" w:afterAutospacing="1" w:line="240" w:lineRule="auto"/>
        <w:ind w:left="720"/>
        <w:rPr>
          <w:rFonts w:ascii="Times New Roman" w:eastAsia="Times New Roman" w:hAnsi="Times New Roman"/>
          <w:sz w:val="24"/>
          <w:szCs w:val="24"/>
        </w:rPr>
      </w:pPr>
      <w:bookmarkStart w:id="95" w:name="_Hlk66941356"/>
      <w:bookmarkEnd w:id="94"/>
      <w:r w:rsidRPr="00D07A64">
        <w:rPr>
          <w:rFonts w:ascii="Times New Roman" w:eastAsia="Times New Roman" w:hAnsi="Times New Roman"/>
          <w:sz w:val="24"/>
          <w:szCs w:val="24"/>
        </w:rPr>
        <w:t xml:space="preserve">Note: </w:t>
      </w:r>
      <w:r>
        <w:rPr>
          <w:rFonts w:ascii="Times New Roman" w:eastAsia="Times New Roman" w:hAnsi="Times New Roman"/>
          <w:sz w:val="24"/>
          <w:szCs w:val="24"/>
        </w:rPr>
        <w:t xml:space="preserve">Jan. 8, 2021: Oakland, CA has recently announced plans for browning out stations. </w:t>
      </w:r>
      <w:hyperlink r:id="rId534" w:history="1">
        <w:r w:rsidRPr="00CE47CA">
          <w:rPr>
            <w:rStyle w:val="Hyperlink"/>
            <w:rFonts w:ascii="Times New Roman" w:eastAsia="Times New Roman" w:hAnsi="Times New Roman"/>
            <w:sz w:val="24"/>
            <w:szCs w:val="24"/>
          </w:rPr>
          <w:t>https://www.radio.com/kcbsradio/news/local/oakland-fire-stations-may-close-due-to-budget-deficit</w:t>
        </w:r>
      </w:hyperlink>
      <w:r>
        <w:rPr>
          <w:rFonts w:ascii="Times New Roman" w:eastAsia="Times New Roman" w:hAnsi="Times New Roman"/>
          <w:sz w:val="24"/>
          <w:szCs w:val="24"/>
        </w:rPr>
        <w:t xml:space="preserve"> </w:t>
      </w:r>
    </w:p>
    <w:p w14:paraId="674ECEB3" w14:textId="77777777" w:rsidR="007F3C7D" w:rsidRPr="00DA1A89" w:rsidRDefault="007F3C7D" w:rsidP="007F3C7D">
      <w:pPr>
        <w:pStyle w:val="NoSpacing"/>
        <w:ind w:left="720"/>
        <w:rPr>
          <w:rFonts w:ascii="Times New Roman" w:hAnsi="Times New Roman"/>
          <w:sz w:val="24"/>
          <w:szCs w:val="24"/>
        </w:rPr>
      </w:pPr>
      <w:r w:rsidRPr="00DA1A89">
        <w:rPr>
          <w:rFonts w:ascii="Times New Roman" w:hAnsi="Times New Roman"/>
          <w:sz w:val="24"/>
          <w:szCs w:val="24"/>
        </w:rPr>
        <w:t xml:space="preserve">On Dec. 16, 2019: Woman Gets 30 Years in Arson That Killed 3 Delaware Firefighters: </w:t>
      </w:r>
      <w:hyperlink r:id="rId535" w:history="1">
        <w:r w:rsidRPr="00CE47CA">
          <w:rPr>
            <w:rStyle w:val="Hyperlink"/>
            <w:rFonts w:ascii="Times New Roman" w:hAnsi="Times New Roman"/>
            <w:sz w:val="24"/>
            <w:szCs w:val="24"/>
          </w:rPr>
          <w:t>https://www.nbcphiladelphia.com/news/local/woman-gets-30-years-in-arson-that-killed-3-delaware-firefighters/2260369/</w:t>
        </w:r>
      </w:hyperlink>
      <w:r w:rsidRPr="00DA1A89">
        <w:rPr>
          <w:rFonts w:ascii="Times New Roman" w:hAnsi="Times New Roman"/>
          <w:sz w:val="24"/>
          <w:szCs w:val="24"/>
        </w:rPr>
        <w:t xml:space="preserve"> </w:t>
      </w:r>
    </w:p>
    <w:bookmarkEnd w:id="95"/>
    <w:p w14:paraId="67364734" w14:textId="77777777" w:rsidR="007F3C7D" w:rsidRDefault="007F3C7D" w:rsidP="007F3C7D">
      <w:pPr>
        <w:spacing w:before="100" w:beforeAutospacing="1" w:after="100" w:afterAutospacing="1" w:line="240" w:lineRule="auto"/>
        <w:ind w:left="720"/>
        <w:rPr>
          <w:rFonts w:ascii="Arial Black" w:hAnsi="Arial Black"/>
          <w:sz w:val="24"/>
          <w:szCs w:val="24"/>
        </w:rPr>
      </w:pPr>
    </w:p>
    <w:p w14:paraId="253B495F" w14:textId="77777777" w:rsidR="00F90EE5" w:rsidRDefault="00F90EE5" w:rsidP="00EF1133">
      <w:pPr>
        <w:pStyle w:val="NoSpacing"/>
        <w:rPr>
          <w:rFonts w:ascii="Arial Black" w:hAnsi="Arial Black"/>
          <w:sz w:val="24"/>
          <w:szCs w:val="24"/>
        </w:rPr>
      </w:pPr>
    </w:p>
    <w:p w14:paraId="1558366A" w14:textId="39950706" w:rsidR="007D178F" w:rsidRDefault="007D178F" w:rsidP="00EF1133">
      <w:pPr>
        <w:pStyle w:val="NoSpacing"/>
        <w:rPr>
          <w:rFonts w:ascii="Arial Black" w:hAnsi="Arial Black"/>
          <w:sz w:val="24"/>
          <w:szCs w:val="24"/>
        </w:rPr>
      </w:pPr>
      <w:r>
        <w:rPr>
          <w:rFonts w:ascii="Arial Black" w:hAnsi="Arial Black"/>
          <w:sz w:val="24"/>
          <w:szCs w:val="24"/>
        </w:rPr>
        <w:t>2-28</w:t>
      </w:r>
    </w:p>
    <w:p w14:paraId="6DC0DCD1" w14:textId="1AE42EFF" w:rsidR="007D178F" w:rsidRDefault="007D178F" w:rsidP="00EF1133">
      <w:pPr>
        <w:pStyle w:val="NoSpacing"/>
        <w:rPr>
          <w:rFonts w:ascii="Arial Black" w:hAnsi="Arial Black"/>
          <w:sz w:val="24"/>
          <w:szCs w:val="24"/>
        </w:rPr>
      </w:pPr>
    </w:p>
    <w:p w14:paraId="70FA03BD" w14:textId="77777777" w:rsidR="007D178F" w:rsidRPr="007E35C0" w:rsidRDefault="007D178F" w:rsidP="007D178F">
      <w:pPr>
        <w:pStyle w:val="NoSpacing"/>
        <w:rPr>
          <w:rFonts w:ascii="Arial Black" w:hAnsi="Arial Black"/>
          <w:sz w:val="28"/>
          <w:szCs w:val="28"/>
        </w:rPr>
      </w:pPr>
      <w:r>
        <w:rPr>
          <w:rFonts w:ascii="Arial Black" w:hAnsi="Arial Black"/>
          <w:sz w:val="28"/>
          <w:szCs w:val="28"/>
        </w:rPr>
        <w:t xml:space="preserve">MI:  DEPUTY CHIEF OBTAINED PROTECTIVE ORDER – CIVILIAN NO LONGER ALLOWED 2 STATIONS - MUST FEEL THREATENED  </w:t>
      </w:r>
    </w:p>
    <w:p w14:paraId="426E5B2D" w14:textId="77777777" w:rsidR="007D178F" w:rsidRDefault="007D178F" w:rsidP="007D178F">
      <w:pPr>
        <w:pStyle w:val="NoSpacing"/>
        <w:rPr>
          <w:rFonts w:ascii="Times New Roman" w:hAnsi="Times New Roman"/>
          <w:sz w:val="24"/>
          <w:szCs w:val="24"/>
        </w:rPr>
      </w:pPr>
    </w:p>
    <w:p w14:paraId="1EACAE62" w14:textId="77777777" w:rsidR="007D178F" w:rsidRDefault="007D178F" w:rsidP="007D178F">
      <w:pPr>
        <w:pStyle w:val="NoSpacing"/>
        <w:rPr>
          <w:rFonts w:ascii="Times New Roman" w:hAnsi="Times New Roman"/>
          <w:sz w:val="24"/>
          <w:szCs w:val="24"/>
        </w:rPr>
      </w:pPr>
      <w:r>
        <w:rPr>
          <w:rFonts w:ascii="Times New Roman" w:hAnsi="Times New Roman"/>
          <w:sz w:val="24"/>
          <w:szCs w:val="24"/>
        </w:rPr>
        <w:t xml:space="preserve">On Nov. 19, 2020, in </w:t>
      </w:r>
      <w:r w:rsidRPr="00721349">
        <w:rPr>
          <w:rFonts w:ascii="Times New Roman" w:hAnsi="Times New Roman"/>
          <w:sz w:val="24"/>
          <w:szCs w:val="24"/>
          <w:u w:val="single"/>
        </w:rPr>
        <w:t>RS, Petitioner v. AH, Respondent</w:t>
      </w:r>
      <w:r w:rsidRPr="00721349">
        <w:rPr>
          <w:rFonts w:ascii="Times New Roman" w:hAnsi="Times New Roman"/>
          <w:sz w:val="24"/>
          <w:szCs w:val="24"/>
        </w:rPr>
        <w:t xml:space="preserve">, </w:t>
      </w:r>
      <w:r>
        <w:rPr>
          <w:rFonts w:ascii="Times New Roman" w:hAnsi="Times New Roman"/>
          <w:sz w:val="24"/>
          <w:szCs w:val="24"/>
        </w:rPr>
        <w:t xml:space="preserve">the State of Michigan Court of Appeals held (3 to 0) that the trial court should not have issued a Personal Protective Order for stalking against the civilian (1-year; expired July 18, 2020) because the Deputy Chief testified that he did not feel emotional distress, just wanted it the harassment stopped.   </w:t>
      </w:r>
    </w:p>
    <w:p w14:paraId="61AAA1B1" w14:textId="77777777" w:rsidR="007D178F" w:rsidRDefault="007D178F" w:rsidP="007D178F">
      <w:pPr>
        <w:pStyle w:val="NoSpacing"/>
        <w:rPr>
          <w:rFonts w:ascii="Times New Roman" w:hAnsi="Times New Roman"/>
          <w:sz w:val="24"/>
          <w:szCs w:val="24"/>
        </w:rPr>
      </w:pPr>
    </w:p>
    <w:p w14:paraId="6A09F710"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r w:rsidRPr="00721349">
        <w:rPr>
          <w:rFonts w:ascii="Times New Roman" w:hAnsi="Times New Roman"/>
          <w:sz w:val="24"/>
          <w:szCs w:val="24"/>
        </w:rPr>
        <w:t xml:space="preserve">In light of the record, we conclude that petitioner failed to meet his burden of proof for obtaining the PPO. Specifically, </w:t>
      </w:r>
      <w:proofErr w:type="gramStart"/>
      <w:r w:rsidRPr="00721349">
        <w:rPr>
          <w:rFonts w:ascii="Times New Roman" w:hAnsi="Times New Roman"/>
          <w:sz w:val="24"/>
          <w:szCs w:val="24"/>
        </w:rPr>
        <w:t>in order to</w:t>
      </w:r>
      <w:proofErr w:type="gramEnd"/>
      <w:r w:rsidRPr="00721349">
        <w:rPr>
          <w:rFonts w:ascii="Times New Roman" w:hAnsi="Times New Roman"/>
          <w:sz w:val="24"/>
          <w:szCs w:val="24"/>
        </w:rPr>
        <w:t xml:space="preserve"> </w:t>
      </w:r>
      <w:proofErr w:type="gramStart"/>
      <w:r w:rsidRPr="00721349">
        <w:rPr>
          <w:rFonts w:ascii="Times New Roman" w:hAnsi="Times New Roman"/>
          <w:sz w:val="24"/>
          <w:szCs w:val="24"/>
        </w:rPr>
        <w:t>demonstrating</w:t>
      </w:r>
      <w:proofErr w:type="gramEnd"/>
      <w:r w:rsidRPr="00721349">
        <w:rPr>
          <w:rFonts w:ascii="Times New Roman" w:hAnsi="Times New Roman"/>
          <w:sz w:val="24"/>
          <w:szCs w:val="24"/>
        </w:rPr>
        <w:t xml:space="preserve"> stalking, MCL 750.411h(1)(d), petitioner had to show harassment that included </w:t>
      </w:r>
      <w:r>
        <w:rPr>
          <w:rFonts w:ascii="Times New Roman" w:hAnsi="Times New Roman"/>
          <w:sz w:val="24"/>
          <w:szCs w:val="24"/>
        </w:rPr>
        <w:t>‘</w:t>
      </w:r>
      <w:r w:rsidRPr="00721349">
        <w:rPr>
          <w:rFonts w:ascii="Times New Roman" w:hAnsi="Times New Roman"/>
          <w:sz w:val="24"/>
          <w:szCs w:val="24"/>
        </w:rPr>
        <w:t xml:space="preserve">repeated or continuing unconsented contact that would cause a reasonable individual to suffer emotional distress and that actually causes the victim emotional </w:t>
      </w:r>
      <w:proofErr w:type="gramStart"/>
      <w:r w:rsidRPr="00721349">
        <w:rPr>
          <w:rFonts w:ascii="Times New Roman" w:hAnsi="Times New Roman"/>
          <w:sz w:val="24"/>
          <w:szCs w:val="24"/>
        </w:rPr>
        <w:t>distress.</w:t>
      </w:r>
      <w:r>
        <w:rPr>
          <w:rFonts w:ascii="Times New Roman" w:hAnsi="Times New Roman"/>
          <w:sz w:val="24"/>
          <w:szCs w:val="24"/>
        </w:rPr>
        <w:t>’</w:t>
      </w:r>
      <w:proofErr w:type="gramEnd"/>
      <w:r w:rsidRPr="00721349">
        <w:rPr>
          <w:rFonts w:ascii="Times New Roman" w:hAnsi="Times New Roman"/>
          <w:sz w:val="24"/>
          <w:szCs w:val="24"/>
        </w:rPr>
        <w:t xml:space="preserve"> MCL 750.411h(1)(c). The stalking must </w:t>
      </w:r>
      <w:proofErr w:type="gramStart"/>
      <w:r w:rsidRPr="00721349">
        <w:rPr>
          <w:rFonts w:ascii="Times New Roman" w:hAnsi="Times New Roman"/>
          <w:sz w:val="24"/>
          <w:szCs w:val="24"/>
        </w:rPr>
        <w:t>actually cause</w:t>
      </w:r>
      <w:proofErr w:type="gramEnd"/>
      <w:r w:rsidRPr="00721349">
        <w:rPr>
          <w:rFonts w:ascii="Times New Roman" w:hAnsi="Times New Roman"/>
          <w:sz w:val="24"/>
          <w:szCs w:val="24"/>
        </w:rPr>
        <w:t xml:space="preserve"> the individual to feel terrorized, frightened, intimidated, threatened, harassed, or molested. MCL 750.411h(1)(d). However, when petitioner was questioned on cross-examination regarding how </w:t>
      </w:r>
      <w:proofErr w:type="gramStart"/>
      <w:r w:rsidRPr="00721349">
        <w:rPr>
          <w:rFonts w:ascii="Times New Roman" w:hAnsi="Times New Roman"/>
          <w:sz w:val="24"/>
          <w:szCs w:val="24"/>
        </w:rPr>
        <w:t>the Facebook</w:t>
      </w:r>
      <w:proofErr w:type="gramEnd"/>
      <w:r w:rsidRPr="00721349">
        <w:rPr>
          <w:rFonts w:ascii="Times New Roman" w:hAnsi="Times New Roman"/>
          <w:sz w:val="24"/>
          <w:szCs w:val="24"/>
        </w:rPr>
        <w:t xml:space="preserve"> written and video posts impacted him, he testified, </w:t>
      </w:r>
      <w:r>
        <w:rPr>
          <w:rFonts w:ascii="Times New Roman" w:hAnsi="Times New Roman"/>
          <w:sz w:val="24"/>
          <w:szCs w:val="24"/>
        </w:rPr>
        <w:t>‘</w:t>
      </w:r>
      <w:r w:rsidRPr="00721349">
        <w:rPr>
          <w:rFonts w:ascii="Times New Roman" w:hAnsi="Times New Roman"/>
          <w:sz w:val="24"/>
          <w:szCs w:val="24"/>
        </w:rPr>
        <w:t xml:space="preserve">I didn't give it much thought at all, I just know that this is very odd, and this is very concerning to me that he's posting anything about me, and </w:t>
      </w:r>
    </w:p>
    <w:p w14:paraId="1B581301" w14:textId="77777777" w:rsidR="007D178F" w:rsidRDefault="007D178F" w:rsidP="007D178F">
      <w:pPr>
        <w:pStyle w:val="NoSpacing"/>
        <w:ind w:left="720"/>
        <w:rPr>
          <w:rFonts w:ascii="Times New Roman" w:hAnsi="Times New Roman"/>
          <w:sz w:val="24"/>
          <w:szCs w:val="24"/>
        </w:rPr>
      </w:pPr>
      <w:r w:rsidRPr="00721349">
        <w:rPr>
          <w:rFonts w:ascii="Times New Roman" w:hAnsi="Times New Roman"/>
          <w:sz w:val="24"/>
          <w:szCs w:val="24"/>
        </w:rPr>
        <w:t>driving down my street." More importantly, when petitioner was expressly asked whether respondent harassed and threatened him, he replied, "No, I claimed exactly what I stated her[e].</w:t>
      </w:r>
      <w:r>
        <w:rPr>
          <w:rFonts w:ascii="Times New Roman" w:hAnsi="Times New Roman"/>
          <w:sz w:val="24"/>
          <w:szCs w:val="24"/>
        </w:rPr>
        <w:t>’”</w:t>
      </w:r>
      <w:r w:rsidRPr="00721349">
        <w:t xml:space="preserve"> </w:t>
      </w:r>
      <w:hyperlink r:id="rId536" w:history="1">
        <w:r w:rsidRPr="002F20C3">
          <w:rPr>
            <w:rStyle w:val="Hyperlink"/>
            <w:rFonts w:ascii="Times New Roman" w:hAnsi="Times New Roman"/>
            <w:sz w:val="24"/>
            <w:szCs w:val="24"/>
          </w:rPr>
          <w:t>https://www.leagle.com/decision/inmico20201120334</w:t>
        </w:r>
      </w:hyperlink>
      <w:r>
        <w:rPr>
          <w:rFonts w:ascii="Times New Roman" w:hAnsi="Times New Roman"/>
          <w:sz w:val="24"/>
          <w:szCs w:val="24"/>
        </w:rPr>
        <w:t xml:space="preserve"> </w:t>
      </w:r>
    </w:p>
    <w:p w14:paraId="1CDDE050" w14:textId="77777777" w:rsidR="007D178F" w:rsidRDefault="007D178F" w:rsidP="007D178F">
      <w:pPr>
        <w:pStyle w:val="NoSpacing"/>
        <w:ind w:left="720"/>
        <w:rPr>
          <w:rFonts w:ascii="Times New Roman" w:hAnsi="Times New Roman"/>
          <w:sz w:val="24"/>
          <w:szCs w:val="24"/>
        </w:rPr>
      </w:pPr>
    </w:p>
    <w:p w14:paraId="06F31377" w14:textId="77777777" w:rsidR="007D178F" w:rsidRDefault="007D178F" w:rsidP="007D178F">
      <w:pPr>
        <w:pStyle w:val="NoSpacing"/>
        <w:rPr>
          <w:rFonts w:ascii="Times New Roman" w:hAnsi="Times New Roman"/>
          <w:sz w:val="24"/>
          <w:szCs w:val="24"/>
        </w:rPr>
      </w:pPr>
    </w:p>
    <w:p w14:paraId="4D0EF4D0" w14:textId="77777777" w:rsidR="007D178F" w:rsidRPr="0096139A" w:rsidRDefault="007D178F" w:rsidP="007D178F">
      <w:pPr>
        <w:pStyle w:val="NoSpacing"/>
        <w:rPr>
          <w:rFonts w:ascii="Times New Roman" w:hAnsi="Times New Roman"/>
          <w:b/>
          <w:bCs/>
          <w:sz w:val="24"/>
          <w:szCs w:val="24"/>
        </w:rPr>
      </w:pPr>
      <w:r w:rsidRPr="0096139A">
        <w:rPr>
          <w:rFonts w:ascii="Times New Roman" w:hAnsi="Times New Roman"/>
          <w:b/>
          <w:bCs/>
          <w:sz w:val="24"/>
          <w:szCs w:val="24"/>
        </w:rPr>
        <w:t xml:space="preserve">Legal Lesson Learned: </w:t>
      </w:r>
      <w:r>
        <w:rPr>
          <w:rFonts w:ascii="Times New Roman" w:hAnsi="Times New Roman"/>
          <w:b/>
          <w:bCs/>
          <w:sz w:val="24"/>
          <w:szCs w:val="24"/>
        </w:rPr>
        <w:t xml:space="preserve"> The Deputy Chief could have also asked County Prosecutor to bring criminal charges against the stalker under the Michigan “cyber stalking” statute. </w:t>
      </w:r>
    </w:p>
    <w:p w14:paraId="51D2AC66" w14:textId="77777777" w:rsidR="007D178F" w:rsidRPr="00D0410F" w:rsidRDefault="007D178F" w:rsidP="007D178F">
      <w:pPr>
        <w:spacing w:after="100" w:line="240" w:lineRule="auto"/>
        <w:ind w:left="720"/>
        <w:rPr>
          <w:rFonts w:ascii="Times New Roman" w:hAnsi="Times New Roman"/>
          <w:sz w:val="24"/>
          <w:szCs w:val="24"/>
        </w:rPr>
      </w:pPr>
    </w:p>
    <w:p w14:paraId="1A2CA0EB" w14:textId="77777777" w:rsidR="007D178F" w:rsidRPr="007668F4" w:rsidRDefault="007D178F" w:rsidP="007D178F">
      <w:pPr>
        <w:spacing w:after="100" w:line="240" w:lineRule="auto"/>
        <w:ind w:left="720"/>
        <w:rPr>
          <w:rFonts w:ascii="Times New Roman" w:hAnsi="Times New Roman"/>
          <w:sz w:val="24"/>
          <w:szCs w:val="24"/>
        </w:rPr>
      </w:pPr>
      <w:r w:rsidRPr="007668F4">
        <w:rPr>
          <w:rFonts w:ascii="Times New Roman" w:eastAsia="Times New Roman" w:hAnsi="Times New Roman"/>
          <w:sz w:val="24"/>
          <w:szCs w:val="24"/>
        </w:rPr>
        <w:lastRenderedPageBreak/>
        <w:t xml:space="preserve">Michigan </w:t>
      </w:r>
      <w:r w:rsidRPr="007668F4">
        <w:rPr>
          <w:rFonts w:ascii="Times New Roman" w:hAnsi="Times New Roman"/>
          <w:sz w:val="24"/>
          <w:szCs w:val="24"/>
        </w:rPr>
        <w:t xml:space="preserve">750.411h:  Stalking; definitions; violation as misdemeanor; penalties; probation; conditions; evidence of continued conduct as rebuttable presumption; additional penalties. </w:t>
      </w:r>
    </w:p>
    <w:p w14:paraId="3D26255F" w14:textId="77777777" w:rsidR="007D178F" w:rsidRPr="0096139A" w:rsidRDefault="007D178F" w:rsidP="007D178F">
      <w:pPr>
        <w:spacing w:after="100" w:line="240" w:lineRule="auto"/>
        <w:ind w:left="720"/>
        <w:rPr>
          <w:rFonts w:ascii="Times New Roman" w:eastAsia="Times New Roman" w:hAnsi="Times New Roman"/>
          <w:sz w:val="24"/>
          <w:szCs w:val="24"/>
        </w:rPr>
      </w:pPr>
      <w:r w:rsidRPr="0096139A">
        <w:rPr>
          <w:rFonts w:ascii="Times New Roman" w:hAnsi="Times New Roman"/>
          <w:b/>
          <w:bCs/>
          <w:sz w:val="24"/>
          <w:szCs w:val="24"/>
        </w:rPr>
        <w:t xml:space="preserve"> </w:t>
      </w:r>
      <w:r w:rsidRPr="0096139A">
        <w:rPr>
          <w:rFonts w:ascii="Times New Roman" w:eastAsia="Times New Roman" w:hAnsi="Times New Roman"/>
          <w:sz w:val="24"/>
          <w:szCs w:val="24"/>
        </w:rPr>
        <w:t>(2) An individual who engages in stalking is guilty of a crime as follows:</w:t>
      </w:r>
    </w:p>
    <w:p w14:paraId="7B748AB8" w14:textId="77777777" w:rsidR="007D178F" w:rsidRPr="0096139A" w:rsidRDefault="007D178F" w:rsidP="007D178F">
      <w:pPr>
        <w:spacing w:after="0" w:line="240" w:lineRule="auto"/>
        <w:ind w:left="720"/>
        <w:rPr>
          <w:rFonts w:ascii="Times New Roman" w:eastAsia="Times New Roman" w:hAnsi="Times New Roman"/>
          <w:sz w:val="24"/>
          <w:szCs w:val="24"/>
        </w:rPr>
      </w:pPr>
      <w:r w:rsidRPr="0096139A">
        <w:rPr>
          <w:rFonts w:ascii="Times New Roman" w:eastAsia="Times New Roman" w:hAnsi="Times New Roman"/>
          <w:sz w:val="24"/>
          <w:szCs w:val="24"/>
        </w:rPr>
        <w:t>(a) Except as provided in subdivision (b), a misdemeanor punishable by imprisonment for not more than 1 year or a fine of not more than $1,000.00, or both.</w:t>
      </w:r>
    </w:p>
    <w:p w14:paraId="40FAB38C" w14:textId="77777777" w:rsidR="007D178F" w:rsidRPr="0096139A" w:rsidRDefault="007D178F" w:rsidP="007D178F">
      <w:pPr>
        <w:spacing w:after="0" w:line="240" w:lineRule="auto"/>
        <w:ind w:left="720"/>
        <w:rPr>
          <w:rFonts w:ascii="Times New Roman" w:eastAsia="Times New Roman" w:hAnsi="Times New Roman"/>
          <w:sz w:val="24"/>
          <w:szCs w:val="24"/>
        </w:rPr>
      </w:pPr>
      <w:r w:rsidRPr="0096139A">
        <w:rPr>
          <w:rFonts w:ascii="Times New Roman" w:eastAsia="Times New Roman" w:hAnsi="Times New Roman"/>
          <w:sz w:val="24"/>
          <w:szCs w:val="24"/>
        </w:rPr>
        <w:t xml:space="preserve">(b) If the victim was less than 18 years of age at any time during the individual's course of conduct and the individual is 5 or more years older than the victim, a felony punishable by imprisonment for not more than 5 years or a fine of not more than $10,000.00, or both. </w:t>
      </w:r>
    </w:p>
    <w:p w14:paraId="6CC6E1B1" w14:textId="77777777" w:rsidR="007D178F" w:rsidRPr="0096139A" w:rsidRDefault="007D178F" w:rsidP="007D178F">
      <w:pPr>
        <w:spacing w:after="0" w:line="240" w:lineRule="auto"/>
        <w:ind w:left="720" w:firstLine="120"/>
        <w:rPr>
          <w:rFonts w:ascii="Times New Roman" w:eastAsia="Times New Roman" w:hAnsi="Times New Roman"/>
          <w:sz w:val="24"/>
          <w:szCs w:val="24"/>
        </w:rPr>
      </w:pPr>
      <w:r w:rsidRPr="0096139A">
        <w:rPr>
          <w:rFonts w:ascii="Times New Roman" w:eastAsia="Times New Roman" w:hAnsi="Times New Roman"/>
          <w:sz w:val="24"/>
          <w:szCs w:val="24"/>
        </w:rPr>
        <w:t>(3) The court may place an individual convicted of violating this section on probation for a term of not more than 5 years. If a term of probation is ordered, the court may, in addition to any other lawful condition of probation, order the defendant to do any of the following:</w:t>
      </w:r>
    </w:p>
    <w:p w14:paraId="24CD295B" w14:textId="77777777" w:rsidR="007D178F" w:rsidRPr="0096139A" w:rsidRDefault="007D178F" w:rsidP="007D178F">
      <w:pPr>
        <w:spacing w:after="0" w:line="240" w:lineRule="auto"/>
        <w:rPr>
          <w:rFonts w:ascii="Times New Roman" w:eastAsia="Times New Roman" w:hAnsi="Times New Roman"/>
          <w:sz w:val="24"/>
          <w:szCs w:val="24"/>
        </w:rPr>
      </w:pPr>
      <w:r w:rsidRPr="0096139A">
        <w:rPr>
          <w:rFonts w:ascii="Times New Roman" w:eastAsia="Times New Roman" w:hAnsi="Times New Roman"/>
          <w:sz w:val="24"/>
          <w:szCs w:val="24"/>
        </w:rPr>
        <w:t>  </w:t>
      </w:r>
      <w:r>
        <w:rPr>
          <w:rFonts w:ascii="Times New Roman" w:eastAsia="Times New Roman" w:hAnsi="Times New Roman"/>
          <w:sz w:val="24"/>
          <w:szCs w:val="24"/>
        </w:rPr>
        <w:tab/>
      </w:r>
      <w:r w:rsidRPr="0096139A">
        <w:rPr>
          <w:rFonts w:ascii="Times New Roman" w:eastAsia="Times New Roman" w:hAnsi="Times New Roman"/>
          <w:sz w:val="24"/>
          <w:szCs w:val="24"/>
        </w:rPr>
        <w:t>(a) Refrain from stalking any individual during the term of probation.</w:t>
      </w:r>
    </w:p>
    <w:p w14:paraId="6DB84AD1" w14:textId="77777777" w:rsidR="007D178F" w:rsidRPr="0096139A" w:rsidRDefault="007D178F" w:rsidP="007D178F">
      <w:pPr>
        <w:spacing w:after="0" w:line="240" w:lineRule="auto"/>
        <w:rPr>
          <w:rFonts w:ascii="Times New Roman" w:eastAsia="Times New Roman" w:hAnsi="Times New Roman"/>
          <w:sz w:val="24"/>
          <w:szCs w:val="24"/>
        </w:rPr>
      </w:pPr>
      <w:r w:rsidRPr="0096139A">
        <w:rPr>
          <w:rFonts w:ascii="Times New Roman" w:eastAsia="Times New Roman" w:hAnsi="Times New Roman"/>
          <w:sz w:val="24"/>
          <w:szCs w:val="24"/>
        </w:rPr>
        <w:t> </w:t>
      </w:r>
      <w:r>
        <w:rPr>
          <w:rFonts w:ascii="Times New Roman" w:eastAsia="Times New Roman" w:hAnsi="Times New Roman"/>
          <w:sz w:val="24"/>
          <w:szCs w:val="24"/>
        </w:rPr>
        <w:tab/>
      </w:r>
      <w:r w:rsidRPr="0096139A">
        <w:rPr>
          <w:rFonts w:ascii="Times New Roman" w:eastAsia="Times New Roman" w:hAnsi="Times New Roman"/>
          <w:sz w:val="24"/>
          <w:szCs w:val="24"/>
        </w:rPr>
        <w:t> (b) Refrain from having any contact with the victim of the offense.</w:t>
      </w:r>
    </w:p>
    <w:p w14:paraId="521B2E0F" w14:textId="77777777" w:rsidR="007D178F" w:rsidRDefault="007D178F" w:rsidP="007D178F">
      <w:pPr>
        <w:spacing w:after="0" w:line="240" w:lineRule="auto"/>
        <w:ind w:left="720"/>
        <w:rPr>
          <w:rFonts w:ascii="Times New Roman" w:hAnsi="Times New Roman"/>
          <w:sz w:val="24"/>
          <w:szCs w:val="24"/>
        </w:rPr>
      </w:pPr>
      <w:r w:rsidRPr="0096139A">
        <w:rPr>
          <w:rFonts w:ascii="Times New Roman" w:eastAsia="Times New Roman" w:hAnsi="Times New Roman"/>
          <w:sz w:val="24"/>
          <w:szCs w:val="24"/>
        </w:rPr>
        <w:t xml:space="preserve"> (c) Be evaluated to determine the need for psychiatric, psychological, or social counseling and </w:t>
      </w:r>
      <w:proofErr w:type="gramStart"/>
      <w:r w:rsidRPr="0096139A">
        <w:rPr>
          <w:rFonts w:ascii="Times New Roman" w:eastAsia="Times New Roman" w:hAnsi="Times New Roman"/>
          <w:sz w:val="24"/>
          <w:szCs w:val="24"/>
        </w:rPr>
        <w:t>if,</w:t>
      </w:r>
      <w:proofErr w:type="gramEnd"/>
      <w:r w:rsidRPr="0096139A">
        <w:rPr>
          <w:rFonts w:ascii="Times New Roman" w:eastAsia="Times New Roman" w:hAnsi="Times New Roman"/>
          <w:sz w:val="24"/>
          <w:szCs w:val="24"/>
        </w:rPr>
        <w:t xml:space="preserve"> determined appropriate by the court, to receive psychiatric, psychological, or social counseling at his or her own expense.</w:t>
      </w:r>
    </w:p>
    <w:p w14:paraId="77C2D248" w14:textId="77777777" w:rsidR="007D178F" w:rsidRPr="007E35C0" w:rsidRDefault="007D178F" w:rsidP="007D178F">
      <w:pPr>
        <w:spacing w:after="100" w:line="240" w:lineRule="auto"/>
        <w:ind w:left="720"/>
        <w:rPr>
          <w:rFonts w:ascii="Times New Roman" w:eastAsia="Times New Roman" w:hAnsi="Times New Roman"/>
          <w:sz w:val="24"/>
          <w:szCs w:val="24"/>
        </w:rPr>
      </w:pPr>
      <w:hyperlink r:id="rId537" w:history="1">
        <w:r w:rsidRPr="002F20C3">
          <w:rPr>
            <w:rStyle w:val="Hyperlink"/>
            <w:rFonts w:ascii="Times New Roman" w:hAnsi="Times New Roman"/>
            <w:sz w:val="24"/>
            <w:szCs w:val="24"/>
          </w:rPr>
          <w:t>http://www.legislature.mi.gov/(S(dodu2xg2ouu1vonwqhxqy4i2))/mileg.aspx?page=getObject&amp;objectName=mcl-750-411h</w:t>
        </w:r>
      </w:hyperlink>
      <w:r w:rsidRPr="0096139A">
        <w:rPr>
          <w:rFonts w:ascii="Times New Roman" w:hAnsi="Times New Roman"/>
          <w:sz w:val="24"/>
          <w:szCs w:val="24"/>
        </w:rPr>
        <w:t xml:space="preserve"> </w:t>
      </w:r>
    </w:p>
    <w:p w14:paraId="3EEBA3DC" w14:textId="77777777" w:rsidR="007D178F" w:rsidRDefault="007D178F" w:rsidP="00EF1133">
      <w:pPr>
        <w:pStyle w:val="NoSpacing"/>
        <w:rPr>
          <w:rFonts w:ascii="Arial Black" w:hAnsi="Arial Black"/>
          <w:sz w:val="24"/>
          <w:szCs w:val="24"/>
        </w:rPr>
      </w:pPr>
    </w:p>
    <w:p w14:paraId="5D7482FF" w14:textId="77777777" w:rsidR="007D178F" w:rsidRDefault="007D178F" w:rsidP="00EF1133">
      <w:pPr>
        <w:pStyle w:val="NoSpacing"/>
        <w:rPr>
          <w:rFonts w:ascii="Arial Black" w:hAnsi="Arial Black"/>
          <w:sz w:val="24"/>
          <w:szCs w:val="24"/>
        </w:rPr>
      </w:pPr>
    </w:p>
    <w:p w14:paraId="7870C316" w14:textId="77777777" w:rsidR="007D178F" w:rsidRDefault="007D178F" w:rsidP="00EF1133">
      <w:pPr>
        <w:pStyle w:val="NoSpacing"/>
        <w:rPr>
          <w:rFonts w:ascii="Arial Black" w:hAnsi="Arial Black"/>
          <w:sz w:val="24"/>
          <w:szCs w:val="24"/>
        </w:rPr>
      </w:pPr>
    </w:p>
    <w:p w14:paraId="53DC91C8" w14:textId="59D26B71" w:rsidR="00F824FE" w:rsidRDefault="00F824FE" w:rsidP="00EF1133">
      <w:pPr>
        <w:pStyle w:val="NoSpacing"/>
        <w:rPr>
          <w:rFonts w:ascii="Arial Black" w:hAnsi="Arial Black"/>
          <w:sz w:val="24"/>
          <w:szCs w:val="24"/>
        </w:rPr>
      </w:pPr>
      <w:r>
        <w:rPr>
          <w:rFonts w:ascii="Arial Black" w:hAnsi="Arial Black"/>
          <w:sz w:val="24"/>
          <w:szCs w:val="24"/>
        </w:rPr>
        <w:t>2-37</w:t>
      </w:r>
    </w:p>
    <w:p w14:paraId="491ABD84" w14:textId="21E55F67" w:rsidR="00F824FE" w:rsidRDefault="00F824FE" w:rsidP="00EF1133">
      <w:pPr>
        <w:pStyle w:val="NoSpacing"/>
        <w:rPr>
          <w:rFonts w:ascii="Arial Black" w:hAnsi="Arial Black"/>
          <w:sz w:val="24"/>
          <w:szCs w:val="24"/>
        </w:rPr>
      </w:pPr>
    </w:p>
    <w:p w14:paraId="789F5D7D" w14:textId="77777777" w:rsidR="00F824FE" w:rsidRPr="0077130A" w:rsidRDefault="00F824FE" w:rsidP="00F824FE">
      <w:pPr>
        <w:spacing w:before="100" w:beforeAutospacing="1" w:after="100" w:afterAutospacing="1" w:line="240" w:lineRule="auto"/>
        <w:rPr>
          <w:rFonts w:ascii="Arial Black" w:eastAsia="Times New Roman" w:hAnsi="Arial Black"/>
          <w:sz w:val="28"/>
          <w:szCs w:val="28"/>
        </w:rPr>
      </w:pPr>
      <w:r w:rsidRPr="0077130A">
        <w:rPr>
          <w:rFonts w:ascii="Arial Black" w:eastAsia="Times New Roman" w:hAnsi="Arial Black"/>
          <w:sz w:val="28"/>
          <w:szCs w:val="28"/>
        </w:rPr>
        <w:t>PA:</w:t>
      </w:r>
      <w:r>
        <w:rPr>
          <w:rFonts w:ascii="Arial Black" w:eastAsia="Times New Roman" w:hAnsi="Arial Black"/>
          <w:sz w:val="28"/>
          <w:szCs w:val="28"/>
        </w:rPr>
        <w:t xml:space="preserve">  DISPATCHER TOLD MOTHER STAY 3</w:t>
      </w:r>
      <w:r w:rsidRPr="007A7322">
        <w:rPr>
          <w:rFonts w:ascii="Arial Black" w:eastAsia="Times New Roman" w:hAnsi="Arial Black"/>
          <w:sz w:val="28"/>
          <w:szCs w:val="28"/>
          <w:vertAlign w:val="superscript"/>
        </w:rPr>
        <w:t>rd</w:t>
      </w:r>
      <w:r>
        <w:rPr>
          <w:rFonts w:ascii="Arial Black" w:eastAsia="Times New Roman" w:hAnsi="Arial Black"/>
          <w:sz w:val="28"/>
          <w:szCs w:val="28"/>
        </w:rPr>
        <w:t xml:space="preserve"> FLOOR APARTMENT – 3 DEAD FIRE – NO “STATE CREATED DANGER,” LAWSUIT DISMISSED</w:t>
      </w:r>
    </w:p>
    <w:p w14:paraId="14D26DD6" w14:textId="77777777" w:rsidR="00F824FE" w:rsidRDefault="00F824FE" w:rsidP="00F824F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Sept. 22, 2020, in </w:t>
      </w:r>
      <w:r w:rsidRPr="0077130A">
        <w:rPr>
          <w:rFonts w:ascii="Times New Roman" w:eastAsia="Times New Roman" w:hAnsi="Times New Roman"/>
          <w:sz w:val="24"/>
          <w:szCs w:val="24"/>
          <w:u w:val="single"/>
        </w:rPr>
        <w:t>Tamika Johnson, Administratrix of Estates of Alita Johnson, Horace McCouellem and Haashim Johnson v. City of Philadelphia</w:t>
      </w:r>
      <w:r>
        <w:rPr>
          <w:rFonts w:ascii="Times New Roman" w:eastAsia="Times New Roman" w:hAnsi="Times New Roman"/>
          <w:sz w:val="24"/>
          <w:szCs w:val="24"/>
        </w:rPr>
        <w:t xml:space="preserve">, the U.S. Court of Appeals for the Third District (Philadelphia) held (3 to 0) that the trial court properly granted the City’s motion to dismiss.  Recognizing the tragic consequences of the error by the Dispatcher, there was no prior history of similar mistaken advice by dispatchers for 911 callers to remain in the apartment;  no violation of the “State Created Danger” theory of municipal liability – no violation of “shock the conscience” test.  </w:t>
      </w:r>
    </w:p>
    <w:p w14:paraId="67CC7418" w14:textId="77777777" w:rsidR="00F824FE" w:rsidRDefault="00F824FE" w:rsidP="00F824FE">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77130A">
        <w:rPr>
          <w:rFonts w:ascii="Times New Roman" w:hAnsi="Times New Roman"/>
          <w:sz w:val="24"/>
          <w:szCs w:val="24"/>
        </w:rPr>
        <w:t>The District Court held that, as alleged, neither the Dispatcher nor the Operator was liable for the Johnson Family's harm. Because the Dispatcher did not act affirmatively, and because the Operator's behavior did not shock the conscience, we agree.</w:t>
      </w:r>
    </w:p>
    <w:p w14:paraId="298EB641" w14:textId="77777777" w:rsidR="00F824FE" w:rsidRPr="0077130A" w:rsidRDefault="00F824FE" w:rsidP="00F824FE">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62F2A6EA" w14:textId="77777777" w:rsidR="00F824FE" w:rsidRDefault="00F824FE" w:rsidP="00F824FE">
      <w:pPr>
        <w:spacing w:before="100" w:beforeAutospacing="1" w:after="100" w:afterAutospacing="1" w:line="240" w:lineRule="auto"/>
        <w:ind w:left="720"/>
        <w:rPr>
          <w:rFonts w:ascii="Times New Roman" w:hAnsi="Times New Roman"/>
          <w:sz w:val="24"/>
          <w:szCs w:val="24"/>
        </w:rPr>
      </w:pPr>
      <w:r w:rsidRPr="0077130A">
        <w:rPr>
          <w:rFonts w:ascii="Times New Roman" w:hAnsi="Times New Roman"/>
          <w:sz w:val="24"/>
          <w:szCs w:val="24"/>
        </w:rPr>
        <w:t xml:space="preserve">Appellant alleges that the Operator violated the Johnson Family's constitutional rights by </w:t>
      </w:r>
      <w:r>
        <w:rPr>
          <w:rFonts w:ascii="Times New Roman" w:hAnsi="Times New Roman"/>
          <w:sz w:val="24"/>
          <w:szCs w:val="24"/>
        </w:rPr>
        <w:t>‘</w:t>
      </w:r>
      <w:r w:rsidRPr="0077130A">
        <w:rPr>
          <w:rFonts w:ascii="Times New Roman" w:hAnsi="Times New Roman"/>
          <w:sz w:val="24"/>
          <w:szCs w:val="24"/>
        </w:rPr>
        <w:t>directing them to close themselves inside the burning building's 3rd floor rear room, assuring them that [f]</w:t>
      </w:r>
      <w:proofErr w:type="spellStart"/>
      <w:r w:rsidRPr="0077130A">
        <w:rPr>
          <w:rFonts w:ascii="Times New Roman" w:hAnsi="Times New Roman"/>
          <w:sz w:val="24"/>
          <w:szCs w:val="24"/>
        </w:rPr>
        <w:t>irefighters</w:t>
      </w:r>
      <w:proofErr w:type="spellEnd"/>
      <w:r w:rsidRPr="0077130A">
        <w:rPr>
          <w:rFonts w:ascii="Times New Roman" w:hAnsi="Times New Roman"/>
          <w:sz w:val="24"/>
          <w:szCs w:val="24"/>
        </w:rPr>
        <w:t xml:space="preserve"> were coming to their rescue, but then failing inexplicably to inform the [f]</w:t>
      </w:r>
      <w:proofErr w:type="spellStart"/>
      <w:r w:rsidRPr="0077130A">
        <w:rPr>
          <w:rFonts w:ascii="Times New Roman" w:hAnsi="Times New Roman"/>
          <w:sz w:val="24"/>
          <w:szCs w:val="24"/>
        </w:rPr>
        <w:t>irefighters</w:t>
      </w:r>
      <w:proofErr w:type="spellEnd"/>
      <w:r w:rsidRPr="0077130A">
        <w:rPr>
          <w:rFonts w:ascii="Times New Roman" w:hAnsi="Times New Roman"/>
          <w:sz w:val="24"/>
          <w:szCs w:val="24"/>
        </w:rPr>
        <w:t xml:space="preserve"> of [their] existence, location, or need of rescue.</w:t>
      </w:r>
      <w:r>
        <w:rPr>
          <w:rFonts w:ascii="Times New Roman" w:hAnsi="Times New Roman"/>
          <w:sz w:val="24"/>
          <w:szCs w:val="24"/>
        </w:rPr>
        <w:t xml:space="preserve">’ …. </w:t>
      </w:r>
      <w:r w:rsidRPr="0077130A">
        <w:rPr>
          <w:rFonts w:ascii="Times New Roman" w:hAnsi="Times New Roman"/>
          <w:sz w:val="24"/>
          <w:szCs w:val="24"/>
        </w:rPr>
        <w:t xml:space="preserve">The District Court held that those allegations do not </w:t>
      </w:r>
      <w:r>
        <w:rPr>
          <w:rFonts w:ascii="Times New Roman" w:hAnsi="Times New Roman"/>
          <w:sz w:val="24"/>
          <w:szCs w:val="24"/>
        </w:rPr>
        <w:t>‘</w:t>
      </w:r>
      <w:r w:rsidRPr="0077130A">
        <w:rPr>
          <w:rFonts w:ascii="Times New Roman" w:hAnsi="Times New Roman"/>
          <w:sz w:val="24"/>
          <w:szCs w:val="24"/>
        </w:rPr>
        <w:t>shock the conscience,</w:t>
      </w:r>
      <w:r>
        <w:rPr>
          <w:rFonts w:ascii="Times New Roman" w:hAnsi="Times New Roman"/>
          <w:sz w:val="24"/>
          <w:szCs w:val="24"/>
        </w:rPr>
        <w:t>’</w:t>
      </w:r>
      <w:r w:rsidRPr="0077130A">
        <w:rPr>
          <w:rFonts w:ascii="Times New Roman" w:hAnsi="Times New Roman"/>
          <w:sz w:val="24"/>
          <w:szCs w:val="24"/>
        </w:rPr>
        <w:t xml:space="preserve"> as that phrase is defined in our precedent. We agree.</w:t>
      </w:r>
    </w:p>
    <w:p w14:paraId="11FA4DE8" w14:textId="77777777" w:rsidR="00F824FE" w:rsidRPr="0077130A"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A8B6A2A" w14:textId="77777777" w:rsidR="00F824FE" w:rsidRPr="0077130A" w:rsidRDefault="00F824FE" w:rsidP="00F824FE">
      <w:pPr>
        <w:spacing w:before="100" w:beforeAutospacing="1" w:after="100" w:afterAutospacing="1" w:line="240" w:lineRule="auto"/>
        <w:ind w:left="720"/>
        <w:rPr>
          <w:rFonts w:ascii="Times New Roman" w:hAnsi="Times New Roman"/>
          <w:sz w:val="24"/>
          <w:szCs w:val="24"/>
        </w:rPr>
      </w:pPr>
      <w:r w:rsidRPr="0077130A">
        <w:rPr>
          <w:rFonts w:ascii="Times New Roman" w:hAnsi="Times New Roman"/>
          <w:sz w:val="24"/>
          <w:szCs w:val="24"/>
        </w:rPr>
        <w:lastRenderedPageBreak/>
        <w:t xml:space="preserve">Finally, Appellant alleges that the </w:t>
      </w:r>
      <w:proofErr w:type="gramStart"/>
      <w:r w:rsidRPr="0077130A">
        <w:rPr>
          <w:rFonts w:ascii="Times New Roman" w:hAnsi="Times New Roman"/>
          <w:sz w:val="24"/>
          <w:szCs w:val="24"/>
        </w:rPr>
        <w:t>City</w:t>
      </w:r>
      <w:proofErr w:type="gramEnd"/>
      <w:r w:rsidRPr="0077130A">
        <w:rPr>
          <w:rFonts w:ascii="Times New Roman" w:hAnsi="Times New Roman"/>
          <w:sz w:val="24"/>
          <w:szCs w:val="24"/>
        </w:rPr>
        <w:t xml:space="preserve"> simply ignored the history of problems at the Johnson Family's residence, by failing to fix the building's fire hazards and failing to stop the building owners' practices. The District Court held that the </w:t>
      </w:r>
      <w:proofErr w:type="gramStart"/>
      <w:r w:rsidRPr="0077130A">
        <w:rPr>
          <w:rFonts w:ascii="Times New Roman" w:hAnsi="Times New Roman"/>
          <w:sz w:val="24"/>
          <w:szCs w:val="24"/>
        </w:rPr>
        <w:t>City</w:t>
      </w:r>
      <w:proofErr w:type="gramEnd"/>
      <w:r w:rsidRPr="0077130A">
        <w:rPr>
          <w:rFonts w:ascii="Times New Roman" w:hAnsi="Times New Roman"/>
          <w:sz w:val="24"/>
          <w:szCs w:val="24"/>
        </w:rPr>
        <w:t xml:space="preserve"> was immune from these negligence claims because it had insufficient control over the building. Under the relevant Commonwealth law, we agree.</w:t>
      </w:r>
      <w:r>
        <w:rPr>
          <w:rFonts w:ascii="Times New Roman" w:hAnsi="Times New Roman"/>
          <w:sz w:val="24"/>
          <w:szCs w:val="24"/>
        </w:rPr>
        <w:t xml:space="preserve">”  </w:t>
      </w:r>
      <w:hyperlink r:id="rId538" w:history="1">
        <w:r w:rsidRPr="002F1E28">
          <w:rPr>
            <w:rStyle w:val="Hyperlink"/>
            <w:rFonts w:ascii="Times New Roman" w:hAnsi="Times New Roman"/>
            <w:sz w:val="24"/>
            <w:szCs w:val="24"/>
          </w:rPr>
          <w:t>https://www2.ca3.uscourts.gov/opinarch/192938p.pdf</w:t>
        </w:r>
      </w:hyperlink>
      <w:r>
        <w:rPr>
          <w:rFonts w:ascii="Times New Roman" w:hAnsi="Times New Roman"/>
          <w:sz w:val="24"/>
          <w:szCs w:val="24"/>
        </w:rPr>
        <w:t xml:space="preserve"> </w:t>
      </w:r>
    </w:p>
    <w:p w14:paraId="789B4DA9" w14:textId="77777777" w:rsidR="00F824FE" w:rsidRPr="00D00E0A" w:rsidRDefault="00F824FE" w:rsidP="00F824FE">
      <w:pPr>
        <w:pStyle w:val="NormalWeb"/>
        <w:rPr>
          <w:b/>
          <w:bCs/>
        </w:rPr>
      </w:pPr>
      <w:r w:rsidRPr="00D00E0A">
        <w:rPr>
          <w:b/>
          <w:bCs/>
        </w:rPr>
        <w:t>Legal Lessons Learned:</w:t>
      </w:r>
      <w:r>
        <w:rPr>
          <w:b/>
          <w:bCs/>
        </w:rPr>
        <w:t xml:space="preserve">  Tragic set of facts; hopefully Dispatchers throughout the Nation have learned from this event.  </w:t>
      </w:r>
    </w:p>
    <w:p w14:paraId="7789B2DA" w14:textId="77777777" w:rsidR="00F824FE" w:rsidRDefault="00F824FE" w:rsidP="00EF1133">
      <w:pPr>
        <w:pStyle w:val="NoSpacing"/>
        <w:rPr>
          <w:rFonts w:ascii="Arial Black" w:hAnsi="Arial Black"/>
          <w:sz w:val="24"/>
          <w:szCs w:val="24"/>
        </w:rPr>
      </w:pPr>
    </w:p>
    <w:p w14:paraId="31B08CD9" w14:textId="77777777" w:rsidR="00F824FE" w:rsidRDefault="00F824FE" w:rsidP="00EF1133">
      <w:pPr>
        <w:pStyle w:val="NoSpacing"/>
        <w:rPr>
          <w:rFonts w:ascii="Arial Black" w:hAnsi="Arial Black"/>
          <w:sz w:val="24"/>
          <w:szCs w:val="24"/>
        </w:rPr>
      </w:pPr>
    </w:p>
    <w:p w14:paraId="2AC5C659" w14:textId="4FD17634" w:rsidR="00A672EE" w:rsidRDefault="00A672EE" w:rsidP="00EF1133">
      <w:pPr>
        <w:pStyle w:val="NoSpacing"/>
        <w:rPr>
          <w:rFonts w:ascii="Arial Black" w:hAnsi="Arial Black"/>
          <w:sz w:val="24"/>
          <w:szCs w:val="24"/>
        </w:rPr>
      </w:pPr>
      <w:r>
        <w:rPr>
          <w:rFonts w:ascii="Arial Black" w:hAnsi="Arial Black"/>
          <w:sz w:val="24"/>
          <w:szCs w:val="24"/>
        </w:rPr>
        <w:t>2-36</w:t>
      </w:r>
    </w:p>
    <w:p w14:paraId="53C5ACC0" w14:textId="61811F55" w:rsidR="00A672EE" w:rsidRDefault="00A672EE" w:rsidP="00EF1133">
      <w:pPr>
        <w:pStyle w:val="NoSpacing"/>
        <w:rPr>
          <w:rFonts w:ascii="Arial Black" w:hAnsi="Arial Black"/>
          <w:sz w:val="24"/>
          <w:szCs w:val="24"/>
        </w:rPr>
      </w:pPr>
    </w:p>
    <w:p w14:paraId="47FB5FF7" w14:textId="77777777" w:rsidR="00A672EE" w:rsidRDefault="00A672EE" w:rsidP="00A672EE">
      <w:pPr>
        <w:pStyle w:val="NoSpacing"/>
        <w:rPr>
          <w:rFonts w:ascii="Arial Black" w:hAnsi="Arial Black"/>
          <w:sz w:val="28"/>
          <w:szCs w:val="28"/>
        </w:rPr>
      </w:pPr>
      <w:r w:rsidRPr="00F34028">
        <w:rPr>
          <w:rFonts w:ascii="Arial Black" w:hAnsi="Arial Black"/>
          <w:sz w:val="28"/>
          <w:szCs w:val="28"/>
        </w:rPr>
        <w:t>KY:</w:t>
      </w:r>
      <w:r>
        <w:rPr>
          <w:rFonts w:ascii="Arial Black" w:hAnsi="Arial Black"/>
          <w:sz w:val="28"/>
          <w:szCs w:val="28"/>
        </w:rPr>
        <w:t xml:space="preserve"> ARSON – INSURANCE FRAUD – CONVICTED ARSON WITH DEATH – </w:t>
      </w:r>
    </w:p>
    <w:p w14:paraId="119D67B1" w14:textId="77777777" w:rsidR="00A672EE" w:rsidRPr="00F34028" w:rsidRDefault="00A672EE" w:rsidP="00A672EE">
      <w:pPr>
        <w:pStyle w:val="NoSpacing"/>
        <w:rPr>
          <w:rFonts w:ascii="Arial Black" w:hAnsi="Arial Black"/>
          <w:sz w:val="28"/>
          <w:szCs w:val="28"/>
        </w:rPr>
      </w:pPr>
      <w:r>
        <w:rPr>
          <w:rFonts w:ascii="Arial Black" w:hAnsi="Arial Black"/>
          <w:sz w:val="28"/>
          <w:szCs w:val="28"/>
        </w:rPr>
        <w:t>FF LODD AT SCENE, FF HAD MEDICAL HISTORY - CONV. UPHELD</w:t>
      </w:r>
    </w:p>
    <w:p w14:paraId="5E9FA66C" w14:textId="77777777" w:rsidR="00A672EE" w:rsidRDefault="00A672EE" w:rsidP="00A672EE">
      <w:pPr>
        <w:pStyle w:val="NoSpacing"/>
        <w:rPr>
          <w:rFonts w:ascii="On Times New Roman" w:hAnsi="On Times New Roman"/>
          <w:sz w:val="24"/>
          <w:szCs w:val="24"/>
        </w:rPr>
      </w:pPr>
    </w:p>
    <w:p w14:paraId="2DC0751F" w14:textId="331A721A" w:rsidR="00A672EE" w:rsidRDefault="00A672EE" w:rsidP="00A672EE">
      <w:pPr>
        <w:pStyle w:val="NoSpacing"/>
        <w:rPr>
          <w:rFonts w:ascii="Times New Roman" w:hAnsi="Times New Roman"/>
          <w:sz w:val="24"/>
          <w:szCs w:val="24"/>
        </w:rPr>
      </w:pPr>
      <w:r w:rsidRPr="00B47E18">
        <w:rPr>
          <w:rFonts w:ascii="Times New Roman" w:hAnsi="Times New Roman"/>
          <w:sz w:val="24"/>
          <w:szCs w:val="24"/>
        </w:rPr>
        <w:t xml:space="preserve">On July 7, 2020, in </w:t>
      </w:r>
      <w:r w:rsidRPr="00B47E18">
        <w:rPr>
          <w:rFonts w:ascii="Times New Roman" w:hAnsi="Times New Roman"/>
          <w:sz w:val="24"/>
          <w:szCs w:val="24"/>
          <w:u w:val="single"/>
        </w:rPr>
        <w:t>United States of America v. Steve Allen Pritchard</w:t>
      </w:r>
      <w:r w:rsidRPr="00B47E18">
        <w:rPr>
          <w:rFonts w:ascii="Times New Roman" w:hAnsi="Times New Roman"/>
          <w:sz w:val="24"/>
          <w:szCs w:val="24"/>
        </w:rPr>
        <w:t>, the U.S. Court of Appeals for Sixth Circuit (Cincinnati) affirmed (3 to 0) the conviction</w:t>
      </w:r>
      <w:r w:rsidR="00CB0898">
        <w:rPr>
          <w:rFonts w:ascii="Times New Roman" w:hAnsi="Times New Roman"/>
          <w:sz w:val="24"/>
          <w:szCs w:val="24"/>
        </w:rPr>
        <w:t xml:space="preserve"> for violation of the federal arson statute, </w:t>
      </w:r>
      <w:r w:rsidR="00CB0898" w:rsidRPr="00CB0898">
        <w:rPr>
          <w:rFonts w:ascii="Times New Roman" w:hAnsi="Times New Roman"/>
          <w:sz w:val="24"/>
          <w:szCs w:val="24"/>
        </w:rPr>
        <w:t>18 U.S.C. § 844(</w:t>
      </w:r>
      <w:proofErr w:type="spellStart"/>
      <w:r w:rsidR="00CB0898" w:rsidRPr="00CB0898">
        <w:rPr>
          <w:rFonts w:ascii="Times New Roman" w:hAnsi="Times New Roman"/>
          <w:sz w:val="24"/>
          <w:szCs w:val="24"/>
        </w:rPr>
        <w:t>i</w:t>
      </w:r>
      <w:proofErr w:type="spellEnd"/>
      <w:r w:rsidR="00CB0898" w:rsidRPr="00CB0898">
        <w:rPr>
          <w:rFonts w:ascii="Times New Roman" w:hAnsi="Times New Roman"/>
          <w:sz w:val="24"/>
          <w:szCs w:val="24"/>
        </w:rPr>
        <w:t>)</w:t>
      </w:r>
      <w:r w:rsidR="00CB0898">
        <w:rPr>
          <w:rFonts w:ascii="Times New Roman" w:hAnsi="Times New Roman"/>
          <w:sz w:val="24"/>
          <w:szCs w:val="24"/>
        </w:rPr>
        <w:t xml:space="preserve">, </w:t>
      </w:r>
      <w:r w:rsidRPr="00B47E18">
        <w:rPr>
          <w:rFonts w:ascii="Times New Roman" w:hAnsi="Times New Roman"/>
          <w:sz w:val="24"/>
          <w:szCs w:val="24"/>
        </w:rPr>
        <w:t xml:space="preserve"> and his enhanced sentence of 360 months in prison.  Court wrote: “Even though Pritchard offered evidence that Sparks’s pre-existing medical condition led to his death, the jury found an unbroken chain of causation between the fire</w:t>
      </w:r>
      <w:r w:rsidR="00CB0898">
        <w:rPr>
          <w:rFonts w:ascii="Times New Roman" w:hAnsi="Times New Roman"/>
          <w:sz w:val="24"/>
          <w:szCs w:val="24"/>
        </w:rPr>
        <w:t xml:space="preserve"> </w:t>
      </w:r>
      <w:r w:rsidRPr="00B47E18">
        <w:rPr>
          <w:rFonts w:ascii="Times New Roman" w:hAnsi="Times New Roman"/>
          <w:sz w:val="24"/>
          <w:szCs w:val="24"/>
        </w:rPr>
        <w:t xml:space="preserve">and Sparks’s heart attack. Just as we did not disturb a jury’s finding that the patient’s “actions as an addict cannot be said to break the chain of proximate causation[,]” we do not disturb the jury’s conclusion that Sparks’s medical ailments did not sever the causal link between the fire and his death.” </w:t>
      </w:r>
      <w:hyperlink r:id="rId539" w:history="1">
        <w:r w:rsidRPr="00B47E18">
          <w:rPr>
            <w:rStyle w:val="Hyperlink"/>
            <w:rFonts w:ascii="Times New Roman" w:hAnsi="Times New Roman"/>
            <w:sz w:val="24"/>
            <w:szCs w:val="24"/>
          </w:rPr>
          <w:t>https://www.opn.ca6.uscourts.gov/opinions.pdf/20a0203p-06.pdf</w:t>
        </w:r>
      </w:hyperlink>
      <w:r w:rsidRPr="00B47E18">
        <w:rPr>
          <w:rFonts w:ascii="Times New Roman" w:hAnsi="Times New Roman"/>
          <w:sz w:val="24"/>
          <w:szCs w:val="24"/>
        </w:rPr>
        <w:t xml:space="preserve"> </w:t>
      </w:r>
    </w:p>
    <w:p w14:paraId="036ED4FC" w14:textId="4DED77E0" w:rsidR="00CB0898" w:rsidRDefault="00CB0898" w:rsidP="00A672EE">
      <w:pPr>
        <w:pStyle w:val="NoSpacing"/>
        <w:rPr>
          <w:rFonts w:ascii="Times New Roman" w:hAnsi="Times New Roman"/>
          <w:sz w:val="24"/>
          <w:szCs w:val="24"/>
        </w:rPr>
      </w:pPr>
    </w:p>
    <w:p w14:paraId="2A1CAC49" w14:textId="068BCE1D" w:rsidR="00CB0898" w:rsidRPr="00CB0898" w:rsidRDefault="00CB0898" w:rsidP="00A672EE">
      <w:pPr>
        <w:pStyle w:val="NoSpacing"/>
        <w:rPr>
          <w:rFonts w:ascii="Times New Roman" w:hAnsi="Times New Roman"/>
          <w:b/>
          <w:bCs/>
          <w:sz w:val="24"/>
          <w:szCs w:val="24"/>
        </w:rPr>
      </w:pPr>
      <w:r w:rsidRPr="00CB0898">
        <w:rPr>
          <w:rFonts w:ascii="Times New Roman" w:hAnsi="Times New Roman"/>
          <w:b/>
          <w:bCs/>
          <w:sz w:val="24"/>
          <w:szCs w:val="24"/>
        </w:rPr>
        <w:t>Legal Lesson Learned: Firefighter who is killed at scene of arson, the defendant can be convicted of violation of federal arson statute</w:t>
      </w:r>
      <w:r>
        <w:rPr>
          <w:rFonts w:ascii="Times New Roman" w:hAnsi="Times New Roman"/>
          <w:b/>
          <w:bCs/>
          <w:sz w:val="24"/>
          <w:szCs w:val="24"/>
        </w:rPr>
        <w:t xml:space="preserve"> with enhanced sentence. </w:t>
      </w:r>
    </w:p>
    <w:p w14:paraId="319BFB10" w14:textId="77777777" w:rsidR="00A672EE" w:rsidRDefault="00A672EE" w:rsidP="00EF1133">
      <w:pPr>
        <w:pStyle w:val="NoSpacing"/>
        <w:rPr>
          <w:rFonts w:ascii="Arial Black" w:hAnsi="Arial Black"/>
          <w:sz w:val="24"/>
          <w:szCs w:val="24"/>
        </w:rPr>
      </w:pPr>
    </w:p>
    <w:p w14:paraId="296F6CAF" w14:textId="77777777" w:rsidR="00A672EE" w:rsidRDefault="00A672EE" w:rsidP="00EF1133">
      <w:pPr>
        <w:pStyle w:val="NoSpacing"/>
        <w:rPr>
          <w:rFonts w:ascii="Arial Black" w:hAnsi="Arial Black"/>
          <w:sz w:val="24"/>
          <w:szCs w:val="24"/>
        </w:rPr>
      </w:pPr>
    </w:p>
    <w:p w14:paraId="21927583" w14:textId="77777777" w:rsidR="00A672EE" w:rsidRDefault="00A672EE" w:rsidP="00EF1133">
      <w:pPr>
        <w:pStyle w:val="NoSpacing"/>
        <w:rPr>
          <w:rFonts w:ascii="Arial Black" w:hAnsi="Arial Black"/>
          <w:sz w:val="24"/>
          <w:szCs w:val="24"/>
        </w:rPr>
      </w:pPr>
    </w:p>
    <w:p w14:paraId="4B0D8321" w14:textId="32A93CE9" w:rsidR="0020758F" w:rsidRDefault="0020758F" w:rsidP="00EF1133">
      <w:pPr>
        <w:pStyle w:val="NoSpacing"/>
        <w:rPr>
          <w:rFonts w:ascii="Arial Black" w:hAnsi="Arial Black"/>
          <w:sz w:val="24"/>
          <w:szCs w:val="24"/>
        </w:rPr>
      </w:pPr>
      <w:r>
        <w:rPr>
          <w:rFonts w:ascii="Arial Black" w:hAnsi="Arial Black"/>
          <w:sz w:val="24"/>
          <w:szCs w:val="24"/>
        </w:rPr>
        <w:t>2-35</w:t>
      </w:r>
    </w:p>
    <w:p w14:paraId="53FB6FE1" w14:textId="6FFFF4C2" w:rsidR="0020758F" w:rsidRDefault="0020758F" w:rsidP="00EF1133">
      <w:pPr>
        <w:pStyle w:val="NoSpacing"/>
        <w:rPr>
          <w:rFonts w:ascii="Arial Black" w:hAnsi="Arial Black"/>
          <w:sz w:val="24"/>
          <w:szCs w:val="24"/>
        </w:rPr>
      </w:pPr>
    </w:p>
    <w:p w14:paraId="2B55A19D" w14:textId="77777777" w:rsidR="0020758F" w:rsidRDefault="0020758F" w:rsidP="0020758F">
      <w:pPr>
        <w:pStyle w:val="NoSpacing"/>
        <w:rPr>
          <w:rFonts w:ascii="Arial Black" w:hAnsi="Arial Black"/>
          <w:sz w:val="28"/>
          <w:szCs w:val="28"/>
        </w:rPr>
      </w:pPr>
      <w:r w:rsidRPr="005C4230">
        <w:rPr>
          <w:rFonts w:ascii="Arial Black" w:hAnsi="Arial Black"/>
          <w:sz w:val="28"/>
          <w:szCs w:val="28"/>
        </w:rPr>
        <w:t xml:space="preserve">NY: </w:t>
      </w:r>
      <w:r>
        <w:rPr>
          <w:rFonts w:ascii="Arial Black" w:hAnsi="Arial Black"/>
          <w:sz w:val="28"/>
          <w:szCs w:val="28"/>
        </w:rPr>
        <w:t>FIREMAN’S RULE – PD INJURED, FRONT EDGE STEP BROKE – OWNER DEFAULT, CAN’T SUE MORTGAGE CO.</w:t>
      </w:r>
    </w:p>
    <w:p w14:paraId="0D1405AE" w14:textId="77777777" w:rsidR="00F00958" w:rsidRDefault="00F00958" w:rsidP="0020758F">
      <w:pPr>
        <w:pStyle w:val="NoSpacing"/>
        <w:rPr>
          <w:rFonts w:ascii="Arial Black" w:hAnsi="Arial Black"/>
          <w:sz w:val="28"/>
          <w:szCs w:val="28"/>
        </w:rPr>
      </w:pPr>
    </w:p>
    <w:p w14:paraId="06985639" w14:textId="211DBE23" w:rsidR="0020758F" w:rsidRDefault="0020758F" w:rsidP="0020758F">
      <w:pPr>
        <w:pStyle w:val="NoSpacing"/>
        <w:rPr>
          <w:rFonts w:ascii="Times New Roman" w:eastAsia="Times New Roman" w:hAnsi="Times New Roman"/>
          <w:sz w:val="24"/>
          <w:szCs w:val="24"/>
        </w:rPr>
      </w:pPr>
      <w:r w:rsidRPr="00A05E71">
        <w:rPr>
          <w:rFonts w:ascii="Times New Roman" w:hAnsi="Times New Roman"/>
          <w:sz w:val="24"/>
          <w:szCs w:val="24"/>
        </w:rPr>
        <w:t xml:space="preserve">On June 10, 2020, in </w:t>
      </w:r>
      <w:r w:rsidRPr="00A05E71">
        <w:rPr>
          <w:rFonts w:ascii="Times New Roman" w:hAnsi="Times New Roman"/>
          <w:sz w:val="24"/>
          <w:szCs w:val="24"/>
          <w:u w:val="single"/>
        </w:rPr>
        <w:t>Joseph B. Maher v. Wells Fargo Financial New York, Inc., et al</w:t>
      </w:r>
      <w:r w:rsidRPr="00A05E71">
        <w:rPr>
          <w:rFonts w:ascii="Times New Roman" w:hAnsi="Times New Roman"/>
          <w:sz w:val="24"/>
          <w:szCs w:val="24"/>
        </w:rPr>
        <w:t>., 2020 NY Slip Op 03219</w:t>
      </w:r>
      <w:r>
        <w:rPr>
          <w:rFonts w:ascii="Times New Roman" w:hAnsi="Times New Roman"/>
          <w:sz w:val="24"/>
          <w:szCs w:val="24"/>
        </w:rPr>
        <w:t xml:space="preserve">, </w:t>
      </w:r>
      <w:r w:rsidRPr="00855687">
        <w:rPr>
          <w:rFonts w:ascii="Times New Roman" w:hAnsi="Times New Roman"/>
          <w:sz w:val="24"/>
          <w:szCs w:val="24"/>
        </w:rPr>
        <w:t>the Supreme Court of New York, Appellate Division (Second Judicial Department) held (5 to 0) that the trial court had properly granted summary judgment to the defendant mortgage company and its subs that maintained the property, since they</w:t>
      </w:r>
      <w:r>
        <w:rPr>
          <w:rFonts w:ascii="Times New Roman" w:hAnsi="Times New Roman"/>
          <w:sz w:val="24"/>
          <w:szCs w:val="24"/>
        </w:rPr>
        <w:t xml:space="preserve"> owed no duty of care to the police officer</w:t>
      </w:r>
      <w:r w:rsidRPr="00855687">
        <w:rPr>
          <w:rFonts w:ascii="Times New Roman" w:hAnsi="Times New Roman"/>
          <w:sz w:val="24"/>
          <w:szCs w:val="24"/>
        </w:rPr>
        <w:t xml:space="preserve">.  The Court held: </w:t>
      </w:r>
      <w:r>
        <w:rPr>
          <w:rFonts w:ascii="Times New Roman" w:hAnsi="Times New Roman"/>
          <w:sz w:val="24"/>
          <w:szCs w:val="24"/>
        </w:rPr>
        <w:t>“</w:t>
      </w:r>
      <w:r w:rsidRPr="00855687">
        <w:rPr>
          <w:rFonts w:ascii="Times New Roman" w:hAnsi="Times New Roman"/>
          <w:sz w:val="24"/>
          <w:szCs w:val="24"/>
        </w:rPr>
        <w:t xml:space="preserve">On May 26, 2011, the plaintiff, a police officer, was in the process of executing a parole arrest warrant, which required him to enter certain property in Hempstead (hereinafter the property). The plaintiff allegedly was injured when, while walking down a flight of stairs, the front edge of one step broke and he fell down the remaining stairs. At the time of the incident, the defendant Charles White owned the </w:t>
      </w:r>
      <w:proofErr w:type="gramStart"/>
      <w:r w:rsidRPr="00855687">
        <w:rPr>
          <w:rFonts w:ascii="Times New Roman" w:hAnsi="Times New Roman"/>
          <w:sz w:val="24"/>
          <w:szCs w:val="24"/>
        </w:rPr>
        <w:t>property, but</w:t>
      </w:r>
      <w:proofErr w:type="gramEnd"/>
      <w:r w:rsidRPr="00855687">
        <w:rPr>
          <w:rFonts w:ascii="Times New Roman" w:hAnsi="Times New Roman"/>
          <w:sz w:val="24"/>
          <w:szCs w:val="24"/>
        </w:rPr>
        <w:t xml:space="preserve"> had defaulted on his mortgage loan payments in April 2011</w:t>
      </w:r>
      <w:r>
        <w:rPr>
          <w:rFonts w:ascii="Times New Roman" w:eastAsia="Times New Roman" w:hAnsi="Times New Roman"/>
          <w:b/>
          <w:bCs/>
          <w:sz w:val="24"/>
          <w:szCs w:val="24"/>
        </w:rPr>
        <w:t xml:space="preserve">. ***  </w:t>
      </w:r>
      <w:r w:rsidRPr="005C4230">
        <w:rPr>
          <w:rFonts w:ascii="Times New Roman" w:eastAsia="Times New Roman" w:hAnsi="Times New Roman"/>
          <w:sz w:val="24"/>
          <w:szCs w:val="24"/>
        </w:rPr>
        <w:t xml:space="preserve">The </w:t>
      </w:r>
      <w:r>
        <w:rPr>
          <w:rFonts w:ascii="Times New Roman" w:eastAsia="Times New Roman" w:hAnsi="Times New Roman"/>
          <w:sz w:val="24"/>
          <w:szCs w:val="24"/>
        </w:rPr>
        <w:t>‘</w:t>
      </w:r>
      <w:r w:rsidRPr="005C4230">
        <w:rPr>
          <w:rFonts w:ascii="Times New Roman" w:eastAsia="Times New Roman" w:hAnsi="Times New Roman"/>
          <w:sz w:val="24"/>
          <w:szCs w:val="24"/>
        </w:rPr>
        <w:t>firefighter's rule,</w:t>
      </w:r>
      <w:r>
        <w:rPr>
          <w:rFonts w:ascii="Times New Roman" w:eastAsia="Times New Roman" w:hAnsi="Times New Roman"/>
          <w:sz w:val="24"/>
          <w:szCs w:val="24"/>
        </w:rPr>
        <w:t>’</w:t>
      </w:r>
      <w:r w:rsidRPr="005C4230">
        <w:rPr>
          <w:rFonts w:ascii="Times New Roman" w:eastAsia="Times New Roman" w:hAnsi="Times New Roman"/>
          <w:sz w:val="24"/>
          <w:szCs w:val="24"/>
        </w:rPr>
        <w:t xml:space="preserve"> which </w:t>
      </w:r>
      <w:r>
        <w:rPr>
          <w:rFonts w:ascii="Times New Roman" w:eastAsia="Times New Roman" w:hAnsi="Times New Roman"/>
          <w:sz w:val="24"/>
          <w:szCs w:val="24"/>
        </w:rPr>
        <w:t>‘</w:t>
      </w:r>
      <w:r w:rsidRPr="005C4230">
        <w:rPr>
          <w:rFonts w:ascii="Times New Roman" w:eastAsia="Times New Roman" w:hAnsi="Times New Roman"/>
          <w:sz w:val="24"/>
          <w:szCs w:val="24"/>
        </w:rPr>
        <w:t>bars recovery in negligence for injuries sustained by a firefighter [or a police officer] in the line of duty</w:t>
      </w:r>
      <w:r>
        <w:rPr>
          <w:rFonts w:ascii="Times New Roman" w:eastAsia="Times New Roman" w:hAnsi="Times New Roman"/>
          <w:sz w:val="24"/>
          <w:szCs w:val="24"/>
        </w:rPr>
        <w:t>’</w:t>
      </w:r>
      <w:r w:rsidRPr="005C4230">
        <w:rPr>
          <w:rFonts w:ascii="Times New Roman" w:eastAsia="Times New Roman" w:hAnsi="Times New Roman"/>
          <w:sz w:val="24"/>
          <w:szCs w:val="24"/>
        </w:rPr>
        <w:t xml:space="preserve"> (Giuffrida v Citibank Corp., 100 NY2d 72, 76), was abolished by General Obligations Law § 11-106, except as to actions against municipal employers and fellow </w:t>
      </w:r>
      <w:r w:rsidRPr="005C4230">
        <w:rPr>
          <w:rFonts w:ascii="Times New Roman" w:eastAsia="Times New Roman" w:hAnsi="Times New Roman"/>
          <w:sz w:val="24"/>
          <w:szCs w:val="24"/>
        </w:rPr>
        <w:lastRenderedPageBreak/>
        <w:t>police officers</w:t>
      </w:r>
      <w:r>
        <w:rPr>
          <w:rFonts w:ascii="Times New Roman" w:eastAsia="Times New Roman" w:hAnsi="Times New Roman"/>
          <w:sz w:val="24"/>
          <w:szCs w:val="24"/>
        </w:rPr>
        <w:t>….</w:t>
      </w:r>
      <w:r w:rsidRPr="005C423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C4230">
        <w:rPr>
          <w:rFonts w:ascii="Times New Roman" w:eastAsia="Times New Roman" w:hAnsi="Times New Roman"/>
          <w:sz w:val="24"/>
          <w:szCs w:val="24"/>
        </w:rPr>
        <w:t xml:space="preserve">Here, the defendants established their prima facie entitlement to judgment as a matter of law dismissing the negligence cause of action </w:t>
      </w:r>
    </w:p>
    <w:p w14:paraId="1D306ACD" w14:textId="77777777" w:rsidR="0020758F" w:rsidRDefault="0020758F" w:rsidP="0020758F">
      <w:pPr>
        <w:pStyle w:val="NoSpacing"/>
        <w:rPr>
          <w:rFonts w:ascii="Times New Roman" w:eastAsia="Times New Roman" w:hAnsi="Times New Roman"/>
          <w:sz w:val="24"/>
          <w:szCs w:val="24"/>
        </w:rPr>
      </w:pPr>
      <w:r w:rsidRPr="005C4230">
        <w:rPr>
          <w:rFonts w:ascii="Times New Roman" w:eastAsia="Times New Roman" w:hAnsi="Times New Roman"/>
          <w:sz w:val="24"/>
          <w:szCs w:val="24"/>
        </w:rPr>
        <w:t xml:space="preserve">insofar as asserted against each of them by demonstrating that they did not own or control the subject premises, or assume any duty to the plaintiff, which might serve as a predicate for liability (see Pollard v Credit Suisse First </w:t>
      </w:r>
    </w:p>
    <w:p w14:paraId="495DB781" w14:textId="38B6CE39" w:rsidR="0020758F" w:rsidRDefault="0020758F" w:rsidP="0020758F">
      <w:pPr>
        <w:pStyle w:val="NoSpacing"/>
        <w:rPr>
          <w:rStyle w:val="Hyperlink"/>
          <w:rFonts w:ascii="Times New Roman" w:hAnsi="Times New Roman"/>
          <w:sz w:val="24"/>
          <w:szCs w:val="24"/>
        </w:rPr>
      </w:pPr>
      <w:r w:rsidRPr="005C4230">
        <w:rPr>
          <w:rFonts w:ascii="Times New Roman" w:eastAsia="Times New Roman" w:hAnsi="Times New Roman"/>
          <w:sz w:val="24"/>
          <w:szCs w:val="24"/>
        </w:rPr>
        <w:t>Boston Mtge. Capital, LLC, 66 AD3d at 863</w:t>
      </w:r>
      <w:r>
        <w:rPr>
          <w:rFonts w:ascii="Times New Roman" w:eastAsia="Times New Roman" w:hAnsi="Times New Roman"/>
          <w:sz w:val="24"/>
          <w:szCs w:val="24"/>
        </w:rPr>
        <w:t xml:space="preserve">).”  </w:t>
      </w:r>
      <w:hyperlink r:id="rId540" w:history="1">
        <w:r w:rsidRPr="008A2EB4">
          <w:rPr>
            <w:rStyle w:val="Hyperlink"/>
            <w:rFonts w:ascii="Times New Roman" w:hAnsi="Times New Roman"/>
            <w:sz w:val="24"/>
            <w:szCs w:val="24"/>
          </w:rPr>
          <w:t>https://law.justia.com/cases/new-york/appellate-division-second-department/2020/2016-13412.html</w:t>
        </w:r>
      </w:hyperlink>
    </w:p>
    <w:p w14:paraId="58123526" w14:textId="4D8DE7D8" w:rsidR="0020758F" w:rsidRDefault="0020758F" w:rsidP="0020758F">
      <w:pPr>
        <w:pStyle w:val="NoSpacing"/>
        <w:rPr>
          <w:rStyle w:val="Hyperlink"/>
          <w:rFonts w:ascii="Times New Roman" w:hAnsi="Times New Roman"/>
          <w:sz w:val="24"/>
          <w:szCs w:val="24"/>
        </w:rPr>
      </w:pPr>
    </w:p>
    <w:p w14:paraId="076E5BFD" w14:textId="77777777" w:rsidR="0020758F" w:rsidRDefault="0020758F" w:rsidP="0020758F">
      <w:pPr>
        <w:spacing w:before="100" w:beforeAutospacing="1" w:after="100" w:afterAutospacing="1" w:line="240" w:lineRule="auto"/>
        <w:rPr>
          <w:rFonts w:ascii="Times New Roman" w:hAnsi="Times New Roman"/>
          <w:b/>
          <w:bCs/>
          <w:sz w:val="24"/>
          <w:szCs w:val="24"/>
        </w:rPr>
      </w:pPr>
      <w:r w:rsidRPr="00855687">
        <w:rPr>
          <w:rFonts w:ascii="Times New Roman" w:hAnsi="Times New Roman"/>
          <w:b/>
          <w:bCs/>
          <w:sz w:val="24"/>
          <w:szCs w:val="24"/>
        </w:rPr>
        <w:t>Legal Lessons Learned:</w:t>
      </w:r>
      <w:r>
        <w:rPr>
          <w:rFonts w:ascii="Times New Roman" w:hAnsi="Times New Roman"/>
          <w:b/>
          <w:bCs/>
          <w:sz w:val="24"/>
          <w:szCs w:val="24"/>
        </w:rPr>
        <w:t xml:space="preserve"> The Fireman’s Rule has been abolished in New York; also abolished in Florida.  </w:t>
      </w:r>
    </w:p>
    <w:p w14:paraId="2FCBA738" w14:textId="77777777" w:rsidR="0020758F" w:rsidRDefault="0020758F" w:rsidP="0020758F">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Note:  New York </w:t>
      </w:r>
      <w:r w:rsidRPr="005C4230">
        <w:rPr>
          <w:rFonts w:ascii="Times New Roman" w:eastAsia="Times New Roman" w:hAnsi="Times New Roman"/>
          <w:sz w:val="24"/>
          <w:szCs w:val="24"/>
        </w:rPr>
        <w:t>General Obligations Law § 11-106</w:t>
      </w:r>
      <w:r>
        <w:rPr>
          <w:rFonts w:ascii="Times New Roman" w:eastAsia="Times New Roman" w:hAnsi="Times New Roman"/>
          <w:sz w:val="24"/>
          <w:szCs w:val="24"/>
        </w:rPr>
        <w:t xml:space="preserve"> provides in part:</w:t>
      </w:r>
    </w:p>
    <w:p w14:paraId="32DACC90" w14:textId="77777777" w:rsidR="0020758F" w:rsidRDefault="0020758F" w:rsidP="0020758F">
      <w:pPr>
        <w:pStyle w:val="NoSpacing"/>
        <w:ind w:left="720" w:hanging="720"/>
        <w:rPr>
          <w:rFonts w:ascii="Times New Roman" w:hAnsi="Times New Roman"/>
          <w:sz w:val="24"/>
          <w:szCs w:val="24"/>
        </w:rPr>
      </w:pPr>
      <w:r>
        <w:t> </w:t>
      </w:r>
      <w:r>
        <w:tab/>
        <w:t>“</w:t>
      </w:r>
      <w:r w:rsidRPr="00855687">
        <w:rPr>
          <w:rFonts w:ascii="Times New Roman" w:hAnsi="Times New Roman"/>
          <w:sz w:val="24"/>
          <w:szCs w:val="24"/>
        </w:rPr>
        <w:t>In addition to any other right of action or recovery otherwise available under law, whenever any police officer or firefighter suffers any injury, disease or death while in the lawful discharge of his official duties and that injury, disease or death is proximately caused by the neglect, willful omission, or intentional, willful or culpable conduct of any person or entity, other than that police officer's or firefighter's employer or co-employee, the police officer or firefighter suffering that injury or disease, or, in the case of death, a representative of that police officer or firefighter may seek recovery and damages from the person or entity whose neglect, willful omission, or intentional, willful or culpable conduct resulted in that injury, disease or death</w:t>
      </w:r>
      <w:r>
        <w:rPr>
          <w:rFonts w:ascii="Times New Roman" w:hAnsi="Times New Roman"/>
          <w:sz w:val="24"/>
          <w:szCs w:val="24"/>
        </w:rPr>
        <w:t xml:space="preserve">.” </w:t>
      </w:r>
      <w:hyperlink r:id="rId541" w:history="1">
        <w:r w:rsidRPr="008A2EB4">
          <w:rPr>
            <w:rStyle w:val="Hyperlink"/>
            <w:rFonts w:ascii="Times New Roman" w:hAnsi="Times New Roman"/>
            <w:sz w:val="24"/>
            <w:szCs w:val="24"/>
          </w:rPr>
          <w:t>https://codes.findlaw.com/ny/general-obligations-law/gob-sect-11-106.html</w:t>
        </w:r>
      </w:hyperlink>
      <w:r>
        <w:rPr>
          <w:rFonts w:ascii="Times New Roman" w:hAnsi="Times New Roman"/>
          <w:sz w:val="24"/>
          <w:szCs w:val="24"/>
        </w:rPr>
        <w:t xml:space="preserve">  </w:t>
      </w:r>
    </w:p>
    <w:p w14:paraId="0EE67327" w14:textId="77777777" w:rsidR="0020758F" w:rsidRDefault="0020758F" w:rsidP="0020758F">
      <w:pPr>
        <w:pStyle w:val="NoSpacing"/>
        <w:ind w:left="720" w:hanging="720"/>
        <w:rPr>
          <w:rFonts w:ascii="Times New Roman" w:hAnsi="Times New Roman"/>
          <w:sz w:val="24"/>
          <w:szCs w:val="24"/>
        </w:rPr>
      </w:pPr>
    </w:p>
    <w:p w14:paraId="39DC538B" w14:textId="77777777" w:rsidR="0020758F" w:rsidRDefault="0020758F" w:rsidP="0020758F">
      <w:pPr>
        <w:pStyle w:val="NoSpacing"/>
        <w:ind w:left="720" w:hanging="720"/>
        <w:rPr>
          <w:rFonts w:ascii="Times New Roman" w:hAnsi="Times New Roman"/>
          <w:sz w:val="24"/>
          <w:szCs w:val="24"/>
        </w:rPr>
      </w:pPr>
      <w:r>
        <w:rPr>
          <w:rFonts w:ascii="Times New Roman" w:hAnsi="Times New Roman"/>
          <w:sz w:val="24"/>
          <w:szCs w:val="24"/>
        </w:rPr>
        <w:tab/>
      </w:r>
    </w:p>
    <w:p w14:paraId="547DD40F" w14:textId="77777777" w:rsidR="0020758F" w:rsidRDefault="0020758F" w:rsidP="0020758F">
      <w:pPr>
        <w:pStyle w:val="NoSpacing"/>
        <w:ind w:left="720" w:hanging="720"/>
        <w:rPr>
          <w:rFonts w:ascii="Times New Roman" w:hAnsi="Times New Roman"/>
          <w:sz w:val="24"/>
          <w:szCs w:val="24"/>
        </w:rPr>
      </w:pPr>
      <w:r>
        <w:rPr>
          <w:rFonts w:ascii="Times New Roman" w:hAnsi="Times New Roman"/>
          <w:sz w:val="24"/>
          <w:szCs w:val="24"/>
        </w:rPr>
        <w:tab/>
        <w:t>Florida (2019)</w:t>
      </w:r>
    </w:p>
    <w:p w14:paraId="7A3D381C" w14:textId="77777777" w:rsidR="0020758F" w:rsidRPr="00A05E71" w:rsidRDefault="0020758F" w:rsidP="0020758F">
      <w:pPr>
        <w:spacing w:after="0" w:line="240" w:lineRule="auto"/>
        <w:ind w:firstLine="720"/>
        <w:rPr>
          <w:rFonts w:ascii="Verdana" w:eastAsia="Times New Roman" w:hAnsi="Verdana"/>
          <w:sz w:val="20"/>
          <w:szCs w:val="20"/>
        </w:rPr>
      </w:pPr>
      <w:r w:rsidRPr="00A05E71">
        <w:rPr>
          <w:rFonts w:ascii="Verdana" w:eastAsia="Times New Roman" w:hAnsi="Verdana"/>
          <w:sz w:val="20"/>
          <w:szCs w:val="20"/>
        </w:rPr>
        <w:t>112.182</w:t>
      </w:r>
      <w:r w:rsidRPr="00A05E71">
        <w:rPr>
          <w:rFonts w:ascii="Verdana" w:eastAsia="Times New Roman" w:hAnsi="Verdana"/>
          <w:sz w:val="20"/>
          <w:szCs w:val="20"/>
        </w:rPr>
        <w:t> </w:t>
      </w:r>
      <w:r w:rsidRPr="00A05E71">
        <w:rPr>
          <w:rFonts w:ascii="Verdana" w:eastAsia="Times New Roman" w:hAnsi="Verdana"/>
          <w:sz w:val="20"/>
          <w:szCs w:val="20"/>
        </w:rPr>
        <w:t>“Firefighter rule” abolished.—</w:t>
      </w:r>
    </w:p>
    <w:p w14:paraId="199E8342" w14:textId="77777777" w:rsidR="0020758F" w:rsidRPr="00A05E71" w:rsidRDefault="0020758F" w:rsidP="0020758F">
      <w:pPr>
        <w:spacing w:after="0" w:line="240" w:lineRule="auto"/>
        <w:ind w:left="720"/>
        <w:rPr>
          <w:rFonts w:ascii="Times New Roman" w:eastAsia="Times New Roman" w:hAnsi="Times New Roman"/>
          <w:sz w:val="24"/>
          <w:szCs w:val="24"/>
        </w:rPr>
      </w:pPr>
      <w:r w:rsidRPr="00A05E71">
        <w:rPr>
          <w:rFonts w:ascii="Verdana" w:eastAsia="Times New Roman" w:hAnsi="Verdana"/>
          <w:sz w:val="20"/>
          <w:szCs w:val="20"/>
        </w:rPr>
        <w:t>(1)</w:t>
      </w:r>
      <w:r w:rsidRPr="00A05E71">
        <w:rPr>
          <w:rFonts w:ascii="Verdana" w:eastAsia="Times New Roman" w:hAnsi="Verdana"/>
          <w:sz w:val="20"/>
          <w:szCs w:val="20"/>
        </w:rPr>
        <w:t> </w:t>
      </w:r>
      <w:r w:rsidRPr="00A05E71">
        <w:rPr>
          <w:rFonts w:ascii="Verdana" w:eastAsia="Times New Roman" w:hAnsi="Verdana"/>
          <w:sz w:val="20"/>
          <w:szCs w:val="20"/>
        </w:rPr>
        <w:t>A firefighter or properly identified law enforcement officer who lawfully enters upon the premises of another in the discharge of his or her duty occupies the status of an invitee. The common-law rule that such a firefighter or law enforcement officer occupies the status of a licensee is hereby abolished.</w:t>
      </w:r>
    </w:p>
    <w:p w14:paraId="711E42D5" w14:textId="77777777" w:rsidR="0020758F" w:rsidRPr="00A05E71" w:rsidRDefault="0020758F" w:rsidP="0020758F">
      <w:pPr>
        <w:spacing w:after="0" w:line="240" w:lineRule="auto"/>
        <w:ind w:left="720"/>
        <w:rPr>
          <w:rFonts w:ascii="Verdana" w:eastAsia="Times New Roman" w:hAnsi="Verdana"/>
          <w:sz w:val="20"/>
          <w:szCs w:val="20"/>
        </w:rPr>
      </w:pPr>
      <w:r w:rsidRPr="00A05E71">
        <w:rPr>
          <w:rFonts w:ascii="Verdana" w:eastAsia="Times New Roman" w:hAnsi="Verdana"/>
          <w:sz w:val="20"/>
          <w:szCs w:val="20"/>
        </w:rPr>
        <w:t>(2)</w:t>
      </w:r>
      <w:r w:rsidRPr="00A05E71">
        <w:rPr>
          <w:rFonts w:ascii="Verdana" w:eastAsia="Times New Roman" w:hAnsi="Verdana"/>
          <w:sz w:val="20"/>
          <w:szCs w:val="20"/>
        </w:rPr>
        <w:t> </w:t>
      </w:r>
      <w:r w:rsidRPr="00A05E71">
        <w:rPr>
          <w:rFonts w:ascii="Verdana" w:eastAsia="Times New Roman" w:hAnsi="Verdana"/>
          <w:sz w:val="20"/>
          <w:szCs w:val="20"/>
        </w:rPr>
        <w:t xml:space="preserve">It is not the intent of this section to increase or diminish the duty of care owed by property owners to </w:t>
      </w:r>
      <w:proofErr w:type="gramStart"/>
      <w:r w:rsidRPr="00A05E71">
        <w:rPr>
          <w:rFonts w:ascii="Verdana" w:eastAsia="Times New Roman" w:hAnsi="Verdana"/>
          <w:sz w:val="20"/>
          <w:szCs w:val="20"/>
        </w:rPr>
        <w:t>invitees</w:t>
      </w:r>
      <w:proofErr w:type="gramEnd"/>
      <w:r w:rsidRPr="00A05E71">
        <w:rPr>
          <w:rFonts w:ascii="Verdana" w:eastAsia="Times New Roman" w:hAnsi="Verdana"/>
          <w:sz w:val="20"/>
          <w:szCs w:val="20"/>
        </w:rPr>
        <w:t>. Property owners shall be liable to invitees pursuant to this section only when the property owner negligently fails to maintain the premises in a reasonably safe condition or negligently fails to correct a dangerous condition of which the property owner either knew or should have known by the use of reasonable care or negligently fails to warn the invitee of a dangerous condition about which the property owner had, or should have had, knowledge greater than that of the invitee.</w:t>
      </w:r>
    </w:p>
    <w:p w14:paraId="30F6C6A3" w14:textId="77777777" w:rsidR="0020758F" w:rsidRDefault="0020758F" w:rsidP="0020758F">
      <w:pPr>
        <w:spacing w:after="0" w:line="240" w:lineRule="auto"/>
        <w:ind w:firstLine="720"/>
        <w:rPr>
          <w:rFonts w:ascii="Verdana" w:eastAsia="Times New Roman" w:hAnsi="Verdana"/>
          <w:sz w:val="20"/>
          <w:szCs w:val="20"/>
        </w:rPr>
      </w:pPr>
      <w:r w:rsidRPr="00A05E71">
        <w:rPr>
          <w:rFonts w:ascii="Verdana" w:eastAsia="Times New Roman" w:hAnsi="Verdana"/>
          <w:sz w:val="20"/>
          <w:szCs w:val="20"/>
        </w:rPr>
        <w:t xml:space="preserve">History.—s. 1, </w:t>
      </w:r>
      <w:proofErr w:type="spellStart"/>
      <w:r w:rsidRPr="00A05E71">
        <w:rPr>
          <w:rFonts w:ascii="Verdana" w:eastAsia="Times New Roman" w:hAnsi="Verdana"/>
          <w:sz w:val="20"/>
          <w:szCs w:val="20"/>
        </w:rPr>
        <w:t>ch.</w:t>
      </w:r>
      <w:proofErr w:type="spellEnd"/>
      <w:r w:rsidRPr="00A05E71">
        <w:rPr>
          <w:rFonts w:ascii="Verdana" w:eastAsia="Times New Roman" w:hAnsi="Verdana"/>
          <w:sz w:val="20"/>
          <w:szCs w:val="20"/>
        </w:rPr>
        <w:t xml:space="preserve"> 90-308; s. 693, </w:t>
      </w:r>
      <w:proofErr w:type="spellStart"/>
      <w:r w:rsidRPr="00A05E71">
        <w:rPr>
          <w:rFonts w:ascii="Verdana" w:eastAsia="Times New Roman" w:hAnsi="Verdana"/>
          <w:sz w:val="20"/>
          <w:szCs w:val="20"/>
        </w:rPr>
        <w:t>ch.</w:t>
      </w:r>
      <w:proofErr w:type="spellEnd"/>
      <w:r w:rsidRPr="00A05E71">
        <w:rPr>
          <w:rFonts w:ascii="Verdana" w:eastAsia="Times New Roman" w:hAnsi="Verdana"/>
          <w:sz w:val="20"/>
          <w:szCs w:val="20"/>
        </w:rPr>
        <w:t xml:space="preserve"> 95-147.</w:t>
      </w:r>
    </w:p>
    <w:p w14:paraId="062F2C5E" w14:textId="77777777" w:rsidR="0020758F" w:rsidRPr="00A05E71" w:rsidRDefault="0020758F" w:rsidP="0020758F">
      <w:pPr>
        <w:spacing w:after="0" w:line="240" w:lineRule="auto"/>
        <w:ind w:left="720"/>
        <w:rPr>
          <w:rFonts w:ascii="Verdana" w:eastAsia="Times New Roman" w:hAnsi="Verdana"/>
          <w:sz w:val="20"/>
          <w:szCs w:val="20"/>
        </w:rPr>
      </w:pPr>
      <w:hyperlink r:id="rId542" w:history="1">
        <w:r w:rsidRPr="008A2EB4">
          <w:rPr>
            <w:rStyle w:val="Hyperlink"/>
            <w:rFonts w:ascii="Verdana" w:hAnsi="Verdana"/>
            <w:sz w:val="20"/>
            <w:szCs w:val="20"/>
          </w:rPr>
          <w:t>http://www.leg.state.fl.us/statutes/index.cfm?App_mode=Display_Statute&amp;Search_String=&amp;URL=0100-0199/0112/Sections/0112.182.html</w:t>
        </w:r>
      </w:hyperlink>
      <w:r>
        <w:rPr>
          <w:rFonts w:ascii="Verdana" w:eastAsia="Times New Roman" w:hAnsi="Verdana"/>
          <w:sz w:val="20"/>
          <w:szCs w:val="20"/>
        </w:rPr>
        <w:t xml:space="preserve"> </w:t>
      </w:r>
    </w:p>
    <w:p w14:paraId="580418AB" w14:textId="77777777" w:rsidR="0020758F" w:rsidRDefault="0020758F" w:rsidP="0020758F">
      <w:pPr>
        <w:pStyle w:val="NoSpacing"/>
        <w:rPr>
          <w:rFonts w:ascii="Arial Black" w:hAnsi="Arial Black"/>
          <w:sz w:val="24"/>
          <w:szCs w:val="24"/>
        </w:rPr>
      </w:pPr>
    </w:p>
    <w:p w14:paraId="3C260D83" w14:textId="77777777" w:rsidR="0020758F" w:rsidRDefault="0020758F" w:rsidP="00EF1133">
      <w:pPr>
        <w:pStyle w:val="NoSpacing"/>
        <w:rPr>
          <w:rFonts w:ascii="Arial Black" w:hAnsi="Arial Black"/>
          <w:sz w:val="24"/>
          <w:szCs w:val="24"/>
        </w:rPr>
      </w:pPr>
    </w:p>
    <w:p w14:paraId="39402962" w14:textId="606C7735" w:rsidR="00D94DC4" w:rsidRDefault="00D94DC4" w:rsidP="00EF1133">
      <w:pPr>
        <w:pStyle w:val="NoSpacing"/>
        <w:rPr>
          <w:rFonts w:ascii="Arial Black" w:hAnsi="Arial Black"/>
          <w:sz w:val="24"/>
          <w:szCs w:val="24"/>
        </w:rPr>
      </w:pPr>
      <w:r>
        <w:rPr>
          <w:rFonts w:ascii="Arial Black" w:hAnsi="Arial Black"/>
          <w:sz w:val="24"/>
          <w:szCs w:val="24"/>
        </w:rPr>
        <w:t>2-34</w:t>
      </w:r>
    </w:p>
    <w:p w14:paraId="0080B655" w14:textId="77777777" w:rsidR="00D94DC4" w:rsidRPr="00B205E3" w:rsidRDefault="00D94DC4" w:rsidP="00D94DC4">
      <w:pPr>
        <w:spacing w:before="100" w:beforeAutospacing="1" w:after="100" w:afterAutospacing="1" w:line="240" w:lineRule="auto"/>
        <w:jc w:val="both"/>
        <w:rPr>
          <w:rFonts w:ascii="Arial Black" w:eastAsia="Times New Roman" w:hAnsi="Arial Black"/>
          <w:b/>
          <w:bCs/>
          <w:sz w:val="28"/>
          <w:szCs w:val="28"/>
        </w:rPr>
      </w:pPr>
      <w:r w:rsidRPr="00B205E3">
        <w:rPr>
          <w:rFonts w:ascii="Arial Black" w:eastAsia="Times New Roman" w:hAnsi="Arial Black"/>
          <w:b/>
          <w:bCs/>
          <w:sz w:val="28"/>
          <w:szCs w:val="28"/>
        </w:rPr>
        <w:t>MD</w:t>
      </w:r>
      <w:r>
        <w:rPr>
          <w:rFonts w:ascii="Arial Black" w:eastAsia="Times New Roman" w:hAnsi="Arial Black"/>
          <w:b/>
          <w:bCs/>
          <w:sz w:val="28"/>
          <w:szCs w:val="28"/>
        </w:rPr>
        <w:t xml:space="preserve">:  WIFE OF DECEASED FF ENTITLED TO DEATH BENEFITS – 2-YRS PRIOR HE SETTLED WORKERS COMP FOR HEART DISEASE / HYPERTENSION – WIFE DID NOT WAIVE RIGHTS </w:t>
      </w:r>
    </w:p>
    <w:p w14:paraId="64DF9027" w14:textId="77777777" w:rsidR="00D94DC4" w:rsidRDefault="00D94DC4" w:rsidP="00D94DC4">
      <w:pPr>
        <w:spacing w:before="100" w:beforeAutospacing="1" w:after="100" w:afterAutospacing="1" w:line="240" w:lineRule="auto"/>
        <w:rPr>
          <w:rFonts w:ascii="Times New Roman" w:hAnsi="Times New Roman"/>
          <w:sz w:val="24"/>
          <w:szCs w:val="24"/>
        </w:rPr>
      </w:pPr>
      <w:r w:rsidRPr="00B205E3">
        <w:rPr>
          <w:rFonts w:ascii="Times New Roman" w:hAnsi="Times New Roman"/>
          <w:sz w:val="24"/>
          <w:szCs w:val="24"/>
        </w:rPr>
        <w:t xml:space="preserve">On </w:t>
      </w:r>
      <w:r>
        <w:rPr>
          <w:rFonts w:ascii="Times New Roman" w:hAnsi="Times New Roman"/>
          <w:sz w:val="24"/>
          <w:szCs w:val="24"/>
        </w:rPr>
        <w:t xml:space="preserve">May 26, 2020, </w:t>
      </w:r>
      <w:r w:rsidRPr="00B205E3">
        <w:rPr>
          <w:rFonts w:ascii="Times New Roman" w:hAnsi="Times New Roman"/>
          <w:sz w:val="24"/>
          <w:szCs w:val="24"/>
          <w:u w:val="single"/>
        </w:rPr>
        <w:t xml:space="preserve">In </w:t>
      </w:r>
      <w:proofErr w:type="gramStart"/>
      <w:r w:rsidRPr="00B205E3">
        <w:rPr>
          <w:rFonts w:ascii="Times New Roman" w:hAnsi="Times New Roman"/>
          <w:sz w:val="24"/>
          <w:szCs w:val="24"/>
          <w:u w:val="single"/>
        </w:rPr>
        <w:t>The</w:t>
      </w:r>
      <w:proofErr w:type="gramEnd"/>
      <w:r w:rsidRPr="00B205E3">
        <w:rPr>
          <w:rFonts w:ascii="Times New Roman" w:hAnsi="Times New Roman"/>
          <w:sz w:val="24"/>
          <w:szCs w:val="24"/>
          <w:u w:val="single"/>
        </w:rPr>
        <w:t xml:space="preserve"> Matter </w:t>
      </w:r>
      <w:proofErr w:type="gramStart"/>
      <w:r w:rsidRPr="00B205E3">
        <w:rPr>
          <w:rFonts w:ascii="Times New Roman" w:hAnsi="Times New Roman"/>
          <w:sz w:val="24"/>
          <w:szCs w:val="24"/>
          <w:u w:val="single"/>
        </w:rPr>
        <w:t>Of</w:t>
      </w:r>
      <w:proofErr w:type="gramEnd"/>
      <w:r w:rsidRPr="00B205E3">
        <w:rPr>
          <w:rFonts w:ascii="Times New Roman" w:hAnsi="Times New Roman"/>
          <w:sz w:val="24"/>
          <w:szCs w:val="24"/>
          <w:u w:val="single"/>
        </w:rPr>
        <w:t xml:space="preserve"> Bernard L. Collins</w:t>
      </w:r>
      <w:r>
        <w:rPr>
          <w:rFonts w:ascii="Times New Roman" w:hAnsi="Times New Roman"/>
          <w:sz w:val="24"/>
          <w:szCs w:val="24"/>
        </w:rPr>
        <w:t xml:space="preserve">, the Court of Appeals of Maryland held (7 to 0) that Mrs. Collins was not a party to the settlement between Mr. Collins and the workers comp insurance companies </w:t>
      </w:r>
      <w:r>
        <w:rPr>
          <w:rFonts w:ascii="Times New Roman" w:hAnsi="Times New Roman"/>
          <w:sz w:val="24"/>
          <w:szCs w:val="24"/>
        </w:rPr>
        <w:lastRenderedPageBreak/>
        <w:t xml:space="preserve">for the fire department, and the settlement did not extinguish her future claim for death benefits. </w:t>
      </w:r>
      <w:hyperlink r:id="rId543" w:history="1">
        <w:r w:rsidRPr="00082B39">
          <w:rPr>
            <w:rStyle w:val="Hyperlink"/>
            <w:sz w:val="24"/>
            <w:szCs w:val="24"/>
          </w:rPr>
          <w:t>https://mdcourts.gov/data/opinions/coa/2020/49a19.pdf</w:t>
        </w:r>
      </w:hyperlink>
      <w:r>
        <w:rPr>
          <w:rFonts w:ascii="Times New Roman" w:hAnsi="Times New Roman"/>
          <w:sz w:val="24"/>
          <w:szCs w:val="24"/>
        </w:rPr>
        <w:t xml:space="preserve"> </w:t>
      </w:r>
    </w:p>
    <w:p w14:paraId="752D5DDB" w14:textId="77777777" w:rsidR="00D94DC4" w:rsidRPr="009F4A71" w:rsidRDefault="00D94DC4" w:rsidP="00D94DC4">
      <w:pPr>
        <w:spacing w:before="100" w:beforeAutospacing="1" w:after="100" w:afterAutospacing="1" w:line="240" w:lineRule="auto"/>
        <w:jc w:val="both"/>
        <w:rPr>
          <w:rFonts w:ascii="Times New Roman" w:hAnsi="Times New Roman"/>
          <w:b/>
          <w:bCs/>
          <w:sz w:val="24"/>
          <w:szCs w:val="24"/>
        </w:rPr>
      </w:pPr>
      <w:r w:rsidRPr="009F4A71">
        <w:rPr>
          <w:rFonts w:ascii="Times New Roman" w:hAnsi="Times New Roman"/>
          <w:b/>
          <w:bCs/>
          <w:sz w:val="24"/>
          <w:szCs w:val="24"/>
        </w:rPr>
        <w:t>Legal Lessons Learned:</w:t>
      </w:r>
      <w:r>
        <w:rPr>
          <w:rFonts w:ascii="Times New Roman" w:hAnsi="Times New Roman"/>
          <w:b/>
          <w:bCs/>
          <w:sz w:val="24"/>
          <w:szCs w:val="24"/>
        </w:rPr>
        <w:t xml:space="preserve"> If the insurance companies wish to negotiate a “global settlement” with an employee, that also includes waiver of future death benefits for employee’s spouse, then invite the spouse to participate in settlement discussions and sign the settlement agreement. </w:t>
      </w:r>
    </w:p>
    <w:p w14:paraId="1D60A8AA" w14:textId="77777777" w:rsidR="00D94DC4" w:rsidRDefault="00D94DC4" w:rsidP="00EF1133">
      <w:pPr>
        <w:pStyle w:val="NoSpacing"/>
        <w:rPr>
          <w:rFonts w:ascii="Arial Black" w:hAnsi="Arial Black"/>
          <w:sz w:val="24"/>
          <w:szCs w:val="24"/>
        </w:rPr>
      </w:pPr>
    </w:p>
    <w:p w14:paraId="741F4AF3" w14:textId="77777777" w:rsidR="00D94DC4" w:rsidRDefault="00D94DC4" w:rsidP="00EF1133">
      <w:pPr>
        <w:pStyle w:val="NoSpacing"/>
        <w:rPr>
          <w:rFonts w:ascii="Arial Black" w:hAnsi="Arial Black"/>
          <w:sz w:val="24"/>
          <w:szCs w:val="24"/>
        </w:rPr>
      </w:pPr>
    </w:p>
    <w:p w14:paraId="4F3E0E34" w14:textId="77777777" w:rsidR="00D94DC4" w:rsidRDefault="00D94DC4" w:rsidP="00EF1133">
      <w:pPr>
        <w:pStyle w:val="NoSpacing"/>
        <w:rPr>
          <w:rFonts w:ascii="Arial Black" w:hAnsi="Arial Black"/>
          <w:sz w:val="24"/>
          <w:szCs w:val="24"/>
        </w:rPr>
      </w:pPr>
    </w:p>
    <w:p w14:paraId="7E1A9211" w14:textId="77777777" w:rsidR="00D94DC4" w:rsidRDefault="00D94DC4" w:rsidP="00EF1133">
      <w:pPr>
        <w:pStyle w:val="NoSpacing"/>
        <w:rPr>
          <w:rFonts w:ascii="Arial Black" w:hAnsi="Arial Black"/>
          <w:sz w:val="24"/>
          <w:szCs w:val="24"/>
        </w:rPr>
      </w:pPr>
    </w:p>
    <w:p w14:paraId="12AB5088" w14:textId="1AB3C85F" w:rsidR="00D94DC4" w:rsidRDefault="00D94DC4" w:rsidP="00EF1133">
      <w:pPr>
        <w:pStyle w:val="NoSpacing"/>
        <w:rPr>
          <w:rFonts w:ascii="Arial Black" w:hAnsi="Arial Black"/>
          <w:sz w:val="24"/>
          <w:szCs w:val="24"/>
        </w:rPr>
      </w:pPr>
      <w:r>
        <w:rPr>
          <w:rFonts w:ascii="Arial Black" w:hAnsi="Arial Black"/>
          <w:sz w:val="24"/>
          <w:szCs w:val="24"/>
        </w:rPr>
        <w:t>2-33</w:t>
      </w:r>
    </w:p>
    <w:p w14:paraId="18512926" w14:textId="7CA45332" w:rsidR="00D94DC4" w:rsidRDefault="00D94DC4" w:rsidP="00EF1133">
      <w:pPr>
        <w:pStyle w:val="NoSpacing"/>
        <w:rPr>
          <w:rFonts w:ascii="Arial Black" w:hAnsi="Arial Black"/>
          <w:sz w:val="24"/>
          <w:szCs w:val="24"/>
        </w:rPr>
      </w:pPr>
    </w:p>
    <w:p w14:paraId="2C627248" w14:textId="77777777" w:rsidR="00D94DC4" w:rsidRPr="002F309C" w:rsidRDefault="00D94DC4" w:rsidP="00D94DC4">
      <w:pPr>
        <w:spacing w:before="100" w:beforeAutospacing="1" w:after="100" w:afterAutospacing="1" w:line="240" w:lineRule="auto"/>
        <w:jc w:val="both"/>
        <w:rPr>
          <w:rFonts w:ascii="Arial Black" w:eastAsia="Times New Roman" w:hAnsi="Arial Black"/>
          <w:b/>
          <w:bCs/>
          <w:sz w:val="28"/>
          <w:szCs w:val="28"/>
        </w:rPr>
      </w:pPr>
      <w:r w:rsidRPr="002F309C">
        <w:rPr>
          <w:rFonts w:ascii="Arial Black" w:eastAsia="Times New Roman" w:hAnsi="Arial Black"/>
          <w:b/>
          <w:bCs/>
          <w:sz w:val="28"/>
          <w:szCs w:val="28"/>
        </w:rPr>
        <w:t>UT:</w:t>
      </w:r>
      <w:r>
        <w:rPr>
          <w:rFonts w:ascii="Arial Black" w:eastAsia="Times New Roman" w:hAnsi="Arial Black"/>
          <w:b/>
          <w:bCs/>
          <w:sz w:val="28"/>
          <w:szCs w:val="28"/>
        </w:rPr>
        <w:t xml:space="preserve"> STATE SUPREME COURT ALLOWS FF TO SUE TREE COMPANY FOR INJURIES – “PROFESSIONAL RESCUER RULE” MODIFIED FOR GROSS NEGLIGENCE BY BUSINESS</w:t>
      </w:r>
    </w:p>
    <w:p w14:paraId="57C703BB" w14:textId="77777777" w:rsidR="00D94DC4" w:rsidRDefault="00D94DC4" w:rsidP="00D94DC4">
      <w:pPr>
        <w:spacing w:before="100" w:beforeAutospacing="1" w:after="100" w:afterAutospacing="1" w:line="240" w:lineRule="auto"/>
        <w:rPr>
          <w:rFonts w:ascii="Times New Roman" w:eastAsia="Times New Roman" w:hAnsi="Times New Roman"/>
          <w:sz w:val="24"/>
          <w:szCs w:val="24"/>
        </w:rPr>
      </w:pPr>
      <w:r w:rsidRPr="00732CA5">
        <w:rPr>
          <w:rFonts w:ascii="Times New Roman" w:eastAsia="Times New Roman" w:hAnsi="Times New Roman"/>
          <w:sz w:val="24"/>
          <w:szCs w:val="24"/>
        </w:rPr>
        <w:t xml:space="preserve">On May 20, 2020, in </w:t>
      </w:r>
      <w:r w:rsidRPr="00732CA5">
        <w:rPr>
          <w:rFonts w:ascii="Times New Roman" w:eastAsia="Times New Roman" w:hAnsi="Times New Roman"/>
          <w:sz w:val="24"/>
          <w:szCs w:val="24"/>
          <w:u w:val="single"/>
        </w:rPr>
        <w:t>David Scott Ipsen v. Diamond Tree Experts, Inc</w:t>
      </w:r>
      <w:r>
        <w:rPr>
          <w:rFonts w:ascii="Times New Roman" w:eastAsia="Times New Roman" w:hAnsi="Times New Roman"/>
          <w:sz w:val="24"/>
          <w:szCs w:val="24"/>
        </w:rPr>
        <w:t xml:space="preserve">., the Utah Supreme Court held (3 to 2) that the injured firefighter may pursue his lawsuit for damages from injuries at a mulch fire.  </w:t>
      </w:r>
      <w:hyperlink r:id="rId544" w:history="1">
        <w:r w:rsidRPr="00E26203">
          <w:rPr>
            <w:rStyle w:val="Hyperlink"/>
            <w:sz w:val="24"/>
            <w:szCs w:val="24"/>
          </w:rPr>
          <w:t>https://www.utcourts.gov/opinions/supopin/Ipsen%20v.%20Diamond%20Tree%20Experts20200520_20181052_30.pdf</w:t>
        </w:r>
      </w:hyperlink>
      <w:r>
        <w:rPr>
          <w:rFonts w:ascii="Times New Roman" w:eastAsia="Times New Roman" w:hAnsi="Times New Roman"/>
          <w:sz w:val="24"/>
          <w:szCs w:val="24"/>
        </w:rPr>
        <w:t xml:space="preserve"> </w:t>
      </w:r>
    </w:p>
    <w:p w14:paraId="7BC51353" w14:textId="77777777" w:rsidR="00D94DC4" w:rsidRDefault="00D94DC4" w:rsidP="00D94DC4">
      <w:pPr>
        <w:spacing w:before="100" w:beforeAutospacing="1" w:after="100" w:afterAutospacing="1" w:line="240" w:lineRule="auto"/>
        <w:jc w:val="both"/>
        <w:rPr>
          <w:rFonts w:ascii="Times New Roman" w:hAnsi="Times New Roman"/>
          <w:b/>
          <w:bCs/>
          <w:sz w:val="24"/>
          <w:szCs w:val="24"/>
        </w:rPr>
      </w:pPr>
      <w:r w:rsidRPr="00732CA5">
        <w:rPr>
          <w:rFonts w:ascii="Times New Roman" w:hAnsi="Times New Roman"/>
          <w:b/>
          <w:bCs/>
          <w:sz w:val="24"/>
          <w:szCs w:val="24"/>
        </w:rPr>
        <w:t>Legal Lessons Learned:</w:t>
      </w:r>
      <w:r>
        <w:rPr>
          <w:rFonts w:ascii="Times New Roman" w:hAnsi="Times New Roman"/>
          <w:b/>
          <w:bCs/>
          <w:sz w:val="24"/>
          <w:szCs w:val="24"/>
        </w:rPr>
        <w:t xml:space="preserve"> A significant decision on behalf of all Utah emergency responders. </w:t>
      </w:r>
    </w:p>
    <w:p w14:paraId="47188E70" w14:textId="77777777" w:rsidR="00D94DC4" w:rsidRDefault="00D94DC4" w:rsidP="00EF1133">
      <w:pPr>
        <w:pStyle w:val="NoSpacing"/>
        <w:rPr>
          <w:rFonts w:ascii="Arial Black" w:hAnsi="Arial Black"/>
          <w:sz w:val="24"/>
          <w:szCs w:val="24"/>
        </w:rPr>
      </w:pPr>
    </w:p>
    <w:p w14:paraId="312A2A5F" w14:textId="77777777" w:rsidR="00D94DC4" w:rsidRDefault="00D94DC4" w:rsidP="00EF1133">
      <w:pPr>
        <w:pStyle w:val="NoSpacing"/>
        <w:rPr>
          <w:rFonts w:ascii="Arial Black" w:hAnsi="Arial Black"/>
          <w:sz w:val="24"/>
          <w:szCs w:val="24"/>
        </w:rPr>
      </w:pPr>
    </w:p>
    <w:p w14:paraId="074189AD" w14:textId="77777777" w:rsidR="00D94DC4" w:rsidRDefault="00D94DC4" w:rsidP="00EF1133">
      <w:pPr>
        <w:pStyle w:val="NoSpacing"/>
        <w:rPr>
          <w:rFonts w:ascii="Arial Black" w:hAnsi="Arial Black"/>
          <w:sz w:val="24"/>
          <w:szCs w:val="24"/>
        </w:rPr>
      </w:pPr>
    </w:p>
    <w:p w14:paraId="0A3C4C89" w14:textId="39A843E5" w:rsidR="00D94DC4" w:rsidRDefault="00D94DC4" w:rsidP="00EF1133">
      <w:pPr>
        <w:pStyle w:val="NoSpacing"/>
        <w:rPr>
          <w:rFonts w:ascii="Arial Black" w:hAnsi="Arial Black"/>
          <w:sz w:val="24"/>
          <w:szCs w:val="24"/>
        </w:rPr>
      </w:pPr>
      <w:r>
        <w:rPr>
          <w:rFonts w:ascii="Arial Black" w:hAnsi="Arial Black"/>
          <w:sz w:val="24"/>
          <w:szCs w:val="24"/>
        </w:rPr>
        <w:t>2-32</w:t>
      </w:r>
    </w:p>
    <w:p w14:paraId="47FC753C" w14:textId="77777777" w:rsidR="00D94DC4" w:rsidRPr="001C57D1" w:rsidRDefault="00D94DC4" w:rsidP="00D94DC4">
      <w:pPr>
        <w:spacing w:before="100" w:beforeAutospacing="1" w:after="100" w:afterAutospacing="1" w:line="240" w:lineRule="auto"/>
        <w:jc w:val="both"/>
        <w:rPr>
          <w:rFonts w:ascii="Arial Black" w:eastAsia="Times New Roman" w:hAnsi="Arial Black"/>
          <w:b/>
          <w:bCs/>
          <w:sz w:val="28"/>
          <w:szCs w:val="28"/>
        </w:rPr>
      </w:pPr>
      <w:r w:rsidRPr="001C57D1">
        <w:rPr>
          <w:rFonts w:ascii="Arial Black" w:eastAsia="Times New Roman" w:hAnsi="Arial Black"/>
          <w:b/>
          <w:bCs/>
          <w:sz w:val="28"/>
          <w:szCs w:val="28"/>
        </w:rPr>
        <w:t xml:space="preserve">CA: </w:t>
      </w:r>
      <w:r>
        <w:rPr>
          <w:rFonts w:ascii="Arial Black" w:eastAsia="Times New Roman" w:hAnsi="Arial Black"/>
          <w:b/>
          <w:bCs/>
          <w:sz w:val="28"/>
          <w:szCs w:val="28"/>
        </w:rPr>
        <w:t>LODD – AIR TANKER MISTAKENLY DROPPED RETARDENT 100 FEET ABOVE FF – DOUGLAS FIR TREE KILLED FF – WIFE CANNOT SUE STATE OR TANKER CO – GOV’T IMMUNITY</w:t>
      </w:r>
    </w:p>
    <w:p w14:paraId="7D2322D6" w14:textId="554B6F3A" w:rsidR="00D94DC4" w:rsidRDefault="00D94DC4" w:rsidP="00D94DC4">
      <w:pPr>
        <w:pStyle w:val="NoSpacing"/>
        <w:rPr>
          <w:rFonts w:ascii="Arial Black" w:hAnsi="Arial Black"/>
          <w:sz w:val="24"/>
          <w:szCs w:val="24"/>
        </w:rPr>
      </w:pPr>
      <w:r w:rsidRPr="002B61F4">
        <w:rPr>
          <w:rFonts w:ascii="Times New Roman" w:eastAsia="Times New Roman" w:hAnsi="Times New Roman"/>
          <w:sz w:val="24"/>
          <w:szCs w:val="24"/>
        </w:rPr>
        <w:t>On May 19, 2020, in</w:t>
      </w:r>
      <w:r>
        <w:rPr>
          <w:rFonts w:ascii="Times New Roman" w:eastAsia="Times New Roman" w:hAnsi="Times New Roman"/>
          <w:sz w:val="24"/>
          <w:szCs w:val="24"/>
        </w:rPr>
        <w:t xml:space="preserve"> </w:t>
      </w:r>
      <w:r w:rsidRPr="002B61F4">
        <w:rPr>
          <w:rFonts w:ascii="Times New Roman" w:eastAsia="Times New Roman" w:hAnsi="Times New Roman"/>
          <w:sz w:val="24"/>
          <w:szCs w:val="24"/>
          <w:u w:val="single"/>
        </w:rPr>
        <w:t xml:space="preserve">Heather Burchett v. State of California Department of Forestry </w:t>
      </w:r>
      <w:proofErr w:type="gramStart"/>
      <w:r w:rsidRPr="002B61F4">
        <w:rPr>
          <w:rFonts w:ascii="Times New Roman" w:eastAsia="Times New Roman" w:hAnsi="Times New Roman"/>
          <w:sz w:val="24"/>
          <w:szCs w:val="24"/>
          <w:u w:val="single"/>
        </w:rPr>
        <w:t>And</w:t>
      </w:r>
      <w:proofErr w:type="gramEnd"/>
      <w:r w:rsidRPr="002B61F4">
        <w:rPr>
          <w:rFonts w:ascii="Times New Roman" w:eastAsia="Times New Roman" w:hAnsi="Times New Roman"/>
          <w:sz w:val="24"/>
          <w:szCs w:val="24"/>
          <w:u w:val="single"/>
        </w:rPr>
        <w:t xml:space="preserve"> Fire Protection, et al.</w:t>
      </w:r>
      <w:r>
        <w:rPr>
          <w:rFonts w:ascii="Times New Roman" w:eastAsia="Times New Roman" w:hAnsi="Times New Roman"/>
          <w:sz w:val="24"/>
          <w:szCs w:val="24"/>
        </w:rPr>
        <w:t xml:space="preserve">, U.S. District Court Judge Morrison C. England, Jr., Eastern District of California, granted motion to dismiss by CalFire and by Global Super Tanker Service, LLC.  </w:t>
      </w:r>
      <w:hyperlink r:id="rId545" w:history="1">
        <w:r w:rsidRPr="00E74BA3">
          <w:rPr>
            <w:rStyle w:val="Hyperlink"/>
            <w:rFonts w:ascii="Times New Roman" w:eastAsia="Times New Roman" w:hAnsi="Times New Roman"/>
            <w:sz w:val="24"/>
            <w:szCs w:val="24"/>
          </w:rPr>
          <w:t>https://www.leagle.com/decision/infdco20200526m70</w:t>
        </w:r>
      </w:hyperlink>
    </w:p>
    <w:p w14:paraId="2538CC1D" w14:textId="77777777" w:rsidR="00D94DC4" w:rsidRDefault="00D94DC4" w:rsidP="00D94DC4">
      <w:pPr>
        <w:spacing w:before="100" w:beforeAutospacing="1" w:after="100" w:afterAutospacing="1" w:line="240" w:lineRule="auto"/>
        <w:jc w:val="both"/>
        <w:rPr>
          <w:rFonts w:ascii="Times New Roman" w:eastAsia="Times New Roman" w:hAnsi="Times New Roman"/>
          <w:b/>
          <w:bCs/>
          <w:sz w:val="24"/>
          <w:szCs w:val="24"/>
        </w:rPr>
      </w:pPr>
      <w:r w:rsidRPr="00424A1E">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What a tragic loss of life. </w:t>
      </w:r>
      <w:r w:rsidRPr="00424A1E">
        <w:rPr>
          <w:rFonts w:ascii="Times New Roman" w:eastAsia="Times New Roman" w:hAnsi="Times New Roman"/>
          <w:b/>
          <w:bCs/>
          <w:sz w:val="24"/>
          <w:szCs w:val="24"/>
        </w:rPr>
        <w:t xml:space="preserve">Government and qualified immunity are important legal protections for both government employees, and private companies rendering emergency services under contract with government. </w:t>
      </w:r>
    </w:p>
    <w:p w14:paraId="0EFB4BD4" w14:textId="77777777" w:rsidR="00D94DC4" w:rsidRPr="00AA6F39" w:rsidRDefault="00D94DC4" w:rsidP="00D94DC4">
      <w:pPr>
        <w:pStyle w:val="Heading1"/>
        <w:ind w:left="720"/>
        <w:jc w:val="both"/>
        <w:rPr>
          <w:b w:val="0"/>
          <w:bCs w:val="0"/>
          <w:sz w:val="24"/>
          <w:szCs w:val="24"/>
        </w:rPr>
      </w:pPr>
      <w:r w:rsidRPr="00424A1E">
        <w:rPr>
          <w:b w:val="0"/>
          <w:bCs w:val="0"/>
          <w:sz w:val="24"/>
          <w:szCs w:val="24"/>
        </w:rPr>
        <w:t xml:space="preserve">Note: See Sept. 11, </w:t>
      </w:r>
      <w:proofErr w:type="gramStart"/>
      <w:r w:rsidRPr="00424A1E">
        <w:rPr>
          <w:b w:val="0"/>
          <w:bCs w:val="0"/>
          <w:sz w:val="24"/>
          <w:szCs w:val="24"/>
        </w:rPr>
        <w:t>2019</w:t>
      </w:r>
      <w:proofErr w:type="gramEnd"/>
      <w:r w:rsidRPr="00424A1E">
        <w:rPr>
          <w:b w:val="0"/>
          <w:bCs w:val="0"/>
          <w:sz w:val="24"/>
          <w:szCs w:val="24"/>
        </w:rPr>
        <w:t xml:space="preserve"> article: “Family of fallen Draper firefighter suing California for wrongful death,”</w:t>
      </w:r>
      <w:r>
        <w:rPr>
          <w:b w:val="0"/>
          <w:bCs w:val="0"/>
          <w:sz w:val="24"/>
          <w:szCs w:val="24"/>
        </w:rPr>
        <w:t xml:space="preserve"> </w:t>
      </w:r>
      <w:hyperlink r:id="rId546" w:history="1">
        <w:r w:rsidRPr="00AA6F39">
          <w:rPr>
            <w:rStyle w:val="Hyperlink"/>
            <w:b w:val="0"/>
            <w:bCs w:val="0"/>
            <w:sz w:val="24"/>
            <w:szCs w:val="24"/>
          </w:rPr>
          <w:t>https://fox13now.com/2019/09/11/family-of-fallen-draper-firefighter-suing-state-of-california-for-wrongful-death/</w:t>
        </w:r>
      </w:hyperlink>
      <w:r w:rsidRPr="00AA6F39">
        <w:rPr>
          <w:b w:val="0"/>
          <w:bCs w:val="0"/>
          <w:sz w:val="24"/>
          <w:szCs w:val="24"/>
        </w:rPr>
        <w:t xml:space="preserve"> </w:t>
      </w:r>
    </w:p>
    <w:p w14:paraId="4C430ABF" w14:textId="77777777" w:rsidR="00D94DC4" w:rsidRDefault="00D94DC4" w:rsidP="00EF1133">
      <w:pPr>
        <w:pStyle w:val="NoSpacing"/>
        <w:rPr>
          <w:rFonts w:ascii="Arial Black" w:hAnsi="Arial Black"/>
          <w:sz w:val="24"/>
          <w:szCs w:val="24"/>
        </w:rPr>
      </w:pPr>
    </w:p>
    <w:p w14:paraId="73EDEB16" w14:textId="77777777" w:rsidR="00D94DC4" w:rsidRDefault="00D94DC4" w:rsidP="00EF1133">
      <w:pPr>
        <w:pStyle w:val="NoSpacing"/>
        <w:rPr>
          <w:rFonts w:ascii="Arial Black" w:hAnsi="Arial Black"/>
          <w:sz w:val="24"/>
          <w:szCs w:val="24"/>
        </w:rPr>
      </w:pPr>
    </w:p>
    <w:p w14:paraId="26E8575A" w14:textId="43000C8A" w:rsidR="00D94DC4" w:rsidRDefault="00D94DC4" w:rsidP="00EF1133">
      <w:pPr>
        <w:pStyle w:val="NoSpacing"/>
        <w:rPr>
          <w:rFonts w:ascii="Arial Black" w:hAnsi="Arial Black"/>
          <w:sz w:val="24"/>
          <w:szCs w:val="24"/>
        </w:rPr>
      </w:pPr>
      <w:r>
        <w:rPr>
          <w:rFonts w:ascii="Arial Black" w:hAnsi="Arial Black"/>
          <w:sz w:val="24"/>
          <w:szCs w:val="24"/>
        </w:rPr>
        <w:t>2-31</w:t>
      </w:r>
    </w:p>
    <w:p w14:paraId="4908EBC2" w14:textId="7649605E" w:rsidR="00D94DC4" w:rsidRDefault="00D94DC4" w:rsidP="00EF1133">
      <w:pPr>
        <w:pStyle w:val="NoSpacing"/>
        <w:rPr>
          <w:rFonts w:ascii="Arial Black" w:hAnsi="Arial Black"/>
          <w:sz w:val="24"/>
          <w:szCs w:val="24"/>
        </w:rPr>
      </w:pPr>
    </w:p>
    <w:p w14:paraId="23B4B7D3" w14:textId="27FD28B4" w:rsidR="00D94DC4" w:rsidRDefault="00D94DC4" w:rsidP="00D94DC4">
      <w:pPr>
        <w:spacing w:before="100" w:beforeAutospacing="1" w:after="100" w:afterAutospacing="1" w:line="240" w:lineRule="auto"/>
        <w:rPr>
          <w:rFonts w:ascii="Arial Black" w:eastAsia="Times New Roman" w:hAnsi="Arial Black"/>
          <w:b/>
          <w:bCs/>
          <w:sz w:val="28"/>
          <w:szCs w:val="28"/>
        </w:rPr>
      </w:pPr>
      <w:bookmarkStart w:id="96" w:name="_Hlk66941515"/>
      <w:r w:rsidRPr="006B1CC1">
        <w:rPr>
          <w:rFonts w:ascii="Arial Black" w:eastAsia="Times New Roman" w:hAnsi="Arial Black"/>
          <w:b/>
          <w:bCs/>
          <w:sz w:val="28"/>
          <w:szCs w:val="28"/>
        </w:rPr>
        <w:t>OK:</w:t>
      </w:r>
      <w:r>
        <w:rPr>
          <w:rFonts w:ascii="Arial Black" w:eastAsia="Times New Roman" w:hAnsi="Arial Black"/>
          <w:b/>
          <w:bCs/>
          <w:sz w:val="28"/>
          <w:szCs w:val="28"/>
        </w:rPr>
        <w:t xml:space="preserve"> FF LODD – FF SUCKED INTO </w:t>
      </w:r>
      <w:proofErr w:type="gramStart"/>
      <w:r>
        <w:rPr>
          <w:rFonts w:ascii="Arial Black" w:eastAsia="Times New Roman" w:hAnsi="Arial Black"/>
          <w:b/>
          <w:bCs/>
          <w:sz w:val="28"/>
          <w:szCs w:val="28"/>
        </w:rPr>
        <w:t>DRAIN PIPE</w:t>
      </w:r>
      <w:proofErr w:type="gramEnd"/>
      <w:r>
        <w:rPr>
          <w:rFonts w:ascii="Arial Black" w:eastAsia="Times New Roman" w:hAnsi="Arial Black"/>
          <w:b/>
          <w:bCs/>
          <w:sz w:val="28"/>
          <w:szCs w:val="28"/>
        </w:rPr>
        <w:t xml:space="preserve"> / NO SAFETY GATE – WORKERS COMP IS WIDOW’S SOLE REMEDY – AMAZING THAT SECOND FF ALSO SUCKED INO PIPE BUT SURVIVED</w:t>
      </w:r>
    </w:p>
    <w:p w14:paraId="16F64622" w14:textId="456D1998" w:rsidR="00D94DC4" w:rsidRPr="006B1CC1" w:rsidRDefault="00D94DC4" w:rsidP="00D94DC4">
      <w:pPr>
        <w:spacing w:before="100" w:beforeAutospacing="1" w:after="100" w:afterAutospacing="1" w:line="240" w:lineRule="auto"/>
        <w:rPr>
          <w:rFonts w:ascii="Times New Roman" w:eastAsia="Times New Roman" w:hAnsi="Times New Roman"/>
          <w:sz w:val="24"/>
          <w:szCs w:val="24"/>
        </w:rPr>
      </w:pPr>
      <w:r w:rsidRPr="006B1CC1">
        <w:rPr>
          <w:rFonts w:ascii="Times New Roman" w:eastAsia="Times New Roman" w:hAnsi="Times New Roman"/>
          <w:sz w:val="24"/>
          <w:szCs w:val="24"/>
        </w:rPr>
        <w:t xml:space="preserve">On May 5, 2020, in </w:t>
      </w:r>
      <w:r w:rsidRPr="006B1CC1">
        <w:rPr>
          <w:rFonts w:ascii="Times New Roman" w:eastAsia="Times New Roman" w:hAnsi="Times New Roman"/>
          <w:sz w:val="24"/>
          <w:szCs w:val="24"/>
          <w:u w:val="single"/>
        </w:rPr>
        <w:t>Shelli Farley v. City of Claremore</w:t>
      </w:r>
      <w:r>
        <w:rPr>
          <w:rFonts w:ascii="Times New Roman" w:eastAsia="Times New Roman" w:hAnsi="Times New Roman"/>
          <w:sz w:val="24"/>
          <w:szCs w:val="24"/>
        </w:rPr>
        <w:t xml:space="preserve">, </w:t>
      </w:r>
      <w:r w:rsidRPr="006C380A">
        <w:rPr>
          <w:rFonts w:ascii="Times New Roman" w:eastAsia="Times New Roman" w:hAnsi="Times New Roman"/>
          <w:sz w:val="24"/>
          <w:szCs w:val="24"/>
        </w:rPr>
        <w:t>2020 OK 30</w:t>
      </w:r>
      <w:r>
        <w:rPr>
          <w:rFonts w:ascii="Times New Roman" w:eastAsia="Times New Roman" w:hAnsi="Times New Roman"/>
          <w:sz w:val="24"/>
          <w:szCs w:val="24"/>
        </w:rPr>
        <w:t xml:space="preserve">, the Oklahoma Supreme Court held (8 to 1) that the surviving spouse’s lawsuit for negligence and intentional tort was properly dismissed by the trial court.  </w:t>
      </w:r>
      <w:r w:rsidRPr="00350EDC">
        <w:rPr>
          <w:rFonts w:ascii="Times New Roman" w:eastAsia="Times New Roman" w:hAnsi="Times New Roman"/>
          <w:sz w:val="24"/>
          <w:szCs w:val="24"/>
        </w:rPr>
        <w:t>“T</w:t>
      </w:r>
      <w:r w:rsidRPr="00350EDC">
        <w:rPr>
          <w:rFonts w:ascii="Times New Roman" w:hAnsi="Times New Roman"/>
          <w:sz w:val="24"/>
          <w:szCs w:val="24"/>
        </w:rPr>
        <w:t>he wrongful death injury was adjudicated and compensated by a successful workers' compensation claim after the death of the decedent. This successful adjudication demonstrates the decedent's injury was exclusively before the Commission and not cognizable as a District Court claim at the time of dec</w:t>
      </w:r>
      <w:r>
        <w:rPr>
          <w:rFonts w:ascii="Times New Roman" w:hAnsi="Times New Roman"/>
          <w:sz w:val="24"/>
          <w:szCs w:val="24"/>
        </w:rPr>
        <w:t>e</w:t>
      </w:r>
      <w:r w:rsidRPr="00350EDC">
        <w:rPr>
          <w:rFonts w:ascii="Times New Roman" w:hAnsi="Times New Roman"/>
          <w:sz w:val="24"/>
          <w:szCs w:val="24"/>
        </w:rPr>
        <w:t>dent's death.”</w:t>
      </w:r>
      <w:r>
        <w:rPr>
          <w:rFonts w:ascii="Times New Roman" w:hAnsi="Times New Roman"/>
          <w:sz w:val="24"/>
          <w:szCs w:val="24"/>
        </w:rPr>
        <w:t xml:space="preserve"> </w:t>
      </w:r>
      <w:hyperlink r:id="rId547" w:history="1">
        <w:r w:rsidRPr="008C168C">
          <w:rPr>
            <w:rStyle w:val="Hyperlink"/>
            <w:sz w:val="24"/>
            <w:szCs w:val="24"/>
          </w:rPr>
          <w:t>https://www.oscn.net/applications/oscn/deliverdocument.asp?citeid=486529</w:t>
        </w:r>
      </w:hyperlink>
      <w:r>
        <w:rPr>
          <w:rFonts w:ascii="Times New Roman" w:eastAsia="Times New Roman" w:hAnsi="Times New Roman"/>
          <w:sz w:val="24"/>
          <w:szCs w:val="24"/>
        </w:rPr>
        <w:t xml:space="preserve"> </w:t>
      </w:r>
    </w:p>
    <w:p w14:paraId="28BA5CE4" w14:textId="77777777" w:rsidR="00D94DC4" w:rsidRPr="006C380A" w:rsidRDefault="00D94DC4" w:rsidP="00D94DC4">
      <w:pPr>
        <w:spacing w:before="100" w:beforeAutospacing="1" w:after="100" w:afterAutospacing="1" w:line="240" w:lineRule="auto"/>
        <w:jc w:val="both"/>
        <w:rPr>
          <w:rFonts w:ascii="Times New Roman" w:hAnsi="Times New Roman"/>
          <w:b/>
          <w:bCs/>
          <w:sz w:val="24"/>
          <w:szCs w:val="24"/>
        </w:rPr>
      </w:pPr>
      <w:r w:rsidRPr="006C380A">
        <w:rPr>
          <w:rFonts w:ascii="Times New Roman" w:hAnsi="Times New Roman"/>
          <w:b/>
          <w:bCs/>
          <w:sz w:val="24"/>
          <w:szCs w:val="24"/>
        </w:rPr>
        <w:t>Legal Lessons Learned:</w:t>
      </w:r>
      <w:r>
        <w:rPr>
          <w:rFonts w:ascii="Times New Roman" w:hAnsi="Times New Roman"/>
          <w:b/>
          <w:bCs/>
          <w:sz w:val="24"/>
          <w:szCs w:val="24"/>
        </w:rPr>
        <w:t xml:space="preserve"> Tragic loss of life, but workers comp is sole remedy. </w:t>
      </w:r>
    </w:p>
    <w:p w14:paraId="7802EFC1" w14:textId="108A528D" w:rsidR="00D94DC4" w:rsidRPr="00D94DC4" w:rsidRDefault="00D94DC4" w:rsidP="00D94DC4">
      <w:pPr>
        <w:pStyle w:val="NoSpacing"/>
        <w:ind w:left="720"/>
        <w:rPr>
          <w:rFonts w:ascii="Times New Roman" w:hAnsi="Times New Roman"/>
          <w:sz w:val="24"/>
          <w:szCs w:val="24"/>
        </w:rPr>
      </w:pPr>
      <w:r w:rsidRPr="00D94DC4">
        <w:rPr>
          <w:rFonts w:ascii="Times New Roman" w:hAnsi="Times New Roman"/>
          <w:sz w:val="24"/>
          <w:szCs w:val="24"/>
        </w:rPr>
        <w:t xml:space="preserve">Note: See this May 28, </w:t>
      </w:r>
      <w:proofErr w:type="gramStart"/>
      <w:r w:rsidRPr="00D94DC4">
        <w:rPr>
          <w:rFonts w:ascii="Times New Roman" w:hAnsi="Times New Roman"/>
          <w:sz w:val="24"/>
          <w:szCs w:val="24"/>
        </w:rPr>
        <w:t>2015</w:t>
      </w:r>
      <w:proofErr w:type="gramEnd"/>
      <w:r w:rsidRPr="00D94DC4">
        <w:rPr>
          <w:rFonts w:ascii="Times New Roman" w:hAnsi="Times New Roman"/>
          <w:sz w:val="24"/>
          <w:szCs w:val="24"/>
        </w:rPr>
        <w:t xml:space="preserve"> article, “Firefighter's death highlights municipal storm </w:t>
      </w:r>
      <w:proofErr w:type="gramStart"/>
      <w:r w:rsidRPr="00D94DC4">
        <w:rPr>
          <w:rFonts w:ascii="Times New Roman" w:hAnsi="Times New Roman"/>
          <w:sz w:val="24"/>
          <w:szCs w:val="24"/>
        </w:rPr>
        <w:t>drain</w:t>
      </w:r>
      <w:proofErr w:type="gramEnd"/>
      <w:r w:rsidRPr="00D94DC4">
        <w:rPr>
          <w:rFonts w:ascii="Times New Roman" w:hAnsi="Times New Roman"/>
          <w:sz w:val="24"/>
          <w:szCs w:val="24"/>
        </w:rPr>
        <w:t xml:space="preserve"> dangers.” CLAREMORE, Okla. — “The drowning of an Oklahoma firefighter and a Texas teenager in storms that swept through those states highlight the persistent dangers posed by storm drains that help protect neighborhoods during flash flooding but can suck in unsuspecting residents and rescue workers.” </w:t>
      </w:r>
      <w:hyperlink r:id="rId548" w:history="1">
        <w:r w:rsidRPr="00D94DC4">
          <w:rPr>
            <w:rStyle w:val="Hyperlink"/>
            <w:rFonts w:ascii="Times New Roman" w:hAnsi="Times New Roman"/>
            <w:sz w:val="24"/>
            <w:szCs w:val="24"/>
          </w:rPr>
          <w:t>https://www.firerescue1.com/firefighter-training/articles/firefighters-death-highlights-municipal-storm-drain-dangers-VaH0e7nB3CMWpKRS/</w:t>
        </w:r>
      </w:hyperlink>
    </w:p>
    <w:p w14:paraId="5926B190" w14:textId="77777777" w:rsidR="00D94DC4" w:rsidRPr="00D94DC4" w:rsidRDefault="00D94DC4" w:rsidP="00EF1133">
      <w:pPr>
        <w:pStyle w:val="NoSpacing"/>
        <w:rPr>
          <w:rFonts w:ascii="Times New Roman" w:hAnsi="Times New Roman"/>
          <w:sz w:val="24"/>
          <w:szCs w:val="24"/>
        </w:rPr>
      </w:pPr>
    </w:p>
    <w:p w14:paraId="334409D7" w14:textId="77777777" w:rsidR="00D94DC4" w:rsidRDefault="00D94DC4" w:rsidP="00EF1133">
      <w:pPr>
        <w:pStyle w:val="NoSpacing"/>
        <w:rPr>
          <w:rFonts w:ascii="Arial Black" w:hAnsi="Arial Black"/>
          <w:sz w:val="24"/>
          <w:szCs w:val="24"/>
        </w:rPr>
      </w:pPr>
    </w:p>
    <w:bookmarkEnd w:id="96"/>
    <w:p w14:paraId="5629E78A" w14:textId="3C76C3D8" w:rsidR="005F0E6D" w:rsidRDefault="005F0E6D" w:rsidP="00EF1133">
      <w:pPr>
        <w:pStyle w:val="NoSpacing"/>
        <w:rPr>
          <w:rFonts w:ascii="Arial Black" w:hAnsi="Arial Black"/>
          <w:sz w:val="24"/>
          <w:szCs w:val="24"/>
        </w:rPr>
      </w:pPr>
      <w:r>
        <w:rPr>
          <w:rFonts w:ascii="Arial Black" w:hAnsi="Arial Black"/>
          <w:sz w:val="24"/>
          <w:szCs w:val="24"/>
        </w:rPr>
        <w:t>2-30</w:t>
      </w:r>
    </w:p>
    <w:p w14:paraId="0EEB77F1" w14:textId="7A652234" w:rsidR="005F0E6D" w:rsidRDefault="005F0E6D" w:rsidP="00EF1133">
      <w:pPr>
        <w:pStyle w:val="NoSpacing"/>
        <w:rPr>
          <w:rFonts w:ascii="Arial Black" w:hAnsi="Arial Black"/>
          <w:sz w:val="24"/>
          <w:szCs w:val="24"/>
        </w:rPr>
      </w:pPr>
    </w:p>
    <w:p w14:paraId="26AF9928" w14:textId="77777777" w:rsidR="005F0E6D" w:rsidRDefault="005F0E6D" w:rsidP="005F0E6D">
      <w:pPr>
        <w:pStyle w:val="NoSpacing"/>
        <w:rPr>
          <w:rFonts w:ascii="Arial Black" w:hAnsi="Arial Black"/>
          <w:b/>
          <w:bCs/>
          <w:sz w:val="28"/>
          <w:szCs w:val="28"/>
        </w:rPr>
      </w:pPr>
      <w:r w:rsidRPr="00017D6B">
        <w:rPr>
          <w:rFonts w:ascii="Arial Black" w:hAnsi="Arial Black"/>
          <w:bCs/>
          <w:sz w:val="28"/>
          <w:szCs w:val="28"/>
        </w:rPr>
        <w:t xml:space="preserve">MI: </w:t>
      </w:r>
      <w:r>
        <w:rPr>
          <w:rFonts w:ascii="Arial Black" w:hAnsi="Arial Black"/>
          <w:bCs/>
          <w:sz w:val="28"/>
          <w:szCs w:val="28"/>
        </w:rPr>
        <w:t xml:space="preserve"> FF LODD – VACANT HOUSE FILE – MURDER CONV UPHELD - DEF. PAID EMPLOYEE BURN HOUSE, INSURANCE</w:t>
      </w:r>
    </w:p>
    <w:p w14:paraId="39936B7F" w14:textId="77777777" w:rsidR="005F0E6D" w:rsidRDefault="005F0E6D" w:rsidP="005F0E6D">
      <w:pPr>
        <w:pStyle w:val="NoSpacing"/>
        <w:rPr>
          <w:b/>
          <w:bCs/>
          <w:sz w:val="24"/>
          <w:szCs w:val="24"/>
        </w:rPr>
      </w:pPr>
    </w:p>
    <w:p w14:paraId="678FCA6A" w14:textId="77777777" w:rsidR="005F0E6D" w:rsidRPr="00976742" w:rsidRDefault="005F0E6D" w:rsidP="005F0E6D">
      <w:pPr>
        <w:pStyle w:val="NoSpacing"/>
        <w:rPr>
          <w:rFonts w:ascii="Times New Roman" w:hAnsi="Times New Roman"/>
          <w:b/>
          <w:bCs/>
          <w:sz w:val="24"/>
          <w:szCs w:val="24"/>
        </w:rPr>
      </w:pPr>
      <w:r w:rsidRPr="00976742">
        <w:rPr>
          <w:rFonts w:ascii="Times New Roman" w:hAnsi="Times New Roman"/>
          <w:bCs/>
          <w:sz w:val="24"/>
          <w:szCs w:val="24"/>
        </w:rPr>
        <w:t xml:space="preserve">On April 16, 2020, in </w:t>
      </w:r>
      <w:r w:rsidRPr="00976742">
        <w:rPr>
          <w:rFonts w:ascii="Times New Roman" w:hAnsi="Times New Roman"/>
          <w:bCs/>
          <w:sz w:val="24"/>
          <w:szCs w:val="24"/>
          <w:u w:val="single"/>
        </w:rPr>
        <w:t>People of State of Michigan v. Mario Willis</w:t>
      </w:r>
      <w:r w:rsidRPr="00976742">
        <w:rPr>
          <w:rFonts w:ascii="Times New Roman" w:hAnsi="Times New Roman"/>
          <w:bCs/>
          <w:sz w:val="24"/>
          <w:szCs w:val="24"/>
        </w:rPr>
        <w:t xml:space="preserve">, the State of Michigan Court of Appeals, in an unpublished opinion, held (3 to 0) that after jury convicted defendant of second-degree murder in death of Detroit Firefighter Walter Harris and arson. The defendant paid an employee to set fire to a home owned by defendant’s girlfriend. The house had been damaged in a previous fire, and defendant’s girlfriend had received insurance proceeds to repair the damage.  Court of Appeals </w:t>
      </w:r>
      <w:proofErr w:type="gramStart"/>
      <w:r w:rsidRPr="00976742">
        <w:rPr>
          <w:rFonts w:ascii="Times New Roman" w:hAnsi="Times New Roman"/>
          <w:bCs/>
          <w:sz w:val="24"/>
          <w:szCs w:val="24"/>
        </w:rPr>
        <w:t>remanded case for</w:t>
      </w:r>
      <w:proofErr w:type="gramEnd"/>
      <w:r w:rsidRPr="00976742">
        <w:rPr>
          <w:rFonts w:ascii="Times New Roman" w:hAnsi="Times New Roman"/>
          <w:bCs/>
          <w:sz w:val="24"/>
          <w:szCs w:val="24"/>
        </w:rPr>
        <w:t xml:space="preserve"> </w:t>
      </w:r>
      <w:proofErr w:type="gramStart"/>
      <w:r w:rsidRPr="00976742">
        <w:rPr>
          <w:rFonts w:ascii="Times New Roman" w:hAnsi="Times New Roman"/>
          <w:bCs/>
          <w:sz w:val="24"/>
          <w:szCs w:val="24"/>
        </w:rPr>
        <w:t>resentencing</w:t>
      </w:r>
      <w:proofErr w:type="gramEnd"/>
      <w:r w:rsidRPr="00976742">
        <w:rPr>
          <w:rFonts w:ascii="Times New Roman" w:hAnsi="Times New Roman"/>
          <w:bCs/>
          <w:sz w:val="24"/>
          <w:szCs w:val="24"/>
        </w:rPr>
        <w:t xml:space="preserve">, so trial judge can explain why he imposed an enhanced minimum sentence. The original sentence was “500 to 750 months for the second-degree murder conviction and 10 to 20 years for the arson of a dwelling-house conviction.”   </w:t>
      </w:r>
    </w:p>
    <w:p w14:paraId="12553833" w14:textId="77777777" w:rsidR="005F0E6D" w:rsidRPr="00976742" w:rsidRDefault="005F0E6D" w:rsidP="005F0E6D">
      <w:pPr>
        <w:pStyle w:val="NoSpacing"/>
        <w:rPr>
          <w:rFonts w:ascii="Times New Roman" w:hAnsi="Times New Roman"/>
          <w:b/>
          <w:bCs/>
          <w:sz w:val="24"/>
          <w:szCs w:val="24"/>
        </w:rPr>
      </w:pPr>
    </w:p>
    <w:p w14:paraId="6A59C162" w14:textId="77777777" w:rsidR="005F0E6D" w:rsidRPr="00976742" w:rsidRDefault="005F0E6D" w:rsidP="005F0E6D">
      <w:pPr>
        <w:pStyle w:val="NoSpacing"/>
        <w:ind w:left="720"/>
        <w:rPr>
          <w:rFonts w:ascii="Times New Roman" w:hAnsi="Times New Roman"/>
          <w:b/>
          <w:bCs/>
          <w:sz w:val="24"/>
          <w:szCs w:val="24"/>
        </w:rPr>
      </w:pPr>
      <w:bookmarkStart w:id="97" w:name="_Hlk39765464"/>
      <w:r w:rsidRPr="00976742">
        <w:rPr>
          <w:rFonts w:ascii="Times New Roman" w:hAnsi="Times New Roman"/>
          <w:bCs/>
          <w:sz w:val="24"/>
          <w:szCs w:val="24"/>
        </w:rPr>
        <w:t>“[J]</w:t>
      </w:r>
      <w:proofErr w:type="spellStart"/>
      <w:r w:rsidRPr="00976742">
        <w:rPr>
          <w:rFonts w:ascii="Times New Roman" w:hAnsi="Times New Roman"/>
          <w:bCs/>
          <w:sz w:val="24"/>
          <w:szCs w:val="24"/>
        </w:rPr>
        <w:t>ust</w:t>
      </w:r>
      <w:proofErr w:type="spellEnd"/>
      <w:r w:rsidRPr="00976742">
        <w:rPr>
          <w:rFonts w:ascii="Times New Roman" w:hAnsi="Times New Roman"/>
          <w:bCs/>
          <w:sz w:val="24"/>
          <w:szCs w:val="24"/>
        </w:rPr>
        <w:t xml:space="preserve"> as we are not persuaded that defendant must have wielded an instrumentality personally, we are also not persuaded that its intentionally harmful use must only be directly and immediately against a person. The jury convicted defendant of second-degree murder based on his involvement in burning the house. The jury therefore implicitly found that </w:t>
      </w:r>
      <w:proofErr w:type="gramStart"/>
      <w:r w:rsidRPr="00976742">
        <w:rPr>
          <w:rFonts w:ascii="Times New Roman" w:hAnsi="Times New Roman"/>
          <w:bCs/>
          <w:sz w:val="24"/>
          <w:szCs w:val="24"/>
        </w:rPr>
        <w:t>defendant</w:t>
      </w:r>
      <w:proofErr w:type="gramEnd"/>
      <w:r w:rsidRPr="00976742">
        <w:rPr>
          <w:rFonts w:ascii="Times New Roman" w:hAnsi="Times New Roman"/>
          <w:bCs/>
          <w:sz w:val="24"/>
          <w:szCs w:val="24"/>
        </w:rPr>
        <w:t xml:space="preserve"> did use the gasoline as an offensive instrumentality against a person, even if that use against a person was indirect and achieved by way of destroying property. Furthermore, as noted, the victim, a firefighter, was not an unforeseeable hapless bystander and did not choose to encounter the danger; rather, the victim entered the burning structure specifically because his duties required him to do so. Thus, under the circumstances, we find harmless </w:t>
      </w:r>
      <w:r w:rsidRPr="00976742">
        <w:rPr>
          <w:rFonts w:ascii="Times New Roman" w:hAnsi="Times New Roman"/>
          <w:bCs/>
          <w:sz w:val="24"/>
          <w:szCs w:val="24"/>
        </w:rPr>
        <w:lastRenderedPageBreak/>
        <w:t xml:space="preserve">the trial court’s failure to make an express factual finding as to defendant’s intent in using the gasoline. We therefore reject </w:t>
      </w:r>
      <w:proofErr w:type="gramStart"/>
      <w:r w:rsidRPr="00976742">
        <w:rPr>
          <w:rFonts w:ascii="Times New Roman" w:hAnsi="Times New Roman"/>
          <w:bCs/>
          <w:sz w:val="24"/>
          <w:szCs w:val="24"/>
        </w:rPr>
        <w:t>defendant’s</w:t>
      </w:r>
      <w:proofErr w:type="gramEnd"/>
      <w:r w:rsidRPr="00976742">
        <w:rPr>
          <w:rFonts w:ascii="Times New Roman" w:hAnsi="Times New Roman"/>
          <w:bCs/>
          <w:sz w:val="24"/>
          <w:szCs w:val="24"/>
        </w:rPr>
        <w:t xml:space="preserve"> argument that </w:t>
      </w:r>
      <w:proofErr w:type="gramStart"/>
      <w:r w:rsidRPr="00976742">
        <w:rPr>
          <w:rFonts w:ascii="Times New Roman" w:hAnsi="Times New Roman"/>
          <w:bCs/>
          <w:sz w:val="24"/>
          <w:szCs w:val="24"/>
        </w:rPr>
        <w:t>the gasoline</w:t>
      </w:r>
      <w:proofErr w:type="gramEnd"/>
      <w:r w:rsidRPr="00976742">
        <w:rPr>
          <w:rFonts w:ascii="Times New Roman" w:hAnsi="Times New Roman"/>
          <w:bCs/>
          <w:sz w:val="24"/>
          <w:szCs w:val="24"/>
        </w:rPr>
        <w:t xml:space="preserve"> was not a ‘weapon’ for purposes of OV 1.</w:t>
      </w:r>
    </w:p>
    <w:p w14:paraId="105CCA09" w14:textId="77777777" w:rsidR="005F0E6D" w:rsidRPr="00976742" w:rsidRDefault="005F0E6D" w:rsidP="005F0E6D">
      <w:pPr>
        <w:pStyle w:val="NoSpacing"/>
        <w:ind w:left="720"/>
        <w:rPr>
          <w:rFonts w:ascii="Times New Roman" w:hAnsi="Times New Roman"/>
          <w:b/>
          <w:bCs/>
          <w:sz w:val="24"/>
          <w:szCs w:val="24"/>
        </w:rPr>
      </w:pPr>
      <w:hyperlink r:id="rId549" w:history="1">
        <w:r w:rsidRPr="00976742">
          <w:rPr>
            <w:rStyle w:val="Hyperlink"/>
            <w:rFonts w:ascii="Times New Roman" w:hAnsi="Times New Roman"/>
            <w:b/>
            <w:sz w:val="24"/>
            <w:szCs w:val="24"/>
          </w:rPr>
          <w:t>http://publicdocs.courts.mi.gov/OPINIONS/FINAL/COA/20200416_C346057_26_346057OPNORDER.PDF</w:t>
        </w:r>
      </w:hyperlink>
      <w:bookmarkEnd w:id="97"/>
      <w:r w:rsidRPr="00976742">
        <w:rPr>
          <w:rFonts w:ascii="Times New Roman" w:hAnsi="Times New Roman"/>
          <w:bCs/>
          <w:sz w:val="24"/>
          <w:szCs w:val="24"/>
        </w:rPr>
        <w:t xml:space="preserve"> </w:t>
      </w:r>
    </w:p>
    <w:p w14:paraId="14DE13F0" w14:textId="2DFF443A" w:rsidR="005F0E6D" w:rsidRDefault="005F0E6D" w:rsidP="00EF1133">
      <w:pPr>
        <w:pStyle w:val="NoSpacing"/>
        <w:rPr>
          <w:rFonts w:ascii="Arial Black" w:hAnsi="Arial Black"/>
          <w:sz w:val="24"/>
          <w:szCs w:val="24"/>
        </w:rPr>
      </w:pPr>
    </w:p>
    <w:p w14:paraId="7050A2A5" w14:textId="77777777" w:rsidR="005F0E6D" w:rsidRPr="00976742" w:rsidRDefault="005F0E6D" w:rsidP="005F0E6D">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When the defendant hired his employee to </w:t>
      </w:r>
      <w:proofErr w:type="gramStart"/>
      <w:r w:rsidRPr="00976742">
        <w:rPr>
          <w:rFonts w:ascii="Times New Roman" w:hAnsi="Times New Roman"/>
          <w:b/>
          <w:bCs/>
          <w:sz w:val="24"/>
          <w:szCs w:val="24"/>
        </w:rPr>
        <w:t>burn of</w:t>
      </w:r>
      <w:proofErr w:type="gramEnd"/>
      <w:r w:rsidRPr="00976742">
        <w:rPr>
          <w:rFonts w:ascii="Times New Roman" w:hAnsi="Times New Roman"/>
          <w:b/>
          <w:bCs/>
          <w:sz w:val="24"/>
          <w:szCs w:val="24"/>
        </w:rPr>
        <w:t xml:space="preserve"> structure, both the employer and the employee can be convicted of murder and arson.   </w:t>
      </w:r>
    </w:p>
    <w:p w14:paraId="607C8E26" w14:textId="77777777" w:rsidR="005F0E6D" w:rsidRPr="00976742" w:rsidRDefault="005F0E6D" w:rsidP="005F0E6D">
      <w:pPr>
        <w:pStyle w:val="NoSpacing"/>
        <w:ind w:firstLine="720"/>
        <w:rPr>
          <w:rFonts w:ascii="Times New Roman" w:hAnsi="Times New Roman"/>
          <w:b/>
          <w:bCs/>
          <w:sz w:val="24"/>
          <w:szCs w:val="24"/>
        </w:rPr>
      </w:pPr>
    </w:p>
    <w:p w14:paraId="25662B89" w14:textId="77777777" w:rsidR="005F0E6D" w:rsidRPr="00976742" w:rsidRDefault="005F0E6D" w:rsidP="005F0E6D">
      <w:pPr>
        <w:pStyle w:val="NoSpacing"/>
        <w:ind w:left="720"/>
        <w:rPr>
          <w:rFonts w:ascii="Times New Roman" w:hAnsi="Times New Roman"/>
          <w:b/>
          <w:bCs/>
          <w:sz w:val="24"/>
          <w:szCs w:val="24"/>
        </w:rPr>
      </w:pPr>
      <w:bookmarkStart w:id="98" w:name="_Hlk39821671"/>
      <w:r w:rsidRPr="00976742">
        <w:rPr>
          <w:rFonts w:ascii="Times New Roman" w:hAnsi="Times New Roman"/>
          <w:bCs/>
          <w:sz w:val="24"/>
          <w:szCs w:val="24"/>
        </w:rPr>
        <w:t xml:space="preserve">Note: Read NIOSH Fire Fighter Fatality Investigation Report, F2008-37 Date Released: January 31, 2010: </w:t>
      </w:r>
      <w:r>
        <w:rPr>
          <w:rFonts w:ascii="Times New Roman" w:hAnsi="Times New Roman"/>
          <w:bCs/>
          <w:sz w:val="24"/>
          <w:szCs w:val="24"/>
        </w:rPr>
        <w:t>“</w:t>
      </w:r>
      <w:r w:rsidRPr="00976742">
        <w:rPr>
          <w:rFonts w:ascii="Times New Roman" w:hAnsi="Times New Roman"/>
          <w:bCs/>
          <w:sz w:val="24"/>
          <w:szCs w:val="24"/>
        </w:rPr>
        <w:t>On November 15, 2008, a 38-year-old male fire fighter (the victim) died after being crushed by a roof collapse in a vacant/abandoned building</w:t>
      </w:r>
      <w:r>
        <w:rPr>
          <w:rFonts w:ascii="Times New Roman" w:hAnsi="Times New Roman"/>
          <w:bCs/>
          <w:sz w:val="24"/>
          <w:szCs w:val="24"/>
        </w:rPr>
        <w:t xml:space="preserve">.” </w:t>
      </w:r>
      <w:hyperlink r:id="rId550" w:history="1">
        <w:r w:rsidRPr="00976742">
          <w:rPr>
            <w:rStyle w:val="Hyperlink"/>
            <w:rFonts w:ascii="Times New Roman" w:hAnsi="Times New Roman"/>
            <w:b/>
            <w:sz w:val="24"/>
            <w:szCs w:val="24"/>
          </w:rPr>
          <w:t>https://www.cdc.gov/niosh/fire/reports/face200837.html</w:t>
        </w:r>
      </w:hyperlink>
      <w:bookmarkEnd w:id="98"/>
      <w:r w:rsidRPr="00976742">
        <w:rPr>
          <w:rFonts w:ascii="Times New Roman" w:hAnsi="Times New Roman"/>
          <w:bCs/>
          <w:sz w:val="24"/>
          <w:szCs w:val="24"/>
        </w:rPr>
        <w:t xml:space="preserve"> </w:t>
      </w:r>
    </w:p>
    <w:p w14:paraId="34E92C2E" w14:textId="77777777" w:rsidR="005F0E6D" w:rsidRDefault="005F0E6D" w:rsidP="00EF1133">
      <w:pPr>
        <w:pStyle w:val="NoSpacing"/>
        <w:rPr>
          <w:rFonts w:ascii="Arial Black" w:hAnsi="Arial Black"/>
          <w:sz w:val="24"/>
          <w:szCs w:val="24"/>
        </w:rPr>
      </w:pPr>
    </w:p>
    <w:p w14:paraId="631D269F" w14:textId="77777777" w:rsidR="005F0E6D" w:rsidRDefault="005F0E6D" w:rsidP="00EF1133">
      <w:pPr>
        <w:pStyle w:val="NoSpacing"/>
        <w:rPr>
          <w:rFonts w:ascii="Arial Black" w:hAnsi="Arial Black"/>
          <w:sz w:val="24"/>
          <w:szCs w:val="24"/>
        </w:rPr>
      </w:pPr>
    </w:p>
    <w:p w14:paraId="1EE3DD45" w14:textId="77777777" w:rsidR="005F0E6D" w:rsidRDefault="005F0E6D" w:rsidP="00EF1133">
      <w:pPr>
        <w:pStyle w:val="NoSpacing"/>
        <w:rPr>
          <w:rFonts w:ascii="Arial Black" w:hAnsi="Arial Black"/>
          <w:sz w:val="24"/>
          <w:szCs w:val="24"/>
        </w:rPr>
      </w:pPr>
    </w:p>
    <w:p w14:paraId="514EFD1F" w14:textId="705F9BAB" w:rsidR="00663160" w:rsidRDefault="00663160" w:rsidP="00EF1133">
      <w:pPr>
        <w:pStyle w:val="NoSpacing"/>
        <w:rPr>
          <w:rFonts w:ascii="Arial Black" w:hAnsi="Arial Black"/>
          <w:sz w:val="24"/>
          <w:szCs w:val="24"/>
        </w:rPr>
      </w:pPr>
      <w:r>
        <w:rPr>
          <w:rFonts w:ascii="Arial Black" w:hAnsi="Arial Black"/>
          <w:sz w:val="24"/>
          <w:szCs w:val="24"/>
        </w:rPr>
        <w:t>2-29</w:t>
      </w:r>
    </w:p>
    <w:p w14:paraId="7EF02A7C" w14:textId="77777777" w:rsidR="00663160" w:rsidRDefault="00663160" w:rsidP="00663160">
      <w:pPr>
        <w:spacing w:before="100" w:beforeAutospacing="1" w:after="100" w:afterAutospacing="1" w:line="240" w:lineRule="auto"/>
        <w:rPr>
          <w:rFonts w:ascii="Arial Black" w:hAnsi="Arial Black"/>
          <w:sz w:val="28"/>
          <w:szCs w:val="28"/>
        </w:rPr>
      </w:pPr>
      <w:r w:rsidRPr="00E77377">
        <w:rPr>
          <w:rFonts w:ascii="Arial Black" w:hAnsi="Arial Black"/>
          <w:sz w:val="28"/>
          <w:szCs w:val="28"/>
        </w:rPr>
        <w:t xml:space="preserve">OH: </w:t>
      </w:r>
      <w:r>
        <w:rPr>
          <w:rFonts w:ascii="Arial Black" w:hAnsi="Arial Black"/>
          <w:sz w:val="28"/>
          <w:szCs w:val="28"/>
        </w:rPr>
        <w:t>FF INJURED KNEE STEPPING DOWN FROM ENGINE –– STEP WAS MORE 24 INCHES OFF GROUND - VSSR PENALTY</w:t>
      </w:r>
    </w:p>
    <w:p w14:paraId="5E9AC737" w14:textId="77777777" w:rsidR="00663160" w:rsidRDefault="00663160" w:rsidP="00663160">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Feb. 11, 2020, in </w:t>
      </w:r>
      <w:r w:rsidRPr="00E77377">
        <w:rPr>
          <w:rFonts w:ascii="Times New Roman" w:eastAsia="Times New Roman" w:hAnsi="Times New Roman"/>
          <w:sz w:val="24"/>
          <w:szCs w:val="24"/>
          <w:u w:val="single"/>
        </w:rPr>
        <w:t>The State ex rel. Madison Fire District v. Industrial Commission of Ohio</w:t>
      </w:r>
      <w:r>
        <w:rPr>
          <w:rFonts w:ascii="Times New Roman" w:eastAsia="Times New Roman" w:hAnsi="Times New Roman"/>
          <w:sz w:val="24"/>
          <w:szCs w:val="24"/>
        </w:rPr>
        <w:t xml:space="preserve">, 2020 Ohio 463, the Ohio Court of Appeals for Tenth Appellate District, held (3 to 0) that firefighter </w:t>
      </w:r>
      <w:r w:rsidRPr="00E77377">
        <w:rPr>
          <w:rFonts w:ascii="Times New Roman" w:hAnsi="Times New Roman"/>
          <w:sz w:val="24"/>
          <w:szCs w:val="24"/>
        </w:rPr>
        <w:t>Joseph P. Purcell</w:t>
      </w:r>
      <w:r>
        <w:rPr>
          <w:rFonts w:ascii="Times New Roman" w:hAnsi="Times New Roman"/>
          <w:sz w:val="24"/>
          <w:szCs w:val="24"/>
        </w:rPr>
        <w:t xml:space="preserve">, who injured his right knee stepping out of the cab of a 1995 Spartan Darley, was properly awarded his VSSR [violation of  specific safety regulation] claim; 15% to 50% of workers comp. award. </w:t>
      </w:r>
    </w:p>
    <w:p w14:paraId="6F84D8F8" w14:textId="2A311130" w:rsidR="00663160" w:rsidRDefault="00663160" w:rsidP="00DB482B">
      <w:pPr>
        <w:pStyle w:val="NoSpacing"/>
        <w:ind w:left="720"/>
        <w:rPr>
          <w:rStyle w:val="Hyperlink"/>
          <w:rFonts w:ascii="Times New Roman" w:hAnsi="Times New Roman"/>
          <w:sz w:val="24"/>
          <w:szCs w:val="24"/>
        </w:rPr>
      </w:pPr>
      <w:bookmarkStart w:id="99" w:name="_Hlk39765521"/>
      <w:r>
        <w:rPr>
          <w:rFonts w:ascii="Times New Roman" w:hAnsi="Times New Roman"/>
          <w:sz w:val="24"/>
          <w:szCs w:val="24"/>
        </w:rPr>
        <w:t>“</w:t>
      </w:r>
      <w:r w:rsidRPr="00020A40">
        <w:rPr>
          <w:rFonts w:ascii="Times New Roman" w:hAnsi="Times New Roman"/>
          <w:sz w:val="24"/>
          <w:szCs w:val="24"/>
        </w:rPr>
        <w:t>In 2009, the department commissioned a master plan evaluation by an independent third party to do a study of every aspect of the fire department. As a part of that study, the fire engines in use by the department at that time were evaluated. Engine 2124 was a part of that evaluation. The evaluation report states that the department should consider installing steps into cab for safety to engine 2124</w:t>
      </w:r>
      <w:r>
        <w:rPr>
          <w:rFonts w:ascii="Times New Roman" w:hAnsi="Times New Roman"/>
          <w:sz w:val="24"/>
          <w:szCs w:val="24"/>
        </w:rPr>
        <w:t xml:space="preserve"> [1995 Spartan Darley].”  </w:t>
      </w:r>
      <w:hyperlink r:id="rId551" w:history="1">
        <w:r w:rsidRPr="002D2C0F">
          <w:rPr>
            <w:rStyle w:val="Hyperlink"/>
            <w:rFonts w:ascii="Times New Roman" w:hAnsi="Times New Roman"/>
            <w:sz w:val="24"/>
            <w:szCs w:val="24"/>
          </w:rPr>
          <w:t>https://www.courtlistener.com/pdf/2020/02/11/state_ex_rel._madison_fire_dist._v._indus._comm..pdf</w:t>
        </w:r>
      </w:hyperlink>
    </w:p>
    <w:p w14:paraId="15B1B7F1" w14:textId="78EEF9AC" w:rsidR="00663160" w:rsidRDefault="00663160" w:rsidP="00663160">
      <w:pPr>
        <w:spacing w:before="100" w:beforeAutospacing="1" w:after="100" w:afterAutospacing="1" w:line="240" w:lineRule="auto"/>
        <w:rPr>
          <w:rFonts w:ascii="Times New Roman" w:hAnsi="Times New Roman"/>
          <w:b/>
          <w:bCs/>
          <w:sz w:val="24"/>
          <w:szCs w:val="24"/>
        </w:rPr>
      </w:pPr>
      <w:bookmarkStart w:id="100" w:name="_Hlk40508742"/>
      <w:bookmarkEnd w:id="99"/>
      <w:r w:rsidRPr="00020A40">
        <w:rPr>
          <w:rFonts w:ascii="Times New Roman" w:hAnsi="Times New Roman"/>
          <w:b/>
          <w:bCs/>
          <w:sz w:val="24"/>
          <w:szCs w:val="24"/>
        </w:rPr>
        <w:t>Legal Lessons Learned:</w:t>
      </w:r>
      <w:r>
        <w:rPr>
          <w:rFonts w:ascii="Times New Roman" w:hAnsi="Times New Roman"/>
          <w:b/>
          <w:bCs/>
          <w:sz w:val="24"/>
          <w:szCs w:val="24"/>
        </w:rPr>
        <w:t xml:space="preserve"> </w:t>
      </w:r>
      <w:r w:rsidR="009B50E8">
        <w:rPr>
          <w:rFonts w:ascii="Times New Roman" w:hAnsi="Times New Roman"/>
          <w:b/>
          <w:bCs/>
          <w:sz w:val="24"/>
          <w:szCs w:val="24"/>
        </w:rPr>
        <w:t xml:space="preserve">Ohio </w:t>
      </w:r>
      <w:r>
        <w:rPr>
          <w:rFonts w:ascii="Times New Roman" w:hAnsi="Times New Roman"/>
          <w:b/>
          <w:bCs/>
          <w:sz w:val="24"/>
          <w:szCs w:val="24"/>
        </w:rPr>
        <w:t xml:space="preserve">FDs should review the Ohio Administrative Code regulation on fire apparatus, including the height of steps. </w:t>
      </w:r>
      <w:hyperlink r:id="rId552" w:history="1">
        <w:r w:rsidRPr="002D2C0F">
          <w:rPr>
            <w:rStyle w:val="Hyperlink"/>
            <w:rFonts w:ascii="Times New Roman" w:hAnsi="Times New Roman"/>
            <w:b/>
            <w:bCs/>
            <w:sz w:val="24"/>
            <w:szCs w:val="24"/>
          </w:rPr>
          <w:t>http://codes.ohio.gov/oac/4123:1-21-04v1</w:t>
        </w:r>
      </w:hyperlink>
      <w:r>
        <w:rPr>
          <w:rFonts w:ascii="Times New Roman" w:hAnsi="Times New Roman"/>
          <w:b/>
          <w:bCs/>
          <w:sz w:val="24"/>
          <w:szCs w:val="24"/>
        </w:rPr>
        <w:t xml:space="preserve"> .   VSSR penalties can range from 15 to 50% of the maximum allowable weekly compensation rate </w:t>
      </w:r>
      <w:proofErr w:type="gramStart"/>
      <w:r>
        <w:rPr>
          <w:rFonts w:ascii="Times New Roman" w:hAnsi="Times New Roman"/>
          <w:b/>
          <w:bCs/>
          <w:sz w:val="24"/>
          <w:szCs w:val="24"/>
        </w:rPr>
        <w:t>granted</w:t>
      </w:r>
      <w:proofErr w:type="gramEnd"/>
      <w:r>
        <w:rPr>
          <w:rFonts w:ascii="Times New Roman" w:hAnsi="Times New Roman"/>
          <w:b/>
          <w:bCs/>
          <w:sz w:val="24"/>
          <w:szCs w:val="24"/>
        </w:rPr>
        <w:t xml:space="preserve"> the injured worker. </w:t>
      </w:r>
      <w:hyperlink r:id="rId553" w:history="1">
        <w:r w:rsidRPr="002D2C0F">
          <w:rPr>
            <w:rStyle w:val="Hyperlink"/>
            <w:rFonts w:ascii="Times New Roman" w:hAnsi="Times New Roman"/>
            <w:b/>
            <w:bCs/>
            <w:sz w:val="24"/>
            <w:szCs w:val="24"/>
          </w:rPr>
          <w:t>https://www.bwc.ohio.gov/downloads/blankpdf/sviu.pdf</w:t>
        </w:r>
      </w:hyperlink>
      <w:r>
        <w:rPr>
          <w:rFonts w:ascii="Times New Roman" w:hAnsi="Times New Roman"/>
          <w:b/>
          <w:bCs/>
          <w:sz w:val="24"/>
          <w:szCs w:val="24"/>
        </w:rPr>
        <w:t xml:space="preserve"> </w:t>
      </w:r>
    </w:p>
    <w:bookmarkEnd w:id="100"/>
    <w:p w14:paraId="010AC845" w14:textId="77777777" w:rsidR="00663160" w:rsidRDefault="00663160" w:rsidP="00663160">
      <w:pPr>
        <w:pStyle w:val="NoSpacing"/>
        <w:rPr>
          <w:rFonts w:ascii="Arial Black" w:hAnsi="Arial Black"/>
          <w:sz w:val="24"/>
          <w:szCs w:val="24"/>
        </w:rPr>
      </w:pPr>
    </w:p>
    <w:p w14:paraId="7244B3F0" w14:textId="77777777" w:rsidR="00663160" w:rsidRDefault="00663160" w:rsidP="00EF1133">
      <w:pPr>
        <w:pStyle w:val="NoSpacing"/>
        <w:rPr>
          <w:rFonts w:ascii="Arial Black" w:hAnsi="Arial Black"/>
          <w:sz w:val="24"/>
          <w:szCs w:val="24"/>
        </w:rPr>
      </w:pPr>
    </w:p>
    <w:p w14:paraId="39882377" w14:textId="77777777" w:rsidR="00663160" w:rsidRDefault="00663160" w:rsidP="00EF1133">
      <w:pPr>
        <w:pStyle w:val="NoSpacing"/>
        <w:rPr>
          <w:rFonts w:ascii="Arial Black" w:hAnsi="Arial Black"/>
          <w:sz w:val="24"/>
          <w:szCs w:val="24"/>
        </w:rPr>
      </w:pPr>
    </w:p>
    <w:p w14:paraId="0EB37AE2" w14:textId="50B7E2E4" w:rsidR="00663160" w:rsidRDefault="00663160" w:rsidP="00EF1133">
      <w:pPr>
        <w:pStyle w:val="NoSpacing"/>
        <w:rPr>
          <w:rFonts w:ascii="Arial Black" w:hAnsi="Arial Black"/>
          <w:sz w:val="24"/>
          <w:szCs w:val="24"/>
        </w:rPr>
      </w:pPr>
      <w:r>
        <w:rPr>
          <w:rFonts w:ascii="Arial Black" w:hAnsi="Arial Black"/>
          <w:sz w:val="24"/>
          <w:szCs w:val="24"/>
        </w:rPr>
        <w:t>2-28</w:t>
      </w:r>
    </w:p>
    <w:p w14:paraId="01FCAE85" w14:textId="55BFE594" w:rsidR="00663160" w:rsidRDefault="00663160" w:rsidP="00EF1133">
      <w:pPr>
        <w:pStyle w:val="NoSpacing"/>
        <w:rPr>
          <w:rFonts w:ascii="Arial Black" w:hAnsi="Arial Black"/>
          <w:sz w:val="24"/>
          <w:szCs w:val="24"/>
        </w:rPr>
      </w:pPr>
    </w:p>
    <w:p w14:paraId="05D70D26" w14:textId="77777777" w:rsidR="00663160" w:rsidRPr="007635E7" w:rsidRDefault="00663160" w:rsidP="00663160">
      <w:pPr>
        <w:pStyle w:val="NoSpacing"/>
        <w:rPr>
          <w:rFonts w:ascii="Arial Black" w:hAnsi="Arial Black"/>
          <w:sz w:val="28"/>
          <w:szCs w:val="28"/>
        </w:rPr>
      </w:pPr>
      <w:r w:rsidRPr="007635E7">
        <w:rPr>
          <w:rFonts w:ascii="Arial Black" w:hAnsi="Arial Black"/>
          <w:sz w:val="28"/>
          <w:szCs w:val="28"/>
        </w:rPr>
        <w:t xml:space="preserve">DE: </w:t>
      </w:r>
      <w:r>
        <w:rPr>
          <w:rFonts w:ascii="Arial Black" w:hAnsi="Arial Black"/>
          <w:sz w:val="28"/>
          <w:szCs w:val="28"/>
        </w:rPr>
        <w:t xml:space="preserve">ROLLING BLACKOUTS – THREE FF KILLED, THREE INJURED – NOT VIOLATION OF FED CONSTIT. RIGHTS </w:t>
      </w:r>
    </w:p>
    <w:p w14:paraId="2620282C" w14:textId="77777777" w:rsidR="00663160" w:rsidRPr="00465FB3" w:rsidRDefault="00663160" w:rsidP="00663160">
      <w:pPr>
        <w:spacing w:before="100" w:beforeAutospacing="1" w:after="100" w:afterAutospacing="1" w:line="240" w:lineRule="auto"/>
        <w:rPr>
          <w:rFonts w:ascii="Times New Roman" w:hAnsi="Times New Roman"/>
          <w:sz w:val="24"/>
          <w:szCs w:val="24"/>
        </w:rPr>
      </w:pPr>
      <w:r w:rsidRPr="00465FB3">
        <w:rPr>
          <w:rFonts w:ascii="Times New Roman" w:hAnsi="Times New Roman"/>
          <w:sz w:val="24"/>
          <w:szCs w:val="24"/>
        </w:rPr>
        <w:t xml:space="preserve">On </w:t>
      </w:r>
      <w:bookmarkStart w:id="101" w:name="_Hlk39822645"/>
      <w:r w:rsidRPr="00465FB3">
        <w:rPr>
          <w:rFonts w:ascii="Times New Roman" w:hAnsi="Times New Roman"/>
          <w:sz w:val="24"/>
          <w:szCs w:val="24"/>
        </w:rPr>
        <w:t xml:space="preserve">Jan. 9, 2020, in </w:t>
      </w:r>
      <w:r w:rsidRPr="00465FB3">
        <w:rPr>
          <w:rFonts w:ascii="Times New Roman" w:hAnsi="Times New Roman"/>
          <w:sz w:val="24"/>
          <w:szCs w:val="24"/>
          <w:u w:val="single"/>
        </w:rPr>
        <w:t>Firefighter Brad Speakman, et al. v. Dennis P. Williams, City of Wilmington, et al</w:t>
      </w:r>
      <w:bookmarkEnd w:id="101"/>
      <w:r w:rsidRPr="00465FB3">
        <w:rPr>
          <w:rFonts w:ascii="Times New Roman" w:hAnsi="Times New Roman"/>
          <w:sz w:val="24"/>
          <w:szCs w:val="24"/>
        </w:rPr>
        <w:t xml:space="preserve">, U.S. District Court Judge Maryellen Noreika dismissed the lawsuit by the families of the firefighters killed on Sept. 24, 2016.  The Court held that the “rolling bypass” practices may be a basis for a tort lawsuit in state court, the </w:t>
      </w:r>
      <w:r w:rsidRPr="00465FB3">
        <w:rPr>
          <w:rFonts w:ascii="Times New Roman" w:hAnsi="Times New Roman"/>
          <w:sz w:val="24"/>
          <w:szCs w:val="24"/>
        </w:rPr>
        <w:lastRenderedPageBreak/>
        <w:t xml:space="preserve">practice is not a violation of the substantive rights guaranteed by the Fourteenth Amendment to the U.S. Constitution. </w:t>
      </w:r>
    </w:p>
    <w:p w14:paraId="3AB1F0C2" w14:textId="77777777" w:rsidR="00663160" w:rsidRPr="00465FB3" w:rsidRDefault="00663160" w:rsidP="00663160">
      <w:pPr>
        <w:pStyle w:val="NoSpacing"/>
        <w:ind w:left="720"/>
        <w:rPr>
          <w:rFonts w:ascii="Times New Roman" w:hAnsi="Times New Roman"/>
          <w:b/>
          <w:bCs/>
          <w:sz w:val="24"/>
          <w:szCs w:val="24"/>
        </w:rPr>
      </w:pPr>
      <w:bookmarkStart w:id="102" w:name="_Hlk39765552"/>
      <w:r w:rsidRPr="00465FB3">
        <w:rPr>
          <w:rFonts w:ascii="Times New Roman" w:eastAsia="Times New Roman" w:hAnsi="Times New Roman"/>
          <w:bCs/>
          <w:sz w:val="24"/>
          <w:szCs w:val="24"/>
        </w:rPr>
        <w:t>“</w:t>
      </w:r>
      <w:r w:rsidRPr="00465FB3">
        <w:rPr>
          <w:rFonts w:ascii="Times New Roman" w:hAnsi="Times New Roman"/>
          <w:bCs/>
          <w:sz w:val="24"/>
          <w:szCs w:val="24"/>
        </w:rPr>
        <w:t xml:space="preserve">This case, like </w:t>
      </w:r>
      <w:r w:rsidRPr="00465FB3">
        <w:rPr>
          <w:rFonts w:ascii="Times New Roman" w:hAnsi="Times New Roman"/>
          <w:bCs/>
          <w:i/>
          <w:iCs/>
          <w:sz w:val="24"/>
          <w:szCs w:val="24"/>
        </w:rPr>
        <w:t>Estate of Phillips</w:t>
      </w:r>
      <w:r w:rsidRPr="00465FB3">
        <w:rPr>
          <w:rFonts w:ascii="Times New Roman" w:hAnsi="Times New Roman"/>
          <w:bCs/>
          <w:sz w:val="24"/>
          <w:szCs w:val="24"/>
        </w:rPr>
        <w:t xml:space="preserve">, Estate of Phillips, [Washington, D.C. line of duty deaths in] Estate of Phillips v. D.C., 455 F.3d 397 (D.C. Cir. 2006)], involves a tragedy. Lieutenant Christopher Leach, Senior Firefighter Jerry Fickes, and Senior Firefighter Ardythe Hope died, and Firefighter Brad Speakman, Senior Firefighter Terrance Tate, and Lieutenant John Cawthray suffered severe injuries. But as the </w:t>
      </w:r>
      <w:r w:rsidRPr="00465FB3">
        <w:rPr>
          <w:rFonts w:ascii="Times New Roman" w:hAnsi="Times New Roman"/>
          <w:bCs/>
          <w:i/>
          <w:iCs/>
          <w:sz w:val="24"/>
          <w:szCs w:val="24"/>
        </w:rPr>
        <w:t>Estate of Phillips</w:t>
      </w:r>
      <w:r w:rsidRPr="00465FB3">
        <w:rPr>
          <w:rFonts w:ascii="Times New Roman" w:hAnsi="Times New Roman"/>
          <w:bCs/>
          <w:sz w:val="24"/>
          <w:szCs w:val="24"/>
        </w:rPr>
        <w:t xml:space="preserve"> court recognized, the Constitution does not provide a basis to address all injuries…. The Court has no doubt that, as Plaintiffs argue … a relationship exists between shift staffing and firefighter safety. For the reasons articulated, however, that relationship alone does not transform Present Defendants' conduct into substantive due process violations [of the 14</w:t>
      </w:r>
      <w:r w:rsidRPr="00465FB3">
        <w:rPr>
          <w:rFonts w:ascii="Times New Roman" w:hAnsi="Times New Roman"/>
          <w:bCs/>
          <w:sz w:val="24"/>
          <w:szCs w:val="24"/>
          <w:vertAlign w:val="superscript"/>
        </w:rPr>
        <w:t>Th</w:t>
      </w:r>
      <w:r w:rsidRPr="00465FB3">
        <w:rPr>
          <w:rFonts w:ascii="Times New Roman" w:hAnsi="Times New Roman"/>
          <w:bCs/>
          <w:sz w:val="24"/>
          <w:szCs w:val="24"/>
        </w:rPr>
        <w:t xml:space="preserve"> Amendment of U.S. Constitution]….</w:t>
      </w:r>
      <w:r w:rsidRPr="00465FB3">
        <w:rPr>
          <w:rFonts w:ascii="Times New Roman" w:hAnsi="Times New Roman"/>
          <w:sz w:val="24"/>
          <w:szCs w:val="24"/>
        </w:rPr>
        <w:t xml:space="preserve"> </w:t>
      </w:r>
      <w:r w:rsidRPr="00465FB3">
        <w:rPr>
          <w:rFonts w:ascii="Times New Roman" w:hAnsi="Times New Roman"/>
          <w:bCs/>
          <w:sz w:val="24"/>
          <w:szCs w:val="24"/>
        </w:rPr>
        <w:t xml:space="preserve">In other words, like the firefighters in </w:t>
      </w:r>
      <w:r w:rsidRPr="00465FB3">
        <w:rPr>
          <w:rFonts w:ascii="Times New Roman" w:hAnsi="Times New Roman"/>
          <w:bCs/>
          <w:i/>
          <w:iCs/>
          <w:sz w:val="24"/>
          <w:szCs w:val="24"/>
        </w:rPr>
        <w:t>Estate of Phillips</w:t>
      </w:r>
      <w:r w:rsidRPr="00465FB3">
        <w:rPr>
          <w:rFonts w:ascii="Times New Roman" w:hAnsi="Times New Roman"/>
          <w:bCs/>
          <w:sz w:val="24"/>
          <w:szCs w:val="24"/>
        </w:rPr>
        <w:t xml:space="preserve">, Plaintiffs allege that Present Defendants (along with others) exposed Firefighter Plaintiffs to ‘additional risks of injury unknown to [them] when they joined’ the WFD. 455 F.3d at 407. Yet, as explained, such increased risk is not enough to establish a substantive due process violation where the underlying risk is inherent in the injured parties' profession and is not so extremely elevated that employees will almost certainly and immediately be injured if they carry out their work.”  </w:t>
      </w:r>
      <w:bookmarkStart w:id="103" w:name="_Hlk39821887"/>
      <w:r w:rsidR="00F2621E">
        <w:fldChar w:fldCharType="begin"/>
      </w:r>
      <w:r w:rsidR="00F2621E">
        <w:instrText xml:space="preserve"> HYPERLINK "https://www.ded.uscourts.gov/sites/ded/files/opinions/18-1252_1.pdf" </w:instrText>
      </w:r>
      <w:r w:rsidR="00F2621E">
        <w:fldChar w:fldCharType="separate"/>
      </w:r>
      <w:r w:rsidRPr="00465FB3">
        <w:rPr>
          <w:rStyle w:val="Hyperlink"/>
          <w:rFonts w:ascii="Times New Roman" w:hAnsi="Times New Roman"/>
          <w:bCs/>
          <w:sz w:val="24"/>
          <w:szCs w:val="24"/>
        </w:rPr>
        <w:t>https://www.ded.uscourts.gov/sites/ded/files/opinions/18-1252_1.pdf</w:t>
      </w:r>
      <w:r w:rsidR="00F2621E">
        <w:rPr>
          <w:rStyle w:val="Hyperlink"/>
          <w:rFonts w:ascii="Times New Roman" w:hAnsi="Times New Roman"/>
          <w:bCs/>
          <w:sz w:val="24"/>
          <w:szCs w:val="24"/>
        </w:rPr>
        <w:fldChar w:fldCharType="end"/>
      </w:r>
      <w:r w:rsidRPr="00465FB3">
        <w:rPr>
          <w:rFonts w:ascii="Times New Roman" w:hAnsi="Times New Roman"/>
          <w:bCs/>
          <w:sz w:val="24"/>
          <w:szCs w:val="24"/>
        </w:rPr>
        <w:t xml:space="preserve"> </w:t>
      </w:r>
      <w:bookmarkEnd w:id="103"/>
    </w:p>
    <w:bookmarkEnd w:id="102"/>
    <w:p w14:paraId="3DD740A0" w14:textId="70FF5D4F" w:rsidR="00663160" w:rsidRDefault="00663160" w:rsidP="00EF1133">
      <w:pPr>
        <w:pStyle w:val="NoSpacing"/>
        <w:rPr>
          <w:rFonts w:ascii="Arial Black" w:hAnsi="Arial Black"/>
          <w:sz w:val="24"/>
          <w:szCs w:val="24"/>
        </w:rPr>
      </w:pPr>
    </w:p>
    <w:p w14:paraId="07D6649F" w14:textId="4641FB73" w:rsidR="009B50E8" w:rsidRDefault="00663160" w:rsidP="00663160">
      <w:pPr>
        <w:pStyle w:val="NoSpacing"/>
        <w:rPr>
          <w:rFonts w:ascii="Times New Roman" w:hAnsi="Times New Roman"/>
          <w:b/>
          <w:bCs/>
          <w:sz w:val="24"/>
          <w:szCs w:val="24"/>
        </w:rPr>
      </w:pPr>
      <w:bookmarkStart w:id="104" w:name="_Hlk40508991"/>
      <w:r w:rsidRPr="00465FB3">
        <w:rPr>
          <w:rFonts w:ascii="Times New Roman" w:hAnsi="Times New Roman"/>
          <w:b/>
          <w:bCs/>
          <w:sz w:val="24"/>
          <w:szCs w:val="24"/>
        </w:rPr>
        <w:t xml:space="preserve">Legal Lessons Learned: </w:t>
      </w:r>
      <w:proofErr w:type="gramStart"/>
      <w:r w:rsidRPr="00465FB3">
        <w:rPr>
          <w:rFonts w:ascii="Times New Roman" w:hAnsi="Times New Roman"/>
          <w:b/>
          <w:bCs/>
          <w:sz w:val="24"/>
          <w:szCs w:val="24"/>
        </w:rPr>
        <w:t>Similar</w:t>
      </w:r>
      <w:r w:rsidR="009B50E8">
        <w:rPr>
          <w:rFonts w:ascii="Times New Roman" w:hAnsi="Times New Roman"/>
          <w:b/>
          <w:bCs/>
          <w:sz w:val="24"/>
          <w:szCs w:val="24"/>
        </w:rPr>
        <w:t xml:space="preserve"> </w:t>
      </w:r>
      <w:r w:rsidRPr="00465FB3">
        <w:rPr>
          <w:rFonts w:ascii="Times New Roman" w:hAnsi="Times New Roman"/>
          <w:b/>
          <w:bCs/>
          <w:sz w:val="24"/>
          <w:szCs w:val="24"/>
        </w:rPr>
        <w:t>to</w:t>
      </w:r>
      <w:proofErr w:type="gramEnd"/>
      <w:r w:rsidRPr="00465FB3">
        <w:rPr>
          <w:rFonts w:ascii="Times New Roman" w:hAnsi="Times New Roman"/>
          <w:b/>
          <w:bCs/>
          <w:sz w:val="24"/>
          <w:szCs w:val="24"/>
        </w:rPr>
        <w:t xml:space="preserve"> the Washington, D.C. line-of-duty-death case in </w:t>
      </w:r>
      <w:r w:rsidRPr="00465FB3">
        <w:rPr>
          <w:rFonts w:ascii="Times New Roman" w:hAnsi="Times New Roman"/>
          <w:b/>
          <w:bCs/>
          <w:sz w:val="24"/>
          <w:szCs w:val="24"/>
          <w:u w:val="single"/>
        </w:rPr>
        <w:t>Estate of Phillips</w:t>
      </w:r>
      <w:r w:rsidRPr="00465FB3">
        <w:rPr>
          <w:rFonts w:ascii="Times New Roman" w:hAnsi="Times New Roman"/>
          <w:b/>
          <w:bCs/>
          <w:sz w:val="24"/>
          <w:szCs w:val="24"/>
        </w:rPr>
        <w:t xml:space="preserve">, </w:t>
      </w:r>
      <w:r w:rsidR="009B50E8">
        <w:rPr>
          <w:rFonts w:ascii="Times New Roman" w:hAnsi="Times New Roman"/>
          <w:b/>
          <w:bCs/>
          <w:sz w:val="24"/>
          <w:szCs w:val="24"/>
        </w:rPr>
        <w:t xml:space="preserve"> </w:t>
      </w:r>
      <w:hyperlink r:id="rId554" w:history="1">
        <w:r w:rsidR="009B50E8" w:rsidRPr="00176D13">
          <w:rPr>
            <w:rStyle w:val="Hyperlink"/>
            <w:rFonts w:ascii="Times New Roman" w:hAnsi="Times New Roman"/>
            <w:b/>
            <w:bCs/>
            <w:sz w:val="24"/>
            <w:szCs w:val="24"/>
          </w:rPr>
          <w:t>https://caselaw.findlaw.com/us-dc-circuit/1363158.html</w:t>
        </w:r>
      </w:hyperlink>
      <w:r w:rsidR="009B50E8">
        <w:rPr>
          <w:rFonts w:ascii="Times New Roman" w:hAnsi="Times New Roman"/>
          <w:b/>
          <w:bCs/>
          <w:sz w:val="24"/>
          <w:szCs w:val="24"/>
        </w:rPr>
        <w:t xml:space="preserve"> </w:t>
      </w:r>
      <w:r w:rsidR="00D735D6">
        <w:rPr>
          <w:rFonts w:ascii="Times New Roman" w:hAnsi="Times New Roman"/>
          <w:b/>
          <w:bCs/>
          <w:sz w:val="24"/>
          <w:szCs w:val="24"/>
        </w:rPr>
        <w:t xml:space="preserve">(2006), </w:t>
      </w:r>
    </w:p>
    <w:p w14:paraId="44000B3D" w14:textId="1D19F4F0" w:rsidR="00663160" w:rsidRPr="00465FB3" w:rsidRDefault="00663160" w:rsidP="00663160">
      <w:pPr>
        <w:pStyle w:val="NoSpacing"/>
        <w:rPr>
          <w:rFonts w:ascii="Times New Roman" w:hAnsi="Times New Roman"/>
          <w:b/>
          <w:bCs/>
          <w:sz w:val="24"/>
          <w:szCs w:val="24"/>
        </w:rPr>
      </w:pPr>
      <w:proofErr w:type="gramStart"/>
      <w:r w:rsidRPr="00465FB3">
        <w:rPr>
          <w:rFonts w:ascii="Times New Roman" w:hAnsi="Times New Roman"/>
          <w:b/>
          <w:bCs/>
          <w:sz w:val="24"/>
          <w:szCs w:val="24"/>
        </w:rPr>
        <w:t>this</w:t>
      </w:r>
      <w:proofErr w:type="gramEnd"/>
      <w:r w:rsidRPr="00465FB3">
        <w:rPr>
          <w:rFonts w:ascii="Times New Roman" w:hAnsi="Times New Roman"/>
          <w:b/>
          <w:bCs/>
          <w:sz w:val="24"/>
          <w:szCs w:val="24"/>
        </w:rPr>
        <w:t xml:space="preserve"> lawsuit in Federal court has been dismissed prior to trial.  </w:t>
      </w:r>
    </w:p>
    <w:bookmarkEnd w:id="104"/>
    <w:p w14:paraId="50BBECE4" w14:textId="77777777" w:rsidR="00663160" w:rsidRPr="00465FB3" w:rsidRDefault="00663160" w:rsidP="00663160">
      <w:pPr>
        <w:pStyle w:val="NoSpacing"/>
        <w:rPr>
          <w:b/>
          <w:bCs/>
        </w:rPr>
      </w:pPr>
      <w:r w:rsidRPr="00465FB3">
        <w:rPr>
          <w:rFonts w:ascii="Times New Roman" w:hAnsi="Times New Roman"/>
          <w:b/>
          <w:bCs/>
          <w:sz w:val="24"/>
          <w:szCs w:val="24"/>
        </w:rPr>
        <w:t xml:space="preserve">Note: </w:t>
      </w:r>
      <w:bookmarkStart w:id="105" w:name="_Hlk39821714"/>
      <w:r w:rsidRPr="00465FB3">
        <w:rPr>
          <w:rFonts w:ascii="Times New Roman" w:hAnsi="Times New Roman"/>
          <w:b/>
          <w:bCs/>
          <w:sz w:val="24"/>
          <w:szCs w:val="24"/>
        </w:rPr>
        <w:t xml:space="preserve">“Woman gets </w:t>
      </w:r>
      <w:proofErr w:type="gramStart"/>
      <w:r w:rsidRPr="00465FB3">
        <w:rPr>
          <w:rFonts w:ascii="Times New Roman" w:hAnsi="Times New Roman"/>
          <w:b/>
          <w:bCs/>
          <w:sz w:val="24"/>
          <w:szCs w:val="24"/>
        </w:rPr>
        <w:t>30 year</w:t>
      </w:r>
      <w:proofErr w:type="gramEnd"/>
      <w:r w:rsidRPr="00465FB3">
        <w:rPr>
          <w:rFonts w:ascii="Times New Roman" w:hAnsi="Times New Roman"/>
          <w:b/>
          <w:bCs/>
          <w:sz w:val="24"/>
          <w:szCs w:val="24"/>
        </w:rPr>
        <w:t xml:space="preserve"> sentence in arson that killed 3 Wilmington firefighters,” (Dec. 13, 2019) </w:t>
      </w:r>
      <w:hyperlink r:id="rId555" w:history="1">
        <w:r w:rsidRPr="00465FB3">
          <w:rPr>
            <w:rStyle w:val="Hyperlink"/>
            <w:rFonts w:ascii="Times New Roman" w:hAnsi="Times New Roman"/>
            <w:b/>
            <w:bCs/>
            <w:sz w:val="24"/>
            <w:szCs w:val="24"/>
          </w:rPr>
          <w:t>https://www.fox29.com/news/woman-gets-30-year-sentence-in-arson-that-killed-3-wilmington-firefighters</w:t>
        </w:r>
      </w:hyperlink>
      <w:bookmarkEnd w:id="105"/>
      <w:r w:rsidRPr="00465FB3">
        <w:rPr>
          <w:b/>
          <w:bCs/>
        </w:rPr>
        <w:t xml:space="preserve"> </w:t>
      </w:r>
    </w:p>
    <w:p w14:paraId="547BB67A" w14:textId="77777777" w:rsidR="00663160" w:rsidRPr="0007452B" w:rsidRDefault="00663160" w:rsidP="00663160">
      <w:pPr>
        <w:pStyle w:val="NoSpacing"/>
        <w:rPr>
          <w:sz w:val="24"/>
          <w:szCs w:val="24"/>
        </w:rPr>
      </w:pPr>
    </w:p>
    <w:p w14:paraId="0FAB91AB" w14:textId="77777777" w:rsidR="00663160" w:rsidRDefault="00663160" w:rsidP="00EF1133">
      <w:pPr>
        <w:pStyle w:val="NoSpacing"/>
        <w:rPr>
          <w:rFonts w:ascii="Arial Black" w:hAnsi="Arial Black"/>
          <w:sz w:val="24"/>
          <w:szCs w:val="24"/>
        </w:rPr>
      </w:pPr>
    </w:p>
    <w:p w14:paraId="7809057E" w14:textId="77777777" w:rsidR="00663160" w:rsidRDefault="00663160" w:rsidP="00EF1133">
      <w:pPr>
        <w:pStyle w:val="NoSpacing"/>
        <w:rPr>
          <w:rFonts w:ascii="Arial Black" w:hAnsi="Arial Black"/>
          <w:sz w:val="24"/>
          <w:szCs w:val="24"/>
        </w:rPr>
      </w:pPr>
    </w:p>
    <w:p w14:paraId="5377580D" w14:textId="77777777" w:rsidR="00663160" w:rsidRDefault="00663160" w:rsidP="00EF1133">
      <w:pPr>
        <w:pStyle w:val="NoSpacing"/>
        <w:rPr>
          <w:rFonts w:ascii="Arial Black" w:hAnsi="Arial Black"/>
          <w:sz w:val="24"/>
          <w:szCs w:val="24"/>
        </w:rPr>
      </w:pPr>
    </w:p>
    <w:p w14:paraId="2EA9FFBE" w14:textId="0D24AFC2" w:rsidR="00C9355B" w:rsidRDefault="00C9355B" w:rsidP="00EF1133">
      <w:pPr>
        <w:pStyle w:val="NoSpacing"/>
        <w:rPr>
          <w:rFonts w:ascii="Arial Black" w:hAnsi="Arial Black"/>
          <w:sz w:val="24"/>
          <w:szCs w:val="24"/>
        </w:rPr>
      </w:pPr>
      <w:r>
        <w:rPr>
          <w:rFonts w:ascii="Arial Black" w:hAnsi="Arial Black"/>
          <w:sz w:val="24"/>
          <w:szCs w:val="24"/>
        </w:rPr>
        <w:t>2-27</w:t>
      </w:r>
    </w:p>
    <w:p w14:paraId="5C6FE893" w14:textId="77777777" w:rsidR="00C9355B" w:rsidRDefault="00C9355B" w:rsidP="00C9355B">
      <w:pPr>
        <w:spacing w:before="100" w:beforeAutospacing="1" w:after="100" w:afterAutospacing="1"/>
        <w:rPr>
          <w:rFonts w:ascii="Arial Black" w:eastAsia="Times New Roman" w:hAnsi="Arial Black"/>
          <w:bCs/>
          <w:sz w:val="28"/>
          <w:szCs w:val="28"/>
        </w:rPr>
      </w:pPr>
      <w:r w:rsidRPr="005E0291">
        <w:rPr>
          <w:rFonts w:ascii="Arial Black" w:eastAsia="Times New Roman" w:hAnsi="Arial Black"/>
          <w:bCs/>
          <w:sz w:val="28"/>
          <w:szCs w:val="28"/>
        </w:rPr>
        <w:t xml:space="preserve">NY: </w:t>
      </w:r>
      <w:r>
        <w:rPr>
          <w:rFonts w:ascii="Arial Black" w:eastAsia="Times New Roman" w:hAnsi="Arial Black"/>
          <w:bCs/>
          <w:sz w:val="28"/>
          <w:szCs w:val="28"/>
        </w:rPr>
        <w:t xml:space="preserve"> FF SOLICITING FUNDS - HOMEOWNER AT DOOR WTH FIREARM – ARRESTED – MALICIOUS PROS. CASE DISMISSED </w:t>
      </w:r>
    </w:p>
    <w:p w14:paraId="4C3A3587" w14:textId="77777777" w:rsidR="00C9355B" w:rsidRPr="00695030" w:rsidRDefault="00C9355B" w:rsidP="00C9355B">
      <w:pPr>
        <w:spacing w:before="100" w:beforeAutospacing="1" w:after="100" w:afterAutospacing="1"/>
        <w:rPr>
          <w:rFonts w:ascii="Times New Roman" w:eastAsia="Times New Roman" w:hAnsi="Times New Roman"/>
          <w:b/>
          <w:sz w:val="24"/>
          <w:szCs w:val="24"/>
        </w:rPr>
      </w:pPr>
      <w:r w:rsidRPr="00695030">
        <w:rPr>
          <w:rFonts w:ascii="Times New Roman" w:eastAsia="Times New Roman" w:hAnsi="Times New Roman"/>
          <w:sz w:val="24"/>
          <w:szCs w:val="24"/>
        </w:rPr>
        <w:t xml:space="preserve">On </w:t>
      </w:r>
      <w:bookmarkStart w:id="106" w:name="_Hlk39822249"/>
      <w:r w:rsidRPr="00695030">
        <w:rPr>
          <w:rFonts w:ascii="Times New Roman" w:eastAsia="Times New Roman" w:hAnsi="Times New Roman"/>
          <w:sz w:val="24"/>
          <w:szCs w:val="24"/>
        </w:rPr>
        <w:t xml:space="preserve">Jan. 28, 2020, in </w:t>
      </w:r>
      <w:r w:rsidRPr="00695030">
        <w:rPr>
          <w:rFonts w:ascii="Times New Roman" w:eastAsia="Times New Roman" w:hAnsi="Times New Roman"/>
          <w:sz w:val="24"/>
          <w:szCs w:val="24"/>
          <w:u w:val="single"/>
        </w:rPr>
        <w:t xml:space="preserve">Carl T. </w:t>
      </w:r>
      <w:proofErr w:type="spellStart"/>
      <w:r w:rsidRPr="00695030">
        <w:rPr>
          <w:rFonts w:ascii="Times New Roman" w:eastAsia="Times New Roman" w:hAnsi="Times New Roman"/>
          <w:sz w:val="24"/>
          <w:szCs w:val="24"/>
          <w:u w:val="single"/>
        </w:rPr>
        <w:t>Semencic</w:t>
      </w:r>
      <w:proofErr w:type="spellEnd"/>
      <w:r w:rsidRPr="00695030">
        <w:rPr>
          <w:rFonts w:ascii="Times New Roman" w:eastAsia="Times New Roman" w:hAnsi="Times New Roman"/>
          <w:sz w:val="24"/>
          <w:szCs w:val="24"/>
          <w:u w:val="single"/>
        </w:rPr>
        <w:t xml:space="preserve"> v. The County of Nassau, et al</w:t>
      </w:r>
      <w:bookmarkEnd w:id="106"/>
      <w:r w:rsidRPr="00695030">
        <w:rPr>
          <w:rFonts w:ascii="Times New Roman" w:eastAsia="Times New Roman" w:hAnsi="Times New Roman"/>
          <w:sz w:val="24"/>
          <w:szCs w:val="24"/>
        </w:rPr>
        <w:t xml:space="preserve">., U.S. District Court Judge Sandra J. Feuerstein granted defense motion for summary judgment, and dismissed lawsuit by the homeowner arrested for menacing the firefighters.  </w:t>
      </w:r>
    </w:p>
    <w:p w14:paraId="1BB0DD49" w14:textId="70246BFC" w:rsidR="00C9355B" w:rsidRPr="00965872" w:rsidRDefault="00C9355B" w:rsidP="00965872">
      <w:pPr>
        <w:pStyle w:val="NoSpacing"/>
        <w:ind w:left="720"/>
        <w:rPr>
          <w:rFonts w:ascii="Times New Roman" w:hAnsi="Times New Roman"/>
          <w:sz w:val="24"/>
          <w:szCs w:val="24"/>
        </w:rPr>
      </w:pPr>
      <w:r w:rsidRPr="00965872">
        <w:rPr>
          <w:rFonts w:ascii="Times New Roman" w:hAnsi="Times New Roman"/>
          <w:sz w:val="24"/>
          <w:szCs w:val="24"/>
        </w:rPr>
        <w:t xml:space="preserve">“There are no factual allegations to plausibly suggest that Defendants lacked reasonable cause to believe that </w:t>
      </w:r>
      <w:proofErr w:type="spellStart"/>
      <w:r w:rsidRPr="00965872">
        <w:rPr>
          <w:rFonts w:ascii="Times New Roman" w:hAnsi="Times New Roman"/>
          <w:sz w:val="24"/>
          <w:szCs w:val="24"/>
        </w:rPr>
        <w:t>Semencic</w:t>
      </w:r>
      <w:proofErr w:type="spellEnd"/>
      <w:r w:rsidRPr="00965872">
        <w:rPr>
          <w:rFonts w:ascii="Times New Roman" w:hAnsi="Times New Roman"/>
          <w:sz w:val="24"/>
          <w:szCs w:val="24"/>
        </w:rPr>
        <w:t xml:space="preserve"> had menaced Maloney with a weapon in violation of New York law. Plaintiff was charged by information with menacing in the second degree, which provides that ‘[a] person is guilty of menacing in the second degree when. . . He or she intentionally places or attempts to place another person in reasonable fear of physical injury, serious physical injury or death by displaying a deadly weapon, dangerous instrument or what appears to be a pistol, revolver, rifle, shotgun, machine gun or other firearm. . …’  N.Y. PENAL LAW § 120.14. </w:t>
      </w:r>
      <w:proofErr w:type="spellStart"/>
      <w:r w:rsidRPr="00965872">
        <w:rPr>
          <w:rFonts w:ascii="Times New Roman" w:hAnsi="Times New Roman"/>
          <w:sz w:val="24"/>
          <w:szCs w:val="24"/>
        </w:rPr>
        <w:t>Semencic's</w:t>
      </w:r>
      <w:proofErr w:type="spellEnd"/>
      <w:r w:rsidRPr="00965872">
        <w:rPr>
          <w:rFonts w:ascii="Times New Roman" w:hAnsi="Times New Roman"/>
          <w:sz w:val="24"/>
          <w:szCs w:val="24"/>
        </w:rPr>
        <w:t xml:space="preserve"> own version of the events, in which he concedes his display of the gun, coupled with [firefighter] Maloney's assertion in his statement that he was ‘in fear of his life,’ essentially establishes a menacing charge.  ***  </w:t>
      </w:r>
      <w:r w:rsidRPr="00965872">
        <w:rPr>
          <w:rFonts w:ascii="Times New Roman" w:hAnsi="Times New Roman"/>
          <w:bCs/>
          <w:sz w:val="24"/>
          <w:szCs w:val="24"/>
        </w:rPr>
        <w:t>[P]</w:t>
      </w:r>
      <w:proofErr w:type="spellStart"/>
      <w:r w:rsidRPr="00965872">
        <w:rPr>
          <w:rFonts w:ascii="Times New Roman" w:hAnsi="Times New Roman"/>
          <w:bCs/>
          <w:sz w:val="24"/>
          <w:szCs w:val="24"/>
        </w:rPr>
        <w:t>ointing</w:t>
      </w:r>
      <w:proofErr w:type="spellEnd"/>
      <w:r w:rsidRPr="00965872">
        <w:rPr>
          <w:rFonts w:ascii="Times New Roman" w:hAnsi="Times New Roman"/>
          <w:bCs/>
          <w:sz w:val="24"/>
          <w:szCs w:val="24"/>
        </w:rPr>
        <w:t xml:space="preserve"> a gun at and tapping that gun against a 'Do Not Knock No Peddlers' sign and saying 'Go Away' can</w:t>
      </w:r>
      <w:r w:rsidRPr="00965872">
        <w:rPr>
          <w:rFonts w:ascii="Times New Roman" w:hAnsi="Times New Roman"/>
          <w:sz w:val="24"/>
          <w:szCs w:val="24"/>
        </w:rPr>
        <w:t xml:space="preserve">, </w:t>
      </w:r>
      <w:r w:rsidRPr="00965872">
        <w:rPr>
          <w:rFonts w:ascii="Times New Roman" w:hAnsi="Times New Roman"/>
          <w:bCs/>
          <w:sz w:val="24"/>
          <w:szCs w:val="24"/>
        </w:rPr>
        <w:t>given what guns are designed to do</w:t>
      </w:r>
      <w:r w:rsidRPr="00965872">
        <w:rPr>
          <w:rFonts w:ascii="Times New Roman" w:hAnsi="Times New Roman"/>
          <w:sz w:val="24"/>
          <w:szCs w:val="24"/>
        </w:rPr>
        <w:t xml:space="preserve">, </w:t>
      </w:r>
      <w:r w:rsidRPr="00965872">
        <w:rPr>
          <w:rFonts w:ascii="Times New Roman" w:hAnsi="Times New Roman"/>
          <w:bCs/>
          <w:sz w:val="24"/>
          <w:szCs w:val="24"/>
        </w:rPr>
        <w:t xml:space="preserve">be perceived as an attempt to instill the requisite fear that injury will ensue if the sign and the command are not obeyed. [Emphasis by Judge Feuerstein.]” </w:t>
      </w:r>
      <w:bookmarkStart w:id="107" w:name="_Hlk39822186"/>
      <w:r w:rsidR="00F2621E">
        <w:lastRenderedPageBreak/>
        <w:fldChar w:fldCharType="begin"/>
      </w:r>
      <w:r w:rsidR="00F2621E">
        <w:instrText xml:space="preserve"> HYPERLINK "https://public.fastcase.com/Wl%2B2t%2BeVuI35%2FN70vAMFZnOfSxLvAGpuUD2VM9emafhy4fr43G9Vd6d9h%2FUBoSxo" </w:instrText>
      </w:r>
      <w:r w:rsidR="00F2621E">
        <w:fldChar w:fldCharType="separate"/>
      </w:r>
      <w:r w:rsidRPr="00965872">
        <w:rPr>
          <w:rStyle w:val="Hyperlink"/>
          <w:rFonts w:ascii="Times New Roman" w:hAnsi="Times New Roman"/>
          <w:b/>
          <w:sz w:val="24"/>
          <w:szCs w:val="24"/>
        </w:rPr>
        <w:t>https://public.fastcase.com/Wl%2B2t%2BeVuI35%2FN70vAMFZnOfSxLvAGpuUD2VM9emafhy4fr43G9Vd6d9h%2FUBoSxo</w:t>
      </w:r>
      <w:r w:rsidR="00F2621E">
        <w:rPr>
          <w:rStyle w:val="Hyperlink"/>
          <w:rFonts w:ascii="Times New Roman" w:hAnsi="Times New Roman"/>
          <w:b/>
          <w:sz w:val="24"/>
          <w:szCs w:val="24"/>
        </w:rPr>
        <w:fldChar w:fldCharType="end"/>
      </w:r>
    </w:p>
    <w:bookmarkEnd w:id="107"/>
    <w:p w14:paraId="1834C4B4" w14:textId="77777777" w:rsidR="00C9355B" w:rsidRPr="00503E8F" w:rsidRDefault="00C9355B" w:rsidP="00C9355B">
      <w:pPr>
        <w:pStyle w:val="NormalWeb"/>
        <w:rPr>
          <w:bCs/>
        </w:rPr>
      </w:pPr>
      <w:r w:rsidRPr="00695030">
        <w:rPr>
          <w:b/>
        </w:rPr>
        <w:t xml:space="preserve">Legal Lessons Learned:  Suggestion – conduct “door to door” solicitations in pairs, in uniform, and be extremely caution where the homeowner has posted Do Not Knock or similar signs.  </w:t>
      </w:r>
      <w:r>
        <w:rPr>
          <w:bCs/>
        </w:rPr>
        <w:t xml:space="preserve">See article on the arrest, </w:t>
      </w:r>
      <w:bookmarkStart w:id="108" w:name="_Hlk39822065"/>
      <w:r>
        <w:rPr>
          <w:bCs/>
        </w:rPr>
        <w:t xml:space="preserve">“West Hempstead man menaced fire volunteer with gun, police say” (July 20, 2016):  </w:t>
      </w:r>
      <w:hyperlink r:id="rId556" w:history="1">
        <w:r w:rsidRPr="0063481C">
          <w:rPr>
            <w:rStyle w:val="Hyperlink"/>
          </w:rPr>
          <w:t>https://www.newsday.com/long-island/crime/west-hempstead-man-menaced-fire-volunteer-with-gun-police-say-1.12068135</w:t>
        </w:r>
      </w:hyperlink>
      <w:bookmarkEnd w:id="108"/>
      <w:r>
        <w:rPr>
          <w:bCs/>
        </w:rPr>
        <w:t xml:space="preserve"> </w:t>
      </w:r>
    </w:p>
    <w:p w14:paraId="2C2C5FD7" w14:textId="3D658942" w:rsidR="00C9355B" w:rsidRDefault="00C9355B" w:rsidP="00EF1133">
      <w:pPr>
        <w:pStyle w:val="NoSpacing"/>
        <w:rPr>
          <w:rFonts w:ascii="Arial Black" w:hAnsi="Arial Black"/>
          <w:sz w:val="24"/>
          <w:szCs w:val="24"/>
        </w:rPr>
      </w:pPr>
    </w:p>
    <w:p w14:paraId="7B4F6DC2" w14:textId="042AFCC8" w:rsidR="00C9355B" w:rsidRDefault="00C9355B" w:rsidP="00EF1133">
      <w:pPr>
        <w:pStyle w:val="NoSpacing"/>
        <w:rPr>
          <w:rFonts w:ascii="Arial Black" w:hAnsi="Arial Black"/>
          <w:sz w:val="24"/>
          <w:szCs w:val="24"/>
        </w:rPr>
      </w:pPr>
      <w:r>
        <w:rPr>
          <w:rFonts w:ascii="Arial Black" w:hAnsi="Arial Black"/>
          <w:sz w:val="24"/>
          <w:szCs w:val="24"/>
        </w:rPr>
        <w:t>2-26</w:t>
      </w:r>
    </w:p>
    <w:p w14:paraId="181DDE5E" w14:textId="4CE88308" w:rsidR="00C9355B" w:rsidRDefault="00C9355B" w:rsidP="00EF1133">
      <w:pPr>
        <w:pStyle w:val="NoSpacing"/>
        <w:rPr>
          <w:rFonts w:ascii="Arial Black" w:hAnsi="Arial Black"/>
          <w:sz w:val="24"/>
          <w:szCs w:val="24"/>
        </w:rPr>
      </w:pPr>
    </w:p>
    <w:p w14:paraId="67BAB4E4" w14:textId="77777777" w:rsidR="00C9355B" w:rsidRDefault="00C9355B" w:rsidP="00C9355B">
      <w:pPr>
        <w:pStyle w:val="NoSpacing"/>
        <w:rPr>
          <w:rFonts w:ascii="Arial Black" w:hAnsi="Arial Black"/>
          <w:b/>
          <w:bCs/>
          <w:sz w:val="28"/>
          <w:szCs w:val="28"/>
        </w:rPr>
      </w:pPr>
      <w:r w:rsidRPr="00F90324">
        <w:rPr>
          <w:rFonts w:ascii="Arial Black" w:hAnsi="Arial Black"/>
          <w:bCs/>
          <w:sz w:val="28"/>
          <w:szCs w:val="28"/>
        </w:rPr>
        <w:t xml:space="preserve">LA: </w:t>
      </w:r>
      <w:r>
        <w:rPr>
          <w:rFonts w:ascii="Arial Black" w:hAnsi="Arial Black"/>
          <w:bCs/>
          <w:sz w:val="28"/>
          <w:szCs w:val="28"/>
        </w:rPr>
        <w:t>OFFICER INJURED - “BLACK LIVES” PROTEST – SUING PROTEST LEADER – TOUGH CASE TO WIN / FIREMAN’S RULE</w:t>
      </w:r>
    </w:p>
    <w:p w14:paraId="00BA7CE7" w14:textId="77777777" w:rsidR="00C9355B" w:rsidRDefault="00C9355B" w:rsidP="00C9355B">
      <w:pPr>
        <w:pStyle w:val="NoSpacing"/>
        <w:rPr>
          <w:b/>
          <w:bCs/>
          <w:sz w:val="24"/>
          <w:szCs w:val="24"/>
        </w:rPr>
      </w:pPr>
    </w:p>
    <w:p w14:paraId="0D5656E1" w14:textId="77777777" w:rsidR="00C9355B" w:rsidRDefault="00C9355B" w:rsidP="00C9355B">
      <w:pPr>
        <w:pStyle w:val="NoSpacing"/>
        <w:rPr>
          <w:rFonts w:ascii="Times New Roman" w:hAnsi="Times New Roman"/>
          <w:bCs/>
          <w:sz w:val="24"/>
          <w:szCs w:val="24"/>
        </w:rPr>
      </w:pPr>
      <w:r w:rsidRPr="00695030">
        <w:rPr>
          <w:rFonts w:ascii="Times New Roman" w:hAnsi="Times New Roman"/>
          <w:bCs/>
          <w:sz w:val="24"/>
          <w:szCs w:val="24"/>
        </w:rPr>
        <w:t xml:space="preserve">On Jan. 28, 2020, in </w:t>
      </w:r>
      <w:r w:rsidRPr="00695030">
        <w:rPr>
          <w:rFonts w:ascii="Times New Roman" w:hAnsi="Times New Roman"/>
          <w:bCs/>
          <w:sz w:val="24"/>
          <w:szCs w:val="24"/>
          <w:u w:val="single"/>
        </w:rPr>
        <w:t>Officer John Doe v. Deray McKesson; Black Lives Matter</w:t>
      </w:r>
      <w:r w:rsidRPr="00695030">
        <w:rPr>
          <w:rFonts w:ascii="Times New Roman" w:hAnsi="Times New Roman"/>
          <w:bCs/>
          <w:sz w:val="24"/>
          <w:szCs w:val="24"/>
        </w:rPr>
        <w:t>, the U.S. Court of Appeals for 5</w:t>
      </w:r>
      <w:r w:rsidRPr="00695030">
        <w:rPr>
          <w:rFonts w:ascii="Times New Roman" w:hAnsi="Times New Roman"/>
          <w:bCs/>
          <w:sz w:val="24"/>
          <w:szCs w:val="24"/>
          <w:vertAlign w:val="superscript"/>
        </w:rPr>
        <w:t>th</w:t>
      </w:r>
      <w:r w:rsidRPr="00695030">
        <w:rPr>
          <w:rFonts w:ascii="Times New Roman" w:hAnsi="Times New Roman"/>
          <w:bCs/>
          <w:sz w:val="24"/>
          <w:szCs w:val="24"/>
        </w:rPr>
        <w:t xml:space="preserve"> Circuit (New Orleans), declined to hear the appeal </w:t>
      </w:r>
      <w:proofErr w:type="spellStart"/>
      <w:r w:rsidRPr="00695030">
        <w:rPr>
          <w:rFonts w:ascii="Times New Roman" w:hAnsi="Times New Roman"/>
          <w:bCs/>
          <w:sz w:val="24"/>
          <w:szCs w:val="24"/>
        </w:rPr>
        <w:t>en</w:t>
      </w:r>
      <w:proofErr w:type="spellEnd"/>
      <w:r w:rsidRPr="00695030">
        <w:rPr>
          <w:rFonts w:ascii="Times New Roman" w:hAnsi="Times New Roman"/>
          <w:bCs/>
          <w:sz w:val="24"/>
          <w:szCs w:val="24"/>
        </w:rPr>
        <w:t xml:space="preserve"> banc (by all 16 Circuit Court judges (on a tie vote of 8 to 8).   Dec. 16, </w:t>
      </w:r>
      <w:proofErr w:type="gramStart"/>
      <w:r w:rsidRPr="00695030">
        <w:rPr>
          <w:rFonts w:ascii="Times New Roman" w:hAnsi="Times New Roman"/>
          <w:bCs/>
          <w:sz w:val="24"/>
          <w:szCs w:val="24"/>
        </w:rPr>
        <w:t>2019</w:t>
      </w:r>
      <w:proofErr w:type="gramEnd"/>
      <w:r w:rsidRPr="00695030">
        <w:rPr>
          <w:rFonts w:ascii="Times New Roman" w:hAnsi="Times New Roman"/>
          <w:bCs/>
          <w:sz w:val="24"/>
          <w:szCs w:val="24"/>
        </w:rPr>
        <w:t xml:space="preserve"> decision by 3-judge panel held (2 to 1) that the police officer’s lawsuit against the protest organizer, </w:t>
      </w:r>
    </w:p>
    <w:p w14:paraId="444FA89E" w14:textId="77777777" w:rsidR="00C9355B" w:rsidRDefault="00C9355B" w:rsidP="00C9355B">
      <w:pPr>
        <w:pStyle w:val="NoSpacing"/>
        <w:rPr>
          <w:rFonts w:ascii="Times New Roman" w:hAnsi="Times New Roman"/>
          <w:bCs/>
          <w:sz w:val="24"/>
          <w:szCs w:val="24"/>
        </w:rPr>
      </w:pPr>
    </w:p>
    <w:p w14:paraId="3F048130" w14:textId="77777777" w:rsidR="00C9355B" w:rsidRPr="00695030" w:rsidRDefault="00C9355B" w:rsidP="00C9355B">
      <w:pPr>
        <w:pStyle w:val="NoSpacing"/>
        <w:rPr>
          <w:rFonts w:ascii="Times New Roman" w:hAnsi="Times New Roman"/>
          <w:b/>
          <w:bCs/>
          <w:sz w:val="24"/>
          <w:szCs w:val="24"/>
        </w:rPr>
      </w:pPr>
      <w:proofErr w:type="gramStart"/>
      <w:r w:rsidRPr="00695030">
        <w:rPr>
          <w:rFonts w:ascii="Times New Roman" w:hAnsi="Times New Roman"/>
          <w:bCs/>
          <w:sz w:val="24"/>
          <w:szCs w:val="24"/>
        </w:rPr>
        <w:t>Deray McKesson,</w:t>
      </w:r>
      <w:proofErr w:type="gramEnd"/>
      <w:r w:rsidRPr="00695030">
        <w:rPr>
          <w:rFonts w:ascii="Times New Roman" w:hAnsi="Times New Roman"/>
          <w:bCs/>
          <w:sz w:val="24"/>
          <w:szCs w:val="24"/>
        </w:rPr>
        <w:t xml:space="preserve"> would be reinstated and </w:t>
      </w:r>
      <w:proofErr w:type="gramStart"/>
      <w:r w:rsidRPr="00695030">
        <w:rPr>
          <w:rFonts w:ascii="Times New Roman" w:hAnsi="Times New Roman"/>
          <w:bCs/>
          <w:sz w:val="24"/>
          <w:szCs w:val="24"/>
        </w:rPr>
        <w:t>remanded</w:t>
      </w:r>
      <w:proofErr w:type="gramEnd"/>
      <w:r w:rsidRPr="00695030">
        <w:rPr>
          <w:rFonts w:ascii="Times New Roman" w:hAnsi="Times New Roman"/>
          <w:bCs/>
          <w:sz w:val="24"/>
          <w:szCs w:val="24"/>
        </w:rPr>
        <w:t xml:space="preserve"> to trial judge.  In the Dec. 16, </w:t>
      </w:r>
      <w:proofErr w:type="gramStart"/>
      <w:r w:rsidRPr="00695030">
        <w:rPr>
          <w:rFonts w:ascii="Times New Roman" w:hAnsi="Times New Roman"/>
          <w:bCs/>
          <w:sz w:val="24"/>
          <w:szCs w:val="24"/>
        </w:rPr>
        <w:t>2020</w:t>
      </w:r>
      <w:proofErr w:type="gramEnd"/>
      <w:r w:rsidRPr="00695030">
        <w:rPr>
          <w:rFonts w:ascii="Times New Roman" w:hAnsi="Times New Roman"/>
          <w:bCs/>
          <w:sz w:val="24"/>
          <w:szCs w:val="24"/>
        </w:rPr>
        <w:t xml:space="preserve"> decision, Circuit Judge E. Grady Loll wrote:   </w:t>
      </w:r>
    </w:p>
    <w:p w14:paraId="2ADCF10B" w14:textId="77777777" w:rsidR="00C9355B" w:rsidRPr="00695030" w:rsidRDefault="00C9355B" w:rsidP="00C9355B">
      <w:pPr>
        <w:pStyle w:val="NoSpacing"/>
        <w:rPr>
          <w:rFonts w:ascii="Times New Roman" w:hAnsi="Times New Roman"/>
          <w:b/>
          <w:bCs/>
          <w:sz w:val="24"/>
          <w:szCs w:val="24"/>
        </w:rPr>
      </w:pPr>
    </w:p>
    <w:p w14:paraId="79180E55" w14:textId="77777777" w:rsidR="00C9355B" w:rsidRPr="00695030" w:rsidRDefault="00C9355B" w:rsidP="00C9355B">
      <w:pPr>
        <w:pStyle w:val="NoSpacing"/>
        <w:ind w:left="720"/>
        <w:rPr>
          <w:rFonts w:ascii="Times New Roman" w:eastAsia="Times New Roman" w:hAnsi="Times New Roman"/>
          <w:b/>
          <w:bCs/>
          <w:sz w:val="24"/>
          <w:szCs w:val="24"/>
        </w:rPr>
      </w:pPr>
      <w:r w:rsidRPr="00695030">
        <w:rPr>
          <w:rFonts w:ascii="Times New Roman" w:eastAsia="Times New Roman" w:hAnsi="Times New Roman"/>
          <w:bCs/>
          <w:sz w:val="24"/>
          <w:szCs w:val="24"/>
        </w:rPr>
        <w:t>“</w:t>
      </w:r>
      <w:r w:rsidRPr="00695030">
        <w:rPr>
          <w:rFonts w:ascii="Times New Roman" w:hAnsi="Times New Roman"/>
          <w:bCs/>
          <w:sz w:val="24"/>
          <w:szCs w:val="24"/>
        </w:rPr>
        <w:t xml:space="preserve">We first note that this case comes before us from a dismissal on the pleadings alone. In this context, we find that Officer Doe has plausibly alleged that Mckesson breached his duty of reasonable care </w:t>
      </w:r>
      <w:proofErr w:type="gramStart"/>
      <w:r w:rsidRPr="00695030">
        <w:rPr>
          <w:rFonts w:ascii="Times New Roman" w:hAnsi="Times New Roman"/>
          <w:bCs/>
          <w:sz w:val="24"/>
          <w:szCs w:val="24"/>
        </w:rPr>
        <w:t>in the course of</w:t>
      </w:r>
      <w:proofErr w:type="gramEnd"/>
      <w:r w:rsidRPr="00695030">
        <w:rPr>
          <w:rFonts w:ascii="Times New Roman" w:hAnsi="Times New Roman"/>
          <w:bCs/>
          <w:sz w:val="24"/>
          <w:szCs w:val="24"/>
        </w:rPr>
        <w:t xml:space="preserve"> organizing and leading the Baton Rouge demonstration. The complaint alleges that Mckesson planned to block a public highway as part of the protest. And the complaint specifically alleges that Mckesson </w:t>
      </w:r>
      <w:proofErr w:type="gramStart"/>
      <w:r w:rsidRPr="00695030">
        <w:rPr>
          <w:rFonts w:ascii="Times New Roman" w:hAnsi="Times New Roman"/>
          <w:bCs/>
          <w:sz w:val="24"/>
          <w:szCs w:val="24"/>
        </w:rPr>
        <w:t>was in charge of</w:t>
      </w:r>
      <w:proofErr w:type="gramEnd"/>
      <w:r w:rsidRPr="00695030">
        <w:rPr>
          <w:rFonts w:ascii="Times New Roman" w:hAnsi="Times New Roman"/>
          <w:bCs/>
          <w:sz w:val="24"/>
          <w:szCs w:val="24"/>
        </w:rPr>
        <w:t xml:space="preserve"> the protests and was seen and heard giving orders throughout the day and night of the protests. Blocking a public highway is a criminal act under Louisiana law. See La. Rev. Stat. Ann. § 14:97. Indeed, the complaint alleges that Mckesson himself was arrested during the demonstration. It was patently foreseeable that the Baton Rouge police would be required to respond to the demonstration by clearing the highway and, when necessary, making arrests. Given the intentional lawlessness of this aspect of the demonstration, Mckesson should have known that leading the demonstrators onto a busy highway was likely to provoke a confrontation between police and the mass of demonstrators, yet he ignored the foreseeable danger to officers, bystanders, and demonstrators, and notwithstanding, did so anyway.”  </w:t>
      </w:r>
      <w:hyperlink r:id="rId557" w:history="1">
        <w:r w:rsidRPr="00695030">
          <w:rPr>
            <w:rStyle w:val="Hyperlink"/>
            <w:rFonts w:ascii="Times New Roman" w:hAnsi="Times New Roman"/>
            <w:b/>
            <w:sz w:val="24"/>
            <w:szCs w:val="24"/>
          </w:rPr>
          <w:t>http://www.ca5.uscourts.gov/opinions/pub/17/17-30864-CV1.pdf</w:t>
        </w:r>
      </w:hyperlink>
      <w:r w:rsidRPr="00695030">
        <w:rPr>
          <w:rFonts w:ascii="Times New Roman" w:hAnsi="Times New Roman"/>
          <w:bCs/>
          <w:sz w:val="24"/>
          <w:szCs w:val="24"/>
        </w:rPr>
        <w:t xml:space="preserve"> </w:t>
      </w:r>
    </w:p>
    <w:p w14:paraId="070AF6AA" w14:textId="77777777" w:rsidR="00C9355B" w:rsidRDefault="00C9355B" w:rsidP="00C9355B">
      <w:pPr>
        <w:pStyle w:val="NoSpacing"/>
        <w:rPr>
          <w:rFonts w:ascii="Times New Roman" w:hAnsi="Times New Roman"/>
          <w:b/>
          <w:bCs/>
          <w:sz w:val="24"/>
          <w:szCs w:val="24"/>
        </w:rPr>
      </w:pPr>
    </w:p>
    <w:p w14:paraId="1ED0DB47" w14:textId="6417FB27" w:rsidR="00C9355B" w:rsidRPr="00695030" w:rsidRDefault="00C9355B" w:rsidP="00C9355B">
      <w:pPr>
        <w:pStyle w:val="NoSpacing"/>
        <w:rPr>
          <w:rFonts w:ascii="Times New Roman" w:hAnsi="Times New Roman"/>
          <w:sz w:val="24"/>
          <w:szCs w:val="24"/>
        </w:rPr>
      </w:pPr>
      <w:r w:rsidRPr="00695030">
        <w:rPr>
          <w:rFonts w:ascii="Times New Roman" w:hAnsi="Times New Roman"/>
          <w:b/>
          <w:bCs/>
          <w:sz w:val="24"/>
          <w:szCs w:val="24"/>
        </w:rPr>
        <w:t>Legal Lessons Learned:  On remand, the police officer has an “uphill battle” to overcome the Professional Rescuer Doctrine [also known as the Fireman’s Rule].</w:t>
      </w:r>
      <w:r w:rsidRPr="00695030">
        <w:rPr>
          <w:rFonts w:ascii="Times New Roman" w:hAnsi="Times New Roman"/>
          <w:sz w:val="24"/>
          <w:szCs w:val="24"/>
        </w:rPr>
        <w:t xml:space="preserve">   See dissent by Circuit Judge James C. Ho, in the Jan. 28, </w:t>
      </w:r>
      <w:proofErr w:type="gramStart"/>
      <w:r w:rsidRPr="00695030">
        <w:rPr>
          <w:rFonts w:ascii="Times New Roman" w:hAnsi="Times New Roman"/>
          <w:sz w:val="24"/>
          <w:szCs w:val="24"/>
        </w:rPr>
        <w:t>2020</w:t>
      </w:r>
      <w:proofErr w:type="gramEnd"/>
      <w:r w:rsidRPr="00695030">
        <w:rPr>
          <w:rFonts w:ascii="Times New Roman" w:hAnsi="Times New Roman"/>
          <w:sz w:val="24"/>
          <w:szCs w:val="24"/>
        </w:rPr>
        <w:t xml:space="preserve"> decision of 5</w:t>
      </w:r>
      <w:r w:rsidRPr="00695030">
        <w:rPr>
          <w:rFonts w:ascii="Times New Roman" w:hAnsi="Times New Roman"/>
          <w:sz w:val="24"/>
          <w:szCs w:val="24"/>
          <w:vertAlign w:val="superscript"/>
        </w:rPr>
        <w:t>th</w:t>
      </w:r>
      <w:r w:rsidRPr="00695030">
        <w:rPr>
          <w:rFonts w:ascii="Times New Roman" w:hAnsi="Times New Roman"/>
          <w:sz w:val="24"/>
          <w:szCs w:val="24"/>
        </w:rPr>
        <w:t xml:space="preserve"> Circuit (on tie vote of 8 to 8) to not rehear the case </w:t>
      </w:r>
      <w:proofErr w:type="spellStart"/>
      <w:r w:rsidRPr="00695030">
        <w:rPr>
          <w:rFonts w:ascii="Times New Roman" w:hAnsi="Times New Roman"/>
          <w:sz w:val="24"/>
          <w:szCs w:val="24"/>
        </w:rPr>
        <w:t>en</w:t>
      </w:r>
      <w:proofErr w:type="spellEnd"/>
      <w:r w:rsidRPr="00695030">
        <w:rPr>
          <w:rFonts w:ascii="Times New Roman" w:hAnsi="Times New Roman"/>
          <w:sz w:val="24"/>
          <w:szCs w:val="24"/>
        </w:rPr>
        <w:t xml:space="preserve"> banc. </w:t>
      </w:r>
    </w:p>
    <w:p w14:paraId="4D78FC86" w14:textId="77777777" w:rsidR="00C9355B" w:rsidRPr="00695030" w:rsidRDefault="00C9355B" w:rsidP="00C9355B">
      <w:pPr>
        <w:pStyle w:val="NoSpacing"/>
        <w:ind w:left="720"/>
        <w:rPr>
          <w:rFonts w:ascii="Times New Roman" w:hAnsi="Times New Roman"/>
          <w:b/>
          <w:bCs/>
          <w:sz w:val="24"/>
          <w:szCs w:val="24"/>
        </w:rPr>
      </w:pPr>
    </w:p>
    <w:p w14:paraId="357C7054"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 xml:space="preserve">“Police officers and firefighters dedicate their lives to protecting others, often putting themselves in harm’s way. These are difficult and dangerous jobs, and citizens owe a debt of gratitude to those who are willing and able to perform them. What’s more, police officers and firefighters assume the risk that they may </w:t>
      </w:r>
      <w:proofErr w:type="spellStart"/>
      <w:r w:rsidRPr="00695030">
        <w:rPr>
          <w:rFonts w:ascii="Times New Roman" w:hAnsi="Times New Roman"/>
          <w:bCs/>
          <w:sz w:val="24"/>
          <w:szCs w:val="24"/>
        </w:rPr>
        <w:t>bissent</w:t>
      </w:r>
      <w:proofErr w:type="spellEnd"/>
      <w:r w:rsidRPr="00695030">
        <w:rPr>
          <w:rFonts w:ascii="Times New Roman" w:hAnsi="Times New Roman"/>
          <w:bCs/>
          <w:sz w:val="24"/>
          <w:szCs w:val="24"/>
        </w:rPr>
        <w:t xml:space="preserve"> e injured in the line of duty. </w:t>
      </w:r>
      <w:proofErr w:type="gramStart"/>
      <w:r w:rsidRPr="00695030">
        <w:rPr>
          <w:rFonts w:ascii="Times New Roman" w:hAnsi="Times New Roman"/>
          <w:bCs/>
          <w:sz w:val="24"/>
          <w:szCs w:val="24"/>
        </w:rPr>
        <w:t>So</w:t>
      </w:r>
      <w:proofErr w:type="gramEnd"/>
      <w:r w:rsidRPr="00695030">
        <w:rPr>
          <w:rFonts w:ascii="Times New Roman" w:hAnsi="Times New Roman"/>
          <w:bCs/>
          <w:sz w:val="24"/>
          <w:szCs w:val="24"/>
        </w:rPr>
        <w:t xml:space="preserve"> they are not allowed to recover damages from those responsible for their injuries, under a common law rule known as the professional rescuer doctrine.</w:t>
      </w:r>
    </w:p>
    <w:p w14:paraId="01EE2395" w14:textId="77777777" w:rsidR="00C9355B" w:rsidRPr="00695030" w:rsidRDefault="00C9355B" w:rsidP="00C9355B">
      <w:pPr>
        <w:pStyle w:val="NoSpacing"/>
        <w:ind w:left="720"/>
        <w:rPr>
          <w:rFonts w:ascii="Times New Roman" w:hAnsi="Times New Roman"/>
          <w:b/>
          <w:bCs/>
          <w:sz w:val="24"/>
          <w:szCs w:val="24"/>
        </w:rPr>
      </w:pPr>
    </w:p>
    <w:p w14:paraId="27D7AF2C"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w:t>
      </w:r>
    </w:p>
    <w:p w14:paraId="1867ECA0" w14:textId="77777777" w:rsidR="00C9355B" w:rsidRPr="00695030" w:rsidRDefault="00C9355B" w:rsidP="00C9355B">
      <w:pPr>
        <w:pStyle w:val="NoSpacing"/>
        <w:ind w:left="720"/>
        <w:rPr>
          <w:rFonts w:ascii="Times New Roman" w:eastAsia="Times New Roman" w:hAnsi="Times New Roman"/>
          <w:b/>
          <w:sz w:val="24"/>
          <w:szCs w:val="24"/>
        </w:rPr>
      </w:pPr>
      <w:r w:rsidRPr="00695030">
        <w:rPr>
          <w:rFonts w:ascii="Times New Roman" w:hAnsi="Times New Roman"/>
          <w:bCs/>
          <w:sz w:val="24"/>
          <w:szCs w:val="24"/>
        </w:rPr>
        <w:t xml:space="preserve">Civil disobedience enjoys a rich tradition in our nation’s history. But there is a difference between civil disobedience—and civil disobedience without consequence…  Citizens may protest. But by protesting, </w:t>
      </w:r>
      <w:r w:rsidRPr="00695030">
        <w:rPr>
          <w:rFonts w:ascii="Times New Roman" w:hAnsi="Times New Roman"/>
          <w:bCs/>
          <w:sz w:val="24"/>
          <w:szCs w:val="24"/>
        </w:rPr>
        <w:lastRenderedPageBreak/>
        <w:t xml:space="preserve">the </w:t>
      </w:r>
      <w:proofErr w:type="gramStart"/>
      <w:r w:rsidRPr="00695030">
        <w:rPr>
          <w:rFonts w:ascii="Times New Roman" w:hAnsi="Times New Roman"/>
          <w:bCs/>
          <w:sz w:val="24"/>
          <w:szCs w:val="24"/>
        </w:rPr>
        <w:t>citizen does</w:t>
      </w:r>
      <w:proofErr w:type="gramEnd"/>
      <w:r w:rsidRPr="00695030">
        <w:rPr>
          <w:rFonts w:ascii="Times New Roman" w:hAnsi="Times New Roman"/>
          <w:bCs/>
          <w:sz w:val="24"/>
          <w:szCs w:val="24"/>
        </w:rPr>
        <w:t xml:space="preserve"> not suddenly gain immunity to violate traffic rules or other laws that the rest of us are required to follow. The First Amendment protects protest, not trespass. That said, this lawsuit should not proceed for an entirely different reason—the professional rescuer doctrine. I trust the district court will faithfully apply that doctrine </w:t>
      </w:r>
      <w:proofErr w:type="gramStart"/>
      <w:r w:rsidRPr="00695030">
        <w:rPr>
          <w:rFonts w:ascii="Times New Roman" w:hAnsi="Times New Roman"/>
          <w:bCs/>
          <w:sz w:val="24"/>
          <w:szCs w:val="24"/>
        </w:rPr>
        <w:t>if and when</w:t>
      </w:r>
      <w:proofErr w:type="gramEnd"/>
      <w:r w:rsidRPr="00695030">
        <w:rPr>
          <w:rFonts w:ascii="Times New Roman" w:hAnsi="Times New Roman"/>
          <w:bCs/>
          <w:sz w:val="24"/>
          <w:szCs w:val="24"/>
        </w:rPr>
        <w:t xml:space="preserve"> Mckesson invokes it, and dismiss the suit on remand, just as it did before.” </w:t>
      </w:r>
      <w:r w:rsidRPr="00695030">
        <w:rPr>
          <w:rFonts w:ascii="Times New Roman" w:eastAsia="Times New Roman" w:hAnsi="Times New Roman"/>
          <w:bCs/>
          <w:sz w:val="24"/>
          <w:szCs w:val="24"/>
        </w:rPr>
        <w:t xml:space="preserve"> </w:t>
      </w:r>
      <w:hyperlink r:id="rId558" w:history="1">
        <w:r w:rsidRPr="00695030">
          <w:rPr>
            <w:rStyle w:val="Hyperlink"/>
            <w:rFonts w:ascii="Times New Roman" w:hAnsi="Times New Roman"/>
            <w:b/>
            <w:sz w:val="24"/>
            <w:szCs w:val="24"/>
          </w:rPr>
          <w:t>http://www.ca5.uscourts.gov/opinions/pub/17/17-30864-CV2.pdf</w:t>
        </w:r>
      </w:hyperlink>
      <w:r w:rsidRPr="00695030">
        <w:rPr>
          <w:rFonts w:ascii="Times New Roman" w:eastAsia="Times New Roman" w:hAnsi="Times New Roman"/>
          <w:sz w:val="24"/>
          <w:szCs w:val="24"/>
        </w:rPr>
        <w:t xml:space="preserve"> </w:t>
      </w:r>
    </w:p>
    <w:p w14:paraId="65ED8519" w14:textId="77777777" w:rsidR="00C9355B" w:rsidRPr="00695030" w:rsidRDefault="00C9355B" w:rsidP="00C9355B">
      <w:pPr>
        <w:spacing w:before="100" w:beforeAutospacing="1" w:after="100" w:afterAutospacing="1"/>
        <w:ind w:left="720"/>
        <w:rPr>
          <w:rFonts w:ascii="Times New Roman" w:eastAsia="Times New Roman" w:hAnsi="Times New Roman"/>
          <w:b/>
          <w:bCs/>
          <w:sz w:val="24"/>
          <w:szCs w:val="24"/>
        </w:rPr>
      </w:pPr>
      <w:r w:rsidRPr="00695030">
        <w:rPr>
          <w:rFonts w:ascii="Times New Roman" w:eastAsia="Times New Roman" w:hAnsi="Times New Roman"/>
          <w:bCs/>
          <w:sz w:val="24"/>
          <w:szCs w:val="24"/>
        </w:rPr>
        <w:t xml:space="preserve">See also the ALCU’s petition requesting U.S. Supreme Court to hear the case:  </w:t>
      </w:r>
      <w:hyperlink r:id="rId559" w:history="1">
        <w:r w:rsidRPr="00695030">
          <w:rPr>
            <w:rStyle w:val="Hyperlink"/>
            <w:rFonts w:ascii="Times New Roman" w:hAnsi="Times New Roman"/>
            <w:b/>
            <w:sz w:val="24"/>
            <w:szCs w:val="24"/>
          </w:rPr>
          <w:t>https://www.aclu.org/sites/default/files/field_document/mckesson_v_doe_cert_petn_and_appendix.pdf</w:t>
        </w:r>
      </w:hyperlink>
      <w:r w:rsidRPr="00695030">
        <w:rPr>
          <w:rFonts w:ascii="Times New Roman" w:eastAsia="Times New Roman" w:hAnsi="Times New Roman"/>
          <w:bCs/>
          <w:sz w:val="24"/>
          <w:szCs w:val="24"/>
        </w:rPr>
        <w:t xml:space="preserve"> </w:t>
      </w:r>
    </w:p>
    <w:p w14:paraId="0EF79D4E" w14:textId="4C5A732E" w:rsidR="00C9355B" w:rsidRDefault="00C9355B" w:rsidP="00EF1133">
      <w:pPr>
        <w:pStyle w:val="NoSpacing"/>
        <w:rPr>
          <w:rFonts w:ascii="Arial Black" w:hAnsi="Arial Black"/>
          <w:sz w:val="24"/>
          <w:szCs w:val="24"/>
        </w:rPr>
      </w:pPr>
    </w:p>
    <w:p w14:paraId="45018E3E" w14:textId="0C7943D2" w:rsidR="00C9355B" w:rsidRDefault="00C9355B" w:rsidP="00EF1133">
      <w:pPr>
        <w:pStyle w:val="NoSpacing"/>
        <w:rPr>
          <w:rFonts w:ascii="Arial Black" w:hAnsi="Arial Black"/>
          <w:sz w:val="24"/>
          <w:szCs w:val="24"/>
        </w:rPr>
      </w:pPr>
      <w:r>
        <w:rPr>
          <w:rFonts w:ascii="Arial Black" w:hAnsi="Arial Black"/>
          <w:sz w:val="24"/>
          <w:szCs w:val="24"/>
        </w:rPr>
        <w:t>2-25</w:t>
      </w:r>
    </w:p>
    <w:p w14:paraId="773CEC28" w14:textId="77777777" w:rsidR="00C9355B" w:rsidRPr="00231496" w:rsidRDefault="00C9355B" w:rsidP="00C9355B">
      <w:pPr>
        <w:spacing w:before="100" w:beforeAutospacing="1" w:after="100" w:afterAutospacing="1"/>
        <w:rPr>
          <w:rFonts w:ascii="Arial Black" w:eastAsia="Times New Roman" w:hAnsi="Arial Black"/>
          <w:b/>
          <w:bCs/>
          <w:sz w:val="28"/>
          <w:szCs w:val="28"/>
        </w:rPr>
      </w:pPr>
      <w:bookmarkStart w:id="109" w:name="_Hlk39818125"/>
      <w:r w:rsidRPr="00231496">
        <w:rPr>
          <w:rFonts w:ascii="Arial Black" w:eastAsia="Times New Roman" w:hAnsi="Arial Black"/>
          <w:bCs/>
          <w:sz w:val="28"/>
          <w:szCs w:val="28"/>
        </w:rPr>
        <w:t xml:space="preserve">TX: </w:t>
      </w:r>
      <w:r>
        <w:rPr>
          <w:rFonts w:ascii="Arial Black" w:eastAsia="Times New Roman" w:hAnsi="Arial Black"/>
          <w:bCs/>
          <w:sz w:val="28"/>
          <w:szCs w:val="28"/>
        </w:rPr>
        <w:t xml:space="preserve">FF / BAPTIST MINISTER – OBJECTED TO TETANUS VACCINATION – DECLINED INSPECTOR JOB - FIRED </w:t>
      </w:r>
    </w:p>
    <w:p w14:paraId="6DEC8938" w14:textId="010A3488" w:rsidR="00C9355B" w:rsidRPr="00695030" w:rsidRDefault="00C9355B" w:rsidP="00C9355B">
      <w:pPr>
        <w:pStyle w:val="NoSpacing"/>
        <w:rPr>
          <w:rFonts w:ascii="Times New Roman" w:hAnsi="Times New Roman"/>
          <w:b/>
          <w:bCs/>
          <w:sz w:val="24"/>
          <w:szCs w:val="24"/>
        </w:rPr>
      </w:pPr>
      <w:r w:rsidRPr="00695030">
        <w:rPr>
          <w:rFonts w:ascii="Times New Roman" w:hAnsi="Times New Roman"/>
          <w:bCs/>
          <w:sz w:val="24"/>
          <w:szCs w:val="24"/>
        </w:rPr>
        <w:t xml:space="preserve">On Jan. 9, 2020, in </w:t>
      </w:r>
      <w:r w:rsidRPr="00695030">
        <w:rPr>
          <w:rFonts w:ascii="Times New Roman" w:hAnsi="Times New Roman"/>
          <w:bCs/>
          <w:sz w:val="24"/>
          <w:szCs w:val="24"/>
          <w:u w:val="single"/>
        </w:rPr>
        <w:t>Brett Horvath v. City of Leander, Texas</w:t>
      </w:r>
      <w:r w:rsidRPr="00695030">
        <w:rPr>
          <w:rFonts w:ascii="Times New Roman" w:hAnsi="Times New Roman"/>
          <w:bCs/>
          <w:sz w:val="24"/>
          <w:szCs w:val="24"/>
        </w:rPr>
        <w:t>, the U.S. Court of Appeals for the 5</w:t>
      </w:r>
      <w:r w:rsidRPr="00695030">
        <w:rPr>
          <w:rFonts w:ascii="Times New Roman" w:hAnsi="Times New Roman"/>
          <w:bCs/>
          <w:sz w:val="24"/>
          <w:szCs w:val="24"/>
          <w:vertAlign w:val="superscript"/>
        </w:rPr>
        <w:t>th</w:t>
      </w:r>
      <w:r w:rsidRPr="00695030">
        <w:rPr>
          <w:rFonts w:ascii="Times New Roman" w:hAnsi="Times New Roman"/>
          <w:bCs/>
          <w:sz w:val="24"/>
          <w:szCs w:val="24"/>
        </w:rPr>
        <w:t xml:space="preserve"> Circuit (New Orleans), held (3 to 0) that U.S. District Court properly granted the city’s motion for summary judgment.  The firefighter was offered transfer from </w:t>
      </w:r>
      <w:proofErr w:type="gramStart"/>
      <w:r w:rsidRPr="00695030">
        <w:rPr>
          <w:rFonts w:ascii="Times New Roman" w:hAnsi="Times New Roman"/>
          <w:bCs/>
          <w:sz w:val="24"/>
          <w:szCs w:val="24"/>
        </w:rPr>
        <w:t>24/48</w:t>
      </w:r>
      <w:r>
        <w:rPr>
          <w:rFonts w:ascii="Times New Roman" w:hAnsi="Times New Roman"/>
          <w:bCs/>
          <w:sz w:val="24"/>
          <w:szCs w:val="24"/>
        </w:rPr>
        <w:t xml:space="preserve"> </w:t>
      </w:r>
      <w:r w:rsidRPr="00695030">
        <w:rPr>
          <w:rFonts w:ascii="Times New Roman" w:hAnsi="Times New Roman"/>
          <w:bCs/>
          <w:sz w:val="24"/>
          <w:szCs w:val="24"/>
        </w:rPr>
        <w:t>hour</w:t>
      </w:r>
      <w:proofErr w:type="gramEnd"/>
      <w:r w:rsidRPr="00695030">
        <w:rPr>
          <w:rFonts w:ascii="Times New Roman" w:hAnsi="Times New Roman"/>
          <w:bCs/>
          <w:sz w:val="24"/>
          <w:szCs w:val="24"/>
        </w:rPr>
        <w:t xml:space="preserve"> driver / pump operator, to 40-hour code enforcement position; he rejected this since he ran construction company while off duty.  </w:t>
      </w:r>
    </w:p>
    <w:p w14:paraId="26590ECC" w14:textId="77777777" w:rsidR="00C9355B" w:rsidRPr="00695030" w:rsidRDefault="00C9355B" w:rsidP="00C9355B">
      <w:pPr>
        <w:pStyle w:val="NoSpacing"/>
        <w:rPr>
          <w:rFonts w:ascii="Times New Roman" w:hAnsi="Times New Roman"/>
          <w:b/>
          <w:bCs/>
          <w:sz w:val="24"/>
          <w:szCs w:val="24"/>
        </w:rPr>
      </w:pPr>
    </w:p>
    <w:p w14:paraId="41997FDA"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sz w:val="24"/>
          <w:szCs w:val="24"/>
        </w:rPr>
        <w:t xml:space="preserve">“In 2016, the Fire Department began requiring TDAP [Tetanus, Diphtheria, Pertussis Vaccine] vaccinations, to which Horvath objected on religious grounds. He was given a choice between two accommodations: transfer to a code enforcement job that did not require a vaccination, or wear a respirator mask during his shifts, keep a log of his temperature, and submit to additional medical testing. </w:t>
      </w:r>
      <w:r w:rsidRPr="00695030">
        <w:rPr>
          <w:rFonts w:ascii="Times New Roman" w:hAnsi="Times New Roman"/>
          <w:bCs/>
          <w:sz w:val="24"/>
          <w:szCs w:val="24"/>
        </w:rPr>
        <w:t xml:space="preserve">He did not accept either accommodation </w:t>
      </w:r>
      <w:proofErr w:type="gramStart"/>
      <w:r w:rsidRPr="00695030">
        <w:rPr>
          <w:rFonts w:ascii="Times New Roman" w:hAnsi="Times New Roman"/>
          <w:bCs/>
          <w:sz w:val="24"/>
          <w:szCs w:val="24"/>
        </w:rPr>
        <w:t>and</w:t>
      </w:r>
      <w:proofErr w:type="gramEnd"/>
      <w:r w:rsidRPr="00695030">
        <w:rPr>
          <w:rFonts w:ascii="Times New Roman" w:hAnsi="Times New Roman"/>
          <w:bCs/>
          <w:sz w:val="24"/>
          <w:szCs w:val="24"/>
        </w:rPr>
        <w:t xml:space="preserve"> was fired by Fire Chief Bill Gardner for insubordination.</w:t>
      </w:r>
    </w:p>
    <w:p w14:paraId="38CA9C92" w14:textId="77777777" w:rsidR="00C9355B" w:rsidRPr="00695030" w:rsidRDefault="00C9355B" w:rsidP="00C9355B">
      <w:pPr>
        <w:pStyle w:val="NoSpacing"/>
        <w:ind w:left="720"/>
        <w:rPr>
          <w:rFonts w:ascii="Times New Roman" w:hAnsi="Times New Roman"/>
          <w:b/>
          <w:bCs/>
          <w:sz w:val="24"/>
          <w:szCs w:val="24"/>
        </w:rPr>
      </w:pPr>
    </w:p>
    <w:p w14:paraId="4FE566BA"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w:t>
      </w:r>
    </w:p>
    <w:p w14:paraId="2EA2D7AC"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 xml:space="preserve">The City argues that its legitimate, non-discriminatory reason for Horvath’s termination was his defiance of a direct order by failing to select an accommodation to the TDAP vaccine policy. The district court found that ‘Horvath was terminated not for engaging in protected activity by opposing a discriminatory practice in a letter, but for failing to comply with a directive that conflicted with his religious beliefs.’ We agree.” </w:t>
      </w:r>
      <w:hyperlink r:id="rId560" w:history="1">
        <w:r w:rsidRPr="00695030">
          <w:rPr>
            <w:rStyle w:val="Hyperlink"/>
            <w:rFonts w:ascii="Times New Roman" w:hAnsi="Times New Roman"/>
            <w:b/>
            <w:sz w:val="24"/>
            <w:szCs w:val="24"/>
          </w:rPr>
          <w:t>http://www.ca5.uscourts.gov/opinions/pub/18/18-51011-CV0.pdf</w:t>
        </w:r>
      </w:hyperlink>
      <w:r w:rsidRPr="00695030">
        <w:rPr>
          <w:rFonts w:ascii="Times New Roman" w:hAnsi="Times New Roman"/>
          <w:bCs/>
          <w:sz w:val="24"/>
          <w:szCs w:val="24"/>
        </w:rPr>
        <w:t xml:space="preserve"> </w:t>
      </w:r>
    </w:p>
    <w:p w14:paraId="496AE991" w14:textId="77777777" w:rsidR="00C9355B" w:rsidRDefault="00C9355B" w:rsidP="00C9355B">
      <w:pPr>
        <w:pStyle w:val="NoSpacing"/>
        <w:rPr>
          <w:rFonts w:ascii="Times New Roman" w:hAnsi="Times New Roman"/>
          <w:b/>
          <w:bCs/>
          <w:sz w:val="24"/>
          <w:szCs w:val="24"/>
        </w:rPr>
      </w:pPr>
    </w:p>
    <w:bookmarkEnd w:id="109"/>
    <w:p w14:paraId="6EE26596" w14:textId="7E6024A6" w:rsidR="00C9355B" w:rsidRPr="00695030" w:rsidRDefault="00C9355B" w:rsidP="00C9355B">
      <w:pPr>
        <w:pStyle w:val="NoSpacing"/>
        <w:rPr>
          <w:rFonts w:ascii="Times New Roman" w:hAnsi="Times New Roman"/>
          <w:b/>
          <w:bCs/>
          <w:sz w:val="24"/>
          <w:szCs w:val="24"/>
        </w:rPr>
      </w:pPr>
      <w:r w:rsidRPr="00695030">
        <w:rPr>
          <w:rFonts w:ascii="Times New Roman" w:hAnsi="Times New Roman"/>
          <w:b/>
          <w:bCs/>
          <w:sz w:val="24"/>
          <w:szCs w:val="24"/>
        </w:rPr>
        <w:t xml:space="preserve">Legal Lessons Learned: The FD offered </w:t>
      </w:r>
      <w:proofErr w:type="gramStart"/>
      <w:r w:rsidRPr="00695030">
        <w:rPr>
          <w:rFonts w:ascii="Times New Roman" w:hAnsi="Times New Roman"/>
          <w:b/>
          <w:bCs/>
          <w:sz w:val="24"/>
          <w:szCs w:val="24"/>
        </w:rPr>
        <w:t>a reasonable</w:t>
      </w:r>
      <w:proofErr w:type="gramEnd"/>
      <w:r w:rsidRPr="00695030">
        <w:rPr>
          <w:rFonts w:ascii="Times New Roman" w:hAnsi="Times New Roman"/>
          <w:b/>
          <w:bCs/>
          <w:sz w:val="24"/>
          <w:szCs w:val="24"/>
        </w:rPr>
        <w:t xml:space="preserve"> accommodation. </w:t>
      </w:r>
    </w:p>
    <w:p w14:paraId="232B8E15" w14:textId="77777777" w:rsidR="00C9355B" w:rsidRDefault="00C9355B" w:rsidP="00EF1133">
      <w:pPr>
        <w:pStyle w:val="NoSpacing"/>
        <w:rPr>
          <w:rFonts w:ascii="Arial Black" w:hAnsi="Arial Black"/>
          <w:sz w:val="24"/>
          <w:szCs w:val="24"/>
        </w:rPr>
      </w:pPr>
    </w:p>
    <w:p w14:paraId="7E7B54C4" w14:textId="77777777" w:rsidR="00C9355B" w:rsidRDefault="00C9355B" w:rsidP="00EF1133">
      <w:pPr>
        <w:pStyle w:val="NoSpacing"/>
        <w:rPr>
          <w:rFonts w:ascii="Arial Black" w:hAnsi="Arial Black"/>
          <w:sz w:val="24"/>
          <w:szCs w:val="24"/>
        </w:rPr>
      </w:pPr>
    </w:p>
    <w:p w14:paraId="47FC28E7" w14:textId="7F9FC087" w:rsidR="00980EAD" w:rsidRDefault="00980EAD" w:rsidP="00EF1133">
      <w:pPr>
        <w:pStyle w:val="NoSpacing"/>
        <w:rPr>
          <w:rFonts w:ascii="Arial Black" w:hAnsi="Arial Black"/>
          <w:sz w:val="24"/>
          <w:szCs w:val="24"/>
        </w:rPr>
      </w:pPr>
      <w:r>
        <w:rPr>
          <w:rFonts w:ascii="Arial Black" w:hAnsi="Arial Black"/>
          <w:sz w:val="24"/>
          <w:szCs w:val="24"/>
        </w:rPr>
        <w:t>2-24</w:t>
      </w:r>
    </w:p>
    <w:p w14:paraId="67A3FDBA" w14:textId="1949C687" w:rsidR="00980EAD" w:rsidRDefault="00980EAD" w:rsidP="00EF1133">
      <w:pPr>
        <w:pStyle w:val="NoSpacing"/>
        <w:rPr>
          <w:rFonts w:ascii="Arial Black" w:hAnsi="Arial Black"/>
          <w:sz w:val="24"/>
          <w:szCs w:val="24"/>
        </w:rPr>
      </w:pPr>
    </w:p>
    <w:p w14:paraId="6776F59D" w14:textId="77777777" w:rsidR="00980EAD" w:rsidRDefault="00980EAD" w:rsidP="00980EAD">
      <w:pPr>
        <w:pStyle w:val="NoSpacing"/>
        <w:rPr>
          <w:rFonts w:ascii="Arial Black" w:hAnsi="Arial Black" w:cstheme="minorBidi"/>
          <w:sz w:val="28"/>
          <w:szCs w:val="28"/>
        </w:rPr>
      </w:pPr>
      <w:r>
        <w:rPr>
          <w:rFonts w:ascii="Arial Black" w:hAnsi="Arial Black"/>
          <w:sz w:val="28"/>
          <w:szCs w:val="28"/>
        </w:rPr>
        <w:t>NY:  FF WORKED WTC – HEART ATTACK / DROWNING – 7-YR APPEAL - MEDICAL BOARD “BAD FAITH”, NO SANCTIONS</w:t>
      </w:r>
    </w:p>
    <w:p w14:paraId="59B97162" w14:textId="77777777" w:rsidR="00980EAD" w:rsidRDefault="00980EAD" w:rsidP="00980EAD">
      <w:pPr>
        <w:pStyle w:val="NoSpacing"/>
        <w:rPr>
          <w:rFonts w:ascii="Arial Black" w:hAnsi="Arial Black"/>
          <w:sz w:val="28"/>
          <w:szCs w:val="28"/>
        </w:rPr>
      </w:pPr>
    </w:p>
    <w:p w14:paraId="3A3FA547" w14:textId="77777777" w:rsidR="00980EAD" w:rsidRDefault="00980EAD" w:rsidP="00980EAD">
      <w:pPr>
        <w:pStyle w:val="NoSpacing"/>
        <w:rPr>
          <w:rFonts w:ascii="Times New Roman" w:hAnsi="Times New Roman"/>
          <w:sz w:val="24"/>
          <w:szCs w:val="24"/>
        </w:rPr>
      </w:pPr>
      <w:r>
        <w:rPr>
          <w:rFonts w:ascii="Times New Roman" w:hAnsi="Times New Roman"/>
          <w:sz w:val="24"/>
          <w:szCs w:val="24"/>
        </w:rPr>
        <w:t xml:space="preserve">On Dec. 4, 2019, in </w:t>
      </w:r>
      <w:r>
        <w:rPr>
          <w:rFonts w:ascii="Times New Roman" w:hAnsi="Times New Roman"/>
          <w:sz w:val="24"/>
          <w:szCs w:val="24"/>
          <w:u w:val="single"/>
        </w:rPr>
        <w:t>Fernandez v. Nigro</w:t>
      </w:r>
      <w:r>
        <w:rPr>
          <w:rFonts w:ascii="Times New Roman" w:hAnsi="Times New Roman"/>
          <w:sz w:val="24"/>
          <w:szCs w:val="24"/>
        </w:rPr>
        <w:t xml:space="preserve">, the Supreme Court of New York / Appellate Division (Second Judicial Department), 2019 NY Slip Opinion 8672, held (3 to 0) that trial judge did not have authority to impose additional sanctions against the Fire Department for “bad faith” in denying benefits for seven years. </w:t>
      </w:r>
    </w:p>
    <w:p w14:paraId="36B4651E" w14:textId="77777777" w:rsidR="00980EAD" w:rsidRDefault="00980EAD" w:rsidP="00980EA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lastRenderedPageBreak/>
        <w:t xml:space="preserve">“The conduct at issue did not constitute conduct in the proceeding before the court and, therefore, sanctions were not authorized by 22 NYCRR 130-1.1. Further, an award of costs or the imposition of sanctions may be made only after a reasonable opportunity to be heard (see 22 NYCRR 130-1.1[d]). The Supreme Court's </w:t>
      </w:r>
      <w:proofErr w:type="spellStart"/>
      <w:r>
        <w:rPr>
          <w:rFonts w:ascii="Times New Roman" w:eastAsia="Times New Roman" w:hAnsi="Times New Roman"/>
          <w:sz w:val="24"/>
          <w:szCs w:val="24"/>
        </w:rPr>
        <w:t>sua</w:t>
      </w:r>
      <w:proofErr w:type="spellEnd"/>
      <w:r>
        <w:rPr>
          <w:rFonts w:ascii="Times New Roman" w:eastAsia="Times New Roman" w:hAnsi="Times New Roman"/>
          <w:sz w:val="24"/>
          <w:szCs w:val="24"/>
        </w:rPr>
        <w:t xml:space="preserve"> sponte determination to impose sanctions here was made without notice to the parties….Accordingly, the Supreme Court was without authority to impose sanctions, and the order must be reversed insofar as appealed from.” </w:t>
      </w:r>
      <w:hyperlink r:id="rId561" w:history="1">
        <w:r>
          <w:rPr>
            <w:rStyle w:val="Hyperlink"/>
            <w:rFonts w:ascii="Times New Roman" w:eastAsia="Times New Roman" w:hAnsi="Times New Roman"/>
            <w:sz w:val="24"/>
            <w:szCs w:val="24"/>
          </w:rPr>
          <w:t>https://law.justia.com/cases/new-york/appellate-division-second-department/2019/2016-10855.html</w:t>
        </w:r>
      </w:hyperlink>
      <w:r>
        <w:rPr>
          <w:rFonts w:ascii="Times New Roman" w:eastAsia="Times New Roman" w:hAnsi="Times New Roman"/>
          <w:sz w:val="24"/>
          <w:szCs w:val="24"/>
        </w:rPr>
        <w:t xml:space="preserve"> </w:t>
      </w:r>
    </w:p>
    <w:p w14:paraId="7F1C7BF4" w14:textId="77777777" w:rsidR="00980EAD" w:rsidRDefault="00980EAD" w:rsidP="00980EAD">
      <w:pPr>
        <w:pStyle w:val="NoSpacing"/>
        <w:rPr>
          <w:rFonts w:ascii="Times New Roman" w:hAnsi="Times New Roman"/>
          <w:sz w:val="24"/>
          <w:szCs w:val="24"/>
        </w:rPr>
      </w:pPr>
      <w:r>
        <w:rPr>
          <w:rFonts w:ascii="Times New Roman" w:hAnsi="Times New Roman"/>
          <w:b/>
          <w:bCs/>
          <w:sz w:val="24"/>
          <w:szCs w:val="24"/>
        </w:rPr>
        <w:t xml:space="preserve">Legal Lessons Learned: It is unfortunate the NY statute does not allow sanctions, when the trial judge finds that the family of the deceased firefighter was “plainly entitled under the relevant law” to accidental death benefits.   The pension is increased from one-half his salary (taxable) to three-quarters of his salary (tax-free), retroactive to August 23, 2007. </w:t>
      </w:r>
      <w:r>
        <w:rPr>
          <w:rFonts w:ascii="Times New Roman" w:hAnsi="Times New Roman"/>
          <w:sz w:val="24"/>
          <w:szCs w:val="24"/>
        </w:rPr>
        <w:t xml:space="preserve"> </w:t>
      </w:r>
    </w:p>
    <w:p w14:paraId="3E51E97B" w14:textId="02CC2B04" w:rsidR="00980EAD" w:rsidRDefault="00980EAD" w:rsidP="00EF1133">
      <w:pPr>
        <w:pStyle w:val="NoSpacing"/>
        <w:rPr>
          <w:rFonts w:ascii="Arial Black" w:hAnsi="Arial Black"/>
          <w:sz w:val="24"/>
          <w:szCs w:val="24"/>
        </w:rPr>
      </w:pPr>
    </w:p>
    <w:p w14:paraId="01F6E5C8" w14:textId="77777777" w:rsidR="00965872" w:rsidRDefault="00965872" w:rsidP="00EF1133">
      <w:pPr>
        <w:pStyle w:val="NoSpacing"/>
        <w:rPr>
          <w:rFonts w:ascii="Arial Black" w:hAnsi="Arial Black"/>
          <w:sz w:val="24"/>
          <w:szCs w:val="24"/>
        </w:rPr>
      </w:pPr>
    </w:p>
    <w:p w14:paraId="7D3BA50E" w14:textId="77777777" w:rsidR="00965872" w:rsidRDefault="00965872" w:rsidP="00EF1133">
      <w:pPr>
        <w:pStyle w:val="NoSpacing"/>
        <w:rPr>
          <w:rFonts w:ascii="Arial Black" w:hAnsi="Arial Black"/>
          <w:sz w:val="24"/>
          <w:szCs w:val="24"/>
        </w:rPr>
      </w:pPr>
    </w:p>
    <w:p w14:paraId="0F7E83EB" w14:textId="77D9E539" w:rsidR="00A06387" w:rsidRDefault="00980EAD" w:rsidP="00EF1133">
      <w:pPr>
        <w:pStyle w:val="NoSpacing"/>
        <w:rPr>
          <w:rFonts w:ascii="Arial Black" w:hAnsi="Arial Black"/>
          <w:sz w:val="24"/>
          <w:szCs w:val="24"/>
        </w:rPr>
      </w:pPr>
      <w:r>
        <w:rPr>
          <w:rFonts w:ascii="Arial Black" w:hAnsi="Arial Black"/>
          <w:sz w:val="24"/>
          <w:szCs w:val="24"/>
        </w:rPr>
        <w:t>2-23</w:t>
      </w:r>
    </w:p>
    <w:p w14:paraId="66B4C5DE" w14:textId="4017B6AE" w:rsidR="00A52325" w:rsidRDefault="00A52325" w:rsidP="00EF1133">
      <w:pPr>
        <w:pStyle w:val="NoSpacing"/>
        <w:rPr>
          <w:rFonts w:ascii="Arial Black" w:hAnsi="Arial Black"/>
          <w:sz w:val="24"/>
          <w:szCs w:val="24"/>
        </w:rPr>
      </w:pPr>
    </w:p>
    <w:p w14:paraId="5DB6A22C" w14:textId="77777777" w:rsidR="00A52325" w:rsidRDefault="00A52325" w:rsidP="00A52325">
      <w:pPr>
        <w:rPr>
          <w:rFonts w:ascii="Arial Black" w:hAnsi="Arial Black"/>
          <w:sz w:val="28"/>
          <w:szCs w:val="28"/>
        </w:rPr>
      </w:pPr>
      <w:r>
        <w:rPr>
          <w:rFonts w:ascii="Arial Black" w:hAnsi="Arial Black"/>
          <w:sz w:val="28"/>
          <w:szCs w:val="28"/>
        </w:rPr>
        <w:t>NV: HEART ATTACK - FF ENTITLED WORKERS COMP – WAS DIETING, WORKING OUT TO LOWER WEIGHT, COLLESTEROL</w:t>
      </w:r>
    </w:p>
    <w:p w14:paraId="42784EBF" w14:textId="77777777" w:rsidR="00A52325" w:rsidRDefault="00A52325" w:rsidP="00A52325">
      <w:pPr>
        <w:pStyle w:val="Heading1"/>
        <w:rPr>
          <w:b w:val="0"/>
          <w:bCs w:val="0"/>
          <w:sz w:val="24"/>
          <w:szCs w:val="24"/>
        </w:rPr>
      </w:pPr>
      <w:r>
        <w:rPr>
          <w:b w:val="0"/>
          <w:bCs w:val="0"/>
          <w:sz w:val="24"/>
          <w:szCs w:val="24"/>
        </w:rPr>
        <w:t xml:space="preserve">On Nov. 13, 2019, in </w:t>
      </w:r>
      <w:r>
        <w:rPr>
          <w:b w:val="0"/>
          <w:bCs w:val="0"/>
          <w:sz w:val="24"/>
          <w:szCs w:val="24"/>
          <w:u w:val="single"/>
        </w:rPr>
        <w:t>City of Las Vegas v. Burns</w:t>
      </w:r>
      <w:r>
        <w:rPr>
          <w:b w:val="0"/>
          <w:bCs w:val="0"/>
          <w:sz w:val="24"/>
          <w:szCs w:val="24"/>
        </w:rPr>
        <w:t xml:space="preserve">, the Court of Appeals of Nevada, held (3 to 0) that despite the firefighter’s predisposition for a heart attack, he was entitled to workers comp coverage, upholding trial court which had overturned administrative appeals officer. </w:t>
      </w:r>
    </w:p>
    <w:p w14:paraId="014CC6A2" w14:textId="24DE4B68" w:rsidR="00A52325" w:rsidRDefault="00A52325" w:rsidP="00A52325">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“Moreover, there is not substantial evidence in the record to indicate that Burns </w:t>
      </w:r>
      <w:proofErr w:type="gramStart"/>
      <w:r>
        <w:rPr>
          <w:rFonts w:ascii="Times New Roman" w:eastAsia="Times New Roman" w:hAnsi="Times New Roman"/>
          <w:sz w:val="24"/>
          <w:szCs w:val="24"/>
        </w:rPr>
        <w:t>was capable of reducing</w:t>
      </w:r>
      <w:proofErr w:type="gramEnd"/>
      <w:r>
        <w:rPr>
          <w:rFonts w:ascii="Times New Roman" w:eastAsia="Times New Roman" w:hAnsi="Times New Roman"/>
          <w:sz w:val="24"/>
          <w:szCs w:val="24"/>
        </w:rPr>
        <w:t xml:space="preserve"> his cholesterol, triglycerides, or weight by dieting and exercising. To the contrary, the record indicates that, following his required annual physicals in 2010, 2011, and 2012, the physicians' assessments and recommendations indicate Burns ‘continue[s] to do an excellent job maintaining [his] health;’ that he should ‘[k]</w:t>
      </w:r>
      <w:proofErr w:type="spellStart"/>
      <w:r>
        <w:rPr>
          <w:rFonts w:ascii="Times New Roman" w:eastAsia="Times New Roman" w:hAnsi="Times New Roman"/>
          <w:sz w:val="24"/>
          <w:szCs w:val="24"/>
        </w:rPr>
        <w:t>eep</w:t>
      </w:r>
      <w:proofErr w:type="spellEnd"/>
      <w:r>
        <w:rPr>
          <w:rFonts w:ascii="Times New Roman" w:eastAsia="Times New Roman" w:hAnsi="Times New Roman"/>
          <w:sz w:val="24"/>
          <w:szCs w:val="24"/>
        </w:rPr>
        <w:t xml:space="preserve"> up [his] exercise regimen ... it's doing great for [him];’ and that he was ‘doing well maintaining [his] health.’  In 2012, the physician noted that although his ‘bad’ cholesterol and triglycerides were high, Burns was taking fish oil supplements as previously directed by his private physician and his total cholesterol was fine. Thus, the physicians' reports indicate that Burns was doing what he was instructed to do, he was exercising and taking supplements, and despite that, his predisposing factors did not change, which reflects that he </w:t>
      </w:r>
      <w:proofErr w:type="gramStart"/>
      <w:r>
        <w:rPr>
          <w:rFonts w:ascii="Times New Roman" w:eastAsia="Times New Roman" w:hAnsi="Times New Roman"/>
          <w:sz w:val="24"/>
          <w:szCs w:val="24"/>
        </w:rPr>
        <w:t>was not capable of correcting</w:t>
      </w:r>
      <w:proofErr w:type="gramEnd"/>
      <w:r>
        <w:rPr>
          <w:rFonts w:ascii="Times New Roman" w:eastAsia="Times New Roman" w:hAnsi="Times New Roman"/>
          <w:sz w:val="24"/>
          <w:szCs w:val="24"/>
        </w:rPr>
        <w:t xml:space="preserve"> his predisposing conditions. </w:t>
      </w:r>
    </w:p>
    <w:p w14:paraId="796CEA59" w14:textId="77777777" w:rsidR="00A52325" w:rsidRDefault="00A52325" w:rsidP="00A52325">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Because there is no evidence in the record to support the conclusion that correcting Burns' predisposing conditions was within his ability, we necessarily hold that the appeals officer's conclusion is not supported by substantial evidence. </w:t>
      </w:r>
      <w:hyperlink r:id="rId562" w:history="1">
        <w:r>
          <w:rPr>
            <w:rStyle w:val="Hyperlink"/>
            <w:rFonts w:ascii="Times New Roman" w:eastAsia="Times New Roman" w:hAnsi="Times New Roman"/>
            <w:sz w:val="24"/>
            <w:szCs w:val="24"/>
          </w:rPr>
          <w:t>https://www.leagle.com/decision/innvco20191115257</w:t>
        </w:r>
      </w:hyperlink>
      <w:r>
        <w:rPr>
          <w:rFonts w:ascii="Times New Roman" w:eastAsia="Times New Roman" w:hAnsi="Times New Roman"/>
          <w:sz w:val="24"/>
          <w:szCs w:val="24"/>
        </w:rPr>
        <w:t xml:space="preserve"> </w:t>
      </w:r>
    </w:p>
    <w:p w14:paraId="2FF6317D" w14:textId="77777777" w:rsidR="00A52325" w:rsidRDefault="00A52325" w:rsidP="00A52325">
      <w:pPr>
        <w:pStyle w:val="NormalWeb"/>
        <w:rPr>
          <w:b/>
          <w:bCs/>
        </w:rPr>
      </w:pPr>
      <w:r>
        <w:rPr>
          <w:b/>
          <w:bCs/>
        </w:rPr>
        <w:t xml:space="preserve">Legal Lessons Learned:  The statutory requirement that firefighters must seek to correct their “predisposing condition” to cardiac problems makes lots of sense. </w:t>
      </w:r>
    </w:p>
    <w:p w14:paraId="30CCA797" w14:textId="77777777" w:rsidR="00965872" w:rsidRDefault="00965872" w:rsidP="00EF1133">
      <w:pPr>
        <w:pStyle w:val="NoSpacing"/>
        <w:rPr>
          <w:rFonts w:ascii="Arial Black" w:hAnsi="Arial Black"/>
          <w:sz w:val="24"/>
          <w:szCs w:val="24"/>
        </w:rPr>
      </w:pPr>
    </w:p>
    <w:p w14:paraId="3C9F69A5" w14:textId="77777777" w:rsidR="00965872" w:rsidRDefault="00965872" w:rsidP="00EF1133">
      <w:pPr>
        <w:pStyle w:val="NoSpacing"/>
        <w:rPr>
          <w:rFonts w:ascii="Arial Black" w:hAnsi="Arial Black"/>
          <w:sz w:val="24"/>
          <w:szCs w:val="24"/>
        </w:rPr>
      </w:pPr>
    </w:p>
    <w:p w14:paraId="0512471E" w14:textId="364628FE" w:rsidR="00980EAD" w:rsidRDefault="00980EAD" w:rsidP="00EF1133">
      <w:pPr>
        <w:pStyle w:val="NoSpacing"/>
        <w:rPr>
          <w:rFonts w:ascii="Arial Black" w:hAnsi="Arial Black"/>
          <w:sz w:val="24"/>
          <w:szCs w:val="24"/>
        </w:rPr>
      </w:pPr>
      <w:r>
        <w:rPr>
          <w:rFonts w:ascii="Arial Black" w:hAnsi="Arial Black"/>
          <w:sz w:val="24"/>
          <w:szCs w:val="24"/>
        </w:rPr>
        <w:t>2-22</w:t>
      </w:r>
    </w:p>
    <w:p w14:paraId="6EA83345" w14:textId="77777777" w:rsidR="00980EAD" w:rsidRDefault="00980EAD" w:rsidP="00EF1133">
      <w:pPr>
        <w:pStyle w:val="NoSpacing"/>
        <w:rPr>
          <w:rFonts w:ascii="Arial Black" w:hAnsi="Arial Black"/>
          <w:sz w:val="24"/>
          <w:szCs w:val="24"/>
        </w:rPr>
      </w:pPr>
    </w:p>
    <w:p w14:paraId="5558B3B7" w14:textId="2570797A" w:rsidR="00A06387" w:rsidRDefault="00A06387" w:rsidP="00A06387">
      <w:pPr>
        <w:pStyle w:val="NoSpacing"/>
        <w:rPr>
          <w:rFonts w:ascii="Arial Black" w:hAnsi="Arial Black"/>
          <w:sz w:val="28"/>
          <w:szCs w:val="28"/>
        </w:rPr>
      </w:pPr>
      <w:r w:rsidRPr="003F65F5">
        <w:rPr>
          <w:rFonts w:ascii="Arial Black" w:hAnsi="Arial Black"/>
          <w:sz w:val="28"/>
          <w:szCs w:val="28"/>
        </w:rPr>
        <w:lastRenderedPageBreak/>
        <w:t xml:space="preserve">WA: </w:t>
      </w:r>
      <w:r>
        <w:rPr>
          <w:rFonts w:ascii="Arial Black" w:hAnsi="Arial Black"/>
          <w:sz w:val="28"/>
          <w:szCs w:val="28"/>
        </w:rPr>
        <w:t>UNION PROPOSAL INCREASE IN MINUMUM STAFFING – MANDATORY SUBJECT FOR COLLECTIVE BARGAINING</w:t>
      </w:r>
    </w:p>
    <w:p w14:paraId="46F3545D" w14:textId="77777777" w:rsidR="00A06387" w:rsidRDefault="00A06387" w:rsidP="00A06387">
      <w:pPr>
        <w:pStyle w:val="NoSpacing"/>
        <w:rPr>
          <w:rFonts w:ascii="Arial Black" w:hAnsi="Arial Black"/>
          <w:sz w:val="28"/>
          <w:szCs w:val="28"/>
        </w:rPr>
      </w:pPr>
    </w:p>
    <w:p w14:paraId="7FF8484D" w14:textId="77777777" w:rsidR="00A06387" w:rsidRDefault="00A06387" w:rsidP="00A06387">
      <w:pPr>
        <w:pStyle w:val="NoSpacing"/>
        <w:rPr>
          <w:rFonts w:ascii="On Times New Roman" w:hAnsi="On Times New Roman"/>
          <w:b/>
          <w:bCs/>
          <w:sz w:val="24"/>
          <w:szCs w:val="24"/>
        </w:rPr>
      </w:pPr>
      <w:r>
        <w:rPr>
          <w:rFonts w:ascii="On Times New Roman" w:hAnsi="On Times New Roman"/>
          <w:bCs/>
          <w:sz w:val="24"/>
          <w:szCs w:val="24"/>
        </w:rPr>
        <w:t xml:space="preserve">On Oct. 28, 2019, in </w:t>
      </w:r>
      <w:r w:rsidRPr="00BA0F0A">
        <w:rPr>
          <w:rFonts w:ascii="On Times New Roman" w:hAnsi="On Times New Roman"/>
          <w:bCs/>
          <w:sz w:val="24"/>
          <w:szCs w:val="24"/>
          <w:u w:val="single"/>
        </w:rPr>
        <w:t>City of Everett v. State of Washington Public Employment Relations Commission</w:t>
      </w:r>
      <w:r>
        <w:rPr>
          <w:rFonts w:ascii="On Times New Roman" w:hAnsi="On Times New Roman"/>
          <w:bCs/>
          <w:sz w:val="24"/>
          <w:szCs w:val="24"/>
        </w:rPr>
        <w:t xml:space="preserve">, the State of Washington Court of Appeals, held (3 to 0) that shift staffing has a direct relationship to workload and safety, and therefore is a mandatory subject of collective bargaining (union wants to increase from 28 to 35 per shift). </w:t>
      </w:r>
    </w:p>
    <w:p w14:paraId="72FAADFA" w14:textId="77777777" w:rsidR="00A06387" w:rsidRDefault="00A06387" w:rsidP="00A06387">
      <w:pPr>
        <w:pStyle w:val="NoSpacing"/>
        <w:rPr>
          <w:rFonts w:ascii="On Times New Roman" w:hAnsi="On Times New Roman"/>
          <w:b/>
          <w:bCs/>
          <w:sz w:val="24"/>
          <w:szCs w:val="24"/>
        </w:rPr>
      </w:pPr>
    </w:p>
    <w:p w14:paraId="15F14157" w14:textId="77777777" w:rsidR="00A06387" w:rsidRPr="00965872" w:rsidRDefault="00A06387" w:rsidP="00A06387">
      <w:pPr>
        <w:pStyle w:val="NoSpacing"/>
        <w:ind w:left="720"/>
        <w:rPr>
          <w:rFonts w:ascii="Times New Roman" w:hAnsi="Times New Roman"/>
          <w:b/>
          <w:bCs/>
          <w:sz w:val="24"/>
          <w:szCs w:val="24"/>
        </w:rPr>
      </w:pPr>
      <w:r w:rsidRPr="00965872">
        <w:rPr>
          <w:rFonts w:ascii="Times New Roman" w:hAnsi="Times New Roman"/>
          <w:bCs/>
          <w:sz w:val="24"/>
          <w:szCs w:val="24"/>
        </w:rPr>
        <w:t>“We conclude PERC did not err in balancing the strong fundamental prerogative of the City on shift staffing and the unrebutted workload and safety testimony, and substantial evidence supports PERC finding the Union demonstrated a direct relationship between the Union proposal to increase the minimum number of crew on each shift and the workload and safety of the firefighters and paramedics. We affirm the PERC decision.”</w:t>
      </w:r>
    </w:p>
    <w:p w14:paraId="63646146" w14:textId="77777777" w:rsidR="00A06387" w:rsidRPr="00965872" w:rsidRDefault="00A06387" w:rsidP="00A06387">
      <w:pPr>
        <w:pStyle w:val="NoSpacing"/>
        <w:rPr>
          <w:rFonts w:ascii="Times New Roman" w:hAnsi="Times New Roman"/>
          <w:b/>
          <w:bCs/>
          <w:sz w:val="24"/>
          <w:szCs w:val="24"/>
        </w:rPr>
      </w:pPr>
      <w:r w:rsidRPr="00965872">
        <w:rPr>
          <w:rFonts w:ascii="Times New Roman" w:hAnsi="Times New Roman"/>
          <w:bCs/>
          <w:sz w:val="24"/>
          <w:szCs w:val="24"/>
        </w:rPr>
        <w:tab/>
      </w:r>
      <w:hyperlink r:id="rId563" w:history="1">
        <w:r w:rsidRPr="00965872">
          <w:rPr>
            <w:rStyle w:val="Hyperlink"/>
            <w:rFonts w:ascii="Times New Roman" w:hAnsi="Times New Roman"/>
            <w:bCs/>
            <w:sz w:val="24"/>
            <w:szCs w:val="24"/>
          </w:rPr>
          <w:t>https://www.courts.wa.gov/opinions/pdf/778315.pdf</w:t>
        </w:r>
      </w:hyperlink>
      <w:r w:rsidRPr="00965872">
        <w:rPr>
          <w:rFonts w:ascii="Times New Roman" w:hAnsi="Times New Roman"/>
          <w:bCs/>
          <w:sz w:val="24"/>
          <w:szCs w:val="24"/>
        </w:rPr>
        <w:t xml:space="preserve"> </w:t>
      </w:r>
    </w:p>
    <w:p w14:paraId="41E8560A" w14:textId="77777777" w:rsidR="00965872" w:rsidRDefault="00965872" w:rsidP="00A06387">
      <w:pPr>
        <w:pStyle w:val="NoSpacing"/>
        <w:rPr>
          <w:b/>
          <w:bCs/>
          <w:sz w:val="24"/>
          <w:szCs w:val="24"/>
        </w:rPr>
      </w:pPr>
    </w:p>
    <w:p w14:paraId="6F337DDD" w14:textId="11B4031E" w:rsidR="00A06387" w:rsidRPr="00965872" w:rsidRDefault="00A06387" w:rsidP="00A06387">
      <w:pPr>
        <w:pStyle w:val="NoSpacing"/>
        <w:rPr>
          <w:rFonts w:ascii="Times New Roman" w:hAnsi="Times New Roman"/>
          <w:b/>
          <w:bCs/>
          <w:sz w:val="24"/>
          <w:szCs w:val="24"/>
        </w:rPr>
      </w:pPr>
      <w:r w:rsidRPr="00965872">
        <w:rPr>
          <w:rFonts w:ascii="Times New Roman" w:hAnsi="Times New Roman"/>
          <w:b/>
          <w:bCs/>
          <w:sz w:val="24"/>
          <w:szCs w:val="24"/>
        </w:rPr>
        <w:t xml:space="preserve">Legal Lessons Learned: Fire &amp; EMS officials need to consult with legal counsel in their State concerning whether minimum staffing is a </w:t>
      </w:r>
      <w:proofErr w:type="gramStart"/>
      <w:r w:rsidRPr="00965872">
        <w:rPr>
          <w:rFonts w:ascii="Times New Roman" w:hAnsi="Times New Roman"/>
          <w:b/>
          <w:bCs/>
          <w:sz w:val="24"/>
          <w:szCs w:val="24"/>
        </w:rPr>
        <w:t>subject</w:t>
      </w:r>
      <w:proofErr w:type="gramEnd"/>
      <w:r w:rsidRPr="00965872">
        <w:rPr>
          <w:rFonts w:ascii="Times New Roman" w:hAnsi="Times New Roman"/>
          <w:b/>
          <w:bCs/>
          <w:sz w:val="24"/>
          <w:szCs w:val="24"/>
        </w:rPr>
        <w:t xml:space="preserve"> mandatory bargaining.</w:t>
      </w:r>
    </w:p>
    <w:p w14:paraId="45CFF0E1" w14:textId="77777777" w:rsidR="00A06387" w:rsidRDefault="00A06387" w:rsidP="00EF1133">
      <w:pPr>
        <w:pStyle w:val="NoSpacing"/>
        <w:rPr>
          <w:rFonts w:ascii="Arial Black" w:hAnsi="Arial Black"/>
          <w:sz w:val="24"/>
          <w:szCs w:val="24"/>
        </w:rPr>
      </w:pPr>
    </w:p>
    <w:p w14:paraId="59DA41C4" w14:textId="77777777" w:rsidR="00A52325" w:rsidRDefault="00A52325" w:rsidP="00EF1133">
      <w:pPr>
        <w:pStyle w:val="NoSpacing"/>
        <w:rPr>
          <w:rFonts w:ascii="Arial Black" w:hAnsi="Arial Black"/>
          <w:sz w:val="24"/>
          <w:szCs w:val="24"/>
        </w:rPr>
      </w:pPr>
    </w:p>
    <w:p w14:paraId="6BD62E6C" w14:textId="77777777" w:rsidR="00A52325" w:rsidRDefault="00A52325" w:rsidP="00EF1133">
      <w:pPr>
        <w:pStyle w:val="NoSpacing"/>
        <w:rPr>
          <w:rFonts w:ascii="Arial Black" w:hAnsi="Arial Black"/>
          <w:sz w:val="24"/>
          <w:szCs w:val="24"/>
        </w:rPr>
      </w:pPr>
    </w:p>
    <w:p w14:paraId="66A98D3E" w14:textId="77777777" w:rsidR="00A52325" w:rsidRDefault="00A52325" w:rsidP="00EF1133">
      <w:pPr>
        <w:pStyle w:val="NoSpacing"/>
        <w:rPr>
          <w:rFonts w:ascii="Arial Black" w:hAnsi="Arial Black"/>
          <w:sz w:val="24"/>
          <w:szCs w:val="24"/>
        </w:rPr>
      </w:pPr>
    </w:p>
    <w:p w14:paraId="7FD54964" w14:textId="12BFE464" w:rsidR="00853142" w:rsidRDefault="00853142" w:rsidP="00EF1133">
      <w:pPr>
        <w:pStyle w:val="NoSpacing"/>
        <w:rPr>
          <w:rFonts w:ascii="Arial Black" w:hAnsi="Arial Black"/>
          <w:sz w:val="24"/>
          <w:szCs w:val="24"/>
        </w:rPr>
      </w:pPr>
      <w:r>
        <w:rPr>
          <w:rFonts w:ascii="Arial Black" w:hAnsi="Arial Black"/>
          <w:sz w:val="24"/>
          <w:szCs w:val="24"/>
        </w:rPr>
        <w:t>2-</w:t>
      </w:r>
      <w:r w:rsidR="00D07E6E">
        <w:rPr>
          <w:rFonts w:ascii="Arial Black" w:hAnsi="Arial Black"/>
          <w:sz w:val="24"/>
          <w:szCs w:val="24"/>
        </w:rPr>
        <w:t>2</w:t>
      </w:r>
      <w:r w:rsidR="00A52325">
        <w:rPr>
          <w:rFonts w:ascii="Arial Black" w:hAnsi="Arial Black"/>
          <w:sz w:val="24"/>
          <w:szCs w:val="24"/>
        </w:rPr>
        <w:t>1</w:t>
      </w:r>
    </w:p>
    <w:p w14:paraId="5BED5B65" w14:textId="3BD822FC" w:rsidR="00853142" w:rsidRDefault="00853142" w:rsidP="00EF1133">
      <w:pPr>
        <w:pStyle w:val="NoSpacing"/>
        <w:rPr>
          <w:rFonts w:ascii="Arial Black" w:hAnsi="Arial Black"/>
          <w:sz w:val="24"/>
          <w:szCs w:val="24"/>
        </w:rPr>
      </w:pPr>
    </w:p>
    <w:p w14:paraId="780682F7" w14:textId="77777777" w:rsidR="00853142" w:rsidRPr="007438B9" w:rsidRDefault="00853142" w:rsidP="00853142">
      <w:pPr>
        <w:pStyle w:val="NoSpacing"/>
        <w:rPr>
          <w:rFonts w:ascii="Arial Black" w:hAnsi="Arial Black"/>
          <w:sz w:val="28"/>
          <w:szCs w:val="28"/>
        </w:rPr>
      </w:pPr>
      <w:r w:rsidRPr="007438B9">
        <w:rPr>
          <w:rFonts w:ascii="Arial Black" w:hAnsi="Arial Black"/>
          <w:sz w:val="28"/>
          <w:szCs w:val="28"/>
        </w:rPr>
        <w:t xml:space="preserve">KY: </w:t>
      </w:r>
      <w:r>
        <w:rPr>
          <w:rFonts w:ascii="Arial Black" w:hAnsi="Arial Black"/>
          <w:sz w:val="28"/>
          <w:szCs w:val="28"/>
        </w:rPr>
        <w:t xml:space="preserve">FF’s STRENOUUS RETURN-TO-WORK PHYSICAL FITNESS TEST – HEART ATTACK SAME DAY – PRIOR HEALTH PROB - NOT LODD   </w:t>
      </w:r>
    </w:p>
    <w:p w14:paraId="2CDB2369" w14:textId="77777777" w:rsidR="00853142" w:rsidRDefault="00853142" w:rsidP="00853142">
      <w:pPr>
        <w:pStyle w:val="NoSpacing"/>
      </w:pPr>
    </w:p>
    <w:p w14:paraId="167A21C2" w14:textId="6533170C" w:rsidR="00853142" w:rsidRPr="00015208" w:rsidRDefault="00853142" w:rsidP="00853142">
      <w:pPr>
        <w:spacing w:after="0" w:line="240" w:lineRule="auto"/>
        <w:rPr>
          <w:rFonts w:ascii="Times New Roman" w:eastAsia="Times New Roman" w:hAnsi="Times New Roman"/>
          <w:sz w:val="24"/>
          <w:szCs w:val="24"/>
        </w:rPr>
      </w:pPr>
      <w:r w:rsidRPr="00015208">
        <w:rPr>
          <w:rFonts w:ascii="Times New Roman" w:eastAsia="Times New Roman" w:hAnsi="Times New Roman"/>
          <w:sz w:val="24"/>
          <w:szCs w:val="24"/>
        </w:rPr>
        <w:t xml:space="preserve">On </w:t>
      </w:r>
      <w:bookmarkStart w:id="110" w:name="_Hlk39822838"/>
      <w:r w:rsidRPr="00015208">
        <w:rPr>
          <w:rFonts w:ascii="Times New Roman" w:eastAsia="Times New Roman" w:hAnsi="Times New Roman"/>
          <w:sz w:val="24"/>
          <w:szCs w:val="24"/>
        </w:rPr>
        <w:t xml:space="preserve">Sept. 20, 2019, in </w:t>
      </w:r>
      <w:r w:rsidRPr="00015208">
        <w:rPr>
          <w:rFonts w:ascii="Times New Roman" w:eastAsia="Times New Roman" w:hAnsi="Times New Roman"/>
          <w:sz w:val="24"/>
          <w:szCs w:val="24"/>
          <w:u w:val="single"/>
        </w:rPr>
        <w:t>Sharon Jenkins v. Kentucky Retirement Systems</w:t>
      </w:r>
      <w:bookmarkEnd w:id="110"/>
      <w:r w:rsidRPr="00015208">
        <w:rPr>
          <w:rFonts w:ascii="Times New Roman" w:eastAsia="Times New Roman" w:hAnsi="Times New Roman"/>
          <w:sz w:val="24"/>
          <w:szCs w:val="24"/>
        </w:rPr>
        <w:t xml:space="preserve">, the Kentucky Court of Appeals held (3 to 0; unpublished opinion) that the Retirement Board properly denied wife of deceased firefighter “line-of-duty” death benefits, but she is entitled to “basic” death benefits.   LODD benefits would have include </w:t>
      </w:r>
      <w:r w:rsidRPr="00015208">
        <w:rPr>
          <w:rFonts w:ascii="Times New Roman" w:hAnsi="Times New Roman"/>
          <w:sz w:val="24"/>
          <w:szCs w:val="24"/>
        </w:rPr>
        <w:t>lump sum of $10,000 and a monthly payment equal to 10% of Malcolm’s monthly final rate of pay; “Basic” benefits were an actuarial fund, or a lump sum.</w:t>
      </w:r>
      <w:r w:rsidR="00025B22">
        <w:rPr>
          <w:rFonts w:ascii="Times New Roman" w:hAnsi="Times New Roman"/>
          <w:sz w:val="24"/>
          <w:szCs w:val="24"/>
        </w:rPr>
        <w:t xml:space="preserve"> </w:t>
      </w:r>
      <w:r w:rsidRPr="00015208">
        <w:rPr>
          <w:rFonts w:ascii="Times New Roman" w:eastAsia="Times New Roman" w:hAnsi="Times New Roman"/>
          <w:sz w:val="24"/>
          <w:szCs w:val="24"/>
        </w:rPr>
        <w:tab/>
        <w:t xml:space="preserve">Judge Kelly Thompson wrote: </w:t>
      </w:r>
    </w:p>
    <w:p w14:paraId="666DD0E3" w14:textId="77777777" w:rsidR="00853142" w:rsidRPr="00015208" w:rsidRDefault="00853142" w:rsidP="00853142">
      <w:pPr>
        <w:spacing w:after="0" w:line="240" w:lineRule="auto"/>
        <w:rPr>
          <w:rFonts w:ascii="Times New Roman" w:eastAsia="Times New Roman" w:hAnsi="Times New Roman"/>
          <w:sz w:val="24"/>
          <w:szCs w:val="24"/>
        </w:rPr>
      </w:pPr>
    </w:p>
    <w:p w14:paraId="3C772CCD" w14:textId="77777777" w:rsidR="00025B22" w:rsidRPr="00015208" w:rsidRDefault="00853142" w:rsidP="00025B22">
      <w:pPr>
        <w:spacing w:after="0" w:line="240" w:lineRule="auto"/>
        <w:ind w:left="720"/>
        <w:rPr>
          <w:rFonts w:ascii="Times New Roman" w:eastAsia="Times New Roman" w:hAnsi="Times New Roman"/>
          <w:sz w:val="24"/>
          <w:szCs w:val="24"/>
        </w:rPr>
      </w:pPr>
      <w:r w:rsidRPr="00015208">
        <w:rPr>
          <w:rFonts w:ascii="Times New Roman" w:eastAsia="Times New Roman" w:hAnsi="Times New Roman"/>
          <w:sz w:val="24"/>
          <w:szCs w:val="24"/>
        </w:rPr>
        <w:t xml:space="preserve">“Sharon [Jenkins] points out that under federal law providing death benefits to federal safety </w:t>
      </w:r>
      <w:proofErr w:type="gramStart"/>
      <w:r w:rsidRPr="00015208">
        <w:rPr>
          <w:rFonts w:ascii="Times New Roman" w:eastAsia="Times New Roman" w:hAnsi="Times New Roman"/>
          <w:sz w:val="24"/>
          <w:szCs w:val="24"/>
        </w:rPr>
        <w:t>officers,</w:t>
      </w:r>
      <w:proofErr w:type="gramEnd"/>
      <w:r w:rsidRPr="00015208">
        <w:rPr>
          <w:rFonts w:ascii="Times New Roman" w:eastAsia="Times New Roman" w:hAnsi="Times New Roman"/>
          <w:sz w:val="24"/>
          <w:szCs w:val="24"/>
        </w:rPr>
        <w:t xml:space="preserve"> it is presumed that a fatal heart attack occurring within 24 hours of a nonroutine stressful or strenuous physical activity in the line of duty is presumed to be the direct and proximate result of that activity. 34 United States Code §10281. While such a presumption might resolve some of the inherent difficulty in determining the cause of a cardiac event, that same presumption is not found in KRS16.601. ‘As administrative agencies are creatures of statute,’ this Court cannot require that such a presumption be applied to claims for in-line-of-duty death benefits. Kentucky Retirement Systems v. Bowens, 281 S.W.3d 776,784 (Ky. 2009).”</w:t>
      </w:r>
      <w:r w:rsidR="00025B22">
        <w:rPr>
          <w:rFonts w:ascii="Times New Roman" w:eastAsia="Times New Roman" w:hAnsi="Times New Roman"/>
          <w:sz w:val="24"/>
          <w:szCs w:val="24"/>
        </w:rPr>
        <w:t xml:space="preserve"> </w:t>
      </w:r>
      <w:bookmarkStart w:id="111" w:name="_Hlk39822879"/>
      <w:r w:rsidR="00025B22">
        <w:fldChar w:fldCharType="begin"/>
      </w:r>
      <w:r w:rsidR="00025B22">
        <w:instrText xml:space="preserve"> HYPERLINK "https://cases.justia.com/kentucky/court-of-appeals/2019-2018-ca-000395-mr.pdf?ts=1568988148" </w:instrText>
      </w:r>
      <w:r w:rsidR="00025B22">
        <w:fldChar w:fldCharType="separate"/>
      </w:r>
      <w:r w:rsidR="00025B22" w:rsidRPr="00015208">
        <w:rPr>
          <w:rStyle w:val="Hyperlink"/>
          <w:rFonts w:ascii="Times New Roman" w:eastAsia="Times New Roman" w:hAnsi="Times New Roman"/>
          <w:sz w:val="24"/>
          <w:szCs w:val="24"/>
        </w:rPr>
        <w:t>https://cases.justia.com/kentucky/court-of-appeals/2019-2018-ca-000395-mr.pdf?ts=1568988148</w:t>
      </w:r>
      <w:r w:rsidR="00025B22">
        <w:rPr>
          <w:rStyle w:val="Hyperlink"/>
          <w:rFonts w:ascii="Times New Roman" w:eastAsia="Times New Roman" w:hAnsi="Times New Roman"/>
          <w:sz w:val="24"/>
          <w:szCs w:val="24"/>
        </w:rPr>
        <w:fldChar w:fldCharType="end"/>
      </w:r>
      <w:r w:rsidR="00025B22" w:rsidRPr="00015208">
        <w:rPr>
          <w:rFonts w:ascii="Times New Roman" w:eastAsia="Times New Roman" w:hAnsi="Times New Roman"/>
          <w:sz w:val="24"/>
          <w:szCs w:val="24"/>
        </w:rPr>
        <w:t xml:space="preserve"> </w:t>
      </w:r>
    </w:p>
    <w:p w14:paraId="42FE7EA4" w14:textId="77777777" w:rsidR="00025B22" w:rsidRPr="00015208" w:rsidRDefault="00025B22" w:rsidP="00025B22">
      <w:pPr>
        <w:spacing w:after="0" w:line="240" w:lineRule="auto"/>
        <w:rPr>
          <w:rFonts w:ascii="Times New Roman" w:eastAsia="Times New Roman" w:hAnsi="Times New Roman"/>
          <w:sz w:val="24"/>
          <w:szCs w:val="24"/>
        </w:rPr>
      </w:pPr>
    </w:p>
    <w:bookmarkEnd w:id="111"/>
    <w:p w14:paraId="1DF38443" w14:textId="384D43C1" w:rsidR="00853142" w:rsidRPr="00015208" w:rsidRDefault="00853142" w:rsidP="00853142">
      <w:pPr>
        <w:spacing w:after="0" w:line="240" w:lineRule="auto"/>
        <w:ind w:left="720"/>
        <w:rPr>
          <w:rFonts w:ascii="Times New Roman" w:eastAsia="Times New Roman" w:hAnsi="Times New Roman"/>
          <w:sz w:val="24"/>
          <w:szCs w:val="24"/>
        </w:rPr>
      </w:pPr>
    </w:p>
    <w:p w14:paraId="2225B21E" w14:textId="77777777" w:rsidR="00853142" w:rsidRPr="00015208" w:rsidRDefault="00853142" w:rsidP="00853142">
      <w:pPr>
        <w:spacing w:after="0" w:line="240" w:lineRule="auto"/>
        <w:ind w:left="720"/>
        <w:rPr>
          <w:rFonts w:ascii="Times New Roman" w:eastAsia="Times New Roman" w:hAnsi="Times New Roman"/>
          <w:sz w:val="24"/>
          <w:szCs w:val="24"/>
        </w:rPr>
      </w:pPr>
    </w:p>
    <w:p w14:paraId="17F63B9F" w14:textId="77777777" w:rsidR="00853142" w:rsidRPr="00015208" w:rsidRDefault="00853142" w:rsidP="00853142">
      <w:pPr>
        <w:pStyle w:val="Heading1"/>
        <w:rPr>
          <w:b w:val="0"/>
          <w:bCs w:val="0"/>
          <w:sz w:val="24"/>
          <w:szCs w:val="24"/>
        </w:rPr>
      </w:pPr>
      <w:r w:rsidRPr="00015208">
        <w:rPr>
          <w:sz w:val="24"/>
          <w:szCs w:val="24"/>
        </w:rPr>
        <w:t xml:space="preserve">Legal Lessons Learned:  In cases involving a “battle of the experts,” Courts will normally not overturn findings of the Administrative Agency.   The federal death benefits statute for firefighters and other public safety officers, who die within 24 hours of "nonroutine stressful or strenuous physical" activity </w:t>
      </w:r>
      <w:r w:rsidRPr="00015208">
        <w:rPr>
          <w:sz w:val="24"/>
          <w:szCs w:val="24"/>
        </w:rPr>
        <w:lastRenderedPageBreak/>
        <w:t xml:space="preserve">was written to avoid these kinds of disputes.  See </w:t>
      </w:r>
      <w:bookmarkStart w:id="112" w:name="_Hlk39822753"/>
      <w:r w:rsidRPr="00015208">
        <w:rPr>
          <w:sz w:val="24"/>
          <w:szCs w:val="24"/>
        </w:rPr>
        <w:t xml:space="preserve">May 15, </w:t>
      </w:r>
      <w:proofErr w:type="gramStart"/>
      <w:r w:rsidRPr="00015208">
        <w:rPr>
          <w:sz w:val="24"/>
          <w:szCs w:val="24"/>
        </w:rPr>
        <w:t>2018</w:t>
      </w:r>
      <w:proofErr w:type="gramEnd"/>
      <w:r w:rsidRPr="00015208">
        <w:rPr>
          <w:sz w:val="24"/>
          <w:szCs w:val="24"/>
        </w:rPr>
        <w:t xml:space="preserve"> announcement: “Justice Department Announces Improvements to Public Safety Officers’ Benefits Program.”</w:t>
      </w:r>
      <w:r w:rsidRPr="00015208">
        <w:rPr>
          <w:b w:val="0"/>
          <w:bCs w:val="0"/>
          <w:sz w:val="24"/>
          <w:szCs w:val="24"/>
        </w:rPr>
        <w:t xml:space="preserve"> </w:t>
      </w:r>
      <w:hyperlink r:id="rId564" w:history="1">
        <w:r w:rsidRPr="00015208">
          <w:rPr>
            <w:rStyle w:val="Hyperlink"/>
            <w:b w:val="0"/>
            <w:bCs w:val="0"/>
            <w:sz w:val="24"/>
            <w:szCs w:val="24"/>
          </w:rPr>
          <w:t>https://www.justice.gov/opa/pr/justice-department-announces-improvements-public-safety-officers-benefits-program</w:t>
        </w:r>
      </w:hyperlink>
      <w:r w:rsidRPr="00015208">
        <w:rPr>
          <w:b w:val="0"/>
          <w:bCs w:val="0"/>
          <w:sz w:val="24"/>
          <w:szCs w:val="24"/>
        </w:rPr>
        <w:t xml:space="preserve"> </w:t>
      </w:r>
    </w:p>
    <w:bookmarkEnd w:id="112"/>
    <w:p w14:paraId="33CDC4E0" w14:textId="0172D15C" w:rsidR="00853142" w:rsidRDefault="00853142" w:rsidP="00EF1133">
      <w:pPr>
        <w:pStyle w:val="NoSpacing"/>
        <w:rPr>
          <w:rFonts w:ascii="Arial Black" w:hAnsi="Arial Black"/>
          <w:sz w:val="24"/>
          <w:szCs w:val="24"/>
        </w:rPr>
      </w:pPr>
    </w:p>
    <w:p w14:paraId="36A36ED6" w14:textId="36DFC688" w:rsidR="00A67C57" w:rsidRDefault="00A67C57" w:rsidP="00EF1133">
      <w:pPr>
        <w:pStyle w:val="NoSpacing"/>
        <w:rPr>
          <w:rFonts w:ascii="Arial Black" w:hAnsi="Arial Black"/>
          <w:sz w:val="24"/>
          <w:szCs w:val="24"/>
        </w:rPr>
      </w:pPr>
    </w:p>
    <w:p w14:paraId="41D0317D" w14:textId="77777777" w:rsidR="00A67C57" w:rsidRDefault="00A67C57" w:rsidP="00EF1133">
      <w:pPr>
        <w:pStyle w:val="NoSpacing"/>
        <w:rPr>
          <w:rFonts w:ascii="Arial Black" w:hAnsi="Arial Black"/>
          <w:sz w:val="24"/>
          <w:szCs w:val="24"/>
        </w:rPr>
      </w:pPr>
    </w:p>
    <w:p w14:paraId="5D75C623" w14:textId="4023065D" w:rsidR="00A52325" w:rsidRDefault="00A52325" w:rsidP="00EF1133">
      <w:pPr>
        <w:pStyle w:val="NoSpacing"/>
        <w:rPr>
          <w:rFonts w:ascii="Arial Black" w:hAnsi="Arial Black"/>
          <w:sz w:val="24"/>
          <w:szCs w:val="24"/>
        </w:rPr>
      </w:pPr>
      <w:r>
        <w:rPr>
          <w:rFonts w:ascii="Arial Black" w:hAnsi="Arial Black"/>
          <w:sz w:val="24"/>
          <w:szCs w:val="24"/>
        </w:rPr>
        <w:t>2-20</w:t>
      </w:r>
    </w:p>
    <w:p w14:paraId="1AB7F3A8" w14:textId="1E0B2DA7" w:rsidR="00A52325" w:rsidRDefault="00A52325" w:rsidP="00EF1133">
      <w:pPr>
        <w:pStyle w:val="NoSpacing"/>
        <w:rPr>
          <w:rFonts w:ascii="Arial Black" w:hAnsi="Arial Black"/>
          <w:sz w:val="24"/>
          <w:szCs w:val="24"/>
        </w:rPr>
      </w:pPr>
    </w:p>
    <w:p w14:paraId="48367360" w14:textId="77777777" w:rsidR="00A52325" w:rsidRDefault="00A52325" w:rsidP="00A52325">
      <w:pPr>
        <w:pStyle w:val="NoSpacing"/>
        <w:rPr>
          <w:rFonts w:ascii="Arial Black" w:hAnsi="Arial Black"/>
          <w:sz w:val="28"/>
          <w:szCs w:val="28"/>
        </w:rPr>
      </w:pPr>
      <w:r>
        <w:rPr>
          <w:rFonts w:ascii="Arial Black" w:hAnsi="Arial Black"/>
          <w:sz w:val="28"/>
          <w:szCs w:val="28"/>
        </w:rPr>
        <w:t>NY: LIVER CANCER - FF WORKED AT 9/11 WORLD TRADE CENTER – ACCIDENTAL DISABILITY BENEFITS AWARDED</w:t>
      </w:r>
    </w:p>
    <w:p w14:paraId="6BF50E34" w14:textId="77777777" w:rsidR="00A52325" w:rsidRDefault="00A52325" w:rsidP="00A52325">
      <w:pPr>
        <w:pStyle w:val="NoSpacing"/>
        <w:rPr>
          <w:rFonts w:ascii="Arial Black" w:hAnsi="Arial Black"/>
          <w:sz w:val="28"/>
          <w:szCs w:val="28"/>
        </w:rPr>
      </w:pPr>
    </w:p>
    <w:p w14:paraId="332EC30C" w14:textId="77777777" w:rsidR="00A52325" w:rsidRDefault="00A52325" w:rsidP="00A52325">
      <w:pPr>
        <w:pStyle w:val="NoSpacing"/>
        <w:rPr>
          <w:rFonts w:ascii="Times New Roman" w:hAnsi="Times New Roman"/>
          <w:sz w:val="24"/>
          <w:szCs w:val="24"/>
        </w:rPr>
      </w:pPr>
      <w:r>
        <w:rPr>
          <w:rFonts w:ascii="Times New Roman" w:hAnsi="Times New Roman"/>
          <w:sz w:val="24"/>
          <w:szCs w:val="24"/>
        </w:rPr>
        <w:t xml:space="preserve">On Sept. 3, 2019, in </w:t>
      </w:r>
      <w:r>
        <w:rPr>
          <w:rFonts w:ascii="Times New Roman" w:hAnsi="Times New Roman"/>
          <w:sz w:val="24"/>
          <w:szCs w:val="24"/>
          <w:u w:val="single"/>
        </w:rPr>
        <w:t xml:space="preserve">Matter </w:t>
      </w:r>
      <w:proofErr w:type="gramStart"/>
      <w:r>
        <w:rPr>
          <w:rFonts w:ascii="Times New Roman" w:hAnsi="Times New Roman"/>
          <w:sz w:val="24"/>
          <w:szCs w:val="24"/>
          <w:u w:val="single"/>
        </w:rPr>
        <w:t>Of</w:t>
      </w:r>
      <w:proofErr w:type="gramEnd"/>
      <w:r>
        <w:rPr>
          <w:rFonts w:ascii="Times New Roman" w:hAnsi="Times New Roman"/>
          <w:sz w:val="24"/>
          <w:szCs w:val="24"/>
          <w:u w:val="single"/>
        </w:rPr>
        <w:t xml:space="preserve"> Joseph Daly v. Daniel Nigro</w:t>
      </w:r>
      <w:r>
        <w:rPr>
          <w:rFonts w:ascii="Times New Roman" w:hAnsi="Times New Roman"/>
          <w:sz w:val="24"/>
          <w:szCs w:val="24"/>
        </w:rPr>
        <w:t xml:space="preserve">, Supreme Court, Kings County (Judge Katherine A. Levine), in unpublished opinion, held that there is a statutory presumption that the firefighter ‘s liver cancer was caused by his work at the World Trade Center cleanup operation.  The firefighter’s pension is therefore increased from one-half his salary (taxable) to three-quarters of his salary (tax-free).  </w:t>
      </w:r>
    </w:p>
    <w:p w14:paraId="23FD7B67" w14:textId="77777777" w:rsidR="00A52325" w:rsidRDefault="00A52325" w:rsidP="00A52325">
      <w:pPr>
        <w:pStyle w:val="NoSpacing"/>
        <w:rPr>
          <w:rFonts w:ascii="Times New Roman" w:hAnsi="Times New Roman"/>
          <w:sz w:val="24"/>
          <w:szCs w:val="24"/>
        </w:rPr>
      </w:pPr>
    </w:p>
    <w:p w14:paraId="4E73E24D" w14:textId="77777777" w:rsidR="00A52325" w:rsidRDefault="00A52325" w:rsidP="00A52325">
      <w:pPr>
        <w:pStyle w:val="NoSpacing"/>
        <w:ind w:left="720"/>
        <w:rPr>
          <w:rFonts w:ascii="Times New Roman" w:hAnsi="Times New Roman"/>
          <w:sz w:val="24"/>
          <w:szCs w:val="24"/>
        </w:rPr>
      </w:pPr>
      <w:r>
        <w:rPr>
          <w:rFonts w:ascii="Times New Roman" w:hAnsi="Times New Roman"/>
          <w:sz w:val="24"/>
          <w:szCs w:val="24"/>
        </w:rPr>
        <w:t xml:space="preserve">“While the Pension Fund does not dispute that Daly has a qualifying physical condition, it argues that it presented competent evidence to the court which disproves that petitioner's disability was attributable to his WTC rescue, recovery and cleanup operations, and proves that it was caused by persistent ascites and abdominal distention due to alcoholic cirrhosis of the liver. This court finds that respondent failed to proffer competent evidence to rebut the presumption that petitioner's qualifying physical condition was caused by the hazards he encountered at the WTC </w:t>
      </w:r>
      <w:proofErr w:type="gramStart"/>
      <w:r>
        <w:rPr>
          <w:rFonts w:ascii="Times New Roman" w:hAnsi="Times New Roman"/>
          <w:sz w:val="24"/>
          <w:szCs w:val="24"/>
        </w:rPr>
        <w:t>site.”</w:t>
      </w:r>
      <w:proofErr w:type="gramEnd"/>
    </w:p>
    <w:p w14:paraId="4EBD938A" w14:textId="77777777" w:rsidR="00A52325" w:rsidRDefault="00A52325" w:rsidP="00A52325">
      <w:pPr>
        <w:pStyle w:val="NoSpacing"/>
        <w:ind w:left="720"/>
        <w:rPr>
          <w:rFonts w:ascii="Times New Roman" w:hAnsi="Times New Roman"/>
          <w:sz w:val="24"/>
          <w:szCs w:val="24"/>
        </w:rPr>
      </w:pPr>
      <w:hyperlink r:id="rId565" w:history="1">
        <w:r>
          <w:rPr>
            <w:rStyle w:val="Hyperlink"/>
            <w:rFonts w:ascii="Times New Roman" w:hAnsi="Times New Roman"/>
            <w:sz w:val="24"/>
            <w:szCs w:val="24"/>
          </w:rPr>
          <w:t>https://law.justia.com/cases/new-york/other-courts/2019/2019-ny-slip-op-51525-u.html</w:t>
        </w:r>
      </w:hyperlink>
      <w:r>
        <w:rPr>
          <w:rFonts w:ascii="Times New Roman" w:hAnsi="Times New Roman"/>
          <w:sz w:val="24"/>
          <w:szCs w:val="24"/>
        </w:rPr>
        <w:t xml:space="preserve"> </w:t>
      </w:r>
    </w:p>
    <w:p w14:paraId="2DE32D4C" w14:textId="4ADAAE85" w:rsidR="00A52325" w:rsidRDefault="00A52325" w:rsidP="00EF1133">
      <w:pPr>
        <w:pStyle w:val="NoSpacing"/>
        <w:rPr>
          <w:rFonts w:ascii="Arial Black" w:hAnsi="Arial Black"/>
          <w:sz w:val="24"/>
          <w:szCs w:val="24"/>
        </w:rPr>
      </w:pPr>
    </w:p>
    <w:p w14:paraId="29139C9C" w14:textId="77777777" w:rsidR="00965872" w:rsidRDefault="00A52325" w:rsidP="00A52325">
      <w:pPr>
        <w:pStyle w:val="NoSpacing"/>
        <w:rPr>
          <w:rFonts w:ascii="Times New Roman" w:hAnsi="Times New Roman"/>
          <w:b/>
          <w:bCs/>
          <w:sz w:val="24"/>
          <w:szCs w:val="24"/>
        </w:rPr>
      </w:pPr>
      <w:r>
        <w:rPr>
          <w:rFonts w:ascii="Times New Roman" w:hAnsi="Times New Roman"/>
          <w:b/>
          <w:bCs/>
          <w:sz w:val="24"/>
          <w:szCs w:val="24"/>
        </w:rPr>
        <w:t xml:space="preserve">Legal Lessons Learned: The World Trade Center legislation created a “statutory presumption” that cancer was caused by their work at the WTC.  All firefighters should keep a record of structure fires and other exposures to hazardous environments, including even if you work in a state that have enacted workers comp. statutory presumptions, such as Ohio. See the Ohio application: </w:t>
      </w:r>
    </w:p>
    <w:p w14:paraId="7471988A" w14:textId="77777777" w:rsidR="00965872" w:rsidRDefault="00965872" w:rsidP="00A52325">
      <w:pPr>
        <w:pStyle w:val="NoSpacing"/>
        <w:rPr>
          <w:rFonts w:ascii="Times New Roman" w:hAnsi="Times New Roman"/>
          <w:b/>
          <w:bCs/>
          <w:sz w:val="24"/>
          <w:szCs w:val="24"/>
        </w:rPr>
      </w:pPr>
    </w:p>
    <w:p w14:paraId="5D1EFE59" w14:textId="52969460" w:rsidR="00A52325" w:rsidRDefault="00965872" w:rsidP="00965872">
      <w:pPr>
        <w:pStyle w:val="NoSpacing"/>
        <w:ind w:firstLine="720"/>
        <w:rPr>
          <w:rFonts w:ascii="Times New Roman" w:hAnsi="Times New Roman"/>
          <w:sz w:val="24"/>
          <w:szCs w:val="24"/>
        </w:rPr>
      </w:pPr>
      <w:hyperlink r:id="rId566" w:history="1">
        <w:r w:rsidRPr="002F304C">
          <w:rPr>
            <w:rStyle w:val="Hyperlink"/>
            <w:rFonts w:ascii="Times New Roman" w:hAnsi="Times New Roman"/>
            <w:b/>
            <w:bCs/>
            <w:sz w:val="24"/>
            <w:szCs w:val="24"/>
          </w:rPr>
          <w:t>https://www.bwc.ohio.gov/downloads/blankpdf/C-265.pdf</w:t>
        </w:r>
      </w:hyperlink>
      <w:r w:rsidR="00A52325">
        <w:rPr>
          <w:rFonts w:ascii="Times New Roman" w:hAnsi="Times New Roman"/>
          <w:b/>
          <w:bCs/>
          <w:sz w:val="24"/>
          <w:szCs w:val="24"/>
        </w:rPr>
        <w:t xml:space="preserve"> </w:t>
      </w:r>
    </w:p>
    <w:p w14:paraId="0910932C" w14:textId="77777777" w:rsidR="00A52325" w:rsidRPr="00965872" w:rsidRDefault="00A52325" w:rsidP="00965872">
      <w:pPr>
        <w:pStyle w:val="NoSpacing"/>
        <w:ind w:left="720"/>
        <w:rPr>
          <w:rFonts w:ascii="Times New Roman" w:hAnsi="Times New Roman"/>
          <w:sz w:val="24"/>
          <w:szCs w:val="24"/>
        </w:rPr>
      </w:pPr>
      <w:r w:rsidRPr="00965872">
        <w:rPr>
          <w:rFonts w:ascii="Times New Roman" w:hAnsi="Times New Roman"/>
          <w:sz w:val="24"/>
          <w:szCs w:val="24"/>
        </w:rPr>
        <w:t xml:space="preserve">“Have you been assigned to at least six years of hazardous duty as a fire fighter? Yes No If yes, please provide a history of your hazardous duty as a firefighter. “Hazardous duty” means duty performed </w:t>
      </w:r>
      <w:proofErr w:type="gramStart"/>
      <w:r w:rsidRPr="00965872">
        <w:rPr>
          <w:rFonts w:ascii="Times New Roman" w:hAnsi="Times New Roman"/>
          <w:sz w:val="24"/>
          <w:szCs w:val="24"/>
        </w:rPr>
        <w:t>under circumstances in which</w:t>
      </w:r>
      <w:proofErr w:type="gramEnd"/>
      <w:r w:rsidRPr="00965872">
        <w:rPr>
          <w:rFonts w:ascii="Times New Roman" w:hAnsi="Times New Roman"/>
          <w:sz w:val="24"/>
          <w:szCs w:val="24"/>
        </w:rPr>
        <w:t xml:space="preserve"> an accident could result in serious injury or death.” </w:t>
      </w:r>
    </w:p>
    <w:p w14:paraId="5BEAB59B" w14:textId="77777777" w:rsidR="00A52325" w:rsidRDefault="00A52325" w:rsidP="00A52325">
      <w:pPr>
        <w:pStyle w:val="NoSpacing"/>
        <w:ind w:left="720"/>
        <w:rPr>
          <w:rFonts w:ascii="Arial Black" w:hAnsi="Arial Black"/>
          <w:sz w:val="28"/>
          <w:szCs w:val="28"/>
        </w:rPr>
      </w:pPr>
    </w:p>
    <w:p w14:paraId="4265F96F" w14:textId="79839627" w:rsidR="00A52325" w:rsidRPr="00A52325" w:rsidRDefault="00A52325" w:rsidP="00EF1133">
      <w:pPr>
        <w:pStyle w:val="NoSpacing"/>
        <w:rPr>
          <w:rFonts w:ascii="Times New Roman" w:hAnsi="Times New Roman"/>
          <w:sz w:val="24"/>
          <w:szCs w:val="24"/>
        </w:rPr>
      </w:pPr>
    </w:p>
    <w:p w14:paraId="33B6B009" w14:textId="77777777" w:rsidR="00A52325" w:rsidRDefault="00A52325" w:rsidP="00EF1133">
      <w:pPr>
        <w:pStyle w:val="NoSpacing"/>
        <w:rPr>
          <w:rFonts w:ascii="Arial Black" w:hAnsi="Arial Black"/>
          <w:sz w:val="24"/>
          <w:szCs w:val="24"/>
        </w:rPr>
      </w:pPr>
    </w:p>
    <w:p w14:paraId="663D651A" w14:textId="0A3F268D" w:rsidR="00853142" w:rsidRDefault="00853142" w:rsidP="00EF1133">
      <w:pPr>
        <w:pStyle w:val="NoSpacing"/>
        <w:rPr>
          <w:rFonts w:ascii="Arial Black" w:hAnsi="Arial Black"/>
          <w:sz w:val="24"/>
          <w:szCs w:val="24"/>
        </w:rPr>
      </w:pPr>
      <w:r>
        <w:rPr>
          <w:rFonts w:ascii="Arial Black" w:hAnsi="Arial Black"/>
          <w:sz w:val="24"/>
          <w:szCs w:val="24"/>
        </w:rPr>
        <w:t>2-1</w:t>
      </w:r>
      <w:r w:rsidR="00D07E6E">
        <w:rPr>
          <w:rFonts w:ascii="Arial Black" w:hAnsi="Arial Black"/>
          <w:sz w:val="24"/>
          <w:szCs w:val="24"/>
        </w:rPr>
        <w:t>9</w:t>
      </w:r>
    </w:p>
    <w:p w14:paraId="33FBEDB8" w14:textId="62DB7BDE" w:rsidR="00853142" w:rsidRDefault="00853142" w:rsidP="00EF1133">
      <w:pPr>
        <w:pStyle w:val="NoSpacing"/>
        <w:rPr>
          <w:rFonts w:ascii="Arial Black" w:hAnsi="Arial Black"/>
          <w:sz w:val="24"/>
          <w:szCs w:val="24"/>
        </w:rPr>
      </w:pPr>
    </w:p>
    <w:p w14:paraId="406B8699" w14:textId="77777777" w:rsidR="00853142" w:rsidRPr="00A57FCF" w:rsidRDefault="00853142" w:rsidP="00853142">
      <w:pPr>
        <w:pStyle w:val="NoSpacing"/>
        <w:rPr>
          <w:rFonts w:ascii="Arial Black" w:hAnsi="Arial Black"/>
          <w:sz w:val="28"/>
          <w:szCs w:val="28"/>
        </w:rPr>
      </w:pPr>
      <w:r w:rsidRPr="00A57FCF">
        <w:rPr>
          <w:rFonts w:ascii="Arial Black" w:hAnsi="Arial Black"/>
          <w:sz w:val="28"/>
          <w:szCs w:val="28"/>
        </w:rPr>
        <w:t xml:space="preserve">PA: </w:t>
      </w:r>
      <w:r>
        <w:rPr>
          <w:rFonts w:ascii="Arial Black" w:hAnsi="Arial Black"/>
          <w:sz w:val="28"/>
          <w:szCs w:val="28"/>
        </w:rPr>
        <w:t xml:space="preserve">THREE FF KILLED – ROW HOUSE STRUCTURE FIRE - MAYOR, FIRE CHIEF DENIED QUALIFIED IMMUNITY – “ROLLING BROWNOUTS”  </w:t>
      </w:r>
    </w:p>
    <w:p w14:paraId="3967A63B" w14:textId="77777777" w:rsidR="00853142" w:rsidRPr="00C8181A" w:rsidRDefault="00853142" w:rsidP="00853142">
      <w:pPr>
        <w:rPr>
          <w:rFonts w:ascii="Times New Roman" w:hAnsi="Times New Roman"/>
          <w:sz w:val="24"/>
          <w:szCs w:val="24"/>
        </w:rPr>
      </w:pPr>
      <w:r w:rsidRPr="00C8181A">
        <w:rPr>
          <w:rFonts w:ascii="Times New Roman" w:hAnsi="Times New Roman"/>
          <w:sz w:val="24"/>
          <w:szCs w:val="24"/>
        </w:rPr>
        <w:t xml:space="preserve">On Aug. 28, 2019, in </w:t>
      </w:r>
      <w:r w:rsidRPr="00C8181A">
        <w:rPr>
          <w:rFonts w:ascii="Times New Roman" w:hAnsi="Times New Roman"/>
          <w:sz w:val="24"/>
          <w:szCs w:val="24"/>
          <w:u w:val="single"/>
        </w:rPr>
        <w:t>Firefighter Brad Speakman, Ret., et. al v. Dennis P. Williams, James M. Baker, Anthony S. Goode, William Patrick, and City of Wilmington</w:t>
      </w:r>
      <w:r w:rsidRPr="00C8181A">
        <w:rPr>
          <w:rFonts w:ascii="Times New Roman" w:hAnsi="Times New Roman"/>
          <w:sz w:val="24"/>
          <w:szCs w:val="24"/>
        </w:rPr>
        <w:t xml:space="preserve">, U.S. Magistrate Judge Mary Pat Thynge, U.S. District Court for the District of Delaware, issued a Report And Recommendation to </w:t>
      </w:r>
      <w:r>
        <w:rPr>
          <w:rFonts w:ascii="Times New Roman" w:hAnsi="Times New Roman"/>
          <w:sz w:val="24"/>
          <w:szCs w:val="24"/>
        </w:rPr>
        <w:t xml:space="preserve">a U.S. District Court judge assigned to this lawsuit arising from September 24, 2016 structure fire in a row house started by an arsonist.  </w:t>
      </w:r>
      <w:r w:rsidRPr="00C8181A">
        <w:rPr>
          <w:rFonts w:ascii="Times New Roman" w:hAnsi="Times New Roman"/>
          <w:sz w:val="24"/>
          <w:szCs w:val="24"/>
        </w:rPr>
        <w:t xml:space="preserve"> </w:t>
      </w:r>
      <w:r>
        <w:rPr>
          <w:rFonts w:ascii="Times New Roman" w:hAnsi="Times New Roman"/>
          <w:sz w:val="24"/>
          <w:szCs w:val="24"/>
        </w:rPr>
        <w:lastRenderedPageBreak/>
        <w:t xml:space="preserve">The Magistrate recommended that </w:t>
      </w:r>
      <w:r w:rsidRPr="00C8181A">
        <w:rPr>
          <w:rFonts w:ascii="Times New Roman" w:hAnsi="Times New Roman"/>
          <w:sz w:val="24"/>
          <w:szCs w:val="24"/>
        </w:rPr>
        <w:t>Mayor Williams</w:t>
      </w:r>
      <w:r>
        <w:rPr>
          <w:rFonts w:ascii="Times New Roman" w:hAnsi="Times New Roman"/>
          <w:sz w:val="24"/>
          <w:szCs w:val="24"/>
        </w:rPr>
        <w:t xml:space="preserve">, </w:t>
      </w:r>
      <w:r w:rsidRPr="00C8181A">
        <w:rPr>
          <w:rFonts w:ascii="Times New Roman" w:hAnsi="Times New Roman"/>
          <w:sz w:val="24"/>
          <w:szCs w:val="24"/>
        </w:rPr>
        <w:t>Fire Chief Goode</w:t>
      </w:r>
      <w:r>
        <w:rPr>
          <w:rFonts w:ascii="Times New Roman" w:hAnsi="Times New Roman"/>
          <w:sz w:val="24"/>
          <w:szCs w:val="24"/>
        </w:rPr>
        <w:t xml:space="preserve"> not be granted qualified immunity at this time because of their </w:t>
      </w:r>
      <w:r w:rsidRPr="00C8181A">
        <w:rPr>
          <w:rFonts w:ascii="Times New Roman" w:hAnsi="Times New Roman"/>
          <w:sz w:val="24"/>
          <w:szCs w:val="24"/>
        </w:rPr>
        <w:t>“brownouts” of fire stations</w:t>
      </w:r>
      <w:r>
        <w:rPr>
          <w:rFonts w:ascii="Times New Roman" w:hAnsi="Times New Roman"/>
          <w:sz w:val="24"/>
          <w:szCs w:val="24"/>
        </w:rPr>
        <w:t xml:space="preserve"> – called “rolling bypass policy.” </w:t>
      </w:r>
      <w:hyperlink r:id="rId567" w:history="1">
        <w:r w:rsidRPr="00C8181A">
          <w:rPr>
            <w:rStyle w:val="Hyperlink"/>
            <w:rFonts w:ascii="Times New Roman" w:hAnsi="Times New Roman"/>
            <w:sz w:val="24"/>
            <w:szCs w:val="24"/>
          </w:rPr>
          <w:t>https://shawkeller.com/wp-content/uploads/opinions-pdf/18-1252-CMMPT.pdf</w:t>
        </w:r>
      </w:hyperlink>
      <w:r w:rsidRPr="00C8181A">
        <w:rPr>
          <w:rFonts w:ascii="Times New Roman" w:hAnsi="Times New Roman"/>
          <w:sz w:val="24"/>
          <w:szCs w:val="24"/>
        </w:rPr>
        <w:t xml:space="preserve"> </w:t>
      </w:r>
    </w:p>
    <w:p w14:paraId="5860FF45" w14:textId="77777777" w:rsidR="00853142" w:rsidRPr="006666F5" w:rsidRDefault="00853142" w:rsidP="00853142">
      <w:pPr>
        <w:rPr>
          <w:rFonts w:ascii="Times New Roman" w:hAnsi="Times New Roman"/>
          <w:sz w:val="24"/>
          <w:szCs w:val="24"/>
        </w:rPr>
      </w:pPr>
      <w:r>
        <w:rPr>
          <w:rFonts w:ascii="Times New Roman" w:hAnsi="Times New Roman"/>
          <w:sz w:val="24"/>
          <w:szCs w:val="24"/>
        </w:rPr>
        <w:tab/>
        <w:t xml:space="preserve">Magistrate Judge </w:t>
      </w:r>
      <w:proofErr w:type="spellStart"/>
      <w:r>
        <w:rPr>
          <w:rFonts w:ascii="Times New Roman" w:hAnsi="Times New Roman"/>
          <w:sz w:val="24"/>
          <w:szCs w:val="24"/>
        </w:rPr>
        <w:t>Thynge</w:t>
      </w:r>
      <w:proofErr w:type="spellEnd"/>
      <w:r>
        <w:rPr>
          <w:rFonts w:ascii="Times New Roman" w:hAnsi="Times New Roman"/>
          <w:sz w:val="24"/>
          <w:szCs w:val="24"/>
        </w:rPr>
        <w:t xml:space="preserve"> wrote: </w:t>
      </w:r>
    </w:p>
    <w:p w14:paraId="1C2DF21B" w14:textId="77777777" w:rsidR="00853142" w:rsidRDefault="00853142" w:rsidP="00853142">
      <w:pPr>
        <w:pStyle w:val="NoSpacing"/>
        <w:ind w:left="1440"/>
        <w:rPr>
          <w:rFonts w:ascii="Times New Roman" w:hAnsi="Times New Roman"/>
          <w:sz w:val="24"/>
          <w:szCs w:val="24"/>
        </w:rPr>
      </w:pPr>
      <w:r>
        <w:rPr>
          <w:rFonts w:ascii="Times New Roman" w:hAnsi="Times New Roman"/>
          <w:sz w:val="24"/>
          <w:szCs w:val="24"/>
        </w:rPr>
        <w:t>“</w:t>
      </w:r>
      <w:r w:rsidRPr="006666F5">
        <w:rPr>
          <w:rFonts w:ascii="Times New Roman" w:hAnsi="Times New Roman"/>
          <w:sz w:val="24"/>
          <w:szCs w:val="24"/>
        </w:rPr>
        <w:t>Mayor Williams and Chief Goode understood that, with fire</w:t>
      </w:r>
      <w:r>
        <w:rPr>
          <w:rFonts w:ascii="Times New Roman" w:hAnsi="Times New Roman"/>
          <w:sz w:val="24"/>
          <w:szCs w:val="24"/>
        </w:rPr>
        <w:t xml:space="preserve"> </w:t>
      </w:r>
      <w:r w:rsidRPr="006666F5">
        <w:rPr>
          <w:rFonts w:ascii="Times New Roman" w:hAnsi="Times New Roman"/>
          <w:sz w:val="24"/>
          <w:szCs w:val="24"/>
        </w:rPr>
        <w:t>houses</w:t>
      </w:r>
      <w:r>
        <w:rPr>
          <w:rFonts w:ascii="Times New Roman" w:hAnsi="Times New Roman"/>
          <w:sz w:val="24"/>
          <w:szCs w:val="24"/>
        </w:rPr>
        <w:t xml:space="preserve"> </w:t>
      </w:r>
      <w:r w:rsidRPr="006666F5">
        <w:rPr>
          <w:rFonts w:ascii="Times New Roman" w:hAnsi="Times New Roman"/>
          <w:sz w:val="24"/>
          <w:szCs w:val="24"/>
        </w:rPr>
        <w:t>closed, overtime, the main impetus for the rolling bypass policy, substantially increased</w:t>
      </w:r>
      <w:r>
        <w:rPr>
          <w:rFonts w:ascii="Times New Roman" w:hAnsi="Times New Roman"/>
          <w:sz w:val="24"/>
          <w:szCs w:val="24"/>
        </w:rPr>
        <w:t xml:space="preserve"> </w:t>
      </w:r>
      <w:r w:rsidRPr="006666F5">
        <w:rPr>
          <w:rFonts w:ascii="Times New Roman" w:hAnsi="Times New Roman"/>
          <w:sz w:val="24"/>
          <w:szCs w:val="24"/>
        </w:rPr>
        <w:t>during both the Goode and Williams’ administrations. Union Officials routinely warned</w:t>
      </w:r>
      <w:r>
        <w:rPr>
          <w:rFonts w:ascii="Times New Roman" w:hAnsi="Times New Roman"/>
          <w:sz w:val="24"/>
          <w:szCs w:val="24"/>
        </w:rPr>
        <w:t xml:space="preserve"> </w:t>
      </w:r>
      <w:r w:rsidRPr="006666F5">
        <w:rPr>
          <w:rFonts w:ascii="Times New Roman" w:hAnsi="Times New Roman"/>
          <w:sz w:val="24"/>
          <w:szCs w:val="24"/>
        </w:rPr>
        <w:t>Mayor Williams and Chief Goode of the dangers associated with the continued use of</w:t>
      </w:r>
      <w:r>
        <w:rPr>
          <w:rFonts w:ascii="Times New Roman" w:hAnsi="Times New Roman"/>
          <w:sz w:val="24"/>
          <w:szCs w:val="24"/>
        </w:rPr>
        <w:t xml:space="preserve"> </w:t>
      </w:r>
      <w:r w:rsidRPr="006666F5">
        <w:rPr>
          <w:rFonts w:ascii="Times New Roman" w:hAnsi="Times New Roman"/>
          <w:sz w:val="24"/>
          <w:szCs w:val="24"/>
        </w:rPr>
        <w:t>rolling bypass. Despite repeated, emphatic warnings and concerns expressed by Union</w:t>
      </w:r>
      <w:r>
        <w:rPr>
          <w:rFonts w:ascii="Times New Roman" w:hAnsi="Times New Roman"/>
          <w:sz w:val="24"/>
          <w:szCs w:val="24"/>
        </w:rPr>
        <w:t xml:space="preserve"> </w:t>
      </w:r>
      <w:r w:rsidRPr="006666F5">
        <w:rPr>
          <w:rFonts w:ascii="Times New Roman" w:hAnsi="Times New Roman"/>
          <w:sz w:val="24"/>
          <w:szCs w:val="24"/>
        </w:rPr>
        <w:t>officials, firefighters, City Council, the public, and the media, Mayor Williams and Chief</w:t>
      </w:r>
      <w:r>
        <w:rPr>
          <w:rFonts w:ascii="Times New Roman" w:hAnsi="Times New Roman"/>
          <w:sz w:val="24"/>
          <w:szCs w:val="24"/>
        </w:rPr>
        <w:t xml:space="preserve"> </w:t>
      </w:r>
      <w:r w:rsidRPr="006666F5">
        <w:rPr>
          <w:rFonts w:ascii="Times New Roman" w:hAnsi="Times New Roman"/>
          <w:sz w:val="24"/>
          <w:szCs w:val="24"/>
        </w:rPr>
        <w:t>Goode maintained the rolling bypass policy. Accordingly, Plaintiffs adequately state</w:t>
      </w:r>
      <w:r>
        <w:rPr>
          <w:rFonts w:ascii="Times New Roman" w:hAnsi="Times New Roman"/>
          <w:sz w:val="24"/>
          <w:szCs w:val="24"/>
        </w:rPr>
        <w:t xml:space="preserve"> </w:t>
      </w:r>
      <w:r w:rsidRPr="006666F5">
        <w:rPr>
          <w:rFonts w:ascii="Times New Roman" w:hAnsi="Times New Roman"/>
          <w:sz w:val="24"/>
          <w:szCs w:val="24"/>
        </w:rPr>
        <w:t xml:space="preserve">facts which support conduct that </w:t>
      </w:r>
      <w:proofErr w:type="gramStart"/>
      <w:r w:rsidRPr="006666F5">
        <w:rPr>
          <w:rFonts w:ascii="Times New Roman" w:hAnsi="Times New Roman"/>
          <w:sz w:val="24"/>
          <w:szCs w:val="24"/>
        </w:rPr>
        <w:t>shocks</w:t>
      </w:r>
      <w:proofErr w:type="gramEnd"/>
      <w:r w:rsidRPr="006666F5">
        <w:rPr>
          <w:rFonts w:ascii="Times New Roman" w:hAnsi="Times New Roman"/>
          <w:sz w:val="24"/>
          <w:szCs w:val="24"/>
        </w:rPr>
        <w:t xml:space="preserve"> the conscious against Mayor Williams and</w:t>
      </w:r>
      <w:r>
        <w:rPr>
          <w:rFonts w:ascii="Times New Roman" w:hAnsi="Times New Roman"/>
          <w:sz w:val="24"/>
          <w:szCs w:val="24"/>
        </w:rPr>
        <w:t xml:space="preserve"> </w:t>
      </w:r>
      <w:r w:rsidRPr="006666F5">
        <w:rPr>
          <w:rFonts w:ascii="Times New Roman" w:hAnsi="Times New Roman"/>
          <w:sz w:val="24"/>
          <w:szCs w:val="24"/>
        </w:rPr>
        <w:t>Chief Goode</w:t>
      </w:r>
      <w:r>
        <w:rPr>
          <w:rFonts w:ascii="Times New Roman" w:hAnsi="Times New Roman"/>
          <w:sz w:val="24"/>
          <w:szCs w:val="24"/>
        </w:rPr>
        <w:t>.</w:t>
      </w:r>
    </w:p>
    <w:p w14:paraId="29ADA8D6" w14:textId="77777777" w:rsidR="00853142" w:rsidRDefault="00853142" w:rsidP="00853142">
      <w:pPr>
        <w:pStyle w:val="NoSpacing"/>
        <w:ind w:left="1440"/>
        <w:rPr>
          <w:rFonts w:ascii="Times New Roman" w:hAnsi="Times New Roman"/>
          <w:sz w:val="24"/>
          <w:szCs w:val="24"/>
        </w:rPr>
      </w:pPr>
    </w:p>
    <w:p w14:paraId="0632E7F9" w14:textId="77777777" w:rsidR="00853142" w:rsidRPr="006666F5" w:rsidRDefault="00853142" w:rsidP="00853142">
      <w:pPr>
        <w:pStyle w:val="NoSpacing"/>
        <w:ind w:left="1440"/>
        <w:rPr>
          <w:rFonts w:ascii="Times New Roman" w:hAnsi="Times New Roman"/>
          <w:sz w:val="24"/>
          <w:szCs w:val="24"/>
        </w:rPr>
      </w:pPr>
      <w:r>
        <w:rPr>
          <w:rFonts w:ascii="Times New Roman" w:hAnsi="Times New Roman"/>
          <w:sz w:val="24"/>
          <w:szCs w:val="24"/>
        </w:rPr>
        <w:t>***</w:t>
      </w:r>
    </w:p>
    <w:p w14:paraId="69F9E0D8" w14:textId="77777777" w:rsidR="00853142" w:rsidRDefault="00853142" w:rsidP="00853142">
      <w:pPr>
        <w:ind w:left="1440"/>
        <w:rPr>
          <w:rFonts w:ascii="Times New Roman" w:hAnsi="Times New Roman"/>
          <w:sz w:val="24"/>
          <w:szCs w:val="24"/>
        </w:rPr>
      </w:pPr>
      <w:r>
        <w:rPr>
          <w:rFonts w:ascii="Times New Roman" w:hAnsi="Times New Roman"/>
          <w:sz w:val="24"/>
          <w:szCs w:val="24"/>
        </w:rPr>
        <w:t>I</w:t>
      </w:r>
      <w:r w:rsidRPr="00C8181A">
        <w:rPr>
          <w:rFonts w:ascii="Times New Roman" w:hAnsi="Times New Roman"/>
          <w:sz w:val="24"/>
          <w:szCs w:val="24"/>
        </w:rPr>
        <w:t>n the instant matter, City Council enacted a statute to address its concerns of</w:t>
      </w:r>
      <w:r>
        <w:rPr>
          <w:rFonts w:ascii="Times New Roman" w:hAnsi="Times New Roman"/>
          <w:sz w:val="24"/>
          <w:szCs w:val="24"/>
        </w:rPr>
        <w:t xml:space="preserve"> </w:t>
      </w:r>
      <w:r w:rsidRPr="00C8181A">
        <w:rPr>
          <w:rFonts w:ascii="Times New Roman" w:hAnsi="Times New Roman"/>
          <w:sz w:val="24"/>
          <w:szCs w:val="24"/>
        </w:rPr>
        <w:t>under-staffing and overtime.</w:t>
      </w:r>
      <w:r>
        <w:rPr>
          <w:rFonts w:ascii="Times New Roman" w:hAnsi="Times New Roman"/>
          <w:sz w:val="24"/>
          <w:szCs w:val="24"/>
        </w:rPr>
        <w:t xml:space="preserve"> </w:t>
      </w:r>
      <w:r w:rsidRPr="00C8181A">
        <w:rPr>
          <w:rFonts w:ascii="Times New Roman" w:hAnsi="Times New Roman"/>
          <w:sz w:val="24"/>
          <w:szCs w:val="24"/>
        </w:rPr>
        <w:t>Plaintiffs contend that Mayor Williams and Chief Goode</w:t>
      </w:r>
      <w:r>
        <w:rPr>
          <w:rFonts w:ascii="Times New Roman" w:hAnsi="Times New Roman"/>
          <w:sz w:val="24"/>
          <w:szCs w:val="24"/>
        </w:rPr>
        <w:t xml:space="preserve"> </w:t>
      </w:r>
      <w:r w:rsidRPr="00C8181A">
        <w:rPr>
          <w:rFonts w:ascii="Times New Roman" w:hAnsi="Times New Roman"/>
          <w:sz w:val="24"/>
          <w:szCs w:val="24"/>
        </w:rPr>
        <w:t xml:space="preserve">failed to comply with that </w:t>
      </w:r>
      <w:proofErr w:type="gramStart"/>
      <w:r w:rsidRPr="00C8181A">
        <w:rPr>
          <w:rFonts w:ascii="Times New Roman" w:hAnsi="Times New Roman"/>
          <w:sz w:val="24"/>
          <w:szCs w:val="24"/>
        </w:rPr>
        <w:t>statute, and</w:t>
      </w:r>
      <w:proofErr w:type="gramEnd"/>
      <w:r w:rsidRPr="00C8181A">
        <w:rPr>
          <w:rFonts w:ascii="Times New Roman" w:hAnsi="Times New Roman"/>
          <w:sz w:val="24"/>
          <w:szCs w:val="24"/>
        </w:rPr>
        <w:t xml:space="preserve"> were clearly aware of the dangers concerning</w:t>
      </w:r>
      <w:r>
        <w:rPr>
          <w:rFonts w:ascii="Times New Roman" w:hAnsi="Times New Roman"/>
          <w:sz w:val="24"/>
          <w:szCs w:val="24"/>
        </w:rPr>
        <w:t xml:space="preserve"> </w:t>
      </w:r>
      <w:r w:rsidRPr="00C8181A">
        <w:rPr>
          <w:rFonts w:ascii="Times New Roman" w:hAnsi="Times New Roman"/>
          <w:sz w:val="24"/>
          <w:szCs w:val="24"/>
        </w:rPr>
        <w:t>rolling bypass.</w:t>
      </w:r>
      <w:r>
        <w:rPr>
          <w:rFonts w:ascii="Times New Roman" w:hAnsi="Times New Roman"/>
          <w:sz w:val="24"/>
          <w:szCs w:val="24"/>
        </w:rPr>
        <w:t xml:space="preserve"> </w:t>
      </w:r>
      <w:r w:rsidRPr="00C8181A">
        <w:rPr>
          <w:rFonts w:ascii="Times New Roman" w:hAnsi="Times New Roman"/>
          <w:sz w:val="24"/>
          <w:szCs w:val="24"/>
        </w:rPr>
        <w:t xml:space="preserve"> They further maintain that the </w:t>
      </w:r>
      <w:proofErr w:type="gramStart"/>
      <w:r w:rsidRPr="00C8181A">
        <w:rPr>
          <w:rFonts w:ascii="Times New Roman" w:hAnsi="Times New Roman"/>
          <w:sz w:val="24"/>
          <w:szCs w:val="24"/>
        </w:rPr>
        <w:t>City</w:t>
      </w:r>
      <w:proofErr w:type="gramEnd"/>
      <w:r w:rsidRPr="00C8181A">
        <w:rPr>
          <w:rFonts w:ascii="Times New Roman" w:hAnsi="Times New Roman"/>
          <w:sz w:val="24"/>
          <w:szCs w:val="24"/>
        </w:rPr>
        <w:t>, through its Mayors and City</w:t>
      </w:r>
      <w:r>
        <w:rPr>
          <w:rFonts w:ascii="Times New Roman" w:hAnsi="Times New Roman"/>
          <w:sz w:val="24"/>
          <w:szCs w:val="24"/>
        </w:rPr>
        <w:t xml:space="preserve"> </w:t>
      </w:r>
      <w:r w:rsidRPr="00C8181A">
        <w:rPr>
          <w:rFonts w:ascii="Times New Roman" w:hAnsi="Times New Roman"/>
          <w:sz w:val="24"/>
          <w:szCs w:val="24"/>
        </w:rPr>
        <w:t>Council, understood these dangers. Despite this awareness, neither Mayor heeded</w:t>
      </w:r>
      <w:r>
        <w:rPr>
          <w:rFonts w:ascii="Times New Roman" w:hAnsi="Times New Roman"/>
          <w:sz w:val="24"/>
          <w:szCs w:val="24"/>
        </w:rPr>
        <w:t xml:space="preserve"> </w:t>
      </w:r>
      <w:r w:rsidRPr="00C8181A">
        <w:rPr>
          <w:rFonts w:ascii="Times New Roman" w:hAnsi="Times New Roman"/>
          <w:sz w:val="24"/>
          <w:szCs w:val="24"/>
        </w:rPr>
        <w:t>these concerns. Such inaction supports Plaintiffs’ allegations. Accordingly, the court finds that Plaintiffs allege sufficient facts against the City</w:t>
      </w:r>
      <w:r>
        <w:rPr>
          <w:rFonts w:ascii="Times New Roman" w:hAnsi="Times New Roman"/>
          <w:sz w:val="24"/>
          <w:szCs w:val="24"/>
        </w:rPr>
        <w:t xml:space="preserve"> </w:t>
      </w:r>
      <w:r w:rsidRPr="00C8181A">
        <w:rPr>
          <w:rFonts w:ascii="Times New Roman" w:hAnsi="Times New Roman"/>
          <w:sz w:val="24"/>
          <w:szCs w:val="24"/>
        </w:rPr>
        <w:t>for maintaining policies, practices or customs.</w:t>
      </w:r>
      <w:r>
        <w:rPr>
          <w:rFonts w:ascii="Times New Roman" w:hAnsi="Times New Roman"/>
          <w:sz w:val="24"/>
          <w:szCs w:val="24"/>
        </w:rPr>
        <w:t>”</w:t>
      </w:r>
    </w:p>
    <w:p w14:paraId="2222B6BB" w14:textId="77777777" w:rsidR="00853142" w:rsidRDefault="00853142" w:rsidP="00853142">
      <w:pPr>
        <w:pStyle w:val="NoSpacing"/>
        <w:rPr>
          <w:rFonts w:ascii="Times New Roman" w:hAnsi="Times New Roman"/>
          <w:b/>
          <w:bCs/>
          <w:sz w:val="24"/>
          <w:szCs w:val="24"/>
        </w:rPr>
      </w:pPr>
      <w:r w:rsidRPr="00250FC7">
        <w:rPr>
          <w:rFonts w:ascii="Times New Roman" w:hAnsi="Times New Roman"/>
          <w:b/>
          <w:bCs/>
          <w:sz w:val="24"/>
          <w:szCs w:val="24"/>
        </w:rPr>
        <w:t>Legal Lessons Learned:</w:t>
      </w:r>
      <w:r>
        <w:rPr>
          <w:rFonts w:ascii="Times New Roman" w:hAnsi="Times New Roman"/>
          <w:b/>
          <w:bCs/>
          <w:sz w:val="24"/>
          <w:szCs w:val="24"/>
        </w:rPr>
        <w:t xml:space="preserve"> A tragic loss of life; “rolling brownouts” of fire stations or apparatus continue to be a very controversial issue.  </w:t>
      </w:r>
    </w:p>
    <w:p w14:paraId="28C8DDC8" w14:textId="6546B36C" w:rsidR="00853142" w:rsidRPr="00015208" w:rsidRDefault="00853142" w:rsidP="00015208">
      <w:pPr>
        <w:pStyle w:val="NoSpacing"/>
        <w:ind w:left="720"/>
        <w:rPr>
          <w:rFonts w:ascii="Times New Roman" w:hAnsi="Times New Roman"/>
          <w:sz w:val="24"/>
          <w:szCs w:val="24"/>
        </w:rPr>
      </w:pPr>
      <w:r w:rsidRPr="00015208">
        <w:rPr>
          <w:rFonts w:ascii="Times New Roman" w:hAnsi="Times New Roman"/>
          <w:sz w:val="24"/>
          <w:szCs w:val="24"/>
        </w:rPr>
        <w:t xml:space="preserve">See NIOSH Fire Fighter Fatality Investigation report F2016-18 (November 9, 2018): </w:t>
      </w:r>
      <w:hyperlink r:id="rId568" w:history="1">
        <w:r w:rsidR="00015208" w:rsidRPr="00915280">
          <w:rPr>
            <w:rStyle w:val="Hyperlink"/>
            <w:rFonts w:ascii="Times New Roman" w:hAnsi="Times New Roman"/>
            <w:sz w:val="24"/>
            <w:szCs w:val="24"/>
          </w:rPr>
          <w:t>https://www.cdc.gov/niosh/fire/pdfs/face201618.pdf</w:t>
        </w:r>
      </w:hyperlink>
      <w:r w:rsidRPr="00015208">
        <w:rPr>
          <w:rFonts w:ascii="Times New Roman" w:hAnsi="Times New Roman"/>
          <w:sz w:val="24"/>
          <w:szCs w:val="24"/>
        </w:rPr>
        <w:t xml:space="preserve"> </w:t>
      </w:r>
    </w:p>
    <w:p w14:paraId="3CF0FDD3" w14:textId="77777777" w:rsidR="00853142" w:rsidRDefault="00853142" w:rsidP="00853142">
      <w:pPr>
        <w:pStyle w:val="NoSpacing"/>
        <w:rPr>
          <w:rFonts w:ascii="Times New Roman" w:hAnsi="Times New Roman"/>
          <w:sz w:val="24"/>
          <w:szCs w:val="24"/>
        </w:rPr>
      </w:pPr>
    </w:p>
    <w:p w14:paraId="04465C07" w14:textId="77777777" w:rsidR="00853142" w:rsidRPr="00015208" w:rsidRDefault="00853142" w:rsidP="00015208">
      <w:pPr>
        <w:pStyle w:val="NoSpacing"/>
        <w:ind w:left="1440"/>
        <w:rPr>
          <w:rFonts w:ascii="Times New Roman" w:hAnsi="Times New Roman"/>
          <w:sz w:val="24"/>
          <w:szCs w:val="24"/>
        </w:rPr>
      </w:pPr>
      <w:r w:rsidRPr="00015208">
        <w:rPr>
          <w:rFonts w:ascii="Times New Roman" w:hAnsi="Times New Roman"/>
          <w:sz w:val="24"/>
          <w:szCs w:val="24"/>
        </w:rPr>
        <w:t xml:space="preserve">“Ladder 2 was 1st due at this residential structure fire. Note: The 1st due engine (Engine 6) was out of service due to budget constraints affecting overtime and daily staffing of companies. The fire department </w:t>
      </w:r>
      <w:proofErr w:type="gramStart"/>
      <w:r w:rsidRPr="00015208">
        <w:rPr>
          <w:rFonts w:ascii="Times New Roman" w:hAnsi="Times New Roman"/>
          <w:sz w:val="24"/>
          <w:szCs w:val="24"/>
        </w:rPr>
        <w:t>has to</w:t>
      </w:r>
      <w:proofErr w:type="gramEnd"/>
      <w:r w:rsidRPr="00015208">
        <w:rPr>
          <w:rFonts w:ascii="Times New Roman" w:hAnsi="Times New Roman"/>
          <w:sz w:val="24"/>
          <w:szCs w:val="24"/>
        </w:rPr>
        <w:t xml:space="preserve"> detail fire fighters throughout the city to maintain minimum staffing on a prescribed number of engine companies and ladder companies (e.g., ‘rolling brown outs’). Engine 6 was housed with Ladder 2. The impact of Engine 6 being out of service is unknown.” [Page 25.]</w:t>
      </w:r>
    </w:p>
    <w:p w14:paraId="1A4519E4" w14:textId="77777777" w:rsidR="00853142" w:rsidRPr="00015208" w:rsidRDefault="00853142" w:rsidP="00853142">
      <w:pPr>
        <w:pStyle w:val="NoSpacing"/>
        <w:rPr>
          <w:rFonts w:ascii="Times New Roman" w:hAnsi="Times New Roman"/>
          <w:sz w:val="24"/>
          <w:szCs w:val="24"/>
        </w:rPr>
      </w:pPr>
    </w:p>
    <w:p w14:paraId="67FEECC8" w14:textId="77777777" w:rsidR="00853142" w:rsidRPr="00015208" w:rsidRDefault="00853142" w:rsidP="00015208">
      <w:pPr>
        <w:pStyle w:val="NoSpacing"/>
        <w:ind w:left="720"/>
        <w:rPr>
          <w:rFonts w:ascii="Times New Roman" w:hAnsi="Times New Roman"/>
          <w:sz w:val="24"/>
          <w:szCs w:val="24"/>
        </w:rPr>
      </w:pPr>
      <w:r w:rsidRPr="00015208">
        <w:rPr>
          <w:rFonts w:ascii="Times New Roman" w:hAnsi="Times New Roman"/>
          <w:sz w:val="24"/>
          <w:szCs w:val="24"/>
        </w:rPr>
        <w:t xml:space="preserve">See also: Philadelphia Fire Department Needs to Reconsider Its Brownout and Rotation Policies (Feb. 11, 2016): </w:t>
      </w:r>
      <w:hyperlink r:id="rId569" w:history="1">
        <w:r w:rsidRPr="00015208">
          <w:rPr>
            <w:rStyle w:val="Hyperlink"/>
            <w:rFonts w:ascii="Times New Roman" w:hAnsi="Times New Roman"/>
            <w:sz w:val="24"/>
            <w:szCs w:val="24"/>
          </w:rPr>
          <w:t>https://controller.phila.gov/philadelphia-audits/philadelphia-fire-department-department-needs-to-reconsider-its-brownout-rotation-policies/</w:t>
        </w:r>
      </w:hyperlink>
      <w:r w:rsidRPr="00015208">
        <w:rPr>
          <w:rFonts w:ascii="Times New Roman" w:hAnsi="Times New Roman"/>
          <w:sz w:val="24"/>
          <w:szCs w:val="24"/>
        </w:rPr>
        <w:t xml:space="preserve">  </w:t>
      </w:r>
    </w:p>
    <w:p w14:paraId="39CEB443" w14:textId="77777777" w:rsidR="00853142" w:rsidRDefault="00853142" w:rsidP="00853142">
      <w:pPr>
        <w:pStyle w:val="NoSpacing"/>
        <w:rPr>
          <w:rFonts w:ascii="Times New Roman" w:hAnsi="Times New Roman"/>
          <w:sz w:val="24"/>
          <w:szCs w:val="24"/>
        </w:rPr>
      </w:pPr>
    </w:p>
    <w:p w14:paraId="71365E56" w14:textId="77777777" w:rsidR="00965872" w:rsidRDefault="00965872" w:rsidP="00EF1133">
      <w:pPr>
        <w:pStyle w:val="NoSpacing"/>
        <w:rPr>
          <w:rFonts w:ascii="Arial Black" w:hAnsi="Arial Black"/>
          <w:sz w:val="24"/>
          <w:szCs w:val="24"/>
        </w:rPr>
      </w:pPr>
    </w:p>
    <w:p w14:paraId="71C94921" w14:textId="77777777" w:rsidR="00965872" w:rsidRDefault="00965872" w:rsidP="00EF1133">
      <w:pPr>
        <w:pStyle w:val="NoSpacing"/>
        <w:rPr>
          <w:rFonts w:ascii="Arial Black" w:hAnsi="Arial Black"/>
          <w:sz w:val="24"/>
          <w:szCs w:val="24"/>
        </w:rPr>
      </w:pPr>
    </w:p>
    <w:p w14:paraId="2A78A715" w14:textId="4DCDF8A9" w:rsidR="00EF1133" w:rsidRDefault="00EF1133" w:rsidP="00EF1133">
      <w:pPr>
        <w:pStyle w:val="NoSpacing"/>
        <w:rPr>
          <w:rFonts w:ascii="Arial Black" w:hAnsi="Arial Black"/>
          <w:sz w:val="24"/>
          <w:szCs w:val="24"/>
        </w:rPr>
      </w:pPr>
      <w:r w:rsidRPr="00791CA3">
        <w:rPr>
          <w:rFonts w:ascii="Arial Black" w:hAnsi="Arial Black"/>
          <w:sz w:val="24"/>
          <w:szCs w:val="24"/>
        </w:rPr>
        <w:t>2-1</w:t>
      </w:r>
      <w:r w:rsidR="00D07E6E">
        <w:rPr>
          <w:rFonts w:ascii="Arial Black" w:hAnsi="Arial Black"/>
          <w:sz w:val="24"/>
          <w:szCs w:val="24"/>
        </w:rPr>
        <w:t>8</w:t>
      </w:r>
    </w:p>
    <w:p w14:paraId="29130E65" w14:textId="77777777" w:rsidR="00D07E6E" w:rsidRDefault="00D07E6E" w:rsidP="00EF1133">
      <w:pPr>
        <w:pStyle w:val="NoSpacing"/>
        <w:rPr>
          <w:rFonts w:ascii="Arial Black" w:hAnsi="Arial Black"/>
          <w:sz w:val="24"/>
          <w:szCs w:val="24"/>
        </w:rPr>
      </w:pPr>
    </w:p>
    <w:p w14:paraId="3FB90683" w14:textId="3A47A75C" w:rsidR="002B1283" w:rsidRDefault="002B1283" w:rsidP="002B1283">
      <w:pPr>
        <w:rPr>
          <w:rFonts w:ascii="Arial Black" w:hAnsi="Arial Black"/>
          <w:sz w:val="28"/>
          <w:szCs w:val="28"/>
        </w:rPr>
      </w:pPr>
      <w:r>
        <w:rPr>
          <w:rFonts w:ascii="Arial Black" w:hAnsi="Arial Black"/>
          <w:sz w:val="28"/>
          <w:szCs w:val="28"/>
        </w:rPr>
        <w:t xml:space="preserve">KY:  VOL. FF INJURED LEG &amp; KNEE ON ICE – WORKERS COMP. FOR  MEDICAL, BUT NO WAGE LOSS – FF IS SELF-EMPLOYED </w:t>
      </w:r>
    </w:p>
    <w:p w14:paraId="383BB32C" w14:textId="77777777" w:rsidR="002B1283" w:rsidRDefault="002B1283" w:rsidP="002B1283">
      <w:pPr>
        <w:pStyle w:val="NoSpacing"/>
        <w:rPr>
          <w:rFonts w:ascii="OnTimes New Roman" w:hAnsi="OnTimes New Roman"/>
          <w:sz w:val="24"/>
          <w:szCs w:val="24"/>
        </w:rPr>
      </w:pPr>
      <w:r>
        <w:rPr>
          <w:rFonts w:ascii="OnTimes New Roman" w:hAnsi="OnTimes New Roman"/>
          <w:sz w:val="24"/>
          <w:szCs w:val="24"/>
        </w:rPr>
        <w:lastRenderedPageBreak/>
        <w:t xml:space="preserve">On July 12, 2019, in </w:t>
      </w:r>
      <w:r w:rsidRPr="00056819">
        <w:rPr>
          <w:rFonts w:ascii="OnTimes New Roman" w:hAnsi="OnTimes New Roman"/>
          <w:sz w:val="24"/>
          <w:szCs w:val="24"/>
          <w:u w:val="single"/>
        </w:rPr>
        <w:t>Ken Lashley v. Kentucky Volunteer Fire Department, et al</w:t>
      </w:r>
      <w:r>
        <w:rPr>
          <w:rFonts w:ascii="OnTimes New Roman" w:hAnsi="OnTimes New Roman"/>
          <w:sz w:val="24"/>
          <w:szCs w:val="24"/>
        </w:rPr>
        <w:t xml:space="preserve">., the Kentucky Court of Appeals held (3 to 0; unpublished opinion) that the Administrative Law Judge correctly determined that the firefighter </w:t>
      </w:r>
    </w:p>
    <w:p w14:paraId="655561D2" w14:textId="77777777" w:rsidR="002B1283" w:rsidRDefault="002B1283" w:rsidP="002B1283">
      <w:pPr>
        <w:pStyle w:val="NoSpacing"/>
        <w:rPr>
          <w:rFonts w:ascii="OnTimes New Roman" w:hAnsi="OnTimes New Roman"/>
          <w:sz w:val="24"/>
          <w:szCs w:val="24"/>
        </w:rPr>
      </w:pPr>
      <w:r>
        <w:rPr>
          <w:rFonts w:ascii="OnTimes New Roman" w:hAnsi="OnTimes New Roman"/>
          <w:sz w:val="24"/>
          <w:szCs w:val="24"/>
        </w:rPr>
        <w:t xml:space="preserve">is not entitled to any wage loss reimbursement since he owns his own business and is self-employed without wages.  </w:t>
      </w:r>
    </w:p>
    <w:p w14:paraId="17969008" w14:textId="77777777" w:rsidR="002B1283" w:rsidRDefault="002B1283" w:rsidP="002B1283">
      <w:pPr>
        <w:pStyle w:val="NoSpacing"/>
        <w:rPr>
          <w:rFonts w:ascii="OnTimes New Roman" w:hAnsi="OnTimes New Roman"/>
          <w:sz w:val="24"/>
          <w:szCs w:val="24"/>
        </w:rPr>
      </w:pPr>
    </w:p>
    <w:p w14:paraId="0620351D"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056819">
        <w:rPr>
          <w:rFonts w:ascii="Times New Roman" w:hAnsi="Times New Roman"/>
          <w:sz w:val="24"/>
          <w:szCs w:val="24"/>
        </w:rPr>
        <w:t xml:space="preserve">As a volunteer firefighter, his average weekly wage is based on his other </w:t>
      </w:r>
      <w:r>
        <w:rPr>
          <w:rFonts w:ascii="Times New Roman" w:hAnsi="Times New Roman"/>
          <w:sz w:val="24"/>
          <w:szCs w:val="24"/>
        </w:rPr>
        <w:t>‘</w:t>
      </w:r>
      <w:r w:rsidRPr="00056819">
        <w:rPr>
          <w:rFonts w:ascii="Times New Roman" w:hAnsi="Times New Roman"/>
          <w:sz w:val="24"/>
          <w:szCs w:val="24"/>
        </w:rPr>
        <w:t>regular employment.</w:t>
      </w:r>
      <w:r>
        <w:rPr>
          <w:rFonts w:ascii="Times New Roman" w:hAnsi="Times New Roman"/>
          <w:sz w:val="24"/>
          <w:szCs w:val="24"/>
        </w:rPr>
        <w:t xml:space="preserve">’ </w:t>
      </w:r>
      <w:r w:rsidRPr="00056819">
        <w:rPr>
          <w:rFonts w:ascii="Times New Roman" w:hAnsi="Times New Roman"/>
          <w:sz w:val="24"/>
          <w:szCs w:val="24"/>
        </w:rPr>
        <w:t>KRS 342.140(3). In this case, Appellant is self-employed</w:t>
      </w:r>
      <w:r>
        <w:rPr>
          <w:rFonts w:ascii="Times New Roman" w:hAnsi="Times New Roman"/>
          <w:sz w:val="24"/>
          <w:szCs w:val="24"/>
        </w:rPr>
        <w:t>….</w:t>
      </w:r>
      <w:r w:rsidRPr="00056819">
        <w:rPr>
          <w:rFonts w:ascii="Times New Roman" w:hAnsi="Times New Roman"/>
          <w:sz w:val="24"/>
          <w:szCs w:val="24"/>
        </w:rPr>
        <w:t xml:space="preserve"> The ALJ held that because Appellant owned his own business, he did not have wages from regular employment. In other words, Appellant could not claim money earned as the owner of the business as wages for the purpose of calculating his average weekly wage.” </w:t>
      </w:r>
    </w:p>
    <w:p w14:paraId="1CA24179" w14:textId="77777777" w:rsidR="002B1283" w:rsidRDefault="002B1283" w:rsidP="002B1283">
      <w:pPr>
        <w:pStyle w:val="NoSpacing"/>
        <w:ind w:left="720"/>
        <w:rPr>
          <w:rFonts w:ascii="Times New Roman" w:hAnsi="Times New Roman"/>
          <w:sz w:val="24"/>
          <w:szCs w:val="24"/>
        </w:rPr>
      </w:pPr>
      <w:hyperlink r:id="rId570" w:history="1">
        <w:r w:rsidRPr="00455844">
          <w:rPr>
            <w:rStyle w:val="Hyperlink"/>
            <w:rFonts w:ascii="Times New Roman" w:hAnsi="Times New Roman"/>
            <w:sz w:val="24"/>
            <w:szCs w:val="24"/>
          </w:rPr>
          <w:t>https://cases.justia.com/kentucky/court-of-appeals/2019-2019-ca-000504-wc.pdf?ts=1562940239</w:t>
        </w:r>
      </w:hyperlink>
      <w:r>
        <w:rPr>
          <w:rFonts w:ascii="Times New Roman" w:hAnsi="Times New Roman"/>
          <w:sz w:val="24"/>
          <w:szCs w:val="24"/>
        </w:rPr>
        <w:t xml:space="preserve"> </w:t>
      </w:r>
    </w:p>
    <w:p w14:paraId="17B691AE" w14:textId="77777777" w:rsidR="002B1283" w:rsidRDefault="002B1283" w:rsidP="002B1283">
      <w:pPr>
        <w:pStyle w:val="NoSpacing"/>
        <w:rPr>
          <w:rFonts w:ascii="OnTimes New Roman" w:hAnsi="OnTimes New Roman"/>
          <w:sz w:val="24"/>
          <w:szCs w:val="24"/>
        </w:rPr>
      </w:pPr>
      <w:r>
        <w:rPr>
          <w:rFonts w:ascii="OnTimes New Roman" w:hAnsi="OnTimes New Roman"/>
          <w:sz w:val="24"/>
          <w:szCs w:val="24"/>
        </w:rPr>
        <w:t xml:space="preserve"> </w:t>
      </w:r>
    </w:p>
    <w:p w14:paraId="325265C1" w14:textId="77777777" w:rsidR="002B1283" w:rsidRDefault="002B1283" w:rsidP="002B1283">
      <w:pPr>
        <w:pStyle w:val="NoSpacing"/>
        <w:rPr>
          <w:rFonts w:ascii="Times New Roman" w:hAnsi="Times New Roman"/>
          <w:b/>
          <w:bCs/>
          <w:sz w:val="24"/>
          <w:szCs w:val="24"/>
        </w:rPr>
      </w:pPr>
      <w:r w:rsidRPr="00B81377">
        <w:rPr>
          <w:rFonts w:ascii="Times New Roman" w:hAnsi="Times New Roman"/>
          <w:b/>
          <w:bCs/>
          <w:sz w:val="24"/>
          <w:szCs w:val="24"/>
        </w:rPr>
        <w:t xml:space="preserve">Legal Lesson Learned: </w:t>
      </w:r>
      <w:r>
        <w:rPr>
          <w:rFonts w:ascii="Times New Roman" w:hAnsi="Times New Roman"/>
          <w:b/>
          <w:bCs/>
          <w:sz w:val="24"/>
          <w:szCs w:val="24"/>
        </w:rPr>
        <w:t xml:space="preserve"> Kentucky statute, like many states, will award volunteer firefighters their loss wages based on wages of their “regular employment.” This self-employed firefighter will have his medical expenses covered.  </w:t>
      </w:r>
    </w:p>
    <w:p w14:paraId="1E16657F" w14:textId="77777777" w:rsidR="002B1283" w:rsidRDefault="002B1283" w:rsidP="002B1283">
      <w:pPr>
        <w:pStyle w:val="NoSpacing"/>
        <w:rPr>
          <w:rFonts w:ascii="Times New Roman" w:hAnsi="Times New Roman"/>
          <w:b/>
          <w:bCs/>
          <w:sz w:val="24"/>
          <w:szCs w:val="24"/>
        </w:rPr>
      </w:pPr>
    </w:p>
    <w:p w14:paraId="5C407E72" w14:textId="77777777" w:rsidR="002B1283" w:rsidRPr="00965872" w:rsidRDefault="002B1283" w:rsidP="00965872">
      <w:pPr>
        <w:pStyle w:val="NoSpacing"/>
        <w:rPr>
          <w:rFonts w:ascii="Times New Roman" w:hAnsi="Times New Roman"/>
          <w:sz w:val="24"/>
          <w:szCs w:val="24"/>
        </w:rPr>
      </w:pPr>
      <w:r w:rsidRPr="00965872">
        <w:rPr>
          <w:rFonts w:ascii="Times New Roman" w:hAnsi="Times New Roman"/>
          <w:sz w:val="24"/>
          <w:szCs w:val="24"/>
        </w:rPr>
        <w:t xml:space="preserve">The Administrative Law Judge awarded “temporary total disability (‘TTD’) based upon the state minimum benefit in effect for the date of injury, medical benefits, and placed the claim in abeyance until Lashley reaches maximum medical improvement (“MMI”).  The ALJ noted Lashley has not yet reached MMI.”  </w:t>
      </w:r>
      <w:hyperlink r:id="rId571" w:history="1">
        <w:r w:rsidRPr="00965872">
          <w:rPr>
            <w:rStyle w:val="Hyperlink"/>
            <w:rFonts w:ascii="Times New Roman" w:hAnsi="Times New Roman"/>
            <w:sz w:val="24"/>
            <w:szCs w:val="24"/>
          </w:rPr>
          <w:t>https://comped.net/opinions_recentdisp.php?ID=7270</w:t>
        </w:r>
      </w:hyperlink>
      <w:r w:rsidRPr="00965872">
        <w:rPr>
          <w:rFonts w:ascii="Times New Roman" w:hAnsi="Times New Roman"/>
          <w:sz w:val="24"/>
          <w:szCs w:val="24"/>
        </w:rPr>
        <w:t xml:space="preserve"> </w:t>
      </w:r>
    </w:p>
    <w:p w14:paraId="504E78D9" w14:textId="77777777" w:rsidR="002B1283" w:rsidRPr="00965872" w:rsidRDefault="002B1283" w:rsidP="002B1283">
      <w:pPr>
        <w:pStyle w:val="NoSpacing"/>
        <w:rPr>
          <w:rFonts w:ascii="Times New Roman" w:hAnsi="Times New Roman"/>
          <w:b/>
          <w:bCs/>
          <w:sz w:val="24"/>
          <w:szCs w:val="24"/>
        </w:rPr>
      </w:pPr>
    </w:p>
    <w:p w14:paraId="06E00225" w14:textId="77777777" w:rsidR="005A414F" w:rsidRDefault="005A414F" w:rsidP="002B1283">
      <w:pPr>
        <w:pStyle w:val="NoSpacing"/>
        <w:rPr>
          <w:rFonts w:ascii="Arial Black" w:hAnsi="Arial Black"/>
          <w:sz w:val="24"/>
          <w:szCs w:val="24"/>
        </w:rPr>
      </w:pPr>
    </w:p>
    <w:p w14:paraId="6AA82951" w14:textId="77777777" w:rsidR="005A414F" w:rsidRDefault="005A414F" w:rsidP="002B1283">
      <w:pPr>
        <w:pStyle w:val="NoSpacing"/>
        <w:rPr>
          <w:rFonts w:ascii="Arial Black" w:hAnsi="Arial Black"/>
          <w:sz w:val="24"/>
          <w:szCs w:val="24"/>
        </w:rPr>
      </w:pPr>
    </w:p>
    <w:p w14:paraId="3D5398EE" w14:textId="31D5CA64" w:rsidR="002B1283" w:rsidRDefault="00EF1133" w:rsidP="002B1283">
      <w:pPr>
        <w:pStyle w:val="NoSpacing"/>
        <w:rPr>
          <w:rFonts w:ascii="MIArial Black" w:hAnsi="MIArial Black"/>
          <w:b/>
          <w:bCs/>
          <w:sz w:val="28"/>
          <w:szCs w:val="28"/>
        </w:rPr>
      </w:pPr>
      <w:r w:rsidRPr="00791CA3">
        <w:rPr>
          <w:rFonts w:ascii="Arial Black" w:hAnsi="Arial Black"/>
          <w:sz w:val="24"/>
          <w:szCs w:val="24"/>
        </w:rPr>
        <w:t>2-1</w:t>
      </w:r>
      <w:r w:rsidR="00D07E6E">
        <w:rPr>
          <w:rFonts w:ascii="Arial Black" w:hAnsi="Arial Black"/>
          <w:sz w:val="24"/>
          <w:szCs w:val="24"/>
        </w:rPr>
        <w:t>7</w:t>
      </w:r>
    </w:p>
    <w:p w14:paraId="28946251" w14:textId="77777777" w:rsidR="005A414F" w:rsidRDefault="005A414F" w:rsidP="002B1283">
      <w:pPr>
        <w:pStyle w:val="NoSpacing"/>
        <w:rPr>
          <w:rFonts w:ascii="MIArial Black" w:hAnsi="MIArial Black"/>
          <w:b/>
          <w:bCs/>
          <w:sz w:val="28"/>
          <w:szCs w:val="28"/>
        </w:rPr>
      </w:pPr>
    </w:p>
    <w:p w14:paraId="41AE04B9" w14:textId="16788509" w:rsidR="002B1283" w:rsidRPr="00965872" w:rsidRDefault="002B1283" w:rsidP="002B1283">
      <w:pPr>
        <w:pStyle w:val="NoSpacing"/>
        <w:rPr>
          <w:rFonts w:ascii="Arial Black" w:hAnsi="Arial Black"/>
          <w:b/>
          <w:bCs/>
          <w:sz w:val="28"/>
          <w:szCs w:val="28"/>
        </w:rPr>
      </w:pPr>
      <w:r w:rsidRPr="00965872">
        <w:rPr>
          <w:rFonts w:ascii="Arial Black" w:hAnsi="Arial Black"/>
          <w:b/>
          <w:bCs/>
          <w:sz w:val="28"/>
          <w:szCs w:val="28"/>
        </w:rPr>
        <w:t>MI: RESTAURANT OPERATORS CLAIM THAT “ORIGIN &amp; CAUSE” RPT.  CHANGED TO “INCENDARY” TO DEFLECT ATTENTION FD DEFICIENCIES - LODD / $3,500 OSHA FINE</w:t>
      </w:r>
    </w:p>
    <w:p w14:paraId="4BF81774" w14:textId="77777777" w:rsidR="002B1283" w:rsidRPr="00965872" w:rsidRDefault="002B1283" w:rsidP="002B1283">
      <w:pPr>
        <w:pStyle w:val="NoSpacing"/>
        <w:rPr>
          <w:rFonts w:ascii="Arial Black" w:hAnsi="Arial Black"/>
          <w:b/>
          <w:bCs/>
          <w:sz w:val="28"/>
          <w:szCs w:val="28"/>
        </w:rPr>
      </w:pPr>
    </w:p>
    <w:p w14:paraId="07A8ACB6" w14:textId="77777777" w:rsidR="002B1283" w:rsidRDefault="002B1283" w:rsidP="002B1283">
      <w:pPr>
        <w:pStyle w:val="NoSpacing"/>
      </w:pPr>
      <w:r>
        <w:rPr>
          <w:rFonts w:ascii="On Times New Roman" w:hAnsi="On Times New Roman"/>
          <w:sz w:val="24"/>
          <w:szCs w:val="24"/>
        </w:rPr>
        <w:t xml:space="preserve">On July 10, 2019, in </w:t>
      </w:r>
      <w:r w:rsidRPr="005C2640">
        <w:rPr>
          <w:rFonts w:ascii="On Times New Roman" w:hAnsi="On Times New Roman"/>
          <w:sz w:val="24"/>
          <w:szCs w:val="24"/>
          <w:u w:val="single"/>
        </w:rPr>
        <w:t xml:space="preserve">George </w:t>
      </w:r>
      <w:proofErr w:type="spellStart"/>
      <w:r w:rsidRPr="005C2640">
        <w:rPr>
          <w:rFonts w:ascii="On Times New Roman" w:hAnsi="On Times New Roman"/>
          <w:sz w:val="24"/>
          <w:szCs w:val="24"/>
          <w:u w:val="single"/>
        </w:rPr>
        <w:t>Marvaso</w:t>
      </w:r>
      <w:proofErr w:type="spellEnd"/>
      <w:r>
        <w:rPr>
          <w:rFonts w:ascii="On Times New Roman" w:hAnsi="On Times New Roman"/>
          <w:sz w:val="24"/>
          <w:szCs w:val="24"/>
          <w:u w:val="single"/>
        </w:rPr>
        <w:t xml:space="preserve"> et al. v. John Adams et </w:t>
      </w:r>
      <w:r w:rsidRPr="00BA5B0D">
        <w:rPr>
          <w:rFonts w:ascii="On Times New Roman" w:hAnsi="On Times New Roman"/>
          <w:sz w:val="24"/>
          <w:szCs w:val="24"/>
        </w:rPr>
        <w:t>al</w:t>
      </w:r>
      <w:r>
        <w:rPr>
          <w:rFonts w:ascii="On Times New Roman" w:hAnsi="On Times New Roman"/>
          <w:sz w:val="24"/>
          <w:szCs w:val="24"/>
        </w:rPr>
        <w:t xml:space="preserve">., </w:t>
      </w:r>
      <w:r w:rsidRPr="00BA5B0D">
        <w:rPr>
          <w:rFonts w:ascii="On Times New Roman" w:hAnsi="On Times New Roman"/>
          <w:sz w:val="24"/>
          <w:szCs w:val="24"/>
        </w:rPr>
        <w:t>U</w:t>
      </w:r>
      <w:r w:rsidRPr="001C27EB">
        <w:rPr>
          <w:rFonts w:ascii="On Times New Roman" w:hAnsi="On Times New Roman"/>
          <w:sz w:val="24"/>
          <w:szCs w:val="24"/>
        </w:rPr>
        <w:t>.S. District Court Judge</w:t>
      </w:r>
      <w:r>
        <w:rPr>
          <w:rFonts w:ascii="On Times New Roman" w:hAnsi="On Times New Roman"/>
          <w:sz w:val="24"/>
          <w:szCs w:val="24"/>
        </w:rPr>
        <w:t xml:space="preserve"> Linda V. Parker denied the defense motion to dismiss by the Fire Marshal, the Fire Chief, and his father, the former Fire Chief, holding the “</w:t>
      </w:r>
      <w:r w:rsidRPr="001C27EB">
        <w:rPr>
          <w:rFonts w:ascii="Times New Roman" w:hAnsi="Times New Roman"/>
          <w:sz w:val="24"/>
          <w:szCs w:val="24"/>
        </w:rPr>
        <w:t>Court concludes that Plaintiffs plead sufficient facts to support their §1983 claim against Defendants and that Defendants are not entitled to qualified immunity.</w:t>
      </w:r>
      <w:r>
        <w:rPr>
          <w:rFonts w:ascii="Times New Roman" w:hAnsi="Times New Roman"/>
          <w:sz w:val="24"/>
          <w:szCs w:val="24"/>
        </w:rPr>
        <w:t xml:space="preserve">” </w:t>
      </w:r>
      <w:hyperlink r:id="rId572" w:history="1">
        <w:r w:rsidRPr="003454A7">
          <w:rPr>
            <w:rStyle w:val="Hyperlink"/>
          </w:rPr>
          <w:t>http://41af3k34gprx4f6bg12df75i.wpengine.netdna-cdn.com/wp-content/uploads/sites/19/2019/07/Marvaso-v.-Adams_-2019-U.S.-Dist.-LEXIS-114276.pdf</w:t>
        </w:r>
      </w:hyperlink>
      <w:r>
        <w:t xml:space="preserve"> </w:t>
      </w:r>
    </w:p>
    <w:p w14:paraId="6CF68759" w14:textId="77777777" w:rsidR="002B1283" w:rsidRDefault="002B1283" w:rsidP="002B1283">
      <w:pPr>
        <w:pStyle w:val="NoSpacing"/>
      </w:pPr>
    </w:p>
    <w:p w14:paraId="4CCC586A" w14:textId="77777777" w:rsidR="002B1283" w:rsidRDefault="002B1283" w:rsidP="002B1283">
      <w:pPr>
        <w:pStyle w:val="NoSpacing"/>
        <w:rPr>
          <w:rFonts w:ascii="Times New Roman" w:hAnsi="Times New Roman"/>
          <w:b/>
          <w:bCs/>
          <w:sz w:val="24"/>
          <w:szCs w:val="24"/>
        </w:rPr>
      </w:pPr>
      <w:r w:rsidRPr="00B14CDE">
        <w:rPr>
          <w:rFonts w:ascii="Times New Roman" w:hAnsi="Times New Roman"/>
          <w:b/>
          <w:bCs/>
          <w:sz w:val="24"/>
          <w:szCs w:val="24"/>
        </w:rPr>
        <w:t>Legal Lessons Learned:</w:t>
      </w:r>
      <w:r>
        <w:rPr>
          <w:rFonts w:ascii="Times New Roman" w:hAnsi="Times New Roman"/>
          <w:b/>
          <w:bCs/>
          <w:sz w:val="24"/>
          <w:szCs w:val="24"/>
        </w:rPr>
        <w:t xml:space="preserve">  This lawsuit may now proceed to pre-trial discovery.  </w:t>
      </w:r>
    </w:p>
    <w:p w14:paraId="5668AB21" w14:textId="77777777" w:rsidR="002B1283" w:rsidRDefault="002B1283" w:rsidP="002B1283">
      <w:pPr>
        <w:pStyle w:val="NoSpacing"/>
        <w:rPr>
          <w:rFonts w:ascii="Times New Roman" w:hAnsi="Times New Roman"/>
          <w:b/>
          <w:bCs/>
          <w:sz w:val="24"/>
          <w:szCs w:val="24"/>
        </w:rPr>
      </w:pPr>
    </w:p>
    <w:p w14:paraId="0879FBEA" w14:textId="77777777" w:rsidR="002B1283" w:rsidRPr="00B14CDE" w:rsidRDefault="002B1283" w:rsidP="002B1283">
      <w:pPr>
        <w:pStyle w:val="NoSpacing"/>
        <w:ind w:left="720"/>
        <w:rPr>
          <w:b/>
          <w:bCs/>
          <w:sz w:val="24"/>
          <w:szCs w:val="24"/>
        </w:rPr>
      </w:pPr>
      <w:r>
        <w:rPr>
          <w:rFonts w:ascii="Times New Roman" w:hAnsi="Times New Roman"/>
          <w:sz w:val="24"/>
          <w:szCs w:val="24"/>
        </w:rPr>
        <w:t xml:space="preserve">Read </w:t>
      </w:r>
      <w:r w:rsidRPr="00B14CDE">
        <w:rPr>
          <w:rFonts w:ascii="Times New Roman" w:hAnsi="Times New Roman"/>
          <w:sz w:val="24"/>
          <w:szCs w:val="24"/>
        </w:rPr>
        <w:t>NIOSH Firefighter Fatality Report</w:t>
      </w:r>
      <w:r>
        <w:rPr>
          <w:rFonts w:ascii="Times New Roman" w:hAnsi="Times New Roman"/>
          <w:sz w:val="24"/>
          <w:szCs w:val="24"/>
        </w:rPr>
        <w:t xml:space="preserve"> </w:t>
      </w:r>
      <w:r w:rsidRPr="00B14CDE">
        <w:rPr>
          <w:rFonts w:ascii="Times New Roman" w:hAnsi="Times New Roman"/>
          <w:sz w:val="24"/>
          <w:szCs w:val="24"/>
        </w:rPr>
        <w:t>F2013-14: “Career Probationary Fire Fighter Runs Out of Air and Dies in Commercial Structure Fire—Michigan</w:t>
      </w:r>
      <w:r>
        <w:rPr>
          <w:rFonts w:ascii="Times New Roman" w:hAnsi="Times New Roman"/>
          <w:sz w:val="24"/>
          <w:szCs w:val="24"/>
        </w:rPr>
        <w:t>.</w:t>
      </w:r>
      <w:r w:rsidRPr="00B14CDE">
        <w:rPr>
          <w:rFonts w:ascii="Times New Roman" w:hAnsi="Times New Roman"/>
          <w:sz w:val="24"/>
          <w:szCs w:val="24"/>
        </w:rPr>
        <w:t>”</w:t>
      </w:r>
      <w:r>
        <w:rPr>
          <w:b/>
          <w:bCs/>
          <w:sz w:val="24"/>
          <w:szCs w:val="24"/>
        </w:rPr>
        <w:t xml:space="preserve"> </w:t>
      </w:r>
      <w:hyperlink r:id="rId573" w:history="1">
        <w:r w:rsidRPr="0076015A">
          <w:rPr>
            <w:rStyle w:val="Hyperlink"/>
            <w:b/>
            <w:bCs/>
            <w:sz w:val="24"/>
            <w:szCs w:val="24"/>
          </w:rPr>
          <w:t>https://www.cdc.gov/niosh/fire/pdfs/face201314.pdf</w:t>
        </w:r>
      </w:hyperlink>
      <w:r>
        <w:rPr>
          <w:b/>
          <w:bCs/>
          <w:sz w:val="24"/>
          <w:szCs w:val="24"/>
        </w:rPr>
        <w:t xml:space="preserve"> </w:t>
      </w:r>
    </w:p>
    <w:p w14:paraId="4AC1FB33" w14:textId="77777777" w:rsidR="002B1283" w:rsidRPr="00B14CDE" w:rsidRDefault="002B1283" w:rsidP="002B1283">
      <w:pPr>
        <w:pStyle w:val="NoSpacing"/>
        <w:rPr>
          <w:rFonts w:ascii="Times New Roman" w:hAnsi="Times New Roman"/>
          <w:b/>
          <w:bCs/>
          <w:sz w:val="24"/>
          <w:szCs w:val="24"/>
        </w:rPr>
      </w:pPr>
    </w:p>
    <w:p w14:paraId="0ECEC067" w14:textId="77777777" w:rsidR="002B1283" w:rsidRPr="00BA5B0D" w:rsidRDefault="002B1283" w:rsidP="002B1283">
      <w:pPr>
        <w:pStyle w:val="NoSpacing"/>
        <w:ind w:left="1440"/>
        <w:rPr>
          <w:rFonts w:ascii="Times New Roman" w:hAnsi="Times New Roman"/>
          <w:sz w:val="24"/>
          <w:szCs w:val="24"/>
        </w:rPr>
      </w:pPr>
      <w:r>
        <w:rPr>
          <w:rFonts w:ascii="Times New Roman" w:hAnsi="Times New Roman"/>
          <w:sz w:val="24"/>
          <w:szCs w:val="24"/>
        </w:rPr>
        <w:t>“</w:t>
      </w:r>
      <w:r w:rsidRPr="00BA5B0D">
        <w:rPr>
          <w:rFonts w:ascii="Times New Roman" w:hAnsi="Times New Roman"/>
          <w:sz w:val="24"/>
          <w:szCs w:val="24"/>
        </w:rPr>
        <w:t xml:space="preserve">On May 8, 2013, a 29-year-old male career probationary fire fighter died after running out of air and being trapped by a roof collapse in a commercial strip mall fire. The fire fighter was one of three fire fighters who had stretched a 1½-inch </w:t>
      </w:r>
      <w:proofErr w:type="spellStart"/>
      <w:r w:rsidRPr="00BA5B0D">
        <w:rPr>
          <w:rFonts w:ascii="Times New Roman" w:hAnsi="Times New Roman"/>
          <w:sz w:val="24"/>
          <w:szCs w:val="24"/>
        </w:rPr>
        <w:t>hoseline</w:t>
      </w:r>
      <w:proofErr w:type="spellEnd"/>
      <w:r w:rsidRPr="00BA5B0D">
        <w:rPr>
          <w:rFonts w:ascii="Times New Roman" w:hAnsi="Times New Roman"/>
          <w:sz w:val="24"/>
          <w:szCs w:val="24"/>
        </w:rPr>
        <w:t xml:space="preserve"> from Side A into a commercial strip mall fire. The hose team had stretched deep into the structure under high heat and heavy smoke conditions and was unsuccessful in locating the seat of the fire. The hose team decided to exit the structure. During the exit, the fire fighter became separated from the other two crew members. </w:t>
      </w:r>
      <w:r w:rsidRPr="00BA5B0D">
        <w:rPr>
          <w:rFonts w:ascii="Times New Roman" w:hAnsi="Times New Roman"/>
          <w:sz w:val="24"/>
          <w:szCs w:val="24"/>
        </w:rPr>
        <w:lastRenderedPageBreak/>
        <w:t xml:space="preserve">The incident commander saw the two members of the hose team exit on Side A and called over the radio for the fire fighter. The fire fighter acknowledged the incident commander and gave his location </w:t>
      </w:r>
      <w:proofErr w:type="gramStart"/>
      <w:r w:rsidRPr="00BA5B0D">
        <w:rPr>
          <w:rFonts w:ascii="Times New Roman" w:hAnsi="Times New Roman"/>
          <w:sz w:val="24"/>
          <w:szCs w:val="24"/>
        </w:rPr>
        <w:t>in</w:t>
      </w:r>
      <w:proofErr w:type="gramEnd"/>
      <w:r w:rsidRPr="00BA5B0D">
        <w:rPr>
          <w:rFonts w:ascii="Times New Roman" w:hAnsi="Times New Roman"/>
          <w:sz w:val="24"/>
          <w:szCs w:val="24"/>
        </w:rPr>
        <w:t xml:space="preserve"> the rear of the structure. The fire fighter later gave a radio </w:t>
      </w:r>
      <w:proofErr w:type="gramStart"/>
      <w:r w:rsidRPr="00BA5B0D">
        <w:rPr>
          <w:rFonts w:ascii="Times New Roman" w:hAnsi="Times New Roman"/>
          <w:sz w:val="24"/>
          <w:szCs w:val="24"/>
        </w:rPr>
        <w:t>transmission</w:t>
      </w:r>
      <w:proofErr w:type="gramEnd"/>
      <w:r w:rsidRPr="00BA5B0D">
        <w:rPr>
          <w:rFonts w:ascii="Times New Roman" w:hAnsi="Times New Roman"/>
          <w:sz w:val="24"/>
          <w:szCs w:val="24"/>
        </w:rPr>
        <w:t xml:space="preserve"> that he was out of air. A rapid intervention team was activated but was unable to locate him before a flashover occurred and the roof collapsed. He was later recovered and pronounced dead on the scene.</w:t>
      </w:r>
      <w:r>
        <w:rPr>
          <w:rFonts w:ascii="Times New Roman" w:hAnsi="Times New Roman"/>
          <w:sz w:val="24"/>
          <w:szCs w:val="24"/>
        </w:rPr>
        <w:t>”</w:t>
      </w:r>
    </w:p>
    <w:p w14:paraId="2CB7DFF9" w14:textId="77777777" w:rsidR="002B1283" w:rsidRDefault="002B1283" w:rsidP="002B1283">
      <w:pPr>
        <w:pStyle w:val="NoSpacing"/>
      </w:pPr>
    </w:p>
    <w:p w14:paraId="41354A30" w14:textId="77777777" w:rsidR="0097592D" w:rsidRDefault="0097592D" w:rsidP="00EF1133">
      <w:pPr>
        <w:pStyle w:val="NoSpacing"/>
        <w:rPr>
          <w:rFonts w:ascii="Arial Black" w:hAnsi="Arial Black"/>
          <w:sz w:val="24"/>
          <w:szCs w:val="24"/>
        </w:rPr>
      </w:pPr>
    </w:p>
    <w:p w14:paraId="2CBF5FDA" w14:textId="77777777" w:rsidR="0097592D" w:rsidRDefault="0097592D" w:rsidP="00EF1133">
      <w:pPr>
        <w:pStyle w:val="NoSpacing"/>
        <w:rPr>
          <w:rFonts w:ascii="Arial Black" w:hAnsi="Arial Black"/>
          <w:sz w:val="24"/>
          <w:szCs w:val="24"/>
        </w:rPr>
      </w:pPr>
    </w:p>
    <w:p w14:paraId="65845C87" w14:textId="346BF5BF" w:rsidR="005A414F" w:rsidRDefault="005A414F" w:rsidP="00EF1133">
      <w:pPr>
        <w:pStyle w:val="NoSpacing"/>
        <w:rPr>
          <w:rFonts w:ascii="Arial Black" w:hAnsi="Arial Black"/>
          <w:sz w:val="24"/>
          <w:szCs w:val="24"/>
        </w:rPr>
      </w:pPr>
      <w:r>
        <w:rPr>
          <w:rFonts w:ascii="Arial Black" w:hAnsi="Arial Black"/>
          <w:sz w:val="24"/>
          <w:szCs w:val="24"/>
        </w:rPr>
        <w:t>2-1</w:t>
      </w:r>
      <w:r w:rsidR="00D07E6E">
        <w:rPr>
          <w:rFonts w:ascii="Arial Black" w:hAnsi="Arial Black"/>
          <w:sz w:val="24"/>
          <w:szCs w:val="24"/>
        </w:rPr>
        <w:t>6</w:t>
      </w:r>
    </w:p>
    <w:p w14:paraId="4A0E014B" w14:textId="77777777" w:rsidR="005A414F" w:rsidRDefault="005A414F" w:rsidP="00EF1133">
      <w:pPr>
        <w:pStyle w:val="NoSpacing"/>
        <w:rPr>
          <w:rFonts w:ascii="Arial Black" w:hAnsi="Arial Black"/>
          <w:sz w:val="24"/>
          <w:szCs w:val="24"/>
        </w:rPr>
      </w:pPr>
    </w:p>
    <w:p w14:paraId="6AB56DF7" w14:textId="77777777" w:rsidR="005A414F" w:rsidRPr="000B408C" w:rsidRDefault="005A414F" w:rsidP="005A414F">
      <w:pPr>
        <w:pStyle w:val="NoSpacing"/>
        <w:rPr>
          <w:rFonts w:ascii="Arial Black" w:hAnsi="Arial Black"/>
          <w:sz w:val="28"/>
          <w:szCs w:val="28"/>
        </w:rPr>
      </w:pPr>
      <w:r w:rsidRPr="000B408C">
        <w:rPr>
          <w:rFonts w:ascii="Arial Black" w:hAnsi="Arial Black"/>
          <w:sz w:val="28"/>
          <w:szCs w:val="28"/>
        </w:rPr>
        <w:t xml:space="preserve">MO: </w:t>
      </w:r>
      <w:r>
        <w:rPr>
          <w:rFonts w:ascii="Arial Black" w:hAnsi="Arial Black"/>
          <w:sz w:val="28"/>
          <w:szCs w:val="28"/>
        </w:rPr>
        <w:t xml:space="preserve">CANCER – WIFE OF DECEASED CAPTAIN - WINS WORKERS COMP CLAIM – OCCUPATIONAL EXPOSURES TO CARCINOGENS </w:t>
      </w:r>
    </w:p>
    <w:p w14:paraId="7415A160" w14:textId="77777777" w:rsidR="005A414F" w:rsidRPr="0044213E" w:rsidRDefault="005A414F" w:rsidP="005A414F">
      <w:pPr>
        <w:rPr>
          <w:rFonts w:ascii="Times New Roman" w:hAnsi="Times New Roman"/>
          <w:sz w:val="24"/>
          <w:szCs w:val="24"/>
        </w:rPr>
      </w:pPr>
      <w:r w:rsidRPr="0044213E">
        <w:rPr>
          <w:rFonts w:ascii="Times New Roman" w:hAnsi="Times New Roman"/>
          <w:sz w:val="24"/>
          <w:szCs w:val="24"/>
        </w:rPr>
        <w:t xml:space="preserve">On June 4, 2019, in </w:t>
      </w:r>
      <w:r w:rsidRPr="0044213E">
        <w:rPr>
          <w:rFonts w:ascii="Times New Roman" w:hAnsi="Times New Roman"/>
          <w:sz w:val="24"/>
          <w:szCs w:val="24"/>
          <w:u w:val="single"/>
        </w:rPr>
        <w:t>David Cheney (Deceased), Donna Ceney (Spouse) v. City of Gladstone</w:t>
      </w:r>
      <w:r w:rsidRPr="0044213E">
        <w:rPr>
          <w:rFonts w:ascii="Times New Roman" w:hAnsi="Times New Roman"/>
          <w:sz w:val="24"/>
          <w:szCs w:val="24"/>
        </w:rPr>
        <w:t xml:space="preserve">, </w:t>
      </w:r>
      <w:r>
        <w:rPr>
          <w:rFonts w:ascii="Times New Roman" w:hAnsi="Times New Roman"/>
          <w:sz w:val="24"/>
          <w:szCs w:val="24"/>
        </w:rPr>
        <w:t xml:space="preserve">the Missouri Court of Appeals, Western District, held (3 to 0) that the cancer was work related and she is entitled to workers comp death and burial benefits.  </w:t>
      </w:r>
      <w:hyperlink r:id="rId574" w:history="1">
        <w:r w:rsidRPr="00610C09">
          <w:rPr>
            <w:rStyle w:val="Hyperlink"/>
            <w:rFonts w:ascii="Times New Roman" w:hAnsi="Times New Roman"/>
            <w:sz w:val="24"/>
            <w:szCs w:val="24"/>
          </w:rPr>
          <w:t>https://cases.justia.com/missouri/court-of-appeals/2019-wd81939.pdf?ts=1559661108</w:t>
        </w:r>
      </w:hyperlink>
      <w:r>
        <w:rPr>
          <w:rFonts w:ascii="Times New Roman" w:hAnsi="Times New Roman"/>
          <w:sz w:val="24"/>
          <w:szCs w:val="24"/>
        </w:rPr>
        <w:t xml:space="preserve"> </w:t>
      </w:r>
    </w:p>
    <w:p w14:paraId="7CDCD37C" w14:textId="77777777" w:rsidR="005A414F" w:rsidRPr="00E56A5D" w:rsidRDefault="005A414F" w:rsidP="005A414F">
      <w:pPr>
        <w:rPr>
          <w:rFonts w:ascii="Times New Roman" w:hAnsi="Times New Roman"/>
          <w:sz w:val="24"/>
          <w:szCs w:val="24"/>
        </w:rPr>
      </w:pPr>
      <w:r>
        <w:rPr>
          <w:rFonts w:ascii="Arial" w:hAnsi="Arial" w:cs="Arial"/>
          <w:sz w:val="30"/>
          <w:szCs w:val="30"/>
        </w:rPr>
        <w:tab/>
      </w:r>
      <w:r w:rsidRPr="00E56A5D">
        <w:rPr>
          <w:rFonts w:ascii="Times New Roman" w:hAnsi="Times New Roman"/>
          <w:sz w:val="24"/>
          <w:szCs w:val="24"/>
        </w:rPr>
        <w:t xml:space="preserve">Judge Edward R. Arnidi, Jr. wrote: </w:t>
      </w:r>
    </w:p>
    <w:p w14:paraId="3EAA46BD" w14:textId="77777777" w:rsidR="005A414F" w:rsidRPr="00965872" w:rsidRDefault="005A414F" w:rsidP="005A414F">
      <w:pPr>
        <w:ind w:left="1440"/>
        <w:rPr>
          <w:rFonts w:ascii="Times New Roman" w:hAnsi="Times New Roman"/>
          <w:sz w:val="24"/>
          <w:szCs w:val="24"/>
        </w:rPr>
      </w:pPr>
      <w:r w:rsidRPr="00965872">
        <w:rPr>
          <w:rFonts w:ascii="Times New Roman" w:hAnsi="Times New Roman"/>
          <w:sz w:val="24"/>
          <w:szCs w:val="24"/>
        </w:rPr>
        <w:t xml:space="preserve">“Both Drs. Lockey and Koprivica reviewed David Cheney’s medical records. Dr. Koprivica also conducted a physical examination of David Cheney before his death. Based on the information gleaned from the records and the physical examination, both doctors concluded that David Cheney’s occupational exposure to carcinogenic smoke, fumes, and particulates experienced during his employment as a firefighter for the </w:t>
      </w:r>
      <w:proofErr w:type="gramStart"/>
      <w:r w:rsidRPr="00965872">
        <w:rPr>
          <w:rFonts w:ascii="Times New Roman" w:hAnsi="Times New Roman"/>
          <w:sz w:val="24"/>
          <w:szCs w:val="24"/>
        </w:rPr>
        <w:t>City</w:t>
      </w:r>
      <w:proofErr w:type="gramEnd"/>
      <w:r w:rsidRPr="00965872">
        <w:rPr>
          <w:rFonts w:ascii="Times New Roman" w:hAnsi="Times New Roman"/>
          <w:sz w:val="24"/>
          <w:szCs w:val="24"/>
        </w:rPr>
        <w:t xml:space="preserve"> was the prevailing factor in the development of his NHL. The Commission found this evidence credible and persuasive, and we defer to this finding. *** The Commission determined that David Cheney suffered a compensable injury by occupational disease arising out of and in the course of his employment as a firefighter with the </w:t>
      </w:r>
      <w:proofErr w:type="gramStart"/>
      <w:r w:rsidRPr="00965872">
        <w:rPr>
          <w:rFonts w:ascii="Times New Roman" w:hAnsi="Times New Roman"/>
          <w:sz w:val="24"/>
          <w:szCs w:val="24"/>
        </w:rPr>
        <w:t>City</w:t>
      </w:r>
      <w:proofErr w:type="gramEnd"/>
      <w:r w:rsidRPr="00965872">
        <w:rPr>
          <w:rFonts w:ascii="Times New Roman" w:hAnsi="Times New Roman"/>
          <w:sz w:val="24"/>
          <w:szCs w:val="24"/>
        </w:rPr>
        <w:t>. We affirm.”</w:t>
      </w:r>
    </w:p>
    <w:p w14:paraId="7B39B206" w14:textId="77777777" w:rsidR="00715CF2" w:rsidRPr="00965872" w:rsidRDefault="005A414F" w:rsidP="005A414F">
      <w:pPr>
        <w:pStyle w:val="NoSpacing"/>
        <w:tabs>
          <w:tab w:val="left" w:pos="2910"/>
        </w:tabs>
        <w:rPr>
          <w:rFonts w:ascii="Times New Roman" w:hAnsi="Times New Roman"/>
          <w:b/>
          <w:bCs/>
          <w:sz w:val="24"/>
          <w:szCs w:val="24"/>
        </w:rPr>
      </w:pPr>
      <w:r w:rsidRPr="00965872">
        <w:rPr>
          <w:rFonts w:ascii="Times New Roman" w:hAnsi="Times New Roman"/>
          <w:b/>
          <w:bCs/>
          <w:sz w:val="24"/>
          <w:szCs w:val="24"/>
        </w:rPr>
        <w:t xml:space="preserve">Legal Lessons Learned: Litigation such as this case reflects the need for statutory presumption for firefighter cancer.  See 33 states with presumption statutes: </w:t>
      </w:r>
      <w:hyperlink r:id="rId575" w:history="1">
        <w:r w:rsidRPr="00965872">
          <w:rPr>
            <w:rStyle w:val="Hyperlink"/>
            <w:rFonts w:ascii="Times New Roman" w:hAnsi="Times New Roman"/>
            <w:b/>
            <w:bCs/>
            <w:sz w:val="24"/>
            <w:szCs w:val="24"/>
          </w:rPr>
          <w:t>https://www.firstrespondercenter.org/cancer/toolsresources/presumptive-legislation-firefighter-cancer-state/</w:t>
        </w:r>
      </w:hyperlink>
      <w:r w:rsidRPr="00965872">
        <w:rPr>
          <w:rFonts w:ascii="Times New Roman" w:hAnsi="Times New Roman"/>
          <w:b/>
          <w:bCs/>
          <w:sz w:val="24"/>
          <w:szCs w:val="24"/>
        </w:rPr>
        <w:t xml:space="preserve"> </w:t>
      </w:r>
    </w:p>
    <w:p w14:paraId="24D4FF01" w14:textId="77777777" w:rsidR="00715CF2" w:rsidRPr="00965872" w:rsidRDefault="00715CF2" w:rsidP="005A414F">
      <w:pPr>
        <w:pStyle w:val="NoSpacing"/>
        <w:tabs>
          <w:tab w:val="left" w:pos="2910"/>
        </w:tabs>
        <w:rPr>
          <w:rFonts w:ascii="Times New Roman" w:hAnsi="Times New Roman"/>
          <w:sz w:val="24"/>
          <w:szCs w:val="24"/>
        </w:rPr>
      </w:pPr>
    </w:p>
    <w:p w14:paraId="2568A2E5" w14:textId="58E5257F" w:rsidR="005A414F" w:rsidRPr="00965872" w:rsidRDefault="005A414F" w:rsidP="00715CF2">
      <w:pPr>
        <w:pStyle w:val="NoSpacing"/>
        <w:tabs>
          <w:tab w:val="left" w:pos="2910"/>
        </w:tabs>
        <w:ind w:left="630"/>
        <w:rPr>
          <w:rFonts w:ascii="Times New Roman" w:hAnsi="Times New Roman"/>
          <w:b/>
          <w:bCs/>
          <w:i/>
          <w:iCs/>
          <w:sz w:val="24"/>
          <w:szCs w:val="24"/>
        </w:rPr>
      </w:pPr>
      <w:r w:rsidRPr="00965872">
        <w:rPr>
          <w:rFonts w:ascii="Times New Roman" w:hAnsi="Times New Roman"/>
          <w:sz w:val="24"/>
          <w:szCs w:val="24"/>
        </w:rPr>
        <w:t xml:space="preserve">See also July 7, </w:t>
      </w:r>
      <w:proofErr w:type="gramStart"/>
      <w:r w:rsidRPr="00965872">
        <w:rPr>
          <w:rFonts w:ascii="Times New Roman" w:hAnsi="Times New Roman"/>
          <w:sz w:val="24"/>
          <w:szCs w:val="24"/>
        </w:rPr>
        <w:t>2019</w:t>
      </w:r>
      <w:proofErr w:type="gramEnd"/>
      <w:r w:rsidRPr="00965872">
        <w:rPr>
          <w:rFonts w:ascii="Times New Roman" w:hAnsi="Times New Roman"/>
          <w:sz w:val="24"/>
          <w:szCs w:val="24"/>
        </w:rPr>
        <w:t xml:space="preserve"> article about this important win: “‘Cancer is killing our firefighters’: Missouri widow’s court win may aid those at risk”:  </w:t>
      </w:r>
      <w:hyperlink r:id="rId576" w:history="1">
        <w:r w:rsidRPr="00965872">
          <w:rPr>
            <w:rStyle w:val="Hyperlink"/>
            <w:rFonts w:ascii="Times New Roman" w:hAnsi="Times New Roman"/>
            <w:sz w:val="24"/>
            <w:szCs w:val="24"/>
          </w:rPr>
          <w:t>https://www.kansascity.com/news/politics-government/article231974862.html</w:t>
        </w:r>
      </w:hyperlink>
      <w:r w:rsidRPr="00965872">
        <w:rPr>
          <w:rFonts w:ascii="Times New Roman" w:hAnsi="Times New Roman"/>
          <w:b/>
          <w:bCs/>
          <w:i/>
          <w:iCs/>
          <w:sz w:val="24"/>
          <w:szCs w:val="24"/>
        </w:rPr>
        <w:t xml:space="preserve"> </w:t>
      </w:r>
    </w:p>
    <w:p w14:paraId="427F4348" w14:textId="2744E80A" w:rsidR="00E26EA8" w:rsidRDefault="00E26EA8" w:rsidP="005A414F">
      <w:pPr>
        <w:pStyle w:val="NoSpacing"/>
        <w:tabs>
          <w:tab w:val="left" w:pos="2910"/>
        </w:tabs>
        <w:rPr>
          <w:rFonts w:ascii="Times New Roman" w:hAnsi="Times New Roman"/>
          <w:b/>
          <w:bCs/>
          <w:i/>
          <w:iCs/>
          <w:sz w:val="24"/>
          <w:szCs w:val="24"/>
        </w:rPr>
      </w:pPr>
    </w:p>
    <w:p w14:paraId="13276E0C" w14:textId="77777777" w:rsidR="005A414F" w:rsidRDefault="005A414F" w:rsidP="00EF1133">
      <w:pPr>
        <w:pStyle w:val="NoSpacing"/>
        <w:rPr>
          <w:rFonts w:ascii="Arial Black" w:hAnsi="Arial Black"/>
          <w:sz w:val="24"/>
          <w:szCs w:val="24"/>
        </w:rPr>
      </w:pPr>
    </w:p>
    <w:p w14:paraId="4A0004E5" w14:textId="77777777" w:rsidR="00965872" w:rsidRDefault="00965872" w:rsidP="00EF1133">
      <w:pPr>
        <w:pStyle w:val="NoSpacing"/>
        <w:rPr>
          <w:rFonts w:ascii="Arial Black" w:hAnsi="Arial Black"/>
          <w:sz w:val="24"/>
          <w:szCs w:val="24"/>
        </w:rPr>
      </w:pPr>
    </w:p>
    <w:p w14:paraId="4C16E320" w14:textId="14C7A48A"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sidR="00D07E6E">
        <w:rPr>
          <w:rFonts w:ascii="Arial Black" w:hAnsi="Arial Black"/>
          <w:sz w:val="24"/>
          <w:szCs w:val="24"/>
        </w:rPr>
        <w:t>5</w:t>
      </w:r>
    </w:p>
    <w:p w14:paraId="7ED759EB" w14:textId="77777777" w:rsidR="00B22CD4" w:rsidRDefault="00B22CD4" w:rsidP="00F326E5">
      <w:pPr>
        <w:rPr>
          <w:sz w:val="24"/>
          <w:szCs w:val="24"/>
        </w:rPr>
      </w:pPr>
    </w:p>
    <w:p w14:paraId="59AB6FF2" w14:textId="397E81CA" w:rsidR="00B22CD4" w:rsidRDefault="00B22CD4" w:rsidP="00B22CD4">
      <w:pPr>
        <w:pStyle w:val="NoSpacing"/>
        <w:rPr>
          <w:rFonts w:ascii="Arial Black" w:hAnsi="Arial Black"/>
          <w:sz w:val="28"/>
          <w:szCs w:val="28"/>
        </w:rPr>
      </w:pPr>
      <w:r w:rsidRPr="006F3E97">
        <w:rPr>
          <w:rFonts w:ascii="Arial Black" w:hAnsi="Arial Black"/>
          <w:sz w:val="28"/>
          <w:szCs w:val="28"/>
        </w:rPr>
        <w:t xml:space="preserve">IL: </w:t>
      </w:r>
      <w:r>
        <w:rPr>
          <w:rFonts w:ascii="Arial Black" w:hAnsi="Arial Black"/>
          <w:sz w:val="28"/>
          <w:szCs w:val="28"/>
        </w:rPr>
        <w:t xml:space="preserve"> FF PRIOR HEART ISSUES - PATIENT DROPPED ON STRETCHER – LINE-OF-DUTY PENSION, LIFETIME HEALTH INSURANCE </w:t>
      </w:r>
    </w:p>
    <w:p w14:paraId="20F2818A" w14:textId="77777777" w:rsidR="00B22CD4" w:rsidRDefault="00B22CD4" w:rsidP="00B22CD4">
      <w:pPr>
        <w:pStyle w:val="NoSpacing"/>
        <w:rPr>
          <w:rFonts w:ascii="On Times New Roman" w:hAnsi="On Times New Roman"/>
          <w:sz w:val="24"/>
          <w:szCs w:val="24"/>
        </w:rPr>
      </w:pPr>
    </w:p>
    <w:p w14:paraId="126050D2" w14:textId="77777777" w:rsidR="00B22CD4" w:rsidRDefault="00B22CD4" w:rsidP="00B22CD4">
      <w:pPr>
        <w:pStyle w:val="NoSpacing"/>
        <w:rPr>
          <w:rFonts w:ascii="On Times New Roman" w:hAnsi="On Times New Roman"/>
          <w:sz w:val="24"/>
          <w:szCs w:val="24"/>
        </w:rPr>
      </w:pPr>
      <w:r>
        <w:rPr>
          <w:rFonts w:ascii="On Times New Roman" w:hAnsi="On Times New Roman"/>
          <w:sz w:val="24"/>
          <w:szCs w:val="24"/>
        </w:rPr>
        <w:lastRenderedPageBreak/>
        <w:t xml:space="preserve">On May 28, 2019, in </w:t>
      </w:r>
      <w:r w:rsidRPr="00340E41">
        <w:rPr>
          <w:rFonts w:ascii="On Times New Roman" w:hAnsi="On Times New Roman"/>
          <w:sz w:val="24"/>
          <w:szCs w:val="24"/>
          <w:u w:val="single"/>
        </w:rPr>
        <w:t>Patrick Cronin v. Village of Skokie</w:t>
      </w:r>
      <w:r>
        <w:rPr>
          <w:rFonts w:ascii="On Times New Roman" w:hAnsi="On Times New Roman"/>
          <w:sz w:val="24"/>
          <w:szCs w:val="24"/>
        </w:rPr>
        <w:t>, the Appellate Court of Illinois, First District, held (3 to 0) that the retired firefighter was properly awarded lifetime health insurance.</w:t>
      </w:r>
    </w:p>
    <w:p w14:paraId="140938EC" w14:textId="77777777" w:rsidR="00B22CD4" w:rsidRDefault="00B22CD4" w:rsidP="00B22CD4">
      <w:pPr>
        <w:pStyle w:val="NoSpacing"/>
        <w:rPr>
          <w:rFonts w:ascii="On Times New Roman" w:hAnsi="On Times New Roman"/>
          <w:sz w:val="24"/>
          <w:szCs w:val="24"/>
        </w:rPr>
      </w:pPr>
    </w:p>
    <w:p w14:paraId="40D964CA" w14:textId="77777777" w:rsidR="00B22CD4" w:rsidRDefault="00B22CD4" w:rsidP="00B22CD4">
      <w:pPr>
        <w:pStyle w:val="NoSpacing"/>
        <w:ind w:left="720"/>
        <w:rPr>
          <w:rFonts w:ascii="Times New Roman" w:hAnsi="Times New Roman"/>
          <w:sz w:val="24"/>
          <w:szCs w:val="24"/>
        </w:rPr>
      </w:pPr>
      <w:r>
        <w:rPr>
          <w:rFonts w:ascii="Times New Roman" w:hAnsi="Times New Roman"/>
          <w:sz w:val="24"/>
          <w:szCs w:val="24"/>
        </w:rPr>
        <w:t>“</w:t>
      </w:r>
      <w:r w:rsidRPr="00340E41">
        <w:rPr>
          <w:rFonts w:ascii="Times New Roman" w:hAnsi="Times New Roman"/>
          <w:sz w:val="24"/>
          <w:szCs w:val="24"/>
        </w:rPr>
        <w:t>In summary, because Mr. Cronin was awarded a line-of-duty disability pension by the Pension Board, he met the requirements of section 10(a) of the Benefits Act—that he suffered a catastrophic injury in the line of duty—as a matter of law. Mr. Cronin also met the requirements of section 10(b): the only work-related incident that was presented as a cause of his injury was his act of holding the stretcher as a cardiac patient was dropped onto it and he presented uncontradicted evidence that he reasonably believed he was responding to an emergency. Accordingly, Mr. Cronin is entitled to benefits under the Act, and the circuit court properly granted summary judgment in favor of Mr. Cronin and against the Village.</w:t>
      </w:r>
      <w:r>
        <w:rPr>
          <w:rFonts w:ascii="Times New Roman" w:hAnsi="Times New Roman"/>
          <w:sz w:val="24"/>
          <w:szCs w:val="24"/>
        </w:rPr>
        <w:t>”</w:t>
      </w:r>
    </w:p>
    <w:p w14:paraId="6EFC75EB" w14:textId="77777777" w:rsidR="00B22CD4" w:rsidRDefault="00B22CD4" w:rsidP="00B22CD4">
      <w:pPr>
        <w:pStyle w:val="NoSpacing"/>
        <w:ind w:left="720"/>
        <w:rPr>
          <w:rFonts w:ascii="Times New Roman" w:hAnsi="Times New Roman"/>
          <w:sz w:val="24"/>
          <w:szCs w:val="24"/>
        </w:rPr>
      </w:pPr>
      <w:hyperlink r:id="rId577" w:history="1">
        <w:r w:rsidRPr="001602A2">
          <w:rPr>
            <w:rStyle w:val="Hyperlink"/>
            <w:rFonts w:ascii="Times New Roman" w:hAnsi="Times New Roman"/>
            <w:sz w:val="24"/>
            <w:szCs w:val="24"/>
          </w:rPr>
          <w:t>http://www.illinoiscourts.gov/Opinions/AppellateCourt/2019/1stDistrict/1181163.pdf</w:t>
        </w:r>
      </w:hyperlink>
      <w:r>
        <w:rPr>
          <w:rFonts w:ascii="Times New Roman" w:hAnsi="Times New Roman"/>
          <w:sz w:val="24"/>
          <w:szCs w:val="24"/>
        </w:rPr>
        <w:t xml:space="preserve"> </w:t>
      </w:r>
    </w:p>
    <w:p w14:paraId="02FD153C" w14:textId="77777777" w:rsidR="00527EDF" w:rsidRDefault="00527EDF" w:rsidP="00B22CD4">
      <w:pPr>
        <w:pStyle w:val="NoSpacing"/>
        <w:rPr>
          <w:rFonts w:ascii="Times New Roman" w:hAnsi="Times New Roman"/>
          <w:b/>
          <w:sz w:val="24"/>
          <w:szCs w:val="24"/>
        </w:rPr>
      </w:pPr>
      <w:bookmarkStart w:id="113" w:name="_Hlk10126765"/>
    </w:p>
    <w:p w14:paraId="7189FDD7" w14:textId="0D25ECE0" w:rsidR="00B22CD4" w:rsidRPr="004A0390" w:rsidRDefault="00B22CD4" w:rsidP="00B22CD4">
      <w:pPr>
        <w:pStyle w:val="NoSpacing"/>
        <w:rPr>
          <w:rFonts w:ascii="Times New Roman" w:hAnsi="Times New Roman"/>
          <w:b/>
          <w:sz w:val="24"/>
          <w:szCs w:val="24"/>
        </w:rPr>
      </w:pPr>
      <w:r w:rsidRPr="004A0390">
        <w:rPr>
          <w:rFonts w:ascii="Times New Roman" w:hAnsi="Times New Roman"/>
          <w:b/>
          <w:sz w:val="24"/>
          <w:szCs w:val="24"/>
        </w:rPr>
        <w:t>Legal Lessons Learned:</w:t>
      </w:r>
      <w:r>
        <w:rPr>
          <w:rFonts w:ascii="Times New Roman" w:hAnsi="Times New Roman"/>
          <w:b/>
          <w:sz w:val="24"/>
          <w:szCs w:val="24"/>
        </w:rPr>
        <w:t xml:space="preserve">  The Illinois statute applies even to firefighters with a prior heart issue.  </w:t>
      </w:r>
    </w:p>
    <w:bookmarkEnd w:id="113"/>
    <w:p w14:paraId="1E3339CF" w14:textId="67FAFC01" w:rsidR="00B22CD4" w:rsidRDefault="00B22CD4" w:rsidP="00F326E5">
      <w:pPr>
        <w:rPr>
          <w:sz w:val="24"/>
          <w:szCs w:val="24"/>
        </w:rPr>
      </w:pPr>
    </w:p>
    <w:p w14:paraId="22A2ACF3" w14:textId="77777777" w:rsidR="0097592D" w:rsidRDefault="0097592D" w:rsidP="00F326E5">
      <w:pPr>
        <w:rPr>
          <w:sz w:val="24"/>
          <w:szCs w:val="24"/>
        </w:rPr>
      </w:pPr>
    </w:p>
    <w:p w14:paraId="4D66122C" w14:textId="5650F338" w:rsidR="00D07E6E" w:rsidRPr="00D07E6E" w:rsidRDefault="00D07E6E" w:rsidP="00F326E5">
      <w:pPr>
        <w:rPr>
          <w:rFonts w:ascii="Arial Black" w:hAnsi="Arial Black"/>
          <w:sz w:val="24"/>
          <w:szCs w:val="24"/>
        </w:rPr>
      </w:pPr>
      <w:r w:rsidRPr="00D07E6E">
        <w:rPr>
          <w:rFonts w:ascii="Arial Black" w:hAnsi="Arial Black"/>
          <w:sz w:val="24"/>
          <w:szCs w:val="24"/>
        </w:rPr>
        <w:t>2-14</w:t>
      </w:r>
    </w:p>
    <w:p w14:paraId="5B34F29C" w14:textId="77777777" w:rsidR="00D07E6E" w:rsidRPr="00D07E6E" w:rsidRDefault="00D07E6E" w:rsidP="00F326E5">
      <w:pPr>
        <w:rPr>
          <w:rFonts w:ascii="Arial Black" w:hAnsi="Arial Black" w:cs="Arial"/>
          <w:sz w:val="28"/>
          <w:szCs w:val="28"/>
        </w:rPr>
      </w:pPr>
      <w:r w:rsidRPr="00D07E6E">
        <w:rPr>
          <w:rFonts w:ascii="Arial Black" w:hAnsi="Arial Black" w:cs="Arial"/>
          <w:sz w:val="28"/>
          <w:szCs w:val="28"/>
        </w:rPr>
        <w:t xml:space="preserve">CA: FFs STRUCK HELPING MOTORIST CROSS HIGHWAY – HE FIRST DELAYED CROSSING - LAWSUIT NOT BARRED BY CA “FIREMAN’S RULE” </w:t>
      </w:r>
    </w:p>
    <w:p w14:paraId="712CE6B5" w14:textId="77777777" w:rsidR="00965872" w:rsidRDefault="00D07E6E" w:rsidP="00F326E5">
      <w:pPr>
        <w:rPr>
          <w:rFonts w:ascii="Times New Roman" w:hAnsi="Times New Roman"/>
          <w:sz w:val="24"/>
          <w:szCs w:val="24"/>
        </w:rPr>
      </w:pPr>
      <w:r w:rsidRPr="00015208">
        <w:rPr>
          <w:rFonts w:ascii="Times New Roman" w:hAnsi="Times New Roman"/>
          <w:sz w:val="24"/>
          <w:szCs w:val="24"/>
        </w:rPr>
        <w:t xml:space="preserve">On April 30, 2019, in Moraga-Orinda Fire District v. Brian Favro, the Court of Appeal of California, First Appellate District, held (3 to 0) </w:t>
      </w:r>
      <w:proofErr w:type="gramStart"/>
      <w:r w:rsidRPr="00015208">
        <w:rPr>
          <w:rFonts w:ascii="Times New Roman" w:hAnsi="Times New Roman"/>
          <w:sz w:val="24"/>
          <w:szCs w:val="24"/>
        </w:rPr>
        <w:t>in</w:t>
      </w:r>
      <w:proofErr w:type="gramEnd"/>
      <w:r w:rsidRPr="00015208">
        <w:rPr>
          <w:rFonts w:ascii="Times New Roman" w:hAnsi="Times New Roman"/>
          <w:sz w:val="24"/>
          <w:szCs w:val="24"/>
        </w:rPr>
        <w:t xml:space="preserve"> unpublished decision, that trial court improperly dismissed the fire department’s lawsuit seeking to recover cost of workers compensation for injured firefighters.</w:t>
      </w:r>
    </w:p>
    <w:p w14:paraId="5C12637D" w14:textId="6B8F3D3B" w:rsidR="00D07E6E" w:rsidRPr="00015208" w:rsidRDefault="00D07E6E" w:rsidP="00965872">
      <w:pPr>
        <w:ind w:left="720"/>
        <w:rPr>
          <w:rFonts w:ascii="Times New Roman" w:hAnsi="Times New Roman"/>
          <w:sz w:val="24"/>
          <w:szCs w:val="24"/>
        </w:rPr>
      </w:pPr>
      <w:r w:rsidRPr="00015208">
        <w:rPr>
          <w:rFonts w:ascii="Times New Roman" w:hAnsi="Times New Roman"/>
          <w:sz w:val="24"/>
          <w:szCs w:val="24"/>
        </w:rPr>
        <w:t xml:space="preserve">“There is thus a triable issue of material fact as to whether Favro was negligent in failing to cooperate with the firefighters before they were struck by Briseno-Castaneda’s SUV. If that issue were to be resolved in plaintiffs’ favor, section 1714.9, subdivision (a)(1), would apply, and the firefighter’s rule would not. Because there is a triable issue of material </w:t>
      </w:r>
      <w:proofErr w:type="gramStart"/>
      <w:r w:rsidRPr="00015208">
        <w:rPr>
          <w:rFonts w:ascii="Times New Roman" w:hAnsi="Times New Roman"/>
          <w:sz w:val="24"/>
          <w:szCs w:val="24"/>
        </w:rPr>
        <w:t>fact</w:t>
      </w:r>
      <w:proofErr w:type="gramEnd"/>
      <w:r w:rsidRPr="00015208">
        <w:rPr>
          <w:rFonts w:ascii="Times New Roman" w:hAnsi="Times New Roman"/>
          <w:sz w:val="24"/>
          <w:szCs w:val="24"/>
        </w:rPr>
        <w:t xml:space="preserve">, the trial court erred in granting summary </w:t>
      </w:r>
      <w:proofErr w:type="gramStart"/>
      <w:r w:rsidRPr="00015208">
        <w:rPr>
          <w:rFonts w:ascii="Times New Roman" w:hAnsi="Times New Roman"/>
          <w:sz w:val="24"/>
          <w:szCs w:val="24"/>
        </w:rPr>
        <w:t>judgment.”</w:t>
      </w:r>
      <w:proofErr w:type="gramEnd"/>
      <w:r w:rsidR="00015208">
        <w:rPr>
          <w:rFonts w:ascii="Times New Roman" w:hAnsi="Times New Roman"/>
          <w:sz w:val="24"/>
          <w:szCs w:val="24"/>
        </w:rPr>
        <w:t xml:space="preserve"> </w:t>
      </w:r>
      <w:hyperlink r:id="rId578" w:history="1">
        <w:r w:rsidRPr="00015208">
          <w:rPr>
            <w:rStyle w:val="Hyperlink"/>
            <w:rFonts w:ascii="Times New Roman" w:hAnsi="Times New Roman"/>
            <w:sz w:val="24"/>
            <w:szCs w:val="24"/>
          </w:rPr>
          <w:t>https://www.courts.ca.gov/opinions/nonpub/A150651.PD</w:t>
        </w:r>
      </w:hyperlink>
      <w:r w:rsidRPr="00015208">
        <w:rPr>
          <w:rFonts w:ascii="Times New Roman" w:hAnsi="Times New Roman"/>
          <w:sz w:val="24"/>
          <w:szCs w:val="24"/>
        </w:rPr>
        <w:t xml:space="preserve"> </w:t>
      </w:r>
    </w:p>
    <w:p w14:paraId="05DBF511" w14:textId="05F0E23D" w:rsidR="00B22CD4" w:rsidRPr="00015208" w:rsidRDefault="00D07E6E" w:rsidP="00F326E5">
      <w:pPr>
        <w:rPr>
          <w:rFonts w:ascii="Times New Roman" w:hAnsi="Times New Roman"/>
          <w:b/>
          <w:bCs/>
          <w:sz w:val="24"/>
          <w:szCs w:val="24"/>
        </w:rPr>
      </w:pPr>
      <w:r w:rsidRPr="00015208">
        <w:rPr>
          <w:rFonts w:ascii="Times New Roman" w:hAnsi="Times New Roman"/>
          <w:b/>
          <w:bCs/>
          <w:sz w:val="24"/>
          <w:szCs w:val="24"/>
        </w:rPr>
        <w:t>Legal Lessons Learned: The California statute is a helpful exception to Fireman’s Rule – negligent conduct after individual “knows of the presence of the firefighter.</w:t>
      </w:r>
    </w:p>
    <w:p w14:paraId="0523FF47" w14:textId="2988436C" w:rsidR="00D07E6E" w:rsidRPr="00D07E6E" w:rsidRDefault="00D07E6E" w:rsidP="00F326E5">
      <w:pPr>
        <w:rPr>
          <w:rFonts w:ascii="Times New Roman" w:hAnsi="Times New Roman"/>
          <w:sz w:val="24"/>
          <w:szCs w:val="24"/>
        </w:rPr>
      </w:pPr>
    </w:p>
    <w:p w14:paraId="1308AD99" w14:textId="77777777" w:rsidR="00D07E6E" w:rsidRDefault="00D07E6E" w:rsidP="00EF1133">
      <w:pPr>
        <w:pStyle w:val="NoSpacing"/>
        <w:rPr>
          <w:rFonts w:ascii="Arial Black" w:hAnsi="Arial Black"/>
          <w:sz w:val="24"/>
          <w:szCs w:val="24"/>
        </w:rPr>
      </w:pPr>
    </w:p>
    <w:p w14:paraId="36877647" w14:textId="2FACCB86"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Pr>
          <w:rFonts w:ascii="Arial Black" w:hAnsi="Arial Black"/>
          <w:sz w:val="24"/>
          <w:szCs w:val="24"/>
        </w:rPr>
        <w:t>3</w:t>
      </w:r>
    </w:p>
    <w:p w14:paraId="7B507BD4" w14:textId="77777777" w:rsidR="00B22CD4" w:rsidRDefault="00B22CD4" w:rsidP="00F326E5">
      <w:pPr>
        <w:rPr>
          <w:sz w:val="24"/>
          <w:szCs w:val="24"/>
        </w:rPr>
      </w:pPr>
    </w:p>
    <w:p w14:paraId="5E803B4C" w14:textId="4545E9A4" w:rsidR="00F326E5" w:rsidRDefault="00F326E5" w:rsidP="00F326E5">
      <w:pPr>
        <w:rPr>
          <w:rFonts w:ascii="Arial Black" w:hAnsi="Arial Black"/>
          <w:sz w:val="28"/>
          <w:szCs w:val="28"/>
        </w:rPr>
      </w:pPr>
      <w:r w:rsidRPr="00E04021">
        <w:rPr>
          <w:rFonts w:ascii="Arial Black" w:hAnsi="Arial Black"/>
          <w:sz w:val="28"/>
          <w:szCs w:val="28"/>
        </w:rPr>
        <w:t xml:space="preserve">NJ:  </w:t>
      </w:r>
      <w:r>
        <w:rPr>
          <w:rFonts w:ascii="Arial Black" w:hAnsi="Arial Black"/>
          <w:sz w:val="28"/>
          <w:szCs w:val="28"/>
        </w:rPr>
        <w:t xml:space="preserve">FF ACCIDENTAL DEATH BENEFITS - ONLY FOR THOSE WHO DIED WHILE IN “ACTIVE SERVICE” </w:t>
      </w:r>
    </w:p>
    <w:p w14:paraId="13A0F20E" w14:textId="77777777" w:rsidR="00965872" w:rsidRDefault="00F326E5" w:rsidP="00F326E5">
      <w:pPr>
        <w:pStyle w:val="NoSpacing"/>
        <w:jc w:val="both"/>
        <w:rPr>
          <w:rFonts w:ascii="Times New Roman" w:hAnsi="Times New Roman"/>
          <w:sz w:val="24"/>
          <w:szCs w:val="24"/>
        </w:rPr>
      </w:pPr>
      <w:r w:rsidRPr="00015208">
        <w:rPr>
          <w:rFonts w:ascii="Times New Roman" w:hAnsi="Times New Roman"/>
          <w:sz w:val="24"/>
          <w:szCs w:val="24"/>
        </w:rPr>
        <w:t xml:space="preserve">On March 26, 2019, in </w:t>
      </w:r>
      <w:r w:rsidRPr="00015208">
        <w:rPr>
          <w:rFonts w:ascii="Times New Roman" w:hAnsi="Times New Roman"/>
          <w:sz w:val="24"/>
          <w:szCs w:val="24"/>
          <w:u w:val="single"/>
        </w:rPr>
        <w:t xml:space="preserve">Scott Rogow (Deceased) v. Board of Trustees, Police </w:t>
      </w:r>
      <w:proofErr w:type="gramStart"/>
      <w:r w:rsidRPr="00015208">
        <w:rPr>
          <w:rFonts w:ascii="Times New Roman" w:hAnsi="Times New Roman"/>
          <w:sz w:val="24"/>
          <w:szCs w:val="24"/>
          <w:u w:val="single"/>
        </w:rPr>
        <w:t>And</w:t>
      </w:r>
      <w:proofErr w:type="gramEnd"/>
      <w:r w:rsidRPr="00015208">
        <w:rPr>
          <w:rFonts w:ascii="Times New Roman" w:hAnsi="Times New Roman"/>
          <w:sz w:val="24"/>
          <w:szCs w:val="24"/>
          <w:u w:val="single"/>
        </w:rPr>
        <w:t xml:space="preserve"> Firemen’s Retirement System</w:t>
      </w:r>
      <w:r w:rsidRPr="00015208">
        <w:rPr>
          <w:rFonts w:ascii="Times New Roman" w:hAnsi="Times New Roman"/>
          <w:sz w:val="24"/>
          <w:szCs w:val="24"/>
        </w:rPr>
        <w:t xml:space="preserve">,  the Superior Court of New Jersey / Appellate Division held (3 to 0) in an unpublished option:  </w:t>
      </w:r>
    </w:p>
    <w:p w14:paraId="6FCC1633" w14:textId="77777777" w:rsidR="00965872" w:rsidRDefault="00965872" w:rsidP="00F326E5">
      <w:pPr>
        <w:pStyle w:val="NoSpacing"/>
        <w:jc w:val="both"/>
        <w:rPr>
          <w:rFonts w:ascii="Times New Roman" w:hAnsi="Times New Roman"/>
          <w:sz w:val="24"/>
          <w:szCs w:val="24"/>
        </w:rPr>
      </w:pPr>
    </w:p>
    <w:p w14:paraId="786FB643" w14:textId="2072D117" w:rsidR="00F326E5" w:rsidRPr="00015208" w:rsidRDefault="00F326E5" w:rsidP="00965872">
      <w:pPr>
        <w:pStyle w:val="NoSpacing"/>
        <w:ind w:left="720"/>
        <w:jc w:val="both"/>
        <w:rPr>
          <w:rFonts w:ascii="Times New Roman" w:hAnsi="Times New Roman"/>
          <w:sz w:val="24"/>
          <w:szCs w:val="24"/>
        </w:rPr>
      </w:pPr>
      <w:r w:rsidRPr="00015208">
        <w:rPr>
          <w:rFonts w:ascii="Times New Roman" w:hAnsi="Times New Roman"/>
          <w:sz w:val="24"/>
          <w:szCs w:val="24"/>
        </w:rPr>
        <w:t xml:space="preserve">“Accordingly, we conclude the Board properly determined that Rogow was ineligible for accidental death benefits because he was not a member in active service at the time of his death, as required by N.J.S.A. 43:16A-10,but was retired and receiving an accidental disability retirement allowance. The legislative history supports the Board's decision.” </w:t>
      </w:r>
    </w:p>
    <w:p w14:paraId="70B01881" w14:textId="1AE3A045" w:rsidR="00F326E5" w:rsidRPr="00015208" w:rsidRDefault="00965872" w:rsidP="00965872">
      <w:pPr>
        <w:pStyle w:val="NoSpacing"/>
        <w:ind w:firstLine="720"/>
        <w:jc w:val="both"/>
        <w:rPr>
          <w:rFonts w:ascii="Times New Roman" w:hAnsi="Times New Roman"/>
          <w:b/>
          <w:sz w:val="24"/>
          <w:szCs w:val="24"/>
        </w:rPr>
      </w:pPr>
      <w:hyperlink r:id="rId579" w:history="1">
        <w:r w:rsidRPr="002F304C">
          <w:rPr>
            <w:rStyle w:val="Hyperlink"/>
            <w:rFonts w:ascii="Times New Roman" w:hAnsi="Times New Roman"/>
            <w:sz w:val="24"/>
            <w:szCs w:val="24"/>
          </w:rPr>
          <w:t>https://njcourts.gov/attorneys/assets/opinions/appellate/unpublished/a1346-17.pdf</w:t>
        </w:r>
      </w:hyperlink>
      <w:r w:rsidR="00F326E5" w:rsidRPr="00015208">
        <w:rPr>
          <w:rFonts w:ascii="Times New Roman" w:hAnsi="Times New Roman"/>
          <w:sz w:val="24"/>
          <w:szCs w:val="24"/>
        </w:rPr>
        <w:t xml:space="preserve"> </w:t>
      </w:r>
    </w:p>
    <w:p w14:paraId="4492F1C6" w14:textId="77777777" w:rsidR="00C17A9D" w:rsidRDefault="00C17A9D" w:rsidP="00F326E5">
      <w:pPr>
        <w:pStyle w:val="NoSpacing"/>
        <w:rPr>
          <w:b/>
          <w:sz w:val="24"/>
          <w:szCs w:val="24"/>
        </w:rPr>
      </w:pPr>
    </w:p>
    <w:p w14:paraId="317CAACE" w14:textId="6E52EFFB" w:rsidR="0036327D" w:rsidRPr="0036327D" w:rsidRDefault="0036327D" w:rsidP="00F326E5">
      <w:pPr>
        <w:pStyle w:val="NoSpacing"/>
        <w:rPr>
          <w:rFonts w:ascii="Times New Roman" w:hAnsi="Times New Roman"/>
          <w:b/>
          <w:bCs/>
          <w:sz w:val="24"/>
          <w:szCs w:val="24"/>
        </w:rPr>
      </w:pPr>
      <w:r w:rsidRPr="0036327D">
        <w:rPr>
          <w:rFonts w:ascii="Times New Roman" w:hAnsi="Times New Roman"/>
          <w:b/>
          <w:bCs/>
          <w:sz w:val="24"/>
          <w:szCs w:val="24"/>
        </w:rPr>
        <w:t>Legal Lesson Learned: Courts will enforce the plain language of statutes, particularly when the language is supported by the legislative history of the statute</w:t>
      </w:r>
    </w:p>
    <w:p w14:paraId="328DE714" w14:textId="77777777" w:rsidR="0036327D" w:rsidRDefault="0036327D" w:rsidP="00F326E5">
      <w:pPr>
        <w:pStyle w:val="NoSpacing"/>
        <w:rPr>
          <w:bCs/>
          <w:sz w:val="24"/>
          <w:szCs w:val="24"/>
        </w:rPr>
      </w:pPr>
    </w:p>
    <w:bookmarkEnd w:id="91"/>
    <w:p w14:paraId="25EE5C5B" w14:textId="77777777" w:rsidR="00F326E5" w:rsidRPr="00A50673" w:rsidRDefault="00F326E5" w:rsidP="00F326E5">
      <w:pPr>
        <w:pStyle w:val="NoSpacing"/>
        <w:rPr>
          <w:b/>
          <w:sz w:val="24"/>
          <w:szCs w:val="24"/>
        </w:rPr>
      </w:pPr>
    </w:p>
    <w:p w14:paraId="4459DCAF" w14:textId="77777777" w:rsidR="00F326E5" w:rsidRDefault="00F326E5" w:rsidP="00F326E5">
      <w:pPr>
        <w:rPr>
          <w:rFonts w:ascii="Times New Roman" w:hAnsi="Times New Roman"/>
          <w:sz w:val="24"/>
          <w:szCs w:val="24"/>
        </w:rPr>
      </w:pPr>
    </w:p>
    <w:p w14:paraId="4674064E" w14:textId="75180BBE" w:rsidR="00F326E5" w:rsidRDefault="00EF1133" w:rsidP="00F326E5">
      <w:pPr>
        <w:pStyle w:val="NoSpacing"/>
        <w:rPr>
          <w:sz w:val="24"/>
          <w:szCs w:val="24"/>
        </w:rPr>
      </w:pPr>
      <w:r w:rsidRPr="00791CA3">
        <w:rPr>
          <w:rFonts w:ascii="Arial Black" w:hAnsi="Arial Black"/>
          <w:sz w:val="24"/>
          <w:szCs w:val="24"/>
        </w:rPr>
        <w:t>2-1</w:t>
      </w:r>
      <w:r>
        <w:rPr>
          <w:rFonts w:ascii="Arial Black" w:hAnsi="Arial Black"/>
          <w:sz w:val="24"/>
          <w:szCs w:val="24"/>
        </w:rPr>
        <w:t>2</w:t>
      </w:r>
    </w:p>
    <w:p w14:paraId="6C22CB48" w14:textId="77777777" w:rsidR="00F326E5" w:rsidRDefault="00F326E5" w:rsidP="00F326E5">
      <w:pPr>
        <w:pStyle w:val="NoSpacing"/>
        <w:rPr>
          <w:sz w:val="24"/>
          <w:szCs w:val="24"/>
        </w:rPr>
      </w:pPr>
    </w:p>
    <w:p w14:paraId="0DDD670B" w14:textId="26210874" w:rsidR="00F326E5" w:rsidRPr="00724064" w:rsidRDefault="00F326E5" w:rsidP="00F326E5">
      <w:pPr>
        <w:pStyle w:val="NoSpacing"/>
        <w:rPr>
          <w:rFonts w:ascii="Arial Black" w:hAnsi="Arial Black"/>
          <w:b/>
          <w:sz w:val="28"/>
          <w:szCs w:val="28"/>
        </w:rPr>
      </w:pPr>
      <w:bookmarkStart w:id="114" w:name="_Hlk7340697"/>
      <w:r w:rsidRPr="00724064">
        <w:rPr>
          <w:rFonts w:ascii="Arial Black" w:hAnsi="Arial Black"/>
          <w:b/>
          <w:sz w:val="28"/>
          <w:szCs w:val="28"/>
        </w:rPr>
        <w:t>IL</w:t>
      </w:r>
      <w:r>
        <w:rPr>
          <w:rFonts w:ascii="Arial Black" w:hAnsi="Arial Black"/>
          <w:b/>
          <w:sz w:val="28"/>
          <w:szCs w:val="28"/>
        </w:rPr>
        <w:t xml:space="preserve">: </w:t>
      </w:r>
      <w:r w:rsidRPr="00724064">
        <w:rPr>
          <w:rFonts w:ascii="Arial Black" w:hAnsi="Arial Black"/>
          <w:b/>
          <w:sz w:val="28"/>
          <w:szCs w:val="28"/>
        </w:rPr>
        <w:t>FF WITH PROSTATE CANCER</w:t>
      </w:r>
      <w:r>
        <w:rPr>
          <w:rFonts w:ascii="Arial Black" w:hAnsi="Arial Black"/>
          <w:b/>
          <w:sz w:val="28"/>
          <w:szCs w:val="28"/>
        </w:rPr>
        <w:t xml:space="preserve"> - </w:t>
      </w:r>
      <w:r w:rsidRPr="00724064">
        <w:rPr>
          <w:rFonts w:ascii="Arial Black" w:hAnsi="Arial Black"/>
          <w:b/>
          <w:sz w:val="28"/>
          <w:szCs w:val="28"/>
        </w:rPr>
        <w:t>DENIED COVERAGE</w:t>
      </w:r>
    </w:p>
    <w:p w14:paraId="01C6DB67"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Nov. 14, 2018, in </w:t>
      </w:r>
      <w:r w:rsidRPr="0036327D">
        <w:rPr>
          <w:rFonts w:ascii="Times New Roman" w:eastAsia="Times New Roman" w:hAnsi="Times New Roman"/>
          <w:sz w:val="24"/>
          <w:szCs w:val="24"/>
          <w:u w:val="single"/>
        </w:rPr>
        <w:t>Clifford A. Ekkert v. Illinois Workers Compensation Commission and Village of Oak Brook</w:t>
      </w:r>
      <w:r w:rsidRPr="0036327D">
        <w:rPr>
          <w:rFonts w:ascii="Times New Roman" w:eastAsia="Times New Roman" w:hAnsi="Times New Roman"/>
          <w:sz w:val="24"/>
          <w:szCs w:val="24"/>
        </w:rPr>
        <w:t xml:space="preserve">, the Appellate Court of Illinois, Second District, Workers Compensation Division, held (5 to 0) that firefighter Ekkert is not covered by workers comp: “claimant did not adequately set forth and develop an argument as to why the ultimate decision of the Commission was contrary to the manifest weight of the evidence.” </w:t>
      </w:r>
      <w:hyperlink r:id="rId580" w:history="1">
        <w:r w:rsidRPr="0036327D">
          <w:rPr>
            <w:rStyle w:val="Hyperlink"/>
            <w:rFonts w:ascii="Times New Roman" w:hAnsi="Times New Roman"/>
            <w:sz w:val="24"/>
            <w:szCs w:val="24"/>
          </w:rPr>
          <w:t>http://www.illinoiscourts.gov/R23_Orders/WorkersComp/2018/2170447WC_R23.pdf</w:t>
        </w:r>
      </w:hyperlink>
      <w:r w:rsidRPr="0036327D">
        <w:rPr>
          <w:rFonts w:ascii="Times New Roman" w:eastAsia="Times New Roman" w:hAnsi="Times New Roman"/>
          <w:sz w:val="24"/>
          <w:szCs w:val="24"/>
        </w:rPr>
        <w:t xml:space="preserve"> </w:t>
      </w:r>
    </w:p>
    <w:p w14:paraId="44DBC00E" w14:textId="77777777" w:rsidR="00F326E5" w:rsidRPr="0036327D" w:rsidRDefault="00F326E5" w:rsidP="00F326E5">
      <w:pPr>
        <w:pStyle w:val="ListParagraph"/>
        <w:ind w:left="0"/>
        <w:rPr>
          <w:rFonts w:ascii="Times New Roman" w:eastAsia="Times New Roman" w:hAnsi="Times New Roman" w:cs="Times New Roman"/>
          <w:b/>
          <w:sz w:val="24"/>
          <w:szCs w:val="24"/>
        </w:rPr>
      </w:pPr>
      <w:r w:rsidRPr="0036327D">
        <w:rPr>
          <w:rFonts w:ascii="Times New Roman" w:eastAsia="Times New Roman" w:hAnsi="Times New Roman" w:cs="Times New Roman"/>
          <w:b/>
          <w:sz w:val="24"/>
          <w:szCs w:val="24"/>
        </w:rPr>
        <w:t xml:space="preserve">Legal Lessons Learned:  A firefighter with prostate cancer, seeking </w:t>
      </w:r>
      <w:proofErr w:type="gramStart"/>
      <w:r w:rsidRPr="0036327D">
        <w:rPr>
          <w:rFonts w:ascii="Times New Roman" w:eastAsia="Times New Roman" w:hAnsi="Times New Roman" w:cs="Times New Roman"/>
          <w:b/>
          <w:sz w:val="24"/>
          <w:szCs w:val="24"/>
        </w:rPr>
        <w:t>workers</w:t>
      </w:r>
      <w:proofErr w:type="gramEnd"/>
      <w:r w:rsidRPr="0036327D">
        <w:rPr>
          <w:rFonts w:ascii="Times New Roman" w:eastAsia="Times New Roman" w:hAnsi="Times New Roman" w:cs="Times New Roman"/>
          <w:b/>
          <w:sz w:val="24"/>
          <w:szCs w:val="24"/>
        </w:rPr>
        <w:t xml:space="preserve"> compensation, needs to consult a board-certified expert in urology.  The statutory presumption is rebuttable by employer’s expert witness. </w:t>
      </w:r>
    </w:p>
    <w:bookmarkEnd w:id="114"/>
    <w:p w14:paraId="091725A2" w14:textId="77777777" w:rsidR="00965872" w:rsidRDefault="00965872" w:rsidP="00EF1133">
      <w:pPr>
        <w:pStyle w:val="NoSpacing"/>
        <w:rPr>
          <w:rFonts w:ascii="Arial Black" w:hAnsi="Arial Black"/>
          <w:sz w:val="24"/>
          <w:szCs w:val="24"/>
        </w:rPr>
      </w:pPr>
    </w:p>
    <w:p w14:paraId="4B630D31" w14:textId="77777777" w:rsidR="00965872" w:rsidRDefault="00965872" w:rsidP="00EF1133">
      <w:pPr>
        <w:pStyle w:val="NoSpacing"/>
        <w:rPr>
          <w:rFonts w:ascii="Arial Black" w:hAnsi="Arial Black"/>
          <w:sz w:val="24"/>
          <w:szCs w:val="24"/>
        </w:rPr>
      </w:pPr>
    </w:p>
    <w:p w14:paraId="4F3C8302" w14:textId="580B7A63"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Pr>
          <w:rFonts w:ascii="Arial Black" w:hAnsi="Arial Black"/>
          <w:sz w:val="24"/>
          <w:szCs w:val="24"/>
        </w:rPr>
        <w:t>1</w:t>
      </w:r>
    </w:p>
    <w:p w14:paraId="1FFB4BB2" w14:textId="77777777" w:rsidR="00F326E5" w:rsidRDefault="00F326E5" w:rsidP="00F326E5">
      <w:pPr>
        <w:rPr>
          <w:sz w:val="24"/>
          <w:szCs w:val="24"/>
        </w:rPr>
      </w:pPr>
    </w:p>
    <w:p w14:paraId="0693AAD5" w14:textId="5C4E15BE" w:rsidR="00F326E5" w:rsidRPr="002B7386" w:rsidRDefault="00F326E5" w:rsidP="00F326E5">
      <w:pPr>
        <w:rPr>
          <w:sz w:val="24"/>
          <w:szCs w:val="24"/>
        </w:rPr>
      </w:pPr>
      <w:bookmarkStart w:id="115" w:name="_Hlk7340734"/>
      <w:r>
        <w:rPr>
          <w:rFonts w:ascii="Arial Black" w:hAnsi="Arial Black"/>
          <w:sz w:val="28"/>
          <w:szCs w:val="28"/>
        </w:rPr>
        <w:t>PA:  SKIN CANCER - FF DID NOT SHOW SCIENTIFIC EVIDENCE CONNECTING TO JOB</w:t>
      </w:r>
    </w:p>
    <w:p w14:paraId="7766ECFE" w14:textId="6A9B283F" w:rsidR="00965872" w:rsidRDefault="00F326E5" w:rsidP="00F326E5">
      <w:pPr>
        <w:pStyle w:val="NoSpacing"/>
        <w:rPr>
          <w:rFonts w:ascii="Times New Roman" w:eastAsia="Times New Roman" w:hAnsi="Times New Roman"/>
          <w:sz w:val="24"/>
          <w:szCs w:val="24"/>
        </w:rPr>
      </w:pPr>
      <w:r w:rsidRPr="0036327D">
        <w:rPr>
          <w:rFonts w:ascii="Times New Roman" w:hAnsi="Times New Roman"/>
          <w:sz w:val="24"/>
          <w:szCs w:val="24"/>
        </w:rPr>
        <w:t xml:space="preserve">On Oct. 18, 2018, in </w:t>
      </w:r>
      <w:r w:rsidRPr="0036327D">
        <w:rPr>
          <w:rFonts w:ascii="Times New Roman" w:eastAsia="Times New Roman" w:hAnsi="Times New Roman"/>
          <w:sz w:val="24"/>
          <w:szCs w:val="24"/>
          <w:u w:val="single"/>
        </w:rPr>
        <w:t>City Of Philadelphia Fire Department v. Workers’ Compensation Appeal Board (Appeal of Scott Sladek)</w:t>
      </w:r>
      <w:r w:rsidRPr="0036327D">
        <w:rPr>
          <w:rFonts w:ascii="Times New Roman" w:eastAsia="Times New Roman" w:hAnsi="Times New Roman"/>
          <w:sz w:val="24"/>
          <w:szCs w:val="24"/>
        </w:rPr>
        <w:t>, the Supreme Court of Pennsylvania (sitting in Eastern District, Philadelphia) held (4 to 3) that a firefighter with skin cancer must present scientific evidence to Workers Comp Board that his malignant melanoma is a type of cancer caused by the Group 1 carcinogens.  The City’s expert</w:t>
      </w:r>
      <w:r w:rsidR="00965872">
        <w:rPr>
          <w:rFonts w:ascii="Times New Roman" w:eastAsia="Times New Roman" w:hAnsi="Times New Roman"/>
          <w:sz w:val="24"/>
          <w:szCs w:val="24"/>
        </w:rPr>
        <w:t>:</w:t>
      </w:r>
      <w:r w:rsidRPr="0036327D">
        <w:rPr>
          <w:rFonts w:ascii="Times New Roman" w:eastAsia="Times New Roman" w:hAnsi="Times New Roman"/>
          <w:sz w:val="24"/>
          <w:szCs w:val="24"/>
        </w:rPr>
        <w:t xml:space="preserve"> </w:t>
      </w:r>
    </w:p>
    <w:p w14:paraId="622289F7" w14:textId="77777777" w:rsidR="00965872" w:rsidRDefault="00965872" w:rsidP="00F326E5">
      <w:pPr>
        <w:pStyle w:val="NoSpacing"/>
        <w:rPr>
          <w:rFonts w:ascii="Times New Roman" w:eastAsia="Times New Roman" w:hAnsi="Times New Roman"/>
          <w:sz w:val="24"/>
          <w:szCs w:val="24"/>
        </w:rPr>
      </w:pPr>
    </w:p>
    <w:p w14:paraId="6A0D6593" w14:textId="429ED372" w:rsidR="00F326E5" w:rsidRPr="0036327D" w:rsidRDefault="00F326E5" w:rsidP="00965872">
      <w:pPr>
        <w:pStyle w:val="NoSpacing"/>
        <w:ind w:left="720"/>
        <w:rPr>
          <w:rFonts w:ascii="Times New Roman" w:hAnsi="Times New Roman"/>
          <w:sz w:val="24"/>
          <w:szCs w:val="24"/>
        </w:rPr>
      </w:pPr>
      <w:r w:rsidRPr="0036327D">
        <w:rPr>
          <w:rFonts w:ascii="Times New Roman" w:eastAsia="Times New Roman" w:hAnsi="Times New Roman"/>
          <w:sz w:val="24"/>
          <w:szCs w:val="24"/>
        </w:rPr>
        <w:t xml:space="preserve">“Dr. Guidotti, testified that there is considerable epidemiological evidence to support a causative relationship between malignant melanoma of the skin and sunlight exposure (sunburn), but no similar evidence to support a causative connection between malignant melanoma and the inhalation of any substance.” </w:t>
      </w:r>
      <w:hyperlink r:id="rId581" w:anchor="search=%22SCOTT%20SLADEK%20%27Supreme%2bCourt%27%22" w:history="1">
        <w:r w:rsidRPr="0036327D">
          <w:rPr>
            <w:rStyle w:val="Hyperlink"/>
            <w:rFonts w:ascii="Times New Roman" w:hAnsi="Times New Roman"/>
            <w:sz w:val="24"/>
            <w:szCs w:val="24"/>
          </w:rPr>
          <w:t>http://www.pacourts.us/assets/opinions/Supreme/out/opinion%20announcing%20judgment%20of%20the%20court%20%20reversedremanded%20%2010373870143091493.pdf#search=%22SCOTT%20SLADEK%20%27Supreme%2bCourt%27%22</w:t>
        </w:r>
      </w:hyperlink>
    </w:p>
    <w:p w14:paraId="264DACD8" w14:textId="77777777" w:rsidR="00965872" w:rsidRDefault="00965872" w:rsidP="00F326E5">
      <w:pPr>
        <w:pStyle w:val="NoSpacing"/>
        <w:rPr>
          <w:rFonts w:ascii="Times New Roman" w:hAnsi="Times New Roman"/>
          <w:b/>
          <w:sz w:val="24"/>
          <w:szCs w:val="24"/>
        </w:rPr>
      </w:pPr>
    </w:p>
    <w:p w14:paraId="1EFE9B16" w14:textId="6213A27E" w:rsidR="00F326E5" w:rsidRPr="0036327D" w:rsidRDefault="00F326E5" w:rsidP="00F326E5">
      <w:pPr>
        <w:pStyle w:val="NoSpacing"/>
        <w:rPr>
          <w:rStyle w:val="Hyperlink"/>
          <w:rFonts w:ascii="Times New Roman" w:hAnsi="Times New Roman"/>
          <w:b/>
          <w:sz w:val="24"/>
          <w:szCs w:val="24"/>
        </w:rPr>
      </w:pPr>
      <w:r w:rsidRPr="0036327D">
        <w:rPr>
          <w:rFonts w:ascii="Times New Roman" w:hAnsi="Times New Roman"/>
          <w:b/>
          <w:sz w:val="24"/>
          <w:szCs w:val="24"/>
        </w:rPr>
        <w:t xml:space="preserve">Legal Lessons Learned:  There are statutory presumption statutes in many states; some cover specific cancers, such as leukemia, non-Hodgkin lymphoma, brain cancer, bladder cancer, and gastrointestinal </w:t>
      </w:r>
      <w:r w:rsidRPr="0036327D">
        <w:rPr>
          <w:rFonts w:ascii="Times New Roman" w:hAnsi="Times New Roman"/>
          <w:b/>
          <w:sz w:val="24"/>
          <w:szCs w:val="24"/>
        </w:rPr>
        <w:lastRenderedPageBreak/>
        <w:t xml:space="preserve">cancer.   Other statutes do not specify the specific </w:t>
      </w:r>
      <w:proofErr w:type="gramStart"/>
      <w:r w:rsidRPr="0036327D">
        <w:rPr>
          <w:rFonts w:ascii="Times New Roman" w:hAnsi="Times New Roman"/>
          <w:b/>
          <w:sz w:val="24"/>
          <w:szCs w:val="24"/>
        </w:rPr>
        <w:t>cancers</w:t>
      </w:r>
      <w:proofErr w:type="gramEnd"/>
      <w:r w:rsidRPr="0036327D">
        <w:rPr>
          <w:rFonts w:ascii="Times New Roman" w:hAnsi="Times New Roman"/>
          <w:b/>
          <w:sz w:val="24"/>
          <w:szCs w:val="24"/>
        </w:rPr>
        <w:t xml:space="preserve">, and  </w:t>
      </w:r>
      <w:r w:rsidRPr="0036327D">
        <w:rPr>
          <w:rFonts w:ascii="Times New Roman" w:eastAsia="Times New Roman" w:hAnsi="Times New Roman"/>
          <w:b/>
          <w:sz w:val="24"/>
          <w:szCs w:val="24"/>
        </w:rPr>
        <w:t xml:space="preserve">epidemiological evidence may be required to win a </w:t>
      </w:r>
      <w:proofErr w:type="gramStart"/>
      <w:r w:rsidRPr="0036327D">
        <w:rPr>
          <w:rFonts w:ascii="Times New Roman" w:eastAsia="Times New Roman" w:hAnsi="Times New Roman"/>
          <w:b/>
          <w:sz w:val="24"/>
          <w:szCs w:val="24"/>
        </w:rPr>
        <w:t>workers</w:t>
      </w:r>
      <w:proofErr w:type="gramEnd"/>
      <w:r w:rsidRPr="0036327D">
        <w:rPr>
          <w:rFonts w:ascii="Times New Roman" w:eastAsia="Times New Roman" w:hAnsi="Times New Roman"/>
          <w:b/>
          <w:sz w:val="24"/>
          <w:szCs w:val="24"/>
        </w:rPr>
        <w:t xml:space="preserve"> comp claim.</w:t>
      </w:r>
      <w:r w:rsidRPr="0036327D">
        <w:rPr>
          <w:rStyle w:val="Hyperlink"/>
          <w:rFonts w:ascii="Times New Roman" w:hAnsi="Times New Roman"/>
          <w:sz w:val="24"/>
          <w:szCs w:val="24"/>
        </w:rPr>
        <w:t xml:space="preserve"> </w:t>
      </w:r>
    </w:p>
    <w:p w14:paraId="289056F0" w14:textId="77777777" w:rsidR="00F326E5" w:rsidRPr="0036327D" w:rsidRDefault="00F326E5" w:rsidP="00F326E5">
      <w:pPr>
        <w:pStyle w:val="NoSpacing"/>
        <w:rPr>
          <w:rFonts w:ascii="Times New Roman" w:hAnsi="Times New Roman"/>
          <w:b/>
          <w:sz w:val="24"/>
          <w:szCs w:val="24"/>
        </w:rPr>
      </w:pPr>
      <w:hyperlink r:id="rId582" w:history="1">
        <w:r w:rsidRPr="0036327D">
          <w:rPr>
            <w:rStyle w:val="Hyperlink"/>
            <w:rFonts w:ascii="Times New Roman" w:hAnsi="Times New Roman"/>
            <w:sz w:val="24"/>
            <w:szCs w:val="24"/>
          </w:rPr>
          <w:t>https://www.firstrespondercenter.org/cancer/toolsresources/presumptive-legislation-firefighter-cancer-state/</w:t>
        </w:r>
      </w:hyperlink>
    </w:p>
    <w:p w14:paraId="4463F4A7" w14:textId="77777777" w:rsidR="00F326E5" w:rsidRPr="0036327D" w:rsidRDefault="00F326E5" w:rsidP="00F326E5">
      <w:pPr>
        <w:pStyle w:val="NoSpacing"/>
        <w:rPr>
          <w:rFonts w:ascii="Times New Roman" w:hAnsi="Times New Roman"/>
          <w:b/>
          <w:sz w:val="24"/>
          <w:szCs w:val="24"/>
        </w:rPr>
      </w:pPr>
    </w:p>
    <w:p w14:paraId="7C687AD0" w14:textId="77777777" w:rsidR="00EF1133" w:rsidRDefault="00EF1133" w:rsidP="00EF1133">
      <w:pPr>
        <w:pStyle w:val="NoSpacing"/>
        <w:rPr>
          <w:rFonts w:ascii="Arial Black" w:hAnsi="Arial Black"/>
          <w:sz w:val="24"/>
          <w:szCs w:val="24"/>
        </w:rPr>
      </w:pPr>
    </w:p>
    <w:p w14:paraId="6E77FD57" w14:textId="66B6585B"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Pr>
          <w:rFonts w:ascii="Arial Black" w:hAnsi="Arial Black"/>
          <w:sz w:val="24"/>
          <w:szCs w:val="24"/>
        </w:rPr>
        <w:t>0</w:t>
      </w:r>
    </w:p>
    <w:p w14:paraId="49AD7EBD" w14:textId="77777777" w:rsidR="00F326E5" w:rsidRDefault="00F326E5" w:rsidP="00F326E5">
      <w:pPr>
        <w:rPr>
          <w:sz w:val="24"/>
          <w:szCs w:val="24"/>
        </w:rPr>
      </w:pPr>
    </w:p>
    <w:p w14:paraId="05B5B75E" w14:textId="3AA4FE6E" w:rsidR="00F326E5" w:rsidRPr="00724064" w:rsidRDefault="00F326E5" w:rsidP="00F326E5">
      <w:pPr>
        <w:rPr>
          <w:rFonts w:ascii="Arial Black" w:hAnsi="Arial Black"/>
          <w:sz w:val="28"/>
          <w:szCs w:val="28"/>
        </w:rPr>
      </w:pPr>
      <w:bookmarkStart w:id="116" w:name="_Hlk7340805"/>
      <w:bookmarkEnd w:id="115"/>
      <w:r w:rsidRPr="00724064">
        <w:rPr>
          <w:rFonts w:ascii="Arial Black" w:hAnsi="Arial Black"/>
          <w:sz w:val="28"/>
          <w:szCs w:val="28"/>
        </w:rPr>
        <w:t>PA: Q-S</w:t>
      </w:r>
      <w:r>
        <w:rPr>
          <w:rFonts w:ascii="Arial Black" w:hAnsi="Arial Black"/>
          <w:sz w:val="28"/>
          <w:szCs w:val="28"/>
        </w:rPr>
        <w:t xml:space="preserve">IREN LAWSUIT DISMISSED – DID NOT PROVE WAS “UNREASONABLY DANGEROUS” </w:t>
      </w:r>
    </w:p>
    <w:p w14:paraId="5DC26B43" w14:textId="77777777" w:rsidR="00965872"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Aug. 20, 2018, in </w:t>
      </w:r>
      <w:r w:rsidRPr="0036327D">
        <w:rPr>
          <w:rFonts w:ascii="Times New Roman" w:hAnsi="Times New Roman"/>
          <w:sz w:val="24"/>
          <w:szCs w:val="24"/>
          <w:u w:val="single"/>
        </w:rPr>
        <w:t>Ronald Dunlap and Carl Roel v. Federal Signal Corporation, et al.</w:t>
      </w:r>
      <w:r w:rsidRPr="0036327D">
        <w:rPr>
          <w:rFonts w:ascii="Times New Roman" w:hAnsi="Times New Roman"/>
          <w:sz w:val="24"/>
          <w:szCs w:val="24"/>
        </w:rPr>
        <w:t xml:space="preserve">, the Superior Court of Pennsylvania, held (2 to 1) that the trial court properly granted summary judgment to the siren manufacturer.  The Court wrote: </w:t>
      </w:r>
    </w:p>
    <w:p w14:paraId="54A7E475" w14:textId="77777777" w:rsidR="00965872" w:rsidRDefault="00965872" w:rsidP="00F326E5">
      <w:pPr>
        <w:pStyle w:val="NoSpacing"/>
        <w:rPr>
          <w:rFonts w:ascii="Times New Roman" w:hAnsi="Times New Roman"/>
          <w:sz w:val="24"/>
          <w:szCs w:val="24"/>
        </w:rPr>
      </w:pPr>
    </w:p>
    <w:p w14:paraId="27484287" w14:textId="0699C85A" w:rsidR="00F326E5" w:rsidRPr="0036327D" w:rsidRDefault="00F326E5" w:rsidP="00965872">
      <w:pPr>
        <w:pStyle w:val="NoSpacing"/>
        <w:ind w:left="720"/>
        <w:rPr>
          <w:rFonts w:ascii="Times New Roman" w:hAnsi="Times New Roman"/>
          <w:sz w:val="24"/>
          <w:szCs w:val="24"/>
        </w:rPr>
      </w:pPr>
      <w:r w:rsidRPr="0036327D">
        <w:rPr>
          <w:rFonts w:ascii="Times New Roman" w:hAnsi="Times New Roman"/>
          <w:sz w:val="24"/>
          <w:szCs w:val="24"/>
        </w:rPr>
        <w:t xml:space="preserve">“Plaintiff firefighters’ acoustics expert, Mr. Struck, presented an alternative siren design that would afford greater protection for firefighters from hearing loss by adding a Bromley Shroud, which would direct the noise to the front of the fire truck and away from the cab. However, he focused solely on the benefits of the shrouded design to the firefighters occupying the cab of the firetruck; he did not opine whether that design would protect the </w:t>
      </w:r>
      <w:proofErr w:type="gramStart"/>
      <w:r w:rsidRPr="0036327D">
        <w:rPr>
          <w:rFonts w:ascii="Times New Roman" w:hAnsi="Times New Roman"/>
          <w:sz w:val="24"/>
          <w:szCs w:val="24"/>
        </w:rPr>
        <w:t>public.”</w:t>
      </w:r>
      <w:proofErr w:type="gramEnd"/>
    </w:p>
    <w:p w14:paraId="1A2D036C" w14:textId="4404788F" w:rsidR="00F326E5" w:rsidRPr="0036327D" w:rsidRDefault="00965872" w:rsidP="00965872">
      <w:pPr>
        <w:pStyle w:val="NoSpacing"/>
        <w:ind w:firstLine="720"/>
        <w:rPr>
          <w:rFonts w:ascii="Times New Roman" w:hAnsi="Times New Roman"/>
          <w:b/>
          <w:sz w:val="24"/>
          <w:szCs w:val="24"/>
        </w:rPr>
      </w:pPr>
      <w:hyperlink r:id="rId583" w:history="1">
        <w:r w:rsidRPr="002F304C">
          <w:rPr>
            <w:rStyle w:val="Hyperlink"/>
            <w:rFonts w:ascii="Times New Roman" w:hAnsi="Times New Roman"/>
            <w:sz w:val="24"/>
            <w:szCs w:val="24"/>
          </w:rPr>
          <w:t>https://cases.justia.com/pennsylvania/superior-court/2018-1747-wda-2016.pdf?ts=1534790308</w:t>
        </w:r>
      </w:hyperlink>
      <w:r w:rsidR="00F326E5" w:rsidRPr="0036327D">
        <w:rPr>
          <w:rFonts w:ascii="Times New Roman" w:hAnsi="Times New Roman"/>
          <w:b/>
          <w:sz w:val="24"/>
          <w:szCs w:val="24"/>
        </w:rPr>
        <w:t xml:space="preserve"> </w:t>
      </w:r>
    </w:p>
    <w:p w14:paraId="4809C827" w14:textId="77777777" w:rsidR="00965872" w:rsidRDefault="00965872" w:rsidP="00F326E5">
      <w:pPr>
        <w:pStyle w:val="NoSpacing"/>
        <w:rPr>
          <w:rFonts w:ascii="Times New Roman" w:hAnsi="Times New Roman"/>
          <w:b/>
          <w:sz w:val="24"/>
          <w:szCs w:val="24"/>
        </w:rPr>
      </w:pPr>
    </w:p>
    <w:p w14:paraId="4BE8F98F" w14:textId="7A91D79E" w:rsidR="00F326E5" w:rsidRPr="0036327D" w:rsidRDefault="00F326E5" w:rsidP="00F326E5">
      <w:pPr>
        <w:pStyle w:val="NoSpacing"/>
        <w:rPr>
          <w:rFonts w:ascii="Times New Roman" w:hAnsi="Times New Roman"/>
          <w:b/>
          <w:sz w:val="24"/>
          <w:szCs w:val="24"/>
        </w:rPr>
      </w:pPr>
      <w:r w:rsidRPr="0036327D">
        <w:rPr>
          <w:rFonts w:ascii="Times New Roman" w:hAnsi="Times New Roman"/>
          <w:b/>
          <w:sz w:val="24"/>
          <w:szCs w:val="24"/>
        </w:rPr>
        <w:t xml:space="preserve">Legal Lesson Learned:  Hearing loss is a serious issue in fire and EMS; hearing protection should be worn when the siren is activated. </w:t>
      </w:r>
    </w:p>
    <w:p w14:paraId="43BACD0C" w14:textId="77777777" w:rsidR="00F326E5" w:rsidRDefault="00F326E5" w:rsidP="00F326E5">
      <w:pPr>
        <w:pStyle w:val="NoSpacing"/>
        <w:rPr>
          <w:b/>
          <w:sz w:val="24"/>
          <w:szCs w:val="24"/>
        </w:rPr>
      </w:pPr>
    </w:p>
    <w:p w14:paraId="0765FBC2" w14:textId="77777777" w:rsidR="00EF1133" w:rsidRDefault="00EF1133" w:rsidP="00EF1133">
      <w:pPr>
        <w:pStyle w:val="NoSpacing"/>
        <w:rPr>
          <w:rFonts w:ascii="Arial Black" w:hAnsi="Arial Black"/>
          <w:sz w:val="24"/>
          <w:szCs w:val="24"/>
        </w:rPr>
      </w:pPr>
      <w:bookmarkStart w:id="117" w:name="_Hlk7173123"/>
      <w:bookmarkEnd w:id="116"/>
    </w:p>
    <w:p w14:paraId="4863FA47" w14:textId="2B737541"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9</w:t>
      </w:r>
    </w:p>
    <w:p w14:paraId="2739ABC0" w14:textId="77777777" w:rsidR="00F326E5" w:rsidRDefault="00F326E5" w:rsidP="00F326E5">
      <w:pPr>
        <w:pStyle w:val="NoSpacing"/>
        <w:rPr>
          <w:sz w:val="24"/>
          <w:szCs w:val="24"/>
        </w:rPr>
      </w:pPr>
    </w:p>
    <w:p w14:paraId="6A7EB7B1" w14:textId="66C184B8" w:rsidR="00F326E5" w:rsidRDefault="00F326E5" w:rsidP="00F326E5">
      <w:pPr>
        <w:pStyle w:val="NoSpacing"/>
        <w:rPr>
          <w:rFonts w:ascii="Arial Black" w:hAnsi="Arial Black"/>
          <w:b/>
          <w:sz w:val="24"/>
          <w:szCs w:val="24"/>
        </w:rPr>
      </w:pPr>
      <w:bookmarkStart w:id="118" w:name="_Hlk7340860"/>
      <w:r w:rsidRPr="00724064">
        <w:rPr>
          <w:rFonts w:ascii="Arial Black" w:hAnsi="Arial Black"/>
          <w:b/>
          <w:sz w:val="28"/>
          <w:szCs w:val="28"/>
        </w:rPr>
        <w:t>PA: H</w:t>
      </w:r>
      <w:r>
        <w:rPr>
          <w:rFonts w:ascii="Arial Black" w:hAnsi="Arial Black"/>
          <w:b/>
          <w:sz w:val="28"/>
          <w:szCs w:val="28"/>
        </w:rPr>
        <w:t xml:space="preserve">EARING LOSS LAWSUIT DROPPED - PLANITIFF’S ATTORNEY MUST PAY DEF. ATTORNEY FEES </w:t>
      </w:r>
    </w:p>
    <w:p w14:paraId="1A5A046E"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June 20, 2018, in </w:t>
      </w:r>
      <w:r w:rsidRPr="0036327D">
        <w:rPr>
          <w:rFonts w:ascii="Times New Roman" w:eastAsia="Times New Roman" w:hAnsi="Times New Roman"/>
          <w:sz w:val="24"/>
          <w:szCs w:val="24"/>
          <w:u w:val="single"/>
        </w:rPr>
        <w:t>Gerald Carroll, et al. v. Federal Signal Corporation, et al</w:t>
      </w:r>
      <w:r w:rsidRPr="0036327D">
        <w:rPr>
          <w:rFonts w:ascii="Times New Roman" w:eastAsia="Times New Roman" w:hAnsi="Times New Roman"/>
          <w:sz w:val="24"/>
          <w:szCs w:val="24"/>
        </w:rPr>
        <w:t>., the U.S. Court of Appeals for the 3</w:t>
      </w:r>
      <w:r w:rsidRPr="0036327D">
        <w:rPr>
          <w:rFonts w:ascii="Times New Roman" w:eastAsia="Times New Roman" w:hAnsi="Times New Roman"/>
          <w:sz w:val="24"/>
          <w:szCs w:val="24"/>
          <w:vertAlign w:val="superscript"/>
        </w:rPr>
        <w:t>rd</w:t>
      </w:r>
      <w:r w:rsidRPr="0036327D">
        <w:rPr>
          <w:rFonts w:ascii="Times New Roman" w:eastAsia="Times New Roman" w:hAnsi="Times New Roman"/>
          <w:sz w:val="24"/>
          <w:szCs w:val="24"/>
        </w:rPr>
        <w:t xml:space="preserve"> Circuit (Philadelphia) held (3 to 0) that plaintiffs’ attorney must pay $127,823.47 in attorney fees. </w:t>
      </w:r>
    </w:p>
    <w:p w14:paraId="6A9519E4" w14:textId="35DF2451"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“Although attorneys’ fees and costs are typically not awarded when a matter is voluntarily dismissed with prejudice, we conclude that such an award may be granted when exceptional circumstances exist. Exceptional circumstances include a litigant’s failure to perform a meaningful pre-suit investigation, as well as a repeated practice of bringing meritless claims and then dismissing them with prejudice after both the opposing party and the judicial system have incurred substantial costs.  Because such exceptional circumstances are present in this case, the District Court’s award will be affirmed.”</w:t>
      </w:r>
      <w:r w:rsidR="00965872">
        <w:rPr>
          <w:rFonts w:ascii="Times New Roman" w:eastAsia="Times New Roman" w:hAnsi="Times New Roman"/>
          <w:sz w:val="24"/>
          <w:szCs w:val="24"/>
        </w:rPr>
        <w:t xml:space="preserve"> </w:t>
      </w:r>
      <w:hyperlink r:id="rId584" w:history="1">
        <w:r w:rsidRPr="0036327D">
          <w:rPr>
            <w:rStyle w:val="Hyperlink"/>
            <w:rFonts w:ascii="Times New Roman" w:hAnsi="Times New Roman"/>
            <w:sz w:val="24"/>
            <w:szCs w:val="24"/>
          </w:rPr>
          <w:t>http://www2.ca3.uscourts.gov/opinarch/172183p.pdf</w:t>
        </w:r>
      </w:hyperlink>
      <w:r w:rsidRPr="0036327D">
        <w:rPr>
          <w:rFonts w:ascii="Times New Roman" w:eastAsia="Times New Roman" w:hAnsi="Times New Roman"/>
          <w:sz w:val="24"/>
          <w:szCs w:val="24"/>
        </w:rPr>
        <w:t xml:space="preserve"> </w:t>
      </w:r>
    </w:p>
    <w:p w14:paraId="750F4306"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Hearing loss is a real issue in fire &amp; EMS - wear hearing protection.  </w:t>
      </w:r>
    </w:p>
    <w:p w14:paraId="658B3F67" w14:textId="77777777"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 xml:space="preserve">See NFPA 1582; </w:t>
      </w:r>
      <w:hyperlink r:id="rId585" w:history="1">
        <w:r w:rsidRPr="0036327D">
          <w:rPr>
            <w:rStyle w:val="Hyperlink"/>
            <w:rFonts w:ascii="Times New Roman" w:hAnsi="Times New Roman"/>
            <w:sz w:val="24"/>
            <w:szCs w:val="24"/>
          </w:rPr>
          <w:t>https://www.nfpa.org/codes-and-standards/all-codes-and-standards/list-of-codes-and-standards/detail?code=1582</w:t>
        </w:r>
      </w:hyperlink>
      <w:r w:rsidRPr="0036327D">
        <w:rPr>
          <w:rFonts w:ascii="Times New Roman" w:eastAsia="Times New Roman" w:hAnsi="Times New Roman"/>
          <w:sz w:val="24"/>
          <w:szCs w:val="24"/>
        </w:rPr>
        <w:t xml:space="preserve">  See also these research articles, “</w:t>
      </w:r>
      <w:r w:rsidRPr="0036327D">
        <w:rPr>
          <w:rFonts w:ascii="Times New Roman" w:hAnsi="Times New Roman"/>
          <w:sz w:val="24"/>
          <w:szCs w:val="24"/>
        </w:rPr>
        <w:t xml:space="preserve">Hearing Loss Prevention and a Survey of Firefighters,” </w:t>
      </w:r>
      <w:hyperlink r:id="rId586" w:history="1">
        <w:r w:rsidRPr="0036327D">
          <w:rPr>
            <w:rStyle w:val="Hyperlink"/>
            <w:rFonts w:ascii="Times New Roman" w:hAnsi="Times New Roman"/>
            <w:sz w:val="24"/>
            <w:szCs w:val="24"/>
          </w:rPr>
          <w:t>http://www.caohc.org/updatearticles/2017/Update_v29-i1.pdf</w:t>
        </w:r>
      </w:hyperlink>
      <w:r w:rsidRPr="0036327D">
        <w:rPr>
          <w:rFonts w:ascii="Times New Roman" w:hAnsi="Times New Roman"/>
          <w:sz w:val="24"/>
          <w:szCs w:val="24"/>
        </w:rPr>
        <w:t xml:space="preserve"> ;  “Hearing Conservation For Firefighters,”  Audiology Today (Nov / Dec. 2012): </w:t>
      </w:r>
      <w:r w:rsidRPr="0036327D">
        <w:rPr>
          <w:rFonts w:ascii="Times New Roman" w:eastAsia="Times New Roman" w:hAnsi="Times New Roman"/>
          <w:sz w:val="24"/>
          <w:szCs w:val="24"/>
        </w:rPr>
        <w:t xml:space="preserve">“This hearing loss is irreversible, but preventable by using hearing protection or managing the noise and noise exposure. Unfortunately, </w:t>
      </w:r>
      <w:r w:rsidRPr="0036327D">
        <w:rPr>
          <w:rFonts w:ascii="Times New Roman" w:eastAsia="Times New Roman" w:hAnsi="Times New Roman"/>
          <w:sz w:val="24"/>
          <w:szCs w:val="24"/>
        </w:rPr>
        <w:lastRenderedPageBreak/>
        <w:t xml:space="preserve">audiologists see this population only after the hearing loss has become debilitating.” </w:t>
      </w:r>
      <w:hyperlink r:id="rId587" w:history="1">
        <w:r w:rsidRPr="0036327D">
          <w:rPr>
            <w:rStyle w:val="Hyperlink"/>
            <w:rFonts w:ascii="Times New Roman" w:hAnsi="Times New Roman"/>
            <w:sz w:val="24"/>
            <w:szCs w:val="24"/>
          </w:rPr>
          <w:t>https://www.audiology.org/sites/default/files/audiologytoday/AT%2024.6%20-%20LOW.pdf</w:t>
        </w:r>
      </w:hyperlink>
    </w:p>
    <w:bookmarkEnd w:id="117"/>
    <w:bookmarkEnd w:id="118"/>
    <w:p w14:paraId="2A0C46EF" w14:textId="77777777" w:rsidR="00F326E5" w:rsidRPr="0036327D" w:rsidRDefault="00F326E5" w:rsidP="00F326E5">
      <w:pPr>
        <w:pStyle w:val="NoSpacing"/>
        <w:rPr>
          <w:rFonts w:ascii="Times New Roman" w:hAnsi="Times New Roman"/>
          <w:b/>
          <w:sz w:val="24"/>
          <w:szCs w:val="24"/>
        </w:rPr>
      </w:pPr>
    </w:p>
    <w:p w14:paraId="0F14A4C0" w14:textId="12EC2A28"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8</w:t>
      </w:r>
    </w:p>
    <w:p w14:paraId="340A039C" w14:textId="77777777" w:rsidR="00F326E5" w:rsidRDefault="00F326E5" w:rsidP="00F326E5">
      <w:pPr>
        <w:pStyle w:val="NoSpacing"/>
        <w:rPr>
          <w:rFonts w:ascii="Arial Black" w:hAnsi="Arial Black"/>
          <w:b/>
          <w:sz w:val="24"/>
          <w:szCs w:val="24"/>
        </w:rPr>
      </w:pPr>
    </w:p>
    <w:p w14:paraId="7F3947C4" w14:textId="290D80FB" w:rsidR="00F326E5" w:rsidRDefault="00F326E5" w:rsidP="00F326E5">
      <w:pPr>
        <w:pStyle w:val="NoSpacing"/>
        <w:rPr>
          <w:rFonts w:ascii="Arial Black" w:hAnsi="Arial Black"/>
          <w:b/>
          <w:sz w:val="28"/>
          <w:szCs w:val="28"/>
        </w:rPr>
      </w:pPr>
      <w:bookmarkStart w:id="119" w:name="_Hlk7340907"/>
      <w:r w:rsidRPr="009C2749">
        <w:rPr>
          <w:rFonts w:ascii="Arial Black" w:hAnsi="Arial Black"/>
          <w:b/>
          <w:sz w:val="28"/>
          <w:szCs w:val="28"/>
        </w:rPr>
        <w:t>MD</w:t>
      </w:r>
      <w:r>
        <w:rPr>
          <w:rFonts w:ascii="Arial Black" w:hAnsi="Arial Black"/>
          <w:b/>
          <w:sz w:val="28"/>
          <w:szCs w:val="28"/>
        </w:rPr>
        <w:t xml:space="preserve">: </w:t>
      </w:r>
      <w:r w:rsidRPr="009C2749">
        <w:rPr>
          <w:rFonts w:ascii="Arial Black" w:hAnsi="Arial Black"/>
          <w:b/>
          <w:sz w:val="28"/>
          <w:szCs w:val="28"/>
        </w:rPr>
        <w:t>P</w:t>
      </w:r>
      <w:r>
        <w:rPr>
          <w:rFonts w:ascii="Arial Black" w:hAnsi="Arial Black"/>
          <w:b/>
          <w:sz w:val="28"/>
          <w:szCs w:val="28"/>
        </w:rPr>
        <w:t xml:space="preserve">ART-TIME EMS INJURED FOOT ON DUTY – AVERAGE WEEKLY WAGE </w:t>
      </w:r>
    </w:p>
    <w:p w14:paraId="53833113" w14:textId="77777777" w:rsidR="00F326E5" w:rsidRPr="0036327D" w:rsidRDefault="00F326E5" w:rsidP="00F326E5">
      <w:pPr>
        <w:rPr>
          <w:rFonts w:ascii="Times New Roman" w:hAnsi="Times New Roman"/>
          <w:sz w:val="24"/>
          <w:szCs w:val="24"/>
        </w:rPr>
      </w:pPr>
      <w:r w:rsidRPr="0036327D">
        <w:rPr>
          <w:rFonts w:ascii="Times New Roman" w:hAnsi="Times New Roman"/>
          <w:sz w:val="24"/>
          <w:szCs w:val="24"/>
        </w:rPr>
        <w:t xml:space="preserve">On June 1, 2018, in </w:t>
      </w:r>
      <w:r w:rsidRPr="0036327D">
        <w:rPr>
          <w:rFonts w:ascii="Times New Roman" w:hAnsi="Times New Roman"/>
          <w:sz w:val="24"/>
          <w:szCs w:val="24"/>
          <w:u w:val="single"/>
        </w:rPr>
        <w:t>Justin Stine v. Montgomery County, Maryland</w:t>
      </w:r>
      <w:r w:rsidRPr="0036327D">
        <w:rPr>
          <w:rFonts w:ascii="Times New Roman" w:hAnsi="Times New Roman"/>
          <w:sz w:val="24"/>
          <w:szCs w:val="24"/>
        </w:rPr>
        <w:t xml:space="preserve">, the Court of Special Appeals of Maryland, held (3 to 0) that he is entitled to a jury trial to determine average weekly wage, which may include wages earned working for private ambulance company rather than merely the wage he earned as a part-time EMT in the 14-weeks prior to the injury.  </w:t>
      </w:r>
      <w:hyperlink r:id="rId588" w:history="1">
        <w:r w:rsidRPr="0036327D">
          <w:rPr>
            <w:rStyle w:val="Hyperlink"/>
            <w:rFonts w:ascii="Times New Roman" w:hAnsi="Times New Roman"/>
            <w:sz w:val="24"/>
            <w:szCs w:val="24"/>
          </w:rPr>
          <w:t>https://caselaw.findlaw.com/md-court-of-special-appeals/1897275.html</w:t>
        </w:r>
      </w:hyperlink>
      <w:r w:rsidRPr="0036327D">
        <w:rPr>
          <w:rFonts w:ascii="Times New Roman" w:hAnsi="Times New Roman"/>
          <w:sz w:val="24"/>
          <w:szCs w:val="24"/>
        </w:rPr>
        <w:t xml:space="preserve"> </w:t>
      </w:r>
    </w:p>
    <w:p w14:paraId="6AFE7DF1" w14:textId="2C211E44" w:rsidR="00F326E5" w:rsidRPr="0036327D" w:rsidRDefault="00F326E5" w:rsidP="00F326E5">
      <w:pPr>
        <w:rPr>
          <w:rFonts w:ascii="Times New Roman" w:hAnsi="Times New Roman"/>
          <w:b/>
          <w:sz w:val="24"/>
          <w:szCs w:val="24"/>
        </w:rPr>
      </w:pPr>
      <w:r w:rsidRPr="0036327D">
        <w:rPr>
          <w:rFonts w:ascii="Times New Roman" w:hAnsi="Times New Roman"/>
          <w:b/>
          <w:sz w:val="24"/>
          <w:szCs w:val="24"/>
        </w:rPr>
        <w:t xml:space="preserve">Legal Lesson Learned:  helpful decision for part-time EMT, who </w:t>
      </w:r>
      <w:proofErr w:type="gramStart"/>
      <w:r w:rsidRPr="0036327D">
        <w:rPr>
          <w:rFonts w:ascii="Times New Roman" w:hAnsi="Times New Roman"/>
          <w:b/>
          <w:sz w:val="24"/>
          <w:szCs w:val="24"/>
        </w:rPr>
        <w:t>has</w:t>
      </w:r>
      <w:proofErr w:type="gramEnd"/>
      <w:r w:rsidRPr="0036327D">
        <w:rPr>
          <w:rFonts w:ascii="Times New Roman" w:hAnsi="Times New Roman"/>
          <w:b/>
          <w:sz w:val="24"/>
          <w:szCs w:val="24"/>
        </w:rPr>
        <w:t xml:space="preserve"> second part-time job while also going to school.</w:t>
      </w:r>
    </w:p>
    <w:bookmarkEnd w:id="119"/>
    <w:p w14:paraId="7AAB0CBD" w14:textId="77777777" w:rsidR="00EF1133" w:rsidRDefault="00EF1133" w:rsidP="00791CA3">
      <w:pPr>
        <w:pStyle w:val="NoSpacing"/>
        <w:rPr>
          <w:rFonts w:ascii="Arial Black" w:hAnsi="Arial Black"/>
          <w:sz w:val="24"/>
          <w:szCs w:val="24"/>
        </w:rPr>
      </w:pPr>
    </w:p>
    <w:p w14:paraId="607800F8" w14:textId="241CA9CE" w:rsid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7</w:t>
      </w:r>
    </w:p>
    <w:p w14:paraId="7A6C343B" w14:textId="77777777" w:rsidR="00EF1133" w:rsidRDefault="00EF1133" w:rsidP="00F326E5">
      <w:pPr>
        <w:pStyle w:val="NoSpacing"/>
        <w:rPr>
          <w:rFonts w:ascii="Arial Black" w:hAnsi="Arial Black"/>
          <w:sz w:val="28"/>
          <w:szCs w:val="28"/>
        </w:rPr>
      </w:pPr>
      <w:bookmarkStart w:id="120" w:name="_Hlk7340944"/>
    </w:p>
    <w:p w14:paraId="403270CD" w14:textId="10ED4B3E" w:rsidR="00F326E5" w:rsidRPr="00A765B5" w:rsidRDefault="00F326E5" w:rsidP="00F326E5">
      <w:pPr>
        <w:pStyle w:val="NoSpacing"/>
        <w:rPr>
          <w:rFonts w:ascii="Arial Black" w:hAnsi="Arial Black"/>
          <w:sz w:val="28"/>
          <w:szCs w:val="28"/>
        </w:rPr>
      </w:pPr>
      <w:r w:rsidRPr="00A765B5">
        <w:rPr>
          <w:rFonts w:ascii="Arial Black" w:hAnsi="Arial Black"/>
          <w:sz w:val="28"/>
          <w:szCs w:val="28"/>
        </w:rPr>
        <w:t>U.S. Department of Justice</w:t>
      </w:r>
      <w:r>
        <w:rPr>
          <w:rFonts w:ascii="Arial Black" w:hAnsi="Arial Black"/>
          <w:sz w:val="28"/>
          <w:szCs w:val="28"/>
        </w:rPr>
        <w:t xml:space="preserve">: </w:t>
      </w:r>
      <w:r w:rsidRPr="00A765B5">
        <w:rPr>
          <w:rFonts w:ascii="Arial Black" w:hAnsi="Arial Black"/>
          <w:sz w:val="28"/>
          <w:szCs w:val="28"/>
        </w:rPr>
        <w:t xml:space="preserve"> Improvements </w:t>
      </w:r>
      <w:proofErr w:type="gramStart"/>
      <w:r w:rsidRPr="00A765B5">
        <w:rPr>
          <w:rFonts w:ascii="Arial Black" w:hAnsi="Arial Black"/>
          <w:sz w:val="28"/>
          <w:szCs w:val="28"/>
        </w:rPr>
        <w:t>In</w:t>
      </w:r>
      <w:proofErr w:type="gramEnd"/>
      <w:r w:rsidRPr="00A765B5">
        <w:rPr>
          <w:rFonts w:ascii="Arial Black" w:hAnsi="Arial Black"/>
          <w:sz w:val="28"/>
          <w:szCs w:val="28"/>
        </w:rPr>
        <w:t xml:space="preserve"> Public Safety Officer Benefits Program</w:t>
      </w:r>
    </w:p>
    <w:p w14:paraId="6A1E31D3"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On May 15, 2018, the U.S. Department of Justice issued Press Release, summarizing the following improvements:</w:t>
      </w:r>
    </w:p>
    <w:p w14:paraId="236A6530"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“Heart Attack, Stroke, and Vascular Rupture Claims:</w:t>
      </w:r>
      <w:r w:rsidRPr="0036327D">
        <w:rPr>
          <w:rFonts w:ascii="Times New Roman" w:eastAsia="Times New Roman" w:hAnsi="Times New Roman"/>
          <w:sz w:val="24"/>
          <w:szCs w:val="24"/>
        </w:rPr>
        <w:t xml:space="preserve"> The new rule helps implement a change in the law that reduces the need in many cases for families to submit difficult-to-find and costly medical records for their loved ones. This regulatory change alone positively impacts nearly one-third of the PSOB death claims filed each year.</w:t>
      </w:r>
    </w:p>
    <w:p w14:paraId="43B8ADBE"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 xml:space="preserve">Filing Process:  </w:t>
      </w:r>
      <w:r w:rsidRPr="0036327D">
        <w:rPr>
          <w:rFonts w:ascii="Times New Roman" w:eastAsia="Times New Roman" w:hAnsi="Times New Roman"/>
          <w:sz w:val="24"/>
          <w:szCs w:val="24"/>
        </w:rPr>
        <w:t>The new rule includes administrative updates to make filing claims more straightforward and less burdensome for survivors and public safety agencies.</w:t>
      </w:r>
    </w:p>
    <w:p w14:paraId="1EEE1A8E"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 xml:space="preserve">Law Enforcement and Firefighter Trainees: </w:t>
      </w:r>
      <w:r w:rsidRPr="0036327D">
        <w:rPr>
          <w:rFonts w:ascii="Times New Roman" w:eastAsia="Times New Roman" w:hAnsi="Times New Roman"/>
          <w:sz w:val="24"/>
          <w:szCs w:val="24"/>
        </w:rPr>
        <w:t>Recognizing the dangerous nature of law enforcement and fire suppression, and the rigorous training required to help keep communities safe, the new rule clarifies the coverage of certain individuals fatally or catastrophically injured during formal training provided by law enforcement and fire academies.</w:t>
      </w:r>
    </w:p>
    <w:p w14:paraId="2F7D8CD5"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September 11th Exposure Claims:</w:t>
      </w:r>
      <w:r w:rsidRPr="0036327D">
        <w:rPr>
          <w:rFonts w:ascii="Times New Roman" w:eastAsia="Times New Roman" w:hAnsi="Times New Roman"/>
          <w:sz w:val="24"/>
          <w:szCs w:val="24"/>
        </w:rPr>
        <w:t xml:space="preserve"> The new rule facilitates the PSOB Program’s medical examiners’ review of the nearly 150 claims pending for certain public safety officers who responded to the September 11th attacks to assist in rescue, recovery, and clean-up efforts, and who were exposed to hazards and toxins resulting from the attacks.”</w:t>
      </w:r>
    </w:p>
    <w:p w14:paraId="7E9099A6" w14:textId="4EAB6944" w:rsidR="00F326E5" w:rsidRPr="0036327D" w:rsidRDefault="00965872" w:rsidP="00965872">
      <w:pPr>
        <w:ind w:left="360"/>
        <w:rPr>
          <w:rFonts w:ascii="Times New Roman" w:eastAsia="Times New Roman" w:hAnsi="Times New Roman"/>
          <w:sz w:val="24"/>
          <w:szCs w:val="24"/>
        </w:rPr>
      </w:pPr>
      <w:hyperlink r:id="rId589" w:history="1">
        <w:r w:rsidRPr="002F304C">
          <w:rPr>
            <w:rStyle w:val="Hyperlink"/>
            <w:rFonts w:ascii="Times New Roman" w:hAnsi="Times New Roman"/>
            <w:sz w:val="24"/>
            <w:szCs w:val="24"/>
          </w:rPr>
          <w:t>https://www.justice.gov/opa/pr/justice-department-announces-improvements-public-safety-officers-benefits-program</w:t>
        </w:r>
      </w:hyperlink>
      <w:r w:rsidR="00F326E5" w:rsidRPr="0036327D">
        <w:rPr>
          <w:rFonts w:ascii="Times New Roman" w:eastAsia="Times New Roman" w:hAnsi="Times New Roman"/>
          <w:sz w:val="24"/>
          <w:szCs w:val="24"/>
        </w:rPr>
        <w:t xml:space="preserve"> </w:t>
      </w:r>
    </w:p>
    <w:p w14:paraId="0C636015"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Hopefully these new rules will expedite review of pending claims, including claims by public safety officers who responded to the Sept. 11 terrorist attacks and were exposed to toxins. </w:t>
      </w:r>
    </w:p>
    <w:p w14:paraId="5B69B2F6" w14:textId="77777777" w:rsidR="00F326E5" w:rsidRDefault="00F326E5" w:rsidP="00F326E5">
      <w:pPr>
        <w:rPr>
          <w:rFonts w:eastAsia="Times New Roman"/>
          <w:sz w:val="24"/>
          <w:szCs w:val="24"/>
        </w:rPr>
      </w:pPr>
    </w:p>
    <w:bookmarkEnd w:id="120"/>
    <w:p w14:paraId="01035D17" w14:textId="734B5C41" w:rsidR="00F326E5" w:rsidRDefault="00791CA3" w:rsidP="00791CA3">
      <w:pPr>
        <w:pStyle w:val="NoSpacing"/>
        <w:rPr>
          <w:rFonts w:ascii="Arial Black" w:hAnsi="Arial Black"/>
          <w:sz w:val="24"/>
          <w:szCs w:val="24"/>
        </w:rPr>
      </w:pPr>
      <w:r w:rsidRPr="00791CA3">
        <w:rPr>
          <w:rFonts w:ascii="Arial Black" w:hAnsi="Arial Black"/>
          <w:sz w:val="24"/>
          <w:szCs w:val="24"/>
        </w:rPr>
        <w:lastRenderedPageBreak/>
        <w:t>2-</w:t>
      </w:r>
      <w:r>
        <w:rPr>
          <w:rFonts w:ascii="Arial Black" w:hAnsi="Arial Black"/>
          <w:sz w:val="24"/>
          <w:szCs w:val="24"/>
        </w:rPr>
        <w:t>6</w:t>
      </w:r>
    </w:p>
    <w:p w14:paraId="2D1F1EE1" w14:textId="77777777" w:rsidR="00791CA3" w:rsidRDefault="00791CA3" w:rsidP="00791CA3">
      <w:pPr>
        <w:pStyle w:val="NoSpacing"/>
        <w:rPr>
          <w:sz w:val="24"/>
          <w:szCs w:val="24"/>
        </w:rPr>
      </w:pPr>
    </w:p>
    <w:p w14:paraId="7916E709" w14:textId="27D3F027" w:rsidR="00F326E5" w:rsidRDefault="00F326E5" w:rsidP="00F326E5">
      <w:pPr>
        <w:rPr>
          <w:rFonts w:ascii="Arial Black" w:hAnsi="Arial Black"/>
          <w:b/>
          <w:sz w:val="28"/>
          <w:szCs w:val="28"/>
        </w:rPr>
      </w:pPr>
      <w:bookmarkStart w:id="121" w:name="_Hlk7340980"/>
      <w:r w:rsidRPr="002E3997">
        <w:rPr>
          <w:rFonts w:ascii="Arial Black" w:hAnsi="Arial Black"/>
          <w:sz w:val="28"/>
          <w:szCs w:val="28"/>
        </w:rPr>
        <w:t xml:space="preserve">KY: </w:t>
      </w:r>
      <w:r>
        <w:rPr>
          <w:rFonts w:ascii="Arial Black" w:hAnsi="Arial Black"/>
          <w:sz w:val="28"/>
          <w:szCs w:val="28"/>
        </w:rPr>
        <w:t>LINE OF DUTY DEATH – “</w:t>
      </w:r>
      <w:proofErr w:type="gramStart"/>
      <w:r>
        <w:rPr>
          <w:rFonts w:ascii="Arial Black" w:hAnsi="Arial Black"/>
          <w:sz w:val="28"/>
          <w:szCs w:val="28"/>
        </w:rPr>
        <w:t>STEP CHILD</w:t>
      </w:r>
      <w:proofErr w:type="gramEnd"/>
      <w:r>
        <w:rPr>
          <w:rFonts w:ascii="Arial Black" w:hAnsi="Arial Black"/>
          <w:sz w:val="28"/>
          <w:szCs w:val="28"/>
        </w:rPr>
        <w:t xml:space="preserve">” ENTITLED TO FREE TUITION AT STATE COLLEGES  </w:t>
      </w:r>
    </w:p>
    <w:p w14:paraId="7EAA4080" w14:textId="77777777" w:rsidR="00F326E5" w:rsidRPr="0036327D" w:rsidRDefault="00F326E5" w:rsidP="00F326E5">
      <w:pPr>
        <w:rPr>
          <w:rFonts w:ascii="Times New Roman" w:eastAsia="Times New Roman" w:hAnsi="Times New Roman"/>
          <w:sz w:val="24"/>
          <w:szCs w:val="24"/>
        </w:rPr>
      </w:pPr>
      <w:r w:rsidRPr="0036327D">
        <w:rPr>
          <w:rFonts w:ascii="Times New Roman" w:hAnsi="Times New Roman"/>
          <w:sz w:val="24"/>
          <w:szCs w:val="24"/>
        </w:rPr>
        <w:t xml:space="preserve">On June 1, 2018, in </w:t>
      </w:r>
      <w:r w:rsidRPr="0036327D">
        <w:rPr>
          <w:rFonts w:ascii="Times New Roman" w:hAnsi="Times New Roman"/>
          <w:sz w:val="24"/>
          <w:szCs w:val="24"/>
          <w:u w:val="single"/>
        </w:rPr>
        <w:t>Miles Devon Skeens v. University of Louisville</w:t>
      </w:r>
      <w:r w:rsidRPr="0036327D">
        <w:rPr>
          <w:rFonts w:ascii="Times New Roman" w:hAnsi="Times New Roman"/>
          <w:sz w:val="24"/>
          <w:szCs w:val="24"/>
        </w:rPr>
        <w:t xml:space="preserve">, the Commonwealth of Kentucky Court of Appeals (3 to 0) held that </w:t>
      </w:r>
      <w:r w:rsidRPr="0036327D">
        <w:rPr>
          <w:rFonts w:ascii="Times New Roman" w:eastAsia="Times New Roman" w:hAnsi="Times New Roman"/>
          <w:sz w:val="24"/>
          <w:szCs w:val="24"/>
        </w:rPr>
        <w:t xml:space="preserve">a stepchild qualifies as a “child” under Kentucky Revised Statutes (“KRS”) 164.2841 which grants free tuition at state-supported schools for survivors of firefighters killed in the line of duty. </w:t>
      </w:r>
      <w:hyperlink r:id="rId590" w:history="1">
        <w:r w:rsidRPr="0036327D">
          <w:rPr>
            <w:rStyle w:val="Hyperlink"/>
            <w:rFonts w:ascii="Times New Roman" w:hAnsi="Times New Roman"/>
            <w:sz w:val="24"/>
            <w:szCs w:val="24"/>
          </w:rPr>
          <w:t>https://cases.justia.com/kentucky/court-of-appeals/2018-2016-ca-001534-mr.pdf?ts=1527861797</w:t>
        </w:r>
      </w:hyperlink>
      <w:r w:rsidRPr="0036327D">
        <w:rPr>
          <w:rFonts w:ascii="Times New Roman" w:eastAsia="Times New Roman" w:hAnsi="Times New Roman"/>
          <w:sz w:val="24"/>
          <w:szCs w:val="24"/>
        </w:rPr>
        <w:t xml:space="preserve"> </w:t>
      </w:r>
    </w:p>
    <w:p w14:paraId="64795A05" w14:textId="77777777" w:rsidR="00F326E5" w:rsidRPr="00724064" w:rsidRDefault="00F326E5" w:rsidP="00F326E5">
      <w:pPr>
        <w:rPr>
          <w:rFonts w:eastAsia="Times New Roman"/>
          <w:b/>
          <w:sz w:val="24"/>
          <w:szCs w:val="24"/>
        </w:rPr>
      </w:pPr>
      <w:r w:rsidRPr="0036327D">
        <w:rPr>
          <w:rFonts w:ascii="Times New Roman" w:eastAsia="Times New Roman" w:hAnsi="Times New Roman"/>
          <w:b/>
          <w:sz w:val="24"/>
          <w:szCs w:val="24"/>
        </w:rPr>
        <w:t>Legal Lesson Learned: Great decision; what was University of Louisville thinking?</w:t>
      </w:r>
    </w:p>
    <w:bookmarkEnd w:id="121"/>
    <w:p w14:paraId="1E7F64D5" w14:textId="77777777" w:rsidR="00F326E5" w:rsidRPr="001521C4" w:rsidRDefault="00F326E5" w:rsidP="00F326E5">
      <w:pPr>
        <w:rPr>
          <w:rFonts w:eastAsia="Times New Roman"/>
          <w:b/>
          <w:sz w:val="24"/>
          <w:szCs w:val="24"/>
        </w:rPr>
      </w:pPr>
      <w:r>
        <w:rPr>
          <w:rFonts w:eastAsia="Times New Roman"/>
          <w:b/>
          <w:sz w:val="24"/>
          <w:szCs w:val="24"/>
        </w:rPr>
        <w:t xml:space="preserve"> </w:t>
      </w:r>
    </w:p>
    <w:p w14:paraId="184C1241" w14:textId="77777777" w:rsidR="00F326E5" w:rsidRDefault="00F326E5" w:rsidP="00F326E5">
      <w:pPr>
        <w:pStyle w:val="NoSpacing"/>
        <w:rPr>
          <w:rFonts w:ascii="Arial Black" w:hAnsi="Arial Black"/>
          <w:b/>
          <w:sz w:val="24"/>
          <w:szCs w:val="24"/>
        </w:rPr>
      </w:pPr>
    </w:p>
    <w:p w14:paraId="717BCCD9" w14:textId="385AF2FE" w:rsidR="00791CA3" w:rsidRDefault="00791CA3" w:rsidP="00791CA3">
      <w:pPr>
        <w:pStyle w:val="NoSpacing"/>
        <w:rPr>
          <w:rFonts w:ascii="Arial Black" w:hAnsi="Arial Black"/>
          <w:sz w:val="28"/>
          <w:szCs w:val="28"/>
        </w:rPr>
      </w:pPr>
      <w:bookmarkStart w:id="122" w:name="_Hlk515115051"/>
      <w:bookmarkStart w:id="123" w:name="_Hlk7341042"/>
      <w:r w:rsidRPr="00791CA3">
        <w:rPr>
          <w:rFonts w:ascii="Arial Black" w:hAnsi="Arial Black"/>
          <w:sz w:val="24"/>
          <w:szCs w:val="24"/>
        </w:rPr>
        <w:t>2-</w:t>
      </w:r>
      <w:r>
        <w:rPr>
          <w:rFonts w:ascii="Arial Black" w:hAnsi="Arial Black"/>
          <w:sz w:val="24"/>
          <w:szCs w:val="24"/>
        </w:rPr>
        <w:t>5</w:t>
      </w:r>
    </w:p>
    <w:p w14:paraId="3964F70B" w14:textId="498AEB90" w:rsidR="00F326E5" w:rsidRPr="0026507F" w:rsidRDefault="00F326E5" w:rsidP="00F326E5">
      <w:pPr>
        <w:rPr>
          <w:rFonts w:ascii="Arial Black" w:hAnsi="Arial Black"/>
          <w:b/>
          <w:sz w:val="28"/>
          <w:szCs w:val="28"/>
        </w:rPr>
      </w:pPr>
      <w:r w:rsidRPr="0026507F">
        <w:rPr>
          <w:rFonts w:ascii="Arial Black" w:hAnsi="Arial Black"/>
          <w:sz w:val="28"/>
          <w:szCs w:val="28"/>
        </w:rPr>
        <w:t xml:space="preserve">VA: FIREMAN’S RULE – REFRIGERATOR EXPLODED </w:t>
      </w:r>
      <w:r>
        <w:rPr>
          <w:rFonts w:ascii="Arial Black" w:hAnsi="Arial Black"/>
          <w:sz w:val="28"/>
          <w:szCs w:val="28"/>
        </w:rPr>
        <w:t>–</w:t>
      </w:r>
      <w:r w:rsidRPr="0026507F">
        <w:rPr>
          <w:rFonts w:ascii="Arial Black" w:hAnsi="Arial Black"/>
          <w:sz w:val="28"/>
          <w:szCs w:val="28"/>
        </w:rPr>
        <w:t xml:space="preserve"> </w:t>
      </w:r>
      <w:r>
        <w:rPr>
          <w:rFonts w:ascii="Arial Black" w:hAnsi="Arial Black"/>
          <w:sz w:val="28"/>
          <w:szCs w:val="28"/>
        </w:rPr>
        <w:t xml:space="preserve">PD </w:t>
      </w:r>
      <w:r w:rsidRPr="0026507F">
        <w:rPr>
          <w:rFonts w:ascii="Arial Black" w:hAnsi="Arial Black"/>
          <w:sz w:val="28"/>
          <w:szCs w:val="28"/>
        </w:rPr>
        <w:t>/ VOL. FF CAN</w:t>
      </w:r>
      <w:r>
        <w:rPr>
          <w:rFonts w:ascii="Arial Black" w:hAnsi="Arial Black"/>
          <w:sz w:val="28"/>
          <w:szCs w:val="28"/>
        </w:rPr>
        <w:t xml:space="preserve">’T </w:t>
      </w:r>
      <w:r w:rsidRPr="0026507F">
        <w:rPr>
          <w:rFonts w:ascii="Arial Black" w:hAnsi="Arial Black"/>
          <w:sz w:val="28"/>
          <w:szCs w:val="28"/>
        </w:rPr>
        <w:t xml:space="preserve">SUE MANUFACTURER </w:t>
      </w:r>
    </w:p>
    <w:bookmarkEnd w:id="122"/>
    <w:p w14:paraId="71663A02" w14:textId="77777777" w:rsidR="00F326E5" w:rsidRPr="0036327D" w:rsidRDefault="00F326E5" w:rsidP="00F326E5">
      <w:pPr>
        <w:rPr>
          <w:rFonts w:ascii="Times New Roman" w:eastAsia="Times New Roman" w:hAnsi="Times New Roman"/>
          <w:sz w:val="24"/>
          <w:szCs w:val="24"/>
        </w:rPr>
      </w:pPr>
      <w:r w:rsidRPr="0036327D">
        <w:rPr>
          <w:rFonts w:ascii="Times New Roman" w:hAnsi="Times New Roman"/>
          <w:sz w:val="24"/>
          <w:szCs w:val="24"/>
        </w:rPr>
        <w:t xml:space="preserve">On April 13, 2018, in </w:t>
      </w:r>
      <w:r w:rsidRPr="0036327D">
        <w:rPr>
          <w:rFonts w:ascii="Times New Roman" w:hAnsi="Times New Roman"/>
          <w:sz w:val="24"/>
          <w:szCs w:val="24"/>
          <w:u w:val="single"/>
        </w:rPr>
        <w:t xml:space="preserve">Brian Colbert v. </w:t>
      </w:r>
      <w:proofErr w:type="spellStart"/>
      <w:r w:rsidRPr="0036327D">
        <w:rPr>
          <w:rFonts w:ascii="Times New Roman" w:hAnsi="Times New Roman"/>
          <w:sz w:val="24"/>
          <w:szCs w:val="24"/>
          <w:u w:val="single"/>
        </w:rPr>
        <w:t>Norcold</w:t>
      </w:r>
      <w:proofErr w:type="spellEnd"/>
      <w:r w:rsidRPr="0036327D">
        <w:rPr>
          <w:rFonts w:ascii="Times New Roman" w:hAnsi="Times New Roman"/>
          <w:sz w:val="24"/>
          <w:szCs w:val="24"/>
          <w:u w:val="single"/>
        </w:rPr>
        <w:t>, Inc</w:t>
      </w:r>
      <w:r w:rsidRPr="0036327D">
        <w:rPr>
          <w:rFonts w:ascii="Times New Roman" w:hAnsi="Times New Roman"/>
          <w:sz w:val="24"/>
          <w:szCs w:val="24"/>
        </w:rPr>
        <w:t>., the U.S. Court of Appeals for the 4</w:t>
      </w:r>
      <w:r w:rsidRPr="0036327D">
        <w:rPr>
          <w:rFonts w:ascii="Times New Roman" w:hAnsi="Times New Roman"/>
          <w:sz w:val="24"/>
          <w:szCs w:val="24"/>
          <w:vertAlign w:val="superscript"/>
        </w:rPr>
        <w:t>th</w:t>
      </w:r>
      <w:r w:rsidRPr="0036327D">
        <w:rPr>
          <w:rFonts w:ascii="Times New Roman" w:hAnsi="Times New Roman"/>
          <w:sz w:val="24"/>
          <w:szCs w:val="24"/>
        </w:rPr>
        <w:t xml:space="preserve"> Circuit held (3 to 0; unpublished opinion): “</w:t>
      </w:r>
      <w:r w:rsidRPr="0036327D">
        <w:rPr>
          <w:rFonts w:ascii="Times New Roman" w:eastAsia="Times New Roman" w:hAnsi="Times New Roman"/>
          <w:sz w:val="24"/>
          <w:szCs w:val="24"/>
        </w:rPr>
        <w:t xml:space="preserve">we agree with the district court: the Fireman’s Rule applies to products liability claims, and </w:t>
      </w:r>
      <w:proofErr w:type="spellStart"/>
      <w:r w:rsidRPr="0036327D">
        <w:rPr>
          <w:rFonts w:ascii="Times New Roman" w:eastAsia="Times New Roman" w:hAnsi="Times New Roman"/>
          <w:sz w:val="24"/>
          <w:szCs w:val="24"/>
        </w:rPr>
        <w:t>Norcold’s</w:t>
      </w:r>
      <w:proofErr w:type="spellEnd"/>
      <w:r w:rsidRPr="0036327D">
        <w:rPr>
          <w:rFonts w:ascii="Times New Roman" w:eastAsia="Times New Roman" w:hAnsi="Times New Roman"/>
          <w:sz w:val="24"/>
          <w:szCs w:val="24"/>
        </w:rPr>
        <w:t xml:space="preserve"> conduct was not willful or wanton.” </w:t>
      </w:r>
      <w:hyperlink r:id="rId591" w:history="1">
        <w:r w:rsidRPr="0036327D">
          <w:rPr>
            <w:rStyle w:val="Hyperlink"/>
            <w:rFonts w:ascii="Times New Roman" w:hAnsi="Times New Roman"/>
            <w:sz w:val="24"/>
            <w:szCs w:val="24"/>
          </w:rPr>
          <w:t>http://www.ca4.uscourts.gov/Opinions/171419.U.pdf</w:t>
        </w:r>
      </w:hyperlink>
      <w:r w:rsidRPr="0036327D">
        <w:rPr>
          <w:rFonts w:ascii="Times New Roman" w:eastAsia="Times New Roman" w:hAnsi="Times New Roman"/>
          <w:sz w:val="24"/>
          <w:szCs w:val="24"/>
        </w:rPr>
        <w:t xml:space="preserve"> </w:t>
      </w:r>
    </w:p>
    <w:p w14:paraId="79CC56D5"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Police officers and firefighters in Virginia can only seek workers comp (no damages for pain &amp; injury, loss of consortium, etc.) unless proof of willful or wanton misconduct, or gross negligence, by the product manufacturer.  </w:t>
      </w:r>
    </w:p>
    <w:p w14:paraId="2F2C302D" w14:textId="77777777"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See also March 12, 2015 decision of 10</w:t>
      </w:r>
      <w:r w:rsidRPr="0036327D">
        <w:rPr>
          <w:rFonts w:ascii="Times New Roman" w:eastAsia="Times New Roman" w:hAnsi="Times New Roman"/>
          <w:sz w:val="24"/>
          <w:szCs w:val="24"/>
          <w:vertAlign w:val="superscript"/>
        </w:rPr>
        <w:t>th</w:t>
      </w:r>
      <w:r w:rsidRPr="0036327D">
        <w:rPr>
          <w:rFonts w:ascii="Times New Roman" w:eastAsia="Times New Roman" w:hAnsi="Times New Roman"/>
          <w:sz w:val="24"/>
          <w:szCs w:val="24"/>
        </w:rPr>
        <w:t xml:space="preserve"> Circuit in Chester W. Peake v. Central Tank Coatings, where several Kansas firefighters were injured by exploding box of paint thinner: “The undisputed material facts are that several hours after Central Tank completed its work on the roof [of the city’s water tower] and left the site, the wooden members of the tower caught fire, fell to the ground, caught the surrounding grass on fire and eventually spread to the tires of the trailer.  This domino chain of events was unforeseeable. *** A large, unmarked metal container box was mounted to the wood deck of the trailer.  It was used by the crew to store various tools, oxygen/acetylene tanks, and other materials, including paint thinner.”  The Court held that the firefighters could not sue the company for damages, since here is “no evidence that Central Tank knew that the storage of paint thinner was dangerous.” </w:t>
      </w:r>
      <w:hyperlink r:id="rId592" w:history="1">
        <w:r w:rsidRPr="0036327D">
          <w:rPr>
            <w:rStyle w:val="Hyperlink"/>
            <w:rFonts w:ascii="Times New Roman" w:hAnsi="Times New Roman"/>
            <w:sz w:val="24"/>
            <w:szCs w:val="24"/>
          </w:rPr>
          <w:t>https://www.ca10.uscourts.gov/opinions/14/14-3157.pdf</w:t>
        </w:r>
      </w:hyperlink>
      <w:r w:rsidRPr="0036327D">
        <w:rPr>
          <w:rFonts w:ascii="Times New Roman" w:eastAsia="Times New Roman" w:hAnsi="Times New Roman"/>
          <w:sz w:val="24"/>
          <w:szCs w:val="24"/>
        </w:rPr>
        <w:t xml:space="preserve"> </w:t>
      </w:r>
    </w:p>
    <w:p w14:paraId="4D40FF7F" w14:textId="33C5CFBF"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 xml:space="preserve">See also this article about the Kansas case: “Notably, a sizable minority of states (18) do not currently apply the Fireman’s Rule… and have either explicitly declined to adopt, rejected, limited, or failed to address it…. These states are Alabama, Colorado, Florida, Maine, Massachusetts, Michigan, Minnesota, Montana, New Jersey, New York, North Carolina, North Dakota, Oregon, Pennsylvania, South Carolina, Vermont, West Virginia, and Wyoming.” </w:t>
      </w:r>
      <w:hyperlink r:id="rId593" w:history="1">
        <w:r w:rsidRPr="0036327D">
          <w:rPr>
            <w:rStyle w:val="Hyperlink"/>
            <w:rFonts w:ascii="Times New Roman" w:hAnsi="Times New Roman"/>
            <w:sz w:val="24"/>
            <w:szCs w:val="24"/>
          </w:rPr>
          <w:t>file:///C:/Users/lawre/AppData/Local/Temp/0182139.PDF</w:t>
        </w:r>
      </w:hyperlink>
      <w:r w:rsidRPr="0036327D">
        <w:rPr>
          <w:rFonts w:ascii="Times New Roman" w:eastAsia="Times New Roman" w:hAnsi="Times New Roman"/>
          <w:sz w:val="24"/>
          <w:szCs w:val="24"/>
        </w:rPr>
        <w:t xml:space="preserve"> </w:t>
      </w:r>
    </w:p>
    <w:p w14:paraId="51967A1C" w14:textId="77777777" w:rsidR="00F326E5" w:rsidRPr="0036327D" w:rsidRDefault="00F326E5" w:rsidP="00F326E5">
      <w:pPr>
        <w:rPr>
          <w:rFonts w:ascii="Times New Roman" w:hAnsi="Times New Roman"/>
          <w:sz w:val="24"/>
          <w:szCs w:val="24"/>
        </w:rPr>
      </w:pPr>
    </w:p>
    <w:bookmarkEnd w:id="123"/>
    <w:p w14:paraId="355BE2B8" w14:textId="4EC07D12" w:rsidR="00791CA3" w:rsidRP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4</w:t>
      </w:r>
    </w:p>
    <w:p w14:paraId="14D76F3F" w14:textId="77777777" w:rsidR="00F326E5" w:rsidRPr="001521C4" w:rsidRDefault="00F326E5" w:rsidP="00F326E5">
      <w:pPr>
        <w:rPr>
          <w:b/>
          <w:sz w:val="24"/>
          <w:szCs w:val="24"/>
        </w:rPr>
      </w:pPr>
    </w:p>
    <w:p w14:paraId="27D38D05" w14:textId="04513E9C" w:rsidR="00F326E5" w:rsidRPr="00BA3B84" w:rsidRDefault="00F326E5" w:rsidP="00F326E5">
      <w:pPr>
        <w:pStyle w:val="NoSpacing"/>
        <w:rPr>
          <w:rFonts w:ascii="Arial Black" w:hAnsi="Arial Black"/>
          <w:sz w:val="24"/>
          <w:szCs w:val="24"/>
        </w:rPr>
      </w:pPr>
      <w:bookmarkStart w:id="124" w:name="_Hlk7341084"/>
      <w:r w:rsidRPr="0010462B">
        <w:rPr>
          <w:rFonts w:ascii="Arial Black" w:hAnsi="Arial Black"/>
          <w:sz w:val="28"/>
          <w:szCs w:val="28"/>
        </w:rPr>
        <w:t>NY:  FDNY RECRUIT DIED DURING PHYSICAL EXERCISES –</w:t>
      </w:r>
      <w:r>
        <w:rPr>
          <w:rFonts w:ascii="Arial Black" w:hAnsi="Arial Black"/>
          <w:sz w:val="28"/>
          <w:szCs w:val="28"/>
        </w:rPr>
        <w:t xml:space="preserve"> LAWSUIT DISMISSED - </w:t>
      </w:r>
      <w:r w:rsidRPr="0010462B">
        <w:rPr>
          <w:rFonts w:ascii="Arial Black" w:hAnsi="Arial Black"/>
          <w:sz w:val="28"/>
          <w:szCs w:val="28"/>
        </w:rPr>
        <w:t>HEART CONDITION</w:t>
      </w:r>
      <w:r w:rsidRPr="00CB3546">
        <w:t xml:space="preserve"> </w:t>
      </w:r>
    </w:p>
    <w:p w14:paraId="79D5B714" w14:textId="77777777" w:rsidR="00F326E5" w:rsidRPr="0036327D" w:rsidRDefault="00F326E5" w:rsidP="00F326E5">
      <w:pPr>
        <w:pStyle w:val="NormalWeb"/>
      </w:pPr>
      <w:r w:rsidRPr="0036327D">
        <w:t xml:space="preserve">On April 10, 2018, in </w:t>
      </w:r>
      <w:r w:rsidRPr="0036327D">
        <w:rPr>
          <w:u w:val="single"/>
        </w:rPr>
        <w:t>Sherita Sears v. The City of New York</w:t>
      </w:r>
      <w:r w:rsidRPr="0036327D">
        <w:t>, the Appellate Division of the Supreme Court of State of New York (5 to 0) denied the death claim, holding: “Plaintiff is not entitled to recover under GML §</w:t>
      </w:r>
      <w:r w:rsidRPr="0036327D">
        <w:t> </w:t>
      </w:r>
      <w:r w:rsidRPr="0036327D">
        <w:t>205–a, as the injuries decedent sustained were not the type of occupational injury that Labor Law §</w:t>
      </w:r>
      <w:r w:rsidRPr="0036327D">
        <w:t> </w:t>
      </w:r>
      <w:r w:rsidRPr="0036327D">
        <w:t xml:space="preserve">27–a was designed to protect, but rather, arose from risks unique to firefighting work (Williams v. City of New York, 2 N.Y.3d 352, 368, 779 N.Y.S.2d 449, 811 N.E.2d 1103 [2004] ).”  </w:t>
      </w:r>
      <w:hyperlink r:id="rId594" w:history="1">
        <w:r w:rsidRPr="0036327D">
          <w:rPr>
            <w:rStyle w:val="Hyperlink"/>
          </w:rPr>
          <w:t>https://caselaw.findlaw.com/ny-supreme-court-appellate-division/1893546.html</w:t>
        </w:r>
      </w:hyperlink>
      <w:r w:rsidRPr="0036327D">
        <w:t xml:space="preserve"> </w:t>
      </w:r>
    </w:p>
    <w:p w14:paraId="16DD784C" w14:textId="77777777" w:rsidR="00F326E5" w:rsidRPr="0036327D" w:rsidRDefault="00F326E5" w:rsidP="00F326E5">
      <w:pPr>
        <w:pStyle w:val="NormalWeb"/>
        <w:rPr>
          <w:b/>
          <w:bCs/>
          <w:kern w:val="36"/>
        </w:rPr>
      </w:pPr>
      <w:r w:rsidRPr="0036327D">
        <w:rPr>
          <w:b/>
        </w:rPr>
        <w:t xml:space="preserve">Legal Lessons Learned: The New York statute requires proof of “neglect, omission, willful or culpable negligence.” </w:t>
      </w:r>
    </w:p>
    <w:p w14:paraId="495CC32A" w14:textId="77777777" w:rsidR="00F326E5" w:rsidRPr="0036327D" w:rsidRDefault="00F326E5" w:rsidP="00F326E5">
      <w:pPr>
        <w:spacing w:before="100" w:beforeAutospacing="1" w:after="100" w:afterAutospacing="1"/>
        <w:ind w:firstLine="720"/>
        <w:outlineLvl w:val="0"/>
        <w:rPr>
          <w:rFonts w:ascii="Times New Roman" w:eastAsia="Times New Roman" w:hAnsi="Times New Roman"/>
          <w:bCs/>
          <w:kern w:val="36"/>
          <w:sz w:val="24"/>
          <w:szCs w:val="24"/>
        </w:rPr>
      </w:pPr>
      <w:hyperlink r:id="rId595" w:history="1">
        <w:r w:rsidRPr="0036327D">
          <w:rPr>
            <w:rStyle w:val="Hyperlink"/>
            <w:rFonts w:ascii="Times New Roman" w:hAnsi="Times New Roman"/>
            <w:sz w:val="24"/>
            <w:szCs w:val="24"/>
          </w:rPr>
          <w:t>https://codes.findlaw.com/ny/general-municipal-law/gmu-sect-205-a.html</w:t>
        </w:r>
      </w:hyperlink>
      <w:r w:rsidRPr="0036327D">
        <w:rPr>
          <w:rFonts w:ascii="Times New Roman" w:eastAsia="Times New Roman" w:hAnsi="Times New Roman"/>
          <w:bCs/>
          <w:kern w:val="36"/>
          <w:sz w:val="24"/>
          <w:szCs w:val="24"/>
        </w:rPr>
        <w:t xml:space="preserve"> </w:t>
      </w:r>
    </w:p>
    <w:p w14:paraId="06B80E02" w14:textId="77777777" w:rsidR="00F326E5" w:rsidRPr="0036327D" w:rsidRDefault="00F326E5" w:rsidP="00F326E5">
      <w:pPr>
        <w:spacing w:before="100" w:beforeAutospacing="1" w:after="100" w:afterAutospacing="1"/>
        <w:ind w:left="720"/>
        <w:outlineLvl w:val="0"/>
        <w:rPr>
          <w:rFonts w:ascii="Times New Roman" w:eastAsia="Times New Roman" w:hAnsi="Times New Roman"/>
          <w:bCs/>
          <w:kern w:val="36"/>
          <w:sz w:val="24"/>
          <w:szCs w:val="24"/>
        </w:rPr>
      </w:pPr>
      <w:r w:rsidRPr="0036327D">
        <w:rPr>
          <w:rFonts w:ascii="Times New Roman" w:eastAsia="Times New Roman" w:hAnsi="Times New Roman"/>
          <w:bCs/>
          <w:kern w:val="36"/>
          <w:sz w:val="24"/>
          <w:szCs w:val="24"/>
        </w:rPr>
        <w:t xml:space="preserve">New York Consolidated Laws, General Municipal Law - GMU § 205-a. Additional right of action to certain injured or representatives of certain deceased firefighters </w:t>
      </w:r>
    </w:p>
    <w:p w14:paraId="5DFE1DD8" w14:textId="77777777" w:rsidR="00F326E5" w:rsidRPr="0036327D" w:rsidRDefault="00F326E5" w:rsidP="00F326E5">
      <w:pPr>
        <w:spacing w:before="100" w:beforeAutospacing="1" w:after="100" w:afterAutospacing="1"/>
        <w:ind w:left="720"/>
        <w:outlineLvl w:val="0"/>
        <w:rPr>
          <w:rFonts w:ascii="Times New Roman" w:hAnsi="Times New Roman"/>
          <w:sz w:val="24"/>
          <w:szCs w:val="24"/>
        </w:rPr>
      </w:pPr>
      <w:r w:rsidRPr="0036327D">
        <w:rPr>
          <w:rFonts w:ascii="Times New Roman" w:hAnsi="Times New Roman"/>
          <w:sz w:val="24"/>
          <w:szCs w:val="24"/>
        </w:rPr>
        <w:t>“In addition to any other right of action or recovery under any other provision of law, in the event any accident, causing injury, death or a disease which results in death, occurs directly or indirectly as a result of any neglect, omission, willful or culpable negligence of any person or persons in failing to comply with the requirements of any of the statutes, ordinances, rules, orders and requirements of the federal, state, county, village, town or city governments or of any and all their departments, divisions and bureaus, the person or persons guilty of said neglect, omission, willful or culpable negligence at the time of such injury or death shall be liable to pay any officer, member, agent or employee of any fire department injured, or whose life may be lost while in the discharge or performance at any time or place of any duty imposed by the fire commissioner, fire chief or other superior officer of the fire department, or to pay to the wife and children, or to pay to the parents, or to pay to the brothers and sisters, being the surviving heirs-at-law of any deceased person thus having lost his life, a sum of money, in case of injury to person, not less than ten thousand dollars, and in case of death not less than forty thousand dollars, such liability to be determined and such sums recovered in an action to be instituted by any person injured or the family or relatives of any person killed as aforesaid.”</w:t>
      </w:r>
    </w:p>
    <w:p w14:paraId="78CBCD5E" w14:textId="77777777" w:rsidR="00F326E5" w:rsidRPr="0036327D" w:rsidRDefault="00F326E5" w:rsidP="00F326E5">
      <w:pPr>
        <w:pStyle w:val="NormalWeb"/>
        <w:rPr>
          <w:b/>
        </w:rPr>
      </w:pPr>
    </w:p>
    <w:bookmarkEnd w:id="124"/>
    <w:p w14:paraId="33BFB6A0" w14:textId="77777777" w:rsidR="0036327D" w:rsidRDefault="0036327D" w:rsidP="00791CA3">
      <w:pPr>
        <w:pStyle w:val="NoSpacing"/>
        <w:rPr>
          <w:rFonts w:ascii="Arial Black" w:hAnsi="Arial Black"/>
          <w:sz w:val="24"/>
          <w:szCs w:val="24"/>
        </w:rPr>
      </w:pPr>
    </w:p>
    <w:p w14:paraId="60C6050F" w14:textId="77777777" w:rsidR="0036327D" w:rsidRDefault="0036327D" w:rsidP="00791CA3">
      <w:pPr>
        <w:pStyle w:val="NoSpacing"/>
        <w:rPr>
          <w:rFonts w:ascii="Arial Black" w:hAnsi="Arial Black"/>
          <w:sz w:val="24"/>
          <w:szCs w:val="24"/>
        </w:rPr>
      </w:pPr>
    </w:p>
    <w:p w14:paraId="5F235C50" w14:textId="5CCDDDE2" w:rsidR="00791CA3" w:rsidRP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3</w:t>
      </w:r>
    </w:p>
    <w:p w14:paraId="3D92908D" w14:textId="77777777" w:rsidR="00F326E5" w:rsidRDefault="00F326E5" w:rsidP="00F326E5">
      <w:pPr>
        <w:rPr>
          <w:rFonts w:ascii="AATimes New Roman" w:hAnsi="AATimes New Roman"/>
          <w:color w:val="4A4A4A"/>
          <w:sz w:val="24"/>
          <w:szCs w:val="24"/>
          <w:lang w:val="en"/>
        </w:rPr>
      </w:pPr>
    </w:p>
    <w:p w14:paraId="3AC03F60" w14:textId="0C7D3125" w:rsidR="00F326E5" w:rsidRPr="0026507F" w:rsidRDefault="00F326E5" w:rsidP="00F326E5">
      <w:pPr>
        <w:rPr>
          <w:rFonts w:ascii="Times New Roman" w:hAnsi="Times New Roman"/>
          <w:b/>
          <w:color w:val="4A4A4A"/>
          <w:sz w:val="24"/>
          <w:szCs w:val="24"/>
          <w:lang w:val="en"/>
        </w:rPr>
      </w:pPr>
      <w:bookmarkStart w:id="125" w:name="_Hlk7341127"/>
      <w:r w:rsidRPr="00B87096">
        <w:rPr>
          <w:rFonts w:ascii="Arial Black" w:hAnsi="Arial Black"/>
          <w:color w:val="4A4A4A"/>
          <w:sz w:val="28"/>
          <w:szCs w:val="28"/>
          <w:lang w:val="en"/>
        </w:rPr>
        <w:t>U.S. SUPREME COURT</w:t>
      </w:r>
      <w:r>
        <w:rPr>
          <w:rFonts w:ascii="Arial Black" w:hAnsi="Arial Black"/>
          <w:color w:val="4A4A4A"/>
          <w:sz w:val="28"/>
          <w:szCs w:val="28"/>
          <w:lang w:val="en"/>
        </w:rPr>
        <w:t xml:space="preserve">: LANDMARK DECISION ON </w:t>
      </w:r>
      <w:r w:rsidRPr="00B87096">
        <w:rPr>
          <w:rFonts w:ascii="Arial Black" w:hAnsi="Arial Black"/>
          <w:color w:val="4A4A4A"/>
          <w:sz w:val="28"/>
          <w:szCs w:val="28"/>
          <w:lang w:val="en"/>
        </w:rPr>
        <w:t>QUALIFIED IMMUNITY</w:t>
      </w:r>
      <w:r>
        <w:rPr>
          <w:rFonts w:ascii="Arial Black" w:hAnsi="Arial Black"/>
          <w:color w:val="4A4A4A"/>
          <w:sz w:val="28"/>
          <w:szCs w:val="28"/>
          <w:lang w:val="en"/>
        </w:rPr>
        <w:t xml:space="preserve"> – ONLY IF CLEAR CONSTIT</w:t>
      </w:r>
      <w:r w:rsidR="0036327D">
        <w:rPr>
          <w:rFonts w:ascii="Arial Black" w:hAnsi="Arial Black"/>
          <w:color w:val="4A4A4A"/>
          <w:sz w:val="28"/>
          <w:szCs w:val="28"/>
          <w:lang w:val="en"/>
        </w:rPr>
        <w:t xml:space="preserve">UTIONAL VIOLATION </w:t>
      </w:r>
      <w:r>
        <w:rPr>
          <w:rFonts w:ascii="Times New Roman" w:hAnsi="Times New Roman"/>
          <w:color w:val="4A4A4A"/>
          <w:sz w:val="24"/>
          <w:szCs w:val="24"/>
          <w:lang w:val="en"/>
        </w:rPr>
        <w:t>[also filed, Chap. 1]</w:t>
      </w:r>
    </w:p>
    <w:p w14:paraId="7766F5F8" w14:textId="77777777" w:rsidR="00965872" w:rsidRDefault="00F326E5" w:rsidP="00F326E5">
      <w:pPr>
        <w:rPr>
          <w:rFonts w:ascii="Times New Roman" w:hAnsi="Times New Roman"/>
          <w:color w:val="4A4A4A"/>
          <w:sz w:val="24"/>
          <w:szCs w:val="24"/>
          <w:lang w:val="en"/>
        </w:rPr>
      </w:pPr>
      <w:bookmarkStart w:id="126" w:name="_Hlk1065203"/>
      <w:r w:rsidRPr="0036327D">
        <w:rPr>
          <w:rFonts w:ascii="Times New Roman" w:hAnsi="Times New Roman"/>
          <w:color w:val="4A4A4A"/>
          <w:sz w:val="24"/>
          <w:szCs w:val="24"/>
          <w:lang w:val="en"/>
        </w:rPr>
        <w:lastRenderedPageBreak/>
        <w:t xml:space="preserve">On April 2, 2018, in </w:t>
      </w:r>
      <w:r w:rsidRPr="0036327D">
        <w:rPr>
          <w:rFonts w:ascii="Times New Roman" w:hAnsi="Times New Roman"/>
          <w:color w:val="4A4A4A"/>
          <w:sz w:val="24"/>
          <w:szCs w:val="24"/>
          <w:u w:val="single"/>
          <w:lang w:val="en"/>
        </w:rPr>
        <w:t>Andrew Kisela v. Amy Hughes</w:t>
      </w:r>
      <w:r w:rsidRPr="0036327D">
        <w:rPr>
          <w:rFonts w:ascii="Times New Roman" w:hAnsi="Times New Roman"/>
          <w:color w:val="4A4A4A"/>
          <w:sz w:val="24"/>
          <w:szCs w:val="24"/>
          <w:lang w:val="en"/>
        </w:rPr>
        <w:t>, the U.S. Supreme Court reversed the 9</w:t>
      </w:r>
      <w:r w:rsidRPr="0036327D">
        <w:rPr>
          <w:rFonts w:ascii="Times New Roman" w:hAnsi="Times New Roman"/>
          <w:color w:val="4A4A4A"/>
          <w:sz w:val="24"/>
          <w:szCs w:val="24"/>
          <w:vertAlign w:val="superscript"/>
          <w:lang w:val="en"/>
        </w:rPr>
        <w:t>th</w:t>
      </w:r>
      <w:r w:rsidRPr="0036327D">
        <w:rPr>
          <w:rFonts w:ascii="Times New Roman" w:hAnsi="Times New Roman"/>
          <w:color w:val="4A4A4A"/>
          <w:sz w:val="24"/>
          <w:szCs w:val="24"/>
          <w:lang w:val="en"/>
        </w:rPr>
        <w:t xml:space="preserve"> Circuit and held (7 to 2) the police officer who shot Amy Hughes should have been dismissed from the lawsuit: </w:t>
      </w:r>
    </w:p>
    <w:p w14:paraId="7C4C0AA8" w14:textId="1859A998" w:rsidR="00F326E5" w:rsidRPr="0036327D" w:rsidRDefault="00F326E5" w:rsidP="00965872">
      <w:pPr>
        <w:ind w:left="720"/>
        <w:rPr>
          <w:rFonts w:ascii="Times New Roman" w:hAnsi="Times New Roman"/>
          <w:color w:val="4A4A4A"/>
          <w:sz w:val="24"/>
          <w:szCs w:val="24"/>
          <w:lang w:val="en"/>
        </w:rPr>
      </w:pPr>
      <w:r w:rsidRPr="0036327D">
        <w:rPr>
          <w:rFonts w:ascii="Times New Roman" w:hAnsi="Times New Roman"/>
          <w:color w:val="4A4A4A"/>
          <w:sz w:val="24"/>
          <w:szCs w:val="24"/>
          <w:lang w:val="en"/>
        </w:rPr>
        <w:t>“Here, the Court need not, and does not, decide whether Kisela violated the Fourth Amendment when he used deadly force against Hughes.  For even assuming a Fourth Amendment violation occurred—a proposition that is not at all evident—on these facts Kisela was at least entitled to qualified immunity. ‘Qualified immunity attaches when an official’s conduct does not violate clearly established statutory or constitutional rights of which a reasonable person would have known.”</w:t>
      </w:r>
      <w:r w:rsidRPr="0036327D">
        <w:rPr>
          <w:rFonts w:ascii="Times New Roman" w:hAnsi="Times New Roman"/>
          <w:sz w:val="24"/>
          <w:szCs w:val="24"/>
        </w:rPr>
        <w:t xml:space="preserve"> </w:t>
      </w:r>
      <w:hyperlink r:id="rId596" w:history="1">
        <w:r w:rsidRPr="0036327D">
          <w:rPr>
            <w:rStyle w:val="Hyperlink"/>
            <w:rFonts w:ascii="Times New Roman" w:hAnsi="Times New Roman"/>
            <w:sz w:val="24"/>
            <w:szCs w:val="24"/>
            <w:lang w:val="en"/>
          </w:rPr>
          <w:t>file:///C:/Users/lawre/AppData/Local/Microsoft/Windows/INetCache/IE/CTCRXJ99/17-467_bqm1.pdf</w:t>
        </w:r>
      </w:hyperlink>
      <w:bookmarkEnd w:id="126"/>
      <w:r w:rsidRPr="0036327D">
        <w:rPr>
          <w:rFonts w:ascii="Times New Roman" w:hAnsi="Times New Roman"/>
          <w:color w:val="4A4A4A"/>
          <w:sz w:val="24"/>
          <w:szCs w:val="24"/>
          <w:lang w:val="en"/>
        </w:rPr>
        <w:t xml:space="preserve"> </w:t>
      </w:r>
    </w:p>
    <w:p w14:paraId="0C41C57F" w14:textId="77777777" w:rsidR="00F326E5" w:rsidRPr="0036327D" w:rsidRDefault="00F326E5" w:rsidP="00F326E5">
      <w:pPr>
        <w:rPr>
          <w:rFonts w:ascii="Times New Roman" w:hAnsi="Times New Roman"/>
          <w:b/>
          <w:color w:val="4A4A4A"/>
          <w:sz w:val="24"/>
          <w:szCs w:val="24"/>
          <w:lang w:val="en"/>
        </w:rPr>
      </w:pPr>
      <w:r w:rsidRPr="0036327D">
        <w:rPr>
          <w:rFonts w:ascii="Times New Roman" w:hAnsi="Times New Roman"/>
          <w:b/>
          <w:color w:val="4A4A4A"/>
          <w:sz w:val="24"/>
          <w:szCs w:val="24"/>
          <w:lang w:val="en"/>
        </w:rPr>
        <w:t>LEGAL LESSONS LEARNED:  Very helpful decision, not only for police officers, but for all emergency responders who may be sued arising out of split-second decisions.  The 7-</w:t>
      </w:r>
      <w:bookmarkStart w:id="127" w:name="_Hlk1065258"/>
      <w:r w:rsidRPr="0036327D">
        <w:rPr>
          <w:rFonts w:ascii="Times New Roman" w:hAnsi="Times New Roman"/>
          <w:b/>
          <w:color w:val="4A4A4A"/>
          <w:sz w:val="24"/>
          <w:szCs w:val="24"/>
          <w:lang w:val="en"/>
        </w:rPr>
        <w:t xml:space="preserve">Justices sent a message that qualified immunity protects police officers from personal liability unless conduct clearly unjustified.  </w:t>
      </w:r>
    </w:p>
    <w:p w14:paraId="5242535B" w14:textId="77777777" w:rsidR="00F326E5" w:rsidRPr="0036327D" w:rsidRDefault="00F326E5" w:rsidP="00F326E5">
      <w:pPr>
        <w:ind w:left="720"/>
        <w:rPr>
          <w:rFonts w:ascii="Times New Roman" w:hAnsi="Times New Roman"/>
          <w:b/>
          <w:color w:val="4A4A4A"/>
          <w:sz w:val="24"/>
          <w:szCs w:val="24"/>
          <w:lang w:val="en"/>
        </w:rPr>
      </w:pPr>
      <w:r w:rsidRPr="0036327D">
        <w:rPr>
          <w:rFonts w:ascii="Times New Roman" w:hAnsi="Times New Roman"/>
          <w:color w:val="4A4A4A"/>
          <w:sz w:val="24"/>
          <w:szCs w:val="24"/>
          <w:lang w:val="en"/>
        </w:rPr>
        <w:t>See New York Times article on this decision: “</w:t>
      </w:r>
      <w:r w:rsidRPr="0036327D">
        <w:rPr>
          <w:rFonts w:ascii="Times New Roman" w:hAnsi="Times New Roman"/>
          <w:sz w:val="24"/>
          <w:szCs w:val="24"/>
          <w:lang w:val="en"/>
        </w:rPr>
        <w:t>The court’s decision was unsigned and issued without full briefing and oral argument, an indication that the majority found the case to be easy.”</w:t>
      </w:r>
      <w:r w:rsidRPr="0036327D">
        <w:rPr>
          <w:rFonts w:ascii="Times New Roman" w:hAnsi="Times New Roman"/>
          <w:color w:val="4A4A4A"/>
          <w:sz w:val="24"/>
          <w:szCs w:val="24"/>
          <w:lang w:val="en"/>
        </w:rPr>
        <w:t xml:space="preserve"> </w:t>
      </w:r>
      <w:hyperlink r:id="rId597" w:history="1">
        <w:r w:rsidRPr="0036327D">
          <w:rPr>
            <w:rStyle w:val="Hyperlink"/>
            <w:rFonts w:ascii="Times New Roman" w:hAnsi="Times New Roman"/>
            <w:sz w:val="24"/>
            <w:szCs w:val="24"/>
            <w:lang w:val="en"/>
          </w:rPr>
          <w:t>https://www.nytimes.com/2018/04/02/us/politics/supreme-court-rules-for-police-officer-in-excessive-force-case.html</w:t>
        </w:r>
      </w:hyperlink>
      <w:r w:rsidRPr="0036327D">
        <w:rPr>
          <w:rFonts w:ascii="Times New Roman" w:hAnsi="Times New Roman"/>
          <w:b/>
          <w:color w:val="4A4A4A"/>
          <w:sz w:val="24"/>
          <w:szCs w:val="24"/>
          <w:lang w:val="en"/>
        </w:rPr>
        <w:t xml:space="preserve"> </w:t>
      </w:r>
      <w:bookmarkEnd w:id="127"/>
    </w:p>
    <w:p w14:paraId="5584A911" w14:textId="77777777" w:rsidR="00F326E5" w:rsidRPr="0036327D" w:rsidRDefault="00F326E5" w:rsidP="00F326E5">
      <w:pPr>
        <w:ind w:left="720"/>
        <w:rPr>
          <w:rFonts w:ascii="Times New Roman" w:hAnsi="Times New Roman"/>
          <w:b/>
          <w:color w:val="4A4A4A"/>
          <w:sz w:val="24"/>
          <w:szCs w:val="24"/>
          <w:lang w:val="en"/>
        </w:rPr>
      </w:pPr>
    </w:p>
    <w:bookmarkEnd w:id="125"/>
    <w:p w14:paraId="793CC0DF" w14:textId="25783A7F" w:rsidR="00791CA3" w:rsidRP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2</w:t>
      </w:r>
    </w:p>
    <w:p w14:paraId="5D56D74D" w14:textId="77777777" w:rsidR="00F326E5" w:rsidRDefault="00F326E5" w:rsidP="00F326E5">
      <w:pPr>
        <w:rPr>
          <w:sz w:val="24"/>
          <w:szCs w:val="24"/>
        </w:rPr>
      </w:pPr>
    </w:p>
    <w:p w14:paraId="678E94EA" w14:textId="738A2BE7" w:rsidR="00F326E5" w:rsidRPr="004445C3" w:rsidRDefault="00F326E5" w:rsidP="00F326E5">
      <w:pPr>
        <w:rPr>
          <w:rFonts w:ascii="[" w:hAnsi="["/>
          <w:color w:val="4A4A4A"/>
          <w:sz w:val="24"/>
          <w:szCs w:val="24"/>
          <w:lang w:val="en"/>
        </w:rPr>
      </w:pPr>
      <w:bookmarkStart w:id="128" w:name="_Hlk7341158"/>
      <w:r>
        <w:rPr>
          <w:rFonts w:ascii="Arial Black" w:hAnsi="Arial Black" w:cs="Arial"/>
          <w:color w:val="4A4A4A"/>
          <w:sz w:val="28"/>
          <w:szCs w:val="28"/>
          <w:lang w:val="en"/>
        </w:rPr>
        <w:t xml:space="preserve">TX: </w:t>
      </w:r>
      <w:r w:rsidRPr="00992190">
        <w:rPr>
          <w:rFonts w:ascii="Arial Black" w:hAnsi="Arial Black" w:cs="Arial"/>
          <w:color w:val="4A4A4A"/>
          <w:sz w:val="28"/>
          <w:szCs w:val="28"/>
          <w:lang w:val="en"/>
        </w:rPr>
        <w:t xml:space="preserve">MURDER TRIAL </w:t>
      </w:r>
      <w:r>
        <w:rPr>
          <w:rFonts w:ascii="Arial Black" w:hAnsi="Arial Black" w:cs="Arial"/>
          <w:color w:val="4A4A4A"/>
          <w:sz w:val="28"/>
          <w:szCs w:val="28"/>
          <w:lang w:val="en"/>
        </w:rPr>
        <w:t xml:space="preserve">FOR KILLING A POLICE OFFICER – PD MAY BE AT TRIAL IN UNIFORM </w:t>
      </w:r>
      <w:r>
        <w:rPr>
          <w:rFonts w:ascii="[" w:hAnsi="["/>
          <w:color w:val="4A4A4A"/>
          <w:sz w:val="24"/>
          <w:szCs w:val="24"/>
          <w:lang w:val="en"/>
        </w:rPr>
        <w:t>[also filed, Chap. 1]</w:t>
      </w:r>
    </w:p>
    <w:p w14:paraId="63F3BD15" w14:textId="33E5A73A" w:rsidR="00F326E5" w:rsidRPr="0036327D" w:rsidRDefault="00F326E5" w:rsidP="00F326E5">
      <w:pPr>
        <w:rPr>
          <w:rStyle w:val="Hyperlink"/>
          <w:rFonts w:ascii="Times New Roman" w:hAnsi="Times New Roman"/>
          <w:sz w:val="24"/>
          <w:szCs w:val="24"/>
          <w:lang w:val="en"/>
        </w:rPr>
      </w:pPr>
      <w:r w:rsidRPr="0036327D">
        <w:rPr>
          <w:rFonts w:ascii="Times New Roman" w:hAnsi="Times New Roman"/>
          <w:color w:val="4A4A4A"/>
          <w:sz w:val="24"/>
          <w:szCs w:val="24"/>
          <w:lang w:val="en"/>
        </w:rPr>
        <w:t xml:space="preserve">On March 27, 2018, in </w:t>
      </w:r>
      <w:r w:rsidRPr="0036327D">
        <w:rPr>
          <w:rFonts w:ascii="Times New Roman" w:hAnsi="Times New Roman"/>
          <w:color w:val="4A4A4A"/>
          <w:sz w:val="24"/>
          <w:szCs w:val="24"/>
          <w:u w:val="single"/>
          <w:lang w:val="en"/>
        </w:rPr>
        <w:t xml:space="preserve">Shelton </w:t>
      </w:r>
      <w:proofErr w:type="spellStart"/>
      <w:r w:rsidRPr="0036327D">
        <w:rPr>
          <w:rFonts w:ascii="Times New Roman" w:hAnsi="Times New Roman"/>
          <w:color w:val="4A4A4A"/>
          <w:sz w:val="24"/>
          <w:szCs w:val="24"/>
          <w:u w:val="single"/>
          <w:lang w:val="en"/>
        </w:rPr>
        <w:t>Denoria</w:t>
      </w:r>
      <w:proofErr w:type="spellEnd"/>
      <w:r w:rsidRPr="0036327D">
        <w:rPr>
          <w:rFonts w:ascii="Times New Roman" w:hAnsi="Times New Roman"/>
          <w:color w:val="4A4A4A"/>
          <w:sz w:val="24"/>
          <w:szCs w:val="24"/>
          <w:u w:val="single"/>
          <w:lang w:val="en"/>
        </w:rPr>
        <w:t xml:space="preserve"> Jones v. Lorie Davis, Director, Texas Department of Criminal Justice</w:t>
      </w:r>
      <w:r w:rsidRPr="0036327D">
        <w:rPr>
          <w:rFonts w:ascii="Times New Roman" w:hAnsi="Times New Roman"/>
          <w:color w:val="4A4A4A"/>
          <w:sz w:val="24"/>
          <w:szCs w:val="24"/>
          <w:lang w:val="en"/>
        </w:rPr>
        <w:t>, the U.S. Court of Appeals for 5</w:t>
      </w:r>
      <w:r w:rsidRPr="0036327D">
        <w:rPr>
          <w:rFonts w:ascii="Times New Roman" w:hAnsi="Times New Roman"/>
          <w:color w:val="4A4A4A"/>
          <w:sz w:val="24"/>
          <w:szCs w:val="24"/>
          <w:vertAlign w:val="superscript"/>
          <w:lang w:val="en"/>
        </w:rPr>
        <w:t>th</w:t>
      </w:r>
      <w:r w:rsidRPr="0036327D">
        <w:rPr>
          <w:rFonts w:ascii="Times New Roman" w:hAnsi="Times New Roman"/>
          <w:color w:val="4A4A4A"/>
          <w:sz w:val="24"/>
          <w:szCs w:val="24"/>
          <w:lang w:val="en"/>
        </w:rPr>
        <w:t xml:space="preserve"> Circuit, held (3 to 0) that the defendant was not deprived of a fair trial in state court: “the record before us does not suggest the police presence intimidated the jury or disrupted the factfinding process in any way.” </w:t>
      </w:r>
      <w:hyperlink r:id="rId598" w:history="1">
        <w:r w:rsidRPr="0036327D">
          <w:rPr>
            <w:rStyle w:val="Hyperlink"/>
            <w:rFonts w:ascii="Times New Roman" w:hAnsi="Times New Roman"/>
            <w:sz w:val="24"/>
            <w:szCs w:val="24"/>
            <w:lang w:val="en"/>
          </w:rPr>
          <w:t>file:///C:/Users/lawre/AppData/Local/Microsoft/Windows/INetCache/IE/XO250S7T/15-70040-CV0.pdf</w:t>
        </w:r>
      </w:hyperlink>
    </w:p>
    <w:p w14:paraId="18A9B3EF" w14:textId="77777777" w:rsidR="00F326E5" w:rsidRPr="0036327D" w:rsidRDefault="00F326E5" w:rsidP="00F326E5">
      <w:pPr>
        <w:rPr>
          <w:rFonts w:ascii="Times New Roman" w:hAnsi="Times New Roman"/>
          <w:b/>
          <w:color w:val="4A4A4A"/>
          <w:sz w:val="24"/>
          <w:szCs w:val="24"/>
          <w:lang w:val="en"/>
        </w:rPr>
      </w:pPr>
      <w:bookmarkStart w:id="129" w:name="_Hlk1065353"/>
      <w:r w:rsidRPr="0036327D">
        <w:rPr>
          <w:rFonts w:ascii="Times New Roman" w:hAnsi="Times New Roman"/>
          <w:b/>
          <w:color w:val="4A4A4A"/>
          <w:sz w:val="24"/>
          <w:szCs w:val="24"/>
          <w:lang w:val="en"/>
        </w:rPr>
        <w:t xml:space="preserve">LEGAL LESSONS LEARNED:  Helpful decision – no evidence of jury intimidation by having emergency responders in uniform, watching a jury trial.  Before showing up in uniform, please discuss with your Chief and the prosecutor, who may want to review with trial judge, prior to start of trial. </w:t>
      </w:r>
    </w:p>
    <w:p w14:paraId="5EB00F6E" w14:textId="77777777" w:rsidR="00D46F1E" w:rsidRPr="0036327D" w:rsidRDefault="00D46F1E" w:rsidP="00F326E5">
      <w:pPr>
        <w:pStyle w:val="NoSpacing"/>
        <w:rPr>
          <w:rFonts w:ascii="Times New Roman" w:hAnsi="Times New Roman"/>
          <w:sz w:val="24"/>
          <w:szCs w:val="24"/>
        </w:rPr>
      </w:pPr>
      <w:bookmarkStart w:id="130" w:name="_Hlk515115331"/>
      <w:bookmarkEnd w:id="128"/>
      <w:bookmarkEnd w:id="129"/>
    </w:p>
    <w:p w14:paraId="5327D8FF" w14:textId="77777777" w:rsidR="00D46F1E" w:rsidRDefault="00D46F1E" w:rsidP="00F326E5">
      <w:pPr>
        <w:pStyle w:val="NoSpacing"/>
        <w:rPr>
          <w:sz w:val="24"/>
          <w:szCs w:val="24"/>
        </w:rPr>
      </w:pPr>
    </w:p>
    <w:p w14:paraId="71B7B4DB" w14:textId="24ADCB6B" w:rsidR="00D46F1E" w:rsidRPr="00791CA3" w:rsidRDefault="00791CA3" w:rsidP="00F326E5">
      <w:pPr>
        <w:pStyle w:val="NoSpacing"/>
        <w:rPr>
          <w:rFonts w:ascii="Arial Black" w:hAnsi="Arial Black"/>
          <w:sz w:val="24"/>
          <w:szCs w:val="24"/>
        </w:rPr>
      </w:pPr>
      <w:r w:rsidRPr="00791CA3">
        <w:rPr>
          <w:rFonts w:ascii="Arial Black" w:hAnsi="Arial Black"/>
          <w:sz w:val="24"/>
          <w:szCs w:val="24"/>
        </w:rPr>
        <w:t>2-1</w:t>
      </w:r>
    </w:p>
    <w:p w14:paraId="7A128CE5" w14:textId="77777777" w:rsidR="00D46F1E" w:rsidRDefault="00D46F1E" w:rsidP="00F326E5">
      <w:pPr>
        <w:pStyle w:val="NoSpacing"/>
        <w:rPr>
          <w:sz w:val="24"/>
          <w:szCs w:val="24"/>
        </w:rPr>
      </w:pPr>
    </w:p>
    <w:p w14:paraId="6607B45D" w14:textId="16C33E9F" w:rsidR="00F326E5" w:rsidRDefault="00F326E5" w:rsidP="00F326E5">
      <w:pPr>
        <w:pStyle w:val="NoSpacing"/>
        <w:rPr>
          <w:rFonts w:ascii="Arial Black" w:hAnsi="Arial Black"/>
          <w:b/>
          <w:sz w:val="28"/>
          <w:szCs w:val="28"/>
        </w:rPr>
      </w:pPr>
      <w:bookmarkStart w:id="131" w:name="_Hlk7341195"/>
      <w:r>
        <w:rPr>
          <w:rFonts w:ascii="Arial Black" w:hAnsi="Arial Black"/>
          <w:b/>
          <w:sz w:val="28"/>
          <w:szCs w:val="28"/>
        </w:rPr>
        <w:t>PA: SEAGRAVE FIRE APPARATUS – INSURANCE COMPANIES MUST DEFEND ON HEARING LOSS CLAIMS</w:t>
      </w:r>
    </w:p>
    <w:bookmarkEnd w:id="130"/>
    <w:p w14:paraId="509F34F7" w14:textId="14F36BFA" w:rsidR="00F326E5" w:rsidRPr="0036327D" w:rsidRDefault="00F326E5" w:rsidP="00F326E5">
      <w:pPr>
        <w:rPr>
          <w:rFonts w:ascii="Times New Roman" w:hAnsi="Times New Roman"/>
          <w:sz w:val="24"/>
          <w:szCs w:val="24"/>
        </w:rPr>
      </w:pPr>
      <w:r w:rsidRPr="0036327D">
        <w:rPr>
          <w:rFonts w:ascii="Times New Roman" w:hAnsi="Times New Roman"/>
          <w:sz w:val="24"/>
          <w:szCs w:val="24"/>
        </w:rPr>
        <w:t xml:space="preserve">On March 26, 2018, in </w:t>
      </w:r>
      <w:r w:rsidRPr="0036327D">
        <w:rPr>
          <w:rFonts w:ascii="Times New Roman" w:hAnsi="Times New Roman"/>
          <w:sz w:val="24"/>
          <w:szCs w:val="24"/>
          <w:u w:val="single"/>
        </w:rPr>
        <w:t>Seagrave Fire Apparatus, LLC v. CAN D/B/A Continental Casualty Company, et al.</w:t>
      </w:r>
      <w:r w:rsidRPr="0036327D">
        <w:rPr>
          <w:rFonts w:ascii="Times New Roman" w:hAnsi="Times New Roman"/>
          <w:sz w:val="24"/>
          <w:szCs w:val="24"/>
        </w:rPr>
        <w:t xml:space="preserve">, the Superior Court of Pennsylvania held (3 to 1) that several insurance companies that insured Seagrave must defend Seagrave under their contracts for firefighter hearing loss claims.  </w:t>
      </w:r>
      <w:hyperlink r:id="rId599" w:history="1">
        <w:r w:rsidRPr="0036327D">
          <w:rPr>
            <w:rStyle w:val="Hyperlink"/>
            <w:rFonts w:ascii="Times New Roman" w:hAnsi="Times New Roman"/>
            <w:sz w:val="24"/>
            <w:szCs w:val="24"/>
          </w:rPr>
          <w:t>file:///C:/Users/lawre/AppData/Local/Microsoft/Windows/INetCache/IE/XO250S7T/memorandum%20%20affirmed%20%2010347948434547371.pdf</w:t>
        </w:r>
      </w:hyperlink>
      <w:r w:rsidRPr="0036327D">
        <w:rPr>
          <w:rFonts w:ascii="Times New Roman" w:hAnsi="Times New Roman"/>
          <w:sz w:val="24"/>
          <w:szCs w:val="24"/>
        </w:rPr>
        <w:t xml:space="preserve"> </w:t>
      </w:r>
    </w:p>
    <w:p w14:paraId="06BFD820" w14:textId="7EAF05C7" w:rsidR="00F326E5" w:rsidRPr="0036327D" w:rsidRDefault="00F326E5" w:rsidP="00F326E5">
      <w:pPr>
        <w:rPr>
          <w:rFonts w:ascii="Times New Roman" w:hAnsi="Times New Roman"/>
          <w:b/>
          <w:sz w:val="24"/>
          <w:szCs w:val="24"/>
        </w:rPr>
      </w:pPr>
      <w:r w:rsidRPr="0036327D">
        <w:rPr>
          <w:rFonts w:ascii="Times New Roman" w:hAnsi="Times New Roman"/>
          <w:b/>
          <w:sz w:val="24"/>
          <w:szCs w:val="24"/>
        </w:rPr>
        <w:t>L</w:t>
      </w:r>
      <w:r w:rsidR="00965872">
        <w:rPr>
          <w:rFonts w:ascii="Times New Roman" w:hAnsi="Times New Roman"/>
          <w:b/>
          <w:sz w:val="24"/>
          <w:szCs w:val="24"/>
        </w:rPr>
        <w:t xml:space="preserve">egal Lessons Learned: </w:t>
      </w:r>
      <w:r w:rsidRPr="0036327D">
        <w:rPr>
          <w:rFonts w:ascii="Times New Roman" w:hAnsi="Times New Roman"/>
          <w:b/>
          <w:sz w:val="24"/>
          <w:szCs w:val="24"/>
        </w:rPr>
        <w:t xml:space="preserve">Insurance companies are obligated </w:t>
      </w:r>
      <w:proofErr w:type="gramStart"/>
      <w:r w:rsidRPr="0036327D">
        <w:rPr>
          <w:rFonts w:ascii="Times New Roman" w:hAnsi="Times New Roman"/>
          <w:b/>
          <w:sz w:val="24"/>
          <w:szCs w:val="24"/>
        </w:rPr>
        <w:t>per</w:t>
      </w:r>
      <w:proofErr w:type="gramEnd"/>
      <w:r w:rsidRPr="0036327D">
        <w:rPr>
          <w:rFonts w:ascii="Times New Roman" w:hAnsi="Times New Roman"/>
          <w:b/>
          <w:sz w:val="24"/>
          <w:szCs w:val="24"/>
        </w:rPr>
        <w:t xml:space="preserve"> terms of their contracts to defend Seagrave against the many pending claims. </w:t>
      </w:r>
    </w:p>
    <w:p w14:paraId="08D308CA" w14:textId="46B858FD" w:rsidR="00F326E5" w:rsidRPr="0036327D" w:rsidRDefault="00F326E5" w:rsidP="00F326E5">
      <w:pPr>
        <w:ind w:left="720"/>
        <w:rPr>
          <w:rFonts w:ascii="Times New Roman" w:hAnsi="Times New Roman"/>
          <w:sz w:val="24"/>
          <w:szCs w:val="24"/>
        </w:rPr>
      </w:pPr>
      <w:r w:rsidRPr="0036327D">
        <w:rPr>
          <w:rFonts w:ascii="Times New Roman" w:hAnsi="Times New Roman"/>
          <w:sz w:val="24"/>
          <w:szCs w:val="24"/>
        </w:rPr>
        <w:t xml:space="preserve">See, for example, this 2015 lawsuit filed on behalf of 34 New Jersey firefighters: </w:t>
      </w:r>
      <w:hyperlink r:id="rId600" w:history="1">
        <w:r w:rsidRPr="0036327D">
          <w:rPr>
            <w:rStyle w:val="Hyperlink"/>
            <w:rFonts w:ascii="Times New Roman" w:hAnsi="Times New Roman"/>
            <w:sz w:val="24"/>
            <w:szCs w:val="24"/>
          </w:rPr>
          <w:t>file:///C:/Users/lawre/AppData/Local/Microsoft/Windows/INetCache/IE/CTCRXJ99/Alvarez-v-American-LaFrance.pdf</w:t>
        </w:r>
      </w:hyperlink>
    </w:p>
    <w:bookmarkEnd w:id="131"/>
    <w:p w14:paraId="2304D399" w14:textId="77777777" w:rsidR="00F326E5" w:rsidRPr="008F54C5" w:rsidRDefault="00F326E5" w:rsidP="00F326E5">
      <w:pPr>
        <w:rPr>
          <w:b/>
          <w:sz w:val="24"/>
          <w:szCs w:val="24"/>
        </w:rPr>
      </w:pPr>
    </w:p>
    <w:p w14:paraId="0B36607D" w14:textId="77777777" w:rsidR="00F326E5" w:rsidRPr="008F54C5" w:rsidRDefault="00F326E5" w:rsidP="00F326E5">
      <w:pPr>
        <w:pStyle w:val="NoSpacing"/>
        <w:rPr>
          <w:b/>
          <w:sz w:val="24"/>
          <w:szCs w:val="24"/>
        </w:rPr>
      </w:pPr>
      <w:r w:rsidRPr="008F54C5">
        <w:rPr>
          <w:b/>
          <w:sz w:val="24"/>
          <w:szCs w:val="24"/>
        </w:rPr>
        <w:t xml:space="preserve"> </w:t>
      </w:r>
    </w:p>
    <w:p w14:paraId="40204EF6" w14:textId="77777777" w:rsidR="00F326E5" w:rsidRDefault="00F326E5" w:rsidP="00F326E5">
      <w:pPr>
        <w:rPr>
          <w:rStyle w:val="Hyperlink"/>
          <w:b/>
          <w:sz w:val="24"/>
          <w:szCs w:val="24"/>
          <w:lang w:val="en"/>
        </w:rPr>
      </w:pPr>
      <w:r>
        <w:rPr>
          <w:rStyle w:val="Hyperlink"/>
          <w:sz w:val="24"/>
          <w:szCs w:val="24"/>
          <w:lang w:val="en"/>
        </w:rPr>
        <w:br w:type="page"/>
      </w:r>
    </w:p>
    <w:p w14:paraId="1A70740B" w14:textId="0ED3A3BB" w:rsidR="007F56D6" w:rsidRDefault="007F56D6">
      <w:pPr>
        <w:spacing w:after="0" w:line="240" w:lineRule="auto"/>
        <w:rPr>
          <w:rFonts w:ascii="Arial Black" w:hAnsi="Arial Black"/>
          <w:sz w:val="40"/>
          <w:szCs w:val="40"/>
        </w:rPr>
      </w:pPr>
      <w:r>
        <w:rPr>
          <w:rFonts w:ascii="Arial Black" w:hAnsi="Arial Black"/>
          <w:sz w:val="40"/>
          <w:szCs w:val="40"/>
        </w:rPr>
        <w:lastRenderedPageBreak/>
        <w:br w:type="page"/>
      </w:r>
    </w:p>
    <w:p w14:paraId="32820C02" w14:textId="0B8B2CC9"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3</w:t>
      </w:r>
      <w:r w:rsidRPr="007732FA">
        <w:rPr>
          <w:rFonts w:ascii="Arial Black" w:hAnsi="Arial Black"/>
          <w:sz w:val="40"/>
          <w:szCs w:val="40"/>
        </w:rPr>
        <w:tab/>
        <w:t>Homeland Security</w:t>
      </w:r>
      <w:r w:rsidR="003F660F">
        <w:rPr>
          <w:rFonts w:ascii="Arial Black" w:hAnsi="Arial Black"/>
          <w:sz w:val="40"/>
          <w:szCs w:val="40"/>
        </w:rPr>
        <w:t xml:space="preserve">, including </w:t>
      </w:r>
      <w:r w:rsidRPr="007732FA">
        <w:rPr>
          <w:rFonts w:ascii="Arial Black" w:hAnsi="Arial Black"/>
          <w:sz w:val="40"/>
          <w:szCs w:val="40"/>
        </w:rPr>
        <w:t>Active Shooter</w:t>
      </w:r>
      <w:r w:rsidR="003F660F">
        <w:rPr>
          <w:rFonts w:ascii="Arial Black" w:hAnsi="Arial Black"/>
          <w:sz w:val="40"/>
          <w:szCs w:val="40"/>
        </w:rPr>
        <w:t xml:space="preserve">, </w:t>
      </w:r>
      <w:r w:rsidR="00636395">
        <w:rPr>
          <w:rFonts w:ascii="Arial Black" w:hAnsi="Arial Black"/>
          <w:sz w:val="40"/>
          <w:szCs w:val="40"/>
        </w:rPr>
        <w:t>Cybersecurity</w:t>
      </w:r>
      <w:r w:rsidR="00BC5936">
        <w:rPr>
          <w:rFonts w:ascii="Arial Black" w:hAnsi="Arial Black"/>
          <w:sz w:val="40"/>
          <w:szCs w:val="40"/>
        </w:rPr>
        <w:t>, Immigration</w:t>
      </w:r>
    </w:p>
    <w:p w14:paraId="42137DFF" w14:textId="77777777" w:rsidR="00F326E5" w:rsidRDefault="00F326E5" w:rsidP="00F326E5">
      <w:pPr>
        <w:pStyle w:val="NoSpacing"/>
        <w:rPr>
          <w:sz w:val="24"/>
          <w:szCs w:val="24"/>
        </w:rPr>
      </w:pPr>
    </w:p>
    <w:p w14:paraId="22D19220" w14:textId="77777777" w:rsidR="00E575E6" w:rsidRDefault="00E575E6" w:rsidP="00440B47">
      <w:pPr>
        <w:pStyle w:val="NoSpacing"/>
        <w:rPr>
          <w:rFonts w:ascii="Arial Black" w:hAnsi="Arial Black"/>
          <w:sz w:val="28"/>
          <w:szCs w:val="28"/>
        </w:rPr>
      </w:pPr>
      <w:bookmarkStart w:id="132" w:name="_Hlk7341375"/>
    </w:p>
    <w:p w14:paraId="1EFEDF44" w14:textId="7B944D51" w:rsidR="002A66F2" w:rsidRDefault="002A66F2" w:rsidP="002A66F2">
      <w:pPr>
        <w:pStyle w:val="NoSpacing"/>
        <w:rPr>
          <w:rFonts w:ascii="Arial Black" w:hAnsi="Arial Black"/>
          <w:sz w:val="28"/>
          <w:szCs w:val="28"/>
        </w:rPr>
      </w:pPr>
      <w:r>
        <w:rPr>
          <w:rFonts w:ascii="Arial Black" w:hAnsi="Arial Black"/>
          <w:sz w:val="28"/>
          <w:szCs w:val="28"/>
        </w:rPr>
        <w:t>3-</w:t>
      </w:r>
      <w:r w:rsidR="00094264">
        <w:rPr>
          <w:rFonts w:ascii="Arial Black" w:hAnsi="Arial Black"/>
          <w:sz w:val="28"/>
          <w:szCs w:val="28"/>
        </w:rPr>
        <w:t>91</w:t>
      </w:r>
    </w:p>
    <w:p w14:paraId="60BF1E6B" w14:textId="77777777" w:rsidR="002A66F2" w:rsidRDefault="002A66F2" w:rsidP="00440B47">
      <w:pPr>
        <w:pStyle w:val="NoSpacing"/>
        <w:rPr>
          <w:rFonts w:ascii="Arial Black" w:hAnsi="Arial Black"/>
          <w:sz w:val="28"/>
          <w:szCs w:val="28"/>
        </w:rPr>
      </w:pPr>
    </w:p>
    <w:p w14:paraId="64CAF135" w14:textId="77777777" w:rsidR="007328CD" w:rsidRDefault="007328CD" w:rsidP="007328CD">
      <w:pPr>
        <w:pStyle w:val="NoSpacing"/>
        <w:rPr>
          <w:rFonts w:ascii="Arial Black" w:hAnsi="Arial Black"/>
          <w:b/>
          <w:sz w:val="28"/>
          <w:szCs w:val="28"/>
        </w:rPr>
      </w:pPr>
      <w:r>
        <w:rPr>
          <w:rFonts w:ascii="Arial Black" w:hAnsi="Arial Black"/>
          <w:b/>
          <w:sz w:val="28"/>
          <w:szCs w:val="28"/>
        </w:rPr>
        <w:t>U.S. SUP. CT – TALIBAN BOMB - SOLDIER SUE CONTRACTOR</w:t>
      </w:r>
    </w:p>
    <w:p w14:paraId="58945B9D" w14:textId="77777777" w:rsidR="007328CD" w:rsidRDefault="007328CD" w:rsidP="007328CD">
      <w:pPr>
        <w:pStyle w:val="NoSpacing"/>
        <w:rPr>
          <w:rFonts w:ascii="Arial Black" w:hAnsi="Arial Black"/>
          <w:b/>
          <w:sz w:val="28"/>
          <w:szCs w:val="28"/>
        </w:rPr>
      </w:pPr>
    </w:p>
    <w:p w14:paraId="4E8B7C50" w14:textId="77777777" w:rsidR="007328CD" w:rsidRDefault="007328CD" w:rsidP="007328CD">
      <w:pPr>
        <w:pStyle w:val="NoSpacing"/>
        <w:rPr>
          <w:bCs/>
        </w:rPr>
      </w:pPr>
      <w:r>
        <w:t xml:space="preserve">On April 22, 2026, in </w:t>
      </w:r>
      <w:r w:rsidRPr="004241FD">
        <w:rPr>
          <w:u w:val="single"/>
        </w:rPr>
        <w:t xml:space="preserve">Winston T. </w:t>
      </w:r>
      <w:proofErr w:type="spellStart"/>
      <w:r w:rsidRPr="004241FD">
        <w:rPr>
          <w:u w:val="single"/>
        </w:rPr>
        <w:t>Hencely</w:t>
      </w:r>
      <w:proofErr w:type="spellEnd"/>
      <w:r w:rsidRPr="004241FD">
        <w:rPr>
          <w:u w:val="single"/>
        </w:rPr>
        <w:t xml:space="preserve"> v. Fluor Corp, et al</w:t>
      </w:r>
      <w:r>
        <w:t xml:space="preserve">., the U.S. Supreme Court held (6 to 3) that former U.S. Army </w:t>
      </w:r>
      <w:r w:rsidRPr="000A48D2">
        <w:t xml:space="preserve">specialist Winston T. </w:t>
      </w:r>
      <w:proofErr w:type="spellStart"/>
      <w:r w:rsidRPr="000A48D2">
        <w:t>Hencely</w:t>
      </w:r>
      <w:proofErr w:type="spellEnd"/>
      <w:r w:rsidRPr="000A48D2">
        <w:t xml:space="preserve">, </w:t>
      </w:r>
      <w:r>
        <w:t xml:space="preserve">can sue a military contractor under South Carolina state law for negligent supervision of an Afghanistan employee at Bagram Airbase.  </w:t>
      </w:r>
      <w:proofErr w:type="spellStart"/>
      <w:r>
        <w:t>Hencely</w:t>
      </w:r>
      <w:proofErr w:type="spellEnd"/>
      <w:r>
        <w:t xml:space="preserve">, age 20, </w:t>
      </w:r>
      <w:r w:rsidRPr="000A48D2">
        <w:t>suffered a fractured skull and brain</w:t>
      </w:r>
      <w:r>
        <w:t xml:space="preserve"> </w:t>
      </w:r>
      <w:r w:rsidRPr="000A48D2">
        <w:t xml:space="preserve">injuries </w:t>
      </w:r>
      <w:r w:rsidRPr="00074997">
        <w:t xml:space="preserve">on Veteran’s Day 2016 </w:t>
      </w:r>
      <w:r>
        <w:t xml:space="preserve">when the Afghan activated a suicide vest, which </w:t>
      </w:r>
      <w:r w:rsidRPr="00C41DBA">
        <w:t>killed 5 and</w:t>
      </w:r>
      <w:r>
        <w:t xml:space="preserve"> </w:t>
      </w:r>
      <w:r w:rsidRPr="00C41DBA">
        <w:t>wounded 17</w:t>
      </w:r>
      <w:r>
        <w:t xml:space="preserve">. </w:t>
      </w:r>
      <w:proofErr w:type="spellStart"/>
      <w:r>
        <w:t>Hencely</w:t>
      </w:r>
      <w:proofErr w:type="spellEnd"/>
      <w:r>
        <w:t xml:space="preserve"> heroically saved many more because the Afghan employee was trying to reach a large crowd at </w:t>
      </w:r>
      <w:r w:rsidRPr="00DE617A">
        <w:t>Veteran’s Day</w:t>
      </w:r>
      <w:r>
        <w:t xml:space="preserve"> </w:t>
      </w:r>
      <w:r w:rsidRPr="00DE617A">
        <w:t>5K race</w:t>
      </w:r>
      <w:r>
        <w:t xml:space="preserve"> at the airfield</w:t>
      </w:r>
      <w:r w:rsidRPr="00DE617A">
        <w:t>.</w:t>
      </w:r>
      <w:r>
        <w:t xml:space="preserve"> The Federal Government has sovereign immunity, so </w:t>
      </w:r>
      <w:proofErr w:type="spellStart"/>
      <w:r>
        <w:t>Hencely</w:t>
      </w:r>
      <w:proofErr w:type="spellEnd"/>
      <w:r>
        <w:t xml:space="preserve"> cannot sue the government for alleged negligence in conducting background checks under its </w:t>
      </w:r>
      <w:r w:rsidRPr="008575E7">
        <w:t>“Afghan First” program</w:t>
      </w:r>
      <w:r>
        <w:t xml:space="preserve"> at the base where military contractors like Fluor were directed to hire Afghan employees (government knew he was former Taliban).  Fluor hired him to work in n</w:t>
      </w:r>
      <w:r w:rsidRPr="001E5CDD">
        <w:t>ontactical vehicle yard</w:t>
      </w:r>
      <w:r>
        <w:t xml:space="preserve">, and plaintiff alleges in a lawsuit brought in Federal court in South Carolina that under state law Fluor was negligent in supervising and managing the Afghan’s movements around the base. The U.S. District Court judge in South Carolina dismissed the lawsuit; </w:t>
      </w:r>
      <w:r w:rsidRPr="00703F6D">
        <w:t xml:space="preserve">military contractors </w:t>
      </w:r>
      <w:r>
        <w:t xml:space="preserve">under prior case law have immunity </w:t>
      </w:r>
      <w:r w:rsidRPr="00703F6D">
        <w:t>arising out of combatant</w:t>
      </w:r>
      <w:r>
        <w:t>.  The U.S. Court of Appeals for 4</w:t>
      </w:r>
      <w:r w:rsidRPr="00726AA2">
        <w:rPr>
          <w:vertAlign w:val="superscript"/>
        </w:rPr>
        <w:t>th</w:t>
      </w:r>
      <w:r>
        <w:t xml:space="preserve"> Circuit (Richmond, VA) agreed. </w:t>
      </w:r>
      <w:hyperlink r:id="rId601" w:history="1">
        <w:r w:rsidRPr="00595B37">
          <w:rPr>
            <w:rStyle w:val="Hyperlink"/>
            <w:b/>
          </w:rPr>
          <w:t>https://www.supremecourt.gov/opinions/25pdf/24-924_3d9g.pdf</w:t>
        </w:r>
      </w:hyperlink>
    </w:p>
    <w:p w14:paraId="582CE094" w14:textId="77777777" w:rsidR="007328CD" w:rsidRDefault="007328CD" w:rsidP="007328CD">
      <w:pPr>
        <w:pStyle w:val="NoSpacing"/>
        <w:rPr>
          <w:bCs/>
        </w:rPr>
      </w:pPr>
    </w:p>
    <w:p w14:paraId="4CB06D99" w14:textId="77777777" w:rsidR="007328CD" w:rsidRDefault="007328CD" w:rsidP="007328CD">
      <w:pPr>
        <w:pStyle w:val="NoSpacing"/>
        <w:rPr>
          <w:bCs/>
        </w:rPr>
      </w:pPr>
    </w:p>
    <w:p w14:paraId="27696CA3" w14:textId="77777777" w:rsidR="007328CD" w:rsidRDefault="007328CD" w:rsidP="007328CD">
      <w:pPr>
        <w:pStyle w:val="NoSpacing"/>
        <w:rPr>
          <w:bCs/>
        </w:rPr>
      </w:pPr>
      <w:r w:rsidRPr="00703F6D">
        <w:t xml:space="preserve"> </w:t>
      </w:r>
      <w:r>
        <w:t>THE COURT HELD (opinion by Justice Clarence Thomas):</w:t>
      </w:r>
    </w:p>
    <w:p w14:paraId="12796BD4" w14:textId="77777777" w:rsidR="007328CD" w:rsidRDefault="007328CD" w:rsidP="007328CD">
      <w:pPr>
        <w:pStyle w:val="NoSpacing"/>
        <w:rPr>
          <w:bCs/>
        </w:rPr>
      </w:pPr>
    </w:p>
    <w:p w14:paraId="572A69D9" w14:textId="77777777" w:rsidR="007328CD" w:rsidRDefault="007328CD" w:rsidP="007328CD">
      <w:pPr>
        <w:pStyle w:val="NoSpacing"/>
        <w:ind w:left="720"/>
        <w:rPr>
          <w:bCs/>
        </w:rPr>
      </w:pPr>
      <w:r>
        <w:t>“</w:t>
      </w:r>
      <w:r w:rsidRPr="001E25D7">
        <w:t xml:space="preserve">Nayeb </w:t>
      </w:r>
      <w:r>
        <w:t xml:space="preserve">[the bomber] </w:t>
      </w:r>
      <w:r w:rsidRPr="001E25D7">
        <w:t xml:space="preserve">worked as a </w:t>
      </w:r>
      <w:r>
        <w:t>‘</w:t>
      </w:r>
      <w:r w:rsidRPr="001E25D7">
        <w:t>Local National</w:t>
      </w:r>
      <w:r>
        <w:t>’</w:t>
      </w:r>
      <w:r w:rsidRPr="001E25D7">
        <w:t xml:space="preserve"> contractor at</w:t>
      </w:r>
      <w:r>
        <w:t xml:space="preserve"> </w:t>
      </w:r>
      <w:r w:rsidRPr="001E25D7">
        <w:t xml:space="preserve">Bagram as part of the military’s </w:t>
      </w:r>
      <w:r>
        <w:t>‘</w:t>
      </w:r>
      <w:r w:rsidRPr="001E25D7">
        <w:t>Afghan First</w:t>
      </w:r>
      <w:r>
        <w:t>’</w:t>
      </w:r>
      <w:r w:rsidRPr="001E25D7">
        <w:t xml:space="preserve"> program</w:t>
      </w:r>
      <w:r>
        <w:t xml:space="preserve">…. </w:t>
      </w:r>
      <w:r w:rsidRPr="001E25D7">
        <w:t xml:space="preserve"> That program sought to stimulate the</w:t>
      </w:r>
      <w:r>
        <w:t xml:space="preserve"> </w:t>
      </w:r>
      <w:r w:rsidRPr="001E25D7">
        <w:t>local economy and stabilize the Afghan Government by requiring contractors to hire Afghans “‘to the maximum extent possible.’</w:t>
      </w:r>
      <w:r>
        <w:t xml:space="preserve"> … </w:t>
      </w:r>
      <w:r w:rsidRPr="001E25D7">
        <w:t>The military interviewed and</w:t>
      </w:r>
      <w:r>
        <w:t xml:space="preserve"> </w:t>
      </w:r>
      <w:r w:rsidRPr="001E25D7">
        <w:t>screened potential employees. During this process, it</w:t>
      </w:r>
      <w:r>
        <w:t xml:space="preserve"> </w:t>
      </w:r>
      <w:r w:rsidRPr="001E25D7">
        <w:t>learned that Nayeb had been involved with the Taliban in</w:t>
      </w:r>
      <w:r>
        <w:t xml:space="preserve"> </w:t>
      </w:r>
      <w:r w:rsidRPr="001E25D7">
        <w:t>the past. Nonetheless, it approved him for employment.</w:t>
      </w:r>
    </w:p>
    <w:p w14:paraId="112B8EC3" w14:textId="77777777" w:rsidR="007328CD" w:rsidRDefault="007328CD" w:rsidP="007328CD">
      <w:pPr>
        <w:pStyle w:val="NoSpacing"/>
        <w:ind w:left="720"/>
        <w:rPr>
          <w:bCs/>
        </w:rPr>
      </w:pPr>
    </w:p>
    <w:p w14:paraId="4F109C04" w14:textId="77777777" w:rsidR="007328CD" w:rsidRDefault="007328CD" w:rsidP="007328CD">
      <w:pPr>
        <w:pStyle w:val="NoSpacing"/>
        <w:ind w:left="720"/>
        <w:rPr>
          <w:bCs/>
        </w:rPr>
      </w:pPr>
      <w:r>
        <w:t>***</w:t>
      </w:r>
    </w:p>
    <w:p w14:paraId="4B3E22BD" w14:textId="77777777" w:rsidR="007328CD" w:rsidRPr="006A68DB" w:rsidRDefault="007328CD" w:rsidP="007328CD">
      <w:pPr>
        <w:pStyle w:val="NoSpacing"/>
        <w:ind w:left="720"/>
        <w:rPr>
          <w:bCs/>
        </w:rPr>
      </w:pPr>
      <w:r w:rsidRPr="006A68DB">
        <w:t xml:space="preserve">The Army’s investigation found Fluor primarily responsible for the attack. Interviews of Fluor personnel </w:t>
      </w:r>
      <w:r>
        <w:t>‘</w:t>
      </w:r>
      <w:r w:rsidRPr="006A68DB">
        <w:t>reveal[ed] a poor understanding by Fluor supervisors as to</w:t>
      </w:r>
      <w:r>
        <w:t xml:space="preserve"> </w:t>
      </w:r>
      <w:r w:rsidRPr="006A68DB">
        <w:t>who was responsible for Nayeb’s supervision</w:t>
      </w:r>
      <w:r>
        <w:t>’</w:t>
      </w:r>
      <w:r w:rsidRPr="006A68DB">
        <w:t xml:space="preserve"> and </w:t>
      </w:r>
      <w:r>
        <w:t>‘</w:t>
      </w:r>
      <w:r w:rsidRPr="006A68DB">
        <w:t>an unreasonable complacency by Fluor to ensure Local National</w:t>
      </w:r>
      <w:r>
        <w:t xml:space="preserve"> </w:t>
      </w:r>
      <w:r w:rsidRPr="006A68DB">
        <w:t xml:space="preserve">employees were properly </w:t>
      </w:r>
      <w:proofErr w:type="gramStart"/>
      <w:r w:rsidRPr="006A68DB">
        <w:t>supervised at all times</w:t>
      </w:r>
      <w:proofErr w:type="gramEnd"/>
      <w:r w:rsidRPr="006A68DB">
        <w:t>, as re-</w:t>
      </w:r>
    </w:p>
    <w:p w14:paraId="29C78BF8" w14:textId="77777777" w:rsidR="007328CD" w:rsidRDefault="007328CD" w:rsidP="007328CD">
      <w:pPr>
        <w:pStyle w:val="NoSpacing"/>
        <w:ind w:left="720"/>
        <w:rPr>
          <w:bCs/>
        </w:rPr>
      </w:pPr>
      <w:r w:rsidRPr="006A68DB">
        <w:t>quired by their contract.</w:t>
      </w:r>
      <w:r>
        <w:t>’</w:t>
      </w:r>
    </w:p>
    <w:p w14:paraId="675184BB" w14:textId="77777777" w:rsidR="007328CD" w:rsidRDefault="007328CD" w:rsidP="007328CD">
      <w:pPr>
        <w:pStyle w:val="NoSpacing"/>
        <w:ind w:left="720"/>
        <w:rPr>
          <w:bCs/>
        </w:rPr>
      </w:pPr>
    </w:p>
    <w:p w14:paraId="3D5DD965" w14:textId="77777777" w:rsidR="007328CD" w:rsidRDefault="007328CD" w:rsidP="007328CD">
      <w:pPr>
        <w:pStyle w:val="NoSpacing"/>
        <w:ind w:left="720"/>
        <w:rPr>
          <w:bCs/>
        </w:rPr>
      </w:pPr>
      <w:r>
        <w:t>***</w:t>
      </w:r>
    </w:p>
    <w:p w14:paraId="5469BAE7" w14:textId="77777777" w:rsidR="007328CD" w:rsidRDefault="007328CD" w:rsidP="007328CD">
      <w:pPr>
        <w:pStyle w:val="NoSpacing"/>
        <w:rPr>
          <w:bCs/>
        </w:rPr>
      </w:pPr>
    </w:p>
    <w:p w14:paraId="77340722" w14:textId="77777777" w:rsidR="007328CD" w:rsidRDefault="007328CD" w:rsidP="007328CD">
      <w:pPr>
        <w:pStyle w:val="NoSpacing"/>
        <w:ind w:left="720"/>
        <w:rPr>
          <w:bCs/>
        </w:rPr>
      </w:pPr>
      <w:r w:rsidRPr="00C8739E">
        <w:t xml:space="preserve">The Fourth Circuit’s decision held </w:t>
      </w:r>
      <w:proofErr w:type="spellStart"/>
      <w:r w:rsidRPr="00C8739E">
        <w:t>Hencely’s</w:t>
      </w:r>
      <w:proofErr w:type="spellEnd"/>
      <w:r w:rsidRPr="00C8739E">
        <w:t xml:space="preserve"> claims</w:t>
      </w:r>
      <w:r>
        <w:t xml:space="preserve"> </w:t>
      </w:r>
      <w:r w:rsidRPr="00C8739E">
        <w:t>preempted even though the conduct complained of was neither ordered nor authorized by the Federal Government.</w:t>
      </w:r>
      <w:r>
        <w:t xml:space="preserve"> </w:t>
      </w:r>
      <w:r w:rsidRPr="00C8739E">
        <w:t xml:space="preserve">No provision of the Constitution and no federal statute </w:t>
      </w:r>
      <w:proofErr w:type="gramStart"/>
      <w:r w:rsidRPr="00C8739E">
        <w:t>justifies</w:t>
      </w:r>
      <w:proofErr w:type="gramEnd"/>
      <w:r w:rsidRPr="00C8739E">
        <w:t xml:space="preserve"> that preemption of the State’s ordinary authority over</w:t>
      </w:r>
      <w:r>
        <w:t xml:space="preserve"> </w:t>
      </w:r>
      <w:r w:rsidRPr="00C8739E">
        <w:t>tort suits. Nor does any precedent of this Court command</w:t>
      </w:r>
      <w:r>
        <w:t xml:space="preserve"> </w:t>
      </w:r>
      <w:r w:rsidRPr="00C8739E">
        <w:t>such a result. Therefore, we vacate the judgment of the</w:t>
      </w:r>
      <w:r>
        <w:t xml:space="preserve"> </w:t>
      </w:r>
      <w:r w:rsidRPr="00C8739E">
        <w:t xml:space="preserve">Fourth Circuit and </w:t>
      </w:r>
      <w:proofErr w:type="gramStart"/>
      <w:r w:rsidRPr="00C8739E">
        <w:t>remand</w:t>
      </w:r>
      <w:proofErr w:type="gramEnd"/>
      <w:r w:rsidRPr="00C8739E">
        <w:t xml:space="preserve"> the case for further proceedings</w:t>
      </w:r>
      <w:r>
        <w:t xml:space="preserve"> </w:t>
      </w:r>
      <w:r w:rsidRPr="00C8739E">
        <w:t>consistent with this opinion.</w:t>
      </w:r>
    </w:p>
    <w:p w14:paraId="22028DAD" w14:textId="77777777" w:rsidR="007328CD" w:rsidRDefault="007328CD" w:rsidP="007328CD">
      <w:pPr>
        <w:pStyle w:val="NoSpacing"/>
        <w:rPr>
          <w:bCs/>
        </w:rPr>
      </w:pPr>
    </w:p>
    <w:p w14:paraId="5701F618" w14:textId="77777777" w:rsidR="007328CD" w:rsidRDefault="007328CD" w:rsidP="007328CD">
      <w:pPr>
        <w:pStyle w:val="NoSpacing"/>
        <w:rPr>
          <w:b/>
        </w:rPr>
      </w:pPr>
    </w:p>
    <w:p w14:paraId="014AE52B" w14:textId="77777777" w:rsidR="007328CD" w:rsidRDefault="007328CD" w:rsidP="007328CD">
      <w:pPr>
        <w:pStyle w:val="NoSpacing"/>
      </w:pPr>
      <w:r w:rsidRPr="00927246">
        <w:t>ALITO, J., dissenting</w:t>
      </w:r>
    </w:p>
    <w:p w14:paraId="31464C0F" w14:textId="77777777" w:rsidR="007328CD" w:rsidRPr="00637A04" w:rsidRDefault="007328CD" w:rsidP="007328CD">
      <w:pPr>
        <w:pStyle w:val="NoSpacing"/>
      </w:pPr>
    </w:p>
    <w:p w14:paraId="70E0A015" w14:textId="77777777" w:rsidR="007328CD" w:rsidRDefault="007328CD" w:rsidP="007328CD">
      <w:pPr>
        <w:pStyle w:val="NoSpacing"/>
        <w:ind w:left="720"/>
      </w:pPr>
      <w:r>
        <w:lastRenderedPageBreak/>
        <w:t>“</w:t>
      </w:r>
      <w:r w:rsidRPr="00637A04">
        <w:t>Among those injured when Nayeb detonated his bomb</w:t>
      </w:r>
      <w:r>
        <w:t xml:space="preserve"> </w:t>
      </w:r>
      <w:r w:rsidRPr="00637A04">
        <w:t>was petitioner, former Army Specialist Winston Tyler</w:t>
      </w:r>
      <w:r>
        <w:t xml:space="preserve"> </w:t>
      </w:r>
      <w:r w:rsidRPr="00637A04">
        <w:t>Hencely, who suffered severe and permanent injuries.</w:t>
      </w:r>
      <w:r>
        <w:t xml:space="preserve"> </w:t>
      </w:r>
      <w:r w:rsidRPr="00637A04">
        <w:t>Barred by sovereign immunity from suing the Federal Government, petitioner brought this diversity suit against</w:t>
      </w:r>
      <w:r>
        <w:t xml:space="preserve"> </w:t>
      </w:r>
      <w:r w:rsidRPr="00637A04">
        <w:t>Fluor and asserted tort claims under South Carolina law.</w:t>
      </w:r>
      <w:r>
        <w:t xml:space="preserve"> </w:t>
      </w:r>
      <w:r w:rsidRPr="00637A04">
        <w:t>Like all members of the military wounded in the service of</w:t>
      </w:r>
      <w:r>
        <w:t xml:space="preserve"> </w:t>
      </w:r>
      <w:r w:rsidRPr="00637A04">
        <w:t>our country, petitioner deserves a full measure of support</w:t>
      </w:r>
      <w:r>
        <w:t xml:space="preserve"> </w:t>
      </w:r>
      <w:r w:rsidRPr="00637A04">
        <w:t>from the American people, who owe him a debt that can</w:t>
      </w:r>
      <w:r>
        <w:t xml:space="preserve"> </w:t>
      </w:r>
      <w:r w:rsidRPr="00637A04">
        <w:t>never be fully repaid. But this state-law tort suit is not the</w:t>
      </w:r>
      <w:r>
        <w:t xml:space="preserve"> </w:t>
      </w:r>
      <w:r w:rsidRPr="00637A04">
        <w:t>way to give petitioner what he is due</w:t>
      </w:r>
      <w:r>
        <w:t>.</w:t>
      </w:r>
    </w:p>
    <w:p w14:paraId="746A39A7" w14:textId="77777777" w:rsidR="007328CD" w:rsidRDefault="007328CD" w:rsidP="007328CD">
      <w:pPr>
        <w:pStyle w:val="NoSpacing"/>
        <w:ind w:left="720"/>
      </w:pPr>
    </w:p>
    <w:p w14:paraId="2A32B32E" w14:textId="77777777" w:rsidR="007328CD" w:rsidRDefault="007328CD" w:rsidP="007328CD">
      <w:pPr>
        <w:pStyle w:val="NoSpacing"/>
      </w:pPr>
    </w:p>
    <w:p w14:paraId="7610BAC2" w14:textId="77777777" w:rsidR="007328CD" w:rsidRDefault="007328CD" w:rsidP="007328CD">
      <w:pPr>
        <w:pStyle w:val="NoSpacing"/>
        <w:ind w:left="720"/>
      </w:pPr>
      <w:r>
        <w:t>***</w:t>
      </w:r>
    </w:p>
    <w:p w14:paraId="7AD99684" w14:textId="77777777" w:rsidR="007328CD" w:rsidRDefault="007328CD" w:rsidP="007328CD">
      <w:pPr>
        <w:pStyle w:val="NoSpacing"/>
        <w:ind w:left="720"/>
      </w:pPr>
    </w:p>
    <w:p w14:paraId="0870317B" w14:textId="77777777" w:rsidR="007328CD" w:rsidRDefault="007328CD" w:rsidP="007328CD">
      <w:pPr>
        <w:pStyle w:val="NoSpacing"/>
        <w:ind w:left="720"/>
      </w:pPr>
      <w:r>
        <w:t>In sum, we have long recognized that the Constitution itself may demand preemption when a state law intrudes upon an area of exclusive federal authority. And because the Constitution gives the Federal Government exclusive authority over foreign affairs and the conduct of wars, federal law preempts all state law that substantially interferes with the Government’s exercise of those powers.”</w:t>
      </w:r>
    </w:p>
    <w:p w14:paraId="5326E1F9" w14:textId="77777777" w:rsidR="007328CD" w:rsidRDefault="007328CD" w:rsidP="007328CD">
      <w:pPr>
        <w:pStyle w:val="NoSpacing"/>
        <w:ind w:left="720"/>
      </w:pPr>
    </w:p>
    <w:p w14:paraId="15B7E055" w14:textId="77777777" w:rsidR="007328CD" w:rsidRPr="00137F48" w:rsidRDefault="007328CD" w:rsidP="007328CD">
      <w:pPr>
        <w:pStyle w:val="NoSpacing"/>
        <w:rPr>
          <w:b/>
          <w:bCs/>
        </w:rPr>
      </w:pPr>
      <w:r>
        <w:rPr>
          <w:b/>
        </w:rPr>
        <w:t xml:space="preserve">Legal lesson learned:  The plaintiff suffered terrible, </w:t>
      </w:r>
      <w:proofErr w:type="spellStart"/>
      <w:proofErr w:type="gramStart"/>
      <w:r>
        <w:rPr>
          <w:b/>
        </w:rPr>
        <w:t>life long</w:t>
      </w:r>
      <w:proofErr w:type="spellEnd"/>
      <w:proofErr w:type="gramEnd"/>
      <w:r>
        <w:rPr>
          <w:b/>
        </w:rPr>
        <w:t xml:space="preserve"> injuries; he has now been given opportunity to seek damages from a military contractor. </w:t>
      </w:r>
    </w:p>
    <w:p w14:paraId="4A25CC4F" w14:textId="77777777" w:rsidR="007328CD" w:rsidRDefault="007328CD" w:rsidP="007328CD">
      <w:pPr>
        <w:pStyle w:val="NoSpacing"/>
      </w:pPr>
    </w:p>
    <w:p w14:paraId="271BCBB7" w14:textId="77777777" w:rsidR="007328CD" w:rsidRDefault="007328CD" w:rsidP="007328CD">
      <w:pPr>
        <w:pStyle w:val="NoSpacing"/>
        <w:rPr>
          <w:bCs/>
        </w:rPr>
      </w:pPr>
      <w:r>
        <w:rPr>
          <w:b/>
        </w:rPr>
        <w:tab/>
        <w:t xml:space="preserve">Note: </w:t>
      </w:r>
      <w:r>
        <w:t xml:space="preserve">Bagram Airbase was a very dangerous place [from Dissenting Opinion]: </w:t>
      </w:r>
    </w:p>
    <w:p w14:paraId="7062FD39" w14:textId="77777777" w:rsidR="007328CD" w:rsidRDefault="007328CD" w:rsidP="007328CD">
      <w:pPr>
        <w:pStyle w:val="NoSpacing"/>
        <w:ind w:left="720"/>
        <w:rPr>
          <w:b/>
        </w:rPr>
      </w:pPr>
      <w:r>
        <w:t>“In February 2007, a suicide bombing on the base killed 23 and injured 20 more. A June 2009 rocket attack killed two soldiers and injured at least six others. In May 2010, insurgents wearing U. S. Army uniforms killed an American contractor and wounded nine servicemembers. A November 2013 rocket attack killed two civilian contractors, and a December 2015 suicide bombing killed six American service-members.”</w:t>
      </w:r>
    </w:p>
    <w:p w14:paraId="20997A6E" w14:textId="77777777" w:rsidR="007328CD" w:rsidRDefault="007328CD" w:rsidP="007328CD">
      <w:pPr>
        <w:pStyle w:val="NoSpacing"/>
        <w:rPr>
          <w:bCs/>
        </w:rPr>
      </w:pPr>
    </w:p>
    <w:p w14:paraId="46E1DE58" w14:textId="77777777" w:rsidR="007328CD" w:rsidRDefault="007328CD" w:rsidP="00CC37FA">
      <w:pPr>
        <w:pStyle w:val="NoSpacing"/>
        <w:rPr>
          <w:rFonts w:ascii="Arial Black" w:hAnsi="Arial Black"/>
          <w:sz w:val="28"/>
          <w:szCs w:val="28"/>
        </w:rPr>
      </w:pPr>
    </w:p>
    <w:p w14:paraId="6F1BE1CE" w14:textId="0322CA85" w:rsidR="002A66F2" w:rsidRDefault="002A66F2" w:rsidP="002A66F2">
      <w:pPr>
        <w:pStyle w:val="NoSpacing"/>
        <w:rPr>
          <w:rFonts w:ascii="Arial Black" w:hAnsi="Arial Black"/>
          <w:sz w:val="28"/>
          <w:szCs w:val="28"/>
        </w:rPr>
      </w:pPr>
      <w:r>
        <w:rPr>
          <w:rFonts w:ascii="Arial Black" w:hAnsi="Arial Black"/>
          <w:sz w:val="28"/>
          <w:szCs w:val="28"/>
        </w:rPr>
        <w:t>3-90</w:t>
      </w:r>
    </w:p>
    <w:p w14:paraId="7CEB6F5B" w14:textId="77777777" w:rsidR="002A66F2" w:rsidRDefault="002A66F2" w:rsidP="002A66F2">
      <w:pPr>
        <w:pStyle w:val="NoSpacing"/>
        <w:rPr>
          <w:rFonts w:ascii="Arial Black" w:hAnsi="Arial Black"/>
          <w:b/>
          <w:sz w:val="28"/>
          <w:szCs w:val="28"/>
        </w:rPr>
      </w:pPr>
    </w:p>
    <w:p w14:paraId="35914F7F" w14:textId="531F9030" w:rsidR="002A66F2" w:rsidRPr="00DD0E3B" w:rsidRDefault="002A66F2" w:rsidP="002A66F2">
      <w:pPr>
        <w:pStyle w:val="NoSpacing"/>
        <w:rPr>
          <w:rFonts w:ascii="Arial Black" w:hAnsi="Arial Black"/>
          <w:b/>
          <w:sz w:val="28"/>
          <w:szCs w:val="28"/>
        </w:rPr>
      </w:pPr>
      <w:r>
        <w:rPr>
          <w:rFonts w:ascii="Arial Black" w:hAnsi="Arial Black"/>
          <w:b/>
          <w:sz w:val="28"/>
          <w:szCs w:val="28"/>
        </w:rPr>
        <w:t>NY: IRAN LIABLE - FF DIED CANCER - 9/11 – $7 MILLION</w:t>
      </w:r>
    </w:p>
    <w:p w14:paraId="22A39461" w14:textId="77777777" w:rsidR="002A66F2" w:rsidRDefault="002A66F2" w:rsidP="002A66F2">
      <w:pPr>
        <w:pStyle w:val="NoSpacing"/>
        <w:rPr>
          <w:b/>
        </w:rPr>
      </w:pPr>
    </w:p>
    <w:p w14:paraId="78800D86" w14:textId="77777777" w:rsidR="002A66F2" w:rsidRDefault="002A66F2" w:rsidP="002A66F2">
      <w:r>
        <w:t xml:space="preserve">On March 17, 2026, </w:t>
      </w:r>
      <w:r w:rsidRPr="00C777B2">
        <w:rPr>
          <w:u w:val="single"/>
        </w:rPr>
        <w:t xml:space="preserve">In </w:t>
      </w:r>
      <w:r>
        <w:rPr>
          <w:u w:val="single"/>
        </w:rPr>
        <w:t>R</w:t>
      </w:r>
      <w:r w:rsidRPr="00C777B2">
        <w:rPr>
          <w:u w:val="single"/>
        </w:rPr>
        <w:t>e Terrorist Attacks on September 11, 2001; Knight et al v. Islamic Republic of Iran</w:t>
      </w:r>
      <w:r w:rsidRPr="00C777B2">
        <w:t xml:space="preserve">, </w:t>
      </w:r>
      <w:r>
        <w:t xml:space="preserve">U.S. District Court Judge George B. Daniels, United States District Court for the Southern District of New York, held that plaintiffs </w:t>
      </w:r>
      <w:r w:rsidRPr="002240F5">
        <w:t>who developed fatal medical conditions after 9/11-related environmental exposure</w:t>
      </w:r>
      <w:r>
        <w:t>s are entitled to a default judgment against the Iran (which has never replied to any of the plaintiffs’ lawsuits).  Iran is liable under the  2016 terrorism exception to the F</w:t>
      </w:r>
      <w:r w:rsidRPr="007F3DB7">
        <w:t xml:space="preserve">oreign Sovereign Immunities Act [FSIA]; 28 U.S. Code § 1605A - Terrorism exception to the jurisdictional immunity of a foreign state. </w:t>
      </w:r>
      <w:hyperlink r:id="rId602" w:history="1">
        <w:r w:rsidRPr="007F3DB7">
          <w:rPr>
            <w:rStyle w:val="Hyperlink"/>
          </w:rPr>
          <w:t>https://www.law.cornell.edu/uscode/text/28/1605A</w:t>
        </w:r>
      </w:hyperlink>
      <w:r>
        <w:t xml:space="preserve">. One of the plaintiffs is the Estate of Albert Filosa, FDN, seeking recovery for his </w:t>
      </w:r>
      <w:r w:rsidRPr="009C1F1C">
        <w:t>latent injuries and subsequent death</w:t>
      </w:r>
      <w:r>
        <w:t xml:space="preserve"> at age 70.  The Judge held that U.S. </w:t>
      </w:r>
      <w:r w:rsidRPr="00CF1F22">
        <w:t>Magistrate Judge Netburn correctly determined that the Filosa Estate</w:t>
      </w:r>
      <w:r>
        <w:t xml:space="preserve"> is </w:t>
      </w:r>
      <w:r w:rsidRPr="00CF1F22">
        <w:t xml:space="preserve"> entitled to a baseline award of $7,000,000 in damages based on “severe” injuries stemming from </w:t>
      </w:r>
      <w:r>
        <w:t xml:space="preserve">his </w:t>
      </w:r>
      <w:r w:rsidRPr="00CF1F22">
        <w:t>role as</w:t>
      </w:r>
      <w:r>
        <w:t xml:space="preserve"> a</w:t>
      </w:r>
      <w:r w:rsidRPr="00CF1F22">
        <w:t xml:space="preserve"> first responder to the 9/11 </w:t>
      </w:r>
      <w:r>
        <w:t>a</w:t>
      </w:r>
      <w:r w:rsidRPr="00CF1F22">
        <w:t>ttacks.</w:t>
      </w:r>
      <w:r>
        <w:t xml:space="preserve"> Family has no way to collect unless can find Iran assets. </w:t>
      </w:r>
      <w:hyperlink r:id="rId603" w:history="1">
        <w:r w:rsidRPr="009500C1">
          <w:rPr>
            <w:rStyle w:val="Hyperlink"/>
          </w:rPr>
          <w:t>https://public.fastcase.com/Jhe1Qn%2BmJndQYQU6z%2FeNm525CuDWbNdyVkYCPMsZ0T5YpmzSSkpneXijYslIbSF5OmudrAoxw3Ae8PMhEMNZsP67fNH%2FZ%2FwnrBtLVmm5SAU%3D?utm_medium=email&amp;_hsenc=p2ANqtz-9semzM2ZQJ5MEhp_UWNRAg9Ejc_wupFqaRucLy6fQyzUPCHHSZ-OwHACqIjxggJtdwV9jTjO8a6Rf4TL88Oco6y4mJgQ&amp;_hsmi=226712652&amp;utm_content=226712652&amp;utm_source=hs_email</w:t>
        </w:r>
      </w:hyperlink>
      <w:r>
        <w:t xml:space="preserve"> </w:t>
      </w:r>
    </w:p>
    <w:p w14:paraId="6393C809" w14:textId="77777777" w:rsidR="002A66F2" w:rsidRDefault="002A66F2" w:rsidP="002A66F2"/>
    <w:p w14:paraId="376DF2F0" w14:textId="77777777" w:rsidR="002A66F2" w:rsidRDefault="002A66F2" w:rsidP="002A66F2">
      <w:r>
        <w:t>THE COURT HELD:</w:t>
      </w:r>
    </w:p>
    <w:p w14:paraId="100DA9B9" w14:textId="77777777" w:rsidR="002A66F2" w:rsidRDefault="002A66F2" w:rsidP="002A66F2">
      <w:pPr>
        <w:ind w:left="720"/>
      </w:pPr>
      <w:r>
        <w:lastRenderedPageBreak/>
        <w:t>“</w:t>
      </w:r>
      <w:r w:rsidRPr="00F7319E">
        <w:t>This Court has previously granted partial default judgment motions for plaintiffs who developed fatal medical conditions after 9/11-related environmental exposures</w:t>
      </w:r>
      <w:r>
        <w:t xml:space="preserve">…. </w:t>
      </w:r>
      <w:r w:rsidRPr="00F7319E">
        <w:t>This Court has not yet, however, addressed recovery for claims by living plaintiffs who developed non-fatal latent conditions after 9/11-related environmental exposures.</w:t>
      </w:r>
    </w:p>
    <w:p w14:paraId="7734CB16" w14:textId="77777777" w:rsidR="002A66F2" w:rsidRDefault="002A66F2" w:rsidP="002A66F2">
      <w:pPr>
        <w:ind w:left="720"/>
      </w:pPr>
      <w:r w:rsidRPr="003F5009">
        <w:t xml:space="preserve">Before this Court are two Reports and Recommendations issued by Magistrate Judge Netburn recommending that this Court grant the </w:t>
      </w:r>
      <w:r w:rsidRPr="003F5009">
        <w:rPr>
          <w:i/>
          <w:iCs/>
        </w:rPr>
        <w:t>Knight, Rodriguez, Johnson,</w:t>
      </w:r>
      <w:r w:rsidRPr="003F5009">
        <w:t xml:space="preserve"> and </w:t>
      </w:r>
      <w:r w:rsidRPr="003F5009">
        <w:rPr>
          <w:i/>
          <w:iCs/>
        </w:rPr>
        <w:t>Gaston</w:t>
      </w:r>
      <w:r w:rsidRPr="003F5009">
        <w:t xml:space="preserve"> Plaintiffs' motions for non-fatal latent injuries, and recommending the amounts in which each Plaintiff should be awarded pain and suffering damages</w:t>
      </w:r>
      <w:r>
        <w:t xml:space="preserve">…. </w:t>
      </w:r>
      <w:r w:rsidRPr="003F5009">
        <w:t>No party objected to the Nonfatal Latent Injury Reports. This Court ADOPTS the Non-fatal Latent Injury Reports in full.</w:t>
      </w:r>
    </w:p>
    <w:p w14:paraId="3F6003A1" w14:textId="77777777" w:rsidR="002A66F2" w:rsidRDefault="002A66F2" w:rsidP="002A66F2">
      <w:pPr>
        <w:ind w:left="720"/>
      </w:pPr>
      <w:r>
        <w:t>***</w:t>
      </w:r>
    </w:p>
    <w:p w14:paraId="6177FC0C" w14:textId="77777777" w:rsidR="002A66F2" w:rsidRDefault="002A66F2" w:rsidP="002A66F2">
      <w:pPr>
        <w:ind w:left="720"/>
      </w:pPr>
      <w:r w:rsidRPr="00D9141E">
        <w:t>It is immaterial that some Plaintiffs were only present at the World Trade Center (</w:t>
      </w:r>
      <w:r>
        <w:t>‘</w:t>
      </w:r>
      <w:r w:rsidRPr="00D9141E">
        <w:t>WTC</w:t>
      </w:r>
      <w:r>
        <w:t>’</w:t>
      </w:r>
      <w:r w:rsidRPr="00D9141E">
        <w:t>) after September 11, 2001, or that some Plaintiffs participated in processing debris from the WTC site in a different borough</w:t>
      </w:r>
      <w:r>
        <w:t xml:space="preserve">…. </w:t>
      </w:r>
      <w:r w:rsidRPr="00D9141E">
        <w:t xml:space="preserve">Because the Plaintiffs were exposed to the toxins, carcinogens, and debris </w:t>
      </w:r>
      <w:proofErr w:type="gramStart"/>
      <w:r w:rsidRPr="00D9141E">
        <w:t>as a result of</w:t>
      </w:r>
      <w:proofErr w:type="gramEnd"/>
      <w:r w:rsidRPr="00D9141E">
        <w:t xml:space="preserve"> the 9/11 Attacks, Magistrate Judge Netburn properly concluded that the Plaintiffs are entitled to recovery.</w:t>
      </w:r>
    </w:p>
    <w:p w14:paraId="530D39EA" w14:textId="77777777" w:rsidR="002A66F2" w:rsidRDefault="002A66F2" w:rsidP="002A66F2">
      <w:pPr>
        <w:ind w:left="720"/>
      </w:pPr>
      <w:r>
        <w:t>***</w:t>
      </w:r>
    </w:p>
    <w:p w14:paraId="3D73B2E1" w14:textId="77777777" w:rsidR="002A66F2" w:rsidRDefault="002A66F2" w:rsidP="002A66F2">
      <w:pPr>
        <w:ind w:left="720"/>
      </w:pPr>
      <w:r w:rsidRPr="00B25119">
        <w:t xml:space="preserve">The Filosa Estate seeks recovery for the latent injuries and subsequent death suffered by firefighter and first-responder </w:t>
      </w:r>
      <w:proofErr w:type="gramStart"/>
      <w:r w:rsidRPr="00B25119">
        <w:t>Albert Filosa, and</w:t>
      </w:r>
      <w:proofErr w:type="gramEnd"/>
      <w:r w:rsidRPr="00B25119">
        <w:t xml:space="preserve"> provides to the Court a VCF eligibility letter that reflects the agency's conclusion that Filosa's injuries were a </w:t>
      </w:r>
      <w:r>
        <w:t>‘</w:t>
      </w:r>
      <w:r w:rsidRPr="00B25119">
        <w:t>direct result of the 9/11 Attacks.</w:t>
      </w:r>
      <w:r>
        <w:t xml:space="preserve">’ … </w:t>
      </w:r>
      <w:r w:rsidRPr="00B25119">
        <w:t>Based on the evidence provided by the Filosa Estate, Magistrate Judge Netburn properly concluded that the Filosa Estate sufficiently establishes causation.</w:t>
      </w:r>
      <w:r>
        <w:t>”</w:t>
      </w:r>
    </w:p>
    <w:p w14:paraId="1AA238A8" w14:textId="77777777" w:rsidR="002A66F2" w:rsidRDefault="002A66F2" w:rsidP="002A66F2">
      <w:pPr>
        <w:rPr>
          <w:b/>
          <w:bCs/>
        </w:rPr>
      </w:pPr>
      <w:r>
        <w:rPr>
          <w:b/>
        </w:rPr>
        <w:t xml:space="preserve">Legal lesson learned:  Unless family can locate Iran assets, they will not be able to collect this judgment. </w:t>
      </w:r>
    </w:p>
    <w:p w14:paraId="5C64537B" w14:textId="77777777" w:rsidR="002A66F2" w:rsidRDefault="002A66F2" w:rsidP="002A66F2">
      <w:pPr>
        <w:pStyle w:val="NoSpacing"/>
        <w:ind w:left="720"/>
        <w:rPr>
          <w:b/>
        </w:rPr>
      </w:pPr>
      <w:r>
        <w:t xml:space="preserve">Note: See the </w:t>
      </w:r>
      <w:r w:rsidRPr="0046685C">
        <w:t xml:space="preserve">National Fallen Firefighters Foundation Roll of Honor for </w:t>
      </w:r>
      <w:proofErr w:type="gramStart"/>
      <w:r w:rsidRPr="0046685C">
        <w:t>firefighter</w:t>
      </w:r>
      <w:proofErr w:type="gramEnd"/>
      <w:r w:rsidRPr="0046685C">
        <w:t xml:space="preserve"> Albert Filosa: </w:t>
      </w:r>
      <w:r>
        <w:t xml:space="preserve"> “</w:t>
      </w:r>
      <w:hyperlink r:id="rId604" w:history="1"/>
      <w:r w:rsidRPr="006A1EEB">
        <w:t xml:space="preserve">He died of cancer, a cancer caused from digging through the rubble in the days following 9/11, searching for remains. He died at 70 years old, and in his last year of life he was painfully sick, which was difficult to witness. The cancer had </w:t>
      </w:r>
      <w:proofErr w:type="gramStart"/>
      <w:r w:rsidRPr="006A1EEB">
        <w:t>metastasized to</w:t>
      </w:r>
      <w:proofErr w:type="gramEnd"/>
      <w:r w:rsidRPr="006A1EEB">
        <w:t xml:space="preserve"> his lungs. He required constant care; he couldn’t breathe. He died at home the way that he wished, surrounded by his family.</w:t>
      </w:r>
      <w:r>
        <w:t>”</w:t>
      </w:r>
      <w:r w:rsidRPr="006A1EEB">
        <w:t xml:space="preserve"> </w:t>
      </w:r>
      <w:hyperlink r:id="rId605" w:history="1">
        <w:r w:rsidRPr="002B6C59">
          <w:rPr>
            <w:rStyle w:val="Hyperlink"/>
            <w:b/>
          </w:rPr>
          <w:t>https://www.firehero.org/fallen-firefighter/albert-a-filosa/</w:t>
        </w:r>
      </w:hyperlink>
      <w:r>
        <w:rPr>
          <w:b/>
        </w:rPr>
        <w:t xml:space="preserve"> </w:t>
      </w:r>
    </w:p>
    <w:p w14:paraId="0FE37658" w14:textId="77777777" w:rsidR="002A66F2" w:rsidRDefault="002A66F2" w:rsidP="002A66F2">
      <w:pPr>
        <w:pStyle w:val="NoSpacing"/>
        <w:ind w:left="720"/>
        <w:rPr>
          <w:b/>
        </w:rPr>
      </w:pPr>
    </w:p>
    <w:p w14:paraId="7A8AB010" w14:textId="243FCD96" w:rsidR="002A66F2" w:rsidRDefault="002A66F2" w:rsidP="002A66F2">
      <w:pPr>
        <w:pStyle w:val="NoSpacing"/>
        <w:rPr>
          <w:rFonts w:ascii="Arial Black" w:hAnsi="Arial Black"/>
          <w:sz w:val="28"/>
          <w:szCs w:val="28"/>
        </w:rPr>
      </w:pPr>
      <w:r w:rsidRPr="0052375E">
        <w:t xml:space="preserve">See my article about this decision, and another decision </w:t>
      </w:r>
      <w:r>
        <w:t xml:space="preserve">allowing lawsuits to proceed against </w:t>
      </w:r>
      <w:r w:rsidRPr="0052375E">
        <w:t xml:space="preserve">Saudi Arabia. April 20, 2026: 9/11 Litigation Is Building </w:t>
      </w:r>
      <w:proofErr w:type="gramStart"/>
      <w:r w:rsidRPr="0052375E">
        <w:t>A</w:t>
      </w:r>
      <w:proofErr w:type="gramEnd"/>
      <w:r w:rsidRPr="0052375E">
        <w:t xml:space="preserve"> New Legal Framework </w:t>
      </w:r>
      <w:proofErr w:type="gramStart"/>
      <w:r w:rsidRPr="0052375E">
        <w:t>For</w:t>
      </w:r>
      <w:proofErr w:type="gramEnd"/>
      <w:r w:rsidRPr="0052375E">
        <w:t xml:space="preserve"> Foreign Terrorist Accountability </w:t>
      </w:r>
      <w:hyperlink r:id="rId606" w:history="1">
        <w:r w:rsidRPr="0052375E">
          <w:rPr>
            <w:rStyle w:val="Hyperlink"/>
          </w:rPr>
          <w:t>https://www.hstoday.us/subject-matter-areas/counterterrorism/9-11-litigation-is-building-a-new-legal-framework-for-foreign-terrorist-accountability/</w:t>
        </w:r>
      </w:hyperlink>
    </w:p>
    <w:p w14:paraId="5D4848F3" w14:textId="77777777" w:rsidR="007328CD" w:rsidRDefault="007328CD" w:rsidP="00CC37FA">
      <w:pPr>
        <w:pStyle w:val="NoSpacing"/>
        <w:rPr>
          <w:rFonts w:ascii="Arial Black" w:hAnsi="Arial Black"/>
          <w:sz w:val="28"/>
          <w:szCs w:val="28"/>
        </w:rPr>
      </w:pPr>
    </w:p>
    <w:p w14:paraId="1E455497" w14:textId="77777777" w:rsidR="007328CD" w:rsidRDefault="007328CD" w:rsidP="00CC37FA">
      <w:pPr>
        <w:pStyle w:val="NoSpacing"/>
        <w:rPr>
          <w:rFonts w:ascii="Arial Black" w:hAnsi="Arial Black"/>
          <w:sz w:val="28"/>
          <w:szCs w:val="28"/>
        </w:rPr>
      </w:pPr>
    </w:p>
    <w:p w14:paraId="52C89594" w14:textId="39236779" w:rsidR="00BE7AC1" w:rsidRDefault="00BE7AC1" w:rsidP="00CC37FA">
      <w:pPr>
        <w:pStyle w:val="NoSpacing"/>
        <w:rPr>
          <w:rFonts w:ascii="Arial Black" w:hAnsi="Arial Black"/>
          <w:sz w:val="28"/>
          <w:szCs w:val="28"/>
        </w:rPr>
      </w:pPr>
      <w:r>
        <w:rPr>
          <w:rFonts w:ascii="Arial Black" w:hAnsi="Arial Black"/>
          <w:sz w:val="28"/>
          <w:szCs w:val="28"/>
        </w:rPr>
        <w:t>3-89</w:t>
      </w:r>
    </w:p>
    <w:p w14:paraId="76FC1B0D" w14:textId="77777777" w:rsidR="00BE7AC1" w:rsidRDefault="00BE7AC1" w:rsidP="00CC37FA">
      <w:pPr>
        <w:pStyle w:val="NoSpacing"/>
        <w:rPr>
          <w:rFonts w:ascii="Arial Black" w:hAnsi="Arial Black"/>
          <w:sz w:val="28"/>
          <w:szCs w:val="28"/>
        </w:rPr>
      </w:pPr>
    </w:p>
    <w:p w14:paraId="1552BB92" w14:textId="77777777" w:rsidR="000B47B1" w:rsidRPr="00B1344C" w:rsidRDefault="000B47B1" w:rsidP="000B47B1">
      <w:pPr>
        <w:pStyle w:val="NoSpacing"/>
        <w:rPr>
          <w:rFonts w:ascii="Arial Black" w:hAnsi="Arial Black"/>
          <w:sz w:val="28"/>
          <w:szCs w:val="28"/>
        </w:rPr>
      </w:pPr>
      <w:r>
        <w:rPr>
          <w:rFonts w:ascii="Arial Black" w:hAnsi="Arial Black"/>
          <w:sz w:val="28"/>
          <w:szCs w:val="28"/>
        </w:rPr>
        <w:t>PA: WEAPON MASS DESTRUCTION – TANNERITE - EMT HURT</w:t>
      </w:r>
    </w:p>
    <w:p w14:paraId="21F27C06" w14:textId="77777777" w:rsidR="000B47B1" w:rsidRDefault="000B47B1" w:rsidP="000B47B1">
      <w:pPr>
        <w:pStyle w:val="NoSpacing"/>
      </w:pPr>
    </w:p>
    <w:p w14:paraId="6E8CBD8E" w14:textId="77777777" w:rsidR="000B47B1" w:rsidRDefault="000B47B1" w:rsidP="000B47B1">
      <w:pPr>
        <w:pStyle w:val="NoSpacing"/>
        <w:rPr>
          <w:b/>
        </w:rPr>
      </w:pPr>
      <w:r w:rsidRPr="00072212">
        <w:t xml:space="preserve">On February 19, 2026, in </w:t>
      </w:r>
      <w:r w:rsidRPr="008B14E8">
        <w:rPr>
          <w:u w:val="single"/>
        </w:rPr>
        <w:t>Commonwealth of Pennsylvania v. Ladell Emery Hannon</w:t>
      </w:r>
      <w:r w:rsidRPr="00072212">
        <w:t>, the Superior Court of Pennsylvania</w:t>
      </w:r>
      <w:r>
        <w:t>, held (3 to 0; unpublished decision) that jury properly convicted a former  police officer of use of a weapon of mass destruction [Tannerite], and stalking an EMT [</w:t>
      </w:r>
      <w:r w:rsidRPr="00B10086">
        <w:t>Harrison Jordan</w:t>
      </w:r>
      <w:r>
        <w:t xml:space="preserve">] who was dating his former wife [also an EMT].  </w:t>
      </w:r>
      <w:r w:rsidRPr="007E0B7E">
        <w:t>Tannerite</w:t>
      </w:r>
      <w:r>
        <w:t xml:space="preserve"> </w:t>
      </w:r>
      <w:r w:rsidRPr="007E0B7E">
        <w:t>is used to produce exploding targets for long-range shooting practice.</w:t>
      </w:r>
      <w:r>
        <w:t xml:space="preserve"> The police officer put tracers on his former wife’s vehicle and on Mr. Jordan’s vehicle. On December 21, 2021, Jordan was injured by an explosion outside his apartment - a five-gallon bucket of Tannerite exploded injuring Jordan; he suffered ruptured eardrums, wounds caused by shrapnel and cement, and burns; the explosion also damaged the apartment building.  The defendant  was sentenced on </w:t>
      </w:r>
      <w:r>
        <w:lastRenderedPageBreak/>
        <w:t xml:space="preserve">November 22, </w:t>
      </w:r>
      <w:proofErr w:type="gramStart"/>
      <w:r>
        <w:t>2024</w:t>
      </w:r>
      <w:proofErr w:type="gramEnd"/>
      <w:r>
        <w:t xml:space="preserve"> to an aggregate term of 17½ to 35 years of incarceration.  </w:t>
      </w:r>
      <w:hyperlink r:id="rId607" w:history="1">
        <w:r w:rsidRPr="00A9331C">
          <w:rPr>
            <w:rStyle w:val="Hyperlink"/>
            <w:b/>
          </w:rPr>
          <w:t>https://www.pacourts.us/assets/opinions/Superior/out/J-S42019-25m%20-%20106685903347676413.pdf?cb=1</w:t>
        </w:r>
      </w:hyperlink>
      <w:r>
        <w:rPr>
          <w:b/>
        </w:rPr>
        <w:t xml:space="preserve"> </w:t>
      </w:r>
    </w:p>
    <w:p w14:paraId="2850E673" w14:textId="77777777" w:rsidR="000B47B1" w:rsidRDefault="000B47B1" w:rsidP="000B47B1">
      <w:pPr>
        <w:pStyle w:val="NoSpacing"/>
      </w:pPr>
    </w:p>
    <w:p w14:paraId="42A598FA" w14:textId="77777777" w:rsidR="000B47B1" w:rsidRDefault="000B47B1" w:rsidP="000B47B1">
      <w:pPr>
        <w:pStyle w:val="NoSpacing"/>
      </w:pPr>
    </w:p>
    <w:p w14:paraId="65EA886F" w14:textId="77777777" w:rsidR="000B47B1" w:rsidRDefault="000B47B1" w:rsidP="000B47B1">
      <w:pPr>
        <w:pStyle w:val="NoSpacing"/>
      </w:pPr>
      <w:r>
        <w:t>THE COURT HELD: “Early in the morning on December 21, 2021, Mr. Jordan left his</w:t>
      </w:r>
    </w:p>
    <w:p w14:paraId="7180ED74" w14:textId="77777777" w:rsidR="000B47B1" w:rsidRDefault="000B47B1" w:rsidP="000B47B1">
      <w:pPr>
        <w:pStyle w:val="NoSpacing"/>
      </w:pPr>
      <w:r>
        <w:t>apartment. However, he noticed a smoking five-gallon bucket outside of his residence. Mr. Jordan attempted to run but did not get far before the bucket exploded. The explosion caused extensive damage to the apartment building, a vacant church opposite the building, and vehicles parked along the street. The explosion also shattered the window of [another resident’s] apartment, cut his finger and damaged his car, and damaged the apartment building itself, which</w:t>
      </w:r>
    </w:p>
    <w:p w14:paraId="7A2260E4" w14:textId="77777777" w:rsidR="000B47B1" w:rsidRDefault="000B47B1" w:rsidP="000B47B1">
      <w:pPr>
        <w:pStyle w:val="NoSpacing"/>
      </w:pPr>
      <w:r>
        <w:t>was owned by D. Agostino. Mr. Jordan suffered ruptured eardrums, wounds caused by shrapnel and cement, and burns. He was taken by ambulance to a local hospital but eventually airlifted to a larger facility in Allentown.</w:t>
      </w:r>
    </w:p>
    <w:p w14:paraId="13EBFE72" w14:textId="77777777" w:rsidR="000B47B1" w:rsidRDefault="000B47B1" w:rsidP="000B47B1">
      <w:pPr>
        <w:pStyle w:val="NoSpacing"/>
      </w:pPr>
    </w:p>
    <w:p w14:paraId="5F8D1961" w14:textId="77777777" w:rsidR="000B47B1" w:rsidRDefault="000B47B1" w:rsidP="000B47B1">
      <w:pPr>
        <w:pStyle w:val="NoSpacing"/>
      </w:pPr>
      <w:r>
        <w:t>***</w:t>
      </w:r>
    </w:p>
    <w:p w14:paraId="43138065" w14:textId="77777777" w:rsidR="000B47B1" w:rsidRDefault="000B47B1" w:rsidP="000B47B1">
      <w:pPr>
        <w:pStyle w:val="NoSpacing"/>
      </w:pPr>
      <w:r>
        <w:t xml:space="preserve">During the subsequent investigation, police officers discovered a tracker installed under Ms. Hannon’s vehicle. Officers determined that Appellant had purchased six total trackers, including one placed on Mr. Jordan’s car, and had obtained subscriptions for electronic receipt of the tracking information. Officers also tracked the locations of Appellant’s two cell phones leading up to the </w:t>
      </w:r>
      <w:proofErr w:type="gramStart"/>
      <w:r>
        <w:t>explosion, and</w:t>
      </w:r>
      <w:proofErr w:type="gramEnd"/>
      <w:r>
        <w:t xml:space="preserve"> determined that either one or both of Appellant’s phones were near or at Mr. Jordan’s home frequently at various times of the day and evening in October and November, including the day Mr. Jordan’s camera was stolen.</w:t>
      </w:r>
    </w:p>
    <w:p w14:paraId="5E317A95" w14:textId="77777777" w:rsidR="000B47B1" w:rsidRDefault="000B47B1" w:rsidP="000B47B1">
      <w:pPr>
        <w:pStyle w:val="NoSpacing"/>
      </w:pPr>
    </w:p>
    <w:p w14:paraId="2B388271" w14:textId="77777777" w:rsidR="000B47B1" w:rsidRDefault="000B47B1" w:rsidP="000B47B1">
      <w:pPr>
        <w:pStyle w:val="NoSpacing"/>
      </w:pPr>
      <w:r>
        <w:t>***</w:t>
      </w:r>
    </w:p>
    <w:p w14:paraId="31F0FA80" w14:textId="77777777" w:rsidR="000B47B1" w:rsidRDefault="000B47B1" w:rsidP="000B47B1">
      <w:pPr>
        <w:pStyle w:val="NoSpacing"/>
      </w:pPr>
    </w:p>
    <w:p w14:paraId="04C6C4FD" w14:textId="77777777" w:rsidR="000B47B1" w:rsidRDefault="000B47B1" w:rsidP="000B47B1">
      <w:pPr>
        <w:pStyle w:val="NoSpacing"/>
      </w:pPr>
      <w:r>
        <w:t xml:space="preserve">Further, police officers tracked Appellant’s purchases and discovered that he had made purchases at fireworks stores that coincided with the costs of hobby fuses, a book called The Art of Lockpicking, and reports on Mr. Jordan from various data aggregator sites such as Spokeo and </w:t>
      </w:r>
      <w:proofErr w:type="spellStart"/>
      <w:r>
        <w:t>Peoplefinders</w:t>
      </w:r>
      <w:proofErr w:type="spellEnd"/>
      <w:r>
        <w:t xml:space="preserve">. </w:t>
      </w:r>
      <w:proofErr w:type="gramStart"/>
      <w:r>
        <w:t>Appellant</w:t>
      </w:r>
      <w:proofErr w:type="gramEnd"/>
      <w:r>
        <w:t xml:space="preserve"> also made suspicious searches from September through December,</w:t>
      </w:r>
    </w:p>
    <w:p w14:paraId="587FD222" w14:textId="77777777" w:rsidR="000B47B1" w:rsidRDefault="000B47B1" w:rsidP="000B47B1">
      <w:pPr>
        <w:pStyle w:val="NoSpacing"/>
      </w:pPr>
      <w:r>
        <w:t xml:space="preserve">which included inquiries about Spokeo, Mr. Jordan, lockpicking sets, fireworks, ‘how many pounds of [Tannerite] is deadly’ and ‘10 </w:t>
      </w:r>
      <w:proofErr w:type="spellStart"/>
      <w:r>
        <w:t>lbs</w:t>
      </w:r>
      <w:proofErr w:type="spellEnd"/>
      <w:r>
        <w:t xml:space="preserve"> of </w:t>
      </w:r>
      <w:proofErr w:type="spellStart"/>
      <w:r>
        <w:t>tannerite</w:t>
      </w:r>
      <w:proofErr w:type="spellEnd"/>
      <w:r>
        <w:t xml:space="preserve"> vs. car,’ homemade detonators, and how many foot-pounds of energy were required to kill a human being or penetrate a human skull.”</w:t>
      </w:r>
    </w:p>
    <w:p w14:paraId="3AAD5358" w14:textId="77777777" w:rsidR="000B47B1" w:rsidRDefault="000B47B1" w:rsidP="000B47B1">
      <w:pPr>
        <w:pStyle w:val="NoSpacing"/>
      </w:pPr>
    </w:p>
    <w:p w14:paraId="26632D83" w14:textId="77777777" w:rsidR="000B47B1" w:rsidRDefault="000B47B1" w:rsidP="000B47B1">
      <w:pPr>
        <w:pStyle w:val="NoSpacing"/>
        <w:rPr>
          <w:b/>
          <w:bCs/>
        </w:rPr>
      </w:pPr>
      <w:r w:rsidRPr="00E23CB9">
        <w:rPr>
          <w:b/>
        </w:rPr>
        <w:t xml:space="preserve">Legal lesson learned: </w:t>
      </w:r>
      <w:r>
        <w:rPr>
          <w:b/>
        </w:rPr>
        <w:t xml:space="preserve">Circumstantial evidence proved the defendant was the bomber. </w:t>
      </w:r>
    </w:p>
    <w:p w14:paraId="45D5CC90" w14:textId="77777777" w:rsidR="000B47B1" w:rsidRDefault="000B47B1" w:rsidP="000B47B1">
      <w:pPr>
        <w:pStyle w:val="NoSpacing"/>
        <w:ind w:left="720"/>
      </w:pPr>
    </w:p>
    <w:p w14:paraId="36157F37" w14:textId="77777777" w:rsidR="000B47B1" w:rsidRPr="004E5F9F" w:rsidRDefault="000B47B1" w:rsidP="000B47B1">
      <w:pPr>
        <w:pStyle w:val="NoSpacing"/>
        <w:ind w:left="720"/>
      </w:pPr>
      <w:r w:rsidRPr="004E5F9F">
        <w:t xml:space="preserve">Note: See this article: September 26, 2016: “Explosives used in New York bombing.” </w:t>
      </w:r>
      <w:hyperlink r:id="rId608" w:history="1">
        <w:r w:rsidRPr="0045422A">
          <w:rPr>
            <w:rStyle w:val="Hyperlink"/>
          </w:rPr>
          <w:t>https://pubs.acs.org/doi/10.1021/cen-09438-notw2</w:t>
        </w:r>
      </w:hyperlink>
      <w:r w:rsidRPr="004E5F9F">
        <w:t xml:space="preserve"> </w:t>
      </w:r>
    </w:p>
    <w:p w14:paraId="71BE1EB8" w14:textId="77777777" w:rsidR="000B47B1" w:rsidRDefault="000B47B1" w:rsidP="000B47B1">
      <w:pPr>
        <w:pStyle w:val="NoSpacing"/>
        <w:rPr>
          <w:b/>
          <w:bCs/>
        </w:rPr>
      </w:pPr>
    </w:p>
    <w:p w14:paraId="25AD6C76" w14:textId="77777777" w:rsidR="000B47B1" w:rsidRDefault="000B47B1" w:rsidP="000B47B1">
      <w:pPr>
        <w:pStyle w:val="NoSpacing"/>
        <w:ind w:left="720"/>
      </w:pPr>
      <w:r>
        <w:t>“</w:t>
      </w:r>
      <w:r w:rsidRPr="007E0B7E">
        <w:t xml:space="preserve">Tannerite, made and sold by Tannerite Sports, is used to produce exploding targets for long-range shooting practice. The targets explode when hit by a bullet, allowing shooters to hear and see that they’ve successfully made the shot. According to the </w:t>
      </w:r>
      <w:hyperlink r:id="rId609" w:tgtFrame="_blank" w:history="1">
        <w:r w:rsidRPr="007E0B7E">
          <w:rPr>
            <w:rStyle w:val="Hyperlink"/>
            <w:color w:val="auto"/>
          </w:rPr>
          <w:t>Tannerite patent</w:t>
        </w:r>
      </w:hyperlink>
      <w:r w:rsidRPr="007E0B7E">
        <w:t>, the explosive consists of an 8:1 ratio of two mixtures: a so-called oxidizer component containing 85% ammonium nitrate powder by weight, and 15% ammonium perchlorate; and a “catalyst” component that is 90% explosive grade aluminum powder—which serves as the fuel—along with 5% titanium sponge and 5% zirconium hydride</w:t>
      </w:r>
      <w:r>
        <w:t>.”</w:t>
      </w:r>
    </w:p>
    <w:p w14:paraId="576D7E39" w14:textId="77777777" w:rsidR="00BE7AC1" w:rsidRDefault="00BE7AC1" w:rsidP="00CC37FA">
      <w:pPr>
        <w:pStyle w:val="NoSpacing"/>
        <w:rPr>
          <w:rFonts w:ascii="Arial Black" w:hAnsi="Arial Black"/>
          <w:sz w:val="28"/>
          <w:szCs w:val="28"/>
        </w:rPr>
      </w:pPr>
    </w:p>
    <w:p w14:paraId="6D79308B" w14:textId="77777777" w:rsidR="00BE7AC1" w:rsidRDefault="00BE7AC1" w:rsidP="00CC37FA">
      <w:pPr>
        <w:pStyle w:val="NoSpacing"/>
        <w:rPr>
          <w:rFonts w:ascii="Arial Black" w:hAnsi="Arial Black"/>
          <w:sz w:val="28"/>
          <w:szCs w:val="28"/>
        </w:rPr>
      </w:pPr>
    </w:p>
    <w:p w14:paraId="35F0F643" w14:textId="77777777" w:rsidR="00BE7AC1" w:rsidRDefault="00BE7AC1" w:rsidP="00CC37FA">
      <w:pPr>
        <w:pStyle w:val="NoSpacing"/>
        <w:rPr>
          <w:rFonts w:ascii="Arial Black" w:hAnsi="Arial Black"/>
          <w:sz w:val="28"/>
          <w:szCs w:val="28"/>
        </w:rPr>
      </w:pPr>
    </w:p>
    <w:p w14:paraId="365B8F72" w14:textId="5D48339D" w:rsidR="008963C8" w:rsidRDefault="008963C8"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88</w:t>
      </w:r>
    </w:p>
    <w:p w14:paraId="3382E598" w14:textId="77777777" w:rsidR="000F1A96" w:rsidRDefault="000F1A96" w:rsidP="00520B72">
      <w:pPr>
        <w:pStyle w:val="NoSpacing"/>
        <w:rPr>
          <w:rFonts w:ascii="Arial Black" w:hAnsi="Arial Black"/>
          <w:sz w:val="28"/>
          <w:szCs w:val="28"/>
        </w:rPr>
      </w:pPr>
    </w:p>
    <w:p w14:paraId="42897F37" w14:textId="2D731895" w:rsidR="00520B72" w:rsidRPr="00A20616" w:rsidRDefault="00520B72" w:rsidP="00520B72">
      <w:pPr>
        <w:pStyle w:val="NoSpacing"/>
        <w:rPr>
          <w:rFonts w:ascii="Arial Black" w:hAnsi="Arial Black"/>
          <w:sz w:val="28"/>
          <w:szCs w:val="28"/>
        </w:rPr>
      </w:pPr>
      <w:r>
        <w:rPr>
          <w:rFonts w:ascii="Arial Black" w:hAnsi="Arial Black"/>
          <w:sz w:val="28"/>
          <w:szCs w:val="28"/>
        </w:rPr>
        <w:t>U.S. SUP. CT. – NAT. GUARD IN CHICAGO – NO DEPLOYMENT</w:t>
      </w:r>
    </w:p>
    <w:p w14:paraId="2FE23234" w14:textId="77777777" w:rsidR="00520B72" w:rsidRDefault="00520B72" w:rsidP="00520B72">
      <w:pPr>
        <w:pStyle w:val="NoSpacing"/>
      </w:pPr>
    </w:p>
    <w:p w14:paraId="13ACCAD6" w14:textId="77777777" w:rsidR="00520B72" w:rsidRDefault="00520B72" w:rsidP="00520B72">
      <w:pPr>
        <w:pStyle w:val="NoSpacing"/>
      </w:pPr>
      <w:r>
        <w:t xml:space="preserve">On December 23, 2025, in </w:t>
      </w:r>
      <w:r w:rsidRPr="00850CDB">
        <w:rPr>
          <w:u w:val="single"/>
        </w:rPr>
        <w:t>Donald J. Trump, President of the United States, et al. v. Illinois, et al</w:t>
      </w:r>
      <w:r>
        <w:t xml:space="preserve">., the United States Supreme Court (6 to 3) issued on its “emergency docket” an Order denying the U.S. Government’s application for a stay </w:t>
      </w:r>
      <w:r>
        <w:lastRenderedPageBreak/>
        <w:t>of temporary injunction issued by U.S. District Court in Chicago.  In a lawsuit brought by the State of Illinois, the District Court judge (upheld by 3-judge panel of 7</w:t>
      </w:r>
      <w:r w:rsidRPr="005B4A64">
        <w:rPr>
          <w:vertAlign w:val="superscript"/>
        </w:rPr>
        <w:t>th</w:t>
      </w:r>
      <w:r>
        <w:t xml:space="preserve"> Circuit) stopped deployment of Illinois and Texas National Guard members. </w:t>
      </w:r>
      <w:r w:rsidRPr="00453684">
        <w:t>On October 4, 2025, the President called 300 members of</w:t>
      </w:r>
      <w:r>
        <w:t xml:space="preserve"> </w:t>
      </w:r>
      <w:r w:rsidRPr="00453684">
        <w:t xml:space="preserve">the Illinois National Guard into active federal service </w:t>
      </w:r>
      <w:r>
        <w:t xml:space="preserve">under Title 10 </w:t>
      </w:r>
      <w:r w:rsidRPr="00453684">
        <w:t>to</w:t>
      </w:r>
      <w:r>
        <w:t xml:space="preserve"> </w:t>
      </w:r>
      <w:r w:rsidRPr="00453684">
        <w:t xml:space="preserve">protect federal personnel and property </w:t>
      </w:r>
      <w:r>
        <w:t xml:space="preserve">in and near Chicago, and the next day called up Texas National Guard.  Guard members sign up for duty under a dual-enlistment structure, with three different active operational statuses: state active duty, federal active duty under Title 10 of the U.S. Code, and full-time duty under Title 32 of the U.S. Code.  Guard members in Title 32 status have performed missions such as disaster relief, border security operations, airport security after the September 11th attacks, and COVID-19 response efforts.  </w:t>
      </w:r>
      <w:hyperlink r:id="rId610" w:history="1">
        <w:r w:rsidRPr="00B51DCA">
          <w:rPr>
            <w:rStyle w:val="Hyperlink"/>
          </w:rPr>
          <w:t>https://www.supremecourt.gov/opinions/25pdf/25a443_ba7d.pdf</w:t>
        </w:r>
      </w:hyperlink>
    </w:p>
    <w:p w14:paraId="66EE3454" w14:textId="77777777" w:rsidR="00520B72" w:rsidRDefault="00520B72" w:rsidP="00520B72">
      <w:pPr>
        <w:pStyle w:val="NoSpacing"/>
      </w:pPr>
    </w:p>
    <w:p w14:paraId="5B5A6A62" w14:textId="77777777" w:rsidR="00520B72" w:rsidRDefault="00520B72" w:rsidP="00520B72">
      <w:pPr>
        <w:pStyle w:val="NoSpacing"/>
      </w:pPr>
      <w:r>
        <w:t xml:space="preserve">THE COURT HELD: </w:t>
      </w:r>
    </w:p>
    <w:p w14:paraId="36B012B6" w14:textId="77777777" w:rsidR="00520B72" w:rsidRDefault="00520B72" w:rsidP="00520B72">
      <w:pPr>
        <w:pStyle w:val="NoSpacing"/>
      </w:pPr>
    </w:p>
    <w:p w14:paraId="1BCA932E" w14:textId="77777777" w:rsidR="00520B72" w:rsidRDefault="00520B72" w:rsidP="00520B72">
      <w:pPr>
        <w:pStyle w:val="NoSpacing"/>
        <w:ind w:left="720"/>
      </w:pPr>
      <w:r>
        <w:t>“We conclude that the term “regular forces” in §12406(3) likely refers to the regular forces of the United States military. This interpretation means that to call the Guard into</w:t>
      </w:r>
    </w:p>
    <w:p w14:paraId="457D14FE" w14:textId="77777777" w:rsidR="00520B72" w:rsidRDefault="00520B72" w:rsidP="00520B72">
      <w:pPr>
        <w:pStyle w:val="NoSpacing"/>
        <w:ind w:left="720"/>
      </w:pPr>
      <w:r>
        <w:t xml:space="preserve">active federal service under §12406(3), the President must be ‘unable’ with the regular military ‘to execute the laws of the United States.’ Because the statute requires an </w:t>
      </w:r>
    </w:p>
    <w:p w14:paraId="6A9B2079" w14:textId="77777777" w:rsidR="00520B72" w:rsidRDefault="00520B72" w:rsidP="00520B72">
      <w:pPr>
        <w:pStyle w:val="NoSpacing"/>
        <w:ind w:left="720"/>
      </w:pPr>
      <w:r>
        <w:t>assessment of the military’s ability to execute the laws, it likely applies only where the military could legally execute the laws. Such circumstances are exceptional: Under the Posse Comitatus Act, the military is prohibited from ‘</w:t>
      </w:r>
      <w:proofErr w:type="spellStart"/>
      <w:r>
        <w:t>execut</w:t>
      </w:r>
      <w:proofErr w:type="spellEnd"/>
      <w:r>
        <w:t>[</w:t>
      </w:r>
      <w:proofErr w:type="spellStart"/>
      <w:r>
        <w:t>ing</w:t>
      </w:r>
      <w:proofErr w:type="spellEnd"/>
      <w:r>
        <w:t xml:space="preserve">] the laws’ ‘except in cases and under circumstances expressly authorized by the Constitution or Act of Congress.’ 18 U. S. C. §1385. </w:t>
      </w:r>
      <w:proofErr w:type="gramStart"/>
      <w:r>
        <w:t>So</w:t>
      </w:r>
      <w:proofErr w:type="gramEnd"/>
      <w:r>
        <w:t xml:space="preserve"> before the President can federalize the Guard under §12406(3), he likely must have statutory or constitutional authority to execute the laws with the regular military and must be ‘unable’ with those forces to perform that function.’”  </w:t>
      </w:r>
    </w:p>
    <w:p w14:paraId="5C39B7BE" w14:textId="77777777" w:rsidR="00520B72" w:rsidRDefault="00520B72" w:rsidP="00520B72">
      <w:pPr>
        <w:pStyle w:val="NoSpacing"/>
        <w:ind w:left="720"/>
      </w:pPr>
      <w:r>
        <w:t xml:space="preserve"> </w:t>
      </w:r>
    </w:p>
    <w:p w14:paraId="2D4AE28B" w14:textId="77777777" w:rsidR="00520B72" w:rsidRDefault="00520B72" w:rsidP="00520B72">
      <w:pPr>
        <w:pStyle w:val="NoSpacing"/>
        <w:rPr>
          <w:b/>
          <w:bCs/>
        </w:rPr>
      </w:pPr>
      <w:r>
        <w:rPr>
          <w:b/>
        </w:rPr>
        <w:t xml:space="preserve">Legal lessons learned: Federal District Court judges in LA and Portland, Oregon have issued injunctions </w:t>
      </w:r>
      <w:proofErr w:type="gramStart"/>
      <w:r>
        <w:rPr>
          <w:b/>
        </w:rPr>
        <w:t>similar to</w:t>
      </w:r>
      <w:proofErr w:type="gramEnd"/>
      <w:r>
        <w:rPr>
          <w:b/>
        </w:rPr>
        <w:t xml:space="preserve"> Chicago. </w:t>
      </w:r>
    </w:p>
    <w:p w14:paraId="2CE1C544" w14:textId="77777777" w:rsidR="00520B72" w:rsidRDefault="00520B72" w:rsidP="00520B72">
      <w:pPr>
        <w:pStyle w:val="NoSpacing"/>
        <w:rPr>
          <w:b/>
          <w:bCs/>
        </w:rPr>
      </w:pPr>
    </w:p>
    <w:p w14:paraId="6C598237" w14:textId="77777777" w:rsidR="00520B72" w:rsidRDefault="00520B72" w:rsidP="00520B72">
      <w:pPr>
        <w:pStyle w:val="NoSpacing"/>
        <w:ind w:left="720"/>
      </w:pPr>
      <w:r w:rsidRPr="00194EC1">
        <w:t xml:space="preserve">Note:  In Washington, D.C., the Guard from several states were activated </w:t>
      </w:r>
      <w:r>
        <w:t xml:space="preserve">under </w:t>
      </w:r>
      <w:r w:rsidRPr="00194EC1">
        <w:t xml:space="preserve">Title 32; a District Court judge’s injunction was stayed by the D.C. Circuit on Dec. 17, 2025.  </w:t>
      </w:r>
      <w:hyperlink r:id="rId611" w:history="1">
        <w:r w:rsidRPr="00194EC1">
          <w:rPr>
            <w:rStyle w:val="Hyperlink"/>
          </w:rPr>
          <w:t>https://storage.courtlistener.com/recap/gov.uscourts.cadc.42631/gov.uscourts.cadc.42631.1208806141.0.pdf</w:t>
        </w:r>
      </w:hyperlink>
      <w:r w:rsidRPr="00194EC1">
        <w:t xml:space="preserve"> </w:t>
      </w:r>
    </w:p>
    <w:p w14:paraId="40E560E1" w14:textId="77777777" w:rsidR="00520B72" w:rsidRDefault="00520B72" w:rsidP="00520B72">
      <w:pPr>
        <w:pStyle w:val="NoSpacing"/>
        <w:ind w:left="720"/>
      </w:pPr>
    </w:p>
    <w:p w14:paraId="11997CAA" w14:textId="77777777" w:rsidR="008963C8" w:rsidRDefault="008963C8" w:rsidP="00CC37FA">
      <w:pPr>
        <w:pStyle w:val="NoSpacing"/>
        <w:rPr>
          <w:rFonts w:ascii="Arial Black" w:hAnsi="Arial Black"/>
          <w:sz w:val="28"/>
          <w:szCs w:val="28"/>
        </w:rPr>
      </w:pPr>
    </w:p>
    <w:p w14:paraId="2E17979F" w14:textId="6B9CEBDC" w:rsidR="00520B72" w:rsidRDefault="00520B72"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87</w:t>
      </w:r>
    </w:p>
    <w:p w14:paraId="18C7A65F" w14:textId="77777777" w:rsidR="00063A86" w:rsidRDefault="00063A86" w:rsidP="00CC37FA">
      <w:pPr>
        <w:pStyle w:val="NoSpacing"/>
        <w:rPr>
          <w:rFonts w:ascii="Arial Black" w:hAnsi="Arial Black"/>
          <w:sz w:val="28"/>
          <w:szCs w:val="28"/>
        </w:rPr>
      </w:pPr>
    </w:p>
    <w:p w14:paraId="5E92EC7F" w14:textId="77777777" w:rsidR="00063A86" w:rsidRPr="00DD37B9" w:rsidRDefault="00063A86" w:rsidP="00063A86">
      <w:pPr>
        <w:pStyle w:val="NoSpacing"/>
        <w:rPr>
          <w:rFonts w:ascii="Arial Black" w:hAnsi="Arial Black"/>
          <w:sz w:val="28"/>
          <w:szCs w:val="28"/>
        </w:rPr>
      </w:pPr>
      <w:r>
        <w:rPr>
          <w:rFonts w:ascii="Arial Black" w:hAnsi="Arial Black"/>
          <w:sz w:val="28"/>
          <w:szCs w:val="28"/>
        </w:rPr>
        <w:t>DC: VENEZUELANS - DUE PROCESS HEARING - ONLINE</w:t>
      </w:r>
    </w:p>
    <w:p w14:paraId="4587B6C7" w14:textId="77777777" w:rsidR="00063A86" w:rsidRDefault="00063A86" w:rsidP="00063A86">
      <w:pPr>
        <w:pStyle w:val="NoSpacing"/>
        <w:ind w:left="720"/>
      </w:pPr>
    </w:p>
    <w:p w14:paraId="027BC6B0" w14:textId="77777777" w:rsidR="00063A86" w:rsidRDefault="00063A86" w:rsidP="00063A86">
      <w:pPr>
        <w:pStyle w:val="NoSpacing"/>
      </w:pPr>
      <w:r>
        <w:t xml:space="preserve">On December 22, 2025, </w:t>
      </w:r>
      <w:r w:rsidRPr="006B7B9B">
        <w:t xml:space="preserve">in </w:t>
      </w:r>
      <w:r w:rsidRPr="006B7B9B">
        <w:rPr>
          <w:u w:val="single"/>
        </w:rPr>
        <w:t>J.G.G., et al. v, Donald Trump</w:t>
      </w:r>
      <w:r w:rsidRPr="006B7B9B">
        <w:t>,</w:t>
      </w:r>
      <w:r>
        <w:t xml:space="preserve"> U.S. Chief District Court Judge James E. Boasberg issued a preliminary injunction so that 252 Venezuelans who were flown to El Salvador on March 15, 2025, and then on July 18 released to Venezuela, can have a habeas corpus hearing. </w:t>
      </w:r>
      <w:r w:rsidRPr="001B3292">
        <w:t>In exchange, Venezuela released ten U.S. nationals, as well as eighty Venezuelan political prisoners</w:t>
      </w:r>
      <w:r>
        <w:t xml:space="preserve">.  </w:t>
      </w:r>
      <w:hyperlink r:id="rId612" w:history="1">
        <w:r w:rsidRPr="001402A1">
          <w:rPr>
            <w:rStyle w:val="Hyperlink"/>
          </w:rPr>
          <w:t>https://www.casemine.com/judgement/us/694a977ac92f54bb3c63226d</w:t>
        </w:r>
      </w:hyperlink>
      <w:r>
        <w:t xml:space="preserve"> </w:t>
      </w:r>
    </w:p>
    <w:p w14:paraId="618211F8" w14:textId="77777777" w:rsidR="00063A86" w:rsidRDefault="00063A86" w:rsidP="00063A86">
      <w:pPr>
        <w:pStyle w:val="NoSpacing"/>
      </w:pPr>
    </w:p>
    <w:p w14:paraId="55F8549A" w14:textId="77777777" w:rsidR="00063A86" w:rsidRDefault="00063A86" w:rsidP="00063A86">
      <w:pPr>
        <w:pStyle w:val="NoSpacing"/>
      </w:pPr>
      <w:r>
        <w:t>THE COURT HELD:</w:t>
      </w:r>
    </w:p>
    <w:p w14:paraId="32D26BF1" w14:textId="77777777" w:rsidR="00063A86" w:rsidRDefault="00063A86" w:rsidP="00063A86">
      <w:pPr>
        <w:pStyle w:val="NoSpacing"/>
      </w:pPr>
    </w:p>
    <w:p w14:paraId="4D83C7C7" w14:textId="77777777" w:rsidR="00063A86" w:rsidRDefault="00063A86" w:rsidP="00063A86">
      <w:pPr>
        <w:pStyle w:val="NoSpacing"/>
      </w:pPr>
      <w:r>
        <w:t>“</w:t>
      </w:r>
      <w:r w:rsidRPr="00E759D0">
        <w:t>The Government could also theoretically offer Plaintiffs a hearing without returning them to the United States so long as such hearing satisfied the requirements of due process.</w:t>
      </w:r>
      <w:r>
        <w:t xml:space="preserve">” </w:t>
      </w:r>
    </w:p>
    <w:p w14:paraId="53940538" w14:textId="77777777" w:rsidR="00063A86" w:rsidRDefault="00063A86" w:rsidP="00063A86">
      <w:pPr>
        <w:pStyle w:val="NoSpacing"/>
      </w:pPr>
    </w:p>
    <w:p w14:paraId="70990CB5" w14:textId="77777777" w:rsidR="00063A86" w:rsidRDefault="00063A86" w:rsidP="00063A86">
      <w:pPr>
        <w:pStyle w:val="NoSpacing"/>
        <w:rPr>
          <w:b/>
          <w:bCs/>
        </w:rPr>
      </w:pPr>
      <w:r w:rsidRPr="00754926">
        <w:rPr>
          <w:b/>
        </w:rPr>
        <w:t xml:space="preserve">Legal Lesson Learned: </w:t>
      </w:r>
      <w:r>
        <w:rPr>
          <w:b/>
        </w:rPr>
        <w:t xml:space="preserve">The District Court is following the important “emergency docket” ruling by U.S. Supreme Court on April 7, 2025.  </w:t>
      </w:r>
    </w:p>
    <w:p w14:paraId="3A897404" w14:textId="77777777" w:rsidR="00063A86" w:rsidRDefault="00063A86" w:rsidP="00063A86">
      <w:pPr>
        <w:pStyle w:val="NoSpacing"/>
        <w:rPr>
          <w:b/>
          <w:bCs/>
        </w:rPr>
      </w:pPr>
    </w:p>
    <w:p w14:paraId="46348576" w14:textId="77777777" w:rsidR="00063A86" w:rsidRDefault="00063A86" w:rsidP="00063A86">
      <w:pPr>
        <w:pStyle w:val="NoSpacing"/>
      </w:pPr>
      <w:r>
        <w:rPr>
          <w:b/>
        </w:rPr>
        <w:tab/>
      </w:r>
      <w:r w:rsidRPr="002D7D14">
        <w:t xml:space="preserve">Note:  The U.S, Supreme Court held: </w:t>
      </w:r>
    </w:p>
    <w:p w14:paraId="67F0C8B2" w14:textId="77777777" w:rsidR="00063A86" w:rsidRDefault="00063A86" w:rsidP="00063A86">
      <w:pPr>
        <w:pStyle w:val="NoSpacing"/>
        <w:ind w:left="720"/>
      </w:pPr>
      <w:r>
        <w:t>“AEA  [</w:t>
      </w:r>
      <w:r w:rsidRPr="00B40D6F">
        <w:t>Alien Enemies Act</w:t>
      </w:r>
      <w:r>
        <w:t xml:space="preserve">] detainees must receive notice after the date of this order that they are subject to removal under the Act. The notice must be afforded within a reasonable time and in such a manner as will allow </w:t>
      </w:r>
      <w:r>
        <w:lastRenderedPageBreak/>
        <w:t xml:space="preserve">them to </w:t>
      </w:r>
      <w:proofErr w:type="gramStart"/>
      <w:r>
        <w:t>actually seek</w:t>
      </w:r>
      <w:proofErr w:type="gramEnd"/>
      <w:r>
        <w:t xml:space="preserve"> habeas relief in the proper venue before such removal occurs.”  </w:t>
      </w:r>
      <w:hyperlink r:id="rId613" w:history="1">
        <w:r w:rsidRPr="00BB12E7">
          <w:rPr>
            <w:rStyle w:val="Hyperlink"/>
          </w:rPr>
          <w:t>https://www.supremecourt.gov/opinions/24pdf/24a931_2c83.pdf</w:t>
        </w:r>
      </w:hyperlink>
    </w:p>
    <w:p w14:paraId="2B28FD87" w14:textId="77777777" w:rsidR="00063A86" w:rsidRDefault="00063A86" w:rsidP="00CC37FA">
      <w:pPr>
        <w:pStyle w:val="NoSpacing"/>
        <w:rPr>
          <w:rFonts w:ascii="Arial Black" w:hAnsi="Arial Black"/>
          <w:sz w:val="28"/>
          <w:szCs w:val="28"/>
        </w:rPr>
      </w:pPr>
    </w:p>
    <w:p w14:paraId="1E7CA3F0" w14:textId="77777777" w:rsidR="00520B72" w:rsidRDefault="00520B72" w:rsidP="00CC37FA">
      <w:pPr>
        <w:pStyle w:val="NoSpacing"/>
        <w:rPr>
          <w:rFonts w:ascii="Arial Black" w:hAnsi="Arial Black"/>
          <w:sz w:val="28"/>
          <w:szCs w:val="28"/>
        </w:rPr>
      </w:pPr>
    </w:p>
    <w:p w14:paraId="4828D293" w14:textId="77777777" w:rsidR="00520B72" w:rsidRDefault="00520B72" w:rsidP="00CC37FA">
      <w:pPr>
        <w:pStyle w:val="NoSpacing"/>
        <w:rPr>
          <w:rFonts w:ascii="Arial Black" w:hAnsi="Arial Black"/>
          <w:sz w:val="28"/>
          <w:szCs w:val="28"/>
        </w:rPr>
      </w:pPr>
    </w:p>
    <w:p w14:paraId="5CD2B5B3" w14:textId="2887BFB8" w:rsidR="008963C8" w:rsidRDefault="00063A86"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86</w:t>
      </w:r>
    </w:p>
    <w:p w14:paraId="033FCC38" w14:textId="77777777" w:rsidR="00493A6B" w:rsidRDefault="00493A6B" w:rsidP="00CC37FA">
      <w:pPr>
        <w:pStyle w:val="NoSpacing"/>
        <w:rPr>
          <w:rFonts w:ascii="Arial Black" w:hAnsi="Arial Black"/>
          <w:sz w:val="28"/>
          <w:szCs w:val="28"/>
        </w:rPr>
      </w:pPr>
    </w:p>
    <w:p w14:paraId="2137E37A" w14:textId="77777777" w:rsidR="00366097" w:rsidRPr="00DF5463" w:rsidRDefault="00366097" w:rsidP="00366097">
      <w:pPr>
        <w:rPr>
          <w:rFonts w:ascii="Arial Black" w:hAnsi="Arial Black"/>
          <w:b/>
          <w:sz w:val="28"/>
          <w:szCs w:val="28"/>
        </w:rPr>
      </w:pPr>
      <w:r w:rsidRPr="00975A49">
        <w:rPr>
          <w:rFonts w:ascii="Arial Black" w:hAnsi="Arial Black"/>
          <w:b/>
          <w:sz w:val="28"/>
          <w:szCs w:val="28"/>
        </w:rPr>
        <w:t>RI:</w:t>
      </w:r>
      <w:r w:rsidRPr="00DF5463">
        <w:rPr>
          <w:rFonts w:ascii="Arial Black" w:hAnsi="Arial Black"/>
          <w:b/>
          <w:sz w:val="28"/>
          <w:szCs w:val="28"/>
        </w:rPr>
        <w:t xml:space="preserve"> </w:t>
      </w:r>
      <w:r>
        <w:rPr>
          <w:rFonts w:ascii="Arial Black" w:hAnsi="Arial Black"/>
          <w:b/>
          <w:sz w:val="28"/>
          <w:szCs w:val="28"/>
        </w:rPr>
        <w:t>DHS GRANTS – “SANCTUARY” STATES GET INJUNCTION</w:t>
      </w:r>
    </w:p>
    <w:p w14:paraId="781E81C7" w14:textId="77777777" w:rsidR="00366097" w:rsidRDefault="00366097" w:rsidP="00366097">
      <w:pPr>
        <w:pStyle w:val="NoSpacing"/>
      </w:pPr>
      <w:r>
        <w:t xml:space="preserve">On December 22, 2025, in </w:t>
      </w:r>
      <w:r w:rsidRPr="00944810">
        <w:rPr>
          <w:u w:val="single"/>
        </w:rPr>
        <w:t>State of Illinois, et al. v. Kristi Noem, Secretary of the Department of Homeland Security</w:t>
      </w:r>
      <w:r>
        <w:t>, U.S. District Court Judge M</w:t>
      </w:r>
      <w:r w:rsidRPr="00975A49">
        <w:t xml:space="preserve">ary S. McElroy, United States District </w:t>
      </w:r>
      <w:r>
        <w:t xml:space="preserve">Court for District of Rhode Island, granted the plaintiff states’ motion for summary judgment, finding violation of the </w:t>
      </w:r>
      <w:r w:rsidRPr="002A7598">
        <w:t>Administrative Procedure Act</w:t>
      </w:r>
      <w:r>
        <w:t xml:space="preserve">.  DHS in September 2025 issued award letters to state governments indicating that hundreds of millions of dollars of anticipated awards to so-called “sanctuary jurisdictions” were being reallocated to other jurisdictions. Twelve States and the District of Columbia sued, challenging both that reallocation itself and related decisions by DHS. </w:t>
      </w:r>
      <w:hyperlink r:id="rId614" w:history="1">
        <w:r w:rsidRPr="000E235D">
          <w:rPr>
            <w:rStyle w:val="Hyperlink"/>
            <w:b/>
          </w:rPr>
          <w:t>https://ecf.rid.uscourts.gov/cgi-bin/show_public_doc?2025cv0495-53</w:t>
        </w:r>
      </w:hyperlink>
    </w:p>
    <w:p w14:paraId="4565B3EB" w14:textId="77777777" w:rsidR="00366097" w:rsidRDefault="00366097" w:rsidP="00366097">
      <w:pPr>
        <w:pStyle w:val="NoSpacing"/>
      </w:pPr>
    </w:p>
    <w:p w14:paraId="69B40553" w14:textId="77777777" w:rsidR="00366097" w:rsidRDefault="00366097" w:rsidP="00366097">
      <w:pPr>
        <w:pStyle w:val="NoSpacing"/>
      </w:pPr>
      <w:r>
        <w:t>THE COURT HELD:</w:t>
      </w:r>
    </w:p>
    <w:p w14:paraId="3A3D41E1" w14:textId="77777777" w:rsidR="00366097" w:rsidRDefault="00366097" w:rsidP="00366097">
      <w:pPr>
        <w:pStyle w:val="NoSpacing"/>
      </w:pPr>
    </w:p>
    <w:p w14:paraId="5B1530D3" w14:textId="77777777" w:rsidR="00366097" w:rsidRDefault="00366097" w:rsidP="00366097">
      <w:pPr>
        <w:pStyle w:val="NoSpacing"/>
        <w:ind w:firstLine="720"/>
      </w:pPr>
      <w:r>
        <w:t xml:space="preserve">“In the wake of the September 11 terrorist attacks, Congress authorized the </w:t>
      </w:r>
    </w:p>
    <w:p w14:paraId="56FEF18E" w14:textId="77777777" w:rsidR="00366097" w:rsidRDefault="00366097" w:rsidP="00366097">
      <w:pPr>
        <w:pStyle w:val="NoSpacing"/>
        <w:ind w:firstLine="720"/>
      </w:pPr>
      <w:r>
        <w:t xml:space="preserve">Homeland Security Grant </w:t>
      </w:r>
      <w:proofErr w:type="gramStart"/>
      <w:r>
        <w:t>Program (‘</w:t>
      </w:r>
      <w:proofErr w:type="gramEnd"/>
      <w:r>
        <w:t>HSGP’) to strengthen national security through</w:t>
      </w:r>
    </w:p>
    <w:p w14:paraId="0D85CBCD" w14:textId="77777777" w:rsidR="00366097" w:rsidRDefault="00366097" w:rsidP="00366097">
      <w:pPr>
        <w:pStyle w:val="NoSpacing"/>
        <w:ind w:left="720"/>
      </w:pPr>
      <w:r>
        <w:t xml:space="preserve">grant funding to state, local, tribal, and territorial governments…. HSGP includes three grant programs: the State Homeland Security Grant </w:t>
      </w:r>
      <w:proofErr w:type="gramStart"/>
      <w:r>
        <w:t>Program (‘</w:t>
      </w:r>
      <w:proofErr w:type="gramEnd"/>
      <w:r>
        <w:t>SHSP’), the Urban Area</w:t>
      </w:r>
    </w:p>
    <w:p w14:paraId="60E82A92" w14:textId="77777777" w:rsidR="00366097" w:rsidRDefault="00366097" w:rsidP="00366097">
      <w:pPr>
        <w:pStyle w:val="NoSpacing"/>
        <w:ind w:left="720"/>
      </w:pPr>
      <w:r>
        <w:t xml:space="preserve">Security Initiative (‘UASI’), and Operation </w:t>
      </w:r>
      <w:proofErr w:type="spellStart"/>
      <w:r>
        <w:t>Stonegarden</w:t>
      </w:r>
      <w:proofErr w:type="spellEnd"/>
      <w:r>
        <w:t xml:space="preserve"> [Border response]…. Since the beginning of the current administration, the executive branch has repeatedly sought to tie federal grant funding for programs like HSGP to state and local governments’ assistance with federal immigration enforcement. On January 20, 2025, President Trump issued an executive order directing DHS to ‘ensure that so-called ‘sanctuary’ jurisdictions . . . do not receive access to Federal funds.’ Exec. Order No. 14159, § 17, 90 Fed. Reg. 8443, 8446 (Jan. 20, 2025)…. On September 27, Defendants sent States HSGP final award letters reflecting</w:t>
      </w:r>
    </w:p>
    <w:p w14:paraId="45B61E99" w14:textId="77777777" w:rsidR="00366097" w:rsidRDefault="00366097" w:rsidP="00366097">
      <w:pPr>
        <w:ind w:left="720"/>
        <w:rPr>
          <w:b/>
        </w:rPr>
      </w:pPr>
      <w:r>
        <w:t>massive funding reallocations from Plaintiffs to other jurisdictions…. In total, the difference in target allocations from the August 1 NOFO [</w:t>
      </w:r>
      <w:r w:rsidRPr="001A02E9">
        <w:t>notice of funding opportunity</w:t>
      </w:r>
      <w:r>
        <w:t>]</w:t>
      </w:r>
      <w:r w:rsidRPr="001A02E9">
        <w:t xml:space="preserve"> </w:t>
      </w:r>
      <w:r>
        <w:t xml:space="preserve">and the final awards amounted to cuts of over $240 million to Plaintiffs…. And Defendants provide no substantive, contemporaneous justification whatsoever for the funding changes that took place between the DHS Directive and the final award letters, i.e., the round-number increases in awards to favored jurisdictions. Defendants’ failure to do so further renders the Reallocation Decision arbitrary and capricious.” </w:t>
      </w:r>
    </w:p>
    <w:p w14:paraId="76C09B36" w14:textId="77777777" w:rsidR="00366097" w:rsidRDefault="00366097" w:rsidP="00366097">
      <w:pPr>
        <w:rPr>
          <w:b/>
        </w:rPr>
      </w:pPr>
      <w:r>
        <w:rPr>
          <w:b/>
        </w:rPr>
        <w:t xml:space="preserve">Legal lesson learned: Can’t punish sanctuary states and cities by reducing DHS grants. </w:t>
      </w:r>
    </w:p>
    <w:p w14:paraId="7D82E27D" w14:textId="77777777" w:rsidR="00366097" w:rsidRDefault="00366097" w:rsidP="00CC37FA">
      <w:pPr>
        <w:pStyle w:val="NoSpacing"/>
        <w:rPr>
          <w:rFonts w:ascii="Arial Black" w:hAnsi="Arial Black"/>
          <w:sz w:val="28"/>
          <w:szCs w:val="28"/>
        </w:rPr>
      </w:pPr>
    </w:p>
    <w:p w14:paraId="59F11B25" w14:textId="7711B178" w:rsidR="008963C8" w:rsidRDefault="00366097"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85</w:t>
      </w:r>
    </w:p>
    <w:p w14:paraId="16F9EBF2" w14:textId="77777777" w:rsidR="00366097" w:rsidRDefault="00366097" w:rsidP="00CC37FA">
      <w:pPr>
        <w:pStyle w:val="NoSpacing"/>
        <w:rPr>
          <w:rFonts w:ascii="Arial Black" w:hAnsi="Arial Black"/>
          <w:sz w:val="28"/>
          <w:szCs w:val="28"/>
        </w:rPr>
      </w:pPr>
    </w:p>
    <w:p w14:paraId="67AD2625" w14:textId="77777777" w:rsidR="00493A6B" w:rsidRPr="00174162" w:rsidRDefault="00493A6B" w:rsidP="00493A6B">
      <w:pPr>
        <w:rPr>
          <w:rFonts w:ascii="Arial Black" w:hAnsi="Arial Black"/>
          <w:b/>
          <w:sz w:val="28"/>
          <w:szCs w:val="28"/>
        </w:rPr>
      </w:pPr>
      <w:r>
        <w:rPr>
          <w:rFonts w:ascii="Arial Black" w:hAnsi="Arial Black"/>
          <w:b/>
          <w:sz w:val="28"/>
          <w:szCs w:val="28"/>
        </w:rPr>
        <w:t>NJ: ACTING U.S. ATTY NOT CONFIRMED - DISQUALIFIED</w:t>
      </w:r>
    </w:p>
    <w:p w14:paraId="789D3A78" w14:textId="77777777" w:rsidR="00493A6B" w:rsidRDefault="00493A6B" w:rsidP="00493A6B">
      <w:pPr>
        <w:pStyle w:val="NoSpacing"/>
      </w:pPr>
      <w:r>
        <w:t xml:space="preserve">On December 1, 2025, in </w:t>
      </w:r>
      <w:r w:rsidRPr="00C07203">
        <w:rPr>
          <w:u w:val="single"/>
        </w:rPr>
        <w:t>United States v. Julien Giraud, Jr. et al.</w:t>
      </w:r>
      <w:r>
        <w:t xml:space="preserve"> the U.S. Court of Appeals for Third Circuit (Philadelphia) held that </w:t>
      </w:r>
      <w:r w:rsidRPr="00C07203">
        <w:t>Alina Habba</w:t>
      </w:r>
      <w:r>
        <w:t xml:space="preserve">, who was appointed Acting U.S. Attorney for the District of New Jersey, was properly removed by order of U.S. District Court since she was not confirmed by the Senate within 120 days of replacing the resigned U.S. Attorney.   Two indicted criminal defendants were denied motions to dismiss their indictments.  </w:t>
      </w:r>
      <w:hyperlink r:id="rId615" w:history="1">
        <w:r w:rsidRPr="006358C5">
          <w:rPr>
            <w:rStyle w:val="Hyperlink"/>
          </w:rPr>
          <w:t>https://cases.justia.com/federal/appellate-courts/ca3/25-2635/25-2635-2025-12-01.pdf?ts=1764612050</w:t>
        </w:r>
      </w:hyperlink>
      <w:r>
        <w:t xml:space="preserve"> </w:t>
      </w:r>
    </w:p>
    <w:p w14:paraId="42D9166A" w14:textId="77777777" w:rsidR="00493A6B" w:rsidRDefault="00493A6B" w:rsidP="00493A6B">
      <w:pPr>
        <w:pStyle w:val="NoSpacing"/>
      </w:pPr>
    </w:p>
    <w:p w14:paraId="1D3DAE10" w14:textId="77777777" w:rsidR="00493A6B" w:rsidRDefault="00493A6B" w:rsidP="00493A6B">
      <w:pPr>
        <w:pStyle w:val="NoSpacing"/>
      </w:pPr>
      <w:r>
        <w:t>THE COURT HELD:</w:t>
      </w:r>
    </w:p>
    <w:p w14:paraId="624B4F36" w14:textId="77777777" w:rsidR="00493A6B" w:rsidRDefault="00493A6B" w:rsidP="00493A6B">
      <w:pPr>
        <w:pStyle w:val="NoSpacing"/>
      </w:pPr>
    </w:p>
    <w:p w14:paraId="7E2ABBAE" w14:textId="77777777" w:rsidR="00493A6B" w:rsidRDefault="00493A6B" w:rsidP="00493A6B">
      <w:pPr>
        <w:pStyle w:val="NoSpacing"/>
        <w:ind w:left="720"/>
      </w:pPr>
      <w:r>
        <w:t xml:space="preserve">“On March 3, under the new presidential administration, Attorney General Pamela Bondi appointed John Giordano as Interim U.S. Attorney for New Jersey pursuant to 28 U.S.C. § 546(a). Giordano resigned three weeks later, at which time the Attorney General appointed Alina Habba as Interim U.S. Attorney, also pursuant to § 546(a). Habba was sworn in on March 28. On June 30, President Donald Trump nominated her for the permanent role. The Senate never acted on the nomination. </w:t>
      </w:r>
    </w:p>
    <w:p w14:paraId="486F0616" w14:textId="77777777" w:rsidR="00493A6B" w:rsidRDefault="00493A6B" w:rsidP="00493A6B">
      <w:pPr>
        <w:pStyle w:val="NoSpacing"/>
        <w:ind w:left="720"/>
      </w:pPr>
    </w:p>
    <w:p w14:paraId="664947D7" w14:textId="77777777" w:rsidR="00493A6B" w:rsidRDefault="00493A6B" w:rsidP="00493A6B">
      <w:pPr>
        <w:pStyle w:val="NoSpacing"/>
        <w:ind w:left="720"/>
      </w:pPr>
      <w:r>
        <w:t>As § 546’s 120-day deadline approached, the United States District Court for the District of New Jersey issued a standing order pursuant to 28 U.S.C. § 546(d) providing that</w:t>
      </w:r>
    </w:p>
    <w:p w14:paraId="2455F8BF" w14:textId="77777777" w:rsidR="00493A6B" w:rsidRDefault="00493A6B" w:rsidP="00493A6B">
      <w:pPr>
        <w:pStyle w:val="NoSpacing"/>
        <w:ind w:left="720"/>
      </w:pPr>
      <w:r>
        <w:t xml:space="preserve">Desiree Grace—the First Assistant U.S. Attorney at the time— would be Interim U.S. Attorney effective upon the expiration of Habba’s 120-day term under § 546.1 In response, the Department of Justice terminated Grace’s employment…. </w:t>
      </w:r>
    </w:p>
    <w:p w14:paraId="1134719C" w14:textId="77777777" w:rsidR="00493A6B" w:rsidRDefault="00493A6B" w:rsidP="00493A6B">
      <w:pPr>
        <w:pStyle w:val="NoSpacing"/>
        <w:ind w:left="720"/>
      </w:pPr>
    </w:p>
    <w:p w14:paraId="23F72652" w14:textId="77777777" w:rsidR="00493A6B" w:rsidRDefault="00493A6B" w:rsidP="00493A6B">
      <w:pPr>
        <w:pStyle w:val="NoSpacing"/>
        <w:ind w:left="720"/>
      </w:pPr>
      <w:r>
        <w:t xml:space="preserve">Then on July 2, </w:t>
      </w:r>
      <w:r w:rsidRPr="007A501B">
        <w:t>the Trump administration took several steps:</w:t>
      </w:r>
      <w:r>
        <w:t xml:space="preserve"> (1) the President withdrew Habba’s nomination for U.S. Attorney; (2) Habba resigned as Interim U.S. Attorney; (3) the Attorney General issued an order appointing Habba as ‘Special Attorney’ to the Attorney General, accompanied by a letter authorizing Habba to conduct ‘any kind of legal proceedings … which United States Attorneys are authorized to conduct’ pursuant to 28 U.S.C. § 515, App. 161–62, 165; and (4) in the same order, the Attorney General also designated Habba as First Assistant U.S. Attorney, which purported to mean that Habba automatically became Acting U.S. Attorney pursuant to the FVRA [Federal Vacancies Reform Act], 5 U.S.C. § 3345(a)(1)….</w:t>
      </w:r>
    </w:p>
    <w:p w14:paraId="5B85D78D" w14:textId="77777777" w:rsidR="00493A6B" w:rsidRDefault="00493A6B" w:rsidP="00493A6B">
      <w:pPr>
        <w:pStyle w:val="NoSpacing"/>
        <w:ind w:left="720"/>
      </w:pPr>
    </w:p>
    <w:p w14:paraId="38AB2C2B" w14:textId="77777777" w:rsidR="00493A6B" w:rsidRDefault="00493A6B" w:rsidP="00493A6B">
      <w:pPr>
        <w:pStyle w:val="NoSpacing"/>
        <w:ind w:left="720"/>
      </w:pPr>
      <w:r>
        <w:t>Habba is not the Acting U.S. Attorney for the District of New Jersey by virtue of her appointment as First Assistant U.S. Attorney because only the first assistant in place at the time the vacancy arises automatically assumes the functions and duties of the office under the FVRA. Additionally, because Habba was nominated for the vacant U.S. Attorney position, the FVRA’s nomination bar prevents her from assuming the role of Acting U.S. Attorney. Finally, the Attorney General’s delegation of all the powers of a U.S. Attorney to Habba is prohibited by the FVRA’s exclusivity provision. Therefore, we</w:t>
      </w:r>
    </w:p>
    <w:p w14:paraId="19CA2F56" w14:textId="77777777" w:rsidR="00493A6B" w:rsidRDefault="00493A6B" w:rsidP="00493A6B">
      <w:pPr>
        <w:pStyle w:val="NoSpacing"/>
        <w:ind w:left="720"/>
      </w:pPr>
      <w:r>
        <w:t xml:space="preserve">will affirm the District Court’s disqualification order.” </w:t>
      </w:r>
    </w:p>
    <w:p w14:paraId="7C86B52E" w14:textId="77777777" w:rsidR="00493A6B" w:rsidRDefault="00493A6B" w:rsidP="00493A6B">
      <w:pPr>
        <w:pStyle w:val="NoSpacing"/>
        <w:ind w:left="720"/>
      </w:pPr>
    </w:p>
    <w:p w14:paraId="56E195BA" w14:textId="77777777" w:rsidR="00493A6B" w:rsidRPr="00114BAB" w:rsidRDefault="00493A6B" w:rsidP="00493A6B">
      <w:pPr>
        <w:pStyle w:val="NoSpacing"/>
        <w:rPr>
          <w:b/>
          <w:bCs/>
        </w:rPr>
      </w:pPr>
      <w:r>
        <w:rPr>
          <w:b/>
        </w:rPr>
        <w:t>Legal lesson learned:  The U.S. Attorney for New Jersey has a critical responsibility, thereby requiring Senate confirmation – the District Court and the 3</w:t>
      </w:r>
      <w:r w:rsidRPr="00AF3F47">
        <w:rPr>
          <w:b/>
          <w:vertAlign w:val="superscript"/>
        </w:rPr>
        <w:t>rd</w:t>
      </w:r>
      <w:r>
        <w:rPr>
          <w:b/>
        </w:rPr>
        <w:t xml:space="preserve"> Circuit had no patience with breaches of the appointment process. </w:t>
      </w:r>
    </w:p>
    <w:p w14:paraId="2739EFB1" w14:textId="77777777" w:rsidR="00493A6B" w:rsidRDefault="00493A6B" w:rsidP="00493A6B">
      <w:pPr>
        <w:pStyle w:val="NoSpacing"/>
      </w:pPr>
    </w:p>
    <w:p w14:paraId="23815DE8" w14:textId="77777777" w:rsidR="00366097" w:rsidRDefault="00366097" w:rsidP="00CC37FA">
      <w:pPr>
        <w:pStyle w:val="NoSpacing"/>
        <w:rPr>
          <w:rFonts w:ascii="Arial Black" w:hAnsi="Arial Black"/>
          <w:sz w:val="28"/>
          <w:szCs w:val="28"/>
        </w:rPr>
      </w:pPr>
    </w:p>
    <w:p w14:paraId="7154B091" w14:textId="77777777" w:rsidR="008963C8" w:rsidRDefault="008963C8" w:rsidP="00CC37FA">
      <w:pPr>
        <w:pStyle w:val="NoSpacing"/>
        <w:rPr>
          <w:rFonts w:ascii="Arial Black" w:hAnsi="Arial Black"/>
          <w:sz w:val="28"/>
          <w:szCs w:val="28"/>
        </w:rPr>
      </w:pPr>
    </w:p>
    <w:p w14:paraId="2AF7CAA4" w14:textId="11AB3D20" w:rsidR="003E3554" w:rsidRDefault="00CC37FA" w:rsidP="00CC37FA">
      <w:pPr>
        <w:pStyle w:val="NoSpacing"/>
        <w:rPr>
          <w:rFonts w:ascii="Arial Black" w:hAnsi="Arial Black"/>
          <w:sz w:val="28"/>
          <w:szCs w:val="28"/>
        </w:rPr>
      </w:pPr>
      <w:r>
        <w:rPr>
          <w:rFonts w:ascii="Arial Black" w:hAnsi="Arial Black"/>
          <w:sz w:val="28"/>
          <w:szCs w:val="28"/>
        </w:rPr>
        <w:t xml:space="preserve">3-84 </w:t>
      </w:r>
    </w:p>
    <w:p w14:paraId="67E0D58F" w14:textId="77777777" w:rsidR="003E3554" w:rsidRDefault="003E3554" w:rsidP="00CC37FA">
      <w:pPr>
        <w:pStyle w:val="NoSpacing"/>
        <w:rPr>
          <w:rFonts w:ascii="Arial Black" w:hAnsi="Arial Black"/>
          <w:sz w:val="28"/>
          <w:szCs w:val="28"/>
        </w:rPr>
      </w:pPr>
    </w:p>
    <w:p w14:paraId="1008CAB1" w14:textId="7F25CAC5" w:rsidR="00CC37FA" w:rsidRPr="003E3554" w:rsidRDefault="00CC37FA" w:rsidP="00CC37FA">
      <w:pPr>
        <w:pStyle w:val="NoSpacing"/>
        <w:rPr>
          <w:rFonts w:ascii="Times New Roman" w:hAnsi="Times New Roman"/>
          <w:b/>
          <w:sz w:val="24"/>
          <w:szCs w:val="24"/>
        </w:rPr>
      </w:pPr>
      <w:r w:rsidRPr="00CC37FA">
        <w:rPr>
          <w:rFonts w:ascii="Times New Roman" w:hAnsi="Times New Roman"/>
          <w:b/>
          <w:sz w:val="24"/>
          <w:szCs w:val="24"/>
        </w:rPr>
        <w:t>Professor Bennett’s articles in Homeland Security Today:</w:t>
      </w:r>
      <w:r w:rsidR="004B2E70" w:rsidRPr="003E3554">
        <w:rPr>
          <w:rFonts w:ascii="Times New Roman" w:hAnsi="Times New Roman"/>
          <w:b/>
          <w:sz w:val="24"/>
          <w:szCs w:val="24"/>
        </w:rPr>
        <w:t xml:space="preserve"> </w:t>
      </w:r>
    </w:p>
    <w:p w14:paraId="2E543E07" w14:textId="185500B4" w:rsidR="00CC37FA" w:rsidRPr="00CC37FA" w:rsidRDefault="00CC37FA" w:rsidP="00CC37FA">
      <w:pPr>
        <w:pStyle w:val="NoSpacing"/>
        <w:rPr>
          <w:rFonts w:ascii="Arial Black" w:hAnsi="Arial Black"/>
          <w:b/>
          <w:bCs/>
          <w:sz w:val="28"/>
          <w:szCs w:val="28"/>
        </w:rPr>
      </w:pPr>
      <w:r w:rsidRPr="00CC37FA">
        <w:rPr>
          <w:rFonts w:ascii="Times New Roman" w:hAnsi="Times New Roman"/>
          <w:b/>
          <w:sz w:val="24"/>
          <w:szCs w:val="24"/>
        </w:rPr>
        <w:t xml:space="preserve">Dec. 28, 1995: Supreme Court Blocks National Guard Deployment to Chicago, Restricts Presidential Power Under Title 10. Landmark ruling reshapes federal authority and strengthens governors’ control over National Guard deployments. </w:t>
      </w:r>
      <w:hyperlink r:id="rId616" w:history="1">
        <w:r w:rsidRPr="00CC37FA">
          <w:rPr>
            <w:rStyle w:val="Hyperlink"/>
            <w:rFonts w:ascii="Times New Roman" w:hAnsi="Times New Roman"/>
            <w:b/>
            <w:sz w:val="24"/>
            <w:szCs w:val="24"/>
          </w:rPr>
          <w:t>https://www.hstoday.us/us-national-guard/column-supreme-court-blocks-national-guard-deployment-to-chicago-restricts-presidential-power-under-title-10/</w:t>
        </w:r>
      </w:hyperlink>
      <w:r w:rsidRPr="00CC37FA">
        <w:rPr>
          <w:rFonts w:ascii="Arial Black" w:hAnsi="Arial Black"/>
          <w:b/>
          <w:bCs/>
          <w:sz w:val="28"/>
          <w:szCs w:val="28"/>
        </w:rPr>
        <w:t xml:space="preserve"> </w:t>
      </w:r>
    </w:p>
    <w:p w14:paraId="5E02F121" w14:textId="6059B6B9" w:rsidR="00CC37FA" w:rsidRPr="00CC37FA" w:rsidRDefault="00CC37FA" w:rsidP="00CC37FA">
      <w:pPr>
        <w:pStyle w:val="NoSpacing"/>
        <w:rPr>
          <w:rFonts w:ascii="Arial Black" w:hAnsi="Arial Black"/>
          <w:b/>
          <w:sz w:val="24"/>
          <w:szCs w:val="24"/>
        </w:rPr>
      </w:pPr>
      <w:r w:rsidRPr="00CC37FA">
        <w:rPr>
          <w:rFonts w:ascii="Arial Black" w:hAnsi="Arial Black"/>
          <w:b/>
          <w:sz w:val="24"/>
          <w:szCs w:val="24"/>
        </w:rPr>
        <w:t xml:space="preserve"> </w:t>
      </w:r>
    </w:p>
    <w:p w14:paraId="552A59B3" w14:textId="77777777" w:rsidR="004B2E70" w:rsidRPr="003E3554" w:rsidRDefault="004B2E70" w:rsidP="004B2E70">
      <w:pPr>
        <w:pStyle w:val="NoSpacing"/>
        <w:ind w:left="720"/>
        <w:rPr>
          <w:rFonts w:ascii="Times New Roman" w:hAnsi="Times New Roman"/>
          <w:b/>
          <w:sz w:val="24"/>
          <w:szCs w:val="24"/>
        </w:rPr>
      </w:pPr>
      <w:proofErr w:type="gramStart"/>
      <w:r w:rsidRPr="003E3554">
        <w:rPr>
          <w:rFonts w:ascii="Times New Roman" w:hAnsi="Times New Roman"/>
          <w:b/>
          <w:sz w:val="24"/>
          <w:szCs w:val="24"/>
        </w:rPr>
        <w:t>See</w:t>
      </w:r>
      <w:proofErr w:type="gramEnd"/>
      <w:r w:rsidRPr="003E3554">
        <w:rPr>
          <w:rFonts w:ascii="Times New Roman" w:hAnsi="Times New Roman"/>
          <w:b/>
          <w:sz w:val="24"/>
          <w:szCs w:val="24"/>
        </w:rPr>
        <w:t xml:space="preserve"> also: </w:t>
      </w:r>
    </w:p>
    <w:p w14:paraId="2D43BD63" w14:textId="77777777" w:rsidR="004B2E70" w:rsidRDefault="004B2E70" w:rsidP="004B2E70">
      <w:pPr>
        <w:pStyle w:val="NoSpacing"/>
        <w:ind w:left="720"/>
        <w:rPr>
          <w:rFonts w:ascii="Arial Black" w:hAnsi="Arial Black"/>
          <w:b/>
          <w:sz w:val="24"/>
          <w:szCs w:val="24"/>
        </w:rPr>
      </w:pPr>
    </w:p>
    <w:p w14:paraId="2E25BF97" w14:textId="77777777" w:rsidR="004B2E70" w:rsidRPr="00CC37FA" w:rsidRDefault="004B2E70" w:rsidP="004B2E70">
      <w:pPr>
        <w:pStyle w:val="NoSpacing"/>
        <w:ind w:left="720"/>
        <w:rPr>
          <w:rFonts w:ascii="Arial Black" w:hAnsi="Arial Black"/>
          <w:b/>
          <w:bCs/>
          <w:sz w:val="24"/>
          <w:szCs w:val="24"/>
        </w:rPr>
      </w:pPr>
      <w:r w:rsidRPr="00CC37FA">
        <w:rPr>
          <w:rFonts w:ascii="Arial Black" w:hAnsi="Arial Black"/>
          <w:b/>
          <w:sz w:val="24"/>
          <w:szCs w:val="24"/>
        </w:rPr>
        <w:t xml:space="preserve">Dec. 19, 2025: </w:t>
      </w:r>
      <w:r w:rsidRPr="00CC37FA">
        <w:rPr>
          <w:rFonts w:ascii="Arial Black" w:hAnsi="Arial Black"/>
          <w:b/>
          <w:bCs/>
          <w:sz w:val="24"/>
          <w:szCs w:val="24"/>
        </w:rPr>
        <w:t xml:space="preserve">Federal Courts Continue to Block DHS and FEMA DEI Grant Conditions. </w:t>
      </w:r>
      <w:r w:rsidRPr="00CC37FA">
        <w:rPr>
          <w:rFonts w:ascii="Times New Roman" w:hAnsi="Times New Roman"/>
          <w:sz w:val="24"/>
          <w:szCs w:val="24"/>
        </w:rPr>
        <w:t xml:space="preserve">Twin injunctions protect billions in emergency preparedness funding from diversity program compliance mandates.  </w:t>
      </w:r>
      <w:hyperlink r:id="rId617" w:history="1">
        <w:r w:rsidRPr="00CC37FA">
          <w:rPr>
            <w:rStyle w:val="Hyperlink"/>
            <w:rFonts w:ascii="Times New Roman" w:hAnsi="Times New Roman"/>
            <w:sz w:val="24"/>
            <w:szCs w:val="24"/>
          </w:rPr>
          <w:t>https://www.hstoday.us/fema-dhs-federal-pages/column-federal-courts-block-dhs-and-fema-dei-grant-conditions/</w:t>
        </w:r>
      </w:hyperlink>
      <w:r w:rsidRPr="00CC37FA">
        <w:rPr>
          <w:rFonts w:ascii="Arial Black" w:hAnsi="Arial Black"/>
          <w:b/>
          <w:bCs/>
          <w:sz w:val="24"/>
          <w:szCs w:val="24"/>
        </w:rPr>
        <w:t xml:space="preserve"> </w:t>
      </w:r>
    </w:p>
    <w:p w14:paraId="1CF2EAC8" w14:textId="77777777" w:rsidR="004B2E70" w:rsidRDefault="004B2E70" w:rsidP="004B2E70">
      <w:pPr>
        <w:pStyle w:val="NoSpacing"/>
        <w:ind w:left="720"/>
        <w:rPr>
          <w:rFonts w:ascii="Arial Black" w:hAnsi="Arial Black"/>
          <w:b/>
          <w:sz w:val="24"/>
          <w:szCs w:val="24"/>
        </w:rPr>
      </w:pPr>
    </w:p>
    <w:p w14:paraId="6A9A61CE" w14:textId="77777777" w:rsidR="004B2E70" w:rsidRPr="00CC37FA" w:rsidRDefault="004B2E70" w:rsidP="004B2E70">
      <w:pPr>
        <w:pStyle w:val="NoSpacing"/>
        <w:ind w:left="720"/>
        <w:rPr>
          <w:rFonts w:ascii="Arial Black" w:hAnsi="Arial Black"/>
          <w:b/>
          <w:sz w:val="24"/>
          <w:szCs w:val="24"/>
        </w:rPr>
      </w:pPr>
      <w:r w:rsidRPr="00CC37FA">
        <w:rPr>
          <w:rFonts w:ascii="Arial Black" w:hAnsi="Arial Black"/>
          <w:b/>
          <w:sz w:val="24"/>
          <w:szCs w:val="24"/>
        </w:rPr>
        <w:t xml:space="preserve">Oct. 7, 2025: Federal Courts Block FEMA &amp; DHS Immigration Grant Conditions, Safeguarding Billions in Emergency Preparedness Funds. </w:t>
      </w:r>
      <w:r w:rsidRPr="00CC37FA">
        <w:rPr>
          <w:rFonts w:ascii="Times New Roman" w:hAnsi="Times New Roman"/>
          <w:bCs/>
          <w:sz w:val="24"/>
          <w:szCs w:val="24"/>
        </w:rPr>
        <w:t xml:space="preserve">Decisions impact disaster relief, firefighter assistance, cybersecurity, and counterterrorism grants administered through FEMA and DHS.    </w:t>
      </w:r>
      <w:hyperlink r:id="rId618" w:history="1">
        <w:r w:rsidRPr="00CC37FA">
          <w:rPr>
            <w:rStyle w:val="Hyperlink"/>
            <w:rFonts w:ascii="Times New Roman" w:hAnsi="Times New Roman"/>
            <w:bCs/>
            <w:sz w:val="24"/>
            <w:szCs w:val="24"/>
          </w:rPr>
          <w:t>https://www.hstoday.us/perspective/eyes-on-preparedness-federal-courts-block-fema-dhs-immigration-grant-conditions-safeguarding-billions-in-emergency-preparedness-funds/</w:t>
        </w:r>
      </w:hyperlink>
      <w:r w:rsidRPr="00CC37FA">
        <w:rPr>
          <w:rFonts w:ascii="Arial Black" w:hAnsi="Arial Black"/>
          <w:b/>
          <w:sz w:val="24"/>
          <w:szCs w:val="24"/>
        </w:rPr>
        <w:t xml:space="preserve"> </w:t>
      </w:r>
    </w:p>
    <w:p w14:paraId="3FA70E40" w14:textId="77777777" w:rsidR="004B2E70" w:rsidRPr="00CC37FA" w:rsidRDefault="004B2E70" w:rsidP="004B2E70">
      <w:pPr>
        <w:pStyle w:val="NoSpacing"/>
        <w:ind w:left="720"/>
        <w:rPr>
          <w:rFonts w:ascii="Arial Black" w:hAnsi="Arial Black"/>
          <w:b/>
          <w:sz w:val="24"/>
          <w:szCs w:val="24"/>
        </w:rPr>
      </w:pPr>
    </w:p>
    <w:p w14:paraId="64BBB83D" w14:textId="411EA589" w:rsidR="00CC37FA" w:rsidRPr="00CC37FA" w:rsidRDefault="00CC37FA" w:rsidP="004B2E70">
      <w:pPr>
        <w:pStyle w:val="NoSpacing"/>
        <w:ind w:left="720"/>
        <w:rPr>
          <w:rFonts w:ascii="Arial Black" w:hAnsi="Arial Black"/>
          <w:b/>
          <w:bCs/>
          <w:sz w:val="24"/>
          <w:szCs w:val="24"/>
        </w:rPr>
      </w:pPr>
      <w:r w:rsidRPr="00CC37FA">
        <w:rPr>
          <w:rFonts w:ascii="Arial Black" w:hAnsi="Arial Black"/>
          <w:b/>
          <w:sz w:val="24"/>
          <w:szCs w:val="24"/>
        </w:rPr>
        <w:t xml:space="preserve">September 24, 2025: </w:t>
      </w:r>
      <w:r w:rsidRPr="00CC37FA">
        <w:rPr>
          <w:rFonts w:ascii="Arial Black" w:hAnsi="Arial Black"/>
          <w:b/>
          <w:bCs/>
          <w:sz w:val="24"/>
          <w:szCs w:val="24"/>
        </w:rPr>
        <w:t>EYES IN THE SKY: Do Cities Need Warrants for Drones?</w:t>
      </w:r>
    </w:p>
    <w:p w14:paraId="1097F34D" w14:textId="77777777" w:rsidR="00CC37FA" w:rsidRPr="00CC37FA" w:rsidRDefault="00CC37FA" w:rsidP="004B2E70">
      <w:pPr>
        <w:pStyle w:val="NoSpacing"/>
        <w:ind w:left="720"/>
        <w:rPr>
          <w:rFonts w:ascii="Times New Roman" w:hAnsi="Times New Roman"/>
          <w:sz w:val="24"/>
          <w:szCs w:val="24"/>
        </w:rPr>
      </w:pPr>
      <w:proofErr w:type="gramStart"/>
      <w:r w:rsidRPr="00CC37FA">
        <w:rPr>
          <w:rFonts w:ascii="Times New Roman" w:hAnsi="Times New Roman"/>
          <w:sz w:val="24"/>
          <w:szCs w:val="24"/>
        </w:rPr>
        <w:t>How</w:t>
      </w:r>
      <w:proofErr w:type="gramEnd"/>
      <w:r w:rsidRPr="00CC37FA">
        <w:rPr>
          <w:rFonts w:ascii="Times New Roman" w:hAnsi="Times New Roman"/>
          <w:sz w:val="24"/>
          <w:szCs w:val="24"/>
        </w:rPr>
        <w:t xml:space="preserve"> recent federal court decisions are reshaping municipal drone enforcement for cannabis enforcement and illegal land use investigations</w:t>
      </w:r>
    </w:p>
    <w:p w14:paraId="305D7D1B" w14:textId="77777777" w:rsidR="00CC37FA" w:rsidRPr="00CC37FA" w:rsidRDefault="00CC37FA" w:rsidP="004B2E70">
      <w:pPr>
        <w:pStyle w:val="NoSpacing"/>
        <w:ind w:left="720"/>
        <w:rPr>
          <w:rFonts w:ascii="Arial Black" w:hAnsi="Arial Black"/>
          <w:b/>
          <w:sz w:val="24"/>
          <w:szCs w:val="24"/>
        </w:rPr>
      </w:pPr>
      <w:hyperlink r:id="rId619" w:history="1">
        <w:r w:rsidRPr="00CC37FA">
          <w:rPr>
            <w:rStyle w:val="Hyperlink"/>
            <w:rFonts w:ascii="Times New Roman" w:hAnsi="Times New Roman"/>
            <w:sz w:val="24"/>
            <w:szCs w:val="24"/>
          </w:rPr>
          <w:t>https://www.hstoday.us/subject-matter-areas/unmanned-vehicles/eyes-in-the-sky-do-cities-need-warrants-for-drones/</w:t>
        </w:r>
      </w:hyperlink>
      <w:r w:rsidRPr="00CC37FA">
        <w:rPr>
          <w:rFonts w:ascii="Arial Black" w:hAnsi="Arial Black"/>
          <w:b/>
          <w:sz w:val="24"/>
          <w:szCs w:val="24"/>
        </w:rPr>
        <w:t xml:space="preserve"> </w:t>
      </w:r>
    </w:p>
    <w:p w14:paraId="0D954E20" w14:textId="77777777" w:rsidR="00CC37FA" w:rsidRPr="00CC37FA" w:rsidRDefault="00CC37FA" w:rsidP="004B2E70">
      <w:pPr>
        <w:pStyle w:val="NoSpacing"/>
        <w:ind w:left="720"/>
        <w:rPr>
          <w:rFonts w:ascii="Arial Black" w:hAnsi="Arial Black"/>
          <w:b/>
          <w:sz w:val="24"/>
          <w:szCs w:val="24"/>
        </w:rPr>
      </w:pPr>
    </w:p>
    <w:p w14:paraId="54B60363" w14:textId="77777777" w:rsidR="00CC37FA" w:rsidRDefault="00CC37FA" w:rsidP="00440B47">
      <w:pPr>
        <w:pStyle w:val="NoSpacing"/>
        <w:rPr>
          <w:rFonts w:ascii="Arial Black" w:hAnsi="Arial Black"/>
          <w:sz w:val="28"/>
          <w:szCs w:val="28"/>
        </w:rPr>
      </w:pPr>
    </w:p>
    <w:p w14:paraId="0B52C5CE" w14:textId="1E16332D" w:rsidR="00E575E6" w:rsidRDefault="00E575E6" w:rsidP="00440B47">
      <w:pPr>
        <w:pStyle w:val="NoSpacing"/>
        <w:rPr>
          <w:rFonts w:ascii="Arial Black" w:hAnsi="Arial Black"/>
          <w:sz w:val="28"/>
          <w:szCs w:val="28"/>
        </w:rPr>
      </w:pPr>
      <w:r>
        <w:rPr>
          <w:rFonts w:ascii="Arial Black" w:hAnsi="Arial Black"/>
          <w:sz w:val="28"/>
          <w:szCs w:val="28"/>
        </w:rPr>
        <w:t>3-83</w:t>
      </w:r>
    </w:p>
    <w:p w14:paraId="470EBD94" w14:textId="77777777" w:rsidR="00E575E6" w:rsidRPr="00830137" w:rsidRDefault="00E575E6" w:rsidP="00E575E6">
      <w:pPr>
        <w:rPr>
          <w:rFonts w:ascii="Arial Black" w:hAnsi="Arial Black"/>
          <w:sz w:val="28"/>
          <w:szCs w:val="28"/>
        </w:rPr>
      </w:pPr>
      <w:r>
        <w:rPr>
          <w:rFonts w:ascii="Arial Black" w:hAnsi="Arial Black"/>
          <w:sz w:val="28"/>
          <w:szCs w:val="28"/>
        </w:rPr>
        <w:t>IL: FEMA GRANTS – 2 FED. INJUNCTIONS / DEI CLAUSES</w:t>
      </w:r>
    </w:p>
    <w:p w14:paraId="1B8BB34E" w14:textId="77777777" w:rsidR="00E575E6" w:rsidRDefault="00E575E6" w:rsidP="00E575E6">
      <w:pPr>
        <w:pStyle w:val="NoSpacing"/>
      </w:pPr>
      <w:r>
        <w:t xml:space="preserve">On November 21, 2025, in </w:t>
      </w:r>
      <w:r w:rsidRPr="001A3435">
        <w:rPr>
          <w:u w:val="single"/>
        </w:rPr>
        <w:t xml:space="preserve">City of Chicago, </w:t>
      </w:r>
      <w:r>
        <w:rPr>
          <w:u w:val="single"/>
        </w:rPr>
        <w:t xml:space="preserve">et al. </w:t>
      </w:r>
      <w:r w:rsidRPr="001A3435">
        <w:rPr>
          <w:u w:val="single"/>
        </w:rPr>
        <w:t>v. Kristi Noem, et al</w:t>
      </w:r>
      <w:r>
        <w:t>., U.S. District Court Judge Manish S. Shah, United States District Court for the Northern District of Illinois, Eastern Division, issued an injunction prohibiting U.S. Government from enforcing DEI {</w:t>
      </w:r>
      <w:r w:rsidRPr="007B7867">
        <w:t>Diversity, Equity and Inclusion</w:t>
      </w:r>
      <w:r>
        <w:t>] prohibitions in 2025 DHS Standard Terms and Conditions. Plaintiffs include</w:t>
      </w:r>
      <w:r w:rsidRPr="00E9616E">
        <w:t xml:space="preserve"> City of Boston, City of New York, Mayor and City Council of Baltimore, City and County of Denver, City of Minneapolis, City of New Haven, City of Saint Paul and Ramsey County</w:t>
      </w:r>
      <w:r>
        <w:t>.  On Noc. 21, 2025, a Federal judge in California issued a similar injunct. THE COURT WROTE:  “The Secretary cannot pursue the policy objectives of the executive branch through the power of the purse…. Defendants are enjoined from imposing Part C.XVII(2)(a)(</w:t>
      </w:r>
      <w:proofErr w:type="spellStart"/>
      <w:r>
        <w:t>i</w:t>
      </w:r>
      <w:proofErr w:type="spellEnd"/>
      <w:r>
        <w:t xml:space="preserve">)–(ii) &amp; XXXI  [DEI conditions] of the 2025 DHS Standard Terms and Conditions on any plaintiff as a requirement for accepting a grant award issued under any of the statutory programs referenced in the complaint. Defendants cannot require plaintiffs to certify that they do not advance or promote DEI, DEIA, or ‘discriminatory equity ideology’ in violation of Federal anti-discrimination laws, or that they do not engage discriminatory prohibited boycotts when they accept funds pursuant to DHS Standard Terms and Conditions. Defendants cannot demand compliance with unspecified and unknown (at the time of contracting) Executive Orders as a condition of funding.” </w:t>
      </w:r>
      <w:hyperlink r:id="rId620" w:history="1">
        <w:r w:rsidRPr="00743732">
          <w:rPr>
            <w:rStyle w:val="Hyperlink"/>
          </w:rPr>
          <w:t>https://cases.justia.com/federal/district-courts/illinois/ilndce/1:2025cv12765/488308/72/0.pdf?ts=1763809095</w:t>
        </w:r>
      </w:hyperlink>
      <w:r>
        <w:t xml:space="preserve"> </w:t>
      </w:r>
    </w:p>
    <w:p w14:paraId="596A7753" w14:textId="77777777" w:rsidR="00E575E6" w:rsidRDefault="00E575E6" w:rsidP="00E575E6">
      <w:pPr>
        <w:pStyle w:val="NoSpacing"/>
      </w:pPr>
    </w:p>
    <w:p w14:paraId="647089A3" w14:textId="77777777" w:rsidR="00E575E6" w:rsidRDefault="00E575E6" w:rsidP="00E575E6">
      <w:pPr>
        <w:pStyle w:val="NoSpacing"/>
      </w:pPr>
      <w:r>
        <w:t>THE COURT HELD:</w:t>
      </w:r>
    </w:p>
    <w:p w14:paraId="4C5D0DED" w14:textId="77777777" w:rsidR="00E575E6" w:rsidRDefault="00E575E6" w:rsidP="00E575E6">
      <w:pPr>
        <w:pStyle w:val="NoSpacing"/>
      </w:pPr>
    </w:p>
    <w:p w14:paraId="28EC2387" w14:textId="77777777" w:rsidR="00E575E6" w:rsidRDefault="00E575E6" w:rsidP="00E575E6">
      <w:pPr>
        <w:pStyle w:val="NoSpacing"/>
        <w:ind w:firstLine="720"/>
      </w:pPr>
      <w:r>
        <w:t>“The Department of Homeland Security and its agencies administer grant</w:t>
      </w:r>
    </w:p>
    <w:p w14:paraId="061BB123" w14:textId="77777777" w:rsidR="00E575E6" w:rsidRDefault="00E575E6" w:rsidP="00E575E6">
      <w:pPr>
        <w:pStyle w:val="NoSpacing"/>
        <w:ind w:firstLine="720"/>
      </w:pPr>
      <w:r>
        <w:t>programs pursuant to statutory authority and funded by congressional</w:t>
      </w:r>
    </w:p>
    <w:p w14:paraId="6F673CF1" w14:textId="77777777" w:rsidR="00E575E6" w:rsidRDefault="00E575E6" w:rsidP="00E575E6">
      <w:pPr>
        <w:pStyle w:val="NoSpacing"/>
        <w:ind w:firstLine="720"/>
      </w:pPr>
      <w:r>
        <w:t xml:space="preserve">appropriations. The grants cover everything from transit safety to nuclear </w:t>
      </w:r>
      <w:proofErr w:type="gramStart"/>
      <w:r>
        <w:t>weapon</w:t>
      </w:r>
      <w:proofErr w:type="gramEnd"/>
    </w:p>
    <w:p w14:paraId="6699D05A" w14:textId="77777777" w:rsidR="00E575E6" w:rsidRDefault="00E575E6" w:rsidP="00E575E6">
      <w:pPr>
        <w:pStyle w:val="NoSpacing"/>
        <w:ind w:firstLine="720"/>
      </w:pPr>
      <w:r>
        <w:t xml:space="preserve">detection. </w:t>
      </w:r>
    </w:p>
    <w:p w14:paraId="35DAEEA1" w14:textId="77777777" w:rsidR="00E575E6" w:rsidRDefault="00E575E6" w:rsidP="00E575E6">
      <w:pPr>
        <w:pStyle w:val="NoSpacing"/>
        <w:ind w:firstLine="720"/>
      </w:pPr>
    </w:p>
    <w:p w14:paraId="2B01597A" w14:textId="77777777" w:rsidR="00E575E6" w:rsidRDefault="00E575E6" w:rsidP="00E575E6">
      <w:pPr>
        <w:pStyle w:val="NoSpacing"/>
        <w:ind w:firstLine="720"/>
      </w:pPr>
      <w:r>
        <w:t>***</w:t>
      </w:r>
    </w:p>
    <w:p w14:paraId="6DD25FA1" w14:textId="77777777" w:rsidR="00E575E6" w:rsidRDefault="00E575E6" w:rsidP="00E575E6">
      <w:pPr>
        <w:pStyle w:val="NoSpacing"/>
        <w:ind w:left="720"/>
      </w:pPr>
      <w:r>
        <w:t>The Secretary cannot pursue the policy objectives of the executive branch through the power of the purse.</w:t>
      </w:r>
    </w:p>
    <w:p w14:paraId="3AAB9A2D" w14:textId="77777777" w:rsidR="00E575E6" w:rsidRDefault="00E575E6" w:rsidP="00E575E6">
      <w:pPr>
        <w:pStyle w:val="NoSpacing"/>
        <w:ind w:left="720"/>
      </w:pPr>
    </w:p>
    <w:p w14:paraId="64467F65" w14:textId="77777777" w:rsidR="00E575E6" w:rsidRDefault="00E575E6" w:rsidP="00E575E6">
      <w:pPr>
        <w:pStyle w:val="NoSpacing"/>
        <w:ind w:left="720"/>
      </w:pPr>
      <w:r>
        <w:t>***</w:t>
      </w:r>
    </w:p>
    <w:p w14:paraId="7F9237BB" w14:textId="77777777" w:rsidR="00E575E6" w:rsidRDefault="00E575E6" w:rsidP="00E575E6">
      <w:pPr>
        <w:pStyle w:val="NoSpacing"/>
      </w:pPr>
    </w:p>
    <w:p w14:paraId="2770EC4F" w14:textId="77777777" w:rsidR="00E575E6" w:rsidRDefault="00E575E6" w:rsidP="00E575E6">
      <w:pPr>
        <w:pStyle w:val="NoSpacing"/>
        <w:ind w:firstLine="720"/>
      </w:pPr>
      <w:r>
        <w:t>The loss of money is ordinarily a tangible harm. But here, the ripple effects on</w:t>
      </w:r>
    </w:p>
    <w:p w14:paraId="3226516A" w14:textId="77777777" w:rsidR="00E575E6" w:rsidRDefault="00E575E6" w:rsidP="00E575E6">
      <w:pPr>
        <w:pStyle w:val="NoSpacing"/>
        <w:ind w:firstLine="720"/>
      </w:pPr>
      <w:r>
        <w:t>budget plans, services to residents, and efforts to mitigate the harm from terrorism</w:t>
      </w:r>
    </w:p>
    <w:p w14:paraId="030E2AA0" w14:textId="77777777" w:rsidR="00E575E6" w:rsidRDefault="00E575E6" w:rsidP="00E575E6">
      <w:pPr>
        <w:pStyle w:val="NoSpacing"/>
        <w:ind w:left="720"/>
      </w:pPr>
      <w:r>
        <w:t xml:space="preserve">or natural disasters are not quantifiable. The point of funding for disaster preparedness, infrastructure security, and firefighting is that the money is an investment that generates intangible dividends in public safety and security. Losing this funding in the interim would lead to budget cuts that directly inhibit the missions of the law </w:t>
      </w:r>
      <w:r>
        <w:lastRenderedPageBreak/>
        <w:t>enforcement and fire departments that these grants were intended to support. See, e.g., [47] ¶¶ 9–12 (Assistance for Firefights Grant Program funding already awarded to the Chicago Fire Department is needed to replace end-of-life and non-compliant self-contained breathing apparatus cylinders and provide training on hazardous material safety); [53] ¶ 10 (the City of New Haven Office of Emergency Management relies on Emergency Management Performance Grant funding for 100% of its non-salary operating budget). While going without money is not an irreparable harm, going without firefighters is.”</w:t>
      </w:r>
    </w:p>
    <w:p w14:paraId="5185EACE" w14:textId="77777777" w:rsidR="00E575E6" w:rsidRDefault="00E575E6" w:rsidP="00E575E6">
      <w:pPr>
        <w:pStyle w:val="NoSpacing"/>
        <w:ind w:left="720"/>
      </w:pPr>
    </w:p>
    <w:p w14:paraId="198DC0E6" w14:textId="77777777" w:rsidR="00E575E6" w:rsidRPr="004319FA" w:rsidRDefault="00E575E6" w:rsidP="00E575E6">
      <w:pPr>
        <w:pStyle w:val="NoSpacing"/>
        <w:rPr>
          <w:b/>
          <w:bCs/>
        </w:rPr>
      </w:pPr>
      <w:r>
        <w:rPr>
          <w:b/>
        </w:rPr>
        <w:t xml:space="preserve">Legal lesson learned: The new “DEI” provisions have also led to litigation elsewhere.  </w:t>
      </w:r>
    </w:p>
    <w:p w14:paraId="6E2DFCC9" w14:textId="77777777" w:rsidR="00E575E6" w:rsidRDefault="00E575E6" w:rsidP="00E575E6">
      <w:pPr>
        <w:pStyle w:val="NoSpacing"/>
        <w:ind w:left="720"/>
      </w:pPr>
    </w:p>
    <w:p w14:paraId="7547A4ED" w14:textId="77777777" w:rsidR="00E575E6" w:rsidRDefault="00E575E6" w:rsidP="00E575E6">
      <w:pPr>
        <w:pStyle w:val="NoSpacing"/>
        <w:ind w:left="720"/>
        <w:rPr>
          <w:u w:val="single"/>
        </w:rPr>
      </w:pPr>
      <w:r>
        <w:t xml:space="preserve">Note: See November 21, </w:t>
      </w:r>
      <w:proofErr w:type="gramStart"/>
      <w:r>
        <w:t>2025</w:t>
      </w:r>
      <w:proofErr w:type="gramEnd"/>
      <w:r>
        <w:t xml:space="preserve"> injunction in </w:t>
      </w:r>
      <w:r w:rsidRPr="00197C44">
        <w:rPr>
          <w:u w:val="single"/>
        </w:rPr>
        <w:t xml:space="preserve">County of Sata Clara, et al. v. Kristi Noem, et al., </w:t>
      </w:r>
      <w:r w:rsidRPr="00AC1129">
        <w:t>by U.S. District Court Judge US District Judge William Orrick</w:t>
      </w:r>
      <w:r>
        <w:t xml:space="preserve"> in San Jose. </w:t>
      </w:r>
    </w:p>
    <w:p w14:paraId="588F0651" w14:textId="77777777" w:rsidR="00E575E6" w:rsidRDefault="00E575E6" w:rsidP="00E575E6">
      <w:pPr>
        <w:pStyle w:val="NoSpacing"/>
        <w:ind w:left="720"/>
        <w:rPr>
          <w:u w:val="single"/>
        </w:rPr>
      </w:pPr>
      <w:hyperlink r:id="rId621" w:history="1">
        <w:r w:rsidRPr="00743732">
          <w:rPr>
            <w:rStyle w:val="Hyperlink"/>
          </w:rPr>
          <w:t>https://www.courthousenews.com/wp-content/uploads/2025/11/santa-clara-v-noem-preliminary-injunction.pdf</w:t>
        </w:r>
      </w:hyperlink>
      <w:r>
        <w:rPr>
          <w:u w:val="single"/>
        </w:rPr>
        <w:t xml:space="preserve"> </w:t>
      </w:r>
    </w:p>
    <w:p w14:paraId="01F232C3" w14:textId="77777777" w:rsidR="00E575E6" w:rsidRPr="007924A1" w:rsidRDefault="00E575E6" w:rsidP="00E575E6">
      <w:pPr>
        <w:pStyle w:val="NoSpacing"/>
        <w:ind w:firstLine="720"/>
      </w:pPr>
      <w:r w:rsidRPr="00D36677">
        <w:t>“</w:t>
      </w:r>
      <w:r w:rsidRPr="007924A1">
        <w:t>Defendants’ arguments here have been soundly rejected by courts around the country,</w:t>
      </w:r>
    </w:p>
    <w:p w14:paraId="43921471" w14:textId="77777777" w:rsidR="00E575E6" w:rsidRDefault="00E575E6" w:rsidP="00E575E6">
      <w:pPr>
        <w:pStyle w:val="NoSpacing"/>
        <w:ind w:left="720"/>
      </w:pPr>
      <w:r w:rsidRPr="007924A1">
        <w:t>which have found similar agency conditional funding schemes to be unconstitutional.  The</w:t>
      </w:r>
      <w:r>
        <w:t xml:space="preserve"> </w:t>
      </w:r>
      <w:r w:rsidRPr="007924A1">
        <w:t>message to the Executive Branch in these cases is consistent: no one is above the law, and the</w:t>
      </w:r>
      <w:r>
        <w:t xml:space="preserve"> </w:t>
      </w:r>
      <w:r w:rsidRPr="007924A1">
        <w:t xml:space="preserve">separation of powers between the three branches must be </w:t>
      </w:r>
      <w:proofErr w:type="gramStart"/>
      <w:r w:rsidRPr="007924A1">
        <w:t>respected.</w:t>
      </w:r>
      <w:r>
        <w:t>”</w:t>
      </w:r>
      <w:proofErr w:type="gramEnd"/>
    </w:p>
    <w:p w14:paraId="56271655" w14:textId="77777777" w:rsidR="00E575E6" w:rsidRDefault="00E575E6" w:rsidP="00E575E6">
      <w:pPr>
        <w:pStyle w:val="NoSpacing"/>
        <w:ind w:left="720"/>
      </w:pPr>
    </w:p>
    <w:p w14:paraId="34909F35" w14:textId="77777777" w:rsidR="00E575E6" w:rsidRPr="007924A1" w:rsidRDefault="00E575E6" w:rsidP="00E575E6">
      <w:pPr>
        <w:pStyle w:val="NoSpacing"/>
        <w:ind w:left="720"/>
      </w:pPr>
      <w:r>
        <w:t>***</w:t>
      </w:r>
    </w:p>
    <w:p w14:paraId="2B389669" w14:textId="77777777" w:rsidR="00E575E6" w:rsidRDefault="00E575E6" w:rsidP="00E575E6">
      <w:pPr>
        <w:pStyle w:val="NoSpacing"/>
        <w:ind w:left="720"/>
        <w:rPr>
          <w:u w:val="single"/>
        </w:rPr>
      </w:pPr>
    </w:p>
    <w:p w14:paraId="34EF1209" w14:textId="77777777" w:rsidR="00E575E6" w:rsidRPr="006610CA" w:rsidRDefault="00E575E6" w:rsidP="00E575E6">
      <w:pPr>
        <w:pStyle w:val="NoSpacing"/>
        <w:ind w:left="720"/>
      </w:pPr>
      <w:r w:rsidRPr="006610CA">
        <w:t xml:space="preserve">Plaintiffs are the County of Santa Clara </w:t>
      </w:r>
      <w:r>
        <w:t xml:space="preserve">, </w:t>
      </w:r>
      <w:r w:rsidRPr="006610CA">
        <w:t>City and County of San Francisco</w:t>
      </w:r>
      <w:r>
        <w:t xml:space="preserve">, </w:t>
      </w:r>
      <w:r w:rsidRPr="006610CA">
        <w:t>City of Alameda</w:t>
      </w:r>
      <w:r>
        <w:t xml:space="preserve">, </w:t>
      </w:r>
      <w:r w:rsidRPr="006610CA">
        <w:t>City of Bellingham</w:t>
      </w:r>
      <w:r>
        <w:t xml:space="preserve">, </w:t>
      </w:r>
      <w:r w:rsidRPr="006610CA">
        <w:t>City of Berkeley</w:t>
      </w:r>
      <w:r>
        <w:t xml:space="preserve">, </w:t>
      </w:r>
      <w:r w:rsidRPr="006610CA">
        <w:t>City of Culver City</w:t>
      </w:r>
      <w:r>
        <w:t xml:space="preserve">, </w:t>
      </w:r>
      <w:r w:rsidRPr="006610CA">
        <w:t>City of Los Angeles</w:t>
      </w:r>
      <w:r>
        <w:t>,</w:t>
      </w:r>
      <w:r w:rsidRPr="006610CA">
        <w:t xml:space="preserve"> County</w:t>
      </w:r>
      <w:r>
        <w:t xml:space="preserve"> </w:t>
      </w:r>
      <w:r w:rsidRPr="006610CA">
        <w:t>of Los Angeles</w:t>
      </w:r>
      <w:r>
        <w:t xml:space="preserve">, </w:t>
      </w:r>
      <w:r w:rsidRPr="006610CA">
        <w:t>Los Angeles County Consolidated Fire Protection</w:t>
      </w:r>
      <w:r>
        <w:t xml:space="preserve"> </w:t>
      </w:r>
      <w:r w:rsidRPr="006610CA">
        <w:t>District</w:t>
      </w:r>
      <w:r>
        <w:t xml:space="preserve">, </w:t>
      </w:r>
      <w:r w:rsidRPr="006610CA">
        <w:t>Martin Luther King, Jr. County</w:t>
      </w:r>
      <w:r>
        <w:t xml:space="preserve">, </w:t>
      </w:r>
      <w:r w:rsidRPr="006610CA">
        <w:t>County of Marin</w:t>
      </w:r>
      <w:r>
        <w:t>, C</w:t>
      </w:r>
      <w:r w:rsidRPr="006610CA">
        <w:t>ity of Oakland</w:t>
      </w:r>
      <w:r>
        <w:t xml:space="preserve">, </w:t>
      </w:r>
      <w:r w:rsidRPr="006610CA">
        <w:t>City of Palo Alto</w:t>
      </w:r>
      <w:r>
        <w:t xml:space="preserve">, </w:t>
      </w:r>
      <w:r w:rsidRPr="006610CA">
        <w:t xml:space="preserve"> City of Pasadena</w:t>
      </w:r>
      <w:r>
        <w:t xml:space="preserve">, </w:t>
      </w:r>
      <w:r w:rsidRPr="006610CA">
        <w:t>City of Petaluma</w:t>
      </w:r>
      <w:r>
        <w:t xml:space="preserve">, </w:t>
      </w:r>
      <w:r w:rsidRPr="006610CA">
        <w:t>Pierce County, City of Sacramento</w:t>
      </w:r>
      <w:r>
        <w:t xml:space="preserve">, </w:t>
      </w:r>
      <w:r w:rsidRPr="006610CA">
        <w:t>City of San Diego</w:t>
      </w:r>
      <w:r>
        <w:t xml:space="preserve">, </w:t>
      </w:r>
      <w:r w:rsidRPr="006610CA">
        <w:t>County of San Diego</w:t>
      </w:r>
      <w:r>
        <w:t xml:space="preserve">, </w:t>
      </w:r>
      <w:r w:rsidRPr="006610CA">
        <w:t>City of San José</w:t>
      </w:r>
      <w:r>
        <w:t xml:space="preserve"> </w:t>
      </w:r>
      <w:r w:rsidRPr="006610CA">
        <w:t>(“San José”), County of San Mateo (“San Mateo County”), City of Santa Monica</w:t>
      </w:r>
      <w:r>
        <w:t xml:space="preserve">, </w:t>
      </w:r>
      <w:r w:rsidRPr="006610CA">
        <w:t>City of Santa Rosa</w:t>
      </w:r>
      <w:r>
        <w:t xml:space="preserve">, </w:t>
      </w:r>
      <w:r w:rsidRPr="006610CA">
        <w:t>Snohomish County, County of Sonoma</w:t>
      </w:r>
      <w:r>
        <w:t xml:space="preserve">, </w:t>
      </w:r>
      <w:r w:rsidRPr="006610CA">
        <w:t>Sonoma County Community Development Commission</w:t>
      </w:r>
      <w:r>
        <w:t xml:space="preserve">, </w:t>
      </w:r>
      <w:r w:rsidRPr="006610CA">
        <w:t>Sonoma County</w:t>
      </w:r>
      <w:r>
        <w:t xml:space="preserve"> </w:t>
      </w:r>
      <w:r w:rsidRPr="006610CA">
        <w:t>Water Agency</w:t>
      </w:r>
      <w:r>
        <w:t xml:space="preserve">, </w:t>
      </w:r>
      <w:r w:rsidRPr="006610CA">
        <w:t>Sonoma Valley County Sanitation District</w:t>
      </w:r>
      <w:r>
        <w:t xml:space="preserve">. </w:t>
      </w:r>
      <w:r w:rsidRPr="006610CA">
        <w:t>and the</w:t>
      </w:r>
      <w:r>
        <w:t xml:space="preserve"> </w:t>
      </w:r>
      <w:r w:rsidRPr="006610CA">
        <w:t>City of Tucson</w:t>
      </w:r>
      <w:r>
        <w:t>.</w:t>
      </w:r>
      <w:r w:rsidRPr="006610CA">
        <w:t xml:space="preserve"> </w:t>
      </w:r>
    </w:p>
    <w:p w14:paraId="5293BF95" w14:textId="77777777" w:rsidR="00E575E6" w:rsidRDefault="00E575E6" w:rsidP="00E575E6">
      <w:pPr>
        <w:pStyle w:val="NoSpacing"/>
        <w:ind w:left="720"/>
        <w:rPr>
          <w:u w:val="single"/>
        </w:rPr>
      </w:pPr>
    </w:p>
    <w:p w14:paraId="09298894" w14:textId="77777777" w:rsidR="00E575E6" w:rsidRDefault="00E575E6" w:rsidP="00E575E6">
      <w:pPr>
        <w:pStyle w:val="NoSpacing"/>
        <w:ind w:left="720"/>
      </w:pPr>
      <w:r w:rsidRPr="007924A1">
        <w:t xml:space="preserve">Note:  </w:t>
      </w:r>
      <w:r>
        <w:t xml:space="preserve">See these articles. </w:t>
      </w:r>
    </w:p>
    <w:p w14:paraId="19695A41" w14:textId="77777777" w:rsidR="00E575E6" w:rsidRDefault="00E575E6" w:rsidP="00E575E6">
      <w:pPr>
        <w:pStyle w:val="NoSpacing"/>
        <w:ind w:left="720"/>
      </w:pPr>
    </w:p>
    <w:p w14:paraId="79B823D6" w14:textId="77777777" w:rsidR="00E575E6" w:rsidRPr="008B165C" w:rsidRDefault="00E575E6" w:rsidP="00E575E6">
      <w:pPr>
        <w:pStyle w:val="NoSpacing"/>
        <w:numPr>
          <w:ilvl w:val="0"/>
          <w:numId w:val="36"/>
        </w:numPr>
        <w:rPr>
          <w:bCs/>
        </w:rPr>
      </w:pPr>
      <w:r>
        <w:t xml:space="preserve">Nov. 24, 2025: </w:t>
      </w:r>
      <w:r w:rsidRPr="008B165C">
        <w:t>Local Governments Win Injunction Against Trump Administration, Restoring Access to DHS Grants</w:t>
      </w:r>
      <w:r>
        <w:t xml:space="preserve">.  </w:t>
      </w:r>
      <w:hyperlink r:id="rId622" w:history="1">
        <w:r w:rsidRPr="00743732">
          <w:rPr>
            <w:rStyle w:val="Hyperlink"/>
          </w:rPr>
          <w:t>https://www.californiacountynews.org/news/2025/11/local-governments-win-injunction-against-trump-administration-restoring-access-dhs</w:t>
        </w:r>
      </w:hyperlink>
      <w:r>
        <w:t xml:space="preserve"> </w:t>
      </w:r>
    </w:p>
    <w:p w14:paraId="2843B9BC" w14:textId="77777777" w:rsidR="00E575E6" w:rsidRDefault="00E575E6" w:rsidP="00E575E6">
      <w:pPr>
        <w:pStyle w:val="NoSpacing"/>
        <w:ind w:left="720"/>
      </w:pPr>
    </w:p>
    <w:p w14:paraId="493937D7" w14:textId="77777777" w:rsidR="00E575E6" w:rsidRDefault="00E575E6" w:rsidP="00E575E6">
      <w:pPr>
        <w:pStyle w:val="NoSpacing"/>
        <w:ind w:left="720"/>
      </w:pPr>
    </w:p>
    <w:p w14:paraId="33200514" w14:textId="77777777" w:rsidR="00E575E6" w:rsidRDefault="00E575E6" w:rsidP="00E575E6">
      <w:pPr>
        <w:pStyle w:val="NoSpacing"/>
        <w:numPr>
          <w:ilvl w:val="0"/>
          <w:numId w:val="36"/>
        </w:numPr>
        <w:rPr>
          <w:b/>
        </w:rPr>
      </w:pPr>
      <w:r>
        <w:t xml:space="preserve">Nov. 22, 2025: </w:t>
      </w:r>
      <w:r w:rsidRPr="00BE145F">
        <w:t>Judges block Trump from cutting hundreds of millions in grants to cities, counties.</w:t>
      </w:r>
      <w:r>
        <w:rPr>
          <w:b/>
        </w:rPr>
        <w:t xml:space="preserve">   </w:t>
      </w:r>
      <w:hyperlink r:id="rId623" w:history="1">
        <w:r w:rsidRPr="00743732">
          <w:rPr>
            <w:rStyle w:val="Hyperlink"/>
            <w:b/>
          </w:rPr>
          <w:t>https://edition.cnn.com/2025/11/22/politics/judges-block-trump-cutting-grants-cities-counties-hnk</w:t>
        </w:r>
      </w:hyperlink>
      <w:r>
        <w:rPr>
          <w:b/>
        </w:rPr>
        <w:t xml:space="preserve"> </w:t>
      </w:r>
    </w:p>
    <w:p w14:paraId="6E6F9F2A" w14:textId="77777777" w:rsidR="00E575E6" w:rsidRDefault="00E575E6" w:rsidP="00E575E6"/>
    <w:p w14:paraId="1A47943E" w14:textId="77777777" w:rsidR="00E575E6" w:rsidRDefault="00E575E6" w:rsidP="00440B47">
      <w:pPr>
        <w:pStyle w:val="NoSpacing"/>
        <w:rPr>
          <w:rFonts w:ascii="Arial Black" w:hAnsi="Arial Black"/>
          <w:sz w:val="28"/>
          <w:szCs w:val="28"/>
        </w:rPr>
      </w:pPr>
    </w:p>
    <w:p w14:paraId="6B48CE44" w14:textId="77777777" w:rsidR="00E575E6" w:rsidRDefault="00E575E6" w:rsidP="00440B47">
      <w:pPr>
        <w:pStyle w:val="NoSpacing"/>
        <w:rPr>
          <w:rFonts w:ascii="Arial Black" w:hAnsi="Arial Black"/>
          <w:sz w:val="28"/>
          <w:szCs w:val="28"/>
        </w:rPr>
      </w:pPr>
    </w:p>
    <w:p w14:paraId="67D02A67" w14:textId="017B1E5F" w:rsidR="00C27E37" w:rsidRDefault="00374C8E" w:rsidP="00440B47">
      <w:pPr>
        <w:pStyle w:val="NoSpacing"/>
        <w:rPr>
          <w:rFonts w:ascii="Arial Black" w:hAnsi="Arial Black"/>
          <w:sz w:val="28"/>
          <w:szCs w:val="28"/>
        </w:rPr>
      </w:pPr>
      <w:r>
        <w:rPr>
          <w:rFonts w:ascii="Arial Black" w:hAnsi="Arial Black"/>
          <w:sz w:val="28"/>
          <w:szCs w:val="28"/>
        </w:rPr>
        <w:t>3-82</w:t>
      </w:r>
    </w:p>
    <w:p w14:paraId="5680A694" w14:textId="77777777" w:rsidR="00374C8E" w:rsidRDefault="00374C8E" w:rsidP="00440B47">
      <w:pPr>
        <w:pStyle w:val="NoSpacing"/>
        <w:rPr>
          <w:rFonts w:ascii="Arial Black" w:hAnsi="Arial Black"/>
          <w:sz w:val="28"/>
          <w:szCs w:val="28"/>
        </w:rPr>
      </w:pPr>
    </w:p>
    <w:p w14:paraId="4CDE2C22" w14:textId="77777777" w:rsidR="00374C8E" w:rsidRDefault="00374C8E" w:rsidP="00374C8E">
      <w:pPr>
        <w:pStyle w:val="NoSpacing"/>
        <w:rPr>
          <w:b/>
        </w:rPr>
      </w:pPr>
      <w:r>
        <w:rPr>
          <w:rFonts w:ascii="Arial Black" w:hAnsi="Arial Black"/>
          <w:b/>
          <w:sz w:val="28"/>
          <w:szCs w:val="28"/>
        </w:rPr>
        <w:t>IL: NAT. GUARD – CHICAGO - 7</w:t>
      </w:r>
      <w:r w:rsidRPr="00293775">
        <w:rPr>
          <w:rFonts w:ascii="Arial Black" w:hAnsi="Arial Black"/>
          <w:b/>
          <w:sz w:val="28"/>
          <w:szCs w:val="28"/>
          <w:vertAlign w:val="superscript"/>
        </w:rPr>
        <w:t>th</w:t>
      </w:r>
      <w:r>
        <w:rPr>
          <w:rFonts w:ascii="Arial Black" w:hAnsi="Arial Black"/>
          <w:b/>
          <w:sz w:val="28"/>
          <w:szCs w:val="28"/>
        </w:rPr>
        <w:t xml:space="preserve"> CIR. TEMP INJUNCTION</w:t>
      </w:r>
    </w:p>
    <w:p w14:paraId="024FE0EF" w14:textId="77777777" w:rsidR="00374C8E" w:rsidRDefault="00374C8E" w:rsidP="00374C8E">
      <w:pPr>
        <w:pStyle w:val="NoSpacing"/>
        <w:rPr>
          <w:b/>
        </w:rPr>
      </w:pPr>
    </w:p>
    <w:p w14:paraId="4D74D65D" w14:textId="77777777" w:rsidR="00374C8E" w:rsidRDefault="00374C8E" w:rsidP="00374C8E">
      <w:pPr>
        <w:pStyle w:val="NoSpacing"/>
        <w:rPr>
          <w:bCs/>
        </w:rPr>
      </w:pPr>
      <w:r>
        <w:t xml:space="preserve">On Oct. 16, 2025, in </w:t>
      </w:r>
      <w:r w:rsidRPr="0089383A">
        <w:rPr>
          <w:u w:val="single"/>
        </w:rPr>
        <w:t>State of Illinois and City of Chicago v. Donald J. Trump, et al</w:t>
      </w:r>
      <w:r>
        <w:t>., the U.S. Court of Appeals for 7</w:t>
      </w:r>
      <w:r w:rsidRPr="0089383A">
        <w:rPr>
          <w:vertAlign w:val="superscript"/>
        </w:rPr>
        <w:t>th</w:t>
      </w:r>
      <w:r>
        <w:t xml:space="preserve"> Circuit (Chicago) held (3 to 0) that temporary injunction by U.S. District Court Judge April M. Perry, </w:t>
      </w:r>
      <w:r w:rsidRPr="00DB3FA5">
        <w:t>enjoining the administration from federalizing and deploying the Guard within Illinois</w:t>
      </w:r>
      <w:r>
        <w:t xml:space="preserve">, will remain in place while the administration appeals.   </w:t>
      </w:r>
      <w:r w:rsidRPr="00923D30">
        <w:t>On September 8, 2025, the Trump administration announced</w:t>
      </w:r>
      <w:r>
        <w:t xml:space="preserve"> </w:t>
      </w:r>
      <w:r w:rsidRPr="00923D30">
        <w:t>“Operation Midway Blitz”</w:t>
      </w:r>
      <w:r>
        <w:t xml:space="preserve"> - </w:t>
      </w:r>
      <w:r w:rsidRPr="008800B0">
        <w:t xml:space="preserve">Illinois state officials opposed the deployment of the National Guard. The same day, the National Guard Bureau </w:t>
      </w:r>
    </w:p>
    <w:p w14:paraId="165087B4" w14:textId="77777777" w:rsidR="00374C8E" w:rsidRDefault="00374C8E" w:rsidP="00374C8E">
      <w:pPr>
        <w:pStyle w:val="NoSpacing"/>
        <w:rPr>
          <w:bCs/>
        </w:rPr>
      </w:pPr>
      <w:r w:rsidRPr="008800B0">
        <w:lastRenderedPageBreak/>
        <w:t>notified the Adjutant General of the Illinois National Guard that</w:t>
      </w:r>
      <w:r>
        <w:t xml:space="preserve"> </w:t>
      </w:r>
      <w:r w:rsidRPr="008800B0">
        <w:t>the President had authorized the mobilization of at least 300</w:t>
      </w:r>
      <w:r>
        <w:t xml:space="preserve"> </w:t>
      </w:r>
      <w:r w:rsidRPr="008800B0">
        <w:t>members of the Illinois National Guard and directed that Illinois mobilize the Guard under 32 U.S.C. § 502(f) within 2</w:t>
      </w:r>
      <w:r>
        <w:t xml:space="preserve"> </w:t>
      </w:r>
      <w:r w:rsidRPr="008800B0">
        <w:t>hours, or the Secretary of Defense would do so under Title 10.</w:t>
      </w:r>
      <w:r>
        <w:t xml:space="preserve"> </w:t>
      </w:r>
      <w:r w:rsidRPr="008127E8">
        <w:t>On October 6, 2025, plaintiffs—the State of Illinois and the</w:t>
      </w:r>
      <w:r>
        <w:t xml:space="preserve"> </w:t>
      </w:r>
      <w:r w:rsidRPr="008127E8">
        <w:t>City of Chicago—filed this lawsuit, arguing that the Trump</w:t>
      </w:r>
      <w:r>
        <w:t xml:space="preserve"> </w:t>
      </w:r>
      <w:r w:rsidRPr="008127E8">
        <w:t>administration’s orders federalizing National Guard troops in</w:t>
      </w:r>
      <w:r>
        <w:t xml:space="preserve"> </w:t>
      </w:r>
      <w:r w:rsidRPr="008127E8">
        <w:t>Illinois under 10 U.S.C. § 12406 were unlawful.</w:t>
      </w:r>
      <w:r>
        <w:t xml:space="preserve"> </w:t>
      </w:r>
      <w:hyperlink r:id="rId624" w:history="1">
        <w:r w:rsidRPr="00D86B5D">
          <w:rPr>
            <w:rStyle w:val="Hyperlink"/>
          </w:rPr>
          <w:t>https://media.ca7.uscourts.gov/cgi-bin/OpinionsWeb/processWebInputExternal.pl?Submit=Display&amp;Path=Y2025/D10-16/C:25-2798:J:PerCuriam:aut:T:op:N:3439487:S:0</w:t>
        </w:r>
      </w:hyperlink>
      <w:r>
        <w:t xml:space="preserve"> </w:t>
      </w:r>
    </w:p>
    <w:p w14:paraId="2A72CDAC" w14:textId="77777777" w:rsidR="00374C8E" w:rsidRDefault="00374C8E" w:rsidP="00374C8E">
      <w:pPr>
        <w:pStyle w:val="NoSpacing"/>
        <w:rPr>
          <w:b/>
        </w:rPr>
      </w:pPr>
    </w:p>
    <w:p w14:paraId="11490BB1" w14:textId="77777777" w:rsidR="00374C8E" w:rsidRPr="008127E8" w:rsidRDefault="00374C8E" w:rsidP="00374C8E">
      <w:pPr>
        <w:pStyle w:val="NoSpacing"/>
        <w:rPr>
          <w:bCs/>
        </w:rPr>
      </w:pPr>
      <w:r w:rsidRPr="008127E8">
        <w:t>THE COURT HELD:</w:t>
      </w:r>
    </w:p>
    <w:p w14:paraId="3A522E5D" w14:textId="77777777" w:rsidR="00374C8E" w:rsidRDefault="00374C8E" w:rsidP="00374C8E">
      <w:pPr>
        <w:pStyle w:val="NoSpacing"/>
        <w:rPr>
          <w:b/>
        </w:rPr>
      </w:pPr>
    </w:p>
    <w:p w14:paraId="7DC96DF0" w14:textId="77777777" w:rsidR="00374C8E" w:rsidRDefault="00374C8E" w:rsidP="00374C8E">
      <w:pPr>
        <w:pStyle w:val="NoSpacing"/>
        <w:ind w:left="720"/>
      </w:pPr>
      <w:r>
        <w:t>“</w:t>
      </w:r>
      <w:r w:rsidRPr="00E43F32">
        <w:t>Plaintiffs argued that there is no rebellion or danger of rebellion in Illinois</w:t>
      </w:r>
      <w:r>
        <w:t xml:space="preserve"> </w:t>
      </w:r>
      <w:r w:rsidRPr="00E43F32">
        <w:t>nor is the President unable with the regular</w:t>
      </w:r>
      <w:r>
        <w:t xml:space="preserve"> </w:t>
      </w:r>
      <w:r w:rsidRPr="00E43F32">
        <w:t>forces to execute the laws of the United States</w:t>
      </w:r>
      <w:r>
        <w:t xml:space="preserve"> [10 USC 12406]. </w:t>
      </w:r>
      <w:r w:rsidRPr="00E43F32">
        <w:t xml:space="preserve"> They further</w:t>
      </w:r>
      <w:r>
        <w:t xml:space="preserve"> </w:t>
      </w:r>
      <w:r w:rsidRPr="00E43F32">
        <w:t>contended that the federalization orders violate the Posse</w:t>
      </w:r>
      <w:r>
        <w:t xml:space="preserve"> </w:t>
      </w:r>
      <w:r w:rsidRPr="00E43F32">
        <w:t>Comitatus Act, 18 U.S.C. § 1385, and the Tenth Amendment.</w:t>
      </w:r>
      <w:r>
        <w:t xml:space="preserve"> </w:t>
      </w:r>
      <w:r w:rsidRPr="00E43F32">
        <w:t>Plaintiffs sought emergency injunctive relief preventing the</w:t>
      </w:r>
      <w:r>
        <w:t xml:space="preserve"> </w:t>
      </w:r>
      <w:r w:rsidRPr="00E43F32">
        <w:t>Trump administration from federalizing and deploying National Guard troops in Illinois.</w:t>
      </w:r>
    </w:p>
    <w:p w14:paraId="338B8D52" w14:textId="77777777" w:rsidR="00374C8E" w:rsidRDefault="00374C8E" w:rsidP="00374C8E">
      <w:pPr>
        <w:pStyle w:val="NoSpacing"/>
        <w:ind w:left="720"/>
      </w:pPr>
    </w:p>
    <w:p w14:paraId="0BB94375" w14:textId="77777777" w:rsidR="00374C8E" w:rsidRPr="00E43F32" w:rsidRDefault="00374C8E" w:rsidP="00374C8E">
      <w:pPr>
        <w:pStyle w:val="NoSpacing"/>
        <w:ind w:left="720"/>
      </w:pPr>
      <w:r>
        <w:t>***</w:t>
      </w:r>
    </w:p>
    <w:p w14:paraId="5D5D899D" w14:textId="77777777" w:rsidR="00374C8E" w:rsidRPr="00E43F32" w:rsidRDefault="00374C8E" w:rsidP="00374C8E">
      <w:pPr>
        <w:pStyle w:val="NoSpacing"/>
      </w:pPr>
    </w:p>
    <w:p w14:paraId="68752905" w14:textId="77777777" w:rsidR="00374C8E" w:rsidRDefault="00374C8E" w:rsidP="00374C8E">
      <w:pPr>
        <w:pStyle w:val="NoSpacing"/>
        <w:ind w:left="720"/>
      </w:pPr>
      <w:r w:rsidRPr="00BA5389">
        <w:t xml:space="preserve">After holding a hearing and assessing the preliminary record, the </w:t>
      </w:r>
      <w:r>
        <w:t>[</w:t>
      </w:r>
      <w:proofErr w:type="spellStart"/>
      <w:r>
        <w:t>distri</w:t>
      </w:r>
      <w:proofErr w:type="spellEnd"/>
      <w:r>
        <w:t xml:space="preserve"> court on Oct. 9, 2025] </w:t>
      </w:r>
      <w:r w:rsidRPr="00BA5389">
        <w:t>granted in part plaintiffs’ request for a temporary restraining order and enjoined the federalization and deployment of the National Guard for 14 days.</w:t>
      </w:r>
    </w:p>
    <w:p w14:paraId="71B38E9D" w14:textId="77777777" w:rsidR="00374C8E" w:rsidRDefault="00374C8E" w:rsidP="00374C8E">
      <w:pPr>
        <w:pStyle w:val="NoSpacing"/>
        <w:ind w:left="720"/>
      </w:pPr>
    </w:p>
    <w:p w14:paraId="10730929" w14:textId="77777777" w:rsidR="00374C8E" w:rsidRDefault="00374C8E" w:rsidP="00374C8E">
      <w:pPr>
        <w:pStyle w:val="NoSpacing"/>
        <w:ind w:left="720"/>
      </w:pPr>
      <w:r>
        <w:t>***</w:t>
      </w:r>
    </w:p>
    <w:p w14:paraId="28332191" w14:textId="77777777" w:rsidR="00374C8E" w:rsidRDefault="00374C8E" w:rsidP="00374C8E">
      <w:pPr>
        <w:pStyle w:val="NoSpacing"/>
        <w:ind w:left="720"/>
      </w:pPr>
      <w:r>
        <w:t>The Trump administration promptly appealed. It also moved for a stay pending appeal and for an emergency administrative stay. We granted the motion for an administrative stay in part, allowing the Guard members in Illinois to remain under federal control but blocking their deployment while we considered the motion for a stay.</w:t>
      </w:r>
    </w:p>
    <w:p w14:paraId="4C9B8FF1" w14:textId="77777777" w:rsidR="00374C8E" w:rsidRDefault="00374C8E" w:rsidP="00374C8E">
      <w:pPr>
        <w:pStyle w:val="NoSpacing"/>
        <w:ind w:left="720"/>
      </w:pPr>
    </w:p>
    <w:p w14:paraId="06EDE958" w14:textId="77777777" w:rsidR="00374C8E" w:rsidRPr="00BA5389" w:rsidRDefault="00374C8E" w:rsidP="00374C8E">
      <w:pPr>
        <w:pStyle w:val="NoSpacing"/>
        <w:ind w:left="720"/>
      </w:pPr>
      <w:r>
        <w:t>***</w:t>
      </w:r>
    </w:p>
    <w:p w14:paraId="701D91CF" w14:textId="77777777" w:rsidR="00374C8E" w:rsidRDefault="00374C8E" w:rsidP="00374C8E">
      <w:pPr>
        <w:pStyle w:val="NoSpacing"/>
        <w:ind w:left="720"/>
      </w:pPr>
      <w:r w:rsidRPr="00960DC7">
        <w:t>We continue to STAY the district court’s</w:t>
      </w:r>
      <w:r>
        <w:t xml:space="preserve"> </w:t>
      </w:r>
      <w:r w:rsidRPr="00960DC7">
        <w:t>October 9, 2025, order only to the extent it enjoined the federalization of the National Guard within the state. The administration remains barred from deploying the National Guard</w:t>
      </w:r>
      <w:r>
        <w:t xml:space="preserve"> </w:t>
      </w:r>
      <w:r w:rsidRPr="00960DC7">
        <w:t>of the United States within Illinois.</w:t>
      </w:r>
      <w:r>
        <w:t>”</w:t>
      </w:r>
    </w:p>
    <w:p w14:paraId="396F9EEC" w14:textId="77777777" w:rsidR="00374C8E" w:rsidRDefault="00374C8E" w:rsidP="00374C8E">
      <w:pPr>
        <w:pStyle w:val="NoSpacing"/>
        <w:ind w:left="720"/>
      </w:pPr>
    </w:p>
    <w:p w14:paraId="0A308CCB" w14:textId="30E49ECF" w:rsidR="00374C8E" w:rsidRPr="00960DC7" w:rsidRDefault="00374C8E" w:rsidP="00374C8E">
      <w:pPr>
        <w:pStyle w:val="NoSpacing"/>
        <w:rPr>
          <w:b/>
          <w:bCs/>
        </w:rPr>
      </w:pPr>
      <w:r>
        <w:rPr>
          <w:b/>
        </w:rPr>
        <w:t xml:space="preserve">Lesson learned: Litigation over President’s authority to deploy National Guard where there is no “rebellion” will probably be finally settled by U.S. Supreme Court. </w:t>
      </w:r>
    </w:p>
    <w:p w14:paraId="0395FF0C" w14:textId="77777777" w:rsidR="00374C8E" w:rsidRPr="00960DC7" w:rsidRDefault="00374C8E" w:rsidP="00374C8E">
      <w:pPr>
        <w:pStyle w:val="NoSpacing"/>
      </w:pPr>
    </w:p>
    <w:p w14:paraId="04DD919C" w14:textId="77777777" w:rsidR="002511FF" w:rsidRDefault="002511FF" w:rsidP="00374C8E">
      <w:pPr>
        <w:pStyle w:val="NoSpacing"/>
        <w:ind w:left="720"/>
      </w:pPr>
    </w:p>
    <w:p w14:paraId="670CE1C5" w14:textId="77777777" w:rsidR="002511FF" w:rsidRDefault="002511FF" w:rsidP="00374C8E">
      <w:pPr>
        <w:pStyle w:val="NoSpacing"/>
        <w:ind w:left="720"/>
      </w:pPr>
    </w:p>
    <w:p w14:paraId="0E308F51" w14:textId="77777777" w:rsidR="002511FF" w:rsidRDefault="002511FF" w:rsidP="00374C8E">
      <w:pPr>
        <w:pStyle w:val="NoSpacing"/>
        <w:ind w:left="720"/>
      </w:pPr>
    </w:p>
    <w:p w14:paraId="78424A68" w14:textId="77777777" w:rsidR="002511FF" w:rsidRPr="005A2D83" w:rsidRDefault="002511FF" w:rsidP="002511FF">
      <w:pPr>
        <w:pStyle w:val="NoSpacing"/>
        <w:ind w:left="720"/>
        <w:rPr>
          <w:bCs/>
        </w:rPr>
      </w:pPr>
      <w:r>
        <w:t xml:space="preserve">See Oct. 16, </w:t>
      </w:r>
      <w:proofErr w:type="gramStart"/>
      <w:r>
        <w:t>2025</w:t>
      </w:r>
      <w:proofErr w:type="gramEnd"/>
      <w:r>
        <w:t xml:space="preserve"> article: </w:t>
      </w:r>
      <w:r w:rsidRPr="005A2D83">
        <w:t xml:space="preserve">Appeals Court Upholds Federal Judge’s Temporary Order Blocking National Guard Deployment in Chicago Area </w:t>
      </w:r>
    </w:p>
    <w:p w14:paraId="54DCCFDC" w14:textId="222D6255" w:rsidR="002511FF" w:rsidRDefault="002511FF" w:rsidP="002511FF">
      <w:pPr>
        <w:pStyle w:val="NoSpacing"/>
        <w:ind w:left="720"/>
      </w:pPr>
      <w:hyperlink r:id="rId625" w:history="1">
        <w:r w:rsidRPr="00B5246F">
          <w:rPr>
            <w:rStyle w:val="Hyperlink"/>
          </w:rPr>
          <w:t>https://news.wttw.com/2025/10/16/appeals-court-upholds-federal-judge-s-temporary-order-blocking-national-guard-deployment</w:t>
        </w:r>
      </w:hyperlink>
    </w:p>
    <w:p w14:paraId="61CF5E70" w14:textId="77777777" w:rsidR="002511FF" w:rsidRDefault="002511FF" w:rsidP="00374C8E">
      <w:pPr>
        <w:pStyle w:val="NoSpacing"/>
        <w:ind w:left="720"/>
      </w:pPr>
    </w:p>
    <w:p w14:paraId="63275DB1" w14:textId="77777777" w:rsidR="002511FF" w:rsidRDefault="002511FF" w:rsidP="00374C8E">
      <w:pPr>
        <w:pStyle w:val="NoSpacing"/>
        <w:ind w:left="720"/>
      </w:pPr>
    </w:p>
    <w:p w14:paraId="2C6624C9" w14:textId="6B66D5DD" w:rsidR="00374C8E" w:rsidRDefault="00374C8E" w:rsidP="00374C8E">
      <w:pPr>
        <w:pStyle w:val="NoSpacing"/>
        <w:ind w:left="720"/>
        <w:rPr>
          <w:b/>
        </w:rPr>
      </w:pPr>
      <w:r w:rsidRPr="00913BE0">
        <w:t>See</w:t>
      </w:r>
      <w:r>
        <w:t xml:space="preserve"> the</w:t>
      </w:r>
      <w:r w:rsidRPr="00913BE0">
        <w:t xml:space="preserve"> Port</w:t>
      </w:r>
      <w:r>
        <w:t>l</w:t>
      </w:r>
      <w:r w:rsidRPr="00913BE0">
        <w:t xml:space="preserve">and, Oregon </w:t>
      </w:r>
      <w:r>
        <w:t xml:space="preserve">Oct. 4, </w:t>
      </w:r>
      <w:proofErr w:type="gramStart"/>
      <w:r>
        <w:t>2025</w:t>
      </w:r>
      <w:proofErr w:type="gramEnd"/>
      <w:r>
        <w:t xml:space="preserve"> </w:t>
      </w:r>
      <w:r w:rsidRPr="00913BE0">
        <w:t>temporary restraining order</w:t>
      </w:r>
      <w:r>
        <w:rPr>
          <w:b/>
        </w:rPr>
        <w:t xml:space="preserve">:  </w:t>
      </w:r>
      <w:hyperlink r:id="rId626" w:history="1">
        <w:r w:rsidRPr="00F13728">
          <w:rPr>
            <w:rStyle w:val="Hyperlink"/>
            <w:b/>
          </w:rPr>
          <w:t>https://www.portland.gov/federal/documents/10-4-2025-state-city-v-trump-temporary-restraining-order-granted/download</w:t>
        </w:r>
      </w:hyperlink>
      <w:r>
        <w:rPr>
          <w:b/>
        </w:rPr>
        <w:t xml:space="preserve"> </w:t>
      </w:r>
    </w:p>
    <w:p w14:paraId="659DFA0D" w14:textId="77777777" w:rsidR="00374C8E" w:rsidRDefault="00374C8E" w:rsidP="00374C8E">
      <w:pPr>
        <w:pStyle w:val="NoSpacing"/>
        <w:ind w:left="720"/>
        <w:rPr>
          <w:bCs/>
        </w:rPr>
      </w:pPr>
    </w:p>
    <w:p w14:paraId="6B9FD426" w14:textId="788EA60D" w:rsidR="00374C8E" w:rsidRDefault="00374C8E" w:rsidP="002511FF">
      <w:pPr>
        <w:pStyle w:val="NoSpacing"/>
        <w:ind w:firstLine="720"/>
        <w:rPr>
          <w:rFonts w:ascii="Arial Black" w:hAnsi="Arial Black"/>
          <w:sz w:val="28"/>
          <w:szCs w:val="28"/>
        </w:rPr>
      </w:pPr>
      <w:r w:rsidRPr="002C508F">
        <w:t xml:space="preserve">9th Circuit </w:t>
      </w:r>
      <w:r>
        <w:t xml:space="preserve">Oct. 30, </w:t>
      </w:r>
      <w:proofErr w:type="gramStart"/>
      <w:r>
        <w:t>2025</w:t>
      </w:r>
      <w:proofErr w:type="gramEnd"/>
      <w:r>
        <w:t xml:space="preserve"> </w:t>
      </w:r>
      <w:r w:rsidRPr="002C508F">
        <w:t xml:space="preserve">stay: </w:t>
      </w:r>
      <w:hyperlink r:id="rId627" w:history="1">
        <w:r w:rsidRPr="002C508F">
          <w:rPr>
            <w:rStyle w:val="Hyperlink"/>
          </w:rPr>
          <w:t>https://cdn.ca9.uscourts.gov/datastore/opinions/2025/10/30/25-6268.pdf</w:t>
        </w:r>
      </w:hyperlink>
    </w:p>
    <w:p w14:paraId="5F9C26A2" w14:textId="77777777" w:rsidR="00374C8E" w:rsidRDefault="00374C8E" w:rsidP="00440B47">
      <w:pPr>
        <w:pStyle w:val="NoSpacing"/>
        <w:rPr>
          <w:rFonts w:ascii="Arial Black" w:hAnsi="Arial Black"/>
          <w:sz w:val="28"/>
          <w:szCs w:val="28"/>
        </w:rPr>
      </w:pPr>
    </w:p>
    <w:p w14:paraId="2F25814D" w14:textId="77777777" w:rsidR="00374C8E" w:rsidRDefault="00374C8E" w:rsidP="00440B47">
      <w:pPr>
        <w:pStyle w:val="NoSpacing"/>
        <w:rPr>
          <w:rFonts w:ascii="Arial Black" w:hAnsi="Arial Black"/>
          <w:sz w:val="28"/>
          <w:szCs w:val="28"/>
        </w:rPr>
      </w:pPr>
    </w:p>
    <w:p w14:paraId="2FE5464B" w14:textId="521877B1" w:rsidR="00C27E37" w:rsidRDefault="004D0741" w:rsidP="00440B47">
      <w:pPr>
        <w:pStyle w:val="NoSpacing"/>
        <w:rPr>
          <w:rFonts w:ascii="Arial Black" w:hAnsi="Arial Black"/>
          <w:sz w:val="28"/>
          <w:szCs w:val="28"/>
        </w:rPr>
      </w:pPr>
      <w:r>
        <w:rPr>
          <w:rFonts w:ascii="Arial Black" w:hAnsi="Arial Black"/>
          <w:sz w:val="28"/>
          <w:szCs w:val="28"/>
        </w:rPr>
        <w:t>3-81</w:t>
      </w:r>
    </w:p>
    <w:p w14:paraId="204B4A66" w14:textId="77777777" w:rsidR="00C27E37" w:rsidRDefault="00C27E37" w:rsidP="00440B47">
      <w:pPr>
        <w:pStyle w:val="NoSpacing"/>
        <w:rPr>
          <w:rFonts w:ascii="Arial Black" w:hAnsi="Arial Black"/>
          <w:sz w:val="28"/>
          <w:szCs w:val="28"/>
        </w:rPr>
      </w:pPr>
    </w:p>
    <w:p w14:paraId="273EC7A4" w14:textId="28553262" w:rsidR="00440B47" w:rsidRDefault="00440B47" w:rsidP="00440B47">
      <w:pPr>
        <w:pStyle w:val="NoSpacing"/>
        <w:rPr>
          <w:rFonts w:ascii="Arial Black" w:hAnsi="Arial Black"/>
          <w:bCs/>
          <w:sz w:val="28"/>
          <w:szCs w:val="28"/>
        </w:rPr>
      </w:pPr>
      <w:r>
        <w:rPr>
          <w:rFonts w:ascii="Arial Black" w:hAnsi="Arial Black"/>
          <w:sz w:val="28"/>
          <w:szCs w:val="28"/>
        </w:rPr>
        <w:t>RI: FEMA – DISASTER GRANTS – SANCTUARY STATES INJUN</w:t>
      </w:r>
      <w:r w:rsidR="005262E1">
        <w:rPr>
          <w:rFonts w:ascii="Arial Black" w:hAnsi="Arial Black"/>
          <w:sz w:val="28"/>
          <w:szCs w:val="28"/>
        </w:rPr>
        <w:t>CTION</w:t>
      </w:r>
    </w:p>
    <w:p w14:paraId="2E7DB45F" w14:textId="77777777" w:rsidR="00440B47" w:rsidRDefault="00440B47" w:rsidP="00440B47">
      <w:pPr>
        <w:pStyle w:val="NoSpacing"/>
        <w:rPr>
          <w:bCs/>
        </w:rPr>
      </w:pPr>
    </w:p>
    <w:p w14:paraId="277D7987" w14:textId="77777777" w:rsidR="00440B47" w:rsidRDefault="00440B47" w:rsidP="00440B47">
      <w:pPr>
        <w:pStyle w:val="NoSpacing"/>
        <w:rPr>
          <w:bCs/>
        </w:rPr>
      </w:pPr>
      <w:r>
        <w:t xml:space="preserve">On September 24, 2025, in </w:t>
      </w:r>
      <w:r w:rsidRPr="00317F99">
        <w:rPr>
          <w:u w:val="single"/>
        </w:rPr>
        <w:t>State of Illinois, et al. v. Federal Emergency Management Agency</w:t>
      </w:r>
      <w:r>
        <w:t xml:space="preserve">, Senior U.S. District Court Judge William E. Smith, United States District Court for the District of Rhode Island, granted permanent injunction; 20 states and the District of Columbia challenged President Trump’s Jan. 30, 2025 Executive Order that directed DHS </w:t>
      </w:r>
      <w:r w:rsidRPr="00B939B2">
        <w:t>to “ensure that so-called ‘sanctuary’ jurisdictions</w:t>
      </w:r>
      <w:r>
        <w:t xml:space="preserve"> </w:t>
      </w:r>
      <w:r w:rsidRPr="00B939B2">
        <w:t>do not receive access to federal funds</w:t>
      </w:r>
      <w:r>
        <w:t xml:space="preserve">.”  On July 23, </w:t>
      </w:r>
      <w:proofErr w:type="gramStart"/>
      <w:r>
        <w:t>2025</w:t>
      </w:r>
      <w:proofErr w:type="gramEnd"/>
      <w:r>
        <w:t xml:space="preserve"> FEMA advised the Court </w:t>
      </w:r>
      <w:r w:rsidRPr="009F7CB3">
        <w:t>that DHS</w:t>
      </w:r>
      <w:r>
        <w:t xml:space="preserve"> </w:t>
      </w:r>
      <w:r w:rsidRPr="009F7CB3">
        <w:t xml:space="preserve">had made a </w:t>
      </w:r>
      <w:r>
        <w:t>“</w:t>
      </w:r>
      <w:r w:rsidRPr="009F7CB3">
        <w:t>final determination</w:t>
      </w:r>
      <w:r>
        <w:t>”</w:t>
      </w:r>
      <w:r w:rsidRPr="009F7CB3">
        <w:t xml:space="preserve"> that the contested conditions</w:t>
      </w:r>
      <w:r>
        <w:t xml:space="preserve"> </w:t>
      </w:r>
      <w:r w:rsidRPr="009F7CB3">
        <w:t>would not apply to forty of the grants listed in the Amended</w:t>
      </w:r>
      <w:r>
        <w:t xml:space="preserve"> </w:t>
      </w:r>
      <w:r w:rsidRPr="009F7CB3">
        <w:t>Complaint</w:t>
      </w:r>
      <w:r>
        <w:t xml:space="preserve"> related is disaster relief</w:t>
      </w:r>
      <w:r w:rsidRPr="009F7CB3">
        <w:t>.</w:t>
      </w:r>
      <w:r>
        <w:t xml:space="preserve">  </w:t>
      </w:r>
    </w:p>
    <w:p w14:paraId="13AC01CB" w14:textId="77777777" w:rsidR="00440B47" w:rsidRDefault="00440B47" w:rsidP="00440B47">
      <w:pPr>
        <w:pStyle w:val="NoSpacing"/>
        <w:rPr>
          <w:bCs/>
        </w:rPr>
      </w:pPr>
    </w:p>
    <w:p w14:paraId="48CD82BE" w14:textId="77777777" w:rsidR="00440B47" w:rsidRPr="00F8047E" w:rsidRDefault="00440B47" w:rsidP="00440B47">
      <w:pPr>
        <w:pStyle w:val="NoSpacing"/>
        <w:rPr>
          <w:bCs/>
        </w:rPr>
      </w:pPr>
      <w:r w:rsidRPr="00B939B2">
        <w:rPr>
          <w:b/>
        </w:rPr>
        <w:t>THE COURT HELD</w:t>
      </w:r>
      <w:r>
        <w:t>: “[T]</w:t>
      </w:r>
      <w:r w:rsidRPr="00E033D4">
        <w:t>he grants at issue fund programs</w:t>
      </w:r>
      <w:r>
        <w:t xml:space="preserve"> </w:t>
      </w:r>
      <w:r w:rsidRPr="00E033D4">
        <w:t>such as disaster relief, fire safety, dam safety, and emergency</w:t>
      </w:r>
      <w:r>
        <w:t xml:space="preserve"> </w:t>
      </w:r>
      <w:r w:rsidRPr="00E033D4">
        <w:t>preparedness</w:t>
      </w:r>
      <w:r>
        <w:t xml:space="preserve">…. </w:t>
      </w:r>
      <w:r w:rsidRPr="00456A91">
        <w:t>The record shows that states rely on these grants for billions of</w:t>
      </w:r>
      <w:r>
        <w:t xml:space="preserve"> </w:t>
      </w:r>
      <w:r w:rsidRPr="00456A91">
        <w:t>dollars annually in disaster relief and public safety funds that</w:t>
      </w:r>
      <w:r>
        <w:t xml:space="preserve"> </w:t>
      </w:r>
      <w:r w:rsidRPr="00456A91">
        <w:t>cannot be replaced by state revenues. Denying such funding if</w:t>
      </w:r>
      <w:r>
        <w:t xml:space="preserve"> </w:t>
      </w:r>
      <w:r w:rsidRPr="00456A91">
        <w:t>states refuse to comply with vague immigration requirements leaves</w:t>
      </w:r>
      <w:r>
        <w:t xml:space="preserve"> </w:t>
      </w:r>
      <w:r w:rsidRPr="00456A91">
        <w:t>them with no meaningful choice, particularly where state budgets</w:t>
      </w:r>
      <w:r>
        <w:t xml:space="preserve"> </w:t>
      </w:r>
      <w:r w:rsidRPr="00456A91">
        <w:t>are already committed</w:t>
      </w:r>
      <w:r>
        <w:t xml:space="preserve">…. </w:t>
      </w:r>
      <w:r w:rsidRPr="00316405">
        <w:t xml:space="preserve">Here, DHS </w:t>
      </w:r>
      <w:proofErr w:type="gramStart"/>
      <w:r w:rsidRPr="00316405">
        <w:t>required</w:t>
      </w:r>
      <w:proofErr w:type="gramEnd"/>
      <w:r w:rsidRPr="00316405">
        <w:t xml:space="preserve"> states to</w:t>
      </w:r>
      <w:r>
        <w:t xml:space="preserve"> </w:t>
      </w:r>
      <w:r w:rsidRPr="00316405">
        <w:t xml:space="preserve">provide </w:t>
      </w:r>
      <w:r>
        <w:t>‘</w:t>
      </w:r>
      <w:r w:rsidRPr="00316405">
        <w:t>cooperation</w:t>
      </w:r>
      <w:r>
        <w:t>’</w:t>
      </w:r>
      <w:r w:rsidRPr="00316405">
        <w:t xml:space="preserve"> and participate in </w:t>
      </w:r>
      <w:r>
        <w:t>‘</w:t>
      </w:r>
      <w:r w:rsidRPr="00316405">
        <w:t xml:space="preserve">joint </w:t>
      </w:r>
      <w:proofErr w:type="gramStart"/>
      <w:r w:rsidRPr="00316405">
        <w:t>operations</w:t>
      </w:r>
      <w:r>
        <w:t>’</w:t>
      </w:r>
      <w:r w:rsidRPr="00316405">
        <w:t xml:space="preserve"> and</w:t>
      </w:r>
      <w:r>
        <w:t xml:space="preserve"> ‘</w:t>
      </w:r>
      <w:proofErr w:type="gramEnd"/>
      <w:r w:rsidRPr="00316405">
        <w:t xml:space="preserve">information </w:t>
      </w:r>
      <w:proofErr w:type="gramStart"/>
      <w:r w:rsidRPr="00316405">
        <w:t>sharing,</w:t>
      </w:r>
      <w:r>
        <w:t>’</w:t>
      </w:r>
      <w:proofErr w:type="gramEnd"/>
      <w:r w:rsidRPr="00316405">
        <w:t xml:space="preserve"> but without defining what compliance</w:t>
      </w:r>
      <w:r>
        <w:t xml:space="preserve"> </w:t>
      </w:r>
      <w:r w:rsidRPr="00316405">
        <w:t>entails. Likewise, the prohibition on operating programs that</w:t>
      </w:r>
      <w:r>
        <w:t xml:space="preserve"> ‘</w:t>
      </w:r>
      <w:r w:rsidRPr="00316405">
        <w:t>benefit illegal immigrants</w:t>
      </w:r>
      <w:r>
        <w:t>’</w:t>
      </w:r>
      <w:r w:rsidRPr="00316405">
        <w:t xml:space="preserve"> or </w:t>
      </w:r>
      <w:r>
        <w:t>‘</w:t>
      </w:r>
      <w:r w:rsidRPr="00316405">
        <w:t>incentivize illegal immigration</w:t>
      </w:r>
      <w:r>
        <w:t xml:space="preserve">’ </w:t>
      </w:r>
      <w:r w:rsidRPr="00316405">
        <w:t>provides no meaningful standards and is hopelessly vague</w:t>
      </w:r>
      <w:r>
        <w:t xml:space="preserve">…. </w:t>
      </w:r>
      <w:r w:rsidRPr="00F8047E">
        <w:t xml:space="preserve">The holding in </w:t>
      </w:r>
      <w:r w:rsidRPr="00F8047E">
        <w:rPr>
          <w:i/>
          <w:iCs/>
        </w:rPr>
        <w:t>Trump v. Casa</w:t>
      </w:r>
      <w:r w:rsidRPr="00F8047E">
        <w:t xml:space="preserve"> restricted universal</w:t>
      </w:r>
      <w:r>
        <w:t xml:space="preserve"> </w:t>
      </w:r>
      <w:r w:rsidRPr="00F8047E">
        <w:t>injunctions, but the Court expressly left unaffected the APA’s</w:t>
      </w:r>
    </w:p>
    <w:p w14:paraId="0F1D7D21" w14:textId="77777777" w:rsidR="00440B47" w:rsidRPr="000518C3" w:rsidRDefault="00440B47" w:rsidP="00440B47">
      <w:pPr>
        <w:pStyle w:val="NoSpacing"/>
        <w:rPr>
          <w:bCs/>
        </w:rPr>
      </w:pPr>
      <w:r w:rsidRPr="00F8047E">
        <w:t xml:space="preserve">command to </w:t>
      </w:r>
      <w:r>
        <w:t>‘</w:t>
      </w:r>
      <w:r w:rsidRPr="00F8047E">
        <w:t>set aside</w:t>
      </w:r>
      <w:r>
        <w:t>’</w:t>
      </w:r>
      <w:r w:rsidRPr="00F8047E">
        <w:t xml:space="preserve"> unlawful agency action. 606 U.S. 831, 847</w:t>
      </w:r>
      <w:r>
        <w:t xml:space="preserve"> </w:t>
      </w:r>
      <w:r w:rsidRPr="00F8047E">
        <w:t>n.10 (2025) (</w:t>
      </w:r>
      <w:r>
        <w:t>‘</w:t>
      </w:r>
      <w:r w:rsidRPr="00F8047E">
        <w:t>Nothing we say today resolves the distinct question</w:t>
      </w:r>
      <w:r>
        <w:t xml:space="preserve"> </w:t>
      </w:r>
      <w:r w:rsidRPr="00F8047E">
        <w:t>whether the Administrative Procedure Act authorizes federal courts</w:t>
      </w:r>
      <w:r>
        <w:t xml:space="preserve"> </w:t>
      </w:r>
      <w:r w:rsidRPr="00F8047E">
        <w:t>to vacate agency action.</w:t>
      </w:r>
      <w:r>
        <w:t>’</w:t>
      </w:r>
      <w:r w:rsidRPr="00F8047E">
        <w:t>).</w:t>
      </w:r>
      <w:r>
        <w:t xml:space="preserve"> </w:t>
      </w:r>
      <w:r w:rsidRPr="000518C3">
        <w:t>vacatur under the APA remains, for now, a valid remedy.</w:t>
      </w:r>
    </w:p>
    <w:p w14:paraId="7956271D" w14:textId="77777777" w:rsidR="00440B47" w:rsidRPr="000518C3" w:rsidRDefault="00440B47" w:rsidP="00440B47">
      <w:pPr>
        <w:pStyle w:val="NoSpacing"/>
        <w:rPr>
          <w:bCs/>
        </w:rPr>
      </w:pPr>
      <w:r w:rsidRPr="000518C3">
        <w:t>Based on its findings above, the Court declares that the</w:t>
      </w:r>
      <w:r>
        <w:t xml:space="preserve"> </w:t>
      </w:r>
      <w:r w:rsidRPr="000518C3">
        <w:t>contested conditions are both arbitrary and capricious under the</w:t>
      </w:r>
      <w:r>
        <w:t xml:space="preserve"> </w:t>
      </w:r>
      <w:r w:rsidRPr="000518C3">
        <w:t>APA and unconstitutional under the Spending Clause. As such, the</w:t>
      </w:r>
    </w:p>
    <w:p w14:paraId="7927725A" w14:textId="77777777" w:rsidR="00440B47" w:rsidRPr="000518C3" w:rsidRDefault="00440B47" w:rsidP="00440B47">
      <w:pPr>
        <w:pStyle w:val="NoSpacing"/>
        <w:rPr>
          <w:bCs/>
        </w:rPr>
      </w:pPr>
      <w:r w:rsidRPr="000518C3">
        <w:t>contested conditions are vacated.</w:t>
      </w:r>
      <w:r>
        <w:t xml:space="preserve"> </w:t>
      </w:r>
      <w:proofErr w:type="gramStart"/>
      <w:r w:rsidRPr="000518C3">
        <w:t>In light of</w:t>
      </w:r>
      <w:proofErr w:type="gramEnd"/>
      <w:r w:rsidRPr="000518C3">
        <w:t xml:space="preserve"> this holding, a permanent injunction enjoining</w:t>
      </w:r>
    </w:p>
    <w:p w14:paraId="795AD968" w14:textId="77777777" w:rsidR="00440B47" w:rsidRDefault="00440B47" w:rsidP="00440B47">
      <w:pPr>
        <w:pStyle w:val="NoSpacing"/>
        <w:rPr>
          <w:bCs/>
        </w:rPr>
      </w:pPr>
      <w:r w:rsidRPr="000518C3">
        <w:t>Defendants from enforcing the contested conditions against</w:t>
      </w:r>
      <w:r>
        <w:t xml:space="preserve"> </w:t>
      </w:r>
      <w:r w:rsidRPr="000518C3">
        <w:t>Plaintiff States is also appropriate.</w:t>
      </w:r>
      <w:r>
        <w:t>”</w:t>
      </w:r>
      <w:r w:rsidRPr="00546A34">
        <w:t xml:space="preserve"> </w:t>
      </w:r>
      <w:hyperlink r:id="rId628" w:history="1">
        <w:r w:rsidRPr="00CC0A54">
          <w:rPr>
            <w:rStyle w:val="Hyperlink"/>
          </w:rPr>
          <w:t>https://rhodeislandcurrent.com/wp-content/uploads/2025/09/IL-v.-FEMA-1.pdf</w:t>
        </w:r>
      </w:hyperlink>
      <w:r>
        <w:t xml:space="preserve"> </w:t>
      </w:r>
    </w:p>
    <w:p w14:paraId="2D536E95" w14:textId="77777777" w:rsidR="00440B47" w:rsidRDefault="00440B47" w:rsidP="00440B47">
      <w:pPr>
        <w:pStyle w:val="NoSpacing"/>
        <w:rPr>
          <w:bCs/>
        </w:rPr>
      </w:pPr>
    </w:p>
    <w:p w14:paraId="74C61115" w14:textId="77777777" w:rsidR="00440B47" w:rsidRPr="0039608F" w:rsidRDefault="00440B47" w:rsidP="00440B47">
      <w:pPr>
        <w:pStyle w:val="NoSpacing"/>
        <w:rPr>
          <w:b/>
        </w:rPr>
      </w:pPr>
      <w:r w:rsidRPr="0039608F">
        <w:rPr>
          <w:b/>
        </w:rPr>
        <w:t>KEY FACTS:</w:t>
      </w:r>
    </w:p>
    <w:p w14:paraId="6D8A535A" w14:textId="77777777" w:rsidR="00440B47" w:rsidRDefault="00440B47" w:rsidP="00440B47">
      <w:pPr>
        <w:pStyle w:val="NoSpacing"/>
        <w:rPr>
          <w:bCs/>
        </w:rPr>
      </w:pPr>
    </w:p>
    <w:p w14:paraId="6EACA64B" w14:textId="77777777" w:rsidR="00440B47" w:rsidRDefault="00440B47" w:rsidP="00440B47">
      <w:pPr>
        <w:pStyle w:val="NoSpacing"/>
        <w:ind w:left="720"/>
        <w:rPr>
          <w:bCs/>
        </w:rPr>
      </w:pPr>
      <w:r>
        <w:t>“</w:t>
      </w:r>
      <w:r w:rsidRPr="004E1E96">
        <w:t>DHS</w:t>
      </w:r>
      <w:r>
        <w:t xml:space="preserve"> </w:t>
      </w:r>
      <w:r w:rsidRPr="004E1E96">
        <w:t>Secretary Kristi Noem issued a memorandum on February 19 titled</w:t>
      </w:r>
      <w:r>
        <w:t xml:space="preserve"> ‘</w:t>
      </w:r>
      <w:r w:rsidRPr="004E1E96">
        <w:t>Restricting Grant Funding for Sanctuary Jurisdictions.</w:t>
      </w:r>
      <w:r>
        <w:t>’ …  T</w:t>
      </w:r>
      <w:r w:rsidRPr="00905FE2">
        <w:t>his memorandum instructed DHS’s sub-agencies to</w:t>
      </w:r>
      <w:r>
        <w:t xml:space="preserve"> </w:t>
      </w:r>
      <w:r w:rsidRPr="00905FE2">
        <w:t>“review all federal financial assistance awards” to identify funds</w:t>
      </w:r>
      <w:r>
        <w:t xml:space="preserve"> </w:t>
      </w:r>
      <w:r w:rsidRPr="00905FE2">
        <w:t>being distributed to sanctuary jurisdictions, and report</w:t>
      </w:r>
      <w:r>
        <w:t xml:space="preserve"> </w:t>
      </w:r>
      <w:r w:rsidRPr="00905FE2">
        <w:t>compliance within thirty days</w:t>
      </w:r>
      <w:r>
        <w:t>…. C</w:t>
      </w:r>
      <w:r w:rsidRPr="00C046DF">
        <w:t>ameron Hamilton, then serving as the Senior Official</w:t>
      </w:r>
      <w:r>
        <w:t xml:space="preserve"> P</w:t>
      </w:r>
      <w:r w:rsidRPr="00C046DF">
        <w:t>erforming the Duties of FEMA Administrator</w:t>
      </w:r>
      <w:r>
        <w:t xml:space="preserve"> </w:t>
      </w:r>
      <w:r w:rsidRPr="002440B3">
        <w:t>subsequently sent a</w:t>
      </w:r>
      <w:r>
        <w:t xml:space="preserve"> </w:t>
      </w:r>
      <w:r w:rsidRPr="002440B3">
        <w:t>memorandum to Secretary Noem identifying twelve FEMA programs</w:t>
      </w:r>
      <w:r>
        <w:t xml:space="preserve"> </w:t>
      </w:r>
      <w:r w:rsidRPr="002440B3">
        <w:t>that, in his view, could lawfully be withheld from sanctuary</w:t>
      </w:r>
      <w:r>
        <w:t xml:space="preserve"> </w:t>
      </w:r>
      <w:r w:rsidRPr="002440B3">
        <w:t xml:space="preserve">states. He </w:t>
      </w:r>
      <w:proofErr w:type="gramStart"/>
      <w:r w:rsidRPr="002440B3">
        <w:t>recommended against</w:t>
      </w:r>
      <w:proofErr w:type="gramEnd"/>
      <w:r w:rsidRPr="002440B3">
        <w:t xml:space="preserve"> applying limiting conditions to</w:t>
      </w:r>
      <w:r>
        <w:t xml:space="preserve"> </w:t>
      </w:r>
      <w:r w:rsidRPr="002440B3">
        <w:t>disaster grants, non-disaster mitigation grants, fire departments,</w:t>
      </w:r>
      <w:r>
        <w:t xml:space="preserve"> </w:t>
      </w:r>
      <w:r w:rsidRPr="002440B3">
        <w:t>and similar organizations.</w:t>
      </w:r>
    </w:p>
    <w:p w14:paraId="70747C29" w14:textId="77777777" w:rsidR="00440B47" w:rsidRDefault="00440B47" w:rsidP="00440B47">
      <w:pPr>
        <w:pStyle w:val="NoSpacing"/>
        <w:ind w:left="720"/>
        <w:rPr>
          <w:bCs/>
        </w:rPr>
      </w:pPr>
    </w:p>
    <w:p w14:paraId="3FCC26E8" w14:textId="77777777" w:rsidR="00440B47" w:rsidRDefault="00440B47" w:rsidP="00440B47">
      <w:pPr>
        <w:pStyle w:val="NoSpacing"/>
        <w:ind w:left="720"/>
        <w:rPr>
          <w:bCs/>
        </w:rPr>
      </w:pPr>
      <w:r w:rsidRPr="002167E9">
        <w:t>On March 27, DHS revised the standard terms and conditions</w:t>
      </w:r>
      <w:r>
        <w:t xml:space="preserve"> </w:t>
      </w:r>
      <w:r w:rsidRPr="002167E9">
        <w:t>governing all federal grants it oversees, adding provisions</w:t>
      </w:r>
      <w:r>
        <w:t xml:space="preserve"> </w:t>
      </w:r>
      <w:r w:rsidRPr="002167E9">
        <w:t>requiring state and local recipients to certify that they will</w:t>
      </w:r>
      <w:r>
        <w:t xml:space="preserve"> </w:t>
      </w:r>
      <w:r w:rsidRPr="002167E9">
        <w:t>assist in enforcing federal immigration law</w:t>
      </w:r>
      <w:r>
        <w:t xml:space="preserve">…. </w:t>
      </w:r>
      <w:r w:rsidRPr="00280317">
        <w:t>A revised version of these terms and conditions was issued</w:t>
      </w:r>
      <w:r>
        <w:t xml:space="preserve"> </w:t>
      </w:r>
      <w:r w:rsidRPr="00280317">
        <w:t>on April 18; that version remains in effect today</w:t>
      </w:r>
      <w:r>
        <w:t xml:space="preserve">…. </w:t>
      </w:r>
      <w:r w:rsidRPr="00D11607">
        <w:t>Plaintiff States filed this action on May 13, seeking</w:t>
      </w:r>
      <w:r>
        <w:t xml:space="preserve"> </w:t>
      </w:r>
      <w:r w:rsidRPr="00145D8E">
        <w:t>declaratory and injunctive relief on the grounds that the contested</w:t>
      </w:r>
      <w:r>
        <w:t xml:space="preserve"> </w:t>
      </w:r>
      <w:r w:rsidRPr="00145D8E">
        <w:t>conditions are unlawful</w:t>
      </w:r>
      <w:r>
        <w:t xml:space="preserve">…. </w:t>
      </w:r>
    </w:p>
    <w:p w14:paraId="15FD6F6C" w14:textId="77777777" w:rsidR="00440B47" w:rsidRDefault="00440B47" w:rsidP="00440B47">
      <w:pPr>
        <w:pStyle w:val="NoSpacing"/>
        <w:ind w:left="720"/>
        <w:rPr>
          <w:bCs/>
        </w:rPr>
      </w:pPr>
    </w:p>
    <w:p w14:paraId="36A82D3E" w14:textId="77777777" w:rsidR="00440B47" w:rsidRPr="004100BA" w:rsidRDefault="00440B47" w:rsidP="00440B47">
      <w:pPr>
        <w:pStyle w:val="NoSpacing"/>
        <w:ind w:left="720"/>
        <w:rPr>
          <w:bCs/>
        </w:rPr>
      </w:pPr>
      <w:r w:rsidRPr="004100BA">
        <w:t>Shortly thereafter, on June 6, Defendants submitted an</w:t>
      </w:r>
      <w:r>
        <w:t xml:space="preserve"> </w:t>
      </w:r>
      <w:r w:rsidRPr="004100BA">
        <w:t>affidavit from David E. Richardson, Senior Official Performing the</w:t>
      </w:r>
      <w:r>
        <w:t xml:space="preserve"> </w:t>
      </w:r>
      <w:r w:rsidRPr="004100BA">
        <w:t>Duties of Administrator for FEMA, declaring that DHS had decided</w:t>
      </w:r>
      <w:r>
        <w:t xml:space="preserve"> </w:t>
      </w:r>
      <w:r w:rsidRPr="004100BA">
        <w:t>the contested conditions would not apply to twelve of the grants</w:t>
      </w:r>
    </w:p>
    <w:p w14:paraId="6CDC8767" w14:textId="77777777" w:rsidR="00440B47" w:rsidRDefault="00440B47" w:rsidP="00440B47">
      <w:pPr>
        <w:pStyle w:val="NoSpacing"/>
        <w:ind w:left="720"/>
        <w:rPr>
          <w:bCs/>
        </w:rPr>
      </w:pPr>
      <w:r w:rsidRPr="004100BA">
        <w:t xml:space="preserve">identified in </w:t>
      </w:r>
      <w:proofErr w:type="gramStart"/>
      <w:r w:rsidRPr="004100BA">
        <w:t>the Complaint,</w:t>
      </w:r>
      <w:proofErr w:type="gramEnd"/>
      <w:r>
        <w:t xml:space="preserve"> </w:t>
      </w:r>
      <w:r w:rsidRPr="004100BA">
        <w:t>3 and that the applicability of the</w:t>
      </w:r>
      <w:r>
        <w:t xml:space="preserve"> </w:t>
      </w:r>
      <w:r w:rsidRPr="004100BA">
        <w:t>conditions to other grants remained under review.</w:t>
      </w:r>
      <w:r>
        <w:t xml:space="preserve"> </w:t>
      </w:r>
    </w:p>
    <w:p w14:paraId="63435920" w14:textId="77777777" w:rsidR="00440B47" w:rsidRDefault="00440B47" w:rsidP="00440B47">
      <w:pPr>
        <w:pStyle w:val="NoSpacing"/>
        <w:ind w:left="720"/>
        <w:rPr>
          <w:bCs/>
        </w:rPr>
      </w:pPr>
    </w:p>
    <w:p w14:paraId="29BF113E" w14:textId="77777777" w:rsidR="00440B47" w:rsidRDefault="00440B47" w:rsidP="00440B47">
      <w:pPr>
        <w:pStyle w:val="NoSpacing"/>
        <w:ind w:left="1440"/>
        <w:rPr>
          <w:bCs/>
        </w:rPr>
      </w:pPr>
      <w:r>
        <w:t xml:space="preserve">[Footnote 3]: </w:t>
      </w:r>
      <w:r w:rsidRPr="009F7CB3">
        <w:t>A second declaration by Richardson filed on July 23, in</w:t>
      </w:r>
      <w:r>
        <w:t xml:space="preserve"> </w:t>
      </w:r>
      <w:r w:rsidRPr="009F7CB3">
        <w:t>support of Defendants’ Motion for Summary Judgment, noted that DHS</w:t>
      </w:r>
      <w:r>
        <w:t xml:space="preserve"> </w:t>
      </w:r>
      <w:r w:rsidRPr="009F7CB3">
        <w:t xml:space="preserve">had made a </w:t>
      </w:r>
      <w:r>
        <w:t>‘</w:t>
      </w:r>
      <w:r w:rsidRPr="009F7CB3">
        <w:t>final determination</w:t>
      </w:r>
      <w:r>
        <w:t>’</w:t>
      </w:r>
      <w:r w:rsidRPr="009F7CB3">
        <w:t xml:space="preserve"> that the contested conditions</w:t>
      </w:r>
      <w:r>
        <w:t xml:space="preserve"> </w:t>
      </w:r>
      <w:r w:rsidRPr="009F7CB3">
        <w:t>would not apply to forty of the grants listed in the Amended</w:t>
      </w:r>
      <w:r>
        <w:t xml:space="preserve"> </w:t>
      </w:r>
      <w:r w:rsidRPr="009F7CB3">
        <w:t>Complaint.</w:t>
      </w:r>
      <w:r>
        <w:t xml:space="preserve">  </w:t>
      </w:r>
    </w:p>
    <w:p w14:paraId="22055197" w14:textId="77777777" w:rsidR="00440B47" w:rsidRDefault="00440B47" w:rsidP="00440B47">
      <w:pPr>
        <w:pStyle w:val="NoSpacing"/>
        <w:ind w:left="720"/>
        <w:rPr>
          <w:bCs/>
        </w:rPr>
      </w:pPr>
    </w:p>
    <w:p w14:paraId="4117CE12" w14:textId="77777777" w:rsidR="00440B47" w:rsidRDefault="00440B47" w:rsidP="00440B47">
      <w:pPr>
        <w:pStyle w:val="NoSpacing"/>
        <w:ind w:left="720"/>
        <w:rPr>
          <w:bCs/>
        </w:rPr>
      </w:pPr>
      <w:r w:rsidRPr="0003565F">
        <w:lastRenderedPageBreak/>
        <w:t>At a June 9 status hearing,</w:t>
      </w:r>
      <w:r>
        <w:t xml:space="preserve"> </w:t>
      </w:r>
      <w:r w:rsidRPr="0003565F">
        <w:t>Plaintiff States raised concerns that this change in position had</w:t>
      </w:r>
      <w:r>
        <w:t xml:space="preserve"> </w:t>
      </w:r>
      <w:r w:rsidRPr="0003565F">
        <w:t>not been formally reflected in DHS’s standard terms and conditions</w:t>
      </w:r>
      <w:r>
        <w:t xml:space="preserve">, </w:t>
      </w:r>
      <w:r w:rsidRPr="00F55966">
        <w:t>which continued to state that the contested conditions applied to</w:t>
      </w:r>
      <w:r>
        <w:t xml:space="preserve"> </w:t>
      </w:r>
      <w:r w:rsidRPr="00F55966">
        <w:t xml:space="preserve">all new grants in Fiscal </w:t>
      </w:r>
      <w:proofErr w:type="gramStart"/>
      <w:r w:rsidRPr="00F55966">
        <w:t>Year (</w:t>
      </w:r>
      <w:r>
        <w:t>‘</w:t>
      </w:r>
      <w:proofErr w:type="gramEnd"/>
      <w:r w:rsidRPr="00F55966">
        <w:t>FY</w:t>
      </w:r>
      <w:r>
        <w:t>’</w:t>
      </w:r>
      <w:r w:rsidRPr="00F55966">
        <w:t>) 2025.</w:t>
      </w:r>
    </w:p>
    <w:p w14:paraId="49495591" w14:textId="77777777" w:rsidR="00440B47" w:rsidRDefault="00440B47" w:rsidP="00440B47">
      <w:pPr>
        <w:pStyle w:val="NoSpacing"/>
        <w:rPr>
          <w:bCs/>
        </w:rPr>
      </w:pPr>
    </w:p>
    <w:p w14:paraId="1D646B07" w14:textId="77777777" w:rsidR="00440B47" w:rsidRDefault="00440B47" w:rsidP="00440B47">
      <w:pPr>
        <w:pStyle w:val="NoSpacing"/>
        <w:ind w:left="720"/>
        <w:rPr>
          <w:bCs/>
        </w:rPr>
      </w:pPr>
      <w:r w:rsidRPr="008D1DE1">
        <w:t>After that hearing, DHS amended its website to state that</w:t>
      </w:r>
      <w:r>
        <w:t xml:space="preserve"> ‘</w:t>
      </w:r>
      <w:r w:rsidRPr="008D1DE1">
        <w:t>not all of DHS’s Standard Terms and Conditions apply to every DHS</w:t>
      </w:r>
      <w:r>
        <w:t xml:space="preserve"> </w:t>
      </w:r>
      <w:r w:rsidRPr="008D1DE1">
        <w:t>grant program,</w:t>
      </w:r>
      <w:r>
        <w:t xml:space="preserve">’ </w:t>
      </w:r>
      <w:r w:rsidRPr="008D1DE1">
        <w:t>directing applicants to review program Notices of</w:t>
      </w:r>
      <w:r>
        <w:t xml:space="preserve"> </w:t>
      </w:r>
      <w:r w:rsidRPr="008D1DE1">
        <w:t>Funding Opportunity (NOFOs) to determine which conditions applied</w:t>
      </w:r>
      <w:r>
        <w:t xml:space="preserve">…. </w:t>
      </w:r>
      <w:r w:rsidRPr="00AC5F47">
        <w:t>In subsequent filings,</w:t>
      </w:r>
      <w:r>
        <w:t xml:space="preserve"> </w:t>
      </w:r>
      <w:r w:rsidRPr="00AC5F47">
        <w:t xml:space="preserve">Defendants asserted they had made a </w:t>
      </w:r>
      <w:r>
        <w:t>‘</w:t>
      </w:r>
      <w:r w:rsidRPr="00AC5F47">
        <w:t>final determination</w:t>
      </w:r>
      <w:r>
        <w:t>’</w:t>
      </w:r>
      <w:r w:rsidRPr="00AC5F47">
        <w:t xml:space="preserve"> that the</w:t>
      </w:r>
      <w:r>
        <w:t xml:space="preserve"> </w:t>
      </w:r>
      <w:r w:rsidRPr="00AC5F47">
        <w:t>contested conditions would not apply to forty of the grant programs</w:t>
      </w:r>
      <w:r>
        <w:t xml:space="preserve"> </w:t>
      </w:r>
      <w:r w:rsidRPr="00AC5F47">
        <w:t>identified in the Amended Complaint.</w:t>
      </w:r>
    </w:p>
    <w:p w14:paraId="306AACBB" w14:textId="77777777" w:rsidR="00440B47" w:rsidRDefault="00440B47" w:rsidP="00440B47">
      <w:pPr>
        <w:pStyle w:val="NoSpacing"/>
        <w:rPr>
          <w:bCs/>
        </w:rPr>
      </w:pPr>
    </w:p>
    <w:p w14:paraId="07715CD3" w14:textId="77777777" w:rsidR="00440B47" w:rsidRDefault="00440B47" w:rsidP="00440B47">
      <w:pPr>
        <w:pStyle w:val="NoSpacing"/>
        <w:ind w:left="720"/>
        <w:rPr>
          <w:bCs/>
        </w:rPr>
      </w:pPr>
      <w:r w:rsidRPr="0023706A">
        <w:t>According to Plaintiff</w:t>
      </w:r>
      <w:r>
        <w:t xml:space="preserve"> </w:t>
      </w:r>
      <w:r w:rsidRPr="0023706A">
        <w:t>States, Between July 25 and August 1, DHS issued twenty-four NOFOs,</w:t>
      </w:r>
      <w:r>
        <w:t xml:space="preserve"> </w:t>
      </w:r>
      <w:r w:rsidRPr="0023706A">
        <w:t>all of which included the standard terms and conditions, and six</w:t>
      </w:r>
      <w:r>
        <w:t xml:space="preserve"> </w:t>
      </w:r>
      <w:r w:rsidRPr="0023706A">
        <w:t xml:space="preserve">of which expressly warned that </w:t>
      </w:r>
      <w:r>
        <w:t>‘</w:t>
      </w:r>
      <w:r w:rsidRPr="0023706A">
        <w:t>an immigration term and condition</w:t>
      </w:r>
      <w:r>
        <w:t xml:space="preserve"> </w:t>
      </w:r>
      <w:r w:rsidRPr="0023706A">
        <w:t>may be material</w:t>
      </w:r>
      <w:r>
        <w:t>’</w:t>
      </w:r>
      <w:r w:rsidRPr="0023706A">
        <w:t xml:space="preserve"> and DHS </w:t>
      </w:r>
      <w:r>
        <w:t>‘</w:t>
      </w:r>
      <w:r w:rsidRPr="0023706A">
        <w:t>may take any remedy for noncompliance</w:t>
      </w:r>
      <w:r>
        <w:t xml:space="preserve">’ </w:t>
      </w:r>
      <w:r w:rsidRPr="0023706A">
        <w:t xml:space="preserve">including </w:t>
      </w:r>
      <w:r>
        <w:t>‘</w:t>
      </w:r>
      <w:r w:rsidRPr="0023706A">
        <w:t>termination.</w:t>
      </w:r>
      <w:r>
        <w:t>’”</w:t>
      </w:r>
    </w:p>
    <w:p w14:paraId="2302CACB" w14:textId="77777777" w:rsidR="00440B47" w:rsidRDefault="00440B47" w:rsidP="00440B47">
      <w:pPr>
        <w:pStyle w:val="NoSpacing"/>
        <w:ind w:left="720"/>
        <w:rPr>
          <w:bCs/>
        </w:rPr>
      </w:pPr>
    </w:p>
    <w:p w14:paraId="3D2A93CE" w14:textId="77777777" w:rsidR="00440B47" w:rsidRPr="009314E0" w:rsidRDefault="00440B47" w:rsidP="00440B47">
      <w:pPr>
        <w:pStyle w:val="NoSpacing"/>
        <w:rPr>
          <w:b/>
        </w:rPr>
      </w:pPr>
      <w:r w:rsidRPr="009314E0">
        <w:rPr>
          <w:b/>
        </w:rPr>
        <w:t xml:space="preserve">Legal lesson learned: </w:t>
      </w:r>
      <w:r>
        <w:rPr>
          <w:b/>
        </w:rPr>
        <w:t xml:space="preserve">The Government will likely appeal this decision to the First Circuit Court of Appeals, and if </w:t>
      </w:r>
      <w:proofErr w:type="gramStart"/>
      <w:r>
        <w:rPr>
          <w:b/>
        </w:rPr>
        <w:t>necessary</w:t>
      </w:r>
      <w:proofErr w:type="gramEnd"/>
      <w:r>
        <w:rPr>
          <w:b/>
        </w:rPr>
        <w:t xml:space="preserve"> seek review by the U.S. Supreme Court. </w:t>
      </w:r>
    </w:p>
    <w:p w14:paraId="46A62A1D" w14:textId="77777777" w:rsidR="00440B47" w:rsidRDefault="00440B47" w:rsidP="00607129">
      <w:pPr>
        <w:pStyle w:val="NoSpacing"/>
        <w:rPr>
          <w:rFonts w:ascii="Arial Black" w:hAnsi="Arial Black"/>
          <w:sz w:val="28"/>
          <w:szCs w:val="28"/>
        </w:rPr>
      </w:pPr>
    </w:p>
    <w:p w14:paraId="32ED0DFE" w14:textId="76F903CB" w:rsidR="00C27E37" w:rsidRDefault="00C27E37" w:rsidP="00C27E37">
      <w:pPr>
        <w:pStyle w:val="NoSpacing"/>
        <w:rPr>
          <w:rFonts w:ascii="Arial Black" w:hAnsi="Arial Black"/>
          <w:sz w:val="28"/>
          <w:szCs w:val="28"/>
        </w:rPr>
      </w:pPr>
      <w:r>
        <w:rPr>
          <w:rFonts w:ascii="Arial Black" w:hAnsi="Arial Black"/>
          <w:sz w:val="28"/>
          <w:szCs w:val="28"/>
        </w:rPr>
        <w:t>3-80</w:t>
      </w:r>
    </w:p>
    <w:p w14:paraId="7FEF00EA" w14:textId="77777777" w:rsidR="00A85CFB" w:rsidRDefault="00A85CFB" w:rsidP="00607129">
      <w:pPr>
        <w:pStyle w:val="NoSpacing"/>
        <w:rPr>
          <w:rFonts w:ascii="Arial Black" w:hAnsi="Arial Black"/>
          <w:sz w:val="28"/>
          <w:szCs w:val="28"/>
        </w:rPr>
      </w:pPr>
    </w:p>
    <w:p w14:paraId="34BD7114" w14:textId="77777777" w:rsidR="00A85CFB" w:rsidRPr="00CB3FA1" w:rsidRDefault="00A85CFB" w:rsidP="00A85CFB">
      <w:pPr>
        <w:pStyle w:val="NoSpacing"/>
        <w:rPr>
          <w:rFonts w:ascii="Arial Black" w:hAnsi="Arial Black"/>
          <w:bCs/>
          <w:sz w:val="28"/>
          <w:szCs w:val="28"/>
        </w:rPr>
      </w:pPr>
      <w:r>
        <w:rPr>
          <w:rFonts w:ascii="Arial Black" w:hAnsi="Arial Black"/>
          <w:sz w:val="28"/>
          <w:szCs w:val="28"/>
        </w:rPr>
        <w:t>PA: “GEOFENCE” WARRANT – CELL PHONES AT SHOOTING</w:t>
      </w:r>
    </w:p>
    <w:p w14:paraId="62A7D745" w14:textId="77777777" w:rsidR="00A85CFB" w:rsidRDefault="00A85CFB" w:rsidP="00A85CFB">
      <w:pPr>
        <w:pStyle w:val="NoSpacing"/>
        <w:rPr>
          <w:bCs/>
        </w:rPr>
      </w:pPr>
    </w:p>
    <w:p w14:paraId="5BFA5C17" w14:textId="77777777" w:rsidR="00A85CFB" w:rsidRDefault="00A85CFB" w:rsidP="00A85CFB">
      <w:pPr>
        <w:pStyle w:val="NoSpacing"/>
        <w:rPr>
          <w:bCs/>
        </w:rPr>
      </w:pPr>
      <w:r>
        <w:t xml:space="preserve">On September 18, 2024, in </w:t>
      </w:r>
      <w:r w:rsidRPr="00AC3603">
        <w:rPr>
          <w:u w:val="single"/>
        </w:rPr>
        <w:t>Commonwealth of Pennsylvania v. Keith Anthony Choice</w:t>
      </w:r>
      <w:r>
        <w:t>, the Superior Court of Pennsylvania held (3 to 0) that trial court properly denied motion to suppress the cell phone information from Google, obtained by PA State Police through court ordered search warrants for “geofence” cell phone location history; a road rage incident where one motorist shot another motorist.  Search warrants obtained for cell phones used at “R</w:t>
      </w:r>
      <w:r w:rsidRPr="009A0209">
        <w:t>oute 309,</w:t>
      </w:r>
      <w:r>
        <w:t xml:space="preserve"> </w:t>
      </w:r>
      <w:r w:rsidRPr="009A0209">
        <w:t>between 9:20 p.m. to 9:27 p.m. on January 23, 2019.</w:t>
      </w:r>
      <w:r>
        <w:t xml:space="preserve">”  The defendant was convicted in bench trial </w:t>
      </w:r>
      <w:r w:rsidRPr="009B16FC">
        <w:t>of aggravated assault</w:t>
      </w:r>
      <w:r>
        <w:t xml:space="preserve">, and </w:t>
      </w:r>
      <w:r w:rsidRPr="003C35AC">
        <w:t>sentenced to 6 to 23 months’</w:t>
      </w:r>
      <w:r>
        <w:t xml:space="preserve"> </w:t>
      </w:r>
      <w:r w:rsidRPr="003C35AC">
        <w:t>incarceration, followed by two years’ probation.</w:t>
      </w:r>
      <w:r>
        <w:t xml:space="preserve"> </w:t>
      </w:r>
    </w:p>
    <w:p w14:paraId="2EABB905" w14:textId="77777777" w:rsidR="00A85CFB" w:rsidRDefault="00A85CFB" w:rsidP="00A85CFB">
      <w:pPr>
        <w:pStyle w:val="NoSpacing"/>
        <w:rPr>
          <w:bCs/>
        </w:rPr>
      </w:pPr>
    </w:p>
    <w:p w14:paraId="0CE5C66B" w14:textId="77777777" w:rsidR="00A85CFB" w:rsidRDefault="00A85CFB" w:rsidP="00A85CFB">
      <w:pPr>
        <w:pStyle w:val="NoSpacing"/>
        <w:rPr>
          <w:bCs/>
        </w:rPr>
      </w:pPr>
      <w:r w:rsidRPr="00913B5B">
        <w:rPr>
          <w:b/>
        </w:rPr>
        <w:t>THE COURT HELD</w:t>
      </w:r>
      <w:r>
        <w:t>: “</w:t>
      </w:r>
      <w:r w:rsidRPr="00722038">
        <w:t>Because pervasive cell phone</w:t>
      </w:r>
      <w:r>
        <w:t xml:space="preserve"> </w:t>
      </w:r>
      <w:r w:rsidRPr="00722038">
        <w:t>possession and cell phone service usage is a matter of common knowledge,</w:t>
      </w:r>
      <w:r>
        <w:t xml:space="preserve"> </w:t>
      </w:r>
      <w:r w:rsidRPr="00722038">
        <w:t>and because law enforcement combined this common knowledge with specific</w:t>
      </w:r>
      <w:r>
        <w:t xml:space="preserve"> </w:t>
      </w:r>
      <w:r w:rsidRPr="00722038">
        <w:t>factual circumstances regarding the time and place of the crime, we reject</w:t>
      </w:r>
      <w:r>
        <w:t xml:space="preserve"> </w:t>
      </w:r>
      <w:r w:rsidRPr="00722038">
        <w:t>Appellant’s argument that the December 2020 search warrant relied upon</w:t>
      </w:r>
      <w:r>
        <w:t xml:space="preserve"> ‘</w:t>
      </w:r>
      <w:r w:rsidRPr="00722038">
        <w:t>categorical assumptions.</w:t>
      </w:r>
      <w:r>
        <w:t xml:space="preserve">” </w:t>
      </w:r>
      <w:hyperlink r:id="rId629" w:history="1">
        <w:r w:rsidRPr="004673F3">
          <w:rPr>
            <w:rStyle w:val="Hyperlink"/>
          </w:rPr>
          <w:t>https://cases.justia.com/pennsylvania/superior-court/2025-1252-eda-2024.pdf?ts=1758220361</w:t>
        </w:r>
      </w:hyperlink>
      <w:r>
        <w:t xml:space="preserve"> </w:t>
      </w:r>
    </w:p>
    <w:p w14:paraId="65F9A2ED" w14:textId="77777777" w:rsidR="00A85CFB" w:rsidRDefault="00A85CFB" w:rsidP="00A85CFB">
      <w:pPr>
        <w:pStyle w:val="NoSpacing"/>
        <w:rPr>
          <w:bCs/>
        </w:rPr>
      </w:pPr>
    </w:p>
    <w:p w14:paraId="34EC56CF" w14:textId="77777777" w:rsidR="00A85CFB" w:rsidRDefault="00A85CFB" w:rsidP="00A85CFB">
      <w:pPr>
        <w:pStyle w:val="NoSpacing"/>
        <w:ind w:left="720"/>
        <w:rPr>
          <w:bCs/>
        </w:rPr>
      </w:pPr>
    </w:p>
    <w:p w14:paraId="69CB0E93" w14:textId="77777777" w:rsidR="00A85CFB" w:rsidRPr="00913B5B" w:rsidRDefault="00A85CFB" w:rsidP="00A85CFB">
      <w:pPr>
        <w:pStyle w:val="NoSpacing"/>
        <w:rPr>
          <w:b/>
        </w:rPr>
      </w:pPr>
      <w:r w:rsidRPr="00913B5B">
        <w:rPr>
          <w:b/>
        </w:rPr>
        <w:t>KEY FACTS:</w:t>
      </w:r>
    </w:p>
    <w:p w14:paraId="2DFB1344" w14:textId="77777777" w:rsidR="00A85CFB" w:rsidRDefault="00A85CFB" w:rsidP="00A85CFB">
      <w:pPr>
        <w:pStyle w:val="NoSpacing"/>
        <w:rPr>
          <w:bCs/>
        </w:rPr>
      </w:pPr>
    </w:p>
    <w:p w14:paraId="141EE6D5" w14:textId="77777777" w:rsidR="00A85CFB" w:rsidRPr="003F40C4" w:rsidRDefault="00A85CFB" w:rsidP="00A85CFB">
      <w:pPr>
        <w:pStyle w:val="NoSpacing"/>
        <w:ind w:firstLine="720"/>
        <w:rPr>
          <w:bCs/>
        </w:rPr>
      </w:pPr>
      <w:r>
        <w:t>“</w:t>
      </w:r>
      <w:r w:rsidRPr="003F40C4">
        <w:t>The trial court summarized the facts underlying this appeal:</w:t>
      </w:r>
    </w:p>
    <w:p w14:paraId="008A25AA" w14:textId="77777777" w:rsidR="00A85CFB" w:rsidRDefault="00A85CFB" w:rsidP="00A85CFB">
      <w:pPr>
        <w:pStyle w:val="NoSpacing"/>
        <w:rPr>
          <w:bCs/>
        </w:rPr>
      </w:pPr>
    </w:p>
    <w:p w14:paraId="4ED3ABA5" w14:textId="77777777" w:rsidR="00A85CFB" w:rsidRPr="003F40C4" w:rsidRDefault="00A85CFB" w:rsidP="00A85CFB">
      <w:pPr>
        <w:pStyle w:val="NoSpacing"/>
        <w:ind w:left="720" w:firstLine="720"/>
        <w:rPr>
          <w:bCs/>
        </w:rPr>
      </w:pPr>
      <w:r w:rsidRPr="003F40C4">
        <w:t>At approximately 9:58 p.m. on</w:t>
      </w:r>
      <w:r>
        <w:t xml:space="preserve"> </w:t>
      </w:r>
      <w:r w:rsidRPr="003F40C4">
        <w:t>January 23, 2019, Pennsylvania</w:t>
      </w:r>
    </w:p>
    <w:p w14:paraId="296CBE52" w14:textId="77777777" w:rsidR="00A85CFB" w:rsidRPr="003F40C4" w:rsidRDefault="00A85CFB" w:rsidP="00A85CFB">
      <w:pPr>
        <w:pStyle w:val="NoSpacing"/>
        <w:ind w:left="1440"/>
        <w:rPr>
          <w:bCs/>
        </w:rPr>
      </w:pPr>
      <w:r w:rsidRPr="003F40C4">
        <w:t>State Police (PSP) troopers] responded to a call into Montgomery County 911 dispatch center of a possible shooting on</w:t>
      </w:r>
      <w:r>
        <w:t xml:space="preserve"> </w:t>
      </w:r>
      <w:r w:rsidRPr="003F40C4">
        <w:t>northbound State Route 309 (</w:t>
      </w:r>
      <w:r>
        <w:t>‘</w:t>
      </w:r>
      <w:r w:rsidRPr="003F40C4">
        <w:t>[Route] 309</w:t>
      </w:r>
      <w:r>
        <w:t>’</w:t>
      </w:r>
      <w:r w:rsidRPr="003F40C4">
        <w:t>). The troopers were</w:t>
      </w:r>
      <w:r>
        <w:t xml:space="preserve"> </w:t>
      </w:r>
      <w:r w:rsidRPr="003F40C4">
        <w:t>dispatched to the Fort Washington Toll Plaza on the Pennsylvania</w:t>
      </w:r>
      <w:r>
        <w:t xml:space="preserve"> </w:t>
      </w:r>
      <w:r w:rsidRPr="003F40C4">
        <w:t>Turnpike, Upper Dublin Township in Montgomery County. There</w:t>
      </w:r>
      <w:r>
        <w:t xml:space="preserve"> </w:t>
      </w:r>
      <w:r w:rsidRPr="003F40C4">
        <w:t>they met with [the victim, John Cramer (Cramer),] and Upper</w:t>
      </w:r>
      <w:r>
        <w:t xml:space="preserve"> </w:t>
      </w:r>
      <w:r w:rsidRPr="003F40C4">
        <w:t>Dublin Township [police] officers who were securing the scene</w:t>
      </w:r>
      <w:r>
        <w:t xml:space="preserve"> </w:t>
      </w:r>
      <w:r w:rsidRPr="003F40C4">
        <w:t>while [emergency medical services (EMS) personnel] provided</w:t>
      </w:r>
      <w:r>
        <w:t xml:space="preserve"> </w:t>
      </w:r>
      <w:r w:rsidRPr="003F40C4">
        <w:t>aid</w:t>
      </w:r>
      <w:r>
        <w:t xml:space="preserve"> </w:t>
      </w:r>
      <w:r w:rsidRPr="003F40C4">
        <w:t>[EMS personnel] determined that Cramer had a graze wound</w:t>
      </w:r>
      <w:r>
        <w:t xml:space="preserve"> </w:t>
      </w:r>
      <w:r w:rsidRPr="003F40C4">
        <w:t>on his upper right arm[,] after having been shot with a firearm.</w:t>
      </w:r>
      <w:r>
        <w:t xml:space="preserve"> </w:t>
      </w:r>
      <w:r w:rsidRPr="003F40C4">
        <w:t xml:space="preserve">When Cramer exited his silver 2014 Toyota </w:t>
      </w:r>
      <w:proofErr w:type="gramStart"/>
      <w:r w:rsidRPr="003F40C4">
        <w:t>Tundra [(</w:t>
      </w:r>
      <w:proofErr w:type="gramEnd"/>
      <w:r w:rsidRPr="003F40C4">
        <w:t>Tundra)], a</w:t>
      </w:r>
    </w:p>
    <w:p w14:paraId="4BCE2BE0" w14:textId="77777777" w:rsidR="00A85CFB" w:rsidRDefault="00A85CFB" w:rsidP="00A85CFB">
      <w:pPr>
        <w:pStyle w:val="NoSpacing"/>
        <w:ind w:left="1440"/>
        <w:rPr>
          <w:bCs/>
        </w:rPr>
      </w:pPr>
      <w:r w:rsidRPr="003F40C4">
        <w:t>single copper-jacketed bullet fell to the ground and was recovered</w:t>
      </w:r>
      <w:r>
        <w:t xml:space="preserve"> </w:t>
      </w:r>
      <w:r w:rsidRPr="003F40C4">
        <w:t>by a [t]</w:t>
      </w:r>
      <w:proofErr w:type="spellStart"/>
      <w:r w:rsidRPr="003F40C4">
        <w:t>rooper</w:t>
      </w:r>
      <w:proofErr w:type="spellEnd"/>
      <w:r w:rsidRPr="003F40C4">
        <w:t>. ([Search Warrant] Affidavit of Probable Cause</w:t>
      </w:r>
      <w:r>
        <w:t xml:space="preserve"> </w:t>
      </w:r>
      <w:r w:rsidRPr="003F40C4">
        <w:t>presented to the Honorable William R. Carpenter[</w:t>
      </w:r>
      <w:r>
        <w:t xml:space="preserve">… </w:t>
      </w:r>
      <w:r w:rsidRPr="003F40C4">
        <w:t xml:space="preserve"> </w:t>
      </w:r>
      <w:r>
        <w:t>T</w:t>
      </w:r>
      <w:r w:rsidRPr="003F40C4">
        <w:t xml:space="preserve">rooper Eugene J. Tray </w:t>
      </w:r>
      <w:r>
        <w:t>…</w:t>
      </w:r>
      <w:r w:rsidRPr="003F40C4">
        <w:t>was assigned as</w:t>
      </w:r>
      <w:r>
        <w:t xml:space="preserve"> </w:t>
      </w:r>
      <w:r w:rsidRPr="003F40C4">
        <w:t>the primary investigator [after] the [Upper Dublin Township Police</w:t>
      </w:r>
      <w:r>
        <w:t xml:space="preserve"> </w:t>
      </w:r>
      <w:r w:rsidRPr="003F40C4">
        <w:t>Department] requested [the PSP] to assume the primary role in</w:t>
      </w:r>
      <w:r>
        <w:t xml:space="preserve"> </w:t>
      </w:r>
      <w:r w:rsidRPr="003F40C4">
        <w:t>this investigation</w:t>
      </w:r>
      <w:r>
        <w:t>.</w:t>
      </w:r>
    </w:p>
    <w:p w14:paraId="3F761348" w14:textId="77777777" w:rsidR="00A85CFB" w:rsidRDefault="00A85CFB" w:rsidP="00A85CFB">
      <w:pPr>
        <w:pStyle w:val="NoSpacing"/>
        <w:ind w:left="720" w:firstLine="720"/>
        <w:rPr>
          <w:bCs/>
        </w:rPr>
      </w:pPr>
    </w:p>
    <w:p w14:paraId="2FCE8201" w14:textId="77777777" w:rsidR="00A85CFB" w:rsidRDefault="00A85CFB" w:rsidP="00A85CFB">
      <w:pPr>
        <w:pStyle w:val="NoSpacing"/>
        <w:ind w:left="720" w:firstLine="720"/>
        <w:rPr>
          <w:bCs/>
        </w:rPr>
      </w:pPr>
      <w:r>
        <w:t>***</w:t>
      </w:r>
    </w:p>
    <w:p w14:paraId="205E39D4" w14:textId="77777777" w:rsidR="00A85CFB" w:rsidRPr="00D671B5" w:rsidRDefault="00A85CFB" w:rsidP="00A85CFB">
      <w:pPr>
        <w:pStyle w:val="NoSpacing"/>
        <w:ind w:left="720" w:firstLine="720"/>
        <w:rPr>
          <w:bCs/>
        </w:rPr>
      </w:pPr>
      <w:r w:rsidRPr="00D671B5">
        <w:t>After conducting additional investigation not relevant to this appeal,</w:t>
      </w:r>
    </w:p>
    <w:p w14:paraId="59DD4F35" w14:textId="77777777" w:rsidR="00A85CFB" w:rsidRPr="00D671B5" w:rsidRDefault="00A85CFB" w:rsidP="00A85CFB">
      <w:pPr>
        <w:pStyle w:val="NoSpacing"/>
        <w:ind w:left="720" w:firstLine="720"/>
        <w:rPr>
          <w:bCs/>
        </w:rPr>
      </w:pPr>
      <w:r w:rsidRPr="00D671B5">
        <w:t>Trooper Tray applied for the December 2020 search warrant, seeking solely</w:t>
      </w:r>
    </w:p>
    <w:p w14:paraId="1A349240" w14:textId="77777777" w:rsidR="00A85CFB" w:rsidRPr="002D3238" w:rsidRDefault="00A85CFB" w:rsidP="00A85CFB">
      <w:pPr>
        <w:pStyle w:val="NoSpacing"/>
        <w:ind w:left="1440"/>
        <w:rPr>
          <w:bCs/>
        </w:rPr>
      </w:pPr>
      <w:r w:rsidRPr="00D671B5">
        <w:t xml:space="preserve">LH </w:t>
      </w:r>
      <w:r>
        <w:t>‘</w:t>
      </w:r>
      <w:r w:rsidRPr="00D671B5">
        <w:t>data generated from devices [] report[</w:t>
      </w:r>
      <w:proofErr w:type="spellStart"/>
      <w:r w:rsidRPr="00D671B5">
        <w:t>ing</w:t>
      </w:r>
      <w:proofErr w:type="spellEnd"/>
      <w:r w:rsidRPr="00D671B5">
        <w:t>] a location with a geographical</w:t>
      </w:r>
      <w:r>
        <w:t xml:space="preserve"> </w:t>
      </w:r>
      <w:r w:rsidRPr="002D3238">
        <w:t xml:space="preserve">region </w:t>
      </w:r>
      <w:proofErr w:type="gramStart"/>
      <w:r w:rsidRPr="002D3238">
        <w:t>bounded</w:t>
      </w:r>
      <w:r>
        <w:t>’</w:t>
      </w:r>
      <w:proofErr w:type="gramEnd"/>
      <w:r w:rsidRPr="002D3238">
        <w:t xml:space="preserve"> by latitude/longitude coordinates, and within dates and</w:t>
      </w:r>
    </w:p>
    <w:p w14:paraId="6DDB6D99" w14:textId="77777777" w:rsidR="00A85CFB" w:rsidRDefault="00A85CFB" w:rsidP="00A85CFB">
      <w:pPr>
        <w:pStyle w:val="NoSpacing"/>
        <w:ind w:left="720" w:firstLine="720"/>
        <w:rPr>
          <w:bCs/>
        </w:rPr>
      </w:pPr>
      <w:r w:rsidRPr="002D3238">
        <w:t>times, set forth in the affidavit.</w:t>
      </w:r>
    </w:p>
    <w:p w14:paraId="16088A4F" w14:textId="77777777" w:rsidR="00A85CFB" w:rsidRDefault="00A85CFB" w:rsidP="00A85CFB">
      <w:pPr>
        <w:pStyle w:val="NoSpacing"/>
        <w:ind w:left="720" w:firstLine="720"/>
        <w:rPr>
          <w:bCs/>
        </w:rPr>
      </w:pPr>
    </w:p>
    <w:p w14:paraId="60AEB8C3" w14:textId="77777777" w:rsidR="00A85CFB" w:rsidRDefault="00A85CFB" w:rsidP="00A85CFB">
      <w:pPr>
        <w:pStyle w:val="NoSpacing"/>
        <w:ind w:left="720" w:firstLine="720"/>
        <w:rPr>
          <w:bCs/>
        </w:rPr>
      </w:pPr>
      <w:r>
        <w:t>***</w:t>
      </w:r>
    </w:p>
    <w:p w14:paraId="29F2F64B" w14:textId="77777777" w:rsidR="00A85CFB" w:rsidRPr="007025EB" w:rsidRDefault="00A85CFB" w:rsidP="00A85CFB">
      <w:pPr>
        <w:pStyle w:val="NoSpacing"/>
        <w:ind w:left="720" w:firstLine="720"/>
        <w:rPr>
          <w:bCs/>
        </w:rPr>
      </w:pPr>
      <w:r w:rsidRPr="007025EB">
        <w:t>After execution of the December 2020 search warrant, on February 9,</w:t>
      </w:r>
    </w:p>
    <w:p w14:paraId="68DF72D6" w14:textId="77777777" w:rsidR="00A85CFB" w:rsidRPr="007025EB" w:rsidRDefault="00A85CFB" w:rsidP="00A85CFB">
      <w:pPr>
        <w:pStyle w:val="NoSpacing"/>
        <w:ind w:left="720" w:firstLine="720"/>
        <w:rPr>
          <w:bCs/>
        </w:rPr>
      </w:pPr>
      <w:r w:rsidRPr="007025EB">
        <w:t>2021, Trooper Tray received email correspondence from Google’s “law</w:t>
      </w:r>
    </w:p>
    <w:p w14:paraId="5F45628B" w14:textId="77777777" w:rsidR="00A85CFB" w:rsidRPr="007025EB" w:rsidRDefault="00A85CFB" w:rsidP="00A85CFB">
      <w:pPr>
        <w:pStyle w:val="NoSpacing"/>
        <w:ind w:left="720" w:firstLine="720"/>
        <w:rPr>
          <w:bCs/>
        </w:rPr>
      </w:pPr>
      <w:r w:rsidRPr="007025EB">
        <w:t>enforcement portal” providing the requested anonymized list of device IDs.</w:t>
      </w:r>
    </w:p>
    <w:p w14:paraId="03E2506E" w14:textId="77777777" w:rsidR="00A85CFB" w:rsidRPr="007025EB" w:rsidRDefault="00A85CFB" w:rsidP="00A85CFB">
      <w:pPr>
        <w:pStyle w:val="NoSpacing"/>
        <w:ind w:left="720" w:firstLine="720"/>
        <w:rPr>
          <w:bCs/>
        </w:rPr>
      </w:pPr>
      <w:r w:rsidRPr="007025EB">
        <w:t>N.T., 10/5/23, at 10. At the suppression hearing, Trooper Tray testified that</w:t>
      </w:r>
    </w:p>
    <w:p w14:paraId="1C344EF3" w14:textId="77777777" w:rsidR="00A85CFB" w:rsidRPr="007025EB" w:rsidRDefault="00A85CFB" w:rsidP="00A85CFB">
      <w:pPr>
        <w:pStyle w:val="NoSpacing"/>
        <w:ind w:left="720" w:firstLine="720"/>
        <w:rPr>
          <w:bCs/>
        </w:rPr>
      </w:pPr>
      <w:proofErr w:type="gramStart"/>
      <w:r w:rsidRPr="007025EB">
        <w:t>he</w:t>
      </w:r>
      <w:proofErr w:type="gramEnd"/>
      <w:r w:rsidRPr="007025EB">
        <w:t xml:space="preserve"> identified only one device ID within the anonymized list that was relevant</w:t>
      </w:r>
    </w:p>
    <w:p w14:paraId="1DC58297" w14:textId="77777777" w:rsidR="00A85CFB" w:rsidRPr="007025EB" w:rsidRDefault="00A85CFB" w:rsidP="00A85CFB">
      <w:pPr>
        <w:pStyle w:val="NoSpacing"/>
        <w:ind w:left="720" w:firstLine="720"/>
        <w:rPr>
          <w:bCs/>
        </w:rPr>
      </w:pPr>
      <w:r w:rsidRPr="007025EB">
        <w:t>to his investigation. Id. at 11. Trooper Tray explained that, upon his request,</w:t>
      </w:r>
    </w:p>
    <w:p w14:paraId="3D2FAB2E" w14:textId="77777777" w:rsidR="00A85CFB" w:rsidRPr="007025EB" w:rsidRDefault="00A85CFB" w:rsidP="00A85CFB">
      <w:pPr>
        <w:pStyle w:val="NoSpacing"/>
        <w:ind w:left="720" w:firstLine="720"/>
        <w:rPr>
          <w:bCs/>
        </w:rPr>
      </w:pPr>
      <w:r w:rsidRPr="007025EB">
        <w:t>Google “provided more descriptive location information for that particular</w:t>
      </w:r>
    </w:p>
    <w:p w14:paraId="68C6D2C2" w14:textId="77777777" w:rsidR="00A85CFB" w:rsidRDefault="00A85CFB" w:rsidP="00A85CFB">
      <w:pPr>
        <w:pStyle w:val="NoSpacing"/>
        <w:ind w:left="720" w:firstLine="720"/>
        <w:rPr>
          <w:bCs/>
        </w:rPr>
      </w:pPr>
      <w:r w:rsidRPr="007025EB">
        <w:t>device that I found to be pertinent to my investigation.” Id. at 12.</w:t>
      </w:r>
    </w:p>
    <w:p w14:paraId="2E904E85" w14:textId="77777777" w:rsidR="00A85CFB" w:rsidRDefault="00A85CFB" w:rsidP="00A85CFB">
      <w:pPr>
        <w:pStyle w:val="NoSpacing"/>
        <w:ind w:left="720" w:firstLine="720"/>
        <w:rPr>
          <w:bCs/>
        </w:rPr>
      </w:pPr>
    </w:p>
    <w:p w14:paraId="71210953" w14:textId="77777777" w:rsidR="00A85CFB" w:rsidRDefault="00A85CFB" w:rsidP="00A85CFB">
      <w:pPr>
        <w:pStyle w:val="NoSpacing"/>
        <w:ind w:left="720" w:firstLine="720"/>
        <w:rPr>
          <w:bCs/>
        </w:rPr>
      </w:pPr>
      <w:r>
        <w:t>***</w:t>
      </w:r>
    </w:p>
    <w:p w14:paraId="1B6F9A29" w14:textId="77777777" w:rsidR="00A85CFB" w:rsidRPr="00D12DB5" w:rsidRDefault="00A85CFB" w:rsidP="00A85CFB">
      <w:pPr>
        <w:pStyle w:val="NoSpacing"/>
        <w:ind w:left="720" w:firstLine="720"/>
        <w:rPr>
          <w:bCs/>
        </w:rPr>
      </w:pPr>
      <w:r w:rsidRPr="00D12DB5">
        <w:t>On February 16, 2021, utilizing the anonymized information provided by</w:t>
      </w:r>
    </w:p>
    <w:p w14:paraId="2379C4AE" w14:textId="77777777" w:rsidR="00A85CFB" w:rsidRPr="00D12DB5" w:rsidRDefault="00A85CFB" w:rsidP="00A85CFB">
      <w:pPr>
        <w:pStyle w:val="NoSpacing"/>
        <w:ind w:left="720" w:firstLine="720"/>
        <w:rPr>
          <w:bCs/>
        </w:rPr>
      </w:pPr>
      <w:r w:rsidRPr="00D12DB5">
        <w:t>Google, Trooper Tray prepared a second search warrant, admitted into</w:t>
      </w:r>
    </w:p>
    <w:p w14:paraId="117AFA04" w14:textId="77777777" w:rsidR="00A85CFB" w:rsidRPr="00D12DB5" w:rsidRDefault="00A85CFB" w:rsidP="00A85CFB">
      <w:pPr>
        <w:pStyle w:val="NoSpacing"/>
        <w:ind w:left="720" w:firstLine="720"/>
        <w:rPr>
          <w:bCs/>
        </w:rPr>
      </w:pPr>
      <w:r w:rsidRPr="00D12DB5">
        <w:t>evidence at the suppression hearing as Commonwealth Exhibit C-2 (Exhibit C-</w:t>
      </w:r>
    </w:p>
    <w:p w14:paraId="35D624C6" w14:textId="77777777" w:rsidR="00A85CFB" w:rsidRPr="00D12DB5" w:rsidRDefault="00A85CFB" w:rsidP="00A85CFB">
      <w:pPr>
        <w:pStyle w:val="NoSpacing"/>
        <w:ind w:left="720" w:firstLine="720"/>
        <w:rPr>
          <w:bCs/>
        </w:rPr>
      </w:pPr>
      <w:r w:rsidRPr="00D12DB5">
        <w:t>2 or the February 2021 search warrant), seeking the identity of “the user or</w:t>
      </w:r>
    </w:p>
    <w:p w14:paraId="734D980B" w14:textId="77777777" w:rsidR="00A85CFB" w:rsidRPr="00D12DB5" w:rsidRDefault="00A85CFB" w:rsidP="00A85CFB">
      <w:pPr>
        <w:pStyle w:val="NoSpacing"/>
        <w:ind w:left="720" w:firstLine="720"/>
        <w:rPr>
          <w:bCs/>
        </w:rPr>
      </w:pPr>
      <w:r w:rsidRPr="00D12DB5">
        <w:t xml:space="preserve">subscriber of that </w:t>
      </w:r>
      <w:proofErr w:type="gramStart"/>
      <w:r w:rsidRPr="00D12DB5">
        <w:t>particular device</w:t>
      </w:r>
      <w:proofErr w:type="gramEnd"/>
      <w:r w:rsidRPr="00D12DB5">
        <w:t xml:space="preserve"> ID.” Id. at 12. On November 3, 2021,</w:t>
      </w:r>
    </w:p>
    <w:p w14:paraId="02CECF38" w14:textId="77777777" w:rsidR="00A85CFB" w:rsidRPr="00121CE3" w:rsidRDefault="00A85CFB" w:rsidP="00A85CFB">
      <w:pPr>
        <w:pStyle w:val="NoSpacing"/>
        <w:ind w:left="1440"/>
        <w:rPr>
          <w:bCs/>
        </w:rPr>
      </w:pPr>
      <w:r w:rsidRPr="00D12DB5">
        <w:t>Google responded to the February 2021 search warrant by providing Trooper</w:t>
      </w:r>
      <w:r>
        <w:t xml:space="preserve"> </w:t>
      </w:r>
      <w:r w:rsidRPr="00121CE3">
        <w:t xml:space="preserve">Tray with a </w:t>
      </w:r>
      <w:r>
        <w:t>‘</w:t>
      </w:r>
      <w:r w:rsidRPr="00121CE3">
        <w:t>one-page subscriber identity document that stated the G[]mail</w:t>
      </w:r>
    </w:p>
    <w:p w14:paraId="52F03623" w14:textId="77777777" w:rsidR="00A85CFB" w:rsidRPr="00121CE3" w:rsidRDefault="00A85CFB" w:rsidP="00A85CFB">
      <w:pPr>
        <w:pStyle w:val="NoSpacing"/>
        <w:ind w:left="720" w:firstLine="720"/>
        <w:rPr>
          <w:bCs/>
        </w:rPr>
      </w:pPr>
      <w:r w:rsidRPr="00121CE3">
        <w:t>account associated with that device ID, a phone number associated with the</w:t>
      </w:r>
    </w:p>
    <w:p w14:paraId="6459CFA8" w14:textId="77777777" w:rsidR="00A85CFB" w:rsidRPr="00121CE3" w:rsidRDefault="00A85CFB" w:rsidP="00A85CFB">
      <w:pPr>
        <w:pStyle w:val="NoSpacing"/>
        <w:ind w:left="720" w:firstLine="720"/>
        <w:rPr>
          <w:bCs/>
        </w:rPr>
      </w:pPr>
      <w:r w:rsidRPr="00121CE3">
        <w:t xml:space="preserve">device ID, and a name and </w:t>
      </w:r>
      <w:proofErr w:type="gramStart"/>
      <w:r w:rsidRPr="00121CE3">
        <w:t>a date</w:t>
      </w:r>
      <w:proofErr w:type="gramEnd"/>
      <w:r w:rsidRPr="00121CE3">
        <w:t xml:space="preserve"> of birth inputted by the user at the time of</w:t>
      </w:r>
    </w:p>
    <w:p w14:paraId="648042EF" w14:textId="77777777" w:rsidR="00A85CFB" w:rsidRPr="00121CE3" w:rsidRDefault="00A85CFB" w:rsidP="00A85CFB">
      <w:pPr>
        <w:pStyle w:val="NoSpacing"/>
        <w:ind w:left="720" w:firstLine="720"/>
        <w:rPr>
          <w:bCs/>
        </w:rPr>
      </w:pPr>
      <w:r w:rsidRPr="00121CE3">
        <w:t>their Google account creation[.]</w:t>
      </w:r>
      <w:r>
        <w:t>’</w:t>
      </w:r>
      <w:r w:rsidRPr="00121CE3">
        <w:t xml:space="preserve"> Id. at 13. Using this deanonymized</w:t>
      </w:r>
    </w:p>
    <w:p w14:paraId="2794C209" w14:textId="77777777" w:rsidR="00A85CFB" w:rsidRPr="00121CE3" w:rsidRDefault="00A85CFB" w:rsidP="00A85CFB">
      <w:pPr>
        <w:pStyle w:val="NoSpacing"/>
        <w:ind w:left="720" w:firstLine="720"/>
        <w:rPr>
          <w:bCs/>
        </w:rPr>
      </w:pPr>
      <w:r w:rsidRPr="00121CE3">
        <w:t>information, Trooper Tray conducted additional investigation</w:t>
      </w:r>
      <w:r>
        <w:t xml:space="preserve"> </w:t>
      </w:r>
      <w:r w:rsidRPr="00121CE3">
        <w:t>that led him to</w:t>
      </w:r>
    </w:p>
    <w:p w14:paraId="10E4ACBD" w14:textId="77777777" w:rsidR="00A85CFB" w:rsidRDefault="00A85CFB" w:rsidP="00A85CFB">
      <w:pPr>
        <w:pStyle w:val="NoSpacing"/>
        <w:ind w:left="720" w:firstLine="720"/>
        <w:rPr>
          <w:bCs/>
        </w:rPr>
      </w:pPr>
      <w:r w:rsidRPr="00121CE3">
        <w:t>charge Appellant with terroristic threats and aggravated assault.</w:t>
      </w:r>
      <w:r>
        <w:t>”</w:t>
      </w:r>
    </w:p>
    <w:p w14:paraId="2FC37D7E" w14:textId="77777777" w:rsidR="00A85CFB" w:rsidRDefault="00A85CFB" w:rsidP="00A85CFB">
      <w:pPr>
        <w:pStyle w:val="NoSpacing"/>
        <w:rPr>
          <w:bCs/>
        </w:rPr>
      </w:pPr>
    </w:p>
    <w:p w14:paraId="79B21267" w14:textId="77777777" w:rsidR="00A85CFB" w:rsidRPr="005D0E17" w:rsidRDefault="00A85CFB" w:rsidP="00A85CFB">
      <w:pPr>
        <w:pStyle w:val="NoSpacing"/>
        <w:rPr>
          <w:b/>
        </w:rPr>
      </w:pPr>
      <w:r>
        <w:rPr>
          <w:b/>
        </w:rPr>
        <w:t xml:space="preserve">Legal lesson learned: This is the first appeals court in PA to review “geofence” search warrants for cell phone location history.  Arson investigators could likewise use search warrants to locate an arsonist. </w:t>
      </w:r>
    </w:p>
    <w:p w14:paraId="3F78EC22" w14:textId="77777777" w:rsidR="00A85CFB" w:rsidRDefault="00A85CFB" w:rsidP="00A85CFB">
      <w:pPr>
        <w:pStyle w:val="NoSpacing"/>
        <w:rPr>
          <w:bCs/>
        </w:rPr>
      </w:pPr>
      <w:r>
        <w:tab/>
      </w:r>
    </w:p>
    <w:p w14:paraId="1D07B1CA" w14:textId="77777777" w:rsidR="00A85CFB" w:rsidRDefault="00A85CFB" w:rsidP="00A85CFB">
      <w:pPr>
        <w:pStyle w:val="NoSpacing"/>
        <w:ind w:left="1440"/>
        <w:rPr>
          <w:bCs/>
        </w:rPr>
      </w:pPr>
      <w:r>
        <w:t xml:space="preserve">Note:  The Court reviewed Google’s </w:t>
      </w:r>
      <w:r w:rsidRPr="00ED3CFB">
        <w:t>three-step process when</w:t>
      </w:r>
      <w:r>
        <w:t xml:space="preserve"> </w:t>
      </w:r>
      <w:r w:rsidRPr="00ED3CFB">
        <w:t xml:space="preserve">it </w:t>
      </w:r>
      <w:r>
        <w:t xml:space="preserve">receives a </w:t>
      </w:r>
      <w:r w:rsidRPr="00ED3CFB">
        <w:t xml:space="preserve">geofence </w:t>
      </w:r>
      <w:r>
        <w:t xml:space="preserve">search </w:t>
      </w:r>
      <w:r w:rsidRPr="00ED3CFB">
        <w:t>warrant</w:t>
      </w:r>
      <w:r>
        <w:t xml:space="preserve">. </w:t>
      </w:r>
    </w:p>
    <w:p w14:paraId="4B3C5944" w14:textId="77777777" w:rsidR="00A85CFB" w:rsidRDefault="00A85CFB" w:rsidP="00A85CFB">
      <w:pPr>
        <w:pStyle w:val="NoSpacing"/>
        <w:ind w:left="1440"/>
        <w:rPr>
          <w:bCs/>
        </w:rPr>
      </w:pPr>
      <w:r>
        <w:t>“</w:t>
      </w:r>
      <w:r w:rsidRPr="00ED3CFB">
        <w:t>The first step of the geofence process, whenever law enforcement</w:t>
      </w:r>
      <w:r>
        <w:t xml:space="preserve"> </w:t>
      </w:r>
      <w:r w:rsidRPr="00ED3CFB">
        <w:t xml:space="preserve">submits a [search warrant] to us, we take it, we analyze it, </w:t>
      </w:r>
      <w:proofErr w:type="spellStart"/>
      <w:r w:rsidRPr="00ED3CFB">
        <w:t>wepack</w:t>
      </w:r>
      <w:proofErr w:type="spellEnd"/>
      <w:r w:rsidRPr="00ED3CFB">
        <w:t xml:space="preserve"> it, extract the data, and then package it together, and submit</w:t>
      </w:r>
      <w:r>
        <w:t xml:space="preserve"> </w:t>
      </w:r>
      <w:r w:rsidRPr="00ED3CFB">
        <w:t>it. [We a]</w:t>
      </w:r>
      <w:proofErr w:type="spellStart"/>
      <w:r w:rsidRPr="00ED3CFB">
        <w:t>nonymize</w:t>
      </w:r>
      <w:proofErr w:type="spellEnd"/>
      <w:r w:rsidRPr="00ED3CFB">
        <w:t xml:space="preserve"> the data</w:t>
      </w:r>
      <w:r>
        <w:t xml:space="preserve"> </w:t>
      </w:r>
      <w:r w:rsidRPr="00ED3CFB">
        <w:t>and then submit it back over to</w:t>
      </w:r>
      <w:r>
        <w:t xml:space="preserve"> </w:t>
      </w:r>
      <w:r w:rsidRPr="001D1304">
        <w:t>law enforcement through our law enforcement respondent</w:t>
      </w:r>
      <w:r>
        <w:t xml:space="preserve"> </w:t>
      </w:r>
      <w:r w:rsidRPr="001D1304">
        <w:t>coordinator (Step 1)</w:t>
      </w:r>
      <w:r>
        <w:t xml:space="preserve">. </w:t>
      </w:r>
      <w:r w:rsidRPr="001D1304">
        <w:t>The next step is Step 2, and this is additional contextual</w:t>
      </w:r>
      <w:r>
        <w:t xml:space="preserve"> </w:t>
      </w:r>
      <w:r w:rsidRPr="001D1304">
        <w:t>[LH] data. …. This is data that is anonymized still, and it just</w:t>
      </w:r>
      <w:r>
        <w:t xml:space="preserve"> </w:t>
      </w:r>
      <w:r w:rsidRPr="001D1304">
        <w:t>provides a little more contex</w:t>
      </w:r>
      <w:r>
        <w:t xml:space="preserve">t </w:t>
      </w:r>
      <w:r w:rsidRPr="001D1304">
        <w:t>to the original Step 1 data (Step</w:t>
      </w:r>
      <w:r>
        <w:t xml:space="preserve"> </w:t>
      </w:r>
      <w:r w:rsidRPr="001D1304">
        <w:t>2)</w:t>
      </w:r>
      <w:r>
        <w:t xml:space="preserve">, </w:t>
      </w:r>
      <w:r w:rsidRPr="001D1304">
        <w:t xml:space="preserve">The third step is when we </w:t>
      </w:r>
      <w:proofErr w:type="gramStart"/>
      <w:r w:rsidRPr="001D1304">
        <w:t>actually unmask</w:t>
      </w:r>
      <w:proofErr w:type="gramEnd"/>
      <w:r w:rsidRPr="001D1304">
        <w:t xml:space="preserve"> and identify this</w:t>
      </w:r>
      <w:r>
        <w:t xml:space="preserve"> </w:t>
      </w:r>
      <w:r w:rsidRPr="001D1304">
        <w:t>data and produce that to law enforcement[ (Step 3)</w:t>
      </w:r>
      <w:r>
        <w:t>.”</w:t>
      </w:r>
    </w:p>
    <w:p w14:paraId="0298A34D" w14:textId="77777777" w:rsidR="00A85CFB" w:rsidRDefault="00A85CFB" w:rsidP="00607129">
      <w:pPr>
        <w:pStyle w:val="NoSpacing"/>
        <w:rPr>
          <w:rFonts w:ascii="Arial Black" w:hAnsi="Arial Black"/>
          <w:sz w:val="28"/>
          <w:szCs w:val="28"/>
        </w:rPr>
      </w:pPr>
    </w:p>
    <w:p w14:paraId="5AEA7FE3" w14:textId="230EDA17" w:rsidR="004F7489" w:rsidRDefault="004F7489" w:rsidP="004F7489">
      <w:pPr>
        <w:pStyle w:val="NoSpacing"/>
        <w:rPr>
          <w:rFonts w:ascii="Arial Black" w:hAnsi="Arial Black"/>
          <w:sz w:val="28"/>
          <w:szCs w:val="28"/>
        </w:rPr>
      </w:pPr>
      <w:r>
        <w:rPr>
          <w:rFonts w:ascii="Arial Black" w:hAnsi="Arial Black"/>
          <w:sz w:val="28"/>
          <w:szCs w:val="28"/>
        </w:rPr>
        <w:t>3-79</w:t>
      </w:r>
    </w:p>
    <w:p w14:paraId="639B6124" w14:textId="77777777" w:rsidR="004F7489" w:rsidRDefault="004F7489" w:rsidP="00607129">
      <w:pPr>
        <w:pStyle w:val="NoSpacing"/>
        <w:rPr>
          <w:rFonts w:ascii="Arial Black" w:hAnsi="Arial Black"/>
          <w:sz w:val="28"/>
          <w:szCs w:val="28"/>
        </w:rPr>
      </w:pPr>
    </w:p>
    <w:p w14:paraId="3F0F3B8C" w14:textId="77777777" w:rsidR="000946BC" w:rsidRPr="00D21228" w:rsidRDefault="000946BC" w:rsidP="000946BC">
      <w:pPr>
        <w:pStyle w:val="NoSpacing"/>
        <w:rPr>
          <w:rFonts w:ascii="Arial Black" w:hAnsi="Arial Black"/>
          <w:sz w:val="28"/>
          <w:szCs w:val="28"/>
        </w:rPr>
      </w:pPr>
      <w:r>
        <w:rPr>
          <w:rFonts w:ascii="Arial Black" w:hAnsi="Arial Black"/>
          <w:sz w:val="28"/>
          <w:szCs w:val="28"/>
        </w:rPr>
        <w:t xml:space="preserve">NJ: NO FIREAMS “SENSITIVE PLACES” – LAW UPHELD </w:t>
      </w:r>
    </w:p>
    <w:p w14:paraId="466C2D5F" w14:textId="77777777" w:rsidR="000946BC" w:rsidRDefault="000946BC" w:rsidP="000946BC">
      <w:pPr>
        <w:pStyle w:val="NoSpacing"/>
      </w:pPr>
    </w:p>
    <w:p w14:paraId="3F15623D" w14:textId="77777777" w:rsidR="000946BC" w:rsidRDefault="000946BC" w:rsidP="000946BC">
      <w:pPr>
        <w:pStyle w:val="NoSpacing"/>
      </w:pPr>
      <w:r>
        <w:t xml:space="preserve">On September 10, 2025, in </w:t>
      </w:r>
      <w:r w:rsidRPr="006D2E60">
        <w:rPr>
          <w:u w:val="single"/>
        </w:rPr>
        <w:t>Ronald Koons, Second Amendment Foundation Inc., et al. v. Attorney General of New Jersey, et al</w:t>
      </w:r>
      <w:r>
        <w:t xml:space="preserve">., the United States Court of Appeals for Third Circuit (Philadelphia) held (2 to 1) that the trial court judge improperly issued a preliminary injunction for most provisions of the 2022 New Jersey law.  Subject to minor exceptions, carrying a </w:t>
      </w:r>
      <w:r>
        <w:lastRenderedPageBreak/>
        <w:t xml:space="preserve">firearm in of these sensitive places (including bars, medical facilities, public parks, schools) constitutes a crime of the third degree, which carries a maximum sentence of five years’ imprisonment and a presumptive sentence of four years’ imprisonment. There is also a </w:t>
      </w:r>
      <w:r w:rsidRPr="00433FBF">
        <w:t>$300,000 liability insurance requirement</w:t>
      </w:r>
      <w:r>
        <w:t xml:space="preserve">.   The Court did, however, agree with District Court injunction against the requirement that those who transport guns in their private </w:t>
      </w:r>
      <w:proofErr w:type="gramStart"/>
      <w:r>
        <w:t>vehicles must</w:t>
      </w:r>
      <w:proofErr w:type="gramEnd"/>
      <w:r>
        <w:t xml:space="preserve"> unload their firearms and keep them locked in a secured container or the vehicle’s trunk.  “Because § 2C:58-4.6(b)(1)’s requirement as to private vehicles contradicts our Nation’s history and tradition, Plaintiffs are likely to succeed on the merits of their challenge to that particular restriction.”  </w:t>
      </w:r>
    </w:p>
    <w:p w14:paraId="32669800" w14:textId="77777777" w:rsidR="000946BC" w:rsidRDefault="000946BC" w:rsidP="000946BC">
      <w:pPr>
        <w:pStyle w:val="NoSpacing"/>
      </w:pPr>
    </w:p>
    <w:p w14:paraId="24E209AC" w14:textId="77777777" w:rsidR="000946BC" w:rsidRDefault="000946BC" w:rsidP="000946BC">
      <w:pPr>
        <w:pStyle w:val="NoSpacing"/>
      </w:pPr>
      <w:r w:rsidRPr="00693533">
        <w:rPr>
          <w:b/>
        </w:rPr>
        <w:t>THE COURT HELD</w:t>
      </w:r>
      <w:r>
        <w:t xml:space="preserve">: “Today, we must decide a question of immense public importance: whether it is likely that provisions of New Jersey Public Law 2022, Chapter 131, which impose certain firearms-permitting requirements and prohibit the carrying of firearms in certain ‘sensitive places,’ passes constitutional muster. For the most part, we agree with New Jersey and join our sister circuits that have upheld similar sensitive-places laws. *** Two terms ago, in </w:t>
      </w:r>
      <w:r w:rsidRPr="00960ADD">
        <w:rPr>
          <w:i/>
          <w:iCs/>
        </w:rPr>
        <w:t>United States v. Rahimi</w:t>
      </w:r>
      <w:r>
        <w:t xml:space="preserve">, the Supreme Court elaborated on Bruen. 602 U.S. 680 (2024). There, the Court rejected a challenge to the constitutionality of 18 U.S.C. § 922(g)(8), which bars a person subject to a domestic violence restraining order from possessing a firearm if he is found to pose a credible threat to his partner. *** </w:t>
      </w:r>
      <w:r w:rsidRPr="00B511E1">
        <w:t>[BARS]</w:t>
      </w:r>
      <w:r>
        <w:rPr>
          <w:b/>
        </w:rPr>
        <w:t xml:space="preserve">  </w:t>
      </w:r>
      <w:r>
        <w:t xml:space="preserve">Plaintiffs’ challenge to N.J. Stat. Ann. § 2C:58-4.6(a)(15) (proscribing firearms in ‘a bar or restaurant where alcohol is served, and any other site or facility where alcohol is sold for consumption on the premises’) fares no better…. Just as the Second and Ninth Circuits concluded in evaluating nearly identical laws, we hold that New Jersey’s statute is entirely consistent with the principle that legislatures may prohibit the carry of firearms in locations where they may be especially susceptible to misuse. *** </w:t>
      </w:r>
      <w:r w:rsidRPr="00B511E1">
        <w:t>[HEALTH CARE FACILITIES]</w:t>
      </w:r>
      <w:r>
        <w:rPr>
          <w:b/>
        </w:rPr>
        <w:t xml:space="preserve">  </w:t>
      </w:r>
      <w:r>
        <w:t xml:space="preserve">We next turn to Plaintiffs’ challenge to N.J. Stat. Ann. § 2C:58-4.6(a)(21)’s prohibition on carrying firearms at any ‘health care facility[.]’… As the Second Circuit recently concluded, ‘statutes of Maine, Massachusetts, and Rhode Island, which prohibited those with mental illness, intellectual disabilities, and alcohol addiction from serving in militias,’ which ‘were aimed at protecting vulnerable populations from either misusing arms or having arms used against them,’ embody a longstanding tradition of firearm regulation in locations where vulnerable populations are present.’ Id. at 1010–11. We agree and join our sister circuit in recognizing this principle of our Nation’s regulatory </w:t>
      </w:r>
      <w:proofErr w:type="gramStart"/>
      <w:r>
        <w:t>tradition.”</w:t>
      </w:r>
      <w:proofErr w:type="gramEnd"/>
      <w:r>
        <w:t xml:space="preserve"> </w:t>
      </w:r>
      <w:hyperlink r:id="rId630" w:history="1">
        <w:r w:rsidRPr="001E16A5">
          <w:rPr>
            <w:rStyle w:val="Hyperlink"/>
          </w:rPr>
          <w:t>https://www2.ca3.uscourts.gov/opinarch/231900p.pdf</w:t>
        </w:r>
      </w:hyperlink>
      <w:r>
        <w:t xml:space="preserve"> </w:t>
      </w:r>
    </w:p>
    <w:p w14:paraId="0E99E4E1" w14:textId="77777777" w:rsidR="000946BC" w:rsidRDefault="000946BC" w:rsidP="000946BC">
      <w:pPr>
        <w:pStyle w:val="NoSpacing"/>
      </w:pPr>
    </w:p>
    <w:p w14:paraId="40EE339A" w14:textId="77777777" w:rsidR="000946BC" w:rsidRDefault="000946BC" w:rsidP="000946BC">
      <w:pPr>
        <w:pStyle w:val="NoSpacing"/>
      </w:pPr>
    </w:p>
    <w:p w14:paraId="0D3E66B4" w14:textId="77777777" w:rsidR="000946BC" w:rsidRPr="005A464F" w:rsidRDefault="000946BC" w:rsidP="000946BC">
      <w:pPr>
        <w:pStyle w:val="NoSpacing"/>
        <w:rPr>
          <w:b/>
          <w:bCs/>
        </w:rPr>
      </w:pPr>
      <w:r w:rsidRPr="005A464F">
        <w:rPr>
          <w:b/>
        </w:rPr>
        <w:t>KEY FACTS:</w:t>
      </w:r>
    </w:p>
    <w:p w14:paraId="2DF6AD02" w14:textId="77777777" w:rsidR="000946BC" w:rsidRDefault="000946BC" w:rsidP="000946BC">
      <w:pPr>
        <w:pStyle w:val="NoSpacing"/>
      </w:pPr>
    </w:p>
    <w:p w14:paraId="6B57E03E" w14:textId="77777777" w:rsidR="000946BC" w:rsidRDefault="000946BC" w:rsidP="000946BC">
      <w:pPr>
        <w:pStyle w:val="NoSpacing"/>
        <w:ind w:left="360"/>
      </w:pPr>
      <w:r>
        <w:t xml:space="preserve">“For many decades, New Jersey required anyone who wanted to carry a handgun in public to show a ‘justifiable need’ for self-protection. In 2022, the Supreme Court held in </w:t>
      </w:r>
      <w:r w:rsidRPr="00AC3A70">
        <w:rPr>
          <w:i/>
          <w:iCs/>
        </w:rPr>
        <w:t>New York State Rifle &amp; Pistol Association v.</w:t>
      </w:r>
      <w:r>
        <w:rPr>
          <w:i/>
          <w:iCs/>
        </w:rPr>
        <w:t xml:space="preserve"> </w:t>
      </w:r>
      <w:r w:rsidRPr="00AC3A70">
        <w:rPr>
          <w:i/>
          <w:iCs/>
        </w:rPr>
        <w:t>Bruen, 597 U.S. 1 (2022),</w:t>
      </w:r>
      <w:r>
        <w:rPr>
          <w:i/>
          <w:iCs/>
        </w:rPr>
        <w:t xml:space="preserve"> </w:t>
      </w:r>
      <w:r>
        <w:t xml:space="preserve">that a similar New York law violated the Second Amendment of the U.S. Constitution. In response, the New Jersey legislature in 2022 enacted a measure known as Chapter 131, which excised the “justifiable need” requirement and added new licensing provisions and locational restrictions.  N.J. Stat. Ann. § 2C:58-4.6(a), prohibits carrying a firearm in twenty-five “sensitive places,” including: </w:t>
      </w:r>
    </w:p>
    <w:p w14:paraId="2542A568" w14:textId="77777777" w:rsidR="000946BC" w:rsidRDefault="000946BC" w:rsidP="000946BC">
      <w:pPr>
        <w:pStyle w:val="NoSpacing"/>
        <w:numPr>
          <w:ilvl w:val="0"/>
          <w:numId w:val="31"/>
        </w:numPr>
      </w:pPr>
      <w:r>
        <w:t>within 100 feet of a place where a public gathering, demonstration or event is held</w:t>
      </w:r>
    </w:p>
    <w:p w14:paraId="08D05C6E" w14:textId="77777777" w:rsidR="000946BC" w:rsidRDefault="000946BC" w:rsidP="000946BC">
      <w:pPr>
        <w:pStyle w:val="NoSpacing"/>
        <w:ind w:left="720"/>
      </w:pPr>
      <w:r>
        <w:t>for which a government permit is required, during the conduct of such gathering, demonstration or event;</w:t>
      </w:r>
    </w:p>
    <w:p w14:paraId="3C768CAD" w14:textId="77777777" w:rsidR="000946BC" w:rsidRDefault="000946BC" w:rsidP="000946BC">
      <w:pPr>
        <w:pStyle w:val="NoSpacing"/>
        <w:numPr>
          <w:ilvl w:val="0"/>
          <w:numId w:val="31"/>
        </w:numPr>
      </w:pPr>
      <w:r>
        <w:t>a school, college, university or other educational institution, and on any school</w:t>
      </w:r>
    </w:p>
    <w:p w14:paraId="2AFFA2D7" w14:textId="77777777" w:rsidR="000946BC" w:rsidRDefault="000946BC" w:rsidP="000946BC">
      <w:pPr>
        <w:pStyle w:val="NoSpacing"/>
        <w:ind w:firstLine="720"/>
      </w:pPr>
      <w:r>
        <w:t>bus;</w:t>
      </w:r>
    </w:p>
    <w:p w14:paraId="2C16CB5A" w14:textId="77777777" w:rsidR="000946BC" w:rsidRPr="00375A0E" w:rsidRDefault="000946BC" w:rsidP="000946BC">
      <w:pPr>
        <w:pStyle w:val="NoSpacing"/>
        <w:numPr>
          <w:ilvl w:val="0"/>
          <w:numId w:val="31"/>
        </w:numPr>
      </w:pPr>
      <w:r w:rsidRPr="00375A0E">
        <w:t>a bar or restaurant where alcohol is</w:t>
      </w:r>
      <w:r>
        <w:t xml:space="preserve"> </w:t>
      </w:r>
      <w:r w:rsidRPr="00375A0E">
        <w:t xml:space="preserve">served, and any other site or facility </w:t>
      </w:r>
      <w:proofErr w:type="gramStart"/>
      <w:r w:rsidRPr="00375A0E">
        <w:t>where</w:t>
      </w:r>
      <w:proofErr w:type="gramEnd"/>
    </w:p>
    <w:p w14:paraId="01840CD9" w14:textId="77777777" w:rsidR="000946BC" w:rsidRDefault="000946BC" w:rsidP="000946BC">
      <w:pPr>
        <w:pStyle w:val="NoSpacing"/>
        <w:ind w:firstLine="720"/>
      </w:pPr>
      <w:r w:rsidRPr="00375A0E">
        <w:t>alcohol is sold for consumption on the</w:t>
      </w:r>
      <w:r>
        <w:t xml:space="preserve"> </w:t>
      </w:r>
      <w:r w:rsidRPr="00375A0E">
        <w:t>premises</w:t>
      </w:r>
      <w:r>
        <w:t>.</w:t>
      </w:r>
    </w:p>
    <w:p w14:paraId="41ED8972" w14:textId="77777777" w:rsidR="000946BC" w:rsidRDefault="000946BC" w:rsidP="000946BC">
      <w:pPr>
        <w:pStyle w:val="NoSpacing"/>
        <w:numPr>
          <w:ilvl w:val="0"/>
          <w:numId w:val="32"/>
        </w:numPr>
      </w:pPr>
      <w:r>
        <w:t>a health care facility, including but not limited to a general hospital, special</w:t>
      </w:r>
    </w:p>
    <w:p w14:paraId="50BE9F20" w14:textId="77777777" w:rsidR="000946BC" w:rsidRDefault="000946BC" w:rsidP="000946BC">
      <w:pPr>
        <w:pStyle w:val="NoSpacing"/>
        <w:ind w:firstLine="720"/>
      </w:pPr>
      <w:r>
        <w:t>hospital, psychiatric hospital, public health center, diagnostic center, treatment</w:t>
      </w:r>
    </w:p>
    <w:p w14:paraId="3BEB6338" w14:textId="77777777" w:rsidR="000946BC" w:rsidRDefault="000946BC" w:rsidP="000946BC">
      <w:pPr>
        <w:pStyle w:val="NoSpacing"/>
        <w:ind w:left="720"/>
      </w:pPr>
      <w:r>
        <w:t>center, rehabilitation center, extended care facility, skilled nursing home, nursing home, intermediate care facility, tuberculosis hospital, chronic disease hospital, maternity hospital, outpatient clinic, dispensary, assisted living center, home health care agency, residential treatment facility, residential health care facility, medical office, or ambulatory</w:t>
      </w:r>
    </w:p>
    <w:p w14:paraId="504A37F4" w14:textId="77777777" w:rsidR="000946BC" w:rsidRDefault="000946BC" w:rsidP="000946BC">
      <w:pPr>
        <w:pStyle w:val="NoSpacing"/>
        <w:ind w:firstLine="720"/>
      </w:pPr>
      <w:r>
        <w:t>care facility.”</w:t>
      </w:r>
    </w:p>
    <w:p w14:paraId="4A5178F6" w14:textId="77777777" w:rsidR="000946BC" w:rsidRDefault="000946BC" w:rsidP="000946BC">
      <w:pPr>
        <w:pStyle w:val="NoSpacing"/>
      </w:pPr>
    </w:p>
    <w:p w14:paraId="329A4FBB" w14:textId="77777777" w:rsidR="000946BC" w:rsidRDefault="000946BC" w:rsidP="000946BC">
      <w:pPr>
        <w:pStyle w:val="NoSpacing"/>
        <w:rPr>
          <w:b/>
          <w:bCs/>
        </w:rPr>
      </w:pPr>
      <w:r>
        <w:rPr>
          <w:b/>
        </w:rPr>
        <w:t>Legal lesson learned:  This case does indeed involve a “</w:t>
      </w:r>
      <w:r w:rsidRPr="00BC287F">
        <w:rPr>
          <w:b/>
        </w:rPr>
        <w:t>question of immense public</w:t>
      </w:r>
      <w:r>
        <w:rPr>
          <w:b/>
        </w:rPr>
        <w:t xml:space="preserve"> </w:t>
      </w:r>
      <w:r w:rsidRPr="00BC287F">
        <w:rPr>
          <w:b/>
        </w:rPr>
        <w:t>importance</w:t>
      </w:r>
      <w:r>
        <w:rPr>
          <w:b/>
        </w:rPr>
        <w:t>.”  The dissenting Circuit Judge, however, described the impact on law abiding citizens, including EMS who wish to carry firearms off duty.</w:t>
      </w:r>
    </w:p>
    <w:p w14:paraId="64F19505" w14:textId="77777777" w:rsidR="000946BC" w:rsidRDefault="000946BC" w:rsidP="000946BC">
      <w:pPr>
        <w:pStyle w:val="NoSpacing"/>
        <w:rPr>
          <w:b/>
          <w:bCs/>
        </w:rPr>
      </w:pPr>
    </w:p>
    <w:p w14:paraId="22EEC3B9" w14:textId="77777777" w:rsidR="000946BC" w:rsidRDefault="000946BC" w:rsidP="000946BC">
      <w:pPr>
        <w:pStyle w:val="NoSpacing"/>
        <w:ind w:left="720"/>
      </w:pPr>
      <w:r w:rsidRPr="0094749A">
        <w:t xml:space="preserve">Note: The dissenting Circuit Judge, David J. Porter, discussed impact of the statute on a </w:t>
      </w:r>
      <w:r>
        <w:t>former EMT and current Medical Reserve Corps volunteer.</w:t>
      </w:r>
    </w:p>
    <w:p w14:paraId="3CD7610E" w14:textId="77777777" w:rsidR="000946BC" w:rsidRDefault="000946BC" w:rsidP="000946BC">
      <w:pPr>
        <w:pStyle w:val="NoSpacing"/>
        <w:ind w:left="720"/>
      </w:pPr>
    </w:p>
    <w:p w14:paraId="2DB32F8D" w14:textId="77777777" w:rsidR="000946BC" w:rsidRDefault="000946BC" w:rsidP="000946BC">
      <w:pPr>
        <w:ind w:left="720"/>
        <w:rPr>
          <w:bCs/>
        </w:rPr>
      </w:pPr>
      <w:r>
        <w:t>“</w:t>
      </w:r>
      <w:r w:rsidRPr="00D5033F">
        <w:t>This case is different because Plaintiffs are already experiencing harm. Siegel, a former Emergency Medical Technician and current New Jersey Medical Reserve Corps volunteer</w:t>
      </w:r>
      <w:r>
        <w:t xml:space="preserve"> … </w:t>
      </w:r>
      <w:r w:rsidRPr="00D5033F">
        <w:t>often carried his handgun, lawfully, for self-defense in his medical work. Now he doesn't carry out of fear of arrest and prosecution</w:t>
      </w:r>
      <w:r>
        <w:t xml:space="preserve">…. </w:t>
      </w:r>
      <w:r w:rsidRPr="00D5033F">
        <w:t>Like most people, Siegel frequents strip malls, museums, zoos, libraries, public parks, movie theaters, concerts, sporting events, and restaurants where alcohol is served. He rides public transportation. He sometimes visits casinos to gamble and attend shows. He takes continuing education courses, sometimes in hospitals and training centers. In these and other places where Siegel normally goes, he would ordinarily carry a handgun, but now he refrains from doing so out of fear of arrest and</w:t>
      </w:r>
      <w:r>
        <w:t xml:space="preserve"> </w:t>
      </w:r>
      <w:proofErr w:type="gramStart"/>
      <w:r w:rsidRPr="00D5033F">
        <w:t>prosecution</w:t>
      </w:r>
      <w:r>
        <w:t>.”</w:t>
      </w:r>
      <w:proofErr w:type="gramEnd"/>
      <w:r w:rsidRPr="00D5033F">
        <w:t> </w:t>
      </w:r>
      <w:r>
        <w:t xml:space="preserve"> </w:t>
      </w:r>
    </w:p>
    <w:p w14:paraId="4E34096A" w14:textId="77777777" w:rsidR="000946BC" w:rsidRDefault="000946BC" w:rsidP="000946BC">
      <w:hyperlink r:id="rId631" w:history="1">
        <w:r w:rsidRPr="001E16A5">
          <w:rPr>
            <w:rStyle w:val="Hyperlink"/>
          </w:rPr>
          <w:t>https://www2.ca3.uscourts.gov/opinarch/231900p.pdf</w:t>
        </w:r>
      </w:hyperlink>
    </w:p>
    <w:p w14:paraId="4C425189" w14:textId="77777777" w:rsidR="00440B47" w:rsidRDefault="00440B47" w:rsidP="00607129">
      <w:pPr>
        <w:pStyle w:val="NoSpacing"/>
        <w:rPr>
          <w:rFonts w:ascii="Arial Black" w:hAnsi="Arial Black"/>
          <w:sz w:val="28"/>
          <w:szCs w:val="28"/>
        </w:rPr>
      </w:pPr>
    </w:p>
    <w:p w14:paraId="4EF55C4E" w14:textId="5C914649" w:rsidR="00E24913" w:rsidRDefault="00E24913" w:rsidP="00607129">
      <w:pPr>
        <w:pStyle w:val="NoSpacing"/>
        <w:rPr>
          <w:rFonts w:ascii="Arial Black" w:hAnsi="Arial Black"/>
          <w:sz w:val="28"/>
          <w:szCs w:val="28"/>
        </w:rPr>
      </w:pPr>
      <w:r>
        <w:rPr>
          <w:rFonts w:ascii="Arial Black" w:hAnsi="Arial Black"/>
          <w:sz w:val="28"/>
          <w:szCs w:val="28"/>
        </w:rPr>
        <w:t>3-78</w:t>
      </w:r>
    </w:p>
    <w:p w14:paraId="5EAF607E" w14:textId="77777777" w:rsidR="00E24913" w:rsidRDefault="00E24913" w:rsidP="00607129">
      <w:pPr>
        <w:pStyle w:val="NoSpacing"/>
        <w:rPr>
          <w:rFonts w:ascii="Arial Black" w:hAnsi="Arial Black"/>
          <w:sz w:val="28"/>
          <w:szCs w:val="28"/>
        </w:rPr>
      </w:pPr>
    </w:p>
    <w:p w14:paraId="55F40204" w14:textId="77777777" w:rsidR="00E64DE3" w:rsidRDefault="00E64DE3" w:rsidP="00E64DE3">
      <w:pPr>
        <w:pStyle w:val="NoSpacing"/>
        <w:rPr>
          <w:rFonts w:ascii="Arial Black" w:hAnsi="Arial Black"/>
          <w:sz w:val="28"/>
          <w:szCs w:val="28"/>
        </w:rPr>
      </w:pPr>
      <w:r>
        <w:rPr>
          <w:rFonts w:ascii="Arial Black" w:hAnsi="Arial Black"/>
          <w:sz w:val="28"/>
          <w:szCs w:val="28"/>
        </w:rPr>
        <w:t xml:space="preserve">CA: AMMO PURCHASES – CA BACKGROUND CHECKS </w:t>
      </w:r>
    </w:p>
    <w:p w14:paraId="0CFE3816" w14:textId="77777777" w:rsidR="00E64DE3" w:rsidRDefault="00E64DE3" w:rsidP="00E64DE3">
      <w:pPr>
        <w:pStyle w:val="NoSpacing"/>
      </w:pPr>
    </w:p>
    <w:p w14:paraId="0FBA554C" w14:textId="77777777" w:rsidR="00E64DE3" w:rsidRPr="00B5776F" w:rsidRDefault="00E64DE3" w:rsidP="00E64DE3">
      <w:pPr>
        <w:pStyle w:val="NoSpacing"/>
        <w:rPr>
          <w:rFonts w:ascii="Times New Roman" w:hAnsi="Times New Roman"/>
          <w:sz w:val="24"/>
          <w:szCs w:val="24"/>
        </w:rPr>
      </w:pPr>
      <w:r w:rsidRPr="00B5776F">
        <w:rPr>
          <w:rFonts w:ascii="Times New Roman" w:hAnsi="Times New Roman"/>
          <w:sz w:val="24"/>
          <w:szCs w:val="24"/>
        </w:rPr>
        <w:t xml:space="preserve">On July 24, 2025, in </w:t>
      </w:r>
      <w:r w:rsidRPr="00B5776F">
        <w:rPr>
          <w:rFonts w:ascii="Times New Roman" w:hAnsi="Times New Roman"/>
          <w:sz w:val="24"/>
          <w:szCs w:val="24"/>
          <w:u w:val="single"/>
        </w:rPr>
        <w:t>Kim Rhode, et al. v. Rob Bonta, in his official capacity as Attorney General of the State of California</w:t>
      </w:r>
      <w:r w:rsidRPr="00B5776F">
        <w:rPr>
          <w:rFonts w:ascii="Times New Roman" w:hAnsi="Times New Roman"/>
          <w:sz w:val="24"/>
          <w:szCs w:val="24"/>
        </w:rPr>
        <w:t>, the U.S. Court of Appeals for 9</w:t>
      </w:r>
      <w:r w:rsidRPr="00B5776F">
        <w:rPr>
          <w:rFonts w:ascii="Times New Roman" w:hAnsi="Times New Roman"/>
          <w:sz w:val="24"/>
          <w:szCs w:val="24"/>
          <w:vertAlign w:val="superscript"/>
        </w:rPr>
        <w:t>th</w:t>
      </w:r>
      <w:r w:rsidRPr="00B5776F">
        <w:rPr>
          <w:rFonts w:ascii="Times New Roman" w:hAnsi="Times New Roman"/>
          <w:sz w:val="24"/>
          <w:szCs w:val="24"/>
        </w:rPr>
        <w:t xml:space="preserve"> Circuit (San Francisco) held (2 to 1) that California’s “first-of-its-find” ammunition background checks before each ammo purchase violates the Second Amendment. THE COURT HELD: “We hold that California’s ammunition</w:t>
      </w:r>
    </w:p>
    <w:p w14:paraId="70BE774F" w14:textId="7A670C03" w:rsidR="00E64DE3" w:rsidRPr="00B5776F" w:rsidRDefault="00E64DE3" w:rsidP="00E64DE3">
      <w:pPr>
        <w:pStyle w:val="NoSpacing"/>
        <w:rPr>
          <w:rFonts w:ascii="Times New Roman" w:hAnsi="Times New Roman"/>
          <w:sz w:val="24"/>
          <w:szCs w:val="24"/>
        </w:rPr>
      </w:pPr>
      <w:r w:rsidRPr="00B5776F">
        <w:rPr>
          <w:rFonts w:ascii="Times New Roman" w:hAnsi="Times New Roman"/>
          <w:sz w:val="24"/>
          <w:szCs w:val="24"/>
        </w:rPr>
        <w:t xml:space="preserve">background check regime is unconstitutional, and we affirm the district court’s grant of a permanent injunction.”  </w:t>
      </w:r>
      <w:hyperlink r:id="rId632" w:history="1">
        <w:r w:rsidRPr="00B5776F">
          <w:rPr>
            <w:rStyle w:val="Hyperlink"/>
            <w:rFonts w:ascii="Times New Roman" w:hAnsi="Times New Roman"/>
            <w:sz w:val="24"/>
            <w:szCs w:val="24"/>
          </w:rPr>
          <w:t>https://cdn.ca9.uscourts.gov/datastore/opinions/2025/07/24/24-542.pdf</w:t>
        </w:r>
      </w:hyperlink>
    </w:p>
    <w:p w14:paraId="2EA8CC5D" w14:textId="77777777" w:rsidR="00B5776F" w:rsidRPr="00B5776F" w:rsidRDefault="00B5776F" w:rsidP="00B5776F">
      <w:pPr>
        <w:pStyle w:val="NoSpacing"/>
        <w:rPr>
          <w:rFonts w:ascii="Times New Roman" w:hAnsi="Times New Roman"/>
          <w:bCs/>
          <w:sz w:val="24"/>
          <w:szCs w:val="24"/>
        </w:rPr>
      </w:pPr>
      <w:r w:rsidRPr="00B5776F">
        <w:rPr>
          <w:rFonts w:ascii="Times New Roman" w:hAnsi="Times New Roman"/>
          <w:sz w:val="24"/>
          <w:szCs w:val="24"/>
        </w:rPr>
        <w:t xml:space="preserve">Dissent:  </w:t>
      </w:r>
    </w:p>
    <w:p w14:paraId="1CB4CB67" w14:textId="77777777" w:rsidR="00B5776F" w:rsidRPr="00B5776F" w:rsidRDefault="00B5776F" w:rsidP="00B5776F">
      <w:pPr>
        <w:pStyle w:val="NoSpacing"/>
        <w:rPr>
          <w:rFonts w:ascii="Times New Roman" w:hAnsi="Times New Roman"/>
          <w:bCs/>
          <w:sz w:val="24"/>
          <w:szCs w:val="24"/>
        </w:rPr>
      </w:pPr>
    </w:p>
    <w:p w14:paraId="5EEBEA0F" w14:textId="77777777" w:rsidR="00B5776F" w:rsidRPr="00B5776F" w:rsidRDefault="00B5776F" w:rsidP="00B5776F">
      <w:pPr>
        <w:pStyle w:val="NoSpacing"/>
        <w:ind w:left="720"/>
        <w:rPr>
          <w:rFonts w:ascii="Times New Roman" w:hAnsi="Times New Roman"/>
          <w:bCs/>
          <w:sz w:val="24"/>
          <w:szCs w:val="24"/>
        </w:rPr>
      </w:pPr>
      <w:r w:rsidRPr="00B5776F">
        <w:rPr>
          <w:rFonts w:ascii="Times New Roman" w:hAnsi="Times New Roman"/>
          <w:sz w:val="24"/>
          <w:szCs w:val="24"/>
        </w:rPr>
        <w:t>“California, which has administered the scheme since 2019, has shown that the vast majority of its checks cost one dollar and impose less than one minute of delay.”</w:t>
      </w:r>
    </w:p>
    <w:p w14:paraId="1B7F31C5" w14:textId="77777777" w:rsidR="00B5776F" w:rsidRPr="00B5776F" w:rsidRDefault="00B5776F" w:rsidP="00B5776F">
      <w:pPr>
        <w:pStyle w:val="NoSpacing"/>
        <w:ind w:left="720"/>
        <w:rPr>
          <w:rFonts w:ascii="Times New Roman" w:hAnsi="Times New Roman"/>
          <w:bCs/>
          <w:sz w:val="24"/>
          <w:szCs w:val="24"/>
        </w:rPr>
      </w:pPr>
    </w:p>
    <w:p w14:paraId="79A510C1" w14:textId="77777777" w:rsidR="00B5776F" w:rsidRPr="00B5776F" w:rsidRDefault="00B5776F" w:rsidP="00B5776F">
      <w:pPr>
        <w:pStyle w:val="NoSpacing"/>
        <w:rPr>
          <w:rFonts w:ascii="Times New Roman" w:hAnsi="Times New Roman"/>
          <w:b/>
          <w:sz w:val="24"/>
          <w:szCs w:val="24"/>
        </w:rPr>
      </w:pPr>
      <w:r w:rsidRPr="00B5776F">
        <w:rPr>
          <w:rFonts w:ascii="Times New Roman" w:hAnsi="Times New Roman"/>
          <w:b/>
          <w:sz w:val="24"/>
          <w:szCs w:val="24"/>
        </w:rPr>
        <w:t xml:space="preserve">Legal lesson learned:  California may appeal to U.S. Supreme Court (but this requires 4 Justices to agree to hear the appeal).  It’s time for Congress to close “loopholes” in firearm laws; quick background checks to buy ammo seems like an excellent law. </w:t>
      </w:r>
    </w:p>
    <w:p w14:paraId="63E6F744" w14:textId="77777777" w:rsidR="00B5776F" w:rsidRDefault="00B5776F" w:rsidP="00E64DE3">
      <w:pPr>
        <w:pStyle w:val="NoSpacing"/>
        <w:rPr>
          <w:rFonts w:ascii="Arial Black" w:hAnsi="Arial Black"/>
          <w:sz w:val="28"/>
          <w:szCs w:val="28"/>
        </w:rPr>
      </w:pPr>
    </w:p>
    <w:p w14:paraId="60B17B02" w14:textId="77777777" w:rsidR="00E24913" w:rsidRDefault="00E24913" w:rsidP="00607129">
      <w:pPr>
        <w:pStyle w:val="NoSpacing"/>
        <w:rPr>
          <w:rFonts w:ascii="Arial Black" w:hAnsi="Arial Black"/>
          <w:sz w:val="28"/>
          <w:szCs w:val="28"/>
        </w:rPr>
      </w:pPr>
    </w:p>
    <w:p w14:paraId="1BD8404A" w14:textId="77777777" w:rsidR="00E24913" w:rsidRDefault="00E24913" w:rsidP="00607129">
      <w:pPr>
        <w:pStyle w:val="NoSpacing"/>
        <w:rPr>
          <w:rFonts w:ascii="Arial Black" w:hAnsi="Arial Black"/>
          <w:sz w:val="28"/>
          <w:szCs w:val="28"/>
        </w:rPr>
      </w:pPr>
    </w:p>
    <w:p w14:paraId="3F9153E9" w14:textId="77777777" w:rsidR="00E24913" w:rsidRDefault="00E24913" w:rsidP="00607129">
      <w:pPr>
        <w:pStyle w:val="NoSpacing"/>
        <w:rPr>
          <w:rFonts w:ascii="Arial Black" w:hAnsi="Arial Black"/>
          <w:sz w:val="28"/>
          <w:szCs w:val="28"/>
        </w:rPr>
      </w:pPr>
    </w:p>
    <w:p w14:paraId="2DB361C3" w14:textId="52270FAD" w:rsidR="00607129" w:rsidRDefault="00607129" w:rsidP="00607129">
      <w:pPr>
        <w:pStyle w:val="NoSpacing"/>
        <w:rPr>
          <w:rFonts w:ascii="Arial Black" w:hAnsi="Arial Black"/>
          <w:sz w:val="28"/>
          <w:szCs w:val="28"/>
        </w:rPr>
      </w:pPr>
      <w:r>
        <w:rPr>
          <w:rFonts w:ascii="Arial Black" w:hAnsi="Arial Black"/>
          <w:sz w:val="28"/>
          <w:szCs w:val="28"/>
        </w:rPr>
        <w:t>3-7</w:t>
      </w:r>
      <w:r w:rsidR="00680234">
        <w:rPr>
          <w:rFonts w:ascii="Arial Black" w:hAnsi="Arial Black"/>
          <w:sz w:val="28"/>
          <w:szCs w:val="28"/>
        </w:rPr>
        <w:t>7</w:t>
      </w:r>
    </w:p>
    <w:p w14:paraId="72868543" w14:textId="77777777" w:rsidR="00607129" w:rsidRDefault="00607129" w:rsidP="00F326E5">
      <w:pPr>
        <w:pStyle w:val="NoSpacing"/>
        <w:rPr>
          <w:rFonts w:ascii="Arial Black" w:hAnsi="Arial Black"/>
          <w:sz w:val="28"/>
          <w:szCs w:val="28"/>
        </w:rPr>
      </w:pPr>
    </w:p>
    <w:p w14:paraId="1AB4EDF9" w14:textId="33BCA391" w:rsidR="002333BA" w:rsidRDefault="002333BA" w:rsidP="002333BA">
      <w:pPr>
        <w:rPr>
          <w:rFonts w:ascii="Arial Black" w:hAnsi="Arial Black"/>
          <w:b/>
          <w:sz w:val="28"/>
          <w:szCs w:val="28"/>
        </w:rPr>
      </w:pPr>
      <w:r>
        <w:rPr>
          <w:rFonts w:ascii="Arial Black" w:hAnsi="Arial Black"/>
          <w:b/>
          <w:sz w:val="28"/>
          <w:szCs w:val="28"/>
        </w:rPr>
        <w:t>U.S. SUP. CT – DEPORTATION 3</w:t>
      </w:r>
      <w:r w:rsidRPr="00995B6B">
        <w:rPr>
          <w:rFonts w:ascii="Arial Black" w:hAnsi="Arial Black"/>
          <w:b/>
          <w:sz w:val="28"/>
          <w:szCs w:val="28"/>
          <w:vertAlign w:val="superscript"/>
        </w:rPr>
        <w:t>rd</w:t>
      </w:r>
      <w:r>
        <w:rPr>
          <w:rFonts w:ascii="Arial Black" w:hAnsi="Arial Black"/>
          <w:b/>
          <w:sz w:val="28"/>
          <w:szCs w:val="28"/>
        </w:rPr>
        <w:t xml:space="preserve"> COUNTRIES – NO INJUCT</w:t>
      </w:r>
      <w:r w:rsidR="00064669">
        <w:rPr>
          <w:rFonts w:ascii="Arial Black" w:hAnsi="Arial Black"/>
          <w:b/>
          <w:sz w:val="28"/>
          <w:szCs w:val="28"/>
        </w:rPr>
        <w:t>ION</w:t>
      </w:r>
    </w:p>
    <w:p w14:paraId="2A1A1E82" w14:textId="77777777" w:rsidR="002333BA" w:rsidRPr="00B5776F" w:rsidRDefault="002333BA" w:rsidP="002333BA">
      <w:pPr>
        <w:pStyle w:val="NoSpacing"/>
        <w:rPr>
          <w:rFonts w:ascii="Times New Roman" w:hAnsi="Times New Roman"/>
          <w:bCs/>
          <w:sz w:val="24"/>
          <w:szCs w:val="24"/>
        </w:rPr>
      </w:pPr>
      <w:r w:rsidRPr="00B5776F">
        <w:rPr>
          <w:rFonts w:ascii="Times New Roman" w:hAnsi="Times New Roman"/>
          <w:sz w:val="24"/>
          <w:szCs w:val="24"/>
        </w:rPr>
        <w:t xml:space="preserve">On June 23, 2025, in </w:t>
      </w:r>
      <w:r w:rsidRPr="00B5776F">
        <w:rPr>
          <w:rFonts w:ascii="Times New Roman" w:hAnsi="Times New Roman"/>
          <w:sz w:val="24"/>
          <w:szCs w:val="24"/>
          <w:u w:val="single"/>
        </w:rPr>
        <w:t>Department of Homeland Security, et al. v. D.V.D., et al</w:t>
      </w:r>
      <w:r w:rsidRPr="00B5776F">
        <w:rPr>
          <w:rFonts w:ascii="Times New Roman" w:hAnsi="Times New Roman"/>
          <w:sz w:val="24"/>
          <w:szCs w:val="24"/>
        </w:rPr>
        <w:t xml:space="preserve">, the U.S. Supreme Court (7 to 2; Court Order – no Opinion) has set aside orders by U.S. District Court Judge Brian E. Murphy, Boston, of March 28, 2025 (temporary restraining order) and April 18, 2025 (preliminary injunction) against deporting some illegal aliens to South Sedan, since their home countries refused to accept them.  THE COURT HELD: “The April 18,2025, preliminary injunction of the United States District Court for the District of Massachusetts, case </w:t>
      </w:r>
      <w:r w:rsidRPr="00B5776F">
        <w:rPr>
          <w:rFonts w:ascii="Times New Roman" w:hAnsi="Times New Roman"/>
          <w:sz w:val="24"/>
          <w:szCs w:val="24"/>
        </w:rPr>
        <w:lastRenderedPageBreak/>
        <w:t xml:space="preserve">No. 25–cv–10676, is stayed pending the disposition of the appeal in the United States Court of Appeals for the First Circuit and disposition of a petition for a writ of certiorari, if such writ is timely sought. Should certiorari be denied, this stay shall terminate automatically. In the event certiorari is granted, the stay shall terminate upon the sending down of the judgment of the Court.”   </w:t>
      </w:r>
      <w:hyperlink r:id="rId633" w:history="1">
        <w:r w:rsidRPr="00B5776F">
          <w:rPr>
            <w:rStyle w:val="Hyperlink"/>
            <w:rFonts w:ascii="Times New Roman" w:hAnsi="Times New Roman"/>
            <w:sz w:val="24"/>
            <w:szCs w:val="24"/>
          </w:rPr>
          <w:t>https://www.supremecourt.gov/opinions/24pdf/24a1153_l5gm.pdf</w:t>
        </w:r>
      </w:hyperlink>
      <w:r w:rsidRPr="00B5776F">
        <w:rPr>
          <w:rFonts w:ascii="Times New Roman" w:hAnsi="Times New Roman"/>
          <w:sz w:val="24"/>
          <w:szCs w:val="24"/>
        </w:rPr>
        <w:t xml:space="preserve"> </w:t>
      </w:r>
    </w:p>
    <w:p w14:paraId="48DC864F" w14:textId="77777777" w:rsidR="00646EE3" w:rsidRPr="00B5776F" w:rsidRDefault="00646EE3" w:rsidP="00F326E5">
      <w:pPr>
        <w:pStyle w:val="NoSpacing"/>
        <w:rPr>
          <w:rFonts w:ascii="Times New Roman" w:hAnsi="Times New Roman"/>
          <w:sz w:val="24"/>
          <w:szCs w:val="24"/>
        </w:rPr>
      </w:pPr>
    </w:p>
    <w:p w14:paraId="3C93226A" w14:textId="77777777" w:rsidR="00230904" w:rsidRPr="00230904" w:rsidRDefault="00230904" w:rsidP="00230904">
      <w:pPr>
        <w:rPr>
          <w:rFonts w:ascii="Times New Roman" w:hAnsi="Times New Roman"/>
          <w:b/>
          <w:sz w:val="24"/>
          <w:szCs w:val="24"/>
        </w:rPr>
      </w:pPr>
      <w:r w:rsidRPr="00230904">
        <w:rPr>
          <w:rFonts w:ascii="Times New Roman" w:hAnsi="Times New Roman"/>
          <w:b/>
          <w:sz w:val="24"/>
          <w:szCs w:val="24"/>
        </w:rPr>
        <w:t xml:space="preserve">Legal lesson learned: </w:t>
      </w:r>
      <w:proofErr w:type="gramStart"/>
      <w:r w:rsidRPr="00230904">
        <w:rPr>
          <w:rFonts w:ascii="Times New Roman" w:hAnsi="Times New Roman"/>
          <w:b/>
          <w:sz w:val="24"/>
          <w:szCs w:val="24"/>
        </w:rPr>
        <w:t>The majority of</w:t>
      </w:r>
      <w:proofErr w:type="gramEnd"/>
      <w:r w:rsidRPr="00230904">
        <w:rPr>
          <w:rFonts w:ascii="Times New Roman" w:hAnsi="Times New Roman"/>
          <w:b/>
          <w:sz w:val="24"/>
          <w:szCs w:val="24"/>
        </w:rPr>
        <w:t xml:space="preserve"> the Justices have now, at least temporarily, allowed deportation to third countries; at least until the 1</w:t>
      </w:r>
      <w:r w:rsidRPr="00230904">
        <w:rPr>
          <w:rFonts w:ascii="Times New Roman" w:hAnsi="Times New Roman"/>
          <w:b/>
          <w:sz w:val="24"/>
          <w:szCs w:val="24"/>
          <w:vertAlign w:val="superscript"/>
        </w:rPr>
        <w:t>st</w:t>
      </w:r>
      <w:r w:rsidRPr="00230904">
        <w:rPr>
          <w:rFonts w:ascii="Times New Roman" w:hAnsi="Times New Roman"/>
          <w:b/>
          <w:sz w:val="24"/>
          <w:szCs w:val="24"/>
        </w:rPr>
        <w:t xml:space="preserve"> Circuit decides the case. </w:t>
      </w:r>
    </w:p>
    <w:p w14:paraId="739C0E8D" w14:textId="77777777" w:rsidR="00230904" w:rsidRPr="00230904" w:rsidRDefault="00230904" w:rsidP="00230904">
      <w:pPr>
        <w:pStyle w:val="NoSpacing"/>
        <w:ind w:left="720"/>
        <w:rPr>
          <w:rFonts w:ascii="Times New Roman" w:hAnsi="Times New Roman"/>
          <w:bCs/>
          <w:sz w:val="24"/>
          <w:szCs w:val="24"/>
        </w:rPr>
      </w:pPr>
      <w:r w:rsidRPr="00230904">
        <w:rPr>
          <w:rFonts w:ascii="Times New Roman" w:hAnsi="Times New Roman"/>
          <w:sz w:val="24"/>
          <w:szCs w:val="24"/>
        </w:rPr>
        <w:t xml:space="preserve">Note: </w:t>
      </w:r>
    </w:p>
    <w:p w14:paraId="44E73374" w14:textId="77777777" w:rsidR="00230904" w:rsidRPr="00230904" w:rsidRDefault="00230904" w:rsidP="00230904">
      <w:pPr>
        <w:pStyle w:val="NoSpacing"/>
        <w:ind w:left="720"/>
        <w:rPr>
          <w:rFonts w:ascii="Times New Roman" w:hAnsi="Times New Roman"/>
          <w:bCs/>
          <w:sz w:val="24"/>
          <w:szCs w:val="24"/>
        </w:rPr>
      </w:pPr>
    </w:p>
    <w:p w14:paraId="74ADC945" w14:textId="77777777" w:rsidR="00230904" w:rsidRPr="00230904" w:rsidRDefault="00230904" w:rsidP="00230904">
      <w:pPr>
        <w:pStyle w:val="NoSpacing"/>
        <w:ind w:left="720"/>
        <w:rPr>
          <w:rFonts w:ascii="Times New Roman" w:hAnsi="Times New Roman"/>
          <w:bCs/>
          <w:sz w:val="24"/>
          <w:szCs w:val="24"/>
        </w:rPr>
      </w:pPr>
      <w:r w:rsidRPr="00230904">
        <w:rPr>
          <w:rFonts w:ascii="Times New Roman" w:hAnsi="Times New Roman"/>
          <w:bCs/>
          <w:sz w:val="24"/>
          <w:szCs w:val="24"/>
        </w:rPr>
        <w:t xml:space="preserve">Here is the Injunction that was set aside in this case.  </w:t>
      </w:r>
      <w:r w:rsidRPr="00230904">
        <w:rPr>
          <w:rFonts w:ascii="Times New Roman" w:hAnsi="Times New Roman"/>
          <w:sz w:val="24"/>
          <w:szCs w:val="24"/>
        </w:rPr>
        <w:t>On May 21, 2025, Judge Murphy issued an ORDER ON REMEDY FOR VIOLATION OF PRELIMINARY INJUNCTION.</w:t>
      </w:r>
    </w:p>
    <w:p w14:paraId="4A0F5DFE" w14:textId="77777777" w:rsidR="00230904" w:rsidRPr="00230904" w:rsidRDefault="00230904" w:rsidP="00230904">
      <w:pPr>
        <w:pStyle w:val="NoSpacing"/>
        <w:rPr>
          <w:rFonts w:ascii="Times New Roman" w:hAnsi="Times New Roman"/>
          <w:bCs/>
          <w:sz w:val="24"/>
          <w:szCs w:val="24"/>
        </w:rPr>
      </w:pPr>
    </w:p>
    <w:p w14:paraId="4A95B1EA" w14:textId="77777777" w:rsidR="00230904" w:rsidRPr="00230904" w:rsidRDefault="00230904" w:rsidP="00230904">
      <w:pPr>
        <w:ind w:left="1440"/>
        <w:rPr>
          <w:rFonts w:ascii="Times New Roman" w:hAnsi="Times New Roman"/>
          <w:sz w:val="24"/>
          <w:szCs w:val="24"/>
        </w:rPr>
      </w:pPr>
      <w:r w:rsidRPr="00230904">
        <w:rPr>
          <w:rFonts w:ascii="Times New Roman" w:hAnsi="Times New Roman"/>
          <w:sz w:val="24"/>
          <w:szCs w:val="24"/>
        </w:rPr>
        <w:t xml:space="preserve">“Each of the six individuals must be given a reasonable fear interview in private, with the opportunity for the individual to have counsel of their choosing present during the interview, either in-person or remotely, at the individual’s choosing. </w:t>
      </w:r>
      <w:proofErr w:type="gramStart"/>
      <w:r w:rsidRPr="00230904">
        <w:rPr>
          <w:rFonts w:ascii="Times New Roman" w:hAnsi="Times New Roman"/>
          <w:sz w:val="24"/>
          <w:szCs w:val="24"/>
        </w:rPr>
        <w:t>Each individual</w:t>
      </w:r>
      <w:proofErr w:type="gramEnd"/>
      <w:r w:rsidRPr="00230904">
        <w:rPr>
          <w:rFonts w:ascii="Times New Roman" w:hAnsi="Times New Roman"/>
          <w:sz w:val="24"/>
          <w:szCs w:val="24"/>
        </w:rPr>
        <w:t xml:space="preserve"> must be afforded access to counsel that is commensurate with the access that they would have received had these procedures occurred within the United States prior to their deportation, including remote access where in-person access would otherwise be available. </w:t>
      </w:r>
      <w:proofErr w:type="gramStart"/>
      <w:r w:rsidRPr="00230904">
        <w:rPr>
          <w:rFonts w:ascii="Times New Roman" w:hAnsi="Times New Roman"/>
          <w:sz w:val="24"/>
          <w:szCs w:val="24"/>
        </w:rPr>
        <w:t>Each individual</w:t>
      </w:r>
      <w:proofErr w:type="gramEnd"/>
      <w:r w:rsidRPr="00230904">
        <w:rPr>
          <w:rFonts w:ascii="Times New Roman" w:hAnsi="Times New Roman"/>
          <w:sz w:val="24"/>
          <w:szCs w:val="24"/>
        </w:rPr>
        <w:t xml:space="preserve"> must also be afforded the name and telephone number of class counsel, as well as access to a phone, interpreter, and technology for the confidential transfer of documents that is commensurate with the access they would receive were they in DHS custody within United States borders.” </w:t>
      </w:r>
      <w:hyperlink r:id="rId634" w:history="1">
        <w:r w:rsidRPr="00230904">
          <w:rPr>
            <w:rStyle w:val="Hyperlink"/>
            <w:rFonts w:ascii="Times New Roman" w:hAnsi="Times New Roman"/>
            <w:sz w:val="24"/>
            <w:szCs w:val="24"/>
          </w:rPr>
          <w:t>https://storage.courtlistener.com/recap/gov.uscourts.mad.282404/gov.uscourts.mad.282404.119.0_1.pdf</w:t>
        </w:r>
      </w:hyperlink>
    </w:p>
    <w:p w14:paraId="6BD73346" w14:textId="77777777" w:rsidR="00230904" w:rsidRPr="00230904" w:rsidRDefault="00230904" w:rsidP="00230904">
      <w:pPr>
        <w:pStyle w:val="NoSpacing"/>
        <w:ind w:left="720"/>
        <w:rPr>
          <w:rFonts w:ascii="Times New Roman" w:hAnsi="Times New Roman"/>
          <w:bCs/>
          <w:sz w:val="24"/>
          <w:szCs w:val="24"/>
        </w:rPr>
      </w:pPr>
    </w:p>
    <w:p w14:paraId="39D6F965" w14:textId="77777777" w:rsidR="00230904" w:rsidRPr="00230904" w:rsidRDefault="00230904" w:rsidP="00230904">
      <w:pPr>
        <w:pStyle w:val="NoSpacing"/>
        <w:ind w:left="720"/>
        <w:rPr>
          <w:rFonts w:ascii="Times New Roman" w:hAnsi="Times New Roman"/>
          <w:bCs/>
          <w:sz w:val="24"/>
          <w:szCs w:val="24"/>
        </w:rPr>
      </w:pPr>
      <w:r w:rsidRPr="00230904">
        <w:rPr>
          <w:rFonts w:ascii="Times New Roman" w:hAnsi="Times New Roman"/>
          <w:sz w:val="24"/>
          <w:szCs w:val="24"/>
        </w:rPr>
        <w:t xml:space="preserve">See also the June 23, </w:t>
      </w:r>
      <w:proofErr w:type="gramStart"/>
      <w:r w:rsidRPr="00230904">
        <w:rPr>
          <w:rFonts w:ascii="Times New Roman" w:hAnsi="Times New Roman"/>
          <w:sz w:val="24"/>
          <w:szCs w:val="24"/>
        </w:rPr>
        <w:t>2025</w:t>
      </w:r>
      <w:proofErr w:type="gramEnd"/>
      <w:r w:rsidRPr="00230904">
        <w:rPr>
          <w:rFonts w:ascii="Times New Roman" w:hAnsi="Times New Roman"/>
          <w:sz w:val="24"/>
          <w:szCs w:val="24"/>
        </w:rPr>
        <w:t xml:space="preserve"> Press Release: The U.S. Department of Homeland Security announcement it will immediately resume deportation flights – “</w:t>
      </w:r>
      <w:r w:rsidRPr="00230904">
        <w:rPr>
          <w:rFonts w:ascii="Times New Roman" w:hAnsi="Times New Roman"/>
          <w:i/>
          <w:iCs/>
          <w:sz w:val="24"/>
          <w:szCs w:val="24"/>
        </w:rPr>
        <w:t>Fire up the deportation planes.”</w:t>
      </w:r>
      <w:r w:rsidRPr="00230904">
        <w:rPr>
          <w:rFonts w:ascii="Times New Roman" w:hAnsi="Times New Roman"/>
          <w:sz w:val="24"/>
          <w:szCs w:val="24"/>
        </w:rPr>
        <w:t xml:space="preserve"> </w:t>
      </w:r>
      <w:hyperlink r:id="rId635" w:history="1">
        <w:r w:rsidRPr="00230904">
          <w:rPr>
            <w:rStyle w:val="Hyperlink"/>
            <w:rFonts w:ascii="Times New Roman" w:hAnsi="Times New Roman"/>
            <w:sz w:val="24"/>
            <w:szCs w:val="24"/>
          </w:rPr>
          <w:t>https://www.supremecourt.gov/opinions/24pdf/24a1153_l5gm.pdf</w:t>
        </w:r>
      </w:hyperlink>
      <w:r w:rsidRPr="00230904">
        <w:rPr>
          <w:rFonts w:ascii="Times New Roman" w:hAnsi="Times New Roman"/>
          <w:sz w:val="24"/>
          <w:szCs w:val="24"/>
        </w:rPr>
        <w:t xml:space="preserve"> </w:t>
      </w:r>
    </w:p>
    <w:p w14:paraId="072A6000" w14:textId="77777777" w:rsidR="00230904" w:rsidRPr="00230904" w:rsidRDefault="00230904" w:rsidP="00230904">
      <w:pPr>
        <w:pStyle w:val="NoSpacing"/>
        <w:ind w:left="720"/>
        <w:rPr>
          <w:rFonts w:ascii="Times New Roman" w:hAnsi="Times New Roman"/>
          <w:bCs/>
          <w:sz w:val="24"/>
          <w:szCs w:val="24"/>
        </w:rPr>
      </w:pPr>
    </w:p>
    <w:p w14:paraId="7FB19E56" w14:textId="77777777" w:rsidR="00230904" w:rsidRPr="00230904" w:rsidRDefault="00230904" w:rsidP="00230904">
      <w:pPr>
        <w:pStyle w:val="NoSpacing"/>
        <w:ind w:left="720"/>
        <w:rPr>
          <w:rFonts w:ascii="Times New Roman" w:hAnsi="Times New Roman"/>
          <w:bCs/>
          <w:sz w:val="24"/>
          <w:szCs w:val="24"/>
        </w:rPr>
      </w:pPr>
    </w:p>
    <w:p w14:paraId="5C144E3D" w14:textId="7188FB9E" w:rsidR="00230904" w:rsidRPr="00230904" w:rsidRDefault="004F69EA" w:rsidP="00230904">
      <w:pPr>
        <w:pStyle w:val="NoSpacing"/>
        <w:ind w:left="720"/>
        <w:rPr>
          <w:rFonts w:ascii="Times New Roman" w:hAnsi="Times New Roman"/>
          <w:bCs/>
          <w:sz w:val="24"/>
          <w:szCs w:val="24"/>
        </w:rPr>
      </w:pPr>
      <w:r>
        <w:rPr>
          <w:rFonts w:ascii="Times New Roman" w:hAnsi="Times New Roman"/>
          <w:bCs/>
          <w:sz w:val="24"/>
          <w:szCs w:val="24"/>
        </w:rPr>
        <w:t xml:space="preserve">BREAKING NEWS:  </w:t>
      </w:r>
      <w:r w:rsidR="00230904" w:rsidRPr="00230904">
        <w:rPr>
          <w:rFonts w:ascii="Times New Roman" w:hAnsi="Times New Roman"/>
          <w:bCs/>
          <w:sz w:val="24"/>
          <w:szCs w:val="24"/>
        </w:rPr>
        <w:t xml:space="preserve">“Universal injunctions” by Federal District Court judges have now been struck down by U.S. Supreme Court. </w:t>
      </w:r>
      <w:r w:rsidR="00230904" w:rsidRPr="00230904">
        <w:rPr>
          <w:rFonts w:ascii="Times New Roman" w:hAnsi="Times New Roman"/>
          <w:sz w:val="24"/>
          <w:szCs w:val="24"/>
        </w:rPr>
        <w:t xml:space="preserve">The U.S. Supreme Court on June 26, </w:t>
      </w:r>
      <w:proofErr w:type="gramStart"/>
      <w:r w:rsidR="00230904" w:rsidRPr="00230904">
        <w:rPr>
          <w:rFonts w:ascii="Times New Roman" w:hAnsi="Times New Roman"/>
          <w:sz w:val="24"/>
          <w:szCs w:val="24"/>
        </w:rPr>
        <w:t>2025</w:t>
      </w:r>
      <w:proofErr w:type="gramEnd"/>
      <w:r w:rsidR="00230904" w:rsidRPr="00230904">
        <w:rPr>
          <w:rFonts w:ascii="Times New Roman" w:hAnsi="Times New Roman"/>
          <w:sz w:val="24"/>
          <w:szCs w:val="24"/>
        </w:rPr>
        <w:t xml:space="preserve"> stayed</w:t>
      </w:r>
      <w:r w:rsidR="00230904" w:rsidRPr="00230904">
        <w:rPr>
          <w:rFonts w:ascii="Times New Roman" w:hAnsi="Times New Roman"/>
          <w:bCs/>
          <w:sz w:val="24"/>
          <w:szCs w:val="24"/>
        </w:rPr>
        <w:t xml:space="preserve"> national-wide so-called </w:t>
      </w:r>
      <w:r w:rsidR="00230904" w:rsidRPr="00230904">
        <w:rPr>
          <w:rFonts w:ascii="Times New Roman" w:hAnsi="Times New Roman"/>
          <w:sz w:val="24"/>
          <w:szCs w:val="24"/>
        </w:rPr>
        <w:t>“universal injunctions</w:t>
      </w:r>
      <w:r w:rsidR="00230904" w:rsidRPr="00230904">
        <w:rPr>
          <w:rFonts w:ascii="Times New Roman" w:hAnsi="Times New Roman"/>
          <w:bCs/>
          <w:sz w:val="24"/>
          <w:szCs w:val="24"/>
        </w:rPr>
        <w:t xml:space="preserve"> by </w:t>
      </w:r>
      <w:r w:rsidR="00230904" w:rsidRPr="00230904">
        <w:rPr>
          <w:rFonts w:ascii="Times New Roman" w:hAnsi="Times New Roman"/>
          <w:sz w:val="24"/>
          <w:szCs w:val="24"/>
        </w:rPr>
        <w:t>three Federal District Court</w:t>
      </w:r>
      <w:r w:rsidR="00230904" w:rsidRPr="00230904">
        <w:rPr>
          <w:rFonts w:ascii="Times New Roman" w:hAnsi="Times New Roman"/>
          <w:bCs/>
          <w:sz w:val="24"/>
          <w:szCs w:val="24"/>
        </w:rPr>
        <w:t xml:space="preserve"> judges</w:t>
      </w:r>
      <w:r w:rsidR="00230904" w:rsidRPr="00230904">
        <w:rPr>
          <w:rFonts w:ascii="Times New Roman" w:hAnsi="Times New Roman"/>
          <w:sz w:val="24"/>
          <w:szCs w:val="24"/>
        </w:rPr>
        <w:t xml:space="preserve"> in MA, WA, MA </w:t>
      </w:r>
      <w:r w:rsidR="00230904" w:rsidRPr="00230904">
        <w:rPr>
          <w:rFonts w:ascii="Times New Roman" w:hAnsi="Times New Roman"/>
          <w:bCs/>
          <w:sz w:val="24"/>
          <w:szCs w:val="24"/>
        </w:rPr>
        <w:t xml:space="preserve">in a case challenging President Trump’s executive order on </w:t>
      </w:r>
      <w:r w:rsidR="00230904" w:rsidRPr="00230904">
        <w:rPr>
          <w:rFonts w:ascii="Times New Roman" w:hAnsi="Times New Roman"/>
          <w:sz w:val="24"/>
          <w:szCs w:val="24"/>
        </w:rPr>
        <w:t xml:space="preserve">citizenship by birth in United States.  TRUMP, PRESIDENT OF THE UNITED STATES, ET AL. v. CASA, INC., ET AL. The Court (6 to 3) held that “These injunctions—known as ‘universal injunctions’—likely exceed the equitable authority that Congress has granted to federal courts. We therefore grant the Government’s applications to partially stay the injunctions entered below.”  </w:t>
      </w:r>
      <w:hyperlink r:id="rId636" w:history="1">
        <w:r w:rsidR="00230904" w:rsidRPr="00230904">
          <w:rPr>
            <w:rStyle w:val="Hyperlink"/>
            <w:rFonts w:ascii="Times New Roman" w:hAnsi="Times New Roman"/>
            <w:sz w:val="24"/>
            <w:szCs w:val="24"/>
          </w:rPr>
          <w:t>https://www.supremecourt.gov/opinions/24pdf/24a884_8n59.pdf</w:t>
        </w:r>
      </w:hyperlink>
    </w:p>
    <w:p w14:paraId="242F105A" w14:textId="77777777" w:rsidR="00230904" w:rsidRDefault="00230904" w:rsidP="00F326E5">
      <w:pPr>
        <w:pStyle w:val="NoSpacing"/>
        <w:rPr>
          <w:rFonts w:ascii="Arial Black" w:hAnsi="Arial Black"/>
          <w:sz w:val="28"/>
          <w:szCs w:val="28"/>
        </w:rPr>
      </w:pPr>
    </w:p>
    <w:p w14:paraId="1DF25F69" w14:textId="6A1B0F40" w:rsidR="00607129" w:rsidRDefault="00607129" w:rsidP="00607129">
      <w:pPr>
        <w:pStyle w:val="NoSpacing"/>
        <w:rPr>
          <w:rFonts w:ascii="Arial Black" w:hAnsi="Arial Black"/>
          <w:sz w:val="28"/>
          <w:szCs w:val="28"/>
        </w:rPr>
      </w:pPr>
      <w:r>
        <w:rPr>
          <w:rFonts w:ascii="Arial Black" w:hAnsi="Arial Black"/>
          <w:sz w:val="28"/>
          <w:szCs w:val="28"/>
        </w:rPr>
        <w:t>3-76</w:t>
      </w:r>
    </w:p>
    <w:p w14:paraId="1938DDBC" w14:textId="77777777" w:rsidR="00646EE3" w:rsidRDefault="00646EE3" w:rsidP="00F326E5">
      <w:pPr>
        <w:pStyle w:val="NoSpacing"/>
        <w:rPr>
          <w:rFonts w:ascii="Arial Black" w:hAnsi="Arial Black"/>
          <w:sz w:val="28"/>
          <w:szCs w:val="28"/>
        </w:rPr>
      </w:pPr>
    </w:p>
    <w:p w14:paraId="4CCFD00B" w14:textId="77777777" w:rsidR="00BA3C9D" w:rsidRPr="00780C34" w:rsidRDefault="00BA3C9D" w:rsidP="00BA3C9D">
      <w:pPr>
        <w:rPr>
          <w:rFonts w:ascii="Arial Black" w:hAnsi="Arial Black"/>
          <w:b/>
          <w:sz w:val="28"/>
          <w:szCs w:val="28"/>
        </w:rPr>
      </w:pPr>
      <w:r>
        <w:rPr>
          <w:rFonts w:ascii="Arial Black" w:hAnsi="Arial Black"/>
          <w:b/>
          <w:sz w:val="28"/>
          <w:szCs w:val="28"/>
        </w:rPr>
        <w:t>U.S. SUP. CT. – PLO CAN BE SUED USA – DEATHS IN ISRAEL</w:t>
      </w:r>
    </w:p>
    <w:p w14:paraId="5B6D10E2" w14:textId="77777777" w:rsidR="00BA3C9D" w:rsidRPr="008D0D51" w:rsidRDefault="00BA3C9D" w:rsidP="00BA3C9D">
      <w:pPr>
        <w:pStyle w:val="NoSpacing"/>
        <w:rPr>
          <w:rFonts w:ascii="Times New Roman" w:hAnsi="Times New Roman"/>
          <w:sz w:val="24"/>
          <w:szCs w:val="24"/>
        </w:rPr>
      </w:pPr>
      <w:r w:rsidRPr="008D0D51">
        <w:rPr>
          <w:rFonts w:ascii="Times New Roman" w:hAnsi="Times New Roman"/>
          <w:sz w:val="24"/>
          <w:szCs w:val="24"/>
        </w:rPr>
        <w:t xml:space="preserve">On June 20, 2025, in </w:t>
      </w:r>
      <w:r w:rsidRPr="008D0D51">
        <w:rPr>
          <w:rFonts w:ascii="Times New Roman" w:hAnsi="Times New Roman"/>
          <w:sz w:val="24"/>
          <w:szCs w:val="24"/>
          <w:u w:val="single"/>
        </w:rPr>
        <w:t>Miriam Fuld, et al. v. Palestine Liberation Organization, et al</w:t>
      </w:r>
      <w:r w:rsidRPr="008D0D51">
        <w:rPr>
          <w:rFonts w:ascii="Times New Roman" w:hAnsi="Times New Roman"/>
          <w:sz w:val="24"/>
          <w:szCs w:val="24"/>
        </w:rPr>
        <w:t>., the U.S. Supreme Court held (9 to 0) that Congress did not violate 5</w:t>
      </w:r>
      <w:r w:rsidRPr="008D0D51">
        <w:rPr>
          <w:rFonts w:ascii="Times New Roman" w:hAnsi="Times New Roman"/>
          <w:sz w:val="24"/>
          <w:szCs w:val="24"/>
          <w:vertAlign w:val="superscript"/>
        </w:rPr>
        <w:t>th</w:t>
      </w:r>
      <w:r w:rsidRPr="008D0D51">
        <w:rPr>
          <w:rFonts w:ascii="Times New Roman" w:hAnsi="Times New Roman"/>
          <w:sz w:val="24"/>
          <w:szCs w:val="24"/>
        </w:rPr>
        <w:t xml:space="preserve"> or 14</w:t>
      </w:r>
      <w:r w:rsidRPr="008D0D51">
        <w:rPr>
          <w:rFonts w:ascii="Times New Roman" w:hAnsi="Times New Roman"/>
          <w:sz w:val="24"/>
          <w:szCs w:val="24"/>
          <w:vertAlign w:val="superscript"/>
        </w:rPr>
        <w:t>th</w:t>
      </w:r>
      <w:r w:rsidRPr="008D0D51">
        <w:rPr>
          <w:rFonts w:ascii="Times New Roman" w:hAnsi="Times New Roman"/>
          <w:sz w:val="24"/>
          <w:szCs w:val="24"/>
        </w:rPr>
        <w:t xml:space="preserve"> Amendments when enacting statutes giving American citizens injured or killed in Israel the right to sue PLO in U.S. District Courts, with triple damages. The Court reinstated two lawsuits, both of which were dismissed by lower federal courts for “lack of personal jurisdiction” </w:t>
      </w:r>
      <w:r w:rsidRPr="008D0D51">
        <w:rPr>
          <w:rFonts w:ascii="Times New Roman" w:hAnsi="Times New Roman"/>
          <w:sz w:val="24"/>
          <w:szCs w:val="24"/>
        </w:rPr>
        <w:lastRenderedPageBreak/>
        <w:t xml:space="preserve">because the killings occurred in Israel, not in the United States.  THE COURT HELD: “Of </w:t>
      </w:r>
      <w:proofErr w:type="gramStart"/>
      <w:r w:rsidRPr="008D0D51">
        <w:rPr>
          <w:rFonts w:ascii="Times New Roman" w:hAnsi="Times New Roman"/>
          <w:sz w:val="24"/>
          <w:szCs w:val="24"/>
        </w:rPr>
        <w:t>particular salience</w:t>
      </w:r>
      <w:proofErr w:type="gramEnd"/>
      <w:r w:rsidRPr="008D0D51">
        <w:rPr>
          <w:rFonts w:ascii="Times New Roman" w:hAnsi="Times New Roman"/>
          <w:sz w:val="24"/>
          <w:szCs w:val="24"/>
        </w:rPr>
        <w:t xml:space="preserve"> here, we have also recognized the National Government’s interest in holding accountable those who perpetrate an ‘act of violence against’ U. S. nationals—who, even when physically outside our borders, remain ‘under the particular protection’ of American law.”  </w:t>
      </w:r>
      <w:hyperlink r:id="rId637" w:history="1">
        <w:r w:rsidRPr="008D0D51">
          <w:rPr>
            <w:rStyle w:val="Hyperlink"/>
            <w:rFonts w:ascii="Times New Roman" w:hAnsi="Times New Roman"/>
            <w:sz w:val="24"/>
            <w:szCs w:val="24"/>
          </w:rPr>
          <w:t>https://www.supremecourt.gov/opinions/24pdf/24-20_f2bh.pdf</w:t>
        </w:r>
      </w:hyperlink>
      <w:r w:rsidRPr="008D0D51">
        <w:rPr>
          <w:rFonts w:ascii="Times New Roman" w:hAnsi="Times New Roman"/>
          <w:sz w:val="24"/>
          <w:szCs w:val="24"/>
        </w:rPr>
        <w:t xml:space="preserve"> </w:t>
      </w:r>
    </w:p>
    <w:p w14:paraId="351FEEC9" w14:textId="77777777" w:rsidR="00646EE3" w:rsidRPr="008D0D51" w:rsidRDefault="00646EE3" w:rsidP="00F326E5">
      <w:pPr>
        <w:pStyle w:val="NoSpacing"/>
        <w:rPr>
          <w:rFonts w:ascii="Times New Roman" w:hAnsi="Times New Roman"/>
          <w:sz w:val="24"/>
          <w:szCs w:val="24"/>
        </w:rPr>
      </w:pPr>
    </w:p>
    <w:p w14:paraId="1C0C78CB" w14:textId="77777777" w:rsidR="008D0D51" w:rsidRPr="008D0D51" w:rsidRDefault="008D0D51" w:rsidP="008D0D51">
      <w:pPr>
        <w:pStyle w:val="NoSpacing"/>
        <w:rPr>
          <w:rFonts w:ascii="Times New Roman" w:hAnsi="Times New Roman"/>
          <w:b/>
          <w:bCs/>
          <w:sz w:val="24"/>
          <w:szCs w:val="24"/>
        </w:rPr>
      </w:pPr>
      <w:r w:rsidRPr="008D0D51">
        <w:rPr>
          <w:rFonts w:ascii="Times New Roman" w:hAnsi="Times New Roman"/>
          <w:b/>
          <w:sz w:val="24"/>
          <w:szCs w:val="24"/>
        </w:rPr>
        <w:t xml:space="preserve">Legal lesson learned:  </w:t>
      </w:r>
      <w:r w:rsidRPr="008D0D51">
        <w:rPr>
          <w:rFonts w:ascii="Times New Roman" w:hAnsi="Times New Roman"/>
          <w:b/>
          <w:bCs/>
          <w:sz w:val="24"/>
          <w:szCs w:val="24"/>
        </w:rPr>
        <w:t>C</w:t>
      </w:r>
      <w:r w:rsidRPr="008D0D51">
        <w:rPr>
          <w:rFonts w:ascii="Times New Roman" w:hAnsi="Times New Roman"/>
          <w:b/>
          <w:sz w:val="24"/>
          <w:szCs w:val="24"/>
        </w:rPr>
        <w:t>ollecting the damages</w:t>
      </w:r>
      <w:r w:rsidRPr="008D0D51">
        <w:rPr>
          <w:rFonts w:ascii="Times New Roman" w:hAnsi="Times New Roman"/>
          <w:b/>
          <w:bCs/>
          <w:sz w:val="24"/>
          <w:szCs w:val="24"/>
        </w:rPr>
        <w:t xml:space="preserve"> against PLO </w:t>
      </w:r>
      <w:r w:rsidRPr="008D0D51">
        <w:rPr>
          <w:rFonts w:ascii="Times New Roman" w:hAnsi="Times New Roman"/>
          <w:b/>
          <w:sz w:val="24"/>
          <w:szCs w:val="24"/>
        </w:rPr>
        <w:t xml:space="preserve">will still be a challenge unless PLO assets can be found in USA.  </w:t>
      </w:r>
    </w:p>
    <w:p w14:paraId="02373C2F" w14:textId="77777777" w:rsidR="008D0D51" w:rsidRDefault="008D0D51" w:rsidP="00F326E5">
      <w:pPr>
        <w:pStyle w:val="NoSpacing"/>
        <w:rPr>
          <w:rFonts w:ascii="Arial Black" w:hAnsi="Arial Black"/>
          <w:sz w:val="28"/>
          <w:szCs w:val="28"/>
        </w:rPr>
      </w:pPr>
    </w:p>
    <w:p w14:paraId="332B7912" w14:textId="77777777" w:rsidR="00646EE3" w:rsidRDefault="00646EE3" w:rsidP="00F326E5">
      <w:pPr>
        <w:pStyle w:val="NoSpacing"/>
        <w:rPr>
          <w:rFonts w:ascii="Arial Black" w:hAnsi="Arial Black"/>
          <w:sz w:val="28"/>
          <w:szCs w:val="28"/>
        </w:rPr>
      </w:pPr>
    </w:p>
    <w:p w14:paraId="116752D3" w14:textId="2518601A" w:rsidR="00F30E91" w:rsidRDefault="00043E2B" w:rsidP="00F326E5">
      <w:pPr>
        <w:pStyle w:val="NoSpacing"/>
        <w:rPr>
          <w:rFonts w:ascii="Arial Black" w:hAnsi="Arial Black"/>
          <w:sz w:val="28"/>
          <w:szCs w:val="28"/>
        </w:rPr>
      </w:pPr>
      <w:r>
        <w:rPr>
          <w:rFonts w:ascii="Arial Black" w:hAnsi="Arial Black"/>
          <w:sz w:val="28"/>
          <w:szCs w:val="28"/>
        </w:rPr>
        <w:t>3-75</w:t>
      </w:r>
    </w:p>
    <w:p w14:paraId="0BF8DDB4" w14:textId="77777777" w:rsidR="00043E2B" w:rsidRDefault="00043E2B" w:rsidP="00F326E5">
      <w:pPr>
        <w:pStyle w:val="NoSpacing"/>
        <w:rPr>
          <w:rFonts w:ascii="Arial Black" w:hAnsi="Arial Black"/>
          <w:sz w:val="28"/>
          <w:szCs w:val="28"/>
        </w:rPr>
      </w:pPr>
    </w:p>
    <w:p w14:paraId="66CEB8BC" w14:textId="77777777" w:rsidR="00043E2B" w:rsidRPr="006F2B87" w:rsidRDefault="00043E2B" w:rsidP="00043E2B">
      <w:pPr>
        <w:pStyle w:val="NoSpacing"/>
        <w:rPr>
          <w:rFonts w:ascii="Arial Black" w:hAnsi="Arial Black"/>
          <w:bCs/>
          <w:sz w:val="28"/>
          <w:szCs w:val="28"/>
        </w:rPr>
      </w:pPr>
      <w:r w:rsidRPr="006F2B87">
        <w:rPr>
          <w:rFonts w:ascii="Arial Black" w:hAnsi="Arial Black"/>
          <w:sz w:val="28"/>
          <w:szCs w:val="28"/>
        </w:rPr>
        <w:t>RI: 20 STATES – FEMA GRANTS</w:t>
      </w:r>
      <w:r>
        <w:rPr>
          <w:rFonts w:ascii="Arial Black" w:hAnsi="Arial Black"/>
          <w:bCs/>
          <w:sz w:val="28"/>
          <w:szCs w:val="28"/>
        </w:rPr>
        <w:t xml:space="preserve"> -</w:t>
      </w:r>
      <w:r w:rsidRPr="006F2B87">
        <w:rPr>
          <w:rFonts w:ascii="Arial Black" w:hAnsi="Arial Black"/>
          <w:sz w:val="28"/>
          <w:szCs w:val="28"/>
        </w:rPr>
        <w:t xml:space="preserve"> “HOSTAGE” </w:t>
      </w:r>
      <w:r>
        <w:rPr>
          <w:rFonts w:ascii="Arial Black" w:hAnsi="Arial Black"/>
          <w:bCs/>
          <w:sz w:val="28"/>
          <w:szCs w:val="28"/>
        </w:rPr>
        <w:t>IMMIGRATION</w:t>
      </w:r>
    </w:p>
    <w:p w14:paraId="616EAEA7" w14:textId="185FF7E7" w:rsidR="00043E2B" w:rsidRPr="00C8032B" w:rsidRDefault="00C8032B" w:rsidP="00F326E5">
      <w:pPr>
        <w:pStyle w:val="NoSpacing"/>
        <w:rPr>
          <w:rFonts w:ascii="Times New Roman" w:hAnsi="Times New Roman"/>
          <w:sz w:val="24"/>
          <w:szCs w:val="24"/>
        </w:rPr>
      </w:pPr>
      <w:r w:rsidRPr="00C8032B">
        <w:rPr>
          <w:rFonts w:ascii="Times New Roman" w:hAnsi="Times New Roman"/>
          <w:sz w:val="24"/>
          <w:szCs w:val="24"/>
        </w:rPr>
        <w:t xml:space="preserve">On May 13, 2025, in </w:t>
      </w:r>
      <w:r w:rsidRPr="00C8032B">
        <w:rPr>
          <w:rFonts w:ascii="Times New Roman" w:hAnsi="Times New Roman"/>
          <w:sz w:val="24"/>
          <w:szCs w:val="24"/>
          <w:u w:val="single"/>
        </w:rPr>
        <w:t>State of Illinois, et al. v. FEMA, et al</w:t>
      </w:r>
      <w:r w:rsidRPr="00C8032B">
        <w:rPr>
          <w:rFonts w:ascii="Times New Roman" w:hAnsi="Times New Roman"/>
          <w:sz w:val="24"/>
          <w:szCs w:val="24"/>
        </w:rPr>
        <w:t xml:space="preserve">., twenty states filed a lawsuit in the United States District Court for District of Rhode Island, seeking a declaratory judgment that U.S. Department of Homeland Security cannot deny FEMA grants unless states agree to “Civil Immigration Conditions.” The states allege: “they seek to require many States to abandon well-considered policies that advance public safety by promoting trust between law enforcement and immigrant communities as a condition on continued funding of emergency management programs unrelated to immigration enforcement.” </w:t>
      </w:r>
      <w:hyperlink r:id="rId638" w:history="1">
        <w:r w:rsidRPr="00C8032B">
          <w:rPr>
            <w:rStyle w:val="Hyperlink"/>
            <w:rFonts w:ascii="Times New Roman" w:hAnsi="Times New Roman"/>
            <w:sz w:val="24"/>
            <w:szCs w:val="24"/>
          </w:rPr>
          <w:t>file:///C:/Users/lawre/AppData/Local/Microsoft/Windows/INetCache/Content.Outlook/PSWGR3E2/state-of-illinois-et-al-v-federal-emergency-management-agency-et-al-complaint-2025.pdf</w:t>
        </w:r>
      </w:hyperlink>
    </w:p>
    <w:p w14:paraId="240B7686" w14:textId="77777777" w:rsidR="00043E2B" w:rsidRPr="00C8032B" w:rsidRDefault="00043E2B" w:rsidP="00F326E5">
      <w:pPr>
        <w:pStyle w:val="NoSpacing"/>
        <w:rPr>
          <w:rFonts w:ascii="Times New Roman" w:hAnsi="Times New Roman"/>
          <w:sz w:val="24"/>
          <w:szCs w:val="24"/>
        </w:rPr>
      </w:pPr>
    </w:p>
    <w:p w14:paraId="555FF66F" w14:textId="77777777" w:rsidR="00D17755" w:rsidRPr="00D17755" w:rsidRDefault="00D17755" w:rsidP="00D17755">
      <w:pPr>
        <w:pStyle w:val="NoSpacing"/>
        <w:rPr>
          <w:rFonts w:ascii="Times New Roman" w:hAnsi="Times New Roman"/>
          <w:b/>
          <w:bCs/>
          <w:sz w:val="24"/>
          <w:szCs w:val="24"/>
        </w:rPr>
      </w:pPr>
      <w:r w:rsidRPr="00D17755">
        <w:rPr>
          <w:rFonts w:ascii="Times New Roman" w:hAnsi="Times New Roman"/>
          <w:b/>
          <w:sz w:val="24"/>
          <w:szCs w:val="24"/>
        </w:rPr>
        <w:t xml:space="preserve">Legal Lesson Learned: The case should be closely followed by all those seeking FEMA grants. </w:t>
      </w:r>
    </w:p>
    <w:p w14:paraId="72F07C95" w14:textId="77777777" w:rsidR="00C8032B" w:rsidRPr="00D17755" w:rsidRDefault="00C8032B" w:rsidP="00F326E5">
      <w:pPr>
        <w:pStyle w:val="NoSpacing"/>
        <w:rPr>
          <w:rFonts w:ascii="Times New Roman" w:hAnsi="Times New Roman"/>
          <w:sz w:val="24"/>
          <w:szCs w:val="24"/>
        </w:rPr>
      </w:pPr>
    </w:p>
    <w:p w14:paraId="025FFEAB" w14:textId="77777777" w:rsidR="00C8032B" w:rsidRDefault="00C8032B" w:rsidP="00F326E5">
      <w:pPr>
        <w:pStyle w:val="NoSpacing"/>
        <w:rPr>
          <w:rFonts w:ascii="Arial Black" w:hAnsi="Arial Black"/>
          <w:sz w:val="28"/>
          <w:szCs w:val="28"/>
        </w:rPr>
      </w:pPr>
    </w:p>
    <w:p w14:paraId="7EB68F6D" w14:textId="0EE8570B" w:rsidR="006E3103" w:rsidRDefault="006E3103" w:rsidP="00F326E5">
      <w:pPr>
        <w:pStyle w:val="NoSpacing"/>
        <w:rPr>
          <w:rFonts w:ascii="Arial Black" w:hAnsi="Arial Black"/>
          <w:sz w:val="28"/>
          <w:szCs w:val="28"/>
        </w:rPr>
      </w:pPr>
      <w:r>
        <w:rPr>
          <w:rFonts w:ascii="Arial Black" w:hAnsi="Arial Black"/>
          <w:sz w:val="28"/>
          <w:szCs w:val="28"/>
        </w:rPr>
        <w:t>3-74</w:t>
      </w:r>
    </w:p>
    <w:p w14:paraId="49957BD5" w14:textId="77777777" w:rsidR="006E3103" w:rsidRDefault="006E3103" w:rsidP="00F326E5">
      <w:pPr>
        <w:pStyle w:val="NoSpacing"/>
        <w:rPr>
          <w:rFonts w:ascii="Arial Black" w:hAnsi="Arial Black"/>
          <w:sz w:val="28"/>
          <w:szCs w:val="28"/>
        </w:rPr>
      </w:pPr>
    </w:p>
    <w:p w14:paraId="4AE51849" w14:textId="77777777" w:rsidR="008D4905" w:rsidRDefault="008D4905" w:rsidP="008D4905">
      <w:pPr>
        <w:rPr>
          <w:b/>
        </w:rPr>
      </w:pPr>
      <w:r>
        <w:rPr>
          <w:rFonts w:ascii="Arial Black" w:hAnsi="Arial Black"/>
          <w:b/>
          <w:sz w:val="28"/>
          <w:szCs w:val="28"/>
        </w:rPr>
        <w:t>TX: VENEZUELAN ALIENS - DEPORTATIONS INJUNCTION</w:t>
      </w:r>
    </w:p>
    <w:p w14:paraId="51E19264" w14:textId="77777777" w:rsidR="008D4905" w:rsidRPr="008D4905" w:rsidRDefault="008D4905" w:rsidP="008D4905">
      <w:pPr>
        <w:pStyle w:val="NoSpacing"/>
        <w:rPr>
          <w:rFonts w:ascii="Times New Roman" w:hAnsi="Times New Roman"/>
          <w:sz w:val="24"/>
          <w:szCs w:val="24"/>
        </w:rPr>
      </w:pPr>
      <w:r w:rsidRPr="008D4905">
        <w:rPr>
          <w:rFonts w:ascii="Times New Roman" w:hAnsi="Times New Roman"/>
          <w:sz w:val="24"/>
          <w:szCs w:val="24"/>
        </w:rPr>
        <w:t xml:space="preserve">On May 1, 2025, in </w:t>
      </w:r>
      <w:r w:rsidRPr="008D4905">
        <w:rPr>
          <w:rFonts w:ascii="Times New Roman" w:hAnsi="Times New Roman"/>
          <w:sz w:val="24"/>
          <w:szCs w:val="24"/>
          <w:u w:val="single"/>
        </w:rPr>
        <w:t>J.A.V., et al. v. Donal J. Trump, et al.</w:t>
      </w:r>
      <w:r w:rsidRPr="008D4905">
        <w:rPr>
          <w:rFonts w:ascii="Times New Roman" w:hAnsi="Times New Roman"/>
          <w:sz w:val="24"/>
          <w:szCs w:val="24"/>
        </w:rPr>
        <w:t xml:space="preserve">, U. S. District Court Judge Fernando Rodriguez, Jr., United States District Court for Southern District of Texas, Brownsville Division, held that President does not have the lawful authority under the 1798 Alien Enemies Act (“AEA”) to deport Venezuelan aliens without a hearing and order by an Immigration judge.  </w:t>
      </w:r>
      <w:hyperlink r:id="rId639" w:history="1">
        <w:r w:rsidRPr="008D4905">
          <w:rPr>
            <w:rStyle w:val="Hyperlink"/>
            <w:rFonts w:ascii="Times New Roman" w:hAnsi="Times New Roman"/>
            <w:sz w:val="24"/>
            <w:szCs w:val="24"/>
          </w:rPr>
          <w:t>https://d3i6fh83elv35t.cloudfront.net/static/2025/05/gov.uscourts.txsd_.2000771.58.0_1.pdf</w:t>
        </w:r>
      </w:hyperlink>
      <w:r w:rsidRPr="008D4905">
        <w:rPr>
          <w:rFonts w:ascii="Times New Roman" w:hAnsi="Times New Roman"/>
          <w:sz w:val="24"/>
          <w:szCs w:val="24"/>
        </w:rPr>
        <w:t xml:space="preserve"> </w:t>
      </w:r>
    </w:p>
    <w:p w14:paraId="55B9F96B" w14:textId="77777777" w:rsidR="008D4905" w:rsidRPr="008D4905" w:rsidRDefault="008D4905" w:rsidP="008D4905">
      <w:pPr>
        <w:pStyle w:val="NoSpacing"/>
        <w:rPr>
          <w:rFonts w:ascii="Times New Roman" w:hAnsi="Times New Roman"/>
          <w:sz w:val="24"/>
          <w:szCs w:val="24"/>
        </w:rPr>
      </w:pPr>
    </w:p>
    <w:p w14:paraId="4392730C" w14:textId="77777777" w:rsidR="002450F2" w:rsidRPr="002450F2" w:rsidRDefault="002450F2" w:rsidP="002450F2">
      <w:pPr>
        <w:rPr>
          <w:rFonts w:ascii="Times New Roman" w:hAnsi="Times New Roman"/>
          <w:b/>
          <w:bCs/>
          <w:sz w:val="24"/>
          <w:szCs w:val="24"/>
        </w:rPr>
      </w:pPr>
      <w:r w:rsidRPr="002450F2">
        <w:rPr>
          <w:rFonts w:ascii="Times New Roman" w:hAnsi="Times New Roman"/>
          <w:b/>
          <w:sz w:val="24"/>
          <w:szCs w:val="24"/>
        </w:rPr>
        <w:t>Legal Lesson Learned: The Trump Administration will likely appeal this decision to the 5</w:t>
      </w:r>
      <w:r w:rsidRPr="002450F2">
        <w:rPr>
          <w:rFonts w:ascii="Times New Roman" w:hAnsi="Times New Roman"/>
          <w:b/>
          <w:sz w:val="24"/>
          <w:szCs w:val="24"/>
          <w:vertAlign w:val="superscript"/>
        </w:rPr>
        <w:t>th</w:t>
      </w:r>
      <w:r w:rsidRPr="002450F2">
        <w:rPr>
          <w:rFonts w:ascii="Times New Roman" w:hAnsi="Times New Roman"/>
          <w:b/>
          <w:sz w:val="24"/>
          <w:szCs w:val="24"/>
        </w:rPr>
        <w:t xml:space="preserve"> Circuit Court of Appeals in New Orleans</w:t>
      </w:r>
      <w:r w:rsidRPr="002450F2">
        <w:rPr>
          <w:rFonts w:ascii="Times New Roman" w:hAnsi="Times New Roman"/>
          <w:b/>
          <w:bCs/>
          <w:sz w:val="24"/>
          <w:szCs w:val="24"/>
        </w:rPr>
        <w:t xml:space="preserve"> </w:t>
      </w:r>
      <w:r w:rsidRPr="002450F2">
        <w:rPr>
          <w:rFonts w:ascii="Times New Roman" w:hAnsi="Times New Roman"/>
          <w:b/>
          <w:sz w:val="24"/>
          <w:szCs w:val="24"/>
        </w:rPr>
        <w:t xml:space="preserve">and ultimately </w:t>
      </w:r>
      <w:r w:rsidRPr="002450F2">
        <w:rPr>
          <w:rFonts w:ascii="Times New Roman" w:hAnsi="Times New Roman"/>
          <w:b/>
          <w:bCs/>
          <w:sz w:val="24"/>
          <w:szCs w:val="24"/>
        </w:rPr>
        <w:t xml:space="preserve">may </w:t>
      </w:r>
      <w:r w:rsidRPr="002450F2">
        <w:rPr>
          <w:rFonts w:ascii="Times New Roman" w:hAnsi="Times New Roman"/>
          <w:b/>
          <w:sz w:val="24"/>
          <w:szCs w:val="24"/>
        </w:rPr>
        <w:t xml:space="preserve">seek review by the U.S. Supreme Court.  </w:t>
      </w:r>
    </w:p>
    <w:p w14:paraId="645459B7" w14:textId="77777777" w:rsidR="002450F2" w:rsidRPr="002450F2" w:rsidRDefault="002450F2" w:rsidP="002450F2">
      <w:pPr>
        <w:pStyle w:val="NoSpacing"/>
        <w:ind w:left="720"/>
        <w:rPr>
          <w:rFonts w:ascii="Times New Roman" w:hAnsi="Times New Roman"/>
          <w:sz w:val="24"/>
          <w:szCs w:val="24"/>
        </w:rPr>
      </w:pPr>
      <w:r w:rsidRPr="002450F2">
        <w:rPr>
          <w:rFonts w:ascii="Times New Roman" w:hAnsi="Times New Roman"/>
          <w:sz w:val="24"/>
          <w:szCs w:val="24"/>
        </w:rPr>
        <w:t xml:space="preserve">Note: </w:t>
      </w:r>
    </w:p>
    <w:p w14:paraId="1302B0D4" w14:textId="77777777" w:rsidR="002450F2" w:rsidRPr="002450F2" w:rsidRDefault="002450F2" w:rsidP="002450F2">
      <w:pPr>
        <w:pStyle w:val="NoSpacing"/>
        <w:ind w:left="720"/>
        <w:rPr>
          <w:rFonts w:ascii="Times New Roman" w:hAnsi="Times New Roman"/>
          <w:sz w:val="24"/>
          <w:szCs w:val="24"/>
        </w:rPr>
      </w:pPr>
    </w:p>
    <w:p w14:paraId="69466558" w14:textId="77777777" w:rsidR="002450F2" w:rsidRPr="002450F2" w:rsidRDefault="002450F2" w:rsidP="002450F2">
      <w:pPr>
        <w:pStyle w:val="NoSpacing"/>
        <w:numPr>
          <w:ilvl w:val="0"/>
          <w:numId w:val="26"/>
        </w:numPr>
        <w:rPr>
          <w:rFonts w:ascii="Times New Roman" w:hAnsi="Times New Roman"/>
          <w:sz w:val="24"/>
          <w:szCs w:val="24"/>
        </w:rPr>
      </w:pPr>
      <w:r w:rsidRPr="002450F2">
        <w:rPr>
          <w:rFonts w:ascii="Times New Roman" w:hAnsi="Times New Roman"/>
          <w:sz w:val="24"/>
          <w:szCs w:val="24"/>
        </w:rPr>
        <w:t xml:space="preserve">Judge Rodriguez confirmed that deportations can continue under the Immigration and Nationality Act, after a hearing and order by an Immigration judge.  Judge Rodriguez wrote: “To the extent that J.A.V., J.G.G., and W.G.H., or any member of the certified class, have been detained or are detained in the future pursuant to the Immigration and Nationality Act, they have not sought and do not obtain any relief. In addition, the conclusions of the Court do not affect Respondents’ ability to continue removal proceedings or enforcement of any final orders of removal issued against J.A.V., J.G.G., and W.G.H, or against any member of the certified class, under the Immigration and Nationality Act.” Read this article: </w:t>
      </w:r>
      <w:hyperlink r:id="rId640" w:history="1">
        <w:r w:rsidRPr="002450F2">
          <w:rPr>
            <w:rStyle w:val="Hyperlink"/>
            <w:rFonts w:ascii="Times New Roman" w:hAnsi="Times New Roman"/>
            <w:sz w:val="24"/>
            <w:szCs w:val="24"/>
          </w:rPr>
          <w:t>https://www.pbs.org/newshour/politics/what-is-the-legal-process-for-deporting-u-s-green-card-and-visa-holders</w:t>
        </w:r>
      </w:hyperlink>
      <w:r w:rsidRPr="002450F2">
        <w:rPr>
          <w:rFonts w:ascii="Times New Roman" w:hAnsi="Times New Roman"/>
          <w:sz w:val="24"/>
          <w:szCs w:val="24"/>
        </w:rPr>
        <w:t xml:space="preserve"> </w:t>
      </w:r>
    </w:p>
    <w:p w14:paraId="4CAAC0E0" w14:textId="77777777" w:rsidR="002450F2" w:rsidRPr="002450F2" w:rsidRDefault="002450F2" w:rsidP="002450F2">
      <w:pPr>
        <w:pStyle w:val="ListParagraph"/>
        <w:rPr>
          <w:rFonts w:ascii="Times New Roman" w:hAnsi="Times New Roman" w:cs="Times New Roman"/>
          <w:sz w:val="24"/>
          <w:szCs w:val="24"/>
        </w:rPr>
      </w:pPr>
    </w:p>
    <w:p w14:paraId="4DB63E65" w14:textId="77777777" w:rsidR="002450F2" w:rsidRPr="002450F2" w:rsidRDefault="002450F2" w:rsidP="002450F2">
      <w:pPr>
        <w:pStyle w:val="NoSpacing"/>
        <w:numPr>
          <w:ilvl w:val="0"/>
          <w:numId w:val="26"/>
        </w:numPr>
        <w:rPr>
          <w:rFonts w:ascii="Times New Roman" w:hAnsi="Times New Roman"/>
          <w:sz w:val="24"/>
          <w:szCs w:val="24"/>
        </w:rPr>
      </w:pPr>
      <w:r w:rsidRPr="002450F2">
        <w:rPr>
          <w:rFonts w:ascii="Times New Roman" w:hAnsi="Times New Roman"/>
          <w:sz w:val="24"/>
          <w:szCs w:val="24"/>
        </w:rPr>
        <w:t xml:space="preserve">See April 10, </w:t>
      </w:r>
      <w:proofErr w:type="gramStart"/>
      <w:r w:rsidRPr="002450F2">
        <w:rPr>
          <w:rFonts w:ascii="Times New Roman" w:hAnsi="Times New Roman"/>
          <w:sz w:val="24"/>
          <w:szCs w:val="24"/>
        </w:rPr>
        <w:t>2025</w:t>
      </w:r>
      <w:proofErr w:type="gramEnd"/>
      <w:r w:rsidRPr="002450F2">
        <w:rPr>
          <w:rFonts w:ascii="Times New Roman" w:hAnsi="Times New Roman"/>
          <w:sz w:val="24"/>
          <w:szCs w:val="24"/>
        </w:rPr>
        <w:t xml:space="preserve"> Statement by U.S. Supreme Court Justice Sonia Sotomayor in another case challenging removal of alien: </w:t>
      </w:r>
      <w:proofErr w:type="spellStart"/>
      <w:r w:rsidRPr="002450F2">
        <w:rPr>
          <w:rFonts w:ascii="Times New Roman" w:hAnsi="Times New Roman"/>
          <w:sz w:val="24"/>
          <w:szCs w:val="24"/>
        </w:rPr>
        <w:t>Kilmar</w:t>
      </w:r>
      <w:proofErr w:type="spellEnd"/>
      <w:r w:rsidRPr="002450F2">
        <w:rPr>
          <w:rFonts w:ascii="Times New Roman" w:hAnsi="Times New Roman"/>
          <w:sz w:val="24"/>
          <w:szCs w:val="24"/>
        </w:rPr>
        <w:t xml:space="preserve"> Armando Abrego Garcia.  “United States removed </w:t>
      </w:r>
      <w:proofErr w:type="spellStart"/>
      <w:r w:rsidRPr="002450F2">
        <w:rPr>
          <w:rFonts w:ascii="Times New Roman" w:hAnsi="Times New Roman"/>
          <w:sz w:val="24"/>
          <w:szCs w:val="24"/>
        </w:rPr>
        <w:t>Kilmar</w:t>
      </w:r>
      <w:proofErr w:type="spellEnd"/>
      <w:r w:rsidRPr="002450F2">
        <w:rPr>
          <w:rFonts w:ascii="Times New Roman" w:hAnsi="Times New Roman"/>
          <w:sz w:val="24"/>
          <w:szCs w:val="24"/>
        </w:rPr>
        <w:t xml:space="preserve"> Armando Abrego Garcia from the United States to El Salvador, where he is currently detained in the Center for Terrorism Confinement (CECOT). The United States acknowledges that Abrego Garcia was subject to a withholding order forbidding his removal to El Salvador, and that the removal to El Salvador was therefore illegal. *** In the proceedings on remand, the District Court should continue to ensure that the Government lives up to its obligations to follow the law.” </w:t>
      </w:r>
      <w:hyperlink r:id="rId641" w:history="1">
        <w:r w:rsidRPr="002450F2">
          <w:rPr>
            <w:rStyle w:val="Hyperlink"/>
            <w:rFonts w:ascii="Times New Roman" w:hAnsi="Times New Roman"/>
            <w:sz w:val="24"/>
            <w:szCs w:val="24"/>
          </w:rPr>
          <w:t>https://www.supremecourt.gov/opinions/24pdf/24a949_lkhn.pdf</w:t>
        </w:r>
      </w:hyperlink>
      <w:r w:rsidRPr="002450F2">
        <w:rPr>
          <w:rFonts w:ascii="Times New Roman" w:hAnsi="Times New Roman"/>
          <w:sz w:val="24"/>
          <w:szCs w:val="24"/>
        </w:rPr>
        <w:t xml:space="preserve"> </w:t>
      </w:r>
    </w:p>
    <w:p w14:paraId="63848D8B" w14:textId="77777777" w:rsidR="002450F2" w:rsidRPr="002450F2" w:rsidRDefault="002450F2" w:rsidP="002450F2">
      <w:pPr>
        <w:pStyle w:val="NoSpacing"/>
        <w:rPr>
          <w:rFonts w:ascii="Times New Roman" w:hAnsi="Times New Roman"/>
          <w:sz w:val="24"/>
          <w:szCs w:val="24"/>
        </w:rPr>
      </w:pPr>
    </w:p>
    <w:p w14:paraId="6F36FA11" w14:textId="77777777" w:rsidR="002450F2" w:rsidRPr="002450F2" w:rsidRDefault="002450F2" w:rsidP="002450F2">
      <w:pPr>
        <w:pStyle w:val="NoSpacing"/>
        <w:numPr>
          <w:ilvl w:val="0"/>
          <w:numId w:val="26"/>
        </w:numPr>
        <w:rPr>
          <w:rFonts w:ascii="Times New Roman" w:hAnsi="Times New Roman"/>
          <w:sz w:val="24"/>
          <w:szCs w:val="24"/>
        </w:rPr>
      </w:pPr>
      <w:r w:rsidRPr="002450F2">
        <w:rPr>
          <w:rFonts w:ascii="Times New Roman" w:hAnsi="Times New Roman"/>
          <w:sz w:val="24"/>
          <w:szCs w:val="24"/>
        </w:rPr>
        <w:t>Judge Rodriguez was appointed by President Trump during his first Term and assumed office on June 12, 2018.</w:t>
      </w:r>
    </w:p>
    <w:p w14:paraId="058A081E" w14:textId="77777777" w:rsidR="006E3103" w:rsidRDefault="006E3103" w:rsidP="00F326E5">
      <w:pPr>
        <w:pStyle w:val="NoSpacing"/>
        <w:rPr>
          <w:rFonts w:ascii="Arial Black" w:hAnsi="Arial Black"/>
          <w:sz w:val="28"/>
          <w:szCs w:val="28"/>
        </w:rPr>
      </w:pPr>
    </w:p>
    <w:p w14:paraId="425E149F" w14:textId="77777777" w:rsidR="006E3103" w:rsidRDefault="006E3103" w:rsidP="00F326E5">
      <w:pPr>
        <w:pStyle w:val="NoSpacing"/>
        <w:rPr>
          <w:rFonts w:ascii="Arial Black" w:hAnsi="Arial Black"/>
          <w:sz w:val="28"/>
          <w:szCs w:val="28"/>
        </w:rPr>
      </w:pPr>
    </w:p>
    <w:p w14:paraId="5C147FC4" w14:textId="3CA934DF" w:rsidR="00FB7D37" w:rsidRDefault="00032BF1" w:rsidP="00F326E5">
      <w:pPr>
        <w:pStyle w:val="NoSpacing"/>
        <w:rPr>
          <w:rFonts w:ascii="Arial Black" w:hAnsi="Arial Black"/>
          <w:sz w:val="28"/>
          <w:szCs w:val="28"/>
        </w:rPr>
      </w:pPr>
      <w:r>
        <w:rPr>
          <w:rFonts w:ascii="Arial Black" w:hAnsi="Arial Black"/>
          <w:sz w:val="28"/>
          <w:szCs w:val="28"/>
        </w:rPr>
        <w:t>3-73</w:t>
      </w:r>
    </w:p>
    <w:p w14:paraId="57CD5303" w14:textId="77777777" w:rsidR="00032BF1" w:rsidRDefault="00032BF1" w:rsidP="00F326E5">
      <w:pPr>
        <w:pStyle w:val="NoSpacing"/>
        <w:rPr>
          <w:rFonts w:ascii="Arial Black" w:hAnsi="Arial Black"/>
          <w:sz w:val="28"/>
          <w:szCs w:val="28"/>
        </w:rPr>
      </w:pPr>
    </w:p>
    <w:p w14:paraId="7ADF4968" w14:textId="77777777" w:rsidR="00DD3267" w:rsidRDefault="00DD3267" w:rsidP="00DD3267">
      <w:pPr>
        <w:pStyle w:val="NoSpacing"/>
        <w:rPr>
          <w:rFonts w:ascii="Arial Black" w:hAnsi="Arial Black"/>
          <w:bCs/>
          <w:sz w:val="28"/>
          <w:szCs w:val="28"/>
        </w:rPr>
      </w:pPr>
      <w:r>
        <w:rPr>
          <w:rFonts w:ascii="Arial Black" w:hAnsi="Arial Black"/>
          <w:sz w:val="28"/>
          <w:szCs w:val="28"/>
        </w:rPr>
        <w:t>U.S. SUP. CT:  “GHOST GUNS” – FRAMES / SERIAL NUMBERS</w:t>
      </w:r>
    </w:p>
    <w:p w14:paraId="63102279" w14:textId="77777777" w:rsidR="00DD3267" w:rsidRDefault="00DD3267" w:rsidP="00DD3267">
      <w:pPr>
        <w:pStyle w:val="NoSpacing"/>
        <w:rPr>
          <w:bCs/>
        </w:rPr>
      </w:pPr>
    </w:p>
    <w:p w14:paraId="7D077A5C" w14:textId="77777777" w:rsidR="00DD3267" w:rsidRPr="005A324A" w:rsidRDefault="00DD3267" w:rsidP="00DD3267">
      <w:pPr>
        <w:pStyle w:val="NoSpacing"/>
        <w:rPr>
          <w:rFonts w:ascii="Times New Roman" w:hAnsi="Times New Roman"/>
          <w:bCs/>
          <w:sz w:val="24"/>
          <w:szCs w:val="24"/>
        </w:rPr>
      </w:pPr>
      <w:r w:rsidRPr="005A324A">
        <w:rPr>
          <w:rFonts w:ascii="Times New Roman" w:hAnsi="Times New Roman"/>
          <w:sz w:val="24"/>
          <w:szCs w:val="24"/>
        </w:rPr>
        <w:t xml:space="preserve">On March 26, 2025, in </w:t>
      </w:r>
      <w:r w:rsidRPr="005A324A">
        <w:rPr>
          <w:rFonts w:ascii="Times New Roman" w:hAnsi="Times New Roman"/>
          <w:sz w:val="24"/>
          <w:szCs w:val="24"/>
          <w:u w:val="single"/>
        </w:rPr>
        <w:t xml:space="preserve">Bondi, Attorney General v. </w:t>
      </w:r>
      <w:proofErr w:type="spellStart"/>
      <w:r w:rsidRPr="005A324A">
        <w:rPr>
          <w:rFonts w:ascii="Times New Roman" w:hAnsi="Times New Roman"/>
          <w:sz w:val="24"/>
          <w:szCs w:val="24"/>
          <w:u w:val="single"/>
        </w:rPr>
        <w:t>Vanderstok</w:t>
      </w:r>
      <w:proofErr w:type="spellEnd"/>
      <w:r w:rsidRPr="005A324A">
        <w:rPr>
          <w:rFonts w:ascii="Times New Roman" w:hAnsi="Times New Roman"/>
          <w:sz w:val="24"/>
          <w:szCs w:val="24"/>
          <w:u w:val="single"/>
        </w:rPr>
        <w:t>, et al</w:t>
      </w:r>
      <w:r w:rsidRPr="005A324A">
        <w:rPr>
          <w:rFonts w:ascii="Times New Roman" w:hAnsi="Times New Roman"/>
          <w:sz w:val="24"/>
          <w:szCs w:val="24"/>
        </w:rPr>
        <w:t xml:space="preserve">., the U.S. Supreme Court held (7 to 2) that the ATF may regulate the sale of parts of manufactured firearms (“ghost guns”).  </w:t>
      </w:r>
    </w:p>
    <w:p w14:paraId="22EE05AC" w14:textId="77777777" w:rsidR="00DD3267" w:rsidRPr="005A324A" w:rsidRDefault="00DD3267" w:rsidP="00DD3267">
      <w:pPr>
        <w:pStyle w:val="NoSpacing"/>
        <w:rPr>
          <w:rFonts w:ascii="Times New Roman" w:hAnsi="Times New Roman"/>
          <w:bCs/>
          <w:sz w:val="24"/>
          <w:szCs w:val="24"/>
        </w:rPr>
      </w:pPr>
      <w:r w:rsidRPr="005A324A">
        <w:rPr>
          <w:rFonts w:ascii="Times New Roman" w:hAnsi="Times New Roman"/>
          <w:sz w:val="24"/>
          <w:szCs w:val="24"/>
        </w:rPr>
        <w:t>“In 2022, the Bureau of Alcohol, Tobacco, Firearms and Explosives adopted a new rule designed to combat the proliferation of ghost guns…. The second relevant aspect of the agency’s new rule concerns a key building block of almost any firearm: its frame or receiver. Under subsection (B) of §921(a)(3</w:t>
      </w:r>
      <w:proofErr w:type="gramStart"/>
      <w:r w:rsidRPr="005A324A">
        <w:rPr>
          <w:rFonts w:ascii="Times New Roman" w:hAnsi="Times New Roman"/>
          <w:sz w:val="24"/>
          <w:szCs w:val="24"/>
        </w:rPr>
        <w:t>), ‘</w:t>
      </w:r>
      <w:proofErr w:type="gramEnd"/>
      <w:r w:rsidRPr="005A324A">
        <w:rPr>
          <w:rFonts w:ascii="Times New Roman" w:hAnsi="Times New Roman"/>
          <w:sz w:val="24"/>
          <w:szCs w:val="24"/>
        </w:rPr>
        <w:t xml:space="preserve">the frame or receiver of any such weapon” covered by subsection (A) is itself treated as a ‘firearm.’ … The GCA [Gun Control Act of 1968] embraces, and thus permits ATF to regulate, some weapon parts kits and unfinished frames or receivers, including those we have discussed. Because the court of appeals held otherwise, its judgment is reversed, and the case is remanded for further proceedings consistent with this </w:t>
      </w:r>
      <w:proofErr w:type="gramStart"/>
      <w:r w:rsidRPr="005A324A">
        <w:rPr>
          <w:rFonts w:ascii="Times New Roman" w:hAnsi="Times New Roman"/>
          <w:sz w:val="24"/>
          <w:szCs w:val="24"/>
        </w:rPr>
        <w:t>opinion</w:t>
      </w:r>
      <w:r w:rsidRPr="005A324A">
        <w:rPr>
          <w:rFonts w:ascii="Times New Roman" w:hAnsi="Times New Roman"/>
          <w:bCs/>
          <w:sz w:val="24"/>
          <w:szCs w:val="24"/>
        </w:rPr>
        <w:t>.</w:t>
      </w:r>
      <w:r w:rsidRPr="005A324A">
        <w:rPr>
          <w:rFonts w:ascii="Times New Roman" w:hAnsi="Times New Roman"/>
          <w:sz w:val="24"/>
          <w:szCs w:val="24"/>
        </w:rPr>
        <w:t>”</w:t>
      </w:r>
      <w:proofErr w:type="gramEnd"/>
      <w:r w:rsidRPr="005A324A">
        <w:rPr>
          <w:rFonts w:ascii="Times New Roman" w:hAnsi="Times New Roman"/>
          <w:sz w:val="24"/>
          <w:szCs w:val="24"/>
        </w:rPr>
        <w:t xml:space="preserve"> </w:t>
      </w:r>
      <w:hyperlink r:id="rId642" w:history="1">
        <w:r w:rsidRPr="005A324A">
          <w:rPr>
            <w:rStyle w:val="Hyperlink"/>
            <w:rFonts w:ascii="Times New Roman" w:hAnsi="Times New Roman"/>
            <w:sz w:val="24"/>
            <w:szCs w:val="24"/>
          </w:rPr>
          <w:t>https://www.supremecourt.gov/opinions/24pdf/23-852_c07d.pdf</w:t>
        </w:r>
      </w:hyperlink>
      <w:r w:rsidRPr="005A324A">
        <w:rPr>
          <w:rFonts w:ascii="Times New Roman" w:hAnsi="Times New Roman"/>
          <w:sz w:val="24"/>
          <w:szCs w:val="24"/>
        </w:rPr>
        <w:t xml:space="preserve"> </w:t>
      </w:r>
    </w:p>
    <w:p w14:paraId="205C60D7" w14:textId="77777777" w:rsidR="00DD3267" w:rsidRPr="005A324A" w:rsidRDefault="00DD3267" w:rsidP="00DD3267">
      <w:pPr>
        <w:pStyle w:val="NoSpacing"/>
        <w:rPr>
          <w:rFonts w:ascii="Times New Roman" w:hAnsi="Times New Roman"/>
          <w:bCs/>
          <w:sz w:val="24"/>
          <w:szCs w:val="24"/>
        </w:rPr>
      </w:pPr>
    </w:p>
    <w:p w14:paraId="7F30D731" w14:textId="77777777" w:rsidR="00746DF3" w:rsidRPr="00746DF3" w:rsidRDefault="00746DF3" w:rsidP="00746DF3">
      <w:pPr>
        <w:pStyle w:val="NoSpacing"/>
        <w:rPr>
          <w:rFonts w:ascii="Times New Roman" w:hAnsi="Times New Roman"/>
          <w:b/>
          <w:sz w:val="24"/>
          <w:szCs w:val="24"/>
        </w:rPr>
      </w:pPr>
      <w:r w:rsidRPr="00746DF3">
        <w:rPr>
          <w:rFonts w:ascii="Times New Roman" w:hAnsi="Times New Roman"/>
          <w:b/>
          <w:sz w:val="24"/>
          <w:szCs w:val="24"/>
        </w:rPr>
        <w:t xml:space="preserve">Legal Lesson Learned: Hopefully this decision will greatly increase the serial numbers placed on Ghost Guns.  </w:t>
      </w:r>
    </w:p>
    <w:p w14:paraId="0FBC67EB" w14:textId="77777777" w:rsidR="00746DF3" w:rsidRDefault="00746DF3" w:rsidP="00746DF3">
      <w:pPr>
        <w:pStyle w:val="NoSpacing"/>
        <w:rPr>
          <w:b/>
        </w:rPr>
      </w:pPr>
    </w:p>
    <w:p w14:paraId="298E974A" w14:textId="77777777" w:rsidR="005A324A" w:rsidRPr="005A324A" w:rsidRDefault="005A324A" w:rsidP="005A324A">
      <w:pPr>
        <w:pStyle w:val="NoSpacing"/>
        <w:ind w:left="720"/>
        <w:rPr>
          <w:rFonts w:ascii="Times New Roman" w:hAnsi="Times New Roman"/>
          <w:bCs/>
          <w:sz w:val="24"/>
          <w:szCs w:val="24"/>
        </w:rPr>
      </w:pPr>
      <w:r w:rsidRPr="005A324A">
        <w:rPr>
          <w:rFonts w:ascii="Times New Roman" w:hAnsi="Times New Roman"/>
          <w:sz w:val="24"/>
          <w:szCs w:val="24"/>
        </w:rPr>
        <w:t xml:space="preserve">Note: Dissenting opinion by Justice Clearance Thompson (Justice Samuel Alit also dissented): “Congress could have authorized ATF to regulate any part of a firearm or any object readily convertible into one. </w:t>
      </w:r>
      <w:proofErr w:type="gramStart"/>
      <w:r w:rsidRPr="005A324A">
        <w:rPr>
          <w:rFonts w:ascii="Times New Roman" w:hAnsi="Times New Roman"/>
          <w:sz w:val="24"/>
          <w:szCs w:val="24"/>
        </w:rPr>
        <w:t>But,</w:t>
      </w:r>
      <w:proofErr w:type="gramEnd"/>
      <w:r w:rsidRPr="005A324A">
        <w:rPr>
          <w:rFonts w:ascii="Times New Roman" w:hAnsi="Times New Roman"/>
          <w:sz w:val="24"/>
          <w:szCs w:val="24"/>
        </w:rPr>
        <w:t xml:space="preserve"> it did not.”</w:t>
      </w:r>
    </w:p>
    <w:p w14:paraId="5E4ECBA5" w14:textId="77777777" w:rsidR="005A324A" w:rsidRPr="005A324A" w:rsidRDefault="005A324A" w:rsidP="005A324A">
      <w:pPr>
        <w:pStyle w:val="NoSpacing"/>
        <w:ind w:left="720"/>
        <w:rPr>
          <w:rFonts w:ascii="Times New Roman" w:hAnsi="Times New Roman"/>
          <w:bCs/>
          <w:sz w:val="24"/>
          <w:szCs w:val="24"/>
        </w:rPr>
      </w:pPr>
    </w:p>
    <w:p w14:paraId="0FE76A03" w14:textId="77777777" w:rsidR="005A324A" w:rsidRPr="005A324A" w:rsidRDefault="005A324A" w:rsidP="005A324A">
      <w:pPr>
        <w:pStyle w:val="NoSpacing"/>
        <w:ind w:left="720"/>
        <w:rPr>
          <w:rFonts w:ascii="Times New Roman" w:hAnsi="Times New Roman"/>
          <w:bCs/>
          <w:sz w:val="24"/>
          <w:szCs w:val="24"/>
        </w:rPr>
      </w:pPr>
      <w:r w:rsidRPr="005A324A">
        <w:rPr>
          <w:rFonts w:ascii="Times New Roman" w:hAnsi="Times New Roman"/>
          <w:sz w:val="24"/>
          <w:szCs w:val="24"/>
        </w:rPr>
        <w:t xml:space="preserve">Want to know more about gun parts?  Watch the YouTube video by dissenting Judge Lawrence VanDyke [believe it is first time a federal judge made a video instead of writing an opinion]. </w:t>
      </w:r>
      <w:hyperlink r:id="rId643" w:history="1">
        <w:r w:rsidRPr="005A324A">
          <w:rPr>
            <w:rStyle w:val="Hyperlink"/>
            <w:rFonts w:ascii="Times New Roman" w:hAnsi="Times New Roman"/>
            <w:b/>
            <w:sz w:val="24"/>
            <w:szCs w:val="24"/>
          </w:rPr>
          <w:t>https://www.youtube.com/watch?v=DMC7Ntd4d4c</w:t>
        </w:r>
      </w:hyperlink>
      <w:r w:rsidRPr="005A324A">
        <w:rPr>
          <w:rFonts w:ascii="Times New Roman" w:hAnsi="Times New Roman"/>
          <w:b/>
          <w:sz w:val="24"/>
          <w:szCs w:val="24"/>
        </w:rPr>
        <w:t xml:space="preserve"> .  </w:t>
      </w:r>
      <w:r w:rsidRPr="005A324A">
        <w:rPr>
          <w:rFonts w:ascii="Times New Roman" w:hAnsi="Times New Roman"/>
          <w:sz w:val="24"/>
          <w:szCs w:val="24"/>
        </w:rPr>
        <w:t>The judge on the U.S. Court of Appeals for 9</w:t>
      </w:r>
      <w:r w:rsidRPr="005A324A">
        <w:rPr>
          <w:rFonts w:ascii="Times New Roman" w:hAnsi="Times New Roman"/>
          <w:sz w:val="24"/>
          <w:szCs w:val="24"/>
          <w:vertAlign w:val="superscript"/>
        </w:rPr>
        <w:t>th</w:t>
      </w:r>
      <w:r w:rsidRPr="005A324A">
        <w:rPr>
          <w:rFonts w:ascii="Times New Roman" w:hAnsi="Times New Roman"/>
          <w:sz w:val="24"/>
          <w:szCs w:val="24"/>
        </w:rPr>
        <w:t xml:space="preserve"> Circuit (San Francisco) posted a YouTube video about firearms, dissenting </w:t>
      </w:r>
      <w:proofErr w:type="gramStart"/>
      <w:r w:rsidRPr="005A324A">
        <w:rPr>
          <w:rFonts w:ascii="Times New Roman" w:hAnsi="Times New Roman"/>
          <w:sz w:val="24"/>
          <w:szCs w:val="24"/>
        </w:rPr>
        <w:t>in</w:t>
      </w:r>
      <w:proofErr w:type="gramEnd"/>
      <w:r w:rsidRPr="005A324A">
        <w:rPr>
          <w:rFonts w:ascii="Times New Roman" w:hAnsi="Times New Roman"/>
          <w:sz w:val="24"/>
          <w:szCs w:val="24"/>
        </w:rPr>
        <w:t xml:space="preserve"> March 20, </w:t>
      </w:r>
      <w:proofErr w:type="gramStart"/>
      <w:r w:rsidRPr="005A324A">
        <w:rPr>
          <w:rFonts w:ascii="Times New Roman" w:hAnsi="Times New Roman"/>
          <w:sz w:val="24"/>
          <w:szCs w:val="24"/>
        </w:rPr>
        <w:t>2025</w:t>
      </w:r>
      <w:proofErr w:type="gramEnd"/>
      <w:r w:rsidRPr="005A324A">
        <w:rPr>
          <w:rFonts w:ascii="Times New Roman" w:hAnsi="Times New Roman"/>
          <w:sz w:val="24"/>
          <w:szCs w:val="24"/>
        </w:rPr>
        <w:t xml:space="preserve"> </w:t>
      </w:r>
      <w:proofErr w:type="spellStart"/>
      <w:r w:rsidRPr="005A324A">
        <w:rPr>
          <w:rFonts w:ascii="Times New Roman" w:hAnsi="Times New Roman"/>
          <w:sz w:val="24"/>
          <w:szCs w:val="24"/>
        </w:rPr>
        <w:t>en</w:t>
      </w:r>
      <w:proofErr w:type="spellEnd"/>
      <w:r w:rsidRPr="005A324A">
        <w:rPr>
          <w:rFonts w:ascii="Times New Roman" w:hAnsi="Times New Roman"/>
          <w:sz w:val="24"/>
          <w:szCs w:val="24"/>
        </w:rPr>
        <w:t xml:space="preserve"> banc (all judges on the Circuit) decision in </w:t>
      </w:r>
      <w:r w:rsidRPr="005A324A">
        <w:rPr>
          <w:rFonts w:ascii="Times New Roman" w:hAnsi="Times New Roman"/>
          <w:sz w:val="24"/>
          <w:szCs w:val="24"/>
          <w:u w:val="single"/>
        </w:rPr>
        <w:t>Duncan v. Bonita</w:t>
      </w:r>
      <w:r w:rsidRPr="005A324A">
        <w:rPr>
          <w:rFonts w:ascii="Times New Roman" w:hAnsi="Times New Roman"/>
          <w:sz w:val="24"/>
          <w:szCs w:val="24"/>
        </w:rPr>
        <w:t>, upholding the California law banning the possession of large-capacity magazines comports with the</w:t>
      </w:r>
    </w:p>
    <w:p w14:paraId="3BDAAC3D" w14:textId="77777777" w:rsidR="005A324A" w:rsidRPr="005A324A" w:rsidRDefault="005A324A" w:rsidP="005A324A">
      <w:pPr>
        <w:pStyle w:val="NoSpacing"/>
        <w:ind w:left="720"/>
        <w:rPr>
          <w:rFonts w:ascii="Times New Roman" w:hAnsi="Times New Roman"/>
          <w:bCs/>
          <w:sz w:val="24"/>
          <w:szCs w:val="24"/>
        </w:rPr>
      </w:pPr>
      <w:r w:rsidRPr="005A324A">
        <w:rPr>
          <w:rFonts w:ascii="Times New Roman" w:hAnsi="Times New Roman"/>
          <w:sz w:val="24"/>
          <w:szCs w:val="24"/>
        </w:rPr>
        <w:t xml:space="preserve">Second Amendment. </w:t>
      </w:r>
      <w:hyperlink r:id="rId644" w:history="1">
        <w:r w:rsidRPr="005A324A">
          <w:rPr>
            <w:rStyle w:val="Hyperlink"/>
            <w:rFonts w:ascii="Times New Roman" w:hAnsi="Times New Roman"/>
            <w:sz w:val="24"/>
            <w:szCs w:val="24"/>
          </w:rPr>
          <w:t>https://cdn.ca9.uscourts.gov/datastore/opinions/2025/03/20/23-55805.pdf</w:t>
        </w:r>
      </w:hyperlink>
      <w:r w:rsidRPr="005A324A">
        <w:rPr>
          <w:rFonts w:ascii="Times New Roman" w:hAnsi="Times New Roman"/>
          <w:sz w:val="24"/>
          <w:szCs w:val="24"/>
        </w:rPr>
        <w:t xml:space="preserve">  </w:t>
      </w:r>
    </w:p>
    <w:p w14:paraId="794583D4" w14:textId="77777777" w:rsidR="00DD3267" w:rsidRDefault="00DD3267" w:rsidP="00F326E5">
      <w:pPr>
        <w:pStyle w:val="NoSpacing"/>
        <w:rPr>
          <w:rFonts w:ascii="Arial Black" w:hAnsi="Arial Black"/>
          <w:sz w:val="28"/>
          <w:szCs w:val="28"/>
        </w:rPr>
      </w:pPr>
    </w:p>
    <w:p w14:paraId="6F39C6B2" w14:textId="77777777" w:rsidR="00FB7D37" w:rsidRDefault="00FB7D37" w:rsidP="00F326E5">
      <w:pPr>
        <w:pStyle w:val="NoSpacing"/>
        <w:rPr>
          <w:rFonts w:ascii="Arial Black" w:hAnsi="Arial Black"/>
          <w:sz w:val="28"/>
          <w:szCs w:val="28"/>
        </w:rPr>
      </w:pPr>
    </w:p>
    <w:p w14:paraId="113CCD50" w14:textId="77777777" w:rsidR="00FB7D37" w:rsidRDefault="00FB7D37" w:rsidP="00F326E5">
      <w:pPr>
        <w:pStyle w:val="NoSpacing"/>
        <w:rPr>
          <w:rFonts w:ascii="Arial Black" w:hAnsi="Arial Black"/>
          <w:sz w:val="28"/>
          <w:szCs w:val="28"/>
        </w:rPr>
      </w:pPr>
    </w:p>
    <w:p w14:paraId="2D65B6A5" w14:textId="16889806" w:rsidR="00F30E91" w:rsidRDefault="00F30E91" w:rsidP="00F326E5">
      <w:pPr>
        <w:pStyle w:val="NoSpacing"/>
        <w:rPr>
          <w:rFonts w:ascii="Arial Black" w:hAnsi="Arial Black"/>
          <w:sz w:val="28"/>
          <w:szCs w:val="28"/>
        </w:rPr>
      </w:pPr>
      <w:r>
        <w:rPr>
          <w:rFonts w:ascii="Arial Black" w:hAnsi="Arial Black"/>
          <w:sz w:val="28"/>
          <w:szCs w:val="28"/>
        </w:rPr>
        <w:t>3-72</w:t>
      </w:r>
    </w:p>
    <w:p w14:paraId="6AAE6BCF" w14:textId="77777777" w:rsidR="00FB7D37" w:rsidRDefault="00FB7D37" w:rsidP="009048F3">
      <w:pPr>
        <w:pStyle w:val="NoSpacing"/>
        <w:rPr>
          <w:rFonts w:ascii="Arial Black" w:hAnsi="Arial Black"/>
          <w:sz w:val="28"/>
          <w:szCs w:val="28"/>
        </w:rPr>
      </w:pPr>
    </w:p>
    <w:p w14:paraId="6F4040D0" w14:textId="5C48A9FE" w:rsidR="009048F3" w:rsidRDefault="009048F3" w:rsidP="009048F3">
      <w:pPr>
        <w:pStyle w:val="NoSpacing"/>
        <w:rPr>
          <w:rFonts w:ascii="Arial Black" w:hAnsi="Arial Black"/>
          <w:bCs/>
          <w:sz w:val="28"/>
          <w:szCs w:val="28"/>
        </w:rPr>
      </w:pPr>
      <w:r>
        <w:rPr>
          <w:rFonts w:ascii="Arial Black" w:hAnsi="Arial Black"/>
          <w:sz w:val="28"/>
          <w:szCs w:val="28"/>
        </w:rPr>
        <w:t xml:space="preserve">NY: GROUND ZERO - $90K CAP NON-ECON DAMAGES </w:t>
      </w:r>
    </w:p>
    <w:p w14:paraId="0F034CBF" w14:textId="77777777" w:rsidR="009048F3" w:rsidRDefault="009048F3" w:rsidP="009048F3">
      <w:pPr>
        <w:pStyle w:val="NoSpacing"/>
        <w:rPr>
          <w:rFonts w:ascii="Arial Black" w:hAnsi="Arial Black"/>
          <w:bCs/>
          <w:sz w:val="28"/>
          <w:szCs w:val="28"/>
        </w:rPr>
      </w:pPr>
    </w:p>
    <w:p w14:paraId="0CA4057F" w14:textId="77777777" w:rsidR="009048F3" w:rsidRPr="00FB7D37" w:rsidRDefault="009048F3" w:rsidP="009048F3">
      <w:pPr>
        <w:pStyle w:val="NoSpacing"/>
        <w:rPr>
          <w:rFonts w:ascii="Times New Roman" w:hAnsi="Times New Roman"/>
          <w:bCs/>
          <w:sz w:val="24"/>
          <w:szCs w:val="24"/>
        </w:rPr>
      </w:pPr>
      <w:r w:rsidRPr="00FB7D37">
        <w:rPr>
          <w:rFonts w:ascii="Times New Roman" w:hAnsi="Times New Roman"/>
          <w:sz w:val="24"/>
          <w:szCs w:val="24"/>
        </w:rPr>
        <w:t>On March 4, 2025</w:t>
      </w:r>
      <w:proofErr w:type="gramStart"/>
      <w:r w:rsidRPr="00FB7D37">
        <w:rPr>
          <w:rFonts w:ascii="Times New Roman" w:hAnsi="Times New Roman"/>
          <w:sz w:val="24"/>
          <w:szCs w:val="24"/>
        </w:rPr>
        <w:t>, in</w:t>
      </w:r>
      <w:proofErr w:type="gramEnd"/>
      <w:r w:rsidRPr="00FB7D37">
        <w:rPr>
          <w:rFonts w:ascii="Times New Roman" w:hAnsi="Times New Roman"/>
          <w:sz w:val="24"/>
          <w:szCs w:val="24"/>
        </w:rPr>
        <w:t xml:space="preserve"> </w:t>
      </w:r>
      <w:r w:rsidRPr="00FB7D37">
        <w:rPr>
          <w:rFonts w:ascii="Times New Roman" w:hAnsi="Times New Roman"/>
          <w:sz w:val="24"/>
          <w:szCs w:val="24"/>
          <w:u w:val="single"/>
        </w:rPr>
        <w:t>Michael White v. The United States</w:t>
      </w:r>
      <w:r w:rsidRPr="00FB7D37">
        <w:rPr>
          <w:rFonts w:ascii="Times New Roman" w:hAnsi="Times New Roman"/>
          <w:sz w:val="24"/>
          <w:szCs w:val="24"/>
        </w:rPr>
        <w:t xml:space="preserve">, Judge Molly R. Silfen, U.S. Court of Federal Claims, held that former Philadelphia firefighter and U.S. Navy submariner, is entitled to uncapped compensation for non-economic damages, such as intangible losses like pain, suffering, emotional distress, and loss of enjoyment of life. He volunteered at Ground Zero site for six days without respiratory protection, developed respiratory issues and now undergoes regular respiratory therapy and has been hospitalized multiple times.  In Jan. 2017, the 911 Special Master ruled that Congress in 2016 amended the initial compensation schedule, and imposed the new $90,000 cap.  Judge Silfen denied the government’s motion to dismiss: (1) lawsuit was timely filed with six years of the denial of his claim, and (2) this is a breach of a “contract” that provided claimants could file under the original compensation schedule. </w:t>
      </w:r>
      <w:hyperlink r:id="rId645" w:history="1">
        <w:r w:rsidRPr="00FB7D37">
          <w:rPr>
            <w:rStyle w:val="Hyperlink"/>
            <w:rFonts w:ascii="Times New Roman" w:hAnsi="Times New Roman"/>
            <w:sz w:val="24"/>
            <w:szCs w:val="24"/>
          </w:rPr>
          <w:t>https://www.govinfo.gov/content/pkg/USCOURTS-cofc-1_23-cv-00383/pdf/USCOURTS-cofc-1_23-cv-00383-0.pdf</w:t>
        </w:r>
      </w:hyperlink>
      <w:r w:rsidRPr="00FB7D37">
        <w:rPr>
          <w:rFonts w:ascii="Times New Roman" w:hAnsi="Times New Roman"/>
          <w:sz w:val="24"/>
          <w:szCs w:val="24"/>
        </w:rPr>
        <w:t xml:space="preserve"> </w:t>
      </w:r>
    </w:p>
    <w:p w14:paraId="0B737EE7" w14:textId="77777777" w:rsidR="009048F3" w:rsidRPr="00FB7D37" w:rsidRDefault="009048F3" w:rsidP="009048F3">
      <w:pPr>
        <w:pStyle w:val="NoSpacing"/>
        <w:rPr>
          <w:rFonts w:ascii="Times New Roman" w:hAnsi="Times New Roman"/>
          <w:bCs/>
          <w:sz w:val="24"/>
          <w:szCs w:val="24"/>
        </w:rPr>
      </w:pPr>
    </w:p>
    <w:p w14:paraId="2EF8116B" w14:textId="77777777" w:rsidR="00555E2A" w:rsidRPr="00555E2A" w:rsidRDefault="00555E2A" w:rsidP="00555E2A">
      <w:pPr>
        <w:pStyle w:val="NoSpacing"/>
        <w:rPr>
          <w:rFonts w:ascii="Times New Roman" w:hAnsi="Times New Roman"/>
          <w:b/>
          <w:sz w:val="24"/>
          <w:szCs w:val="24"/>
        </w:rPr>
      </w:pPr>
      <w:r w:rsidRPr="00555E2A">
        <w:rPr>
          <w:rFonts w:ascii="Times New Roman" w:hAnsi="Times New Roman"/>
          <w:b/>
          <w:sz w:val="24"/>
          <w:szCs w:val="24"/>
        </w:rPr>
        <w:t>Legal Lesson Learned: The government breached the contract; firefighter entitled to uncapped non-economic damages.</w:t>
      </w:r>
    </w:p>
    <w:p w14:paraId="7DC10A3D" w14:textId="77777777" w:rsidR="00555E2A" w:rsidRPr="00555E2A" w:rsidRDefault="00555E2A" w:rsidP="00555E2A">
      <w:pPr>
        <w:rPr>
          <w:rFonts w:ascii="Times New Roman" w:hAnsi="Times New Roman"/>
          <w:sz w:val="24"/>
          <w:szCs w:val="24"/>
        </w:rPr>
      </w:pPr>
    </w:p>
    <w:p w14:paraId="68A20F43" w14:textId="77777777" w:rsidR="00FB7D37" w:rsidRPr="00FB7D37" w:rsidRDefault="00FB7D37" w:rsidP="00FB7D37">
      <w:pPr>
        <w:rPr>
          <w:rFonts w:ascii="Times New Roman" w:hAnsi="Times New Roman"/>
          <w:sz w:val="24"/>
          <w:szCs w:val="24"/>
        </w:rPr>
      </w:pPr>
    </w:p>
    <w:p w14:paraId="1FD9528A" w14:textId="77777777" w:rsidR="009048F3" w:rsidRPr="00FB7D37" w:rsidRDefault="009048F3" w:rsidP="00F326E5">
      <w:pPr>
        <w:pStyle w:val="NoSpacing"/>
        <w:rPr>
          <w:rFonts w:ascii="Times New Roman" w:hAnsi="Times New Roman"/>
          <w:sz w:val="24"/>
          <w:szCs w:val="24"/>
        </w:rPr>
      </w:pPr>
    </w:p>
    <w:p w14:paraId="10A6A54C" w14:textId="77777777" w:rsidR="00F30E91" w:rsidRDefault="00F30E91" w:rsidP="00F326E5">
      <w:pPr>
        <w:pStyle w:val="NoSpacing"/>
        <w:rPr>
          <w:rFonts w:ascii="Arial Black" w:hAnsi="Arial Black"/>
          <w:sz w:val="28"/>
          <w:szCs w:val="28"/>
        </w:rPr>
      </w:pPr>
    </w:p>
    <w:p w14:paraId="3F471E9C" w14:textId="77777777" w:rsidR="00F30E91" w:rsidRDefault="00F30E91" w:rsidP="00F326E5">
      <w:pPr>
        <w:pStyle w:val="NoSpacing"/>
        <w:rPr>
          <w:rFonts w:ascii="Arial Black" w:hAnsi="Arial Black"/>
          <w:sz w:val="28"/>
          <w:szCs w:val="28"/>
        </w:rPr>
      </w:pPr>
    </w:p>
    <w:p w14:paraId="18536455" w14:textId="64201EB6" w:rsidR="00CD461F" w:rsidRDefault="00CD461F" w:rsidP="00F326E5">
      <w:pPr>
        <w:pStyle w:val="NoSpacing"/>
        <w:rPr>
          <w:rFonts w:ascii="Arial Black" w:hAnsi="Arial Black"/>
          <w:sz w:val="28"/>
          <w:szCs w:val="28"/>
        </w:rPr>
      </w:pPr>
      <w:r>
        <w:rPr>
          <w:rFonts w:ascii="Arial Black" w:hAnsi="Arial Black"/>
          <w:sz w:val="28"/>
          <w:szCs w:val="28"/>
        </w:rPr>
        <w:t>3-71</w:t>
      </w:r>
    </w:p>
    <w:p w14:paraId="5989895F" w14:textId="77777777" w:rsidR="00CD461F" w:rsidRDefault="00CD461F" w:rsidP="00F326E5">
      <w:pPr>
        <w:pStyle w:val="NoSpacing"/>
        <w:rPr>
          <w:rFonts w:ascii="Arial Black" w:hAnsi="Arial Black"/>
          <w:sz w:val="28"/>
          <w:szCs w:val="28"/>
        </w:rPr>
      </w:pPr>
    </w:p>
    <w:p w14:paraId="0CB8B884" w14:textId="77777777" w:rsidR="00CD461F" w:rsidRPr="00C562E1" w:rsidRDefault="00CD461F" w:rsidP="00CD461F">
      <w:pPr>
        <w:pStyle w:val="NoSpacing"/>
        <w:rPr>
          <w:rFonts w:ascii="Arial Black" w:hAnsi="Arial Black"/>
          <w:sz w:val="28"/>
          <w:szCs w:val="28"/>
        </w:rPr>
      </w:pPr>
      <w:r w:rsidRPr="00C562E1">
        <w:rPr>
          <w:rFonts w:ascii="Arial Black" w:hAnsi="Arial Black"/>
          <w:sz w:val="28"/>
          <w:szCs w:val="28"/>
        </w:rPr>
        <w:t xml:space="preserve">DC: </w:t>
      </w:r>
      <w:r>
        <w:rPr>
          <w:rFonts w:ascii="Arial Black" w:hAnsi="Arial Black"/>
          <w:sz w:val="28"/>
          <w:szCs w:val="28"/>
        </w:rPr>
        <w:t xml:space="preserve">CAPITAL – POLICE INJURED </w:t>
      </w:r>
      <w:r w:rsidRPr="00C562E1">
        <w:rPr>
          <w:rFonts w:ascii="Arial Black" w:hAnsi="Arial Black"/>
          <w:sz w:val="28"/>
          <w:szCs w:val="28"/>
        </w:rPr>
        <w:t xml:space="preserve">PEPPER </w:t>
      </w:r>
      <w:r>
        <w:rPr>
          <w:rFonts w:ascii="Arial Black" w:hAnsi="Arial Black"/>
          <w:sz w:val="28"/>
          <w:szCs w:val="28"/>
        </w:rPr>
        <w:t>SPRAY - PARDONS</w:t>
      </w:r>
    </w:p>
    <w:p w14:paraId="258B4AAA" w14:textId="77777777" w:rsidR="00CD461F" w:rsidRPr="00C562E1" w:rsidRDefault="00CD461F" w:rsidP="00CD461F">
      <w:pPr>
        <w:pStyle w:val="NoSpacing"/>
      </w:pPr>
    </w:p>
    <w:p w14:paraId="6BBC23C3" w14:textId="77777777" w:rsidR="00CD461F" w:rsidRPr="00CD461F" w:rsidRDefault="00CD461F" w:rsidP="00CD461F">
      <w:pPr>
        <w:pStyle w:val="NoSpacing"/>
        <w:rPr>
          <w:rFonts w:ascii="Times New Roman" w:hAnsi="Times New Roman"/>
          <w:sz w:val="24"/>
          <w:szCs w:val="24"/>
        </w:rPr>
      </w:pPr>
      <w:r w:rsidRPr="00CD461F">
        <w:rPr>
          <w:rFonts w:ascii="Times New Roman" w:hAnsi="Times New Roman"/>
          <w:sz w:val="24"/>
          <w:szCs w:val="24"/>
        </w:rPr>
        <w:t xml:space="preserve">On Jan. 17, 2024, in </w:t>
      </w:r>
      <w:r w:rsidRPr="00CD461F">
        <w:rPr>
          <w:rFonts w:ascii="Times New Roman" w:hAnsi="Times New Roman"/>
          <w:sz w:val="24"/>
          <w:szCs w:val="24"/>
          <w:u w:val="single"/>
        </w:rPr>
        <w:t>United States of America v. Jeffrey Scott Brown</w:t>
      </w:r>
      <w:r w:rsidRPr="00CD461F">
        <w:rPr>
          <w:rFonts w:ascii="Times New Roman" w:hAnsi="Times New Roman"/>
          <w:sz w:val="24"/>
          <w:szCs w:val="24"/>
        </w:rPr>
        <w:t xml:space="preserve">,  the U.S. Court of Appeals for the D.C. Circuit (3 to 0) upheld the conviction of Brown (and two others) for violation of federal law – use of a “dangerous or deadly weapon” - by spraying police officers with pepper spray during the attack on the U.S. Capitol on Jan. 6, 2021.  Brown was sentenced to 54 months in prison [now pardoned by President Trump].  </w:t>
      </w:r>
      <w:hyperlink r:id="rId646" w:history="1">
        <w:r w:rsidRPr="00CD461F">
          <w:rPr>
            <w:rStyle w:val="Hyperlink"/>
            <w:rFonts w:ascii="Times New Roman" w:hAnsi="Times New Roman"/>
            <w:sz w:val="24"/>
            <w:szCs w:val="24"/>
          </w:rPr>
          <w:t>https://media.cadc.uscourts.gov/opinions/docs/2025/01/23-3074-2094718.pdf</w:t>
        </w:r>
      </w:hyperlink>
      <w:r w:rsidRPr="00CD461F">
        <w:rPr>
          <w:rFonts w:ascii="Times New Roman" w:hAnsi="Times New Roman"/>
          <w:sz w:val="24"/>
          <w:szCs w:val="24"/>
        </w:rPr>
        <w:t xml:space="preserve">  </w:t>
      </w:r>
    </w:p>
    <w:p w14:paraId="2BB4DF09" w14:textId="77777777" w:rsidR="00CD461F" w:rsidRPr="00CD461F" w:rsidRDefault="00CD461F" w:rsidP="00CD461F">
      <w:pPr>
        <w:pStyle w:val="NoSpacing"/>
        <w:rPr>
          <w:rFonts w:ascii="Times New Roman" w:hAnsi="Times New Roman"/>
          <w:sz w:val="24"/>
          <w:szCs w:val="24"/>
        </w:rPr>
      </w:pPr>
    </w:p>
    <w:p w14:paraId="54DD2506" w14:textId="77777777" w:rsidR="00CD461F" w:rsidRPr="00CD461F" w:rsidRDefault="00CD461F" w:rsidP="00CD461F">
      <w:pPr>
        <w:pStyle w:val="NoSpacing"/>
        <w:rPr>
          <w:rFonts w:ascii="Times New Roman" w:hAnsi="Times New Roman"/>
          <w:sz w:val="24"/>
          <w:szCs w:val="24"/>
        </w:rPr>
      </w:pPr>
      <w:r w:rsidRPr="00CD461F">
        <w:rPr>
          <w:rFonts w:ascii="Times New Roman" w:hAnsi="Times New Roman"/>
          <w:sz w:val="24"/>
          <w:szCs w:val="24"/>
        </w:rPr>
        <w:t>The Court held:</w:t>
      </w:r>
    </w:p>
    <w:p w14:paraId="42E23F55" w14:textId="77777777" w:rsidR="00CD461F" w:rsidRPr="00CD461F" w:rsidRDefault="00CD461F" w:rsidP="00CD461F">
      <w:pPr>
        <w:pStyle w:val="NoSpacing"/>
        <w:rPr>
          <w:rFonts w:ascii="Times New Roman" w:hAnsi="Times New Roman"/>
          <w:sz w:val="24"/>
          <w:szCs w:val="24"/>
        </w:rPr>
      </w:pPr>
    </w:p>
    <w:p w14:paraId="7CA465C9"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“Given the record in this case, sufficient evidence supported the jury’s finding that Schwartz, Brown, and Maly each used pepper spray as a deadly or dangerous weapon, and that Schwartz also used a chair as a deadly or dangerous weapon.</w:t>
      </w:r>
    </w:p>
    <w:p w14:paraId="49E1BBEA" w14:textId="77777777" w:rsidR="00CD461F" w:rsidRPr="00CD461F" w:rsidRDefault="00CD461F" w:rsidP="00CD461F">
      <w:pPr>
        <w:pStyle w:val="NoSpacing"/>
        <w:rPr>
          <w:rFonts w:ascii="Times New Roman" w:hAnsi="Times New Roman"/>
          <w:sz w:val="24"/>
          <w:szCs w:val="24"/>
        </w:rPr>
      </w:pPr>
    </w:p>
    <w:p w14:paraId="73F2EF6C" w14:textId="77777777" w:rsidR="00CD461F" w:rsidRPr="00CD461F" w:rsidRDefault="00CD461F" w:rsidP="00CD461F">
      <w:pPr>
        <w:pStyle w:val="NoSpacing"/>
        <w:ind w:firstLine="720"/>
        <w:rPr>
          <w:rFonts w:ascii="Times New Roman" w:hAnsi="Times New Roman"/>
          <w:sz w:val="24"/>
          <w:szCs w:val="24"/>
        </w:rPr>
      </w:pPr>
      <w:r w:rsidRPr="00CD461F">
        <w:rPr>
          <w:rFonts w:ascii="Times New Roman" w:hAnsi="Times New Roman"/>
          <w:sz w:val="24"/>
          <w:szCs w:val="24"/>
        </w:rPr>
        <w:t>***</w:t>
      </w:r>
    </w:p>
    <w:p w14:paraId="49D80642"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 xml:space="preserve">Officers testified that they felt such intense pain when sprayed on January 6th. For example, Officer Christopher Boyle stated that he felt a ‘9 or 10 out of 10’ level of pain when he was pepper sprayed on the Lower West Terrace…. Sergeant Jason Mastony testified that chemical irritants absorbed through his uniform so his ‘legs and [his] arms [we]re on fire.’ …The effects of the chemical irritants, including ‘burning’ ‘skin irritation[,]’ lingered for about a week, and he felt </w:t>
      </w:r>
      <w:proofErr w:type="gramStart"/>
      <w:r w:rsidRPr="00CD461F">
        <w:rPr>
          <w:rFonts w:ascii="Times New Roman" w:hAnsi="Times New Roman"/>
          <w:sz w:val="24"/>
          <w:szCs w:val="24"/>
        </w:rPr>
        <w:t>particular pain</w:t>
      </w:r>
      <w:proofErr w:type="gramEnd"/>
      <w:r w:rsidRPr="00CD461F">
        <w:rPr>
          <w:rFonts w:ascii="Times New Roman" w:hAnsi="Times New Roman"/>
          <w:sz w:val="24"/>
          <w:szCs w:val="24"/>
        </w:rPr>
        <w:t xml:space="preserve"> when he showered or tried to change his contact lenses…. That is because pepper spray is water-based and ‘reactivates with water.’ …  Officer David Pitt testified that he had ‘severe burning for the following three days in [his] hands’ and ‘in various places’ from ‘when [he] was sprayed with various sprays in the tunnel.’  … </w:t>
      </w:r>
      <w:r w:rsidRPr="00CD461F">
        <w:rPr>
          <w:rFonts w:ascii="Times New Roman" w:hAnsi="Times New Roman"/>
          <w:sz w:val="24"/>
          <w:szCs w:val="24"/>
        </w:rPr>
        <w:lastRenderedPageBreak/>
        <w:t xml:space="preserve">Finally, Sergeant </w:t>
      </w:r>
      <w:proofErr w:type="spellStart"/>
      <w:r w:rsidRPr="00CD461F">
        <w:rPr>
          <w:rFonts w:ascii="Times New Roman" w:hAnsi="Times New Roman"/>
          <w:sz w:val="24"/>
          <w:szCs w:val="24"/>
        </w:rPr>
        <w:t>Phuson</w:t>
      </w:r>
      <w:proofErr w:type="spellEnd"/>
      <w:r w:rsidRPr="00CD461F">
        <w:rPr>
          <w:rFonts w:ascii="Times New Roman" w:hAnsi="Times New Roman"/>
          <w:sz w:val="24"/>
          <w:szCs w:val="24"/>
        </w:rPr>
        <w:t xml:space="preserve"> Nguyen described that, when he showered the night of the 6th, ‘the chemical[s] [from the spray] soak[ed] through [his] pore[s] and it start[ed] burning, and basically [his] whole body</w:t>
      </w:r>
    </w:p>
    <w:p w14:paraId="7F74EDE9"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was burning.’ … That evidence provided a sufficient basis for a rational jury to find that the pepper spray Schwartz, Brown, and Maly used was capable of causing extreme pain, especially given the officers’ testimony that they felt a ‘9 or 10 out of 10’ on a pain scale and that their limbs were ‘on fire’ and ‘burning.’ Considering the intensely factual nature of an inquiry into the extent of pain caused by violent conduct, the evidence in this case, and the credibility judgments involved, there is no basis for this court to overturn the jury’s verdict by finding as a matter of law that the evidence came up short.”</w:t>
      </w:r>
    </w:p>
    <w:p w14:paraId="43D7FEFA" w14:textId="77777777" w:rsidR="00CD461F" w:rsidRPr="00CD461F" w:rsidRDefault="00CD461F" w:rsidP="00CD461F">
      <w:pPr>
        <w:pStyle w:val="NoSpacing"/>
        <w:rPr>
          <w:rFonts w:ascii="Times New Roman" w:hAnsi="Times New Roman"/>
          <w:sz w:val="24"/>
          <w:szCs w:val="24"/>
        </w:rPr>
      </w:pPr>
    </w:p>
    <w:p w14:paraId="505D960F" w14:textId="77777777" w:rsidR="00CD461F" w:rsidRPr="00CD461F" w:rsidRDefault="00CD461F" w:rsidP="00CD461F">
      <w:pPr>
        <w:pStyle w:val="NoSpacing"/>
        <w:rPr>
          <w:rFonts w:ascii="Times New Roman" w:hAnsi="Times New Roman"/>
          <w:b/>
          <w:bCs/>
          <w:sz w:val="24"/>
          <w:szCs w:val="24"/>
        </w:rPr>
      </w:pPr>
      <w:r w:rsidRPr="00CD461F">
        <w:rPr>
          <w:rFonts w:ascii="Times New Roman" w:hAnsi="Times New Roman"/>
          <w:b/>
          <w:sz w:val="24"/>
          <w:szCs w:val="24"/>
        </w:rPr>
        <w:t>Legal Lesson Learned:  Fire &amp; EMS should review their protocol on treating patients who have been pepper sprayed, remembering that it “reactivates with water.”</w:t>
      </w:r>
    </w:p>
    <w:p w14:paraId="3152A41A" w14:textId="77777777" w:rsidR="00CD461F" w:rsidRPr="00CD461F" w:rsidRDefault="00CD461F" w:rsidP="00CD461F">
      <w:pPr>
        <w:pStyle w:val="NoSpacing"/>
        <w:rPr>
          <w:rFonts w:ascii="Times New Roman" w:hAnsi="Times New Roman"/>
          <w:sz w:val="24"/>
          <w:szCs w:val="24"/>
        </w:rPr>
      </w:pPr>
    </w:p>
    <w:p w14:paraId="4A6E4D71"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 xml:space="preserve">Note:  See article on this case. “DC Circuit side-eyes Capitol rioter’s argument that pepper spray is not a dangerous weapon.” </w:t>
      </w:r>
    </w:p>
    <w:p w14:paraId="08930F25" w14:textId="5E84AAF5" w:rsidR="00CD461F" w:rsidRPr="00CD461F" w:rsidRDefault="00AB3819" w:rsidP="00CD461F">
      <w:pPr>
        <w:pStyle w:val="NoSpacing"/>
        <w:ind w:left="720"/>
        <w:rPr>
          <w:rFonts w:ascii="Times New Roman" w:hAnsi="Times New Roman"/>
          <w:sz w:val="24"/>
          <w:szCs w:val="24"/>
        </w:rPr>
      </w:pPr>
      <w:hyperlink r:id="rId647" w:history="1">
        <w:r w:rsidRPr="009B5658">
          <w:rPr>
            <w:rStyle w:val="Hyperlink"/>
            <w:rFonts w:ascii="Times New Roman" w:hAnsi="Times New Roman"/>
            <w:sz w:val="24"/>
            <w:szCs w:val="24"/>
          </w:rPr>
          <w:t>https://www.courthousenews.com/dc-circuit-side-eyes-capitol-rioters-argument-that-pepper-spray-is-not-a-dangerous-weapon/</w:t>
        </w:r>
      </w:hyperlink>
    </w:p>
    <w:p w14:paraId="04B7F585" w14:textId="77777777" w:rsidR="00CD461F" w:rsidRPr="00CD461F" w:rsidRDefault="00CD461F" w:rsidP="00F326E5">
      <w:pPr>
        <w:pStyle w:val="NoSpacing"/>
        <w:rPr>
          <w:rFonts w:ascii="Times New Roman" w:hAnsi="Times New Roman"/>
          <w:sz w:val="24"/>
          <w:szCs w:val="24"/>
        </w:rPr>
      </w:pPr>
    </w:p>
    <w:p w14:paraId="1FD139AD" w14:textId="77777777" w:rsidR="00CD461F" w:rsidRDefault="00CD461F" w:rsidP="00F326E5">
      <w:pPr>
        <w:pStyle w:val="NoSpacing"/>
        <w:rPr>
          <w:rFonts w:ascii="Arial Black" w:hAnsi="Arial Black"/>
          <w:sz w:val="28"/>
          <w:szCs w:val="28"/>
        </w:rPr>
      </w:pPr>
    </w:p>
    <w:p w14:paraId="3F459932" w14:textId="2052B407" w:rsidR="00FE0B61" w:rsidRDefault="00FE0B61" w:rsidP="00F326E5">
      <w:pPr>
        <w:pStyle w:val="NoSpacing"/>
        <w:rPr>
          <w:rFonts w:ascii="Arial Black" w:hAnsi="Arial Black"/>
          <w:sz w:val="28"/>
          <w:szCs w:val="28"/>
        </w:rPr>
      </w:pPr>
      <w:r>
        <w:rPr>
          <w:rFonts w:ascii="Arial Black" w:hAnsi="Arial Black"/>
          <w:sz w:val="28"/>
          <w:szCs w:val="28"/>
        </w:rPr>
        <w:t>3-70</w:t>
      </w:r>
    </w:p>
    <w:p w14:paraId="32D83997" w14:textId="77777777" w:rsidR="004433DA" w:rsidRDefault="004433DA" w:rsidP="00BD564D">
      <w:pPr>
        <w:pStyle w:val="NoSpacing"/>
        <w:rPr>
          <w:rFonts w:ascii="Arial Black" w:hAnsi="Arial Black"/>
          <w:sz w:val="28"/>
          <w:szCs w:val="28"/>
        </w:rPr>
      </w:pPr>
    </w:p>
    <w:p w14:paraId="404379A6" w14:textId="778B375F" w:rsidR="00BD564D" w:rsidRPr="00C90077" w:rsidRDefault="00BD564D" w:rsidP="00BD564D">
      <w:pPr>
        <w:pStyle w:val="NoSpacing"/>
        <w:rPr>
          <w:rFonts w:ascii="Arial Black" w:hAnsi="Arial Black"/>
          <w:sz w:val="28"/>
          <w:szCs w:val="28"/>
        </w:rPr>
      </w:pPr>
      <w:r>
        <w:rPr>
          <w:rFonts w:ascii="Arial Black" w:hAnsi="Arial Black"/>
          <w:sz w:val="28"/>
          <w:szCs w:val="28"/>
        </w:rPr>
        <w:t>CA:  STARTED FIRES</w:t>
      </w:r>
      <w:r w:rsidR="004433DA">
        <w:rPr>
          <w:rFonts w:ascii="Arial Black" w:hAnsi="Arial Black"/>
          <w:sz w:val="28"/>
          <w:szCs w:val="28"/>
        </w:rPr>
        <w:t xml:space="preserve"> – CA </w:t>
      </w:r>
      <w:r>
        <w:rPr>
          <w:rFonts w:ascii="Arial Black" w:hAnsi="Arial Black"/>
          <w:sz w:val="28"/>
          <w:szCs w:val="28"/>
        </w:rPr>
        <w:t xml:space="preserve">EMERGENCY </w:t>
      </w:r>
      <w:r w:rsidR="00C32C23">
        <w:rPr>
          <w:rFonts w:ascii="Arial Black" w:hAnsi="Arial Black"/>
          <w:sz w:val="28"/>
          <w:szCs w:val="28"/>
        </w:rPr>
        <w:t>– 200 BLDG</w:t>
      </w:r>
      <w:r w:rsidR="004433DA">
        <w:rPr>
          <w:rFonts w:ascii="Arial Black" w:hAnsi="Arial Black"/>
          <w:sz w:val="28"/>
          <w:szCs w:val="28"/>
        </w:rPr>
        <w:t>S</w:t>
      </w:r>
    </w:p>
    <w:p w14:paraId="779EB6B5" w14:textId="77777777" w:rsidR="00BD564D" w:rsidRDefault="00BD564D" w:rsidP="00BD564D">
      <w:pPr>
        <w:pStyle w:val="NoSpacing"/>
      </w:pPr>
    </w:p>
    <w:p w14:paraId="7E519E77" w14:textId="77777777" w:rsidR="00A25359" w:rsidRPr="00A25359" w:rsidRDefault="00A25359" w:rsidP="00A25359">
      <w:pPr>
        <w:rPr>
          <w:rFonts w:ascii="Times New Roman" w:hAnsi="Times New Roman"/>
          <w:sz w:val="24"/>
          <w:szCs w:val="24"/>
        </w:rPr>
      </w:pPr>
      <w:r w:rsidRPr="00A25359">
        <w:rPr>
          <w:rFonts w:ascii="Times New Roman" w:hAnsi="Times New Roman"/>
          <w:sz w:val="24"/>
          <w:szCs w:val="24"/>
        </w:rPr>
        <w:t xml:space="preserve">On Dec. 9, 2024, in </w:t>
      </w:r>
      <w:r w:rsidRPr="00A25359">
        <w:rPr>
          <w:rFonts w:ascii="Times New Roman" w:hAnsi="Times New Roman"/>
          <w:sz w:val="24"/>
          <w:szCs w:val="24"/>
          <w:u w:val="single"/>
        </w:rPr>
        <w:t xml:space="preserve">Alexandria A. </w:t>
      </w:r>
      <w:proofErr w:type="spellStart"/>
      <w:r w:rsidRPr="00A25359">
        <w:rPr>
          <w:rFonts w:ascii="Times New Roman" w:hAnsi="Times New Roman"/>
          <w:sz w:val="24"/>
          <w:szCs w:val="24"/>
          <w:u w:val="single"/>
        </w:rPr>
        <w:t>Souverneva</w:t>
      </w:r>
      <w:proofErr w:type="spellEnd"/>
      <w:r w:rsidRPr="00A25359">
        <w:rPr>
          <w:rFonts w:ascii="Times New Roman" w:hAnsi="Times New Roman"/>
          <w:sz w:val="24"/>
          <w:szCs w:val="24"/>
          <w:u w:val="single"/>
        </w:rPr>
        <w:t xml:space="preserve"> v. The Superior Court of California</w:t>
      </w:r>
      <w:r w:rsidRPr="00A25359">
        <w:rPr>
          <w:rFonts w:ascii="Times New Roman" w:hAnsi="Times New Roman"/>
          <w:sz w:val="24"/>
          <w:szCs w:val="24"/>
        </w:rPr>
        <w:t xml:space="preserve">, the California Court of Appeals, Third Circuit, Shasta, held (3 to 0; unpublished decision) that the trial court, upon being informed she was competent to stand trial, revoked her bond (after two years being out on bond) given risk of further fires.  She started six fires in rural area on September 22, 2021, burning 200 structures and nearly 9,000 acres; she told a CAL FIRE Captain that she had bombs – they were actually  CO2 cartridges. The Court of Appeals reviewed her history of drug abuse and mental </w:t>
      </w:r>
      <w:proofErr w:type="gramStart"/>
      <w:r w:rsidRPr="00A25359">
        <w:rPr>
          <w:rFonts w:ascii="Times New Roman" w:hAnsi="Times New Roman"/>
          <w:sz w:val="24"/>
          <w:szCs w:val="24"/>
        </w:rPr>
        <w:t>illness, and</w:t>
      </w:r>
      <w:proofErr w:type="gramEnd"/>
      <w:r w:rsidRPr="00A25359">
        <w:rPr>
          <w:rFonts w:ascii="Times New Roman" w:hAnsi="Times New Roman"/>
          <w:sz w:val="24"/>
          <w:szCs w:val="24"/>
        </w:rPr>
        <w:t xml:space="preserve"> upheld the trial court. </w:t>
      </w:r>
      <w:hyperlink r:id="rId648" w:history="1">
        <w:r w:rsidRPr="00A25359">
          <w:rPr>
            <w:rStyle w:val="Hyperlink"/>
            <w:rFonts w:ascii="Times New Roman" w:hAnsi="Times New Roman"/>
            <w:sz w:val="24"/>
            <w:szCs w:val="24"/>
          </w:rPr>
          <w:t>https://casetext.com/case/souverneva-v-the-superior-court</w:t>
        </w:r>
      </w:hyperlink>
    </w:p>
    <w:p w14:paraId="1ED4430E" w14:textId="693396B5" w:rsidR="00BD564D" w:rsidRDefault="00BD564D" w:rsidP="00BD564D">
      <w:pPr>
        <w:pStyle w:val="NoSpacing"/>
        <w:rPr>
          <w:rFonts w:ascii="Times New Roman" w:hAnsi="Times New Roman"/>
          <w:sz w:val="24"/>
          <w:szCs w:val="24"/>
        </w:rPr>
      </w:pPr>
      <w:r w:rsidRPr="00BD564D">
        <w:rPr>
          <w:rFonts w:ascii="Times New Roman" w:hAnsi="Times New Roman"/>
          <w:sz w:val="24"/>
          <w:szCs w:val="24"/>
        </w:rPr>
        <w:t>The Court wrote:</w:t>
      </w:r>
    </w:p>
    <w:p w14:paraId="432E87E7" w14:textId="77777777" w:rsidR="007E2EC4" w:rsidRDefault="007E2EC4" w:rsidP="00BD564D">
      <w:pPr>
        <w:pStyle w:val="NoSpacing"/>
        <w:rPr>
          <w:rFonts w:ascii="Times New Roman" w:hAnsi="Times New Roman"/>
          <w:sz w:val="24"/>
          <w:szCs w:val="24"/>
        </w:rPr>
      </w:pPr>
    </w:p>
    <w:p w14:paraId="10A1E5B8" w14:textId="447699E1" w:rsidR="007E2EC4" w:rsidRPr="007E2EC4" w:rsidRDefault="007E2EC4" w:rsidP="007E2EC4">
      <w:pPr>
        <w:pStyle w:val="NoSpacing"/>
        <w:ind w:left="720"/>
        <w:rPr>
          <w:rFonts w:ascii="Times New Roman" w:hAnsi="Times New Roman"/>
          <w:sz w:val="24"/>
          <w:szCs w:val="24"/>
        </w:rPr>
      </w:pPr>
      <w:r w:rsidRPr="007E2EC4">
        <w:rPr>
          <w:rFonts w:ascii="Times New Roman" w:hAnsi="Times New Roman"/>
          <w:sz w:val="24"/>
          <w:szCs w:val="24"/>
        </w:rPr>
        <w:t>“</w:t>
      </w:r>
      <w:proofErr w:type="spellStart"/>
      <w:r w:rsidRPr="007E2EC4">
        <w:rPr>
          <w:rFonts w:ascii="Times New Roman" w:hAnsi="Times New Roman"/>
          <w:sz w:val="24"/>
          <w:szCs w:val="24"/>
        </w:rPr>
        <w:t>Souverneva</w:t>
      </w:r>
      <w:proofErr w:type="spellEnd"/>
      <w:r w:rsidRPr="007E2EC4">
        <w:rPr>
          <w:rFonts w:ascii="Times New Roman" w:hAnsi="Times New Roman"/>
          <w:sz w:val="24"/>
          <w:szCs w:val="24"/>
        </w:rPr>
        <w:t xml:space="preserve"> was charged with arson of forest land, and it was alleged the arson was committed during a state of emergency…. The record indicates that at the time of the hearing, </w:t>
      </w:r>
      <w:proofErr w:type="spellStart"/>
      <w:r w:rsidRPr="007E2EC4">
        <w:rPr>
          <w:rFonts w:ascii="Times New Roman" w:hAnsi="Times New Roman"/>
          <w:sz w:val="24"/>
          <w:szCs w:val="24"/>
        </w:rPr>
        <w:t>Souverneva</w:t>
      </w:r>
      <w:proofErr w:type="spellEnd"/>
      <w:r w:rsidRPr="007E2EC4">
        <w:rPr>
          <w:rFonts w:ascii="Times New Roman" w:hAnsi="Times New Roman"/>
          <w:sz w:val="24"/>
          <w:szCs w:val="24"/>
        </w:rPr>
        <w:t xml:space="preserve"> had been out of custody on bond for over two years, apparently without incident, and had sought treatment for her bipolar disorder. Nevertheless, substantial evidence supports the trial court's finding of an unreasonable risk to public </w:t>
      </w:r>
      <w:proofErr w:type="gramStart"/>
      <w:r w:rsidRPr="007E2EC4">
        <w:rPr>
          <w:rFonts w:ascii="Times New Roman" w:hAnsi="Times New Roman"/>
          <w:sz w:val="24"/>
          <w:szCs w:val="24"/>
        </w:rPr>
        <w:t>safety.”</w:t>
      </w:r>
      <w:proofErr w:type="gramEnd"/>
      <w:r w:rsidRPr="007E2EC4">
        <w:rPr>
          <w:rFonts w:ascii="Times New Roman" w:hAnsi="Times New Roman"/>
          <w:sz w:val="24"/>
          <w:szCs w:val="24"/>
        </w:rPr>
        <w:t xml:space="preserve">  </w:t>
      </w:r>
      <w:hyperlink r:id="rId649" w:history="1">
        <w:r w:rsidRPr="007E2EC4">
          <w:rPr>
            <w:rStyle w:val="Hyperlink"/>
            <w:rFonts w:ascii="Times New Roman" w:hAnsi="Times New Roman"/>
            <w:sz w:val="24"/>
            <w:szCs w:val="24"/>
          </w:rPr>
          <w:t>t</w:t>
        </w:r>
      </w:hyperlink>
      <w:r w:rsidRPr="007E2EC4">
        <w:rPr>
          <w:rFonts w:ascii="Times New Roman" w:hAnsi="Times New Roman"/>
          <w:sz w:val="24"/>
          <w:szCs w:val="24"/>
        </w:rPr>
        <w:t xml:space="preserve"> </w:t>
      </w:r>
    </w:p>
    <w:p w14:paraId="58D22352" w14:textId="77777777" w:rsidR="007E2EC4" w:rsidRPr="00BD564D" w:rsidRDefault="007E2EC4" w:rsidP="00BD564D">
      <w:pPr>
        <w:pStyle w:val="NoSpacing"/>
        <w:rPr>
          <w:rFonts w:ascii="Times New Roman" w:hAnsi="Times New Roman"/>
          <w:sz w:val="24"/>
          <w:szCs w:val="24"/>
        </w:rPr>
      </w:pPr>
    </w:p>
    <w:p w14:paraId="1AB254E3" w14:textId="77777777" w:rsidR="00C32C23" w:rsidRDefault="00C32C23" w:rsidP="00C32C23">
      <w:pPr>
        <w:pStyle w:val="NoSpacing"/>
      </w:pPr>
      <w:r>
        <w:t>HOLDING:</w:t>
      </w:r>
    </w:p>
    <w:p w14:paraId="466F4947" w14:textId="77777777" w:rsidR="00C32C23" w:rsidRDefault="00C32C23" w:rsidP="00C32C23">
      <w:pPr>
        <w:pStyle w:val="NoSpacing"/>
      </w:pPr>
    </w:p>
    <w:p w14:paraId="365B0734"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“A trial court may consider the defendant's treatment plan and criminal history in assessing the defendant's suitability for pretrial diversion. (</w:t>
      </w:r>
      <w:hyperlink r:id="rId650" w:history="1">
        <w:r w:rsidRPr="00C32C23">
          <w:rPr>
            <w:rStyle w:val="Hyperlink"/>
            <w:rFonts w:ascii="Times New Roman" w:hAnsi="Times New Roman"/>
            <w:sz w:val="24"/>
            <w:szCs w:val="24"/>
          </w:rPr>
          <w:t>§ 1001.36, subd. (c)(4)</w:t>
        </w:r>
      </w:hyperlink>
      <w:r w:rsidRPr="00C32C23">
        <w:rPr>
          <w:rFonts w:ascii="Times New Roman" w:hAnsi="Times New Roman"/>
          <w:sz w:val="24"/>
          <w:szCs w:val="24"/>
        </w:rPr>
        <w:t xml:space="preserve">.) Here,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treatment plan did not address her alcohol, cannabis, and hallucinogen use disorders.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started drinking alcohol and smoking marijuana as a teenager. She drank alcohol excessively by age 18, drinking less while in college, but drinking heavily after her psychiatric hospitalization in 2015 and until 2018. She smoked marijuana daily during graduate school and when she was part of a </w:t>
      </w:r>
      <w:proofErr w:type="gramStart"/>
      <w:r w:rsidRPr="00C32C23">
        <w:rPr>
          <w:rFonts w:ascii="Times New Roman" w:hAnsi="Times New Roman"/>
          <w:sz w:val="24"/>
          <w:szCs w:val="24"/>
        </w:rPr>
        <w:t>group</w:t>
      </w:r>
      <w:proofErr w:type="gramEnd"/>
      <w:r w:rsidRPr="00C32C23">
        <w:rPr>
          <w:rFonts w:ascii="Times New Roman" w:hAnsi="Times New Roman"/>
          <w:sz w:val="24"/>
          <w:szCs w:val="24"/>
        </w:rPr>
        <w:t xml:space="preserve"> she </w:t>
      </w:r>
      <w:proofErr w:type="gramStart"/>
      <w:r w:rsidRPr="00C32C23">
        <w:rPr>
          <w:rFonts w:ascii="Times New Roman" w:hAnsi="Times New Roman"/>
          <w:sz w:val="24"/>
          <w:szCs w:val="24"/>
        </w:rPr>
        <w:t>labeled</w:t>
      </w:r>
      <w:proofErr w:type="gramEnd"/>
      <w:r w:rsidRPr="00C32C23">
        <w:rPr>
          <w:rFonts w:ascii="Times New Roman" w:hAnsi="Times New Roman"/>
          <w:sz w:val="24"/>
          <w:szCs w:val="24"/>
        </w:rPr>
        <w:t xml:space="preserve"> a "cult." She was part of that group from October 2020 to July 2021. During that period, she also occasionally ingested psychedelic mushrooms and peyote.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argues that inferring future dangerousness </w:t>
      </w:r>
      <w:r w:rsidRPr="00C32C23">
        <w:rPr>
          <w:rFonts w:ascii="Times New Roman" w:hAnsi="Times New Roman"/>
          <w:sz w:val="24"/>
          <w:szCs w:val="24"/>
        </w:rPr>
        <w:lastRenderedPageBreak/>
        <w:t xml:space="preserve">based on past marijuana use is error, and there was no evidence of violent conduct. But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use of alcohol and marijuana resulted in her 2017 arrest for driving under the influence of alcohol and hit and run, and four years later, her arrest for driving under the influence of marijuana, offenses that endangered the lives of others.</w:t>
      </w:r>
    </w:p>
    <w:p w14:paraId="5D302AA2" w14:textId="77777777" w:rsidR="00C32C23" w:rsidRPr="00C32C23" w:rsidRDefault="00C32C23" w:rsidP="00C32C23">
      <w:pPr>
        <w:pStyle w:val="NoSpacing"/>
        <w:ind w:left="720"/>
        <w:rPr>
          <w:rFonts w:ascii="Times New Roman" w:hAnsi="Times New Roman"/>
          <w:bCs/>
          <w:sz w:val="24"/>
          <w:szCs w:val="24"/>
        </w:rPr>
      </w:pPr>
    </w:p>
    <w:p w14:paraId="1BE07367"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w:t>
      </w:r>
    </w:p>
    <w:p w14:paraId="0CB7F523" w14:textId="77777777" w:rsidR="00C32C23" w:rsidRPr="00C32C23" w:rsidRDefault="00C32C23" w:rsidP="00C32C23">
      <w:pPr>
        <w:pStyle w:val="NoSpacing"/>
        <w:rPr>
          <w:rFonts w:ascii="Times New Roman" w:hAnsi="Times New Roman"/>
          <w:bCs/>
          <w:sz w:val="24"/>
          <w:szCs w:val="24"/>
        </w:rPr>
      </w:pPr>
    </w:p>
    <w:p w14:paraId="0843F478" w14:textId="77777777" w:rsidR="00C32C23" w:rsidRPr="00C32C23" w:rsidRDefault="00C32C23" w:rsidP="00C32C23">
      <w:pPr>
        <w:pStyle w:val="NoSpacing"/>
        <w:ind w:left="720"/>
        <w:rPr>
          <w:rFonts w:ascii="Times New Roman" w:hAnsi="Times New Roman"/>
          <w:bCs/>
          <w:sz w:val="24"/>
          <w:szCs w:val="24"/>
        </w:rPr>
      </w:pP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told Fire Captain </w:t>
      </w:r>
      <w:proofErr w:type="spellStart"/>
      <w:r w:rsidRPr="00C32C23">
        <w:rPr>
          <w:rFonts w:ascii="Times New Roman" w:hAnsi="Times New Roman"/>
          <w:sz w:val="24"/>
          <w:szCs w:val="24"/>
        </w:rPr>
        <w:t>Boic</w:t>
      </w:r>
      <w:proofErr w:type="spellEnd"/>
      <w:r w:rsidRPr="00C32C23">
        <w:rPr>
          <w:rFonts w:ascii="Times New Roman" w:hAnsi="Times New Roman"/>
          <w:sz w:val="24"/>
          <w:szCs w:val="24"/>
        </w:rPr>
        <w:t xml:space="preserve"> fires were good for the environment, and she was found walking </w:t>
      </w:r>
      <w:proofErr w:type="gramStart"/>
      <w:r w:rsidRPr="00C32C23">
        <w:rPr>
          <w:rFonts w:ascii="Times New Roman" w:hAnsi="Times New Roman"/>
          <w:sz w:val="24"/>
          <w:szCs w:val="24"/>
        </w:rPr>
        <w:t>in the area of</w:t>
      </w:r>
      <w:proofErr w:type="gramEnd"/>
      <w:r w:rsidRPr="00C32C23">
        <w:rPr>
          <w:rFonts w:ascii="Times New Roman" w:hAnsi="Times New Roman"/>
          <w:sz w:val="24"/>
          <w:szCs w:val="24"/>
        </w:rPr>
        <w:t xml:space="preserve"> the fires and possessed a working lighter and items she identified as a bomb and an incendiary device.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acknowledged that wildfires can cause loss of life. (</w:t>
      </w:r>
      <w:r w:rsidRPr="00C32C23">
        <w:rPr>
          <w:rFonts w:ascii="Times New Roman" w:hAnsi="Times New Roman"/>
          <w:i/>
          <w:iCs/>
          <w:sz w:val="24"/>
          <w:szCs w:val="24"/>
        </w:rPr>
        <w:t>Association of California Ins. Companies v. Jones</w:t>
      </w:r>
      <w:r w:rsidRPr="00C32C23">
        <w:rPr>
          <w:rFonts w:ascii="Times New Roman" w:hAnsi="Times New Roman"/>
          <w:sz w:val="24"/>
          <w:szCs w:val="24"/>
        </w:rPr>
        <w:t xml:space="preserve"> (2017) </w:t>
      </w:r>
      <w:hyperlink r:id="rId651" w:anchor="p382" w:history="1">
        <w:r w:rsidRPr="00C32C23">
          <w:rPr>
            <w:rStyle w:val="Hyperlink"/>
            <w:rFonts w:ascii="Times New Roman" w:hAnsi="Times New Roman"/>
            <w:sz w:val="24"/>
            <w:szCs w:val="24"/>
          </w:rPr>
          <w:t>2 Cal.5th 376, 382</w:t>
        </w:r>
      </w:hyperlink>
      <w:r w:rsidRPr="00C32C23">
        <w:rPr>
          <w:rFonts w:ascii="Times New Roman" w:hAnsi="Times New Roman"/>
          <w:sz w:val="24"/>
          <w:szCs w:val="24"/>
        </w:rPr>
        <w:t xml:space="preserve"> ["Wildfires are a fact of life in California, and so, too, are the threats they pose to people and property."]; </w:t>
      </w:r>
      <w:r w:rsidRPr="00C32C23">
        <w:rPr>
          <w:rFonts w:ascii="Times New Roman" w:hAnsi="Times New Roman"/>
          <w:i/>
          <w:iCs/>
          <w:sz w:val="24"/>
          <w:szCs w:val="24"/>
        </w:rPr>
        <w:t>Pacheco, supra</w:t>
      </w:r>
      <w:r w:rsidRPr="00C32C23">
        <w:rPr>
          <w:rFonts w:ascii="Times New Roman" w:hAnsi="Times New Roman"/>
          <w:sz w:val="24"/>
          <w:szCs w:val="24"/>
        </w:rPr>
        <w:t xml:space="preserve">, </w:t>
      </w:r>
      <w:hyperlink r:id="rId652" w:anchor="p209" w:history="1">
        <w:r w:rsidRPr="00C32C23">
          <w:rPr>
            <w:rStyle w:val="Hyperlink"/>
            <w:rFonts w:ascii="Times New Roman" w:hAnsi="Times New Roman"/>
            <w:sz w:val="24"/>
            <w:szCs w:val="24"/>
          </w:rPr>
          <w:t>75 Cal.App.5th at p. 209</w:t>
        </w:r>
      </w:hyperlink>
      <w:r w:rsidRPr="00C32C23">
        <w:rPr>
          <w:rFonts w:ascii="Times New Roman" w:hAnsi="Times New Roman"/>
          <w:sz w:val="24"/>
          <w:szCs w:val="24"/>
        </w:rPr>
        <w:t xml:space="preserve">.) In light of the severe potential consequences of starting wildfires,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statement to the fire captain,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failure to address her substance abuse, Dr. Caruso's opinion that marijuana use would likely cause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to detach from reality, and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history of not complying with treatment, the trial court did not abuse its discretion in finding that granting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pretrial diversion would pose an unreasonable risk that she would start a wildfire and cause loss of life.”</w:t>
      </w:r>
    </w:p>
    <w:p w14:paraId="32064E46" w14:textId="77777777" w:rsidR="00C32C23" w:rsidRPr="00C32C23" w:rsidRDefault="00C32C23" w:rsidP="00C32C23">
      <w:pPr>
        <w:pStyle w:val="NoSpacing"/>
        <w:ind w:left="720"/>
        <w:rPr>
          <w:rFonts w:ascii="Times New Roman" w:hAnsi="Times New Roman"/>
          <w:bCs/>
          <w:sz w:val="24"/>
          <w:szCs w:val="24"/>
        </w:rPr>
      </w:pPr>
    </w:p>
    <w:p w14:paraId="36F5B37D" w14:textId="77777777" w:rsidR="00C32C23" w:rsidRPr="00C32C23" w:rsidRDefault="00C32C23" w:rsidP="00C32C23">
      <w:pPr>
        <w:pStyle w:val="NoSpacing"/>
        <w:rPr>
          <w:rFonts w:ascii="Times New Roman" w:hAnsi="Times New Roman"/>
          <w:b/>
          <w:sz w:val="24"/>
          <w:szCs w:val="24"/>
        </w:rPr>
      </w:pPr>
      <w:r w:rsidRPr="00C32C23">
        <w:rPr>
          <w:rFonts w:ascii="Times New Roman" w:hAnsi="Times New Roman"/>
          <w:b/>
          <w:sz w:val="24"/>
          <w:szCs w:val="24"/>
        </w:rPr>
        <w:t xml:space="preserve">Legal Lesson Learned:  The trial court properly found that during a fire risk emergency, a defendant who </w:t>
      </w:r>
      <w:proofErr w:type="gramStart"/>
      <w:r w:rsidRPr="00C32C23">
        <w:rPr>
          <w:rFonts w:ascii="Times New Roman" w:hAnsi="Times New Roman"/>
          <w:b/>
          <w:sz w:val="24"/>
          <w:szCs w:val="24"/>
        </w:rPr>
        <w:t>starting</w:t>
      </w:r>
      <w:proofErr w:type="gramEnd"/>
      <w:r w:rsidRPr="00C32C23">
        <w:rPr>
          <w:rFonts w:ascii="Times New Roman" w:hAnsi="Times New Roman"/>
          <w:b/>
          <w:sz w:val="24"/>
          <w:szCs w:val="24"/>
        </w:rPr>
        <w:t xml:space="preserve"> six fires with mental health and drug abuse, is a risk to the public. </w:t>
      </w:r>
    </w:p>
    <w:p w14:paraId="0AF39702" w14:textId="77777777" w:rsidR="00C32C23" w:rsidRPr="00C32C23" w:rsidRDefault="00C32C23" w:rsidP="00C32C23">
      <w:pPr>
        <w:pStyle w:val="NoSpacing"/>
        <w:rPr>
          <w:rFonts w:ascii="Times New Roman" w:hAnsi="Times New Roman"/>
          <w:bCs/>
          <w:sz w:val="24"/>
          <w:szCs w:val="24"/>
        </w:rPr>
      </w:pPr>
    </w:p>
    <w:p w14:paraId="3DF4DDFA"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See Feb. 27, 2024, article  [TV VIDEO], “Fawn fire trial delayed again, Shasta County DA responds.” REDDING, Calif. — The</w:t>
      </w:r>
      <w:hyperlink r:id="rId653" w:tgtFrame="_blank" w:tooltip="https://krcrtv.com/news/local/long-awaited-settlement-conference-in-fawn-fire-arson-case-brings-hope-to-victims#" w:history="1">
        <w:r w:rsidRPr="00C32C23">
          <w:rPr>
            <w:rStyle w:val="Hyperlink"/>
            <w:rFonts w:ascii="Times New Roman" w:hAnsi="Times New Roman"/>
            <w:sz w:val="24"/>
            <w:szCs w:val="24"/>
          </w:rPr>
          <w:t xml:space="preserve"> Fawn Fire trial </w:t>
        </w:r>
      </w:hyperlink>
      <w:r w:rsidRPr="00C32C23">
        <w:rPr>
          <w:rFonts w:ascii="Times New Roman" w:hAnsi="Times New Roman"/>
          <w:sz w:val="24"/>
          <w:szCs w:val="24"/>
        </w:rPr>
        <w:t xml:space="preserve">has been postponed again. Alleged arsonist </w:t>
      </w:r>
      <w:hyperlink r:id="rId654" w:tgtFrame="_blank" w:tooltip="https://krcrtv.com/news/local/long-awaited-settlement-conference-in-fawn-fire-arson-case-brings-hope-to-victims#" w:history="1">
        <w:r w:rsidRPr="00C32C23">
          <w:rPr>
            <w:rStyle w:val="Hyperlink"/>
            <w:rFonts w:ascii="Times New Roman" w:hAnsi="Times New Roman"/>
            <w:sz w:val="24"/>
            <w:szCs w:val="24"/>
          </w:rPr>
          <w:t>Alexandra Souverneva</w:t>
        </w:r>
      </w:hyperlink>
      <w:r w:rsidRPr="00C32C23">
        <w:rPr>
          <w:rFonts w:ascii="Times New Roman" w:hAnsi="Times New Roman"/>
          <w:sz w:val="24"/>
          <w:szCs w:val="24"/>
        </w:rPr>
        <w:t xml:space="preserve"> will no longer be starting trial on March 1.</w:t>
      </w:r>
    </w:p>
    <w:p w14:paraId="75F486C6"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Shasta County District Attorney Stephanie Bridgett says this was discussed in court Monday, where her attorney once again filed for a mental health diversion. It's been 2.5 years since the fire took place, burning homes and land in north Redding for 10 days, destroying nearly 200 structures and burning nearly 9,000 acres. Bridgett says that trials can be a lengthy process, especially when they involve felonies.</w:t>
      </w:r>
    </w:p>
    <w:p w14:paraId="501D28F5" w14:textId="77777777" w:rsidR="00BD564D" w:rsidRPr="00C32C23" w:rsidRDefault="00BD564D" w:rsidP="00BD564D">
      <w:pPr>
        <w:pStyle w:val="NoSpacing"/>
        <w:rPr>
          <w:rFonts w:ascii="Times New Roman" w:hAnsi="Times New Roman"/>
          <w:sz w:val="24"/>
          <w:szCs w:val="24"/>
        </w:rPr>
      </w:pPr>
    </w:p>
    <w:p w14:paraId="1A5AACB2" w14:textId="77777777" w:rsidR="00FE0B61" w:rsidRDefault="00FE0B61" w:rsidP="00F326E5">
      <w:pPr>
        <w:pStyle w:val="NoSpacing"/>
        <w:rPr>
          <w:rFonts w:ascii="Arial Black" w:hAnsi="Arial Black"/>
          <w:sz w:val="28"/>
          <w:szCs w:val="28"/>
        </w:rPr>
      </w:pPr>
    </w:p>
    <w:p w14:paraId="13C7DB7C" w14:textId="2DF49090" w:rsidR="00CB0F04" w:rsidRDefault="00A0601A" w:rsidP="00F326E5">
      <w:pPr>
        <w:pStyle w:val="NoSpacing"/>
        <w:rPr>
          <w:rFonts w:ascii="Arial Black" w:hAnsi="Arial Black"/>
          <w:sz w:val="28"/>
          <w:szCs w:val="28"/>
        </w:rPr>
      </w:pPr>
      <w:r>
        <w:rPr>
          <w:rFonts w:ascii="Arial Black" w:hAnsi="Arial Black"/>
          <w:sz w:val="28"/>
          <w:szCs w:val="28"/>
        </w:rPr>
        <w:t>3-69</w:t>
      </w:r>
    </w:p>
    <w:p w14:paraId="04185549" w14:textId="77777777" w:rsidR="00A0601A" w:rsidRDefault="00A0601A" w:rsidP="00F326E5">
      <w:pPr>
        <w:pStyle w:val="NoSpacing"/>
        <w:rPr>
          <w:rFonts w:ascii="Arial Black" w:hAnsi="Arial Black"/>
          <w:sz w:val="28"/>
          <w:szCs w:val="28"/>
        </w:rPr>
      </w:pPr>
    </w:p>
    <w:p w14:paraId="6D798485" w14:textId="77777777" w:rsidR="00A0601A" w:rsidRDefault="00A0601A" w:rsidP="00A0601A">
      <w:pPr>
        <w:pStyle w:val="NoSpacing"/>
        <w:rPr>
          <w:b/>
        </w:rPr>
      </w:pPr>
      <w:r>
        <w:rPr>
          <w:rFonts w:ascii="Arial Black" w:hAnsi="Arial Black"/>
          <w:b/>
          <w:sz w:val="28"/>
          <w:szCs w:val="28"/>
        </w:rPr>
        <w:t xml:space="preserve">IL: PELLET GUN - MIDDLE SCHOOL STUDENT LOCKER – SAME DAY UVALDE, TX MASS SHOOTING – 1-YR SUSP. </w:t>
      </w:r>
    </w:p>
    <w:p w14:paraId="69DDD6FA" w14:textId="77777777" w:rsidR="00A0601A" w:rsidRDefault="00A0601A" w:rsidP="00A0601A">
      <w:pPr>
        <w:pStyle w:val="NoSpacing"/>
        <w:ind w:firstLine="720"/>
        <w:rPr>
          <w:b/>
        </w:rPr>
      </w:pPr>
    </w:p>
    <w:p w14:paraId="7E8D2DFA" w14:textId="77777777" w:rsidR="00A0601A" w:rsidRPr="00301E8E" w:rsidRDefault="00A0601A" w:rsidP="00A0601A">
      <w:pPr>
        <w:pStyle w:val="NoSpacing"/>
        <w:rPr>
          <w:rFonts w:ascii="Times New Roman" w:hAnsi="Times New Roman"/>
          <w:b/>
          <w:sz w:val="24"/>
          <w:szCs w:val="24"/>
        </w:rPr>
      </w:pPr>
      <w:r w:rsidRPr="00301E8E">
        <w:rPr>
          <w:rFonts w:ascii="Times New Roman" w:hAnsi="Times New Roman"/>
          <w:sz w:val="24"/>
          <w:szCs w:val="24"/>
        </w:rPr>
        <w:t xml:space="preserve">On Nov. 27, 2024, in </w:t>
      </w:r>
      <w:r w:rsidRPr="00301E8E">
        <w:rPr>
          <w:rFonts w:ascii="Times New Roman" w:hAnsi="Times New Roman"/>
          <w:sz w:val="24"/>
          <w:szCs w:val="24"/>
          <w:u w:val="single"/>
        </w:rPr>
        <w:t>A.A., a minor, by and through his next friend and parent, Elizabeth Pasillas v. Board of Education, Summit School District No. 104</w:t>
      </w:r>
      <w:r w:rsidRPr="00301E8E">
        <w:rPr>
          <w:rFonts w:ascii="Times New Roman" w:hAnsi="Times New Roman"/>
          <w:sz w:val="24"/>
          <w:szCs w:val="24"/>
        </w:rPr>
        <w:t xml:space="preserve">, the Appellate Court of Illinois, First District, held (2 to 1), that the School Board properly suspended the 13-year-old for one-year, overturning decision by trial court judge. The pellet gun was discovered on May 24, 2022, the same day that a mass shooter murdered 19 fourth graders and two teachers at an elementary school in Uvalde, Texas. The Court wrote: “However, it is entirely reasonable for the school officials to have taken the national school shooting landscape into consideration when deciding A.A.’s discipline. One of the determinations that the officials had to make under subsection (b-20) was whether A.A.’s ongoing presence would ‘substantially disrupt, impede, or interfere with the operation of the school.’ That analysis would logically include a consideration of the effect of A.A.’s presence on his classmates and their educational environment. Given the prevalence of school shootings in this country, it would be natural for A.A.’s fellow students to be wary and concerned about the presence of someone who brought a lookalike gun to school.” </w:t>
      </w:r>
      <w:hyperlink r:id="rId655" w:history="1">
        <w:r w:rsidRPr="00301E8E">
          <w:rPr>
            <w:rStyle w:val="Hyperlink"/>
            <w:rFonts w:ascii="Times New Roman" w:hAnsi="Times New Roman"/>
            <w:sz w:val="24"/>
            <w:szCs w:val="24"/>
          </w:rPr>
          <w:t>https://ilcourtsaudio.blob.core.windows.net/antilles-resources/resources/aa9ece1f-338b-4d77-9d21-fd7bfa316d8e/A.A.%20%20v.%20Board%20of%20Education%20of%20Summit%20School%20District%20No.%20104,%202024%20IL%20App%20(1st)%20232451.pdf</w:t>
        </w:r>
      </w:hyperlink>
      <w:r w:rsidRPr="00301E8E">
        <w:rPr>
          <w:rFonts w:ascii="Times New Roman" w:hAnsi="Times New Roman"/>
          <w:sz w:val="24"/>
          <w:szCs w:val="24"/>
        </w:rPr>
        <w:t xml:space="preserve"> </w:t>
      </w:r>
    </w:p>
    <w:p w14:paraId="0929C503" w14:textId="77777777" w:rsidR="00A0601A" w:rsidRPr="00301E8E" w:rsidRDefault="00A0601A" w:rsidP="00A0601A">
      <w:pPr>
        <w:pStyle w:val="NoSpacing"/>
        <w:ind w:firstLine="720"/>
        <w:rPr>
          <w:rFonts w:ascii="Times New Roman" w:hAnsi="Times New Roman"/>
          <w:b/>
          <w:sz w:val="24"/>
          <w:szCs w:val="24"/>
        </w:rPr>
      </w:pPr>
    </w:p>
    <w:p w14:paraId="43C81279" w14:textId="4C34B2AE" w:rsidR="00A0601A" w:rsidRPr="00301E8E" w:rsidRDefault="00301E8E" w:rsidP="00F326E5">
      <w:pPr>
        <w:pStyle w:val="NoSpacing"/>
        <w:rPr>
          <w:rFonts w:ascii="Times New Roman" w:hAnsi="Times New Roman"/>
          <w:sz w:val="24"/>
          <w:szCs w:val="24"/>
        </w:rPr>
      </w:pPr>
      <w:r w:rsidRPr="00301E8E">
        <w:rPr>
          <w:rFonts w:ascii="Times New Roman" w:hAnsi="Times New Roman"/>
          <w:sz w:val="24"/>
          <w:szCs w:val="24"/>
        </w:rPr>
        <w:t>See Dissent</w:t>
      </w:r>
    </w:p>
    <w:p w14:paraId="483F1582" w14:textId="77777777" w:rsidR="00301E8E" w:rsidRPr="00301E8E" w:rsidRDefault="00301E8E" w:rsidP="00F326E5">
      <w:pPr>
        <w:pStyle w:val="NoSpacing"/>
        <w:rPr>
          <w:rFonts w:ascii="Times New Roman" w:hAnsi="Times New Roman"/>
          <w:sz w:val="24"/>
          <w:szCs w:val="24"/>
        </w:rPr>
      </w:pPr>
    </w:p>
    <w:p w14:paraId="22ACFF37" w14:textId="77777777" w:rsidR="00301E8E" w:rsidRPr="00301E8E" w:rsidRDefault="00301E8E" w:rsidP="00301E8E">
      <w:pPr>
        <w:pStyle w:val="NoSpacing"/>
        <w:rPr>
          <w:rFonts w:ascii="Times New Roman" w:hAnsi="Times New Roman"/>
          <w:b/>
          <w:bCs/>
          <w:sz w:val="24"/>
          <w:szCs w:val="24"/>
        </w:rPr>
      </w:pPr>
      <w:r w:rsidRPr="00301E8E">
        <w:rPr>
          <w:rFonts w:ascii="Times New Roman" w:hAnsi="Times New Roman"/>
          <w:b/>
          <w:sz w:val="24"/>
          <w:szCs w:val="24"/>
        </w:rPr>
        <w:t xml:space="preserve">Legal Lesson Learned:  The 1-year suspension certainly sends a message to all students in the school; nice to read about State statute mandating 2-year expulsion for bringing firearm to school. </w:t>
      </w:r>
    </w:p>
    <w:p w14:paraId="61C7A709" w14:textId="77777777" w:rsidR="00301E8E" w:rsidRPr="00301E8E" w:rsidRDefault="00301E8E" w:rsidP="00301E8E">
      <w:pPr>
        <w:pStyle w:val="NoSpacing"/>
        <w:rPr>
          <w:rFonts w:ascii="Times New Roman" w:hAnsi="Times New Roman"/>
          <w:sz w:val="24"/>
          <w:szCs w:val="24"/>
        </w:rPr>
      </w:pPr>
    </w:p>
    <w:p w14:paraId="3B82C42E" w14:textId="77777777" w:rsidR="00301E8E" w:rsidRDefault="00301E8E" w:rsidP="00F326E5">
      <w:pPr>
        <w:pStyle w:val="NoSpacing"/>
        <w:rPr>
          <w:rFonts w:ascii="Arial Black" w:hAnsi="Arial Black"/>
          <w:sz w:val="28"/>
          <w:szCs w:val="28"/>
        </w:rPr>
      </w:pPr>
    </w:p>
    <w:p w14:paraId="0C83CB93" w14:textId="77777777" w:rsidR="00A0601A" w:rsidRDefault="00A0601A" w:rsidP="00F326E5">
      <w:pPr>
        <w:pStyle w:val="NoSpacing"/>
        <w:rPr>
          <w:rFonts w:ascii="Arial Black" w:hAnsi="Arial Black"/>
          <w:sz w:val="28"/>
          <w:szCs w:val="28"/>
        </w:rPr>
      </w:pPr>
    </w:p>
    <w:p w14:paraId="31D314A8" w14:textId="77777777" w:rsidR="00A0601A" w:rsidRDefault="00A0601A" w:rsidP="00F326E5">
      <w:pPr>
        <w:pStyle w:val="NoSpacing"/>
        <w:rPr>
          <w:rFonts w:ascii="Arial Black" w:hAnsi="Arial Black"/>
          <w:sz w:val="28"/>
          <w:szCs w:val="28"/>
        </w:rPr>
      </w:pPr>
    </w:p>
    <w:p w14:paraId="7A4D821E" w14:textId="77777777" w:rsidR="00A0601A" w:rsidRDefault="00A0601A" w:rsidP="00F326E5">
      <w:pPr>
        <w:pStyle w:val="NoSpacing"/>
        <w:rPr>
          <w:rFonts w:ascii="Arial Black" w:hAnsi="Arial Black"/>
          <w:sz w:val="28"/>
          <w:szCs w:val="28"/>
        </w:rPr>
      </w:pPr>
    </w:p>
    <w:p w14:paraId="27D66F02" w14:textId="176A6070" w:rsidR="00110AE2" w:rsidRDefault="0098663B" w:rsidP="00F326E5">
      <w:pPr>
        <w:pStyle w:val="NoSpacing"/>
        <w:rPr>
          <w:rFonts w:ascii="Arial Black" w:hAnsi="Arial Black"/>
          <w:sz w:val="28"/>
          <w:szCs w:val="28"/>
        </w:rPr>
      </w:pPr>
      <w:r>
        <w:rPr>
          <w:rFonts w:ascii="Arial Black" w:hAnsi="Arial Black"/>
          <w:sz w:val="28"/>
          <w:szCs w:val="28"/>
        </w:rPr>
        <w:t>3-68</w:t>
      </w:r>
    </w:p>
    <w:p w14:paraId="62B8B05B" w14:textId="77777777" w:rsidR="0098663B" w:rsidRDefault="0098663B" w:rsidP="00F326E5">
      <w:pPr>
        <w:pStyle w:val="NoSpacing"/>
        <w:rPr>
          <w:rFonts w:ascii="Arial Black" w:hAnsi="Arial Black"/>
          <w:sz w:val="28"/>
          <w:szCs w:val="28"/>
        </w:rPr>
      </w:pPr>
    </w:p>
    <w:p w14:paraId="2EFBF4EA" w14:textId="77777777" w:rsidR="00452CAA" w:rsidRPr="00AF49D1" w:rsidRDefault="00452CAA" w:rsidP="00452CAA">
      <w:pPr>
        <w:rPr>
          <w:rFonts w:ascii="Times New Roman" w:hAnsi="Times New Roman"/>
          <w:b/>
          <w:bCs/>
          <w:sz w:val="24"/>
          <w:szCs w:val="24"/>
        </w:rPr>
      </w:pPr>
      <w:r w:rsidRPr="00AF49D1">
        <w:rPr>
          <w:rFonts w:ascii="Times New Roman" w:hAnsi="Times New Roman"/>
          <w:b/>
          <w:bCs/>
          <w:sz w:val="24"/>
          <w:szCs w:val="24"/>
        </w:rPr>
        <w:t>DC: SECRET SERVICE PROTECTION – NO ENTERING RESTRICTED ZONE – CAPITOL INVASION – 14 DAYS JAIL</w:t>
      </w:r>
    </w:p>
    <w:p w14:paraId="12EF7FB7" w14:textId="77777777" w:rsidR="00452CAA" w:rsidRPr="00AF49D1" w:rsidRDefault="00452CAA" w:rsidP="00452CAA">
      <w:pPr>
        <w:rPr>
          <w:rFonts w:ascii="Times New Roman" w:hAnsi="Times New Roman"/>
          <w:sz w:val="24"/>
          <w:szCs w:val="24"/>
        </w:rPr>
      </w:pPr>
      <w:r w:rsidRPr="00AF49D1">
        <w:rPr>
          <w:rFonts w:ascii="Times New Roman" w:hAnsi="Times New Roman"/>
          <w:sz w:val="24"/>
          <w:szCs w:val="24"/>
        </w:rPr>
        <w:t xml:space="preserve">On Oct. 22, </w:t>
      </w:r>
      <w:proofErr w:type="gramStart"/>
      <w:r w:rsidRPr="00AF49D1">
        <w:rPr>
          <w:rFonts w:ascii="Times New Roman" w:hAnsi="Times New Roman"/>
          <w:sz w:val="24"/>
          <w:szCs w:val="24"/>
        </w:rPr>
        <w:t>2024</w:t>
      </w:r>
      <w:proofErr w:type="gramEnd"/>
      <w:r w:rsidRPr="00AF49D1">
        <w:rPr>
          <w:rFonts w:ascii="Times New Roman" w:hAnsi="Times New Roman"/>
          <w:sz w:val="24"/>
          <w:szCs w:val="24"/>
        </w:rPr>
        <w:t xml:space="preserve"> in </w:t>
      </w:r>
      <w:r w:rsidRPr="00AF49D1">
        <w:rPr>
          <w:rFonts w:ascii="Times New Roman" w:hAnsi="Times New Roman"/>
          <w:sz w:val="24"/>
          <w:szCs w:val="24"/>
          <w:u w:val="single"/>
        </w:rPr>
        <w:t xml:space="preserve">United States </w:t>
      </w:r>
      <w:proofErr w:type="spellStart"/>
      <w:r w:rsidRPr="00AF49D1">
        <w:rPr>
          <w:rFonts w:ascii="Times New Roman" w:hAnsi="Times New Roman"/>
          <w:sz w:val="24"/>
          <w:szCs w:val="24"/>
          <w:u w:val="single"/>
        </w:rPr>
        <w:t>o</w:t>
      </w:r>
      <w:proofErr w:type="spellEnd"/>
      <w:r w:rsidRPr="00AF49D1">
        <w:rPr>
          <w:rFonts w:ascii="Times New Roman" w:hAnsi="Times New Roman"/>
          <w:sz w:val="24"/>
          <w:szCs w:val="24"/>
          <w:u w:val="single"/>
        </w:rPr>
        <w:t xml:space="preserve"> America v. Couy Griffin</w:t>
      </w:r>
      <w:r w:rsidRPr="00AF49D1">
        <w:rPr>
          <w:rFonts w:ascii="Times New Roman" w:hAnsi="Times New Roman"/>
          <w:sz w:val="24"/>
          <w:szCs w:val="24"/>
        </w:rPr>
        <w:t xml:space="preserve">, the U.S. Court of Appeals for the District of Columbia Circuit, held (3 to 0): “This appeal turns on interpretation of a federal law enacted to better protect the President and other national leaders from assassination, kidnapping, and assault. The law creates a narrow domain of federal trespass authority to prevent unauthorized members of the public from getting too close to a person under Secret Service protection.*** The defendant says a person ‘knowingly enters’ the restricted safety zone only if he knows that the basis of the restriction is to safeguard a Secret Service </w:t>
      </w:r>
      <w:proofErr w:type="spellStart"/>
      <w:r w:rsidRPr="00AF49D1">
        <w:rPr>
          <w:rFonts w:ascii="Times New Roman" w:hAnsi="Times New Roman"/>
          <w:sz w:val="24"/>
          <w:szCs w:val="24"/>
        </w:rPr>
        <w:t>protectee</w:t>
      </w:r>
      <w:proofErr w:type="spellEnd"/>
      <w:r w:rsidRPr="00AF49D1">
        <w:rPr>
          <w:rFonts w:ascii="Times New Roman" w:hAnsi="Times New Roman"/>
          <w:sz w:val="24"/>
          <w:szCs w:val="24"/>
        </w:rPr>
        <w:t xml:space="preserve">. Id. § 1752(a)(1). We hold that knowingly breaching the restricted area suffices, even without knowing the basis of the restriction—here, the presence of Vice President Pence at the Capitol on January 6—which merely confirms that such trespasses are within Congress’s legislative authority.” </w:t>
      </w:r>
      <w:hyperlink r:id="rId656" w:history="1">
        <w:r w:rsidRPr="00AF49D1">
          <w:rPr>
            <w:rStyle w:val="Hyperlink"/>
            <w:rFonts w:ascii="Times New Roman" w:hAnsi="Times New Roman"/>
            <w:sz w:val="24"/>
            <w:szCs w:val="24"/>
          </w:rPr>
          <w:t>https://media.cadc.uscourts.gov/opinions/docs/2024/10/22-3042-2081254.pdf</w:t>
        </w:r>
      </w:hyperlink>
      <w:r w:rsidRPr="00AF49D1">
        <w:rPr>
          <w:rFonts w:ascii="Times New Roman" w:hAnsi="Times New Roman"/>
          <w:sz w:val="24"/>
          <w:szCs w:val="24"/>
        </w:rPr>
        <w:t xml:space="preserve"> </w:t>
      </w:r>
    </w:p>
    <w:p w14:paraId="0A96FF24" w14:textId="77777777" w:rsidR="00AF49D1" w:rsidRPr="00AF49D1" w:rsidRDefault="00AF49D1" w:rsidP="00AF49D1">
      <w:pPr>
        <w:rPr>
          <w:rFonts w:ascii="Times New Roman" w:hAnsi="Times New Roman"/>
          <w:b/>
          <w:sz w:val="24"/>
          <w:szCs w:val="24"/>
        </w:rPr>
      </w:pPr>
      <w:r w:rsidRPr="00AF49D1">
        <w:rPr>
          <w:rFonts w:ascii="Times New Roman" w:hAnsi="Times New Roman"/>
          <w:b/>
          <w:sz w:val="24"/>
          <w:szCs w:val="24"/>
        </w:rPr>
        <w:t>Legal Lesson Learned: May not enter a Secret Service restricted area.</w:t>
      </w:r>
    </w:p>
    <w:p w14:paraId="45AA9D3A" w14:textId="77777777" w:rsidR="00110AE2" w:rsidRDefault="00110AE2" w:rsidP="00F326E5">
      <w:pPr>
        <w:pStyle w:val="NoSpacing"/>
        <w:rPr>
          <w:rFonts w:ascii="Arial Black" w:hAnsi="Arial Black"/>
          <w:sz w:val="28"/>
          <w:szCs w:val="28"/>
        </w:rPr>
      </w:pPr>
    </w:p>
    <w:p w14:paraId="03FC858C" w14:textId="686D56DF" w:rsidR="00110AE2" w:rsidRDefault="00110AE2" w:rsidP="00F326E5">
      <w:pPr>
        <w:pStyle w:val="NoSpacing"/>
        <w:rPr>
          <w:rFonts w:ascii="Arial Black" w:hAnsi="Arial Black"/>
          <w:sz w:val="28"/>
          <w:szCs w:val="28"/>
        </w:rPr>
      </w:pPr>
      <w:r>
        <w:rPr>
          <w:rFonts w:ascii="Arial Black" w:hAnsi="Arial Black"/>
          <w:sz w:val="28"/>
          <w:szCs w:val="28"/>
        </w:rPr>
        <w:t>3-67</w:t>
      </w:r>
    </w:p>
    <w:p w14:paraId="42B61BAD" w14:textId="77777777" w:rsidR="000F2630" w:rsidRDefault="000F2630" w:rsidP="00F326E5">
      <w:pPr>
        <w:pStyle w:val="NoSpacing"/>
        <w:rPr>
          <w:rFonts w:ascii="Arial Black" w:hAnsi="Arial Black"/>
          <w:sz w:val="28"/>
          <w:szCs w:val="28"/>
        </w:rPr>
      </w:pPr>
    </w:p>
    <w:p w14:paraId="0ADB3C0D" w14:textId="77777777" w:rsidR="0037347A" w:rsidRPr="00A56F69" w:rsidRDefault="0037347A" w:rsidP="0037347A">
      <w:pPr>
        <w:pStyle w:val="NoSpacing"/>
        <w:rPr>
          <w:rFonts w:ascii="Times New Roman" w:hAnsi="Times New Roman"/>
          <w:b/>
          <w:bCs/>
          <w:sz w:val="24"/>
          <w:szCs w:val="24"/>
        </w:rPr>
      </w:pPr>
      <w:r w:rsidRPr="00A56F69">
        <w:rPr>
          <w:rFonts w:ascii="Times New Roman" w:hAnsi="Times New Roman"/>
          <w:b/>
          <w:bCs/>
          <w:sz w:val="24"/>
          <w:szCs w:val="24"/>
        </w:rPr>
        <w:t>U.S. SUPREME CT - DOMESTIC RESTRAINING ORDER – BOYFRIEND FIREARM, VIOL. FED. LAW - CONSTITUTIONAL</w:t>
      </w:r>
    </w:p>
    <w:p w14:paraId="179B63BD" w14:textId="77777777" w:rsidR="0037347A" w:rsidRPr="00A56F69" w:rsidRDefault="0037347A" w:rsidP="0037347A">
      <w:pPr>
        <w:pStyle w:val="NoSpacing"/>
        <w:rPr>
          <w:rFonts w:ascii="Times New Roman" w:hAnsi="Times New Roman"/>
          <w:sz w:val="24"/>
          <w:szCs w:val="24"/>
        </w:rPr>
      </w:pPr>
    </w:p>
    <w:p w14:paraId="3F4E1929"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 xml:space="preserve">On June 21, 2024, in </w:t>
      </w:r>
      <w:r w:rsidRPr="00A56F69">
        <w:rPr>
          <w:rFonts w:ascii="Times New Roman" w:hAnsi="Times New Roman"/>
          <w:sz w:val="24"/>
          <w:szCs w:val="24"/>
          <w:u w:val="single"/>
        </w:rPr>
        <w:t>United States v. Zackey Rahimi</w:t>
      </w:r>
      <w:r w:rsidRPr="00A56F69">
        <w:rPr>
          <w:rFonts w:ascii="Times New Roman" w:hAnsi="Times New Roman"/>
          <w:sz w:val="24"/>
          <w:szCs w:val="24"/>
        </w:rPr>
        <w:t>, the U.S. Supreme Court held (8 to 1): “A federal statute prohibits an individual subject to a domestic violence restraining order from possessing a firearm if that order includes a finding that he ‘represents a credible threat to the physical safety of [an] intimate partner,’ or a child of the partner or individual. 18 U. S. C.</w:t>
      </w:r>
    </w:p>
    <w:p w14:paraId="32280905"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 xml:space="preserve">§922(g)(8). Respondent Zackey Rahimi is subject to such an order. The question is whether this provision may be enforced against him </w:t>
      </w:r>
      <w:proofErr w:type="gramStart"/>
      <w:r w:rsidRPr="00A56F69">
        <w:rPr>
          <w:rFonts w:ascii="Times New Roman" w:hAnsi="Times New Roman"/>
          <w:sz w:val="24"/>
          <w:szCs w:val="24"/>
        </w:rPr>
        <w:t>consistent</w:t>
      </w:r>
      <w:proofErr w:type="gramEnd"/>
      <w:r w:rsidRPr="00A56F69">
        <w:rPr>
          <w:rFonts w:ascii="Times New Roman" w:hAnsi="Times New Roman"/>
          <w:sz w:val="24"/>
          <w:szCs w:val="24"/>
        </w:rPr>
        <w:t xml:space="preserve"> with the Second Amendment. *** In Heller, McDonald, and Bruen, this Court did not ‘undertake an exhaustive historical analysis . . . of the full scope of the Second Amendment.’ Bruen, 597 U. S., at 31. Nor do we do so today. Rather, we conclude only this: An individual found by a court </w:t>
      </w:r>
      <w:proofErr w:type="gramStart"/>
      <w:r w:rsidRPr="00A56F69">
        <w:rPr>
          <w:rFonts w:ascii="Times New Roman" w:hAnsi="Times New Roman"/>
          <w:sz w:val="24"/>
          <w:szCs w:val="24"/>
        </w:rPr>
        <w:t>to pose</w:t>
      </w:r>
      <w:proofErr w:type="gramEnd"/>
      <w:r w:rsidRPr="00A56F69">
        <w:rPr>
          <w:rFonts w:ascii="Times New Roman" w:hAnsi="Times New Roman"/>
          <w:sz w:val="24"/>
          <w:szCs w:val="24"/>
        </w:rPr>
        <w:t xml:space="preserve"> a credible threat to the</w:t>
      </w:r>
    </w:p>
    <w:p w14:paraId="44EED776"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physical safety of another may be temporarily disarmed consistent with the Second Amendment.”</w:t>
      </w:r>
    </w:p>
    <w:p w14:paraId="19CCB11F"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 xml:space="preserve"> </w:t>
      </w:r>
      <w:hyperlink r:id="rId657" w:history="1">
        <w:r w:rsidRPr="00A56F69">
          <w:rPr>
            <w:rStyle w:val="Hyperlink"/>
            <w:rFonts w:ascii="Times New Roman" w:hAnsi="Times New Roman"/>
            <w:sz w:val="24"/>
            <w:szCs w:val="24"/>
          </w:rPr>
          <w:t>https://www.supremecourt.gov/opinions/23pdf/22-915_8o6b.pdf</w:t>
        </w:r>
      </w:hyperlink>
    </w:p>
    <w:p w14:paraId="32F86230" w14:textId="77777777" w:rsidR="000F2630" w:rsidRPr="00A56F69" w:rsidRDefault="000F2630" w:rsidP="00F326E5">
      <w:pPr>
        <w:pStyle w:val="NoSpacing"/>
        <w:rPr>
          <w:rFonts w:ascii="Times New Roman" w:hAnsi="Times New Roman"/>
          <w:sz w:val="24"/>
          <w:szCs w:val="24"/>
        </w:rPr>
      </w:pPr>
    </w:p>
    <w:p w14:paraId="74BC7125" w14:textId="77777777" w:rsidR="00A56F69" w:rsidRPr="00A56F69" w:rsidRDefault="00A56F69" w:rsidP="00A56F69">
      <w:pPr>
        <w:pStyle w:val="NoSpacing"/>
        <w:rPr>
          <w:rFonts w:ascii="Times New Roman" w:hAnsi="Times New Roman"/>
          <w:b/>
          <w:bCs/>
          <w:sz w:val="24"/>
          <w:szCs w:val="24"/>
        </w:rPr>
      </w:pPr>
      <w:r w:rsidRPr="00A56F69">
        <w:rPr>
          <w:rFonts w:ascii="Times New Roman" w:hAnsi="Times New Roman"/>
          <w:b/>
          <w:sz w:val="24"/>
          <w:szCs w:val="24"/>
        </w:rPr>
        <w:t>Legal Lesson Learned: This decision will hopefully help reduce gun violence involving domestic partners.</w:t>
      </w:r>
    </w:p>
    <w:p w14:paraId="52BE973A" w14:textId="77777777" w:rsidR="00A56F69" w:rsidRPr="00A56F69" w:rsidRDefault="00A56F69" w:rsidP="00F326E5">
      <w:pPr>
        <w:pStyle w:val="NoSpacing"/>
        <w:rPr>
          <w:rFonts w:ascii="Times New Roman" w:hAnsi="Times New Roman"/>
          <w:sz w:val="24"/>
          <w:szCs w:val="24"/>
        </w:rPr>
      </w:pPr>
    </w:p>
    <w:p w14:paraId="42E11DEB" w14:textId="77777777" w:rsidR="00110AE2" w:rsidRDefault="00110AE2" w:rsidP="00F326E5">
      <w:pPr>
        <w:pStyle w:val="NoSpacing"/>
        <w:rPr>
          <w:rFonts w:ascii="Arial Black" w:hAnsi="Arial Black"/>
          <w:sz w:val="28"/>
          <w:szCs w:val="28"/>
        </w:rPr>
      </w:pPr>
    </w:p>
    <w:p w14:paraId="6BBA7B66" w14:textId="099C0E66" w:rsidR="0015698F" w:rsidRDefault="0015698F"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6</w:t>
      </w:r>
    </w:p>
    <w:p w14:paraId="6B52C21B" w14:textId="77777777" w:rsidR="0015698F" w:rsidRDefault="0015698F" w:rsidP="00F326E5">
      <w:pPr>
        <w:pStyle w:val="NoSpacing"/>
        <w:rPr>
          <w:rFonts w:ascii="Arial Black" w:hAnsi="Arial Black"/>
          <w:sz w:val="28"/>
          <w:szCs w:val="28"/>
        </w:rPr>
      </w:pPr>
    </w:p>
    <w:p w14:paraId="64DBD312" w14:textId="77777777" w:rsidR="00F46BC0" w:rsidRPr="006C4A6E" w:rsidRDefault="00F46BC0" w:rsidP="00F46BC0">
      <w:pPr>
        <w:pStyle w:val="NoSpacing"/>
        <w:rPr>
          <w:rFonts w:ascii="Arial Black" w:hAnsi="Arial Black"/>
          <w:sz w:val="28"/>
        </w:rPr>
      </w:pPr>
      <w:r>
        <w:rPr>
          <w:rFonts w:ascii="Arial Black" w:hAnsi="Arial Black"/>
          <w:sz w:val="28"/>
        </w:rPr>
        <w:t>NY: NY CITY 2020 CURFEWS UPHELD – GEORGE FLOYD DEMONSTRATIONS - VIOLENCE FOR SIX NIGHTS</w:t>
      </w:r>
    </w:p>
    <w:p w14:paraId="603D5013" w14:textId="77777777" w:rsidR="00F46BC0" w:rsidRDefault="00F46BC0" w:rsidP="00F46BC0">
      <w:pPr>
        <w:pStyle w:val="NoSpacing"/>
        <w:rPr>
          <w:szCs w:val="24"/>
        </w:rPr>
      </w:pPr>
    </w:p>
    <w:p w14:paraId="2B35D061" w14:textId="77777777" w:rsidR="00F46BC0" w:rsidRPr="00F46BC0" w:rsidRDefault="00F46BC0" w:rsidP="00F46BC0">
      <w:pPr>
        <w:pStyle w:val="NoSpacing"/>
        <w:rPr>
          <w:rFonts w:ascii="Times New Roman" w:hAnsi="Times New Roman"/>
          <w:sz w:val="24"/>
          <w:szCs w:val="24"/>
        </w:rPr>
      </w:pPr>
      <w:r w:rsidRPr="00F46BC0">
        <w:rPr>
          <w:rFonts w:ascii="Times New Roman" w:hAnsi="Times New Roman"/>
          <w:sz w:val="24"/>
          <w:szCs w:val="24"/>
        </w:rPr>
        <w:t xml:space="preserve">On August 16, 2024, in </w:t>
      </w:r>
      <w:r w:rsidRPr="00F46BC0">
        <w:rPr>
          <w:rFonts w:ascii="Times New Roman" w:hAnsi="Times New Roman"/>
          <w:sz w:val="24"/>
          <w:szCs w:val="24"/>
          <w:u w:val="single"/>
        </w:rPr>
        <w:t>Lamel Jeffery, et al. v. City of New York, et al</w:t>
      </w:r>
      <w:r w:rsidRPr="00F46BC0">
        <w:rPr>
          <w:rFonts w:ascii="Times New Roman" w:hAnsi="Times New Roman"/>
          <w:sz w:val="24"/>
          <w:szCs w:val="24"/>
        </w:rPr>
        <w:t>., the U.S. Court of Appeal for the 2</w:t>
      </w:r>
      <w:r w:rsidRPr="00F46BC0">
        <w:rPr>
          <w:rFonts w:ascii="Times New Roman" w:hAnsi="Times New Roman"/>
          <w:sz w:val="24"/>
          <w:szCs w:val="24"/>
          <w:vertAlign w:val="superscript"/>
        </w:rPr>
        <w:t>nd</w:t>
      </w:r>
      <w:r w:rsidRPr="00F46BC0">
        <w:rPr>
          <w:rFonts w:ascii="Times New Roman" w:hAnsi="Times New Roman"/>
          <w:sz w:val="24"/>
          <w:szCs w:val="24"/>
        </w:rPr>
        <w:t xml:space="preserve"> Circuit (New York City) held (3 to 0) that the nighttime curfew restrictions were lawful. The Court wrote: “At issue on this appeal is a constitutional challenge to a nighttime curfew imposed throughout New York City (‘City’) for the one-week period between June 1 and June 7, 2020, in response to violence and destruction attending certain public demonstrations protesting the May 25, 2020 death of George Floyd at the hands of Minneapolis police (‘Floyd demonstrations’). *** “The curfew here … was imposed in response to documented violence, destruction, and looting ‘across multiple areas’ of a large, densely populated city….  The curfew here… was imposed in response to criminality ‘border[</w:t>
      </w:r>
      <w:proofErr w:type="spellStart"/>
      <w:r w:rsidRPr="00F46BC0">
        <w:rPr>
          <w:rFonts w:ascii="Times New Roman" w:hAnsi="Times New Roman"/>
          <w:sz w:val="24"/>
          <w:szCs w:val="24"/>
        </w:rPr>
        <w:t>ing</w:t>
      </w:r>
      <w:proofErr w:type="spellEnd"/>
      <w:r w:rsidRPr="00F46BC0">
        <w:rPr>
          <w:rFonts w:ascii="Times New Roman" w:hAnsi="Times New Roman"/>
          <w:sz w:val="24"/>
          <w:szCs w:val="24"/>
        </w:rPr>
        <w:t xml:space="preserve">] on chaos….’ Further … the </w:t>
      </w:r>
      <w:proofErr w:type="gramStart"/>
      <w:r w:rsidRPr="00F46BC0">
        <w:rPr>
          <w:rFonts w:ascii="Times New Roman" w:hAnsi="Times New Roman"/>
          <w:sz w:val="24"/>
          <w:szCs w:val="24"/>
        </w:rPr>
        <w:t>City</w:t>
      </w:r>
      <w:proofErr w:type="gramEnd"/>
      <w:r w:rsidRPr="00F46BC0">
        <w:rPr>
          <w:rFonts w:ascii="Times New Roman" w:hAnsi="Times New Roman"/>
          <w:sz w:val="24"/>
          <w:szCs w:val="24"/>
        </w:rPr>
        <w:t xml:space="preserve"> here employed a ‘measured approach’ to curb criminal activity…. It first relied on traditional policing; then, when criminality escalated, it supplemented traditional policing with a one-night curfew; then, when criminality continued to escalate, it extended the curfew for an additional six nights; and finally, when conditions improved and stabilized, the City ended the curfew one night early…. In these circumstances, even on strict scrutiny, we conclude as a matter of law that the extended curfew was narrowly tailored to employ the least restrictive means to serve the City's compelling public interest in curbing escalating crime and restoring order.”  </w:t>
      </w:r>
    </w:p>
    <w:p w14:paraId="4A87ED28" w14:textId="77777777" w:rsidR="00F46BC0" w:rsidRPr="00F46BC0" w:rsidRDefault="00F46BC0" w:rsidP="00F46BC0">
      <w:pPr>
        <w:pStyle w:val="NoSpacing"/>
        <w:rPr>
          <w:rFonts w:ascii="Times New Roman" w:hAnsi="Times New Roman"/>
          <w:sz w:val="24"/>
          <w:szCs w:val="24"/>
        </w:rPr>
      </w:pPr>
      <w:hyperlink r:id="rId658" w:anchor="xml=https://ww3.ca2.uscourts.gov/decisions/isysquery/c68b6681-8ae3-446b-8305-2841de8ec224/1/hilite/" w:history="1">
        <w:r w:rsidRPr="00F46BC0">
          <w:rPr>
            <w:rStyle w:val="Hyperlink"/>
            <w:rFonts w:ascii="Times New Roman" w:hAnsi="Times New Roman"/>
            <w:sz w:val="24"/>
            <w:szCs w:val="24"/>
          </w:rPr>
          <w:t>https://ww3.ca2.uscourts.gov/decisions/isysquery/c68b6681-8ae3-446b-8305-2841de8ec224/1/doc/22-2745_opn.pdf#xml=https://ww3.ca2.uscourts.gov/decisions/isysquery/c68b6681-8ae3-446b-8305-2841de8ec224/1/hilite/</w:t>
        </w:r>
      </w:hyperlink>
      <w:r w:rsidRPr="00F46BC0">
        <w:rPr>
          <w:rFonts w:ascii="Times New Roman" w:hAnsi="Times New Roman"/>
          <w:sz w:val="24"/>
          <w:szCs w:val="24"/>
        </w:rPr>
        <w:t xml:space="preserve"> </w:t>
      </w:r>
    </w:p>
    <w:p w14:paraId="5BA20227" w14:textId="77777777" w:rsidR="00F46BC0" w:rsidRPr="00F46BC0" w:rsidRDefault="00F46BC0" w:rsidP="00F46BC0">
      <w:pPr>
        <w:pStyle w:val="NoSpacing"/>
        <w:rPr>
          <w:rFonts w:ascii="Times New Roman" w:hAnsi="Times New Roman"/>
          <w:sz w:val="24"/>
          <w:szCs w:val="24"/>
        </w:rPr>
      </w:pPr>
    </w:p>
    <w:p w14:paraId="71397E36" w14:textId="77777777" w:rsidR="00F46BC0" w:rsidRPr="00F46BC0" w:rsidRDefault="00F46BC0" w:rsidP="00F46BC0">
      <w:pPr>
        <w:pStyle w:val="NoSpacing"/>
        <w:rPr>
          <w:rFonts w:ascii="Times New Roman" w:hAnsi="Times New Roman"/>
          <w:sz w:val="24"/>
          <w:szCs w:val="24"/>
        </w:rPr>
      </w:pPr>
      <w:r w:rsidRPr="00F46BC0">
        <w:rPr>
          <w:rFonts w:ascii="Times New Roman" w:hAnsi="Times New Roman"/>
          <w:sz w:val="24"/>
          <w:szCs w:val="24"/>
        </w:rPr>
        <w:t xml:space="preserve">THE COURT HELD: </w:t>
      </w:r>
    </w:p>
    <w:p w14:paraId="45ABDAF9" w14:textId="77777777" w:rsidR="00F46BC0" w:rsidRPr="00F46BC0" w:rsidRDefault="00F46BC0" w:rsidP="00F46BC0">
      <w:pPr>
        <w:pStyle w:val="NoSpacing"/>
        <w:rPr>
          <w:rFonts w:ascii="Times New Roman" w:hAnsi="Times New Roman"/>
          <w:sz w:val="24"/>
          <w:szCs w:val="24"/>
        </w:rPr>
      </w:pPr>
    </w:p>
    <w:p w14:paraId="6CFC57F3" w14:textId="77777777" w:rsidR="00F46BC0" w:rsidRPr="00F46BC0" w:rsidRDefault="00F46BC0" w:rsidP="00F46BC0">
      <w:pPr>
        <w:pStyle w:val="NoSpacing"/>
        <w:ind w:left="720"/>
        <w:rPr>
          <w:rFonts w:ascii="Times New Roman" w:hAnsi="Times New Roman"/>
          <w:sz w:val="24"/>
          <w:szCs w:val="24"/>
        </w:rPr>
      </w:pPr>
      <w:r w:rsidRPr="00F46BC0">
        <w:rPr>
          <w:rFonts w:ascii="Times New Roman" w:hAnsi="Times New Roman"/>
          <w:sz w:val="24"/>
          <w:szCs w:val="24"/>
        </w:rPr>
        <w:t>“Even when viewed ‘in the light most favorable to plaintiffs,” the facts alleged in plaintiffs’ complaint … admit a single conclusion, i.e., that the challenged curfew—implemented against the highly unusual and well-documented confluence of a deadly global pandemic and nationwide Floyd demonstrations—(1) served compelling governmental interests in curbing escalating crime and restoring public order, and (2) was narrowly tailored to those interests….  Accordingly, we affirm the challenged judgment of dismissal.”</w:t>
      </w:r>
    </w:p>
    <w:p w14:paraId="27C6E8C9" w14:textId="77777777" w:rsidR="00F46BC0" w:rsidRPr="00F46BC0" w:rsidRDefault="00F46BC0" w:rsidP="00F46BC0">
      <w:pPr>
        <w:pStyle w:val="NoSpacing"/>
        <w:rPr>
          <w:rFonts w:ascii="Times New Roman" w:hAnsi="Times New Roman"/>
          <w:sz w:val="24"/>
          <w:szCs w:val="24"/>
        </w:rPr>
      </w:pPr>
    </w:p>
    <w:p w14:paraId="14DD22E4" w14:textId="77777777" w:rsidR="00F46BC0" w:rsidRPr="00F46BC0" w:rsidRDefault="00F46BC0" w:rsidP="00F46BC0">
      <w:pPr>
        <w:pStyle w:val="NoSpacing"/>
        <w:ind w:left="720"/>
        <w:rPr>
          <w:rFonts w:ascii="Times New Roman" w:hAnsi="Times New Roman"/>
          <w:sz w:val="24"/>
          <w:szCs w:val="24"/>
        </w:rPr>
      </w:pPr>
      <w:r w:rsidRPr="00F46BC0">
        <w:rPr>
          <w:rFonts w:ascii="Times New Roman" w:hAnsi="Times New Roman"/>
          <w:sz w:val="24"/>
          <w:szCs w:val="24"/>
        </w:rPr>
        <w:t>“The curfew here … was imposed in response to documented violence, destruction, and looting ‘across multiple areas’ of a large, densely populated city….  The curfew here… was imposed in response to criminality ‘border[</w:t>
      </w:r>
      <w:proofErr w:type="spellStart"/>
      <w:r w:rsidRPr="00F46BC0">
        <w:rPr>
          <w:rFonts w:ascii="Times New Roman" w:hAnsi="Times New Roman"/>
          <w:sz w:val="24"/>
          <w:szCs w:val="24"/>
        </w:rPr>
        <w:t>ing</w:t>
      </w:r>
      <w:proofErr w:type="spellEnd"/>
      <w:r w:rsidRPr="00F46BC0">
        <w:rPr>
          <w:rFonts w:ascii="Times New Roman" w:hAnsi="Times New Roman"/>
          <w:sz w:val="24"/>
          <w:szCs w:val="24"/>
        </w:rPr>
        <w:t xml:space="preserve">] on chaos….’ Further … the </w:t>
      </w:r>
      <w:proofErr w:type="gramStart"/>
      <w:r w:rsidRPr="00F46BC0">
        <w:rPr>
          <w:rFonts w:ascii="Times New Roman" w:hAnsi="Times New Roman"/>
          <w:sz w:val="24"/>
          <w:szCs w:val="24"/>
        </w:rPr>
        <w:t>City</w:t>
      </w:r>
      <w:proofErr w:type="gramEnd"/>
      <w:r w:rsidRPr="00F46BC0">
        <w:rPr>
          <w:rFonts w:ascii="Times New Roman" w:hAnsi="Times New Roman"/>
          <w:sz w:val="24"/>
          <w:szCs w:val="24"/>
        </w:rPr>
        <w:t xml:space="preserve"> here employed a ‘measured approach’ to curb criminal activity…. It first relied on traditional policing; then, when criminality escalated, it supplemented traditional policing with a one-night curfew; then, when criminality continued to escalate, it extended the curfew for an additional six nights; and finally, when conditions improved and stabilized, the City ended the curfew one night early…. In these circumstances, even on strict scrutiny, we conclude as a matter of law that the extended curfew was narrowly tailored to employ the least restrictive means to serve the City's compelling public interest in curbing escalating crime and restoring order.”  </w:t>
      </w:r>
    </w:p>
    <w:p w14:paraId="2F95AB6A" w14:textId="77777777" w:rsidR="00F46BC0" w:rsidRPr="00F46BC0" w:rsidRDefault="00F46BC0" w:rsidP="00F46BC0">
      <w:pPr>
        <w:pStyle w:val="NoSpacing"/>
        <w:ind w:left="720"/>
        <w:rPr>
          <w:rFonts w:ascii="Times New Roman" w:hAnsi="Times New Roman"/>
          <w:sz w:val="24"/>
          <w:szCs w:val="24"/>
        </w:rPr>
      </w:pPr>
    </w:p>
    <w:p w14:paraId="1BDDD521" w14:textId="77777777" w:rsidR="00F46BC0" w:rsidRPr="00F46BC0" w:rsidRDefault="00F46BC0" w:rsidP="00F46BC0">
      <w:pPr>
        <w:pStyle w:val="NoSpacing"/>
        <w:rPr>
          <w:rFonts w:ascii="Times New Roman" w:hAnsi="Times New Roman"/>
          <w:b/>
          <w:bCs/>
          <w:sz w:val="24"/>
          <w:szCs w:val="24"/>
        </w:rPr>
      </w:pPr>
      <w:r w:rsidRPr="00F46BC0">
        <w:rPr>
          <w:rFonts w:ascii="Times New Roman" w:hAnsi="Times New Roman"/>
          <w:b/>
          <w:bCs/>
          <w:sz w:val="24"/>
          <w:szCs w:val="24"/>
        </w:rPr>
        <w:t xml:space="preserve">Legal Lesson Learned: Curfews are a lawful response to widespread violence. </w:t>
      </w:r>
    </w:p>
    <w:p w14:paraId="284621BD" w14:textId="77777777" w:rsidR="00F46BC0" w:rsidRPr="00F46BC0" w:rsidRDefault="00F46BC0" w:rsidP="00F46BC0">
      <w:pPr>
        <w:pStyle w:val="NoSpacing"/>
        <w:rPr>
          <w:rFonts w:ascii="Times New Roman" w:hAnsi="Times New Roman"/>
          <w:sz w:val="24"/>
          <w:szCs w:val="24"/>
        </w:rPr>
      </w:pPr>
    </w:p>
    <w:p w14:paraId="34FF1458" w14:textId="77777777" w:rsidR="00780B64" w:rsidRDefault="00780B64" w:rsidP="00F326E5">
      <w:pPr>
        <w:pStyle w:val="NoSpacing"/>
        <w:rPr>
          <w:rFonts w:ascii="Arial Black" w:hAnsi="Arial Black"/>
          <w:sz w:val="28"/>
          <w:szCs w:val="28"/>
        </w:rPr>
      </w:pPr>
    </w:p>
    <w:p w14:paraId="2CF15ECC" w14:textId="77777777" w:rsidR="0015698F" w:rsidRDefault="0015698F" w:rsidP="00F326E5">
      <w:pPr>
        <w:pStyle w:val="NoSpacing"/>
        <w:rPr>
          <w:rFonts w:ascii="Arial Black" w:hAnsi="Arial Black"/>
          <w:sz w:val="28"/>
          <w:szCs w:val="28"/>
        </w:rPr>
      </w:pPr>
    </w:p>
    <w:p w14:paraId="362ECEB9" w14:textId="07FA00FC" w:rsidR="00A755CA" w:rsidRDefault="00A755CA" w:rsidP="00F326E5">
      <w:pPr>
        <w:pStyle w:val="NoSpacing"/>
        <w:rPr>
          <w:rFonts w:ascii="Arial Black" w:hAnsi="Arial Black"/>
          <w:sz w:val="28"/>
          <w:szCs w:val="28"/>
        </w:rPr>
      </w:pPr>
      <w:r>
        <w:rPr>
          <w:rFonts w:ascii="Arial Black" w:hAnsi="Arial Black"/>
          <w:sz w:val="28"/>
          <w:szCs w:val="28"/>
        </w:rPr>
        <w:lastRenderedPageBreak/>
        <w:t>3-6</w:t>
      </w:r>
      <w:r w:rsidR="00ED4EAF">
        <w:rPr>
          <w:rFonts w:ascii="Arial Black" w:hAnsi="Arial Black"/>
          <w:sz w:val="28"/>
          <w:szCs w:val="28"/>
        </w:rPr>
        <w:t>5</w:t>
      </w:r>
    </w:p>
    <w:p w14:paraId="457DBF89" w14:textId="77777777" w:rsidR="00A755CA" w:rsidRDefault="00A755CA" w:rsidP="00F326E5">
      <w:pPr>
        <w:pStyle w:val="NoSpacing"/>
        <w:rPr>
          <w:rFonts w:ascii="Arial Black" w:hAnsi="Arial Black"/>
          <w:sz w:val="28"/>
          <w:szCs w:val="28"/>
        </w:rPr>
      </w:pPr>
    </w:p>
    <w:p w14:paraId="6644BEEB" w14:textId="4C7245C7" w:rsidR="00A755CA" w:rsidRPr="005634B1" w:rsidRDefault="00A755CA" w:rsidP="00A755CA">
      <w:pPr>
        <w:pStyle w:val="NoSpacing"/>
        <w:rPr>
          <w:rFonts w:ascii="Arial Black" w:hAnsi="Arial Black"/>
          <w:sz w:val="28"/>
          <w:szCs w:val="28"/>
          <w:shd w:val="clear" w:color="auto" w:fill="FFFFFF"/>
        </w:rPr>
      </w:pPr>
      <w:r>
        <w:rPr>
          <w:rFonts w:ascii="Arial Black" w:hAnsi="Arial Black"/>
          <w:sz w:val="28"/>
          <w:szCs w:val="28"/>
          <w:shd w:val="clear" w:color="auto" w:fill="FFFFFF"/>
        </w:rPr>
        <w:t xml:space="preserve">IL: DEMOCRATIC NATIONAL CONVENTION - SECURITY ORDINANCE – </w:t>
      </w:r>
      <w:r w:rsidR="00FB156D">
        <w:rPr>
          <w:rFonts w:ascii="Arial Black" w:hAnsi="Arial Black"/>
          <w:sz w:val="28"/>
          <w:szCs w:val="28"/>
          <w:shd w:val="clear" w:color="auto" w:fill="FFFFFF"/>
        </w:rPr>
        <w:t xml:space="preserve">PROHIBITED </w:t>
      </w:r>
      <w:r>
        <w:rPr>
          <w:rFonts w:ascii="Arial Black" w:hAnsi="Arial Black"/>
          <w:sz w:val="28"/>
          <w:szCs w:val="28"/>
          <w:shd w:val="clear" w:color="auto" w:fill="FFFFFF"/>
        </w:rPr>
        <w:t xml:space="preserve">OBJECTS “SAFETY HAZARD” - LAWFUL </w:t>
      </w:r>
    </w:p>
    <w:p w14:paraId="765D3375" w14:textId="77777777" w:rsidR="00A755CA" w:rsidRDefault="00A755CA" w:rsidP="00A755CA">
      <w:pPr>
        <w:pStyle w:val="NoSpacing"/>
        <w:rPr>
          <w:rFonts w:ascii="Times New Roman" w:hAnsi="Times New Roman"/>
          <w:sz w:val="24"/>
          <w:szCs w:val="24"/>
          <w:shd w:val="clear" w:color="auto" w:fill="FFFFFF"/>
        </w:rPr>
      </w:pPr>
    </w:p>
    <w:p w14:paraId="708BF388" w14:textId="77777777" w:rsidR="00A755CA" w:rsidRDefault="00A755CA" w:rsidP="00A755CA">
      <w:pPr>
        <w:pStyle w:val="NoSpacing"/>
        <w:rPr>
          <w:rFonts w:ascii="Times New Roman" w:hAnsi="Times New Roman"/>
          <w:color w:val="454545"/>
          <w:sz w:val="24"/>
          <w:szCs w:val="24"/>
          <w:shd w:val="clear" w:color="auto" w:fill="FFFFFF"/>
        </w:rPr>
      </w:pPr>
      <w:r>
        <w:rPr>
          <w:rFonts w:ascii="Times New Roman" w:hAnsi="Times New Roman"/>
          <w:sz w:val="24"/>
          <w:szCs w:val="24"/>
          <w:shd w:val="clear" w:color="auto" w:fill="FFFFFF"/>
        </w:rPr>
        <w:t xml:space="preserve">On July 19, 2024. </w:t>
      </w:r>
      <w:r w:rsidRPr="0080280F">
        <w:rPr>
          <w:rFonts w:ascii="Times New Roman" w:hAnsi="Times New Roman"/>
          <w:sz w:val="24"/>
          <w:szCs w:val="24"/>
          <w:shd w:val="clear" w:color="auto" w:fill="FFFFFF"/>
        </w:rPr>
        <w:t xml:space="preserve">in </w:t>
      </w:r>
      <w:r w:rsidRPr="0080280F">
        <w:rPr>
          <w:rFonts w:ascii="Times New Roman" w:hAnsi="Times New Roman"/>
          <w:color w:val="454545"/>
          <w:sz w:val="24"/>
          <w:szCs w:val="24"/>
          <w:u w:val="single"/>
          <w:shd w:val="clear" w:color="auto" w:fill="FFFFFF"/>
        </w:rPr>
        <w:t>Coalition for Reproductive Justice &amp; LGBTQ+ Liberation, et al., Plaintiffs, v. City of Chicago</w:t>
      </w:r>
      <w:r>
        <w:rPr>
          <w:rFonts w:ascii="Times New Roman" w:hAnsi="Times New Roman"/>
          <w:b/>
          <w:bCs/>
          <w:color w:val="454545"/>
          <w:sz w:val="24"/>
          <w:szCs w:val="24"/>
          <w:shd w:val="clear" w:color="auto" w:fill="FFFFFF"/>
        </w:rPr>
        <w:t xml:space="preserve">, </w:t>
      </w:r>
      <w:r>
        <w:rPr>
          <w:rFonts w:ascii="Times New Roman" w:hAnsi="Times New Roman"/>
          <w:color w:val="454545"/>
          <w:sz w:val="24"/>
          <w:szCs w:val="24"/>
          <w:shd w:val="clear" w:color="auto" w:fill="FFFFFF"/>
        </w:rPr>
        <w:t xml:space="preserve">U.S. District Court Judge Thomas M. Durkin denied an injunction sought by a group that plans to hold demonstrations at the Convention.  On April 17, 2024, the </w:t>
      </w:r>
      <w:proofErr w:type="gramStart"/>
      <w:r>
        <w:rPr>
          <w:rFonts w:ascii="Times New Roman" w:hAnsi="Times New Roman"/>
          <w:color w:val="454545"/>
          <w:sz w:val="24"/>
          <w:szCs w:val="24"/>
          <w:shd w:val="clear" w:color="auto" w:fill="FFFFFF"/>
        </w:rPr>
        <w:t>City</w:t>
      </w:r>
      <w:proofErr w:type="gramEnd"/>
      <w:r>
        <w:rPr>
          <w:rFonts w:ascii="Times New Roman" w:hAnsi="Times New Roman"/>
          <w:color w:val="454545"/>
          <w:sz w:val="24"/>
          <w:szCs w:val="24"/>
          <w:shd w:val="clear" w:color="auto" w:fill="FFFFFF"/>
        </w:rPr>
        <w:t xml:space="preserve"> enacted an ordinance that listed items prohibited in the “Security Footprint” including </w:t>
      </w:r>
      <w:r w:rsidRPr="0091585B">
        <w:rPr>
          <w:rFonts w:ascii="Times New Roman" w:hAnsi="Times New Roman"/>
          <w:color w:val="454545"/>
          <w:sz w:val="24"/>
          <w:szCs w:val="24"/>
          <w:shd w:val="clear" w:color="auto" w:fill="FFFFFF"/>
        </w:rPr>
        <w:t>laptops, sealed packages, drones, firearms,</w:t>
      </w:r>
      <w:r>
        <w:rPr>
          <w:rFonts w:ascii="Times New Roman" w:hAnsi="Times New Roman"/>
          <w:color w:val="454545"/>
          <w:sz w:val="24"/>
          <w:szCs w:val="24"/>
          <w:shd w:val="clear" w:color="auto" w:fill="FFFFFF"/>
        </w:rPr>
        <w:t xml:space="preserve"> </w:t>
      </w:r>
      <w:r w:rsidRPr="0091585B">
        <w:rPr>
          <w:rFonts w:ascii="Times New Roman" w:hAnsi="Times New Roman"/>
          <w:color w:val="454545"/>
          <w:sz w:val="24"/>
          <w:szCs w:val="24"/>
          <w:shd w:val="clear" w:color="auto" w:fill="FFFFFF"/>
        </w:rPr>
        <w:t>ammunition, tents, “[a]</w:t>
      </w:r>
      <w:proofErr w:type="spellStart"/>
      <w:r w:rsidRPr="0091585B">
        <w:rPr>
          <w:rFonts w:ascii="Times New Roman" w:hAnsi="Times New Roman"/>
          <w:color w:val="454545"/>
          <w:sz w:val="24"/>
          <w:szCs w:val="24"/>
          <w:shd w:val="clear" w:color="auto" w:fill="FFFFFF"/>
        </w:rPr>
        <w:t>ny</w:t>
      </w:r>
      <w:proofErr w:type="spellEnd"/>
      <w:r w:rsidRPr="0091585B">
        <w:rPr>
          <w:rFonts w:ascii="Times New Roman" w:hAnsi="Times New Roman"/>
          <w:color w:val="454545"/>
          <w:sz w:val="24"/>
          <w:szCs w:val="24"/>
          <w:shd w:val="clear" w:color="auto" w:fill="FFFFFF"/>
        </w:rPr>
        <w:t xml:space="preserve"> pointed object(s) including knives of any kind</w:t>
      </w:r>
      <w:r>
        <w:rPr>
          <w:rFonts w:ascii="Times New Roman" w:hAnsi="Times New Roman"/>
          <w:color w:val="454545"/>
          <w:sz w:val="24"/>
          <w:szCs w:val="24"/>
          <w:shd w:val="clear" w:color="auto" w:fill="FFFFFF"/>
        </w:rPr>
        <w:t>” and other items that are a “</w:t>
      </w:r>
      <w:r w:rsidRPr="00763162">
        <w:rPr>
          <w:rFonts w:ascii="Times New Roman" w:hAnsi="Times New Roman"/>
          <w:sz w:val="24"/>
          <w:szCs w:val="24"/>
          <w:shd w:val="clear" w:color="auto" w:fill="FFFFFF"/>
        </w:rPr>
        <w:t>potential safety hazard</w:t>
      </w:r>
      <w:r>
        <w:rPr>
          <w:rFonts w:ascii="Times New Roman" w:hAnsi="Times New Roman"/>
          <w:sz w:val="24"/>
          <w:szCs w:val="24"/>
          <w:shd w:val="clear" w:color="auto" w:fill="FFFFFF"/>
        </w:rPr>
        <w:t xml:space="preserve">.” </w:t>
      </w:r>
      <w:r w:rsidRPr="00763162">
        <w:rPr>
          <w:rFonts w:ascii="Times New Roman" w:hAnsi="Times New Roman"/>
          <w:sz w:val="24"/>
          <w:szCs w:val="24"/>
          <w:shd w:val="clear" w:color="auto" w:fill="FFFFFF"/>
        </w:rPr>
        <w:t xml:space="preserve"> </w:t>
      </w:r>
      <w:r w:rsidRPr="00515584">
        <w:rPr>
          <w:rFonts w:ascii="Times New Roman" w:hAnsi="Times New Roman"/>
          <w:color w:val="454545"/>
          <w:sz w:val="24"/>
          <w:szCs w:val="24"/>
          <w:shd w:val="clear" w:color="auto" w:fill="FFFFFF"/>
        </w:rPr>
        <w:t>Plaintiffs provide affidavits stating, for example, that they intend to bring</w:t>
      </w:r>
      <w:r>
        <w:rPr>
          <w:rFonts w:ascii="Times New Roman" w:hAnsi="Times New Roman"/>
          <w:color w:val="454545"/>
          <w:sz w:val="24"/>
          <w:szCs w:val="24"/>
          <w:shd w:val="clear" w:color="auto" w:fill="FFFFFF"/>
        </w:rPr>
        <w:t xml:space="preserve"> </w:t>
      </w:r>
      <w:r w:rsidRPr="00515584">
        <w:rPr>
          <w:rFonts w:ascii="Times New Roman" w:hAnsi="Times New Roman"/>
          <w:color w:val="454545"/>
          <w:sz w:val="24"/>
          <w:szCs w:val="24"/>
          <w:shd w:val="clear" w:color="auto" w:fill="FFFFFF"/>
        </w:rPr>
        <w:t xml:space="preserve">pens, first aid kits containing scissors, and </w:t>
      </w:r>
      <w:r>
        <w:rPr>
          <w:rFonts w:ascii="Times New Roman" w:hAnsi="Times New Roman"/>
          <w:color w:val="454545"/>
          <w:sz w:val="24"/>
          <w:szCs w:val="24"/>
          <w:shd w:val="clear" w:color="auto" w:fill="FFFFFF"/>
        </w:rPr>
        <w:t>‘</w:t>
      </w:r>
      <w:r w:rsidRPr="00515584">
        <w:rPr>
          <w:rFonts w:ascii="Times New Roman" w:hAnsi="Times New Roman"/>
          <w:color w:val="454545"/>
          <w:sz w:val="24"/>
          <w:szCs w:val="24"/>
          <w:shd w:val="clear" w:color="auto" w:fill="FFFFFF"/>
        </w:rPr>
        <w:t>protest buttons that attach with a pin in</w:t>
      </w:r>
      <w:r>
        <w:rPr>
          <w:rFonts w:ascii="Times New Roman" w:hAnsi="Times New Roman"/>
          <w:color w:val="454545"/>
          <w:sz w:val="24"/>
          <w:szCs w:val="24"/>
          <w:shd w:val="clear" w:color="auto" w:fill="FFFFFF"/>
        </w:rPr>
        <w:t xml:space="preserve"> </w:t>
      </w:r>
      <w:r w:rsidRPr="00515584">
        <w:rPr>
          <w:rFonts w:ascii="Times New Roman" w:hAnsi="Times New Roman"/>
          <w:color w:val="454545"/>
          <w:sz w:val="24"/>
          <w:szCs w:val="24"/>
          <w:shd w:val="clear" w:color="auto" w:fill="FFFFFF"/>
        </w:rPr>
        <w:t>the back</w:t>
      </w:r>
      <w:r>
        <w:rPr>
          <w:rFonts w:ascii="Times New Roman" w:hAnsi="Times New Roman"/>
          <w:color w:val="454545"/>
          <w:sz w:val="24"/>
          <w:szCs w:val="24"/>
          <w:shd w:val="clear" w:color="auto" w:fill="FFFFFF"/>
        </w:rPr>
        <w:t xml:space="preserve">’ </w:t>
      </w:r>
      <w:r w:rsidRPr="00515584">
        <w:rPr>
          <w:rFonts w:ascii="Times New Roman" w:hAnsi="Times New Roman"/>
          <w:color w:val="454545"/>
          <w:sz w:val="24"/>
          <w:szCs w:val="24"/>
          <w:shd w:val="clear" w:color="auto" w:fill="FFFFFF"/>
        </w:rPr>
        <w:t>into the Security Footprint.</w:t>
      </w:r>
      <w:r>
        <w:rPr>
          <w:rFonts w:ascii="Times New Roman" w:hAnsi="Times New Roman"/>
          <w:color w:val="454545"/>
          <w:sz w:val="24"/>
          <w:szCs w:val="24"/>
          <w:shd w:val="clear" w:color="auto" w:fill="FFFFFF"/>
        </w:rPr>
        <w:t xml:space="preserve"> Judge concluded. “</w:t>
      </w:r>
      <w:r w:rsidRPr="000430B3">
        <w:rPr>
          <w:rFonts w:ascii="Times New Roman" w:hAnsi="Times New Roman"/>
          <w:color w:val="454545"/>
          <w:sz w:val="24"/>
          <w:szCs w:val="24"/>
          <w:shd w:val="clear" w:color="auto" w:fill="FFFFFF"/>
        </w:rPr>
        <w:t>It is likely that Plaintiffs will be asked</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to discard certain items (such as the scissors) before they are allowed entry into the</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 xml:space="preserve">Security Footprint, just as happens at airports </w:t>
      </w:r>
      <w:proofErr w:type="gramStart"/>
      <w:r w:rsidRPr="000430B3">
        <w:rPr>
          <w:rFonts w:ascii="Times New Roman" w:hAnsi="Times New Roman"/>
          <w:color w:val="454545"/>
          <w:sz w:val="24"/>
          <w:szCs w:val="24"/>
          <w:shd w:val="clear" w:color="auto" w:fill="FFFFFF"/>
        </w:rPr>
        <w:t>on a daily basis</w:t>
      </w:r>
      <w:proofErr w:type="gramEnd"/>
      <w:r w:rsidRPr="000430B3">
        <w:rPr>
          <w:rFonts w:ascii="Times New Roman" w:hAnsi="Times New Roman"/>
          <w:color w:val="454545"/>
          <w:sz w:val="24"/>
          <w:szCs w:val="24"/>
          <w:shd w:val="clear" w:color="auto" w:fill="FFFFFF"/>
        </w:rPr>
        <w:t>. This would not</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constitute a First Amendment injury as Plaintiffs would, upon discarding such</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innocuous items, likely be allowed entry into the Security Footprint with the</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subsequent ability to exercise their First Amendment rights.</w:t>
      </w:r>
      <w:r>
        <w:rPr>
          <w:rFonts w:ascii="Times New Roman" w:hAnsi="Times New Roman"/>
          <w:color w:val="454545"/>
          <w:sz w:val="24"/>
          <w:szCs w:val="24"/>
          <w:shd w:val="clear" w:color="auto" w:fill="FFFFFF"/>
        </w:rPr>
        <w:t xml:space="preserve"> </w:t>
      </w:r>
      <w:hyperlink r:id="rId659" w:history="1">
        <w:r w:rsidRPr="004C2534">
          <w:rPr>
            <w:rStyle w:val="Hyperlink"/>
            <w:rFonts w:ascii="Times New Roman" w:hAnsi="Times New Roman"/>
            <w:sz w:val="24"/>
            <w:szCs w:val="24"/>
            <w:shd w:val="clear" w:color="auto" w:fill="FFFFFF"/>
          </w:rPr>
          <w:t>https://www.courthousenews.com/wp-content/uploads/2024/07/LGBTQ-DNC-ordinance-block-denial.pdf</w:t>
        </w:r>
      </w:hyperlink>
      <w:r>
        <w:rPr>
          <w:rFonts w:ascii="Times New Roman" w:hAnsi="Times New Roman"/>
          <w:color w:val="454545"/>
          <w:sz w:val="24"/>
          <w:szCs w:val="24"/>
          <w:shd w:val="clear" w:color="auto" w:fill="FFFFFF"/>
        </w:rPr>
        <w:t xml:space="preserve"> </w:t>
      </w:r>
    </w:p>
    <w:p w14:paraId="440A9521" w14:textId="77777777" w:rsidR="00A755CA" w:rsidRDefault="00A755CA" w:rsidP="00A755CA">
      <w:pPr>
        <w:pStyle w:val="NoSpacing"/>
        <w:rPr>
          <w:rFonts w:ascii="Times New Roman" w:hAnsi="Times New Roman"/>
          <w:color w:val="454545"/>
          <w:sz w:val="24"/>
          <w:szCs w:val="24"/>
          <w:shd w:val="clear" w:color="auto" w:fill="FFFFFF"/>
        </w:rPr>
      </w:pPr>
    </w:p>
    <w:p w14:paraId="6507DC0B" w14:textId="77777777" w:rsidR="00A755CA" w:rsidRDefault="00A755CA" w:rsidP="00A755CA">
      <w:pPr>
        <w:pStyle w:val="NoSpacing"/>
        <w:rPr>
          <w:rFonts w:ascii="Times New Roman" w:hAnsi="Times New Roman"/>
          <w:color w:val="454545"/>
          <w:sz w:val="24"/>
          <w:szCs w:val="24"/>
          <w:shd w:val="clear" w:color="auto" w:fill="FFFFFF"/>
        </w:rPr>
      </w:pPr>
      <w:r>
        <w:rPr>
          <w:rFonts w:ascii="Times New Roman" w:hAnsi="Times New Roman"/>
          <w:color w:val="454545"/>
          <w:sz w:val="24"/>
          <w:szCs w:val="24"/>
          <w:shd w:val="clear" w:color="auto" w:fill="FFFFFF"/>
        </w:rPr>
        <w:t>THE COURT HELD:</w:t>
      </w:r>
    </w:p>
    <w:p w14:paraId="79916FA7" w14:textId="77777777" w:rsidR="00A755CA" w:rsidRDefault="00A755CA" w:rsidP="00A755CA">
      <w:pPr>
        <w:pStyle w:val="NoSpacing"/>
        <w:rPr>
          <w:rFonts w:ascii="Times New Roman" w:hAnsi="Times New Roman"/>
          <w:color w:val="454545"/>
          <w:sz w:val="24"/>
          <w:szCs w:val="24"/>
          <w:shd w:val="clear" w:color="auto" w:fill="FFFFFF"/>
        </w:rPr>
      </w:pPr>
    </w:p>
    <w:p w14:paraId="5B755BD1" w14:textId="77777777" w:rsidR="00A755CA" w:rsidRDefault="00A755CA" w:rsidP="00A755CA">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Plaintiffs take issue with the phrase </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potential safety hazard</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and argue that</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 xml:space="preserve">the word </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hazard</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is not sufficiently defined</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But words are sufficiently</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 xml:space="preserve">defined where an ordinary person would </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use and understand</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those words in</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normal life.</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Curry, 918 F.3d at </w:t>
      </w:r>
      <w:proofErr w:type="gramStart"/>
      <w:r w:rsidRPr="00F06650">
        <w:rPr>
          <w:rFonts w:ascii="Times New Roman" w:hAnsi="Times New Roman"/>
          <w:sz w:val="24"/>
          <w:szCs w:val="24"/>
          <w:shd w:val="clear" w:color="auto" w:fill="FFFFFF"/>
        </w:rPr>
        <w:t>540 (</w:t>
      </w:r>
      <w:r>
        <w:rPr>
          <w:rFonts w:ascii="Times New Roman" w:hAnsi="Times New Roman"/>
          <w:sz w:val="24"/>
          <w:szCs w:val="24"/>
          <w:shd w:val="clear" w:color="auto" w:fill="FFFFFF"/>
        </w:rPr>
        <w:t>‘</w:t>
      </w:r>
      <w:proofErr w:type="gramEnd"/>
      <w:r w:rsidRPr="00F06650">
        <w:rPr>
          <w:rFonts w:ascii="Times New Roman" w:hAnsi="Times New Roman"/>
          <w:sz w:val="24"/>
          <w:szCs w:val="24"/>
          <w:shd w:val="clear" w:color="auto" w:fill="FFFFFF"/>
        </w:rPr>
        <w:t xml:space="preserve">Even a </w:t>
      </w:r>
      <w:proofErr w:type="gramStart"/>
      <w:r w:rsidRPr="00F06650">
        <w:rPr>
          <w:rFonts w:ascii="Times New Roman" w:hAnsi="Times New Roman"/>
          <w:sz w:val="24"/>
          <w:szCs w:val="24"/>
          <w:shd w:val="clear" w:color="auto" w:fill="FFFFFF"/>
        </w:rPr>
        <w:t>protean word</w:t>
      </w:r>
      <w:proofErr w:type="gramEnd"/>
      <w:r w:rsidRPr="00F06650">
        <w:rPr>
          <w:rFonts w:ascii="Times New Roman" w:hAnsi="Times New Roman"/>
          <w:sz w:val="24"/>
          <w:szCs w:val="24"/>
          <w:shd w:val="clear" w:color="auto" w:fill="FFFFFF"/>
        </w:rPr>
        <w:t xml:space="preserve"> such as ‘reasonable’ has</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enough of a core to allow its use in situations where rights to speak are at issue</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So</w:t>
      </w:r>
      <w:r w:rsidRPr="008F6138">
        <w:rPr>
          <w:rFonts w:ascii="Times New Roman" w:hAnsi="Times New Roman"/>
          <w:sz w:val="24"/>
          <w:szCs w:val="24"/>
          <w:shd w:val="clear" w:color="auto" w:fill="FFFFFF"/>
        </w:rPr>
        <w:t>o here, an ordinary person understands what a “hazard” is in the context of their</w:t>
      </w:r>
      <w:r>
        <w:rPr>
          <w:rFonts w:ascii="Times New Roman" w:hAnsi="Times New Roman"/>
          <w:sz w:val="24"/>
          <w:szCs w:val="24"/>
          <w:shd w:val="clear" w:color="auto" w:fill="FFFFFF"/>
        </w:rPr>
        <w:t xml:space="preserve"> </w:t>
      </w:r>
      <w:r w:rsidRPr="008F6138">
        <w:rPr>
          <w:rFonts w:ascii="Times New Roman" w:hAnsi="Times New Roman"/>
          <w:sz w:val="24"/>
          <w:szCs w:val="24"/>
          <w:shd w:val="clear" w:color="auto" w:fill="FFFFFF"/>
        </w:rPr>
        <w:t>everyday life. What’s more, the Ordinance supplements and clarifies the phrase</w:t>
      </w:r>
      <w:r>
        <w:rPr>
          <w:rFonts w:ascii="Times New Roman" w:hAnsi="Times New Roman"/>
          <w:sz w:val="24"/>
          <w:szCs w:val="24"/>
          <w:shd w:val="clear" w:color="auto" w:fill="FFFFFF"/>
        </w:rPr>
        <w:t xml:space="preserve"> ‘</w:t>
      </w:r>
      <w:r w:rsidRPr="008F6138">
        <w:rPr>
          <w:rFonts w:ascii="Times New Roman" w:hAnsi="Times New Roman"/>
          <w:sz w:val="24"/>
          <w:szCs w:val="24"/>
          <w:shd w:val="clear" w:color="auto" w:fill="FFFFFF"/>
        </w:rPr>
        <w:t>potential safety hazard</w:t>
      </w:r>
      <w:r>
        <w:rPr>
          <w:rFonts w:ascii="Times New Roman" w:hAnsi="Times New Roman"/>
          <w:sz w:val="24"/>
          <w:szCs w:val="24"/>
          <w:shd w:val="clear" w:color="auto" w:fill="FFFFFF"/>
        </w:rPr>
        <w:t>’</w:t>
      </w:r>
      <w:r w:rsidRPr="008F6138">
        <w:rPr>
          <w:rFonts w:ascii="Times New Roman" w:hAnsi="Times New Roman"/>
          <w:sz w:val="24"/>
          <w:szCs w:val="24"/>
          <w:shd w:val="clear" w:color="auto" w:fill="FFFFFF"/>
        </w:rPr>
        <w:t xml:space="preserve"> with a detailed list of prohibited items set forth in Exhibit</w:t>
      </w:r>
      <w:r>
        <w:rPr>
          <w:rFonts w:ascii="Times New Roman" w:hAnsi="Times New Roman"/>
          <w:sz w:val="24"/>
          <w:szCs w:val="24"/>
          <w:shd w:val="clear" w:color="auto" w:fill="FFFFFF"/>
        </w:rPr>
        <w:t xml:space="preserve"> </w:t>
      </w:r>
      <w:r w:rsidRPr="008F6138">
        <w:rPr>
          <w:rFonts w:ascii="Times New Roman" w:hAnsi="Times New Roman"/>
          <w:sz w:val="24"/>
          <w:szCs w:val="24"/>
          <w:shd w:val="clear" w:color="auto" w:fill="FFFFFF"/>
        </w:rPr>
        <w:t>A.</w:t>
      </w:r>
      <w:r>
        <w:rPr>
          <w:rFonts w:ascii="Times New Roman" w:hAnsi="Times New Roman"/>
          <w:sz w:val="24"/>
          <w:szCs w:val="24"/>
          <w:shd w:val="clear" w:color="auto" w:fill="FFFFFF"/>
        </w:rPr>
        <w:t>”</w:t>
      </w:r>
    </w:p>
    <w:p w14:paraId="5173E5D3" w14:textId="77777777" w:rsidR="00A755CA" w:rsidRDefault="00A755CA" w:rsidP="00F326E5">
      <w:pPr>
        <w:pStyle w:val="NoSpacing"/>
        <w:rPr>
          <w:rFonts w:ascii="Arial Black" w:hAnsi="Arial Black"/>
          <w:sz w:val="28"/>
          <w:szCs w:val="28"/>
        </w:rPr>
      </w:pPr>
    </w:p>
    <w:p w14:paraId="4A5F5EF6" w14:textId="77777777" w:rsidR="00557000" w:rsidRPr="009E73BB" w:rsidRDefault="00557000" w:rsidP="00557000">
      <w:pPr>
        <w:pStyle w:val="NoSpacing"/>
        <w:rPr>
          <w:rFonts w:ascii="Times New Roman" w:hAnsi="Times New Roman"/>
          <w:b/>
          <w:bCs/>
          <w:color w:val="454545"/>
          <w:sz w:val="24"/>
          <w:szCs w:val="24"/>
          <w:shd w:val="clear" w:color="auto" w:fill="FFFFFF"/>
        </w:rPr>
      </w:pPr>
      <w:r>
        <w:rPr>
          <w:rFonts w:ascii="Times New Roman" w:hAnsi="Times New Roman"/>
          <w:b/>
          <w:bCs/>
          <w:color w:val="454545"/>
          <w:sz w:val="24"/>
          <w:szCs w:val="24"/>
          <w:shd w:val="clear" w:color="auto" w:fill="FFFFFF"/>
        </w:rPr>
        <w:t xml:space="preserve">Legal Lesson Learned: Security ordinance is lawful, and necessary to protect all attending the Convention.  </w:t>
      </w:r>
    </w:p>
    <w:p w14:paraId="47CAD03E" w14:textId="77777777" w:rsidR="00557000" w:rsidRPr="00D30702" w:rsidRDefault="00557000" w:rsidP="00557000">
      <w:pPr>
        <w:rPr>
          <w:rFonts w:ascii="Times New Roman" w:hAnsi="Times New Roman"/>
          <w:bCs/>
          <w:sz w:val="20"/>
          <w:szCs w:val="20"/>
        </w:rPr>
      </w:pPr>
    </w:p>
    <w:p w14:paraId="4973C308" w14:textId="147AE023" w:rsidR="00A755CA" w:rsidRDefault="00557000"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4</w:t>
      </w:r>
    </w:p>
    <w:p w14:paraId="4DEC2107" w14:textId="77777777" w:rsidR="00557000" w:rsidRDefault="00557000" w:rsidP="00F326E5">
      <w:pPr>
        <w:pStyle w:val="NoSpacing"/>
        <w:rPr>
          <w:rFonts w:ascii="Arial Black" w:hAnsi="Arial Black"/>
          <w:sz w:val="28"/>
          <w:szCs w:val="28"/>
        </w:rPr>
      </w:pPr>
    </w:p>
    <w:p w14:paraId="6B37BC1A" w14:textId="77777777" w:rsidR="00816740" w:rsidRPr="00574A8F" w:rsidRDefault="00816740" w:rsidP="00816740">
      <w:pPr>
        <w:pStyle w:val="NoSpacing"/>
        <w:rPr>
          <w:rFonts w:ascii="Arial Black" w:hAnsi="Arial Black"/>
          <w:sz w:val="28"/>
          <w:szCs w:val="28"/>
          <w:u w:val="single"/>
          <w:shd w:val="clear" w:color="auto" w:fill="FFFFFF"/>
        </w:rPr>
      </w:pPr>
      <w:r>
        <w:rPr>
          <w:rFonts w:ascii="Arial Black" w:hAnsi="Arial Black"/>
          <w:sz w:val="28"/>
          <w:szCs w:val="28"/>
          <w:shd w:val="clear" w:color="auto" w:fill="FFFFFF"/>
        </w:rPr>
        <w:t xml:space="preserve">LA: PD INJURED BY ROCK THROWER - “BLACK LIVES” PROTEST - MAY SUE PROTEST ORGANIZER NEGLIGENCE </w:t>
      </w:r>
    </w:p>
    <w:p w14:paraId="543815B3" w14:textId="77777777" w:rsidR="00816740" w:rsidRDefault="00816740" w:rsidP="00816740">
      <w:pPr>
        <w:pStyle w:val="NoSpacing"/>
        <w:rPr>
          <w:rFonts w:ascii="Times New Roman" w:hAnsi="Times New Roman"/>
          <w:sz w:val="24"/>
          <w:szCs w:val="24"/>
          <w:shd w:val="clear" w:color="auto" w:fill="FFFFFF"/>
        </w:rPr>
      </w:pPr>
      <w:r w:rsidRPr="00574A8F">
        <w:rPr>
          <w:rFonts w:ascii="Times New Roman" w:hAnsi="Times New Roman"/>
          <w:sz w:val="24"/>
          <w:szCs w:val="24"/>
          <w:shd w:val="clear" w:color="auto" w:fill="FFFFFF"/>
        </w:rPr>
        <w:t>On June 16, 2024, in</w:t>
      </w:r>
      <w:r>
        <w:rPr>
          <w:rFonts w:ascii="Times New Roman" w:hAnsi="Times New Roman"/>
          <w:sz w:val="24"/>
          <w:szCs w:val="24"/>
          <w:shd w:val="clear" w:color="auto" w:fill="FFFFFF"/>
        </w:rPr>
        <w:t xml:space="preserve"> </w:t>
      </w:r>
      <w:r w:rsidRPr="00574A8F">
        <w:rPr>
          <w:rFonts w:ascii="Times New Roman" w:hAnsi="Times New Roman"/>
          <w:sz w:val="24"/>
          <w:szCs w:val="24"/>
          <w:u w:val="single"/>
          <w:shd w:val="clear" w:color="auto" w:fill="FFFFFF"/>
        </w:rPr>
        <w:t>Officer John Doe, Police Officer v. DeRay Mckesson; Black Lives Matter</w:t>
      </w:r>
      <w:r w:rsidRPr="00574A8F">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the U.S. Court of Appeals for 5</w:t>
      </w:r>
      <w:r w:rsidRPr="00574A8F">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(New Orleans), held (2 to 1) that a Baton Rouge police officer, who suffered </w:t>
      </w:r>
      <w:r w:rsidRPr="00A5718C">
        <w:rPr>
          <w:rFonts w:ascii="Times New Roman" w:hAnsi="Times New Roman"/>
          <w:sz w:val="24"/>
          <w:szCs w:val="24"/>
          <w:shd w:val="clear" w:color="auto" w:fill="FFFFFF"/>
        </w:rPr>
        <w:t>“loss of teeth, injury to jaw, [and] injury to brain and head</w:t>
      </w:r>
      <w:r>
        <w:rPr>
          <w:rFonts w:ascii="Times New Roman" w:hAnsi="Times New Roman"/>
          <w:sz w:val="24"/>
          <w:szCs w:val="24"/>
          <w:shd w:val="clear" w:color="auto" w:fill="FFFFFF"/>
        </w:rPr>
        <w:t xml:space="preserve">,” when an unknown </w:t>
      </w:r>
      <w:r w:rsidRPr="00A5718C">
        <w:rPr>
          <w:rFonts w:ascii="Times New Roman" w:hAnsi="Times New Roman"/>
          <w:sz w:val="24"/>
          <w:szCs w:val="24"/>
          <w:shd w:val="clear" w:color="auto" w:fill="FFFFFF"/>
        </w:rPr>
        <w:t>protestor</w:t>
      </w:r>
      <w:r>
        <w:rPr>
          <w:rFonts w:ascii="Times New Roman" w:hAnsi="Times New Roman"/>
          <w:sz w:val="24"/>
          <w:szCs w:val="24"/>
          <w:shd w:val="clear" w:color="auto" w:fill="FFFFFF"/>
        </w:rPr>
        <w:t xml:space="preserve"> threw an object during a July 9, 2016 demonstration, may proceed with his negligence lawsuit against the protest organizer (but can’t sue the Black Lives organization). The state Supreme Court confirmed to the 5</w:t>
      </w:r>
      <w:r w:rsidRPr="00252FD2">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that the “Fireman’s Rule” (or professional rescuer doctrine) no longer state law, so police of firefighters can sue for on duty injuries. </w:t>
      </w:r>
      <w:hyperlink r:id="rId660" w:history="1">
        <w:r w:rsidRPr="00E93E28">
          <w:rPr>
            <w:rStyle w:val="Hyperlink"/>
            <w:rFonts w:ascii="Times New Roman" w:hAnsi="Times New Roman"/>
            <w:sz w:val="24"/>
            <w:szCs w:val="24"/>
            <w:shd w:val="clear" w:color="auto" w:fill="FFFFFF"/>
          </w:rPr>
          <w:t>https://www.ca5.uscourts.gov/opinions/pub/17/17-30864-CV4.pdf</w:t>
        </w:r>
      </w:hyperlink>
      <w:r>
        <w:rPr>
          <w:rFonts w:ascii="Times New Roman" w:hAnsi="Times New Roman"/>
          <w:sz w:val="24"/>
          <w:szCs w:val="24"/>
          <w:shd w:val="clear" w:color="auto" w:fill="FFFFFF"/>
        </w:rPr>
        <w:t xml:space="preserve"> </w:t>
      </w:r>
    </w:p>
    <w:p w14:paraId="06A54F5E" w14:textId="77777777" w:rsidR="00816740" w:rsidRDefault="00816740" w:rsidP="00816740">
      <w:pPr>
        <w:pStyle w:val="NoSpacing"/>
        <w:rPr>
          <w:rFonts w:ascii="Times New Roman" w:hAnsi="Times New Roman"/>
          <w:sz w:val="24"/>
          <w:szCs w:val="24"/>
          <w:shd w:val="clear" w:color="auto" w:fill="FFFFFF"/>
        </w:rPr>
      </w:pPr>
    </w:p>
    <w:p w14:paraId="0EE28CBD" w14:textId="77777777" w:rsidR="00816740" w:rsidRDefault="00816740" w:rsidP="00816740">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243DDBFE" w14:textId="77777777" w:rsidR="00816740" w:rsidRDefault="00816740" w:rsidP="00816740">
      <w:pPr>
        <w:pStyle w:val="NoSpacing"/>
        <w:rPr>
          <w:rFonts w:ascii="Times New Roman" w:hAnsi="Times New Roman"/>
          <w:sz w:val="24"/>
          <w:szCs w:val="24"/>
          <w:shd w:val="clear" w:color="auto" w:fill="FFFFFF"/>
        </w:rPr>
      </w:pPr>
    </w:p>
    <w:p w14:paraId="742D74FD" w14:textId="77777777" w:rsidR="00816740" w:rsidRDefault="00816740" w:rsidP="00816740">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5615B8">
        <w:rPr>
          <w:rFonts w:ascii="Times New Roman" w:hAnsi="Times New Roman"/>
          <w:sz w:val="24"/>
          <w:szCs w:val="24"/>
          <w:shd w:val="clear" w:color="auto" w:fill="FFFFFF"/>
        </w:rPr>
        <w:t>This case returns to us after remand from the Supreme Court and certification to the Supreme Court of Louisiana. The controversy concerns a</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 xml:space="preserve">Black Lives Matter protest organized and led by Appellee DeRay </w:t>
      </w:r>
      <w:r w:rsidRPr="005615B8">
        <w:rPr>
          <w:rFonts w:ascii="Times New Roman" w:hAnsi="Times New Roman"/>
          <w:sz w:val="24"/>
          <w:szCs w:val="24"/>
          <w:shd w:val="clear" w:color="auto" w:fill="FFFFFF"/>
        </w:rPr>
        <w:lastRenderedPageBreak/>
        <w:t>Mckesson.</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During that protest, an unidentified demonstrator struck Appellant John</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Doe, a police officer in the Baton Rouge Police Department, with a heavy</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object, causing him to sustain severe injuries.</w:t>
      </w:r>
      <w:r>
        <w:rPr>
          <w:rFonts w:ascii="Times New Roman" w:hAnsi="Times New Roman"/>
          <w:sz w:val="24"/>
          <w:szCs w:val="24"/>
          <w:shd w:val="clear" w:color="auto" w:fill="FFFFFF"/>
        </w:rPr>
        <w:t xml:space="preserve"> </w:t>
      </w:r>
    </w:p>
    <w:p w14:paraId="0EEE0653" w14:textId="77777777" w:rsidR="00816740" w:rsidRDefault="00816740" w:rsidP="00816740">
      <w:pPr>
        <w:pStyle w:val="NoSpacing"/>
        <w:ind w:left="720"/>
        <w:rPr>
          <w:rFonts w:ascii="Times New Roman" w:hAnsi="Times New Roman"/>
          <w:sz w:val="24"/>
          <w:szCs w:val="24"/>
          <w:shd w:val="clear" w:color="auto" w:fill="FFFFFF"/>
        </w:rPr>
      </w:pPr>
    </w:p>
    <w:p w14:paraId="5C754DBB" w14:textId="77777777" w:rsidR="00816740" w:rsidRDefault="00816740" w:rsidP="00816740">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1B33E5E3" w14:textId="77777777" w:rsidR="00816740" w:rsidRPr="00C9029A" w:rsidRDefault="00816740" w:rsidP="00816740">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C9029A">
        <w:rPr>
          <w:rFonts w:ascii="Times New Roman" w:hAnsi="Times New Roman"/>
          <w:sz w:val="24"/>
          <w:szCs w:val="24"/>
          <w:shd w:val="clear" w:color="auto" w:fill="FFFFFF"/>
        </w:rPr>
        <w:t xml:space="preserve">Our limited holding guarantees only that Doe may proceed to discovery on his negligence claim. It does not guarantee that he will prevail </w:t>
      </w:r>
      <w:proofErr w:type="gramStart"/>
      <w:r w:rsidRPr="00C9029A">
        <w:rPr>
          <w:rFonts w:ascii="Times New Roman" w:hAnsi="Times New Roman"/>
          <w:sz w:val="24"/>
          <w:szCs w:val="24"/>
          <w:shd w:val="clear" w:color="auto" w:fill="FFFFFF"/>
        </w:rPr>
        <w:t>on</w:t>
      </w:r>
      <w:proofErr w:type="gramEnd"/>
      <w:r w:rsidRPr="00C9029A">
        <w:rPr>
          <w:rFonts w:ascii="Times New Roman" w:hAnsi="Times New Roman"/>
          <w:sz w:val="24"/>
          <w:szCs w:val="24"/>
          <w:shd w:val="clear" w:color="auto" w:fill="FFFFFF"/>
        </w:rPr>
        <w:t xml:space="preserve"> that</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claim. Mckesson will have every opportunity to discover and offer evidence</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disproving Doe’s allegations that Mckesson breached his duty of care, and</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 xml:space="preserve">that the breach was a </w:t>
      </w:r>
      <w:proofErr w:type="spellStart"/>
      <w:proofErr w:type="gramStart"/>
      <w:r w:rsidRPr="00C9029A">
        <w:rPr>
          <w:rFonts w:ascii="Times New Roman" w:hAnsi="Times New Roman"/>
          <w:sz w:val="24"/>
          <w:szCs w:val="24"/>
          <w:shd w:val="clear" w:color="auto" w:fill="FFFFFF"/>
        </w:rPr>
        <w:t>but</w:t>
      </w:r>
      <w:proofErr w:type="spellEnd"/>
      <w:proofErr w:type="gramEnd"/>
      <w:r w:rsidRPr="00C9029A">
        <w:rPr>
          <w:rFonts w:ascii="Times New Roman" w:hAnsi="Times New Roman"/>
          <w:sz w:val="24"/>
          <w:szCs w:val="24"/>
          <w:shd w:val="clear" w:color="auto" w:fill="FFFFFF"/>
        </w:rPr>
        <w:t xml:space="preserve">-for cause of Doe’s injuries. Likewise, and </w:t>
      </w:r>
      <w:proofErr w:type="gramStart"/>
      <w:r w:rsidRPr="00C9029A">
        <w:rPr>
          <w:rFonts w:ascii="Times New Roman" w:hAnsi="Times New Roman"/>
          <w:sz w:val="24"/>
          <w:szCs w:val="24"/>
          <w:shd w:val="clear" w:color="auto" w:fill="FFFFFF"/>
        </w:rPr>
        <w:t>in light</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of the fact that</w:t>
      </w:r>
      <w:proofErr w:type="gramEnd"/>
      <w:r w:rsidRPr="00C9029A">
        <w:rPr>
          <w:rFonts w:ascii="Times New Roman" w:hAnsi="Times New Roman"/>
          <w:sz w:val="24"/>
          <w:szCs w:val="24"/>
          <w:shd w:val="clear" w:color="auto" w:fill="FFFFFF"/>
        </w:rPr>
        <w:t xml:space="preserve"> Doe seeks to avail himself of Louisiana tort law, Mckesson is</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entitled to seek to avail himself of traditional tort defenses. These defenses</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would of course be available to future defendants in future cases. For exam-</w:t>
      </w:r>
    </w:p>
    <w:p w14:paraId="3106FEF9" w14:textId="77777777" w:rsidR="00816740" w:rsidRDefault="00816740" w:rsidP="00816740">
      <w:pPr>
        <w:pStyle w:val="NoSpacing"/>
        <w:ind w:left="720"/>
        <w:rPr>
          <w:rFonts w:ascii="Times New Roman" w:hAnsi="Times New Roman"/>
          <w:sz w:val="24"/>
          <w:szCs w:val="24"/>
          <w:shd w:val="clear" w:color="auto" w:fill="FFFFFF"/>
        </w:rPr>
      </w:pPr>
      <w:proofErr w:type="spellStart"/>
      <w:r w:rsidRPr="00C9029A">
        <w:rPr>
          <w:rFonts w:ascii="Times New Roman" w:hAnsi="Times New Roman"/>
          <w:sz w:val="24"/>
          <w:szCs w:val="24"/>
          <w:shd w:val="clear" w:color="auto" w:fill="FFFFFF"/>
        </w:rPr>
        <w:t>ple</w:t>
      </w:r>
      <w:proofErr w:type="spellEnd"/>
      <w:r w:rsidRPr="00C9029A">
        <w:rPr>
          <w:rFonts w:ascii="Times New Roman" w:hAnsi="Times New Roman"/>
          <w:sz w:val="24"/>
          <w:szCs w:val="24"/>
          <w:shd w:val="clear" w:color="auto" w:fill="FFFFFF"/>
        </w:rPr>
        <w:t>, if a defendant could show that a police officer improperly provoked a</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confrontation with a protestor, the defendant might assert the defense of</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comparative negligence, which remains available to assign proportional fault,</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as the Supreme Court of Louisiana explained on certification.</w:t>
      </w:r>
      <w:r>
        <w:rPr>
          <w:rFonts w:ascii="Times New Roman" w:hAnsi="Times New Roman"/>
          <w:sz w:val="24"/>
          <w:szCs w:val="24"/>
          <w:shd w:val="clear" w:color="auto" w:fill="FFFFFF"/>
        </w:rPr>
        <w:t>”</w:t>
      </w:r>
    </w:p>
    <w:p w14:paraId="44701D31" w14:textId="77777777" w:rsidR="00075B1D" w:rsidRDefault="00075B1D" w:rsidP="00F326E5">
      <w:pPr>
        <w:pStyle w:val="NoSpacing"/>
        <w:rPr>
          <w:rFonts w:ascii="Arial Black" w:hAnsi="Arial Black"/>
          <w:sz w:val="28"/>
          <w:szCs w:val="28"/>
        </w:rPr>
      </w:pPr>
    </w:p>
    <w:p w14:paraId="63659004" w14:textId="77777777" w:rsidR="009C2555" w:rsidRDefault="009C2555" w:rsidP="009C2555">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DISSENT:</w:t>
      </w:r>
    </w:p>
    <w:p w14:paraId="4A52D713" w14:textId="77777777" w:rsidR="009C2555" w:rsidRDefault="009C2555" w:rsidP="009C2555">
      <w:pPr>
        <w:pStyle w:val="NoSpacing"/>
        <w:rPr>
          <w:rFonts w:ascii="Times New Roman" w:hAnsi="Times New Roman"/>
          <w:sz w:val="24"/>
          <w:szCs w:val="24"/>
          <w:shd w:val="clear" w:color="auto" w:fill="FFFFFF"/>
        </w:rPr>
      </w:pPr>
    </w:p>
    <w:p w14:paraId="6711C3C6" w14:textId="77777777" w:rsidR="009C2555" w:rsidRPr="002D5F98" w:rsidRDefault="009C2555" w:rsidP="009C2555">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2D5F98">
        <w:rPr>
          <w:rFonts w:ascii="Times New Roman" w:hAnsi="Times New Roman"/>
          <w:sz w:val="24"/>
          <w:szCs w:val="24"/>
          <w:shd w:val="clear" w:color="auto" w:fill="FFFFFF"/>
        </w:rPr>
        <w:t>Officer John Doe was honoring his oath to serve and protect the</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people of Baton Rouge when an unidentified violent protestor hurled a rock</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or something like it, striking Doe in the face and inflicting devastating</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 xml:space="preserve">injuries. Officer Doe risked his life to keep his city safe that </w:t>
      </w:r>
      <w:proofErr w:type="gramStart"/>
      <w:r w:rsidRPr="002D5F98">
        <w:rPr>
          <w:rFonts w:ascii="Times New Roman" w:hAnsi="Times New Roman"/>
          <w:sz w:val="24"/>
          <w:szCs w:val="24"/>
          <w:shd w:val="clear" w:color="auto" w:fill="FFFFFF"/>
        </w:rPr>
        <w:t>day—same</w:t>
      </w:r>
      <w:proofErr w:type="gramEnd"/>
      <w:r w:rsidRPr="002D5F98">
        <w:rPr>
          <w:rFonts w:ascii="Times New Roman" w:hAnsi="Times New Roman"/>
          <w:sz w:val="24"/>
          <w:szCs w:val="24"/>
          <w:shd w:val="clear" w:color="auto" w:fill="FFFFFF"/>
        </w:rPr>
        <w:t xml:space="preserve"> as</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every other day he put on the uniform. He deserves justice. Unquestionably,</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Officer Doe can sue the rock-thrower. But I disagree that he can sue</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Mckesson as the protest leader. The Constitution that Officer Doe swore to</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protect itself protects Mckesson’s rights to speak, assemble, associate, and</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petition. First Amendment freedoms are not absolute—but there’s the rub:</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Did Mckesson stray from lawfully exercising his own rights to unlawfully</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exorcising Doe’s? I don’t believe he did.</w:t>
      </w:r>
      <w:r>
        <w:rPr>
          <w:rFonts w:ascii="Times New Roman" w:hAnsi="Times New Roman"/>
          <w:sz w:val="24"/>
          <w:szCs w:val="24"/>
          <w:shd w:val="clear" w:color="auto" w:fill="FFFFFF"/>
        </w:rPr>
        <w:t>”</w:t>
      </w:r>
    </w:p>
    <w:p w14:paraId="42D43E44" w14:textId="77777777" w:rsidR="009C2555" w:rsidRDefault="009C2555" w:rsidP="00F326E5">
      <w:pPr>
        <w:pStyle w:val="NoSpacing"/>
        <w:rPr>
          <w:rFonts w:ascii="Arial Black" w:hAnsi="Arial Black"/>
          <w:sz w:val="28"/>
          <w:szCs w:val="28"/>
        </w:rPr>
      </w:pPr>
    </w:p>
    <w:p w14:paraId="4A6CFF9F" w14:textId="77777777" w:rsidR="00FC09B8" w:rsidRPr="0076259E" w:rsidRDefault="00FC09B8" w:rsidP="00FC09B8">
      <w:pPr>
        <w:pStyle w:val="NoSpacing"/>
        <w:rPr>
          <w:rFonts w:ascii="Times New Roman" w:hAnsi="Times New Roman"/>
          <w:b/>
          <w:bCs/>
          <w:sz w:val="24"/>
          <w:szCs w:val="24"/>
          <w:shd w:val="clear" w:color="auto" w:fill="FFFFFF"/>
        </w:rPr>
      </w:pPr>
      <w:r w:rsidRPr="0076259E">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Protests can quickly get ugly; this is an important decision on potential liability of a protest leader. </w:t>
      </w:r>
    </w:p>
    <w:p w14:paraId="52976248" w14:textId="77777777" w:rsidR="00FC09B8" w:rsidRPr="00F00C70" w:rsidRDefault="00FC09B8" w:rsidP="00FC09B8">
      <w:pPr>
        <w:pStyle w:val="NormalWeb"/>
        <w:ind w:left="720"/>
        <w:rPr>
          <w:shd w:val="clear" w:color="auto" w:fill="FFFFFF"/>
        </w:rPr>
      </w:pPr>
      <w:r w:rsidRPr="00F00C70">
        <w:rPr>
          <w:color w:val="454545"/>
          <w:shd w:val="clear" w:color="auto" w:fill="FFFFFF"/>
        </w:rPr>
        <w:t>Note:</w:t>
      </w:r>
      <w:r w:rsidRPr="00F00C70">
        <w:rPr>
          <w:b/>
          <w:bCs/>
          <w:color w:val="454545"/>
          <w:shd w:val="clear" w:color="auto" w:fill="FFFFFF"/>
        </w:rPr>
        <w:t xml:space="preserve">  </w:t>
      </w:r>
      <w:r w:rsidRPr="00F00C70">
        <w:rPr>
          <w:color w:val="454545"/>
          <w:shd w:val="clear" w:color="auto" w:fill="FFFFFF"/>
        </w:rPr>
        <w:t xml:space="preserve">Louisiana </w:t>
      </w:r>
      <w:r>
        <w:rPr>
          <w:color w:val="454545"/>
          <w:shd w:val="clear" w:color="auto" w:fill="FFFFFF"/>
        </w:rPr>
        <w:t xml:space="preserve">has abolished </w:t>
      </w:r>
      <w:r w:rsidRPr="00F00C70">
        <w:rPr>
          <w:color w:val="454545"/>
          <w:shd w:val="clear" w:color="auto" w:fill="FFFFFF"/>
        </w:rPr>
        <w:t>the “Fireman’s Rule</w:t>
      </w:r>
      <w:r>
        <w:rPr>
          <w:color w:val="454545"/>
          <w:shd w:val="clear" w:color="auto" w:fill="FFFFFF"/>
        </w:rPr>
        <w:t>.</w:t>
      </w:r>
      <w:r w:rsidRPr="00F00C70">
        <w:rPr>
          <w:color w:val="454545"/>
          <w:shd w:val="clear" w:color="auto" w:fill="FFFFFF"/>
        </w:rPr>
        <w:t>”</w:t>
      </w:r>
      <w:r w:rsidRPr="00F00C70">
        <w:rPr>
          <w:b/>
          <w:bCs/>
          <w:color w:val="454545"/>
          <w:shd w:val="clear" w:color="auto" w:fill="FFFFFF"/>
        </w:rPr>
        <w:t xml:space="preserve"> </w:t>
      </w:r>
      <w:r w:rsidRPr="00F00C70">
        <w:rPr>
          <w:color w:val="454545"/>
          <w:shd w:val="clear" w:color="auto" w:fill="FFFFFF"/>
        </w:rPr>
        <w:t xml:space="preserve">See </w:t>
      </w:r>
      <w:r w:rsidRPr="00F00C70">
        <w:rPr>
          <w:shd w:val="clear" w:color="auto" w:fill="FFFFFF"/>
        </w:rPr>
        <w:t>Footnote 6: “As noted above, we previously apprehended that Louisiana’s professional rescuer’s doctrine might apply here and bar Doe’s negligence claim….  But on certification, the Supreme Court of Louisiana held that the doctrine has been ‘abrogated in Louisiana both legislatively and jurisprudentially’ … As such, the doctrine poses no bar to Doe’s recovery here.”</w:t>
      </w:r>
    </w:p>
    <w:p w14:paraId="47EF8278" w14:textId="77777777" w:rsidR="00FC09B8" w:rsidRDefault="00FC09B8" w:rsidP="00F326E5">
      <w:pPr>
        <w:pStyle w:val="NoSpacing"/>
        <w:rPr>
          <w:rFonts w:ascii="Arial Black" w:hAnsi="Arial Black"/>
          <w:sz w:val="28"/>
          <w:szCs w:val="28"/>
        </w:rPr>
      </w:pPr>
    </w:p>
    <w:p w14:paraId="24D5A8D6" w14:textId="77777777" w:rsidR="00A755CA" w:rsidRDefault="00A755CA" w:rsidP="00F326E5">
      <w:pPr>
        <w:pStyle w:val="NoSpacing"/>
        <w:rPr>
          <w:rFonts w:ascii="Arial Black" w:hAnsi="Arial Black"/>
          <w:sz w:val="28"/>
          <w:szCs w:val="28"/>
        </w:rPr>
      </w:pPr>
    </w:p>
    <w:p w14:paraId="61108D85" w14:textId="17F4DDD5" w:rsidR="00E858DE" w:rsidRDefault="00E858DE"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3</w:t>
      </w:r>
    </w:p>
    <w:p w14:paraId="1D109C5F" w14:textId="77777777" w:rsidR="00E75F2A" w:rsidRDefault="00E75F2A" w:rsidP="00E75F2A">
      <w:pPr>
        <w:pStyle w:val="NormalWeb"/>
        <w:rPr>
          <w:rFonts w:ascii="Arial Black" w:hAnsi="Arial Black"/>
          <w:sz w:val="28"/>
          <w:szCs w:val="28"/>
        </w:rPr>
      </w:pPr>
      <w:r>
        <w:rPr>
          <w:rFonts w:ascii="Arial Black" w:hAnsi="Arial Black"/>
          <w:sz w:val="28"/>
          <w:szCs w:val="28"/>
        </w:rPr>
        <w:t>U.S. SUP. CT:  PARKLAND SHOOTING – NRA CAN SUE STATE OF NY – 1</w:t>
      </w:r>
      <w:r w:rsidRPr="00EC6994">
        <w:rPr>
          <w:rFonts w:ascii="Arial Black" w:hAnsi="Arial Black"/>
          <w:sz w:val="28"/>
          <w:szCs w:val="28"/>
          <w:vertAlign w:val="superscript"/>
        </w:rPr>
        <w:t>st</w:t>
      </w:r>
      <w:r>
        <w:rPr>
          <w:rFonts w:ascii="Arial Black" w:hAnsi="Arial Black"/>
          <w:sz w:val="28"/>
          <w:szCs w:val="28"/>
        </w:rPr>
        <w:t xml:space="preserve"> AMEND – TOLD INSUR. COMPANYS DROP NRA </w:t>
      </w:r>
    </w:p>
    <w:p w14:paraId="5657AEBD" w14:textId="77777777" w:rsidR="009334CD" w:rsidRDefault="00E75F2A" w:rsidP="00E75F2A">
      <w:pPr>
        <w:pStyle w:val="NormalWeb"/>
      </w:pPr>
      <w:r>
        <w:t xml:space="preserve">On May 30, 2024, </w:t>
      </w:r>
      <w:r w:rsidRPr="0021798A">
        <w:rPr>
          <w:u w:val="single"/>
        </w:rPr>
        <w:t>in National Rifle Association v.  Vullo</w:t>
      </w:r>
      <w:r>
        <w:t xml:space="preserve"> (Maria Vullo, former Superintendent of the New York Department of Financial Services), the U.S. Supreme Court held (9 to 0) that NRA’s lawsuit for alleged violation of First Amendment shall be reinstated and proceed to pre-trial discovery, thereby reversing U.S. Court of Appeals for 2</w:t>
      </w:r>
      <w:r w:rsidRPr="008820A5">
        <w:rPr>
          <w:vertAlign w:val="superscript"/>
        </w:rPr>
        <w:t>nd</w:t>
      </w:r>
      <w:r>
        <w:t xml:space="preserve"> Circuit which had ordered case dismissed.  In 2017, a gun-control advocacy group had advised Vullo that insurance companies in New York were illegally insuring NRA members who purchased “Carry Guard” that they would be insured even for intentional criminal acts; Vullo opened an investigation of two insurance companies (who were fined and cancelled their policies).  On Feb. 14, 2018, February 14, 2018, a gunman opened fire at Marjory Stoneman Douglas High School, murdering 17 students and staff members.  The </w:t>
      </w:r>
      <w:r>
        <w:lastRenderedPageBreak/>
        <w:t xml:space="preserve">Governor and Vullo then started warning NY insurance companies to not insure NRA, including a “private meeting” by Vullo with insurance executives.  </w:t>
      </w:r>
    </w:p>
    <w:p w14:paraId="6CB42823" w14:textId="68350D17" w:rsidR="009334CD" w:rsidRDefault="009334CD" w:rsidP="00E75F2A">
      <w:pPr>
        <w:pStyle w:val="NormalWeb"/>
      </w:pPr>
      <w:r>
        <w:t xml:space="preserve">THE COURT HELD: </w:t>
      </w:r>
    </w:p>
    <w:p w14:paraId="7032A1F9" w14:textId="77777777" w:rsidR="00E75F2A" w:rsidRDefault="00E75F2A" w:rsidP="00E75F2A">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506708">
        <w:rPr>
          <w:rFonts w:ascii="Times New Roman" w:hAnsi="Times New Roman"/>
          <w:sz w:val="24"/>
          <w:szCs w:val="24"/>
          <w:shd w:val="clear" w:color="auto" w:fill="FFFFFF"/>
        </w:rPr>
        <w:t>As discussed below, Vullo was free to criticize the NRA</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and pursue the conceded violations of New York insurance</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law. She could not wield her power, however, to threaten</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 xml:space="preserve">enforcement actions against DFS-regulated entities </w:t>
      </w:r>
      <w:proofErr w:type="gramStart"/>
      <w:r w:rsidRPr="00506708">
        <w:rPr>
          <w:rFonts w:ascii="Times New Roman" w:hAnsi="Times New Roman"/>
          <w:sz w:val="24"/>
          <w:szCs w:val="24"/>
          <w:shd w:val="clear" w:color="auto" w:fill="FFFFFF"/>
        </w:rPr>
        <w:t>in order to</w:t>
      </w:r>
      <w:proofErr w:type="gramEnd"/>
      <w:r w:rsidRPr="00506708">
        <w:rPr>
          <w:rFonts w:ascii="Times New Roman" w:hAnsi="Times New Roman"/>
          <w:sz w:val="24"/>
          <w:szCs w:val="24"/>
          <w:shd w:val="clear" w:color="auto" w:fill="FFFFFF"/>
        </w:rPr>
        <w:t xml:space="preserve"> punish or suppress the NRA’s gun-promotion advocacy. Because the complaint plausibly alleges that Vullo</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did just that, the Court holds that the NRA stated a First</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Amendment violation.</w:t>
      </w:r>
    </w:p>
    <w:p w14:paraId="617CB12F" w14:textId="77777777" w:rsidR="00E75F2A" w:rsidRDefault="00E75F2A" w:rsidP="00E75F2A">
      <w:pPr>
        <w:pStyle w:val="NoSpacing"/>
        <w:rPr>
          <w:rFonts w:ascii="Times New Roman" w:hAnsi="Times New Roman"/>
          <w:sz w:val="24"/>
          <w:szCs w:val="24"/>
          <w:shd w:val="clear" w:color="auto" w:fill="FFFFFF"/>
        </w:rPr>
      </w:pPr>
    </w:p>
    <w:p w14:paraId="07A64F4A" w14:textId="77777777" w:rsidR="00E75F2A" w:rsidRDefault="00E75F2A" w:rsidP="00E75F2A">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123C7CFD" w14:textId="77777777" w:rsidR="00E75F2A" w:rsidRPr="00DC0294" w:rsidRDefault="00E75F2A" w:rsidP="00E75F2A">
      <w:pPr>
        <w:pStyle w:val="NoSpacing"/>
        <w:ind w:left="720"/>
        <w:rPr>
          <w:rFonts w:ascii="Times New Roman" w:hAnsi="Times New Roman"/>
          <w:sz w:val="24"/>
          <w:szCs w:val="24"/>
          <w:shd w:val="clear" w:color="auto" w:fill="FFFFFF"/>
        </w:rPr>
      </w:pPr>
      <w:r w:rsidRPr="00DC0294">
        <w:rPr>
          <w:rFonts w:ascii="Times New Roman" w:hAnsi="Times New Roman"/>
          <w:sz w:val="24"/>
          <w:szCs w:val="24"/>
          <w:shd w:val="clear" w:color="auto" w:fill="FFFFFF"/>
        </w:rPr>
        <w:t>For the reasons discussed above, the Court holds that the</w:t>
      </w:r>
      <w:r>
        <w:rPr>
          <w:rFonts w:ascii="Times New Roman" w:hAnsi="Times New Roman"/>
          <w:sz w:val="24"/>
          <w:szCs w:val="24"/>
          <w:shd w:val="clear" w:color="auto" w:fill="FFFFFF"/>
        </w:rPr>
        <w:t xml:space="preserve"> </w:t>
      </w:r>
      <w:r w:rsidRPr="00DC0294">
        <w:rPr>
          <w:rFonts w:ascii="Times New Roman" w:hAnsi="Times New Roman"/>
          <w:sz w:val="24"/>
          <w:szCs w:val="24"/>
          <w:shd w:val="clear" w:color="auto" w:fill="FFFFFF"/>
        </w:rPr>
        <w:t xml:space="preserve">NRA plausibly alleged that Vullo violated the First Amendment by coercing DFS-regulated entities to terminate </w:t>
      </w:r>
      <w:proofErr w:type="gramStart"/>
      <w:r w:rsidRPr="00DC0294">
        <w:rPr>
          <w:rFonts w:ascii="Times New Roman" w:hAnsi="Times New Roman"/>
          <w:sz w:val="24"/>
          <w:szCs w:val="24"/>
          <w:shd w:val="clear" w:color="auto" w:fill="FFFFFF"/>
        </w:rPr>
        <w:t>their</w:t>
      </w:r>
      <w:proofErr w:type="gramEnd"/>
    </w:p>
    <w:p w14:paraId="3593A4BE" w14:textId="77777777" w:rsidR="00E75F2A" w:rsidRDefault="00E75F2A" w:rsidP="00E75F2A">
      <w:pPr>
        <w:pStyle w:val="NoSpacing"/>
        <w:ind w:left="720"/>
        <w:rPr>
          <w:rFonts w:ascii="Times New Roman" w:hAnsi="Times New Roman"/>
          <w:sz w:val="24"/>
          <w:szCs w:val="24"/>
          <w:shd w:val="clear" w:color="auto" w:fill="FFFFFF"/>
        </w:rPr>
      </w:pPr>
      <w:r w:rsidRPr="00DC0294">
        <w:rPr>
          <w:rFonts w:ascii="Times New Roman" w:hAnsi="Times New Roman"/>
          <w:sz w:val="24"/>
          <w:szCs w:val="24"/>
          <w:shd w:val="clear" w:color="auto" w:fill="FFFFFF"/>
        </w:rPr>
        <w:t xml:space="preserve">business relationships with the NRA </w:t>
      </w:r>
      <w:proofErr w:type="gramStart"/>
      <w:r w:rsidRPr="00DC0294">
        <w:rPr>
          <w:rFonts w:ascii="Times New Roman" w:hAnsi="Times New Roman"/>
          <w:sz w:val="24"/>
          <w:szCs w:val="24"/>
          <w:shd w:val="clear" w:color="auto" w:fill="FFFFFF"/>
        </w:rPr>
        <w:t>in order to</w:t>
      </w:r>
      <w:proofErr w:type="gramEnd"/>
      <w:r w:rsidRPr="00DC0294">
        <w:rPr>
          <w:rFonts w:ascii="Times New Roman" w:hAnsi="Times New Roman"/>
          <w:sz w:val="24"/>
          <w:szCs w:val="24"/>
          <w:shd w:val="clear" w:color="auto" w:fill="FFFFFF"/>
        </w:rPr>
        <w:t xml:space="preserve"> punish or</w:t>
      </w:r>
      <w:r>
        <w:rPr>
          <w:rFonts w:ascii="Times New Roman" w:hAnsi="Times New Roman"/>
          <w:sz w:val="24"/>
          <w:szCs w:val="24"/>
          <w:shd w:val="clear" w:color="auto" w:fill="FFFFFF"/>
        </w:rPr>
        <w:t xml:space="preserve"> </w:t>
      </w:r>
      <w:r w:rsidRPr="00DC0294">
        <w:rPr>
          <w:rFonts w:ascii="Times New Roman" w:hAnsi="Times New Roman"/>
          <w:sz w:val="24"/>
          <w:szCs w:val="24"/>
          <w:shd w:val="clear" w:color="auto" w:fill="FFFFFF"/>
        </w:rPr>
        <w:t>suppress the NRA’s advocacy.</w:t>
      </w:r>
      <w:r>
        <w:rPr>
          <w:rFonts w:ascii="Times New Roman" w:hAnsi="Times New Roman"/>
          <w:sz w:val="24"/>
          <w:szCs w:val="24"/>
          <w:shd w:val="clear" w:color="auto" w:fill="FFFFFF"/>
        </w:rPr>
        <w:t>”</w:t>
      </w:r>
      <w:r w:rsidRPr="00B8727E">
        <w:t xml:space="preserve"> </w:t>
      </w:r>
      <w:hyperlink r:id="rId661" w:history="1">
        <w:r w:rsidRPr="00220336">
          <w:rPr>
            <w:rStyle w:val="Hyperlink"/>
            <w:rFonts w:ascii="Times New Roman" w:hAnsi="Times New Roman"/>
            <w:sz w:val="24"/>
            <w:szCs w:val="24"/>
            <w:shd w:val="clear" w:color="auto" w:fill="FFFFFF"/>
          </w:rPr>
          <w:t>https://www.supremecourt.gov/opinions/23pdf/22-842_6kg7.pdf</w:t>
        </w:r>
      </w:hyperlink>
      <w:r>
        <w:rPr>
          <w:rFonts w:ascii="Times New Roman" w:hAnsi="Times New Roman"/>
          <w:sz w:val="24"/>
          <w:szCs w:val="24"/>
          <w:shd w:val="clear" w:color="auto" w:fill="FFFFFF"/>
        </w:rPr>
        <w:t xml:space="preserve"> </w:t>
      </w:r>
    </w:p>
    <w:p w14:paraId="047BD114" w14:textId="77777777" w:rsidR="00E75F2A" w:rsidRDefault="00E75F2A" w:rsidP="00F326E5">
      <w:pPr>
        <w:pStyle w:val="NoSpacing"/>
        <w:rPr>
          <w:rFonts w:ascii="Arial Black" w:hAnsi="Arial Black"/>
          <w:sz w:val="28"/>
          <w:szCs w:val="28"/>
        </w:rPr>
      </w:pPr>
    </w:p>
    <w:p w14:paraId="099758B6" w14:textId="77777777" w:rsidR="003F14B8" w:rsidRPr="00A63606" w:rsidRDefault="003F14B8" w:rsidP="003F14B8">
      <w:pPr>
        <w:pStyle w:val="NoSpacing"/>
        <w:rPr>
          <w:rFonts w:ascii="Times New Roman" w:hAnsi="Times New Roman"/>
          <w:b/>
          <w:bCs/>
          <w:sz w:val="24"/>
          <w:szCs w:val="24"/>
          <w:shd w:val="clear" w:color="auto" w:fill="FFFFFF"/>
        </w:rPr>
      </w:pPr>
      <w:r w:rsidRPr="00A63606">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This unanimous First Amendment decision will undoubtedly lead to other cases against government officials; fire code enforcers should use great care in publicly discussing targets of investigation. </w:t>
      </w:r>
    </w:p>
    <w:p w14:paraId="79271AA2" w14:textId="77777777" w:rsidR="00E858DE" w:rsidRDefault="00E858DE" w:rsidP="00F326E5">
      <w:pPr>
        <w:pStyle w:val="NoSpacing"/>
        <w:rPr>
          <w:rFonts w:ascii="Arial Black" w:hAnsi="Arial Black"/>
          <w:sz w:val="28"/>
          <w:szCs w:val="28"/>
        </w:rPr>
      </w:pPr>
    </w:p>
    <w:p w14:paraId="63F500A9" w14:textId="77777777" w:rsidR="00E858DE" w:rsidRDefault="00E858DE" w:rsidP="00F326E5">
      <w:pPr>
        <w:pStyle w:val="NoSpacing"/>
        <w:rPr>
          <w:rFonts w:ascii="Arial Black" w:hAnsi="Arial Black"/>
          <w:sz w:val="28"/>
          <w:szCs w:val="28"/>
        </w:rPr>
      </w:pPr>
    </w:p>
    <w:p w14:paraId="03437754" w14:textId="77777777" w:rsidR="00E858DE" w:rsidRDefault="00E858DE" w:rsidP="00F326E5">
      <w:pPr>
        <w:pStyle w:val="NoSpacing"/>
        <w:rPr>
          <w:rFonts w:ascii="Arial Black" w:hAnsi="Arial Black"/>
          <w:sz w:val="28"/>
          <w:szCs w:val="28"/>
        </w:rPr>
      </w:pPr>
    </w:p>
    <w:p w14:paraId="29BCA901" w14:textId="742F2452" w:rsidR="00683F2A" w:rsidRDefault="00683F2A"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2</w:t>
      </w:r>
    </w:p>
    <w:p w14:paraId="780A2029" w14:textId="77777777" w:rsidR="00E858DE" w:rsidRDefault="00E858DE" w:rsidP="00683F2A">
      <w:pPr>
        <w:pStyle w:val="NormalWeb"/>
        <w:spacing w:before="0" w:beforeAutospacing="0"/>
        <w:rPr>
          <w:rFonts w:ascii="Arial Black" w:hAnsi="Arial Black"/>
          <w:b/>
          <w:bCs/>
          <w:color w:val="454545"/>
          <w:sz w:val="28"/>
          <w:szCs w:val="28"/>
          <w:shd w:val="clear" w:color="auto" w:fill="FFFFFF"/>
        </w:rPr>
      </w:pPr>
    </w:p>
    <w:p w14:paraId="68C07340" w14:textId="54FFE53C" w:rsidR="00683F2A" w:rsidRDefault="00683F2A" w:rsidP="00683F2A">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DC:  RETIRED NY COP - TRUMP RALLY /  U.S. CAPITOL - ATTACKED PD – WORE BODY ARMOR - 10-YRS PRISON </w:t>
      </w:r>
    </w:p>
    <w:p w14:paraId="3A124D12" w14:textId="77777777" w:rsidR="00683F2A" w:rsidRDefault="00683F2A" w:rsidP="00683F2A">
      <w:pPr>
        <w:pStyle w:val="NormalWeb"/>
        <w:spacing w:before="0" w:beforeAutospacing="0"/>
        <w:rPr>
          <w:color w:val="454545"/>
          <w:shd w:val="clear" w:color="auto" w:fill="FFFFFF"/>
        </w:rPr>
      </w:pPr>
      <w:r w:rsidRPr="00C01682">
        <w:rPr>
          <w:color w:val="454545"/>
          <w:shd w:val="clear" w:color="auto" w:fill="FFFFFF"/>
        </w:rPr>
        <w:t xml:space="preserve">On May 28, 2024, in </w:t>
      </w:r>
      <w:r w:rsidRPr="00C01682">
        <w:rPr>
          <w:color w:val="454545"/>
          <w:u w:val="single"/>
          <w:shd w:val="clear" w:color="auto" w:fill="FFFFFF"/>
        </w:rPr>
        <w:t>United States of America v. Thomas Webster</w:t>
      </w:r>
      <w:r w:rsidRPr="00C01682">
        <w:rPr>
          <w:color w:val="454545"/>
          <w:shd w:val="clear" w:color="auto" w:fill="FFFFFF"/>
        </w:rPr>
        <w:t xml:space="preserve">, </w:t>
      </w:r>
      <w:r>
        <w:rPr>
          <w:color w:val="454545"/>
          <w:shd w:val="clear" w:color="auto" w:fill="FFFFFF"/>
        </w:rPr>
        <w:t>the U.S. Court of Appeals for the District of Columbia Circuit held (3 to 0) that jury conviction of five felonies, and judge’s sentence of 10 years in prison, is confirmed. The Court held:</w:t>
      </w:r>
    </w:p>
    <w:p w14:paraId="6B2377D0" w14:textId="77777777" w:rsidR="00683F2A" w:rsidRDefault="00683F2A" w:rsidP="00683F2A">
      <w:pPr>
        <w:pStyle w:val="NormalWeb"/>
        <w:spacing w:before="0" w:beforeAutospacing="0"/>
        <w:ind w:left="720" w:firstLine="60"/>
      </w:pPr>
      <w:r>
        <w:rPr>
          <w:color w:val="454545"/>
          <w:shd w:val="clear" w:color="auto" w:fill="FFFFFF"/>
        </w:rPr>
        <w:t>“</w:t>
      </w:r>
      <w:r>
        <w:t xml:space="preserve">Thomas Webster attended former-President Trump's rally on January 6, 2021, and then went to the Capitol. Upon arriving, Webster confronted a line of police officers and violently assaulted Officer Rathbun of the Metropolitan Police Department. A jury convicted Webster of five felonies and one misdemeanor offense. The district court imposed a ten-year prison sentence. Webster appeals, raising challenges both to his convictions and his sentence. We have considered each of Webster's challenges and, because none of them succeed, we affirm his convictions and sentence. … Turning to Webster's sentence, he challenges the district court's inclusion of a four-level, use-of-body-armor enhancement. He also argues that the length of his sentence was substantively unreasonable as compared to other January 6th defendants. Neither of those arguments succeeds.” </w:t>
      </w:r>
      <w:hyperlink r:id="rId662" w:history="1">
        <w:r w:rsidRPr="00F80308">
          <w:rPr>
            <w:rStyle w:val="Hyperlink"/>
          </w:rPr>
          <w:t>https://cases.justia.com/federal/appellate-courts/cadc/22-3064/22-3064-2024-05-28.pdf?ts=1716910338</w:t>
        </w:r>
      </w:hyperlink>
      <w:r>
        <w:t xml:space="preserve"> </w:t>
      </w:r>
    </w:p>
    <w:p w14:paraId="3E8B7F5C" w14:textId="77777777" w:rsidR="00E858DE" w:rsidRPr="00A474FA" w:rsidRDefault="00E858DE" w:rsidP="00E858DE">
      <w:pPr>
        <w:pStyle w:val="NormalWeb"/>
        <w:rPr>
          <w:b/>
          <w:bCs/>
        </w:rPr>
      </w:pPr>
      <w:r>
        <w:rPr>
          <w:b/>
          <w:bCs/>
        </w:rPr>
        <w:t xml:space="preserve">Legal Lesson Learned:  Federal Sentencing Guidelines authorizes an enhanced sentence for defendants who wear body armor. </w:t>
      </w:r>
    </w:p>
    <w:p w14:paraId="04A16425" w14:textId="77777777" w:rsidR="00E858DE" w:rsidRDefault="00E858DE" w:rsidP="00683F2A">
      <w:pPr>
        <w:pStyle w:val="NormalWeb"/>
        <w:spacing w:before="0" w:beforeAutospacing="0"/>
        <w:ind w:left="720" w:firstLine="60"/>
      </w:pPr>
    </w:p>
    <w:p w14:paraId="60C9C348" w14:textId="77777777" w:rsidR="00683F2A" w:rsidRDefault="00683F2A" w:rsidP="00F326E5">
      <w:pPr>
        <w:pStyle w:val="NoSpacing"/>
        <w:rPr>
          <w:rFonts w:ascii="Arial Black" w:hAnsi="Arial Black"/>
          <w:sz w:val="28"/>
          <w:szCs w:val="28"/>
        </w:rPr>
      </w:pPr>
    </w:p>
    <w:p w14:paraId="7EE4ADE4" w14:textId="77777777" w:rsidR="00683F2A" w:rsidRDefault="00683F2A" w:rsidP="00F326E5">
      <w:pPr>
        <w:pStyle w:val="NoSpacing"/>
        <w:rPr>
          <w:rFonts w:ascii="Arial Black" w:hAnsi="Arial Black"/>
          <w:sz w:val="28"/>
          <w:szCs w:val="28"/>
        </w:rPr>
      </w:pPr>
    </w:p>
    <w:p w14:paraId="02F18301" w14:textId="77777777" w:rsidR="00683F2A" w:rsidRDefault="00683F2A" w:rsidP="00F326E5">
      <w:pPr>
        <w:pStyle w:val="NoSpacing"/>
        <w:rPr>
          <w:rFonts w:ascii="Arial Black" w:hAnsi="Arial Black"/>
          <w:sz w:val="28"/>
          <w:szCs w:val="28"/>
        </w:rPr>
      </w:pPr>
    </w:p>
    <w:p w14:paraId="3008E96E" w14:textId="77777777" w:rsidR="00683F2A" w:rsidRDefault="00683F2A" w:rsidP="00F326E5">
      <w:pPr>
        <w:pStyle w:val="NoSpacing"/>
        <w:rPr>
          <w:rFonts w:ascii="Arial Black" w:hAnsi="Arial Black"/>
          <w:sz w:val="28"/>
          <w:szCs w:val="28"/>
        </w:rPr>
      </w:pPr>
    </w:p>
    <w:p w14:paraId="3F7C0957" w14:textId="06AB0F98" w:rsidR="005B72EF" w:rsidRDefault="005B72EF"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1</w:t>
      </w:r>
    </w:p>
    <w:p w14:paraId="42D5DB61" w14:textId="77777777" w:rsidR="005B72EF" w:rsidRDefault="005B72EF" w:rsidP="00F326E5">
      <w:pPr>
        <w:pStyle w:val="NoSpacing"/>
        <w:rPr>
          <w:rFonts w:ascii="Arial Black" w:hAnsi="Arial Black"/>
          <w:sz w:val="28"/>
          <w:szCs w:val="28"/>
        </w:rPr>
      </w:pPr>
    </w:p>
    <w:p w14:paraId="38428E1A" w14:textId="77777777" w:rsidR="00C2103A" w:rsidRPr="005E3F54" w:rsidRDefault="00C2103A" w:rsidP="00C2103A">
      <w:pPr>
        <w:rPr>
          <w:rFonts w:ascii="Arial Black" w:hAnsi="Arial Black"/>
          <w:sz w:val="28"/>
          <w:szCs w:val="28"/>
        </w:rPr>
      </w:pPr>
      <w:r>
        <w:rPr>
          <w:rFonts w:ascii="Arial Black" w:hAnsi="Arial Black"/>
          <w:sz w:val="28"/>
          <w:szCs w:val="28"/>
        </w:rPr>
        <w:t>MA: FIREBOMB – CO</w:t>
      </w:r>
      <w:r>
        <w:rPr>
          <w:rFonts w:ascii="Arial Black" w:hAnsi="Arial Black"/>
          <w:sz w:val="28"/>
        </w:rPr>
        <w:t>N</w:t>
      </w:r>
      <w:r>
        <w:rPr>
          <w:rFonts w:ascii="Arial Black" w:hAnsi="Arial Black"/>
          <w:sz w:val="28"/>
          <w:szCs w:val="28"/>
        </w:rPr>
        <w:t>VICTION - GAS CAN NEAR JEWISH CENTER – BLOOD ON CAN / WICK / CHRISTIAN PAMPHLET</w:t>
      </w:r>
    </w:p>
    <w:p w14:paraId="40C36554" w14:textId="65CD2541" w:rsidR="005B72EF" w:rsidRDefault="005B72EF" w:rsidP="005B72EF">
      <w:pPr>
        <w:pStyle w:val="NormalWeb"/>
        <w:spacing w:before="0" w:beforeAutospacing="0"/>
      </w:pPr>
      <w:r>
        <w:t xml:space="preserve">On April 5, 2024, in </w:t>
      </w:r>
      <w:r w:rsidRPr="003E6799">
        <w:rPr>
          <w:u w:val="single"/>
        </w:rPr>
        <w:t>United States of America v. John Michael Rathbun</w:t>
      </w:r>
      <w:r>
        <w:t>, the U.S. Court of Appeals for the 1</w:t>
      </w:r>
      <w:r w:rsidRPr="003E6799">
        <w:rPr>
          <w:vertAlign w:val="superscript"/>
        </w:rPr>
        <w:t>st</w:t>
      </w:r>
      <w:r>
        <w:t xml:space="preserve"> District (Boston) held (3 to 0) reject his appeal from jury convictions, after two separate trials arising out of the bomb's discovery.  The defendant took the stand and testified – jury rejected his alibi. </w:t>
      </w:r>
      <w:hyperlink r:id="rId663" w:history="1">
        <w:r w:rsidRPr="0076603B">
          <w:rPr>
            <w:rStyle w:val="Hyperlink"/>
          </w:rPr>
          <w:t>https://caselaw.findlaw.com/court/us-1st-circuit/116020600.html</w:t>
        </w:r>
      </w:hyperlink>
      <w:r>
        <w:t xml:space="preserve"> </w:t>
      </w:r>
    </w:p>
    <w:p w14:paraId="23131478" w14:textId="77777777" w:rsidR="005B72EF" w:rsidRDefault="005B72EF" w:rsidP="005B72EF">
      <w:pPr>
        <w:pStyle w:val="NormalWeb"/>
        <w:spacing w:before="0" w:beforeAutospacing="0"/>
      </w:pPr>
      <w:r>
        <w:t>THE COURT HELD:</w:t>
      </w:r>
    </w:p>
    <w:p w14:paraId="2E0507FA" w14:textId="77777777" w:rsidR="005B72EF" w:rsidRDefault="005B72EF" w:rsidP="005B72EF">
      <w:pPr>
        <w:pStyle w:val="NormalWeb"/>
        <w:ind w:left="720"/>
      </w:pPr>
      <w:r>
        <w:t xml:space="preserve">“Contrary to Rathbun's protestations, the record shows that abundant evidence incriminated him, making the government's case against Rathbun quite strong. The government presented evidence, inter alia, about the fuel container itself and the recorded incriminating statements Rathbun made to his mother acknowledging his possession of it, Rathbun's cell phone location data on the date of the incident, Rathbun's DNA evidence from the fuel container and wick, and Rathbun's inculpatory admissions to investigators. The government also presented circumstantial evidence demonstrating Rathbun's access to the Steps to Peace with God tract and evidence that contradicted multiple statements Rathbun made during his interview with Agent McGonigle. Therefore, taking ‘the strength </w:t>
      </w:r>
      <w:r>
        <w:rPr>
          <w:rFonts w:ascii="Cambria Math" w:hAnsi="Cambria Math" w:cs="Cambria Math"/>
        </w:rPr>
        <w:t>․</w:t>
      </w:r>
      <w:r>
        <w:t xml:space="preserve"> of the government's evidence of guilt’ less the evidence of Rathbun's behavior at the Motel, we conclude that the admission of the evidence, even if error, was harmless.”</w:t>
      </w:r>
    </w:p>
    <w:p w14:paraId="622D7386" w14:textId="77777777" w:rsidR="005B72EF" w:rsidRDefault="005B72EF" w:rsidP="005B72EF">
      <w:pPr>
        <w:pStyle w:val="NormalWeb"/>
        <w:rPr>
          <w:b/>
          <w:bCs/>
        </w:rPr>
      </w:pPr>
      <w:r w:rsidRPr="00E9724E">
        <w:rPr>
          <w:b/>
          <w:bCs/>
        </w:rPr>
        <w:t>Legal Lesson Learned:</w:t>
      </w:r>
      <w:r>
        <w:rPr>
          <w:b/>
          <w:bCs/>
        </w:rPr>
        <w:t xml:space="preserve"> DNA evidence is very persuasive to a jury.</w:t>
      </w:r>
    </w:p>
    <w:p w14:paraId="04B5B659" w14:textId="77777777" w:rsidR="005B72EF" w:rsidRPr="00B80913" w:rsidRDefault="005B72EF" w:rsidP="005B72EF">
      <w:pPr>
        <w:pStyle w:val="NormalWeb"/>
      </w:pPr>
      <w:r>
        <w:rPr>
          <w:b/>
          <w:bCs/>
        </w:rPr>
        <w:tab/>
      </w:r>
      <w:r>
        <w:t xml:space="preserve">Note: The jury rejected the defendant’s alibi.  </w:t>
      </w:r>
    </w:p>
    <w:p w14:paraId="4A213691" w14:textId="77777777" w:rsidR="005B72EF" w:rsidRDefault="005B72EF" w:rsidP="005B72EF">
      <w:pPr>
        <w:pStyle w:val="NormalWeb"/>
        <w:ind w:left="720"/>
      </w:pPr>
      <w:r>
        <w:t>“Footnote 24: When opting to testify, in his own defense, Rathbun eventually acknowledged that he had earlier and likely found the yellow canister used to make the bomb at a job ‘cleanout’ in Chicopee, Massachusetts. At that job site, he had cut his hand on a metal shard, which explains the presence of his blood on the container. He contended that he (and an acquaintance) had illegally dumped the cleanout debris at a dumpster on Converse Street some days before the bomb was found. As for the bloody tract, he theorized that blood from his cut must have somehow transferred to a pamphlet he speculates his mother must have had in her car's cup holder, and that the pamphlet must have gotten jettisoned to the dumpster along with the fuel canister and other random debris. Continuing, he postulates some random third person -- someone very careful not to leave fingerprints, but crafty enough to leave incriminating blood evidence -- must have come along and fished the canister and the pamphlet out of the dumpster and used it to craft the destructive firebomb at the heart of this prosecution. As we said, this alternative explanation was seemingly a non-starter for the jury.”</w:t>
      </w:r>
    </w:p>
    <w:p w14:paraId="439AD9FA" w14:textId="77777777" w:rsidR="005B72EF" w:rsidRDefault="005B72EF" w:rsidP="00F326E5">
      <w:pPr>
        <w:pStyle w:val="NoSpacing"/>
        <w:rPr>
          <w:rFonts w:ascii="Arial Black" w:hAnsi="Arial Black"/>
          <w:sz w:val="28"/>
          <w:szCs w:val="28"/>
        </w:rPr>
      </w:pPr>
    </w:p>
    <w:p w14:paraId="6B4B4596" w14:textId="77777777" w:rsidR="005B72EF" w:rsidRDefault="005B72EF" w:rsidP="00F326E5">
      <w:pPr>
        <w:pStyle w:val="NoSpacing"/>
        <w:rPr>
          <w:rFonts w:ascii="Arial Black" w:hAnsi="Arial Black"/>
          <w:sz w:val="28"/>
          <w:szCs w:val="28"/>
        </w:rPr>
      </w:pPr>
    </w:p>
    <w:p w14:paraId="133B27B1" w14:textId="7FC16D0A" w:rsidR="00CB0F04" w:rsidRDefault="00CB0F04"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0</w:t>
      </w:r>
    </w:p>
    <w:p w14:paraId="2C9A0879" w14:textId="77777777" w:rsidR="005B72EF" w:rsidRDefault="005B72EF" w:rsidP="00CB0F04">
      <w:pPr>
        <w:pStyle w:val="NormalWeb"/>
        <w:spacing w:before="0" w:beforeAutospacing="0"/>
        <w:rPr>
          <w:rFonts w:ascii="Arial Black" w:hAnsi="Arial Black"/>
          <w:b/>
          <w:bCs/>
          <w:color w:val="454545"/>
          <w:sz w:val="28"/>
          <w:szCs w:val="28"/>
          <w:shd w:val="clear" w:color="auto" w:fill="FFFFFF"/>
        </w:rPr>
      </w:pPr>
    </w:p>
    <w:p w14:paraId="3DFCB24E" w14:textId="35A240BB" w:rsidR="00CB0F04" w:rsidRDefault="00CB0F04" w:rsidP="00CB0F04">
      <w:pPr>
        <w:pStyle w:val="NormalWeb"/>
        <w:spacing w:before="0" w:beforeAutospacing="0"/>
        <w:rPr>
          <w:shd w:val="clear" w:color="auto" w:fill="FFFFFF"/>
        </w:rPr>
      </w:pPr>
      <w:r>
        <w:rPr>
          <w:rFonts w:ascii="Arial Black" w:hAnsi="Arial Black"/>
          <w:b/>
          <w:bCs/>
          <w:color w:val="454545"/>
          <w:sz w:val="28"/>
          <w:szCs w:val="28"/>
          <w:shd w:val="clear" w:color="auto" w:fill="FFFFFF"/>
        </w:rPr>
        <w:t xml:space="preserve">U.S. SUP. CT: MUSLIM REFUSED TO BE FBI INFORMANT – PLACED ON “NO-FLY LIST” – CASE MAY PROCEED </w:t>
      </w:r>
    </w:p>
    <w:p w14:paraId="565DEF49" w14:textId="77777777" w:rsidR="000A2B47" w:rsidRDefault="00CB0F04" w:rsidP="000A2B47">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March 19, 2024, in </w:t>
      </w:r>
      <w:r w:rsidRPr="006177DC">
        <w:rPr>
          <w:rFonts w:ascii="Times New Roman" w:hAnsi="Times New Roman"/>
          <w:sz w:val="24"/>
          <w:szCs w:val="24"/>
          <w:u w:val="single"/>
          <w:shd w:val="clear" w:color="auto" w:fill="FFFFFF"/>
        </w:rPr>
        <w:t>Federal Bureau of Investigations v. Yonas Fikre</w:t>
      </w:r>
      <w:r>
        <w:rPr>
          <w:rFonts w:ascii="Times New Roman" w:hAnsi="Times New Roman"/>
          <w:sz w:val="24"/>
          <w:szCs w:val="24"/>
          <w:shd w:val="clear" w:color="auto" w:fill="FFFFFF"/>
        </w:rPr>
        <w:t xml:space="preserve">, the U.S. Supreme Court held (9 to 0) that case is not moot just because he has been removed from No-Fly List; he still risks being placed back on the list at any time. </w:t>
      </w:r>
      <w:hyperlink r:id="rId664" w:history="1">
        <w:r w:rsidR="000A2B47" w:rsidRPr="00CD1DB0">
          <w:rPr>
            <w:rStyle w:val="Hyperlink"/>
            <w:rFonts w:ascii="Times New Roman" w:hAnsi="Times New Roman"/>
            <w:sz w:val="24"/>
            <w:szCs w:val="24"/>
            <w:shd w:val="clear" w:color="auto" w:fill="FFFFFF"/>
          </w:rPr>
          <w:t>https://www.supremecourt.gov/opinions/23pdf/22-1178_p8k0.pdf</w:t>
        </w:r>
      </w:hyperlink>
      <w:r w:rsidR="000A2B47">
        <w:rPr>
          <w:rFonts w:ascii="Times New Roman" w:hAnsi="Times New Roman"/>
          <w:sz w:val="24"/>
          <w:szCs w:val="24"/>
          <w:shd w:val="clear" w:color="auto" w:fill="FFFFFF"/>
        </w:rPr>
        <w:t xml:space="preserve"> </w:t>
      </w:r>
    </w:p>
    <w:p w14:paraId="225126C4" w14:textId="6CB1A573" w:rsidR="00CB0F04" w:rsidRDefault="00CB0F04" w:rsidP="00CB0F04">
      <w:pPr>
        <w:pStyle w:val="NoSpacing"/>
        <w:rPr>
          <w:rFonts w:ascii="Times New Roman" w:hAnsi="Times New Roman"/>
          <w:sz w:val="24"/>
          <w:szCs w:val="24"/>
          <w:shd w:val="clear" w:color="auto" w:fill="FFFFFF"/>
        </w:rPr>
      </w:pPr>
    </w:p>
    <w:p w14:paraId="0742F3A0" w14:textId="77777777" w:rsidR="003956F7" w:rsidRDefault="003956F7" w:rsidP="003956F7">
      <w:pPr>
        <w:pStyle w:val="NoSpacing"/>
        <w:rPr>
          <w:rFonts w:ascii="Times New Roman" w:hAnsi="Times New Roman"/>
          <w:sz w:val="24"/>
          <w:szCs w:val="24"/>
          <w:shd w:val="clear" w:color="auto" w:fill="FFFFFF"/>
        </w:rPr>
      </w:pPr>
    </w:p>
    <w:p w14:paraId="70BE32CB" w14:textId="0B0CDB3A"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08CB310" w14:textId="77777777" w:rsidR="003956F7" w:rsidRDefault="003956F7" w:rsidP="00CB0F04">
      <w:pPr>
        <w:pStyle w:val="NoSpacing"/>
        <w:rPr>
          <w:rFonts w:ascii="Times New Roman" w:hAnsi="Times New Roman"/>
          <w:sz w:val="24"/>
          <w:szCs w:val="24"/>
          <w:shd w:val="clear" w:color="auto" w:fill="FFFFFF"/>
        </w:rPr>
      </w:pPr>
    </w:p>
    <w:p w14:paraId="6E72B2C6" w14:textId="2E77E526" w:rsidR="00CB0F04" w:rsidRDefault="00CB0F04" w:rsidP="00CB0F04">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Justice Gorsuch wrote opinion:  “</w:t>
      </w:r>
      <w:r w:rsidRPr="002D2359">
        <w:rPr>
          <w:rFonts w:ascii="Times New Roman" w:hAnsi="Times New Roman"/>
          <w:sz w:val="24"/>
          <w:szCs w:val="24"/>
          <w:shd w:val="clear" w:color="auto" w:fill="FFFFFF"/>
        </w:rPr>
        <w:t xml:space="preserve">Yonas Fikre, a U. S. citizen, </w:t>
      </w:r>
      <w:proofErr w:type="gramStart"/>
      <w:r w:rsidRPr="002D2359">
        <w:rPr>
          <w:rFonts w:ascii="Times New Roman" w:hAnsi="Times New Roman"/>
          <w:sz w:val="24"/>
          <w:szCs w:val="24"/>
          <w:shd w:val="clear" w:color="auto" w:fill="FFFFFF"/>
        </w:rPr>
        <w:t>brought</w:t>
      </w:r>
      <w:r w:rsidR="007E2431">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suit</w:t>
      </w:r>
      <w:proofErr w:type="gramEnd"/>
      <w:r w:rsidRPr="002D2359">
        <w:rPr>
          <w:rFonts w:ascii="Times New Roman" w:hAnsi="Times New Roman"/>
          <w:sz w:val="24"/>
          <w:szCs w:val="24"/>
          <w:shd w:val="clear" w:color="auto" w:fill="FFFFFF"/>
        </w:rPr>
        <w:t xml:space="preserve"> alleging that the</w:t>
      </w:r>
      <w:r>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government placed him on the No</w:t>
      </w:r>
      <w:r>
        <w:rPr>
          <w:rFonts w:ascii="Times New Roman" w:hAnsi="Times New Roman"/>
          <w:sz w:val="24"/>
          <w:szCs w:val="24"/>
          <w:shd w:val="clear" w:color="auto" w:fill="FFFFFF"/>
        </w:rPr>
        <w:t>-</w:t>
      </w:r>
      <w:r w:rsidRPr="002D2359">
        <w:rPr>
          <w:rFonts w:ascii="Times New Roman" w:hAnsi="Times New Roman"/>
          <w:sz w:val="24"/>
          <w:szCs w:val="24"/>
          <w:shd w:val="clear" w:color="auto" w:fill="FFFFFF"/>
        </w:rPr>
        <w:t>Fly List unlawfully.</w:t>
      </w:r>
      <w:r>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Later, the government removed him from the list. The only</w:t>
      </w:r>
      <w:r>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question we are asked to decide is whether the government’s action suffices to render Mr. Fikre’s claims moot</w:t>
      </w:r>
      <w:r>
        <w:rPr>
          <w:rFonts w:ascii="Times New Roman" w:hAnsi="Times New Roman"/>
          <w:sz w:val="24"/>
          <w:szCs w:val="24"/>
          <w:shd w:val="clear" w:color="auto" w:fill="FFFFFF"/>
        </w:rPr>
        <w:t xml:space="preserve">. </w:t>
      </w:r>
    </w:p>
    <w:p w14:paraId="4141542F" w14:textId="77777777" w:rsidR="00CB0F04" w:rsidRDefault="00CB0F04" w:rsidP="00CB0F04">
      <w:pPr>
        <w:pStyle w:val="NoSpacing"/>
        <w:ind w:left="720"/>
        <w:rPr>
          <w:rFonts w:ascii="Times New Roman" w:hAnsi="Times New Roman"/>
          <w:sz w:val="24"/>
          <w:szCs w:val="24"/>
          <w:shd w:val="clear" w:color="auto" w:fill="FFFFFF"/>
        </w:rPr>
      </w:pPr>
    </w:p>
    <w:p w14:paraId="02476B77" w14:textId="77777777" w:rsidR="00CB0F04" w:rsidRDefault="00CB0F04" w:rsidP="00CB0F04">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08F26649" w14:textId="77777777" w:rsidR="00CB0F04" w:rsidRPr="00174C60" w:rsidRDefault="00CB0F04" w:rsidP="00CB0F04">
      <w:pPr>
        <w:pStyle w:val="NoSpacing"/>
        <w:ind w:left="720"/>
        <w:rPr>
          <w:rFonts w:ascii="Times New Roman" w:hAnsi="Times New Roman"/>
          <w:sz w:val="24"/>
          <w:szCs w:val="24"/>
          <w:shd w:val="clear" w:color="auto" w:fill="FFFFFF"/>
        </w:rPr>
      </w:pPr>
      <w:r w:rsidRPr="00174C60">
        <w:rPr>
          <w:rFonts w:ascii="Times New Roman" w:hAnsi="Times New Roman"/>
          <w:sz w:val="24"/>
          <w:szCs w:val="24"/>
          <w:shd w:val="clear" w:color="auto" w:fill="FFFFFF"/>
        </w:rPr>
        <w:t>Viewed in that light, this case is not moot. To appreciate</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why, it is enough to consider one aspect of Mr. Fikre’s complaint. He contends that the government placed him on the</w:t>
      </w:r>
    </w:p>
    <w:p w14:paraId="564ABEE2" w14:textId="77777777" w:rsidR="00CB0F04" w:rsidRDefault="00CB0F04" w:rsidP="00CB0F04">
      <w:pPr>
        <w:pStyle w:val="NoSpacing"/>
        <w:ind w:left="720"/>
        <w:rPr>
          <w:rFonts w:ascii="Times New Roman" w:hAnsi="Times New Roman"/>
          <w:sz w:val="24"/>
          <w:szCs w:val="24"/>
          <w:shd w:val="clear" w:color="auto" w:fill="FFFFFF"/>
        </w:rPr>
      </w:pPr>
      <w:r w:rsidRPr="00174C60">
        <w:rPr>
          <w:rFonts w:ascii="Times New Roman" w:hAnsi="Times New Roman"/>
          <w:sz w:val="24"/>
          <w:szCs w:val="24"/>
          <w:shd w:val="clear" w:color="auto" w:fill="FFFFFF"/>
        </w:rPr>
        <w:t xml:space="preserve">No Fly List for constitutionally impermissible reasons, including his religious beliefs. In support of his claim, </w:t>
      </w:r>
      <w:proofErr w:type="spellStart"/>
      <w:r w:rsidRPr="00174C60">
        <w:rPr>
          <w:rFonts w:ascii="Times New Roman" w:hAnsi="Times New Roman"/>
          <w:sz w:val="24"/>
          <w:szCs w:val="24"/>
          <w:shd w:val="clear" w:color="auto" w:fill="FFFFFF"/>
        </w:rPr>
        <w:t>Mr.Fikre</w:t>
      </w:r>
      <w:proofErr w:type="spellEnd"/>
      <w:r w:rsidRPr="00174C60">
        <w:rPr>
          <w:rFonts w:ascii="Times New Roman" w:hAnsi="Times New Roman"/>
          <w:sz w:val="24"/>
          <w:szCs w:val="24"/>
          <w:shd w:val="clear" w:color="auto" w:fill="FFFFFF"/>
        </w:rPr>
        <w:t xml:space="preserve"> alleges (among other things) that FBI agents interrogated him about a mosque in Portland he once attended and</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 xml:space="preserve">threatened to keep him on the </w:t>
      </w:r>
      <w:proofErr w:type="gramStart"/>
      <w:r w:rsidRPr="00174C60">
        <w:rPr>
          <w:rFonts w:ascii="Times New Roman" w:hAnsi="Times New Roman"/>
          <w:sz w:val="24"/>
          <w:szCs w:val="24"/>
          <w:shd w:val="clear" w:color="auto" w:fill="FFFFFF"/>
        </w:rPr>
        <w:t>No Fly</w:t>
      </w:r>
      <w:proofErr w:type="gramEnd"/>
      <w:r w:rsidRPr="00174C60">
        <w:rPr>
          <w:rFonts w:ascii="Times New Roman" w:hAnsi="Times New Roman"/>
          <w:sz w:val="24"/>
          <w:szCs w:val="24"/>
          <w:shd w:val="clear" w:color="auto" w:fill="FFFFFF"/>
        </w:rPr>
        <w:t xml:space="preserve"> List unless he agreed</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to serve as an informant against his co-religionists. Accepting these as-yet uncontested allegations, the government’s</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 xml:space="preserve">representation that it will not </w:t>
      </w:r>
      <w:proofErr w:type="gramStart"/>
      <w:r w:rsidRPr="00174C60">
        <w:rPr>
          <w:rFonts w:ascii="Times New Roman" w:hAnsi="Times New Roman"/>
          <w:sz w:val="24"/>
          <w:szCs w:val="24"/>
          <w:shd w:val="clear" w:color="auto" w:fill="FFFFFF"/>
        </w:rPr>
        <w:t>relist</w:t>
      </w:r>
      <w:proofErr w:type="gramEnd"/>
      <w:r w:rsidRPr="00174C60">
        <w:rPr>
          <w:rFonts w:ascii="Times New Roman" w:hAnsi="Times New Roman"/>
          <w:sz w:val="24"/>
          <w:szCs w:val="24"/>
          <w:shd w:val="clear" w:color="auto" w:fill="FFFFFF"/>
        </w:rPr>
        <w:t xml:space="preserve"> Mr. Fikre based on</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currently available information</w:t>
      </w:r>
      <w:r>
        <w:rPr>
          <w:rFonts w:ascii="Times New Roman" w:hAnsi="Times New Roman"/>
          <w:sz w:val="24"/>
          <w:szCs w:val="24"/>
          <w:shd w:val="clear" w:color="auto" w:fill="FFFFFF"/>
        </w:rPr>
        <w:t>’</w:t>
      </w:r>
      <w:r w:rsidRPr="00174C60">
        <w:rPr>
          <w:rFonts w:ascii="Times New Roman" w:hAnsi="Times New Roman"/>
          <w:sz w:val="24"/>
          <w:szCs w:val="24"/>
          <w:shd w:val="clear" w:color="auto" w:fill="FFFFFF"/>
        </w:rPr>
        <w:t xml:space="preserve"> may mean that his past</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actions are not enough to warrant his relisting. But, as the</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court of appeals observed, none of that speaks to whether</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the government might relist him if he does the same or similar things in the future—say, attend a particular mosque</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or refuse renewed overtures to serve as an informant</w:t>
      </w:r>
      <w:r>
        <w:rPr>
          <w:rFonts w:ascii="Times New Roman" w:hAnsi="Times New Roman"/>
          <w:sz w:val="24"/>
          <w:szCs w:val="24"/>
          <w:shd w:val="clear" w:color="auto" w:fill="FFFFFF"/>
        </w:rPr>
        <w:t xml:space="preserve">.” </w:t>
      </w:r>
      <w:hyperlink r:id="rId665" w:history="1">
        <w:r w:rsidRPr="00CD1DB0">
          <w:rPr>
            <w:rStyle w:val="Hyperlink"/>
            <w:rFonts w:ascii="Times New Roman" w:hAnsi="Times New Roman"/>
            <w:sz w:val="24"/>
            <w:szCs w:val="24"/>
            <w:shd w:val="clear" w:color="auto" w:fill="FFFFFF"/>
          </w:rPr>
          <w:t>https://www.supremecourt.gov/opinions/23pdf/22-1178_p8k0.pdf</w:t>
        </w:r>
      </w:hyperlink>
      <w:r>
        <w:rPr>
          <w:rFonts w:ascii="Times New Roman" w:hAnsi="Times New Roman"/>
          <w:sz w:val="24"/>
          <w:szCs w:val="24"/>
          <w:shd w:val="clear" w:color="auto" w:fill="FFFFFF"/>
        </w:rPr>
        <w:t xml:space="preserve"> </w:t>
      </w:r>
    </w:p>
    <w:p w14:paraId="0C89D610" w14:textId="77777777" w:rsidR="00CB0F04" w:rsidRDefault="00CB0F04" w:rsidP="00CB0F04">
      <w:pPr>
        <w:pStyle w:val="NoSpacing"/>
        <w:jc w:val="center"/>
      </w:pPr>
    </w:p>
    <w:p w14:paraId="63A0CD0F" w14:textId="77777777" w:rsidR="00CB0F04" w:rsidRDefault="00CB0F04" w:rsidP="00CB0F04">
      <w:pPr>
        <w:pStyle w:val="NoSpacing"/>
        <w:ind w:left="720"/>
        <w:rPr>
          <w:rFonts w:ascii="Times New Roman" w:hAnsi="Times New Roman"/>
          <w:sz w:val="24"/>
          <w:szCs w:val="24"/>
        </w:rPr>
      </w:pPr>
    </w:p>
    <w:p w14:paraId="2AE79297" w14:textId="70895D52" w:rsidR="00CB0F04" w:rsidRPr="00760B23" w:rsidRDefault="00CB0F04" w:rsidP="00CB0F04">
      <w:pPr>
        <w:pStyle w:val="NoSpacing"/>
        <w:rPr>
          <w:rFonts w:ascii="Times New Roman" w:hAnsi="Times New Roman"/>
          <w:b/>
          <w:bCs/>
          <w:sz w:val="24"/>
          <w:szCs w:val="24"/>
        </w:rPr>
      </w:pPr>
      <w:r w:rsidRPr="00760B23">
        <w:rPr>
          <w:rFonts w:ascii="Times New Roman" w:hAnsi="Times New Roman"/>
          <w:b/>
          <w:bCs/>
          <w:sz w:val="24"/>
          <w:szCs w:val="24"/>
        </w:rPr>
        <w:t xml:space="preserve">Legal Lesson Learned: </w:t>
      </w:r>
      <w:r w:rsidR="004C1440">
        <w:rPr>
          <w:rFonts w:ascii="Times New Roman" w:hAnsi="Times New Roman"/>
          <w:b/>
          <w:bCs/>
          <w:sz w:val="24"/>
          <w:szCs w:val="24"/>
        </w:rPr>
        <w:t>Lawsuit may now proceed; c</w:t>
      </w:r>
      <w:r>
        <w:rPr>
          <w:rFonts w:ascii="Times New Roman" w:hAnsi="Times New Roman"/>
          <w:b/>
          <w:bCs/>
          <w:sz w:val="24"/>
          <w:szCs w:val="24"/>
        </w:rPr>
        <w:t xml:space="preserve">ase is not moot since he risks being placed back on </w:t>
      </w:r>
      <w:proofErr w:type="gramStart"/>
      <w:r>
        <w:rPr>
          <w:rFonts w:ascii="Times New Roman" w:hAnsi="Times New Roman"/>
          <w:b/>
          <w:bCs/>
          <w:sz w:val="24"/>
          <w:szCs w:val="24"/>
        </w:rPr>
        <w:t>No Fly</w:t>
      </w:r>
      <w:proofErr w:type="gramEnd"/>
      <w:r>
        <w:rPr>
          <w:rFonts w:ascii="Times New Roman" w:hAnsi="Times New Roman"/>
          <w:b/>
          <w:bCs/>
          <w:sz w:val="24"/>
          <w:szCs w:val="24"/>
        </w:rPr>
        <w:t xml:space="preserve"> List. </w:t>
      </w:r>
    </w:p>
    <w:p w14:paraId="02D665DA" w14:textId="77777777" w:rsidR="00CB0F04" w:rsidRDefault="00CB0F04" w:rsidP="00F326E5">
      <w:pPr>
        <w:pStyle w:val="NoSpacing"/>
        <w:rPr>
          <w:rFonts w:ascii="Arial Black" w:hAnsi="Arial Black"/>
          <w:sz w:val="28"/>
          <w:szCs w:val="28"/>
        </w:rPr>
      </w:pPr>
    </w:p>
    <w:p w14:paraId="12C15F14" w14:textId="77777777" w:rsidR="00CB0F04" w:rsidRDefault="00CB0F04" w:rsidP="00F326E5">
      <w:pPr>
        <w:pStyle w:val="NoSpacing"/>
        <w:rPr>
          <w:rFonts w:ascii="Arial Black" w:hAnsi="Arial Black"/>
          <w:sz w:val="28"/>
          <w:szCs w:val="28"/>
        </w:rPr>
      </w:pPr>
    </w:p>
    <w:p w14:paraId="7A228738" w14:textId="69091567" w:rsidR="002E2535" w:rsidRDefault="002E2535" w:rsidP="00F326E5">
      <w:pPr>
        <w:pStyle w:val="NoSpacing"/>
        <w:rPr>
          <w:rFonts w:ascii="Arial Black" w:hAnsi="Arial Black"/>
          <w:sz w:val="28"/>
          <w:szCs w:val="28"/>
        </w:rPr>
      </w:pPr>
      <w:r>
        <w:rPr>
          <w:rFonts w:ascii="Arial Black" w:hAnsi="Arial Black"/>
          <w:sz w:val="28"/>
          <w:szCs w:val="28"/>
        </w:rPr>
        <w:t>3-</w:t>
      </w:r>
      <w:r w:rsidR="00ED4EAF">
        <w:rPr>
          <w:rFonts w:ascii="Arial Black" w:hAnsi="Arial Black"/>
          <w:sz w:val="28"/>
          <w:szCs w:val="28"/>
        </w:rPr>
        <w:t>59</w:t>
      </w:r>
    </w:p>
    <w:p w14:paraId="26053B3B" w14:textId="730D153B" w:rsidR="00274E82" w:rsidRPr="00D10261" w:rsidRDefault="00274E82" w:rsidP="00274E82">
      <w:pPr>
        <w:pStyle w:val="NormalWeb"/>
        <w:rPr>
          <w:rFonts w:ascii="Arial Black" w:hAnsi="Arial Black"/>
          <w:sz w:val="28"/>
          <w:szCs w:val="28"/>
        </w:rPr>
      </w:pPr>
      <w:r>
        <w:rPr>
          <w:rFonts w:ascii="Arial Black" w:hAnsi="Arial Black"/>
          <w:sz w:val="28"/>
          <w:szCs w:val="28"/>
        </w:rPr>
        <w:t>DC: U.S. CAPITOL INVASION - RET. AIR FORCE LT. COL.  2 YRS PRISON – MUST BE RESENTENCED, IMPACT OTHERS</w:t>
      </w:r>
    </w:p>
    <w:p w14:paraId="31BE1423" w14:textId="77777777" w:rsidR="00274E82" w:rsidRDefault="00274E82" w:rsidP="00274E82">
      <w:pPr>
        <w:pStyle w:val="NormalWeb"/>
      </w:pPr>
      <w:r w:rsidRPr="007E58D8">
        <w:t xml:space="preserve">On </w:t>
      </w:r>
      <w:r>
        <w:t xml:space="preserve">March 1, 2024, in </w:t>
      </w:r>
      <w:r w:rsidRPr="00E834B6">
        <w:rPr>
          <w:u w:val="single"/>
        </w:rPr>
        <w:t>United States of America v. Larry Rendall Brock</w:t>
      </w:r>
      <w:r>
        <w:t xml:space="preserve">, the U.S. Court of Appeals for the District of Columbia upheld his </w:t>
      </w:r>
      <w:proofErr w:type="gramStart"/>
      <w:r>
        <w:t>conviction, but</w:t>
      </w:r>
      <w:proofErr w:type="gramEnd"/>
      <w:r>
        <w:t xml:space="preserve"> required him to be re-sentenced since he received more prison time for interference with </w:t>
      </w:r>
      <w:r w:rsidRPr="00D11362">
        <w:t xml:space="preserve">“administration of justice” </w:t>
      </w:r>
      <w:r>
        <w:t xml:space="preserve">which does </w:t>
      </w:r>
      <w:r w:rsidRPr="00D11362">
        <w:t>not</w:t>
      </w:r>
      <w:r>
        <w:t xml:space="preserve"> </w:t>
      </w:r>
      <w:r w:rsidRPr="00D11362">
        <w:t>apply to interference with the legislative process of certifying</w:t>
      </w:r>
      <w:r>
        <w:t xml:space="preserve"> </w:t>
      </w:r>
      <w:r w:rsidRPr="00D11362">
        <w:t>electoral votes.</w:t>
      </w:r>
      <w:r>
        <w:t xml:space="preserve">  He is from </w:t>
      </w:r>
      <w:proofErr w:type="gramStart"/>
      <w:r>
        <w:t>Texas, and</w:t>
      </w:r>
      <w:proofErr w:type="gramEnd"/>
      <w:r>
        <w:t xml:space="preserve"> is now serving his 2-year sentence in a federal facility in Missouri. </w:t>
      </w:r>
    </w:p>
    <w:p w14:paraId="6417440D" w14:textId="77777777" w:rsidR="00274E82" w:rsidRDefault="00274E82" w:rsidP="00274E82">
      <w:pPr>
        <w:pStyle w:val="NoSpacing"/>
        <w:rPr>
          <w:rFonts w:ascii="Times New Roman" w:hAnsi="Times New Roman"/>
          <w:sz w:val="24"/>
          <w:szCs w:val="24"/>
        </w:rPr>
      </w:pPr>
      <w:r>
        <w:rPr>
          <w:rFonts w:ascii="Times New Roman" w:hAnsi="Times New Roman"/>
          <w:sz w:val="24"/>
          <w:szCs w:val="24"/>
        </w:rPr>
        <w:t xml:space="preserve">Court held (3 to 1): </w:t>
      </w:r>
    </w:p>
    <w:p w14:paraId="6B9A8F8C" w14:textId="77777777" w:rsidR="00274E82" w:rsidRDefault="00274E82" w:rsidP="00274E82">
      <w:pPr>
        <w:pStyle w:val="NoSpacing"/>
        <w:rPr>
          <w:rFonts w:ascii="Times New Roman" w:hAnsi="Times New Roman"/>
          <w:sz w:val="24"/>
          <w:szCs w:val="24"/>
        </w:rPr>
      </w:pPr>
    </w:p>
    <w:p w14:paraId="2381CC1F" w14:textId="77777777" w:rsidR="00274E82" w:rsidRPr="00D11362" w:rsidRDefault="00274E82" w:rsidP="00274E82">
      <w:pPr>
        <w:pStyle w:val="NoSpacing"/>
        <w:ind w:left="720"/>
        <w:rPr>
          <w:rFonts w:ascii="Times New Roman" w:hAnsi="Times New Roman"/>
          <w:sz w:val="24"/>
          <w:szCs w:val="24"/>
        </w:rPr>
      </w:pPr>
      <w:r>
        <w:rPr>
          <w:rFonts w:ascii="Times New Roman" w:hAnsi="Times New Roman"/>
          <w:sz w:val="24"/>
          <w:szCs w:val="24"/>
        </w:rPr>
        <w:lastRenderedPageBreak/>
        <w:t>“</w:t>
      </w:r>
      <w:r w:rsidRPr="00D11362">
        <w:rPr>
          <w:rFonts w:ascii="Times New Roman" w:hAnsi="Times New Roman"/>
          <w:sz w:val="24"/>
          <w:szCs w:val="24"/>
        </w:rPr>
        <w:t>Because the law and the record in this case foreclose</w:t>
      </w:r>
      <w:r>
        <w:rPr>
          <w:rFonts w:ascii="Times New Roman" w:hAnsi="Times New Roman"/>
          <w:sz w:val="24"/>
          <w:szCs w:val="24"/>
        </w:rPr>
        <w:t xml:space="preserve"> </w:t>
      </w:r>
      <w:r w:rsidRPr="00D11362">
        <w:rPr>
          <w:rFonts w:ascii="Times New Roman" w:hAnsi="Times New Roman"/>
          <w:sz w:val="24"/>
          <w:szCs w:val="24"/>
        </w:rPr>
        <w:t>Brock’s legal and sufficiency challenges, we affirm Brock’s</w:t>
      </w:r>
      <w:r>
        <w:rPr>
          <w:rFonts w:ascii="Times New Roman" w:hAnsi="Times New Roman"/>
          <w:sz w:val="24"/>
          <w:szCs w:val="24"/>
        </w:rPr>
        <w:t xml:space="preserve"> </w:t>
      </w:r>
      <w:r w:rsidRPr="00D11362">
        <w:rPr>
          <w:rFonts w:ascii="Times New Roman" w:hAnsi="Times New Roman"/>
          <w:sz w:val="24"/>
          <w:szCs w:val="24"/>
        </w:rPr>
        <w:t>Section 1512(c)(2) conviction. As for Brock’s sentence, we</w:t>
      </w:r>
      <w:r>
        <w:rPr>
          <w:rFonts w:ascii="Times New Roman" w:hAnsi="Times New Roman"/>
          <w:sz w:val="24"/>
          <w:szCs w:val="24"/>
        </w:rPr>
        <w:t xml:space="preserve"> </w:t>
      </w:r>
      <w:r w:rsidRPr="00D11362">
        <w:rPr>
          <w:rFonts w:ascii="Times New Roman" w:hAnsi="Times New Roman"/>
          <w:sz w:val="24"/>
          <w:szCs w:val="24"/>
        </w:rPr>
        <w:t>hold that the “administration of justice” enhancement does not</w:t>
      </w:r>
      <w:r>
        <w:rPr>
          <w:rFonts w:ascii="Times New Roman" w:hAnsi="Times New Roman"/>
          <w:sz w:val="24"/>
          <w:szCs w:val="24"/>
        </w:rPr>
        <w:t xml:space="preserve"> </w:t>
      </w:r>
      <w:r w:rsidRPr="00D11362">
        <w:rPr>
          <w:rFonts w:ascii="Times New Roman" w:hAnsi="Times New Roman"/>
          <w:sz w:val="24"/>
          <w:szCs w:val="24"/>
        </w:rPr>
        <w:t>apply to interference with the legislative process of certifying</w:t>
      </w:r>
      <w:r>
        <w:rPr>
          <w:rFonts w:ascii="Times New Roman" w:hAnsi="Times New Roman"/>
          <w:sz w:val="24"/>
          <w:szCs w:val="24"/>
        </w:rPr>
        <w:t xml:space="preserve"> </w:t>
      </w:r>
      <w:r w:rsidRPr="00D11362">
        <w:rPr>
          <w:rFonts w:ascii="Times New Roman" w:hAnsi="Times New Roman"/>
          <w:sz w:val="24"/>
          <w:szCs w:val="24"/>
        </w:rPr>
        <w:t>electoral votes. For that reason, we vacate Brock’s sentence</w:t>
      </w:r>
      <w:r>
        <w:rPr>
          <w:rFonts w:ascii="Times New Roman" w:hAnsi="Times New Roman"/>
          <w:sz w:val="24"/>
          <w:szCs w:val="24"/>
        </w:rPr>
        <w:t xml:space="preserve"> </w:t>
      </w:r>
      <w:r w:rsidRPr="00D11362">
        <w:rPr>
          <w:rFonts w:ascii="Times New Roman" w:hAnsi="Times New Roman"/>
          <w:sz w:val="24"/>
          <w:szCs w:val="24"/>
        </w:rPr>
        <w:t>for his Section 1512(c)(2) conviction and remand to the district</w:t>
      </w:r>
      <w:r>
        <w:rPr>
          <w:rFonts w:ascii="Times New Roman" w:hAnsi="Times New Roman"/>
          <w:sz w:val="24"/>
          <w:szCs w:val="24"/>
        </w:rPr>
        <w:t xml:space="preserve"> </w:t>
      </w:r>
      <w:r w:rsidRPr="00D11362">
        <w:rPr>
          <w:rFonts w:ascii="Times New Roman" w:hAnsi="Times New Roman"/>
          <w:sz w:val="24"/>
          <w:szCs w:val="24"/>
        </w:rPr>
        <w:t>court for resentencing.</w:t>
      </w:r>
      <w:r>
        <w:rPr>
          <w:rFonts w:ascii="Times New Roman" w:hAnsi="Times New Roman"/>
          <w:sz w:val="24"/>
          <w:szCs w:val="24"/>
        </w:rPr>
        <w:t xml:space="preserve">” </w:t>
      </w:r>
      <w:hyperlink r:id="rId666" w:history="1">
        <w:r w:rsidRPr="00E64ED3">
          <w:rPr>
            <w:rStyle w:val="Hyperlink"/>
            <w:rFonts w:ascii="Times New Roman" w:hAnsi="Times New Roman"/>
            <w:sz w:val="24"/>
            <w:szCs w:val="24"/>
          </w:rPr>
          <w:t>https://storage.courtlistener.com/recap/gov.uscourts.cadc.39605/gov.uscourts.cadc.39605.1208600933.0.pdf</w:t>
        </w:r>
      </w:hyperlink>
      <w:r>
        <w:rPr>
          <w:rFonts w:ascii="Times New Roman" w:hAnsi="Times New Roman"/>
          <w:sz w:val="24"/>
          <w:szCs w:val="24"/>
        </w:rPr>
        <w:t xml:space="preserve"> </w:t>
      </w:r>
    </w:p>
    <w:p w14:paraId="076649D8" w14:textId="77777777" w:rsidR="00274E82" w:rsidRDefault="00274E82" w:rsidP="00274E82">
      <w:pPr>
        <w:pStyle w:val="NoSpacing"/>
        <w:ind w:left="720"/>
        <w:rPr>
          <w:rFonts w:ascii="Times New Roman" w:hAnsi="Times New Roman"/>
          <w:sz w:val="24"/>
          <w:szCs w:val="24"/>
        </w:rPr>
      </w:pPr>
    </w:p>
    <w:p w14:paraId="7A2BA015" w14:textId="77777777" w:rsidR="00274E82" w:rsidRPr="008900C4" w:rsidRDefault="00274E82" w:rsidP="00274E82">
      <w:pPr>
        <w:pStyle w:val="NoSpacing"/>
        <w:ind w:left="360"/>
        <w:rPr>
          <w:rFonts w:ascii="Times New Roman" w:hAnsi="Times New Roman"/>
          <w:b/>
          <w:bCs/>
          <w:sz w:val="24"/>
          <w:szCs w:val="24"/>
        </w:rPr>
      </w:pPr>
      <w:r w:rsidRPr="008900C4">
        <w:rPr>
          <w:rFonts w:ascii="Times New Roman" w:hAnsi="Times New Roman"/>
          <w:b/>
          <w:bCs/>
          <w:sz w:val="24"/>
          <w:szCs w:val="24"/>
        </w:rPr>
        <w:t>Legal Lesson Learned:</w:t>
      </w:r>
      <w:r>
        <w:rPr>
          <w:rFonts w:ascii="Times New Roman" w:hAnsi="Times New Roman"/>
          <w:b/>
          <w:bCs/>
          <w:sz w:val="24"/>
          <w:szCs w:val="24"/>
        </w:rPr>
        <w:t xml:space="preserve"> Over 100 other convicted for attack on U.S. Capitol on Jan. 6, </w:t>
      </w:r>
      <w:proofErr w:type="gramStart"/>
      <w:r>
        <w:rPr>
          <w:rFonts w:ascii="Times New Roman" w:hAnsi="Times New Roman"/>
          <w:b/>
          <w:bCs/>
          <w:sz w:val="24"/>
          <w:szCs w:val="24"/>
        </w:rPr>
        <w:t>2021</w:t>
      </w:r>
      <w:proofErr w:type="gramEnd"/>
      <w:r>
        <w:rPr>
          <w:rFonts w:ascii="Times New Roman" w:hAnsi="Times New Roman"/>
          <w:b/>
          <w:bCs/>
          <w:sz w:val="24"/>
          <w:szCs w:val="24"/>
        </w:rPr>
        <w:t xml:space="preserve">  may need to be re-sentenced. </w:t>
      </w:r>
    </w:p>
    <w:p w14:paraId="76A943CE" w14:textId="77777777" w:rsidR="00274E82" w:rsidRPr="00134B1F" w:rsidRDefault="00274E82" w:rsidP="00274E82">
      <w:pPr>
        <w:pStyle w:val="Heading1"/>
        <w:ind w:left="720"/>
        <w:rPr>
          <w:b w:val="0"/>
          <w:bCs w:val="0"/>
          <w:sz w:val="24"/>
          <w:szCs w:val="24"/>
        </w:rPr>
      </w:pPr>
      <w:r w:rsidRPr="00134B1F">
        <w:rPr>
          <w:b w:val="0"/>
          <w:bCs w:val="0"/>
          <w:sz w:val="24"/>
          <w:szCs w:val="24"/>
        </w:rPr>
        <w:t xml:space="preserve">Note: See photo of Brock in green army helmet and vest on Senate floor. “Appeals court ruling vacating Capitol rioter’s sentence could impact dozens of Jan. 6 cases.” </w:t>
      </w:r>
      <w:hyperlink r:id="rId667" w:history="1">
        <w:r w:rsidRPr="00134B1F">
          <w:rPr>
            <w:rStyle w:val="Hyperlink"/>
            <w:b w:val="0"/>
            <w:bCs w:val="0"/>
            <w:sz w:val="24"/>
            <w:szCs w:val="24"/>
          </w:rPr>
          <w:t>https://www.newsandsentinel.com/news/local-news/2024/03/appeals-court-ruling-vacating-capitol-rioters-sentence-could-impact-dozens-of-jan-6-cases/</w:t>
        </w:r>
      </w:hyperlink>
      <w:r w:rsidRPr="00134B1F">
        <w:rPr>
          <w:b w:val="0"/>
          <w:bCs w:val="0"/>
          <w:sz w:val="24"/>
          <w:szCs w:val="24"/>
        </w:rPr>
        <w:t xml:space="preserve"> </w:t>
      </w:r>
    </w:p>
    <w:p w14:paraId="3747650F" w14:textId="77777777" w:rsidR="002E2535" w:rsidRDefault="002E2535" w:rsidP="00F326E5">
      <w:pPr>
        <w:pStyle w:val="NoSpacing"/>
        <w:rPr>
          <w:rFonts w:ascii="Arial Black" w:hAnsi="Arial Black"/>
          <w:sz w:val="28"/>
          <w:szCs w:val="28"/>
        </w:rPr>
      </w:pPr>
    </w:p>
    <w:p w14:paraId="21711285" w14:textId="77777777" w:rsidR="002E2535" w:rsidRDefault="002E2535" w:rsidP="00F326E5">
      <w:pPr>
        <w:pStyle w:val="NoSpacing"/>
        <w:rPr>
          <w:rFonts w:ascii="Arial Black" w:hAnsi="Arial Black"/>
          <w:sz w:val="28"/>
          <w:szCs w:val="28"/>
        </w:rPr>
      </w:pPr>
    </w:p>
    <w:p w14:paraId="79083063" w14:textId="77777777" w:rsidR="002E2535" w:rsidRDefault="002E2535" w:rsidP="00F326E5">
      <w:pPr>
        <w:pStyle w:val="NoSpacing"/>
        <w:rPr>
          <w:rFonts w:ascii="Arial Black" w:hAnsi="Arial Black"/>
          <w:sz w:val="28"/>
          <w:szCs w:val="28"/>
        </w:rPr>
      </w:pPr>
    </w:p>
    <w:p w14:paraId="70E2E64E" w14:textId="03BD400C" w:rsidR="001B3B5F" w:rsidRDefault="001B3B5F"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8</w:t>
      </w:r>
    </w:p>
    <w:p w14:paraId="494AEDD8" w14:textId="77777777" w:rsidR="00231839" w:rsidRDefault="00231839" w:rsidP="00231839">
      <w:pPr>
        <w:pStyle w:val="NormalWeb"/>
        <w:rPr>
          <w:rFonts w:ascii="Arial Black" w:hAnsi="Arial Black"/>
          <w:b/>
          <w:bCs/>
          <w:sz w:val="28"/>
          <w:szCs w:val="28"/>
        </w:rPr>
      </w:pPr>
      <w:r>
        <w:rPr>
          <w:rFonts w:ascii="Arial Black" w:hAnsi="Arial Black"/>
          <w:b/>
          <w:bCs/>
          <w:sz w:val="28"/>
          <w:szCs w:val="28"/>
        </w:rPr>
        <w:t>NY: WORLD TRADE CENTER “PRESUMPTION” STATUTE – FF OVERDOSE AFTER KNEE REPLACEMENT – LODD PENSION</w:t>
      </w:r>
    </w:p>
    <w:p w14:paraId="5A935E0B" w14:textId="2DBF6894" w:rsidR="00231839" w:rsidRDefault="00231839" w:rsidP="00231839">
      <w:pPr>
        <w:pStyle w:val="NormalWeb"/>
      </w:pPr>
      <w:r w:rsidRPr="006B064A">
        <w:t xml:space="preserve">On </w:t>
      </w:r>
      <w:r>
        <w:t xml:space="preserve">Jan. 3, 2024, in </w:t>
      </w:r>
      <w:r w:rsidRPr="001A09E1">
        <w:rPr>
          <w:u w:val="single"/>
        </w:rPr>
        <w:t>Michelle Quinn v. The Board of Trustees of the Fire Department of the City of New York Pension Fund</w:t>
      </w:r>
      <w:r>
        <w:t xml:space="preserve">, Justice Arthur F. Engoron, Superior Court of New York, New York County, held (unpublished decision) that the wife of late Peter A. Quinn is entitled to line-of-duty death benefits, overruling the Pension Fund’s Oct. 26, </w:t>
      </w:r>
      <w:proofErr w:type="gramStart"/>
      <w:r>
        <w:t>2022</w:t>
      </w:r>
      <w:proofErr w:type="gramEnd"/>
      <w:r>
        <w:t xml:space="preserve"> denial of benefits.  He di</w:t>
      </w:r>
      <w:r w:rsidR="008749CD">
        <w:t>e</w:t>
      </w:r>
      <w:r>
        <w:t>d of drug overdose on Jan. 21, 2019 (prescribed morphine and oxycodone), two days after being released from hospital for left knee replacement. The wife provided a report from Dr. Richard Stripp, Ph.D, who had found it was not suicide, but an accidental overdose due to poor health status and previous history of respiratory disease and sleep apnea which “</w:t>
      </w:r>
      <w:r>
        <w:rPr>
          <w:rStyle w:val="Emphasis"/>
        </w:rPr>
        <w:t>greatly</w:t>
      </w:r>
      <w:r>
        <w:t xml:space="preserve"> increased the risk of a fatal accidental overdose from opioid analgesics."  </w:t>
      </w:r>
    </w:p>
    <w:p w14:paraId="628BBF62" w14:textId="77777777" w:rsidR="00231839" w:rsidRDefault="00231839" w:rsidP="00231839">
      <w:pPr>
        <w:ind w:left="720"/>
        <w:rPr>
          <w:rFonts w:ascii="Times New Roman" w:hAnsi="Times New Roman"/>
          <w:sz w:val="24"/>
          <w:szCs w:val="24"/>
        </w:rPr>
      </w:pPr>
      <w:r>
        <w:rPr>
          <w:rFonts w:ascii="Times New Roman" w:hAnsi="Times New Roman"/>
          <w:sz w:val="24"/>
          <w:szCs w:val="24"/>
        </w:rPr>
        <w:t>“</w:t>
      </w:r>
      <w:r w:rsidRPr="00C66254">
        <w:rPr>
          <w:rFonts w:ascii="Times New Roman" w:hAnsi="Times New Roman"/>
          <w:sz w:val="24"/>
          <w:szCs w:val="24"/>
        </w:rPr>
        <w:t xml:space="preserve">Pursuant to the WTC Bill, an eligible firefighter's disability or death as a result of a qualifying WTC condition, as defined in Retirement and Social Security Law § 2 (36), is </w:t>
      </w:r>
      <w:r>
        <w:rPr>
          <w:rFonts w:ascii="Times New Roman" w:hAnsi="Times New Roman"/>
          <w:sz w:val="24"/>
          <w:szCs w:val="24"/>
        </w:rPr>
        <w:t>‘</w:t>
      </w:r>
      <w:r w:rsidRPr="00C66254">
        <w:rPr>
          <w:rFonts w:ascii="Times New Roman" w:hAnsi="Times New Roman"/>
          <w:sz w:val="24"/>
          <w:szCs w:val="24"/>
        </w:rPr>
        <w:t>presumptive evidence that it was incurred in the performance and discharge of duty and the natural and proximate result of an accident not caused by such member's own willful negligence, unless the contrary be proved by competent evidence</w:t>
      </w:r>
      <w:r>
        <w:rPr>
          <w:rFonts w:ascii="Times New Roman" w:hAnsi="Times New Roman"/>
          <w:sz w:val="24"/>
          <w:szCs w:val="24"/>
        </w:rPr>
        <w:t>’</w:t>
      </w:r>
      <w:r w:rsidRPr="00C66254">
        <w:rPr>
          <w:rFonts w:ascii="Times New Roman" w:hAnsi="Times New Roman"/>
          <w:sz w:val="24"/>
          <w:szCs w:val="24"/>
        </w:rPr>
        <w:t xml:space="preserve"> (the </w:t>
      </w:r>
      <w:r>
        <w:rPr>
          <w:rFonts w:ascii="Times New Roman" w:hAnsi="Times New Roman"/>
          <w:sz w:val="24"/>
          <w:szCs w:val="24"/>
        </w:rPr>
        <w:t>‘</w:t>
      </w:r>
      <w:r w:rsidRPr="00C66254">
        <w:rPr>
          <w:rFonts w:ascii="Times New Roman" w:hAnsi="Times New Roman"/>
          <w:sz w:val="24"/>
          <w:szCs w:val="24"/>
        </w:rPr>
        <w:t>WTC Presumption</w:t>
      </w:r>
      <w:r>
        <w:rPr>
          <w:rFonts w:ascii="Times New Roman" w:hAnsi="Times New Roman"/>
          <w:sz w:val="24"/>
          <w:szCs w:val="24"/>
        </w:rPr>
        <w:t>’</w:t>
      </w:r>
      <w:r w:rsidRPr="00C66254">
        <w:rPr>
          <w:rFonts w:ascii="Times New Roman" w:hAnsi="Times New Roman"/>
          <w:sz w:val="24"/>
          <w:szCs w:val="24"/>
        </w:rPr>
        <w:t>).</w:t>
      </w:r>
    </w:p>
    <w:p w14:paraId="263A0851" w14:textId="77777777" w:rsidR="00231839" w:rsidRDefault="00231839" w:rsidP="00231839">
      <w:pPr>
        <w:ind w:firstLine="720"/>
        <w:rPr>
          <w:rFonts w:ascii="Times New Roman" w:hAnsi="Times New Roman"/>
          <w:sz w:val="24"/>
          <w:szCs w:val="24"/>
        </w:rPr>
      </w:pPr>
      <w:r>
        <w:rPr>
          <w:rFonts w:ascii="Times New Roman" w:hAnsi="Times New Roman"/>
          <w:sz w:val="24"/>
          <w:szCs w:val="24"/>
        </w:rPr>
        <w:t>***</w:t>
      </w:r>
    </w:p>
    <w:p w14:paraId="13449669" w14:textId="1B5DCC9E" w:rsidR="00231839" w:rsidRDefault="00231839" w:rsidP="00231839">
      <w:pPr>
        <w:pStyle w:val="NoSpacing"/>
        <w:rPr>
          <w:rStyle w:val="Hyperlink"/>
          <w:rFonts w:ascii="Times New Roman" w:hAnsi="Times New Roman"/>
          <w:sz w:val="24"/>
          <w:szCs w:val="24"/>
        </w:rPr>
      </w:pPr>
      <w:r w:rsidRPr="006F1EC0">
        <w:rPr>
          <w:rFonts w:ascii="Times New Roman" w:hAnsi="Times New Roman"/>
          <w:sz w:val="24"/>
          <w:szCs w:val="24"/>
        </w:rPr>
        <w:t>Here, there is no question that Quinn was at the WTC site and disabled as the proximate result of his line-of-duty exposure</w:t>
      </w:r>
      <w:r w:rsidRPr="00297192">
        <w:rPr>
          <w:rFonts w:ascii="Times New Roman" w:hAnsi="Times New Roman"/>
          <w:sz w:val="24"/>
          <w:szCs w:val="24"/>
        </w:rPr>
        <w:t>…. Petitioner, through the report of Dr. Stripp, has made a credible argument supporting the proposition that the accidental overdose cause of death listed on Quinn's autopsy was, in turn, a result of his WTC injuries</w:t>
      </w:r>
      <w:r w:rsidRPr="00744825">
        <w:rPr>
          <w:rFonts w:ascii="Times New Roman" w:hAnsi="Times New Roman"/>
          <w:sz w:val="24"/>
          <w:szCs w:val="24"/>
        </w:rPr>
        <w:t>… That Quinn's qualifying conditions specifically made him susceptible to an accidental overdose is further supported by the HSS doctor's notes and the fact that he was prescribed anti-overdose medications. ***  It</w:t>
      </w:r>
      <w:r w:rsidRPr="0076344F">
        <w:rPr>
          <w:rFonts w:ascii="Times New Roman" w:hAnsi="Times New Roman"/>
          <w:sz w:val="24"/>
          <w:szCs w:val="24"/>
        </w:rPr>
        <w:t xml:space="preserve"> was arbitrary and capricious for respondents to find that Quinn was not entitled to the WTC Presumption, and, therefore, they must rebut that presumption with "credible evidence," which they failed to do. Respondent's conjecture and unsupported suspicion that Quinn's accidental overdose was not ultimately caused </w:t>
      </w:r>
      <w:r w:rsidRPr="0076344F">
        <w:rPr>
          <w:rFonts w:ascii="Times New Roman" w:hAnsi="Times New Roman"/>
          <w:sz w:val="24"/>
          <w:szCs w:val="24"/>
        </w:rPr>
        <w:lastRenderedPageBreak/>
        <w:t>by a qualifying WTC condition is insufficient.</w:t>
      </w:r>
      <w:r>
        <w:rPr>
          <w:rFonts w:ascii="Times New Roman" w:hAnsi="Times New Roman"/>
          <w:sz w:val="24"/>
          <w:szCs w:val="24"/>
        </w:rPr>
        <w:t xml:space="preserve"> … </w:t>
      </w:r>
      <w:r w:rsidRPr="00F6495A">
        <w:rPr>
          <w:rFonts w:ascii="Times New Roman" w:hAnsi="Times New Roman"/>
          <w:sz w:val="24"/>
          <w:szCs w:val="24"/>
        </w:rPr>
        <w:t>Therefore, this Court will direct respondent to vacate its prior determination, denying petitioner's application for a line-of-duty death benefit pension pursuant to the WTC Bill</w:t>
      </w:r>
      <w:r>
        <w:rPr>
          <w:rFonts w:ascii="Times New Roman" w:hAnsi="Times New Roman"/>
          <w:sz w:val="24"/>
          <w:szCs w:val="24"/>
        </w:rPr>
        <w:t xml:space="preserve">.” </w:t>
      </w:r>
      <w:hyperlink r:id="rId668" w:history="1">
        <w:r w:rsidRPr="00A46316">
          <w:rPr>
            <w:rStyle w:val="Hyperlink"/>
            <w:rFonts w:ascii="Times New Roman" w:hAnsi="Times New Roman"/>
            <w:sz w:val="24"/>
            <w:szCs w:val="24"/>
          </w:rPr>
          <w:t>https://casetext.com/case/quinn-v-the-bd-of-trs-of-fire-dept-of-city-of-ny-pension-fund</w:t>
        </w:r>
      </w:hyperlink>
    </w:p>
    <w:p w14:paraId="6223B862" w14:textId="77777777" w:rsidR="00233F5D" w:rsidRPr="00B86616" w:rsidRDefault="00233F5D" w:rsidP="00233F5D">
      <w:pPr>
        <w:pStyle w:val="NormalWeb"/>
        <w:rPr>
          <w:b/>
          <w:bCs/>
        </w:rPr>
      </w:pPr>
      <w:r w:rsidRPr="00B86616">
        <w:rPr>
          <w:b/>
          <w:bCs/>
        </w:rPr>
        <w:t>Legal Lesson Learned:</w:t>
      </w:r>
      <w:r>
        <w:rPr>
          <w:b/>
          <w:bCs/>
        </w:rPr>
        <w:t xml:space="preserve"> Excellent decision based on World Trade Center “presumption” law. </w:t>
      </w:r>
    </w:p>
    <w:p w14:paraId="253AF708" w14:textId="77777777" w:rsidR="00233F5D" w:rsidRDefault="00233F5D" w:rsidP="00231839">
      <w:pPr>
        <w:pStyle w:val="NoSpacing"/>
        <w:rPr>
          <w:rFonts w:ascii="Arial Black" w:hAnsi="Arial Black"/>
          <w:sz w:val="28"/>
          <w:szCs w:val="28"/>
        </w:rPr>
      </w:pPr>
    </w:p>
    <w:p w14:paraId="5AE96001" w14:textId="77777777" w:rsidR="001B3B5F" w:rsidRDefault="001B3B5F" w:rsidP="00F326E5">
      <w:pPr>
        <w:pStyle w:val="NoSpacing"/>
        <w:rPr>
          <w:rFonts w:ascii="Arial Black" w:hAnsi="Arial Black"/>
          <w:sz w:val="28"/>
          <w:szCs w:val="28"/>
        </w:rPr>
      </w:pPr>
    </w:p>
    <w:p w14:paraId="2929653B" w14:textId="77777777" w:rsidR="001B3B5F" w:rsidRDefault="001B3B5F" w:rsidP="00F326E5">
      <w:pPr>
        <w:pStyle w:val="NoSpacing"/>
        <w:rPr>
          <w:rFonts w:ascii="Arial Black" w:hAnsi="Arial Black"/>
          <w:sz w:val="28"/>
          <w:szCs w:val="28"/>
        </w:rPr>
      </w:pPr>
    </w:p>
    <w:p w14:paraId="61A13F07" w14:textId="77777777" w:rsidR="001B3B5F" w:rsidRDefault="001B3B5F" w:rsidP="00F326E5">
      <w:pPr>
        <w:pStyle w:val="NoSpacing"/>
        <w:rPr>
          <w:rFonts w:ascii="Arial Black" w:hAnsi="Arial Black"/>
          <w:sz w:val="28"/>
          <w:szCs w:val="28"/>
        </w:rPr>
      </w:pPr>
    </w:p>
    <w:p w14:paraId="243D6616" w14:textId="74D7A948" w:rsidR="009B0593" w:rsidRDefault="0074687D"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7</w:t>
      </w:r>
    </w:p>
    <w:p w14:paraId="7A162F75" w14:textId="77777777" w:rsidR="005D6C9F" w:rsidRPr="005D6C9F" w:rsidRDefault="005D6C9F" w:rsidP="005D6C9F">
      <w:pPr>
        <w:pStyle w:val="Heading2"/>
        <w:rPr>
          <w:rFonts w:ascii="Arial Black" w:hAnsi="Arial Black"/>
          <w:b w:val="0"/>
          <w:bCs w:val="0"/>
          <w:i w:val="0"/>
          <w:iCs w:val="0"/>
        </w:rPr>
      </w:pPr>
      <w:r w:rsidRPr="005D6C9F">
        <w:rPr>
          <w:rFonts w:ascii="Arial Black" w:hAnsi="Arial Black"/>
          <w:b w:val="0"/>
          <w:bCs w:val="0"/>
          <w:i w:val="0"/>
          <w:iCs w:val="0"/>
        </w:rPr>
        <w:t>TX: TIK TOK - GOVERNOR MAY LIMIT USE ON STATE / UNIVERSITY DEVICES – COMPANY BASED IN CHINA</w:t>
      </w:r>
    </w:p>
    <w:p w14:paraId="4790A2E7" w14:textId="77777777" w:rsidR="005D6C9F" w:rsidRDefault="005D6C9F" w:rsidP="005D6C9F">
      <w:pPr>
        <w:pStyle w:val="Heading2"/>
        <w:rPr>
          <w:rFonts w:ascii="Times New Roman" w:hAnsi="Times New Roman"/>
          <w:sz w:val="24"/>
          <w:szCs w:val="24"/>
        </w:rPr>
      </w:pPr>
      <w:r w:rsidRPr="005D6C9F">
        <w:rPr>
          <w:rFonts w:ascii="Times New Roman" w:hAnsi="Times New Roman"/>
          <w:b w:val="0"/>
          <w:bCs w:val="0"/>
          <w:i w:val="0"/>
          <w:iCs w:val="0"/>
          <w:sz w:val="24"/>
          <w:szCs w:val="24"/>
        </w:rPr>
        <w:t xml:space="preserve">On Dec. 11, 2023, in </w:t>
      </w:r>
      <w:r w:rsidRPr="005D6C9F">
        <w:rPr>
          <w:rFonts w:ascii="Times New Roman" w:hAnsi="Times New Roman"/>
          <w:b w:val="0"/>
          <w:bCs w:val="0"/>
          <w:i w:val="0"/>
          <w:iCs w:val="0"/>
          <w:sz w:val="24"/>
          <w:szCs w:val="24"/>
          <w:u w:val="single"/>
        </w:rPr>
        <w:t xml:space="preserve">Coalition </w:t>
      </w:r>
      <w:proofErr w:type="gramStart"/>
      <w:r w:rsidRPr="005D6C9F">
        <w:rPr>
          <w:rFonts w:ascii="Times New Roman" w:hAnsi="Times New Roman"/>
          <w:b w:val="0"/>
          <w:bCs w:val="0"/>
          <w:i w:val="0"/>
          <w:iCs w:val="0"/>
          <w:sz w:val="24"/>
          <w:szCs w:val="24"/>
          <w:u w:val="single"/>
        </w:rPr>
        <w:t>For</w:t>
      </w:r>
      <w:proofErr w:type="gramEnd"/>
      <w:r w:rsidRPr="005D6C9F">
        <w:rPr>
          <w:rFonts w:ascii="Times New Roman" w:hAnsi="Times New Roman"/>
          <w:b w:val="0"/>
          <w:bCs w:val="0"/>
          <w:i w:val="0"/>
          <w:iCs w:val="0"/>
          <w:sz w:val="24"/>
          <w:szCs w:val="24"/>
          <w:u w:val="single"/>
        </w:rPr>
        <w:t xml:space="preserve"> Independent Technology Research v. Gregg Abbott, et al</w:t>
      </w:r>
      <w:r w:rsidRPr="005D6C9F">
        <w:rPr>
          <w:rFonts w:ascii="Times New Roman" w:hAnsi="Times New Roman"/>
          <w:b w:val="0"/>
          <w:bCs w:val="0"/>
          <w:i w:val="0"/>
          <w:iCs w:val="0"/>
          <w:sz w:val="24"/>
          <w:szCs w:val="24"/>
        </w:rPr>
        <w:t>., U.S. District Court judge Robert Pitman, U.S. District Court for Western District of Texas, granted defense motion to dismiss the lawsuit.  TikTok is banned in over 30 states in USA; owned by ByteDance Ltd., Beijing, China. The Court wrote: “While the Court recognizes the importance both of protecting academic freedom and supporting public employees' right to free speech, the Court finds that these important ideals do not dictate the appropriate framework for this case. Texas's TikTok ban is not a restraint on public employee speech. Even as applied to public university faculty, who are entitled to special considerations under the law, the Court finds that the ban is not a restraint on speech in a public forum, but rather a restriction on a nonpublic forum motivated by Texas's data protection concerns regarding TikTok, an app owned by a company based in China. (</w:t>
      </w:r>
      <w:proofErr w:type="spellStart"/>
      <w:r w:rsidRPr="005D6C9F">
        <w:rPr>
          <w:rFonts w:ascii="Times New Roman" w:hAnsi="Times New Roman"/>
          <w:b w:val="0"/>
          <w:bCs w:val="0"/>
          <w:i w:val="0"/>
          <w:iCs w:val="0"/>
          <w:sz w:val="24"/>
          <w:szCs w:val="24"/>
        </w:rPr>
        <w:t>Compl</w:t>
      </w:r>
      <w:proofErr w:type="spellEnd"/>
      <w:r w:rsidRPr="005D6C9F">
        <w:rPr>
          <w:rFonts w:ascii="Times New Roman" w:hAnsi="Times New Roman"/>
          <w:b w:val="0"/>
          <w:bCs w:val="0"/>
          <w:i w:val="0"/>
          <w:iCs w:val="0"/>
          <w:sz w:val="24"/>
          <w:szCs w:val="24"/>
        </w:rPr>
        <w:t xml:space="preserve">., </w:t>
      </w:r>
      <w:proofErr w:type="spellStart"/>
      <w:r w:rsidRPr="005D6C9F">
        <w:rPr>
          <w:rFonts w:ascii="Times New Roman" w:hAnsi="Times New Roman"/>
          <w:b w:val="0"/>
          <w:bCs w:val="0"/>
          <w:i w:val="0"/>
          <w:iCs w:val="0"/>
          <w:sz w:val="24"/>
          <w:szCs w:val="24"/>
        </w:rPr>
        <w:t>Dkt</w:t>
      </w:r>
      <w:proofErr w:type="spellEnd"/>
      <w:r w:rsidRPr="005D6C9F">
        <w:rPr>
          <w:rFonts w:ascii="Times New Roman" w:hAnsi="Times New Roman"/>
          <w:b w:val="0"/>
          <w:bCs w:val="0"/>
          <w:i w:val="0"/>
          <w:iCs w:val="0"/>
          <w:sz w:val="24"/>
          <w:szCs w:val="24"/>
        </w:rPr>
        <w:t>. 1, at 2). Texas's TikTok ban is limiting the use of an app on state-provided devices and networks, which is not a blanket prohibition. Public university faculty-and all public employees-are free to use TikTok on their personal devices (</w:t>
      </w:r>
      <w:proofErr w:type="gramStart"/>
      <w:r w:rsidRPr="005D6C9F">
        <w:rPr>
          <w:rFonts w:ascii="Times New Roman" w:hAnsi="Times New Roman"/>
          <w:b w:val="0"/>
          <w:bCs w:val="0"/>
          <w:i w:val="0"/>
          <w:iCs w:val="0"/>
          <w:sz w:val="24"/>
          <w:szCs w:val="24"/>
        </w:rPr>
        <w:t>as long as</w:t>
      </w:r>
      <w:proofErr w:type="gramEnd"/>
      <w:r w:rsidRPr="005D6C9F">
        <w:rPr>
          <w:rFonts w:ascii="Times New Roman" w:hAnsi="Times New Roman"/>
          <w:b w:val="0"/>
          <w:bCs w:val="0"/>
          <w:i w:val="0"/>
          <w:iCs w:val="0"/>
          <w:sz w:val="24"/>
          <w:szCs w:val="24"/>
        </w:rPr>
        <w:t xml:space="preserve"> such devices are not used to access state networks). Therefore, the Court disagrees with Plaintiff's characterization of the ban as falling under the category of public employee speech. The Court finds nonpublic forum analysis to be the proper framework for Plaintiff's challenge, as the ban relates to Texas's regulation of its own governmental </w:t>
      </w:r>
      <w:proofErr w:type="gramStart"/>
      <w:r w:rsidRPr="005D6C9F">
        <w:rPr>
          <w:rFonts w:ascii="Times New Roman" w:hAnsi="Times New Roman"/>
          <w:b w:val="0"/>
          <w:bCs w:val="0"/>
          <w:i w:val="0"/>
          <w:iCs w:val="0"/>
          <w:sz w:val="24"/>
          <w:szCs w:val="24"/>
        </w:rPr>
        <w:t>property.”</w:t>
      </w:r>
      <w:proofErr w:type="gramEnd"/>
      <w:r w:rsidRPr="005D6C9F">
        <w:rPr>
          <w:rFonts w:ascii="Times New Roman" w:hAnsi="Times New Roman"/>
          <w:b w:val="0"/>
          <w:bCs w:val="0"/>
          <w:i w:val="0"/>
          <w:iCs w:val="0"/>
          <w:sz w:val="24"/>
          <w:szCs w:val="24"/>
        </w:rPr>
        <w:t xml:space="preserve"> </w:t>
      </w:r>
      <w:hyperlink r:id="rId669" w:history="1">
        <w:r w:rsidRPr="005D6C9F">
          <w:rPr>
            <w:rStyle w:val="Hyperlink"/>
            <w:rFonts w:ascii="Times New Roman" w:hAnsi="Times New Roman"/>
            <w:b w:val="0"/>
            <w:bCs w:val="0"/>
            <w:i w:val="0"/>
            <w:iCs w:val="0"/>
            <w:sz w:val="24"/>
            <w:szCs w:val="24"/>
          </w:rPr>
          <w:t>https://casetext.com/case/coal-for-indep-tech-research-v-abbott</w:t>
        </w:r>
      </w:hyperlink>
      <w:r>
        <w:rPr>
          <w:rFonts w:ascii="Times New Roman" w:hAnsi="Times New Roman"/>
          <w:sz w:val="24"/>
          <w:szCs w:val="24"/>
        </w:rPr>
        <w:t xml:space="preserve"> </w:t>
      </w:r>
    </w:p>
    <w:p w14:paraId="1EB0DAA1" w14:textId="77777777" w:rsidR="00E66493" w:rsidRPr="002C2A9E" w:rsidRDefault="00E66493" w:rsidP="00E66493">
      <w:pPr>
        <w:pStyle w:val="NormalWeb"/>
        <w:rPr>
          <w:b/>
          <w:bCs/>
        </w:rPr>
      </w:pPr>
      <w:r w:rsidRPr="002C2A9E">
        <w:rPr>
          <w:b/>
          <w:bCs/>
        </w:rPr>
        <w:t>Legal Lesson Learned:</w:t>
      </w:r>
      <w:r>
        <w:rPr>
          <w:b/>
          <w:bCs/>
        </w:rPr>
        <w:t xml:space="preserve"> State employees, including university professors, may still use TikTok on their personal devices. </w:t>
      </w:r>
    </w:p>
    <w:p w14:paraId="01C00B83" w14:textId="77777777" w:rsidR="00E66493" w:rsidRDefault="00E66493" w:rsidP="00E66493">
      <w:pPr>
        <w:pStyle w:val="NormalWeb"/>
        <w:ind w:left="720"/>
        <w:rPr>
          <w:b/>
          <w:bCs/>
        </w:rPr>
      </w:pPr>
      <w:r w:rsidRPr="00186EE2">
        <w:t xml:space="preserve">Note: “Federal interim rule implements TikTok ban on devices used in the performance of </w:t>
      </w:r>
      <w:r>
        <w:t xml:space="preserve"> f</w:t>
      </w:r>
      <w:r w:rsidRPr="00186EE2">
        <w:t xml:space="preserve">ederal contracts. ”July 13, 2023). </w:t>
      </w:r>
      <w:hyperlink r:id="rId670" w:history="1">
        <w:r w:rsidRPr="00186EE2">
          <w:rPr>
            <w:rStyle w:val="Hyperlink"/>
          </w:rPr>
          <w:t>https://research.wisc.edu/uncategorized/2023/07/13/federal-interim-rule-implements-tiktok-ban-on-devices-used-in-the-performance-of-federal-contracts/</w:t>
        </w:r>
      </w:hyperlink>
    </w:p>
    <w:p w14:paraId="0F468033" w14:textId="77777777" w:rsidR="00E66493" w:rsidRPr="00E66493" w:rsidRDefault="00E66493" w:rsidP="00E66493"/>
    <w:p w14:paraId="02DA7725" w14:textId="77777777" w:rsidR="005D6C9F" w:rsidRDefault="005D6C9F" w:rsidP="00F326E5">
      <w:pPr>
        <w:pStyle w:val="NoSpacing"/>
        <w:rPr>
          <w:rFonts w:ascii="Arial Black" w:hAnsi="Arial Black"/>
          <w:sz w:val="28"/>
          <w:szCs w:val="28"/>
        </w:rPr>
      </w:pPr>
    </w:p>
    <w:p w14:paraId="3843676F" w14:textId="77777777" w:rsidR="0074687D" w:rsidRDefault="0074687D" w:rsidP="00F326E5">
      <w:pPr>
        <w:pStyle w:val="NoSpacing"/>
        <w:rPr>
          <w:rFonts w:ascii="Arial Black" w:hAnsi="Arial Black"/>
          <w:sz w:val="28"/>
          <w:szCs w:val="28"/>
        </w:rPr>
      </w:pPr>
    </w:p>
    <w:p w14:paraId="21663E1D" w14:textId="767EF945" w:rsidR="00622D53" w:rsidRDefault="00622D53"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6</w:t>
      </w:r>
    </w:p>
    <w:p w14:paraId="06310C24" w14:textId="77777777" w:rsidR="00622D53" w:rsidRDefault="00622D53" w:rsidP="00622D53">
      <w:pPr>
        <w:spacing w:before="100" w:beforeAutospacing="1" w:after="100" w:afterAutospacing="1" w:line="240" w:lineRule="auto"/>
        <w:outlineLvl w:val="0"/>
        <w:rPr>
          <w:rFonts w:ascii="Arial Black" w:eastAsia="Times New Roman" w:hAnsi="Arial Black"/>
          <w:b/>
          <w:bCs/>
          <w:kern w:val="36"/>
          <w:sz w:val="28"/>
          <w:szCs w:val="28"/>
        </w:rPr>
      </w:pPr>
      <w:r>
        <w:rPr>
          <w:rFonts w:ascii="Arial Black" w:eastAsia="Times New Roman" w:hAnsi="Arial Black"/>
          <w:b/>
          <w:bCs/>
          <w:kern w:val="36"/>
          <w:sz w:val="28"/>
          <w:szCs w:val="28"/>
        </w:rPr>
        <w:lastRenderedPageBreak/>
        <w:t>CA: DEPORTATION – HELD FOR 2-YRS BY ICE – GETS BOND HEARING – WAS CA INMATE “FIRE CAMP” FIREFIGHTER</w:t>
      </w:r>
    </w:p>
    <w:p w14:paraId="22AB7C33" w14:textId="77777777" w:rsidR="00622D53" w:rsidRDefault="00622D53" w:rsidP="00622D53">
      <w:pPr>
        <w:pStyle w:val="Heading3"/>
        <w:rPr>
          <w:rFonts w:ascii="Times New Roman" w:hAnsi="Times New Roman" w:cs="Times New Roman"/>
          <w:color w:val="auto"/>
        </w:rPr>
      </w:pPr>
      <w:r w:rsidRPr="007A756D">
        <w:rPr>
          <w:rFonts w:ascii="Times New Roman" w:eastAsia="Times New Roman" w:hAnsi="Times New Roman" w:cs="Times New Roman"/>
          <w:color w:val="auto"/>
          <w:kern w:val="36"/>
        </w:rPr>
        <w:t xml:space="preserve">On Dec. 1, 2023, in </w:t>
      </w:r>
      <w:r w:rsidRPr="007A756D">
        <w:rPr>
          <w:rFonts w:ascii="Times New Roman" w:eastAsia="Times New Roman" w:hAnsi="Times New Roman" w:cs="Times New Roman"/>
          <w:color w:val="auto"/>
          <w:kern w:val="36"/>
          <w:u w:val="single"/>
        </w:rPr>
        <w:t xml:space="preserve">John Doe v. </w:t>
      </w:r>
      <w:r w:rsidRPr="007A756D">
        <w:rPr>
          <w:rFonts w:ascii="Times New Roman" w:hAnsi="Times New Roman" w:cs="Times New Roman"/>
          <w:color w:val="auto"/>
          <w:u w:val="single"/>
        </w:rPr>
        <w:t>Moises</w:t>
      </w:r>
      <w:r w:rsidRPr="007A756D">
        <w:rPr>
          <w:rFonts w:ascii="Times New Roman" w:hAnsi="Times New Roman" w:cs="Times New Roman"/>
          <w:color w:val="auto"/>
        </w:rPr>
        <w:t xml:space="preserve"> </w:t>
      </w:r>
      <w:r w:rsidRPr="007A756D">
        <w:rPr>
          <w:rFonts w:ascii="Times New Roman" w:eastAsia="Times New Roman" w:hAnsi="Times New Roman" w:cs="Times New Roman"/>
          <w:color w:val="auto"/>
          <w:kern w:val="36"/>
          <w:u w:val="single"/>
        </w:rPr>
        <w:t>Becerra</w:t>
      </w:r>
      <w:r w:rsidRPr="007A756D">
        <w:rPr>
          <w:rFonts w:ascii="Times New Roman" w:eastAsia="Times New Roman" w:hAnsi="Times New Roman" w:cs="Times New Roman"/>
          <w:color w:val="auto"/>
          <w:kern w:val="36"/>
        </w:rPr>
        <w:t xml:space="preserve">, U.S. District Court Judge P [Patrick] Casey Pitts, U.S. District Court Judge for Northern District of California (San Jose) ordered </w:t>
      </w:r>
      <w:r w:rsidRPr="007A756D">
        <w:rPr>
          <w:rFonts w:ascii="Times New Roman" w:hAnsi="Times New Roman" w:cs="Times New Roman"/>
          <w:color w:val="auto"/>
        </w:rPr>
        <w:t xml:space="preserve">U.S. Immigration and Customs Enforcement (ICE) to give the </w:t>
      </w:r>
      <w:r>
        <w:rPr>
          <w:rFonts w:ascii="Times New Roman" w:hAnsi="Times New Roman" w:cs="Times New Roman"/>
          <w:color w:val="auto"/>
        </w:rPr>
        <w:t xml:space="preserve">detainee (“John Doe” </w:t>
      </w:r>
      <w:r w:rsidRPr="005B43B2">
        <w:rPr>
          <w:rFonts w:ascii="Times New Roman" w:hAnsi="Times New Roman" w:cs="Times New Roman"/>
          <w:color w:val="auto"/>
        </w:rPr>
        <w:t xml:space="preserve">- </w:t>
      </w:r>
      <w:r w:rsidRPr="005B43B2">
        <w:rPr>
          <w:rFonts w:ascii="Times New Roman" w:hAnsi="Times New Roman" w:cs="Times New Roman"/>
        </w:rPr>
        <w:t>proceeding under a pseudonym)</w:t>
      </w:r>
      <w:r>
        <w:rPr>
          <w:rFonts w:ascii="Times New Roman" w:hAnsi="Times New Roman" w:cs="Times New Roman"/>
          <w:color w:val="auto"/>
        </w:rPr>
        <w:t xml:space="preserve"> awaiting deportation to Mexico (2 years in ICE custody) a bond hearing before an Immigration judge. </w:t>
      </w:r>
      <w:r w:rsidRPr="007A756D">
        <w:rPr>
          <w:rFonts w:ascii="Times New Roman" w:hAnsi="Times New Roman" w:cs="Times New Roman"/>
          <w:color w:val="auto"/>
        </w:rPr>
        <w:t xml:space="preserve">The Court wrote: “While in state custody, Mr. Doe joined the California Department of Corrections and Rehabilitation Fire Camp program and spent the last three years of his incarceration working as a firefighter. He completed his sentence in September 2021 and is on state parole until September 2024. If he </w:t>
      </w:r>
      <w:proofErr w:type="gramStart"/>
      <w:r w:rsidRPr="007A756D">
        <w:rPr>
          <w:rFonts w:ascii="Times New Roman" w:hAnsi="Times New Roman" w:cs="Times New Roman"/>
          <w:color w:val="auto"/>
        </w:rPr>
        <w:t>is able to</w:t>
      </w:r>
      <w:proofErr w:type="gramEnd"/>
      <w:r w:rsidRPr="007A756D">
        <w:rPr>
          <w:rFonts w:ascii="Times New Roman" w:hAnsi="Times New Roman" w:cs="Times New Roman"/>
          <w:color w:val="auto"/>
        </w:rPr>
        <w:t xml:space="preserve"> remain in the United States, Mr. Doe hopes to take advantage of a new law that enables Fire Camp participants like him to become professional firefighters upon release. *** On September 30, 2021, following his release from state detention, ICE took Mr. Doe into custody and detained him at the Golden State Annex (GSA) in McFarland, California. GSA is a private immigration detention facility operated for profit by GEO under contract with ICE. It is located outside the Northern District.</w:t>
      </w:r>
      <w:r w:rsidRPr="007A756D">
        <w:rPr>
          <w:color w:val="auto"/>
        </w:rPr>
        <w:t xml:space="preserve"> </w:t>
      </w:r>
      <w:r w:rsidRPr="007A756D">
        <w:rPr>
          <w:rFonts w:ascii="Times New Roman" w:hAnsi="Times New Roman" w:cs="Times New Roman"/>
          <w:color w:val="auto"/>
        </w:rPr>
        <w:t xml:space="preserve"> </w:t>
      </w:r>
      <w:hyperlink r:id="rId671" w:history="1">
        <w:r w:rsidRPr="00E359E2">
          <w:rPr>
            <w:rStyle w:val="Hyperlink"/>
            <w:rFonts w:ascii="Times New Roman" w:hAnsi="Times New Roman" w:cs="Times New Roman"/>
          </w:rPr>
          <w:t>https://caselaw.findlaw.com/court/us-dis-crt-n-d-cal/115575640.html</w:t>
        </w:r>
      </w:hyperlink>
      <w:r>
        <w:rPr>
          <w:rFonts w:ascii="Times New Roman" w:hAnsi="Times New Roman" w:cs="Times New Roman"/>
          <w:color w:val="auto"/>
        </w:rPr>
        <w:t xml:space="preserve"> </w:t>
      </w:r>
    </w:p>
    <w:p w14:paraId="70C92F5E" w14:textId="77777777" w:rsidR="0074687D" w:rsidRDefault="0074687D" w:rsidP="0074687D">
      <w:pPr>
        <w:spacing w:before="100" w:beforeAutospacing="1" w:after="100" w:afterAutospacing="1" w:line="240" w:lineRule="auto"/>
        <w:outlineLvl w:val="0"/>
        <w:rPr>
          <w:rFonts w:ascii="Times New Roman" w:hAnsi="Times New Roman"/>
          <w:b/>
          <w:bCs/>
          <w:sz w:val="24"/>
          <w:szCs w:val="24"/>
        </w:rPr>
      </w:pPr>
      <w:r w:rsidRPr="00FC093A">
        <w:rPr>
          <w:rFonts w:ascii="Times New Roman" w:hAnsi="Times New Roman"/>
          <w:b/>
          <w:bCs/>
          <w:sz w:val="24"/>
          <w:szCs w:val="24"/>
        </w:rPr>
        <w:t xml:space="preserve">Legal Lesson Learned: </w:t>
      </w:r>
      <w:r>
        <w:rPr>
          <w:rFonts w:ascii="Times New Roman" w:hAnsi="Times New Roman"/>
          <w:b/>
          <w:bCs/>
          <w:sz w:val="24"/>
          <w:szCs w:val="24"/>
        </w:rPr>
        <w:t xml:space="preserve">Even immigrants in custody for two years awaiting deportation have due process rights to a bond hearing. </w:t>
      </w:r>
    </w:p>
    <w:p w14:paraId="712B0B60" w14:textId="77777777" w:rsidR="0074687D" w:rsidRDefault="0074687D" w:rsidP="0074687D">
      <w:pPr>
        <w:pStyle w:val="Heading1"/>
        <w:ind w:left="720"/>
        <w:rPr>
          <w:b w:val="0"/>
          <w:bCs w:val="0"/>
          <w:kern w:val="0"/>
          <w:sz w:val="24"/>
          <w:szCs w:val="24"/>
        </w:rPr>
      </w:pPr>
      <w:r w:rsidRPr="00824AA4">
        <w:rPr>
          <w:b w:val="0"/>
          <w:bCs w:val="0"/>
          <w:sz w:val="24"/>
          <w:szCs w:val="24"/>
        </w:rPr>
        <w:t xml:space="preserve">Note: </w:t>
      </w:r>
      <w:r>
        <w:rPr>
          <w:b w:val="0"/>
          <w:bCs w:val="0"/>
          <w:sz w:val="24"/>
          <w:szCs w:val="24"/>
        </w:rPr>
        <w:t>“</w:t>
      </w:r>
      <w:r w:rsidRPr="00824AA4">
        <w:rPr>
          <w:b w:val="0"/>
          <w:bCs w:val="0"/>
          <w:sz w:val="24"/>
          <w:szCs w:val="24"/>
        </w:rPr>
        <w:t xml:space="preserve">The History of California’s Inmate Firefighter Program; </w:t>
      </w:r>
      <w:r w:rsidRPr="00824AA4">
        <w:rPr>
          <w:b w:val="0"/>
          <w:bCs w:val="0"/>
          <w:kern w:val="0"/>
          <w:sz w:val="24"/>
          <w:szCs w:val="24"/>
        </w:rPr>
        <w:t>The initiative, which finds prisoners working as first responders and rescuers, dates back to the 1940s</w:t>
      </w:r>
      <w:r>
        <w:rPr>
          <w:b w:val="0"/>
          <w:bCs w:val="0"/>
          <w:kern w:val="0"/>
          <w:sz w:val="24"/>
          <w:szCs w:val="24"/>
        </w:rPr>
        <w:t xml:space="preserve">.”  </w:t>
      </w:r>
      <w:hyperlink r:id="rId672" w:history="1">
        <w:r w:rsidRPr="001075D9">
          <w:rPr>
            <w:rStyle w:val="Hyperlink"/>
            <w:b w:val="0"/>
            <w:bCs w:val="0"/>
            <w:kern w:val="0"/>
            <w:sz w:val="24"/>
            <w:szCs w:val="24"/>
          </w:rPr>
          <w:t>https://www.smithsonianmag.com/history/the-history-of-californias-inmate-firefighter-program-180980662/</w:t>
        </w:r>
      </w:hyperlink>
      <w:r>
        <w:rPr>
          <w:b w:val="0"/>
          <w:bCs w:val="0"/>
          <w:kern w:val="0"/>
          <w:sz w:val="24"/>
          <w:szCs w:val="24"/>
        </w:rPr>
        <w:t xml:space="preserve"> </w:t>
      </w:r>
    </w:p>
    <w:p w14:paraId="1B60672D" w14:textId="77777777" w:rsidR="0074687D" w:rsidRPr="00824AA4" w:rsidRDefault="0074687D" w:rsidP="0074687D">
      <w:pPr>
        <w:pStyle w:val="Heading1"/>
        <w:ind w:left="1440"/>
        <w:rPr>
          <w:b w:val="0"/>
          <w:bCs w:val="0"/>
          <w:kern w:val="0"/>
          <w:sz w:val="24"/>
          <w:szCs w:val="24"/>
        </w:rPr>
      </w:pPr>
      <w:r>
        <w:rPr>
          <w:b w:val="0"/>
          <w:bCs w:val="0"/>
          <w:sz w:val="24"/>
          <w:szCs w:val="24"/>
        </w:rPr>
        <w:t>“</w:t>
      </w:r>
      <w:r w:rsidRPr="001907F8">
        <w:rPr>
          <w:b w:val="0"/>
          <w:bCs w:val="0"/>
          <w:sz w:val="24"/>
          <w:szCs w:val="24"/>
        </w:rPr>
        <w:t xml:space="preserve">Since World War II, California has relied on a unique group of firefighters to battle its conflagrations: </w:t>
      </w:r>
      <w:hyperlink r:id="rId673" w:tgtFrame="_blank" w:history="1">
        <w:r w:rsidRPr="001907F8">
          <w:rPr>
            <w:rStyle w:val="Hyperlink"/>
            <w:b w:val="0"/>
            <w:bCs w:val="0"/>
            <w:sz w:val="24"/>
            <w:szCs w:val="24"/>
          </w:rPr>
          <w:t>inmates</w:t>
        </w:r>
      </w:hyperlink>
      <w:r w:rsidRPr="001907F8">
        <w:rPr>
          <w:b w:val="0"/>
          <w:bCs w:val="0"/>
          <w:sz w:val="24"/>
          <w:szCs w:val="24"/>
        </w:rPr>
        <w:t xml:space="preserve">. Prisoners who want to enter the </w:t>
      </w:r>
      <w:hyperlink r:id="rId674" w:tgtFrame="_blank" w:history="1">
        <w:r w:rsidRPr="001907F8">
          <w:rPr>
            <w:rStyle w:val="Hyperlink"/>
            <w:b w:val="0"/>
            <w:bCs w:val="0"/>
            <w:sz w:val="24"/>
            <w:szCs w:val="24"/>
          </w:rPr>
          <w:t>Conservation Camp Program</w:t>
        </w:r>
      </w:hyperlink>
      <w:r w:rsidRPr="001907F8">
        <w:rPr>
          <w:b w:val="0"/>
          <w:bCs w:val="0"/>
          <w:sz w:val="24"/>
          <w:szCs w:val="24"/>
        </w:rPr>
        <w:t xml:space="preserve"> must meet security requirements and undergo two weeks of training. The all-inmate crews live in so-called </w:t>
      </w:r>
      <w:hyperlink r:id="rId675" w:tgtFrame="_blank" w:history="1">
        <w:r w:rsidRPr="001907F8">
          <w:rPr>
            <w:rStyle w:val="Hyperlink"/>
            <w:b w:val="0"/>
            <w:bCs w:val="0"/>
            <w:sz w:val="24"/>
            <w:szCs w:val="24"/>
          </w:rPr>
          <w:t>fire camps</w:t>
        </w:r>
      </w:hyperlink>
      <w:r w:rsidRPr="001907F8">
        <w:rPr>
          <w:b w:val="0"/>
          <w:bCs w:val="0"/>
          <w:sz w:val="24"/>
          <w:szCs w:val="24"/>
        </w:rPr>
        <w:t xml:space="preserve"> and are led by personnel from the California Department of Forestry and Fire Protection, or Cal Fire. They earn between </w:t>
      </w:r>
      <w:hyperlink r:id="rId676" w:tgtFrame="_blank" w:history="1">
        <w:r w:rsidRPr="001907F8">
          <w:rPr>
            <w:rStyle w:val="Hyperlink"/>
            <w:b w:val="0"/>
            <w:bCs w:val="0"/>
            <w:sz w:val="24"/>
            <w:szCs w:val="24"/>
          </w:rPr>
          <w:t>$2.90</w:t>
        </w:r>
      </w:hyperlink>
      <w:r w:rsidRPr="001907F8">
        <w:rPr>
          <w:b w:val="0"/>
          <w:bCs w:val="0"/>
          <w:sz w:val="24"/>
          <w:szCs w:val="24"/>
        </w:rPr>
        <w:t xml:space="preserve"> and $5 a day depending on their duties—and </w:t>
      </w:r>
      <w:hyperlink r:id="rId677" w:tgtFrame="_blank" w:history="1">
        <w:r w:rsidRPr="001907F8">
          <w:rPr>
            <w:rStyle w:val="Hyperlink"/>
            <w:b w:val="0"/>
            <w:bCs w:val="0"/>
            <w:sz w:val="24"/>
            <w:szCs w:val="24"/>
          </w:rPr>
          <w:t>slightly more</w:t>
        </w:r>
      </w:hyperlink>
      <w:r w:rsidRPr="001907F8">
        <w:rPr>
          <w:b w:val="0"/>
          <w:bCs w:val="0"/>
          <w:sz w:val="24"/>
          <w:szCs w:val="24"/>
        </w:rPr>
        <w:t xml:space="preserve"> when actively fighting a fire. Though their numbers have fluctuated over the years, they have often comprised </w:t>
      </w:r>
      <w:hyperlink r:id="rId678" w:tgtFrame="_blank" w:history="1">
        <w:r w:rsidRPr="001907F8">
          <w:rPr>
            <w:rStyle w:val="Hyperlink"/>
            <w:b w:val="0"/>
            <w:bCs w:val="0"/>
            <w:sz w:val="24"/>
            <w:szCs w:val="24"/>
          </w:rPr>
          <w:t>approximately one-third</w:t>
        </w:r>
      </w:hyperlink>
      <w:r w:rsidRPr="001907F8">
        <w:rPr>
          <w:b w:val="0"/>
          <w:bCs w:val="0"/>
          <w:sz w:val="24"/>
          <w:szCs w:val="24"/>
        </w:rPr>
        <w:t xml:space="preserve"> of California’s firefighting force.</w:t>
      </w:r>
      <w:r>
        <w:rPr>
          <w:b w:val="0"/>
          <w:bCs w:val="0"/>
          <w:sz w:val="24"/>
          <w:szCs w:val="24"/>
        </w:rPr>
        <w:t>”</w:t>
      </w:r>
    </w:p>
    <w:p w14:paraId="5C62E238" w14:textId="77777777" w:rsidR="0074687D" w:rsidRDefault="0074687D" w:rsidP="0074687D">
      <w:pPr>
        <w:pStyle w:val="NormalWeb"/>
        <w:jc w:val="center"/>
        <w:rPr>
          <w:b/>
          <w:bCs/>
        </w:rPr>
      </w:pPr>
    </w:p>
    <w:p w14:paraId="6EEF6381" w14:textId="77777777" w:rsidR="0074687D" w:rsidRPr="0074687D" w:rsidRDefault="0074687D" w:rsidP="0074687D"/>
    <w:p w14:paraId="1D6D53B5" w14:textId="77777777" w:rsidR="00622D53" w:rsidRDefault="00622D53" w:rsidP="00F326E5">
      <w:pPr>
        <w:pStyle w:val="NoSpacing"/>
        <w:rPr>
          <w:rFonts w:ascii="Arial Black" w:hAnsi="Arial Black"/>
          <w:sz w:val="28"/>
          <w:szCs w:val="28"/>
        </w:rPr>
      </w:pPr>
    </w:p>
    <w:p w14:paraId="6F584BA8" w14:textId="77777777" w:rsidR="00622D53" w:rsidRDefault="00622D53" w:rsidP="00F326E5">
      <w:pPr>
        <w:pStyle w:val="NoSpacing"/>
        <w:rPr>
          <w:rFonts w:ascii="Arial Black" w:hAnsi="Arial Black"/>
          <w:sz w:val="28"/>
          <w:szCs w:val="28"/>
        </w:rPr>
      </w:pPr>
    </w:p>
    <w:p w14:paraId="4B68C931" w14:textId="3F74168E" w:rsidR="00BB49C5" w:rsidRDefault="00BB49C5"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5</w:t>
      </w:r>
    </w:p>
    <w:p w14:paraId="0053C179" w14:textId="77777777" w:rsidR="00BB49C5" w:rsidRPr="004735F4" w:rsidRDefault="00BB49C5" w:rsidP="00BB49C5">
      <w:pPr>
        <w:pStyle w:val="NormalWeb"/>
        <w:rPr>
          <w:rFonts w:ascii="Arial Black" w:hAnsi="Arial Black"/>
          <w:b/>
          <w:bCs/>
          <w:sz w:val="28"/>
          <w:szCs w:val="28"/>
        </w:rPr>
      </w:pPr>
      <w:r>
        <w:rPr>
          <w:rFonts w:ascii="Arial Black" w:hAnsi="Arial Black"/>
          <w:b/>
          <w:bCs/>
          <w:sz w:val="28"/>
          <w:szCs w:val="28"/>
        </w:rPr>
        <w:t>TX: TEXAS GOV. ORDER - MIGRANTS NOT BE GIVEN RIDES - IMMIGRANT ADVOCATES CAN’T SUE – FED. INJUNCTION</w:t>
      </w:r>
    </w:p>
    <w:p w14:paraId="2831E47F" w14:textId="77777777" w:rsidR="00BB49C5" w:rsidRDefault="00BB49C5" w:rsidP="00BB49C5">
      <w:pPr>
        <w:pStyle w:val="NormalWeb"/>
      </w:pPr>
      <w:r>
        <w:t xml:space="preserve">On Oct. 27, 2023, in </w:t>
      </w:r>
      <w:r w:rsidRPr="004735F4">
        <w:rPr>
          <w:u w:val="single"/>
        </w:rPr>
        <w:t>United States of America v. Greg Abbott, et al</w:t>
      </w:r>
      <w:r>
        <w:t xml:space="preserve">., the U.S. Court of Appeals for the Fifth Circuit (New Orleans) held (2 to 1) that the U.S. District Court improperly denied the Governor’s motion to dismiss the three non-profits immigration advocates’ Fourth Amendment claims, since the Governor enjoys sovereign immunity from private party lawsuits.  Sovereign immunity forbids suits against a State and its officers in their official capacities. The Court held: “We agree with the Governor that sovereign immunity bars </w:t>
      </w:r>
      <w:r>
        <w:lastRenderedPageBreak/>
        <w:t xml:space="preserve">the lawsuit brought by the private plaintiffs. We reverse and remand with instructions to dismiss the suit against the Governor.” However, the Federal Government sued and in Aug. 2021 obtained an injunction against the Governor’s order and that injunction remains in place. </w:t>
      </w:r>
      <w:hyperlink r:id="rId679" w:history="1">
        <w:r w:rsidRPr="0097451D">
          <w:rPr>
            <w:rStyle w:val="Hyperlink"/>
            <w:rFonts w:eastAsiaTheme="majorEastAsia"/>
          </w:rPr>
          <w:t>https://cases.justia.com/federal/appellate-courts/ca5/22-50212/22-50212-2023-10-27.pdf?ts=1698427826</w:t>
        </w:r>
      </w:hyperlink>
      <w:r>
        <w:t xml:space="preserve"> </w:t>
      </w:r>
    </w:p>
    <w:p w14:paraId="40EE6571" w14:textId="77777777" w:rsidR="00BB49C5" w:rsidRPr="00D77256" w:rsidRDefault="00BB49C5" w:rsidP="00BB49C5">
      <w:pPr>
        <w:pStyle w:val="NormalWeb"/>
        <w:rPr>
          <w:b/>
          <w:bCs/>
        </w:rPr>
      </w:pPr>
      <w:r w:rsidRPr="00D77256">
        <w:rPr>
          <w:b/>
          <w:bCs/>
        </w:rPr>
        <w:t xml:space="preserve">Legal Lesson Learned: </w:t>
      </w:r>
      <w:r>
        <w:rPr>
          <w:b/>
          <w:bCs/>
        </w:rPr>
        <w:t xml:space="preserve">The lawsuit by USA will proceed. </w:t>
      </w:r>
    </w:p>
    <w:p w14:paraId="14B67253" w14:textId="77777777" w:rsidR="00BB49C5" w:rsidRPr="003402EF" w:rsidRDefault="00BB49C5" w:rsidP="00BB49C5">
      <w:pPr>
        <w:pStyle w:val="Heading1"/>
        <w:ind w:left="720"/>
        <w:rPr>
          <w:b w:val="0"/>
          <w:bCs w:val="0"/>
          <w:sz w:val="24"/>
          <w:szCs w:val="24"/>
        </w:rPr>
      </w:pPr>
      <w:r w:rsidRPr="003402EF">
        <w:rPr>
          <w:b w:val="0"/>
          <w:bCs w:val="0"/>
          <w:sz w:val="24"/>
          <w:szCs w:val="24"/>
        </w:rPr>
        <w:t xml:space="preserve">Note: The ruling does not affect a similar legal challenge brought by the Biden administration, leaving an August 2021 lower court’s injunction in place. See Oct. 27, </w:t>
      </w:r>
      <w:proofErr w:type="gramStart"/>
      <w:r w:rsidRPr="003402EF">
        <w:rPr>
          <w:b w:val="0"/>
          <w:bCs w:val="0"/>
          <w:sz w:val="24"/>
          <w:szCs w:val="24"/>
        </w:rPr>
        <w:t>2023</w:t>
      </w:r>
      <w:proofErr w:type="gramEnd"/>
      <w:r w:rsidRPr="003402EF">
        <w:rPr>
          <w:b w:val="0"/>
          <w:bCs w:val="0"/>
          <w:sz w:val="24"/>
          <w:szCs w:val="24"/>
        </w:rPr>
        <w:t xml:space="preserve"> article, </w:t>
      </w:r>
      <w:r>
        <w:rPr>
          <w:b w:val="0"/>
          <w:bCs w:val="0"/>
          <w:sz w:val="24"/>
          <w:szCs w:val="24"/>
        </w:rPr>
        <w:t>“</w:t>
      </w:r>
      <w:r w:rsidRPr="003402EF">
        <w:rPr>
          <w:b w:val="0"/>
          <w:bCs w:val="0"/>
          <w:sz w:val="24"/>
          <w:szCs w:val="24"/>
        </w:rPr>
        <w:t>US appeals court tosses lawsuit over Texas migrant transportation restrictions</w:t>
      </w:r>
      <w:r>
        <w:rPr>
          <w:b w:val="0"/>
          <w:bCs w:val="0"/>
          <w:sz w:val="24"/>
          <w:szCs w:val="24"/>
        </w:rPr>
        <w:t xml:space="preserve">.” </w:t>
      </w:r>
      <w:hyperlink r:id="rId680" w:history="1">
        <w:r w:rsidRPr="00956CFD">
          <w:rPr>
            <w:rStyle w:val="Hyperlink"/>
            <w:rFonts w:eastAsiaTheme="majorEastAsia"/>
            <w:b w:val="0"/>
            <w:bCs w:val="0"/>
            <w:sz w:val="24"/>
            <w:szCs w:val="24"/>
          </w:rPr>
          <w:t>https://www.theguardian.com/us-news/2023/oct/27/lawsuit-dismissed-texas-greg-abbott-transport-immigration</w:t>
        </w:r>
      </w:hyperlink>
      <w:r>
        <w:rPr>
          <w:b w:val="0"/>
          <w:bCs w:val="0"/>
          <w:sz w:val="24"/>
          <w:szCs w:val="24"/>
        </w:rPr>
        <w:t xml:space="preserve"> </w:t>
      </w:r>
    </w:p>
    <w:p w14:paraId="56B53233" w14:textId="77777777" w:rsidR="00BB49C5" w:rsidRDefault="00BB49C5" w:rsidP="00F326E5">
      <w:pPr>
        <w:pStyle w:val="NoSpacing"/>
        <w:rPr>
          <w:rFonts w:ascii="Arial Black" w:hAnsi="Arial Black"/>
          <w:sz w:val="28"/>
          <w:szCs w:val="28"/>
        </w:rPr>
      </w:pPr>
    </w:p>
    <w:p w14:paraId="7CBBFD18" w14:textId="77777777" w:rsidR="00BB49C5" w:rsidRDefault="00BB49C5" w:rsidP="00F326E5">
      <w:pPr>
        <w:pStyle w:val="NoSpacing"/>
        <w:rPr>
          <w:rFonts w:ascii="Arial Black" w:hAnsi="Arial Black"/>
          <w:sz w:val="28"/>
          <w:szCs w:val="28"/>
        </w:rPr>
      </w:pPr>
    </w:p>
    <w:p w14:paraId="33A196E0" w14:textId="4363ED55" w:rsidR="009B0593" w:rsidRDefault="009B0593"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4</w:t>
      </w:r>
    </w:p>
    <w:p w14:paraId="36E218C9" w14:textId="77777777" w:rsidR="009B0593" w:rsidRPr="004C7E57" w:rsidRDefault="009B0593" w:rsidP="009B0593">
      <w:pPr>
        <w:pStyle w:val="NormalWeb"/>
        <w:rPr>
          <w:rFonts w:ascii="Arial Black" w:hAnsi="Arial Black"/>
          <w:sz w:val="28"/>
          <w:szCs w:val="28"/>
        </w:rPr>
      </w:pPr>
      <w:r>
        <w:rPr>
          <w:rFonts w:ascii="Arial Black" w:hAnsi="Arial Black"/>
          <w:sz w:val="28"/>
          <w:szCs w:val="28"/>
        </w:rPr>
        <w:t>IL: AFTER TRIAL FBI PAID CONFIDENTIAL SOURCE $50,000 BONUS – COURT HEARING - NO REVERSAL CONVICTIONS</w:t>
      </w:r>
    </w:p>
    <w:p w14:paraId="1ADDBA74" w14:textId="77777777" w:rsidR="009B0593" w:rsidRDefault="009B0593" w:rsidP="009B0593">
      <w:pPr>
        <w:pStyle w:val="NormalWeb"/>
      </w:pPr>
      <w:r>
        <w:t xml:space="preserve">On Aug. 18, 2023, in </w:t>
      </w:r>
      <w:r w:rsidRPr="004C7E57">
        <w:rPr>
          <w:u w:val="single"/>
        </w:rPr>
        <w:t>United States of America v, Joseph D. Jones and Edward Schimenti</w:t>
      </w:r>
      <w:r>
        <w:t>, the U.S. Court of Appeals for 7</w:t>
      </w:r>
      <w:r w:rsidRPr="004C7E57">
        <w:rPr>
          <w:vertAlign w:val="superscript"/>
        </w:rPr>
        <w:t>th</w:t>
      </w:r>
      <w:r>
        <w:t xml:space="preserve"> Circuit (Chicago) held (3 to 0) that trial court properly denied defense motion for a new trial.  The evidence providing material support to the terrorist organization ISIS by two defendants was so strong, the 7th Circuit concluded that the disclosure at trial of the planned or contemplated post-trial bonus payment would not have resulted in the jury acquitting the defendants. </w:t>
      </w:r>
    </w:p>
    <w:p w14:paraId="4746A90A" w14:textId="77777777" w:rsidR="009B0593" w:rsidRDefault="009B0593" w:rsidP="009B0593">
      <w:pPr>
        <w:pStyle w:val="NormalWeb"/>
        <w:ind w:left="720"/>
      </w:pPr>
      <w:r>
        <w:t>The Court of Appeals held: “We likewise agree with the district court's denial of Jones and Schimenti's motion for a new trial based on a revelation that emerged after trial regarding a substantial payment the government made to a confidential source shortly after the jury convicted both defendants. What happened raises many questions, but, like the district court, we cannot conclude an earlier disclosure of a planned or contemplated post-trial payment would have resulted in the jury acquitting Jones or Schimenti. All of this leads us to affirm.”</w:t>
      </w:r>
      <w:hyperlink r:id="rId681" w:history="1">
        <w:r w:rsidRPr="00955A98">
          <w:rPr>
            <w:rStyle w:val="Hyperlink"/>
            <w:rFonts w:eastAsiaTheme="majorEastAsia"/>
          </w:rPr>
          <w:t>https://caselaw.findlaw.com/court/us-7th-circuit/114903686.html</w:t>
        </w:r>
      </w:hyperlink>
      <w:r>
        <w:t xml:space="preserve"> </w:t>
      </w:r>
    </w:p>
    <w:p w14:paraId="3E0D15B0" w14:textId="77777777" w:rsidR="009B0593" w:rsidRPr="006B6BC8" w:rsidRDefault="009B0593" w:rsidP="009B0593">
      <w:pPr>
        <w:pStyle w:val="NormalWeb"/>
        <w:rPr>
          <w:b/>
          <w:bCs/>
        </w:rPr>
      </w:pPr>
      <w:r w:rsidRPr="006B6BC8">
        <w:rPr>
          <w:b/>
          <w:bCs/>
        </w:rPr>
        <w:t xml:space="preserve">Legal Lesson Learned: </w:t>
      </w:r>
      <w:r>
        <w:rPr>
          <w:b/>
          <w:bCs/>
        </w:rPr>
        <w:t xml:space="preserve">Bonus payments to a confidential source after trial can lead to post-trial hearings. </w:t>
      </w:r>
    </w:p>
    <w:p w14:paraId="10F234D9" w14:textId="77777777" w:rsidR="009B0593" w:rsidRDefault="009B0593" w:rsidP="00F326E5">
      <w:pPr>
        <w:pStyle w:val="NoSpacing"/>
        <w:rPr>
          <w:rFonts w:ascii="Arial Black" w:hAnsi="Arial Black"/>
          <w:sz w:val="28"/>
          <w:szCs w:val="28"/>
        </w:rPr>
      </w:pPr>
    </w:p>
    <w:p w14:paraId="1F9E8713" w14:textId="77777777" w:rsidR="009B0593" w:rsidRDefault="009B0593" w:rsidP="00F326E5">
      <w:pPr>
        <w:pStyle w:val="NoSpacing"/>
        <w:rPr>
          <w:rFonts w:ascii="Arial Black" w:hAnsi="Arial Black"/>
          <w:sz w:val="28"/>
          <w:szCs w:val="28"/>
        </w:rPr>
      </w:pPr>
    </w:p>
    <w:p w14:paraId="24E41B73" w14:textId="1B847B0B" w:rsidR="00DC17BF" w:rsidRDefault="00FE60DA"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3</w:t>
      </w:r>
    </w:p>
    <w:p w14:paraId="4CF61886" w14:textId="6E6B7568" w:rsidR="00FE60DA" w:rsidRPr="00DB3ABA" w:rsidRDefault="00FE60DA" w:rsidP="00FE60DA">
      <w:pPr>
        <w:pStyle w:val="NormalWeb"/>
        <w:rPr>
          <w:rFonts w:ascii="Arial Black" w:hAnsi="Arial Black"/>
          <w:sz w:val="28"/>
          <w:szCs w:val="28"/>
        </w:rPr>
      </w:pPr>
      <w:r>
        <w:rPr>
          <w:rFonts w:ascii="Arial Black" w:hAnsi="Arial Black"/>
          <w:sz w:val="28"/>
          <w:szCs w:val="28"/>
        </w:rPr>
        <w:t xml:space="preserve">LA: FED. JUDGE INJUNCTION – FED. GOV’T TRYING </w:t>
      </w:r>
      <w:r w:rsidR="00735F6B">
        <w:rPr>
          <w:rFonts w:ascii="Arial Black" w:hAnsi="Arial Black"/>
          <w:sz w:val="28"/>
          <w:szCs w:val="28"/>
        </w:rPr>
        <w:t xml:space="preserve">GET </w:t>
      </w:r>
      <w:r>
        <w:rPr>
          <w:rFonts w:ascii="Arial Black" w:hAnsi="Arial Black"/>
          <w:sz w:val="28"/>
          <w:szCs w:val="28"/>
        </w:rPr>
        <w:t xml:space="preserve">FACEBOOK, TWITTER TO DELETE POSTS - DOJ APPEALS </w:t>
      </w:r>
    </w:p>
    <w:p w14:paraId="1817A0C1" w14:textId="342A70FD"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4, 2023, in </w:t>
      </w:r>
      <w:r w:rsidRPr="00E83DE8">
        <w:rPr>
          <w:rFonts w:ascii="Times New Roman" w:hAnsi="Times New Roman"/>
          <w:sz w:val="24"/>
          <w:szCs w:val="24"/>
          <w:u w:val="single"/>
        </w:rPr>
        <w:t>State of Missouri, et al. v. Joseph R. Biden, Jr., et al</w:t>
      </w:r>
      <w:r>
        <w:rPr>
          <w:rFonts w:ascii="Times New Roman" w:hAnsi="Times New Roman"/>
          <w:sz w:val="24"/>
          <w:szCs w:val="24"/>
        </w:rPr>
        <w:t xml:space="preserve">, U.S. District Court Judge Terry A. Doughty, U.S. District Court for Western District of Louisiana, Monroe Division, granted State of Missouri, State of Louisiana, and five individuals a preliminary injunction (but denied class action) concerning Whitehouse efforts to get social media companies to delete posts that opposed Covid-19 vaccinations, and other “hot” topics.  The judge’s 155-page opinion has drawn national attention and promptly appealed by U.S. </w:t>
      </w:r>
      <w:r>
        <w:rPr>
          <w:rFonts w:ascii="Times New Roman" w:hAnsi="Times New Roman"/>
          <w:sz w:val="24"/>
          <w:szCs w:val="24"/>
        </w:rPr>
        <w:lastRenderedPageBreak/>
        <w:t>Department of Justice to the U.S. Court of Appeals for 5</w:t>
      </w:r>
      <w:r w:rsidRPr="00E83DE8">
        <w:rPr>
          <w:rFonts w:ascii="Times New Roman" w:hAnsi="Times New Roman"/>
          <w:sz w:val="24"/>
          <w:szCs w:val="24"/>
          <w:vertAlign w:val="superscript"/>
        </w:rPr>
        <w:t>th</w:t>
      </w:r>
      <w:r>
        <w:rPr>
          <w:rFonts w:ascii="Times New Roman" w:hAnsi="Times New Roman"/>
          <w:sz w:val="24"/>
          <w:szCs w:val="24"/>
        </w:rPr>
        <w:t xml:space="preserve"> Circuit (New Orleans).  </w:t>
      </w:r>
      <w:hyperlink r:id="rId682" w:history="1">
        <w:r w:rsidR="0062739C" w:rsidRPr="00812663">
          <w:rPr>
            <w:rStyle w:val="Hyperlink"/>
          </w:rPr>
          <w:t>https://casetext.com/case/baarbe-v-the-syrian-arab-republic</w:t>
        </w:r>
      </w:hyperlink>
    </w:p>
    <w:p w14:paraId="5D7EB7F2" w14:textId="77777777"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Judge Doughty (nominated by President Trump in 2017) wrote: “</w:t>
      </w:r>
      <w:r w:rsidRPr="00DB3ABA">
        <w:rPr>
          <w:rFonts w:ascii="Times New Roman" w:hAnsi="Times New Roman"/>
          <w:sz w:val="24"/>
          <w:szCs w:val="24"/>
        </w:rPr>
        <w:t>The Plaintiffs are likely to succeed on the merits in establishing that the Government has</w:t>
      </w:r>
      <w:r>
        <w:rPr>
          <w:rFonts w:ascii="Times New Roman" w:hAnsi="Times New Roman"/>
          <w:sz w:val="24"/>
          <w:szCs w:val="24"/>
        </w:rPr>
        <w:t xml:space="preserve"> </w:t>
      </w:r>
      <w:r w:rsidRPr="00DB3ABA">
        <w:rPr>
          <w:rFonts w:ascii="Times New Roman" w:hAnsi="Times New Roman"/>
          <w:sz w:val="24"/>
          <w:szCs w:val="24"/>
        </w:rPr>
        <w:t>used its power to silence the opposition. Opposition to COVID-19 vaccines; opposition to</w:t>
      </w:r>
      <w:r>
        <w:rPr>
          <w:rFonts w:ascii="Times New Roman" w:hAnsi="Times New Roman"/>
          <w:sz w:val="24"/>
          <w:szCs w:val="24"/>
        </w:rPr>
        <w:t xml:space="preserve"> </w:t>
      </w:r>
      <w:r w:rsidRPr="00DB3ABA">
        <w:rPr>
          <w:rFonts w:ascii="Times New Roman" w:hAnsi="Times New Roman"/>
          <w:sz w:val="24"/>
          <w:szCs w:val="24"/>
        </w:rPr>
        <w:t>COVID-19 masking and lockdowns; opposition to the lab-leak theory of COVID-19; opposition</w:t>
      </w:r>
      <w:r>
        <w:rPr>
          <w:rFonts w:ascii="Times New Roman" w:hAnsi="Times New Roman"/>
          <w:sz w:val="24"/>
          <w:szCs w:val="24"/>
        </w:rPr>
        <w:t xml:space="preserve"> </w:t>
      </w:r>
      <w:r w:rsidRPr="00DB3ABA">
        <w:rPr>
          <w:rFonts w:ascii="Times New Roman" w:hAnsi="Times New Roman"/>
          <w:sz w:val="24"/>
          <w:szCs w:val="24"/>
        </w:rPr>
        <w:t>to the validity of the 2020 election; opposition to President Biden’s policies; statements that the</w:t>
      </w:r>
      <w:r>
        <w:rPr>
          <w:rFonts w:ascii="Times New Roman" w:hAnsi="Times New Roman"/>
          <w:sz w:val="24"/>
          <w:szCs w:val="24"/>
        </w:rPr>
        <w:t xml:space="preserve"> </w:t>
      </w:r>
      <w:r w:rsidRPr="00DB3ABA">
        <w:rPr>
          <w:rFonts w:ascii="Times New Roman" w:hAnsi="Times New Roman"/>
          <w:sz w:val="24"/>
          <w:szCs w:val="24"/>
        </w:rPr>
        <w:t>Hunter Biden laptop story was true; and opposition to policies of the government officials in</w:t>
      </w:r>
      <w:r>
        <w:rPr>
          <w:rFonts w:ascii="Times New Roman" w:hAnsi="Times New Roman"/>
          <w:sz w:val="24"/>
          <w:szCs w:val="24"/>
        </w:rPr>
        <w:t xml:space="preserve"> </w:t>
      </w:r>
      <w:r w:rsidRPr="00DB3ABA">
        <w:rPr>
          <w:rFonts w:ascii="Times New Roman" w:hAnsi="Times New Roman"/>
          <w:sz w:val="24"/>
          <w:szCs w:val="24"/>
        </w:rPr>
        <w:t>power. All were suppressed. It is quite telling that each example or category of suppressed speech</w:t>
      </w:r>
      <w:r>
        <w:rPr>
          <w:rFonts w:ascii="Times New Roman" w:hAnsi="Times New Roman"/>
          <w:sz w:val="24"/>
          <w:szCs w:val="24"/>
        </w:rPr>
        <w:t xml:space="preserve"> </w:t>
      </w:r>
      <w:r w:rsidRPr="00DB3ABA">
        <w:rPr>
          <w:rFonts w:ascii="Times New Roman" w:hAnsi="Times New Roman"/>
          <w:sz w:val="24"/>
          <w:szCs w:val="24"/>
        </w:rPr>
        <w:t>was conservative in nature. This targeted suppression of conservative ideas is a perfect example</w:t>
      </w:r>
      <w:r>
        <w:rPr>
          <w:rFonts w:ascii="Times New Roman" w:hAnsi="Times New Roman"/>
          <w:sz w:val="24"/>
          <w:szCs w:val="24"/>
        </w:rPr>
        <w:t xml:space="preserve"> </w:t>
      </w:r>
      <w:r w:rsidRPr="00DB3ABA">
        <w:rPr>
          <w:rFonts w:ascii="Times New Roman" w:hAnsi="Times New Roman"/>
          <w:sz w:val="24"/>
          <w:szCs w:val="24"/>
        </w:rPr>
        <w:t xml:space="preserve">of viewpoint discrimination </w:t>
      </w:r>
      <w:proofErr w:type="gramStart"/>
      <w:r w:rsidRPr="00DB3ABA">
        <w:rPr>
          <w:rFonts w:ascii="Times New Roman" w:hAnsi="Times New Roman"/>
          <w:sz w:val="24"/>
          <w:szCs w:val="24"/>
        </w:rPr>
        <w:t>of</w:t>
      </w:r>
      <w:proofErr w:type="gramEnd"/>
      <w:r w:rsidRPr="00DB3ABA">
        <w:rPr>
          <w:rFonts w:ascii="Times New Roman" w:hAnsi="Times New Roman"/>
          <w:sz w:val="24"/>
          <w:szCs w:val="24"/>
        </w:rPr>
        <w:t xml:space="preserve"> political speech. American citizens have the right to engage in free</w:t>
      </w:r>
      <w:r>
        <w:rPr>
          <w:rFonts w:ascii="Times New Roman" w:hAnsi="Times New Roman"/>
          <w:sz w:val="24"/>
          <w:szCs w:val="24"/>
        </w:rPr>
        <w:t xml:space="preserve"> </w:t>
      </w:r>
      <w:r w:rsidRPr="00DB3ABA">
        <w:rPr>
          <w:rFonts w:ascii="Times New Roman" w:hAnsi="Times New Roman"/>
          <w:sz w:val="24"/>
          <w:szCs w:val="24"/>
        </w:rPr>
        <w:t>debate about the significant issues affecting the country.</w:t>
      </w:r>
      <w:r>
        <w:rPr>
          <w:rFonts w:ascii="Times New Roman" w:hAnsi="Times New Roman"/>
          <w:sz w:val="24"/>
          <w:szCs w:val="24"/>
        </w:rPr>
        <w:t xml:space="preserve">” </w:t>
      </w:r>
      <w:hyperlink r:id="rId683" w:history="1">
        <w:r w:rsidRPr="00812663">
          <w:rPr>
            <w:rStyle w:val="Hyperlink"/>
            <w:sz w:val="24"/>
            <w:szCs w:val="24"/>
          </w:rPr>
          <w:t>https://ago.mo.gov/docs/default-source/press-releases/missouri-v-biden-ruling.pdf</w:t>
        </w:r>
      </w:hyperlink>
      <w:r>
        <w:rPr>
          <w:rFonts w:ascii="Times New Roman" w:hAnsi="Times New Roman"/>
          <w:sz w:val="24"/>
          <w:szCs w:val="24"/>
        </w:rPr>
        <w:t xml:space="preserve"> </w:t>
      </w:r>
    </w:p>
    <w:p w14:paraId="1C2406DB" w14:textId="77777777" w:rsidR="00523A11" w:rsidRDefault="00FE60DA" w:rsidP="00FE60DA">
      <w:pPr>
        <w:spacing w:before="100" w:beforeAutospacing="1" w:after="100" w:afterAutospacing="1" w:line="240" w:lineRule="auto"/>
        <w:rPr>
          <w:rFonts w:ascii="Times New Roman" w:hAnsi="Times New Roman"/>
          <w:b/>
          <w:bCs/>
          <w:sz w:val="24"/>
          <w:szCs w:val="24"/>
        </w:rPr>
      </w:pPr>
      <w:r w:rsidRPr="00793A6E">
        <w:rPr>
          <w:rFonts w:ascii="Times New Roman" w:hAnsi="Times New Roman"/>
          <w:b/>
          <w:bCs/>
          <w:sz w:val="24"/>
          <w:szCs w:val="24"/>
        </w:rPr>
        <w:t xml:space="preserve">Legal Lesson Learned: </w:t>
      </w:r>
      <w:r>
        <w:rPr>
          <w:rFonts w:ascii="Times New Roman" w:hAnsi="Times New Roman"/>
          <w:b/>
          <w:bCs/>
          <w:sz w:val="24"/>
          <w:szCs w:val="24"/>
        </w:rPr>
        <w:t>U.S. Department of Justice has already filed an appeal with 5</w:t>
      </w:r>
      <w:r w:rsidRPr="001D1578">
        <w:rPr>
          <w:rFonts w:ascii="Times New Roman" w:hAnsi="Times New Roman"/>
          <w:b/>
          <w:bCs/>
          <w:sz w:val="24"/>
          <w:szCs w:val="24"/>
          <w:vertAlign w:val="superscript"/>
        </w:rPr>
        <w:t>th</w:t>
      </w:r>
      <w:r>
        <w:rPr>
          <w:rFonts w:ascii="Times New Roman" w:hAnsi="Times New Roman"/>
          <w:b/>
          <w:bCs/>
          <w:sz w:val="24"/>
          <w:szCs w:val="24"/>
        </w:rPr>
        <w:t xml:space="preserve"> Circuit.</w:t>
      </w:r>
      <w:r w:rsidR="00735F6B">
        <w:rPr>
          <w:rFonts w:ascii="Times New Roman" w:hAnsi="Times New Roman"/>
          <w:b/>
          <w:bCs/>
          <w:sz w:val="24"/>
          <w:szCs w:val="24"/>
        </w:rPr>
        <w:t xml:space="preserve"> </w:t>
      </w:r>
    </w:p>
    <w:p w14:paraId="66401B1F" w14:textId="77777777" w:rsidR="00523A11" w:rsidRDefault="00523A11" w:rsidP="00FE60DA">
      <w:pPr>
        <w:spacing w:before="100" w:beforeAutospacing="1" w:after="100" w:afterAutospacing="1" w:line="240" w:lineRule="auto"/>
        <w:rPr>
          <w:rFonts w:ascii="Times New Roman" w:hAnsi="Times New Roman"/>
          <w:b/>
          <w:bCs/>
          <w:sz w:val="24"/>
          <w:szCs w:val="24"/>
        </w:rPr>
      </w:pPr>
    </w:p>
    <w:p w14:paraId="3B5D4EC9" w14:textId="2D27ADB7" w:rsidR="00FE60DA" w:rsidRDefault="00735F6B" w:rsidP="00FE60DA">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Here is </w:t>
      </w:r>
      <w:proofErr w:type="gramStart"/>
      <w:r>
        <w:rPr>
          <w:rFonts w:ascii="Times New Roman" w:hAnsi="Times New Roman"/>
          <w:b/>
          <w:bCs/>
          <w:sz w:val="24"/>
          <w:szCs w:val="24"/>
        </w:rPr>
        <w:t>there</w:t>
      </w:r>
      <w:proofErr w:type="gramEnd"/>
      <w:r>
        <w:rPr>
          <w:rFonts w:ascii="Times New Roman" w:hAnsi="Times New Roman"/>
          <w:b/>
          <w:bCs/>
          <w:sz w:val="24"/>
          <w:szCs w:val="24"/>
        </w:rPr>
        <w:t xml:space="preserve"> appeal, </w:t>
      </w:r>
      <w:hyperlink r:id="rId684" w:history="1">
        <w:r w:rsidRPr="00066234">
          <w:rPr>
            <w:rStyle w:val="Hyperlink"/>
            <w:rFonts w:ascii="Times New Roman" w:hAnsi="Times New Roman"/>
            <w:b/>
            <w:bCs/>
            <w:sz w:val="24"/>
            <w:szCs w:val="24"/>
          </w:rPr>
          <w:t>https://www.washingtonpost.com/documents/738465b3-8221-4ba6-8a91-92171f73482b.pdf?itid=lk_interstitial_manual_10</w:t>
        </w:r>
      </w:hyperlink>
    </w:p>
    <w:p w14:paraId="59632E5A" w14:textId="05A439F5" w:rsidR="00FE60DA" w:rsidRPr="00735F6B" w:rsidRDefault="00FE60DA" w:rsidP="00735F6B">
      <w:pPr>
        <w:pStyle w:val="NoSpacing"/>
        <w:ind w:left="720"/>
        <w:rPr>
          <w:rFonts w:ascii="Times New Roman" w:hAnsi="Times New Roman"/>
          <w:sz w:val="24"/>
          <w:szCs w:val="24"/>
        </w:rPr>
      </w:pPr>
      <w:r w:rsidRPr="00735F6B">
        <w:rPr>
          <w:rFonts w:ascii="Times New Roman" w:hAnsi="Times New Roman"/>
          <w:sz w:val="24"/>
          <w:szCs w:val="24"/>
        </w:rPr>
        <w:t xml:space="preserve">Note: See this July 4, </w:t>
      </w:r>
      <w:proofErr w:type="gramStart"/>
      <w:r w:rsidRPr="00735F6B">
        <w:rPr>
          <w:rFonts w:ascii="Times New Roman" w:hAnsi="Times New Roman"/>
          <w:sz w:val="24"/>
          <w:szCs w:val="24"/>
        </w:rPr>
        <w:t>2023</w:t>
      </w:r>
      <w:proofErr w:type="gramEnd"/>
      <w:r w:rsidRPr="00735F6B">
        <w:rPr>
          <w:rFonts w:ascii="Times New Roman" w:hAnsi="Times New Roman"/>
          <w:sz w:val="24"/>
          <w:szCs w:val="24"/>
        </w:rPr>
        <w:t xml:space="preserve"> article on the case. Federal Judge Limits Biden Officials’ Contacts </w:t>
      </w:r>
      <w:proofErr w:type="gramStart"/>
      <w:r w:rsidRPr="00735F6B">
        <w:rPr>
          <w:rFonts w:ascii="Times New Roman" w:hAnsi="Times New Roman"/>
          <w:sz w:val="24"/>
          <w:szCs w:val="24"/>
        </w:rPr>
        <w:t>With</w:t>
      </w:r>
      <w:proofErr w:type="gramEnd"/>
      <w:r w:rsidRPr="00735F6B">
        <w:rPr>
          <w:rFonts w:ascii="Times New Roman" w:hAnsi="Times New Roman"/>
          <w:sz w:val="24"/>
          <w:szCs w:val="24"/>
        </w:rPr>
        <w:t xml:space="preserve"> Social Media Sites. </w:t>
      </w:r>
      <w:hyperlink r:id="rId685" w:history="1">
        <w:r w:rsidRPr="00735F6B">
          <w:rPr>
            <w:rStyle w:val="Hyperlink"/>
            <w:rFonts w:ascii="Times New Roman" w:hAnsi="Times New Roman"/>
            <w:sz w:val="24"/>
            <w:szCs w:val="24"/>
          </w:rPr>
          <w:t>https://www.nytimes.com/2023/07/04/business/federal-judge-biden-social-media.html?campaign_id=60&amp;emc=edit_na_20230704&amp;instance_id=0&amp;nl=breaking-news&amp;ref=cta&amp;regi_id=215376166&amp;segment_id=138360&amp;user_id=c17b05e2b990d0f39049334bb5d3c889</w:t>
        </w:r>
      </w:hyperlink>
    </w:p>
    <w:p w14:paraId="48F030E4" w14:textId="77777777" w:rsidR="00FE60DA" w:rsidRDefault="00FE60DA" w:rsidP="00F326E5">
      <w:pPr>
        <w:pStyle w:val="NoSpacing"/>
        <w:rPr>
          <w:rFonts w:ascii="Arial Black" w:hAnsi="Arial Black"/>
          <w:sz w:val="28"/>
          <w:szCs w:val="28"/>
        </w:rPr>
      </w:pPr>
    </w:p>
    <w:p w14:paraId="5F0C27F4" w14:textId="5578C3C9" w:rsidR="00FE60DA" w:rsidRDefault="00FE60DA"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2</w:t>
      </w:r>
    </w:p>
    <w:p w14:paraId="5E26B22F" w14:textId="77777777" w:rsidR="00FE60DA" w:rsidRDefault="00FE60DA" w:rsidP="00F326E5">
      <w:pPr>
        <w:pStyle w:val="NoSpacing"/>
        <w:rPr>
          <w:rFonts w:ascii="Arial Black" w:hAnsi="Arial Black"/>
          <w:sz w:val="28"/>
          <w:szCs w:val="28"/>
        </w:rPr>
      </w:pPr>
    </w:p>
    <w:p w14:paraId="33100188" w14:textId="77777777" w:rsidR="00FE60DA" w:rsidRDefault="00FE60DA" w:rsidP="00F326E5">
      <w:pPr>
        <w:pStyle w:val="NoSpacing"/>
        <w:rPr>
          <w:rFonts w:ascii="Arial Black" w:hAnsi="Arial Black"/>
          <w:sz w:val="28"/>
          <w:szCs w:val="28"/>
        </w:rPr>
      </w:pPr>
    </w:p>
    <w:p w14:paraId="39DD2D4B" w14:textId="77777777" w:rsidR="00FE60DA" w:rsidRDefault="00FE60DA" w:rsidP="00FE60DA">
      <w:pPr>
        <w:pStyle w:val="NormalWeb"/>
        <w:rPr>
          <w:rFonts w:ascii="Arial Black" w:hAnsi="Arial Black"/>
          <w:sz w:val="28"/>
          <w:szCs w:val="28"/>
        </w:rPr>
      </w:pPr>
      <w:r>
        <w:rPr>
          <w:rFonts w:ascii="Arial Black" w:hAnsi="Arial Black"/>
          <w:sz w:val="28"/>
          <w:szCs w:val="28"/>
        </w:rPr>
        <w:t>NC: SYRIA IS LIABLE IN U.S. TERRORIST MURDERS / INJURIES US CITIZENS - NO SOVEREIGN IMMUNITY</w:t>
      </w:r>
    </w:p>
    <w:p w14:paraId="3758C1FB" w14:textId="77777777" w:rsidR="00523A11" w:rsidRDefault="00FE60DA" w:rsidP="00523A11">
      <w:pPr>
        <w:pStyle w:val="NormalWeb"/>
      </w:pPr>
      <w:r>
        <w:t xml:space="preserve">On May 30, 2023, in </w:t>
      </w:r>
      <w:r w:rsidRPr="00594187">
        <w:rPr>
          <w:u w:val="single"/>
        </w:rPr>
        <w:t xml:space="preserve">Cameron Cain </w:t>
      </w:r>
      <w:proofErr w:type="spellStart"/>
      <w:r w:rsidRPr="00594187">
        <w:rPr>
          <w:u w:val="single"/>
        </w:rPr>
        <w:t>Baarbe</w:t>
      </w:r>
      <w:proofErr w:type="spellEnd"/>
      <w:r w:rsidRPr="00594187">
        <w:rPr>
          <w:u w:val="single"/>
        </w:rPr>
        <w:t>, et al. v. The Syrian Arab Republic</w:t>
      </w:r>
      <w:r>
        <w:t xml:space="preserve">, U.S. District Court Judge Terrence M. Boyle, U.S. District Court for Eastern District of North Carolina, Western Division, held that Syria is liable in damages in this default judgment case for the deaths of four U.S. citizens, and injury to four others in ISIS terrorist attacks </w:t>
      </w:r>
      <w:r w:rsidRPr="00A92E97">
        <w:t>in Istanbul, Paris and Brussels</w:t>
      </w:r>
      <w:r>
        <w:t xml:space="preserve">. </w:t>
      </w:r>
      <w:r w:rsidR="00523A11">
        <w:t xml:space="preserve"> </w:t>
      </w:r>
      <w:hyperlink r:id="rId686" w:history="1">
        <w:r w:rsidR="00523A11" w:rsidRPr="00812663">
          <w:rPr>
            <w:rStyle w:val="Hyperlink"/>
          </w:rPr>
          <w:t>https://casetext.com/case/baarbe-v-the-syrian-arab-republic</w:t>
        </w:r>
      </w:hyperlink>
      <w:r w:rsidR="00523A11">
        <w:t xml:space="preserve"> </w:t>
      </w:r>
    </w:p>
    <w:p w14:paraId="4E3C1A48" w14:textId="77777777" w:rsidR="00FE60DA" w:rsidRDefault="00FE60DA" w:rsidP="00FE60DA">
      <w:pPr>
        <w:pStyle w:val="NormalWeb"/>
      </w:pPr>
      <w:r>
        <w:t>The Court held: “</w:t>
      </w:r>
      <w:r w:rsidRPr="00594187">
        <w:t xml:space="preserve">This is a civil action for damages pursuant to the Foreign Sovereign Immunities Act (“FSIA”) 28 U.S.C. § 1602 </w:t>
      </w:r>
      <w:r w:rsidRPr="00594187">
        <w:rPr>
          <w:rStyle w:val="Emphasis"/>
          <w:rFonts w:eastAsiaTheme="majorEastAsia"/>
        </w:rPr>
        <w:t>et seq</w:t>
      </w:r>
      <w:r w:rsidRPr="00594187">
        <w:t xml:space="preserve">. Plaintiffs are the estate and family of U.S. national Nohemi Gonzalez murdered in a terror attack on November 13, 2015, the family and estate of U.S. national </w:t>
      </w:r>
      <w:proofErr w:type="spellStart"/>
      <w:r w:rsidRPr="00594187">
        <w:t>Abvraham</w:t>
      </w:r>
      <w:proofErr w:type="spellEnd"/>
      <w:r>
        <w:rPr>
          <w:vertAlign w:val="superscript"/>
        </w:rPr>
        <w:t xml:space="preserve"> </w:t>
      </w:r>
      <w:r w:rsidRPr="00594187">
        <w:t xml:space="preserve">Goldman murdered in a terror attack on March 19, 2016, the estate and family of Alexander Pinczowski murdered in a terror attack on March 22, 2016, and the estate and family of U.S. national Erez Orbach murdered in a terror attack on January 8, 2017. Plaintiffs are also the survivors of the terror attacks on March 19, </w:t>
      </w:r>
      <w:proofErr w:type="gramStart"/>
      <w:r w:rsidRPr="00594187">
        <w:t>2016</w:t>
      </w:r>
      <w:proofErr w:type="gramEnd"/>
      <w:r w:rsidRPr="00594187">
        <w:t xml:space="preserve"> and January 8, </w:t>
      </w:r>
      <w:proofErr w:type="gramStart"/>
      <w:r w:rsidRPr="00594187">
        <w:t>2017</w:t>
      </w:r>
      <w:proofErr w:type="gramEnd"/>
      <w:r w:rsidRPr="00594187">
        <w:t xml:space="preserve"> and their families. Plaintiffs filed this action on June 2, </w:t>
      </w:r>
      <w:proofErr w:type="gramStart"/>
      <w:r w:rsidRPr="00594187">
        <w:t>2020</w:t>
      </w:r>
      <w:proofErr w:type="gramEnd"/>
      <w:r w:rsidRPr="00594187">
        <w:t xml:space="preserve"> against Syria. (</w:t>
      </w:r>
      <w:proofErr w:type="spellStart"/>
      <w:r w:rsidRPr="00594187">
        <w:t>Dkt</w:t>
      </w:r>
      <w:proofErr w:type="spellEnd"/>
      <w:r w:rsidRPr="00594187">
        <w:t xml:space="preserve">. 1). </w:t>
      </w:r>
      <w:r>
        <w:t xml:space="preserve">*** </w:t>
      </w:r>
      <w:r w:rsidRPr="00594187">
        <w:t xml:space="preserve">When a state such as Syria chooses to use terror as a policy tool that state forfeits its sovereign immunity and deserves unadorned condemnation. Barbaric acts like those alleged in this action have no place in civilized society and represent a moral depravity that knows no bounds. In stark contrast to the terrorist thugs and their Syrian sponsors stand the </w:t>
      </w:r>
      <w:r w:rsidRPr="00594187">
        <w:lastRenderedPageBreak/>
        <w:t>courageous Plaintiffs in this action, who have resolved to fight injustice with whatever tools are at their disposal, and their patient determination in this case is a credit to both them and to the memory of their decedents. This Court hopes that the Plaintiffs may take some measure of solace in this Court's final judgment.</w:t>
      </w:r>
      <w:r>
        <w:t xml:space="preserve">” </w:t>
      </w:r>
      <w:hyperlink r:id="rId687" w:history="1">
        <w:r w:rsidRPr="00812663">
          <w:rPr>
            <w:rStyle w:val="Hyperlink"/>
          </w:rPr>
          <w:t>https://casetext.com/case/baarbe-v-the-syrian-arab-republic</w:t>
        </w:r>
      </w:hyperlink>
      <w:r>
        <w:t xml:space="preserve"> </w:t>
      </w:r>
    </w:p>
    <w:p w14:paraId="7D2BF74B" w14:textId="77777777" w:rsidR="00FE60DA" w:rsidRPr="00A92E97" w:rsidRDefault="00FE60DA" w:rsidP="00FE60DA">
      <w:pPr>
        <w:pStyle w:val="NormalWeb"/>
        <w:rPr>
          <w:b/>
          <w:bCs/>
        </w:rPr>
      </w:pPr>
      <w:r w:rsidRPr="00A92E97">
        <w:rPr>
          <w:b/>
          <w:bCs/>
        </w:rPr>
        <w:t>Legal Lesson Learned: This judgment will then allow plaintiffs to find Syria assets in US that can be seized.</w:t>
      </w:r>
    </w:p>
    <w:p w14:paraId="0AD6EA78" w14:textId="77777777" w:rsidR="00FE60DA" w:rsidRDefault="00FE60DA" w:rsidP="00F326E5">
      <w:pPr>
        <w:pStyle w:val="NoSpacing"/>
        <w:rPr>
          <w:rFonts w:ascii="Arial Black" w:hAnsi="Arial Black"/>
          <w:sz w:val="28"/>
          <w:szCs w:val="28"/>
        </w:rPr>
      </w:pPr>
    </w:p>
    <w:p w14:paraId="06FBA0A4" w14:textId="77777777" w:rsidR="00FE60DA" w:rsidRDefault="00FE60DA" w:rsidP="00F326E5">
      <w:pPr>
        <w:pStyle w:val="NoSpacing"/>
        <w:rPr>
          <w:rFonts w:ascii="Arial Black" w:hAnsi="Arial Black"/>
          <w:sz w:val="28"/>
          <w:szCs w:val="28"/>
        </w:rPr>
      </w:pPr>
    </w:p>
    <w:p w14:paraId="6DD12EBE" w14:textId="52D80842" w:rsidR="00DC17BF" w:rsidRDefault="00DC17BF"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1</w:t>
      </w:r>
    </w:p>
    <w:p w14:paraId="4B79781C" w14:textId="77777777" w:rsidR="00DC17BF" w:rsidRDefault="00DC17BF" w:rsidP="00F326E5">
      <w:pPr>
        <w:pStyle w:val="NoSpacing"/>
        <w:rPr>
          <w:rFonts w:ascii="Arial Black" w:hAnsi="Arial Black"/>
          <w:sz w:val="28"/>
          <w:szCs w:val="28"/>
        </w:rPr>
      </w:pPr>
    </w:p>
    <w:p w14:paraId="72022F65" w14:textId="067E36E9" w:rsidR="00DC17BF" w:rsidRPr="00A10866" w:rsidRDefault="00DC17BF" w:rsidP="00DC17BF">
      <w:pPr>
        <w:pStyle w:val="NormalWeb"/>
        <w:rPr>
          <w:rFonts w:ascii="Arial Black" w:hAnsi="Arial Black"/>
          <w:sz w:val="28"/>
          <w:szCs w:val="28"/>
        </w:rPr>
      </w:pPr>
      <w:bookmarkStart w:id="133" w:name="_Hlk136858863"/>
      <w:r w:rsidRPr="00A10866">
        <w:rPr>
          <w:rFonts w:ascii="Arial Black" w:hAnsi="Arial Black"/>
          <w:sz w:val="28"/>
          <w:szCs w:val="28"/>
        </w:rPr>
        <w:t xml:space="preserve">DC: </w:t>
      </w:r>
      <w:r>
        <w:rPr>
          <w:rFonts w:ascii="Arial Black" w:hAnsi="Arial Black"/>
          <w:sz w:val="28"/>
          <w:szCs w:val="28"/>
        </w:rPr>
        <w:t>U.S. S</w:t>
      </w:r>
      <w:r w:rsidR="00ED4EAF">
        <w:rPr>
          <w:rFonts w:ascii="Arial Black" w:hAnsi="Arial Black"/>
          <w:sz w:val="28"/>
          <w:szCs w:val="28"/>
        </w:rPr>
        <w:t xml:space="preserve">UP. </w:t>
      </w:r>
      <w:r>
        <w:rPr>
          <w:rFonts w:ascii="Arial Black" w:hAnsi="Arial Black"/>
          <w:sz w:val="28"/>
          <w:szCs w:val="28"/>
        </w:rPr>
        <w:t>CT - NIGHTCLUB BOMBING IN TURKEY BY ISIS – FAMILIES CAN’T SUE FACEBOOK, TWITTER, OR GOOGLE</w:t>
      </w:r>
    </w:p>
    <w:bookmarkEnd w:id="133"/>
    <w:p w14:paraId="0FB1B25A" w14:textId="77777777" w:rsidR="00523A11" w:rsidRDefault="00DC17BF" w:rsidP="00523A11">
      <w:pPr>
        <w:pStyle w:val="NormalWeb"/>
        <w:rPr>
          <w:rStyle w:val="markedcontent"/>
        </w:rPr>
      </w:pPr>
      <w:r>
        <w:rPr>
          <w:rStyle w:val="markedcontent"/>
        </w:rPr>
        <w:t xml:space="preserve">On May 18, 2023, in </w:t>
      </w:r>
      <w:r w:rsidRPr="00021EE1">
        <w:rPr>
          <w:rStyle w:val="markedcontent"/>
          <w:u w:val="single"/>
        </w:rPr>
        <w:t xml:space="preserve">Twitter, Inc. v. </w:t>
      </w:r>
      <w:proofErr w:type="spellStart"/>
      <w:r w:rsidRPr="00021EE1">
        <w:rPr>
          <w:rStyle w:val="markedcontent"/>
          <w:u w:val="single"/>
        </w:rPr>
        <w:t>Taamneh</w:t>
      </w:r>
      <w:proofErr w:type="spellEnd"/>
      <w:r w:rsidRPr="00021EE1">
        <w:rPr>
          <w:rStyle w:val="markedcontent"/>
          <w:u w:val="single"/>
        </w:rPr>
        <w:t xml:space="preserve"> et al</w:t>
      </w:r>
      <w:r>
        <w:rPr>
          <w:rStyle w:val="markedcontent"/>
        </w:rPr>
        <w:t>., the U.S. Supreme Court held (9 to 0) in an opinion by Justice Clarence Thomas, that Plaintiffs’ allegations that these social-media companies aided and abetted ISIS in its terrorist attack on the Reina nightclub fail to state</w:t>
      </w:r>
      <w:r w:rsidR="00523A11">
        <w:rPr>
          <w:rStyle w:val="markedcontent"/>
        </w:rPr>
        <w:t xml:space="preserve"> </w:t>
      </w:r>
      <w:r>
        <w:rPr>
          <w:rStyle w:val="markedcontent"/>
        </w:rPr>
        <w:t xml:space="preserve">a claim under 18 U. S. C. §2333(d)(2). </w:t>
      </w:r>
      <w:hyperlink r:id="rId688" w:history="1">
        <w:r w:rsidR="00523A11" w:rsidRPr="00B908DF">
          <w:rPr>
            <w:rStyle w:val="Hyperlink"/>
            <w:rFonts w:eastAsiaTheme="majorEastAsia"/>
          </w:rPr>
          <w:t>https://www.supremecourt.gov/opinions/22pdf/21-1496_d18f.pdf</w:t>
        </w:r>
      </w:hyperlink>
      <w:r w:rsidR="00523A11">
        <w:rPr>
          <w:rStyle w:val="markedcontent"/>
        </w:rPr>
        <w:t xml:space="preserve"> </w:t>
      </w:r>
    </w:p>
    <w:p w14:paraId="58E120EA" w14:textId="679A19EB" w:rsidR="00DC17BF" w:rsidRDefault="00DC17BF" w:rsidP="00DC17BF">
      <w:pPr>
        <w:pStyle w:val="NormalWeb"/>
        <w:rPr>
          <w:rStyle w:val="markedcontent"/>
        </w:rPr>
      </w:pPr>
      <w:r>
        <w:rPr>
          <w:rStyle w:val="markedcontent"/>
        </w:rPr>
        <w:t xml:space="preserve">Justice Thomas wrote: </w:t>
      </w:r>
    </w:p>
    <w:p w14:paraId="4FB88826" w14:textId="77777777" w:rsidR="00DC17BF" w:rsidRDefault="00DC17BF" w:rsidP="00DC17BF">
      <w:pPr>
        <w:pStyle w:val="NormalWeb"/>
        <w:ind w:left="720"/>
        <w:rPr>
          <w:rStyle w:val="markedcontent"/>
        </w:rPr>
      </w:pPr>
      <w:r>
        <w:rPr>
          <w:rStyle w:val="markedcontent"/>
        </w:rPr>
        <w:t xml:space="preserve">“First, the relationship between defendants and the Reina attack is highly attenuated. As noted above, defendants’ platforms are global in scale and allow hundreds of millions (or billions) of people to upload vast quantities of information </w:t>
      </w:r>
      <w:proofErr w:type="gramStart"/>
      <w:r>
        <w:rPr>
          <w:rStyle w:val="markedcontent"/>
        </w:rPr>
        <w:t>on a daily basis</w:t>
      </w:r>
      <w:proofErr w:type="gramEnd"/>
      <w:r>
        <w:rPr>
          <w:rStyle w:val="markedcontent"/>
        </w:rPr>
        <w:t>. Yet, there are no allegations that defendants treated ISIS any differently from anyone else. Rather, defendants’ relationship with ISIS and its supporters appears to have been the same as their relationship with their billion-plus other users: arm’s length, passive, and largely indifferent…. Second, because of the distance between defendants’ acts (or failures to act) and the Reina attack, plaintiffs would need some other very good reason to think that defendants were consciously trying to help or otherwise ‘participate in’ the Reina attack.”</w:t>
      </w:r>
      <w:r w:rsidRPr="00E46EAE">
        <w:t xml:space="preserve"> </w:t>
      </w:r>
      <w:hyperlink r:id="rId689" w:history="1">
        <w:r w:rsidRPr="00B908DF">
          <w:rPr>
            <w:rStyle w:val="Hyperlink"/>
            <w:rFonts w:eastAsiaTheme="majorEastAsia"/>
          </w:rPr>
          <w:t>https://www.supremecourt.gov/opinions/22pdf/21-1496_d18f.pdf</w:t>
        </w:r>
      </w:hyperlink>
      <w:r>
        <w:rPr>
          <w:rStyle w:val="markedcontent"/>
        </w:rPr>
        <w:t xml:space="preserve"> </w:t>
      </w:r>
    </w:p>
    <w:p w14:paraId="3D65002C" w14:textId="77777777" w:rsidR="00DC17BF" w:rsidRPr="00B17836" w:rsidRDefault="00DC17BF" w:rsidP="00DC17BF">
      <w:pPr>
        <w:pStyle w:val="NormalWeb"/>
        <w:rPr>
          <w:rStyle w:val="markedcontent"/>
          <w:b/>
          <w:bCs/>
        </w:rPr>
      </w:pPr>
      <w:r w:rsidRPr="00B17836">
        <w:rPr>
          <w:rStyle w:val="markedcontent"/>
          <w:b/>
          <w:bCs/>
        </w:rPr>
        <w:t xml:space="preserve">Legal Lesson Learned: By unanimous decision, the U.S. Supreme Court held that the social media companies conduct did not constitute aiding or abetting ISIS. </w:t>
      </w:r>
    </w:p>
    <w:p w14:paraId="66C46CA7" w14:textId="77777777" w:rsidR="00DC17BF" w:rsidRDefault="00DC17BF" w:rsidP="00DC17BF">
      <w:pPr>
        <w:pStyle w:val="NormalWeb"/>
        <w:rPr>
          <w:rStyle w:val="markedcontent"/>
        </w:rPr>
      </w:pPr>
    </w:p>
    <w:p w14:paraId="1B2D175F" w14:textId="77777777" w:rsidR="00DC17BF" w:rsidRDefault="00DC17BF" w:rsidP="00F326E5">
      <w:pPr>
        <w:pStyle w:val="NoSpacing"/>
        <w:rPr>
          <w:rFonts w:ascii="Arial Black" w:hAnsi="Arial Black"/>
          <w:sz w:val="28"/>
          <w:szCs w:val="28"/>
        </w:rPr>
      </w:pPr>
    </w:p>
    <w:p w14:paraId="06E5F72F" w14:textId="292C25F4" w:rsidR="003F788B" w:rsidRDefault="003F788B"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0</w:t>
      </w:r>
    </w:p>
    <w:p w14:paraId="631FF00C"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NY: FDNY FF KILLED ON 9/11 – FAMILY GETS $8.5 MILLION DEFAULT JUDGMENT - ISLAMIC REPUBLIC OF IRAN </w:t>
      </w:r>
    </w:p>
    <w:p w14:paraId="5B48EAF4" w14:textId="77777777" w:rsidR="003F788B" w:rsidRDefault="003F788B" w:rsidP="003F788B">
      <w:pPr>
        <w:pStyle w:val="NormalWeb"/>
      </w:pPr>
      <w:r>
        <w:t xml:space="preserve">On March 28, 2023, in the multidistrict litigation - </w:t>
      </w:r>
      <w:r>
        <w:rPr>
          <w:u w:val="single"/>
        </w:rPr>
        <w:t>In re Terrorist Attacks on September 11, 2001</w:t>
      </w:r>
      <w:r>
        <w:t xml:space="preserve">, in case of </w:t>
      </w:r>
      <w:proofErr w:type="spellStart"/>
      <w:r>
        <w:rPr>
          <w:u w:val="single"/>
        </w:rPr>
        <w:t>Chairnoff</w:t>
      </w:r>
      <w:proofErr w:type="spellEnd"/>
      <w:r>
        <w:rPr>
          <w:u w:val="single"/>
        </w:rPr>
        <w:t xml:space="preserve"> v. Islamic Republic of Iran</w:t>
      </w:r>
      <w:r>
        <w:t xml:space="preserve">, U.S. District Court George B. Daniels, U.S. District Court, Southern </w:t>
      </w:r>
      <w:r>
        <w:lastRenderedPageBreak/>
        <w:t xml:space="preserve">District of New York, awarded partial final default judgment to the family of Geoffrey E. Guja, a New York City firefighter who was killed in the terrorist attacks on September 11, 2001. </w:t>
      </w:r>
    </w:p>
    <w:p w14:paraId="176A7061" w14:textId="77777777" w:rsidR="003F788B" w:rsidRDefault="003F788B" w:rsidP="003F788B">
      <w:pPr>
        <w:pStyle w:val="NormalWeb"/>
        <w:ind w:left="720" w:firstLine="60"/>
      </w:pPr>
      <w:r>
        <w:t xml:space="preserve">“Plaintiff now moves for solatium damages on the ground that her close relationship with her stepfather Geoffrey E. Guja, who was killed in the September 11, </w:t>
      </w:r>
      <w:proofErr w:type="gramStart"/>
      <w:r>
        <w:t>2001</w:t>
      </w:r>
      <w:proofErr w:type="gramEnd"/>
      <w:r>
        <w:t xml:space="preserve"> terrorist attacks (‘9/11 Attacks’), merits a finding that she is a functionally equivalent family member of the victim…. Court grant Plaintiffs motion and award Plaintiff $8,500,000 in solatium damages.” </w:t>
      </w:r>
      <w:hyperlink r:id="rId690" w:history="1">
        <w:r>
          <w:rPr>
            <w:rStyle w:val="Hyperlink"/>
          </w:rPr>
          <w:t>https://casetext.com/case/chairnoff-v-islamic-republic-of-iran-in-re-terrorist-attacks</w:t>
        </w:r>
      </w:hyperlink>
      <w:r>
        <w:t xml:space="preserve"> </w:t>
      </w:r>
    </w:p>
    <w:p w14:paraId="6965F5A1" w14:textId="77777777" w:rsidR="003F788B" w:rsidRDefault="003F788B" w:rsidP="003F788B">
      <w:pPr>
        <w:pStyle w:val="paragraph"/>
        <w:ind w:left="720"/>
      </w:pPr>
      <w:r>
        <w:rPr>
          <w:b/>
          <w:bCs/>
        </w:rPr>
        <w:t>“ORDERED</w:t>
      </w:r>
      <w:r>
        <w:t xml:space="preserve"> that Plaintiff Jamie K. Hawkins be awarded $8,500,000 for solatium damages; and it is </w:t>
      </w:r>
    </w:p>
    <w:p w14:paraId="078D0AC4" w14:textId="77777777" w:rsidR="003F788B" w:rsidRDefault="003F788B" w:rsidP="003F788B">
      <w:pPr>
        <w:pStyle w:val="paragraph"/>
        <w:ind w:left="720"/>
      </w:pPr>
      <w:r>
        <w:rPr>
          <w:b/>
          <w:bCs/>
        </w:rPr>
        <w:t>ORDERED</w:t>
      </w:r>
      <w:r>
        <w:t xml:space="preserve"> that prejudgment interest is awarded at a rate of 4.96 percent per annum, all interest compounded annually for the period from September 11, </w:t>
      </w:r>
      <w:proofErr w:type="gramStart"/>
      <w:r>
        <w:t>2001</w:t>
      </w:r>
      <w:proofErr w:type="gramEnd"/>
      <w:r>
        <w:t xml:space="preserve"> until the date of the judgment for damages; and it is </w:t>
      </w:r>
    </w:p>
    <w:p w14:paraId="48E2BC8C" w14:textId="77777777" w:rsidR="003F788B" w:rsidRDefault="003F788B" w:rsidP="003F788B">
      <w:pPr>
        <w:pStyle w:val="paragraph"/>
        <w:ind w:left="720"/>
      </w:pPr>
      <w:r>
        <w:rPr>
          <w:b/>
          <w:bCs/>
        </w:rPr>
        <w:t>ORDERED</w:t>
      </w:r>
      <w:r>
        <w:t xml:space="preserve"> that Plaintiffs not appearing on this motion and who were not previously awarded damages may submit in later stages applications for punitive, economic, and/or other damages awards that may be approved on the same basis as currently approved for this Plaintiff or in prior filings.” </w:t>
      </w:r>
    </w:p>
    <w:p w14:paraId="3D681B4E" w14:textId="77777777" w:rsidR="003F788B" w:rsidRPr="004C17A1" w:rsidRDefault="003F788B" w:rsidP="003F788B">
      <w:pPr>
        <w:pStyle w:val="NormalWeb"/>
        <w:rPr>
          <w:b/>
          <w:bCs/>
        </w:rPr>
      </w:pPr>
      <w:r>
        <w:rPr>
          <w:b/>
          <w:bCs/>
        </w:rPr>
        <w:t xml:space="preserve">Legal Lesson Learned:  Hopefully the family of this fallen firefighter can now find assets of the Islamic Republic of Iran which can be seized to pay off this judgment. </w:t>
      </w:r>
    </w:p>
    <w:p w14:paraId="2D424A0F" w14:textId="77777777" w:rsidR="003F788B" w:rsidRDefault="003F788B" w:rsidP="00F326E5">
      <w:pPr>
        <w:pStyle w:val="NoSpacing"/>
        <w:rPr>
          <w:rFonts w:ascii="Arial Black" w:hAnsi="Arial Black"/>
          <w:sz w:val="28"/>
          <w:szCs w:val="28"/>
        </w:rPr>
      </w:pPr>
    </w:p>
    <w:p w14:paraId="57AE8773" w14:textId="77777777" w:rsidR="003F788B" w:rsidRDefault="003F788B" w:rsidP="00F326E5">
      <w:pPr>
        <w:pStyle w:val="NoSpacing"/>
        <w:rPr>
          <w:rFonts w:ascii="Arial Black" w:hAnsi="Arial Black"/>
          <w:sz w:val="28"/>
          <w:szCs w:val="28"/>
        </w:rPr>
      </w:pPr>
    </w:p>
    <w:p w14:paraId="580851E1" w14:textId="77777777" w:rsidR="003F788B" w:rsidRDefault="003F788B" w:rsidP="00F326E5">
      <w:pPr>
        <w:pStyle w:val="NoSpacing"/>
        <w:rPr>
          <w:rFonts w:ascii="Arial Black" w:hAnsi="Arial Black"/>
          <w:sz w:val="28"/>
          <w:szCs w:val="28"/>
        </w:rPr>
      </w:pPr>
    </w:p>
    <w:p w14:paraId="1616435F" w14:textId="77777777" w:rsidR="003F788B" w:rsidRDefault="003F788B" w:rsidP="00F326E5">
      <w:pPr>
        <w:pStyle w:val="NoSpacing"/>
        <w:rPr>
          <w:rFonts w:ascii="Arial Black" w:hAnsi="Arial Black"/>
          <w:sz w:val="28"/>
          <w:szCs w:val="28"/>
        </w:rPr>
      </w:pPr>
    </w:p>
    <w:p w14:paraId="27DBB88B" w14:textId="16B94DD3" w:rsidR="00AE32D3" w:rsidRDefault="00AB637D" w:rsidP="00F326E5">
      <w:pPr>
        <w:pStyle w:val="NoSpacing"/>
        <w:rPr>
          <w:rFonts w:ascii="Arial Black" w:hAnsi="Arial Black"/>
          <w:sz w:val="28"/>
          <w:szCs w:val="28"/>
        </w:rPr>
      </w:pPr>
      <w:r>
        <w:rPr>
          <w:rFonts w:ascii="Arial Black" w:hAnsi="Arial Black"/>
          <w:sz w:val="28"/>
          <w:szCs w:val="28"/>
        </w:rPr>
        <w:t>3-</w:t>
      </w:r>
      <w:r w:rsidR="00ED4EAF">
        <w:rPr>
          <w:rFonts w:ascii="Arial Black" w:hAnsi="Arial Black"/>
          <w:sz w:val="28"/>
          <w:szCs w:val="28"/>
        </w:rPr>
        <w:t>49</w:t>
      </w:r>
    </w:p>
    <w:p w14:paraId="1B102B84" w14:textId="77777777" w:rsidR="00AB637D" w:rsidRDefault="00AB637D" w:rsidP="00AB637D">
      <w:pPr>
        <w:pStyle w:val="NormalWeb"/>
        <w:rPr>
          <w:rFonts w:ascii="Arial Black" w:hAnsi="Arial Black"/>
          <w:sz w:val="28"/>
          <w:szCs w:val="28"/>
        </w:rPr>
      </w:pPr>
      <w:r>
        <w:rPr>
          <w:rFonts w:ascii="Arial Black" w:hAnsi="Arial Black"/>
          <w:sz w:val="28"/>
          <w:szCs w:val="28"/>
        </w:rPr>
        <w:t>MD: ACTIVE SHOOTER - TEMP EMPLOYEE KILLED 3, INJURED 3 - WAREHOUSE &amp; TEMP CO. NO PRIOR WARNING</w:t>
      </w:r>
    </w:p>
    <w:p w14:paraId="56622F42" w14:textId="77777777" w:rsidR="00AB637D" w:rsidRDefault="00AB637D" w:rsidP="00AB637D">
      <w:pPr>
        <w:pStyle w:val="NormalWeb"/>
      </w:pPr>
      <w:r>
        <w:t xml:space="preserve">On March 2, 2023, in </w:t>
      </w:r>
      <w:proofErr w:type="spellStart"/>
      <w:r w:rsidRPr="00E84230">
        <w:rPr>
          <w:u w:val="single"/>
        </w:rPr>
        <w:t>Haissaun</w:t>
      </w:r>
      <w:proofErr w:type="spellEnd"/>
      <w:r w:rsidRPr="00E84230">
        <w:rPr>
          <w:u w:val="single"/>
        </w:rPr>
        <w:t xml:space="preserve"> Mitchell. </w:t>
      </w:r>
      <w:r>
        <w:rPr>
          <w:u w:val="single"/>
        </w:rPr>
        <w:t>e</w:t>
      </w:r>
      <w:r w:rsidRPr="00E84230">
        <w:rPr>
          <w:u w:val="single"/>
        </w:rPr>
        <w:t>t al. v. Rite Aid of Maryland, et al</w:t>
      </w:r>
      <w:r>
        <w:t>., Court of Special Appeals of Maryland held (3 to 0) that the Rite Aid Distribution Center and the Temp company that hired her had no prior warning that the temp employee, who had only worked eight shifts, was going to be an active shooter when she tried to cut in line to clock in and fellow workers stopped her.  Three co-workers who survived the shooting (all from Mitchell family) were all covered by workers comp. and then sued for damages.  Court ruled: “</w:t>
      </w:r>
      <w:r w:rsidRPr="00D81AE3">
        <w:rPr>
          <w:rStyle w:val="markedcontent"/>
        </w:rPr>
        <w:t xml:space="preserve">It is a somber and sobering fact that the steady increase in the number of </w:t>
      </w:r>
      <w:proofErr w:type="gramStart"/>
      <w:r w:rsidRPr="00D81AE3">
        <w:rPr>
          <w:rStyle w:val="markedcontent"/>
        </w:rPr>
        <w:t>mass</w:t>
      </w:r>
      <w:proofErr w:type="gramEnd"/>
      <w:r>
        <w:rPr>
          <w:rStyle w:val="markedcontent"/>
        </w:rPr>
        <w:t xml:space="preserve"> </w:t>
      </w:r>
      <w:r w:rsidRPr="00D81AE3">
        <w:rPr>
          <w:rStyle w:val="markedcontent"/>
        </w:rPr>
        <w:t>shootings1 has impelled both public and private organizations to begin considering security</w:t>
      </w:r>
      <w:r>
        <w:rPr>
          <w:rStyle w:val="markedcontent"/>
        </w:rPr>
        <w:t xml:space="preserve"> </w:t>
      </w:r>
      <w:r w:rsidRPr="00D81AE3">
        <w:rPr>
          <w:rStyle w:val="markedcontent"/>
        </w:rPr>
        <w:t>measures responsive to that risk.</w:t>
      </w:r>
      <w:r>
        <w:rPr>
          <w:rStyle w:val="markedcontent"/>
        </w:rPr>
        <w:t xml:space="preserve"> </w:t>
      </w:r>
      <w:r w:rsidRPr="00D81AE3">
        <w:rPr>
          <w:rStyle w:val="markedcontent"/>
        </w:rPr>
        <w:t>This appeal arises out of the tragic mass shooting that</w:t>
      </w:r>
      <w:r>
        <w:rPr>
          <w:rStyle w:val="markedcontent"/>
        </w:rPr>
        <w:t xml:space="preserve"> </w:t>
      </w:r>
      <w:r w:rsidRPr="00D81AE3">
        <w:rPr>
          <w:rStyle w:val="markedcontent"/>
        </w:rPr>
        <w:t>occurred on September 20, 2018, at a warehouse facility leased by appellee, Rite Aid of</w:t>
      </w:r>
      <w:r>
        <w:rPr>
          <w:rStyle w:val="markedcontent"/>
        </w:rPr>
        <w:t xml:space="preserve"> </w:t>
      </w:r>
      <w:r w:rsidRPr="00D81AE3">
        <w:rPr>
          <w:rStyle w:val="markedcontent"/>
        </w:rPr>
        <w:t>Maryland, Inc. (</w:t>
      </w:r>
      <w:r>
        <w:rPr>
          <w:rStyle w:val="markedcontent"/>
        </w:rPr>
        <w:t>‘</w:t>
      </w:r>
      <w:r w:rsidRPr="00D81AE3">
        <w:rPr>
          <w:rStyle w:val="markedcontent"/>
        </w:rPr>
        <w:t>Rite Aid</w:t>
      </w:r>
      <w:r>
        <w:rPr>
          <w:rStyle w:val="markedcontent"/>
        </w:rPr>
        <w:t>’</w:t>
      </w:r>
      <w:r w:rsidRPr="00D81AE3">
        <w:rPr>
          <w:rStyle w:val="markedcontent"/>
        </w:rPr>
        <w:t xml:space="preserve">) in Aberdeen, Maryland. The shooter, </w:t>
      </w:r>
      <w:proofErr w:type="spellStart"/>
      <w:r w:rsidRPr="00D81AE3">
        <w:rPr>
          <w:rStyle w:val="markedcontent"/>
        </w:rPr>
        <w:t>Snochia</w:t>
      </w:r>
      <w:proofErr w:type="spellEnd"/>
      <w:r w:rsidRPr="00D81AE3">
        <w:rPr>
          <w:rStyle w:val="markedcontent"/>
        </w:rPr>
        <w:t xml:space="preserve"> </w:t>
      </w:r>
      <w:proofErr w:type="gramStart"/>
      <w:r w:rsidRPr="00D81AE3">
        <w:rPr>
          <w:rStyle w:val="markedcontent"/>
        </w:rPr>
        <w:t>Moseley</w:t>
      </w:r>
      <w:r>
        <w:rPr>
          <w:rStyle w:val="markedcontent"/>
        </w:rPr>
        <w:t xml:space="preserve"> </w:t>
      </w:r>
      <w:r w:rsidRPr="00D81AE3">
        <w:rPr>
          <w:rStyle w:val="markedcontent"/>
        </w:rPr>
        <w:t>(</w:t>
      </w:r>
      <w:r>
        <w:rPr>
          <w:rStyle w:val="markedcontent"/>
        </w:rPr>
        <w:t>‘</w:t>
      </w:r>
      <w:proofErr w:type="gramEnd"/>
      <w:r w:rsidRPr="00D81AE3">
        <w:rPr>
          <w:rStyle w:val="markedcontent"/>
        </w:rPr>
        <w:t>Moseley</w:t>
      </w:r>
      <w:r>
        <w:rPr>
          <w:rStyle w:val="markedcontent"/>
        </w:rPr>
        <w:t>’</w:t>
      </w:r>
      <w:r w:rsidRPr="00D81AE3">
        <w:rPr>
          <w:rStyle w:val="markedcontent"/>
        </w:rPr>
        <w:t xml:space="preserve">), was an employee of appellee, Abacus </w:t>
      </w:r>
      <w:proofErr w:type="gramStart"/>
      <w:r w:rsidRPr="00D81AE3">
        <w:rPr>
          <w:rStyle w:val="markedcontent"/>
        </w:rPr>
        <w:t>Corporation (</w:t>
      </w:r>
      <w:r>
        <w:rPr>
          <w:rStyle w:val="markedcontent"/>
        </w:rPr>
        <w:t>‘</w:t>
      </w:r>
      <w:proofErr w:type="gramEnd"/>
      <w:r w:rsidRPr="00D81AE3">
        <w:rPr>
          <w:rStyle w:val="markedcontent"/>
        </w:rPr>
        <w:t>Abacus</w:t>
      </w:r>
      <w:r>
        <w:rPr>
          <w:rStyle w:val="markedcontent"/>
        </w:rPr>
        <w:t>’</w:t>
      </w:r>
      <w:r w:rsidRPr="00D81AE3">
        <w:rPr>
          <w:rStyle w:val="markedcontent"/>
        </w:rPr>
        <w:t>), temporarily</w:t>
      </w:r>
      <w:r>
        <w:rPr>
          <w:rStyle w:val="markedcontent"/>
        </w:rPr>
        <w:t xml:space="preserve"> </w:t>
      </w:r>
      <w:r w:rsidRPr="00D81AE3">
        <w:rPr>
          <w:rStyle w:val="markedcontent"/>
        </w:rPr>
        <w:t>assigned to work in Rite Aid’s facility. On the day in question, Moseley gained access to the facility using her ID badge and proceeded to open fire on her coworkers, killing three</w:t>
      </w:r>
      <w:r>
        <w:rPr>
          <w:rStyle w:val="markedcontent"/>
        </w:rPr>
        <w:t xml:space="preserve"> </w:t>
      </w:r>
      <w:r w:rsidRPr="00D81AE3">
        <w:rPr>
          <w:rStyle w:val="markedcontent"/>
        </w:rPr>
        <w:t>and wounding three more.</w:t>
      </w:r>
      <w:r>
        <w:rPr>
          <w:rStyle w:val="markedcontent"/>
        </w:rPr>
        <w:t xml:space="preserve"> *** </w:t>
      </w:r>
      <w:r w:rsidRPr="00D81AE3">
        <w:rPr>
          <w:rStyle w:val="markedcontent"/>
        </w:rPr>
        <w:t>We affirm</w:t>
      </w:r>
      <w:r>
        <w:rPr>
          <w:rStyle w:val="markedcontent"/>
        </w:rPr>
        <w:t xml:space="preserve"> … </w:t>
      </w:r>
      <w:r w:rsidRPr="00D81AE3">
        <w:rPr>
          <w:rStyle w:val="markedcontent"/>
        </w:rPr>
        <w:t>the circuit court’s alternative grant of summary judgment in</w:t>
      </w:r>
      <w:r>
        <w:rPr>
          <w:rStyle w:val="markedcontent"/>
        </w:rPr>
        <w:t xml:space="preserve"> </w:t>
      </w:r>
      <w:r w:rsidRPr="00D81AE3">
        <w:rPr>
          <w:rStyle w:val="markedcontent"/>
        </w:rPr>
        <w:t>favor of Rite Aid on the Mitchells’ premises liability claim because the Mitchells failed to present any admissible evidence establishing that Moseley’s tragic shooting spree was</w:t>
      </w:r>
      <w:r>
        <w:rPr>
          <w:rStyle w:val="markedcontent"/>
        </w:rPr>
        <w:t xml:space="preserve"> </w:t>
      </w:r>
      <w:r w:rsidRPr="00D81AE3">
        <w:rPr>
          <w:rStyle w:val="markedcontent"/>
        </w:rPr>
        <w:t>foreseeable.</w:t>
      </w:r>
      <w:r>
        <w:rPr>
          <w:rStyle w:val="markedcontent"/>
        </w:rPr>
        <w:t xml:space="preserve"> *** </w:t>
      </w:r>
      <w:r w:rsidRPr="00F014DB">
        <w:rPr>
          <w:rStyle w:val="markedcontent"/>
        </w:rPr>
        <w:t>We caution that this opinion should not be read to suggest that mass shootings are</w:t>
      </w:r>
      <w:r>
        <w:rPr>
          <w:rStyle w:val="markedcontent"/>
        </w:rPr>
        <w:t xml:space="preserve"> </w:t>
      </w:r>
      <w:r w:rsidRPr="00F014DB">
        <w:rPr>
          <w:rStyle w:val="markedcontent"/>
        </w:rPr>
        <w:t>unforeseeable as a matter of law. As grim statistics and the development of the law in our</w:t>
      </w:r>
      <w:r>
        <w:rPr>
          <w:rStyle w:val="markedcontent"/>
        </w:rPr>
        <w:t xml:space="preserve"> </w:t>
      </w:r>
      <w:r w:rsidRPr="00F014DB">
        <w:rPr>
          <w:rStyle w:val="markedcontent"/>
        </w:rPr>
        <w:t>sister states foreshadow, the standards of care surrounding a business owner’s duty to</w:t>
      </w:r>
      <w:r>
        <w:rPr>
          <w:rStyle w:val="markedcontent"/>
        </w:rPr>
        <w:t xml:space="preserve"> </w:t>
      </w:r>
      <w:r w:rsidRPr="00F014DB">
        <w:rPr>
          <w:rStyle w:val="markedcontent"/>
        </w:rPr>
        <w:t xml:space="preserve">protect invitees from gun violence are not static and will continue to evolve </w:t>
      </w:r>
      <w:proofErr w:type="gramStart"/>
      <w:r w:rsidRPr="00F014DB">
        <w:rPr>
          <w:rStyle w:val="markedcontent"/>
        </w:rPr>
        <w:t>in light of</w:t>
      </w:r>
      <w:proofErr w:type="gramEnd"/>
      <w:r>
        <w:rPr>
          <w:rStyle w:val="markedcontent"/>
        </w:rPr>
        <w:t xml:space="preserve"> ‘</w:t>
      </w:r>
      <w:r w:rsidRPr="00F014DB">
        <w:rPr>
          <w:rStyle w:val="markedcontent"/>
        </w:rPr>
        <w:t>common sense perceptions of the risks created by various conditions and circumstances.</w:t>
      </w:r>
      <w:r>
        <w:rPr>
          <w:rStyle w:val="markedcontent"/>
        </w:rPr>
        <w:t xml:space="preserve">’ </w:t>
      </w:r>
      <w:r w:rsidRPr="00F014DB">
        <w:rPr>
          <w:rStyle w:val="markedcontent"/>
        </w:rPr>
        <w:lastRenderedPageBreak/>
        <w:t>Axelrod v. Cinemark Holdings, Inc., 65 F. Supp. 3d 1093, 1100 (D. Colo. 2014) (quoting</w:t>
      </w:r>
      <w:r>
        <w:rPr>
          <w:rStyle w:val="markedcontent"/>
        </w:rPr>
        <w:t xml:space="preserve"> </w:t>
      </w:r>
      <w:r w:rsidRPr="00F014DB">
        <w:rPr>
          <w:rStyle w:val="markedcontent"/>
        </w:rPr>
        <w:t>Taco Bell, Inc. v. Lannon, 744 P.2d 43, 48 (Colo. 1987)).</w:t>
      </w:r>
      <w:r>
        <w:rPr>
          <w:rStyle w:val="markedcontent"/>
        </w:rPr>
        <w:t xml:space="preserve">” </w:t>
      </w:r>
      <w:hyperlink r:id="rId691" w:history="1">
        <w:r w:rsidRPr="006D212A">
          <w:rPr>
            <w:rStyle w:val="Hyperlink"/>
            <w:rFonts w:eastAsiaTheme="majorEastAsia"/>
          </w:rPr>
          <w:t>https://mdcourts.gov/data/opinions/cosa/2023/0021s22.pdf</w:t>
        </w:r>
      </w:hyperlink>
      <w:r>
        <w:t xml:space="preserve"> </w:t>
      </w:r>
    </w:p>
    <w:p w14:paraId="0FBBDBAF" w14:textId="77777777" w:rsidR="00AB637D" w:rsidRPr="00F014DB" w:rsidRDefault="00AB637D" w:rsidP="00AB637D">
      <w:pPr>
        <w:pStyle w:val="NormalWeb"/>
        <w:ind w:left="720"/>
      </w:pPr>
      <w:r>
        <w:rPr>
          <w:rStyle w:val="markedcontent"/>
        </w:rPr>
        <w:t>“</w:t>
      </w:r>
      <w:proofErr w:type="spellStart"/>
      <w:r w:rsidRPr="00F014DB">
        <w:rPr>
          <w:rStyle w:val="markedcontent"/>
        </w:rPr>
        <w:t>Snochia</w:t>
      </w:r>
      <w:proofErr w:type="spellEnd"/>
      <w:r w:rsidRPr="00F014DB">
        <w:rPr>
          <w:rStyle w:val="markedcontent"/>
        </w:rPr>
        <w:t xml:space="preserve"> Moseley was a temporary worker at the Rite Aid Distribution Center in</w:t>
      </w:r>
      <w:r w:rsidRPr="00F014DB">
        <w:br/>
      </w:r>
      <w:r w:rsidRPr="00F014DB">
        <w:rPr>
          <w:rStyle w:val="markedcontent"/>
        </w:rPr>
        <w:t>Aberdeen, Maryland. Prior to September 20, 2018, she had only worked approximately</w:t>
      </w:r>
      <w:r w:rsidRPr="00F014DB">
        <w:br/>
      </w:r>
      <w:r w:rsidRPr="00F014DB">
        <w:rPr>
          <w:rStyle w:val="markedcontent"/>
        </w:rPr>
        <w:t>eight shifts at the facility. On that fateful September morning, Moseley reportedly agitated</w:t>
      </w:r>
      <w:r>
        <w:rPr>
          <w:rStyle w:val="markedcontent"/>
        </w:rPr>
        <w:t xml:space="preserve"> </w:t>
      </w:r>
      <w:r w:rsidRPr="00F014DB">
        <w:rPr>
          <w:rStyle w:val="markedcontent"/>
        </w:rPr>
        <w:t>other workers when she cut in front of them to check into work. She then left the facility</w:t>
      </w:r>
      <w:r>
        <w:rPr>
          <w:rStyle w:val="markedcontent"/>
        </w:rPr>
        <w:t xml:space="preserve"> </w:t>
      </w:r>
      <w:r w:rsidRPr="00F014DB">
        <w:rPr>
          <w:rStyle w:val="markedcontent"/>
        </w:rPr>
        <w:t>for a brief period and returned with a handgun.</w:t>
      </w:r>
      <w:r>
        <w:rPr>
          <w:rStyle w:val="markedcontent"/>
        </w:rPr>
        <w:t xml:space="preserve"> </w:t>
      </w:r>
      <w:r w:rsidRPr="00F014DB">
        <w:rPr>
          <w:rStyle w:val="markedcontent"/>
        </w:rPr>
        <w:t>At approximately 9:00 a.m., Moseley re-entered the Rite Aid Distribution Center’s</w:t>
      </w:r>
      <w:r>
        <w:rPr>
          <w:rStyle w:val="markedcontent"/>
        </w:rPr>
        <w:t xml:space="preserve"> </w:t>
      </w:r>
      <w:r w:rsidRPr="00F014DB">
        <w:rPr>
          <w:rStyle w:val="markedcontent"/>
        </w:rPr>
        <w:t>perimeter gate using her access badge. After parking her car, she got out and opened fire</w:t>
      </w:r>
      <w:r>
        <w:rPr>
          <w:rStyle w:val="markedcontent"/>
        </w:rPr>
        <w:t xml:space="preserve"> </w:t>
      </w:r>
      <w:r w:rsidRPr="00F014DB">
        <w:rPr>
          <w:rStyle w:val="markedcontent"/>
        </w:rPr>
        <w:t>on a group of workers congregated outside the building. Moseley proceeded to enter the</w:t>
      </w:r>
      <w:r>
        <w:rPr>
          <w:rStyle w:val="markedcontent"/>
        </w:rPr>
        <w:t xml:space="preserve"> </w:t>
      </w:r>
      <w:r w:rsidRPr="00F014DB">
        <w:rPr>
          <w:rStyle w:val="markedcontent"/>
        </w:rPr>
        <w:t xml:space="preserve">building through the front entrance and into the break room, where </w:t>
      </w:r>
      <w:proofErr w:type="spellStart"/>
      <w:r w:rsidRPr="00F014DB">
        <w:rPr>
          <w:rStyle w:val="markedcontent"/>
        </w:rPr>
        <w:t>Haissaun</w:t>
      </w:r>
      <w:proofErr w:type="spellEnd"/>
      <w:r w:rsidRPr="00F014DB">
        <w:rPr>
          <w:rStyle w:val="markedcontent"/>
        </w:rPr>
        <w:t xml:space="preserve"> and Shyheim</w:t>
      </w:r>
      <w:r>
        <w:rPr>
          <w:rStyle w:val="markedcontent"/>
        </w:rPr>
        <w:t xml:space="preserve"> [Mitchell] </w:t>
      </w:r>
      <w:r w:rsidRPr="00F014DB">
        <w:rPr>
          <w:rStyle w:val="markedcontent"/>
        </w:rPr>
        <w:t>were taking their break. *** Moseley’s deadly assault occurred within a span of five minutes. Harford County</w:t>
      </w:r>
      <w:r>
        <w:rPr>
          <w:rStyle w:val="markedcontent"/>
        </w:rPr>
        <w:t xml:space="preserve"> </w:t>
      </w:r>
      <w:r w:rsidRPr="00F014DB">
        <w:rPr>
          <w:rStyle w:val="markedcontent"/>
        </w:rPr>
        <w:t>Sheriff’s Office deputies, Maryland State Police, and EMS personnel began responding to</w:t>
      </w:r>
      <w:r>
        <w:rPr>
          <w:rStyle w:val="markedcontent"/>
        </w:rPr>
        <w:t xml:space="preserve"> </w:t>
      </w:r>
      <w:r w:rsidRPr="00F014DB">
        <w:rPr>
          <w:rStyle w:val="markedcontent"/>
        </w:rPr>
        <w:t>the active shooter situation at 9:11 a.m., but by that time six victims had been shot by</w:t>
      </w:r>
      <w:r>
        <w:rPr>
          <w:rStyle w:val="markedcontent"/>
        </w:rPr>
        <w:t xml:space="preserve"> </w:t>
      </w:r>
      <w:r w:rsidRPr="00F014DB">
        <w:rPr>
          <w:rStyle w:val="markedcontent"/>
        </w:rPr>
        <w:t>Moseley, three of whom ultimately died. Moseley was found at the scene by Harford</w:t>
      </w:r>
      <w:r>
        <w:rPr>
          <w:rStyle w:val="markedcontent"/>
        </w:rPr>
        <w:t xml:space="preserve"> </w:t>
      </w:r>
      <w:r w:rsidRPr="00F014DB">
        <w:rPr>
          <w:rStyle w:val="markedcontent"/>
        </w:rPr>
        <w:t>County law enforcement officers with a self-inflicted gunshot wound to the head.</w:t>
      </w:r>
      <w:r>
        <w:rPr>
          <w:rStyle w:val="markedcontent"/>
        </w:rPr>
        <w:t>”</w:t>
      </w:r>
    </w:p>
    <w:p w14:paraId="34E780D9" w14:textId="77777777" w:rsidR="00AB637D" w:rsidRPr="00CD32F9" w:rsidRDefault="00AB637D" w:rsidP="00AB637D">
      <w:pPr>
        <w:pStyle w:val="NormalWeb"/>
        <w:rPr>
          <w:b/>
          <w:bCs/>
        </w:rPr>
      </w:pPr>
      <w:r w:rsidRPr="00CD32F9">
        <w:rPr>
          <w:b/>
          <w:bCs/>
        </w:rPr>
        <w:t>Legal Lesson Learned:</w:t>
      </w:r>
      <w:r>
        <w:rPr>
          <w:b/>
          <w:bCs/>
        </w:rPr>
        <w:t xml:space="preserve"> The Temp company that hired the shooter wisely had conducted a state &amp; federal criminal history and administered a drug test. </w:t>
      </w:r>
    </w:p>
    <w:p w14:paraId="1541DEE1" w14:textId="77777777" w:rsidR="00AB637D" w:rsidRDefault="00AB637D" w:rsidP="00F326E5">
      <w:pPr>
        <w:pStyle w:val="NoSpacing"/>
        <w:rPr>
          <w:rFonts w:ascii="Arial Black" w:hAnsi="Arial Black"/>
          <w:sz w:val="28"/>
          <w:szCs w:val="28"/>
        </w:rPr>
      </w:pPr>
    </w:p>
    <w:p w14:paraId="42A60440" w14:textId="77777777" w:rsidR="00AB637D" w:rsidRDefault="00AB637D" w:rsidP="00F326E5">
      <w:pPr>
        <w:pStyle w:val="NoSpacing"/>
        <w:rPr>
          <w:rFonts w:ascii="Arial Black" w:hAnsi="Arial Black"/>
          <w:sz w:val="28"/>
          <w:szCs w:val="28"/>
        </w:rPr>
      </w:pPr>
    </w:p>
    <w:p w14:paraId="29362A6D" w14:textId="77777777" w:rsidR="00AB637D" w:rsidRDefault="00AB637D" w:rsidP="00F326E5">
      <w:pPr>
        <w:pStyle w:val="NoSpacing"/>
        <w:rPr>
          <w:rFonts w:ascii="Arial Black" w:hAnsi="Arial Black"/>
          <w:sz w:val="28"/>
          <w:szCs w:val="28"/>
        </w:rPr>
      </w:pPr>
    </w:p>
    <w:p w14:paraId="4A796064" w14:textId="77777777" w:rsidR="007959C9" w:rsidRDefault="007959C9" w:rsidP="00F326E5">
      <w:pPr>
        <w:pStyle w:val="NoSpacing"/>
        <w:rPr>
          <w:rFonts w:ascii="Arial Black" w:hAnsi="Arial Black"/>
          <w:sz w:val="28"/>
          <w:szCs w:val="28"/>
        </w:rPr>
      </w:pPr>
    </w:p>
    <w:p w14:paraId="2BECF44C" w14:textId="3C64D396" w:rsidR="007959C9" w:rsidRDefault="007959C9" w:rsidP="00F326E5">
      <w:pPr>
        <w:pStyle w:val="NoSpacing"/>
        <w:rPr>
          <w:rFonts w:ascii="Arial Black" w:hAnsi="Arial Black"/>
          <w:sz w:val="28"/>
          <w:szCs w:val="28"/>
        </w:rPr>
      </w:pPr>
    </w:p>
    <w:p w14:paraId="03160261" w14:textId="7D073F12" w:rsidR="007959C9" w:rsidRDefault="007959C9" w:rsidP="00F326E5">
      <w:pPr>
        <w:pStyle w:val="NoSpacing"/>
        <w:rPr>
          <w:rFonts w:ascii="Arial Black" w:hAnsi="Arial Black"/>
          <w:sz w:val="28"/>
          <w:szCs w:val="28"/>
        </w:rPr>
      </w:pPr>
      <w:r>
        <w:rPr>
          <w:rFonts w:ascii="Arial Black" w:hAnsi="Arial Black"/>
          <w:sz w:val="28"/>
          <w:szCs w:val="28"/>
        </w:rPr>
        <w:t>3-48</w:t>
      </w:r>
    </w:p>
    <w:p w14:paraId="7D0B38BC" w14:textId="77777777" w:rsidR="007959C9" w:rsidRDefault="007959C9" w:rsidP="00F326E5">
      <w:pPr>
        <w:pStyle w:val="NoSpacing"/>
        <w:rPr>
          <w:rFonts w:ascii="Arial Black" w:hAnsi="Arial Black"/>
          <w:sz w:val="28"/>
          <w:szCs w:val="28"/>
        </w:rPr>
      </w:pPr>
    </w:p>
    <w:p w14:paraId="79D92486" w14:textId="77777777" w:rsidR="007959C9" w:rsidRDefault="007959C9" w:rsidP="007959C9">
      <w:pPr>
        <w:pStyle w:val="Heading1"/>
        <w:rPr>
          <w:rFonts w:ascii="Arial Black" w:hAnsi="Arial Black"/>
          <w:sz w:val="28"/>
          <w:szCs w:val="28"/>
        </w:rPr>
      </w:pPr>
      <w:r>
        <w:rPr>
          <w:rFonts w:ascii="Arial Black" w:hAnsi="Arial Black"/>
          <w:sz w:val="28"/>
          <w:szCs w:val="28"/>
        </w:rPr>
        <w:t>NY: NEW CONCEALED CARRY LAW – U.S. SUP. COURT TEMP. NOT BLOCKING – AWAIT 2</w:t>
      </w:r>
      <w:r w:rsidRPr="00150F15">
        <w:rPr>
          <w:rFonts w:ascii="Arial Black" w:hAnsi="Arial Black"/>
          <w:sz w:val="28"/>
          <w:szCs w:val="28"/>
          <w:vertAlign w:val="superscript"/>
        </w:rPr>
        <w:t>nd</w:t>
      </w:r>
      <w:r>
        <w:rPr>
          <w:rFonts w:ascii="Arial Black" w:hAnsi="Arial Black"/>
          <w:sz w:val="28"/>
          <w:szCs w:val="28"/>
        </w:rPr>
        <w:t xml:space="preserve"> CIRCUIT DECISION</w:t>
      </w:r>
    </w:p>
    <w:p w14:paraId="1A5B0ECF" w14:textId="77777777" w:rsidR="007959C9" w:rsidRDefault="007959C9" w:rsidP="007959C9">
      <w:pPr>
        <w:pStyle w:val="Heading1"/>
        <w:rPr>
          <w:b w:val="0"/>
          <w:bCs w:val="0"/>
          <w:sz w:val="24"/>
          <w:szCs w:val="24"/>
        </w:rPr>
      </w:pPr>
      <w:r w:rsidRPr="00327308">
        <w:rPr>
          <w:b w:val="0"/>
          <w:bCs w:val="0"/>
          <w:sz w:val="24"/>
          <w:szCs w:val="24"/>
        </w:rPr>
        <w:t xml:space="preserve">On </w:t>
      </w:r>
      <w:r>
        <w:rPr>
          <w:b w:val="0"/>
          <w:bCs w:val="0"/>
          <w:sz w:val="24"/>
          <w:szCs w:val="24"/>
        </w:rPr>
        <w:t xml:space="preserve">Jan. 11, 2023, in </w:t>
      </w:r>
      <w:r w:rsidRPr="00327308">
        <w:rPr>
          <w:b w:val="0"/>
          <w:bCs w:val="0"/>
          <w:sz w:val="24"/>
          <w:szCs w:val="24"/>
          <w:u w:val="single"/>
        </w:rPr>
        <w:t>Ivan Antonyuk, et al. v. Steven Nigrelli, In His Official Capacity As Acting Superintendent of New York State Police, et al</w:t>
      </w:r>
      <w:r>
        <w:rPr>
          <w:b w:val="0"/>
          <w:bCs w:val="0"/>
          <w:sz w:val="24"/>
          <w:szCs w:val="24"/>
        </w:rPr>
        <w:t>., the U.S. Supreme Court issued an order that keeps State of New York’s new “Concealed Carry Improvement Act” (July 1, 2022) in effect while the U.S. Court of Appeals for 2</w:t>
      </w:r>
      <w:r w:rsidRPr="00327308">
        <w:rPr>
          <w:b w:val="0"/>
          <w:bCs w:val="0"/>
          <w:sz w:val="24"/>
          <w:szCs w:val="24"/>
          <w:vertAlign w:val="superscript"/>
        </w:rPr>
        <w:t>nd</w:t>
      </w:r>
      <w:r>
        <w:rPr>
          <w:b w:val="0"/>
          <w:bCs w:val="0"/>
          <w:sz w:val="24"/>
          <w:szCs w:val="24"/>
        </w:rPr>
        <w:t xml:space="preserve"> Circuit hears oral argument and issues their opinion. Two Supreme Court Justices have urged the 2</w:t>
      </w:r>
      <w:r w:rsidRPr="00C35467">
        <w:rPr>
          <w:b w:val="0"/>
          <w:bCs w:val="0"/>
          <w:sz w:val="24"/>
          <w:szCs w:val="24"/>
          <w:vertAlign w:val="superscript"/>
        </w:rPr>
        <w:t>nd</w:t>
      </w:r>
      <w:r>
        <w:rPr>
          <w:b w:val="0"/>
          <w:bCs w:val="0"/>
          <w:sz w:val="24"/>
          <w:szCs w:val="24"/>
        </w:rPr>
        <w:t xml:space="preserve"> Circuit to decide the case on an expedited basis; see statement by Justice Samuel Alito, joined by Justice Clarence Thomas. </w:t>
      </w:r>
    </w:p>
    <w:p w14:paraId="3253E4DB" w14:textId="77777777" w:rsidR="007959C9" w:rsidRPr="00AA18FA" w:rsidRDefault="007959C9" w:rsidP="007959C9">
      <w:pPr>
        <w:pStyle w:val="Heading1"/>
        <w:ind w:left="720"/>
        <w:rPr>
          <w:rStyle w:val="markedcontent"/>
          <w:rFonts w:eastAsiaTheme="majorEastAsia"/>
          <w:b w:val="0"/>
          <w:bCs w:val="0"/>
          <w:sz w:val="24"/>
          <w:szCs w:val="24"/>
        </w:rPr>
      </w:pPr>
      <w:r>
        <w:rPr>
          <w:b w:val="0"/>
          <w:bCs w:val="0"/>
          <w:sz w:val="24"/>
          <w:szCs w:val="24"/>
        </w:rPr>
        <w:t>“</w:t>
      </w:r>
      <w:r w:rsidRPr="00AA18FA">
        <w:rPr>
          <w:rStyle w:val="markedcontent"/>
          <w:rFonts w:eastAsiaTheme="majorEastAsia"/>
          <w:b w:val="0"/>
          <w:bCs w:val="0"/>
          <w:sz w:val="24"/>
          <w:szCs w:val="24"/>
        </w:rPr>
        <w:t xml:space="preserve">The New York law at issue in this application presents novel and serious questions under both the First and the Second Amendments. The District Court found, in a thorough opinion, that the applicants were likely to succeed </w:t>
      </w:r>
      <w:proofErr w:type="gramStart"/>
      <w:r w:rsidRPr="00AA18FA">
        <w:rPr>
          <w:rStyle w:val="markedcontent"/>
          <w:rFonts w:eastAsiaTheme="majorEastAsia"/>
          <w:b w:val="0"/>
          <w:bCs w:val="0"/>
          <w:sz w:val="24"/>
          <w:szCs w:val="24"/>
        </w:rPr>
        <w:t>on</w:t>
      </w:r>
      <w:proofErr w:type="gramEnd"/>
      <w:r w:rsidRPr="00AA18FA">
        <w:rPr>
          <w:rStyle w:val="markedcontent"/>
          <w:rFonts w:eastAsiaTheme="majorEastAsia"/>
          <w:b w:val="0"/>
          <w:bCs w:val="0"/>
          <w:sz w:val="24"/>
          <w:szCs w:val="24"/>
        </w:rPr>
        <w:t xml:space="preserve"> </w:t>
      </w:r>
      <w:proofErr w:type="gramStart"/>
      <w:r w:rsidRPr="00AA18FA">
        <w:rPr>
          <w:rStyle w:val="markedcontent"/>
          <w:rFonts w:eastAsiaTheme="majorEastAsia"/>
          <w:b w:val="0"/>
          <w:bCs w:val="0"/>
          <w:sz w:val="24"/>
          <w:szCs w:val="24"/>
        </w:rPr>
        <w:t>a number of</w:t>
      </w:r>
      <w:proofErr w:type="gramEnd"/>
      <w:r w:rsidRPr="00AA18FA">
        <w:rPr>
          <w:rStyle w:val="markedcontent"/>
          <w:rFonts w:eastAsiaTheme="majorEastAsia"/>
          <w:b w:val="0"/>
          <w:bCs w:val="0"/>
          <w:sz w:val="24"/>
          <w:szCs w:val="24"/>
        </w:rPr>
        <w:t xml:space="preserve"> their claims, and it issued a preliminary injunction as to twelve provisions of the challenged law. With</w:t>
      </w:r>
      <w:r w:rsidRPr="00AA18FA">
        <w:rPr>
          <w:b w:val="0"/>
          <w:bCs w:val="0"/>
          <w:sz w:val="24"/>
          <w:szCs w:val="24"/>
        </w:rPr>
        <w:br/>
      </w:r>
      <w:r w:rsidRPr="00AA18FA">
        <w:rPr>
          <w:rStyle w:val="markedcontent"/>
          <w:rFonts w:eastAsiaTheme="majorEastAsia"/>
          <w:b w:val="0"/>
          <w:bCs w:val="0"/>
          <w:sz w:val="24"/>
          <w:szCs w:val="24"/>
        </w:rPr>
        <w:t xml:space="preserve">one exception, the Second Circuit issued a stay of the injunction in full, and in doing so did not provide any explanation for its ruling…. I understand the Court’s denial today to reflect respect for the Second Circuit’s procedures in managing its own docket, rather than expressing any view on the merits of the case. Applicants should not be deterred by today’s order from again seeking relief if the Second Circuit does not, within a reasonable time, provide an explanation for its stay order or expedite consideration of the </w:t>
      </w:r>
      <w:proofErr w:type="gramStart"/>
      <w:r w:rsidRPr="00AA18FA">
        <w:rPr>
          <w:rStyle w:val="markedcontent"/>
          <w:rFonts w:eastAsiaTheme="majorEastAsia"/>
          <w:b w:val="0"/>
          <w:bCs w:val="0"/>
          <w:sz w:val="24"/>
          <w:szCs w:val="24"/>
        </w:rPr>
        <w:t>appeal.”</w:t>
      </w:r>
      <w:proofErr w:type="gramEnd"/>
      <w:r w:rsidRPr="00AA18FA">
        <w:rPr>
          <w:rStyle w:val="markedcontent"/>
          <w:rFonts w:eastAsiaTheme="majorEastAsia"/>
          <w:b w:val="0"/>
          <w:bCs w:val="0"/>
          <w:sz w:val="24"/>
          <w:szCs w:val="24"/>
        </w:rPr>
        <w:t xml:space="preserve"> </w:t>
      </w:r>
      <w:hyperlink r:id="rId692" w:history="1">
        <w:r w:rsidRPr="00AA18FA">
          <w:rPr>
            <w:rStyle w:val="Hyperlink"/>
            <w:sz w:val="24"/>
            <w:szCs w:val="24"/>
          </w:rPr>
          <w:t>https://www.supremecourt.gov/opinions/22pdf/22a557_0pm1.pdf</w:t>
        </w:r>
      </w:hyperlink>
      <w:r w:rsidRPr="00AA18FA">
        <w:rPr>
          <w:rStyle w:val="markedcontent"/>
          <w:rFonts w:eastAsiaTheme="majorEastAsia"/>
          <w:b w:val="0"/>
          <w:bCs w:val="0"/>
          <w:sz w:val="24"/>
          <w:szCs w:val="24"/>
        </w:rPr>
        <w:t xml:space="preserve"> </w:t>
      </w:r>
    </w:p>
    <w:p w14:paraId="577F6E3D" w14:textId="77777777" w:rsidR="007959C9" w:rsidRDefault="007959C9" w:rsidP="007959C9">
      <w:pPr>
        <w:pStyle w:val="Heading1"/>
        <w:rPr>
          <w:b w:val="0"/>
          <w:bCs w:val="0"/>
          <w:sz w:val="24"/>
          <w:szCs w:val="24"/>
        </w:rPr>
      </w:pPr>
      <w:r>
        <w:rPr>
          <w:b w:val="0"/>
          <w:bCs w:val="0"/>
          <w:sz w:val="24"/>
          <w:szCs w:val="24"/>
        </w:rPr>
        <w:lastRenderedPageBreak/>
        <w:t>On Jan. 17, 2023, the City of New York has filed a brief with the 2</w:t>
      </w:r>
      <w:r w:rsidRPr="00761B43">
        <w:rPr>
          <w:b w:val="0"/>
          <w:bCs w:val="0"/>
          <w:sz w:val="24"/>
          <w:szCs w:val="24"/>
          <w:vertAlign w:val="superscript"/>
        </w:rPr>
        <w:t>nd</w:t>
      </w:r>
      <w:r>
        <w:rPr>
          <w:b w:val="0"/>
          <w:bCs w:val="0"/>
          <w:sz w:val="24"/>
          <w:szCs w:val="24"/>
        </w:rPr>
        <w:t xml:space="preserve"> Circuit describing the importance of the State of New York’s new concealed carry law, that prohibits firearms in “sensitive areas” like Times Square and allows licensing officials to consider the mental and criminal history of the applicant. </w:t>
      </w:r>
    </w:p>
    <w:p w14:paraId="4EB4FB57" w14:textId="77777777" w:rsidR="007959C9" w:rsidRPr="00AA18FA" w:rsidRDefault="007959C9" w:rsidP="007959C9">
      <w:pPr>
        <w:pStyle w:val="Heading1"/>
        <w:ind w:left="720"/>
        <w:rPr>
          <w:b w:val="0"/>
          <w:bCs w:val="0"/>
          <w:sz w:val="24"/>
          <w:szCs w:val="24"/>
        </w:rPr>
      </w:pPr>
      <w:r w:rsidRPr="00AA18FA">
        <w:rPr>
          <w:rStyle w:val="markedcontent"/>
          <w:rFonts w:eastAsiaTheme="majorEastAsia"/>
          <w:b w:val="0"/>
          <w:bCs w:val="0"/>
          <w:sz w:val="24"/>
          <w:szCs w:val="24"/>
        </w:rPr>
        <w:t xml:space="preserve">“The CCIA’s licensing standard, which requires an applicant to have the ‘essential temperament’ to possess and carry a firearm safely, is squarely in line with ‘shall-issue’ licensure standards that the Supreme Court said in </w:t>
      </w:r>
      <w:r w:rsidRPr="00AA18FA">
        <w:rPr>
          <w:rStyle w:val="markedcontent"/>
          <w:rFonts w:eastAsiaTheme="majorEastAsia"/>
          <w:b w:val="0"/>
          <w:bCs w:val="0"/>
          <w:sz w:val="24"/>
          <w:szCs w:val="24"/>
          <w:u w:val="single"/>
        </w:rPr>
        <w:t>Bruen [</w:t>
      </w:r>
      <w:r w:rsidRPr="00AA18FA">
        <w:rPr>
          <w:rStyle w:val="markedcontent"/>
          <w:rFonts w:eastAsiaTheme="majorEastAsia"/>
          <w:b w:val="0"/>
          <w:bCs w:val="0"/>
          <w:sz w:val="24"/>
          <w:szCs w:val="24"/>
        </w:rPr>
        <w:t>New York State Rifle &amp;</w:t>
      </w:r>
      <w:r w:rsidRPr="00AA18FA">
        <w:rPr>
          <w:b w:val="0"/>
          <w:bCs w:val="0"/>
          <w:sz w:val="24"/>
          <w:szCs w:val="24"/>
        </w:rPr>
        <w:br/>
      </w:r>
      <w:r w:rsidRPr="00AA18FA">
        <w:rPr>
          <w:rStyle w:val="markedcontent"/>
          <w:rFonts w:eastAsiaTheme="majorEastAsia"/>
          <w:b w:val="0"/>
          <w:bCs w:val="0"/>
          <w:sz w:val="24"/>
          <w:szCs w:val="24"/>
        </w:rPr>
        <w:t xml:space="preserve">Pistol </w:t>
      </w:r>
      <w:proofErr w:type="spellStart"/>
      <w:r w:rsidRPr="00AA18FA">
        <w:rPr>
          <w:rStyle w:val="markedcontent"/>
          <w:rFonts w:eastAsiaTheme="majorEastAsia"/>
          <w:b w:val="0"/>
          <w:bCs w:val="0"/>
          <w:sz w:val="24"/>
          <w:szCs w:val="24"/>
        </w:rPr>
        <w:t>Ass’n</w:t>
      </w:r>
      <w:proofErr w:type="spellEnd"/>
      <w:r w:rsidRPr="00AA18FA">
        <w:rPr>
          <w:rStyle w:val="markedcontent"/>
          <w:rFonts w:eastAsiaTheme="majorEastAsia"/>
          <w:b w:val="0"/>
          <w:bCs w:val="0"/>
          <w:sz w:val="24"/>
          <w:szCs w:val="24"/>
        </w:rPr>
        <w:t>, Inc. v. Bruen, 142 S. Ct. 2111 (2022)] appropriately ensure that only</w:t>
      </w:r>
      <w:r w:rsidRPr="00AA18FA">
        <w:rPr>
          <w:b w:val="0"/>
          <w:bCs w:val="0"/>
          <w:sz w:val="24"/>
          <w:szCs w:val="24"/>
        </w:rPr>
        <w:br/>
      </w:r>
      <w:r w:rsidRPr="00AA18FA">
        <w:rPr>
          <w:rStyle w:val="markedcontent"/>
          <w:rFonts w:eastAsiaTheme="majorEastAsia"/>
          <w:b w:val="0"/>
          <w:bCs w:val="0"/>
          <w:sz w:val="24"/>
          <w:szCs w:val="24"/>
        </w:rPr>
        <w:t xml:space="preserve">such citizens are authorized to carry firearms.” </w:t>
      </w:r>
      <w:hyperlink r:id="rId693" w:history="1">
        <w:r w:rsidRPr="00AA18FA">
          <w:rPr>
            <w:rStyle w:val="Hyperlink"/>
            <w:sz w:val="24"/>
            <w:szCs w:val="24"/>
          </w:rPr>
          <w:t>https://www.nyc.gov/assets/home/downloads/pdf/press-releases/2023/Antonyuk_Amicus_Brief.pdf</w:t>
        </w:r>
      </w:hyperlink>
      <w:r w:rsidRPr="00AA18FA">
        <w:rPr>
          <w:rStyle w:val="markedcontent"/>
          <w:rFonts w:eastAsiaTheme="majorEastAsia"/>
          <w:b w:val="0"/>
          <w:bCs w:val="0"/>
          <w:sz w:val="24"/>
          <w:szCs w:val="24"/>
        </w:rPr>
        <w:t xml:space="preserve"> </w:t>
      </w:r>
    </w:p>
    <w:p w14:paraId="101B2900" w14:textId="77777777" w:rsidR="007959C9" w:rsidRDefault="007959C9" w:rsidP="007959C9">
      <w:pPr>
        <w:pStyle w:val="Heading1"/>
        <w:rPr>
          <w:rStyle w:val="markedcontent"/>
          <w:rFonts w:eastAsiaTheme="majorEastAsia"/>
          <w:b w:val="0"/>
          <w:bCs w:val="0"/>
        </w:rPr>
      </w:pPr>
      <w:r>
        <w:rPr>
          <w:b w:val="0"/>
          <w:bCs w:val="0"/>
          <w:sz w:val="24"/>
          <w:szCs w:val="24"/>
        </w:rPr>
        <w:t xml:space="preserve">In the </w:t>
      </w:r>
      <w:r w:rsidRPr="00761B43">
        <w:rPr>
          <w:b w:val="0"/>
          <w:bCs w:val="0"/>
          <w:sz w:val="24"/>
          <w:szCs w:val="24"/>
          <w:u w:val="single"/>
        </w:rPr>
        <w:t>Bruen</w:t>
      </w:r>
      <w:r>
        <w:rPr>
          <w:b w:val="0"/>
          <w:bCs w:val="0"/>
          <w:sz w:val="24"/>
          <w:szCs w:val="24"/>
        </w:rPr>
        <w:t xml:space="preserve"> case, U.S. Supreme Court on June 23, </w:t>
      </w:r>
      <w:proofErr w:type="gramStart"/>
      <w:r>
        <w:rPr>
          <w:b w:val="0"/>
          <w:bCs w:val="0"/>
          <w:sz w:val="24"/>
          <w:szCs w:val="24"/>
        </w:rPr>
        <w:t>2022</w:t>
      </w:r>
      <w:proofErr w:type="gramEnd"/>
      <w:r>
        <w:rPr>
          <w:b w:val="0"/>
          <w:bCs w:val="0"/>
          <w:sz w:val="24"/>
          <w:szCs w:val="24"/>
        </w:rPr>
        <w:t xml:space="preserve"> declared unconstitutional a prior version of the New York law, that prohibited residents from carrying a handgun in public unless they could prove a “special need for self-protection.”  </w:t>
      </w:r>
      <w:hyperlink r:id="rId694" w:history="1">
        <w:r w:rsidRPr="0090655A">
          <w:rPr>
            <w:rStyle w:val="Hyperlink"/>
            <w:sz w:val="24"/>
            <w:szCs w:val="24"/>
          </w:rPr>
          <w:t>https://www.supremecourt.gov/opinions/21pdf/20-843_7j80.pdf</w:t>
        </w:r>
      </w:hyperlink>
      <w:r>
        <w:rPr>
          <w:b w:val="0"/>
          <w:bCs w:val="0"/>
          <w:sz w:val="24"/>
          <w:szCs w:val="24"/>
        </w:rPr>
        <w:t xml:space="preserve">.  </w:t>
      </w:r>
    </w:p>
    <w:p w14:paraId="7D00AA28" w14:textId="77777777" w:rsidR="007959C9" w:rsidRPr="00AA18FA" w:rsidRDefault="007959C9" w:rsidP="007959C9">
      <w:pPr>
        <w:pStyle w:val="Heading1"/>
        <w:rPr>
          <w:b w:val="0"/>
          <w:bCs w:val="0"/>
          <w:sz w:val="24"/>
          <w:szCs w:val="24"/>
        </w:rPr>
      </w:pPr>
      <w:r w:rsidRPr="00AA18FA">
        <w:rPr>
          <w:b w:val="0"/>
          <w:bCs w:val="0"/>
          <w:sz w:val="24"/>
          <w:szCs w:val="24"/>
        </w:rPr>
        <w:t xml:space="preserve">On Oct. 6, 2022, U.S. District Court </w:t>
      </w:r>
      <w:r w:rsidRPr="00AA18FA">
        <w:rPr>
          <w:rStyle w:val="markedcontent"/>
          <w:rFonts w:eastAsiaTheme="majorEastAsia"/>
          <w:b w:val="0"/>
          <w:bCs w:val="0"/>
          <w:sz w:val="24"/>
          <w:szCs w:val="24"/>
        </w:rPr>
        <w:t xml:space="preserve">Judge Suddaby, Southern District of New York, issued a preliminary injunction against the new State of New York law, focusing on its “good moral character” provision. </w:t>
      </w:r>
    </w:p>
    <w:p w14:paraId="1D8CB379" w14:textId="77777777" w:rsidR="007959C9" w:rsidRPr="00AA18FA" w:rsidRDefault="007959C9" w:rsidP="007959C9">
      <w:pPr>
        <w:pStyle w:val="Heading1"/>
        <w:ind w:left="720"/>
        <w:rPr>
          <w:rStyle w:val="markedcontent"/>
          <w:rFonts w:eastAsiaTheme="majorEastAsia"/>
          <w:b w:val="0"/>
          <w:bCs w:val="0"/>
          <w:sz w:val="24"/>
          <w:szCs w:val="24"/>
        </w:rPr>
      </w:pPr>
      <w:r w:rsidRPr="00AA18FA">
        <w:rPr>
          <w:rStyle w:val="markedcontent"/>
          <w:rFonts w:eastAsiaTheme="majorEastAsia"/>
          <w:b w:val="0"/>
          <w:bCs w:val="0"/>
          <w:sz w:val="24"/>
          <w:szCs w:val="24"/>
        </w:rPr>
        <w:t>“In essence, New York State has replaced its requirement that an applicant show a special need for self-protection with its requirement that the applicant rebut the presumption that he or she is a danger to himself or herself, while retaining (and even expanding) the open-ended discretion afforded to its licensing officers.</w:t>
      </w:r>
    </w:p>
    <w:p w14:paraId="39CDF503" w14:textId="77777777" w:rsidR="007959C9" w:rsidRDefault="007959C9" w:rsidP="007959C9">
      <w:pPr>
        <w:pStyle w:val="Heading1"/>
        <w:ind w:left="720"/>
        <w:rPr>
          <w:rStyle w:val="markedcontent"/>
          <w:rFonts w:eastAsiaTheme="majorEastAsia"/>
          <w:b w:val="0"/>
          <w:bCs w:val="0"/>
        </w:rPr>
      </w:pPr>
      <w:r w:rsidRPr="00AA18FA">
        <w:rPr>
          <w:rStyle w:val="markedcontent"/>
          <w:rFonts w:eastAsiaTheme="majorEastAsia"/>
          <w:b w:val="0"/>
          <w:bCs w:val="0"/>
          <w:sz w:val="24"/>
          <w:szCs w:val="24"/>
        </w:rPr>
        <w:t>Simply stated, instead of moving toward becoming a shall-issue jurisdiction, New York</w:t>
      </w:r>
      <w:r w:rsidRPr="00AA18FA">
        <w:rPr>
          <w:b w:val="0"/>
          <w:bCs w:val="0"/>
          <w:sz w:val="24"/>
          <w:szCs w:val="24"/>
        </w:rPr>
        <w:br/>
      </w:r>
      <w:r w:rsidRPr="00AA18FA">
        <w:rPr>
          <w:rStyle w:val="markedcontent"/>
          <w:rFonts w:eastAsiaTheme="majorEastAsia"/>
          <w:b w:val="0"/>
          <w:bCs w:val="0"/>
          <w:sz w:val="24"/>
          <w:szCs w:val="24"/>
        </w:rPr>
        <w:t xml:space="preserve">State has further entrenched itself as a shall-not-issue jurisdiction. And, by doing so, it has further reduced a first-class constitutional right to bear arms in public for self-defense (which, during the 19th and 18th centuries in America, generally came with an assumption that law-abiding responsible citizens were not a danger to themselves or others unless there was specific ground for a contrary finding) into a mere request (which is burdened with a presumption of dangerousness and the need to show ‘good moral character’).” </w:t>
      </w:r>
      <w:hyperlink r:id="rId695" w:history="1">
        <w:r w:rsidRPr="00AA18FA">
          <w:rPr>
            <w:rStyle w:val="Hyperlink"/>
            <w:sz w:val="24"/>
            <w:szCs w:val="24"/>
          </w:rPr>
          <w:t>https://storage.courtlistener.com/recap/gov.uscourts.nynd.134829/gov.uscourts.nynd.134829.27.0_1.pdf</w:t>
        </w:r>
      </w:hyperlink>
      <w:r>
        <w:rPr>
          <w:rStyle w:val="markedcontent"/>
          <w:rFonts w:eastAsiaTheme="majorEastAsia"/>
          <w:b w:val="0"/>
          <w:bCs w:val="0"/>
        </w:rPr>
        <w:t xml:space="preserve"> </w:t>
      </w:r>
    </w:p>
    <w:p w14:paraId="2D3D3594" w14:textId="77777777" w:rsidR="007959C9" w:rsidRDefault="007959C9" w:rsidP="007959C9">
      <w:pPr>
        <w:pStyle w:val="Heading1"/>
        <w:rPr>
          <w:sz w:val="24"/>
          <w:szCs w:val="24"/>
        </w:rPr>
      </w:pPr>
      <w:r w:rsidRPr="00C35467">
        <w:rPr>
          <w:sz w:val="24"/>
          <w:szCs w:val="24"/>
        </w:rPr>
        <w:t xml:space="preserve">Legal Lesson Learned: </w:t>
      </w:r>
      <w:r>
        <w:rPr>
          <w:sz w:val="24"/>
          <w:szCs w:val="24"/>
        </w:rPr>
        <w:t xml:space="preserve">Gun violence is a growing problem in our Nation, and States and cities are seeking to enact laws that face legal challenges.  </w:t>
      </w:r>
    </w:p>
    <w:p w14:paraId="203D3F2A" w14:textId="77777777" w:rsidR="007959C9" w:rsidRPr="00AA18FA" w:rsidRDefault="007959C9" w:rsidP="007959C9">
      <w:pPr>
        <w:pStyle w:val="Heading1"/>
        <w:ind w:left="720"/>
        <w:rPr>
          <w:b w:val="0"/>
          <w:bCs w:val="0"/>
          <w:sz w:val="24"/>
          <w:szCs w:val="24"/>
        </w:rPr>
      </w:pPr>
      <w:r w:rsidRPr="00C35467">
        <w:rPr>
          <w:b w:val="0"/>
          <w:bCs w:val="0"/>
          <w:sz w:val="24"/>
          <w:szCs w:val="24"/>
        </w:rPr>
        <w:t>Note</w:t>
      </w:r>
      <w:r>
        <w:rPr>
          <w:b w:val="0"/>
          <w:bCs w:val="0"/>
          <w:sz w:val="24"/>
          <w:szCs w:val="24"/>
        </w:rPr>
        <w:t xml:space="preserve">: </w:t>
      </w:r>
      <w:r w:rsidRPr="00AA18FA">
        <w:rPr>
          <w:rStyle w:val="markedcontent"/>
          <w:rFonts w:eastAsiaTheme="majorEastAsia"/>
          <w:b w:val="0"/>
          <w:bCs w:val="0"/>
          <w:sz w:val="24"/>
          <w:szCs w:val="24"/>
        </w:rPr>
        <w:t>Jan. 20, 2023: “</w:t>
      </w:r>
      <w:r w:rsidRPr="00AA18FA">
        <w:rPr>
          <w:b w:val="0"/>
          <w:bCs w:val="0"/>
          <w:sz w:val="24"/>
          <w:szCs w:val="24"/>
        </w:rPr>
        <w:t xml:space="preserve">Columbus gun laws dodge block on enforcement, going into effect soon.” </w:t>
      </w:r>
      <w:hyperlink r:id="rId696" w:history="1">
        <w:r w:rsidRPr="00AA18FA">
          <w:rPr>
            <w:rStyle w:val="Hyperlink"/>
            <w:sz w:val="24"/>
            <w:szCs w:val="24"/>
          </w:rPr>
          <w:t>https://www.nbc4i.com/news/local-news/columbus/columbus-gun-laws-dodge-block-on-enforcement-going-into-effect-soon/</w:t>
        </w:r>
      </w:hyperlink>
      <w:r w:rsidRPr="00AA18FA">
        <w:rPr>
          <w:b w:val="0"/>
          <w:bCs w:val="0"/>
          <w:sz w:val="24"/>
          <w:szCs w:val="24"/>
        </w:rPr>
        <w:t xml:space="preserve"> .“A Fairfield County judge on Friday opened an opportunity for the City of Columbus to enforce its recently passed gun limitations that have been embattled by a lawsuit.”</w:t>
      </w:r>
    </w:p>
    <w:p w14:paraId="68AD0446" w14:textId="77777777" w:rsidR="007959C9" w:rsidRPr="00AA18FA" w:rsidRDefault="007959C9" w:rsidP="007959C9">
      <w:pPr>
        <w:pStyle w:val="Heading1"/>
        <w:ind w:left="720"/>
        <w:rPr>
          <w:b w:val="0"/>
          <w:bCs w:val="0"/>
          <w:sz w:val="24"/>
          <w:szCs w:val="24"/>
        </w:rPr>
      </w:pPr>
      <w:r w:rsidRPr="00AA18FA">
        <w:rPr>
          <w:b w:val="0"/>
          <w:bCs w:val="0"/>
          <w:sz w:val="24"/>
          <w:szCs w:val="24"/>
        </w:rPr>
        <w:t xml:space="preserve">See also: Jan. 20, 2023 - Remarks by Deputy Attorney General of United States, Lisa O. Monaco, at the ATF Academy Graduation, </w:t>
      </w:r>
      <w:proofErr w:type="spellStart"/>
      <w:r w:rsidRPr="00AA18FA">
        <w:rPr>
          <w:b w:val="0"/>
          <w:bCs w:val="0"/>
          <w:sz w:val="24"/>
          <w:szCs w:val="24"/>
        </w:rPr>
        <w:t>Glynco</w:t>
      </w:r>
      <w:proofErr w:type="spellEnd"/>
      <w:r w:rsidRPr="00AA18FA">
        <w:rPr>
          <w:b w:val="0"/>
          <w:bCs w:val="0"/>
          <w:sz w:val="24"/>
          <w:szCs w:val="24"/>
        </w:rPr>
        <w:t xml:space="preserve">, GA. </w:t>
      </w:r>
      <w:hyperlink r:id="rId697" w:history="1">
        <w:r w:rsidRPr="00AA18FA">
          <w:rPr>
            <w:rStyle w:val="Hyperlink"/>
            <w:sz w:val="24"/>
            <w:szCs w:val="24"/>
          </w:rPr>
          <w:t>https://www.justice.gov/opa/speech/deputy-attorney-general-lisa-o-monaco-delivers-remarks-atf-academy-graduation</w:t>
        </w:r>
      </w:hyperlink>
      <w:r w:rsidRPr="00AA18FA">
        <w:rPr>
          <w:b w:val="0"/>
          <w:bCs w:val="0"/>
          <w:sz w:val="24"/>
          <w:szCs w:val="24"/>
        </w:rPr>
        <w:t xml:space="preserve"> </w:t>
      </w:r>
    </w:p>
    <w:p w14:paraId="5089DF59" w14:textId="77777777" w:rsidR="007959C9" w:rsidRDefault="007959C9" w:rsidP="007959C9">
      <w:pPr>
        <w:pStyle w:val="NormalWeb"/>
        <w:ind w:left="1440"/>
        <w:rPr>
          <w:rStyle w:val="markedcontent"/>
          <w:rFonts w:eastAsiaTheme="majorEastAsia"/>
        </w:rPr>
      </w:pPr>
      <w:r>
        <w:t xml:space="preserve">“Just last week, ATF took an important step to enhance public safety when it issued the Stabilizing Brace Rule. This is a rule that ensures all short-barreled rifles, including those created when a qualifying brace is added to a pistol, are subject to applicable law. The rule makes clear that short-barreled rifles must be registered and subject to a background check before any </w:t>
      </w:r>
      <w:proofErr w:type="gramStart"/>
      <w:r>
        <w:t>transfer</w:t>
      </w:r>
      <w:proofErr w:type="gramEnd"/>
      <w:r>
        <w:t xml:space="preserve"> so they don’t end up in the hands of prohibited </w:t>
      </w:r>
      <w:proofErr w:type="gramStart"/>
      <w:r>
        <w:t>persons</w:t>
      </w:r>
      <w:proofErr w:type="gramEnd"/>
      <w:r>
        <w:t xml:space="preserve">. This rule is about safety. In </w:t>
      </w:r>
      <w:r>
        <w:lastRenderedPageBreak/>
        <w:t>recent years, mass shootings in Dayton, Ohio, and Boulder, Colorado, were carried out with firearms outfitted with stabilizing braces.”</w:t>
      </w:r>
    </w:p>
    <w:p w14:paraId="544A4514" w14:textId="77777777" w:rsidR="007959C9" w:rsidRDefault="007959C9" w:rsidP="007959C9">
      <w:pPr>
        <w:pStyle w:val="NormalWeb"/>
        <w:jc w:val="center"/>
        <w:rPr>
          <w:b/>
          <w:bCs/>
        </w:rPr>
      </w:pPr>
    </w:p>
    <w:p w14:paraId="76857B53" w14:textId="77777777" w:rsidR="007959C9" w:rsidRDefault="007959C9" w:rsidP="00F326E5">
      <w:pPr>
        <w:pStyle w:val="NoSpacing"/>
        <w:rPr>
          <w:rFonts w:ascii="Arial Black" w:hAnsi="Arial Black"/>
          <w:sz w:val="28"/>
          <w:szCs w:val="28"/>
        </w:rPr>
      </w:pPr>
    </w:p>
    <w:p w14:paraId="09A1CB44" w14:textId="328C8C71" w:rsidR="006C79BE" w:rsidRDefault="006C79BE" w:rsidP="00F326E5">
      <w:pPr>
        <w:pStyle w:val="NoSpacing"/>
        <w:rPr>
          <w:rFonts w:ascii="Arial Black" w:hAnsi="Arial Black"/>
          <w:sz w:val="28"/>
          <w:szCs w:val="28"/>
        </w:rPr>
      </w:pPr>
      <w:r>
        <w:rPr>
          <w:rFonts w:ascii="Arial Black" w:hAnsi="Arial Black"/>
          <w:sz w:val="28"/>
          <w:szCs w:val="28"/>
        </w:rPr>
        <w:t>3-47</w:t>
      </w:r>
    </w:p>
    <w:p w14:paraId="5833C98F" w14:textId="55C85A46" w:rsidR="006C79BE" w:rsidRDefault="006C79BE" w:rsidP="00F326E5">
      <w:pPr>
        <w:pStyle w:val="NoSpacing"/>
        <w:rPr>
          <w:rFonts w:ascii="Arial Black" w:hAnsi="Arial Black"/>
          <w:sz w:val="28"/>
          <w:szCs w:val="28"/>
        </w:rPr>
      </w:pPr>
    </w:p>
    <w:p w14:paraId="7AD973B8" w14:textId="77777777" w:rsidR="006C79BE" w:rsidRPr="00536BE5" w:rsidRDefault="006C79BE" w:rsidP="006C79BE">
      <w:pPr>
        <w:pStyle w:val="NormalWeb"/>
        <w:rPr>
          <w:rFonts w:ascii="Arial Black" w:hAnsi="Arial Black"/>
          <w:b/>
          <w:bCs/>
          <w:sz w:val="28"/>
          <w:szCs w:val="28"/>
        </w:rPr>
      </w:pPr>
      <w:r>
        <w:rPr>
          <w:rFonts w:ascii="Arial Black" w:hAnsi="Arial Black"/>
          <w:b/>
          <w:bCs/>
          <w:sz w:val="28"/>
          <w:szCs w:val="28"/>
        </w:rPr>
        <w:t>U.S. SUP. CT: TITLE 42 PUBLIC HEALTH ORDER REMAIN – IMMIGRANTS SENT BACK - FEB. 2023 ORAL ARGUMENT</w:t>
      </w:r>
    </w:p>
    <w:p w14:paraId="033960DE" w14:textId="77777777" w:rsidR="006C79BE" w:rsidRDefault="006C79BE" w:rsidP="006C79BE">
      <w:pPr>
        <w:pStyle w:val="NormalWeb"/>
        <w:rPr>
          <w:rStyle w:val="markedcontent"/>
        </w:rPr>
      </w:pPr>
      <w:r>
        <w:rPr>
          <w:rStyle w:val="markedcontent"/>
        </w:rPr>
        <w:t xml:space="preserve">On Dec. 27, 2022, in </w:t>
      </w:r>
      <w:r w:rsidRPr="00CE3E6C">
        <w:rPr>
          <w:rStyle w:val="markedcontent"/>
          <w:u w:val="single"/>
        </w:rPr>
        <w:t>Arizona, et al. v. Alejandro Mayorkas, Secretary of Homeland Security</w:t>
      </w:r>
      <w:r>
        <w:rPr>
          <w:rStyle w:val="markedcontent"/>
        </w:rPr>
        <w:t xml:space="preserve">, the Court held (5 to 4) that the Title 42 public health order issued in March 2020 by U.S. Department under President Trump will temporarily remain in place until oral arguments in </w:t>
      </w:r>
      <w:proofErr w:type="gramStart"/>
      <w:r>
        <w:rPr>
          <w:rStyle w:val="markedcontent"/>
        </w:rPr>
        <w:t>February,</w:t>
      </w:r>
      <w:proofErr w:type="gramEnd"/>
      <w:r>
        <w:rPr>
          <w:rStyle w:val="markedcontent"/>
        </w:rPr>
        <w:t xml:space="preserve"> 2023 and full Court decision thereafter.  The Court stayed the Nov. 22, </w:t>
      </w:r>
      <w:proofErr w:type="gramStart"/>
      <w:r>
        <w:rPr>
          <w:rStyle w:val="markedcontent"/>
        </w:rPr>
        <w:t>2022</w:t>
      </w:r>
      <w:proofErr w:type="gramEnd"/>
      <w:r>
        <w:rPr>
          <w:rStyle w:val="markedcontent"/>
        </w:rPr>
        <w:t xml:space="preserve"> decision by U.S. District Court Judge Emmet G. Sullivan, District of Columbia, who ruled that the 2020 public health order (issued under 1893 Federal public health statute) cannot be enforced since it did not consider vaccinations as restrictive measure to protect the public from COVID-19.  Five conservative Supreme Court Justices granted the stay sought by 19 states, including Arizona and Texas.  Therefore, currently migrants can continue to be returned to Mexico or their home nation.  To date the 2020 public health order has been used to expel more than 2 million migrants.  </w:t>
      </w:r>
    </w:p>
    <w:p w14:paraId="4B45E469" w14:textId="77777777" w:rsidR="006C79BE" w:rsidRPr="001D6C7D" w:rsidRDefault="006C79BE" w:rsidP="006C79BE">
      <w:pPr>
        <w:pStyle w:val="NormalWeb"/>
        <w:ind w:left="720"/>
        <w:rPr>
          <w:rStyle w:val="markedcontent"/>
        </w:rPr>
      </w:pPr>
      <w:r w:rsidRPr="001D6C7D">
        <w:rPr>
          <w:rStyle w:val="markedcontent"/>
        </w:rPr>
        <w:t xml:space="preserve">“This stay precludes giving effect to the District Court order setting aside and vacating the Title 42 policy; the stay itself does not prevent the federal government from taking any action with respect to that policy.” </w:t>
      </w:r>
      <w:hyperlink r:id="rId698" w:history="1">
        <w:r w:rsidRPr="001D6C7D">
          <w:rPr>
            <w:rStyle w:val="Hyperlink"/>
            <w:rFonts w:eastAsiaTheme="majorEastAsia"/>
          </w:rPr>
          <w:t>https://www.supremecourt.gov/opinions/22pdf/22a544_n758.pdf</w:t>
        </w:r>
      </w:hyperlink>
      <w:r w:rsidRPr="001D6C7D">
        <w:rPr>
          <w:rStyle w:val="markedcontent"/>
        </w:rPr>
        <w:t xml:space="preserve"> </w:t>
      </w:r>
    </w:p>
    <w:p w14:paraId="53588017" w14:textId="77777777" w:rsidR="006C79BE" w:rsidRDefault="006C79BE" w:rsidP="006C79BE">
      <w:pPr>
        <w:pStyle w:val="NormalWeb"/>
        <w:rPr>
          <w:rStyle w:val="markedcontent"/>
        </w:rPr>
      </w:pPr>
      <w:r>
        <w:rPr>
          <w:rStyle w:val="markedcontent"/>
        </w:rPr>
        <w:t xml:space="preserve">Three liberal justices, plus Justice Neil Gorsuch (nominated by President Trump) dissented.  Justice Gorsuch wrote: </w:t>
      </w:r>
    </w:p>
    <w:p w14:paraId="0536CB13" w14:textId="77777777" w:rsidR="006C79BE" w:rsidRPr="004901C1" w:rsidRDefault="006C79BE" w:rsidP="006C79BE">
      <w:pPr>
        <w:pStyle w:val="NormalWeb"/>
        <w:ind w:left="720"/>
        <w:rPr>
          <w:rStyle w:val="markedcontent"/>
        </w:rPr>
      </w:pPr>
      <w:r w:rsidRPr="004901C1">
        <w:rPr>
          <w:rStyle w:val="markedcontent"/>
        </w:rPr>
        <w:t>“But the current border crisis is not a COVID crisis. And courts should not be in the business of perpetuating administrative edicts designed for one emergency only because elected officials have failed to address a different emergency. We are a court of law, not policymakers of last resort.”</w:t>
      </w:r>
    </w:p>
    <w:p w14:paraId="22194DC7" w14:textId="77777777" w:rsidR="006C79BE" w:rsidRPr="001D6C7D" w:rsidRDefault="006C79BE" w:rsidP="006C79BE">
      <w:pPr>
        <w:pStyle w:val="NormalWeb"/>
        <w:rPr>
          <w:rStyle w:val="markedcontent"/>
          <w:b/>
          <w:bCs/>
        </w:rPr>
      </w:pPr>
      <w:r w:rsidRPr="001D6C7D">
        <w:rPr>
          <w:rStyle w:val="markedcontent"/>
          <w:b/>
          <w:bCs/>
        </w:rPr>
        <w:t>Legal lesson learned: The border crisis demands reform of our immigration laws.</w:t>
      </w:r>
    </w:p>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6C79BE" w14:paraId="6BD856CF" w14:textId="77777777" w:rsidTr="006901FD">
        <w:trPr>
          <w:jc w:val="center"/>
        </w:trPr>
        <w:tc>
          <w:tcPr>
            <w:tcW w:w="5000" w:type="pct"/>
            <w:shd w:val="clear" w:color="auto" w:fill="FFFFFF"/>
            <w:tcMar>
              <w:top w:w="75" w:type="dxa"/>
              <w:left w:w="75" w:type="dxa"/>
              <w:bottom w:w="0" w:type="dxa"/>
              <w:right w:w="75" w:type="dxa"/>
            </w:tcMar>
            <w:vAlign w:val="center"/>
          </w:tcPr>
          <w:p w14:paraId="3FC995C6" w14:textId="77777777" w:rsidR="006C79BE" w:rsidRDefault="006C79BE" w:rsidP="006901FD">
            <w:pPr>
              <w:pStyle w:val="paragraph"/>
              <w:spacing w:before="0" w:beforeAutospacing="0" w:after="0" w:afterAutospacing="0"/>
              <w:ind w:left="720"/>
              <w:textAlignment w:val="baseline"/>
              <w:rPr>
                <w:rFonts w:ascii="Book Antiqua" w:hAnsi="Book Antiqua"/>
                <w:color w:val="000000"/>
                <w:sz w:val="23"/>
                <w:szCs w:val="23"/>
              </w:rPr>
            </w:pPr>
            <w:r w:rsidRPr="001D6C7D">
              <w:rPr>
                <w:rStyle w:val="markedcontent"/>
              </w:rPr>
              <w:t>Note:  U.S. Department of Homeland Security issued following Press Release</w:t>
            </w:r>
            <w:r>
              <w:rPr>
                <w:rStyle w:val="markedcontent"/>
              </w:rPr>
              <w:t xml:space="preserve">: </w:t>
            </w:r>
            <w:r>
              <w:rPr>
                <w:rStyle w:val="normaltextrun"/>
                <w:color w:val="000000"/>
              </w:rPr>
              <w:t>“As required by today’s Supreme Court order, the Title 42 public health order will remain in effect and individuals who attempt to enter the United States unlawfully will continue to be expelled to Mexico</w:t>
            </w:r>
            <w:r>
              <w:rPr>
                <w:color w:val="000000"/>
              </w:rPr>
              <w:t xml:space="preserve"> or their home country.  </w:t>
            </w:r>
            <w:r>
              <w:rPr>
                <w:rStyle w:val="normaltextrun"/>
                <w:color w:val="000000"/>
              </w:rPr>
              <w:t>People should not listen to the lies of smugglers who take advantage of vulnerable migrants, putting lives at risk. The border is not open, and we will continue to fully enforce our immigration laws. </w:t>
            </w:r>
            <w:r>
              <w:rPr>
                <w:rStyle w:val="normaltextrun"/>
              </w:rPr>
              <w:t> </w:t>
            </w:r>
            <w:r>
              <w:rPr>
                <w:color w:val="000000"/>
              </w:rPr>
              <w:t> </w:t>
            </w:r>
          </w:p>
          <w:p w14:paraId="33839589" w14:textId="77777777" w:rsidR="006C79BE" w:rsidRDefault="006C79BE" w:rsidP="006901FD">
            <w:pPr>
              <w:pStyle w:val="paragraph"/>
              <w:spacing w:before="0" w:beforeAutospacing="0" w:after="0" w:afterAutospacing="0"/>
              <w:ind w:left="720"/>
              <w:textAlignment w:val="baseline"/>
              <w:rPr>
                <w:rFonts w:ascii="Book Antiqua" w:hAnsi="Book Antiqua"/>
                <w:color w:val="000000"/>
                <w:sz w:val="23"/>
                <w:szCs w:val="23"/>
              </w:rPr>
            </w:pPr>
            <w:r>
              <w:rPr>
                <w:rStyle w:val="normaltextrun"/>
                <w:color w:val="000000"/>
              </w:rPr>
              <w:t xml:space="preserve">We will continue to manage the border, but we do so within the constraints of a decades-old immigration system that everyone agrees is broken. We need Congress to pass the comprehensive immigration reform legislation President Biden proposed the day he took office.” </w:t>
            </w:r>
            <w:hyperlink r:id="rId699" w:history="1">
              <w:r w:rsidRPr="008B2F4A">
                <w:rPr>
                  <w:rStyle w:val="Hyperlink"/>
                  <w:rFonts w:ascii="Book Antiqua" w:eastAsiaTheme="majorEastAsia" w:hAnsi="Book Antiqua"/>
                  <w:sz w:val="23"/>
                  <w:szCs w:val="23"/>
                </w:rPr>
                <w:t>departmentofhomelandsecurity@messages.dhs.gov</w:t>
              </w:r>
            </w:hyperlink>
          </w:p>
          <w:p w14:paraId="5A0C82FB" w14:textId="77777777" w:rsidR="006C79BE" w:rsidRDefault="006C79BE" w:rsidP="006901FD">
            <w:pPr>
              <w:ind w:left="720"/>
              <w:rPr>
                <w:rFonts w:ascii="Times New Roman" w:eastAsia="Times New Roman" w:hAnsi="Times New Roman"/>
                <w:sz w:val="24"/>
                <w:szCs w:val="24"/>
              </w:rPr>
            </w:pPr>
          </w:p>
          <w:p w14:paraId="2D09CBB3" w14:textId="77777777" w:rsidR="006C79BE" w:rsidRPr="008550EA" w:rsidRDefault="006C79BE" w:rsidP="006901FD">
            <w:pPr>
              <w:ind w:left="720"/>
              <w:rPr>
                <w:rFonts w:ascii="Times New Roman" w:eastAsia="Times New Roman" w:hAnsi="Times New Roman"/>
                <w:sz w:val="24"/>
                <w:szCs w:val="24"/>
              </w:rPr>
            </w:pPr>
            <w:r w:rsidRPr="00557022">
              <w:rPr>
                <w:rStyle w:val="markedcontent"/>
                <w:rFonts w:ascii="Times New Roman" w:hAnsi="Times New Roman"/>
                <w:sz w:val="24"/>
                <w:szCs w:val="24"/>
              </w:rPr>
              <w:t xml:space="preserve">Read the Nov. 22, </w:t>
            </w:r>
            <w:proofErr w:type="gramStart"/>
            <w:r w:rsidRPr="00557022">
              <w:rPr>
                <w:rStyle w:val="markedcontent"/>
                <w:rFonts w:ascii="Times New Roman" w:hAnsi="Times New Roman"/>
                <w:sz w:val="24"/>
                <w:szCs w:val="24"/>
              </w:rPr>
              <w:t>2022</w:t>
            </w:r>
            <w:proofErr w:type="gramEnd"/>
            <w:r w:rsidRPr="00557022">
              <w:rPr>
                <w:rStyle w:val="markedcontent"/>
                <w:rFonts w:ascii="Times New Roman" w:hAnsi="Times New Roman"/>
                <w:sz w:val="24"/>
                <w:szCs w:val="24"/>
              </w:rPr>
              <w:t xml:space="preserve"> decision by U.S. District Court Judge Emmet G. Sullivan, District of Columbia, who ruled Title 42 order was illegal and cannot be enforced.  </w:t>
            </w:r>
            <w:hyperlink r:id="rId700" w:history="1">
              <w:r w:rsidRPr="00557022">
                <w:rPr>
                  <w:rStyle w:val="Hyperlink"/>
                  <w:rFonts w:ascii="Times New Roman" w:hAnsi="Times New Roman"/>
                  <w:sz w:val="24"/>
                  <w:szCs w:val="24"/>
                </w:rPr>
                <w:t>https://ecf.dcd.uscourts.gov/cgi-bin/show_public_doc?2021cv0100-165</w:t>
              </w:r>
            </w:hyperlink>
            <w:r>
              <w:rPr>
                <w:rStyle w:val="markedcontent"/>
              </w:rPr>
              <w:t xml:space="preserve">. </w:t>
            </w:r>
            <w:r w:rsidRPr="008550EA">
              <w:rPr>
                <w:rStyle w:val="markedcontent"/>
                <w:rFonts w:ascii="Times New Roman" w:hAnsi="Times New Roman"/>
                <w:sz w:val="24"/>
                <w:szCs w:val="24"/>
              </w:rPr>
              <w:t>“The Court concludes that CDC failed to appropriately</w:t>
            </w:r>
            <w:r>
              <w:rPr>
                <w:rStyle w:val="markedcontent"/>
                <w:rFonts w:ascii="Times New Roman" w:hAnsi="Times New Roman"/>
                <w:sz w:val="24"/>
                <w:szCs w:val="24"/>
              </w:rPr>
              <w:t xml:space="preserve"> </w:t>
            </w:r>
            <w:r w:rsidRPr="008550EA">
              <w:rPr>
                <w:rStyle w:val="markedcontent"/>
                <w:rFonts w:ascii="Times New Roman" w:hAnsi="Times New Roman"/>
                <w:sz w:val="24"/>
                <w:szCs w:val="24"/>
              </w:rPr>
              <w:t>consider the availability of effective therapeutics that</w:t>
            </w:r>
            <w:r>
              <w:rPr>
                <w:rStyle w:val="markedcontent"/>
                <w:rFonts w:ascii="Times New Roman" w:hAnsi="Times New Roman"/>
                <w:sz w:val="24"/>
                <w:szCs w:val="24"/>
              </w:rPr>
              <w:t xml:space="preserve"> </w:t>
            </w:r>
            <w:r w:rsidRPr="008550EA">
              <w:rPr>
                <w:rStyle w:val="markedcontent"/>
                <w:rFonts w:ascii="Times New Roman" w:hAnsi="Times New Roman"/>
                <w:sz w:val="24"/>
                <w:szCs w:val="24"/>
              </w:rPr>
              <w:t>‘reduce[d] the risk of hospitalization’ by approximately 70</w:t>
            </w:r>
            <w:r w:rsidRPr="008550EA">
              <w:rPr>
                <w:rFonts w:ascii="Times New Roman" w:hAnsi="Times New Roman"/>
                <w:sz w:val="24"/>
                <w:szCs w:val="24"/>
              </w:rPr>
              <w:br/>
            </w:r>
            <w:r w:rsidRPr="008550EA">
              <w:rPr>
                <w:rStyle w:val="markedcontent"/>
                <w:rFonts w:ascii="Times New Roman" w:hAnsi="Times New Roman"/>
                <w:sz w:val="24"/>
                <w:szCs w:val="24"/>
              </w:rPr>
              <w:t>percent in its August 2021 Order.”</w:t>
            </w:r>
          </w:p>
        </w:tc>
      </w:tr>
    </w:tbl>
    <w:p w14:paraId="023C1BC8" w14:textId="77777777" w:rsidR="006C79BE" w:rsidRDefault="006C79BE" w:rsidP="00F326E5">
      <w:pPr>
        <w:pStyle w:val="NoSpacing"/>
        <w:rPr>
          <w:rFonts w:ascii="Arial Black" w:hAnsi="Arial Black"/>
          <w:sz w:val="28"/>
          <w:szCs w:val="28"/>
        </w:rPr>
      </w:pPr>
    </w:p>
    <w:p w14:paraId="4E7A8086" w14:textId="77777777" w:rsidR="006C79BE" w:rsidRDefault="006C79BE" w:rsidP="00F326E5">
      <w:pPr>
        <w:pStyle w:val="NoSpacing"/>
        <w:rPr>
          <w:rFonts w:ascii="Arial Black" w:hAnsi="Arial Black"/>
          <w:sz w:val="28"/>
          <w:szCs w:val="28"/>
        </w:rPr>
      </w:pPr>
    </w:p>
    <w:p w14:paraId="3FCD6B31" w14:textId="1EFF9818" w:rsidR="00AE32D3" w:rsidRDefault="00AE32D3" w:rsidP="00F326E5">
      <w:pPr>
        <w:pStyle w:val="NoSpacing"/>
        <w:rPr>
          <w:rFonts w:ascii="Arial Black" w:hAnsi="Arial Black"/>
          <w:sz w:val="28"/>
          <w:szCs w:val="28"/>
        </w:rPr>
      </w:pPr>
      <w:r>
        <w:rPr>
          <w:rFonts w:ascii="Arial Black" w:hAnsi="Arial Black"/>
          <w:sz w:val="28"/>
          <w:szCs w:val="28"/>
        </w:rPr>
        <w:t>3-46</w:t>
      </w:r>
    </w:p>
    <w:p w14:paraId="1A1A31C2" w14:textId="79F3AFF2" w:rsidR="00AE32D3" w:rsidRDefault="00AE32D3" w:rsidP="00F326E5">
      <w:pPr>
        <w:pStyle w:val="NoSpacing"/>
        <w:rPr>
          <w:rFonts w:ascii="Arial Black" w:hAnsi="Arial Black"/>
          <w:sz w:val="28"/>
          <w:szCs w:val="28"/>
        </w:rPr>
      </w:pPr>
    </w:p>
    <w:p w14:paraId="060F2638" w14:textId="77777777" w:rsidR="00AE32D3" w:rsidRPr="00B1155B" w:rsidRDefault="00AE32D3" w:rsidP="00AE32D3">
      <w:pPr>
        <w:pStyle w:val="NoSpacing"/>
        <w:rPr>
          <w:rFonts w:ascii="Arial Black" w:hAnsi="Arial Black"/>
          <w:sz w:val="28"/>
          <w:szCs w:val="28"/>
        </w:rPr>
      </w:pPr>
      <w:r>
        <w:rPr>
          <w:rFonts w:ascii="Arial Black" w:hAnsi="Arial Black"/>
          <w:sz w:val="28"/>
          <w:szCs w:val="28"/>
        </w:rPr>
        <w:t>GA:  11</w:t>
      </w:r>
      <w:r w:rsidRPr="00B1155B">
        <w:rPr>
          <w:rFonts w:ascii="Arial Black" w:hAnsi="Arial Black"/>
          <w:sz w:val="28"/>
          <w:szCs w:val="28"/>
          <w:vertAlign w:val="superscript"/>
        </w:rPr>
        <w:t>th</w:t>
      </w:r>
      <w:r>
        <w:rPr>
          <w:rFonts w:ascii="Arial Black" w:hAnsi="Arial Black"/>
          <w:sz w:val="28"/>
          <w:szCs w:val="28"/>
        </w:rPr>
        <w:t xml:space="preserve"> CIR. – FBI SEIZED DOCS. PRES. TRUMP’S MAR-A-LARGO SEARCH WARRANT – “SPECIAL MASTER” SET ASIDE</w:t>
      </w:r>
    </w:p>
    <w:p w14:paraId="0E39D8B6" w14:textId="77777777" w:rsidR="00AE32D3" w:rsidRDefault="00AE32D3" w:rsidP="00AE32D3">
      <w:pPr>
        <w:pStyle w:val="NoSpacing"/>
        <w:rPr>
          <w:rFonts w:ascii="Times New Roman" w:hAnsi="Times New Roman"/>
          <w:sz w:val="24"/>
          <w:szCs w:val="24"/>
        </w:rPr>
      </w:pPr>
    </w:p>
    <w:p w14:paraId="5C3B7197" w14:textId="77777777" w:rsidR="00AE32D3" w:rsidRDefault="00AE32D3" w:rsidP="00AE32D3">
      <w:pPr>
        <w:pStyle w:val="NoSpacing"/>
        <w:rPr>
          <w:rFonts w:ascii="Times New Roman" w:hAnsi="Times New Roman"/>
          <w:sz w:val="24"/>
          <w:szCs w:val="24"/>
        </w:rPr>
      </w:pPr>
      <w:r>
        <w:rPr>
          <w:rFonts w:ascii="Times New Roman" w:hAnsi="Times New Roman"/>
          <w:sz w:val="24"/>
          <w:szCs w:val="24"/>
        </w:rPr>
        <w:t xml:space="preserve">On Dec. 1, 2022, in </w:t>
      </w:r>
      <w:r w:rsidRPr="00B1155B">
        <w:rPr>
          <w:rFonts w:ascii="Times New Roman" w:hAnsi="Times New Roman"/>
          <w:sz w:val="24"/>
          <w:szCs w:val="24"/>
          <w:u w:val="single"/>
        </w:rPr>
        <w:t>Donald J. Trump v. United States of America</w:t>
      </w:r>
      <w:r>
        <w:rPr>
          <w:rFonts w:ascii="Times New Roman" w:hAnsi="Times New Roman"/>
          <w:sz w:val="24"/>
          <w:szCs w:val="24"/>
        </w:rPr>
        <w:t>, the U.S. Court of Appeals for the 11</w:t>
      </w:r>
      <w:r w:rsidRPr="00B1155B">
        <w:rPr>
          <w:rFonts w:ascii="Times New Roman" w:hAnsi="Times New Roman"/>
          <w:sz w:val="24"/>
          <w:szCs w:val="24"/>
          <w:vertAlign w:val="superscript"/>
        </w:rPr>
        <w:t>th</w:t>
      </w:r>
      <w:r>
        <w:rPr>
          <w:rFonts w:ascii="Times New Roman" w:hAnsi="Times New Roman"/>
          <w:sz w:val="24"/>
          <w:szCs w:val="24"/>
        </w:rPr>
        <w:t xml:space="preserve"> Circuit (Atlanta) held (3 to 0) that U.S. District Court Judge Aileen M. Cannon of Florida had no authority to appoint Judge Raymond J. Dearie of Brooklyn (retired) as a special master to review the documents seized by FBI pursuant to a search warrant by a U.S. Magistrate Judge. President Trump’s arguments are “a sideshow.”</w:t>
      </w:r>
    </w:p>
    <w:p w14:paraId="6F81A5E3" w14:textId="77777777" w:rsidR="00AE32D3" w:rsidRDefault="00AE32D3" w:rsidP="00AE32D3">
      <w:pPr>
        <w:pStyle w:val="NoSpacing"/>
        <w:rPr>
          <w:rFonts w:ascii="Times New Roman" w:hAnsi="Times New Roman"/>
          <w:sz w:val="24"/>
          <w:szCs w:val="24"/>
        </w:rPr>
      </w:pPr>
    </w:p>
    <w:p w14:paraId="5BC5F537"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“This appeal requires us to consider whether the district court had jurisdiction to block the United States from using lawfully seized records in a criminal investigation. The answer is no.</w:t>
      </w:r>
    </w:p>
    <w:p w14:paraId="545D33A5" w14:textId="77777777" w:rsidR="00AE32D3" w:rsidRPr="00570272" w:rsidRDefault="00AE32D3" w:rsidP="00AE32D3">
      <w:pPr>
        <w:pStyle w:val="NoSpacing"/>
        <w:rPr>
          <w:rFonts w:ascii="Times New Roman" w:hAnsi="Times New Roman"/>
          <w:sz w:val="24"/>
          <w:szCs w:val="24"/>
        </w:rPr>
      </w:pPr>
    </w:p>
    <w:p w14:paraId="169313AA"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Former President Donald J. Trump brought a civil action seeking an injunction against the government after it executed a search warrant at his Mar-a-Lago residence. He argues that a court-mandated special master review process is necessary because the government's Privilege Review Team protocols were inadequate, because various seized documents are protected by executive or attorney-client privilege, because he could have declassified documents or designated them as personal rather than presidential records, and—if all that fails—because the government’s appeal was procedurally deficient. The government disagrees with each</w:t>
      </w:r>
      <w:r w:rsidRPr="00570272">
        <w:rPr>
          <w:rFonts w:ascii="Times New Roman" w:hAnsi="Times New Roman"/>
          <w:sz w:val="24"/>
          <w:szCs w:val="24"/>
        </w:rPr>
        <w:br/>
        <w:t>contention.</w:t>
      </w:r>
    </w:p>
    <w:p w14:paraId="2366289E" w14:textId="77777777" w:rsidR="00AE32D3" w:rsidRPr="00570272" w:rsidRDefault="00AE32D3" w:rsidP="00AE32D3">
      <w:pPr>
        <w:rPr>
          <w:rFonts w:ascii="Times New Roman" w:hAnsi="Times New Roman"/>
          <w:sz w:val="24"/>
          <w:szCs w:val="24"/>
        </w:rPr>
      </w:pPr>
    </w:p>
    <w:p w14:paraId="2130F04B" w14:textId="77777777" w:rsidR="00AE32D3" w:rsidRPr="00570272" w:rsidRDefault="00AE32D3" w:rsidP="00AE32D3">
      <w:pPr>
        <w:ind w:firstLine="720"/>
        <w:rPr>
          <w:rFonts w:ascii="Times New Roman" w:hAnsi="Times New Roman"/>
          <w:sz w:val="24"/>
          <w:szCs w:val="24"/>
        </w:rPr>
      </w:pPr>
      <w:r w:rsidRPr="00570272">
        <w:rPr>
          <w:rFonts w:ascii="Times New Roman" w:hAnsi="Times New Roman"/>
          <w:sz w:val="24"/>
          <w:szCs w:val="24"/>
        </w:rPr>
        <w:t>***</w:t>
      </w:r>
    </w:p>
    <w:p w14:paraId="6D7F3E3E"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In considering these arguments, we are faced with a choice: apply our usual test; drastically expand the availability of equitable jurisdiction for every subject of a search warrant; or carve out an unprecedented exception in our law for former presidents. We</w:t>
      </w:r>
      <w:r w:rsidRPr="00570272">
        <w:rPr>
          <w:rFonts w:ascii="Times New Roman" w:hAnsi="Times New Roman"/>
          <w:sz w:val="24"/>
          <w:szCs w:val="24"/>
        </w:rPr>
        <w:br/>
        <w:t xml:space="preserve">choose the first option. </w:t>
      </w:r>
      <w:proofErr w:type="gramStart"/>
      <w:r w:rsidRPr="00570272">
        <w:rPr>
          <w:rFonts w:ascii="Times New Roman" w:hAnsi="Times New Roman"/>
          <w:sz w:val="24"/>
          <w:szCs w:val="24"/>
        </w:rPr>
        <w:t>So</w:t>
      </w:r>
      <w:proofErr w:type="gramEnd"/>
      <w:r w:rsidRPr="00570272">
        <w:rPr>
          <w:rFonts w:ascii="Times New Roman" w:hAnsi="Times New Roman"/>
          <w:sz w:val="24"/>
          <w:szCs w:val="24"/>
        </w:rPr>
        <w:t xml:space="preserve"> the case must be dismissed.</w:t>
      </w:r>
    </w:p>
    <w:p w14:paraId="4583B7ED" w14:textId="77777777" w:rsidR="00AE32D3" w:rsidRPr="00570272" w:rsidRDefault="00AE32D3" w:rsidP="00AE32D3">
      <w:pPr>
        <w:pStyle w:val="NoSpacing"/>
        <w:ind w:left="720"/>
        <w:rPr>
          <w:rFonts w:ascii="Times New Roman" w:hAnsi="Times New Roman"/>
          <w:sz w:val="24"/>
          <w:szCs w:val="24"/>
        </w:rPr>
      </w:pPr>
    </w:p>
    <w:p w14:paraId="6933CC0C"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w:t>
      </w:r>
    </w:p>
    <w:p w14:paraId="0327D71C" w14:textId="77777777" w:rsidR="00AE32D3" w:rsidRPr="00570272" w:rsidRDefault="00AE32D3" w:rsidP="00AE32D3">
      <w:pPr>
        <w:pStyle w:val="NoSpacing"/>
        <w:ind w:firstLine="720"/>
        <w:rPr>
          <w:rFonts w:ascii="Times New Roman" w:hAnsi="Times New Roman"/>
          <w:sz w:val="24"/>
          <w:szCs w:val="24"/>
        </w:rPr>
      </w:pPr>
    </w:p>
    <w:p w14:paraId="2A73EC1E"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 xml:space="preserve">The magistrate judge decided that issue when approving the </w:t>
      </w:r>
      <w:proofErr w:type="gramStart"/>
      <w:r w:rsidRPr="00570272">
        <w:rPr>
          <w:rFonts w:ascii="Times New Roman" w:hAnsi="Times New Roman"/>
          <w:sz w:val="24"/>
          <w:szCs w:val="24"/>
        </w:rPr>
        <w:t>warrant</w:t>
      </w:r>
      <w:proofErr w:type="gramEnd"/>
      <w:r w:rsidRPr="00570272">
        <w:rPr>
          <w:rFonts w:ascii="Times New Roman" w:hAnsi="Times New Roman"/>
          <w:sz w:val="24"/>
          <w:szCs w:val="24"/>
        </w:rPr>
        <w:t>. To the extent that the categorization of these documents has legal relevance in future proceedings, the issue can be raised at that time… All these arguments are a sideshow.</w:t>
      </w:r>
    </w:p>
    <w:p w14:paraId="14B1DA44" w14:textId="6908E85D" w:rsidR="00AE32D3" w:rsidRDefault="00AE32D3" w:rsidP="00AE32D3">
      <w:pPr>
        <w:pStyle w:val="NoSpacing"/>
        <w:ind w:left="720"/>
        <w:rPr>
          <w:rFonts w:ascii="Arial Black" w:hAnsi="Arial Black"/>
          <w:sz w:val="28"/>
          <w:szCs w:val="28"/>
        </w:rPr>
      </w:pPr>
      <w:hyperlink r:id="rId701" w:history="1">
        <w:r w:rsidRPr="00E01337">
          <w:rPr>
            <w:rStyle w:val="Hyperlink"/>
            <w:rFonts w:ascii="Times New Roman" w:hAnsi="Times New Roman"/>
            <w:sz w:val="24"/>
            <w:szCs w:val="24"/>
          </w:rPr>
          <w:t>https://docs-cdn-prod.news-engineering.aws.wapo.pub/publish_document/5c87d9b8-631f-41c7-92e8-129f412d0e0f/published/5c87d9b8-631f-41c7-92e8-129f412d0e0f.pdf</w:t>
        </w:r>
      </w:hyperlink>
    </w:p>
    <w:p w14:paraId="053FFE4F" w14:textId="686110CB" w:rsidR="00AE32D3" w:rsidRDefault="00AE32D3" w:rsidP="00F326E5">
      <w:pPr>
        <w:pStyle w:val="NoSpacing"/>
        <w:rPr>
          <w:rFonts w:ascii="Arial Black" w:hAnsi="Arial Black"/>
          <w:sz w:val="28"/>
          <w:szCs w:val="28"/>
        </w:rPr>
      </w:pPr>
    </w:p>
    <w:p w14:paraId="6ECE34C1" w14:textId="77CAB75D" w:rsidR="00AE32D3" w:rsidRDefault="00AE32D3" w:rsidP="00F326E5">
      <w:pPr>
        <w:pStyle w:val="NoSpacing"/>
        <w:rPr>
          <w:rFonts w:ascii="Arial Black" w:hAnsi="Arial Black"/>
          <w:sz w:val="28"/>
          <w:szCs w:val="28"/>
        </w:rPr>
      </w:pPr>
      <w:r w:rsidRPr="00E664A5">
        <w:rPr>
          <w:rFonts w:ascii="Times New Roman" w:hAnsi="Times New Roman"/>
          <w:b/>
          <w:bCs/>
          <w:sz w:val="24"/>
          <w:szCs w:val="24"/>
        </w:rPr>
        <w:t>Legal Lesson Learned:</w:t>
      </w:r>
      <w:r>
        <w:rPr>
          <w:rFonts w:ascii="Times New Roman" w:hAnsi="Times New Roman"/>
          <w:b/>
          <w:bCs/>
          <w:sz w:val="24"/>
          <w:szCs w:val="24"/>
        </w:rPr>
        <w:t xml:space="preserve"> Documents were seized pursuant to a search warrant issued with probably cause.  Nice to see the 11</w:t>
      </w:r>
      <w:r w:rsidRPr="008033B3">
        <w:rPr>
          <w:rFonts w:ascii="Times New Roman" w:hAnsi="Times New Roman"/>
          <w:b/>
          <w:bCs/>
          <w:sz w:val="24"/>
          <w:szCs w:val="24"/>
          <w:vertAlign w:val="superscript"/>
        </w:rPr>
        <w:t>th</w:t>
      </w:r>
      <w:r>
        <w:rPr>
          <w:rFonts w:ascii="Times New Roman" w:hAnsi="Times New Roman"/>
          <w:b/>
          <w:bCs/>
          <w:sz w:val="24"/>
          <w:szCs w:val="24"/>
        </w:rPr>
        <w:t xml:space="preserve"> Circuit stop the “sideshow.”</w:t>
      </w:r>
    </w:p>
    <w:p w14:paraId="7469C09B" w14:textId="77777777" w:rsidR="00AE32D3" w:rsidRDefault="00AE32D3" w:rsidP="00F326E5">
      <w:pPr>
        <w:pStyle w:val="NoSpacing"/>
        <w:rPr>
          <w:rFonts w:ascii="Arial Black" w:hAnsi="Arial Black"/>
          <w:sz w:val="28"/>
          <w:szCs w:val="28"/>
        </w:rPr>
      </w:pPr>
    </w:p>
    <w:p w14:paraId="7D799E7D" w14:textId="030BBD4C" w:rsidR="006D2C51" w:rsidRDefault="006D2C51" w:rsidP="00F326E5">
      <w:pPr>
        <w:pStyle w:val="NoSpacing"/>
        <w:rPr>
          <w:rFonts w:ascii="Arial Black" w:hAnsi="Arial Black"/>
          <w:sz w:val="28"/>
          <w:szCs w:val="28"/>
        </w:rPr>
      </w:pPr>
      <w:r>
        <w:rPr>
          <w:rFonts w:ascii="Arial Black" w:hAnsi="Arial Black"/>
          <w:sz w:val="28"/>
          <w:szCs w:val="28"/>
        </w:rPr>
        <w:lastRenderedPageBreak/>
        <w:t>3-45</w:t>
      </w:r>
    </w:p>
    <w:p w14:paraId="73FF36D1" w14:textId="77777777" w:rsidR="006D2C51" w:rsidRPr="00A4481C" w:rsidRDefault="006D2C51" w:rsidP="006D2C5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DC: DRONES – FAA REQUIRES DRONES TO ADMIT SIGNAL – “REMOTE ID” – NOT GOVT “WARRANTLESS SURVEILLANCE”</w:t>
      </w:r>
    </w:p>
    <w:p w14:paraId="20E6E198" w14:textId="77777777" w:rsidR="006D2C51" w:rsidRPr="00A4481C" w:rsidRDefault="006D2C51" w:rsidP="006D2C5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July 29, 2022, in </w:t>
      </w:r>
      <w:r w:rsidRPr="006C1D0D">
        <w:rPr>
          <w:rFonts w:ascii="Times New Roman" w:eastAsia="Times New Roman" w:hAnsi="Times New Roman"/>
          <w:sz w:val="24"/>
          <w:szCs w:val="24"/>
          <w:u w:val="single"/>
        </w:rPr>
        <w:t xml:space="preserve">Tyler Brennan and </w:t>
      </w:r>
      <w:proofErr w:type="spellStart"/>
      <w:r w:rsidRPr="006C1D0D">
        <w:rPr>
          <w:rFonts w:ascii="Times New Roman" w:eastAsia="Times New Roman" w:hAnsi="Times New Roman"/>
          <w:sz w:val="24"/>
          <w:szCs w:val="24"/>
          <w:u w:val="single"/>
        </w:rPr>
        <w:t>ReaceDayQuads</w:t>
      </w:r>
      <w:proofErr w:type="spellEnd"/>
      <w:r w:rsidRPr="006C1D0D">
        <w:rPr>
          <w:rFonts w:ascii="Times New Roman" w:eastAsia="Times New Roman" w:hAnsi="Times New Roman"/>
          <w:sz w:val="24"/>
          <w:szCs w:val="24"/>
          <w:u w:val="single"/>
        </w:rPr>
        <w:t xml:space="preserve"> LLC v. Stephen Dickson, Administrator and Federal Aviation Administration</w:t>
      </w:r>
      <w:r>
        <w:rPr>
          <w:rFonts w:ascii="Times New Roman" w:eastAsia="Times New Roman" w:hAnsi="Times New Roman"/>
          <w:sz w:val="24"/>
          <w:szCs w:val="24"/>
        </w:rPr>
        <w:t>, the U.S. Court of Appeals for the District of Columbia held (3 to 0) that FAA regulations are lawful. “</w:t>
      </w:r>
      <w:r w:rsidRPr="00A4481C">
        <w:rPr>
          <w:rFonts w:ascii="Times New Roman" w:eastAsia="Times New Roman" w:hAnsi="Times New Roman"/>
          <w:sz w:val="24"/>
          <w:szCs w:val="24"/>
        </w:rPr>
        <w:t xml:space="preserve">Petitioners Tyler Brennan, a drone user, and </w:t>
      </w:r>
      <w:proofErr w:type="spellStart"/>
      <w:r w:rsidRPr="00A4481C">
        <w:rPr>
          <w:rFonts w:ascii="Times New Roman" w:eastAsia="Times New Roman" w:hAnsi="Times New Roman"/>
          <w:sz w:val="24"/>
          <w:szCs w:val="24"/>
        </w:rPr>
        <w:t>RaceDayQuads</w:t>
      </w:r>
      <w:proofErr w:type="spellEnd"/>
      <w:r>
        <w:rPr>
          <w:rFonts w:ascii="Times New Roman" w:eastAsia="Times New Roman" w:hAnsi="Times New Roman"/>
          <w:sz w:val="24"/>
          <w:szCs w:val="24"/>
        </w:rPr>
        <w:t xml:space="preserve"> [</w:t>
      </w:r>
      <w:hyperlink r:id="rId702" w:history="1">
        <w:r w:rsidRPr="00272AA8">
          <w:rPr>
            <w:rStyle w:val="Hyperlink"/>
            <w:rFonts w:ascii="Times New Roman" w:eastAsia="Times New Roman" w:hAnsi="Times New Roman"/>
            <w:sz w:val="24"/>
            <w:szCs w:val="24"/>
          </w:rPr>
          <w:t>https://middlemarketgrowth.org/podcast-tyler-brennan-racedayquads/</w:t>
        </w:r>
      </w:hyperlink>
      <w:r>
        <w:rPr>
          <w:rFonts w:ascii="Times New Roman" w:eastAsia="Times New Roman" w:hAnsi="Times New Roman"/>
          <w:sz w:val="24"/>
          <w:szCs w:val="24"/>
        </w:rPr>
        <w:t xml:space="preserve"> ] </w:t>
      </w:r>
      <w:r w:rsidRPr="00A4481C">
        <w:rPr>
          <w:rFonts w:ascii="Times New Roman" w:eastAsia="Times New Roman" w:hAnsi="Times New Roman"/>
          <w:sz w:val="24"/>
          <w:szCs w:val="24"/>
        </w:rPr>
        <w:t>the drone retailer Brennan owns (referred to jointly as Brennan), want the Rule vacated</w:t>
      </w:r>
      <w:r>
        <w:rPr>
          <w:rFonts w:ascii="Times New Roman" w:eastAsia="Times New Roman" w:hAnsi="Times New Roman"/>
          <w:sz w:val="24"/>
          <w:szCs w:val="24"/>
        </w:rPr>
        <w:t xml:space="preserve">…. </w:t>
      </w:r>
      <w:r w:rsidRPr="00A4481C">
        <w:rPr>
          <w:rFonts w:ascii="Times New Roman" w:eastAsia="Times New Roman" w:hAnsi="Times New Roman"/>
          <w:sz w:val="24"/>
          <w:szCs w:val="24"/>
        </w:rPr>
        <w:t>Brennan asserts that the Rule's Remote ID requirement amounts to constant, warrantless governmental surveillance in violation of the Fourth Amendment.</w:t>
      </w:r>
      <w:r>
        <w:rPr>
          <w:rFonts w:ascii="Times New Roman" w:eastAsia="Times New Roman" w:hAnsi="Times New Roman"/>
          <w:sz w:val="24"/>
          <w:szCs w:val="24"/>
        </w:rPr>
        <w:t xml:space="preserve"> </w:t>
      </w:r>
      <w:r w:rsidRPr="00A4481C">
        <w:rPr>
          <w:rFonts w:ascii="Times New Roman" w:hAnsi="Times New Roman"/>
          <w:sz w:val="24"/>
          <w:szCs w:val="24"/>
        </w:rPr>
        <w:t>His request for vacatur of the Rule, amounting to a facial challenge, must fail because drones are virtually always flown in public. Requiring a drone to show its location and that of its operator while the drone is aloft in the open air violates no reasonable expectation of privacy. Brennan hypothesizes that law enforcement authorities could use Remote ID to carry out continuous surveillance of drone pilots' public locations amounting to a constitutionally cognizable search, or that the Rule could be applied in ways that would reveal an operator's identity and location at a home or in an otherwise private place. But he has not shown that any such uses of Remote ID have either harmed him or imminently will do so, thus he presents no currently justiciable, as-applied challenge.</w:t>
      </w:r>
      <w:r>
        <w:rPr>
          <w:rFonts w:ascii="Times New Roman" w:hAnsi="Times New Roman"/>
          <w:sz w:val="24"/>
          <w:szCs w:val="24"/>
        </w:rPr>
        <w:t xml:space="preserve">” </w:t>
      </w:r>
      <w:hyperlink r:id="rId703" w:history="1">
        <w:r w:rsidRPr="00A4481C">
          <w:rPr>
            <w:rStyle w:val="Hyperlink"/>
            <w:rFonts w:ascii="Times New Roman" w:eastAsia="Times New Roman" w:hAnsi="Times New Roman"/>
            <w:sz w:val="24"/>
            <w:szCs w:val="24"/>
          </w:rPr>
          <w:t>https://www.cadc.uscourts.gov/internet/opinions.nsf/55807FB471B60BB08525888E0051AEA6/$file/21-1087-1956978.pdf</w:t>
        </w:r>
      </w:hyperlink>
      <w:r w:rsidRPr="00A4481C">
        <w:rPr>
          <w:rFonts w:ascii="Times New Roman" w:eastAsia="Times New Roman" w:hAnsi="Times New Roman"/>
          <w:sz w:val="24"/>
          <w:szCs w:val="24"/>
        </w:rPr>
        <w:t xml:space="preserve"> </w:t>
      </w:r>
    </w:p>
    <w:p w14:paraId="1AC96945" w14:textId="77777777" w:rsidR="006D2C51" w:rsidRPr="00C73817" w:rsidRDefault="006D2C51" w:rsidP="006D2C51">
      <w:pPr>
        <w:pStyle w:val="NormalWeb"/>
        <w:rPr>
          <w:b/>
          <w:bCs/>
        </w:rPr>
      </w:pPr>
      <w:r w:rsidRPr="00C73817">
        <w:rPr>
          <w:b/>
          <w:bCs/>
        </w:rPr>
        <w:t xml:space="preserve">Legal Lesson Learned: </w:t>
      </w:r>
      <w:r>
        <w:rPr>
          <w:b/>
          <w:bCs/>
        </w:rPr>
        <w:t xml:space="preserve">Drones can be potential terrorist weapon; Remote ID provides important protection.  </w:t>
      </w:r>
    </w:p>
    <w:p w14:paraId="3BD8310B" w14:textId="77777777" w:rsidR="006D2C51" w:rsidRDefault="006D2C51" w:rsidP="006D2C51">
      <w:pPr>
        <w:pStyle w:val="NormalWeb"/>
        <w:ind w:left="720"/>
      </w:pPr>
      <w:r>
        <w:t xml:space="preserve">Note: The Court referenced terrorist events with drones. </w:t>
      </w:r>
    </w:p>
    <w:p w14:paraId="6FDE3694" w14:textId="77777777" w:rsidR="006D2C51" w:rsidRDefault="006D2C51" w:rsidP="006D2C5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73817">
        <w:rPr>
          <w:rFonts w:ascii="Times New Roman" w:hAnsi="Times New Roman"/>
          <w:sz w:val="24"/>
          <w:szCs w:val="24"/>
        </w:rPr>
        <w:t>Extremists have increasingly sought to use drones to carry out violent attacks: Terrorists killed several people by detonating a bomb carried by a drone that flew above a military parade in Yemen…. The Islamic State and other terrorist organizations have reportedly modified commercially available drones so they can carry and release munitions and explosives</w:t>
      </w:r>
      <w:r>
        <w:rPr>
          <w:rFonts w:ascii="Times New Roman" w:hAnsi="Times New Roman"/>
          <w:sz w:val="24"/>
          <w:szCs w:val="24"/>
        </w:rPr>
        <w:t xml:space="preserve">…. </w:t>
      </w:r>
      <w:r w:rsidRPr="00C73817">
        <w:rPr>
          <w:rFonts w:ascii="Times New Roman" w:hAnsi="Times New Roman"/>
          <w:sz w:val="24"/>
          <w:szCs w:val="24"/>
        </w:rPr>
        <w:t>A would-be assassin used a drone to target then-President Nicolas Maduro in Venezuela….And British intelligence agencies uncovered a terrorist plan to fly drones into the engines of commercial airplanes as they took off from airports in the United Kingdom….</w:t>
      </w:r>
    </w:p>
    <w:p w14:paraId="3AE0C5D3" w14:textId="77777777" w:rsidR="006D2C51" w:rsidRPr="001911A7" w:rsidRDefault="006D2C51" w:rsidP="006D2C51">
      <w:pPr>
        <w:pStyle w:val="NormalWeb"/>
        <w:ind w:left="720"/>
      </w:pPr>
      <w:r w:rsidRPr="001911A7">
        <w:t xml:space="preserve">Footnote 1: Citing Scott Gleeson, </w:t>
      </w:r>
      <w:r w:rsidRPr="001911A7">
        <w:rPr>
          <w:rStyle w:val="Emphasis"/>
        </w:rPr>
        <w:t>Juvenile Was Operating the Drone that Flew Over Fenway Park in Red Sox Game, Police Say</w:t>
      </w:r>
      <w:r w:rsidRPr="001911A7">
        <w:t>, USA TODAY (Apr. 13, 2019), https://www.usatoday.com/story/sports/mlb/redsox/2019/04/13/dro ne-</w:t>
      </w:r>
      <w:proofErr w:type="spellStart"/>
      <w:r w:rsidRPr="001911A7">
        <w:t>fenway</w:t>
      </w:r>
      <w:proofErr w:type="spellEnd"/>
      <w:r w:rsidRPr="001911A7">
        <w:t xml:space="preserve">-park-juvenile/3457190002/; Lori Aratani, </w:t>
      </w:r>
      <w:r w:rsidRPr="001911A7">
        <w:rPr>
          <w:rStyle w:val="Emphasis"/>
        </w:rPr>
        <w:t>Drone Activity Halts Air Traffic at Newark Liberty International Airport</w:t>
      </w:r>
      <w:r w:rsidRPr="001911A7">
        <w:t>, WASH. POST (Jan. 22, 2019), https://www.washingtonpost.com/transportation/2019/01/22/drone-activity-halts-air-traffic-newark-liberty-international-airport/.</w:t>
      </w:r>
    </w:p>
    <w:p w14:paraId="5C120572" w14:textId="77777777" w:rsidR="006D2C51" w:rsidRPr="001911A7" w:rsidRDefault="006D2C51" w:rsidP="006D2C51">
      <w:pPr>
        <w:pStyle w:val="NormalWeb"/>
        <w:ind w:left="720"/>
      </w:pPr>
      <w:r w:rsidRPr="001911A7">
        <w:t xml:space="preserve">Footnote 2: Citing </w:t>
      </w:r>
      <w:r w:rsidRPr="001911A7">
        <w:rPr>
          <w:rStyle w:val="Emphasis"/>
        </w:rPr>
        <w:t>Houthi Drones Kill Several at Yemeni Military Parade</w:t>
      </w:r>
      <w:r w:rsidRPr="001911A7">
        <w:t xml:space="preserve">, REUTERS (Jan. 10, 2019), https://www.reuters.com/article/us-yemen-security/houthi-drones-kill-several-at-yemei-military-parade-idUSKCN1P40N9. </w:t>
      </w:r>
    </w:p>
    <w:p w14:paraId="3A67BF6E" w14:textId="77777777" w:rsidR="006D2C51" w:rsidRPr="001911A7" w:rsidRDefault="006D2C51" w:rsidP="006D2C51">
      <w:pPr>
        <w:pStyle w:val="NormalWeb"/>
        <w:ind w:left="720"/>
      </w:pPr>
      <w:r w:rsidRPr="001911A7">
        <w:t xml:space="preserve">Footnote </w:t>
      </w:r>
      <w:r>
        <w:t xml:space="preserve">3: </w:t>
      </w:r>
      <w:r w:rsidRPr="001911A7">
        <w:t xml:space="preserve">Citing Don Rassler, </w:t>
      </w:r>
      <w:r w:rsidRPr="001911A7">
        <w:rPr>
          <w:rStyle w:val="Emphasis"/>
        </w:rPr>
        <w:t>The Islamic State and Drones: Supply, Scale, and Future Threats</w:t>
      </w:r>
      <w:r w:rsidRPr="001911A7">
        <w:t xml:space="preserve">, COMBATING TERRORISM CTR. AT WEST POINT, at iv (July 2018), https://ctc.usma.edu/wp-content/uploads/2018/07/Islamic-State-and-Drones-Release-Version.pdf. </w:t>
      </w:r>
    </w:p>
    <w:p w14:paraId="3927B0B5" w14:textId="77777777" w:rsidR="006D2C51" w:rsidRPr="001911A7" w:rsidRDefault="006D2C51" w:rsidP="006D2C51">
      <w:pPr>
        <w:pStyle w:val="NormalWeb"/>
        <w:ind w:left="720"/>
      </w:pPr>
      <w:r w:rsidRPr="001911A7">
        <w:lastRenderedPageBreak/>
        <w:t xml:space="preserve">Footnote </w:t>
      </w:r>
      <w:r>
        <w:t>4:</w:t>
      </w:r>
      <w:r w:rsidRPr="001911A7">
        <w:rPr>
          <w:vertAlign w:val="superscript"/>
        </w:rPr>
        <w:t xml:space="preserve"> </w:t>
      </w:r>
      <w:r w:rsidRPr="001911A7">
        <w:t xml:space="preserve">Citing </w:t>
      </w:r>
      <w:r w:rsidRPr="001911A7">
        <w:rPr>
          <w:rStyle w:val="Emphasis"/>
        </w:rPr>
        <w:t>Venezuela President Maduro Survives 'Drone Assassination Attempt'</w:t>
      </w:r>
      <w:r w:rsidRPr="001911A7">
        <w:t xml:space="preserve">, BBC (Aug. 5, 2018), https://www.bbc.com/news/world-latin-america-45073385. </w:t>
      </w:r>
    </w:p>
    <w:p w14:paraId="42B2F01D" w14:textId="77777777" w:rsidR="006D2C51" w:rsidRPr="00C73817" w:rsidRDefault="006D2C51" w:rsidP="006D2C51">
      <w:pPr>
        <w:spacing w:before="100" w:beforeAutospacing="1" w:after="100" w:afterAutospacing="1" w:line="240" w:lineRule="auto"/>
        <w:ind w:left="720"/>
        <w:rPr>
          <w:rFonts w:ascii="Times New Roman" w:eastAsia="Times New Roman" w:hAnsi="Times New Roman"/>
          <w:sz w:val="24"/>
          <w:szCs w:val="24"/>
        </w:rPr>
      </w:pPr>
      <w:r w:rsidRPr="001911A7">
        <w:t xml:space="preserve">Footnote </w:t>
      </w:r>
      <w:r>
        <w:t xml:space="preserve">5: </w:t>
      </w:r>
      <w:r w:rsidRPr="001911A7">
        <w:t xml:space="preserve">Citing Patrick Williams, </w:t>
      </w:r>
      <w:r w:rsidRPr="001911A7">
        <w:rPr>
          <w:rStyle w:val="Emphasis"/>
          <w:rFonts w:ascii="Times New Roman" w:hAnsi="Times New Roman"/>
        </w:rPr>
        <w:t>Terror Drone Plot FOILED: Brit Spies Stop Plan to Bring Down AIRLINER</w:t>
      </w:r>
      <w:r w:rsidRPr="001911A7">
        <w:t xml:space="preserve">, DAILY STAR (Aug. 19, 2018), https://www.dailystar.co.uk/news/latest-news/terror-drone-plot-britain-uk-16886096. </w:t>
      </w:r>
      <w:hyperlink r:id="rId704" w:history="1">
        <w:r w:rsidRPr="00272AA8">
          <w:rPr>
            <w:rStyle w:val="Hyperlink"/>
            <w:rFonts w:ascii="Times New Roman" w:eastAsia="Times New Roman" w:hAnsi="Times New Roman"/>
            <w:sz w:val="24"/>
            <w:szCs w:val="24"/>
          </w:rPr>
          <w:t>https://www.cadc.uscourts.gov/internet/opinions.nsf/55807FB471B60BB08525888E0051AEA6/$file/21-1087-1956978.pdf</w:t>
        </w:r>
      </w:hyperlink>
      <w:r w:rsidRPr="00C73817">
        <w:rPr>
          <w:rFonts w:ascii="Times New Roman" w:eastAsia="Times New Roman" w:hAnsi="Times New Roman"/>
          <w:sz w:val="24"/>
          <w:szCs w:val="24"/>
        </w:rPr>
        <w:t xml:space="preserve"> </w:t>
      </w:r>
    </w:p>
    <w:p w14:paraId="65B252A3" w14:textId="77777777" w:rsidR="006D2C51" w:rsidRPr="001911A7" w:rsidRDefault="006D2C51" w:rsidP="006D2C51">
      <w:pPr>
        <w:pStyle w:val="NormalWeb"/>
        <w:ind w:left="720"/>
      </w:pPr>
    </w:p>
    <w:p w14:paraId="46E5ABDE" w14:textId="77777777" w:rsidR="006D2C51" w:rsidRDefault="006D2C51" w:rsidP="00F326E5">
      <w:pPr>
        <w:pStyle w:val="NoSpacing"/>
        <w:rPr>
          <w:rFonts w:ascii="Arial Black" w:hAnsi="Arial Black"/>
          <w:sz w:val="28"/>
          <w:szCs w:val="28"/>
        </w:rPr>
      </w:pPr>
    </w:p>
    <w:p w14:paraId="5BC6F366" w14:textId="77777777" w:rsidR="006D2C51" w:rsidRDefault="006D2C51" w:rsidP="00F326E5">
      <w:pPr>
        <w:pStyle w:val="NoSpacing"/>
        <w:rPr>
          <w:rFonts w:ascii="Arial Black" w:hAnsi="Arial Black"/>
          <w:sz w:val="28"/>
          <w:szCs w:val="28"/>
        </w:rPr>
      </w:pPr>
    </w:p>
    <w:p w14:paraId="73CB57DE" w14:textId="3DC22309" w:rsidR="00AE6CF5" w:rsidRDefault="009A0402" w:rsidP="00F326E5">
      <w:pPr>
        <w:pStyle w:val="NoSpacing"/>
        <w:rPr>
          <w:rFonts w:ascii="Arial Black" w:hAnsi="Arial Black"/>
          <w:sz w:val="28"/>
          <w:szCs w:val="28"/>
        </w:rPr>
      </w:pPr>
      <w:r>
        <w:rPr>
          <w:rFonts w:ascii="Arial Black" w:hAnsi="Arial Black"/>
          <w:sz w:val="28"/>
          <w:szCs w:val="28"/>
        </w:rPr>
        <w:t>3-4</w:t>
      </w:r>
      <w:r w:rsidR="007F3F5A">
        <w:rPr>
          <w:rFonts w:ascii="Arial Black" w:hAnsi="Arial Black"/>
          <w:sz w:val="28"/>
          <w:szCs w:val="28"/>
        </w:rPr>
        <w:t>4</w:t>
      </w:r>
    </w:p>
    <w:p w14:paraId="28100947" w14:textId="77777777" w:rsidR="009A0402" w:rsidRDefault="009A0402" w:rsidP="009A0402">
      <w:pPr>
        <w:spacing w:before="100" w:beforeAutospacing="1" w:after="100" w:afterAutospacing="1" w:line="240" w:lineRule="auto"/>
        <w:rPr>
          <w:rStyle w:val="markedcontent"/>
          <w:rFonts w:ascii="Arial Black" w:hAnsi="Arial Black"/>
          <w:sz w:val="28"/>
          <w:szCs w:val="28"/>
        </w:rPr>
      </w:pPr>
      <w:r>
        <w:rPr>
          <w:rStyle w:val="markedcontent"/>
          <w:rFonts w:ascii="Arial Black" w:hAnsi="Arial Black"/>
          <w:sz w:val="28"/>
          <w:szCs w:val="28"/>
        </w:rPr>
        <w:t>U.S. SUPREME COURT: IMMIGRATION - PRES. BIDEN CAN CANCEL PRES. TRUMP “REMAIN IN MEXICO” PROTOCOLS</w:t>
      </w:r>
    </w:p>
    <w:p w14:paraId="0A40B633" w14:textId="77777777" w:rsidR="009A0402" w:rsidRDefault="009A0402" w:rsidP="009A0402">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June 30, 2022, in </w:t>
      </w:r>
      <w:r>
        <w:rPr>
          <w:rStyle w:val="markedcontent"/>
          <w:rFonts w:ascii="Times New Roman" w:hAnsi="Times New Roman"/>
          <w:sz w:val="24"/>
          <w:szCs w:val="24"/>
          <w:u w:val="single"/>
        </w:rPr>
        <w:t>Biden et al. v. Texas, et al</w:t>
      </w:r>
      <w:r>
        <w:rPr>
          <w:rStyle w:val="markedcontent"/>
          <w:rFonts w:ascii="Times New Roman" w:hAnsi="Times New Roman"/>
          <w:sz w:val="24"/>
          <w:szCs w:val="24"/>
        </w:rPr>
        <w:t>., the U.S. Supreme Court held (5 to 4) that President Biden has the “discretionary” authority from Congress to end President’s Trump’s Migrant Protection Protocols (MPP). where because of the “immigration crisis” at the border some non-Mexican immigrants were immediately returned to Mexico to await later processing.  The State of Texas and Missouri filed lawsuit in Federal Court in Dallas and won a nationwide injunction against shutting down the MPP protocols. since the DHS did not issue adequate explanation for their cancellation of MPP as required by the Administrative Procedures Act.  For example, in</w:t>
      </w:r>
      <w:r>
        <w:rPr>
          <w:rFonts w:ascii="Times New Roman" w:hAnsi="Times New Roman"/>
          <w:sz w:val="24"/>
          <w:szCs w:val="24"/>
        </w:rPr>
        <w:t xml:space="preserve"> </w:t>
      </w:r>
      <w:proofErr w:type="gramStart"/>
      <w:r>
        <w:rPr>
          <w:rFonts w:ascii="Times New Roman" w:hAnsi="Times New Roman"/>
          <w:sz w:val="24"/>
          <w:szCs w:val="24"/>
        </w:rPr>
        <w:t>May,</w:t>
      </w:r>
      <w:proofErr w:type="gramEnd"/>
      <w:r>
        <w:rPr>
          <w:rFonts w:ascii="Times New Roman" w:hAnsi="Times New Roman"/>
          <w:sz w:val="24"/>
          <w:szCs w:val="24"/>
        </w:rPr>
        <w:t xml:space="preserve"> 2022, 1,460 migrants were returned to Mexico through MPP, according to DHS figures. [Note: During that same month, more than 100,000 migrants were expelled using Title 42; emergency action to stop communicable diseases, such as Covid.] </w:t>
      </w:r>
      <w:r>
        <w:rPr>
          <w:rStyle w:val="markedcontent"/>
          <w:rFonts w:ascii="Times New Roman" w:hAnsi="Times New Roman"/>
          <w:sz w:val="24"/>
          <w:szCs w:val="24"/>
        </w:rPr>
        <w:t>To comply with APA, on June 1, 2021, DHS Secretary Mayorkas issued a memorandum officially terminating MPP, but the Dallas Federal judge and the Court of Appeals for 5</w:t>
      </w:r>
      <w:r>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found it also was inadequate explanation. On October 29, the Secretary of DHS released a four-page memorandum that again announced the termination of MPP, along with a 39-page addendum explaining his reasons for doing so (the October 29 Memoranda).  The Court of Appeals denied government’s appeal, and the U.S. Supreme Court heard the case on an expedited basis.  </w:t>
      </w:r>
      <w:hyperlink r:id="rId705" w:history="1">
        <w:r>
          <w:rPr>
            <w:rStyle w:val="Hyperlink"/>
            <w:sz w:val="24"/>
            <w:szCs w:val="24"/>
          </w:rPr>
          <w:t>https://www.supremecourt.gov/opinions/21pdf/21-954_7l48.pdf</w:t>
        </w:r>
      </w:hyperlink>
      <w:r>
        <w:rPr>
          <w:rStyle w:val="markedcontent"/>
          <w:rFonts w:ascii="Times New Roman" w:hAnsi="Times New Roman"/>
          <w:sz w:val="24"/>
          <w:szCs w:val="24"/>
        </w:rPr>
        <w:t xml:space="preserve"> </w:t>
      </w:r>
    </w:p>
    <w:p w14:paraId="67940738" w14:textId="77777777" w:rsidR="009A0402" w:rsidRDefault="009A0402" w:rsidP="009A0402">
      <w:pPr>
        <w:spacing w:before="100" w:beforeAutospacing="1" w:after="100" w:afterAutospacing="1" w:line="240" w:lineRule="auto"/>
        <w:rPr>
          <w:rStyle w:val="markedcontent"/>
          <w:rFonts w:ascii="Times New Roman" w:hAnsi="Times New Roman"/>
          <w:b/>
          <w:bCs/>
          <w:sz w:val="24"/>
          <w:szCs w:val="24"/>
        </w:rPr>
      </w:pPr>
      <w:r>
        <w:rPr>
          <w:rStyle w:val="markedcontent"/>
          <w:rFonts w:ascii="Times New Roman" w:hAnsi="Times New Roman"/>
          <w:b/>
          <w:bCs/>
          <w:sz w:val="24"/>
          <w:szCs w:val="24"/>
        </w:rPr>
        <w:t xml:space="preserve">Legal Lesson Learned: Immigration and release of immigrants into our nation prior to review by an Immigration administrative law judge is a “hot topic” for the U.S. Supreme Court and our Nation. </w:t>
      </w:r>
    </w:p>
    <w:p w14:paraId="34E5CA88" w14:textId="77777777" w:rsidR="009A0402" w:rsidRPr="009A0402" w:rsidRDefault="009A0402" w:rsidP="009A0402">
      <w:pPr>
        <w:pStyle w:val="Heading2"/>
        <w:ind w:left="720"/>
        <w:rPr>
          <w:rFonts w:ascii="Times New Roman" w:hAnsi="Times New Roman"/>
          <w:b w:val="0"/>
          <w:bCs w:val="0"/>
          <w:i w:val="0"/>
          <w:iCs w:val="0"/>
          <w:sz w:val="24"/>
          <w:szCs w:val="24"/>
        </w:rPr>
      </w:pPr>
      <w:r w:rsidRPr="009A0402">
        <w:rPr>
          <w:rStyle w:val="markedcontent"/>
          <w:rFonts w:ascii="Times New Roman" w:hAnsi="Times New Roman"/>
          <w:b w:val="0"/>
          <w:bCs w:val="0"/>
          <w:i w:val="0"/>
          <w:iCs w:val="0"/>
          <w:sz w:val="24"/>
          <w:szCs w:val="24"/>
        </w:rPr>
        <w:t>Note: See article, “</w:t>
      </w:r>
      <w:r w:rsidRPr="009A0402">
        <w:rPr>
          <w:rFonts w:ascii="Times New Roman" w:hAnsi="Times New Roman"/>
          <w:b w:val="0"/>
          <w:bCs w:val="0"/>
          <w:i w:val="0"/>
          <w:iCs w:val="0"/>
          <w:sz w:val="24"/>
          <w:szCs w:val="24"/>
        </w:rPr>
        <w:t xml:space="preserve">Biden handed big immigration win by Supreme </w:t>
      </w:r>
      <w:proofErr w:type="gramStart"/>
      <w:r w:rsidRPr="009A0402">
        <w:rPr>
          <w:rFonts w:ascii="Times New Roman" w:hAnsi="Times New Roman"/>
          <w:b w:val="0"/>
          <w:bCs w:val="0"/>
          <w:i w:val="0"/>
          <w:iCs w:val="0"/>
          <w:sz w:val="24"/>
          <w:szCs w:val="24"/>
        </w:rPr>
        <w:t>Court</w:t>
      </w:r>
      <w:proofErr w:type="gramEnd"/>
      <w:r w:rsidRPr="009A0402">
        <w:rPr>
          <w:rFonts w:ascii="Times New Roman" w:hAnsi="Times New Roman"/>
          <w:b w:val="0"/>
          <w:bCs w:val="0"/>
          <w:i w:val="0"/>
          <w:iCs w:val="0"/>
          <w:sz w:val="24"/>
          <w:szCs w:val="24"/>
        </w:rPr>
        <w:t xml:space="preserve"> but challenges remain” (June 30, 2022); </w:t>
      </w:r>
      <w:hyperlink r:id="rId706" w:history="1">
        <w:r w:rsidRPr="009A0402">
          <w:rPr>
            <w:rStyle w:val="Hyperlink"/>
            <w:rFonts w:ascii="Times New Roman" w:hAnsi="Times New Roman"/>
            <w:b w:val="0"/>
            <w:bCs w:val="0"/>
            <w:i w:val="0"/>
            <w:iCs w:val="0"/>
            <w:sz w:val="24"/>
            <w:szCs w:val="24"/>
          </w:rPr>
          <w:t>https://www.politico.com/news/2022/06/30/white-house-immigration-supreme-court-win-00043667</w:t>
        </w:r>
      </w:hyperlink>
      <w:r w:rsidRPr="009A0402">
        <w:rPr>
          <w:rFonts w:ascii="Times New Roman" w:hAnsi="Times New Roman"/>
          <w:b w:val="0"/>
          <w:bCs w:val="0"/>
          <w:i w:val="0"/>
          <w:iCs w:val="0"/>
          <w:sz w:val="24"/>
          <w:szCs w:val="24"/>
        </w:rPr>
        <w:t xml:space="preserve"> . </w:t>
      </w:r>
    </w:p>
    <w:p w14:paraId="6E979F6A" w14:textId="77777777" w:rsidR="009A0402" w:rsidRPr="009A0402" w:rsidRDefault="009A0402" w:rsidP="009A0402">
      <w:pPr>
        <w:pStyle w:val="Heading2"/>
        <w:ind w:left="720"/>
        <w:rPr>
          <w:rFonts w:ascii="Times New Roman" w:hAnsi="Times New Roman"/>
          <w:b w:val="0"/>
          <w:bCs w:val="0"/>
          <w:i w:val="0"/>
          <w:iCs w:val="0"/>
          <w:sz w:val="24"/>
          <w:szCs w:val="24"/>
        </w:rPr>
      </w:pPr>
      <w:r w:rsidRPr="009A0402">
        <w:rPr>
          <w:rFonts w:ascii="Times New Roman" w:hAnsi="Times New Roman"/>
          <w:b w:val="0"/>
          <w:bCs w:val="0"/>
          <w:i w:val="0"/>
          <w:iCs w:val="0"/>
          <w:sz w:val="24"/>
          <w:szCs w:val="24"/>
        </w:rPr>
        <w:t>See also: “The Trump Administration used Title 42 to designate hundreds of thousands of migrants for “expulsion,” arguing that allowing these migrants to enter the U.S. may increase the spread of COVID-19.” </w:t>
      </w:r>
      <w:hyperlink r:id="rId707" w:history="1">
        <w:r w:rsidRPr="009A0402">
          <w:rPr>
            <w:rStyle w:val="Hyperlink"/>
            <w:rFonts w:ascii="Times New Roman" w:hAnsi="Times New Roman"/>
            <w:b w:val="0"/>
            <w:bCs w:val="0"/>
            <w:i w:val="0"/>
            <w:iCs w:val="0"/>
            <w:sz w:val="24"/>
            <w:szCs w:val="24"/>
          </w:rPr>
          <w:t>https://puenteaz.org/title42/</w:t>
        </w:r>
      </w:hyperlink>
      <w:r w:rsidRPr="009A0402">
        <w:rPr>
          <w:rFonts w:ascii="Times New Roman" w:hAnsi="Times New Roman"/>
          <w:b w:val="0"/>
          <w:bCs w:val="0"/>
          <w:i w:val="0"/>
          <w:iCs w:val="0"/>
          <w:sz w:val="24"/>
          <w:szCs w:val="24"/>
        </w:rPr>
        <w:t xml:space="preserve"> </w:t>
      </w:r>
    </w:p>
    <w:p w14:paraId="611970FA" w14:textId="77777777" w:rsidR="009A0402" w:rsidRDefault="009A0402" w:rsidP="00F326E5">
      <w:pPr>
        <w:pStyle w:val="NoSpacing"/>
        <w:rPr>
          <w:rFonts w:ascii="Arial Black" w:hAnsi="Arial Black"/>
          <w:sz w:val="28"/>
          <w:szCs w:val="28"/>
        </w:rPr>
      </w:pPr>
    </w:p>
    <w:p w14:paraId="426174DB" w14:textId="258A2217" w:rsidR="009A0402" w:rsidRDefault="007F3F5A" w:rsidP="00F326E5">
      <w:pPr>
        <w:pStyle w:val="NoSpacing"/>
        <w:rPr>
          <w:rFonts w:ascii="Arial Black" w:hAnsi="Arial Black"/>
          <w:sz w:val="28"/>
          <w:szCs w:val="28"/>
        </w:rPr>
      </w:pPr>
      <w:r>
        <w:rPr>
          <w:rFonts w:ascii="Arial Black" w:hAnsi="Arial Black"/>
          <w:sz w:val="28"/>
          <w:szCs w:val="28"/>
        </w:rPr>
        <w:t>3-43</w:t>
      </w:r>
    </w:p>
    <w:p w14:paraId="3F4AA11A" w14:textId="2D1326A2" w:rsidR="007F3F5A" w:rsidRDefault="007F3F5A" w:rsidP="00F326E5">
      <w:pPr>
        <w:pStyle w:val="NoSpacing"/>
        <w:rPr>
          <w:rFonts w:ascii="Arial Black" w:hAnsi="Arial Black"/>
          <w:sz w:val="28"/>
          <w:szCs w:val="28"/>
        </w:rPr>
      </w:pPr>
    </w:p>
    <w:p w14:paraId="576A3CCA" w14:textId="77777777" w:rsidR="007F3F5A" w:rsidRDefault="007F3F5A" w:rsidP="007F3F5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lastRenderedPageBreak/>
        <w:t xml:space="preserve">DC: JAN. 6, </w:t>
      </w:r>
      <w:proofErr w:type="gramStart"/>
      <w:r>
        <w:rPr>
          <w:rFonts w:ascii="Arial Black" w:eastAsia="Times New Roman" w:hAnsi="Arial Black"/>
          <w:sz w:val="28"/>
          <w:szCs w:val="28"/>
        </w:rPr>
        <w:t>2021</w:t>
      </w:r>
      <w:proofErr w:type="gramEnd"/>
      <w:r>
        <w:rPr>
          <w:rFonts w:ascii="Arial Black" w:eastAsia="Times New Roman" w:hAnsi="Arial Black"/>
          <w:sz w:val="28"/>
          <w:szCs w:val="28"/>
        </w:rPr>
        <w:t xml:space="preserve"> ATTACK ON CAPITOL – DEF. STAND TRIAL “OBSTRUCT, IMPEDED, INTERFERE” WITH POLICE</w:t>
      </w:r>
    </w:p>
    <w:p w14:paraId="21AAE66E" w14:textId="77777777" w:rsidR="007F3F5A" w:rsidRDefault="007F3F5A" w:rsidP="007F3F5A">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June 22, 2022, in </w:t>
      </w:r>
      <w:r>
        <w:rPr>
          <w:rFonts w:ascii="Times New Roman" w:eastAsia="Times New Roman" w:hAnsi="Times New Roman"/>
          <w:sz w:val="24"/>
          <w:szCs w:val="24"/>
          <w:u w:val="single"/>
        </w:rPr>
        <w:t>United States of America v. Riley June Williams</w:t>
      </w:r>
      <w:r>
        <w:rPr>
          <w:rFonts w:ascii="Times New Roman" w:eastAsia="Times New Roman" w:hAnsi="Times New Roman"/>
          <w:sz w:val="24"/>
          <w:szCs w:val="24"/>
        </w:rPr>
        <w:t>, U.S. District Court Judge Amy Berman Jackson, U.S. District Court, District of Columbia, denied the defendant’s motion her eight-count indictment, including charge of obstructing law enforcement officers. “</w:t>
      </w:r>
      <w:r>
        <w:rPr>
          <w:rFonts w:ascii="Times New Roman" w:hAnsi="Times New Roman"/>
          <w:sz w:val="24"/>
          <w:szCs w:val="24"/>
        </w:rPr>
        <w:t xml:space="preserve">This case is one of many arising out of the events at the United States Capitol on January 6, 2021, and all of the legal challenges Williams raises in her motions have been considered and rejected by other courts in this district.”  </w:t>
      </w:r>
      <w:hyperlink r:id="rId708" w:history="1">
        <w:r>
          <w:rPr>
            <w:rStyle w:val="Hyperlink"/>
            <w:sz w:val="24"/>
            <w:szCs w:val="24"/>
          </w:rPr>
          <w:t>https://casetext.com/case/united-states-v-williams-3941</w:t>
        </w:r>
      </w:hyperlink>
      <w:r>
        <w:rPr>
          <w:rFonts w:ascii="Times New Roman" w:hAnsi="Times New Roman"/>
          <w:sz w:val="24"/>
          <w:szCs w:val="24"/>
        </w:rPr>
        <w:t xml:space="preserve"> </w:t>
      </w:r>
    </w:p>
    <w:p w14:paraId="2693A588" w14:textId="77777777" w:rsidR="007F3F5A" w:rsidRDefault="007F3F5A" w:rsidP="007F3F5A">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defendant will now either go to trial or take a plea agreement. </w:t>
      </w:r>
    </w:p>
    <w:p w14:paraId="0942207C" w14:textId="77777777" w:rsidR="007F3F5A" w:rsidRDefault="007F3F5A" w:rsidP="007F3F5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Note: Defendant has been in news recently (Jan. 18, 2022): “</w:t>
      </w:r>
      <w:r>
        <w:rPr>
          <w:rFonts w:ascii="Times New Roman" w:hAnsi="Times New Roman"/>
          <w:sz w:val="24"/>
          <w:szCs w:val="24"/>
        </w:rPr>
        <w:t xml:space="preserve">January 6 defendant denies boyfriend plotted to shoot up synagogue. Lawyers for Riley Williams, who is accused of stealing Pelosi’s laptop, submit filing acknowledging her partner served prison time but deny it was for alleged mass shooting plan.” </w:t>
      </w:r>
      <w:hyperlink r:id="rId709" w:history="1">
        <w:r>
          <w:rPr>
            <w:rStyle w:val="Hyperlink"/>
            <w:sz w:val="24"/>
            <w:szCs w:val="24"/>
          </w:rPr>
          <w:t>https://www.timesofisrael.com/january-6-defendant-denies-boyfriend-plotted-to-shoot-up-synagogue/</w:t>
        </w:r>
      </w:hyperlink>
      <w:r>
        <w:rPr>
          <w:rFonts w:ascii="Times New Roman" w:eastAsia="Times New Roman" w:hAnsi="Times New Roman"/>
          <w:sz w:val="24"/>
          <w:szCs w:val="24"/>
        </w:rPr>
        <w:t xml:space="preserve"> </w:t>
      </w:r>
    </w:p>
    <w:p w14:paraId="52BDD391" w14:textId="77777777" w:rsidR="007F3F5A" w:rsidRDefault="007F3F5A" w:rsidP="00F326E5">
      <w:pPr>
        <w:pStyle w:val="NoSpacing"/>
        <w:rPr>
          <w:rFonts w:ascii="Arial Black" w:hAnsi="Arial Black"/>
          <w:sz w:val="28"/>
          <w:szCs w:val="28"/>
        </w:rPr>
      </w:pPr>
    </w:p>
    <w:p w14:paraId="61D26FFB" w14:textId="77777777" w:rsidR="009A0402" w:rsidRDefault="009A0402" w:rsidP="00F326E5">
      <w:pPr>
        <w:pStyle w:val="NoSpacing"/>
        <w:rPr>
          <w:rFonts w:ascii="Arial Black" w:hAnsi="Arial Black"/>
          <w:sz w:val="28"/>
          <w:szCs w:val="28"/>
        </w:rPr>
      </w:pPr>
    </w:p>
    <w:p w14:paraId="31314228" w14:textId="2FCCE0A2" w:rsidR="00AE6CF5" w:rsidRDefault="00AE6CF5" w:rsidP="00F326E5">
      <w:pPr>
        <w:pStyle w:val="NoSpacing"/>
        <w:rPr>
          <w:rFonts w:ascii="Arial Black" w:hAnsi="Arial Black"/>
          <w:sz w:val="28"/>
          <w:szCs w:val="28"/>
        </w:rPr>
      </w:pPr>
      <w:r>
        <w:rPr>
          <w:rFonts w:ascii="Arial Black" w:hAnsi="Arial Black"/>
          <w:sz w:val="28"/>
          <w:szCs w:val="28"/>
        </w:rPr>
        <w:t>3-42</w:t>
      </w:r>
    </w:p>
    <w:p w14:paraId="7660F2CA" w14:textId="66809F33" w:rsidR="00AE6CF5" w:rsidRDefault="00AE6CF5" w:rsidP="00AE6CF5">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LA: CIVIL UNREST – OFFICER HIT HEAD WITH CONCRETE -</w:t>
      </w:r>
      <w:r w:rsidR="005F75CC">
        <w:rPr>
          <w:rFonts w:ascii="Arial Black" w:eastAsia="Times New Roman" w:hAnsi="Arial Black"/>
          <w:b/>
          <w:bCs/>
          <w:sz w:val="28"/>
          <w:szCs w:val="28"/>
        </w:rPr>
        <w:t xml:space="preserve"> </w:t>
      </w:r>
      <w:r>
        <w:rPr>
          <w:rFonts w:ascii="Arial Black" w:eastAsia="Times New Roman" w:hAnsi="Arial Black"/>
          <w:b/>
          <w:bCs/>
          <w:sz w:val="28"/>
          <w:szCs w:val="28"/>
        </w:rPr>
        <w:t>CAN SUE “BLM” PROTEST ORGANIZER UNDER STATE LAW</w:t>
      </w:r>
    </w:p>
    <w:p w14:paraId="004F277F" w14:textId="77777777" w:rsidR="00AE6CF5" w:rsidRDefault="00AE6CF5" w:rsidP="00AE6CF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25, 2022, in </w:t>
      </w:r>
      <w:r w:rsidRPr="006D72A3">
        <w:rPr>
          <w:rFonts w:ascii="Times New Roman" w:eastAsia="Times New Roman" w:hAnsi="Times New Roman"/>
          <w:sz w:val="24"/>
          <w:szCs w:val="24"/>
          <w:u w:val="single"/>
        </w:rPr>
        <w:t>Officer John Doe v. De</w:t>
      </w:r>
      <w:r>
        <w:rPr>
          <w:rFonts w:ascii="Times New Roman" w:eastAsia="Times New Roman" w:hAnsi="Times New Roman"/>
          <w:sz w:val="24"/>
          <w:szCs w:val="24"/>
          <w:u w:val="single"/>
        </w:rPr>
        <w:t>R</w:t>
      </w:r>
      <w:r w:rsidRPr="006D72A3">
        <w:rPr>
          <w:rFonts w:ascii="Times New Roman" w:eastAsia="Times New Roman" w:hAnsi="Times New Roman"/>
          <w:sz w:val="24"/>
          <w:szCs w:val="24"/>
          <w:u w:val="single"/>
        </w:rPr>
        <w:t>ay Mc</w:t>
      </w:r>
      <w:r>
        <w:rPr>
          <w:rFonts w:ascii="Times New Roman" w:eastAsia="Times New Roman" w:hAnsi="Times New Roman"/>
          <w:sz w:val="24"/>
          <w:szCs w:val="24"/>
          <w:u w:val="single"/>
        </w:rPr>
        <w:t>k</w:t>
      </w:r>
      <w:r w:rsidRPr="006D72A3">
        <w:rPr>
          <w:rFonts w:ascii="Times New Roman" w:eastAsia="Times New Roman" w:hAnsi="Times New Roman"/>
          <w:sz w:val="24"/>
          <w:szCs w:val="24"/>
          <w:u w:val="single"/>
        </w:rPr>
        <w:t>esson, et al.</w:t>
      </w:r>
      <w:r>
        <w:rPr>
          <w:rFonts w:ascii="Times New Roman" w:eastAsia="Times New Roman" w:hAnsi="Times New Roman"/>
          <w:sz w:val="24"/>
          <w:szCs w:val="24"/>
        </w:rPr>
        <w:t>, the Louisiana Supreme Court issued an opinion (6 to 1) answering two “Certified Questions” from the U.S. Court of Appeals for the 5</w:t>
      </w:r>
      <w:r w:rsidRPr="006D72A3">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[New Orleans]. First, under state law a City of Baton Rouge police officer who was struck in the head in </w:t>
      </w:r>
      <w:proofErr w:type="gramStart"/>
      <w:r>
        <w:rPr>
          <w:rFonts w:ascii="Times New Roman" w:eastAsia="Times New Roman" w:hAnsi="Times New Roman"/>
          <w:sz w:val="24"/>
          <w:szCs w:val="24"/>
        </w:rPr>
        <w:t>July,</w:t>
      </w:r>
      <w:proofErr w:type="gramEnd"/>
      <w:r>
        <w:rPr>
          <w:rFonts w:ascii="Times New Roman" w:eastAsia="Times New Roman" w:hAnsi="Times New Roman"/>
          <w:sz w:val="24"/>
          <w:szCs w:val="24"/>
        </w:rPr>
        <w:t xml:space="preserve"> 2016 by a piece of concrete, lost teeth and suffered brain trauma, may sue DeRay Mckesson, co-founder of Black Lives Matter [BLM] who organized the protest, even though the concrete thrower was never identified. Second, the “Professional Rescuer’s Doctrine” [also known as the “Fireman’s Rule”] prohibiting emergency responders from suing for injuries on the job, was set aside by LA Legislature in 1996 and subsequent court decisions.  The 5</w:t>
      </w:r>
      <w:r w:rsidRPr="00816DF1">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must now decide if lawsuit in Federal court may be reinstated and pre-trial discovery commenced. </w:t>
      </w:r>
      <w:hyperlink r:id="rId710" w:history="1">
        <w:r w:rsidRPr="00B25BE6">
          <w:rPr>
            <w:rStyle w:val="Hyperlink"/>
            <w:rFonts w:ascii="Times New Roman" w:eastAsia="Times New Roman" w:hAnsi="Times New Roman"/>
            <w:sz w:val="24"/>
            <w:szCs w:val="24"/>
          </w:rPr>
          <w:t>https://www.lasc.org/opinions/2022/21-0929.CQ.OPN.pdf</w:t>
        </w:r>
      </w:hyperlink>
    </w:p>
    <w:p w14:paraId="77AAED34" w14:textId="77777777" w:rsidR="00AE6CF5" w:rsidRDefault="00AE6CF5" w:rsidP="00AE6CF5">
      <w:pPr>
        <w:pStyle w:val="NormalWeb"/>
        <w:ind w:left="720"/>
      </w:pPr>
      <w:r>
        <w:t>“Accordingly, we answer the Fifth Circuit Court of Appeals' second certified question: In view of the current directive of La. C.C. art. 2323 that ‘[</w:t>
      </w:r>
      <w:proofErr w:type="spellStart"/>
      <w:r>
        <w:t>i</w:t>
      </w:r>
      <w:proofErr w:type="spellEnd"/>
      <w:r>
        <w:t xml:space="preserve">]n </w:t>
      </w:r>
      <w:r>
        <w:rPr>
          <w:rStyle w:val="Emphasis"/>
        </w:rPr>
        <w:t>any</w:t>
      </w:r>
      <w:r>
        <w:t xml:space="preserve"> action for damages where a person suffers injury, death, or loss, the degree or percentage of fault of </w:t>
      </w:r>
      <w:r>
        <w:rPr>
          <w:rStyle w:val="Emphasis"/>
        </w:rPr>
        <w:t>all</w:t>
      </w:r>
      <w:r>
        <w:t xml:space="preserve"> persons </w:t>
      </w:r>
      <w:r>
        <w:rPr>
          <w:rStyle w:val="Emphasis"/>
        </w:rPr>
        <w:t>causing or contributing</w:t>
      </w:r>
      <w:r>
        <w:t xml:space="preserve"> to the injury, death, or loss </w:t>
      </w:r>
      <w:r>
        <w:rPr>
          <w:rStyle w:val="Emphasis"/>
        </w:rPr>
        <w:t>shall</w:t>
      </w:r>
      <w:r>
        <w:t xml:space="preserve"> be determined…’ (emphasis added) and this court's holding in </w:t>
      </w:r>
      <w:r>
        <w:rPr>
          <w:rStyle w:val="Emphasis"/>
        </w:rPr>
        <w:t>Murray v. Ramada Inns, Inc.</w:t>
      </w:r>
      <w:r>
        <w:t xml:space="preserve">, 521 So.2d 1123, 1132 (La. 1988), abrogating assumption of risk, we conclude that the Professional Rescuer's Doctrine has likewise been abrogated in Louisiana both legislatively and jurisprudentially.’” </w:t>
      </w:r>
      <w:hyperlink r:id="rId711" w:history="1">
        <w:r w:rsidRPr="00B25BE6">
          <w:rPr>
            <w:rStyle w:val="Hyperlink"/>
            <w:rFonts w:eastAsiaTheme="majorEastAsia"/>
          </w:rPr>
          <w:t>https://www.lasc.org/opinions/2022/21-0929.CQ.OPN.pdf</w:t>
        </w:r>
      </w:hyperlink>
      <w:r>
        <w:t xml:space="preserve"> </w:t>
      </w:r>
    </w:p>
    <w:p w14:paraId="64F4A14F" w14:textId="33F74D3C" w:rsidR="00AE6CF5" w:rsidRDefault="00AE6CF5" w:rsidP="00AE6CF5">
      <w:pPr>
        <w:spacing w:before="100" w:beforeAutospacing="1" w:after="100" w:afterAutospacing="1" w:line="240" w:lineRule="auto"/>
        <w:rPr>
          <w:rFonts w:ascii="Times New Roman" w:hAnsi="Times New Roman"/>
          <w:b/>
          <w:bCs/>
          <w:sz w:val="24"/>
          <w:szCs w:val="24"/>
        </w:rPr>
      </w:pPr>
      <w:r w:rsidRPr="00B4453F">
        <w:rPr>
          <w:rFonts w:ascii="Times New Roman" w:hAnsi="Times New Roman"/>
          <w:b/>
          <w:bCs/>
          <w:sz w:val="24"/>
          <w:szCs w:val="24"/>
        </w:rPr>
        <w:t>Legal Lesson Learned:</w:t>
      </w:r>
      <w:r>
        <w:rPr>
          <w:rFonts w:ascii="Times New Roman" w:hAnsi="Times New Roman"/>
          <w:b/>
          <w:bCs/>
          <w:sz w:val="24"/>
          <w:szCs w:val="24"/>
        </w:rPr>
        <w:t xml:space="preserve"> 5</w:t>
      </w:r>
      <w:r w:rsidRPr="00B4453F">
        <w:rPr>
          <w:rFonts w:ascii="Times New Roman" w:hAnsi="Times New Roman"/>
          <w:b/>
          <w:bCs/>
          <w:sz w:val="24"/>
          <w:szCs w:val="24"/>
          <w:vertAlign w:val="superscript"/>
        </w:rPr>
        <w:t>th</w:t>
      </w:r>
      <w:r>
        <w:rPr>
          <w:rFonts w:ascii="Times New Roman" w:hAnsi="Times New Roman"/>
          <w:b/>
          <w:bCs/>
          <w:sz w:val="24"/>
          <w:szCs w:val="24"/>
        </w:rPr>
        <w:t xml:space="preserve"> Circuit </w:t>
      </w:r>
      <w:r w:rsidR="00BA2C39">
        <w:rPr>
          <w:rFonts w:ascii="Times New Roman" w:hAnsi="Times New Roman"/>
          <w:b/>
          <w:bCs/>
          <w:sz w:val="24"/>
          <w:szCs w:val="24"/>
        </w:rPr>
        <w:t xml:space="preserve">may </w:t>
      </w:r>
      <w:r>
        <w:rPr>
          <w:rFonts w:ascii="Times New Roman" w:hAnsi="Times New Roman"/>
          <w:b/>
          <w:bCs/>
          <w:sz w:val="24"/>
          <w:szCs w:val="24"/>
        </w:rPr>
        <w:t xml:space="preserve">now remand the case to the U.S. District Court judge and allow pre-trial discovery to be held.  </w:t>
      </w:r>
    </w:p>
    <w:p w14:paraId="17DD4704" w14:textId="77777777" w:rsidR="00AE6CF5" w:rsidRPr="00C665DD" w:rsidRDefault="00AE6CF5" w:rsidP="00AE6CF5">
      <w:pPr>
        <w:spacing w:before="100" w:beforeAutospacing="1" w:after="100" w:afterAutospacing="1" w:line="240" w:lineRule="auto"/>
        <w:ind w:left="720"/>
        <w:rPr>
          <w:rFonts w:ascii="Times New Roman" w:eastAsia="Times New Roman" w:hAnsi="Times New Roman"/>
          <w:sz w:val="24"/>
          <w:szCs w:val="24"/>
        </w:rPr>
      </w:pPr>
      <w:r w:rsidRPr="00C665DD">
        <w:rPr>
          <w:rFonts w:ascii="Times New Roman" w:hAnsi="Times New Roman"/>
          <w:sz w:val="24"/>
          <w:szCs w:val="24"/>
        </w:rPr>
        <w:t xml:space="preserve">Note: </w:t>
      </w:r>
      <w:r>
        <w:rPr>
          <w:rFonts w:ascii="Times New Roman" w:hAnsi="Times New Roman"/>
          <w:sz w:val="24"/>
          <w:szCs w:val="24"/>
        </w:rPr>
        <w:t xml:space="preserve">Lots of judges have now reviewed this case; unclear if it will ever be tried.  </w:t>
      </w:r>
      <w:r w:rsidRPr="00C665DD">
        <w:rPr>
          <w:rFonts w:ascii="Times New Roman" w:eastAsia="Times New Roman" w:hAnsi="Times New Roman"/>
          <w:sz w:val="24"/>
          <w:szCs w:val="24"/>
        </w:rPr>
        <w:t xml:space="preserve">The lawsuit was originally dismissed by a U.S. District Court judge prior to any discovery based on the First Amendment </w:t>
      </w:r>
      <w:r w:rsidRPr="00C665DD">
        <w:rPr>
          <w:rFonts w:ascii="Times New Roman" w:eastAsia="Times New Roman" w:hAnsi="Times New Roman"/>
          <w:sz w:val="24"/>
          <w:szCs w:val="24"/>
        </w:rPr>
        <w:lastRenderedPageBreak/>
        <w:t>right to organize protests; the 5</w:t>
      </w:r>
      <w:r w:rsidRPr="00C665DD">
        <w:rPr>
          <w:rFonts w:ascii="Times New Roman" w:eastAsia="Times New Roman" w:hAnsi="Times New Roman"/>
          <w:sz w:val="24"/>
          <w:szCs w:val="24"/>
          <w:vertAlign w:val="superscript"/>
        </w:rPr>
        <w:t>th</w:t>
      </w:r>
      <w:r w:rsidRPr="00C665DD">
        <w:rPr>
          <w:rFonts w:ascii="Times New Roman" w:eastAsia="Times New Roman" w:hAnsi="Times New Roman"/>
          <w:sz w:val="24"/>
          <w:szCs w:val="24"/>
        </w:rPr>
        <w:t xml:space="preserve"> Circuit (2 to 1) reversed, </w:t>
      </w:r>
      <w:r w:rsidRPr="00C665DD">
        <w:rPr>
          <w:rStyle w:val="Emphasis"/>
          <w:rFonts w:ascii="Times New Roman" w:hAnsi="Times New Roman"/>
          <w:sz w:val="24"/>
          <w:szCs w:val="24"/>
        </w:rPr>
        <w:t>Doe v. Mckesson</w:t>
      </w:r>
      <w:r w:rsidRPr="00C665DD">
        <w:rPr>
          <w:rFonts w:ascii="Times New Roman" w:hAnsi="Times New Roman"/>
          <w:sz w:val="24"/>
          <w:szCs w:val="24"/>
        </w:rPr>
        <w:t xml:space="preserve">, 945 F.3d 818 (5th Cir. 2019) </w:t>
      </w:r>
      <w:r>
        <w:rPr>
          <w:rFonts w:ascii="Times New Roman" w:hAnsi="Times New Roman"/>
          <w:sz w:val="24"/>
          <w:szCs w:val="24"/>
        </w:rPr>
        <w:t xml:space="preserve">holding that </w:t>
      </w:r>
      <w:r w:rsidRPr="00C665DD">
        <w:rPr>
          <w:rFonts w:ascii="Times New Roman" w:hAnsi="Times New Roman"/>
          <w:sz w:val="24"/>
          <w:szCs w:val="24"/>
        </w:rPr>
        <w:t>a j</w:t>
      </w:r>
      <w:r w:rsidRPr="00C665DD">
        <w:rPr>
          <w:rStyle w:val="markedcontent"/>
          <w:sz w:val="24"/>
          <w:szCs w:val="24"/>
        </w:rPr>
        <w:t>ury could plausibly find that Mckesson breached his “duty not to negligently precipitate the crime</w:t>
      </w:r>
      <w:r w:rsidRPr="00C665DD">
        <w:rPr>
          <w:rFonts w:ascii="Times New Roman" w:hAnsi="Times New Roman"/>
          <w:sz w:val="24"/>
          <w:szCs w:val="24"/>
        </w:rPr>
        <w:br/>
      </w:r>
      <w:r w:rsidRPr="00C665DD">
        <w:rPr>
          <w:rStyle w:val="markedcontent"/>
          <w:sz w:val="24"/>
          <w:szCs w:val="24"/>
        </w:rPr>
        <w:t>of a third party” because “a violent confrontation with a police officer was a foreseeable effect of negligently directing a protest” onto the highway. 945 F. 3d, at 82. The Fifth Circuit subsequently deadlocked 8 to 8 on</w:t>
      </w:r>
      <w:r>
        <w:rPr>
          <w:rStyle w:val="markedcontent"/>
          <w:sz w:val="24"/>
          <w:szCs w:val="24"/>
        </w:rPr>
        <w:t xml:space="preserve"> </w:t>
      </w:r>
      <w:r w:rsidRPr="00C665DD">
        <w:rPr>
          <w:rStyle w:val="markedcontent"/>
          <w:sz w:val="24"/>
          <w:szCs w:val="24"/>
        </w:rPr>
        <w:t xml:space="preserve">Mckesson’s petition for rehearing </w:t>
      </w:r>
      <w:proofErr w:type="spellStart"/>
      <w:r w:rsidRPr="00C665DD">
        <w:rPr>
          <w:rStyle w:val="markedcontent"/>
          <w:sz w:val="24"/>
          <w:szCs w:val="24"/>
        </w:rPr>
        <w:t>en</w:t>
      </w:r>
      <w:proofErr w:type="spellEnd"/>
      <w:r w:rsidRPr="00C665DD">
        <w:rPr>
          <w:rStyle w:val="markedcontent"/>
          <w:sz w:val="24"/>
          <w:szCs w:val="24"/>
        </w:rPr>
        <w:t xml:space="preserve"> banc [all the active judges on the 5</w:t>
      </w:r>
      <w:r w:rsidRPr="00C665DD">
        <w:rPr>
          <w:rStyle w:val="markedcontent"/>
          <w:sz w:val="24"/>
          <w:szCs w:val="24"/>
          <w:vertAlign w:val="superscript"/>
        </w:rPr>
        <w:t>th</w:t>
      </w:r>
      <w:r w:rsidRPr="00C665DD">
        <w:rPr>
          <w:rStyle w:val="markedcontent"/>
          <w:sz w:val="24"/>
          <w:szCs w:val="24"/>
        </w:rPr>
        <w:t xml:space="preserve"> Circuit]. 947 F. 3d 874, 875 (2020) (per curiam). T</w:t>
      </w:r>
      <w:r w:rsidRPr="00C665DD">
        <w:rPr>
          <w:rFonts w:ascii="Times New Roman" w:eastAsia="Times New Roman" w:hAnsi="Times New Roman"/>
          <w:sz w:val="24"/>
          <w:szCs w:val="24"/>
        </w:rPr>
        <w:t xml:space="preserve">he U.S. Supreme Court </w:t>
      </w:r>
      <w:r>
        <w:rPr>
          <w:rFonts w:ascii="Times New Roman" w:eastAsia="Times New Roman" w:hAnsi="Times New Roman"/>
          <w:sz w:val="24"/>
          <w:szCs w:val="24"/>
        </w:rPr>
        <w:t xml:space="preserve">agreed to review the case, </w:t>
      </w:r>
      <w:r w:rsidRPr="00C665DD">
        <w:rPr>
          <w:rFonts w:ascii="Times New Roman" w:eastAsia="Times New Roman" w:hAnsi="Times New Roman"/>
          <w:sz w:val="24"/>
          <w:szCs w:val="24"/>
        </w:rPr>
        <w:t xml:space="preserve">and in 2020 </w:t>
      </w:r>
      <w:r>
        <w:rPr>
          <w:rFonts w:ascii="Times New Roman" w:eastAsia="Times New Roman" w:hAnsi="Times New Roman"/>
          <w:sz w:val="24"/>
          <w:szCs w:val="24"/>
        </w:rPr>
        <w:t xml:space="preserve">in a Per Curiam order [not a decision issued by a particular Justice) and </w:t>
      </w:r>
      <w:r w:rsidRPr="00C665DD">
        <w:rPr>
          <w:rFonts w:ascii="Times New Roman" w:eastAsia="Times New Roman" w:hAnsi="Times New Roman"/>
          <w:sz w:val="24"/>
          <w:szCs w:val="24"/>
        </w:rPr>
        <w:t xml:space="preserve">vacated </w:t>
      </w:r>
      <w:r>
        <w:rPr>
          <w:rFonts w:ascii="Times New Roman" w:eastAsia="Times New Roman" w:hAnsi="Times New Roman"/>
          <w:sz w:val="24"/>
          <w:szCs w:val="24"/>
        </w:rPr>
        <w:t>5</w:t>
      </w:r>
      <w:r w:rsidRPr="00C665D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(3-judge panel) decision, </w:t>
      </w:r>
      <w:r w:rsidRPr="00C665DD">
        <w:rPr>
          <w:rFonts w:ascii="Times New Roman" w:eastAsia="Times New Roman" w:hAnsi="Times New Roman"/>
          <w:sz w:val="24"/>
          <w:szCs w:val="24"/>
        </w:rPr>
        <w:t>remanded case back to 5</w:t>
      </w:r>
      <w:r w:rsidRPr="00C665DD">
        <w:rPr>
          <w:rFonts w:ascii="Times New Roman" w:eastAsia="Times New Roman" w:hAnsi="Times New Roman"/>
          <w:sz w:val="24"/>
          <w:szCs w:val="24"/>
          <w:vertAlign w:val="superscript"/>
        </w:rPr>
        <w:t>th</w:t>
      </w:r>
      <w:r w:rsidRPr="00C665DD">
        <w:rPr>
          <w:rFonts w:ascii="Times New Roman" w:eastAsia="Times New Roman" w:hAnsi="Times New Roman"/>
          <w:sz w:val="24"/>
          <w:szCs w:val="24"/>
        </w:rPr>
        <w:t xml:space="preserve"> Circuit</w:t>
      </w:r>
      <w:r>
        <w:rPr>
          <w:rFonts w:ascii="Times New Roman" w:eastAsia="Times New Roman" w:hAnsi="Times New Roman"/>
          <w:sz w:val="24"/>
          <w:szCs w:val="24"/>
        </w:rPr>
        <w:t xml:space="preserve">. </w:t>
      </w:r>
      <w:r w:rsidRPr="00C665DD">
        <w:rPr>
          <w:rFonts w:ascii="Times New Roman" w:eastAsia="Times New Roman" w:hAnsi="Times New Roman"/>
          <w:sz w:val="24"/>
          <w:szCs w:val="24"/>
        </w:rPr>
        <w:t xml:space="preserve"> </w:t>
      </w:r>
    </w:p>
    <w:p w14:paraId="1EFA2CD6" w14:textId="77777777" w:rsidR="00AE6CF5" w:rsidRPr="00816DF1" w:rsidRDefault="00AE6CF5" w:rsidP="00AE6CF5">
      <w:pPr>
        <w:spacing w:before="100" w:beforeAutospacing="1" w:after="100" w:afterAutospacing="1" w:line="240" w:lineRule="auto"/>
        <w:ind w:left="1440"/>
        <w:rPr>
          <w:rFonts w:ascii="Times New Roman" w:eastAsia="Times New Roman" w:hAnsi="Times New Roman"/>
          <w:sz w:val="24"/>
          <w:szCs w:val="24"/>
        </w:rPr>
      </w:pPr>
      <w:r>
        <w:rPr>
          <w:rStyle w:val="markedcontent"/>
          <w:sz w:val="24"/>
          <w:szCs w:val="24"/>
        </w:rPr>
        <w:t>“</w:t>
      </w:r>
      <w:r w:rsidRPr="00C665DD">
        <w:rPr>
          <w:rStyle w:val="markedcontent"/>
          <w:sz w:val="24"/>
          <w:szCs w:val="24"/>
        </w:rPr>
        <w:t>We think that the Fifth Circuit’s interpretation of state</w:t>
      </w:r>
      <w:r>
        <w:rPr>
          <w:rStyle w:val="markedcontent"/>
          <w:sz w:val="24"/>
          <w:szCs w:val="24"/>
        </w:rPr>
        <w:t xml:space="preserve"> </w:t>
      </w:r>
      <w:r w:rsidRPr="00C665DD">
        <w:rPr>
          <w:rStyle w:val="markedcontent"/>
          <w:sz w:val="24"/>
          <w:szCs w:val="24"/>
        </w:rPr>
        <w:t xml:space="preserve">law is too uncertain a premise on which to address the </w:t>
      </w:r>
      <w:proofErr w:type="spellStart"/>
      <w:r w:rsidRPr="00C665DD">
        <w:rPr>
          <w:rStyle w:val="markedcontent"/>
          <w:sz w:val="24"/>
          <w:szCs w:val="24"/>
        </w:rPr>
        <w:t>ques</w:t>
      </w:r>
      <w:proofErr w:type="spellEnd"/>
      <w:r>
        <w:rPr>
          <w:rStyle w:val="markedcontent"/>
          <w:sz w:val="24"/>
          <w:szCs w:val="24"/>
        </w:rPr>
        <w:t xml:space="preserve"> </w:t>
      </w:r>
      <w:proofErr w:type="spellStart"/>
      <w:r w:rsidRPr="00C665DD">
        <w:rPr>
          <w:rStyle w:val="markedcontent"/>
          <w:sz w:val="24"/>
          <w:szCs w:val="24"/>
        </w:rPr>
        <w:t>tion</w:t>
      </w:r>
      <w:proofErr w:type="spellEnd"/>
      <w:r w:rsidRPr="00C665DD">
        <w:rPr>
          <w:rStyle w:val="markedcontent"/>
          <w:sz w:val="24"/>
          <w:szCs w:val="24"/>
        </w:rPr>
        <w:t xml:space="preserve"> presented. The constitutional issue, though undeniably important, is implicated only if Louisiana law permits</w:t>
      </w:r>
      <w:r w:rsidRPr="00C665DD">
        <w:rPr>
          <w:rFonts w:ascii="Times New Roman" w:hAnsi="Times New Roman"/>
          <w:sz w:val="24"/>
          <w:szCs w:val="24"/>
        </w:rPr>
        <w:br/>
      </w:r>
      <w:r w:rsidRPr="00C665DD">
        <w:rPr>
          <w:rStyle w:val="markedcontent"/>
          <w:sz w:val="24"/>
          <w:szCs w:val="24"/>
        </w:rPr>
        <w:t>recovery under these circumstances in the first place. The</w:t>
      </w:r>
      <w:r>
        <w:rPr>
          <w:rStyle w:val="markedcontent"/>
          <w:sz w:val="24"/>
          <w:szCs w:val="24"/>
        </w:rPr>
        <w:t xml:space="preserve"> </w:t>
      </w:r>
      <w:r w:rsidRPr="00C665DD">
        <w:rPr>
          <w:rStyle w:val="markedcontent"/>
          <w:sz w:val="24"/>
          <w:szCs w:val="24"/>
        </w:rPr>
        <w:t xml:space="preserve">dispute thus could be </w:t>
      </w:r>
      <w:r>
        <w:rPr>
          <w:rStyle w:val="markedcontent"/>
          <w:sz w:val="24"/>
          <w:szCs w:val="24"/>
        </w:rPr>
        <w:t>‘</w:t>
      </w:r>
      <w:r w:rsidRPr="00C665DD">
        <w:rPr>
          <w:rStyle w:val="markedcontent"/>
          <w:sz w:val="24"/>
          <w:szCs w:val="24"/>
        </w:rPr>
        <w:t xml:space="preserve">greatly </w:t>
      </w:r>
      <w:proofErr w:type="spellStart"/>
      <w:proofErr w:type="gramStart"/>
      <w:r w:rsidRPr="00C665DD">
        <w:rPr>
          <w:rStyle w:val="markedcontent"/>
          <w:sz w:val="24"/>
          <w:szCs w:val="24"/>
        </w:rPr>
        <w:t>simplifie</w:t>
      </w:r>
      <w:proofErr w:type="spellEnd"/>
      <w:r w:rsidRPr="00C665DD">
        <w:rPr>
          <w:rStyle w:val="markedcontent"/>
          <w:sz w:val="24"/>
          <w:szCs w:val="24"/>
        </w:rPr>
        <w:t>[d]</w:t>
      </w:r>
      <w:r>
        <w:rPr>
          <w:rStyle w:val="markedcontent"/>
          <w:sz w:val="24"/>
          <w:szCs w:val="24"/>
        </w:rPr>
        <w:t>’</w:t>
      </w:r>
      <w:proofErr w:type="gramEnd"/>
      <w:r w:rsidRPr="00C665DD">
        <w:rPr>
          <w:rStyle w:val="markedcontent"/>
          <w:sz w:val="24"/>
          <w:szCs w:val="24"/>
        </w:rPr>
        <w:t xml:space="preserve"> by guidance</w:t>
      </w:r>
      <w:r>
        <w:rPr>
          <w:rStyle w:val="markedcontent"/>
          <w:sz w:val="24"/>
          <w:szCs w:val="24"/>
        </w:rPr>
        <w:t xml:space="preserve"> </w:t>
      </w:r>
      <w:r w:rsidRPr="00C665DD">
        <w:rPr>
          <w:rStyle w:val="markedcontent"/>
          <w:sz w:val="24"/>
          <w:szCs w:val="24"/>
        </w:rPr>
        <w:t xml:space="preserve">from the Louisiana Supreme Court on the meaning of Louisiana </w:t>
      </w:r>
      <w:proofErr w:type="gramStart"/>
      <w:r w:rsidRPr="00C665DD">
        <w:rPr>
          <w:rStyle w:val="markedcontent"/>
          <w:sz w:val="24"/>
          <w:szCs w:val="24"/>
        </w:rPr>
        <w:t>law.</w:t>
      </w:r>
      <w:r>
        <w:rPr>
          <w:rStyle w:val="markedcontent"/>
          <w:sz w:val="24"/>
          <w:szCs w:val="24"/>
        </w:rPr>
        <w:t>”</w:t>
      </w:r>
      <w:proofErr w:type="gramEnd"/>
      <w:r>
        <w:rPr>
          <w:rFonts w:ascii="Times New Roman" w:eastAsia="Times New Roman" w:hAnsi="Times New Roman"/>
          <w:sz w:val="24"/>
          <w:szCs w:val="24"/>
        </w:rPr>
        <w:t xml:space="preserve"> </w:t>
      </w:r>
      <w:hyperlink r:id="rId712" w:history="1">
        <w:r w:rsidRPr="00CD0640">
          <w:rPr>
            <w:rStyle w:val="Hyperlink"/>
            <w:rFonts w:ascii="Times New Roman" w:hAnsi="Times New Roman"/>
            <w:sz w:val="24"/>
            <w:szCs w:val="24"/>
          </w:rPr>
          <w:t>https://www.supremecourt.gov/opinions/20pdf/19-1108_8n5a.pdf</w:t>
        </w:r>
      </w:hyperlink>
      <w:r w:rsidRPr="00816DF1">
        <w:rPr>
          <w:rStyle w:val="markedcontent"/>
          <w:sz w:val="24"/>
          <w:szCs w:val="24"/>
        </w:rPr>
        <w:t xml:space="preserve"> </w:t>
      </w:r>
    </w:p>
    <w:p w14:paraId="77FA3D39" w14:textId="77777777" w:rsidR="00AE6CF5" w:rsidRDefault="00AE6CF5" w:rsidP="00F326E5">
      <w:pPr>
        <w:pStyle w:val="NoSpacing"/>
        <w:rPr>
          <w:rFonts w:ascii="Arial Black" w:hAnsi="Arial Black"/>
          <w:sz w:val="28"/>
          <w:szCs w:val="28"/>
        </w:rPr>
      </w:pPr>
    </w:p>
    <w:p w14:paraId="1B0757B3" w14:textId="77777777" w:rsidR="00AE6CF5" w:rsidRDefault="00AE6CF5" w:rsidP="00F326E5">
      <w:pPr>
        <w:pStyle w:val="NoSpacing"/>
        <w:rPr>
          <w:rFonts w:ascii="Arial Black" w:hAnsi="Arial Black"/>
          <w:sz w:val="28"/>
          <w:szCs w:val="28"/>
        </w:rPr>
      </w:pPr>
    </w:p>
    <w:p w14:paraId="4A94EFC6" w14:textId="560BBABA" w:rsidR="00AE6CF5" w:rsidRDefault="00AE6CF5" w:rsidP="00F326E5">
      <w:pPr>
        <w:pStyle w:val="NoSpacing"/>
        <w:rPr>
          <w:rFonts w:ascii="Arial Black" w:hAnsi="Arial Black"/>
          <w:sz w:val="28"/>
          <w:szCs w:val="28"/>
        </w:rPr>
      </w:pPr>
      <w:r>
        <w:rPr>
          <w:rFonts w:ascii="Arial Black" w:hAnsi="Arial Black"/>
          <w:sz w:val="28"/>
          <w:szCs w:val="28"/>
        </w:rPr>
        <w:t>3-41</w:t>
      </w:r>
    </w:p>
    <w:p w14:paraId="6CEAC9C7" w14:textId="064BCC1C" w:rsidR="00AE6CF5" w:rsidRDefault="00AE6CF5" w:rsidP="00F326E5">
      <w:pPr>
        <w:pStyle w:val="NoSpacing"/>
        <w:rPr>
          <w:rFonts w:ascii="Arial Black" w:hAnsi="Arial Black"/>
          <w:sz w:val="28"/>
          <w:szCs w:val="28"/>
        </w:rPr>
      </w:pPr>
    </w:p>
    <w:p w14:paraId="28AE1371" w14:textId="77777777" w:rsidR="00AE6CF5" w:rsidRPr="003564FE" w:rsidRDefault="00AE6CF5" w:rsidP="00AE6CF5">
      <w:pPr>
        <w:pStyle w:val="Heading1"/>
        <w:rPr>
          <w:rFonts w:ascii="Arial Black" w:hAnsi="Arial Black"/>
          <w:b w:val="0"/>
          <w:bCs w:val="0"/>
          <w:sz w:val="28"/>
          <w:szCs w:val="28"/>
        </w:rPr>
      </w:pPr>
      <w:r>
        <w:rPr>
          <w:rFonts w:ascii="Arial Black" w:hAnsi="Arial Black"/>
          <w:b w:val="0"/>
          <w:bCs w:val="0"/>
          <w:sz w:val="28"/>
          <w:szCs w:val="28"/>
        </w:rPr>
        <w:t>U.S. SUP. COURT: NAVY SEALS MUST GET COVID VACCINATED – MILITARY OPERATIONAL DECISION</w:t>
      </w:r>
    </w:p>
    <w:p w14:paraId="392CA7F3" w14:textId="77777777" w:rsidR="00AE6CF5" w:rsidRDefault="00AE6CF5" w:rsidP="00AE6CF5">
      <w:pPr>
        <w:pStyle w:val="Heading1"/>
        <w:rPr>
          <w:rStyle w:val="Hyperlink"/>
          <w:rFonts w:eastAsiaTheme="majorEastAsia"/>
          <w:b w:val="0"/>
          <w:bCs w:val="0"/>
          <w:sz w:val="24"/>
          <w:szCs w:val="24"/>
        </w:rPr>
      </w:pPr>
      <w:r>
        <w:rPr>
          <w:b w:val="0"/>
          <w:bCs w:val="0"/>
          <w:sz w:val="24"/>
          <w:szCs w:val="24"/>
        </w:rPr>
        <w:t xml:space="preserve">On March 25, 2022, in </w:t>
      </w:r>
      <w:r w:rsidRPr="003564FE">
        <w:rPr>
          <w:b w:val="0"/>
          <w:bCs w:val="0"/>
          <w:sz w:val="24"/>
          <w:szCs w:val="24"/>
          <w:u w:val="single"/>
        </w:rPr>
        <w:t>Lloyd J. Austin, II, Secretary of Defense v. U.S. Navy Seals, et al.,</w:t>
      </w:r>
      <w:r>
        <w:rPr>
          <w:b w:val="0"/>
          <w:bCs w:val="0"/>
          <w:sz w:val="24"/>
          <w:szCs w:val="24"/>
        </w:rPr>
        <w:t xml:space="preserve">  the U.S. Supreme Court issued order (6 to 3) granting the U.S. Government’s motion for a partial stay of the decisions by both the 5</w:t>
      </w:r>
      <w:r w:rsidRPr="00677D67">
        <w:rPr>
          <w:b w:val="0"/>
          <w:bCs w:val="0"/>
          <w:sz w:val="24"/>
          <w:szCs w:val="24"/>
          <w:vertAlign w:val="superscript"/>
        </w:rPr>
        <w:t>th</w:t>
      </w:r>
      <w:r>
        <w:rPr>
          <w:b w:val="0"/>
          <w:bCs w:val="0"/>
          <w:sz w:val="24"/>
          <w:szCs w:val="24"/>
        </w:rPr>
        <w:t xml:space="preserve"> Circuit and a U.S. District Court judge in Texas regarding 35 Navy seals.  </w:t>
      </w:r>
      <w:hyperlink r:id="rId713" w:history="1">
        <w:r w:rsidRPr="00EF2641">
          <w:rPr>
            <w:rStyle w:val="Hyperlink"/>
            <w:rFonts w:eastAsiaTheme="majorEastAsia"/>
            <w:b w:val="0"/>
            <w:bCs w:val="0"/>
            <w:sz w:val="24"/>
            <w:szCs w:val="24"/>
          </w:rPr>
          <w:t>https://www.supremecourt.gov/opinions/21pdf/21a477_1bo2.pdf</w:t>
        </w:r>
      </w:hyperlink>
    </w:p>
    <w:p w14:paraId="0133DD36" w14:textId="77777777" w:rsidR="00AE6CF5" w:rsidRPr="005925FA" w:rsidRDefault="00AE6CF5" w:rsidP="00AE6CF5">
      <w:pPr>
        <w:pStyle w:val="Heading1"/>
        <w:ind w:left="720"/>
        <w:rPr>
          <w:rStyle w:val="Hyperlink"/>
          <w:rFonts w:eastAsiaTheme="majorEastAsia"/>
          <w:b w:val="0"/>
          <w:bCs w:val="0"/>
          <w:sz w:val="24"/>
          <w:szCs w:val="24"/>
        </w:rPr>
      </w:pPr>
      <w:r w:rsidRPr="005925FA">
        <w:rPr>
          <w:rStyle w:val="markedcontent"/>
          <w:b w:val="0"/>
          <w:bCs w:val="0"/>
          <w:sz w:val="24"/>
          <w:szCs w:val="24"/>
        </w:rPr>
        <w:t xml:space="preserve">“The district court’s January 3, 2022 order, insofar as it precludes the Navy from considering respondents’ vaccination status in making deployment, assignment, and other operational decisions, is stayed pending disposition of the appeal in the United States Court of Appeals for the Fifth Circuit and disposition of the petition for a writ of certiorari, if such writ is timely sought.” </w:t>
      </w:r>
      <w:hyperlink r:id="rId714" w:history="1">
        <w:r w:rsidRPr="005925FA">
          <w:rPr>
            <w:rStyle w:val="Hyperlink"/>
            <w:rFonts w:eastAsiaTheme="majorEastAsia"/>
            <w:b w:val="0"/>
            <w:bCs w:val="0"/>
            <w:sz w:val="24"/>
            <w:szCs w:val="24"/>
          </w:rPr>
          <w:t>https://www.supremecourt.gov/opinions/21pdf/21a477_1bo2.pdf</w:t>
        </w:r>
      </w:hyperlink>
    </w:p>
    <w:p w14:paraId="3DBA227B" w14:textId="77777777" w:rsidR="00AE6CF5" w:rsidRPr="005925FA" w:rsidRDefault="00AE6CF5" w:rsidP="00AE6CF5">
      <w:pPr>
        <w:pStyle w:val="Heading1"/>
        <w:rPr>
          <w:rStyle w:val="markedcontent"/>
          <w:b w:val="0"/>
          <w:bCs w:val="0"/>
          <w:sz w:val="24"/>
          <w:szCs w:val="24"/>
        </w:rPr>
      </w:pPr>
      <w:r w:rsidRPr="005925FA">
        <w:rPr>
          <w:rStyle w:val="markedcontent"/>
          <w:b w:val="0"/>
          <w:bCs w:val="0"/>
          <w:sz w:val="24"/>
          <w:szCs w:val="24"/>
        </w:rPr>
        <w:t>Concurring Opinion:</w:t>
      </w:r>
    </w:p>
    <w:p w14:paraId="28C99590" w14:textId="77777777" w:rsidR="00AE6CF5" w:rsidRPr="005925FA" w:rsidRDefault="00AE6CF5" w:rsidP="00AE6CF5">
      <w:pPr>
        <w:pStyle w:val="Heading1"/>
        <w:ind w:left="720"/>
        <w:rPr>
          <w:rStyle w:val="markedcontent"/>
          <w:b w:val="0"/>
          <w:bCs w:val="0"/>
          <w:sz w:val="24"/>
          <w:szCs w:val="24"/>
        </w:rPr>
      </w:pPr>
      <w:r w:rsidRPr="005925FA">
        <w:rPr>
          <w:rStyle w:val="markedcontent"/>
          <w:b w:val="0"/>
          <w:bCs w:val="0"/>
          <w:sz w:val="24"/>
          <w:szCs w:val="24"/>
        </w:rPr>
        <w:t xml:space="preserve">Justice Kavanaugh in a concurring decision wrote: </w:t>
      </w:r>
    </w:p>
    <w:p w14:paraId="587B8230" w14:textId="77777777" w:rsidR="00AE6CF5" w:rsidRPr="005925FA" w:rsidRDefault="00AE6CF5" w:rsidP="00AE6CF5">
      <w:pPr>
        <w:pStyle w:val="Heading1"/>
        <w:ind w:left="1440"/>
        <w:rPr>
          <w:rStyle w:val="markedcontent"/>
          <w:b w:val="0"/>
          <w:bCs w:val="0"/>
          <w:sz w:val="24"/>
          <w:szCs w:val="24"/>
        </w:rPr>
      </w:pPr>
      <w:r w:rsidRPr="005925FA">
        <w:rPr>
          <w:rStyle w:val="markedcontent"/>
          <w:b w:val="0"/>
          <w:bCs w:val="0"/>
          <w:sz w:val="24"/>
          <w:szCs w:val="24"/>
        </w:rPr>
        <w:t>“As the Court has long emphasized, moreover, the ‘complex, subtle, and professional decisions as to the composition, training, equipping, and control of a</w:t>
      </w:r>
      <w:r w:rsidRPr="005925FA">
        <w:rPr>
          <w:b w:val="0"/>
          <w:bCs w:val="0"/>
          <w:sz w:val="24"/>
          <w:szCs w:val="24"/>
        </w:rPr>
        <w:br/>
      </w:r>
      <w:r w:rsidRPr="005925FA">
        <w:rPr>
          <w:rStyle w:val="markedcontent"/>
          <w:b w:val="0"/>
          <w:bCs w:val="0"/>
          <w:sz w:val="24"/>
          <w:szCs w:val="24"/>
        </w:rPr>
        <w:t>military force are essentially professional military judgments.’ Gilligan v. Morgan, 413 U. S. 1, 10 (1973). Therefore, it is ‘difficult to conceive of an area of governmental activity in which the courts have less competence.’</w:t>
      </w:r>
    </w:p>
    <w:p w14:paraId="153E5337" w14:textId="77777777" w:rsidR="00AE6CF5" w:rsidRPr="005925FA" w:rsidRDefault="00AE6CF5" w:rsidP="00AE6CF5">
      <w:pPr>
        <w:pStyle w:val="Heading1"/>
        <w:ind w:left="1440"/>
        <w:rPr>
          <w:rStyle w:val="markedcontent"/>
          <w:b w:val="0"/>
          <w:bCs w:val="0"/>
          <w:sz w:val="24"/>
          <w:szCs w:val="24"/>
        </w:rPr>
      </w:pPr>
      <w:r w:rsidRPr="005925FA">
        <w:rPr>
          <w:rStyle w:val="markedcontent"/>
          <w:b w:val="0"/>
          <w:bCs w:val="0"/>
          <w:sz w:val="24"/>
          <w:szCs w:val="24"/>
        </w:rPr>
        <w:t>***</w:t>
      </w:r>
    </w:p>
    <w:p w14:paraId="130B2E6A" w14:textId="77777777" w:rsidR="00AE6CF5" w:rsidRPr="005925FA" w:rsidRDefault="00AE6CF5" w:rsidP="00AE6CF5">
      <w:pPr>
        <w:pStyle w:val="Heading1"/>
        <w:ind w:left="1440"/>
        <w:rPr>
          <w:rStyle w:val="markedcontent"/>
          <w:b w:val="0"/>
          <w:bCs w:val="0"/>
          <w:sz w:val="24"/>
          <w:szCs w:val="24"/>
        </w:rPr>
      </w:pPr>
      <w:r w:rsidRPr="005925FA">
        <w:rPr>
          <w:rStyle w:val="markedcontent"/>
          <w:b w:val="0"/>
          <w:bCs w:val="0"/>
          <w:sz w:val="24"/>
          <w:szCs w:val="24"/>
        </w:rPr>
        <w:lastRenderedPageBreak/>
        <w:t xml:space="preserve">As Admiral William Lescher, Vice Chief of Naval Operations, explained: ‘Sending ships into combat without maximizing the crew’s odds of success, such as would be the case with ship deficiencies in ordnance, radar, working weapons or the means to reliably accomplish the mission, is dereliction of duty. The same applies to ordering unvaccinated personnel into an environment in which they endanger their lives, the lives of others and compromise accomplishment of </w:t>
      </w:r>
      <w:r w:rsidRPr="005925FA">
        <w:rPr>
          <w:b w:val="0"/>
          <w:bCs w:val="0"/>
          <w:sz w:val="24"/>
          <w:szCs w:val="24"/>
        </w:rPr>
        <w:br/>
      </w:r>
      <w:r w:rsidRPr="005925FA">
        <w:rPr>
          <w:rStyle w:val="markedcontent"/>
          <w:b w:val="0"/>
          <w:bCs w:val="0"/>
          <w:sz w:val="24"/>
          <w:szCs w:val="24"/>
        </w:rPr>
        <w:t>essential missions.”</w:t>
      </w:r>
    </w:p>
    <w:p w14:paraId="2F004C49" w14:textId="77777777" w:rsidR="00AE6CF5" w:rsidRPr="0088598C" w:rsidRDefault="00AE6CF5" w:rsidP="00AE6CF5">
      <w:pPr>
        <w:pStyle w:val="Heading1"/>
        <w:rPr>
          <w:rStyle w:val="markedcontent"/>
          <w:b w:val="0"/>
          <w:bCs w:val="0"/>
          <w:sz w:val="24"/>
          <w:szCs w:val="24"/>
        </w:rPr>
      </w:pPr>
      <w:r w:rsidRPr="00EF2641">
        <w:rPr>
          <w:rStyle w:val="markedcontent"/>
          <w:sz w:val="24"/>
          <w:szCs w:val="24"/>
        </w:rPr>
        <w:t xml:space="preserve">Legal Lesson Learned: </w:t>
      </w:r>
      <w:r>
        <w:rPr>
          <w:rStyle w:val="markedcontent"/>
          <w:sz w:val="24"/>
          <w:szCs w:val="24"/>
        </w:rPr>
        <w:t xml:space="preserve"> The U.S. Supreme Court majority clearly decided to not interfere with U.S. military command decisions regarding deployment eligibility of personnel. </w:t>
      </w:r>
    </w:p>
    <w:p w14:paraId="397B53B4" w14:textId="77777777" w:rsidR="00AE6CF5" w:rsidRPr="00ED08CC" w:rsidRDefault="00AE6CF5" w:rsidP="00AE6CF5">
      <w:pPr>
        <w:pStyle w:val="Heading1"/>
        <w:ind w:left="720"/>
        <w:rPr>
          <w:rStyle w:val="markedcontent"/>
          <w:b w:val="0"/>
          <w:bCs w:val="0"/>
          <w:sz w:val="24"/>
          <w:szCs w:val="24"/>
        </w:rPr>
      </w:pPr>
      <w:r>
        <w:rPr>
          <w:b w:val="0"/>
          <w:bCs w:val="0"/>
          <w:sz w:val="24"/>
          <w:szCs w:val="24"/>
        </w:rPr>
        <w:t>Note: On Feb. 26, 2022, the 5</w:t>
      </w:r>
      <w:r w:rsidRPr="00822DF0">
        <w:rPr>
          <w:b w:val="0"/>
          <w:bCs w:val="0"/>
          <w:sz w:val="24"/>
          <w:szCs w:val="24"/>
          <w:vertAlign w:val="superscript"/>
        </w:rPr>
        <w:t>th</w:t>
      </w:r>
      <w:r>
        <w:rPr>
          <w:b w:val="0"/>
          <w:bCs w:val="0"/>
          <w:sz w:val="24"/>
          <w:szCs w:val="24"/>
        </w:rPr>
        <w:t xml:space="preserve"> Circuit (New Orleans) upheld the District Court judge, holding (3 to 0):</w:t>
      </w:r>
      <w:r w:rsidRPr="0088598C">
        <w:t xml:space="preserve"> </w:t>
      </w:r>
      <w:hyperlink r:id="rId715" w:history="1">
        <w:r w:rsidRPr="005C3AB1">
          <w:rPr>
            <w:rStyle w:val="Hyperlink"/>
            <w:rFonts w:eastAsiaTheme="majorEastAsia"/>
            <w:b w:val="0"/>
            <w:bCs w:val="0"/>
            <w:sz w:val="24"/>
            <w:szCs w:val="24"/>
          </w:rPr>
          <w:t>https://www.ca5.uscourts.gov/opinions/pub/22/22-10077-CV0.pdf</w:t>
        </w:r>
      </w:hyperlink>
    </w:p>
    <w:p w14:paraId="4B46E94C" w14:textId="77777777" w:rsidR="00AE6CF5" w:rsidRPr="00B81AFF" w:rsidRDefault="00AE6CF5" w:rsidP="00AE6CF5">
      <w:pPr>
        <w:pStyle w:val="Heading1"/>
        <w:ind w:left="1440"/>
        <w:rPr>
          <w:rStyle w:val="markedcontent"/>
          <w:b w:val="0"/>
          <w:bCs w:val="0"/>
          <w:sz w:val="24"/>
          <w:szCs w:val="24"/>
        </w:rPr>
      </w:pPr>
      <w:r w:rsidRPr="00B81AFF">
        <w:rPr>
          <w:rStyle w:val="markedcontent"/>
          <w:b w:val="0"/>
          <w:bCs w:val="0"/>
          <w:sz w:val="24"/>
          <w:szCs w:val="24"/>
        </w:rPr>
        <w:t>“The Navy has granted hundreds of medical exemptions from vaccination requirements, allowing those service members to seek medical waivers and become deployable. But it has not accommodated any religious objection to any vaccine in seven years, preventing those seeking such accommodations from even being considered for medical waivers. We DENY Defendants’ motion.”</w:t>
      </w:r>
    </w:p>
    <w:p w14:paraId="24E2088B" w14:textId="77777777" w:rsidR="00AE6CF5" w:rsidRDefault="00AE6CF5" w:rsidP="00F326E5">
      <w:pPr>
        <w:pStyle w:val="NoSpacing"/>
        <w:rPr>
          <w:rFonts w:ascii="Arial Black" w:hAnsi="Arial Black"/>
          <w:sz w:val="28"/>
          <w:szCs w:val="28"/>
        </w:rPr>
      </w:pPr>
    </w:p>
    <w:p w14:paraId="1EE561EC" w14:textId="77777777" w:rsidR="00AE6CF5" w:rsidRDefault="00AE6CF5" w:rsidP="00F326E5">
      <w:pPr>
        <w:pStyle w:val="NoSpacing"/>
        <w:rPr>
          <w:rFonts w:ascii="Arial Black" w:hAnsi="Arial Black"/>
          <w:sz w:val="28"/>
          <w:szCs w:val="28"/>
        </w:rPr>
      </w:pPr>
    </w:p>
    <w:p w14:paraId="17572456" w14:textId="77777777" w:rsidR="00AE6CF5" w:rsidRDefault="00AE6CF5" w:rsidP="00F326E5">
      <w:pPr>
        <w:pStyle w:val="NoSpacing"/>
        <w:rPr>
          <w:rFonts w:ascii="Arial Black" w:hAnsi="Arial Black"/>
          <w:sz w:val="28"/>
          <w:szCs w:val="28"/>
        </w:rPr>
      </w:pPr>
    </w:p>
    <w:p w14:paraId="16FA83F2" w14:textId="60EA4B49" w:rsidR="0082055F" w:rsidRDefault="00A20CA7" w:rsidP="00F326E5">
      <w:pPr>
        <w:pStyle w:val="NoSpacing"/>
        <w:rPr>
          <w:rFonts w:ascii="Arial Black" w:hAnsi="Arial Black"/>
          <w:sz w:val="28"/>
          <w:szCs w:val="28"/>
        </w:rPr>
      </w:pPr>
      <w:r>
        <w:rPr>
          <w:rFonts w:ascii="Arial Black" w:hAnsi="Arial Black"/>
          <w:sz w:val="28"/>
          <w:szCs w:val="28"/>
        </w:rPr>
        <w:t>3-40</w:t>
      </w:r>
    </w:p>
    <w:p w14:paraId="1519126D" w14:textId="77777777" w:rsidR="00A20CA7" w:rsidRDefault="00A20CA7" w:rsidP="00A20CA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TREE OF LIFE SYNAGOGUE – SHOOTER’S STATEMENTS TO SWAT ADMISSIBLE – PUBLIC SAFETY EXCEPTION</w:t>
      </w:r>
    </w:p>
    <w:p w14:paraId="7DE491CC" w14:textId="77777777" w:rsidR="00A20CA7" w:rsidRDefault="00A20CA7" w:rsidP="00A20CA7">
      <w:pPr>
        <w:pStyle w:val="NormalWeb"/>
      </w:pPr>
      <w:r>
        <w:t xml:space="preserve">On Jan. 20, 2022, in </w:t>
      </w:r>
      <w:r w:rsidRPr="00904325">
        <w:rPr>
          <w:u w:val="single"/>
        </w:rPr>
        <w:t>United States of America v. Robert Bowers</w:t>
      </w:r>
      <w:r>
        <w:t>, Senior U.S. District Court Judge D</w:t>
      </w:r>
      <w:r w:rsidRPr="00904325">
        <w:t>onetta</w:t>
      </w:r>
      <w:r>
        <w:t xml:space="preserve"> Ambrose, U.S. District Court for Western District of Pennsylvania, denied the defendant’s motion to suppress statements made to police at that scene prior to being given Miranda warning, based on the “public safety exception.”  The defendant was armed </w:t>
      </w:r>
      <w:r w:rsidRPr="002A0ACB">
        <w:t xml:space="preserve">with an AR-15-style assault rifle and at least three handguns, </w:t>
      </w:r>
      <w:r>
        <w:t xml:space="preserve">shouted </w:t>
      </w:r>
      <w:r w:rsidRPr="002A0ACB">
        <w:t xml:space="preserve">anti-Semitic slurs </w:t>
      </w:r>
      <w:r>
        <w:t xml:space="preserve">and killed </w:t>
      </w:r>
      <w:r w:rsidRPr="002A0ACB">
        <w:t>11 congregants and wound</w:t>
      </w:r>
      <w:r>
        <w:t>ed</w:t>
      </w:r>
      <w:r w:rsidRPr="002A0ACB">
        <w:t xml:space="preserve"> four police officers</w:t>
      </w:r>
      <w:r>
        <w:t xml:space="preserve">.  </w:t>
      </w:r>
      <w:hyperlink r:id="rId716" w:history="1">
        <w:r w:rsidRPr="00A07B51">
          <w:rPr>
            <w:rStyle w:val="Hyperlink"/>
            <w:rFonts w:eastAsiaTheme="majorEastAsia"/>
          </w:rPr>
          <w:t>https://public.fastcase.com/9SKwsfNqTc6OieYDhNMyMwgnH2rEWQiRpx4SwB8tOsl9D8EiwJnekd530roHqTrENez3wWnOYZMVTxSfKTsOEtbG3zaICMf20ttzqQEEaDo</w:t>
        </w:r>
      </w:hyperlink>
    </w:p>
    <w:p w14:paraId="1C0AB4BE" w14:textId="77777777" w:rsidR="009A3D9F" w:rsidRPr="00F35AD1" w:rsidRDefault="009A3D9F" w:rsidP="009A3D9F">
      <w:pPr>
        <w:pStyle w:val="NormalWeb"/>
        <w:rPr>
          <w:b/>
          <w:bCs/>
        </w:rPr>
      </w:pPr>
      <w:r w:rsidRPr="00BA5395">
        <w:rPr>
          <w:b/>
          <w:bCs/>
        </w:rPr>
        <w:t>Legal Lesson Learned:</w:t>
      </w:r>
      <w:r>
        <w:rPr>
          <w:b/>
          <w:bCs/>
        </w:rPr>
        <w:t xml:space="preserve"> The “public safety exception” to Miranda ruling allows into evidence statements of defendants in response to police questioning in situations where there is a threat to public safety. </w:t>
      </w:r>
    </w:p>
    <w:p w14:paraId="07925D7C" w14:textId="77777777" w:rsidR="00A20CA7" w:rsidRDefault="00A20CA7" w:rsidP="00F326E5">
      <w:pPr>
        <w:pStyle w:val="NoSpacing"/>
        <w:rPr>
          <w:rFonts w:ascii="Arial Black" w:hAnsi="Arial Black"/>
          <w:sz w:val="28"/>
          <w:szCs w:val="28"/>
        </w:rPr>
      </w:pPr>
    </w:p>
    <w:p w14:paraId="78DAC4EE" w14:textId="77777777" w:rsidR="00A20CA7" w:rsidRDefault="00A20CA7" w:rsidP="00F326E5">
      <w:pPr>
        <w:pStyle w:val="NoSpacing"/>
        <w:rPr>
          <w:rFonts w:ascii="Arial Black" w:hAnsi="Arial Black"/>
          <w:sz w:val="28"/>
          <w:szCs w:val="28"/>
        </w:rPr>
      </w:pPr>
    </w:p>
    <w:p w14:paraId="6B4EA7EA" w14:textId="4941B572" w:rsidR="00954D68" w:rsidRDefault="00954D68" w:rsidP="00F326E5">
      <w:pPr>
        <w:pStyle w:val="NoSpacing"/>
        <w:rPr>
          <w:rFonts w:ascii="Arial Black" w:hAnsi="Arial Black"/>
          <w:sz w:val="28"/>
          <w:szCs w:val="28"/>
        </w:rPr>
      </w:pPr>
      <w:r>
        <w:rPr>
          <w:rFonts w:ascii="Arial Black" w:hAnsi="Arial Black"/>
          <w:sz w:val="28"/>
          <w:szCs w:val="28"/>
        </w:rPr>
        <w:t>3-39</w:t>
      </w:r>
    </w:p>
    <w:p w14:paraId="02170FAF" w14:textId="77777777" w:rsidR="00954D68" w:rsidRDefault="00954D68" w:rsidP="00954D68">
      <w:pPr>
        <w:spacing w:before="100" w:beforeAutospacing="1" w:after="100" w:afterAutospacing="1" w:line="240" w:lineRule="auto"/>
        <w:rPr>
          <w:rFonts w:ascii="Arial Black" w:eastAsia="Times New Roman" w:hAnsi="Arial Black"/>
          <w:b/>
          <w:bCs/>
          <w:sz w:val="28"/>
          <w:szCs w:val="28"/>
        </w:rPr>
      </w:pPr>
      <w:bookmarkStart w:id="134" w:name="_Hlk92113429"/>
      <w:r>
        <w:rPr>
          <w:rFonts w:ascii="Arial Black" w:eastAsia="Times New Roman" w:hAnsi="Arial Black"/>
          <w:b/>
          <w:bCs/>
          <w:sz w:val="28"/>
          <w:szCs w:val="28"/>
        </w:rPr>
        <w:t>MI: TERRORIST CONFESSION TO FBI - MIRANDA WARNINGS GIVEN BY FBI DURING C-17 FLIGHT TO U.S. - ADMISSIBLE</w:t>
      </w:r>
    </w:p>
    <w:bookmarkEnd w:id="134"/>
    <w:p w14:paraId="49C16A3D" w14:textId="77777777" w:rsidR="00954D68" w:rsidRDefault="00954D68" w:rsidP="00954D68">
      <w:pPr>
        <w:spacing w:before="100" w:beforeAutospacing="1" w:after="100" w:afterAutospacing="1" w:line="240" w:lineRule="auto"/>
        <w:rPr>
          <w:rFonts w:ascii="Times New Roman" w:eastAsia="Times New Roman" w:hAnsi="Times New Roman"/>
          <w:sz w:val="24"/>
          <w:szCs w:val="24"/>
        </w:rPr>
      </w:pPr>
      <w:r w:rsidRPr="000B5148">
        <w:rPr>
          <w:rFonts w:ascii="Times New Roman" w:eastAsia="Times New Roman" w:hAnsi="Times New Roman"/>
          <w:sz w:val="24"/>
          <w:szCs w:val="24"/>
        </w:rPr>
        <w:lastRenderedPageBreak/>
        <w:t xml:space="preserve">On </w:t>
      </w:r>
      <w:r>
        <w:rPr>
          <w:rFonts w:ascii="Times New Roman" w:eastAsia="Times New Roman" w:hAnsi="Times New Roman"/>
          <w:sz w:val="24"/>
          <w:szCs w:val="24"/>
        </w:rPr>
        <w:t xml:space="preserve">Dec. 13, 2021, in </w:t>
      </w:r>
      <w:r w:rsidRPr="000B5148">
        <w:rPr>
          <w:rFonts w:ascii="Times New Roman" w:eastAsia="Times New Roman" w:hAnsi="Times New Roman"/>
          <w:sz w:val="24"/>
          <w:szCs w:val="24"/>
          <w:u w:val="single"/>
        </w:rPr>
        <w:t>United States of America v. Ibraheem Izzy Musaibi</w:t>
      </w:r>
      <w:r>
        <w:rPr>
          <w:rFonts w:ascii="Times New Roman" w:eastAsia="Times New Roman" w:hAnsi="Times New Roman"/>
          <w:sz w:val="24"/>
          <w:szCs w:val="24"/>
        </w:rPr>
        <w:t xml:space="preserve">, U.S. District Court Judge David Lawson, U.S. District Court for Eastern District of Michigan (Southern Division) denied the defense motion to suppress his statements; the FBI gave him clear </w:t>
      </w:r>
      <w:r w:rsidRPr="000B5148">
        <w:rPr>
          <w:rFonts w:ascii="Times New Roman" w:eastAsia="Times New Roman" w:hAnsi="Times New Roman"/>
          <w:i/>
          <w:iCs/>
          <w:sz w:val="24"/>
          <w:szCs w:val="24"/>
        </w:rPr>
        <w:t>Miranda</w:t>
      </w:r>
      <w:r>
        <w:rPr>
          <w:rFonts w:ascii="Times New Roman" w:eastAsia="Times New Roman" w:hAnsi="Times New Roman"/>
          <w:sz w:val="24"/>
          <w:szCs w:val="24"/>
        </w:rPr>
        <w:t xml:space="preserve"> warnings. </w:t>
      </w:r>
    </w:p>
    <w:p w14:paraId="1C1592D0" w14:textId="77777777" w:rsidR="00954D68" w:rsidRPr="006A0973" w:rsidRDefault="00954D68" w:rsidP="00954D68">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623CC0">
        <w:rPr>
          <w:rFonts w:ascii="Times New Roman" w:hAnsi="Times New Roman"/>
          <w:sz w:val="24"/>
          <w:szCs w:val="24"/>
        </w:rPr>
        <w:t>The evidence adduced at the evidentiary hearing establishes that the statements the defendant made while in the custody of the agents on the flight from the Middle East to the United States were voluntary and preceded by the appropriate advice of constitutional rights and warnings, and the defendant's waiver of those rights was knowing and voluntary. The statements the defendant made in text messages with FBI agent Kerner were voluntary and not the product of coercion by the government agent. There is no valid reason to suppress the statements or the text messages.</w:t>
      </w:r>
      <w:r>
        <w:rPr>
          <w:rFonts w:ascii="Times New Roman" w:hAnsi="Times New Roman"/>
          <w:sz w:val="24"/>
          <w:szCs w:val="24"/>
        </w:rPr>
        <w:t>”</w:t>
      </w:r>
      <w:r w:rsidRPr="00623CC0">
        <w:rPr>
          <w:rFonts w:ascii="Times New Roman" w:eastAsia="Times New Roman" w:hAnsi="Times New Roman"/>
          <w:sz w:val="24"/>
          <w:szCs w:val="24"/>
        </w:rPr>
        <w:t xml:space="preserve"> </w:t>
      </w:r>
      <w:hyperlink r:id="rId717" w:history="1">
        <w:r w:rsidRPr="00EC5853">
          <w:rPr>
            <w:rStyle w:val="Hyperlink"/>
            <w:rFonts w:ascii="Times New Roman" w:eastAsia="Times New Roman" w:hAnsi="Times New Roman"/>
            <w:sz w:val="24"/>
            <w:szCs w:val="24"/>
          </w:rPr>
          <w:t>https://casetext.com/case/united-states-v-musaibli-1</w:t>
        </w:r>
      </w:hyperlink>
      <w:r>
        <w:rPr>
          <w:rFonts w:ascii="Times New Roman" w:eastAsia="Times New Roman" w:hAnsi="Times New Roman"/>
          <w:sz w:val="24"/>
          <w:szCs w:val="24"/>
        </w:rPr>
        <w:t xml:space="preserve"> </w:t>
      </w:r>
    </w:p>
    <w:p w14:paraId="28993D92" w14:textId="77777777" w:rsidR="00954D68" w:rsidRPr="00623CC0" w:rsidRDefault="00954D68" w:rsidP="00954D68">
      <w:pPr>
        <w:spacing w:before="100" w:beforeAutospacing="1" w:after="100" w:afterAutospacing="1" w:line="240" w:lineRule="auto"/>
        <w:rPr>
          <w:rFonts w:ascii="Times New Roman" w:hAnsi="Times New Roman"/>
          <w:b/>
          <w:bCs/>
          <w:sz w:val="24"/>
          <w:szCs w:val="24"/>
        </w:rPr>
      </w:pPr>
      <w:r w:rsidRPr="00623CC0">
        <w:rPr>
          <w:rFonts w:ascii="Times New Roman" w:hAnsi="Times New Roman"/>
          <w:b/>
          <w:bCs/>
          <w:sz w:val="24"/>
          <w:szCs w:val="24"/>
        </w:rPr>
        <w:t>Legal Lesson Learned:</w:t>
      </w:r>
      <w:r>
        <w:rPr>
          <w:rFonts w:ascii="Times New Roman" w:hAnsi="Times New Roman"/>
          <w:b/>
          <w:bCs/>
          <w:sz w:val="24"/>
          <w:szCs w:val="24"/>
        </w:rPr>
        <w:t xml:space="preserve"> The post-Miranda warning 5-hour interrogation during C-17 flight, and 2-hours upon arrival in U.S. were lawful.  </w:t>
      </w:r>
    </w:p>
    <w:p w14:paraId="080661FD" w14:textId="77777777" w:rsidR="00954D68" w:rsidRPr="00954D68" w:rsidRDefault="00954D68" w:rsidP="00F326E5">
      <w:pPr>
        <w:pStyle w:val="NoSpacing"/>
      </w:pPr>
    </w:p>
    <w:p w14:paraId="2908668C" w14:textId="77777777" w:rsidR="00954D68" w:rsidRDefault="00954D68" w:rsidP="00F326E5">
      <w:pPr>
        <w:pStyle w:val="NoSpacing"/>
        <w:rPr>
          <w:rFonts w:ascii="Arial Black" w:hAnsi="Arial Black"/>
          <w:sz w:val="28"/>
          <w:szCs w:val="28"/>
        </w:rPr>
      </w:pPr>
    </w:p>
    <w:p w14:paraId="7F58718F" w14:textId="76D373A5" w:rsidR="0082055F" w:rsidRDefault="0082055F" w:rsidP="00F326E5">
      <w:pPr>
        <w:pStyle w:val="NoSpacing"/>
        <w:rPr>
          <w:rFonts w:ascii="Arial Black" w:hAnsi="Arial Black"/>
          <w:sz w:val="28"/>
          <w:szCs w:val="28"/>
        </w:rPr>
      </w:pPr>
      <w:r>
        <w:rPr>
          <w:rFonts w:ascii="Arial Black" w:hAnsi="Arial Black"/>
          <w:sz w:val="28"/>
          <w:szCs w:val="28"/>
        </w:rPr>
        <w:t>3-38</w:t>
      </w:r>
    </w:p>
    <w:p w14:paraId="1860943B" w14:textId="77777777" w:rsidR="0082055F" w:rsidRPr="00964118" w:rsidRDefault="0082055F" w:rsidP="0082055F">
      <w:pPr>
        <w:pStyle w:val="Heading1"/>
        <w:rPr>
          <w:rFonts w:ascii="Arial Black" w:hAnsi="Arial Black"/>
          <w:sz w:val="28"/>
          <w:szCs w:val="28"/>
        </w:rPr>
      </w:pPr>
      <w:r>
        <w:rPr>
          <w:rFonts w:ascii="Arial Black" w:hAnsi="Arial Black"/>
          <w:sz w:val="28"/>
          <w:szCs w:val="28"/>
        </w:rPr>
        <w:t>MD: ISIS SENTENCED 20 YEARS – OBTAINED FUNDS MAKE “ATTACK IN USA” – PLEA DEAL, JUDGE SET THE SENTENCE</w:t>
      </w:r>
    </w:p>
    <w:p w14:paraId="4C236ADB" w14:textId="77777777" w:rsidR="0082055F" w:rsidRPr="00284B77" w:rsidRDefault="0082055F" w:rsidP="0082055F">
      <w:pPr>
        <w:pStyle w:val="Heading1"/>
        <w:rPr>
          <w:b w:val="0"/>
          <w:bCs w:val="0"/>
          <w:sz w:val="24"/>
          <w:szCs w:val="24"/>
        </w:rPr>
      </w:pPr>
      <w:r>
        <w:rPr>
          <w:b w:val="0"/>
          <w:bCs w:val="0"/>
          <w:sz w:val="24"/>
          <w:szCs w:val="24"/>
        </w:rPr>
        <w:t xml:space="preserve">On Oct. 14, 2021, in </w:t>
      </w:r>
      <w:r w:rsidRPr="00964118">
        <w:rPr>
          <w:b w:val="0"/>
          <w:bCs w:val="0"/>
          <w:sz w:val="24"/>
          <w:szCs w:val="24"/>
          <w:u w:val="single"/>
        </w:rPr>
        <w:t xml:space="preserve">Mohamed Y. </w:t>
      </w:r>
      <w:proofErr w:type="spellStart"/>
      <w:r w:rsidRPr="00964118">
        <w:rPr>
          <w:b w:val="0"/>
          <w:bCs w:val="0"/>
          <w:sz w:val="24"/>
          <w:szCs w:val="24"/>
          <w:u w:val="single"/>
        </w:rPr>
        <w:t>Elshinawy</w:t>
      </w:r>
      <w:proofErr w:type="spellEnd"/>
      <w:r w:rsidRPr="00964118">
        <w:rPr>
          <w:b w:val="0"/>
          <w:bCs w:val="0"/>
          <w:sz w:val="24"/>
          <w:szCs w:val="24"/>
          <w:u w:val="single"/>
        </w:rPr>
        <w:t xml:space="preserve"> v. United States of America</w:t>
      </w:r>
      <w:r>
        <w:rPr>
          <w:b w:val="0"/>
          <w:bCs w:val="0"/>
          <w:sz w:val="24"/>
          <w:szCs w:val="24"/>
        </w:rPr>
        <w:t>, U.S. District Court Judge Ellen L. Hollander, U.S. District Court for District of Maryland, denied the defendant’s post-conviction petition to be given a trial; when he was sentenced the Judge informed him of maximum possible sentence of 68 years.  Serious charges, including: “</w:t>
      </w:r>
      <w:r w:rsidRPr="00284B77">
        <w:rPr>
          <w:b w:val="0"/>
          <w:bCs w:val="0"/>
          <w:sz w:val="24"/>
          <w:szCs w:val="24"/>
        </w:rPr>
        <w:t>Beginning in March 2015, Petitioner received money transfers from a foreign entity based in Wales, United Kingdom, and Dhaka, Bangladesh</w:t>
      </w:r>
      <w:r>
        <w:rPr>
          <w:b w:val="0"/>
          <w:bCs w:val="0"/>
          <w:sz w:val="24"/>
          <w:szCs w:val="24"/>
        </w:rPr>
        <w:t>…</w:t>
      </w:r>
      <w:r w:rsidRPr="00284B77">
        <w:rPr>
          <w:rStyle w:val="Emphasis"/>
          <w:b w:val="0"/>
          <w:bCs w:val="0"/>
          <w:sz w:val="24"/>
          <w:szCs w:val="24"/>
        </w:rPr>
        <w:t>.</w:t>
      </w:r>
      <w:r w:rsidRPr="00284B77">
        <w:rPr>
          <w:b w:val="0"/>
          <w:bCs w:val="0"/>
          <w:sz w:val="24"/>
          <w:szCs w:val="24"/>
        </w:rPr>
        <w:t xml:space="preserve"> The funds were “to be used to fund a terrorist attack in the United States.” </w:t>
      </w:r>
    </w:p>
    <w:p w14:paraId="05C74215" w14:textId="77777777" w:rsidR="0082055F" w:rsidRDefault="0082055F" w:rsidP="0082055F">
      <w:pPr>
        <w:pStyle w:val="Heading1"/>
        <w:ind w:left="720"/>
        <w:rPr>
          <w:b w:val="0"/>
          <w:bCs w:val="0"/>
          <w:sz w:val="24"/>
          <w:szCs w:val="24"/>
        </w:rPr>
      </w:pPr>
      <w:r w:rsidRPr="00964118">
        <w:rPr>
          <w:b w:val="0"/>
          <w:bCs w:val="0"/>
          <w:sz w:val="24"/>
          <w:szCs w:val="24"/>
        </w:rPr>
        <w:t>“Petitioner also alleges that he would have gone to trial if he knew that he would be exposed to a sentence of sixty-eight years in the Plea Agreement</w:t>
      </w:r>
      <w:r>
        <w:rPr>
          <w:b w:val="0"/>
          <w:bCs w:val="0"/>
          <w:sz w:val="24"/>
          <w:szCs w:val="24"/>
        </w:rPr>
        <w:t xml:space="preserve">…. </w:t>
      </w:r>
      <w:r w:rsidRPr="00964118">
        <w:rPr>
          <w:b w:val="0"/>
          <w:bCs w:val="0"/>
          <w:sz w:val="24"/>
          <w:szCs w:val="24"/>
        </w:rPr>
        <w:t>There is no merit to this claim, as the Plea Agreement explicitly outlines the maximum sentence available</w:t>
      </w:r>
      <w:r>
        <w:rPr>
          <w:b w:val="0"/>
          <w:bCs w:val="0"/>
          <w:sz w:val="24"/>
          <w:szCs w:val="24"/>
        </w:rPr>
        <w:t>….</w:t>
      </w:r>
      <w:r w:rsidRPr="00964118">
        <w:rPr>
          <w:b w:val="0"/>
          <w:bCs w:val="0"/>
          <w:sz w:val="24"/>
          <w:szCs w:val="24"/>
        </w:rPr>
        <w:t xml:space="preserve"> Furthermore, petitioner explicitly acknowledged on the record that he had read and understood the Agreement</w:t>
      </w:r>
      <w:r>
        <w:rPr>
          <w:b w:val="0"/>
          <w:bCs w:val="0"/>
          <w:sz w:val="24"/>
          <w:szCs w:val="24"/>
        </w:rPr>
        <w:t xml:space="preserve">…. </w:t>
      </w:r>
      <w:r w:rsidRPr="00964118">
        <w:rPr>
          <w:b w:val="0"/>
          <w:bCs w:val="0"/>
          <w:sz w:val="24"/>
          <w:szCs w:val="24"/>
        </w:rPr>
        <w:t xml:space="preserve">And, the Supreme Court has explained that a reviewing court may presume that competent counsel explained a plea and its consequences to a defendant. </w:t>
      </w:r>
      <w:r w:rsidRPr="00964118">
        <w:rPr>
          <w:rStyle w:val="Emphasis"/>
          <w:b w:val="0"/>
          <w:bCs w:val="0"/>
          <w:sz w:val="24"/>
          <w:szCs w:val="24"/>
        </w:rPr>
        <w:t>Marshall</w:t>
      </w:r>
      <w:r w:rsidRPr="00964118">
        <w:rPr>
          <w:b w:val="0"/>
          <w:bCs w:val="0"/>
          <w:sz w:val="24"/>
          <w:szCs w:val="24"/>
        </w:rPr>
        <w:t xml:space="preserve">, 459 U.S. at 436 (quoting </w:t>
      </w:r>
      <w:r w:rsidRPr="00964118">
        <w:rPr>
          <w:rStyle w:val="Emphasis"/>
          <w:b w:val="0"/>
          <w:bCs w:val="0"/>
          <w:sz w:val="24"/>
          <w:szCs w:val="24"/>
        </w:rPr>
        <w:t>Henderson</w:t>
      </w:r>
      <w:r w:rsidRPr="00964118">
        <w:rPr>
          <w:b w:val="0"/>
          <w:bCs w:val="0"/>
          <w:sz w:val="24"/>
          <w:szCs w:val="24"/>
        </w:rPr>
        <w:t>, 426 U.S. at 647).</w:t>
      </w:r>
      <w:r>
        <w:rPr>
          <w:b w:val="0"/>
          <w:bCs w:val="0"/>
          <w:sz w:val="24"/>
          <w:szCs w:val="24"/>
        </w:rPr>
        <w:t xml:space="preserve">” </w:t>
      </w:r>
    </w:p>
    <w:p w14:paraId="483ED008" w14:textId="77777777" w:rsidR="0082055F" w:rsidRDefault="0082055F" w:rsidP="0082055F">
      <w:pPr>
        <w:pStyle w:val="Heading1"/>
        <w:ind w:left="240" w:firstLine="480"/>
        <w:rPr>
          <w:b w:val="0"/>
          <w:bCs w:val="0"/>
          <w:sz w:val="24"/>
          <w:szCs w:val="24"/>
        </w:rPr>
      </w:pPr>
      <w:r>
        <w:rPr>
          <w:b w:val="0"/>
          <w:bCs w:val="0"/>
          <w:sz w:val="24"/>
          <w:szCs w:val="24"/>
        </w:rPr>
        <w:t>***</w:t>
      </w:r>
    </w:p>
    <w:p w14:paraId="2CBFA9C9" w14:textId="77777777" w:rsidR="0082055F" w:rsidRPr="00964118" w:rsidRDefault="0082055F" w:rsidP="0082055F">
      <w:pPr>
        <w:pStyle w:val="Heading1"/>
        <w:ind w:left="720"/>
        <w:rPr>
          <w:b w:val="0"/>
          <w:bCs w:val="0"/>
          <w:sz w:val="24"/>
          <w:szCs w:val="24"/>
        </w:rPr>
      </w:pPr>
      <w:r w:rsidRPr="00964118">
        <w:rPr>
          <w:b w:val="0"/>
          <w:bCs w:val="0"/>
          <w:sz w:val="24"/>
          <w:szCs w:val="24"/>
        </w:rPr>
        <w:t>Perhaps most telling here is that petitioner voluntarily and knowingly pled guilty on all counts, which renders baseless his claim of ineffective assistance of counsel claim based on the waiver of preliminary hearing</w:t>
      </w:r>
      <w:r>
        <w:rPr>
          <w:b w:val="0"/>
          <w:bCs w:val="0"/>
          <w:sz w:val="24"/>
          <w:szCs w:val="24"/>
        </w:rPr>
        <w:t xml:space="preserve">…. </w:t>
      </w:r>
      <w:r w:rsidRPr="00964118">
        <w:rPr>
          <w:b w:val="0"/>
          <w:bCs w:val="0"/>
          <w:sz w:val="24"/>
          <w:szCs w:val="24"/>
        </w:rPr>
        <w:t xml:space="preserve">Moreover, the government notes that the facts establishing probable cause were clearly outlined in the criminal complaint, suggesting that it was reasonable for counsel to waive the preliminary </w:t>
      </w:r>
      <w:proofErr w:type="gramStart"/>
      <w:r w:rsidRPr="00964118">
        <w:rPr>
          <w:b w:val="0"/>
          <w:bCs w:val="0"/>
          <w:sz w:val="24"/>
          <w:szCs w:val="24"/>
        </w:rPr>
        <w:t>hearin</w:t>
      </w:r>
      <w:r>
        <w:rPr>
          <w:b w:val="0"/>
          <w:bCs w:val="0"/>
          <w:sz w:val="24"/>
          <w:szCs w:val="24"/>
        </w:rPr>
        <w:t>g.”</w:t>
      </w:r>
      <w:proofErr w:type="gramEnd"/>
      <w:r>
        <w:rPr>
          <w:b w:val="0"/>
          <w:bCs w:val="0"/>
          <w:sz w:val="24"/>
          <w:szCs w:val="24"/>
        </w:rPr>
        <w:t xml:space="preserve"> </w:t>
      </w:r>
      <w:hyperlink r:id="rId718" w:history="1">
        <w:r w:rsidRPr="00203260">
          <w:rPr>
            <w:rStyle w:val="Hyperlink"/>
            <w:sz w:val="24"/>
            <w:szCs w:val="24"/>
          </w:rPr>
          <w:t>https://casetext.com/case/elshinawy-v-united-states-1</w:t>
        </w:r>
      </w:hyperlink>
      <w:r>
        <w:rPr>
          <w:b w:val="0"/>
          <w:bCs w:val="0"/>
          <w:sz w:val="24"/>
          <w:szCs w:val="24"/>
        </w:rPr>
        <w:t xml:space="preserve"> </w:t>
      </w:r>
    </w:p>
    <w:p w14:paraId="218681D7" w14:textId="77777777" w:rsidR="0082055F" w:rsidRPr="000A14D9" w:rsidRDefault="0082055F" w:rsidP="0082055F">
      <w:pPr>
        <w:spacing w:before="100" w:beforeAutospacing="1" w:after="100" w:afterAutospacing="1" w:line="240" w:lineRule="auto"/>
        <w:rPr>
          <w:rFonts w:ascii="Times New Roman" w:eastAsia="Times New Roman" w:hAnsi="Times New Roman"/>
          <w:b/>
          <w:bCs/>
          <w:sz w:val="24"/>
          <w:szCs w:val="24"/>
        </w:rPr>
      </w:pPr>
      <w:r w:rsidRPr="00284B77">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Plea Agreement with this terrorist clearly left the sentencing decision to the judge, and he was informed by the judge that his maximum sentence of sixty-eight years. </w:t>
      </w:r>
    </w:p>
    <w:p w14:paraId="580379B2" w14:textId="77777777" w:rsidR="0082055F" w:rsidRDefault="0082055F" w:rsidP="00F326E5">
      <w:pPr>
        <w:pStyle w:val="NoSpacing"/>
        <w:rPr>
          <w:rFonts w:ascii="Arial Black" w:hAnsi="Arial Black"/>
          <w:sz w:val="28"/>
          <w:szCs w:val="28"/>
        </w:rPr>
      </w:pPr>
    </w:p>
    <w:p w14:paraId="2A5052B5" w14:textId="77777777" w:rsidR="0082055F" w:rsidRDefault="0082055F" w:rsidP="00F326E5">
      <w:pPr>
        <w:pStyle w:val="NoSpacing"/>
        <w:rPr>
          <w:rFonts w:ascii="Arial Black" w:hAnsi="Arial Black"/>
          <w:sz w:val="28"/>
          <w:szCs w:val="28"/>
        </w:rPr>
      </w:pPr>
    </w:p>
    <w:p w14:paraId="1B506EDC" w14:textId="77777777" w:rsidR="0082055F" w:rsidRDefault="0082055F" w:rsidP="00F326E5">
      <w:pPr>
        <w:pStyle w:val="NoSpacing"/>
        <w:rPr>
          <w:rFonts w:ascii="Arial Black" w:hAnsi="Arial Black"/>
          <w:sz w:val="28"/>
          <w:szCs w:val="28"/>
        </w:rPr>
      </w:pPr>
    </w:p>
    <w:p w14:paraId="282F4F31" w14:textId="77777777" w:rsidR="0082055F" w:rsidRDefault="0082055F" w:rsidP="00F326E5">
      <w:pPr>
        <w:pStyle w:val="NoSpacing"/>
        <w:rPr>
          <w:rFonts w:ascii="Arial Black" w:hAnsi="Arial Black"/>
          <w:sz w:val="28"/>
          <w:szCs w:val="28"/>
        </w:rPr>
      </w:pPr>
    </w:p>
    <w:p w14:paraId="77D2D010" w14:textId="77B9A657" w:rsidR="00382F02" w:rsidRDefault="00382F02" w:rsidP="00F326E5">
      <w:pPr>
        <w:pStyle w:val="NoSpacing"/>
        <w:rPr>
          <w:rFonts w:ascii="Arial Black" w:hAnsi="Arial Black"/>
          <w:sz w:val="28"/>
          <w:szCs w:val="28"/>
        </w:rPr>
      </w:pPr>
      <w:r>
        <w:rPr>
          <w:rFonts w:ascii="Arial Black" w:hAnsi="Arial Black"/>
          <w:sz w:val="28"/>
          <w:szCs w:val="28"/>
        </w:rPr>
        <w:t>3-37</w:t>
      </w:r>
    </w:p>
    <w:p w14:paraId="413B0D5A" w14:textId="77777777" w:rsidR="00382F02" w:rsidRPr="00E65FCE" w:rsidRDefault="00382F02" w:rsidP="00382F02">
      <w:pPr>
        <w:pStyle w:val="Heading1"/>
        <w:rPr>
          <w:rFonts w:ascii="Arial Black" w:hAnsi="Arial Black"/>
          <w:sz w:val="28"/>
          <w:szCs w:val="28"/>
        </w:rPr>
      </w:pPr>
      <w:bookmarkStart w:id="135" w:name="_Hlk81841424"/>
      <w:r w:rsidRPr="00E65FCE">
        <w:rPr>
          <w:rFonts w:ascii="Arial Black" w:hAnsi="Arial Black"/>
          <w:sz w:val="28"/>
          <w:szCs w:val="28"/>
        </w:rPr>
        <w:t>SC</w:t>
      </w:r>
      <w:r>
        <w:rPr>
          <w:rFonts w:ascii="Arial Black" w:hAnsi="Arial Black"/>
          <w:sz w:val="28"/>
          <w:szCs w:val="28"/>
        </w:rPr>
        <w:t>: MASS KILLING OF 9 AT CHARLESTON CHURCH – DEATH PENALTY – DOMESTIC TERROIST- NO INSANITY DEFENSE</w:t>
      </w:r>
    </w:p>
    <w:bookmarkEnd w:id="135"/>
    <w:p w14:paraId="5E72B7B1" w14:textId="5DDD8EA0" w:rsidR="00382F02" w:rsidRPr="00FA5F45" w:rsidRDefault="00382F02" w:rsidP="00A62433">
      <w:pPr>
        <w:pStyle w:val="Heading1"/>
        <w:rPr>
          <w:b w:val="0"/>
          <w:bCs w:val="0"/>
          <w:sz w:val="24"/>
          <w:szCs w:val="24"/>
        </w:rPr>
      </w:pPr>
      <w:r>
        <w:rPr>
          <w:b w:val="0"/>
          <w:bCs w:val="0"/>
          <w:sz w:val="24"/>
          <w:szCs w:val="24"/>
        </w:rPr>
        <w:t xml:space="preserve">On Aug. 25, 2021, in </w:t>
      </w:r>
      <w:r w:rsidRPr="00FA5F45">
        <w:rPr>
          <w:b w:val="0"/>
          <w:bCs w:val="0"/>
          <w:sz w:val="24"/>
          <w:szCs w:val="24"/>
          <w:u w:val="single"/>
        </w:rPr>
        <w:t>United States of America v. Dylann Storm Roof</w:t>
      </w:r>
      <w:r>
        <w:rPr>
          <w:b w:val="0"/>
          <w:bCs w:val="0"/>
          <w:sz w:val="24"/>
          <w:szCs w:val="24"/>
        </w:rPr>
        <w:t>, three judges sitting on 4</w:t>
      </w:r>
      <w:r w:rsidRPr="00FA5F45">
        <w:rPr>
          <w:b w:val="0"/>
          <w:bCs w:val="0"/>
          <w:sz w:val="24"/>
          <w:szCs w:val="24"/>
          <w:vertAlign w:val="superscript"/>
        </w:rPr>
        <w:t>th</w:t>
      </w:r>
      <w:r>
        <w:rPr>
          <w:b w:val="0"/>
          <w:bCs w:val="0"/>
          <w:sz w:val="24"/>
          <w:szCs w:val="24"/>
        </w:rPr>
        <w:t xml:space="preserve"> Circuit panel </w:t>
      </w:r>
      <w:r w:rsidRPr="00FA5F45">
        <w:rPr>
          <w:b w:val="0"/>
          <w:bCs w:val="0"/>
          <w:sz w:val="24"/>
          <w:szCs w:val="24"/>
        </w:rPr>
        <w:t>[</w:t>
      </w:r>
      <w:r>
        <w:rPr>
          <w:b w:val="0"/>
          <w:bCs w:val="0"/>
          <w:sz w:val="24"/>
          <w:szCs w:val="24"/>
        </w:rPr>
        <w:t>lead prosecutor in case is now 4</w:t>
      </w:r>
      <w:r w:rsidRPr="00FA5F45">
        <w:rPr>
          <w:b w:val="0"/>
          <w:bCs w:val="0"/>
          <w:sz w:val="24"/>
          <w:szCs w:val="24"/>
          <w:vertAlign w:val="superscript"/>
        </w:rPr>
        <w:t>th</w:t>
      </w:r>
      <w:r>
        <w:rPr>
          <w:b w:val="0"/>
          <w:bCs w:val="0"/>
          <w:sz w:val="24"/>
          <w:szCs w:val="24"/>
        </w:rPr>
        <w:t xml:space="preserve"> Circuit judge, so judges from three other Circuit heard the appeal: </w:t>
      </w:r>
      <w:r w:rsidRPr="00E65FCE">
        <w:rPr>
          <w:b w:val="0"/>
          <w:bCs w:val="0"/>
          <w:sz w:val="24"/>
          <w:szCs w:val="24"/>
        </w:rPr>
        <w:t>8th Circuit Judge Duane Benton, Sixth Circuit Judge Ronald Lee Gilman and Third Circuit Judge Kent Jordan</w:t>
      </w:r>
      <w:r w:rsidRPr="00FA5F45">
        <w:rPr>
          <w:b w:val="0"/>
          <w:bCs w:val="0"/>
          <w:sz w:val="24"/>
          <w:szCs w:val="24"/>
        </w:rPr>
        <w:t>]</w:t>
      </w:r>
      <w:r>
        <w:rPr>
          <w:b w:val="0"/>
          <w:bCs w:val="0"/>
          <w:sz w:val="24"/>
          <w:szCs w:val="24"/>
        </w:rPr>
        <w:t xml:space="preserve"> held 3 to 0 (Per Curiam 149-page decision; not signed by one judge) that his conviction and death sentence is affirmed. </w:t>
      </w:r>
      <w:r w:rsidRPr="00E42CB0">
        <w:rPr>
          <w:rStyle w:val="markedcontent"/>
          <w:b w:val="0"/>
          <w:bCs w:val="0"/>
          <w:sz w:val="24"/>
          <w:szCs w:val="24"/>
        </w:rPr>
        <w:t>Dr.</w:t>
      </w:r>
      <w:r>
        <w:rPr>
          <w:rStyle w:val="markedcontent"/>
          <w:b w:val="0"/>
          <w:bCs w:val="0"/>
          <w:sz w:val="24"/>
          <w:szCs w:val="24"/>
        </w:rPr>
        <w:t xml:space="preserve"> </w:t>
      </w:r>
      <w:r w:rsidRPr="00E42CB0">
        <w:rPr>
          <w:rStyle w:val="markedcontent"/>
          <w:b w:val="0"/>
          <w:bCs w:val="0"/>
          <w:sz w:val="24"/>
          <w:szCs w:val="24"/>
        </w:rPr>
        <w:t xml:space="preserve">Ballenger </w:t>
      </w:r>
      <w:r w:rsidRPr="00E42CB0">
        <w:rPr>
          <w:b w:val="0"/>
          <w:bCs w:val="0"/>
          <w:sz w:val="24"/>
          <w:szCs w:val="24"/>
        </w:rPr>
        <w:t xml:space="preserve">[Court appointed psychiatrist] </w:t>
      </w:r>
      <w:r w:rsidRPr="00E42CB0">
        <w:rPr>
          <w:rStyle w:val="markedcontent"/>
          <w:b w:val="0"/>
          <w:bCs w:val="0"/>
          <w:sz w:val="24"/>
          <w:szCs w:val="24"/>
        </w:rPr>
        <w:t xml:space="preserve">noted that Roof compared himself to a terrorist who successfully murdered people as a </w:t>
      </w:r>
      <w:r>
        <w:rPr>
          <w:rStyle w:val="markedcontent"/>
          <w:b w:val="0"/>
          <w:bCs w:val="0"/>
          <w:sz w:val="24"/>
          <w:szCs w:val="24"/>
        </w:rPr>
        <w:t>‘</w:t>
      </w:r>
      <w:r w:rsidRPr="00E42CB0">
        <w:rPr>
          <w:rStyle w:val="markedcontent"/>
          <w:b w:val="0"/>
          <w:bCs w:val="0"/>
          <w:sz w:val="24"/>
          <w:szCs w:val="24"/>
        </w:rPr>
        <w:t>purely political act.”</w:t>
      </w:r>
      <w:r>
        <w:rPr>
          <w:rStyle w:val="markedcontent"/>
          <w:b w:val="0"/>
          <w:bCs w:val="0"/>
          <w:sz w:val="24"/>
          <w:szCs w:val="24"/>
        </w:rPr>
        <w:t xml:space="preserve">  </w:t>
      </w:r>
      <w:r>
        <w:rPr>
          <w:b w:val="0"/>
          <w:bCs w:val="0"/>
          <w:sz w:val="24"/>
          <w:szCs w:val="24"/>
        </w:rPr>
        <w:t xml:space="preserve">The psychiatrist found that Roof was competent to stand trial [with full IQ of 125] even if he did have some level of autism.  Roof fired his court-appointed attorneys and represented himself at the trial and at the sentencing hearing. </w:t>
      </w:r>
      <w:r w:rsidR="0049457B">
        <w:rPr>
          <w:b w:val="0"/>
          <w:bCs w:val="0"/>
          <w:sz w:val="24"/>
          <w:szCs w:val="24"/>
        </w:rPr>
        <w:t xml:space="preserve">The Court held: </w:t>
      </w:r>
      <w:r w:rsidRPr="00A62433">
        <w:rPr>
          <w:rStyle w:val="markedcontent"/>
          <w:b w:val="0"/>
          <w:bCs w:val="0"/>
          <w:sz w:val="24"/>
          <w:szCs w:val="24"/>
        </w:rPr>
        <w:t xml:space="preserve">“No cold record or careful parsing of statutes and precedents can capture the full horror of what Roof did. His crimes qualify him for the harshest penalty that a just society can impose. We have reached that conclusion not as a product of emotion but through a thorough analytical process, which we have endeavored to detail here. In this, we have followed the example of the trial judge, who managed this difficult case with skill and compassion for all concerned, including Roof himself. For the reasons given, we will affirm.”  </w:t>
      </w:r>
      <w:hyperlink r:id="rId719" w:history="1">
        <w:r w:rsidRPr="00A62433">
          <w:rPr>
            <w:rStyle w:val="Hyperlink"/>
            <w:b w:val="0"/>
            <w:bCs w:val="0"/>
            <w:sz w:val="24"/>
            <w:szCs w:val="24"/>
          </w:rPr>
          <w:t>https://www.ca4.uscourts.gov/opinions/173.P.pdf</w:t>
        </w:r>
      </w:hyperlink>
      <w:r>
        <w:rPr>
          <w:rStyle w:val="markedcontent"/>
          <w:sz w:val="24"/>
          <w:szCs w:val="24"/>
        </w:rPr>
        <w:t xml:space="preserve"> </w:t>
      </w:r>
    </w:p>
    <w:p w14:paraId="38561F96" w14:textId="77777777" w:rsidR="00382F02" w:rsidRDefault="00382F02" w:rsidP="00382F02">
      <w:pPr>
        <w:pStyle w:val="Heading1"/>
        <w:rPr>
          <w:rStyle w:val="markedcontent"/>
          <w:sz w:val="24"/>
          <w:szCs w:val="24"/>
        </w:rPr>
      </w:pPr>
      <w:r w:rsidRPr="001D2B6C">
        <w:rPr>
          <w:rStyle w:val="markedcontent"/>
          <w:sz w:val="24"/>
          <w:szCs w:val="24"/>
        </w:rPr>
        <w:t>Legal Lesson Learned:</w:t>
      </w:r>
      <w:r>
        <w:rPr>
          <w:rStyle w:val="markedcontent"/>
          <w:sz w:val="24"/>
          <w:szCs w:val="24"/>
        </w:rPr>
        <w:t xml:space="preserve"> The defendant is first person in U.S. ever sentenced to death by a federal jury for a federal hate crime. </w:t>
      </w:r>
    </w:p>
    <w:p w14:paraId="5B0682F3" w14:textId="77777777" w:rsidR="00382F02" w:rsidRDefault="00382F02" w:rsidP="00382F02">
      <w:pPr>
        <w:ind w:left="720"/>
        <w:rPr>
          <w:rFonts w:ascii="Times New Roman" w:hAnsi="Times New Roman"/>
          <w:sz w:val="24"/>
          <w:szCs w:val="24"/>
        </w:rPr>
      </w:pPr>
      <w:r w:rsidRPr="000B0403">
        <w:rPr>
          <w:rStyle w:val="markedcontent"/>
          <w:rFonts w:ascii="Times New Roman" w:hAnsi="Times New Roman"/>
          <w:sz w:val="24"/>
          <w:szCs w:val="24"/>
        </w:rPr>
        <w:t xml:space="preserve">Note:  </w:t>
      </w:r>
      <w:r w:rsidRPr="000B0403">
        <w:rPr>
          <w:rFonts w:ascii="Times New Roman" w:hAnsi="Times New Roman"/>
          <w:sz w:val="24"/>
          <w:szCs w:val="24"/>
        </w:rPr>
        <w:t xml:space="preserve">Watch his videotaped confession to FBI agents (6/18/2015): </w:t>
      </w:r>
      <w:hyperlink r:id="rId720" w:history="1">
        <w:r w:rsidRPr="007529FC">
          <w:rPr>
            <w:rStyle w:val="Hyperlink"/>
            <w:sz w:val="24"/>
            <w:szCs w:val="24"/>
          </w:rPr>
          <w:t>https://www.thestate.com/news/local/crime/article120075733.html</w:t>
        </w:r>
      </w:hyperlink>
    </w:p>
    <w:p w14:paraId="23DA8CBB" w14:textId="77777777" w:rsidR="00382F02" w:rsidRPr="00466756" w:rsidRDefault="00382F02" w:rsidP="00382F02">
      <w:pPr>
        <w:pStyle w:val="Heading1"/>
        <w:ind w:left="720"/>
        <w:rPr>
          <w:b w:val="0"/>
          <w:bCs w:val="0"/>
          <w:sz w:val="24"/>
          <w:szCs w:val="24"/>
        </w:rPr>
      </w:pPr>
      <w:r w:rsidRPr="00466756">
        <w:rPr>
          <w:b w:val="0"/>
          <w:bCs w:val="0"/>
          <w:sz w:val="24"/>
          <w:szCs w:val="24"/>
        </w:rPr>
        <w:t xml:space="preserve">See Aug. 26, </w:t>
      </w:r>
      <w:proofErr w:type="gramStart"/>
      <w:r w:rsidRPr="00466756">
        <w:rPr>
          <w:b w:val="0"/>
          <w:bCs w:val="0"/>
          <w:sz w:val="24"/>
          <w:szCs w:val="24"/>
        </w:rPr>
        <w:t>2021</w:t>
      </w:r>
      <w:proofErr w:type="gramEnd"/>
      <w:r w:rsidRPr="00466756">
        <w:rPr>
          <w:b w:val="0"/>
          <w:bCs w:val="0"/>
          <w:sz w:val="24"/>
          <w:szCs w:val="24"/>
        </w:rPr>
        <w:t xml:space="preserve"> article on the decision: “Charleston killer Dylann Roof’s death penalty upheld by federal appeals court.” </w:t>
      </w:r>
      <w:hyperlink r:id="rId721" w:history="1">
        <w:r w:rsidRPr="00466756">
          <w:rPr>
            <w:rStyle w:val="Hyperlink"/>
            <w:sz w:val="24"/>
            <w:szCs w:val="24"/>
          </w:rPr>
          <w:t>https://www.thestate.com/news/local/crime/article253733108.html</w:t>
        </w:r>
      </w:hyperlink>
      <w:r w:rsidRPr="00466756">
        <w:rPr>
          <w:b w:val="0"/>
          <w:bCs w:val="0"/>
          <w:sz w:val="24"/>
          <w:szCs w:val="24"/>
        </w:rPr>
        <w:t xml:space="preserve"> </w:t>
      </w:r>
    </w:p>
    <w:p w14:paraId="12559D5B" w14:textId="77777777" w:rsidR="00382F02" w:rsidRDefault="00382F02" w:rsidP="00382F02">
      <w:pPr>
        <w:ind w:left="720"/>
        <w:rPr>
          <w:rStyle w:val="markedcontent"/>
          <w:rFonts w:ascii="Times New Roman" w:hAnsi="Times New Roman"/>
          <w:sz w:val="24"/>
          <w:szCs w:val="24"/>
        </w:rPr>
      </w:pPr>
      <w:r>
        <w:rPr>
          <w:rFonts w:ascii="Arial" w:hAnsi="Arial" w:cs="Arial"/>
          <w:color w:val="000000"/>
          <w:sz w:val="20"/>
          <w:szCs w:val="20"/>
        </w:rPr>
        <w:br/>
      </w:r>
      <w:r>
        <w:rPr>
          <w:rStyle w:val="markedcontent"/>
          <w:rFonts w:ascii="Times New Roman" w:hAnsi="Times New Roman"/>
          <w:sz w:val="24"/>
          <w:szCs w:val="24"/>
        </w:rPr>
        <w:t xml:space="preserve">Federal Hate Crime: </w:t>
      </w:r>
      <w:r w:rsidRPr="000B0403">
        <w:rPr>
          <w:rStyle w:val="markedcontent"/>
          <w:rFonts w:ascii="Times New Roman" w:hAnsi="Times New Roman"/>
          <w:sz w:val="24"/>
          <w:szCs w:val="24"/>
        </w:rPr>
        <w:t>18 U.S.C. § 249(a)(1) provides:</w:t>
      </w:r>
    </w:p>
    <w:p w14:paraId="7982611B" w14:textId="77777777" w:rsidR="00382F02" w:rsidRPr="000B0403" w:rsidRDefault="00382F02" w:rsidP="00382F02">
      <w:pPr>
        <w:ind w:left="720" w:firstLine="60"/>
        <w:rPr>
          <w:rFonts w:ascii="Times New Roman" w:hAnsi="Times New Roman"/>
          <w:sz w:val="24"/>
          <w:szCs w:val="24"/>
        </w:rPr>
      </w:pPr>
      <w:r w:rsidRPr="000B0403">
        <w:rPr>
          <w:rStyle w:val="num"/>
          <w:rFonts w:ascii="Times New Roman" w:hAnsi="Times New Roman"/>
          <w:sz w:val="24"/>
          <w:szCs w:val="24"/>
        </w:rPr>
        <w:t>(1)</w:t>
      </w:r>
      <w:r w:rsidRPr="000B0403">
        <w:rPr>
          <w:rStyle w:val="heading"/>
          <w:rFonts w:ascii="Times New Roman" w:hAnsi="Times New Roman"/>
          <w:sz w:val="24"/>
          <w:szCs w:val="24"/>
        </w:rPr>
        <w:t xml:space="preserve"> Offenses involving actual or perceived race, color, religion, or national origin.—</w:t>
      </w:r>
      <w:r w:rsidRPr="000B0403">
        <w:rPr>
          <w:rStyle w:val="chapeau"/>
          <w:rFonts w:ascii="Times New Roman" w:hAnsi="Times New Roman"/>
          <w:sz w:val="24"/>
          <w:szCs w:val="24"/>
        </w:rPr>
        <w:t xml:space="preserve">Whoever, whether or not acting under color of law, willfully causes </w:t>
      </w:r>
      <w:hyperlink r:id="rId722" w:history="1">
        <w:r w:rsidRPr="000B0403">
          <w:rPr>
            <w:rStyle w:val="Hyperlink"/>
            <w:sz w:val="24"/>
            <w:szCs w:val="24"/>
          </w:rPr>
          <w:t>bodily injury</w:t>
        </w:r>
      </w:hyperlink>
      <w:r w:rsidRPr="000B0403">
        <w:rPr>
          <w:rStyle w:val="chapeau"/>
          <w:rFonts w:ascii="Times New Roman" w:hAnsi="Times New Roman"/>
          <w:sz w:val="24"/>
          <w:szCs w:val="24"/>
        </w:rPr>
        <w:t xml:space="preserve"> to any person or, through the use of fire, a</w:t>
      </w:r>
      <w:hyperlink r:id="rId723" w:history="1">
        <w:r w:rsidRPr="000B0403">
          <w:rPr>
            <w:rStyle w:val="Hyperlink"/>
            <w:sz w:val="24"/>
            <w:szCs w:val="24"/>
          </w:rPr>
          <w:t xml:space="preserve"> firearm,</w:t>
        </w:r>
      </w:hyperlink>
      <w:r w:rsidRPr="000B0403">
        <w:rPr>
          <w:rStyle w:val="chapeau"/>
          <w:rFonts w:ascii="Times New Roman" w:hAnsi="Times New Roman"/>
          <w:sz w:val="24"/>
          <w:szCs w:val="24"/>
        </w:rPr>
        <w:t xml:space="preserve"> a dangerous weapon, or an </w:t>
      </w:r>
      <w:hyperlink r:id="rId724" w:history="1">
        <w:r w:rsidRPr="000B0403">
          <w:rPr>
            <w:rStyle w:val="Hyperlink"/>
            <w:sz w:val="24"/>
            <w:szCs w:val="24"/>
          </w:rPr>
          <w:t>explosive or incendiary device</w:t>
        </w:r>
      </w:hyperlink>
      <w:r w:rsidRPr="000B0403">
        <w:rPr>
          <w:rStyle w:val="chapeau"/>
          <w:rFonts w:ascii="Times New Roman" w:hAnsi="Times New Roman"/>
          <w:sz w:val="24"/>
          <w:szCs w:val="24"/>
        </w:rPr>
        <w:t>, attempts to cause</w:t>
      </w:r>
      <w:hyperlink r:id="rId725" w:history="1">
        <w:r w:rsidRPr="000B0403">
          <w:rPr>
            <w:rStyle w:val="Hyperlink"/>
            <w:sz w:val="24"/>
            <w:szCs w:val="24"/>
          </w:rPr>
          <w:t xml:space="preserve"> bodily injury </w:t>
        </w:r>
      </w:hyperlink>
      <w:r w:rsidRPr="000B0403">
        <w:rPr>
          <w:rStyle w:val="chapeau"/>
          <w:rFonts w:ascii="Times New Roman" w:hAnsi="Times New Roman"/>
          <w:sz w:val="24"/>
          <w:szCs w:val="24"/>
        </w:rPr>
        <w:t>to any person, because of the actual or perceived race, color, religion, or national origin of any person—</w:t>
      </w:r>
      <w:r w:rsidRPr="000B0403">
        <w:rPr>
          <w:rFonts w:ascii="Times New Roman" w:hAnsi="Times New Roman"/>
          <w:sz w:val="24"/>
          <w:szCs w:val="24"/>
        </w:rPr>
        <w:t xml:space="preserve"> </w:t>
      </w:r>
    </w:p>
    <w:p w14:paraId="19D439BA" w14:textId="77777777" w:rsidR="00382F02" w:rsidRPr="000B0403" w:rsidRDefault="00382F02" w:rsidP="00382F02">
      <w:pPr>
        <w:ind w:firstLine="720"/>
        <w:rPr>
          <w:rFonts w:ascii="Times New Roman" w:hAnsi="Times New Roman"/>
          <w:sz w:val="24"/>
          <w:szCs w:val="24"/>
        </w:rPr>
      </w:pPr>
      <w:bookmarkStart w:id="136" w:name="a_1_A"/>
      <w:bookmarkEnd w:id="136"/>
      <w:r w:rsidRPr="000B0403">
        <w:rPr>
          <w:rStyle w:val="num"/>
          <w:rFonts w:ascii="Times New Roman" w:hAnsi="Times New Roman"/>
          <w:sz w:val="24"/>
          <w:szCs w:val="24"/>
        </w:rPr>
        <w:t>(A)</w:t>
      </w:r>
      <w:r w:rsidRPr="000B0403">
        <w:rPr>
          <w:rFonts w:ascii="Times New Roman" w:hAnsi="Times New Roman"/>
          <w:sz w:val="24"/>
          <w:szCs w:val="24"/>
        </w:rPr>
        <w:t xml:space="preserve"> </w:t>
      </w:r>
    </w:p>
    <w:p w14:paraId="7DB76437" w14:textId="77777777" w:rsidR="00382F02" w:rsidRPr="000B0403" w:rsidRDefault="00382F02" w:rsidP="00382F02">
      <w:pPr>
        <w:ind w:left="720"/>
        <w:rPr>
          <w:rFonts w:ascii="Times New Roman" w:hAnsi="Times New Roman"/>
          <w:sz w:val="24"/>
          <w:szCs w:val="24"/>
        </w:rPr>
      </w:pPr>
      <w:r w:rsidRPr="000B0403">
        <w:rPr>
          <w:rFonts w:ascii="Times New Roman" w:hAnsi="Times New Roman"/>
          <w:sz w:val="24"/>
          <w:szCs w:val="24"/>
        </w:rPr>
        <w:t>shall be imprisoned not more than 10 years, fined in accordance with this title, or both; and</w:t>
      </w:r>
    </w:p>
    <w:p w14:paraId="7F8C9567" w14:textId="77777777" w:rsidR="00382F02" w:rsidRPr="000B0403" w:rsidRDefault="00382F02" w:rsidP="00382F02">
      <w:pPr>
        <w:ind w:left="720"/>
        <w:rPr>
          <w:rFonts w:ascii="Times New Roman" w:hAnsi="Times New Roman"/>
          <w:sz w:val="24"/>
          <w:szCs w:val="24"/>
        </w:rPr>
      </w:pPr>
      <w:bookmarkStart w:id="137" w:name="a_1_B"/>
      <w:bookmarkEnd w:id="137"/>
      <w:r w:rsidRPr="000B0403">
        <w:rPr>
          <w:rStyle w:val="num"/>
          <w:rFonts w:ascii="Times New Roman" w:hAnsi="Times New Roman"/>
          <w:sz w:val="24"/>
          <w:szCs w:val="24"/>
        </w:rPr>
        <w:t>(B)</w:t>
      </w:r>
      <w:r w:rsidRPr="000B0403">
        <w:rPr>
          <w:rStyle w:val="chapeau"/>
          <w:rFonts w:ascii="Times New Roman" w:hAnsi="Times New Roman"/>
          <w:sz w:val="24"/>
          <w:szCs w:val="24"/>
        </w:rPr>
        <w:t xml:space="preserve"> shall be imprisoned for any term of </w:t>
      </w:r>
      <w:proofErr w:type="gramStart"/>
      <w:r w:rsidRPr="000B0403">
        <w:rPr>
          <w:rStyle w:val="chapeau"/>
          <w:rFonts w:ascii="Times New Roman" w:hAnsi="Times New Roman"/>
          <w:sz w:val="24"/>
          <w:szCs w:val="24"/>
        </w:rPr>
        <w:t>years</w:t>
      </w:r>
      <w:proofErr w:type="gramEnd"/>
      <w:r w:rsidRPr="000B0403">
        <w:rPr>
          <w:rStyle w:val="chapeau"/>
          <w:rFonts w:ascii="Times New Roman" w:hAnsi="Times New Roman"/>
          <w:sz w:val="24"/>
          <w:szCs w:val="24"/>
        </w:rPr>
        <w:t xml:space="preserve"> or for life, fined in accordance with this title, or both, if—</w:t>
      </w:r>
      <w:r w:rsidRPr="000B0403">
        <w:rPr>
          <w:rFonts w:ascii="Times New Roman" w:hAnsi="Times New Roman"/>
          <w:sz w:val="24"/>
          <w:szCs w:val="24"/>
        </w:rPr>
        <w:t xml:space="preserve"> </w:t>
      </w:r>
    </w:p>
    <w:p w14:paraId="4F4C8156" w14:textId="77777777" w:rsidR="00382F02" w:rsidRPr="000B0403" w:rsidRDefault="00382F02" w:rsidP="00382F02">
      <w:pPr>
        <w:ind w:firstLine="720"/>
        <w:rPr>
          <w:rFonts w:ascii="Times New Roman" w:hAnsi="Times New Roman"/>
          <w:sz w:val="24"/>
          <w:szCs w:val="24"/>
        </w:rPr>
      </w:pPr>
      <w:bookmarkStart w:id="138" w:name="a_1_B_i"/>
      <w:bookmarkEnd w:id="138"/>
      <w:r w:rsidRPr="000B0403">
        <w:rPr>
          <w:rStyle w:val="num"/>
          <w:rFonts w:ascii="Times New Roman" w:hAnsi="Times New Roman"/>
          <w:sz w:val="24"/>
          <w:szCs w:val="24"/>
        </w:rPr>
        <w:t>(</w:t>
      </w:r>
      <w:proofErr w:type="spellStart"/>
      <w:r w:rsidRPr="000B0403">
        <w:rPr>
          <w:rStyle w:val="num"/>
          <w:rFonts w:ascii="Times New Roman" w:hAnsi="Times New Roman"/>
          <w:sz w:val="24"/>
          <w:szCs w:val="24"/>
        </w:rPr>
        <w:t>i</w:t>
      </w:r>
      <w:proofErr w:type="spellEnd"/>
      <w:r w:rsidRPr="000B0403">
        <w:rPr>
          <w:rStyle w:val="num"/>
          <w:rFonts w:ascii="Times New Roman" w:hAnsi="Times New Roman"/>
          <w:sz w:val="24"/>
          <w:szCs w:val="24"/>
        </w:rPr>
        <w:t>)</w:t>
      </w:r>
      <w:r w:rsidRPr="000B0403">
        <w:rPr>
          <w:rFonts w:ascii="Times New Roman" w:hAnsi="Times New Roman"/>
          <w:sz w:val="24"/>
          <w:szCs w:val="24"/>
        </w:rPr>
        <w:t xml:space="preserve"> </w:t>
      </w:r>
    </w:p>
    <w:p w14:paraId="450A8FE4" w14:textId="77777777" w:rsidR="00382F02" w:rsidRPr="000B0403" w:rsidRDefault="00382F02" w:rsidP="00382F02">
      <w:pPr>
        <w:ind w:firstLine="720"/>
        <w:rPr>
          <w:rFonts w:ascii="Times New Roman" w:hAnsi="Times New Roman"/>
          <w:sz w:val="24"/>
          <w:szCs w:val="24"/>
        </w:rPr>
      </w:pPr>
      <w:r w:rsidRPr="000B0403">
        <w:rPr>
          <w:rFonts w:ascii="Times New Roman" w:hAnsi="Times New Roman"/>
          <w:sz w:val="24"/>
          <w:szCs w:val="24"/>
        </w:rPr>
        <w:t>death results from the offense; or</w:t>
      </w:r>
    </w:p>
    <w:p w14:paraId="413EFAE4" w14:textId="77777777" w:rsidR="00382F02" w:rsidRPr="000B0403" w:rsidRDefault="00382F02" w:rsidP="00382F02">
      <w:pPr>
        <w:ind w:firstLine="720"/>
        <w:rPr>
          <w:rFonts w:ascii="Times New Roman" w:hAnsi="Times New Roman"/>
          <w:sz w:val="24"/>
          <w:szCs w:val="24"/>
        </w:rPr>
      </w:pPr>
      <w:bookmarkStart w:id="139" w:name="a_1_B_ii"/>
      <w:bookmarkEnd w:id="139"/>
      <w:r w:rsidRPr="000B0403">
        <w:rPr>
          <w:rStyle w:val="num"/>
          <w:rFonts w:ascii="Times New Roman" w:hAnsi="Times New Roman"/>
          <w:sz w:val="24"/>
          <w:szCs w:val="24"/>
        </w:rPr>
        <w:t>(ii)</w:t>
      </w:r>
      <w:r w:rsidRPr="000B0403">
        <w:rPr>
          <w:rFonts w:ascii="Times New Roman" w:hAnsi="Times New Roman"/>
          <w:sz w:val="24"/>
          <w:szCs w:val="24"/>
        </w:rPr>
        <w:t xml:space="preserve"> </w:t>
      </w:r>
    </w:p>
    <w:p w14:paraId="282BC73C" w14:textId="77777777" w:rsidR="00382F02" w:rsidRPr="000B0403" w:rsidRDefault="00382F02" w:rsidP="00382F02">
      <w:pPr>
        <w:ind w:left="720"/>
        <w:rPr>
          <w:rFonts w:ascii="Times New Roman" w:hAnsi="Times New Roman"/>
          <w:sz w:val="24"/>
          <w:szCs w:val="24"/>
        </w:rPr>
      </w:pPr>
      <w:r w:rsidRPr="000B0403">
        <w:rPr>
          <w:rFonts w:ascii="Times New Roman" w:hAnsi="Times New Roman"/>
          <w:sz w:val="24"/>
          <w:szCs w:val="24"/>
        </w:rPr>
        <w:lastRenderedPageBreak/>
        <w:t>the offense includes kidnapping or an attempt to kidnap, aggravated sexual abuse or an attempt to commit aggravated sexual abuse, or an attempt to kill.</w:t>
      </w:r>
      <w:r>
        <w:rPr>
          <w:rFonts w:ascii="Times New Roman" w:hAnsi="Times New Roman"/>
          <w:sz w:val="24"/>
          <w:szCs w:val="24"/>
        </w:rPr>
        <w:t xml:space="preserve"> </w:t>
      </w:r>
      <w:hyperlink r:id="rId726" w:history="1">
        <w:r w:rsidRPr="007529FC">
          <w:rPr>
            <w:rStyle w:val="Hyperlink"/>
            <w:sz w:val="24"/>
            <w:szCs w:val="24"/>
          </w:rPr>
          <w:t>https://www.law.cornell.edu/uscode/text/18/249</w:t>
        </w:r>
      </w:hyperlink>
      <w:r>
        <w:rPr>
          <w:rFonts w:ascii="Times New Roman" w:hAnsi="Times New Roman"/>
          <w:sz w:val="24"/>
          <w:szCs w:val="24"/>
        </w:rPr>
        <w:t xml:space="preserve"> </w:t>
      </w:r>
    </w:p>
    <w:p w14:paraId="2174427A" w14:textId="77777777" w:rsidR="00382F02" w:rsidRDefault="00382F02" w:rsidP="00F326E5">
      <w:pPr>
        <w:pStyle w:val="NoSpacing"/>
        <w:rPr>
          <w:rFonts w:ascii="Arial Black" w:hAnsi="Arial Black"/>
          <w:sz w:val="28"/>
          <w:szCs w:val="28"/>
        </w:rPr>
      </w:pPr>
    </w:p>
    <w:p w14:paraId="690EBDFB" w14:textId="77777777" w:rsidR="00382F02" w:rsidRDefault="00382F02" w:rsidP="00F326E5">
      <w:pPr>
        <w:pStyle w:val="NoSpacing"/>
        <w:rPr>
          <w:rFonts w:ascii="Arial Black" w:hAnsi="Arial Black"/>
          <w:sz w:val="28"/>
          <w:szCs w:val="28"/>
        </w:rPr>
      </w:pPr>
    </w:p>
    <w:p w14:paraId="72E98395" w14:textId="04270C47" w:rsidR="005217D5" w:rsidRDefault="005217D5" w:rsidP="00F326E5">
      <w:pPr>
        <w:pStyle w:val="NoSpacing"/>
        <w:rPr>
          <w:rFonts w:ascii="Arial Black" w:hAnsi="Arial Black"/>
          <w:sz w:val="28"/>
          <w:szCs w:val="28"/>
        </w:rPr>
      </w:pPr>
      <w:r>
        <w:rPr>
          <w:rFonts w:ascii="Arial Black" w:hAnsi="Arial Black"/>
          <w:sz w:val="28"/>
          <w:szCs w:val="28"/>
        </w:rPr>
        <w:t>3-36</w:t>
      </w:r>
    </w:p>
    <w:p w14:paraId="2B61566C" w14:textId="503D3491" w:rsidR="005217D5" w:rsidRDefault="005217D5" w:rsidP="00F326E5">
      <w:pPr>
        <w:pStyle w:val="NoSpacing"/>
        <w:rPr>
          <w:rFonts w:ascii="Arial Black" w:hAnsi="Arial Black"/>
          <w:sz w:val="28"/>
          <w:szCs w:val="28"/>
        </w:rPr>
      </w:pPr>
    </w:p>
    <w:p w14:paraId="13A736CD" w14:textId="77777777" w:rsidR="005217D5" w:rsidRPr="00C04DE5" w:rsidRDefault="005217D5" w:rsidP="005217D5">
      <w:pPr>
        <w:rPr>
          <w:rStyle w:val="markedcontent"/>
          <w:rFonts w:ascii="Arial Black" w:hAnsi="Arial Black"/>
          <w:sz w:val="28"/>
          <w:szCs w:val="28"/>
        </w:rPr>
      </w:pPr>
      <w:r>
        <w:rPr>
          <w:rStyle w:val="markedcontent"/>
          <w:rFonts w:ascii="Arial Black" w:hAnsi="Arial Black"/>
          <w:sz w:val="28"/>
          <w:szCs w:val="28"/>
        </w:rPr>
        <w:t>VA: GUN CONTROL - 4</w:t>
      </w:r>
      <w:r w:rsidRPr="002E2552">
        <w:rPr>
          <w:rStyle w:val="markedcontent"/>
          <w:rFonts w:ascii="Arial Black" w:hAnsi="Arial Black"/>
          <w:sz w:val="28"/>
          <w:szCs w:val="28"/>
          <w:vertAlign w:val="superscript"/>
        </w:rPr>
        <w:t>th</w:t>
      </w:r>
      <w:r>
        <w:rPr>
          <w:rStyle w:val="markedcontent"/>
          <w:rFonts w:ascii="Arial Black" w:hAnsi="Arial Black"/>
          <w:sz w:val="28"/>
          <w:szCs w:val="28"/>
        </w:rPr>
        <w:t xml:space="preserve"> CIRCUIT - 18-20 YEAR OLDS HAVE RIGHT TO BUY HANDGUNS FROM LICENSED GUN DEALERS</w:t>
      </w:r>
    </w:p>
    <w:p w14:paraId="10EE14E4" w14:textId="77777777" w:rsidR="005217D5" w:rsidRPr="007921A4" w:rsidRDefault="005217D5" w:rsidP="005217D5">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July 15, 2021, in </w:t>
      </w:r>
      <w:r w:rsidRPr="00FD0DBE">
        <w:rPr>
          <w:rStyle w:val="markedcontent"/>
          <w:rFonts w:ascii="Times New Roman" w:hAnsi="Times New Roman"/>
          <w:sz w:val="24"/>
          <w:szCs w:val="24"/>
          <w:u w:val="single"/>
        </w:rPr>
        <w:t>Tanner Hirschfeld; Natalia Marshall v. Bureau of Alcohol, Firearms, Tobacco &amp; Explosives</w:t>
      </w:r>
      <w:r>
        <w:rPr>
          <w:rStyle w:val="markedcontent"/>
          <w:rFonts w:ascii="Times New Roman" w:hAnsi="Times New Roman"/>
          <w:sz w:val="24"/>
          <w:szCs w:val="24"/>
        </w:rPr>
        <w:t>, the U.S. Court of Appeals for the 4</w:t>
      </w:r>
      <w:r w:rsidRPr="00FD0DBE">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(Richmond, VA) held (2 to 1) that Congress in passing the </w:t>
      </w:r>
      <w:r w:rsidRPr="00FD0DBE">
        <w:rPr>
          <w:rStyle w:val="markedcontent"/>
          <w:rFonts w:ascii="Times New Roman" w:hAnsi="Times New Roman"/>
          <w:sz w:val="24"/>
          <w:szCs w:val="24"/>
        </w:rPr>
        <w:t>Omnibus Crime Control and Safe Streets Act of 1968</w:t>
      </w:r>
      <w:r>
        <w:rPr>
          <w:rStyle w:val="markedcontent"/>
          <w:rFonts w:ascii="Times New Roman" w:hAnsi="Times New Roman"/>
          <w:sz w:val="24"/>
          <w:szCs w:val="24"/>
        </w:rPr>
        <w:t xml:space="preserve"> violated the 2</w:t>
      </w:r>
      <w:r w:rsidRPr="002A4D97">
        <w:rPr>
          <w:rStyle w:val="markedcontent"/>
          <w:rFonts w:ascii="Times New Roman" w:hAnsi="Times New Roman"/>
          <w:sz w:val="24"/>
          <w:szCs w:val="24"/>
          <w:vertAlign w:val="superscript"/>
        </w:rPr>
        <w:t>nd</w:t>
      </w:r>
      <w:r>
        <w:rPr>
          <w:rStyle w:val="markedcontent"/>
          <w:rFonts w:ascii="Times New Roman" w:hAnsi="Times New Roman"/>
          <w:sz w:val="24"/>
          <w:szCs w:val="24"/>
        </w:rPr>
        <w:t xml:space="preserve"> Amendment rights of 18-20 year olds to purchase handguns or ammunition from federally licensed gun dealers.  The Court reviewed the history of the Bill of Rights; in 1791 when the first 10 Amendments were ratified by </w:t>
      </w:r>
      <w:proofErr w:type="gramStart"/>
      <w:r>
        <w:rPr>
          <w:rStyle w:val="markedcontent"/>
          <w:rFonts w:ascii="Times New Roman" w:hAnsi="Times New Roman"/>
          <w:sz w:val="24"/>
          <w:szCs w:val="24"/>
        </w:rPr>
        <w:t>states,</w:t>
      </w:r>
      <w:proofErr w:type="gramEnd"/>
      <w:r>
        <w:rPr>
          <w:rStyle w:val="markedcontent"/>
          <w:rFonts w:ascii="Times New Roman" w:hAnsi="Times New Roman"/>
          <w:sz w:val="24"/>
          <w:szCs w:val="24"/>
        </w:rPr>
        <w:t xml:space="preserve"> all 14 states </w:t>
      </w:r>
      <w:r w:rsidRPr="00595382">
        <w:rPr>
          <w:rStyle w:val="markedcontent"/>
          <w:rFonts w:ascii="Times New Roman" w:hAnsi="Times New Roman"/>
          <w:sz w:val="24"/>
          <w:szCs w:val="24"/>
        </w:rPr>
        <w:t xml:space="preserve">uniformly required </w:t>
      </w:r>
      <w:r>
        <w:rPr>
          <w:rStyle w:val="markedcontent"/>
          <w:rFonts w:ascii="Times New Roman" w:hAnsi="Times New Roman"/>
          <w:sz w:val="24"/>
          <w:szCs w:val="24"/>
        </w:rPr>
        <w:t>all males 1</w:t>
      </w:r>
      <w:r w:rsidRPr="00595382">
        <w:rPr>
          <w:rStyle w:val="markedcontent"/>
          <w:rFonts w:ascii="Times New Roman" w:hAnsi="Times New Roman"/>
          <w:sz w:val="24"/>
          <w:szCs w:val="24"/>
        </w:rPr>
        <w:t xml:space="preserve">8 and older to join the </w:t>
      </w:r>
      <w:r>
        <w:rPr>
          <w:rStyle w:val="markedcontent"/>
          <w:rFonts w:ascii="Times New Roman" w:hAnsi="Times New Roman"/>
          <w:sz w:val="24"/>
          <w:szCs w:val="24"/>
        </w:rPr>
        <w:t xml:space="preserve">state </w:t>
      </w:r>
      <w:r w:rsidRPr="00595382">
        <w:rPr>
          <w:rStyle w:val="markedcontent"/>
          <w:rFonts w:ascii="Times New Roman" w:hAnsi="Times New Roman"/>
          <w:sz w:val="24"/>
          <w:szCs w:val="24"/>
        </w:rPr>
        <w:t xml:space="preserve">militia </w:t>
      </w:r>
      <w:r>
        <w:rPr>
          <w:rStyle w:val="markedcontent"/>
          <w:rFonts w:ascii="Times New Roman" w:hAnsi="Times New Roman"/>
          <w:sz w:val="24"/>
          <w:szCs w:val="24"/>
        </w:rPr>
        <w:t xml:space="preserve">and to have </w:t>
      </w:r>
      <w:r w:rsidRPr="00595382">
        <w:rPr>
          <w:rStyle w:val="markedcontent"/>
          <w:rFonts w:ascii="Times New Roman" w:hAnsi="Times New Roman"/>
          <w:sz w:val="24"/>
          <w:szCs w:val="24"/>
        </w:rPr>
        <w:t xml:space="preserve">their own </w:t>
      </w:r>
      <w:r>
        <w:rPr>
          <w:rStyle w:val="markedcontent"/>
          <w:rFonts w:ascii="Times New Roman" w:hAnsi="Times New Roman"/>
          <w:sz w:val="24"/>
          <w:szCs w:val="24"/>
        </w:rPr>
        <w:t>fire</w:t>
      </w:r>
      <w:r w:rsidRPr="00595382">
        <w:rPr>
          <w:rStyle w:val="markedcontent"/>
          <w:rFonts w:ascii="Times New Roman" w:hAnsi="Times New Roman"/>
          <w:sz w:val="24"/>
          <w:szCs w:val="24"/>
        </w:rPr>
        <w:t>arms.</w:t>
      </w:r>
      <w:r>
        <w:rPr>
          <w:rStyle w:val="markedcontent"/>
          <w:rFonts w:ascii="Times New Roman" w:hAnsi="Times New Roman"/>
          <w:sz w:val="24"/>
          <w:szCs w:val="24"/>
        </w:rPr>
        <w:t xml:space="preserve"> Recognizing violent crime by youth is an important societal issue, </w:t>
      </w:r>
      <w:r>
        <w:rPr>
          <w:rFonts w:ascii="Times New Roman" w:hAnsi="Times New Roman"/>
          <w:sz w:val="24"/>
          <w:szCs w:val="24"/>
        </w:rPr>
        <w:t xml:space="preserve">less than </w:t>
      </w:r>
      <w:r w:rsidRPr="007921A4">
        <w:rPr>
          <w:rFonts w:ascii="Times New Roman" w:hAnsi="Times New Roman"/>
          <w:sz w:val="24"/>
          <w:szCs w:val="24"/>
        </w:rPr>
        <w:t xml:space="preserve">1% </w:t>
      </w:r>
      <w:r>
        <w:rPr>
          <w:rFonts w:ascii="Times New Roman" w:hAnsi="Times New Roman"/>
          <w:sz w:val="24"/>
          <w:szCs w:val="24"/>
        </w:rPr>
        <w:t xml:space="preserve">of those under 21 </w:t>
      </w:r>
      <w:r w:rsidRPr="007921A4">
        <w:rPr>
          <w:rFonts w:ascii="Times New Roman" w:hAnsi="Times New Roman"/>
          <w:sz w:val="24"/>
          <w:szCs w:val="24"/>
        </w:rPr>
        <w:t>commit violent crime</w:t>
      </w:r>
      <w:r>
        <w:rPr>
          <w:rFonts w:ascii="Times New Roman" w:hAnsi="Times New Roman"/>
          <w:sz w:val="24"/>
          <w:szCs w:val="24"/>
        </w:rPr>
        <w:t xml:space="preserve">s. </w:t>
      </w:r>
    </w:p>
    <w:p w14:paraId="18A42E12" w14:textId="77777777" w:rsidR="005217D5" w:rsidRDefault="005217D5" w:rsidP="005217D5">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4</w:t>
      </w:r>
      <w:r w:rsidRPr="0086321E">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[opinion by Circuit Judge Julus N. Richardson].</w:t>
      </w:r>
    </w:p>
    <w:p w14:paraId="6D8827B3"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2E2552">
        <w:rPr>
          <w:rStyle w:val="markedcontent"/>
          <w:rFonts w:ascii="Times New Roman" w:hAnsi="Times New Roman"/>
          <w:sz w:val="24"/>
          <w:szCs w:val="24"/>
        </w:rPr>
        <w:t>Despite the weighty interest in reducing crime and violence, we refuse to relegate either the Second Amendment or 18- to 20-year-olds to a second-class statu</w:t>
      </w:r>
      <w:r>
        <w:rPr>
          <w:rStyle w:val="markedcontent"/>
          <w:rFonts w:ascii="Times New Roman" w:hAnsi="Times New Roman"/>
          <w:sz w:val="24"/>
          <w:szCs w:val="24"/>
        </w:rPr>
        <w:t>s.</w:t>
      </w:r>
    </w:p>
    <w:p w14:paraId="1B6802F4"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p>
    <w:p w14:paraId="0046071D"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proofErr w:type="gramStart"/>
      <w:r w:rsidRPr="00420E30">
        <w:rPr>
          <w:rStyle w:val="markedcontent"/>
          <w:rFonts w:ascii="Times New Roman" w:hAnsi="Times New Roman"/>
          <w:sz w:val="24"/>
          <w:szCs w:val="24"/>
        </w:rPr>
        <w:t>So</w:t>
      </w:r>
      <w:proofErr w:type="gramEnd"/>
      <w:r w:rsidRPr="00420E30">
        <w:rPr>
          <w:rStyle w:val="markedcontent"/>
          <w:rFonts w:ascii="Times New Roman" w:hAnsi="Times New Roman"/>
          <w:sz w:val="24"/>
          <w:szCs w:val="24"/>
        </w:rPr>
        <w:t xml:space="preserve"> while 18- to 20-year-olds may commit a disproportionate share of violent crime, an exceedingly small percentage, around 0.3% and definitely </w:t>
      </w:r>
      <w:proofErr w:type="gramStart"/>
      <w:r w:rsidRPr="00420E30">
        <w:rPr>
          <w:rStyle w:val="markedcontent"/>
          <w:rFonts w:ascii="Times New Roman" w:hAnsi="Times New Roman"/>
          <w:sz w:val="24"/>
          <w:szCs w:val="24"/>
        </w:rPr>
        <w:t>less than 1%,</w:t>
      </w:r>
      <w:proofErr w:type="gramEnd"/>
      <w:r w:rsidRPr="00420E30">
        <w:rPr>
          <w:rStyle w:val="markedcontent"/>
          <w:rFonts w:ascii="Times New Roman" w:hAnsi="Times New Roman"/>
          <w:sz w:val="24"/>
          <w:szCs w:val="24"/>
        </w:rPr>
        <w:t xml:space="preserve"> of the 13 million young adults in this group commit those crimes.</w:t>
      </w:r>
      <w:r>
        <w:rPr>
          <w:rStyle w:val="markedcontent"/>
          <w:rFonts w:ascii="Times New Roman" w:hAnsi="Times New Roman"/>
          <w:sz w:val="24"/>
          <w:szCs w:val="24"/>
        </w:rPr>
        <w:t xml:space="preserve"> </w:t>
      </w:r>
      <w:r w:rsidRPr="00420E30">
        <w:rPr>
          <w:rStyle w:val="markedcontent"/>
          <w:rFonts w:ascii="Times New Roman" w:hAnsi="Times New Roman"/>
          <w:sz w:val="24"/>
          <w:szCs w:val="24"/>
        </w:rPr>
        <w:t>This alone cannot justify restricting the entire group’s rights.</w:t>
      </w:r>
    </w:p>
    <w:p w14:paraId="198B870E"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p>
    <w:p w14:paraId="18C8DB50" w14:textId="77777777" w:rsidR="005217D5" w:rsidRDefault="005217D5" w:rsidP="005217D5">
      <w:pPr>
        <w:spacing w:before="100" w:beforeAutospacing="1" w:after="100" w:afterAutospacing="1" w:line="240" w:lineRule="auto"/>
        <w:ind w:left="720"/>
        <w:rPr>
          <w:rFonts w:ascii="Times New Roman" w:eastAsia="Times New Roman" w:hAnsi="Times New Roman"/>
          <w:b/>
          <w:bCs/>
          <w:sz w:val="24"/>
          <w:szCs w:val="24"/>
        </w:rPr>
      </w:pPr>
      <w:r w:rsidRPr="002A4D97">
        <w:rPr>
          <w:rStyle w:val="markedcontent"/>
          <w:rFonts w:ascii="Times New Roman" w:hAnsi="Times New Roman"/>
          <w:sz w:val="24"/>
          <w:szCs w:val="24"/>
        </w:rPr>
        <w:t xml:space="preserve">The </w:t>
      </w:r>
      <w:r>
        <w:rPr>
          <w:rStyle w:val="markedcontent"/>
          <w:rFonts w:ascii="Times New Roman" w:hAnsi="Times New Roman"/>
          <w:sz w:val="24"/>
          <w:szCs w:val="24"/>
        </w:rPr>
        <w:t xml:space="preserve">[Founding] </w:t>
      </w:r>
      <w:r w:rsidRPr="002A4D97">
        <w:rPr>
          <w:rStyle w:val="markedcontent"/>
          <w:rFonts w:ascii="Times New Roman" w:hAnsi="Times New Roman"/>
          <w:sz w:val="24"/>
          <w:szCs w:val="24"/>
        </w:rPr>
        <w:t>Founders set age requirements for Congress and the Presidency, but they did not limit any rights protected by the Bill of Rights to those of a certain age. See U.S. Const. art. I, § 2 (age 25 for the House); id. art. I, § 3 (age 30 for the Senate); id. art. II, § 1 (age 35 for the President); cf. id. amend. XXVI (setting voting age at 18). In other words, the Founders considered age and knew how to set age requirements but placed no such restrictions on rights, including those protected by the Second Amendment.</w:t>
      </w:r>
      <w:r>
        <w:rPr>
          <w:rStyle w:val="markedcontent"/>
          <w:rFonts w:ascii="Times New Roman" w:hAnsi="Times New Roman"/>
          <w:sz w:val="24"/>
          <w:szCs w:val="24"/>
        </w:rPr>
        <w:t xml:space="preserve">” </w:t>
      </w:r>
      <w:hyperlink r:id="rId727" w:history="1">
        <w:r w:rsidRPr="00814A02">
          <w:rPr>
            <w:rStyle w:val="Hyperlink"/>
            <w:sz w:val="24"/>
            <w:szCs w:val="24"/>
          </w:rPr>
          <w:t>https://www.ca4.uscourts.gov/opinions/192250.P.pdf</w:t>
        </w:r>
      </w:hyperlink>
      <w:r w:rsidRPr="002E2552">
        <w:rPr>
          <w:rFonts w:ascii="Times New Roman" w:eastAsia="Times New Roman" w:hAnsi="Times New Roman"/>
          <w:sz w:val="24"/>
          <w:szCs w:val="24"/>
        </w:rPr>
        <w:t xml:space="preserve"> </w:t>
      </w:r>
    </w:p>
    <w:p w14:paraId="4F991733" w14:textId="77777777" w:rsidR="005217D5" w:rsidRDefault="005217D5" w:rsidP="005217D5">
      <w:pPr>
        <w:spacing w:before="100" w:beforeAutospacing="1" w:after="100" w:afterAutospacing="1" w:line="240" w:lineRule="auto"/>
        <w:rPr>
          <w:rStyle w:val="markedcontent"/>
          <w:rFonts w:ascii="Times New Roman" w:hAnsi="Times New Roman"/>
          <w:b/>
          <w:bCs/>
          <w:sz w:val="24"/>
          <w:szCs w:val="24"/>
        </w:rPr>
      </w:pPr>
      <w:r w:rsidRPr="002A4D97">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 This decision does not restrict Fire &amp; EMS Departments from banning firearms on their property or apparatus. </w:t>
      </w:r>
      <w:r w:rsidRPr="002A4D97">
        <w:rPr>
          <w:rStyle w:val="markedcontent"/>
          <w:rFonts w:ascii="Times New Roman" w:hAnsi="Times New Roman"/>
          <w:b/>
          <w:bCs/>
          <w:sz w:val="24"/>
          <w:szCs w:val="24"/>
        </w:rPr>
        <w:t xml:space="preserve">It is highly likely the U.S. Department of Justice will ask all </w:t>
      </w:r>
      <w:r>
        <w:rPr>
          <w:rStyle w:val="markedcontent"/>
          <w:rFonts w:ascii="Times New Roman" w:hAnsi="Times New Roman"/>
          <w:b/>
          <w:bCs/>
          <w:sz w:val="24"/>
          <w:szCs w:val="24"/>
        </w:rPr>
        <w:t xml:space="preserve">15 of </w:t>
      </w:r>
      <w:r w:rsidRPr="002A4D97">
        <w:rPr>
          <w:rStyle w:val="markedcontent"/>
          <w:rFonts w:ascii="Times New Roman" w:hAnsi="Times New Roman"/>
          <w:b/>
          <w:bCs/>
          <w:sz w:val="24"/>
          <w:szCs w:val="24"/>
        </w:rPr>
        <w:t>the judges</w:t>
      </w:r>
      <w:r>
        <w:rPr>
          <w:rStyle w:val="markedcontent"/>
          <w:rFonts w:ascii="Times New Roman" w:hAnsi="Times New Roman"/>
          <w:b/>
          <w:bCs/>
          <w:sz w:val="24"/>
          <w:szCs w:val="24"/>
        </w:rPr>
        <w:t xml:space="preserve"> </w:t>
      </w:r>
      <w:r w:rsidRPr="002A4D97">
        <w:rPr>
          <w:rStyle w:val="markedcontent"/>
          <w:rFonts w:ascii="Times New Roman" w:hAnsi="Times New Roman"/>
          <w:b/>
          <w:bCs/>
          <w:sz w:val="24"/>
          <w:szCs w:val="24"/>
        </w:rPr>
        <w:t>on the 4</w:t>
      </w:r>
      <w:r w:rsidRPr="002A4D97">
        <w:rPr>
          <w:rStyle w:val="markedcontent"/>
          <w:rFonts w:ascii="Times New Roman" w:hAnsi="Times New Roman"/>
          <w:b/>
          <w:bCs/>
          <w:sz w:val="24"/>
          <w:szCs w:val="24"/>
          <w:vertAlign w:val="superscript"/>
        </w:rPr>
        <w:t>th</w:t>
      </w:r>
      <w:r w:rsidRPr="002A4D97">
        <w:rPr>
          <w:rStyle w:val="markedcontent"/>
          <w:rFonts w:ascii="Times New Roman" w:hAnsi="Times New Roman"/>
          <w:b/>
          <w:bCs/>
          <w:sz w:val="24"/>
          <w:szCs w:val="24"/>
        </w:rPr>
        <w:t xml:space="preserve"> Circuit to reconsider the decision </w:t>
      </w:r>
      <w:r>
        <w:rPr>
          <w:rStyle w:val="markedcontent"/>
          <w:rFonts w:ascii="Times New Roman" w:hAnsi="Times New Roman"/>
          <w:b/>
          <w:bCs/>
          <w:sz w:val="24"/>
          <w:szCs w:val="24"/>
        </w:rPr>
        <w:t>(</w:t>
      </w:r>
      <w:proofErr w:type="spellStart"/>
      <w:r>
        <w:rPr>
          <w:rStyle w:val="markedcontent"/>
          <w:rFonts w:ascii="Times New Roman" w:hAnsi="Times New Roman"/>
          <w:b/>
          <w:bCs/>
          <w:sz w:val="24"/>
          <w:szCs w:val="24"/>
        </w:rPr>
        <w:t>en</w:t>
      </w:r>
      <w:proofErr w:type="spellEnd"/>
      <w:r>
        <w:rPr>
          <w:rStyle w:val="markedcontent"/>
          <w:rFonts w:ascii="Times New Roman" w:hAnsi="Times New Roman"/>
          <w:b/>
          <w:bCs/>
          <w:sz w:val="24"/>
          <w:szCs w:val="24"/>
        </w:rPr>
        <w:t xml:space="preserve"> banc decision)</w:t>
      </w:r>
      <w:r w:rsidRPr="002A4D97">
        <w:rPr>
          <w:rStyle w:val="markedcontent"/>
          <w:rFonts w:ascii="Times New Roman" w:hAnsi="Times New Roman"/>
          <w:b/>
          <w:bCs/>
          <w:sz w:val="24"/>
          <w:szCs w:val="24"/>
        </w:rPr>
        <w:t xml:space="preserve"> </w:t>
      </w:r>
      <w:r>
        <w:rPr>
          <w:rStyle w:val="markedcontent"/>
          <w:rFonts w:ascii="Times New Roman" w:hAnsi="Times New Roman"/>
          <w:b/>
          <w:bCs/>
          <w:sz w:val="24"/>
          <w:szCs w:val="24"/>
        </w:rPr>
        <w:t>since the 5</w:t>
      </w:r>
      <w:r w:rsidRPr="00111EF6">
        <w:rPr>
          <w:rStyle w:val="markedcontent"/>
          <w:rFonts w:ascii="Times New Roman" w:hAnsi="Times New Roman"/>
          <w:b/>
          <w:bCs/>
          <w:sz w:val="24"/>
          <w:szCs w:val="24"/>
          <w:vertAlign w:val="superscript"/>
        </w:rPr>
        <w:t>th</w:t>
      </w:r>
      <w:r>
        <w:rPr>
          <w:rStyle w:val="markedcontent"/>
          <w:rFonts w:ascii="Times New Roman" w:hAnsi="Times New Roman"/>
          <w:b/>
          <w:bCs/>
          <w:sz w:val="24"/>
          <w:szCs w:val="24"/>
        </w:rPr>
        <w:t xml:space="preserve"> Circuit and lower courts have upheld the ban. </w:t>
      </w:r>
    </w:p>
    <w:p w14:paraId="3F1BF04B"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7921A4">
        <w:rPr>
          <w:rStyle w:val="markedcontent"/>
          <w:rFonts w:ascii="Times New Roman" w:hAnsi="Times New Roman"/>
          <w:sz w:val="24"/>
          <w:szCs w:val="24"/>
        </w:rPr>
        <w:t>Note: See article on the decision: “</w:t>
      </w:r>
      <w:r w:rsidRPr="007921A4">
        <w:rPr>
          <w:rFonts w:ascii="Times New Roman" w:hAnsi="Times New Roman"/>
          <w:sz w:val="24"/>
          <w:szCs w:val="24"/>
        </w:rPr>
        <w:t>Handgun sale ban to under 21-year-olds is unconstitutional, appeals court says</w:t>
      </w:r>
      <w:r>
        <w:rPr>
          <w:rFonts w:ascii="Times New Roman" w:hAnsi="Times New Roman"/>
          <w:sz w:val="24"/>
          <w:szCs w:val="24"/>
        </w:rPr>
        <w:t xml:space="preserve">.”  (July 13, 2021.)  </w:t>
      </w:r>
    </w:p>
    <w:p w14:paraId="2DDE553F" w14:textId="77777777" w:rsidR="005217D5" w:rsidRDefault="005217D5" w:rsidP="005217D5">
      <w:pPr>
        <w:spacing w:before="100" w:beforeAutospacing="1" w:after="100" w:afterAutospacing="1" w:line="240" w:lineRule="auto"/>
        <w:ind w:left="1440"/>
        <w:rPr>
          <w:rFonts w:ascii="Times New Roman" w:hAnsi="Times New Roman"/>
          <w:sz w:val="24"/>
          <w:szCs w:val="24"/>
        </w:rPr>
      </w:pPr>
      <w:r>
        <w:rPr>
          <w:rFonts w:ascii="Times New Roman" w:hAnsi="Times New Roman"/>
          <w:sz w:val="24"/>
          <w:szCs w:val="24"/>
        </w:rPr>
        <w:lastRenderedPageBreak/>
        <w:t>“</w:t>
      </w:r>
      <w:r w:rsidRPr="00111EF6">
        <w:rPr>
          <w:rFonts w:ascii="Times New Roman" w:hAnsi="Times New Roman"/>
          <w:sz w:val="24"/>
          <w:szCs w:val="24"/>
        </w:rPr>
        <w:t>Other courts had previously upheld the federal age minimums, as well as more expansive age limits that have been passed by states. Just last month, a federal judge upheld Florida's ban on firearm sales to those under 21.”</w:t>
      </w:r>
      <w:r>
        <w:rPr>
          <w:rFonts w:ascii="Times New Roman" w:hAnsi="Times New Roman"/>
          <w:sz w:val="24"/>
          <w:szCs w:val="24"/>
        </w:rPr>
        <w:t xml:space="preserve"> </w:t>
      </w:r>
      <w:hyperlink r:id="rId728" w:history="1">
        <w:r w:rsidRPr="00814A02">
          <w:rPr>
            <w:rStyle w:val="Hyperlink"/>
            <w:sz w:val="24"/>
            <w:szCs w:val="24"/>
          </w:rPr>
          <w:t>https://www.cnn.com/2021/07/13/politics/handgun-appeals-court/index.html?utm_term=link&amp;utm_content=2021-07-13T19%3A12%3A10&amp;utm_source=twcnnbrk&amp;utm_medium=social</w:t>
        </w:r>
      </w:hyperlink>
      <w:r>
        <w:rPr>
          <w:rFonts w:ascii="Times New Roman" w:hAnsi="Times New Roman"/>
          <w:sz w:val="24"/>
          <w:szCs w:val="24"/>
        </w:rPr>
        <w:t xml:space="preserve"> </w:t>
      </w:r>
    </w:p>
    <w:p w14:paraId="45793039" w14:textId="77777777" w:rsidR="005217D5" w:rsidRPr="00150169" w:rsidRDefault="005217D5" w:rsidP="005217D5">
      <w:pPr>
        <w:spacing w:before="100" w:beforeAutospacing="1" w:after="100" w:afterAutospacing="1" w:line="240" w:lineRule="auto"/>
        <w:jc w:val="center"/>
        <w:rPr>
          <w:rFonts w:ascii="Times New Roman" w:eastAsia="Times New Roman" w:hAnsi="Times New Roman"/>
          <w:sz w:val="24"/>
          <w:szCs w:val="24"/>
        </w:rPr>
      </w:pPr>
    </w:p>
    <w:p w14:paraId="553BC87B" w14:textId="77777777" w:rsidR="005217D5" w:rsidRDefault="005217D5" w:rsidP="005217D5">
      <w:pPr>
        <w:pStyle w:val="Heading1"/>
        <w:ind w:left="720"/>
        <w:rPr>
          <w:b w:val="0"/>
          <w:bCs w:val="0"/>
          <w:sz w:val="24"/>
          <w:szCs w:val="24"/>
        </w:rPr>
      </w:pPr>
      <w:r w:rsidRPr="00150169">
        <w:rPr>
          <w:b w:val="0"/>
          <w:bCs w:val="0"/>
          <w:sz w:val="24"/>
          <w:szCs w:val="24"/>
        </w:rPr>
        <w:t>July 18, 2021: “</w:t>
      </w:r>
      <w:r w:rsidRPr="00150169">
        <w:rPr>
          <w:rStyle w:val="gold"/>
          <w:rFonts w:eastAsiaTheme="majorEastAsia"/>
          <w:b w:val="0"/>
          <w:bCs w:val="0"/>
          <w:sz w:val="24"/>
          <w:szCs w:val="24"/>
        </w:rPr>
        <w:t xml:space="preserve">Opinion: </w:t>
      </w:r>
      <w:r w:rsidRPr="00150169">
        <w:rPr>
          <w:b w:val="0"/>
          <w:bCs w:val="0"/>
          <w:sz w:val="24"/>
          <w:szCs w:val="24"/>
        </w:rPr>
        <w:t xml:space="preserve">A federal appeals court decision on handguns opens the door to more violence.” </w:t>
      </w:r>
    </w:p>
    <w:p w14:paraId="7187055A" w14:textId="77777777" w:rsidR="005217D5" w:rsidRDefault="005217D5" w:rsidP="005217D5">
      <w:pPr>
        <w:pStyle w:val="Heading1"/>
        <w:ind w:left="1440"/>
        <w:rPr>
          <w:b w:val="0"/>
          <w:bCs w:val="0"/>
          <w:sz w:val="24"/>
          <w:szCs w:val="24"/>
        </w:rPr>
      </w:pPr>
      <w:r>
        <w:rPr>
          <w:b w:val="0"/>
          <w:bCs w:val="0"/>
          <w:sz w:val="24"/>
          <w:szCs w:val="24"/>
        </w:rPr>
        <w:t>“</w:t>
      </w:r>
      <w:r w:rsidRPr="0053535C">
        <w:rPr>
          <w:b w:val="0"/>
          <w:bCs w:val="0"/>
          <w:sz w:val="24"/>
          <w:szCs w:val="24"/>
        </w:rPr>
        <w:t>That act of judicial arrogance, if affirmed on appeal, would likely accelerate the current spike in homicides, many of them committed with handguns by individuals under the age of 21. And it comes as Americans are embarked on a record-setting</w:t>
      </w:r>
      <w:hyperlink r:id="rId729" w:tgtFrame="_blank" w:history="1">
        <w:r w:rsidRPr="0053535C">
          <w:rPr>
            <w:rStyle w:val="Hyperlink"/>
            <w:sz w:val="24"/>
            <w:szCs w:val="24"/>
          </w:rPr>
          <w:t xml:space="preserve"> gun-buying spree</w:t>
        </w:r>
      </w:hyperlink>
      <w:r w:rsidRPr="0053535C">
        <w:rPr>
          <w:b w:val="0"/>
          <w:bCs w:val="0"/>
          <w:sz w:val="24"/>
          <w:szCs w:val="24"/>
        </w:rPr>
        <w:t>, which began during the pandemic and shows no sign of waning.</w:t>
      </w:r>
      <w:r>
        <w:rPr>
          <w:b w:val="0"/>
          <w:bCs w:val="0"/>
          <w:sz w:val="24"/>
          <w:szCs w:val="24"/>
        </w:rPr>
        <w:t xml:space="preserve">” </w:t>
      </w:r>
      <w:hyperlink r:id="rId730" w:history="1">
        <w:r w:rsidRPr="004A379F">
          <w:rPr>
            <w:rStyle w:val="Hyperlink"/>
            <w:sz w:val="24"/>
            <w:szCs w:val="24"/>
          </w:rPr>
          <w:t>https://www.washingtonpost.com/opinions/2021/07/18/federal-appeals-court-decisions-handguns-opens-door-more-violence/?utm_campaign=wp_todays_headlines&amp;utm_medium=email&amp;utm_source=newsletter&amp;wpisrc=nl_headlines&amp;carta-url=https%3A%2F%2Fs2.washingtonpost.com%2Fcar-ln-tr%2F342e6a3%2F60f54d379d2fda945a0c336b%2F59731235ade4e21a848a56ed%2F42%2F67%2F60f54d379d2fda945a0c336b</w:t>
        </w:r>
      </w:hyperlink>
      <w:r w:rsidRPr="00150169">
        <w:rPr>
          <w:b w:val="0"/>
          <w:bCs w:val="0"/>
          <w:sz w:val="24"/>
          <w:szCs w:val="24"/>
        </w:rPr>
        <w:t xml:space="preserve"> </w:t>
      </w:r>
    </w:p>
    <w:p w14:paraId="63E53266" w14:textId="77777777" w:rsidR="005217D5" w:rsidRPr="00231A9A" w:rsidRDefault="005217D5" w:rsidP="005217D5">
      <w:pPr>
        <w:pStyle w:val="Heading1"/>
        <w:ind w:left="720"/>
        <w:rPr>
          <w:b w:val="0"/>
          <w:bCs w:val="0"/>
          <w:sz w:val="24"/>
          <w:szCs w:val="24"/>
        </w:rPr>
      </w:pPr>
      <w:r w:rsidRPr="00231A9A">
        <w:rPr>
          <w:b w:val="0"/>
          <w:bCs w:val="0"/>
          <w:sz w:val="24"/>
          <w:szCs w:val="24"/>
        </w:rPr>
        <w:t>Aug. 2, 2021:   'Something has to be done.' Lawsuit filed against maker of 100-round magazine used in Dayton mass shooting</w:t>
      </w:r>
      <w:r>
        <w:rPr>
          <w:b w:val="0"/>
          <w:bCs w:val="0"/>
          <w:sz w:val="24"/>
          <w:szCs w:val="24"/>
        </w:rPr>
        <w:t xml:space="preserve">.” </w:t>
      </w:r>
    </w:p>
    <w:p w14:paraId="6ACB51B0" w14:textId="77777777" w:rsidR="005217D5" w:rsidRPr="0053535C" w:rsidRDefault="005217D5" w:rsidP="005217D5">
      <w:pPr>
        <w:pStyle w:val="Heading1"/>
        <w:ind w:left="1440"/>
        <w:rPr>
          <w:b w:val="0"/>
          <w:bCs w:val="0"/>
          <w:sz w:val="24"/>
          <w:szCs w:val="24"/>
        </w:rPr>
      </w:pPr>
      <w:r w:rsidRPr="0053535C">
        <w:rPr>
          <w:b w:val="0"/>
          <w:bCs w:val="0"/>
          <w:sz w:val="24"/>
          <w:szCs w:val="24"/>
        </w:rPr>
        <w:t xml:space="preserve">“Two years ago, Connor Betts used a high-powered rifle </w:t>
      </w:r>
      <w:hyperlink r:id="rId731" w:tgtFrame="_blank" w:history="1">
        <w:r w:rsidRPr="0053535C">
          <w:rPr>
            <w:rStyle w:val="Hyperlink"/>
            <w:sz w:val="24"/>
            <w:szCs w:val="24"/>
          </w:rPr>
          <w:t>to kill nine people and wound many others</w:t>
        </w:r>
      </w:hyperlink>
      <w:r w:rsidRPr="0053535C">
        <w:rPr>
          <w:b w:val="0"/>
          <w:bCs w:val="0"/>
          <w:sz w:val="24"/>
          <w:szCs w:val="24"/>
        </w:rPr>
        <w:t xml:space="preserve"> in a crowded entertainment district in Dayton, Ohio. </w:t>
      </w:r>
      <w:hyperlink r:id="rId732" w:tgtFrame="_blank" w:history="1">
        <w:r w:rsidRPr="0053535C">
          <w:rPr>
            <w:rStyle w:val="Hyperlink"/>
            <w:sz w:val="24"/>
            <w:szCs w:val="24"/>
          </w:rPr>
          <w:t>The tragedy unfolded in about 30 seconds</w:t>
        </w:r>
      </w:hyperlink>
      <w:r w:rsidRPr="0053535C">
        <w:rPr>
          <w:b w:val="0"/>
          <w:bCs w:val="0"/>
          <w:sz w:val="24"/>
          <w:szCs w:val="24"/>
        </w:rPr>
        <w:t>. The 24-year-old used an assault-style rifle that had a 100-round, double-drum magazine attached, allowing him to fire multiple rounds without reloading. Attorneys for several of the families of those killed are suing the company that manufactured the double-drum magazine, saying it has no real protocols or oversight in place to ensure that its product isn't used in a mass shooting. *** The lawsuit was filed in Nevada state court against Nevada-based Kyung Chang Industry USA and its related South Korean company.”  </w:t>
      </w:r>
      <w:hyperlink r:id="rId733" w:history="1">
        <w:r w:rsidRPr="0053535C">
          <w:rPr>
            <w:rStyle w:val="Hyperlink"/>
            <w:sz w:val="24"/>
            <w:szCs w:val="24"/>
          </w:rPr>
          <w:t>https://www.cincinnati.com/story/news/2021/08/02/attorney-maker-double-drum-magazine-enabled-dayton-mass-shooting/5455812001/</w:t>
        </w:r>
      </w:hyperlink>
    </w:p>
    <w:p w14:paraId="57167584" w14:textId="77777777" w:rsidR="005217D5" w:rsidRDefault="005217D5" w:rsidP="00F326E5">
      <w:pPr>
        <w:pStyle w:val="NoSpacing"/>
        <w:rPr>
          <w:rFonts w:ascii="Arial Black" w:hAnsi="Arial Black"/>
          <w:sz w:val="28"/>
          <w:szCs w:val="28"/>
        </w:rPr>
      </w:pPr>
    </w:p>
    <w:p w14:paraId="0E84CF83" w14:textId="77777777" w:rsidR="005217D5" w:rsidRDefault="005217D5" w:rsidP="00F326E5">
      <w:pPr>
        <w:pStyle w:val="NoSpacing"/>
        <w:rPr>
          <w:rFonts w:ascii="Arial Black" w:hAnsi="Arial Black"/>
          <w:sz w:val="28"/>
          <w:szCs w:val="28"/>
        </w:rPr>
      </w:pPr>
    </w:p>
    <w:p w14:paraId="28549107" w14:textId="77777777" w:rsidR="005217D5" w:rsidRDefault="005217D5" w:rsidP="00F326E5">
      <w:pPr>
        <w:pStyle w:val="NoSpacing"/>
        <w:rPr>
          <w:rFonts w:ascii="Arial Black" w:hAnsi="Arial Black"/>
          <w:sz w:val="28"/>
          <w:szCs w:val="28"/>
        </w:rPr>
      </w:pPr>
    </w:p>
    <w:p w14:paraId="0B1F9D61" w14:textId="18199422" w:rsidR="000915C1" w:rsidRDefault="00A82898" w:rsidP="00F326E5">
      <w:pPr>
        <w:pStyle w:val="NoSpacing"/>
        <w:rPr>
          <w:rFonts w:ascii="Arial Black" w:hAnsi="Arial Black"/>
          <w:sz w:val="28"/>
          <w:szCs w:val="28"/>
        </w:rPr>
      </w:pPr>
      <w:r>
        <w:rPr>
          <w:rFonts w:ascii="Arial Black" w:hAnsi="Arial Black"/>
          <w:sz w:val="28"/>
          <w:szCs w:val="28"/>
        </w:rPr>
        <w:t>3-35</w:t>
      </w:r>
    </w:p>
    <w:p w14:paraId="2634E8EF" w14:textId="56D8D3B7" w:rsidR="00A82898" w:rsidRDefault="00A82898" w:rsidP="00F326E5">
      <w:pPr>
        <w:pStyle w:val="NoSpacing"/>
        <w:rPr>
          <w:rFonts w:ascii="Arial Black" w:hAnsi="Arial Black"/>
          <w:sz w:val="28"/>
          <w:szCs w:val="28"/>
        </w:rPr>
      </w:pPr>
    </w:p>
    <w:p w14:paraId="288FC182"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r>
        <w:rPr>
          <w:rStyle w:val="markedcontent"/>
          <w:rFonts w:ascii="Arial Black" w:hAnsi="Arial Black"/>
          <w:sz w:val="28"/>
          <w:szCs w:val="28"/>
        </w:rPr>
        <w:t xml:space="preserve">CA: FALSE CREDIT RECORDS – AFTER 9/11, CO. OFFERED “POTENTIAL MATCH” U.S. TREASURY LIST TERRORISTS </w:t>
      </w:r>
    </w:p>
    <w:p w14:paraId="2DFF652E"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p>
    <w:p w14:paraId="39D95E18" w14:textId="77777777" w:rsidR="00A82898" w:rsidRDefault="00A82898" w:rsidP="00A82898">
      <w:pPr>
        <w:pStyle w:val="NormalWeb"/>
        <w:spacing w:before="0" w:beforeAutospacing="0" w:after="0" w:afterAutospacing="0" w:line="255" w:lineRule="atLeast"/>
        <w:rPr>
          <w:rStyle w:val="markedcontent"/>
        </w:rPr>
      </w:pPr>
      <w:r w:rsidRPr="00130D09">
        <w:rPr>
          <w:rStyle w:val="markedcontent"/>
        </w:rPr>
        <w:t xml:space="preserve">On June 25, 2021, in </w:t>
      </w:r>
      <w:r w:rsidRPr="00130D09">
        <w:rPr>
          <w:rStyle w:val="markedcontent"/>
          <w:u w:val="single"/>
        </w:rPr>
        <w:t>TransUnion LLC v. Sergio Ramirez, et al</w:t>
      </w:r>
      <w:r w:rsidRPr="00130D09">
        <w:rPr>
          <w:rStyle w:val="markedcontent"/>
        </w:rPr>
        <w:t xml:space="preserve">., the U.S. Supreme Court held (5 to 4) that </w:t>
      </w:r>
      <w:r>
        <w:rPr>
          <w:rStyle w:val="markedcontent"/>
        </w:rPr>
        <w:t xml:space="preserve">only individuals who could prove they </w:t>
      </w:r>
      <w:r w:rsidRPr="00130D09">
        <w:rPr>
          <w:rStyle w:val="markedcontent"/>
        </w:rPr>
        <w:t xml:space="preserve">suffered “concrete harm” </w:t>
      </w:r>
      <w:r>
        <w:rPr>
          <w:rStyle w:val="markedcontent"/>
        </w:rPr>
        <w:t xml:space="preserve">can sue TransUnion for violation of federal Fair Credit Reporting Act when they are falsely identified as matching someone with same fire &amp; last name on U.S. </w:t>
      </w:r>
      <w:r>
        <w:rPr>
          <w:rStyle w:val="markedcontent"/>
        </w:rPr>
        <w:lastRenderedPageBreak/>
        <w:t>Treasury “Specially Designated Nationals” list of terrorists, and narcotics traffickers.  After the attacks on 9/11, TransUnion began selling to banks, auto dealers and other businesses a “potential match” to a name on the U.S. Treasury’s</w:t>
      </w:r>
      <w:r>
        <w:t xml:space="preserve"> list. </w:t>
      </w:r>
      <w:r w:rsidRPr="00A53168">
        <w:rPr>
          <w:rStyle w:val="markedcontent"/>
        </w:rPr>
        <w:t>TransUnion did not compare birth dates, middle initials, Social Security numbers, or any other available identifier routinely used to collect and verify credit-report data.</w:t>
      </w:r>
      <w:r>
        <w:rPr>
          <w:rStyle w:val="markedcontent"/>
        </w:rPr>
        <w:t xml:space="preserve">  After 6-day trial, the jury found a willful violation of Fair Credit Reporting Act and </w:t>
      </w:r>
      <w:r w:rsidRPr="00D61134">
        <w:rPr>
          <w:rStyle w:val="markedcontent"/>
        </w:rPr>
        <w:t>awarded each class</w:t>
      </w:r>
      <w:r>
        <w:rPr>
          <w:rStyle w:val="markedcontent"/>
        </w:rPr>
        <w:t xml:space="preserve"> </w:t>
      </w:r>
      <w:r w:rsidRPr="00D61134">
        <w:rPr>
          <w:rStyle w:val="markedcontent"/>
        </w:rPr>
        <w:t>member</w:t>
      </w:r>
      <w:r>
        <w:rPr>
          <w:rStyle w:val="markedcontent"/>
        </w:rPr>
        <w:t xml:space="preserve"> (</w:t>
      </w:r>
      <w:r>
        <w:rPr>
          <w:rStyle w:val="markedcontent"/>
          <w:sz w:val="27"/>
          <w:szCs w:val="27"/>
        </w:rPr>
        <w:t xml:space="preserve">8,185 </w:t>
      </w:r>
      <w:r>
        <w:rPr>
          <w:rStyle w:val="markedcontent"/>
        </w:rPr>
        <w:t xml:space="preserve">class members), </w:t>
      </w:r>
      <w:r w:rsidRPr="00D61134">
        <w:rPr>
          <w:rStyle w:val="markedcontent"/>
        </w:rPr>
        <w:t>$984.22 in statutory damages (about $8 million total) and $6,353.08 in punitive damages (about $52 million</w:t>
      </w:r>
      <w:r>
        <w:rPr>
          <w:rStyle w:val="markedcontent"/>
        </w:rPr>
        <w:t xml:space="preserve"> </w:t>
      </w:r>
      <w:r w:rsidRPr="00D61134">
        <w:rPr>
          <w:rStyle w:val="markedcontent"/>
        </w:rPr>
        <w:t>total).</w:t>
      </w:r>
      <w:r>
        <w:rPr>
          <w:rStyle w:val="markedcontent"/>
        </w:rPr>
        <w:t xml:space="preserve">  The Court majority set aside the verdict, and remanded case – only Plaintiff, who was denied an auto loan, and others who can prove a “concrete harm” are entitled to damages.  </w:t>
      </w:r>
    </w:p>
    <w:p w14:paraId="62FB8407" w14:textId="77777777" w:rsidR="00A82898" w:rsidRDefault="00A82898" w:rsidP="00A82898">
      <w:pPr>
        <w:pStyle w:val="NormalWeb"/>
        <w:spacing w:before="0" w:beforeAutospacing="0" w:after="0" w:afterAutospacing="0" w:line="255" w:lineRule="atLeast"/>
        <w:rPr>
          <w:rStyle w:val="markedcontent"/>
        </w:rPr>
      </w:pPr>
    </w:p>
    <w:p w14:paraId="6604DB0E" w14:textId="77777777" w:rsidR="00A82898" w:rsidRDefault="00A82898" w:rsidP="00A82898">
      <w:pPr>
        <w:pStyle w:val="NormalWeb"/>
        <w:spacing w:before="0" w:beforeAutospacing="0" w:after="0" w:afterAutospacing="0" w:line="255" w:lineRule="atLeast"/>
        <w:rPr>
          <w:rStyle w:val="markedcontent"/>
        </w:rPr>
      </w:pPr>
      <w:r>
        <w:rPr>
          <w:rStyle w:val="markedcontent"/>
        </w:rPr>
        <w:t xml:space="preserve">Note: This case was reviewed since employers, including Fire &amp; EMS conducting background checks on applicants, must be cautious of credit reports and give applicants time to correct errors. </w:t>
      </w:r>
    </w:p>
    <w:p w14:paraId="6354921C" w14:textId="77777777" w:rsidR="00A82898" w:rsidRDefault="00A82898" w:rsidP="00A82898">
      <w:pPr>
        <w:pStyle w:val="NormalWeb"/>
        <w:spacing w:before="0" w:beforeAutospacing="0" w:after="0" w:afterAutospacing="0" w:line="255" w:lineRule="atLeast"/>
        <w:rPr>
          <w:rStyle w:val="markedcontent"/>
        </w:rPr>
      </w:pPr>
    </w:p>
    <w:p w14:paraId="3E7616D6" w14:textId="77777777" w:rsidR="00A82898" w:rsidRDefault="00A82898" w:rsidP="00A82898">
      <w:pPr>
        <w:pStyle w:val="NormalWeb"/>
        <w:spacing w:before="0" w:beforeAutospacing="0" w:after="0" w:afterAutospacing="0" w:line="255" w:lineRule="atLeast"/>
        <w:rPr>
          <w:rStyle w:val="markedcontent"/>
        </w:rPr>
      </w:pPr>
    </w:p>
    <w:p w14:paraId="5356E157" w14:textId="77777777" w:rsidR="00A82898" w:rsidRDefault="00A82898" w:rsidP="00A82898">
      <w:pPr>
        <w:pStyle w:val="NormalWeb"/>
        <w:spacing w:before="0" w:beforeAutospacing="0" w:after="0" w:afterAutospacing="0" w:line="255" w:lineRule="atLeast"/>
        <w:rPr>
          <w:rStyle w:val="markedcontent"/>
        </w:rPr>
      </w:pPr>
      <w:r>
        <w:rPr>
          <w:rStyle w:val="markedcontent"/>
        </w:rPr>
        <w:t xml:space="preserve">Justice Brett Kavanaugh wrote the majority opinion: </w:t>
      </w:r>
    </w:p>
    <w:p w14:paraId="470F9907" w14:textId="77777777" w:rsidR="00A82898" w:rsidRDefault="00A82898" w:rsidP="00A82898">
      <w:pPr>
        <w:pStyle w:val="NormalWeb"/>
        <w:spacing w:before="0" w:beforeAutospacing="0" w:after="0" w:afterAutospacing="0" w:line="255" w:lineRule="atLeast"/>
        <w:rPr>
          <w:rStyle w:val="markedcontent"/>
        </w:rPr>
      </w:pPr>
    </w:p>
    <w:p w14:paraId="3C6E73E4" w14:textId="77777777" w:rsidR="00A82898" w:rsidRPr="00B92CD8" w:rsidRDefault="00A82898" w:rsidP="00A82898">
      <w:pPr>
        <w:pStyle w:val="NormalWeb"/>
        <w:spacing w:before="0" w:beforeAutospacing="0" w:after="0" w:afterAutospacing="0" w:line="255" w:lineRule="atLeast"/>
        <w:ind w:left="720"/>
        <w:rPr>
          <w:rStyle w:val="markedcontent"/>
        </w:rPr>
      </w:pPr>
      <w:r w:rsidRPr="00B92CD8">
        <w:rPr>
          <w:rStyle w:val="markedcontent"/>
        </w:rPr>
        <w:t>“When this litigation arose, Name Screen worked in the following way: When a business opted into the Name Screen service, TransUnion would conduct its ordinary credit check of the consumer, and it would also use third-party software to compare the consumer’s name against the OFAC [U.S. Treasury’s Office of Foreign Assets Control] list. If the consumer’s first and last name matched the first and last name of an individual on OFAC’s list, then TransUnion would place an alert on the credit report indicating that the consumer’s name was a “potential match” to a name on the OFAC list. TransUnion did not compare any data other than first and last names. Unsurprisingly, TransUnion’s Name Screen product generated many false positives. Thousands of law-abiding Americans happen to share a first and last name with one of the terrorists, drug traffickers, or serious criminals on OFAC’s list of specially designated nationals.</w:t>
      </w:r>
    </w:p>
    <w:p w14:paraId="7460BD34" w14:textId="77777777" w:rsidR="00A82898" w:rsidRPr="00B92CD8" w:rsidRDefault="00A82898" w:rsidP="00A82898">
      <w:pPr>
        <w:pStyle w:val="NormalWeb"/>
        <w:spacing w:before="0" w:beforeAutospacing="0" w:after="0" w:afterAutospacing="0" w:line="255" w:lineRule="atLeast"/>
        <w:ind w:left="720"/>
        <w:rPr>
          <w:rStyle w:val="markedcontent"/>
        </w:rPr>
      </w:pPr>
    </w:p>
    <w:p w14:paraId="3E4769C1" w14:textId="77777777" w:rsidR="00A82898" w:rsidRPr="00B92CD8" w:rsidRDefault="00A82898" w:rsidP="00A82898">
      <w:pPr>
        <w:pStyle w:val="NormalWeb"/>
        <w:spacing w:before="0" w:beforeAutospacing="0" w:after="0" w:afterAutospacing="0" w:line="255" w:lineRule="atLeast"/>
        <w:ind w:left="720"/>
        <w:rPr>
          <w:rStyle w:val="markedcontent"/>
        </w:rPr>
      </w:pPr>
      <w:r w:rsidRPr="00B92CD8">
        <w:rPr>
          <w:rStyle w:val="markedcontent"/>
        </w:rPr>
        <w:t>***</w:t>
      </w:r>
    </w:p>
    <w:p w14:paraId="54B0E050" w14:textId="77777777" w:rsidR="00A82898" w:rsidRPr="00B92CD8" w:rsidRDefault="00A82898" w:rsidP="00A82898">
      <w:pPr>
        <w:pStyle w:val="NormalWeb"/>
        <w:spacing w:before="0" w:beforeAutospacing="0" w:after="0" w:afterAutospacing="0" w:line="255" w:lineRule="atLeast"/>
        <w:ind w:left="720"/>
        <w:rPr>
          <w:rStyle w:val="markedcontent"/>
        </w:rPr>
      </w:pPr>
    </w:p>
    <w:p w14:paraId="209A36AE" w14:textId="77777777" w:rsidR="00A82898" w:rsidRPr="00581681" w:rsidRDefault="00A82898" w:rsidP="00A82898">
      <w:pPr>
        <w:pStyle w:val="NormalWeb"/>
        <w:spacing w:before="0" w:beforeAutospacing="0" w:after="0" w:afterAutospacing="0" w:line="255" w:lineRule="atLeast"/>
        <w:ind w:left="720"/>
        <w:rPr>
          <w:rStyle w:val="markedcontent"/>
        </w:rPr>
      </w:pPr>
      <w:r w:rsidRPr="00581681">
        <w:rPr>
          <w:rStyle w:val="markedcontent"/>
        </w:rPr>
        <w:t xml:space="preserve">Sergio Ramirez learned the hard way that he is one such individual. On February 27, 2011, Ramirez visited a Nissan dealership in Dublin, California, seeking to buy a Nissan Maxima. Ramirez was accompanied by his wife and his father-in-law. After Ramirez and his wife selected a color and negotiated a price, the dealership ran a credit check on both Ramirez and his wife. Ramirez’s credit report, produced by TransUnion, contained the following </w:t>
      </w:r>
      <w:proofErr w:type="gramStart"/>
      <w:r w:rsidRPr="00581681">
        <w:rPr>
          <w:rStyle w:val="markedcontent"/>
        </w:rPr>
        <w:t xml:space="preserve">alert: </w:t>
      </w:r>
      <w:r>
        <w:rPr>
          <w:rStyle w:val="markedcontent"/>
        </w:rPr>
        <w:t>‘</w:t>
      </w:r>
      <w:proofErr w:type="gramEnd"/>
      <w:r w:rsidRPr="00581681">
        <w:rPr>
          <w:rStyle w:val="markedcontent"/>
        </w:rPr>
        <w:t>***OFAC ADVISOR ALERT - INPUT NAME MATCHES NAME ON THE OFAC DATABASE.</w:t>
      </w:r>
      <w:r>
        <w:rPr>
          <w:rStyle w:val="markedcontent"/>
        </w:rPr>
        <w:t xml:space="preserve">’ </w:t>
      </w:r>
      <w:r w:rsidRPr="00581681">
        <w:rPr>
          <w:rStyle w:val="markedcontent"/>
        </w:rPr>
        <w:t xml:space="preserve">App. 84. A Nissan salesman told Ramirez that Nissan would not sell the car to him because his name was on a </w:t>
      </w:r>
      <w:r>
        <w:rPr>
          <w:rStyle w:val="markedcontent"/>
        </w:rPr>
        <w:t>‘</w:t>
      </w:r>
      <w:r w:rsidRPr="00581681">
        <w:rPr>
          <w:rStyle w:val="markedcontent"/>
        </w:rPr>
        <w:t xml:space="preserve">terrorist </w:t>
      </w:r>
      <w:proofErr w:type="spellStart"/>
      <w:r w:rsidRPr="00581681">
        <w:rPr>
          <w:rStyle w:val="markedcontent"/>
        </w:rPr>
        <w:t>list.</w:t>
      </w:r>
      <w:r>
        <w:rPr>
          <w:rStyle w:val="markedcontent"/>
        </w:rPr>
        <w:t>’</w:t>
      </w:r>
      <w:r w:rsidRPr="00581681">
        <w:rPr>
          <w:rStyle w:val="markedcontent"/>
        </w:rPr>
        <w:t>Id</w:t>
      </w:r>
      <w:proofErr w:type="spellEnd"/>
      <w:r w:rsidRPr="00581681">
        <w:rPr>
          <w:rStyle w:val="markedcontent"/>
        </w:rPr>
        <w:t xml:space="preserve">., at 333. Ramirez’s wife had to purchase the car </w:t>
      </w:r>
      <w:proofErr w:type="gramStart"/>
      <w:r w:rsidRPr="00581681">
        <w:rPr>
          <w:rStyle w:val="markedcontent"/>
        </w:rPr>
        <w:t>in</w:t>
      </w:r>
      <w:proofErr w:type="gramEnd"/>
      <w:r w:rsidRPr="00581681">
        <w:rPr>
          <w:rStyle w:val="markedcontent"/>
        </w:rPr>
        <w:t xml:space="preserve"> her own name.</w:t>
      </w:r>
    </w:p>
    <w:p w14:paraId="57306DFA" w14:textId="77777777" w:rsidR="00A82898" w:rsidRDefault="00A82898" w:rsidP="00A82898">
      <w:pPr>
        <w:pStyle w:val="NormalWeb"/>
        <w:spacing w:before="0" w:beforeAutospacing="0" w:after="0" w:afterAutospacing="0" w:line="255" w:lineRule="atLeast"/>
        <w:ind w:left="720"/>
        <w:rPr>
          <w:rStyle w:val="markedcontent"/>
        </w:rPr>
      </w:pPr>
    </w:p>
    <w:p w14:paraId="77F7F592" w14:textId="77777777" w:rsidR="00A82898" w:rsidRDefault="00A82898" w:rsidP="00A82898">
      <w:pPr>
        <w:pStyle w:val="NormalWeb"/>
        <w:spacing w:before="0" w:beforeAutospacing="0" w:after="0" w:afterAutospacing="0" w:line="255" w:lineRule="atLeast"/>
        <w:ind w:left="720"/>
        <w:rPr>
          <w:rStyle w:val="markedcontent"/>
        </w:rPr>
      </w:pPr>
      <w:r>
        <w:rPr>
          <w:rStyle w:val="markedcontent"/>
        </w:rPr>
        <w:t>***</w:t>
      </w:r>
    </w:p>
    <w:p w14:paraId="7E94D580" w14:textId="77777777" w:rsidR="00A82898" w:rsidRPr="00B92CD8" w:rsidRDefault="00A82898" w:rsidP="00A82898">
      <w:pPr>
        <w:pStyle w:val="NormalWeb"/>
        <w:spacing w:before="0" w:beforeAutospacing="0" w:after="0" w:afterAutospacing="0" w:line="255" w:lineRule="atLeast"/>
        <w:ind w:left="720"/>
        <w:rPr>
          <w:rStyle w:val="markedcontent"/>
        </w:rPr>
      </w:pPr>
      <w:r w:rsidRPr="00B92CD8">
        <w:rPr>
          <w:rStyle w:val="markedcontent"/>
        </w:rPr>
        <w:t>For 1,853 of the class members, TransUnion provided misleading credit reports to third-party businesses. We conclude that those 1,853 class members have demonstrated concrete reputational harm and thus have Article III standing to sue on the reasonable-procedures claim</w:t>
      </w:r>
      <w:r>
        <w:rPr>
          <w:rStyle w:val="markedcontent"/>
        </w:rPr>
        <w:t xml:space="preserve">. </w:t>
      </w:r>
      <w:r w:rsidRPr="00B92CD8">
        <w:rPr>
          <w:rStyle w:val="markedcontent"/>
        </w:rPr>
        <w:t xml:space="preserve"> The internal credit files of the other 6,332 class members were not provided to third-party businesses during the relevant </w:t>
      </w:r>
      <w:proofErr w:type="gramStart"/>
      <w:r w:rsidRPr="00B92CD8">
        <w:rPr>
          <w:rStyle w:val="markedcontent"/>
        </w:rPr>
        <w:t>time period</w:t>
      </w:r>
      <w:proofErr w:type="gramEnd"/>
      <w:r w:rsidRPr="00B92CD8">
        <w:rPr>
          <w:rStyle w:val="markedcontent"/>
        </w:rPr>
        <w:t>. We conclude that those 6,332 class members have not demonstrated concrete harm and thus lack Article III standing to sue on the reasonable-procedures claim.”</w:t>
      </w:r>
    </w:p>
    <w:p w14:paraId="2ECF8C42" w14:textId="77777777" w:rsidR="00A82898" w:rsidRPr="00B92CD8" w:rsidRDefault="00A82898" w:rsidP="00A82898">
      <w:pPr>
        <w:pStyle w:val="NormalWeb"/>
        <w:spacing w:before="0" w:beforeAutospacing="0" w:after="0" w:afterAutospacing="0" w:line="255" w:lineRule="atLeast"/>
        <w:ind w:firstLine="720"/>
        <w:rPr>
          <w:rStyle w:val="markedcontent"/>
        </w:rPr>
      </w:pPr>
      <w:hyperlink r:id="rId734" w:history="1">
        <w:r w:rsidRPr="00B92CD8">
          <w:rPr>
            <w:rStyle w:val="Hyperlink"/>
          </w:rPr>
          <w:t>https://www.supremecourt.gov/opinions/20pdf/20-297_4g25.pdf</w:t>
        </w:r>
      </w:hyperlink>
      <w:r w:rsidRPr="00B92CD8">
        <w:rPr>
          <w:rStyle w:val="markedcontent"/>
        </w:rPr>
        <w:t xml:space="preserve"> </w:t>
      </w:r>
    </w:p>
    <w:p w14:paraId="573F0AD7" w14:textId="3EC47492" w:rsidR="00A82898" w:rsidRDefault="00A82898" w:rsidP="00F326E5">
      <w:pPr>
        <w:pStyle w:val="NoSpacing"/>
        <w:rPr>
          <w:rFonts w:ascii="Arial Black" w:hAnsi="Arial Black"/>
          <w:sz w:val="28"/>
          <w:szCs w:val="28"/>
        </w:rPr>
      </w:pPr>
    </w:p>
    <w:p w14:paraId="7AB021E7" w14:textId="77777777" w:rsidR="00A82898" w:rsidRPr="008F342C" w:rsidRDefault="00A82898" w:rsidP="00A82898">
      <w:pPr>
        <w:pStyle w:val="NormalWeb"/>
        <w:spacing w:before="0" w:beforeAutospacing="0" w:after="0" w:afterAutospacing="0" w:line="255" w:lineRule="atLeast"/>
        <w:rPr>
          <w:rStyle w:val="markedcontent"/>
          <w:b/>
          <w:bCs/>
        </w:rPr>
      </w:pPr>
      <w:r w:rsidRPr="008F342C">
        <w:rPr>
          <w:rStyle w:val="markedcontent"/>
          <w:b/>
          <w:bCs/>
        </w:rPr>
        <w:t xml:space="preserve">Legal Lesson Learned: </w:t>
      </w:r>
      <w:r>
        <w:rPr>
          <w:rStyle w:val="markedcontent"/>
          <w:b/>
          <w:bCs/>
        </w:rPr>
        <w:t xml:space="preserve">Credit reporting companies need to improve their process of confirming that an individual is the same person as U.S. Treasury list.  Likewise, Fire &amp; EMS should give applicants adequate opportunity to correct any false information on their credit records. </w:t>
      </w:r>
    </w:p>
    <w:p w14:paraId="5211822B" w14:textId="77777777" w:rsidR="00A82898" w:rsidRDefault="00A82898" w:rsidP="00A82898">
      <w:pPr>
        <w:pStyle w:val="NormalWeb"/>
        <w:spacing w:before="0" w:beforeAutospacing="0" w:after="0" w:afterAutospacing="0" w:line="255" w:lineRule="atLeast"/>
        <w:rPr>
          <w:rStyle w:val="markedcontent"/>
        </w:rPr>
      </w:pPr>
    </w:p>
    <w:p w14:paraId="04BB9127" w14:textId="77777777" w:rsidR="00A82898" w:rsidRDefault="00A82898" w:rsidP="00A82898">
      <w:pPr>
        <w:pStyle w:val="NormalWeb"/>
        <w:spacing w:before="0" w:beforeAutospacing="0" w:after="0" w:afterAutospacing="0" w:line="255" w:lineRule="atLeast"/>
        <w:rPr>
          <w:rStyle w:val="markedcontent"/>
        </w:rPr>
      </w:pPr>
    </w:p>
    <w:p w14:paraId="2ABC3D5E" w14:textId="77777777" w:rsidR="00A82898" w:rsidRDefault="00A82898" w:rsidP="00A82898">
      <w:pPr>
        <w:pStyle w:val="NormalWeb"/>
        <w:spacing w:before="0" w:beforeAutospacing="0" w:after="0" w:afterAutospacing="0" w:line="255" w:lineRule="atLeast"/>
        <w:ind w:left="720"/>
        <w:rPr>
          <w:rStyle w:val="markedcontent"/>
        </w:rPr>
      </w:pPr>
      <w:r>
        <w:rPr>
          <w:rStyle w:val="markedcontent"/>
        </w:rPr>
        <w:lastRenderedPageBreak/>
        <w:t xml:space="preserve">See U.S. Treasury list: </w:t>
      </w:r>
      <w:hyperlink r:id="rId735" w:history="1">
        <w:r w:rsidRPr="0071610B">
          <w:rPr>
            <w:rStyle w:val="Hyperlink"/>
          </w:rPr>
          <w:t>https://home.treasury.gov/policy-issues/financial-sanctions/specially-designated-nationals-and-blocked-persons-list-sdn-human-readable-lists</w:t>
        </w:r>
      </w:hyperlink>
      <w:r>
        <w:rPr>
          <w:rStyle w:val="markedcontent"/>
        </w:rPr>
        <w:t xml:space="preserve"> </w:t>
      </w:r>
    </w:p>
    <w:p w14:paraId="128AFB78" w14:textId="77777777" w:rsidR="00A82898" w:rsidRDefault="00A82898" w:rsidP="00A82898">
      <w:pPr>
        <w:pStyle w:val="NormalWeb"/>
        <w:spacing w:before="0" w:beforeAutospacing="0" w:after="0" w:afterAutospacing="0" w:line="255" w:lineRule="atLeast"/>
        <w:ind w:left="720"/>
      </w:pPr>
    </w:p>
    <w:p w14:paraId="78DDE689" w14:textId="77777777" w:rsidR="00A82898" w:rsidRDefault="00A82898" w:rsidP="00A82898">
      <w:pPr>
        <w:pStyle w:val="NormalWeb"/>
        <w:spacing w:before="0" w:beforeAutospacing="0" w:after="0" w:afterAutospacing="0" w:line="255" w:lineRule="atLeast"/>
        <w:ind w:left="720"/>
      </w:pPr>
      <w:r>
        <w:t xml:space="preserve">“As part of its enforcement efforts, OFAC publishes a list of individuals and companies owned or controlled by, or acting for or on behalf of, targeted countries. It also lists individuals, groups, and entities, such as terrorists and narcotics traffickers designated under programs that are not </w:t>
      </w:r>
      <w:proofErr w:type="gramStart"/>
      <w:r>
        <w:t>country-specific</w:t>
      </w:r>
      <w:proofErr w:type="gramEnd"/>
      <w:r>
        <w:t xml:space="preserve">. Collectively, such individuals and companies are called "Specially Designated Nationals" or "SDNs." Their assets are blocked and U.S. persons are generally prohibited from dealing with them.  View more information on </w:t>
      </w:r>
      <w:hyperlink r:id="rId736" w:history="1">
        <w:r>
          <w:rPr>
            <w:rStyle w:val="Hyperlink"/>
          </w:rPr>
          <w:t>Treasury's Sanctions Programs</w:t>
        </w:r>
      </w:hyperlink>
      <w:r>
        <w:t>. </w:t>
      </w:r>
    </w:p>
    <w:p w14:paraId="73E1FB98" w14:textId="77777777" w:rsidR="00A82898" w:rsidRDefault="00A82898" w:rsidP="00A82898">
      <w:pPr>
        <w:pStyle w:val="NormalWeb"/>
        <w:spacing w:before="0" w:beforeAutospacing="0" w:after="0" w:afterAutospacing="0" w:line="255" w:lineRule="atLeast"/>
        <w:ind w:left="720"/>
      </w:pPr>
    </w:p>
    <w:p w14:paraId="3F7DF0BA" w14:textId="77777777" w:rsidR="00A82898" w:rsidRDefault="00A82898" w:rsidP="00A82898">
      <w:pPr>
        <w:ind w:firstLine="720"/>
      </w:pPr>
      <w:r>
        <w:rPr>
          <w:rStyle w:val="Strong"/>
        </w:rPr>
        <w:t xml:space="preserve">71. How Can I Get </w:t>
      </w:r>
      <w:proofErr w:type="gramStart"/>
      <w:r>
        <w:rPr>
          <w:rStyle w:val="Strong"/>
        </w:rPr>
        <w:t>The</w:t>
      </w:r>
      <w:proofErr w:type="gramEnd"/>
      <w:r>
        <w:rPr>
          <w:rStyle w:val="Strong"/>
        </w:rPr>
        <w:t xml:space="preserve"> OFAC Alert Off My Credit Report? </w:t>
      </w:r>
    </w:p>
    <w:p w14:paraId="5D88E8CF" w14:textId="77777777" w:rsidR="00A82898" w:rsidRDefault="00A82898" w:rsidP="00A82898">
      <w:pPr>
        <w:ind w:firstLine="720"/>
      </w:pPr>
      <w:r>
        <w:t>Answer</w:t>
      </w:r>
    </w:p>
    <w:p w14:paraId="685833D9" w14:textId="77777777" w:rsidR="00A82898" w:rsidRDefault="00A82898" w:rsidP="00A82898">
      <w:pPr>
        <w:pStyle w:val="NormalWeb"/>
        <w:ind w:left="720"/>
      </w:pPr>
      <w:r>
        <w:t xml:space="preserve">A consumer has the right under the Fair Credit Reporting Act (FCRA), 15 U.S.C. 1681 et seq., to request the removal of incorrect information on his/her credit report. To accomplish this, consumers should contact the credit reporting agency or bureau that issued the credit report. For more information on consumers' rights under the FCRA, visit the </w:t>
      </w:r>
      <w:hyperlink r:id="rId737" w:history="1">
        <w:r>
          <w:rPr>
            <w:rStyle w:val="Hyperlink"/>
          </w:rPr>
          <w:t>Federal Trade Commission's website</w:t>
        </w:r>
      </w:hyperlink>
      <w:r>
        <w:t xml:space="preserve"> or the Consumer Financial Protection Bureau at 855-411-2372.</w:t>
      </w:r>
    </w:p>
    <w:p w14:paraId="1ACA0631" w14:textId="77777777" w:rsidR="00A82898" w:rsidRDefault="00A82898" w:rsidP="00A82898">
      <w:pPr>
        <w:pStyle w:val="NormalWeb"/>
        <w:spacing w:before="0" w:beforeAutospacing="0" w:after="0" w:afterAutospacing="0" w:line="255" w:lineRule="atLeast"/>
        <w:rPr>
          <w:rStyle w:val="markedcontent"/>
        </w:rPr>
      </w:pPr>
    </w:p>
    <w:p w14:paraId="535C5107" w14:textId="77777777" w:rsidR="00A82898" w:rsidRDefault="00A82898" w:rsidP="00A82898">
      <w:pPr>
        <w:pStyle w:val="NormalWeb"/>
        <w:spacing w:before="0" w:beforeAutospacing="0" w:after="0" w:afterAutospacing="0" w:line="255" w:lineRule="atLeast"/>
        <w:rPr>
          <w:rStyle w:val="markedcontent"/>
        </w:rPr>
      </w:pPr>
    </w:p>
    <w:p w14:paraId="11B8D42B" w14:textId="77777777" w:rsidR="00A82898" w:rsidRDefault="00A82898" w:rsidP="00F326E5">
      <w:pPr>
        <w:pStyle w:val="NoSpacing"/>
        <w:rPr>
          <w:rFonts w:ascii="Arial Black" w:hAnsi="Arial Black"/>
          <w:sz w:val="28"/>
          <w:szCs w:val="28"/>
        </w:rPr>
      </w:pPr>
    </w:p>
    <w:p w14:paraId="71EAA3F8" w14:textId="77777777" w:rsidR="00A82898" w:rsidRDefault="00A82898" w:rsidP="00F326E5">
      <w:pPr>
        <w:pStyle w:val="NoSpacing"/>
        <w:rPr>
          <w:rFonts w:ascii="Arial Black" w:hAnsi="Arial Black"/>
          <w:sz w:val="28"/>
          <w:szCs w:val="28"/>
        </w:rPr>
      </w:pPr>
    </w:p>
    <w:p w14:paraId="33F6B6C6" w14:textId="77777777" w:rsidR="00A82898" w:rsidRDefault="00A82898" w:rsidP="00F326E5">
      <w:pPr>
        <w:pStyle w:val="NoSpacing"/>
        <w:rPr>
          <w:rFonts w:ascii="Arial Black" w:hAnsi="Arial Black"/>
          <w:sz w:val="28"/>
          <w:szCs w:val="28"/>
        </w:rPr>
      </w:pPr>
    </w:p>
    <w:p w14:paraId="7DB6B032" w14:textId="51A14C3E" w:rsidR="00F27CD5" w:rsidRDefault="00F27CD5" w:rsidP="00F326E5">
      <w:pPr>
        <w:pStyle w:val="NoSpacing"/>
        <w:rPr>
          <w:rFonts w:ascii="Arial Black" w:hAnsi="Arial Black"/>
          <w:sz w:val="28"/>
          <w:szCs w:val="28"/>
        </w:rPr>
      </w:pPr>
      <w:r>
        <w:rPr>
          <w:rFonts w:ascii="Arial Black" w:hAnsi="Arial Black"/>
          <w:sz w:val="28"/>
          <w:szCs w:val="28"/>
        </w:rPr>
        <w:t>3-34</w:t>
      </w:r>
    </w:p>
    <w:p w14:paraId="69554B1C" w14:textId="77777777" w:rsidR="00F27CD5" w:rsidRDefault="00F27CD5" w:rsidP="00F27CD5">
      <w:pPr>
        <w:pStyle w:val="Heading1"/>
        <w:rPr>
          <w:rFonts w:ascii="Arial Black" w:hAnsi="Arial Black"/>
          <w:sz w:val="28"/>
          <w:szCs w:val="28"/>
        </w:rPr>
      </w:pPr>
      <w:r>
        <w:rPr>
          <w:rFonts w:ascii="Arial Black" w:hAnsi="Arial Black"/>
          <w:sz w:val="28"/>
          <w:szCs w:val="28"/>
        </w:rPr>
        <w:t xml:space="preserve">U.S. SUP. CT – ALIEN IN US 8 YEARS, 3 KIDS – INS “STOP THE CLOCK” 10-YR STAT. – SINGLE NOTICE, HEARING DATE </w:t>
      </w:r>
    </w:p>
    <w:p w14:paraId="082F5B20" w14:textId="77777777" w:rsidR="00F27CD5" w:rsidRPr="000E0414" w:rsidRDefault="00F27CD5" w:rsidP="00F27CD5">
      <w:pPr>
        <w:pStyle w:val="Heading1"/>
        <w:rPr>
          <w:b w:val="0"/>
          <w:bCs w:val="0"/>
          <w:sz w:val="24"/>
          <w:szCs w:val="24"/>
        </w:rPr>
      </w:pPr>
      <w:r w:rsidRPr="000E0414">
        <w:rPr>
          <w:b w:val="0"/>
          <w:bCs w:val="0"/>
          <w:sz w:val="24"/>
          <w:szCs w:val="24"/>
        </w:rPr>
        <w:t xml:space="preserve">On April 29, 2021, in </w:t>
      </w:r>
      <w:r w:rsidRPr="000E0414">
        <w:rPr>
          <w:b w:val="0"/>
          <w:bCs w:val="0"/>
          <w:sz w:val="24"/>
          <w:szCs w:val="24"/>
          <w:u w:val="single"/>
        </w:rPr>
        <w:t>Agusto Niz-Chavez v. Garland, Attorney General</w:t>
      </w:r>
      <w:r w:rsidRPr="000E0414">
        <w:rPr>
          <w:b w:val="0"/>
          <w:bCs w:val="0"/>
          <w:sz w:val="24"/>
          <w:szCs w:val="24"/>
        </w:rPr>
        <w:t xml:space="preserve">, the U.S. Supreme Court (6 to 3; majority opinion by Justice Neil Gorsuch), held that the Immigration and Naturalization Service is required by statute to issue a </w:t>
      </w:r>
      <w:r w:rsidRPr="000E0414">
        <w:rPr>
          <w:b w:val="0"/>
          <w:bCs w:val="0"/>
          <w:sz w:val="24"/>
          <w:szCs w:val="24"/>
          <w:u w:val="single"/>
        </w:rPr>
        <w:t>single</w:t>
      </w:r>
      <w:r w:rsidRPr="000E0414">
        <w:rPr>
          <w:b w:val="0"/>
          <w:bCs w:val="0"/>
          <w:sz w:val="24"/>
          <w:szCs w:val="24"/>
        </w:rPr>
        <w:t xml:space="preserve"> Notice of Removal that includes date / location of removal hearing before an Immigration Judge.  Mr. Niz-Chavez </w:t>
      </w:r>
      <w:proofErr w:type="gramStart"/>
      <w:r w:rsidRPr="000E0414">
        <w:rPr>
          <w:b w:val="0"/>
          <w:bCs w:val="0"/>
          <w:sz w:val="24"/>
          <w:szCs w:val="24"/>
        </w:rPr>
        <w:t>deportation cancelled</w:t>
      </w:r>
      <w:proofErr w:type="gramEnd"/>
      <w:r w:rsidRPr="000E0414">
        <w:rPr>
          <w:b w:val="0"/>
          <w:bCs w:val="0"/>
          <w:sz w:val="24"/>
          <w:szCs w:val="24"/>
        </w:rPr>
        <w:t xml:space="preserve">; now has another hearing before Immigration Judge.  Aliens residing in U.S. for 10 or more years may seek “Cancellation of removal” under 8 U.S. Code 1229b, if they have been of good moral character and they can establishes that removal would result in exceptional and extremely unusual hardship to the </w:t>
      </w:r>
      <w:hyperlink r:id="rId738" w:history="1">
        <w:r w:rsidRPr="000E0414">
          <w:rPr>
            <w:rStyle w:val="Hyperlink"/>
            <w:sz w:val="24"/>
            <w:szCs w:val="24"/>
          </w:rPr>
          <w:t>alien</w:t>
        </w:r>
      </w:hyperlink>
      <w:r w:rsidRPr="000E0414">
        <w:rPr>
          <w:b w:val="0"/>
          <w:bCs w:val="0"/>
          <w:sz w:val="24"/>
          <w:szCs w:val="24"/>
        </w:rPr>
        <w:t xml:space="preserve">’s spouse, parent, or child, who is a citizen of the </w:t>
      </w:r>
      <w:hyperlink r:id="rId739" w:history="1">
        <w:r w:rsidRPr="000E0414">
          <w:rPr>
            <w:rStyle w:val="Hyperlink"/>
            <w:sz w:val="24"/>
            <w:szCs w:val="24"/>
          </w:rPr>
          <w:t>United States</w:t>
        </w:r>
      </w:hyperlink>
      <w:r w:rsidRPr="000E0414">
        <w:rPr>
          <w:b w:val="0"/>
          <w:bCs w:val="0"/>
          <w:sz w:val="24"/>
          <w:szCs w:val="24"/>
        </w:rPr>
        <w:t xml:space="preserve"> or an</w:t>
      </w:r>
      <w:hyperlink r:id="rId740" w:history="1">
        <w:r w:rsidRPr="000E0414">
          <w:rPr>
            <w:rStyle w:val="Hyperlink"/>
            <w:sz w:val="24"/>
            <w:szCs w:val="24"/>
          </w:rPr>
          <w:t xml:space="preserve"> alien </w:t>
        </w:r>
      </w:hyperlink>
      <w:hyperlink r:id="rId741" w:history="1">
        <w:r w:rsidRPr="000E0414">
          <w:rPr>
            <w:rStyle w:val="Hyperlink"/>
            <w:sz w:val="24"/>
            <w:szCs w:val="24"/>
          </w:rPr>
          <w:t>lawfully admitted for permanent residence</w:t>
        </w:r>
      </w:hyperlink>
      <w:r w:rsidRPr="000E0414">
        <w:rPr>
          <w:rStyle w:val="Hyperlink"/>
          <w:sz w:val="24"/>
          <w:szCs w:val="24"/>
        </w:rPr>
        <w:t>.  Mr. Niz-Chavez</w:t>
      </w:r>
      <w:r w:rsidRPr="000E0414">
        <w:rPr>
          <w:b w:val="0"/>
          <w:bCs w:val="0"/>
          <w:sz w:val="24"/>
          <w:szCs w:val="24"/>
        </w:rPr>
        <w:t xml:space="preserve"> is a citizen of Guatemala who in 2005 unlawfully entered the United States through the southern </w:t>
      </w:r>
      <w:proofErr w:type="gramStart"/>
      <w:r w:rsidRPr="000E0414">
        <w:rPr>
          <w:b w:val="0"/>
          <w:bCs w:val="0"/>
          <w:sz w:val="24"/>
          <w:szCs w:val="24"/>
        </w:rPr>
        <w:t>border, and</w:t>
      </w:r>
      <w:proofErr w:type="gramEnd"/>
      <w:r w:rsidRPr="000E0414">
        <w:rPr>
          <w:b w:val="0"/>
          <w:bCs w:val="0"/>
          <w:sz w:val="24"/>
          <w:szCs w:val="24"/>
        </w:rPr>
        <w:t xml:space="preserve"> eventually settled in Detroit. INS sent him two Notices of Removal - first notice of Removal, 8 years after he arrived in U.S. (March 26, 2013) did not specify the date of his removal hearing in Detroit.  The second Notice (May 29, 2013) did specify the hearing date (June 25, 2013; then rescheduled 4 years later, Sept. 13, 2017; ordered deported Nov. 8, 2017). </w:t>
      </w:r>
    </w:p>
    <w:p w14:paraId="1BC787F6" w14:textId="77777777" w:rsidR="00F27CD5" w:rsidRDefault="00F27CD5" w:rsidP="00F27CD5">
      <w:pPr>
        <w:ind w:left="720"/>
        <w:rPr>
          <w:rFonts w:ascii="Times New Roman" w:hAnsi="Times New Roman"/>
          <w:sz w:val="24"/>
          <w:szCs w:val="24"/>
        </w:rPr>
      </w:pPr>
      <w:r>
        <w:rPr>
          <w:rFonts w:ascii="Times New Roman" w:hAnsi="Times New Roman"/>
          <w:sz w:val="24"/>
          <w:szCs w:val="24"/>
        </w:rPr>
        <w:t>“</w:t>
      </w:r>
      <w:r w:rsidRPr="002E6393">
        <w:rPr>
          <w:rFonts w:ascii="Times New Roman" w:hAnsi="Times New Roman"/>
          <w:sz w:val="24"/>
          <w:szCs w:val="24"/>
        </w:rPr>
        <w:t>Anyone who has applied for a passport, filed for Social Security benefits, or sought a license understands the government’s affinity for forms. Make a mistake or skip a</w:t>
      </w:r>
      <w:r>
        <w:rPr>
          <w:rFonts w:ascii="Times New Roman" w:hAnsi="Times New Roman"/>
          <w:sz w:val="24"/>
          <w:szCs w:val="24"/>
        </w:rPr>
        <w:t xml:space="preserve"> </w:t>
      </w:r>
      <w:r w:rsidRPr="002E6393">
        <w:rPr>
          <w:rFonts w:ascii="Times New Roman" w:hAnsi="Times New Roman"/>
          <w:sz w:val="24"/>
          <w:szCs w:val="24"/>
        </w:rPr>
        <w:t>page? Go back and try again, sometimes with a penalty for the trouble. But it turns out the federal government finds</w:t>
      </w:r>
      <w:r>
        <w:rPr>
          <w:rFonts w:ascii="Times New Roman" w:hAnsi="Times New Roman"/>
          <w:sz w:val="24"/>
          <w:szCs w:val="24"/>
        </w:rPr>
        <w:t xml:space="preserve"> </w:t>
      </w:r>
      <w:r w:rsidRPr="002E6393">
        <w:rPr>
          <w:rFonts w:ascii="Times New Roman" w:hAnsi="Times New Roman"/>
          <w:sz w:val="24"/>
          <w:szCs w:val="24"/>
        </w:rPr>
        <w:t>some of its forms frustrating too. The Illegal Immigration</w:t>
      </w:r>
      <w:r>
        <w:rPr>
          <w:rFonts w:ascii="Times New Roman" w:hAnsi="Times New Roman"/>
          <w:sz w:val="24"/>
          <w:szCs w:val="24"/>
        </w:rPr>
        <w:t xml:space="preserve"> </w:t>
      </w:r>
      <w:r w:rsidRPr="002E6393">
        <w:rPr>
          <w:rFonts w:ascii="Times New Roman" w:hAnsi="Times New Roman"/>
          <w:sz w:val="24"/>
          <w:szCs w:val="24"/>
        </w:rPr>
        <w:t xml:space="preserve">Reform and Immigrant Responsibility Act of 1996 (IIRIRA),110 Stat. 3009–546, requires the government to serve </w:t>
      </w:r>
      <w:r>
        <w:rPr>
          <w:rFonts w:ascii="Times New Roman" w:hAnsi="Times New Roman"/>
          <w:sz w:val="24"/>
          <w:szCs w:val="24"/>
        </w:rPr>
        <w:t>‘</w:t>
      </w:r>
      <w:r w:rsidRPr="002E6393">
        <w:rPr>
          <w:rFonts w:ascii="Times New Roman" w:hAnsi="Times New Roman"/>
          <w:sz w:val="24"/>
          <w:szCs w:val="24"/>
        </w:rPr>
        <w:t>a notice to appear</w:t>
      </w:r>
      <w:r>
        <w:rPr>
          <w:rFonts w:ascii="Times New Roman" w:hAnsi="Times New Roman"/>
          <w:sz w:val="24"/>
          <w:szCs w:val="24"/>
        </w:rPr>
        <w:t>’</w:t>
      </w:r>
      <w:r w:rsidRPr="002E6393">
        <w:rPr>
          <w:rFonts w:ascii="Times New Roman" w:hAnsi="Times New Roman"/>
          <w:sz w:val="24"/>
          <w:szCs w:val="24"/>
        </w:rPr>
        <w:t xml:space="preserve"> on individuals it </w:t>
      </w:r>
      <w:r w:rsidRPr="002E6393">
        <w:rPr>
          <w:rFonts w:ascii="Times New Roman" w:hAnsi="Times New Roman"/>
          <w:sz w:val="24"/>
          <w:szCs w:val="24"/>
        </w:rPr>
        <w:lastRenderedPageBreak/>
        <w:t xml:space="preserve">wishes to remove from this country. At first blush, a notice </w:t>
      </w:r>
      <w:proofErr w:type="gramStart"/>
      <w:r w:rsidRPr="002E6393">
        <w:rPr>
          <w:rFonts w:ascii="Times New Roman" w:hAnsi="Times New Roman"/>
          <w:sz w:val="24"/>
          <w:szCs w:val="24"/>
        </w:rPr>
        <w:t>to appear</w:t>
      </w:r>
      <w:proofErr w:type="gramEnd"/>
      <w:r w:rsidRPr="002E6393">
        <w:rPr>
          <w:rFonts w:ascii="Times New Roman" w:hAnsi="Times New Roman"/>
          <w:sz w:val="24"/>
          <w:szCs w:val="24"/>
        </w:rPr>
        <w:t xml:space="preserve"> might seem to be just that—a single document containing all the information an individual needs to know about his removal hearing.</w:t>
      </w:r>
      <w:r>
        <w:rPr>
          <w:rFonts w:ascii="Times New Roman" w:hAnsi="Times New Roman"/>
          <w:sz w:val="24"/>
          <w:szCs w:val="24"/>
        </w:rPr>
        <w:t xml:space="preserve"> </w:t>
      </w:r>
      <w:r w:rsidRPr="002E6393">
        <w:rPr>
          <w:rFonts w:ascii="Times New Roman" w:hAnsi="Times New Roman"/>
          <w:sz w:val="24"/>
          <w:szCs w:val="24"/>
        </w:rPr>
        <w:t>But, the government says, supplying so much information</w:t>
      </w:r>
      <w:r>
        <w:rPr>
          <w:rFonts w:ascii="Times New Roman" w:hAnsi="Times New Roman"/>
          <w:sz w:val="24"/>
          <w:szCs w:val="24"/>
        </w:rPr>
        <w:t xml:space="preserve"> </w:t>
      </w:r>
      <w:r w:rsidRPr="002E6393">
        <w:rPr>
          <w:rFonts w:ascii="Times New Roman" w:hAnsi="Times New Roman"/>
          <w:sz w:val="24"/>
          <w:szCs w:val="24"/>
        </w:rPr>
        <w:t>in a single form is too taxing. It needs more flexibility, allowing its officials to provide information in separate mailings (as many as they wish) over time (</w:t>
      </w:r>
      <w:proofErr w:type="gramStart"/>
      <w:r w:rsidRPr="002E6393">
        <w:rPr>
          <w:rFonts w:ascii="Times New Roman" w:hAnsi="Times New Roman"/>
          <w:sz w:val="24"/>
          <w:szCs w:val="24"/>
        </w:rPr>
        <w:t>as long as</w:t>
      </w:r>
      <w:proofErr w:type="gramEnd"/>
      <w:r w:rsidRPr="002E6393">
        <w:rPr>
          <w:rFonts w:ascii="Times New Roman" w:hAnsi="Times New Roman"/>
          <w:sz w:val="24"/>
          <w:szCs w:val="24"/>
        </w:rPr>
        <w:t xml:space="preserve"> they </w:t>
      </w:r>
      <w:proofErr w:type="gramStart"/>
      <w:r w:rsidRPr="002E6393">
        <w:rPr>
          <w:rFonts w:ascii="Times New Roman" w:hAnsi="Times New Roman"/>
          <w:sz w:val="24"/>
          <w:szCs w:val="24"/>
        </w:rPr>
        <w:t>find</w:t>
      </w:r>
      <w:proofErr w:type="gramEnd"/>
      <w:r w:rsidRPr="002E6393">
        <w:rPr>
          <w:rFonts w:ascii="Times New Roman" w:hAnsi="Times New Roman"/>
          <w:sz w:val="24"/>
          <w:szCs w:val="24"/>
        </w:rPr>
        <w:t xml:space="preserve"> convenient). The question for us is whether the law Congress adopted tolerates the government’s preferred practice.</w:t>
      </w:r>
    </w:p>
    <w:p w14:paraId="50B797B9" w14:textId="77777777" w:rsidR="00F27CD5" w:rsidRDefault="00F27CD5" w:rsidP="00F27CD5">
      <w:pPr>
        <w:ind w:left="720"/>
        <w:rPr>
          <w:rFonts w:ascii="Times New Roman" w:hAnsi="Times New Roman"/>
          <w:sz w:val="24"/>
          <w:szCs w:val="24"/>
        </w:rPr>
      </w:pPr>
    </w:p>
    <w:p w14:paraId="2E446641" w14:textId="77777777" w:rsidR="00F27CD5" w:rsidRDefault="00F27CD5" w:rsidP="00F27CD5">
      <w:pPr>
        <w:ind w:left="720"/>
        <w:rPr>
          <w:rFonts w:ascii="Times New Roman" w:hAnsi="Times New Roman"/>
          <w:sz w:val="24"/>
          <w:szCs w:val="24"/>
        </w:rPr>
      </w:pPr>
      <w:r>
        <w:rPr>
          <w:rFonts w:ascii="Times New Roman" w:hAnsi="Times New Roman"/>
          <w:sz w:val="24"/>
          <w:szCs w:val="24"/>
        </w:rPr>
        <w:t>***</w:t>
      </w:r>
    </w:p>
    <w:p w14:paraId="1113A17C" w14:textId="77777777" w:rsidR="00F27CD5" w:rsidRPr="00892BE0" w:rsidRDefault="00F27CD5" w:rsidP="00F27CD5">
      <w:pPr>
        <w:ind w:left="720"/>
        <w:rPr>
          <w:rFonts w:ascii="Times New Roman" w:hAnsi="Times New Roman"/>
          <w:sz w:val="24"/>
          <w:szCs w:val="24"/>
        </w:rPr>
      </w:pPr>
      <w:r w:rsidRPr="00892BE0">
        <w:rPr>
          <w:rFonts w:ascii="Times New Roman" w:hAnsi="Times New Roman"/>
          <w:sz w:val="24"/>
          <w:szCs w:val="24"/>
        </w:rPr>
        <w:t>Our only job today is to give</w:t>
      </w:r>
      <w:r>
        <w:rPr>
          <w:rFonts w:ascii="Times New Roman" w:hAnsi="Times New Roman"/>
          <w:sz w:val="24"/>
          <w:szCs w:val="24"/>
        </w:rPr>
        <w:t xml:space="preserve"> </w:t>
      </w:r>
      <w:r w:rsidRPr="00892BE0">
        <w:rPr>
          <w:rFonts w:ascii="Times New Roman" w:hAnsi="Times New Roman"/>
          <w:sz w:val="24"/>
          <w:szCs w:val="24"/>
        </w:rPr>
        <w:t xml:space="preserve">the law’s terms their ordinary meaning and, in that small way, ensure the federal government does not exceed its statutory license. Interpreting the phrase </w:t>
      </w:r>
      <w:r>
        <w:rPr>
          <w:rFonts w:ascii="Times New Roman" w:hAnsi="Times New Roman"/>
          <w:sz w:val="24"/>
          <w:szCs w:val="24"/>
        </w:rPr>
        <w:t>‘</w:t>
      </w:r>
      <w:r w:rsidRPr="00892BE0">
        <w:rPr>
          <w:rFonts w:ascii="Times New Roman" w:hAnsi="Times New Roman"/>
          <w:sz w:val="24"/>
          <w:szCs w:val="24"/>
        </w:rPr>
        <w:t>a notice to appear</w:t>
      </w:r>
      <w:r>
        <w:rPr>
          <w:rFonts w:ascii="Times New Roman" w:hAnsi="Times New Roman"/>
          <w:sz w:val="24"/>
          <w:szCs w:val="24"/>
        </w:rPr>
        <w:t>’</w:t>
      </w:r>
      <w:r w:rsidRPr="00892BE0">
        <w:rPr>
          <w:rFonts w:ascii="Times New Roman" w:hAnsi="Times New Roman"/>
          <w:sz w:val="24"/>
          <w:szCs w:val="24"/>
        </w:rPr>
        <w:t xml:space="preserve"> to require a single notice—rather than 2 or 20 documents—does just that</w:t>
      </w:r>
      <w:r>
        <w:rPr>
          <w:rFonts w:ascii="Times New Roman" w:hAnsi="Times New Roman"/>
          <w:sz w:val="24"/>
          <w:szCs w:val="24"/>
        </w:rPr>
        <w:t xml:space="preserve">…. </w:t>
      </w:r>
      <w:r w:rsidRPr="00892BE0">
        <w:rPr>
          <w:rFonts w:ascii="Times New Roman" w:hAnsi="Times New Roman"/>
          <w:sz w:val="24"/>
          <w:szCs w:val="24"/>
        </w:rPr>
        <w:t>At one level, today’s dispute may seem semantic, focused on a single word, a small one at that. But words are how the law constrains power. In this case, the law’s terms ensure that, when the federal government seeks a procedural advantage against an individual, it will at least supply him with a single and reasonably comprehensive statement of the nature of the proceedings against him. If men must turn square corners when they deal with the government, it cannot be too much to expect the government to turn square corners when it deals with them.</w:t>
      </w:r>
      <w:r>
        <w:rPr>
          <w:rFonts w:ascii="Times New Roman" w:hAnsi="Times New Roman"/>
          <w:sz w:val="24"/>
          <w:szCs w:val="24"/>
        </w:rPr>
        <w:t xml:space="preserve">” </w:t>
      </w:r>
      <w:hyperlink r:id="rId742" w:history="1">
        <w:r w:rsidRPr="001969BB">
          <w:rPr>
            <w:rStyle w:val="Hyperlink"/>
            <w:sz w:val="24"/>
            <w:szCs w:val="24"/>
          </w:rPr>
          <w:t>https://www.supremecourt.gov/opinions/20pdf/19-863_6jgm.pdf</w:t>
        </w:r>
      </w:hyperlink>
      <w:r>
        <w:rPr>
          <w:rFonts w:ascii="Times New Roman" w:hAnsi="Times New Roman"/>
          <w:sz w:val="24"/>
          <w:szCs w:val="24"/>
        </w:rPr>
        <w:t xml:space="preserve"> </w:t>
      </w:r>
    </w:p>
    <w:p w14:paraId="20716139" w14:textId="77777777" w:rsidR="00F27CD5" w:rsidRPr="00CB33A6" w:rsidRDefault="00F27CD5" w:rsidP="00F27CD5">
      <w:pPr>
        <w:rPr>
          <w:rFonts w:ascii="Times New Roman" w:hAnsi="Times New Roman"/>
          <w:b/>
          <w:bCs/>
          <w:sz w:val="24"/>
          <w:szCs w:val="24"/>
        </w:rPr>
      </w:pPr>
      <w:r w:rsidRPr="00CB33A6">
        <w:rPr>
          <w:rFonts w:ascii="Times New Roman" w:hAnsi="Times New Roman"/>
          <w:b/>
          <w:bCs/>
          <w:sz w:val="24"/>
          <w:szCs w:val="24"/>
        </w:rPr>
        <w:t xml:space="preserve">Legal Lesson Learned: </w:t>
      </w:r>
      <w:r>
        <w:rPr>
          <w:rFonts w:ascii="Times New Roman" w:hAnsi="Times New Roman"/>
          <w:b/>
          <w:bCs/>
          <w:sz w:val="24"/>
          <w:szCs w:val="24"/>
        </w:rPr>
        <w:t xml:space="preserve">The majority opinion is now the law of the land; INS can  “stop the clock” on the 10-year “Cancellation of Removal” statute, only when they provide a single Notice that includes the date / place of removal hearing. </w:t>
      </w:r>
    </w:p>
    <w:p w14:paraId="38AB7FAE" w14:textId="77777777" w:rsidR="00F27CD5" w:rsidRDefault="00F27CD5" w:rsidP="00F27CD5">
      <w:pPr>
        <w:ind w:left="720"/>
        <w:rPr>
          <w:rFonts w:ascii="Times New Roman" w:hAnsi="Times New Roman"/>
          <w:sz w:val="24"/>
          <w:szCs w:val="24"/>
        </w:rPr>
      </w:pPr>
    </w:p>
    <w:p w14:paraId="264E03FD" w14:textId="77777777" w:rsidR="00F27CD5" w:rsidRPr="00BC2B99" w:rsidRDefault="00F27CD5" w:rsidP="00F27CD5">
      <w:pPr>
        <w:pStyle w:val="NoSpacing"/>
        <w:ind w:left="720"/>
        <w:rPr>
          <w:rFonts w:ascii="Times New Roman" w:hAnsi="Times New Roman"/>
          <w:sz w:val="24"/>
          <w:szCs w:val="24"/>
        </w:rPr>
      </w:pPr>
      <w:r w:rsidRPr="00BC2B99">
        <w:rPr>
          <w:rFonts w:ascii="Times New Roman" w:hAnsi="Times New Roman"/>
          <w:sz w:val="24"/>
          <w:szCs w:val="24"/>
        </w:rPr>
        <w:t xml:space="preserve">Note:  </w:t>
      </w:r>
    </w:p>
    <w:p w14:paraId="19FBC938" w14:textId="77777777" w:rsidR="00F27CD5" w:rsidRPr="004D18E0" w:rsidRDefault="00F27CD5" w:rsidP="00F27CD5">
      <w:pPr>
        <w:pStyle w:val="Heading1"/>
        <w:ind w:left="720"/>
        <w:rPr>
          <w:b w:val="0"/>
          <w:bCs w:val="0"/>
          <w:sz w:val="24"/>
          <w:szCs w:val="24"/>
        </w:rPr>
      </w:pPr>
      <w:r w:rsidRPr="004D18E0">
        <w:rPr>
          <w:sz w:val="24"/>
          <w:szCs w:val="24"/>
        </w:rPr>
        <w:t>8 U.S. Code § 1229b - Cancellation of removal; adjustment of status</w:t>
      </w:r>
      <w:r>
        <w:rPr>
          <w:sz w:val="24"/>
          <w:szCs w:val="24"/>
        </w:rPr>
        <w:t xml:space="preserve">: </w:t>
      </w:r>
      <w:hyperlink r:id="rId743" w:history="1">
        <w:r w:rsidRPr="001969BB">
          <w:rPr>
            <w:rStyle w:val="Hyperlink"/>
            <w:sz w:val="24"/>
            <w:szCs w:val="24"/>
          </w:rPr>
          <w:t>https://www.law.cornell.edu/uscode/text/8/1229b</w:t>
        </w:r>
      </w:hyperlink>
      <w:r>
        <w:rPr>
          <w:sz w:val="24"/>
          <w:szCs w:val="24"/>
        </w:rPr>
        <w:t xml:space="preserve"> </w:t>
      </w:r>
    </w:p>
    <w:p w14:paraId="6B6327AF" w14:textId="77777777" w:rsidR="00F27CD5" w:rsidRPr="004D18E0" w:rsidRDefault="00F27CD5" w:rsidP="00F27CD5">
      <w:pPr>
        <w:ind w:left="1440"/>
        <w:rPr>
          <w:rFonts w:ascii="Times New Roman" w:hAnsi="Times New Roman"/>
          <w:sz w:val="24"/>
          <w:szCs w:val="24"/>
        </w:rPr>
      </w:pPr>
      <w:r w:rsidRPr="004D18E0">
        <w:rPr>
          <w:rStyle w:val="num"/>
          <w:rFonts w:ascii="Times New Roman" w:hAnsi="Times New Roman"/>
          <w:sz w:val="24"/>
          <w:szCs w:val="24"/>
        </w:rPr>
        <w:t>(b)</w:t>
      </w:r>
      <w:r w:rsidRPr="004D18E0">
        <w:rPr>
          <w:rStyle w:val="heading"/>
          <w:rFonts w:ascii="Times New Roman" w:hAnsi="Times New Roman"/>
          <w:sz w:val="24"/>
          <w:szCs w:val="24"/>
        </w:rPr>
        <w:t xml:space="preserve"> Cancellation of removal and adjustment of status for certain nonpermanent residents</w:t>
      </w:r>
      <w:r w:rsidRPr="004D18E0">
        <w:rPr>
          <w:rFonts w:ascii="Times New Roman" w:hAnsi="Times New Roman"/>
          <w:sz w:val="24"/>
          <w:szCs w:val="24"/>
        </w:rPr>
        <w:t xml:space="preserve"> </w:t>
      </w:r>
    </w:p>
    <w:p w14:paraId="55F64335" w14:textId="77777777" w:rsidR="00F27CD5" w:rsidRDefault="00F27CD5" w:rsidP="00F27CD5">
      <w:pPr>
        <w:ind w:left="720" w:firstLine="720"/>
        <w:rPr>
          <w:rStyle w:val="heading"/>
          <w:rFonts w:ascii="Times New Roman" w:hAnsi="Times New Roman"/>
          <w:sz w:val="24"/>
          <w:szCs w:val="24"/>
        </w:rPr>
      </w:pPr>
      <w:r w:rsidRPr="004D18E0">
        <w:rPr>
          <w:rStyle w:val="num"/>
          <w:rFonts w:ascii="Times New Roman" w:hAnsi="Times New Roman"/>
          <w:sz w:val="24"/>
          <w:szCs w:val="24"/>
        </w:rPr>
        <w:t>(1)</w:t>
      </w:r>
      <w:r w:rsidRPr="004D18E0">
        <w:rPr>
          <w:rStyle w:val="heading"/>
          <w:rFonts w:ascii="Times New Roman" w:hAnsi="Times New Roman"/>
          <w:sz w:val="24"/>
          <w:szCs w:val="24"/>
        </w:rPr>
        <w:t xml:space="preserve"> In general</w:t>
      </w:r>
    </w:p>
    <w:p w14:paraId="637D31FA" w14:textId="77777777" w:rsidR="00F27CD5" w:rsidRPr="004D18E0" w:rsidRDefault="00F27CD5" w:rsidP="00F27CD5">
      <w:pPr>
        <w:ind w:left="1440"/>
        <w:rPr>
          <w:rFonts w:ascii="Times New Roman" w:hAnsi="Times New Roman"/>
          <w:sz w:val="24"/>
          <w:szCs w:val="24"/>
        </w:rPr>
      </w:pPr>
      <w:r w:rsidRPr="004D18E0">
        <w:rPr>
          <w:rStyle w:val="chapeau"/>
          <w:rFonts w:ascii="Times New Roman" w:hAnsi="Times New Roman"/>
          <w:sz w:val="24"/>
          <w:szCs w:val="24"/>
        </w:rPr>
        <w:t xml:space="preserve">The </w:t>
      </w:r>
      <w:hyperlink r:id="rId744" w:history="1">
        <w:r w:rsidRPr="004D18E0">
          <w:rPr>
            <w:rStyle w:val="Hyperlink"/>
            <w:sz w:val="24"/>
            <w:szCs w:val="24"/>
          </w:rPr>
          <w:t>Attorney General</w:t>
        </w:r>
      </w:hyperlink>
      <w:r w:rsidRPr="004D18E0">
        <w:rPr>
          <w:rStyle w:val="chapeau"/>
          <w:rFonts w:ascii="Times New Roman" w:hAnsi="Times New Roman"/>
          <w:sz w:val="24"/>
          <w:szCs w:val="24"/>
        </w:rPr>
        <w:t xml:space="preserve"> may cancel removal of, and adjust to the status of an</w:t>
      </w:r>
      <w:hyperlink r:id="rId745" w:history="1">
        <w:r w:rsidRPr="004D18E0">
          <w:rPr>
            <w:rStyle w:val="Hyperlink"/>
            <w:sz w:val="24"/>
            <w:szCs w:val="24"/>
          </w:rPr>
          <w:t xml:space="preserve"> alien </w:t>
        </w:r>
      </w:hyperlink>
      <w:hyperlink r:id="rId746" w:history="1">
        <w:r w:rsidRPr="004D18E0">
          <w:rPr>
            <w:rStyle w:val="Hyperlink"/>
            <w:sz w:val="24"/>
            <w:szCs w:val="24"/>
          </w:rPr>
          <w:t>lawfully admitted for permanent residence</w:t>
        </w:r>
      </w:hyperlink>
      <w:r w:rsidRPr="004D18E0">
        <w:rPr>
          <w:rStyle w:val="chapeau"/>
          <w:rFonts w:ascii="Times New Roman" w:hAnsi="Times New Roman"/>
          <w:sz w:val="24"/>
          <w:szCs w:val="24"/>
        </w:rPr>
        <w:t>, an</w:t>
      </w:r>
      <w:hyperlink r:id="rId747" w:history="1">
        <w:r w:rsidRPr="004D18E0">
          <w:rPr>
            <w:rStyle w:val="Hyperlink"/>
            <w:sz w:val="24"/>
            <w:szCs w:val="24"/>
          </w:rPr>
          <w:t xml:space="preserve"> alien </w:t>
        </w:r>
      </w:hyperlink>
      <w:r w:rsidRPr="004D18E0">
        <w:rPr>
          <w:rStyle w:val="chapeau"/>
          <w:rFonts w:ascii="Times New Roman" w:hAnsi="Times New Roman"/>
          <w:sz w:val="24"/>
          <w:szCs w:val="24"/>
        </w:rPr>
        <w:t>who is inadmissible or deportable from the</w:t>
      </w:r>
      <w:hyperlink r:id="rId748" w:history="1">
        <w:r w:rsidRPr="004D18E0">
          <w:rPr>
            <w:rStyle w:val="Hyperlink"/>
            <w:sz w:val="24"/>
            <w:szCs w:val="24"/>
          </w:rPr>
          <w:t xml:space="preserve"> United States </w:t>
        </w:r>
      </w:hyperlink>
      <w:r w:rsidRPr="004D18E0">
        <w:rPr>
          <w:rStyle w:val="chapeau"/>
          <w:rFonts w:ascii="Times New Roman" w:hAnsi="Times New Roman"/>
          <w:sz w:val="24"/>
          <w:szCs w:val="24"/>
        </w:rPr>
        <w:t>if the</w:t>
      </w:r>
      <w:hyperlink r:id="rId749" w:history="1">
        <w:r w:rsidRPr="004D18E0">
          <w:rPr>
            <w:rStyle w:val="Hyperlink"/>
            <w:sz w:val="24"/>
            <w:szCs w:val="24"/>
          </w:rPr>
          <w:t xml:space="preserve"> alien—</w:t>
        </w:r>
      </w:hyperlink>
      <w:r w:rsidRPr="004D18E0">
        <w:rPr>
          <w:rFonts w:ascii="Times New Roman" w:hAnsi="Times New Roman"/>
          <w:sz w:val="24"/>
          <w:szCs w:val="24"/>
        </w:rPr>
        <w:t xml:space="preserve"> </w:t>
      </w:r>
    </w:p>
    <w:p w14:paraId="54F328F9" w14:textId="77777777" w:rsidR="00F27CD5" w:rsidRPr="004D18E0"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(A)</w:t>
      </w:r>
    </w:p>
    <w:p w14:paraId="0F77BA8B" w14:textId="77777777" w:rsidR="00F27CD5" w:rsidRPr="004D18E0" w:rsidRDefault="00F27CD5" w:rsidP="00F27CD5">
      <w:pPr>
        <w:ind w:left="1440"/>
        <w:rPr>
          <w:rFonts w:ascii="Times New Roman" w:hAnsi="Times New Roman"/>
          <w:sz w:val="24"/>
          <w:szCs w:val="24"/>
        </w:rPr>
      </w:pPr>
      <w:r w:rsidRPr="004D18E0">
        <w:rPr>
          <w:rFonts w:ascii="Times New Roman" w:hAnsi="Times New Roman"/>
          <w:sz w:val="24"/>
          <w:szCs w:val="24"/>
        </w:rPr>
        <w:t xml:space="preserve">has been physically present in the </w:t>
      </w:r>
      <w:hyperlink r:id="rId750" w:history="1">
        <w:r w:rsidRPr="004D18E0">
          <w:rPr>
            <w:rStyle w:val="Hyperlink"/>
            <w:sz w:val="24"/>
            <w:szCs w:val="24"/>
          </w:rPr>
          <w:t>United States</w:t>
        </w:r>
      </w:hyperlink>
      <w:r w:rsidRPr="004D18E0">
        <w:rPr>
          <w:rFonts w:ascii="Times New Roman" w:hAnsi="Times New Roman"/>
          <w:sz w:val="24"/>
          <w:szCs w:val="24"/>
        </w:rPr>
        <w:t xml:space="preserve"> for a continuous period of not less than 10 years immediately preceding the date of such application;</w:t>
      </w:r>
    </w:p>
    <w:p w14:paraId="7F3C110D" w14:textId="77777777" w:rsidR="00F27CD5" w:rsidRPr="004D18E0"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(B)</w:t>
      </w:r>
      <w:r w:rsidRPr="004D18E0">
        <w:rPr>
          <w:rFonts w:ascii="Times New Roman" w:hAnsi="Times New Roman"/>
          <w:sz w:val="24"/>
          <w:szCs w:val="24"/>
        </w:rPr>
        <w:t xml:space="preserve"> </w:t>
      </w:r>
    </w:p>
    <w:p w14:paraId="3E672685" w14:textId="77777777" w:rsidR="00F27CD5" w:rsidRPr="004D18E0" w:rsidRDefault="00F27CD5" w:rsidP="00F27CD5">
      <w:pPr>
        <w:ind w:left="720" w:firstLine="720"/>
        <w:rPr>
          <w:rFonts w:ascii="Times New Roman" w:hAnsi="Times New Roman"/>
          <w:sz w:val="24"/>
          <w:szCs w:val="24"/>
        </w:rPr>
      </w:pPr>
      <w:r w:rsidRPr="004D18E0">
        <w:rPr>
          <w:rFonts w:ascii="Times New Roman" w:hAnsi="Times New Roman"/>
          <w:sz w:val="24"/>
          <w:szCs w:val="24"/>
        </w:rPr>
        <w:t>has been a person of good moral character during such period;</w:t>
      </w:r>
    </w:p>
    <w:p w14:paraId="163D8D77" w14:textId="77777777" w:rsidR="00F27CD5" w:rsidRPr="004D18E0"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(C)</w:t>
      </w:r>
    </w:p>
    <w:p w14:paraId="5268DD34" w14:textId="77777777" w:rsidR="00F27CD5" w:rsidRPr="004D18E0" w:rsidRDefault="00F27CD5" w:rsidP="00F27CD5">
      <w:pPr>
        <w:ind w:left="1440"/>
        <w:rPr>
          <w:rFonts w:ascii="Times New Roman" w:hAnsi="Times New Roman"/>
          <w:sz w:val="24"/>
          <w:szCs w:val="24"/>
        </w:rPr>
      </w:pPr>
      <w:r w:rsidRPr="004D18E0">
        <w:rPr>
          <w:rFonts w:ascii="Times New Roman" w:hAnsi="Times New Roman"/>
          <w:sz w:val="24"/>
          <w:szCs w:val="24"/>
        </w:rPr>
        <w:lastRenderedPageBreak/>
        <w:t xml:space="preserve">has not been convicted of an offense under section </w:t>
      </w:r>
      <w:hyperlink r:id="rId751" w:anchor="a_2" w:history="1">
        <w:r w:rsidRPr="004D18E0">
          <w:rPr>
            <w:rStyle w:val="Hyperlink"/>
            <w:sz w:val="24"/>
            <w:szCs w:val="24"/>
          </w:rPr>
          <w:t>1182(a)(2)</w:t>
        </w:r>
      </w:hyperlink>
      <w:r w:rsidRPr="004D18E0">
        <w:rPr>
          <w:rFonts w:ascii="Times New Roman" w:hAnsi="Times New Roman"/>
          <w:sz w:val="24"/>
          <w:szCs w:val="24"/>
        </w:rPr>
        <w:t xml:space="preserve">, </w:t>
      </w:r>
      <w:hyperlink r:id="rId752" w:anchor="a_2" w:history="1">
        <w:r w:rsidRPr="004D18E0">
          <w:rPr>
            <w:rStyle w:val="Hyperlink"/>
            <w:sz w:val="24"/>
            <w:szCs w:val="24"/>
          </w:rPr>
          <w:t>1227(a)(2)</w:t>
        </w:r>
      </w:hyperlink>
      <w:r w:rsidRPr="004D18E0">
        <w:rPr>
          <w:rFonts w:ascii="Times New Roman" w:hAnsi="Times New Roman"/>
          <w:sz w:val="24"/>
          <w:szCs w:val="24"/>
        </w:rPr>
        <w:t xml:space="preserve">, or </w:t>
      </w:r>
      <w:hyperlink r:id="rId753" w:anchor="a_3" w:history="1">
        <w:r w:rsidRPr="004D18E0">
          <w:rPr>
            <w:rStyle w:val="Hyperlink"/>
            <w:sz w:val="24"/>
            <w:szCs w:val="24"/>
          </w:rPr>
          <w:t>1227(a)(3)</w:t>
        </w:r>
      </w:hyperlink>
      <w:r w:rsidRPr="004D18E0">
        <w:rPr>
          <w:rFonts w:ascii="Times New Roman" w:hAnsi="Times New Roman"/>
          <w:sz w:val="24"/>
          <w:szCs w:val="24"/>
        </w:rPr>
        <w:t xml:space="preserve"> of this title, subject to paragraph (5); and</w:t>
      </w:r>
    </w:p>
    <w:p w14:paraId="1BFAFEF7" w14:textId="77777777" w:rsidR="00F27CD5"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(D)</w:t>
      </w:r>
      <w:r w:rsidRPr="004D18E0">
        <w:rPr>
          <w:rFonts w:ascii="Times New Roman" w:hAnsi="Times New Roman"/>
          <w:sz w:val="24"/>
          <w:szCs w:val="24"/>
        </w:rPr>
        <w:t xml:space="preserve"> </w:t>
      </w:r>
    </w:p>
    <w:p w14:paraId="071412DD" w14:textId="77777777" w:rsidR="00F27CD5" w:rsidRPr="004D18E0" w:rsidRDefault="00F27CD5" w:rsidP="00F27CD5">
      <w:pPr>
        <w:ind w:left="1440"/>
        <w:rPr>
          <w:rFonts w:ascii="Times New Roman" w:hAnsi="Times New Roman"/>
          <w:sz w:val="24"/>
          <w:szCs w:val="24"/>
        </w:rPr>
      </w:pPr>
      <w:r w:rsidRPr="004D18E0">
        <w:rPr>
          <w:rFonts w:ascii="Times New Roman" w:hAnsi="Times New Roman"/>
          <w:sz w:val="24"/>
          <w:szCs w:val="24"/>
        </w:rPr>
        <w:t xml:space="preserve">establishes that removal would result in exceptional and extremely unusual hardship to the </w:t>
      </w:r>
      <w:hyperlink r:id="rId754" w:history="1">
        <w:r w:rsidRPr="004D18E0">
          <w:rPr>
            <w:rStyle w:val="Hyperlink"/>
            <w:sz w:val="24"/>
            <w:szCs w:val="24"/>
          </w:rPr>
          <w:t>alien</w:t>
        </w:r>
      </w:hyperlink>
      <w:r w:rsidRPr="004D18E0">
        <w:rPr>
          <w:rFonts w:ascii="Times New Roman" w:hAnsi="Times New Roman"/>
          <w:sz w:val="24"/>
          <w:szCs w:val="24"/>
        </w:rPr>
        <w:t xml:space="preserve">’s spouse, parent, or child, who is a citizen of the </w:t>
      </w:r>
      <w:hyperlink r:id="rId755" w:history="1">
        <w:r w:rsidRPr="004D18E0">
          <w:rPr>
            <w:rStyle w:val="Hyperlink"/>
            <w:sz w:val="24"/>
            <w:szCs w:val="24"/>
          </w:rPr>
          <w:t>United States</w:t>
        </w:r>
      </w:hyperlink>
      <w:r w:rsidRPr="004D18E0">
        <w:rPr>
          <w:rFonts w:ascii="Times New Roman" w:hAnsi="Times New Roman"/>
          <w:sz w:val="24"/>
          <w:szCs w:val="24"/>
        </w:rPr>
        <w:t xml:space="preserve"> or an</w:t>
      </w:r>
      <w:hyperlink r:id="rId756" w:history="1">
        <w:r w:rsidRPr="004D18E0">
          <w:rPr>
            <w:rStyle w:val="Hyperlink"/>
            <w:sz w:val="24"/>
            <w:szCs w:val="24"/>
          </w:rPr>
          <w:t xml:space="preserve"> alien </w:t>
        </w:r>
      </w:hyperlink>
      <w:hyperlink r:id="rId757" w:history="1">
        <w:r w:rsidRPr="004D18E0">
          <w:rPr>
            <w:rStyle w:val="Hyperlink"/>
            <w:sz w:val="24"/>
            <w:szCs w:val="24"/>
          </w:rPr>
          <w:t>lawfully admitted for permanent residence</w:t>
        </w:r>
      </w:hyperlink>
      <w:r w:rsidRPr="004D18E0">
        <w:rPr>
          <w:rFonts w:ascii="Times New Roman" w:hAnsi="Times New Roman"/>
          <w:sz w:val="24"/>
          <w:szCs w:val="24"/>
        </w:rPr>
        <w:t>.</w:t>
      </w:r>
    </w:p>
    <w:p w14:paraId="2824668D" w14:textId="77777777" w:rsidR="00F27CD5" w:rsidRDefault="00F27CD5" w:rsidP="00F27CD5">
      <w:pPr>
        <w:pStyle w:val="NoSpacing"/>
        <w:ind w:left="720"/>
        <w:rPr>
          <w:rFonts w:ascii="Times New Roman" w:hAnsi="Times New Roman"/>
          <w:sz w:val="24"/>
          <w:szCs w:val="24"/>
        </w:rPr>
      </w:pPr>
    </w:p>
    <w:p w14:paraId="177F06E4" w14:textId="77777777" w:rsidR="00F27CD5" w:rsidRPr="00CB33A6" w:rsidRDefault="00F27CD5" w:rsidP="00F27CD5">
      <w:pPr>
        <w:pStyle w:val="NoSpacing"/>
        <w:ind w:left="720"/>
        <w:rPr>
          <w:rFonts w:ascii="Times New Roman" w:hAnsi="Times New Roman"/>
          <w:b/>
          <w:bCs/>
          <w:sz w:val="24"/>
          <w:szCs w:val="24"/>
        </w:rPr>
      </w:pPr>
      <w:r w:rsidRPr="00CB33A6">
        <w:rPr>
          <w:rFonts w:ascii="Times New Roman" w:hAnsi="Times New Roman"/>
          <w:b/>
          <w:bCs/>
          <w:sz w:val="24"/>
          <w:szCs w:val="24"/>
        </w:rPr>
        <w:t>Convention Against Torture:</w:t>
      </w:r>
    </w:p>
    <w:p w14:paraId="7F38203B" w14:textId="77777777" w:rsidR="00F27CD5" w:rsidRDefault="00F27CD5" w:rsidP="00F27CD5">
      <w:pPr>
        <w:pStyle w:val="NoSpacing"/>
        <w:ind w:left="720"/>
        <w:rPr>
          <w:rFonts w:ascii="Times New Roman" w:hAnsi="Times New Roman"/>
          <w:sz w:val="24"/>
          <w:szCs w:val="24"/>
        </w:rPr>
      </w:pPr>
    </w:p>
    <w:p w14:paraId="27397B9C" w14:textId="77777777" w:rsidR="00F27CD5" w:rsidRPr="002E6393" w:rsidRDefault="00F27CD5" w:rsidP="00F27CD5">
      <w:pPr>
        <w:pStyle w:val="NoSpacing"/>
        <w:ind w:left="1440"/>
        <w:rPr>
          <w:rFonts w:ascii="Times New Roman" w:hAnsi="Times New Roman"/>
          <w:sz w:val="24"/>
          <w:szCs w:val="24"/>
        </w:rPr>
      </w:pPr>
      <w:r w:rsidRPr="002E6393">
        <w:rPr>
          <w:rFonts w:ascii="Times New Roman" w:hAnsi="Times New Roman"/>
          <w:sz w:val="24"/>
          <w:szCs w:val="24"/>
        </w:rPr>
        <w:t>1984 – UN Convention against Torture and Other Cruel,</w:t>
      </w:r>
      <w:r>
        <w:rPr>
          <w:rFonts w:ascii="Times New Roman" w:hAnsi="Times New Roman"/>
          <w:sz w:val="24"/>
          <w:szCs w:val="24"/>
        </w:rPr>
        <w:t xml:space="preserve"> </w:t>
      </w:r>
      <w:r w:rsidRPr="002E6393">
        <w:rPr>
          <w:rFonts w:ascii="Times New Roman" w:hAnsi="Times New Roman"/>
          <w:sz w:val="24"/>
          <w:szCs w:val="24"/>
        </w:rPr>
        <w:t>Inhuman or Degrading Treatment or Punishment</w:t>
      </w:r>
      <w:r>
        <w:rPr>
          <w:rFonts w:ascii="Times New Roman" w:hAnsi="Times New Roman"/>
          <w:sz w:val="24"/>
          <w:szCs w:val="24"/>
        </w:rPr>
        <w:t>:</w:t>
      </w:r>
      <w:r w:rsidRPr="002E6393">
        <w:rPr>
          <w:rFonts w:ascii="Times New Roman" w:hAnsi="Times New Roman"/>
          <w:sz w:val="24"/>
          <w:szCs w:val="24"/>
        </w:rPr>
        <w:t xml:space="preserve"> </w:t>
      </w:r>
      <w:hyperlink r:id="rId758" w:history="1">
        <w:r w:rsidRPr="001969BB">
          <w:rPr>
            <w:rStyle w:val="Hyperlink"/>
            <w:sz w:val="24"/>
            <w:szCs w:val="24"/>
          </w:rPr>
          <w:t>https://www.ohchr.org/en/professionalinterest/pages/cat.aspx</w:t>
        </w:r>
      </w:hyperlink>
      <w:r w:rsidRPr="002E6393">
        <w:rPr>
          <w:rFonts w:ascii="Times New Roman" w:hAnsi="Times New Roman"/>
          <w:sz w:val="24"/>
          <w:szCs w:val="24"/>
        </w:rPr>
        <w:t xml:space="preserve"> </w:t>
      </w:r>
      <w:r>
        <w:rPr>
          <w:rFonts w:ascii="Times New Roman" w:hAnsi="Times New Roman"/>
          <w:sz w:val="24"/>
          <w:szCs w:val="24"/>
        </w:rPr>
        <w:t>Ratified by U.S. in 1994.</w:t>
      </w:r>
      <w:r w:rsidRPr="002E6393">
        <w:t xml:space="preserve"> </w:t>
      </w:r>
      <w:hyperlink r:id="rId759" w:history="1">
        <w:r w:rsidRPr="001969BB">
          <w:rPr>
            <w:rStyle w:val="Hyperlink"/>
            <w:sz w:val="24"/>
            <w:szCs w:val="24"/>
          </w:rPr>
          <w:t>https://fas.org/sgp/crs/intel/RL32276.pdf</w:t>
        </w:r>
      </w:hyperlink>
    </w:p>
    <w:p w14:paraId="6347D308" w14:textId="77777777" w:rsidR="00F27CD5" w:rsidRDefault="00F27CD5" w:rsidP="00F27CD5">
      <w:pPr>
        <w:pStyle w:val="Heading2"/>
        <w:rPr>
          <w:rFonts w:ascii="Times New Roman" w:hAnsi="Times New Roman"/>
          <w:sz w:val="24"/>
          <w:szCs w:val="24"/>
        </w:rPr>
      </w:pPr>
    </w:p>
    <w:p w14:paraId="5577BF0F" w14:textId="5BEE1921" w:rsidR="00F27CD5" w:rsidRPr="00F27CD5" w:rsidRDefault="00F27CD5" w:rsidP="00F27CD5">
      <w:pPr>
        <w:pStyle w:val="Heading2"/>
        <w:ind w:left="720"/>
        <w:rPr>
          <w:rFonts w:ascii="Times New Roman" w:hAnsi="Times New Roman"/>
          <w:i w:val="0"/>
          <w:iCs w:val="0"/>
          <w:sz w:val="24"/>
          <w:szCs w:val="24"/>
        </w:rPr>
      </w:pPr>
      <w:r w:rsidRPr="00F27CD5">
        <w:rPr>
          <w:rFonts w:ascii="Times New Roman" w:hAnsi="Times New Roman"/>
          <w:i w:val="0"/>
          <w:iCs w:val="0"/>
          <w:sz w:val="24"/>
          <w:szCs w:val="24"/>
        </w:rPr>
        <w:t xml:space="preserve">Asylum Manual - Relief Under CAT: </w:t>
      </w:r>
      <w:hyperlink r:id="rId760" w:history="1">
        <w:r w:rsidRPr="008B44BD">
          <w:rPr>
            <w:rStyle w:val="Hyperlink"/>
            <w:rFonts w:ascii="Times New Roman" w:hAnsi="Times New Roman"/>
            <w:i w:val="0"/>
            <w:iCs w:val="0"/>
            <w:sz w:val="24"/>
            <w:szCs w:val="24"/>
          </w:rPr>
          <w:t>https://immigrationequality.org/asylum/asylum-manual/immigration-basics-relief-under-cat/</w:t>
        </w:r>
      </w:hyperlink>
      <w:r w:rsidRPr="00F27CD5">
        <w:rPr>
          <w:rFonts w:ascii="Times New Roman" w:hAnsi="Times New Roman"/>
          <w:i w:val="0"/>
          <w:iCs w:val="0"/>
          <w:sz w:val="24"/>
          <w:szCs w:val="24"/>
        </w:rPr>
        <w:t xml:space="preserve"> </w:t>
      </w:r>
    </w:p>
    <w:p w14:paraId="6DE98487" w14:textId="77777777" w:rsidR="00F27CD5" w:rsidRPr="00BC2B99" w:rsidRDefault="00F27CD5" w:rsidP="00F27CD5">
      <w:pPr>
        <w:pStyle w:val="NormalWeb"/>
        <w:ind w:left="1440"/>
      </w:pPr>
      <w:r>
        <w:t>“</w:t>
      </w:r>
      <w:r w:rsidRPr="00BC2B99">
        <w:t>Relief under the Convention Against Torture (CAT) is the third form of relief an individual fearing persecution can seek. Like withholding of removal, it can only be granted by an Immigration Judge (IJ), and not by an Asylum Officer.</w:t>
      </w:r>
    </w:p>
    <w:p w14:paraId="328E2654" w14:textId="77777777" w:rsidR="00F27CD5" w:rsidRPr="00BC2B99" w:rsidRDefault="00F27CD5" w:rsidP="00F27CD5">
      <w:pPr>
        <w:pStyle w:val="NormalWeb"/>
        <w:ind w:left="1440"/>
      </w:pPr>
      <w:r w:rsidRPr="00BC2B99">
        <w:t xml:space="preserve">An applicant bears the burden of demonstrating that it is more likely than not that they will be tortured if removed to their country of origin.  The Board of Immigration Appeals (BIA) has found that torture </w:t>
      </w:r>
      <w:r>
        <w:t>‘</w:t>
      </w:r>
      <w:r w:rsidRPr="00BC2B99">
        <w:t>must be an extreme form of cruel and inhuman punishment</w:t>
      </w:r>
      <w:r>
        <w:t>’</w:t>
      </w:r>
      <w:r w:rsidRPr="00BC2B99">
        <w:t xml:space="preserve"> that </w:t>
      </w:r>
      <w:r>
        <w:t>‘</w:t>
      </w:r>
      <w:r w:rsidRPr="00BC2B99">
        <w:t>must cause severe pain or suffering.</w:t>
      </w:r>
      <w:r>
        <w:t>’</w:t>
      </w:r>
      <w:r w:rsidRPr="00BC2B99">
        <w:t> There are no bars to eligibility for relief under CAT.</w:t>
      </w:r>
    </w:p>
    <w:p w14:paraId="126144F4" w14:textId="77777777" w:rsidR="00F27CD5" w:rsidRDefault="00F27CD5" w:rsidP="00F27CD5">
      <w:pPr>
        <w:pStyle w:val="NormalWeb"/>
        <w:ind w:left="1440"/>
        <w:rPr>
          <w:b/>
          <w:sz w:val="20"/>
          <w:szCs w:val="20"/>
        </w:rPr>
      </w:pPr>
      <w:r w:rsidRPr="00BC2B99">
        <w:t>The advantage of CAT is that there are no bars to eligibility. Therefore, since the treaty itself does not contain any bars to its mandate of non-return, aggravated felons can make claims for relief if they fear torture. Additionally, applicants are not required to establish that their fear of torture is on account of race, religion, nationality, political opinion, or membership in a particular social group.</w:t>
      </w:r>
      <w:r>
        <w:t>”</w:t>
      </w:r>
    </w:p>
    <w:p w14:paraId="62D6E67E" w14:textId="77777777" w:rsidR="00F27CD5" w:rsidRDefault="00F27CD5" w:rsidP="00F326E5">
      <w:pPr>
        <w:pStyle w:val="NoSpacing"/>
        <w:rPr>
          <w:rFonts w:ascii="Arial Black" w:hAnsi="Arial Black"/>
          <w:sz w:val="28"/>
          <w:szCs w:val="28"/>
        </w:rPr>
      </w:pPr>
    </w:p>
    <w:p w14:paraId="61CEB03D" w14:textId="77777777" w:rsidR="00F27CD5" w:rsidRDefault="00F27CD5" w:rsidP="00F326E5">
      <w:pPr>
        <w:pStyle w:val="NoSpacing"/>
        <w:rPr>
          <w:rFonts w:ascii="Arial Black" w:hAnsi="Arial Black"/>
          <w:sz w:val="28"/>
          <w:szCs w:val="28"/>
        </w:rPr>
      </w:pPr>
    </w:p>
    <w:p w14:paraId="67DFC7B6" w14:textId="6492763B" w:rsidR="000915C1" w:rsidRDefault="000915C1" w:rsidP="00F326E5">
      <w:pPr>
        <w:pStyle w:val="NoSpacing"/>
        <w:rPr>
          <w:rFonts w:ascii="Arial Black" w:hAnsi="Arial Black"/>
          <w:sz w:val="28"/>
          <w:szCs w:val="28"/>
        </w:rPr>
      </w:pPr>
      <w:r>
        <w:rPr>
          <w:rFonts w:ascii="Arial Black" w:hAnsi="Arial Black"/>
          <w:sz w:val="28"/>
          <w:szCs w:val="28"/>
        </w:rPr>
        <w:t>3-33</w:t>
      </w:r>
    </w:p>
    <w:p w14:paraId="49E60C43" w14:textId="19713F22" w:rsidR="000915C1" w:rsidRDefault="000915C1" w:rsidP="00F326E5">
      <w:pPr>
        <w:pStyle w:val="NoSpacing"/>
        <w:rPr>
          <w:rFonts w:ascii="Arial Black" w:hAnsi="Arial Black"/>
          <w:sz w:val="28"/>
          <w:szCs w:val="28"/>
        </w:rPr>
      </w:pPr>
    </w:p>
    <w:p w14:paraId="2C9A1C86" w14:textId="77777777" w:rsidR="000915C1" w:rsidRPr="001563B3" w:rsidRDefault="000915C1" w:rsidP="000915C1">
      <w:pPr>
        <w:pStyle w:val="NoSpacing"/>
        <w:rPr>
          <w:rFonts w:ascii="Times New Roman" w:eastAsia="Times New Roman" w:hAnsi="Times New Roman"/>
          <w:sz w:val="24"/>
          <w:szCs w:val="24"/>
          <w:u w:val="single"/>
        </w:rPr>
      </w:pPr>
      <w:r>
        <w:rPr>
          <w:rFonts w:ascii="Arial Black" w:hAnsi="Arial Black"/>
          <w:sz w:val="28"/>
          <w:szCs w:val="28"/>
        </w:rPr>
        <w:t xml:space="preserve">NY:  TERRORIST 1993 WORLD TRADE - HUNGER STRIKE FED. MAX PRISON, FORCED FEEDING – EMPLOYEE PRIVACY </w:t>
      </w:r>
    </w:p>
    <w:p w14:paraId="2F4509A9" w14:textId="77777777" w:rsidR="000915C1" w:rsidRDefault="000915C1" w:rsidP="000915C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u w:val="single"/>
        </w:rPr>
        <w:t xml:space="preserve">Aviva Stahl v. Department of Justice and Federal Bureau </w:t>
      </w:r>
      <w:r w:rsidRPr="001563B3">
        <w:rPr>
          <w:rFonts w:ascii="Times New Roman" w:eastAsia="Times New Roman" w:hAnsi="Times New Roman"/>
          <w:sz w:val="24"/>
          <w:szCs w:val="24"/>
          <w:u w:val="single"/>
        </w:rPr>
        <w:t>of Prisons</w:t>
      </w:r>
      <w:r>
        <w:rPr>
          <w:rFonts w:ascii="Times New Roman" w:eastAsia="Times New Roman" w:hAnsi="Times New Roman"/>
          <w:sz w:val="24"/>
          <w:szCs w:val="24"/>
        </w:rPr>
        <w:t xml:space="preserve">, U.S. District Court Judge Brian M. Cogan, U.S. District Court for the Eastern District of New York (Brooklyn), an investigative journalist, Aviva Stahl, filed a Freedom of Information Act lawsuit for the videotaped of the “forced feedings.”  Judge Cogan held that segments of the video are protected from disclosure under FOIA, including the names / faces of the medical staff who participated in the procedures.   </w:t>
      </w:r>
    </w:p>
    <w:p w14:paraId="06906F17" w14:textId="77777777" w:rsidR="000915C1" w:rsidRPr="001563B3" w:rsidRDefault="000915C1" w:rsidP="000915C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lastRenderedPageBreak/>
        <w:t>“</w:t>
      </w:r>
      <w:r w:rsidRPr="001563B3">
        <w:rPr>
          <w:rFonts w:ascii="Times New Roman" w:eastAsia="Times New Roman" w:hAnsi="Times New Roman"/>
          <w:sz w:val="24"/>
          <w:szCs w:val="24"/>
        </w:rPr>
        <w:t>Convicted for his role in the 1993 terrorist attacks on the World Trade Center, Mohammad Salameh was incarcerated at the United States Penitentiary, Administrative Maximum Facility in Florence, Colorado ("Florence ADX"). During his time there, Salameh went on several hunger strikes. The last one ended in procedures whereby Salameh received food and rehydration through intravenous therapy and a nasogastric tube. An investigative journalist, plaintiff Aviva Stahl, now seeks access to those videos under the Freedom of Information Act. She has sued the Bureau of Prisons and the Department of Justice, and before me are the parties' cross-motions for summary judgment.</w:t>
      </w:r>
    </w:p>
    <w:p w14:paraId="6E027EE6" w14:textId="77777777" w:rsidR="000915C1" w:rsidRDefault="000915C1" w:rsidP="000915C1">
      <w:pPr>
        <w:spacing w:before="100" w:beforeAutospacing="1" w:after="100" w:afterAutospacing="1" w:line="240" w:lineRule="auto"/>
        <w:ind w:left="720"/>
        <w:rPr>
          <w:rFonts w:ascii="Times New Roman" w:eastAsia="Times New Roman" w:hAnsi="Times New Roman"/>
          <w:sz w:val="24"/>
          <w:szCs w:val="24"/>
        </w:rPr>
      </w:pPr>
      <w:r w:rsidRPr="001563B3">
        <w:rPr>
          <w:rFonts w:ascii="Times New Roman" w:eastAsia="Times New Roman" w:hAnsi="Times New Roman"/>
          <w:sz w:val="24"/>
          <w:szCs w:val="24"/>
        </w:rPr>
        <w:t>I conclude that certain segments of the videos fall within FOIA exemptions. As to these segments, defendants' motion is granted and plaintiff's motion is denied. For the remainder of the videos, however, the record lacks sufficient information to show whether the exempt information is reasonably segregable from the non-exempt information. As to these segments, I reserve judgment on the parties' motions. The parties shall submit supplemental memoranda and evidence addressing the remaining portion of the videos as set forth below.</w:t>
      </w:r>
    </w:p>
    <w:p w14:paraId="70CB2A93" w14:textId="77777777" w:rsidR="000915C1" w:rsidRDefault="000915C1" w:rsidP="000915C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D2D2E55" w14:textId="77777777" w:rsidR="000915C1" w:rsidRDefault="000915C1" w:rsidP="000915C1">
      <w:pPr>
        <w:pStyle w:val="NoSpacing"/>
        <w:ind w:left="720"/>
        <w:rPr>
          <w:rFonts w:ascii="Times New Roman" w:hAnsi="Times New Roman"/>
          <w:sz w:val="24"/>
          <w:szCs w:val="24"/>
        </w:rPr>
      </w:pPr>
      <w:r w:rsidRPr="00613B5B">
        <w:rPr>
          <w:rFonts w:ascii="Times New Roman" w:hAnsi="Times New Roman"/>
          <w:sz w:val="24"/>
          <w:szCs w:val="24"/>
        </w:rPr>
        <w:t>Although plaintiff stresses that defendants disclosed the names of the medical staff who participated in the procedures when defendants released Salameh's medical records, I conclude that the staff still have a privacy interest in the visual depictions of them performing the procedures.</w:t>
      </w:r>
      <w:r>
        <w:rPr>
          <w:rFonts w:ascii="Times New Roman" w:hAnsi="Times New Roman"/>
          <w:sz w:val="24"/>
          <w:szCs w:val="24"/>
        </w:rPr>
        <w:t xml:space="preserve">”  </w:t>
      </w:r>
      <w:hyperlink r:id="rId761" w:history="1">
        <w:r w:rsidRPr="00B568EC">
          <w:rPr>
            <w:rStyle w:val="Hyperlink"/>
            <w:rFonts w:ascii="Times New Roman" w:hAnsi="Times New Roman"/>
            <w:sz w:val="24"/>
            <w:szCs w:val="24"/>
          </w:rPr>
          <w:t>https://casetext.com/case/stahl-v-dept-of-justice</w:t>
        </w:r>
      </w:hyperlink>
      <w:r>
        <w:rPr>
          <w:rFonts w:ascii="Times New Roman" w:hAnsi="Times New Roman"/>
          <w:sz w:val="24"/>
          <w:szCs w:val="24"/>
        </w:rPr>
        <w:t xml:space="preserve"> </w:t>
      </w:r>
    </w:p>
    <w:p w14:paraId="3C7F4FFC" w14:textId="77777777" w:rsidR="000915C1" w:rsidRPr="00E44EF4" w:rsidRDefault="000915C1" w:rsidP="000915C1">
      <w:pPr>
        <w:spacing w:before="100" w:beforeAutospacing="1" w:after="100" w:afterAutospacing="1" w:line="240" w:lineRule="auto"/>
        <w:rPr>
          <w:rFonts w:ascii="Times New Roman" w:eastAsia="Times New Roman" w:hAnsi="Times New Roman"/>
          <w:b/>
          <w:bCs/>
          <w:sz w:val="24"/>
          <w:szCs w:val="24"/>
        </w:rPr>
      </w:pPr>
      <w:r w:rsidRPr="00E44EF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privacy of </w:t>
      </w:r>
      <w:proofErr w:type="gramStart"/>
      <w:r>
        <w:rPr>
          <w:rFonts w:ascii="Times New Roman" w:eastAsia="Times New Roman" w:hAnsi="Times New Roman"/>
          <w:b/>
          <w:bCs/>
          <w:sz w:val="24"/>
          <w:szCs w:val="24"/>
        </w:rPr>
        <w:t>Medical</w:t>
      </w:r>
      <w:proofErr w:type="gramEnd"/>
      <w:r>
        <w:rPr>
          <w:rFonts w:ascii="Times New Roman" w:eastAsia="Times New Roman" w:hAnsi="Times New Roman"/>
          <w:b/>
          <w:bCs/>
          <w:sz w:val="24"/>
          <w:szCs w:val="24"/>
        </w:rPr>
        <w:t xml:space="preserve"> personnel participating in the videotaped “forced feedings” has been protected. </w:t>
      </w:r>
    </w:p>
    <w:p w14:paraId="6A398A66" w14:textId="77777777" w:rsidR="000915C1" w:rsidRDefault="000915C1" w:rsidP="00F326E5">
      <w:pPr>
        <w:pStyle w:val="NoSpacing"/>
        <w:rPr>
          <w:rFonts w:ascii="Arial Black" w:hAnsi="Arial Black"/>
          <w:sz w:val="28"/>
          <w:szCs w:val="28"/>
        </w:rPr>
      </w:pPr>
    </w:p>
    <w:p w14:paraId="2BC9217F" w14:textId="77777777" w:rsidR="000915C1" w:rsidRDefault="000915C1" w:rsidP="00F326E5">
      <w:pPr>
        <w:pStyle w:val="NoSpacing"/>
        <w:rPr>
          <w:rFonts w:ascii="Arial Black" w:hAnsi="Arial Black"/>
          <w:sz w:val="28"/>
          <w:szCs w:val="28"/>
        </w:rPr>
      </w:pPr>
    </w:p>
    <w:p w14:paraId="2AC8F8C9" w14:textId="77777777" w:rsidR="000915C1" w:rsidRDefault="000915C1" w:rsidP="00F326E5">
      <w:pPr>
        <w:pStyle w:val="NoSpacing"/>
        <w:rPr>
          <w:rFonts w:ascii="Arial Black" w:hAnsi="Arial Black"/>
          <w:sz w:val="28"/>
          <w:szCs w:val="28"/>
        </w:rPr>
      </w:pPr>
    </w:p>
    <w:p w14:paraId="5F563CF0" w14:textId="5E16C679" w:rsidR="000915C1" w:rsidRDefault="000915C1" w:rsidP="00F326E5">
      <w:pPr>
        <w:pStyle w:val="NoSpacing"/>
        <w:rPr>
          <w:rFonts w:ascii="Arial Black" w:hAnsi="Arial Black"/>
          <w:sz w:val="28"/>
          <w:szCs w:val="28"/>
        </w:rPr>
      </w:pPr>
      <w:r>
        <w:rPr>
          <w:rFonts w:ascii="Arial Black" w:hAnsi="Arial Black"/>
          <w:sz w:val="28"/>
          <w:szCs w:val="28"/>
        </w:rPr>
        <w:t>3-32</w:t>
      </w:r>
    </w:p>
    <w:p w14:paraId="68755BAB" w14:textId="794AAE45" w:rsidR="000915C1" w:rsidRDefault="000915C1" w:rsidP="00F326E5">
      <w:pPr>
        <w:pStyle w:val="NoSpacing"/>
        <w:rPr>
          <w:rFonts w:ascii="Arial Black" w:hAnsi="Arial Black"/>
          <w:sz w:val="28"/>
          <w:szCs w:val="28"/>
        </w:rPr>
      </w:pPr>
    </w:p>
    <w:p w14:paraId="231D26E8" w14:textId="53834A67" w:rsidR="000915C1" w:rsidRPr="00BE2CAC" w:rsidRDefault="000915C1" w:rsidP="000915C1">
      <w:pPr>
        <w:pStyle w:val="NoSpacing"/>
        <w:rPr>
          <w:rFonts w:ascii="Arial Black" w:hAnsi="Arial Black"/>
          <w:sz w:val="28"/>
          <w:szCs w:val="28"/>
        </w:rPr>
      </w:pPr>
      <w:r>
        <w:rPr>
          <w:rFonts w:ascii="Arial Black" w:hAnsi="Arial Black"/>
          <w:sz w:val="28"/>
          <w:szCs w:val="28"/>
        </w:rPr>
        <w:t>VA: 4</w:t>
      </w:r>
      <w:r w:rsidRPr="00BE2CAC">
        <w:rPr>
          <w:rFonts w:ascii="Arial Black" w:hAnsi="Arial Black"/>
          <w:sz w:val="28"/>
          <w:szCs w:val="28"/>
          <w:vertAlign w:val="superscript"/>
        </w:rPr>
        <w:t>th</w:t>
      </w:r>
      <w:r>
        <w:rPr>
          <w:rFonts w:ascii="Arial Black" w:hAnsi="Arial Black"/>
          <w:sz w:val="28"/>
          <w:szCs w:val="28"/>
        </w:rPr>
        <w:t xml:space="preserve"> CIRCUIT UPHOLDS FBI TERRORIST “WATCHLIST” -</w:t>
      </w:r>
      <w:r w:rsidR="00F82922">
        <w:rPr>
          <w:rFonts w:ascii="Arial Black" w:hAnsi="Arial Black"/>
          <w:sz w:val="28"/>
          <w:szCs w:val="28"/>
        </w:rPr>
        <w:t xml:space="preserve"> </w:t>
      </w:r>
      <w:r>
        <w:rPr>
          <w:rFonts w:ascii="Arial Black" w:hAnsi="Arial Black"/>
          <w:sz w:val="28"/>
          <w:szCs w:val="28"/>
        </w:rPr>
        <w:t>DUE PROCESS, SEEK REMOVAL BY FBI OR GO TO COURT</w:t>
      </w:r>
    </w:p>
    <w:p w14:paraId="306A56B1" w14:textId="77777777" w:rsidR="000915C1" w:rsidRDefault="000915C1" w:rsidP="000915C1">
      <w:pPr>
        <w:pStyle w:val="NoSpacing"/>
        <w:rPr>
          <w:rFonts w:ascii="Times New Roman" w:hAnsi="Times New Roman"/>
          <w:sz w:val="24"/>
          <w:szCs w:val="24"/>
        </w:rPr>
      </w:pPr>
    </w:p>
    <w:p w14:paraId="7A8C97EB" w14:textId="77777777" w:rsidR="000915C1" w:rsidRDefault="000915C1" w:rsidP="000915C1">
      <w:pPr>
        <w:pStyle w:val="NoSpacing"/>
        <w:rPr>
          <w:rFonts w:ascii="Times New Roman" w:hAnsi="Times New Roman"/>
          <w:sz w:val="24"/>
          <w:szCs w:val="24"/>
        </w:rPr>
      </w:pPr>
      <w:r>
        <w:rPr>
          <w:rFonts w:ascii="Times New Roman" w:hAnsi="Times New Roman"/>
          <w:sz w:val="24"/>
          <w:szCs w:val="24"/>
        </w:rPr>
        <w:t xml:space="preserve">On March 30, 2021, in </w:t>
      </w:r>
      <w:r w:rsidRPr="00BE2CAC">
        <w:rPr>
          <w:rFonts w:ascii="Times New Roman" w:hAnsi="Times New Roman"/>
          <w:sz w:val="24"/>
          <w:szCs w:val="24"/>
          <w:u w:val="single"/>
        </w:rPr>
        <w:t>Anas Elhady, et al. v. Charles H. Kable, Director of the Terrorist Screen Center, et al</w:t>
      </w:r>
      <w:r>
        <w:rPr>
          <w:rFonts w:ascii="Times New Roman" w:hAnsi="Times New Roman"/>
          <w:sz w:val="24"/>
          <w:szCs w:val="24"/>
        </w:rPr>
        <w:t>., the U.S. Court of Appeals for the 4</w:t>
      </w:r>
      <w:r w:rsidRPr="00BE2CAC">
        <w:rPr>
          <w:rFonts w:ascii="Times New Roman" w:hAnsi="Times New Roman"/>
          <w:sz w:val="24"/>
          <w:szCs w:val="24"/>
          <w:vertAlign w:val="superscript"/>
        </w:rPr>
        <w:t>th</w:t>
      </w:r>
      <w:r>
        <w:rPr>
          <w:rFonts w:ascii="Times New Roman" w:hAnsi="Times New Roman"/>
          <w:sz w:val="24"/>
          <w:szCs w:val="24"/>
        </w:rPr>
        <w:t xml:space="preserve"> Circuit (Richmond, VA), held (3 to 0) that the Terrorist Screening Database provides adequate due process protection for those seeking to get removed from the list. There are 1,160,000 individuals currently on the list, including about 4,600 U.S. citizens. Plaintiffs are 23 individuals complaining about their disruptions at airports; none have been barred from taking flights [not therefore are on the </w:t>
      </w:r>
      <w:proofErr w:type="gramStart"/>
      <w:r>
        <w:rPr>
          <w:rFonts w:ascii="Times New Roman" w:hAnsi="Times New Roman"/>
          <w:sz w:val="24"/>
          <w:szCs w:val="24"/>
        </w:rPr>
        <w:t>No Fly</w:t>
      </w:r>
      <w:proofErr w:type="gramEnd"/>
      <w:r>
        <w:rPr>
          <w:rFonts w:ascii="Times New Roman" w:hAnsi="Times New Roman"/>
          <w:sz w:val="24"/>
          <w:szCs w:val="24"/>
        </w:rPr>
        <w:t xml:space="preserve"> List] or when crossing the border into Mexico or Canada.  The Court reversed a U.S. District Court judge; two other Circuits have also upheld the watchlist due process procedures.</w:t>
      </w:r>
    </w:p>
    <w:p w14:paraId="7EAD077B" w14:textId="77777777" w:rsidR="000915C1" w:rsidRDefault="000915C1" w:rsidP="000915C1">
      <w:pPr>
        <w:pStyle w:val="NoSpacing"/>
        <w:rPr>
          <w:rFonts w:ascii="Times New Roman" w:hAnsi="Times New Roman"/>
          <w:sz w:val="24"/>
          <w:szCs w:val="24"/>
        </w:rPr>
      </w:pPr>
    </w:p>
    <w:p w14:paraId="4F04F64A" w14:textId="77777777" w:rsidR="000915C1" w:rsidRPr="00BE2CAC" w:rsidRDefault="000915C1" w:rsidP="000915C1">
      <w:pPr>
        <w:pStyle w:val="NoSpacing"/>
        <w:ind w:left="720"/>
        <w:rPr>
          <w:rFonts w:ascii="Times New Roman" w:eastAsia="Times New Roman" w:hAnsi="Times New Roman"/>
          <w:b/>
          <w:bCs/>
          <w:sz w:val="24"/>
          <w:szCs w:val="24"/>
        </w:rPr>
      </w:pPr>
      <w:r>
        <w:rPr>
          <w:rFonts w:ascii="Times New Roman" w:hAnsi="Times New Roman"/>
          <w:sz w:val="24"/>
          <w:szCs w:val="24"/>
        </w:rPr>
        <w:t>“</w:t>
      </w:r>
      <w:r w:rsidRPr="00BE2CAC">
        <w:rPr>
          <w:rFonts w:ascii="Times New Roman" w:hAnsi="Times New Roman"/>
          <w:sz w:val="24"/>
          <w:szCs w:val="24"/>
        </w:rPr>
        <w:t xml:space="preserve">The term </w:t>
      </w:r>
      <w:r>
        <w:rPr>
          <w:rFonts w:ascii="Times New Roman" w:hAnsi="Times New Roman"/>
          <w:sz w:val="24"/>
          <w:szCs w:val="24"/>
        </w:rPr>
        <w:t>‘</w:t>
      </w:r>
      <w:r w:rsidRPr="00BE2CAC">
        <w:rPr>
          <w:rFonts w:ascii="Times New Roman" w:hAnsi="Times New Roman"/>
          <w:sz w:val="24"/>
          <w:szCs w:val="24"/>
        </w:rPr>
        <w:t>national security</w:t>
      </w:r>
      <w:r>
        <w:rPr>
          <w:rFonts w:ascii="Times New Roman" w:hAnsi="Times New Roman"/>
          <w:sz w:val="24"/>
          <w:szCs w:val="24"/>
        </w:rPr>
        <w:t>’</w:t>
      </w:r>
      <w:r w:rsidRPr="00BE2CAC">
        <w:rPr>
          <w:rFonts w:ascii="Times New Roman" w:hAnsi="Times New Roman"/>
          <w:sz w:val="24"/>
          <w:szCs w:val="24"/>
        </w:rPr>
        <w:t xml:space="preserve"> is too often bandied loosely and carelessly about, but this is no program of marginal consequence. It lies at the very heart of our country’s effort to identify those who would inflict upon the public irretrievable loss and irreparable mass </w:t>
      </w:r>
      <w:proofErr w:type="gramStart"/>
      <w:r w:rsidRPr="00BE2CAC">
        <w:rPr>
          <w:rFonts w:ascii="Times New Roman" w:hAnsi="Times New Roman"/>
          <w:sz w:val="24"/>
          <w:szCs w:val="24"/>
        </w:rPr>
        <w:t>harms</w:t>
      </w:r>
      <w:proofErr w:type="gramEnd"/>
      <w:r w:rsidRPr="00BE2CAC">
        <w:rPr>
          <w:rFonts w:ascii="Times New Roman" w:hAnsi="Times New Roman"/>
          <w:sz w:val="24"/>
          <w:szCs w:val="24"/>
        </w:rPr>
        <w:t>. By bringing this across-the-board attack on a system vital to public safety—rather</w:t>
      </w:r>
      <w:r>
        <w:rPr>
          <w:rFonts w:ascii="Times New Roman" w:hAnsi="Times New Roman"/>
          <w:sz w:val="24"/>
          <w:szCs w:val="24"/>
        </w:rPr>
        <w:t xml:space="preserve"> </w:t>
      </w:r>
      <w:r w:rsidRPr="00BE2CAC">
        <w:rPr>
          <w:rFonts w:ascii="Times New Roman" w:hAnsi="Times New Roman"/>
          <w:sz w:val="24"/>
          <w:szCs w:val="24"/>
        </w:rPr>
        <w:t xml:space="preserve">than more focused individual challenges to </w:t>
      </w:r>
      <w:proofErr w:type="gramStart"/>
      <w:r w:rsidRPr="00BE2CAC">
        <w:rPr>
          <w:rFonts w:ascii="Times New Roman" w:hAnsi="Times New Roman"/>
          <w:sz w:val="24"/>
          <w:szCs w:val="24"/>
        </w:rPr>
        <w:t>particular law</w:t>
      </w:r>
      <w:proofErr w:type="gramEnd"/>
      <w:r w:rsidRPr="00BE2CAC">
        <w:rPr>
          <w:rFonts w:ascii="Times New Roman" w:hAnsi="Times New Roman"/>
          <w:sz w:val="24"/>
          <w:szCs w:val="24"/>
        </w:rPr>
        <w:t xml:space="preserve"> enforcement actions—plaintiffs</w:t>
      </w:r>
      <w:r>
        <w:rPr>
          <w:rFonts w:ascii="Times New Roman" w:hAnsi="Times New Roman"/>
          <w:sz w:val="24"/>
          <w:szCs w:val="24"/>
        </w:rPr>
        <w:t xml:space="preserve"> </w:t>
      </w:r>
      <w:r w:rsidRPr="00BE2CAC">
        <w:rPr>
          <w:rFonts w:ascii="Times New Roman" w:hAnsi="Times New Roman"/>
          <w:sz w:val="24"/>
          <w:szCs w:val="24"/>
        </w:rPr>
        <w:t xml:space="preserve">face a demanding legal standard. Procedural due process claims require showing that the government violated constitutionally protected liberty interests. Plaintiffs cannot meet that burden. The government has had authority to regulate travel and control the border since the beginning of the nation. Indeed, this authority is a core attribute of sovereignty. The delays and burdens </w:t>
      </w:r>
      <w:r w:rsidRPr="00BE2CAC">
        <w:rPr>
          <w:rFonts w:ascii="Times New Roman" w:hAnsi="Times New Roman"/>
          <w:sz w:val="24"/>
          <w:szCs w:val="24"/>
        </w:rPr>
        <w:lastRenderedPageBreak/>
        <w:t>experienced by plaintiffs at the border and in airports, although regrettable, do not mandate a complete overhaul of the TSDB.</w:t>
      </w:r>
      <w:r>
        <w:rPr>
          <w:rFonts w:ascii="Times New Roman" w:hAnsi="Times New Roman"/>
          <w:sz w:val="24"/>
          <w:szCs w:val="24"/>
        </w:rPr>
        <w:t xml:space="preserve">” </w:t>
      </w:r>
      <w:hyperlink r:id="rId762" w:history="1">
        <w:r w:rsidRPr="001A09F3">
          <w:rPr>
            <w:rStyle w:val="Hyperlink"/>
            <w:rFonts w:ascii="Times New Roman" w:hAnsi="Times New Roman"/>
            <w:sz w:val="24"/>
            <w:szCs w:val="24"/>
          </w:rPr>
          <w:t>https://www.ca4.uscourts.gov/opinions/201119.P.pdf</w:t>
        </w:r>
      </w:hyperlink>
      <w:r>
        <w:rPr>
          <w:rFonts w:ascii="Times New Roman" w:hAnsi="Times New Roman"/>
          <w:sz w:val="24"/>
          <w:szCs w:val="24"/>
        </w:rPr>
        <w:t xml:space="preserve"> </w:t>
      </w:r>
    </w:p>
    <w:p w14:paraId="410C96A3" w14:textId="5B6B2959" w:rsidR="000915C1" w:rsidRDefault="000915C1" w:rsidP="00F326E5">
      <w:pPr>
        <w:pStyle w:val="NoSpacing"/>
        <w:rPr>
          <w:rFonts w:ascii="Arial Black" w:hAnsi="Arial Black"/>
          <w:sz w:val="28"/>
          <w:szCs w:val="28"/>
        </w:rPr>
      </w:pPr>
    </w:p>
    <w:p w14:paraId="535B3C6E" w14:textId="620EEB3B" w:rsidR="000915C1" w:rsidRPr="008C2C03" w:rsidRDefault="000915C1" w:rsidP="000915C1">
      <w:pPr>
        <w:pStyle w:val="NoSpacing"/>
        <w:rPr>
          <w:rFonts w:ascii="Times New Roman" w:hAnsi="Times New Roman"/>
          <w:b/>
          <w:bCs/>
          <w:sz w:val="24"/>
          <w:szCs w:val="24"/>
        </w:rPr>
      </w:pPr>
      <w:r w:rsidRPr="008C2C03">
        <w:rPr>
          <w:rFonts w:ascii="Times New Roman" w:hAnsi="Times New Roman"/>
          <w:b/>
          <w:bCs/>
          <w:sz w:val="24"/>
          <w:szCs w:val="24"/>
        </w:rPr>
        <w:t>Legal Lesson Learned:</w:t>
      </w:r>
      <w:r>
        <w:rPr>
          <w:rFonts w:ascii="Times New Roman" w:hAnsi="Times New Roman"/>
          <w:b/>
          <w:bCs/>
          <w:sz w:val="24"/>
          <w:szCs w:val="24"/>
        </w:rPr>
        <w:t xml:space="preserve">  The 4</w:t>
      </w:r>
      <w:r w:rsidRPr="008C2C03">
        <w:rPr>
          <w:rFonts w:ascii="Times New Roman" w:hAnsi="Times New Roman"/>
          <w:b/>
          <w:bCs/>
          <w:sz w:val="24"/>
          <w:szCs w:val="24"/>
          <w:vertAlign w:val="superscript"/>
        </w:rPr>
        <w:t>th</w:t>
      </w:r>
      <w:r>
        <w:rPr>
          <w:rFonts w:ascii="Times New Roman" w:hAnsi="Times New Roman"/>
          <w:b/>
          <w:bCs/>
          <w:sz w:val="24"/>
          <w:szCs w:val="24"/>
        </w:rPr>
        <w:t xml:space="preserve"> Circuit, like the 6</w:t>
      </w:r>
      <w:r w:rsidRPr="008C2C03">
        <w:rPr>
          <w:rFonts w:ascii="Times New Roman" w:hAnsi="Times New Roman"/>
          <w:b/>
          <w:bCs/>
          <w:sz w:val="24"/>
          <w:szCs w:val="24"/>
          <w:vertAlign w:val="superscript"/>
        </w:rPr>
        <w:t>th</w:t>
      </w:r>
      <w:r>
        <w:rPr>
          <w:rFonts w:ascii="Times New Roman" w:hAnsi="Times New Roman"/>
          <w:b/>
          <w:bCs/>
          <w:sz w:val="24"/>
          <w:szCs w:val="24"/>
        </w:rPr>
        <w:t xml:space="preserve"> and 10</w:t>
      </w:r>
      <w:r w:rsidRPr="008C2C03">
        <w:rPr>
          <w:rFonts w:ascii="Times New Roman" w:hAnsi="Times New Roman"/>
          <w:b/>
          <w:bCs/>
          <w:sz w:val="24"/>
          <w:szCs w:val="24"/>
          <w:vertAlign w:val="superscript"/>
        </w:rPr>
        <w:t>th</w:t>
      </w:r>
      <w:r>
        <w:rPr>
          <w:rFonts w:ascii="Times New Roman" w:hAnsi="Times New Roman"/>
          <w:b/>
          <w:bCs/>
          <w:sz w:val="24"/>
          <w:szCs w:val="24"/>
        </w:rPr>
        <w:t xml:space="preserve"> Circuits, has upheld the watchlist program to protect our nation’s security. </w:t>
      </w:r>
    </w:p>
    <w:p w14:paraId="391E1D6A" w14:textId="77777777" w:rsidR="000915C1" w:rsidRDefault="000915C1" w:rsidP="00F326E5">
      <w:pPr>
        <w:pStyle w:val="NoSpacing"/>
        <w:rPr>
          <w:rFonts w:ascii="Arial Black" w:hAnsi="Arial Black"/>
          <w:sz w:val="28"/>
          <w:szCs w:val="28"/>
        </w:rPr>
      </w:pPr>
    </w:p>
    <w:p w14:paraId="0391AA10" w14:textId="77777777" w:rsidR="000915C1" w:rsidRDefault="000915C1" w:rsidP="00F326E5">
      <w:pPr>
        <w:pStyle w:val="NoSpacing"/>
        <w:rPr>
          <w:rFonts w:ascii="Arial Black" w:hAnsi="Arial Black"/>
          <w:sz w:val="28"/>
          <w:szCs w:val="28"/>
        </w:rPr>
      </w:pPr>
    </w:p>
    <w:p w14:paraId="34403432" w14:textId="0A6C9B62" w:rsidR="000915C1" w:rsidRDefault="000915C1" w:rsidP="00F326E5">
      <w:pPr>
        <w:pStyle w:val="NoSpacing"/>
        <w:rPr>
          <w:rFonts w:ascii="Arial Black" w:hAnsi="Arial Black"/>
          <w:sz w:val="28"/>
          <w:szCs w:val="28"/>
        </w:rPr>
      </w:pPr>
      <w:r>
        <w:rPr>
          <w:rFonts w:ascii="Arial Black" w:hAnsi="Arial Black"/>
          <w:sz w:val="28"/>
          <w:szCs w:val="28"/>
        </w:rPr>
        <w:t>3-31</w:t>
      </w:r>
    </w:p>
    <w:p w14:paraId="4FCEACC7" w14:textId="46C731CC" w:rsidR="000915C1" w:rsidRDefault="000915C1" w:rsidP="00F326E5">
      <w:pPr>
        <w:pStyle w:val="NoSpacing"/>
        <w:rPr>
          <w:rFonts w:ascii="Arial Black" w:hAnsi="Arial Black"/>
          <w:sz w:val="28"/>
          <w:szCs w:val="28"/>
        </w:rPr>
      </w:pPr>
    </w:p>
    <w:p w14:paraId="2F8EC9CC" w14:textId="77777777" w:rsidR="000915C1" w:rsidRPr="002F56FE" w:rsidRDefault="000915C1" w:rsidP="000915C1">
      <w:pPr>
        <w:pStyle w:val="NoSpacing"/>
        <w:rPr>
          <w:rFonts w:ascii="Arial Black" w:hAnsi="Arial Black"/>
          <w:sz w:val="28"/>
          <w:szCs w:val="28"/>
        </w:rPr>
      </w:pPr>
      <w:r>
        <w:rPr>
          <w:rFonts w:ascii="Arial Black" w:hAnsi="Arial Black"/>
          <w:sz w:val="28"/>
          <w:szCs w:val="28"/>
        </w:rPr>
        <w:t>U.S. SUPREME COURT: MEXICAN CITIZEN IN U.S. 25 YEARS – CAN BE DEPORTED – USED FAKE SOCIAL SECURITY CARD</w:t>
      </w:r>
    </w:p>
    <w:p w14:paraId="13E06B1B" w14:textId="12D54FA8" w:rsidR="000915C1" w:rsidRDefault="000915C1" w:rsidP="000915C1">
      <w:pPr>
        <w:spacing w:before="100" w:beforeAutospacing="1" w:after="100" w:afterAutospacing="1" w:line="240" w:lineRule="auto"/>
        <w:rPr>
          <w:rFonts w:ascii="Times New Roman" w:hAnsi="Times New Roman"/>
          <w:sz w:val="24"/>
          <w:szCs w:val="24"/>
        </w:rPr>
      </w:pPr>
      <w:r w:rsidRPr="002F56FE">
        <w:rPr>
          <w:rFonts w:ascii="Times New Roman" w:hAnsi="Times New Roman"/>
          <w:sz w:val="24"/>
          <w:szCs w:val="24"/>
        </w:rPr>
        <w:t xml:space="preserve">On March 4, 2021, in </w:t>
      </w:r>
      <w:r w:rsidRPr="00F3033E">
        <w:rPr>
          <w:rFonts w:ascii="Times New Roman" w:hAnsi="Times New Roman"/>
          <w:sz w:val="24"/>
          <w:szCs w:val="24"/>
          <w:u w:val="single"/>
        </w:rPr>
        <w:t>Avelino Pereida v. Monty Wilkinson, Acting Attorney General</w:t>
      </w:r>
      <w:r w:rsidRPr="002F56FE">
        <w:rPr>
          <w:rFonts w:ascii="Times New Roman" w:hAnsi="Times New Roman"/>
          <w:sz w:val="24"/>
          <w:szCs w:val="24"/>
        </w:rPr>
        <w:t xml:space="preserve">, </w:t>
      </w:r>
      <w:r>
        <w:rPr>
          <w:rFonts w:ascii="Times New Roman" w:hAnsi="Times New Roman"/>
          <w:sz w:val="24"/>
          <w:szCs w:val="24"/>
        </w:rPr>
        <w:t xml:space="preserve">the U.S. Supreme Court held (5 to 3) that Mr. Pereida, a </w:t>
      </w:r>
      <w:r w:rsidRPr="00F3033E">
        <w:rPr>
          <w:rFonts w:ascii="Times New Roman" w:hAnsi="Times New Roman"/>
          <w:sz w:val="24"/>
          <w:szCs w:val="24"/>
        </w:rPr>
        <w:t xml:space="preserve">nonpermanent alien </w:t>
      </w:r>
      <w:r>
        <w:rPr>
          <w:rFonts w:ascii="Times New Roman" w:hAnsi="Times New Roman"/>
          <w:sz w:val="24"/>
          <w:szCs w:val="24"/>
        </w:rPr>
        <w:t xml:space="preserve">in the U.S. for 25 years, and he and his wife raised three children, sought </w:t>
      </w:r>
      <w:r w:rsidRPr="00F3033E">
        <w:rPr>
          <w:rFonts w:ascii="Times New Roman" w:hAnsi="Times New Roman"/>
          <w:sz w:val="24"/>
          <w:szCs w:val="24"/>
        </w:rPr>
        <w:t>to cancel a lawful removal order must prove that they have not been convicted of a disqualifying crime</w:t>
      </w:r>
      <w:r>
        <w:rPr>
          <w:rFonts w:ascii="Times New Roman" w:hAnsi="Times New Roman"/>
          <w:sz w:val="24"/>
          <w:szCs w:val="24"/>
        </w:rPr>
        <w:t xml:space="preserve"> (crime of “moral turpitude”)</w:t>
      </w:r>
      <w:r w:rsidRPr="00F3033E">
        <w:rPr>
          <w:rFonts w:ascii="Times New Roman" w:hAnsi="Times New Roman"/>
          <w:sz w:val="24"/>
          <w:szCs w:val="24"/>
        </w:rPr>
        <w:t xml:space="preserve">. </w:t>
      </w:r>
      <w:r>
        <w:rPr>
          <w:rFonts w:ascii="Times New Roman" w:hAnsi="Times New Roman"/>
          <w:sz w:val="24"/>
          <w:szCs w:val="24"/>
        </w:rPr>
        <w:t xml:space="preserve"> In 2010, he was charge</w:t>
      </w:r>
      <w:r w:rsidR="006F4E6C">
        <w:rPr>
          <w:rFonts w:ascii="Times New Roman" w:hAnsi="Times New Roman"/>
          <w:sz w:val="24"/>
          <w:szCs w:val="24"/>
        </w:rPr>
        <w:t>d</w:t>
      </w:r>
      <w:r>
        <w:rPr>
          <w:rFonts w:ascii="Times New Roman" w:hAnsi="Times New Roman"/>
          <w:sz w:val="24"/>
          <w:szCs w:val="24"/>
        </w:rPr>
        <w:t xml:space="preserve"> in Nebraska with the crime of using a false Social Security Card to get employment as a janitor, plead nolo </w:t>
      </w:r>
      <w:r w:rsidRPr="00F3033E">
        <w:rPr>
          <w:rFonts w:ascii="Times New Roman" w:hAnsi="Times New Roman"/>
          <w:sz w:val="24"/>
          <w:szCs w:val="24"/>
        </w:rPr>
        <w:t>contendere</w:t>
      </w:r>
      <w:r>
        <w:rPr>
          <w:rFonts w:ascii="Times New Roman" w:hAnsi="Times New Roman"/>
          <w:sz w:val="24"/>
          <w:szCs w:val="24"/>
        </w:rPr>
        <w:t xml:space="preserve"> [no contest] and was fined $100. </w:t>
      </w:r>
    </w:p>
    <w:p w14:paraId="2379B60A" w14:textId="1C5D92C3" w:rsidR="000915C1" w:rsidRPr="000915C1" w:rsidRDefault="000915C1" w:rsidP="000915C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3033E">
        <w:rPr>
          <w:rFonts w:ascii="Times New Roman" w:hAnsi="Times New Roman"/>
          <w:sz w:val="24"/>
          <w:szCs w:val="24"/>
        </w:rPr>
        <w:t>Under the INA</w:t>
      </w:r>
      <w:r>
        <w:rPr>
          <w:rFonts w:ascii="Times New Roman" w:hAnsi="Times New Roman"/>
          <w:sz w:val="24"/>
          <w:szCs w:val="24"/>
        </w:rPr>
        <w:t xml:space="preserve"> </w:t>
      </w:r>
      <w:r w:rsidRPr="00BD63A2">
        <w:rPr>
          <w:rFonts w:ascii="Times New Roman" w:hAnsi="Times New Roman"/>
          <w:sz w:val="24"/>
          <w:szCs w:val="24"/>
        </w:rPr>
        <w:t>[Immigration and Nationality Act]</w:t>
      </w:r>
      <w:r>
        <w:rPr>
          <w:rFonts w:ascii="Times New Roman" w:hAnsi="Times New Roman"/>
          <w:sz w:val="24"/>
          <w:szCs w:val="24"/>
        </w:rPr>
        <w:t xml:space="preserve">, </w:t>
      </w:r>
      <w:r w:rsidRPr="00F3033E">
        <w:rPr>
          <w:rFonts w:ascii="Times New Roman" w:hAnsi="Times New Roman"/>
          <w:sz w:val="24"/>
          <w:szCs w:val="24"/>
        </w:rPr>
        <w:t>certain nonpermanent aliens seeking to</w:t>
      </w:r>
      <w:r w:rsidR="006F4E6C">
        <w:rPr>
          <w:rFonts w:ascii="Times New Roman" w:hAnsi="Times New Roman"/>
          <w:sz w:val="24"/>
          <w:szCs w:val="24"/>
        </w:rPr>
        <w:t xml:space="preserve"> </w:t>
      </w:r>
      <w:r w:rsidRPr="00F3033E">
        <w:rPr>
          <w:rFonts w:ascii="Times New Roman" w:hAnsi="Times New Roman"/>
          <w:sz w:val="24"/>
          <w:szCs w:val="24"/>
        </w:rPr>
        <w:t>cancel a lawful removal order must prove that they have</w:t>
      </w:r>
      <w:r>
        <w:rPr>
          <w:rFonts w:ascii="Times New Roman" w:hAnsi="Times New Roman"/>
          <w:sz w:val="24"/>
          <w:szCs w:val="24"/>
        </w:rPr>
        <w:t xml:space="preserve"> </w:t>
      </w:r>
      <w:r w:rsidRPr="00F3033E">
        <w:rPr>
          <w:rFonts w:ascii="Times New Roman" w:hAnsi="Times New Roman"/>
          <w:sz w:val="24"/>
          <w:szCs w:val="24"/>
        </w:rPr>
        <w:t>not been convicted of a disqualifying crime. The Eighth Circuit correctly held that Mr. Pereida failed to carry this burden. Its judgment is Affirmed</w:t>
      </w:r>
      <w:r>
        <w:rPr>
          <w:rFonts w:ascii="Times New Roman" w:hAnsi="Times New Roman"/>
          <w:sz w:val="24"/>
          <w:szCs w:val="24"/>
        </w:rPr>
        <w:t xml:space="preserve">.” </w:t>
      </w:r>
      <w:hyperlink r:id="rId763" w:history="1">
        <w:r w:rsidRPr="000915C1">
          <w:rPr>
            <w:rStyle w:val="Hyperlink"/>
            <w:rFonts w:ascii="Times New Roman" w:hAnsi="Times New Roman"/>
            <w:sz w:val="24"/>
            <w:szCs w:val="24"/>
          </w:rPr>
          <w:t>https://www.supremecourt.gov/opinions/20pdf/19-438_j4el.pdf</w:t>
        </w:r>
      </w:hyperlink>
      <w:r w:rsidRPr="000915C1">
        <w:rPr>
          <w:rFonts w:ascii="Times New Roman" w:hAnsi="Times New Roman"/>
          <w:sz w:val="24"/>
          <w:szCs w:val="24"/>
        </w:rPr>
        <w:t xml:space="preserve"> </w:t>
      </w:r>
    </w:p>
    <w:p w14:paraId="266D7F92" w14:textId="77777777" w:rsidR="000915C1" w:rsidRPr="00BD63A2" w:rsidRDefault="000915C1" w:rsidP="000915C1">
      <w:pPr>
        <w:spacing w:before="100" w:beforeAutospacing="1" w:after="100" w:afterAutospacing="1" w:line="240" w:lineRule="auto"/>
        <w:rPr>
          <w:rFonts w:ascii="Times New Roman" w:hAnsi="Times New Roman"/>
          <w:b/>
          <w:bCs/>
          <w:sz w:val="24"/>
          <w:szCs w:val="24"/>
        </w:rPr>
      </w:pPr>
      <w:r w:rsidRPr="00BD63A2">
        <w:rPr>
          <w:rFonts w:ascii="Times New Roman" w:hAnsi="Times New Roman"/>
          <w:b/>
          <w:bCs/>
          <w:sz w:val="24"/>
          <w:szCs w:val="24"/>
        </w:rPr>
        <w:t>Legal Lesson Learned:</w:t>
      </w:r>
      <w:r>
        <w:rPr>
          <w:rFonts w:ascii="Times New Roman" w:hAnsi="Times New Roman"/>
          <w:b/>
          <w:bCs/>
          <w:sz w:val="24"/>
          <w:szCs w:val="24"/>
        </w:rPr>
        <w:t xml:space="preserve"> This U.S. Supreme Court decision sets precedence for other deportation cases.  </w:t>
      </w:r>
    </w:p>
    <w:p w14:paraId="51C3B8A3" w14:textId="77777777" w:rsidR="000915C1" w:rsidRDefault="000915C1" w:rsidP="000915C1">
      <w:pPr>
        <w:spacing w:before="100" w:beforeAutospacing="1" w:after="100" w:afterAutospacing="1" w:line="240" w:lineRule="auto"/>
        <w:ind w:left="720"/>
        <w:rPr>
          <w:rFonts w:ascii="Times New Roman" w:eastAsia="Times New Roman" w:hAnsi="Times New Roman"/>
          <w:kern w:val="36"/>
          <w:sz w:val="24"/>
          <w:szCs w:val="24"/>
        </w:rPr>
      </w:pPr>
      <w:r>
        <w:rPr>
          <w:rFonts w:ascii="Times New Roman" w:hAnsi="Times New Roman"/>
          <w:sz w:val="24"/>
          <w:szCs w:val="24"/>
        </w:rPr>
        <w:t>Note: See article – “</w:t>
      </w:r>
      <w:r w:rsidRPr="00BD63A2">
        <w:rPr>
          <w:rFonts w:ascii="Times New Roman" w:eastAsia="Times New Roman" w:hAnsi="Times New Roman"/>
          <w:kern w:val="36"/>
          <w:sz w:val="24"/>
          <w:szCs w:val="24"/>
        </w:rPr>
        <w:t xml:space="preserve">Supreme Court Makes It Harder </w:t>
      </w:r>
      <w:proofErr w:type="gramStart"/>
      <w:r w:rsidRPr="00BD63A2">
        <w:rPr>
          <w:rFonts w:ascii="Times New Roman" w:eastAsia="Times New Roman" w:hAnsi="Times New Roman"/>
          <w:kern w:val="36"/>
          <w:sz w:val="24"/>
          <w:szCs w:val="24"/>
        </w:rPr>
        <w:t>For</w:t>
      </w:r>
      <w:proofErr w:type="gramEnd"/>
      <w:r w:rsidRPr="00BD63A2">
        <w:rPr>
          <w:rFonts w:ascii="Times New Roman" w:eastAsia="Times New Roman" w:hAnsi="Times New Roman"/>
          <w:kern w:val="36"/>
          <w:sz w:val="24"/>
          <w:szCs w:val="24"/>
        </w:rPr>
        <w:t xml:space="preserve"> Undocumented Immigrants </w:t>
      </w:r>
      <w:proofErr w:type="gramStart"/>
      <w:r w:rsidRPr="00BD63A2">
        <w:rPr>
          <w:rFonts w:ascii="Times New Roman" w:eastAsia="Times New Roman" w:hAnsi="Times New Roman"/>
          <w:kern w:val="36"/>
          <w:sz w:val="24"/>
          <w:szCs w:val="24"/>
        </w:rPr>
        <w:t>To</w:t>
      </w:r>
      <w:proofErr w:type="gramEnd"/>
      <w:r w:rsidRPr="00BD63A2">
        <w:rPr>
          <w:rFonts w:ascii="Times New Roman" w:eastAsia="Times New Roman" w:hAnsi="Times New Roman"/>
          <w:kern w:val="36"/>
          <w:sz w:val="24"/>
          <w:szCs w:val="24"/>
        </w:rPr>
        <w:t xml:space="preserve"> Fight Deportation</w:t>
      </w:r>
      <w:r>
        <w:rPr>
          <w:rFonts w:ascii="Times New Roman" w:eastAsia="Times New Roman" w:hAnsi="Times New Roman"/>
          <w:kern w:val="36"/>
          <w:sz w:val="24"/>
          <w:szCs w:val="24"/>
        </w:rPr>
        <w:t xml:space="preserve">,” March 4, 2021: </w:t>
      </w:r>
      <w:hyperlink r:id="rId764" w:history="1">
        <w:r w:rsidRPr="00916B19">
          <w:rPr>
            <w:rStyle w:val="Hyperlink"/>
            <w:sz w:val="24"/>
            <w:szCs w:val="24"/>
          </w:rPr>
          <w:t>https://www.npr.org/2021/03/04/973658292/supreme-court-makes-it-harder-for-undocumented-immigrants-to-fight-deportation</w:t>
        </w:r>
      </w:hyperlink>
      <w:r>
        <w:rPr>
          <w:rFonts w:ascii="Times New Roman" w:eastAsia="Times New Roman" w:hAnsi="Times New Roman"/>
          <w:kern w:val="36"/>
          <w:sz w:val="24"/>
          <w:szCs w:val="24"/>
        </w:rPr>
        <w:t xml:space="preserve"> </w:t>
      </w:r>
    </w:p>
    <w:p w14:paraId="30535845" w14:textId="4F25AA40" w:rsidR="000915C1" w:rsidRDefault="000915C1" w:rsidP="00F326E5">
      <w:pPr>
        <w:pStyle w:val="NoSpacing"/>
        <w:rPr>
          <w:rFonts w:ascii="Arial Black" w:hAnsi="Arial Black"/>
          <w:sz w:val="28"/>
          <w:szCs w:val="28"/>
        </w:rPr>
      </w:pPr>
    </w:p>
    <w:p w14:paraId="73014751" w14:textId="1319E81D" w:rsidR="000915C1" w:rsidRDefault="000915C1" w:rsidP="00F326E5">
      <w:pPr>
        <w:pStyle w:val="NoSpacing"/>
        <w:rPr>
          <w:rFonts w:ascii="Arial Black" w:hAnsi="Arial Black"/>
          <w:sz w:val="28"/>
          <w:szCs w:val="28"/>
        </w:rPr>
      </w:pPr>
    </w:p>
    <w:p w14:paraId="63EA5369" w14:textId="77777777" w:rsidR="000915C1" w:rsidRDefault="000915C1" w:rsidP="00F326E5">
      <w:pPr>
        <w:pStyle w:val="NoSpacing"/>
        <w:rPr>
          <w:rFonts w:ascii="Arial Black" w:hAnsi="Arial Black"/>
          <w:sz w:val="28"/>
          <w:szCs w:val="28"/>
        </w:rPr>
      </w:pPr>
    </w:p>
    <w:p w14:paraId="0843707D" w14:textId="1E1F42D3" w:rsidR="005E132A" w:rsidRDefault="00CD5950" w:rsidP="00F326E5">
      <w:pPr>
        <w:pStyle w:val="NoSpacing"/>
        <w:rPr>
          <w:rFonts w:ascii="Arial Black" w:hAnsi="Arial Black"/>
          <w:sz w:val="28"/>
          <w:szCs w:val="28"/>
        </w:rPr>
      </w:pPr>
      <w:r>
        <w:rPr>
          <w:rFonts w:ascii="Arial Black" w:hAnsi="Arial Black"/>
          <w:sz w:val="28"/>
          <w:szCs w:val="28"/>
        </w:rPr>
        <w:t>3-30</w:t>
      </w:r>
    </w:p>
    <w:p w14:paraId="386C35F8" w14:textId="77777777" w:rsidR="00CD5950" w:rsidRDefault="00CD5950" w:rsidP="00CD595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IL: FBI 2-YEAR INVESTIGATION – USED “CONFIDENTIAL HUMAN SOURCE” – JURY CONVICTION </w:t>
      </w:r>
    </w:p>
    <w:p w14:paraId="31756B32" w14:textId="32FCE251" w:rsidR="00CD5950" w:rsidRDefault="00CD5950" w:rsidP="00CD5950">
      <w:pPr>
        <w:spacing w:before="100" w:beforeAutospacing="1" w:after="100" w:afterAutospacing="1" w:line="240" w:lineRule="auto"/>
        <w:rPr>
          <w:rFonts w:ascii="Times New Roman" w:hAnsi="Times New Roman"/>
          <w:sz w:val="24"/>
          <w:szCs w:val="24"/>
        </w:rPr>
      </w:pPr>
      <w:r w:rsidRPr="00BC6E6A">
        <w:rPr>
          <w:rFonts w:ascii="Times New Roman" w:eastAsia="Times New Roman" w:hAnsi="Times New Roman"/>
          <w:sz w:val="24"/>
          <w:szCs w:val="24"/>
        </w:rPr>
        <w:t xml:space="preserve">On Feb. 18, 2021, in </w:t>
      </w:r>
      <w:r w:rsidRPr="00D2057B">
        <w:rPr>
          <w:rFonts w:ascii="Times New Roman" w:eastAsia="Times New Roman" w:hAnsi="Times New Roman"/>
          <w:sz w:val="24"/>
          <w:szCs w:val="24"/>
          <w:u w:val="single"/>
        </w:rPr>
        <w:t>United States of America v. Joseph D. Jones and Edward Schimenti</w:t>
      </w:r>
      <w:r>
        <w:rPr>
          <w:rFonts w:ascii="Times New Roman" w:eastAsia="Times New Roman" w:hAnsi="Times New Roman"/>
          <w:sz w:val="24"/>
          <w:szCs w:val="24"/>
        </w:rPr>
        <w:t xml:space="preserve">, U.S. District Court Judge </w:t>
      </w:r>
      <w:r w:rsidRPr="00D2057B">
        <w:rPr>
          <w:rFonts w:ascii="Times New Roman" w:hAnsi="Times New Roman"/>
          <w:sz w:val="24"/>
          <w:szCs w:val="24"/>
        </w:rPr>
        <w:t>Andrea R. Wood</w:t>
      </w:r>
      <w:r>
        <w:rPr>
          <w:rFonts w:ascii="Times New Roman" w:hAnsi="Times New Roman"/>
          <w:sz w:val="24"/>
          <w:szCs w:val="24"/>
        </w:rPr>
        <w:t xml:space="preserve">, U.S. District Court for the Northern District of Illinois (Eastern Division) denied the defendants’ motion for judgment of acquittal or alternatively for a new trial.  The FBI investigation started based on internet posts by the two defendants and lasted for two years with both undercover FBI agents and a “confidential human source” tape recording their conversations with the defendants.  The FBI paid the source for expenses, and after the trial obtained FBI Headquarters permission to pay him $50,000.  </w:t>
      </w:r>
    </w:p>
    <w:p w14:paraId="009E22ED" w14:textId="77777777" w:rsidR="00CD5950" w:rsidRDefault="00CD5950" w:rsidP="00CD5950">
      <w:pPr>
        <w:pStyle w:val="NormalWeb"/>
        <w:ind w:left="1440"/>
      </w:pPr>
      <w:r>
        <w:lastRenderedPageBreak/>
        <w:t xml:space="preserve">“Muhamed [the confidential </w:t>
      </w:r>
      <w:proofErr w:type="spellStart"/>
      <w:r>
        <w:t>himan</w:t>
      </w:r>
      <w:proofErr w:type="spellEnd"/>
      <w:r>
        <w:t xml:space="preserve"> source] also testified at trial. He explained that he was born in Iraq and had worked for the United States Department of Defense in Iraq between 2004 and 2009. (Tr. 1220-22.) He moved to the United States in 2014 as a refugee. (Tr. 1221.) Muhamed testified that he first spoke to the FBI in the summer of 2016 when FBI agents came to his home to interview him about a report that he had an ISIS flag on his car. (Tr. 1223.) Subsequently, Muhamed followed up with the FBI, told an FBI supervisor that he loved to work with the government and was a law enforcement supporter, interviewed with the FBI, and began working as a confidential human source. (Tr. 1224-25.) Muhamed further testified that he never asked the FBI for anything in exchange for his cooperation, the FBI never offered him anything in exchange for his cooperation, and he did not expect to get anything for his cooperation. (Tr. 1225.) According to Muhamed, the FBI had given him some money but only for fuel, a cheap car, parking, and moving out from his old apartment after the case. (Tr. 1226.)</w:t>
      </w:r>
    </w:p>
    <w:p w14:paraId="4DAE95B2" w14:textId="77777777" w:rsidR="00CD5950" w:rsidRDefault="00CD5950" w:rsidP="00CD5950">
      <w:pPr>
        <w:pStyle w:val="NormalWeb"/>
        <w:ind w:left="1440"/>
      </w:pPr>
      <w:r>
        <w:t>***</w:t>
      </w:r>
    </w:p>
    <w:p w14:paraId="3DB19EF7" w14:textId="77777777" w:rsidR="00CD5950" w:rsidRPr="00E41266" w:rsidRDefault="00CD5950" w:rsidP="00CD5950">
      <w:pPr>
        <w:spacing w:before="100" w:beforeAutospacing="1" w:after="100" w:afterAutospacing="1" w:line="240" w:lineRule="auto"/>
        <w:ind w:left="1440"/>
        <w:rPr>
          <w:rFonts w:ascii="Times New Roman" w:eastAsia="Times New Roman" w:hAnsi="Times New Roman"/>
          <w:sz w:val="24"/>
          <w:szCs w:val="24"/>
        </w:rPr>
      </w:pPr>
      <w:r w:rsidRPr="00E41266">
        <w:rPr>
          <w:rFonts w:ascii="Times New Roman" w:eastAsia="Times New Roman" w:hAnsi="Times New Roman"/>
          <w:sz w:val="24"/>
          <w:szCs w:val="24"/>
        </w:rPr>
        <w:t xml:space="preserve">But Defendants have not identified any </w:t>
      </w:r>
      <w:proofErr w:type="gramStart"/>
      <w:r w:rsidRPr="00E41266">
        <w:rPr>
          <w:rFonts w:ascii="Times New Roman" w:eastAsia="Times New Roman" w:hAnsi="Times New Roman"/>
          <w:sz w:val="24"/>
          <w:szCs w:val="24"/>
        </w:rPr>
        <w:t>particular testimony</w:t>
      </w:r>
      <w:proofErr w:type="gramEnd"/>
      <w:r w:rsidRPr="00E41266">
        <w:rPr>
          <w:rFonts w:ascii="Times New Roman" w:eastAsia="Times New Roman" w:hAnsi="Times New Roman"/>
          <w:sz w:val="24"/>
          <w:szCs w:val="24"/>
        </w:rPr>
        <w:t xml:space="preserve"> given by Muhamed that they claim was exaggerated or outright false—other than his motives for testifying. Given that the jury did hear evidence regarding pretrial payments to Muhamed, even if some of the detail may have been omitted to inaccurate, and the speculative nature at least at the time of trial, of any post-trial request for payment to Muhamed, the Court cannot conclude that the additional information would have been material and not cumulative.</w:t>
      </w:r>
      <w:r>
        <w:t xml:space="preserve"> </w:t>
      </w:r>
      <w:hyperlink r:id="rId765" w:history="1">
        <w:r w:rsidRPr="002A3A0C">
          <w:rPr>
            <w:rStyle w:val="Hyperlink"/>
            <w:rFonts w:ascii="Times New Roman" w:eastAsia="Times New Roman" w:hAnsi="Times New Roman"/>
            <w:sz w:val="24"/>
            <w:szCs w:val="24"/>
          </w:rPr>
          <w:t>https://public.fastcase.com/Wl%2B2t%2BeVuI35%2FN70vAMFZt9ItawWnHyT6tQhkduyZ%2FXLPY%2FAAJ%2BlLBDJZfxklyiH</w:t>
        </w:r>
      </w:hyperlink>
      <w:r>
        <w:rPr>
          <w:rFonts w:ascii="Times New Roman" w:eastAsia="Times New Roman" w:hAnsi="Times New Roman"/>
          <w:sz w:val="24"/>
          <w:szCs w:val="24"/>
        </w:rPr>
        <w:t xml:space="preserve"> </w:t>
      </w:r>
    </w:p>
    <w:p w14:paraId="451BAF8D" w14:textId="77777777" w:rsidR="00CD5950" w:rsidRPr="00E73800" w:rsidRDefault="00CD5950" w:rsidP="00CD5950">
      <w:pPr>
        <w:spacing w:before="100" w:beforeAutospacing="1" w:after="100" w:afterAutospacing="1" w:line="240" w:lineRule="auto"/>
        <w:rPr>
          <w:rFonts w:ascii="Times New Roman" w:eastAsia="Times New Roman" w:hAnsi="Times New Roman"/>
          <w:b/>
          <w:bCs/>
          <w:sz w:val="24"/>
          <w:szCs w:val="24"/>
        </w:rPr>
      </w:pPr>
      <w:r w:rsidRPr="00E73800">
        <w:rPr>
          <w:rFonts w:ascii="Times New Roman" w:hAnsi="Times New Roman"/>
          <w:b/>
          <w:bCs/>
          <w:sz w:val="24"/>
          <w:szCs w:val="24"/>
        </w:rPr>
        <w:t>Legal Lesson Learned:</w:t>
      </w:r>
      <w:r>
        <w:rPr>
          <w:rFonts w:ascii="Times New Roman" w:hAnsi="Times New Roman"/>
          <w:b/>
          <w:bCs/>
          <w:sz w:val="24"/>
          <w:szCs w:val="24"/>
        </w:rPr>
        <w:t xml:space="preserve"> The Court’s decision gives great insight </w:t>
      </w:r>
      <w:proofErr w:type="gramStart"/>
      <w:r>
        <w:rPr>
          <w:rFonts w:ascii="Times New Roman" w:hAnsi="Times New Roman"/>
          <w:b/>
          <w:bCs/>
          <w:sz w:val="24"/>
          <w:szCs w:val="24"/>
        </w:rPr>
        <w:t>on</w:t>
      </w:r>
      <w:proofErr w:type="gramEnd"/>
      <w:r>
        <w:rPr>
          <w:rFonts w:ascii="Times New Roman" w:hAnsi="Times New Roman"/>
          <w:b/>
          <w:bCs/>
          <w:sz w:val="24"/>
          <w:szCs w:val="24"/>
        </w:rPr>
        <w:t xml:space="preserve"> how FBI conducted their two year </w:t>
      </w:r>
      <w:proofErr w:type="gramStart"/>
      <w:r>
        <w:rPr>
          <w:rFonts w:ascii="Times New Roman" w:hAnsi="Times New Roman"/>
          <w:b/>
          <w:bCs/>
          <w:sz w:val="24"/>
          <w:szCs w:val="24"/>
        </w:rPr>
        <w:t>investigation, and</w:t>
      </w:r>
      <w:proofErr w:type="gramEnd"/>
      <w:r>
        <w:rPr>
          <w:rFonts w:ascii="Times New Roman" w:hAnsi="Times New Roman"/>
          <w:b/>
          <w:bCs/>
          <w:sz w:val="24"/>
          <w:szCs w:val="24"/>
        </w:rPr>
        <w:t xml:space="preserve"> used a confidential human source.</w:t>
      </w:r>
    </w:p>
    <w:p w14:paraId="522A9EEB" w14:textId="77777777" w:rsidR="00CD5950" w:rsidRPr="00771E4E" w:rsidRDefault="00CD5950" w:rsidP="00CD5950">
      <w:pPr>
        <w:spacing w:before="100" w:beforeAutospacing="1" w:after="100" w:afterAutospacing="1" w:line="240" w:lineRule="auto"/>
        <w:ind w:left="720"/>
        <w:rPr>
          <w:rFonts w:ascii="Times New Roman" w:hAnsi="Times New Roman"/>
          <w:sz w:val="24"/>
          <w:szCs w:val="24"/>
        </w:rPr>
      </w:pPr>
      <w:r w:rsidRPr="00771E4E">
        <w:rPr>
          <w:rFonts w:ascii="Times New Roman" w:hAnsi="Times New Roman"/>
          <w:sz w:val="24"/>
          <w:szCs w:val="24"/>
        </w:rPr>
        <w:t xml:space="preserve">Note: See </w:t>
      </w:r>
      <w:proofErr w:type="spellStart"/>
      <w:r w:rsidRPr="00771E4E">
        <w:rPr>
          <w:rFonts w:ascii="Times New Roman" w:hAnsi="Times New Roman"/>
          <w:sz w:val="24"/>
          <w:szCs w:val="24"/>
        </w:rPr>
        <w:t>DoJ</w:t>
      </w:r>
      <w:proofErr w:type="spellEnd"/>
      <w:r w:rsidRPr="00771E4E">
        <w:rPr>
          <w:rFonts w:ascii="Times New Roman" w:hAnsi="Times New Roman"/>
          <w:sz w:val="24"/>
          <w:szCs w:val="24"/>
        </w:rPr>
        <w:t xml:space="preserve"> Press Release after jury conviction (June 21, 2019): “Two Suburban Chicago Men Convicted of Conspiring to Provide Material Support to ISIS.” </w:t>
      </w:r>
      <w:hyperlink r:id="rId766" w:history="1">
        <w:r w:rsidRPr="00771E4E">
          <w:rPr>
            <w:rStyle w:val="Hyperlink"/>
            <w:rFonts w:ascii="Times New Roman" w:hAnsi="Times New Roman"/>
            <w:sz w:val="24"/>
            <w:szCs w:val="24"/>
          </w:rPr>
          <w:t>https://www.justice.gov/opa/pr/two-suburban-chicago-men-convicted-conspiring-provide-material-support-isis</w:t>
        </w:r>
      </w:hyperlink>
      <w:r w:rsidRPr="00771E4E">
        <w:rPr>
          <w:rFonts w:ascii="Times New Roman" w:hAnsi="Times New Roman"/>
          <w:sz w:val="24"/>
          <w:szCs w:val="24"/>
        </w:rPr>
        <w:t xml:space="preserve"> </w:t>
      </w:r>
    </w:p>
    <w:p w14:paraId="3B968CFD" w14:textId="19ABA034" w:rsidR="00CD5950" w:rsidRDefault="00CD5950" w:rsidP="00F326E5">
      <w:pPr>
        <w:pStyle w:val="NoSpacing"/>
        <w:rPr>
          <w:rFonts w:ascii="Arial Black" w:hAnsi="Arial Black"/>
          <w:sz w:val="28"/>
          <w:szCs w:val="28"/>
        </w:rPr>
      </w:pPr>
    </w:p>
    <w:p w14:paraId="682D99A5" w14:textId="77777777" w:rsidR="00CD5950" w:rsidRDefault="00CD5950" w:rsidP="00F326E5">
      <w:pPr>
        <w:pStyle w:val="NoSpacing"/>
        <w:rPr>
          <w:rFonts w:ascii="Arial Black" w:hAnsi="Arial Black"/>
          <w:sz w:val="28"/>
          <w:szCs w:val="28"/>
        </w:rPr>
      </w:pPr>
    </w:p>
    <w:p w14:paraId="79A458B3" w14:textId="269C570A" w:rsidR="005E132A" w:rsidRDefault="005E132A" w:rsidP="00F326E5">
      <w:pPr>
        <w:pStyle w:val="NoSpacing"/>
        <w:rPr>
          <w:rFonts w:ascii="Arial Black" w:hAnsi="Arial Black"/>
          <w:sz w:val="28"/>
          <w:szCs w:val="28"/>
        </w:rPr>
      </w:pPr>
      <w:r>
        <w:rPr>
          <w:rFonts w:ascii="Arial Black" w:hAnsi="Arial Black"/>
          <w:sz w:val="28"/>
          <w:szCs w:val="28"/>
        </w:rPr>
        <w:t>3-29</w:t>
      </w:r>
    </w:p>
    <w:p w14:paraId="6B1DEB7C" w14:textId="77777777" w:rsidR="005E132A" w:rsidRDefault="005E132A" w:rsidP="005E13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DC: FEDERAL GRANT RECEPIENTS – SOME CHINESE TELECOMMUNICATION EQUIPMENT PROHIBITED</w:t>
      </w:r>
    </w:p>
    <w:p w14:paraId="75DFD753" w14:textId="7CF58C14" w:rsidR="005E132A" w:rsidRDefault="005E132A" w:rsidP="005E132A">
      <w:pPr>
        <w:pStyle w:val="xxxxmsonormal"/>
        <w:rPr>
          <w:rFonts w:ascii="Times New Roman" w:hAnsi="Times New Roman" w:cs="Times New Roman"/>
          <w:sz w:val="24"/>
          <w:szCs w:val="24"/>
        </w:rPr>
      </w:pPr>
      <w:r>
        <w:rPr>
          <w:rFonts w:ascii="Times New Roman" w:hAnsi="Times New Roman" w:cs="Times New Roman"/>
          <w:sz w:val="24"/>
          <w:szCs w:val="24"/>
        </w:rPr>
        <w:t xml:space="preserve">Jan. 2021 Newsletter:  On Aug. 13, 2020, the Office of Management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Budget issued its Guidance for Grants and Agreements, </w:t>
      </w:r>
      <w:proofErr w:type="gramStart"/>
      <w:r>
        <w:rPr>
          <w:rFonts w:ascii="Times New Roman" w:hAnsi="Times New Roman" w:cs="Times New Roman"/>
          <w:sz w:val="24"/>
          <w:szCs w:val="24"/>
        </w:rPr>
        <w:t>implement</w:t>
      </w:r>
      <w:proofErr w:type="gramEnd"/>
      <w:r>
        <w:rPr>
          <w:rFonts w:ascii="Times New Roman" w:hAnsi="Times New Roman" w:cs="Times New Roman"/>
          <w:sz w:val="24"/>
          <w:szCs w:val="24"/>
        </w:rPr>
        <w:t xml:space="preserve"> new Federal Acquisition Regulations (FAR). </w:t>
      </w:r>
      <w:hyperlink r:id="rId767" w:history="1">
        <w:r>
          <w:rPr>
            <w:rStyle w:val="Hyperlink"/>
          </w:rPr>
          <w:t>https://www.govinfo.gov/content/pkg/FR-2020-08-13/pdf/2020-17468.pd</w:t>
        </w:r>
      </w:hyperlink>
      <w:r>
        <w:rPr>
          <w:rFonts w:ascii="Times New Roman" w:hAnsi="Times New Roman" w:cs="Times New Roman"/>
          <w:sz w:val="24"/>
          <w:szCs w:val="24"/>
        </w:rPr>
        <w:t xml:space="preserve"> Federal grant recipients, including Fire &amp; EMS Departments, need to follow these new Federal Acquisition Regulations.   </w:t>
      </w:r>
    </w:p>
    <w:p w14:paraId="27547EEB" w14:textId="77777777" w:rsidR="005E132A" w:rsidRDefault="005E132A" w:rsidP="005E132A">
      <w:pPr>
        <w:pStyle w:val="xxxxmsonormal"/>
        <w:rPr>
          <w:rFonts w:ascii="Times New Roman" w:hAnsi="Times New Roman" w:cs="Times New Roman"/>
          <w:sz w:val="24"/>
          <w:szCs w:val="24"/>
        </w:rPr>
      </w:pPr>
      <w:r>
        <w:rPr>
          <w:rFonts w:ascii="Times New Roman" w:hAnsi="Times New Roman" w:cs="Times New Roman"/>
          <w:sz w:val="24"/>
          <w:szCs w:val="24"/>
        </w:rPr>
        <w:t xml:space="preserve">For example, a </w:t>
      </w:r>
      <w:proofErr w:type="gramStart"/>
      <w:r>
        <w:rPr>
          <w:rFonts w:ascii="Times New Roman" w:hAnsi="Times New Roman" w:cs="Times New Roman"/>
          <w:sz w:val="24"/>
          <w:szCs w:val="24"/>
        </w:rPr>
        <w:t>University</w:t>
      </w:r>
      <w:proofErr w:type="gramEnd"/>
      <w:r>
        <w:rPr>
          <w:rFonts w:ascii="Times New Roman" w:hAnsi="Times New Roman" w:cs="Times New Roman"/>
          <w:sz w:val="24"/>
          <w:szCs w:val="24"/>
        </w:rPr>
        <w:t xml:space="preserve"> recently sent out this notice:    </w:t>
      </w:r>
    </w:p>
    <w:p w14:paraId="6F95C945" w14:textId="77777777" w:rsidR="005E132A" w:rsidRDefault="005E132A" w:rsidP="005E132A">
      <w:pPr>
        <w:pStyle w:val="xxxxmsonormal"/>
        <w:ind w:firstLine="360"/>
        <w:rPr>
          <w:rFonts w:ascii="Times New Roman" w:hAnsi="Times New Roman" w:cs="Times New Roman"/>
          <w:sz w:val="24"/>
          <w:szCs w:val="24"/>
        </w:rPr>
      </w:pPr>
      <w:r>
        <w:rPr>
          <w:rFonts w:ascii="Times New Roman" w:hAnsi="Times New Roman" w:cs="Times New Roman"/>
          <w:sz w:val="24"/>
          <w:szCs w:val="24"/>
        </w:rPr>
        <w:t>Re:  Prohibited Equipment</w:t>
      </w:r>
    </w:p>
    <w:p w14:paraId="60575C58" w14:textId="77777777" w:rsidR="005E132A" w:rsidRDefault="005E132A" w:rsidP="005E132A">
      <w:pPr>
        <w:pStyle w:val="xxxxxmsonormal"/>
        <w:ind w:left="360"/>
        <w:rPr>
          <w:rFonts w:ascii="Times New Roman" w:hAnsi="Times New Roman" w:cs="Times New Roman"/>
          <w:sz w:val="24"/>
          <w:szCs w:val="24"/>
        </w:rPr>
      </w:pPr>
      <w:hyperlink r:id="rId768" w:history="1">
        <w:r w:rsidRPr="006B1421">
          <w:rPr>
            <w:rStyle w:val="Hyperlink"/>
            <w:rFonts w:ascii="Times New Roman" w:hAnsi="Times New Roman" w:cs="Times New Roman"/>
            <w:sz w:val="24"/>
            <w:szCs w:val="24"/>
          </w:rPr>
          <w:t>Federal law</w:t>
        </w:r>
      </w:hyperlink>
      <w:r w:rsidRPr="006B1421">
        <w:rPr>
          <w:rFonts w:ascii="Times New Roman" w:hAnsi="Times New Roman" w:cs="Times New Roman"/>
          <w:sz w:val="24"/>
          <w:szCs w:val="24"/>
        </w:rPr>
        <w:t xml:space="preserve"> * n</w:t>
      </w:r>
      <w:r>
        <w:rPr>
          <w:rFonts w:ascii="Times New Roman" w:hAnsi="Times New Roman" w:cs="Times New Roman"/>
          <w:sz w:val="24"/>
          <w:szCs w:val="24"/>
        </w:rPr>
        <w:t xml:space="preserve">ow prohibits [University] from purchasing, using or supporting certain telecommunications and video surveillance services or equipment as a condition of receiving federal funds.  Specifically, </w:t>
      </w:r>
      <w:r>
        <w:rPr>
          <w:rFonts w:ascii="Times New Roman" w:hAnsi="Times New Roman" w:cs="Times New Roman"/>
          <w:sz w:val="24"/>
          <w:szCs w:val="24"/>
        </w:rPr>
        <w:lastRenderedPageBreak/>
        <w:t>[University] cannot purchase or use such services or equipment from the following companies (or their associated subsidiaries and affiliates:</w:t>
      </w:r>
    </w:p>
    <w:p w14:paraId="127E749D"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Huawei Technologies Company</w:t>
      </w:r>
    </w:p>
    <w:p w14:paraId="184C59F1"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ZTE Corporation</w:t>
      </w:r>
    </w:p>
    <w:p w14:paraId="44234127"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Hytera Communications Corporation for security or public safety</w:t>
      </w:r>
    </w:p>
    <w:p w14:paraId="17873D67"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Hangzhou </w:t>
      </w:r>
      <w:proofErr w:type="spellStart"/>
      <w:r>
        <w:rPr>
          <w:rFonts w:ascii="Times New Roman" w:eastAsia="Times New Roman" w:hAnsi="Times New Roman" w:cs="Times New Roman"/>
          <w:sz w:val="24"/>
          <w:szCs w:val="24"/>
        </w:rPr>
        <w:t>Hikivision</w:t>
      </w:r>
      <w:proofErr w:type="spellEnd"/>
      <w:r>
        <w:rPr>
          <w:rFonts w:ascii="Times New Roman" w:eastAsia="Times New Roman" w:hAnsi="Times New Roman" w:cs="Times New Roman"/>
          <w:sz w:val="24"/>
          <w:szCs w:val="24"/>
        </w:rPr>
        <w:t xml:space="preserve"> Digital Technology Company for security or public safety</w:t>
      </w:r>
    </w:p>
    <w:p w14:paraId="3A4B4FCA"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Dahua Technology Company for security or public safety</w:t>
      </w:r>
    </w:p>
    <w:p w14:paraId="7640DB23" w14:textId="77777777" w:rsidR="005E132A" w:rsidRDefault="005E132A" w:rsidP="005E132A">
      <w:pPr>
        <w:pStyle w:val="xxxx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w:t>
      </w:r>
    </w:p>
    <w:p w14:paraId="3123B6FE" w14:textId="77777777" w:rsidR="005E132A" w:rsidRDefault="005E132A" w:rsidP="005E132A">
      <w:pPr>
        <w:pStyle w:val="xxxxmsonormal"/>
        <w:spacing w:before="0" w:beforeAutospacing="0" w:after="0" w:afterAutospacing="0"/>
        <w:ind w:left="360"/>
        <w:rPr>
          <w:rFonts w:ascii="Times New Roman" w:hAnsi="Times New Roman" w:cs="Times New Roman"/>
          <w:sz w:val="24"/>
          <w:szCs w:val="24"/>
        </w:rPr>
      </w:pPr>
      <w:r>
        <w:rPr>
          <w:rFonts w:ascii="Times New Roman" w:hAnsi="Times New Roman" w:cs="Times New Roman"/>
          <w:sz w:val="24"/>
          <w:szCs w:val="24"/>
        </w:rPr>
        <w:t>Further, these technologies may not be connected to [University] network.  If you have personally purchased goods or services from these vendors, you may not use them to do [university] business, regardless of your location, including internationally. You should cease use of these services or equipment immediately.</w:t>
      </w:r>
    </w:p>
    <w:p w14:paraId="422FE9B1" w14:textId="77777777" w:rsidR="005E132A" w:rsidRDefault="005E132A" w:rsidP="005E132A">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w:t>
      </w:r>
      <w:hyperlink r:id="rId769" w:history="1">
        <w:r w:rsidRPr="006B1421">
          <w:rPr>
            <w:rStyle w:val="Hyperlink"/>
            <w:rFonts w:ascii="Times New Roman" w:hAnsi="Times New Roman"/>
            <w:sz w:val="24"/>
            <w:szCs w:val="24"/>
          </w:rPr>
          <w:t>https://www.govinfo.gov/content/pkg/FR-2020-08-13/pdf/2020-17468.pdf</w:t>
        </w:r>
      </w:hyperlink>
      <w:r>
        <w:rPr>
          <w:rFonts w:ascii="Times New Roman" w:eastAsia="Times New Roman" w:hAnsi="Times New Roman"/>
          <w:b/>
          <w:bCs/>
          <w:sz w:val="24"/>
          <w:szCs w:val="24"/>
        </w:rPr>
        <w:t xml:space="preserve"> </w:t>
      </w:r>
    </w:p>
    <w:p w14:paraId="432506B7" w14:textId="77777777" w:rsidR="005E132A" w:rsidRDefault="005E132A" w:rsidP="005E132A">
      <w:pPr>
        <w:pStyle w:val="xxxxmsonormal"/>
        <w:rPr>
          <w:rFonts w:ascii="Times New Roman" w:hAnsi="Times New Roman" w:cs="Times New Roman"/>
          <w:sz w:val="24"/>
          <w:szCs w:val="24"/>
        </w:rPr>
      </w:pPr>
      <w:r>
        <w:rPr>
          <w:rFonts w:ascii="Times New Roman" w:hAnsi="Times New Roman" w:cs="Times New Roman"/>
          <w:sz w:val="24"/>
          <w:szCs w:val="24"/>
        </w:rPr>
        <w:t xml:space="preserve">On Aug. 13, 2018, Congress passed the John S. McCain National Defense Authorization Act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Fiscal 2019, </w:t>
      </w:r>
      <w:hyperlink r:id="rId770" w:history="1">
        <w:r w:rsidRPr="006B1421">
          <w:rPr>
            <w:rStyle w:val="Hyperlink"/>
            <w:rFonts w:ascii="Times New Roman" w:hAnsi="Times New Roman" w:cs="Times New Roman"/>
            <w:sz w:val="24"/>
            <w:szCs w:val="24"/>
          </w:rPr>
          <w:t>https://www.congress.gov/115/plaws/publ232/PLAW-115publ232.pdf</w:t>
        </w:r>
      </w:hyperlink>
      <w:r w:rsidRPr="006B1421">
        <w:rPr>
          <w:rFonts w:ascii="Times New Roman" w:hAnsi="Times New Roman" w:cs="Times New Roman"/>
          <w:sz w:val="24"/>
          <w:szCs w:val="24"/>
        </w:rPr>
        <w:t xml:space="preserve">.  </w:t>
      </w:r>
    </w:p>
    <w:p w14:paraId="7E7F6508" w14:textId="77777777" w:rsidR="005E132A" w:rsidRDefault="005E132A" w:rsidP="005E132A">
      <w:pPr>
        <w:pStyle w:val="xxxxmsonormal"/>
        <w:rPr>
          <w:rFonts w:ascii="Times New Roman" w:hAnsi="Times New Roman" w:cs="Times New Roman"/>
          <w:b/>
          <w:bCs/>
          <w:sz w:val="24"/>
          <w:szCs w:val="24"/>
        </w:rPr>
      </w:pPr>
      <w:r w:rsidRPr="006B1421">
        <w:rPr>
          <w:rFonts w:ascii="Times New Roman" w:hAnsi="Times New Roman" w:cs="Times New Roman"/>
          <w:sz w:val="24"/>
          <w:szCs w:val="24"/>
        </w:rPr>
        <w:t>Section 889</w:t>
      </w:r>
      <w:r>
        <w:rPr>
          <w:rFonts w:ascii="Times New Roman" w:hAnsi="Times New Roman" w:cs="Times New Roman"/>
          <w:sz w:val="24"/>
          <w:szCs w:val="24"/>
        </w:rPr>
        <w:t xml:space="preserve">: </w:t>
      </w:r>
      <w:r>
        <w:rPr>
          <w:rFonts w:ascii="Times New Roman" w:hAnsi="Times New Roman" w:cs="Times New Roman"/>
          <w:b/>
          <w:bCs/>
          <w:sz w:val="24"/>
          <w:szCs w:val="24"/>
        </w:rPr>
        <w:t xml:space="preserve">PROHIBITION ON CERTAIN TELECOMMUNICATIONS AND VIDEO SURVEILLANCE SERVICES OR EQUIPMENT.  </w:t>
      </w:r>
      <w:r>
        <w:rPr>
          <w:rFonts w:ascii="Times New Roman" w:hAnsi="Times New Roman" w:cs="Times New Roman"/>
          <w:sz w:val="24"/>
          <w:szCs w:val="24"/>
        </w:rPr>
        <w:t>The statute includes following:</w:t>
      </w:r>
    </w:p>
    <w:p w14:paraId="7853D9D7" w14:textId="77777777" w:rsidR="005E132A" w:rsidRDefault="005E132A" w:rsidP="005E132A">
      <w:pPr>
        <w:pStyle w:val="xxxxmsonormal"/>
        <w:ind w:left="720"/>
        <w:rPr>
          <w:rFonts w:ascii="Times New Roman" w:hAnsi="Times New Roman" w:cs="Times New Roman"/>
          <w:sz w:val="24"/>
          <w:szCs w:val="24"/>
        </w:rPr>
      </w:pPr>
      <w:r>
        <w:rPr>
          <w:rFonts w:ascii="Times New Roman" w:hAnsi="Times New Roman" w:cs="Times New Roman"/>
          <w:sz w:val="24"/>
          <w:szCs w:val="24"/>
        </w:rPr>
        <w:t>(b) PROHIBITION ONLOAN AND GRANT FUNDS. — (1) The head of an executive agency may not obligate or expend loan or grant funds to procure or obtain, extend or renew a contract to procure or obtain, or enter into a contract (or extend or renew a contract) to procure or obtain the equipment, services, or systems described in subsection (a).</w:t>
      </w:r>
    </w:p>
    <w:p w14:paraId="43D909B6" w14:textId="77777777" w:rsidR="005E132A" w:rsidRDefault="005E132A" w:rsidP="005E132A">
      <w:pPr>
        <w:pStyle w:val="xxxxmsonormal"/>
        <w:ind w:firstLine="720"/>
        <w:rPr>
          <w:rFonts w:ascii="Times New Roman" w:hAnsi="Times New Roman" w:cs="Times New Roman"/>
          <w:b/>
          <w:bCs/>
          <w:sz w:val="24"/>
          <w:szCs w:val="24"/>
        </w:rPr>
      </w:pPr>
      <w:r>
        <w:rPr>
          <w:rFonts w:ascii="Times New Roman" w:hAnsi="Times New Roman" w:cs="Times New Roman"/>
          <w:sz w:val="24"/>
          <w:szCs w:val="24"/>
        </w:rPr>
        <w:t xml:space="preserve">*** </w:t>
      </w:r>
    </w:p>
    <w:p w14:paraId="785667A7" w14:textId="77777777" w:rsidR="005E132A" w:rsidRDefault="005E132A" w:rsidP="005E132A">
      <w:pPr>
        <w:pStyle w:val="xxxxmsonormal"/>
        <w:ind w:firstLine="720"/>
        <w:rPr>
          <w:rFonts w:ascii="Times New Roman" w:hAnsi="Times New Roman" w:cs="Times New Roman"/>
          <w:sz w:val="24"/>
          <w:szCs w:val="24"/>
        </w:rPr>
      </w:pPr>
      <w:r>
        <w:rPr>
          <w:rFonts w:ascii="Times New Roman" w:hAnsi="Times New Roman" w:cs="Times New Roman"/>
          <w:sz w:val="24"/>
          <w:szCs w:val="24"/>
        </w:rPr>
        <w:t xml:space="preserve">(3) COVERED TELECOMMUNICATIONS EQUIPMENT OR SERVICES </w:t>
      </w:r>
    </w:p>
    <w:p w14:paraId="25D35806" w14:textId="77777777" w:rsidR="005E132A" w:rsidRDefault="005E132A" w:rsidP="005E132A">
      <w:pPr>
        <w:pStyle w:val="xxxxmsonormal"/>
        <w:ind w:left="720"/>
        <w:rPr>
          <w:rFonts w:ascii="Times New Roman" w:hAnsi="Times New Roman" w:cs="Times New Roman"/>
          <w:sz w:val="24"/>
          <w:szCs w:val="24"/>
        </w:rPr>
      </w:pPr>
      <w:r>
        <w:rPr>
          <w:rFonts w:ascii="Times New Roman" w:hAnsi="Times New Roman" w:cs="Times New Roman"/>
          <w:sz w:val="24"/>
          <w:szCs w:val="24"/>
        </w:rPr>
        <w:t>“The term ‘’covered telecommunications equipment or services’’ means any of the following: (A) Telecommunications equipment produced by Huawei Technologies Company or ZTE Corporation (or any subsidiary or affiliate of such entities). (B) 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 (C) Telecommunications or video surveillance services provided by such entities or using such equipment. (D)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37E49674" w14:textId="77777777" w:rsidR="005E132A" w:rsidRDefault="005E132A" w:rsidP="005E132A">
      <w:pPr>
        <w:pStyle w:val="xxxxmsonormal"/>
        <w:tabs>
          <w:tab w:val="left" w:pos="2800"/>
        </w:tabs>
        <w:rPr>
          <w:rFonts w:ascii="Times New Roman" w:hAnsi="Times New Roman" w:cs="Times New Roman"/>
          <w:b/>
          <w:bCs/>
          <w:sz w:val="24"/>
          <w:szCs w:val="24"/>
        </w:rPr>
      </w:pPr>
      <w:r>
        <w:rPr>
          <w:rFonts w:ascii="Times New Roman" w:hAnsi="Times New Roman" w:cs="Times New Roman"/>
          <w:b/>
          <w:bCs/>
          <w:sz w:val="24"/>
          <w:szCs w:val="24"/>
        </w:rPr>
        <w:t xml:space="preserve">Legal Lesson Learned: Fire &amp; EMS Department who receive federal grant recipients need to follow these new regulations.  </w:t>
      </w:r>
    </w:p>
    <w:p w14:paraId="576CA36D" w14:textId="77777777" w:rsidR="005E132A" w:rsidRDefault="005E132A" w:rsidP="005E132A">
      <w:pPr>
        <w:pStyle w:val="Heading1"/>
        <w:ind w:left="720"/>
      </w:pPr>
      <w:r>
        <w:rPr>
          <w:b w:val="0"/>
          <w:bCs w:val="0"/>
          <w:sz w:val="24"/>
          <w:szCs w:val="24"/>
        </w:rPr>
        <w:t xml:space="preserve">Note: See this Aug. 13, </w:t>
      </w:r>
      <w:proofErr w:type="gramStart"/>
      <w:r>
        <w:rPr>
          <w:b w:val="0"/>
          <w:bCs w:val="0"/>
          <w:sz w:val="24"/>
          <w:szCs w:val="24"/>
        </w:rPr>
        <w:t>2020</w:t>
      </w:r>
      <w:proofErr w:type="gramEnd"/>
      <w:r>
        <w:rPr>
          <w:b w:val="0"/>
          <w:bCs w:val="0"/>
          <w:sz w:val="24"/>
          <w:szCs w:val="24"/>
        </w:rPr>
        <w:t xml:space="preserve"> article, “Here’s What NDAA Section 889 Really Means for Federal Grants.” </w:t>
      </w:r>
      <w:hyperlink r:id="rId771" w:history="1">
        <w:r w:rsidRPr="00437CD5">
          <w:rPr>
            <w:rStyle w:val="Hyperlink"/>
            <w:b w:val="0"/>
            <w:bCs w:val="0"/>
            <w:sz w:val="24"/>
            <w:szCs w:val="24"/>
          </w:rPr>
          <w:t>https://www.securityindustry.org/2020/08/13/heres-what-ndaa-section-889-really-means-for-federal-grants/</w:t>
        </w:r>
      </w:hyperlink>
      <w:r w:rsidRPr="00437CD5">
        <w:rPr>
          <w:b w:val="0"/>
          <w:bCs w:val="0"/>
          <w:sz w:val="24"/>
          <w:szCs w:val="24"/>
        </w:rPr>
        <w:t xml:space="preserve"> </w:t>
      </w:r>
      <w:r>
        <w:t xml:space="preserve"> </w:t>
      </w:r>
    </w:p>
    <w:p w14:paraId="25167F49" w14:textId="77777777" w:rsidR="005E132A" w:rsidRDefault="005E132A" w:rsidP="00F326E5">
      <w:pPr>
        <w:pStyle w:val="NoSpacing"/>
        <w:rPr>
          <w:rFonts w:ascii="Arial Black" w:hAnsi="Arial Black"/>
          <w:sz w:val="28"/>
          <w:szCs w:val="28"/>
        </w:rPr>
      </w:pPr>
    </w:p>
    <w:p w14:paraId="5E5105AA" w14:textId="307E6E5D" w:rsidR="005E132A" w:rsidRDefault="005E132A" w:rsidP="00F326E5">
      <w:pPr>
        <w:pStyle w:val="NoSpacing"/>
        <w:rPr>
          <w:rFonts w:ascii="Arial Black" w:hAnsi="Arial Black"/>
          <w:sz w:val="28"/>
          <w:szCs w:val="28"/>
        </w:rPr>
      </w:pPr>
      <w:r>
        <w:rPr>
          <w:rFonts w:ascii="Arial Black" w:hAnsi="Arial Black"/>
          <w:sz w:val="28"/>
          <w:szCs w:val="28"/>
        </w:rPr>
        <w:lastRenderedPageBreak/>
        <w:t>3-28</w:t>
      </w:r>
    </w:p>
    <w:p w14:paraId="7D5CA612" w14:textId="665BFAE5" w:rsidR="005E132A" w:rsidRDefault="005E132A" w:rsidP="00F326E5">
      <w:pPr>
        <w:pStyle w:val="NoSpacing"/>
        <w:rPr>
          <w:rFonts w:ascii="Arial Black" w:hAnsi="Arial Black"/>
          <w:sz w:val="28"/>
          <w:szCs w:val="28"/>
        </w:rPr>
      </w:pPr>
    </w:p>
    <w:p w14:paraId="0D07CF05" w14:textId="77777777" w:rsidR="005E132A" w:rsidRDefault="005E132A" w:rsidP="005E132A">
      <w:pPr>
        <w:rPr>
          <w:rFonts w:ascii="Arial Black" w:hAnsi="Arial Black" w:cstheme="minorBidi"/>
          <w:sz w:val="28"/>
          <w:szCs w:val="28"/>
        </w:rPr>
      </w:pPr>
      <w:r>
        <w:rPr>
          <w:rFonts w:ascii="Arial Black" w:hAnsi="Arial Black"/>
          <w:sz w:val="28"/>
          <w:szCs w:val="28"/>
        </w:rPr>
        <w:t>FL: INDICTMENT NOT DISMISSED - 23-YR OLD AMERICAN – WEAPONS, DRONE, CASING FBI OFFICE - “I WANT TO JOIN ISIS”</w:t>
      </w:r>
    </w:p>
    <w:p w14:paraId="7F9D9E7F" w14:textId="77777777" w:rsidR="005E132A" w:rsidRDefault="005E132A" w:rsidP="005E132A">
      <w:pPr>
        <w:rPr>
          <w:rFonts w:ascii="Times New Roman" w:hAnsi="Times New Roman"/>
          <w:sz w:val="24"/>
          <w:szCs w:val="24"/>
        </w:rPr>
      </w:pPr>
      <w:r>
        <w:rPr>
          <w:rFonts w:ascii="Times New Roman" w:hAnsi="Times New Roman"/>
          <w:sz w:val="24"/>
          <w:szCs w:val="24"/>
        </w:rPr>
        <w:t xml:space="preserve">On Dec. 15, 2020, in </w:t>
      </w:r>
      <w:r>
        <w:rPr>
          <w:rFonts w:ascii="Times New Roman" w:hAnsi="Times New Roman"/>
          <w:sz w:val="24"/>
          <w:szCs w:val="24"/>
          <w:u w:val="single"/>
        </w:rPr>
        <w:t>United States of America v. Muhammed Momtaz Al-Azhari</w:t>
      </w:r>
      <w:r>
        <w:rPr>
          <w:rFonts w:ascii="Times New Roman" w:hAnsi="Times New Roman"/>
          <w:sz w:val="24"/>
          <w:szCs w:val="24"/>
        </w:rPr>
        <w:t xml:space="preserve">, U.S. District Court Judge Tom Barber, U.S. District Court, Middle District of Florida (Tampa Division), denied defense motion to dismiss the indictment.  The indictment adequately charged that he was attempting to provide support to Foreign Terrorist Organization </w:t>
      </w:r>
    </w:p>
    <w:p w14:paraId="5CD66A5E" w14:textId="77777777" w:rsidR="005E132A" w:rsidRDefault="005E132A" w:rsidP="005E13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“In his motion to dismiss the indictment, Defendant argues that Count One fails to state an offense because it does not allege that Defendant attempted to place himself under the FTO's direction and control, which he contends is an essential fact required by 18 U.S.C. § 2339B(h).</w:t>
      </w:r>
    </w:p>
    <w:p w14:paraId="28BB7848" w14:textId="77777777" w:rsidR="005E132A" w:rsidRDefault="005E132A" w:rsidP="005E13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3B023DB8" w14:textId="77777777" w:rsidR="005E132A" w:rsidRDefault="005E132A" w:rsidP="005E132A">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 xml:space="preserve">At least three district courts have considered this issue and have ruled that § 2339B(h) is a definition that is not required to be pled in the indictment. </w:t>
      </w:r>
      <w:r>
        <w:rPr>
          <w:rFonts w:ascii="Times New Roman" w:hAnsi="Times New Roman"/>
          <w:i/>
          <w:iCs/>
          <w:sz w:val="24"/>
          <w:szCs w:val="24"/>
        </w:rPr>
        <w:t>See United States v</w:t>
      </w:r>
      <w:r>
        <w:rPr>
          <w:rFonts w:ascii="Times New Roman" w:hAnsi="Times New Roman"/>
          <w:sz w:val="24"/>
          <w:szCs w:val="24"/>
        </w:rPr>
        <w:t xml:space="preserve">. </w:t>
      </w:r>
      <w:r>
        <w:rPr>
          <w:rFonts w:ascii="Times New Roman" w:hAnsi="Times New Roman"/>
          <w:i/>
          <w:iCs/>
          <w:sz w:val="24"/>
          <w:szCs w:val="24"/>
        </w:rPr>
        <w:t>Ludke</w:t>
      </w:r>
      <w:r>
        <w:rPr>
          <w:rFonts w:ascii="Times New Roman" w:hAnsi="Times New Roman"/>
          <w:sz w:val="24"/>
          <w:szCs w:val="24"/>
        </w:rPr>
        <w:t xml:space="preserve">, No. 16-CR-175, 2018 WL 2059556, at *2 (E.D. Wis. May 2, 2018); </w:t>
      </w:r>
      <w:r>
        <w:rPr>
          <w:rFonts w:ascii="Times New Roman" w:hAnsi="Times New Roman"/>
          <w:i/>
          <w:iCs/>
          <w:sz w:val="24"/>
          <w:szCs w:val="24"/>
        </w:rPr>
        <w:t>United States v</w:t>
      </w:r>
      <w:r>
        <w:rPr>
          <w:rFonts w:ascii="Times New Roman" w:hAnsi="Times New Roman"/>
          <w:sz w:val="24"/>
          <w:szCs w:val="24"/>
        </w:rPr>
        <w:t xml:space="preserve">. </w:t>
      </w:r>
      <w:r>
        <w:rPr>
          <w:rFonts w:ascii="Times New Roman" w:hAnsi="Times New Roman"/>
          <w:i/>
          <w:iCs/>
          <w:sz w:val="24"/>
          <w:szCs w:val="24"/>
        </w:rPr>
        <w:t>Shafi</w:t>
      </w:r>
      <w:r>
        <w:rPr>
          <w:rFonts w:ascii="Times New Roman" w:hAnsi="Times New Roman"/>
          <w:sz w:val="24"/>
          <w:szCs w:val="24"/>
        </w:rPr>
        <w:t xml:space="preserve">, 252 F. Supp. 3d 787, 795 (N.D. Cal. 2017); </w:t>
      </w:r>
      <w:r>
        <w:rPr>
          <w:rFonts w:ascii="Times New Roman" w:hAnsi="Times New Roman"/>
          <w:i/>
          <w:iCs/>
          <w:sz w:val="24"/>
          <w:szCs w:val="24"/>
        </w:rPr>
        <w:t>United States v</w:t>
      </w:r>
      <w:r>
        <w:rPr>
          <w:rFonts w:ascii="Times New Roman" w:hAnsi="Times New Roman"/>
          <w:sz w:val="24"/>
          <w:szCs w:val="24"/>
        </w:rPr>
        <w:t xml:space="preserve">. </w:t>
      </w:r>
      <w:r>
        <w:rPr>
          <w:rFonts w:ascii="Times New Roman" w:hAnsi="Times New Roman"/>
          <w:i/>
          <w:iCs/>
          <w:sz w:val="24"/>
          <w:szCs w:val="24"/>
        </w:rPr>
        <w:t>Pugh</w:t>
      </w:r>
      <w:r>
        <w:rPr>
          <w:rFonts w:ascii="Times New Roman" w:hAnsi="Times New Roman"/>
          <w:sz w:val="24"/>
          <w:szCs w:val="24"/>
        </w:rPr>
        <w:t xml:space="preserve">, No. 15-CR-116 (NGG), 2015 WL 9450598, at *8 (E.D.N.Y. Dec. 21, 2015). Another district court ruled that it is an affirmative defense, which does not need to be pled. </w:t>
      </w:r>
      <w:r>
        <w:rPr>
          <w:rFonts w:ascii="Times New Roman" w:hAnsi="Times New Roman"/>
          <w:i/>
          <w:iCs/>
          <w:sz w:val="24"/>
          <w:szCs w:val="24"/>
        </w:rPr>
        <w:t>See United States v</w:t>
      </w:r>
      <w:r>
        <w:rPr>
          <w:rFonts w:ascii="Times New Roman" w:hAnsi="Times New Roman"/>
          <w:sz w:val="24"/>
          <w:szCs w:val="24"/>
        </w:rPr>
        <w:t xml:space="preserve">. </w:t>
      </w:r>
      <w:r>
        <w:rPr>
          <w:rFonts w:ascii="Times New Roman" w:hAnsi="Times New Roman"/>
          <w:i/>
          <w:iCs/>
          <w:sz w:val="24"/>
          <w:szCs w:val="24"/>
        </w:rPr>
        <w:t>Ahmed</w:t>
      </w:r>
      <w:r>
        <w:rPr>
          <w:rFonts w:ascii="Times New Roman" w:hAnsi="Times New Roman"/>
          <w:sz w:val="24"/>
          <w:szCs w:val="24"/>
        </w:rPr>
        <w:t xml:space="preserve">, No. 15-49 (MJD/FLN), 2015 U.S. Dist. LEXIS 171561 (D. Minn. Sept. 1, 2015). The Court is unaware of any binding or persuasive authority that would require the Government to plead § 2339B(h) as an element of the offense. As such, the motion to dismiss is denied as to this ground.” </w:t>
      </w:r>
      <w:hyperlink r:id="rId772" w:history="1">
        <w:r>
          <w:rPr>
            <w:rStyle w:val="Hyperlink"/>
          </w:rPr>
          <w:t>https://casetext.com/case/united-states-v-al-azhari-2</w:t>
        </w:r>
      </w:hyperlink>
      <w:r>
        <w:rPr>
          <w:rFonts w:ascii="Times New Roman" w:hAnsi="Times New Roman"/>
          <w:sz w:val="24"/>
          <w:szCs w:val="24"/>
        </w:rPr>
        <w:t xml:space="preserve"> </w:t>
      </w:r>
    </w:p>
    <w:p w14:paraId="12194BBB" w14:textId="77777777" w:rsidR="005E132A" w:rsidRDefault="005E132A" w:rsidP="005E132A">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Legal Lesson Learned: Lone-wolf terrorists may be indicted for attempting to provide material support to ISIS.</w:t>
      </w:r>
    </w:p>
    <w:p w14:paraId="6F7AF124" w14:textId="77777777" w:rsidR="005E132A" w:rsidRDefault="005E132A" w:rsidP="005E13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Note: See May 27, 2020, U.S. Department of Justice Press Release on defendant’s arrest. “</w:t>
      </w:r>
      <w:r>
        <w:rPr>
          <w:rFonts w:ascii="Times New Roman" w:eastAsia="Times New Roman" w:hAnsi="Times New Roman"/>
          <w:sz w:val="24"/>
          <w:szCs w:val="24"/>
        </w:rPr>
        <w:t xml:space="preserve">Al-Azhari, who has a criminal history that includes prior terrorism charges in Saudi Arabia, attempted to purchase multiple firearms over the course of the investigation, before acquiring a Glock pistol and a silencer.  He also expressed admiration for Pulse nightclub shooter Omar Mateen and spoke of his desire to carry out a similar mass casualty shooting.  Additionally, Al-Azhari researched and scouted potential targets in the Tampa area, including Honeymoon Island.  He also rehearsed portions of an attack and the statements that he would make during or in connection with such an attack. FBI agents arrested Al-Azhari on May 24, 2020, after he took possession of weapons to be used in an attack.”  </w:t>
      </w:r>
      <w:hyperlink r:id="rId773" w:history="1">
        <w:r>
          <w:rPr>
            <w:rStyle w:val="Hyperlink"/>
          </w:rPr>
          <w:t>https://www.justice.gov/opa/pr/tampa-man-charged-attempting-provide-material-support-isis</w:t>
        </w:r>
      </w:hyperlink>
      <w:r>
        <w:rPr>
          <w:rFonts w:ascii="Times New Roman" w:hAnsi="Times New Roman"/>
          <w:sz w:val="24"/>
          <w:szCs w:val="24"/>
        </w:rPr>
        <w:t xml:space="preserve"> </w:t>
      </w:r>
    </w:p>
    <w:p w14:paraId="71B514DB" w14:textId="77777777" w:rsidR="005E132A" w:rsidRDefault="005E132A" w:rsidP="00F326E5">
      <w:pPr>
        <w:pStyle w:val="NoSpacing"/>
        <w:rPr>
          <w:rFonts w:ascii="Arial Black" w:hAnsi="Arial Black"/>
          <w:sz w:val="28"/>
          <w:szCs w:val="28"/>
        </w:rPr>
      </w:pPr>
    </w:p>
    <w:p w14:paraId="457E476A" w14:textId="77777777" w:rsidR="005E132A" w:rsidRDefault="005E132A" w:rsidP="00F326E5">
      <w:pPr>
        <w:pStyle w:val="NoSpacing"/>
        <w:rPr>
          <w:rFonts w:ascii="Arial Black" w:hAnsi="Arial Black"/>
          <w:sz w:val="28"/>
          <w:szCs w:val="28"/>
        </w:rPr>
      </w:pPr>
    </w:p>
    <w:p w14:paraId="331C7FF5" w14:textId="65533DFF" w:rsidR="00A06387" w:rsidRDefault="007D178F" w:rsidP="00F326E5">
      <w:pPr>
        <w:pStyle w:val="NoSpacing"/>
        <w:rPr>
          <w:rFonts w:ascii="Arial Black" w:hAnsi="Arial Black"/>
          <w:sz w:val="28"/>
          <w:szCs w:val="28"/>
        </w:rPr>
      </w:pPr>
      <w:r>
        <w:rPr>
          <w:rFonts w:ascii="Arial Black" w:hAnsi="Arial Black"/>
          <w:sz w:val="28"/>
          <w:szCs w:val="28"/>
        </w:rPr>
        <w:t>3-27</w:t>
      </w:r>
    </w:p>
    <w:p w14:paraId="020CEDF7" w14:textId="77777777" w:rsidR="007D178F" w:rsidRPr="00D82E7C" w:rsidRDefault="007D178F" w:rsidP="007D178F">
      <w:pPr>
        <w:pStyle w:val="NoSpacing"/>
        <w:rPr>
          <w:rFonts w:ascii="Arial Black" w:hAnsi="Arial Black"/>
          <w:sz w:val="28"/>
          <w:szCs w:val="28"/>
        </w:rPr>
      </w:pPr>
      <w:r>
        <w:rPr>
          <w:rFonts w:ascii="Arial Black" w:hAnsi="Arial Black"/>
          <w:sz w:val="28"/>
          <w:szCs w:val="28"/>
        </w:rPr>
        <w:t xml:space="preserve">IL:  EXTRADICTION - U.S. CITIZEN TO BE RETURNED TO IRELAND – LEFT IRISH BAR, CRASHED LEXUS KILLED TWO </w:t>
      </w:r>
    </w:p>
    <w:p w14:paraId="4511D633" w14:textId="77777777" w:rsidR="007D178F" w:rsidRDefault="007D178F" w:rsidP="007D178F">
      <w:pPr>
        <w:pStyle w:val="NoSpacing"/>
        <w:rPr>
          <w:rFonts w:ascii="Times New Roman" w:hAnsi="Times New Roman"/>
          <w:sz w:val="24"/>
          <w:szCs w:val="24"/>
        </w:rPr>
      </w:pPr>
    </w:p>
    <w:p w14:paraId="58534895" w14:textId="77777777" w:rsidR="007D178F" w:rsidRDefault="007D178F" w:rsidP="007D178F">
      <w:pPr>
        <w:pStyle w:val="NoSpacing"/>
        <w:rPr>
          <w:rFonts w:ascii="Times New Roman" w:hAnsi="Times New Roman"/>
          <w:sz w:val="24"/>
          <w:szCs w:val="24"/>
        </w:rPr>
      </w:pPr>
      <w:r>
        <w:rPr>
          <w:rFonts w:ascii="Times New Roman" w:hAnsi="Times New Roman"/>
          <w:sz w:val="24"/>
          <w:szCs w:val="24"/>
        </w:rPr>
        <w:t>On Nov. 3, 2020</w:t>
      </w:r>
      <w:r w:rsidRPr="00566D06">
        <w:rPr>
          <w:rFonts w:ascii="Times New Roman" w:hAnsi="Times New Roman"/>
          <w:sz w:val="24"/>
          <w:szCs w:val="24"/>
          <w:u w:val="single"/>
        </w:rPr>
        <w:t>,</w:t>
      </w:r>
      <w:r w:rsidRPr="003B0090">
        <w:rPr>
          <w:rFonts w:ascii="Times New Roman" w:hAnsi="Times New Roman"/>
          <w:sz w:val="24"/>
          <w:szCs w:val="24"/>
        </w:rPr>
        <w:t xml:space="preserve"> </w:t>
      </w:r>
      <w:r w:rsidRPr="00566D06">
        <w:rPr>
          <w:rFonts w:ascii="Times New Roman" w:hAnsi="Times New Roman"/>
          <w:sz w:val="24"/>
          <w:szCs w:val="24"/>
          <w:u w:val="single"/>
        </w:rPr>
        <w:t xml:space="preserve">In </w:t>
      </w:r>
      <w:proofErr w:type="gramStart"/>
      <w:r w:rsidRPr="00566D06">
        <w:rPr>
          <w:rFonts w:ascii="Times New Roman" w:hAnsi="Times New Roman"/>
          <w:sz w:val="24"/>
          <w:szCs w:val="24"/>
          <w:u w:val="single"/>
        </w:rPr>
        <w:t>The</w:t>
      </w:r>
      <w:proofErr w:type="gramEnd"/>
      <w:r w:rsidRPr="00566D06">
        <w:rPr>
          <w:rFonts w:ascii="Times New Roman" w:hAnsi="Times New Roman"/>
          <w:sz w:val="24"/>
          <w:szCs w:val="24"/>
          <w:u w:val="single"/>
        </w:rPr>
        <w:t xml:space="preserve"> Matter </w:t>
      </w:r>
      <w:proofErr w:type="gramStart"/>
      <w:r w:rsidRPr="00566D06">
        <w:rPr>
          <w:rFonts w:ascii="Times New Roman" w:hAnsi="Times New Roman"/>
          <w:sz w:val="24"/>
          <w:szCs w:val="24"/>
          <w:u w:val="single"/>
        </w:rPr>
        <w:t>Of</w:t>
      </w:r>
      <w:proofErr w:type="gramEnd"/>
      <w:r w:rsidRPr="00566D06">
        <w:rPr>
          <w:rFonts w:ascii="Times New Roman" w:hAnsi="Times New Roman"/>
          <w:sz w:val="24"/>
          <w:szCs w:val="24"/>
          <w:u w:val="single"/>
        </w:rPr>
        <w:t xml:space="preserve"> </w:t>
      </w:r>
      <w:proofErr w:type="gramStart"/>
      <w:r w:rsidRPr="00566D06">
        <w:rPr>
          <w:rFonts w:ascii="Times New Roman" w:hAnsi="Times New Roman"/>
          <w:sz w:val="24"/>
          <w:szCs w:val="24"/>
          <w:u w:val="single"/>
        </w:rPr>
        <w:t>The</w:t>
      </w:r>
      <w:proofErr w:type="gramEnd"/>
      <w:r w:rsidRPr="00566D06">
        <w:rPr>
          <w:rFonts w:ascii="Times New Roman" w:hAnsi="Times New Roman"/>
          <w:sz w:val="24"/>
          <w:szCs w:val="24"/>
          <w:u w:val="single"/>
        </w:rPr>
        <w:t xml:space="preserve"> Extradition </w:t>
      </w:r>
      <w:proofErr w:type="gramStart"/>
      <w:r w:rsidRPr="00566D06">
        <w:rPr>
          <w:rFonts w:ascii="Times New Roman" w:hAnsi="Times New Roman"/>
          <w:sz w:val="24"/>
          <w:szCs w:val="24"/>
          <w:u w:val="single"/>
        </w:rPr>
        <w:t>Of</w:t>
      </w:r>
      <w:proofErr w:type="gramEnd"/>
      <w:r w:rsidRPr="00566D06">
        <w:rPr>
          <w:rFonts w:ascii="Times New Roman" w:hAnsi="Times New Roman"/>
          <w:sz w:val="24"/>
          <w:szCs w:val="24"/>
          <w:u w:val="single"/>
        </w:rPr>
        <w:t xml:space="preserve"> Francis Carr</w:t>
      </w:r>
      <w:r>
        <w:rPr>
          <w:rFonts w:ascii="Times New Roman" w:hAnsi="Times New Roman"/>
          <w:sz w:val="24"/>
          <w:szCs w:val="24"/>
        </w:rPr>
        <w:t xml:space="preserve">, U.S. Magistrate Judge Beth W. Zantz, orders that Mr. Carr, who is held without bail in Chicago jail, may be extradited back to Ireland to face felony </w:t>
      </w:r>
      <w:r>
        <w:rPr>
          <w:rFonts w:ascii="Times New Roman" w:hAnsi="Times New Roman"/>
          <w:sz w:val="24"/>
          <w:szCs w:val="24"/>
        </w:rPr>
        <w:lastRenderedPageBreak/>
        <w:t xml:space="preserve">charges.   The 1984 treaty between US and Ireland allows for extradition if the conduct is a felony [punishable more than one year] in both countries, even if in U.S. there must be proof of “gross negligence” for involuntary manslaughter or reckless homicide and in Ireland just ordinary negligence. </w:t>
      </w:r>
    </w:p>
    <w:p w14:paraId="0E1455BF"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br/>
        <w:t>“</w:t>
      </w:r>
      <w:r w:rsidRPr="00566D06">
        <w:rPr>
          <w:rFonts w:ascii="Times New Roman" w:hAnsi="Times New Roman"/>
          <w:sz w:val="24"/>
          <w:szCs w:val="24"/>
        </w:rPr>
        <w:t xml:space="preserve">For </w:t>
      </w:r>
      <w:proofErr w:type="gramStart"/>
      <w:r w:rsidRPr="00566D06">
        <w:rPr>
          <w:rFonts w:ascii="Times New Roman" w:hAnsi="Times New Roman"/>
          <w:sz w:val="24"/>
          <w:szCs w:val="24"/>
        </w:rPr>
        <w:t>all of</w:t>
      </w:r>
      <w:proofErr w:type="gramEnd"/>
      <w:r w:rsidRPr="00566D06">
        <w:rPr>
          <w:rFonts w:ascii="Times New Roman" w:hAnsi="Times New Roman"/>
          <w:sz w:val="24"/>
          <w:szCs w:val="24"/>
        </w:rPr>
        <w:t xml:space="preserve"> the reasons above, the Court therefore determines that the United States-Ireland treaty requires only dual criminality for an offense to be extraditable, meaning that just the </w:t>
      </w:r>
      <w:r w:rsidRPr="00566D06">
        <w:rPr>
          <w:rFonts w:ascii="Times New Roman" w:hAnsi="Times New Roman"/>
          <w:b/>
          <w:bCs/>
          <w:i/>
          <w:iCs/>
          <w:sz w:val="24"/>
          <w:szCs w:val="24"/>
        </w:rPr>
        <w:t>charged conduct</w:t>
      </w:r>
      <w:r w:rsidRPr="00566D06">
        <w:rPr>
          <w:rFonts w:ascii="Times New Roman" w:hAnsi="Times New Roman"/>
          <w:sz w:val="24"/>
          <w:szCs w:val="24"/>
        </w:rPr>
        <w:t xml:space="preserve"> must be criminal and punishable by a year or more in prison in both jurisdictions.</w:t>
      </w:r>
    </w:p>
    <w:p w14:paraId="3D2A3D27" w14:textId="77777777" w:rsidR="007D178F" w:rsidRPr="00566D06" w:rsidRDefault="007D178F" w:rsidP="007D178F">
      <w:pPr>
        <w:pStyle w:val="NoSpacing"/>
        <w:ind w:left="720"/>
        <w:rPr>
          <w:rFonts w:ascii="Times New Roman" w:hAnsi="Times New Roman"/>
          <w:sz w:val="24"/>
          <w:szCs w:val="24"/>
        </w:rPr>
      </w:pPr>
    </w:p>
    <w:p w14:paraId="1878E6EC" w14:textId="77777777" w:rsidR="007D178F" w:rsidRDefault="007D178F" w:rsidP="007D178F">
      <w:pPr>
        <w:pStyle w:val="NoSpacing"/>
        <w:ind w:left="720"/>
        <w:rPr>
          <w:rFonts w:ascii="Times New Roman" w:hAnsi="Times New Roman"/>
          <w:sz w:val="24"/>
          <w:szCs w:val="24"/>
        </w:rPr>
      </w:pPr>
      <w:r w:rsidRPr="00566D06">
        <w:rPr>
          <w:rFonts w:ascii="Times New Roman" w:hAnsi="Times New Roman"/>
          <w:sz w:val="24"/>
          <w:szCs w:val="24"/>
        </w:rPr>
        <w:t>Here, that requirement is met, as Carr concedes</w:t>
      </w:r>
      <w:r>
        <w:rPr>
          <w:rFonts w:ascii="Times New Roman" w:hAnsi="Times New Roman"/>
          <w:sz w:val="24"/>
          <w:szCs w:val="24"/>
        </w:rPr>
        <w:t xml:space="preserve"> ….</w:t>
      </w:r>
      <w:r w:rsidRPr="00566D06">
        <w:rPr>
          <w:rFonts w:ascii="Times New Roman" w:hAnsi="Times New Roman"/>
          <w:sz w:val="24"/>
          <w:szCs w:val="24"/>
        </w:rPr>
        <w:t xml:space="preserve"> Carr allegedly drove in such a grossly negligent manner—at a high rate of speed and doing donuts—that he caused a crash and the deaths of his two passengers</w:t>
      </w:r>
      <w:r>
        <w:rPr>
          <w:rFonts w:ascii="Times New Roman" w:hAnsi="Times New Roman"/>
          <w:sz w:val="24"/>
          <w:szCs w:val="24"/>
        </w:rPr>
        <w:t>….</w:t>
      </w:r>
      <w:r w:rsidRPr="00566D06">
        <w:rPr>
          <w:rFonts w:ascii="Times New Roman" w:hAnsi="Times New Roman"/>
          <w:sz w:val="24"/>
          <w:szCs w:val="24"/>
        </w:rPr>
        <w:t xml:space="preserve"> In Ireland, the offense of dangerous driving causing death of two victims is punishable by up to 10 years in prison</w:t>
      </w:r>
      <w:r>
        <w:rPr>
          <w:rFonts w:ascii="Times New Roman" w:hAnsi="Times New Roman"/>
          <w:sz w:val="24"/>
          <w:szCs w:val="24"/>
        </w:rPr>
        <w:t>….</w:t>
      </w:r>
      <w:r w:rsidRPr="00566D06">
        <w:rPr>
          <w:rFonts w:ascii="Times New Roman" w:hAnsi="Times New Roman"/>
          <w:sz w:val="24"/>
          <w:szCs w:val="24"/>
        </w:rPr>
        <w:t xml:space="preserve"> And in the United States, Carr's conduct could be charged as a felony under United States federal or Illinois state law, as involuntary manslaughter under 18 U.S.C. §1112 (maximum penalty of </w:t>
      </w:r>
    </w:p>
    <w:p w14:paraId="713FB8D5" w14:textId="77777777" w:rsidR="007D178F" w:rsidRDefault="007D178F" w:rsidP="007D178F">
      <w:pPr>
        <w:pStyle w:val="NoSpacing"/>
        <w:ind w:left="720"/>
        <w:rPr>
          <w:rFonts w:ascii="Times New Roman" w:hAnsi="Times New Roman"/>
          <w:sz w:val="24"/>
          <w:szCs w:val="24"/>
        </w:rPr>
      </w:pPr>
      <w:r w:rsidRPr="00566D06">
        <w:rPr>
          <w:rFonts w:ascii="Times New Roman" w:hAnsi="Times New Roman"/>
          <w:sz w:val="24"/>
          <w:szCs w:val="24"/>
        </w:rPr>
        <w:t>8 years in prison), or as reckless homicide while driving a motor vehicle, 720 ILCS 5/9-3(a); 730 ILCS 5/5-4.5-40(a) (maximum penalty of 5 years in prison), respectively.</w:t>
      </w:r>
      <w:r>
        <w:rPr>
          <w:rFonts w:ascii="Times New Roman" w:hAnsi="Times New Roman"/>
          <w:sz w:val="24"/>
          <w:szCs w:val="24"/>
        </w:rPr>
        <w:t>”</w:t>
      </w:r>
    </w:p>
    <w:p w14:paraId="34A2C010" w14:textId="77777777" w:rsidR="007D178F" w:rsidRPr="00566D06" w:rsidRDefault="007D178F" w:rsidP="007D178F">
      <w:pPr>
        <w:pStyle w:val="NoSpacing"/>
        <w:ind w:firstLine="720"/>
        <w:rPr>
          <w:rFonts w:ascii="Times New Roman" w:hAnsi="Times New Roman"/>
          <w:sz w:val="24"/>
          <w:szCs w:val="24"/>
        </w:rPr>
      </w:pPr>
      <w:hyperlink r:id="rId774" w:history="1">
        <w:r w:rsidRPr="00BA14DC">
          <w:rPr>
            <w:rStyle w:val="Hyperlink"/>
            <w:rFonts w:ascii="Times New Roman" w:hAnsi="Times New Roman"/>
            <w:sz w:val="24"/>
            <w:szCs w:val="24"/>
          </w:rPr>
          <w:t>https://www.casemine.com/judgement/us/5fa3a7514653d0732d5bedb1</w:t>
        </w:r>
      </w:hyperlink>
      <w:r>
        <w:rPr>
          <w:rFonts w:ascii="Times New Roman" w:hAnsi="Times New Roman"/>
          <w:sz w:val="24"/>
          <w:szCs w:val="24"/>
        </w:rPr>
        <w:t xml:space="preserve"> </w:t>
      </w:r>
    </w:p>
    <w:p w14:paraId="62AEE2E1" w14:textId="77777777" w:rsidR="007D178F" w:rsidRDefault="007D178F" w:rsidP="007D178F">
      <w:pPr>
        <w:pStyle w:val="NoSpacing"/>
      </w:pPr>
    </w:p>
    <w:p w14:paraId="2274161C" w14:textId="77777777" w:rsidR="007D178F" w:rsidRPr="003B0090" w:rsidRDefault="007D178F" w:rsidP="007D178F">
      <w:pPr>
        <w:spacing w:before="100" w:beforeAutospacing="1" w:after="100" w:afterAutospacing="1" w:line="240" w:lineRule="auto"/>
        <w:rPr>
          <w:rFonts w:ascii="Times New Roman" w:eastAsia="Times New Roman" w:hAnsi="Times New Roman"/>
          <w:b/>
          <w:bCs/>
          <w:sz w:val="24"/>
          <w:szCs w:val="24"/>
        </w:rPr>
      </w:pPr>
      <w:r w:rsidRPr="003B009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Treaties are to be interpreted liberally; defendant remains in jail until extradited back to Ireland. </w:t>
      </w:r>
    </w:p>
    <w:p w14:paraId="56A7E51A" w14:textId="77777777" w:rsidR="007D178F" w:rsidRDefault="007D178F" w:rsidP="00F326E5">
      <w:pPr>
        <w:pStyle w:val="NoSpacing"/>
        <w:rPr>
          <w:rFonts w:ascii="Arial Black" w:hAnsi="Arial Black"/>
          <w:sz w:val="28"/>
          <w:szCs w:val="28"/>
        </w:rPr>
      </w:pPr>
    </w:p>
    <w:p w14:paraId="0024B941" w14:textId="77777777" w:rsidR="007D178F" w:rsidRDefault="007D178F" w:rsidP="00F326E5">
      <w:pPr>
        <w:pStyle w:val="NoSpacing"/>
        <w:rPr>
          <w:rFonts w:ascii="Arial Black" w:hAnsi="Arial Black"/>
          <w:sz w:val="28"/>
          <w:szCs w:val="28"/>
        </w:rPr>
      </w:pPr>
    </w:p>
    <w:p w14:paraId="0881455C" w14:textId="77777777" w:rsidR="007D178F" w:rsidRDefault="007D178F" w:rsidP="00F326E5">
      <w:pPr>
        <w:pStyle w:val="NoSpacing"/>
        <w:rPr>
          <w:rFonts w:ascii="Arial Black" w:hAnsi="Arial Black"/>
          <w:sz w:val="28"/>
          <w:szCs w:val="28"/>
        </w:rPr>
      </w:pPr>
    </w:p>
    <w:p w14:paraId="79B50D16" w14:textId="77777777" w:rsidR="007D178F" w:rsidRDefault="007D178F" w:rsidP="00F326E5">
      <w:pPr>
        <w:pStyle w:val="NoSpacing"/>
        <w:rPr>
          <w:rFonts w:ascii="Arial Black" w:hAnsi="Arial Black"/>
          <w:sz w:val="28"/>
          <w:szCs w:val="28"/>
        </w:rPr>
      </w:pPr>
    </w:p>
    <w:p w14:paraId="269799DA" w14:textId="624E879A" w:rsidR="00F824FE" w:rsidRDefault="00F824FE" w:rsidP="00F326E5">
      <w:pPr>
        <w:pStyle w:val="NoSpacing"/>
        <w:rPr>
          <w:rFonts w:ascii="Arial Black" w:hAnsi="Arial Black"/>
          <w:sz w:val="28"/>
          <w:szCs w:val="28"/>
        </w:rPr>
      </w:pPr>
      <w:r>
        <w:rPr>
          <w:rFonts w:ascii="Arial Black" w:hAnsi="Arial Black"/>
          <w:sz w:val="28"/>
          <w:szCs w:val="28"/>
        </w:rPr>
        <w:t>3-26</w:t>
      </w:r>
    </w:p>
    <w:p w14:paraId="1B5094F9" w14:textId="7D6FE78D" w:rsidR="00F824FE" w:rsidRDefault="00F824FE" w:rsidP="00F326E5">
      <w:pPr>
        <w:pStyle w:val="NoSpacing"/>
        <w:rPr>
          <w:rFonts w:ascii="Arial Black" w:hAnsi="Arial Black"/>
          <w:sz w:val="28"/>
          <w:szCs w:val="28"/>
        </w:rPr>
      </w:pPr>
    </w:p>
    <w:p w14:paraId="77978862" w14:textId="77777777" w:rsidR="00F824FE" w:rsidRPr="00207F8D" w:rsidRDefault="00F824FE" w:rsidP="00F824FE">
      <w:pPr>
        <w:pStyle w:val="Heading1"/>
        <w:rPr>
          <w:rFonts w:ascii="Arial Black" w:hAnsi="Arial Black"/>
          <w:sz w:val="28"/>
          <w:szCs w:val="28"/>
        </w:rPr>
      </w:pPr>
      <w:r>
        <w:rPr>
          <w:rFonts w:ascii="Arial Black" w:hAnsi="Arial Black"/>
          <w:sz w:val="28"/>
          <w:szCs w:val="28"/>
        </w:rPr>
        <w:t>NY:  911 CLEAN UP - 124 WORKERS CLEANUP AT STUYVESANT HIGH – LAWSUIT PROPERLY DISMISSED, ACCEPTED PRIOR SETTLEMENT</w:t>
      </w:r>
    </w:p>
    <w:p w14:paraId="0B5810D7" w14:textId="77777777" w:rsidR="00F824FE" w:rsidRPr="004D26C3" w:rsidRDefault="00F824FE" w:rsidP="00F824FE">
      <w:pPr>
        <w:rPr>
          <w:rFonts w:ascii="Times New Roman" w:hAnsi="Times New Roman"/>
          <w:sz w:val="24"/>
          <w:szCs w:val="24"/>
        </w:rPr>
      </w:pPr>
      <w:r w:rsidRPr="00E15C67">
        <w:rPr>
          <w:rFonts w:ascii="Times New Roman" w:hAnsi="Times New Roman"/>
          <w:sz w:val="24"/>
          <w:szCs w:val="24"/>
        </w:rPr>
        <w:t xml:space="preserve">On Sept. 28, 2020, in </w:t>
      </w:r>
      <w:r w:rsidRPr="00E15C67">
        <w:rPr>
          <w:rFonts w:ascii="Times New Roman" w:hAnsi="Times New Roman"/>
          <w:sz w:val="24"/>
          <w:szCs w:val="24"/>
          <w:u w:val="single"/>
        </w:rPr>
        <w:t>In</w:t>
      </w:r>
      <w:r w:rsidRPr="004D26C3">
        <w:rPr>
          <w:rFonts w:ascii="Times New Roman" w:hAnsi="Times New Roman"/>
          <w:sz w:val="24"/>
          <w:szCs w:val="24"/>
          <w:u w:val="single"/>
        </w:rPr>
        <w:t xml:space="preserve"> re: World Trade Center Lower Manhattan Disaster Site Litigation</w:t>
      </w:r>
      <w:r w:rsidRPr="004D26C3">
        <w:rPr>
          <w:rFonts w:ascii="Times New Roman" w:hAnsi="Times New Roman"/>
          <w:sz w:val="24"/>
          <w:szCs w:val="24"/>
        </w:rPr>
        <w:t xml:space="preserve">, the U.S. Court of Appeals for Second District (New York City) held in a Summary Order (3 to 0) that U.S. District Court Judge Alvin K. Hellerstein properly dismissed their lawsuit in 2019 since it was moot; they are covered by settlement agreements with the City of New York and the WTC Captive by entering into the 2010 Final Settlement Agreement ("FSA").  Judge Hellerstein on Aug. 30, </w:t>
      </w:r>
      <w:proofErr w:type="gramStart"/>
      <w:r w:rsidRPr="004D26C3">
        <w:rPr>
          <w:rFonts w:ascii="Times New Roman" w:hAnsi="Times New Roman"/>
          <w:sz w:val="24"/>
          <w:szCs w:val="24"/>
        </w:rPr>
        <w:t>2019</w:t>
      </w:r>
      <w:proofErr w:type="gramEnd"/>
      <w:r w:rsidRPr="004D26C3">
        <w:rPr>
          <w:rFonts w:ascii="Times New Roman" w:hAnsi="Times New Roman"/>
          <w:sz w:val="24"/>
          <w:szCs w:val="24"/>
        </w:rPr>
        <w:t xml:space="preserve"> held that “All of the present plaintiffs, among a group of plaintiffs that at one time numbered around 11,000, had settled previously with the WTC Captive and its insureds, including the City of New York.” </w:t>
      </w:r>
      <w:hyperlink r:id="rId775" w:history="1">
        <w:r w:rsidRPr="004D26C3">
          <w:rPr>
            <w:rStyle w:val="Hyperlink"/>
            <w:rFonts w:ascii="Times New Roman" w:hAnsi="Times New Roman"/>
            <w:sz w:val="24"/>
            <w:szCs w:val="24"/>
          </w:rPr>
          <w:t>https://casetext.com/case/in-re-world-trade-ctr-lower-manhattan-disaster-site-litig-8</w:t>
        </w:r>
      </w:hyperlink>
      <w:r w:rsidRPr="004D26C3">
        <w:rPr>
          <w:rFonts w:ascii="Times New Roman" w:hAnsi="Times New Roman"/>
          <w:sz w:val="24"/>
          <w:szCs w:val="24"/>
        </w:rPr>
        <w:t xml:space="preserve"> </w:t>
      </w:r>
    </w:p>
    <w:p w14:paraId="4C8AB7AF" w14:textId="77777777" w:rsidR="00F824FE" w:rsidRPr="00482AE8" w:rsidRDefault="00F824FE" w:rsidP="00F824FE">
      <w:pPr>
        <w:pStyle w:val="Heading1"/>
        <w:ind w:left="720"/>
        <w:rPr>
          <w:b w:val="0"/>
          <w:bCs w:val="0"/>
          <w:sz w:val="24"/>
          <w:szCs w:val="24"/>
        </w:rPr>
      </w:pPr>
      <w:r>
        <w:rPr>
          <w:b w:val="0"/>
          <w:bCs w:val="0"/>
          <w:sz w:val="24"/>
          <w:szCs w:val="24"/>
        </w:rPr>
        <w:t>“</w:t>
      </w:r>
      <w:r w:rsidRPr="00482AE8">
        <w:rPr>
          <w:b w:val="0"/>
          <w:bCs w:val="0"/>
          <w:sz w:val="24"/>
          <w:szCs w:val="24"/>
        </w:rPr>
        <w:t xml:space="preserve">Here, the district court properly held that Appellants’ 2010 settlement agreement with the WTC Captive and its insureds (the World Trade Center Litigation Final Settlement Agreement, or </w:t>
      </w:r>
      <w:r>
        <w:rPr>
          <w:b w:val="0"/>
          <w:bCs w:val="0"/>
          <w:sz w:val="24"/>
          <w:szCs w:val="24"/>
        </w:rPr>
        <w:t>‘</w:t>
      </w:r>
      <w:r w:rsidRPr="00482AE8">
        <w:rPr>
          <w:b w:val="0"/>
          <w:bCs w:val="0"/>
          <w:sz w:val="24"/>
          <w:szCs w:val="24"/>
        </w:rPr>
        <w:t>FSA</w:t>
      </w:r>
      <w:r>
        <w:rPr>
          <w:b w:val="0"/>
          <w:bCs w:val="0"/>
          <w:sz w:val="24"/>
          <w:szCs w:val="24"/>
        </w:rPr>
        <w:t>’</w:t>
      </w:r>
      <w:r w:rsidRPr="00482AE8">
        <w:rPr>
          <w:b w:val="0"/>
          <w:bCs w:val="0"/>
          <w:sz w:val="24"/>
          <w:szCs w:val="24"/>
        </w:rPr>
        <w:t>) reduced their potential recovery in these proceedings to zero, and that, accordingly, their claims are moot.</w:t>
      </w:r>
      <w:r>
        <w:rPr>
          <w:b w:val="0"/>
          <w:bCs w:val="0"/>
          <w:sz w:val="24"/>
          <w:szCs w:val="24"/>
        </w:rPr>
        <w:t xml:space="preserve">” </w:t>
      </w:r>
      <w:hyperlink r:id="rId776" w:anchor="xml=https://www.ca2.uscourts.gov/decisions/isysquery/d1288cae-9c73-4842-93cb-329cdd38edc3/3/hilite/" w:history="1">
        <w:r w:rsidRPr="009A4D3D">
          <w:rPr>
            <w:rStyle w:val="Hyperlink"/>
            <w:b w:val="0"/>
            <w:bCs w:val="0"/>
            <w:sz w:val="24"/>
            <w:szCs w:val="24"/>
          </w:rPr>
          <w:t>https://www.ca2.uscourts.gov/decisions/isysquery/d1288cae-9c73-4842-93cb-329cdd38edc3/3/doc/19-</w:t>
        </w:r>
        <w:r w:rsidRPr="009A4D3D">
          <w:rPr>
            <w:rStyle w:val="Hyperlink"/>
            <w:b w:val="0"/>
            <w:bCs w:val="0"/>
            <w:sz w:val="24"/>
            <w:szCs w:val="24"/>
          </w:rPr>
          <w:lastRenderedPageBreak/>
          <w:t>2934_so.pdf#xml=https://www.ca2.uscourts.gov/decisions/isysquery/d1288cae-9c73-4842-93cb-329cdd38edc3/3/hilite/</w:t>
        </w:r>
      </w:hyperlink>
      <w:r>
        <w:rPr>
          <w:b w:val="0"/>
          <w:bCs w:val="0"/>
          <w:sz w:val="24"/>
          <w:szCs w:val="24"/>
        </w:rPr>
        <w:t xml:space="preserve"> </w:t>
      </w:r>
    </w:p>
    <w:p w14:paraId="3336A63A" w14:textId="77777777" w:rsidR="00F824FE" w:rsidRDefault="00F824FE" w:rsidP="00F824FE">
      <w:pPr>
        <w:pStyle w:val="Heading1"/>
        <w:rPr>
          <w:sz w:val="24"/>
          <w:szCs w:val="24"/>
        </w:rPr>
      </w:pPr>
      <w:r w:rsidRPr="007042F0">
        <w:rPr>
          <w:sz w:val="24"/>
          <w:szCs w:val="24"/>
        </w:rPr>
        <w:t>Legal Lessons Learned:</w:t>
      </w:r>
      <w:r>
        <w:rPr>
          <w:sz w:val="24"/>
          <w:szCs w:val="24"/>
        </w:rPr>
        <w:t xml:space="preserve"> When you </w:t>
      </w:r>
      <w:proofErr w:type="gramStart"/>
      <w:r>
        <w:rPr>
          <w:sz w:val="24"/>
          <w:szCs w:val="24"/>
        </w:rPr>
        <w:t>enter into</w:t>
      </w:r>
      <w:proofErr w:type="gramEnd"/>
      <w:r>
        <w:rPr>
          <w:sz w:val="24"/>
          <w:szCs w:val="24"/>
        </w:rPr>
        <w:t xml:space="preserve"> a “global settlement” and accept the settlement money, it is designed to avoid future litigation such as this case.  </w:t>
      </w:r>
    </w:p>
    <w:p w14:paraId="4912F6EC" w14:textId="5293D5C3" w:rsidR="00F824FE" w:rsidRDefault="00F824FE" w:rsidP="00F824FE">
      <w:pPr>
        <w:pStyle w:val="NoSpacing"/>
        <w:ind w:left="720"/>
        <w:rPr>
          <w:rFonts w:ascii="Arial Black" w:hAnsi="Arial Black"/>
          <w:sz w:val="28"/>
          <w:szCs w:val="28"/>
        </w:rPr>
      </w:pPr>
      <w:r w:rsidRPr="007042F0">
        <w:rPr>
          <w:sz w:val="24"/>
          <w:szCs w:val="24"/>
        </w:rPr>
        <w:t>Note</w:t>
      </w:r>
      <w:r>
        <w:rPr>
          <w:sz w:val="24"/>
          <w:szCs w:val="24"/>
        </w:rPr>
        <w:t xml:space="preserve">:   See </w:t>
      </w:r>
      <w:r w:rsidRPr="007042F0">
        <w:rPr>
          <w:sz w:val="24"/>
          <w:szCs w:val="24"/>
        </w:rPr>
        <w:t xml:space="preserve">Nov. 19, </w:t>
      </w:r>
      <w:proofErr w:type="gramStart"/>
      <w:r w:rsidRPr="007042F0">
        <w:rPr>
          <w:sz w:val="24"/>
          <w:szCs w:val="24"/>
        </w:rPr>
        <w:t>2010</w:t>
      </w:r>
      <w:proofErr w:type="gramEnd"/>
      <w:r>
        <w:rPr>
          <w:sz w:val="24"/>
          <w:szCs w:val="24"/>
        </w:rPr>
        <w:t xml:space="preserve"> article,</w:t>
      </w:r>
      <w:r w:rsidRPr="007042F0">
        <w:rPr>
          <w:sz w:val="24"/>
          <w:szCs w:val="24"/>
        </w:rPr>
        <w:t xml:space="preserve"> “Over 95% of Plaintiffs Accept World Trade Center Settlement.” </w:t>
      </w:r>
      <w:r>
        <w:rPr>
          <w:sz w:val="24"/>
          <w:szCs w:val="24"/>
        </w:rPr>
        <w:t>“</w:t>
      </w:r>
      <w:r w:rsidRPr="007042F0">
        <w:rPr>
          <w:sz w:val="24"/>
          <w:szCs w:val="24"/>
        </w:rPr>
        <w:t>10,043 plaintiffs signed releases accepting settlement terms, according to the Allocation Neutral's report to the Court, with 98% of those claiming some of the most severe injuries signing on.</w:t>
      </w:r>
      <w:r>
        <w:rPr>
          <w:sz w:val="24"/>
          <w:szCs w:val="24"/>
        </w:rPr>
        <w:t xml:space="preserve"> *** </w:t>
      </w:r>
      <w:r w:rsidRPr="004D26C3">
        <w:rPr>
          <w:sz w:val="24"/>
          <w:szCs w:val="24"/>
        </w:rPr>
        <w:t>The WTC Captive Insurance Company confirms the 95% participation threshold of eligible plaintiffs has been reached.</w:t>
      </w:r>
      <w:r>
        <w:rPr>
          <w:sz w:val="24"/>
          <w:szCs w:val="24"/>
        </w:rPr>
        <w:t xml:space="preserve">” </w:t>
      </w:r>
      <w:r w:rsidRPr="004D26C3">
        <w:rPr>
          <w:sz w:val="24"/>
          <w:szCs w:val="24"/>
        </w:rPr>
        <w:t xml:space="preserve"> </w:t>
      </w:r>
      <w:hyperlink r:id="rId777" w:history="1">
        <w:r w:rsidRPr="004D26C3">
          <w:rPr>
            <w:rStyle w:val="Hyperlink"/>
            <w:sz w:val="24"/>
            <w:szCs w:val="24"/>
          </w:rPr>
          <w:t>https://www.prnewswire.com/news-releases/over-95-of-plaintiffs-accept-world-trade-center-settlement-109252704.html</w:t>
        </w:r>
      </w:hyperlink>
    </w:p>
    <w:p w14:paraId="1C5D1C6D" w14:textId="77777777" w:rsidR="00F824FE" w:rsidRDefault="00F824FE" w:rsidP="00F326E5">
      <w:pPr>
        <w:pStyle w:val="NoSpacing"/>
        <w:rPr>
          <w:rFonts w:ascii="Arial Black" w:hAnsi="Arial Black"/>
          <w:sz w:val="28"/>
          <w:szCs w:val="28"/>
        </w:rPr>
      </w:pPr>
    </w:p>
    <w:p w14:paraId="2DEF0697" w14:textId="77777777" w:rsidR="00F824FE" w:rsidRDefault="00F824FE" w:rsidP="00F326E5">
      <w:pPr>
        <w:pStyle w:val="NoSpacing"/>
        <w:rPr>
          <w:rFonts w:ascii="Arial Black" w:hAnsi="Arial Black"/>
          <w:sz w:val="28"/>
          <w:szCs w:val="28"/>
        </w:rPr>
      </w:pPr>
    </w:p>
    <w:p w14:paraId="16BAF71E" w14:textId="3B184A81" w:rsidR="00A672EE" w:rsidRDefault="00A672EE" w:rsidP="00F326E5">
      <w:pPr>
        <w:pStyle w:val="NoSpacing"/>
        <w:rPr>
          <w:rFonts w:ascii="Arial Black" w:hAnsi="Arial Black"/>
          <w:sz w:val="28"/>
          <w:szCs w:val="28"/>
        </w:rPr>
      </w:pPr>
      <w:r>
        <w:rPr>
          <w:rFonts w:ascii="Arial Black" w:hAnsi="Arial Black"/>
          <w:sz w:val="28"/>
          <w:szCs w:val="28"/>
        </w:rPr>
        <w:t>3-25</w:t>
      </w:r>
    </w:p>
    <w:p w14:paraId="1D7675DA" w14:textId="6493E5AA" w:rsidR="00A672EE" w:rsidRDefault="00A672EE" w:rsidP="00F326E5">
      <w:pPr>
        <w:pStyle w:val="NoSpacing"/>
        <w:rPr>
          <w:rFonts w:ascii="Arial Black" w:hAnsi="Arial Black"/>
          <w:sz w:val="28"/>
          <w:szCs w:val="28"/>
        </w:rPr>
      </w:pPr>
    </w:p>
    <w:p w14:paraId="2D663E2D" w14:textId="4A1D7A14" w:rsidR="00A672EE" w:rsidRPr="0043496E" w:rsidRDefault="00A672EE" w:rsidP="00A672EE">
      <w:pPr>
        <w:pStyle w:val="NoSpacing"/>
        <w:rPr>
          <w:rFonts w:ascii="Arial Black" w:hAnsi="Arial Black"/>
          <w:sz w:val="28"/>
          <w:szCs w:val="28"/>
        </w:rPr>
      </w:pPr>
      <w:bookmarkStart w:id="140" w:name="_Hlk66942447"/>
      <w:r w:rsidRPr="0043496E">
        <w:rPr>
          <w:rFonts w:ascii="Arial Black" w:hAnsi="Arial Black"/>
          <w:sz w:val="28"/>
          <w:szCs w:val="28"/>
        </w:rPr>
        <w:t xml:space="preserve">FL: </w:t>
      </w:r>
      <w:r>
        <w:rPr>
          <w:rFonts w:ascii="Arial Black" w:hAnsi="Arial Black"/>
          <w:sz w:val="28"/>
          <w:szCs w:val="28"/>
        </w:rPr>
        <w:t xml:space="preserve">“LONE WOLF” DEFENDANT HELD WITHOUT BOND - 23-YR-OLD – PISTOL, SILENCER, DRONE - WANTED TO KILL AT LEAST 50  </w:t>
      </w:r>
    </w:p>
    <w:p w14:paraId="466C0A2E" w14:textId="1E9ED013" w:rsidR="00A672EE" w:rsidRDefault="00A672EE" w:rsidP="00A672E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July 1, 2020, in </w:t>
      </w:r>
      <w:r w:rsidRPr="00A95773">
        <w:rPr>
          <w:rFonts w:ascii="Times New Roman" w:eastAsia="Times New Roman" w:hAnsi="Times New Roman"/>
          <w:sz w:val="24"/>
          <w:szCs w:val="24"/>
          <w:u w:val="single"/>
        </w:rPr>
        <w:t>United States of America v. Muhammed Momtaz Al-Azhari</w:t>
      </w:r>
      <w:r>
        <w:rPr>
          <w:rFonts w:ascii="Times New Roman" w:eastAsia="Times New Roman" w:hAnsi="Times New Roman"/>
          <w:sz w:val="24"/>
          <w:szCs w:val="24"/>
        </w:rPr>
        <w:t>, U.S. District Court Judge Tom Barber, Middle District of Florida (Tampa Division), upheld the decision of U.S. Magistrate Judge denying defendant’s motion to revoke detention order. The Court wrote: “</w:t>
      </w:r>
      <w:r w:rsidRPr="0043496E">
        <w:rPr>
          <w:rFonts w:ascii="Times New Roman" w:eastAsia="Times New Roman" w:hAnsi="Times New Roman"/>
          <w:sz w:val="24"/>
          <w:szCs w:val="24"/>
        </w:rPr>
        <w:t xml:space="preserve">According to the </w:t>
      </w:r>
      <w:r>
        <w:rPr>
          <w:rFonts w:ascii="Times New Roman" w:eastAsia="Times New Roman" w:hAnsi="Times New Roman"/>
          <w:sz w:val="24"/>
          <w:szCs w:val="24"/>
        </w:rPr>
        <w:t xml:space="preserve">[FBI] </w:t>
      </w:r>
      <w:r w:rsidRPr="0043496E">
        <w:rPr>
          <w:rFonts w:ascii="Times New Roman" w:eastAsia="Times New Roman" w:hAnsi="Times New Roman"/>
          <w:sz w:val="24"/>
          <w:szCs w:val="24"/>
        </w:rPr>
        <w:t>complaint, Defendant was preparing himself for a deadly attack in support of ISIS by obtaining weapons and tactical gear. He scouted potential targets, including a local beach and law enforcement buildings. He told a confidential</w:t>
      </w:r>
      <w:r>
        <w:rPr>
          <w:rFonts w:ascii="Times New Roman" w:eastAsia="Times New Roman" w:hAnsi="Times New Roman"/>
          <w:sz w:val="24"/>
          <w:szCs w:val="24"/>
        </w:rPr>
        <w:t xml:space="preserve"> </w:t>
      </w:r>
      <w:r w:rsidRPr="0043496E">
        <w:rPr>
          <w:rFonts w:ascii="Times New Roman" w:eastAsia="Times New Roman" w:hAnsi="Times New Roman"/>
          <w:sz w:val="24"/>
          <w:szCs w:val="24"/>
        </w:rPr>
        <w:t xml:space="preserve">informant that he did not want to kill just four or five people, but at least fifty. These allegations, and the evidence supporting the allegations, weigh heavily in favor of </w:t>
      </w:r>
      <w:proofErr w:type="gramStart"/>
      <w:r w:rsidRPr="0043496E">
        <w:rPr>
          <w:rFonts w:ascii="Times New Roman" w:eastAsia="Times New Roman" w:hAnsi="Times New Roman"/>
          <w:sz w:val="24"/>
          <w:szCs w:val="24"/>
        </w:rPr>
        <w:t>detention.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778" w:history="1">
        <w:r w:rsidRPr="00DE6B93">
          <w:rPr>
            <w:rStyle w:val="Hyperlink"/>
            <w:rFonts w:ascii="Times New Roman" w:eastAsia="Times New Roman" w:hAnsi="Times New Roman"/>
            <w:sz w:val="24"/>
            <w:szCs w:val="24"/>
          </w:rPr>
          <w:t>https://public.fastcase.com/Wl%2B2t%2BeVuI35%2FN70vAMFZjEZMJsNZYCv20xfss0VwbYGceb09nWBJue7evWvO5N%2B</w:t>
        </w:r>
      </w:hyperlink>
      <w:bookmarkEnd w:id="140"/>
      <w:r>
        <w:rPr>
          <w:rFonts w:ascii="Times New Roman" w:eastAsia="Times New Roman" w:hAnsi="Times New Roman"/>
          <w:sz w:val="24"/>
          <w:szCs w:val="24"/>
        </w:rPr>
        <w:t xml:space="preserve"> </w:t>
      </w:r>
    </w:p>
    <w:p w14:paraId="4DA133E8" w14:textId="45A4616E" w:rsidR="00823634" w:rsidRPr="00823634" w:rsidRDefault="00823634" w:rsidP="00A672EE">
      <w:pPr>
        <w:spacing w:before="100" w:beforeAutospacing="1" w:after="100" w:afterAutospacing="1" w:line="240" w:lineRule="auto"/>
        <w:rPr>
          <w:rFonts w:ascii="Times New Roman" w:eastAsia="Times New Roman" w:hAnsi="Times New Roman"/>
          <w:b/>
          <w:bCs/>
          <w:sz w:val="24"/>
          <w:szCs w:val="24"/>
        </w:rPr>
      </w:pPr>
      <w:bookmarkStart w:id="141" w:name="_Hlk66942546"/>
      <w:r w:rsidRPr="00823634">
        <w:rPr>
          <w:rFonts w:ascii="Times New Roman" w:eastAsia="Times New Roman" w:hAnsi="Times New Roman"/>
          <w:b/>
          <w:bCs/>
          <w:sz w:val="24"/>
          <w:szCs w:val="24"/>
        </w:rPr>
        <w:t xml:space="preserve">Legal Lesson Learned: “Lone Wolf” domestic terrorist is a growing problem. </w:t>
      </w:r>
    </w:p>
    <w:bookmarkEnd w:id="141"/>
    <w:p w14:paraId="18DE90D0" w14:textId="77777777" w:rsidR="00A672EE" w:rsidRDefault="00A672EE" w:rsidP="00F326E5">
      <w:pPr>
        <w:pStyle w:val="NoSpacing"/>
        <w:rPr>
          <w:rFonts w:ascii="Arial Black" w:hAnsi="Arial Black"/>
          <w:sz w:val="28"/>
          <w:szCs w:val="28"/>
        </w:rPr>
      </w:pPr>
    </w:p>
    <w:p w14:paraId="48957C28" w14:textId="1DA6ED01" w:rsidR="0020758F" w:rsidRDefault="00A672EE" w:rsidP="00F326E5">
      <w:pPr>
        <w:pStyle w:val="NoSpacing"/>
        <w:rPr>
          <w:rFonts w:ascii="Arial Black" w:hAnsi="Arial Black"/>
          <w:sz w:val="28"/>
          <w:szCs w:val="28"/>
        </w:rPr>
      </w:pPr>
      <w:r>
        <w:rPr>
          <w:rFonts w:ascii="Arial Black" w:hAnsi="Arial Black"/>
          <w:sz w:val="28"/>
          <w:szCs w:val="28"/>
        </w:rPr>
        <w:br/>
      </w:r>
      <w:r w:rsidR="0020758F">
        <w:rPr>
          <w:rFonts w:ascii="Arial Black" w:hAnsi="Arial Black"/>
          <w:sz w:val="28"/>
          <w:szCs w:val="28"/>
        </w:rPr>
        <w:t>3-24</w:t>
      </w:r>
    </w:p>
    <w:p w14:paraId="1713C62A" w14:textId="6CA5F426" w:rsidR="0020758F" w:rsidRDefault="0020758F" w:rsidP="00F326E5">
      <w:pPr>
        <w:pStyle w:val="NoSpacing"/>
        <w:rPr>
          <w:rFonts w:ascii="Arial Black" w:hAnsi="Arial Black"/>
          <w:sz w:val="28"/>
          <w:szCs w:val="28"/>
        </w:rPr>
      </w:pPr>
    </w:p>
    <w:p w14:paraId="6C1CB65A" w14:textId="77777777" w:rsidR="007105B3" w:rsidRPr="008932A8" w:rsidRDefault="007105B3" w:rsidP="007105B3">
      <w:pPr>
        <w:rPr>
          <w:rFonts w:ascii="Arial Black" w:eastAsia="Times New Roman" w:hAnsi="Arial Black" w:cs="Tahoma"/>
          <w:b/>
          <w:bCs/>
          <w:sz w:val="28"/>
          <w:szCs w:val="28"/>
        </w:rPr>
      </w:pPr>
      <w:r w:rsidRPr="008932A8">
        <w:rPr>
          <w:rFonts w:ascii="Arial Black" w:eastAsia="Times New Roman" w:hAnsi="Arial Black" w:cs="Tahoma"/>
          <w:b/>
          <w:bCs/>
          <w:sz w:val="28"/>
          <w:szCs w:val="28"/>
        </w:rPr>
        <w:t>U.S. SUPREME COURT: FAST-TRACK DEPORTATION OF IMMIGRANTS CROSSING BORDER UPHELD</w:t>
      </w:r>
    </w:p>
    <w:p w14:paraId="248C798E" w14:textId="77777777" w:rsidR="007105B3" w:rsidRPr="00851091" w:rsidRDefault="007105B3" w:rsidP="007105B3">
      <w:pPr>
        <w:rPr>
          <w:rFonts w:ascii="Times New Roman" w:hAnsi="Times New Roman"/>
          <w:sz w:val="24"/>
          <w:szCs w:val="24"/>
        </w:rPr>
      </w:pPr>
      <w:r w:rsidRPr="002730DF">
        <w:rPr>
          <w:rFonts w:ascii="Times New Roman" w:eastAsia="Times New Roman" w:hAnsi="Times New Roman"/>
          <w:color w:val="36495F"/>
          <w:sz w:val="24"/>
          <w:szCs w:val="24"/>
        </w:rPr>
        <w:t>On June 25, 2020, in</w:t>
      </w:r>
      <w:r>
        <w:rPr>
          <w:rFonts w:ascii="Times New Roman" w:eastAsia="Times New Roman" w:hAnsi="Times New Roman"/>
          <w:color w:val="36495F"/>
          <w:sz w:val="24"/>
          <w:szCs w:val="24"/>
        </w:rPr>
        <w:t xml:space="preserve"> </w:t>
      </w:r>
      <w:r w:rsidRPr="002730DF">
        <w:rPr>
          <w:rFonts w:ascii="Times New Roman" w:eastAsia="Times New Roman" w:hAnsi="Times New Roman"/>
          <w:color w:val="36495F"/>
          <w:sz w:val="24"/>
          <w:szCs w:val="24"/>
          <w:u w:val="single"/>
        </w:rPr>
        <w:t xml:space="preserve">Department of Homeland Security, et al. v. </w:t>
      </w:r>
      <w:r w:rsidRPr="002730DF">
        <w:rPr>
          <w:rFonts w:ascii="Times New Roman" w:hAnsi="Times New Roman"/>
          <w:sz w:val="24"/>
          <w:szCs w:val="24"/>
          <w:u w:val="single"/>
        </w:rPr>
        <w:t>Vijayakumar Thuraissigiam</w:t>
      </w:r>
      <w:r>
        <w:rPr>
          <w:rFonts w:ascii="Times New Roman" w:hAnsi="Times New Roman"/>
          <w:sz w:val="24"/>
          <w:szCs w:val="24"/>
        </w:rPr>
        <w:t xml:space="preserve">, the U.S. Supreme Court held (7 to 2) that Congress properly established a system of rapid deportation of aliens caught at the border, unless they can convince an immigration judge they had credible fear of persecution if returned to their home country. In this case, a Sri Lanka farmer was caught by Border Patrol crossing the border at 11 pm; he claimed he had been abducted and beaten in Sri Lanka by unknown men in a white van while working in his fields. One month after his arrest at the border he had a 13-minute hearing before an immigration judge and was ordered deported.  He sought a writ of habeas corpus and hearing before a U.S. District Court Judge, which was </w:t>
      </w:r>
      <w:r>
        <w:rPr>
          <w:rFonts w:ascii="Times New Roman" w:hAnsi="Times New Roman"/>
          <w:sz w:val="24"/>
          <w:szCs w:val="24"/>
        </w:rPr>
        <w:lastRenderedPageBreak/>
        <w:t>denied, but U.S. Court of Appeals for 9</w:t>
      </w:r>
      <w:r w:rsidRPr="003E07F5">
        <w:rPr>
          <w:rFonts w:ascii="Times New Roman" w:hAnsi="Times New Roman"/>
          <w:sz w:val="24"/>
          <w:szCs w:val="24"/>
          <w:vertAlign w:val="superscript"/>
        </w:rPr>
        <w:t>th</w:t>
      </w:r>
      <w:r>
        <w:rPr>
          <w:rFonts w:ascii="Times New Roman" w:hAnsi="Times New Roman"/>
          <w:sz w:val="24"/>
          <w:szCs w:val="24"/>
        </w:rPr>
        <w:t xml:space="preserve"> Circuit (San Francisco) reversed.   </w:t>
      </w:r>
      <w:r w:rsidRPr="00476D74">
        <w:rPr>
          <w:rFonts w:ascii="Times New Roman" w:hAnsi="Times New Roman"/>
          <w:sz w:val="24"/>
          <w:szCs w:val="24"/>
        </w:rPr>
        <w:t xml:space="preserve">Justice Samuel Alito </w:t>
      </w:r>
      <w:r>
        <w:rPr>
          <w:rFonts w:ascii="Times New Roman" w:hAnsi="Times New Roman"/>
          <w:sz w:val="24"/>
          <w:szCs w:val="24"/>
        </w:rPr>
        <w:t xml:space="preserve">wrote majority opinion: </w:t>
      </w:r>
      <w:r>
        <w:rPr>
          <w:rFonts w:ascii="&quot;Times New Roman" w:eastAsia="Times New Roman" w:hAnsi="&quot;Times New Roman"/>
          <w:color w:val="36495F"/>
          <w:sz w:val="24"/>
          <w:szCs w:val="24"/>
        </w:rPr>
        <w:t>“</w:t>
      </w:r>
      <w:r w:rsidRPr="00476D74">
        <w:rPr>
          <w:rFonts w:ascii="Times New Roman" w:hAnsi="Times New Roman"/>
          <w:sz w:val="24"/>
          <w:szCs w:val="24"/>
        </w:rPr>
        <w:t xml:space="preserve">Every year, hundreds of thousands of aliens are apprehended at or near the border attempting to enter this country illegally. Many ask for asylum, claiming that they would be persecuted if returned to their home countries. Some of these claims are valid, and by granting asylum, the United States lives up to its ideals and its treaty obligations. </w:t>
      </w:r>
      <w:r>
        <w:rPr>
          <w:rFonts w:ascii="Times New Roman" w:hAnsi="Times New Roman"/>
          <w:sz w:val="24"/>
          <w:szCs w:val="24"/>
        </w:rPr>
        <w:t xml:space="preserve"> </w:t>
      </w:r>
      <w:r w:rsidRPr="00476D74">
        <w:rPr>
          <w:rFonts w:ascii="Times New Roman" w:hAnsi="Times New Roman"/>
          <w:sz w:val="24"/>
          <w:szCs w:val="24"/>
        </w:rPr>
        <w:t>Most asylum claims, however, ultimately fail, and some are fraudulent. In 1996, when Congress enacted the</w:t>
      </w:r>
      <w:r>
        <w:rPr>
          <w:rFonts w:ascii="Times New Roman" w:hAnsi="Times New Roman"/>
          <w:sz w:val="24"/>
          <w:szCs w:val="24"/>
        </w:rPr>
        <w:t xml:space="preserve"> </w:t>
      </w:r>
      <w:r w:rsidRPr="00476D74">
        <w:rPr>
          <w:rFonts w:ascii="Times New Roman" w:hAnsi="Times New Roman"/>
          <w:sz w:val="24"/>
          <w:szCs w:val="24"/>
        </w:rPr>
        <w:t>Illegal Immigration Reform and Immigrant Responsibility Act (IIRIRA), 110 Stat. 3009–546, it crafted a system for weeding out patently meritless claims and expeditiously removing the aliens making such claims from the country. It was Congress’s judgment that detaining all asylum seekers</w:t>
      </w:r>
      <w:r>
        <w:rPr>
          <w:rFonts w:ascii="Times New Roman" w:hAnsi="Times New Roman"/>
          <w:sz w:val="24"/>
          <w:szCs w:val="24"/>
        </w:rPr>
        <w:t xml:space="preserve"> </w:t>
      </w:r>
      <w:r w:rsidRPr="00476D74">
        <w:rPr>
          <w:rFonts w:ascii="Times New Roman" w:hAnsi="Times New Roman"/>
          <w:sz w:val="24"/>
          <w:szCs w:val="24"/>
        </w:rPr>
        <w:t>until the full-blown removal process is completed would</w:t>
      </w:r>
      <w:r>
        <w:rPr>
          <w:rFonts w:ascii="Times New Roman" w:hAnsi="Times New Roman"/>
          <w:sz w:val="24"/>
          <w:szCs w:val="24"/>
        </w:rPr>
        <w:t xml:space="preserve"> </w:t>
      </w:r>
      <w:r w:rsidRPr="00476D74">
        <w:rPr>
          <w:rFonts w:ascii="Times New Roman" w:hAnsi="Times New Roman"/>
          <w:sz w:val="24"/>
          <w:szCs w:val="24"/>
        </w:rPr>
        <w:t>place an unacceptable burden on our immigration system and that releasing them would present an undue risk that they would fail to appear for removal proceedings.</w:t>
      </w:r>
      <w:r>
        <w:rPr>
          <w:rFonts w:ascii="Times New Roman" w:hAnsi="Times New Roman"/>
          <w:sz w:val="24"/>
          <w:szCs w:val="24"/>
        </w:rPr>
        <w:t xml:space="preserve"> </w:t>
      </w:r>
      <w:hyperlink r:id="rId779" w:history="1">
        <w:r w:rsidRPr="00476D74">
          <w:rPr>
            <w:rStyle w:val="Hyperlink"/>
            <w:rFonts w:ascii="Times New Roman" w:hAnsi="Times New Roman"/>
            <w:sz w:val="24"/>
            <w:szCs w:val="24"/>
          </w:rPr>
          <w:t>https://www.supremecourt.gov/opinions/19pdf/19-161_g314.pdf</w:t>
        </w:r>
      </w:hyperlink>
      <w:r>
        <w:rPr>
          <w:rFonts w:ascii="Times New Roman" w:hAnsi="Times New Roman"/>
          <w:sz w:val="24"/>
          <w:szCs w:val="24"/>
        </w:rPr>
        <w:t xml:space="preserve"> </w:t>
      </w:r>
    </w:p>
    <w:p w14:paraId="022FC5CE" w14:textId="77777777" w:rsidR="007105B3" w:rsidRPr="00851091" w:rsidRDefault="007105B3" w:rsidP="007105B3">
      <w:pPr>
        <w:pStyle w:val="NoSpacing"/>
        <w:rPr>
          <w:rFonts w:ascii="Times New Roman" w:hAnsi="Times New Roman"/>
          <w:sz w:val="24"/>
          <w:szCs w:val="24"/>
        </w:rPr>
      </w:pPr>
      <w:r w:rsidRPr="00C0046A">
        <w:rPr>
          <w:rFonts w:ascii="Times New Roman" w:hAnsi="Times New Roman"/>
          <w:b/>
          <w:bCs/>
          <w:sz w:val="24"/>
          <w:szCs w:val="24"/>
        </w:rPr>
        <w:t xml:space="preserve">Legal Lessons Learned: </w:t>
      </w:r>
      <w:r>
        <w:rPr>
          <w:rFonts w:ascii="Times New Roman" w:hAnsi="Times New Roman"/>
          <w:b/>
          <w:bCs/>
          <w:sz w:val="24"/>
          <w:szCs w:val="24"/>
        </w:rPr>
        <w:t xml:space="preserve">The seven Justices found that the current system of immigration judges provides due process.  </w:t>
      </w:r>
    </w:p>
    <w:p w14:paraId="7DC424E2" w14:textId="77777777" w:rsidR="007105B3" w:rsidRPr="00C0046A" w:rsidRDefault="007105B3" w:rsidP="007105B3">
      <w:pPr>
        <w:pStyle w:val="NoSpacing"/>
        <w:rPr>
          <w:rFonts w:ascii="Times New Roman" w:hAnsi="Times New Roman"/>
          <w:b/>
          <w:bCs/>
          <w:sz w:val="24"/>
          <w:szCs w:val="24"/>
        </w:rPr>
      </w:pPr>
    </w:p>
    <w:p w14:paraId="68C7E305" w14:textId="77777777" w:rsidR="007105B3" w:rsidRPr="00C0046A" w:rsidRDefault="007105B3" w:rsidP="007105B3">
      <w:pPr>
        <w:pStyle w:val="NoSpacing"/>
        <w:ind w:left="720"/>
        <w:rPr>
          <w:rFonts w:ascii="Times New Roman" w:hAnsi="Times New Roman"/>
          <w:sz w:val="24"/>
          <w:szCs w:val="24"/>
        </w:rPr>
      </w:pPr>
      <w:r w:rsidRPr="00C0046A">
        <w:rPr>
          <w:rFonts w:ascii="Times New Roman" w:hAnsi="Times New Roman"/>
          <w:sz w:val="24"/>
          <w:szCs w:val="24"/>
        </w:rPr>
        <w:t xml:space="preserve">Note: See June 25, </w:t>
      </w:r>
      <w:proofErr w:type="gramStart"/>
      <w:r w:rsidRPr="00C0046A">
        <w:rPr>
          <w:rFonts w:ascii="Times New Roman" w:hAnsi="Times New Roman"/>
          <w:sz w:val="24"/>
          <w:szCs w:val="24"/>
        </w:rPr>
        <w:t>2019</w:t>
      </w:r>
      <w:proofErr w:type="gramEnd"/>
      <w:r w:rsidRPr="00C0046A">
        <w:rPr>
          <w:rFonts w:ascii="Times New Roman" w:hAnsi="Times New Roman"/>
          <w:sz w:val="24"/>
          <w:szCs w:val="24"/>
        </w:rPr>
        <w:t xml:space="preserve"> article, “Supreme Court Sides </w:t>
      </w:r>
      <w:proofErr w:type="gramStart"/>
      <w:r w:rsidRPr="00C0046A">
        <w:rPr>
          <w:rFonts w:ascii="Times New Roman" w:hAnsi="Times New Roman"/>
          <w:sz w:val="24"/>
          <w:szCs w:val="24"/>
        </w:rPr>
        <w:t>With</w:t>
      </w:r>
      <w:proofErr w:type="gramEnd"/>
      <w:r w:rsidRPr="00C0046A">
        <w:rPr>
          <w:rFonts w:ascii="Times New Roman" w:hAnsi="Times New Roman"/>
          <w:sz w:val="24"/>
          <w:szCs w:val="24"/>
        </w:rPr>
        <w:t xml:space="preserve"> Trump Administration </w:t>
      </w:r>
      <w:proofErr w:type="gramStart"/>
      <w:r w:rsidRPr="00C0046A">
        <w:rPr>
          <w:rFonts w:ascii="Times New Roman" w:hAnsi="Times New Roman"/>
          <w:sz w:val="24"/>
          <w:szCs w:val="24"/>
        </w:rPr>
        <w:t>In</w:t>
      </w:r>
      <w:proofErr w:type="gramEnd"/>
      <w:r w:rsidRPr="00C0046A">
        <w:rPr>
          <w:rFonts w:ascii="Times New Roman" w:hAnsi="Times New Roman"/>
          <w:sz w:val="24"/>
          <w:szCs w:val="24"/>
        </w:rPr>
        <w:t xml:space="preserve"> Asylum Cases,” </w:t>
      </w:r>
      <w:hyperlink r:id="rId780" w:history="1">
        <w:r w:rsidRPr="00C0046A">
          <w:rPr>
            <w:rStyle w:val="Hyperlink"/>
            <w:rFonts w:ascii="Times New Roman" w:hAnsi="Times New Roman"/>
            <w:sz w:val="24"/>
            <w:szCs w:val="24"/>
          </w:rPr>
          <w:t>https://www.npr.org/2020/06/25/883312496/supreme-court-sides-with-trump-administration-in-deportation-case</w:t>
        </w:r>
      </w:hyperlink>
      <w:r w:rsidRPr="00C0046A">
        <w:rPr>
          <w:rFonts w:ascii="Times New Roman" w:hAnsi="Times New Roman"/>
          <w:sz w:val="24"/>
          <w:szCs w:val="24"/>
        </w:rPr>
        <w:t xml:space="preserve"> </w:t>
      </w:r>
    </w:p>
    <w:p w14:paraId="575D1D64" w14:textId="77777777" w:rsidR="007105B3" w:rsidRPr="00C0046A" w:rsidRDefault="007105B3" w:rsidP="007105B3">
      <w:pPr>
        <w:pStyle w:val="NoSpacing"/>
        <w:rPr>
          <w:rFonts w:ascii="Times New Roman" w:hAnsi="Times New Roman"/>
          <w:sz w:val="24"/>
          <w:szCs w:val="24"/>
        </w:rPr>
      </w:pPr>
    </w:p>
    <w:p w14:paraId="35944D2B" w14:textId="77777777" w:rsidR="0020758F" w:rsidRDefault="0020758F" w:rsidP="00F326E5">
      <w:pPr>
        <w:pStyle w:val="NoSpacing"/>
        <w:rPr>
          <w:rFonts w:ascii="Arial Black" w:hAnsi="Arial Black"/>
          <w:sz w:val="28"/>
          <w:szCs w:val="28"/>
        </w:rPr>
      </w:pPr>
    </w:p>
    <w:p w14:paraId="1B91BAD1" w14:textId="77777777" w:rsidR="0020758F" w:rsidRDefault="0020758F" w:rsidP="00F326E5">
      <w:pPr>
        <w:pStyle w:val="NoSpacing"/>
        <w:rPr>
          <w:rFonts w:ascii="Arial Black" w:hAnsi="Arial Black"/>
          <w:sz w:val="28"/>
          <w:szCs w:val="28"/>
        </w:rPr>
      </w:pPr>
    </w:p>
    <w:p w14:paraId="03CEC504" w14:textId="77777777" w:rsidR="0020758F" w:rsidRDefault="0020758F" w:rsidP="00F326E5">
      <w:pPr>
        <w:pStyle w:val="NoSpacing"/>
        <w:rPr>
          <w:rFonts w:ascii="Arial Black" w:hAnsi="Arial Black"/>
          <w:sz w:val="28"/>
          <w:szCs w:val="28"/>
        </w:rPr>
      </w:pPr>
    </w:p>
    <w:p w14:paraId="146984B3" w14:textId="40B8923B" w:rsidR="0020758F" w:rsidRDefault="0020758F" w:rsidP="00F326E5">
      <w:pPr>
        <w:pStyle w:val="NoSpacing"/>
        <w:rPr>
          <w:rFonts w:ascii="Arial Black" w:hAnsi="Arial Black"/>
          <w:sz w:val="28"/>
          <w:szCs w:val="28"/>
        </w:rPr>
      </w:pPr>
      <w:r>
        <w:rPr>
          <w:rFonts w:ascii="Arial Black" w:hAnsi="Arial Black"/>
          <w:sz w:val="28"/>
          <w:szCs w:val="28"/>
        </w:rPr>
        <w:t>3-23</w:t>
      </w:r>
    </w:p>
    <w:p w14:paraId="1E6F770F" w14:textId="77777777" w:rsidR="0020758F" w:rsidRPr="008900B0" w:rsidRDefault="0020758F" w:rsidP="0020758F">
      <w:pPr>
        <w:pStyle w:val="NormalWeb"/>
        <w:tabs>
          <w:tab w:val="left" w:pos="4200"/>
        </w:tabs>
        <w:rPr>
          <w:rFonts w:ascii="Arial Black" w:hAnsi="Arial Black"/>
          <w:sz w:val="28"/>
          <w:szCs w:val="28"/>
        </w:rPr>
      </w:pPr>
      <w:r w:rsidRPr="008900B0">
        <w:rPr>
          <w:rFonts w:ascii="Arial Black" w:hAnsi="Arial Black"/>
          <w:sz w:val="28"/>
          <w:szCs w:val="28"/>
        </w:rPr>
        <w:t xml:space="preserve">U.S. SUPREME COURT: </w:t>
      </w:r>
      <w:r>
        <w:rPr>
          <w:rFonts w:ascii="Arial Black" w:hAnsi="Arial Black"/>
          <w:sz w:val="28"/>
          <w:szCs w:val="28"/>
        </w:rPr>
        <w:t xml:space="preserve"> DACA PROGRAM MAY NOT BE TERMINATED UNTIL DHS FOLLOWS APA – 700,000 ALIENS</w:t>
      </w:r>
    </w:p>
    <w:p w14:paraId="353737F7" w14:textId="77777777" w:rsidR="0020758F" w:rsidRDefault="0020758F" w:rsidP="0020758F">
      <w:pPr>
        <w:pStyle w:val="NormalWeb"/>
      </w:pPr>
      <w:r>
        <w:rPr>
          <w:sz w:val="27"/>
          <w:szCs w:val="27"/>
        </w:rPr>
        <w:t xml:space="preserve">On June 18, 2020, in </w:t>
      </w:r>
      <w:r w:rsidRPr="008900B0">
        <w:rPr>
          <w:u w:val="single"/>
        </w:rPr>
        <w:t>Department of Homeland Security v. Regents of the University of California, et al.</w:t>
      </w:r>
      <w:r>
        <w:rPr>
          <w:sz w:val="27"/>
          <w:szCs w:val="27"/>
        </w:rPr>
        <w:t xml:space="preserve">, the U.S. Supreme Court held (5 to 4) in an opinion by Chief Justice John Roberts, that the Trump Administration has not complied with the Administrative Procedures Act [notice of planned action, administrative hearings] in terminating the 2012 U.S. Department of Homeland Security program, established by President Obama.  DACA [Deferred Action for Childhood Arrivals] has allowed 700,000 children of aliens to remain in the United States, request work authorization and be eligible for Social Security and Medicare.   Chief Justice Roberts wrote: “We do not decide whether DACA or its rescission are sound policies…. We address only whether the agency complied with the procedural requirement that it provide a reasoned explanation for its action. Here the agency failed to consider the conspicuous issues of whether to retain forbearance and what if anything to do about the hardship to DACA recipients. That dual failure raises doubts about whether the agency appreciated the scope of its discretion or exercised that discretion in a reasonable manner. The appropriate recourse is therefore to remand to DHS so that it may consider the problem </w:t>
      </w:r>
      <w:proofErr w:type="gramStart"/>
      <w:r>
        <w:rPr>
          <w:sz w:val="27"/>
          <w:szCs w:val="27"/>
        </w:rPr>
        <w:t>anew.”</w:t>
      </w:r>
      <w:proofErr w:type="gramEnd"/>
      <w:r w:rsidRPr="00120207">
        <w:t xml:space="preserve"> </w:t>
      </w:r>
      <w:hyperlink r:id="rId781" w:history="1">
        <w:r w:rsidRPr="0037669D">
          <w:rPr>
            <w:rStyle w:val="Hyperlink"/>
            <w:sz w:val="27"/>
            <w:szCs w:val="27"/>
          </w:rPr>
          <w:t>https://www.supremecourt.gov/opinions/19pdf/18-587_5ifl.pdf</w:t>
        </w:r>
      </w:hyperlink>
      <w:r>
        <w:rPr>
          <w:sz w:val="27"/>
          <w:szCs w:val="27"/>
        </w:rPr>
        <w:t xml:space="preserve"> </w:t>
      </w:r>
    </w:p>
    <w:p w14:paraId="2B5E8E50" w14:textId="77777777" w:rsidR="0020758F" w:rsidRDefault="0020758F" w:rsidP="0020758F">
      <w:pPr>
        <w:pStyle w:val="NormalWeb"/>
        <w:rPr>
          <w:b/>
          <w:bCs/>
        </w:rPr>
      </w:pPr>
      <w:r w:rsidRPr="00120207">
        <w:rPr>
          <w:b/>
          <w:bCs/>
        </w:rPr>
        <w:t>Legal Lessons Learned:</w:t>
      </w:r>
      <w:r>
        <w:rPr>
          <w:b/>
          <w:bCs/>
        </w:rPr>
        <w:t xml:space="preserve">  This is a very “hot topic” that may in the future again be reviewed by the U.S. Supreme Court. </w:t>
      </w:r>
    </w:p>
    <w:p w14:paraId="6586675B" w14:textId="77777777" w:rsidR="0020758F" w:rsidRDefault="0020758F" w:rsidP="0020758F">
      <w:pPr>
        <w:pStyle w:val="NormalWeb"/>
        <w:ind w:left="720"/>
      </w:pPr>
      <w:r w:rsidRPr="004F5401">
        <w:t xml:space="preserve">Note: </w:t>
      </w:r>
      <w:r>
        <w:t xml:space="preserve"> See June 18, </w:t>
      </w:r>
      <w:proofErr w:type="gramStart"/>
      <w:r>
        <w:t>2020</w:t>
      </w:r>
      <w:proofErr w:type="gramEnd"/>
      <w:r>
        <w:t xml:space="preserve"> DHS statement: </w:t>
      </w:r>
    </w:p>
    <w:tbl>
      <w:tblPr>
        <w:tblW w:w="0" w:type="auto"/>
        <w:tblCellSpacing w:w="15" w:type="dxa"/>
        <w:tblLook w:val="04A0" w:firstRow="1" w:lastRow="0" w:firstColumn="1" w:lastColumn="0" w:noHBand="0" w:noVBand="1"/>
      </w:tblPr>
      <w:tblGrid>
        <w:gridCol w:w="96"/>
      </w:tblGrid>
      <w:tr w:rsidR="0020758F" w14:paraId="2DC4FD56" w14:textId="77777777" w:rsidTr="0020758F">
        <w:trPr>
          <w:tblCellSpacing w:w="15" w:type="dxa"/>
        </w:trPr>
        <w:tc>
          <w:tcPr>
            <w:tcW w:w="0" w:type="auto"/>
            <w:tcMar>
              <w:top w:w="15" w:type="dxa"/>
              <w:left w:w="15" w:type="dxa"/>
              <w:bottom w:w="15" w:type="dxa"/>
              <w:right w:w="15" w:type="dxa"/>
            </w:tcMar>
            <w:vAlign w:val="center"/>
            <w:hideMark/>
          </w:tcPr>
          <w:p w14:paraId="7037F528" w14:textId="77777777" w:rsidR="0020758F" w:rsidRDefault="0020758F" w:rsidP="0020758F">
            <w:bookmarkStart w:id="142" w:name="gd_top"/>
          </w:p>
        </w:tc>
      </w:tr>
      <w:bookmarkEnd w:id="142"/>
    </w:tbl>
    <w:p w14:paraId="7937A52E" w14:textId="77777777" w:rsidR="0020758F" w:rsidRDefault="0020758F" w:rsidP="0020758F">
      <w:pPr>
        <w:rPr>
          <w:rFonts w:eastAsia="Times New Roman" w:cs="Calibri"/>
          <w:vanish/>
          <w:lang w:val="en"/>
        </w:rPr>
      </w:pPr>
    </w:p>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20758F" w14:paraId="6E5EAE02" w14:textId="77777777" w:rsidTr="0020758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0758F" w14:paraId="64C728E2" w14:textId="77777777" w:rsidTr="0020758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0758F" w14:paraId="0FDAF4DB" w14:textId="77777777" w:rsidTr="0020758F">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0758F" w14:paraId="4CB81432" w14:textId="77777777" w:rsidTr="0020758F">
                          <w:trPr>
                            <w:jc w:val="center"/>
                          </w:trPr>
                          <w:tc>
                            <w:tcPr>
                              <w:tcW w:w="5000" w:type="pct"/>
                              <w:shd w:val="clear" w:color="auto" w:fill="FFFFFF"/>
                              <w:tcMar>
                                <w:top w:w="75" w:type="dxa"/>
                                <w:left w:w="75" w:type="dxa"/>
                                <w:bottom w:w="0" w:type="dxa"/>
                                <w:right w:w="75" w:type="dxa"/>
                              </w:tcMar>
                              <w:vAlign w:val="center"/>
                              <w:hideMark/>
                            </w:tcPr>
                            <w:p w14:paraId="66C8C6DA" w14:textId="77777777" w:rsidR="0020758F" w:rsidRDefault="0020758F" w:rsidP="0020758F">
                              <w:pPr>
                                <w:pStyle w:val="gdp"/>
                                <w:spacing w:before="150" w:beforeAutospacing="0" w:after="150" w:afterAutospacing="0"/>
                                <w:jc w:val="center"/>
                                <w:rPr>
                                  <w:rFonts w:ascii="Book Antiqua" w:hAnsi="Book Antiqua"/>
                                  <w:color w:val="000000"/>
                                  <w:sz w:val="23"/>
                                  <w:szCs w:val="23"/>
                                </w:rPr>
                              </w:pPr>
                              <w:r>
                                <w:rPr>
                                  <w:rFonts w:ascii="Book Antiqua" w:hAnsi="Book Antiqua"/>
                                  <w:color w:val="000000"/>
                                  <w:sz w:val="23"/>
                                  <w:szCs w:val="23"/>
                                </w:rPr>
                                <w:t>U.S. DEPARTMENT OF HOMELAND SECURITY</w:t>
                              </w:r>
                            </w:p>
                            <w:p w14:paraId="3F817DD3" w14:textId="77777777" w:rsidR="0020758F" w:rsidRDefault="0020758F" w:rsidP="0020758F">
                              <w:pPr>
                                <w:pStyle w:val="gdp"/>
                                <w:spacing w:before="150" w:beforeAutospacing="0" w:after="150" w:afterAutospacing="0"/>
                                <w:jc w:val="center"/>
                                <w:rPr>
                                  <w:rFonts w:ascii="Book Antiqua" w:hAnsi="Book Antiqua"/>
                                  <w:color w:val="000000"/>
                                  <w:sz w:val="23"/>
                                  <w:szCs w:val="23"/>
                                </w:rPr>
                              </w:pPr>
                              <w:r>
                                <w:rPr>
                                  <w:rFonts w:ascii="Book Antiqua" w:hAnsi="Book Antiqua"/>
                                  <w:color w:val="000000"/>
                                  <w:sz w:val="23"/>
                                  <w:szCs w:val="23"/>
                                </w:rPr>
                                <w:t>Office of Public Affairs</w:t>
                              </w:r>
                            </w:p>
                            <w:p w14:paraId="65C4DF51" w14:textId="77777777" w:rsidR="0020758F" w:rsidRDefault="00B80B7F" w:rsidP="0020758F">
                              <w:pPr>
                                <w:jc w:val="center"/>
                                <w:rPr>
                                  <w:rFonts w:eastAsia="Times New Roman"/>
                                </w:rPr>
                              </w:pPr>
                              <w:r>
                                <w:rPr>
                                  <w:rFonts w:eastAsia="Times New Roman"/>
                                </w:rPr>
                                <w:pict w14:anchorId="4F131D79">
                                  <v:rect id="_x0000_i1025" style="width:468pt;height:1pt" o:hralign="center" o:hrstd="t" o:hr="t" fillcolor="#a0a0a0" stroked="f"/>
                                </w:pict>
                              </w:r>
                            </w:p>
                          </w:tc>
                        </w:tr>
                        <w:tr w:rsidR="0020758F" w14:paraId="0664FD2F" w14:textId="77777777" w:rsidTr="0020758F">
                          <w:trPr>
                            <w:jc w:val="center"/>
                          </w:trPr>
                          <w:tc>
                            <w:tcPr>
                              <w:tcW w:w="5000" w:type="pct"/>
                              <w:shd w:val="clear" w:color="auto" w:fill="FFFFFF"/>
                              <w:tcMar>
                                <w:top w:w="0" w:type="dxa"/>
                                <w:left w:w="75" w:type="dxa"/>
                                <w:bottom w:w="75" w:type="dxa"/>
                                <w:right w:w="75" w:type="dxa"/>
                              </w:tcMar>
                              <w:vAlign w:val="center"/>
                              <w:hideMark/>
                            </w:tcPr>
                            <w:p w14:paraId="4CEB9FF9" w14:textId="77777777" w:rsidR="0020758F" w:rsidRDefault="0020758F" w:rsidP="0020758F">
                              <w:pPr>
                                <w:pStyle w:val="NormalWeb"/>
                                <w:spacing w:before="0" w:beforeAutospacing="0" w:after="0" w:afterAutospacing="0"/>
                                <w:jc w:val="center"/>
                                <w:rPr>
                                  <w:rFonts w:eastAsiaTheme="minorHAnsi"/>
                                </w:rPr>
                              </w:pPr>
                              <w:r>
                                <w:rPr>
                                  <w:rStyle w:val="Strong"/>
                                </w:rPr>
                                <w:t xml:space="preserve">DHS Statement </w:t>
                              </w:r>
                              <w:proofErr w:type="gramStart"/>
                              <w:r>
                                <w:rPr>
                                  <w:rStyle w:val="Strong"/>
                                </w:rPr>
                                <w:t>On</w:t>
                              </w:r>
                              <w:proofErr w:type="gramEnd"/>
                              <w:r>
                                <w:rPr>
                                  <w:rStyle w:val="Strong"/>
                                </w:rPr>
                                <w:t xml:space="preserve"> Supreme Court Decision on DACA</w:t>
                              </w:r>
                            </w:p>
                          </w:tc>
                        </w:tr>
                        <w:tr w:rsidR="0020758F" w14:paraId="447CB144" w14:textId="77777777" w:rsidTr="0020758F">
                          <w:trPr>
                            <w:jc w:val="center"/>
                          </w:trPr>
                          <w:tc>
                            <w:tcPr>
                              <w:tcW w:w="5000" w:type="pct"/>
                              <w:shd w:val="clear" w:color="auto" w:fill="FFFFFF"/>
                              <w:tcMar>
                                <w:top w:w="75" w:type="dxa"/>
                                <w:left w:w="75" w:type="dxa"/>
                                <w:bottom w:w="75" w:type="dxa"/>
                                <w:right w:w="75" w:type="dxa"/>
                              </w:tcMar>
                              <w:vAlign w:val="center"/>
                              <w:hideMark/>
                            </w:tcPr>
                            <w:p w14:paraId="6B51B2DD"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WASHINGTON- The Department of Homeland Security released the following statements regarding the Supreme Court decision on DACA.</w:t>
                              </w:r>
                            </w:p>
                            <w:p w14:paraId="3847AA5E"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 </w:t>
                              </w:r>
                            </w:p>
                            <w:p w14:paraId="305FA926"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 xml:space="preserve">Acting Secretary Chad Wolf: “DACA recipients deserve closure and finality surrounding their status here in the U.S. Unfortunately, today’s Supreme Court decision fails to provide that certainty. The DACA program was created out of thin air and implemented illegally. The American people deserve to have the Nation’s laws faithfully executed as written by their representatives in Congress—not based on the arbitrary decisions of a past Administration. This ruling usurps the clear authority of the Executive Branch to end unlawful programs.” </w:t>
                              </w:r>
                            </w:p>
                            <w:p w14:paraId="60E8D7D7"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 </w:t>
                              </w:r>
                            </w:p>
                            <w:p w14:paraId="5FAD466B" w14:textId="77777777" w:rsidR="0020758F" w:rsidRDefault="0020758F" w:rsidP="0020758F">
                              <w:pPr>
                                <w:pStyle w:val="NormalWeb"/>
                                <w:spacing w:before="0" w:beforeAutospacing="0" w:after="0" w:afterAutospacing="0"/>
                                <w:rPr>
                                  <w:color w:val="000000"/>
                                </w:rPr>
                              </w:pPr>
                              <w:r>
                                <w:rPr>
                                  <w:color w:val="000000"/>
                                </w:rPr>
                                <w:t xml:space="preserve">Acting Deputy Secretary Ken Cuccinelli: “The Supreme Court’s decision is an affront to the rule of law and gives </w:t>
                              </w:r>
                              <w:proofErr w:type="gramStart"/>
                              <w:r>
                                <w:rPr>
                                  <w:color w:val="000000"/>
                                </w:rPr>
                                <w:t>Presidents</w:t>
                              </w:r>
                              <w:proofErr w:type="gramEnd"/>
                              <w:r>
                                <w:rPr>
                                  <w:color w:val="000000"/>
                                </w:rPr>
                                <w:t xml:space="preserve"> power to extend discretionary policies into future Administrations. No Justice will say that the DACA program is lawful, and that should be enough reason to end it.  Justice Clarence Thomas had it right in dissent: ‘Such timidity [by SCOTUS] forsakes the Court’s duty to apply the law according to neutral principles and the ripple effects of the majority’s error will be felt throughout our system of self-government.’”</w:t>
                              </w:r>
                            </w:p>
                            <w:p w14:paraId="1573659E" w14:textId="77777777" w:rsidR="0020758F" w:rsidRDefault="0020758F" w:rsidP="0020758F">
                              <w:pPr>
                                <w:pStyle w:val="NormalWeb"/>
                                <w:spacing w:before="0" w:beforeAutospacing="0" w:after="0" w:afterAutospacing="0"/>
                                <w:rPr>
                                  <w:color w:val="000000"/>
                                </w:rPr>
                              </w:pPr>
                            </w:p>
                            <w:p w14:paraId="070E23B6" w14:textId="77777777" w:rsidR="0020758F" w:rsidRDefault="0020758F" w:rsidP="0020758F">
                              <w:pPr>
                                <w:pStyle w:val="NormalWeb"/>
                                <w:spacing w:before="0" w:beforeAutospacing="0" w:after="0" w:afterAutospacing="0"/>
                                <w:rPr>
                                  <w:rFonts w:ascii="Book Antiqua" w:hAnsi="Book Antiqua"/>
                                  <w:color w:val="000000"/>
                                  <w:sz w:val="23"/>
                                  <w:szCs w:val="23"/>
                                </w:rPr>
                              </w:pPr>
                              <w:hyperlink r:id="rId782" w:history="1">
                                <w:r w:rsidRPr="0037669D">
                                  <w:rPr>
                                    <w:rStyle w:val="Hyperlink"/>
                                  </w:rPr>
                                  <w:t>https://www.dhs.gov/news/2020/06/18/dhs-statement-supreme-court-decision-daca</w:t>
                                </w:r>
                              </w:hyperlink>
                            </w:p>
                          </w:tc>
                        </w:tr>
                        <w:tr w:rsidR="0020758F" w14:paraId="43FD253C" w14:textId="77777777" w:rsidTr="0020758F">
                          <w:trPr>
                            <w:jc w:val="center"/>
                          </w:trPr>
                          <w:tc>
                            <w:tcPr>
                              <w:tcW w:w="5000" w:type="pct"/>
                              <w:shd w:val="clear" w:color="auto" w:fill="FFFFFF"/>
                              <w:vAlign w:val="center"/>
                              <w:hideMark/>
                            </w:tcPr>
                            <w:p w14:paraId="7EA967B9" w14:textId="77777777" w:rsidR="0020758F" w:rsidRDefault="0020758F" w:rsidP="0020758F">
                              <w:pPr>
                                <w:pStyle w:val="gdp"/>
                                <w:spacing w:before="150" w:beforeAutospacing="0" w:after="150" w:afterAutospacing="0"/>
                                <w:jc w:val="center"/>
                                <w:rPr>
                                  <w:rFonts w:ascii="Book Antiqua" w:hAnsi="Book Antiqua"/>
                                  <w:sz w:val="23"/>
                                  <w:szCs w:val="23"/>
                                </w:rPr>
                              </w:pPr>
                            </w:p>
                          </w:tc>
                        </w:tr>
                      </w:tbl>
                      <w:p w14:paraId="618A408B" w14:textId="77777777" w:rsidR="0020758F" w:rsidRDefault="0020758F" w:rsidP="0020758F">
                        <w:pPr>
                          <w:jc w:val="center"/>
                          <w:rPr>
                            <w:rFonts w:ascii="Times New Roman" w:eastAsia="Times New Roman" w:hAnsi="Times New Roman"/>
                            <w:sz w:val="20"/>
                            <w:szCs w:val="20"/>
                          </w:rPr>
                        </w:pPr>
                      </w:p>
                    </w:tc>
                  </w:tr>
                </w:tbl>
                <w:p w14:paraId="5DF03FA9" w14:textId="77777777" w:rsidR="0020758F" w:rsidRDefault="0020758F" w:rsidP="0020758F">
                  <w:pPr>
                    <w:jc w:val="center"/>
                    <w:rPr>
                      <w:rFonts w:ascii="Times New Roman" w:eastAsia="Times New Roman" w:hAnsi="Times New Roman"/>
                      <w:sz w:val="20"/>
                      <w:szCs w:val="20"/>
                    </w:rPr>
                  </w:pPr>
                </w:p>
              </w:tc>
            </w:tr>
          </w:tbl>
          <w:p w14:paraId="477854EC" w14:textId="77777777" w:rsidR="0020758F" w:rsidRDefault="0020758F" w:rsidP="0020758F">
            <w:pPr>
              <w:jc w:val="center"/>
              <w:rPr>
                <w:rFonts w:ascii="Times New Roman" w:eastAsia="Times New Roman" w:hAnsi="Times New Roman"/>
                <w:sz w:val="20"/>
                <w:szCs w:val="20"/>
              </w:rPr>
            </w:pPr>
          </w:p>
        </w:tc>
      </w:tr>
    </w:tbl>
    <w:p w14:paraId="423FA37B" w14:textId="77777777" w:rsidR="0020758F" w:rsidRDefault="0020758F" w:rsidP="00F326E5">
      <w:pPr>
        <w:pStyle w:val="NoSpacing"/>
        <w:rPr>
          <w:rFonts w:ascii="Arial Black" w:hAnsi="Arial Black"/>
          <w:sz w:val="28"/>
          <w:szCs w:val="28"/>
        </w:rPr>
      </w:pPr>
    </w:p>
    <w:p w14:paraId="4044D1AE" w14:textId="77777777" w:rsidR="0020758F" w:rsidRDefault="0020758F" w:rsidP="00F326E5">
      <w:pPr>
        <w:pStyle w:val="NoSpacing"/>
        <w:rPr>
          <w:rFonts w:ascii="Arial Black" w:hAnsi="Arial Black"/>
          <w:sz w:val="28"/>
          <w:szCs w:val="28"/>
        </w:rPr>
      </w:pPr>
    </w:p>
    <w:p w14:paraId="746802DD" w14:textId="77777777" w:rsidR="0020758F" w:rsidRDefault="0020758F" w:rsidP="00F326E5">
      <w:pPr>
        <w:pStyle w:val="NoSpacing"/>
        <w:rPr>
          <w:rFonts w:ascii="Arial Black" w:hAnsi="Arial Black"/>
          <w:sz w:val="28"/>
          <w:szCs w:val="28"/>
        </w:rPr>
      </w:pPr>
    </w:p>
    <w:p w14:paraId="7F21F478" w14:textId="77777777" w:rsidR="0020758F" w:rsidRDefault="0020758F" w:rsidP="00F326E5">
      <w:pPr>
        <w:pStyle w:val="NoSpacing"/>
        <w:rPr>
          <w:rFonts w:ascii="Arial Black" w:hAnsi="Arial Black"/>
          <w:sz w:val="28"/>
          <w:szCs w:val="28"/>
        </w:rPr>
      </w:pPr>
    </w:p>
    <w:p w14:paraId="7A1B8250" w14:textId="5542CF92" w:rsidR="005F0E6D" w:rsidRDefault="005F0E6D" w:rsidP="00F326E5">
      <w:pPr>
        <w:pStyle w:val="NoSpacing"/>
        <w:rPr>
          <w:rFonts w:ascii="Arial Black" w:hAnsi="Arial Black"/>
          <w:sz w:val="28"/>
          <w:szCs w:val="28"/>
        </w:rPr>
      </w:pPr>
      <w:r>
        <w:rPr>
          <w:rFonts w:ascii="Arial Black" w:hAnsi="Arial Black"/>
          <w:sz w:val="28"/>
          <w:szCs w:val="28"/>
        </w:rPr>
        <w:t>3-22</w:t>
      </w:r>
    </w:p>
    <w:p w14:paraId="51F0840B" w14:textId="25D069EA" w:rsidR="005F0E6D" w:rsidRDefault="005F0E6D" w:rsidP="00F326E5">
      <w:pPr>
        <w:pStyle w:val="NoSpacing"/>
        <w:rPr>
          <w:rFonts w:ascii="Arial Black" w:hAnsi="Arial Black"/>
          <w:sz w:val="28"/>
          <w:szCs w:val="28"/>
        </w:rPr>
      </w:pPr>
    </w:p>
    <w:p w14:paraId="7CDAB09D" w14:textId="77777777" w:rsidR="005F0E6D" w:rsidRPr="00F366B7" w:rsidRDefault="005F0E6D" w:rsidP="005F0E6D">
      <w:pPr>
        <w:pStyle w:val="NoSpacing"/>
        <w:rPr>
          <w:rFonts w:ascii="Arial Black" w:hAnsi="Arial Black"/>
          <w:b/>
          <w:bCs/>
          <w:sz w:val="28"/>
          <w:szCs w:val="28"/>
        </w:rPr>
      </w:pPr>
      <w:r w:rsidRPr="00F366B7">
        <w:rPr>
          <w:rFonts w:ascii="Arial Black" w:hAnsi="Arial Black"/>
          <w:bCs/>
          <w:sz w:val="28"/>
          <w:szCs w:val="28"/>
        </w:rPr>
        <w:t>NY:</w:t>
      </w:r>
      <w:r>
        <w:rPr>
          <w:rFonts w:ascii="Arial Black" w:hAnsi="Arial Black"/>
          <w:bCs/>
          <w:sz w:val="28"/>
          <w:szCs w:val="28"/>
        </w:rPr>
        <w:t xml:space="preserve"> TERRORIST – FINGERPRINTS ON BOMB’S PACKING TAPE – CROSS EXAM. FBI EXAMINER NOT ON SPAIN CASE</w:t>
      </w:r>
    </w:p>
    <w:p w14:paraId="6CB67344" w14:textId="77777777" w:rsidR="005F0E6D" w:rsidRPr="00F366B7" w:rsidRDefault="005F0E6D" w:rsidP="005F0E6D">
      <w:pPr>
        <w:pStyle w:val="NoSpacing"/>
        <w:ind w:left="720"/>
        <w:rPr>
          <w:rFonts w:ascii="NYArial Black" w:hAnsi="NYArial Black"/>
          <w:b/>
          <w:bCs/>
          <w:sz w:val="28"/>
          <w:szCs w:val="28"/>
        </w:rPr>
      </w:pPr>
    </w:p>
    <w:p w14:paraId="53EF50B2" w14:textId="23365003" w:rsidR="005F0E6D" w:rsidRDefault="005F0E6D" w:rsidP="005F0E6D">
      <w:pPr>
        <w:pStyle w:val="NoSpacing"/>
        <w:rPr>
          <w:rFonts w:ascii="Times New Roman" w:hAnsi="Times New Roman"/>
          <w:bCs/>
          <w:sz w:val="24"/>
          <w:szCs w:val="24"/>
        </w:rPr>
      </w:pPr>
      <w:r w:rsidRPr="000A5D76">
        <w:rPr>
          <w:rFonts w:ascii="Times New Roman" w:hAnsi="Times New Roman"/>
          <w:bCs/>
          <w:sz w:val="24"/>
          <w:szCs w:val="24"/>
        </w:rPr>
        <w:t xml:space="preserve">On April 16, 2020, in </w:t>
      </w:r>
      <w:r w:rsidRPr="000A5D76">
        <w:rPr>
          <w:rFonts w:ascii="Times New Roman" w:hAnsi="Times New Roman"/>
          <w:bCs/>
          <w:sz w:val="24"/>
          <w:szCs w:val="24"/>
          <w:u w:val="single"/>
        </w:rPr>
        <w:t>United States of America v. Muhanad Mahmoud Al Farekh</w:t>
      </w:r>
      <w:r w:rsidRPr="000A5D76">
        <w:rPr>
          <w:rFonts w:ascii="Times New Roman" w:hAnsi="Times New Roman"/>
          <w:bCs/>
          <w:sz w:val="24"/>
          <w:szCs w:val="24"/>
        </w:rPr>
        <w:t xml:space="preserve">, the U.S. Court of Appeals for Second Circuit (New York) held (3 to 0) that trial judge properly reviewed FBI classified documents </w:t>
      </w:r>
      <w:r w:rsidRPr="000A5D76">
        <w:rPr>
          <w:rFonts w:ascii="Times New Roman" w:hAnsi="Times New Roman"/>
          <w:bCs/>
          <w:i/>
          <w:iCs/>
          <w:sz w:val="24"/>
          <w:szCs w:val="24"/>
        </w:rPr>
        <w:t xml:space="preserve">ex </w:t>
      </w:r>
      <w:proofErr w:type="spellStart"/>
      <w:r w:rsidRPr="000A5D76">
        <w:rPr>
          <w:rFonts w:ascii="Times New Roman" w:hAnsi="Times New Roman"/>
          <w:bCs/>
          <w:i/>
          <w:iCs/>
          <w:sz w:val="24"/>
          <w:szCs w:val="24"/>
        </w:rPr>
        <w:t>parte</w:t>
      </w:r>
      <w:proofErr w:type="spellEnd"/>
      <w:r w:rsidRPr="000A5D76">
        <w:rPr>
          <w:rFonts w:ascii="Times New Roman" w:hAnsi="Times New Roman"/>
          <w:bCs/>
          <w:sz w:val="24"/>
          <w:szCs w:val="24"/>
        </w:rPr>
        <w:t xml:space="preserve"> (without defense counsel), and properly prohibited defense counsel to cross-examination of FBI fingerprint examiner about another FBI fingerprint case 16 years earlier involving attacks on commuter trains in Madrid, Spain.   [Note: In </w:t>
      </w:r>
      <w:proofErr w:type="gramStart"/>
      <w:r w:rsidRPr="000A5D76">
        <w:rPr>
          <w:rFonts w:ascii="Times New Roman" w:hAnsi="Times New Roman"/>
          <w:bCs/>
          <w:sz w:val="24"/>
          <w:szCs w:val="24"/>
        </w:rPr>
        <w:t>May,</w:t>
      </w:r>
      <w:proofErr w:type="gramEnd"/>
      <w:r w:rsidRPr="000A5D76">
        <w:rPr>
          <w:rFonts w:ascii="Times New Roman" w:hAnsi="Times New Roman"/>
          <w:bCs/>
          <w:sz w:val="24"/>
          <w:szCs w:val="24"/>
        </w:rPr>
        <w:t xml:space="preserve"> 2004, the FBI arrested Brandon Mayfield, </w:t>
      </w:r>
      <w:proofErr w:type="gramStart"/>
      <w:r w:rsidRPr="000A5D76">
        <w:rPr>
          <w:rFonts w:ascii="Times New Roman" w:hAnsi="Times New Roman"/>
          <w:bCs/>
          <w:sz w:val="24"/>
          <w:szCs w:val="24"/>
        </w:rPr>
        <w:t>a</w:t>
      </w:r>
      <w:proofErr w:type="gramEnd"/>
      <w:r w:rsidRPr="000A5D76">
        <w:rPr>
          <w:rFonts w:ascii="Times New Roman" w:hAnsi="Times New Roman"/>
          <w:bCs/>
          <w:sz w:val="24"/>
          <w:szCs w:val="24"/>
        </w:rPr>
        <w:t xml:space="preserve"> Oregon attorney, as a material witness in an investigation of the terrorist attacks on commuter trains in Madrid, Spain in </w:t>
      </w:r>
      <w:proofErr w:type="gramStart"/>
      <w:r w:rsidRPr="000A5D76">
        <w:rPr>
          <w:rFonts w:ascii="Times New Roman" w:hAnsi="Times New Roman"/>
          <w:bCs/>
          <w:sz w:val="24"/>
          <w:szCs w:val="24"/>
        </w:rPr>
        <w:t>March,</w:t>
      </w:r>
      <w:proofErr w:type="gramEnd"/>
      <w:r w:rsidRPr="000A5D76">
        <w:rPr>
          <w:rFonts w:ascii="Times New Roman" w:hAnsi="Times New Roman"/>
          <w:bCs/>
          <w:sz w:val="24"/>
          <w:szCs w:val="24"/>
        </w:rPr>
        <w:t xml:space="preserve"> 2004.  The FBI Laboratory </w:t>
      </w:r>
    </w:p>
    <w:p w14:paraId="1EF7A63E" w14:textId="77777777" w:rsidR="005F0E6D" w:rsidRPr="000A5D76" w:rsidRDefault="005F0E6D" w:rsidP="005F0E6D">
      <w:pPr>
        <w:pStyle w:val="NoSpacing"/>
        <w:rPr>
          <w:rFonts w:ascii="Times New Roman" w:hAnsi="Times New Roman"/>
          <w:b/>
          <w:bCs/>
          <w:sz w:val="24"/>
          <w:szCs w:val="24"/>
        </w:rPr>
      </w:pPr>
      <w:proofErr w:type="gramStart"/>
      <w:r w:rsidRPr="000A5D76">
        <w:rPr>
          <w:rFonts w:ascii="Times New Roman" w:hAnsi="Times New Roman"/>
          <w:bCs/>
          <w:sz w:val="24"/>
          <w:szCs w:val="24"/>
        </w:rPr>
        <w:t>identified Mayfield’s</w:t>
      </w:r>
      <w:proofErr w:type="gramEnd"/>
      <w:r w:rsidRPr="000A5D76">
        <w:rPr>
          <w:rFonts w:ascii="Times New Roman" w:hAnsi="Times New Roman"/>
          <w:bCs/>
          <w:sz w:val="24"/>
          <w:szCs w:val="24"/>
        </w:rPr>
        <w:t xml:space="preserve"> </w:t>
      </w:r>
      <w:proofErr w:type="gramStart"/>
      <w:r w:rsidRPr="000A5D76">
        <w:rPr>
          <w:rFonts w:ascii="Times New Roman" w:hAnsi="Times New Roman"/>
          <w:bCs/>
          <w:sz w:val="24"/>
          <w:szCs w:val="24"/>
        </w:rPr>
        <w:t>fingerprint</w:t>
      </w:r>
      <w:proofErr w:type="gramEnd"/>
      <w:r w:rsidRPr="000A5D76">
        <w:rPr>
          <w:rFonts w:ascii="Times New Roman" w:hAnsi="Times New Roman"/>
          <w:bCs/>
          <w:sz w:val="24"/>
          <w:szCs w:val="24"/>
        </w:rPr>
        <w:t xml:space="preserve"> on a bag of detonators in Madrid.  Two weeks after Mayfield’s arrest, the Spanish National Police identified an Algerian as the source of the fingerprint, and Mayfield was released from custody.]</w:t>
      </w:r>
    </w:p>
    <w:p w14:paraId="1DB14961" w14:textId="77777777" w:rsidR="005F0E6D" w:rsidRPr="000A5D76" w:rsidRDefault="005F0E6D" w:rsidP="005F0E6D">
      <w:pPr>
        <w:pStyle w:val="NoSpacing"/>
        <w:ind w:left="720"/>
        <w:rPr>
          <w:rFonts w:ascii="Times New Roman" w:hAnsi="Times New Roman"/>
          <w:b/>
          <w:bCs/>
          <w:sz w:val="24"/>
          <w:szCs w:val="24"/>
        </w:rPr>
      </w:pPr>
    </w:p>
    <w:p w14:paraId="477C0BBA" w14:textId="3558D233" w:rsidR="005F0E6D" w:rsidRDefault="005F0E6D" w:rsidP="005F0E6D">
      <w:pPr>
        <w:pStyle w:val="NoSpacing"/>
        <w:ind w:left="720"/>
        <w:rPr>
          <w:rFonts w:ascii="Arial Black" w:hAnsi="Arial Black"/>
          <w:sz w:val="28"/>
          <w:szCs w:val="28"/>
        </w:rPr>
      </w:pPr>
      <w:r w:rsidRPr="000A5D76">
        <w:rPr>
          <w:rFonts w:ascii="Times New Roman" w:hAnsi="Times New Roman"/>
          <w:bCs/>
          <w:sz w:val="24"/>
          <w:szCs w:val="24"/>
        </w:rPr>
        <w:lastRenderedPageBreak/>
        <w:t>“[T]he District Court did not preclude Al-</w:t>
      </w:r>
      <w:proofErr w:type="spellStart"/>
      <w:r w:rsidRPr="000A5D76">
        <w:rPr>
          <w:rFonts w:ascii="Times New Roman" w:hAnsi="Times New Roman"/>
          <w:bCs/>
          <w:sz w:val="24"/>
          <w:szCs w:val="24"/>
        </w:rPr>
        <w:t>Farekh</w:t>
      </w:r>
      <w:proofErr w:type="spellEnd"/>
      <w:r w:rsidRPr="000A5D76">
        <w:rPr>
          <w:rFonts w:ascii="Times New Roman" w:hAnsi="Times New Roman"/>
          <w:bCs/>
          <w:sz w:val="24"/>
          <w:szCs w:val="24"/>
        </w:rPr>
        <w:t xml:space="preserve"> from highlighting the possible subjectivity of, and potential flaws in, fingerprint evidence through his cross-examination of Sibley. </w:t>
      </w:r>
      <w:proofErr w:type="gramStart"/>
      <w:r w:rsidRPr="000A5D76">
        <w:rPr>
          <w:rFonts w:ascii="Times New Roman" w:hAnsi="Times New Roman"/>
          <w:bCs/>
          <w:sz w:val="24"/>
          <w:szCs w:val="24"/>
        </w:rPr>
        <w:t>To</w:t>
      </w:r>
      <w:proofErr w:type="gramEnd"/>
      <w:r w:rsidRPr="000A5D76">
        <w:rPr>
          <w:rFonts w:ascii="Times New Roman" w:hAnsi="Times New Roman"/>
          <w:bCs/>
          <w:sz w:val="24"/>
          <w:szCs w:val="24"/>
        </w:rPr>
        <w:t xml:space="preserve"> the contrary, Al-</w:t>
      </w:r>
      <w:proofErr w:type="spellStart"/>
      <w:r w:rsidRPr="000A5D76">
        <w:rPr>
          <w:rFonts w:ascii="Times New Roman" w:hAnsi="Times New Roman"/>
          <w:bCs/>
          <w:sz w:val="24"/>
          <w:szCs w:val="24"/>
        </w:rPr>
        <w:t>Farekh</w:t>
      </w:r>
      <w:proofErr w:type="spellEnd"/>
      <w:r w:rsidRPr="000A5D76">
        <w:rPr>
          <w:rFonts w:ascii="Times New Roman" w:hAnsi="Times New Roman"/>
          <w:bCs/>
          <w:sz w:val="24"/>
          <w:szCs w:val="24"/>
        </w:rPr>
        <w:t xml:space="preserve"> had the opportunity to do just that. Sibley testified, for example, about the ‘level of subjectivity in latent print comparisons’ and about the potential for mistakes by examiners in making false positive identifications. Other than being unable to rely on the Mayfield case and the report of the Department of Justice’s Office of Inspector General prepared on that case, Al-</w:t>
      </w:r>
      <w:proofErr w:type="spellStart"/>
      <w:r w:rsidRPr="000A5D76">
        <w:rPr>
          <w:rFonts w:ascii="Times New Roman" w:hAnsi="Times New Roman"/>
          <w:bCs/>
          <w:sz w:val="24"/>
          <w:szCs w:val="24"/>
        </w:rPr>
        <w:t>Farekh</w:t>
      </w:r>
      <w:proofErr w:type="spellEnd"/>
      <w:r w:rsidRPr="000A5D76">
        <w:rPr>
          <w:rFonts w:ascii="Times New Roman" w:hAnsi="Times New Roman"/>
          <w:bCs/>
          <w:sz w:val="24"/>
          <w:szCs w:val="24"/>
        </w:rPr>
        <w:t xml:space="preserve"> was free to attack Sibley’s methodology and fingerprint examinations as a type of evidence.” </w:t>
      </w:r>
      <w:hyperlink r:id="rId783" w:anchor="xml=http://www.ca2.uscourts.gov/decisions/isysquery/d136f88b-cd40-4720-ac80-979ab5d9e37d/2/hilite/" w:history="1">
        <w:r w:rsidRPr="000A5D76">
          <w:rPr>
            <w:rStyle w:val="Hyperlink"/>
            <w:rFonts w:ascii="Times New Roman" w:hAnsi="Times New Roman"/>
            <w:b/>
            <w:sz w:val="24"/>
            <w:szCs w:val="24"/>
          </w:rPr>
          <w:t>http://www.ca2.uscourts.gov/decisions/isysquery/d136f88b-cd40-4720-ac80-979ab5d9e37d/2/doc/18-943_opn.pdf#xml=http://www.ca2.uscourts.gov/decisions/isysquery/d136f88b-cd40-4720-ac80-979ab5d9e37d/2/hilite/</w:t>
        </w:r>
      </w:hyperlink>
    </w:p>
    <w:p w14:paraId="7A34C34C" w14:textId="73447424" w:rsidR="005F0E6D" w:rsidRDefault="005F0E6D" w:rsidP="00F326E5">
      <w:pPr>
        <w:pStyle w:val="NoSpacing"/>
        <w:rPr>
          <w:rFonts w:ascii="Arial Black" w:hAnsi="Arial Black"/>
          <w:sz w:val="28"/>
          <w:szCs w:val="28"/>
        </w:rPr>
      </w:pPr>
    </w:p>
    <w:p w14:paraId="4FC37C09" w14:textId="77777777" w:rsidR="005F0E6D" w:rsidRPr="000A5D76" w:rsidRDefault="005F0E6D" w:rsidP="005F0E6D">
      <w:pPr>
        <w:pStyle w:val="NoSpacing"/>
        <w:rPr>
          <w:rFonts w:ascii="Times New Roman" w:hAnsi="Times New Roman"/>
          <w:b/>
          <w:bCs/>
          <w:sz w:val="24"/>
          <w:szCs w:val="24"/>
        </w:rPr>
      </w:pPr>
      <w:bookmarkStart w:id="143" w:name="_Hlk40509099"/>
      <w:r w:rsidRPr="000A5D76">
        <w:rPr>
          <w:rFonts w:ascii="Times New Roman" w:hAnsi="Times New Roman"/>
          <w:b/>
          <w:bCs/>
          <w:sz w:val="24"/>
          <w:szCs w:val="24"/>
        </w:rPr>
        <w:t>Legal Lessons Learned:  Congress enacted the Classified Information Procedures Act to authorize federal judges to protect from public disclosure classified information. Regarding fingerprint examination, defense counsel may vigorously cross-exam expert witnesses, but not on a mistake by other FBI examiners that occurred 16 years prior.</w:t>
      </w:r>
    </w:p>
    <w:p w14:paraId="197A4BA0" w14:textId="77777777" w:rsidR="005F0E6D" w:rsidRPr="000A5D76" w:rsidRDefault="005F0E6D" w:rsidP="005F0E6D">
      <w:pPr>
        <w:pStyle w:val="NoSpacing"/>
        <w:rPr>
          <w:rFonts w:ascii="Times New Roman" w:hAnsi="Times New Roman"/>
          <w:sz w:val="24"/>
          <w:szCs w:val="24"/>
        </w:rPr>
      </w:pPr>
    </w:p>
    <w:p w14:paraId="03B3F140"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Note:  See  </w:t>
      </w:r>
      <w:proofErr w:type="spellStart"/>
      <w:r w:rsidRPr="000A5D76">
        <w:rPr>
          <w:rFonts w:ascii="Times New Roman" w:hAnsi="Times New Roman"/>
          <w:bCs/>
          <w:sz w:val="24"/>
          <w:szCs w:val="24"/>
        </w:rPr>
        <w:t>DoJ</w:t>
      </w:r>
      <w:proofErr w:type="spellEnd"/>
      <w:r w:rsidRPr="000A5D76">
        <w:rPr>
          <w:rFonts w:ascii="Times New Roman" w:hAnsi="Times New Roman"/>
          <w:bCs/>
          <w:sz w:val="24"/>
          <w:szCs w:val="24"/>
        </w:rPr>
        <w:t xml:space="preserve">, Inspector General report on the Spanish investigation: </w:t>
      </w:r>
      <w:hyperlink r:id="rId784" w:history="1">
        <w:r w:rsidRPr="000A5D76">
          <w:rPr>
            <w:rStyle w:val="Hyperlink"/>
            <w:rFonts w:ascii="Times New Roman" w:hAnsi="Times New Roman"/>
            <w:b/>
            <w:sz w:val="24"/>
            <w:szCs w:val="24"/>
          </w:rPr>
          <w:t>https://oig.justice.gov/special/s0601/final.pdf</w:t>
        </w:r>
      </w:hyperlink>
      <w:r w:rsidRPr="000A5D76">
        <w:rPr>
          <w:rFonts w:ascii="Times New Roman" w:hAnsi="Times New Roman"/>
          <w:bCs/>
          <w:sz w:val="24"/>
          <w:szCs w:val="24"/>
        </w:rPr>
        <w:t xml:space="preserve"> </w:t>
      </w:r>
    </w:p>
    <w:bookmarkEnd w:id="143"/>
    <w:p w14:paraId="293AD99A" w14:textId="77777777" w:rsidR="005F0E6D" w:rsidRPr="000A5D76" w:rsidRDefault="005F0E6D" w:rsidP="005F0E6D">
      <w:pPr>
        <w:pStyle w:val="NoSpacing"/>
        <w:rPr>
          <w:rFonts w:ascii="Times New Roman" w:hAnsi="Times New Roman"/>
          <w:sz w:val="24"/>
          <w:szCs w:val="24"/>
        </w:rPr>
      </w:pPr>
    </w:p>
    <w:p w14:paraId="24286BB0" w14:textId="3DB7F3EA" w:rsidR="005F0E6D" w:rsidRDefault="005F0E6D" w:rsidP="00F326E5">
      <w:pPr>
        <w:pStyle w:val="NoSpacing"/>
        <w:rPr>
          <w:rFonts w:ascii="Arial Black" w:hAnsi="Arial Black"/>
          <w:sz w:val="28"/>
          <w:szCs w:val="28"/>
        </w:rPr>
      </w:pPr>
    </w:p>
    <w:p w14:paraId="55151B98" w14:textId="77777777" w:rsidR="005F0E6D" w:rsidRDefault="005F0E6D" w:rsidP="00F326E5">
      <w:pPr>
        <w:pStyle w:val="NoSpacing"/>
        <w:rPr>
          <w:rFonts w:ascii="Arial Black" w:hAnsi="Arial Black"/>
          <w:sz w:val="28"/>
          <w:szCs w:val="28"/>
        </w:rPr>
      </w:pPr>
    </w:p>
    <w:p w14:paraId="5BD6C40F" w14:textId="130677F6" w:rsidR="005F0E6D" w:rsidRDefault="005F0E6D" w:rsidP="00F326E5">
      <w:pPr>
        <w:pStyle w:val="NoSpacing"/>
        <w:rPr>
          <w:rFonts w:ascii="Arial Black" w:hAnsi="Arial Black"/>
          <w:sz w:val="28"/>
          <w:szCs w:val="28"/>
        </w:rPr>
      </w:pPr>
      <w:r>
        <w:rPr>
          <w:rFonts w:ascii="Arial Black" w:hAnsi="Arial Black"/>
          <w:sz w:val="28"/>
          <w:szCs w:val="28"/>
        </w:rPr>
        <w:t>3-21</w:t>
      </w:r>
    </w:p>
    <w:p w14:paraId="66090080" w14:textId="026526EA" w:rsidR="005F0E6D" w:rsidRDefault="005F0E6D" w:rsidP="00F326E5">
      <w:pPr>
        <w:pStyle w:val="NoSpacing"/>
        <w:rPr>
          <w:rFonts w:ascii="Arial Black" w:hAnsi="Arial Black"/>
          <w:sz w:val="28"/>
          <w:szCs w:val="28"/>
        </w:rPr>
      </w:pPr>
    </w:p>
    <w:p w14:paraId="7A721792" w14:textId="77777777" w:rsidR="005F0E6D" w:rsidRPr="00817615" w:rsidRDefault="005F0E6D" w:rsidP="005F0E6D">
      <w:pPr>
        <w:pStyle w:val="NoSpacing"/>
        <w:rPr>
          <w:rFonts w:ascii="Arial Black" w:hAnsi="Arial Black"/>
          <w:b/>
          <w:bCs/>
          <w:sz w:val="28"/>
          <w:szCs w:val="28"/>
        </w:rPr>
      </w:pPr>
      <w:r>
        <w:rPr>
          <w:rFonts w:ascii="Arial Black" w:hAnsi="Arial Black"/>
          <w:bCs/>
          <w:sz w:val="28"/>
          <w:szCs w:val="28"/>
        </w:rPr>
        <w:t>MD: CIA / DOD – FORMER EMPLOYEES MUST HAVE “PRE-PUBLICATION REVIEWS” – LAWFUL, EVEN IF SLOW</w:t>
      </w:r>
    </w:p>
    <w:p w14:paraId="05FF4709" w14:textId="77777777" w:rsidR="005F0E6D" w:rsidRDefault="005F0E6D" w:rsidP="005F0E6D">
      <w:pPr>
        <w:pStyle w:val="NoSpacing"/>
        <w:ind w:left="720"/>
        <w:rPr>
          <w:b/>
          <w:bCs/>
          <w:sz w:val="24"/>
          <w:szCs w:val="24"/>
        </w:rPr>
      </w:pPr>
    </w:p>
    <w:p w14:paraId="2D54D5A6" w14:textId="77777777" w:rsidR="005F0E6D" w:rsidRPr="000A5D76" w:rsidRDefault="005F0E6D" w:rsidP="005F0E6D">
      <w:pPr>
        <w:pStyle w:val="NoSpacing"/>
        <w:rPr>
          <w:rStyle w:val="headertext"/>
          <w:rFonts w:ascii="Times New Roman" w:hAnsi="Times New Roman"/>
          <w:b/>
          <w:bCs/>
          <w:sz w:val="24"/>
          <w:szCs w:val="24"/>
        </w:rPr>
      </w:pPr>
      <w:r w:rsidRPr="000A5D76">
        <w:rPr>
          <w:rFonts w:ascii="Times New Roman" w:hAnsi="Times New Roman"/>
          <w:bCs/>
          <w:sz w:val="24"/>
          <w:szCs w:val="24"/>
        </w:rPr>
        <w:t xml:space="preserve">On April 15, 2020, in </w:t>
      </w:r>
      <w:r w:rsidRPr="000A5D76">
        <w:rPr>
          <w:rFonts w:ascii="Times New Roman" w:hAnsi="Times New Roman"/>
          <w:bCs/>
          <w:sz w:val="24"/>
          <w:szCs w:val="24"/>
          <w:u w:val="single"/>
        </w:rPr>
        <w:t>Timothy H. Edgar, et al. v. Daniel Coats, et al</w:t>
      </w:r>
      <w:r w:rsidRPr="000A5D76">
        <w:rPr>
          <w:rFonts w:ascii="Times New Roman" w:hAnsi="Times New Roman"/>
          <w:bCs/>
          <w:sz w:val="24"/>
          <w:szCs w:val="24"/>
        </w:rPr>
        <w:t xml:space="preserve">., U.S. District Court Judge George J. Hazel, in a 57-page decision, granted the U.S. Government’s motion to dismiss.  Each the five plaintiffs signed agency security agreements, requiring when the left government a prepublication review (“PRR”) of their books and other future publications.  They each complained that CIA and other agencies took too long to conduct the </w:t>
      </w:r>
      <w:proofErr w:type="gramStart"/>
      <w:r w:rsidRPr="000A5D76">
        <w:rPr>
          <w:rFonts w:ascii="Times New Roman" w:hAnsi="Times New Roman"/>
          <w:bCs/>
          <w:sz w:val="24"/>
          <w:szCs w:val="24"/>
        </w:rPr>
        <w:t>reviews, and</w:t>
      </w:r>
      <w:proofErr w:type="gramEnd"/>
      <w:r w:rsidRPr="000A5D76">
        <w:rPr>
          <w:rFonts w:ascii="Times New Roman" w:hAnsi="Times New Roman"/>
          <w:bCs/>
          <w:sz w:val="24"/>
          <w:szCs w:val="24"/>
        </w:rPr>
        <w:t xml:space="preserve"> deleted too much information that may have been embarrassing to the government but was not classified.   Judge Hazel followed the U.S. Supreme Court’s precedent in </w:t>
      </w:r>
      <w:proofErr w:type="spellStart"/>
      <w:r w:rsidRPr="000A5D76">
        <w:rPr>
          <w:rFonts w:ascii="Times New Roman" w:hAnsi="Times New Roman"/>
          <w:bCs/>
          <w:sz w:val="24"/>
          <w:szCs w:val="24"/>
          <w:u w:val="single"/>
        </w:rPr>
        <w:t>Snepp</w:t>
      </w:r>
      <w:proofErr w:type="spellEnd"/>
      <w:r w:rsidRPr="000A5D76">
        <w:rPr>
          <w:rFonts w:ascii="Times New Roman" w:hAnsi="Times New Roman"/>
          <w:bCs/>
          <w:sz w:val="24"/>
          <w:szCs w:val="24"/>
          <w:u w:val="single"/>
        </w:rPr>
        <w:t xml:space="preserve"> v. United States</w:t>
      </w:r>
      <w:r w:rsidRPr="000A5D76">
        <w:rPr>
          <w:rFonts w:ascii="Times New Roman" w:hAnsi="Times New Roman"/>
          <w:bCs/>
          <w:sz w:val="24"/>
          <w:szCs w:val="24"/>
        </w:rPr>
        <w:t xml:space="preserve">, 444 U.S. 507 (1980), where Frank Sneep, a former CIA analyst in Saigon wrote a book in 1977 about the fall of Saigon, “Decent Interval” without getting prior clearance, and was ordered to turn over all proceeds from the book. </w:t>
      </w:r>
    </w:p>
    <w:p w14:paraId="2A950FAE" w14:textId="77777777" w:rsidR="005F0E6D" w:rsidRPr="000A5D76" w:rsidRDefault="005F0E6D" w:rsidP="005F0E6D">
      <w:pPr>
        <w:pStyle w:val="NoSpacing"/>
        <w:ind w:left="720"/>
        <w:rPr>
          <w:rStyle w:val="headertext"/>
          <w:rFonts w:ascii="Times New Roman" w:hAnsi="Times New Roman"/>
          <w:b/>
          <w:bCs/>
          <w:sz w:val="24"/>
          <w:szCs w:val="24"/>
        </w:rPr>
      </w:pPr>
    </w:p>
    <w:p w14:paraId="33875FE7" w14:textId="77777777" w:rsidR="005F0E6D" w:rsidRPr="000A5D76" w:rsidRDefault="005F0E6D" w:rsidP="005F0E6D">
      <w:pPr>
        <w:pStyle w:val="NoSpacing"/>
        <w:ind w:left="720"/>
        <w:rPr>
          <w:rFonts w:ascii="Times New Roman" w:hAnsi="Times New Roman"/>
          <w:b/>
          <w:bCs/>
          <w:sz w:val="24"/>
          <w:szCs w:val="24"/>
          <w:vertAlign w:val="superscript"/>
        </w:rPr>
      </w:pPr>
      <w:r w:rsidRPr="000A5D76">
        <w:rPr>
          <w:rFonts w:ascii="Times New Roman" w:hAnsi="Times New Roman"/>
          <w:bCs/>
          <w:sz w:val="24"/>
          <w:szCs w:val="24"/>
        </w:rPr>
        <w:t xml:space="preserve">“While the allegations Plaintiffs have made about the inadequacies and breadth of the challenged PPR regimes do not appear inaccurate or implausible, </w:t>
      </w:r>
      <w:proofErr w:type="spellStart"/>
      <w:r w:rsidRPr="000A5D76">
        <w:rPr>
          <w:rFonts w:ascii="Times New Roman" w:hAnsi="Times New Roman"/>
          <w:bCs/>
          <w:i/>
          <w:iCs/>
          <w:sz w:val="24"/>
          <w:szCs w:val="24"/>
        </w:rPr>
        <w:t>Snepp</w:t>
      </w:r>
      <w:proofErr w:type="spellEnd"/>
      <w:r w:rsidRPr="000A5D76">
        <w:rPr>
          <w:rFonts w:ascii="Times New Roman" w:hAnsi="Times New Roman"/>
          <w:bCs/>
          <w:sz w:val="24"/>
          <w:szCs w:val="24"/>
        </w:rPr>
        <w:t xml:space="preserve"> remains the precedent governing the Court's evaluation of Plaintiffs' First Amendment claim, and Plaintiffs have failed to demonstrate that the regimes do not meet its low threshold of reasonableness. Accordingly, Plaintiffs' First Amendment claim will be dismissed.</w:t>
      </w:r>
      <w:r w:rsidRPr="000A5D76">
        <w:rPr>
          <w:rFonts w:ascii="Times New Roman" w:hAnsi="Times New Roman"/>
          <w:bCs/>
          <w:sz w:val="24"/>
          <w:szCs w:val="24"/>
          <w:vertAlign w:val="superscript"/>
        </w:rPr>
        <w:t>10</w:t>
      </w:r>
    </w:p>
    <w:p w14:paraId="6B76E4A7" w14:textId="77777777" w:rsidR="005F0E6D" w:rsidRPr="000A5D76" w:rsidRDefault="005F0E6D" w:rsidP="005F0E6D">
      <w:pPr>
        <w:pStyle w:val="NoSpacing"/>
        <w:ind w:left="720"/>
        <w:rPr>
          <w:rFonts w:ascii="Times New Roman" w:hAnsi="Times New Roman"/>
          <w:b/>
          <w:bCs/>
          <w:sz w:val="24"/>
          <w:szCs w:val="24"/>
        </w:rPr>
      </w:pPr>
      <w:bookmarkStart w:id="144" w:name="fr10"/>
      <w:r w:rsidRPr="000A5D76">
        <w:rPr>
          <w:rFonts w:ascii="Times New Roman" w:hAnsi="Times New Roman"/>
          <w:bCs/>
          <w:sz w:val="24"/>
          <w:szCs w:val="24"/>
        </w:rPr>
        <w:t xml:space="preserve">***   Footnote 10. </w:t>
      </w:r>
      <w:bookmarkEnd w:id="144"/>
      <w:r w:rsidRPr="000A5D76">
        <w:rPr>
          <w:rFonts w:ascii="Times New Roman" w:hAnsi="Times New Roman"/>
          <w:bCs/>
          <w:sz w:val="24"/>
          <w:szCs w:val="24"/>
        </w:rPr>
        <w:t xml:space="preserve">It also bears mention that the wholesale reforms to PPR that Plaintiffs seek to obtain from the Court in this claim strain at the limits of the judiciary's role, particularly given the national security context. See Egan, 484 U.S. at 530 (1988). Both that concern and the Court's inability to sidestep </w:t>
      </w:r>
      <w:proofErr w:type="spellStart"/>
      <w:r w:rsidRPr="000A5D76">
        <w:rPr>
          <w:rFonts w:ascii="Times New Roman" w:hAnsi="Times New Roman"/>
          <w:bCs/>
          <w:i/>
          <w:iCs/>
          <w:sz w:val="24"/>
          <w:szCs w:val="24"/>
        </w:rPr>
        <w:t>Snepp</w:t>
      </w:r>
      <w:proofErr w:type="spellEnd"/>
      <w:r w:rsidRPr="000A5D76">
        <w:rPr>
          <w:rFonts w:ascii="Times New Roman" w:hAnsi="Times New Roman"/>
          <w:bCs/>
          <w:i/>
          <w:iCs/>
          <w:sz w:val="24"/>
          <w:szCs w:val="24"/>
        </w:rPr>
        <w:t xml:space="preserve"> </w:t>
      </w:r>
      <w:r w:rsidRPr="000A5D76">
        <w:rPr>
          <w:rFonts w:ascii="Times New Roman" w:hAnsi="Times New Roman"/>
          <w:bCs/>
          <w:sz w:val="24"/>
          <w:szCs w:val="24"/>
        </w:rPr>
        <w:t xml:space="preserve">limit the force of arguments made in the amicus brief submitted by CERL, which describes how lengthy PPR delays chill contributions to public discourse by former officials and discourage national security experts from entering the government…. Whatever the merits of these assertions, they are more properly directed to the branches of government empowered to create and execute public policy rather than to simply evaluate its consistency with the Constitution.” </w:t>
      </w:r>
      <w:hyperlink r:id="rId785" w:history="1">
        <w:r w:rsidRPr="000A5D76">
          <w:rPr>
            <w:rStyle w:val="Hyperlink"/>
            <w:rFonts w:ascii="Times New Roman" w:hAnsi="Times New Roman"/>
            <w:b/>
            <w:sz w:val="24"/>
            <w:szCs w:val="24"/>
          </w:rPr>
          <w:t>https://public.fastcase.com/Wl%2B2t%2BeVuI35%2FN70vAMFZkKd%2BuUeGYT9r22oA9ty28Exj1jRAAAURPUljfVU2169</w:t>
        </w:r>
      </w:hyperlink>
      <w:r w:rsidRPr="000A5D76">
        <w:rPr>
          <w:rFonts w:ascii="Times New Roman" w:hAnsi="Times New Roman"/>
          <w:bCs/>
          <w:sz w:val="24"/>
          <w:szCs w:val="24"/>
        </w:rPr>
        <w:t xml:space="preserve"> </w:t>
      </w:r>
    </w:p>
    <w:p w14:paraId="1C489BE7" w14:textId="77777777" w:rsidR="005F0E6D" w:rsidRDefault="005F0E6D" w:rsidP="005F0E6D">
      <w:pPr>
        <w:pStyle w:val="NoSpacing"/>
        <w:rPr>
          <w:rFonts w:ascii="Times New Roman" w:hAnsi="Times New Roman"/>
          <w:b/>
          <w:bCs/>
          <w:sz w:val="24"/>
          <w:szCs w:val="24"/>
        </w:rPr>
      </w:pPr>
    </w:p>
    <w:p w14:paraId="01F9C96A" w14:textId="52297A60" w:rsidR="005F0E6D" w:rsidRPr="000A5D76" w:rsidRDefault="005F0E6D" w:rsidP="005F0E6D">
      <w:pPr>
        <w:pStyle w:val="NoSpacing"/>
        <w:rPr>
          <w:rFonts w:ascii="Times New Roman" w:hAnsi="Times New Roman"/>
          <w:b/>
          <w:bCs/>
          <w:sz w:val="24"/>
          <w:szCs w:val="24"/>
        </w:rPr>
      </w:pPr>
      <w:r w:rsidRPr="000A5D76">
        <w:rPr>
          <w:rFonts w:ascii="Times New Roman" w:hAnsi="Times New Roman"/>
          <w:b/>
          <w:bCs/>
          <w:sz w:val="24"/>
          <w:szCs w:val="24"/>
        </w:rPr>
        <w:t xml:space="preserve">Legal Lessons Learned:  Prepublication reviews are enforceable. per U.S. Supreme Court’s decision in in </w:t>
      </w:r>
      <w:proofErr w:type="spellStart"/>
      <w:r w:rsidRPr="000A5D76">
        <w:rPr>
          <w:rFonts w:ascii="Times New Roman" w:hAnsi="Times New Roman"/>
          <w:b/>
          <w:bCs/>
          <w:sz w:val="24"/>
          <w:szCs w:val="24"/>
          <w:u w:val="single"/>
        </w:rPr>
        <w:t>Snepp</w:t>
      </w:r>
      <w:proofErr w:type="spellEnd"/>
      <w:r w:rsidRPr="000A5D76">
        <w:rPr>
          <w:rFonts w:ascii="Times New Roman" w:hAnsi="Times New Roman"/>
          <w:b/>
          <w:bCs/>
          <w:sz w:val="24"/>
          <w:szCs w:val="24"/>
          <w:u w:val="single"/>
        </w:rPr>
        <w:t xml:space="preserve"> v. United States</w:t>
      </w:r>
      <w:r w:rsidRPr="000A5D76">
        <w:rPr>
          <w:rFonts w:ascii="Times New Roman" w:hAnsi="Times New Roman"/>
          <w:b/>
          <w:bCs/>
          <w:sz w:val="24"/>
          <w:szCs w:val="24"/>
        </w:rPr>
        <w:t xml:space="preserve">, 444 U.S. 507 (1980). </w:t>
      </w:r>
    </w:p>
    <w:p w14:paraId="66B08EFE" w14:textId="77777777" w:rsidR="005F0E6D" w:rsidRPr="000A5D76" w:rsidRDefault="005F0E6D" w:rsidP="005F0E6D">
      <w:pPr>
        <w:pStyle w:val="NoSpacing"/>
        <w:ind w:left="720"/>
        <w:rPr>
          <w:rFonts w:ascii="Times New Roman" w:hAnsi="Times New Roman"/>
          <w:b/>
          <w:bCs/>
          <w:sz w:val="24"/>
          <w:szCs w:val="24"/>
        </w:rPr>
      </w:pPr>
    </w:p>
    <w:p w14:paraId="1E6A9BEA" w14:textId="77777777" w:rsidR="005F0E6D" w:rsidRPr="000A5D76" w:rsidRDefault="005F0E6D" w:rsidP="005F0E6D">
      <w:pPr>
        <w:pStyle w:val="NoSpacing"/>
        <w:ind w:left="720"/>
        <w:rPr>
          <w:rFonts w:ascii="Times New Roman" w:hAnsi="Times New Roman"/>
          <w:sz w:val="24"/>
          <w:szCs w:val="24"/>
        </w:rPr>
      </w:pPr>
      <w:r w:rsidRPr="000A5D76">
        <w:rPr>
          <w:rFonts w:ascii="Times New Roman" w:hAnsi="Times New Roman"/>
          <w:bCs/>
          <w:sz w:val="24"/>
          <w:szCs w:val="24"/>
        </w:rPr>
        <w:t>Note:</w:t>
      </w:r>
      <w:r w:rsidRPr="000A5D76">
        <w:rPr>
          <w:rFonts w:ascii="Times New Roman" w:hAnsi="Times New Roman"/>
          <w:sz w:val="24"/>
          <w:szCs w:val="24"/>
        </w:rPr>
        <w:t xml:space="preserve"> </w:t>
      </w:r>
      <w:r w:rsidRPr="000A5D76">
        <w:rPr>
          <w:rFonts w:ascii="Times New Roman" w:hAnsi="Times New Roman"/>
          <w:bCs/>
          <w:sz w:val="24"/>
          <w:szCs w:val="24"/>
        </w:rPr>
        <w:t>When Frank Snepp was sued, he had already received about $60,000 in advance payments from his publisher.  The U.S. Supreme Court held (6 to 3), “</w:t>
      </w:r>
      <w:r w:rsidRPr="000A5D76">
        <w:rPr>
          <w:rStyle w:val="headertext"/>
          <w:rFonts w:ascii="Times New Roman" w:hAnsi="Times New Roman"/>
          <w:bCs/>
          <w:sz w:val="24"/>
          <w:szCs w:val="24"/>
        </w:rPr>
        <w:t xml:space="preserve">We agree with the Court of Appeals that </w:t>
      </w:r>
      <w:proofErr w:type="spellStart"/>
      <w:r w:rsidRPr="000A5D76">
        <w:rPr>
          <w:rStyle w:val="headertext"/>
          <w:rFonts w:ascii="Times New Roman" w:hAnsi="Times New Roman"/>
          <w:bCs/>
          <w:sz w:val="24"/>
          <w:szCs w:val="24"/>
        </w:rPr>
        <w:t>Snepp's</w:t>
      </w:r>
      <w:proofErr w:type="spellEnd"/>
      <w:r w:rsidRPr="000A5D76">
        <w:rPr>
          <w:rStyle w:val="headertext"/>
          <w:rFonts w:ascii="Times New Roman" w:hAnsi="Times New Roman"/>
          <w:bCs/>
          <w:sz w:val="24"/>
          <w:szCs w:val="24"/>
        </w:rPr>
        <w:t xml:space="preserve"> agreement is an ‘entirely appropriate’ exercise of the CIA Director's statutory mandate to ‘</w:t>
      </w:r>
      <w:proofErr w:type="spellStart"/>
      <w:r w:rsidRPr="000A5D76">
        <w:rPr>
          <w:rStyle w:val="headertext"/>
          <w:rFonts w:ascii="Times New Roman" w:hAnsi="Times New Roman"/>
          <w:bCs/>
          <w:sz w:val="24"/>
          <w:szCs w:val="24"/>
        </w:rPr>
        <w:t>protec</w:t>
      </w:r>
      <w:proofErr w:type="spellEnd"/>
      <w:r w:rsidRPr="000A5D76">
        <w:rPr>
          <w:rStyle w:val="headertext"/>
          <w:rFonts w:ascii="Times New Roman" w:hAnsi="Times New Roman"/>
          <w:bCs/>
          <w:sz w:val="24"/>
          <w:szCs w:val="24"/>
        </w:rPr>
        <w:t xml:space="preserve">[t] intelligence sources and methods from unauthorized disclosure,’ 50 U.S.C. § 403(d)(3). 595 F.2d at 932.” </w:t>
      </w:r>
      <w:hyperlink r:id="rId786" w:anchor="tab-opinion-1953393" w:history="1">
        <w:r w:rsidRPr="000A5D76">
          <w:rPr>
            <w:rStyle w:val="Hyperlink"/>
            <w:rFonts w:ascii="Times New Roman" w:hAnsi="Times New Roman"/>
            <w:sz w:val="24"/>
            <w:szCs w:val="24"/>
          </w:rPr>
          <w:t>https://supreme.justia.com/cases/federal/us/444/507/#tab-opinion-1953393</w:t>
        </w:r>
      </w:hyperlink>
      <w:r w:rsidRPr="000A5D76">
        <w:rPr>
          <w:rFonts w:ascii="Times New Roman" w:hAnsi="Times New Roman"/>
          <w:sz w:val="24"/>
          <w:szCs w:val="24"/>
        </w:rPr>
        <w:t xml:space="preserve"> </w:t>
      </w:r>
    </w:p>
    <w:p w14:paraId="7AEC313A" w14:textId="77777777" w:rsidR="005F0E6D" w:rsidRPr="000A5D76" w:rsidRDefault="005F0E6D" w:rsidP="005F0E6D">
      <w:pPr>
        <w:spacing w:before="100" w:beforeAutospacing="1" w:after="100" w:afterAutospacing="1" w:line="240" w:lineRule="auto"/>
        <w:jc w:val="center"/>
        <w:rPr>
          <w:rFonts w:ascii="Times New Roman" w:eastAsia="Times New Roman" w:hAnsi="Times New Roman"/>
          <w:b/>
          <w:bCs/>
          <w:sz w:val="24"/>
          <w:szCs w:val="24"/>
        </w:rPr>
      </w:pPr>
    </w:p>
    <w:p w14:paraId="7D928E82" w14:textId="77777777" w:rsidR="005F0E6D" w:rsidRDefault="005F0E6D" w:rsidP="00F326E5">
      <w:pPr>
        <w:pStyle w:val="NoSpacing"/>
        <w:rPr>
          <w:rFonts w:ascii="Arial Black" w:hAnsi="Arial Black"/>
          <w:sz w:val="28"/>
          <w:szCs w:val="28"/>
        </w:rPr>
      </w:pPr>
    </w:p>
    <w:p w14:paraId="16C2BD59" w14:textId="77777777" w:rsidR="005F0E6D" w:rsidRDefault="005F0E6D" w:rsidP="00F326E5">
      <w:pPr>
        <w:pStyle w:val="NoSpacing"/>
        <w:rPr>
          <w:rFonts w:ascii="Arial Black" w:hAnsi="Arial Black"/>
          <w:sz w:val="28"/>
          <w:szCs w:val="28"/>
        </w:rPr>
      </w:pPr>
    </w:p>
    <w:p w14:paraId="77E246D1" w14:textId="77777777" w:rsidR="005F0E6D" w:rsidRDefault="005F0E6D" w:rsidP="00F326E5">
      <w:pPr>
        <w:pStyle w:val="NoSpacing"/>
        <w:rPr>
          <w:rFonts w:ascii="Arial Black" w:hAnsi="Arial Black"/>
          <w:sz w:val="28"/>
          <w:szCs w:val="28"/>
        </w:rPr>
      </w:pPr>
    </w:p>
    <w:p w14:paraId="48E89B53" w14:textId="47E6AF5C" w:rsidR="005F0E6D" w:rsidRDefault="005F0E6D" w:rsidP="00F326E5">
      <w:pPr>
        <w:pStyle w:val="NoSpacing"/>
        <w:rPr>
          <w:rFonts w:ascii="Arial Black" w:hAnsi="Arial Black"/>
          <w:sz w:val="28"/>
          <w:szCs w:val="28"/>
        </w:rPr>
      </w:pPr>
      <w:r>
        <w:rPr>
          <w:rFonts w:ascii="Arial Black" w:hAnsi="Arial Black"/>
          <w:sz w:val="28"/>
          <w:szCs w:val="28"/>
        </w:rPr>
        <w:t>3-20</w:t>
      </w:r>
    </w:p>
    <w:p w14:paraId="78FF3ECA" w14:textId="77777777" w:rsidR="00823634" w:rsidRDefault="00823634" w:rsidP="005F0E6D">
      <w:pPr>
        <w:pStyle w:val="NoSpacing"/>
        <w:rPr>
          <w:rFonts w:ascii="Arial Black" w:hAnsi="Arial Black"/>
          <w:sz w:val="28"/>
          <w:szCs w:val="28"/>
        </w:rPr>
      </w:pPr>
    </w:p>
    <w:p w14:paraId="1FA5F140" w14:textId="64785FC7" w:rsidR="005F0E6D" w:rsidRPr="00B2674B" w:rsidRDefault="005F0E6D" w:rsidP="005F0E6D">
      <w:pPr>
        <w:pStyle w:val="NoSpacing"/>
        <w:rPr>
          <w:rFonts w:ascii="Arial Black" w:hAnsi="Arial Black"/>
          <w:b/>
          <w:bCs/>
          <w:sz w:val="28"/>
          <w:szCs w:val="28"/>
        </w:rPr>
      </w:pPr>
      <w:bookmarkStart w:id="145" w:name="_Hlk66942614"/>
      <w:r w:rsidRPr="00E9037E">
        <w:rPr>
          <w:rFonts w:ascii="Arial Black" w:hAnsi="Arial Black"/>
          <w:sz w:val="28"/>
          <w:szCs w:val="28"/>
        </w:rPr>
        <w:t>FL</w:t>
      </w:r>
      <w:r>
        <w:rPr>
          <w:rFonts w:ascii="Arial Black" w:hAnsi="Arial Black"/>
          <w:bCs/>
          <w:sz w:val="28"/>
          <w:szCs w:val="28"/>
        </w:rPr>
        <w:t xml:space="preserve">: ACTIVE SHOOTER - PULSE NIGHTCLUB – 49 KILLED, 53 INJURED – CAN’T SUE THE SECURITY GUARD COMPANY WHERE HE WORKED </w:t>
      </w:r>
    </w:p>
    <w:p w14:paraId="7AF91925" w14:textId="1153C1EC" w:rsidR="00587311" w:rsidRPr="00823634" w:rsidRDefault="005F0E6D" w:rsidP="00881475">
      <w:pPr>
        <w:pStyle w:val="Heading1"/>
        <w:rPr>
          <w:b w:val="0"/>
          <w:bCs w:val="0"/>
          <w:sz w:val="24"/>
          <w:szCs w:val="24"/>
        </w:rPr>
      </w:pPr>
      <w:r w:rsidRPr="000A5D76">
        <w:rPr>
          <w:b w:val="0"/>
          <w:bCs w:val="0"/>
          <w:sz w:val="24"/>
          <w:szCs w:val="24"/>
        </w:rPr>
        <w:t xml:space="preserve">On </w:t>
      </w:r>
      <w:bookmarkStart w:id="146" w:name="_Hlk39823138"/>
      <w:r w:rsidRPr="000A5D76">
        <w:rPr>
          <w:b w:val="0"/>
          <w:bCs w:val="0"/>
          <w:sz w:val="24"/>
          <w:szCs w:val="24"/>
        </w:rPr>
        <w:t xml:space="preserve">April 1, 2020, in </w:t>
      </w:r>
      <w:r w:rsidRPr="000A5D76">
        <w:rPr>
          <w:b w:val="0"/>
          <w:bCs w:val="0"/>
          <w:sz w:val="24"/>
          <w:szCs w:val="24"/>
          <w:u w:val="single"/>
        </w:rPr>
        <w:t>Asael Abrad, et al. v. G4S Secure Solution (USA), Inc.</w:t>
      </w:r>
      <w:r w:rsidRPr="000A5D76">
        <w:rPr>
          <w:b w:val="0"/>
          <w:bCs w:val="0"/>
          <w:sz w:val="24"/>
          <w:szCs w:val="24"/>
        </w:rPr>
        <w:t xml:space="preserve">, </w:t>
      </w:r>
      <w:bookmarkEnd w:id="146"/>
      <w:r w:rsidRPr="000A5D76">
        <w:rPr>
          <w:b w:val="0"/>
          <w:bCs w:val="0"/>
          <w:sz w:val="24"/>
          <w:szCs w:val="24"/>
        </w:rPr>
        <w:t xml:space="preserve">the District Court of Appeal of Florida (Fourth District), held (3 to 0) that the trial court properly granted the security company’s motion to dismiss; the shooter worked for the security company for 10 years, and plaintiffs alleged that the company knew he expressed a desire to commit acts of mass murder against members of the general public, particularly against members of the lesbian, gay, bisexual and transgender community.  The lawsuit was dismissed since plaintiffs did not “sufficiently allege a legal duty owed by G4S.” </w:t>
      </w:r>
      <w:r w:rsidR="00587311">
        <w:rPr>
          <w:b w:val="0"/>
          <w:bCs w:val="0"/>
          <w:sz w:val="24"/>
          <w:szCs w:val="24"/>
        </w:rPr>
        <w:t xml:space="preserve"> </w:t>
      </w:r>
      <w:hyperlink r:id="rId787" w:history="1">
        <w:r w:rsidR="00587311" w:rsidRPr="00823634">
          <w:rPr>
            <w:rStyle w:val="Hyperlink"/>
            <w:sz w:val="24"/>
            <w:szCs w:val="24"/>
          </w:rPr>
          <w:t>https://www.courthousenews.com/wp-content/uploads/2020/04/G4S.pdf</w:t>
        </w:r>
      </w:hyperlink>
      <w:r w:rsidR="00587311" w:rsidRPr="00823634">
        <w:rPr>
          <w:sz w:val="24"/>
          <w:szCs w:val="24"/>
        </w:rPr>
        <w:t xml:space="preserve"> </w:t>
      </w:r>
    </w:p>
    <w:p w14:paraId="182DC31B" w14:textId="77777777" w:rsidR="00587311" w:rsidRPr="000A5D76" w:rsidRDefault="00587311" w:rsidP="005F0E6D">
      <w:pPr>
        <w:pStyle w:val="Heading1"/>
        <w:rPr>
          <w:b w:val="0"/>
          <w:bCs w:val="0"/>
          <w:sz w:val="24"/>
          <w:szCs w:val="24"/>
        </w:rPr>
      </w:pPr>
    </w:p>
    <w:bookmarkEnd w:id="145"/>
    <w:p w14:paraId="75AE0834" w14:textId="7BDDB217" w:rsidR="005F0E6D" w:rsidRDefault="005F0E6D" w:rsidP="005F0E6D">
      <w:pPr>
        <w:pStyle w:val="NoSpacing"/>
        <w:ind w:left="720"/>
        <w:rPr>
          <w:rFonts w:ascii="Times New Roman" w:hAnsi="Times New Roman"/>
          <w:bCs/>
          <w:sz w:val="24"/>
          <w:szCs w:val="24"/>
        </w:rPr>
      </w:pPr>
      <w:r w:rsidRPr="000A5D76">
        <w:rPr>
          <w:rFonts w:ascii="Times New Roman" w:hAnsi="Times New Roman"/>
          <w:bCs/>
          <w:sz w:val="24"/>
          <w:szCs w:val="24"/>
        </w:rPr>
        <w:t xml:space="preserve">“Appellants also concede that Mateen did not use weapons owned or controlled by G4S, but instead, weapons purchased by him on his private time. Appellants’ argument that by fraudulently assisting Mateen in obtaining a Class G license—which in turn was helpful in purchasing the weapons used—is legally irrelevant…. Finally, Appellants’ duty arguments fail for one more important reason: Appellants fail to provide any sort of limitation on the legal duty they seek to impose. Failing to provide any sort of boundary for the employer would have severe public policy implications. As both G4S and the trial court noted, Appellants’ failure to provide any sort of spatial or temporal limits in the articulation of their concept of duty would essentially result in G4S </w:t>
      </w:r>
      <w:proofErr w:type="gramStart"/>
      <w:r w:rsidRPr="000A5D76">
        <w:rPr>
          <w:rFonts w:ascii="Times New Roman" w:hAnsi="Times New Roman"/>
          <w:bCs/>
          <w:sz w:val="24"/>
          <w:szCs w:val="24"/>
        </w:rPr>
        <w:t>being strictly liable and an absolute guarantor of Mateen’s behavior while off duty at all times</w:t>
      </w:r>
      <w:proofErr w:type="gramEnd"/>
      <w:r w:rsidRPr="000A5D76">
        <w:rPr>
          <w:rFonts w:ascii="Times New Roman" w:hAnsi="Times New Roman"/>
          <w:bCs/>
          <w:sz w:val="24"/>
          <w:szCs w:val="24"/>
        </w:rPr>
        <w:t xml:space="preserve">. See Garcia v. Duffy, 492 So. 2d 435, 439 (Fla. 2d DCA 1986) (‘Once liability began to be imposed on employers for acts of their employees outside the scope of employment, the courts were faced with the necessity of finding some rational basis for limiting the boundaries of that liability; otherwise, an employer would be an absolute guarantor and strictly liable for any acts committed by his employee against </w:t>
      </w:r>
    </w:p>
    <w:p w14:paraId="307DAEC0"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any person under any circumstances. Such unrestricted liability would be an intolerable and unfair burden on employers.’). </w:t>
      </w:r>
    </w:p>
    <w:bookmarkStart w:id="147" w:name="_Hlk39823157"/>
    <w:bookmarkStart w:id="148" w:name="_Hlk66942680"/>
    <w:p w14:paraId="60A5B8F7" w14:textId="77777777" w:rsidR="005F0E6D" w:rsidRPr="00823634" w:rsidRDefault="00F2621E" w:rsidP="005F0E6D">
      <w:pPr>
        <w:pStyle w:val="NoSpacing"/>
        <w:ind w:left="720"/>
        <w:rPr>
          <w:rFonts w:ascii="Times New Roman" w:hAnsi="Times New Roman"/>
          <w:b/>
          <w:bCs/>
          <w:sz w:val="24"/>
          <w:szCs w:val="24"/>
        </w:rPr>
      </w:pPr>
      <w:r w:rsidRPr="00823634">
        <w:fldChar w:fldCharType="begin"/>
      </w:r>
      <w:r w:rsidRPr="00823634">
        <w:rPr>
          <w:rFonts w:ascii="Times New Roman" w:hAnsi="Times New Roman"/>
          <w:sz w:val="24"/>
          <w:szCs w:val="24"/>
        </w:rPr>
        <w:instrText xml:space="preserve"> HYPERLINK "https://www.courthousenews.com/wp-content/uploads/2020/04/G4S.pdf" </w:instrText>
      </w:r>
      <w:r w:rsidRPr="00823634">
        <w:fldChar w:fldCharType="separate"/>
      </w:r>
      <w:r w:rsidR="005F0E6D" w:rsidRPr="00823634">
        <w:rPr>
          <w:rStyle w:val="Hyperlink"/>
          <w:rFonts w:ascii="Times New Roman" w:hAnsi="Times New Roman"/>
          <w:b/>
          <w:sz w:val="24"/>
          <w:szCs w:val="24"/>
        </w:rPr>
        <w:t>https://www.courthousenews.com/wp-content/uploads/2020/04/G4S.pdf</w:t>
      </w:r>
      <w:r w:rsidRPr="00823634">
        <w:rPr>
          <w:rStyle w:val="Hyperlink"/>
          <w:rFonts w:ascii="Times New Roman" w:hAnsi="Times New Roman"/>
          <w:b/>
          <w:sz w:val="24"/>
          <w:szCs w:val="24"/>
        </w:rPr>
        <w:fldChar w:fldCharType="end"/>
      </w:r>
      <w:r w:rsidR="005F0E6D" w:rsidRPr="00823634">
        <w:rPr>
          <w:rFonts w:ascii="Times New Roman" w:hAnsi="Times New Roman"/>
          <w:bCs/>
          <w:sz w:val="24"/>
          <w:szCs w:val="24"/>
        </w:rPr>
        <w:t xml:space="preserve"> </w:t>
      </w:r>
    </w:p>
    <w:p w14:paraId="1AC7BF9D" w14:textId="77777777" w:rsidR="005F0E6D" w:rsidRPr="000A5D76" w:rsidRDefault="005F0E6D" w:rsidP="005F0E6D">
      <w:pPr>
        <w:pStyle w:val="Heading1"/>
        <w:rPr>
          <w:sz w:val="24"/>
          <w:szCs w:val="24"/>
        </w:rPr>
      </w:pPr>
      <w:bookmarkStart w:id="149" w:name="_Hlk40509204"/>
      <w:bookmarkEnd w:id="147"/>
      <w:r w:rsidRPr="000A5D76">
        <w:rPr>
          <w:sz w:val="24"/>
          <w:szCs w:val="24"/>
        </w:rPr>
        <w:lastRenderedPageBreak/>
        <w:t>Legal Lessons Learned: Tragic event, but very difficult to hold employer liable for off-duty conduct of shooter.</w:t>
      </w:r>
    </w:p>
    <w:bookmarkEnd w:id="148"/>
    <w:bookmarkEnd w:id="149"/>
    <w:p w14:paraId="5082EE61" w14:textId="77777777" w:rsidR="005F0E6D" w:rsidRDefault="005F0E6D" w:rsidP="00F326E5">
      <w:pPr>
        <w:pStyle w:val="NoSpacing"/>
        <w:rPr>
          <w:rFonts w:ascii="Arial Black" w:hAnsi="Arial Black"/>
          <w:sz w:val="28"/>
          <w:szCs w:val="28"/>
        </w:rPr>
      </w:pPr>
    </w:p>
    <w:p w14:paraId="76FE2885" w14:textId="77777777" w:rsidR="005F0E6D" w:rsidRDefault="005F0E6D" w:rsidP="00F326E5">
      <w:pPr>
        <w:pStyle w:val="NoSpacing"/>
        <w:rPr>
          <w:rFonts w:ascii="Arial Black" w:hAnsi="Arial Black"/>
          <w:sz w:val="28"/>
          <w:szCs w:val="28"/>
        </w:rPr>
      </w:pPr>
    </w:p>
    <w:p w14:paraId="5CDDCB1E" w14:textId="49FFD794" w:rsidR="00663160" w:rsidRDefault="00663160" w:rsidP="00F326E5">
      <w:pPr>
        <w:pStyle w:val="NoSpacing"/>
        <w:rPr>
          <w:rFonts w:ascii="Arial Black" w:hAnsi="Arial Black"/>
          <w:sz w:val="28"/>
          <w:szCs w:val="28"/>
        </w:rPr>
      </w:pPr>
      <w:r>
        <w:rPr>
          <w:rFonts w:ascii="Arial Black" w:hAnsi="Arial Black"/>
          <w:sz w:val="28"/>
          <w:szCs w:val="28"/>
        </w:rPr>
        <w:t>3-19</w:t>
      </w:r>
    </w:p>
    <w:p w14:paraId="1F7D701C" w14:textId="2A42A1B6" w:rsidR="00663160" w:rsidRDefault="00663160" w:rsidP="00F326E5">
      <w:pPr>
        <w:pStyle w:val="NoSpacing"/>
        <w:rPr>
          <w:rFonts w:ascii="Arial Black" w:hAnsi="Arial Black"/>
          <w:sz w:val="28"/>
          <w:szCs w:val="28"/>
        </w:rPr>
      </w:pPr>
    </w:p>
    <w:p w14:paraId="29F24EA5" w14:textId="77777777" w:rsidR="00663160" w:rsidRPr="00D31CF5" w:rsidRDefault="00663160" w:rsidP="00663160">
      <w:pPr>
        <w:pStyle w:val="NoSpacing"/>
        <w:rPr>
          <w:rFonts w:ascii="Arial Black" w:hAnsi="Arial Black"/>
          <w:sz w:val="28"/>
          <w:szCs w:val="28"/>
        </w:rPr>
      </w:pPr>
      <w:r w:rsidRPr="00D31CF5">
        <w:rPr>
          <w:rFonts w:ascii="Arial Black" w:hAnsi="Arial Black"/>
          <w:sz w:val="28"/>
          <w:szCs w:val="28"/>
        </w:rPr>
        <w:t>CA:</w:t>
      </w:r>
      <w:r>
        <w:rPr>
          <w:rFonts w:ascii="Arial Black" w:hAnsi="Arial Black"/>
          <w:sz w:val="28"/>
          <w:szCs w:val="28"/>
        </w:rPr>
        <w:t xml:space="preserve"> ILLEGAL IMMIGRANTS CROSSING US BORDER - SENT BACK TO MEXICO – INJUNCTION AGAINST FED. PROGRAM UPHELD BY 9</w:t>
      </w:r>
      <w:r w:rsidRPr="00EB465E">
        <w:rPr>
          <w:rFonts w:ascii="Arial Black" w:hAnsi="Arial Black"/>
          <w:sz w:val="28"/>
          <w:szCs w:val="28"/>
          <w:vertAlign w:val="superscript"/>
        </w:rPr>
        <w:t>th</w:t>
      </w:r>
      <w:r>
        <w:rPr>
          <w:rFonts w:ascii="Arial Black" w:hAnsi="Arial Black"/>
          <w:sz w:val="28"/>
          <w:szCs w:val="28"/>
        </w:rPr>
        <w:t xml:space="preserve"> CIR. </w:t>
      </w:r>
    </w:p>
    <w:p w14:paraId="4FBFD241" w14:textId="77777777" w:rsidR="00663160" w:rsidRDefault="00663160" w:rsidP="00663160">
      <w:pPr>
        <w:spacing w:after="0" w:line="240" w:lineRule="auto"/>
        <w:rPr>
          <w:sz w:val="30"/>
          <w:szCs w:val="30"/>
        </w:rPr>
      </w:pPr>
    </w:p>
    <w:p w14:paraId="0CF1D7F1" w14:textId="77777777" w:rsidR="00663160" w:rsidRPr="00465FB3" w:rsidRDefault="00663160" w:rsidP="00663160">
      <w:pPr>
        <w:spacing w:after="0" w:line="240" w:lineRule="auto"/>
        <w:rPr>
          <w:rFonts w:ascii="Times New Roman" w:hAnsi="Times New Roman"/>
          <w:sz w:val="24"/>
          <w:szCs w:val="24"/>
        </w:rPr>
      </w:pPr>
      <w:r w:rsidRPr="00465FB3">
        <w:rPr>
          <w:rFonts w:ascii="Times New Roman" w:hAnsi="Times New Roman"/>
          <w:sz w:val="24"/>
          <w:szCs w:val="24"/>
        </w:rPr>
        <w:t xml:space="preserve">On Feb. 28, 2020, in </w:t>
      </w:r>
      <w:r w:rsidRPr="00465FB3">
        <w:rPr>
          <w:rFonts w:ascii="Times New Roman" w:hAnsi="Times New Roman"/>
          <w:sz w:val="24"/>
          <w:szCs w:val="24"/>
          <w:u w:val="single"/>
        </w:rPr>
        <w:t>Innovation Law Lab v. Chad Wolf, Acting Secretary of Homeland Security</w:t>
      </w:r>
      <w:r w:rsidRPr="00465FB3">
        <w:rPr>
          <w:rFonts w:ascii="Times New Roman" w:hAnsi="Times New Roman"/>
          <w:sz w:val="24"/>
          <w:szCs w:val="24"/>
        </w:rPr>
        <w:t>, the U.S. Court of Appeals for the 9</w:t>
      </w:r>
      <w:r w:rsidRPr="00465FB3">
        <w:rPr>
          <w:rFonts w:ascii="Times New Roman" w:hAnsi="Times New Roman"/>
          <w:sz w:val="24"/>
          <w:szCs w:val="24"/>
          <w:vertAlign w:val="superscript"/>
        </w:rPr>
        <w:t>th</w:t>
      </w:r>
      <w:r w:rsidRPr="00465FB3">
        <w:rPr>
          <w:rFonts w:ascii="Times New Roman" w:hAnsi="Times New Roman"/>
          <w:sz w:val="24"/>
          <w:szCs w:val="24"/>
        </w:rPr>
        <w:t xml:space="preserve"> Circuit (San Francisco) held (2 to 1) that the nationwide preliminary injunction issued by a U.S. District Court judge, against the Federal Government’s new Migrant Protection Protocols (“MPP”), will remain in place. </w:t>
      </w:r>
    </w:p>
    <w:p w14:paraId="34F5E13D" w14:textId="77777777" w:rsidR="00663160" w:rsidRPr="00465FB3" w:rsidRDefault="00663160" w:rsidP="00663160">
      <w:pPr>
        <w:spacing w:after="0" w:line="240" w:lineRule="auto"/>
        <w:rPr>
          <w:rFonts w:ascii="Times New Roman" w:hAnsi="Times New Roman"/>
          <w:sz w:val="24"/>
          <w:szCs w:val="24"/>
        </w:rPr>
      </w:pPr>
    </w:p>
    <w:p w14:paraId="57CEACD6" w14:textId="77777777" w:rsidR="00663160" w:rsidRPr="00465FB3" w:rsidRDefault="00663160" w:rsidP="00663160">
      <w:pPr>
        <w:spacing w:after="0" w:line="240" w:lineRule="auto"/>
        <w:ind w:left="720"/>
        <w:rPr>
          <w:rFonts w:ascii="Times New Roman" w:hAnsi="Times New Roman"/>
          <w:sz w:val="24"/>
          <w:szCs w:val="24"/>
        </w:rPr>
      </w:pPr>
      <w:r w:rsidRPr="00465FB3">
        <w:rPr>
          <w:rFonts w:ascii="Times New Roman" w:hAnsi="Times New Roman"/>
          <w:sz w:val="24"/>
          <w:szCs w:val="24"/>
        </w:rPr>
        <w:t xml:space="preserve">“The MPP has had serious adverse consequences for the individual plaintiffs. Plaintiffs presented evidence in the district court that they, as well as others returned to Mexico under the MPP, face targeted discrimination, physical violence, sexual assault, overwhelmed and corrupt law enforcement, lack of food and shelter, and practical obstacles to participation in court proceedings in the United States. The hardship and danger to individuals returned to Mexico under the MPP have been repeatedly confirmed by reliable news reports.” </w:t>
      </w:r>
      <w:hyperlink r:id="rId788" w:history="1">
        <w:r w:rsidRPr="00465FB3">
          <w:rPr>
            <w:rStyle w:val="Hyperlink"/>
            <w:rFonts w:ascii="Times New Roman" w:hAnsi="Times New Roman"/>
            <w:sz w:val="24"/>
            <w:szCs w:val="24"/>
          </w:rPr>
          <w:t>https://cdn.ca9.uscourts.gov/datastore/opinions/2020/02/28/19-15716.pdf</w:t>
        </w:r>
      </w:hyperlink>
      <w:r w:rsidRPr="00465FB3">
        <w:rPr>
          <w:rFonts w:ascii="Times New Roman" w:hAnsi="Times New Roman"/>
          <w:sz w:val="24"/>
          <w:szCs w:val="24"/>
        </w:rPr>
        <w:t xml:space="preserve"> </w:t>
      </w:r>
    </w:p>
    <w:p w14:paraId="2EC9791E" w14:textId="77777777" w:rsidR="00663160" w:rsidRPr="00465FB3" w:rsidRDefault="00663160" w:rsidP="00663160">
      <w:pPr>
        <w:spacing w:after="0" w:line="240" w:lineRule="auto"/>
        <w:rPr>
          <w:rFonts w:ascii="Times New Roman" w:hAnsi="Times New Roman"/>
          <w:sz w:val="24"/>
          <w:szCs w:val="24"/>
        </w:rPr>
      </w:pPr>
    </w:p>
    <w:p w14:paraId="7898F8F5" w14:textId="68CF51D2" w:rsidR="00663160" w:rsidRPr="00465FB3" w:rsidRDefault="00663160" w:rsidP="00663160">
      <w:pPr>
        <w:spacing w:after="0" w:line="240" w:lineRule="auto"/>
        <w:rPr>
          <w:rFonts w:ascii="Times New Roman" w:hAnsi="Times New Roman"/>
          <w:b/>
          <w:bCs/>
          <w:sz w:val="24"/>
          <w:szCs w:val="24"/>
        </w:rPr>
      </w:pPr>
      <w:r w:rsidRPr="00465FB3">
        <w:rPr>
          <w:rFonts w:ascii="Times New Roman" w:hAnsi="Times New Roman"/>
          <w:b/>
          <w:bCs/>
          <w:sz w:val="24"/>
          <w:szCs w:val="24"/>
        </w:rPr>
        <w:t>Legal Lessons Learned:  The Federal Government may now ask for all the judges on the 9</w:t>
      </w:r>
      <w:r w:rsidRPr="00465FB3">
        <w:rPr>
          <w:rFonts w:ascii="Times New Roman" w:hAnsi="Times New Roman"/>
          <w:b/>
          <w:bCs/>
          <w:sz w:val="24"/>
          <w:szCs w:val="24"/>
          <w:vertAlign w:val="superscript"/>
        </w:rPr>
        <w:t>th</w:t>
      </w:r>
      <w:r w:rsidRPr="00465FB3">
        <w:rPr>
          <w:rFonts w:ascii="Times New Roman" w:hAnsi="Times New Roman"/>
          <w:b/>
          <w:bCs/>
          <w:sz w:val="24"/>
          <w:szCs w:val="24"/>
        </w:rPr>
        <w:t xml:space="preserve"> Circuit (“</w:t>
      </w:r>
      <w:proofErr w:type="spellStart"/>
      <w:r w:rsidRPr="00465FB3">
        <w:rPr>
          <w:rFonts w:ascii="Times New Roman" w:hAnsi="Times New Roman"/>
          <w:b/>
          <w:bCs/>
          <w:sz w:val="24"/>
          <w:szCs w:val="24"/>
        </w:rPr>
        <w:t>en</w:t>
      </w:r>
      <w:proofErr w:type="spellEnd"/>
      <w:r w:rsidRPr="00465FB3">
        <w:rPr>
          <w:rFonts w:ascii="Times New Roman" w:hAnsi="Times New Roman"/>
          <w:b/>
          <w:bCs/>
          <w:sz w:val="24"/>
          <w:szCs w:val="24"/>
        </w:rPr>
        <w:t xml:space="preserve"> banc”) </w:t>
      </w:r>
      <w:r w:rsidR="00965872">
        <w:rPr>
          <w:rFonts w:ascii="Times New Roman" w:hAnsi="Times New Roman"/>
          <w:b/>
          <w:bCs/>
          <w:sz w:val="24"/>
          <w:szCs w:val="24"/>
        </w:rPr>
        <w:t xml:space="preserve">to hear </w:t>
      </w:r>
      <w:r w:rsidRPr="00465FB3">
        <w:rPr>
          <w:rFonts w:ascii="Times New Roman" w:hAnsi="Times New Roman"/>
          <w:b/>
          <w:bCs/>
          <w:sz w:val="24"/>
          <w:szCs w:val="24"/>
        </w:rPr>
        <w:t xml:space="preserve">their </w:t>
      </w:r>
      <w:proofErr w:type="gramStart"/>
      <w:r w:rsidRPr="00465FB3">
        <w:rPr>
          <w:rFonts w:ascii="Times New Roman" w:hAnsi="Times New Roman"/>
          <w:b/>
          <w:bCs/>
          <w:sz w:val="24"/>
          <w:szCs w:val="24"/>
        </w:rPr>
        <w:t>appeal, or</w:t>
      </w:r>
      <w:proofErr w:type="gramEnd"/>
      <w:r w:rsidRPr="00465FB3">
        <w:rPr>
          <w:rFonts w:ascii="Times New Roman" w:hAnsi="Times New Roman"/>
          <w:b/>
          <w:bCs/>
          <w:sz w:val="24"/>
          <w:szCs w:val="24"/>
        </w:rPr>
        <w:t xml:space="preserve"> seek an appeal to the U.S. Supreme Court (requires vote of 4 of 9 Justices to take the case).  </w:t>
      </w:r>
    </w:p>
    <w:p w14:paraId="59429E27" w14:textId="77777777" w:rsidR="00663160" w:rsidRDefault="00663160" w:rsidP="00F326E5">
      <w:pPr>
        <w:pStyle w:val="NoSpacing"/>
        <w:rPr>
          <w:rFonts w:ascii="Arial Black" w:hAnsi="Arial Black"/>
          <w:sz w:val="28"/>
          <w:szCs w:val="28"/>
        </w:rPr>
      </w:pPr>
    </w:p>
    <w:p w14:paraId="247D7D52" w14:textId="77777777" w:rsidR="00663160" w:rsidRDefault="00663160" w:rsidP="00F326E5">
      <w:pPr>
        <w:pStyle w:val="NoSpacing"/>
        <w:rPr>
          <w:rFonts w:ascii="Arial Black" w:hAnsi="Arial Black"/>
          <w:sz w:val="28"/>
          <w:szCs w:val="28"/>
        </w:rPr>
      </w:pPr>
    </w:p>
    <w:p w14:paraId="3BC4BF9F" w14:textId="77777777" w:rsidR="00663160" w:rsidRDefault="00663160" w:rsidP="00F326E5">
      <w:pPr>
        <w:pStyle w:val="NoSpacing"/>
        <w:rPr>
          <w:rFonts w:ascii="Arial Black" w:hAnsi="Arial Black"/>
          <w:sz w:val="28"/>
          <w:szCs w:val="28"/>
        </w:rPr>
      </w:pPr>
    </w:p>
    <w:p w14:paraId="15B6573F" w14:textId="77777777" w:rsidR="00663160" w:rsidRDefault="00663160" w:rsidP="00F326E5">
      <w:pPr>
        <w:pStyle w:val="NoSpacing"/>
        <w:rPr>
          <w:rFonts w:ascii="Arial Black" w:hAnsi="Arial Black"/>
          <w:sz w:val="28"/>
          <w:szCs w:val="28"/>
        </w:rPr>
      </w:pPr>
    </w:p>
    <w:p w14:paraId="092CA3D7" w14:textId="05F7FD20" w:rsidR="00663160" w:rsidRDefault="00663160" w:rsidP="00F326E5">
      <w:pPr>
        <w:pStyle w:val="NoSpacing"/>
        <w:rPr>
          <w:rFonts w:ascii="Arial Black" w:hAnsi="Arial Black"/>
          <w:sz w:val="28"/>
          <w:szCs w:val="28"/>
        </w:rPr>
      </w:pPr>
      <w:r>
        <w:rPr>
          <w:rFonts w:ascii="Arial Black" w:hAnsi="Arial Black"/>
          <w:sz w:val="28"/>
          <w:szCs w:val="28"/>
        </w:rPr>
        <w:t>3-18</w:t>
      </w:r>
    </w:p>
    <w:p w14:paraId="171DDD7B" w14:textId="6FC67F50" w:rsidR="00663160" w:rsidRDefault="00663160" w:rsidP="00F326E5">
      <w:pPr>
        <w:pStyle w:val="NoSpacing"/>
        <w:rPr>
          <w:rFonts w:ascii="Arial Black" w:hAnsi="Arial Black"/>
          <w:sz w:val="28"/>
          <w:szCs w:val="28"/>
        </w:rPr>
      </w:pPr>
    </w:p>
    <w:p w14:paraId="365039BB" w14:textId="77777777" w:rsidR="00663160" w:rsidRPr="00625E48" w:rsidRDefault="00663160" w:rsidP="00663160">
      <w:pPr>
        <w:rPr>
          <w:rFonts w:ascii="Arial Black" w:hAnsi="Arial Black"/>
          <w:sz w:val="28"/>
          <w:szCs w:val="28"/>
        </w:rPr>
      </w:pPr>
      <w:bookmarkStart w:id="150" w:name="_Hlk39818246"/>
      <w:r w:rsidRPr="00625E48">
        <w:rPr>
          <w:rFonts w:ascii="Arial Black" w:hAnsi="Arial Black"/>
          <w:sz w:val="28"/>
          <w:szCs w:val="28"/>
        </w:rPr>
        <w:t xml:space="preserve">NY: </w:t>
      </w:r>
      <w:r>
        <w:rPr>
          <w:rFonts w:ascii="Arial Black" w:hAnsi="Arial Black"/>
          <w:sz w:val="28"/>
          <w:szCs w:val="28"/>
        </w:rPr>
        <w:t>SANCTUARY CITIES –- 2</w:t>
      </w:r>
      <w:r w:rsidRPr="00FD157C">
        <w:rPr>
          <w:rFonts w:ascii="Arial Black" w:hAnsi="Arial Black"/>
          <w:sz w:val="28"/>
          <w:szCs w:val="28"/>
          <w:vertAlign w:val="superscript"/>
        </w:rPr>
        <w:t>nd</w:t>
      </w:r>
      <w:r>
        <w:rPr>
          <w:rFonts w:ascii="Arial Black" w:hAnsi="Arial Black"/>
          <w:sz w:val="28"/>
          <w:szCs w:val="28"/>
        </w:rPr>
        <w:t xml:space="preserve"> CIRCUIT UPHOLDS FED. GOV’T RIGHT TO DENY GRANTS TO STATES / CITIES </w:t>
      </w:r>
    </w:p>
    <w:p w14:paraId="3EC381D1" w14:textId="77777777" w:rsidR="00663160" w:rsidRPr="00465FB3" w:rsidRDefault="00663160" w:rsidP="00663160">
      <w:pPr>
        <w:pStyle w:val="NoSpacing"/>
        <w:rPr>
          <w:rFonts w:ascii="Times New Roman" w:hAnsi="Times New Roman"/>
          <w:b/>
          <w:bCs/>
          <w:sz w:val="24"/>
          <w:szCs w:val="24"/>
        </w:rPr>
      </w:pPr>
      <w:r w:rsidRPr="00465FB3">
        <w:rPr>
          <w:rFonts w:ascii="Times New Roman" w:hAnsi="Times New Roman"/>
          <w:bCs/>
          <w:sz w:val="24"/>
          <w:szCs w:val="24"/>
        </w:rPr>
        <w:t xml:space="preserve">On Feb. 26, 2020, in </w:t>
      </w:r>
      <w:bookmarkStart w:id="151" w:name="_Hlk39823423"/>
      <w:r w:rsidRPr="00465FB3">
        <w:rPr>
          <w:rFonts w:ascii="Times New Roman" w:hAnsi="Times New Roman"/>
          <w:bCs/>
          <w:sz w:val="24"/>
          <w:szCs w:val="24"/>
          <w:u w:val="single"/>
        </w:rPr>
        <w:t>The State of New York, Connecticut, New Jersey, Washington, Massachusetts, Virginia, Rhode Island, and City of New York v. United States Department of Justice</w:t>
      </w:r>
      <w:r w:rsidRPr="00465FB3">
        <w:rPr>
          <w:rFonts w:ascii="Times New Roman" w:hAnsi="Times New Roman"/>
          <w:bCs/>
          <w:sz w:val="24"/>
          <w:szCs w:val="24"/>
        </w:rPr>
        <w:t xml:space="preserve">, the U.S. Court of Appeals for the Second Circuit (New York), </w:t>
      </w:r>
      <w:bookmarkEnd w:id="151"/>
      <w:r w:rsidRPr="00465FB3">
        <w:rPr>
          <w:rFonts w:ascii="Times New Roman" w:hAnsi="Times New Roman"/>
          <w:bCs/>
          <w:sz w:val="24"/>
          <w:szCs w:val="24"/>
        </w:rPr>
        <w:t xml:space="preserve">held (3 to 0) that the Federal Government has the statutory right to withhold Edward Byrne Memorial Program* Criminal Justice Assistance grants from sanctuary states and municipalities, setting aside an injunction issued in 2018 by a U.S. District Court judge.  [*Court in its decision, Footnote 2: “The Byrne Program is named for New York City Police Officer Edward Byrne who, at age 22, was shot to death [Feb. 26, 1988] while guarding the home of a Guyanese immigrant cooperating with authorities investigating drug trafficking. </w:t>
      </w:r>
      <w:proofErr w:type="gramStart"/>
      <w:r w:rsidRPr="00465FB3">
        <w:rPr>
          <w:rFonts w:ascii="Times New Roman" w:hAnsi="Times New Roman"/>
          <w:bCs/>
          <w:sz w:val="24"/>
          <w:szCs w:val="24"/>
        </w:rPr>
        <w:t>The</w:t>
      </w:r>
      <w:proofErr w:type="gramEnd"/>
      <w:r w:rsidRPr="00465FB3">
        <w:rPr>
          <w:rFonts w:ascii="Times New Roman" w:hAnsi="Times New Roman"/>
          <w:bCs/>
          <w:sz w:val="24"/>
          <w:szCs w:val="24"/>
        </w:rPr>
        <w:t xml:space="preserve"> case is well known in this circuit, where five </w:t>
      </w:r>
      <w:proofErr w:type="gramStart"/>
      <w:r w:rsidRPr="00465FB3">
        <w:rPr>
          <w:rFonts w:ascii="Times New Roman" w:hAnsi="Times New Roman"/>
          <w:bCs/>
          <w:sz w:val="24"/>
          <w:szCs w:val="24"/>
        </w:rPr>
        <w:t>persons</w:t>
      </w:r>
      <w:proofErr w:type="gramEnd"/>
      <w:r w:rsidRPr="00465FB3">
        <w:rPr>
          <w:rFonts w:ascii="Times New Roman" w:hAnsi="Times New Roman"/>
          <w:bCs/>
          <w:sz w:val="24"/>
          <w:szCs w:val="24"/>
        </w:rPr>
        <w:t xml:space="preserve"> were convicted in the Eastern District of New York for their roles in Byrne’s murder. Among these was Howard ‘Pappy’ Mason, a drug dealer who, from his New York State prison cell, ordered subordinates to kill a police officer in retaliation for Mason’s own incarceration.”]</w:t>
      </w:r>
    </w:p>
    <w:p w14:paraId="6D580252" w14:textId="77777777" w:rsidR="00663160" w:rsidRPr="00465FB3" w:rsidRDefault="00663160" w:rsidP="00663160">
      <w:pPr>
        <w:pStyle w:val="NoSpacing"/>
        <w:rPr>
          <w:rFonts w:ascii="Times New Roman" w:hAnsi="Times New Roman"/>
          <w:b/>
          <w:bCs/>
          <w:sz w:val="24"/>
          <w:szCs w:val="24"/>
        </w:rPr>
      </w:pPr>
    </w:p>
    <w:p w14:paraId="2D0F12C7" w14:textId="0DA795FE" w:rsidR="00663160" w:rsidRDefault="00663160" w:rsidP="00965872">
      <w:pPr>
        <w:pStyle w:val="NoSpacing"/>
        <w:ind w:left="720"/>
        <w:rPr>
          <w:rStyle w:val="Hyperlink"/>
          <w:rFonts w:ascii="Times New Roman" w:hAnsi="Times New Roman"/>
          <w:bCs/>
          <w:sz w:val="24"/>
          <w:szCs w:val="24"/>
        </w:rPr>
      </w:pPr>
      <w:r w:rsidRPr="00465FB3">
        <w:rPr>
          <w:rFonts w:ascii="Times New Roman" w:hAnsi="Times New Roman"/>
          <w:bCs/>
          <w:sz w:val="24"/>
          <w:szCs w:val="24"/>
        </w:rPr>
        <w:t xml:space="preserve">“The principal legal question presented in this appeal is whether the federal government may deny grants of money to State and local governments that would be eligible for such awards but for their refusal to comply with three immigration‐related conditions imposed by the Attorney General of the United States. Those conditions require grant applicants to certify that they will (1) comply with federal law prohibiting any restrictions on the communication of citizenship and alien status information with federal immigration authorities, see 8U.S.C.§1373; (2) provide federal authorities, upon request, with the release dates of incarcerated illegal aliens; and (3) afford federal immigration officers access to incarcerated illegal aliens. *** For reasons explained in this opinion, we conclude that the plain language of the relevant statutes authorizes the Attorney General to impose the challenged conditions.  </w:t>
      </w:r>
      <w:bookmarkStart w:id="152" w:name="_Hlk39823517"/>
      <w:r w:rsidR="00F2621E">
        <w:fldChar w:fldCharType="begin"/>
      </w:r>
      <w:r w:rsidR="00F2621E">
        <w:instrText xml:space="preserve"> HYPERLINK "http://www.ca2.uscourts.gov/decisions/isysquery/77aa9bb2-f2fe-443d-984f-9afcae6dd25e/1/doc/19-267_opn.pdf" \l "xml=http://www.ca2.uscourts.gov/decisions/isysquery/77aa9bb2-f2fe-443d-984f-9afcae6dd25e/1/hilite/" </w:instrText>
      </w:r>
      <w:r w:rsidR="00F2621E">
        <w:fldChar w:fldCharType="separate"/>
      </w:r>
      <w:r w:rsidRPr="00465FB3">
        <w:rPr>
          <w:rStyle w:val="Hyperlink"/>
          <w:rFonts w:ascii="Times New Roman" w:hAnsi="Times New Roman"/>
          <w:bCs/>
          <w:sz w:val="24"/>
          <w:szCs w:val="24"/>
        </w:rPr>
        <w:t>http://www.ca2.uscourts.gov/decisions/isysquery/77aa9bb2-f2fe-443d-984f-9afcae6dd25e/1/doc/19-267_opn.pdf#xml=http://www.ca2.uscourts.gov/decisions/isysquery/77aa9bb2-f2fe-443d-984f-9afcae6dd25e/1/hilite/</w:t>
      </w:r>
      <w:r w:rsidR="00F2621E">
        <w:rPr>
          <w:rStyle w:val="Hyperlink"/>
          <w:rFonts w:ascii="Times New Roman" w:hAnsi="Times New Roman"/>
          <w:bCs/>
          <w:sz w:val="24"/>
          <w:szCs w:val="24"/>
        </w:rPr>
        <w:fldChar w:fldCharType="end"/>
      </w:r>
      <w:bookmarkEnd w:id="152"/>
    </w:p>
    <w:bookmarkEnd w:id="150"/>
    <w:p w14:paraId="7131F8FA" w14:textId="0421C127" w:rsidR="00663160" w:rsidRDefault="00663160" w:rsidP="00663160">
      <w:pPr>
        <w:pStyle w:val="NoSpacing"/>
        <w:rPr>
          <w:rFonts w:ascii="Arial Black" w:hAnsi="Arial Black"/>
          <w:sz w:val="28"/>
          <w:szCs w:val="28"/>
        </w:rPr>
      </w:pPr>
    </w:p>
    <w:p w14:paraId="57D29285" w14:textId="77777777" w:rsidR="00663160" w:rsidRPr="00465FB3" w:rsidRDefault="00663160" w:rsidP="00663160">
      <w:pPr>
        <w:pStyle w:val="NoSpacing"/>
        <w:tabs>
          <w:tab w:val="left" w:pos="2890"/>
        </w:tabs>
        <w:rPr>
          <w:rFonts w:ascii="Times New Roman" w:hAnsi="Times New Roman"/>
          <w:b/>
          <w:bCs/>
          <w:sz w:val="24"/>
          <w:szCs w:val="24"/>
        </w:rPr>
      </w:pPr>
      <w:bookmarkStart w:id="153" w:name="_Hlk40509288"/>
      <w:r w:rsidRPr="00465FB3">
        <w:rPr>
          <w:rFonts w:ascii="Times New Roman" w:hAnsi="Times New Roman"/>
          <w:b/>
          <w:bCs/>
          <w:sz w:val="24"/>
          <w:szCs w:val="24"/>
        </w:rPr>
        <w:t xml:space="preserve">Legal Lessons Learned: Sanctuary cities are a “hot” political issue; the states who brought this lawsuit may now request U.S. Supreme Court to hear their appeal (requires vote of 4 of 9 justices for the Court to hear an appeal).   Federal appeals courts in Philadelphia, Chicago and San Francisco have upheld injunctions against these federal restrictions. </w:t>
      </w:r>
    </w:p>
    <w:p w14:paraId="6345F829" w14:textId="7729104C" w:rsidR="00025B22" w:rsidRDefault="00663160" w:rsidP="009E7672">
      <w:pPr>
        <w:pStyle w:val="NoSpacing"/>
        <w:rPr>
          <w:rFonts w:ascii="Times New Roman" w:hAnsi="Times New Roman"/>
          <w:b/>
          <w:bCs/>
          <w:sz w:val="24"/>
          <w:szCs w:val="24"/>
        </w:rPr>
      </w:pPr>
      <w:bookmarkStart w:id="154" w:name="_Hlk39823343"/>
      <w:r w:rsidRPr="00025B22">
        <w:rPr>
          <w:rFonts w:ascii="Times New Roman" w:hAnsi="Times New Roman"/>
          <w:sz w:val="24"/>
          <w:szCs w:val="24"/>
        </w:rPr>
        <w:t xml:space="preserve">See </w:t>
      </w:r>
      <w:r w:rsidR="00025B22" w:rsidRPr="00025B22">
        <w:rPr>
          <w:rFonts w:ascii="Times New Roman" w:hAnsi="Times New Roman"/>
          <w:sz w:val="24"/>
          <w:szCs w:val="24"/>
        </w:rPr>
        <w:t xml:space="preserve">Feb. 26, </w:t>
      </w:r>
      <w:proofErr w:type="gramStart"/>
      <w:r w:rsidR="00025B22" w:rsidRPr="00025B22">
        <w:rPr>
          <w:rFonts w:ascii="Times New Roman" w:hAnsi="Times New Roman"/>
          <w:sz w:val="24"/>
          <w:szCs w:val="24"/>
        </w:rPr>
        <w:t>2020</w:t>
      </w:r>
      <w:proofErr w:type="gramEnd"/>
      <w:r w:rsidR="00025B22" w:rsidRPr="00025B22">
        <w:rPr>
          <w:rFonts w:ascii="Times New Roman" w:hAnsi="Times New Roman"/>
          <w:sz w:val="24"/>
          <w:szCs w:val="24"/>
        </w:rPr>
        <w:t xml:space="preserve"> </w:t>
      </w:r>
      <w:r w:rsidRPr="00025B22">
        <w:rPr>
          <w:rFonts w:ascii="Times New Roman" w:hAnsi="Times New Roman"/>
          <w:sz w:val="24"/>
          <w:szCs w:val="24"/>
        </w:rPr>
        <w:t>article on the decision:</w:t>
      </w:r>
      <w:r w:rsidRPr="00465FB3">
        <w:rPr>
          <w:rFonts w:ascii="Times New Roman" w:hAnsi="Times New Roman"/>
          <w:b/>
          <w:bCs/>
          <w:sz w:val="24"/>
          <w:szCs w:val="24"/>
        </w:rPr>
        <w:t xml:space="preserve"> </w:t>
      </w:r>
      <w:r w:rsidR="00025B22" w:rsidRPr="00025B22">
        <w:rPr>
          <w:rFonts w:ascii="Times New Roman" w:hAnsi="Times New Roman"/>
          <w:sz w:val="24"/>
          <w:szCs w:val="24"/>
        </w:rPr>
        <w:t>Trump Administration May Withhold Federal Grants Over Sanctuary Policies, 2nd Circuit Rules</w:t>
      </w:r>
      <w:r w:rsidR="00025B22">
        <w:rPr>
          <w:rFonts w:ascii="Times New Roman" w:hAnsi="Times New Roman"/>
          <w:sz w:val="24"/>
          <w:szCs w:val="24"/>
        </w:rPr>
        <w:t xml:space="preserve">,” </w:t>
      </w:r>
    </w:p>
    <w:p w14:paraId="444BEB8E" w14:textId="05A41F0F" w:rsidR="00663160" w:rsidRPr="00465FB3" w:rsidRDefault="00025B22" w:rsidP="00663160">
      <w:pPr>
        <w:pStyle w:val="NoSpacing"/>
        <w:tabs>
          <w:tab w:val="left" w:pos="2890"/>
        </w:tabs>
        <w:rPr>
          <w:rFonts w:ascii="Times New Roman" w:hAnsi="Times New Roman"/>
          <w:sz w:val="24"/>
          <w:szCs w:val="24"/>
        </w:rPr>
      </w:pPr>
      <w:hyperlink r:id="rId789" w:history="1">
        <w:r w:rsidRPr="00751ACF">
          <w:rPr>
            <w:rStyle w:val="Hyperlink"/>
            <w:rFonts w:ascii="Times New Roman" w:hAnsi="Times New Roman"/>
            <w:b/>
            <w:bCs/>
            <w:sz w:val="24"/>
            <w:szCs w:val="24"/>
          </w:rPr>
          <w:t>https://www.law.com/newyorklawjournal/2020/02/26/trump-administration-may-withhold-federal-grants-over-sanctuary-policies-2nd-circuit-rules/</w:t>
        </w:r>
      </w:hyperlink>
      <w:r w:rsidR="00663160" w:rsidRPr="00465FB3">
        <w:rPr>
          <w:rFonts w:ascii="Times New Roman" w:hAnsi="Times New Roman"/>
          <w:sz w:val="24"/>
          <w:szCs w:val="24"/>
        </w:rPr>
        <w:t xml:space="preserve"> </w:t>
      </w:r>
      <w:bookmarkEnd w:id="153"/>
    </w:p>
    <w:bookmarkEnd w:id="154"/>
    <w:p w14:paraId="1DFB96BD" w14:textId="2F988E5D" w:rsidR="00663160" w:rsidRDefault="00663160" w:rsidP="00663160">
      <w:pPr>
        <w:pStyle w:val="NoSpacing"/>
        <w:rPr>
          <w:rFonts w:ascii="Arial Black" w:hAnsi="Arial Black"/>
          <w:sz w:val="28"/>
          <w:szCs w:val="28"/>
        </w:rPr>
      </w:pPr>
      <w:r>
        <w:rPr>
          <w:rFonts w:ascii="Arial Black" w:hAnsi="Arial Black"/>
          <w:sz w:val="28"/>
          <w:szCs w:val="28"/>
        </w:rPr>
        <w:t xml:space="preserve"> </w:t>
      </w:r>
    </w:p>
    <w:p w14:paraId="6AF8BCF4" w14:textId="77777777" w:rsidR="00663160" w:rsidRDefault="00663160" w:rsidP="00F326E5">
      <w:pPr>
        <w:pStyle w:val="NoSpacing"/>
        <w:rPr>
          <w:rFonts w:ascii="Arial Black" w:hAnsi="Arial Black"/>
          <w:sz w:val="28"/>
          <w:szCs w:val="28"/>
        </w:rPr>
      </w:pPr>
    </w:p>
    <w:p w14:paraId="397E350C" w14:textId="77777777" w:rsidR="00663160" w:rsidRDefault="00663160" w:rsidP="00F326E5">
      <w:pPr>
        <w:pStyle w:val="NoSpacing"/>
        <w:rPr>
          <w:rFonts w:ascii="Arial Black" w:hAnsi="Arial Black"/>
          <w:sz w:val="28"/>
          <w:szCs w:val="28"/>
        </w:rPr>
      </w:pPr>
    </w:p>
    <w:p w14:paraId="3BF95380" w14:textId="6375CE74" w:rsidR="007C6FEF" w:rsidRDefault="007C6FEF" w:rsidP="00F326E5">
      <w:pPr>
        <w:pStyle w:val="NoSpacing"/>
        <w:rPr>
          <w:rFonts w:ascii="Arial Black" w:hAnsi="Arial Black"/>
          <w:sz w:val="28"/>
          <w:szCs w:val="28"/>
        </w:rPr>
      </w:pPr>
      <w:r>
        <w:rPr>
          <w:rFonts w:ascii="Arial Black" w:hAnsi="Arial Black"/>
          <w:sz w:val="28"/>
          <w:szCs w:val="28"/>
        </w:rPr>
        <w:t>3-17</w:t>
      </w:r>
    </w:p>
    <w:p w14:paraId="7B72F072" w14:textId="31E31B1A" w:rsidR="007C6FEF" w:rsidRDefault="007C6FEF" w:rsidP="007C6FEF">
      <w:pPr>
        <w:spacing w:before="100" w:beforeAutospacing="1" w:after="100" w:afterAutospacing="1" w:line="240" w:lineRule="auto"/>
        <w:rPr>
          <w:rFonts w:ascii="Arial Black" w:hAnsi="Arial Black"/>
          <w:sz w:val="28"/>
          <w:szCs w:val="28"/>
        </w:rPr>
      </w:pPr>
      <w:r w:rsidRPr="00E0167A">
        <w:rPr>
          <w:rFonts w:ascii="Arial Black" w:hAnsi="Arial Black"/>
          <w:sz w:val="28"/>
          <w:szCs w:val="28"/>
        </w:rPr>
        <w:t>NY:</w:t>
      </w:r>
      <w:r>
        <w:rPr>
          <w:rFonts w:ascii="Arial Black" w:hAnsi="Arial Black"/>
          <w:sz w:val="28"/>
          <w:szCs w:val="28"/>
        </w:rPr>
        <w:t xml:space="preserve">  TERRORIST – ATTACKED FBI AGENT, 8-INCH KNIFE – PLED GUITY – 2</w:t>
      </w:r>
      <w:r w:rsidRPr="00E62FA3">
        <w:rPr>
          <w:rFonts w:ascii="Arial Black" w:hAnsi="Arial Black"/>
          <w:sz w:val="28"/>
          <w:szCs w:val="28"/>
          <w:vertAlign w:val="superscript"/>
        </w:rPr>
        <w:t>nd</w:t>
      </w:r>
      <w:r>
        <w:rPr>
          <w:rFonts w:ascii="Arial Black" w:hAnsi="Arial Black"/>
          <w:sz w:val="28"/>
          <w:szCs w:val="28"/>
        </w:rPr>
        <w:t xml:space="preserve"> Cir: 17 YRS IN PRISON NOT ENOUGH </w:t>
      </w:r>
    </w:p>
    <w:p w14:paraId="037F3549" w14:textId="77777777" w:rsidR="007C6FEF" w:rsidRDefault="007C6FEF" w:rsidP="007C6FEF">
      <w:pPr>
        <w:spacing w:before="100" w:beforeAutospacing="1" w:after="100" w:afterAutospacing="1" w:line="240" w:lineRule="auto"/>
        <w:rPr>
          <w:rFonts w:ascii="OnTimes New Roman" w:hAnsi="OnTimes New Roman"/>
          <w:sz w:val="24"/>
          <w:szCs w:val="24"/>
        </w:rPr>
      </w:pPr>
      <w:r>
        <w:rPr>
          <w:rFonts w:ascii="OnTimes New Roman" w:hAnsi="OnTimes New Roman"/>
          <w:sz w:val="24"/>
          <w:szCs w:val="24"/>
        </w:rPr>
        <w:t xml:space="preserve">On Dec. 27, 2019, in </w:t>
      </w:r>
      <w:r w:rsidRPr="00E0167A">
        <w:rPr>
          <w:rFonts w:ascii="Times New Roman" w:hAnsi="Times New Roman"/>
          <w:sz w:val="24"/>
          <w:szCs w:val="24"/>
          <w:u w:val="single"/>
        </w:rPr>
        <w:t>United States of America v. Fareed Mumuni</w:t>
      </w:r>
      <w:r>
        <w:rPr>
          <w:rFonts w:ascii="OnTimes New Roman" w:hAnsi="OnTimes New Roman"/>
          <w:sz w:val="24"/>
          <w:szCs w:val="24"/>
        </w:rPr>
        <w:t xml:space="preserve">, the U.S. Court of Appeals for Second Circuit (NYC), held 2 to 1 that U.S. District Court judge must re-sentence the convicted terrorist. </w:t>
      </w:r>
    </w:p>
    <w:p w14:paraId="422BEC57" w14:textId="77777777" w:rsidR="007C6FEF" w:rsidRDefault="007C6FEF" w:rsidP="007C6FEF">
      <w:pPr>
        <w:spacing w:before="100" w:beforeAutospacing="1" w:after="100" w:afterAutospacing="1" w:line="240" w:lineRule="auto"/>
        <w:ind w:left="720"/>
        <w:rPr>
          <w:rFonts w:ascii="Times New Roman" w:hAnsi="Times New Roman"/>
          <w:sz w:val="24"/>
          <w:szCs w:val="24"/>
        </w:rPr>
      </w:pPr>
      <w:r w:rsidRPr="00E0167A">
        <w:rPr>
          <w:rFonts w:ascii="Times New Roman" w:hAnsi="Times New Roman"/>
          <w:sz w:val="24"/>
          <w:szCs w:val="24"/>
        </w:rPr>
        <w:t>“In</w:t>
      </w:r>
      <w:r>
        <w:rPr>
          <w:rFonts w:ascii="Times New Roman" w:hAnsi="Times New Roman"/>
          <w:sz w:val="24"/>
          <w:szCs w:val="24"/>
        </w:rPr>
        <w:t xml:space="preserve"> </w:t>
      </w:r>
      <w:r w:rsidRPr="00E0167A">
        <w:rPr>
          <w:rFonts w:ascii="Times New Roman" w:hAnsi="Times New Roman"/>
          <w:sz w:val="24"/>
          <w:szCs w:val="24"/>
        </w:rPr>
        <w:t>this</w:t>
      </w:r>
      <w:r>
        <w:rPr>
          <w:rFonts w:ascii="Times New Roman" w:hAnsi="Times New Roman"/>
          <w:sz w:val="24"/>
          <w:szCs w:val="24"/>
        </w:rPr>
        <w:t xml:space="preserve"> </w:t>
      </w:r>
      <w:r w:rsidRPr="00E0167A">
        <w:rPr>
          <w:rFonts w:ascii="Times New Roman" w:hAnsi="Times New Roman"/>
          <w:sz w:val="24"/>
          <w:szCs w:val="24"/>
        </w:rPr>
        <w:t>terrorism</w:t>
      </w:r>
      <w:r>
        <w:rPr>
          <w:rFonts w:ascii="Times New Roman" w:hAnsi="Times New Roman"/>
          <w:sz w:val="24"/>
          <w:szCs w:val="24"/>
        </w:rPr>
        <w:t xml:space="preserve"> </w:t>
      </w:r>
      <w:r w:rsidRPr="00E0167A">
        <w:rPr>
          <w:rFonts w:ascii="Times New Roman" w:hAnsi="Times New Roman"/>
          <w:sz w:val="24"/>
          <w:szCs w:val="24"/>
        </w:rPr>
        <w:t>case,</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Government</w:t>
      </w:r>
      <w:r>
        <w:rPr>
          <w:rFonts w:ascii="Times New Roman" w:hAnsi="Times New Roman"/>
          <w:sz w:val="24"/>
          <w:szCs w:val="24"/>
        </w:rPr>
        <w:t xml:space="preserve"> </w:t>
      </w:r>
      <w:r w:rsidRPr="00E0167A">
        <w:rPr>
          <w:rFonts w:ascii="Times New Roman" w:hAnsi="Times New Roman"/>
          <w:sz w:val="24"/>
          <w:szCs w:val="24"/>
        </w:rPr>
        <w:t>appeals</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substantive </w:t>
      </w:r>
      <w:r w:rsidRPr="00E0167A">
        <w:rPr>
          <w:rFonts w:ascii="Times New Roman" w:hAnsi="Times New Roman"/>
          <w:sz w:val="24"/>
          <w:szCs w:val="24"/>
        </w:rPr>
        <w:t>reasonableness</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sentence</w:t>
      </w:r>
      <w:r>
        <w:rPr>
          <w:rFonts w:ascii="Times New Roman" w:hAnsi="Times New Roman"/>
          <w:sz w:val="24"/>
          <w:szCs w:val="24"/>
        </w:rPr>
        <w:t xml:space="preserve"> </w:t>
      </w:r>
      <w:r w:rsidRPr="00E0167A">
        <w:rPr>
          <w:rFonts w:ascii="Times New Roman" w:hAnsi="Times New Roman"/>
          <w:sz w:val="24"/>
          <w:szCs w:val="24"/>
        </w:rPr>
        <w:t>imposed</w:t>
      </w:r>
      <w:r>
        <w:rPr>
          <w:rFonts w:ascii="Times New Roman" w:hAnsi="Times New Roman"/>
          <w:sz w:val="24"/>
          <w:szCs w:val="24"/>
        </w:rPr>
        <w:t xml:space="preserve"> </w:t>
      </w:r>
      <w:r w:rsidRPr="00E0167A">
        <w:rPr>
          <w:rFonts w:ascii="Times New Roman" w:hAnsi="Times New Roman"/>
          <w:sz w:val="24"/>
          <w:szCs w:val="24"/>
        </w:rPr>
        <w:t>on</w:t>
      </w:r>
      <w:r>
        <w:rPr>
          <w:rFonts w:ascii="Times New Roman" w:hAnsi="Times New Roman"/>
          <w:sz w:val="24"/>
          <w:szCs w:val="24"/>
        </w:rPr>
        <w:t xml:space="preserve"> </w:t>
      </w:r>
      <w:r w:rsidRPr="00E0167A">
        <w:rPr>
          <w:rFonts w:ascii="Times New Roman" w:hAnsi="Times New Roman"/>
          <w:sz w:val="24"/>
          <w:szCs w:val="24"/>
        </w:rPr>
        <w:t>Defendant‐</w:t>
      </w:r>
      <w:r>
        <w:rPr>
          <w:rFonts w:ascii="Times New Roman" w:hAnsi="Times New Roman"/>
          <w:sz w:val="24"/>
          <w:szCs w:val="24"/>
        </w:rPr>
        <w:t>A</w:t>
      </w:r>
      <w:r w:rsidRPr="00E0167A">
        <w:rPr>
          <w:rFonts w:ascii="Times New Roman" w:hAnsi="Times New Roman"/>
          <w:sz w:val="24"/>
          <w:szCs w:val="24"/>
        </w:rPr>
        <w:t>ppellee</w:t>
      </w:r>
      <w:r>
        <w:rPr>
          <w:rFonts w:ascii="Times New Roman" w:hAnsi="Times New Roman"/>
          <w:sz w:val="24"/>
          <w:szCs w:val="24"/>
        </w:rPr>
        <w:t xml:space="preserve"> </w:t>
      </w:r>
      <w:r w:rsidRPr="00E0167A">
        <w:rPr>
          <w:rFonts w:ascii="Times New Roman" w:hAnsi="Times New Roman"/>
          <w:sz w:val="24"/>
          <w:szCs w:val="24"/>
        </w:rPr>
        <w:t>Fareed</w:t>
      </w:r>
      <w:r>
        <w:rPr>
          <w:rFonts w:ascii="Times New Roman" w:hAnsi="Times New Roman"/>
          <w:sz w:val="24"/>
          <w:szCs w:val="24"/>
        </w:rPr>
        <w:t xml:space="preserve"> </w:t>
      </w:r>
      <w:r w:rsidRPr="00E0167A">
        <w:rPr>
          <w:rFonts w:ascii="Times New Roman" w:hAnsi="Times New Roman"/>
          <w:sz w:val="24"/>
          <w:szCs w:val="24"/>
        </w:rPr>
        <w:t>Mumuni</w:t>
      </w:r>
      <w:r>
        <w:rPr>
          <w:rFonts w:ascii="Times New Roman" w:hAnsi="Times New Roman"/>
          <w:sz w:val="24"/>
          <w:szCs w:val="24"/>
        </w:rPr>
        <w:t xml:space="preserve"> </w:t>
      </w:r>
      <w:r w:rsidRPr="00E0167A">
        <w:rPr>
          <w:rFonts w:ascii="Times New Roman" w:hAnsi="Times New Roman"/>
          <w:sz w:val="24"/>
          <w:szCs w:val="24"/>
        </w:rPr>
        <w:t>(</w:t>
      </w:r>
      <w:r>
        <w:rPr>
          <w:rFonts w:ascii="Times New Roman" w:hAnsi="Times New Roman"/>
          <w:sz w:val="24"/>
          <w:szCs w:val="24"/>
        </w:rPr>
        <w:t>‘</w:t>
      </w:r>
      <w:r w:rsidRPr="00E0167A">
        <w:rPr>
          <w:rFonts w:ascii="Times New Roman" w:hAnsi="Times New Roman"/>
          <w:sz w:val="24"/>
          <w:szCs w:val="24"/>
        </w:rPr>
        <w:t>Mumuni</w:t>
      </w:r>
      <w:r>
        <w:rPr>
          <w:rFonts w:ascii="Times New Roman" w:hAnsi="Times New Roman"/>
          <w:sz w:val="24"/>
          <w:szCs w:val="24"/>
        </w:rPr>
        <w:t>’</w:t>
      </w:r>
      <w:r w:rsidRPr="00E0167A">
        <w:rPr>
          <w:rFonts w:ascii="Times New Roman" w:hAnsi="Times New Roman"/>
          <w:sz w:val="24"/>
          <w:szCs w:val="24"/>
        </w:rPr>
        <w:t>).</w:t>
      </w:r>
      <w:r>
        <w:rPr>
          <w:rFonts w:ascii="Times New Roman" w:hAnsi="Times New Roman"/>
          <w:sz w:val="24"/>
          <w:szCs w:val="24"/>
        </w:rPr>
        <w:t xml:space="preserve"> </w:t>
      </w:r>
      <w:r w:rsidRPr="00E0167A">
        <w:rPr>
          <w:rFonts w:ascii="Times New Roman" w:hAnsi="Times New Roman"/>
          <w:sz w:val="24"/>
          <w:szCs w:val="24"/>
        </w:rPr>
        <w:t>He</w:t>
      </w:r>
      <w:r>
        <w:rPr>
          <w:rFonts w:ascii="Times New Roman" w:hAnsi="Times New Roman"/>
          <w:sz w:val="24"/>
          <w:szCs w:val="24"/>
        </w:rPr>
        <w:t xml:space="preserve"> </w:t>
      </w:r>
      <w:r w:rsidRPr="00E0167A">
        <w:rPr>
          <w:rFonts w:ascii="Times New Roman" w:hAnsi="Times New Roman"/>
          <w:sz w:val="24"/>
          <w:szCs w:val="24"/>
        </w:rPr>
        <w:t>was</w:t>
      </w:r>
      <w:r>
        <w:rPr>
          <w:rFonts w:ascii="Times New Roman" w:hAnsi="Times New Roman"/>
          <w:sz w:val="24"/>
          <w:szCs w:val="24"/>
        </w:rPr>
        <w:t xml:space="preserve"> </w:t>
      </w:r>
      <w:r w:rsidRPr="00E0167A">
        <w:rPr>
          <w:rFonts w:ascii="Times New Roman" w:hAnsi="Times New Roman"/>
          <w:sz w:val="24"/>
          <w:szCs w:val="24"/>
        </w:rPr>
        <w:t>convicted</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inter</w:t>
      </w:r>
      <w:r>
        <w:rPr>
          <w:rFonts w:ascii="Times New Roman" w:hAnsi="Times New Roman"/>
          <w:sz w:val="24"/>
          <w:szCs w:val="24"/>
        </w:rPr>
        <w:t xml:space="preserve"> </w:t>
      </w:r>
      <w:r w:rsidRPr="00E0167A">
        <w:rPr>
          <w:rFonts w:ascii="Times New Roman" w:hAnsi="Times New Roman"/>
          <w:sz w:val="24"/>
          <w:szCs w:val="24"/>
        </w:rPr>
        <w:t>alia,</w:t>
      </w:r>
      <w:r>
        <w:rPr>
          <w:rFonts w:ascii="Times New Roman" w:hAnsi="Times New Roman"/>
          <w:sz w:val="24"/>
          <w:szCs w:val="24"/>
        </w:rPr>
        <w:t xml:space="preserve"> </w:t>
      </w:r>
      <w:r w:rsidRPr="00E0167A">
        <w:rPr>
          <w:rFonts w:ascii="Times New Roman" w:hAnsi="Times New Roman"/>
          <w:sz w:val="24"/>
          <w:szCs w:val="24"/>
        </w:rPr>
        <w:t>conspiring</w:t>
      </w:r>
      <w:r>
        <w:rPr>
          <w:rFonts w:ascii="Times New Roman" w:hAnsi="Times New Roman"/>
          <w:sz w:val="24"/>
          <w:szCs w:val="24"/>
        </w:rPr>
        <w:t xml:space="preserve"> </w:t>
      </w:r>
      <w:r w:rsidRPr="00E0167A">
        <w:rPr>
          <w:rFonts w:ascii="Times New Roman" w:hAnsi="Times New Roman"/>
          <w:sz w:val="24"/>
          <w:szCs w:val="24"/>
        </w:rPr>
        <w:t>to</w:t>
      </w:r>
      <w:r>
        <w:rPr>
          <w:rFonts w:ascii="Times New Roman" w:hAnsi="Times New Roman"/>
          <w:sz w:val="24"/>
          <w:szCs w:val="24"/>
        </w:rPr>
        <w:t xml:space="preserve"> </w:t>
      </w:r>
      <w:r w:rsidRPr="00E0167A">
        <w:rPr>
          <w:rFonts w:ascii="Times New Roman" w:hAnsi="Times New Roman"/>
          <w:sz w:val="24"/>
          <w:szCs w:val="24"/>
        </w:rPr>
        <w:t>provide</w:t>
      </w:r>
      <w:r>
        <w:rPr>
          <w:rFonts w:ascii="Times New Roman" w:hAnsi="Times New Roman"/>
          <w:sz w:val="24"/>
          <w:szCs w:val="24"/>
        </w:rPr>
        <w:t xml:space="preserve"> </w:t>
      </w:r>
      <w:r w:rsidRPr="00E0167A">
        <w:rPr>
          <w:rFonts w:ascii="Times New Roman" w:hAnsi="Times New Roman"/>
          <w:sz w:val="24"/>
          <w:szCs w:val="24"/>
        </w:rPr>
        <w:t>material</w:t>
      </w:r>
      <w:r>
        <w:rPr>
          <w:rFonts w:ascii="Times New Roman" w:hAnsi="Times New Roman"/>
          <w:sz w:val="24"/>
          <w:szCs w:val="24"/>
        </w:rPr>
        <w:t xml:space="preserve"> </w:t>
      </w:r>
      <w:r w:rsidRPr="00E0167A">
        <w:rPr>
          <w:rFonts w:ascii="Times New Roman" w:hAnsi="Times New Roman"/>
          <w:sz w:val="24"/>
          <w:szCs w:val="24"/>
        </w:rPr>
        <w:t>support</w:t>
      </w:r>
      <w:r>
        <w:rPr>
          <w:rFonts w:ascii="Times New Roman" w:hAnsi="Times New Roman"/>
          <w:sz w:val="24"/>
          <w:szCs w:val="24"/>
        </w:rPr>
        <w:t xml:space="preserve"> </w:t>
      </w:r>
      <w:r w:rsidRPr="00E0167A">
        <w:rPr>
          <w:rFonts w:ascii="Times New Roman" w:hAnsi="Times New Roman"/>
          <w:sz w:val="24"/>
          <w:szCs w:val="24"/>
        </w:rPr>
        <w:t>to</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Islamic</w:t>
      </w:r>
      <w:r>
        <w:rPr>
          <w:rFonts w:ascii="Times New Roman" w:hAnsi="Times New Roman"/>
          <w:sz w:val="24"/>
          <w:szCs w:val="24"/>
        </w:rPr>
        <w:t xml:space="preserve"> </w:t>
      </w:r>
      <w:r w:rsidRPr="00E0167A">
        <w:rPr>
          <w:rFonts w:ascii="Times New Roman" w:hAnsi="Times New Roman"/>
          <w:sz w:val="24"/>
          <w:szCs w:val="24"/>
        </w:rPr>
        <w:t>State</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Iraq</w:t>
      </w:r>
      <w:r>
        <w:rPr>
          <w:rFonts w:ascii="Times New Roman" w:hAnsi="Times New Roman"/>
          <w:sz w:val="24"/>
          <w:szCs w:val="24"/>
        </w:rPr>
        <w:t xml:space="preserve"> </w:t>
      </w:r>
      <w:r w:rsidRPr="00E0167A">
        <w:rPr>
          <w:rFonts w:ascii="Times New Roman" w:hAnsi="Times New Roman"/>
          <w:sz w:val="24"/>
          <w:szCs w:val="24"/>
        </w:rPr>
        <w:t>and</w:t>
      </w:r>
      <w:r>
        <w:rPr>
          <w:rFonts w:ascii="Times New Roman" w:hAnsi="Times New Roman"/>
          <w:sz w:val="24"/>
          <w:szCs w:val="24"/>
        </w:rPr>
        <w:t xml:space="preserve"> </w:t>
      </w:r>
      <w:r w:rsidRPr="00E0167A">
        <w:rPr>
          <w:rFonts w:ascii="Times New Roman" w:hAnsi="Times New Roman"/>
          <w:sz w:val="24"/>
          <w:szCs w:val="24"/>
        </w:rPr>
        <w:t>al‐Sham</w:t>
      </w:r>
      <w:r>
        <w:rPr>
          <w:rFonts w:ascii="Times New Roman" w:hAnsi="Times New Roman"/>
          <w:sz w:val="24"/>
          <w:szCs w:val="24"/>
        </w:rPr>
        <w:t xml:space="preserve"> </w:t>
      </w:r>
      <w:r w:rsidRPr="00E0167A">
        <w:rPr>
          <w:rFonts w:ascii="Times New Roman" w:hAnsi="Times New Roman"/>
          <w:sz w:val="24"/>
          <w:szCs w:val="24"/>
        </w:rPr>
        <w:t>(</w:t>
      </w:r>
      <w:r>
        <w:rPr>
          <w:rFonts w:ascii="Times New Roman" w:hAnsi="Times New Roman"/>
          <w:sz w:val="24"/>
          <w:szCs w:val="24"/>
        </w:rPr>
        <w:t>‘</w:t>
      </w:r>
      <w:r w:rsidRPr="00E0167A">
        <w:rPr>
          <w:rFonts w:ascii="Times New Roman" w:hAnsi="Times New Roman"/>
          <w:sz w:val="24"/>
          <w:szCs w:val="24"/>
        </w:rPr>
        <w:t>ISIS</w:t>
      </w:r>
      <w:r>
        <w:rPr>
          <w:rFonts w:ascii="Times New Roman" w:hAnsi="Times New Roman"/>
          <w:sz w:val="24"/>
          <w:szCs w:val="24"/>
        </w:rPr>
        <w:t>’</w:t>
      </w:r>
      <w:r w:rsidRPr="00E0167A">
        <w:rPr>
          <w:rFonts w:ascii="Times New Roman" w:hAnsi="Times New Roman"/>
          <w:sz w:val="24"/>
          <w:szCs w:val="24"/>
        </w:rPr>
        <w:t>)</w:t>
      </w:r>
      <w:r>
        <w:rPr>
          <w:rFonts w:ascii="Times New Roman" w:hAnsi="Times New Roman"/>
          <w:sz w:val="24"/>
          <w:szCs w:val="24"/>
        </w:rPr>
        <w:t xml:space="preserve"> </w:t>
      </w:r>
      <w:r w:rsidRPr="00E0167A">
        <w:rPr>
          <w:rFonts w:ascii="Times New Roman" w:hAnsi="Times New Roman"/>
          <w:sz w:val="24"/>
          <w:szCs w:val="24"/>
        </w:rPr>
        <w:t>and</w:t>
      </w:r>
      <w:r>
        <w:rPr>
          <w:rFonts w:ascii="Times New Roman" w:hAnsi="Times New Roman"/>
          <w:sz w:val="24"/>
          <w:szCs w:val="24"/>
        </w:rPr>
        <w:t xml:space="preserve"> </w:t>
      </w:r>
      <w:r w:rsidRPr="00E0167A">
        <w:rPr>
          <w:rFonts w:ascii="Times New Roman" w:hAnsi="Times New Roman"/>
          <w:sz w:val="24"/>
          <w:szCs w:val="24"/>
        </w:rPr>
        <w:t>attempting</w:t>
      </w:r>
      <w:r>
        <w:rPr>
          <w:rFonts w:ascii="Times New Roman" w:hAnsi="Times New Roman"/>
          <w:sz w:val="24"/>
          <w:szCs w:val="24"/>
        </w:rPr>
        <w:t xml:space="preserve"> </w:t>
      </w:r>
      <w:r w:rsidRPr="00E0167A">
        <w:rPr>
          <w:rFonts w:ascii="Times New Roman" w:hAnsi="Times New Roman"/>
          <w:sz w:val="24"/>
          <w:szCs w:val="24"/>
        </w:rPr>
        <w:t>to</w:t>
      </w:r>
      <w:r>
        <w:rPr>
          <w:rFonts w:ascii="Times New Roman" w:hAnsi="Times New Roman"/>
          <w:sz w:val="24"/>
          <w:szCs w:val="24"/>
        </w:rPr>
        <w:t xml:space="preserve"> </w:t>
      </w:r>
      <w:r w:rsidRPr="00E0167A">
        <w:rPr>
          <w:rFonts w:ascii="Times New Roman" w:hAnsi="Times New Roman"/>
          <w:sz w:val="24"/>
          <w:szCs w:val="24"/>
        </w:rPr>
        <w:t>murder</w:t>
      </w:r>
      <w:r>
        <w:rPr>
          <w:rFonts w:ascii="Times New Roman" w:hAnsi="Times New Roman"/>
          <w:sz w:val="24"/>
          <w:szCs w:val="24"/>
        </w:rPr>
        <w:t xml:space="preserve"> </w:t>
      </w:r>
      <w:r w:rsidRPr="00E0167A">
        <w:rPr>
          <w:rFonts w:ascii="Times New Roman" w:hAnsi="Times New Roman"/>
          <w:sz w:val="24"/>
          <w:szCs w:val="24"/>
        </w:rPr>
        <w:t>a</w:t>
      </w:r>
      <w:r>
        <w:rPr>
          <w:rFonts w:ascii="Times New Roman" w:hAnsi="Times New Roman"/>
          <w:sz w:val="24"/>
          <w:szCs w:val="24"/>
        </w:rPr>
        <w:t xml:space="preserve"> </w:t>
      </w:r>
      <w:r w:rsidRPr="00E0167A">
        <w:rPr>
          <w:rFonts w:ascii="Times New Roman" w:hAnsi="Times New Roman"/>
          <w:sz w:val="24"/>
          <w:szCs w:val="24"/>
        </w:rPr>
        <w:t>federal</w:t>
      </w:r>
      <w:r>
        <w:rPr>
          <w:rFonts w:ascii="Times New Roman" w:hAnsi="Times New Roman"/>
          <w:sz w:val="24"/>
          <w:szCs w:val="24"/>
        </w:rPr>
        <w:t xml:space="preserve"> </w:t>
      </w:r>
      <w:r w:rsidRPr="00E0167A">
        <w:rPr>
          <w:rFonts w:ascii="Times New Roman" w:hAnsi="Times New Roman"/>
          <w:sz w:val="24"/>
          <w:szCs w:val="24"/>
        </w:rPr>
        <w:t>agent</w:t>
      </w:r>
      <w:r>
        <w:rPr>
          <w:rFonts w:ascii="Times New Roman" w:hAnsi="Times New Roman"/>
          <w:sz w:val="24"/>
          <w:szCs w:val="24"/>
        </w:rPr>
        <w:t xml:space="preserve"> </w:t>
      </w:r>
      <w:r w:rsidRPr="00E0167A">
        <w:rPr>
          <w:rFonts w:ascii="Times New Roman" w:hAnsi="Times New Roman"/>
          <w:sz w:val="24"/>
          <w:szCs w:val="24"/>
        </w:rPr>
        <w:t>in</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name</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ISIS.</w:t>
      </w:r>
      <w:r>
        <w:rPr>
          <w:rFonts w:ascii="Times New Roman" w:hAnsi="Times New Roman"/>
          <w:sz w:val="24"/>
          <w:szCs w:val="24"/>
        </w:rPr>
        <w:t xml:space="preserve"> </w:t>
      </w:r>
      <w:r w:rsidRPr="00E0167A">
        <w:rPr>
          <w:rFonts w:ascii="Times New Roman" w:hAnsi="Times New Roman"/>
          <w:sz w:val="24"/>
          <w:szCs w:val="24"/>
        </w:rPr>
        <w:t>His</w:t>
      </w:r>
      <w:r>
        <w:rPr>
          <w:rFonts w:ascii="Times New Roman" w:hAnsi="Times New Roman"/>
          <w:sz w:val="24"/>
          <w:szCs w:val="24"/>
        </w:rPr>
        <w:t xml:space="preserve"> </w:t>
      </w:r>
      <w:r w:rsidRPr="00E0167A">
        <w:rPr>
          <w:rFonts w:ascii="Times New Roman" w:hAnsi="Times New Roman"/>
          <w:sz w:val="24"/>
          <w:szCs w:val="24"/>
        </w:rPr>
        <w:t>advisory</w:t>
      </w:r>
      <w:r>
        <w:rPr>
          <w:rFonts w:ascii="Times New Roman" w:hAnsi="Times New Roman"/>
          <w:sz w:val="24"/>
          <w:szCs w:val="24"/>
        </w:rPr>
        <w:t xml:space="preserve"> </w:t>
      </w:r>
      <w:r w:rsidRPr="00E0167A">
        <w:rPr>
          <w:rFonts w:ascii="Times New Roman" w:hAnsi="Times New Roman"/>
          <w:sz w:val="24"/>
          <w:szCs w:val="24"/>
        </w:rPr>
        <w:t>sentence</w:t>
      </w:r>
      <w:r>
        <w:rPr>
          <w:rFonts w:ascii="Times New Roman" w:hAnsi="Times New Roman"/>
          <w:sz w:val="24"/>
          <w:szCs w:val="24"/>
        </w:rPr>
        <w:t xml:space="preserve"> </w:t>
      </w:r>
      <w:r w:rsidRPr="00E0167A">
        <w:rPr>
          <w:rFonts w:ascii="Times New Roman" w:hAnsi="Times New Roman"/>
          <w:sz w:val="24"/>
          <w:szCs w:val="24"/>
        </w:rPr>
        <w:t>under</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United</w:t>
      </w:r>
      <w:r>
        <w:rPr>
          <w:rFonts w:ascii="Times New Roman" w:hAnsi="Times New Roman"/>
          <w:sz w:val="24"/>
          <w:szCs w:val="24"/>
        </w:rPr>
        <w:t xml:space="preserve"> </w:t>
      </w:r>
      <w:r w:rsidRPr="00E0167A">
        <w:rPr>
          <w:rFonts w:ascii="Times New Roman" w:hAnsi="Times New Roman"/>
          <w:sz w:val="24"/>
          <w:szCs w:val="24"/>
        </w:rPr>
        <w:t>States</w:t>
      </w:r>
      <w:r>
        <w:rPr>
          <w:rFonts w:ascii="Times New Roman" w:hAnsi="Times New Roman"/>
          <w:sz w:val="24"/>
          <w:szCs w:val="24"/>
        </w:rPr>
        <w:t xml:space="preserve"> </w:t>
      </w:r>
      <w:r w:rsidRPr="00E0167A">
        <w:rPr>
          <w:rFonts w:ascii="Times New Roman" w:hAnsi="Times New Roman"/>
          <w:sz w:val="24"/>
          <w:szCs w:val="24"/>
        </w:rPr>
        <w:t>Sentencing</w:t>
      </w:r>
      <w:r>
        <w:rPr>
          <w:rFonts w:ascii="Times New Roman" w:hAnsi="Times New Roman"/>
          <w:sz w:val="24"/>
          <w:szCs w:val="24"/>
        </w:rPr>
        <w:t xml:space="preserve"> </w:t>
      </w:r>
      <w:r w:rsidRPr="00E0167A">
        <w:rPr>
          <w:rFonts w:ascii="Times New Roman" w:hAnsi="Times New Roman"/>
          <w:sz w:val="24"/>
          <w:szCs w:val="24"/>
        </w:rPr>
        <w:t>Guidelines</w:t>
      </w:r>
      <w:r>
        <w:rPr>
          <w:rFonts w:ascii="Times New Roman" w:hAnsi="Times New Roman"/>
          <w:sz w:val="24"/>
          <w:szCs w:val="24"/>
        </w:rPr>
        <w:t xml:space="preserve"> </w:t>
      </w:r>
      <w:r w:rsidRPr="00E0167A">
        <w:rPr>
          <w:rFonts w:ascii="Times New Roman" w:hAnsi="Times New Roman"/>
          <w:sz w:val="24"/>
          <w:szCs w:val="24"/>
        </w:rPr>
        <w:t>(</w:t>
      </w:r>
      <w:r>
        <w:rPr>
          <w:rFonts w:ascii="Times New Roman" w:hAnsi="Times New Roman"/>
          <w:sz w:val="24"/>
          <w:szCs w:val="24"/>
        </w:rPr>
        <w:t>‘</w:t>
      </w:r>
      <w:r w:rsidRPr="00E0167A">
        <w:rPr>
          <w:rFonts w:ascii="Times New Roman" w:hAnsi="Times New Roman"/>
          <w:sz w:val="24"/>
          <w:szCs w:val="24"/>
        </w:rPr>
        <w:t>Guidelines</w:t>
      </w:r>
      <w:r>
        <w:rPr>
          <w:rFonts w:ascii="Times New Roman" w:hAnsi="Times New Roman"/>
          <w:sz w:val="24"/>
          <w:szCs w:val="24"/>
        </w:rPr>
        <w:t xml:space="preserve">’ </w:t>
      </w:r>
      <w:r w:rsidRPr="00E0167A">
        <w:rPr>
          <w:rFonts w:ascii="Times New Roman" w:hAnsi="Times New Roman"/>
          <w:sz w:val="24"/>
          <w:szCs w:val="24"/>
        </w:rPr>
        <w:t>or</w:t>
      </w:r>
      <w:r>
        <w:rPr>
          <w:rFonts w:ascii="Times New Roman" w:hAnsi="Times New Roman"/>
          <w:sz w:val="24"/>
          <w:szCs w:val="24"/>
        </w:rPr>
        <w:t xml:space="preserve"> ‘</w:t>
      </w:r>
      <w:r w:rsidRPr="00E0167A">
        <w:rPr>
          <w:rFonts w:ascii="Times New Roman" w:hAnsi="Times New Roman"/>
          <w:sz w:val="24"/>
          <w:szCs w:val="24"/>
        </w:rPr>
        <w:t>U.S.S.G.</w:t>
      </w:r>
      <w:r>
        <w:rPr>
          <w:rFonts w:ascii="Times New Roman" w:hAnsi="Times New Roman"/>
          <w:sz w:val="24"/>
          <w:szCs w:val="24"/>
        </w:rPr>
        <w:t>’</w:t>
      </w:r>
      <w:r w:rsidRPr="00E0167A">
        <w:rPr>
          <w:rFonts w:ascii="Times New Roman" w:hAnsi="Times New Roman"/>
          <w:sz w:val="24"/>
          <w:szCs w:val="24"/>
        </w:rPr>
        <w:t>)</w:t>
      </w:r>
      <w:r>
        <w:rPr>
          <w:rFonts w:ascii="Times New Roman" w:hAnsi="Times New Roman"/>
          <w:sz w:val="24"/>
          <w:szCs w:val="24"/>
        </w:rPr>
        <w:t xml:space="preserve"> </w:t>
      </w:r>
      <w:r w:rsidRPr="00E0167A">
        <w:rPr>
          <w:rFonts w:ascii="Times New Roman" w:hAnsi="Times New Roman"/>
          <w:sz w:val="24"/>
          <w:szCs w:val="24"/>
        </w:rPr>
        <w:t>was</w:t>
      </w:r>
      <w:r>
        <w:rPr>
          <w:rFonts w:ascii="Times New Roman" w:hAnsi="Times New Roman"/>
          <w:sz w:val="24"/>
          <w:szCs w:val="24"/>
        </w:rPr>
        <w:t xml:space="preserve"> </w:t>
      </w:r>
      <w:r w:rsidRPr="00E0167A">
        <w:rPr>
          <w:rFonts w:ascii="Times New Roman" w:hAnsi="Times New Roman"/>
          <w:sz w:val="24"/>
          <w:szCs w:val="24"/>
        </w:rPr>
        <w:t>85</w:t>
      </w:r>
      <w:r>
        <w:rPr>
          <w:rFonts w:ascii="Times New Roman" w:hAnsi="Times New Roman"/>
          <w:sz w:val="24"/>
          <w:szCs w:val="24"/>
        </w:rPr>
        <w:t xml:space="preserve"> </w:t>
      </w:r>
      <w:r w:rsidRPr="00E0167A">
        <w:rPr>
          <w:rFonts w:ascii="Times New Roman" w:hAnsi="Times New Roman"/>
          <w:sz w:val="24"/>
          <w:szCs w:val="24"/>
        </w:rPr>
        <w:t>years’</w:t>
      </w:r>
      <w:r>
        <w:rPr>
          <w:rFonts w:ascii="Times New Roman" w:hAnsi="Times New Roman"/>
          <w:sz w:val="24"/>
          <w:szCs w:val="24"/>
        </w:rPr>
        <w:t xml:space="preserve"> </w:t>
      </w:r>
      <w:r w:rsidRPr="00E0167A">
        <w:rPr>
          <w:rFonts w:ascii="Times New Roman" w:hAnsi="Times New Roman"/>
          <w:sz w:val="24"/>
          <w:szCs w:val="24"/>
        </w:rPr>
        <w:t>imprisonment.</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sole</w:t>
      </w:r>
      <w:r>
        <w:rPr>
          <w:rFonts w:ascii="Times New Roman" w:hAnsi="Times New Roman"/>
          <w:sz w:val="24"/>
          <w:szCs w:val="24"/>
        </w:rPr>
        <w:t xml:space="preserve"> </w:t>
      </w:r>
      <w:r w:rsidRPr="00E0167A">
        <w:rPr>
          <w:rFonts w:ascii="Times New Roman" w:hAnsi="Times New Roman"/>
          <w:sz w:val="24"/>
          <w:szCs w:val="24"/>
        </w:rPr>
        <w:t>question</w:t>
      </w:r>
      <w:r>
        <w:rPr>
          <w:rFonts w:ascii="Times New Roman" w:hAnsi="Times New Roman"/>
          <w:sz w:val="24"/>
          <w:szCs w:val="24"/>
        </w:rPr>
        <w:t xml:space="preserve"> </w:t>
      </w:r>
      <w:r w:rsidRPr="00E0167A">
        <w:rPr>
          <w:rFonts w:ascii="Times New Roman" w:hAnsi="Times New Roman"/>
          <w:sz w:val="24"/>
          <w:szCs w:val="24"/>
        </w:rPr>
        <w:t>on</w:t>
      </w:r>
      <w:r>
        <w:rPr>
          <w:rFonts w:ascii="Times New Roman" w:hAnsi="Times New Roman"/>
          <w:sz w:val="24"/>
          <w:szCs w:val="24"/>
        </w:rPr>
        <w:t xml:space="preserve"> </w:t>
      </w:r>
      <w:r w:rsidRPr="00E0167A">
        <w:rPr>
          <w:rFonts w:ascii="Times New Roman" w:hAnsi="Times New Roman"/>
          <w:sz w:val="24"/>
          <w:szCs w:val="24"/>
        </w:rPr>
        <w:t>appeal</w:t>
      </w:r>
      <w:r>
        <w:rPr>
          <w:rFonts w:ascii="Times New Roman" w:hAnsi="Times New Roman"/>
          <w:sz w:val="24"/>
          <w:szCs w:val="24"/>
        </w:rPr>
        <w:t xml:space="preserve"> </w:t>
      </w:r>
      <w:r w:rsidRPr="00E0167A">
        <w:rPr>
          <w:rFonts w:ascii="Times New Roman" w:hAnsi="Times New Roman"/>
          <w:sz w:val="24"/>
          <w:szCs w:val="24"/>
        </w:rPr>
        <w:t>is</w:t>
      </w:r>
      <w:r>
        <w:rPr>
          <w:rFonts w:ascii="Times New Roman" w:hAnsi="Times New Roman"/>
          <w:sz w:val="24"/>
          <w:szCs w:val="24"/>
        </w:rPr>
        <w:t xml:space="preserve"> </w:t>
      </w:r>
      <w:r w:rsidRPr="00E0167A">
        <w:rPr>
          <w:rFonts w:ascii="Times New Roman" w:hAnsi="Times New Roman"/>
          <w:sz w:val="24"/>
          <w:szCs w:val="24"/>
        </w:rPr>
        <w:t>whether</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United</w:t>
      </w:r>
      <w:r>
        <w:rPr>
          <w:rFonts w:ascii="Times New Roman" w:hAnsi="Times New Roman"/>
          <w:sz w:val="24"/>
          <w:szCs w:val="24"/>
        </w:rPr>
        <w:t xml:space="preserve"> </w:t>
      </w:r>
      <w:r w:rsidRPr="00E0167A">
        <w:rPr>
          <w:rFonts w:ascii="Times New Roman" w:hAnsi="Times New Roman"/>
          <w:sz w:val="24"/>
          <w:szCs w:val="24"/>
        </w:rPr>
        <w:t>States</w:t>
      </w:r>
      <w:r>
        <w:rPr>
          <w:rFonts w:ascii="Times New Roman" w:hAnsi="Times New Roman"/>
          <w:sz w:val="24"/>
          <w:szCs w:val="24"/>
        </w:rPr>
        <w:t xml:space="preserve"> </w:t>
      </w:r>
      <w:r w:rsidRPr="00E0167A">
        <w:rPr>
          <w:rFonts w:ascii="Times New Roman" w:hAnsi="Times New Roman"/>
          <w:sz w:val="24"/>
          <w:szCs w:val="24"/>
        </w:rPr>
        <w:t>District</w:t>
      </w:r>
      <w:r>
        <w:rPr>
          <w:rFonts w:ascii="Times New Roman" w:hAnsi="Times New Roman"/>
          <w:sz w:val="24"/>
          <w:szCs w:val="24"/>
        </w:rPr>
        <w:t xml:space="preserve"> </w:t>
      </w:r>
      <w:r w:rsidRPr="00E0167A">
        <w:rPr>
          <w:rFonts w:ascii="Times New Roman" w:hAnsi="Times New Roman"/>
          <w:sz w:val="24"/>
          <w:szCs w:val="24"/>
        </w:rPr>
        <w:t>Court</w:t>
      </w:r>
      <w:r>
        <w:rPr>
          <w:rFonts w:ascii="Times New Roman" w:hAnsi="Times New Roman"/>
          <w:sz w:val="24"/>
          <w:szCs w:val="24"/>
        </w:rPr>
        <w:t xml:space="preserve"> </w:t>
      </w:r>
      <w:r w:rsidRPr="00E0167A">
        <w:rPr>
          <w:rFonts w:ascii="Times New Roman" w:hAnsi="Times New Roman"/>
          <w:sz w:val="24"/>
          <w:szCs w:val="24"/>
        </w:rPr>
        <w:t>for</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Eastern</w:t>
      </w:r>
      <w:r>
        <w:rPr>
          <w:rFonts w:ascii="Times New Roman" w:hAnsi="Times New Roman"/>
          <w:sz w:val="24"/>
          <w:szCs w:val="24"/>
        </w:rPr>
        <w:t xml:space="preserve"> </w:t>
      </w:r>
      <w:r w:rsidRPr="00E0167A">
        <w:rPr>
          <w:rFonts w:ascii="Times New Roman" w:hAnsi="Times New Roman"/>
          <w:sz w:val="24"/>
          <w:szCs w:val="24"/>
        </w:rPr>
        <w:t>District</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New</w:t>
      </w:r>
      <w:r>
        <w:rPr>
          <w:rFonts w:ascii="Times New Roman" w:hAnsi="Times New Roman"/>
          <w:sz w:val="24"/>
          <w:szCs w:val="24"/>
        </w:rPr>
        <w:t xml:space="preserve"> </w:t>
      </w:r>
      <w:r w:rsidRPr="00E0167A">
        <w:rPr>
          <w:rFonts w:ascii="Times New Roman" w:hAnsi="Times New Roman"/>
          <w:sz w:val="24"/>
          <w:szCs w:val="24"/>
        </w:rPr>
        <w:t>York</w:t>
      </w:r>
      <w:r>
        <w:rPr>
          <w:rFonts w:ascii="Times New Roman" w:hAnsi="Times New Roman"/>
          <w:sz w:val="24"/>
          <w:szCs w:val="24"/>
        </w:rPr>
        <w:t xml:space="preserve"> </w:t>
      </w:r>
      <w:r w:rsidRPr="00E0167A">
        <w:rPr>
          <w:rFonts w:ascii="Times New Roman" w:hAnsi="Times New Roman"/>
          <w:sz w:val="24"/>
          <w:szCs w:val="24"/>
        </w:rPr>
        <w:t>(Margo</w:t>
      </w:r>
      <w:r>
        <w:rPr>
          <w:rFonts w:ascii="Times New Roman" w:hAnsi="Times New Roman"/>
          <w:sz w:val="24"/>
          <w:szCs w:val="24"/>
        </w:rPr>
        <w:t xml:space="preserve"> </w:t>
      </w:r>
      <w:r w:rsidRPr="00E0167A">
        <w:rPr>
          <w:rFonts w:ascii="Times New Roman" w:hAnsi="Times New Roman"/>
          <w:sz w:val="24"/>
          <w:szCs w:val="24"/>
        </w:rPr>
        <w:t>K.</w:t>
      </w:r>
      <w:r>
        <w:rPr>
          <w:rFonts w:ascii="Times New Roman" w:hAnsi="Times New Roman"/>
          <w:sz w:val="24"/>
          <w:szCs w:val="24"/>
        </w:rPr>
        <w:t xml:space="preserve"> </w:t>
      </w:r>
      <w:r w:rsidRPr="00E0167A">
        <w:rPr>
          <w:rFonts w:ascii="Times New Roman" w:hAnsi="Times New Roman"/>
          <w:sz w:val="24"/>
          <w:szCs w:val="24"/>
        </w:rPr>
        <w:t>Brodie,</w:t>
      </w:r>
      <w:r>
        <w:rPr>
          <w:rFonts w:ascii="Times New Roman" w:hAnsi="Times New Roman"/>
          <w:sz w:val="24"/>
          <w:szCs w:val="24"/>
        </w:rPr>
        <w:t xml:space="preserve"> </w:t>
      </w:r>
      <w:r w:rsidRPr="00E0167A">
        <w:rPr>
          <w:rFonts w:ascii="Times New Roman" w:hAnsi="Times New Roman"/>
          <w:sz w:val="24"/>
          <w:szCs w:val="24"/>
        </w:rPr>
        <w:t>Judge)</w:t>
      </w:r>
      <w:r>
        <w:rPr>
          <w:rFonts w:ascii="Times New Roman" w:hAnsi="Times New Roman"/>
          <w:sz w:val="24"/>
          <w:szCs w:val="24"/>
        </w:rPr>
        <w:t xml:space="preserve"> </w:t>
      </w:r>
      <w:r w:rsidRPr="00E0167A">
        <w:rPr>
          <w:rFonts w:ascii="Times New Roman" w:hAnsi="Times New Roman"/>
          <w:sz w:val="24"/>
          <w:szCs w:val="24"/>
        </w:rPr>
        <w:t>erred—or</w:t>
      </w:r>
      <w:r>
        <w:rPr>
          <w:rFonts w:ascii="Times New Roman" w:hAnsi="Times New Roman"/>
          <w:sz w:val="24"/>
          <w:szCs w:val="24"/>
        </w:rPr>
        <w:t xml:space="preserve"> ‘</w:t>
      </w:r>
      <w:r w:rsidRPr="00E0167A">
        <w:rPr>
          <w:rFonts w:ascii="Times New Roman" w:hAnsi="Times New Roman"/>
          <w:sz w:val="24"/>
          <w:szCs w:val="24"/>
        </w:rPr>
        <w:t>abuse</w:t>
      </w:r>
      <w:r>
        <w:rPr>
          <w:rFonts w:ascii="Times New Roman" w:hAnsi="Times New Roman"/>
          <w:sz w:val="24"/>
          <w:szCs w:val="24"/>
        </w:rPr>
        <w:t xml:space="preserve">d its </w:t>
      </w:r>
      <w:r w:rsidRPr="00E0167A">
        <w:rPr>
          <w:rFonts w:ascii="Times New Roman" w:hAnsi="Times New Roman"/>
          <w:sz w:val="24"/>
          <w:szCs w:val="24"/>
        </w:rPr>
        <w:t>discretion</w:t>
      </w:r>
      <w:r>
        <w:rPr>
          <w:rFonts w:ascii="Times New Roman" w:hAnsi="Times New Roman"/>
          <w:sz w:val="24"/>
          <w:szCs w:val="24"/>
        </w:rPr>
        <w:t>’</w:t>
      </w:r>
      <w:r w:rsidRPr="00E0167A">
        <w:rPr>
          <w:rFonts w:ascii="Times New Roman" w:hAnsi="Times New Roman"/>
          <w:sz w:val="24"/>
          <w:szCs w:val="24"/>
        </w:rPr>
        <w:t>—by</w:t>
      </w:r>
      <w:r>
        <w:rPr>
          <w:rFonts w:ascii="Times New Roman" w:hAnsi="Times New Roman"/>
          <w:sz w:val="24"/>
          <w:szCs w:val="24"/>
        </w:rPr>
        <w:t xml:space="preserve"> </w:t>
      </w:r>
      <w:r w:rsidRPr="00E0167A">
        <w:rPr>
          <w:rFonts w:ascii="Times New Roman" w:hAnsi="Times New Roman"/>
          <w:sz w:val="24"/>
          <w:szCs w:val="24"/>
        </w:rPr>
        <w:t>imposing</w:t>
      </w:r>
      <w:r>
        <w:rPr>
          <w:rFonts w:ascii="Times New Roman" w:hAnsi="Times New Roman"/>
          <w:sz w:val="24"/>
          <w:szCs w:val="24"/>
        </w:rPr>
        <w:t xml:space="preserve"> </w:t>
      </w:r>
      <w:r w:rsidRPr="00E0167A">
        <w:rPr>
          <w:rFonts w:ascii="Times New Roman" w:hAnsi="Times New Roman"/>
          <w:sz w:val="24"/>
          <w:szCs w:val="24"/>
        </w:rPr>
        <w:t>a17‐</w:t>
      </w:r>
      <w:r>
        <w:rPr>
          <w:rFonts w:ascii="Times New Roman" w:hAnsi="Times New Roman"/>
          <w:sz w:val="24"/>
          <w:szCs w:val="24"/>
        </w:rPr>
        <w:t>y</w:t>
      </w:r>
      <w:r w:rsidRPr="00E0167A">
        <w:rPr>
          <w:rFonts w:ascii="Times New Roman" w:hAnsi="Times New Roman"/>
          <w:sz w:val="24"/>
          <w:szCs w:val="24"/>
        </w:rPr>
        <w:t>ear</w:t>
      </w:r>
      <w:r>
        <w:rPr>
          <w:rFonts w:ascii="Times New Roman" w:hAnsi="Times New Roman"/>
          <w:sz w:val="24"/>
          <w:szCs w:val="24"/>
        </w:rPr>
        <w:t xml:space="preserve"> </w:t>
      </w:r>
      <w:r w:rsidRPr="00E0167A">
        <w:rPr>
          <w:rFonts w:ascii="Times New Roman" w:hAnsi="Times New Roman"/>
          <w:sz w:val="24"/>
          <w:szCs w:val="24"/>
        </w:rPr>
        <w:t>sentence,</w:t>
      </w:r>
      <w:r>
        <w:rPr>
          <w:rFonts w:ascii="Times New Roman" w:hAnsi="Times New Roman"/>
          <w:sz w:val="24"/>
          <w:szCs w:val="24"/>
        </w:rPr>
        <w:t xml:space="preserve"> </w:t>
      </w:r>
      <w:r w:rsidRPr="00E0167A">
        <w:rPr>
          <w:rFonts w:ascii="Times New Roman" w:hAnsi="Times New Roman"/>
          <w:sz w:val="24"/>
          <w:szCs w:val="24"/>
        </w:rPr>
        <w:t>which</w:t>
      </w:r>
      <w:r>
        <w:rPr>
          <w:rFonts w:ascii="Times New Roman" w:hAnsi="Times New Roman"/>
          <w:sz w:val="24"/>
          <w:szCs w:val="24"/>
        </w:rPr>
        <w:t xml:space="preserve"> </w:t>
      </w:r>
      <w:r w:rsidRPr="00E0167A">
        <w:rPr>
          <w:rFonts w:ascii="Times New Roman" w:hAnsi="Times New Roman"/>
          <w:sz w:val="24"/>
          <w:szCs w:val="24"/>
        </w:rPr>
        <w:t>constitutes</w:t>
      </w:r>
      <w:r>
        <w:rPr>
          <w:rFonts w:ascii="Times New Roman" w:hAnsi="Times New Roman"/>
          <w:sz w:val="24"/>
          <w:szCs w:val="24"/>
        </w:rPr>
        <w:t xml:space="preserve"> </w:t>
      </w:r>
      <w:r w:rsidRPr="00E0167A">
        <w:rPr>
          <w:rFonts w:ascii="Times New Roman" w:hAnsi="Times New Roman"/>
          <w:sz w:val="24"/>
          <w:szCs w:val="24"/>
        </w:rPr>
        <w:t>an</w:t>
      </w:r>
      <w:r>
        <w:rPr>
          <w:rFonts w:ascii="Times New Roman" w:hAnsi="Times New Roman"/>
          <w:sz w:val="24"/>
          <w:szCs w:val="24"/>
        </w:rPr>
        <w:t xml:space="preserve"> </w:t>
      </w:r>
      <w:r w:rsidRPr="00E0167A">
        <w:rPr>
          <w:rFonts w:ascii="Times New Roman" w:hAnsi="Times New Roman"/>
          <w:sz w:val="24"/>
          <w:szCs w:val="24"/>
        </w:rPr>
        <w:t>80%</w:t>
      </w:r>
      <w:r>
        <w:rPr>
          <w:rFonts w:ascii="Times New Roman" w:hAnsi="Times New Roman"/>
          <w:sz w:val="24"/>
          <w:szCs w:val="24"/>
        </w:rPr>
        <w:t xml:space="preserve"> </w:t>
      </w:r>
      <w:r w:rsidRPr="00E0167A">
        <w:rPr>
          <w:rFonts w:ascii="Times New Roman" w:hAnsi="Times New Roman"/>
          <w:sz w:val="24"/>
          <w:szCs w:val="24"/>
        </w:rPr>
        <w:t>downward</w:t>
      </w:r>
      <w:r>
        <w:rPr>
          <w:rFonts w:ascii="Times New Roman" w:hAnsi="Times New Roman"/>
          <w:sz w:val="24"/>
          <w:szCs w:val="24"/>
        </w:rPr>
        <w:t xml:space="preserve"> </w:t>
      </w:r>
      <w:r w:rsidRPr="00E0167A">
        <w:rPr>
          <w:rFonts w:ascii="Times New Roman" w:hAnsi="Times New Roman"/>
          <w:sz w:val="24"/>
          <w:szCs w:val="24"/>
        </w:rPr>
        <w:t>variance</w:t>
      </w:r>
      <w:r>
        <w:rPr>
          <w:rFonts w:ascii="Times New Roman" w:hAnsi="Times New Roman"/>
          <w:sz w:val="24"/>
          <w:szCs w:val="24"/>
        </w:rPr>
        <w:t xml:space="preserve"> </w:t>
      </w:r>
      <w:r w:rsidRPr="00E0167A">
        <w:rPr>
          <w:rFonts w:ascii="Times New Roman" w:hAnsi="Times New Roman"/>
          <w:sz w:val="24"/>
          <w:szCs w:val="24"/>
        </w:rPr>
        <w:t>from</w:t>
      </w:r>
      <w:r>
        <w:rPr>
          <w:rFonts w:ascii="Times New Roman" w:hAnsi="Times New Roman"/>
          <w:sz w:val="24"/>
          <w:szCs w:val="24"/>
        </w:rPr>
        <w:t xml:space="preserve"> </w:t>
      </w:r>
      <w:r w:rsidRPr="00E0167A">
        <w:rPr>
          <w:rFonts w:ascii="Times New Roman" w:hAnsi="Times New Roman"/>
          <w:sz w:val="24"/>
          <w:szCs w:val="24"/>
        </w:rPr>
        <w:t>Mumuni’s</w:t>
      </w:r>
      <w:r>
        <w:rPr>
          <w:rFonts w:ascii="Times New Roman" w:hAnsi="Times New Roman"/>
          <w:sz w:val="24"/>
          <w:szCs w:val="24"/>
        </w:rPr>
        <w:t xml:space="preserve"> </w:t>
      </w:r>
      <w:r w:rsidRPr="00E0167A">
        <w:rPr>
          <w:rFonts w:ascii="Times New Roman" w:hAnsi="Times New Roman"/>
          <w:sz w:val="24"/>
          <w:szCs w:val="24"/>
        </w:rPr>
        <w:t>advisory</w:t>
      </w:r>
      <w:r>
        <w:rPr>
          <w:rFonts w:ascii="Times New Roman" w:hAnsi="Times New Roman"/>
          <w:sz w:val="24"/>
          <w:szCs w:val="24"/>
        </w:rPr>
        <w:t xml:space="preserve"> </w:t>
      </w:r>
      <w:r w:rsidRPr="00E0167A">
        <w:rPr>
          <w:rFonts w:ascii="Times New Roman" w:hAnsi="Times New Roman"/>
          <w:sz w:val="24"/>
          <w:szCs w:val="24"/>
        </w:rPr>
        <w:t>Guidelines</w:t>
      </w:r>
      <w:r>
        <w:rPr>
          <w:rFonts w:ascii="Times New Roman" w:hAnsi="Times New Roman"/>
          <w:sz w:val="24"/>
          <w:szCs w:val="24"/>
        </w:rPr>
        <w:t xml:space="preserve"> </w:t>
      </w:r>
      <w:r w:rsidRPr="00E0167A">
        <w:rPr>
          <w:rFonts w:ascii="Times New Roman" w:hAnsi="Times New Roman"/>
          <w:sz w:val="24"/>
          <w:szCs w:val="24"/>
        </w:rPr>
        <w:t>range.</w:t>
      </w:r>
      <w:r>
        <w:rPr>
          <w:rFonts w:ascii="Times New Roman" w:hAnsi="Times New Roman"/>
          <w:sz w:val="24"/>
          <w:szCs w:val="24"/>
        </w:rPr>
        <w:t xml:space="preserve"> </w:t>
      </w:r>
      <w:r w:rsidRPr="00E0167A">
        <w:rPr>
          <w:rFonts w:ascii="Times New Roman" w:hAnsi="Times New Roman"/>
          <w:sz w:val="24"/>
          <w:szCs w:val="24"/>
        </w:rPr>
        <w:t>We</w:t>
      </w:r>
      <w:r>
        <w:rPr>
          <w:rFonts w:ascii="Times New Roman" w:hAnsi="Times New Roman"/>
          <w:sz w:val="24"/>
          <w:szCs w:val="24"/>
        </w:rPr>
        <w:t xml:space="preserve"> </w:t>
      </w:r>
      <w:r w:rsidRPr="00E0167A">
        <w:rPr>
          <w:rFonts w:ascii="Times New Roman" w:hAnsi="Times New Roman"/>
          <w:sz w:val="24"/>
          <w:szCs w:val="24"/>
        </w:rPr>
        <w:t>conclude</w:t>
      </w:r>
      <w:r>
        <w:rPr>
          <w:rFonts w:ascii="Times New Roman" w:hAnsi="Times New Roman"/>
          <w:sz w:val="24"/>
          <w:szCs w:val="24"/>
        </w:rPr>
        <w:t xml:space="preserve"> </w:t>
      </w:r>
      <w:r w:rsidRPr="00E0167A">
        <w:rPr>
          <w:rFonts w:ascii="Times New Roman" w:hAnsi="Times New Roman"/>
          <w:sz w:val="24"/>
          <w:szCs w:val="24"/>
        </w:rPr>
        <w:t>that</w:t>
      </w:r>
      <w:r>
        <w:rPr>
          <w:rFonts w:ascii="Times New Roman" w:hAnsi="Times New Roman"/>
          <w:sz w:val="24"/>
          <w:szCs w:val="24"/>
        </w:rPr>
        <w:t xml:space="preserve"> </w:t>
      </w:r>
      <w:r w:rsidRPr="00E0167A">
        <w:rPr>
          <w:rFonts w:ascii="Times New Roman" w:hAnsi="Times New Roman"/>
          <w:sz w:val="24"/>
          <w:szCs w:val="24"/>
        </w:rPr>
        <w:t>it</w:t>
      </w:r>
      <w:r>
        <w:rPr>
          <w:rFonts w:ascii="Times New Roman" w:hAnsi="Times New Roman"/>
          <w:sz w:val="24"/>
          <w:szCs w:val="24"/>
        </w:rPr>
        <w:t xml:space="preserve"> </w:t>
      </w:r>
      <w:r w:rsidRPr="00E0167A">
        <w:rPr>
          <w:rFonts w:ascii="Times New Roman" w:hAnsi="Times New Roman"/>
          <w:sz w:val="24"/>
          <w:szCs w:val="24"/>
        </w:rPr>
        <w:t>did.</w:t>
      </w:r>
      <w:r>
        <w:rPr>
          <w:rFonts w:ascii="Times New Roman" w:hAnsi="Times New Roman"/>
          <w:sz w:val="24"/>
          <w:szCs w:val="24"/>
        </w:rPr>
        <w:t xml:space="preserve"> </w:t>
      </w:r>
      <w:r w:rsidRPr="00E0167A">
        <w:rPr>
          <w:rFonts w:ascii="Times New Roman" w:hAnsi="Times New Roman"/>
          <w:sz w:val="24"/>
          <w:szCs w:val="24"/>
        </w:rPr>
        <w:t>Accordingly,</w:t>
      </w:r>
      <w:r>
        <w:rPr>
          <w:rFonts w:ascii="Times New Roman" w:hAnsi="Times New Roman"/>
          <w:sz w:val="24"/>
          <w:szCs w:val="24"/>
        </w:rPr>
        <w:t xml:space="preserve"> </w:t>
      </w:r>
      <w:r w:rsidRPr="00E0167A">
        <w:rPr>
          <w:rFonts w:ascii="Times New Roman" w:hAnsi="Times New Roman"/>
          <w:sz w:val="24"/>
          <w:szCs w:val="24"/>
        </w:rPr>
        <w:t>we</w:t>
      </w:r>
      <w:r>
        <w:rPr>
          <w:rFonts w:ascii="Times New Roman" w:hAnsi="Times New Roman"/>
          <w:sz w:val="24"/>
          <w:szCs w:val="24"/>
        </w:rPr>
        <w:t xml:space="preserve"> </w:t>
      </w:r>
      <w:r w:rsidRPr="00E0167A">
        <w:rPr>
          <w:rFonts w:ascii="Times New Roman" w:hAnsi="Times New Roman"/>
          <w:sz w:val="24"/>
          <w:szCs w:val="24"/>
        </w:rPr>
        <w:t>REMAND</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cause</w:t>
      </w:r>
      <w:r>
        <w:rPr>
          <w:rFonts w:ascii="Times New Roman" w:hAnsi="Times New Roman"/>
          <w:sz w:val="24"/>
          <w:szCs w:val="24"/>
        </w:rPr>
        <w:t xml:space="preserve"> </w:t>
      </w:r>
      <w:r w:rsidRPr="00E0167A">
        <w:rPr>
          <w:rFonts w:ascii="Times New Roman" w:hAnsi="Times New Roman"/>
          <w:sz w:val="24"/>
          <w:szCs w:val="24"/>
        </w:rPr>
        <w:t>for</w:t>
      </w:r>
      <w:r>
        <w:rPr>
          <w:rFonts w:ascii="Times New Roman" w:hAnsi="Times New Roman"/>
          <w:sz w:val="24"/>
          <w:szCs w:val="24"/>
        </w:rPr>
        <w:t xml:space="preserve"> </w:t>
      </w:r>
      <w:r w:rsidRPr="00E0167A">
        <w:rPr>
          <w:rFonts w:ascii="Times New Roman" w:hAnsi="Times New Roman"/>
          <w:sz w:val="24"/>
          <w:szCs w:val="24"/>
        </w:rPr>
        <w:t>resentencing</w:t>
      </w:r>
      <w:r>
        <w:rPr>
          <w:rFonts w:ascii="Times New Roman" w:hAnsi="Times New Roman"/>
          <w:sz w:val="24"/>
          <w:szCs w:val="24"/>
        </w:rPr>
        <w:t xml:space="preserve"> </w:t>
      </w:r>
      <w:r w:rsidRPr="00E0167A">
        <w:rPr>
          <w:rFonts w:ascii="Times New Roman" w:hAnsi="Times New Roman"/>
          <w:sz w:val="24"/>
          <w:szCs w:val="24"/>
        </w:rPr>
        <w:t>consistent</w:t>
      </w:r>
      <w:r>
        <w:rPr>
          <w:rFonts w:ascii="Times New Roman" w:hAnsi="Times New Roman"/>
          <w:sz w:val="24"/>
          <w:szCs w:val="24"/>
        </w:rPr>
        <w:t xml:space="preserve"> </w:t>
      </w:r>
      <w:r w:rsidRPr="00E0167A">
        <w:rPr>
          <w:rFonts w:ascii="Times New Roman" w:hAnsi="Times New Roman"/>
          <w:sz w:val="24"/>
          <w:szCs w:val="24"/>
        </w:rPr>
        <w:t>with</w:t>
      </w:r>
      <w:r>
        <w:rPr>
          <w:rFonts w:ascii="Times New Roman" w:hAnsi="Times New Roman"/>
          <w:sz w:val="24"/>
          <w:szCs w:val="24"/>
        </w:rPr>
        <w:t xml:space="preserve"> </w:t>
      </w:r>
      <w:r w:rsidRPr="00E0167A">
        <w:rPr>
          <w:rFonts w:ascii="Times New Roman" w:hAnsi="Times New Roman"/>
          <w:sz w:val="24"/>
          <w:szCs w:val="24"/>
        </w:rPr>
        <w:t>this</w:t>
      </w:r>
      <w:r>
        <w:rPr>
          <w:rFonts w:ascii="Times New Roman" w:hAnsi="Times New Roman"/>
          <w:sz w:val="24"/>
          <w:szCs w:val="24"/>
        </w:rPr>
        <w:t xml:space="preserve"> </w:t>
      </w:r>
      <w:r w:rsidRPr="00E0167A">
        <w:rPr>
          <w:rFonts w:ascii="Times New Roman" w:hAnsi="Times New Roman"/>
          <w:sz w:val="24"/>
          <w:szCs w:val="24"/>
        </w:rPr>
        <w:t>opinion.</w:t>
      </w:r>
      <w:r>
        <w:rPr>
          <w:rFonts w:ascii="Times New Roman" w:hAnsi="Times New Roman"/>
          <w:sz w:val="24"/>
          <w:szCs w:val="24"/>
        </w:rPr>
        <w:t>”</w:t>
      </w:r>
      <w:r w:rsidRPr="003F74E4">
        <w:t xml:space="preserve"> </w:t>
      </w:r>
      <w:hyperlink r:id="rId790" w:anchor="xml=http://www.ca2.uscourts.gov/decisions/isysquery/67a05b34-20ad-4c39-bc1a-260008502d15/1/hilite/" w:history="1">
        <w:r w:rsidRPr="00F25DB3">
          <w:rPr>
            <w:rStyle w:val="Hyperlink"/>
            <w:rFonts w:ascii="Times New Roman" w:hAnsi="Times New Roman"/>
            <w:sz w:val="24"/>
            <w:szCs w:val="24"/>
          </w:rPr>
          <w:t>http://www.ca2.uscourts.gov/decisions/isysquery/67a05b34-20ad-4c39-bc1a-260008502d15/1/doc/18-1604_complete_opn.pdf#xml=http://www.ca2.uscourts.gov/decisions/isysquery/67a05b34-20ad-4c39-bc1a-260008502d15/1/hilite/</w:t>
        </w:r>
      </w:hyperlink>
      <w:r>
        <w:rPr>
          <w:rFonts w:ascii="Times New Roman" w:hAnsi="Times New Roman"/>
          <w:sz w:val="24"/>
          <w:szCs w:val="24"/>
        </w:rPr>
        <w:t xml:space="preserve"> </w:t>
      </w:r>
    </w:p>
    <w:p w14:paraId="4AB9FF04" w14:textId="0C05CC1E" w:rsidR="007C6FEF" w:rsidRPr="009C4A80" w:rsidRDefault="009C4A80" w:rsidP="00F326E5">
      <w:pPr>
        <w:pStyle w:val="NoSpacing"/>
        <w:rPr>
          <w:rFonts w:ascii="Times New Roman" w:hAnsi="Times New Roman"/>
          <w:b/>
          <w:bCs/>
          <w:sz w:val="24"/>
          <w:szCs w:val="24"/>
        </w:rPr>
      </w:pPr>
      <w:r w:rsidRPr="009C4A80">
        <w:rPr>
          <w:rFonts w:ascii="Times New Roman" w:hAnsi="Times New Roman"/>
          <w:b/>
          <w:bCs/>
          <w:sz w:val="24"/>
          <w:szCs w:val="24"/>
        </w:rPr>
        <w:t>Legal Lessons Learned: Very important decision that will hopefully influence other Federal sentencing judges nationwide.</w:t>
      </w:r>
    </w:p>
    <w:p w14:paraId="5B4B0045" w14:textId="77777777" w:rsidR="007C6FEF" w:rsidRDefault="007C6FEF" w:rsidP="00F326E5">
      <w:pPr>
        <w:pStyle w:val="NoSpacing"/>
        <w:rPr>
          <w:rFonts w:ascii="Arial Black" w:hAnsi="Arial Black"/>
          <w:sz w:val="28"/>
          <w:szCs w:val="28"/>
        </w:rPr>
      </w:pPr>
    </w:p>
    <w:p w14:paraId="70AA856F" w14:textId="77777777" w:rsidR="007C6FEF" w:rsidRDefault="007C6FEF" w:rsidP="00F326E5">
      <w:pPr>
        <w:pStyle w:val="NoSpacing"/>
        <w:rPr>
          <w:rFonts w:ascii="Arial Black" w:hAnsi="Arial Black"/>
          <w:sz w:val="28"/>
          <w:szCs w:val="28"/>
        </w:rPr>
      </w:pPr>
    </w:p>
    <w:p w14:paraId="3F5A8901" w14:textId="77777777" w:rsidR="00980EAD" w:rsidRDefault="00980EAD" w:rsidP="00F326E5">
      <w:pPr>
        <w:pStyle w:val="NoSpacing"/>
        <w:rPr>
          <w:rFonts w:ascii="Arial Black" w:hAnsi="Arial Black"/>
          <w:sz w:val="28"/>
          <w:szCs w:val="28"/>
        </w:rPr>
      </w:pPr>
    </w:p>
    <w:p w14:paraId="447A6E16" w14:textId="5EDE9938" w:rsidR="00A06387" w:rsidRDefault="00A06387" w:rsidP="00F326E5">
      <w:pPr>
        <w:pStyle w:val="NoSpacing"/>
        <w:rPr>
          <w:rFonts w:ascii="Arial Black" w:hAnsi="Arial Black"/>
          <w:sz w:val="28"/>
          <w:szCs w:val="28"/>
        </w:rPr>
      </w:pPr>
      <w:r>
        <w:rPr>
          <w:rFonts w:ascii="Arial Black" w:hAnsi="Arial Black"/>
          <w:sz w:val="28"/>
          <w:szCs w:val="28"/>
        </w:rPr>
        <w:t>3-1</w:t>
      </w:r>
      <w:r w:rsidR="00A247E4">
        <w:rPr>
          <w:rFonts w:ascii="Arial Black" w:hAnsi="Arial Black"/>
          <w:sz w:val="28"/>
          <w:szCs w:val="28"/>
        </w:rPr>
        <w:t>6</w:t>
      </w:r>
    </w:p>
    <w:p w14:paraId="0FF14E6D" w14:textId="375A6CDC" w:rsidR="00A06387" w:rsidRDefault="00A06387" w:rsidP="00F326E5">
      <w:pPr>
        <w:pStyle w:val="NoSpacing"/>
        <w:rPr>
          <w:rFonts w:ascii="Arial Black" w:hAnsi="Arial Black"/>
          <w:sz w:val="28"/>
          <w:szCs w:val="28"/>
        </w:rPr>
      </w:pPr>
    </w:p>
    <w:p w14:paraId="14C355AD" w14:textId="77777777" w:rsidR="00A06387" w:rsidRPr="00656FC7" w:rsidRDefault="00A06387" w:rsidP="00A06387">
      <w:pPr>
        <w:pStyle w:val="NoSpacing"/>
        <w:rPr>
          <w:rFonts w:ascii="Arial Black" w:hAnsi="Arial Black"/>
          <w:sz w:val="28"/>
          <w:szCs w:val="28"/>
        </w:rPr>
      </w:pPr>
      <w:r w:rsidRPr="00656FC7">
        <w:rPr>
          <w:rFonts w:ascii="Arial Black" w:hAnsi="Arial Black"/>
          <w:sz w:val="28"/>
          <w:szCs w:val="28"/>
        </w:rPr>
        <w:t>CA: NO FLY LIST – FOUR U.S. CITIZENS ON THE LIST -  TSA’s ANTI-TERRORIST PROGRAM PROVIDES DUE PROCESS RIGHTS</w:t>
      </w:r>
    </w:p>
    <w:p w14:paraId="24BA9448" w14:textId="77777777" w:rsidR="00A06387" w:rsidRPr="00A301F0" w:rsidRDefault="00A06387" w:rsidP="00A06387">
      <w:pPr>
        <w:pStyle w:val="NoSpacing"/>
        <w:rPr>
          <w:b/>
          <w:bCs/>
          <w:sz w:val="28"/>
          <w:szCs w:val="28"/>
        </w:rPr>
      </w:pPr>
    </w:p>
    <w:p w14:paraId="24D75E1B"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Cs/>
          <w:sz w:val="24"/>
          <w:szCs w:val="24"/>
        </w:rPr>
        <w:t xml:space="preserve">On Oct. 21, 2019, in </w:t>
      </w:r>
      <w:r w:rsidRPr="009C4A80">
        <w:rPr>
          <w:rFonts w:ascii="Times New Roman" w:hAnsi="Times New Roman"/>
          <w:bCs/>
          <w:sz w:val="24"/>
          <w:szCs w:val="24"/>
          <w:u w:val="single"/>
        </w:rPr>
        <w:t>Faisal Nabin Kashem; Raymond Earl Knaeble IV; Amir Meshal; Stephen Durga Persuad v. William Barr, Attorney General</w:t>
      </w:r>
      <w:r w:rsidRPr="009C4A80">
        <w:rPr>
          <w:rFonts w:ascii="Times New Roman" w:hAnsi="Times New Roman"/>
          <w:bCs/>
          <w:sz w:val="24"/>
          <w:szCs w:val="24"/>
        </w:rPr>
        <w:t>, the U.S. Court of Appeals for the 9</w:t>
      </w:r>
      <w:r w:rsidRPr="009C4A80">
        <w:rPr>
          <w:rFonts w:ascii="Times New Roman" w:hAnsi="Times New Roman"/>
          <w:bCs/>
          <w:sz w:val="24"/>
          <w:szCs w:val="24"/>
          <w:vertAlign w:val="superscript"/>
        </w:rPr>
        <w:t>th</w:t>
      </w:r>
      <w:r w:rsidRPr="009C4A80">
        <w:rPr>
          <w:rFonts w:ascii="Times New Roman" w:hAnsi="Times New Roman"/>
          <w:bCs/>
          <w:sz w:val="24"/>
          <w:szCs w:val="24"/>
        </w:rPr>
        <w:t xml:space="preserve"> Circuit (San Francisco), upheld (3 to 0)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w:t>
      </w:r>
    </w:p>
    <w:p w14:paraId="75420460" w14:textId="77777777" w:rsidR="00A06387" w:rsidRPr="009C4A80" w:rsidRDefault="00A06387" w:rsidP="00A06387">
      <w:pPr>
        <w:pStyle w:val="NoSpacing"/>
        <w:rPr>
          <w:rFonts w:ascii="Times New Roman" w:hAnsi="Times New Roman"/>
          <w:b/>
          <w:bCs/>
          <w:sz w:val="24"/>
          <w:szCs w:val="24"/>
        </w:rPr>
      </w:pPr>
    </w:p>
    <w:p w14:paraId="00AEDD86"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“The plaintiffs are on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which prohibits them from boarding commercial aircraft flying to, from or within the United States or through United States airspace. They challenge, under the Due Process Clause of the Fifth Amendment to the United States Constitution, both their inclusion on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and the sufficiency of the procedures available for contesting their inclusion on the list. Specifically, the plaintiffs argue (1) the criteria for inclusion on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are unconstitutionally vague; (2) the procedures for challenging inclusion on the list fail to satisfy procedural due process; and (3) their inclusion on the list violates their substantive due process rights. The district court granted summary judgment to the government on the vagueness and procedural due process claims and dismissed the substantive due process claims for lack of jurisdiction under 49 U.S.C. § 46110. We affirm.”</w:t>
      </w:r>
    </w:p>
    <w:p w14:paraId="4F7520E4" w14:textId="77777777" w:rsidR="00A06387" w:rsidRPr="009C4A80" w:rsidRDefault="00A06387" w:rsidP="00A06387">
      <w:pPr>
        <w:pStyle w:val="NoSpacing"/>
        <w:ind w:left="720"/>
        <w:rPr>
          <w:rFonts w:ascii="Times New Roman" w:hAnsi="Times New Roman"/>
          <w:b/>
          <w:bCs/>
          <w:sz w:val="24"/>
          <w:szCs w:val="24"/>
        </w:rPr>
      </w:pPr>
      <w:hyperlink r:id="rId791" w:history="1">
        <w:r w:rsidRPr="009C4A80">
          <w:rPr>
            <w:rStyle w:val="Hyperlink"/>
            <w:rFonts w:ascii="Times New Roman" w:hAnsi="Times New Roman"/>
            <w:bCs/>
            <w:sz w:val="24"/>
            <w:szCs w:val="24"/>
          </w:rPr>
          <w:t>https://cases.justia.com/federal/appellate-courts/ca9/17-35634/17-35634-2019-10-21.pdf?ts=1571677280</w:t>
        </w:r>
      </w:hyperlink>
      <w:r w:rsidRPr="009C4A80">
        <w:rPr>
          <w:rFonts w:ascii="Times New Roman" w:hAnsi="Times New Roman"/>
          <w:bCs/>
          <w:sz w:val="24"/>
          <w:szCs w:val="24"/>
        </w:rPr>
        <w:t xml:space="preserve"> </w:t>
      </w:r>
    </w:p>
    <w:p w14:paraId="5B7BA20B" w14:textId="77777777" w:rsidR="00A06387" w:rsidRPr="009C4A80" w:rsidRDefault="00A06387" w:rsidP="00A06387">
      <w:pPr>
        <w:pStyle w:val="NoSpacing"/>
        <w:ind w:left="720"/>
        <w:rPr>
          <w:rFonts w:ascii="Times New Roman" w:hAnsi="Times New Roman"/>
          <w:b/>
          <w:bCs/>
          <w:sz w:val="24"/>
          <w:szCs w:val="24"/>
        </w:rPr>
      </w:pPr>
    </w:p>
    <w:p w14:paraId="1327682E"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
          <w:bCs/>
          <w:sz w:val="24"/>
          <w:szCs w:val="24"/>
        </w:rPr>
        <w:t xml:space="preserve">Legal Lessons Learned: The TSA program provides written notice to individuals why they are on the </w:t>
      </w:r>
      <w:proofErr w:type="gramStart"/>
      <w:r w:rsidRPr="009C4A80">
        <w:rPr>
          <w:rFonts w:ascii="Times New Roman" w:hAnsi="Times New Roman"/>
          <w:b/>
          <w:bCs/>
          <w:sz w:val="24"/>
          <w:szCs w:val="24"/>
        </w:rPr>
        <w:t>No Fly</w:t>
      </w:r>
      <w:proofErr w:type="gramEnd"/>
      <w:r w:rsidRPr="009C4A80">
        <w:rPr>
          <w:rFonts w:ascii="Times New Roman" w:hAnsi="Times New Roman"/>
          <w:b/>
          <w:bCs/>
          <w:sz w:val="24"/>
          <w:szCs w:val="24"/>
        </w:rPr>
        <w:t xml:space="preserve"> list, and an administrative and judicial appeal process. </w:t>
      </w:r>
    </w:p>
    <w:p w14:paraId="230F15C8" w14:textId="36E61BD6" w:rsidR="00A06387" w:rsidRDefault="00A06387" w:rsidP="00F326E5">
      <w:pPr>
        <w:pStyle w:val="NoSpacing"/>
        <w:rPr>
          <w:rFonts w:ascii="Arial Black" w:hAnsi="Arial Black"/>
          <w:sz w:val="28"/>
          <w:szCs w:val="28"/>
        </w:rPr>
      </w:pPr>
    </w:p>
    <w:p w14:paraId="11906D04" w14:textId="77777777" w:rsidR="00A06387" w:rsidRDefault="00A06387" w:rsidP="00F326E5">
      <w:pPr>
        <w:pStyle w:val="NoSpacing"/>
        <w:rPr>
          <w:rFonts w:ascii="Arial Black" w:hAnsi="Arial Black"/>
          <w:sz w:val="28"/>
          <w:szCs w:val="28"/>
        </w:rPr>
      </w:pPr>
    </w:p>
    <w:p w14:paraId="36298768" w14:textId="77777777" w:rsidR="009C4A80" w:rsidRDefault="009C4A80" w:rsidP="00F326E5">
      <w:pPr>
        <w:pStyle w:val="NoSpacing"/>
        <w:rPr>
          <w:rFonts w:ascii="Arial Black" w:hAnsi="Arial Black"/>
          <w:sz w:val="28"/>
          <w:szCs w:val="28"/>
        </w:rPr>
      </w:pPr>
    </w:p>
    <w:p w14:paraId="167DC8D3" w14:textId="77777777" w:rsidR="009C4A80" w:rsidRDefault="009C4A80" w:rsidP="00F326E5">
      <w:pPr>
        <w:pStyle w:val="NoSpacing"/>
        <w:rPr>
          <w:rFonts w:ascii="Arial Black" w:hAnsi="Arial Black"/>
          <w:sz w:val="28"/>
          <w:szCs w:val="28"/>
        </w:rPr>
      </w:pPr>
    </w:p>
    <w:p w14:paraId="4E7F6CDC" w14:textId="7FE5C9DE" w:rsidR="00EF1133" w:rsidRDefault="00853142" w:rsidP="00F326E5">
      <w:pPr>
        <w:pStyle w:val="NoSpacing"/>
        <w:rPr>
          <w:rFonts w:ascii="Arial Black" w:hAnsi="Arial Black"/>
          <w:sz w:val="28"/>
          <w:szCs w:val="28"/>
        </w:rPr>
      </w:pPr>
      <w:r>
        <w:rPr>
          <w:rFonts w:ascii="Arial Black" w:hAnsi="Arial Black"/>
          <w:sz w:val="28"/>
          <w:szCs w:val="28"/>
        </w:rPr>
        <w:t>3-1</w:t>
      </w:r>
      <w:r w:rsidR="00A247E4">
        <w:rPr>
          <w:rFonts w:ascii="Arial Black" w:hAnsi="Arial Black"/>
          <w:sz w:val="28"/>
          <w:szCs w:val="28"/>
        </w:rPr>
        <w:t>5</w:t>
      </w:r>
    </w:p>
    <w:p w14:paraId="2774FCBA" w14:textId="77777777" w:rsidR="00853142" w:rsidRDefault="00853142" w:rsidP="00F326E5">
      <w:pPr>
        <w:pStyle w:val="NoSpacing"/>
        <w:rPr>
          <w:rFonts w:ascii="Arial Black" w:hAnsi="Arial Black"/>
          <w:sz w:val="28"/>
          <w:szCs w:val="28"/>
        </w:rPr>
      </w:pPr>
    </w:p>
    <w:p w14:paraId="63576EDC" w14:textId="77777777" w:rsidR="00853142" w:rsidRPr="00E7448E" w:rsidRDefault="00853142" w:rsidP="00853142">
      <w:pPr>
        <w:pStyle w:val="NoSpacing"/>
        <w:rPr>
          <w:rFonts w:ascii="Arial Black" w:hAnsi="Arial Black"/>
          <w:sz w:val="28"/>
          <w:szCs w:val="28"/>
        </w:rPr>
      </w:pPr>
      <w:r w:rsidRPr="00E7448E">
        <w:rPr>
          <w:rFonts w:ascii="Arial Black" w:hAnsi="Arial Black"/>
          <w:sz w:val="28"/>
          <w:szCs w:val="28"/>
        </w:rPr>
        <w:t>CO:</w:t>
      </w:r>
      <w:r>
        <w:rPr>
          <w:rFonts w:ascii="Arial Black" w:hAnsi="Arial Black"/>
          <w:sz w:val="28"/>
          <w:szCs w:val="28"/>
        </w:rPr>
        <w:t xml:space="preserve">  TERRORIST SENTENCED LIFE FED. MAX PRISON – TRIED BLOW UP PLANE IN DETROIT – COMPLAINTS ABOUT PRISON DISMISSED</w:t>
      </w:r>
    </w:p>
    <w:p w14:paraId="2C44DD91" w14:textId="77777777" w:rsidR="00853142" w:rsidRDefault="00853142" w:rsidP="00853142">
      <w:pPr>
        <w:pStyle w:val="NoSpacing"/>
        <w:rPr>
          <w:rFonts w:ascii="Times New Roman" w:hAnsi="Times New Roman"/>
          <w:sz w:val="24"/>
          <w:szCs w:val="24"/>
        </w:rPr>
      </w:pPr>
    </w:p>
    <w:p w14:paraId="68F4CFE0" w14:textId="77777777" w:rsidR="00853142" w:rsidRPr="00314B5D" w:rsidRDefault="00853142" w:rsidP="00853142">
      <w:pPr>
        <w:pStyle w:val="NoSpacing"/>
        <w:rPr>
          <w:rFonts w:ascii="Times New Roman" w:hAnsi="Times New Roman"/>
          <w:sz w:val="24"/>
          <w:szCs w:val="24"/>
        </w:rPr>
      </w:pPr>
      <w:r w:rsidRPr="00314B5D">
        <w:rPr>
          <w:rFonts w:ascii="Times New Roman" w:hAnsi="Times New Roman"/>
          <w:sz w:val="24"/>
          <w:szCs w:val="24"/>
        </w:rPr>
        <w:t xml:space="preserve">On Sept. 18, 2019, in </w:t>
      </w:r>
      <w:r w:rsidRPr="00314B5D">
        <w:rPr>
          <w:rFonts w:ascii="Times New Roman" w:hAnsi="Times New Roman"/>
          <w:sz w:val="24"/>
          <w:szCs w:val="24"/>
          <w:u w:val="single"/>
        </w:rPr>
        <w:t>Umar Farouk Abdulmutallab v. William Barr, Attorney General of the United States</w:t>
      </w:r>
      <w:r w:rsidRPr="00314B5D">
        <w:rPr>
          <w:rFonts w:ascii="Times New Roman" w:hAnsi="Times New Roman"/>
          <w:sz w:val="24"/>
          <w:szCs w:val="24"/>
        </w:rPr>
        <w:t xml:space="preserve">, </w:t>
      </w:r>
      <w:r>
        <w:rPr>
          <w:rFonts w:ascii="Times New Roman" w:hAnsi="Times New Roman"/>
          <w:sz w:val="24"/>
          <w:szCs w:val="24"/>
        </w:rPr>
        <w:t xml:space="preserve">U.S. District Court Judge Raymond P. Moore, United States District Court of Colorado, upheld the recommendations of U.S. Magistrate Judge that the prisoner’s claims should be dismissed for failure to exhaust his U.S. Bureau of Prisons administrative remedies.  </w:t>
      </w:r>
      <w:hyperlink r:id="rId792" w:history="1">
        <w:r w:rsidRPr="00DB571D">
          <w:rPr>
            <w:rStyle w:val="Hyperlink"/>
            <w:rFonts w:ascii="Times New Roman" w:hAnsi="Times New Roman"/>
            <w:sz w:val="24"/>
            <w:szCs w:val="24"/>
          </w:rPr>
          <w:t>https://www.leagle.com/decision/infdco20190919804</w:t>
        </w:r>
      </w:hyperlink>
      <w:r>
        <w:rPr>
          <w:rFonts w:ascii="Times New Roman" w:hAnsi="Times New Roman"/>
          <w:sz w:val="24"/>
          <w:szCs w:val="24"/>
        </w:rPr>
        <w:t xml:space="preserve"> </w:t>
      </w:r>
    </w:p>
    <w:p w14:paraId="12D7BA2A" w14:textId="77777777" w:rsidR="00853142" w:rsidRDefault="00853142" w:rsidP="00853142">
      <w:pPr>
        <w:pStyle w:val="NoSpacing"/>
      </w:pPr>
    </w:p>
    <w:p w14:paraId="790DA569" w14:textId="77777777" w:rsidR="00853142" w:rsidRPr="00314B5D" w:rsidRDefault="00853142" w:rsidP="00853142">
      <w:pPr>
        <w:pStyle w:val="NoSpacing"/>
        <w:rPr>
          <w:rFonts w:ascii="Times New Roman" w:hAnsi="Times New Roman"/>
          <w:sz w:val="24"/>
          <w:szCs w:val="24"/>
        </w:rPr>
      </w:pPr>
      <w:r>
        <w:tab/>
      </w:r>
      <w:r w:rsidRPr="00314B5D">
        <w:rPr>
          <w:rFonts w:ascii="Times New Roman" w:hAnsi="Times New Roman"/>
          <w:sz w:val="24"/>
          <w:szCs w:val="24"/>
        </w:rPr>
        <w:t>Judge Moore wrote:</w:t>
      </w:r>
    </w:p>
    <w:p w14:paraId="1B8FAA47" w14:textId="77777777" w:rsidR="00853142" w:rsidRDefault="00853142" w:rsidP="00853142">
      <w:pPr>
        <w:pStyle w:val="NoSpacing"/>
      </w:pPr>
    </w:p>
    <w:p w14:paraId="71842674" w14:textId="77777777"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314B5D">
        <w:rPr>
          <w:rFonts w:ascii="Times New Roman" w:hAnsi="Times New Roman"/>
          <w:sz w:val="24"/>
          <w:szCs w:val="24"/>
        </w:rPr>
        <w:t xml:space="preserve">Plaintiff was convicted for the attempted use of a weapon of mass destruction on a commercial airliner that landed in Detroit, Michigan, and the attempted murder of the 289 people on board. Plaintiff is from </w:t>
      </w:r>
      <w:r w:rsidRPr="00314B5D">
        <w:rPr>
          <w:rFonts w:ascii="Times New Roman" w:hAnsi="Times New Roman"/>
          <w:sz w:val="24"/>
          <w:szCs w:val="24"/>
        </w:rPr>
        <w:lastRenderedPageBreak/>
        <w:t>Nigeria and a Muslim. Plaintiff is housed at the United States Penitentiary-Administrative Maximum (</w:t>
      </w:r>
      <w:r>
        <w:rPr>
          <w:rFonts w:ascii="Times New Roman" w:hAnsi="Times New Roman"/>
          <w:sz w:val="24"/>
          <w:szCs w:val="24"/>
        </w:rPr>
        <w:t>‘</w:t>
      </w:r>
      <w:r w:rsidRPr="00314B5D">
        <w:rPr>
          <w:rFonts w:ascii="Times New Roman" w:hAnsi="Times New Roman"/>
          <w:sz w:val="24"/>
          <w:szCs w:val="24"/>
        </w:rPr>
        <w:t>ADX</w:t>
      </w:r>
      <w:r>
        <w:rPr>
          <w:rFonts w:ascii="Times New Roman" w:hAnsi="Times New Roman"/>
          <w:sz w:val="24"/>
          <w:szCs w:val="24"/>
        </w:rPr>
        <w:t>’</w:t>
      </w:r>
      <w:r w:rsidRPr="00314B5D">
        <w:rPr>
          <w:rFonts w:ascii="Times New Roman" w:hAnsi="Times New Roman"/>
          <w:sz w:val="24"/>
          <w:szCs w:val="24"/>
        </w:rPr>
        <w:t>) in Florence, Colorado, and serving four terms of life imprisonment plus 50 years for his convictions. Prior to Plaintiff's transfer to ADX, in March 2012, the United States government placed Plaintiff under Special Administrative Measures (</w:t>
      </w:r>
      <w:r>
        <w:rPr>
          <w:rFonts w:ascii="Times New Roman" w:hAnsi="Times New Roman"/>
          <w:sz w:val="24"/>
          <w:szCs w:val="24"/>
        </w:rPr>
        <w:t>‘</w:t>
      </w:r>
      <w:r w:rsidRPr="00314B5D">
        <w:rPr>
          <w:rFonts w:ascii="Times New Roman" w:hAnsi="Times New Roman"/>
          <w:sz w:val="24"/>
          <w:szCs w:val="24"/>
        </w:rPr>
        <w:t>SAMs</w:t>
      </w:r>
      <w:r>
        <w:rPr>
          <w:rFonts w:ascii="Times New Roman" w:hAnsi="Times New Roman"/>
          <w:sz w:val="24"/>
          <w:szCs w:val="24"/>
        </w:rPr>
        <w:t>’</w:t>
      </w:r>
      <w:r w:rsidRPr="00314B5D">
        <w:rPr>
          <w:rFonts w:ascii="Times New Roman" w:hAnsi="Times New Roman"/>
          <w:sz w:val="24"/>
          <w:szCs w:val="24"/>
        </w:rPr>
        <w:t>). The SAMs have been renewed every year, with some modifications.</w:t>
      </w:r>
    </w:p>
    <w:p w14:paraId="75C426F9" w14:textId="77777777" w:rsidR="00853142" w:rsidRDefault="00853142" w:rsidP="00853142">
      <w:pPr>
        <w:pStyle w:val="NoSpacing"/>
        <w:ind w:left="720"/>
        <w:rPr>
          <w:rFonts w:ascii="Times New Roman" w:hAnsi="Times New Roman"/>
          <w:sz w:val="24"/>
          <w:szCs w:val="24"/>
        </w:rPr>
      </w:pPr>
    </w:p>
    <w:p w14:paraId="219B77A1" w14:textId="77777777" w:rsidR="00853142" w:rsidRPr="00314B5D" w:rsidRDefault="00853142" w:rsidP="00853142">
      <w:pPr>
        <w:pStyle w:val="NoSpacing"/>
        <w:ind w:left="720"/>
        <w:rPr>
          <w:rFonts w:ascii="Times New Roman" w:hAnsi="Times New Roman"/>
          <w:sz w:val="24"/>
          <w:szCs w:val="24"/>
        </w:rPr>
      </w:pPr>
      <w:r>
        <w:rPr>
          <w:rFonts w:ascii="Times New Roman" w:hAnsi="Times New Roman"/>
          <w:sz w:val="24"/>
          <w:szCs w:val="24"/>
        </w:rPr>
        <w:t>***</w:t>
      </w:r>
    </w:p>
    <w:p w14:paraId="64491B37" w14:textId="77777777" w:rsidR="00853142" w:rsidRPr="00314B5D" w:rsidRDefault="00853142" w:rsidP="00853142">
      <w:pPr>
        <w:pStyle w:val="NoSpacing"/>
        <w:rPr>
          <w:rFonts w:ascii="Times New Roman" w:hAnsi="Times New Roman"/>
          <w:sz w:val="24"/>
          <w:szCs w:val="24"/>
        </w:rPr>
      </w:pPr>
    </w:p>
    <w:p w14:paraId="1CE33610" w14:textId="131D1F38"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314B5D">
        <w:rPr>
          <w:rFonts w:ascii="Times New Roman" w:hAnsi="Times New Roman"/>
          <w:sz w:val="24"/>
          <w:szCs w:val="24"/>
        </w:rPr>
        <w:t xml:space="preserve">As Plaintiff acknowledges, </w:t>
      </w:r>
      <w:r>
        <w:rPr>
          <w:rFonts w:ascii="Times New Roman" w:hAnsi="Times New Roman"/>
          <w:sz w:val="24"/>
          <w:szCs w:val="24"/>
        </w:rPr>
        <w:t>‘</w:t>
      </w:r>
      <w:r w:rsidRPr="00314B5D">
        <w:rPr>
          <w:rFonts w:ascii="Times New Roman" w:hAnsi="Times New Roman"/>
          <w:sz w:val="24"/>
          <w:szCs w:val="24"/>
        </w:rPr>
        <w:t>[t]he primary purpose of a grievance is to alert the prison to a problem and facilitate its resolution.'</w:t>
      </w:r>
      <w:r>
        <w:rPr>
          <w:rFonts w:ascii="Times New Roman" w:hAnsi="Times New Roman"/>
          <w:sz w:val="24"/>
          <w:szCs w:val="24"/>
        </w:rPr>
        <w:t xml:space="preserve"> </w:t>
      </w:r>
      <w:r w:rsidRPr="00314B5D">
        <w:rPr>
          <w:rFonts w:ascii="Times New Roman" w:hAnsi="Times New Roman"/>
          <w:sz w:val="24"/>
          <w:szCs w:val="24"/>
        </w:rPr>
        <w:t xml:space="preserve">(ECF No. 128, p. 5 (quoting </w:t>
      </w:r>
      <w:r w:rsidRPr="00314B5D">
        <w:rPr>
          <w:rFonts w:ascii="Times New Roman" w:hAnsi="Times New Roman"/>
          <w:i/>
          <w:iCs/>
          <w:sz w:val="24"/>
          <w:szCs w:val="24"/>
        </w:rPr>
        <w:t>Griffin v. Arpaio,</w:t>
      </w:r>
      <w:r w:rsidRPr="00314B5D">
        <w:rPr>
          <w:rFonts w:ascii="Times New Roman" w:hAnsi="Times New Roman"/>
          <w:sz w:val="24"/>
          <w:szCs w:val="24"/>
        </w:rPr>
        <w:t> </w:t>
      </w:r>
      <w:hyperlink r:id="rId793" w:history="1">
        <w:r w:rsidRPr="00314B5D">
          <w:rPr>
            <w:rStyle w:val="Hyperlink"/>
            <w:rFonts w:ascii="Times New Roman" w:hAnsi="Times New Roman"/>
            <w:sz w:val="24"/>
            <w:szCs w:val="24"/>
          </w:rPr>
          <w:t>557 F.3d 1117</w:t>
        </w:r>
      </w:hyperlink>
      <w:r w:rsidRPr="00314B5D">
        <w:rPr>
          <w:rFonts w:ascii="Times New Roman" w:hAnsi="Times New Roman"/>
          <w:sz w:val="24"/>
          <w:szCs w:val="24"/>
        </w:rPr>
        <w:t xml:space="preserve">, 1120 (9th Cir. 2009).) Thus, in the absence of a prisoner alerting a prison of the problem which he alleges in his complaint, such allegation is not exhausted and cannot serve to support the prisoner's claim or claims. As applied to the recommendation of dismissal here, this objection is </w:t>
      </w:r>
      <w:proofErr w:type="gramStart"/>
      <w:r w:rsidRPr="00314B5D">
        <w:rPr>
          <w:rFonts w:ascii="Times New Roman" w:hAnsi="Times New Roman"/>
          <w:sz w:val="24"/>
          <w:szCs w:val="24"/>
        </w:rPr>
        <w:t>overruled.</w:t>
      </w:r>
      <w:r>
        <w:rPr>
          <w:rFonts w:ascii="Times New Roman" w:hAnsi="Times New Roman"/>
          <w:sz w:val="24"/>
          <w:szCs w:val="24"/>
        </w:rPr>
        <w:t>”</w:t>
      </w:r>
      <w:proofErr w:type="gramEnd"/>
    </w:p>
    <w:p w14:paraId="26B84FA6" w14:textId="77777777" w:rsidR="00853142" w:rsidRDefault="00853142" w:rsidP="00853142">
      <w:pPr>
        <w:pStyle w:val="NoSpacing"/>
        <w:ind w:left="720"/>
        <w:rPr>
          <w:rFonts w:ascii="Times New Roman" w:hAnsi="Times New Roman"/>
          <w:sz w:val="24"/>
          <w:szCs w:val="24"/>
        </w:rPr>
      </w:pPr>
    </w:p>
    <w:p w14:paraId="539DCA3F" w14:textId="3602DBD5" w:rsidR="00853142" w:rsidRDefault="00853142" w:rsidP="00853142">
      <w:pPr>
        <w:pStyle w:val="NoSpacing"/>
        <w:ind w:left="90"/>
        <w:rPr>
          <w:rFonts w:ascii="Times New Roman" w:hAnsi="Times New Roman"/>
          <w:b/>
          <w:bCs/>
          <w:sz w:val="24"/>
          <w:szCs w:val="24"/>
        </w:rPr>
      </w:pPr>
      <w:r w:rsidRPr="008F1B21">
        <w:rPr>
          <w:rFonts w:ascii="Times New Roman" w:hAnsi="Times New Roman"/>
          <w:b/>
          <w:bCs/>
          <w:sz w:val="24"/>
          <w:szCs w:val="24"/>
        </w:rPr>
        <w:t>Legal Lessons Learned:</w:t>
      </w:r>
      <w:r>
        <w:rPr>
          <w:rFonts w:ascii="Times New Roman" w:hAnsi="Times New Roman"/>
          <w:b/>
          <w:bCs/>
          <w:sz w:val="24"/>
          <w:szCs w:val="24"/>
        </w:rPr>
        <w:t xml:space="preserve">  Nice to read about a life sentence of this terrorist to the Federal max prison. </w:t>
      </w:r>
    </w:p>
    <w:p w14:paraId="6764A2D5" w14:textId="77777777" w:rsidR="00853142" w:rsidRDefault="00853142" w:rsidP="00853142">
      <w:pPr>
        <w:pStyle w:val="NoSpacing"/>
        <w:ind w:left="720"/>
        <w:rPr>
          <w:rFonts w:ascii="Times New Roman" w:hAnsi="Times New Roman"/>
          <w:b/>
          <w:bCs/>
          <w:sz w:val="24"/>
          <w:szCs w:val="24"/>
        </w:rPr>
      </w:pPr>
    </w:p>
    <w:p w14:paraId="1AC7BE51" w14:textId="77777777" w:rsidR="00853142" w:rsidRDefault="00853142" w:rsidP="00853142">
      <w:pPr>
        <w:spacing w:after="0" w:line="240" w:lineRule="auto"/>
        <w:rPr>
          <w:rFonts w:ascii="Times New Roman" w:hAnsi="Times New Roman"/>
          <w:sz w:val="24"/>
          <w:szCs w:val="24"/>
        </w:rPr>
      </w:pPr>
    </w:p>
    <w:p w14:paraId="4AE71F7D" w14:textId="77777777" w:rsidR="009C4A80" w:rsidRDefault="009C4A80" w:rsidP="00EF1133">
      <w:pPr>
        <w:rPr>
          <w:rFonts w:ascii="Arial Black" w:hAnsi="Arial Black"/>
          <w:color w:val="4A4A4A"/>
          <w:sz w:val="24"/>
          <w:szCs w:val="24"/>
          <w:lang w:val="en"/>
        </w:rPr>
      </w:pPr>
    </w:p>
    <w:p w14:paraId="432F9342" w14:textId="372A8A85" w:rsidR="009F0F05" w:rsidRDefault="009F0F05"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4</w:t>
      </w:r>
    </w:p>
    <w:p w14:paraId="406BB252" w14:textId="7D63196F" w:rsidR="009F0F05" w:rsidRDefault="000010F2" w:rsidP="009F0F05">
      <w:pPr>
        <w:rPr>
          <w:rFonts w:ascii="Arial Black" w:hAnsi="Arial Black"/>
          <w:sz w:val="28"/>
          <w:szCs w:val="28"/>
        </w:rPr>
      </w:pPr>
      <w:r>
        <w:rPr>
          <w:rFonts w:ascii="Arial Black" w:hAnsi="Arial Black"/>
          <w:sz w:val="28"/>
          <w:szCs w:val="28"/>
        </w:rPr>
        <w:t>U.S. SUPREME CT:  NEW U.S. GOV’T ASYLUM RULES REMAIN IN EFFECT – REFUGES FIRST APPLY TO MEXICO</w:t>
      </w:r>
      <w:r w:rsidR="009C4A80">
        <w:rPr>
          <w:rFonts w:ascii="Arial Black" w:hAnsi="Arial Black"/>
          <w:sz w:val="28"/>
          <w:szCs w:val="28"/>
        </w:rPr>
        <w:t xml:space="preserve"> </w:t>
      </w:r>
      <w:r>
        <w:rPr>
          <w:rFonts w:ascii="Arial Black" w:hAnsi="Arial Black"/>
          <w:sz w:val="28"/>
          <w:szCs w:val="28"/>
        </w:rPr>
        <w:t xml:space="preserve">– NO INJUNCTION </w:t>
      </w:r>
    </w:p>
    <w:p w14:paraId="7EA4B918" w14:textId="77777777" w:rsidR="009F0F05" w:rsidRDefault="009F0F05" w:rsidP="009F0F05">
      <w:pPr>
        <w:rPr>
          <w:rFonts w:ascii="Times New Roman" w:hAnsi="Times New Roman"/>
          <w:sz w:val="24"/>
          <w:szCs w:val="24"/>
        </w:rPr>
      </w:pPr>
      <w:r>
        <w:rPr>
          <w:rFonts w:ascii="Times New Roman" w:hAnsi="Times New Roman"/>
          <w:sz w:val="24"/>
          <w:szCs w:val="24"/>
        </w:rPr>
        <w:t xml:space="preserve">On Sept. 11, 2019, in </w:t>
      </w:r>
      <w:bookmarkStart w:id="155" w:name="_Hlk39823785"/>
      <w:r w:rsidRPr="00DF0E56">
        <w:rPr>
          <w:rFonts w:ascii="Times New Roman" w:hAnsi="Times New Roman"/>
          <w:sz w:val="24"/>
          <w:szCs w:val="24"/>
          <w:u w:val="single"/>
        </w:rPr>
        <w:t>William Barr, Attorney General v. East Bay Sanctuary Covenant</w:t>
      </w:r>
      <w:bookmarkEnd w:id="155"/>
      <w:r>
        <w:rPr>
          <w:rFonts w:ascii="Times New Roman" w:hAnsi="Times New Roman"/>
          <w:sz w:val="24"/>
          <w:szCs w:val="24"/>
        </w:rPr>
        <w:t xml:space="preserve">, the majority of Justices (7 to 2) issued an Order granting U.S. Government’s request for a stay of a nationwide injunction issued by U.S. District Court judge </w:t>
      </w:r>
      <w:r w:rsidRPr="004161DB">
        <w:rPr>
          <w:rFonts w:ascii="Times New Roman" w:hAnsi="Times New Roman"/>
          <w:sz w:val="24"/>
          <w:szCs w:val="24"/>
        </w:rPr>
        <w:t>Jon Tigar</w:t>
      </w:r>
      <w:r>
        <w:rPr>
          <w:rFonts w:ascii="Times New Roman" w:hAnsi="Times New Roman"/>
          <w:sz w:val="24"/>
          <w:szCs w:val="24"/>
        </w:rPr>
        <w:t xml:space="preserve"> </w:t>
      </w:r>
      <w:r w:rsidRPr="004161DB">
        <w:rPr>
          <w:rFonts w:ascii="Times New Roman" w:hAnsi="Times New Roman"/>
          <w:sz w:val="24"/>
          <w:szCs w:val="24"/>
        </w:rPr>
        <w:t>in</w:t>
      </w:r>
      <w:r>
        <w:rPr>
          <w:rFonts w:ascii="Times New Roman" w:hAnsi="Times New Roman"/>
          <w:sz w:val="24"/>
          <w:szCs w:val="24"/>
        </w:rPr>
        <w:t xml:space="preserve"> San Francisco, after the injunction was modified to only apply to California &amp; Arizona, by a 3-judge panel the U.S. Court of Appeals for 9</w:t>
      </w:r>
      <w:r w:rsidRPr="008E1D0B">
        <w:rPr>
          <w:rFonts w:ascii="Times New Roman" w:hAnsi="Times New Roman"/>
          <w:sz w:val="24"/>
          <w:szCs w:val="24"/>
          <w:vertAlign w:val="superscript"/>
        </w:rPr>
        <w:t>th</w:t>
      </w:r>
      <w:r>
        <w:rPr>
          <w:rFonts w:ascii="Times New Roman" w:hAnsi="Times New Roman"/>
          <w:sz w:val="24"/>
          <w:szCs w:val="24"/>
        </w:rPr>
        <w:t xml:space="preserve"> Circuit (San Francisco).  </w:t>
      </w:r>
      <w:bookmarkStart w:id="156" w:name="_Hlk39823820"/>
      <w:r w:rsidR="00F2621E">
        <w:fldChar w:fldCharType="begin"/>
      </w:r>
      <w:r w:rsidR="00F2621E">
        <w:instrText xml:space="preserve"> HYPERLINK "https://www.supremecourt.gov/opinions/18pdf/19a230_k53l.pdf" </w:instrText>
      </w:r>
      <w:r w:rsidR="00F2621E">
        <w:fldChar w:fldCharType="separate"/>
      </w:r>
      <w:r w:rsidRPr="00DD407F">
        <w:rPr>
          <w:rStyle w:val="Hyperlink"/>
          <w:rFonts w:ascii="Times New Roman" w:hAnsi="Times New Roman"/>
          <w:sz w:val="24"/>
          <w:szCs w:val="24"/>
        </w:rPr>
        <w:t>https://www.supremecourt.gov/opinions/18pdf/19a230_k53l.pdf</w:t>
      </w:r>
      <w:r w:rsidR="00F2621E">
        <w:rPr>
          <w:rStyle w:val="Hyperlink"/>
          <w:rFonts w:ascii="Times New Roman" w:hAnsi="Times New Roman"/>
          <w:sz w:val="24"/>
          <w:szCs w:val="24"/>
        </w:rPr>
        <w:fldChar w:fldCharType="end"/>
      </w:r>
      <w:r>
        <w:rPr>
          <w:rFonts w:ascii="Times New Roman" w:hAnsi="Times New Roman"/>
          <w:sz w:val="24"/>
          <w:szCs w:val="24"/>
        </w:rPr>
        <w:t xml:space="preserve"> </w:t>
      </w:r>
    </w:p>
    <w:bookmarkEnd w:id="156"/>
    <w:p w14:paraId="105DCE99" w14:textId="77777777" w:rsidR="009F0F05" w:rsidRDefault="009F0F05" w:rsidP="009F0F05">
      <w:pPr>
        <w:pStyle w:val="NoSpacing"/>
        <w:ind w:left="720"/>
        <w:rPr>
          <w:rFonts w:ascii="Times New Roman" w:hAnsi="Times New Roman"/>
          <w:sz w:val="24"/>
          <w:szCs w:val="24"/>
        </w:rPr>
      </w:pPr>
      <w:r w:rsidRPr="000C52EB">
        <w:rPr>
          <w:rFonts w:ascii="Times New Roman" w:hAnsi="Times New Roman"/>
          <w:sz w:val="24"/>
          <w:szCs w:val="24"/>
        </w:rPr>
        <w:t>“The district court’s July 24, 2019 order granting a preliminary injunction and</w:t>
      </w:r>
      <w:r>
        <w:rPr>
          <w:rFonts w:ascii="Times New Roman" w:hAnsi="Times New Roman"/>
          <w:sz w:val="24"/>
          <w:szCs w:val="24"/>
        </w:rPr>
        <w:t xml:space="preserve"> </w:t>
      </w:r>
      <w:r w:rsidRPr="000C52EB">
        <w:rPr>
          <w:rFonts w:ascii="Times New Roman" w:hAnsi="Times New Roman"/>
          <w:sz w:val="24"/>
          <w:szCs w:val="24"/>
        </w:rPr>
        <w:t>September 9, 2019 order restoring the nationwide scope of the injunction are stayed in full pending disposition of the Government’s appeal in the United States Court of Appeals for the Ninth Circuit and disposition of the Government’s</w:t>
      </w:r>
      <w:r>
        <w:rPr>
          <w:rFonts w:ascii="Times New Roman" w:hAnsi="Times New Roman"/>
          <w:sz w:val="24"/>
          <w:szCs w:val="24"/>
        </w:rPr>
        <w:t xml:space="preserve"> </w:t>
      </w:r>
      <w:r w:rsidRPr="000C52EB">
        <w:rPr>
          <w:rFonts w:ascii="Times New Roman" w:hAnsi="Times New Roman"/>
          <w:sz w:val="24"/>
          <w:szCs w:val="24"/>
        </w:rPr>
        <w:t>petition for a writ of certiorari, if such writ is sought</w:t>
      </w:r>
      <w:r>
        <w:rPr>
          <w:rFonts w:ascii="Times New Roman" w:hAnsi="Times New Roman"/>
          <w:sz w:val="24"/>
          <w:szCs w:val="24"/>
        </w:rPr>
        <w:t>.”</w:t>
      </w:r>
    </w:p>
    <w:p w14:paraId="79CB873D" w14:textId="77777777" w:rsidR="009F0F05" w:rsidRDefault="009F0F05" w:rsidP="009F0F05">
      <w:pPr>
        <w:pStyle w:val="NoSpacing"/>
        <w:ind w:left="720"/>
        <w:rPr>
          <w:rFonts w:ascii="Times New Roman" w:hAnsi="Times New Roman"/>
          <w:sz w:val="24"/>
          <w:szCs w:val="24"/>
        </w:rPr>
      </w:pPr>
    </w:p>
    <w:p w14:paraId="623B4616" w14:textId="77777777" w:rsidR="009F0F05" w:rsidRDefault="009F0F05" w:rsidP="009F0F05">
      <w:pPr>
        <w:pStyle w:val="NoSpacing"/>
        <w:rPr>
          <w:rFonts w:ascii="Times New Roman" w:hAnsi="Times New Roman"/>
          <w:b/>
          <w:bCs/>
          <w:sz w:val="24"/>
          <w:szCs w:val="24"/>
        </w:rPr>
      </w:pPr>
      <w:r w:rsidRPr="004A1236">
        <w:rPr>
          <w:rFonts w:ascii="Times New Roman" w:hAnsi="Times New Roman"/>
          <w:b/>
          <w:bCs/>
          <w:sz w:val="24"/>
          <w:szCs w:val="24"/>
        </w:rPr>
        <w:t xml:space="preserve">Legal Lessons Learned: </w:t>
      </w:r>
      <w:r>
        <w:rPr>
          <w:rFonts w:ascii="Times New Roman" w:hAnsi="Times New Roman"/>
          <w:b/>
          <w:bCs/>
          <w:sz w:val="24"/>
          <w:szCs w:val="24"/>
        </w:rPr>
        <w:t>The case, now pending before a Federal Judge in California, will most likely then go to the 9</w:t>
      </w:r>
      <w:r w:rsidRPr="00273073">
        <w:rPr>
          <w:rFonts w:ascii="Times New Roman" w:hAnsi="Times New Roman"/>
          <w:b/>
          <w:bCs/>
          <w:sz w:val="24"/>
          <w:szCs w:val="24"/>
          <w:vertAlign w:val="superscript"/>
        </w:rPr>
        <w:t>th</w:t>
      </w:r>
      <w:r>
        <w:rPr>
          <w:rFonts w:ascii="Times New Roman" w:hAnsi="Times New Roman"/>
          <w:b/>
          <w:bCs/>
          <w:sz w:val="24"/>
          <w:szCs w:val="24"/>
        </w:rPr>
        <w:t xml:space="preserve"> Circuit, and eventually then reach the U.S. Supreme Court. </w:t>
      </w:r>
    </w:p>
    <w:p w14:paraId="16FCA8D0" w14:textId="77777777" w:rsidR="009F0F05" w:rsidRDefault="009F0F05" w:rsidP="009F0F05">
      <w:pPr>
        <w:pStyle w:val="NoSpacing"/>
        <w:rPr>
          <w:rFonts w:ascii="Times New Roman" w:hAnsi="Times New Roman"/>
          <w:sz w:val="24"/>
          <w:szCs w:val="24"/>
        </w:rPr>
      </w:pPr>
    </w:p>
    <w:p w14:paraId="75E4FFD6" w14:textId="4FF75B48" w:rsidR="009F0F05" w:rsidRPr="00715CF2" w:rsidRDefault="009F0F05" w:rsidP="00715CF2">
      <w:pPr>
        <w:pStyle w:val="NoSpacing"/>
        <w:ind w:left="720"/>
        <w:rPr>
          <w:rFonts w:ascii="Times New Roman" w:hAnsi="Times New Roman"/>
          <w:sz w:val="24"/>
          <w:szCs w:val="24"/>
        </w:rPr>
      </w:pPr>
      <w:bookmarkStart w:id="157" w:name="_Hlk39823692"/>
      <w:r w:rsidRPr="00715CF2">
        <w:rPr>
          <w:rFonts w:ascii="Times New Roman" w:hAnsi="Times New Roman"/>
          <w:sz w:val="24"/>
          <w:szCs w:val="24"/>
        </w:rPr>
        <w:t xml:space="preserve">See </w:t>
      </w:r>
      <w:r w:rsidR="009E7672">
        <w:rPr>
          <w:rFonts w:ascii="Times New Roman" w:hAnsi="Times New Roman"/>
          <w:sz w:val="24"/>
          <w:szCs w:val="24"/>
        </w:rPr>
        <w:t xml:space="preserve">Sept. 11, </w:t>
      </w:r>
      <w:proofErr w:type="gramStart"/>
      <w:r w:rsidR="009E7672">
        <w:rPr>
          <w:rFonts w:ascii="Times New Roman" w:hAnsi="Times New Roman"/>
          <w:sz w:val="24"/>
          <w:szCs w:val="24"/>
        </w:rPr>
        <w:t>2019</w:t>
      </w:r>
      <w:proofErr w:type="gramEnd"/>
      <w:r w:rsidR="009E7672">
        <w:rPr>
          <w:rFonts w:ascii="Times New Roman" w:hAnsi="Times New Roman"/>
          <w:sz w:val="24"/>
          <w:szCs w:val="24"/>
        </w:rPr>
        <w:t xml:space="preserve"> article: </w:t>
      </w:r>
      <w:r w:rsidRPr="00715CF2">
        <w:rPr>
          <w:rFonts w:ascii="Times New Roman" w:hAnsi="Times New Roman"/>
          <w:sz w:val="24"/>
          <w:szCs w:val="24"/>
        </w:rPr>
        <w:t xml:space="preserve">“President Trump tweeted that the ruling was a "BIG United States Supreme Court WIN for the Border on Asylum!" The administration </w:t>
      </w:r>
      <w:hyperlink r:id="rId794" w:tgtFrame="_blank" w:history="1">
        <w:r w:rsidRPr="00715CF2">
          <w:rPr>
            <w:rStyle w:val="Hyperlink"/>
            <w:rFonts w:ascii="Times New Roman" w:hAnsi="Times New Roman"/>
            <w:sz w:val="24"/>
            <w:szCs w:val="24"/>
          </w:rPr>
          <w:t>had argued in a brief to the Supreme Court</w:t>
        </w:r>
      </w:hyperlink>
      <w:r w:rsidRPr="00715CF2">
        <w:rPr>
          <w:rFonts w:ascii="Times New Roman" w:hAnsi="Times New Roman"/>
          <w:sz w:val="24"/>
          <w:szCs w:val="24"/>
        </w:rPr>
        <w:t xml:space="preserve"> that unless the injunctions were totally lifted everywhere, it ‘would severely disrupt the orderly administration of an already overburdened asylum system.’”  </w:t>
      </w:r>
      <w:hyperlink r:id="rId795" w:history="1">
        <w:r w:rsidRPr="00715CF2">
          <w:rPr>
            <w:rStyle w:val="Hyperlink"/>
            <w:rFonts w:ascii="Times New Roman" w:hAnsi="Times New Roman"/>
            <w:sz w:val="24"/>
            <w:szCs w:val="24"/>
          </w:rPr>
          <w:t>https://www.foxnews.com/politics/supreme-court-green-lights-trumps-immigration-asylum-ban</w:t>
        </w:r>
      </w:hyperlink>
      <w:r w:rsidRPr="00715CF2">
        <w:rPr>
          <w:rFonts w:ascii="Times New Roman" w:hAnsi="Times New Roman"/>
          <w:sz w:val="24"/>
          <w:szCs w:val="24"/>
        </w:rPr>
        <w:t xml:space="preserve"> </w:t>
      </w:r>
    </w:p>
    <w:bookmarkEnd w:id="157"/>
    <w:p w14:paraId="2B0CF987" w14:textId="2BCD77C0" w:rsidR="00E26EA8" w:rsidRDefault="00E26EA8" w:rsidP="009F0F05">
      <w:pPr>
        <w:pStyle w:val="NoSpacing"/>
        <w:rPr>
          <w:rFonts w:ascii="Times New Roman" w:hAnsi="Times New Roman"/>
          <w:b/>
          <w:bCs/>
          <w:sz w:val="24"/>
          <w:szCs w:val="24"/>
        </w:rPr>
      </w:pPr>
    </w:p>
    <w:p w14:paraId="17B60ABE" w14:textId="77777777" w:rsidR="00715CF2" w:rsidRDefault="00715CF2" w:rsidP="00EF1133">
      <w:pPr>
        <w:rPr>
          <w:rFonts w:ascii="Arial Black" w:hAnsi="Arial Black"/>
          <w:color w:val="4A4A4A"/>
          <w:sz w:val="24"/>
          <w:szCs w:val="24"/>
          <w:lang w:val="en"/>
        </w:rPr>
      </w:pPr>
    </w:p>
    <w:p w14:paraId="2E12D163" w14:textId="2257860F" w:rsidR="00715CF2" w:rsidRDefault="00715CF2"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3</w:t>
      </w:r>
    </w:p>
    <w:p w14:paraId="105D5C86" w14:textId="77777777" w:rsidR="00715CF2" w:rsidRPr="0022436C" w:rsidRDefault="00715CF2" w:rsidP="00715CF2">
      <w:pPr>
        <w:rPr>
          <w:rFonts w:ascii="Arial Black" w:hAnsi="Arial Black"/>
          <w:sz w:val="28"/>
          <w:szCs w:val="28"/>
        </w:rPr>
      </w:pPr>
      <w:bookmarkStart w:id="158" w:name="_Hlk25925471"/>
      <w:r w:rsidRPr="0022436C">
        <w:rPr>
          <w:rFonts w:ascii="Arial Black" w:hAnsi="Arial Black"/>
          <w:sz w:val="28"/>
          <w:szCs w:val="28"/>
        </w:rPr>
        <w:lastRenderedPageBreak/>
        <w:t xml:space="preserve">PA: </w:t>
      </w:r>
      <w:r>
        <w:rPr>
          <w:rFonts w:ascii="Arial Black" w:hAnsi="Arial Black"/>
          <w:sz w:val="28"/>
          <w:szCs w:val="28"/>
        </w:rPr>
        <w:t>HIGH SCHOOL STUDENT EXPELLED – THREATING COMMENT – “BEAT RECORD OF 19” OF PARKLAND, FL</w:t>
      </w:r>
    </w:p>
    <w:p w14:paraId="68B34862" w14:textId="2765649B" w:rsidR="00715CF2" w:rsidRDefault="00715CF2" w:rsidP="00715CF2">
      <w:pPr>
        <w:rPr>
          <w:rFonts w:ascii="Times New Roman" w:hAnsi="Times New Roman"/>
          <w:sz w:val="24"/>
          <w:szCs w:val="24"/>
        </w:rPr>
      </w:pPr>
      <w:r w:rsidRPr="007B6BCD">
        <w:rPr>
          <w:rFonts w:ascii="Times New Roman" w:hAnsi="Times New Roman"/>
          <w:sz w:val="24"/>
          <w:szCs w:val="24"/>
        </w:rPr>
        <w:t xml:space="preserve">On Sept. 10, 2019, in </w:t>
      </w:r>
      <w:r w:rsidRPr="007B6BCD">
        <w:rPr>
          <w:rFonts w:ascii="Times New Roman" w:hAnsi="Times New Roman"/>
          <w:sz w:val="24"/>
          <w:szCs w:val="24"/>
          <w:u w:val="single"/>
        </w:rPr>
        <w:t xml:space="preserve">In </w:t>
      </w:r>
      <w:proofErr w:type="gramStart"/>
      <w:r w:rsidRPr="007B6BCD">
        <w:rPr>
          <w:rFonts w:ascii="Times New Roman" w:hAnsi="Times New Roman"/>
          <w:sz w:val="24"/>
          <w:szCs w:val="24"/>
          <w:u w:val="single"/>
        </w:rPr>
        <w:t>The</w:t>
      </w:r>
      <w:proofErr w:type="gramEnd"/>
      <w:r>
        <w:rPr>
          <w:rFonts w:ascii="Times New Roman" w:hAnsi="Times New Roman"/>
          <w:sz w:val="24"/>
          <w:szCs w:val="24"/>
          <w:u w:val="single"/>
        </w:rPr>
        <w:t xml:space="preserve"> </w:t>
      </w:r>
      <w:r w:rsidRPr="007B6BCD">
        <w:rPr>
          <w:rFonts w:ascii="Times New Roman" w:hAnsi="Times New Roman"/>
          <w:sz w:val="24"/>
          <w:szCs w:val="24"/>
          <w:u w:val="single"/>
        </w:rPr>
        <w:t>Interest Of: J.J.M, A Minor</w:t>
      </w:r>
      <w:r w:rsidRPr="007B6BCD">
        <w:rPr>
          <w:rFonts w:ascii="Times New Roman" w:hAnsi="Times New Roman"/>
          <w:sz w:val="24"/>
          <w:szCs w:val="24"/>
        </w:rPr>
        <w:t xml:space="preserve">, </w:t>
      </w:r>
      <w:r>
        <w:rPr>
          <w:rFonts w:ascii="Times New Roman" w:hAnsi="Times New Roman"/>
          <w:sz w:val="24"/>
          <w:szCs w:val="24"/>
        </w:rPr>
        <w:t xml:space="preserve">the Superior Court of Pennsylvania, </w:t>
      </w:r>
      <w:r w:rsidRPr="007B6BCD">
        <w:rPr>
          <w:rFonts w:ascii="Times New Roman" w:hAnsi="Times New Roman"/>
          <w:sz w:val="24"/>
          <w:szCs w:val="24"/>
        </w:rPr>
        <w:t>2019 PA Super 277</w:t>
      </w:r>
      <w:r>
        <w:rPr>
          <w:rFonts w:ascii="Times New Roman" w:hAnsi="Times New Roman"/>
          <w:sz w:val="24"/>
          <w:szCs w:val="24"/>
        </w:rPr>
        <w:t xml:space="preserve">, upheld (3 to 0) the Juvenile Court judge’s finding of “delinquency adjudication for terrorist threats.”  </w:t>
      </w:r>
    </w:p>
    <w:p w14:paraId="40ECD149" w14:textId="77777777" w:rsidR="00715CF2" w:rsidRPr="007B6BCD" w:rsidRDefault="00715CF2" w:rsidP="00715CF2">
      <w:pPr>
        <w:rPr>
          <w:rFonts w:ascii="Times New Roman" w:hAnsi="Times New Roman"/>
          <w:sz w:val="24"/>
          <w:szCs w:val="24"/>
        </w:rPr>
      </w:pPr>
      <w:r>
        <w:tab/>
      </w:r>
      <w:r w:rsidRPr="007B6BCD">
        <w:rPr>
          <w:rFonts w:ascii="Times New Roman" w:hAnsi="Times New Roman"/>
          <w:sz w:val="24"/>
          <w:szCs w:val="24"/>
        </w:rPr>
        <w:t xml:space="preserve">Judge Mary Jane Bowles wrote: </w:t>
      </w:r>
    </w:p>
    <w:p w14:paraId="3692971E" w14:textId="0665E884" w:rsidR="00A247E4" w:rsidRPr="007B6BCD" w:rsidRDefault="00715CF2" w:rsidP="00715CF2">
      <w:pPr>
        <w:ind w:left="1440"/>
        <w:rPr>
          <w:rFonts w:ascii="Times New Roman" w:hAnsi="Times New Roman"/>
          <w:sz w:val="24"/>
          <w:szCs w:val="24"/>
        </w:rPr>
      </w:pPr>
      <w:r>
        <w:rPr>
          <w:rFonts w:ascii="Times New Roman" w:hAnsi="Times New Roman"/>
          <w:sz w:val="24"/>
          <w:szCs w:val="24"/>
        </w:rPr>
        <w:t>“</w:t>
      </w:r>
      <w:r w:rsidRPr="007B6BCD">
        <w:rPr>
          <w:rFonts w:ascii="Times New Roman" w:hAnsi="Times New Roman"/>
          <w:sz w:val="24"/>
          <w:szCs w:val="24"/>
        </w:rPr>
        <w:t xml:space="preserve">Appellant’s statement was uttered six days after seventeen victims were killed at Marjory Stoneman Douglas High School in Parkland, Florida, eclipsing the Columbine High School shooting as the </w:t>
      </w:r>
      <w:proofErr w:type="gramStart"/>
      <w:r w:rsidRPr="007B6BCD">
        <w:rPr>
          <w:rFonts w:ascii="Times New Roman" w:hAnsi="Times New Roman"/>
          <w:sz w:val="24"/>
          <w:szCs w:val="24"/>
        </w:rPr>
        <w:t>most</w:t>
      </w:r>
      <w:r>
        <w:rPr>
          <w:rFonts w:ascii="Times New Roman" w:hAnsi="Times New Roman"/>
          <w:sz w:val="24"/>
          <w:szCs w:val="24"/>
        </w:rPr>
        <w:t xml:space="preserve"> </w:t>
      </w:r>
      <w:r w:rsidRPr="007B6BCD">
        <w:rPr>
          <w:rFonts w:ascii="Times New Roman" w:hAnsi="Times New Roman"/>
          <w:sz w:val="24"/>
          <w:szCs w:val="24"/>
        </w:rPr>
        <w:t>deadly</w:t>
      </w:r>
      <w:proofErr w:type="gramEnd"/>
      <w:r w:rsidRPr="007B6BCD">
        <w:rPr>
          <w:rFonts w:ascii="Times New Roman" w:hAnsi="Times New Roman"/>
          <w:sz w:val="24"/>
          <w:szCs w:val="24"/>
        </w:rPr>
        <w:t xml:space="preserve"> high school shooting in United States history.</w:t>
      </w:r>
      <w:r w:rsidR="00A247E4">
        <w:rPr>
          <w:rFonts w:ascii="Times New Roman" w:hAnsi="Times New Roman"/>
          <w:sz w:val="24"/>
          <w:szCs w:val="24"/>
        </w:rPr>
        <w:t xml:space="preserve"> *** </w:t>
      </w:r>
      <w:r w:rsidRPr="007B6BCD">
        <w:rPr>
          <w:rFonts w:ascii="Times New Roman" w:hAnsi="Times New Roman"/>
          <w:sz w:val="24"/>
          <w:szCs w:val="24"/>
        </w:rPr>
        <w:t>Further, we conclude that the evidence sufficiently established that Appellant made his threat with reckless disregard for the risk that it would cause</w:t>
      </w:r>
      <w:r>
        <w:rPr>
          <w:rFonts w:ascii="Times New Roman" w:hAnsi="Times New Roman"/>
          <w:sz w:val="24"/>
          <w:szCs w:val="24"/>
        </w:rPr>
        <w:t xml:space="preserve"> </w:t>
      </w:r>
      <w:r w:rsidRPr="007B6BCD">
        <w:rPr>
          <w:rFonts w:ascii="Times New Roman" w:hAnsi="Times New Roman"/>
          <w:sz w:val="24"/>
          <w:szCs w:val="24"/>
        </w:rPr>
        <w:t>terror. Again, the facts are that, while the news was dominated by the deadliest high</w:t>
      </w:r>
      <w:r>
        <w:rPr>
          <w:rFonts w:ascii="Times New Roman" w:hAnsi="Times New Roman"/>
          <w:sz w:val="24"/>
          <w:szCs w:val="24"/>
        </w:rPr>
        <w:t xml:space="preserve"> </w:t>
      </w:r>
      <w:r w:rsidRPr="007B6BCD">
        <w:rPr>
          <w:rFonts w:ascii="Times New Roman" w:hAnsi="Times New Roman"/>
          <w:sz w:val="24"/>
          <w:szCs w:val="24"/>
        </w:rPr>
        <w:t>school shooting in this country’s history, Appellant proclaimed</w:t>
      </w:r>
      <w:r>
        <w:rPr>
          <w:rFonts w:ascii="Times New Roman" w:hAnsi="Times New Roman"/>
          <w:sz w:val="24"/>
          <w:szCs w:val="24"/>
        </w:rPr>
        <w:t xml:space="preserve"> </w:t>
      </w:r>
      <w:r w:rsidRPr="007B6BCD">
        <w:rPr>
          <w:rFonts w:ascii="Times New Roman" w:hAnsi="Times New Roman"/>
          <w:sz w:val="24"/>
          <w:szCs w:val="24"/>
        </w:rPr>
        <w:t xml:space="preserve">in a high school hallway, between classes, loud enough for other students to hear, that he wanted to </w:t>
      </w:r>
      <w:r>
        <w:rPr>
          <w:rFonts w:ascii="Times New Roman" w:hAnsi="Times New Roman"/>
          <w:sz w:val="24"/>
          <w:szCs w:val="24"/>
        </w:rPr>
        <w:t>‘</w:t>
      </w:r>
      <w:r w:rsidRPr="007B6BCD">
        <w:rPr>
          <w:rFonts w:ascii="Times New Roman" w:hAnsi="Times New Roman"/>
          <w:sz w:val="24"/>
          <w:szCs w:val="24"/>
        </w:rPr>
        <w:t xml:space="preserve">beat the record </w:t>
      </w:r>
      <w:r w:rsidRPr="007B6BCD">
        <w:rPr>
          <w:rStyle w:val="highlight"/>
          <w:rFonts w:ascii="Times New Roman" w:hAnsi="Times New Roman"/>
          <w:sz w:val="24"/>
          <w:szCs w:val="24"/>
        </w:rPr>
        <w:t>of</w:t>
      </w:r>
      <w:r w:rsidRPr="007B6BCD">
        <w:rPr>
          <w:rFonts w:ascii="Times New Roman" w:hAnsi="Times New Roman"/>
          <w:sz w:val="24"/>
          <w:szCs w:val="24"/>
        </w:rPr>
        <w:t xml:space="preserve"> 19.</w:t>
      </w:r>
      <w:r>
        <w:rPr>
          <w:rFonts w:ascii="Times New Roman" w:hAnsi="Times New Roman"/>
          <w:sz w:val="24"/>
          <w:szCs w:val="24"/>
        </w:rPr>
        <w:t xml:space="preserve">’ </w:t>
      </w:r>
      <w:r w:rsidRPr="007B6BCD">
        <w:rPr>
          <w:rFonts w:ascii="Times New Roman" w:hAnsi="Times New Roman"/>
          <w:sz w:val="24"/>
          <w:szCs w:val="24"/>
        </w:rPr>
        <w:t xml:space="preserve">We do not hesitate to conclude that Appellant consciously disregarded a substantial and unjustifiable risk that his threat would terrorize his fellow students. See18 </w:t>
      </w:r>
      <w:proofErr w:type="spellStart"/>
      <w:r w:rsidRPr="007B6BCD">
        <w:rPr>
          <w:rFonts w:ascii="Times New Roman" w:hAnsi="Times New Roman"/>
          <w:sz w:val="24"/>
          <w:szCs w:val="24"/>
        </w:rPr>
        <w:t>Pa.C.S</w:t>
      </w:r>
      <w:proofErr w:type="spellEnd"/>
      <w:r w:rsidRPr="007B6BCD">
        <w:rPr>
          <w:rFonts w:ascii="Times New Roman" w:hAnsi="Times New Roman"/>
          <w:sz w:val="24"/>
          <w:szCs w:val="24"/>
        </w:rPr>
        <w:t>. §302(a)(3) (defining recklessness).</w:t>
      </w:r>
      <w:r>
        <w:rPr>
          <w:rFonts w:ascii="Times New Roman" w:hAnsi="Times New Roman"/>
          <w:sz w:val="24"/>
          <w:szCs w:val="24"/>
        </w:rPr>
        <w:t>”</w:t>
      </w:r>
      <w:r w:rsidR="00A247E4">
        <w:rPr>
          <w:rFonts w:ascii="Times New Roman" w:hAnsi="Times New Roman"/>
          <w:sz w:val="24"/>
          <w:szCs w:val="24"/>
        </w:rPr>
        <w:t xml:space="preserve"> </w:t>
      </w:r>
      <w:hyperlink r:id="rId796" w:anchor="search=%22Interest%20of%20J.M.%22" w:history="1">
        <w:r w:rsidR="00A247E4" w:rsidRPr="00231BDB">
          <w:rPr>
            <w:rStyle w:val="Hyperlink"/>
            <w:rFonts w:ascii="Times New Roman" w:hAnsi="Times New Roman"/>
            <w:sz w:val="24"/>
            <w:szCs w:val="24"/>
          </w:rPr>
          <w:t>http://www.pacourts.us/assets/opinions/Superior/out/j-s12006-19o%20-%2010413599977313050.pdf#search=%22Interest%20of%20J.M.%22</w:t>
        </w:r>
      </w:hyperlink>
    </w:p>
    <w:p w14:paraId="485E49DB" w14:textId="77777777" w:rsidR="00715CF2" w:rsidRPr="007B6BCD" w:rsidRDefault="00715CF2" w:rsidP="00715CF2">
      <w:pPr>
        <w:pStyle w:val="NoSpacing"/>
        <w:rPr>
          <w:rFonts w:ascii="Times New Roman" w:hAnsi="Times New Roman"/>
          <w:sz w:val="24"/>
          <w:szCs w:val="24"/>
        </w:rPr>
      </w:pPr>
    </w:p>
    <w:p w14:paraId="64442DEC" w14:textId="77777777" w:rsidR="00715CF2" w:rsidRPr="009D3D13" w:rsidRDefault="00715CF2" w:rsidP="00715CF2">
      <w:pPr>
        <w:pStyle w:val="NoSpacing"/>
      </w:pPr>
      <w:r w:rsidRPr="00CA0C9B">
        <w:rPr>
          <w:rFonts w:ascii="Times New Roman" w:hAnsi="Times New Roman"/>
          <w:b/>
          <w:bCs/>
          <w:sz w:val="24"/>
          <w:szCs w:val="24"/>
        </w:rPr>
        <w:t xml:space="preserve">Legal Lessons Learned:  Great decision – school administrators need to repeatedly remind students to report any threatening behavior.  See 9/12.2019 article on this case: “Court: Student's Claim to Want to 'Beat the Record' Following Parkland Shooting Was Terroristic Threat.” </w:t>
      </w:r>
      <w:hyperlink r:id="rId797" w:history="1">
        <w:r w:rsidRPr="00C512BA">
          <w:rPr>
            <w:rStyle w:val="Hyperlink"/>
          </w:rPr>
          <w:t>https://www.law.com/thelegalintelligencer/2019/09/12/court-students-claim-to-want-to-beat-the-record-following-parkland-shooting-was-terroristic-threat/</w:t>
        </w:r>
      </w:hyperlink>
    </w:p>
    <w:p w14:paraId="26A2AEFF" w14:textId="77777777" w:rsidR="00715CF2" w:rsidRDefault="00715CF2" w:rsidP="00715CF2">
      <w:pPr>
        <w:rPr>
          <w:rFonts w:ascii="Arial Black" w:hAnsi="Arial Black"/>
          <w:color w:val="4A4A4A"/>
          <w:sz w:val="24"/>
          <w:szCs w:val="24"/>
          <w:lang w:val="en"/>
        </w:rPr>
      </w:pPr>
    </w:p>
    <w:bookmarkEnd w:id="158"/>
    <w:p w14:paraId="1AE2F854" w14:textId="77777777" w:rsidR="00715CF2" w:rsidRDefault="00715CF2" w:rsidP="00EF1133">
      <w:pPr>
        <w:rPr>
          <w:rFonts w:ascii="Arial Black" w:hAnsi="Arial Black"/>
          <w:color w:val="4A4A4A"/>
          <w:sz w:val="24"/>
          <w:szCs w:val="24"/>
          <w:lang w:val="en"/>
        </w:rPr>
      </w:pPr>
    </w:p>
    <w:p w14:paraId="5F193AB3" w14:textId="41CC64B7" w:rsidR="009F0F05" w:rsidRDefault="00D07E6E"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2</w:t>
      </w:r>
    </w:p>
    <w:p w14:paraId="0F46A8EB" w14:textId="77777777" w:rsidR="00660046" w:rsidRPr="00660046" w:rsidRDefault="00660046" w:rsidP="00EF1133">
      <w:pPr>
        <w:rPr>
          <w:rFonts w:ascii="Arial Black" w:hAnsi="Arial Black" w:cs="Arial"/>
          <w:sz w:val="28"/>
          <w:szCs w:val="28"/>
        </w:rPr>
      </w:pPr>
      <w:bookmarkStart w:id="159" w:name="_Hlk25925579"/>
      <w:r w:rsidRPr="00660046">
        <w:rPr>
          <w:rFonts w:ascii="Arial Black" w:hAnsi="Arial Black" w:cs="Arial"/>
          <w:sz w:val="28"/>
          <w:szCs w:val="28"/>
        </w:rPr>
        <w:t>NY: 2nd CIRCUIT – DEPORTATION OF OUTSPOKEN ACTIVIST SUSPENDED - “OUTRAGEOUS COMMENTS” BY ICE DIRECTOR</w:t>
      </w:r>
    </w:p>
    <w:p w14:paraId="7001B6D0" w14:textId="01E95A19" w:rsidR="009F0F05" w:rsidRPr="0036327D" w:rsidRDefault="00660046" w:rsidP="00EF1133">
      <w:pPr>
        <w:rPr>
          <w:rFonts w:ascii="Times New Roman" w:hAnsi="Times New Roman"/>
          <w:color w:val="4A4A4A"/>
          <w:sz w:val="24"/>
          <w:szCs w:val="24"/>
          <w:lang w:val="en"/>
        </w:rPr>
      </w:pPr>
      <w:r w:rsidRPr="0036327D">
        <w:rPr>
          <w:rFonts w:ascii="Times New Roman" w:hAnsi="Times New Roman"/>
          <w:sz w:val="24"/>
          <w:szCs w:val="24"/>
        </w:rPr>
        <w:t xml:space="preserve">On April 25, 2019, in </w:t>
      </w:r>
      <w:proofErr w:type="spellStart"/>
      <w:r w:rsidRPr="0036327D">
        <w:rPr>
          <w:rFonts w:ascii="Times New Roman" w:hAnsi="Times New Roman"/>
          <w:sz w:val="24"/>
          <w:szCs w:val="24"/>
        </w:rPr>
        <w:t>Ravidath</w:t>
      </w:r>
      <w:proofErr w:type="spellEnd"/>
      <w:r w:rsidRPr="0036327D">
        <w:rPr>
          <w:rFonts w:ascii="Times New Roman" w:hAnsi="Times New Roman"/>
          <w:sz w:val="24"/>
          <w:szCs w:val="24"/>
        </w:rPr>
        <w:t xml:space="preserve"> Ragbir v. Thomas D. Homan, Director of ICE, the U.S. Court of Appeals for 2ndCircuit, held (2 to 1) that deportation order is suspended of the outspoken Executive Director of the New Sanctuary Coalition (which works to protect New York immigrant families from deportation). Congress cannot deprive federal courts of power to hold habeas corpus hearings when there is alleged violation of free speech under First Amendment. “To allow this retaliatory conduct to proceed would broadly chill protected speech, among not only activists subject to final orders of deportation but also those citizens and other residents who would fear retaliation against others. In short, the Government’s alleged conduct plausibly fits within the ‘outrageous [ness]’ exception to AADC.” </w:t>
      </w:r>
      <w:hyperlink r:id="rId798" w:history="1">
        <w:r w:rsidRPr="0036327D">
          <w:rPr>
            <w:rStyle w:val="Hyperlink"/>
            <w:rFonts w:ascii="Times New Roman" w:hAnsi="Times New Roman"/>
            <w:sz w:val="24"/>
            <w:szCs w:val="24"/>
          </w:rPr>
          <w:t>https://cases.justia.com/federal/appellate-courts/ca2/18-1597/18-1597-2019-04-25.pdf?ts=1556202606</w:t>
        </w:r>
      </w:hyperlink>
      <w:r w:rsidRPr="0036327D">
        <w:rPr>
          <w:rFonts w:ascii="Times New Roman" w:hAnsi="Times New Roman"/>
          <w:sz w:val="24"/>
          <w:szCs w:val="24"/>
        </w:rPr>
        <w:t xml:space="preserve"> </w:t>
      </w:r>
    </w:p>
    <w:p w14:paraId="2D3B4CAA" w14:textId="77777777" w:rsidR="00660046" w:rsidRPr="0036327D" w:rsidRDefault="00660046" w:rsidP="00EF1133">
      <w:pPr>
        <w:rPr>
          <w:rFonts w:ascii="Times New Roman" w:hAnsi="Times New Roman"/>
          <w:b/>
          <w:bCs/>
          <w:sz w:val="24"/>
          <w:szCs w:val="24"/>
        </w:rPr>
      </w:pPr>
      <w:r w:rsidRPr="0036327D">
        <w:rPr>
          <w:rFonts w:ascii="Times New Roman" w:hAnsi="Times New Roman"/>
          <w:b/>
          <w:bCs/>
          <w:sz w:val="24"/>
          <w:szCs w:val="24"/>
        </w:rPr>
        <w:lastRenderedPageBreak/>
        <w:t xml:space="preserve">Legal Lessons Learned: Inappropriate comments by governmental officials can be viewed as deprivation of Constitutional rights of individuals. </w:t>
      </w:r>
    </w:p>
    <w:p w14:paraId="6FDE3292" w14:textId="619011AE" w:rsidR="00660046" w:rsidRPr="0036327D" w:rsidRDefault="00660046" w:rsidP="00715CF2">
      <w:pPr>
        <w:ind w:left="720"/>
        <w:rPr>
          <w:rFonts w:ascii="Times New Roman" w:hAnsi="Times New Roman"/>
          <w:color w:val="4A4A4A"/>
          <w:sz w:val="24"/>
          <w:szCs w:val="24"/>
          <w:lang w:val="en"/>
        </w:rPr>
      </w:pPr>
      <w:r w:rsidRPr="0036327D">
        <w:rPr>
          <w:rFonts w:ascii="Times New Roman" w:hAnsi="Times New Roman"/>
          <w:sz w:val="24"/>
          <w:szCs w:val="24"/>
        </w:rPr>
        <w:t xml:space="preserve">See article about the decision: “Split 2nd Circuit Panel Finds ‘Outrageous’ ICE Conduct Revives Activist’s Removal Suit.” </w:t>
      </w:r>
      <w:hyperlink r:id="rId799" w:history="1">
        <w:r w:rsidRPr="0036327D">
          <w:rPr>
            <w:rStyle w:val="Hyperlink"/>
            <w:rFonts w:ascii="Times New Roman" w:hAnsi="Times New Roman"/>
            <w:sz w:val="24"/>
            <w:szCs w:val="24"/>
          </w:rPr>
          <w:t>https://www.law.com/newyorklawjournal/2019/04/25/split-2nd-circuit-panel-finds-outrageous-ice-conduct-revives-activists-removal-suit/</w:t>
        </w:r>
      </w:hyperlink>
      <w:r w:rsidRPr="0036327D">
        <w:rPr>
          <w:rFonts w:ascii="Times New Roman" w:hAnsi="Times New Roman"/>
          <w:sz w:val="24"/>
          <w:szCs w:val="24"/>
        </w:rPr>
        <w:t xml:space="preserve"> </w:t>
      </w:r>
    </w:p>
    <w:bookmarkEnd w:id="159"/>
    <w:p w14:paraId="28D7E50B" w14:textId="77777777" w:rsidR="00660046" w:rsidRDefault="00660046" w:rsidP="00EF1133">
      <w:pPr>
        <w:rPr>
          <w:rFonts w:ascii="Arial Black" w:hAnsi="Arial Black"/>
          <w:color w:val="4A4A4A"/>
          <w:sz w:val="24"/>
          <w:szCs w:val="24"/>
          <w:lang w:val="en"/>
        </w:rPr>
      </w:pPr>
    </w:p>
    <w:p w14:paraId="3B4CB980" w14:textId="58F5464E" w:rsidR="00660046" w:rsidRDefault="00660046"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1</w:t>
      </w:r>
    </w:p>
    <w:p w14:paraId="7D02F5E3" w14:textId="77777777" w:rsidR="00660046" w:rsidRPr="00660046" w:rsidRDefault="00660046" w:rsidP="00EF1133">
      <w:pPr>
        <w:rPr>
          <w:rFonts w:ascii="Arial Black" w:hAnsi="Arial Black" w:cs="Arial"/>
          <w:sz w:val="28"/>
          <w:szCs w:val="28"/>
        </w:rPr>
      </w:pPr>
      <w:bookmarkStart w:id="160" w:name="_Hlk25925648"/>
      <w:r w:rsidRPr="00660046">
        <w:rPr>
          <w:rFonts w:ascii="Arial Black" w:hAnsi="Arial Black" w:cs="Arial"/>
          <w:sz w:val="28"/>
          <w:szCs w:val="28"/>
        </w:rPr>
        <w:t xml:space="preserve">CT: WIDOW OF 9/11 VICTIM AT WORLD TRADE CENTER – $1.2 MILLIONFED. FUNDS DAUGHTER – WIDOW CONTROLS – NOT PROBATE COURT </w:t>
      </w:r>
    </w:p>
    <w:p w14:paraId="6E102EB2" w14:textId="7ECC8D92" w:rsidR="00660046" w:rsidRPr="0036327D" w:rsidRDefault="00660046" w:rsidP="00EF1133">
      <w:pPr>
        <w:rPr>
          <w:rFonts w:ascii="Times New Roman" w:hAnsi="Times New Roman"/>
          <w:color w:val="4A4A4A"/>
          <w:sz w:val="24"/>
          <w:szCs w:val="24"/>
          <w:lang w:val="en"/>
        </w:rPr>
      </w:pPr>
      <w:r w:rsidRPr="0036327D">
        <w:rPr>
          <w:rFonts w:ascii="Times New Roman" w:hAnsi="Times New Roman"/>
          <w:sz w:val="24"/>
          <w:szCs w:val="24"/>
        </w:rPr>
        <w:t xml:space="preserve">On April 16, 2019, in Carolyne Y. Hynes v. Sharon M. Jones, the Connecticut Supreme Court (7 to 0) held that the widow had full control of the federal dollars paid to her daughter, and did not need Probate Court guardian ad litem approval for spending of these </w:t>
      </w:r>
      <w:proofErr w:type="spellStart"/>
      <w:r w:rsidRPr="0036327D">
        <w:rPr>
          <w:rFonts w:ascii="Times New Roman" w:hAnsi="Times New Roman"/>
          <w:sz w:val="24"/>
          <w:szCs w:val="24"/>
        </w:rPr>
        <w:t>funds.“We</w:t>
      </w:r>
      <w:proofErr w:type="spellEnd"/>
      <w:r w:rsidRPr="0036327D">
        <w:rPr>
          <w:rFonts w:ascii="Times New Roman" w:hAnsi="Times New Roman"/>
          <w:sz w:val="24"/>
          <w:szCs w:val="24"/>
        </w:rPr>
        <w:t xml:space="preserve"> conclude that our state statutes did not grant the Probate Court jurisdiction to monitor the plaintiff’s use of the fund award or to prohibit the plaintiff from using that award in the absence of that court’s approval.” </w:t>
      </w:r>
      <w:hyperlink r:id="rId800" w:history="1">
        <w:r w:rsidRPr="0036327D">
          <w:rPr>
            <w:rStyle w:val="Hyperlink"/>
            <w:rFonts w:ascii="Times New Roman" w:hAnsi="Times New Roman"/>
            <w:sz w:val="24"/>
            <w:szCs w:val="24"/>
          </w:rPr>
          <w:t>https://cases.justia.com/connecticut/supreme-court/2019-sc20009.pdf?ts=1554984045</w:t>
        </w:r>
      </w:hyperlink>
      <w:r w:rsidRPr="0036327D">
        <w:rPr>
          <w:rFonts w:ascii="Times New Roman" w:hAnsi="Times New Roman"/>
          <w:sz w:val="24"/>
          <w:szCs w:val="24"/>
        </w:rPr>
        <w:t xml:space="preserve"> </w:t>
      </w:r>
    </w:p>
    <w:p w14:paraId="20CBFBC7" w14:textId="6D5D11AA" w:rsidR="00660046" w:rsidRPr="0036327D" w:rsidRDefault="00660046" w:rsidP="00EF1133">
      <w:pPr>
        <w:rPr>
          <w:rFonts w:ascii="Times New Roman" w:hAnsi="Times New Roman"/>
          <w:b/>
          <w:bCs/>
          <w:color w:val="4A4A4A"/>
          <w:sz w:val="24"/>
          <w:szCs w:val="24"/>
          <w:lang w:val="en"/>
        </w:rPr>
      </w:pPr>
      <w:r w:rsidRPr="0036327D">
        <w:rPr>
          <w:rFonts w:ascii="Times New Roman" w:hAnsi="Times New Roman"/>
          <w:b/>
          <w:bCs/>
          <w:sz w:val="24"/>
          <w:szCs w:val="24"/>
        </w:rPr>
        <w:t xml:space="preserve">Legal Lessons Learned: Widow now has full discretion on how to spend funds granted to her minor child. </w:t>
      </w:r>
    </w:p>
    <w:bookmarkEnd w:id="160"/>
    <w:p w14:paraId="7F20CE4D" w14:textId="0C047440" w:rsidR="00660046" w:rsidRDefault="00660046" w:rsidP="00EF1133">
      <w:pPr>
        <w:rPr>
          <w:rFonts w:ascii="Arial Black" w:hAnsi="Arial Black"/>
          <w:color w:val="4A4A4A"/>
          <w:sz w:val="24"/>
          <w:szCs w:val="24"/>
          <w:lang w:val="en"/>
        </w:rPr>
      </w:pPr>
    </w:p>
    <w:p w14:paraId="21EC686F" w14:textId="77777777" w:rsidR="009C4A80" w:rsidRDefault="009C4A80" w:rsidP="00EF1133">
      <w:pPr>
        <w:rPr>
          <w:rFonts w:ascii="Arial Black" w:hAnsi="Arial Black"/>
          <w:color w:val="4A4A4A"/>
          <w:sz w:val="24"/>
          <w:szCs w:val="24"/>
          <w:lang w:val="en"/>
        </w:rPr>
      </w:pPr>
    </w:p>
    <w:p w14:paraId="0F29F433" w14:textId="43058EAB" w:rsidR="00EF1133" w:rsidRDefault="00EF1133" w:rsidP="00EF1133">
      <w:pPr>
        <w:rPr>
          <w:rFonts w:ascii="Arial Black" w:hAnsi="Arial Black"/>
          <w:sz w:val="28"/>
          <w:szCs w:val="28"/>
        </w:rPr>
      </w:pPr>
      <w:r w:rsidRPr="00EF1133">
        <w:rPr>
          <w:rFonts w:ascii="Arial Black" w:hAnsi="Arial Black"/>
          <w:color w:val="4A4A4A"/>
          <w:sz w:val="24"/>
          <w:szCs w:val="24"/>
          <w:lang w:val="en"/>
        </w:rPr>
        <w:t>3-</w:t>
      </w:r>
      <w:r w:rsidR="00A247E4">
        <w:rPr>
          <w:rFonts w:ascii="Arial Black" w:hAnsi="Arial Black"/>
          <w:color w:val="4A4A4A"/>
          <w:sz w:val="24"/>
          <w:szCs w:val="24"/>
          <w:lang w:val="en"/>
        </w:rPr>
        <w:t>10</w:t>
      </w:r>
    </w:p>
    <w:p w14:paraId="00D56E3E" w14:textId="09800419" w:rsidR="00F326E5" w:rsidRDefault="00F326E5" w:rsidP="00F326E5">
      <w:pPr>
        <w:pStyle w:val="NoSpacing"/>
        <w:rPr>
          <w:rFonts w:ascii="OnTimes New Roman" w:hAnsi="OnTimes New Roman"/>
          <w:sz w:val="24"/>
          <w:szCs w:val="24"/>
        </w:rPr>
      </w:pPr>
      <w:bookmarkStart w:id="161" w:name="_Hlk25926365"/>
      <w:r w:rsidRPr="00CA1140">
        <w:rPr>
          <w:rFonts w:ascii="Arial Black" w:hAnsi="Arial Black"/>
          <w:sz w:val="28"/>
          <w:szCs w:val="28"/>
        </w:rPr>
        <w:t xml:space="preserve">CT: </w:t>
      </w:r>
      <w:r>
        <w:rPr>
          <w:rFonts w:ascii="Arial Black" w:hAnsi="Arial Black"/>
          <w:sz w:val="28"/>
          <w:szCs w:val="28"/>
        </w:rPr>
        <w:t xml:space="preserve">SANDY HOOK ELEMENTARY SCHOOL - LAWSUITS MAY PROCEED / VIOLENT ADS BY GUN MFG. </w:t>
      </w:r>
    </w:p>
    <w:p w14:paraId="6A60DF8D" w14:textId="77777777" w:rsidR="009C4A80"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March 14, </w:t>
      </w:r>
      <w:proofErr w:type="gramStart"/>
      <w:r w:rsidRPr="0036327D">
        <w:rPr>
          <w:rFonts w:ascii="Times New Roman" w:hAnsi="Times New Roman"/>
          <w:sz w:val="24"/>
          <w:szCs w:val="24"/>
        </w:rPr>
        <w:t>2019</w:t>
      </w:r>
      <w:proofErr w:type="gramEnd"/>
      <w:r w:rsidRPr="0036327D">
        <w:rPr>
          <w:rFonts w:ascii="Times New Roman" w:hAnsi="Times New Roman"/>
          <w:sz w:val="24"/>
          <w:szCs w:val="24"/>
        </w:rPr>
        <w:t xml:space="preserve"> in </w:t>
      </w:r>
      <w:r w:rsidRPr="0036327D">
        <w:rPr>
          <w:rFonts w:ascii="Times New Roman" w:hAnsi="Times New Roman"/>
          <w:sz w:val="24"/>
          <w:szCs w:val="24"/>
          <w:u w:val="single"/>
        </w:rPr>
        <w:t>Donna L. Soto, Administratrix (Estate of Victoria L. Soto), et al. v. Bushmaster Firearms International, et al</w:t>
      </w:r>
      <w:r w:rsidRPr="0036327D">
        <w:rPr>
          <w:rFonts w:ascii="Times New Roman" w:hAnsi="Times New Roman"/>
          <w:sz w:val="24"/>
          <w:szCs w:val="24"/>
        </w:rPr>
        <w:t xml:space="preserve">., the Connecticut Supreme Court (4 to 3) reinstated the lawsuit brought by families of nine of the 20 children and six adults killed in the elementary school.  The Court held: </w:t>
      </w:r>
    </w:p>
    <w:p w14:paraId="71B3EB6F" w14:textId="77777777" w:rsidR="009C4A80" w:rsidRDefault="009C4A80" w:rsidP="00F326E5">
      <w:pPr>
        <w:pStyle w:val="NoSpacing"/>
        <w:rPr>
          <w:rFonts w:ascii="Times New Roman" w:hAnsi="Times New Roman"/>
          <w:sz w:val="24"/>
          <w:szCs w:val="24"/>
        </w:rPr>
      </w:pPr>
    </w:p>
    <w:p w14:paraId="7EE3F410" w14:textId="7674AA65" w:rsidR="00F326E5" w:rsidRPr="0036327D" w:rsidRDefault="00F326E5" w:rsidP="009C4A80">
      <w:pPr>
        <w:pStyle w:val="NoSpacing"/>
        <w:ind w:left="720"/>
        <w:rPr>
          <w:rStyle w:val="Hyperlink"/>
          <w:rFonts w:ascii="Times New Roman" w:hAnsi="Times New Roman"/>
          <w:sz w:val="24"/>
          <w:szCs w:val="24"/>
        </w:rPr>
      </w:pPr>
      <w:r w:rsidRPr="0036327D">
        <w:rPr>
          <w:rFonts w:ascii="Times New Roman" w:hAnsi="Times New Roman"/>
          <w:sz w:val="24"/>
          <w:szCs w:val="24"/>
        </w:rPr>
        <w:t xml:space="preserve">“The plaintiffs have offered one narrow legal theory, however, that is recognized under established Connecticut law. Specifically, they allege that the defendants knowingly marketed, advertised, and promoted the XM15-E2S for </w:t>
      </w:r>
      <w:proofErr w:type="gramStart"/>
      <w:r w:rsidRPr="0036327D">
        <w:rPr>
          <w:rFonts w:ascii="Times New Roman" w:hAnsi="Times New Roman"/>
          <w:sz w:val="24"/>
          <w:szCs w:val="24"/>
        </w:rPr>
        <w:t>civilians to use</w:t>
      </w:r>
      <w:proofErr w:type="gramEnd"/>
      <w:r w:rsidRPr="0036327D">
        <w:rPr>
          <w:rFonts w:ascii="Times New Roman" w:hAnsi="Times New Roman"/>
          <w:sz w:val="24"/>
          <w:szCs w:val="24"/>
        </w:rPr>
        <w:t xml:space="preserve"> to carry out offensive, military style combat missions against their perceived enemies. Such use of the XM15-E2S, or any weapon for that matter, would be illegal, and Connecticut law does not permit advertisements that promote or encourage violent, criminal </w:t>
      </w:r>
      <w:proofErr w:type="gramStart"/>
      <w:r w:rsidRPr="0036327D">
        <w:rPr>
          <w:rFonts w:ascii="Times New Roman" w:hAnsi="Times New Roman"/>
          <w:sz w:val="24"/>
          <w:szCs w:val="24"/>
        </w:rPr>
        <w:t>behavior.”</w:t>
      </w:r>
      <w:proofErr w:type="gramEnd"/>
      <w:r w:rsidRPr="0036327D">
        <w:rPr>
          <w:rFonts w:ascii="Times New Roman" w:hAnsi="Times New Roman"/>
          <w:sz w:val="24"/>
          <w:szCs w:val="24"/>
        </w:rPr>
        <w:t xml:space="preserve"> </w:t>
      </w:r>
      <w:hyperlink r:id="rId801" w:history="1">
        <w:r w:rsidRPr="0036327D">
          <w:rPr>
            <w:rStyle w:val="Hyperlink"/>
            <w:rFonts w:ascii="Times New Roman" w:hAnsi="Times New Roman"/>
            <w:sz w:val="24"/>
            <w:szCs w:val="24"/>
          </w:rPr>
          <w:t>file:///C:/Users/lawre/AppData/Local/Microsoft/Windows/INetCache/Content.Outlook/YEHISW7P/331CR865.pdf</w:t>
        </w:r>
      </w:hyperlink>
    </w:p>
    <w:p w14:paraId="13ADBD91" w14:textId="77777777" w:rsidR="009C4A80" w:rsidRDefault="009C4A80" w:rsidP="00F326E5">
      <w:pPr>
        <w:pStyle w:val="NoSpacing"/>
        <w:rPr>
          <w:rFonts w:ascii="Times New Roman" w:hAnsi="Times New Roman"/>
          <w:b/>
          <w:bCs/>
          <w:sz w:val="24"/>
          <w:szCs w:val="24"/>
        </w:rPr>
      </w:pPr>
    </w:p>
    <w:p w14:paraId="2013B689" w14:textId="4757F062" w:rsidR="005F7D6B" w:rsidRPr="0036327D" w:rsidRDefault="005F7D6B" w:rsidP="00F326E5">
      <w:pPr>
        <w:pStyle w:val="NoSpacing"/>
        <w:rPr>
          <w:rFonts w:ascii="Times New Roman" w:hAnsi="Times New Roman"/>
          <w:b/>
          <w:bCs/>
          <w:sz w:val="24"/>
          <w:szCs w:val="24"/>
        </w:rPr>
      </w:pPr>
      <w:r w:rsidRPr="0036327D">
        <w:rPr>
          <w:rFonts w:ascii="Times New Roman" w:hAnsi="Times New Roman"/>
          <w:b/>
          <w:bCs/>
          <w:sz w:val="24"/>
          <w:szCs w:val="24"/>
        </w:rPr>
        <w:t>Legal Lessons Learned: The case will not be sent back for trial or settlement by Remington Arms Co. LLC and its “daughter company” Bushmaster Firearms International LLC.</w:t>
      </w:r>
    </w:p>
    <w:p w14:paraId="6DF31E56" w14:textId="77777777" w:rsidR="005F7D6B" w:rsidRPr="0036327D" w:rsidRDefault="005F7D6B" w:rsidP="00F326E5">
      <w:pPr>
        <w:pStyle w:val="NoSpacing"/>
        <w:rPr>
          <w:rFonts w:ascii="Times New Roman" w:hAnsi="Times New Roman"/>
          <w:bCs/>
          <w:sz w:val="24"/>
          <w:szCs w:val="24"/>
        </w:rPr>
      </w:pPr>
    </w:p>
    <w:bookmarkEnd w:id="132"/>
    <w:bookmarkEnd w:id="161"/>
    <w:p w14:paraId="0A16F813" w14:textId="0B4E0E9D" w:rsidR="00F326E5" w:rsidRPr="0036327D" w:rsidRDefault="00F326E5" w:rsidP="00F326E5">
      <w:pPr>
        <w:pStyle w:val="NoSpacing"/>
        <w:rPr>
          <w:rFonts w:ascii="Times New Roman" w:hAnsi="Times New Roman"/>
          <w:bCs/>
          <w:sz w:val="24"/>
          <w:szCs w:val="24"/>
        </w:rPr>
      </w:pPr>
    </w:p>
    <w:p w14:paraId="2E379C23" w14:textId="4680C237" w:rsidR="00F326E5" w:rsidRPr="0036327D" w:rsidRDefault="00F326E5" w:rsidP="00F326E5">
      <w:pPr>
        <w:rPr>
          <w:rFonts w:ascii="Times New Roman" w:hAnsi="Times New Roman"/>
          <w:sz w:val="24"/>
          <w:szCs w:val="24"/>
        </w:rPr>
      </w:pPr>
    </w:p>
    <w:p w14:paraId="54A79544" w14:textId="3B5271B1" w:rsidR="00EF1133" w:rsidRDefault="00EF1133" w:rsidP="00F326E5">
      <w:pPr>
        <w:rPr>
          <w:rFonts w:ascii="Arial Black" w:hAnsi="Arial Black"/>
          <w:sz w:val="40"/>
          <w:szCs w:val="40"/>
        </w:rPr>
      </w:pPr>
      <w:r w:rsidRPr="00EF1133">
        <w:rPr>
          <w:rFonts w:ascii="Arial Black" w:hAnsi="Arial Black"/>
          <w:color w:val="4A4A4A"/>
          <w:sz w:val="24"/>
          <w:szCs w:val="24"/>
          <w:lang w:val="en"/>
        </w:rPr>
        <w:t>3-</w:t>
      </w:r>
      <w:r w:rsidR="00A247E4">
        <w:rPr>
          <w:rFonts w:ascii="Arial Black" w:hAnsi="Arial Black"/>
          <w:color w:val="4A4A4A"/>
          <w:sz w:val="24"/>
          <w:szCs w:val="24"/>
          <w:lang w:val="en"/>
        </w:rPr>
        <w:t>9</w:t>
      </w:r>
    </w:p>
    <w:p w14:paraId="266DBD23" w14:textId="54875327" w:rsidR="00F326E5" w:rsidRDefault="00F326E5" w:rsidP="00F326E5">
      <w:pPr>
        <w:pStyle w:val="NoSpacing"/>
        <w:rPr>
          <w:rFonts w:ascii="Arial Black" w:hAnsi="Arial Black"/>
          <w:sz w:val="28"/>
          <w:szCs w:val="28"/>
        </w:rPr>
      </w:pPr>
      <w:bookmarkStart w:id="162" w:name="_Hlk25926509"/>
      <w:bookmarkStart w:id="163" w:name="_Hlk7341421"/>
      <w:r w:rsidRPr="000561E4">
        <w:rPr>
          <w:rFonts w:ascii="Arial Black" w:hAnsi="Arial Black"/>
          <w:sz w:val="28"/>
          <w:szCs w:val="28"/>
        </w:rPr>
        <w:t xml:space="preserve">PA: </w:t>
      </w:r>
      <w:r>
        <w:rPr>
          <w:rFonts w:ascii="Arial Black" w:hAnsi="Arial Black"/>
          <w:sz w:val="28"/>
          <w:szCs w:val="28"/>
        </w:rPr>
        <w:t>SANCTUARY CITY / ICE - 3</w:t>
      </w:r>
      <w:r w:rsidRPr="000561E4">
        <w:rPr>
          <w:rFonts w:ascii="Arial Black" w:hAnsi="Arial Black"/>
          <w:sz w:val="28"/>
          <w:szCs w:val="28"/>
          <w:vertAlign w:val="superscript"/>
        </w:rPr>
        <w:t>rd</w:t>
      </w:r>
      <w:r>
        <w:rPr>
          <w:rFonts w:ascii="Arial Black" w:hAnsi="Arial Black"/>
          <w:sz w:val="28"/>
          <w:szCs w:val="28"/>
        </w:rPr>
        <w:t xml:space="preserve"> CIRCUIT HOLDS FED. GOVT CANNOT WITHHOLD FORMULA GRANT </w:t>
      </w:r>
    </w:p>
    <w:p w14:paraId="7325FE78" w14:textId="77777777" w:rsidR="009C4A80"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Feb. 15, 2019, in </w:t>
      </w:r>
      <w:r w:rsidRPr="0036327D">
        <w:rPr>
          <w:rFonts w:ascii="Times New Roman" w:hAnsi="Times New Roman"/>
          <w:sz w:val="24"/>
          <w:szCs w:val="24"/>
          <w:u w:val="single"/>
        </w:rPr>
        <w:t xml:space="preserve">City of Philadelphia v. Attorney General </w:t>
      </w:r>
      <w:proofErr w:type="gramStart"/>
      <w:r w:rsidRPr="0036327D">
        <w:rPr>
          <w:rFonts w:ascii="Times New Roman" w:hAnsi="Times New Roman"/>
          <w:sz w:val="24"/>
          <w:szCs w:val="24"/>
          <w:u w:val="single"/>
        </w:rPr>
        <w:t>Of</w:t>
      </w:r>
      <w:proofErr w:type="gramEnd"/>
      <w:r w:rsidRPr="0036327D">
        <w:rPr>
          <w:rFonts w:ascii="Times New Roman" w:hAnsi="Times New Roman"/>
          <w:sz w:val="24"/>
          <w:szCs w:val="24"/>
          <w:u w:val="single"/>
        </w:rPr>
        <w:t xml:space="preserve"> </w:t>
      </w:r>
      <w:proofErr w:type="gramStart"/>
      <w:r w:rsidRPr="0036327D">
        <w:rPr>
          <w:rFonts w:ascii="Times New Roman" w:hAnsi="Times New Roman"/>
          <w:sz w:val="24"/>
          <w:szCs w:val="24"/>
          <w:u w:val="single"/>
        </w:rPr>
        <w:t>The</w:t>
      </w:r>
      <w:proofErr w:type="gramEnd"/>
      <w:r w:rsidRPr="0036327D">
        <w:rPr>
          <w:rFonts w:ascii="Times New Roman" w:hAnsi="Times New Roman"/>
          <w:sz w:val="24"/>
          <w:szCs w:val="24"/>
          <w:u w:val="single"/>
        </w:rPr>
        <w:t xml:space="preserve"> United States </w:t>
      </w:r>
      <w:proofErr w:type="gramStart"/>
      <w:r w:rsidRPr="0036327D">
        <w:rPr>
          <w:rFonts w:ascii="Times New Roman" w:hAnsi="Times New Roman"/>
          <w:sz w:val="24"/>
          <w:szCs w:val="24"/>
          <w:u w:val="single"/>
        </w:rPr>
        <w:t>Of</w:t>
      </w:r>
      <w:proofErr w:type="gramEnd"/>
      <w:r w:rsidRPr="0036327D">
        <w:rPr>
          <w:rFonts w:ascii="Times New Roman" w:hAnsi="Times New Roman"/>
          <w:sz w:val="24"/>
          <w:szCs w:val="24"/>
          <w:u w:val="single"/>
        </w:rPr>
        <w:t xml:space="preserve"> America</w:t>
      </w:r>
      <w:r w:rsidRPr="0036327D">
        <w:rPr>
          <w:rFonts w:ascii="Times New Roman" w:hAnsi="Times New Roman"/>
          <w:sz w:val="24"/>
          <w:szCs w:val="24"/>
        </w:rPr>
        <w:t xml:space="preserve">, the U.S. Court of Appeals held (3 to 0), </w:t>
      </w:r>
    </w:p>
    <w:p w14:paraId="05488087" w14:textId="77777777" w:rsidR="009C4A80" w:rsidRDefault="009C4A80" w:rsidP="00F326E5">
      <w:pPr>
        <w:pStyle w:val="NoSpacing"/>
        <w:rPr>
          <w:rFonts w:ascii="Times New Roman" w:hAnsi="Times New Roman"/>
          <w:sz w:val="24"/>
          <w:szCs w:val="24"/>
        </w:rPr>
      </w:pPr>
    </w:p>
    <w:p w14:paraId="5AFDBA0F" w14:textId="13A03CC8" w:rsidR="00F326E5" w:rsidRPr="0036327D" w:rsidRDefault="00F326E5" w:rsidP="009C4A80">
      <w:pPr>
        <w:pStyle w:val="NoSpacing"/>
        <w:ind w:left="720"/>
        <w:rPr>
          <w:rFonts w:ascii="Times New Roman" w:hAnsi="Times New Roman"/>
          <w:sz w:val="24"/>
          <w:szCs w:val="24"/>
        </w:rPr>
      </w:pPr>
      <w:r w:rsidRPr="0036327D">
        <w:rPr>
          <w:rFonts w:ascii="Times New Roman" w:hAnsi="Times New Roman"/>
          <w:sz w:val="24"/>
          <w:szCs w:val="24"/>
        </w:rPr>
        <w:t xml:space="preserve">“Concluding that Congress did not grant the Attorney General this authority, we hold that the Challenged Conditions were unlawfully imposed.  Therefore, we will affirm the District Court’s order to the extent that it enjoins enforcement of the Challenged Conditions against the City of Philadelphia.  We will vacate part of the order, however, to the extent that it exceeds the bounds of this </w:t>
      </w:r>
      <w:proofErr w:type="gramStart"/>
      <w:r w:rsidRPr="0036327D">
        <w:rPr>
          <w:rFonts w:ascii="Times New Roman" w:hAnsi="Times New Roman"/>
          <w:sz w:val="24"/>
          <w:szCs w:val="24"/>
        </w:rPr>
        <w:t>controversy.”</w:t>
      </w:r>
      <w:proofErr w:type="gramEnd"/>
      <w:r w:rsidRPr="0036327D">
        <w:rPr>
          <w:rFonts w:ascii="Times New Roman" w:hAnsi="Times New Roman"/>
          <w:sz w:val="24"/>
          <w:szCs w:val="24"/>
        </w:rPr>
        <w:t xml:space="preserve"> </w:t>
      </w:r>
      <w:hyperlink r:id="rId802" w:history="1">
        <w:r w:rsidRPr="0036327D">
          <w:rPr>
            <w:rStyle w:val="Hyperlink"/>
            <w:rFonts w:ascii="Times New Roman" w:hAnsi="Times New Roman"/>
            <w:sz w:val="24"/>
            <w:szCs w:val="24"/>
          </w:rPr>
          <w:t>https://www2.ca3.uscourts.gov/opinarch/182648p.pdf</w:t>
        </w:r>
      </w:hyperlink>
      <w:r w:rsidRPr="0036327D">
        <w:rPr>
          <w:rFonts w:ascii="Times New Roman" w:hAnsi="Times New Roman"/>
          <w:sz w:val="24"/>
          <w:szCs w:val="24"/>
        </w:rPr>
        <w:t xml:space="preserve"> </w:t>
      </w:r>
    </w:p>
    <w:p w14:paraId="4AFA5DF5" w14:textId="77777777" w:rsidR="009C4A80" w:rsidRDefault="009C4A80" w:rsidP="00F326E5">
      <w:pPr>
        <w:pStyle w:val="NoSpacing"/>
        <w:rPr>
          <w:rFonts w:ascii="Times New Roman" w:hAnsi="Times New Roman"/>
          <w:b/>
          <w:sz w:val="24"/>
          <w:szCs w:val="24"/>
        </w:rPr>
      </w:pPr>
      <w:bookmarkStart w:id="164" w:name="_Hlk7174020"/>
    </w:p>
    <w:p w14:paraId="52D7C331" w14:textId="4C935395" w:rsidR="00F326E5" w:rsidRPr="0036327D" w:rsidRDefault="00F326E5" w:rsidP="00F326E5">
      <w:pPr>
        <w:pStyle w:val="NoSpacing"/>
        <w:rPr>
          <w:rFonts w:ascii="Times New Roman" w:hAnsi="Times New Roman"/>
          <w:b/>
          <w:sz w:val="24"/>
          <w:szCs w:val="24"/>
        </w:rPr>
      </w:pPr>
      <w:r w:rsidRPr="0036327D">
        <w:rPr>
          <w:rFonts w:ascii="Times New Roman" w:hAnsi="Times New Roman"/>
          <w:b/>
          <w:sz w:val="24"/>
          <w:szCs w:val="24"/>
        </w:rPr>
        <w:t xml:space="preserve">Legal Lessons Learned: The </w:t>
      </w:r>
      <w:proofErr w:type="spellStart"/>
      <w:r w:rsidRPr="0036327D">
        <w:rPr>
          <w:rFonts w:ascii="Times New Roman" w:hAnsi="Times New Roman"/>
          <w:b/>
          <w:sz w:val="24"/>
          <w:szCs w:val="24"/>
        </w:rPr>
        <w:t>DoJ</w:t>
      </w:r>
      <w:proofErr w:type="spellEnd"/>
      <w:r w:rsidRPr="0036327D">
        <w:rPr>
          <w:rFonts w:ascii="Times New Roman" w:hAnsi="Times New Roman"/>
          <w:b/>
          <w:sz w:val="24"/>
          <w:szCs w:val="24"/>
        </w:rPr>
        <w:t xml:space="preserve"> is likely to seek review by U.S. Supreme Court. </w:t>
      </w:r>
    </w:p>
    <w:bookmarkEnd w:id="162"/>
    <w:bookmarkEnd w:id="164"/>
    <w:p w14:paraId="3A67FE4D" w14:textId="4977738A" w:rsidR="00F326E5" w:rsidRPr="00AF41DF" w:rsidRDefault="00F326E5" w:rsidP="00F326E5">
      <w:pPr>
        <w:pStyle w:val="NoSpacing"/>
        <w:rPr>
          <w:b/>
          <w:sz w:val="24"/>
          <w:szCs w:val="24"/>
        </w:rPr>
      </w:pPr>
    </w:p>
    <w:bookmarkEnd w:id="163"/>
    <w:p w14:paraId="42939F19" w14:textId="77777777" w:rsidR="00F326E5" w:rsidRDefault="00F326E5" w:rsidP="00F326E5">
      <w:pPr>
        <w:rPr>
          <w:rFonts w:ascii="Arial Black" w:hAnsi="Arial Black"/>
          <w:sz w:val="40"/>
          <w:szCs w:val="40"/>
        </w:rPr>
      </w:pPr>
    </w:p>
    <w:p w14:paraId="1B7A0EAB" w14:textId="119D5F5A" w:rsidR="00EF1133" w:rsidRPr="00EF1133" w:rsidRDefault="00EF1133" w:rsidP="00EF1133">
      <w:pPr>
        <w:rPr>
          <w:rFonts w:ascii="Arial Black" w:hAnsi="Arial Black"/>
          <w:color w:val="4A4A4A"/>
          <w:sz w:val="24"/>
          <w:szCs w:val="24"/>
          <w:lang w:val="en"/>
        </w:rPr>
      </w:pPr>
      <w:r w:rsidRPr="00EF1133">
        <w:rPr>
          <w:rFonts w:ascii="Arial Black" w:hAnsi="Arial Black"/>
          <w:color w:val="4A4A4A"/>
          <w:sz w:val="24"/>
          <w:szCs w:val="24"/>
          <w:lang w:val="en"/>
        </w:rPr>
        <w:t>3-</w:t>
      </w:r>
      <w:r w:rsidR="00A247E4">
        <w:rPr>
          <w:rFonts w:ascii="Arial Black" w:hAnsi="Arial Black"/>
          <w:color w:val="4A4A4A"/>
          <w:sz w:val="24"/>
          <w:szCs w:val="24"/>
          <w:lang w:val="en"/>
        </w:rPr>
        <w:t>8</w:t>
      </w:r>
    </w:p>
    <w:p w14:paraId="48FE4AD2" w14:textId="77777777" w:rsidR="00F326E5" w:rsidRDefault="00F326E5" w:rsidP="00F326E5">
      <w:pPr>
        <w:pStyle w:val="NoSpacing"/>
        <w:rPr>
          <w:bCs/>
          <w:sz w:val="24"/>
          <w:szCs w:val="24"/>
        </w:rPr>
      </w:pPr>
    </w:p>
    <w:p w14:paraId="5E893FAA" w14:textId="668DD196" w:rsidR="00F326E5" w:rsidRDefault="00F326E5" w:rsidP="00F326E5">
      <w:pPr>
        <w:pStyle w:val="NoSpacing"/>
        <w:rPr>
          <w:rFonts w:ascii="Arial Black" w:hAnsi="Arial Black"/>
          <w:b/>
          <w:bCs/>
          <w:sz w:val="24"/>
          <w:szCs w:val="24"/>
        </w:rPr>
      </w:pPr>
      <w:bookmarkStart w:id="165" w:name="_Hlk7341624"/>
      <w:r w:rsidRPr="004445C3">
        <w:rPr>
          <w:rFonts w:ascii="Arial Black" w:hAnsi="Arial Black"/>
          <w:b/>
          <w:bCs/>
          <w:sz w:val="28"/>
          <w:szCs w:val="28"/>
        </w:rPr>
        <w:t xml:space="preserve">NY: </w:t>
      </w:r>
      <w:r>
        <w:rPr>
          <w:rFonts w:ascii="Arial Black" w:hAnsi="Arial Black"/>
          <w:b/>
          <w:bCs/>
          <w:sz w:val="28"/>
          <w:szCs w:val="28"/>
        </w:rPr>
        <w:t>JUVENILE TERRORIST – CAN’T DEPORT, BECAME U.S. CITIZEN WHEN FATHER BECAME CITIZEN</w:t>
      </w:r>
    </w:p>
    <w:p w14:paraId="525C53BE"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Sept. 13, 2018, in </w:t>
      </w:r>
      <w:r w:rsidRPr="0036327D">
        <w:rPr>
          <w:rFonts w:ascii="Times New Roman" w:eastAsia="Times New Roman" w:hAnsi="Times New Roman"/>
          <w:sz w:val="24"/>
          <w:szCs w:val="24"/>
          <w:u w:val="single"/>
        </w:rPr>
        <w:t>Mohammed Khalid v. Jefferson Sessions, U.S. Attorney General</w:t>
      </w:r>
      <w:r w:rsidRPr="0036327D">
        <w:rPr>
          <w:rFonts w:ascii="Times New Roman" w:eastAsia="Times New Roman" w:hAnsi="Times New Roman"/>
          <w:sz w:val="24"/>
          <w:szCs w:val="24"/>
        </w:rPr>
        <w:t xml:space="preserve">, the U.S. Court of Appeals for Second Circuit [N.Y.], held (3 to 0): “We hold that the short, temporary physical separation caused by Khalid’s time in federal pretrial juvenile detention did not strip Khalid’s father of his ‘physical custody’ of Khalid as that term is used in 8 U.S.C. §1431(a), and that consequently, Khalid is a U.S. citizen. </w:t>
      </w:r>
      <w:hyperlink r:id="rId803" w:history="1">
        <w:r w:rsidRPr="0036327D">
          <w:rPr>
            <w:rStyle w:val="Hyperlink"/>
            <w:rFonts w:ascii="Times New Roman" w:hAnsi="Times New Roman"/>
            <w:sz w:val="24"/>
            <w:szCs w:val="24"/>
          </w:rPr>
          <w:t>https://ij.org/wp-content/uploads/2018/09/16-3480_complete_opn.pdf</w:t>
        </w:r>
      </w:hyperlink>
      <w:r w:rsidRPr="0036327D">
        <w:rPr>
          <w:rFonts w:ascii="Times New Roman" w:eastAsia="Times New Roman" w:hAnsi="Times New Roman"/>
          <w:sz w:val="24"/>
          <w:szCs w:val="24"/>
        </w:rPr>
        <w:t xml:space="preserve"> </w:t>
      </w:r>
    </w:p>
    <w:p w14:paraId="3B058AF2"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Citizenship is a great privilege.  Congress needs to consider revising the Immigration laws so that those convicted of terrorism are not automatically granted citizenship when their parent becomes a citizen. </w:t>
      </w:r>
    </w:p>
    <w:p w14:paraId="5EB04778" w14:textId="77777777"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See article, “</w:t>
      </w:r>
      <w:r w:rsidRPr="0036327D">
        <w:rPr>
          <w:rFonts w:ascii="Times New Roman" w:hAnsi="Times New Roman"/>
          <w:sz w:val="24"/>
          <w:szCs w:val="24"/>
        </w:rPr>
        <w:t xml:space="preserve">Mohammad Hassan Khalid given five years in jail for his part in jihadist plot,” Khalid, the youngest person at 15 to be prosecuted for terrorism in the US, found guilty of involvement in conspiracy by 'Jihad Jane' to kill Swedish artist.  Khalid, a Pakistani migrant living in Maryland, was 15 years old when he first began chatting on the internet with Colleen LaRose, the Philadelphia housewife who called herself “Jihad Jane”. LaRose, who is serving a 10-year prison sentence for her part in the conspiracy, drew him into a plan to kill the Swedish artist Lars Vilks, who had drawn the head of the prophet Muhammad on the body of a dog. </w:t>
      </w:r>
      <w:hyperlink r:id="rId804" w:history="1">
        <w:r w:rsidRPr="0036327D">
          <w:rPr>
            <w:rStyle w:val="Hyperlink"/>
            <w:rFonts w:ascii="Times New Roman" w:hAnsi="Times New Roman"/>
            <w:sz w:val="24"/>
            <w:szCs w:val="24"/>
          </w:rPr>
          <w:t>https://www.theguardian.com/world/2014/apr/17/mohammad-hassan-khalid-sentence-five-years-jail-jihad-jane-plot</w:t>
        </w:r>
      </w:hyperlink>
      <w:r w:rsidRPr="0036327D">
        <w:rPr>
          <w:rFonts w:ascii="Times New Roman" w:hAnsi="Times New Roman"/>
          <w:sz w:val="24"/>
          <w:szCs w:val="24"/>
        </w:rPr>
        <w:t xml:space="preserve"> </w:t>
      </w:r>
    </w:p>
    <w:bookmarkEnd w:id="165"/>
    <w:p w14:paraId="26F2E2C0" w14:textId="75AFD2C1" w:rsidR="00EF1133" w:rsidRPr="00EF1133" w:rsidRDefault="00EF1133" w:rsidP="00EF1133">
      <w:pPr>
        <w:rPr>
          <w:rFonts w:ascii="Arial Black" w:hAnsi="Arial Black"/>
          <w:color w:val="4A4A4A"/>
          <w:sz w:val="24"/>
          <w:szCs w:val="24"/>
          <w:lang w:val="en"/>
        </w:rPr>
      </w:pPr>
      <w:r w:rsidRPr="00EF1133">
        <w:rPr>
          <w:rFonts w:ascii="Arial Black" w:hAnsi="Arial Black"/>
          <w:color w:val="4A4A4A"/>
          <w:sz w:val="24"/>
          <w:szCs w:val="24"/>
          <w:lang w:val="en"/>
        </w:rPr>
        <w:t>3-</w:t>
      </w:r>
      <w:r w:rsidR="00A247E4">
        <w:rPr>
          <w:rFonts w:ascii="Arial Black" w:hAnsi="Arial Black"/>
          <w:color w:val="4A4A4A"/>
          <w:sz w:val="24"/>
          <w:szCs w:val="24"/>
          <w:lang w:val="en"/>
        </w:rPr>
        <w:t>7</w:t>
      </w:r>
    </w:p>
    <w:p w14:paraId="019BB327" w14:textId="69AE6033" w:rsidR="00F326E5" w:rsidRPr="004445C3" w:rsidRDefault="00F326E5" w:rsidP="00F326E5">
      <w:pPr>
        <w:pStyle w:val="NoSpacing"/>
        <w:rPr>
          <w:rFonts w:ascii="Arial Black" w:hAnsi="Arial Black"/>
          <w:b/>
          <w:sz w:val="28"/>
          <w:szCs w:val="28"/>
        </w:rPr>
      </w:pPr>
      <w:bookmarkStart w:id="166" w:name="_Hlk7341723"/>
      <w:r w:rsidRPr="004445C3">
        <w:rPr>
          <w:rFonts w:ascii="Arial Black" w:hAnsi="Arial Black"/>
          <w:b/>
          <w:sz w:val="28"/>
          <w:szCs w:val="28"/>
        </w:rPr>
        <w:lastRenderedPageBreak/>
        <w:t>U.S. S</w:t>
      </w:r>
      <w:r>
        <w:rPr>
          <w:rFonts w:ascii="Arial Black" w:hAnsi="Arial Black"/>
          <w:b/>
          <w:sz w:val="28"/>
          <w:szCs w:val="28"/>
        </w:rPr>
        <w:t xml:space="preserve">UPREME COURT: PRESIDENT TRUMP’S “TRAVEL BAN” ON 8 NATIONS LAWFUL </w:t>
      </w:r>
    </w:p>
    <w:p w14:paraId="4D348741" w14:textId="77777777" w:rsidR="00F326E5" w:rsidRPr="0036327D" w:rsidRDefault="00F326E5" w:rsidP="00F326E5">
      <w:pPr>
        <w:rPr>
          <w:rFonts w:ascii="Times New Roman" w:eastAsia="Times New Roman" w:hAnsi="Times New Roman"/>
          <w:b/>
          <w:sz w:val="24"/>
          <w:szCs w:val="24"/>
        </w:rPr>
      </w:pPr>
      <w:r w:rsidRPr="0036327D">
        <w:rPr>
          <w:rFonts w:ascii="Times New Roman" w:hAnsi="Times New Roman"/>
          <w:sz w:val="24"/>
          <w:szCs w:val="24"/>
        </w:rPr>
        <w:t xml:space="preserve">On June 26, 2018, in </w:t>
      </w:r>
      <w:r w:rsidRPr="0036327D">
        <w:rPr>
          <w:rFonts w:ascii="Times New Roman" w:hAnsi="Times New Roman"/>
          <w:sz w:val="24"/>
          <w:szCs w:val="24"/>
          <w:u w:val="single"/>
        </w:rPr>
        <w:t>Trump, President Of The United States v. Hawaii, et al</w:t>
      </w:r>
      <w:r w:rsidRPr="0036327D">
        <w:rPr>
          <w:rFonts w:ascii="Times New Roman" w:hAnsi="Times New Roman"/>
          <w:sz w:val="24"/>
          <w:szCs w:val="24"/>
        </w:rPr>
        <w:t xml:space="preserve">., the U.S. Supreme Court (5 to 4), in decision by Chief Justice Roberts, held that President has the authority under federal statutes to ban travel to USA of citizens from 8 countries with weak travel clearance processes: </w:t>
      </w:r>
      <w:r w:rsidRPr="0036327D">
        <w:rPr>
          <w:rFonts w:ascii="Times New Roman" w:eastAsia="Times New Roman" w:hAnsi="Times New Roman"/>
          <w:sz w:val="24"/>
          <w:szCs w:val="24"/>
        </w:rPr>
        <w:t>Chad, Iran, Iraq, Libya, North Korea, Syria, Venezuela, and Yemen.</w:t>
      </w:r>
    </w:p>
    <w:p w14:paraId="6CABAD81" w14:textId="1BDB3AFA" w:rsidR="00F326E5" w:rsidRPr="0036327D" w:rsidRDefault="00F326E5" w:rsidP="00F326E5">
      <w:pPr>
        <w:ind w:left="720"/>
        <w:rPr>
          <w:rFonts w:ascii="Times New Roman" w:eastAsia="Times New Roman" w:hAnsi="Times New Roman"/>
          <w:sz w:val="24"/>
          <w:szCs w:val="24"/>
          <w:u w:val="single"/>
        </w:rPr>
      </w:pPr>
      <w:r w:rsidRPr="0036327D">
        <w:rPr>
          <w:rFonts w:ascii="Times New Roman" w:eastAsia="Times New Roman" w:hAnsi="Times New Roman"/>
          <w:b/>
          <w:sz w:val="24"/>
          <w:szCs w:val="24"/>
        </w:rPr>
        <w:t>“</w:t>
      </w:r>
      <w:r w:rsidRPr="0036327D">
        <w:rPr>
          <w:rFonts w:ascii="Times New Roman" w:eastAsia="Times New Roman" w:hAnsi="Times New Roman"/>
          <w:sz w:val="24"/>
          <w:szCs w:val="24"/>
        </w:rPr>
        <w:t xml:space="preserve">By its plain language, §1182(f) grants the President broad discretion to suspend the entry of aliens into the United States. The President lawfully exercised that discretion based on his findings—following a worldwide, multi-agency review—that entry of the covered aliens would be detrimental to the national interest. And plaintiffs’ attempts to identify a conflict with other provisions in the INA, and their appeal to the statute’s purposes and legislative history, fail to overcome the clear statutory </w:t>
      </w:r>
      <w:proofErr w:type="gramStart"/>
      <w:r w:rsidRPr="0036327D">
        <w:rPr>
          <w:rFonts w:ascii="Times New Roman" w:eastAsia="Times New Roman" w:hAnsi="Times New Roman"/>
          <w:sz w:val="24"/>
          <w:szCs w:val="24"/>
        </w:rPr>
        <w:t>language.”</w:t>
      </w:r>
      <w:proofErr w:type="gramEnd"/>
      <w:r w:rsidR="009C4A80">
        <w:rPr>
          <w:rFonts w:ascii="Times New Roman" w:eastAsia="Times New Roman" w:hAnsi="Times New Roman"/>
          <w:sz w:val="24"/>
          <w:szCs w:val="24"/>
        </w:rPr>
        <w:t xml:space="preserve"> </w:t>
      </w:r>
      <w:hyperlink r:id="rId805" w:history="1">
        <w:r w:rsidRPr="0036327D">
          <w:rPr>
            <w:rStyle w:val="Hyperlink"/>
            <w:rFonts w:ascii="Times New Roman" w:hAnsi="Times New Roman"/>
            <w:sz w:val="24"/>
            <w:szCs w:val="24"/>
          </w:rPr>
          <w:t>https://www.supremecourt.gov/opinions/17pdf/17-965_h315.pdf</w:t>
        </w:r>
      </w:hyperlink>
      <w:r w:rsidRPr="0036327D">
        <w:rPr>
          <w:rFonts w:ascii="Times New Roman" w:eastAsia="Times New Roman" w:hAnsi="Times New Roman"/>
          <w:sz w:val="24"/>
          <w:szCs w:val="24"/>
          <w:u w:val="single"/>
        </w:rPr>
        <w:t xml:space="preserve"> </w:t>
      </w:r>
    </w:p>
    <w:p w14:paraId="112C2E5E"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Legal Lessons Learned:  The Congress has granted President great powers to protect our national security.</w:t>
      </w:r>
    </w:p>
    <w:bookmarkEnd w:id="166"/>
    <w:p w14:paraId="0AD9C211" w14:textId="11FA162C" w:rsidR="007A61C9" w:rsidRDefault="007A61C9" w:rsidP="00F326E5">
      <w:pPr>
        <w:rPr>
          <w:rFonts w:ascii="Arial Black" w:hAnsi="Arial Black"/>
          <w:color w:val="4A4A4A"/>
          <w:sz w:val="24"/>
          <w:szCs w:val="24"/>
          <w:lang w:val="en"/>
        </w:rPr>
      </w:pPr>
      <w:r>
        <w:rPr>
          <w:rFonts w:ascii="Arial Black" w:hAnsi="Arial Black"/>
          <w:color w:val="4A4A4A"/>
          <w:sz w:val="24"/>
          <w:szCs w:val="24"/>
          <w:lang w:val="en"/>
        </w:rPr>
        <w:t>3-6</w:t>
      </w:r>
    </w:p>
    <w:p w14:paraId="68C80CA1" w14:textId="58FC1CFB" w:rsidR="007A61C9" w:rsidRPr="007A61C9" w:rsidRDefault="007A61C9" w:rsidP="007A61C9">
      <w:pPr>
        <w:pStyle w:val="NoSpacing"/>
        <w:rPr>
          <w:rFonts w:ascii="Arial Black" w:hAnsi="Arial Black"/>
          <w:sz w:val="28"/>
          <w:szCs w:val="28"/>
        </w:rPr>
      </w:pPr>
      <w:r w:rsidRPr="007A61C9">
        <w:rPr>
          <w:rFonts w:ascii="Arial Black" w:hAnsi="Arial Black"/>
          <w:sz w:val="28"/>
          <w:szCs w:val="28"/>
        </w:rPr>
        <w:t xml:space="preserve">U.S. SUPREME COURT </w:t>
      </w:r>
      <w:r>
        <w:rPr>
          <w:rFonts w:ascii="Arial Black" w:hAnsi="Arial Black"/>
          <w:sz w:val="28"/>
          <w:szCs w:val="28"/>
        </w:rPr>
        <w:t>–</w:t>
      </w:r>
      <w:r w:rsidRPr="007A61C9">
        <w:rPr>
          <w:rFonts w:ascii="Arial Black" w:hAnsi="Arial Black"/>
          <w:sz w:val="28"/>
          <w:szCs w:val="28"/>
        </w:rPr>
        <w:t xml:space="preserve"> </w:t>
      </w:r>
      <w:r>
        <w:rPr>
          <w:rFonts w:ascii="Arial Black" w:hAnsi="Arial Black"/>
          <w:sz w:val="28"/>
          <w:szCs w:val="28"/>
        </w:rPr>
        <w:t xml:space="preserve">TO </w:t>
      </w:r>
      <w:r w:rsidR="00E63D2F">
        <w:rPr>
          <w:rFonts w:ascii="Arial Black" w:hAnsi="Arial Black"/>
          <w:sz w:val="28"/>
          <w:szCs w:val="28"/>
        </w:rPr>
        <w:t>OBTAIN CELL PHONE DATA ON SUSPECT, NEED “PROBABLE CAUSE” – EXCEPTION FOR EMERGENCIES</w:t>
      </w:r>
    </w:p>
    <w:p w14:paraId="3613110F" w14:textId="77777777" w:rsidR="00E63D2F" w:rsidRDefault="00E63D2F" w:rsidP="007A61C9">
      <w:pPr>
        <w:pStyle w:val="NoSpacing"/>
        <w:rPr>
          <w:rFonts w:ascii="Times New Roman" w:hAnsi="Times New Roman"/>
          <w:sz w:val="24"/>
          <w:szCs w:val="24"/>
        </w:rPr>
      </w:pPr>
    </w:p>
    <w:p w14:paraId="641226D1" w14:textId="6DD97E8B" w:rsidR="007A61C9" w:rsidRPr="00563EC5" w:rsidRDefault="00E63D2F" w:rsidP="007A61C9">
      <w:pPr>
        <w:pStyle w:val="NoSpacing"/>
        <w:rPr>
          <w:rFonts w:ascii="Times New Roman" w:hAnsi="Times New Roman"/>
          <w:sz w:val="24"/>
          <w:szCs w:val="24"/>
        </w:rPr>
      </w:pPr>
      <w:r>
        <w:rPr>
          <w:rFonts w:ascii="Times New Roman" w:hAnsi="Times New Roman"/>
          <w:sz w:val="24"/>
          <w:szCs w:val="24"/>
        </w:rPr>
        <w:t xml:space="preserve">On June 22, 2018, in </w:t>
      </w:r>
      <w:r w:rsidRPr="00E63D2F">
        <w:rPr>
          <w:rFonts w:ascii="Times New Roman" w:hAnsi="Times New Roman"/>
          <w:sz w:val="24"/>
          <w:szCs w:val="24"/>
          <w:u w:val="single"/>
        </w:rPr>
        <w:t>Timothy Carpenter v. United States</w:t>
      </w:r>
      <w:r>
        <w:rPr>
          <w:rFonts w:ascii="Times New Roman" w:hAnsi="Times New Roman"/>
          <w:sz w:val="24"/>
          <w:szCs w:val="24"/>
        </w:rPr>
        <w:t xml:space="preserve">, the U.S. Supreme Court (5 to 4) held that </w:t>
      </w:r>
      <w:r w:rsidR="00563EC5">
        <w:rPr>
          <w:rFonts w:ascii="Times New Roman" w:hAnsi="Times New Roman"/>
          <w:sz w:val="24"/>
          <w:szCs w:val="24"/>
        </w:rPr>
        <w:t xml:space="preserve">a </w:t>
      </w:r>
      <w:r>
        <w:rPr>
          <w:rFonts w:ascii="Times New Roman" w:hAnsi="Times New Roman"/>
          <w:sz w:val="24"/>
          <w:szCs w:val="24"/>
        </w:rPr>
        <w:t>U.S. Magistrate improperly issued a</w:t>
      </w:r>
      <w:r w:rsidR="00563EC5">
        <w:rPr>
          <w:rFonts w:ascii="Times New Roman" w:hAnsi="Times New Roman"/>
          <w:sz w:val="24"/>
          <w:szCs w:val="24"/>
        </w:rPr>
        <w:t xml:space="preserve">n order to two cell phone companies under the </w:t>
      </w:r>
      <w:r w:rsidR="00563EC5" w:rsidRPr="007A61C9">
        <w:rPr>
          <w:rFonts w:ascii="Times New Roman" w:hAnsi="Times New Roman"/>
          <w:sz w:val="24"/>
          <w:szCs w:val="24"/>
        </w:rPr>
        <w:t>Stored Communications Act</w:t>
      </w:r>
      <w:r w:rsidR="00563EC5">
        <w:rPr>
          <w:rFonts w:ascii="Times New Roman" w:hAnsi="Times New Roman"/>
          <w:sz w:val="24"/>
          <w:szCs w:val="24"/>
        </w:rPr>
        <w:t>;</w:t>
      </w:r>
      <w:r>
        <w:rPr>
          <w:rFonts w:ascii="Times New Roman" w:hAnsi="Times New Roman"/>
          <w:sz w:val="24"/>
          <w:szCs w:val="24"/>
        </w:rPr>
        <w:t xml:space="preserve"> </w:t>
      </w:r>
      <w:r w:rsidR="00563EC5">
        <w:rPr>
          <w:rFonts w:ascii="Times New Roman" w:hAnsi="Times New Roman"/>
          <w:sz w:val="24"/>
          <w:szCs w:val="24"/>
        </w:rPr>
        <w:t xml:space="preserve">the FBI was investigating a series of armed robberies in Michigan and Ohio, and </w:t>
      </w:r>
      <w:r w:rsidR="00EC7466">
        <w:rPr>
          <w:rFonts w:ascii="Times New Roman" w:hAnsi="Times New Roman"/>
          <w:sz w:val="24"/>
          <w:szCs w:val="24"/>
        </w:rPr>
        <w:t>obtained 127 days of</w:t>
      </w:r>
      <w:r w:rsidR="00563EC5">
        <w:rPr>
          <w:rFonts w:ascii="Times New Roman" w:hAnsi="Times New Roman"/>
          <w:sz w:val="24"/>
          <w:szCs w:val="24"/>
        </w:rPr>
        <w:t xml:space="preserve"> cell-site location information (C</w:t>
      </w:r>
      <w:r w:rsidR="00EC7466">
        <w:rPr>
          <w:rFonts w:ascii="Times New Roman" w:hAnsi="Times New Roman"/>
          <w:sz w:val="24"/>
          <w:szCs w:val="24"/>
        </w:rPr>
        <w:t xml:space="preserve">SLI) </w:t>
      </w:r>
      <w:r w:rsidR="00563EC5">
        <w:rPr>
          <w:rFonts w:ascii="Times New Roman" w:hAnsi="Times New Roman"/>
          <w:sz w:val="24"/>
          <w:szCs w:val="24"/>
        </w:rPr>
        <w:t xml:space="preserve">on the lead suspect.  </w:t>
      </w:r>
      <w:r w:rsidR="00EC7466">
        <w:rPr>
          <w:rFonts w:ascii="Times New Roman" w:hAnsi="Times New Roman"/>
          <w:sz w:val="24"/>
          <w:szCs w:val="24"/>
        </w:rPr>
        <w:t xml:space="preserve">Court majority held that the FBI agents should have sought a search warrant, which </w:t>
      </w:r>
      <w:proofErr w:type="gramStart"/>
      <w:r w:rsidR="00EC7466">
        <w:rPr>
          <w:rFonts w:ascii="Times New Roman" w:hAnsi="Times New Roman"/>
          <w:sz w:val="24"/>
          <w:szCs w:val="24"/>
        </w:rPr>
        <w:t>have required</w:t>
      </w:r>
      <w:proofErr w:type="gramEnd"/>
      <w:r w:rsidR="00EC7466">
        <w:rPr>
          <w:rFonts w:ascii="Times New Roman" w:hAnsi="Times New Roman"/>
          <w:sz w:val="24"/>
          <w:szCs w:val="24"/>
        </w:rPr>
        <w:t xml:space="preserve"> an affidavit showing probable cause. “</w:t>
      </w:r>
      <w:r w:rsidR="00EC7466" w:rsidRPr="00EC7466">
        <w:rPr>
          <w:rFonts w:ascii="Times New Roman" w:hAnsi="Times New Roman"/>
          <w:sz w:val="24"/>
          <w:szCs w:val="24"/>
        </w:rPr>
        <w:t>Having found that the acquisition of Carpenter’s CSLI</w:t>
      </w:r>
      <w:r w:rsidR="00EC7466">
        <w:rPr>
          <w:rFonts w:ascii="Times New Roman" w:hAnsi="Times New Roman"/>
          <w:sz w:val="24"/>
          <w:szCs w:val="24"/>
        </w:rPr>
        <w:t xml:space="preserve"> </w:t>
      </w:r>
      <w:r w:rsidR="00EC7466" w:rsidRPr="00EC7466">
        <w:rPr>
          <w:rFonts w:ascii="Times New Roman" w:hAnsi="Times New Roman"/>
          <w:sz w:val="24"/>
          <w:szCs w:val="24"/>
        </w:rPr>
        <w:t>was a search, we also conclude that the Government must generally obtain a warrant supported by probable cause before acquiring such records.</w:t>
      </w:r>
      <w:r w:rsidR="00EC7466">
        <w:rPr>
          <w:rFonts w:ascii="Times New Roman" w:hAnsi="Times New Roman"/>
          <w:sz w:val="24"/>
          <w:szCs w:val="24"/>
        </w:rPr>
        <w:t xml:space="preserve">” </w:t>
      </w:r>
      <w:r w:rsidR="00563EC5" w:rsidRPr="00563EC5">
        <w:rPr>
          <w:rFonts w:ascii="Times New Roman" w:hAnsi="Times New Roman"/>
          <w:sz w:val="24"/>
          <w:szCs w:val="24"/>
        </w:rPr>
        <w:t>Carpenter was convicted on all</w:t>
      </w:r>
      <w:r w:rsidR="00563EC5">
        <w:rPr>
          <w:rFonts w:ascii="Times New Roman" w:hAnsi="Times New Roman"/>
          <w:sz w:val="24"/>
          <w:szCs w:val="24"/>
        </w:rPr>
        <w:t xml:space="preserve"> </w:t>
      </w:r>
      <w:r w:rsidR="00563EC5" w:rsidRPr="00563EC5">
        <w:rPr>
          <w:rFonts w:ascii="Times New Roman" w:hAnsi="Times New Roman"/>
          <w:sz w:val="24"/>
          <w:szCs w:val="24"/>
        </w:rPr>
        <w:t xml:space="preserve">but one of the </w:t>
      </w:r>
      <w:proofErr w:type="gramStart"/>
      <w:r w:rsidR="00563EC5" w:rsidRPr="00563EC5">
        <w:rPr>
          <w:rFonts w:ascii="Times New Roman" w:hAnsi="Times New Roman"/>
          <w:sz w:val="24"/>
          <w:szCs w:val="24"/>
        </w:rPr>
        <w:t>firearm</w:t>
      </w:r>
      <w:proofErr w:type="gramEnd"/>
      <w:r w:rsidR="00563EC5" w:rsidRPr="00563EC5">
        <w:rPr>
          <w:rFonts w:ascii="Times New Roman" w:hAnsi="Times New Roman"/>
          <w:sz w:val="24"/>
          <w:szCs w:val="24"/>
        </w:rPr>
        <w:t xml:space="preserve"> counts and sentenced to more than 100 years in prison.</w:t>
      </w:r>
      <w:r w:rsidR="00563EC5">
        <w:rPr>
          <w:rFonts w:ascii="Times New Roman" w:hAnsi="Times New Roman"/>
          <w:sz w:val="24"/>
          <w:szCs w:val="24"/>
        </w:rPr>
        <w:t xml:space="preserve"> [Conviction reversed.]</w:t>
      </w:r>
    </w:p>
    <w:p w14:paraId="5D123938" w14:textId="1F29F6C8" w:rsidR="00E63D2F" w:rsidRDefault="00E63D2F" w:rsidP="007A61C9">
      <w:pPr>
        <w:pStyle w:val="NoSpacing"/>
        <w:rPr>
          <w:rFonts w:ascii="Times New Roman" w:hAnsi="Times New Roman"/>
          <w:sz w:val="24"/>
          <w:szCs w:val="24"/>
        </w:rPr>
      </w:pPr>
    </w:p>
    <w:p w14:paraId="27ED1D8A" w14:textId="77777777" w:rsidR="00E63D2F" w:rsidRDefault="00E63D2F" w:rsidP="007A61C9">
      <w:pPr>
        <w:pStyle w:val="NoSpacing"/>
        <w:rPr>
          <w:rFonts w:ascii="Times New Roman" w:hAnsi="Times New Roman"/>
          <w:sz w:val="24"/>
          <w:szCs w:val="24"/>
        </w:rPr>
      </w:pPr>
    </w:p>
    <w:p w14:paraId="3AEFB889" w14:textId="540EAD2A" w:rsidR="00563EC5" w:rsidRPr="00563EC5" w:rsidRDefault="00E63D2F" w:rsidP="00E63D2F">
      <w:pPr>
        <w:pStyle w:val="NoSpacing"/>
        <w:ind w:left="720"/>
        <w:rPr>
          <w:rFonts w:ascii="Times New Roman" w:hAnsi="Times New Roman"/>
          <w:sz w:val="24"/>
          <w:szCs w:val="24"/>
        </w:rPr>
      </w:pPr>
      <w:r>
        <w:rPr>
          <w:rFonts w:ascii="Times New Roman" w:hAnsi="Times New Roman"/>
          <w:sz w:val="24"/>
          <w:szCs w:val="24"/>
        </w:rPr>
        <w:t>“</w:t>
      </w:r>
      <w:r w:rsidR="007A61C9" w:rsidRPr="007A61C9">
        <w:rPr>
          <w:rFonts w:ascii="Times New Roman" w:hAnsi="Times New Roman"/>
          <w:sz w:val="24"/>
          <w:szCs w:val="24"/>
        </w:rPr>
        <w:t>In 2011, police officers arrested four men suspected of</w:t>
      </w:r>
      <w:r>
        <w:rPr>
          <w:rFonts w:ascii="Times New Roman" w:hAnsi="Times New Roman"/>
          <w:sz w:val="24"/>
          <w:szCs w:val="24"/>
        </w:rPr>
        <w:t xml:space="preserve"> </w:t>
      </w:r>
      <w:r w:rsidR="007A61C9" w:rsidRPr="007A61C9">
        <w:rPr>
          <w:rFonts w:ascii="Times New Roman" w:hAnsi="Times New Roman"/>
          <w:sz w:val="24"/>
          <w:szCs w:val="24"/>
        </w:rPr>
        <w:t>robbing a series of Radio Shack and (ironically enough) T-Mobile stores in Detroit. One of the men confessed that, over the previous four months, the group (along with a rotating cast of getaway drivers and lookouts) had robbed</w:t>
      </w:r>
      <w:r>
        <w:rPr>
          <w:rFonts w:ascii="Times New Roman" w:hAnsi="Times New Roman"/>
          <w:sz w:val="24"/>
          <w:szCs w:val="24"/>
        </w:rPr>
        <w:t xml:space="preserve"> </w:t>
      </w:r>
      <w:r w:rsidR="007A61C9" w:rsidRPr="007A61C9">
        <w:rPr>
          <w:rFonts w:ascii="Times New Roman" w:hAnsi="Times New Roman"/>
          <w:sz w:val="24"/>
          <w:szCs w:val="24"/>
        </w:rPr>
        <w:t>nine different stores in Michigan and Ohio. The suspect</w:t>
      </w:r>
      <w:r>
        <w:rPr>
          <w:rFonts w:ascii="Times New Roman" w:hAnsi="Times New Roman"/>
          <w:sz w:val="24"/>
          <w:szCs w:val="24"/>
        </w:rPr>
        <w:t xml:space="preserve"> </w:t>
      </w:r>
      <w:r w:rsidR="007A61C9" w:rsidRPr="007A61C9">
        <w:rPr>
          <w:rFonts w:ascii="Times New Roman" w:hAnsi="Times New Roman"/>
          <w:sz w:val="24"/>
          <w:szCs w:val="24"/>
        </w:rPr>
        <w:t>identified 15 accomplices who had participated in the heists and gave the FBI some of their cell phone numbers;</w:t>
      </w:r>
      <w:r>
        <w:rPr>
          <w:rFonts w:ascii="Times New Roman" w:hAnsi="Times New Roman"/>
          <w:sz w:val="24"/>
          <w:szCs w:val="24"/>
        </w:rPr>
        <w:t xml:space="preserve"> </w:t>
      </w:r>
      <w:r w:rsidR="007A61C9" w:rsidRPr="007A61C9">
        <w:rPr>
          <w:rFonts w:ascii="Times New Roman" w:hAnsi="Times New Roman"/>
          <w:sz w:val="24"/>
          <w:szCs w:val="24"/>
        </w:rPr>
        <w:t>the FBI then reviewed his call records to identify additional numbers that he had called around the time of the robberies. *** Federal Magistrate Judges issued two</w:t>
      </w:r>
      <w:r>
        <w:rPr>
          <w:rFonts w:ascii="Times New Roman" w:hAnsi="Times New Roman"/>
          <w:sz w:val="24"/>
          <w:szCs w:val="24"/>
        </w:rPr>
        <w:t xml:space="preserve"> </w:t>
      </w:r>
      <w:r w:rsidR="007A61C9" w:rsidRPr="007A61C9">
        <w:rPr>
          <w:rFonts w:ascii="Times New Roman" w:hAnsi="Times New Roman"/>
          <w:sz w:val="24"/>
          <w:szCs w:val="24"/>
        </w:rPr>
        <w:t>orders directing Carpenter’s wireless carriers—Metro</w:t>
      </w:r>
      <w:r w:rsidR="00563EC5">
        <w:rPr>
          <w:rFonts w:ascii="Times New Roman" w:hAnsi="Times New Roman"/>
          <w:sz w:val="24"/>
          <w:szCs w:val="24"/>
        </w:rPr>
        <w:t xml:space="preserve"> </w:t>
      </w:r>
      <w:r w:rsidR="007A61C9" w:rsidRPr="007A61C9">
        <w:rPr>
          <w:rFonts w:ascii="Times New Roman" w:hAnsi="Times New Roman"/>
          <w:sz w:val="24"/>
          <w:szCs w:val="24"/>
        </w:rPr>
        <w:t>PCS</w:t>
      </w:r>
      <w:r w:rsidR="00563EC5">
        <w:rPr>
          <w:rFonts w:ascii="Times New Roman" w:hAnsi="Times New Roman"/>
          <w:sz w:val="24"/>
          <w:szCs w:val="24"/>
        </w:rPr>
        <w:t xml:space="preserve"> </w:t>
      </w:r>
      <w:r w:rsidR="007A61C9" w:rsidRPr="007A61C9">
        <w:rPr>
          <w:rFonts w:ascii="Times New Roman" w:hAnsi="Times New Roman"/>
          <w:sz w:val="24"/>
          <w:szCs w:val="24"/>
        </w:rPr>
        <w:t xml:space="preserve">and Sprint—to disclose </w:t>
      </w:r>
      <w:r w:rsidR="00563EC5">
        <w:rPr>
          <w:rFonts w:ascii="Times New Roman" w:hAnsi="Times New Roman"/>
          <w:sz w:val="24"/>
          <w:szCs w:val="24"/>
        </w:rPr>
        <w:t>‘</w:t>
      </w:r>
      <w:r w:rsidR="007A61C9" w:rsidRPr="007A61C9">
        <w:rPr>
          <w:rFonts w:ascii="Times New Roman" w:hAnsi="Times New Roman"/>
          <w:sz w:val="24"/>
          <w:szCs w:val="24"/>
        </w:rPr>
        <w:t>cell/site sector [information] for [Carpenter’s] telephone[ ] at call origination and at call</w:t>
      </w:r>
      <w:r w:rsidR="00563EC5">
        <w:rPr>
          <w:rFonts w:ascii="Times New Roman" w:hAnsi="Times New Roman"/>
          <w:sz w:val="24"/>
          <w:szCs w:val="24"/>
        </w:rPr>
        <w:t xml:space="preserve"> </w:t>
      </w:r>
      <w:r w:rsidR="007A61C9" w:rsidRPr="007A61C9">
        <w:rPr>
          <w:rFonts w:ascii="Times New Roman" w:hAnsi="Times New Roman"/>
          <w:sz w:val="24"/>
          <w:szCs w:val="24"/>
        </w:rPr>
        <w:t>termination for incoming and outgoing calls</w:t>
      </w:r>
      <w:r w:rsidR="00563EC5">
        <w:rPr>
          <w:rFonts w:ascii="Times New Roman" w:hAnsi="Times New Roman"/>
          <w:sz w:val="24"/>
          <w:szCs w:val="24"/>
        </w:rPr>
        <w:t>’</w:t>
      </w:r>
      <w:r w:rsidR="007A61C9" w:rsidRPr="007A61C9">
        <w:rPr>
          <w:rFonts w:ascii="Times New Roman" w:hAnsi="Times New Roman"/>
          <w:sz w:val="24"/>
          <w:szCs w:val="24"/>
        </w:rPr>
        <w:t xml:space="preserve"> during the</w:t>
      </w:r>
      <w:r w:rsidR="00563EC5">
        <w:rPr>
          <w:rFonts w:ascii="Times New Roman" w:hAnsi="Times New Roman"/>
          <w:sz w:val="24"/>
          <w:szCs w:val="24"/>
        </w:rPr>
        <w:t xml:space="preserve"> </w:t>
      </w:r>
      <w:r w:rsidR="007A61C9" w:rsidRPr="007A61C9">
        <w:rPr>
          <w:rFonts w:ascii="Times New Roman" w:hAnsi="Times New Roman"/>
          <w:sz w:val="24"/>
          <w:szCs w:val="24"/>
        </w:rPr>
        <w:t>four-month period when the string of robberies occurred</w:t>
      </w:r>
      <w:r w:rsidR="00563EC5">
        <w:rPr>
          <w:rFonts w:ascii="Times New Roman" w:hAnsi="Times New Roman"/>
          <w:sz w:val="24"/>
          <w:szCs w:val="24"/>
        </w:rPr>
        <w:t xml:space="preserve">…. </w:t>
      </w:r>
      <w:r w:rsidR="007A61C9" w:rsidRPr="007A61C9">
        <w:rPr>
          <w:rFonts w:ascii="Times New Roman" w:hAnsi="Times New Roman"/>
          <w:sz w:val="24"/>
          <w:szCs w:val="24"/>
        </w:rPr>
        <w:t>The first order sought 152days of cell-site records from MetroPCS, which produced</w:t>
      </w:r>
      <w:r w:rsidR="00563EC5">
        <w:rPr>
          <w:rFonts w:ascii="Times New Roman" w:hAnsi="Times New Roman"/>
          <w:sz w:val="24"/>
          <w:szCs w:val="24"/>
        </w:rPr>
        <w:t xml:space="preserve"> </w:t>
      </w:r>
      <w:r w:rsidR="007A61C9" w:rsidRPr="007A61C9">
        <w:rPr>
          <w:rFonts w:ascii="Times New Roman" w:hAnsi="Times New Roman"/>
          <w:sz w:val="24"/>
          <w:szCs w:val="24"/>
        </w:rPr>
        <w:t>records spanning 127 days. The second order requested seven days of CSLI from Sprint, which produced two days</w:t>
      </w:r>
      <w:r w:rsidR="00563EC5">
        <w:rPr>
          <w:rFonts w:ascii="Times New Roman" w:hAnsi="Times New Roman"/>
          <w:sz w:val="24"/>
          <w:szCs w:val="24"/>
        </w:rPr>
        <w:t xml:space="preserve"> </w:t>
      </w:r>
      <w:r w:rsidR="007A61C9" w:rsidRPr="007A61C9">
        <w:rPr>
          <w:rFonts w:ascii="Times New Roman" w:hAnsi="Times New Roman"/>
          <w:sz w:val="24"/>
          <w:szCs w:val="24"/>
        </w:rPr>
        <w:t xml:space="preserve">of records covering the period when Carpenter’s phone was </w:t>
      </w:r>
      <w:r w:rsidR="00563EC5">
        <w:rPr>
          <w:rFonts w:ascii="Times New Roman" w:hAnsi="Times New Roman"/>
          <w:sz w:val="24"/>
          <w:szCs w:val="24"/>
        </w:rPr>
        <w:t>‘</w:t>
      </w:r>
      <w:r w:rsidR="007A61C9" w:rsidRPr="007A61C9">
        <w:rPr>
          <w:rFonts w:ascii="Times New Roman" w:hAnsi="Times New Roman"/>
          <w:sz w:val="24"/>
          <w:szCs w:val="24"/>
        </w:rPr>
        <w:t>roaming</w:t>
      </w:r>
      <w:r w:rsidR="00563EC5">
        <w:rPr>
          <w:rFonts w:ascii="Times New Roman" w:hAnsi="Times New Roman"/>
          <w:sz w:val="24"/>
          <w:szCs w:val="24"/>
        </w:rPr>
        <w:t>’</w:t>
      </w:r>
      <w:r w:rsidR="007A61C9" w:rsidRPr="007A61C9">
        <w:rPr>
          <w:rFonts w:ascii="Times New Roman" w:hAnsi="Times New Roman"/>
          <w:sz w:val="24"/>
          <w:szCs w:val="24"/>
        </w:rPr>
        <w:t xml:space="preserve"> in northeastern Ohio. Altogether the Government obtained 12,898 location points cataloging Carpenter’s </w:t>
      </w:r>
      <w:proofErr w:type="gramStart"/>
      <w:r w:rsidR="007A61C9" w:rsidRPr="007A61C9">
        <w:rPr>
          <w:rFonts w:ascii="Times New Roman" w:hAnsi="Times New Roman"/>
          <w:sz w:val="24"/>
          <w:szCs w:val="24"/>
        </w:rPr>
        <w:t>movements—</w:t>
      </w:r>
      <w:proofErr w:type="gramEnd"/>
      <w:r w:rsidR="007A61C9" w:rsidRPr="007A61C9">
        <w:rPr>
          <w:rFonts w:ascii="Times New Roman" w:hAnsi="Times New Roman"/>
          <w:sz w:val="24"/>
          <w:szCs w:val="24"/>
        </w:rPr>
        <w:t>an average of 101 data points per day. *** The Government acquired the cell-site records pursuant</w:t>
      </w:r>
      <w:r w:rsidR="00563EC5">
        <w:rPr>
          <w:rFonts w:ascii="Times New Roman" w:hAnsi="Times New Roman"/>
          <w:sz w:val="24"/>
          <w:szCs w:val="24"/>
        </w:rPr>
        <w:t xml:space="preserve"> </w:t>
      </w:r>
      <w:r w:rsidR="007A61C9" w:rsidRPr="007A61C9">
        <w:rPr>
          <w:rFonts w:ascii="Times New Roman" w:hAnsi="Times New Roman"/>
          <w:sz w:val="24"/>
          <w:szCs w:val="24"/>
        </w:rPr>
        <w:t xml:space="preserve">to a court order issued under the Stored Communications Act, which required the Government to show </w:t>
      </w:r>
      <w:r w:rsidR="00563EC5">
        <w:rPr>
          <w:rFonts w:ascii="Times New Roman" w:hAnsi="Times New Roman"/>
          <w:sz w:val="24"/>
          <w:szCs w:val="24"/>
        </w:rPr>
        <w:t>‘</w:t>
      </w:r>
      <w:r w:rsidR="007A61C9" w:rsidRPr="007A61C9">
        <w:rPr>
          <w:rFonts w:ascii="Times New Roman" w:hAnsi="Times New Roman"/>
          <w:sz w:val="24"/>
          <w:szCs w:val="24"/>
        </w:rPr>
        <w:t>reasonable grounds</w:t>
      </w:r>
      <w:r w:rsidR="00563EC5">
        <w:rPr>
          <w:rFonts w:ascii="Times New Roman" w:hAnsi="Times New Roman"/>
          <w:sz w:val="24"/>
          <w:szCs w:val="24"/>
        </w:rPr>
        <w:t>’</w:t>
      </w:r>
      <w:r w:rsidR="007A61C9" w:rsidRPr="007A61C9">
        <w:rPr>
          <w:rFonts w:ascii="Times New Roman" w:hAnsi="Times New Roman"/>
          <w:sz w:val="24"/>
          <w:szCs w:val="24"/>
        </w:rPr>
        <w:t xml:space="preserve"> for believing that the records were “relevant and material to an ongoing investigation.” 18 U. S. C. §2703(d). That showing falls well short of the probable cause required for a warrant.</w:t>
      </w:r>
      <w:r w:rsidR="00563EC5">
        <w:rPr>
          <w:rFonts w:ascii="Times New Roman" w:hAnsi="Times New Roman"/>
          <w:sz w:val="24"/>
          <w:szCs w:val="24"/>
        </w:rPr>
        <w:t xml:space="preserve"> *** </w:t>
      </w:r>
      <w:r w:rsidR="00563EC5" w:rsidRPr="00563EC5">
        <w:rPr>
          <w:rFonts w:ascii="Times New Roman" w:hAnsi="Times New Roman"/>
          <w:sz w:val="24"/>
          <w:szCs w:val="24"/>
        </w:rPr>
        <w:t xml:space="preserve">Consequently, an order issued </w:t>
      </w:r>
      <w:r w:rsidR="00563EC5" w:rsidRPr="00563EC5">
        <w:rPr>
          <w:rFonts w:ascii="Times New Roman" w:hAnsi="Times New Roman"/>
          <w:sz w:val="24"/>
          <w:szCs w:val="24"/>
        </w:rPr>
        <w:lastRenderedPageBreak/>
        <w:t>under Section 2703(d) of the Act is not a</w:t>
      </w:r>
      <w:r w:rsidR="00563EC5">
        <w:rPr>
          <w:rFonts w:ascii="Times New Roman" w:hAnsi="Times New Roman"/>
          <w:sz w:val="24"/>
          <w:szCs w:val="24"/>
        </w:rPr>
        <w:t xml:space="preserve"> </w:t>
      </w:r>
      <w:r w:rsidR="00563EC5" w:rsidRPr="00563EC5">
        <w:rPr>
          <w:rFonts w:ascii="Times New Roman" w:hAnsi="Times New Roman"/>
          <w:sz w:val="24"/>
          <w:szCs w:val="24"/>
        </w:rPr>
        <w:t>permissible mechanism for accessing historical cell-site</w:t>
      </w:r>
      <w:r w:rsidR="00563EC5">
        <w:rPr>
          <w:rFonts w:ascii="Times New Roman" w:hAnsi="Times New Roman"/>
          <w:sz w:val="24"/>
          <w:szCs w:val="24"/>
        </w:rPr>
        <w:t xml:space="preserve"> </w:t>
      </w:r>
      <w:r w:rsidR="00563EC5" w:rsidRPr="00563EC5">
        <w:rPr>
          <w:rFonts w:ascii="Times New Roman" w:hAnsi="Times New Roman"/>
          <w:sz w:val="24"/>
          <w:szCs w:val="24"/>
        </w:rPr>
        <w:t>records. Before compelling a wireless carrier to turn over</w:t>
      </w:r>
      <w:r w:rsidR="00563EC5">
        <w:rPr>
          <w:rFonts w:ascii="Times New Roman" w:hAnsi="Times New Roman"/>
          <w:sz w:val="24"/>
          <w:szCs w:val="24"/>
        </w:rPr>
        <w:t xml:space="preserve"> </w:t>
      </w:r>
      <w:r w:rsidR="00563EC5" w:rsidRPr="00563EC5">
        <w:rPr>
          <w:rFonts w:ascii="Times New Roman" w:hAnsi="Times New Roman"/>
          <w:sz w:val="24"/>
          <w:szCs w:val="24"/>
        </w:rPr>
        <w:t>a subscriber’s CSLI, the Government’s obligation is a familiar one—get a warrant.</w:t>
      </w:r>
      <w:r w:rsidR="00563EC5">
        <w:rPr>
          <w:rFonts w:ascii="Times New Roman" w:hAnsi="Times New Roman"/>
          <w:sz w:val="24"/>
          <w:szCs w:val="24"/>
        </w:rPr>
        <w:t>”</w:t>
      </w:r>
    </w:p>
    <w:p w14:paraId="0AC10B06" w14:textId="2BBE3478" w:rsidR="007A61C9" w:rsidRPr="007A61C9" w:rsidRDefault="00563EC5" w:rsidP="00E63D2F">
      <w:pPr>
        <w:pStyle w:val="NoSpacing"/>
        <w:ind w:left="720"/>
        <w:rPr>
          <w:rFonts w:ascii="Times New Roman" w:hAnsi="Times New Roman"/>
          <w:sz w:val="24"/>
          <w:szCs w:val="24"/>
        </w:rPr>
      </w:pPr>
      <w:r>
        <w:rPr>
          <w:rFonts w:ascii="Times New Roman" w:hAnsi="Times New Roman"/>
          <w:sz w:val="24"/>
          <w:szCs w:val="24"/>
        </w:rPr>
        <w:t xml:space="preserve"> </w:t>
      </w:r>
      <w:hyperlink r:id="rId806" w:history="1">
        <w:r w:rsidRPr="00CE69EB">
          <w:rPr>
            <w:rStyle w:val="Hyperlink"/>
            <w:rFonts w:ascii="Times New Roman" w:hAnsi="Times New Roman"/>
            <w:sz w:val="24"/>
            <w:szCs w:val="24"/>
          </w:rPr>
          <w:t>https://www.supremecourt.gov/opinions/17pdf/16-402_h315.pdf</w:t>
        </w:r>
      </w:hyperlink>
      <w:r>
        <w:rPr>
          <w:rFonts w:ascii="Times New Roman" w:hAnsi="Times New Roman"/>
          <w:sz w:val="24"/>
          <w:szCs w:val="24"/>
        </w:rPr>
        <w:t xml:space="preserve"> </w:t>
      </w:r>
    </w:p>
    <w:p w14:paraId="1E5B8DEC" w14:textId="3960500E" w:rsidR="007A61C9" w:rsidRPr="007A61C9" w:rsidRDefault="007A61C9" w:rsidP="007A61C9">
      <w:pPr>
        <w:pStyle w:val="NoSpacing"/>
        <w:rPr>
          <w:rFonts w:ascii="Times New Roman" w:hAnsi="Times New Roman"/>
          <w:sz w:val="24"/>
          <w:szCs w:val="24"/>
        </w:rPr>
      </w:pPr>
    </w:p>
    <w:p w14:paraId="62CB4E78" w14:textId="41AF97EA" w:rsidR="007A61C9" w:rsidRPr="00563EC5" w:rsidRDefault="00563EC5" w:rsidP="007A61C9">
      <w:pPr>
        <w:pStyle w:val="NoSpacing"/>
        <w:rPr>
          <w:rFonts w:ascii="Times New Roman" w:hAnsi="Times New Roman"/>
          <w:b/>
          <w:bCs/>
          <w:sz w:val="24"/>
          <w:szCs w:val="24"/>
        </w:rPr>
      </w:pPr>
      <w:r w:rsidRPr="00563EC5">
        <w:rPr>
          <w:rFonts w:ascii="Times New Roman" w:hAnsi="Times New Roman"/>
          <w:b/>
          <w:bCs/>
          <w:sz w:val="24"/>
          <w:szCs w:val="24"/>
        </w:rPr>
        <w:t>Legal Lessons Learned: The Court recognized an exception for emergencies</w:t>
      </w:r>
      <w:r w:rsidR="00EC7466">
        <w:rPr>
          <w:rFonts w:ascii="Times New Roman" w:hAnsi="Times New Roman"/>
          <w:b/>
          <w:bCs/>
          <w:sz w:val="24"/>
          <w:szCs w:val="24"/>
        </w:rPr>
        <w:t>; bomb threats</w:t>
      </w:r>
      <w:r w:rsidR="00A247E4">
        <w:rPr>
          <w:rFonts w:ascii="Times New Roman" w:hAnsi="Times New Roman"/>
          <w:b/>
          <w:bCs/>
          <w:sz w:val="24"/>
          <w:szCs w:val="24"/>
        </w:rPr>
        <w:t xml:space="preserve">; active shootings; child abductions. </w:t>
      </w:r>
      <w:r w:rsidRPr="00563EC5">
        <w:rPr>
          <w:rFonts w:ascii="Times New Roman" w:hAnsi="Times New Roman"/>
          <w:b/>
          <w:bCs/>
          <w:sz w:val="24"/>
          <w:szCs w:val="24"/>
        </w:rPr>
        <w:t>“</w:t>
      </w:r>
      <w:r w:rsidR="007A61C9" w:rsidRPr="00563EC5">
        <w:rPr>
          <w:rFonts w:ascii="Times New Roman" w:hAnsi="Times New Roman"/>
          <w:b/>
          <w:bCs/>
          <w:sz w:val="24"/>
          <w:szCs w:val="24"/>
        </w:rPr>
        <w:t>As a result, if law enforcement is confronted with an urgent situation, such fact-specific threats will likely justify the warrantless collection of CSLI. Lower courts, for instance, have approved warrantless searches related to bomb threats, active shootings, and child abductions. Our decision today does not call into doubt warrantless access to CSLI in such circumstances. While police must</w:t>
      </w:r>
      <w:r w:rsidRPr="00563EC5">
        <w:rPr>
          <w:rFonts w:ascii="Times New Roman" w:hAnsi="Times New Roman"/>
          <w:b/>
          <w:bCs/>
          <w:sz w:val="24"/>
          <w:szCs w:val="24"/>
        </w:rPr>
        <w:t xml:space="preserve"> </w:t>
      </w:r>
      <w:r w:rsidR="007A61C9" w:rsidRPr="00563EC5">
        <w:rPr>
          <w:rFonts w:ascii="Times New Roman" w:hAnsi="Times New Roman"/>
          <w:b/>
          <w:bCs/>
          <w:sz w:val="24"/>
          <w:szCs w:val="24"/>
        </w:rPr>
        <w:t>get a warrant when collecting CSLI to assist in the mine</w:t>
      </w:r>
      <w:r w:rsidRPr="00563EC5">
        <w:rPr>
          <w:rFonts w:ascii="Times New Roman" w:hAnsi="Times New Roman"/>
          <w:b/>
          <w:bCs/>
          <w:sz w:val="24"/>
          <w:szCs w:val="24"/>
        </w:rPr>
        <w:t>-</w:t>
      </w:r>
      <w:r w:rsidR="007A61C9" w:rsidRPr="00563EC5">
        <w:rPr>
          <w:rFonts w:ascii="Times New Roman" w:hAnsi="Times New Roman"/>
          <w:b/>
          <w:bCs/>
          <w:sz w:val="24"/>
          <w:szCs w:val="24"/>
        </w:rPr>
        <w:t>run criminal investigation, the rule we set forth does not</w:t>
      </w:r>
      <w:r w:rsidRPr="00563EC5">
        <w:rPr>
          <w:rFonts w:ascii="Times New Roman" w:hAnsi="Times New Roman"/>
          <w:b/>
          <w:bCs/>
          <w:sz w:val="24"/>
          <w:szCs w:val="24"/>
        </w:rPr>
        <w:t xml:space="preserve"> </w:t>
      </w:r>
      <w:r w:rsidR="007A61C9" w:rsidRPr="00563EC5">
        <w:rPr>
          <w:rFonts w:ascii="Times New Roman" w:hAnsi="Times New Roman"/>
          <w:b/>
          <w:bCs/>
          <w:sz w:val="24"/>
          <w:szCs w:val="24"/>
        </w:rPr>
        <w:t>limit their ability to respond to an ongoing emergency.</w:t>
      </w:r>
      <w:r w:rsidRPr="00563EC5">
        <w:rPr>
          <w:rFonts w:ascii="Times New Roman" w:hAnsi="Times New Roman"/>
          <w:b/>
          <w:bCs/>
          <w:sz w:val="24"/>
          <w:szCs w:val="24"/>
        </w:rPr>
        <w:t>”</w:t>
      </w:r>
    </w:p>
    <w:p w14:paraId="62CAEAA1" w14:textId="77777777" w:rsidR="00A247E4" w:rsidRDefault="00A247E4" w:rsidP="00A247E4">
      <w:pPr>
        <w:pStyle w:val="NoSpacing"/>
        <w:rPr>
          <w:rFonts w:ascii="Times New Roman" w:hAnsi="Times New Roman"/>
          <w:color w:val="4A4A4A"/>
          <w:sz w:val="24"/>
          <w:szCs w:val="24"/>
          <w:lang w:val="en"/>
        </w:rPr>
      </w:pPr>
    </w:p>
    <w:p w14:paraId="63844815" w14:textId="5C983E81" w:rsidR="00A247E4" w:rsidRPr="00A247E4" w:rsidRDefault="00A247E4" w:rsidP="00A247E4">
      <w:pPr>
        <w:pStyle w:val="NoSpacing"/>
        <w:ind w:left="720"/>
        <w:rPr>
          <w:rFonts w:ascii="Times New Roman" w:hAnsi="Times New Roman"/>
          <w:sz w:val="24"/>
          <w:szCs w:val="24"/>
        </w:rPr>
      </w:pPr>
      <w:r w:rsidRPr="00A247E4">
        <w:rPr>
          <w:rFonts w:ascii="Times New Roman" w:hAnsi="Times New Roman"/>
          <w:color w:val="4A4A4A"/>
          <w:sz w:val="24"/>
          <w:szCs w:val="24"/>
          <w:lang w:val="en"/>
        </w:rPr>
        <w:t xml:space="preserve">See article on this “landmark” case: </w:t>
      </w:r>
      <w:r>
        <w:rPr>
          <w:rFonts w:ascii="Times New Roman" w:hAnsi="Times New Roman"/>
          <w:color w:val="4A4A4A"/>
          <w:sz w:val="24"/>
          <w:szCs w:val="24"/>
          <w:lang w:val="en"/>
        </w:rPr>
        <w:t>“</w:t>
      </w:r>
      <w:r w:rsidRPr="00A247E4">
        <w:rPr>
          <w:rStyle w:val="balancedheadline"/>
          <w:rFonts w:ascii="Times New Roman" w:hAnsi="Times New Roman"/>
          <w:sz w:val="24"/>
          <w:szCs w:val="24"/>
        </w:rPr>
        <w:t>In Ruling on Cellphone Location Data, Supreme Court Makes Statement on Digital Privacy</w:t>
      </w:r>
      <w:r>
        <w:rPr>
          <w:rStyle w:val="balancedheadline"/>
          <w:rFonts w:ascii="Times New Roman" w:hAnsi="Times New Roman"/>
          <w:sz w:val="24"/>
          <w:szCs w:val="24"/>
        </w:rPr>
        <w:t>”;</w:t>
      </w:r>
      <w:r w:rsidRPr="00A247E4">
        <w:rPr>
          <w:rStyle w:val="balancedheadline"/>
          <w:rFonts w:ascii="Times New Roman" w:hAnsi="Times New Roman"/>
          <w:sz w:val="24"/>
          <w:szCs w:val="24"/>
        </w:rPr>
        <w:t xml:space="preserve"> </w:t>
      </w:r>
      <w:hyperlink r:id="rId807" w:history="1">
        <w:r w:rsidRPr="00A247E4">
          <w:rPr>
            <w:rStyle w:val="Hyperlink"/>
            <w:rFonts w:ascii="Times New Roman" w:hAnsi="Times New Roman"/>
            <w:sz w:val="24"/>
            <w:szCs w:val="24"/>
          </w:rPr>
          <w:t>https://www.nytimes.com/2018/06/22/us/politics/supreme-court-warrants-cell-phone-privacy.html</w:t>
        </w:r>
      </w:hyperlink>
      <w:r w:rsidRPr="00A247E4">
        <w:rPr>
          <w:rStyle w:val="balancedheadline"/>
          <w:rFonts w:ascii="Times New Roman" w:hAnsi="Times New Roman"/>
          <w:sz w:val="24"/>
          <w:szCs w:val="24"/>
        </w:rPr>
        <w:t xml:space="preserve"> </w:t>
      </w:r>
    </w:p>
    <w:p w14:paraId="10D2DDFF" w14:textId="64CE3D58" w:rsidR="007A61C9" w:rsidRPr="00A247E4" w:rsidRDefault="007A61C9" w:rsidP="00A247E4">
      <w:pPr>
        <w:ind w:left="720"/>
        <w:rPr>
          <w:rFonts w:ascii="SeeTimes New Roman" w:hAnsi="SeeTimes New Roman"/>
          <w:color w:val="4A4A4A"/>
          <w:sz w:val="24"/>
          <w:szCs w:val="24"/>
          <w:lang w:val="en"/>
        </w:rPr>
      </w:pPr>
    </w:p>
    <w:p w14:paraId="1FA30891" w14:textId="77777777" w:rsidR="007A61C9" w:rsidRDefault="007A61C9" w:rsidP="00F326E5">
      <w:pPr>
        <w:rPr>
          <w:rFonts w:ascii="Arial Black" w:hAnsi="Arial Black"/>
          <w:color w:val="4A4A4A"/>
          <w:sz w:val="24"/>
          <w:szCs w:val="24"/>
          <w:lang w:val="en"/>
        </w:rPr>
      </w:pPr>
    </w:p>
    <w:p w14:paraId="5C52CCA7" w14:textId="4AFE7A34" w:rsidR="00F326E5" w:rsidRPr="00573BE0" w:rsidRDefault="00EF1133" w:rsidP="00F326E5">
      <w:pPr>
        <w:rPr>
          <w:rFonts w:eastAsia="Times New Roman"/>
        </w:rPr>
      </w:pPr>
      <w:r w:rsidRPr="00EF1133">
        <w:rPr>
          <w:rFonts w:ascii="Arial Black" w:hAnsi="Arial Black"/>
          <w:color w:val="4A4A4A"/>
          <w:sz w:val="24"/>
          <w:szCs w:val="24"/>
          <w:lang w:val="en"/>
        </w:rPr>
        <w:t>3-</w:t>
      </w:r>
      <w:r>
        <w:rPr>
          <w:rFonts w:ascii="Arial Black" w:hAnsi="Arial Black"/>
          <w:color w:val="4A4A4A"/>
          <w:sz w:val="24"/>
          <w:szCs w:val="24"/>
          <w:lang w:val="en"/>
        </w:rPr>
        <w:t>5</w:t>
      </w:r>
    </w:p>
    <w:p w14:paraId="6F8214A2" w14:textId="61AD7644" w:rsidR="00F326E5" w:rsidRDefault="00F326E5" w:rsidP="00F326E5">
      <w:pPr>
        <w:pStyle w:val="NoSpacing"/>
        <w:rPr>
          <w:rFonts w:ascii="Arial Black" w:hAnsi="Arial Black"/>
          <w:b/>
          <w:sz w:val="28"/>
          <w:szCs w:val="28"/>
        </w:rPr>
      </w:pPr>
      <w:bookmarkStart w:id="167" w:name="_Hlk7341789"/>
      <w:r w:rsidRPr="009C2749">
        <w:rPr>
          <w:rFonts w:ascii="Arial Black" w:hAnsi="Arial Black"/>
          <w:b/>
          <w:sz w:val="28"/>
          <w:szCs w:val="28"/>
        </w:rPr>
        <w:t>NY</w:t>
      </w:r>
      <w:r>
        <w:rPr>
          <w:rFonts w:ascii="Arial Black" w:hAnsi="Arial Black"/>
          <w:b/>
          <w:sz w:val="28"/>
          <w:szCs w:val="28"/>
        </w:rPr>
        <w:t xml:space="preserve">: EMPLOYEES OF BATTERY PARK CITY AUTHORITY MAY SUE BUILDING OWNER FOR </w:t>
      </w:r>
      <w:r w:rsidRPr="009C2749">
        <w:rPr>
          <w:rFonts w:ascii="Arial Black" w:hAnsi="Arial Black"/>
          <w:b/>
          <w:sz w:val="28"/>
          <w:szCs w:val="28"/>
        </w:rPr>
        <w:t xml:space="preserve">9/11 </w:t>
      </w:r>
      <w:r>
        <w:rPr>
          <w:rFonts w:ascii="Arial Black" w:hAnsi="Arial Black"/>
          <w:b/>
          <w:sz w:val="28"/>
          <w:szCs w:val="28"/>
        </w:rPr>
        <w:t xml:space="preserve">INJURIES </w:t>
      </w:r>
    </w:p>
    <w:p w14:paraId="6C5E6F41" w14:textId="77777777" w:rsidR="00F326E5" w:rsidRPr="0036327D"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June 6, 2018, in </w:t>
      </w:r>
      <w:r w:rsidRPr="0036327D">
        <w:rPr>
          <w:rFonts w:ascii="Times New Roman" w:hAnsi="Times New Roman"/>
          <w:sz w:val="24"/>
          <w:szCs w:val="24"/>
          <w:u w:val="single"/>
        </w:rPr>
        <w:t>In Re: World Trade Center, Lower Manhattan Disaster Site Litigation</w:t>
      </w:r>
      <w:r w:rsidRPr="0036327D">
        <w:rPr>
          <w:rFonts w:ascii="Times New Roman" w:hAnsi="Times New Roman"/>
          <w:sz w:val="24"/>
          <w:szCs w:val="24"/>
        </w:rPr>
        <w:t>, the U.S. Court of Appeals for Second Circuit held (3 to 0) that 18 workers who became sick as a result of working in lower Manhattan after the Sept. 11 terrorist attacks may proceed with their lawsuit against building owner, the public benefit corporation Battery Park City Authority. The 2</w:t>
      </w:r>
      <w:r w:rsidRPr="0036327D">
        <w:rPr>
          <w:rFonts w:ascii="Times New Roman" w:hAnsi="Times New Roman"/>
          <w:sz w:val="24"/>
          <w:szCs w:val="24"/>
          <w:vertAlign w:val="superscript"/>
        </w:rPr>
        <w:t>nd</w:t>
      </w:r>
      <w:r w:rsidRPr="0036327D">
        <w:rPr>
          <w:rFonts w:ascii="Times New Roman" w:hAnsi="Times New Roman"/>
          <w:sz w:val="24"/>
          <w:szCs w:val="24"/>
        </w:rPr>
        <w:t xml:space="preserve"> Circuit decision followed confirmation by State of New York’s highest court (NY Court of Appeals) that the 2009 “Jimmy Nolan” statute (named after recovery worker) allowing time-barred lawsuits for one additional year against public benefit corporations was lawful. </w:t>
      </w:r>
      <w:hyperlink r:id="rId808" w:anchor="xml=http://www.ca2.uscourts.gov/decisions/isysquery/8c537d01-8133-4435-b4f6-e87aa585d8e4/1/hilite/" w:history="1">
        <w:r w:rsidRPr="0036327D">
          <w:rPr>
            <w:rStyle w:val="Hyperlink"/>
            <w:rFonts w:ascii="Times New Roman" w:hAnsi="Times New Roman"/>
            <w:sz w:val="24"/>
            <w:szCs w:val="24"/>
          </w:rPr>
          <w:t>http://www.ca2.uscourts.gov/decisions/isysquery/8c537d01-8133-4435-b4f6-e87aa585d8e4/1/doc/15-2181_opn_2.pdf#xml=http://www.ca2.uscourts.gov/decisions/isysquery/8c537d01-8133-4435-b4f6-e87aa585d8e4/1/hilite/</w:t>
        </w:r>
      </w:hyperlink>
    </w:p>
    <w:p w14:paraId="6F856A00" w14:textId="77777777" w:rsidR="009C4A80" w:rsidRDefault="009C4A80" w:rsidP="00F326E5">
      <w:pPr>
        <w:rPr>
          <w:rFonts w:ascii="Times New Roman" w:eastAsia="Times New Roman" w:hAnsi="Times New Roman"/>
          <w:b/>
          <w:sz w:val="24"/>
          <w:szCs w:val="24"/>
        </w:rPr>
      </w:pPr>
    </w:p>
    <w:p w14:paraId="7DDEF9BC" w14:textId="70746B1B"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The 18 workers will finally get their day in </w:t>
      </w:r>
      <w:proofErr w:type="gramStart"/>
      <w:r w:rsidRPr="0036327D">
        <w:rPr>
          <w:rFonts w:ascii="Times New Roman" w:eastAsia="Times New Roman" w:hAnsi="Times New Roman"/>
          <w:b/>
          <w:sz w:val="24"/>
          <w:szCs w:val="24"/>
        </w:rPr>
        <w:t>court,</w:t>
      </w:r>
      <w:r w:rsidR="009C4A80">
        <w:rPr>
          <w:rFonts w:ascii="Times New Roman" w:eastAsia="Times New Roman" w:hAnsi="Times New Roman"/>
          <w:b/>
          <w:sz w:val="24"/>
          <w:szCs w:val="24"/>
        </w:rPr>
        <w:t xml:space="preserve"> </w:t>
      </w:r>
      <w:r w:rsidRPr="0036327D">
        <w:rPr>
          <w:rFonts w:ascii="Times New Roman" w:eastAsia="Times New Roman" w:hAnsi="Times New Roman"/>
          <w:b/>
          <w:sz w:val="24"/>
          <w:szCs w:val="24"/>
        </w:rPr>
        <w:t>or</w:t>
      </w:r>
      <w:proofErr w:type="gramEnd"/>
      <w:r w:rsidRPr="0036327D">
        <w:rPr>
          <w:rFonts w:ascii="Times New Roman" w:eastAsia="Times New Roman" w:hAnsi="Times New Roman"/>
          <w:b/>
          <w:sz w:val="24"/>
          <w:szCs w:val="24"/>
        </w:rPr>
        <w:t xml:space="preserve"> will negotiate a settlement.  There reportedly have been 12,000 claims settled against various defendants.</w:t>
      </w:r>
      <w:r w:rsidRPr="0036327D">
        <w:rPr>
          <w:rFonts w:ascii="Times New Roman" w:eastAsia="Times New Roman" w:hAnsi="Times New Roman"/>
          <w:sz w:val="24"/>
          <w:szCs w:val="24"/>
        </w:rPr>
        <w:t xml:space="preserve">  </w:t>
      </w:r>
      <w:hyperlink r:id="rId809" w:history="1">
        <w:r w:rsidRPr="0036327D">
          <w:rPr>
            <w:rStyle w:val="Hyperlink"/>
            <w:rFonts w:ascii="Times New Roman" w:hAnsi="Times New Roman"/>
            <w:sz w:val="24"/>
            <w:szCs w:val="24"/>
          </w:rPr>
          <w:t>https://www.law.com/newyorklawjournal/2018/06/06/2nd-circuit-revives-911-workers-suit-against-battery-park-city-authority/</w:t>
        </w:r>
      </w:hyperlink>
      <w:r w:rsidRPr="0036327D">
        <w:rPr>
          <w:rFonts w:ascii="Times New Roman" w:eastAsia="Times New Roman" w:hAnsi="Times New Roman"/>
          <w:sz w:val="24"/>
          <w:szCs w:val="24"/>
        </w:rPr>
        <w:t xml:space="preserve"> </w:t>
      </w:r>
    </w:p>
    <w:bookmarkEnd w:id="167"/>
    <w:p w14:paraId="6E1F9B81" w14:textId="72FE1C19" w:rsidR="00F326E5" w:rsidRDefault="00F326E5" w:rsidP="00F326E5">
      <w:pPr>
        <w:rPr>
          <w:rFonts w:eastAsia="Times New Roman"/>
          <w:b/>
          <w:sz w:val="24"/>
          <w:szCs w:val="24"/>
        </w:rPr>
      </w:pPr>
    </w:p>
    <w:p w14:paraId="4D9D8798" w14:textId="448A57F0" w:rsidR="00F326E5" w:rsidRDefault="00EF1133" w:rsidP="00EF1133">
      <w:pPr>
        <w:rPr>
          <w:rFonts w:ascii="Arial Black" w:hAnsi="Arial Black"/>
          <w:b/>
          <w:sz w:val="24"/>
          <w:szCs w:val="24"/>
        </w:rPr>
      </w:pPr>
      <w:r w:rsidRPr="00EF1133">
        <w:rPr>
          <w:rFonts w:ascii="Arial Black" w:hAnsi="Arial Black"/>
          <w:color w:val="4A4A4A"/>
          <w:sz w:val="24"/>
          <w:szCs w:val="24"/>
          <w:lang w:val="en"/>
        </w:rPr>
        <w:t>3-</w:t>
      </w:r>
      <w:r>
        <w:rPr>
          <w:rFonts w:ascii="Arial Black" w:hAnsi="Arial Black"/>
          <w:color w:val="4A4A4A"/>
          <w:sz w:val="24"/>
          <w:szCs w:val="24"/>
          <w:lang w:val="en"/>
        </w:rPr>
        <w:t>4</w:t>
      </w:r>
    </w:p>
    <w:p w14:paraId="2F67A311" w14:textId="569F0490" w:rsidR="00F326E5" w:rsidRDefault="00F326E5" w:rsidP="00F326E5">
      <w:pPr>
        <w:pStyle w:val="NoSpacing"/>
        <w:rPr>
          <w:rFonts w:ascii="Arial Black" w:hAnsi="Arial Black"/>
          <w:b/>
          <w:sz w:val="28"/>
          <w:szCs w:val="28"/>
        </w:rPr>
      </w:pPr>
      <w:bookmarkStart w:id="168" w:name="_Hlk7341912"/>
      <w:r w:rsidRPr="009C2749">
        <w:rPr>
          <w:rFonts w:ascii="Arial Black" w:hAnsi="Arial Black"/>
          <w:b/>
          <w:sz w:val="28"/>
          <w:szCs w:val="28"/>
        </w:rPr>
        <w:t>PA</w:t>
      </w:r>
      <w:r>
        <w:rPr>
          <w:rFonts w:ascii="Arial Black" w:hAnsi="Arial Black"/>
          <w:b/>
          <w:sz w:val="28"/>
          <w:szCs w:val="28"/>
        </w:rPr>
        <w:t xml:space="preserve">: PHILADELPHIA IS “SANTUARY CITY” - WINS INJUNCTION – ENTITLED FED. POLICE GRANT </w:t>
      </w:r>
    </w:p>
    <w:p w14:paraId="35E79CA4"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June 6, 2018, in </w:t>
      </w:r>
      <w:r w:rsidRPr="0036327D">
        <w:rPr>
          <w:rFonts w:ascii="Times New Roman" w:eastAsia="Times New Roman" w:hAnsi="Times New Roman"/>
          <w:sz w:val="24"/>
          <w:szCs w:val="24"/>
          <w:u w:val="single"/>
        </w:rPr>
        <w:t>The City of Philadelphia v. Attorney General of United States</w:t>
      </w:r>
      <w:r w:rsidRPr="0036327D">
        <w:rPr>
          <w:rFonts w:ascii="Times New Roman" w:eastAsia="Times New Roman" w:hAnsi="Times New Roman"/>
          <w:sz w:val="24"/>
          <w:szCs w:val="24"/>
        </w:rPr>
        <w:t xml:space="preserve">, a federal judge has issued an 89-page opinion holding that $1.6 million in police grant funds may not be withheld.  </w:t>
      </w:r>
      <w:hyperlink r:id="rId810" w:history="1">
        <w:r w:rsidRPr="0036327D">
          <w:rPr>
            <w:rStyle w:val="Hyperlink"/>
            <w:rFonts w:ascii="Times New Roman" w:hAnsi="Times New Roman"/>
            <w:sz w:val="24"/>
            <w:szCs w:val="24"/>
          </w:rPr>
          <w:t>http://www.paed.uscourts.gov/documents/opinions/18D0391P.pdf</w:t>
        </w:r>
      </w:hyperlink>
      <w:r w:rsidRPr="0036327D">
        <w:rPr>
          <w:rFonts w:ascii="Times New Roman" w:eastAsia="Times New Roman" w:hAnsi="Times New Roman"/>
          <w:sz w:val="24"/>
          <w:szCs w:val="24"/>
        </w:rPr>
        <w:t xml:space="preserve"> </w:t>
      </w:r>
    </w:p>
    <w:p w14:paraId="117114C6"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lastRenderedPageBreak/>
        <w:t>Legal Lessons Learned:  The U.S. Department of Justice will likely appeal this decision to the 3</w:t>
      </w:r>
      <w:r w:rsidRPr="0036327D">
        <w:rPr>
          <w:rFonts w:ascii="Times New Roman" w:eastAsia="Times New Roman" w:hAnsi="Times New Roman"/>
          <w:b/>
          <w:sz w:val="24"/>
          <w:szCs w:val="24"/>
          <w:vertAlign w:val="superscript"/>
        </w:rPr>
        <w:t>rd</w:t>
      </w:r>
      <w:r w:rsidRPr="0036327D">
        <w:rPr>
          <w:rFonts w:ascii="Times New Roman" w:eastAsia="Times New Roman" w:hAnsi="Times New Roman"/>
          <w:b/>
          <w:sz w:val="24"/>
          <w:szCs w:val="24"/>
        </w:rPr>
        <w:t xml:space="preserve"> Circuit.   Fire &amp; EMS must likewise deal with aliens, and Congress needs to enact legislation concerning 11 million undocumented aliens.</w:t>
      </w:r>
    </w:p>
    <w:bookmarkEnd w:id="168"/>
    <w:p w14:paraId="3A36B790" w14:textId="77777777" w:rsidR="00F326E5" w:rsidRDefault="00F326E5" w:rsidP="00F326E5">
      <w:pPr>
        <w:rPr>
          <w:rFonts w:eastAsia="Times New Roman"/>
          <w:b/>
          <w:sz w:val="24"/>
          <w:szCs w:val="24"/>
        </w:rPr>
      </w:pPr>
    </w:p>
    <w:p w14:paraId="602CDBAA" w14:textId="77777777" w:rsidR="00F326E5" w:rsidRDefault="00F326E5" w:rsidP="00F326E5">
      <w:pPr>
        <w:pStyle w:val="NoSpacing"/>
        <w:rPr>
          <w:sz w:val="24"/>
          <w:szCs w:val="24"/>
        </w:rPr>
      </w:pPr>
      <w:bookmarkStart w:id="169" w:name="_Hlk7189409"/>
    </w:p>
    <w:p w14:paraId="33F3E61F" w14:textId="4F61B8DF" w:rsidR="00F326E5" w:rsidRDefault="00EF1133" w:rsidP="00EF1133">
      <w:pPr>
        <w:rPr>
          <w:sz w:val="24"/>
          <w:szCs w:val="24"/>
        </w:rPr>
      </w:pPr>
      <w:r w:rsidRPr="00EF1133">
        <w:rPr>
          <w:rFonts w:ascii="Arial Black" w:hAnsi="Arial Black"/>
          <w:color w:val="4A4A4A"/>
          <w:sz w:val="24"/>
          <w:szCs w:val="24"/>
          <w:lang w:val="en"/>
        </w:rPr>
        <w:t>3-</w:t>
      </w:r>
      <w:r>
        <w:rPr>
          <w:rFonts w:ascii="Arial Black" w:hAnsi="Arial Black"/>
          <w:color w:val="4A4A4A"/>
          <w:sz w:val="24"/>
          <w:szCs w:val="24"/>
          <w:lang w:val="en"/>
        </w:rPr>
        <w:t>3</w:t>
      </w:r>
    </w:p>
    <w:p w14:paraId="2ECFF32D" w14:textId="77777777" w:rsidR="00F326E5" w:rsidRDefault="00F326E5" w:rsidP="00F326E5">
      <w:pPr>
        <w:pStyle w:val="NoSpacing"/>
        <w:rPr>
          <w:sz w:val="24"/>
          <w:szCs w:val="24"/>
        </w:rPr>
      </w:pPr>
    </w:p>
    <w:p w14:paraId="7AB0DCDC" w14:textId="2D7EFDCD" w:rsidR="00F326E5" w:rsidRDefault="00F326E5" w:rsidP="00F326E5">
      <w:pPr>
        <w:pStyle w:val="NoSpacing"/>
        <w:rPr>
          <w:rFonts w:ascii="Arial Black" w:hAnsi="Arial Black"/>
          <w:b/>
          <w:sz w:val="28"/>
          <w:szCs w:val="28"/>
        </w:rPr>
      </w:pPr>
      <w:bookmarkStart w:id="170" w:name="_Hlk7341970"/>
      <w:r>
        <w:rPr>
          <w:rFonts w:ascii="Arial Black" w:hAnsi="Arial Black"/>
          <w:b/>
          <w:sz w:val="28"/>
          <w:szCs w:val="28"/>
        </w:rPr>
        <w:t>U.S. SUP. COURT: DRUG DEALER E-MAILS STORED BY MICROSOFT IN IRELAND – CASE MOOT</w:t>
      </w:r>
    </w:p>
    <w:p w14:paraId="6E15EA1E" w14:textId="77777777" w:rsidR="00F326E5" w:rsidRPr="0036327D" w:rsidRDefault="00F326E5" w:rsidP="00F326E5">
      <w:pPr>
        <w:rPr>
          <w:rFonts w:ascii="Times New Roman" w:hAnsi="Times New Roman"/>
          <w:sz w:val="24"/>
          <w:szCs w:val="24"/>
          <w:lang w:val="en"/>
        </w:rPr>
      </w:pPr>
      <w:r w:rsidRPr="0036327D">
        <w:rPr>
          <w:rFonts w:ascii="Times New Roman" w:hAnsi="Times New Roman"/>
          <w:sz w:val="24"/>
          <w:szCs w:val="24"/>
          <w:lang w:val="en"/>
        </w:rPr>
        <w:t xml:space="preserve">On March 30, 2018, in </w:t>
      </w:r>
      <w:r w:rsidRPr="0036327D">
        <w:rPr>
          <w:rFonts w:ascii="Times New Roman" w:hAnsi="Times New Roman"/>
          <w:sz w:val="24"/>
          <w:szCs w:val="24"/>
          <w:u w:val="single"/>
          <w:lang w:val="en"/>
        </w:rPr>
        <w:t>Microsoft Corp. v. United States</w:t>
      </w:r>
      <w:r w:rsidRPr="0036327D">
        <w:rPr>
          <w:rFonts w:ascii="Times New Roman" w:hAnsi="Times New Roman"/>
          <w:sz w:val="24"/>
          <w:szCs w:val="24"/>
          <w:lang w:val="en"/>
        </w:rPr>
        <w:t xml:space="preserve">, the U.S. Solicitor General has filed a motion asking the Court to dismiss the case as </w:t>
      </w:r>
      <w:proofErr w:type="gramStart"/>
      <w:r w:rsidRPr="0036327D">
        <w:rPr>
          <w:rFonts w:ascii="Times New Roman" w:hAnsi="Times New Roman"/>
          <w:sz w:val="24"/>
          <w:szCs w:val="24"/>
          <w:lang w:val="en"/>
        </w:rPr>
        <w:t>moot,  and</w:t>
      </w:r>
      <w:proofErr w:type="gramEnd"/>
      <w:r w:rsidRPr="0036327D">
        <w:rPr>
          <w:rFonts w:ascii="Times New Roman" w:hAnsi="Times New Roman"/>
          <w:sz w:val="24"/>
          <w:szCs w:val="24"/>
          <w:lang w:val="en"/>
        </w:rPr>
        <w:t xml:space="preserve"> advised the Court that </w:t>
      </w:r>
      <w:proofErr w:type="spellStart"/>
      <w:r w:rsidRPr="0036327D">
        <w:rPr>
          <w:rFonts w:ascii="Times New Roman" w:hAnsi="Times New Roman"/>
          <w:sz w:val="24"/>
          <w:szCs w:val="24"/>
          <w:lang w:val="en"/>
        </w:rPr>
        <w:t>DoJ</w:t>
      </w:r>
      <w:proofErr w:type="spellEnd"/>
      <w:r w:rsidRPr="0036327D">
        <w:rPr>
          <w:rFonts w:ascii="Times New Roman" w:hAnsi="Times New Roman"/>
          <w:sz w:val="24"/>
          <w:szCs w:val="24"/>
          <w:lang w:val="en"/>
        </w:rPr>
        <w:t xml:space="preserve"> has obtained a new search warrant against Microsoft for e-mails stored in their facility in Ireland under the new “Cloud Act.”  The Solicitor General wrote, “The CLOUD Act resolves the question presented by specifying that a service provider responding to a Section 2703 order must produce information within its ‘possession, custody, or control, regardless of whether such  * * *  information is located within or outside of the United States.’  CLOUD Act § 103(a).  The United States has obtained a new warrant under the CLOUD Act, and Microsoft’s sole objection—that the prior warrant was impermissibly extraterritorial—no longer applies. The United States respectfully submits that this case is now moot.”</w:t>
      </w:r>
    </w:p>
    <w:p w14:paraId="59C36706" w14:textId="77777777" w:rsidR="00F326E5" w:rsidRPr="0036327D" w:rsidRDefault="00F326E5" w:rsidP="00F326E5">
      <w:pPr>
        <w:rPr>
          <w:rFonts w:ascii="Times New Roman" w:hAnsi="Times New Roman"/>
          <w:sz w:val="24"/>
          <w:szCs w:val="24"/>
          <w:lang w:val="en"/>
        </w:rPr>
      </w:pPr>
      <w:hyperlink r:id="rId811" w:history="1">
        <w:r w:rsidRPr="0036327D">
          <w:rPr>
            <w:rStyle w:val="Hyperlink"/>
            <w:rFonts w:ascii="Times New Roman" w:hAnsi="Times New Roman"/>
            <w:color w:val="auto"/>
            <w:sz w:val="24"/>
            <w:szCs w:val="24"/>
            <w:lang w:val="en"/>
          </w:rPr>
          <w:t>https://supreme.justia.com/cases/federal/us/584/17-2/</w:t>
        </w:r>
      </w:hyperlink>
      <w:r w:rsidRPr="0036327D">
        <w:rPr>
          <w:rFonts w:ascii="Times New Roman" w:hAnsi="Times New Roman"/>
          <w:sz w:val="24"/>
          <w:szCs w:val="24"/>
          <w:lang w:val="en"/>
        </w:rPr>
        <w:t xml:space="preserve"> </w:t>
      </w:r>
    </w:p>
    <w:p w14:paraId="38544133" w14:textId="77777777" w:rsidR="00F326E5" w:rsidRPr="00BA3B84" w:rsidRDefault="00F326E5" w:rsidP="00F326E5">
      <w:pPr>
        <w:rPr>
          <w:b/>
          <w:color w:val="4A4A4A"/>
          <w:sz w:val="24"/>
          <w:szCs w:val="24"/>
          <w:lang w:val="en"/>
        </w:rPr>
      </w:pPr>
      <w:r w:rsidRPr="0036327D">
        <w:rPr>
          <w:rFonts w:ascii="Times New Roman" w:hAnsi="Times New Roman"/>
          <w:b/>
          <w:sz w:val="24"/>
          <w:szCs w:val="24"/>
          <w:lang w:val="en"/>
        </w:rPr>
        <w:t xml:space="preserve">LEGAL LESSONS LEARNED:  Congress has enacted the “Cloud Act” so that search warrants on Microsoft and other companies must be honored, even if the e-mail information is stored in a facility outside the USA.   In some </w:t>
      </w:r>
      <w:proofErr w:type="gramStart"/>
      <w:r w:rsidRPr="0036327D">
        <w:rPr>
          <w:rFonts w:ascii="Times New Roman" w:hAnsi="Times New Roman"/>
          <w:b/>
          <w:sz w:val="24"/>
          <w:szCs w:val="24"/>
          <w:lang w:val="en"/>
        </w:rPr>
        <w:t>case</w:t>
      </w:r>
      <w:proofErr w:type="gramEnd"/>
      <w:r w:rsidRPr="0036327D">
        <w:rPr>
          <w:rFonts w:ascii="Times New Roman" w:hAnsi="Times New Roman"/>
          <w:b/>
          <w:sz w:val="24"/>
          <w:szCs w:val="24"/>
          <w:lang w:val="en"/>
        </w:rPr>
        <w:t>, our national security demands access to this information</w:t>
      </w:r>
      <w:r w:rsidRPr="00BA3B84">
        <w:rPr>
          <w:b/>
          <w:color w:val="4A4A4A"/>
          <w:sz w:val="24"/>
          <w:szCs w:val="24"/>
          <w:lang w:val="en"/>
        </w:rPr>
        <w:t xml:space="preserve">. </w:t>
      </w:r>
    </w:p>
    <w:bookmarkEnd w:id="169"/>
    <w:bookmarkEnd w:id="170"/>
    <w:p w14:paraId="13560A36" w14:textId="77777777" w:rsidR="00F326E5" w:rsidRDefault="00F326E5" w:rsidP="00F326E5">
      <w:pPr>
        <w:rPr>
          <w:rFonts w:ascii="Arial Black" w:hAnsi="Arial Black"/>
          <w:b/>
          <w:sz w:val="40"/>
          <w:szCs w:val="40"/>
        </w:rPr>
      </w:pPr>
    </w:p>
    <w:p w14:paraId="218F04BD" w14:textId="01005CD8" w:rsidR="00EF1133" w:rsidRDefault="00EF1133" w:rsidP="00EF1133">
      <w:pPr>
        <w:rPr>
          <w:rFonts w:ascii="Arial Black" w:hAnsi="Arial Black"/>
          <w:b/>
          <w:sz w:val="28"/>
          <w:szCs w:val="28"/>
        </w:rPr>
      </w:pPr>
      <w:bookmarkStart w:id="171" w:name="_Hlk7342019"/>
      <w:r w:rsidRPr="00EF1133">
        <w:rPr>
          <w:rFonts w:ascii="Arial Black" w:hAnsi="Arial Black"/>
          <w:color w:val="4A4A4A"/>
          <w:sz w:val="24"/>
          <w:szCs w:val="24"/>
          <w:lang w:val="en"/>
        </w:rPr>
        <w:t>3-</w:t>
      </w:r>
      <w:r>
        <w:rPr>
          <w:rFonts w:ascii="Arial Black" w:hAnsi="Arial Black"/>
          <w:color w:val="4A4A4A"/>
          <w:sz w:val="24"/>
          <w:szCs w:val="24"/>
          <w:lang w:val="en"/>
        </w:rPr>
        <w:t>2</w:t>
      </w:r>
    </w:p>
    <w:p w14:paraId="66D2746F" w14:textId="39E1ABF7" w:rsidR="00F326E5" w:rsidRDefault="00F326E5" w:rsidP="00F326E5">
      <w:pPr>
        <w:pStyle w:val="NoSpacing"/>
        <w:rPr>
          <w:rFonts w:ascii="Arial Black" w:hAnsi="Arial Black"/>
          <w:b/>
          <w:sz w:val="28"/>
          <w:szCs w:val="28"/>
        </w:rPr>
      </w:pPr>
      <w:r>
        <w:rPr>
          <w:rFonts w:ascii="Arial Black" w:hAnsi="Arial Black"/>
          <w:b/>
          <w:sz w:val="28"/>
          <w:szCs w:val="28"/>
        </w:rPr>
        <w:t>NY: NYPD SURVEILLANCE OF MUSLIMS – FOIA - DO NOT NEED TO EVEN DISCLOSE RECORDS EXIST</w:t>
      </w:r>
    </w:p>
    <w:p w14:paraId="0BA16183" w14:textId="77777777" w:rsidR="009C4A80" w:rsidRDefault="00F326E5" w:rsidP="00F326E5">
      <w:pPr>
        <w:rPr>
          <w:rFonts w:ascii="Times New Roman" w:hAnsi="Times New Roman"/>
          <w:sz w:val="24"/>
          <w:szCs w:val="24"/>
        </w:rPr>
      </w:pPr>
      <w:r w:rsidRPr="0036327D">
        <w:rPr>
          <w:rFonts w:ascii="Times New Roman" w:hAnsi="Times New Roman"/>
          <w:sz w:val="24"/>
          <w:szCs w:val="24"/>
        </w:rPr>
        <w:t xml:space="preserve">On March 29, 2018, In the </w:t>
      </w:r>
      <w:r w:rsidRPr="0036327D">
        <w:rPr>
          <w:rFonts w:ascii="Times New Roman" w:hAnsi="Times New Roman"/>
          <w:sz w:val="24"/>
          <w:szCs w:val="24"/>
          <w:u w:val="single"/>
        </w:rPr>
        <w:t>Matter of Talib W.  Abdur-Rashid and Samir Hashmi v. New York City Police Department, et al.</w:t>
      </w:r>
      <w:r w:rsidRPr="0036327D">
        <w:rPr>
          <w:rFonts w:ascii="Times New Roman" w:hAnsi="Times New Roman"/>
          <w:sz w:val="24"/>
          <w:szCs w:val="24"/>
        </w:rPr>
        <w:t xml:space="preserve">, the State of New York Court of Appeals held (4 to 3): </w:t>
      </w:r>
    </w:p>
    <w:p w14:paraId="32C9B6B8" w14:textId="6D8E5139" w:rsidR="00F326E5" w:rsidRPr="0036327D" w:rsidRDefault="00F326E5" w:rsidP="009C4A80">
      <w:pPr>
        <w:ind w:left="720"/>
        <w:rPr>
          <w:rFonts w:ascii="Times New Roman" w:hAnsi="Times New Roman"/>
          <w:sz w:val="24"/>
          <w:szCs w:val="24"/>
        </w:rPr>
      </w:pPr>
      <w:r w:rsidRPr="0036327D">
        <w:rPr>
          <w:rFonts w:ascii="Times New Roman" w:hAnsi="Times New Roman"/>
          <w:sz w:val="24"/>
          <w:szCs w:val="24"/>
        </w:rPr>
        <w:t xml:space="preserve">“The issue presented is whether an agency may decline to acknowledge that requested records exist in response to a Freedom of Information Law request … when necessary to safeguard statutorily exempted information.  Under these circumstances, we hold that it may and therefore affirm the Appellate Division order, which reached the same conclusion.” </w:t>
      </w:r>
      <w:hyperlink r:id="rId812" w:history="1">
        <w:r w:rsidRPr="0036327D">
          <w:rPr>
            <w:rStyle w:val="Hyperlink"/>
            <w:rFonts w:ascii="Times New Roman" w:hAnsi="Times New Roman"/>
            <w:sz w:val="24"/>
            <w:szCs w:val="24"/>
          </w:rPr>
          <w:t>file:///C:/Users/lawre/AppData/Local/Microsoft/Windows/INetCache/IE/XO250S7T/Glomar-decision.pdf</w:t>
        </w:r>
      </w:hyperlink>
      <w:r w:rsidRPr="0036327D">
        <w:rPr>
          <w:rFonts w:ascii="Times New Roman" w:hAnsi="Times New Roman"/>
          <w:sz w:val="24"/>
          <w:szCs w:val="24"/>
        </w:rPr>
        <w:t xml:space="preserve">      </w:t>
      </w:r>
    </w:p>
    <w:p w14:paraId="7F737600" w14:textId="77777777" w:rsidR="00F326E5" w:rsidRPr="0036327D" w:rsidRDefault="00F326E5" w:rsidP="00F326E5">
      <w:pPr>
        <w:rPr>
          <w:rFonts w:ascii="Times New Roman" w:hAnsi="Times New Roman"/>
          <w:b/>
          <w:sz w:val="24"/>
          <w:szCs w:val="24"/>
        </w:rPr>
      </w:pPr>
      <w:r w:rsidRPr="0036327D">
        <w:rPr>
          <w:rFonts w:ascii="Times New Roman" w:hAnsi="Times New Roman"/>
          <w:b/>
          <w:sz w:val="24"/>
          <w:szCs w:val="24"/>
        </w:rPr>
        <w:t xml:space="preserve">LEGAL LESSONS LEARNED:  Surveillance records are protected from disclosure; don’t need to even confirm existence of intelligence records. </w:t>
      </w:r>
    </w:p>
    <w:p w14:paraId="0B82D0F2" w14:textId="77777777" w:rsidR="00F326E5" w:rsidRPr="0036327D" w:rsidRDefault="00F326E5" w:rsidP="00F326E5">
      <w:pPr>
        <w:ind w:left="720"/>
        <w:rPr>
          <w:rFonts w:ascii="Times New Roman" w:hAnsi="Times New Roman"/>
          <w:sz w:val="24"/>
          <w:szCs w:val="24"/>
        </w:rPr>
      </w:pPr>
      <w:r w:rsidRPr="0036327D">
        <w:rPr>
          <w:rFonts w:ascii="Times New Roman" w:hAnsi="Times New Roman"/>
          <w:sz w:val="24"/>
          <w:szCs w:val="24"/>
        </w:rPr>
        <w:lastRenderedPageBreak/>
        <w:t xml:space="preserve">See article on this decision: </w:t>
      </w:r>
      <w:hyperlink r:id="rId813" w:history="1">
        <w:r w:rsidRPr="0036327D">
          <w:rPr>
            <w:rStyle w:val="Hyperlink"/>
            <w:rFonts w:ascii="Times New Roman" w:hAnsi="Times New Roman"/>
            <w:sz w:val="24"/>
            <w:szCs w:val="24"/>
          </w:rPr>
          <w:t>https://www.law.com/newyorklawjournal/2018/03/29/ny-high-court-allows-nypd-to-evade-giving-foil-requested-information-about-muslim-surveillance/</w:t>
        </w:r>
      </w:hyperlink>
    </w:p>
    <w:bookmarkEnd w:id="171"/>
    <w:p w14:paraId="3496799B" w14:textId="77777777" w:rsidR="00F326E5" w:rsidRPr="00150349" w:rsidRDefault="00F326E5" w:rsidP="00F326E5">
      <w:pPr>
        <w:pStyle w:val="NoSpacing"/>
        <w:rPr>
          <w:b/>
          <w:sz w:val="24"/>
          <w:szCs w:val="24"/>
        </w:rPr>
      </w:pPr>
    </w:p>
    <w:p w14:paraId="0BC3F0CD" w14:textId="48C4A3B5" w:rsidR="00F326E5" w:rsidRPr="00EF1133" w:rsidRDefault="00EF1133" w:rsidP="00F326E5">
      <w:pPr>
        <w:rPr>
          <w:rFonts w:ascii="Arial Black" w:hAnsi="Arial Black"/>
          <w:color w:val="4A4A4A"/>
          <w:sz w:val="24"/>
          <w:szCs w:val="24"/>
          <w:lang w:val="en"/>
        </w:rPr>
      </w:pPr>
      <w:r w:rsidRPr="00EF1133">
        <w:rPr>
          <w:rFonts w:ascii="Arial Black" w:hAnsi="Arial Black"/>
          <w:color w:val="4A4A4A"/>
          <w:sz w:val="24"/>
          <w:szCs w:val="24"/>
          <w:lang w:val="en"/>
        </w:rPr>
        <w:t>3-1</w:t>
      </w:r>
    </w:p>
    <w:p w14:paraId="76F99281" w14:textId="2D028A27" w:rsidR="00F326E5" w:rsidRDefault="00F326E5" w:rsidP="00F326E5">
      <w:pPr>
        <w:rPr>
          <w:rFonts w:ascii="Arial Black" w:hAnsi="Arial Black"/>
          <w:b/>
          <w:color w:val="4A4A4A"/>
          <w:sz w:val="28"/>
          <w:szCs w:val="28"/>
          <w:lang w:val="en"/>
        </w:rPr>
      </w:pPr>
      <w:bookmarkStart w:id="172" w:name="_Hlk7342091"/>
      <w:r w:rsidRPr="00391684">
        <w:rPr>
          <w:rFonts w:ascii="Arial Black" w:hAnsi="Arial Black"/>
          <w:b/>
          <w:color w:val="4A4A4A"/>
          <w:sz w:val="28"/>
          <w:szCs w:val="28"/>
          <w:lang w:val="en"/>
        </w:rPr>
        <w:t>U.S. SUP</w:t>
      </w:r>
      <w:r>
        <w:rPr>
          <w:rFonts w:ascii="Arial Black" w:hAnsi="Arial Black"/>
          <w:b/>
          <w:color w:val="4A4A4A"/>
          <w:sz w:val="28"/>
          <w:szCs w:val="28"/>
          <w:lang w:val="en"/>
        </w:rPr>
        <w:t>. C</w:t>
      </w:r>
      <w:r w:rsidRPr="00391684">
        <w:rPr>
          <w:rFonts w:ascii="Arial Black" w:hAnsi="Arial Black"/>
          <w:b/>
          <w:color w:val="4A4A4A"/>
          <w:sz w:val="28"/>
          <w:szCs w:val="28"/>
          <w:lang w:val="en"/>
        </w:rPr>
        <w:t>OURT</w:t>
      </w:r>
      <w:r>
        <w:rPr>
          <w:rFonts w:ascii="Arial Black" w:hAnsi="Arial Black"/>
          <w:b/>
          <w:color w:val="4A4A4A"/>
          <w:sz w:val="28"/>
          <w:szCs w:val="28"/>
          <w:lang w:val="en"/>
        </w:rPr>
        <w:t>: HAMAS BOMBINGS IN ISRAEL – CAN’T SEIZE ANCIENT IRANIAN TABLETS IN CHICAGO</w:t>
      </w:r>
    </w:p>
    <w:p w14:paraId="691A3832" w14:textId="77777777" w:rsidR="009C4A80" w:rsidRDefault="00F326E5" w:rsidP="00F326E5">
      <w:pPr>
        <w:rPr>
          <w:rFonts w:ascii="Times New Roman" w:hAnsi="Times New Roman"/>
          <w:color w:val="4A4A4A"/>
          <w:sz w:val="24"/>
          <w:szCs w:val="24"/>
          <w:lang w:val="en"/>
        </w:rPr>
      </w:pPr>
      <w:r w:rsidRPr="0036327D">
        <w:rPr>
          <w:rFonts w:ascii="Times New Roman" w:hAnsi="Times New Roman"/>
          <w:color w:val="4A4A4A"/>
          <w:sz w:val="24"/>
          <w:szCs w:val="24"/>
          <w:lang w:val="en"/>
        </w:rPr>
        <w:t xml:space="preserve">On Feb. 21, 2018, in </w:t>
      </w:r>
      <w:r w:rsidRPr="0036327D">
        <w:rPr>
          <w:rFonts w:ascii="Times New Roman" w:hAnsi="Times New Roman"/>
          <w:color w:val="4A4A4A"/>
          <w:sz w:val="24"/>
          <w:szCs w:val="24"/>
          <w:u w:val="single"/>
          <w:lang w:val="en"/>
        </w:rPr>
        <w:t>Rubin v. Islamic Republic of Iran</w:t>
      </w:r>
      <w:r w:rsidRPr="0036327D">
        <w:rPr>
          <w:rFonts w:ascii="Times New Roman" w:hAnsi="Times New Roman"/>
          <w:color w:val="4A4A4A"/>
          <w:sz w:val="24"/>
          <w:szCs w:val="24"/>
          <w:lang w:val="en"/>
        </w:rPr>
        <w:t xml:space="preserve">, the U.S. Supreme Court held (8 to 0; Justice Kegan did not participate) that 30,000 ancient clay tablets held at University of Chicago cannot be seized to pay $71.5 million judgement against Iran.  Justice Sotomayor wrote, </w:t>
      </w:r>
    </w:p>
    <w:p w14:paraId="5F765B3E" w14:textId="5AC1A1AD" w:rsidR="00F326E5" w:rsidRPr="0036327D" w:rsidRDefault="00F326E5" w:rsidP="009C4A80">
      <w:pPr>
        <w:ind w:left="720"/>
        <w:rPr>
          <w:rFonts w:ascii="Times New Roman" w:hAnsi="Times New Roman"/>
          <w:color w:val="4A4A4A"/>
          <w:sz w:val="24"/>
          <w:szCs w:val="24"/>
          <w:lang w:val="en"/>
        </w:rPr>
      </w:pPr>
      <w:r w:rsidRPr="0036327D">
        <w:rPr>
          <w:rFonts w:ascii="Times New Roman" w:hAnsi="Times New Roman"/>
          <w:color w:val="4A4A4A"/>
          <w:sz w:val="24"/>
          <w:szCs w:val="24"/>
          <w:lang w:val="en"/>
        </w:rPr>
        <w:t xml:space="preserve">“Where the FSIA goes so far as to divest a foreign state or property of immunity in relation to terrorism related judgments, however, it does so expressly.  See §§1605A, 1610(a)(7), (b)(3), (f)(1)(A); §201(a) of the TRIA. Out of respect for the delicate balance that Congress struck in enacting the FSIA, we decline to read into the statute a blanket abrogation of attachment and execution immunity for §1605A judgment holders absent a clearer indication of Congress’ intent.” </w:t>
      </w:r>
      <w:hyperlink r:id="rId814" w:history="1">
        <w:r w:rsidRPr="0036327D">
          <w:rPr>
            <w:rStyle w:val="Hyperlink"/>
            <w:rFonts w:ascii="Times New Roman" w:hAnsi="Times New Roman"/>
            <w:sz w:val="24"/>
            <w:szCs w:val="24"/>
            <w:lang w:val="en"/>
          </w:rPr>
          <w:t>file:///C:/Users/lawre/AppData/Local/Microsoft/Windows/INetCache/IE/XO250S7T/16-534_6jfm.pdf</w:t>
        </w:r>
      </w:hyperlink>
      <w:r w:rsidRPr="0036327D">
        <w:rPr>
          <w:rFonts w:ascii="Times New Roman" w:hAnsi="Times New Roman"/>
          <w:color w:val="4A4A4A"/>
          <w:sz w:val="24"/>
          <w:szCs w:val="24"/>
          <w:lang w:val="en"/>
        </w:rPr>
        <w:t xml:space="preserve"> </w:t>
      </w:r>
    </w:p>
    <w:p w14:paraId="5A974771" w14:textId="77777777" w:rsidR="00F326E5" w:rsidRPr="0036327D" w:rsidRDefault="00F326E5" w:rsidP="00F326E5">
      <w:pPr>
        <w:rPr>
          <w:rFonts w:ascii="Times New Roman" w:hAnsi="Times New Roman"/>
          <w:b/>
          <w:color w:val="4A4A4A"/>
          <w:sz w:val="24"/>
          <w:szCs w:val="24"/>
          <w:lang w:val="en"/>
        </w:rPr>
      </w:pPr>
      <w:r w:rsidRPr="0036327D">
        <w:rPr>
          <w:rFonts w:ascii="Times New Roman" w:hAnsi="Times New Roman"/>
          <w:b/>
          <w:color w:val="4A4A4A"/>
          <w:sz w:val="24"/>
          <w:szCs w:val="24"/>
          <w:lang w:val="en"/>
        </w:rPr>
        <w:t xml:space="preserve">LEGAL LESSONS LEARNED: Congress can amend FSIA to clarify that Iran is a sponsor of terrorists, and their property in USA can be subject to seizure.  </w:t>
      </w:r>
    </w:p>
    <w:p w14:paraId="60CCDAD5" w14:textId="3148EDBF" w:rsidR="00F326E5" w:rsidRDefault="00F326E5" w:rsidP="0005503D">
      <w:pPr>
        <w:ind w:left="720"/>
        <w:rPr>
          <w:rFonts w:ascii="Arial Black" w:hAnsi="Arial Black"/>
          <w:b/>
          <w:sz w:val="40"/>
          <w:szCs w:val="40"/>
        </w:rPr>
      </w:pPr>
      <w:r w:rsidRPr="0036327D">
        <w:rPr>
          <w:rFonts w:ascii="Times New Roman" w:hAnsi="Times New Roman"/>
          <w:color w:val="4A4A4A"/>
          <w:sz w:val="24"/>
          <w:szCs w:val="24"/>
          <w:lang w:val="en"/>
        </w:rPr>
        <w:t>See article on the decision:  “</w:t>
      </w:r>
      <w:r w:rsidRPr="0036327D">
        <w:rPr>
          <w:rFonts w:ascii="Times New Roman" w:hAnsi="Times New Roman"/>
          <w:sz w:val="24"/>
          <w:szCs w:val="24"/>
          <w:lang w:val="en"/>
        </w:rPr>
        <w:t xml:space="preserve">Wednesday’s ruling is also likely to dictate the outcome of a similar dispute pending before the justices in which four different groups of plaintiffs representing those injured in other allegedly Iran-backed attacks are seeking to enforce court judgments by seizing $17.6 million in assets held by Iranian government-owned Bank Melli.” </w:t>
      </w:r>
      <w:hyperlink r:id="rId815" w:history="1">
        <w:r w:rsidRPr="0036327D">
          <w:rPr>
            <w:rStyle w:val="Hyperlink"/>
            <w:rFonts w:ascii="Times New Roman" w:hAnsi="Times New Roman"/>
            <w:sz w:val="24"/>
            <w:szCs w:val="24"/>
            <w:lang w:val="en"/>
          </w:rPr>
          <w:t>https://in.reuters.com/article/usa-court-iran/u-s-top-court-forbids-seizure-of-ancient-persian-artifacts-idINKCN1G51ZY</w:t>
        </w:r>
      </w:hyperlink>
      <w:r w:rsidRPr="0036327D">
        <w:rPr>
          <w:rFonts w:ascii="Times New Roman" w:hAnsi="Times New Roman"/>
          <w:color w:val="4A4A4A"/>
          <w:sz w:val="24"/>
          <w:szCs w:val="24"/>
          <w:lang w:val="en"/>
        </w:rPr>
        <w:t xml:space="preserve"> </w:t>
      </w:r>
      <w:bookmarkEnd w:id="172"/>
      <w:r>
        <w:rPr>
          <w:rFonts w:ascii="Arial Black" w:hAnsi="Arial Black"/>
          <w:b/>
          <w:sz w:val="40"/>
          <w:szCs w:val="40"/>
        </w:rPr>
        <w:br w:type="page"/>
      </w:r>
    </w:p>
    <w:p w14:paraId="234826B4" w14:textId="77777777" w:rsidR="00680234" w:rsidRDefault="00680234" w:rsidP="00F326E5">
      <w:pPr>
        <w:pStyle w:val="NoSpacing"/>
        <w:rPr>
          <w:rFonts w:ascii="Arial Black" w:hAnsi="Arial Black"/>
          <w:sz w:val="40"/>
          <w:szCs w:val="40"/>
        </w:rPr>
      </w:pPr>
    </w:p>
    <w:p w14:paraId="31A4BC5A" w14:textId="77777777" w:rsidR="00680234" w:rsidRDefault="00680234" w:rsidP="00F326E5">
      <w:pPr>
        <w:pStyle w:val="NoSpacing"/>
        <w:rPr>
          <w:rFonts w:ascii="Arial Black" w:hAnsi="Arial Black"/>
          <w:sz w:val="40"/>
          <w:szCs w:val="40"/>
        </w:rPr>
      </w:pPr>
    </w:p>
    <w:p w14:paraId="368696E1" w14:textId="77777777" w:rsidR="00680234" w:rsidRDefault="00680234" w:rsidP="00F326E5">
      <w:pPr>
        <w:pStyle w:val="NoSpacing"/>
        <w:rPr>
          <w:rFonts w:ascii="Arial Black" w:hAnsi="Arial Black"/>
          <w:sz w:val="40"/>
          <w:szCs w:val="40"/>
        </w:rPr>
      </w:pPr>
    </w:p>
    <w:p w14:paraId="77AA98B7" w14:textId="77777777" w:rsidR="00680234" w:rsidRDefault="00680234" w:rsidP="00F326E5">
      <w:pPr>
        <w:pStyle w:val="NoSpacing"/>
        <w:rPr>
          <w:rFonts w:ascii="Arial Black" w:hAnsi="Arial Black"/>
          <w:sz w:val="40"/>
          <w:szCs w:val="40"/>
        </w:rPr>
      </w:pPr>
    </w:p>
    <w:p w14:paraId="46CB6D8C" w14:textId="77777777" w:rsidR="00680234" w:rsidRDefault="00680234" w:rsidP="00F326E5">
      <w:pPr>
        <w:pStyle w:val="NoSpacing"/>
        <w:rPr>
          <w:rFonts w:ascii="Arial Black" w:hAnsi="Arial Black"/>
          <w:sz w:val="40"/>
          <w:szCs w:val="40"/>
        </w:rPr>
      </w:pPr>
    </w:p>
    <w:p w14:paraId="14071E9C" w14:textId="77777777" w:rsidR="00680234" w:rsidRDefault="00680234" w:rsidP="00F326E5">
      <w:pPr>
        <w:pStyle w:val="NoSpacing"/>
        <w:rPr>
          <w:rFonts w:ascii="Arial Black" w:hAnsi="Arial Black"/>
          <w:sz w:val="40"/>
          <w:szCs w:val="40"/>
        </w:rPr>
      </w:pPr>
    </w:p>
    <w:p w14:paraId="2D6406AE" w14:textId="77777777" w:rsidR="00680234" w:rsidRDefault="00680234" w:rsidP="00F326E5">
      <w:pPr>
        <w:pStyle w:val="NoSpacing"/>
        <w:rPr>
          <w:rFonts w:ascii="Arial Black" w:hAnsi="Arial Black"/>
          <w:sz w:val="40"/>
          <w:szCs w:val="40"/>
        </w:rPr>
      </w:pPr>
    </w:p>
    <w:p w14:paraId="3130033F" w14:textId="77777777" w:rsidR="00680234" w:rsidRDefault="00680234" w:rsidP="00F326E5">
      <w:pPr>
        <w:pStyle w:val="NoSpacing"/>
        <w:rPr>
          <w:rFonts w:ascii="Arial Black" w:hAnsi="Arial Black"/>
          <w:sz w:val="40"/>
          <w:szCs w:val="40"/>
        </w:rPr>
      </w:pPr>
    </w:p>
    <w:p w14:paraId="0D9FFFD5" w14:textId="77777777" w:rsidR="00680234" w:rsidRDefault="00680234" w:rsidP="00F326E5">
      <w:pPr>
        <w:pStyle w:val="NoSpacing"/>
        <w:rPr>
          <w:rFonts w:ascii="Arial Black" w:hAnsi="Arial Black"/>
          <w:sz w:val="40"/>
          <w:szCs w:val="40"/>
        </w:rPr>
      </w:pPr>
    </w:p>
    <w:p w14:paraId="3028D8A8" w14:textId="77777777" w:rsidR="00680234" w:rsidRDefault="00680234" w:rsidP="00F326E5">
      <w:pPr>
        <w:pStyle w:val="NoSpacing"/>
        <w:rPr>
          <w:rFonts w:ascii="Arial Black" w:hAnsi="Arial Black"/>
          <w:sz w:val="40"/>
          <w:szCs w:val="40"/>
        </w:rPr>
      </w:pPr>
    </w:p>
    <w:p w14:paraId="3D187AED" w14:textId="77777777" w:rsidR="00680234" w:rsidRDefault="00680234" w:rsidP="00F326E5">
      <w:pPr>
        <w:pStyle w:val="NoSpacing"/>
        <w:rPr>
          <w:rFonts w:ascii="Arial Black" w:hAnsi="Arial Black"/>
          <w:sz w:val="40"/>
          <w:szCs w:val="40"/>
        </w:rPr>
      </w:pPr>
    </w:p>
    <w:p w14:paraId="3739BA1F" w14:textId="77777777" w:rsidR="00680234" w:rsidRDefault="00680234" w:rsidP="00F326E5">
      <w:pPr>
        <w:pStyle w:val="NoSpacing"/>
        <w:rPr>
          <w:rFonts w:ascii="Arial Black" w:hAnsi="Arial Black"/>
          <w:sz w:val="40"/>
          <w:szCs w:val="40"/>
        </w:rPr>
      </w:pPr>
    </w:p>
    <w:p w14:paraId="4AA2DBD7" w14:textId="77777777" w:rsidR="00680234" w:rsidRDefault="00680234" w:rsidP="00F326E5">
      <w:pPr>
        <w:pStyle w:val="NoSpacing"/>
        <w:rPr>
          <w:rFonts w:ascii="Arial Black" w:hAnsi="Arial Black"/>
          <w:sz w:val="40"/>
          <w:szCs w:val="40"/>
        </w:rPr>
      </w:pPr>
    </w:p>
    <w:p w14:paraId="6649EE15" w14:textId="77777777" w:rsidR="00680234" w:rsidRDefault="00680234" w:rsidP="00F326E5">
      <w:pPr>
        <w:pStyle w:val="NoSpacing"/>
        <w:rPr>
          <w:rFonts w:ascii="Arial Black" w:hAnsi="Arial Black"/>
          <w:sz w:val="40"/>
          <w:szCs w:val="40"/>
        </w:rPr>
      </w:pPr>
    </w:p>
    <w:p w14:paraId="4AE59C16" w14:textId="77777777" w:rsidR="00680234" w:rsidRDefault="00680234" w:rsidP="00F326E5">
      <w:pPr>
        <w:pStyle w:val="NoSpacing"/>
        <w:rPr>
          <w:rFonts w:ascii="Arial Black" w:hAnsi="Arial Black"/>
          <w:sz w:val="40"/>
          <w:szCs w:val="40"/>
        </w:rPr>
      </w:pPr>
    </w:p>
    <w:p w14:paraId="0DC1D59F" w14:textId="77777777" w:rsidR="00680234" w:rsidRDefault="00680234" w:rsidP="00F326E5">
      <w:pPr>
        <w:pStyle w:val="NoSpacing"/>
        <w:rPr>
          <w:rFonts w:ascii="Arial Black" w:hAnsi="Arial Black"/>
          <w:sz w:val="40"/>
          <w:szCs w:val="40"/>
        </w:rPr>
      </w:pPr>
    </w:p>
    <w:p w14:paraId="35ED3CCC" w14:textId="77777777" w:rsidR="00680234" w:rsidRDefault="00680234" w:rsidP="00F326E5">
      <w:pPr>
        <w:pStyle w:val="NoSpacing"/>
        <w:rPr>
          <w:rFonts w:ascii="Arial Black" w:hAnsi="Arial Black"/>
          <w:sz w:val="40"/>
          <w:szCs w:val="40"/>
        </w:rPr>
      </w:pPr>
    </w:p>
    <w:p w14:paraId="2D26EE6A" w14:textId="77777777" w:rsidR="00680234" w:rsidRDefault="00680234" w:rsidP="00F326E5">
      <w:pPr>
        <w:pStyle w:val="NoSpacing"/>
        <w:rPr>
          <w:rFonts w:ascii="Arial Black" w:hAnsi="Arial Black"/>
          <w:sz w:val="40"/>
          <w:szCs w:val="40"/>
        </w:rPr>
      </w:pPr>
    </w:p>
    <w:p w14:paraId="7B23D8BA" w14:textId="77777777" w:rsidR="00680234" w:rsidRDefault="00680234" w:rsidP="00F326E5">
      <w:pPr>
        <w:pStyle w:val="NoSpacing"/>
        <w:rPr>
          <w:rFonts w:ascii="Arial Black" w:hAnsi="Arial Black"/>
          <w:sz w:val="40"/>
          <w:szCs w:val="40"/>
        </w:rPr>
      </w:pPr>
    </w:p>
    <w:p w14:paraId="554774DE" w14:textId="77777777" w:rsidR="00680234" w:rsidRDefault="00680234" w:rsidP="00F326E5">
      <w:pPr>
        <w:pStyle w:val="NoSpacing"/>
        <w:rPr>
          <w:rFonts w:ascii="Arial Black" w:hAnsi="Arial Black"/>
          <w:sz w:val="40"/>
          <w:szCs w:val="40"/>
        </w:rPr>
      </w:pPr>
    </w:p>
    <w:p w14:paraId="1873C028" w14:textId="77777777" w:rsidR="00680234" w:rsidRDefault="00680234" w:rsidP="00F326E5">
      <w:pPr>
        <w:pStyle w:val="NoSpacing"/>
        <w:rPr>
          <w:rFonts w:ascii="Arial Black" w:hAnsi="Arial Black"/>
          <w:sz w:val="40"/>
          <w:szCs w:val="40"/>
        </w:rPr>
      </w:pPr>
    </w:p>
    <w:p w14:paraId="22A87D14" w14:textId="77777777" w:rsidR="00680234" w:rsidRDefault="00680234" w:rsidP="00F326E5">
      <w:pPr>
        <w:pStyle w:val="NoSpacing"/>
        <w:rPr>
          <w:rFonts w:ascii="Arial Black" w:hAnsi="Arial Black"/>
          <w:sz w:val="40"/>
          <w:szCs w:val="40"/>
        </w:rPr>
      </w:pPr>
    </w:p>
    <w:p w14:paraId="21DEF991" w14:textId="77777777" w:rsidR="00680234" w:rsidRDefault="00680234" w:rsidP="00F326E5">
      <w:pPr>
        <w:pStyle w:val="NoSpacing"/>
        <w:rPr>
          <w:rFonts w:ascii="Arial Black" w:hAnsi="Arial Black"/>
          <w:sz w:val="40"/>
          <w:szCs w:val="40"/>
        </w:rPr>
      </w:pPr>
    </w:p>
    <w:p w14:paraId="14DF8684" w14:textId="77777777" w:rsidR="00680234" w:rsidRDefault="00680234" w:rsidP="00F326E5">
      <w:pPr>
        <w:pStyle w:val="NoSpacing"/>
        <w:rPr>
          <w:rFonts w:ascii="Arial Black" w:hAnsi="Arial Black"/>
          <w:sz w:val="40"/>
          <w:szCs w:val="40"/>
        </w:rPr>
      </w:pPr>
    </w:p>
    <w:p w14:paraId="2EB685D0" w14:textId="77777777" w:rsidR="00680234" w:rsidRDefault="00680234" w:rsidP="00F326E5">
      <w:pPr>
        <w:pStyle w:val="NoSpacing"/>
        <w:rPr>
          <w:rFonts w:ascii="Arial Black" w:hAnsi="Arial Black"/>
          <w:sz w:val="40"/>
          <w:szCs w:val="40"/>
        </w:rPr>
      </w:pPr>
    </w:p>
    <w:p w14:paraId="2DF3FF63" w14:textId="5E383E2F"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4</w:t>
      </w:r>
      <w:r w:rsidRPr="007732FA">
        <w:rPr>
          <w:rFonts w:ascii="Arial Black" w:hAnsi="Arial Black"/>
          <w:sz w:val="40"/>
          <w:szCs w:val="40"/>
        </w:rPr>
        <w:tab/>
        <w:t>Incident Command</w:t>
      </w:r>
      <w:r w:rsidR="003F660F">
        <w:rPr>
          <w:rFonts w:ascii="Arial Black" w:hAnsi="Arial Black"/>
          <w:sz w:val="40"/>
          <w:szCs w:val="40"/>
        </w:rPr>
        <w:t>, including T</w:t>
      </w:r>
      <w:r w:rsidRPr="007732FA">
        <w:rPr>
          <w:rFonts w:ascii="Arial Black" w:hAnsi="Arial Black"/>
          <w:sz w:val="40"/>
          <w:szCs w:val="40"/>
        </w:rPr>
        <w:t>raining</w:t>
      </w:r>
      <w:r w:rsidR="003F660F">
        <w:rPr>
          <w:rFonts w:ascii="Arial Black" w:hAnsi="Arial Black"/>
          <w:sz w:val="40"/>
          <w:szCs w:val="40"/>
        </w:rPr>
        <w:t xml:space="preserve">, </w:t>
      </w:r>
      <w:r w:rsidRPr="007732FA">
        <w:rPr>
          <w:rFonts w:ascii="Arial Black" w:hAnsi="Arial Black"/>
          <w:sz w:val="40"/>
          <w:szCs w:val="40"/>
        </w:rPr>
        <w:t>Drones</w:t>
      </w:r>
    </w:p>
    <w:p w14:paraId="049942EC" w14:textId="77777777" w:rsidR="00F326E5" w:rsidRDefault="00F326E5" w:rsidP="00F326E5">
      <w:pPr>
        <w:pStyle w:val="NoSpacing"/>
        <w:rPr>
          <w:b/>
          <w:sz w:val="24"/>
          <w:szCs w:val="24"/>
        </w:rPr>
      </w:pPr>
    </w:p>
    <w:p w14:paraId="5AE6CCA6" w14:textId="2C797984" w:rsidR="00440081" w:rsidRDefault="00440081" w:rsidP="000636AB">
      <w:pPr>
        <w:rPr>
          <w:rStyle w:val="Hyperlink"/>
          <w:rFonts w:ascii="Arial Black" w:hAnsi="Arial Black"/>
          <w:b/>
          <w:color w:val="auto"/>
          <w:sz w:val="24"/>
          <w:szCs w:val="24"/>
          <w:u w:val="none"/>
        </w:rPr>
      </w:pPr>
      <w:bookmarkStart w:id="173" w:name="_Hlk7342420"/>
      <w:r>
        <w:rPr>
          <w:rStyle w:val="Hyperlink"/>
          <w:rFonts w:ascii="Arial Black" w:hAnsi="Arial Black"/>
          <w:b/>
          <w:color w:val="auto"/>
          <w:sz w:val="24"/>
          <w:szCs w:val="24"/>
          <w:u w:val="none"/>
        </w:rPr>
        <w:t>4-54</w:t>
      </w:r>
    </w:p>
    <w:p w14:paraId="4B965CEA" w14:textId="77777777" w:rsidR="00CA14CD" w:rsidRDefault="00CA14CD" w:rsidP="00CA14CD">
      <w:pPr>
        <w:pStyle w:val="NoSpacing"/>
        <w:rPr>
          <w:rFonts w:ascii="Arial Black" w:hAnsi="Arial Black"/>
          <w:sz w:val="28"/>
          <w:szCs w:val="28"/>
        </w:rPr>
      </w:pPr>
      <w:r>
        <w:rPr>
          <w:rFonts w:ascii="Arial Black" w:hAnsi="Arial Black"/>
          <w:sz w:val="28"/>
          <w:szCs w:val="28"/>
        </w:rPr>
        <w:t xml:space="preserve">NC: DIESEL SPILL – TRUCKING CO. NOT TOLD TO CLEAN UP </w:t>
      </w:r>
    </w:p>
    <w:p w14:paraId="627760F6" w14:textId="77777777" w:rsidR="00CA14CD" w:rsidRDefault="00CA14CD" w:rsidP="00CA14CD">
      <w:pPr>
        <w:pStyle w:val="NoSpacing"/>
      </w:pPr>
    </w:p>
    <w:p w14:paraId="18CFA30C" w14:textId="77777777" w:rsidR="00CA14CD" w:rsidRDefault="00CA14CD" w:rsidP="00CA14CD">
      <w:pPr>
        <w:pStyle w:val="NoSpacing"/>
      </w:pPr>
      <w:r>
        <w:t xml:space="preserve">On March 18, 2026, in </w:t>
      </w:r>
      <w:r w:rsidRPr="00C80146">
        <w:rPr>
          <w:u w:val="single"/>
        </w:rPr>
        <w:t>William Fulp Wrecker Service, Inc. v. Fishline Trucking, L.L.C</w:t>
      </w:r>
      <w:r>
        <w:t xml:space="preserve">., the </w:t>
      </w:r>
      <w:r w:rsidRPr="001B06FF">
        <w:t>Court of Appeals of North Carolina</w:t>
      </w:r>
      <w:r>
        <w:t xml:space="preserve"> held (3 to 0) that trial court judge properly granted summary judgment to the trucking company; they were billed </w:t>
      </w:r>
      <w:r w:rsidRPr="00DA0AA4">
        <w:t>$289,707.00</w:t>
      </w:r>
      <w:r>
        <w:t xml:space="preserve">by the wrecker service for the </w:t>
      </w:r>
      <w:proofErr w:type="spellStart"/>
      <w:r>
        <w:t>clean up</w:t>
      </w:r>
      <w:proofErr w:type="spellEnd"/>
      <w:r>
        <w:t>, but the plaintiff “performed the remediation at the direction of government agencies,</w:t>
      </w:r>
    </w:p>
    <w:p w14:paraId="70AEC97D" w14:textId="77777777" w:rsidR="00CA14CD" w:rsidRDefault="00CA14CD" w:rsidP="00CA14CD">
      <w:pPr>
        <w:pStyle w:val="NoSpacing"/>
      </w:pPr>
      <w:r>
        <w:t>and the evidence does not indicate defendant requested, authorized, or knowingly accepted the benefit” and the County’s attempts to impose liability for hazardous material spills</w:t>
      </w:r>
    </w:p>
    <w:p w14:paraId="7C74C135" w14:textId="77777777" w:rsidR="00CA14CD" w:rsidRDefault="00CA14CD" w:rsidP="00CA14CD">
      <w:pPr>
        <w:pStyle w:val="NoSpacing"/>
        <w:rPr>
          <w:b/>
        </w:rPr>
      </w:pPr>
      <w:r>
        <w:t xml:space="preserve">from transportation accidents, it exceeds the county’s regulatory authority (only regulates “nonhazardous solid waste”).  </w:t>
      </w:r>
      <w:hyperlink r:id="rId816" w:history="1">
        <w:r w:rsidRPr="001F11D0">
          <w:rPr>
            <w:rStyle w:val="Hyperlink"/>
            <w:b/>
          </w:rPr>
          <w:t>https://appellate.nccourts.org/opinions/?c=2&amp;pdf=44475</w:t>
        </w:r>
      </w:hyperlink>
      <w:r>
        <w:rPr>
          <w:b/>
        </w:rPr>
        <w:t xml:space="preserve"> </w:t>
      </w:r>
    </w:p>
    <w:p w14:paraId="262517C0" w14:textId="77777777" w:rsidR="00CA14CD" w:rsidRDefault="00CA14CD" w:rsidP="00CA14CD">
      <w:pPr>
        <w:pStyle w:val="NoSpacing"/>
      </w:pPr>
    </w:p>
    <w:p w14:paraId="780CE036" w14:textId="77777777" w:rsidR="00CA14CD" w:rsidRPr="00250277" w:rsidRDefault="00CA14CD" w:rsidP="00CA14CD">
      <w:pPr>
        <w:pStyle w:val="NoSpacing"/>
      </w:pPr>
      <w:r>
        <w:t>THE COURT HELD:  “</w:t>
      </w:r>
      <w:r w:rsidRPr="00250277">
        <w:t xml:space="preserve">On 22 August 2017, a tractor-trailer owned by defendant </w:t>
      </w:r>
      <w:proofErr w:type="spellStart"/>
      <w:r w:rsidRPr="00250277">
        <w:t>Finishline</w:t>
      </w:r>
      <w:proofErr w:type="spellEnd"/>
      <w:r w:rsidRPr="00250277">
        <w:t xml:space="preserve"> Trucking,</w:t>
      </w:r>
      <w:r>
        <w:t xml:space="preserve"> </w:t>
      </w:r>
      <w:r w:rsidRPr="00250277">
        <w:t>L.L.C., overturned in Davie County, North Carolina, resulting in a fire and the</w:t>
      </w:r>
    </w:p>
    <w:p w14:paraId="2102720D" w14:textId="77777777" w:rsidR="00CA14CD" w:rsidRPr="00250277" w:rsidRDefault="00CA14CD" w:rsidP="00CA14CD">
      <w:pPr>
        <w:pStyle w:val="NoSpacing"/>
      </w:pPr>
      <w:r w:rsidRPr="00250277">
        <w:t>release of diesel fuel and other automotive fluids. Emergency responders, including</w:t>
      </w:r>
    </w:p>
    <w:p w14:paraId="75DE2F11" w14:textId="77777777" w:rsidR="00CA14CD" w:rsidRDefault="00CA14CD" w:rsidP="00CA14CD">
      <w:pPr>
        <w:pStyle w:val="NoSpacing"/>
      </w:pPr>
      <w:r w:rsidRPr="00250277">
        <w:t xml:space="preserve">the Davie County Fire Marshal’s Office and Emergency Management </w:t>
      </w:r>
      <w:proofErr w:type="gramStart"/>
      <w:r w:rsidRPr="00250277">
        <w:t>Services</w:t>
      </w:r>
      <w:r>
        <w:t xml:space="preserve"> </w:t>
      </w:r>
      <w:r w:rsidRPr="00250277">
        <w:t>(</w:t>
      </w:r>
      <w:r>
        <w:t>‘</w:t>
      </w:r>
      <w:r w:rsidRPr="00250277">
        <w:t>EMS</w:t>
      </w:r>
      <w:r>
        <w:t>’</w:t>
      </w:r>
      <w:r w:rsidRPr="00250277">
        <w:t>)</w:t>
      </w:r>
      <w:proofErr w:type="gramEnd"/>
      <w:r w:rsidRPr="00250277">
        <w:t>, arrived at the scene. Fire Marshal Jerry Myers determined a cleanup was</w:t>
      </w:r>
      <w:r>
        <w:t xml:space="preserve"> </w:t>
      </w:r>
      <w:r w:rsidRPr="00250277">
        <w:t>necessary and contacted plaintiff William Fulp Wrecker Service, Inc. to assist in</w:t>
      </w:r>
      <w:r>
        <w:t xml:space="preserve"> </w:t>
      </w:r>
      <w:r w:rsidRPr="00250277">
        <w:t>containing and remediating the spill. Plaintiff’s work spanned nine days, involving</w:t>
      </w:r>
      <w:r>
        <w:t xml:space="preserve"> </w:t>
      </w:r>
      <w:r w:rsidRPr="00250277">
        <w:t>personnel, equipment, and oversight from the North Carolina Department of</w:t>
      </w:r>
      <w:r>
        <w:t xml:space="preserve"> </w:t>
      </w:r>
      <w:r w:rsidRPr="00250277">
        <w:t xml:space="preserve">Environmental </w:t>
      </w:r>
      <w:proofErr w:type="gramStart"/>
      <w:r w:rsidRPr="00250277">
        <w:t>Quality</w:t>
      </w:r>
      <w:r>
        <w:t xml:space="preserve"> </w:t>
      </w:r>
      <w:r w:rsidRPr="00250277">
        <w:t>(</w:t>
      </w:r>
      <w:r>
        <w:t>‘</w:t>
      </w:r>
      <w:proofErr w:type="gramEnd"/>
      <w:r w:rsidRPr="00250277">
        <w:t>NCDEQ</w:t>
      </w:r>
      <w:r>
        <w:t>’</w:t>
      </w:r>
      <w:r w:rsidRPr="00250277">
        <w:t>) and a geologist who conducted soil and water</w:t>
      </w:r>
      <w:r>
        <w:t xml:space="preserve"> t</w:t>
      </w:r>
      <w:r w:rsidRPr="00250277">
        <w:t>esting</w:t>
      </w:r>
      <w:r>
        <w:t>.</w:t>
      </w:r>
    </w:p>
    <w:p w14:paraId="67C090EA" w14:textId="77777777" w:rsidR="00CA14CD" w:rsidRDefault="00CA14CD" w:rsidP="00CA14CD">
      <w:pPr>
        <w:pStyle w:val="NoSpacing"/>
      </w:pPr>
    </w:p>
    <w:p w14:paraId="61845705" w14:textId="77777777" w:rsidR="00CA14CD" w:rsidRDefault="00CA14CD" w:rsidP="00CA14CD">
      <w:pPr>
        <w:pStyle w:val="NoSpacing"/>
      </w:pPr>
      <w:r>
        <w:t>***</w:t>
      </w:r>
    </w:p>
    <w:p w14:paraId="2D0B37E1" w14:textId="77777777" w:rsidR="00CA14CD" w:rsidRDefault="00CA14CD" w:rsidP="00CA14CD">
      <w:pPr>
        <w:pStyle w:val="NoSpacing"/>
      </w:pPr>
    </w:p>
    <w:p w14:paraId="226B7D25" w14:textId="77777777" w:rsidR="00CA14CD" w:rsidRDefault="00CA14CD" w:rsidP="00CA14CD">
      <w:pPr>
        <w:pStyle w:val="NoSpacing"/>
      </w:pPr>
      <w:r>
        <w:t xml:space="preserve">Plaintiff contends defendant was aware of and accepted the benefit of the cleanup, citing communications between Kent Fulp, plaintiff’s vice president, and an individual he believed to be Edward Garcia, </w:t>
      </w:r>
      <w:proofErr w:type="spellStart"/>
      <w:r>
        <w:t>Finishline’s</w:t>
      </w:r>
      <w:proofErr w:type="spellEnd"/>
      <w:r>
        <w:t xml:space="preserve"> owner. Plaintiff further states defendant’s representative provided insurance details, indicating an expectation that coverage would apply. Plaintiff sent defendant an invoice for </w:t>
      </w:r>
      <w:r w:rsidRPr="0058656B">
        <w:t xml:space="preserve">$289,707.00 on 14 September 2017 but received no </w:t>
      </w:r>
      <w:proofErr w:type="gramStart"/>
      <w:r w:rsidRPr="0058656B">
        <w:t>payment.</w:t>
      </w:r>
      <w:r>
        <w:t>”</w:t>
      </w:r>
      <w:proofErr w:type="gramEnd"/>
    </w:p>
    <w:p w14:paraId="10ACB615" w14:textId="77777777" w:rsidR="00CA14CD" w:rsidRDefault="00CA14CD" w:rsidP="00CA14CD">
      <w:pPr>
        <w:pStyle w:val="NoSpacing"/>
      </w:pPr>
    </w:p>
    <w:p w14:paraId="4CD1FB9A" w14:textId="77777777" w:rsidR="00CA14CD" w:rsidRPr="003A2413" w:rsidRDefault="00CA14CD" w:rsidP="00CA14CD">
      <w:pPr>
        <w:pStyle w:val="NoSpacing"/>
        <w:rPr>
          <w:b/>
          <w:bCs/>
        </w:rPr>
      </w:pPr>
      <w:r w:rsidRPr="003A2413">
        <w:rPr>
          <w:b/>
        </w:rPr>
        <w:t xml:space="preserve">Legal </w:t>
      </w:r>
      <w:proofErr w:type="gramStart"/>
      <w:r w:rsidRPr="003A2413">
        <w:rPr>
          <w:b/>
        </w:rPr>
        <w:t>lesson</w:t>
      </w:r>
      <w:proofErr w:type="gramEnd"/>
      <w:r w:rsidRPr="003A2413">
        <w:rPr>
          <w:b/>
        </w:rPr>
        <w:t xml:space="preserve"> learned: </w:t>
      </w:r>
      <w:r>
        <w:rPr>
          <w:b/>
        </w:rPr>
        <w:t xml:space="preserve">Incident Commander or other government official should directly contact trucking </w:t>
      </w:r>
      <w:proofErr w:type="gramStart"/>
      <w:r>
        <w:rPr>
          <w:b/>
        </w:rPr>
        <w:t>company</w:t>
      </w:r>
      <w:proofErr w:type="gramEnd"/>
      <w:r>
        <w:rPr>
          <w:b/>
        </w:rPr>
        <w:t xml:space="preserve"> and direct them to start clean-up immediately, with the </w:t>
      </w:r>
      <w:r>
        <w:rPr>
          <w:b/>
          <w:bCs/>
        </w:rPr>
        <w:t xml:space="preserve">certified </w:t>
      </w:r>
      <w:r>
        <w:rPr>
          <w:b/>
        </w:rPr>
        <w:t xml:space="preserve">clean-up company of their choice. </w:t>
      </w:r>
    </w:p>
    <w:p w14:paraId="2EAE10B9" w14:textId="77777777" w:rsidR="00CA14CD" w:rsidRDefault="00CA14CD" w:rsidP="00CA14CD">
      <w:pPr>
        <w:pStyle w:val="NoSpacing"/>
        <w:rPr>
          <w:b/>
        </w:rPr>
      </w:pPr>
    </w:p>
    <w:p w14:paraId="2C02F98D" w14:textId="77777777" w:rsidR="00440081" w:rsidRDefault="00440081" w:rsidP="000636AB">
      <w:pPr>
        <w:rPr>
          <w:rStyle w:val="Hyperlink"/>
          <w:rFonts w:ascii="Arial Black" w:hAnsi="Arial Black"/>
          <w:b/>
          <w:color w:val="auto"/>
          <w:sz w:val="24"/>
          <w:szCs w:val="24"/>
          <w:u w:val="none"/>
        </w:rPr>
      </w:pPr>
    </w:p>
    <w:p w14:paraId="0854E534" w14:textId="77777777" w:rsidR="00440081" w:rsidRDefault="00440081" w:rsidP="000636AB">
      <w:pPr>
        <w:rPr>
          <w:rStyle w:val="Hyperlink"/>
          <w:rFonts w:ascii="Arial Black" w:hAnsi="Arial Black"/>
          <w:b/>
          <w:color w:val="auto"/>
          <w:sz w:val="24"/>
          <w:szCs w:val="24"/>
          <w:u w:val="none"/>
        </w:rPr>
      </w:pPr>
    </w:p>
    <w:p w14:paraId="1115E283" w14:textId="77777777" w:rsidR="00440081" w:rsidRDefault="00440081" w:rsidP="000636AB">
      <w:pPr>
        <w:rPr>
          <w:rStyle w:val="Hyperlink"/>
          <w:rFonts w:ascii="Arial Black" w:hAnsi="Arial Black"/>
          <w:b/>
          <w:color w:val="auto"/>
          <w:sz w:val="24"/>
          <w:szCs w:val="24"/>
          <w:u w:val="none"/>
        </w:rPr>
      </w:pPr>
    </w:p>
    <w:p w14:paraId="3332DC0D" w14:textId="3BE9BD74" w:rsidR="00A221FA" w:rsidRDefault="00A221FA"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4-53</w:t>
      </w:r>
    </w:p>
    <w:p w14:paraId="7EEEADF6" w14:textId="77777777" w:rsidR="00A221FA" w:rsidRPr="00627240" w:rsidRDefault="00A221FA" w:rsidP="00A221FA">
      <w:pPr>
        <w:pStyle w:val="NoSpacing"/>
        <w:rPr>
          <w:rFonts w:ascii="Arial Black" w:hAnsi="Arial Black"/>
          <w:b/>
          <w:sz w:val="28"/>
          <w:szCs w:val="28"/>
        </w:rPr>
      </w:pPr>
      <w:r>
        <w:rPr>
          <w:rFonts w:ascii="Arial Black" w:hAnsi="Arial Black"/>
          <w:b/>
          <w:sz w:val="28"/>
          <w:szCs w:val="28"/>
        </w:rPr>
        <w:t>OR: BEACHIE CREEK FIRE – HELICOPTERS – GOV IMMUNITY</w:t>
      </w:r>
    </w:p>
    <w:p w14:paraId="2594C568" w14:textId="77777777" w:rsidR="00A221FA" w:rsidRDefault="00A221FA" w:rsidP="00A221FA">
      <w:pPr>
        <w:pStyle w:val="NoSpacing"/>
        <w:rPr>
          <w:b/>
        </w:rPr>
      </w:pPr>
    </w:p>
    <w:p w14:paraId="5765F72E" w14:textId="77777777" w:rsidR="00A221FA" w:rsidRDefault="00A221FA" w:rsidP="00A221FA">
      <w:pPr>
        <w:pStyle w:val="NoSpacing"/>
        <w:rPr>
          <w:b/>
        </w:rPr>
      </w:pPr>
      <w:r w:rsidRPr="00AC25BF">
        <w:t xml:space="preserve">On February 9, 2026, in </w:t>
      </w:r>
      <w:r w:rsidRPr="00935D72">
        <w:rPr>
          <w:u w:val="single"/>
        </w:rPr>
        <w:t>Freres Timber, Inc., et al. v. United States of America</w:t>
      </w:r>
      <w:r>
        <w:t xml:space="preserve">, </w:t>
      </w:r>
      <w:r w:rsidRPr="00935D72">
        <w:t>United States Court of Appeals for the Ninth Circuit (San Francisco) held (3 to 0</w:t>
      </w:r>
      <w:r>
        <w:t>; unpublished opinion</w:t>
      </w:r>
      <w:r w:rsidRPr="00935D72">
        <w:t>)</w:t>
      </w:r>
      <w:r>
        <w:t xml:space="preserve"> the Forest Service incident commanders have discretion </w:t>
      </w:r>
      <w:r w:rsidRPr="0016057A">
        <w:t>regarding how to use helicopters and how to mount an attack to fight the Beachie Creek fire</w:t>
      </w:r>
      <w:r>
        <w:t xml:space="preserve"> and Forest Service is immune from liability.  </w:t>
      </w:r>
    </w:p>
    <w:p w14:paraId="7DC875BA" w14:textId="77777777" w:rsidR="00A221FA" w:rsidRDefault="00A221FA" w:rsidP="00A221FA">
      <w:pPr>
        <w:pStyle w:val="NoSpacing"/>
        <w:rPr>
          <w:bCs/>
        </w:rPr>
      </w:pPr>
      <w:r w:rsidRPr="00627240">
        <w:lastRenderedPageBreak/>
        <w:t xml:space="preserve">The Beachie Creek Fire began Aug. 16, </w:t>
      </w:r>
      <w:proofErr w:type="gramStart"/>
      <w:r w:rsidRPr="00627240">
        <w:t>2020</w:t>
      </w:r>
      <w:proofErr w:type="gramEnd"/>
      <w:r>
        <w:t xml:space="preserve"> in the</w:t>
      </w:r>
      <w:r w:rsidRPr="00627240">
        <w:t xml:space="preserve"> Willamette National Forest</w:t>
      </w:r>
      <w:r>
        <w:t>, and a “</w:t>
      </w:r>
      <w:r w:rsidRPr="00627240">
        <w:t>historic windstorm</w:t>
      </w:r>
      <w:r>
        <w:t>”</w:t>
      </w:r>
      <w:r w:rsidRPr="00627240">
        <w:t xml:space="preserve"> on Monday, Sept. 7 caused rapid spread west through the Willamette and Mt. Hood National Forests, and adjacent private lands and communities. </w:t>
      </w:r>
      <w:hyperlink r:id="rId817" w:history="1">
        <w:r w:rsidRPr="00627240">
          <w:rPr>
            <w:rStyle w:val="Hyperlink"/>
          </w:rPr>
          <w:t>https://www.fs.usda.gov/r06/willamette/fire/info/beachie-creek-fire</w:t>
        </w:r>
      </w:hyperlink>
      <w:r w:rsidRPr="00627240">
        <w:t xml:space="preserve"> </w:t>
      </w:r>
    </w:p>
    <w:p w14:paraId="0E594E7E" w14:textId="77777777" w:rsidR="00A221FA" w:rsidRDefault="00A221FA" w:rsidP="00A221FA">
      <w:pPr>
        <w:pStyle w:val="NoSpacing"/>
        <w:rPr>
          <w:bCs/>
        </w:rPr>
      </w:pPr>
    </w:p>
    <w:p w14:paraId="1324FD3C" w14:textId="77777777" w:rsidR="00A221FA" w:rsidRDefault="00A221FA" w:rsidP="00A221FA">
      <w:pPr>
        <w:pStyle w:val="NoSpacing"/>
      </w:pPr>
      <w:r>
        <w:t>THE COURT HELD:  “</w:t>
      </w:r>
      <w:r w:rsidRPr="00CA4832">
        <w:t>Freres Timber, Inc. and Freres Lumber Co., Inc. (</w:t>
      </w:r>
      <w:r>
        <w:t>‘</w:t>
      </w:r>
      <w:r w:rsidRPr="00CA4832">
        <w:t>Freres</w:t>
      </w:r>
      <w:r>
        <w:t>’</w:t>
      </w:r>
      <w:r w:rsidRPr="00CA4832">
        <w:t>) appeal the district court's dismissal of their lawsuit asserting Federal Tort Claims Act (</w:t>
      </w:r>
      <w:r>
        <w:t>‘</w:t>
      </w:r>
      <w:r w:rsidRPr="00CA4832">
        <w:t>FTCA</w:t>
      </w:r>
      <w:r>
        <w:t>’</w:t>
      </w:r>
      <w:r w:rsidRPr="00CA4832">
        <w:t>) claims against the United States Forest Service (</w:t>
      </w:r>
      <w:r>
        <w:t>‘</w:t>
      </w:r>
      <w:r w:rsidRPr="00CA4832">
        <w:t>Forest Service</w:t>
      </w:r>
      <w:r>
        <w:t>’</w:t>
      </w:r>
      <w:r w:rsidRPr="00CA4832">
        <w:t xml:space="preserve">) for its negligent handling of the Beachie Creek fire. Freres also appeals the district court's denial of </w:t>
      </w:r>
      <w:proofErr w:type="spellStart"/>
      <w:r w:rsidRPr="00CA4832">
        <w:t>Freres's</w:t>
      </w:r>
      <w:proofErr w:type="spellEnd"/>
      <w:r w:rsidRPr="00CA4832">
        <w:t xml:space="preserve"> request for jurisdictional discovery. We have jurisdiction under 28 U.S.C. § 1291. We affirm.</w:t>
      </w:r>
      <w:r>
        <w:t xml:space="preserve"> ***  [T]he </w:t>
      </w:r>
    </w:p>
    <w:p w14:paraId="0D13A8E3" w14:textId="77777777" w:rsidR="00A221FA" w:rsidRDefault="00A221FA" w:rsidP="00A221FA">
      <w:pPr>
        <w:pStyle w:val="NoSpacing"/>
      </w:pPr>
      <w:r w:rsidRPr="0016057A">
        <w:t xml:space="preserve">Forest Service's decisions regarding how to use helicopters and how to mount an attack to fight the Beachie Creek fire were discretionary because they involved </w:t>
      </w:r>
      <w:r>
        <w:t>‘</w:t>
      </w:r>
      <w:r w:rsidRPr="0016057A">
        <w:t>an element of judgment or choice.</w:t>
      </w:r>
      <w:r>
        <w:t xml:space="preserve">’ … </w:t>
      </w:r>
      <w:r w:rsidRPr="0016057A">
        <w:t xml:space="preserve">The Forest Service Manual gives broad discretion to the Forest Service to make decisions based on the circumstances of each fire. And Freres does not point to any </w:t>
      </w:r>
      <w:r>
        <w:t>‘</w:t>
      </w:r>
      <w:r w:rsidRPr="0016057A">
        <w:t>federal statute, regulation, or policy [that] specifically prescribes a course of action</w:t>
      </w:r>
      <w:r>
        <w:t>’</w:t>
      </w:r>
      <w:r w:rsidRPr="0016057A">
        <w:t xml:space="preserve"> that the Forest Service must adhere to when fighting a forest fire</w:t>
      </w:r>
      <w:r>
        <w:t xml:space="preserve">…. </w:t>
      </w:r>
      <w:r w:rsidRPr="0016057A">
        <w:t xml:space="preserve">Therefore, determining a fire suppression plan and utilizing available resources inherently involves </w:t>
      </w:r>
      <w:proofErr w:type="gramStart"/>
      <w:r w:rsidRPr="0016057A">
        <w:t>discretion.</w:t>
      </w:r>
      <w:r>
        <w:t>”</w:t>
      </w:r>
      <w:proofErr w:type="gramEnd"/>
    </w:p>
    <w:p w14:paraId="4642C7E2" w14:textId="77777777" w:rsidR="00A221FA" w:rsidRDefault="00A221FA" w:rsidP="00A221FA">
      <w:pPr>
        <w:pStyle w:val="NoSpacing"/>
      </w:pPr>
    </w:p>
    <w:p w14:paraId="0AFB0485" w14:textId="77777777" w:rsidR="00A221FA" w:rsidRPr="00836C0E" w:rsidRDefault="00A221FA" w:rsidP="00A221FA">
      <w:pPr>
        <w:pStyle w:val="NoSpacing"/>
        <w:rPr>
          <w:b/>
          <w:bCs/>
        </w:rPr>
      </w:pPr>
      <w:r>
        <w:rPr>
          <w:b/>
        </w:rPr>
        <w:t>Legal lesson learned: Governmental immunity for discretionary decisions by Forest Service incident commanders.</w:t>
      </w:r>
    </w:p>
    <w:p w14:paraId="5AE90681" w14:textId="77777777" w:rsidR="00A221FA" w:rsidRDefault="00A221FA" w:rsidP="00A221FA">
      <w:pPr>
        <w:pStyle w:val="NoSpacing"/>
        <w:rPr>
          <w:b/>
        </w:rPr>
      </w:pPr>
    </w:p>
    <w:p w14:paraId="38AB78CD" w14:textId="77777777" w:rsidR="00A221FA" w:rsidRDefault="00A221FA" w:rsidP="00A221FA">
      <w:pPr>
        <w:pStyle w:val="NoSpacing"/>
        <w:ind w:left="720"/>
        <w:rPr>
          <w:b/>
        </w:rPr>
      </w:pPr>
      <w:r w:rsidRPr="00E838D0">
        <w:t xml:space="preserve">Note: See </w:t>
      </w:r>
      <w:r>
        <w:t xml:space="preserve">Forest Service </w:t>
      </w:r>
      <w:r w:rsidRPr="00E838D0">
        <w:t>pictures of the fire.</w:t>
      </w:r>
      <w:r>
        <w:rPr>
          <w:b/>
        </w:rPr>
        <w:t xml:space="preserve"> </w:t>
      </w:r>
      <w:hyperlink r:id="rId818" w:history="1">
        <w:r w:rsidRPr="00C72C21">
          <w:rPr>
            <w:rStyle w:val="Hyperlink"/>
            <w:b/>
          </w:rPr>
          <w:t>https://www.fs.usda.gov/r06/willamette/fire/info/beachie-creek-fire</w:t>
        </w:r>
      </w:hyperlink>
      <w:r>
        <w:rPr>
          <w:b/>
        </w:rPr>
        <w:t xml:space="preserve"> </w:t>
      </w:r>
    </w:p>
    <w:p w14:paraId="06AB9137" w14:textId="77777777" w:rsidR="00A221FA" w:rsidRDefault="00A221FA" w:rsidP="000636AB">
      <w:pPr>
        <w:rPr>
          <w:rStyle w:val="Hyperlink"/>
          <w:rFonts w:ascii="Arial Black" w:hAnsi="Arial Black"/>
          <w:b/>
          <w:color w:val="auto"/>
          <w:sz w:val="24"/>
          <w:szCs w:val="24"/>
          <w:u w:val="none"/>
        </w:rPr>
      </w:pPr>
    </w:p>
    <w:p w14:paraId="03E06C9A" w14:textId="77777777" w:rsidR="00A221FA" w:rsidRDefault="00A221FA" w:rsidP="000636AB">
      <w:pPr>
        <w:rPr>
          <w:rStyle w:val="Hyperlink"/>
          <w:rFonts w:ascii="Arial Black" w:hAnsi="Arial Black"/>
          <w:b/>
          <w:color w:val="auto"/>
          <w:sz w:val="24"/>
          <w:szCs w:val="24"/>
          <w:u w:val="none"/>
        </w:rPr>
      </w:pPr>
    </w:p>
    <w:p w14:paraId="1651EF81" w14:textId="77777777" w:rsidR="00A221FA" w:rsidRDefault="00A221FA" w:rsidP="000636AB">
      <w:pPr>
        <w:rPr>
          <w:rStyle w:val="Hyperlink"/>
          <w:rFonts w:ascii="Arial Black" w:hAnsi="Arial Black"/>
          <w:b/>
          <w:color w:val="auto"/>
          <w:sz w:val="24"/>
          <w:szCs w:val="24"/>
          <w:u w:val="none"/>
        </w:rPr>
      </w:pPr>
    </w:p>
    <w:p w14:paraId="787A6B5C" w14:textId="53B3084A" w:rsidR="00EE4CA4" w:rsidRDefault="00EE4CA4"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4-52</w:t>
      </w:r>
    </w:p>
    <w:p w14:paraId="24AF8A65" w14:textId="77777777" w:rsidR="00EE4CA4" w:rsidRPr="00456B6D" w:rsidRDefault="00EE4CA4" w:rsidP="00EE4CA4">
      <w:pPr>
        <w:rPr>
          <w:rFonts w:ascii="Arial Black" w:hAnsi="Arial Black"/>
          <w:sz w:val="28"/>
          <w:szCs w:val="28"/>
        </w:rPr>
      </w:pPr>
      <w:r>
        <w:rPr>
          <w:rFonts w:ascii="Arial Black" w:hAnsi="Arial Black"/>
          <w:sz w:val="28"/>
          <w:szCs w:val="28"/>
        </w:rPr>
        <w:t>MA: CPT NOT PROMOTED – POOR INTERVIEW / DECK GUN</w:t>
      </w:r>
    </w:p>
    <w:p w14:paraId="7D5D031A" w14:textId="77777777" w:rsidR="00EE4CA4" w:rsidRPr="008024F1" w:rsidRDefault="00EE4CA4" w:rsidP="00EE4CA4">
      <w:pPr>
        <w:rPr>
          <w:bCs/>
        </w:rPr>
      </w:pPr>
      <w:r>
        <w:t xml:space="preserve">On November 25, 2025, in </w:t>
      </w:r>
      <w:r w:rsidRPr="002E05C9">
        <w:rPr>
          <w:u w:val="single"/>
        </w:rPr>
        <w:t>Pierre Grenier v. City of Springfield, et al</w:t>
      </w:r>
      <w:r>
        <w:t xml:space="preserve">., U.S. Magistrate Judge Katherine A. Robertson, United State District Court for the District of Massachusetts, granted summary judgment to the City and Fire Commissioner.  Captain Grenier was one of 6 candidates for 5 District Chief positions – promotion interview panel on Jan. 7, </w:t>
      </w:r>
      <w:proofErr w:type="gramStart"/>
      <w:r>
        <w:t>2020</w:t>
      </w:r>
      <w:proofErr w:type="gramEnd"/>
      <w:r>
        <w:t xml:space="preserve">  rated him lowest. The </w:t>
      </w:r>
      <w:proofErr w:type="gramStart"/>
      <w:r>
        <w:t>Captain</w:t>
      </w:r>
      <w:proofErr w:type="gramEnd"/>
      <w:r>
        <w:t xml:space="preserve"> claimed he was not promoted because of his PTSD from three Marine Corps deployments and because of his age (55). THE COURT WROTE: “</w:t>
      </w:r>
      <w:r w:rsidRPr="00107A41">
        <w:t xml:space="preserve">Plaintiff has not pointed to evidence from which a reasonable jury could infer that Plaintiff's disability was a determinative factor in </w:t>
      </w:r>
      <w:r>
        <w:t xml:space="preserve">[Fire Commissioner] </w:t>
      </w:r>
      <w:r w:rsidRPr="00107A41">
        <w:t>Calvi's decision to bypass him for promotion.</w:t>
      </w:r>
      <w:r>
        <w:t xml:space="preserve"> *** </w:t>
      </w:r>
      <w:r w:rsidRPr="00201B47">
        <w:t>Of the six candidates who were interviewed</w:t>
      </w:r>
      <w:r>
        <w:t xml:space="preserve">. </w:t>
      </w:r>
      <w:r w:rsidRPr="00201B47">
        <w:t xml:space="preserve"> Plaintiff received the lowest numerical score (204). </w:t>
      </w:r>
      <w:r>
        <w:t xml:space="preserve"> </w:t>
      </w:r>
      <w:r w:rsidRPr="00201B47">
        <w:t>All the interviewers were consistent in this judgment</w:t>
      </w:r>
      <w:proofErr w:type="gramStart"/>
      <w:r w:rsidRPr="00201B47">
        <w:t>.</w:t>
      </w:r>
      <w:r>
        <w:t>…</w:t>
      </w:r>
      <w:proofErr w:type="gramEnd"/>
      <w:r>
        <w:t xml:space="preserve"> </w:t>
      </w:r>
      <w:r w:rsidRPr="00201B47">
        <w:t>As to the hypothetical fire scene, Plaintiff's answer received a low score from</w:t>
      </w:r>
      <w:r>
        <w:t xml:space="preserve"> [Fire Commissioner]</w:t>
      </w:r>
      <w:r w:rsidRPr="00201B47">
        <w:t xml:space="preserve"> Calvi and the other firefighters on the interview panel</w:t>
      </w:r>
      <w:r>
        <w:t xml:space="preserve">. *** </w:t>
      </w:r>
      <w:r w:rsidRPr="00415CE8">
        <w:t>Plaintiff answered that he would order a deck gun (mainstream) attack from outside the building, a search inside the building from the B and C sides, and the use of hand lines while searching the interior</w:t>
      </w:r>
      <w:r>
        <w:t xml:space="preserve">. </w:t>
      </w:r>
      <w:r w:rsidRPr="00415CE8">
        <w:t>Plaintiff's proposal to use the mainstream repeated the scenario that Calvi had countermanded when he arrived at the Crystal Avenue fire scene</w:t>
      </w:r>
      <w:r>
        <w:t xml:space="preserve"> [</w:t>
      </w:r>
      <w:r w:rsidRPr="00BE736A">
        <w:t>November 5, 2019</w:t>
      </w:r>
      <w:r>
        <w:t xml:space="preserve">]…. </w:t>
      </w:r>
      <w:r w:rsidRPr="00201B47">
        <w:t>Calvi was concerned because Plaintiff's response described the same scenario that worried Calvi when Calvi arrived at the Crystal Avenue fire. Calvi was particularly troubled by Plaintiff's repetition of the dangerous mistake he made at the Crystal Avenue fire, his failure to learn from the coaching that Calvi provided, and the lack of critical thinking skills Plaintiff had displayed during his interview</w:t>
      </w:r>
      <w:r>
        <w:t>….”</w:t>
      </w:r>
      <w:r w:rsidRPr="00201B47">
        <w:t xml:space="preserve"> </w:t>
      </w:r>
      <w:hyperlink r:id="rId819" w:history="1">
        <w:r w:rsidRPr="008024F1">
          <w:rPr>
            <w:rStyle w:val="Hyperlink"/>
          </w:rPr>
          <w:t>https://app.midpage.ai/document/pierre-grenier-v-city-of-11209117?refG=true</w:t>
        </w:r>
      </w:hyperlink>
      <w:r w:rsidRPr="008024F1">
        <w:t xml:space="preserve"> </w:t>
      </w:r>
    </w:p>
    <w:p w14:paraId="744D0869" w14:textId="77777777" w:rsidR="00EE4CA4" w:rsidRDefault="00EE4CA4" w:rsidP="00EE4CA4">
      <w:r>
        <w:t xml:space="preserve"> THE COURT HELD:</w:t>
      </w:r>
    </w:p>
    <w:p w14:paraId="4A4889AC" w14:textId="77777777" w:rsidR="00EE4CA4" w:rsidRDefault="00EE4CA4" w:rsidP="00EE4CA4">
      <w:pPr>
        <w:ind w:left="720"/>
      </w:pPr>
      <w:r>
        <w:lastRenderedPageBreak/>
        <w:t>“</w:t>
      </w:r>
      <w:r w:rsidRPr="0073126F">
        <w:t>Plaintiff appealed Calvi's bypass decision to the Civil Service Commission (</w:t>
      </w:r>
      <w:r>
        <w:t>‘</w:t>
      </w:r>
      <w:r w:rsidRPr="0073126F">
        <w:t>CSC</w:t>
      </w:r>
      <w:r>
        <w:t>’</w:t>
      </w:r>
      <w:r w:rsidRPr="0073126F">
        <w:t>)</w:t>
      </w:r>
      <w:r>
        <w:t xml:space="preserve"> ….</w:t>
      </w:r>
      <w:r w:rsidRPr="0073126F">
        <w:t xml:space="preserve"> The CSC upheld Calvi's decision</w:t>
      </w:r>
      <w:r>
        <w:t xml:space="preserve"> … </w:t>
      </w:r>
      <w:r w:rsidRPr="0073126F">
        <w:t>The Hampden County Superior Court affirmed the CSC's decision; in turn, the Massachusetts Appeals Court affirmed the Superior Court decision</w:t>
      </w:r>
      <w:r>
        <w:t>.</w:t>
      </w:r>
    </w:p>
    <w:p w14:paraId="5BD66A1E" w14:textId="77777777" w:rsidR="00EE4CA4" w:rsidRDefault="00EE4CA4" w:rsidP="00EE4CA4">
      <w:pPr>
        <w:ind w:left="720"/>
      </w:pPr>
      <w:r>
        <w:t>***</w:t>
      </w:r>
    </w:p>
    <w:p w14:paraId="4BB1EA8C" w14:textId="77777777" w:rsidR="00EE4CA4" w:rsidRDefault="00EE4CA4" w:rsidP="00EE4CA4">
      <w:pPr>
        <w:ind w:left="720"/>
      </w:pPr>
      <w:r w:rsidRPr="008A1F2A">
        <w:t>Three candidates who ranked lower than Plaintiff on the Civil Service list - Daley, Marcellin, and Tetreault - bypassed Plaintiff and were promoted</w:t>
      </w:r>
      <w:r>
        <w:t xml:space="preserve">… </w:t>
      </w:r>
      <w:r w:rsidRPr="008A1F2A">
        <w:t>Calvi's January 29, 2020, letter to Plaintiff gave three reasons for the bypass</w:t>
      </w:r>
      <w:r>
        <w:t xml:space="preserve"> … </w:t>
      </w:r>
      <w:r w:rsidRPr="008A1F2A">
        <w:t>that Plaintiff's continuing education was limited to furthering his side job as an electrician</w:t>
      </w:r>
      <w:r>
        <w:t xml:space="preserve"> …</w:t>
      </w:r>
      <w:r w:rsidRPr="008A1F2A">
        <w:t>; that his answer to the hypothetical fire scenario showed his failure to apply his real life experience and the coaching Calvi gave him at the Crystal Avenue fire</w:t>
      </w:r>
      <w:r>
        <w:t xml:space="preserve"> … </w:t>
      </w:r>
      <w:r w:rsidRPr="008A1F2A">
        <w:t>and that Plaintiff's vision for the future of the SFD - no changes necessary - showed a lack of understanding of the department and the ever-changing fire industry</w:t>
      </w:r>
      <w:r>
        <w:t>.”</w:t>
      </w:r>
    </w:p>
    <w:p w14:paraId="037FDB0C" w14:textId="77777777" w:rsidR="00EE4CA4" w:rsidRDefault="00EE4CA4" w:rsidP="00EE4CA4">
      <w:pPr>
        <w:ind w:left="720"/>
      </w:pPr>
      <w:r>
        <w:t>***</w:t>
      </w:r>
    </w:p>
    <w:p w14:paraId="5B031B32" w14:textId="77777777" w:rsidR="00EE4CA4" w:rsidRDefault="00EE4CA4" w:rsidP="00EE4CA4">
      <w:pPr>
        <w:ind w:left="720"/>
      </w:pPr>
      <w:r>
        <w:t>[</w:t>
      </w:r>
      <w:r w:rsidRPr="00415CE8">
        <w:t>C</w:t>
      </w:r>
      <w:r>
        <w:t xml:space="preserve">RYSTAL AVENUE FIRE.] </w:t>
      </w:r>
      <w:r w:rsidRPr="00487D3F">
        <w:t>On November 5, 2019, Plaintiff was acting as a district fire chief when the SFD responded to a house fire at 51 Crystal Avenue</w:t>
      </w:r>
      <w:r>
        <w:t xml:space="preserve">…. </w:t>
      </w:r>
      <w:r w:rsidRPr="00487D3F">
        <w:t>Captain Brian Tetreault, the first ranking officer to arrive at the scene, was in command when Plaintiff arrived</w:t>
      </w:r>
      <w:r>
        <w:t xml:space="preserve"> … </w:t>
      </w:r>
      <w:r w:rsidRPr="00487D3F">
        <w:t xml:space="preserve"> SFD policy directed that an officer who intended to assume command of a fire scene first have a radio or face-to-face conversation with the officer he was relieving before announcing over the radio that he was assuming command</w:t>
      </w:r>
      <w:r>
        <w:t xml:space="preserve"> …. </w:t>
      </w:r>
      <w:r w:rsidRPr="00487D3F">
        <w:t>Plaintiff broadcast that he was in command without speaking to Tetreault in person</w:t>
      </w:r>
      <w:r>
        <w:t xml:space="preserve"> …. </w:t>
      </w:r>
      <w:r w:rsidRPr="00487D3F">
        <w:t>As a result, Plaintiff was confused as to whether he or Tetreault was in command</w:t>
      </w:r>
      <w:r>
        <w:t xml:space="preserve"> …. </w:t>
      </w:r>
      <w:r w:rsidRPr="00487D3F">
        <w:t> Calvi heard about the fire on the radio and responded to Crystal Avenue</w:t>
      </w:r>
      <w:r>
        <w:t xml:space="preserve"> …. </w:t>
      </w:r>
      <w:r w:rsidRPr="00487D3F">
        <w:t xml:space="preserve"> While </w:t>
      </w:r>
      <w:proofErr w:type="spellStart"/>
      <w:r w:rsidRPr="00487D3F">
        <w:t>en</w:t>
      </w:r>
      <w:proofErr w:type="spellEnd"/>
      <w:r w:rsidRPr="00487D3F">
        <w:t xml:space="preserve"> route, Calvi heard Plaintiff's radio announcement that he was at the scene and was taking command</w:t>
      </w:r>
      <w:r>
        <w:t>….</w:t>
      </w:r>
      <w:r w:rsidRPr="00487D3F">
        <w:t xml:space="preserve"> When Calvi arrived, he observed water from the mainstream being sprayed on the fire from outside</w:t>
      </w:r>
      <w:r>
        <w:t xml:space="preserve"> …. </w:t>
      </w:r>
      <w:r w:rsidRPr="00487D3F">
        <w:t xml:space="preserve"> The mainstream water spray posed a danger to firefighters who were entering the building </w:t>
      </w:r>
      <w:r>
        <w:t>….</w:t>
      </w:r>
      <w:r w:rsidRPr="00487D3F">
        <w:t xml:space="preserve"> Calvi approached Plaintiff, asked why the mainstream was being used while firefighters were entering the building, and ordered the mainstream to be shut off</w:t>
      </w:r>
      <w:r>
        <w:t>.</w:t>
      </w:r>
    </w:p>
    <w:p w14:paraId="21374414" w14:textId="77777777" w:rsidR="00EE4CA4" w:rsidRDefault="00EE4CA4" w:rsidP="00EE4CA4">
      <w:pPr>
        <w:ind w:left="720"/>
      </w:pPr>
      <w:r>
        <w:t>***</w:t>
      </w:r>
    </w:p>
    <w:p w14:paraId="603B70DB" w14:textId="77777777" w:rsidR="00EE4CA4" w:rsidRDefault="00EE4CA4" w:rsidP="00EE4CA4">
      <w:pPr>
        <w:ind w:left="720"/>
      </w:pPr>
      <w:r>
        <w:t>[No Age Discrimination.] “</w:t>
      </w:r>
      <w:r w:rsidRPr="00833E05">
        <w:t xml:space="preserve">The </w:t>
      </w:r>
      <w:proofErr w:type="gramStart"/>
      <w:r w:rsidRPr="00833E05">
        <w:t>City</w:t>
      </w:r>
      <w:proofErr w:type="gramEnd"/>
      <w:r w:rsidRPr="00833E05">
        <w:t xml:space="preserve"> argues that it did not fill the position with a younger person because two of the five candidates who were promoted are older than Plaintiff</w:t>
      </w:r>
      <w:r>
        <w:t xml:space="preserve">.… </w:t>
      </w:r>
      <w:r w:rsidRPr="00990CF9">
        <w:t xml:space="preserve">The </w:t>
      </w:r>
      <w:proofErr w:type="gramStart"/>
      <w:r w:rsidRPr="00990CF9">
        <w:t>City</w:t>
      </w:r>
      <w:proofErr w:type="gramEnd"/>
      <w:r w:rsidRPr="00990CF9">
        <w:t xml:space="preserve"> has proffered indicia of admissible evidence showing that Plaintiff's interview performance was a legitimate, nondiscriminatory reason for bypassing him for promotion to district fire chief. Plaintiff has failed to marshal evidence that would justify a reasonable jury in concluding that the City's stated reasons for bypassing him were a pretext for age discrimination.</w:t>
      </w:r>
      <w:r>
        <w:t>”</w:t>
      </w:r>
    </w:p>
    <w:p w14:paraId="6365673C" w14:textId="77777777" w:rsidR="00EE4CA4" w:rsidRDefault="00EE4CA4" w:rsidP="00EE4CA4">
      <w:pPr>
        <w:rPr>
          <w:b/>
          <w:bCs/>
        </w:rPr>
      </w:pPr>
      <w:r>
        <w:rPr>
          <w:b/>
        </w:rPr>
        <w:t xml:space="preserve">Legal lesson learned: The City articulated legitimate nondiscriminatory reasons for not promoting the </w:t>
      </w:r>
      <w:proofErr w:type="gramStart"/>
      <w:r>
        <w:rPr>
          <w:b/>
        </w:rPr>
        <w:t>Captain</w:t>
      </w:r>
      <w:proofErr w:type="gramEnd"/>
      <w:r>
        <w:rPr>
          <w:b/>
        </w:rPr>
        <w:t xml:space="preserve">; and the Fire Commissioner documented those reasons in a timely letter to the </w:t>
      </w:r>
      <w:proofErr w:type="gramStart"/>
      <w:r>
        <w:rPr>
          <w:b/>
        </w:rPr>
        <w:t>Captain</w:t>
      </w:r>
      <w:proofErr w:type="gramEnd"/>
      <w:r>
        <w:rPr>
          <w:b/>
        </w:rPr>
        <w:t xml:space="preserve">. </w:t>
      </w:r>
    </w:p>
    <w:p w14:paraId="1FB443A7" w14:textId="77777777" w:rsidR="00EE4CA4" w:rsidRDefault="00EE4CA4" w:rsidP="000636AB">
      <w:pPr>
        <w:rPr>
          <w:rStyle w:val="Hyperlink"/>
          <w:rFonts w:ascii="Arial Black" w:hAnsi="Arial Black"/>
          <w:b/>
          <w:color w:val="auto"/>
          <w:sz w:val="24"/>
          <w:szCs w:val="24"/>
          <w:u w:val="none"/>
        </w:rPr>
      </w:pPr>
    </w:p>
    <w:p w14:paraId="08A4A724" w14:textId="77777777" w:rsidR="00EE4CA4" w:rsidRDefault="00EE4CA4" w:rsidP="000636AB">
      <w:pPr>
        <w:rPr>
          <w:rStyle w:val="Hyperlink"/>
          <w:rFonts w:ascii="Arial Black" w:hAnsi="Arial Black"/>
          <w:b/>
          <w:color w:val="auto"/>
          <w:sz w:val="24"/>
          <w:szCs w:val="24"/>
          <w:u w:val="none"/>
        </w:rPr>
      </w:pPr>
    </w:p>
    <w:p w14:paraId="670FF0AE" w14:textId="2137E5DF" w:rsidR="00BF588C" w:rsidRDefault="00BF588C"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4-51</w:t>
      </w:r>
    </w:p>
    <w:p w14:paraId="5BD3C4D9" w14:textId="77777777" w:rsidR="00BF588C" w:rsidRPr="00CD4E8D" w:rsidRDefault="00BF588C" w:rsidP="00BF588C">
      <w:pPr>
        <w:rPr>
          <w:rFonts w:ascii="Arial Black" w:hAnsi="Arial Black"/>
          <w:b/>
          <w:sz w:val="28"/>
          <w:szCs w:val="28"/>
        </w:rPr>
      </w:pPr>
      <w:r>
        <w:rPr>
          <w:rFonts w:ascii="Arial Black" w:hAnsi="Arial Black"/>
          <w:b/>
          <w:sz w:val="28"/>
          <w:szCs w:val="28"/>
        </w:rPr>
        <w:t xml:space="preserve">MT: INCIDENT COMM – WILDFIRE – HOMES AT RISK  </w:t>
      </w:r>
    </w:p>
    <w:p w14:paraId="66338D46" w14:textId="77777777" w:rsidR="00BF588C" w:rsidRDefault="00BF588C" w:rsidP="00BF588C">
      <w:pPr>
        <w:pStyle w:val="NoSpacing"/>
        <w:rPr>
          <w:bCs/>
        </w:rPr>
      </w:pPr>
      <w:r>
        <w:lastRenderedPageBreak/>
        <w:t xml:space="preserve">On Sept. 11, 2025, in </w:t>
      </w:r>
      <w:r w:rsidRPr="009F457C">
        <w:rPr>
          <w:u w:val="single"/>
        </w:rPr>
        <w:t>McDonough Family Land, LP, et al. v. The United States of America</w:t>
      </w:r>
      <w:r>
        <w:t>, Judge Elaine D. Kaplan, United States Court of Federal Claims held, after a</w:t>
      </w:r>
      <w:r w:rsidRPr="000A78CF">
        <w:t xml:space="preserve"> four-day trial on liability in Missoula, Montana in December 2024</w:t>
      </w:r>
      <w:r>
        <w:t xml:space="preserve">, that the government not liable to ranchers for loss of timber and other property.  Massive fire; could not allow it to just burn. </w:t>
      </w:r>
    </w:p>
    <w:p w14:paraId="62BFAB77" w14:textId="77777777" w:rsidR="00BF588C" w:rsidRDefault="00BF588C" w:rsidP="00BF588C">
      <w:pPr>
        <w:pStyle w:val="NoSpacing"/>
        <w:rPr>
          <w:bCs/>
        </w:rPr>
      </w:pPr>
    </w:p>
    <w:p w14:paraId="6E21E9CA" w14:textId="77777777" w:rsidR="00BF588C" w:rsidRDefault="00BF588C" w:rsidP="00BF588C">
      <w:pPr>
        <w:pStyle w:val="NoSpacing"/>
      </w:pPr>
      <w:r w:rsidRPr="007056A2">
        <w:rPr>
          <w:b/>
        </w:rPr>
        <w:t>THE COURT HELD:</w:t>
      </w:r>
      <w:r>
        <w:t xml:space="preserve"> “</w:t>
      </w:r>
      <w:r w:rsidRPr="00CD4E8D">
        <w:t>The Court concludes that the Ranches failed to show that had the government just allowed the fire to take its natural course, their property would not have burned. In fact, both the evidence and common sense are to the contrary.</w:t>
      </w:r>
      <w:r>
        <w:t xml:space="preserve"> </w:t>
      </w:r>
      <w:r w:rsidRPr="00D0042C">
        <w:t xml:space="preserve">The Alice Creek Fire was ignited by a lightning strike. It is indisputable that had there been no firefighting response at all, it would have spread naturally based on the available fuel, weather conditions, and topography. The evidence shows that at the end of August and beginning of September 2017, Montana was experiencing extreme drought conditions. It further shows that the </w:t>
      </w:r>
      <w:proofErr w:type="gramStart"/>
      <w:r w:rsidRPr="00D0042C">
        <w:t>fuels</w:t>
      </w:r>
      <w:proofErr w:type="gramEnd"/>
      <w:r w:rsidRPr="00D0042C">
        <w:t xml:space="preserve"> in the area were dry. There were a series of red flag warning days marked by gusty winds. There were reasons to fear that the winds would cause the fire to spread to the east toward homes and infrastructure, threatening the community of Augusta, Montana</w:t>
      </w:r>
      <w:r>
        <w:t xml:space="preserve">…. </w:t>
      </w:r>
      <w:r w:rsidRPr="00D86C0B">
        <w:t> </w:t>
      </w:r>
      <w:proofErr w:type="gramStart"/>
      <w:r w:rsidRPr="00D86C0B">
        <w:t>On the basis of</w:t>
      </w:r>
      <w:proofErr w:type="gramEnd"/>
      <w:r w:rsidRPr="00D86C0B">
        <w:t xml:space="preserve"> the foregoing, the Clerk is directed to enter judgment for the government.</w:t>
      </w:r>
      <w:r>
        <w:t xml:space="preserve">” </w:t>
      </w:r>
      <w:hyperlink r:id="rId820" w:history="1">
        <w:r w:rsidRPr="008D04E3">
          <w:rPr>
            <w:rStyle w:val="Hyperlink"/>
          </w:rPr>
          <w:t>https://cases.justia.com/federal/district-courts/federal-claims/cofce/1:2020cv00368/40658/107/0.pdf?ts=1757681305</w:t>
        </w:r>
      </w:hyperlink>
      <w:r>
        <w:t xml:space="preserve"> </w:t>
      </w:r>
    </w:p>
    <w:p w14:paraId="2612EA5D" w14:textId="77777777" w:rsidR="00BF588C" w:rsidRDefault="00BF588C" w:rsidP="00BF588C">
      <w:pPr>
        <w:rPr>
          <w:bCs/>
        </w:rPr>
      </w:pPr>
    </w:p>
    <w:p w14:paraId="3EB5AE8D" w14:textId="77777777" w:rsidR="00BF588C" w:rsidRDefault="00BF588C" w:rsidP="00BF588C">
      <w:pPr>
        <w:rPr>
          <w:b/>
        </w:rPr>
      </w:pPr>
      <w:r w:rsidRPr="007056A2">
        <w:rPr>
          <w:b/>
        </w:rPr>
        <w:t xml:space="preserve">KEY FACTS: </w:t>
      </w:r>
    </w:p>
    <w:p w14:paraId="5AF63CF9" w14:textId="77777777" w:rsidR="00BF588C" w:rsidRDefault="00BF588C" w:rsidP="00BF588C">
      <w:pPr>
        <w:pStyle w:val="NoSpacing"/>
        <w:ind w:left="720"/>
      </w:pPr>
      <w:r>
        <w:t>“</w:t>
      </w:r>
      <w:r w:rsidRPr="00AD7913">
        <w:t>Plaintiffs, McDonough Family Land, LP, and Ingersoll Ranch, FLP, (“the Ranches”) own</w:t>
      </w:r>
      <w:r>
        <w:t xml:space="preserve"> </w:t>
      </w:r>
      <w:r w:rsidRPr="00AD7913">
        <w:t>real and personal property in Wolf Creek, Montana. They brought this action under the Fifth</w:t>
      </w:r>
      <w:r>
        <w:t xml:space="preserve"> </w:t>
      </w:r>
      <w:r w:rsidRPr="00AD7913">
        <w:t>Amendment’s Takings Clause to secure compensation for the appropriation of certain range</w:t>
      </w:r>
      <w:r>
        <w:t xml:space="preserve"> </w:t>
      </w:r>
      <w:r w:rsidRPr="00AD7913">
        <w:t>forage and timber, which the government used as fuel to conduct firing operations in response to</w:t>
      </w:r>
      <w:r>
        <w:t xml:space="preserve"> </w:t>
      </w:r>
      <w:r w:rsidRPr="00AD7913">
        <w:t xml:space="preserve">the 2017 Alice Creek Fire. See generally Am. </w:t>
      </w:r>
      <w:proofErr w:type="spellStart"/>
      <w:r w:rsidRPr="00AD7913">
        <w:t>Compl</w:t>
      </w:r>
      <w:proofErr w:type="spellEnd"/>
      <w:r w:rsidRPr="00AD7913">
        <w:t>., ECF No. 36.</w:t>
      </w:r>
    </w:p>
    <w:p w14:paraId="338E0FEC" w14:textId="77777777" w:rsidR="00BF588C" w:rsidRDefault="00BF588C" w:rsidP="00BF588C">
      <w:pPr>
        <w:rPr>
          <w:b/>
        </w:rPr>
      </w:pPr>
    </w:p>
    <w:p w14:paraId="6C05A70D" w14:textId="77777777" w:rsidR="00BF588C" w:rsidRPr="0053239C" w:rsidRDefault="00BF588C" w:rsidP="00BF588C">
      <w:pPr>
        <w:pStyle w:val="NoSpacing"/>
      </w:pPr>
      <w:r>
        <w:tab/>
      </w:r>
      <w:r w:rsidRPr="0053239C">
        <w:t>The firing operations (“intentional burns”) were conducted by the Silver City Hotshots</w:t>
      </w:r>
    </w:p>
    <w:p w14:paraId="2FE68127" w14:textId="77777777" w:rsidR="00BF588C" w:rsidRDefault="00BF588C" w:rsidP="00BF588C">
      <w:pPr>
        <w:pStyle w:val="NoSpacing"/>
        <w:ind w:left="720"/>
      </w:pPr>
      <w:r>
        <w:t>(‘</w:t>
      </w:r>
      <w:r w:rsidRPr="0053239C">
        <w:t>the Hotshots</w:t>
      </w:r>
      <w:r>
        <w:t>’</w:t>
      </w:r>
      <w:r w:rsidRPr="0053239C">
        <w:t>), a highly trained and experienced hand crew that uses intentional burns, among</w:t>
      </w:r>
      <w:r>
        <w:t xml:space="preserve"> </w:t>
      </w:r>
      <w:r w:rsidRPr="0053239C">
        <w:t>other techniques, to suppress the spread of wildfires. The Hotshots were called on to the scene at</w:t>
      </w:r>
      <w:r>
        <w:t xml:space="preserve"> </w:t>
      </w:r>
      <w:r w:rsidRPr="0053239C">
        <w:t>the direction of an incident management team led by Russell (</w:t>
      </w:r>
      <w:r>
        <w:t>‘</w:t>
      </w:r>
      <w:r w:rsidRPr="0053239C">
        <w:t>Russ</w:t>
      </w:r>
      <w:r>
        <w:t>’</w:t>
      </w:r>
      <w:r w:rsidRPr="0053239C">
        <w:t>) Bird, an employee of the</w:t>
      </w:r>
      <w:r>
        <w:t xml:space="preserve"> </w:t>
      </w:r>
      <w:r w:rsidRPr="0053239C">
        <w:t>United States Forest Service (</w:t>
      </w:r>
      <w:r>
        <w:t>‘</w:t>
      </w:r>
      <w:r w:rsidRPr="0053239C">
        <w:t>USFS</w:t>
      </w:r>
      <w:r>
        <w:t>’</w:t>
      </w:r>
      <w:r w:rsidRPr="0053239C">
        <w:t>). See McDonough Fam. Land, LP v. United States, 172</w:t>
      </w:r>
      <w:r>
        <w:t xml:space="preserve"> </w:t>
      </w:r>
      <w:r w:rsidRPr="0053239C">
        <w:t>Fed. Cl. 414, 421 (2024) (</w:t>
      </w:r>
      <w:r>
        <w:t>‘</w:t>
      </w:r>
      <w:r w:rsidRPr="0053239C">
        <w:t>McDonough I</w:t>
      </w:r>
      <w:r>
        <w:t>’</w:t>
      </w:r>
      <w:r w:rsidRPr="0053239C">
        <w:t>) (describing role of incident management team and</w:t>
      </w:r>
      <w:r>
        <w:t xml:space="preserve"> </w:t>
      </w:r>
      <w:r w:rsidRPr="0053239C">
        <w:t>USFS in directing the actions alleged to constitute a taking in this case).</w:t>
      </w:r>
    </w:p>
    <w:p w14:paraId="38F59082" w14:textId="77777777" w:rsidR="00BF588C" w:rsidRDefault="00BF588C" w:rsidP="00BF588C">
      <w:pPr>
        <w:pStyle w:val="NoSpacing"/>
        <w:ind w:left="720"/>
      </w:pPr>
    </w:p>
    <w:p w14:paraId="3FB58ED0" w14:textId="77777777" w:rsidR="00BF588C" w:rsidRDefault="00BF588C" w:rsidP="00BF588C">
      <w:pPr>
        <w:pStyle w:val="NoSpacing"/>
        <w:ind w:left="720"/>
      </w:pPr>
      <w:r>
        <w:t>***</w:t>
      </w:r>
    </w:p>
    <w:p w14:paraId="33349542" w14:textId="77777777" w:rsidR="00BF588C" w:rsidRDefault="00BF588C" w:rsidP="00BF588C">
      <w:pPr>
        <w:pStyle w:val="NoSpacing"/>
        <w:ind w:left="720"/>
      </w:pPr>
      <w:r>
        <w:t>On or around July 22, 2017, a lightning strike ignited the Alice Creek Fire in the Helena-</w:t>
      </w:r>
    </w:p>
    <w:p w14:paraId="034EDAB3" w14:textId="77777777" w:rsidR="00BF588C" w:rsidRDefault="00BF588C" w:rsidP="00BF588C">
      <w:pPr>
        <w:pStyle w:val="NoSpacing"/>
        <w:ind w:left="720"/>
      </w:pPr>
      <w:r>
        <w:t xml:space="preserve">Lewis and Clark National Forest, sixteen miles northeast of Lincoln, Montana. Am. Joint Stip. Of </w:t>
      </w:r>
      <w:proofErr w:type="gramStart"/>
      <w:r>
        <w:t>Facts (‘</w:t>
      </w:r>
      <w:proofErr w:type="gramEnd"/>
      <w:r>
        <w:t>SOF’) ¶ 1, ECF No. 79. The fire was fueled by the severe drought conditions that prevailed in the region that summer. There were also ‘[s]</w:t>
      </w:r>
      <w:proofErr w:type="spellStart"/>
      <w:r>
        <w:t>ignificant</w:t>
      </w:r>
      <w:proofErr w:type="spellEnd"/>
      <w:r>
        <w:t xml:space="preserve"> fuel accumulations from dead </w:t>
      </w:r>
      <w:proofErr w:type="gramStart"/>
      <w:r>
        <w:t>trees’</w:t>
      </w:r>
      <w:proofErr w:type="gramEnd"/>
      <w:r>
        <w:t xml:space="preserve"> which were ‘drier than normal for [that] time of year.’ JX29, at 9, ECF No. 99-27 (Wildland Fire Decision Support System (“WFDSS”) Incident Decision, August 25, 2017).</w:t>
      </w:r>
    </w:p>
    <w:p w14:paraId="0328B0B7" w14:textId="77777777" w:rsidR="00BF588C" w:rsidRDefault="00BF588C" w:rsidP="00BF588C">
      <w:pPr>
        <w:pStyle w:val="NoSpacing"/>
        <w:ind w:left="720"/>
      </w:pPr>
    </w:p>
    <w:p w14:paraId="4B100BFD" w14:textId="77777777" w:rsidR="00BF588C" w:rsidRDefault="00BF588C" w:rsidP="00BF588C">
      <w:pPr>
        <w:pStyle w:val="NoSpacing"/>
        <w:ind w:left="720"/>
      </w:pPr>
      <w:r>
        <w:t>***</w:t>
      </w:r>
    </w:p>
    <w:p w14:paraId="41A8B987" w14:textId="77777777" w:rsidR="00BF588C" w:rsidRDefault="00BF588C" w:rsidP="00BF588C">
      <w:pPr>
        <w:pStyle w:val="NoSpacing"/>
        <w:ind w:left="720"/>
      </w:pPr>
      <w:r>
        <w:t>By September 2, the fire had grown to 11,500 acres, with fire and weather conditions</w:t>
      </w:r>
    </w:p>
    <w:p w14:paraId="00E25354" w14:textId="77777777" w:rsidR="00BF588C" w:rsidRDefault="00BF588C" w:rsidP="00BF588C">
      <w:pPr>
        <w:pStyle w:val="NoSpacing"/>
        <w:ind w:left="720"/>
      </w:pPr>
      <w:r>
        <w:t xml:space="preserve">producing an increased risk of fire danger. SOF ¶¶ 23, 24. Dry strong winds from the west were expected to move the main fire east, JX11, at 5, ECF No. 99-11; spot fires persisted as a concern for additional spread, Tr. 767:22–768:2 (Cornwell). The fire behavior forecast predicted even ‘more active’ fire behavior, with ‘stronger </w:t>
      </w:r>
      <w:proofErr w:type="gramStart"/>
      <w:r>
        <w:t>winds’</w:t>
      </w:r>
      <w:proofErr w:type="gramEnd"/>
      <w:r>
        <w:t xml:space="preserve"> potentially driving even farther spot fire ignitions. JX11, at 5.”</w:t>
      </w:r>
    </w:p>
    <w:p w14:paraId="05A3647B" w14:textId="77777777" w:rsidR="00BF588C" w:rsidRPr="007056A2" w:rsidRDefault="00BF588C" w:rsidP="00BF588C">
      <w:pPr>
        <w:rPr>
          <w:b/>
        </w:rPr>
      </w:pPr>
    </w:p>
    <w:p w14:paraId="6852878B" w14:textId="77777777" w:rsidR="00BF588C" w:rsidRPr="00781F8D" w:rsidRDefault="00BF588C" w:rsidP="00BF588C">
      <w:pPr>
        <w:pStyle w:val="NoSpacing"/>
        <w:rPr>
          <w:b/>
          <w:bCs/>
        </w:rPr>
      </w:pPr>
      <w:r>
        <w:rPr>
          <w:b/>
        </w:rPr>
        <w:t>Legal lesson learned:  Incident commanders with U.S. Forest Service kept detailed records of fire growth, and their efforts to save property.</w:t>
      </w:r>
    </w:p>
    <w:p w14:paraId="4126C20F" w14:textId="77777777" w:rsidR="00BF588C" w:rsidRDefault="00BF588C" w:rsidP="00BF588C">
      <w:pPr>
        <w:rPr>
          <w:b/>
        </w:rPr>
      </w:pPr>
    </w:p>
    <w:p w14:paraId="67D05838" w14:textId="170E8675" w:rsidR="008843BB" w:rsidRDefault="008843BB"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4-50</w:t>
      </w:r>
    </w:p>
    <w:p w14:paraId="03E261C2" w14:textId="77777777" w:rsidR="008843BB" w:rsidRPr="000E3803" w:rsidRDefault="008843BB" w:rsidP="008843BB">
      <w:pPr>
        <w:pStyle w:val="NoSpacing"/>
        <w:rPr>
          <w:rFonts w:ascii="Arial Black" w:hAnsi="Arial Black"/>
          <w:bCs/>
          <w:sz w:val="28"/>
          <w:szCs w:val="28"/>
        </w:rPr>
      </w:pPr>
      <w:r>
        <w:rPr>
          <w:rFonts w:ascii="Arial Black" w:hAnsi="Arial Black"/>
          <w:sz w:val="28"/>
          <w:szCs w:val="28"/>
        </w:rPr>
        <w:lastRenderedPageBreak/>
        <w:t xml:space="preserve">MO:  CHIMNEY FIRE – FF RIGHT TO ENTER / CUT THE ROOF </w:t>
      </w:r>
    </w:p>
    <w:p w14:paraId="1ECCFBE9" w14:textId="77777777" w:rsidR="008843BB" w:rsidRDefault="008843BB" w:rsidP="008843BB">
      <w:pPr>
        <w:pStyle w:val="NoSpacing"/>
        <w:rPr>
          <w:bCs/>
        </w:rPr>
      </w:pPr>
    </w:p>
    <w:p w14:paraId="38E8E878" w14:textId="77777777" w:rsidR="008843BB" w:rsidRPr="003F3B30" w:rsidRDefault="008843BB" w:rsidP="008843BB">
      <w:pPr>
        <w:pStyle w:val="NoSpacing"/>
        <w:rPr>
          <w:rFonts w:ascii="Times New Roman" w:hAnsi="Times New Roman"/>
          <w:bCs/>
          <w:sz w:val="24"/>
          <w:szCs w:val="24"/>
        </w:rPr>
      </w:pPr>
      <w:r w:rsidRPr="003F3B30">
        <w:rPr>
          <w:rFonts w:ascii="Times New Roman" w:hAnsi="Times New Roman"/>
          <w:sz w:val="24"/>
          <w:szCs w:val="24"/>
        </w:rPr>
        <w:t xml:space="preserve">On July 25, 2025, in </w:t>
      </w:r>
      <w:r w:rsidRPr="003F3B30">
        <w:rPr>
          <w:rFonts w:ascii="Times New Roman" w:hAnsi="Times New Roman"/>
          <w:sz w:val="24"/>
          <w:szCs w:val="24"/>
          <w:u w:val="single"/>
        </w:rPr>
        <w:t>Gary Gibbs v. City of Sikeston, et al</w:t>
      </w:r>
      <w:r w:rsidRPr="003F3B30">
        <w:rPr>
          <w:rFonts w:ascii="Times New Roman" w:hAnsi="Times New Roman"/>
          <w:sz w:val="24"/>
          <w:szCs w:val="24"/>
        </w:rPr>
        <w:t xml:space="preserve">., Senior U.S. District Court Judge Stephen N. Limbach, Jr., United States District Court for Eastern District of Missouri, granted defense motion to dismiss the lawsuit filed pro se 9no attorney) by the homeowner.  During the morning of Jan. 8, 2021, the homeowner lit a fire in his fireplace and tan began a Zoom call with his employer.  An hour later a neighbor told him his chimney was smoking; Gibbs got a water hose and extinguished fire.  Someone called 911; he told police officer to cancel the fire department and leave his property; the officer refused, ordered him out of his home and fire department made entry over his objections.  THE COURT HELD: “Even if there was no ‘visible’ fire when the first responders arrived after the 911 call, they had a duty to investigate for the public's safety.” </w:t>
      </w:r>
      <w:hyperlink r:id="rId821" w:history="1">
        <w:r w:rsidRPr="003F3B30">
          <w:rPr>
            <w:rStyle w:val="Hyperlink"/>
            <w:rFonts w:ascii="Times New Roman" w:hAnsi="Times New Roman"/>
            <w:sz w:val="24"/>
            <w:szCs w:val="24"/>
          </w:rPr>
          <w:t>https://public.fastcase.com/jaEE2PXzRXmZ99jOLMt1IjaUc7vARjVQ5RdI8he5wvr8CafQJWJ892rNp3h%2B5maD?utm_medium=email&amp;_hsenc=p2ANqtz-9yeYIX9OvUysaWxw5S4NvX23y7n2bM1DKt1TGid5472BDGnDkJHyEbdkJMIqnakyd6KQCi4nGEAs4FOkTAkAKzxnAO3A&amp;_hsmi=226712652&amp;utm_content=226712652&amp;utm_source=hs_email</w:t>
        </w:r>
      </w:hyperlink>
      <w:r w:rsidRPr="003F3B30">
        <w:rPr>
          <w:rFonts w:ascii="Times New Roman" w:hAnsi="Times New Roman"/>
          <w:sz w:val="24"/>
          <w:szCs w:val="24"/>
        </w:rPr>
        <w:t xml:space="preserve"> </w:t>
      </w:r>
    </w:p>
    <w:p w14:paraId="755836D8" w14:textId="77777777" w:rsidR="00D77D85" w:rsidRDefault="00D77D85" w:rsidP="003F3B30">
      <w:pPr>
        <w:pStyle w:val="NoSpacing"/>
        <w:rPr>
          <w:rFonts w:ascii="Times New Roman" w:hAnsi="Times New Roman"/>
          <w:b/>
          <w:sz w:val="24"/>
          <w:szCs w:val="24"/>
        </w:rPr>
      </w:pPr>
    </w:p>
    <w:p w14:paraId="70382C54" w14:textId="27940A34" w:rsidR="003F3B30" w:rsidRPr="003F3B30" w:rsidRDefault="003F3B30" w:rsidP="003F3B30">
      <w:pPr>
        <w:pStyle w:val="NoSpacing"/>
        <w:rPr>
          <w:rFonts w:ascii="Times New Roman" w:hAnsi="Times New Roman"/>
          <w:b/>
          <w:sz w:val="24"/>
          <w:szCs w:val="24"/>
        </w:rPr>
      </w:pPr>
      <w:r w:rsidRPr="003F3B30">
        <w:rPr>
          <w:rFonts w:ascii="Times New Roman" w:hAnsi="Times New Roman"/>
          <w:b/>
          <w:sz w:val="24"/>
          <w:szCs w:val="24"/>
        </w:rPr>
        <w:t xml:space="preserve">Legal lesson learned:  Fire Department had lawful right to enter property, cut roof looking for extension of fire and prevent rekindle. </w:t>
      </w:r>
    </w:p>
    <w:p w14:paraId="36097A71" w14:textId="77777777" w:rsidR="003F3B30" w:rsidRPr="003F3B30" w:rsidRDefault="003F3B30" w:rsidP="003F3B30">
      <w:pPr>
        <w:pStyle w:val="NoSpacing"/>
        <w:rPr>
          <w:rFonts w:ascii="Times New Roman" w:hAnsi="Times New Roman"/>
          <w:b/>
          <w:sz w:val="24"/>
          <w:szCs w:val="24"/>
        </w:rPr>
      </w:pPr>
    </w:p>
    <w:p w14:paraId="24AB187E" w14:textId="77777777" w:rsidR="003F3B30" w:rsidRPr="003F3B30" w:rsidRDefault="003F3B30" w:rsidP="003F3B30">
      <w:pPr>
        <w:pStyle w:val="NoSpacing"/>
        <w:ind w:left="720"/>
        <w:rPr>
          <w:rFonts w:ascii="Times New Roman" w:hAnsi="Times New Roman"/>
          <w:bCs/>
          <w:sz w:val="24"/>
          <w:szCs w:val="24"/>
        </w:rPr>
      </w:pPr>
      <w:r w:rsidRPr="003F3B30">
        <w:rPr>
          <w:rFonts w:ascii="Times New Roman" w:hAnsi="Times New Roman"/>
          <w:sz w:val="24"/>
          <w:szCs w:val="24"/>
        </w:rPr>
        <w:t xml:space="preserve">Note:  Read the U.S. Supreme Court decision in </w:t>
      </w:r>
      <w:r w:rsidRPr="003F3B30">
        <w:rPr>
          <w:rFonts w:ascii="Times New Roman" w:hAnsi="Times New Roman"/>
          <w:sz w:val="24"/>
          <w:szCs w:val="24"/>
          <w:u w:val="single"/>
        </w:rPr>
        <w:t>Michigan v. Clifford</w:t>
      </w:r>
      <w:r w:rsidRPr="003F3B30">
        <w:rPr>
          <w:rFonts w:ascii="Times New Roman" w:hAnsi="Times New Roman"/>
          <w:sz w:val="24"/>
          <w:szCs w:val="24"/>
        </w:rPr>
        <w:t xml:space="preserve"> (1984).  </w:t>
      </w:r>
      <w:hyperlink r:id="rId822" w:history="1">
        <w:r w:rsidRPr="003F3B30">
          <w:rPr>
            <w:rStyle w:val="Hyperlink"/>
            <w:rFonts w:ascii="Times New Roman" w:hAnsi="Times New Roman"/>
            <w:sz w:val="24"/>
            <w:szCs w:val="24"/>
          </w:rPr>
          <w:t>https://supreme.justia.com/cases/federal/us/464/287/</w:t>
        </w:r>
      </w:hyperlink>
      <w:r w:rsidRPr="003F3B30">
        <w:rPr>
          <w:rFonts w:ascii="Times New Roman" w:hAnsi="Times New Roman"/>
          <w:sz w:val="24"/>
          <w:szCs w:val="24"/>
        </w:rPr>
        <w:t xml:space="preserve"> </w:t>
      </w:r>
    </w:p>
    <w:p w14:paraId="52D772A3" w14:textId="77777777" w:rsidR="003F3B30" w:rsidRPr="003F3B30" w:rsidRDefault="003F3B30" w:rsidP="003F3B30">
      <w:pPr>
        <w:pStyle w:val="NoSpacing"/>
        <w:ind w:left="720"/>
        <w:rPr>
          <w:rFonts w:ascii="Times New Roman" w:hAnsi="Times New Roman"/>
          <w:bCs/>
          <w:sz w:val="24"/>
          <w:szCs w:val="24"/>
        </w:rPr>
      </w:pPr>
    </w:p>
    <w:p w14:paraId="2E55C164" w14:textId="77777777" w:rsidR="003F3B30" w:rsidRPr="003F3B30" w:rsidRDefault="003F3B30" w:rsidP="003F3B30">
      <w:pPr>
        <w:pStyle w:val="NoSpacing"/>
        <w:ind w:left="720"/>
        <w:rPr>
          <w:rFonts w:ascii="Times New Roman" w:hAnsi="Times New Roman"/>
          <w:sz w:val="24"/>
          <w:szCs w:val="24"/>
        </w:rPr>
      </w:pPr>
      <w:r w:rsidRPr="003F3B30">
        <w:rPr>
          <w:rFonts w:ascii="Times New Roman" w:hAnsi="Times New Roman"/>
          <w:sz w:val="24"/>
          <w:szCs w:val="24"/>
        </w:rPr>
        <w:t xml:space="preserve">“A burning building of course creates an exigency that justifies a warrantless entry by fire officials to fight the blaze. Moreover, in </w:t>
      </w:r>
      <w:r w:rsidRPr="003F3B30">
        <w:rPr>
          <w:rFonts w:ascii="Times New Roman" w:hAnsi="Times New Roman"/>
          <w:i/>
          <w:iCs/>
          <w:sz w:val="24"/>
          <w:szCs w:val="24"/>
        </w:rPr>
        <w:t>Tyler,</w:t>
      </w:r>
      <w:r w:rsidRPr="003F3B30">
        <w:rPr>
          <w:rFonts w:ascii="Times New Roman" w:hAnsi="Times New Roman"/>
          <w:sz w:val="24"/>
          <w:szCs w:val="24"/>
        </w:rPr>
        <w:t xml:space="preserve"> we held that, once in the building, officials need no warrant to remain …for ‘a reasonable time to investigate the cause of a blaze after it has been extinguished.’ … however, reasonable expectations of privacy remain in the fire-damaged property, additional investigations begun after the fire has been extinguished and fire and police officials have left the scene generally must be made pursuant to a warrant or the identification of some new exigency. The aftermath of a fire often presents exigencies that will not tolerate the delay necessary to obtain a warrant or to secure the owner's consent to inspect fire-damaged premises….Because determining the cause and origin of a fire serves a compelling public interest, the warrant requirement does not apply in such cases.</w:t>
      </w:r>
    </w:p>
    <w:p w14:paraId="2AE8DB91" w14:textId="77777777" w:rsidR="003F3B30" w:rsidRDefault="003F3B30" w:rsidP="003F3B30">
      <w:pPr>
        <w:pStyle w:val="NoSpacing"/>
      </w:pPr>
    </w:p>
    <w:p w14:paraId="72ACC0F3" w14:textId="77777777" w:rsidR="008843BB" w:rsidRDefault="008843BB" w:rsidP="000636AB">
      <w:pPr>
        <w:rPr>
          <w:rStyle w:val="Hyperlink"/>
          <w:rFonts w:ascii="Arial Black" w:hAnsi="Arial Black"/>
          <w:b/>
          <w:color w:val="auto"/>
          <w:sz w:val="24"/>
          <w:szCs w:val="24"/>
          <w:u w:val="none"/>
        </w:rPr>
      </w:pPr>
    </w:p>
    <w:p w14:paraId="5F6B1779" w14:textId="114A83BE" w:rsidR="000636AB" w:rsidRDefault="000636AB"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4-49</w:t>
      </w:r>
    </w:p>
    <w:p w14:paraId="08856BD0" w14:textId="4C008D2C" w:rsidR="000B78DC" w:rsidRDefault="000B78DC" w:rsidP="000B78DC">
      <w:pPr>
        <w:pStyle w:val="NoSpacing"/>
        <w:rPr>
          <w:rFonts w:ascii="Arial Black" w:hAnsi="Arial Black"/>
          <w:sz w:val="28"/>
          <w:szCs w:val="28"/>
        </w:rPr>
      </w:pPr>
      <w:r>
        <w:rPr>
          <w:rFonts w:ascii="Arial Black" w:hAnsi="Arial Black"/>
          <w:sz w:val="28"/>
          <w:szCs w:val="28"/>
        </w:rPr>
        <w:t xml:space="preserve">U.S. SUP. CT: FBI SWAT / WRONG HOUSE – NO </w:t>
      </w:r>
      <w:r w:rsidR="00064669">
        <w:rPr>
          <w:rFonts w:ascii="Arial Black" w:hAnsi="Arial Black"/>
          <w:sz w:val="28"/>
          <w:szCs w:val="28"/>
        </w:rPr>
        <w:t xml:space="preserve">QUAL. </w:t>
      </w:r>
      <w:r>
        <w:rPr>
          <w:rFonts w:ascii="Arial Black" w:hAnsi="Arial Black"/>
          <w:sz w:val="28"/>
          <w:szCs w:val="28"/>
        </w:rPr>
        <w:t xml:space="preserve">IMMUNITY </w:t>
      </w:r>
    </w:p>
    <w:p w14:paraId="665E5BF1" w14:textId="77777777" w:rsidR="00FB1248" w:rsidRDefault="00FB1248" w:rsidP="000B78DC">
      <w:pPr>
        <w:pStyle w:val="NoSpacing"/>
        <w:rPr>
          <w:rFonts w:ascii="Times New Roman" w:hAnsi="Times New Roman"/>
          <w:sz w:val="24"/>
          <w:szCs w:val="24"/>
        </w:rPr>
      </w:pPr>
    </w:p>
    <w:p w14:paraId="0143098B" w14:textId="16D0E142" w:rsidR="000B78DC" w:rsidRPr="00597590" w:rsidRDefault="000B78DC" w:rsidP="000B78DC">
      <w:pPr>
        <w:pStyle w:val="NoSpacing"/>
        <w:rPr>
          <w:rFonts w:ascii="Times New Roman" w:hAnsi="Times New Roman"/>
          <w:sz w:val="24"/>
          <w:szCs w:val="24"/>
        </w:rPr>
      </w:pPr>
      <w:r w:rsidRPr="00597590">
        <w:rPr>
          <w:rFonts w:ascii="Times New Roman" w:hAnsi="Times New Roman"/>
          <w:sz w:val="24"/>
          <w:szCs w:val="24"/>
        </w:rPr>
        <w:t xml:space="preserve">On June 12, 2025, in </w:t>
      </w:r>
      <w:r w:rsidRPr="00597590">
        <w:rPr>
          <w:rFonts w:ascii="Times New Roman" w:hAnsi="Times New Roman"/>
          <w:sz w:val="24"/>
          <w:szCs w:val="24"/>
          <w:u w:val="single"/>
        </w:rPr>
        <w:t>Curtina Martin, individually and next friend of G.W., a minor, et al. v. United States, et al.,</w:t>
      </w:r>
      <w:r w:rsidRPr="00597590">
        <w:rPr>
          <w:rFonts w:ascii="Times New Roman" w:hAnsi="Times New Roman"/>
          <w:sz w:val="24"/>
          <w:szCs w:val="24"/>
        </w:rPr>
        <w:t xml:space="preserve"> the United States Supreme Court held (9 to 0) that lawsuit should be reinstated to allow plaintiffs to sue the Federal government if there is proof of “intentional tort” by the FBI in the October 18, 2017 FBI / SWAT Team raid on wrong house.  The U.S. District Court judge and the 11</w:t>
      </w:r>
      <w:r w:rsidRPr="00597590">
        <w:rPr>
          <w:rFonts w:ascii="Times New Roman" w:hAnsi="Times New Roman"/>
          <w:sz w:val="24"/>
          <w:szCs w:val="24"/>
          <w:vertAlign w:val="superscript"/>
        </w:rPr>
        <w:t>th</w:t>
      </w:r>
      <w:r w:rsidRPr="00597590">
        <w:rPr>
          <w:rFonts w:ascii="Times New Roman" w:hAnsi="Times New Roman"/>
          <w:sz w:val="24"/>
          <w:szCs w:val="24"/>
        </w:rPr>
        <w:t xml:space="preserve"> Circuit (Atlanta) dismissed the lawsuit on basis of the immunity doctrine of “discretionary function.” The U.S. Supreme Court reviewed legislative history of the Federal Tort Claims Act where Congress in 1974 amended the FTCA because of another “wrong address” raid – April 1973, Herbert and Evelyn Giglotto awoke in their Collinsville, Illinois, townhouse 15 state and federal officers.  The Federal Tort Claims Act was amended by Congress</w:t>
      </w:r>
    </w:p>
    <w:p w14:paraId="03D1D226" w14:textId="77777777" w:rsidR="000B78DC" w:rsidRPr="00597590" w:rsidRDefault="000B78DC" w:rsidP="000B78DC">
      <w:pPr>
        <w:pStyle w:val="NoSpacing"/>
        <w:rPr>
          <w:rFonts w:ascii="Times New Roman" w:hAnsi="Times New Roman"/>
          <w:sz w:val="24"/>
          <w:szCs w:val="24"/>
        </w:rPr>
      </w:pPr>
      <w:r w:rsidRPr="00597590">
        <w:rPr>
          <w:rFonts w:ascii="Times New Roman" w:hAnsi="Times New Roman"/>
          <w:sz w:val="24"/>
          <w:szCs w:val="24"/>
        </w:rPr>
        <w:t xml:space="preserve">by adding the “law enforcement proviso” allowing lawsuits for Federal investigative or law enforcement agents who commit any of six intentional torts, including:  assault, battery, false imprisonment, and false arrest, abuse of process, malicious prosecution.  So long as the officer is acting within the scope of his or her employment at the time the tort arises, the waiver of sovereign immunity applies.  THE COURT HELD: “Where does all that leave the case before us? We can say this much: The plaintiffs’ intentional-tort claims survive their encounter with subsection (h) thanks to the law enforcement proviso, as the Eleventh Circuit recognized. But it remains </w:t>
      </w:r>
      <w:r w:rsidRPr="00597590">
        <w:rPr>
          <w:rFonts w:ascii="Times New Roman" w:hAnsi="Times New Roman"/>
          <w:sz w:val="24"/>
          <w:szCs w:val="24"/>
        </w:rPr>
        <w:lastRenderedPageBreak/>
        <w:t xml:space="preserve">for that court on remand to consider whether subsection (a)’s discretionary-function exception bars either the plaintiffs’ negligent- or intentional-tort claims.” </w:t>
      </w:r>
      <w:hyperlink r:id="rId823" w:history="1">
        <w:r w:rsidRPr="00597590">
          <w:rPr>
            <w:rStyle w:val="Hyperlink"/>
            <w:rFonts w:ascii="Times New Roman" w:hAnsi="Times New Roman"/>
            <w:sz w:val="24"/>
            <w:szCs w:val="24"/>
          </w:rPr>
          <w:t>https://www.supremecourt.gov/opinions/24pdf/24-362_mjn0.pdf</w:t>
        </w:r>
      </w:hyperlink>
      <w:r w:rsidRPr="00597590">
        <w:rPr>
          <w:rFonts w:ascii="Times New Roman" w:hAnsi="Times New Roman"/>
          <w:sz w:val="24"/>
          <w:szCs w:val="24"/>
        </w:rPr>
        <w:t xml:space="preserve"> </w:t>
      </w:r>
    </w:p>
    <w:p w14:paraId="2377A0B5" w14:textId="77777777" w:rsidR="000B78DC" w:rsidRPr="00597590" w:rsidRDefault="000B78DC" w:rsidP="000B78DC">
      <w:pPr>
        <w:pStyle w:val="NoSpacing"/>
        <w:rPr>
          <w:rFonts w:ascii="Times New Roman" w:hAnsi="Times New Roman"/>
          <w:sz w:val="24"/>
          <w:szCs w:val="24"/>
        </w:rPr>
      </w:pPr>
    </w:p>
    <w:p w14:paraId="1655167C" w14:textId="77777777" w:rsidR="00597590" w:rsidRPr="00597590" w:rsidRDefault="00597590" w:rsidP="00597590">
      <w:pPr>
        <w:pStyle w:val="NoSpacing"/>
        <w:rPr>
          <w:rFonts w:ascii="Times New Roman" w:hAnsi="Times New Roman"/>
          <w:b/>
          <w:bCs/>
          <w:sz w:val="24"/>
          <w:szCs w:val="24"/>
        </w:rPr>
      </w:pPr>
      <w:r w:rsidRPr="00597590">
        <w:rPr>
          <w:rFonts w:ascii="Times New Roman" w:hAnsi="Times New Roman"/>
          <w:b/>
          <w:sz w:val="24"/>
          <w:szCs w:val="24"/>
        </w:rPr>
        <w:t>Legal lesson learned:  Similar to FTCA, many states have statutes waiving their sovereign immunity for “intentional torts” by law enforcement and other public employees.</w:t>
      </w:r>
    </w:p>
    <w:p w14:paraId="594C5B80" w14:textId="77777777" w:rsidR="00597590" w:rsidRPr="00597590" w:rsidRDefault="00597590" w:rsidP="00597590">
      <w:pPr>
        <w:pStyle w:val="NoSpacing"/>
        <w:rPr>
          <w:rFonts w:ascii="Times New Roman" w:hAnsi="Times New Roman"/>
          <w:b/>
          <w:bCs/>
          <w:sz w:val="24"/>
          <w:szCs w:val="24"/>
        </w:rPr>
      </w:pPr>
    </w:p>
    <w:p w14:paraId="615F3023" w14:textId="77777777" w:rsidR="00597590" w:rsidRPr="00597590" w:rsidRDefault="00597590" w:rsidP="00597590">
      <w:pPr>
        <w:pStyle w:val="NoSpacing"/>
        <w:ind w:left="720"/>
        <w:rPr>
          <w:rFonts w:ascii="Times New Roman" w:hAnsi="Times New Roman"/>
          <w:sz w:val="24"/>
          <w:szCs w:val="24"/>
        </w:rPr>
      </w:pPr>
      <w:r w:rsidRPr="00597590">
        <w:rPr>
          <w:rFonts w:ascii="Times New Roman" w:hAnsi="Times New Roman"/>
          <w:sz w:val="24"/>
          <w:szCs w:val="24"/>
        </w:rPr>
        <w:t xml:space="preserve">Note:  See more on the “law enforcement proviso” – “The Federal Tort Claims Act (FTCA): A Legal Overview.” </w:t>
      </w:r>
      <w:hyperlink r:id="rId824" w:history="1">
        <w:r w:rsidRPr="00597590">
          <w:rPr>
            <w:rStyle w:val="Hyperlink"/>
            <w:rFonts w:ascii="Times New Roman" w:hAnsi="Times New Roman"/>
            <w:sz w:val="24"/>
            <w:szCs w:val="24"/>
          </w:rPr>
          <w:t>https://www.congress.gov/crs-product/R45732</w:t>
        </w:r>
      </w:hyperlink>
      <w:r w:rsidRPr="00597590">
        <w:rPr>
          <w:rFonts w:ascii="Times New Roman" w:hAnsi="Times New Roman"/>
          <w:sz w:val="24"/>
          <w:szCs w:val="24"/>
        </w:rPr>
        <w:t xml:space="preserve"> </w:t>
      </w:r>
    </w:p>
    <w:p w14:paraId="2E43B196" w14:textId="77777777" w:rsidR="000B78DC" w:rsidRPr="00597590" w:rsidRDefault="000B78DC" w:rsidP="006528FB">
      <w:pPr>
        <w:rPr>
          <w:rFonts w:ascii="Times New Roman" w:hAnsi="Times New Roman"/>
          <w:b/>
          <w:sz w:val="24"/>
          <w:szCs w:val="24"/>
        </w:rPr>
      </w:pPr>
    </w:p>
    <w:p w14:paraId="0CED1D16" w14:textId="77777777" w:rsidR="000B78DC" w:rsidRDefault="000B78DC" w:rsidP="006528FB">
      <w:pPr>
        <w:rPr>
          <w:rFonts w:ascii="Arial Black" w:hAnsi="Arial Black"/>
          <w:b/>
          <w:sz w:val="28"/>
          <w:szCs w:val="28"/>
        </w:rPr>
      </w:pPr>
    </w:p>
    <w:p w14:paraId="2820AC79" w14:textId="58A86CE7" w:rsidR="000B78DC" w:rsidRDefault="000636AB" w:rsidP="006528FB">
      <w:pPr>
        <w:rPr>
          <w:rFonts w:ascii="Arial Black" w:hAnsi="Arial Black"/>
          <w:b/>
          <w:sz w:val="28"/>
          <w:szCs w:val="28"/>
        </w:rPr>
      </w:pPr>
      <w:r>
        <w:rPr>
          <w:rStyle w:val="Hyperlink"/>
          <w:rFonts w:ascii="Arial Black" w:hAnsi="Arial Black"/>
          <w:b/>
          <w:color w:val="auto"/>
          <w:sz w:val="24"/>
          <w:szCs w:val="24"/>
          <w:u w:val="none"/>
        </w:rPr>
        <w:t>4-48</w:t>
      </w:r>
    </w:p>
    <w:p w14:paraId="2FEEE3D2" w14:textId="7F818D8F" w:rsidR="006528FB" w:rsidRPr="009E79D4" w:rsidRDefault="006528FB" w:rsidP="006528FB">
      <w:pPr>
        <w:rPr>
          <w:rFonts w:ascii="Arial Black" w:hAnsi="Arial Black"/>
          <w:b/>
          <w:sz w:val="28"/>
          <w:szCs w:val="28"/>
        </w:rPr>
      </w:pPr>
      <w:r>
        <w:rPr>
          <w:rFonts w:ascii="Arial Black" w:hAnsi="Arial Black"/>
          <w:b/>
          <w:sz w:val="28"/>
          <w:szCs w:val="28"/>
        </w:rPr>
        <w:t xml:space="preserve">TX: LASER BLINDED POLICE COPTER – 37-MO IN PRISON </w:t>
      </w:r>
    </w:p>
    <w:p w14:paraId="7AA6CCA5" w14:textId="77777777" w:rsidR="006528FB" w:rsidRPr="00C342C1" w:rsidRDefault="006528FB" w:rsidP="006528FB">
      <w:pPr>
        <w:pStyle w:val="NoSpacing"/>
        <w:rPr>
          <w:rFonts w:ascii="Times New Roman" w:hAnsi="Times New Roman"/>
          <w:bCs/>
          <w:sz w:val="24"/>
          <w:szCs w:val="24"/>
        </w:rPr>
      </w:pPr>
      <w:r w:rsidRPr="00C342C1">
        <w:rPr>
          <w:rFonts w:ascii="Times New Roman" w:hAnsi="Times New Roman"/>
          <w:sz w:val="24"/>
          <w:szCs w:val="24"/>
        </w:rPr>
        <w:t xml:space="preserve">On June 5, 2025, in </w:t>
      </w:r>
      <w:r w:rsidRPr="00C342C1">
        <w:rPr>
          <w:rFonts w:ascii="Times New Roman" w:hAnsi="Times New Roman"/>
          <w:sz w:val="24"/>
          <w:szCs w:val="24"/>
          <w:u w:val="single"/>
        </w:rPr>
        <w:t>United States of America v. Sandra Roberson</w:t>
      </w:r>
      <w:r w:rsidRPr="00C342C1">
        <w:rPr>
          <w:rFonts w:ascii="Times New Roman" w:hAnsi="Times New Roman"/>
          <w:sz w:val="24"/>
          <w:szCs w:val="24"/>
        </w:rPr>
        <w:t>, the United States Court of Appeals for the Fifth Circuit (New Orleans) held (3 to 0) that sentence was appropriate; the defendant had plead guilty to Federal offense.  On November 3, 2023, at approximately 10:20 p.m., two San Antonio Police Department officers were travelling via police helicopter</w:t>
      </w:r>
    </w:p>
    <w:p w14:paraId="6C05E294" w14:textId="77777777" w:rsidR="006528FB" w:rsidRPr="00C342C1" w:rsidRDefault="006528FB" w:rsidP="006528FB">
      <w:pPr>
        <w:pStyle w:val="NoSpacing"/>
        <w:rPr>
          <w:rFonts w:ascii="Times New Roman" w:hAnsi="Times New Roman"/>
          <w:bCs/>
          <w:sz w:val="24"/>
          <w:szCs w:val="24"/>
        </w:rPr>
      </w:pPr>
      <w:r w:rsidRPr="00C342C1">
        <w:rPr>
          <w:rFonts w:ascii="Times New Roman" w:hAnsi="Times New Roman"/>
          <w:sz w:val="24"/>
          <w:szCs w:val="24"/>
        </w:rPr>
        <w:t xml:space="preserve">to support other officers responding to a shooting call. In the police helicopter, when an intense green laser began persistently striking the helicopter causing temporary flash blindness.  THE COURT HELD: “In sum, because her arguments are entirely contradicted by the record evidence, we are unconvinced that Roberson was not subjectively aware of the risk posed to the police helicopter when she continuously struck it with a laser for at least five minutes, forcing it to abruptly divert its path.” </w:t>
      </w:r>
      <w:hyperlink r:id="rId825" w:history="1">
        <w:r w:rsidRPr="00C342C1">
          <w:rPr>
            <w:rStyle w:val="Hyperlink"/>
            <w:rFonts w:ascii="Times New Roman" w:hAnsi="Times New Roman"/>
            <w:sz w:val="24"/>
            <w:szCs w:val="24"/>
          </w:rPr>
          <w:t>https://cases.justia.com/federal/appellate-courts/ca5/24-50970/24-50970-2025-06-05.pdf?ts=1749144644</w:t>
        </w:r>
      </w:hyperlink>
      <w:r w:rsidRPr="00C342C1">
        <w:rPr>
          <w:rFonts w:ascii="Times New Roman" w:hAnsi="Times New Roman"/>
          <w:sz w:val="24"/>
          <w:szCs w:val="24"/>
        </w:rPr>
        <w:t xml:space="preserve"> </w:t>
      </w:r>
    </w:p>
    <w:p w14:paraId="38D245B9" w14:textId="77777777" w:rsidR="006528FB" w:rsidRPr="00C342C1" w:rsidRDefault="006528FB" w:rsidP="006528FB">
      <w:pPr>
        <w:pStyle w:val="NoSpacing"/>
        <w:rPr>
          <w:rFonts w:ascii="Times New Roman" w:hAnsi="Times New Roman"/>
          <w:bCs/>
          <w:sz w:val="24"/>
          <w:szCs w:val="24"/>
        </w:rPr>
      </w:pPr>
    </w:p>
    <w:p w14:paraId="75C98AB8" w14:textId="77777777" w:rsidR="006528FB" w:rsidRPr="00C342C1" w:rsidRDefault="006528FB" w:rsidP="006528FB">
      <w:pPr>
        <w:pStyle w:val="NoSpacing"/>
        <w:rPr>
          <w:rFonts w:ascii="Times New Roman" w:hAnsi="Times New Roman"/>
          <w:b/>
          <w:bCs/>
          <w:sz w:val="24"/>
          <w:szCs w:val="24"/>
        </w:rPr>
      </w:pPr>
      <w:r w:rsidRPr="00C342C1">
        <w:rPr>
          <w:rFonts w:ascii="Times New Roman" w:hAnsi="Times New Roman"/>
          <w:b/>
          <w:sz w:val="24"/>
          <w:szCs w:val="24"/>
        </w:rPr>
        <w:t xml:space="preserve">Legal lesson learned: Pointing a laser at a helicopter or other aircraft is incredibly dangerous. </w:t>
      </w:r>
    </w:p>
    <w:p w14:paraId="4FDB9DBE" w14:textId="77777777" w:rsidR="006528FB" w:rsidRPr="00C342C1" w:rsidRDefault="006528FB" w:rsidP="006528FB">
      <w:pPr>
        <w:pStyle w:val="NoSpacing"/>
        <w:rPr>
          <w:rFonts w:ascii="Times New Roman" w:hAnsi="Times New Roman"/>
          <w:b/>
          <w:bCs/>
          <w:sz w:val="24"/>
          <w:szCs w:val="24"/>
        </w:rPr>
      </w:pPr>
    </w:p>
    <w:p w14:paraId="373F6741" w14:textId="77777777" w:rsidR="006528FB" w:rsidRPr="00C342C1" w:rsidRDefault="006528FB" w:rsidP="006528FB">
      <w:pPr>
        <w:pStyle w:val="NoSpacing"/>
        <w:ind w:left="720"/>
        <w:rPr>
          <w:rFonts w:ascii="Times New Roman" w:hAnsi="Times New Roman"/>
          <w:sz w:val="24"/>
          <w:szCs w:val="24"/>
        </w:rPr>
      </w:pPr>
      <w:r w:rsidRPr="00C342C1">
        <w:rPr>
          <w:rFonts w:ascii="Times New Roman" w:hAnsi="Times New Roman"/>
          <w:sz w:val="24"/>
          <w:szCs w:val="24"/>
        </w:rPr>
        <w:t xml:space="preserve">Note: The Court noted that the defendant, </w:t>
      </w:r>
      <w:proofErr w:type="gramStart"/>
      <w:r w:rsidRPr="00C342C1">
        <w:rPr>
          <w:rFonts w:ascii="Times New Roman" w:hAnsi="Times New Roman"/>
          <w:sz w:val="24"/>
          <w:szCs w:val="24"/>
        </w:rPr>
        <w:t>age</w:t>
      </w:r>
      <w:proofErr w:type="gramEnd"/>
      <w:r w:rsidRPr="00C342C1">
        <w:rPr>
          <w:rFonts w:ascii="Times New Roman" w:hAnsi="Times New Roman"/>
          <w:sz w:val="24"/>
          <w:szCs w:val="24"/>
        </w:rPr>
        <w:t xml:space="preserve"> 60 at the time of the offense, had quite a criminal record. </w:t>
      </w:r>
    </w:p>
    <w:p w14:paraId="1668EB4D" w14:textId="77777777" w:rsidR="006528FB" w:rsidRPr="00C342C1" w:rsidRDefault="006528FB" w:rsidP="006528FB">
      <w:pPr>
        <w:pStyle w:val="NoSpacing"/>
        <w:ind w:left="720"/>
        <w:rPr>
          <w:rFonts w:ascii="Times New Roman" w:hAnsi="Times New Roman"/>
          <w:sz w:val="24"/>
          <w:szCs w:val="24"/>
        </w:rPr>
      </w:pPr>
      <w:r w:rsidRPr="00C342C1">
        <w:rPr>
          <w:rFonts w:ascii="Times New Roman" w:hAnsi="Times New Roman"/>
          <w:sz w:val="24"/>
          <w:szCs w:val="24"/>
        </w:rPr>
        <w:t>“As her PSR [</w:t>
      </w:r>
      <w:proofErr w:type="spellStart"/>
      <w:r w:rsidRPr="00C342C1">
        <w:rPr>
          <w:rFonts w:ascii="Times New Roman" w:hAnsi="Times New Roman"/>
          <w:sz w:val="24"/>
          <w:szCs w:val="24"/>
        </w:rPr>
        <w:t>Pre Sentence</w:t>
      </w:r>
      <w:proofErr w:type="spellEnd"/>
      <w:r w:rsidRPr="00C342C1">
        <w:rPr>
          <w:rFonts w:ascii="Times New Roman" w:hAnsi="Times New Roman"/>
          <w:sz w:val="24"/>
          <w:szCs w:val="24"/>
        </w:rPr>
        <w:t xml:space="preserve"> Report] plainly indicates, she has an extensive record of nearly three dozen prior arrests and/or convictions (33 total) spanning four decades (1983–2024), resulting in a staggering criminal history category of V—the second highest available under the Guidelines.”</w:t>
      </w:r>
    </w:p>
    <w:p w14:paraId="5217B5C6" w14:textId="77777777" w:rsidR="006528FB" w:rsidRPr="00C342C1" w:rsidRDefault="006528FB" w:rsidP="006528FB">
      <w:pPr>
        <w:pStyle w:val="NoSpacing"/>
        <w:rPr>
          <w:rFonts w:ascii="Times New Roman" w:hAnsi="Times New Roman"/>
          <w:b/>
          <w:bCs/>
          <w:sz w:val="24"/>
          <w:szCs w:val="24"/>
        </w:rPr>
      </w:pPr>
      <w:r w:rsidRPr="00C342C1">
        <w:rPr>
          <w:rFonts w:ascii="Times New Roman" w:hAnsi="Times New Roman"/>
          <w:b/>
          <w:sz w:val="24"/>
          <w:szCs w:val="24"/>
        </w:rPr>
        <w:t xml:space="preserve">  </w:t>
      </w:r>
    </w:p>
    <w:p w14:paraId="3613C335" w14:textId="72A54DBC" w:rsidR="00680234" w:rsidRDefault="006528FB" w:rsidP="006528FB">
      <w:pPr>
        <w:rPr>
          <w:rStyle w:val="Hyperlink"/>
          <w:rFonts w:ascii="Arial Black" w:hAnsi="Arial Black"/>
          <w:b/>
          <w:color w:val="auto"/>
          <w:sz w:val="24"/>
          <w:szCs w:val="24"/>
          <w:u w:val="none"/>
        </w:rPr>
      </w:pPr>
      <w:r w:rsidRPr="00C342C1">
        <w:rPr>
          <w:rFonts w:ascii="Times New Roman" w:hAnsi="Times New Roman"/>
          <w:sz w:val="24"/>
          <w:szCs w:val="24"/>
        </w:rPr>
        <w:t xml:space="preserve">See also the U.S. Department of Justice Press Release; “San Antonio Woman Sentenced to Prison for Endangering SAPD Helicopter with Laser. </w:t>
      </w:r>
      <w:hyperlink r:id="rId826" w:history="1">
        <w:r w:rsidRPr="00C342C1">
          <w:rPr>
            <w:rStyle w:val="Hyperlink"/>
            <w:rFonts w:ascii="Times New Roman" w:hAnsi="Times New Roman"/>
            <w:sz w:val="24"/>
            <w:szCs w:val="24"/>
          </w:rPr>
          <w:t>https://www.justice.gov/usao-wdtx/pr/san-antonio-woman-sentenced-prison-endangering-sapd-helicopter-laser</w:t>
        </w:r>
      </w:hyperlink>
    </w:p>
    <w:p w14:paraId="1032D04B" w14:textId="77777777" w:rsidR="00680234" w:rsidRDefault="00680234" w:rsidP="002B1283">
      <w:pPr>
        <w:rPr>
          <w:rStyle w:val="Hyperlink"/>
          <w:rFonts w:ascii="Arial Black" w:hAnsi="Arial Black"/>
          <w:b/>
          <w:color w:val="auto"/>
          <w:sz w:val="24"/>
          <w:szCs w:val="24"/>
          <w:u w:val="none"/>
        </w:rPr>
      </w:pPr>
    </w:p>
    <w:p w14:paraId="44FD9D3E" w14:textId="135E85FF" w:rsidR="000636AB" w:rsidRDefault="000636AB"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4-47</w:t>
      </w:r>
    </w:p>
    <w:p w14:paraId="233E432D" w14:textId="77777777" w:rsidR="009B2566" w:rsidRDefault="009B2566" w:rsidP="002B1283">
      <w:pPr>
        <w:rPr>
          <w:rStyle w:val="Hyperlink"/>
          <w:rFonts w:ascii="Arial Black" w:hAnsi="Arial Black"/>
          <w:b/>
          <w:color w:val="auto"/>
          <w:sz w:val="24"/>
          <w:szCs w:val="24"/>
          <w:u w:val="none"/>
        </w:rPr>
      </w:pPr>
    </w:p>
    <w:p w14:paraId="74718506" w14:textId="77777777" w:rsidR="009B2566" w:rsidRDefault="009B2566" w:rsidP="009B2566">
      <w:pPr>
        <w:rPr>
          <w:rFonts w:ascii="Arial Black" w:hAnsi="Arial Black"/>
          <w:b/>
          <w:sz w:val="28"/>
          <w:szCs w:val="28"/>
        </w:rPr>
      </w:pPr>
      <w:r>
        <w:rPr>
          <w:rFonts w:ascii="Arial Black" w:hAnsi="Arial Black"/>
          <w:b/>
          <w:sz w:val="28"/>
          <w:szCs w:val="28"/>
        </w:rPr>
        <w:t>CA: TRAINING CAPT MOVED - $450K / ATTY FEES CUT 30%</w:t>
      </w:r>
    </w:p>
    <w:p w14:paraId="42093463" w14:textId="77777777" w:rsidR="009B2566" w:rsidRPr="000636AB" w:rsidRDefault="009B2566" w:rsidP="009B2566">
      <w:pPr>
        <w:rPr>
          <w:rFonts w:ascii="Times New Roman" w:hAnsi="Times New Roman"/>
          <w:sz w:val="24"/>
          <w:szCs w:val="24"/>
        </w:rPr>
      </w:pPr>
      <w:r w:rsidRPr="000636AB">
        <w:rPr>
          <w:rFonts w:ascii="Times New Roman" w:hAnsi="Times New Roman"/>
          <w:sz w:val="24"/>
          <w:szCs w:val="24"/>
        </w:rPr>
        <w:t xml:space="preserve">On May 30, 2025, in </w:t>
      </w:r>
      <w:r w:rsidRPr="000636AB">
        <w:rPr>
          <w:rFonts w:ascii="Times New Roman" w:hAnsi="Times New Roman"/>
          <w:sz w:val="24"/>
          <w:szCs w:val="24"/>
          <w:u w:val="single"/>
        </w:rPr>
        <w:t>Michael Cash v. County of Los Angeles</w:t>
      </w:r>
      <w:r w:rsidRPr="000636AB">
        <w:rPr>
          <w:rFonts w:ascii="Times New Roman" w:hAnsi="Times New Roman"/>
          <w:sz w:val="24"/>
          <w:szCs w:val="24"/>
        </w:rPr>
        <w:t xml:space="preserve">, the Court of Appeal, Second District, California, held (3 to 0) that after a jury awarded Captain $450,000 when he was removed from the LA County training academy after complaining about female recruit not being terminated, the trial court judge also properly </w:t>
      </w:r>
      <w:r w:rsidRPr="000636AB">
        <w:rPr>
          <w:rFonts w:ascii="Times New Roman" w:hAnsi="Times New Roman"/>
          <w:sz w:val="24"/>
          <w:szCs w:val="24"/>
        </w:rPr>
        <w:lastRenderedPageBreak/>
        <w:t xml:space="preserve">awarded the Captain attorney fees, reduced by 30% when County asserted that the attorneys’ hours were padded.  It took 5 years of litigation, and 20-day jury trial to get to a jury verdict ($705,730 fee request; $455,546 awarded).  THE COURT HELD: “Before a hearing to consider the amount of attorney fees to award, the trial court issued a tentative ruling adopting wholesale the County's across-the-board 30 percent reduction. The trial court did not abuse its discretion in doing so. Under the traditional California standard, across-the-board, percentage-based reductions to a lodestar figure are appropriate so long as the trial court articulates a justifiable reason for the reduction. (Morris, supra, 41 Cal.App.5th at p. 35, fn. 6, 253 Cal.Rptr.3d 592.) Here, the trial court imposed the 30-percent reduction due to padding </w:t>
      </w:r>
      <w:proofErr w:type="gramStart"/>
      <w:r w:rsidRPr="000636AB">
        <w:rPr>
          <w:rFonts w:ascii="Times New Roman" w:hAnsi="Times New Roman"/>
          <w:sz w:val="24"/>
          <w:szCs w:val="24"/>
        </w:rPr>
        <w:t>as a result of</w:t>
      </w:r>
      <w:proofErr w:type="gramEnd"/>
      <w:r w:rsidRPr="000636AB">
        <w:rPr>
          <w:rFonts w:ascii="Times New Roman" w:hAnsi="Times New Roman"/>
          <w:sz w:val="24"/>
          <w:szCs w:val="24"/>
        </w:rPr>
        <w:t xml:space="preserve"> the attorneys’ excessive and duplicative billing.” </w:t>
      </w:r>
      <w:hyperlink r:id="rId827" w:history="1">
        <w:r w:rsidRPr="000636AB">
          <w:rPr>
            <w:rStyle w:val="Hyperlink"/>
            <w:rFonts w:ascii="Times New Roman" w:hAnsi="Times New Roman"/>
            <w:sz w:val="24"/>
            <w:szCs w:val="24"/>
          </w:rPr>
          <w:t>https://caselaw.findlaw.com/court/crt-app-sec-dis-cal-div-fiv/117326152.html</w:t>
        </w:r>
      </w:hyperlink>
      <w:r w:rsidRPr="000636AB">
        <w:rPr>
          <w:rFonts w:ascii="Times New Roman" w:hAnsi="Times New Roman"/>
          <w:sz w:val="24"/>
          <w:szCs w:val="24"/>
        </w:rPr>
        <w:t xml:space="preserve"> </w:t>
      </w:r>
    </w:p>
    <w:p w14:paraId="1804E859" w14:textId="77777777" w:rsidR="00F1458A" w:rsidRPr="000636AB" w:rsidRDefault="00F1458A" w:rsidP="00F1458A">
      <w:pPr>
        <w:pStyle w:val="NoSpacing"/>
        <w:rPr>
          <w:rFonts w:ascii="Times New Roman" w:hAnsi="Times New Roman"/>
          <w:b/>
          <w:sz w:val="24"/>
          <w:szCs w:val="24"/>
        </w:rPr>
      </w:pPr>
      <w:r w:rsidRPr="000636AB">
        <w:rPr>
          <w:rFonts w:ascii="Times New Roman" w:hAnsi="Times New Roman"/>
          <w:b/>
          <w:sz w:val="24"/>
          <w:szCs w:val="24"/>
        </w:rPr>
        <w:t xml:space="preserve">Legal lesson learned: Many states have enacted civil rights statutes allowing courts to award reasonable attorney fees to the winning plaintiff; it is an “incentive” for employment attorneys to pursue often difficult, lengthy cases. </w:t>
      </w:r>
    </w:p>
    <w:p w14:paraId="0F524EF7" w14:textId="77777777" w:rsidR="00F1458A" w:rsidRDefault="00F1458A" w:rsidP="00F1458A">
      <w:pPr>
        <w:pStyle w:val="NoSpacing"/>
        <w:rPr>
          <w:b/>
        </w:rPr>
      </w:pPr>
    </w:p>
    <w:p w14:paraId="10EE10BD" w14:textId="77777777" w:rsidR="00F1458A" w:rsidRDefault="00F1458A" w:rsidP="009B2566">
      <w:pPr>
        <w:rPr>
          <w:bCs/>
        </w:rPr>
      </w:pPr>
    </w:p>
    <w:p w14:paraId="10A18197" w14:textId="086D7BC8" w:rsidR="00B12A0F" w:rsidRDefault="00B12A0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4-46</w:t>
      </w:r>
    </w:p>
    <w:p w14:paraId="742CB67C" w14:textId="77777777" w:rsidR="00B12A0F" w:rsidRPr="006F2B87" w:rsidRDefault="00B12A0F" w:rsidP="00B12A0F">
      <w:pPr>
        <w:pStyle w:val="NoSpacing"/>
        <w:rPr>
          <w:rFonts w:ascii="Arial Black" w:hAnsi="Arial Black"/>
          <w:sz w:val="28"/>
          <w:szCs w:val="28"/>
        </w:rPr>
      </w:pPr>
      <w:r w:rsidRPr="006F2B87">
        <w:rPr>
          <w:rFonts w:ascii="Arial Black" w:hAnsi="Arial Black"/>
          <w:sz w:val="28"/>
          <w:szCs w:val="28"/>
        </w:rPr>
        <w:t xml:space="preserve">MI: HOUSE FIRE – 2 BOYS DEAD </w:t>
      </w:r>
      <w:r>
        <w:rPr>
          <w:rFonts w:ascii="Arial Black" w:hAnsi="Arial Black"/>
          <w:sz w:val="28"/>
          <w:szCs w:val="28"/>
        </w:rPr>
        <w:t>–</w:t>
      </w:r>
      <w:r w:rsidRPr="006F2B87">
        <w:rPr>
          <w:rFonts w:ascii="Arial Black" w:hAnsi="Arial Black"/>
          <w:sz w:val="28"/>
          <w:szCs w:val="28"/>
        </w:rPr>
        <w:t xml:space="preserve"> </w:t>
      </w:r>
      <w:r>
        <w:rPr>
          <w:rFonts w:ascii="Arial Black" w:hAnsi="Arial Black"/>
          <w:sz w:val="28"/>
          <w:szCs w:val="28"/>
        </w:rPr>
        <w:t xml:space="preserve">2 </w:t>
      </w:r>
      <w:r w:rsidRPr="006F2B87">
        <w:rPr>
          <w:rFonts w:ascii="Arial Black" w:hAnsi="Arial Black"/>
          <w:sz w:val="28"/>
          <w:szCs w:val="28"/>
        </w:rPr>
        <w:t>FF GROSS NEG.</w:t>
      </w:r>
      <w:r>
        <w:rPr>
          <w:rFonts w:ascii="Arial Black" w:hAnsi="Arial Black"/>
          <w:sz w:val="28"/>
          <w:szCs w:val="28"/>
        </w:rPr>
        <w:t xml:space="preserve"> CASE</w:t>
      </w:r>
    </w:p>
    <w:p w14:paraId="72619C3E" w14:textId="77777777" w:rsidR="00B12A0F" w:rsidRPr="006F2B87" w:rsidRDefault="00B12A0F" w:rsidP="00B12A0F">
      <w:pPr>
        <w:pStyle w:val="NoSpacing"/>
      </w:pPr>
    </w:p>
    <w:p w14:paraId="25B3F7A0"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 xml:space="preserve">On May 14, 2025, in </w:t>
      </w:r>
      <w:r w:rsidRPr="00795A89">
        <w:rPr>
          <w:rFonts w:ascii="Times New Roman" w:hAnsi="Times New Roman"/>
          <w:sz w:val="24"/>
          <w:szCs w:val="24"/>
          <w:u w:val="single"/>
        </w:rPr>
        <w:t>Crystal Cooper, individually and as personal representative of the Estate of Lamar D. Mitchell and the Estate of Zyaire Mitchell v. City of Flint, and Flint Fire Department, and Sergeant Daniel Sniegocki and Firefighter Michael Zlotek</w:t>
      </w:r>
      <w:r w:rsidRPr="00795A89">
        <w:rPr>
          <w:rFonts w:ascii="Times New Roman" w:hAnsi="Times New Roman"/>
          <w:sz w:val="24"/>
          <w:szCs w:val="24"/>
        </w:rPr>
        <w:t xml:space="preserve">, the State of Michigan Court of Appeals held (3 to 0; unpublished decision) that trial court properly refused to dismiss the lawsuit against the two firefighters since there is sufficient evidence for a jury to find gross negligence by two firefighters in their primary search of the house (City and fire department did not part of this appeal).  </w:t>
      </w:r>
    </w:p>
    <w:p w14:paraId="042F8DC5" w14:textId="77777777" w:rsidR="00B12A0F" w:rsidRPr="00795A89" w:rsidRDefault="00B12A0F" w:rsidP="00B12A0F">
      <w:pPr>
        <w:pStyle w:val="NoSpacing"/>
        <w:rPr>
          <w:rFonts w:ascii="Times New Roman" w:hAnsi="Times New Roman"/>
          <w:sz w:val="24"/>
          <w:szCs w:val="24"/>
        </w:rPr>
      </w:pPr>
    </w:p>
    <w:p w14:paraId="549A898E" w14:textId="30FC49AC"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 xml:space="preserve">The Court wrote: “This case arose from a house fire that took place in May 2022. Defendants were among the first firefighters who responded to the scene, and they were ordered to perform a primary search of the house. Defendants stated in their respective postfire reports that, before searching the house, they had been informed that there might be </w:t>
      </w:r>
      <w:proofErr w:type="gramStart"/>
      <w:r w:rsidRPr="00795A89">
        <w:rPr>
          <w:rFonts w:ascii="Times New Roman" w:hAnsi="Times New Roman"/>
          <w:sz w:val="24"/>
          <w:szCs w:val="24"/>
        </w:rPr>
        <w:t>persons</w:t>
      </w:r>
      <w:proofErr w:type="gramEnd"/>
      <w:r w:rsidRPr="00795A89">
        <w:rPr>
          <w:rFonts w:ascii="Times New Roman" w:hAnsi="Times New Roman"/>
          <w:sz w:val="24"/>
          <w:szCs w:val="24"/>
        </w:rPr>
        <w:t xml:space="preserve"> trapped inside, but they found no entrapped victims after they searched the first and second floors of the house. Approximately seven minutes after defendants’ search, a second crew was ordered to go</w:t>
      </w:r>
      <w:r w:rsidR="00795A89">
        <w:rPr>
          <w:rFonts w:ascii="Times New Roman" w:hAnsi="Times New Roman"/>
          <w:sz w:val="24"/>
          <w:szCs w:val="24"/>
        </w:rPr>
        <w:t xml:space="preserve"> </w:t>
      </w:r>
      <w:r w:rsidRPr="00795A89">
        <w:rPr>
          <w:rFonts w:ascii="Times New Roman" w:hAnsi="Times New Roman"/>
          <w:sz w:val="24"/>
          <w:szCs w:val="24"/>
        </w:rPr>
        <w:t>to the second floor and open windows, remove an air-conditioning unit, and conduct secondary</w:t>
      </w:r>
    </w:p>
    <w:p w14:paraId="479BFB2E"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searches. This crew located Lamar and Zyaire in one of the second-floor bedrooms. Lamar was</w:t>
      </w:r>
    </w:p>
    <w:p w14:paraId="45FFF172"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face-down on the floor, and Zyaire was face-down with his body half on a bed. Lamar and Zyaire</w:t>
      </w:r>
    </w:p>
    <w:p w14:paraId="06DE852C"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 xml:space="preserve">were immediately taken to Henry Ford Hospital, where they both died a few days later. The chief of the Flint Fire Department, Raymond Barton, investigated the fire with emphasis on defendants’ performance. He prepared a report that included a statement from the lieutenant who led the crew that discovered the decedents during the secondary search. The lieutenant concluded that defendants could not have entered the bedroom where the decedents were found and missed </w:t>
      </w:r>
      <w:proofErr w:type="gramStart"/>
      <w:r w:rsidRPr="00795A89">
        <w:rPr>
          <w:rFonts w:ascii="Times New Roman" w:hAnsi="Times New Roman"/>
          <w:sz w:val="24"/>
          <w:szCs w:val="24"/>
        </w:rPr>
        <w:t>them, and</w:t>
      </w:r>
      <w:proofErr w:type="gramEnd"/>
      <w:r w:rsidRPr="00795A89">
        <w:rPr>
          <w:rFonts w:ascii="Times New Roman" w:hAnsi="Times New Roman"/>
          <w:sz w:val="24"/>
          <w:szCs w:val="24"/>
        </w:rPr>
        <w:t xml:space="preserve"> determined that defendants provided false statements about their search. After conducting his own independent investigation at the site of the fire and reviewing defendants’ incident write-up reports, Chief Barton likewise concluded that defendants made false</w:t>
      </w:r>
    </w:p>
    <w:p w14:paraId="394BD30C" w14:textId="02FD0C88"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statements in their reports because, if defendants had searched the second floor in the way they</w:t>
      </w:r>
      <w:r w:rsidR="00795A89">
        <w:rPr>
          <w:rFonts w:ascii="Times New Roman" w:hAnsi="Times New Roman"/>
          <w:sz w:val="24"/>
          <w:szCs w:val="24"/>
        </w:rPr>
        <w:t xml:space="preserve"> </w:t>
      </w:r>
      <w:r w:rsidRPr="00795A89">
        <w:rPr>
          <w:rFonts w:ascii="Times New Roman" w:hAnsi="Times New Roman"/>
          <w:sz w:val="24"/>
          <w:szCs w:val="24"/>
        </w:rPr>
        <w:t>described, they would have found the decedents. The chief determined that, contrary to</w:t>
      </w:r>
      <w:r w:rsidR="00795A89">
        <w:rPr>
          <w:rFonts w:ascii="Times New Roman" w:hAnsi="Times New Roman"/>
          <w:sz w:val="24"/>
          <w:szCs w:val="24"/>
        </w:rPr>
        <w:t xml:space="preserve"> </w:t>
      </w:r>
      <w:r w:rsidRPr="00795A89">
        <w:rPr>
          <w:rFonts w:ascii="Times New Roman" w:hAnsi="Times New Roman"/>
          <w:sz w:val="24"/>
          <w:szCs w:val="24"/>
        </w:rPr>
        <w:t>defendants’ representations, they “neglected to perform the tasks of completing a sweep of the</w:t>
      </w:r>
      <w:r w:rsidR="00795A89">
        <w:rPr>
          <w:rFonts w:ascii="Times New Roman" w:hAnsi="Times New Roman"/>
          <w:sz w:val="24"/>
          <w:szCs w:val="24"/>
        </w:rPr>
        <w:t xml:space="preserve"> </w:t>
      </w:r>
      <w:r w:rsidRPr="00795A89">
        <w:rPr>
          <w:rFonts w:ascii="Times New Roman" w:hAnsi="Times New Roman"/>
          <w:sz w:val="24"/>
          <w:szCs w:val="24"/>
        </w:rPr>
        <w:t xml:space="preserve">second floor,” which led to a delay in finding the decedents. </w:t>
      </w:r>
      <w:proofErr w:type="gramStart"/>
      <w:r w:rsidRPr="00795A89">
        <w:rPr>
          <w:rFonts w:ascii="Times New Roman" w:hAnsi="Times New Roman"/>
          <w:sz w:val="24"/>
          <w:szCs w:val="24"/>
        </w:rPr>
        <w:t>On the basis of</w:t>
      </w:r>
      <w:proofErr w:type="gramEnd"/>
      <w:r w:rsidRPr="00795A89">
        <w:rPr>
          <w:rFonts w:ascii="Times New Roman" w:hAnsi="Times New Roman"/>
          <w:sz w:val="24"/>
          <w:szCs w:val="24"/>
        </w:rPr>
        <w:t xml:space="preserve"> his findings, Chief</w:t>
      </w:r>
      <w:r w:rsidR="00795A89">
        <w:rPr>
          <w:rFonts w:ascii="Times New Roman" w:hAnsi="Times New Roman"/>
          <w:sz w:val="24"/>
          <w:szCs w:val="24"/>
        </w:rPr>
        <w:t xml:space="preserve"> </w:t>
      </w:r>
      <w:r w:rsidRPr="00795A89">
        <w:rPr>
          <w:rFonts w:ascii="Times New Roman" w:hAnsi="Times New Roman"/>
          <w:sz w:val="24"/>
          <w:szCs w:val="24"/>
        </w:rPr>
        <w:t xml:space="preserve">Barton terminated defendants’ employment with the Flint Fire Department. *** Plaintiff’s amended complaint does not allege that defendants had an affirmative duty to protect the decedents from harm but that defendants had a duty to use due care when conducting their search of the second floor of plaintiff’s home. Accordingly, the lack of a special relationship between defendants and the decedents is not dispositive to whether defendants owed a duty to the decedents. Instead, for the reasons </w:t>
      </w:r>
      <w:r w:rsidRPr="00795A89">
        <w:rPr>
          <w:rFonts w:ascii="Times New Roman" w:hAnsi="Times New Roman"/>
          <w:sz w:val="24"/>
          <w:szCs w:val="24"/>
        </w:rPr>
        <w:lastRenderedPageBreak/>
        <w:t xml:space="preserve">explained, we conclude that defendants had a duty to conduct their search of the decedents’ home in a manner that was not grossly negligent. Plaintiff’s amended complaint alleges that defendants breached this duty, and that is sufficient to survive defendants’ motion for summary disposition at this early stage in the litigation.” </w:t>
      </w:r>
      <w:hyperlink r:id="rId828" w:history="1">
        <w:r w:rsidRPr="00795A89">
          <w:rPr>
            <w:rStyle w:val="Hyperlink"/>
            <w:rFonts w:ascii="Times New Roman" w:hAnsi="Times New Roman"/>
            <w:sz w:val="24"/>
            <w:szCs w:val="24"/>
          </w:rPr>
          <w:t>https://cases.justia.com/michigan/court-of-appeals-unpublished/2025-368583.pdf?ts=1747314007</w:t>
        </w:r>
      </w:hyperlink>
      <w:r w:rsidRPr="00795A89">
        <w:rPr>
          <w:rFonts w:ascii="Times New Roman" w:hAnsi="Times New Roman"/>
          <w:sz w:val="24"/>
          <w:szCs w:val="24"/>
        </w:rPr>
        <w:t xml:space="preserve"> </w:t>
      </w:r>
    </w:p>
    <w:p w14:paraId="2CEC4CFA" w14:textId="77777777" w:rsidR="00B12A0F" w:rsidRPr="00795A89" w:rsidRDefault="00B12A0F" w:rsidP="00B12A0F">
      <w:pPr>
        <w:pStyle w:val="NoSpacing"/>
        <w:rPr>
          <w:rFonts w:ascii="Times New Roman" w:hAnsi="Times New Roman"/>
          <w:sz w:val="24"/>
          <w:szCs w:val="24"/>
        </w:rPr>
      </w:pPr>
    </w:p>
    <w:p w14:paraId="762B9C97" w14:textId="77777777" w:rsidR="00744788" w:rsidRPr="00744788" w:rsidRDefault="00744788" w:rsidP="00744788">
      <w:pPr>
        <w:pStyle w:val="NoSpacing"/>
        <w:rPr>
          <w:rFonts w:ascii="Times New Roman" w:hAnsi="Times New Roman"/>
          <w:sz w:val="24"/>
          <w:szCs w:val="24"/>
        </w:rPr>
      </w:pPr>
      <w:r w:rsidRPr="00744788">
        <w:rPr>
          <w:rFonts w:ascii="Times New Roman" w:hAnsi="Times New Roman"/>
          <w:b/>
          <w:sz w:val="24"/>
          <w:szCs w:val="24"/>
        </w:rPr>
        <w:t xml:space="preserve">Legal Lesson Learned: Immunity denied; sufficient evidence of gross negligence for case to go to a jury.  </w:t>
      </w:r>
    </w:p>
    <w:p w14:paraId="022348A4" w14:textId="77777777" w:rsidR="00744788" w:rsidRPr="00744788" w:rsidRDefault="00744788" w:rsidP="00744788">
      <w:pPr>
        <w:pStyle w:val="NoSpacing"/>
        <w:rPr>
          <w:rFonts w:ascii="Times New Roman" w:hAnsi="Times New Roman"/>
          <w:sz w:val="24"/>
          <w:szCs w:val="24"/>
        </w:rPr>
      </w:pPr>
    </w:p>
    <w:p w14:paraId="1EA671C1" w14:textId="77777777" w:rsidR="00744788" w:rsidRPr="00744788" w:rsidRDefault="00744788" w:rsidP="00744788">
      <w:pPr>
        <w:pStyle w:val="NoSpacing"/>
        <w:ind w:left="720"/>
        <w:rPr>
          <w:rFonts w:ascii="Times New Roman" w:hAnsi="Times New Roman"/>
          <w:b/>
          <w:bCs/>
          <w:sz w:val="24"/>
          <w:szCs w:val="24"/>
        </w:rPr>
      </w:pPr>
      <w:r w:rsidRPr="00744788">
        <w:rPr>
          <w:rFonts w:ascii="Times New Roman" w:hAnsi="Times New Roman"/>
          <w:sz w:val="24"/>
          <w:szCs w:val="24"/>
        </w:rPr>
        <w:t xml:space="preserve">Note: See May 15, </w:t>
      </w:r>
      <w:proofErr w:type="gramStart"/>
      <w:r w:rsidRPr="00744788">
        <w:rPr>
          <w:rFonts w:ascii="Times New Roman" w:hAnsi="Times New Roman"/>
          <w:sz w:val="24"/>
          <w:szCs w:val="24"/>
        </w:rPr>
        <w:t>2025</w:t>
      </w:r>
      <w:proofErr w:type="gramEnd"/>
      <w:r w:rsidRPr="00744788">
        <w:rPr>
          <w:rFonts w:ascii="Times New Roman" w:hAnsi="Times New Roman"/>
          <w:sz w:val="24"/>
          <w:szCs w:val="24"/>
        </w:rPr>
        <w:t xml:space="preserve"> article, “Lawsuit Against MI Firefighters Who Issued All-Clear at Fatal Fire Can Continue.” </w:t>
      </w:r>
      <w:hyperlink r:id="rId829" w:history="1">
        <w:r w:rsidRPr="00744788">
          <w:rPr>
            <w:rStyle w:val="Hyperlink"/>
            <w:rFonts w:ascii="Times New Roman" w:hAnsi="Times New Roman"/>
            <w:sz w:val="24"/>
            <w:szCs w:val="24"/>
          </w:rPr>
          <w:t>https://www.fireengineering.com/firefighting/lawsuit-against-mi-firefighters-who-issued-all-clear-at-fatal-fire-can-continue/?utm_source=fe_daily_newsletter&amp;utm_medium=email&amp;utm_campaign</w:t>
        </w:r>
      </w:hyperlink>
    </w:p>
    <w:p w14:paraId="7266B91A" w14:textId="77777777" w:rsidR="00744788" w:rsidRPr="00744788" w:rsidRDefault="00744788" w:rsidP="00744788">
      <w:pPr>
        <w:pStyle w:val="NoSpacing"/>
        <w:rPr>
          <w:rFonts w:ascii="Times New Roman" w:hAnsi="Times New Roman"/>
          <w:bCs/>
          <w:sz w:val="24"/>
          <w:szCs w:val="24"/>
        </w:rPr>
      </w:pPr>
    </w:p>
    <w:p w14:paraId="5A6F2008" w14:textId="77777777" w:rsidR="00B12A0F" w:rsidRDefault="00B12A0F" w:rsidP="002B1283">
      <w:pPr>
        <w:rPr>
          <w:rStyle w:val="Hyperlink"/>
          <w:rFonts w:ascii="Arial Black" w:hAnsi="Arial Black"/>
          <w:b/>
          <w:color w:val="auto"/>
          <w:sz w:val="24"/>
          <w:szCs w:val="24"/>
          <w:u w:val="none"/>
        </w:rPr>
      </w:pPr>
    </w:p>
    <w:p w14:paraId="40E24AFF" w14:textId="77777777" w:rsidR="00B12A0F" w:rsidRDefault="00B12A0F" w:rsidP="002B1283">
      <w:pPr>
        <w:rPr>
          <w:rStyle w:val="Hyperlink"/>
          <w:rFonts w:ascii="Arial Black" w:hAnsi="Arial Black"/>
          <w:b/>
          <w:color w:val="auto"/>
          <w:sz w:val="24"/>
          <w:szCs w:val="24"/>
          <w:u w:val="none"/>
        </w:rPr>
      </w:pPr>
    </w:p>
    <w:p w14:paraId="21C60F9B" w14:textId="1EF53AED" w:rsidR="009B5296" w:rsidRDefault="009B5296"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4-45</w:t>
      </w:r>
    </w:p>
    <w:p w14:paraId="77F8E79C" w14:textId="77777777" w:rsidR="005035FF" w:rsidRPr="00CE29BB" w:rsidRDefault="005035FF" w:rsidP="005035FF">
      <w:pPr>
        <w:rPr>
          <w:rFonts w:ascii="Arial Black" w:hAnsi="Arial Black"/>
          <w:b/>
          <w:sz w:val="28"/>
          <w:szCs w:val="28"/>
        </w:rPr>
      </w:pPr>
      <w:r>
        <w:rPr>
          <w:rFonts w:ascii="Arial Black" w:hAnsi="Arial Black"/>
          <w:b/>
          <w:sz w:val="28"/>
          <w:szCs w:val="28"/>
        </w:rPr>
        <w:t>U.S. SUP. CT: NOT HEAR HOMEOWNER’S APPEAL - SWAT $50K DAMAGE - 5</w:t>
      </w:r>
      <w:r w:rsidRPr="00C05043">
        <w:rPr>
          <w:rFonts w:ascii="Arial Black" w:hAnsi="Arial Black"/>
          <w:b/>
          <w:sz w:val="28"/>
          <w:szCs w:val="28"/>
          <w:vertAlign w:val="superscript"/>
        </w:rPr>
        <w:t>th</w:t>
      </w:r>
      <w:r>
        <w:rPr>
          <w:rFonts w:ascii="Arial Black" w:hAnsi="Arial Black"/>
          <w:b/>
          <w:sz w:val="28"/>
          <w:szCs w:val="28"/>
        </w:rPr>
        <w:t xml:space="preserve"> CIR: CITY NOT LIABLE / “EMERGENCY” </w:t>
      </w:r>
    </w:p>
    <w:p w14:paraId="3B2E8E5D" w14:textId="22DA3FD0" w:rsidR="009B5296" w:rsidRPr="00965945" w:rsidRDefault="005035FF" w:rsidP="005035FF">
      <w:pPr>
        <w:rPr>
          <w:rStyle w:val="Hyperlink"/>
          <w:rFonts w:ascii="Times New Roman" w:hAnsi="Times New Roman"/>
          <w:sz w:val="24"/>
          <w:szCs w:val="24"/>
        </w:rPr>
      </w:pPr>
      <w:r w:rsidRPr="00965945">
        <w:rPr>
          <w:rFonts w:ascii="Times New Roman" w:hAnsi="Times New Roman"/>
          <w:sz w:val="24"/>
          <w:szCs w:val="24"/>
        </w:rPr>
        <w:t xml:space="preserve">On Nov. 25, 2024, in </w:t>
      </w:r>
      <w:r w:rsidRPr="00965945">
        <w:rPr>
          <w:rFonts w:ascii="Times New Roman" w:hAnsi="Times New Roman"/>
          <w:sz w:val="24"/>
          <w:szCs w:val="24"/>
          <w:u w:val="single"/>
        </w:rPr>
        <w:t>Vicki Baker v. City of McKinley, Texas</w:t>
      </w:r>
      <w:r w:rsidRPr="00965945">
        <w:rPr>
          <w:rFonts w:ascii="Times New Roman" w:hAnsi="Times New Roman"/>
          <w:sz w:val="24"/>
          <w:szCs w:val="24"/>
        </w:rPr>
        <w:t>, the U.S. Supreme Court declined to hear the appeal of the homeowner (need at least 4 or 9 Justices to agree to hear case by issuing a Writ of Certiorari).  The homeowner won a jury verdict of about $60,000, but this was reversed by the 5</w:t>
      </w:r>
      <w:r w:rsidRPr="00965945">
        <w:rPr>
          <w:rFonts w:ascii="Times New Roman" w:hAnsi="Times New Roman"/>
          <w:sz w:val="24"/>
          <w:szCs w:val="24"/>
          <w:vertAlign w:val="superscript"/>
        </w:rPr>
        <w:t>th</w:t>
      </w:r>
      <w:r w:rsidRPr="00965945">
        <w:rPr>
          <w:rFonts w:ascii="Times New Roman" w:hAnsi="Times New Roman"/>
          <w:sz w:val="24"/>
          <w:szCs w:val="24"/>
        </w:rPr>
        <w:t xml:space="preserve"> Circuit.  U.S. Supreme Court Justice Sonia Maria Sotomayor, joined by Justice Neil Gorsuch, filed a statement urging the Court to hear the appeal.  The Justice wrote: “By the time the officers gained entry, </w:t>
      </w:r>
      <w:proofErr w:type="gramStart"/>
      <w:r w:rsidRPr="00965945">
        <w:rPr>
          <w:rFonts w:ascii="Times New Roman" w:hAnsi="Times New Roman"/>
          <w:sz w:val="24"/>
          <w:szCs w:val="24"/>
        </w:rPr>
        <w:t>Little</w:t>
      </w:r>
      <w:proofErr w:type="gramEnd"/>
      <w:r w:rsidRPr="00965945">
        <w:rPr>
          <w:rFonts w:ascii="Times New Roman" w:hAnsi="Times New Roman"/>
          <w:sz w:val="24"/>
          <w:szCs w:val="24"/>
        </w:rPr>
        <w:t xml:space="preserve"> had taken his own life.  [Little was a fugitive who had kidnapped 15-year-old girl; he had previously done some construction work at house before Baker fired him.] All agree that the McKinney police acted properly that day and that their actions were necessary to prevent harm to themselves and the public. *** The Court’s denial of certiorari expresses no view on the merits of the decision below. I write separately to emphasize that petitioner raises a serious question: whether the Takings Clause permits the government to destroy private property without paying just compensation, </w:t>
      </w:r>
      <w:proofErr w:type="gramStart"/>
      <w:r w:rsidRPr="00965945">
        <w:rPr>
          <w:rFonts w:ascii="Times New Roman" w:hAnsi="Times New Roman"/>
          <w:sz w:val="24"/>
          <w:szCs w:val="24"/>
        </w:rPr>
        <w:t>as long as</w:t>
      </w:r>
      <w:proofErr w:type="gramEnd"/>
      <w:r w:rsidRPr="00965945">
        <w:rPr>
          <w:rFonts w:ascii="Times New Roman" w:hAnsi="Times New Roman"/>
          <w:sz w:val="24"/>
          <w:szCs w:val="24"/>
        </w:rPr>
        <w:t xml:space="preserve"> the government had no choice but to do so.”  </w:t>
      </w:r>
      <w:hyperlink r:id="rId830" w:history="1">
        <w:r w:rsidRPr="00965945">
          <w:rPr>
            <w:rStyle w:val="Hyperlink"/>
            <w:rFonts w:ascii="Times New Roman" w:hAnsi="Times New Roman"/>
            <w:sz w:val="24"/>
            <w:szCs w:val="24"/>
          </w:rPr>
          <w:t>https://www.supremecourt.gov/opinions/24pdf/23-1363_d1o3.pdf</w:t>
        </w:r>
      </w:hyperlink>
    </w:p>
    <w:p w14:paraId="7E88F895" w14:textId="77777777" w:rsidR="00965945" w:rsidRPr="00965945" w:rsidRDefault="00965945" w:rsidP="00965945">
      <w:pPr>
        <w:pStyle w:val="NoSpacing"/>
        <w:rPr>
          <w:rFonts w:ascii="Times New Roman" w:hAnsi="Times New Roman"/>
          <w:b/>
          <w:bCs/>
          <w:sz w:val="24"/>
          <w:szCs w:val="24"/>
        </w:rPr>
      </w:pPr>
      <w:r w:rsidRPr="00965945">
        <w:rPr>
          <w:rFonts w:ascii="Times New Roman" w:hAnsi="Times New Roman"/>
          <w:b/>
          <w:sz w:val="24"/>
          <w:szCs w:val="24"/>
        </w:rPr>
        <w:t>Legal Lesson Learned: Fire &amp; EMS on occasion may need to force their way into a home.  The 5</w:t>
      </w:r>
      <w:r w:rsidRPr="00965945">
        <w:rPr>
          <w:rFonts w:ascii="Times New Roman" w:hAnsi="Times New Roman"/>
          <w:b/>
          <w:sz w:val="24"/>
          <w:szCs w:val="24"/>
          <w:vertAlign w:val="superscript"/>
        </w:rPr>
        <w:t>th</w:t>
      </w:r>
      <w:r w:rsidRPr="00965945">
        <w:rPr>
          <w:rFonts w:ascii="Times New Roman" w:hAnsi="Times New Roman"/>
          <w:b/>
          <w:sz w:val="24"/>
          <w:szCs w:val="24"/>
        </w:rPr>
        <w:t xml:space="preserve"> Circuit standard of “objectively necessary” may be a precedent that a municipality can cite in refusing to pay for the damage.</w:t>
      </w:r>
    </w:p>
    <w:p w14:paraId="67B55E78" w14:textId="77777777" w:rsidR="00965945" w:rsidRPr="00965945" w:rsidRDefault="00965945" w:rsidP="00965945">
      <w:pPr>
        <w:ind w:left="720"/>
        <w:rPr>
          <w:rFonts w:ascii="Times New Roman" w:hAnsi="Times New Roman"/>
          <w:sz w:val="24"/>
          <w:szCs w:val="24"/>
        </w:rPr>
      </w:pPr>
    </w:p>
    <w:p w14:paraId="33F602A0" w14:textId="77777777" w:rsidR="00965945" w:rsidRPr="00965945" w:rsidRDefault="00965945" w:rsidP="00965945">
      <w:pPr>
        <w:ind w:left="720"/>
        <w:rPr>
          <w:rFonts w:ascii="Times New Roman" w:hAnsi="Times New Roman"/>
          <w:b/>
          <w:sz w:val="24"/>
          <w:szCs w:val="24"/>
        </w:rPr>
      </w:pPr>
      <w:r w:rsidRPr="00965945">
        <w:rPr>
          <w:rFonts w:ascii="Times New Roman" w:hAnsi="Times New Roman"/>
          <w:sz w:val="24"/>
          <w:szCs w:val="24"/>
        </w:rPr>
        <w:t xml:space="preserve">Note: See Nov. 25, </w:t>
      </w:r>
      <w:proofErr w:type="gramStart"/>
      <w:r w:rsidRPr="00965945">
        <w:rPr>
          <w:rFonts w:ascii="Times New Roman" w:hAnsi="Times New Roman"/>
          <w:sz w:val="24"/>
          <w:szCs w:val="24"/>
        </w:rPr>
        <w:t>2024</w:t>
      </w:r>
      <w:proofErr w:type="gramEnd"/>
      <w:r w:rsidRPr="00965945">
        <w:rPr>
          <w:rFonts w:ascii="Times New Roman" w:hAnsi="Times New Roman"/>
          <w:sz w:val="24"/>
          <w:szCs w:val="24"/>
        </w:rPr>
        <w:t xml:space="preserve"> article and photo of house. </w:t>
      </w:r>
      <w:r w:rsidRPr="00965945">
        <w:rPr>
          <w:rFonts w:ascii="Times New Roman" w:hAnsi="Times New Roman"/>
          <w:bCs/>
          <w:sz w:val="24"/>
          <w:szCs w:val="24"/>
        </w:rPr>
        <w:t xml:space="preserve">“Supreme Court won't hear case of woman whose former McKinney home was 'destroyed' by SWAT team during hostage standoff.” </w:t>
      </w:r>
      <w:hyperlink r:id="rId831" w:history="1">
        <w:r w:rsidRPr="00965945">
          <w:rPr>
            <w:rStyle w:val="Hyperlink"/>
            <w:rFonts w:ascii="Times New Roman" w:hAnsi="Times New Roman"/>
            <w:bCs/>
            <w:sz w:val="24"/>
            <w:szCs w:val="24"/>
          </w:rPr>
          <w:t>https://www.wfaa.com/article/news/local/collin-county/supreme-court-declines-case-swat-team-mckinney-hostage-standoff/287-73f00e4e-b131-4285-b541-236c48ef79d0</w:t>
        </w:r>
      </w:hyperlink>
      <w:r w:rsidRPr="00965945">
        <w:rPr>
          <w:rFonts w:ascii="Times New Roman" w:hAnsi="Times New Roman"/>
          <w:b/>
          <w:sz w:val="24"/>
          <w:szCs w:val="24"/>
        </w:rPr>
        <w:t xml:space="preserve"> </w:t>
      </w:r>
    </w:p>
    <w:p w14:paraId="7FCF9694" w14:textId="77777777" w:rsidR="00965945" w:rsidRPr="00965945" w:rsidRDefault="00965945" w:rsidP="00965945">
      <w:pPr>
        <w:pStyle w:val="NoSpacing"/>
        <w:ind w:left="720"/>
        <w:rPr>
          <w:rFonts w:ascii="Times New Roman" w:hAnsi="Times New Roman"/>
          <w:sz w:val="24"/>
          <w:szCs w:val="24"/>
        </w:rPr>
      </w:pPr>
    </w:p>
    <w:p w14:paraId="59D09F87" w14:textId="77777777" w:rsidR="00965945" w:rsidRPr="00965945" w:rsidRDefault="00965945" w:rsidP="00965945">
      <w:pPr>
        <w:pStyle w:val="NoSpacing"/>
        <w:ind w:left="720"/>
        <w:rPr>
          <w:rFonts w:ascii="Times New Roman" w:hAnsi="Times New Roman"/>
          <w:sz w:val="24"/>
          <w:szCs w:val="24"/>
        </w:rPr>
      </w:pPr>
      <w:r w:rsidRPr="00965945">
        <w:rPr>
          <w:rFonts w:ascii="Times New Roman" w:hAnsi="Times New Roman"/>
          <w:sz w:val="24"/>
          <w:szCs w:val="24"/>
        </w:rPr>
        <w:t>See the 5</w:t>
      </w:r>
      <w:r w:rsidRPr="00965945">
        <w:rPr>
          <w:rFonts w:ascii="Times New Roman" w:hAnsi="Times New Roman"/>
          <w:sz w:val="24"/>
          <w:szCs w:val="24"/>
          <w:vertAlign w:val="superscript"/>
        </w:rPr>
        <w:t>th</w:t>
      </w:r>
      <w:r w:rsidRPr="00965945">
        <w:rPr>
          <w:rFonts w:ascii="Times New Roman" w:hAnsi="Times New Roman"/>
          <w:sz w:val="24"/>
          <w:szCs w:val="24"/>
        </w:rPr>
        <w:t xml:space="preserve"> Circuit’s decision, Oct. 11, 2023. </w:t>
      </w:r>
      <w:hyperlink r:id="rId832" w:history="1">
        <w:r w:rsidRPr="00965945">
          <w:rPr>
            <w:rStyle w:val="Hyperlink"/>
            <w:rFonts w:ascii="Times New Roman" w:hAnsi="Times New Roman"/>
            <w:sz w:val="24"/>
            <w:szCs w:val="24"/>
          </w:rPr>
          <w:t>https://www.ca5.uscourts.gov/opinions/pub/22/22-40644-CV0.pdf</w:t>
        </w:r>
      </w:hyperlink>
      <w:r w:rsidRPr="00965945">
        <w:rPr>
          <w:rFonts w:ascii="Times New Roman" w:hAnsi="Times New Roman"/>
          <w:sz w:val="24"/>
          <w:szCs w:val="24"/>
        </w:rPr>
        <w:t xml:space="preserve">  </w:t>
      </w:r>
    </w:p>
    <w:p w14:paraId="3384F04F" w14:textId="77777777" w:rsidR="00965945" w:rsidRPr="00965945" w:rsidRDefault="00965945" w:rsidP="00965945">
      <w:pPr>
        <w:pStyle w:val="NoSpacing"/>
        <w:ind w:left="720"/>
        <w:rPr>
          <w:rFonts w:ascii="Times New Roman" w:hAnsi="Times New Roman"/>
          <w:sz w:val="24"/>
          <w:szCs w:val="24"/>
        </w:rPr>
      </w:pPr>
      <w:r w:rsidRPr="00965945">
        <w:rPr>
          <w:rFonts w:ascii="Times New Roman" w:hAnsi="Times New Roman"/>
          <w:sz w:val="24"/>
          <w:szCs w:val="24"/>
        </w:rPr>
        <w:t xml:space="preserve">“Little somehow ‘communicated to’ police that he ‘had terminal cancer, wasn’t going back to prison, knew he was going to die, was going to shoot it out with the police.’ Police proceeded to use explosive </w:t>
      </w:r>
      <w:r w:rsidRPr="00965945">
        <w:rPr>
          <w:rFonts w:ascii="Times New Roman" w:hAnsi="Times New Roman"/>
          <w:sz w:val="24"/>
          <w:szCs w:val="24"/>
        </w:rPr>
        <w:lastRenderedPageBreak/>
        <w:t xml:space="preserve">devices, the </w:t>
      </w:r>
      <w:proofErr w:type="spellStart"/>
      <w:r w:rsidRPr="00965945">
        <w:rPr>
          <w:rFonts w:ascii="Times New Roman" w:hAnsi="Times New Roman"/>
          <w:sz w:val="24"/>
          <w:szCs w:val="24"/>
        </w:rPr>
        <w:t>BearCat</w:t>
      </w:r>
      <w:proofErr w:type="spellEnd"/>
      <w:r w:rsidRPr="00965945">
        <w:rPr>
          <w:rFonts w:ascii="Times New Roman" w:hAnsi="Times New Roman"/>
          <w:sz w:val="24"/>
          <w:szCs w:val="24"/>
        </w:rPr>
        <w:t>, a T-Rex (</w:t>
      </w:r>
      <w:proofErr w:type="gramStart"/>
      <w:r w:rsidRPr="00965945">
        <w:rPr>
          <w:rFonts w:ascii="Times New Roman" w:hAnsi="Times New Roman"/>
          <w:sz w:val="24"/>
          <w:szCs w:val="24"/>
        </w:rPr>
        <w:t>similar to</w:t>
      </w:r>
      <w:proofErr w:type="gramEnd"/>
      <w:r w:rsidRPr="00965945">
        <w:rPr>
          <w:rFonts w:ascii="Times New Roman" w:hAnsi="Times New Roman"/>
          <w:sz w:val="24"/>
          <w:szCs w:val="24"/>
        </w:rPr>
        <w:t xml:space="preserve"> the </w:t>
      </w:r>
      <w:proofErr w:type="spellStart"/>
      <w:r w:rsidRPr="00965945">
        <w:rPr>
          <w:rFonts w:ascii="Times New Roman" w:hAnsi="Times New Roman"/>
          <w:sz w:val="24"/>
          <w:szCs w:val="24"/>
        </w:rPr>
        <w:t>BearCat</w:t>
      </w:r>
      <w:proofErr w:type="spellEnd"/>
      <w:r w:rsidRPr="00965945">
        <w:rPr>
          <w:rFonts w:ascii="Times New Roman" w:hAnsi="Times New Roman"/>
          <w:sz w:val="24"/>
          <w:szCs w:val="24"/>
        </w:rPr>
        <w:t>), toxic gas grenades, and a drone to try to resolve the situation. After some time, the drone was able to reach a vantage point to see that Little had taken his own life. *** Nevertheless, the damage to Baker’s home was severe. As the district court explained, quoting Baker’s motion for summary judgment, ‘[m]</w:t>
      </w:r>
      <w:proofErr w:type="spellStart"/>
      <w:r w:rsidRPr="00965945">
        <w:rPr>
          <w:rFonts w:ascii="Times New Roman" w:hAnsi="Times New Roman"/>
          <w:sz w:val="24"/>
          <w:szCs w:val="24"/>
        </w:rPr>
        <w:t>uch</w:t>
      </w:r>
      <w:proofErr w:type="spellEnd"/>
      <w:r w:rsidRPr="00965945">
        <w:rPr>
          <w:rFonts w:ascii="Times New Roman" w:hAnsi="Times New Roman"/>
          <w:sz w:val="24"/>
          <w:szCs w:val="24"/>
        </w:rPr>
        <w:t xml:space="preserve"> of the damage went beyond what could be captured visually.’ Specifically, </w:t>
      </w:r>
      <w:proofErr w:type="gramStart"/>
      <w:r w:rsidRPr="00965945">
        <w:rPr>
          <w:rFonts w:ascii="Times New Roman" w:hAnsi="Times New Roman"/>
          <w:sz w:val="24"/>
          <w:szCs w:val="24"/>
        </w:rPr>
        <w:t>The</w:t>
      </w:r>
      <w:proofErr w:type="gramEnd"/>
      <w:r w:rsidRPr="00965945">
        <w:rPr>
          <w:rFonts w:ascii="Times New Roman" w:hAnsi="Times New Roman"/>
          <w:sz w:val="24"/>
          <w:szCs w:val="24"/>
        </w:rPr>
        <w:t xml:space="preserve"> explosions left Baker’s dog permanently blind and deaf. The toxic gas that permeated the House required the services of a HAZMAT remediation team. Appliances and fabrics were irreparable. Ceiling fans, plumbing, floors (hard surfaces as well as carpet), and bricks needed to be replaced—in addition to the windows, blinds, fence, front door, and garage door. Essentially </w:t>
      </w:r>
      <w:proofErr w:type="gramStart"/>
      <w:r w:rsidRPr="00965945">
        <w:rPr>
          <w:rFonts w:ascii="Times New Roman" w:hAnsi="Times New Roman"/>
          <w:sz w:val="24"/>
          <w:szCs w:val="24"/>
        </w:rPr>
        <w:t>all of</w:t>
      </w:r>
      <w:proofErr w:type="gramEnd"/>
      <w:r w:rsidRPr="00965945">
        <w:rPr>
          <w:rFonts w:ascii="Times New Roman" w:hAnsi="Times New Roman"/>
          <w:sz w:val="24"/>
          <w:szCs w:val="24"/>
        </w:rPr>
        <w:t xml:space="preserve"> the personal property in the House was destroyed, including an antique doll collection left </w:t>
      </w:r>
      <w:proofErr w:type="gramStart"/>
      <w:r w:rsidRPr="00965945">
        <w:rPr>
          <w:rFonts w:ascii="Times New Roman" w:hAnsi="Times New Roman"/>
          <w:sz w:val="24"/>
          <w:szCs w:val="24"/>
        </w:rPr>
        <w:t>to</w:t>
      </w:r>
      <w:proofErr w:type="gramEnd"/>
      <w:r w:rsidRPr="00965945">
        <w:rPr>
          <w:rFonts w:ascii="Times New Roman" w:hAnsi="Times New Roman"/>
          <w:sz w:val="24"/>
          <w:szCs w:val="24"/>
        </w:rPr>
        <w:t xml:space="preserve"> Baker by her mother. In total, the damage . . . was approximately $50,000.”</w:t>
      </w:r>
    </w:p>
    <w:p w14:paraId="5EBFC8D8" w14:textId="77777777" w:rsidR="00965945" w:rsidRDefault="00965945" w:rsidP="005035FF">
      <w:pPr>
        <w:rPr>
          <w:rStyle w:val="Hyperlink"/>
          <w:rFonts w:ascii="Arial Black" w:hAnsi="Arial Black"/>
          <w:b/>
          <w:color w:val="auto"/>
          <w:sz w:val="24"/>
          <w:szCs w:val="24"/>
          <w:u w:val="none"/>
        </w:rPr>
      </w:pPr>
    </w:p>
    <w:p w14:paraId="3669CB2D" w14:textId="77777777" w:rsidR="009B5296" w:rsidRDefault="009B5296" w:rsidP="002B1283">
      <w:pPr>
        <w:rPr>
          <w:rStyle w:val="Hyperlink"/>
          <w:rFonts w:ascii="Arial Black" w:hAnsi="Arial Black"/>
          <w:b/>
          <w:color w:val="auto"/>
          <w:sz w:val="24"/>
          <w:szCs w:val="24"/>
          <w:u w:val="none"/>
        </w:rPr>
      </w:pPr>
    </w:p>
    <w:p w14:paraId="3670EB43" w14:textId="041861BA" w:rsidR="00B34A49" w:rsidRDefault="00B34A4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r w:rsidR="0075297C">
        <w:rPr>
          <w:rStyle w:val="Hyperlink"/>
          <w:rFonts w:ascii="Arial Black" w:hAnsi="Arial Black"/>
          <w:b/>
          <w:color w:val="auto"/>
          <w:sz w:val="24"/>
          <w:szCs w:val="24"/>
          <w:u w:val="none"/>
        </w:rPr>
        <w:t>4</w:t>
      </w:r>
    </w:p>
    <w:p w14:paraId="6B96DD16" w14:textId="0874E5D0" w:rsidR="00165A41" w:rsidRPr="005B675E" w:rsidRDefault="00165A41" w:rsidP="00165A41">
      <w:pPr>
        <w:pStyle w:val="NoSpacing"/>
        <w:rPr>
          <w:rFonts w:ascii="Arial Black" w:hAnsi="Arial Black"/>
          <w:b/>
          <w:bCs/>
          <w:sz w:val="28"/>
          <w:szCs w:val="28"/>
        </w:rPr>
      </w:pPr>
      <w:r w:rsidRPr="005B675E">
        <w:rPr>
          <w:rFonts w:ascii="Arial Black" w:hAnsi="Arial Black"/>
          <w:b/>
          <w:bCs/>
          <w:sz w:val="28"/>
          <w:szCs w:val="28"/>
        </w:rPr>
        <w:t>MA: CAPTAIN NOT PROMOTED DC - 5 PROMOTED – POOR ANSWER INCIDENT COMMAND QUESTION / PRIOR FIRE</w:t>
      </w:r>
      <w:r w:rsidR="00607FA6" w:rsidRPr="005B675E">
        <w:rPr>
          <w:rFonts w:ascii="Arial Black" w:hAnsi="Arial Black"/>
          <w:b/>
          <w:bCs/>
          <w:sz w:val="28"/>
          <w:szCs w:val="28"/>
        </w:rPr>
        <w:t xml:space="preserve"> </w:t>
      </w:r>
    </w:p>
    <w:p w14:paraId="15AC8F0E" w14:textId="77777777" w:rsidR="00165A41" w:rsidRPr="00A445BE" w:rsidRDefault="00165A41" w:rsidP="00165A41">
      <w:pPr>
        <w:pStyle w:val="NoSpacing"/>
        <w:rPr>
          <w:rFonts w:ascii="Times New Roman" w:hAnsi="Times New Roman"/>
          <w:sz w:val="24"/>
          <w:szCs w:val="24"/>
        </w:rPr>
      </w:pPr>
    </w:p>
    <w:p w14:paraId="17F8BB85" w14:textId="77777777" w:rsidR="00165A41" w:rsidRPr="00A445BE" w:rsidRDefault="00165A41" w:rsidP="00165A41">
      <w:pPr>
        <w:pStyle w:val="NoSpacing"/>
        <w:rPr>
          <w:rFonts w:ascii="Times New Roman" w:hAnsi="Times New Roman"/>
          <w:sz w:val="24"/>
          <w:szCs w:val="24"/>
        </w:rPr>
      </w:pPr>
      <w:r w:rsidRPr="00A445BE">
        <w:rPr>
          <w:rFonts w:ascii="Times New Roman" w:hAnsi="Times New Roman"/>
          <w:sz w:val="24"/>
          <w:szCs w:val="24"/>
        </w:rPr>
        <w:t xml:space="preserve">On Oct. 11, 2024. in </w:t>
      </w:r>
      <w:r w:rsidRPr="00A445BE">
        <w:rPr>
          <w:rFonts w:ascii="Times New Roman" w:hAnsi="Times New Roman"/>
          <w:sz w:val="24"/>
          <w:szCs w:val="24"/>
          <w:u w:val="single"/>
        </w:rPr>
        <w:t>Pierre Grenier v. Civil Service Commission and City of Springfield</w:t>
      </w:r>
      <w:r w:rsidRPr="00A445BE">
        <w:rPr>
          <w:rFonts w:ascii="Times New Roman" w:hAnsi="Times New Roman"/>
          <w:sz w:val="24"/>
          <w:szCs w:val="24"/>
        </w:rPr>
        <w:t>, the Massachusetts Appeals Court held: “The plaintiff, Pierre Grenier, appeals from an order of a</w:t>
      </w:r>
    </w:p>
    <w:p w14:paraId="3C3E8FF8" w14:textId="77777777" w:rsidR="00165A41" w:rsidRPr="00A445BE" w:rsidRDefault="00165A41" w:rsidP="00165A41">
      <w:pPr>
        <w:pStyle w:val="NoSpacing"/>
        <w:rPr>
          <w:rFonts w:ascii="Times New Roman" w:hAnsi="Times New Roman"/>
          <w:sz w:val="24"/>
          <w:szCs w:val="24"/>
        </w:rPr>
      </w:pPr>
      <w:r w:rsidRPr="00A445BE">
        <w:rPr>
          <w:rFonts w:ascii="Times New Roman" w:hAnsi="Times New Roman"/>
          <w:sz w:val="24"/>
          <w:szCs w:val="24"/>
        </w:rPr>
        <w:t>judge of the Superior Court granting judgment in favor of the defendants, the Civil Service Commission (commission) and the city of Springfield (city). The judge affirmed the decision of</w:t>
      </w:r>
    </w:p>
    <w:p w14:paraId="4725EED7" w14:textId="77777777" w:rsidR="00165A41" w:rsidRPr="00A445BE" w:rsidRDefault="00165A41" w:rsidP="00165A41">
      <w:pPr>
        <w:pStyle w:val="NoSpacing"/>
        <w:rPr>
          <w:rFonts w:ascii="Times New Roman" w:hAnsi="Times New Roman"/>
          <w:sz w:val="24"/>
          <w:szCs w:val="24"/>
        </w:rPr>
      </w:pPr>
      <w:r w:rsidRPr="00A445BE">
        <w:rPr>
          <w:rFonts w:ascii="Times New Roman" w:hAnsi="Times New Roman"/>
          <w:sz w:val="24"/>
          <w:szCs w:val="24"/>
        </w:rPr>
        <w:t xml:space="preserve">the commission that the city had reasonable justification to bypass Grenier for a promotion to district fire chief. We affirm.” </w:t>
      </w:r>
    </w:p>
    <w:p w14:paraId="15488E77" w14:textId="77777777" w:rsidR="00165A41" w:rsidRPr="00A445BE" w:rsidRDefault="00165A41" w:rsidP="00165A41">
      <w:pPr>
        <w:pStyle w:val="NoSpacing"/>
        <w:rPr>
          <w:rFonts w:ascii="Times New Roman" w:hAnsi="Times New Roman"/>
          <w:sz w:val="24"/>
          <w:szCs w:val="24"/>
        </w:rPr>
      </w:pPr>
      <w:hyperlink r:id="rId833" w:history="1">
        <w:r w:rsidRPr="00A445BE">
          <w:rPr>
            <w:rStyle w:val="Hyperlink"/>
            <w:rFonts w:ascii="Times New Roman" w:hAnsi="Times New Roman"/>
            <w:sz w:val="24"/>
            <w:szCs w:val="24"/>
          </w:rPr>
          <w:t>https://www.mass.gov/doc/grenier-pierre-v-springfield-fire-department-related-appeals-court-decision-101124/download</w:t>
        </w:r>
      </w:hyperlink>
      <w:r w:rsidRPr="00A445BE">
        <w:rPr>
          <w:rFonts w:ascii="Times New Roman" w:hAnsi="Times New Roman"/>
          <w:sz w:val="24"/>
          <w:szCs w:val="24"/>
        </w:rPr>
        <w:t xml:space="preserve"> </w:t>
      </w:r>
    </w:p>
    <w:p w14:paraId="4ADCAB31" w14:textId="77777777" w:rsidR="002665B4" w:rsidRPr="00A445BE" w:rsidRDefault="002665B4" w:rsidP="00165A41">
      <w:pPr>
        <w:pStyle w:val="NoSpacing"/>
        <w:rPr>
          <w:rFonts w:ascii="Times New Roman" w:hAnsi="Times New Roman"/>
          <w:sz w:val="24"/>
          <w:szCs w:val="24"/>
        </w:rPr>
      </w:pPr>
    </w:p>
    <w:p w14:paraId="0BF648F7" w14:textId="77777777" w:rsidR="002665B4" w:rsidRPr="00391D9A" w:rsidRDefault="002665B4" w:rsidP="002665B4">
      <w:pPr>
        <w:pStyle w:val="NoSpacing"/>
        <w:rPr>
          <w:b/>
          <w:bCs/>
        </w:rPr>
      </w:pPr>
      <w:r w:rsidRPr="00A445BE">
        <w:rPr>
          <w:rFonts w:ascii="Times New Roman" w:hAnsi="Times New Roman"/>
          <w:b/>
          <w:sz w:val="24"/>
          <w:szCs w:val="24"/>
        </w:rPr>
        <w:t>Legal Lesson Learned:  Use of selection board is an excellent promotion process</w:t>
      </w:r>
      <w:r>
        <w:rPr>
          <w:b/>
        </w:rPr>
        <w:t xml:space="preserve">. </w:t>
      </w:r>
    </w:p>
    <w:p w14:paraId="0259D745" w14:textId="77777777" w:rsidR="002665B4" w:rsidRDefault="002665B4" w:rsidP="002665B4">
      <w:pPr>
        <w:rPr>
          <w:rFonts w:asciiTheme="majorHAnsi" w:hAnsiTheme="majorHAnsi" w:cstheme="minorHAnsi"/>
          <w:sz w:val="28"/>
        </w:rPr>
      </w:pPr>
    </w:p>
    <w:p w14:paraId="3511EE78" w14:textId="77777777" w:rsidR="002665B4" w:rsidRDefault="002665B4" w:rsidP="00165A41">
      <w:pPr>
        <w:pStyle w:val="NoSpacing"/>
      </w:pPr>
    </w:p>
    <w:p w14:paraId="4778837F" w14:textId="77777777" w:rsidR="00B34A49" w:rsidRDefault="00B34A49" w:rsidP="002B1283">
      <w:pPr>
        <w:rPr>
          <w:rStyle w:val="Hyperlink"/>
          <w:rFonts w:ascii="Arial Black" w:hAnsi="Arial Black"/>
          <w:b/>
          <w:color w:val="auto"/>
          <w:sz w:val="24"/>
          <w:szCs w:val="24"/>
          <w:u w:val="none"/>
        </w:rPr>
      </w:pPr>
    </w:p>
    <w:p w14:paraId="579F9EB8" w14:textId="5B023ED2" w:rsidR="00B34A49" w:rsidRDefault="00B34A4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r w:rsidR="00306E28">
        <w:rPr>
          <w:rStyle w:val="Hyperlink"/>
          <w:rFonts w:ascii="Arial Black" w:hAnsi="Arial Black"/>
          <w:b/>
          <w:color w:val="auto"/>
          <w:sz w:val="24"/>
          <w:szCs w:val="24"/>
          <w:u w:val="none"/>
        </w:rPr>
        <w:t>3</w:t>
      </w:r>
    </w:p>
    <w:p w14:paraId="4C3E65C3" w14:textId="77777777" w:rsidR="00387D84" w:rsidRPr="005B675E" w:rsidRDefault="00387D84" w:rsidP="00387D84">
      <w:pPr>
        <w:rPr>
          <w:rFonts w:ascii="Arial Black" w:hAnsi="Arial Black"/>
          <w:b/>
          <w:bCs/>
          <w:sz w:val="28"/>
          <w:szCs w:val="28"/>
        </w:rPr>
      </w:pPr>
      <w:r w:rsidRPr="005B675E">
        <w:rPr>
          <w:rFonts w:ascii="Arial Black" w:hAnsi="Arial Black"/>
          <w:b/>
          <w:bCs/>
          <w:sz w:val="28"/>
          <w:szCs w:val="28"/>
        </w:rPr>
        <w:t>CA: WILDLAND FIRE –  BACKFIRES – RANCHER MUST PROVE BACKFIRES NEG. USED DURING “RED FLAG WARNINGS”</w:t>
      </w:r>
    </w:p>
    <w:p w14:paraId="10D2C209" w14:textId="77777777" w:rsidR="00387D84" w:rsidRPr="00124FAD" w:rsidRDefault="00387D84" w:rsidP="00387D84">
      <w:pPr>
        <w:pStyle w:val="NoSpacing"/>
        <w:rPr>
          <w:rFonts w:ascii="Times New Roman" w:hAnsi="Times New Roman"/>
          <w:sz w:val="24"/>
          <w:szCs w:val="24"/>
        </w:rPr>
      </w:pPr>
      <w:r w:rsidRPr="00124FAD">
        <w:rPr>
          <w:rFonts w:ascii="Times New Roman" w:hAnsi="Times New Roman"/>
          <w:sz w:val="24"/>
          <w:szCs w:val="24"/>
        </w:rPr>
        <w:t xml:space="preserve">On Oct. 8, 2024, in </w:t>
      </w:r>
      <w:r w:rsidRPr="00124FAD">
        <w:rPr>
          <w:rFonts w:ascii="Times New Roman" w:hAnsi="Times New Roman"/>
          <w:sz w:val="24"/>
          <w:szCs w:val="24"/>
          <w:u w:val="single"/>
        </w:rPr>
        <w:t>Joe Allen Wixson v. The United States</w:t>
      </w:r>
      <w:r w:rsidRPr="00124FAD">
        <w:rPr>
          <w:rFonts w:ascii="Times New Roman" w:hAnsi="Times New Roman"/>
          <w:sz w:val="24"/>
          <w:szCs w:val="24"/>
        </w:rPr>
        <w:t xml:space="preserve">, the United States Court of Federal Claims [Wahington, D.C.] held: “Joe Allen Wixson alleges that the government took his private property for public use by allowing it to be destroyed by a fire. He alleges that the decisions by the U.S. Forest Service to cancel prescribed burns and employee trainings during the covid-19 pandemic, and then to use defensive firefighting techniques during a windy day, caused the fire to affect his property. *** In sum, the government’s decisions to cancel prescribed burns and firefighter training cannot form the basis for Mr. </w:t>
      </w:r>
      <w:proofErr w:type="gramStart"/>
      <w:r w:rsidRPr="00124FAD">
        <w:rPr>
          <w:rFonts w:ascii="Times New Roman" w:hAnsi="Times New Roman"/>
          <w:sz w:val="24"/>
          <w:szCs w:val="24"/>
        </w:rPr>
        <w:t>Wixson’s takings</w:t>
      </w:r>
      <w:proofErr w:type="gramEnd"/>
      <w:r w:rsidRPr="00124FAD">
        <w:rPr>
          <w:rFonts w:ascii="Times New Roman" w:hAnsi="Times New Roman"/>
          <w:sz w:val="24"/>
          <w:szCs w:val="24"/>
        </w:rPr>
        <w:t xml:space="preserve"> claim or any other claim in this court. *** Because the government did not intend to invade Mr. Wixson’s property, Mr. Wixson must show that the fire on his property was the direct, natural, or probable result of the government’s use of backfires, or controlled burn techniques.” </w:t>
      </w:r>
      <w:hyperlink r:id="rId834" w:history="1">
        <w:r w:rsidRPr="00124FAD">
          <w:rPr>
            <w:rStyle w:val="Hyperlink"/>
            <w:rFonts w:ascii="Times New Roman" w:hAnsi="Times New Roman"/>
            <w:sz w:val="24"/>
            <w:szCs w:val="24"/>
          </w:rPr>
          <w:t>https://cases.justia.com/federal/district-courts/federal-claims/cofce/1:2022cv01201/46126/27/0.pdf?ts=1728477951</w:t>
        </w:r>
      </w:hyperlink>
      <w:r w:rsidRPr="00124FAD">
        <w:rPr>
          <w:rFonts w:ascii="Times New Roman" w:hAnsi="Times New Roman"/>
          <w:sz w:val="24"/>
          <w:szCs w:val="24"/>
        </w:rPr>
        <w:t xml:space="preserve"> </w:t>
      </w:r>
    </w:p>
    <w:p w14:paraId="2552D32E" w14:textId="77777777" w:rsidR="00124FAD" w:rsidRPr="00124FAD" w:rsidRDefault="00124FAD" w:rsidP="00124FAD">
      <w:pPr>
        <w:pStyle w:val="NoSpacing"/>
        <w:rPr>
          <w:rFonts w:ascii="Times New Roman" w:hAnsi="Times New Roman"/>
          <w:b/>
          <w:sz w:val="24"/>
          <w:szCs w:val="24"/>
        </w:rPr>
      </w:pPr>
    </w:p>
    <w:p w14:paraId="4AA38B66" w14:textId="5F8C52D6" w:rsidR="00124FAD" w:rsidRPr="00124FAD" w:rsidRDefault="00124FAD" w:rsidP="00124FAD">
      <w:pPr>
        <w:pStyle w:val="NoSpacing"/>
        <w:rPr>
          <w:rFonts w:ascii="Times New Roman" w:hAnsi="Times New Roman"/>
          <w:b/>
          <w:bCs/>
          <w:sz w:val="24"/>
          <w:szCs w:val="24"/>
        </w:rPr>
      </w:pPr>
      <w:r w:rsidRPr="00124FAD">
        <w:rPr>
          <w:rFonts w:ascii="Times New Roman" w:hAnsi="Times New Roman"/>
          <w:b/>
          <w:sz w:val="24"/>
          <w:szCs w:val="24"/>
        </w:rPr>
        <w:t>Legal Lesson Learned: Property owner will need expert testimony showing backfires were done in a negligent manner during Red Flag warnings.</w:t>
      </w:r>
    </w:p>
    <w:p w14:paraId="7F27B55F" w14:textId="77777777" w:rsidR="00124FAD" w:rsidRDefault="00124FAD" w:rsidP="00124FAD">
      <w:pPr>
        <w:pStyle w:val="NoSpacing"/>
      </w:pPr>
    </w:p>
    <w:p w14:paraId="02BCC860" w14:textId="77777777" w:rsidR="00B34A49" w:rsidRDefault="00B34A49" w:rsidP="002B1283">
      <w:pPr>
        <w:rPr>
          <w:rStyle w:val="Hyperlink"/>
          <w:rFonts w:ascii="Arial Black" w:hAnsi="Arial Black"/>
          <w:b/>
          <w:color w:val="auto"/>
          <w:sz w:val="24"/>
          <w:szCs w:val="24"/>
          <w:u w:val="none"/>
        </w:rPr>
      </w:pPr>
    </w:p>
    <w:p w14:paraId="51ECB432" w14:textId="15C52E71" w:rsidR="00B34A49" w:rsidRDefault="00B34A4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r w:rsidR="00306E28">
        <w:rPr>
          <w:rStyle w:val="Hyperlink"/>
          <w:rFonts w:ascii="Arial Black" w:hAnsi="Arial Black"/>
          <w:b/>
          <w:color w:val="auto"/>
          <w:sz w:val="24"/>
          <w:szCs w:val="24"/>
          <w:u w:val="none"/>
        </w:rPr>
        <w:t>2</w:t>
      </w:r>
    </w:p>
    <w:p w14:paraId="491BA4E4" w14:textId="77777777" w:rsidR="00CB542E" w:rsidRPr="005B675E" w:rsidRDefault="00CB542E" w:rsidP="00CB542E">
      <w:pPr>
        <w:pStyle w:val="NoSpacing"/>
        <w:rPr>
          <w:rFonts w:ascii="Arial Black" w:hAnsi="Arial Black"/>
          <w:b/>
          <w:bCs/>
          <w:sz w:val="28"/>
          <w:szCs w:val="28"/>
        </w:rPr>
      </w:pPr>
      <w:r w:rsidRPr="005B675E">
        <w:rPr>
          <w:rFonts w:ascii="Arial Black" w:hAnsi="Arial Black"/>
          <w:b/>
          <w:bCs/>
          <w:sz w:val="28"/>
          <w:szCs w:val="28"/>
        </w:rPr>
        <w:t xml:space="preserve">CA: CAMPERS CALLED 911 – SEE WILDLAND FIRE – TOLD NO DANGER 3-4 DAYS / WILL ADVISE – INJURED – IMMUNITY </w:t>
      </w:r>
    </w:p>
    <w:p w14:paraId="44919140" w14:textId="77777777" w:rsidR="00CB542E" w:rsidRPr="00306E28" w:rsidRDefault="00CB542E" w:rsidP="00CB542E">
      <w:pPr>
        <w:pStyle w:val="NoSpacing"/>
        <w:rPr>
          <w:rFonts w:ascii="Times New Roman" w:hAnsi="Times New Roman"/>
          <w:sz w:val="24"/>
          <w:szCs w:val="24"/>
        </w:rPr>
      </w:pPr>
    </w:p>
    <w:p w14:paraId="1F7E1699" w14:textId="77777777" w:rsidR="00CB542E" w:rsidRPr="00306E28" w:rsidRDefault="00CB542E" w:rsidP="00CB542E">
      <w:pPr>
        <w:pStyle w:val="NoSpacing"/>
        <w:rPr>
          <w:rFonts w:ascii="Times New Roman" w:hAnsi="Times New Roman"/>
          <w:sz w:val="24"/>
          <w:szCs w:val="24"/>
        </w:rPr>
      </w:pPr>
      <w:r w:rsidRPr="00306E28">
        <w:rPr>
          <w:rFonts w:ascii="Times New Roman" w:hAnsi="Times New Roman"/>
          <w:sz w:val="24"/>
          <w:szCs w:val="24"/>
        </w:rPr>
        <w:t xml:space="preserve">On Oct. 8, 2024, in </w:t>
      </w:r>
      <w:r w:rsidRPr="00306E28">
        <w:rPr>
          <w:rFonts w:ascii="Times New Roman" w:hAnsi="Times New Roman"/>
          <w:sz w:val="24"/>
          <w:szCs w:val="24"/>
          <w:u w:val="single"/>
        </w:rPr>
        <w:t>Michelle Portillo, et al. v, Madera County</w:t>
      </w:r>
      <w:r w:rsidRPr="00306E28">
        <w:rPr>
          <w:rFonts w:ascii="Times New Roman" w:hAnsi="Times New Roman"/>
          <w:sz w:val="24"/>
          <w:szCs w:val="24"/>
        </w:rPr>
        <w:t xml:space="preserve">, the California Court of Appeals, Fifth District. Held (3 to 0; unpublished opinion): “Appellants are </w:t>
      </w:r>
      <w:proofErr w:type="gramStart"/>
      <w:r w:rsidRPr="00306E28">
        <w:rPr>
          <w:rFonts w:ascii="Times New Roman" w:hAnsi="Times New Roman"/>
          <w:sz w:val="24"/>
          <w:szCs w:val="24"/>
        </w:rPr>
        <w:t>a number of</w:t>
      </w:r>
      <w:proofErr w:type="gramEnd"/>
      <w:r w:rsidRPr="00306E28">
        <w:rPr>
          <w:rFonts w:ascii="Times New Roman" w:hAnsi="Times New Roman"/>
          <w:sz w:val="24"/>
          <w:szCs w:val="24"/>
        </w:rPr>
        <w:t xml:space="preserve"> campers that were caught in the 2020 Creek Fire. They sued Madera County (County) after they were injured, claiming a County employee negligently advised them about the fire danger and broke a promise to inform them if the danger increased. The trial court dismissed their third amended complaint on demurrer. Appellants challenge this ruling. For the reasons set forth below, we affirm.”</w:t>
      </w:r>
    </w:p>
    <w:p w14:paraId="4335B6F6" w14:textId="77777777" w:rsidR="00CB542E" w:rsidRPr="00306E28" w:rsidRDefault="00CB542E" w:rsidP="00CB542E">
      <w:pPr>
        <w:pStyle w:val="NoSpacing"/>
        <w:rPr>
          <w:rFonts w:ascii="Times New Roman" w:hAnsi="Times New Roman"/>
          <w:sz w:val="24"/>
          <w:szCs w:val="24"/>
        </w:rPr>
      </w:pPr>
      <w:hyperlink r:id="rId835" w:history="1">
        <w:r w:rsidRPr="00306E28">
          <w:rPr>
            <w:rStyle w:val="Hyperlink"/>
            <w:rFonts w:ascii="Times New Roman" w:hAnsi="Times New Roman"/>
            <w:sz w:val="24"/>
            <w:szCs w:val="24"/>
          </w:rPr>
          <w:t>https://casetext.com/case/portillo-v-madera-cnty</w:t>
        </w:r>
      </w:hyperlink>
      <w:r w:rsidRPr="00306E28">
        <w:rPr>
          <w:rFonts w:ascii="Times New Roman" w:hAnsi="Times New Roman"/>
          <w:sz w:val="24"/>
          <w:szCs w:val="24"/>
        </w:rPr>
        <w:t xml:space="preserve"> </w:t>
      </w:r>
    </w:p>
    <w:p w14:paraId="7EB8CADD" w14:textId="77777777" w:rsidR="00CB542E" w:rsidRPr="00306E28" w:rsidRDefault="00CB542E" w:rsidP="00CB542E">
      <w:pPr>
        <w:pStyle w:val="NoSpacing"/>
        <w:rPr>
          <w:rFonts w:ascii="Times New Roman" w:hAnsi="Times New Roman"/>
          <w:sz w:val="24"/>
          <w:szCs w:val="24"/>
        </w:rPr>
      </w:pPr>
    </w:p>
    <w:p w14:paraId="0B2D8DF3" w14:textId="77777777" w:rsidR="00306E28" w:rsidRPr="00306E28" w:rsidRDefault="00306E28" w:rsidP="00306E28">
      <w:pPr>
        <w:pStyle w:val="NoSpacing"/>
        <w:rPr>
          <w:rFonts w:ascii="Times New Roman" w:hAnsi="Times New Roman"/>
          <w:b/>
          <w:bCs/>
          <w:sz w:val="24"/>
          <w:szCs w:val="24"/>
        </w:rPr>
      </w:pPr>
      <w:r w:rsidRPr="00306E28">
        <w:rPr>
          <w:rFonts w:ascii="Times New Roman" w:hAnsi="Times New Roman"/>
          <w:b/>
          <w:sz w:val="24"/>
          <w:szCs w:val="24"/>
        </w:rPr>
        <w:t xml:space="preserve">Legal Lesson Learned: Very difficult for these campers to prove gross negligence. </w:t>
      </w:r>
    </w:p>
    <w:p w14:paraId="59A25CFA" w14:textId="77777777" w:rsidR="00B34A49" w:rsidRDefault="00B34A49" w:rsidP="002B1283">
      <w:pPr>
        <w:rPr>
          <w:rStyle w:val="Hyperlink"/>
          <w:rFonts w:ascii="Arial Black" w:hAnsi="Arial Black"/>
          <w:b/>
          <w:color w:val="auto"/>
          <w:sz w:val="24"/>
          <w:szCs w:val="24"/>
          <w:u w:val="none"/>
        </w:rPr>
      </w:pPr>
    </w:p>
    <w:p w14:paraId="65018BA7" w14:textId="7DDE71CA" w:rsidR="0075297C" w:rsidRDefault="0075297C"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4-41</w:t>
      </w:r>
    </w:p>
    <w:p w14:paraId="5376D485" w14:textId="77777777" w:rsidR="00C76B17" w:rsidRPr="005B675E" w:rsidRDefault="00C76B17" w:rsidP="00C76B17">
      <w:pPr>
        <w:pStyle w:val="NoSpacing"/>
        <w:rPr>
          <w:rFonts w:ascii="Arial Black" w:hAnsi="Arial Black"/>
          <w:b/>
          <w:bCs/>
          <w:sz w:val="28"/>
          <w:szCs w:val="28"/>
        </w:rPr>
      </w:pPr>
      <w:r w:rsidRPr="005B675E">
        <w:rPr>
          <w:rFonts w:ascii="Arial Black" w:hAnsi="Arial Black"/>
          <w:b/>
          <w:bCs/>
          <w:sz w:val="28"/>
          <w:szCs w:val="28"/>
        </w:rPr>
        <w:t>CT:  WIRES DOWN ON CAR – 2 TRAPPED FOR 1-HOUR -  – STATE ORDERS UTILITY COMPANY MORE RAPID RESPONSE</w:t>
      </w:r>
    </w:p>
    <w:p w14:paraId="10C3CA83" w14:textId="77777777" w:rsidR="00C76B17" w:rsidRPr="005B675E" w:rsidRDefault="00C76B17" w:rsidP="00C76B17">
      <w:pPr>
        <w:pStyle w:val="NoSpacing"/>
        <w:rPr>
          <w:rFonts w:ascii="Arial Black" w:hAnsi="Arial Black"/>
          <w:sz w:val="28"/>
          <w:szCs w:val="28"/>
        </w:rPr>
      </w:pPr>
    </w:p>
    <w:p w14:paraId="42787C0A" w14:textId="319C35F5" w:rsidR="0075297C" w:rsidRPr="00C833FD" w:rsidRDefault="00C76B17" w:rsidP="00C76B17">
      <w:pPr>
        <w:pStyle w:val="NoSpacing"/>
        <w:rPr>
          <w:rStyle w:val="Hyperlink"/>
          <w:rFonts w:ascii="Times New Roman" w:hAnsi="Times New Roman"/>
          <w:sz w:val="24"/>
          <w:szCs w:val="24"/>
        </w:rPr>
      </w:pPr>
      <w:r w:rsidRPr="00C833FD">
        <w:rPr>
          <w:rFonts w:ascii="Times New Roman" w:hAnsi="Times New Roman"/>
          <w:sz w:val="24"/>
          <w:szCs w:val="24"/>
        </w:rPr>
        <w:t xml:space="preserve">Oct. 2, 2024, in </w:t>
      </w:r>
      <w:r w:rsidRPr="00C833FD">
        <w:rPr>
          <w:rFonts w:ascii="Times New Roman" w:hAnsi="Times New Roman"/>
          <w:sz w:val="24"/>
          <w:szCs w:val="24"/>
          <w:u w:val="single"/>
        </w:rPr>
        <w:t xml:space="preserve">The Connecticut Light &amp; Power Company, d/b/a </w:t>
      </w:r>
      <w:proofErr w:type="spellStart"/>
      <w:r w:rsidRPr="00C833FD">
        <w:rPr>
          <w:rFonts w:ascii="Times New Roman" w:hAnsi="Times New Roman"/>
          <w:sz w:val="24"/>
          <w:szCs w:val="24"/>
          <w:u w:val="single"/>
        </w:rPr>
        <w:t>Eversourse</w:t>
      </w:r>
      <w:proofErr w:type="spellEnd"/>
      <w:r w:rsidRPr="00C833FD">
        <w:rPr>
          <w:rFonts w:ascii="Times New Roman" w:hAnsi="Times New Roman"/>
          <w:sz w:val="24"/>
          <w:szCs w:val="24"/>
          <w:u w:val="single"/>
        </w:rPr>
        <w:t xml:space="preserve"> Energy v. Public Utilities Regulatory Authority</w:t>
      </w:r>
      <w:r w:rsidRPr="00C833FD">
        <w:rPr>
          <w:rFonts w:ascii="Times New Roman" w:hAnsi="Times New Roman"/>
          <w:sz w:val="24"/>
          <w:szCs w:val="24"/>
        </w:rPr>
        <w:t xml:space="preserve">, the Superior Court of Connecticut, Judicial District of New Britain, Tax and Administrative Appeals Division, (Judge Matthew J. Budzik) held: “Because the statutes and regulations cited by Eversource are either inapplicable, or merely permit - - but do not require -- PURA to hold a hearing on the instant investigation, the court grants the motion to dismiss.” </w:t>
      </w:r>
      <w:hyperlink r:id="rId836" w:history="1">
        <w:r w:rsidRPr="00C833FD">
          <w:rPr>
            <w:rStyle w:val="Hyperlink"/>
            <w:rFonts w:ascii="Times New Roman" w:hAnsi="Times New Roman"/>
            <w:sz w:val="24"/>
            <w:szCs w:val="24"/>
          </w:rPr>
          <w:t>https://www.firelawblog.com/wp-content/uploads/sites/19/2024/10/Light-v.-Pub.-Utils.-Regul.-Auth._-2024-Conn.-Super.-LE.pdf</w:t>
        </w:r>
      </w:hyperlink>
    </w:p>
    <w:p w14:paraId="55AFD4BB" w14:textId="77777777" w:rsidR="00C833FD" w:rsidRPr="00C833FD" w:rsidRDefault="00C833FD" w:rsidP="00C76B17">
      <w:pPr>
        <w:pStyle w:val="NoSpacing"/>
        <w:rPr>
          <w:rStyle w:val="Hyperlink"/>
          <w:rFonts w:ascii="Times New Roman" w:hAnsi="Times New Roman"/>
          <w:sz w:val="24"/>
          <w:szCs w:val="24"/>
        </w:rPr>
      </w:pPr>
    </w:p>
    <w:p w14:paraId="07E26062" w14:textId="77777777" w:rsidR="00C833FD" w:rsidRPr="00C833FD" w:rsidRDefault="00C833FD" w:rsidP="00C833FD">
      <w:pPr>
        <w:pStyle w:val="NoSpacing"/>
        <w:rPr>
          <w:rFonts w:ascii="Times New Roman" w:hAnsi="Times New Roman"/>
          <w:b/>
          <w:bCs/>
          <w:sz w:val="24"/>
          <w:szCs w:val="24"/>
        </w:rPr>
      </w:pPr>
      <w:r w:rsidRPr="00C833FD">
        <w:rPr>
          <w:rFonts w:ascii="Times New Roman" w:hAnsi="Times New Roman"/>
          <w:b/>
          <w:sz w:val="24"/>
          <w:szCs w:val="24"/>
        </w:rPr>
        <w:t>Legal Lesson Learned: Nice to see State agency holding utility company’s “feet to the fire</w:t>
      </w:r>
      <w:r w:rsidRPr="00C833FD">
        <w:rPr>
          <w:rFonts w:ascii="Times New Roman" w:hAnsi="Times New Roman"/>
          <w:b/>
          <w:bCs/>
          <w:sz w:val="24"/>
          <w:szCs w:val="24"/>
        </w:rPr>
        <w:t>”</w:t>
      </w:r>
      <w:r w:rsidRPr="00C833FD">
        <w:rPr>
          <w:rFonts w:ascii="Times New Roman" w:hAnsi="Times New Roman"/>
          <w:b/>
          <w:sz w:val="24"/>
          <w:szCs w:val="24"/>
        </w:rPr>
        <w:t xml:space="preserve"> for slow response to wires on occupied vehicle call.</w:t>
      </w:r>
    </w:p>
    <w:p w14:paraId="507A88E4" w14:textId="77777777" w:rsidR="00C833FD" w:rsidRDefault="00C833FD" w:rsidP="00C76B17">
      <w:pPr>
        <w:pStyle w:val="NoSpacing"/>
        <w:rPr>
          <w:rStyle w:val="Hyperlink"/>
          <w:rFonts w:ascii="Arial Black" w:hAnsi="Arial Black"/>
          <w:b/>
          <w:color w:val="auto"/>
          <w:sz w:val="24"/>
          <w:szCs w:val="24"/>
          <w:u w:val="none"/>
        </w:rPr>
      </w:pPr>
    </w:p>
    <w:p w14:paraId="382F4A73" w14:textId="77777777" w:rsidR="0075297C" w:rsidRDefault="0075297C" w:rsidP="002B1283">
      <w:pPr>
        <w:rPr>
          <w:rStyle w:val="Hyperlink"/>
          <w:rFonts w:ascii="Arial Black" w:hAnsi="Arial Black"/>
          <w:b/>
          <w:color w:val="auto"/>
          <w:sz w:val="24"/>
          <w:szCs w:val="24"/>
          <w:u w:val="none"/>
        </w:rPr>
      </w:pPr>
    </w:p>
    <w:p w14:paraId="375B116B" w14:textId="233B621A" w:rsidR="00291569" w:rsidRDefault="0038005B"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4-40</w:t>
      </w:r>
    </w:p>
    <w:p w14:paraId="60385150" w14:textId="77777777" w:rsidR="002E0D85" w:rsidRPr="005B675E" w:rsidRDefault="002E0D85" w:rsidP="002E0D85">
      <w:pPr>
        <w:pStyle w:val="NormalWeb"/>
        <w:rPr>
          <w:rFonts w:ascii="Arial Black" w:hAnsi="Arial Black"/>
          <w:color w:val="454545"/>
          <w:sz w:val="28"/>
          <w:szCs w:val="28"/>
          <w:shd w:val="clear" w:color="auto" w:fill="FFFFFF"/>
        </w:rPr>
      </w:pPr>
      <w:r w:rsidRPr="005B675E">
        <w:rPr>
          <w:rFonts w:ascii="Arial Black" w:hAnsi="Arial Black"/>
          <w:color w:val="454545"/>
          <w:sz w:val="28"/>
          <w:szCs w:val="28"/>
          <w:shd w:val="clear" w:color="auto" w:fill="FFFFFF"/>
        </w:rPr>
        <w:t>UT: TWO FOREST FIRES – IC DECIDED TO LET BURN – HIGH WINDS 100,000 ACRES – BUILDING OWNERS CAN’T SUE</w:t>
      </w:r>
    </w:p>
    <w:p w14:paraId="6B94410D" w14:textId="77777777" w:rsidR="002E0D85" w:rsidRPr="004562D2" w:rsidRDefault="002E0D85" w:rsidP="002E0D85">
      <w:pPr>
        <w:pStyle w:val="NormalWeb"/>
        <w:rPr>
          <w:color w:val="454545"/>
          <w:shd w:val="clear" w:color="auto" w:fill="FFFFFF"/>
        </w:rPr>
      </w:pPr>
      <w:r w:rsidRPr="004562D2">
        <w:rPr>
          <w:color w:val="454545"/>
          <w:shd w:val="clear" w:color="auto" w:fill="FFFFFF"/>
        </w:rPr>
        <w:t xml:space="preserve">On July 30, 2024, in </w:t>
      </w:r>
      <w:r w:rsidRPr="004562D2">
        <w:rPr>
          <w:color w:val="454545"/>
          <w:u w:val="single"/>
          <w:shd w:val="clear" w:color="auto" w:fill="FFFFFF"/>
        </w:rPr>
        <w:t>Strawberry Water Users Association v. United States</w:t>
      </w:r>
      <w:r w:rsidRPr="004562D2">
        <w:rPr>
          <w:color w:val="454545"/>
          <w:shd w:val="clear" w:color="auto" w:fill="FFFFFF"/>
        </w:rPr>
        <w:t>,  the U.S. Court of Appeals for 10</w:t>
      </w:r>
      <w:r w:rsidRPr="004562D2">
        <w:rPr>
          <w:color w:val="454545"/>
          <w:shd w:val="clear" w:color="auto" w:fill="FFFFFF"/>
          <w:vertAlign w:val="superscript"/>
        </w:rPr>
        <w:t>th</w:t>
      </w:r>
      <w:r w:rsidRPr="004562D2">
        <w:rPr>
          <w:color w:val="454545"/>
          <w:shd w:val="clear" w:color="auto" w:fill="FFFFFF"/>
        </w:rPr>
        <w:t xml:space="preserve"> Circuit (Denver) held [3 to 0) that U.S. District Court judge properly dismissed the lawsuit for “lack of jurisdiction.” “[T]he Forest Service undoubtedly acted within the ambit of its authority in allowing the fires to </w:t>
      </w:r>
      <w:r w:rsidRPr="004562D2">
        <w:rPr>
          <w:color w:val="454545"/>
          <w:shd w:val="clear" w:color="auto" w:fill="FFFFFF"/>
        </w:rPr>
        <w:lastRenderedPageBreak/>
        <w:t>burn. Congress granted the Forest Service the authority to develop and implement wildfire-management policies under dual statutory regimes.”</w:t>
      </w:r>
      <w:r w:rsidRPr="004562D2">
        <w:t xml:space="preserve"> </w:t>
      </w:r>
      <w:hyperlink r:id="rId837" w:history="1">
        <w:r w:rsidRPr="004562D2">
          <w:rPr>
            <w:rStyle w:val="Hyperlink"/>
            <w:shd w:val="clear" w:color="auto" w:fill="FFFFFF"/>
          </w:rPr>
          <w:t>https://caselaw.findlaw.com/court/us-10th-circuit/116433351.html</w:t>
        </w:r>
      </w:hyperlink>
      <w:r w:rsidRPr="004562D2">
        <w:rPr>
          <w:color w:val="454545"/>
          <w:shd w:val="clear" w:color="auto" w:fill="FFFFFF"/>
        </w:rPr>
        <w:t xml:space="preserve"> </w:t>
      </w:r>
    </w:p>
    <w:p w14:paraId="31908B81" w14:textId="77777777" w:rsidR="002E0D85" w:rsidRPr="009C1132" w:rsidRDefault="002E0D85" w:rsidP="002E0D85">
      <w:pPr>
        <w:pStyle w:val="NormalWeb"/>
        <w:rPr>
          <w:color w:val="454545"/>
          <w:shd w:val="clear" w:color="auto" w:fill="FFFFFF"/>
        </w:rPr>
      </w:pPr>
      <w:r w:rsidRPr="009C1132">
        <w:rPr>
          <w:color w:val="454545"/>
          <w:shd w:val="clear" w:color="auto" w:fill="FFFFFF"/>
        </w:rPr>
        <w:t>THE COURT HELD:</w:t>
      </w:r>
    </w:p>
    <w:p w14:paraId="1144B067" w14:textId="77777777" w:rsidR="002E0D85" w:rsidRPr="009C1132" w:rsidRDefault="002E0D85" w:rsidP="002E0D85">
      <w:pPr>
        <w:pStyle w:val="NormalWeb"/>
        <w:ind w:left="720"/>
        <w:rPr>
          <w:color w:val="454545"/>
          <w:shd w:val="clear" w:color="auto" w:fill="FFFFFF"/>
        </w:rPr>
      </w:pPr>
      <w:r w:rsidRPr="009C1132">
        <w:rPr>
          <w:color w:val="454545"/>
          <w:shd w:val="clear" w:color="auto" w:fill="FFFFFF"/>
        </w:rPr>
        <w:t>“The issue on appeal is whether the discretionary-function exception to liability under the Federal Tort Claims Act (FTCA) applies to the United States Forest Service's alleged mismanagement of two wildfires ignited on public lands. The district court held that the exception applied and therefore it was stripped of jurisdiction to hear the claims… Exercising jurisdiction under 28 U.S.C. § 1291, we affirm.”</w:t>
      </w:r>
    </w:p>
    <w:p w14:paraId="602CE19E" w14:textId="77777777" w:rsidR="00DA23FE" w:rsidRPr="0036267D" w:rsidRDefault="00DA23FE" w:rsidP="00DA23FE">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Congress under Federal Tort Claims Act provides immunity for government officials making discretionary decisions. </w:t>
      </w:r>
    </w:p>
    <w:p w14:paraId="1032664C" w14:textId="77777777" w:rsidR="0038005B" w:rsidRDefault="0038005B" w:rsidP="002B1283">
      <w:pPr>
        <w:rPr>
          <w:rStyle w:val="Hyperlink"/>
          <w:rFonts w:ascii="Arial Black" w:hAnsi="Arial Black"/>
          <w:b/>
          <w:color w:val="auto"/>
          <w:sz w:val="24"/>
          <w:szCs w:val="24"/>
          <w:u w:val="none"/>
        </w:rPr>
      </w:pPr>
    </w:p>
    <w:p w14:paraId="1FB8455C" w14:textId="77777777" w:rsidR="00291569" w:rsidRDefault="00291569" w:rsidP="002B1283">
      <w:pPr>
        <w:rPr>
          <w:rStyle w:val="Hyperlink"/>
          <w:rFonts w:ascii="Arial Black" w:hAnsi="Arial Black"/>
          <w:b/>
          <w:color w:val="auto"/>
          <w:sz w:val="24"/>
          <w:szCs w:val="24"/>
          <w:u w:val="none"/>
        </w:rPr>
      </w:pPr>
    </w:p>
    <w:p w14:paraId="5292E2AC" w14:textId="0E802254" w:rsidR="00291569" w:rsidRDefault="0029156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4-39</w:t>
      </w:r>
    </w:p>
    <w:p w14:paraId="77BA7143" w14:textId="77777777" w:rsidR="00291569" w:rsidRPr="00D961B3" w:rsidRDefault="00291569" w:rsidP="00291569">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KY: FIRE CHIEF – REFUSED MUTUAL AID 3</w:t>
      </w:r>
      <w:r w:rsidRPr="00E973EF">
        <w:rPr>
          <w:rFonts w:ascii="Arial Black" w:hAnsi="Arial Black"/>
          <w:b/>
          <w:bCs/>
          <w:color w:val="454545"/>
          <w:sz w:val="28"/>
          <w:szCs w:val="28"/>
          <w:shd w:val="clear" w:color="auto" w:fill="FFFFFF"/>
          <w:vertAlign w:val="superscript"/>
        </w:rPr>
        <w:t>rd</w:t>
      </w:r>
      <w:r>
        <w:rPr>
          <w:rFonts w:ascii="Arial Black" w:hAnsi="Arial Black"/>
          <w:b/>
          <w:bCs/>
          <w:color w:val="454545"/>
          <w:sz w:val="28"/>
          <w:szCs w:val="28"/>
          <w:shd w:val="clear" w:color="auto" w:fill="FFFFFF"/>
        </w:rPr>
        <w:t xml:space="preserve"> FD – PRIOR ISSUES 3</w:t>
      </w:r>
      <w:r w:rsidRPr="00CE4862">
        <w:rPr>
          <w:rFonts w:ascii="Arial Black" w:hAnsi="Arial Black"/>
          <w:b/>
          <w:bCs/>
          <w:color w:val="454545"/>
          <w:sz w:val="28"/>
          <w:szCs w:val="28"/>
          <w:shd w:val="clear" w:color="auto" w:fill="FFFFFF"/>
          <w:vertAlign w:val="superscript"/>
        </w:rPr>
        <w:t>rd</w:t>
      </w:r>
      <w:r>
        <w:rPr>
          <w:rFonts w:ascii="Arial Black" w:hAnsi="Arial Black"/>
          <w:b/>
          <w:bCs/>
          <w:color w:val="454545"/>
          <w:sz w:val="28"/>
          <w:szCs w:val="28"/>
          <w:shd w:val="clear" w:color="auto" w:fill="FFFFFF"/>
        </w:rPr>
        <w:t xml:space="preserve"> FD’s INCIDENT COMMAND – QUAL. IMMUNITY </w:t>
      </w:r>
    </w:p>
    <w:p w14:paraId="469821F5" w14:textId="77777777" w:rsidR="00291569" w:rsidRDefault="00291569" w:rsidP="00291569">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July 26, 2024, in </w:t>
      </w:r>
      <w:r w:rsidRPr="00A7779F">
        <w:rPr>
          <w:rFonts w:ascii="Times New Roman" w:hAnsi="Times New Roman"/>
          <w:sz w:val="24"/>
          <w:szCs w:val="24"/>
          <w:u w:val="single"/>
          <w:shd w:val="clear" w:color="auto" w:fill="FFFFFF"/>
        </w:rPr>
        <w:t>Lina Combs v. Jackson Fire Chief Chase Deaton</w:t>
      </w:r>
      <w:r>
        <w:rPr>
          <w:rFonts w:ascii="Times New Roman" w:hAnsi="Times New Roman"/>
          <w:sz w:val="24"/>
          <w:szCs w:val="24"/>
          <w:shd w:val="clear" w:color="auto" w:fill="FFFFFF"/>
        </w:rPr>
        <w:t>, the Court of Appeals of Kentucky held (3 to 0) that trial court properly dismissed the lawsuit regarding total loss of a commercial building in 2021.  The Fire Chief enjoys qualified immunity for discretionary duties; he testified that he called in two mutual aid FDs, but rejected offer for 3</w:t>
      </w:r>
      <w:r w:rsidRPr="00FF5775">
        <w:rPr>
          <w:rFonts w:ascii="Times New Roman" w:hAnsi="Times New Roman"/>
          <w:sz w:val="24"/>
          <w:szCs w:val="24"/>
          <w:shd w:val="clear" w:color="auto" w:fill="FFFFFF"/>
          <w:vertAlign w:val="superscript"/>
        </w:rPr>
        <w:t>rd</w:t>
      </w:r>
      <w:r>
        <w:rPr>
          <w:rFonts w:ascii="Times New Roman" w:hAnsi="Times New Roman"/>
          <w:sz w:val="24"/>
          <w:szCs w:val="24"/>
          <w:shd w:val="clear" w:color="auto" w:fill="FFFFFF"/>
        </w:rPr>
        <w:t xml:space="preserve"> FD since he has prior experience with that FD which “</w:t>
      </w:r>
      <w:r w:rsidRPr="007F35C2">
        <w:rPr>
          <w:rFonts w:ascii="Times New Roman" w:hAnsi="Times New Roman"/>
          <w:sz w:val="24"/>
          <w:szCs w:val="24"/>
          <w:shd w:val="clear" w:color="auto" w:fill="FFFFFF"/>
        </w:rPr>
        <w:t>do not fall within</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the incident command structure, will not listen to</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anything anybody tells them to do, which violates all</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National Incident Management System practices</w:t>
      </w:r>
      <w:r>
        <w:rPr>
          <w:rFonts w:ascii="Times New Roman" w:hAnsi="Times New Roman"/>
          <w:sz w:val="24"/>
          <w:szCs w:val="24"/>
          <w:shd w:val="clear" w:color="auto" w:fill="FFFFFF"/>
        </w:rPr>
        <w:t xml:space="preserve">.”  Court also rejected building owner’s argument that FD </w:t>
      </w:r>
      <w:proofErr w:type="gramStart"/>
      <w:r>
        <w:rPr>
          <w:rFonts w:ascii="Times New Roman" w:hAnsi="Times New Roman"/>
          <w:sz w:val="24"/>
          <w:szCs w:val="24"/>
          <w:shd w:val="clear" w:color="auto" w:fill="FFFFFF"/>
        </w:rPr>
        <w:t>liable</w:t>
      </w:r>
      <w:proofErr w:type="gramEnd"/>
      <w:r>
        <w:rPr>
          <w:rFonts w:ascii="Times New Roman" w:hAnsi="Times New Roman"/>
          <w:sz w:val="24"/>
          <w:szCs w:val="24"/>
          <w:shd w:val="clear" w:color="auto" w:fill="FFFFFF"/>
        </w:rPr>
        <w:t xml:space="preserve"> because one hydrant had low flow; hydrants regularly inspected, including in 2020.  </w:t>
      </w:r>
      <w:hyperlink r:id="rId838" w:history="1">
        <w:r w:rsidRPr="00D57CE5">
          <w:rPr>
            <w:rStyle w:val="Hyperlink"/>
            <w:rFonts w:ascii="Times New Roman" w:hAnsi="Times New Roman"/>
            <w:sz w:val="24"/>
            <w:szCs w:val="24"/>
            <w:shd w:val="clear" w:color="auto" w:fill="FFFFFF"/>
          </w:rPr>
          <w:t>https://cases.justia.com/kentucky/court-of-appeals/2024-2023-ca-1204-mr.pdf?ts=1722002681</w:t>
        </w:r>
      </w:hyperlink>
      <w:r>
        <w:rPr>
          <w:rFonts w:ascii="Times New Roman" w:hAnsi="Times New Roman"/>
          <w:sz w:val="24"/>
          <w:szCs w:val="24"/>
          <w:shd w:val="clear" w:color="auto" w:fill="FFFFFF"/>
        </w:rPr>
        <w:t xml:space="preserve"> </w:t>
      </w:r>
    </w:p>
    <w:p w14:paraId="555B8F57" w14:textId="77777777" w:rsidR="00291569" w:rsidRDefault="00291569" w:rsidP="00291569">
      <w:pPr>
        <w:pStyle w:val="NoSpacing"/>
        <w:rPr>
          <w:rFonts w:ascii="Times New Roman" w:hAnsi="Times New Roman"/>
          <w:sz w:val="24"/>
          <w:szCs w:val="24"/>
          <w:shd w:val="clear" w:color="auto" w:fill="FFFFFF"/>
        </w:rPr>
      </w:pPr>
    </w:p>
    <w:p w14:paraId="3496E68E" w14:textId="77777777" w:rsidR="00291569" w:rsidRDefault="00291569" w:rsidP="00291569">
      <w:pPr>
        <w:pStyle w:val="NoSpacing"/>
        <w:rPr>
          <w:rFonts w:ascii="Times New Roman" w:hAnsi="Times New Roman"/>
          <w:sz w:val="24"/>
          <w:szCs w:val="24"/>
          <w:shd w:val="clear" w:color="auto" w:fill="FFFFFF"/>
        </w:rPr>
      </w:pPr>
    </w:p>
    <w:p w14:paraId="1C17A949" w14:textId="77777777" w:rsidR="00291569" w:rsidRDefault="00291569" w:rsidP="00291569">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52C604E0" w14:textId="77777777" w:rsidR="00291569" w:rsidRDefault="00291569" w:rsidP="00291569">
      <w:pPr>
        <w:pStyle w:val="NoSpacing"/>
        <w:rPr>
          <w:rFonts w:ascii="Times New Roman" w:hAnsi="Times New Roman"/>
          <w:sz w:val="24"/>
          <w:szCs w:val="24"/>
          <w:shd w:val="clear" w:color="auto" w:fill="FFFFFF"/>
        </w:rPr>
      </w:pPr>
    </w:p>
    <w:p w14:paraId="11B5D76D"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B13DF8">
        <w:rPr>
          <w:rFonts w:ascii="Times New Roman" w:hAnsi="Times New Roman"/>
          <w:sz w:val="24"/>
          <w:szCs w:val="24"/>
          <w:shd w:val="clear" w:color="auto" w:fill="FFFFFF"/>
        </w:rPr>
        <w:t>Deaton, in his official capacity as fire chief, is also afforded this same</w:t>
      </w:r>
      <w:r>
        <w:rPr>
          <w:rFonts w:ascii="Times New Roman" w:hAnsi="Times New Roman"/>
          <w:sz w:val="24"/>
          <w:szCs w:val="24"/>
          <w:shd w:val="clear" w:color="auto" w:fill="FFFFFF"/>
        </w:rPr>
        <w:t xml:space="preserve"> </w:t>
      </w:r>
      <w:r w:rsidRPr="00B13DF8">
        <w:rPr>
          <w:rFonts w:ascii="Times New Roman" w:hAnsi="Times New Roman"/>
          <w:sz w:val="24"/>
          <w:szCs w:val="24"/>
          <w:shd w:val="clear" w:color="auto" w:fill="FFFFFF"/>
        </w:rPr>
        <w:t>sovereign immunity as the city and the JFD.</w:t>
      </w:r>
    </w:p>
    <w:p w14:paraId="0816201B" w14:textId="77777777" w:rsidR="00291569" w:rsidRDefault="00291569" w:rsidP="00291569">
      <w:pPr>
        <w:pStyle w:val="NoSpacing"/>
        <w:ind w:left="720"/>
        <w:rPr>
          <w:rFonts w:ascii="Times New Roman" w:hAnsi="Times New Roman"/>
          <w:sz w:val="24"/>
          <w:szCs w:val="24"/>
          <w:shd w:val="clear" w:color="auto" w:fill="FFFFFF"/>
        </w:rPr>
      </w:pPr>
    </w:p>
    <w:p w14:paraId="53DA656D"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7C71FA95" w14:textId="77777777" w:rsidR="00291569" w:rsidRDefault="00291569" w:rsidP="00291569">
      <w:pPr>
        <w:pStyle w:val="NoSpacing"/>
        <w:ind w:left="720"/>
        <w:rPr>
          <w:rFonts w:ascii="Times New Roman" w:hAnsi="Times New Roman"/>
          <w:sz w:val="24"/>
          <w:szCs w:val="24"/>
          <w:shd w:val="clear" w:color="auto" w:fill="FFFFFF"/>
        </w:rPr>
      </w:pPr>
      <w:r w:rsidRPr="007A021B">
        <w:rPr>
          <w:rFonts w:ascii="Times New Roman" w:hAnsi="Times New Roman"/>
          <w:sz w:val="24"/>
          <w:szCs w:val="24"/>
          <w:shd w:val="clear" w:color="auto" w:fill="FFFFFF"/>
        </w:rPr>
        <w:t>We must move to individual capacity liability. Public officers and</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employees are entitled to qualified official immunity for negligent conduct when</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the negligent act or omissions were (1) discretionary acts or functions, that (2)</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were made in good faith (or more to the point not made in bad faith), and (3) were</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within the scope of the employee’s authority.</w:t>
      </w:r>
    </w:p>
    <w:p w14:paraId="3BA72D3A" w14:textId="77777777" w:rsidR="00291569" w:rsidRDefault="00291569" w:rsidP="00291569">
      <w:pPr>
        <w:pStyle w:val="NoSpacing"/>
        <w:ind w:left="720"/>
        <w:rPr>
          <w:rFonts w:ascii="Times New Roman" w:hAnsi="Times New Roman"/>
          <w:sz w:val="24"/>
          <w:szCs w:val="24"/>
          <w:shd w:val="clear" w:color="auto" w:fill="FFFFFF"/>
        </w:rPr>
      </w:pPr>
    </w:p>
    <w:p w14:paraId="177ED0BB"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771A546C" w14:textId="77777777" w:rsidR="00291569" w:rsidRDefault="00291569" w:rsidP="00291569">
      <w:pPr>
        <w:pStyle w:val="NoSpacing"/>
        <w:rPr>
          <w:rFonts w:ascii="Times New Roman" w:hAnsi="Times New Roman"/>
          <w:sz w:val="24"/>
          <w:szCs w:val="24"/>
          <w:shd w:val="clear" w:color="auto" w:fill="FFFFFF"/>
        </w:rPr>
      </w:pPr>
    </w:p>
    <w:p w14:paraId="48259FCE" w14:textId="77777777" w:rsidR="00291569" w:rsidRPr="00B95DA7" w:rsidRDefault="00291569" w:rsidP="00291569">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T</w:t>
      </w:r>
      <w:r w:rsidRPr="00B95DA7">
        <w:rPr>
          <w:rFonts w:ascii="Times New Roman" w:hAnsi="Times New Roman"/>
          <w:sz w:val="24"/>
          <w:szCs w:val="24"/>
          <w:shd w:val="clear" w:color="auto" w:fill="FFFFFF"/>
        </w:rPr>
        <w:t>he</w:t>
      </w:r>
      <w:r>
        <w:rPr>
          <w:rFonts w:ascii="Times New Roman" w:hAnsi="Times New Roman"/>
          <w:sz w:val="24"/>
          <w:szCs w:val="24"/>
          <w:shd w:val="clear" w:color="auto" w:fill="FFFFFF"/>
        </w:rPr>
        <w:t xml:space="preserve"> </w:t>
      </w:r>
      <w:r w:rsidRPr="00B95DA7">
        <w:rPr>
          <w:rFonts w:ascii="Times New Roman" w:hAnsi="Times New Roman"/>
          <w:sz w:val="24"/>
          <w:szCs w:val="24"/>
          <w:shd w:val="clear" w:color="auto" w:fill="FFFFFF"/>
        </w:rPr>
        <w:t>circuit court found that Deaton’s actions in refusing assistance from QFD were</w:t>
      </w:r>
    </w:p>
    <w:p w14:paraId="66708351" w14:textId="77777777" w:rsidR="00291569" w:rsidRPr="00B95DA7" w:rsidRDefault="00291569" w:rsidP="00291569">
      <w:pPr>
        <w:pStyle w:val="NoSpacing"/>
        <w:ind w:firstLine="720"/>
        <w:rPr>
          <w:rFonts w:ascii="Times New Roman" w:hAnsi="Times New Roman"/>
          <w:sz w:val="24"/>
          <w:szCs w:val="24"/>
          <w:shd w:val="clear" w:color="auto" w:fill="FFFFFF"/>
        </w:rPr>
      </w:pPr>
      <w:r w:rsidRPr="00B95DA7">
        <w:rPr>
          <w:rFonts w:ascii="Times New Roman" w:hAnsi="Times New Roman"/>
          <w:sz w:val="24"/>
          <w:szCs w:val="24"/>
          <w:shd w:val="clear" w:color="auto" w:fill="FFFFFF"/>
        </w:rPr>
        <w:t>clearly discretionary. Further, the court found that Combs was unable to meet the</w:t>
      </w:r>
    </w:p>
    <w:p w14:paraId="056AA055" w14:textId="77777777" w:rsidR="00291569" w:rsidRDefault="00291569" w:rsidP="00291569">
      <w:pPr>
        <w:pStyle w:val="NoSpacing"/>
        <w:ind w:left="720"/>
        <w:rPr>
          <w:rFonts w:ascii="Times New Roman" w:hAnsi="Times New Roman"/>
          <w:sz w:val="24"/>
          <w:szCs w:val="24"/>
          <w:shd w:val="clear" w:color="auto" w:fill="FFFFFF"/>
        </w:rPr>
      </w:pPr>
      <w:r w:rsidRPr="00B95DA7">
        <w:rPr>
          <w:rFonts w:ascii="Times New Roman" w:hAnsi="Times New Roman"/>
          <w:sz w:val="24"/>
          <w:szCs w:val="24"/>
          <w:shd w:val="clear" w:color="auto" w:fill="FFFFFF"/>
        </w:rPr>
        <w:t>burden that Deaton had acted in bad faith in making his decisions.</w:t>
      </w:r>
      <w:r>
        <w:rPr>
          <w:rFonts w:ascii="Times New Roman" w:hAnsi="Times New Roman"/>
          <w:sz w:val="24"/>
          <w:szCs w:val="24"/>
          <w:shd w:val="clear" w:color="auto" w:fill="FFFFFF"/>
        </w:rPr>
        <w:t xml:space="preserve"> </w:t>
      </w:r>
    </w:p>
    <w:p w14:paraId="6695918D" w14:textId="77777777" w:rsidR="00291569" w:rsidRDefault="00291569" w:rsidP="00291569">
      <w:pPr>
        <w:pStyle w:val="NoSpacing"/>
        <w:ind w:left="720"/>
        <w:rPr>
          <w:rFonts w:ascii="Times New Roman" w:hAnsi="Times New Roman"/>
          <w:sz w:val="24"/>
          <w:szCs w:val="24"/>
          <w:shd w:val="clear" w:color="auto" w:fill="FFFFFF"/>
        </w:rPr>
      </w:pPr>
    </w:p>
    <w:p w14:paraId="12FDC2AA"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2C21B193"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The Fire Chief testified in his deposition:</w:t>
      </w:r>
    </w:p>
    <w:p w14:paraId="23A628A0" w14:textId="77777777" w:rsidR="00291569" w:rsidRDefault="00291569" w:rsidP="00291569">
      <w:pPr>
        <w:pStyle w:val="NoSpacing"/>
        <w:ind w:left="1440"/>
        <w:rPr>
          <w:rFonts w:ascii="Times New Roman" w:hAnsi="Times New Roman"/>
          <w:sz w:val="24"/>
          <w:szCs w:val="24"/>
          <w:shd w:val="clear" w:color="auto" w:fill="FFFFFF"/>
        </w:rPr>
      </w:pPr>
    </w:p>
    <w:p w14:paraId="38713BE5" w14:textId="77777777" w:rsidR="00291569" w:rsidRDefault="00291569" w:rsidP="00291569">
      <w:pPr>
        <w:pStyle w:val="NoSpacing"/>
        <w:ind w:left="1440"/>
        <w:rPr>
          <w:rFonts w:ascii="Times New Roman" w:hAnsi="Times New Roman"/>
          <w:sz w:val="24"/>
          <w:szCs w:val="24"/>
          <w:shd w:val="clear" w:color="auto" w:fill="FFFFFF"/>
        </w:rPr>
      </w:pPr>
      <w:r w:rsidRPr="007F35C2">
        <w:rPr>
          <w:rFonts w:ascii="Times New Roman" w:hAnsi="Times New Roman"/>
          <w:sz w:val="24"/>
          <w:szCs w:val="24"/>
          <w:shd w:val="clear" w:color="auto" w:fill="FFFFFF"/>
        </w:rPr>
        <w:t>The Quicksand Fire Department, we do not feel, was</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capable to fall with the incident command structure and</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keep themselves or somebody else from getting hurt or</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killed on that fire. The fire on Main Street was not your</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average, everyday single-wide trailer fire that you would</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go to. That building, that large with that much smoke</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buildup, and that much fire involvement could easily get</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somebody hurt or killed. With previous experience with</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Quicksand, they have put – and they do not fall within</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the incident command structure, will not listen to</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anything anybody tells them to do, which violates all</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National Incident Management System practices</w:t>
      </w:r>
      <w:r>
        <w:rPr>
          <w:rFonts w:ascii="Times New Roman" w:hAnsi="Times New Roman"/>
          <w:sz w:val="24"/>
          <w:szCs w:val="24"/>
          <w:shd w:val="clear" w:color="auto" w:fill="FFFFFF"/>
        </w:rPr>
        <w:t>.</w:t>
      </w:r>
    </w:p>
    <w:p w14:paraId="6B139BC0" w14:textId="77777777" w:rsidR="00291569" w:rsidRDefault="00291569" w:rsidP="00291569">
      <w:pPr>
        <w:pStyle w:val="NoSpacing"/>
        <w:ind w:left="1440"/>
        <w:rPr>
          <w:rFonts w:ascii="Times New Roman" w:hAnsi="Times New Roman"/>
          <w:sz w:val="24"/>
          <w:szCs w:val="24"/>
          <w:shd w:val="clear" w:color="auto" w:fill="FFFFFF"/>
        </w:rPr>
      </w:pPr>
    </w:p>
    <w:p w14:paraId="6A4B139A"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5D3BE8B7" w14:textId="77777777" w:rsidR="00291569" w:rsidRDefault="00291569" w:rsidP="00291569">
      <w:pPr>
        <w:pStyle w:val="NoSpacing"/>
        <w:ind w:left="720"/>
        <w:rPr>
          <w:rFonts w:ascii="Times New Roman" w:hAnsi="Times New Roman"/>
          <w:sz w:val="24"/>
          <w:szCs w:val="24"/>
          <w:shd w:val="clear" w:color="auto" w:fill="FFFFFF"/>
        </w:rPr>
      </w:pPr>
    </w:p>
    <w:p w14:paraId="5E5B924A" w14:textId="77777777" w:rsidR="00291569" w:rsidRDefault="00291569" w:rsidP="00291569">
      <w:pPr>
        <w:pStyle w:val="NoSpacing"/>
        <w:ind w:left="720"/>
        <w:rPr>
          <w:rFonts w:ascii="Times New Roman" w:hAnsi="Times New Roman"/>
          <w:sz w:val="24"/>
          <w:szCs w:val="24"/>
          <w:shd w:val="clear" w:color="auto" w:fill="FFFFFF"/>
        </w:rPr>
      </w:pPr>
      <w:r w:rsidRPr="00897E8C">
        <w:rPr>
          <w:rFonts w:ascii="Times New Roman" w:hAnsi="Times New Roman"/>
          <w:sz w:val="24"/>
          <w:szCs w:val="24"/>
          <w:shd w:val="clear" w:color="auto" w:fill="FFFFFF"/>
        </w:rPr>
        <w:t>Combs was unable to show a breach of any ministerial duty to inspect</w:t>
      </w:r>
      <w:r>
        <w:rPr>
          <w:rFonts w:ascii="Times New Roman" w:hAnsi="Times New Roman"/>
          <w:sz w:val="24"/>
          <w:szCs w:val="24"/>
          <w:shd w:val="clear" w:color="auto" w:fill="FFFFFF"/>
        </w:rPr>
        <w:t xml:space="preserve"> </w:t>
      </w:r>
      <w:r w:rsidRPr="00897E8C">
        <w:rPr>
          <w:rFonts w:ascii="Times New Roman" w:hAnsi="Times New Roman"/>
          <w:sz w:val="24"/>
          <w:szCs w:val="24"/>
          <w:shd w:val="clear" w:color="auto" w:fill="FFFFFF"/>
        </w:rPr>
        <w:t>and maintain the fire hydrants in the city by Deaton in his job of fire chief nor any</w:t>
      </w:r>
      <w:r>
        <w:rPr>
          <w:rFonts w:ascii="Times New Roman" w:hAnsi="Times New Roman"/>
          <w:sz w:val="24"/>
          <w:szCs w:val="24"/>
          <w:shd w:val="clear" w:color="auto" w:fill="FFFFFF"/>
        </w:rPr>
        <w:t xml:space="preserve"> </w:t>
      </w:r>
      <w:r w:rsidRPr="00897E8C">
        <w:rPr>
          <w:rFonts w:ascii="Times New Roman" w:hAnsi="Times New Roman"/>
          <w:sz w:val="24"/>
          <w:szCs w:val="24"/>
          <w:shd w:val="clear" w:color="auto" w:fill="FFFFFF"/>
        </w:rPr>
        <w:t>causation between the water available at the location of the hydrant as compared to</w:t>
      </w:r>
      <w:r>
        <w:rPr>
          <w:rFonts w:ascii="Times New Roman" w:hAnsi="Times New Roman"/>
          <w:sz w:val="24"/>
          <w:szCs w:val="24"/>
          <w:shd w:val="clear" w:color="auto" w:fill="FFFFFF"/>
        </w:rPr>
        <w:t xml:space="preserve"> </w:t>
      </w:r>
      <w:r w:rsidRPr="00897E8C">
        <w:rPr>
          <w:rFonts w:ascii="Times New Roman" w:hAnsi="Times New Roman"/>
          <w:sz w:val="24"/>
          <w:szCs w:val="24"/>
          <w:shd w:val="clear" w:color="auto" w:fill="FFFFFF"/>
        </w:rPr>
        <w:t>other water sources.</w:t>
      </w:r>
      <w:r>
        <w:rPr>
          <w:rFonts w:ascii="Times New Roman" w:hAnsi="Times New Roman"/>
          <w:sz w:val="24"/>
          <w:szCs w:val="24"/>
          <w:shd w:val="clear" w:color="auto" w:fill="FFFFFF"/>
        </w:rPr>
        <w:t>”</w:t>
      </w:r>
    </w:p>
    <w:p w14:paraId="0C496BD5" w14:textId="77777777" w:rsidR="00291569" w:rsidRDefault="00291569" w:rsidP="002B1283">
      <w:pPr>
        <w:rPr>
          <w:rStyle w:val="Hyperlink"/>
          <w:rFonts w:ascii="Arial Black" w:hAnsi="Arial Black"/>
          <w:b/>
          <w:color w:val="auto"/>
          <w:sz w:val="24"/>
          <w:szCs w:val="24"/>
          <w:u w:val="none"/>
        </w:rPr>
      </w:pPr>
    </w:p>
    <w:p w14:paraId="5FDCA7DD" w14:textId="77777777" w:rsidR="0038005B" w:rsidRDefault="0038005B" w:rsidP="0038005B">
      <w:pPr>
        <w:pStyle w:val="NoSpacing"/>
        <w:rPr>
          <w:rFonts w:ascii="Times New Roman" w:hAnsi="Times New Roman"/>
          <w:b/>
          <w:bCs/>
          <w:sz w:val="24"/>
          <w:szCs w:val="24"/>
          <w:shd w:val="clear" w:color="auto" w:fill="FFFFFF"/>
        </w:rPr>
      </w:pPr>
      <w:r w:rsidRPr="00011B41">
        <w:rPr>
          <w:rFonts w:ascii="Times New Roman" w:hAnsi="Times New Roman"/>
          <w:b/>
          <w:bCs/>
          <w:sz w:val="24"/>
          <w:szCs w:val="24"/>
          <w:shd w:val="clear" w:color="auto" w:fill="FFFFFF"/>
        </w:rPr>
        <w:t xml:space="preserve">Legal Lesson Learned: </w:t>
      </w:r>
      <w:r>
        <w:rPr>
          <w:rFonts w:ascii="Times New Roman" w:hAnsi="Times New Roman"/>
          <w:b/>
          <w:bCs/>
          <w:sz w:val="24"/>
          <w:szCs w:val="24"/>
          <w:shd w:val="clear" w:color="auto" w:fill="FFFFFF"/>
        </w:rPr>
        <w:t xml:space="preserve">Fire Chief has qualified immunity in making discretionary decisions in good faith, including rejecting mutual aid from </w:t>
      </w:r>
      <w:proofErr w:type="gramStart"/>
      <w:r>
        <w:rPr>
          <w:rFonts w:ascii="Times New Roman" w:hAnsi="Times New Roman"/>
          <w:b/>
          <w:bCs/>
          <w:sz w:val="24"/>
          <w:szCs w:val="24"/>
          <w:shd w:val="clear" w:color="auto" w:fill="FFFFFF"/>
        </w:rPr>
        <w:t>a FD</w:t>
      </w:r>
      <w:proofErr w:type="gramEnd"/>
      <w:r>
        <w:rPr>
          <w:rFonts w:ascii="Times New Roman" w:hAnsi="Times New Roman"/>
          <w:b/>
          <w:bCs/>
          <w:sz w:val="24"/>
          <w:szCs w:val="24"/>
          <w:shd w:val="clear" w:color="auto" w:fill="FFFFFF"/>
        </w:rPr>
        <w:t xml:space="preserve"> that does not follow incident command. </w:t>
      </w:r>
    </w:p>
    <w:p w14:paraId="135FDE37" w14:textId="77777777" w:rsidR="0038005B" w:rsidRDefault="0038005B" w:rsidP="002B1283">
      <w:pPr>
        <w:rPr>
          <w:rStyle w:val="Hyperlink"/>
          <w:rFonts w:ascii="Arial Black" w:hAnsi="Arial Black"/>
          <w:b/>
          <w:color w:val="auto"/>
          <w:sz w:val="24"/>
          <w:szCs w:val="24"/>
          <w:u w:val="none"/>
        </w:rPr>
      </w:pPr>
    </w:p>
    <w:p w14:paraId="16CCE250" w14:textId="77777777" w:rsidR="00291569" w:rsidRDefault="00291569" w:rsidP="002B1283">
      <w:pPr>
        <w:rPr>
          <w:rStyle w:val="Hyperlink"/>
          <w:rFonts w:ascii="Arial Black" w:hAnsi="Arial Black"/>
          <w:b/>
          <w:color w:val="auto"/>
          <w:sz w:val="24"/>
          <w:szCs w:val="24"/>
          <w:u w:val="none"/>
        </w:rPr>
      </w:pPr>
    </w:p>
    <w:p w14:paraId="56C6B570" w14:textId="680EB1EE" w:rsidR="00DA1A0E" w:rsidRDefault="00DA1A0E"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4-38</w:t>
      </w:r>
    </w:p>
    <w:p w14:paraId="6145F2A6" w14:textId="65A93D2E" w:rsidR="004854DD" w:rsidRPr="00346517" w:rsidRDefault="004854DD" w:rsidP="004854DD">
      <w:pPr>
        <w:pStyle w:val="NormalWeb"/>
        <w:rPr>
          <w:rFonts w:ascii="Arial Black" w:hAnsi="Arial Black"/>
          <w:sz w:val="28"/>
          <w:szCs w:val="28"/>
        </w:rPr>
      </w:pPr>
      <w:r>
        <w:rPr>
          <w:rFonts w:ascii="Arial Black" w:hAnsi="Arial Black"/>
          <w:sz w:val="28"/>
          <w:szCs w:val="28"/>
        </w:rPr>
        <w:t>NC: FIRE 2-STORY BLDG – 4 TEENAGERS DIED -  911 “HUNKER DOWN” – $9 MILLION – 2 INSUR. CO. PAY</w:t>
      </w:r>
    </w:p>
    <w:p w14:paraId="537AAA83" w14:textId="77777777" w:rsidR="004854DD" w:rsidRDefault="004854DD" w:rsidP="004854DD">
      <w:pPr>
        <w:pStyle w:val="NormalWeb"/>
      </w:pPr>
      <w:r>
        <w:t xml:space="preserve">On March 13, 2024, </w:t>
      </w:r>
      <w:r w:rsidRPr="009D242E">
        <w:rPr>
          <w:u w:val="single"/>
        </w:rPr>
        <w:t xml:space="preserve">in </w:t>
      </w:r>
      <w:proofErr w:type="spellStart"/>
      <w:r w:rsidRPr="009D242E">
        <w:rPr>
          <w:u w:val="single"/>
        </w:rPr>
        <w:t>Velers</w:t>
      </w:r>
      <w:proofErr w:type="spellEnd"/>
      <w:r w:rsidRPr="009D242E">
        <w:rPr>
          <w:u w:val="single"/>
        </w:rPr>
        <w:t xml:space="preserve"> Indemnity The Travelers Indemnity Company v. American Alternative Insurance Corporation</w:t>
      </w:r>
      <w:r>
        <w:t>, United States District Court Judge Loretta C. Biggs, U.S. District Court for Middle District of North Carolina, held that after Travelers (insured Surry County) settled for policy limit ($9 million), is entitled to $1 million contribution from AAIC (insured Surry County Emergency Services) for the May 20, 2019 fire at two-story apartment building where four teenagers died of smoke inhalation. The 911 Dispatcher advised the caller to “hunker down and shelter in place,” promising that she and the other Victims would be rescued.  Court agreed with Travelers that the 911 Operators were performing operations “incidental to” the emergency services provided by S.C. Emergency Services and are therefore covered by the AAIC policies.</w:t>
      </w:r>
    </w:p>
    <w:p w14:paraId="1EC08086"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23EC461F" w14:textId="77777777" w:rsidR="004854DD" w:rsidRDefault="004854DD" w:rsidP="004854DD">
      <w:pPr>
        <w:pStyle w:val="NormalWeb"/>
        <w:ind w:left="720"/>
      </w:pPr>
      <w:r>
        <w:t>“Plaintiff The Travelers Indemnity Company (‘Travelers’) initiated this action under the Declaratory Judgment Act, 28 U.S.C. § 2201, seeking a declaratory judgment against American Alternative Insurance Corporation (‘AAIC’), alleging that AAIC failed to fulfill its obligation to contribute to the defense and settlement of two underlying state actions involving AAIC's insured, Surry County, and its employees.</w:t>
      </w:r>
    </w:p>
    <w:p w14:paraId="3A4AE7A2" w14:textId="77777777" w:rsidR="004854DD" w:rsidRDefault="004854DD" w:rsidP="004854DD">
      <w:pPr>
        <w:pStyle w:val="NormalWeb"/>
        <w:ind w:left="720"/>
      </w:pPr>
      <w:r>
        <w:t>***</w:t>
      </w:r>
    </w:p>
    <w:p w14:paraId="66A4F98E" w14:textId="77777777" w:rsidR="004854DD" w:rsidRDefault="004854DD" w:rsidP="004854DD">
      <w:pPr>
        <w:pStyle w:val="NormalWeb"/>
        <w:ind w:left="720"/>
      </w:pPr>
      <w:r>
        <w:t>In sum, the Court concludes that AAIC is required to contribute to the settlement of the Underlying Lawsuits with respect to its AAIC General Liability Policy in the amount of $1,000,000.”</w:t>
      </w:r>
    </w:p>
    <w:p w14:paraId="0B608483" w14:textId="77777777" w:rsidR="004854DD" w:rsidRPr="00396FA2" w:rsidRDefault="004854DD" w:rsidP="004854DD">
      <w:pPr>
        <w:pStyle w:val="NormalWeb"/>
        <w:rPr>
          <w:b/>
          <w:bCs/>
        </w:rPr>
      </w:pPr>
      <w:r w:rsidRPr="00396FA2">
        <w:rPr>
          <w:b/>
          <w:bCs/>
        </w:rPr>
        <w:lastRenderedPageBreak/>
        <w:t>Legal Lesson Learned</w:t>
      </w:r>
      <w:r>
        <w:rPr>
          <w:b/>
          <w:bCs/>
        </w:rPr>
        <w:t>: 911 Dispatchers should review their policy regarding advice to victims trapped in 2</w:t>
      </w:r>
      <w:r w:rsidRPr="00396FA2">
        <w:rPr>
          <w:b/>
          <w:bCs/>
          <w:vertAlign w:val="superscript"/>
        </w:rPr>
        <w:t>nd</w:t>
      </w:r>
      <w:r>
        <w:rPr>
          <w:b/>
          <w:bCs/>
        </w:rPr>
        <w:t xml:space="preserve"> floor apartment fire. </w:t>
      </w:r>
    </w:p>
    <w:p w14:paraId="10C85728" w14:textId="77777777" w:rsidR="004854DD" w:rsidRDefault="004854DD" w:rsidP="004854DD">
      <w:pPr>
        <w:pStyle w:val="NormalWeb"/>
        <w:rPr>
          <w:rFonts w:ascii="Arial Black" w:hAnsi="Arial Black"/>
          <w:sz w:val="28"/>
          <w:szCs w:val="28"/>
        </w:rPr>
      </w:pPr>
    </w:p>
    <w:p w14:paraId="4B894895" w14:textId="77777777" w:rsidR="004854DD" w:rsidRDefault="004854DD" w:rsidP="002B1283">
      <w:pPr>
        <w:rPr>
          <w:rStyle w:val="Hyperlink"/>
          <w:rFonts w:ascii="Arial Black" w:hAnsi="Arial Black"/>
          <w:b/>
          <w:color w:val="auto"/>
          <w:sz w:val="24"/>
          <w:szCs w:val="24"/>
          <w:u w:val="none"/>
        </w:rPr>
      </w:pPr>
    </w:p>
    <w:p w14:paraId="670DCF69" w14:textId="77777777" w:rsidR="00DA1A0E" w:rsidRDefault="00DA1A0E" w:rsidP="002B1283">
      <w:pPr>
        <w:rPr>
          <w:rStyle w:val="Hyperlink"/>
          <w:rFonts w:ascii="Arial Black" w:hAnsi="Arial Black"/>
          <w:b/>
          <w:color w:val="auto"/>
          <w:sz w:val="24"/>
          <w:szCs w:val="24"/>
          <w:u w:val="none"/>
        </w:rPr>
      </w:pPr>
    </w:p>
    <w:p w14:paraId="65E445A6" w14:textId="1E4F6621" w:rsidR="005E33B5" w:rsidRDefault="005E33B5"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4-37</w:t>
      </w:r>
    </w:p>
    <w:p w14:paraId="7AB8273E" w14:textId="77777777" w:rsidR="002D4402" w:rsidRPr="00A00DF4" w:rsidRDefault="002D4402" w:rsidP="002D4402">
      <w:pPr>
        <w:pStyle w:val="NormalWeb"/>
        <w:rPr>
          <w:rFonts w:ascii="Arial Black" w:hAnsi="Arial Black"/>
          <w:sz w:val="28"/>
          <w:szCs w:val="28"/>
        </w:rPr>
      </w:pPr>
      <w:r>
        <w:rPr>
          <w:rFonts w:ascii="Arial Black" w:hAnsi="Arial Black"/>
          <w:sz w:val="28"/>
          <w:szCs w:val="28"/>
        </w:rPr>
        <w:t xml:space="preserve">TX: MAN INVADES HOME - POLICE EXPLOSIVE DEVICES, SUICIDE – JURY $60K DAMAGE – REVERSED – EMERGENCY </w:t>
      </w:r>
    </w:p>
    <w:p w14:paraId="05C680D2" w14:textId="3F5B37AF" w:rsidR="002D4402" w:rsidRDefault="002D4402" w:rsidP="002D4402">
      <w:pPr>
        <w:pStyle w:val="NormalWeb"/>
      </w:pPr>
      <w:r>
        <w:t xml:space="preserve">On Feb. 14, 2024, in </w:t>
      </w:r>
      <w:r w:rsidRPr="00001DEA">
        <w:rPr>
          <w:u w:val="single"/>
        </w:rPr>
        <w:t>Vickie Baker v. City of McKinney, Texas</w:t>
      </w:r>
      <w:r>
        <w:t xml:space="preserve">, the U.S. Court of Appeals for Fifth Circuit (New Orleans) refused to re-hear </w:t>
      </w:r>
      <w:proofErr w:type="spellStart"/>
      <w:r>
        <w:t>en</w:t>
      </w:r>
      <w:proofErr w:type="spellEnd"/>
      <w:r>
        <w:t xml:space="preserve"> banc (all the judges; 11 voted against re-hearing; 6 voted for rehearing) the home owner’s appeal to 3-judge panel decision that the City does not need to reimburse her for damage they caused because it was an emergency response to protect the public.  Her homeowner’s insurance also denied coverage under the terms of its policy.  </w:t>
      </w:r>
      <w:hyperlink r:id="rId839" w:history="1">
        <w:r w:rsidR="008D1A90" w:rsidRPr="008D12DC">
          <w:rPr>
            <w:rStyle w:val="Hyperlink"/>
          </w:rPr>
          <w:t>https://caselaw.findlaw.com/court/us-5th-circuit/115838888.html</w:t>
        </w:r>
      </w:hyperlink>
      <w:r w:rsidR="008D1A90">
        <w:t xml:space="preserve"> </w:t>
      </w:r>
    </w:p>
    <w:p w14:paraId="05FB0945" w14:textId="63DFDB24" w:rsidR="00E65362" w:rsidRDefault="00E65362" w:rsidP="002D4402">
      <w:pPr>
        <w:pStyle w:val="NormalWeb"/>
      </w:pPr>
      <w:r w:rsidRPr="00E65362">
        <w:t xml:space="preserve">84 F.4th 378 (5th Cir. 2023), </w:t>
      </w:r>
      <w:r w:rsidRPr="00E65362">
        <w:rPr>
          <w:i/>
          <w:iCs/>
        </w:rPr>
        <w:t>reh’g denied</w:t>
      </w:r>
      <w:r w:rsidRPr="00E65362">
        <w:t>, 93 F.4th 251 (5th Cir. 2024).</w:t>
      </w:r>
    </w:p>
    <w:p w14:paraId="2B489F2E" w14:textId="77777777" w:rsidR="002D4402" w:rsidRDefault="002D4402" w:rsidP="002D4402">
      <w:pPr>
        <w:pStyle w:val="NormalWeb"/>
      </w:pPr>
      <w:r>
        <w:t xml:space="preserve">Three judges’ dissenting opinion: </w:t>
      </w:r>
    </w:p>
    <w:p w14:paraId="1C0F659B" w14:textId="77777777" w:rsidR="002D4402" w:rsidRDefault="002D4402" w:rsidP="002D4402">
      <w:pPr>
        <w:pStyle w:val="NormalWeb"/>
        <w:ind w:left="720"/>
      </w:pPr>
      <w:r>
        <w:t>“</w:t>
      </w:r>
      <w:proofErr w:type="gramStart"/>
      <w:r>
        <w:t>So</w:t>
      </w:r>
      <w:proofErr w:type="gramEnd"/>
      <w:r>
        <w:t xml:space="preserve"> Vicki Baker understandably invoked that [Fifth] Amendment to recover from the City of McKinney the tens of thousands of dollars of property damage she suffered </w:t>
      </w:r>
      <w:proofErr w:type="gramStart"/>
      <w:r>
        <w:t>as a result of</w:t>
      </w:r>
      <w:proofErr w:type="gramEnd"/>
      <w:r>
        <w:t xml:space="preserve"> McKinney police efforts to protect the community from a fugitive that sought cover in her home. The (3-judge) panel expressed ‘sympathy’ for Baker. But it denied her claim based on the novel holding that history and tradition recognize a ‘necessity’ exception to the otherwise broad protections of the Takings Clause. We are unsure whether such a privilege exists. Even if it does, we find the panel's reasoning unsatisfactory—perhaps unsurprisingly because the panel reached its ostensibly originalist conclusion without the benefit of briefing on the historical evidence. We therefore respectfully regret this court's decision to deny rehearing </w:t>
      </w:r>
      <w:proofErr w:type="spellStart"/>
      <w:r>
        <w:t>en</w:t>
      </w:r>
      <w:proofErr w:type="spellEnd"/>
      <w:r>
        <w:t xml:space="preserve"> banc.”</w:t>
      </w:r>
    </w:p>
    <w:p w14:paraId="579E4567" w14:textId="77777777" w:rsidR="002D4402" w:rsidRPr="00E50C20" w:rsidRDefault="002D4402" w:rsidP="002D4402">
      <w:pPr>
        <w:pStyle w:val="NormalWeb"/>
        <w:rPr>
          <w:b/>
          <w:bCs/>
        </w:rPr>
      </w:pPr>
      <w:r w:rsidRPr="00E50C20">
        <w:rPr>
          <w:b/>
          <w:bCs/>
        </w:rPr>
        <w:t xml:space="preserve">Legal Lesson Learned: </w:t>
      </w:r>
      <w:r>
        <w:rPr>
          <w:b/>
          <w:bCs/>
        </w:rPr>
        <w:t xml:space="preserve">Courts have long recognized the emergency exception for municipal  tort liability. </w:t>
      </w:r>
    </w:p>
    <w:p w14:paraId="6DD95CA7" w14:textId="77777777" w:rsidR="002D4402" w:rsidRDefault="002D4402" w:rsidP="002D4402">
      <w:pPr>
        <w:pStyle w:val="NormalWeb"/>
        <w:ind w:left="720"/>
      </w:pPr>
      <w:r>
        <w:t>Note:   The Court in this case referenced history of stooping spread of fires in London by taking down neighboring buildings.</w:t>
      </w:r>
    </w:p>
    <w:p w14:paraId="46C46383" w14:textId="77777777" w:rsidR="002D4402" w:rsidRDefault="002D4402" w:rsidP="002D4402">
      <w:pPr>
        <w:pStyle w:val="NormalWeb"/>
        <w:ind w:left="1440"/>
      </w:pPr>
      <w:r>
        <w:t xml:space="preserve">“The destruction wrought by municipal fires before the rise of modern fire codes was often great, see </w:t>
      </w:r>
      <w:proofErr w:type="spellStart"/>
      <w:r>
        <w:t>Respublica</w:t>
      </w:r>
      <w:proofErr w:type="spellEnd"/>
      <w:r>
        <w:t xml:space="preserve">, 1 U.S. at 363 (noting half of London was burnt in the great fire of 1666), and the razing of buildings was the principal means to stop the spread. But razing buildings </w:t>
      </w:r>
      <w:proofErr w:type="gramStart"/>
      <w:r>
        <w:t>is</w:t>
      </w:r>
      <w:proofErr w:type="gramEnd"/>
      <w:r>
        <w:t xml:space="preserve"> tortious. </w:t>
      </w:r>
      <w:proofErr w:type="gramStart"/>
      <w:r>
        <w:t>So</w:t>
      </w:r>
      <w:proofErr w:type="gramEnd"/>
      <w:r>
        <w:t xml:space="preserve"> absent some privilege, an individual—whether a public official or a private citizen—who razed a building would be individually liable in tort. Obviously, a rule that stuck individuals with liability for interventions taken to halt conflagrations would deter public promoting behavior from all but the most heroic, no matter how much good could have been achieved through a well-calculated intervention. And it would seem unfair to hold people liable for doing what was necessary to cope with an emergency. So common law courts fashioned a rule to allow individuals to tear down property when doing so was reasonably necessary to prevent the spread of a fire. See Field, 39 Iowa at 577– 78 (citing, inter alia, Mouse's Case, 12 Coke Rep. 63 </w:t>
      </w:r>
      <w:r>
        <w:lastRenderedPageBreak/>
        <w:t xml:space="preserve">(1608)); see also Bowditch v. Boston, 101 U.S. 16, 25 </w:t>
      </w:r>
      <w:proofErr w:type="spellStart"/>
      <w:r>
        <w:t>L.Ed</w:t>
      </w:r>
      <w:proofErr w:type="spellEnd"/>
      <w:r>
        <w:t>. 980 (1879) (finding a public necessity privilege in Massachusetts law).”</w:t>
      </w:r>
    </w:p>
    <w:p w14:paraId="772A6158" w14:textId="77777777" w:rsidR="002D4402" w:rsidRDefault="002D4402" w:rsidP="002D4402">
      <w:pPr>
        <w:pStyle w:val="NormalWeb"/>
        <w:ind w:left="720"/>
      </w:pPr>
      <w:r>
        <w:t xml:space="preserve">Read the Oct. 11, </w:t>
      </w:r>
      <w:proofErr w:type="gramStart"/>
      <w:r>
        <w:t>2023</w:t>
      </w:r>
      <w:proofErr w:type="gramEnd"/>
      <w:r>
        <w:t xml:space="preserve"> panel decision: </w:t>
      </w:r>
      <w:hyperlink r:id="rId840" w:history="1">
        <w:r w:rsidRPr="00E007C4">
          <w:rPr>
            <w:rStyle w:val="Hyperlink"/>
          </w:rPr>
          <w:t>https://cases.justia.com/federal/appellate-courts/ca5/22-40644/22-40644-2023-10-11.pdf?ts=1697067069</w:t>
        </w:r>
      </w:hyperlink>
      <w:r>
        <w:t xml:space="preserve"> </w:t>
      </w:r>
    </w:p>
    <w:p w14:paraId="2E74A390" w14:textId="2409239F" w:rsidR="002C0E67" w:rsidRDefault="00E66578" w:rsidP="002D4402">
      <w:pPr>
        <w:pStyle w:val="NormalWeb"/>
        <w:ind w:left="720"/>
      </w:pPr>
      <w:r>
        <w:t xml:space="preserve">See Harvard Law School article, June 2024. </w:t>
      </w:r>
      <w:hyperlink r:id="rId841" w:history="1">
        <w:r w:rsidR="00EC5C38" w:rsidRPr="008D12DC">
          <w:rPr>
            <w:rStyle w:val="Hyperlink"/>
          </w:rPr>
          <w:t>https://harvardlawreview.org/print/vol-137/baker-v-city-of-mckinney/</w:t>
        </w:r>
      </w:hyperlink>
      <w:r w:rsidR="00EC5C38">
        <w:t xml:space="preserve"> </w:t>
      </w:r>
    </w:p>
    <w:p w14:paraId="18583D89" w14:textId="2CC5CFDB" w:rsidR="005E33B5" w:rsidRPr="00146711" w:rsidRDefault="00146711" w:rsidP="00146711">
      <w:pPr>
        <w:ind w:left="720"/>
        <w:rPr>
          <w:rStyle w:val="Hyperlink"/>
          <w:rFonts w:ascii="Times New Roman" w:hAnsi="Times New Roman"/>
          <w:bCs/>
          <w:color w:val="auto"/>
          <w:sz w:val="24"/>
          <w:szCs w:val="24"/>
          <w:u w:val="none"/>
        </w:rPr>
      </w:pPr>
      <w:r w:rsidRPr="00146711">
        <w:rPr>
          <w:rStyle w:val="Hyperlink"/>
          <w:rFonts w:ascii="Times New Roman" w:hAnsi="Times New Roman"/>
          <w:bCs/>
          <w:color w:val="auto"/>
          <w:sz w:val="24"/>
          <w:szCs w:val="24"/>
          <w:u w:val="none"/>
        </w:rPr>
        <w:t xml:space="preserve">See amicus brief, Aug. 1, </w:t>
      </w:r>
      <w:proofErr w:type="gramStart"/>
      <w:r w:rsidRPr="00146711">
        <w:rPr>
          <w:rStyle w:val="Hyperlink"/>
          <w:rFonts w:ascii="Times New Roman" w:hAnsi="Times New Roman"/>
          <w:bCs/>
          <w:color w:val="auto"/>
          <w:sz w:val="24"/>
          <w:szCs w:val="24"/>
          <w:u w:val="none"/>
        </w:rPr>
        <w:t>2024</w:t>
      </w:r>
      <w:proofErr w:type="gramEnd"/>
      <w:r w:rsidRPr="00146711">
        <w:rPr>
          <w:rStyle w:val="Hyperlink"/>
          <w:rFonts w:ascii="Times New Roman" w:hAnsi="Times New Roman"/>
          <w:bCs/>
          <w:color w:val="auto"/>
          <w:sz w:val="24"/>
          <w:szCs w:val="24"/>
          <w:u w:val="none"/>
        </w:rPr>
        <w:t xml:space="preserve"> filed with U.S. Supreme Court: </w:t>
      </w:r>
      <w:hyperlink r:id="rId842" w:history="1">
        <w:r w:rsidRPr="008D12DC">
          <w:rPr>
            <w:rStyle w:val="Hyperlink"/>
            <w:rFonts w:ascii="Times New Roman" w:hAnsi="Times New Roman"/>
            <w:bCs/>
            <w:sz w:val="24"/>
            <w:szCs w:val="24"/>
          </w:rPr>
          <w:t>https://www.supremecourt.gov/DocketPDF/23/23-1363/321368/20240801101848884_Baker%20v.%20City%20of%20McKinney_%20Texas%20-%20Amicus%20Brief%20in%20Support%20of%20Petitioner.pdf</w:t>
        </w:r>
      </w:hyperlink>
      <w:r w:rsidRPr="00146711">
        <w:rPr>
          <w:rStyle w:val="Hyperlink"/>
          <w:rFonts w:ascii="Times New Roman" w:hAnsi="Times New Roman"/>
          <w:bCs/>
          <w:color w:val="auto"/>
          <w:sz w:val="24"/>
          <w:szCs w:val="24"/>
          <w:u w:val="none"/>
        </w:rPr>
        <w:t xml:space="preserve"> </w:t>
      </w:r>
    </w:p>
    <w:p w14:paraId="774DBEA4" w14:textId="0CA7B1AF" w:rsidR="00233F5D" w:rsidRDefault="00B83C64"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4-36</w:t>
      </w:r>
    </w:p>
    <w:p w14:paraId="15683429" w14:textId="77777777" w:rsidR="008041EF" w:rsidRPr="00CE417E" w:rsidRDefault="008041EF" w:rsidP="008041EF">
      <w:pPr>
        <w:pStyle w:val="NormalWeb"/>
        <w:rPr>
          <w:rFonts w:ascii="Arial Black" w:hAnsi="Arial Black"/>
          <w:sz w:val="28"/>
          <w:szCs w:val="28"/>
        </w:rPr>
      </w:pPr>
      <w:r>
        <w:rPr>
          <w:rFonts w:ascii="Arial Black" w:hAnsi="Arial Black"/>
          <w:sz w:val="28"/>
          <w:szCs w:val="28"/>
        </w:rPr>
        <w:t>NV: FOREST FIRE – FIRST 11 DAYS FOREST SERVICE ONLY “MONITORED” - 18 PROPERTY OWNERS – CASE DISMISSED</w:t>
      </w:r>
    </w:p>
    <w:p w14:paraId="59A5B480" w14:textId="77777777" w:rsidR="008041EF" w:rsidRDefault="008041EF" w:rsidP="008041EF">
      <w:pPr>
        <w:pStyle w:val="NormalWeb"/>
      </w:pPr>
      <w:r>
        <w:t xml:space="preserve">On Jan. 23, 2024, in </w:t>
      </w:r>
      <w:r w:rsidRPr="00104D81">
        <w:rPr>
          <w:u w:val="single"/>
        </w:rPr>
        <w:t>Tyrone R. Atwater v. The United States of America</w:t>
      </w:r>
      <w:r>
        <w:t xml:space="preserve">, U.S. District Court Judge William B. </w:t>
      </w:r>
      <w:proofErr w:type="spellStart"/>
      <w:r>
        <w:t>Shubb</w:t>
      </w:r>
      <w:proofErr w:type="spellEnd"/>
      <w:r>
        <w:t xml:space="preserve">, U.S. District Court for Eastern District of California, granted the Government’s motion to dismiss.  Federal Tort Claims Act does not allow claims based on government discretionary decisions, such as “monitoring” a fire in rural area, and only posting one warning on its Facebook page.  </w:t>
      </w:r>
    </w:p>
    <w:p w14:paraId="450A87C3" w14:textId="77777777" w:rsidR="008041EF" w:rsidRDefault="008041EF" w:rsidP="008041EF">
      <w:pPr>
        <w:pStyle w:val="NormalWeb"/>
        <w:ind w:left="720"/>
      </w:pPr>
      <w:r>
        <w:t>“</w:t>
      </w:r>
      <w:r w:rsidRPr="008B4B32">
        <w:t>The decision to adopt the monitoring strategy exudes</w:t>
      </w:r>
      <w:r>
        <w:t xml:space="preserve"> </w:t>
      </w:r>
      <w:r w:rsidRPr="008B4B32">
        <w:t xml:space="preserve">policy deliberations that are </w:t>
      </w:r>
      <w:r>
        <w:t>‘</w:t>
      </w:r>
      <w:r w:rsidRPr="008B4B32">
        <w:t>quintessentially discretionary,</w:t>
      </w:r>
      <w:r>
        <w:t xml:space="preserve">’ </w:t>
      </w:r>
      <w:r w:rsidRPr="008B4B32">
        <w:t>Knezovich, 82 F.4th at 938, and therefore beyond the scrutiny of</w:t>
      </w:r>
      <w:r>
        <w:t xml:space="preserve"> </w:t>
      </w:r>
      <w:r w:rsidRPr="008B4B32">
        <w:t>this court</w:t>
      </w:r>
      <w:r>
        <w:t xml:space="preserve">. </w:t>
      </w:r>
      <w:r w:rsidRPr="008B4B32">
        <w:t>Accordingly, the court will dismiss plaintiffs’</w:t>
      </w:r>
      <w:r>
        <w:t xml:space="preserve"> </w:t>
      </w:r>
      <w:r w:rsidRPr="008B4B32">
        <w:t xml:space="preserve">negligence, negligence per se, and trespass </w:t>
      </w:r>
      <w:proofErr w:type="gramStart"/>
      <w:r w:rsidRPr="008B4B32">
        <w:t>claims.</w:t>
      </w:r>
      <w:r>
        <w:t>”</w:t>
      </w:r>
      <w:proofErr w:type="gramEnd"/>
      <w:r>
        <w:t xml:space="preserve"> </w:t>
      </w:r>
      <w:hyperlink r:id="rId843" w:history="1">
        <w:r w:rsidRPr="00523F27">
          <w:rPr>
            <w:rStyle w:val="Hyperlink"/>
          </w:rPr>
          <w:t>https://cases.justia.com/federal/district-courts/california/caedce/2:2023cv01147/429644/22/0.pdf?ts=1706172863</w:t>
        </w:r>
      </w:hyperlink>
      <w:r>
        <w:t xml:space="preserve"> </w:t>
      </w:r>
    </w:p>
    <w:p w14:paraId="213B2765" w14:textId="77777777" w:rsidR="00AF2973" w:rsidRDefault="00AF2973" w:rsidP="00AF2973">
      <w:pPr>
        <w:pStyle w:val="NormalWeb"/>
        <w:rPr>
          <w:b/>
          <w:bCs/>
        </w:rPr>
      </w:pPr>
      <w:r w:rsidRPr="005B048C">
        <w:rPr>
          <w:b/>
          <w:bCs/>
        </w:rPr>
        <w:t xml:space="preserve">Legal Lesson Learned: </w:t>
      </w:r>
      <w:r>
        <w:rPr>
          <w:b/>
          <w:bCs/>
        </w:rPr>
        <w:t xml:space="preserve">Discretionary decisions on when to let forest fire burn, and what notice to provide to public, are exceptions to Federal Tort Claims Act. </w:t>
      </w:r>
    </w:p>
    <w:p w14:paraId="05D66838" w14:textId="77777777" w:rsidR="00B83C64" w:rsidRDefault="00B83C64" w:rsidP="002B1283">
      <w:pPr>
        <w:rPr>
          <w:rStyle w:val="Hyperlink"/>
          <w:rFonts w:ascii="Arial Black" w:hAnsi="Arial Black"/>
          <w:b/>
          <w:color w:val="auto"/>
          <w:sz w:val="24"/>
          <w:szCs w:val="24"/>
          <w:u w:val="none"/>
        </w:rPr>
      </w:pPr>
    </w:p>
    <w:p w14:paraId="0C340365" w14:textId="77777777" w:rsidR="00B83C64" w:rsidRDefault="00B83C64" w:rsidP="002B1283">
      <w:pPr>
        <w:rPr>
          <w:rStyle w:val="Hyperlink"/>
          <w:rFonts w:ascii="Arial Black" w:hAnsi="Arial Black"/>
          <w:b/>
          <w:color w:val="auto"/>
          <w:sz w:val="24"/>
          <w:szCs w:val="24"/>
          <w:u w:val="none"/>
        </w:rPr>
      </w:pPr>
    </w:p>
    <w:p w14:paraId="5DB72DA1" w14:textId="0D68E55E" w:rsidR="00233F5D" w:rsidRDefault="00233F5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4-35</w:t>
      </w:r>
    </w:p>
    <w:p w14:paraId="61A0B5CE" w14:textId="77777777" w:rsidR="002917C5" w:rsidRPr="00EF2302" w:rsidRDefault="002917C5" w:rsidP="002917C5">
      <w:pPr>
        <w:pStyle w:val="NormalWeb"/>
        <w:rPr>
          <w:rFonts w:ascii="Arial Black" w:hAnsi="Arial Black"/>
          <w:sz w:val="28"/>
          <w:szCs w:val="28"/>
        </w:rPr>
      </w:pPr>
      <w:r>
        <w:rPr>
          <w:rFonts w:ascii="Arial Black" w:hAnsi="Arial Black"/>
          <w:sz w:val="28"/>
          <w:szCs w:val="28"/>
        </w:rPr>
        <w:t xml:space="preserve">IN: NEW “BUFFER LAW” UPHELD – POLICE CAN ORDER CITIZENS, INCLUDING WITH CAMERAS - BACK 25 FEET  </w:t>
      </w:r>
    </w:p>
    <w:p w14:paraId="6D6B9120" w14:textId="77777777" w:rsidR="002917C5" w:rsidRDefault="002917C5" w:rsidP="002917C5">
      <w:pPr>
        <w:pStyle w:val="NormalWeb"/>
      </w:pPr>
      <w:r>
        <w:t xml:space="preserve">On Jan. 12, 2024, in </w:t>
      </w:r>
      <w:r w:rsidRPr="00495A00">
        <w:rPr>
          <w:u w:val="single"/>
        </w:rPr>
        <w:t>Donald Nicodemus v. City of South Bend, Indiana</w:t>
      </w:r>
      <w:r>
        <w:t xml:space="preserve">, U.S. District Court Judge Damon R. Leichty, U.S. District Court for the Northern District of Indiana (South Bend Division) denied the Plaintiff’s motion for a permanent injunction and dismissed the lawsuit. The Court also referenced that Indiana has a “perimeter law” where incident commanders at an emergency scene can set up a perimeter safety zone.  </w:t>
      </w:r>
    </w:p>
    <w:p w14:paraId="52AB6B0A" w14:textId="77777777" w:rsidR="002917C5" w:rsidRDefault="002917C5" w:rsidP="002917C5">
      <w:pPr>
        <w:pStyle w:val="NoSpacing"/>
        <w:ind w:left="720"/>
        <w:rPr>
          <w:rFonts w:ascii="Times New Roman" w:hAnsi="Times New Roman"/>
          <w:sz w:val="24"/>
          <w:szCs w:val="24"/>
        </w:rPr>
      </w:pPr>
      <w:r>
        <w:rPr>
          <w:rFonts w:ascii="Times New Roman" w:hAnsi="Times New Roman"/>
          <w:sz w:val="24"/>
          <w:szCs w:val="24"/>
        </w:rPr>
        <w:lastRenderedPageBreak/>
        <w:t>“</w:t>
      </w:r>
      <w:r w:rsidRPr="004F1D80">
        <w:rPr>
          <w:rFonts w:ascii="Times New Roman" w:hAnsi="Times New Roman"/>
          <w:sz w:val="24"/>
          <w:szCs w:val="24"/>
        </w:rPr>
        <w:t>On July 1, 2023, Indiana’s so-called buffer law took effect, criminalizing as a misdemeanor a</w:t>
      </w:r>
      <w:r>
        <w:rPr>
          <w:rFonts w:ascii="Times New Roman" w:hAnsi="Times New Roman"/>
          <w:sz w:val="24"/>
          <w:szCs w:val="24"/>
        </w:rPr>
        <w:t xml:space="preserve"> </w:t>
      </w:r>
      <w:r w:rsidRPr="004F1D80">
        <w:rPr>
          <w:rFonts w:ascii="Times New Roman" w:hAnsi="Times New Roman"/>
          <w:sz w:val="24"/>
          <w:szCs w:val="24"/>
        </w:rPr>
        <w:t>person’s unlawful encroachment on a police officer’s lawful duties. This buffer law prohibits a person</w:t>
      </w:r>
      <w:r>
        <w:rPr>
          <w:rFonts w:ascii="Times New Roman" w:hAnsi="Times New Roman"/>
          <w:sz w:val="24"/>
          <w:szCs w:val="24"/>
        </w:rPr>
        <w:t xml:space="preserve"> </w:t>
      </w:r>
      <w:r w:rsidRPr="004F1D80">
        <w:rPr>
          <w:rFonts w:ascii="Times New Roman" w:hAnsi="Times New Roman"/>
          <w:sz w:val="24"/>
          <w:szCs w:val="24"/>
        </w:rPr>
        <w:t>from knowingly or intentionally approaching within 25 feet of an officer engaged in his or her lawful</w:t>
      </w:r>
      <w:r>
        <w:rPr>
          <w:rFonts w:ascii="Times New Roman" w:hAnsi="Times New Roman"/>
          <w:sz w:val="24"/>
          <w:szCs w:val="24"/>
        </w:rPr>
        <w:t xml:space="preserve"> </w:t>
      </w:r>
      <w:r w:rsidRPr="004F1D80">
        <w:rPr>
          <w:rFonts w:ascii="Times New Roman" w:hAnsi="Times New Roman"/>
          <w:sz w:val="24"/>
          <w:szCs w:val="24"/>
        </w:rPr>
        <w:t>duties after the officer orders the person to stop approaching. See Ind. Code § 35-44.1-2-14.</w:t>
      </w:r>
    </w:p>
    <w:p w14:paraId="15364690" w14:textId="77777777" w:rsidR="002917C5" w:rsidRDefault="002917C5" w:rsidP="002917C5">
      <w:pPr>
        <w:pStyle w:val="NoSpacing"/>
        <w:rPr>
          <w:rFonts w:ascii="Times New Roman" w:hAnsi="Times New Roman"/>
          <w:sz w:val="24"/>
          <w:szCs w:val="24"/>
        </w:rPr>
      </w:pPr>
    </w:p>
    <w:p w14:paraId="5E3DB350" w14:textId="77777777" w:rsidR="002917C5" w:rsidRDefault="002917C5" w:rsidP="002917C5">
      <w:pPr>
        <w:pStyle w:val="NoSpacing"/>
        <w:ind w:left="720"/>
        <w:rPr>
          <w:rFonts w:ascii="Times New Roman" w:hAnsi="Times New Roman"/>
          <w:sz w:val="24"/>
          <w:szCs w:val="24"/>
        </w:rPr>
      </w:pPr>
      <w:r w:rsidRPr="002829E6">
        <w:rPr>
          <w:rFonts w:ascii="Times New Roman" w:hAnsi="Times New Roman"/>
          <w:sz w:val="24"/>
          <w:szCs w:val="24"/>
        </w:rPr>
        <w:t>Law enforcement officers have jobs to do, and often difficult jobs that require decision</w:t>
      </w:r>
      <w:r>
        <w:rPr>
          <w:rFonts w:ascii="Times New Roman" w:hAnsi="Times New Roman"/>
          <w:sz w:val="24"/>
          <w:szCs w:val="24"/>
        </w:rPr>
        <w:t xml:space="preserve"> </w:t>
      </w:r>
      <w:r w:rsidRPr="002829E6">
        <w:rPr>
          <w:rFonts w:ascii="Times New Roman" w:hAnsi="Times New Roman"/>
          <w:sz w:val="24"/>
          <w:szCs w:val="24"/>
        </w:rPr>
        <w:t>making</w:t>
      </w:r>
      <w:r>
        <w:rPr>
          <w:rFonts w:ascii="Times New Roman" w:hAnsi="Times New Roman"/>
          <w:sz w:val="24"/>
          <w:szCs w:val="24"/>
        </w:rPr>
        <w:t xml:space="preserve"> </w:t>
      </w:r>
      <w:r w:rsidRPr="002829E6">
        <w:rPr>
          <w:rFonts w:ascii="Times New Roman" w:hAnsi="Times New Roman"/>
          <w:sz w:val="24"/>
          <w:szCs w:val="24"/>
        </w:rPr>
        <w:t>in tense, uncertain, fluid, and unsafe circumstances. At the same time, the public has a right to record the</w:t>
      </w:r>
      <w:r>
        <w:rPr>
          <w:rFonts w:ascii="Times New Roman" w:hAnsi="Times New Roman"/>
          <w:sz w:val="24"/>
          <w:szCs w:val="24"/>
        </w:rPr>
        <w:t xml:space="preserve"> </w:t>
      </w:r>
      <w:r w:rsidRPr="002829E6">
        <w:rPr>
          <w:rFonts w:ascii="Times New Roman" w:hAnsi="Times New Roman"/>
          <w:sz w:val="24"/>
          <w:szCs w:val="24"/>
        </w:rPr>
        <w:t>police. Audio</w:t>
      </w:r>
      <w:r>
        <w:rPr>
          <w:rFonts w:ascii="Times New Roman" w:hAnsi="Times New Roman"/>
          <w:sz w:val="24"/>
          <w:szCs w:val="24"/>
        </w:rPr>
        <w:t xml:space="preserve"> </w:t>
      </w:r>
      <w:r w:rsidRPr="002829E6">
        <w:rPr>
          <w:rFonts w:ascii="Times New Roman" w:hAnsi="Times New Roman"/>
          <w:sz w:val="24"/>
          <w:szCs w:val="24"/>
        </w:rPr>
        <w:t>visually recording police activity fits within the First Amendment’s guarantee. The right isn’t</w:t>
      </w:r>
      <w:r>
        <w:rPr>
          <w:rFonts w:ascii="Times New Roman" w:hAnsi="Times New Roman"/>
          <w:sz w:val="24"/>
          <w:szCs w:val="24"/>
        </w:rPr>
        <w:t xml:space="preserve"> </w:t>
      </w:r>
      <w:r w:rsidRPr="002829E6">
        <w:rPr>
          <w:rFonts w:ascii="Times New Roman" w:hAnsi="Times New Roman"/>
          <w:sz w:val="24"/>
          <w:szCs w:val="24"/>
        </w:rPr>
        <w:t>unlimited, but robustly it exists to serve important purposes. It facilitates transparency, training, scrutiny</w:t>
      </w:r>
      <w:r>
        <w:rPr>
          <w:rFonts w:ascii="Times New Roman" w:hAnsi="Times New Roman"/>
          <w:sz w:val="24"/>
          <w:szCs w:val="24"/>
        </w:rPr>
        <w:t xml:space="preserve"> </w:t>
      </w:r>
      <w:r w:rsidRPr="002829E6">
        <w:rPr>
          <w:rFonts w:ascii="Times New Roman" w:hAnsi="Times New Roman"/>
          <w:sz w:val="24"/>
          <w:szCs w:val="24"/>
        </w:rPr>
        <w:t>of police misconduct, and the exoneration of officers from unfair charges. Candid critique of our</w:t>
      </w:r>
      <w:r>
        <w:rPr>
          <w:rFonts w:ascii="Times New Roman" w:hAnsi="Times New Roman"/>
          <w:sz w:val="24"/>
          <w:szCs w:val="24"/>
        </w:rPr>
        <w:t xml:space="preserve"> </w:t>
      </w:r>
      <w:r w:rsidRPr="002829E6">
        <w:rPr>
          <w:rFonts w:ascii="Times New Roman" w:hAnsi="Times New Roman"/>
          <w:sz w:val="24"/>
          <w:szCs w:val="24"/>
        </w:rPr>
        <w:t>government and its officials matters in a free society. By shining a light on newsworthy police conduct,</w:t>
      </w:r>
      <w:r>
        <w:rPr>
          <w:rFonts w:ascii="Times New Roman" w:hAnsi="Times New Roman"/>
          <w:sz w:val="24"/>
          <w:szCs w:val="24"/>
        </w:rPr>
        <w:t xml:space="preserve"> </w:t>
      </w:r>
      <w:r w:rsidRPr="002829E6">
        <w:rPr>
          <w:rFonts w:ascii="Times New Roman" w:hAnsi="Times New Roman"/>
          <w:sz w:val="24"/>
          <w:szCs w:val="24"/>
        </w:rPr>
        <w:t>the public’s recordings benefit our citizens and law-abiding officers alike.</w:t>
      </w:r>
    </w:p>
    <w:p w14:paraId="0014FC54" w14:textId="77777777" w:rsidR="002917C5" w:rsidRDefault="002917C5" w:rsidP="002917C5">
      <w:pPr>
        <w:pStyle w:val="NoSpacing"/>
        <w:rPr>
          <w:rFonts w:ascii="Times New Roman" w:hAnsi="Times New Roman"/>
          <w:sz w:val="24"/>
          <w:szCs w:val="24"/>
        </w:rPr>
      </w:pPr>
    </w:p>
    <w:p w14:paraId="4020C415" w14:textId="77777777" w:rsidR="002917C5" w:rsidRDefault="002917C5" w:rsidP="002917C5">
      <w:pPr>
        <w:pStyle w:val="NoSpacing"/>
        <w:ind w:firstLine="720"/>
        <w:rPr>
          <w:rFonts w:ascii="Times New Roman" w:hAnsi="Times New Roman"/>
          <w:sz w:val="24"/>
          <w:szCs w:val="24"/>
        </w:rPr>
      </w:pPr>
      <w:r>
        <w:rPr>
          <w:rFonts w:ascii="Times New Roman" w:hAnsi="Times New Roman"/>
          <w:sz w:val="24"/>
          <w:szCs w:val="24"/>
        </w:rPr>
        <w:t>***</w:t>
      </w:r>
    </w:p>
    <w:p w14:paraId="440F41DB" w14:textId="77777777" w:rsidR="002917C5" w:rsidRPr="004F1D80" w:rsidRDefault="002917C5" w:rsidP="002917C5">
      <w:pPr>
        <w:pStyle w:val="NoSpacing"/>
        <w:rPr>
          <w:rFonts w:ascii="Times New Roman" w:hAnsi="Times New Roman"/>
          <w:sz w:val="24"/>
          <w:szCs w:val="24"/>
        </w:rPr>
      </w:pPr>
    </w:p>
    <w:p w14:paraId="185E4913" w14:textId="77777777" w:rsidR="002917C5" w:rsidRPr="00CB06B1" w:rsidRDefault="002917C5" w:rsidP="002917C5">
      <w:pPr>
        <w:pStyle w:val="NoSpacing"/>
        <w:ind w:left="720"/>
        <w:rPr>
          <w:rFonts w:ascii="Times New Roman" w:hAnsi="Times New Roman"/>
          <w:sz w:val="24"/>
          <w:szCs w:val="24"/>
        </w:rPr>
      </w:pPr>
      <w:r w:rsidRPr="00CB06B1">
        <w:rPr>
          <w:rFonts w:ascii="Times New Roman" w:hAnsi="Times New Roman"/>
          <w:sz w:val="24"/>
          <w:szCs w:val="24"/>
        </w:rPr>
        <w:t>The public has a First Amendment right to record police activity—a critically important right.</w:t>
      </w:r>
      <w:r>
        <w:rPr>
          <w:rFonts w:ascii="Times New Roman" w:hAnsi="Times New Roman"/>
          <w:sz w:val="24"/>
          <w:szCs w:val="24"/>
        </w:rPr>
        <w:t xml:space="preserve"> </w:t>
      </w:r>
      <w:r w:rsidRPr="00CB06B1">
        <w:rPr>
          <w:rFonts w:ascii="Times New Roman" w:hAnsi="Times New Roman"/>
          <w:sz w:val="24"/>
          <w:szCs w:val="24"/>
        </w:rPr>
        <w:t xml:space="preserve">Law enforcement officers have a right to perform their lawful duties </w:t>
      </w:r>
      <w:proofErr w:type="gramStart"/>
      <w:r w:rsidRPr="00CB06B1">
        <w:rPr>
          <w:rFonts w:ascii="Times New Roman" w:hAnsi="Times New Roman"/>
          <w:sz w:val="24"/>
          <w:szCs w:val="24"/>
        </w:rPr>
        <w:t>unimpeded</w:t>
      </w:r>
      <w:proofErr w:type="gramEnd"/>
      <w:r w:rsidRPr="00CB06B1">
        <w:rPr>
          <w:rFonts w:ascii="Times New Roman" w:hAnsi="Times New Roman"/>
          <w:sz w:val="24"/>
          <w:szCs w:val="24"/>
        </w:rPr>
        <w:t>. Indiana’s buffer law has</w:t>
      </w:r>
      <w:r>
        <w:rPr>
          <w:rFonts w:ascii="Times New Roman" w:hAnsi="Times New Roman"/>
          <w:sz w:val="24"/>
          <w:szCs w:val="24"/>
        </w:rPr>
        <w:t xml:space="preserve"> </w:t>
      </w:r>
      <w:r w:rsidRPr="00CB06B1">
        <w:rPr>
          <w:rFonts w:ascii="Times New Roman" w:hAnsi="Times New Roman"/>
          <w:sz w:val="24"/>
          <w:szCs w:val="24"/>
        </w:rPr>
        <w:t xml:space="preserve">many constitutional applications within its plainly legitimate sweep. It </w:t>
      </w:r>
      <w:proofErr w:type="gramStart"/>
      <w:r w:rsidRPr="00CB06B1">
        <w:rPr>
          <w:rFonts w:ascii="Times New Roman" w:hAnsi="Times New Roman"/>
          <w:sz w:val="24"/>
          <w:szCs w:val="24"/>
        </w:rPr>
        <w:t>never once</w:t>
      </w:r>
      <w:proofErr w:type="gramEnd"/>
      <w:r w:rsidRPr="00CB06B1">
        <w:rPr>
          <w:rFonts w:ascii="Times New Roman" w:hAnsi="Times New Roman"/>
          <w:sz w:val="24"/>
          <w:szCs w:val="24"/>
        </w:rPr>
        <w:t xml:space="preserve"> permits an officer to</w:t>
      </w:r>
      <w:r>
        <w:rPr>
          <w:rFonts w:ascii="Times New Roman" w:hAnsi="Times New Roman"/>
          <w:sz w:val="24"/>
          <w:szCs w:val="24"/>
        </w:rPr>
        <w:t xml:space="preserve"> </w:t>
      </w:r>
      <w:r w:rsidRPr="00CB06B1">
        <w:rPr>
          <w:rFonts w:ascii="Times New Roman" w:hAnsi="Times New Roman"/>
          <w:sz w:val="24"/>
          <w:szCs w:val="24"/>
        </w:rPr>
        <w:t>tell a reporter or citizen-journalist to leave altogether or to cease recording police activity. The law is</w:t>
      </w:r>
      <w:r>
        <w:rPr>
          <w:rFonts w:ascii="Times New Roman" w:hAnsi="Times New Roman"/>
          <w:sz w:val="24"/>
          <w:szCs w:val="24"/>
        </w:rPr>
        <w:t xml:space="preserve"> </w:t>
      </w:r>
      <w:r w:rsidRPr="00CB06B1">
        <w:rPr>
          <w:rFonts w:ascii="Times New Roman" w:hAnsi="Times New Roman"/>
          <w:sz w:val="24"/>
          <w:szCs w:val="24"/>
        </w:rPr>
        <w:t>directed toward encroachment on an officer’s lawful duties within 25 feet. It doesn’t target speech. It</w:t>
      </w:r>
      <w:r>
        <w:rPr>
          <w:rFonts w:ascii="Times New Roman" w:hAnsi="Times New Roman"/>
          <w:sz w:val="24"/>
          <w:szCs w:val="24"/>
        </w:rPr>
        <w:t xml:space="preserve"> </w:t>
      </w:r>
      <w:r w:rsidRPr="00CB06B1">
        <w:rPr>
          <w:rFonts w:ascii="Times New Roman" w:hAnsi="Times New Roman"/>
          <w:sz w:val="24"/>
          <w:szCs w:val="24"/>
        </w:rPr>
        <w:t xml:space="preserve">penalizes approaching a </w:t>
      </w:r>
      <w:proofErr w:type="gramStart"/>
      <w:r w:rsidRPr="00CB06B1">
        <w:rPr>
          <w:rFonts w:ascii="Times New Roman" w:hAnsi="Times New Roman"/>
          <w:sz w:val="24"/>
          <w:szCs w:val="24"/>
        </w:rPr>
        <w:t>lawfully-engaged</w:t>
      </w:r>
      <w:proofErr w:type="gramEnd"/>
      <w:r w:rsidRPr="00CB06B1">
        <w:rPr>
          <w:rFonts w:ascii="Times New Roman" w:hAnsi="Times New Roman"/>
          <w:sz w:val="24"/>
          <w:szCs w:val="24"/>
        </w:rPr>
        <w:t xml:space="preserve"> officer (after an order), not recording one. And at 25 feet, in</w:t>
      </w:r>
      <w:r>
        <w:rPr>
          <w:rFonts w:ascii="Times New Roman" w:hAnsi="Times New Roman"/>
          <w:sz w:val="24"/>
          <w:szCs w:val="24"/>
        </w:rPr>
        <w:t xml:space="preserve"> </w:t>
      </w:r>
      <w:r w:rsidRPr="00CB06B1">
        <w:rPr>
          <w:rFonts w:ascii="Times New Roman" w:hAnsi="Times New Roman"/>
          <w:sz w:val="24"/>
          <w:szCs w:val="24"/>
        </w:rPr>
        <w:t>measure small steps from an officer’s work, this law has only an incidental effect on the public’s First</w:t>
      </w:r>
      <w:r>
        <w:rPr>
          <w:rFonts w:ascii="Times New Roman" w:hAnsi="Times New Roman"/>
          <w:sz w:val="24"/>
          <w:szCs w:val="24"/>
        </w:rPr>
        <w:t xml:space="preserve"> </w:t>
      </w:r>
      <w:r w:rsidRPr="00CB06B1">
        <w:rPr>
          <w:rFonts w:ascii="Times New Roman" w:hAnsi="Times New Roman"/>
          <w:sz w:val="24"/>
          <w:szCs w:val="24"/>
        </w:rPr>
        <w:t>Amendment right to capture audio and video and otherwise to scrutinize police conduct. The court denies</w:t>
      </w:r>
      <w:r>
        <w:rPr>
          <w:rFonts w:ascii="Times New Roman" w:hAnsi="Times New Roman"/>
          <w:sz w:val="24"/>
          <w:szCs w:val="24"/>
        </w:rPr>
        <w:t xml:space="preserve"> </w:t>
      </w:r>
      <w:r w:rsidRPr="00CB06B1">
        <w:rPr>
          <w:rFonts w:ascii="Times New Roman" w:hAnsi="Times New Roman"/>
          <w:sz w:val="24"/>
          <w:szCs w:val="24"/>
        </w:rPr>
        <w:t xml:space="preserve">a permanent injunction because Indiana’s buffer law is not </w:t>
      </w:r>
      <w:proofErr w:type="gramStart"/>
      <w:r w:rsidRPr="00CB06B1">
        <w:rPr>
          <w:rFonts w:ascii="Times New Roman" w:hAnsi="Times New Roman"/>
          <w:sz w:val="24"/>
          <w:szCs w:val="24"/>
        </w:rPr>
        <w:t>unconstitutional by virtue</w:t>
      </w:r>
      <w:proofErr w:type="gramEnd"/>
      <w:r w:rsidRPr="00CB06B1">
        <w:rPr>
          <w:rFonts w:ascii="Times New Roman" w:hAnsi="Times New Roman"/>
          <w:sz w:val="24"/>
          <w:szCs w:val="24"/>
        </w:rPr>
        <w:t xml:space="preserve"> of being facially</w:t>
      </w:r>
      <w:r>
        <w:rPr>
          <w:rFonts w:ascii="Times New Roman" w:hAnsi="Times New Roman"/>
          <w:sz w:val="24"/>
          <w:szCs w:val="24"/>
        </w:rPr>
        <w:t xml:space="preserve"> </w:t>
      </w:r>
      <w:r w:rsidRPr="00CB06B1">
        <w:rPr>
          <w:rFonts w:ascii="Times New Roman" w:hAnsi="Times New Roman"/>
          <w:sz w:val="24"/>
          <w:szCs w:val="24"/>
        </w:rPr>
        <w:t>overbroad. A case might be different if an officer enforces this law unconstitutionally in a particular</w:t>
      </w:r>
      <w:r>
        <w:rPr>
          <w:rFonts w:ascii="Times New Roman" w:hAnsi="Times New Roman"/>
          <w:sz w:val="24"/>
          <w:szCs w:val="24"/>
        </w:rPr>
        <w:t xml:space="preserve"> </w:t>
      </w:r>
      <w:r w:rsidRPr="00CB06B1">
        <w:rPr>
          <w:rFonts w:ascii="Times New Roman" w:hAnsi="Times New Roman"/>
          <w:sz w:val="24"/>
          <w:szCs w:val="24"/>
        </w:rPr>
        <w:t>scenario, but the court is not deciding such a case today.</w:t>
      </w:r>
      <w:r>
        <w:rPr>
          <w:rFonts w:ascii="Times New Roman" w:hAnsi="Times New Roman"/>
          <w:sz w:val="24"/>
          <w:szCs w:val="24"/>
        </w:rPr>
        <w:t xml:space="preserve">”  </w:t>
      </w:r>
      <w:hyperlink r:id="rId844" w:history="1">
        <w:r w:rsidRPr="00D10854">
          <w:rPr>
            <w:rStyle w:val="Hyperlink"/>
            <w:rFonts w:ascii="Times New Roman" w:hAnsi="Times New Roman"/>
            <w:sz w:val="24"/>
            <w:szCs w:val="24"/>
          </w:rPr>
          <w:t>https://cases.justia.com/federal/district-courts/indiana/inndce/3:2023cv00744/115782/36/0.pdf?ts=1705163579</w:t>
        </w:r>
      </w:hyperlink>
      <w:r>
        <w:rPr>
          <w:rFonts w:ascii="Times New Roman" w:hAnsi="Times New Roman"/>
          <w:sz w:val="24"/>
          <w:szCs w:val="24"/>
        </w:rPr>
        <w:t xml:space="preserve"> </w:t>
      </w:r>
    </w:p>
    <w:p w14:paraId="589E4FF6" w14:textId="77777777" w:rsidR="00233F5D" w:rsidRDefault="00233F5D" w:rsidP="002B1283">
      <w:pPr>
        <w:rPr>
          <w:rStyle w:val="Hyperlink"/>
          <w:rFonts w:ascii="Arial Black" w:hAnsi="Arial Black"/>
          <w:b/>
          <w:color w:val="auto"/>
          <w:sz w:val="24"/>
          <w:szCs w:val="24"/>
          <w:u w:val="none"/>
        </w:rPr>
      </w:pPr>
    </w:p>
    <w:p w14:paraId="3097F93A" w14:textId="77777777" w:rsidR="00B83C64" w:rsidRPr="007C6C34" w:rsidRDefault="00B83C64" w:rsidP="00B83C64">
      <w:pPr>
        <w:pStyle w:val="NormalWeb"/>
        <w:rPr>
          <w:b/>
          <w:bCs/>
        </w:rPr>
      </w:pPr>
      <w:r w:rsidRPr="007C6C34">
        <w:rPr>
          <w:b/>
          <w:bCs/>
        </w:rPr>
        <w:t>Legal Lesson Learned:</w:t>
      </w:r>
      <w:r>
        <w:rPr>
          <w:b/>
          <w:bCs/>
        </w:rPr>
        <w:t xml:space="preserve"> An excellent “buffer law” that will also help Fire &amp; EMS. </w:t>
      </w:r>
    </w:p>
    <w:p w14:paraId="46909B06" w14:textId="77777777" w:rsidR="00233F5D" w:rsidRDefault="00233F5D" w:rsidP="002B1283">
      <w:pPr>
        <w:rPr>
          <w:rStyle w:val="Hyperlink"/>
          <w:rFonts w:ascii="Arial Black" w:hAnsi="Arial Black"/>
          <w:b/>
          <w:color w:val="auto"/>
          <w:sz w:val="24"/>
          <w:szCs w:val="24"/>
          <w:u w:val="none"/>
        </w:rPr>
      </w:pPr>
    </w:p>
    <w:p w14:paraId="3D5791A8" w14:textId="4C6E827C" w:rsidR="006A67C1" w:rsidRDefault="003E1AD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4-34</w:t>
      </w:r>
    </w:p>
    <w:p w14:paraId="3BB11773" w14:textId="77777777" w:rsidR="000B6881" w:rsidRPr="00D77551" w:rsidRDefault="000B6881" w:rsidP="000B6881">
      <w:pPr>
        <w:pStyle w:val="NormalWeb"/>
        <w:rPr>
          <w:rFonts w:ascii="Arial Black" w:hAnsi="Arial Black"/>
          <w:b/>
          <w:bCs/>
          <w:sz w:val="28"/>
          <w:szCs w:val="28"/>
        </w:rPr>
      </w:pPr>
      <w:r>
        <w:rPr>
          <w:rFonts w:ascii="Arial Black" w:hAnsi="Arial Black"/>
          <w:b/>
          <w:bCs/>
          <w:sz w:val="28"/>
          <w:szCs w:val="28"/>
        </w:rPr>
        <w:t xml:space="preserve">CA: PD DRONE VIDEOS – “FIRST IN COUNTRY” FAA PROGRAM – VIDEOS MOUNTAIN LION, WATER LEAK PUBLIC </w:t>
      </w:r>
    </w:p>
    <w:p w14:paraId="13DD7664" w14:textId="77777777" w:rsidR="000B6881" w:rsidRDefault="000B6881" w:rsidP="000B6881">
      <w:pPr>
        <w:pStyle w:val="NormalWeb"/>
      </w:pPr>
      <w:r w:rsidRPr="00416234">
        <w:t xml:space="preserve">On Dec. 27, 2023, in </w:t>
      </w:r>
      <w:r w:rsidRPr="00416234">
        <w:rPr>
          <w:u w:val="single"/>
        </w:rPr>
        <w:t>Arturo Castanares v. The Supervisor Court of San Diego County, and City of Chula Vista,</w:t>
      </w:r>
      <w:r w:rsidRPr="00416234">
        <w:t xml:space="preserve"> </w:t>
      </w:r>
      <w:r>
        <w:t xml:space="preserve">the Court of Appeal, Fourth Appellate District, Division One, Stare of California, held (3 to 0) that trial court judge improperly held that all police videos (370 flights) were exempt from disclosure under CA “catchall” provision protecting police investigations and individual privacy.  The Court </w:t>
      </w:r>
      <w:proofErr w:type="gramStart"/>
      <w:r>
        <w:t>remanded</w:t>
      </w:r>
      <w:proofErr w:type="gramEnd"/>
      <w:r>
        <w:t xml:space="preserve"> the case to trial court judge for further review of videos. The Court wrote: “We agree with Castañares that the superior court erred in determining, as a matter of law, all video footage from the drone program is exempt under section 7923.600, subdivision (a) as records of investigations. However, it might be the case, after further inquiry, consistent with this opinion, that </w:t>
      </w:r>
      <w:proofErr w:type="gramStart"/>
      <w:r>
        <w:t>the majority of</w:t>
      </w:r>
      <w:proofErr w:type="gramEnd"/>
      <w:r>
        <w:t xml:space="preserve"> the video footage is exempt. That said, we cannot make that determination on the record before us. *** For example, a 911 call about a mountain lion roaming a neighborhood, a water leak, or a stranded motorist on the freeway could warrant the use of a drone but do not suggest a crime might have </w:t>
      </w:r>
      <w:r>
        <w:lastRenderedPageBreak/>
        <w:t xml:space="preserve">been committed or is in the process of being committed.” </w:t>
      </w:r>
      <w:hyperlink r:id="rId845" w:history="1">
        <w:r w:rsidRPr="0044657D">
          <w:rPr>
            <w:rStyle w:val="Hyperlink"/>
          </w:rPr>
          <w:t>https://www.courts.ca.gov/opinions/documents/D082048.PDF</w:t>
        </w:r>
      </w:hyperlink>
      <w:r>
        <w:t xml:space="preserve"> </w:t>
      </w:r>
    </w:p>
    <w:p w14:paraId="49FBE993" w14:textId="77777777" w:rsidR="00BC204B" w:rsidRDefault="00BC204B" w:rsidP="00BC204B">
      <w:pPr>
        <w:pStyle w:val="NoSpacing"/>
        <w:jc w:val="both"/>
        <w:rPr>
          <w:rFonts w:ascii="Times New Roman" w:hAnsi="Times New Roman"/>
          <w:b/>
          <w:bCs/>
          <w:sz w:val="24"/>
          <w:szCs w:val="24"/>
        </w:rPr>
      </w:pPr>
      <w:r w:rsidRPr="00BA1591">
        <w:rPr>
          <w:rFonts w:ascii="Times New Roman" w:hAnsi="Times New Roman"/>
          <w:b/>
          <w:bCs/>
          <w:sz w:val="24"/>
          <w:szCs w:val="24"/>
        </w:rPr>
        <w:t xml:space="preserve">Legal Lesson Learned: </w:t>
      </w:r>
      <w:r>
        <w:rPr>
          <w:rFonts w:ascii="Times New Roman" w:hAnsi="Times New Roman"/>
          <w:b/>
          <w:bCs/>
          <w:sz w:val="24"/>
          <w:szCs w:val="24"/>
        </w:rPr>
        <w:t xml:space="preserve">New technologies can lead to new legal issues; trial court </w:t>
      </w:r>
      <w:proofErr w:type="gramStart"/>
      <w:r>
        <w:rPr>
          <w:rFonts w:ascii="Times New Roman" w:hAnsi="Times New Roman"/>
          <w:b/>
          <w:bCs/>
          <w:sz w:val="24"/>
          <w:szCs w:val="24"/>
        </w:rPr>
        <w:t>judge</w:t>
      </w:r>
      <w:proofErr w:type="gramEnd"/>
      <w:r>
        <w:rPr>
          <w:rFonts w:ascii="Times New Roman" w:hAnsi="Times New Roman"/>
          <w:b/>
          <w:bCs/>
          <w:sz w:val="24"/>
          <w:szCs w:val="24"/>
        </w:rPr>
        <w:t xml:space="preserve"> may now have to make a disclosure decision on each video. </w:t>
      </w:r>
    </w:p>
    <w:p w14:paraId="2B6271AD" w14:textId="77777777" w:rsidR="003E1AD0" w:rsidRDefault="003E1AD0" w:rsidP="002B1283">
      <w:pPr>
        <w:rPr>
          <w:rStyle w:val="Hyperlink"/>
          <w:rFonts w:ascii="Arial Black" w:hAnsi="Arial Black"/>
          <w:b/>
          <w:color w:val="auto"/>
          <w:sz w:val="24"/>
          <w:szCs w:val="24"/>
          <w:u w:val="none"/>
        </w:rPr>
      </w:pPr>
    </w:p>
    <w:p w14:paraId="45EE7D65" w14:textId="77777777" w:rsidR="003E1AD0" w:rsidRDefault="003E1AD0" w:rsidP="002B1283">
      <w:pPr>
        <w:rPr>
          <w:rStyle w:val="Hyperlink"/>
          <w:rFonts w:ascii="Arial Black" w:hAnsi="Arial Black"/>
          <w:b/>
          <w:color w:val="auto"/>
          <w:sz w:val="24"/>
          <w:szCs w:val="24"/>
          <w:u w:val="none"/>
        </w:rPr>
      </w:pPr>
    </w:p>
    <w:p w14:paraId="187748CE" w14:textId="2F84F9C3" w:rsidR="006A67C1" w:rsidRDefault="006A67C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4-33</w:t>
      </w:r>
    </w:p>
    <w:p w14:paraId="0AD76701" w14:textId="77777777" w:rsidR="006A67C1" w:rsidRDefault="006A67C1" w:rsidP="006A67C1">
      <w:pPr>
        <w:pStyle w:val="NormalWeb"/>
        <w:rPr>
          <w:rFonts w:ascii="Arial Black" w:hAnsi="Arial Black"/>
          <w:sz w:val="28"/>
          <w:szCs w:val="28"/>
        </w:rPr>
      </w:pPr>
      <w:r>
        <w:rPr>
          <w:rFonts w:ascii="Arial Black" w:hAnsi="Arial Black"/>
          <w:sz w:val="28"/>
          <w:szCs w:val="28"/>
        </w:rPr>
        <w:t xml:space="preserve">CA: GAS LEAK HOME – CAPTAIN ALLOWED SOLAR PANEL WORKER GET TOOLS - EXPLODED – LAWSUIT PROCEED </w:t>
      </w:r>
    </w:p>
    <w:p w14:paraId="04973AF4" w14:textId="77777777" w:rsidR="006A67C1" w:rsidRDefault="006A67C1" w:rsidP="006A67C1">
      <w:pPr>
        <w:pStyle w:val="NormalWeb"/>
      </w:pPr>
      <w:r>
        <w:t xml:space="preserve">On Nov. 30, 2023, in </w:t>
      </w:r>
      <w:r w:rsidRPr="005C5B17">
        <w:rPr>
          <w:u w:val="single"/>
        </w:rPr>
        <w:t>Anthony Borel v. City of Murrieta</w:t>
      </w:r>
      <w:r>
        <w:t xml:space="preserve">, the California Court of Appeals, Fourth District, Third Division, held (3 to 0; unpublished decision), that trial court judge improperly granted summary judgment to the City.  The Court wrote: “Anthony Borel was on a residential worksite in Murrieta (the </w:t>
      </w:r>
      <w:proofErr w:type="gramStart"/>
      <w:r>
        <w:t>City</w:t>
      </w:r>
      <w:proofErr w:type="gramEnd"/>
      <w:r>
        <w:t xml:space="preserve">) the summer of 2019 when the home exploded due to a natural gas leak. Borel alleged the fire crew that responded to the report of a leak failed to establish a perimeter or evacuation zone around the leak area and allowed people to go in and near the home. He was amongst the people allowed to go near the home to retrieve his tools. While he was doing this, the homeowner asked the captain on the scene if she could enter the house to retrieve some personal items. Shortly after she entered, the home exploded and Borel was seriously injured. He seeks to recover damages for his injuries from, among others, the City of Murrieta. *** In response to Borel's public entity negligence claim, the City successfully moved for summary judgment, on the ground its firefighters' conduct at the scene was subject to emergency services immunity under Health and Safety Code section 1799.107. Section 1799.107 creates immunity for public entities and emergency rescue personnel for injuries caused when they take action to provide emergency services, so long as the actions are not performed in bad faith or with gross negligence. While we agree the City can invoke section 1799.107, we conclude there is sufficient evidence to create triable issues of material fact as to whether the firefighters acted with gross negligence.” </w:t>
      </w:r>
      <w:hyperlink r:id="rId846" w:history="1">
        <w:r w:rsidRPr="002D5A3E">
          <w:rPr>
            <w:rStyle w:val="Hyperlink"/>
          </w:rPr>
          <w:t>https://casetext.com/case/borel-v-city-of-murrieta</w:t>
        </w:r>
      </w:hyperlink>
      <w:r>
        <w:t xml:space="preserve"> </w:t>
      </w:r>
    </w:p>
    <w:p w14:paraId="1205EA14" w14:textId="77777777" w:rsidR="003E1AD0" w:rsidRPr="00C20F9E" w:rsidRDefault="003E1AD0" w:rsidP="003E1AD0">
      <w:pPr>
        <w:pStyle w:val="NormalWeb"/>
        <w:rPr>
          <w:b/>
          <w:bCs/>
        </w:rPr>
      </w:pPr>
      <w:r w:rsidRPr="00C20F9E">
        <w:rPr>
          <w:b/>
          <w:bCs/>
        </w:rPr>
        <w:t>Legal Lesson Learned:</w:t>
      </w:r>
      <w:r>
        <w:rPr>
          <w:b/>
          <w:bCs/>
        </w:rPr>
        <w:t xml:space="preserve"> The “gross negligence” standard may be difficult to prove, but this may be a case that calls for a settlement rather than a jury trial. </w:t>
      </w:r>
    </w:p>
    <w:p w14:paraId="7A64DF4C" w14:textId="77777777" w:rsidR="006A67C1" w:rsidRDefault="006A67C1" w:rsidP="002B1283">
      <w:pPr>
        <w:rPr>
          <w:rStyle w:val="Hyperlink"/>
          <w:rFonts w:ascii="Arial Black" w:hAnsi="Arial Black"/>
          <w:b/>
          <w:color w:val="auto"/>
          <w:sz w:val="24"/>
          <w:szCs w:val="24"/>
          <w:u w:val="none"/>
        </w:rPr>
      </w:pPr>
    </w:p>
    <w:p w14:paraId="6E5D0CC2" w14:textId="77777777" w:rsidR="006A67C1" w:rsidRDefault="006A67C1" w:rsidP="002B1283">
      <w:pPr>
        <w:rPr>
          <w:rStyle w:val="Hyperlink"/>
          <w:rFonts w:ascii="Arial Black" w:hAnsi="Arial Black"/>
          <w:b/>
          <w:color w:val="auto"/>
          <w:sz w:val="24"/>
          <w:szCs w:val="24"/>
          <w:u w:val="none"/>
        </w:rPr>
      </w:pPr>
    </w:p>
    <w:p w14:paraId="05DCFD47" w14:textId="3330B358" w:rsidR="0056123D" w:rsidRDefault="0056123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4-32</w:t>
      </w:r>
    </w:p>
    <w:p w14:paraId="039976A8" w14:textId="056DCF0B" w:rsidR="0056123D" w:rsidRPr="00616758" w:rsidRDefault="0056123D" w:rsidP="0056123D">
      <w:pPr>
        <w:pStyle w:val="NoSpacing"/>
        <w:rPr>
          <w:rFonts w:ascii="Arial Black" w:hAnsi="Arial Black"/>
          <w:sz w:val="28"/>
          <w:szCs w:val="28"/>
        </w:rPr>
      </w:pPr>
      <w:r>
        <w:rPr>
          <w:rFonts w:ascii="Arial Black" w:hAnsi="Arial Black"/>
          <w:sz w:val="28"/>
          <w:szCs w:val="28"/>
        </w:rPr>
        <w:t xml:space="preserve">TX: “FAMILY NIGHT” - INSTRUCTOR SPRAYED STUDENTS 2½ HOSE – GOV’T IMMUNITY – ENGINE NOT USED </w:t>
      </w:r>
      <w:r w:rsidR="00954F48">
        <w:rPr>
          <w:rFonts w:ascii="Arial Black" w:hAnsi="Arial Black"/>
          <w:sz w:val="28"/>
          <w:szCs w:val="28"/>
        </w:rPr>
        <w:t xml:space="preserve">AS </w:t>
      </w:r>
      <w:r>
        <w:rPr>
          <w:rFonts w:ascii="Arial Black" w:hAnsi="Arial Black"/>
          <w:sz w:val="28"/>
          <w:szCs w:val="28"/>
        </w:rPr>
        <w:t>VEHICLE</w:t>
      </w:r>
    </w:p>
    <w:p w14:paraId="6492A561" w14:textId="77777777" w:rsidR="00954F48" w:rsidRDefault="00954F48" w:rsidP="00954F48">
      <w:pPr>
        <w:rPr>
          <w:rFonts w:ascii="Times New Roman" w:hAnsi="Times New Roman"/>
          <w:sz w:val="24"/>
          <w:szCs w:val="24"/>
        </w:rPr>
      </w:pPr>
    </w:p>
    <w:p w14:paraId="54DE1A69" w14:textId="5AE37F2C" w:rsidR="00954F48" w:rsidRDefault="0056123D" w:rsidP="00954F48">
      <w:pPr>
        <w:rPr>
          <w:rStyle w:val="Hyperlink"/>
          <w:rFonts w:ascii="Arial Black" w:hAnsi="Arial Black"/>
          <w:b/>
          <w:color w:val="auto"/>
          <w:sz w:val="24"/>
          <w:szCs w:val="24"/>
          <w:u w:val="none"/>
        </w:rPr>
      </w:pPr>
      <w:r>
        <w:rPr>
          <w:rFonts w:ascii="Times New Roman" w:hAnsi="Times New Roman"/>
          <w:sz w:val="24"/>
          <w:szCs w:val="24"/>
        </w:rPr>
        <w:t xml:space="preserve">On Sept. 21, 2023, </w:t>
      </w:r>
      <w:r w:rsidRPr="00C400FC">
        <w:rPr>
          <w:rFonts w:ascii="Times New Roman" w:hAnsi="Times New Roman"/>
          <w:sz w:val="24"/>
          <w:szCs w:val="24"/>
          <w:u w:val="single"/>
        </w:rPr>
        <w:t>in Koby Rezac v. Navarro College</w:t>
      </w:r>
      <w:r>
        <w:rPr>
          <w:rFonts w:ascii="Times New Roman" w:hAnsi="Times New Roman"/>
          <w:sz w:val="24"/>
          <w:szCs w:val="24"/>
        </w:rPr>
        <w:t xml:space="preserve">, the Texas Tenth Court of Appeals, held (3 to 0) that trial court judge properly dismissed the lawsuit against the College.  Under Texas Tort Claim law, governmental immunity is waved for injuries arising out of the </w:t>
      </w:r>
      <w:r w:rsidRPr="00C400FC">
        <w:rPr>
          <w:rFonts w:ascii="Times New Roman" w:hAnsi="Times New Roman"/>
          <w:sz w:val="24"/>
          <w:szCs w:val="24"/>
        </w:rPr>
        <w:t>"use" or "operation" of a motor vehicle</w:t>
      </w:r>
      <w:r>
        <w:rPr>
          <w:rFonts w:ascii="Times New Roman" w:hAnsi="Times New Roman"/>
          <w:sz w:val="24"/>
          <w:szCs w:val="24"/>
        </w:rPr>
        <w:t xml:space="preserve">.   In this case the Court relied on the affidavit of the instructor – it was  “family night” at the Junior College fire program, the program </w:t>
      </w:r>
      <w:r>
        <w:rPr>
          <w:rFonts w:ascii="Times New Roman" w:hAnsi="Times New Roman"/>
          <w:sz w:val="24"/>
          <w:szCs w:val="24"/>
        </w:rPr>
        <w:lastRenderedPageBreak/>
        <w:t xml:space="preserve">had concluded with students lined up in formation, the engine no longer running but still connected to the hydrant, when the instructor jokingly sprayed the students with the 2 ½ inch line.   </w:t>
      </w:r>
      <w:hyperlink r:id="rId847" w:history="1">
        <w:r w:rsidR="00954F48" w:rsidRPr="00FF56A3">
          <w:rPr>
            <w:rStyle w:val="Hyperlink"/>
            <w:rFonts w:ascii="Times New Roman" w:hAnsi="Times New Roman"/>
            <w:sz w:val="24"/>
            <w:szCs w:val="24"/>
          </w:rPr>
          <w:t>https://search.txcourts.gov/SearchMedia.aspx?MediaVersionID=0759d8f0-c4e1-4852-8390-4190cacb89f6&amp;coa=coa10&amp;DT=Opinion&amp;MediaID=dc9d0fad-acea-4603-a120-a6519744d885</w:t>
        </w:r>
      </w:hyperlink>
    </w:p>
    <w:p w14:paraId="4308B884" w14:textId="788B519C" w:rsidR="0056123D" w:rsidRDefault="00954F48" w:rsidP="0056123D">
      <w:pPr>
        <w:pStyle w:val="NoSpacing"/>
        <w:rPr>
          <w:rFonts w:ascii="Times New Roman" w:hAnsi="Times New Roman"/>
          <w:sz w:val="24"/>
          <w:szCs w:val="24"/>
        </w:rPr>
      </w:pPr>
      <w:r>
        <w:rPr>
          <w:rFonts w:ascii="Times New Roman" w:hAnsi="Times New Roman"/>
          <w:sz w:val="24"/>
          <w:szCs w:val="24"/>
        </w:rPr>
        <w:t>THE COURT HELD:</w:t>
      </w:r>
    </w:p>
    <w:p w14:paraId="409B7CA4" w14:textId="77777777" w:rsidR="0056123D" w:rsidRDefault="0056123D" w:rsidP="0056123D">
      <w:pPr>
        <w:pStyle w:val="NoSpacing"/>
        <w:rPr>
          <w:rFonts w:ascii="Times New Roman" w:hAnsi="Times New Roman"/>
          <w:sz w:val="24"/>
          <w:szCs w:val="24"/>
        </w:rPr>
      </w:pPr>
    </w:p>
    <w:p w14:paraId="28096D81" w14:textId="77777777" w:rsidR="0056123D" w:rsidRPr="00616758" w:rsidRDefault="0056123D" w:rsidP="0056123D">
      <w:pPr>
        <w:pStyle w:val="NoSpacing"/>
        <w:ind w:firstLine="720"/>
        <w:rPr>
          <w:rFonts w:ascii="Times New Roman" w:hAnsi="Times New Roman"/>
          <w:sz w:val="24"/>
          <w:szCs w:val="24"/>
        </w:rPr>
      </w:pPr>
      <w:r>
        <w:rPr>
          <w:rFonts w:ascii="Times New Roman" w:hAnsi="Times New Roman"/>
          <w:sz w:val="24"/>
          <w:szCs w:val="24"/>
        </w:rPr>
        <w:t>“</w:t>
      </w:r>
      <w:r w:rsidRPr="00616758">
        <w:rPr>
          <w:rFonts w:ascii="Times New Roman" w:hAnsi="Times New Roman"/>
          <w:sz w:val="24"/>
          <w:szCs w:val="24"/>
        </w:rPr>
        <w:t>In this instance, because the fire truck was parked and attached to the hydrant,</w:t>
      </w:r>
    </w:p>
    <w:p w14:paraId="0CBAC41C" w14:textId="77777777" w:rsidR="0056123D" w:rsidRPr="00616758" w:rsidRDefault="0056123D" w:rsidP="0056123D">
      <w:pPr>
        <w:pStyle w:val="NoSpacing"/>
        <w:ind w:left="720"/>
        <w:rPr>
          <w:rFonts w:ascii="Times New Roman" w:hAnsi="Times New Roman"/>
          <w:sz w:val="24"/>
          <w:szCs w:val="24"/>
        </w:rPr>
      </w:pPr>
      <w:r w:rsidRPr="00616758">
        <w:rPr>
          <w:rFonts w:ascii="Times New Roman" w:hAnsi="Times New Roman"/>
          <w:sz w:val="24"/>
          <w:szCs w:val="24"/>
        </w:rPr>
        <w:t>under the facts as alleged by Rezac, whatever use of the fire truck that then occurred was</w:t>
      </w:r>
      <w:r>
        <w:rPr>
          <w:rFonts w:ascii="Times New Roman" w:hAnsi="Times New Roman"/>
          <w:sz w:val="24"/>
          <w:szCs w:val="24"/>
        </w:rPr>
        <w:t xml:space="preserve"> </w:t>
      </w:r>
      <w:r w:rsidRPr="00616758">
        <w:rPr>
          <w:rFonts w:ascii="Times New Roman" w:hAnsi="Times New Roman"/>
          <w:sz w:val="24"/>
          <w:szCs w:val="24"/>
        </w:rPr>
        <w:t>not the use or operation of a motor-driven vehicle. At most, it was the use or operation</w:t>
      </w:r>
    </w:p>
    <w:p w14:paraId="74021C44"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of a pump, which under these facts would only potentially involve the use or operation</w:t>
      </w:r>
    </w:p>
    <w:p w14:paraId="10036274"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of motor-driven equipment, for which immunity has not been waived because the college</w:t>
      </w:r>
    </w:p>
    <w:p w14:paraId="6CE4B875"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 xml:space="preserve">is a junior college district. See Ryder, 453 S.W.3d at </w:t>
      </w:r>
      <w:proofErr w:type="gramStart"/>
      <w:r w:rsidRPr="00616758">
        <w:rPr>
          <w:rFonts w:ascii="Times New Roman" w:hAnsi="Times New Roman"/>
          <w:sz w:val="24"/>
          <w:szCs w:val="24"/>
        </w:rPr>
        <w:t>927 (</w:t>
      </w:r>
      <w:r>
        <w:rPr>
          <w:rFonts w:ascii="Times New Roman" w:hAnsi="Times New Roman"/>
          <w:sz w:val="24"/>
          <w:szCs w:val="24"/>
        </w:rPr>
        <w:t>‘</w:t>
      </w:r>
      <w:proofErr w:type="gramEnd"/>
      <w:r w:rsidRPr="00616758">
        <w:rPr>
          <w:rFonts w:ascii="Times New Roman" w:hAnsi="Times New Roman"/>
          <w:sz w:val="24"/>
          <w:szCs w:val="24"/>
        </w:rPr>
        <w:t>[T]</w:t>
      </w:r>
      <w:proofErr w:type="gramStart"/>
      <w:r w:rsidRPr="00616758">
        <w:rPr>
          <w:rFonts w:ascii="Times New Roman" w:hAnsi="Times New Roman"/>
          <w:sz w:val="24"/>
          <w:szCs w:val="24"/>
        </w:rPr>
        <w:t>he vehicle</w:t>
      </w:r>
      <w:proofErr w:type="gramEnd"/>
      <w:r w:rsidRPr="00616758">
        <w:rPr>
          <w:rFonts w:ascii="Times New Roman" w:hAnsi="Times New Roman"/>
          <w:sz w:val="24"/>
          <w:szCs w:val="24"/>
        </w:rPr>
        <w:t xml:space="preserve"> must have been</w:t>
      </w:r>
    </w:p>
    <w:p w14:paraId="1D8542D0"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used as a vehicle…</w:t>
      </w:r>
      <w:r>
        <w:rPr>
          <w:rFonts w:ascii="Times New Roman" w:hAnsi="Times New Roman"/>
          <w:sz w:val="24"/>
          <w:szCs w:val="24"/>
        </w:rPr>
        <w:t>’</w:t>
      </w:r>
      <w:r w:rsidRPr="00616758">
        <w:rPr>
          <w:rFonts w:ascii="Times New Roman" w:hAnsi="Times New Roman"/>
          <w:sz w:val="24"/>
          <w:szCs w:val="24"/>
        </w:rPr>
        <w:t>). We find that Rezac has not established a clear and unequivocal</w:t>
      </w:r>
    </w:p>
    <w:p w14:paraId="1C60E507" w14:textId="77777777" w:rsidR="0056123D" w:rsidRDefault="0056123D" w:rsidP="0056123D">
      <w:pPr>
        <w:pStyle w:val="NoSpacing"/>
        <w:ind w:left="720"/>
        <w:rPr>
          <w:rFonts w:ascii="Times New Roman" w:hAnsi="Times New Roman"/>
          <w:sz w:val="24"/>
          <w:szCs w:val="24"/>
        </w:rPr>
      </w:pPr>
      <w:r w:rsidRPr="00616758">
        <w:rPr>
          <w:rFonts w:ascii="Times New Roman" w:hAnsi="Times New Roman"/>
          <w:sz w:val="24"/>
          <w:szCs w:val="24"/>
        </w:rPr>
        <w:t>waiver of the college's governmental immunity under the Tort Claims Act.</w:t>
      </w:r>
    </w:p>
    <w:p w14:paraId="4C3F119D" w14:textId="77777777" w:rsidR="0056123D" w:rsidRDefault="0056123D" w:rsidP="0056123D">
      <w:pPr>
        <w:pStyle w:val="NoSpacing"/>
        <w:ind w:left="720"/>
        <w:rPr>
          <w:rFonts w:ascii="Times New Roman" w:hAnsi="Times New Roman"/>
          <w:sz w:val="24"/>
          <w:szCs w:val="24"/>
        </w:rPr>
      </w:pPr>
    </w:p>
    <w:p w14:paraId="2A93863C"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7891693C"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In this instance, because the fire truck was parked and attached to the hydrant,</w:t>
      </w:r>
    </w:p>
    <w:p w14:paraId="7D7F20E6"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under the facts as alleged by Rezac, whatever use of the fire truck that then occurred was</w:t>
      </w:r>
      <w:r>
        <w:rPr>
          <w:rFonts w:ascii="Times New Roman" w:hAnsi="Times New Roman"/>
          <w:sz w:val="24"/>
          <w:szCs w:val="24"/>
        </w:rPr>
        <w:t xml:space="preserve"> </w:t>
      </w:r>
      <w:r w:rsidRPr="00523EAD">
        <w:rPr>
          <w:rFonts w:ascii="Times New Roman" w:hAnsi="Times New Roman"/>
          <w:sz w:val="24"/>
          <w:szCs w:val="24"/>
        </w:rPr>
        <w:t>not the use or operation of a motor-driven vehicle. At most, it was the use or operation</w:t>
      </w:r>
    </w:p>
    <w:p w14:paraId="111E0C5F"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of a pump, which under these facts would only potentially involve the use or operation</w:t>
      </w:r>
    </w:p>
    <w:p w14:paraId="48CD52E1"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of motor-driven equipment, for which immunity has not been waived because the college</w:t>
      </w:r>
    </w:p>
    <w:p w14:paraId="07F16EB0" w14:textId="77777777" w:rsidR="0056123D" w:rsidRDefault="0056123D" w:rsidP="0056123D">
      <w:pPr>
        <w:pStyle w:val="NoSpacing"/>
        <w:ind w:left="720"/>
        <w:rPr>
          <w:rFonts w:ascii="Times New Roman" w:hAnsi="Times New Roman"/>
          <w:sz w:val="24"/>
          <w:szCs w:val="24"/>
        </w:rPr>
      </w:pPr>
      <w:r w:rsidRPr="00523EAD">
        <w:rPr>
          <w:rFonts w:ascii="Times New Roman" w:hAnsi="Times New Roman"/>
          <w:sz w:val="24"/>
          <w:szCs w:val="24"/>
        </w:rPr>
        <w:t>is a junior college district</w:t>
      </w:r>
      <w:r>
        <w:rPr>
          <w:rFonts w:ascii="Times New Roman" w:hAnsi="Times New Roman"/>
          <w:sz w:val="24"/>
          <w:szCs w:val="24"/>
        </w:rPr>
        <w:t>.”</w:t>
      </w:r>
    </w:p>
    <w:p w14:paraId="33093741" w14:textId="755CB144" w:rsidR="0056123D" w:rsidRDefault="0056123D" w:rsidP="0056123D">
      <w:pPr>
        <w:ind w:left="720"/>
        <w:rPr>
          <w:rStyle w:val="Hyperlink"/>
          <w:rFonts w:ascii="Arial Black" w:hAnsi="Arial Black"/>
          <w:b/>
          <w:color w:val="auto"/>
          <w:sz w:val="24"/>
          <w:szCs w:val="24"/>
          <w:u w:val="none"/>
        </w:rPr>
      </w:pPr>
      <w:hyperlink r:id="rId848" w:history="1">
        <w:r w:rsidRPr="00FF56A3">
          <w:rPr>
            <w:rStyle w:val="Hyperlink"/>
            <w:rFonts w:ascii="Times New Roman" w:hAnsi="Times New Roman"/>
            <w:sz w:val="24"/>
            <w:szCs w:val="24"/>
          </w:rPr>
          <w:t>https://search.txcourts.gov/SearchMedia.aspx?MediaVersionID=0759d8f0-c4e1-4852-8390-4190cacb89f6&amp;coa=coa10&amp;DT=Opinion&amp;MediaID=dc9d0fad-acea-4603-a120-a6519744d885</w:t>
        </w:r>
      </w:hyperlink>
    </w:p>
    <w:p w14:paraId="2889ED64" w14:textId="6F63338E" w:rsidR="0056123D" w:rsidRPr="00523EAD" w:rsidRDefault="0056123D" w:rsidP="0056123D">
      <w:pPr>
        <w:pStyle w:val="NoSpacing"/>
        <w:rPr>
          <w:rFonts w:ascii="Times New Roman" w:hAnsi="Times New Roman"/>
          <w:b/>
          <w:bCs/>
          <w:sz w:val="24"/>
          <w:szCs w:val="24"/>
        </w:rPr>
      </w:pPr>
      <w:r w:rsidRPr="00523EAD">
        <w:rPr>
          <w:rFonts w:ascii="Times New Roman" w:hAnsi="Times New Roman"/>
          <w:b/>
          <w:bCs/>
          <w:sz w:val="24"/>
          <w:szCs w:val="24"/>
        </w:rPr>
        <w:t>Legal Lesson Learned:</w:t>
      </w:r>
      <w:r w:rsidR="00D85969">
        <w:rPr>
          <w:rFonts w:ascii="Times New Roman" w:hAnsi="Times New Roman"/>
          <w:b/>
          <w:bCs/>
          <w:sz w:val="24"/>
          <w:szCs w:val="24"/>
        </w:rPr>
        <w:t xml:space="preserve"> U</w:t>
      </w:r>
      <w:r>
        <w:rPr>
          <w:rFonts w:ascii="Times New Roman" w:hAnsi="Times New Roman"/>
          <w:b/>
          <w:bCs/>
          <w:sz w:val="24"/>
          <w:szCs w:val="24"/>
        </w:rPr>
        <w:t xml:space="preserve">nder Texas law the plaintiff must prove by clear and unequivocal evidence that “use” of a government vehicle caused the injury. </w:t>
      </w:r>
    </w:p>
    <w:p w14:paraId="6F40034A" w14:textId="77777777" w:rsidR="0056123D" w:rsidRDefault="0056123D" w:rsidP="002B1283">
      <w:pPr>
        <w:rPr>
          <w:rStyle w:val="Hyperlink"/>
          <w:rFonts w:ascii="Arial Black" w:hAnsi="Arial Black"/>
          <w:b/>
          <w:color w:val="auto"/>
          <w:sz w:val="24"/>
          <w:szCs w:val="24"/>
          <w:u w:val="none"/>
        </w:rPr>
      </w:pPr>
    </w:p>
    <w:p w14:paraId="0ED845B7" w14:textId="0209D2C9" w:rsidR="0056123D" w:rsidRDefault="0056123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4-31</w:t>
      </w:r>
    </w:p>
    <w:p w14:paraId="2F5F23A9" w14:textId="77777777" w:rsidR="0056123D" w:rsidRDefault="0056123D" w:rsidP="0056123D">
      <w:pPr>
        <w:pStyle w:val="NoSpacing"/>
        <w:rPr>
          <w:rFonts w:ascii="Arial Black" w:hAnsi="Arial Black"/>
          <w:sz w:val="28"/>
          <w:szCs w:val="28"/>
        </w:rPr>
      </w:pPr>
      <w:r>
        <w:rPr>
          <w:rFonts w:ascii="Arial Black" w:hAnsi="Arial Black"/>
          <w:sz w:val="28"/>
          <w:szCs w:val="28"/>
        </w:rPr>
        <w:t xml:space="preserve">KS: BLACK CAPTAIN – IC AT STRIP MALL FIRE – “SHIT SHOW” – CHIEF DOC. IN PERF. REVIEW - NO DISCRIM. </w:t>
      </w:r>
    </w:p>
    <w:p w14:paraId="6FE7CEA7" w14:textId="77777777" w:rsidR="0056123D" w:rsidRPr="005B52AD" w:rsidRDefault="0056123D" w:rsidP="0056123D">
      <w:pPr>
        <w:pStyle w:val="NoSpacing"/>
        <w:rPr>
          <w:rFonts w:ascii="Times New Roman" w:hAnsi="Times New Roman"/>
          <w:sz w:val="24"/>
          <w:szCs w:val="24"/>
        </w:rPr>
      </w:pPr>
      <w:r w:rsidRPr="005B52AD">
        <w:rPr>
          <w:rFonts w:ascii="Times New Roman" w:hAnsi="Times New Roman"/>
          <w:sz w:val="24"/>
          <w:szCs w:val="24"/>
        </w:rPr>
        <w:t>[also Chap. 4]</w:t>
      </w:r>
    </w:p>
    <w:p w14:paraId="2AEFC8B7" w14:textId="77777777" w:rsidR="0056123D" w:rsidRDefault="0056123D" w:rsidP="0056123D">
      <w:pPr>
        <w:pStyle w:val="NoSpacing"/>
        <w:rPr>
          <w:rFonts w:ascii="Times New Roman" w:hAnsi="Times New Roman"/>
          <w:sz w:val="24"/>
          <w:szCs w:val="24"/>
        </w:rPr>
      </w:pPr>
    </w:p>
    <w:p w14:paraId="4BF3EB9F"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8, 2023, in </w:t>
      </w:r>
      <w:r w:rsidRPr="009108A0">
        <w:rPr>
          <w:rFonts w:ascii="Times New Roman" w:hAnsi="Times New Roman"/>
          <w:sz w:val="24"/>
          <w:szCs w:val="24"/>
          <w:u w:val="single"/>
        </w:rPr>
        <w:t>Mark Jordan v. City of Wichita, Kansas, et al.</w:t>
      </w:r>
      <w:r>
        <w:rPr>
          <w:rFonts w:ascii="Times New Roman" w:hAnsi="Times New Roman"/>
          <w:sz w:val="24"/>
          <w:szCs w:val="24"/>
        </w:rPr>
        <w:t xml:space="preserve">, U.S. District Court Judge Daniel D. Crabtree, U.S. District Court for the District of Kansas, granted the City’s motion for summary judgment.  The August 2019 strip mall fire went to two alarms; plaintiff arrived on seventh unit and took command because no one has yet become IC. Plaintiff admitted it didn’t go well and in his </w:t>
      </w:r>
      <w:proofErr w:type="gramStart"/>
      <w:r>
        <w:rPr>
          <w:rFonts w:ascii="Times New Roman" w:hAnsi="Times New Roman"/>
          <w:sz w:val="24"/>
          <w:szCs w:val="24"/>
        </w:rPr>
        <w:t>words</w:t>
      </w:r>
      <w:proofErr w:type="gramEnd"/>
      <w:r>
        <w:rPr>
          <w:rFonts w:ascii="Times New Roman" w:hAnsi="Times New Roman"/>
          <w:sz w:val="24"/>
          <w:szCs w:val="24"/>
        </w:rPr>
        <w:t xml:space="preserve"> it was a “shit show.” Fire Chief Tammy Snow arrived at scene and criticized the Acting Battalion Chief, who was on the second arriving unit, for not taking command.  The Fire Chief ordered that the annual performance review of both the plaintiff and the Acting Battalion Chief document performance concerns at that strip mall fire. </w:t>
      </w:r>
    </w:p>
    <w:p w14:paraId="67A3161D" w14:textId="77777777" w:rsidR="0056123D" w:rsidRDefault="0056123D" w:rsidP="0056123D">
      <w:pPr>
        <w:pStyle w:val="NoSpacing"/>
        <w:rPr>
          <w:rFonts w:ascii="Times New Roman" w:hAnsi="Times New Roman"/>
          <w:sz w:val="24"/>
          <w:szCs w:val="24"/>
        </w:rPr>
      </w:pPr>
    </w:p>
    <w:p w14:paraId="76945131" w14:textId="77777777" w:rsidR="0056123D" w:rsidRPr="00497B07" w:rsidRDefault="0056123D" w:rsidP="0056123D">
      <w:pPr>
        <w:pStyle w:val="NoSpacing"/>
        <w:ind w:firstLine="720"/>
        <w:rPr>
          <w:rFonts w:ascii="Times New Roman" w:hAnsi="Times New Roman"/>
          <w:sz w:val="24"/>
          <w:szCs w:val="24"/>
        </w:rPr>
      </w:pPr>
      <w:r>
        <w:rPr>
          <w:rFonts w:ascii="Times New Roman" w:hAnsi="Times New Roman"/>
          <w:sz w:val="24"/>
          <w:szCs w:val="24"/>
        </w:rPr>
        <w:t>“</w:t>
      </w:r>
      <w:r w:rsidRPr="00497B07">
        <w:rPr>
          <w:rFonts w:ascii="Times New Roman" w:hAnsi="Times New Roman"/>
          <w:sz w:val="24"/>
          <w:szCs w:val="24"/>
        </w:rPr>
        <w:t>In August 2019—before the Acting Battalion Chief debacle—a strip mall on south</w:t>
      </w:r>
    </w:p>
    <w:p w14:paraId="32FBABE7" w14:textId="77777777" w:rsidR="0056123D" w:rsidRDefault="0056123D" w:rsidP="0056123D">
      <w:pPr>
        <w:pStyle w:val="NoSpacing"/>
        <w:ind w:left="720"/>
        <w:rPr>
          <w:rFonts w:ascii="Times New Roman" w:hAnsi="Times New Roman"/>
          <w:sz w:val="24"/>
          <w:szCs w:val="24"/>
        </w:rPr>
      </w:pPr>
      <w:r w:rsidRPr="00497B07">
        <w:rPr>
          <w:rFonts w:ascii="Times New Roman" w:hAnsi="Times New Roman"/>
          <w:sz w:val="24"/>
          <w:szCs w:val="24"/>
        </w:rPr>
        <w:t>Seneca Street caught fire. Doc. 81 at 3 (Pretrial Order ¶ 2.a.x.). WFD Policy provides that the</w:t>
      </w:r>
      <w:r>
        <w:rPr>
          <w:rFonts w:ascii="Times New Roman" w:hAnsi="Times New Roman"/>
          <w:sz w:val="24"/>
          <w:szCs w:val="24"/>
        </w:rPr>
        <w:t xml:space="preserve"> </w:t>
      </w:r>
      <w:r w:rsidRPr="00497B07">
        <w:rPr>
          <w:rFonts w:ascii="Times New Roman" w:hAnsi="Times New Roman"/>
          <w:sz w:val="24"/>
          <w:szCs w:val="24"/>
        </w:rPr>
        <w:t>second fire engine to arrive at a scene should assume command</w:t>
      </w:r>
      <w:r>
        <w:rPr>
          <w:rFonts w:ascii="Times New Roman" w:hAnsi="Times New Roman"/>
          <w:sz w:val="24"/>
          <w:szCs w:val="24"/>
        </w:rPr>
        <w:t xml:space="preserve">…. </w:t>
      </w:r>
      <w:r w:rsidRPr="00497B07">
        <w:rPr>
          <w:rFonts w:ascii="Times New Roman" w:hAnsi="Times New Roman"/>
          <w:sz w:val="24"/>
          <w:szCs w:val="24"/>
        </w:rPr>
        <w:t>Plaintiff was on the seventh unit to arrive at the fire, but no one had assumed command. Id.</w:t>
      </w:r>
      <w:r>
        <w:rPr>
          <w:rFonts w:ascii="Times New Roman" w:hAnsi="Times New Roman"/>
          <w:sz w:val="24"/>
          <w:szCs w:val="24"/>
        </w:rPr>
        <w:t xml:space="preserve"> </w:t>
      </w:r>
      <w:r w:rsidRPr="00497B07">
        <w:rPr>
          <w:rFonts w:ascii="Times New Roman" w:hAnsi="Times New Roman"/>
          <w:sz w:val="24"/>
          <w:szCs w:val="24"/>
        </w:rPr>
        <w:t>So, plaintiff assumed command of the Seneca Street fire</w:t>
      </w:r>
      <w:r>
        <w:rPr>
          <w:rFonts w:ascii="Times New Roman" w:hAnsi="Times New Roman"/>
          <w:sz w:val="24"/>
          <w:szCs w:val="24"/>
        </w:rPr>
        <w:t>….</w:t>
      </w:r>
      <w:r w:rsidRPr="00497B07">
        <w:rPr>
          <w:rFonts w:ascii="Times New Roman" w:hAnsi="Times New Roman"/>
          <w:sz w:val="24"/>
          <w:szCs w:val="24"/>
        </w:rPr>
        <w:t xml:space="preserve"> With seven units already at the scene and assigned, plaintiff, as incident commander, had a</w:t>
      </w:r>
      <w:r>
        <w:rPr>
          <w:rFonts w:ascii="Times New Roman" w:hAnsi="Times New Roman"/>
          <w:sz w:val="24"/>
          <w:szCs w:val="24"/>
        </w:rPr>
        <w:t xml:space="preserve"> </w:t>
      </w:r>
      <w:r w:rsidRPr="00497B07">
        <w:rPr>
          <w:rFonts w:ascii="Times New Roman" w:hAnsi="Times New Roman"/>
          <w:sz w:val="24"/>
          <w:szCs w:val="24"/>
        </w:rPr>
        <w:t>lot of catching up to do</w:t>
      </w:r>
      <w:r>
        <w:rPr>
          <w:rFonts w:ascii="Times New Roman" w:hAnsi="Times New Roman"/>
          <w:sz w:val="24"/>
          <w:szCs w:val="24"/>
        </w:rPr>
        <w:t>….</w:t>
      </w:r>
      <w:r w:rsidRPr="00497B07">
        <w:rPr>
          <w:rFonts w:ascii="Times New Roman" w:hAnsi="Times New Roman"/>
          <w:sz w:val="24"/>
          <w:szCs w:val="24"/>
        </w:rPr>
        <w:t>(After Action Report Tr.). Plaintiff described the scene</w:t>
      </w:r>
      <w:r>
        <w:rPr>
          <w:rFonts w:ascii="Times New Roman" w:hAnsi="Times New Roman"/>
          <w:sz w:val="24"/>
          <w:szCs w:val="24"/>
        </w:rPr>
        <w:t xml:space="preserve"> </w:t>
      </w:r>
      <w:r w:rsidRPr="00497B07">
        <w:rPr>
          <w:rFonts w:ascii="Times New Roman" w:hAnsi="Times New Roman"/>
          <w:sz w:val="24"/>
          <w:szCs w:val="24"/>
        </w:rPr>
        <w:t xml:space="preserve">as a </w:t>
      </w:r>
      <w:r>
        <w:rPr>
          <w:rFonts w:ascii="Times New Roman" w:hAnsi="Times New Roman"/>
          <w:sz w:val="24"/>
          <w:szCs w:val="24"/>
        </w:rPr>
        <w:t>‘</w:t>
      </w:r>
      <w:r w:rsidRPr="00497B07">
        <w:rPr>
          <w:rFonts w:ascii="Times New Roman" w:hAnsi="Times New Roman"/>
          <w:sz w:val="24"/>
          <w:szCs w:val="24"/>
        </w:rPr>
        <w:t>shit show.</w:t>
      </w:r>
      <w:r>
        <w:rPr>
          <w:rFonts w:ascii="Times New Roman" w:hAnsi="Times New Roman"/>
          <w:sz w:val="24"/>
          <w:szCs w:val="24"/>
        </w:rPr>
        <w:t>’</w:t>
      </w:r>
      <w:r w:rsidRPr="00497B07">
        <w:rPr>
          <w:rFonts w:ascii="Times New Roman" w:hAnsi="Times New Roman"/>
          <w:sz w:val="24"/>
          <w:szCs w:val="24"/>
        </w:rPr>
        <w:t xml:space="preserve"> Doc. 86-7 </w:t>
      </w:r>
      <w:r w:rsidRPr="00497B07">
        <w:rPr>
          <w:rFonts w:ascii="Times New Roman" w:hAnsi="Times New Roman"/>
          <w:sz w:val="24"/>
          <w:szCs w:val="24"/>
        </w:rPr>
        <w:lastRenderedPageBreak/>
        <w:t>at 49 (Pl. Dep. 200:6–13). Plaintiff acknowledged that he struggled</w:t>
      </w:r>
      <w:r>
        <w:rPr>
          <w:rFonts w:ascii="Times New Roman" w:hAnsi="Times New Roman"/>
          <w:sz w:val="24"/>
          <w:szCs w:val="24"/>
        </w:rPr>
        <w:t xml:space="preserve"> </w:t>
      </w:r>
      <w:r w:rsidRPr="00497B07">
        <w:rPr>
          <w:rFonts w:ascii="Times New Roman" w:hAnsi="Times New Roman"/>
          <w:sz w:val="24"/>
          <w:szCs w:val="24"/>
        </w:rPr>
        <w:t xml:space="preserve">at the scene but </w:t>
      </w:r>
      <w:proofErr w:type="gramStart"/>
      <w:r w:rsidRPr="00497B07">
        <w:rPr>
          <w:rFonts w:ascii="Times New Roman" w:hAnsi="Times New Roman"/>
          <w:sz w:val="24"/>
          <w:szCs w:val="24"/>
        </w:rPr>
        <w:t>believes</w:t>
      </w:r>
      <w:proofErr w:type="gramEnd"/>
      <w:r w:rsidRPr="00497B07">
        <w:rPr>
          <w:rFonts w:ascii="Times New Roman" w:hAnsi="Times New Roman"/>
          <w:sz w:val="24"/>
          <w:szCs w:val="24"/>
        </w:rPr>
        <w:t xml:space="preserve"> that anyone in the same situation would have struggled. </w:t>
      </w:r>
    </w:p>
    <w:p w14:paraId="7BFE945B" w14:textId="77777777" w:rsidR="0056123D" w:rsidRDefault="0056123D" w:rsidP="0056123D">
      <w:pPr>
        <w:pStyle w:val="NoSpacing"/>
        <w:ind w:left="720"/>
        <w:rPr>
          <w:rFonts w:ascii="Times New Roman" w:hAnsi="Times New Roman"/>
          <w:sz w:val="24"/>
          <w:szCs w:val="24"/>
        </w:rPr>
      </w:pPr>
    </w:p>
    <w:p w14:paraId="708E6649"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21F6E8D8" w14:textId="77777777" w:rsidR="0056123D" w:rsidRDefault="0056123D" w:rsidP="0056123D">
      <w:pPr>
        <w:pStyle w:val="NoSpacing"/>
        <w:ind w:left="720"/>
        <w:rPr>
          <w:rFonts w:ascii="Times New Roman" w:hAnsi="Times New Roman"/>
          <w:sz w:val="24"/>
          <w:szCs w:val="24"/>
        </w:rPr>
      </w:pPr>
    </w:p>
    <w:p w14:paraId="184F76B8" w14:textId="77777777" w:rsidR="0056123D" w:rsidRPr="00C20869" w:rsidRDefault="0056123D" w:rsidP="0056123D">
      <w:pPr>
        <w:pStyle w:val="NoSpacing"/>
        <w:ind w:firstLine="720"/>
        <w:rPr>
          <w:rFonts w:ascii="Times New Roman" w:hAnsi="Times New Roman"/>
          <w:sz w:val="24"/>
          <w:szCs w:val="24"/>
        </w:rPr>
      </w:pPr>
      <w:r w:rsidRPr="00C20869">
        <w:rPr>
          <w:rFonts w:ascii="Times New Roman" w:hAnsi="Times New Roman"/>
          <w:sz w:val="24"/>
          <w:szCs w:val="24"/>
        </w:rPr>
        <w:t xml:space="preserve">Here, Chief Snow asked Pavelski to review plaintiff’s second evaluation </w:t>
      </w:r>
      <w:r>
        <w:rPr>
          <w:rFonts w:ascii="Times New Roman" w:hAnsi="Times New Roman"/>
          <w:sz w:val="24"/>
          <w:szCs w:val="24"/>
        </w:rPr>
        <w:t>‘</w:t>
      </w:r>
      <w:r w:rsidRPr="00C20869">
        <w:rPr>
          <w:rFonts w:ascii="Times New Roman" w:hAnsi="Times New Roman"/>
          <w:sz w:val="24"/>
          <w:szCs w:val="24"/>
        </w:rPr>
        <w:t>for accuracy</w:t>
      </w:r>
      <w:r>
        <w:rPr>
          <w:rFonts w:ascii="Times New Roman" w:hAnsi="Times New Roman"/>
          <w:sz w:val="24"/>
          <w:szCs w:val="24"/>
        </w:rPr>
        <w:t>.’</w:t>
      </w:r>
    </w:p>
    <w:p w14:paraId="3B8A38ED" w14:textId="77777777" w:rsidR="0056123D" w:rsidRPr="00C20869" w:rsidRDefault="0056123D" w:rsidP="0056123D">
      <w:pPr>
        <w:pStyle w:val="NoSpacing"/>
        <w:ind w:firstLine="720"/>
        <w:rPr>
          <w:rFonts w:ascii="Times New Roman" w:hAnsi="Times New Roman"/>
          <w:sz w:val="24"/>
          <w:szCs w:val="24"/>
        </w:rPr>
      </w:pPr>
      <w:r w:rsidRPr="00C20869">
        <w:rPr>
          <w:rFonts w:ascii="Times New Roman" w:hAnsi="Times New Roman"/>
          <w:sz w:val="24"/>
          <w:szCs w:val="24"/>
        </w:rPr>
        <w:t xml:space="preserve">Doc. 86-19 (Snow, Aug. 11, </w:t>
      </w:r>
      <w:proofErr w:type="gramStart"/>
      <w:r w:rsidRPr="00C20869">
        <w:rPr>
          <w:rFonts w:ascii="Times New Roman" w:hAnsi="Times New Roman"/>
          <w:sz w:val="24"/>
          <w:szCs w:val="24"/>
        </w:rPr>
        <w:t>2020</w:t>
      </w:r>
      <w:proofErr w:type="gramEnd"/>
      <w:r w:rsidRPr="00C20869">
        <w:rPr>
          <w:rFonts w:ascii="Times New Roman" w:hAnsi="Times New Roman"/>
          <w:sz w:val="24"/>
          <w:szCs w:val="24"/>
        </w:rPr>
        <w:t xml:space="preserve"> Email). Chief Snow wanted Pavelski to add a </w:t>
      </w:r>
      <w:r>
        <w:rPr>
          <w:rFonts w:ascii="Times New Roman" w:hAnsi="Times New Roman"/>
          <w:sz w:val="24"/>
          <w:szCs w:val="24"/>
        </w:rPr>
        <w:t>‘</w:t>
      </w:r>
      <w:r w:rsidRPr="00C20869">
        <w:rPr>
          <w:rFonts w:ascii="Times New Roman" w:hAnsi="Times New Roman"/>
          <w:sz w:val="24"/>
          <w:szCs w:val="24"/>
        </w:rPr>
        <w:t>note of</w:t>
      </w:r>
    </w:p>
    <w:p w14:paraId="40B6ABE6" w14:textId="77777777" w:rsidR="0056123D" w:rsidRDefault="0056123D" w:rsidP="0056123D">
      <w:pPr>
        <w:pStyle w:val="NoSpacing"/>
        <w:ind w:left="720"/>
        <w:rPr>
          <w:rFonts w:ascii="Times New Roman" w:hAnsi="Times New Roman"/>
          <w:sz w:val="24"/>
          <w:szCs w:val="24"/>
        </w:rPr>
      </w:pPr>
      <w:r w:rsidRPr="00C20869">
        <w:rPr>
          <w:rFonts w:ascii="Times New Roman" w:hAnsi="Times New Roman"/>
          <w:sz w:val="24"/>
          <w:szCs w:val="24"/>
        </w:rPr>
        <w:t>Accountability</w:t>
      </w:r>
      <w:r>
        <w:rPr>
          <w:rFonts w:ascii="Times New Roman" w:hAnsi="Times New Roman"/>
          <w:sz w:val="24"/>
          <w:szCs w:val="24"/>
        </w:rPr>
        <w:t>’</w:t>
      </w:r>
      <w:r w:rsidRPr="00C20869">
        <w:rPr>
          <w:rFonts w:ascii="Times New Roman" w:hAnsi="Times New Roman"/>
          <w:sz w:val="24"/>
          <w:szCs w:val="24"/>
        </w:rPr>
        <w:t xml:space="preserve"> about plaintiff’s performance at the Seneca Street Fire. Doc. 86-3 at 19 (Snow</w:t>
      </w:r>
      <w:r>
        <w:rPr>
          <w:rFonts w:ascii="Times New Roman" w:hAnsi="Times New Roman"/>
          <w:sz w:val="24"/>
          <w:szCs w:val="24"/>
        </w:rPr>
        <w:t xml:space="preserve"> </w:t>
      </w:r>
      <w:r w:rsidRPr="00C20869">
        <w:rPr>
          <w:rFonts w:ascii="Times New Roman" w:hAnsi="Times New Roman"/>
          <w:sz w:val="24"/>
          <w:szCs w:val="24"/>
        </w:rPr>
        <w:t>Dep. 58:4–11).</w:t>
      </w:r>
    </w:p>
    <w:p w14:paraId="3AED5B31" w14:textId="77777777" w:rsidR="0056123D" w:rsidRDefault="0056123D" w:rsidP="0056123D">
      <w:pPr>
        <w:pStyle w:val="NoSpacing"/>
        <w:ind w:left="720"/>
        <w:rPr>
          <w:rFonts w:ascii="Times New Roman" w:hAnsi="Times New Roman"/>
          <w:sz w:val="24"/>
          <w:szCs w:val="24"/>
        </w:rPr>
      </w:pPr>
    </w:p>
    <w:p w14:paraId="3ED028F6"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52C04E1E" w14:textId="77777777" w:rsidR="0056123D" w:rsidRDefault="0056123D" w:rsidP="0056123D">
      <w:pPr>
        <w:pStyle w:val="NoSpacing"/>
        <w:ind w:left="720"/>
        <w:rPr>
          <w:rFonts w:ascii="Times New Roman" w:hAnsi="Times New Roman"/>
          <w:sz w:val="24"/>
          <w:szCs w:val="24"/>
        </w:rPr>
      </w:pPr>
    </w:p>
    <w:p w14:paraId="3681AC31" w14:textId="77777777" w:rsidR="0056123D" w:rsidRPr="00C20869" w:rsidRDefault="0056123D" w:rsidP="0056123D">
      <w:pPr>
        <w:pStyle w:val="NoSpacing"/>
        <w:ind w:firstLine="720"/>
        <w:rPr>
          <w:rFonts w:ascii="Times New Roman" w:hAnsi="Times New Roman"/>
          <w:sz w:val="24"/>
          <w:szCs w:val="24"/>
        </w:rPr>
      </w:pPr>
      <w:r w:rsidRPr="00C20869">
        <w:rPr>
          <w:rFonts w:ascii="Times New Roman" w:hAnsi="Times New Roman"/>
          <w:sz w:val="24"/>
          <w:szCs w:val="24"/>
        </w:rPr>
        <w:t xml:space="preserve">And plaintiff acknowledged that the Seneca Street Fire was a </w:t>
      </w:r>
      <w:r>
        <w:rPr>
          <w:rFonts w:ascii="Times New Roman" w:hAnsi="Times New Roman"/>
          <w:sz w:val="24"/>
          <w:szCs w:val="24"/>
        </w:rPr>
        <w:t>‘</w:t>
      </w:r>
      <w:r w:rsidRPr="00C20869">
        <w:rPr>
          <w:rFonts w:ascii="Times New Roman" w:hAnsi="Times New Roman"/>
          <w:sz w:val="24"/>
          <w:szCs w:val="24"/>
        </w:rPr>
        <w:t>shit show,</w:t>
      </w:r>
      <w:r>
        <w:rPr>
          <w:rFonts w:ascii="Times New Roman" w:hAnsi="Times New Roman"/>
          <w:sz w:val="24"/>
          <w:szCs w:val="24"/>
        </w:rPr>
        <w:t xml:space="preserve">’ </w:t>
      </w:r>
      <w:r w:rsidRPr="00C20869">
        <w:rPr>
          <w:rFonts w:ascii="Times New Roman" w:hAnsi="Times New Roman"/>
          <w:sz w:val="24"/>
          <w:szCs w:val="24"/>
        </w:rPr>
        <w:t>Doc.</w:t>
      </w:r>
    </w:p>
    <w:p w14:paraId="27B79EBB" w14:textId="77777777" w:rsidR="0056123D" w:rsidRDefault="0056123D" w:rsidP="0056123D">
      <w:pPr>
        <w:pStyle w:val="NoSpacing"/>
        <w:ind w:left="720"/>
        <w:rPr>
          <w:rFonts w:ascii="Times New Roman" w:hAnsi="Times New Roman"/>
          <w:sz w:val="24"/>
          <w:szCs w:val="24"/>
        </w:rPr>
      </w:pPr>
      <w:r w:rsidRPr="00C20869">
        <w:rPr>
          <w:rFonts w:ascii="Times New Roman" w:hAnsi="Times New Roman"/>
          <w:sz w:val="24"/>
          <w:szCs w:val="24"/>
        </w:rPr>
        <w:t>86-7 at 49 (Pl. Dep. 200:6–13), and that he struggled at the scene, id. at 50 (Pl. Dep. 202:4–13).</w:t>
      </w:r>
      <w:r>
        <w:rPr>
          <w:rFonts w:ascii="Times New Roman" w:hAnsi="Times New Roman"/>
          <w:sz w:val="24"/>
          <w:szCs w:val="24"/>
        </w:rPr>
        <w:t xml:space="preserve"> </w:t>
      </w:r>
      <w:r w:rsidRPr="00C20869">
        <w:rPr>
          <w:rFonts w:ascii="Times New Roman" w:hAnsi="Times New Roman"/>
          <w:sz w:val="24"/>
          <w:szCs w:val="24"/>
        </w:rPr>
        <w:t>Defendants’ reason for altering plaintiff’s review is not facially prohibited—</w:t>
      </w:r>
      <w:proofErr w:type="gramStart"/>
      <w:r w:rsidRPr="00C20869">
        <w:rPr>
          <w:rFonts w:ascii="Times New Roman" w:hAnsi="Times New Roman"/>
          <w:sz w:val="24"/>
          <w:szCs w:val="24"/>
        </w:rPr>
        <w:t>so,</w:t>
      </w:r>
      <w:proofErr w:type="gramEnd"/>
      <w:r w:rsidRPr="00C20869">
        <w:rPr>
          <w:rFonts w:ascii="Times New Roman" w:hAnsi="Times New Roman"/>
          <w:sz w:val="24"/>
          <w:szCs w:val="24"/>
        </w:rPr>
        <w:t xml:space="preserve"> defendants have</w:t>
      </w:r>
      <w:r>
        <w:rPr>
          <w:rFonts w:ascii="Times New Roman" w:hAnsi="Times New Roman"/>
          <w:sz w:val="24"/>
          <w:szCs w:val="24"/>
        </w:rPr>
        <w:t xml:space="preserve"> </w:t>
      </w:r>
      <w:r w:rsidRPr="00C20869">
        <w:rPr>
          <w:rFonts w:ascii="Times New Roman" w:hAnsi="Times New Roman"/>
          <w:sz w:val="24"/>
          <w:szCs w:val="24"/>
        </w:rPr>
        <w:t>satisfied their burden at this step. Also, plaintiff doesn’t argue that defendants have failed to</w:t>
      </w:r>
      <w:r>
        <w:rPr>
          <w:rFonts w:ascii="Times New Roman" w:hAnsi="Times New Roman"/>
          <w:sz w:val="24"/>
          <w:szCs w:val="24"/>
        </w:rPr>
        <w:t xml:space="preserve"> </w:t>
      </w:r>
      <w:r w:rsidRPr="00C20869">
        <w:rPr>
          <w:rFonts w:ascii="Times New Roman" w:hAnsi="Times New Roman"/>
          <w:sz w:val="24"/>
          <w:szCs w:val="24"/>
        </w:rPr>
        <w:t>proffer a legitimate, non-discriminatory reason for modifying his performance evaluation. See</w:t>
      </w:r>
      <w:r>
        <w:rPr>
          <w:rFonts w:ascii="Times New Roman" w:hAnsi="Times New Roman"/>
          <w:sz w:val="24"/>
          <w:szCs w:val="24"/>
        </w:rPr>
        <w:t xml:space="preserve"> </w:t>
      </w:r>
      <w:r w:rsidRPr="00C20869">
        <w:rPr>
          <w:rFonts w:ascii="Times New Roman" w:hAnsi="Times New Roman"/>
          <w:sz w:val="24"/>
          <w:szCs w:val="24"/>
        </w:rPr>
        <w:t>generally Doc. 91. Defendants simply wanted plaintiff’s performance evaluation to include</w:t>
      </w:r>
      <w:r>
        <w:rPr>
          <w:rFonts w:ascii="Times New Roman" w:hAnsi="Times New Roman"/>
          <w:sz w:val="24"/>
          <w:szCs w:val="24"/>
        </w:rPr>
        <w:t xml:space="preserve"> </w:t>
      </w:r>
      <w:r w:rsidRPr="00C20869">
        <w:rPr>
          <w:rFonts w:ascii="Times New Roman" w:hAnsi="Times New Roman"/>
          <w:sz w:val="24"/>
          <w:szCs w:val="24"/>
        </w:rPr>
        <w:t>information about the Seneca Street Fire. This showing qualifies as a legitimate,</w:t>
      </w:r>
      <w:r>
        <w:rPr>
          <w:rFonts w:ascii="Times New Roman" w:hAnsi="Times New Roman"/>
          <w:sz w:val="24"/>
          <w:szCs w:val="24"/>
        </w:rPr>
        <w:t xml:space="preserve"> </w:t>
      </w:r>
      <w:r w:rsidRPr="00C20869">
        <w:rPr>
          <w:rFonts w:ascii="Times New Roman" w:hAnsi="Times New Roman"/>
          <w:sz w:val="24"/>
          <w:szCs w:val="24"/>
        </w:rPr>
        <w:t>nondiscriminatory reason satisfactory to discharge the City’s burden at step two.</w:t>
      </w:r>
    </w:p>
    <w:p w14:paraId="4A5137FC" w14:textId="77777777" w:rsidR="0056123D" w:rsidRDefault="0056123D" w:rsidP="0056123D">
      <w:pPr>
        <w:pStyle w:val="NoSpacing"/>
        <w:ind w:left="720"/>
        <w:rPr>
          <w:rFonts w:ascii="Times New Roman" w:hAnsi="Times New Roman"/>
          <w:sz w:val="24"/>
          <w:szCs w:val="24"/>
        </w:rPr>
      </w:pPr>
    </w:p>
    <w:p w14:paraId="28DDA666"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5A456774" w14:textId="77777777" w:rsidR="0056123D" w:rsidRDefault="0056123D" w:rsidP="0056123D">
      <w:pPr>
        <w:pStyle w:val="NoSpacing"/>
        <w:ind w:firstLine="720"/>
        <w:rPr>
          <w:rFonts w:ascii="Times New Roman" w:hAnsi="Times New Roman"/>
          <w:sz w:val="24"/>
          <w:szCs w:val="24"/>
        </w:rPr>
      </w:pPr>
      <w:r>
        <w:rPr>
          <w:rFonts w:ascii="Times New Roman" w:hAnsi="Times New Roman"/>
          <w:sz w:val="24"/>
          <w:szCs w:val="24"/>
        </w:rPr>
        <w:t>T</w:t>
      </w:r>
      <w:r w:rsidRPr="00C20869">
        <w:rPr>
          <w:rFonts w:ascii="Times New Roman" w:hAnsi="Times New Roman"/>
          <w:sz w:val="24"/>
          <w:szCs w:val="24"/>
        </w:rPr>
        <w:t>he court concludes, instead, that plaintiff has failed to present triable issues of race</w:t>
      </w:r>
    </w:p>
    <w:p w14:paraId="339EA329" w14:textId="77777777" w:rsidR="0056123D" w:rsidRDefault="0056123D" w:rsidP="0056123D">
      <w:pPr>
        <w:pStyle w:val="NoSpacing"/>
        <w:ind w:left="720"/>
        <w:rPr>
          <w:rFonts w:ascii="Times New Roman" w:hAnsi="Times New Roman"/>
          <w:sz w:val="24"/>
          <w:szCs w:val="24"/>
        </w:rPr>
      </w:pPr>
      <w:r w:rsidRPr="00C20869">
        <w:rPr>
          <w:rFonts w:ascii="Times New Roman" w:hAnsi="Times New Roman"/>
          <w:sz w:val="24"/>
          <w:szCs w:val="24"/>
        </w:rPr>
        <w:t>discrimination and retaliation, so it declines to invoke its supplemental jurisdiction over the state</w:t>
      </w:r>
      <w:r>
        <w:rPr>
          <w:rFonts w:ascii="Times New Roman" w:hAnsi="Times New Roman"/>
          <w:sz w:val="24"/>
          <w:szCs w:val="24"/>
        </w:rPr>
        <w:t xml:space="preserve"> </w:t>
      </w:r>
      <w:r w:rsidRPr="00C20869">
        <w:rPr>
          <w:rFonts w:ascii="Times New Roman" w:hAnsi="Times New Roman"/>
          <w:sz w:val="24"/>
          <w:szCs w:val="24"/>
        </w:rPr>
        <w:t>law claims under 28 U.S.C.§ 1367(c)(3).</w:t>
      </w:r>
      <w:r>
        <w:rPr>
          <w:rFonts w:ascii="Times New Roman" w:hAnsi="Times New Roman"/>
          <w:sz w:val="24"/>
          <w:szCs w:val="24"/>
        </w:rPr>
        <w:t xml:space="preserve">”  </w:t>
      </w:r>
      <w:hyperlink r:id="rId849" w:history="1">
        <w:r w:rsidRPr="002833D6">
          <w:rPr>
            <w:rStyle w:val="Hyperlink"/>
            <w:rFonts w:ascii="Times New Roman" w:hAnsi="Times New Roman"/>
            <w:sz w:val="24"/>
            <w:szCs w:val="24"/>
          </w:rPr>
          <w:t>https://cases.justia.com/federal/district-courts/kansas/ksdce/6:2022cv01032/140026/96/0.pdf?ts=1694273736</w:t>
        </w:r>
      </w:hyperlink>
      <w:r>
        <w:rPr>
          <w:rFonts w:ascii="Times New Roman" w:hAnsi="Times New Roman"/>
          <w:sz w:val="24"/>
          <w:szCs w:val="24"/>
        </w:rPr>
        <w:t xml:space="preserve"> </w:t>
      </w:r>
    </w:p>
    <w:p w14:paraId="2E279ACA" w14:textId="77777777" w:rsidR="00AC3E10" w:rsidRDefault="00AC3E10" w:rsidP="00AC3E10">
      <w:pPr>
        <w:pStyle w:val="NoSpacing"/>
        <w:rPr>
          <w:rFonts w:ascii="Times New Roman" w:hAnsi="Times New Roman"/>
          <w:b/>
          <w:bCs/>
          <w:sz w:val="24"/>
          <w:szCs w:val="24"/>
        </w:rPr>
      </w:pPr>
    </w:p>
    <w:p w14:paraId="15C3BA2A" w14:textId="59265213" w:rsidR="00AC3E10" w:rsidRPr="0000521D" w:rsidRDefault="00AC3E10" w:rsidP="00AC3E10">
      <w:pPr>
        <w:pStyle w:val="NoSpacing"/>
        <w:rPr>
          <w:rFonts w:ascii="Times New Roman" w:hAnsi="Times New Roman"/>
          <w:b/>
          <w:bCs/>
          <w:sz w:val="24"/>
          <w:szCs w:val="24"/>
        </w:rPr>
      </w:pPr>
      <w:r w:rsidRPr="0000521D">
        <w:rPr>
          <w:rFonts w:ascii="Times New Roman" w:hAnsi="Times New Roman"/>
          <w:b/>
          <w:bCs/>
          <w:sz w:val="24"/>
          <w:szCs w:val="24"/>
        </w:rPr>
        <w:t>Legal Lesson Learned:</w:t>
      </w:r>
      <w:r>
        <w:rPr>
          <w:rFonts w:ascii="Times New Roman" w:hAnsi="Times New Roman"/>
          <w:b/>
          <w:bCs/>
          <w:sz w:val="24"/>
          <w:szCs w:val="24"/>
        </w:rPr>
        <w:t xml:space="preserve"> Fire Chief properly ordered the annual performance review </w:t>
      </w:r>
      <w:proofErr w:type="gramStart"/>
      <w:r>
        <w:rPr>
          <w:rFonts w:ascii="Times New Roman" w:hAnsi="Times New Roman"/>
          <w:b/>
          <w:bCs/>
          <w:sz w:val="24"/>
          <w:szCs w:val="24"/>
        </w:rPr>
        <w:t>include</w:t>
      </w:r>
      <w:proofErr w:type="gramEnd"/>
      <w:r>
        <w:rPr>
          <w:rFonts w:ascii="Times New Roman" w:hAnsi="Times New Roman"/>
          <w:b/>
          <w:bCs/>
          <w:sz w:val="24"/>
          <w:szCs w:val="24"/>
        </w:rPr>
        <w:t xml:space="preserve"> reference to IC issues at strip mall fire.  </w:t>
      </w:r>
    </w:p>
    <w:p w14:paraId="57C7598F" w14:textId="77777777" w:rsidR="00AC3E10" w:rsidRDefault="00AC3E10" w:rsidP="002B1283">
      <w:pPr>
        <w:rPr>
          <w:rStyle w:val="Hyperlink"/>
          <w:rFonts w:ascii="Arial Black" w:hAnsi="Arial Black"/>
          <w:b/>
          <w:color w:val="auto"/>
          <w:sz w:val="24"/>
          <w:szCs w:val="24"/>
          <w:u w:val="none"/>
        </w:rPr>
      </w:pPr>
    </w:p>
    <w:p w14:paraId="5F45B531" w14:textId="77777777" w:rsidR="0056123D" w:rsidRDefault="0056123D" w:rsidP="002B1283">
      <w:pPr>
        <w:rPr>
          <w:rStyle w:val="Hyperlink"/>
          <w:rFonts w:ascii="Arial Black" w:hAnsi="Arial Black"/>
          <w:b/>
          <w:color w:val="auto"/>
          <w:sz w:val="24"/>
          <w:szCs w:val="24"/>
          <w:u w:val="none"/>
        </w:rPr>
      </w:pPr>
    </w:p>
    <w:p w14:paraId="27E17CB9" w14:textId="05CB31E4" w:rsidR="009B0593" w:rsidRDefault="009B059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4-30</w:t>
      </w:r>
    </w:p>
    <w:p w14:paraId="40A8EE8E" w14:textId="77777777" w:rsidR="009B0593" w:rsidRDefault="009B0593" w:rsidP="009B0593">
      <w:pPr>
        <w:pStyle w:val="NormalWeb"/>
        <w:rPr>
          <w:rFonts w:ascii="Arial Black" w:hAnsi="Arial Black"/>
          <w:sz w:val="28"/>
          <w:szCs w:val="28"/>
        </w:rPr>
      </w:pPr>
      <w:r>
        <w:rPr>
          <w:rFonts w:ascii="Arial Black" w:hAnsi="Arial Black"/>
          <w:sz w:val="28"/>
          <w:szCs w:val="28"/>
        </w:rPr>
        <w:t>MD: 46-YR OLD RECRUIT – TERMINATED AT END OF RECRUIT CLASS – POOR PERFORMANCE DOCUMENTED</w:t>
      </w:r>
    </w:p>
    <w:p w14:paraId="2BD489DD" w14:textId="77777777" w:rsidR="009B0593" w:rsidRPr="00BD0E49" w:rsidRDefault="009B0593" w:rsidP="009B0593">
      <w:pPr>
        <w:pStyle w:val="NormalWeb"/>
      </w:pPr>
      <w:r w:rsidRPr="00BD0E49">
        <w:t xml:space="preserve">On Aug. 17, 2023, in </w:t>
      </w:r>
      <w:r w:rsidRPr="00BF2C69">
        <w:rPr>
          <w:u w:val="single"/>
        </w:rPr>
        <w:t>Robert D. Whittaker v. Howard County, Maryland</w:t>
      </w:r>
      <w:r w:rsidRPr="00BD0E49">
        <w:t>, Chief U.S. Magistrate Judge Beth P. Gesner granted summary judgment to the County</w:t>
      </w:r>
      <w:r>
        <w:t xml:space="preserve">, holding that the FD provided detailed training records showing that the </w:t>
      </w:r>
      <w:proofErr w:type="gramStart"/>
      <w:r>
        <w:t>46-year old</w:t>
      </w:r>
      <w:proofErr w:type="gramEnd"/>
      <w:r>
        <w:t xml:space="preserve"> FF was not meeting legitimate performance expectations. The plaintiff failed to prove the FD discriminated against him </w:t>
      </w:r>
      <w:proofErr w:type="gramStart"/>
      <w:r>
        <w:t>on the basis of</w:t>
      </w:r>
      <w:proofErr w:type="gramEnd"/>
      <w:r>
        <w:t xml:space="preserve"> age. </w:t>
      </w:r>
    </w:p>
    <w:p w14:paraId="13B9B9AE" w14:textId="77777777" w:rsidR="009B0593" w:rsidRDefault="009B0593" w:rsidP="009B0593">
      <w:pPr>
        <w:pStyle w:val="NormalWeb"/>
      </w:pPr>
      <w:r>
        <w:tab/>
        <w:t xml:space="preserve">The Magistrate wrote: </w:t>
      </w:r>
    </w:p>
    <w:p w14:paraId="57150C3F" w14:textId="77777777" w:rsidR="009B0593" w:rsidRDefault="009B0593" w:rsidP="009B0593">
      <w:pPr>
        <w:pStyle w:val="NormalWeb"/>
        <w:ind w:left="720"/>
      </w:pPr>
      <w:r>
        <w:t xml:space="preserve">“Defendant, on the other hand, offers Student Counseling/Status Report Forms and contemporaneous email exchanges between Academy trainers as evidence that plaintiff was not meeting the Department's legitimate expectations at the time of his termination. (ECF Nos. 25-8 to 25-18). Specifically, defendant identifies numerous examples of plaintiff's poor performance. </w:t>
      </w:r>
    </w:p>
    <w:p w14:paraId="5D83A407" w14:textId="77777777" w:rsidR="009B0593" w:rsidRDefault="009B0593" w:rsidP="009B0593">
      <w:pPr>
        <w:pStyle w:val="NormalWeb"/>
        <w:ind w:left="720"/>
      </w:pPr>
      <w:r>
        <w:lastRenderedPageBreak/>
        <w:t>***</w:t>
      </w:r>
    </w:p>
    <w:p w14:paraId="1E3883E6" w14:textId="77777777" w:rsidR="009B0593" w:rsidRDefault="009B0593" w:rsidP="009B0593">
      <w:pPr>
        <w:pStyle w:val="NormalWeb"/>
        <w:ind w:left="720"/>
      </w:pPr>
      <w:r>
        <w:t xml:space="preserve">Several members of Academy staff produced recommendations in support of plaintiff's termination based upon plaintiff's deficiencies in </w:t>
      </w:r>
      <w:proofErr w:type="gramStart"/>
      <w:r>
        <w:t>a number of</w:t>
      </w:r>
      <w:proofErr w:type="gramEnd"/>
      <w:r>
        <w:t xml:space="preserve"> areas. (ECF Nos. 25-11 at 3, 25-17, 25-18, 25-19). Plaintiff's own belief that he was performing </w:t>
      </w:r>
      <w:proofErr w:type="gramStart"/>
      <w:r>
        <w:t>effectively</w:t>
      </w:r>
      <w:proofErr w:type="gramEnd"/>
      <w:r>
        <w:t xml:space="preserve"> and the opinion of his fellow trainees are insufficient to call into question defendant's reasons for terminating plaintiff. In sum, plaintiff has failed to establish that his age was the ‘but-for cause’ of his termination and that defendant's stated, non-discriminatory reasons for plaintiff's termination were a pretext for discrimination. </w:t>
      </w:r>
      <w:r>
        <w:rPr>
          <w:i/>
          <w:iCs/>
        </w:rPr>
        <w:t>See Gross,</w:t>
      </w:r>
      <w:r>
        <w:t xml:space="preserve"> </w:t>
      </w:r>
      <w:hyperlink r:id="rId850" w:anchor="p176" w:history="1">
        <w:r>
          <w:rPr>
            <w:rStyle w:val="Hyperlink"/>
            <w:rFonts w:eastAsiaTheme="majorEastAsia"/>
          </w:rPr>
          <w:t>557 U.S. at 176</w:t>
        </w:r>
      </w:hyperlink>
      <w:r>
        <w:t xml:space="preserve"> (plaintiff </w:t>
      </w:r>
      <w:proofErr w:type="gramStart"/>
      <w:r>
        <w:t>has to</w:t>
      </w:r>
      <w:proofErr w:type="gramEnd"/>
      <w:r>
        <w:t xml:space="preserve"> show ‘by a preponderance of the evidence,’ that age was the ‘but-for cause’ of his discharge). Thus, plaintiff has failed to offer evidence to create a genuine factual dispute as to whether his employer discriminated against him </w:t>
      </w:r>
      <w:proofErr w:type="gramStart"/>
      <w:r>
        <w:t>on the basis of</w:t>
      </w:r>
      <w:proofErr w:type="gramEnd"/>
      <w:r>
        <w:t xml:space="preserve"> age.” </w:t>
      </w:r>
      <w:hyperlink r:id="rId851" w:history="1">
        <w:r w:rsidRPr="00CD12AF">
          <w:rPr>
            <w:rStyle w:val="Hyperlink"/>
            <w:rFonts w:eastAsiaTheme="majorEastAsia"/>
          </w:rPr>
          <w:t>https://casetext.com/case/whittaker-v-howard-cnty-md</w:t>
        </w:r>
      </w:hyperlink>
      <w:r>
        <w:t xml:space="preserve"> </w:t>
      </w:r>
    </w:p>
    <w:p w14:paraId="75004E89" w14:textId="77777777" w:rsidR="009B0593" w:rsidRPr="00BF2C69" w:rsidRDefault="009B0593" w:rsidP="009B0593">
      <w:pPr>
        <w:spacing w:before="100" w:beforeAutospacing="1" w:after="100" w:afterAutospacing="1" w:line="240" w:lineRule="auto"/>
        <w:rPr>
          <w:rFonts w:ascii="Times New Roman" w:eastAsia="Times New Roman" w:hAnsi="Times New Roman"/>
          <w:b/>
          <w:bCs/>
          <w:sz w:val="24"/>
          <w:szCs w:val="24"/>
        </w:rPr>
      </w:pPr>
      <w:r w:rsidRPr="00BF2C69">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FD thoroughly documented the FF’s training deficiencies. </w:t>
      </w:r>
    </w:p>
    <w:p w14:paraId="624D0AEC" w14:textId="77777777" w:rsidR="009B0593" w:rsidRDefault="009B0593" w:rsidP="002B1283">
      <w:pPr>
        <w:rPr>
          <w:rStyle w:val="Hyperlink"/>
          <w:rFonts w:ascii="Arial Black" w:hAnsi="Arial Black"/>
          <w:b/>
          <w:color w:val="auto"/>
          <w:sz w:val="24"/>
          <w:szCs w:val="24"/>
          <w:u w:val="none"/>
        </w:rPr>
      </w:pPr>
    </w:p>
    <w:p w14:paraId="493A77CB" w14:textId="77777777" w:rsidR="009B0593" w:rsidRDefault="009B0593" w:rsidP="002B1283">
      <w:pPr>
        <w:rPr>
          <w:rStyle w:val="Hyperlink"/>
          <w:rFonts w:ascii="Arial Black" w:hAnsi="Arial Black"/>
          <w:b/>
          <w:color w:val="auto"/>
          <w:sz w:val="24"/>
          <w:szCs w:val="24"/>
          <w:u w:val="none"/>
        </w:rPr>
      </w:pPr>
    </w:p>
    <w:p w14:paraId="0603B8CF" w14:textId="107A91DD" w:rsidR="00DC17BF" w:rsidRDefault="00DC17B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4-29</w:t>
      </w:r>
    </w:p>
    <w:p w14:paraId="5B42FE5C" w14:textId="77777777" w:rsidR="00DC17BF" w:rsidRPr="002304C0" w:rsidRDefault="00DC17BF" w:rsidP="00DC17BF">
      <w:pPr>
        <w:pStyle w:val="NormalWeb"/>
        <w:rPr>
          <w:rFonts w:ascii="Arial Black" w:hAnsi="Arial Black"/>
          <w:b/>
          <w:bCs/>
          <w:sz w:val="28"/>
          <w:szCs w:val="28"/>
        </w:rPr>
      </w:pPr>
      <w:bookmarkStart w:id="174" w:name="_Hlk136858989"/>
      <w:r>
        <w:rPr>
          <w:rFonts w:ascii="Arial Black" w:hAnsi="Arial Black"/>
          <w:b/>
          <w:bCs/>
          <w:sz w:val="28"/>
          <w:szCs w:val="28"/>
        </w:rPr>
        <w:t>NY: MENTAL PATIENT – LOCKED IN ROOM - SAWZALL CUT DOOR, MAN GRABBED SAW – LATER DIED – CASE PROCEED</w:t>
      </w:r>
    </w:p>
    <w:bookmarkEnd w:id="174"/>
    <w:p w14:paraId="3425080F" w14:textId="77777777" w:rsidR="00DC17BF" w:rsidRDefault="00DC17BF" w:rsidP="00DC17BF">
      <w:pPr>
        <w:pStyle w:val="NormalWeb"/>
      </w:pPr>
      <w:r w:rsidRPr="002304C0">
        <w:t xml:space="preserve">On May 30, 2023, in </w:t>
      </w:r>
      <w:r w:rsidRPr="002304C0">
        <w:rPr>
          <w:u w:val="single"/>
        </w:rPr>
        <w:t>Anthony Andre Paul, et al. v. The City of New York</w:t>
      </w:r>
      <w:r>
        <w:t xml:space="preserve">, U.S. District Court Judge Vernon S. Broderick, U.S. District Court for Southern District of New York, denied the City’s motion for summary judgment. The judge held that while police had lawful authority to force the door, tase the person, and take him to hospital, use of Sawzall raises jury </w:t>
      </w:r>
      <w:proofErr w:type="gramStart"/>
      <w:r>
        <w:t>question</w:t>
      </w:r>
      <w:proofErr w:type="gramEnd"/>
      <w:r>
        <w:t xml:space="preserve">. </w:t>
      </w:r>
    </w:p>
    <w:p w14:paraId="0BB2EBDD" w14:textId="77777777" w:rsidR="00DC17BF" w:rsidRDefault="00DC17BF" w:rsidP="00DC17BF">
      <w:pPr>
        <w:pStyle w:val="NormalWeb"/>
        <w:ind w:left="720"/>
        <w:rPr>
          <w:b/>
          <w:bCs/>
        </w:rPr>
      </w:pPr>
      <w:r>
        <w:t xml:space="preserve">“Here, there appears to be harmful bodily contact between the saw and Paul as evidenced by, among other things, the injuries Paul sustained to his hands. Further, Plaintiff asserts that the officers used the saw with the intent of harming Paul. Whether or not the evidence supports this assertion is a question of fact for the </w:t>
      </w:r>
      <w:proofErr w:type="gramStart"/>
      <w:r>
        <w:t>jury.”</w:t>
      </w:r>
      <w:proofErr w:type="gramEnd"/>
      <w:r>
        <w:t xml:space="preserve"> </w:t>
      </w:r>
      <w:hyperlink r:id="rId852" w:history="1">
        <w:r w:rsidRPr="00B908DF">
          <w:rPr>
            <w:rStyle w:val="Hyperlink"/>
            <w:rFonts w:eastAsiaTheme="majorEastAsia"/>
          </w:rPr>
          <w:t>https://public.fastcase.com/ZZhmr5v9wN%2FXOe5IsQ%2FqD1CdH2R29LNK8BT0hnz9oKtXR%2FoMxL2xC63e%2BHHuthpWCwncj7bfE4lB3MomO4uqm4E3oXBdMMZD2IWz0SNqHm0%3D?utm_medium=email&amp;_hsmi=226712652&amp;_hsenc=p2ANqtz-_2XBA_cBQDF2xes7gnarhZ-sbkcdxdJUtVuyLwtAqY2WUUI2XYCC6QqVwiuQaE3r8IP3AVZ-ZehQ2YYsnZUf5Qzx_SHw&amp;utm_content=226712652&amp;utm_source=hs_email</w:t>
        </w:r>
      </w:hyperlink>
      <w:r>
        <w:t xml:space="preserve"> </w:t>
      </w:r>
    </w:p>
    <w:p w14:paraId="65D4A063" w14:textId="77777777" w:rsidR="00DC17BF" w:rsidRPr="00CD614F" w:rsidRDefault="00DC17BF" w:rsidP="00DC17BF">
      <w:pPr>
        <w:pStyle w:val="NormalWeb"/>
        <w:rPr>
          <w:b/>
          <w:bCs/>
        </w:rPr>
      </w:pPr>
      <w:r w:rsidRPr="00CD614F">
        <w:rPr>
          <w:b/>
          <w:bCs/>
        </w:rPr>
        <w:t xml:space="preserve">Legal Lesson Learned: </w:t>
      </w:r>
      <w:r>
        <w:rPr>
          <w:b/>
          <w:bCs/>
        </w:rPr>
        <w:t xml:space="preserve">Review your SOP on forced entry and use of power saws. </w:t>
      </w:r>
    </w:p>
    <w:p w14:paraId="592AD7C5" w14:textId="17EBB9EA" w:rsidR="007959C9" w:rsidRDefault="002D64A4"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4-28</w:t>
      </w:r>
    </w:p>
    <w:p w14:paraId="61D55321" w14:textId="77777777" w:rsidR="002D64A4" w:rsidRPr="00835DBE" w:rsidRDefault="002D64A4" w:rsidP="002D64A4">
      <w:pPr>
        <w:pStyle w:val="NormalWeb"/>
        <w:rPr>
          <w:rFonts w:ascii="Arial Black" w:hAnsi="Arial Black"/>
          <w:sz w:val="28"/>
          <w:szCs w:val="28"/>
        </w:rPr>
      </w:pPr>
      <w:r>
        <w:rPr>
          <w:rFonts w:ascii="Arial Black" w:hAnsi="Arial Black"/>
          <w:sz w:val="28"/>
          <w:szCs w:val="28"/>
        </w:rPr>
        <w:t>NB: FF FIRED – SHE CLAIMED CAPTAIN “ABANDONED US” IN FIRE – MAY DEPOSE OUTSIDE ATTY INVESTIGATED CLAIM</w:t>
      </w:r>
    </w:p>
    <w:p w14:paraId="4FE30FE6" w14:textId="77777777" w:rsidR="002D64A4" w:rsidRDefault="002D64A4" w:rsidP="002D64A4">
      <w:pPr>
        <w:spacing w:after="100" w:line="240" w:lineRule="auto"/>
        <w:jc w:val="both"/>
        <w:rPr>
          <w:rFonts w:ascii="Times New Roman" w:hAnsi="Times New Roman"/>
          <w:sz w:val="24"/>
          <w:szCs w:val="24"/>
        </w:rPr>
      </w:pPr>
      <w:r w:rsidRPr="006F5EA9">
        <w:rPr>
          <w:rFonts w:ascii="Times New Roman" w:hAnsi="Times New Roman"/>
          <w:sz w:val="24"/>
          <w:szCs w:val="24"/>
        </w:rPr>
        <w:t xml:space="preserve">On March 1, 2023, in </w:t>
      </w:r>
      <w:r w:rsidRPr="006F5EA9">
        <w:rPr>
          <w:rFonts w:ascii="Times New Roman" w:hAnsi="Times New Roman"/>
          <w:sz w:val="24"/>
          <w:szCs w:val="24"/>
          <w:u w:val="single"/>
        </w:rPr>
        <w:t>Amanda Benson v. City of Lincoln, et al</w:t>
      </w:r>
      <w:r w:rsidRPr="006F5EA9">
        <w:rPr>
          <w:rFonts w:ascii="Times New Roman" w:hAnsi="Times New Roman"/>
          <w:sz w:val="24"/>
          <w:szCs w:val="24"/>
        </w:rPr>
        <w:t xml:space="preserve">., U.S. District Court Judge Brian C. Buescher, District Court of Nebraska, entered an order limiting the topics that plaintiff may ask during the deposition of attorney Torrey Gerdes, who was retained by the City (paid $180,000) to investigated the firefighter’s claims of </w:t>
      </w:r>
      <w:r w:rsidRPr="006F5EA9">
        <w:rPr>
          <w:rFonts w:ascii="Times New Roman" w:hAnsi="Times New Roman"/>
          <w:sz w:val="24"/>
          <w:szCs w:val="24"/>
        </w:rPr>
        <w:lastRenderedPageBreak/>
        <w:t xml:space="preserve">being endangered by a FD Captain at the warehouse fire.  Judge Buescher ruled that the City did not wave the attorney-client privilege (such as her advice to the City) or attorney work product privilege (such as her investigative notes) when it provided the investigation report to the plaintiff.  </w:t>
      </w:r>
    </w:p>
    <w:p w14:paraId="54E5CE82" w14:textId="77777777" w:rsidR="002D64A4" w:rsidRPr="006F5EA9" w:rsidRDefault="002D64A4" w:rsidP="002D64A4">
      <w:pPr>
        <w:spacing w:after="100" w:line="240" w:lineRule="auto"/>
        <w:jc w:val="both"/>
        <w:rPr>
          <w:rFonts w:ascii="Times New Roman" w:eastAsia="Times New Roman" w:hAnsi="Times New Roman"/>
          <w:sz w:val="24"/>
          <w:szCs w:val="24"/>
        </w:rPr>
      </w:pPr>
      <w:hyperlink r:id="rId853" w:history="1">
        <w:r w:rsidRPr="00C863CC">
          <w:rPr>
            <w:rStyle w:val="Hyperlink"/>
            <w:rFonts w:ascii="Times New Roman" w:hAnsi="Times New Roman"/>
            <w:sz w:val="24"/>
            <w:szCs w:val="24"/>
          </w:rPr>
          <w:t>https://public.fastcase.com/J%2FJP6pdidelsXxEE4k%2BLMku%2FobbeA4O7XFFZreFgRQx%2BWZ7fzC1IhmGay6LSjTfKJi%2F0lJWfruI6T6uwjyLWcTFUlKk%2FJDuh9Eyt0JVbsGk%3D?utm_medium=email&amp;_hsmi=226712652&amp;_hsenc=p2ANqtz-8osvFL3X0gyhLaJKRyW92xrD2GPamYVB-ledl39OimVvrR3SDszthVFmIjtescLBDKIYLBKlOi8FN2nFy4wMQT_YiRlg&amp;utm_content=226712652&amp;utm_source=hs_email</w:t>
        </w:r>
      </w:hyperlink>
      <w:r w:rsidRPr="006F5EA9">
        <w:rPr>
          <w:rFonts w:ascii="Times New Roman" w:hAnsi="Times New Roman"/>
          <w:sz w:val="24"/>
          <w:szCs w:val="24"/>
        </w:rPr>
        <w:t xml:space="preserve">  </w:t>
      </w:r>
    </w:p>
    <w:p w14:paraId="0F3036E8" w14:textId="77777777" w:rsidR="002D64A4" w:rsidRDefault="002D64A4" w:rsidP="002D64A4">
      <w:pPr>
        <w:pStyle w:val="NormalWeb"/>
        <w:ind w:left="720"/>
      </w:pPr>
      <w:r>
        <w:t>“On October 19, 2021, after a [pre-disciplinary] hearing, Chief Engler terminated Benson's employment, concluding:</w:t>
      </w:r>
    </w:p>
    <w:p w14:paraId="47B7286A" w14:textId="77777777" w:rsidR="002D64A4" w:rsidRDefault="002D64A4" w:rsidP="002D64A4">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1D30FE">
        <w:rPr>
          <w:rFonts w:ascii="Times New Roman" w:eastAsia="Times New Roman" w:hAnsi="Times New Roman"/>
          <w:sz w:val="24"/>
          <w:szCs w:val="24"/>
        </w:rPr>
        <w:t xml:space="preserve">The evidence confirms that you made serious false allegations against a fellow firefighter. You reported to Lincoln Fire and Rescue (LF&amp;R) and have continuously stated thereafter that you and your crew were abandoned in a dangerous burning warehouse by Captain Shawn Mahler at the April 26, </w:t>
      </w:r>
      <w:proofErr w:type="gramStart"/>
      <w:r w:rsidRPr="001D30FE">
        <w:rPr>
          <w:rFonts w:ascii="Times New Roman" w:eastAsia="Times New Roman" w:hAnsi="Times New Roman"/>
          <w:sz w:val="24"/>
          <w:szCs w:val="24"/>
        </w:rPr>
        <w:t>2021</w:t>
      </w:r>
      <w:proofErr w:type="gramEnd"/>
      <w:r w:rsidRPr="001D30FE">
        <w:rPr>
          <w:rFonts w:ascii="Times New Roman" w:eastAsia="Times New Roman" w:hAnsi="Times New Roman"/>
          <w:sz w:val="24"/>
          <w:szCs w:val="24"/>
        </w:rPr>
        <w:t xml:space="preserve"> fire scene. You also stated that his behavior </w:t>
      </w:r>
      <w:r>
        <w:rPr>
          <w:rFonts w:ascii="Times New Roman" w:eastAsia="Times New Roman" w:hAnsi="Times New Roman"/>
          <w:sz w:val="24"/>
          <w:szCs w:val="24"/>
        </w:rPr>
        <w:t>‘</w:t>
      </w:r>
      <w:r w:rsidRPr="001D30FE">
        <w:rPr>
          <w:rFonts w:ascii="Times New Roman" w:eastAsia="Times New Roman" w:hAnsi="Times New Roman"/>
          <w:sz w:val="24"/>
          <w:szCs w:val="24"/>
        </w:rPr>
        <w:t>could have injured or killed [you], FAO Roberts, and FF Recruit Hurley.</w:t>
      </w:r>
      <w:r>
        <w:rPr>
          <w:rFonts w:ascii="Times New Roman" w:eastAsia="Times New Roman" w:hAnsi="Times New Roman"/>
          <w:sz w:val="24"/>
          <w:szCs w:val="24"/>
        </w:rPr>
        <w:t>’</w:t>
      </w:r>
      <w:r w:rsidRPr="001D30FE">
        <w:rPr>
          <w:rFonts w:ascii="Times New Roman" w:eastAsia="Times New Roman" w:hAnsi="Times New Roman"/>
          <w:sz w:val="24"/>
          <w:szCs w:val="24"/>
        </w:rPr>
        <w:t xml:space="preserve"> </w:t>
      </w:r>
      <w:r w:rsidRPr="001D30FE">
        <w:rPr>
          <w:rFonts w:ascii="Times New Roman" w:eastAsia="Times New Roman" w:hAnsi="Times New Roman"/>
          <w:i/>
          <w:iCs/>
          <w:sz w:val="24"/>
          <w:szCs w:val="24"/>
        </w:rPr>
        <w:t>See, e.g.</w:t>
      </w:r>
      <w:r w:rsidRPr="001D30FE">
        <w:rPr>
          <w:rFonts w:ascii="Times New Roman" w:eastAsia="Times New Roman" w:hAnsi="Times New Roman"/>
          <w:sz w:val="24"/>
          <w:szCs w:val="24"/>
        </w:rPr>
        <w:t xml:space="preserve">, your June 11, </w:t>
      </w:r>
      <w:proofErr w:type="gramStart"/>
      <w:r w:rsidRPr="001D30FE">
        <w:rPr>
          <w:rFonts w:ascii="Times New Roman" w:eastAsia="Times New Roman" w:hAnsi="Times New Roman"/>
          <w:sz w:val="24"/>
          <w:szCs w:val="24"/>
        </w:rPr>
        <w:t>2021</w:t>
      </w:r>
      <w:proofErr w:type="gramEnd"/>
      <w:r w:rsidRPr="001D30FE">
        <w:rPr>
          <w:rFonts w:ascii="Times New Roman" w:eastAsia="Times New Roman" w:hAnsi="Times New Roman"/>
          <w:sz w:val="24"/>
          <w:szCs w:val="24"/>
        </w:rPr>
        <w:t xml:space="preserve"> sworn statement and incorporated attachments filed in Case No. 4:18CV3127. However, none of the evidence, audio recording/transcript, witness statements, the findings of investigator Torrey Gerdes, or the findings of Judge Kopf lend any credibility to your statements.</w:t>
      </w:r>
      <w:r>
        <w:rPr>
          <w:rFonts w:ascii="Times New Roman" w:eastAsia="Times New Roman" w:hAnsi="Times New Roman"/>
          <w:sz w:val="24"/>
          <w:szCs w:val="24"/>
        </w:rPr>
        <w:t xml:space="preserve">’ </w:t>
      </w:r>
    </w:p>
    <w:p w14:paraId="589644F2" w14:textId="77777777" w:rsidR="002D64A4" w:rsidRDefault="002D64A4" w:rsidP="002D64A4">
      <w:pPr>
        <w:pStyle w:val="NormalWeb"/>
      </w:pPr>
      <w:r>
        <w:t>Judge Buescher set aside a U.S. Magistrate’s less restrictive decision and held:</w:t>
      </w:r>
    </w:p>
    <w:p w14:paraId="17DFDAF9" w14:textId="77777777" w:rsidR="002D64A4" w:rsidRDefault="002D64A4" w:rsidP="002D64A4">
      <w:pPr>
        <w:pStyle w:val="NormalWeb"/>
        <w:ind w:firstLine="720"/>
      </w:pPr>
      <w:r>
        <w:t>“IT IS ORDERED:</w:t>
      </w:r>
    </w:p>
    <w:p w14:paraId="01E03AE2" w14:textId="77777777" w:rsidR="002D64A4" w:rsidRDefault="002D64A4" w:rsidP="002D64A4">
      <w:pPr>
        <w:pStyle w:val="NormalWeb"/>
        <w:ind w:left="720"/>
      </w:pPr>
      <w:r>
        <w:t xml:space="preserve">1. </w:t>
      </w:r>
      <w:proofErr w:type="gramStart"/>
      <w:r>
        <w:t>With regard to</w:t>
      </w:r>
      <w:proofErr w:type="gramEnd"/>
      <w:r>
        <w:t xml:space="preserve"> Gerdes' investigation into the events of April 26, 2021, plaintiff Benson may inquire into the general methods by which Gerdes conducts investigations and into the facts set forth in the Investigation Report … but Benson will not inquire into topics that the Court has determined are privileged;  </w:t>
      </w:r>
    </w:p>
    <w:p w14:paraId="123F9AF7" w14:textId="77777777" w:rsidR="002D64A4" w:rsidRDefault="002D64A4" w:rsidP="002D64A4">
      <w:pPr>
        <w:pStyle w:val="NormalWeb"/>
        <w:ind w:left="720"/>
      </w:pPr>
      <w:r>
        <w:t xml:space="preserve">2. Benson will not inquire into … any other investigation that does not directly involve Benson;  </w:t>
      </w:r>
    </w:p>
    <w:p w14:paraId="2D28A550" w14:textId="77777777" w:rsidR="002D64A4" w:rsidRDefault="002D64A4" w:rsidP="002D64A4">
      <w:pPr>
        <w:pStyle w:val="NormalWeb"/>
        <w:ind w:left="720"/>
      </w:pPr>
      <w:r>
        <w:t xml:space="preserve">3. Benson will not inquire into communications by Gerdes that are attorney-client privileged, including communications with the </w:t>
      </w:r>
      <w:proofErr w:type="gramStart"/>
      <w:r>
        <w:t>City</w:t>
      </w:r>
      <w:proofErr w:type="gramEnd"/>
      <w:r>
        <w:t xml:space="preserve"> or its attorneys or any of Gerdes' other clients.”  </w:t>
      </w:r>
    </w:p>
    <w:p w14:paraId="0B5AC5A8" w14:textId="77777777" w:rsidR="002D64A4" w:rsidRDefault="002D64A4" w:rsidP="002D64A4">
      <w:pPr>
        <w:spacing w:after="100" w:line="240" w:lineRule="auto"/>
        <w:rPr>
          <w:rFonts w:ascii="Times New Roman" w:eastAsia="Times New Roman" w:hAnsi="Times New Roman"/>
          <w:sz w:val="24"/>
          <w:szCs w:val="24"/>
        </w:rPr>
      </w:pPr>
      <w:r w:rsidRPr="00D76867">
        <w:rPr>
          <w:rFonts w:ascii="Times New Roman" w:hAnsi="Times New Roman"/>
          <w:sz w:val="24"/>
          <w:szCs w:val="24"/>
        </w:rPr>
        <w:t>The judge further wrote that while he won’t impose a specific time limit in the deposition: “The Court adds however that it cannot imagine that the deposition would need to run more than four hours.”</w:t>
      </w:r>
      <w:r>
        <w:rPr>
          <w:sz w:val="20"/>
          <w:szCs w:val="20"/>
        </w:rPr>
        <w:t xml:space="preserve">  </w:t>
      </w:r>
    </w:p>
    <w:p w14:paraId="345D7E78" w14:textId="77777777" w:rsidR="002D64A4" w:rsidRPr="001D30FE" w:rsidRDefault="002D64A4" w:rsidP="002D64A4">
      <w:pPr>
        <w:spacing w:after="100" w:line="240" w:lineRule="auto"/>
        <w:rPr>
          <w:rFonts w:ascii="Times New Roman" w:eastAsia="Times New Roman" w:hAnsi="Times New Roman"/>
          <w:b/>
          <w:bCs/>
          <w:sz w:val="24"/>
          <w:szCs w:val="24"/>
        </w:rPr>
      </w:pPr>
      <w:r w:rsidRPr="00E27637">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When a City retains outside legal counsel to investigate a firefighter’s claims</w:t>
      </w:r>
      <w:proofErr w:type="gramStart"/>
      <w:r>
        <w:rPr>
          <w:rFonts w:ascii="Times New Roman" w:eastAsia="Times New Roman" w:hAnsi="Times New Roman"/>
          <w:b/>
          <w:bCs/>
          <w:sz w:val="24"/>
          <w:szCs w:val="24"/>
        </w:rPr>
        <w:t>, providing</w:t>
      </w:r>
      <w:proofErr w:type="gramEnd"/>
      <w:r>
        <w:rPr>
          <w:rFonts w:ascii="Times New Roman" w:eastAsia="Times New Roman" w:hAnsi="Times New Roman"/>
          <w:b/>
          <w:bCs/>
          <w:sz w:val="24"/>
          <w:szCs w:val="24"/>
        </w:rPr>
        <w:t xml:space="preserve"> the investigation report to the firefighter does not waive attorney-client or attorney work-product privilege.  </w:t>
      </w:r>
    </w:p>
    <w:p w14:paraId="2B07B5C7" w14:textId="77777777" w:rsidR="002D64A4" w:rsidRDefault="002D64A4" w:rsidP="002B1283">
      <w:pPr>
        <w:rPr>
          <w:rStyle w:val="Hyperlink"/>
          <w:rFonts w:ascii="Arial Black" w:hAnsi="Arial Black"/>
          <w:b/>
          <w:color w:val="auto"/>
          <w:sz w:val="24"/>
          <w:szCs w:val="24"/>
          <w:u w:val="none"/>
        </w:rPr>
      </w:pPr>
    </w:p>
    <w:p w14:paraId="51126CC7" w14:textId="517B7804" w:rsidR="007959C9" w:rsidRDefault="007959C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4-27</w:t>
      </w:r>
    </w:p>
    <w:p w14:paraId="1AB24A19" w14:textId="76A2A418" w:rsidR="007959C9" w:rsidRDefault="007959C9" w:rsidP="007959C9">
      <w:pPr>
        <w:rPr>
          <w:rFonts w:ascii="Arial Black" w:hAnsi="Arial Black"/>
          <w:sz w:val="28"/>
          <w:szCs w:val="28"/>
        </w:rPr>
      </w:pPr>
      <w:r>
        <w:rPr>
          <w:rFonts w:ascii="Arial Black" w:hAnsi="Arial Black"/>
          <w:sz w:val="28"/>
          <w:szCs w:val="28"/>
        </w:rPr>
        <w:t>WV: FIRE CHIEF FIRED – FALSIF</w:t>
      </w:r>
      <w:r w:rsidR="003E054D">
        <w:rPr>
          <w:rFonts w:ascii="Arial Black" w:hAnsi="Arial Black"/>
          <w:sz w:val="28"/>
          <w:szCs w:val="28"/>
        </w:rPr>
        <w:t>IED</w:t>
      </w:r>
      <w:r>
        <w:rPr>
          <w:rFonts w:ascii="Arial Black" w:hAnsi="Arial Black"/>
          <w:sz w:val="28"/>
          <w:szCs w:val="28"/>
        </w:rPr>
        <w:t xml:space="preserve"> HYDRANT &amp; TRAINING RECORDS – NO CIVIL SERVICE PROTECTION</w:t>
      </w:r>
    </w:p>
    <w:p w14:paraId="44D15D79" w14:textId="77777777" w:rsidR="007959C9" w:rsidRDefault="007959C9" w:rsidP="007959C9">
      <w:pPr>
        <w:rPr>
          <w:rFonts w:ascii="Times New Roman" w:hAnsi="Times New Roman"/>
          <w:sz w:val="24"/>
          <w:szCs w:val="24"/>
        </w:rPr>
      </w:pPr>
      <w:r w:rsidRPr="001B1F04">
        <w:rPr>
          <w:rFonts w:ascii="Times New Roman" w:hAnsi="Times New Roman"/>
          <w:sz w:val="24"/>
          <w:szCs w:val="24"/>
        </w:rPr>
        <w:t xml:space="preserve">On Jan. 18, 2023, in </w:t>
      </w:r>
      <w:r w:rsidRPr="001B1F04">
        <w:rPr>
          <w:rFonts w:ascii="Times New Roman" w:hAnsi="Times New Roman"/>
          <w:sz w:val="24"/>
          <w:szCs w:val="24"/>
          <w:u w:val="single"/>
        </w:rPr>
        <w:t>David Crimm v. City of Grafton</w:t>
      </w:r>
      <w:r w:rsidRPr="001B1F04">
        <w:rPr>
          <w:rFonts w:ascii="Times New Roman" w:hAnsi="Times New Roman"/>
          <w:sz w:val="24"/>
          <w:szCs w:val="24"/>
        </w:rPr>
        <w:t xml:space="preserve">, </w:t>
      </w:r>
      <w:r>
        <w:rPr>
          <w:rFonts w:ascii="Times New Roman" w:hAnsi="Times New Roman"/>
          <w:sz w:val="24"/>
          <w:szCs w:val="24"/>
        </w:rPr>
        <w:t xml:space="preserve">the Supreme Court of Appeals of West Virginia held (5 to 0) that the trial court properly dismissed the former Fire Chiefs appeal; the evidence was so clear the Court of </w:t>
      </w:r>
      <w:r>
        <w:rPr>
          <w:rFonts w:ascii="Times New Roman" w:hAnsi="Times New Roman"/>
          <w:sz w:val="24"/>
          <w:szCs w:val="24"/>
        </w:rPr>
        <w:lastRenderedPageBreak/>
        <w:t xml:space="preserve">Appeals decided this appeal without oral argument. He was fired in </w:t>
      </w:r>
      <w:proofErr w:type="gramStart"/>
      <w:r>
        <w:rPr>
          <w:rFonts w:ascii="Times New Roman" w:hAnsi="Times New Roman"/>
          <w:sz w:val="24"/>
          <w:szCs w:val="24"/>
        </w:rPr>
        <w:t>March,</w:t>
      </w:r>
      <w:proofErr w:type="gramEnd"/>
      <w:r>
        <w:rPr>
          <w:rFonts w:ascii="Times New Roman" w:hAnsi="Times New Roman"/>
          <w:sz w:val="24"/>
          <w:szCs w:val="24"/>
        </w:rPr>
        <w:t xml:space="preserve"> 2018 for </w:t>
      </w:r>
      <w:r w:rsidRPr="00BE4B52">
        <w:rPr>
          <w:rFonts w:ascii="Times New Roman" w:hAnsi="Times New Roman"/>
          <w:sz w:val="24"/>
          <w:szCs w:val="24"/>
        </w:rPr>
        <w:t>"falsification of official city documents</w:t>
      </w:r>
      <w:r>
        <w:rPr>
          <w:rFonts w:ascii="Times New Roman" w:hAnsi="Times New Roman"/>
          <w:sz w:val="24"/>
          <w:szCs w:val="24"/>
        </w:rPr>
        <w:t>.” The city presented documentation to the Circuit Court judge that he had ordered subordinates to falsify the fire hydrant and department training records. The Court found: “</w:t>
      </w:r>
      <w:r w:rsidRPr="002A6C90">
        <w:rPr>
          <w:rStyle w:val="markedcontent"/>
          <w:rFonts w:ascii="Times New Roman" w:hAnsi="Times New Roman"/>
        </w:rPr>
        <w:t>Here, the City ordinance reflects the City’s decision not to place the position of fire chief</w:t>
      </w:r>
      <w:r>
        <w:rPr>
          <w:rStyle w:val="markedcontent"/>
          <w:rFonts w:ascii="Times New Roman" w:hAnsi="Times New Roman"/>
        </w:rPr>
        <w:t xml:space="preserve"> </w:t>
      </w:r>
      <w:r w:rsidRPr="002A6C90">
        <w:rPr>
          <w:rStyle w:val="markedcontent"/>
          <w:rFonts w:ascii="Times New Roman" w:hAnsi="Times New Roman"/>
        </w:rPr>
        <w:t>under the civil service provisions. Because the position was not placed within civil service</w:t>
      </w:r>
      <w:r>
        <w:rPr>
          <w:rStyle w:val="markedcontent"/>
          <w:rFonts w:ascii="Times New Roman" w:hAnsi="Times New Roman"/>
        </w:rPr>
        <w:t xml:space="preserve"> </w:t>
      </w:r>
      <w:r w:rsidRPr="002A6C90">
        <w:rPr>
          <w:rStyle w:val="markedcontent"/>
          <w:rFonts w:ascii="Times New Roman" w:hAnsi="Times New Roman"/>
        </w:rPr>
        <w:t>provisions, he has failed to show that he is entitled to a civil service position within the Grafton</w:t>
      </w:r>
      <w:r>
        <w:rPr>
          <w:rStyle w:val="markedcontent"/>
          <w:rFonts w:ascii="Times New Roman" w:hAnsi="Times New Roman"/>
        </w:rPr>
        <w:t xml:space="preserve"> </w:t>
      </w:r>
      <w:r w:rsidRPr="002A6C90">
        <w:rPr>
          <w:rStyle w:val="markedcontent"/>
          <w:rFonts w:ascii="Times New Roman" w:hAnsi="Times New Roman"/>
        </w:rPr>
        <w:t xml:space="preserve">Fire Department. In addition, contrary to petitioner’s assertions, the </w:t>
      </w:r>
      <w:proofErr w:type="gramStart"/>
      <w:r w:rsidRPr="002A6C90">
        <w:rPr>
          <w:rStyle w:val="markedcontent"/>
          <w:rFonts w:ascii="Times New Roman" w:hAnsi="Times New Roman"/>
        </w:rPr>
        <w:t>City</w:t>
      </w:r>
      <w:proofErr w:type="gramEnd"/>
      <w:r w:rsidRPr="002A6C90">
        <w:rPr>
          <w:rStyle w:val="markedcontent"/>
          <w:rFonts w:ascii="Times New Roman" w:hAnsi="Times New Roman"/>
        </w:rPr>
        <w:t xml:space="preserve"> presented documentary</w:t>
      </w:r>
      <w:r>
        <w:rPr>
          <w:rStyle w:val="markedcontent"/>
          <w:rFonts w:ascii="Times New Roman" w:hAnsi="Times New Roman"/>
        </w:rPr>
        <w:t xml:space="preserve"> </w:t>
      </w:r>
      <w:r w:rsidRPr="002A6C90">
        <w:rPr>
          <w:rStyle w:val="markedcontent"/>
          <w:rFonts w:ascii="Times New Roman" w:hAnsi="Times New Roman"/>
        </w:rPr>
        <w:t>evidence to the circuit court regarding petitioner ordering subordinates to falsify the fire hydrant</w:t>
      </w:r>
      <w:r>
        <w:rPr>
          <w:rStyle w:val="markedcontent"/>
          <w:rFonts w:ascii="Times New Roman" w:hAnsi="Times New Roman"/>
        </w:rPr>
        <w:t xml:space="preserve"> </w:t>
      </w:r>
      <w:r w:rsidRPr="002A6C90">
        <w:rPr>
          <w:rStyle w:val="markedcontent"/>
          <w:rFonts w:ascii="Times New Roman" w:hAnsi="Times New Roman"/>
        </w:rPr>
        <w:t>and department training records for the Grafton Fire Department</w:t>
      </w:r>
      <w:r>
        <w:rPr>
          <w:rStyle w:val="markedcontent"/>
          <w:rFonts w:ascii="Times New Roman" w:hAnsi="Times New Roman"/>
        </w:rPr>
        <w:t xml:space="preserve"> “</w:t>
      </w:r>
      <w:r>
        <w:rPr>
          <w:rFonts w:ascii="Times New Roman" w:hAnsi="Times New Roman"/>
          <w:sz w:val="24"/>
          <w:szCs w:val="24"/>
        </w:rPr>
        <w:t xml:space="preserve"> </w:t>
      </w:r>
      <w:hyperlink r:id="rId854" w:history="1">
        <w:r w:rsidRPr="00F65122">
          <w:rPr>
            <w:rStyle w:val="Hyperlink"/>
            <w:sz w:val="24"/>
            <w:szCs w:val="24"/>
          </w:rPr>
          <w:t>http://www.courtswv.gov/supreme-court/memo-decisions/spring2023/21-0921%20md.pdf</w:t>
        </w:r>
      </w:hyperlink>
      <w:r>
        <w:rPr>
          <w:rFonts w:ascii="Times New Roman" w:hAnsi="Times New Roman"/>
          <w:sz w:val="24"/>
          <w:szCs w:val="24"/>
        </w:rPr>
        <w:t xml:space="preserve"> </w:t>
      </w:r>
    </w:p>
    <w:p w14:paraId="2EFBD43C" w14:textId="77777777" w:rsidR="007959C9" w:rsidRDefault="007959C9" w:rsidP="007959C9">
      <w:pPr>
        <w:ind w:left="720"/>
        <w:rPr>
          <w:rFonts w:ascii="Times New Roman" w:hAnsi="Times New Roman"/>
          <w:sz w:val="24"/>
          <w:szCs w:val="24"/>
        </w:rPr>
      </w:pPr>
      <w:r w:rsidRPr="00BE4B52">
        <w:rPr>
          <w:rFonts w:ascii="Times New Roman" w:hAnsi="Times New Roman"/>
          <w:sz w:val="24"/>
          <w:szCs w:val="24"/>
        </w:rPr>
        <w:t xml:space="preserve">“That evidence included a June of 2018 letter from the county prosecutor setting forth his belief that petitioner had falsified documents and an April of 2018 letter from a </w:t>
      </w:r>
      <w:proofErr w:type="gramStart"/>
      <w:r w:rsidRPr="00BE4B52">
        <w:rPr>
          <w:rFonts w:ascii="Times New Roman" w:hAnsi="Times New Roman"/>
          <w:sz w:val="24"/>
          <w:szCs w:val="24"/>
        </w:rPr>
        <w:t>state police sergeant detailing conversations</w:t>
      </w:r>
      <w:proofErr w:type="gramEnd"/>
      <w:r w:rsidRPr="00BE4B52">
        <w:rPr>
          <w:rFonts w:ascii="Times New Roman" w:hAnsi="Times New Roman"/>
          <w:sz w:val="24"/>
          <w:szCs w:val="24"/>
        </w:rPr>
        <w:t xml:space="preserve"> with several individuals, which support the City's contention that petitioner directed subordinates to falsify records. The purported training records, which were reportedly completely fabricated at petitioner's direction, and fire hydrant tests, which were presented as new data despite reusing outdated data from previous years at petitioner's direction, were also produced below and are included in the record before this Court.</w:t>
      </w:r>
    </w:p>
    <w:p w14:paraId="0E09BD25" w14:textId="77777777" w:rsidR="007959C9" w:rsidRDefault="007959C9" w:rsidP="007959C9">
      <w:pPr>
        <w:ind w:left="720"/>
        <w:rPr>
          <w:rFonts w:ascii="Times New Roman" w:hAnsi="Times New Roman"/>
          <w:sz w:val="24"/>
          <w:szCs w:val="24"/>
        </w:rPr>
      </w:pPr>
      <w:r>
        <w:rPr>
          <w:rFonts w:ascii="Times New Roman" w:hAnsi="Times New Roman"/>
          <w:sz w:val="24"/>
          <w:szCs w:val="24"/>
        </w:rPr>
        <w:t>***</w:t>
      </w:r>
    </w:p>
    <w:p w14:paraId="26A9E286" w14:textId="77777777" w:rsidR="007959C9" w:rsidRDefault="007959C9" w:rsidP="007959C9">
      <w:pPr>
        <w:ind w:left="720"/>
        <w:rPr>
          <w:rFonts w:ascii="Times New Roman" w:hAnsi="Times New Roman"/>
          <w:sz w:val="24"/>
          <w:szCs w:val="24"/>
        </w:rPr>
      </w:pPr>
      <w:r w:rsidRPr="00BE4B52">
        <w:rPr>
          <w:rFonts w:ascii="Times New Roman" w:hAnsi="Times New Roman"/>
          <w:sz w:val="24"/>
          <w:szCs w:val="24"/>
        </w:rPr>
        <w:t>Here, the City ordinance reflects the City's decision not to place the position of fire chief under the civil service provisions. Because the position was not placed within civil service provisions, he has failed to show that he is entitled to a civil service position within the Grafton Fire Department.</w:t>
      </w:r>
      <w:r>
        <w:rPr>
          <w:rFonts w:ascii="Times New Roman" w:hAnsi="Times New Roman"/>
          <w:sz w:val="24"/>
          <w:szCs w:val="24"/>
        </w:rPr>
        <w:t>”</w:t>
      </w:r>
    </w:p>
    <w:p w14:paraId="5E63FD5A" w14:textId="77777777" w:rsidR="007959C9" w:rsidRPr="00BE4B52" w:rsidRDefault="007959C9" w:rsidP="007959C9">
      <w:pPr>
        <w:rPr>
          <w:rFonts w:ascii="Times New Roman" w:hAnsi="Times New Roman"/>
          <w:b/>
          <w:bCs/>
          <w:sz w:val="24"/>
          <w:szCs w:val="24"/>
        </w:rPr>
      </w:pPr>
      <w:r w:rsidRPr="00BE4B52">
        <w:rPr>
          <w:rFonts w:ascii="Times New Roman" w:hAnsi="Times New Roman"/>
          <w:b/>
          <w:bCs/>
          <w:sz w:val="24"/>
          <w:szCs w:val="24"/>
        </w:rPr>
        <w:t xml:space="preserve">Legal Lesson Learned: </w:t>
      </w:r>
      <w:r>
        <w:rPr>
          <w:rFonts w:ascii="Times New Roman" w:hAnsi="Times New Roman"/>
          <w:b/>
          <w:bCs/>
          <w:sz w:val="24"/>
          <w:szCs w:val="24"/>
        </w:rPr>
        <w:t xml:space="preserve">Falsifying records is a sure way to get fired. </w:t>
      </w:r>
    </w:p>
    <w:p w14:paraId="08B8200D" w14:textId="77777777" w:rsidR="007959C9" w:rsidRDefault="007959C9" w:rsidP="002B1283">
      <w:pPr>
        <w:rPr>
          <w:rStyle w:val="Hyperlink"/>
          <w:rFonts w:ascii="Arial Black" w:hAnsi="Arial Black"/>
          <w:b/>
          <w:color w:val="auto"/>
          <w:sz w:val="24"/>
          <w:szCs w:val="24"/>
          <w:u w:val="none"/>
        </w:rPr>
      </w:pPr>
    </w:p>
    <w:p w14:paraId="26F39381" w14:textId="77777777" w:rsidR="007959C9" w:rsidRDefault="007959C9" w:rsidP="002B1283">
      <w:pPr>
        <w:rPr>
          <w:rStyle w:val="Hyperlink"/>
          <w:rFonts w:ascii="Arial Black" w:hAnsi="Arial Black"/>
          <w:b/>
          <w:color w:val="auto"/>
          <w:sz w:val="24"/>
          <w:szCs w:val="24"/>
          <w:u w:val="none"/>
        </w:rPr>
      </w:pPr>
    </w:p>
    <w:p w14:paraId="6EECCA3F" w14:textId="4AE3F9D1" w:rsidR="006C79BE" w:rsidRDefault="006C79BE"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4-26</w:t>
      </w:r>
    </w:p>
    <w:p w14:paraId="0C8C4376" w14:textId="77777777" w:rsidR="006C79BE" w:rsidRDefault="006C79BE" w:rsidP="006C79BE">
      <w:pPr>
        <w:pStyle w:val="NormalWeb"/>
        <w:rPr>
          <w:rFonts w:ascii="Arial Black" w:hAnsi="Arial Black"/>
          <w:sz w:val="28"/>
          <w:szCs w:val="28"/>
        </w:rPr>
      </w:pPr>
      <w:r>
        <w:rPr>
          <w:rFonts w:ascii="Arial Black" w:hAnsi="Arial Black"/>
          <w:sz w:val="28"/>
          <w:szCs w:val="28"/>
        </w:rPr>
        <w:t xml:space="preserve">ME: HOUSE FIRE – TOWN IMMUNITY – HOMEOWNER CLAIMS PUMPER USE WAS DELAYED - HOUSE TO BE DEMOLISHED </w:t>
      </w:r>
    </w:p>
    <w:p w14:paraId="7C04BA8A" w14:textId="77777777" w:rsidR="006C79BE" w:rsidRDefault="006C79BE" w:rsidP="006C79BE">
      <w:pPr>
        <w:pStyle w:val="NormalWeb"/>
      </w:pPr>
      <w:r w:rsidRPr="00001B4B">
        <w:t xml:space="preserve">On Oct. 31, 2022, in </w:t>
      </w:r>
      <w:r w:rsidRPr="00001B4B">
        <w:rPr>
          <w:u w:val="single"/>
        </w:rPr>
        <w:t>Seth T. Carey v. Town of Rumford and Rumford Fire Department</w:t>
      </w:r>
      <w:r w:rsidRPr="00001B4B">
        <w:t xml:space="preserve">, </w:t>
      </w:r>
      <w:r>
        <w:t xml:space="preserve">Justice Julia M. Lipez, the Superior Court of Maine (Oxford), granted the Town and Fire Department’s motion to dismiss.  The Oct. 5, </w:t>
      </w:r>
      <w:proofErr w:type="gramStart"/>
      <w:r>
        <w:t>2020</w:t>
      </w:r>
      <w:proofErr w:type="gramEnd"/>
      <w:r>
        <w:t xml:space="preserve"> structure fire damaged the home so extensively. The Town declared the home a "Dangerous Building" and ordered its demolition. Under the Maine immunity statute, governmental entities enjoy sovereign immunity; the exception for negligent acts in use of government vehicles does not apply to alleged delay in use of a fire department pumper. </w:t>
      </w:r>
    </w:p>
    <w:p w14:paraId="5C753492" w14:textId="77777777" w:rsidR="006C79BE" w:rsidRDefault="006C79BE" w:rsidP="006C79BE">
      <w:pPr>
        <w:pStyle w:val="NormalWeb"/>
        <w:ind w:left="720"/>
      </w:pPr>
      <w:r>
        <w:t xml:space="preserve">“Here…the gravamen of the </w:t>
      </w:r>
      <w:proofErr w:type="gramStart"/>
      <w:r>
        <w:t>plaintiffs</w:t>
      </w:r>
      <w:proofErr w:type="gramEnd"/>
      <w:r>
        <w:t xml:space="preserve"> complaint is that ‘the Town made imprudent tactical decisions in the course of fighting the fire</w:t>
      </w:r>
      <w:proofErr w:type="gramStart"/>
      <w:r>
        <w:t>…..</w:t>
      </w:r>
      <w:proofErr w:type="gramEnd"/>
      <w:r>
        <w:t xml:space="preserve">’ He does not allege that he was injured by contact with a negligently operated or maintained fire truck, just that the firefighters did not deploy the truck properly. Thus, even accepting as true the </w:t>
      </w:r>
      <w:proofErr w:type="spellStart"/>
      <w:r>
        <w:t>plaintiffs</w:t>
      </w:r>
      <w:proofErr w:type="spellEnd"/>
      <w:r>
        <w:t xml:space="preserve"> claims that the firefighters acted negligently, the vehicle exception does not apply…. Because section 8104-A(1)'s vehicle exception is inapplicable and the plaintiff makes no claim that any other exception to immunity applies, the court concludes that the Town is immune from the plaintiffs suit pursuant to section 8103(1) of the MTCA.”</w:t>
      </w:r>
      <w:r w:rsidRPr="00B50BB2">
        <w:t xml:space="preserve"> </w:t>
      </w:r>
      <w:hyperlink r:id="rId855" w:history="1">
        <w:r w:rsidRPr="00075859">
          <w:rPr>
            <w:rStyle w:val="Hyperlink"/>
            <w:rFonts w:eastAsiaTheme="majorEastAsia"/>
          </w:rPr>
          <w:t>https://public.fastcase.com/J%2FJP6pdidelsXxEE4k%2BLMunJfhe1gfK2oI8CQbirV8GXkmoWfCiXue</w:t>
        </w:r>
        <w:r w:rsidRPr="00075859">
          <w:rPr>
            <w:rStyle w:val="Hyperlink"/>
            <w:rFonts w:eastAsiaTheme="majorEastAsia"/>
          </w:rPr>
          <w:lastRenderedPageBreak/>
          <w:t>bhhRyeFmnHeojCURMbUHUM%2FZVW6TuThcVt2kPCx5ANtZZIjUvq4TI%3D?utm_medium=email&amp;_hsmi=226712652&amp;_hsenc=p2ANqtz-_4xSG7CmaPWZQuwsNXY4RTJcvgg4B9LMx8R4vNTvpvb0PqojZFKwGqm6HPbOxappi5A6b2YgFEujAqOwM5oeHjK0AsxA&amp;utm_content=226712652&amp;utm_source=hs_email</w:t>
        </w:r>
      </w:hyperlink>
      <w:r>
        <w:t xml:space="preserve"> </w:t>
      </w:r>
    </w:p>
    <w:p w14:paraId="176EA95F" w14:textId="77777777" w:rsidR="006C79BE" w:rsidRDefault="006C79BE" w:rsidP="006C79BE">
      <w:pPr>
        <w:pStyle w:val="NormalWeb"/>
        <w:rPr>
          <w:b/>
          <w:bCs/>
        </w:rPr>
      </w:pPr>
      <w:r w:rsidRPr="00B50BB2">
        <w:rPr>
          <w:b/>
          <w:bCs/>
        </w:rPr>
        <w:t>Legal Lesson Learned:</w:t>
      </w:r>
      <w:r>
        <w:rPr>
          <w:b/>
          <w:bCs/>
        </w:rPr>
        <w:t xml:space="preserve"> Sovereign immunity statute protects government entities from liability.</w:t>
      </w:r>
    </w:p>
    <w:p w14:paraId="0B645D4F" w14:textId="77777777" w:rsidR="006C79BE" w:rsidRPr="00B50BB2" w:rsidRDefault="006C79BE" w:rsidP="006C79BE">
      <w:pPr>
        <w:pStyle w:val="NormalWeb"/>
        <w:ind w:left="720"/>
      </w:pPr>
      <w:r>
        <w:t xml:space="preserve">Note: See Nov. 17, </w:t>
      </w:r>
      <w:proofErr w:type="gramStart"/>
      <w:r>
        <w:t>2021</w:t>
      </w:r>
      <w:proofErr w:type="gramEnd"/>
      <w:r>
        <w:t xml:space="preserve"> Court decision. </w:t>
      </w:r>
      <w:hyperlink r:id="rId856" w:history="1">
        <w:r w:rsidRPr="00075859">
          <w:rPr>
            <w:rStyle w:val="Hyperlink"/>
            <w:rFonts w:eastAsiaTheme="majorEastAsia"/>
          </w:rPr>
          <w:t>https://casetext.com/case/carey-v-town-of-rumford</w:t>
        </w:r>
      </w:hyperlink>
      <w:r>
        <w:t xml:space="preserve"> “At the hearing [on homeowner’s appeal of demolition order before the 3 members of Board of Selectpersons], there were over twenty documents admitted as evidence, and testimony was heard from four individuals. (PR 1-2.) One of those individuals, Rumford's fire chief, testified that he classified Carey's residence as a 100% loss once he viewed the premises after the fire was extinguished. (PR 4.) The chiefs opinion was premised upon his thirty years of experience fighting and investigating fires and the extensive structural damage to the building, which included: charred joists and subfloor, structural damage to the roof including two holes for fire ventilation, the complete loss of the staircase which rose from the basement to the first floor, the partial loss of the staircase which rose from the first to the second floor, and damage to the property's plumbing, electrical and heating systems. (PR 5.)”</w:t>
      </w:r>
    </w:p>
    <w:p w14:paraId="631038D6" w14:textId="77777777" w:rsidR="006C79BE" w:rsidRDefault="006C79BE" w:rsidP="002B1283">
      <w:pPr>
        <w:rPr>
          <w:rStyle w:val="Hyperlink"/>
          <w:rFonts w:ascii="Arial Black" w:hAnsi="Arial Black"/>
          <w:b/>
          <w:color w:val="auto"/>
          <w:sz w:val="24"/>
          <w:szCs w:val="24"/>
          <w:u w:val="none"/>
        </w:rPr>
      </w:pPr>
    </w:p>
    <w:p w14:paraId="30E0007B" w14:textId="77777777" w:rsidR="006C79BE" w:rsidRDefault="006C79BE" w:rsidP="002B1283">
      <w:pPr>
        <w:rPr>
          <w:rStyle w:val="Hyperlink"/>
          <w:rFonts w:ascii="Arial Black" w:hAnsi="Arial Black"/>
          <w:b/>
          <w:color w:val="auto"/>
          <w:sz w:val="24"/>
          <w:szCs w:val="24"/>
          <w:u w:val="none"/>
        </w:rPr>
      </w:pPr>
    </w:p>
    <w:p w14:paraId="62F8EE14" w14:textId="006153FF" w:rsidR="00AE32D3" w:rsidRDefault="00AE32D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4-25</w:t>
      </w:r>
    </w:p>
    <w:p w14:paraId="52D76E15" w14:textId="77777777" w:rsidR="00AE32D3" w:rsidRPr="00AA0816" w:rsidRDefault="00AE32D3" w:rsidP="00AE32D3">
      <w:pPr>
        <w:pStyle w:val="NormalWeb"/>
        <w:rPr>
          <w:rFonts w:ascii="Arial Black" w:hAnsi="Arial Black"/>
          <w:sz w:val="28"/>
          <w:szCs w:val="28"/>
        </w:rPr>
      </w:pPr>
      <w:r>
        <w:rPr>
          <w:rFonts w:ascii="Arial Black" w:hAnsi="Arial Black"/>
          <w:sz w:val="28"/>
          <w:szCs w:val="28"/>
        </w:rPr>
        <w:t xml:space="preserve">NB: FF FIRED – AFTER SHE CLAIMED CAPT. “ABANDONED” HER </w:t>
      </w:r>
      <w:proofErr w:type="gramStart"/>
      <w:r>
        <w:rPr>
          <w:rFonts w:ascii="Arial Black" w:hAnsi="Arial Black"/>
          <w:sz w:val="28"/>
          <w:szCs w:val="28"/>
        </w:rPr>
        <w:t>IN WAREHOUSE</w:t>
      </w:r>
      <w:proofErr w:type="gramEnd"/>
      <w:r>
        <w:rPr>
          <w:rFonts w:ascii="Arial Black" w:hAnsi="Arial Black"/>
          <w:sz w:val="28"/>
          <w:szCs w:val="28"/>
        </w:rPr>
        <w:t xml:space="preserve"> FIRE – MAY DEPOSE INVEST. ATTY</w:t>
      </w:r>
    </w:p>
    <w:p w14:paraId="2DA6EE9D" w14:textId="77777777" w:rsidR="00AE32D3" w:rsidRDefault="00AE32D3" w:rsidP="00AE32D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Nov. 20, 2022, in </w:t>
      </w:r>
      <w:r w:rsidRPr="00AA0816">
        <w:rPr>
          <w:rFonts w:ascii="Times New Roman" w:eastAsia="Times New Roman" w:hAnsi="Times New Roman"/>
          <w:sz w:val="24"/>
          <w:szCs w:val="24"/>
          <w:u w:val="single"/>
        </w:rPr>
        <w:t>Amanda Benson v. City of Lincoln, et al</w:t>
      </w:r>
      <w:r>
        <w:rPr>
          <w:rFonts w:ascii="Times New Roman" w:eastAsia="Times New Roman" w:hAnsi="Times New Roman"/>
          <w:sz w:val="24"/>
          <w:szCs w:val="24"/>
        </w:rPr>
        <w:t xml:space="preserve">., U.S. Magistrate Judge Michael D. Nelson, U.S. District Court for District of Nebraska, held that if the City intends in the defense of this civil suit to call the attorney they retained to conduct the investigation, then the city has waived its attorney-client privilege and the plaintiff, who has been provided the Investigation Report, may now depose that attorney and obtain copies of her investigative notes </w:t>
      </w:r>
    </w:p>
    <w:p w14:paraId="781CCA0F" w14:textId="77777777" w:rsidR="00AE32D3" w:rsidRPr="00161C5B" w:rsidRDefault="00AE32D3" w:rsidP="00AE32D3">
      <w:pPr>
        <w:spacing w:before="100" w:beforeAutospacing="1" w:after="100" w:afterAutospacing="1" w:line="240" w:lineRule="auto"/>
        <w:ind w:left="720"/>
        <w:rPr>
          <w:rFonts w:ascii="Times New Roman" w:hAnsi="Times New Roman"/>
          <w:sz w:val="24"/>
          <w:szCs w:val="24"/>
        </w:rPr>
      </w:pPr>
      <w:r w:rsidRPr="00161C5B">
        <w:rPr>
          <w:rFonts w:ascii="Times New Roman" w:eastAsia="Times New Roman" w:hAnsi="Times New Roman"/>
          <w:sz w:val="24"/>
          <w:szCs w:val="24"/>
        </w:rPr>
        <w:t>“</w:t>
      </w:r>
      <w:r w:rsidRPr="00161C5B">
        <w:rPr>
          <w:rFonts w:ascii="Times New Roman" w:hAnsi="Times New Roman"/>
          <w:sz w:val="24"/>
          <w:szCs w:val="24"/>
        </w:rPr>
        <w:t xml:space="preserve">After review, the Court finds that the City has now waived any claim of privilege in Ms. Gerdes' investigation into the April Warehouse Fire by affirmatively representing that the City intends to offer Ms. Gerdes' Investigation Report as evidence at trial and by representing that the City will rely on Ms. Gerdes' investigation as part of its defense to Plaintiff's claims…. It would be ‘patently unfair’ for the City to present Ms. Gerdes' Investigation Report to a jury without providing Plaintiff with a full opportunity to explore and cross-examine Ms. Gerdes on the investigation.” </w:t>
      </w:r>
      <w:hyperlink r:id="rId857" w:history="1">
        <w:r w:rsidRPr="00161C5B">
          <w:rPr>
            <w:rStyle w:val="Hyperlink"/>
            <w:rFonts w:ascii="Times New Roman" w:hAnsi="Times New Roman"/>
            <w:sz w:val="24"/>
            <w:szCs w:val="24"/>
          </w:rPr>
          <w:t>https://public.fastcase.com/J%2FJP6pdidelsXxEE4k%2BLMn3rhSw89wni4akrGgclH4tY407nVvfTRwhYpyTytqAww5i%2BcjDR8DFfgYYxUNnhOrZ4pPx8rv87OEAaoYdIWaw%3D?utm_medium=email&amp;_hsmi=226712652&amp;_hsenc=p2ANqtz--lPKcQUZ00Y_ImXZh39HMz6UO0kEIbng7bmb6odI7o6fRRwj_-I6PCBlRwjLhuflNpZQs-1Wu84wEID-VmUx_pZGrr8w&amp;utm_content=226712652&amp;utm_source=hs_email</w:t>
        </w:r>
      </w:hyperlink>
      <w:r w:rsidRPr="00161C5B">
        <w:rPr>
          <w:rFonts w:ascii="Times New Roman" w:hAnsi="Times New Roman"/>
          <w:sz w:val="24"/>
          <w:szCs w:val="24"/>
        </w:rPr>
        <w:t xml:space="preserve"> </w:t>
      </w:r>
    </w:p>
    <w:p w14:paraId="74152115" w14:textId="77777777" w:rsidR="00AE32D3" w:rsidRPr="00CC2065" w:rsidRDefault="00AE32D3" w:rsidP="00AE32D3">
      <w:pPr>
        <w:pStyle w:val="NormalWeb"/>
        <w:rPr>
          <w:b/>
          <w:bCs/>
        </w:rPr>
      </w:pPr>
      <w:r w:rsidRPr="00CC2065">
        <w:rPr>
          <w:b/>
          <w:bCs/>
        </w:rPr>
        <w:t>Legal Lesson Learned:</w:t>
      </w:r>
      <w:r>
        <w:rPr>
          <w:b/>
          <w:bCs/>
        </w:rPr>
        <w:t xml:space="preserve"> Attorney-client privilege can be </w:t>
      </w:r>
      <w:proofErr w:type="spellStart"/>
      <w:r>
        <w:rPr>
          <w:b/>
          <w:bCs/>
        </w:rPr>
        <w:t>waved</w:t>
      </w:r>
      <w:proofErr w:type="spellEnd"/>
      <w:r>
        <w:rPr>
          <w:b/>
          <w:bCs/>
        </w:rPr>
        <w:t xml:space="preserve"> by the client calling the attorney as a witness in civil trial. </w:t>
      </w:r>
    </w:p>
    <w:p w14:paraId="12B55DAD" w14:textId="77777777" w:rsidR="00AE32D3" w:rsidRDefault="00AE32D3" w:rsidP="002B1283">
      <w:pPr>
        <w:rPr>
          <w:rStyle w:val="Hyperlink"/>
          <w:rFonts w:ascii="Arial Black" w:hAnsi="Arial Black"/>
          <w:b/>
          <w:color w:val="auto"/>
          <w:sz w:val="24"/>
          <w:szCs w:val="24"/>
          <w:u w:val="none"/>
        </w:rPr>
      </w:pPr>
    </w:p>
    <w:p w14:paraId="59B2EAA9" w14:textId="77777777" w:rsidR="00AE32D3" w:rsidRDefault="00AE32D3" w:rsidP="002B1283">
      <w:pPr>
        <w:rPr>
          <w:rStyle w:val="Hyperlink"/>
          <w:rFonts w:ascii="Arial Black" w:hAnsi="Arial Black"/>
          <w:b/>
          <w:color w:val="auto"/>
          <w:sz w:val="24"/>
          <w:szCs w:val="24"/>
          <w:u w:val="none"/>
        </w:rPr>
      </w:pPr>
    </w:p>
    <w:p w14:paraId="3DC10F41" w14:textId="77777777" w:rsidR="00AE32D3" w:rsidRDefault="00AE32D3" w:rsidP="002B1283">
      <w:pPr>
        <w:rPr>
          <w:rStyle w:val="Hyperlink"/>
          <w:rFonts w:ascii="Arial Black" w:hAnsi="Arial Black"/>
          <w:b/>
          <w:color w:val="auto"/>
          <w:sz w:val="24"/>
          <w:szCs w:val="24"/>
          <w:u w:val="none"/>
        </w:rPr>
      </w:pPr>
    </w:p>
    <w:p w14:paraId="275AB2D0" w14:textId="3FE13528" w:rsidR="006D2C51" w:rsidRDefault="006D2C5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4-24</w:t>
      </w:r>
    </w:p>
    <w:p w14:paraId="08D680AE" w14:textId="77777777" w:rsidR="006D2C51" w:rsidRPr="00124990" w:rsidRDefault="006D2C51" w:rsidP="006D2C51">
      <w:pPr>
        <w:spacing w:before="100" w:beforeAutospacing="1" w:after="100" w:afterAutospacing="1" w:line="240" w:lineRule="auto"/>
        <w:rPr>
          <w:rFonts w:ascii="Arial Black" w:eastAsia="Times New Roman" w:hAnsi="Arial Black"/>
          <w:sz w:val="28"/>
          <w:szCs w:val="28"/>
        </w:rPr>
      </w:pPr>
      <w:r w:rsidRPr="00124990">
        <w:rPr>
          <w:rFonts w:ascii="Arial Black" w:eastAsia="Times New Roman" w:hAnsi="Arial Black"/>
          <w:sz w:val="28"/>
          <w:szCs w:val="28"/>
        </w:rPr>
        <w:t>CO: FOUR BYSTANDERS VIDEOTAPING POLICE - DUI TRAFFIC STOP – 10</w:t>
      </w:r>
      <w:r w:rsidRPr="00124990">
        <w:rPr>
          <w:rFonts w:ascii="Arial Black" w:eastAsia="Times New Roman" w:hAnsi="Arial Black"/>
          <w:sz w:val="28"/>
          <w:szCs w:val="28"/>
          <w:vertAlign w:val="superscript"/>
        </w:rPr>
        <w:t>th</w:t>
      </w:r>
      <w:r w:rsidRPr="00124990">
        <w:rPr>
          <w:rFonts w:ascii="Arial Black" w:eastAsia="Times New Roman" w:hAnsi="Arial Black"/>
          <w:sz w:val="28"/>
          <w:szCs w:val="28"/>
        </w:rPr>
        <w:t xml:space="preserve"> CIRCUIT LAWFUL – ALSO 7 OTHER CIR. </w:t>
      </w:r>
    </w:p>
    <w:p w14:paraId="28134843" w14:textId="77777777" w:rsidR="006D2C51" w:rsidRPr="00E277BC" w:rsidRDefault="006D2C51" w:rsidP="006D2C51">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On July 11, 2022, in </w:t>
      </w:r>
      <w:r w:rsidRPr="0074781E">
        <w:rPr>
          <w:rFonts w:ascii="Times New Roman" w:eastAsia="Times New Roman" w:hAnsi="Times New Roman"/>
          <w:sz w:val="24"/>
          <w:szCs w:val="24"/>
          <w:u w:val="single"/>
        </w:rPr>
        <w:t>Abrade Irizarry v. A, Yehia</w:t>
      </w:r>
      <w:r>
        <w:rPr>
          <w:rFonts w:ascii="Times New Roman" w:eastAsia="Times New Roman" w:hAnsi="Times New Roman"/>
          <w:sz w:val="24"/>
          <w:szCs w:val="24"/>
        </w:rPr>
        <w:t>, the U.S. Court of Appeals for the 10</w:t>
      </w:r>
      <w:r w:rsidRPr="0074781E">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(Denver, CO) held (3 to 0) that U.S. District Court judge improper dismissed the pro se [had no attorney] lawsuit filed by a “</w:t>
      </w:r>
      <w:proofErr w:type="spellStart"/>
      <w:r>
        <w:rPr>
          <w:rFonts w:ascii="Times New Roman" w:eastAsia="Times New Roman" w:hAnsi="Times New Roman"/>
          <w:sz w:val="24"/>
          <w:szCs w:val="24"/>
        </w:rPr>
        <w:t>Youtube</w:t>
      </w:r>
      <w:proofErr w:type="spellEnd"/>
      <w:r>
        <w:rPr>
          <w:rFonts w:ascii="Times New Roman" w:eastAsia="Times New Roman" w:hAnsi="Times New Roman"/>
          <w:sz w:val="24"/>
          <w:szCs w:val="24"/>
        </w:rPr>
        <w:t xml:space="preserve"> journalist” against a City of Lakewood police officer, </w:t>
      </w:r>
      <w:r w:rsidRPr="00B31C59">
        <w:rPr>
          <w:rFonts w:ascii="Times New Roman" w:hAnsi="Times New Roman"/>
          <w:sz w:val="24"/>
          <w:szCs w:val="24"/>
        </w:rPr>
        <w:t>Ahmed Yehia</w:t>
      </w:r>
      <w:r>
        <w:rPr>
          <w:rFonts w:ascii="Times New Roman" w:hAnsi="Times New Roman"/>
          <w:sz w:val="24"/>
          <w:szCs w:val="24"/>
        </w:rPr>
        <w:t>, alleging violation of First Amendment to U.S. Constitution.</w:t>
      </w:r>
      <w:r>
        <w:rPr>
          <w:rFonts w:ascii="Times New Roman" w:eastAsia="Times New Roman" w:hAnsi="Times New Roman"/>
          <w:sz w:val="24"/>
          <w:szCs w:val="24"/>
        </w:rPr>
        <w:t xml:space="preserve">  The lawsuit alleges the officer shinned his flashlight into the camera lens of four males videotaping on their cell phones a DUI traffic stop, positioned himself to block their view, </w:t>
      </w:r>
      <w:proofErr w:type="gramStart"/>
      <w:r>
        <w:rPr>
          <w:rFonts w:ascii="Times New Roman" w:eastAsia="Times New Roman" w:hAnsi="Times New Roman"/>
          <w:sz w:val="24"/>
          <w:szCs w:val="24"/>
        </w:rPr>
        <w:t>and also</w:t>
      </w:r>
      <w:proofErr w:type="gramEnd"/>
      <w:r>
        <w:rPr>
          <w:rFonts w:ascii="Times New Roman" w:eastAsia="Times New Roman" w:hAnsi="Times New Roman"/>
          <w:sz w:val="24"/>
          <w:szCs w:val="24"/>
        </w:rPr>
        <w:t xml:space="preserve"> got back in his cruiser and drove directly at the videographers, turning on his blast horn. The lawsuit against Officer Yehia will now proceed to pre-trial discovery.  </w:t>
      </w:r>
      <w:r w:rsidRPr="00B31C59">
        <w:rPr>
          <w:rFonts w:ascii="Times New Roman" w:hAnsi="Times New Roman"/>
          <w:sz w:val="24"/>
          <w:szCs w:val="24"/>
        </w:rPr>
        <w:t>“Mr. Irizarry’s right to film the police falls squarely within the First Amendment’s core purposes to protect free and robust discussion of public affairs, hold government officials accountable, and check abuse of power.”</w:t>
      </w:r>
      <w:r>
        <w:rPr>
          <w:rFonts w:ascii="Times New Roman" w:hAnsi="Times New Roman"/>
          <w:sz w:val="24"/>
          <w:szCs w:val="24"/>
        </w:rPr>
        <w:t xml:space="preserve"> </w:t>
      </w:r>
      <w:hyperlink r:id="rId858" w:history="1">
        <w:r w:rsidRPr="00355029">
          <w:rPr>
            <w:rStyle w:val="Hyperlink"/>
            <w:rFonts w:ascii="Times New Roman" w:hAnsi="Times New Roman"/>
            <w:sz w:val="24"/>
            <w:szCs w:val="24"/>
          </w:rPr>
          <w:t>https://www.eff.org/files/2022/07/11/2022-07-11_-_tenth_circuit_-_irizarry_v_yehia.pdf</w:t>
        </w:r>
      </w:hyperlink>
      <w:r>
        <w:rPr>
          <w:rStyle w:val="markedcontent"/>
          <w:rFonts w:ascii="Times New Roman" w:hAnsi="Times New Roman"/>
          <w:sz w:val="24"/>
          <w:szCs w:val="24"/>
        </w:rPr>
        <w:t xml:space="preserve"> </w:t>
      </w:r>
    </w:p>
    <w:p w14:paraId="58292654" w14:textId="77777777" w:rsidR="006D2C51" w:rsidRDefault="006D2C51" w:rsidP="006D2C51">
      <w:pPr>
        <w:spacing w:before="100" w:beforeAutospacing="1" w:after="100" w:afterAutospacing="1" w:line="240" w:lineRule="auto"/>
        <w:rPr>
          <w:rStyle w:val="markedcontent"/>
          <w:rFonts w:ascii="Times New Roman" w:hAnsi="Times New Roman"/>
          <w:b/>
          <w:bCs/>
          <w:sz w:val="24"/>
          <w:szCs w:val="24"/>
        </w:rPr>
      </w:pPr>
      <w:r w:rsidRPr="003E5A4B">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Fire &amp; EMS likewise cannot prohibit videotaping their conduct at a public location; but you may take reasonable steps to protect the privacy of patients [such as holding up bed sheet when loading into ambulance]. </w:t>
      </w:r>
    </w:p>
    <w:p w14:paraId="3DB0580E" w14:textId="77777777" w:rsidR="006D2C51" w:rsidRPr="008C241B" w:rsidRDefault="006D2C51" w:rsidP="006D2C51">
      <w:pPr>
        <w:spacing w:before="100" w:beforeAutospacing="1" w:after="100" w:afterAutospacing="1" w:line="240" w:lineRule="auto"/>
        <w:ind w:left="720"/>
        <w:rPr>
          <w:rFonts w:ascii="Times New Roman" w:hAnsi="Times New Roman"/>
          <w:sz w:val="24"/>
          <w:szCs w:val="24"/>
        </w:rPr>
      </w:pPr>
      <w:r w:rsidRPr="008C241B">
        <w:rPr>
          <w:rStyle w:val="markedcontent"/>
          <w:rFonts w:ascii="Times New Roman" w:hAnsi="Times New Roman"/>
          <w:sz w:val="24"/>
          <w:szCs w:val="24"/>
        </w:rPr>
        <w:t xml:space="preserve">Note: See </w:t>
      </w:r>
      <w:r>
        <w:rPr>
          <w:rStyle w:val="markedcontent"/>
          <w:rFonts w:ascii="Times New Roman" w:hAnsi="Times New Roman"/>
          <w:sz w:val="24"/>
          <w:szCs w:val="24"/>
        </w:rPr>
        <w:t xml:space="preserve">July 12, </w:t>
      </w:r>
      <w:proofErr w:type="gramStart"/>
      <w:r>
        <w:rPr>
          <w:rStyle w:val="markedcontent"/>
          <w:rFonts w:ascii="Times New Roman" w:hAnsi="Times New Roman"/>
          <w:sz w:val="24"/>
          <w:szCs w:val="24"/>
        </w:rPr>
        <w:t>2022</w:t>
      </w:r>
      <w:proofErr w:type="gramEnd"/>
      <w:r>
        <w:rPr>
          <w:rStyle w:val="markedcontent"/>
          <w:rFonts w:ascii="Times New Roman" w:hAnsi="Times New Roman"/>
          <w:sz w:val="24"/>
          <w:szCs w:val="24"/>
        </w:rPr>
        <w:t xml:space="preserve"> </w:t>
      </w:r>
      <w:r w:rsidRPr="008C241B">
        <w:rPr>
          <w:rStyle w:val="markedcontent"/>
          <w:rFonts w:ascii="Times New Roman" w:hAnsi="Times New Roman"/>
          <w:sz w:val="24"/>
          <w:szCs w:val="24"/>
        </w:rPr>
        <w:t>article on this decision. “</w:t>
      </w:r>
      <w:r w:rsidRPr="008C241B">
        <w:rPr>
          <w:rFonts w:ascii="Times New Roman" w:hAnsi="Times New Roman"/>
          <w:sz w:val="24"/>
          <w:szCs w:val="24"/>
        </w:rPr>
        <w:t xml:space="preserve">10th Circuit Court of Appeals Upholds Public Right to Record Police.” </w:t>
      </w:r>
      <w:hyperlink r:id="rId859" w:history="1">
        <w:r w:rsidRPr="008C241B">
          <w:rPr>
            <w:rStyle w:val="Hyperlink"/>
            <w:rFonts w:ascii="Times New Roman" w:hAnsi="Times New Roman"/>
            <w:sz w:val="24"/>
            <w:szCs w:val="24"/>
          </w:rPr>
          <w:t>https://firstamendmentwatch.org/10th-circuit-court-of-appeals-upholds-public-right-to-record-police/</w:t>
        </w:r>
      </w:hyperlink>
      <w:r w:rsidRPr="008C241B">
        <w:rPr>
          <w:rFonts w:ascii="Times New Roman" w:hAnsi="Times New Roman"/>
          <w:sz w:val="24"/>
          <w:szCs w:val="24"/>
        </w:rPr>
        <w:t xml:space="preserve">.  “The </w:t>
      </w:r>
      <w:hyperlink r:id="rId860" w:tgtFrame="_blank" w:history="1">
        <w:r w:rsidRPr="008C241B">
          <w:rPr>
            <w:rStyle w:val="Hyperlink"/>
            <w:rFonts w:ascii="Times New Roman" w:hAnsi="Times New Roman"/>
            <w:sz w:val="24"/>
            <w:szCs w:val="24"/>
          </w:rPr>
          <w:t>U.S. Court of Appeals for the 10th Circuit</w:t>
        </w:r>
      </w:hyperlink>
      <w:r w:rsidRPr="008C241B">
        <w:rPr>
          <w:rFonts w:ascii="Times New Roman" w:hAnsi="Times New Roman"/>
          <w:sz w:val="24"/>
          <w:szCs w:val="24"/>
        </w:rPr>
        <w:t xml:space="preserve">, based in Denver, became the seventh federal appeals court to affirm there’s a First Amendment right to record the police performing their official duties in public.” </w:t>
      </w:r>
    </w:p>
    <w:p w14:paraId="312EEE5F" w14:textId="77777777" w:rsidR="006D2C51" w:rsidRPr="008C241B" w:rsidRDefault="006D2C51" w:rsidP="006D2C51">
      <w:pPr>
        <w:pStyle w:val="NormalWeb"/>
        <w:ind w:left="720"/>
      </w:pPr>
      <w:r w:rsidRPr="008C241B">
        <w:t xml:space="preserve">See also </w:t>
      </w:r>
      <w:r>
        <w:t xml:space="preserve">July 8, </w:t>
      </w:r>
      <w:proofErr w:type="gramStart"/>
      <w:r>
        <w:t>2022</w:t>
      </w:r>
      <w:proofErr w:type="gramEnd"/>
      <w:r>
        <w:t xml:space="preserve"> article, “</w:t>
      </w:r>
      <w:r w:rsidRPr="008C241B">
        <w:t xml:space="preserve">Arizona Governor Signs Bill to Restrict Recording Police in Public.”  “Arizona Gov. Douglas Ducey signed into law a bill that would make it illegal to photograph or record a police officer in public from </w:t>
      </w:r>
      <w:proofErr w:type="gramStart"/>
      <w:r w:rsidRPr="008C241B">
        <w:t>a distance of eight</w:t>
      </w:r>
      <w:proofErr w:type="gramEnd"/>
      <w:r w:rsidRPr="008C241B">
        <w:t xml:space="preserve"> feet without the officer’s permission. Controversial</w:t>
      </w:r>
      <w:hyperlink r:id="rId861" w:tgtFrame="_blank" w:history="1">
        <w:r w:rsidRPr="008C241B">
          <w:rPr>
            <w:rStyle w:val="Hyperlink"/>
            <w:rFonts w:eastAsiaTheme="majorEastAsia"/>
          </w:rPr>
          <w:t xml:space="preserve"> House Bill 2319</w:t>
        </w:r>
      </w:hyperlink>
      <w:r w:rsidRPr="008C241B">
        <w:t xml:space="preserve"> says if an individual is asked by the police to quit filming but continues to do so would face a Class 3 misdemeanor and up to 30 days in jail.” </w:t>
      </w:r>
      <w:hyperlink r:id="rId862" w:history="1">
        <w:r w:rsidRPr="008C241B">
          <w:rPr>
            <w:rStyle w:val="Hyperlink"/>
            <w:rFonts w:eastAsiaTheme="majorEastAsia"/>
          </w:rPr>
          <w:t>https://firstamendmentwatch.org/arizona-governor-signs-bill-to-restrict-recording-of-police-in-public/</w:t>
        </w:r>
      </w:hyperlink>
      <w:r w:rsidRPr="008C241B">
        <w:t xml:space="preserve">  </w:t>
      </w:r>
    </w:p>
    <w:p w14:paraId="2A138FA3" w14:textId="77777777" w:rsidR="006D2C51" w:rsidRDefault="006D2C51" w:rsidP="002B1283">
      <w:pPr>
        <w:rPr>
          <w:rStyle w:val="Hyperlink"/>
          <w:rFonts w:ascii="Arial Black" w:hAnsi="Arial Black"/>
          <w:b/>
          <w:color w:val="auto"/>
          <w:sz w:val="24"/>
          <w:szCs w:val="24"/>
          <w:u w:val="none"/>
        </w:rPr>
      </w:pPr>
    </w:p>
    <w:p w14:paraId="13F872A8" w14:textId="5D8A9F71" w:rsidR="003F4E70" w:rsidRDefault="003F4E7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4-23</w:t>
      </w:r>
    </w:p>
    <w:p w14:paraId="2AFA1F86" w14:textId="77777777" w:rsidR="003F4E70" w:rsidRDefault="003F4E70" w:rsidP="003F4E7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STRUCTURE FIRE – MOTHER DEAD, TWO KIDS STILL TRAPPED – POLICE TACKLED MAN TRYING ENTER HOUSE</w:t>
      </w:r>
    </w:p>
    <w:p w14:paraId="649C31E3" w14:textId="589828AD" w:rsidR="003F4E70" w:rsidRDefault="003F4E70" w:rsidP="003F4E70">
      <w:pPr>
        <w:rPr>
          <w:rStyle w:val="Hyperlink"/>
          <w:rFonts w:ascii="Arial Black" w:hAnsi="Arial Black"/>
          <w:b/>
          <w:color w:val="auto"/>
          <w:sz w:val="24"/>
          <w:szCs w:val="24"/>
          <w:u w:val="none"/>
        </w:rPr>
      </w:pPr>
      <w:r w:rsidRPr="00641E3A">
        <w:rPr>
          <w:rFonts w:ascii="Times New Roman" w:eastAsia="Times New Roman" w:hAnsi="Times New Roman"/>
          <w:sz w:val="24"/>
          <w:szCs w:val="24"/>
        </w:rPr>
        <w:t>On</w:t>
      </w:r>
      <w:r>
        <w:rPr>
          <w:rFonts w:ascii="Times New Roman" w:eastAsia="Times New Roman" w:hAnsi="Times New Roman"/>
          <w:sz w:val="24"/>
          <w:szCs w:val="24"/>
        </w:rPr>
        <w:t xml:space="preserve"> May 6, 2022, in </w:t>
      </w:r>
      <w:r w:rsidRPr="00201F44">
        <w:rPr>
          <w:rFonts w:ascii="Times New Roman" w:eastAsia="Times New Roman" w:hAnsi="Times New Roman"/>
          <w:sz w:val="24"/>
          <w:szCs w:val="24"/>
          <w:u w:val="single"/>
        </w:rPr>
        <w:t>William F. Moss v. Gabe Schimp, et al</w:t>
      </w:r>
      <w:r>
        <w:rPr>
          <w:rFonts w:ascii="Times New Roman" w:eastAsia="Times New Roman" w:hAnsi="Times New Roman"/>
          <w:sz w:val="24"/>
          <w:szCs w:val="24"/>
        </w:rPr>
        <w:t xml:space="preserve">., U.S. Magistrate Judge Mark A. Beatty, U.S. District Court for Southern District of Illinois, held that the police officers who tackled the plaintiff to prevent him from entering the burning house enjoy qualified immunity. The plaintiff intentionally ignored the yellow scene tapes and the police officers command to stop. It is unfortunate that the police tackle led to </w:t>
      </w:r>
      <w:r w:rsidRPr="00201F44">
        <w:rPr>
          <w:rFonts w:ascii="Times New Roman" w:hAnsi="Times New Roman"/>
          <w:sz w:val="24"/>
          <w:szCs w:val="24"/>
        </w:rPr>
        <w:t xml:space="preserve">a quadriceps </w:t>
      </w:r>
      <w:r w:rsidRPr="00201F44">
        <w:rPr>
          <w:rFonts w:ascii="Times New Roman" w:hAnsi="Times New Roman"/>
          <w:sz w:val="24"/>
          <w:szCs w:val="24"/>
        </w:rPr>
        <w:lastRenderedPageBreak/>
        <w:t>tendon tear in Moss's left knee</w:t>
      </w:r>
      <w:r>
        <w:rPr>
          <w:rFonts w:ascii="Times New Roman" w:hAnsi="Times New Roman"/>
          <w:sz w:val="24"/>
          <w:szCs w:val="24"/>
        </w:rPr>
        <w:t xml:space="preserve">, </w:t>
      </w:r>
      <w:r w:rsidRPr="00201F44">
        <w:rPr>
          <w:rFonts w:ascii="Times New Roman" w:hAnsi="Times New Roman"/>
          <w:sz w:val="24"/>
          <w:szCs w:val="24"/>
        </w:rPr>
        <w:t>a rupture of his right patellar tendon</w:t>
      </w:r>
      <w:r>
        <w:rPr>
          <w:rFonts w:ascii="Times New Roman" w:hAnsi="Times New Roman"/>
          <w:sz w:val="24"/>
          <w:szCs w:val="24"/>
        </w:rPr>
        <w:t>,</w:t>
      </w:r>
      <w:r w:rsidRPr="00201F44">
        <w:rPr>
          <w:rFonts w:ascii="Times New Roman" w:hAnsi="Times New Roman"/>
          <w:sz w:val="24"/>
          <w:szCs w:val="24"/>
        </w:rPr>
        <w:t xml:space="preserve"> and a rupture of his left quadriceps tendon</w:t>
      </w:r>
      <w:r>
        <w:rPr>
          <w:rFonts w:ascii="Times New Roman" w:hAnsi="Times New Roman"/>
          <w:sz w:val="24"/>
          <w:szCs w:val="24"/>
        </w:rPr>
        <w:t xml:space="preserve">, but the officers did not use excessive force. </w:t>
      </w:r>
      <w:hyperlink r:id="rId863" w:history="1">
        <w:r w:rsidRPr="00EF6688">
          <w:rPr>
            <w:rStyle w:val="Hyperlink"/>
            <w:rFonts w:ascii="Times New Roman" w:hAnsi="Times New Roman"/>
            <w:sz w:val="24"/>
            <w:szCs w:val="24"/>
          </w:rPr>
          <w:t>https://public.fastcase.com/waZtJvSA54UAurM2rmIZz%2BDBDza2Dcvrp2SE0zpDRm3uGB65hvSCPfK4VjLpx5do7UnCIAIPH2MB5FJFO94Wb3w6W7ePwbFST%2FncfNL0phQ%3D</w:t>
        </w:r>
      </w:hyperlink>
    </w:p>
    <w:p w14:paraId="5CDAC593" w14:textId="77777777" w:rsidR="003F4E70" w:rsidRPr="00641E3A" w:rsidRDefault="003F4E70" w:rsidP="003F4E70">
      <w:pPr>
        <w:spacing w:before="100" w:beforeAutospacing="1" w:after="100" w:afterAutospacing="1" w:line="240" w:lineRule="auto"/>
        <w:rPr>
          <w:rFonts w:ascii="Times New Roman" w:eastAsia="Times New Roman" w:hAnsi="Times New Roman"/>
          <w:b/>
          <w:bCs/>
          <w:sz w:val="24"/>
          <w:szCs w:val="24"/>
        </w:rPr>
      </w:pPr>
      <w:r w:rsidRPr="0069502A">
        <w:rPr>
          <w:rFonts w:ascii="Times New Roman" w:hAnsi="Times New Roman"/>
          <w:b/>
          <w:bCs/>
          <w:sz w:val="24"/>
          <w:szCs w:val="24"/>
        </w:rPr>
        <w:t>Legal Lesson Learned:</w:t>
      </w:r>
      <w:r>
        <w:rPr>
          <w:rFonts w:ascii="Times New Roman" w:hAnsi="Times New Roman"/>
          <w:b/>
          <w:bCs/>
          <w:sz w:val="24"/>
          <w:szCs w:val="24"/>
        </w:rPr>
        <w:t xml:space="preserve"> The police officers acted reasonably to protect the structure fire scene and are entitled to qualified immunity. </w:t>
      </w:r>
    </w:p>
    <w:p w14:paraId="19E2CA18" w14:textId="77777777" w:rsidR="003F4E70" w:rsidRDefault="003F4E70" w:rsidP="002B1283">
      <w:pPr>
        <w:rPr>
          <w:rStyle w:val="Hyperlink"/>
          <w:rFonts w:ascii="Arial Black" w:hAnsi="Arial Black"/>
          <w:b/>
          <w:color w:val="auto"/>
          <w:sz w:val="24"/>
          <w:szCs w:val="24"/>
          <w:u w:val="none"/>
        </w:rPr>
      </w:pPr>
    </w:p>
    <w:p w14:paraId="536F065A" w14:textId="77777777" w:rsidR="003F4E70" w:rsidRDefault="003F4E70" w:rsidP="002B1283">
      <w:pPr>
        <w:rPr>
          <w:rStyle w:val="Hyperlink"/>
          <w:rFonts w:ascii="Arial Black" w:hAnsi="Arial Black"/>
          <w:b/>
          <w:color w:val="auto"/>
          <w:sz w:val="24"/>
          <w:szCs w:val="24"/>
          <w:u w:val="none"/>
        </w:rPr>
      </w:pPr>
    </w:p>
    <w:p w14:paraId="169E00DC" w14:textId="2C6FADE5" w:rsidR="003F4E70" w:rsidRDefault="003F4E7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4-22</w:t>
      </w:r>
    </w:p>
    <w:p w14:paraId="1D693F9E" w14:textId="77777777" w:rsidR="003F4E70" w:rsidRPr="00990853" w:rsidRDefault="003F4E70" w:rsidP="003F4E70">
      <w:pPr>
        <w:spacing w:before="100" w:beforeAutospacing="1" w:after="100" w:afterAutospacing="1" w:line="240" w:lineRule="auto"/>
        <w:rPr>
          <w:rFonts w:ascii="Arial Black" w:hAnsi="Arial Black"/>
          <w:b/>
          <w:bCs/>
          <w:sz w:val="28"/>
          <w:szCs w:val="28"/>
        </w:rPr>
      </w:pPr>
      <w:r>
        <w:rPr>
          <w:rFonts w:ascii="Arial Black" w:hAnsi="Arial Black"/>
          <w:sz w:val="28"/>
          <w:szCs w:val="28"/>
        </w:rPr>
        <w:t>ME: MENTAL RUNS INTO ICY WATER – DROWNED – PD WAITED FD BOAT - FF “KICK HIS ASS” – NO IMMUNITY</w:t>
      </w:r>
    </w:p>
    <w:p w14:paraId="3CE7ECED" w14:textId="69BA46F2" w:rsidR="003F4E70" w:rsidRDefault="003F4E70" w:rsidP="003F4E70">
      <w:pPr>
        <w:rPr>
          <w:rStyle w:val="Hyperlink"/>
          <w:rFonts w:ascii="Arial Black" w:hAnsi="Arial Black"/>
          <w:b/>
          <w:color w:val="auto"/>
          <w:sz w:val="24"/>
          <w:szCs w:val="24"/>
          <w:u w:val="none"/>
        </w:rPr>
      </w:pPr>
      <w:r>
        <w:rPr>
          <w:rFonts w:ascii="Times New Roman" w:hAnsi="Times New Roman"/>
          <w:sz w:val="24"/>
          <w:szCs w:val="24"/>
        </w:rPr>
        <w:t xml:space="preserve">On May 4, 2022, in </w:t>
      </w:r>
      <w:r w:rsidRPr="00990853">
        <w:rPr>
          <w:rFonts w:ascii="Times New Roman" w:hAnsi="Times New Roman"/>
          <w:sz w:val="24"/>
          <w:szCs w:val="24"/>
          <w:u w:val="single"/>
        </w:rPr>
        <w:t>John Cohen v. City of Portland, et al</w:t>
      </w:r>
      <w:r>
        <w:rPr>
          <w:rFonts w:ascii="Times New Roman" w:hAnsi="Times New Roman"/>
          <w:sz w:val="24"/>
          <w:szCs w:val="24"/>
        </w:rPr>
        <w:t xml:space="preserve">., U.S. District Court Judge Nancy Torresen, U.S. District Court for District of Maine, dismissed all the police officers who waited for a fire boat to assist in rescue of Eric Cohen, 25 (mental issues) who ran naked into the frigid, shallow waters of Back Cover and drowned after 25 minutes, but lawsuit may continue against the City for failure to train when responding to mental patient, and also against firefighter Ronald Giroux.  </w:t>
      </w:r>
      <w:r w:rsidRPr="00DC00A2">
        <w:rPr>
          <w:rFonts w:ascii="Times New Roman" w:hAnsi="Times New Roman"/>
          <w:sz w:val="24"/>
          <w:szCs w:val="24"/>
        </w:rPr>
        <w:t xml:space="preserve">According to the Complaint, Giroux shouted from the shore, “I will kick his ass if he comes out of the water.” </w:t>
      </w:r>
      <w:proofErr w:type="spellStart"/>
      <w:r w:rsidRPr="00DC00A2">
        <w:rPr>
          <w:rFonts w:ascii="Times New Roman" w:hAnsi="Times New Roman"/>
          <w:sz w:val="24"/>
          <w:szCs w:val="24"/>
        </w:rPr>
        <w:t>Compl</w:t>
      </w:r>
      <w:proofErr w:type="spellEnd"/>
      <w:r w:rsidRPr="00DC00A2">
        <w:rPr>
          <w:rFonts w:ascii="Times New Roman" w:hAnsi="Times New Roman"/>
          <w:sz w:val="24"/>
          <w:szCs w:val="24"/>
        </w:rPr>
        <w:t>. ¶ 26.</w:t>
      </w:r>
      <w:r>
        <w:rPr>
          <w:rFonts w:ascii="Times New Roman" w:hAnsi="Times New Roman"/>
          <w:sz w:val="24"/>
          <w:szCs w:val="24"/>
        </w:rPr>
        <w:t xml:space="preserve"> </w:t>
      </w:r>
      <w:r w:rsidRPr="00DC00A2">
        <w:rPr>
          <w:rFonts w:ascii="Times New Roman" w:hAnsi="Times New Roman"/>
          <w:sz w:val="24"/>
          <w:szCs w:val="24"/>
        </w:rPr>
        <w:t>Giroux's affirmative act, yelling a threat, enhanced the danger to Cohen</w:t>
      </w:r>
      <w:r>
        <w:rPr>
          <w:rFonts w:ascii="Times New Roman" w:hAnsi="Times New Roman"/>
          <w:sz w:val="24"/>
          <w:szCs w:val="24"/>
        </w:rPr>
        <w:t xml:space="preserve"> and may have contributed to his refusal to come out of the water.  </w:t>
      </w:r>
      <w:hyperlink r:id="rId864" w:history="1">
        <w:r w:rsidRPr="00600142">
          <w:rPr>
            <w:rStyle w:val="Hyperlink"/>
            <w:rFonts w:ascii="Times New Roman" w:hAnsi="Times New Roman"/>
            <w:sz w:val="24"/>
            <w:szCs w:val="24"/>
          </w:rPr>
          <w:t>https://public.fastcase.com/waZtJvSA54UAurM2rmIZzzd7nmMG05wthWSY4rh3YOX2SQqdjQ2bWm74KVsbZSPmzEoqJnKOxl0hCOa8LdPZAi50MjJV0MwcRqnMVHWnvKI%3D</w:t>
        </w:r>
      </w:hyperlink>
    </w:p>
    <w:p w14:paraId="446454C7" w14:textId="77777777" w:rsidR="003F4E70" w:rsidRDefault="003F4E70" w:rsidP="003F4E70">
      <w:pPr>
        <w:spacing w:before="100" w:beforeAutospacing="1" w:after="100" w:afterAutospacing="1" w:line="240" w:lineRule="auto"/>
        <w:jc w:val="both"/>
        <w:rPr>
          <w:rFonts w:ascii="Times New Roman" w:hAnsi="Times New Roman"/>
          <w:b/>
          <w:bCs/>
          <w:sz w:val="24"/>
          <w:szCs w:val="24"/>
        </w:rPr>
      </w:pPr>
      <w:r w:rsidRPr="00CC11A3">
        <w:rPr>
          <w:rFonts w:ascii="Times New Roman" w:hAnsi="Times New Roman"/>
          <w:b/>
          <w:bCs/>
          <w:sz w:val="24"/>
          <w:szCs w:val="24"/>
        </w:rPr>
        <w:t xml:space="preserve">Legal Lesson Learned: </w:t>
      </w:r>
      <w:r>
        <w:rPr>
          <w:rFonts w:ascii="Times New Roman" w:hAnsi="Times New Roman"/>
          <w:b/>
          <w:bCs/>
          <w:sz w:val="24"/>
          <w:szCs w:val="24"/>
        </w:rPr>
        <w:t xml:space="preserve">Terrible loss of life and the firefighter’s conduct is unacceptable. </w:t>
      </w:r>
    </w:p>
    <w:p w14:paraId="5815203F" w14:textId="77777777" w:rsidR="003F4E70" w:rsidRPr="00CC11A3" w:rsidRDefault="003F4E70" w:rsidP="003F4E70">
      <w:pPr>
        <w:pStyle w:val="Heading1"/>
        <w:ind w:left="720"/>
        <w:rPr>
          <w:b w:val="0"/>
          <w:bCs w:val="0"/>
          <w:sz w:val="24"/>
          <w:szCs w:val="24"/>
        </w:rPr>
      </w:pPr>
      <w:r>
        <w:rPr>
          <w:b w:val="0"/>
          <w:bCs w:val="0"/>
          <w:sz w:val="24"/>
          <w:szCs w:val="24"/>
        </w:rPr>
        <w:t>See negative press: (May 5, 2022) “</w:t>
      </w:r>
      <w:r w:rsidRPr="00CC11A3">
        <w:rPr>
          <w:b w:val="0"/>
          <w:bCs w:val="0"/>
          <w:sz w:val="24"/>
          <w:szCs w:val="24"/>
        </w:rPr>
        <w:t>Federal judge says wrongful death lawsuit against Portland firefighter can move forward</w:t>
      </w:r>
      <w:r>
        <w:rPr>
          <w:b w:val="0"/>
          <w:bCs w:val="0"/>
          <w:sz w:val="24"/>
          <w:szCs w:val="24"/>
        </w:rPr>
        <w:t xml:space="preserve">.” </w:t>
      </w:r>
      <w:hyperlink r:id="rId865" w:history="1">
        <w:r w:rsidRPr="00600142">
          <w:rPr>
            <w:rStyle w:val="Hyperlink"/>
            <w:b w:val="0"/>
            <w:bCs w:val="0"/>
            <w:sz w:val="24"/>
            <w:szCs w:val="24"/>
          </w:rPr>
          <w:t>https://www.newscentermaine.com/article/news/local/portland/judge-dismisses-wrongful-death-lawsuit-against-city-all-but-one-portland-police-officer-portland-mental-health/97-9cb6ef72-b53c-4614-9d60-2360cbcd1702</w:t>
        </w:r>
      </w:hyperlink>
      <w:r>
        <w:rPr>
          <w:b w:val="0"/>
          <w:bCs w:val="0"/>
          <w:sz w:val="24"/>
          <w:szCs w:val="24"/>
        </w:rPr>
        <w:t xml:space="preserve"> </w:t>
      </w:r>
    </w:p>
    <w:p w14:paraId="2D03189F" w14:textId="2DABD10C" w:rsidR="003F4E70" w:rsidRDefault="003F4E70" w:rsidP="002B1283">
      <w:pPr>
        <w:rPr>
          <w:rStyle w:val="Hyperlink"/>
          <w:rFonts w:ascii="Arial Black" w:hAnsi="Arial Black"/>
          <w:b/>
          <w:color w:val="auto"/>
          <w:sz w:val="24"/>
          <w:szCs w:val="24"/>
          <w:u w:val="none"/>
        </w:rPr>
      </w:pPr>
    </w:p>
    <w:p w14:paraId="337F87CF" w14:textId="3E89F0DB" w:rsidR="003F4E70" w:rsidRDefault="003F4E70" w:rsidP="002B1283">
      <w:pPr>
        <w:rPr>
          <w:rStyle w:val="Hyperlink"/>
          <w:rFonts w:ascii="Arial Black" w:hAnsi="Arial Black"/>
          <w:b/>
          <w:color w:val="auto"/>
          <w:sz w:val="24"/>
          <w:szCs w:val="24"/>
          <w:u w:val="none"/>
        </w:rPr>
      </w:pPr>
    </w:p>
    <w:p w14:paraId="4CE9E789" w14:textId="77777777" w:rsidR="003F4E70" w:rsidRDefault="003F4E70" w:rsidP="002B1283">
      <w:pPr>
        <w:rPr>
          <w:rStyle w:val="Hyperlink"/>
          <w:rFonts w:ascii="Arial Black" w:hAnsi="Arial Black"/>
          <w:b/>
          <w:color w:val="auto"/>
          <w:sz w:val="24"/>
          <w:szCs w:val="24"/>
          <w:u w:val="none"/>
        </w:rPr>
      </w:pPr>
    </w:p>
    <w:p w14:paraId="42C80795" w14:textId="4693BE94" w:rsidR="003F4E70" w:rsidRDefault="003F4E7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4-21</w:t>
      </w:r>
    </w:p>
    <w:p w14:paraId="2370EE82" w14:textId="77777777" w:rsidR="003F4E70" w:rsidRPr="005C6980" w:rsidRDefault="003F4E70" w:rsidP="003F4E7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U.S. FOREST SERVICE – KINGS CANYON LODGE – IC DISCRETION ON RESOURCES - GOVERNMENTAL IMMUNITY</w:t>
      </w:r>
    </w:p>
    <w:p w14:paraId="3E7AB749" w14:textId="77777777" w:rsidR="003F4E70" w:rsidRDefault="003F4E70" w:rsidP="003F4E70">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lastRenderedPageBreak/>
        <w:t xml:space="preserve">On April 12, 2022, in </w:t>
      </w:r>
      <w:r w:rsidRPr="005C6980">
        <w:rPr>
          <w:rFonts w:ascii="Times New Roman" w:eastAsia="Times New Roman" w:hAnsi="Times New Roman"/>
          <w:sz w:val="24"/>
          <w:szCs w:val="24"/>
          <w:u w:val="single"/>
        </w:rPr>
        <w:t>Lewis D. Evans and Carla S. Evans v. United States</w:t>
      </w:r>
      <w:r>
        <w:rPr>
          <w:rFonts w:ascii="Times New Roman" w:eastAsia="Times New Roman" w:hAnsi="Times New Roman"/>
          <w:sz w:val="24"/>
          <w:szCs w:val="24"/>
        </w:rPr>
        <w:t xml:space="preserve">, U.S. District Court Judge, Eastern District of California (Fresno), granted defense motion for summary judgment since under the Federal Tort Claims Act the government enjoys immunity for discretionary decisions that implicate public policy concerns, including incident command decisions when fighting forest fires. </w:t>
      </w:r>
      <w:r w:rsidRPr="008C18ED">
        <w:rPr>
          <w:rFonts w:ascii="Times New Roman" w:hAnsi="Times New Roman"/>
          <w:sz w:val="24"/>
          <w:szCs w:val="24"/>
        </w:rPr>
        <w:t xml:space="preserve">The Rough Fire </w:t>
      </w:r>
      <w:r>
        <w:rPr>
          <w:rFonts w:ascii="Times New Roman" w:hAnsi="Times New Roman"/>
          <w:sz w:val="24"/>
          <w:szCs w:val="24"/>
        </w:rPr>
        <w:t xml:space="preserve">started </w:t>
      </w:r>
      <w:r w:rsidRPr="008C18ED">
        <w:rPr>
          <w:rFonts w:ascii="Times New Roman" w:hAnsi="Times New Roman"/>
          <w:sz w:val="24"/>
          <w:szCs w:val="24"/>
        </w:rPr>
        <w:t>in July 2015 in the Sierra National Forest</w:t>
      </w:r>
      <w:r>
        <w:rPr>
          <w:rFonts w:ascii="Times New Roman" w:hAnsi="Times New Roman"/>
          <w:sz w:val="24"/>
          <w:szCs w:val="24"/>
        </w:rPr>
        <w:t>; p</w:t>
      </w:r>
      <w:r w:rsidRPr="008C18ED">
        <w:rPr>
          <w:rFonts w:ascii="Times New Roman" w:hAnsi="Times New Roman"/>
          <w:sz w:val="24"/>
          <w:szCs w:val="24"/>
        </w:rPr>
        <w:t>laintiffs owned the Kings Canyon Lodge in the Sierra National Forest, located at a bend in Highway 180, near the 10-Mile Creek</w:t>
      </w:r>
      <w:r>
        <w:rPr>
          <w:rFonts w:ascii="Times New Roman" w:hAnsi="Times New Roman"/>
          <w:sz w:val="24"/>
          <w:szCs w:val="24"/>
        </w:rPr>
        <w:t xml:space="preserve">; the fire </w:t>
      </w:r>
      <w:r w:rsidRPr="008C18ED">
        <w:rPr>
          <w:rFonts w:ascii="Times New Roman" w:hAnsi="Times New Roman"/>
          <w:sz w:val="24"/>
          <w:szCs w:val="24"/>
        </w:rPr>
        <w:t xml:space="preserve">burned more than 140, 000 acres before it was contained in September 2015. </w:t>
      </w:r>
      <w:hyperlink r:id="rId866" w:history="1">
        <w:r w:rsidRPr="00463170">
          <w:rPr>
            <w:rStyle w:val="Hyperlink"/>
            <w:rFonts w:ascii="Times New Roman" w:hAnsi="Times New Roman"/>
            <w:sz w:val="24"/>
            <w:szCs w:val="24"/>
          </w:rPr>
          <w:t>https://public.fastcase.com/waZtJvSA54UAurM2rmIZz7W%2FsumOmHJRMxx6Xd%2FRMYm%2FGY4cQ9ojWggecoIy6%2FUeVcPjYVPSLOvPb0MEmsZAQF%2FZtsixbezDD9jmkmDKasM%3D</w:t>
        </w:r>
      </w:hyperlink>
      <w:r>
        <w:rPr>
          <w:rFonts w:ascii="Times New Roman" w:hAnsi="Times New Roman"/>
          <w:sz w:val="24"/>
          <w:szCs w:val="24"/>
        </w:rPr>
        <w:t xml:space="preserve"> </w:t>
      </w:r>
    </w:p>
    <w:p w14:paraId="59C2AC64" w14:textId="77777777" w:rsidR="003F4E70" w:rsidRDefault="003F4E70" w:rsidP="003F4E70">
      <w:pPr>
        <w:spacing w:before="100" w:beforeAutospacing="1" w:after="100" w:afterAutospacing="1" w:line="240" w:lineRule="auto"/>
        <w:rPr>
          <w:rFonts w:ascii="Times New Roman" w:hAnsi="Times New Roman"/>
          <w:b/>
          <w:bCs/>
          <w:sz w:val="24"/>
          <w:szCs w:val="24"/>
        </w:rPr>
      </w:pPr>
      <w:r w:rsidRPr="008C18ED">
        <w:rPr>
          <w:rFonts w:ascii="Times New Roman" w:hAnsi="Times New Roman"/>
          <w:b/>
          <w:bCs/>
          <w:sz w:val="24"/>
          <w:szCs w:val="24"/>
        </w:rPr>
        <w:t xml:space="preserve">Legal Lesson Learned: </w:t>
      </w:r>
      <w:r>
        <w:rPr>
          <w:rFonts w:ascii="Times New Roman" w:hAnsi="Times New Roman"/>
          <w:b/>
          <w:bCs/>
          <w:sz w:val="24"/>
          <w:szCs w:val="24"/>
        </w:rPr>
        <w:t xml:space="preserve"> U.S. Government and Forest Service incident commanders enjoy immunity for discretionary decisions. </w:t>
      </w:r>
    </w:p>
    <w:p w14:paraId="1E662092" w14:textId="77777777" w:rsidR="003F4E70" w:rsidRDefault="003F4E70" w:rsidP="002B1283">
      <w:pPr>
        <w:rPr>
          <w:rStyle w:val="Hyperlink"/>
          <w:rFonts w:ascii="Arial Black" w:hAnsi="Arial Black"/>
          <w:b/>
          <w:color w:val="auto"/>
          <w:sz w:val="24"/>
          <w:szCs w:val="24"/>
          <w:u w:val="none"/>
        </w:rPr>
      </w:pPr>
    </w:p>
    <w:p w14:paraId="06C87DC9" w14:textId="77777777" w:rsidR="003F4E70" w:rsidRDefault="003F4E70" w:rsidP="002B1283">
      <w:pPr>
        <w:rPr>
          <w:rStyle w:val="Hyperlink"/>
          <w:rFonts w:ascii="Arial Black" w:hAnsi="Arial Black"/>
          <w:b/>
          <w:color w:val="auto"/>
          <w:sz w:val="24"/>
          <w:szCs w:val="24"/>
          <w:u w:val="none"/>
        </w:rPr>
      </w:pPr>
    </w:p>
    <w:p w14:paraId="30385159" w14:textId="0ED7C5B6" w:rsidR="00B5724A" w:rsidRDefault="00B5724A"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4-20</w:t>
      </w:r>
    </w:p>
    <w:p w14:paraId="485153B7" w14:textId="66084CB3" w:rsidR="00B5724A" w:rsidRPr="00FD7A7A" w:rsidRDefault="00B5724A" w:rsidP="00B5724A">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MI: INCIDENT COMMANDER IMMUNITY – HOUSE FIRE – BODY </w:t>
      </w:r>
      <w:proofErr w:type="gramStart"/>
      <w:r w:rsidR="003D367F">
        <w:rPr>
          <w:rFonts w:ascii="Arial Black" w:hAnsi="Arial Black"/>
          <w:sz w:val="28"/>
          <w:szCs w:val="28"/>
        </w:rPr>
        <w:t>26-YEAR OLD</w:t>
      </w:r>
      <w:proofErr w:type="gramEnd"/>
      <w:r w:rsidR="003D367F">
        <w:rPr>
          <w:rFonts w:ascii="Arial Black" w:hAnsi="Arial Black"/>
          <w:sz w:val="28"/>
          <w:szCs w:val="28"/>
        </w:rPr>
        <w:t xml:space="preserve"> </w:t>
      </w:r>
      <w:r>
        <w:rPr>
          <w:rFonts w:ascii="Arial Black" w:hAnsi="Arial Black"/>
          <w:sz w:val="28"/>
          <w:szCs w:val="28"/>
        </w:rPr>
        <w:t>NOT FOUND 5 DAYS - NO GROSS NEGLIGENCE</w:t>
      </w:r>
    </w:p>
    <w:p w14:paraId="709D6028" w14:textId="77777777" w:rsidR="00D7606A" w:rsidRPr="00B03BDA" w:rsidRDefault="00B5724A" w:rsidP="00D7606A">
      <w:pPr>
        <w:spacing w:before="100" w:beforeAutospacing="1" w:after="100" w:afterAutospacing="1" w:line="240" w:lineRule="auto"/>
        <w:rPr>
          <w:rFonts w:ascii="Times New Roman" w:hAnsi="Times New Roman"/>
          <w:sz w:val="24"/>
          <w:szCs w:val="24"/>
        </w:rPr>
      </w:pPr>
      <w:r w:rsidRPr="00792FBA">
        <w:rPr>
          <w:rFonts w:ascii="Times New Roman" w:hAnsi="Times New Roman"/>
          <w:sz w:val="24"/>
          <w:szCs w:val="24"/>
        </w:rPr>
        <w:t xml:space="preserve">On Dec. 21, 2021, in </w:t>
      </w:r>
      <w:r w:rsidRPr="00792FBA">
        <w:rPr>
          <w:rFonts w:ascii="Times New Roman" w:hAnsi="Times New Roman"/>
          <w:sz w:val="24"/>
          <w:szCs w:val="24"/>
          <w:u w:val="single"/>
        </w:rPr>
        <w:t>Kelly Dougherty, individually and personal representative of the estate of Kevin McGriff, Jr. v. City of Detroit, Detroit Fire Department and Sergeant Roger Harper</w:t>
      </w:r>
      <w:r w:rsidRPr="00792FBA">
        <w:rPr>
          <w:rFonts w:ascii="Times New Roman" w:hAnsi="Times New Roman"/>
          <w:sz w:val="24"/>
          <w:szCs w:val="24"/>
        </w:rPr>
        <w:t xml:space="preserve">, the Court of Appeals of Michigan held (3 to 0) that trial court should have granted Sergeant Harper’s motion to dismiss under the Michigan Governmental Tort Liability Act (GTLA), since his </w:t>
      </w:r>
      <w:r>
        <w:rPr>
          <w:rFonts w:ascii="Times New Roman" w:hAnsi="Times New Roman"/>
          <w:sz w:val="24"/>
          <w:szCs w:val="24"/>
        </w:rPr>
        <w:t>conduct did not “</w:t>
      </w:r>
      <w:r w:rsidRPr="00EC63CD">
        <w:rPr>
          <w:rFonts w:ascii="Times New Roman" w:hAnsi="Times New Roman"/>
          <w:sz w:val="24"/>
          <w:szCs w:val="24"/>
        </w:rPr>
        <w:t>amount to gross negligence that is the proximate cause of the injury or damage.</w:t>
      </w:r>
      <w:r>
        <w:rPr>
          <w:rFonts w:ascii="Times New Roman" w:hAnsi="Times New Roman"/>
          <w:sz w:val="24"/>
          <w:szCs w:val="24"/>
        </w:rPr>
        <w:t xml:space="preserve">”  The </w:t>
      </w:r>
      <w:proofErr w:type="gramStart"/>
      <w:r>
        <w:rPr>
          <w:rFonts w:ascii="Times New Roman" w:hAnsi="Times New Roman"/>
          <w:sz w:val="24"/>
          <w:szCs w:val="24"/>
        </w:rPr>
        <w:t>City</w:t>
      </w:r>
      <w:proofErr w:type="gramEnd"/>
      <w:r>
        <w:rPr>
          <w:rFonts w:ascii="Times New Roman" w:hAnsi="Times New Roman"/>
          <w:sz w:val="24"/>
          <w:szCs w:val="24"/>
        </w:rPr>
        <w:t xml:space="preserve"> and the FD were previously granted summary judgment under the GTLA. </w:t>
      </w:r>
      <w:hyperlink r:id="rId867" w:history="1">
        <w:r w:rsidR="00D7606A" w:rsidRPr="00EC5853">
          <w:rPr>
            <w:rStyle w:val="Hyperlink"/>
            <w:rFonts w:ascii="Times New Roman" w:hAnsi="Times New Roman"/>
            <w:sz w:val="24"/>
            <w:szCs w:val="24"/>
          </w:rPr>
          <w:t>https://casetext.com/case/dougherty-v-city-of-detroit</w:t>
        </w:r>
      </w:hyperlink>
      <w:r w:rsidR="00D7606A">
        <w:rPr>
          <w:rFonts w:ascii="Times New Roman" w:hAnsi="Times New Roman"/>
          <w:sz w:val="24"/>
          <w:szCs w:val="24"/>
        </w:rPr>
        <w:t xml:space="preserve"> </w:t>
      </w:r>
    </w:p>
    <w:p w14:paraId="73056C31" w14:textId="4D6EFAA9" w:rsidR="00B5724A" w:rsidRPr="00737BB4" w:rsidRDefault="00D7606A" w:rsidP="00B5724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 COURT HELD:</w:t>
      </w:r>
    </w:p>
    <w:p w14:paraId="32149667" w14:textId="77777777" w:rsidR="00B5724A" w:rsidRPr="00B03BDA" w:rsidRDefault="00B5724A" w:rsidP="00B5724A">
      <w:pPr>
        <w:spacing w:before="100" w:beforeAutospacing="1" w:after="100" w:afterAutospacing="1" w:line="240" w:lineRule="auto"/>
        <w:ind w:left="720"/>
        <w:rPr>
          <w:rFonts w:ascii="Times New Roman" w:hAnsi="Times New Roman"/>
          <w:sz w:val="24"/>
          <w:szCs w:val="24"/>
        </w:rPr>
      </w:pPr>
      <w:r w:rsidRPr="008F73CD">
        <w:rPr>
          <w:rFonts w:ascii="Times New Roman" w:hAnsi="Times New Roman"/>
          <w:sz w:val="24"/>
          <w:szCs w:val="24"/>
        </w:rPr>
        <w:t>“</w:t>
      </w:r>
      <w:r>
        <w:rPr>
          <w:rFonts w:ascii="Times New Roman" w:hAnsi="Times New Roman"/>
          <w:sz w:val="24"/>
          <w:szCs w:val="24"/>
        </w:rPr>
        <w:t>[W]</w:t>
      </w:r>
      <w:r w:rsidRPr="008F73CD">
        <w:rPr>
          <w:rFonts w:ascii="Times New Roman" w:hAnsi="Times New Roman"/>
          <w:sz w:val="24"/>
          <w:szCs w:val="24"/>
        </w:rPr>
        <w:t>we think it is too heavy a burden to impose an affirmative duty on firefighters to ensure the survival of individuals that are unobservable at the scene of a fire</w:t>
      </w:r>
      <w:r>
        <w:rPr>
          <w:rFonts w:ascii="Times New Roman" w:hAnsi="Times New Roman"/>
          <w:sz w:val="24"/>
          <w:szCs w:val="24"/>
        </w:rPr>
        <w:t>….</w:t>
      </w:r>
      <w:r w:rsidRPr="008F73CD">
        <w:rPr>
          <w:rFonts w:ascii="Times New Roman" w:hAnsi="Times New Roman"/>
          <w:sz w:val="24"/>
          <w:szCs w:val="24"/>
        </w:rPr>
        <w:t xml:space="preserve"> As defendant pointed out, imposing such a broad duty that places personal liability on firefighters not only contradicts established law, but could also have a chilling effect on recruitment of firefighters. Similarly, this enhanced burden would alter how long a firefighter must remain in a fire-compromised building, thereby jeopardizing his or her own safety and the safety of his or her crew</w:t>
      </w:r>
      <w:r>
        <w:rPr>
          <w:rFonts w:ascii="Times New Roman" w:hAnsi="Times New Roman"/>
          <w:sz w:val="24"/>
          <w:szCs w:val="24"/>
        </w:rPr>
        <w:t xml:space="preserve">…. </w:t>
      </w:r>
      <w:r w:rsidRPr="008F73CD">
        <w:rPr>
          <w:rFonts w:ascii="Times New Roman" w:hAnsi="Times New Roman"/>
          <w:sz w:val="24"/>
          <w:szCs w:val="24"/>
        </w:rPr>
        <w:t>We see no reason to impose an affirmative duty on firefighters requiring them to ensure the survival of individuals, who firefighters are unaware that exist, and cannot be located despite numerous searches of an area.</w:t>
      </w:r>
      <w:r>
        <w:rPr>
          <w:rFonts w:ascii="Times New Roman" w:hAnsi="Times New Roman"/>
          <w:sz w:val="24"/>
          <w:szCs w:val="24"/>
        </w:rPr>
        <w:t xml:space="preserve">” </w:t>
      </w:r>
      <w:hyperlink r:id="rId868" w:history="1">
        <w:r w:rsidRPr="00EC5853">
          <w:rPr>
            <w:rStyle w:val="Hyperlink"/>
            <w:rFonts w:ascii="Times New Roman" w:hAnsi="Times New Roman"/>
            <w:sz w:val="24"/>
            <w:szCs w:val="24"/>
          </w:rPr>
          <w:t>https://casetext.com/case/dougherty-v-city-of-detroit</w:t>
        </w:r>
      </w:hyperlink>
      <w:r>
        <w:rPr>
          <w:rFonts w:ascii="Times New Roman" w:hAnsi="Times New Roman"/>
          <w:sz w:val="24"/>
          <w:szCs w:val="24"/>
        </w:rPr>
        <w:t xml:space="preserve"> </w:t>
      </w:r>
    </w:p>
    <w:p w14:paraId="33E21782" w14:textId="77777777" w:rsidR="00B5724A" w:rsidRPr="0099025C" w:rsidRDefault="00B5724A" w:rsidP="00B5724A">
      <w:pPr>
        <w:rPr>
          <w:rFonts w:ascii="Times New Roman" w:hAnsi="Times New Roman"/>
          <w:b/>
          <w:bCs/>
          <w:sz w:val="24"/>
          <w:szCs w:val="24"/>
        </w:rPr>
      </w:pPr>
      <w:r w:rsidRPr="0099025C">
        <w:rPr>
          <w:rFonts w:ascii="Times New Roman" w:hAnsi="Times New Roman"/>
          <w:b/>
          <w:bCs/>
          <w:sz w:val="24"/>
          <w:szCs w:val="24"/>
        </w:rPr>
        <w:t xml:space="preserve">Legal Lesson Learned: Michigan governmental tort liability act protects Incident Commanders from personal liability unless proof of gross negligence. </w:t>
      </w:r>
    </w:p>
    <w:p w14:paraId="03ACA62E" w14:textId="77777777" w:rsidR="00B5724A" w:rsidRDefault="00B5724A" w:rsidP="00B5724A">
      <w:pPr>
        <w:spacing w:line="240" w:lineRule="auto"/>
        <w:ind w:left="720"/>
        <w:rPr>
          <w:rFonts w:ascii="Times New Roman" w:hAnsi="Times New Roman"/>
          <w:sz w:val="24"/>
          <w:szCs w:val="24"/>
        </w:rPr>
      </w:pPr>
      <w:r>
        <w:rPr>
          <w:rFonts w:ascii="Times New Roman" w:hAnsi="Times New Roman"/>
          <w:sz w:val="24"/>
          <w:szCs w:val="24"/>
        </w:rPr>
        <w:t xml:space="preserve">Note: </w:t>
      </w:r>
      <w:r w:rsidRPr="00A7354D">
        <w:rPr>
          <w:rFonts w:ascii="Times New Roman" w:hAnsi="Times New Roman"/>
          <w:sz w:val="24"/>
          <w:szCs w:val="24"/>
        </w:rPr>
        <w:t xml:space="preserve">Ohio Revised Code, Section 2744.03, </w:t>
      </w:r>
      <w:r>
        <w:rPr>
          <w:rFonts w:ascii="Times New Roman" w:hAnsi="Times New Roman"/>
          <w:sz w:val="24"/>
          <w:szCs w:val="24"/>
        </w:rPr>
        <w:t xml:space="preserve">Defenses – Immunities, </w:t>
      </w:r>
      <w:hyperlink r:id="rId869" w:history="1">
        <w:r w:rsidRPr="00F9132E">
          <w:rPr>
            <w:rFonts w:ascii="Times New Roman" w:hAnsi="Times New Roman"/>
            <w:sz w:val="24"/>
            <w:szCs w:val="24"/>
          </w:rPr>
          <w:t>https://codes.ohio.gov/ohio-revised-code/section-2744.03</w:t>
        </w:r>
      </w:hyperlink>
      <w:r>
        <w:rPr>
          <w:rFonts w:ascii="Times New Roman" w:hAnsi="Times New Roman"/>
          <w:sz w:val="24"/>
          <w:szCs w:val="24"/>
        </w:rPr>
        <w:t xml:space="preserve">  </w:t>
      </w:r>
    </w:p>
    <w:p w14:paraId="116FDEEC" w14:textId="77777777" w:rsidR="00B5724A" w:rsidRPr="0099025C" w:rsidRDefault="00B5724A" w:rsidP="00B5724A">
      <w:pPr>
        <w:ind w:left="720"/>
        <w:rPr>
          <w:rFonts w:ascii="Times New Roman" w:hAnsi="Times New Roman"/>
          <w:sz w:val="24"/>
          <w:szCs w:val="24"/>
        </w:rPr>
      </w:pPr>
      <w:r w:rsidRPr="0099025C">
        <w:rPr>
          <w:rFonts w:ascii="Times New Roman" w:hAnsi="Times New Roman"/>
          <w:sz w:val="24"/>
          <w:szCs w:val="24"/>
        </w:rPr>
        <w:t xml:space="preserve">“(6) In addition to any immunity or defense referred to in division (A)(7) of this section and in circumstances not covered by that division or sections </w:t>
      </w:r>
      <w:hyperlink r:id="rId870" w:history="1">
        <w:r w:rsidRPr="0099025C">
          <w:rPr>
            <w:rFonts w:ascii="Times New Roman" w:hAnsi="Times New Roman"/>
            <w:sz w:val="24"/>
            <w:szCs w:val="24"/>
          </w:rPr>
          <w:t>3314.07</w:t>
        </w:r>
      </w:hyperlink>
      <w:r w:rsidRPr="0099025C">
        <w:rPr>
          <w:rFonts w:ascii="Times New Roman" w:hAnsi="Times New Roman"/>
          <w:sz w:val="24"/>
          <w:szCs w:val="24"/>
        </w:rPr>
        <w:t xml:space="preserve"> and </w:t>
      </w:r>
      <w:hyperlink r:id="rId871" w:history="1">
        <w:r w:rsidRPr="0099025C">
          <w:rPr>
            <w:rFonts w:ascii="Times New Roman" w:hAnsi="Times New Roman"/>
            <w:sz w:val="24"/>
            <w:szCs w:val="24"/>
          </w:rPr>
          <w:t>3746.24</w:t>
        </w:r>
      </w:hyperlink>
      <w:r w:rsidRPr="0099025C">
        <w:rPr>
          <w:rFonts w:ascii="Times New Roman" w:hAnsi="Times New Roman"/>
          <w:sz w:val="24"/>
          <w:szCs w:val="24"/>
        </w:rPr>
        <w:t xml:space="preserve"> of the Revised Code, the employee is immune from liability unless one of the following applies:</w:t>
      </w:r>
    </w:p>
    <w:p w14:paraId="0BC7BDA8" w14:textId="77777777" w:rsidR="00B5724A" w:rsidRPr="0099025C" w:rsidRDefault="00B5724A" w:rsidP="00B5724A">
      <w:pPr>
        <w:ind w:left="720"/>
        <w:rPr>
          <w:rFonts w:ascii="Times New Roman" w:hAnsi="Times New Roman"/>
          <w:sz w:val="24"/>
          <w:szCs w:val="24"/>
        </w:rPr>
      </w:pPr>
      <w:r w:rsidRPr="0099025C">
        <w:rPr>
          <w:rFonts w:ascii="Times New Roman" w:hAnsi="Times New Roman"/>
          <w:sz w:val="24"/>
          <w:szCs w:val="24"/>
        </w:rPr>
        <w:lastRenderedPageBreak/>
        <w:t>(a) The employee's acts or omissions were manifestly outside the scope of the employee's employment or official responsibilities;</w:t>
      </w:r>
    </w:p>
    <w:p w14:paraId="08C3992C" w14:textId="77777777" w:rsidR="00B5724A" w:rsidRPr="0099025C" w:rsidRDefault="00B5724A" w:rsidP="00B5724A">
      <w:pPr>
        <w:ind w:left="720"/>
        <w:rPr>
          <w:rFonts w:ascii="Times New Roman" w:hAnsi="Times New Roman"/>
          <w:sz w:val="24"/>
          <w:szCs w:val="24"/>
        </w:rPr>
      </w:pPr>
      <w:r w:rsidRPr="0099025C">
        <w:rPr>
          <w:rFonts w:ascii="Times New Roman" w:hAnsi="Times New Roman"/>
          <w:sz w:val="24"/>
          <w:szCs w:val="24"/>
        </w:rPr>
        <w:t>(b) The employee's acts or omissions were with malicious purpose, in bad faith, or in a wanton or reckless manner….”</w:t>
      </w:r>
    </w:p>
    <w:p w14:paraId="17057B21" w14:textId="77777777" w:rsidR="00B5724A" w:rsidRDefault="00B5724A" w:rsidP="002B1283">
      <w:pPr>
        <w:rPr>
          <w:rStyle w:val="Hyperlink"/>
          <w:rFonts w:ascii="Arial Black" w:hAnsi="Arial Black"/>
          <w:b/>
          <w:color w:val="auto"/>
          <w:sz w:val="24"/>
          <w:szCs w:val="24"/>
          <w:u w:val="none"/>
        </w:rPr>
      </w:pPr>
    </w:p>
    <w:p w14:paraId="099D476A" w14:textId="77777777" w:rsidR="00B5724A" w:rsidRDefault="00B5724A" w:rsidP="002B1283">
      <w:pPr>
        <w:rPr>
          <w:rStyle w:val="Hyperlink"/>
          <w:rFonts w:ascii="Arial Black" w:hAnsi="Arial Black"/>
          <w:b/>
          <w:color w:val="auto"/>
          <w:sz w:val="24"/>
          <w:szCs w:val="24"/>
          <w:u w:val="none"/>
        </w:rPr>
      </w:pPr>
    </w:p>
    <w:p w14:paraId="31ADC158" w14:textId="6AFD11B5" w:rsidR="00B5724A" w:rsidRDefault="00B5724A"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4-19</w:t>
      </w:r>
    </w:p>
    <w:p w14:paraId="2845E89E" w14:textId="77777777" w:rsidR="00B5724A" w:rsidRPr="00E771B6" w:rsidRDefault="00B5724A" w:rsidP="00B5724A">
      <w:pPr>
        <w:rPr>
          <w:rFonts w:ascii="Arial Black" w:hAnsi="Arial Black"/>
          <w:sz w:val="28"/>
          <w:szCs w:val="28"/>
        </w:rPr>
      </w:pPr>
      <w:r>
        <w:rPr>
          <w:rFonts w:ascii="Arial Black" w:hAnsi="Arial Black"/>
          <w:sz w:val="28"/>
          <w:szCs w:val="28"/>
        </w:rPr>
        <w:t>WA: FED. GOV’T IMMUNITY - FIRE BREAK, 15 ACRES BURNED OK PROPERTY OWNER / IC DIDN’T PROMISE FOAM</w:t>
      </w:r>
    </w:p>
    <w:p w14:paraId="1CF9AF65" w14:textId="77777777" w:rsidR="00B5724A" w:rsidRPr="002C414E" w:rsidRDefault="00B5724A" w:rsidP="00B5724A">
      <w:pPr>
        <w:rPr>
          <w:rFonts w:ascii="Times New Roman" w:hAnsi="Times New Roman"/>
          <w:sz w:val="24"/>
          <w:szCs w:val="24"/>
        </w:rPr>
      </w:pPr>
      <w:r w:rsidRPr="002C414E">
        <w:rPr>
          <w:rFonts w:ascii="Times New Roman" w:hAnsi="Times New Roman"/>
          <w:sz w:val="24"/>
          <w:szCs w:val="24"/>
        </w:rPr>
        <w:t xml:space="preserve">On Dec. 17, 2021, in </w:t>
      </w:r>
      <w:r w:rsidRPr="002C414E">
        <w:rPr>
          <w:rFonts w:ascii="Times New Roman" w:hAnsi="Times New Roman"/>
          <w:sz w:val="24"/>
          <w:szCs w:val="24"/>
          <w:u w:val="single"/>
        </w:rPr>
        <w:t>Alfred Cruz Esquivel and Donald David Willard v. United State of America,</w:t>
      </w:r>
      <w:r w:rsidRPr="002C414E">
        <w:rPr>
          <w:rFonts w:ascii="Times New Roman" w:hAnsi="Times New Roman"/>
          <w:sz w:val="24"/>
          <w:szCs w:val="24"/>
        </w:rPr>
        <w:t xml:space="preserve"> the U.S. Court of Appeals for the 9</w:t>
      </w:r>
      <w:r w:rsidRPr="002C414E">
        <w:rPr>
          <w:rFonts w:ascii="Times New Roman" w:hAnsi="Times New Roman"/>
          <w:sz w:val="24"/>
          <w:szCs w:val="24"/>
          <w:vertAlign w:val="superscript"/>
        </w:rPr>
        <w:t>th</w:t>
      </w:r>
      <w:r w:rsidRPr="002C414E">
        <w:rPr>
          <w:rFonts w:ascii="Times New Roman" w:hAnsi="Times New Roman"/>
          <w:sz w:val="24"/>
          <w:szCs w:val="24"/>
        </w:rPr>
        <w:t xml:space="preserve"> Circuit (San Francisco) upheld the trial court’s dismissal of the case </w:t>
      </w:r>
      <w:r w:rsidRPr="002C414E">
        <w:rPr>
          <w:rStyle w:val="markedcontent"/>
          <w:rFonts w:ascii="Times New Roman" w:hAnsi="Times New Roman"/>
          <w:sz w:val="24"/>
          <w:szCs w:val="24"/>
        </w:rPr>
        <w:t xml:space="preserve">based on holding that the FTCA [Federal Tort Claims Act] claims fell within the discretionary function exception to the FTCA’s waiver of sovereign immunity, and the FTCA’s misrepresentation exception. </w:t>
      </w:r>
      <w:r w:rsidRPr="002C414E">
        <w:rPr>
          <w:rFonts w:ascii="Times New Roman" w:hAnsi="Times New Roman"/>
          <w:sz w:val="24"/>
          <w:szCs w:val="24"/>
        </w:rPr>
        <w:t xml:space="preserve">The Bureau of Land Management had rejected the property owners’ claim of $5 million for burn of his 15 acres. </w:t>
      </w:r>
    </w:p>
    <w:p w14:paraId="31CA7FCC" w14:textId="77777777" w:rsidR="00B5724A" w:rsidRPr="002C414E" w:rsidRDefault="00B5724A" w:rsidP="00B5724A">
      <w:pPr>
        <w:ind w:left="720"/>
        <w:rPr>
          <w:rFonts w:ascii="Times New Roman" w:hAnsi="Times New Roman"/>
          <w:sz w:val="24"/>
          <w:szCs w:val="24"/>
        </w:rPr>
      </w:pPr>
      <w:r w:rsidRPr="002C414E">
        <w:rPr>
          <w:rFonts w:ascii="Times New Roman" w:hAnsi="Times New Roman"/>
          <w:sz w:val="24"/>
          <w:szCs w:val="24"/>
        </w:rPr>
        <w:t>“</w:t>
      </w:r>
      <w:r w:rsidRPr="002C414E">
        <w:rPr>
          <w:rStyle w:val="markedcontent"/>
          <w:rFonts w:ascii="Times New Roman" w:hAnsi="Times New Roman"/>
          <w:sz w:val="24"/>
          <w:szCs w:val="24"/>
        </w:rPr>
        <w:t xml:space="preserve">Willard later swore that [IC Thomas] McKibbin ‘convinced’ him that the team ‘would protect [the] property and make sure that [the] property would not be excessively burned.’ Willard also declared that when he was old about the foam he thought ‘it would be safe for [him] to leave.’ McKibbin swears he does not recall any discussion of foam in his conversation with Willard. He also states in his declaration before the district court that it would be highly unusual for foam to be used during a burnout because foam is typically used only to contain the advance of a wildfire, while burnouts are performed under controlled conditions and normally do not need to be contained. McKibbin also swears that if ‘Willard had wanted to forego a burnout, [McKibbin] would not have done one.’ ‘That would have put the entire property at extreme risk, but it was [Willard’s] prerogative to take the risk if [Willard] wanted to.’ *** </w:t>
      </w:r>
      <w:r w:rsidRPr="002C414E">
        <w:rPr>
          <w:rFonts w:ascii="Times New Roman" w:hAnsi="Times New Roman"/>
          <w:sz w:val="24"/>
          <w:szCs w:val="24"/>
        </w:rPr>
        <w:t xml:space="preserve">Accepting as true the factual allegations contained in Appellants' complaint, we conclude as a matter of law that McKibbin's communication with Willard was ‘based upon the exercise or performance’ of choosing how to organize and conduct fire suppression operations, which undisputedly requires the exercise of judgment grounded in social, economic, or political policy. We therefore hold that the government has met its burden of establishing that Appellants' claims fall within the scope of the discretionary function exception.” </w:t>
      </w:r>
      <w:hyperlink r:id="rId872" w:history="1">
        <w:r w:rsidRPr="00EC5853">
          <w:rPr>
            <w:rStyle w:val="Hyperlink"/>
            <w:rFonts w:ascii="Times New Roman" w:hAnsi="Times New Roman"/>
            <w:sz w:val="24"/>
            <w:szCs w:val="24"/>
          </w:rPr>
          <w:t>https://cdn.ca9.uscourts.gov/datastore/opinions/2021/12/17/20-35868.pdf</w:t>
        </w:r>
      </w:hyperlink>
      <w:r>
        <w:rPr>
          <w:rFonts w:ascii="Times New Roman" w:hAnsi="Times New Roman"/>
          <w:sz w:val="24"/>
          <w:szCs w:val="24"/>
        </w:rPr>
        <w:t xml:space="preserve"> </w:t>
      </w:r>
    </w:p>
    <w:p w14:paraId="4B82893D" w14:textId="77777777" w:rsidR="00B5724A" w:rsidRPr="004F5123" w:rsidRDefault="00B5724A" w:rsidP="00B5724A">
      <w:pPr>
        <w:spacing w:before="100" w:beforeAutospacing="1" w:after="100" w:afterAutospacing="1" w:line="240" w:lineRule="auto"/>
        <w:rPr>
          <w:rFonts w:ascii="Times New Roman" w:eastAsia="Times New Roman" w:hAnsi="Times New Roman"/>
          <w:b/>
          <w:bCs/>
          <w:sz w:val="24"/>
          <w:szCs w:val="24"/>
        </w:rPr>
      </w:pPr>
      <w:r w:rsidRPr="002C414E">
        <w:rPr>
          <w:rFonts w:ascii="Times New Roman" w:hAnsi="Times New Roman"/>
          <w:b/>
          <w:bCs/>
          <w:sz w:val="24"/>
          <w:szCs w:val="24"/>
        </w:rPr>
        <w:t xml:space="preserve">Legal Lesson Learned: The Federal Tort Claims Act includes exemptions from liability for discretionary decisions </w:t>
      </w:r>
      <w:proofErr w:type="gramStart"/>
      <w:r w:rsidRPr="002C414E">
        <w:rPr>
          <w:rFonts w:ascii="Times New Roman" w:hAnsi="Times New Roman"/>
          <w:b/>
          <w:bCs/>
          <w:sz w:val="24"/>
          <w:szCs w:val="24"/>
        </w:rPr>
        <w:t>and also</w:t>
      </w:r>
      <w:proofErr w:type="gramEnd"/>
      <w:r w:rsidRPr="002C414E">
        <w:rPr>
          <w:rFonts w:ascii="Times New Roman" w:hAnsi="Times New Roman"/>
          <w:b/>
          <w:bCs/>
          <w:sz w:val="24"/>
          <w:szCs w:val="24"/>
        </w:rPr>
        <w:t xml:space="preserve"> for alleged misrepresentations</w:t>
      </w:r>
      <w:r>
        <w:rPr>
          <w:rFonts w:ascii="Times New Roman" w:hAnsi="Times New Roman"/>
          <w:b/>
          <w:bCs/>
          <w:sz w:val="24"/>
          <w:szCs w:val="24"/>
        </w:rPr>
        <w:t xml:space="preserve">. </w:t>
      </w:r>
    </w:p>
    <w:p w14:paraId="037E8877" w14:textId="77777777" w:rsidR="00B5724A" w:rsidRDefault="00B5724A" w:rsidP="002B1283">
      <w:pPr>
        <w:rPr>
          <w:rStyle w:val="Hyperlink"/>
          <w:rFonts w:ascii="Arial Black" w:hAnsi="Arial Black"/>
          <w:b/>
          <w:color w:val="auto"/>
          <w:sz w:val="24"/>
          <w:szCs w:val="24"/>
          <w:u w:val="none"/>
        </w:rPr>
      </w:pPr>
    </w:p>
    <w:p w14:paraId="178D7422" w14:textId="77777777" w:rsidR="00B5724A" w:rsidRDefault="00B5724A" w:rsidP="002B1283">
      <w:pPr>
        <w:rPr>
          <w:rStyle w:val="Hyperlink"/>
          <w:rFonts w:ascii="Arial Black" w:hAnsi="Arial Black"/>
          <w:b/>
          <w:color w:val="auto"/>
          <w:sz w:val="24"/>
          <w:szCs w:val="24"/>
          <w:u w:val="none"/>
        </w:rPr>
      </w:pPr>
    </w:p>
    <w:p w14:paraId="7BBF8755" w14:textId="71DF1DF7" w:rsidR="00365F63" w:rsidRDefault="00365F6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4-18</w:t>
      </w:r>
    </w:p>
    <w:p w14:paraId="20EA0DC5" w14:textId="77777777" w:rsidR="00365F63" w:rsidRDefault="00365F63" w:rsidP="00365F63">
      <w:pPr>
        <w:spacing w:before="100" w:beforeAutospacing="1" w:after="100" w:afterAutospacing="1" w:line="240" w:lineRule="auto"/>
        <w:rPr>
          <w:rFonts w:ascii="Arial Black" w:hAnsi="Arial Black"/>
          <w:sz w:val="28"/>
          <w:szCs w:val="28"/>
        </w:rPr>
      </w:pPr>
      <w:r>
        <w:rPr>
          <w:rFonts w:ascii="Arial Black" w:hAnsi="Arial Black"/>
          <w:sz w:val="28"/>
          <w:szCs w:val="28"/>
        </w:rPr>
        <w:lastRenderedPageBreak/>
        <w:t>MI: DISPATCH SENT EMS TO “FIREMEN’S ASSOCIATION” INSTEAD OF VOL. FD – CHILD DIED ASTHMA - IMMUNITY</w:t>
      </w:r>
    </w:p>
    <w:p w14:paraId="4E1F0A9E" w14:textId="77777777" w:rsidR="00365F63" w:rsidRDefault="00365F63" w:rsidP="00365F6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15, 2021, in </w:t>
      </w:r>
      <w:r w:rsidRPr="00502AAE">
        <w:rPr>
          <w:rFonts w:ascii="Times New Roman" w:hAnsi="Times New Roman"/>
          <w:sz w:val="24"/>
          <w:szCs w:val="24"/>
          <w:u w:val="single"/>
        </w:rPr>
        <w:t>Jose Reyes, as Personal Representative for the Estate of Bobby Reves, et al. v. Monroe County and Sonya Sampsel</w:t>
      </w:r>
      <w:r>
        <w:rPr>
          <w:rFonts w:ascii="Times New Roman" w:hAnsi="Times New Roman"/>
          <w:sz w:val="24"/>
          <w:szCs w:val="24"/>
        </w:rPr>
        <w:t xml:space="preserve">, U.S. District Court Judge Laurie J. Michelson granted summary judgment to Monroe County and 911 Dispatcher Sonya Sampsel.  Tragic case where a </w:t>
      </w:r>
      <w:proofErr w:type="gramStart"/>
      <w:r>
        <w:rPr>
          <w:rFonts w:ascii="Times New Roman" w:hAnsi="Times New Roman"/>
          <w:sz w:val="24"/>
          <w:szCs w:val="24"/>
        </w:rPr>
        <w:t>14-year old</w:t>
      </w:r>
      <w:proofErr w:type="gramEnd"/>
      <w:r>
        <w:rPr>
          <w:rFonts w:ascii="Times New Roman" w:hAnsi="Times New Roman"/>
          <w:sz w:val="24"/>
          <w:szCs w:val="24"/>
        </w:rPr>
        <w:t xml:space="preserve"> teenager with asthma died when dispatch sent ambulance to the Ash Township Firemen’s Association, instead of to Ash Township Fire Station No. 2.  Judge recognized that the dispatcher had to make a quick decision with a non-breather.  Fed. claim of “state-created-danger” in violation of due process under 14</w:t>
      </w:r>
      <w:r w:rsidRPr="007E302C">
        <w:rPr>
          <w:rFonts w:ascii="Times New Roman" w:hAnsi="Times New Roman"/>
          <w:sz w:val="24"/>
          <w:szCs w:val="24"/>
          <w:vertAlign w:val="superscript"/>
        </w:rPr>
        <w:t>th</w:t>
      </w:r>
      <w:r>
        <w:rPr>
          <w:rFonts w:ascii="Times New Roman" w:hAnsi="Times New Roman"/>
          <w:sz w:val="24"/>
          <w:szCs w:val="24"/>
        </w:rPr>
        <w:t xml:space="preserve"> Amendment of Constitution requires proof of reckless conduct that “shocks the contemporary conscience.” State claim of negligence also dismissed - </w:t>
      </w:r>
      <w:r w:rsidRPr="00AE2C93">
        <w:rPr>
          <w:rFonts w:ascii="Times New Roman" w:hAnsi="Times New Roman"/>
          <w:sz w:val="24"/>
          <w:szCs w:val="24"/>
        </w:rPr>
        <w:t xml:space="preserve">Michigan's Governmental Tort Liability Act shields government </w:t>
      </w:r>
      <w:r>
        <w:rPr>
          <w:rFonts w:ascii="Times New Roman" w:hAnsi="Times New Roman"/>
          <w:sz w:val="24"/>
          <w:szCs w:val="24"/>
        </w:rPr>
        <w:t>employees</w:t>
      </w:r>
      <w:r w:rsidRPr="00AE2C93">
        <w:rPr>
          <w:rFonts w:ascii="Times New Roman" w:hAnsi="Times New Roman"/>
          <w:sz w:val="24"/>
          <w:szCs w:val="24"/>
        </w:rPr>
        <w:t xml:space="preserve"> from claims of negligence unless the</w:t>
      </w:r>
      <w:r>
        <w:rPr>
          <w:rFonts w:ascii="Times New Roman" w:hAnsi="Times New Roman"/>
          <w:sz w:val="24"/>
          <w:szCs w:val="24"/>
        </w:rPr>
        <w:t xml:space="preserve">ir conduct was </w:t>
      </w:r>
      <w:r w:rsidRPr="00AE2C93">
        <w:rPr>
          <w:rFonts w:ascii="Times New Roman" w:hAnsi="Times New Roman"/>
          <w:sz w:val="24"/>
          <w:szCs w:val="24"/>
        </w:rPr>
        <w:t>“so reckless as to demonstrate a substantial lack of concern for whether an injury results.</w:t>
      </w:r>
      <w:r>
        <w:rPr>
          <w:rFonts w:ascii="Times New Roman" w:hAnsi="Times New Roman"/>
          <w:sz w:val="24"/>
          <w:szCs w:val="24"/>
        </w:rPr>
        <w:t xml:space="preserve">”  </w:t>
      </w:r>
    </w:p>
    <w:p w14:paraId="17E73740"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7E302C">
        <w:rPr>
          <w:rFonts w:ascii="Times New Roman" w:hAnsi="Times New Roman"/>
          <w:sz w:val="24"/>
          <w:szCs w:val="24"/>
        </w:rPr>
        <w:t xml:space="preserve">In cases where a state actor was forced to make a quick decision, courts have required a plaintiff to show that the state actor intended to cause harm to establish liability under the Due Process Clause. </w:t>
      </w:r>
      <w:r w:rsidRPr="007E302C">
        <w:rPr>
          <w:rFonts w:ascii="Times New Roman" w:hAnsi="Times New Roman"/>
          <w:i/>
          <w:iCs/>
          <w:sz w:val="24"/>
          <w:szCs w:val="24"/>
        </w:rPr>
        <w:t>See County of Sacramento v. Lewis</w:t>
      </w:r>
      <w:r w:rsidRPr="007E302C">
        <w:rPr>
          <w:rFonts w:ascii="Times New Roman" w:hAnsi="Times New Roman"/>
          <w:sz w:val="24"/>
          <w:szCs w:val="24"/>
        </w:rPr>
        <w:t xml:space="preserve">, </w:t>
      </w:r>
      <w:hyperlink r:id="rId873" w:anchor="p853" w:history="1">
        <w:r w:rsidRPr="007E302C">
          <w:rPr>
            <w:rStyle w:val="Hyperlink"/>
            <w:rFonts w:ascii="Times New Roman" w:hAnsi="Times New Roman"/>
            <w:sz w:val="24"/>
            <w:szCs w:val="24"/>
          </w:rPr>
          <w:t>523 U.S. 833, 853</w:t>
        </w:r>
      </w:hyperlink>
      <w:r w:rsidRPr="007E302C">
        <w:rPr>
          <w:rFonts w:ascii="Times New Roman" w:hAnsi="Times New Roman"/>
          <w:sz w:val="24"/>
          <w:szCs w:val="24"/>
        </w:rPr>
        <w:t xml:space="preserve"> (1998) (providing that </w:t>
      </w:r>
      <w:r>
        <w:rPr>
          <w:rFonts w:ascii="Times New Roman" w:hAnsi="Times New Roman"/>
          <w:sz w:val="24"/>
          <w:szCs w:val="24"/>
        </w:rPr>
        <w:t>‘</w:t>
      </w:r>
      <w:r w:rsidRPr="007E302C">
        <w:rPr>
          <w:rFonts w:ascii="Times New Roman" w:hAnsi="Times New Roman"/>
          <w:sz w:val="24"/>
          <w:szCs w:val="24"/>
        </w:rPr>
        <w:t xml:space="preserve">when unforeseen circumstances demand an officer's instant judgment, </w:t>
      </w:r>
      <w:r>
        <w:rPr>
          <w:rFonts w:ascii="Times New Roman" w:hAnsi="Times New Roman"/>
          <w:sz w:val="24"/>
          <w:szCs w:val="24"/>
        </w:rPr>
        <w:t>‘</w:t>
      </w:r>
      <w:r w:rsidRPr="007E302C">
        <w:rPr>
          <w:rFonts w:ascii="Times New Roman" w:hAnsi="Times New Roman"/>
          <w:sz w:val="24"/>
          <w:szCs w:val="24"/>
        </w:rPr>
        <w:t xml:space="preserve"> even the officer's reckless conduct will not shock the conscious); </w:t>
      </w:r>
      <w:r w:rsidRPr="007E302C">
        <w:rPr>
          <w:rFonts w:ascii="Times New Roman" w:hAnsi="Times New Roman"/>
          <w:i/>
          <w:iCs/>
          <w:sz w:val="24"/>
          <w:szCs w:val="24"/>
        </w:rPr>
        <w:t>Jackson Board of Education</w:t>
      </w:r>
      <w:r w:rsidRPr="007E302C">
        <w:rPr>
          <w:rFonts w:ascii="Times New Roman" w:hAnsi="Times New Roman"/>
          <w:sz w:val="24"/>
          <w:szCs w:val="24"/>
        </w:rPr>
        <w:t xml:space="preserve">, </w:t>
      </w:r>
      <w:hyperlink r:id="rId874" w:anchor="p933" w:history="1">
        <w:r w:rsidRPr="007E302C">
          <w:rPr>
            <w:rStyle w:val="Hyperlink"/>
            <w:rFonts w:ascii="Times New Roman" w:hAnsi="Times New Roman"/>
            <w:sz w:val="24"/>
            <w:szCs w:val="24"/>
          </w:rPr>
          <w:t>954 F.3d at 933</w:t>
        </w:r>
      </w:hyperlink>
      <w:r w:rsidRPr="007E302C">
        <w:rPr>
          <w:rFonts w:ascii="Times New Roman" w:hAnsi="Times New Roman"/>
          <w:sz w:val="24"/>
          <w:szCs w:val="24"/>
        </w:rPr>
        <w:t xml:space="preserve"> (“[The Supreme Court] has added that an actual intent to injure is required when public actors must make hasty decisions, such as during a high-speed chase or a prison riot.</w:t>
      </w:r>
      <w:r>
        <w:rPr>
          <w:rFonts w:ascii="Times New Roman" w:hAnsi="Times New Roman"/>
          <w:sz w:val="24"/>
          <w:szCs w:val="24"/>
        </w:rPr>
        <w:t>’</w:t>
      </w:r>
      <w:r w:rsidRPr="007E302C">
        <w:rPr>
          <w:rFonts w:ascii="Times New Roman" w:hAnsi="Times New Roman"/>
          <w:sz w:val="24"/>
          <w:szCs w:val="24"/>
        </w:rPr>
        <w:t xml:space="preserve">). An intent-to-harm standard makes sense when there is no time to deliberate; after </w:t>
      </w:r>
      <w:proofErr w:type="gramStart"/>
      <w:r w:rsidRPr="007E302C">
        <w:rPr>
          <w:rFonts w:ascii="Times New Roman" w:hAnsi="Times New Roman"/>
          <w:sz w:val="24"/>
          <w:szCs w:val="24"/>
        </w:rPr>
        <w:t xml:space="preserve">all, </w:t>
      </w:r>
      <w:r>
        <w:rPr>
          <w:rFonts w:ascii="Times New Roman" w:hAnsi="Times New Roman"/>
          <w:sz w:val="24"/>
          <w:szCs w:val="24"/>
        </w:rPr>
        <w:t>‘</w:t>
      </w:r>
      <w:proofErr w:type="gramEnd"/>
      <w:r w:rsidRPr="007E302C">
        <w:rPr>
          <w:rFonts w:ascii="Times New Roman" w:hAnsi="Times New Roman"/>
          <w:sz w:val="24"/>
          <w:szCs w:val="24"/>
        </w:rPr>
        <w:t>the [deliberate indifference] standard is sensibly employed only when actual deliberation is practical.</w:t>
      </w:r>
      <w:r>
        <w:rPr>
          <w:rFonts w:ascii="Times New Roman" w:hAnsi="Times New Roman"/>
          <w:sz w:val="24"/>
          <w:szCs w:val="24"/>
        </w:rPr>
        <w:t>’</w:t>
      </w:r>
      <w:r w:rsidRPr="007E302C">
        <w:rPr>
          <w:rFonts w:ascii="Times New Roman" w:hAnsi="Times New Roman"/>
          <w:sz w:val="24"/>
          <w:szCs w:val="24"/>
        </w:rPr>
        <w:t xml:space="preserve"> </w:t>
      </w:r>
      <w:r w:rsidRPr="007E302C">
        <w:rPr>
          <w:rFonts w:ascii="Times New Roman" w:hAnsi="Times New Roman"/>
          <w:i/>
          <w:iCs/>
          <w:sz w:val="24"/>
          <w:szCs w:val="24"/>
        </w:rPr>
        <w:t>Lewis</w:t>
      </w:r>
      <w:r w:rsidRPr="007E302C">
        <w:rPr>
          <w:rFonts w:ascii="Times New Roman" w:hAnsi="Times New Roman"/>
          <w:sz w:val="24"/>
          <w:szCs w:val="24"/>
        </w:rPr>
        <w:t xml:space="preserve">, </w:t>
      </w:r>
      <w:hyperlink r:id="rId875" w:anchor="p851" w:history="1">
        <w:r w:rsidRPr="007E302C">
          <w:rPr>
            <w:rStyle w:val="Hyperlink"/>
            <w:rFonts w:ascii="Times New Roman" w:hAnsi="Times New Roman"/>
            <w:sz w:val="24"/>
            <w:szCs w:val="24"/>
          </w:rPr>
          <w:t>523 U.S. at 851</w:t>
        </w:r>
      </w:hyperlink>
      <w:r w:rsidRPr="007E302C">
        <w:rPr>
          <w:rFonts w:ascii="Times New Roman" w:hAnsi="Times New Roman"/>
          <w:sz w:val="24"/>
          <w:szCs w:val="24"/>
        </w:rPr>
        <w:t>.</w:t>
      </w:r>
    </w:p>
    <w:p w14:paraId="0F1358EA" w14:textId="5765BD3E" w:rsidR="00365F63" w:rsidRDefault="00365F63" w:rsidP="00365F63">
      <w:pPr>
        <w:rPr>
          <w:rStyle w:val="Hyperlink"/>
          <w:rFonts w:ascii="Times New Roman" w:hAnsi="Times New Roman"/>
          <w:sz w:val="24"/>
          <w:szCs w:val="24"/>
        </w:rPr>
      </w:pPr>
      <w:r w:rsidRPr="007E302C">
        <w:rPr>
          <w:rFonts w:ascii="Times New Roman" w:hAnsi="Times New Roman"/>
          <w:sz w:val="24"/>
          <w:szCs w:val="24"/>
        </w:rPr>
        <w:t xml:space="preserve">Here, Sampsel had virtually no time to deliberate. Jones told Sampsel, </w:t>
      </w:r>
      <w:r>
        <w:rPr>
          <w:rFonts w:ascii="Times New Roman" w:hAnsi="Times New Roman"/>
          <w:sz w:val="24"/>
          <w:szCs w:val="24"/>
        </w:rPr>
        <w:t>‘</w:t>
      </w:r>
      <w:r w:rsidRPr="007E302C">
        <w:rPr>
          <w:rFonts w:ascii="Times New Roman" w:hAnsi="Times New Roman"/>
          <w:sz w:val="24"/>
          <w:szCs w:val="24"/>
        </w:rPr>
        <w:t>my son can't breathe.</w:t>
      </w:r>
      <w:r>
        <w:rPr>
          <w:rFonts w:ascii="Times New Roman" w:hAnsi="Times New Roman"/>
          <w:sz w:val="24"/>
          <w:szCs w:val="24"/>
        </w:rPr>
        <w:t>’</w:t>
      </w:r>
      <w:r w:rsidRPr="007E302C">
        <w:rPr>
          <w:rFonts w:ascii="Times New Roman" w:hAnsi="Times New Roman"/>
          <w:sz w:val="24"/>
          <w:szCs w:val="24"/>
        </w:rPr>
        <w:t xml:space="preserve"> Sampsel had to act-and quickly. Thus, for Sampsel to be liable under a state-created-danger theory, it appears that Plaintiffs must show that she acted with intent to harm Reyes. And if that is the requisite standard, not a shred of evidence supports holding Sampsel liable under the Due Process Clause. Sampsel did not intend to harm Reyes; she intended to help Reyes.</w:t>
      </w:r>
      <w:r>
        <w:rPr>
          <w:rFonts w:ascii="Times New Roman" w:hAnsi="Times New Roman"/>
          <w:sz w:val="24"/>
          <w:szCs w:val="24"/>
        </w:rPr>
        <w:t xml:space="preserve">”  </w:t>
      </w:r>
      <w:hyperlink r:id="rId876" w:history="1">
        <w:r w:rsidRPr="004E63E3">
          <w:rPr>
            <w:rStyle w:val="Hyperlink"/>
            <w:rFonts w:ascii="Times New Roman" w:hAnsi="Times New Roman"/>
            <w:sz w:val="24"/>
            <w:szCs w:val="24"/>
          </w:rPr>
          <w:t>https://casetext.com/case/reyes-v-monroe-cnty</w:t>
        </w:r>
      </w:hyperlink>
    </w:p>
    <w:p w14:paraId="6DEF4233" w14:textId="77777777" w:rsidR="00D43015" w:rsidRPr="00E1552C" w:rsidRDefault="00D43015" w:rsidP="00D43015">
      <w:pPr>
        <w:pStyle w:val="paragraph"/>
        <w:rPr>
          <w:b/>
          <w:bCs/>
        </w:rPr>
      </w:pPr>
      <w:r w:rsidRPr="00E1552C">
        <w:rPr>
          <w:b/>
          <w:bCs/>
        </w:rPr>
        <w:t xml:space="preserve">Legal Lesson Learned: Fortunately, dispatchers </w:t>
      </w:r>
      <w:r>
        <w:rPr>
          <w:b/>
          <w:bCs/>
        </w:rPr>
        <w:t xml:space="preserve">and other emergency responders required to make quick decisions </w:t>
      </w:r>
      <w:r w:rsidRPr="00E1552C">
        <w:rPr>
          <w:b/>
          <w:bCs/>
        </w:rPr>
        <w:t xml:space="preserve">enjoy immunity from Federal </w:t>
      </w:r>
      <w:r>
        <w:rPr>
          <w:b/>
          <w:bCs/>
        </w:rPr>
        <w:t xml:space="preserve">and state claims unless conduct is extremely reckless or </w:t>
      </w:r>
      <w:r w:rsidRPr="00200005">
        <w:rPr>
          <w:b/>
          <w:bCs/>
        </w:rPr>
        <w:t xml:space="preserve">deemed to </w:t>
      </w:r>
      <w:r>
        <w:rPr>
          <w:b/>
          <w:bCs/>
        </w:rPr>
        <w:t>“</w:t>
      </w:r>
      <w:r w:rsidRPr="00200005">
        <w:rPr>
          <w:b/>
          <w:bCs/>
        </w:rPr>
        <w:t>shock the contemporary conscience</w:t>
      </w:r>
      <w:r>
        <w:t>.”</w:t>
      </w:r>
    </w:p>
    <w:p w14:paraId="7519DE12" w14:textId="7C693D9D" w:rsidR="00D43015" w:rsidRDefault="00D43015" w:rsidP="00365F63">
      <w:pPr>
        <w:rPr>
          <w:rStyle w:val="Hyperlink"/>
          <w:rFonts w:ascii="Times New Roman" w:hAnsi="Times New Roman"/>
          <w:sz w:val="24"/>
          <w:szCs w:val="24"/>
        </w:rPr>
      </w:pPr>
    </w:p>
    <w:p w14:paraId="6C6DB195" w14:textId="4742A394" w:rsidR="00D43015" w:rsidRDefault="00D43015" w:rsidP="00365F63">
      <w:pPr>
        <w:rPr>
          <w:rStyle w:val="Hyperlink"/>
          <w:rFonts w:ascii="Times New Roman" w:hAnsi="Times New Roman"/>
          <w:sz w:val="24"/>
          <w:szCs w:val="24"/>
        </w:rPr>
      </w:pPr>
    </w:p>
    <w:p w14:paraId="628A47BE" w14:textId="77777777" w:rsidR="00D43015" w:rsidRDefault="00D43015" w:rsidP="00365F63">
      <w:pPr>
        <w:rPr>
          <w:rStyle w:val="Hyperlink"/>
          <w:rFonts w:ascii="Arial Black" w:hAnsi="Arial Black"/>
          <w:b/>
          <w:color w:val="auto"/>
          <w:sz w:val="24"/>
          <w:szCs w:val="24"/>
          <w:u w:val="none"/>
        </w:rPr>
      </w:pPr>
    </w:p>
    <w:p w14:paraId="65B4AA3D" w14:textId="7DB7CBD3" w:rsidR="0082055F" w:rsidRDefault="0082055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4-17</w:t>
      </w:r>
    </w:p>
    <w:p w14:paraId="4776FA1F" w14:textId="77777777" w:rsidR="0082055F" w:rsidRPr="00D431D9" w:rsidRDefault="0082055F" w:rsidP="0082055F">
      <w:pPr>
        <w:spacing w:before="100" w:beforeAutospacing="1" w:after="100" w:afterAutospacing="1" w:line="240" w:lineRule="auto"/>
        <w:rPr>
          <w:rFonts w:ascii="Arial Black" w:hAnsi="Arial Black"/>
          <w:sz w:val="28"/>
          <w:szCs w:val="28"/>
        </w:rPr>
      </w:pPr>
      <w:r>
        <w:rPr>
          <w:rFonts w:ascii="Arial Black" w:hAnsi="Arial Black"/>
          <w:sz w:val="28"/>
          <w:szCs w:val="28"/>
        </w:rPr>
        <w:t>U.S. SUPREME CT – UNANIMOUS - “QUALIFIED IMMUNITY” FOR PD - TWO CASES – HIGH RISK EMERGENCY DECISIONS</w:t>
      </w:r>
    </w:p>
    <w:p w14:paraId="3A664483" w14:textId="77777777" w:rsidR="0082055F" w:rsidRPr="002C43B3" w:rsidRDefault="0082055F" w:rsidP="0082055F">
      <w:pPr>
        <w:spacing w:before="100" w:beforeAutospacing="1" w:after="100" w:afterAutospacing="1" w:line="240" w:lineRule="auto"/>
        <w:rPr>
          <w:rFonts w:ascii="Times New Roman" w:hAnsi="Times New Roman"/>
          <w:sz w:val="24"/>
          <w:szCs w:val="24"/>
        </w:rPr>
      </w:pPr>
      <w:r w:rsidRPr="0065616E">
        <w:rPr>
          <w:rFonts w:ascii="Times New Roman" w:hAnsi="Times New Roman"/>
          <w:sz w:val="24"/>
          <w:szCs w:val="24"/>
        </w:rPr>
        <w:t xml:space="preserve">On </w:t>
      </w:r>
      <w:r>
        <w:rPr>
          <w:rFonts w:ascii="Times New Roman" w:hAnsi="Times New Roman"/>
          <w:sz w:val="24"/>
          <w:szCs w:val="24"/>
        </w:rPr>
        <w:t xml:space="preserve">Oct. 18, 2021, the U.S. Supreme Court, issued summary dispositions (9 to 0; two per curiam opinions – not authored by a single Justice) dismissing two lawsuits against police officers </w:t>
      </w:r>
      <w:proofErr w:type="gramStart"/>
      <w:r>
        <w:rPr>
          <w:rFonts w:ascii="Times New Roman" w:hAnsi="Times New Roman"/>
          <w:sz w:val="24"/>
          <w:szCs w:val="24"/>
        </w:rPr>
        <w:t>on the basis of</w:t>
      </w:r>
      <w:proofErr w:type="gramEnd"/>
      <w:r>
        <w:rPr>
          <w:rFonts w:ascii="Times New Roman" w:hAnsi="Times New Roman"/>
          <w:sz w:val="24"/>
          <w:szCs w:val="24"/>
        </w:rPr>
        <w:t xml:space="preserve"> “qualified immunity.” The Court unanimously reversed the 9</w:t>
      </w:r>
      <w:r w:rsidRPr="00D427A9">
        <w:rPr>
          <w:rFonts w:ascii="Times New Roman" w:hAnsi="Times New Roman"/>
          <w:sz w:val="24"/>
          <w:szCs w:val="24"/>
          <w:vertAlign w:val="superscript"/>
        </w:rPr>
        <w:t>th</w:t>
      </w:r>
      <w:r>
        <w:rPr>
          <w:rFonts w:ascii="Times New Roman" w:hAnsi="Times New Roman"/>
          <w:sz w:val="24"/>
          <w:szCs w:val="24"/>
        </w:rPr>
        <w:t xml:space="preserve"> Circuit in one case, and the 10</w:t>
      </w:r>
      <w:r w:rsidRPr="00D427A9">
        <w:rPr>
          <w:rFonts w:ascii="Times New Roman" w:hAnsi="Times New Roman"/>
          <w:sz w:val="24"/>
          <w:szCs w:val="24"/>
          <w:vertAlign w:val="superscript"/>
        </w:rPr>
        <w:t>th</w:t>
      </w:r>
      <w:r>
        <w:rPr>
          <w:rFonts w:ascii="Times New Roman" w:hAnsi="Times New Roman"/>
          <w:sz w:val="24"/>
          <w:szCs w:val="24"/>
        </w:rPr>
        <w:t xml:space="preserve"> Circuit in another, ordering lawsuits against the police officers be dismissed.  “</w:t>
      </w:r>
      <w:r w:rsidRPr="002C43B3">
        <w:rPr>
          <w:rStyle w:val="markedcontent"/>
          <w:rFonts w:ascii="Times New Roman" w:hAnsi="Times New Roman"/>
          <w:sz w:val="24"/>
          <w:szCs w:val="24"/>
        </w:rPr>
        <w:t>The doctrine of qualified immunity shields officers from</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civil liability so long as their conduct </w:t>
      </w:r>
      <w:r>
        <w:rPr>
          <w:rStyle w:val="markedcontent"/>
          <w:rFonts w:ascii="Times New Roman" w:hAnsi="Times New Roman"/>
          <w:sz w:val="24"/>
          <w:szCs w:val="24"/>
        </w:rPr>
        <w:t>‘</w:t>
      </w:r>
      <w:r w:rsidRPr="002C43B3">
        <w:rPr>
          <w:rStyle w:val="markedcontent"/>
          <w:rFonts w:ascii="Times New Roman" w:hAnsi="Times New Roman"/>
          <w:sz w:val="24"/>
          <w:szCs w:val="24"/>
        </w:rPr>
        <w:t>does not violate clearly established statutory or constitutional rights of</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lastRenderedPageBreak/>
        <w:t>which a reasonable person would have known.</w:t>
      </w:r>
      <w:r>
        <w:rPr>
          <w:rStyle w:val="markedcontent"/>
          <w:rFonts w:ascii="Times New Roman" w:hAnsi="Times New Roman"/>
          <w:sz w:val="24"/>
          <w:szCs w:val="24"/>
        </w:rPr>
        <w:t>’</w:t>
      </w:r>
      <w:r w:rsidRPr="002C43B3">
        <w:rPr>
          <w:rStyle w:val="markedcontent"/>
          <w:rFonts w:ascii="Times New Roman" w:hAnsi="Times New Roman"/>
          <w:sz w:val="24"/>
          <w:szCs w:val="24"/>
        </w:rPr>
        <w:t xml:space="preserve"> Pearson v. Callahan, 555 U. S. 223, 231 (2009)</w:t>
      </w:r>
      <w:r>
        <w:rPr>
          <w:rStyle w:val="markedcontent"/>
          <w:rFonts w:ascii="Times New Roman" w:hAnsi="Times New Roman"/>
          <w:sz w:val="24"/>
          <w:szCs w:val="24"/>
        </w:rPr>
        <w:t xml:space="preserve">. </w:t>
      </w:r>
      <w:hyperlink r:id="rId877" w:history="1">
        <w:r w:rsidRPr="00ED2C8C">
          <w:rPr>
            <w:rStyle w:val="Hyperlink"/>
            <w:sz w:val="24"/>
            <w:szCs w:val="24"/>
          </w:rPr>
          <w:t>https://www.supremecourt.gov/opinions/21pdf/20-1668_19m2.pdf</w:t>
        </w:r>
      </w:hyperlink>
      <w:r>
        <w:rPr>
          <w:rStyle w:val="markedcontent"/>
          <w:rFonts w:ascii="Times New Roman" w:hAnsi="Times New Roman"/>
          <w:sz w:val="24"/>
          <w:szCs w:val="24"/>
        </w:rPr>
        <w:t xml:space="preserve"> </w:t>
      </w:r>
    </w:p>
    <w:p w14:paraId="005F39D9" w14:textId="77777777" w:rsidR="0082055F" w:rsidRDefault="0082055F" w:rsidP="0082055F">
      <w:pPr>
        <w:spacing w:before="100" w:beforeAutospacing="1" w:after="100" w:afterAutospacing="1" w:line="240" w:lineRule="auto"/>
        <w:ind w:left="720"/>
        <w:rPr>
          <w:rStyle w:val="markedcontent"/>
          <w:rFonts w:ascii="Times New Roman" w:hAnsi="Times New Roman"/>
          <w:sz w:val="24"/>
          <w:szCs w:val="24"/>
        </w:rPr>
      </w:pPr>
      <w:r w:rsidRPr="002C43B3">
        <w:rPr>
          <w:rStyle w:val="markedcontent"/>
          <w:rFonts w:ascii="Times New Roman" w:hAnsi="Times New Roman"/>
          <w:sz w:val="24"/>
          <w:szCs w:val="24"/>
          <w:u w:val="single"/>
        </w:rPr>
        <w:t>DANIEL RIVAS-VILLEGAS v. RAMON CORTESLUNA</w:t>
      </w:r>
      <w:r w:rsidRPr="003065D4">
        <w:rPr>
          <w:rStyle w:val="markedcontent"/>
          <w:rFonts w:ascii="Times New Roman" w:hAnsi="Times New Roman"/>
          <w:sz w:val="24"/>
          <w:szCs w:val="24"/>
        </w:rPr>
        <w:t xml:space="preserve">: </w:t>
      </w:r>
      <w:hyperlink r:id="rId878" w:history="1">
        <w:r w:rsidRPr="003065D4">
          <w:rPr>
            <w:rStyle w:val="Hyperlink"/>
            <w:sz w:val="24"/>
            <w:szCs w:val="24"/>
          </w:rPr>
          <w:t>https://www.supremecourt.gov/opinions/21pdf/20-1539_09m1.pdf</w:t>
        </w:r>
      </w:hyperlink>
      <w:r w:rsidRPr="003065D4">
        <w:rPr>
          <w:rStyle w:val="markedcontent"/>
          <w:rFonts w:ascii="Times New Roman" w:hAnsi="Times New Roman"/>
          <w:sz w:val="24"/>
          <w:szCs w:val="24"/>
        </w:rPr>
        <w:t xml:space="preserve"> </w:t>
      </w:r>
    </w:p>
    <w:p w14:paraId="603AEEA8" w14:textId="77777777" w:rsidR="0082055F"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3065D4">
        <w:rPr>
          <w:rStyle w:val="markedcontent"/>
          <w:rFonts w:ascii="Times New Roman" w:hAnsi="Times New Roman"/>
          <w:sz w:val="24"/>
          <w:szCs w:val="24"/>
        </w:rPr>
        <w:t>Plaintiff stopped 10 to 11 feet</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from the officers. Another officer then saw a knife sticking</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out from the front left pocket of </w:t>
      </w:r>
      <w:proofErr w:type="spellStart"/>
      <w:r w:rsidRPr="003065D4">
        <w:rPr>
          <w:rStyle w:val="markedcontent"/>
          <w:rFonts w:ascii="Times New Roman" w:hAnsi="Times New Roman"/>
          <w:sz w:val="24"/>
          <w:szCs w:val="24"/>
        </w:rPr>
        <w:t>Cortesluna’s</w:t>
      </w:r>
      <w:proofErr w:type="spellEnd"/>
      <w:r w:rsidRPr="003065D4">
        <w:rPr>
          <w:rStyle w:val="markedcontent"/>
          <w:rFonts w:ascii="Times New Roman" w:hAnsi="Times New Roman"/>
          <w:sz w:val="24"/>
          <w:szCs w:val="24"/>
        </w:rPr>
        <w:t xml:space="preserve"> pants and</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shouted, ‘he has a knife in his left pocket, knife in his pocket,’ and directed </w:t>
      </w:r>
      <w:proofErr w:type="spellStart"/>
      <w:r w:rsidRPr="003065D4">
        <w:rPr>
          <w:rStyle w:val="markedcontent"/>
          <w:rFonts w:ascii="Times New Roman" w:hAnsi="Times New Roman"/>
          <w:sz w:val="24"/>
          <w:szCs w:val="24"/>
        </w:rPr>
        <w:t>Cortesluna</w:t>
      </w:r>
      <w:proofErr w:type="spellEnd"/>
      <w:r w:rsidRPr="003065D4">
        <w:rPr>
          <w:rStyle w:val="markedcontent"/>
          <w:rFonts w:ascii="Times New Roman" w:hAnsi="Times New Roman"/>
          <w:sz w:val="24"/>
          <w:szCs w:val="24"/>
        </w:rPr>
        <w:t xml:space="preserve">, ‘don’t put your hands </w:t>
      </w:r>
      <w:r w:rsidRPr="003065D4">
        <w:rPr>
          <w:rFonts w:ascii="Times New Roman" w:hAnsi="Times New Roman"/>
          <w:sz w:val="24"/>
          <w:szCs w:val="24"/>
        </w:rPr>
        <w:br/>
      </w:r>
      <w:r w:rsidRPr="003065D4">
        <w:rPr>
          <w:rStyle w:val="markedcontent"/>
          <w:rFonts w:ascii="Times New Roman" w:hAnsi="Times New Roman"/>
          <w:sz w:val="24"/>
          <w:szCs w:val="24"/>
        </w:rPr>
        <w:t>down,’ ‘hands up</w:t>
      </w:r>
      <w:r>
        <w:rPr>
          <w:rStyle w:val="markedcontent"/>
          <w:rFonts w:ascii="Times New Roman" w:hAnsi="Times New Roman"/>
          <w:sz w:val="24"/>
          <w:szCs w:val="24"/>
        </w:rPr>
        <w:t xml:space="preserve">….’ </w:t>
      </w:r>
      <w:proofErr w:type="spellStart"/>
      <w:r w:rsidRPr="003065D4">
        <w:rPr>
          <w:rStyle w:val="markedcontent"/>
          <w:rFonts w:ascii="Times New Roman" w:hAnsi="Times New Roman"/>
          <w:sz w:val="24"/>
          <w:szCs w:val="24"/>
        </w:rPr>
        <w:t>Cortesluna</w:t>
      </w:r>
      <w:proofErr w:type="spellEnd"/>
      <w:r w:rsidRPr="003065D4">
        <w:rPr>
          <w:rStyle w:val="markedcontent"/>
          <w:rFonts w:ascii="Times New Roman" w:hAnsi="Times New Roman"/>
          <w:sz w:val="24"/>
          <w:szCs w:val="24"/>
        </w:rPr>
        <w:t xml:space="preserve"> turned his head toward the instructing officer but then lowered his head and his hands in contravention of the officer’s orders. Another officer twice shot </w:t>
      </w:r>
      <w:proofErr w:type="spellStart"/>
      <w:r w:rsidRPr="003065D4">
        <w:rPr>
          <w:rStyle w:val="markedcontent"/>
          <w:rFonts w:ascii="Times New Roman" w:hAnsi="Times New Roman"/>
          <w:sz w:val="24"/>
          <w:szCs w:val="24"/>
        </w:rPr>
        <w:t>Cortesluna</w:t>
      </w:r>
      <w:proofErr w:type="spellEnd"/>
      <w:r w:rsidRPr="003065D4">
        <w:rPr>
          <w:rStyle w:val="markedcontent"/>
          <w:rFonts w:ascii="Times New Roman" w:hAnsi="Times New Roman"/>
          <w:sz w:val="24"/>
          <w:szCs w:val="24"/>
        </w:rPr>
        <w:t xml:space="preserve"> with a </w:t>
      </w:r>
      <w:proofErr w:type="gramStart"/>
      <w:r w:rsidRPr="003065D4">
        <w:rPr>
          <w:rStyle w:val="markedcontent"/>
          <w:rFonts w:ascii="Times New Roman" w:hAnsi="Times New Roman"/>
          <w:sz w:val="24"/>
          <w:szCs w:val="24"/>
        </w:rPr>
        <w:t>bean-bag</w:t>
      </w:r>
      <w:proofErr w:type="gramEnd"/>
      <w:r w:rsidRPr="003065D4">
        <w:rPr>
          <w:rStyle w:val="markedcontent"/>
          <w:rFonts w:ascii="Times New Roman" w:hAnsi="Times New Roman"/>
          <w:sz w:val="24"/>
          <w:szCs w:val="24"/>
        </w:rPr>
        <w:t xml:space="preserve"> round from his shotgun, once in the lower stomach and</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once in the left hip.</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 </w:t>
      </w:r>
      <w:r>
        <w:rPr>
          <w:rStyle w:val="markedcontent"/>
          <w:rFonts w:ascii="Times New Roman" w:hAnsi="Times New Roman"/>
          <w:sz w:val="24"/>
          <w:szCs w:val="24"/>
        </w:rPr>
        <w:t xml:space="preserve">[Officer] </w:t>
      </w:r>
      <w:r w:rsidRPr="002C43B3">
        <w:rPr>
          <w:rStyle w:val="markedcontent"/>
          <w:rFonts w:ascii="Times New Roman" w:hAnsi="Times New Roman"/>
          <w:sz w:val="24"/>
          <w:szCs w:val="24"/>
        </w:rPr>
        <w:t xml:space="preserve">Rivas-Villegas then straddled </w:t>
      </w:r>
      <w:proofErr w:type="spellStart"/>
      <w:r w:rsidRPr="002C43B3">
        <w:rPr>
          <w:rStyle w:val="markedcontent"/>
          <w:rFonts w:ascii="Times New Roman" w:hAnsi="Times New Roman"/>
          <w:sz w:val="24"/>
          <w:szCs w:val="24"/>
        </w:rPr>
        <w:t>Cortesluna</w:t>
      </w:r>
      <w:proofErr w:type="spellEnd"/>
      <w:r w:rsidRPr="002C43B3">
        <w:rPr>
          <w:rStyle w:val="markedcontent"/>
          <w:rFonts w:ascii="Times New Roman" w:hAnsi="Times New Roman"/>
          <w:sz w:val="24"/>
          <w:szCs w:val="24"/>
        </w:rPr>
        <w:t xml:space="preserve">. He </w:t>
      </w:r>
      <w:r>
        <w:rPr>
          <w:rStyle w:val="markedcontent"/>
          <w:rFonts w:ascii="Times New Roman" w:hAnsi="Times New Roman"/>
          <w:sz w:val="24"/>
          <w:szCs w:val="24"/>
        </w:rPr>
        <w:t>p</w:t>
      </w:r>
      <w:r w:rsidRPr="002C43B3">
        <w:rPr>
          <w:rStyle w:val="markedcontent"/>
          <w:rFonts w:ascii="Times New Roman" w:hAnsi="Times New Roman"/>
          <w:sz w:val="24"/>
          <w:szCs w:val="24"/>
        </w:rPr>
        <w:t xml:space="preserve">laced his right foot on the ground next to </w:t>
      </w:r>
      <w:proofErr w:type="spellStart"/>
      <w:r w:rsidRPr="002C43B3">
        <w:rPr>
          <w:rStyle w:val="markedcontent"/>
          <w:rFonts w:ascii="Times New Roman" w:hAnsi="Times New Roman"/>
          <w:sz w:val="24"/>
          <w:szCs w:val="24"/>
        </w:rPr>
        <w:t>Cortesluna’s</w:t>
      </w:r>
      <w:proofErr w:type="spellEnd"/>
      <w:r>
        <w:rPr>
          <w:rStyle w:val="markedcontent"/>
          <w:rFonts w:ascii="Times New Roman" w:hAnsi="Times New Roman"/>
          <w:sz w:val="24"/>
          <w:szCs w:val="24"/>
        </w:rPr>
        <w:t xml:space="preserve"> </w:t>
      </w:r>
      <w:r w:rsidRPr="002C43B3">
        <w:rPr>
          <w:rStyle w:val="markedcontent"/>
          <w:rFonts w:ascii="Times New Roman" w:hAnsi="Times New Roman"/>
          <w:sz w:val="24"/>
          <w:szCs w:val="24"/>
        </w:rPr>
        <w:t>right side with his right leg bent at the knee. He placed his</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left knee on the left side of </w:t>
      </w:r>
      <w:proofErr w:type="spellStart"/>
      <w:r w:rsidRPr="002C43B3">
        <w:rPr>
          <w:rStyle w:val="markedcontent"/>
          <w:rFonts w:ascii="Times New Roman" w:hAnsi="Times New Roman"/>
          <w:sz w:val="24"/>
          <w:szCs w:val="24"/>
        </w:rPr>
        <w:t>Cortesluna’s</w:t>
      </w:r>
      <w:proofErr w:type="spellEnd"/>
      <w:r w:rsidRPr="002C43B3">
        <w:rPr>
          <w:rStyle w:val="markedcontent"/>
          <w:rFonts w:ascii="Times New Roman" w:hAnsi="Times New Roman"/>
          <w:sz w:val="24"/>
          <w:szCs w:val="24"/>
        </w:rPr>
        <w:t xml:space="preserve"> back, near where </w:t>
      </w:r>
      <w:r w:rsidRPr="002C43B3">
        <w:rPr>
          <w:rFonts w:ascii="Times New Roman" w:hAnsi="Times New Roman"/>
          <w:sz w:val="24"/>
          <w:szCs w:val="24"/>
        </w:rPr>
        <w:br/>
      </w:r>
      <w:proofErr w:type="spellStart"/>
      <w:r w:rsidRPr="002C43B3">
        <w:rPr>
          <w:rStyle w:val="markedcontent"/>
          <w:rFonts w:ascii="Times New Roman" w:hAnsi="Times New Roman"/>
          <w:sz w:val="24"/>
          <w:szCs w:val="24"/>
        </w:rPr>
        <w:t>Cortesluna</w:t>
      </w:r>
      <w:proofErr w:type="spellEnd"/>
      <w:r w:rsidRPr="002C43B3">
        <w:rPr>
          <w:rStyle w:val="markedcontent"/>
          <w:rFonts w:ascii="Times New Roman" w:hAnsi="Times New Roman"/>
          <w:sz w:val="24"/>
          <w:szCs w:val="24"/>
        </w:rPr>
        <w:t xml:space="preserve"> had a knife in his pocket. He raised both of </w:t>
      </w:r>
      <w:proofErr w:type="spellStart"/>
      <w:r w:rsidRPr="002C43B3">
        <w:rPr>
          <w:rStyle w:val="markedcontent"/>
          <w:rFonts w:ascii="Times New Roman" w:hAnsi="Times New Roman"/>
          <w:sz w:val="24"/>
          <w:szCs w:val="24"/>
        </w:rPr>
        <w:t>Cortesluna’s</w:t>
      </w:r>
      <w:proofErr w:type="spellEnd"/>
      <w:r w:rsidRPr="002C43B3">
        <w:rPr>
          <w:rStyle w:val="markedcontent"/>
          <w:rFonts w:ascii="Times New Roman" w:hAnsi="Times New Roman"/>
          <w:sz w:val="24"/>
          <w:szCs w:val="24"/>
        </w:rPr>
        <w:t xml:space="preserve"> arms up behind his back. Rivas-Villegas was in</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this position for no more than eight seconds before standing </w:t>
      </w:r>
      <w:r w:rsidRPr="002C43B3">
        <w:rPr>
          <w:rFonts w:ascii="Times New Roman" w:hAnsi="Times New Roman"/>
          <w:sz w:val="24"/>
          <w:szCs w:val="24"/>
        </w:rPr>
        <w:br/>
      </w:r>
      <w:r w:rsidRPr="002C43B3">
        <w:rPr>
          <w:rStyle w:val="markedcontent"/>
          <w:rFonts w:ascii="Times New Roman" w:hAnsi="Times New Roman"/>
          <w:sz w:val="24"/>
          <w:szCs w:val="24"/>
        </w:rPr>
        <w:t xml:space="preserve">up while continuing to hold </w:t>
      </w:r>
      <w:proofErr w:type="spellStart"/>
      <w:r w:rsidRPr="002C43B3">
        <w:rPr>
          <w:rStyle w:val="markedcontent"/>
          <w:rFonts w:ascii="Times New Roman" w:hAnsi="Times New Roman"/>
          <w:sz w:val="24"/>
          <w:szCs w:val="24"/>
        </w:rPr>
        <w:t>Cortesluna’s</w:t>
      </w:r>
      <w:proofErr w:type="spellEnd"/>
      <w:r w:rsidRPr="002C43B3">
        <w:rPr>
          <w:rStyle w:val="markedcontent"/>
          <w:rFonts w:ascii="Times New Roman" w:hAnsi="Times New Roman"/>
          <w:sz w:val="24"/>
          <w:szCs w:val="24"/>
        </w:rPr>
        <w:t xml:space="preserve"> arms</w:t>
      </w:r>
      <w:r>
        <w:rPr>
          <w:rStyle w:val="markedcontent"/>
          <w:rFonts w:ascii="Times New Roman" w:hAnsi="Times New Roman"/>
          <w:sz w:val="24"/>
          <w:szCs w:val="24"/>
        </w:rPr>
        <w:t xml:space="preserve">.” </w:t>
      </w:r>
    </w:p>
    <w:p w14:paraId="4FE27F0B" w14:textId="77777777" w:rsidR="0082055F" w:rsidRPr="002C43B3"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Holding reversing 9</w:t>
      </w:r>
      <w:r w:rsidRPr="00D427A9">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w:t>
      </w:r>
      <w:r w:rsidRPr="002C43B3">
        <w:rPr>
          <w:rStyle w:val="markedcontent"/>
          <w:rFonts w:ascii="Times New Roman" w:hAnsi="Times New Roman"/>
          <w:sz w:val="24"/>
          <w:szCs w:val="24"/>
        </w:rPr>
        <w:t xml:space="preserve">On the facts of this case, neither </w:t>
      </w:r>
      <w:r w:rsidRPr="002C43B3">
        <w:rPr>
          <w:rStyle w:val="markedcontent"/>
          <w:rFonts w:ascii="Times New Roman" w:hAnsi="Times New Roman"/>
          <w:sz w:val="24"/>
          <w:szCs w:val="24"/>
          <w:u w:val="single"/>
        </w:rPr>
        <w:t>LaLonde</w:t>
      </w:r>
      <w:r w:rsidRPr="002C43B3">
        <w:rPr>
          <w:rStyle w:val="markedcontent"/>
          <w:rFonts w:ascii="Times New Roman" w:hAnsi="Times New Roman"/>
          <w:sz w:val="24"/>
          <w:szCs w:val="24"/>
        </w:rPr>
        <w:t xml:space="preserve"> nor any decision of this Court is sufficiently similar. For that reason, we grant Rivas-Villegas’ petition for certiorari and reverse the Ninth Circuit’s determination that Rivas-Villegas is not entitled to qualified immunity.</w:t>
      </w:r>
      <w:r>
        <w:rPr>
          <w:rStyle w:val="markedcontent"/>
          <w:rFonts w:ascii="Times New Roman" w:hAnsi="Times New Roman"/>
          <w:sz w:val="24"/>
          <w:szCs w:val="24"/>
        </w:rPr>
        <w:t>”</w:t>
      </w:r>
    </w:p>
    <w:p w14:paraId="3F30B352" w14:textId="77777777" w:rsidR="0082055F" w:rsidRPr="003065D4" w:rsidRDefault="0082055F" w:rsidP="0082055F">
      <w:pPr>
        <w:spacing w:before="100" w:beforeAutospacing="1" w:after="100" w:afterAutospacing="1" w:line="240" w:lineRule="auto"/>
        <w:ind w:left="720"/>
        <w:rPr>
          <w:rFonts w:ascii="Times New Roman" w:hAnsi="Times New Roman"/>
          <w:sz w:val="24"/>
          <w:szCs w:val="24"/>
        </w:rPr>
      </w:pPr>
      <w:r w:rsidRPr="002C43B3">
        <w:rPr>
          <w:rStyle w:val="markedcontent"/>
          <w:rFonts w:ascii="Times New Roman" w:hAnsi="Times New Roman"/>
          <w:sz w:val="24"/>
          <w:szCs w:val="24"/>
          <w:u w:val="single"/>
        </w:rPr>
        <w:t xml:space="preserve">CITY OF TAHLEQUAH, OKLAHOMA, ET AL. v. AUSTIN </w:t>
      </w:r>
      <w:r w:rsidRPr="002C43B3">
        <w:rPr>
          <w:rFonts w:ascii="Times New Roman" w:hAnsi="Times New Roman"/>
          <w:sz w:val="24"/>
          <w:szCs w:val="24"/>
          <w:u w:val="single"/>
        </w:rPr>
        <w:br/>
      </w:r>
      <w:r w:rsidRPr="002C43B3">
        <w:rPr>
          <w:rStyle w:val="markedcontent"/>
          <w:rFonts w:ascii="Times New Roman" w:hAnsi="Times New Roman"/>
          <w:sz w:val="24"/>
          <w:szCs w:val="24"/>
          <w:u w:val="single"/>
        </w:rPr>
        <w:t xml:space="preserve">P. BOND, AS SPECIAL ADMINISTRATOR OF THE ESTATE OF </w:t>
      </w:r>
      <w:r w:rsidRPr="002C43B3">
        <w:rPr>
          <w:rFonts w:ascii="Times New Roman" w:hAnsi="Times New Roman"/>
          <w:sz w:val="24"/>
          <w:szCs w:val="24"/>
          <w:u w:val="single"/>
        </w:rPr>
        <w:br/>
      </w:r>
      <w:r w:rsidRPr="002C43B3">
        <w:rPr>
          <w:rStyle w:val="markedcontent"/>
          <w:rFonts w:ascii="Times New Roman" w:hAnsi="Times New Roman"/>
          <w:sz w:val="24"/>
          <w:szCs w:val="24"/>
          <w:u w:val="single"/>
        </w:rPr>
        <w:t>DOMINIC F. ROLLICE, DECEASED</w:t>
      </w:r>
      <w:r w:rsidRPr="003065D4">
        <w:rPr>
          <w:rStyle w:val="markedcontent"/>
          <w:rFonts w:ascii="Times New Roman" w:hAnsi="Times New Roman"/>
          <w:sz w:val="24"/>
          <w:szCs w:val="24"/>
        </w:rPr>
        <w:t xml:space="preserve">: </w:t>
      </w:r>
      <w:hyperlink r:id="rId879" w:history="1">
        <w:r w:rsidRPr="003065D4">
          <w:rPr>
            <w:rStyle w:val="Hyperlink"/>
            <w:sz w:val="24"/>
            <w:szCs w:val="24"/>
          </w:rPr>
          <w:t>https://www.supremecourt.gov/opinions/21pdf/20-1668_19m2.pdf</w:t>
        </w:r>
      </w:hyperlink>
      <w:r w:rsidRPr="003065D4">
        <w:rPr>
          <w:rFonts w:ascii="Times New Roman" w:hAnsi="Times New Roman"/>
          <w:sz w:val="24"/>
          <w:szCs w:val="24"/>
        </w:rPr>
        <w:t xml:space="preserve"> </w:t>
      </w:r>
    </w:p>
    <w:p w14:paraId="4A5C20F6" w14:textId="77777777" w:rsidR="0082055F"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3065D4">
        <w:rPr>
          <w:rStyle w:val="markedcontent"/>
          <w:rFonts w:ascii="Times New Roman" w:hAnsi="Times New Roman"/>
          <w:sz w:val="24"/>
          <w:szCs w:val="24"/>
        </w:rPr>
        <w:t>At this point the video is no longer</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silent, and the officers can be heard yelling at </w:t>
      </w:r>
      <w:proofErr w:type="spellStart"/>
      <w:r w:rsidRPr="003065D4">
        <w:rPr>
          <w:rStyle w:val="markedcontent"/>
          <w:rFonts w:ascii="Times New Roman" w:hAnsi="Times New Roman"/>
          <w:sz w:val="24"/>
          <w:szCs w:val="24"/>
        </w:rPr>
        <w:t>Rollice</w:t>
      </w:r>
      <w:proofErr w:type="spellEnd"/>
      <w:r w:rsidRPr="003065D4">
        <w:rPr>
          <w:rStyle w:val="markedcontent"/>
          <w:rFonts w:ascii="Times New Roman" w:hAnsi="Times New Roman"/>
          <w:sz w:val="24"/>
          <w:szCs w:val="24"/>
        </w:rPr>
        <w:t xml:space="preserve"> to drop the hammer.</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He did not. Instead, </w:t>
      </w:r>
      <w:proofErr w:type="spellStart"/>
      <w:r w:rsidRPr="003065D4">
        <w:rPr>
          <w:rStyle w:val="markedcontent"/>
          <w:rFonts w:ascii="Times New Roman" w:hAnsi="Times New Roman"/>
          <w:sz w:val="24"/>
          <w:szCs w:val="24"/>
        </w:rPr>
        <w:t>Rollice</w:t>
      </w:r>
      <w:proofErr w:type="spellEnd"/>
      <w:r w:rsidRPr="003065D4">
        <w:rPr>
          <w:rStyle w:val="markedcontent"/>
          <w:rFonts w:ascii="Times New Roman" w:hAnsi="Times New Roman"/>
          <w:sz w:val="24"/>
          <w:szCs w:val="24"/>
        </w:rPr>
        <w:t xml:space="preserve"> took a few steps to his right, coming out from behind a piece of furniture so that he had an unobstructed path to Officer Girdner. He then raised the hammer higher back behind his head and took a stance as if he was about to throw the hammer or charge at the officers. In response, Officers Girdner and Vick fired their weapons, killing </w:t>
      </w:r>
      <w:proofErr w:type="spellStart"/>
      <w:r w:rsidRPr="003065D4">
        <w:rPr>
          <w:rStyle w:val="markedcontent"/>
          <w:rFonts w:ascii="Times New Roman" w:hAnsi="Times New Roman"/>
          <w:sz w:val="24"/>
          <w:szCs w:val="24"/>
        </w:rPr>
        <w:t>Rollice</w:t>
      </w:r>
      <w:proofErr w:type="spellEnd"/>
      <w:r w:rsidRPr="003065D4">
        <w:rPr>
          <w:rStyle w:val="markedcontent"/>
          <w:rFonts w:ascii="Times New Roman" w:hAnsi="Times New Roman"/>
          <w:sz w:val="24"/>
          <w:szCs w:val="24"/>
        </w:rPr>
        <w:t>.</w:t>
      </w:r>
      <w:r>
        <w:rPr>
          <w:rStyle w:val="markedcontent"/>
          <w:rFonts w:ascii="Times New Roman" w:hAnsi="Times New Roman"/>
          <w:sz w:val="24"/>
          <w:szCs w:val="24"/>
        </w:rPr>
        <w:t>”</w:t>
      </w:r>
    </w:p>
    <w:p w14:paraId="4B6964D8" w14:textId="77777777" w:rsidR="0082055F" w:rsidRPr="002C43B3"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Holding reversing 10</w:t>
      </w:r>
      <w:r w:rsidRPr="00D427A9">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w:t>
      </w:r>
      <w:r w:rsidRPr="002C43B3">
        <w:rPr>
          <w:rStyle w:val="markedcontent"/>
          <w:rFonts w:ascii="Times New Roman" w:hAnsi="Times New Roman"/>
          <w:sz w:val="24"/>
          <w:szCs w:val="24"/>
        </w:rPr>
        <w:t xml:space="preserve">Neither the panel majority </w:t>
      </w:r>
      <w:r>
        <w:rPr>
          <w:rStyle w:val="markedcontent"/>
          <w:rFonts w:ascii="Times New Roman" w:hAnsi="Times New Roman"/>
          <w:sz w:val="24"/>
          <w:szCs w:val="24"/>
        </w:rPr>
        <w:t>[10</w:t>
      </w:r>
      <w:r w:rsidRPr="002C43B3">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panel of 3 judges] </w:t>
      </w:r>
      <w:r w:rsidRPr="002C43B3">
        <w:rPr>
          <w:rStyle w:val="markedcontent"/>
          <w:rFonts w:ascii="Times New Roman" w:hAnsi="Times New Roman"/>
          <w:sz w:val="24"/>
          <w:szCs w:val="24"/>
        </w:rPr>
        <w:t>nor the respondent have identified a single precedent finding a Fourth Amendment violation under similar circumstances. The officers were thus entitled to qualified immunity.</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The petition for certiorari and the motions for leave to file briefs amici curiae are granted, and the judgment of the</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Court of Appeals is reversed.</w:t>
      </w:r>
      <w:r>
        <w:rPr>
          <w:rStyle w:val="markedcontent"/>
          <w:rFonts w:ascii="Times New Roman" w:hAnsi="Times New Roman"/>
          <w:sz w:val="24"/>
          <w:szCs w:val="24"/>
        </w:rPr>
        <w:t xml:space="preserve">” </w:t>
      </w:r>
    </w:p>
    <w:p w14:paraId="254E8664" w14:textId="77777777" w:rsidR="0082055F" w:rsidRDefault="0082055F" w:rsidP="0082055F">
      <w:pPr>
        <w:spacing w:before="100" w:beforeAutospacing="1" w:after="100" w:afterAutospacing="1" w:line="240" w:lineRule="auto"/>
        <w:rPr>
          <w:rFonts w:ascii="Times New Roman" w:hAnsi="Times New Roman"/>
          <w:b/>
          <w:bCs/>
          <w:sz w:val="24"/>
          <w:szCs w:val="24"/>
        </w:rPr>
      </w:pPr>
      <w:r w:rsidRPr="002C43B3">
        <w:rPr>
          <w:rFonts w:ascii="Times New Roman" w:hAnsi="Times New Roman"/>
          <w:b/>
          <w:bCs/>
          <w:sz w:val="24"/>
          <w:szCs w:val="24"/>
        </w:rPr>
        <w:t xml:space="preserve">Legal Lesson Learned: </w:t>
      </w:r>
      <w:r>
        <w:rPr>
          <w:rFonts w:ascii="Times New Roman" w:hAnsi="Times New Roman"/>
          <w:b/>
          <w:bCs/>
          <w:sz w:val="24"/>
          <w:szCs w:val="24"/>
        </w:rPr>
        <w:t xml:space="preserve">These unanimous decisions are not only helpful for police officers, but also to Fire &amp; EMS incident commanders are others needing to make rapid decisions. </w:t>
      </w:r>
    </w:p>
    <w:p w14:paraId="50866E96" w14:textId="77777777" w:rsidR="0082055F" w:rsidRPr="00D427A9" w:rsidRDefault="0082055F" w:rsidP="0082055F">
      <w:pPr>
        <w:spacing w:before="100" w:beforeAutospacing="1" w:after="100" w:afterAutospacing="1" w:line="240" w:lineRule="auto"/>
        <w:ind w:left="720"/>
        <w:rPr>
          <w:rFonts w:ascii="Times New Roman" w:eastAsia="Times New Roman" w:hAnsi="Times New Roman"/>
          <w:kern w:val="36"/>
          <w:sz w:val="24"/>
          <w:szCs w:val="24"/>
        </w:rPr>
      </w:pPr>
      <w:r w:rsidRPr="00D427A9">
        <w:rPr>
          <w:rFonts w:ascii="Times New Roman" w:hAnsi="Times New Roman"/>
          <w:sz w:val="24"/>
          <w:szCs w:val="24"/>
        </w:rPr>
        <w:t>Note: See article, Oct. 18, 20</w:t>
      </w:r>
      <w:r>
        <w:rPr>
          <w:rFonts w:ascii="Times New Roman" w:hAnsi="Times New Roman"/>
          <w:sz w:val="24"/>
          <w:szCs w:val="24"/>
        </w:rPr>
        <w:t>21</w:t>
      </w:r>
      <w:r w:rsidRPr="00D427A9">
        <w:rPr>
          <w:rFonts w:ascii="Times New Roman" w:hAnsi="Times New Roman"/>
          <w:sz w:val="24"/>
          <w:szCs w:val="24"/>
        </w:rPr>
        <w:t>, “</w:t>
      </w:r>
      <w:r w:rsidRPr="00D427A9">
        <w:rPr>
          <w:rFonts w:ascii="Times New Roman" w:eastAsia="Times New Roman" w:hAnsi="Times New Roman"/>
          <w:kern w:val="36"/>
          <w:sz w:val="24"/>
          <w:szCs w:val="24"/>
        </w:rPr>
        <w:t xml:space="preserve">The U.S. Supreme Court rules in favor of officers accused of excessive force.” </w:t>
      </w:r>
      <w:hyperlink r:id="rId880" w:history="1">
        <w:r w:rsidRPr="00ED2C8C">
          <w:rPr>
            <w:rStyle w:val="Hyperlink"/>
            <w:sz w:val="24"/>
            <w:szCs w:val="24"/>
          </w:rPr>
          <w:t>https://www.npr.org/2021/10/18/1047085626/supreme-court-police-qualified-immunity-cases</w:t>
        </w:r>
      </w:hyperlink>
      <w:r>
        <w:rPr>
          <w:rFonts w:ascii="Times New Roman" w:eastAsia="Times New Roman" w:hAnsi="Times New Roman"/>
          <w:kern w:val="36"/>
          <w:sz w:val="24"/>
          <w:szCs w:val="24"/>
        </w:rPr>
        <w:t xml:space="preserve"> </w:t>
      </w:r>
      <w:r>
        <w:rPr>
          <w:rFonts w:ascii="Times New Roman" w:hAnsi="Times New Roman"/>
          <w:sz w:val="24"/>
          <w:szCs w:val="24"/>
        </w:rPr>
        <w:t>“</w:t>
      </w:r>
      <w:r w:rsidRPr="00D427A9">
        <w:rPr>
          <w:rFonts w:ascii="Times New Roman" w:hAnsi="Times New Roman"/>
          <w:sz w:val="24"/>
          <w:szCs w:val="24"/>
        </w:rPr>
        <w:t xml:space="preserve">Congressional Democrats have made multiple attempts in recent years to limit qualified immunity, though none has been successful. The George Floyd Justice </w:t>
      </w:r>
      <w:proofErr w:type="gramStart"/>
      <w:r w:rsidRPr="00D427A9">
        <w:rPr>
          <w:rFonts w:ascii="Times New Roman" w:hAnsi="Times New Roman"/>
          <w:sz w:val="24"/>
          <w:szCs w:val="24"/>
        </w:rPr>
        <w:t>In</w:t>
      </w:r>
      <w:proofErr w:type="gramEnd"/>
      <w:r w:rsidRPr="00D427A9">
        <w:rPr>
          <w:rFonts w:ascii="Times New Roman" w:hAnsi="Times New Roman"/>
          <w:sz w:val="24"/>
          <w:szCs w:val="24"/>
        </w:rPr>
        <w:t xml:space="preserve"> Policing Act, which passed the House, would have restricted the defense, but negotiations over a compromise bill petered out earlier this year.</w:t>
      </w:r>
      <w:r>
        <w:rPr>
          <w:rFonts w:ascii="Times New Roman" w:hAnsi="Times New Roman"/>
          <w:sz w:val="24"/>
          <w:szCs w:val="24"/>
        </w:rPr>
        <w:t>”</w:t>
      </w:r>
    </w:p>
    <w:p w14:paraId="3C32BFC4" w14:textId="77777777" w:rsidR="0082055F" w:rsidRDefault="0082055F" w:rsidP="002B1283">
      <w:pPr>
        <w:rPr>
          <w:rStyle w:val="Hyperlink"/>
          <w:rFonts w:ascii="Arial Black" w:hAnsi="Arial Black"/>
          <w:b/>
          <w:color w:val="auto"/>
          <w:sz w:val="24"/>
          <w:szCs w:val="24"/>
          <w:u w:val="none"/>
        </w:rPr>
      </w:pPr>
    </w:p>
    <w:p w14:paraId="543093BB" w14:textId="63D6A2DC" w:rsidR="00382F02" w:rsidRDefault="00382F02"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lastRenderedPageBreak/>
        <w:t>4-16</w:t>
      </w:r>
    </w:p>
    <w:p w14:paraId="41BF3B7E" w14:textId="77777777" w:rsidR="00382F02" w:rsidRPr="00E05DC9" w:rsidRDefault="00382F02" w:rsidP="00382F02">
      <w:pPr>
        <w:pStyle w:val="Heading1"/>
        <w:rPr>
          <w:rFonts w:ascii="Arial Black" w:hAnsi="Arial Black"/>
          <w:b w:val="0"/>
          <w:bCs w:val="0"/>
          <w:sz w:val="28"/>
          <w:szCs w:val="28"/>
        </w:rPr>
      </w:pPr>
      <w:bookmarkStart w:id="175" w:name="_Hlk81841658"/>
      <w:r w:rsidRPr="00E05DC9">
        <w:rPr>
          <w:rFonts w:ascii="Arial Black" w:hAnsi="Arial Black"/>
          <w:b w:val="0"/>
          <w:bCs w:val="0"/>
          <w:sz w:val="28"/>
          <w:szCs w:val="28"/>
        </w:rPr>
        <w:t xml:space="preserve">NY: </w:t>
      </w:r>
      <w:r>
        <w:rPr>
          <w:rFonts w:ascii="Arial Black" w:hAnsi="Arial Black"/>
          <w:b w:val="0"/>
          <w:bCs w:val="0"/>
          <w:sz w:val="28"/>
          <w:szCs w:val="28"/>
        </w:rPr>
        <w:t>STRUCTURE FIRE, TWO DEAD – INCIDENT COMMANDER NO LIABILITY - NO “SPECIAL DUTY” OWED RESIDENTS</w:t>
      </w:r>
    </w:p>
    <w:bookmarkEnd w:id="175"/>
    <w:p w14:paraId="70136CC0" w14:textId="77777777" w:rsidR="00362EB6" w:rsidRPr="00362EB6" w:rsidRDefault="00382F02" w:rsidP="00362EB6">
      <w:pPr>
        <w:pStyle w:val="Heading1"/>
        <w:rPr>
          <w:b w:val="0"/>
          <w:bCs w:val="0"/>
          <w:sz w:val="24"/>
          <w:szCs w:val="24"/>
        </w:rPr>
      </w:pPr>
      <w:r>
        <w:rPr>
          <w:b w:val="0"/>
          <w:bCs w:val="0"/>
          <w:sz w:val="24"/>
          <w:szCs w:val="24"/>
        </w:rPr>
        <w:t xml:space="preserve">On Aug. 26, 2021, in </w:t>
      </w:r>
      <w:r w:rsidRPr="007029FC">
        <w:rPr>
          <w:b w:val="0"/>
          <w:bCs w:val="0"/>
          <w:sz w:val="24"/>
          <w:szCs w:val="24"/>
          <w:u w:val="single"/>
        </w:rPr>
        <w:t xml:space="preserve">Christopher M. (Administrator of Estate of Heather M. and T.M.) v. Christopher J. Mineo, Assistant Fire Chief of </w:t>
      </w:r>
      <w:proofErr w:type="gramStart"/>
      <w:r w:rsidRPr="007029FC">
        <w:rPr>
          <w:b w:val="0"/>
          <w:bCs w:val="0"/>
          <w:sz w:val="24"/>
          <w:szCs w:val="24"/>
          <w:u w:val="single"/>
        </w:rPr>
        <w:t>Yorkville Fire</w:t>
      </w:r>
      <w:proofErr w:type="gramEnd"/>
      <w:r w:rsidRPr="007029FC">
        <w:rPr>
          <w:b w:val="0"/>
          <w:bCs w:val="0"/>
          <w:sz w:val="24"/>
          <w:szCs w:val="24"/>
          <w:u w:val="single"/>
        </w:rPr>
        <w:t xml:space="preserve"> Department, et al</w:t>
      </w:r>
      <w:r>
        <w:rPr>
          <w:b w:val="0"/>
          <w:bCs w:val="0"/>
          <w:sz w:val="24"/>
          <w:szCs w:val="24"/>
        </w:rPr>
        <w:t xml:space="preserve">., the Supreme Court of New York, Fourth Department, held </w:t>
      </w:r>
      <w:r w:rsidRPr="00873015">
        <w:rPr>
          <w:b w:val="0"/>
          <w:bCs w:val="0"/>
          <w:sz w:val="24"/>
          <w:szCs w:val="24"/>
        </w:rPr>
        <w:t>(5 to 0)</w:t>
      </w:r>
      <w:r>
        <w:rPr>
          <w:b w:val="0"/>
          <w:bCs w:val="0"/>
          <w:sz w:val="24"/>
          <w:szCs w:val="24"/>
        </w:rPr>
        <w:t xml:space="preserve"> that the lawsuit was properly dismissed concerning the Jan. 18, </w:t>
      </w:r>
      <w:proofErr w:type="gramStart"/>
      <w:r>
        <w:rPr>
          <w:b w:val="0"/>
          <w:bCs w:val="0"/>
          <w:sz w:val="24"/>
          <w:szCs w:val="24"/>
        </w:rPr>
        <w:t>2018</w:t>
      </w:r>
      <w:proofErr w:type="gramEnd"/>
      <w:r>
        <w:rPr>
          <w:b w:val="0"/>
          <w:bCs w:val="0"/>
          <w:sz w:val="24"/>
          <w:szCs w:val="24"/>
        </w:rPr>
        <w:t xml:space="preserve"> structure fire in upstairs apartment.  Plaintiff alleged the Assistant Chief called other volunteer fire departments but was “grossly negligent” in not seeking mutual aid from the career Utica Fire Department located 6 miles from the scene.</w:t>
      </w:r>
      <w:r w:rsidR="00362EB6">
        <w:rPr>
          <w:b w:val="0"/>
          <w:bCs w:val="0"/>
          <w:sz w:val="24"/>
          <w:szCs w:val="24"/>
        </w:rPr>
        <w:t xml:space="preserve"> </w:t>
      </w:r>
      <w:hyperlink r:id="rId881" w:history="1">
        <w:r w:rsidR="00362EB6" w:rsidRPr="00362EB6">
          <w:rPr>
            <w:rStyle w:val="Hyperlink"/>
            <w:b w:val="0"/>
            <w:bCs w:val="0"/>
            <w:sz w:val="24"/>
            <w:szCs w:val="24"/>
          </w:rPr>
          <w:t>https://public.fastcase.com/9SKwsfNqTc6OieYDhNMyM6VI9jzZ8Wjh0KgpobjMibbiOoRUyOE%2BZu2RC4EQbfMf</w:t>
        </w:r>
      </w:hyperlink>
      <w:r w:rsidR="00362EB6" w:rsidRPr="00362EB6">
        <w:rPr>
          <w:b w:val="0"/>
          <w:bCs w:val="0"/>
          <w:sz w:val="24"/>
          <w:szCs w:val="24"/>
        </w:rPr>
        <w:t xml:space="preserve"> </w:t>
      </w:r>
    </w:p>
    <w:p w14:paraId="605A3194" w14:textId="2C1C0837" w:rsidR="00382F02" w:rsidRDefault="00362EB6" w:rsidP="00382F02">
      <w:pPr>
        <w:pStyle w:val="Heading1"/>
        <w:rPr>
          <w:b w:val="0"/>
          <w:bCs w:val="0"/>
          <w:sz w:val="24"/>
          <w:szCs w:val="24"/>
        </w:rPr>
      </w:pPr>
      <w:r>
        <w:rPr>
          <w:b w:val="0"/>
          <w:bCs w:val="0"/>
          <w:sz w:val="24"/>
          <w:szCs w:val="24"/>
        </w:rPr>
        <w:t>THE COURT HELD:</w:t>
      </w:r>
    </w:p>
    <w:p w14:paraId="6CBCC57E" w14:textId="2931DC80" w:rsidR="006E75ED" w:rsidRPr="00873015" w:rsidRDefault="00382F02" w:rsidP="00382F02">
      <w:pPr>
        <w:pStyle w:val="Heading1"/>
        <w:ind w:left="720"/>
        <w:rPr>
          <w:b w:val="0"/>
          <w:bCs w:val="0"/>
          <w:sz w:val="24"/>
          <w:szCs w:val="24"/>
        </w:rPr>
      </w:pPr>
      <w:r>
        <w:rPr>
          <w:b w:val="0"/>
          <w:bCs w:val="0"/>
          <w:sz w:val="24"/>
          <w:szCs w:val="24"/>
        </w:rPr>
        <w:t>“</w:t>
      </w:r>
      <w:r w:rsidRPr="00873015">
        <w:rPr>
          <w:b w:val="0"/>
          <w:bCs w:val="0"/>
          <w:sz w:val="24"/>
          <w:szCs w:val="24"/>
        </w:rPr>
        <w:t>We affirm for reasons stated in the decision at Supreme Court. We write only to note that, inasmuch as plaintiff correctly concedes in his appellate brief that the amended complaint fails to allege the existence of a special duty, the court properly granted those parts of the motions of defendants Nicholas Morosco, individually, and as Assistant Fire Chief of the Yorkville Fire Department, the Yorkville Fire and Hose Company, Inc., and the Village of Yorkville, seeking to dismiss the sixth cause of action, which is against Morosco for gross negligence</w:t>
      </w:r>
      <w:r>
        <w:rPr>
          <w:b w:val="0"/>
          <w:bCs w:val="0"/>
          <w:sz w:val="24"/>
          <w:szCs w:val="24"/>
        </w:rPr>
        <w:t xml:space="preserve">…. </w:t>
      </w:r>
      <w:r w:rsidRPr="00873015">
        <w:rPr>
          <w:b w:val="0"/>
          <w:bCs w:val="0"/>
          <w:sz w:val="24"/>
          <w:szCs w:val="24"/>
        </w:rPr>
        <w:t>"Without a [special] duty running directly to the injured person[, ] there can be no liability in damages, however careless the conduct or foreseeable the harm" (</w:t>
      </w:r>
      <w:r w:rsidRPr="00873015">
        <w:rPr>
          <w:rStyle w:val="Emphasis"/>
          <w:sz w:val="24"/>
          <w:szCs w:val="24"/>
        </w:rPr>
        <w:t>Lauer v City of New York</w:t>
      </w:r>
      <w:r w:rsidRPr="00873015">
        <w:rPr>
          <w:b w:val="0"/>
          <w:bCs w:val="0"/>
          <w:sz w:val="24"/>
          <w:szCs w:val="24"/>
        </w:rPr>
        <w:t>, 95 N.Y.2d 95, 100 [2000]). Thus, contrary to plaintiff's contention, even if we accept as true the allegation that Morosco was grossly negligent and we accord plaintiff the benefit of every possible favorable inference (</w:t>
      </w:r>
      <w:r w:rsidRPr="00873015">
        <w:rPr>
          <w:rStyle w:val="Emphasis"/>
          <w:sz w:val="24"/>
          <w:szCs w:val="24"/>
        </w:rPr>
        <w:t>see Leon v Martinez</w:t>
      </w:r>
      <w:r w:rsidRPr="00873015">
        <w:rPr>
          <w:b w:val="0"/>
          <w:bCs w:val="0"/>
          <w:sz w:val="24"/>
          <w:szCs w:val="24"/>
        </w:rPr>
        <w:t xml:space="preserve">, 84 N.Y.2d 83, 87-88 [1994]), </w:t>
      </w:r>
      <w:r>
        <w:rPr>
          <w:b w:val="0"/>
          <w:bCs w:val="0"/>
          <w:sz w:val="24"/>
          <w:szCs w:val="24"/>
        </w:rPr>
        <w:t>‘</w:t>
      </w:r>
      <w:r w:rsidRPr="00873015">
        <w:rPr>
          <w:b w:val="0"/>
          <w:bCs w:val="0"/>
          <w:sz w:val="24"/>
          <w:szCs w:val="24"/>
        </w:rPr>
        <w:t>in the absence of a special duty there can be no liability</w:t>
      </w:r>
      <w:r>
        <w:rPr>
          <w:b w:val="0"/>
          <w:bCs w:val="0"/>
          <w:sz w:val="24"/>
          <w:szCs w:val="24"/>
        </w:rPr>
        <w:t xml:space="preserve">’ </w:t>
      </w:r>
      <w:r w:rsidRPr="00873015">
        <w:rPr>
          <w:b w:val="0"/>
          <w:bCs w:val="0"/>
          <w:sz w:val="24"/>
          <w:szCs w:val="24"/>
        </w:rPr>
        <w:t>(</w:t>
      </w:r>
      <w:r w:rsidRPr="00873015">
        <w:rPr>
          <w:rStyle w:val="Emphasis"/>
          <w:sz w:val="24"/>
          <w:szCs w:val="24"/>
        </w:rPr>
        <w:t>Rennix v Jackson</w:t>
      </w:r>
      <w:r w:rsidRPr="00873015">
        <w:rPr>
          <w:b w:val="0"/>
          <w:bCs w:val="0"/>
          <w:sz w:val="24"/>
          <w:szCs w:val="24"/>
        </w:rPr>
        <w:t>, 152 A.D.3d 551, 554 [2d Dept 2017]).</w:t>
      </w:r>
      <w:r>
        <w:rPr>
          <w:b w:val="0"/>
          <w:bCs w:val="0"/>
          <w:sz w:val="24"/>
          <w:szCs w:val="24"/>
        </w:rPr>
        <w:t>”</w:t>
      </w:r>
      <w:r w:rsidRPr="00873015">
        <w:t xml:space="preserve"> </w:t>
      </w:r>
      <w:hyperlink r:id="rId882" w:history="1">
        <w:r w:rsidR="006E75ED" w:rsidRPr="00D429FC">
          <w:rPr>
            <w:rStyle w:val="Hyperlink"/>
            <w:b w:val="0"/>
            <w:bCs w:val="0"/>
            <w:sz w:val="24"/>
            <w:szCs w:val="24"/>
          </w:rPr>
          <w:t>https://casetext.com/case/christopher-m-v-mineo</w:t>
        </w:r>
      </w:hyperlink>
      <w:r w:rsidR="006E75ED">
        <w:rPr>
          <w:b w:val="0"/>
          <w:bCs w:val="0"/>
          <w:sz w:val="24"/>
          <w:szCs w:val="24"/>
        </w:rPr>
        <w:t xml:space="preserve"> </w:t>
      </w:r>
    </w:p>
    <w:p w14:paraId="69D214AA" w14:textId="58808FB9" w:rsidR="00BD263B" w:rsidRPr="00873015" w:rsidRDefault="00BD263B" w:rsidP="00BD263B">
      <w:pPr>
        <w:spacing w:before="100" w:beforeAutospacing="1" w:after="100" w:afterAutospacing="1" w:line="240" w:lineRule="auto"/>
        <w:rPr>
          <w:rFonts w:ascii="Times New Roman" w:eastAsia="Times New Roman" w:hAnsi="Times New Roman"/>
          <w:b/>
          <w:bCs/>
          <w:sz w:val="24"/>
          <w:szCs w:val="24"/>
        </w:rPr>
      </w:pPr>
      <w:r w:rsidRPr="00CD5B1A">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In the absence of a “special duty”, the Assistant Fire Chief and his fire department and village enjoy immunity from liability. </w:t>
      </w:r>
    </w:p>
    <w:p w14:paraId="3B6FBDBC" w14:textId="77777777" w:rsidR="00BD263B" w:rsidRDefault="00BD263B" w:rsidP="00BD263B">
      <w:pPr>
        <w:pStyle w:val="NormalWeb"/>
        <w:ind w:left="720"/>
      </w:pPr>
      <w:r>
        <w:t xml:space="preserve">Note: </w:t>
      </w:r>
      <w:r w:rsidRPr="00CD5B1A">
        <w:t>Watch the Oral Argument</w:t>
      </w:r>
      <w:r>
        <w:t xml:space="preserve"> before the Justices </w:t>
      </w:r>
      <w:r w:rsidRPr="00B17D11">
        <w:rPr>
          <w:b/>
          <w:bCs/>
        </w:rPr>
        <w:t>(</w:t>
      </w:r>
      <w:r w:rsidRPr="00B17D11">
        <w:rPr>
          <w:rStyle w:val="Strong"/>
          <w:rFonts w:eastAsiaTheme="majorEastAsia"/>
          <w:b w:val="0"/>
          <w:bCs w:val="0"/>
        </w:rPr>
        <w:t>May 27, 2021):</w:t>
      </w:r>
      <w:r w:rsidRPr="00CD5B1A">
        <w:rPr>
          <w:rStyle w:val="Strong"/>
          <w:rFonts w:eastAsiaTheme="majorEastAsia"/>
        </w:rPr>
        <w:t> </w:t>
      </w:r>
      <w:r w:rsidRPr="00CD5B1A">
        <w:rPr>
          <w:b/>
          <w:bCs/>
        </w:rPr>
        <w:t xml:space="preserve"> </w:t>
      </w:r>
      <w:hyperlink r:id="rId883" w:tgtFrame="_blank" w:history="1">
        <w:r>
          <w:rPr>
            <w:rStyle w:val="Hyperlink"/>
          </w:rPr>
          <w:t>https://ad4.nycourts.gov/njs/term/argument/calendar?date=2021-05-27T00:00:00.000Z&amp;venue=1&amp;calnbr=633</w:t>
        </w:r>
        <w:r>
          <w:rPr>
            <w:rStyle w:val="screenreader-only"/>
            <w:color w:val="0000FF"/>
            <w:u w:val="single"/>
          </w:rPr>
          <w:t> (Links to an external site.)</w:t>
        </w:r>
      </w:hyperlink>
    </w:p>
    <w:p w14:paraId="3EE3BC65" w14:textId="77777777" w:rsidR="00382F02" w:rsidRDefault="00382F02" w:rsidP="002B1283">
      <w:pPr>
        <w:rPr>
          <w:rStyle w:val="Hyperlink"/>
          <w:rFonts w:ascii="Arial Black" w:hAnsi="Arial Black"/>
          <w:b/>
          <w:color w:val="auto"/>
          <w:sz w:val="24"/>
          <w:szCs w:val="24"/>
          <w:u w:val="none"/>
        </w:rPr>
      </w:pPr>
    </w:p>
    <w:p w14:paraId="301DD0B4" w14:textId="77777777" w:rsidR="00382F02" w:rsidRDefault="00382F02" w:rsidP="002B1283">
      <w:pPr>
        <w:rPr>
          <w:rStyle w:val="Hyperlink"/>
          <w:rFonts w:ascii="Arial Black" w:hAnsi="Arial Black"/>
          <w:b/>
          <w:color w:val="auto"/>
          <w:sz w:val="24"/>
          <w:szCs w:val="24"/>
          <w:u w:val="none"/>
        </w:rPr>
      </w:pPr>
    </w:p>
    <w:p w14:paraId="59CC77A4" w14:textId="77777777" w:rsidR="00382F02" w:rsidRDefault="00382F02" w:rsidP="002B1283">
      <w:pPr>
        <w:rPr>
          <w:rStyle w:val="Hyperlink"/>
          <w:rFonts w:ascii="Arial Black" w:hAnsi="Arial Black"/>
          <w:b/>
          <w:color w:val="auto"/>
          <w:sz w:val="24"/>
          <w:szCs w:val="24"/>
          <w:u w:val="none"/>
        </w:rPr>
      </w:pPr>
    </w:p>
    <w:p w14:paraId="26427968" w14:textId="02DC5599" w:rsidR="000915C1" w:rsidRDefault="000915C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4-15</w:t>
      </w:r>
    </w:p>
    <w:p w14:paraId="283FDDAE" w14:textId="77777777" w:rsidR="000915C1" w:rsidRPr="00545701" w:rsidRDefault="000915C1" w:rsidP="000915C1">
      <w:pPr>
        <w:pStyle w:val="NoSpacing"/>
        <w:rPr>
          <w:rFonts w:ascii="Arial Black" w:hAnsi="Arial Black"/>
          <w:sz w:val="28"/>
          <w:szCs w:val="28"/>
        </w:rPr>
      </w:pPr>
      <w:r>
        <w:rPr>
          <w:rFonts w:ascii="Arial Black" w:hAnsi="Arial Black"/>
          <w:sz w:val="28"/>
          <w:szCs w:val="28"/>
        </w:rPr>
        <w:t>MI: TOWNSHIP DRONE – PHOTOS JUNKYARD ZONING VIOL - PHOTOS SUPPRESSED – NEED ADMIN. SEARCH WARRANT</w:t>
      </w:r>
    </w:p>
    <w:p w14:paraId="352819F4" w14:textId="77777777" w:rsidR="000915C1" w:rsidRDefault="000915C1" w:rsidP="000915C1">
      <w:pPr>
        <w:spacing w:before="100" w:beforeAutospacing="1" w:after="100" w:afterAutospacing="1" w:line="240" w:lineRule="auto"/>
        <w:rPr>
          <w:rFonts w:ascii="Times New Roman" w:hAnsi="Times New Roman"/>
          <w:sz w:val="24"/>
          <w:szCs w:val="24"/>
        </w:rPr>
      </w:pPr>
      <w:r w:rsidRPr="0038323F">
        <w:rPr>
          <w:rFonts w:ascii="Times New Roman" w:hAnsi="Times New Roman"/>
          <w:sz w:val="24"/>
          <w:szCs w:val="24"/>
        </w:rPr>
        <w:t xml:space="preserve">On </w:t>
      </w:r>
      <w:r>
        <w:rPr>
          <w:rFonts w:ascii="Times New Roman" w:hAnsi="Times New Roman"/>
          <w:sz w:val="24"/>
          <w:szCs w:val="24"/>
        </w:rPr>
        <w:t xml:space="preserve">March 18, 2021, in </w:t>
      </w:r>
      <w:r w:rsidRPr="0038323F">
        <w:rPr>
          <w:rFonts w:ascii="Times New Roman" w:hAnsi="Times New Roman"/>
          <w:sz w:val="24"/>
          <w:szCs w:val="24"/>
          <w:u w:val="single"/>
        </w:rPr>
        <w:t>Long Lake Township v. Todd Maxon and Heather Maxon</w:t>
      </w:r>
      <w:r>
        <w:rPr>
          <w:rFonts w:ascii="Times New Roman" w:hAnsi="Times New Roman"/>
          <w:sz w:val="24"/>
          <w:szCs w:val="24"/>
        </w:rPr>
        <w:t xml:space="preserve">, the State of Michigan Court of Appeals held (2 to 1) that the trial court should have granted the motion to suppress the photos taken by a drone, flying line-of-sight below the </w:t>
      </w:r>
      <w:proofErr w:type="gramStart"/>
      <w:r>
        <w:rPr>
          <w:rFonts w:ascii="Times New Roman" w:hAnsi="Times New Roman"/>
          <w:sz w:val="24"/>
          <w:szCs w:val="24"/>
        </w:rPr>
        <w:t>400 foot</w:t>
      </w:r>
      <w:proofErr w:type="gramEnd"/>
      <w:r>
        <w:rPr>
          <w:rFonts w:ascii="Times New Roman" w:hAnsi="Times New Roman"/>
          <w:sz w:val="24"/>
          <w:szCs w:val="24"/>
        </w:rPr>
        <w:t xml:space="preserve"> FAA limit.   </w:t>
      </w:r>
    </w:p>
    <w:p w14:paraId="5E7872E4"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lastRenderedPageBreak/>
        <w:t>“</w:t>
      </w:r>
      <w:r w:rsidRPr="001441C5">
        <w:rPr>
          <w:rFonts w:ascii="Times New Roman" w:hAnsi="Times New Roman"/>
          <w:sz w:val="24"/>
          <w:szCs w:val="24"/>
        </w:rPr>
        <w:t xml:space="preserve">We conclude that; much like the infrared imaging device discussed in </w:t>
      </w:r>
      <w:r w:rsidRPr="001441C5">
        <w:rPr>
          <w:rFonts w:ascii="Times New Roman" w:hAnsi="Times New Roman"/>
          <w:i/>
          <w:iCs/>
          <w:sz w:val="24"/>
          <w:szCs w:val="24"/>
        </w:rPr>
        <w:t>Kyllo</w:t>
      </w:r>
      <w:r>
        <w:rPr>
          <w:rFonts w:ascii="Times New Roman" w:hAnsi="Times New Roman"/>
          <w:i/>
          <w:iCs/>
          <w:sz w:val="24"/>
          <w:szCs w:val="24"/>
        </w:rPr>
        <w:t xml:space="preserve"> </w:t>
      </w:r>
      <w:r w:rsidRPr="001441C5">
        <w:rPr>
          <w:rFonts w:ascii="Times New Roman" w:hAnsi="Times New Roman"/>
          <w:i/>
          <w:iCs/>
          <w:sz w:val="24"/>
          <w:szCs w:val="24"/>
        </w:rPr>
        <w:t>[Kyllo v United States</w:t>
      </w:r>
      <w:r w:rsidRPr="001441C5">
        <w:rPr>
          <w:rFonts w:ascii="Times New Roman" w:hAnsi="Times New Roman"/>
          <w:sz w:val="24"/>
          <w:szCs w:val="24"/>
        </w:rPr>
        <w:t>, 533 US 27; 121 S Ct 2038; 150 L Ed 2d 94 (2001)]</w:t>
      </w:r>
      <w:r w:rsidRPr="001441C5">
        <w:rPr>
          <w:rFonts w:ascii="Times New Roman" w:hAnsi="Times New Roman"/>
          <w:i/>
          <w:iCs/>
          <w:sz w:val="24"/>
          <w:szCs w:val="24"/>
        </w:rPr>
        <w:t>;</w:t>
      </w:r>
      <w:r w:rsidRPr="001441C5">
        <w:rPr>
          <w:rFonts w:ascii="Times New Roman" w:hAnsi="Times New Roman"/>
          <w:sz w:val="24"/>
          <w:szCs w:val="24"/>
        </w:rPr>
        <w:t xml:space="preserve"> low-altitude, unmanned, specifically-targeted drone surveillance of a private individual's property is qualitatively different from the kinds of human-operated aircraft overflights permitted by </w:t>
      </w:r>
      <w:r w:rsidRPr="001441C5">
        <w:rPr>
          <w:rFonts w:ascii="Times New Roman" w:hAnsi="Times New Roman"/>
          <w:i/>
          <w:iCs/>
          <w:sz w:val="24"/>
          <w:szCs w:val="24"/>
        </w:rPr>
        <w:t>Ciraolo</w:t>
      </w:r>
      <w:r w:rsidRPr="001441C5">
        <w:rPr>
          <w:rFonts w:ascii="Times New Roman" w:hAnsi="Times New Roman"/>
          <w:sz w:val="24"/>
          <w:szCs w:val="24"/>
        </w:rPr>
        <w:t xml:space="preserve"> [</w:t>
      </w:r>
      <w:r w:rsidRPr="001441C5">
        <w:rPr>
          <w:rFonts w:ascii="Times New Roman" w:hAnsi="Times New Roman"/>
          <w:i/>
          <w:iCs/>
          <w:sz w:val="24"/>
          <w:szCs w:val="24"/>
        </w:rPr>
        <w:t>California v Ciraolo</w:t>
      </w:r>
      <w:r w:rsidRPr="001441C5">
        <w:rPr>
          <w:rFonts w:ascii="Times New Roman" w:hAnsi="Times New Roman"/>
          <w:sz w:val="24"/>
          <w:szCs w:val="24"/>
        </w:rPr>
        <w:t>, 475 US 207; 106 S Ct 1809; 90 L Ed 2d 210 (1986)]</w:t>
      </w:r>
      <w:r>
        <w:rPr>
          <w:rFonts w:ascii="Times New Roman" w:hAnsi="Times New Roman"/>
          <w:sz w:val="24"/>
          <w:szCs w:val="24"/>
        </w:rPr>
        <w:t xml:space="preserve"> </w:t>
      </w:r>
      <w:r w:rsidRPr="001441C5">
        <w:rPr>
          <w:rFonts w:ascii="Times New Roman" w:hAnsi="Times New Roman"/>
          <w:sz w:val="24"/>
          <w:szCs w:val="24"/>
        </w:rPr>
        <w:t xml:space="preserve">and </w:t>
      </w:r>
      <w:r w:rsidRPr="001441C5">
        <w:rPr>
          <w:rFonts w:ascii="Times New Roman" w:hAnsi="Times New Roman"/>
          <w:i/>
          <w:iCs/>
          <w:sz w:val="24"/>
          <w:szCs w:val="24"/>
        </w:rPr>
        <w:t>Riley</w:t>
      </w:r>
      <w:r>
        <w:rPr>
          <w:rFonts w:ascii="Times New Roman" w:hAnsi="Times New Roman"/>
          <w:sz w:val="24"/>
          <w:szCs w:val="24"/>
        </w:rPr>
        <w:t xml:space="preserve"> [</w:t>
      </w:r>
      <w:r w:rsidRPr="001441C5">
        <w:rPr>
          <w:rFonts w:ascii="Times New Roman" w:hAnsi="Times New Roman"/>
          <w:i/>
          <w:iCs/>
          <w:sz w:val="24"/>
          <w:szCs w:val="24"/>
        </w:rPr>
        <w:t>Florida v Riley</w:t>
      </w:r>
      <w:r w:rsidRPr="001441C5">
        <w:rPr>
          <w:rFonts w:ascii="Times New Roman" w:hAnsi="Times New Roman"/>
          <w:sz w:val="24"/>
          <w:szCs w:val="24"/>
        </w:rPr>
        <w:t>, 488 US 445; 109 S Ct 693; 102 L Ed 2d 835 (1989)]</w:t>
      </w:r>
      <w:r>
        <w:rPr>
          <w:rFonts w:ascii="Times New Roman" w:hAnsi="Times New Roman"/>
          <w:sz w:val="24"/>
          <w:szCs w:val="24"/>
        </w:rPr>
        <w:t>.</w:t>
      </w:r>
    </w:p>
    <w:p w14:paraId="4DDC7915" w14:textId="77777777" w:rsidR="000915C1" w:rsidRDefault="000915C1" w:rsidP="000915C1">
      <w:pPr>
        <w:pStyle w:val="NoSpacing"/>
        <w:ind w:left="720"/>
        <w:rPr>
          <w:rFonts w:ascii="Times New Roman" w:hAnsi="Times New Roman"/>
          <w:sz w:val="24"/>
          <w:szCs w:val="24"/>
        </w:rPr>
      </w:pPr>
      <w:r w:rsidRPr="001441C5">
        <w:rPr>
          <w:rFonts w:ascii="Times New Roman" w:hAnsi="Times New Roman"/>
          <w:sz w:val="24"/>
          <w:szCs w:val="24"/>
        </w:rPr>
        <w:t xml:space="preserve">We conclude that drone surveillance of this nature intrudes into persons' reasonable expectations of privacy, so such surveillance </w:t>
      </w:r>
      <w:proofErr w:type="gramStart"/>
      <w:r w:rsidRPr="001441C5">
        <w:rPr>
          <w:rFonts w:ascii="Times New Roman" w:hAnsi="Times New Roman"/>
          <w:sz w:val="24"/>
          <w:szCs w:val="24"/>
        </w:rPr>
        <w:t>implicates</w:t>
      </w:r>
      <w:proofErr w:type="gramEnd"/>
      <w:r w:rsidRPr="001441C5">
        <w:rPr>
          <w:rFonts w:ascii="Times New Roman" w:hAnsi="Times New Roman"/>
          <w:sz w:val="24"/>
          <w:szCs w:val="24"/>
        </w:rPr>
        <w:t xml:space="preserve"> the Fourth Amendment and is illegal without a warrant or a traditional exception to the warrant requirement. </w:t>
      </w:r>
    </w:p>
    <w:p w14:paraId="1E1DF5D2" w14:textId="77777777" w:rsidR="000915C1" w:rsidRDefault="000915C1" w:rsidP="000915C1">
      <w:pPr>
        <w:pStyle w:val="NoSpacing"/>
        <w:ind w:left="720"/>
        <w:rPr>
          <w:rFonts w:ascii="Times New Roman" w:hAnsi="Times New Roman"/>
          <w:sz w:val="24"/>
          <w:szCs w:val="24"/>
        </w:rPr>
      </w:pPr>
    </w:p>
    <w:p w14:paraId="7E6C2EEF"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t>***</w:t>
      </w:r>
    </w:p>
    <w:p w14:paraId="17518921" w14:textId="77777777" w:rsidR="000915C1" w:rsidRDefault="000915C1" w:rsidP="000915C1">
      <w:pPr>
        <w:pStyle w:val="NoSpacing"/>
        <w:rPr>
          <w:rFonts w:ascii="Times New Roman" w:hAnsi="Times New Roman"/>
          <w:sz w:val="24"/>
          <w:szCs w:val="24"/>
        </w:rPr>
      </w:pPr>
    </w:p>
    <w:p w14:paraId="2E0665AC" w14:textId="77777777" w:rsidR="000915C1" w:rsidRPr="000915C1" w:rsidRDefault="000915C1" w:rsidP="000915C1">
      <w:pPr>
        <w:pStyle w:val="NoSpacing"/>
        <w:ind w:left="720"/>
        <w:rPr>
          <w:rFonts w:ascii="Times New Roman" w:hAnsi="Times New Roman"/>
          <w:sz w:val="24"/>
          <w:szCs w:val="24"/>
        </w:rPr>
      </w:pPr>
      <w:r w:rsidRPr="0038323F">
        <w:rPr>
          <w:rFonts w:ascii="Times New Roman" w:hAnsi="Times New Roman"/>
          <w:sz w:val="24"/>
          <w:szCs w:val="24"/>
        </w:rPr>
        <w:t>We believe it would be unworkable and futile to try to craft a precise altitude test. Rather, we conclude that persons have a reasonable expectation of privacy in their property against drone surveillance, and therefore a governmental entity seeking to conduct drone surveillance must obtain a warrant or satisfy a traditional exception to the warrant requirement.</w:t>
      </w:r>
      <w:r>
        <w:rPr>
          <w:rFonts w:ascii="Times New Roman" w:hAnsi="Times New Roman"/>
          <w:sz w:val="24"/>
          <w:szCs w:val="24"/>
        </w:rPr>
        <w:t xml:space="preserve">” </w:t>
      </w:r>
      <w:hyperlink r:id="rId884" w:history="1">
        <w:r w:rsidRPr="000915C1">
          <w:rPr>
            <w:rStyle w:val="Hyperlink"/>
            <w:rFonts w:ascii="Times New Roman" w:hAnsi="Times New Roman"/>
            <w:sz w:val="24"/>
            <w:szCs w:val="24"/>
          </w:rPr>
          <w:t>https://casetext.com/case/long-lake-twp-v-maxon</w:t>
        </w:r>
      </w:hyperlink>
      <w:r w:rsidRPr="000915C1">
        <w:rPr>
          <w:rFonts w:ascii="Times New Roman" w:hAnsi="Times New Roman"/>
          <w:sz w:val="24"/>
          <w:szCs w:val="24"/>
        </w:rPr>
        <w:t xml:space="preserve"> </w:t>
      </w:r>
    </w:p>
    <w:p w14:paraId="4677312E" w14:textId="77777777" w:rsidR="000915C1" w:rsidRDefault="000915C1" w:rsidP="000915C1">
      <w:pPr>
        <w:pStyle w:val="NoSpacing"/>
        <w:ind w:left="720"/>
        <w:rPr>
          <w:rFonts w:ascii="Times New Roman" w:hAnsi="Times New Roman"/>
          <w:sz w:val="24"/>
          <w:szCs w:val="24"/>
        </w:rPr>
      </w:pPr>
    </w:p>
    <w:p w14:paraId="65A6864E" w14:textId="77777777" w:rsidR="000915C1" w:rsidRPr="00F94C70" w:rsidRDefault="000915C1" w:rsidP="000915C1">
      <w:pPr>
        <w:pStyle w:val="NoSpacing"/>
        <w:rPr>
          <w:rFonts w:ascii="Times New Roman" w:hAnsi="Times New Roman"/>
          <w:b/>
          <w:bCs/>
          <w:sz w:val="24"/>
          <w:szCs w:val="24"/>
        </w:rPr>
      </w:pPr>
      <w:r w:rsidRPr="00F94C70">
        <w:rPr>
          <w:rFonts w:ascii="Times New Roman" w:hAnsi="Times New Roman"/>
          <w:b/>
          <w:bCs/>
          <w:sz w:val="24"/>
          <w:szCs w:val="24"/>
        </w:rPr>
        <w:t>Legal Lesson Learned:</w:t>
      </w:r>
      <w:r>
        <w:rPr>
          <w:rFonts w:ascii="Times New Roman" w:hAnsi="Times New Roman"/>
          <w:b/>
          <w:bCs/>
          <w:sz w:val="24"/>
          <w:szCs w:val="24"/>
        </w:rPr>
        <w:t xml:space="preserve">  There will undoubtedly be more litigation about use of drones; for fire code enforcement, when possible, first get a search or administrative warrant. </w:t>
      </w:r>
    </w:p>
    <w:p w14:paraId="407B3AF3" w14:textId="77777777" w:rsidR="000915C1" w:rsidRDefault="000915C1" w:rsidP="000915C1">
      <w:pPr>
        <w:pStyle w:val="NoSpacing"/>
        <w:ind w:left="720"/>
        <w:rPr>
          <w:rFonts w:ascii="Times New Roman" w:hAnsi="Times New Roman"/>
          <w:sz w:val="24"/>
          <w:szCs w:val="24"/>
        </w:rPr>
      </w:pPr>
    </w:p>
    <w:p w14:paraId="5291433C"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t>Note: The dissenting opinion by Justice Karen M. Fort Hood.</w:t>
      </w:r>
    </w:p>
    <w:p w14:paraId="29CD2F29" w14:textId="77777777" w:rsidR="000915C1" w:rsidRPr="00F94C70" w:rsidRDefault="000915C1" w:rsidP="000915C1">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F94C70">
        <w:rPr>
          <w:rFonts w:ascii="Times New Roman" w:eastAsia="Times New Roman" w:hAnsi="Times New Roman"/>
          <w:sz w:val="24"/>
          <w:szCs w:val="24"/>
        </w:rPr>
        <w:t xml:space="preserve">With </w:t>
      </w:r>
      <w:proofErr w:type="gramStart"/>
      <w:r w:rsidRPr="00F94C70">
        <w:rPr>
          <w:rFonts w:ascii="Times New Roman" w:eastAsia="Times New Roman" w:hAnsi="Times New Roman"/>
          <w:sz w:val="24"/>
          <w:szCs w:val="24"/>
        </w:rPr>
        <w:t>all of</w:t>
      </w:r>
      <w:proofErr w:type="gramEnd"/>
      <w:r w:rsidRPr="00F94C70">
        <w:rPr>
          <w:rFonts w:ascii="Times New Roman" w:eastAsia="Times New Roman" w:hAnsi="Times New Roman"/>
          <w:sz w:val="24"/>
          <w:szCs w:val="24"/>
        </w:rPr>
        <w:t xml:space="preserve"> the above in mind, again, there is no evidence that the drone in this case was flown in violation of the law or applicable regulations, nor that it contained equipment or was itself technology not readily available or generally used by the public. The fundamental principle from both </w:t>
      </w:r>
      <w:r w:rsidRPr="00F94C70">
        <w:rPr>
          <w:rFonts w:ascii="Times New Roman" w:eastAsia="Times New Roman" w:hAnsi="Times New Roman"/>
          <w:i/>
          <w:iCs/>
          <w:sz w:val="24"/>
          <w:szCs w:val="24"/>
        </w:rPr>
        <w:t>Ciraolo</w:t>
      </w:r>
      <w:r w:rsidRPr="00F94C70">
        <w:rPr>
          <w:rFonts w:ascii="Times New Roman" w:eastAsia="Times New Roman" w:hAnsi="Times New Roman"/>
          <w:sz w:val="24"/>
          <w:szCs w:val="24"/>
        </w:rPr>
        <w:t xml:space="preserve"> and </w:t>
      </w:r>
      <w:r w:rsidRPr="00F94C70">
        <w:rPr>
          <w:rFonts w:ascii="Times New Roman" w:eastAsia="Times New Roman" w:hAnsi="Times New Roman"/>
          <w:i/>
          <w:iCs/>
          <w:sz w:val="24"/>
          <w:szCs w:val="24"/>
        </w:rPr>
        <w:t>Riley</w:t>
      </w:r>
      <w:r w:rsidRPr="00F94C70">
        <w:rPr>
          <w:rFonts w:ascii="Times New Roman" w:eastAsia="Times New Roman" w:hAnsi="Times New Roman"/>
          <w:sz w:val="24"/>
          <w:szCs w:val="24"/>
        </w:rPr>
        <w:t xml:space="preserve"> is that the property observed in those cases was observable by commercial and public aircraft in the publicly navigable airspace, see </w:t>
      </w:r>
      <w:r w:rsidRPr="00F94C70">
        <w:rPr>
          <w:rFonts w:ascii="Times New Roman" w:eastAsia="Times New Roman" w:hAnsi="Times New Roman"/>
          <w:i/>
          <w:iCs/>
          <w:sz w:val="24"/>
          <w:szCs w:val="24"/>
        </w:rPr>
        <w:t>Ciraolo</w:t>
      </w:r>
      <w:r w:rsidRPr="00F94C70">
        <w:rPr>
          <w:rFonts w:ascii="Times New Roman" w:eastAsia="Times New Roman" w:hAnsi="Times New Roman"/>
          <w:sz w:val="24"/>
          <w:szCs w:val="24"/>
        </w:rPr>
        <w:t xml:space="preserve">, 476 US at 215; </w:t>
      </w:r>
      <w:r w:rsidRPr="00F94C70">
        <w:rPr>
          <w:rFonts w:ascii="Times New Roman" w:eastAsia="Times New Roman" w:hAnsi="Times New Roman"/>
          <w:i/>
          <w:iCs/>
          <w:sz w:val="24"/>
          <w:szCs w:val="24"/>
        </w:rPr>
        <w:t>Riley</w:t>
      </w:r>
      <w:r w:rsidRPr="00F94C70">
        <w:rPr>
          <w:rFonts w:ascii="Times New Roman" w:eastAsia="Times New Roman" w:hAnsi="Times New Roman"/>
          <w:sz w:val="24"/>
          <w:szCs w:val="24"/>
        </w:rPr>
        <w:t xml:space="preserve">, 488 US at 450, and the fundamental difference between those two cases and </w:t>
      </w:r>
      <w:r w:rsidRPr="00F94C70">
        <w:rPr>
          <w:rFonts w:ascii="Times New Roman" w:eastAsia="Times New Roman" w:hAnsi="Times New Roman"/>
          <w:i/>
          <w:iCs/>
          <w:sz w:val="24"/>
          <w:szCs w:val="24"/>
        </w:rPr>
        <w:t>Kyllo</w:t>
      </w:r>
      <w:r w:rsidRPr="00F94C70">
        <w:rPr>
          <w:rFonts w:ascii="Times New Roman" w:eastAsia="Times New Roman" w:hAnsi="Times New Roman"/>
          <w:sz w:val="24"/>
          <w:szCs w:val="24"/>
        </w:rPr>
        <w:t xml:space="preserve"> was that the technology in </w:t>
      </w:r>
      <w:r w:rsidRPr="00F94C70">
        <w:rPr>
          <w:rFonts w:ascii="Times New Roman" w:eastAsia="Times New Roman" w:hAnsi="Times New Roman"/>
          <w:i/>
          <w:iCs/>
          <w:sz w:val="24"/>
          <w:szCs w:val="24"/>
        </w:rPr>
        <w:t>Kyllo</w:t>
      </w:r>
      <w:r w:rsidRPr="00F94C70">
        <w:rPr>
          <w:rFonts w:ascii="Times New Roman" w:eastAsia="Times New Roman" w:hAnsi="Times New Roman"/>
          <w:sz w:val="24"/>
          <w:szCs w:val="24"/>
        </w:rPr>
        <w:t xml:space="preserve"> was not something that could be reasonably expected to be employed by members of the public, </w:t>
      </w:r>
      <w:r w:rsidRPr="00F94C70">
        <w:rPr>
          <w:rFonts w:ascii="Times New Roman" w:eastAsia="Times New Roman" w:hAnsi="Times New Roman"/>
          <w:i/>
          <w:iCs/>
          <w:sz w:val="24"/>
          <w:szCs w:val="24"/>
        </w:rPr>
        <w:t>Kyllo</w:t>
      </w:r>
      <w:r w:rsidRPr="00F94C70">
        <w:rPr>
          <w:rFonts w:ascii="Times New Roman" w:eastAsia="Times New Roman" w:hAnsi="Times New Roman"/>
          <w:sz w:val="24"/>
          <w:szCs w:val="24"/>
        </w:rPr>
        <w:t>, 533 US at 34, 40. On that basis, I would conclude that no Fourth-Amendment violation occurred in this case, and I would affirm the trial court's order denying defendants' motion to suppress.</w:t>
      </w:r>
      <w:r>
        <w:rPr>
          <w:rFonts w:ascii="Times New Roman" w:eastAsia="Times New Roman" w:hAnsi="Times New Roman"/>
          <w:sz w:val="24"/>
          <w:szCs w:val="24"/>
        </w:rPr>
        <w:t>”</w:t>
      </w:r>
    </w:p>
    <w:p w14:paraId="3F9713FB" w14:textId="77777777" w:rsidR="000915C1" w:rsidRDefault="000915C1" w:rsidP="000915C1">
      <w:pPr>
        <w:pStyle w:val="NoSpacing"/>
        <w:rPr>
          <w:rFonts w:ascii="Arial Black" w:hAnsi="Arial Black"/>
          <w:sz w:val="28"/>
          <w:szCs w:val="28"/>
        </w:rPr>
      </w:pPr>
    </w:p>
    <w:p w14:paraId="3785EF73" w14:textId="61114992" w:rsidR="000915C1" w:rsidRDefault="000915C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4-14</w:t>
      </w:r>
    </w:p>
    <w:p w14:paraId="141DD005" w14:textId="77777777" w:rsidR="000915C1" w:rsidRDefault="000915C1" w:rsidP="000915C1">
      <w:pPr>
        <w:pStyle w:val="NoSpacing"/>
        <w:rPr>
          <w:rFonts w:ascii="Arial Black" w:hAnsi="Arial Black"/>
          <w:sz w:val="28"/>
          <w:szCs w:val="28"/>
        </w:rPr>
      </w:pPr>
      <w:r>
        <w:rPr>
          <w:rFonts w:ascii="Arial Black" w:hAnsi="Arial Black"/>
          <w:sz w:val="28"/>
          <w:szCs w:val="28"/>
        </w:rPr>
        <w:t xml:space="preserve">WA: FF 18 YEARS MARINE SAFETY - “EXPERT WITNESS” UNDER </w:t>
      </w:r>
      <w:r w:rsidRPr="00B23A49">
        <w:rPr>
          <w:rFonts w:ascii="Arial Black" w:hAnsi="Arial Black"/>
          <w:i/>
          <w:iCs/>
          <w:sz w:val="28"/>
          <w:szCs w:val="28"/>
        </w:rPr>
        <w:t>DAUBERT</w:t>
      </w:r>
      <w:r>
        <w:rPr>
          <w:rFonts w:ascii="Arial Black" w:hAnsi="Arial Black"/>
          <w:i/>
          <w:iCs/>
          <w:sz w:val="28"/>
          <w:szCs w:val="28"/>
        </w:rPr>
        <w:t xml:space="preserve"> </w:t>
      </w:r>
      <w:r>
        <w:rPr>
          <w:rFonts w:ascii="Arial Black" w:hAnsi="Arial Black"/>
          <w:sz w:val="28"/>
          <w:szCs w:val="28"/>
        </w:rPr>
        <w:t>STANDARD - BOAT FIRE, OWNER LIABLE</w:t>
      </w:r>
    </w:p>
    <w:p w14:paraId="56C1FC8C" w14:textId="77777777" w:rsidR="000915C1" w:rsidRDefault="000915C1" w:rsidP="000915C1">
      <w:pPr>
        <w:pStyle w:val="NoSpacing"/>
        <w:rPr>
          <w:rFonts w:ascii="Arial Black" w:hAnsi="Arial Black"/>
          <w:sz w:val="28"/>
          <w:szCs w:val="28"/>
        </w:rPr>
      </w:pPr>
    </w:p>
    <w:p w14:paraId="6B02718E" w14:textId="77777777" w:rsidR="000915C1" w:rsidRDefault="000915C1" w:rsidP="000915C1">
      <w:pPr>
        <w:pStyle w:val="NoSpacing"/>
        <w:rPr>
          <w:rFonts w:ascii="Times New Roman" w:hAnsi="Times New Roman"/>
          <w:sz w:val="24"/>
          <w:szCs w:val="24"/>
        </w:rPr>
      </w:pPr>
      <w:r>
        <w:rPr>
          <w:rFonts w:ascii="Times New Roman" w:hAnsi="Times New Roman"/>
          <w:sz w:val="24"/>
          <w:szCs w:val="24"/>
        </w:rPr>
        <w:t xml:space="preserve">On March 18, 2021, in </w:t>
      </w:r>
      <w:r w:rsidRPr="00B23A49">
        <w:rPr>
          <w:rFonts w:ascii="Times New Roman" w:hAnsi="Times New Roman"/>
          <w:sz w:val="24"/>
          <w:szCs w:val="24"/>
          <w:u w:val="single"/>
        </w:rPr>
        <w:t>Michael Schladetzky v, John Doe, et al</w:t>
      </w:r>
      <w:r>
        <w:rPr>
          <w:rFonts w:ascii="Times New Roman" w:hAnsi="Times New Roman"/>
          <w:sz w:val="24"/>
          <w:szCs w:val="24"/>
        </w:rPr>
        <w:t xml:space="preserve">., U.S. District Court Judge James L. Robart held that firefighter Kurt Serwood, with 18 years as Chief of the Kitsap County FD Marine Division, is an “expert” under the U.S. Supreme Court’s “Daubert standard” and Fed. Rules of Evidence: </w:t>
      </w:r>
      <w:r w:rsidRPr="002501FC">
        <w:rPr>
          <w:rFonts w:ascii="Times New Roman" w:hAnsi="Times New Roman"/>
          <w:i/>
          <w:iCs/>
          <w:sz w:val="24"/>
          <w:szCs w:val="24"/>
        </w:rPr>
        <w:t>Daubert v</w:t>
      </w:r>
      <w:r w:rsidRPr="002501FC">
        <w:rPr>
          <w:rFonts w:ascii="Times New Roman" w:hAnsi="Times New Roman"/>
          <w:sz w:val="24"/>
          <w:szCs w:val="24"/>
        </w:rPr>
        <w:t xml:space="preserve">. </w:t>
      </w:r>
      <w:r w:rsidRPr="002501FC">
        <w:rPr>
          <w:rFonts w:ascii="Times New Roman" w:hAnsi="Times New Roman"/>
          <w:i/>
          <w:iCs/>
          <w:sz w:val="24"/>
          <w:szCs w:val="24"/>
        </w:rPr>
        <w:t>Merrell Dow Pharm</w:t>
      </w:r>
      <w:r w:rsidRPr="002501FC">
        <w:rPr>
          <w:rFonts w:ascii="Times New Roman" w:hAnsi="Times New Roman"/>
          <w:sz w:val="24"/>
          <w:szCs w:val="24"/>
        </w:rPr>
        <w:t xml:space="preserve">., </w:t>
      </w:r>
      <w:r w:rsidRPr="002501FC">
        <w:rPr>
          <w:rFonts w:ascii="Times New Roman" w:hAnsi="Times New Roman"/>
          <w:i/>
          <w:iCs/>
          <w:sz w:val="24"/>
          <w:szCs w:val="24"/>
        </w:rPr>
        <w:t>Inc</w:t>
      </w:r>
      <w:r w:rsidRPr="002501FC">
        <w:rPr>
          <w:rFonts w:ascii="Times New Roman" w:hAnsi="Times New Roman"/>
          <w:sz w:val="24"/>
          <w:szCs w:val="24"/>
        </w:rPr>
        <w:t>., 509 U.S. 579, 589-91 (1993); Fed. R. Evid. 702.</w:t>
      </w:r>
      <w:r>
        <w:rPr>
          <w:rFonts w:ascii="Times New Roman" w:hAnsi="Times New Roman"/>
          <w:sz w:val="24"/>
          <w:szCs w:val="24"/>
        </w:rPr>
        <w:t xml:space="preserve">  The Court relied on his expert opinion that the boat fire was caused by the owner’s negligence in not repairing the diesel furnace on the </w:t>
      </w:r>
      <w:r w:rsidRPr="007D17BA">
        <w:rPr>
          <w:rFonts w:ascii="Times New Roman" w:hAnsi="Times New Roman"/>
          <w:sz w:val="24"/>
          <w:szCs w:val="24"/>
        </w:rPr>
        <w:t>boat which blew out thick black smoke and smelled of raw diesel fuel</w:t>
      </w:r>
      <w:r>
        <w:rPr>
          <w:rFonts w:ascii="Times New Roman" w:hAnsi="Times New Roman"/>
          <w:sz w:val="24"/>
          <w:szCs w:val="24"/>
        </w:rPr>
        <w:t xml:space="preserve">.  Given this negligence, the Court held (1) the boat owner, Michael Schladetsky cannot under federal maritime law limit his liability to only the value of his vessel and cargo; and (2)  two claimants who lost property in the boat house are entitled to summary judgment – Douglas McKenzie, owner of a neighboring boat ($23,360, personal property destroyed in boat house); and Jeffrey Bigsby ($12,537.75, personal property also stored in the same boat house).  </w:t>
      </w:r>
    </w:p>
    <w:p w14:paraId="57CB479A" w14:textId="77777777" w:rsidR="000915C1" w:rsidRDefault="000915C1" w:rsidP="000915C1">
      <w:pPr>
        <w:pStyle w:val="NoSpacing"/>
        <w:rPr>
          <w:rFonts w:ascii="Times New Roman" w:hAnsi="Times New Roman"/>
          <w:sz w:val="24"/>
          <w:szCs w:val="24"/>
        </w:rPr>
      </w:pPr>
    </w:p>
    <w:p w14:paraId="2C86B1E4"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lastRenderedPageBreak/>
        <w:t>“[T]h</w:t>
      </w:r>
      <w:r w:rsidRPr="002501FC">
        <w:rPr>
          <w:rFonts w:ascii="Times New Roman" w:hAnsi="Times New Roman"/>
          <w:sz w:val="24"/>
          <w:szCs w:val="24"/>
        </w:rPr>
        <w:t xml:space="preserve">e court finds that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is qualified as an expert in marine fires and their causes. Under Rule 702, an expert may be qualified by extensive or specialized experience. Fed. R. Evid. 702; </w:t>
      </w:r>
      <w:r w:rsidRPr="002501FC">
        <w:rPr>
          <w:rFonts w:ascii="Times New Roman" w:hAnsi="Times New Roman"/>
          <w:i/>
          <w:iCs/>
          <w:sz w:val="24"/>
          <w:szCs w:val="24"/>
        </w:rPr>
        <w:t>Kumho</w:t>
      </w:r>
      <w:r w:rsidRPr="002501FC">
        <w:rPr>
          <w:rFonts w:ascii="Times New Roman" w:hAnsi="Times New Roman"/>
          <w:sz w:val="24"/>
          <w:szCs w:val="24"/>
        </w:rPr>
        <w:t xml:space="preserve">, 526 U.S. at 156.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is a </w:t>
      </w:r>
      <w:proofErr w:type="gramStart"/>
      <w:r w:rsidRPr="002501FC">
        <w:rPr>
          <w:rFonts w:ascii="Times New Roman" w:hAnsi="Times New Roman"/>
          <w:sz w:val="24"/>
          <w:szCs w:val="24"/>
        </w:rPr>
        <w:t>fire fighter</w:t>
      </w:r>
      <w:proofErr w:type="gramEnd"/>
      <w:r w:rsidRPr="002501FC">
        <w:rPr>
          <w:rFonts w:ascii="Times New Roman" w:hAnsi="Times New Roman"/>
          <w:sz w:val="24"/>
          <w:szCs w:val="24"/>
        </w:rPr>
        <w:t xml:space="preserve"> with over 20 years' experience, 18 of which he served as chief of the Kitsap County Fire Department's marine division.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Decl. at 1). During his time in the marine detachment,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has received specialized training in the causes of marine fires and how to prevent them. (</w:t>
      </w:r>
      <w:r w:rsidRPr="002501FC">
        <w:rPr>
          <w:rFonts w:ascii="Times New Roman" w:hAnsi="Times New Roman"/>
          <w:i/>
          <w:iCs/>
          <w:sz w:val="24"/>
          <w:szCs w:val="24"/>
        </w:rPr>
        <w:t>Id</w:t>
      </w:r>
      <w:r w:rsidRPr="002501FC">
        <w:rPr>
          <w:rFonts w:ascii="Times New Roman" w:hAnsi="Times New Roman"/>
          <w:sz w:val="24"/>
          <w:szCs w:val="24"/>
        </w:rPr>
        <w:t xml:space="preserve">. at 1-2). Because of his considerable experience and specialized training, the court finds that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is qualified to offer expert testimony on marine fires and their causes.</w:t>
      </w:r>
      <w:r>
        <w:rPr>
          <w:rFonts w:ascii="Times New Roman" w:hAnsi="Times New Roman"/>
          <w:sz w:val="24"/>
          <w:szCs w:val="24"/>
        </w:rPr>
        <w:t xml:space="preserve">” </w:t>
      </w:r>
    </w:p>
    <w:p w14:paraId="46635497" w14:textId="77777777" w:rsidR="000915C1" w:rsidRPr="000915C1" w:rsidRDefault="000915C1" w:rsidP="000915C1">
      <w:pPr>
        <w:pStyle w:val="NoSpacing"/>
        <w:ind w:left="720"/>
        <w:rPr>
          <w:rFonts w:ascii="Times New Roman" w:hAnsi="Times New Roman"/>
          <w:sz w:val="24"/>
          <w:szCs w:val="24"/>
        </w:rPr>
      </w:pPr>
      <w:hyperlink r:id="rId885" w:history="1">
        <w:r w:rsidRPr="000915C1">
          <w:rPr>
            <w:rStyle w:val="Hyperlink"/>
            <w:rFonts w:ascii="Times New Roman" w:hAnsi="Times New Roman"/>
            <w:sz w:val="24"/>
            <w:szCs w:val="24"/>
          </w:rPr>
          <w:t>https://casetext.com/case/schladetzky-v-doe-1</w:t>
        </w:r>
      </w:hyperlink>
      <w:r w:rsidRPr="000915C1">
        <w:rPr>
          <w:rFonts w:ascii="Times New Roman" w:hAnsi="Times New Roman"/>
          <w:sz w:val="24"/>
          <w:szCs w:val="24"/>
        </w:rPr>
        <w:t xml:space="preserve"> </w:t>
      </w:r>
    </w:p>
    <w:p w14:paraId="4236F916" w14:textId="77777777" w:rsidR="000915C1" w:rsidRDefault="000915C1" w:rsidP="000915C1">
      <w:pPr>
        <w:pStyle w:val="NoSpacing"/>
        <w:rPr>
          <w:rFonts w:ascii="Times New Roman" w:hAnsi="Times New Roman"/>
          <w:b/>
          <w:bCs/>
          <w:sz w:val="24"/>
          <w:szCs w:val="24"/>
        </w:rPr>
      </w:pPr>
    </w:p>
    <w:p w14:paraId="33A7427A" w14:textId="7C32C185" w:rsidR="000915C1" w:rsidRPr="00F57D38" w:rsidRDefault="000915C1" w:rsidP="000915C1">
      <w:pPr>
        <w:pStyle w:val="NoSpacing"/>
        <w:rPr>
          <w:rFonts w:ascii="Times New Roman" w:hAnsi="Times New Roman"/>
          <w:b/>
          <w:bCs/>
          <w:sz w:val="24"/>
          <w:szCs w:val="24"/>
        </w:rPr>
      </w:pPr>
      <w:r w:rsidRPr="00F57D38">
        <w:rPr>
          <w:rFonts w:ascii="Times New Roman" w:hAnsi="Times New Roman"/>
          <w:b/>
          <w:bCs/>
          <w:sz w:val="24"/>
          <w:szCs w:val="24"/>
        </w:rPr>
        <w:t>Legal Lesson Learned:</w:t>
      </w:r>
      <w:r>
        <w:rPr>
          <w:rFonts w:ascii="Times New Roman" w:hAnsi="Times New Roman"/>
          <w:b/>
          <w:bCs/>
          <w:sz w:val="24"/>
          <w:szCs w:val="24"/>
        </w:rPr>
        <w:t xml:space="preserve"> The U.S. Supreme Court’s </w:t>
      </w:r>
      <w:r w:rsidRPr="00F57D38">
        <w:rPr>
          <w:rFonts w:ascii="Times New Roman" w:hAnsi="Times New Roman"/>
          <w:b/>
          <w:bCs/>
          <w:i/>
          <w:iCs/>
          <w:sz w:val="24"/>
          <w:szCs w:val="24"/>
        </w:rPr>
        <w:t>Daubert</w:t>
      </w:r>
      <w:r>
        <w:rPr>
          <w:rFonts w:ascii="Times New Roman" w:hAnsi="Times New Roman"/>
          <w:b/>
          <w:bCs/>
          <w:i/>
          <w:iCs/>
          <w:sz w:val="24"/>
          <w:szCs w:val="24"/>
        </w:rPr>
        <w:t xml:space="preserve"> </w:t>
      </w:r>
      <w:r w:rsidRPr="00A66200">
        <w:rPr>
          <w:rFonts w:ascii="Times New Roman" w:hAnsi="Times New Roman"/>
          <w:b/>
          <w:bCs/>
          <w:sz w:val="24"/>
          <w:szCs w:val="24"/>
        </w:rPr>
        <w:t xml:space="preserve">standard </w:t>
      </w:r>
      <w:r>
        <w:rPr>
          <w:rFonts w:ascii="Times New Roman" w:hAnsi="Times New Roman"/>
          <w:b/>
          <w:bCs/>
          <w:sz w:val="24"/>
          <w:szCs w:val="24"/>
        </w:rPr>
        <w:t xml:space="preserve">and the Federal Rules of Evidence allow federal judges to rely the opinion of “experts” who are qualified based on their knowledge, experience and training. </w:t>
      </w:r>
    </w:p>
    <w:p w14:paraId="32AE181D" w14:textId="77777777" w:rsidR="000915C1" w:rsidRDefault="000915C1" w:rsidP="000915C1">
      <w:pPr>
        <w:spacing w:before="100" w:beforeAutospacing="1" w:after="100" w:afterAutospacing="1" w:line="240" w:lineRule="auto"/>
        <w:ind w:left="1440"/>
        <w:rPr>
          <w:rFonts w:ascii="Times New Roman" w:hAnsi="Times New Roman"/>
          <w:sz w:val="24"/>
          <w:szCs w:val="24"/>
        </w:rPr>
      </w:pPr>
      <w:r w:rsidRPr="00A66200">
        <w:rPr>
          <w:rFonts w:ascii="Times New Roman" w:eastAsia="Times New Roman" w:hAnsi="Times New Roman"/>
          <w:sz w:val="24"/>
          <w:szCs w:val="24"/>
        </w:rPr>
        <w:t xml:space="preserve">Note:   See </w:t>
      </w:r>
      <w:r w:rsidRPr="00A66200">
        <w:rPr>
          <w:rFonts w:ascii="Times New Roman" w:hAnsi="Times New Roman"/>
          <w:sz w:val="24"/>
          <w:szCs w:val="24"/>
        </w:rPr>
        <w:t>Rule 702</w:t>
      </w:r>
      <w:r>
        <w:rPr>
          <w:rFonts w:ascii="Times New Roman" w:hAnsi="Times New Roman"/>
          <w:sz w:val="24"/>
          <w:szCs w:val="24"/>
        </w:rPr>
        <w:t xml:space="preserve">. Federal Rules of Evidence: </w:t>
      </w:r>
      <w:hyperlink r:id="rId886" w:history="1">
        <w:r w:rsidRPr="008F3FAE">
          <w:rPr>
            <w:rStyle w:val="Hyperlink"/>
            <w:sz w:val="24"/>
            <w:szCs w:val="24"/>
          </w:rPr>
          <w:t>https://www.law.cornell.edu/rules/fre/rule_702</w:t>
        </w:r>
      </w:hyperlink>
    </w:p>
    <w:p w14:paraId="5BDFE98C" w14:textId="77777777" w:rsidR="000915C1" w:rsidRPr="00A66200" w:rsidRDefault="000915C1" w:rsidP="000915C1">
      <w:pPr>
        <w:spacing w:before="100" w:beforeAutospacing="1" w:after="100" w:afterAutospacing="1" w:line="240" w:lineRule="auto"/>
        <w:ind w:left="1440"/>
        <w:rPr>
          <w:rFonts w:ascii="Times New Roman" w:hAnsi="Times New Roman"/>
          <w:sz w:val="24"/>
          <w:szCs w:val="24"/>
        </w:rPr>
      </w:pPr>
      <w:r w:rsidRPr="00A66200">
        <w:rPr>
          <w:rFonts w:ascii="Times New Roman" w:hAnsi="Times New Roman"/>
          <w:sz w:val="24"/>
          <w:szCs w:val="24"/>
        </w:rPr>
        <w:t>Testimony by Expert Witnesses</w:t>
      </w:r>
    </w:p>
    <w:p w14:paraId="380F97F8" w14:textId="77777777" w:rsidR="000915C1" w:rsidRPr="00A66200" w:rsidRDefault="000915C1" w:rsidP="000915C1">
      <w:pPr>
        <w:pStyle w:val="statutory-body"/>
        <w:ind w:left="1440"/>
      </w:pPr>
      <w:r w:rsidRPr="00A66200">
        <w:t>A witness who is qualified as an expert by knowledge, skill, experience, training, or education may testify in the form of an opinion or otherwise if:</w:t>
      </w:r>
    </w:p>
    <w:p w14:paraId="4945E574" w14:textId="77777777" w:rsidR="000915C1" w:rsidRPr="00A66200" w:rsidRDefault="000915C1" w:rsidP="000915C1">
      <w:pPr>
        <w:pStyle w:val="statutory-body"/>
        <w:ind w:left="1440"/>
      </w:pPr>
      <w:r w:rsidRPr="00A66200">
        <w:rPr>
          <w:rStyle w:val="Strong"/>
        </w:rPr>
        <w:t>(a)</w:t>
      </w:r>
      <w:r w:rsidRPr="00A66200">
        <w:t xml:space="preserve"> the expert’s scientific, technical, or other specialized knowledge will help the trier of fact to understand the evidence or to determine a fact in issue;</w:t>
      </w:r>
    </w:p>
    <w:p w14:paraId="19805D3F" w14:textId="77777777" w:rsidR="000915C1" w:rsidRPr="00A66200" w:rsidRDefault="000915C1" w:rsidP="000915C1">
      <w:pPr>
        <w:pStyle w:val="statutory-body"/>
        <w:ind w:left="720" w:firstLine="720"/>
      </w:pPr>
      <w:r w:rsidRPr="00A66200">
        <w:rPr>
          <w:rStyle w:val="Strong"/>
        </w:rPr>
        <w:t>(b)</w:t>
      </w:r>
      <w:r w:rsidRPr="00A66200">
        <w:t xml:space="preserve"> the testimony is based on sufficient facts or data;</w:t>
      </w:r>
    </w:p>
    <w:p w14:paraId="6C860603" w14:textId="77777777" w:rsidR="000915C1" w:rsidRPr="00A66200" w:rsidRDefault="000915C1" w:rsidP="000915C1">
      <w:pPr>
        <w:pStyle w:val="statutory-body"/>
        <w:ind w:left="720" w:firstLine="720"/>
      </w:pPr>
      <w:r w:rsidRPr="00A66200">
        <w:rPr>
          <w:rStyle w:val="Strong"/>
        </w:rPr>
        <w:t>(c)</w:t>
      </w:r>
      <w:r w:rsidRPr="00A66200">
        <w:t xml:space="preserve"> the testimony is the product of reliable principles and methods; and</w:t>
      </w:r>
    </w:p>
    <w:p w14:paraId="6CA18FE8" w14:textId="77777777" w:rsidR="000915C1" w:rsidRPr="00A66200" w:rsidRDefault="000915C1" w:rsidP="000915C1">
      <w:pPr>
        <w:pStyle w:val="statutory-body"/>
        <w:ind w:left="1440"/>
      </w:pPr>
      <w:r w:rsidRPr="00A66200">
        <w:rPr>
          <w:rStyle w:val="Strong"/>
        </w:rPr>
        <w:t>(d)</w:t>
      </w:r>
      <w:r w:rsidRPr="00A66200">
        <w:t xml:space="preserve"> the expert has reliably applied the principles and methods to the facts of the case.</w:t>
      </w:r>
    </w:p>
    <w:p w14:paraId="0D1AAA00" w14:textId="77777777" w:rsidR="000915C1" w:rsidRPr="00A66200" w:rsidRDefault="000915C1" w:rsidP="000915C1">
      <w:pPr>
        <w:pStyle w:val="Heading4"/>
        <w:ind w:left="720" w:firstLine="720"/>
        <w:rPr>
          <w:rFonts w:ascii="Times New Roman" w:hAnsi="Times New Roman" w:cs="Times New Roman"/>
          <w:color w:val="auto"/>
          <w:sz w:val="24"/>
          <w:szCs w:val="24"/>
        </w:rPr>
      </w:pPr>
      <w:r w:rsidRPr="00A66200">
        <w:rPr>
          <w:rFonts w:ascii="Times New Roman" w:hAnsi="Times New Roman" w:cs="Times New Roman"/>
          <w:color w:val="auto"/>
          <w:sz w:val="24"/>
          <w:szCs w:val="24"/>
        </w:rPr>
        <w:t>Notes</w:t>
      </w:r>
    </w:p>
    <w:p w14:paraId="52F87912" w14:textId="77777777" w:rsidR="000915C1" w:rsidRPr="00A66200" w:rsidRDefault="000915C1" w:rsidP="000915C1">
      <w:pPr>
        <w:pStyle w:val="source-credit"/>
        <w:ind w:left="1440"/>
      </w:pPr>
      <w:r w:rsidRPr="00A66200">
        <w:t>(Pub. L. 93–595, §1, Jan. 2, 1975, 88 Stat. 1937; Apr. 17, 2000, eff. Dec. 1, 2000; Apr. 26, 2011, eff. Dec. 1, 2011.)</w:t>
      </w:r>
    </w:p>
    <w:p w14:paraId="36609E57" w14:textId="77777777" w:rsidR="000915C1" w:rsidRDefault="000915C1" w:rsidP="002B1283">
      <w:pPr>
        <w:rPr>
          <w:rStyle w:val="Hyperlink"/>
          <w:rFonts w:ascii="Arial Black" w:hAnsi="Arial Black"/>
          <w:b/>
          <w:color w:val="auto"/>
          <w:sz w:val="24"/>
          <w:szCs w:val="24"/>
          <w:u w:val="none"/>
        </w:rPr>
      </w:pPr>
    </w:p>
    <w:p w14:paraId="4DA580C0" w14:textId="10CFD56A" w:rsidR="005E132A" w:rsidRDefault="005E132A"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4-13</w:t>
      </w:r>
    </w:p>
    <w:p w14:paraId="603533A1" w14:textId="77777777" w:rsidR="005E132A" w:rsidRDefault="005E132A" w:rsidP="005E132A">
      <w:pPr>
        <w:rPr>
          <w:rFonts w:ascii="Arial Black" w:eastAsiaTheme="minorHAnsi" w:hAnsi="Arial Black" w:cstheme="minorBidi"/>
          <w:sz w:val="28"/>
          <w:szCs w:val="28"/>
        </w:rPr>
      </w:pPr>
      <w:r>
        <w:rPr>
          <w:rFonts w:ascii="Arial Black" w:hAnsi="Arial Black"/>
          <w:sz w:val="28"/>
          <w:szCs w:val="28"/>
        </w:rPr>
        <w:t xml:space="preserve">OH: STUDENT DIED, VAN SEAT FOLDED ONTO HIM – 911 DISPATCH, PD COULDN’T LOCATE – LAWSUIT PROCEED </w:t>
      </w:r>
    </w:p>
    <w:p w14:paraId="740A9BB3" w14:textId="77777777" w:rsidR="005E132A" w:rsidRDefault="005E132A" w:rsidP="005E132A">
      <w:pPr>
        <w:rPr>
          <w:rFonts w:ascii="Times New Roman" w:hAnsi="Times New Roman"/>
          <w:sz w:val="24"/>
          <w:szCs w:val="24"/>
        </w:rPr>
      </w:pPr>
      <w:r>
        <w:rPr>
          <w:rFonts w:ascii="Times New Roman" w:hAnsi="Times New Roman"/>
          <w:sz w:val="24"/>
          <w:szCs w:val="24"/>
        </w:rPr>
        <w:t xml:space="preserve">On Dec. 16, 2020, in </w:t>
      </w:r>
      <w:r>
        <w:rPr>
          <w:rFonts w:ascii="Times New Roman" w:hAnsi="Times New Roman"/>
          <w:sz w:val="24"/>
          <w:szCs w:val="24"/>
          <w:u w:val="single"/>
        </w:rPr>
        <w:t>Rob Plush, Individually and Administrator of Estate of Kyle Plush, and Jill Plush v. City of Cincinnati, Harry Black, et al</w:t>
      </w:r>
      <w:r>
        <w:rPr>
          <w:rFonts w:ascii="Times New Roman" w:hAnsi="Times New Roman"/>
          <w:sz w:val="24"/>
          <w:szCs w:val="24"/>
        </w:rPr>
        <w:t xml:space="preserve">., the Court of Appeals for First Appellate District (Hamilton County), held (3 to 0) that while the City enjoy governmental immunity, the lawsuit may proceed against former City Manager, dispatchers, and police [1 Dissent on police]. The </w:t>
      </w:r>
      <w:proofErr w:type="gramStart"/>
      <w:r>
        <w:rPr>
          <w:rFonts w:ascii="Times New Roman" w:hAnsi="Times New Roman"/>
          <w:sz w:val="24"/>
          <w:szCs w:val="24"/>
        </w:rPr>
        <w:t>City</w:t>
      </w:r>
      <w:proofErr w:type="gramEnd"/>
      <w:r>
        <w:rPr>
          <w:rFonts w:ascii="Times New Roman" w:hAnsi="Times New Roman"/>
          <w:sz w:val="24"/>
          <w:szCs w:val="24"/>
        </w:rPr>
        <w:t xml:space="preserve"> has confirmed it will defend and indemnify these personnel. </w:t>
      </w:r>
    </w:p>
    <w:p w14:paraId="4CAF9CA4" w14:textId="3A914803" w:rsidR="005E132A" w:rsidRDefault="005E132A" w:rsidP="005E132A">
      <w:pPr>
        <w:rPr>
          <w:rStyle w:val="Hyperlink"/>
        </w:rPr>
      </w:pPr>
      <w:r>
        <w:rPr>
          <w:rFonts w:ascii="Times New Roman" w:hAnsi="Times New Roman"/>
          <w:sz w:val="24"/>
          <w:szCs w:val="24"/>
        </w:rPr>
        <w:lastRenderedPageBreak/>
        <w:t xml:space="preserve">“We find that Ron and Jill Plush’ s … claims squarely attack the city of Cincinnati’s … provision of emergency medical or rescue services, which is shielded by governmental immunity. Therefore, we reverse the denial of appellants’ motion to dismiss as to the city and its employees in their official capacities. However, the complaint sufficiently alleges at least reckless conduct to preclude </w:t>
      </w:r>
      <w:proofErr w:type="gramStart"/>
      <w:r>
        <w:rPr>
          <w:rFonts w:ascii="Times New Roman" w:hAnsi="Times New Roman"/>
          <w:sz w:val="24"/>
          <w:szCs w:val="24"/>
        </w:rPr>
        <w:t>immunity as</w:t>
      </w:r>
      <w:proofErr w:type="gramEnd"/>
      <w:r>
        <w:rPr>
          <w:rFonts w:ascii="Times New Roman" w:hAnsi="Times New Roman"/>
          <w:sz w:val="24"/>
          <w:szCs w:val="24"/>
        </w:rPr>
        <w:t xml:space="preserve"> </w:t>
      </w:r>
      <w:proofErr w:type="gramStart"/>
      <w:r>
        <w:rPr>
          <w:rFonts w:ascii="Times New Roman" w:hAnsi="Times New Roman"/>
          <w:sz w:val="24"/>
          <w:szCs w:val="24"/>
        </w:rPr>
        <w:t>to</w:t>
      </w:r>
      <w:proofErr w:type="gramEnd"/>
      <w:r>
        <w:rPr>
          <w:rFonts w:ascii="Times New Roman" w:hAnsi="Times New Roman"/>
          <w:sz w:val="24"/>
          <w:szCs w:val="24"/>
        </w:rPr>
        <w:t xml:space="preserve"> the individual defendants. Therefore, appellants’ motion to dismiss was properly denied as to Harry Black, Amber Smith, Stephanie Magee, Edsel Osborn, and Brian Brazile, in their individual capacities.”</w:t>
      </w:r>
      <w:r>
        <w:t xml:space="preserve"> </w:t>
      </w:r>
      <w:hyperlink r:id="rId887" w:history="1">
        <w:r>
          <w:rPr>
            <w:rStyle w:val="Hyperlink"/>
          </w:rPr>
          <w:t>https://www.hamiltoncountyohio.gov/UserFiles/Servers/Server_3788196/File/releases/2020/C-200030_12162020.pdf</w:t>
        </w:r>
      </w:hyperlink>
    </w:p>
    <w:p w14:paraId="5B6A7AF5" w14:textId="77777777" w:rsidR="005E132A" w:rsidRDefault="005E132A" w:rsidP="005E132A">
      <w:pPr>
        <w:rPr>
          <w:rFonts w:ascii="Times New Roman" w:hAnsi="Times New Roman"/>
          <w:b/>
          <w:bCs/>
          <w:sz w:val="24"/>
          <w:szCs w:val="24"/>
        </w:rPr>
      </w:pPr>
      <w:r>
        <w:rPr>
          <w:rFonts w:ascii="Times New Roman" w:hAnsi="Times New Roman"/>
          <w:b/>
          <w:bCs/>
          <w:sz w:val="24"/>
          <w:szCs w:val="24"/>
        </w:rPr>
        <w:t>Legal Lesson Learned: Tragic event; hopefully most modern dispatch system can now locate 911 caller within a few feet.</w:t>
      </w:r>
    </w:p>
    <w:p w14:paraId="1EFBF654" w14:textId="77777777" w:rsidR="005E132A" w:rsidRPr="006B1421" w:rsidRDefault="005E132A" w:rsidP="005E132A">
      <w:pPr>
        <w:pStyle w:val="Heading1"/>
        <w:ind w:left="1440"/>
        <w:rPr>
          <w:b w:val="0"/>
          <w:bCs w:val="0"/>
          <w:sz w:val="24"/>
          <w:szCs w:val="24"/>
        </w:rPr>
      </w:pPr>
      <w:r w:rsidRPr="006B1421">
        <w:rPr>
          <w:b w:val="0"/>
          <w:bCs w:val="0"/>
          <w:sz w:val="24"/>
          <w:szCs w:val="24"/>
        </w:rPr>
        <w:t>Note:  See this article.</w:t>
      </w:r>
      <w:r>
        <w:rPr>
          <w:sz w:val="24"/>
          <w:szCs w:val="24"/>
        </w:rPr>
        <w:t xml:space="preserve">  </w:t>
      </w:r>
      <w:r>
        <w:rPr>
          <w:b w:val="0"/>
          <w:bCs w:val="0"/>
          <w:sz w:val="24"/>
          <w:szCs w:val="24"/>
        </w:rPr>
        <w:t xml:space="preserve"> “</w:t>
      </w:r>
      <w:r w:rsidRPr="006B1421">
        <w:rPr>
          <w:b w:val="0"/>
          <w:bCs w:val="0"/>
          <w:sz w:val="24"/>
          <w:szCs w:val="24"/>
        </w:rPr>
        <w:t>How Does Location Work for 911?</w:t>
      </w:r>
      <w:r>
        <w:rPr>
          <w:b w:val="0"/>
          <w:bCs w:val="0"/>
          <w:sz w:val="24"/>
          <w:szCs w:val="24"/>
        </w:rPr>
        <w:t>”</w:t>
      </w:r>
      <w:r w:rsidRPr="006B1421">
        <w:rPr>
          <w:b w:val="0"/>
          <w:bCs w:val="0"/>
          <w:sz w:val="24"/>
          <w:szCs w:val="24"/>
        </w:rPr>
        <w:t xml:space="preserve"> </w:t>
      </w:r>
      <w:hyperlink r:id="rId888" w:history="1">
        <w:r w:rsidRPr="009A2D81">
          <w:rPr>
            <w:rStyle w:val="Hyperlink"/>
            <w:b w:val="0"/>
            <w:bCs w:val="0"/>
            <w:sz w:val="24"/>
            <w:szCs w:val="24"/>
          </w:rPr>
          <w:t>https://www.nct911.org/how-location-works-for-911/</w:t>
        </w:r>
      </w:hyperlink>
      <w:r>
        <w:rPr>
          <w:b w:val="0"/>
          <w:bCs w:val="0"/>
          <w:sz w:val="24"/>
          <w:szCs w:val="24"/>
        </w:rPr>
        <w:t xml:space="preserve"> </w:t>
      </w:r>
    </w:p>
    <w:p w14:paraId="4325A884" w14:textId="1E63C5BA" w:rsidR="005E132A" w:rsidRPr="006B1421" w:rsidRDefault="005E132A" w:rsidP="005E132A">
      <w:pPr>
        <w:ind w:left="1440"/>
        <w:rPr>
          <w:rFonts w:ascii="Times New Roman" w:hAnsi="Times New Roman"/>
          <w:sz w:val="24"/>
          <w:szCs w:val="24"/>
        </w:rPr>
      </w:pPr>
      <w:r w:rsidRPr="006B1421">
        <w:rPr>
          <w:rFonts w:ascii="Times New Roman" w:hAnsi="Times New Roman"/>
          <w:b/>
          <w:bCs/>
          <w:sz w:val="24"/>
          <w:szCs w:val="24"/>
        </w:rPr>
        <w:t>“</w:t>
      </w:r>
      <w:r w:rsidRPr="006B1421">
        <w:rPr>
          <w:rFonts w:ascii="Times New Roman" w:hAnsi="Times New Roman"/>
          <w:sz w:val="24"/>
          <w:szCs w:val="24"/>
        </w:rPr>
        <w:t>On an Enhanced 9-1-1 system, calling 9-1-1 on a cell phone can yield different results. This is because the location information is provided by your cell phone carrier and each carrier is different. When you call on a cell phone, your location is determined by a combination of network triangulation and trilateration to gain an approximate location. By approximate location, we mean within 300 meters of the nearest cell phone tower. That’s about three football fields.</w:t>
      </w:r>
      <w:r>
        <w:rPr>
          <w:rFonts w:ascii="Times New Roman" w:hAnsi="Times New Roman"/>
          <w:sz w:val="24"/>
          <w:szCs w:val="24"/>
        </w:rPr>
        <w:t xml:space="preserve"> </w:t>
      </w:r>
      <w:r w:rsidRPr="006B1421">
        <w:rPr>
          <w:rFonts w:ascii="Times New Roman" w:hAnsi="Times New Roman"/>
          <w:sz w:val="24"/>
          <w:szCs w:val="24"/>
        </w:rPr>
        <w:t xml:space="preserve">If your police department or sheriff’s office is on a Next Generation 9-1-1 network, which emphasizes more modern technology, and if they use device-based hybrid location accuracy, DHL, (technology </w:t>
      </w:r>
      <w:proofErr w:type="gramStart"/>
      <w:r w:rsidRPr="006B1421">
        <w:rPr>
          <w:rFonts w:ascii="Times New Roman" w:hAnsi="Times New Roman"/>
          <w:sz w:val="24"/>
          <w:szCs w:val="24"/>
        </w:rPr>
        <w:t>similar to</w:t>
      </w:r>
      <w:proofErr w:type="gramEnd"/>
      <w:r w:rsidRPr="006B1421">
        <w:rPr>
          <w:rFonts w:ascii="Times New Roman" w:hAnsi="Times New Roman"/>
          <w:sz w:val="24"/>
          <w:szCs w:val="24"/>
        </w:rPr>
        <w:t xml:space="preserve"> that used by ride-sharing apps), they may be able to pinpoint your location within 15 meters.” </w:t>
      </w:r>
    </w:p>
    <w:p w14:paraId="16BEAC0B" w14:textId="77777777" w:rsidR="005E132A" w:rsidRPr="006B1421" w:rsidRDefault="005E132A" w:rsidP="005E132A">
      <w:pPr>
        <w:ind w:left="720"/>
        <w:rPr>
          <w:rStyle w:val="Hyperlink"/>
          <w:rFonts w:ascii="Times New Roman" w:hAnsi="Times New Roman"/>
          <w:sz w:val="24"/>
          <w:szCs w:val="24"/>
        </w:rPr>
      </w:pPr>
      <w:hyperlink r:id="rId889" w:history="1">
        <w:r w:rsidRPr="006B1421">
          <w:rPr>
            <w:rStyle w:val="Hyperlink"/>
            <w:rFonts w:ascii="Times New Roman" w:hAnsi="Times New Roman"/>
            <w:sz w:val="24"/>
            <w:szCs w:val="24"/>
          </w:rPr>
          <w:t>https://www.nct911.org/how-location-works-for-911/</w:t>
        </w:r>
      </w:hyperlink>
    </w:p>
    <w:p w14:paraId="7284602C" w14:textId="77777777" w:rsidR="005E132A" w:rsidRDefault="005E132A" w:rsidP="005E132A">
      <w:pPr>
        <w:rPr>
          <w:rStyle w:val="Hyperlink"/>
          <w:rFonts w:ascii="Arial Black" w:hAnsi="Arial Black"/>
          <w:b/>
          <w:color w:val="auto"/>
          <w:sz w:val="24"/>
          <w:szCs w:val="24"/>
          <w:u w:val="none"/>
        </w:rPr>
      </w:pPr>
    </w:p>
    <w:p w14:paraId="45589666" w14:textId="77777777" w:rsidR="005E132A" w:rsidRDefault="005E132A" w:rsidP="002B1283">
      <w:pPr>
        <w:rPr>
          <w:rStyle w:val="Hyperlink"/>
          <w:rFonts w:ascii="Arial Black" w:hAnsi="Arial Black"/>
          <w:b/>
          <w:color w:val="auto"/>
          <w:sz w:val="24"/>
          <w:szCs w:val="24"/>
          <w:u w:val="none"/>
        </w:rPr>
      </w:pPr>
    </w:p>
    <w:p w14:paraId="52AE58BE" w14:textId="08191573" w:rsidR="007D178F" w:rsidRDefault="007D178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4-12</w:t>
      </w:r>
    </w:p>
    <w:p w14:paraId="673E86C1" w14:textId="77777777" w:rsidR="007D178F" w:rsidRPr="00075D85" w:rsidRDefault="007D178F" w:rsidP="007D178F">
      <w:pPr>
        <w:pStyle w:val="NoSpacing"/>
        <w:rPr>
          <w:rFonts w:ascii="Arial Black" w:hAnsi="Arial Black"/>
          <w:sz w:val="28"/>
          <w:szCs w:val="28"/>
        </w:rPr>
      </w:pPr>
      <w:r>
        <w:rPr>
          <w:rFonts w:ascii="Arial Black" w:hAnsi="Arial Black"/>
          <w:sz w:val="28"/>
          <w:szCs w:val="28"/>
        </w:rPr>
        <w:t>NY: FDNY TRAINING APARTMENT BLDG BEING REHABED – STILL FEW RESIDENTS, DOORS FORCED OPEN – CASE DISMISSED</w:t>
      </w:r>
    </w:p>
    <w:p w14:paraId="64C49571" w14:textId="77777777" w:rsidR="007D178F" w:rsidRDefault="007D178F" w:rsidP="007D178F">
      <w:pPr>
        <w:pStyle w:val="NormalWeb"/>
      </w:pPr>
      <w:r>
        <w:t xml:space="preserve">On Nov. 25, 2020, in </w:t>
      </w:r>
      <w:r w:rsidRPr="00075D85">
        <w:rPr>
          <w:u w:val="single"/>
        </w:rPr>
        <w:t xml:space="preserve">Henry Brown, et al. v. Fire Department of City of New York, </w:t>
      </w:r>
      <w:r>
        <w:rPr>
          <w:u w:val="single"/>
        </w:rPr>
        <w:t xml:space="preserve">the City of New York, </w:t>
      </w:r>
      <w:r w:rsidRPr="00075D85">
        <w:rPr>
          <w:u w:val="single"/>
        </w:rPr>
        <w:t>et al</w:t>
      </w:r>
      <w:r>
        <w:t>., U.S. District Court Judge Lashann Dearcy Hall, U.S. District Court for Eastern District of New York, granted the City’s motion to dismiss; there was no proof that the City was on notice of any deficiencies in the FDNY’s training conducted April – June, 2016 in the 23-unit apartment building (five plaintiffs still lived in the building). The training exercises included breaking down doors and entering apartments, and led to two incidents of forcible, warrantless entry into Plaintiffs' apartments.</w:t>
      </w:r>
    </w:p>
    <w:p w14:paraId="64A60F80" w14:textId="77777777" w:rsidR="007D178F" w:rsidRDefault="007D178F" w:rsidP="007D178F">
      <w:pPr>
        <w:pStyle w:val="NormalWeb"/>
        <w:ind w:left="720"/>
      </w:pPr>
      <w:r>
        <w:t xml:space="preserve">“Here, Plaintiffs allege that City Defendants failed to train FDNY officers how to ‘properly distinguish occupied from vacant apartments in the context of emergency entry training exercises.’ (Am. </w:t>
      </w:r>
      <w:proofErr w:type="spellStart"/>
      <w:r>
        <w:t>Compl</w:t>
      </w:r>
      <w:proofErr w:type="spellEnd"/>
      <w:r>
        <w:t xml:space="preserve">. ¶¶ 53, 113.) The complaint contains two allegations of constitutional violations: the warrantless entries by FDNY Officers into Plaintiff Moyer's apartment on May 17, 2016, and Plaintiff Henry Brown's apartment on May 21, 2016.… However, there are no allegations that indicate that City Defendants were on notice that the training of FDNY officers was deficient. Plaintiff Moyer did call the police after the </w:t>
      </w:r>
      <w:r>
        <w:lastRenderedPageBreak/>
        <w:t>FDNY allegedly entered her home because she thought they had been robbed…. However, there is no plausible inference that her call to the police to report a robbery put the City Defendants on notice that the training of FDNY officers was deficient. Plaintiff Henry Brown filed a complaint at the local fire house and complained to Brooklyn Community Board #8 after the alleged unlawful entrance into his home</w:t>
      </w:r>
      <w:proofErr w:type="gramStart"/>
      <w:r>
        <w:t>…..</w:t>
      </w:r>
      <w:proofErr w:type="gramEnd"/>
      <w:r>
        <w:t xml:space="preserve"> However, any such complaints, which were made after the alleged warrantless entries into Plaintiffs' homes, could not be said to have put the City Defendants on notice of training deficiencies prior to the alleged unconstitutional conduct.” </w:t>
      </w:r>
      <w:hyperlink r:id="rId890" w:history="1">
        <w:r w:rsidRPr="00695F3D">
          <w:rPr>
            <w:rStyle w:val="Hyperlink"/>
          </w:rPr>
          <w:t>https://docs.justia.com/cases/federal/district-courts/new-york/nyedce/1:2019cv02400/432390/46</w:t>
        </w:r>
      </w:hyperlink>
      <w:r>
        <w:t xml:space="preserve"> </w:t>
      </w:r>
    </w:p>
    <w:p w14:paraId="300EC7BA" w14:textId="77777777" w:rsidR="007D178F" w:rsidRPr="005E4BB8" w:rsidRDefault="007D178F" w:rsidP="007D178F">
      <w:pPr>
        <w:pStyle w:val="NormalWeb"/>
        <w:rPr>
          <w:b/>
          <w:bCs/>
        </w:rPr>
      </w:pPr>
      <w:r w:rsidRPr="005E4BB8">
        <w:rPr>
          <w:b/>
          <w:bCs/>
        </w:rPr>
        <w:t>Legal Lesson Learned</w:t>
      </w:r>
      <w:r>
        <w:rPr>
          <w:b/>
          <w:bCs/>
        </w:rPr>
        <w:t xml:space="preserve">: No constitutional violations, but training in a partially occupied apartment building presenting some obvious “challenges” for training officers and the participating firefighters. </w:t>
      </w:r>
    </w:p>
    <w:p w14:paraId="6B12B880" w14:textId="77777777" w:rsidR="007D178F" w:rsidRDefault="007D178F" w:rsidP="002B1283">
      <w:pPr>
        <w:rPr>
          <w:rStyle w:val="Hyperlink"/>
          <w:rFonts w:ascii="Arial Black" w:hAnsi="Arial Black"/>
          <w:b/>
          <w:color w:val="auto"/>
          <w:sz w:val="24"/>
          <w:szCs w:val="24"/>
          <w:u w:val="none"/>
        </w:rPr>
      </w:pPr>
    </w:p>
    <w:p w14:paraId="63155450" w14:textId="77777777" w:rsidR="007D178F" w:rsidRDefault="007D178F" w:rsidP="002B1283">
      <w:pPr>
        <w:rPr>
          <w:rStyle w:val="Hyperlink"/>
          <w:rFonts w:ascii="Arial Black" w:hAnsi="Arial Black"/>
          <w:b/>
          <w:color w:val="auto"/>
          <w:sz w:val="24"/>
          <w:szCs w:val="24"/>
          <w:u w:val="none"/>
        </w:rPr>
      </w:pPr>
    </w:p>
    <w:p w14:paraId="6606C8A5" w14:textId="483CE476" w:rsidR="007D178F" w:rsidRDefault="007D178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4-11</w:t>
      </w:r>
    </w:p>
    <w:p w14:paraId="1D24AEDF" w14:textId="77777777" w:rsidR="007D178F" w:rsidRPr="003E0282" w:rsidRDefault="007D178F" w:rsidP="007D178F">
      <w:pPr>
        <w:pStyle w:val="NoSpacing"/>
        <w:rPr>
          <w:rFonts w:ascii="Arial Black" w:hAnsi="Arial Black"/>
          <w:sz w:val="28"/>
          <w:szCs w:val="28"/>
        </w:rPr>
      </w:pPr>
      <w:bookmarkStart w:id="176" w:name="_Hlk66942804"/>
      <w:r>
        <w:rPr>
          <w:rFonts w:ascii="Arial Black" w:hAnsi="Arial Black"/>
          <w:sz w:val="28"/>
          <w:szCs w:val="28"/>
        </w:rPr>
        <w:t>NY: PAPER MILL FIRE – DECK GUN – DISCHARGED OVER TOP OF HYDROELECTRIC FACILITY – NO LIABILITY FOR DAMAGE</w:t>
      </w:r>
    </w:p>
    <w:p w14:paraId="235564E6" w14:textId="77777777" w:rsidR="007D178F" w:rsidRDefault="007D178F" w:rsidP="007D178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Nov. 25, 2020, in </w:t>
      </w:r>
      <w:r w:rsidRPr="003E0282">
        <w:rPr>
          <w:rFonts w:ascii="Times New Roman" w:eastAsia="Times New Roman" w:hAnsi="Times New Roman"/>
          <w:sz w:val="24"/>
          <w:szCs w:val="24"/>
          <w:u w:val="single"/>
        </w:rPr>
        <w:t>Stevens &amp; Thompson Paper Company, Inc. v. Middle Falls Fire Department, Inc.</w:t>
      </w:r>
      <w:r>
        <w:rPr>
          <w:rFonts w:ascii="Times New Roman" w:eastAsia="Times New Roman" w:hAnsi="Times New Roman"/>
          <w:sz w:val="24"/>
          <w:szCs w:val="24"/>
          <w:u w:val="single"/>
        </w:rPr>
        <w:t>, et al</w:t>
      </w:r>
      <w:r>
        <w:rPr>
          <w:rFonts w:ascii="Times New Roman" w:eastAsia="Times New Roman" w:hAnsi="Times New Roman"/>
          <w:sz w:val="24"/>
          <w:szCs w:val="24"/>
        </w:rPr>
        <w:t xml:space="preserve">, the Appellate Division of the Supreme Court of the State of New York, held (5 to 0) that the trial court properly granted summary judgment to the FD and the </w:t>
      </w:r>
      <w:r w:rsidRPr="003E0282">
        <w:rPr>
          <w:rFonts w:ascii="Times New Roman" w:eastAsia="Times New Roman" w:hAnsi="Times New Roman"/>
          <w:sz w:val="24"/>
          <w:szCs w:val="24"/>
        </w:rPr>
        <w:t>Village of Greenwich, and the Town of Greenwich</w:t>
      </w:r>
      <w:r>
        <w:rPr>
          <w:rFonts w:ascii="Times New Roman" w:eastAsia="Times New Roman" w:hAnsi="Times New Roman"/>
          <w:sz w:val="24"/>
          <w:szCs w:val="24"/>
        </w:rPr>
        <w:t xml:space="preserve"> under the governmental immunity doctrine.</w:t>
      </w:r>
    </w:p>
    <w:bookmarkEnd w:id="176"/>
    <w:p w14:paraId="1E0C94C3"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r w:rsidRPr="00902E58">
        <w:rPr>
          <w:rFonts w:ascii="Times New Roman" w:hAnsi="Times New Roman"/>
          <w:sz w:val="24"/>
          <w:szCs w:val="24"/>
        </w:rPr>
        <w:t xml:space="preserve">The key issue is therefore whether the fire department defendants' purportedly negligent acts — choosing to use the deck gun and aim it in a direction that caused a rain to fall around the powerhouse — were discretionary in that they arose from </w:t>
      </w:r>
      <w:r>
        <w:rPr>
          <w:rFonts w:ascii="Times New Roman" w:hAnsi="Times New Roman"/>
          <w:sz w:val="24"/>
          <w:szCs w:val="24"/>
        </w:rPr>
        <w:t>‘</w:t>
      </w:r>
      <w:r w:rsidRPr="00902E58">
        <w:rPr>
          <w:rFonts w:ascii="Times New Roman" w:hAnsi="Times New Roman"/>
          <w:sz w:val="24"/>
          <w:szCs w:val="24"/>
        </w:rPr>
        <w:t>the exercise of reasoned judgment which could typically produce different acceptable results</w:t>
      </w:r>
      <w:r>
        <w:rPr>
          <w:rFonts w:ascii="Times New Roman" w:hAnsi="Times New Roman"/>
          <w:sz w:val="24"/>
          <w:szCs w:val="24"/>
        </w:rPr>
        <w:t>’</w:t>
      </w:r>
      <w:r w:rsidRPr="00902E58">
        <w:rPr>
          <w:rFonts w:ascii="Times New Roman" w:hAnsi="Times New Roman"/>
          <w:sz w:val="24"/>
          <w:szCs w:val="24"/>
        </w:rPr>
        <w:t xml:space="preserve"> (</w:t>
      </w:r>
      <w:r w:rsidRPr="00902E58">
        <w:rPr>
          <w:rFonts w:ascii="Times New Roman" w:hAnsi="Times New Roman"/>
          <w:i/>
          <w:iCs/>
          <w:sz w:val="24"/>
          <w:szCs w:val="24"/>
        </w:rPr>
        <w:t xml:space="preserve">Tango v </w:t>
      </w:r>
      <w:proofErr w:type="spellStart"/>
      <w:r w:rsidRPr="00902E58">
        <w:rPr>
          <w:rFonts w:ascii="Times New Roman" w:hAnsi="Times New Roman"/>
          <w:i/>
          <w:iCs/>
          <w:sz w:val="24"/>
          <w:szCs w:val="24"/>
        </w:rPr>
        <w:t>Tulevech</w:t>
      </w:r>
      <w:proofErr w:type="spellEnd"/>
      <w:r w:rsidRPr="00902E58">
        <w:rPr>
          <w:rFonts w:ascii="Times New Roman" w:hAnsi="Times New Roman"/>
          <w:sz w:val="24"/>
          <w:szCs w:val="24"/>
        </w:rPr>
        <w:t xml:space="preserve">, 61 NY2d 34, 4). </w:t>
      </w:r>
    </w:p>
    <w:p w14:paraId="63B3C212" w14:textId="77777777" w:rsidR="007D178F" w:rsidRDefault="007D178F" w:rsidP="007D178F">
      <w:pPr>
        <w:pStyle w:val="NoSpacing"/>
        <w:ind w:left="720"/>
        <w:rPr>
          <w:rFonts w:ascii="Times New Roman" w:hAnsi="Times New Roman"/>
          <w:sz w:val="24"/>
          <w:szCs w:val="24"/>
        </w:rPr>
      </w:pPr>
    </w:p>
    <w:p w14:paraId="02292674" w14:textId="77777777" w:rsidR="007D178F" w:rsidRDefault="007D178F" w:rsidP="007D178F">
      <w:pPr>
        <w:pStyle w:val="NoSpacing"/>
        <w:ind w:left="720"/>
        <w:rPr>
          <w:rFonts w:ascii="Times New Roman" w:hAnsi="Times New Roman"/>
          <w:sz w:val="24"/>
          <w:szCs w:val="24"/>
        </w:rPr>
      </w:pPr>
      <w:r w:rsidRPr="00902E58">
        <w:rPr>
          <w:rFonts w:ascii="Times New Roman" w:hAnsi="Times New Roman"/>
          <w:sz w:val="24"/>
          <w:szCs w:val="24"/>
        </w:rPr>
        <w:t xml:space="preserve">*** </w:t>
      </w:r>
    </w:p>
    <w:p w14:paraId="21999CE5" w14:textId="7FB4D18E" w:rsidR="007D178F" w:rsidRDefault="007D178F" w:rsidP="007D178F">
      <w:pPr>
        <w:rPr>
          <w:rStyle w:val="Hyperlink"/>
          <w:rFonts w:ascii="Arial Black" w:hAnsi="Arial Black"/>
          <w:b/>
          <w:color w:val="auto"/>
          <w:sz w:val="24"/>
          <w:szCs w:val="24"/>
          <w:u w:val="none"/>
        </w:rPr>
      </w:pPr>
      <w:r w:rsidRPr="00902E58">
        <w:rPr>
          <w:rFonts w:ascii="Times New Roman" w:hAnsi="Times New Roman"/>
          <w:sz w:val="24"/>
          <w:szCs w:val="24"/>
        </w:rPr>
        <w:t xml:space="preserve">Moreover, although the selected direction of the deck gun caused </w:t>
      </w:r>
      <w:proofErr w:type="gramStart"/>
      <w:r w:rsidRPr="00902E58">
        <w:rPr>
          <w:rFonts w:ascii="Times New Roman" w:hAnsi="Times New Roman"/>
          <w:sz w:val="24"/>
          <w:szCs w:val="24"/>
        </w:rPr>
        <w:t>a rain</w:t>
      </w:r>
      <w:proofErr w:type="gramEnd"/>
      <w:r w:rsidRPr="00902E58">
        <w:rPr>
          <w:rFonts w:ascii="Times New Roman" w:hAnsi="Times New Roman"/>
          <w:sz w:val="24"/>
          <w:szCs w:val="24"/>
        </w:rPr>
        <w:t xml:space="preserve"> or mist to fall upon the powerhouse when it was in use, the firefighters had no reason to anticipate that this would affect the interior of the powerhouse. A surveillance video of the area shows wet ground, but no flooding, and it appears that </w:t>
      </w:r>
      <w:proofErr w:type="gramStart"/>
      <w:r w:rsidRPr="00902E58">
        <w:rPr>
          <w:rFonts w:ascii="Times New Roman" w:hAnsi="Times New Roman"/>
          <w:sz w:val="24"/>
          <w:szCs w:val="24"/>
        </w:rPr>
        <w:t>water that</w:t>
      </w:r>
      <w:proofErr w:type="gramEnd"/>
      <w:r w:rsidRPr="00902E58">
        <w:rPr>
          <w:rFonts w:ascii="Times New Roman" w:hAnsi="Times New Roman"/>
          <w:sz w:val="24"/>
          <w:szCs w:val="24"/>
        </w:rPr>
        <w:t xml:space="preserve"> drained into an outdoor catch basin as designed then seeped into the powerhouse through a masonry joint. Further, although one could reasonably question the efficacy of the firefighters' efforts to reorient the deck gun once they learned of that problem, the efficacy of those efforts </w:t>
      </w:r>
      <w:proofErr w:type="gramStart"/>
      <w:r w:rsidRPr="00902E58">
        <w:rPr>
          <w:rFonts w:ascii="Times New Roman" w:hAnsi="Times New Roman"/>
          <w:sz w:val="24"/>
          <w:szCs w:val="24"/>
        </w:rPr>
        <w:t>are</w:t>
      </w:r>
      <w:proofErr w:type="gramEnd"/>
      <w:r w:rsidRPr="00902E58">
        <w:rPr>
          <w:rFonts w:ascii="Times New Roman" w:hAnsi="Times New Roman"/>
          <w:sz w:val="24"/>
          <w:szCs w:val="24"/>
        </w:rPr>
        <w:t xml:space="preserve"> irrelevant given that their activities caused no further seepage into the powerhouse</w:t>
      </w:r>
      <w:r>
        <w:rPr>
          <w:rFonts w:ascii="Times New Roman" w:hAnsi="Times New Roman"/>
          <w:sz w:val="24"/>
          <w:szCs w:val="24"/>
        </w:rPr>
        <w:t xml:space="preserve">.” </w:t>
      </w:r>
      <w:bookmarkStart w:id="177" w:name="_Hlk66942827"/>
      <w:r w:rsidR="00F00958">
        <w:fldChar w:fldCharType="begin"/>
      </w:r>
      <w:r w:rsidR="00F00958">
        <w:instrText xml:space="preserve"> HYPERLINK "http://decisions.courts.state.ny.us/ad3/Decisions/2020/529718.pdf" </w:instrText>
      </w:r>
      <w:r w:rsidR="00F00958">
        <w:fldChar w:fldCharType="separate"/>
      </w:r>
      <w:r w:rsidRPr="00695F3D">
        <w:rPr>
          <w:rStyle w:val="Hyperlink"/>
          <w:rFonts w:ascii="Times New Roman" w:hAnsi="Times New Roman"/>
          <w:sz w:val="24"/>
          <w:szCs w:val="24"/>
        </w:rPr>
        <w:t>http://decisions.courts.state.ny.us/ad3/Decisions/2020/529718.pdf</w:t>
      </w:r>
      <w:r w:rsidR="00F00958">
        <w:rPr>
          <w:rStyle w:val="Hyperlink"/>
          <w:rFonts w:ascii="Times New Roman" w:hAnsi="Times New Roman"/>
          <w:sz w:val="24"/>
          <w:szCs w:val="24"/>
        </w:rPr>
        <w:fldChar w:fldCharType="end"/>
      </w:r>
    </w:p>
    <w:p w14:paraId="1FD92A1D" w14:textId="77777777" w:rsidR="007D178F" w:rsidRPr="00902E58" w:rsidRDefault="007D178F" w:rsidP="007D178F">
      <w:pPr>
        <w:pStyle w:val="NoSpacing"/>
        <w:rPr>
          <w:rFonts w:ascii="Times New Roman" w:hAnsi="Times New Roman"/>
          <w:b/>
          <w:bCs/>
          <w:sz w:val="24"/>
          <w:szCs w:val="24"/>
        </w:rPr>
      </w:pPr>
      <w:r w:rsidRPr="00902E58">
        <w:rPr>
          <w:rFonts w:ascii="Times New Roman" w:hAnsi="Times New Roman"/>
          <w:b/>
          <w:bCs/>
          <w:sz w:val="24"/>
          <w:szCs w:val="24"/>
        </w:rPr>
        <w:t xml:space="preserve">Legal Lesson Learned:  Discretionary acts by fire department are protected by governmental immunity. </w:t>
      </w:r>
    </w:p>
    <w:bookmarkEnd w:id="177"/>
    <w:p w14:paraId="69314B50" w14:textId="77777777" w:rsidR="007D178F" w:rsidRDefault="007D178F" w:rsidP="007D178F">
      <w:pPr>
        <w:pStyle w:val="NoSpacing"/>
        <w:rPr>
          <w:rFonts w:ascii="Times New Roman" w:hAnsi="Times New Roman"/>
          <w:sz w:val="24"/>
          <w:szCs w:val="24"/>
        </w:rPr>
      </w:pPr>
    </w:p>
    <w:p w14:paraId="6213E884" w14:textId="77777777" w:rsidR="007D178F" w:rsidRDefault="007D178F" w:rsidP="002B1283">
      <w:pPr>
        <w:rPr>
          <w:rStyle w:val="Hyperlink"/>
          <w:rFonts w:ascii="Arial Black" w:hAnsi="Arial Black"/>
          <w:b/>
          <w:color w:val="auto"/>
          <w:sz w:val="24"/>
          <w:szCs w:val="24"/>
          <w:u w:val="none"/>
        </w:rPr>
      </w:pPr>
    </w:p>
    <w:p w14:paraId="3D84C96F" w14:textId="2D4C4586" w:rsidR="00DD03E3" w:rsidRDefault="00DD03E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4-10</w:t>
      </w:r>
    </w:p>
    <w:p w14:paraId="22CD24AA" w14:textId="77777777" w:rsidR="00DD03E3" w:rsidRPr="00E0368C" w:rsidRDefault="00DD03E3" w:rsidP="00DD03E3">
      <w:pPr>
        <w:pStyle w:val="Heading1"/>
        <w:rPr>
          <w:rFonts w:ascii="Arial Black" w:hAnsi="Arial Black"/>
          <w:b w:val="0"/>
          <w:sz w:val="28"/>
          <w:szCs w:val="28"/>
        </w:rPr>
      </w:pPr>
      <w:bookmarkStart w:id="178" w:name="_Hlk66942878"/>
      <w:r>
        <w:rPr>
          <w:rStyle w:val="font-weight-bold"/>
          <w:rFonts w:ascii="Arial Black" w:eastAsiaTheme="majorEastAsia" w:hAnsi="Arial Black"/>
          <w:sz w:val="28"/>
          <w:szCs w:val="28"/>
        </w:rPr>
        <w:t>CA: KOBE BRYANT DEATH – NEW CA STATUTE – CRIME FOR EMERGENCY RESPONDERS TAKE PHOTOS WITH PERSONAL DEVICES</w:t>
      </w:r>
    </w:p>
    <w:p w14:paraId="3304462E" w14:textId="77777777" w:rsidR="00DD03E3" w:rsidRPr="00E0368C" w:rsidRDefault="00DD03E3" w:rsidP="00DD03E3">
      <w:pPr>
        <w:pStyle w:val="NormalWeb"/>
        <w:rPr>
          <w:bCs/>
        </w:rPr>
      </w:pPr>
      <w:r w:rsidRPr="00E0368C">
        <w:rPr>
          <w:bCs/>
        </w:rPr>
        <w:lastRenderedPageBreak/>
        <w:t xml:space="preserve">Sept. 28, 2020: CA - Gov. Newsom Signs New Law Prompted </w:t>
      </w:r>
      <w:proofErr w:type="gramStart"/>
      <w:r w:rsidRPr="00E0368C">
        <w:rPr>
          <w:bCs/>
        </w:rPr>
        <w:t>By</w:t>
      </w:r>
      <w:proofErr w:type="gramEnd"/>
      <w:r w:rsidRPr="00E0368C">
        <w:rPr>
          <w:bCs/>
        </w:rPr>
        <w:t xml:space="preserve"> Photo Scandal </w:t>
      </w:r>
      <w:proofErr w:type="gramStart"/>
      <w:r w:rsidRPr="00E0368C">
        <w:rPr>
          <w:bCs/>
        </w:rPr>
        <w:t>In</w:t>
      </w:r>
      <w:proofErr w:type="gramEnd"/>
      <w:r w:rsidRPr="00E0368C">
        <w:rPr>
          <w:bCs/>
        </w:rPr>
        <w:t xml:space="preserve"> Crash That Killed Kobe Bryant, 8 Others </w:t>
      </w:r>
      <w:proofErr w:type="gramStart"/>
      <w:r w:rsidRPr="00E0368C">
        <w:rPr>
          <w:bCs/>
        </w:rPr>
        <w:t>In</w:t>
      </w:r>
      <w:proofErr w:type="gramEnd"/>
      <w:r w:rsidRPr="00E0368C">
        <w:rPr>
          <w:bCs/>
        </w:rPr>
        <w:t xml:space="preserve"> Calabasas - Gov. Gavin Newsom has approved legislation prompted by the helicopter crash that killed Kobe Bryant and eight others in Calabasas earlier this year. The bill </w:t>
      </w:r>
      <w:proofErr w:type="gramStart"/>
      <w:r w:rsidRPr="00E0368C">
        <w:rPr>
          <w:bCs/>
        </w:rPr>
        <w:t>signed</w:t>
      </w:r>
      <w:proofErr w:type="gramEnd"/>
      <w:r w:rsidRPr="00E0368C">
        <w:rPr>
          <w:bCs/>
        </w:rPr>
        <w:t xml:space="preserve"> Monday makes it a crime for first responders to take unauthorized photos of deceased people at the scene of an accident or crime.  Reports surfaced after the Jan. 26 crash that graphic photos of the victims were being shared by eight deputies.  Los Angeles County Sheriff Alex Villanueva said the department has a policy against taking and sharing crime scene photos, but it does not apply to accident scenes. Vanessa </w:t>
      </w:r>
      <w:hyperlink r:id="rId891" w:history="1">
        <w:r w:rsidRPr="00E0368C">
          <w:rPr>
            <w:rStyle w:val="Hyperlink"/>
            <w:rFonts w:eastAsiaTheme="majorEastAsia"/>
            <w:bCs/>
          </w:rPr>
          <w:t>Bryant has sued the sheriff</w:t>
        </w:r>
      </w:hyperlink>
      <w:r w:rsidRPr="00E0368C">
        <w:rPr>
          <w:bCs/>
        </w:rPr>
        <w:t xml:space="preserve"> in a lawsuit seeking damages for negligence, invasion of privacy and intentional infliction of emotional distress. </w:t>
      </w:r>
      <w:hyperlink r:id="rId892" w:history="1">
        <w:r w:rsidRPr="00E0368C">
          <w:rPr>
            <w:rStyle w:val="Hyperlink"/>
            <w:bCs/>
          </w:rPr>
          <w:t>https://ktla.com/news/local-news/gov-newsom-signs-new-law-prompted-by-photo-scandal-in-crash-that-killed-kobe-bryant-8-others-in-calabasas/</w:t>
        </w:r>
      </w:hyperlink>
      <w:r w:rsidRPr="00E0368C">
        <w:rPr>
          <w:bCs/>
        </w:rPr>
        <w:t xml:space="preserve"> </w:t>
      </w:r>
    </w:p>
    <w:p w14:paraId="460523EF" w14:textId="77777777" w:rsidR="00DD03E3" w:rsidRPr="00E0368C" w:rsidRDefault="00DD03E3" w:rsidP="00DD03E3">
      <w:pPr>
        <w:pStyle w:val="NormalWeb"/>
        <w:ind w:left="720"/>
      </w:pPr>
      <w:r w:rsidRPr="00E0368C">
        <w:t xml:space="preserve">CA Law: 647.9:  (a) A first responder, operating under color of authority, who responds to the scene of an accident or crime and captures the photographic image of a deceased person by any means, including, but not limited to, by use of a personal electronic device or a device belonging to their employing agency, for any purpose other than an official law enforcement purpose or a genuine public interest is guilty of a misdemeanor punishable by a fine not exceeding one thousand dollars ($1,000) per violation. </w:t>
      </w:r>
      <w:hyperlink r:id="rId893" w:history="1">
        <w:r w:rsidRPr="00987F62">
          <w:rPr>
            <w:rStyle w:val="Hyperlink"/>
          </w:rPr>
          <w:t>https://leginfo.legislature.ca.gov/faces/billTextClient.xhtml?bill_id=201920200AB2655</w:t>
        </w:r>
      </w:hyperlink>
      <w:r w:rsidRPr="00E0368C">
        <w:t xml:space="preserve"> </w:t>
      </w:r>
    </w:p>
    <w:p w14:paraId="4E405DC4" w14:textId="77777777" w:rsidR="00DD03E3" w:rsidRDefault="00DD03E3" w:rsidP="00DD03E3">
      <w:pPr>
        <w:spacing w:before="100" w:beforeAutospacing="1" w:after="100" w:afterAutospacing="1" w:line="240" w:lineRule="auto"/>
        <w:rPr>
          <w:rFonts w:ascii="Times New Roman" w:eastAsia="Times New Roman" w:hAnsi="Times New Roman"/>
          <w:b/>
          <w:bCs/>
          <w:sz w:val="24"/>
          <w:szCs w:val="24"/>
        </w:rPr>
      </w:pPr>
      <w:bookmarkStart w:id="179" w:name="_Hlk66942912"/>
      <w:bookmarkEnd w:id="178"/>
      <w:r>
        <w:rPr>
          <w:rFonts w:ascii="Times New Roman" w:eastAsia="Times New Roman" w:hAnsi="Times New Roman"/>
          <w:b/>
          <w:bCs/>
          <w:sz w:val="24"/>
          <w:szCs w:val="24"/>
        </w:rPr>
        <w:t xml:space="preserve">Legal Lesson Learned:  Fire &amp; EMS departments should have a policy or SOG regarding taking photos at scenes. </w:t>
      </w:r>
    </w:p>
    <w:p w14:paraId="4DDC9857" w14:textId="165A0F28" w:rsidR="00DD03E3" w:rsidRPr="00DD03E3" w:rsidRDefault="00DD03E3" w:rsidP="00DD03E3">
      <w:pPr>
        <w:ind w:left="720"/>
        <w:rPr>
          <w:rStyle w:val="Hyperlink"/>
          <w:rFonts w:ascii="Times New Roman" w:hAnsi="Times New Roman"/>
          <w:b/>
          <w:color w:val="auto"/>
          <w:sz w:val="24"/>
          <w:szCs w:val="24"/>
          <w:u w:val="none"/>
        </w:rPr>
      </w:pPr>
      <w:r w:rsidRPr="00DD03E3">
        <w:rPr>
          <w:rFonts w:ascii="Times New Roman" w:hAnsi="Times New Roman"/>
          <w:sz w:val="24"/>
          <w:szCs w:val="24"/>
        </w:rPr>
        <w:t xml:space="preserve">For example, see Yakima County, WA Fire District 12 policy: “All personnel are permitted to photograph an incident scene so long as the photograph is taken with a </w:t>
      </w:r>
      <w:proofErr w:type="gramStart"/>
      <w:r w:rsidRPr="00DD03E3">
        <w:rPr>
          <w:rFonts w:ascii="Times New Roman" w:hAnsi="Times New Roman"/>
          <w:sz w:val="24"/>
          <w:szCs w:val="24"/>
        </w:rPr>
        <w:t>Department</w:t>
      </w:r>
      <w:proofErr w:type="gramEnd"/>
      <w:r w:rsidRPr="00DD03E3">
        <w:rPr>
          <w:rFonts w:ascii="Times New Roman" w:hAnsi="Times New Roman"/>
          <w:sz w:val="24"/>
          <w:szCs w:val="24"/>
        </w:rPr>
        <w:t xml:space="preserve"> issued camera. a. Personal devices: cell phone cameras, video cameras, digital cameras and film cameras are not permitted to take on scene photos at any time by any member.” </w:t>
      </w:r>
      <w:hyperlink r:id="rId894" w:history="1">
        <w:r w:rsidRPr="00DD03E3">
          <w:rPr>
            <w:rStyle w:val="Hyperlink"/>
            <w:rFonts w:ascii="Times New Roman" w:hAnsi="Times New Roman"/>
            <w:sz w:val="24"/>
            <w:szCs w:val="24"/>
          </w:rPr>
          <w:t>http://www.westvalleyfire.com/default.asp?pageid=188&amp;deptid=1</w:t>
        </w:r>
      </w:hyperlink>
    </w:p>
    <w:bookmarkEnd w:id="179"/>
    <w:p w14:paraId="20092EC1" w14:textId="77777777" w:rsidR="00DD03E3" w:rsidRDefault="00DD03E3" w:rsidP="002B1283">
      <w:pPr>
        <w:rPr>
          <w:rStyle w:val="Hyperlink"/>
          <w:rFonts w:ascii="Arial Black" w:hAnsi="Arial Black"/>
          <w:b/>
          <w:color w:val="auto"/>
          <w:sz w:val="24"/>
          <w:szCs w:val="24"/>
          <w:u w:val="none"/>
        </w:rPr>
      </w:pPr>
    </w:p>
    <w:p w14:paraId="68A820C6" w14:textId="77777777" w:rsidR="00DD03E3" w:rsidRDefault="00DD03E3" w:rsidP="002B1283">
      <w:pPr>
        <w:rPr>
          <w:rStyle w:val="Hyperlink"/>
          <w:rFonts w:ascii="Arial Black" w:hAnsi="Arial Black"/>
          <w:b/>
          <w:color w:val="auto"/>
          <w:sz w:val="24"/>
          <w:szCs w:val="24"/>
          <w:u w:val="none"/>
        </w:rPr>
      </w:pPr>
    </w:p>
    <w:p w14:paraId="06E98AA9" w14:textId="1B536075" w:rsidR="00C630E7" w:rsidRDefault="00C630E7"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4-9</w:t>
      </w:r>
    </w:p>
    <w:p w14:paraId="1CD9C302" w14:textId="77777777" w:rsidR="00C630E7" w:rsidRDefault="00C630E7" w:rsidP="00C630E7">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MD: PG COUNTY FIRE CHIEF – BATTALION CHIEFS TO OUTRANK VOLUNTEER CO. CHIEF - AUTHORIZED</w:t>
      </w:r>
    </w:p>
    <w:p w14:paraId="691ADB65" w14:textId="77777777" w:rsidR="00C630E7" w:rsidRDefault="00C630E7" w:rsidP="00C630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4, 2020, in Prince George’s Volunteer Fire And Rescue Association, Inc. v. Prince George’s County, Maryland, the Court of Special Appeals of Maryland, held (3 to 0; unreported decision) that the County Fire Chief had the authority in 2016 to issue revised General Order 01-03 that elevated the rank of County Battalion Chiefs, over that of Chiefs of volunteer fire companies.   </w:t>
      </w:r>
    </w:p>
    <w:p w14:paraId="465FB052" w14:textId="77777777" w:rsidR="00C630E7" w:rsidRDefault="00C630E7" w:rsidP="00C630E7">
      <w:pPr>
        <w:spacing w:after="100" w:line="240" w:lineRule="auto"/>
        <w:ind w:left="720"/>
        <w:rPr>
          <w:rFonts w:ascii="Times New Roman" w:eastAsia="Times New Roman" w:hAnsi="Times New Roman"/>
          <w:sz w:val="24"/>
          <w:szCs w:val="24"/>
        </w:rPr>
      </w:pPr>
      <w:r>
        <w:rPr>
          <w:rFonts w:ascii="Times New Roman" w:hAnsi="Times New Roman"/>
          <w:sz w:val="24"/>
          <w:szCs w:val="24"/>
        </w:rPr>
        <w:t xml:space="preserve">“Ultimately, PGCVFRA failed to sufficiently allege that it suffered irreparable injury through the Fire Chief's revision of General Order 01-03 and its amendment of the chain of command. As noted in our discussion on PGCVFRA's governmental </w:t>
      </w:r>
      <w:proofErr w:type="gramStart"/>
      <w:r>
        <w:rPr>
          <w:rFonts w:ascii="Times New Roman" w:hAnsi="Times New Roman"/>
          <w:sz w:val="24"/>
          <w:szCs w:val="24"/>
        </w:rPr>
        <w:t>takings</w:t>
      </w:r>
      <w:proofErr w:type="gramEnd"/>
      <w:r>
        <w:rPr>
          <w:rFonts w:ascii="Times New Roman" w:hAnsi="Times New Roman"/>
          <w:sz w:val="24"/>
          <w:szCs w:val="24"/>
        </w:rPr>
        <w:t xml:space="preserve"> claim, PGCVFRA failed to establish any sort of injury. Its claims regarding potential injury are hypothetical, speculative, and depend on future—uncertain—conduct that PGCVFRA alleges the County may undertake. The speculative nature of these complaints is apparent, and these ‘mere allegations’ are insufficient to ground PGCVFRA's claim for permanent injunctive relief.” </w:t>
      </w:r>
      <w:hyperlink r:id="rId895"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5456B139" w14:textId="1ACD305B" w:rsidR="00C630E7" w:rsidRDefault="00C630E7" w:rsidP="002B1283">
      <w:pPr>
        <w:rPr>
          <w:rStyle w:val="Hyperlink"/>
          <w:rFonts w:ascii="Arial Black" w:hAnsi="Arial Black"/>
          <w:b/>
          <w:color w:val="auto"/>
          <w:sz w:val="24"/>
          <w:szCs w:val="24"/>
          <w:u w:val="none"/>
        </w:rPr>
      </w:pPr>
    </w:p>
    <w:p w14:paraId="35CD32C0" w14:textId="77777777" w:rsidR="00557CA2" w:rsidRDefault="00557CA2" w:rsidP="00557CA2">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County Fire Chief has authority over firefighting and chain of command. </w:t>
      </w:r>
    </w:p>
    <w:p w14:paraId="1C20C1F3" w14:textId="77777777" w:rsidR="00557CA2" w:rsidRDefault="00557CA2" w:rsidP="00557CA2">
      <w:pPr>
        <w:spacing w:after="100" w:line="240" w:lineRule="auto"/>
        <w:rPr>
          <w:rFonts w:ascii="Times New Roman" w:eastAsia="Times New Roman" w:hAnsi="Times New Roman"/>
          <w:b/>
          <w:bCs/>
          <w:sz w:val="24"/>
          <w:szCs w:val="24"/>
        </w:rPr>
      </w:pPr>
    </w:p>
    <w:p w14:paraId="2FBD44B8" w14:textId="77777777" w:rsidR="00557CA2" w:rsidRDefault="00557CA2" w:rsidP="00557CA2">
      <w:pPr>
        <w:spacing w:after="100" w:line="240" w:lineRule="auto"/>
        <w:ind w:left="720"/>
        <w:rPr>
          <w:rFonts w:ascii="Times New Roman" w:eastAsiaTheme="minorHAnsi" w:hAnsi="Times New Roman"/>
          <w:sz w:val="24"/>
          <w:szCs w:val="24"/>
        </w:rPr>
      </w:pPr>
      <w:r>
        <w:rPr>
          <w:rFonts w:ascii="Times New Roman" w:eastAsia="Times New Roman" w:hAnsi="Times New Roman"/>
          <w:sz w:val="24"/>
          <w:szCs w:val="24"/>
        </w:rPr>
        <w:t xml:space="preserve">Note:  </w:t>
      </w:r>
      <w:r>
        <w:rPr>
          <w:rFonts w:ascii="Times New Roman" w:hAnsi="Times New Roman"/>
          <w:sz w:val="24"/>
          <w:szCs w:val="24"/>
        </w:rPr>
        <w:t>Under revised General Order 01-03, the relevant portion of the chain of command reads as follows:</w:t>
      </w:r>
    </w:p>
    <w:p w14:paraId="0B021E97" w14:textId="77777777" w:rsidR="00557CA2" w:rsidRDefault="00557CA2" w:rsidP="00557CA2">
      <w:pPr>
        <w:ind w:left="1440"/>
        <w:rPr>
          <w:rFonts w:ascii="Times New Roman" w:hAnsi="Times New Roman"/>
          <w:sz w:val="24"/>
          <w:szCs w:val="24"/>
        </w:rPr>
      </w:pPr>
      <w:r>
        <w:rPr>
          <w:rFonts w:ascii="Times New Roman" w:hAnsi="Times New Roman"/>
          <w:sz w:val="24"/>
          <w:szCs w:val="24"/>
        </w:rPr>
        <w:t>1. County Fire Chief</w:t>
      </w:r>
      <w:r>
        <w:rPr>
          <w:rFonts w:ascii="Times New Roman" w:hAnsi="Times New Roman"/>
          <w:sz w:val="24"/>
          <w:szCs w:val="24"/>
        </w:rPr>
        <w:br/>
        <w:t>2. Chief Deputy</w:t>
      </w:r>
      <w:r>
        <w:rPr>
          <w:rFonts w:ascii="Times New Roman" w:hAnsi="Times New Roman"/>
          <w:sz w:val="24"/>
          <w:szCs w:val="24"/>
        </w:rPr>
        <w:br/>
        <w:t>3. Deputy Fire Chief</w:t>
      </w:r>
      <w:r>
        <w:rPr>
          <w:rFonts w:ascii="Times New Roman" w:hAnsi="Times New Roman"/>
          <w:sz w:val="24"/>
          <w:szCs w:val="24"/>
        </w:rPr>
        <w:br/>
        <w:t>4. Assistant Fire Chief, Career/Volunteer</w:t>
      </w:r>
      <w:r>
        <w:rPr>
          <w:rFonts w:ascii="Times New Roman" w:hAnsi="Times New Roman"/>
          <w:sz w:val="24"/>
          <w:szCs w:val="24"/>
        </w:rPr>
        <w:br/>
        <w:t>5. Battalion Chief, Career/Volunteer</w:t>
      </w:r>
      <w:r>
        <w:rPr>
          <w:rFonts w:ascii="Times New Roman" w:hAnsi="Times New Roman"/>
          <w:sz w:val="24"/>
          <w:szCs w:val="24"/>
        </w:rPr>
        <w:br/>
        <w:t xml:space="preserve">6. Volunteer Company Chief   </w:t>
      </w:r>
    </w:p>
    <w:p w14:paraId="6B5C2EDD" w14:textId="77777777" w:rsidR="00557CA2" w:rsidRDefault="00557CA2" w:rsidP="00557CA2">
      <w:pPr>
        <w:ind w:left="720"/>
        <w:rPr>
          <w:rFonts w:ascii="Times New Roman" w:hAnsi="Times New Roman"/>
          <w:sz w:val="24"/>
          <w:szCs w:val="24"/>
        </w:rPr>
      </w:pPr>
      <w:r>
        <w:rPr>
          <w:rFonts w:ascii="Times New Roman" w:hAnsi="Times New Roman"/>
          <w:sz w:val="24"/>
          <w:szCs w:val="24"/>
        </w:rPr>
        <w:t xml:space="preserve">[Footnote 8 of the Court’s decision.] </w:t>
      </w:r>
      <w:hyperlink r:id="rId896"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4CC4D286" w14:textId="77777777" w:rsidR="00557CA2" w:rsidRDefault="00557CA2" w:rsidP="002B1283">
      <w:pPr>
        <w:rPr>
          <w:rStyle w:val="Hyperlink"/>
          <w:rFonts w:ascii="Arial Black" w:hAnsi="Arial Black"/>
          <w:b/>
          <w:color w:val="auto"/>
          <w:sz w:val="24"/>
          <w:szCs w:val="24"/>
          <w:u w:val="none"/>
        </w:rPr>
      </w:pPr>
    </w:p>
    <w:p w14:paraId="6D130E4F" w14:textId="77777777" w:rsidR="00C630E7" w:rsidRDefault="00C630E7" w:rsidP="002B1283">
      <w:pPr>
        <w:rPr>
          <w:rStyle w:val="Hyperlink"/>
          <w:rFonts w:ascii="Arial Black" w:hAnsi="Arial Black"/>
          <w:b/>
          <w:color w:val="auto"/>
          <w:sz w:val="24"/>
          <w:szCs w:val="24"/>
          <w:u w:val="none"/>
        </w:rPr>
      </w:pPr>
    </w:p>
    <w:p w14:paraId="15C2CB92" w14:textId="487935D5" w:rsidR="005F0E6D" w:rsidRDefault="005F0E6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4-8</w:t>
      </w:r>
    </w:p>
    <w:p w14:paraId="6C63B4BC" w14:textId="77777777" w:rsidR="005F0E6D" w:rsidRPr="003567B0" w:rsidRDefault="005F0E6D" w:rsidP="005F0E6D">
      <w:pPr>
        <w:pStyle w:val="NoSpacing"/>
        <w:rPr>
          <w:rFonts w:ascii="Arial Black" w:hAnsi="Arial Black"/>
          <w:b/>
          <w:bCs/>
          <w:sz w:val="28"/>
          <w:szCs w:val="28"/>
        </w:rPr>
      </w:pPr>
      <w:r w:rsidRPr="003567B0">
        <w:rPr>
          <w:rFonts w:ascii="Arial Black" w:hAnsi="Arial Black"/>
          <w:bCs/>
          <w:sz w:val="28"/>
          <w:szCs w:val="28"/>
        </w:rPr>
        <w:t>MD:</w:t>
      </w:r>
      <w:r>
        <w:rPr>
          <w:rFonts w:ascii="Arial Black" w:hAnsi="Arial Black"/>
          <w:bCs/>
          <w:sz w:val="28"/>
          <w:szCs w:val="28"/>
        </w:rPr>
        <w:t xml:space="preserve"> FREELANCING – OFF DUTY VOL. FF - STRUCTURE FIRE – FIRED – CAN’T APPEAL TO COUNTY PERSONNEL BOARD</w:t>
      </w:r>
    </w:p>
    <w:p w14:paraId="4819869C" w14:textId="77777777" w:rsidR="005F0E6D" w:rsidRDefault="005F0E6D" w:rsidP="005F0E6D">
      <w:pPr>
        <w:pStyle w:val="NoSpacing"/>
        <w:rPr>
          <w:rFonts w:ascii="Arial Black" w:hAnsi="Arial Black"/>
          <w:b/>
          <w:bCs/>
          <w:sz w:val="28"/>
          <w:szCs w:val="28"/>
        </w:rPr>
      </w:pPr>
    </w:p>
    <w:p w14:paraId="164DE152" w14:textId="77777777" w:rsidR="005F0E6D" w:rsidRPr="000A5D76" w:rsidRDefault="005F0E6D" w:rsidP="005F0E6D">
      <w:pPr>
        <w:pStyle w:val="NoSpacing"/>
        <w:rPr>
          <w:rFonts w:ascii="Times New Roman" w:hAnsi="Times New Roman"/>
          <w:b/>
          <w:bCs/>
          <w:sz w:val="24"/>
          <w:szCs w:val="24"/>
        </w:rPr>
      </w:pPr>
      <w:r w:rsidRPr="000A5D76">
        <w:rPr>
          <w:rFonts w:ascii="Times New Roman" w:hAnsi="Times New Roman"/>
          <w:bCs/>
          <w:sz w:val="24"/>
          <w:szCs w:val="24"/>
        </w:rPr>
        <w:t xml:space="preserve">On </w:t>
      </w:r>
      <w:bookmarkStart w:id="180" w:name="_Hlk39825854"/>
      <w:r w:rsidRPr="000A5D76">
        <w:rPr>
          <w:rFonts w:ascii="Times New Roman" w:hAnsi="Times New Roman"/>
          <w:bCs/>
          <w:sz w:val="24"/>
          <w:szCs w:val="24"/>
        </w:rPr>
        <w:t xml:space="preserve">April 9, 2020, in </w:t>
      </w:r>
      <w:r w:rsidRPr="000A5D76">
        <w:rPr>
          <w:rFonts w:ascii="Times New Roman" w:hAnsi="Times New Roman"/>
          <w:bCs/>
          <w:sz w:val="24"/>
          <w:szCs w:val="24"/>
          <w:u w:val="single"/>
        </w:rPr>
        <w:t xml:space="preserve">Ricardo Hinson v. Personnel Board </w:t>
      </w:r>
      <w:proofErr w:type="gramStart"/>
      <w:r w:rsidRPr="000A5D76">
        <w:rPr>
          <w:rFonts w:ascii="Times New Roman" w:hAnsi="Times New Roman"/>
          <w:bCs/>
          <w:sz w:val="24"/>
          <w:szCs w:val="24"/>
          <w:u w:val="single"/>
        </w:rPr>
        <w:t>Of</w:t>
      </w:r>
      <w:proofErr w:type="gramEnd"/>
      <w:r w:rsidRPr="000A5D76">
        <w:rPr>
          <w:rFonts w:ascii="Times New Roman" w:hAnsi="Times New Roman"/>
          <w:bCs/>
          <w:sz w:val="24"/>
          <w:szCs w:val="24"/>
          <w:u w:val="single"/>
        </w:rPr>
        <w:t xml:space="preserve"> Prince George’s County</w:t>
      </w:r>
      <w:bookmarkEnd w:id="180"/>
      <w:r w:rsidRPr="000A5D76">
        <w:rPr>
          <w:rFonts w:ascii="Times New Roman" w:hAnsi="Times New Roman"/>
          <w:bCs/>
          <w:sz w:val="24"/>
          <w:szCs w:val="24"/>
        </w:rPr>
        <w:t xml:space="preserve">,  the Court of Special Appeals of Maryland, held (3 to 0) in an unpublished opinion that the trial court properly dismissed the volunteer firefighter’s case; volunteers serve at will of FD, </w:t>
      </w:r>
      <w:proofErr w:type="gramStart"/>
      <w:r w:rsidRPr="000A5D76">
        <w:rPr>
          <w:rFonts w:ascii="Times New Roman" w:hAnsi="Times New Roman"/>
          <w:bCs/>
          <w:sz w:val="24"/>
          <w:szCs w:val="24"/>
        </w:rPr>
        <w:t>no right to</w:t>
      </w:r>
      <w:proofErr w:type="gramEnd"/>
      <w:r w:rsidRPr="000A5D76">
        <w:rPr>
          <w:rFonts w:ascii="Times New Roman" w:hAnsi="Times New Roman"/>
          <w:bCs/>
          <w:sz w:val="24"/>
          <w:szCs w:val="24"/>
        </w:rPr>
        <w:t xml:space="preserve"> hearing before County Personnel Board.   </w:t>
      </w:r>
    </w:p>
    <w:p w14:paraId="44C9C7AD" w14:textId="77777777" w:rsidR="005F0E6D" w:rsidRPr="000A5D76" w:rsidRDefault="005F0E6D" w:rsidP="005F0E6D">
      <w:pPr>
        <w:pStyle w:val="NoSpacing"/>
        <w:rPr>
          <w:rFonts w:ascii="Times New Roman" w:hAnsi="Times New Roman"/>
          <w:b/>
          <w:bCs/>
          <w:sz w:val="24"/>
          <w:szCs w:val="24"/>
        </w:rPr>
      </w:pPr>
    </w:p>
    <w:p w14:paraId="0BFE1D3B"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“The dispositive question in this case is whether the County Code has granted volunteer firefighters the right to appeal disciplinary actions to the Personnel Board. We agree with the County and the Personnel Board that Hinson, as a volunteer firefighter, was not a </w:t>
      </w:r>
      <w:proofErr w:type="gramStart"/>
      <w:r w:rsidRPr="000A5D76">
        <w:rPr>
          <w:rFonts w:ascii="Times New Roman" w:hAnsi="Times New Roman"/>
          <w:bCs/>
          <w:sz w:val="24"/>
          <w:szCs w:val="24"/>
        </w:rPr>
        <w:t>County</w:t>
      </w:r>
      <w:proofErr w:type="gramEnd"/>
      <w:r w:rsidRPr="000A5D76">
        <w:rPr>
          <w:rFonts w:ascii="Times New Roman" w:hAnsi="Times New Roman"/>
          <w:bCs/>
          <w:sz w:val="24"/>
          <w:szCs w:val="24"/>
        </w:rPr>
        <w:t xml:space="preserve"> employee who had the right to appeal a personnel decision to the Personnel Board. Consequently, the Personnel Board did not commit legal error in dismissing Hinson’s appeal.”</w:t>
      </w:r>
    </w:p>
    <w:bookmarkStart w:id="181" w:name="_Hlk39825871"/>
    <w:p w14:paraId="2EB40AB2" w14:textId="77777777" w:rsidR="005F0E6D" w:rsidRPr="000A5D76" w:rsidRDefault="00F2621E" w:rsidP="005F0E6D">
      <w:pPr>
        <w:pStyle w:val="NoSpacing"/>
        <w:ind w:left="720"/>
        <w:rPr>
          <w:rFonts w:ascii="Times New Roman" w:hAnsi="Times New Roman"/>
          <w:b/>
          <w:bCs/>
          <w:sz w:val="24"/>
          <w:szCs w:val="24"/>
        </w:rPr>
      </w:pPr>
      <w:r>
        <w:fldChar w:fldCharType="begin"/>
      </w:r>
      <w:r>
        <w:instrText xml:space="preserve"> HYPERLINK "https://www.courts.state.md.us/sites/default/files/unreported-opinions/1702s17.pdf" </w:instrText>
      </w:r>
      <w:r>
        <w:fldChar w:fldCharType="separate"/>
      </w:r>
      <w:r w:rsidR="005F0E6D" w:rsidRPr="000A5D76">
        <w:rPr>
          <w:rStyle w:val="Hyperlink"/>
          <w:rFonts w:ascii="Times New Roman" w:hAnsi="Times New Roman"/>
          <w:b/>
          <w:sz w:val="24"/>
          <w:szCs w:val="24"/>
        </w:rPr>
        <w:t>https://www.courts.state.md.us/sites/default/files/unreported-opinions/1702s17.pdf</w:t>
      </w:r>
      <w:r>
        <w:rPr>
          <w:rStyle w:val="Hyperlink"/>
          <w:rFonts w:ascii="Times New Roman" w:hAnsi="Times New Roman"/>
          <w:b/>
          <w:sz w:val="24"/>
          <w:szCs w:val="24"/>
        </w:rPr>
        <w:fldChar w:fldCharType="end"/>
      </w:r>
      <w:r w:rsidR="005F0E6D" w:rsidRPr="000A5D76">
        <w:rPr>
          <w:rFonts w:ascii="Times New Roman" w:hAnsi="Times New Roman"/>
          <w:bCs/>
          <w:sz w:val="24"/>
          <w:szCs w:val="24"/>
        </w:rPr>
        <w:t xml:space="preserve"> </w:t>
      </w:r>
    </w:p>
    <w:bookmarkEnd w:id="181"/>
    <w:p w14:paraId="2C7678E7" w14:textId="77777777" w:rsidR="005F0E6D" w:rsidRDefault="005F0E6D" w:rsidP="005F0E6D">
      <w:pPr>
        <w:pStyle w:val="NoSpacing"/>
        <w:rPr>
          <w:rFonts w:ascii="Times New Roman" w:hAnsi="Times New Roman"/>
          <w:b/>
          <w:bCs/>
          <w:sz w:val="24"/>
          <w:szCs w:val="24"/>
        </w:rPr>
      </w:pPr>
    </w:p>
    <w:p w14:paraId="40ED5A38" w14:textId="75D2A0F9" w:rsidR="005F0E6D" w:rsidRPr="000A5D76" w:rsidRDefault="005F0E6D" w:rsidP="005F0E6D">
      <w:pPr>
        <w:pStyle w:val="NoSpacing"/>
        <w:rPr>
          <w:rFonts w:ascii="Times New Roman" w:hAnsi="Times New Roman"/>
          <w:b/>
          <w:bCs/>
          <w:sz w:val="24"/>
          <w:szCs w:val="24"/>
        </w:rPr>
      </w:pPr>
      <w:bookmarkStart w:id="182" w:name="_Hlk40509659"/>
      <w:r w:rsidRPr="000A5D76">
        <w:rPr>
          <w:rFonts w:ascii="Times New Roman" w:hAnsi="Times New Roman"/>
          <w:b/>
          <w:bCs/>
          <w:sz w:val="24"/>
          <w:szCs w:val="24"/>
        </w:rPr>
        <w:t xml:space="preserve">Legal Lessons Learned: Volunteer firefighters serve “at will” in most states, with no right to appeal to a </w:t>
      </w:r>
      <w:proofErr w:type="gramStart"/>
      <w:r w:rsidRPr="000A5D76">
        <w:rPr>
          <w:rFonts w:ascii="Times New Roman" w:hAnsi="Times New Roman"/>
          <w:b/>
          <w:bCs/>
          <w:sz w:val="24"/>
          <w:szCs w:val="24"/>
        </w:rPr>
        <w:t>County</w:t>
      </w:r>
      <w:proofErr w:type="gramEnd"/>
      <w:r w:rsidRPr="000A5D76">
        <w:rPr>
          <w:rFonts w:ascii="Times New Roman" w:hAnsi="Times New Roman"/>
          <w:b/>
          <w:bCs/>
          <w:sz w:val="24"/>
          <w:szCs w:val="24"/>
        </w:rPr>
        <w:t xml:space="preserve"> review board.   “Freelancing” can have deadly results.</w:t>
      </w:r>
    </w:p>
    <w:bookmarkEnd w:id="182"/>
    <w:p w14:paraId="6CAAF700" w14:textId="77777777" w:rsidR="005F0E6D" w:rsidRDefault="005F0E6D" w:rsidP="005F0E6D">
      <w:pPr>
        <w:pStyle w:val="NoSpacing"/>
        <w:rPr>
          <w:b/>
          <w:bCs/>
          <w:sz w:val="24"/>
          <w:szCs w:val="24"/>
        </w:rPr>
      </w:pPr>
    </w:p>
    <w:p w14:paraId="4FB3D489" w14:textId="77777777" w:rsidR="005F0E6D" w:rsidRDefault="005F0E6D" w:rsidP="002B1283">
      <w:pPr>
        <w:rPr>
          <w:rStyle w:val="Hyperlink"/>
          <w:rFonts w:ascii="Arial Black" w:hAnsi="Arial Black"/>
          <w:b/>
          <w:color w:val="auto"/>
          <w:sz w:val="24"/>
          <w:szCs w:val="24"/>
          <w:u w:val="none"/>
        </w:rPr>
      </w:pPr>
    </w:p>
    <w:p w14:paraId="764A4029" w14:textId="77777777" w:rsidR="005F0E6D" w:rsidRDefault="005F0E6D" w:rsidP="002B1283">
      <w:pPr>
        <w:rPr>
          <w:rStyle w:val="Hyperlink"/>
          <w:rFonts w:ascii="Arial Black" w:hAnsi="Arial Black"/>
          <w:b/>
          <w:color w:val="auto"/>
          <w:sz w:val="24"/>
          <w:szCs w:val="24"/>
          <w:u w:val="none"/>
        </w:rPr>
      </w:pPr>
    </w:p>
    <w:p w14:paraId="3A378005" w14:textId="77777777" w:rsidR="005F0E6D" w:rsidRDefault="005F0E6D" w:rsidP="002B1283">
      <w:pPr>
        <w:rPr>
          <w:rStyle w:val="Hyperlink"/>
          <w:rFonts w:ascii="Arial Black" w:hAnsi="Arial Black"/>
          <w:b/>
          <w:color w:val="auto"/>
          <w:sz w:val="24"/>
          <w:szCs w:val="24"/>
          <w:u w:val="none"/>
        </w:rPr>
      </w:pPr>
    </w:p>
    <w:p w14:paraId="00F2972F" w14:textId="198C6626" w:rsidR="005F0E6D" w:rsidRDefault="005F0E6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4-7</w:t>
      </w:r>
    </w:p>
    <w:p w14:paraId="5655538D" w14:textId="77777777" w:rsidR="005F0E6D" w:rsidRPr="00A83387" w:rsidRDefault="005F0E6D" w:rsidP="005F0E6D">
      <w:pPr>
        <w:pStyle w:val="NoSpacing"/>
        <w:rPr>
          <w:rFonts w:ascii="Arial Black" w:hAnsi="Arial Black"/>
          <w:sz w:val="28"/>
          <w:szCs w:val="28"/>
        </w:rPr>
      </w:pPr>
      <w:r w:rsidRPr="00A83387">
        <w:rPr>
          <w:rFonts w:ascii="Arial Black" w:hAnsi="Arial Black"/>
          <w:sz w:val="28"/>
          <w:szCs w:val="28"/>
        </w:rPr>
        <w:lastRenderedPageBreak/>
        <w:t xml:space="preserve">NY: </w:t>
      </w:r>
      <w:r>
        <w:rPr>
          <w:rFonts w:ascii="Arial Black" w:hAnsi="Arial Black"/>
          <w:sz w:val="28"/>
          <w:szCs w:val="28"/>
        </w:rPr>
        <w:t>MASSIVE GAS LEAK – FDNY NOT EVACUATE HOUSES - BASEMENT LIGHT SWITCH, EXPLOSION – GOV. IMMUNITY</w:t>
      </w:r>
    </w:p>
    <w:p w14:paraId="22732C1B" w14:textId="77777777" w:rsidR="005F0E6D" w:rsidRDefault="005F0E6D" w:rsidP="005F0E6D">
      <w:pPr>
        <w:pStyle w:val="NoSpacing"/>
        <w:rPr>
          <w:b/>
          <w:bCs/>
          <w:sz w:val="24"/>
          <w:szCs w:val="24"/>
        </w:rPr>
      </w:pPr>
    </w:p>
    <w:p w14:paraId="552B88C9" w14:textId="187F6F44" w:rsidR="005F0E6D" w:rsidRDefault="005F0E6D" w:rsidP="005F0E6D">
      <w:pPr>
        <w:pStyle w:val="NoSpacing"/>
        <w:rPr>
          <w:rFonts w:ascii="Times New Roman" w:hAnsi="Times New Roman"/>
          <w:bCs/>
          <w:sz w:val="24"/>
          <w:szCs w:val="24"/>
        </w:rPr>
      </w:pPr>
      <w:r w:rsidRPr="000A5D76">
        <w:rPr>
          <w:rFonts w:ascii="Times New Roman" w:hAnsi="Times New Roman"/>
          <w:bCs/>
          <w:sz w:val="24"/>
          <w:szCs w:val="24"/>
        </w:rPr>
        <w:t xml:space="preserve">On Feb. 11, 2020, in </w:t>
      </w:r>
      <w:r w:rsidRPr="000A5D76">
        <w:rPr>
          <w:rFonts w:ascii="Times New Roman" w:hAnsi="Times New Roman"/>
          <w:bCs/>
          <w:sz w:val="24"/>
          <w:szCs w:val="24"/>
          <w:u w:val="single"/>
        </w:rPr>
        <w:t>State Farm Fire &amp; Casualty Insurance Company, a/s/o Charles Caccse v.  The Brooklyn Union Gas Company, d/b/a National Grid New York</w:t>
      </w:r>
      <w:r w:rsidRPr="000A5D76">
        <w:rPr>
          <w:rFonts w:ascii="Times New Roman" w:hAnsi="Times New Roman"/>
          <w:bCs/>
          <w:sz w:val="24"/>
          <w:szCs w:val="24"/>
        </w:rPr>
        <w:t xml:space="preserve">, and second lawsuit of </w:t>
      </w:r>
      <w:r w:rsidRPr="000A5D76">
        <w:rPr>
          <w:rFonts w:ascii="Times New Roman" w:hAnsi="Times New Roman"/>
          <w:bCs/>
          <w:sz w:val="24"/>
          <w:szCs w:val="24"/>
          <w:u w:val="single"/>
        </w:rPr>
        <w:t>State Farm v. The City of New York and FDNY</w:t>
      </w:r>
      <w:r w:rsidRPr="000A5D76">
        <w:rPr>
          <w:rFonts w:ascii="Times New Roman" w:hAnsi="Times New Roman"/>
          <w:bCs/>
          <w:sz w:val="24"/>
          <w:szCs w:val="24"/>
        </w:rPr>
        <w:t xml:space="preserve">, </w:t>
      </w:r>
      <w:r w:rsidRPr="000A5D76">
        <w:rPr>
          <w:rFonts w:ascii="Times New Roman" w:eastAsia="Times New Roman" w:hAnsi="Times New Roman"/>
          <w:bCs/>
          <w:sz w:val="24"/>
          <w:szCs w:val="24"/>
        </w:rPr>
        <w:t xml:space="preserve">2020 NY Slip Op 30876(U), </w:t>
      </w:r>
      <w:r w:rsidRPr="000A5D76">
        <w:rPr>
          <w:rFonts w:ascii="Times New Roman" w:hAnsi="Times New Roman"/>
          <w:bCs/>
          <w:sz w:val="24"/>
          <w:szCs w:val="24"/>
        </w:rPr>
        <w:t xml:space="preserve">Judge Tomas P. Aliotta, Supreme Court of New York (County of Richmond), </w:t>
      </w:r>
    </w:p>
    <w:p w14:paraId="022B6116" w14:textId="77777777" w:rsidR="005F0E6D" w:rsidRPr="000A5D76" w:rsidRDefault="005F0E6D" w:rsidP="005F0E6D">
      <w:pPr>
        <w:pStyle w:val="NoSpacing"/>
        <w:rPr>
          <w:rFonts w:ascii="Times New Roman" w:hAnsi="Times New Roman"/>
          <w:b/>
          <w:bCs/>
          <w:sz w:val="24"/>
          <w:szCs w:val="24"/>
        </w:rPr>
      </w:pPr>
      <w:r w:rsidRPr="000A5D76">
        <w:rPr>
          <w:rFonts w:ascii="Times New Roman" w:hAnsi="Times New Roman"/>
          <w:bCs/>
          <w:sz w:val="24"/>
          <w:szCs w:val="24"/>
        </w:rPr>
        <w:t xml:space="preserve">granted the City &amp; FD’s motion to dismiss, since FDNY was performing governmental function involving discretionary judgments, and owed no “special duty” to the injured homeowner.  The lawsuit against the gas company for defective gas mains may proceed. </w:t>
      </w:r>
    </w:p>
    <w:p w14:paraId="55384934" w14:textId="77777777" w:rsidR="005F0E6D" w:rsidRPr="000A5D76" w:rsidRDefault="005F0E6D" w:rsidP="005F0E6D">
      <w:pPr>
        <w:pStyle w:val="NoSpacing"/>
        <w:rPr>
          <w:rFonts w:ascii="Times New Roman" w:hAnsi="Times New Roman"/>
          <w:b/>
          <w:bCs/>
          <w:sz w:val="24"/>
          <w:szCs w:val="24"/>
        </w:rPr>
      </w:pPr>
    </w:p>
    <w:p w14:paraId="6B5D4348"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“[I]n the opinion of this Court, the City and the FDNY have met their prima facie burden of establishing their right to judgment as a matter of law by submitting satisfactory proof regarding their claim of governmental function immunity and that no special duty existed between them and the plaintiffs. In opposition, plaintiffs have failed to rebut that showing and raise a triable issue of fact (see Zuckerman v. City of New York, 49 NY2d 557 [1980]).  ‘When a negligence claim is asserted against a municipality, the first issue for a court to decide is whether the municipal entity was engaged in a proprietary function or acted in a governmental capacity at the time the claim arose’ (Applewhite v. </w:t>
      </w:r>
      <w:proofErr w:type="spellStart"/>
      <w:r w:rsidRPr="000A5D76">
        <w:rPr>
          <w:rFonts w:ascii="Times New Roman" w:hAnsi="Times New Roman"/>
          <w:bCs/>
          <w:sz w:val="24"/>
          <w:szCs w:val="24"/>
        </w:rPr>
        <w:t>Accuhealth</w:t>
      </w:r>
      <w:proofErr w:type="spellEnd"/>
      <w:r w:rsidRPr="000A5D76">
        <w:rPr>
          <w:rFonts w:ascii="Times New Roman" w:hAnsi="Times New Roman"/>
          <w:bCs/>
          <w:sz w:val="24"/>
          <w:szCs w:val="24"/>
        </w:rPr>
        <w:t xml:space="preserve">, Inc., 21 NY3d 420, 425 [2013]). If a municipality was acting in a governmental capacity, then the plaintiff must prove the existence of a special duty (see Applewhite, 21 AD3d at 426). Since police and fire protection are examples of long-recognized, quintessential governmental functions’ (Matter of World Trade Ctr Bombing Litig., 17 NY3d 428 [2011]), plaintiff must plead and prove the existence of a special duty beyond the obligation owed to the public at large (see Valdez v. City of New York, 18 NY3d 69 [2011]). </w:t>
      </w:r>
      <w:hyperlink r:id="rId897" w:history="1">
        <w:r w:rsidRPr="000A5D76">
          <w:rPr>
            <w:rStyle w:val="Hyperlink"/>
            <w:rFonts w:ascii="Times New Roman" w:hAnsi="Times New Roman"/>
            <w:b/>
            <w:sz w:val="24"/>
            <w:szCs w:val="24"/>
          </w:rPr>
          <w:t>https://public.fastcase.com/Wl%2B2t%2BeVuI35%2FN70vAMFZn8FExk2ons8UFiGzSPZ6Ig%2B2pF54RtCKp9IHiewQM23</w:t>
        </w:r>
      </w:hyperlink>
      <w:r w:rsidRPr="000A5D76">
        <w:rPr>
          <w:rFonts w:ascii="Times New Roman" w:hAnsi="Times New Roman"/>
          <w:bCs/>
          <w:sz w:val="24"/>
          <w:szCs w:val="24"/>
        </w:rPr>
        <w:t xml:space="preserve"> </w:t>
      </w:r>
    </w:p>
    <w:p w14:paraId="05606019" w14:textId="77777777" w:rsidR="005F0E6D" w:rsidRPr="000A5D76" w:rsidRDefault="005F0E6D" w:rsidP="005F0E6D">
      <w:pPr>
        <w:spacing w:before="100" w:beforeAutospacing="1" w:after="100" w:afterAutospacing="1" w:line="240" w:lineRule="auto"/>
        <w:rPr>
          <w:rFonts w:ascii="Times New Roman" w:eastAsia="Times New Roman" w:hAnsi="Times New Roman"/>
          <w:b/>
          <w:bCs/>
          <w:sz w:val="24"/>
          <w:szCs w:val="24"/>
        </w:rPr>
      </w:pPr>
      <w:r w:rsidRPr="000A5D76">
        <w:rPr>
          <w:rFonts w:ascii="Times New Roman" w:hAnsi="Times New Roman"/>
          <w:b/>
          <w:bCs/>
          <w:sz w:val="24"/>
          <w:szCs w:val="24"/>
        </w:rPr>
        <w:t>Legal Lessons Learned:</w:t>
      </w:r>
      <w:r w:rsidRPr="000A5D76">
        <w:rPr>
          <w:rFonts w:ascii="Times New Roman" w:eastAsia="Times New Roman" w:hAnsi="Times New Roman"/>
          <w:b/>
          <w:bCs/>
          <w:sz w:val="24"/>
          <w:szCs w:val="24"/>
        </w:rPr>
        <w:t xml:space="preserve"> Governmental immunity for discretionary decisions at an emergency scene is a very important legal doctrine. </w:t>
      </w:r>
    </w:p>
    <w:p w14:paraId="03D7B5A6" w14:textId="77777777" w:rsidR="005F0E6D" w:rsidRDefault="005F0E6D" w:rsidP="002B1283">
      <w:pPr>
        <w:rPr>
          <w:rStyle w:val="Hyperlink"/>
          <w:rFonts w:ascii="Arial Black" w:hAnsi="Arial Black"/>
          <w:b/>
          <w:color w:val="auto"/>
          <w:sz w:val="24"/>
          <w:szCs w:val="24"/>
          <w:u w:val="none"/>
        </w:rPr>
      </w:pPr>
    </w:p>
    <w:p w14:paraId="601F4BC6" w14:textId="77777777" w:rsidR="005F0E6D" w:rsidRDefault="005F0E6D" w:rsidP="002B1283">
      <w:pPr>
        <w:rPr>
          <w:rStyle w:val="Hyperlink"/>
          <w:rFonts w:ascii="Arial Black" w:hAnsi="Arial Black"/>
          <w:b/>
          <w:color w:val="auto"/>
          <w:sz w:val="24"/>
          <w:szCs w:val="24"/>
          <w:u w:val="none"/>
        </w:rPr>
      </w:pPr>
    </w:p>
    <w:p w14:paraId="3E912560" w14:textId="759E974D" w:rsidR="007C6FEF" w:rsidRDefault="007C6FE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4-6</w:t>
      </w:r>
    </w:p>
    <w:p w14:paraId="2E311A82" w14:textId="77777777" w:rsidR="007C6FEF" w:rsidRDefault="007C6FEF" w:rsidP="007C6FEF">
      <w:pPr>
        <w:rPr>
          <w:rFonts w:ascii="Arial Black" w:hAnsi="Arial Black"/>
          <w:sz w:val="28"/>
          <w:szCs w:val="28"/>
        </w:rPr>
      </w:pPr>
      <w:r>
        <w:rPr>
          <w:rFonts w:ascii="Arial Black" w:hAnsi="Arial Black"/>
          <w:sz w:val="28"/>
          <w:szCs w:val="28"/>
        </w:rPr>
        <w:t>TN: GREAT SMOKEY MOUNTAIN FIRE – GATLINBURG NOT WARNED - KILLED 14 – LAWSUIT MAY PROCEED</w:t>
      </w:r>
    </w:p>
    <w:p w14:paraId="2CD2C2A5" w14:textId="77777777" w:rsidR="007C6FEF" w:rsidRDefault="007C6FEF" w:rsidP="007C6FEF">
      <w:pPr>
        <w:pStyle w:val="NoSpacing"/>
        <w:rPr>
          <w:rFonts w:ascii="Times New Roman" w:hAnsi="Times New Roman"/>
          <w:sz w:val="24"/>
          <w:szCs w:val="24"/>
        </w:rPr>
      </w:pPr>
      <w:r>
        <w:rPr>
          <w:rFonts w:ascii="Times New Roman" w:hAnsi="Times New Roman"/>
          <w:sz w:val="24"/>
          <w:szCs w:val="24"/>
        </w:rPr>
        <w:t xml:space="preserve">On </w:t>
      </w:r>
      <w:bookmarkStart w:id="183" w:name="_Hlk39824082"/>
      <w:r>
        <w:rPr>
          <w:rFonts w:ascii="Times New Roman" w:hAnsi="Times New Roman"/>
          <w:sz w:val="24"/>
          <w:szCs w:val="24"/>
        </w:rPr>
        <w:t xml:space="preserve">Dec. 9, 2019, in </w:t>
      </w:r>
      <w:r w:rsidRPr="00FA33D8">
        <w:rPr>
          <w:rFonts w:ascii="Times New Roman" w:hAnsi="Times New Roman"/>
          <w:sz w:val="24"/>
          <w:szCs w:val="24"/>
          <w:u w:val="single"/>
        </w:rPr>
        <w:t>Michael Reed v. United States</w:t>
      </w:r>
      <w:r>
        <w:rPr>
          <w:rFonts w:ascii="Times New Roman" w:hAnsi="Times New Roman"/>
          <w:sz w:val="24"/>
          <w:szCs w:val="24"/>
        </w:rPr>
        <w:t xml:space="preserve">, </w:t>
      </w:r>
      <w:bookmarkEnd w:id="183"/>
      <w:r>
        <w:rPr>
          <w:rFonts w:ascii="Times New Roman" w:hAnsi="Times New Roman"/>
          <w:sz w:val="24"/>
          <w:szCs w:val="24"/>
        </w:rPr>
        <w:t xml:space="preserve">Senior U.S. District Court Judge Thomas W. Phillips, Eastern District of Tennessee (Knoxville Division), denied the U.S. Government’s motion to dismiss, since Federal Tort Claims Act allows lawsuit since the National Park Services’ “Fire Management Plan has mandatory mitigation actions to protect life and property (duty to warn).  </w:t>
      </w:r>
    </w:p>
    <w:p w14:paraId="2C82107B" w14:textId="77777777" w:rsidR="007C6FEF" w:rsidRDefault="007C6FEF" w:rsidP="007C6FEF">
      <w:pPr>
        <w:pStyle w:val="NoSpacing"/>
        <w:rPr>
          <w:rFonts w:ascii="Times New Roman" w:hAnsi="Times New Roman"/>
          <w:sz w:val="24"/>
          <w:szCs w:val="24"/>
        </w:rPr>
      </w:pPr>
    </w:p>
    <w:p w14:paraId="14BEFEAD" w14:textId="77777777" w:rsidR="007C6FEF" w:rsidRDefault="007C6FEF" w:rsidP="007C6FEF">
      <w:pPr>
        <w:pStyle w:val="NoSpacing"/>
        <w:ind w:left="720"/>
        <w:rPr>
          <w:rFonts w:ascii="Times New Roman" w:hAnsi="Times New Roman"/>
          <w:sz w:val="24"/>
          <w:szCs w:val="24"/>
        </w:rPr>
      </w:pPr>
      <w:r>
        <w:rPr>
          <w:rFonts w:ascii="Times New Roman" w:hAnsi="Times New Roman"/>
          <w:sz w:val="24"/>
          <w:szCs w:val="24"/>
        </w:rPr>
        <w:t>“</w:t>
      </w:r>
      <w:r w:rsidRPr="00FA33D8">
        <w:rPr>
          <w:rFonts w:ascii="Times New Roman" w:hAnsi="Times New Roman"/>
          <w:sz w:val="24"/>
          <w:szCs w:val="24"/>
        </w:rPr>
        <w:t xml:space="preserve">Section 3.3.2(C) of the FMP </w:t>
      </w:r>
      <w:r>
        <w:rPr>
          <w:rFonts w:ascii="Times New Roman" w:hAnsi="Times New Roman"/>
          <w:sz w:val="24"/>
          <w:szCs w:val="24"/>
        </w:rPr>
        <w:t xml:space="preserve">[Fire Management Plan] </w:t>
      </w:r>
      <w:r w:rsidRPr="00FA33D8">
        <w:rPr>
          <w:rFonts w:ascii="Times New Roman" w:hAnsi="Times New Roman"/>
          <w:sz w:val="24"/>
          <w:szCs w:val="24"/>
        </w:rPr>
        <w:t xml:space="preserve">states that </w:t>
      </w:r>
      <w:r>
        <w:rPr>
          <w:rFonts w:ascii="Times New Roman" w:hAnsi="Times New Roman"/>
          <w:sz w:val="24"/>
          <w:szCs w:val="24"/>
        </w:rPr>
        <w:t>‘</w:t>
      </w:r>
      <w:r w:rsidRPr="00FA33D8">
        <w:rPr>
          <w:rFonts w:ascii="Times New Roman" w:hAnsi="Times New Roman"/>
          <w:sz w:val="24"/>
          <w:szCs w:val="24"/>
        </w:rPr>
        <w:t>[f]</w:t>
      </w:r>
      <w:proofErr w:type="spellStart"/>
      <w:r w:rsidRPr="00FA33D8">
        <w:rPr>
          <w:rFonts w:ascii="Times New Roman" w:hAnsi="Times New Roman"/>
          <w:sz w:val="24"/>
          <w:szCs w:val="24"/>
        </w:rPr>
        <w:t>irefighter</w:t>
      </w:r>
      <w:proofErr w:type="spellEnd"/>
      <w:r w:rsidRPr="00FA33D8">
        <w:rPr>
          <w:rFonts w:ascii="Times New Roman" w:hAnsi="Times New Roman"/>
          <w:sz w:val="24"/>
          <w:szCs w:val="24"/>
        </w:rPr>
        <w:t xml:space="preserve"> and public safety is the first priority in all fire management activities[,]</w:t>
      </w:r>
      <w:r>
        <w:rPr>
          <w:rFonts w:ascii="Times New Roman" w:hAnsi="Times New Roman"/>
          <w:sz w:val="24"/>
          <w:szCs w:val="24"/>
        </w:rPr>
        <w:t>’</w:t>
      </w:r>
      <w:r w:rsidRPr="00FA33D8">
        <w:rPr>
          <w:rFonts w:ascii="Times New Roman" w:hAnsi="Times New Roman"/>
          <w:sz w:val="24"/>
          <w:szCs w:val="24"/>
        </w:rPr>
        <w:t xml:space="preserve"> and specifies that </w:t>
      </w:r>
      <w:r>
        <w:rPr>
          <w:rFonts w:ascii="Times New Roman" w:hAnsi="Times New Roman"/>
          <w:sz w:val="24"/>
          <w:szCs w:val="24"/>
        </w:rPr>
        <w:t>‘</w:t>
      </w:r>
      <w:r w:rsidRPr="00FA33D8">
        <w:rPr>
          <w:rFonts w:ascii="Times New Roman" w:hAnsi="Times New Roman"/>
          <w:sz w:val="24"/>
          <w:szCs w:val="24"/>
        </w:rPr>
        <w:t xml:space="preserve">Park neighbors, Park visitors and local residents </w:t>
      </w:r>
      <w:r w:rsidRPr="00FA33D8">
        <w:rPr>
          <w:rFonts w:ascii="Times New Roman" w:hAnsi="Times New Roman"/>
          <w:i/>
          <w:iCs/>
          <w:sz w:val="24"/>
          <w:szCs w:val="24"/>
        </w:rPr>
        <w:t>will be</w:t>
      </w:r>
      <w:r w:rsidRPr="00FA33D8">
        <w:rPr>
          <w:rFonts w:ascii="Times New Roman" w:hAnsi="Times New Roman"/>
          <w:sz w:val="24"/>
          <w:szCs w:val="24"/>
        </w:rPr>
        <w:t xml:space="preserve"> notified of </w:t>
      </w:r>
      <w:r w:rsidRPr="00FA33D8">
        <w:rPr>
          <w:rFonts w:ascii="Times New Roman" w:hAnsi="Times New Roman"/>
          <w:i/>
          <w:iCs/>
          <w:sz w:val="24"/>
          <w:szCs w:val="24"/>
        </w:rPr>
        <w:t>all</w:t>
      </w:r>
      <w:r w:rsidRPr="00FA33D8">
        <w:rPr>
          <w:rFonts w:ascii="Times New Roman" w:hAnsi="Times New Roman"/>
          <w:sz w:val="24"/>
          <w:szCs w:val="24"/>
        </w:rPr>
        <w:t xml:space="preserve"> planned and unplanned fire management activities that have the potential to impact them.</w:t>
      </w:r>
      <w:r>
        <w:rPr>
          <w:rFonts w:ascii="Times New Roman" w:hAnsi="Times New Roman"/>
          <w:sz w:val="24"/>
          <w:szCs w:val="24"/>
        </w:rPr>
        <w:t xml:space="preserve">’ </w:t>
      </w:r>
      <w:r w:rsidRPr="00FA33D8">
        <w:rPr>
          <w:rFonts w:ascii="Times New Roman" w:hAnsi="Times New Roman"/>
          <w:sz w:val="24"/>
          <w:szCs w:val="24"/>
        </w:rPr>
        <w:t>[</w:t>
      </w:r>
      <w:r w:rsidRPr="00FA33D8">
        <w:rPr>
          <w:rFonts w:ascii="Times New Roman" w:hAnsi="Times New Roman"/>
          <w:i/>
          <w:iCs/>
          <w:sz w:val="24"/>
          <w:szCs w:val="24"/>
        </w:rPr>
        <w:t>Id</w:t>
      </w:r>
      <w:r w:rsidRPr="00FA33D8">
        <w:rPr>
          <w:rFonts w:ascii="Times New Roman" w:hAnsi="Times New Roman"/>
          <w:sz w:val="24"/>
          <w:szCs w:val="24"/>
        </w:rPr>
        <w:t xml:space="preserve">. at 28 (emphasis added)]. Additionally, Section 4.4.2 of the FMP addresses the issue of public safety, and subsection (F) </w:t>
      </w:r>
      <w:r>
        <w:rPr>
          <w:rFonts w:ascii="Times New Roman" w:hAnsi="Times New Roman"/>
          <w:sz w:val="24"/>
          <w:szCs w:val="24"/>
        </w:rPr>
        <w:t>‘</w:t>
      </w:r>
      <w:r w:rsidRPr="00FA33D8">
        <w:rPr>
          <w:rFonts w:ascii="Times New Roman" w:hAnsi="Times New Roman"/>
          <w:sz w:val="24"/>
          <w:szCs w:val="24"/>
        </w:rPr>
        <w:t xml:space="preserve">outline[s] mitigation actions </w:t>
      </w:r>
      <w:r w:rsidRPr="00FA33D8">
        <w:rPr>
          <w:rFonts w:ascii="Times New Roman" w:hAnsi="Times New Roman"/>
          <w:i/>
          <w:iCs/>
          <w:sz w:val="24"/>
          <w:szCs w:val="24"/>
        </w:rPr>
        <w:t>required</w:t>
      </w:r>
      <w:r w:rsidRPr="00FA33D8">
        <w:rPr>
          <w:rFonts w:ascii="Times New Roman" w:hAnsi="Times New Roman"/>
          <w:sz w:val="24"/>
          <w:szCs w:val="24"/>
        </w:rPr>
        <w:t xml:space="preserve"> to protect values at risk and to ensure the safety of park staff and visitors as well as the neighboring public.</w:t>
      </w:r>
      <w:r>
        <w:rPr>
          <w:rFonts w:ascii="Times New Roman" w:hAnsi="Times New Roman"/>
          <w:sz w:val="24"/>
          <w:szCs w:val="24"/>
        </w:rPr>
        <w:t>’</w:t>
      </w:r>
      <w:r w:rsidRPr="00FA33D8">
        <w:rPr>
          <w:rFonts w:ascii="Times New Roman" w:hAnsi="Times New Roman"/>
          <w:sz w:val="24"/>
          <w:szCs w:val="24"/>
        </w:rPr>
        <w:t xml:space="preserve"> [</w:t>
      </w:r>
      <w:r w:rsidRPr="00FA33D8">
        <w:rPr>
          <w:rFonts w:ascii="Times New Roman" w:hAnsi="Times New Roman"/>
          <w:i/>
          <w:iCs/>
          <w:sz w:val="24"/>
          <w:szCs w:val="24"/>
        </w:rPr>
        <w:t>Id</w:t>
      </w:r>
      <w:r w:rsidRPr="00FA33D8">
        <w:rPr>
          <w:rFonts w:ascii="Times New Roman" w:hAnsi="Times New Roman"/>
          <w:sz w:val="24"/>
          <w:szCs w:val="24"/>
        </w:rPr>
        <w:t xml:space="preserve">. at </w:t>
      </w:r>
      <w:r w:rsidRPr="00FA33D8">
        <w:rPr>
          <w:rFonts w:ascii="Times New Roman" w:hAnsi="Times New Roman"/>
          <w:sz w:val="24"/>
          <w:szCs w:val="24"/>
        </w:rPr>
        <w:lastRenderedPageBreak/>
        <w:t xml:space="preserve">54-55 (emphasis added)]. Table 13, titled </w:t>
      </w:r>
      <w:r>
        <w:rPr>
          <w:rFonts w:ascii="Times New Roman" w:hAnsi="Times New Roman"/>
          <w:sz w:val="24"/>
          <w:szCs w:val="24"/>
        </w:rPr>
        <w:t>‘</w:t>
      </w:r>
      <w:r w:rsidRPr="00FA33D8">
        <w:rPr>
          <w:rFonts w:ascii="Times New Roman" w:hAnsi="Times New Roman"/>
          <w:sz w:val="24"/>
          <w:szCs w:val="24"/>
        </w:rPr>
        <w:t>Mitigations for Public Safety Issues,</w:t>
      </w:r>
      <w:r>
        <w:rPr>
          <w:rFonts w:ascii="Times New Roman" w:hAnsi="Times New Roman"/>
          <w:sz w:val="24"/>
          <w:szCs w:val="24"/>
        </w:rPr>
        <w:t>’</w:t>
      </w:r>
      <w:r w:rsidRPr="00FA33D8">
        <w:rPr>
          <w:rFonts w:ascii="Times New Roman" w:hAnsi="Times New Roman"/>
          <w:sz w:val="24"/>
          <w:szCs w:val="24"/>
        </w:rPr>
        <w:t xml:space="preserve"> then addresses various actions to be taken to protect various groups and resources. [</w:t>
      </w:r>
      <w:r w:rsidRPr="00FA33D8">
        <w:rPr>
          <w:rFonts w:ascii="Times New Roman" w:hAnsi="Times New Roman"/>
          <w:i/>
          <w:iCs/>
          <w:sz w:val="24"/>
          <w:szCs w:val="24"/>
        </w:rPr>
        <w:t>Id</w:t>
      </w:r>
      <w:r w:rsidRPr="00FA33D8">
        <w:rPr>
          <w:rFonts w:ascii="Times New Roman" w:hAnsi="Times New Roman"/>
          <w:sz w:val="24"/>
          <w:szCs w:val="24"/>
        </w:rPr>
        <w:t xml:space="preserve">. at 55]. *** Plaintiffs have cited mandatory directives to support jurisdiction over their claims based on the failure to warn about the Chimney Tops 2 fire, the Court finds that it has jurisdiction over this matter, and Defendant's motion to dismiss for lack of jurisdiction </w:t>
      </w:r>
      <w:r>
        <w:rPr>
          <w:rFonts w:ascii="Times New Roman" w:hAnsi="Times New Roman"/>
          <w:sz w:val="24"/>
          <w:szCs w:val="24"/>
        </w:rPr>
        <w:t xml:space="preserve">… </w:t>
      </w:r>
      <w:r w:rsidRPr="00FA33D8">
        <w:rPr>
          <w:rFonts w:ascii="Times New Roman" w:hAnsi="Times New Roman"/>
          <w:sz w:val="24"/>
          <w:szCs w:val="24"/>
        </w:rPr>
        <w:t xml:space="preserve">will be denied. </w:t>
      </w:r>
    </w:p>
    <w:bookmarkStart w:id="184" w:name="_Hlk39824099"/>
    <w:p w14:paraId="7E3CEAF7" w14:textId="77777777" w:rsidR="007C6FEF" w:rsidRPr="00FA33D8" w:rsidRDefault="00F2621E" w:rsidP="007C6FEF">
      <w:pPr>
        <w:pStyle w:val="NoSpacing"/>
        <w:ind w:left="720"/>
        <w:rPr>
          <w:rFonts w:ascii="Times New Roman" w:hAnsi="Times New Roman"/>
          <w:sz w:val="24"/>
          <w:szCs w:val="24"/>
        </w:rPr>
      </w:pPr>
      <w:r>
        <w:fldChar w:fldCharType="begin"/>
      </w:r>
      <w:r>
        <w:instrText xml:space="preserve"> HYPERLINK "https://www.nationalparkstraveler.org/sites/default/files/attachments/reed-chimney_tops_2_lawsuit.pdf" </w:instrText>
      </w:r>
      <w:r>
        <w:fldChar w:fldCharType="separate"/>
      </w:r>
      <w:r w:rsidR="007C6FEF" w:rsidRPr="009D5900">
        <w:rPr>
          <w:rStyle w:val="Hyperlink"/>
          <w:rFonts w:ascii="Times New Roman" w:hAnsi="Times New Roman"/>
          <w:sz w:val="24"/>
          <w:szCs w:val="24"/>
        </w:rPr>
        <w:t>https://www.nationalparkstraveler.org/sites/default/files/attachments/reed-chimney_tops_2_lawsuit.pdf</w:t>
      </w:r>
      <w:r>
        <w:rPr>
          <w:rStyle w:val="Hyperlink"/>
          <w:rFonts w:ascii="Times New Roman" w:hAnsi="Times New Roman"/>
          <w:sz w:val="24"/>
          <w:szCs w:val="24"/>
        </w:rPr>
        <w:fldChar w:fldCharType="end"/>
      </w:r>
      <w:bookmarkEnd w:id="184"/>
      <w:r w:rsidR="007C6FEF">
        <w:rPr>
          <w:rFonts w:ascii="Times New Roman" w:hAnsi="Times New Roman"/>
          <w:sz w:val="24"/>
          <w:szCs w:val="24"/>
        </w:rPr>
        <w:t xml:space="preserve"> </w:t>
      </w:r>
    </w:p>
    <w:p w14:paraId="6278688D" w14:textId="77777777" w:rsidR="009C4A80" w:rsidRDefault="009C4A80" w:rsidP="003464C5">
      <w:pPr>
        <w:rPr>
          <w:rFonts w:ascii="Arial" w:hAnsi="Arial" w:cs="Arial"/>
          <w:sz w:val="30"/>
          <w:szCs w:val="30"/>
        </w:rPr>
      </w:pPr>
    </w:p>
    <w:p w14:paraId="5B41531C" w14:textId="13F7125A" w:rsidR="003464C5" w:rsidRPr="009C4A80" w:rsidRDefault="009C4A80" w:rsidP="003464C5">
      <w:pPr>
        <w:rPr>
          <w:rStyle w:val="Hyperlink"/>
          <w:rFonts w:ascii="Times New Roman" w:hAnsi="Times New Roman"/>
          <w:b/>
          <w:bCs/>
          <w:color w:val="auto"/>
          <w:sz w:val="24"/>
          <w:szCs w:val="24"/>
          <w:u w:val="none"/>
        </w:rPr>
      </w:pPr>
      <w:r w:rsidRPr="009C4A80">
        <w:rPr>
          <w:rFonts w:ascii="Times New Roman" w:hAnsi="Times New Roman"/>
          <w:b/>
          <w:bCs/>
          <w:sz w:val="24"/>
          <w:szCs w:val="24"/>
        </w:rPr>
        <w:t>Legal Lessons Learned: “Failure to warn” establishes a cause of action under Federal Tort Claims Act. See also the After Action Report (Dec. 19, 2017): “An After Action Review has been released for the Chimney Tops 2 Fire that spread from Great Smoky Mountains National Park into the city of Gatlinburg, Tennessee a little over a year ago killing 14 people, forcing 14,000 to evacuate, destroying or damaging 2,500 structures, and burning 17,000 acres. The AAR, completed by ABS Group, was commissioned by Gatlinburg and Sevier County.”</w:t>
      </w:r>
    </w:p>
    <w:p w14:paraId="1C004A5B" w14:textId="77777777" w:rsidR="003464C5" w:rsidRDefault="003464C5" w:rsidP="002B1283">
      <w:pPr>
        <w:rPr>
          <w:rStyle w:val="Hyperlink"/>
          <w:rFonts w:ascii="Arial Black" w:hAnsi="Arial Black"/>
          <w:b/>
          <w:color w:val="auto"/>
          <w:sz w:val="24"/>
          <w:szCs w:val="24"/>
          <w:u w:val="none"/>
        </w:rPr>
      </w:pPr>
    </w:p>
    <w:p w14:paraId="1698244A" w14:textId="77777777" w:rsidR="007C6FEF" w:rsidRDefault="007C6FEF" w:rsidP="002B1283">
      <w:pPr>
        <w:rPr>
          <w:rStyle w:val="Hyperlink"/>
          <w:rFonts w:ascii="Arial Black" w:hAnsi="Arial Black"/>
          <w:b/>
          <w:color w:val="auto"/>
          <w:sz w:val="24"/>
          <w:szCs w:val="24"/>
          <w:u w:val="none"/>
        </w:rPr>
      </w:pPr>
    </w:p>
    <w:p w14:paraId="77ED83DA" w14:textId="77A1D5E8" w:rsidR="007471AF" w:rsidRDefault="007471A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w:t>
      </w:r>
    </w:p>
    <w:p w14:paraId="6CA1E87E" w14:textId="4ADF62CE" w:rsidR="007471AF" w:rsidRPr="00706498" w:rsidRDefault="007471AF" w:rsidP="007471AF">
      <w:pPr>
        <w:rPr>
          <w:rFonts w:ascii="Arial Black" w:hAnsi="Arial Black"/>
          <w:sz w:val="28"/>
          <w:szCs w:val="28"/>
        </w:rPr>
      </w:pPr>
      <w:r w:rsidRPr="00706498">
        <w:rPr>
          <w:rFonts w:ascii="Arial Black" w:hAnsi="Arial Black"/>
          <w:sz w:val="28"/>
          <w:szCs w:val="28"/>
        </w:rPr>
        <w:t xml:space="preserve">IN: DRONE – WOMAN FINDS DRONE IN HER YARD – ONBOARD VIDEO SHOWS NEIGHBOR CARRYING DRUGS </w:t>
      </w:r>
      <w:r>
        <w:rPr>
          <w:rFonts w:ascii="Arial Black" w:hAnsi="Arial Black"/>
          <w:sz w:val="28"/>
          <w:szCs w:val="28"/>
        </w:rPr>
        <w:t>[also filed, Chap. 1]</w:t>
      </w:r>
    </w:p>
    <w:p w14:paraId="1A611AD8" w14:textId="77777777" w:rsidR="007471AF" w:rsidRPr="009C4A80" w:rsidRDefault="007471AF" w:rsidP="007471AF">
      <w:pPr>
        <w:pStyle w:val="NoSpacing"/>
        <w:rPr>
          <w:rFonts w:ascii="Times New Roman" w:hAnsi="Times New Roman"/>
          <w:b/>
          <w:bCs/>
          <w:sz w:val="24"/>
          <w:szCs w:val="24"/>
        </w:rPr>
      </w:pPr>
      <w:r w:rsidRPr="009C4A80">
        <w:rPr>
          <w:rFonts w:ascii="Times New Roman" w:hAnsi="Times New Roman"/>
          <w:bCs/>
          <w:sz w:val="24"/>
          <w:szCs w:val="24"/>
        </w:rPr>
        <w:t xml:space="preserve">On Oct. 24, 2019, in </w:t>
      </w:r>
      <w:r w:rsidRPr="009C4A80">
        <w:rPr>
          <w:rFonts w:ascii="Times New Roman" w:hAnsi="Times New Roman"/>
          <w:bCs/>
          <w:sz w:val="24"/>
          <w:szCs w:val="24"/>
          <w:u w:val="single"/>
        </w:rPr>
        <w:t>Galen Byers v. State of Indiana</w:t>
      </w:r>
      <w:r w:rsidRPr="009C4A80">
        <w:rPr>
          <w:rFonts w:ascii="Times New Roman" w:hAnsi="Times New Roman"/>
          <w:bCs/>
          <w:sz w:val="24"/>
          <w:szCs w:val="24"/>
        </w:rPr>
        <w:t xml:space="preserve">, Court of Appeals of Indiana held (3 to 0) that the search warrant was obtained timely, and the trial court properly denied the defendant’s motion to suppress.  Criminal </w:t>
      </w:r>
      <w:proofErr w:type="gramStart"/>
      <w:r w:rsidRPr="009C4A80">
        <w:rPr>
          <w:rFonts w:ascii="Times New Roman" w:hAnsi="Times New Roman"/>
          <w:bCs/>
          <w:sz w:val="24"/>
          <w:szCs w:val="24"/>
        </w:rPr>
        <w:t>case</w:t>
      </w:r>
      <w:proofErr w:type="gramEnd"/>
      <w:r w:rsidRPr="009C4A80">
        <w:rPr>
          <w:rFonts w:ascii="Times New Roman" w:hAnsi="Times New Roman"/>
          <w:bCs/>
          <w:sz w:val="24"/>
          <w:szCs w:val="24"/>
        </w:rPr>
        <w:t xml:space="preserve"> for </w:t>
      </w:r>
      <w:proofErr w:type="gramStart"/>
      <w:r w:rsidRPr="009C4A80">
        <w:rPr>
          <w:rFonts w:ascii="Times New Roman" w:hAnsi="Times New Roman"/>
          <w:bCs/>
          <w:sz w:val="24"/>
          <w:szCs w:val="24"/>
        </w:rPr>
        <w:t>dealing</w:t>
      </w:r>
      <w:proofErr w:type="gramEnd"/>
      <w:r w:rsidRPr="009C4A80">
        <w:rPr>
          <w:rFonts w:ascii="Times New Roman" w:hAnsi="Times New Roman"/>
          <w:bCs/>
          <w:sz w:val="24"/>
          <w:szCs w:val="24"/>
        </w:rPr>
        <w:t xml:space="preserve"> methamphetamine will now be tried, unless the defendant enters a guilty plea.  </w:t>
      </w:r>
    </w:p>
    <w:p w14:paraId="1A4F87B2" w14:textId="77777777" w:rsidR="007471AF" w:rsidRPr="009C4A80" w:rsidRDefault="007471AF" w:rsidP="007471AF">
      <w:pPr>
        <w:pStyle w:val="NoSpacing"/>
        <w:rPr>
          <w:rFonts w:ascii="Times New Roman" w:hAnsi="Times New Roman"/>
          <w:b/>
          <w:bCs/>
          <w:sz w:val="24"/>
          <w:szCs w:val="24"/>
        </w:rPr>
      </w:pPr>
    </w:p>
    <w:p w14:paraId="7815661E" w14:textId="77777777" w:rsidR="007471AF" w:rsidRPr="009C4A80" w:rsidRDefault="007471AF" w:rsidP="007471AF">
      <w:pPr>
        <w:pStyle w:val="NoSpacing"/>
        <w:ind w:left="720"/>
        <w:rPr>
          <w:rFonts w:ascii="Times New Roman" w:hAnsi="Times New Roman"/>
          <w:b/>
          <w:bCs/>
          <w:sz w:val="24"/>
          <w:szCs w:val="24"/>
        </w:rPr>
      </w:pPr>
      <w:r w:rsidRPr="009C4A80">
        <w:rPr>
          <w:rFonts w:ascii="Times New Roman" w:hAnsi="Times New Roman"/>
          <w:bCs/>
          <w:sz w:val="24"/>
          <w:szCs w:val="24"/>
        </w:rPr>
        <w:t xml:space="preserve">“Moreover, while we look at the date of the video footage to determine whether probable cause existed, some lapse can also be accounted for here because [Marcie] </w:t>
      </w:r>
      <w:proofErr w:type="spellStart"/>
      <w:r w:rsidRPr="009C4A80">
        <w:rPr>
          <w:rFonts w:ascii="Times New Roman" w:hAnsi="Times New Roman"/>
          <w:bCs/>
          <w:sz w:val="24"/>
          <w:szCs w:val="24"/>
        </w:rPr>
        <w:t>Vormohr</w:t>
      </w:r>
      <w:proofErr w:type="spellEnd"/>
      <w:r w:rsidRPr="009C4A80">
        <w:rPr>
          <w:rFonts w:ascii="Times New Roman" w:hAnsi="Times New Roman"/>
          <w:bCs/>
          <w:sz w:val="24"/>
          <w:szCs w:val="24"/>
        </w:rPr>
        <w:t xml:space="preserve"> was in possession of the drone for likely at least one of those days. And, although we acknowledge that the woman in the video handled the alleged substances, the video also shows another individual—a man who </w:t>
      </w:r>
      <w:proofErr w:type="spellStart"/>
      <w:r w:rsidRPr="009C4A80">
        <w:rPr>
          <w:rFonts w:ascii="Times New Roman" w:hAnsi="Times New Roman"/>
          <w:bCs/>
          <w:sz w:val="24"/>
          <w:szCs w:val="24"/>
        </w:rPr>
        <w:t>Vormohr</w:t>
      </w:r>
      <w:proofErr w:type="spellEnd"/>
      <w:r w:rsidRPr="009C4A80">
        <w:rPr>
          <w:rFonts w:ascii="Times New Roman" w:hAnsi="Times New Roman"/>
          <w:bCs/>
          <w:sz w:val="24"/>
          <w:szCs w:val="24"/>
        </w:rPr>
        <w:t xml:space="preserve"> testified was Byers—handling the drone moments later in the same and subsequent video recordings. Based on the facts and circumstances before us, we cannot say that a four-day period between the activity and the finding of probable cause renders the warrant constitutionally stale.”</w:t>
      </w:r>
    </w:p>
    <w:p w14:paraId="67FB7E6A" w14:textId="77777777" w:rsidR="007471AF" w:rsidRPr="009C4A80" w:rsidRDefault="007471AF" w:rsidP="007471AF">
      <w:pPr>
        <w:pStyle w:val="NoSpacing"/>
        <w:ind w:left="720"/>
        <w:rPr>
          <w:rFonts w:ascii="Times New Roman" w:hAnsi="Times New Roman"/>
          <w:b/>
          <w:bCs/>
          <w:sz w:val="24"/>
          <w:szCs w:val="24"/>
        </w:rPr>
      </w:pPr>
      <w:hyperlink r:id="rId898" w:history="1">
        <w:r w:rsidRPr="009C4A80">
          <w:rPr>
            <w:rStyle w:val="Hyperlink"/>
            <w:rFonts w:ascii="Times New Roman" w:hAnsi="Times New Roman"/>
            <w:bCs/>
            <w:sz w:val="24"/>
            <w:szCs w:val="24"/>
          </w:rPr>
          <w:t>https://www.in.gov/judiciary/opinions/pdf/10241902eft.pdf</w:t>
        </w:r>
      </w:hyperlink>
      <w:r w:rsidRPr="009C4A80">
        <w:rPr>
          <w:rFonts w:ascii="Times New Roman" w:hAnsi="Times New Roman"/>
          <w:bCs/>
          <w:sz w:val="24"/>
          <w:szCs w:val="24"/>
        </w:rPr>
        <w:t xml:space="preserve"> </w:t>
      </w:r>
    </w:p>
    <w:p w14:paraId="45C8694D" w14:textId="77777777" w:rsidR="009C4A80" w:rsidRDefault="009C4A80" w:rsidP="007471AF">
      <w:pPr>
        <w:pStyle w:val="NoSpacing"/>
        <w:rPr>
          <w:rFonts w:ascii="Times New Roman" w:hAnsi="Times New Roman"/>
          <w:b/>
          <w:bCs/>
          <w:sz w:val="24"/>
          <w:szCs w:val="24"/>
        </w:rPr>
      </w:pPr>
    </w:p>
    <w:p w14:paraId="362D898A" w14:textId="23747565" w:rsidR="007471AF" w:rsidRPr="009C4A80" w:rsidRDefault="007471AF" w:rsidP="007471AF">
      <w:pPr>
        <w:pStyle w:val="NoSpacing"/>
        <w:rPr>
          <w:rFonts w:ascii="Times New Roman" w:hAnsi="Times New Roman"/>
          <w:b/>
          <w:bCs/>
          <w:sz w:val="24"/>
          <w:szCs w:val="24"/>
        </w:rPr>
      </w:pPr>
      <w:r w:rsidRPr="009C4A80">
        <w:rPr>
          <w:rFonts w:ascii="Times New Roman" w:hAnsi="Times New Roman"/>
          <w:b/>
          <w:bCs/>
          <w:sz w:val="24"/>
          <w:szCs w:val="24"/>
        </w:rPr>
        <w:t xml:space="preserve">Legal Lessons Learned:  If you are a drug dealer, be cautious of drones with video cameras. </w:t>
      </w:r>
    </w:p>
    <w:p w14:paraId="0C025598" w14:textId="55D588A2" w:rsidR="007471AF" w:rsidRDefault="007471AF" w:rsidP="007471AF">
      <w:pPr>
        <w:rPr>
          <w:rFonts w:ascii="Arial Black" w:hAnsi="Arial Black"/>
          <w:b/>
          <w:sz w:val="24"/>
          <w:szCs w:val="24"/>
        </w:rPr>
      </w:pPr>
    </w:p>
    <w:p w14:paraId="033989F1" w14:textId="77777777" w:rsidR="007471AF" w:rsidRDefault="007471AF" w:rsidP="002B1283">
      <w:pPr>
        <w:rPr>
          <w:rStyle w:val="Hyperlink"/>
          <w:rFonts w:ascii="Arial Black" w:hAnsi="Arial Black"/>
          <w:b/>
          <w:color w:val="auto"/>
          <w:sz w:val="24"/>
          <w:szCs w:val="24"/>
          <w:u w:val="none"/>
        </w:rPr>
      </w:pPr>
    </w:p>
    <w:p w14:paraId="1254A69A" w14:textId="6DE848B0" w:rsidR="00A06387" w:rsidRDefault="00A06387"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p>
    <w:p w14:paraId="5DE28287" w14:textId="77777777" w:rsidR="00A06387" w:rsidRPr="00BA42E2" w:rsidRDefault="00A06387" w:rsidP="00A06387">
      <w:pPr>
        <w:pStyle w:val="NoSpacing"/>
        <w:rPr>
          <w:rFonts w:ascii="Arial Black" w:hAnsi="Arial Black"/>
          <w:b/>
          <w:bCs/>
          <w:sz w:val="28"/>
          <w:szCs w:val="28"/>
        </w:rPr>
      </w:pPr>
      <w:r>
        <w:rPr>
          <w:rFonts w:ascii="Arial Black" w:hAnsi="Arial Black"/>
          <w:bCs/>
          <w:sz w:val="28"/>
          <w:szCs w:val="28"/>
        </w:rPr>
        <w:t>NY:  RE-KINDLE WAREHOUSE FIRE – FD HAD TURNED OFF SPRINKLER SYSTEM – NO GOVERNMENTAL IMMUNITY</w:t>
      </w:r>
    </w:p>
    <w:p w14:paraId="55B6582C" w14:textId="77777777" w:rsidR="00A06387" w:rsidRDefault="00A06387" w:rsidP="00A06387">
      <w:pPr>
        <w:pStyle w:val="NoSpacing"/>
      </w:pPr>
    </w:p>
    <w:p w14:paraId="4F6175BD" w14:textId="37EE9D26" w:rsidR="00A06387" w:rsidRPr="009C4A80" w:rsidRDefault="00A06387" w:rsidP="00A06387">
      <w:pPr>
        <w:pStyle w:val="NoSpacing"/>
        <w:rPr>
          <w:rFonts w:ascii="Times New Roman" w:hAnsi="Times New Roman"/>
          <w:b/>
          <w:bCs/>
          <w:sz w:val="24"/>
          <w:szCs w:val="24"/>
        </w:rPr>
      </w:pPr>
      <w:r w:rsidRPr="009C4A80">
        <w:rPr>
          <w:rFonts w:ascii="Times New Roman" w:hAnsi="Times New Roman"/>
          <w:bCs/>
          <w:sz w:val="24"/>
          <w:szCs w:val="24"/>
        </w:rPr>
        <w:lastRenderedPageBreak/>
        <w:t xml:space="preserve">On </w:t>
      </w:r>
      <w:bookmarkStart w:id="185" w:name="_Hlk39824745"/>
      <w:r w:rsidRPr="009C4A80">
        <w:rPr>
          <w:rFonts w:ascii="Times New Roman" w:hAnsi="Times New Roman"/>
          <w:bCs/>
          <w:sz w:val="24"/>
          <w:szCs w:val="24"/>
        </w:rPr>
        <w:t xml:space="preserve">Oct. 23, 2019, in </w:t>
      </w:r>
      <w:r w:rsidRPr="009C4A80">
        <w:rPr>
          <w:rFonts w:ascii="Times New Roman" w:hAnsi="Times New Roman"/>
          <w:bCs/>
          <w:sz w:val="24"/>
          <w:szCs w:val="24"/>
          <w:u w:val="single"/>
        </w:rPr>
        <w:t>Zurick American Insurance Company v. City of New York</w:t>
      </w:r>
      <w:bookmarkEnd w:id="185"/>
      <w:r w:rsidRPr="009C4A80">
        <w:rPr>
          <w:rFonts w:ascii="Times New Roman" w:hAnsi="Times New Roman"/>
          <w:bCs/>
          <w:sz w:val="24"/>
          <w:szCs w:val="24"/>
        </w:rPr>
        <w:t xml:space="preserve">, the Supreme Court of New York, Appellate Division / Second Judicial Department held (5 to 0) that the insurance company for the warehouse may proceed with the lawsuit against the City of New York.  </w:t>
      </w:r>
    </w:p>
    <w:p w14:paraId="6380CCD4" w14:textId="77777777" w:rsidR="009C4A80" w:rsidRDefault="009C4A80" w:rsidP="00A06387">
      <w:pPr>
        <w:pStyle w:val="NoSpacing"/>
        <w:ind w:left="720"/>
        <w:rPr>
          <w:rFonts w:ascii="Times New Roman" w:hAnsi="Times New Roman"/>
          <w:bCs/>
          <w:sz w:val="24"/>
          <w:szCs w:val="24"/>
        </w:rPr>
      </w:pPr>
    </w:p>
    <w:p w14:paraId="68EEA0C2" w14:textId="288A7A41"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“Here, the plaintiffs' allegations that FDNY personnel, upon arriving at the scene and assuming control over the ongoing fire, shut off the main water supply valve to the warehouse's sprinkler systems, then certified to warehouse employees that it was safe to reenter the building when in fact the fire was still at risk of rekindling—which it did within minutes after FDNY personnel left the premises—are sufficient to establish a special relationship (see Trimble v City of Albany, 144 AD3d 1484; S.C. </w:t>
      </w:r>
      <w:proofErr w:type="spellStart"/>
      <w:r w:rsidRPr="009C4A80">
        <w:rPr>
          <w:rFonts w:ascii="Times New Roman" w:hAnsi="Times New Roman"/>
          <w:bCs/>
          <w:sz w:val="24"/>
          <w:szCs w:val="24"/>
        </w:rPr>
        <w:t>Freidfertig</w:t>
      </w:r>
      <w:proofErr w:type="spellEnd"/>
      <w:r w:rsidRPr="009C4A80">
        <w:rPr>
          <w:rFonts w:ascii="Times New Roman" w:hAnsi="Times New Roman"/>
          <w:bCs/>
          <w:sz w:val="24"/>
          <w:szCs w:val="24"/>
        </w:rPr>
        <w:t xml:space="preserve"> Bldrs. v Spano Plumbing &amp; Heating, Inc., 173 AD2d 454). Therefore, we agree with the Supreme Court's determination denying the defendant's motion to dismiss the complaint.”</w:t>
      </w:r>
    </w:p>
    <w:bookmarkStart w:id="186" w:name="_Hlk39824846"/>
    <w:p w14:paraId="76A2C813" w14:textId="38261899" w:rsidR="00A06387" w:rsidRPr="009C4A80" w:rsidRDefault="00F2621E" w:rsidP="009C4A80">
      <w:pPr>
        <w:ind w:firstLine="720"/>
        <w:rPr>
          <w:rStyle w:val="Hyperlink"/>
          <w:rFonts w:ascii="Times New Roman" w:hAnsi="Times New Roman"/>
          <w:b/>
          <w:color w:val="auto"/>
          <w:sz w:val="24"/>
          <w:szCs w:val="24"/>
          <w:u w:val="none"/>
        </w:rPr>
      </w:pPr>
      <w:r>
        <w:fldChar w:fldCharType="begin"/>
      </w:r>
      <w:r>
        <w:instrText xml:space="preserve"> HYPERLINK "https://law.justia.com/cases/new-york/appellate-division-second-department/2019/2017-08288.html" </w:instrText>
      </w:r>
      <w:r>
        <w:fldChar w:fldCharType="separate"/>
      </w:r>
      <w:r w:rsidR="009C4A80" w:rsidRPr="002F304C">
        <w:rPr>
          <w:rStyle w:val="Hyperlink"/>
          <w:rFonts w:ascii="Times New Roman" w:hAnsi="Times New Roman"/>
          <w:bCs/>
          <w:sz w:val="24"/>
          <w:szCs w:val="24"/>
        </w:rPr>
        <w:t>https://law.justia.com/cases/new-york/appellate-division-second-department/2019/2017-08288.html</w:t>
      </w:r>
      <w:r>
        <w:rPr>
          <w:rStyle w:val="Hyperlink"/>
          <w:rFonts w:ascii="Times New Roman" w:hAnsi="Times New Roman"/>
          <w:bCs/>
          <w:sz w:val="24"/>
          <w:szCs w:val="24"/>
        </w:rPr>
        <w:fldChar w:fldCharType="end"/>
      </w:r>
    </w:p>
    <w:p w14:paraId="5C2F6F78" w14:textId="412CFDA1" w:rsidR="00A06387" w:rsidRPr="009C4A80" w:rsidRDefault="00A06387" w:rsidP="00A06387">
      <w:pPr>
        <w:pStyle w:val="NormalWeb"/>
        <w:rPr>
          <w:b/>
          <w:bCs/>
        </w:rPr>
      </w:pPr>
      <w:bookmarkStart w:id="187" w:name="_Hlk40509731"/>
      <w:bookmarkEnd w:id="186"/>
      <w:r w:rsidRPr="009C4A80">
        <w:rPr>
          <w:b/>
          <w:bCs/>
        </w:rPr>
        <w:t>Legal Lessons Learned: Extreme care must be exercised when a sprinkler system is shut down</w:t>
      </w:r>
      <w:r w:rsidR="005E5044">
        <w:rPr>
          <w:b/>
          <w:bCs/>
        </w:rPr>
        <w:t>.</w:t>
      </w:r>
      <w:r w:rsidRPr="009C4A80">
        <w:rPr>
          <w:b/>
          <w:bCs/>
        </w:rPr>
        <w:t xml:space="preserve"> </w:t>
      </w:r>
    </w:p>
    <w:bookmarkEnd w:id="187"/>
    <w:p w14:paraId="0792F4E8" w14:textId="77777777" w:rsidR="00A06387" w:rsidRDefault="00A06387" w:rsidP="002B1283">
      <w:pPr>
        <w:rPr>
          <w:rStyle w:val="Hyperlink"/>
          <w:rFonts w:ascii="Arial Black" w:hAnsi="Arial Black"/>
          <w:b/>
          <w:color w:val="auto"/>
          <w:sz w:val="24"/>
          <w:szCs w:val="24"/>
          <w:u w:val="none"/>
        </w:rPr>
      </w:pPr>
    </w:p>
    <w:p w14:paraId="01530D47" w14:textId="77777777" w:rsidR="00A06387" w:rsidRDefault="00A06387" w:rsidP="002B1283">
      <w:pPr>
        <w:rPr>
          <w:rStyle w:val="Hyperlink"/>
          <w:rFonts w:ascii="Arial Black" w:hAnsi="Arial Black"/>
          <w:b/>
          <w:color w:val="auto"/>
          <w:sz w:val="24"/>
          <w:szCs w:val="24"/>
          <w:u w:val="none"/>
        </w:rPr>
      </w:pPr>
    </w:p>
    <w:p w14:paraId="072AD8B2" w14:textId="2BCA0C9F" w:rsidR="00EF1133" w:rsidRDefault="00EF1133" w:rsidP="002B1283">
      <w:pPr>
        <w:rPr>
          <w:rFonts w:ascii="Arial Black" w:hAnsi="Arial Black"/>
          <w:sz w:val="28"/>
          <w:szCs w:val="28"/>
        </w:rPr>
      </w:pPr>
      <w:r w:rsidRPr="00EF1133">
        <w:rPr>
          <w:rStyle w:val="Hyperlink"/>
          <w:rFonts w:ascii="Arial Black" w:hAnsi="Arial Black"/>
          <w:b/>
          <w:color w:val="auto"/>
          <w:sz w:val="24"/>
          <w:szCs w:val="24"/>
          <w:u w:val="none"/>
        </w:rPr>
        <w:t>4-</w:t>
      </w:r>
      <w:r>
        <w:rPr>
          <w:rStyle w:val="Hyperlink"/>
          <w:rFonts w:ascii="Arial Black" w:hAnsi="Arial Black"/>
          <w:b/>
          <w:color w:val="auto"/>
          <w:sz w:val="24"/>
          <w:szCs w:val="24"/>
          <w:u w:val="none"/>
        </w:rPr>
        <w:t>3</w:t>
      </w:r>
    </w:p>
    <w:p w14:paraId="40B3C8DD" w14:textId="690BDD04" w:rsidR="002B1283" w:rsidRDefault="002B1283" w:rsidP="002B1283">
      <w:pPr>
        <w:rPr>
          <w:rFonts w:ascii="Arial Black" w:hAnsi="Arial Black"/>
          <w:sz w:val="28"/>
          <w:szCs w:val="28"/>
        </w:rPr>
      </w:pPr>
      <w:bookmarkStart w:id="188" w:name="_Hlk39763888"/>
      <w:r>
        <w:rPr>
          <w:rFonts w:ascii="Arial Black" w:hAnsi="Arial Black"/>
          <w:sz w:val="28"/>
          <w:szCs w:val="28"/>
        </w:rPr>
        <w:t>CA:  WILDLAND FIRE IN NATIONAL FOREST – WATER TRUCK RAN OVER FF SLEEPING AT BASE CAMP – NO AUTOMATIC GOVT IMMUNITY</w:t>
      </w:r>
    </w:p>
    <w:p w14:paraId="4C2D8A8B" w14:textId="77777777" w:rsidR="002B1283" w:rsidRDefault="002B1283" w:rsidP="002B1283">
      <w:pPr>
        <w:rPr>
          <w:rStyle w:val="Hyperlink"/>
        </w:rPr>
      </w:pPr>
      <w:r w:rsidRPr="00AA1593">
        <w:rPr>
          <w:rFonts w:ascii="Times New Roman" w:hAnsi="Times New Roman"/>
          <w:sz w:val="24"/>
          <w:szCs w:val="24"/>
        </w:rPr>
        <w:t xml:space="preserve">On July 15, 2019, in </w:t>
      </w:r>
      <w:r w:rsidRPr="00AA1593">
        <w:rPr>
          <w:rFonts w:ascii="Times New Roman" w:hAnsi="Times New Roman"/>
          <w:sz w:val="24"/>
          <w:szCs w:val="24"/>
          <w:u w:val="single"/>
        </w:rPr>
        <w:t>Rebecca Megan Quigley v. Garden Valley Fire Protection District, et al.</w:t>
      </w:r>
      <w:r w:rsidRPr="00AA1593">
        <w:rPr>
          <w:rFonts w:ascii="Times New Roman" w:hAnsi="Times New Roman"/>
          <w:sz w:val="24"/>
          <w:szCs w:val="24"/>
        </w:rPr>
        <w:t xml:space="preserve">, the Supreme Court of California held (7 to 0), the Court reversed the Court of Appeals </w:t>
      </w:r>
      <w:r>
        <w:rPr>
          <w:rFonts w:ascii="Times New Roman" w:hAnsi="Times New Roman"/>
          <w:sz w:val="24"/>
          <w:szCs w:val="24"/>
        </w:rPr>
        <w:t xml:space="preserve">which had </w:t>
      </w:r>
      <w:r w:rsidRPr="00AA1593">
        <w:rPr>
          <w:rFonts w:ascii="Times New Roman" w:hAnsi="Times New Roman"/>
          <w:sz w:val="24"/>
          <w:szCs w:val="24"/>
        </w:rPr>
        <w:t xml:space="preserve">held </w:t>
      </w:r>
      <w:r>
        <w:rPr>
          <w:rFonts w:ascii="Times New Roman" w:hAnsi="Times New Roman"/>
          <w:sz w:val="24"/>
          <w:szCs w:val="24"/>
        </w:rPr>
        <w:t xml:space="preserve">that </w:t>
      </w:r>
      <w:r w:rsidRPr="00AA1593">
        <w:rPr>
          <w:rFonts w:ascii="Times New Roman" w:hAnsi="Times New Roman"/>
          <w:sz w:val="24"/>
          <w:szCs w:val="24"/>
        </w:rPr>
        <w:t xml:space="preserve">the base camp management team and their Fire Departments were automatically </w:t>
      </w:r>
      <w:r>
        <w:rPr>
          <w:rFonts w:ascii="Times New Roman" w:hAnsi="Times New Roman"/>
          <w:sz w:val="24"/>
          <w:szCs w:val="24"/>
        </w:rPr>
        <w:t xml:space="preserve">protected from liability </w:t>
      </w:r>
      <w:r w:rsidRPr="00AA1593">
        <w:rPr>
          <w:rFonts w:ascii="Times New Roman" w:hAnsi="Times New Roman"/>
          <w:sz w:val="24"/>
          <w:szCs w:val="24"/>
        </w:rPr>
        <w:t xml:space="preserve">by CA governmental immunity statute. </w:t>
      </w:r>
      <w:r>
        <w:rPr>
          <w:rFonts w:ascii="Times New Roman" w:hAnsi="Times New Roman"/>
          <w:sz w:val="24"/>
          <w:szCs w:val="24"/>
        </w:rPr>
        <w:t xml:space="preserve"> </w:t>
      </w:r>
    </w:p>
    <w:p w14:paraId="0A28E28C" w14:textId="77777777" w:rsidR="002B1283" w:rsidRDefault="002B1283" w:rsidP="002B1283">
      <w:pPr>
        <w:pStyle w:val="NoSpacing"/>
        <w:ind w:left="720"/>
        <w:rPr>
          <w:rFonts w:ascii="Times New Roman" w:hAnsi="Times New Roman"/>
          <w:sz w:val="24"/>
          <w:szCs w:val="24"/>
        </w:rPr>
      </w:pPr>
      <w:bookmarkStart w:id="189" w:name="_Hlk39765736"/>
      <w:r>
        <w:rPr>
          <w:rFonts w:ascii="Times New Roman" w:hAnsi="Times New Roman"/>
          <w:sz w:val="24"/>
          <w:szCs w:val="24"/>
        </w:rPr>
        <w:t>“</w:t>
      </w:r>
      <w:r w:rsidRPr="00AA1593">
        <w:rPr>
          <w:rFonts w:ascii="Times New Roman" w:hAnsi="Times New Roman"/>
          <w:sz w:val="24"/>
          <w:szCs w:val="24"/>
        </w:rPr>
        <w:t>If the Court of Appeal determines that section 850.4 immunity was not adequately raised in defendants’ answer, the case should be remanded to permit the trial court to decide whether to exercise its discretion to allow the belated assertion of the defense after the commencement of the trial.</w:t>
      </w:r>
      <w:r>
        <w:rPr>
          <w:rFonts w:ascii="Times New Roman" w:hAnsi="Times New Roman"/>
          <w:sz w:val="24"/>
          <w:szCs w:val="24"/>
        </w:rPr>
        <w:t>”</w:t>
      </w:r>
    </w:p>
    <w:p w14:paraId="5D87C57D" w14:textId="77777777" w:rsidR="002B1283" w:rsidRDefault="002B1283" w:rsidP="002B1283">
      <w:pPr>
        <w:ind w:firstLine="720"/>
      </w:pPr>
      <w:hyperlink r:id="rId899" w:history="1">
        <w:r w:rsidRPr="00455844">
          <w:rPr>
            <w:rStyle w:val="Hyperlink"/>
          </w:rPr>
          <w:t>https://law.justia.com/cases/california/supreme-court/2019/s242250.html</w:t>
        </w:r>
      </w:hyperlink>
      <w:bookmarkEnd w:id="189"/>
    </w:p>
    <w:bookmarkEnd w:id="188"/>
    <w:p w14:paraId="29819BF9" w14:textId="77777777" w:rsidR="002B1283" w:rsidRPr="00AA1593" w:rsidRDefault="002B1283" w:rsidP="002B1283">
      <w:pPr>
        <w:pStyle w:val="NoSpacing"/>
        <w:ind w:left="720"/>
        <w:rPr>
          <w:rFonts w:ascii="Times New Roman" w:hAnsi="Times New Roman"/>
          <w:sz w:val="24"/>
          <w:szCs w:val="24"/>
        </w:rPr>
      </w:pPr>
    </w:p>
    <w:p w14:paraId="6C495F4B" w14:textId="77777777" w:rsidR="002B1283" w:rsidRDefault="002B1283" w:rsidP="002B1283">
      <w:pPr>
        <w:rPr>
          <w:rFonts w:ascii="Times New Roman" w:hAnsi="Times New Roman"/>
          <w:b/>
          <w:bCs/>
          <w:sz w:val="24"/>
          <w:szCs w:val="24"/>
        </w:rPr>
      </w:pPr>
      <w:bookmarkStart w:id="190" w:name="_Hlk40509887"/>
      <w:r>
        <w:rPr>
          <w:rFonts w:ascii="Times New Roman" w:hAnsi="Times New Roman"/>
          <w:b/>
          <w:bCs/>
          <w:sz w:val="24"/>
          <w:szCs w:val="24"/>
        </w:rPr>
        <w:t>Legal Lessons Learned:  The injured Federal firefighter was covered by workers comp, but under CA broad governmental immunity statute, she will have a difficult time obtaining damages from these California commanders or their fire department.</w:t>
      </w:r>
    </w:p>
    <w:p w14:paraId="55D9B728" w14:textId="349B1AA6" w:rsidR="002B1283" w:rsidRDefault="005E5044" w:rsidP="002B1283">
      <w:pPr>
        <w:pStyle w:val="NoSpacing"/>
        <w:ind w:left="720"/>
      </w:pPr>
      <w:r>
        <w:rPr>
          <w:rFonts w:ascii="Times New Roman" w:hAnsi="Times New Roman"/>
          <w:sz w:val="24"/>
          <w:szCs w:val="24"/>
        </w:rPr>
        <w:t xml:space="preserve">Note: </w:t>
      </w:r>
      <w:r w:rsidR="002B1283">
        <w:rPr>
          <w:rFonts w:ascii="Times New Roman" w:hAnsi="Times New Roman"/>
          <w:sz w:val="24"/>
          <w:szCs w:val="24"/>
        </w:rPr>
        <w:t>“</w:t>
      </w:r>
      <w:r w:rsidR="002B1283" w:rsidRPr="003F6F54">
        <w:rPr>
          <w:rFonts w:ascii="Times New Roman" w:hAnsi="Times New Roman"/>
          <w:sz w:val="24"/>
          <w:szCs w:val="24"/>
        </w:rPr>
        <w:t>Government Code section 850.4(section 850.4), the provision at issue in this case,</w:t>
      </w:r>
      <w:r w:rsidR="002B1283">
        <w:rPr>
          <w:rFonts w:ascii="Times New Roman" w:hAnsi="Times New Roman"/>
          <w:sz w:val="24"/>
          <w:szCs w:val="24"/>
        </w:rPr>
        <w:t xml:space="preserve"> </w:t>
      </w:r>
      <w:r w:rsidR="002B1283" w:rsidRPr="003F6F54">
        <w:rPr>
          <w:rFonts w:ascii="Times New Roman" w:hAnsi="Times New Roman"/>
          <w:sz w:val="24"/>
          <w:szCs w:val="24"/>
        </w:rPr>
        <w:t xml:space="preserve">establishes immunity: </w:t>
      </w:r>
      <w:r w:rsidR="002B1283">
        <w:rPr>
          <w:rFonts w:ascii="Times New Roman" w:hAnsi="Times New Roman"/>
          <w:sz w:val="24"/>
          <w:szCs w:val="24"/>
        </w:rPr>
        <w:t>‘</w:t>
      </w:r>
      <w:r w:rsidR="002B1283" w:rsidRPr="003F6F54">
        <w:rPr>
          <w:rFonts w:ascii="Times New Roman" w:hAnsi="Times New Roman"/>
          <w:sz w:val="24"/>
          <w:szCs w:val="24"/>
        </w:rPr>
        <w:t>Neither a public entity, nor a public employee acting in the scope of his employment, is liable for any injury resulting from the condition of fire protection or firefighting equipment or facilities or,</w:t>
      </w:r>
      <w:r w:rsidR="002B1283">
        <w:rPr>
          <w:rFonts w:ascii="Times New Roman" w:hAnsi="Times New Roman"/>
          <w:sz w:val="24"/>
          <w:szCs w:val="24"/>
        </w:rPr>
        <w:t>’</w:t>
      </w:r>
      <w:r w:rsidR="002B1283" w:rsidRPr="003F6F54">
        <w:rPr>
          <w:rFonts w:ascii="Times New Roman" w:hAnsi="Times New Roman"/>
          <w:sz w:val="24"/>
          <w:szCs w:val="24"/>
        </w:rPr>
        <w:t xml:space="preserve"> with the exception of certain motor vehicle accidents, </w:t>
      </w:r>
      <w:r w:rsidR="002B1283">
        <w:rPr>
          <w:rFonts w:ascii="Times New Roman" w:hAnsi="Times New Roman"/>
          <w:sz w:val="24"/>
          <w:szCs w:val="24"/>
        </w:rPr>
        <w:t>‘</w:t>
      </w:r>
      <w:r w:rsidR="002B1283" w:rsidRPr="003F6F54">
        <w:rPr>
          <w:rFonts w:ascii="Times New Roman" w:hAnsi="Times New Roman"/>
          <w:sz w:val="24"/>
          <w:szCs w:val="24"/>
        </w:rPr>
        <w:t>for any injury caused in fighting fires.</w:t>
      </w:r>
      <w:r w:rsidR="002B1283">
        <w:rPr>
          <w:rFonts w:ascii="Times New Roman" w:hAnsi="Times New Roman"/>
          <w:sz w:val="24"/>
          <w:szCs w:val="24"/>
        </w:rPr>
        <w:t>’</w:t>
      </w:r>
      <w:r w:rsidR="002B1283" w:rsidRPr="003F6F54">
        <w:rPr>
          <w:rFonts w:ascii="Times New Roman" w:hAnsi="Times New Roman"/>
          <w:sz w:val="24"/>
          <w:szCs w:val="24"/>
        </w:rPr>
        <w:t xml:space="preserve"> Section 850.4 was enacted at the recommendation of the Law Revision</w:t>
      </w:r>
      <w:r w:rsidR="002B1283">
        <w:rPr>
          <w:rFonts w:ascii="Times New Roman" w:hAnsi="Times New Roman"/>
          <w:sz w:val="24"/>
          <w:szCs w:val="24"/>
        </w:rPr>
        <w:t xml:space="preserve"> </w:t>
      </w:r>
      <w:r w:rsidR="002B1283" w:rsidRPr="003F6F54">
        <w:rPr>
          <w:rFonts w:ascii="Times New Roman" w:hAnsi="Times New Roman"/>
          <w:sz w:val="24"/>
          <w:szCs w:val="24"/>
        </w:rPr>
        <w:t>Commission.</w:t>
      </w:r>
      <w:r w:rsidR="002B1283">
        <w:rPr>
          <w:rFonts w:ascii="Times New Roman" w:hAnsi="Times New Roman"/>
          <w:sz w:val="24"/>
          <w:szCs w:val="24"/>
        </w:rPr>
        <w:t xml:space="preserve"> </w:t>
      </w:r>
      <w:r w:rsidR="002B1283" w:rsidRPr="003F6F54">
        <w:rPr>
          <w:rFonts w:ascii="Times New Roman" w:hAnsi="Times New Roman"/>
          <w:sz w:val="24"/>
          <w:szCs w:val="24"/>
        </w:rPr>
        <w:t>The commission’s report to the Legislature explained</w:t>
      </w:r>
      <w:r w:rsidR="002B1283">
        <w:rPr>
          <w:rFonts w:ascii="Times New Roman" w:hAnsi="Times New Roman"/>
          <w:sz w:val="24"/>
          <w:szCs w:val="24"/>
        </w:rPr>
        <w:t xml:space="preserve"> </w:t>
      </w:r>
      <w:r w:rsidR="002B1283" w:rsidRPr="003F6F54">
        <w:rPr>
          <w:rFonts w:ascii="Times New Roman" w:hAnsi="Times New Roman"/>
          <w:sz w:val="24"/>
          <w:szCs w:val="24"/>
        </w:rPr>
        <w:t xml:space="preserve">section 850.4’s purpose as follows: </w:t>
      </w:r>
      <w:r w:rsidR="002B1283">
        <w:rPr>
          <w:rFonts w:ascii="Times New Roman" w:hAnsi="Times New Roman"/>
          <w:sz w:val="24"/>
          <w:szCs w:val="24"/>
        </w:rPr>
        <w:t>‘</w:t>
      </w:r>
      <w:r w:rsidR="002B1283" w:rsidRPr="003F6F54">
        <w:rPr>
          <w:rFonts w:ascii="Times New Roman" w:hAnsi="Times New Roman"/>
          <w:sz w:val="24"/>
          <w:szCs w:val="24"/>
        </w:rPr>
        <w:t>There are adequate incentives to careful maintenance of fire equipment without imposing tort liability; and firemen should not be deterred from any action they may</w:t>
      </w:r>
      <w:r w:rsidR="002B1283">
        <w:rPr>
          <w:rFonts w:ascii="Times New Roman" w:hAnsi="Times New Roman"/>
          <w:sz w:val="24"/>
          <w:szCs w:val="24"/>
        </w:rPr>
        <w:t xml:space="preserve"> </w:t>
      </w:r>
      <w:r w:rsidR="002B1283" w:rsidRPr="003F6F54">
        <w:rPr>
          <w:rFonts w:ascii="Times New Roman" w:hAnsi="Times New Roman"/>
          <w:sz w:val="24"/>
          <w:szCs w:val="24"/>
        </w:rPr>
        <w:t>desire to take in combatting fires by a fear that liability might be imposed if a jury believes such action to be unreasonable.</w:t>
      </w:r>
      <w:r w:rsidR="002B1283">
        <w:rPr>
          <w:rFonts w:ascii="Times New Roman" w:hAnsi="Times New Roman"/>
          <w:sz w:val="24"/>
          <w:szCs w:val="24"/>
        </w:rPr>
        <w:t>’”</w:t>
      </w:r>
    </w:p>
    <w:p w14:paraId="1C545D90" w14:textId="77777777" w:rsidR="002B1283" w:rsidRDefault="002B1283" w:rsidP="002B1283">
      <w:pPr>
        <w:ind w:firstLine="720"/>
      </w:pPr>
      <w:hyperlink r:id="rId900" w:history="1">
        <w:r w:rsidRPr="0000752C">
          <w:rPr>
            <w:rStyle w:val="Hyperlink"/>
          </w:rPr>
          <w:t>https://law.justia.com/cases/california/supreme-court/2019/s242250.html</w:t>
        </w:r>
      </w:hyperlink>
      <w:r>
        <w:t xml:space="preserve"> </w:t>
      </w:r>
    </w:p>
    <w:bookmarkEnd w:id="190"/>
    <w:p w14:paraId="71E386B5" w14:textId="77777777" w:rsidR="002B1283" w:rsidRDefault="002B1283" w:rsidP="00F326E5">
      <w:pPr>
        <w:pStyle w:val="NoSpacing"/>
        <w:rPr>
          <w:sz w:val="24"/>
          <w:szCs w:val="24"/>
        </w:rPr>
      </w:pPr>
    </w:p>
    <w:p w14:paraId="0B2ADBAF" w14:textId="344C2A9F" w:rsidR="00EF1133" w:rsidRDefault="00EF1133" w:rsidP="00EF1133">
      <w:pPr>
        <w:rPr>
          <w:rFonts w:ascii="Arial Black" w:hAnsi="Arial Black"/>
          <w:sz w:val="28"/>
          <w:szCs w:val="28"/>
        </w:rPr>
      </w:pPr>
      <w:r w:rsidRPr="00EF1133">
        <w:rPr>
          <w:rStyle w:val="Hyperlink"/>
          <w:rFonts w:ascii="Arial Black" w:hAnsi="Arial Black"/>
          <w:b/>
          <w:color w:val="auto"/>
          <w:sz w:val="24"/>
          <w:szCs w:val="24"/>
          <w:u w:val="none"/>
        </w:rPr>
        <w:t>4-</w:t>
      </w:r>
      <w:r>
        <w:rPr>
          <w:rStyle w:val="Hyperlink"/>
          <w:rFonts w:ascii="Arial Black" w:hAnsi="Arial Black"/>
          <w:b/>
          <w:color w:val="auto"/>
          <w:sz w:val="24"/>
          <w:szCs w:val="24"/>
          <w:u w:val="none"/>
        </w:rPr>
        <w:t>2</w:t>
      </w:r>
    </w:p>
    <w:p w14:paraId="06A915EE" w14:textId="21C12EBD" w:rsidR="00F326E5" w:rsidRDefault="00F326E5" w:rsidP="00F326E5">
      <w:pPr>
        <w:pStyle w:val="NoSpacing"/>
        <w:rPr>
          <w:rFonts w:ascii="Arial Black" w:hAnsi="Arial Black"/>
          <w:sz w:val="28"/>
          <w:szCs w:val="28"/>
        </w:rPr>
      </w:pPr>
      <w:r w:rsidRPr="0077539E">
        <w:rPr>
          <w:rFonts w:ascii="Arial Black" w:hAnsi="Arial Black"/>
          <w:sz w:val="28"/>
          <w:szCs w:val="28"/>
        </w:rPr>
        <w:t xml:space="preserve">GA:  </w:t>
      </w:r>
      <w:r>
        <w:rPr>
          <w:rFonts w:ascii="Arial Black" w:hAnsi="Arial Black"/>
          <w:sz w:val="28"/>
          <w:szCs w:val="28"/>
        </w:rPr>
        <w:t xml:space="preserve">DRONE VIDEO ADMISSIBLE - SHOWS ARREST DURING DEMONSTRATION WAS LAWFUL </w:t>
      </w:r>
    </w:p>
    <w:p w14:paraId="65F0CFDA" w14:textId="77777777" w:rsidR="009C4A80" w:rsidRDefault="00F326E5" w:rsidP="00F326E5">
      <w:pPr>
        <w:pStyle w:val="NoSpacing"/>
        <w:rPr>
          <w:rFonts w:ascii="Times New Roman" w:hAnsi="Times New Roman"/>
          <w:sz w:val="24"/>
          <w:szCs w:val="24"/>
        </w:rPr>
      </w:pPr>
      <w:r w:rsidRPr="009C4A80">
        <w:rPr>
          <w:rFonts w:ascii="Times New Roman" w:hAnsi="Times New Roman"/>
          <w:sz w:val="24"/>
          <w:szCs w:val="24"/>
        </w:rPr>
        <w:t xml:space="preserve">On </w:t>
      </w:r>
      <w:bookmarkStart w:id="191" w:name="_Hlk39825247"/>
      <w:r w:rsidRPr="009C4A80">
        <w:rPr>
          <w:rFonts w:ascii="Times New Roman" w:hAnsi="Times New Roman"/>
          <w:sz w:val="24"/>
          <w:szCs w:val="24"/>
        </w:rPr>
        <w:t xml:space="preserve">March 28, 2019, in </w:t>
      </w:r>
      <w:r w:rsidRPr="009C4A80">
        <w:rPr>
          <w:rFonts w:ascii="Times New Roman" w:hAnsi="Times New Roman"/>
          <w:sz w:val="24"/>
          <w:szCs w:val="24"/>
          <w:u w:val="single"/>
        </w:rPr>
        <w:t>John Ruch v. Sergeant Michelle McKenzie</w:t>
      </w:r>
      <w:bookmarkEnd w:id="191"/>
      <w:r w:rsidRPr="009C4A80">
        <w:rPr>
          <w:rFonts w:ascii="Times New Roman" w:hAnsi="Times New Roman"/>
          <w:sz w:val="24"/>
          <w:szCs w:val="24"/>
        </w:rPr>
        <w:t xml:space="preserve">, U.S. District Court judge Michael L. Brown, US District Court, Northern District of Georgia / Atlanta, granted motion for summary judgment for Sergeant McKenzie, writing:   </w:t>
      </w:r>
    </w:p>
    <w:p w14:paraId="048DB128" w14:textId="77777777" w:rsidR="009C4A80" w:rsidRDefault="009C4A80" w:rsidP="009C4A80">
      <w:pPr>
        <w:pStyle w:val="NoSpacing"/>
        <w:ind w:firstLine="720"/>
        <w:rPr>
          <w:rFonts w:ascii="Times New Roman" w:hAnsi="Times New Roman"/>
          <w:sz w:val="24"/>
          <w:szCs w:val="24"/>
        </w:rPr>
      </w:pPr>
    </w:p>
    <w:p w14:paraId="1FBAF5CC" w14:textId="6262D4E1" w:rsidR="00F326E5" w:rsidRPr="009C4A80" w:rsidRDefault="00F326E5" w:rsidP="009C4A80">
      <w:pPr>
        <w:pStyle w:val="NoSpacing"/>
        <w:ind w:left="720"/>
        <w:rPr>
          <w:rFonts w:ascii="Times New Roman" w:hAnsi="Times New Roman"/>
          <w:sz w:val="24"/>
          <w:szCs w:val="24"/>
        </w:rPr>
      </w:pPr>
      <w:r w:rsidRPr="009C4A80">
        <w:rPr>
          <w:rFonts w:ascii="Times New Roman" w:hAnsi="Times New Roman"/>
          <w:sz w:val="24"/>
          <w:szCs w:val="24"/>
        </w:rPr>
        <w:t xml:space="preserve">“The video footage shows Plaintiff step off the sidewalk in one location, walk around a group of people watching and filming the fight, and step back onto the sidewalk — directly into the area where Defendant stood protecting the </w:t>
      </w:r>
      <w:proofErr w:type="gramStart"/>
      <w:r w:rsidRPr="009C4A80">
        <w:rPr>
          <w:rFonts w:ascii="Times New Roman" w:hAnsi="Times New Roman"/>
          <w:sz w:val="24"/>
          <w:szCs w:val="24"/>
        </w:rPr>
        <w:t>officers</w:t>
      </w:r>
      <w:proofErr w:type="gramEnd"/>
      <w:r w:rsidRPr="009C4A80">
        <w:rPr>
          <w:rFonts w:ascii="Times New Roman" w:hAnsi="Times New Roman"/>
          <w:sz w:val="24"/>
          <w:szCs w:val="24"/>
        </w:rPr>
        <w:t xml:space="preserve"> making arrests. (Id. at minute mark 3:58.) Contrary to Plaintiff’s allegations, he was not standing still at the time of his arrest. He was moving toward the area Defendant was trying to secure.” </w:t>
      </w:r>
      <w:bookmarkStart w:id="192" w:name="_Hlk39825271"/>
      <w:r w:rsidR="00F2621E">
        <w:fldChar w:fldCharType="begin"/>
      </w:r>
      <w:r w:rsidR="00F2621E">
        <w:instrText xml:space="preserve"> HYPERLINK "https://cases.justia.com/federal/district-courts/georgia/gandce/1:2015cv03296/220233/141/0.pdf?ts=1553851239" </w:instrText>
      </w:r>
      <w:r w:rsidR="00F2621E">
        <w:fldChar w:fldCharType="separate"/>
      </w:r>
      <w:r w:rsidRPr="009C4A80">
        <w:rPr>
          <w:rStyle w:val="Hyperlink"/>
          <w:rFonts w:ascii="Times New Roman" w:hAnsi="Times New Roman"/>
          <w:sz w:val="24"/>
          <w:szCs w:val="24"/>
        </w:rPr>
        <w:t>https://cases.justia.com/federal/district-courts/georgia/gandce/1:2015cv03296/220233/141/0.pdf?ts=1553851239</w:t>
      </w:r>
      <w:r w:rsidR="00F2621E">
        <w:rPr>
          <w:rStyle w:val="Hyperlink"/>
          <w:rFonts w:ascii="Times New Roman" w:hAnsi="Times New Roman"/>
          <w:sz w:val="24"/>
          <w:szCs w:val="24"/>
        </w:rPr>
        <w:fldChar w:fldCharType="end"/>
      </w:r>
      <w:r w:rsidRPr="009C4A80">
        <w:rPr>
          <w:rFonts w:ascii="Times New Roman" w:hAnsi="Times New Roman"/>
          <w:sz w:val="24"/>
          <w:szCs w:val="24"/>
        </w:rPr>
        <w:t xml:space="preserve"> </w:t>
      </w:r>
      <w:bookmarkEnd w:id="192"/>
    </w:p>
    <w:p w14:paraId="731179D7" w14:textId="77777777" w:rsidR="009C4A80" w:rsidRDefault="009C4A80" w:rsidP="00F326E5">
      <w:pPr>
        <w:rPr>
          <w:rFonts w:ascii="Times New Roman" w:hAnsi="Times New Roman"/>
          <w:b/>
          <w:sz w:val="24"/>
          <w:szCs w:val="24"/>
        </w:rPr>
      </w:pPr>
    </w:p>
    <w:p w14:paraId="62745EA3" w14:textId="4AD1F0D8" w:rsidR="00F326E5" w:rsidRPr="009C4A80" w:rsidRDefault="00F326E5" w:rsidP="00F326E5">
      <w:pPr>
        <w:rPr>
          <w:rFonts w:ascii="Times New Roman" w:hAnsi="Times New Roman"/>
          <w:b/>
          <w:sz w:val="24"/>
          <w:szCs w:val="24"/>
        </w:rPr>
      </w:pPr>
      <w:r w:rsidRPr="009C4A80">
        <w:rPr>
          <w:rFonts w:ascii="Times New Roman" w:hAnsi="Times New Roman"/>
          <w:b/>
          <w:sz w:val="24"/>
          <w:szCs w:val="24"/>
        </w:rPr>
        <w:t xml:space="preserve">Legal Lessons Learned:  Videos can sometimes lead to dismissal of </w:t>
      </w:r>
      <w:proofErr w:type="gramStart"/>
      <w:r w:rsidRPr="009C4A80">
        <w:rPr>
          <w:rFonts w:ascii="Times New Roman" w:hAnsi="Times New Roman"/>
          <w:b/>
          <w:sz w:val="24"/>
          <w:szCs w:val="24"/>
        </w:rPr>
        <w:t>lawsuit</w:t>
      </w:r>
      <w:proofErr w:type="gramEnd"/>
      <w:r w:rsidRPr="009C4A80">
        <w:rPr>
          <w:rFonts w:ascii="Times New Roman" w:hAnsi="Times New Roman"/>
          <w:b/>
          <w:sz w:val="24"/>
          <w:szCs w:val="24"/>
        </w:rPr>
        <w:t>.</w:t>
      </w:r>
    </w:p>
    <w:bookmarkEnd w:id="173"/>
    <w:p w14:paraId="59717D8D" w14:textId="007C121D" w:rsidR="00F326E5" w:rsidRDefault="00F326E5" w:rsidP="00F326E5">
      <w:pPr>
        <w:rPr>
          <w:rStyle w:val="Hyperlink"/>
          <w:b/>
          <w:sz w:val="24"/>
          <w:szCs w:val="24"/>
        </w:rPr>
      </w:pPr>
    </w:p>
    <w:p w14:paraId="32CF9051" w14:textId="50F7EE6F" w:rsidR="009C4A80" w:rsidRDefault="009C4A80" w:rsidP="00F326E5">
      <w:pPr>
        <w:rPr>
          <w:rStyle w:val="Hyperlink"/>
          <w:b/>
          <w:sz w:val="24"/>
          <w:szCs w:val="24"/>
        </w:rPr>
      </w:pPr>
    </w:p>
    <w:p w14:paraId="5282FA41" w14:textId="77777777" w:rsidR="009C4A80" w:rsidRDefault="009C4A80" w:rsidP="00F326E5">
      <w:pPr>
        <w:rPr>
          <w:rStyle w:val="Hyperlink"/>
          <w:b/>
          <w:sz w:val="24"/>
          <w:szCs w:val="24"/>
        </w:rPr>
      </w:pPr>
    </w:p>
    <w:p w14:paraId="6F4D3831" w14:textId="25C4E644" w:rsidR="00EF1133" w:rsidRPr="00EF1133" w:rsidRDefault="00EF1133" w:rsidP="00F326E5">
      <w:pPr>
        <w:rPr>
          <w:rStyle w:val="Hyperlink"/>
          <w:rFonts w:ascii="Arial Black" w:hAnsi="Arial Black"/>
          <w:b/>
          <w:color w:val="auto"/>
          <w:sz w:val="24"/>
          <w:szCs w:val="24"/>
          <w:u w:val="none"/>
        </w:rPr>
      </w:pPr>
      <w:r w:rsidRPr="00EF1133">
        <w:rPr>
          <w:rStyle w:val="Hyperlink"/>
          <w:rFonts w:ascii="Arial Black" w:hAnsi="Arial Black"/>
          <w:b/>
          <w:color w:val="auto"/>
          <w:sz w:val="24"/>
          <w:szCs w:val="24"/>
          <w:u w:val="none"/>
        </w:rPr>
        <w:t>4-1</w:t>
      </w:r>
    </w:p>
    <w:p w14:paraId="71EA5D9D" w14:textId="6024D070" w:rsidR="00F326E5" w:rsidRPr="009F2867" w:rsidRDefault="00F326E5" w:rsidP="00F326E5">
      <w:pPr>
        <w:pStyle w:val="NoSpacing"/>
        <w:rPr>
          <w:rFonts w:ascii="Arial Black" w:hAnsi="Arial Black"/>
          <w:sz w:val="24"/>
          <w:szCs w:val="24"/>
        </w:rPr>
      </w:pPr>
      <w:bookmarkStart w:id="193" w:name="_Hlk7249620"/>
      <w:r w:rsidRPr="007F6024">
        <w:rPr>
          <w:rFonts w:ascii="Arial Black" w:hAnsi="Arial Black"/>
          <w:sz w:val="28"/>
          <w:szCs w:val="28"/>
        </w:rPr>
        <w:t xml:space="preserve">OH: </w:t>
      </w:r>
      <w:r>
        <w:rPr>
          <w:rFonts w:ascii="Arial Black" w:hAnsi="Arial Black"/>
          <w:sz w:val="28"/>
          <w:szCs w:val="28"/>
        </w:rPr>
        <w:t xml:space="preserve">MJ FOUND IN HOUSE FIRE – DRUG DETECTIVE NEEDED WARRANT – SCENE WAS SAFE </w:t>
      </w:r>
    </w:p>
    <w:p w14:paraId="019E5400" w14:textId="77777777" w:rsidR="009C4A80" w:rsidRDefault="00F326E5" w:rsidP="00F326E5">
      <w:pPr>
        <w:rPr>
          <w:rFonts w:ascii="Times New Roman" w:eastAsia="Times New Roman" w:hAnsi="Times New Roman"/>
          <w:sz w:val="24"/>
          <w:szCs w:val="24"/>
        </w:rPr>
      </w:pPr>
      <w:r w:rsidRPr="009C4A80">
        <w:rPr>
          <w:rFonts w:ascii="Times New Roman" w:eastAsia="Times New Roman" w:hAnsi="Times New Roman"/>
          <w:sz w:val="24"/>
          <w:szCs w:val="24"/>
        </w:rPr>
        <w:t xml:space="preserve">On Aug. 24, 2018, in </w:t>
      </w:r>
      <w:r w:rsidRPr="009C4A80">
        <w:rPr>
          <w:rFonts w:ascii="Times New Roman" w:eastAsia="Times New Roman" w:hAnsi="Times New Roman"/>
          <w:sz w:val="24"/>
          <w:szCs w:val="24"/>
          <w:u w:val="single"/>
        </w:rPr>
        <w:t>State of Ohio v. Albert N. Smith</w:t>
      </w:r>
      <w:r w:rsidRPr="009C4A80">
        <w:rPr>
          <w:rFonts w:ascii="Times New Roman" w:eastAsia="Times New Roman" w:hAnsi="Times New Roman"/>
          <w:sz w:val="24"/>
          <w:szCs w:val="24"/>
        </w:rPr>
        <w:t xml:space="preserve">, the Court of Appeals for Fifth Appellate District (Licking County) held (3 to 0) that the trial court judge properly granted defendant’s motion to suppress the marijuana and other evidence. </w:t>
      </w:r>
    </w:p>
    <w:p w14:paraId="4716569B" w14:textId="3209312F" w:rsidR="00F326E5" w:rsidRPr="009C4A80" w:rsidRDefault="00F326E5" w:rsidP="009C4A80">
      <w:pPr>
        <w:ind w:left="720" w:firstLine="60"/>
        <w:rPr>
          <w:rFonts w:ascii="Times New Roman" w:eastAsia="Times New Roman" w:hAnsi="Times New Roman"/>
          <w:sz w:val="24"/>
          <w:szCs w:val="24"/>
        </w:rPr>
      </w:pPr>
      <w:r w:rsidRPr="009C4A80">
        <w:rPr>
          <w:rFonts w:ascii="Times New Roman" w:eastAsia="Times New Roman" w:hAnsi="Times New Roman"/>
          <w:sz w:val="24"/>
          <w:szCs w:val="24"/>
        </w:rPr>
        <w:t xml:space="preserve">“Det. Thomas testified that he was assured the fire was out, and the home was safe for him to enter …. Det. Thomas also stated that he was not told that any of the evidence was in danger of being damaged by smoke, water or fire. </w:t>
      </w:r>
      <w:r w:rsidRPr="009C4A80">
        <w:rPr>
          <w:rFonts w:ascii="Times New Roman" w:hAnsi="Times New Roman"/>
          <w:sz w:val="24"/>
          <w:szCs w:val="24"/>
        </w:rPr>
        <w:t>Based on the foregoing, we</w:t>
      </w:r>
      <w:r w:rsidRPr="009C4A80">
        <w:rPr>
          <w:rFonts w:ascii="Times New Roman" w:eastAsia="Times New Roman" w:hAnsi="Times New Roman"/>
          <w:sz w:val="24"/>
          <w:szCs w:val="24"/>
        </w:rPr>
        <w:t xml:space="preserve"> do not find exigent </w:t>
      </w:r>
      <w:proofErr w:type="gramStart"/>
      <w:r w:rsidRPr="009C4A80">
        <w:rPr>
          <w:rFonts w:ascii="Times New Roman" w:eastAsia="Times New Roman" w:hAnsi="Times New Roman"/>
          <w:sz w:val="24"/>
          <w:szCs w:val="24"/>
        </w:rPr>
        <w:t>circumstances existed</w:t>
      </w:r>
      <w:proofErr w:type="gramEnd"/>
      <w:r w:rsidRPr="009C4A80">
        <w:rPr>
          <w:rFonts w:ascii="Times New Roman" w:eastAsia="Times New Roman" w:hAnsi="Times New Roman"/>
          <w:sz w:val="24"/>
          <w:szCs w:val="24"/>
        </w:rPr>
        <w:t xml:space="preserve"> that required or allowed for a warrantless search of the premises. We therefore find no error in the trial court’s suppression of the evidence collected in this matter.”</w:t>
      </w:r>
      <w:r w:rsidRPr="009C4A80">
        <w:rPr>
          <w:rFonts w:ascii="Times New Roman" w:hAnsi="Times New Roman"/>
          <w:sz w:val="24"/>
          <w:szCs w:val="24"/>
        </w:rPr>
        <w:t xml:space="preserve"> </w:t>
      </w:r>
      <w:hyperlink r:id="rId901" w:history="1">
        <w:r w:rsidRPr="009C4A80">
          <w:rPr>
            <w:rStyle w:val="Hyperlink"/>
            <w:rFonts w:ascii="Times New Roman" w:hAnsi="Times New Roman"/>
            <w:sz w:val="24"/>
            <w:szCs w:val="24"/>
          </w:rPr>
          <w:t>http://www.supremecourt.ohio.gov/rod/docs/pdf/5/2018/2018-Ohio-3436.pdf</w:t>
        </w:r>
      </w:hyperlink>
      <w:r w:rsidRPr="009C4A80">
        <w:rPr>
          <w:rFonts w:ascii="Times New Roman" w:eastAsia="Times New Roman" w:hAnsi="Times New Roman"/>
          <w:sz w:val="24"/>
          <w:szCs w:val="24"/>
        </w:rPr>
        <w:t xml:space="preserve"> </w:t>
      </w:r>
    </w:p>
    <w:p w14:paraId="3F055AD7" w14:textId="77777777" w:rsidR="00F326E5" w:rsidRPr="009C4A80" w:rsidRDefault="00F326E5" w:rsidP="00F326E5">
      <w:pPr>
        <w:rPr>
          <w:rFonts w:ascii="Times New Roman" w:eastAsia="Times New Roman" w:hAnsi="Times New Roman"/>
          <w:b/>
          <w:sz w:val="24"/>
          <w:szCs w:val="24"/>
        </w:rPr>
      </w:pPr>
      <w:r w:rsidRPr="009C4A80">
        <w:rPr>
          <w:rFonts w:ascii="Times New Roman" w:eastAsia="Times New Roman" w:hAnsi="Times New Roman"/>
          <w:b/>
          <w:sz w:val="24"/>
          <w:szCs w:val="24"/>
        </w:rPr>
        <w:t xml:space="preserve">Legal Lessons Learned:  If the structure fire has been extinguished, and the property deemed safe to enter, FD should continue to secure the property, while PD gets a search warrant. </w:t>
      </w:r>
    </w:p>
    <w:bookmarkEnd w:id="193"/>
    <w:p w14:paraId="496712ED" w14:textId="77777777" w:rsidR="00DE42DC" w:rsidRDefault="00F326E5" w:rsidP="00F326E5">
      <w:pPr>
        <w:rPr>
          <w:rFonts w:ascii="Times New Roman" w:hAnsi="Times New Roman"/>
          <w:sz w:val="24"/>
          <w:szCs w:val="24"/>
        </w:rPr>
      </w:pPr>
      <w:r w:rsidRPr="009C4A80">
        <w:rPr>
          <w:rFonts w:ascii="Times New Roman" w:hAnsi="Times New Roman"/>
          <w:sz w:val="24"/>
          <w:szCs w:val="24"/>
        </w:rPr>
        <w:br w:type="page"/>
      </w:r>
    </w:p>
    <w:p w14:paraId="5309A560" w14:textId="77777777" w:rsidR="00DE42DC" w:rsidRDefault="00DE42DC" w:rsidP="00F326E5">
      <w:pPr>
        <w:rPr>
          <w:rFonts w:ascii="Times New Roman" w:hAnsi="Times New Roman"/>
          <w:sz w:val="24"/>
          <w:szCs w:val="24"/>
        </w:rPr>
      </w:pPr>
    </w:p>
    <w:p w14:paraId="6B1959FF" w14:textId="77777777" w:rsidR="00DE42DC" w:rsidRDefault="00DE42DC" w:rsidP="00F326E5">
      <w:pPr>
        <w:rPr>
          <w:rFonts w:ascii="Times New Roman" w:hAnsi="Times New Roman"/>
          <w:sz w:val="24"/>
          <w:szCs w:val="24"/>
        </w:rPr>
      </w:pPr>
    </w:p>
    <w:p w14:paraId="684CEFC3" w14:textId="77777777" w:rsidR="005263F1" w:rsidRDefault="005263F1" w:rsidP="00F326E5">
      <w:pPr>
        <w:rPr>
          <w:rFonts w:ascii="Arial Black" w:hAnsi="Arial Black"/>
          <w:sz w:val="40"/>
          <w:szCs w:val="40"/>
        </w:rPr>
      </w:pPr>
    </w:p>
    <w:p w14:paraId="3A43B264" w14:textId="77777777" w:rsidR="005263F1" w:rsidRDefault="005263F1" w:rsidP="00F326E5">
      <w:pPr>
        <w:rPr>
          <w:rFonts w:ascii="Arial Black" w:hAnsi="Arial Black"/>
          <w:sz w:val="40"/>
          <w:szCs w:val="40"/>
        </w:rPr>
      </w:pPr>
    </w:p>
    <w:p w14:paraId="1E061D7A" w14:textId="77777777" w:rsidR="005263F1" w:rsidRDefault="005263F1" w:rsidP="00F326E5">
      <w:pPr>
        <w:rPr>
          <w:rFonts w:ascii="Arial Black" w:hAnsi="Arial Black"/>
          <w:sz w:val="40"/>
          <w:szCs w:val="40"/>
        </w:rPr>
      </w:pPr>
    </w:p>
    <w:p w14:paraId="48C76D90" w14:textId="77777777" w:rsidR="005263F1" w:rsidRDefault="005263F1" w:rsidP="00F326E5">
      <w:pPr>
        <w:rPr>
          <w:rFonts w:ascii="Arial Black" w:hAnsi="Arial Black"/>
          <w:sz w:val="40"/>
          <w:szCs w:val="40"/>
        </w:rPr>
      </w:pPr>
    </w:p>
    <w:p w14:paraId="48DBD379" w14:textId="77777777" w:rsidR="005263F1" w:rsidRDefault="005263F1" w:rsidP="00F326E5">
      <w:pPr>
        <w:rPr>
          <w:rFonts w:ascii="Arial Black" w:hAnsi="Arial Black"/>
          <w:sz w:val="40"/>
          <w:szCs w:val="40"/>
        </w:rPr>
      </w:pPr>
    </w:p>
    <w:p w14:paraId="7CA0ABAC" w14:textId="77777777" w:rsidR="005263F1" w:rsidRDefault="005263F1" w:rsidP="00F326E5">
      <w:pPr>
        <w:rPr>
          <w:rFonts w:ascii="Arial Black" w:hAnsi="Arial Black"/>
          <w:sz w:val="40"/>
          <w:szCs w:val="40"/>
        </w:rPr>
      </w:pPr>
    </w:p>
    <w:p w14:paraId="46BBA60C" w14:textId="77777777" w:rsidR="005263F1" w:rsidRDefault="005263F1" w:rsidP="00F326E5">
      <w:pPr>
        <w:rPr>
          <w:rFonts w:ascii="Arial Black" w:hAnsi="Arial Black"/>
          <w:sz w:val="40"/>
          <w:szCs w:val="40"/>
        </w:rPr>
      </w:pPr>
    </w:p>
    <w:p w14:paraId="08B77CA9" w14:textId="77777777" w:rsidR="005263F1" w:rsidRDefault="005263F1" w:rsidP="00F326E5">
      <w:pPr>
        <w:rPr>
          <w:rFonts w:ascii="Arial Black" w:hAnsi="Arial Black"/>
          <w:sz w:val="40"/>
          <w:szCs w:val="40"/>
        </w:rPr>
      </w:pPr>
    </w:p>
    <w:p w14:paraId="6FA9E4BE" w14:textId="77777777" w:rsidR="005263F1" w:rsidRDefault="005263F1" w:rsidP="00F326E5">
      <w:pPr>
        <w:rPr>
          <w:rFonts w:ascii="Arial Black" w:hAnsi="Arial Black"/>
          <w:sz w:val="40"/>
          <w:szCs w:val="40"/>
        </w:rPr>
      </w:pPr>
    </w:p>
    <w:p w14:paraId="533F9C13" w14:textId="77777777" w:rsidR="005263F1" w:rsidRDefault="005263F1" w:rsidP="00F326E5">
      <w:pPr>
        <w:rPr>
          <w:rFonts w:ascii="Arial Black" w:hAnsi="Arial Black"/>
          <w:sz w:val="40"/>
          <w:szCs w:val="40"/>
        </w:rPr>
      </w:pPr>
    </w:p>
    <w:p w14:paraId="7C8E835F" w14:textId="77777777" w:rsidR="005263F1" w:rsidRDefault="005263F1" w:rsidP="00F326E5">
      <w:pPr>
        <w:rPr>
          <w:rFonts w:ascii="Arial Black" w:hAnsi="Arial Black"/>
          <w:sz w:val="40"/>
          <w:szCs w:val="40"/>
        </w:rPr>
      </w:pPr>
    </w:p>
    <w:p w14:paraId="3E20CA32" w14:textId="77777777" w:rsidR="005263F1" w:rsidRDefault="005263F1" w:rsidP="00F326E5">
      <w:pPr>
        <w:rPr>
          <w:rFonts w:ascii="Arial Black" w:hAnsi="Arial Black"/>
          <w:sz w:val="40"/>
          <w:szCs w:val="40"/>
        </w:rPr>
      </w:pPr>
    </w:p>
    <w:p w14:paraId="2A673545" w14:textId="77777777" w:rsidR="005263F1" w:rsidRDefault="005263F1" w:rsidP="00F326E5">
      <w:pPr>
        <w:rPr>
          <w:rFonts w:ascii="Arial Black" w:hAnsi="Arial Black"/>
          <w:sz w:val="40"/>
          <w:szCs w:val="40"/>
        </w:rPr>
      </w:pPr>
    </w:p>
    <w:p w14:paraId="6BC32481" w14:textId="77777777" w:rsidR="005263F1" w:rsidRDefault="005263F1" w:rsidP="00F326E5">
      <w:pPr>
        <w:rPr>
          <w:rFonts w:ascii="Arial Black" w:hAnsi="Arial Black"/>
          <w:sz w:val="40"/>
          <w:szCs w:val="40"/>
        </w:rPr>
      </w:pPr>
    </w:p>
    <w:p w14:paraId="480FF2C6" w14:textId="77777777" w:rsidR="005263F1" w:rsidRDefault="005263F1" w:rsidP="00F326E5">
      <w:pPr>
        <w:rPr>
          <w:rFonts w:ascii="Arial Black" w:hAnsi="Arial Black"/>
          <w:sz w:val="40"/>
          <w:szCs w:val="40"/>
        </w:rPr>
      </w:pPr>
    </w:p>
    <w:p w14:paraId="310E0FCD" w14:textId="77777777" w:rsidR="005263F1" w:rsidRDefault="005263F1" w:rsidP="00F326E5">
      <w:pPr>
        <w:rPr>
          <w:rFonts w:ascii="Arial Black" w:hAnsi="Arial Black"/>
          <w:sz w:val="40"/>
          <w:szCs w:val="40"/>
        </w:rPr>
      </w:pPr>
    </w:p>
    <w:p w14:paraId="4B7ABE79" w14:textId="26E16C8C" w:rsidR="00F326E5" w:rsidRDefault="00F326E5" w:rsidP="00F326E5">
      <w:pPr>
        <w:rPr>
          <w:rFonts w:ascii="Arial Black" w:hAnsi="Arial Black"/>
          <w:sz w:val="40"/>
          <w:szCs w:val="40"/>
        </w:rPr>
      </w:pPr>
      <w:r w:rsidRPr="007732FA">
        <w:rPr>
          <w:rFonts w:ascii="Arial Black" w:hAnsi="Arial Black"/>
          <w:sz w:val="40"/>
          <w:szCs w:val="40"/>
        </w:rPr>
        <w:lastRenderedPageBreak/>
        <w:t>Chap. 5</w:t>
      </w:r>
      <w:r w:rsidRPr="007732FA">
        <w:rPr>
          <w:rFonts w:ascii="Arial Black" w:hAnsi="Arial Black"/>
          <w:sz w:val="40"/>
          <w:szCs w:val="40"/>
        </w:rPr>
        <w:tab/>
        <w:t>Emergency Vehicle Operations</w:t>
      </w:r>
    </w:p>
    <w:p w14:paraId="56BD550E" w14:textId="77777777" w:rsidR="00B63DAD" w:rsidRDefault="00B63DAD" w:rsidP="000C62A1">
      <w:pPr>
        <w:pStyle w:val="NoSpacing"/>
        <w:rPr>
          <w:rFonts w:ascii="Arial Black" w:hAnsi="Arial Black"/>
          <w:sz w:val="28"/>
          <w:szCs w:val="28"/>
        </w:rPr>
      </w:pPr>
      <w:bookmarkStart w:id="194" w:name="_Hlk7342650"/>
    </w:p>
    <w:p w14:paraId="35768A98" w14:textId="5B705C90" w:rsidR="00CA01BF" w:rsidRDefault="00CA01BF" w:rsidP="00CA01BF">
      <w:pPr>
        <w:rPr>
          <w:rFonts w:ascii="Arial Black" w:hAnsi="Arial Black"/>
          <w:sz w:val="28"/>
          <w:szCs w:val="28"/>
        </w:rPr>
      </w:pPr>
      <w:r>
        <w:rPr>
          <w:rFonts w:ascii="Arial Black" w:hAnsi="Arial Black"/>
          <w:sz w:val="28"/>
          <w:szCs w:val="28"/>
        </w:rPr>
        <w:t>5-63</w:t>
      </w:r>
    </w:p>
    <w:p w14:paraId="20AD16C5" w14:textId="45FA7C12" w:rsidR="00CA01BF" w:rsidRPr="00BA5B26" w:rsidRDefault="00CA01BF" w:rsidP="00CA01BF">
      <w:pPr>
        <w:rPr>
          <w:rFonts w:ascii="Arial Black" w:hAnsi="Arial Black"/>
          <w:sz w:val="28"/>
          <w:szCs w:val="28"/>
        </w:rPr>
      </w:pPr>
      <w:r>
        <w:rPr>
          <w:rFonts w:ascii="Arial Black" w:hAnsi="Arial Black"/>
          <w:sz w:val="28"/>
          <w:szCs w:val="28"/>
        </w:rPr>
        <w:t xml:space="preserve">TX: AERIAL – GROCERIES / BACKED CAR – FD “ON DUTY” </w:t>
      </w:r>
    </w:p>
    <w:p w14:paraId="2B4F3BB0" w14:textId="77777777" w:rsidR="00CA01BF" w:rsidRDefault="00CA01BF" w:rsidP="00CA01BF">
      <w:pPr>
        <w:pStyle w:val="NoSpacing"/>
        <w:rPr>
          <w:bCs/>
        </w:rPr>
      </w:pPr>
      <w:r>
        <w:t xml:space="preserve">On March 24, 2026, in </w:t>
      </w:r>
      <w:r w:rsidRPr="00C970B8">
        <w:rPr>
          <w:u w:val="single"/>
        </w:rPr>
        <w:t>The City of Houston v. Hollis F. Holmes</w:t>
      </w:r>
      <w:r>
        <w:t xml:space="preserve">, the </w:t>
      </w:r>
      <w:r w:rsidRPr="00C970B8">
        <w:t>Court of Appeals of Texas, First District</w:t>
      </w:r>
      <w:r>
        <w:t xml:space="preserve"> held (3 to 0) that trial court properly held that the four firefighters were on duty when picking up groceries for their shift, and therefore the City can be sued for damage to plaintiff’s car when they backed into her.  </w:t>
      </w:r>
      <w:hyperlink r:id="rId902" w:history="1">
        <w:r w:rsidRPr="00682DA7">
          <w:rPr>
            <w:rStyle w:val="Hyperlink"/>
          </w:rPr>
          <w:t>https://cases.justia.com/texas/first-court-of-appeals/2026-01-25-00359-cv.pdf?ts=1774367002</w:t>
        </w:r>
      </w:hyperlink>
      <w:r>
        <w:t xml:space="preserve"> </w:t>
      </w:r>
    </w:p>
    <w:p w14:paraId="19B1AAA7" w14:textId="77777777" w:rsidR="00CA01BF" w:rsidRDefault="00CA01BF" w:rsidP="00CA01BF">
      <w:pPr>
        <w:pStyle w:val="NoSpacing"/>
        <w:rPr>
          <w:bCs/>
        </w:rPr>
      </w:pPr>
    </w:p>
    <w:p w14:paraId="4FEC88BB" w14:textId="77777777" w:rsidR="00CA01BF" w:rsidRDefault="00CA01BF" w:rsidP="00CA01BF">
      <w:pPr>
        <w:pStyle w:val="NoSpacing"/>
        <w:rPr>
          <w:bCs/>
        </w:rPr>
      </w:pPr>
      <w:r>
        <w:t xml:space="preserve">THE COURT HELD: </w:t>
      </w:r>
    </w:p>
    <w:p w14:paraId="40465363" w14:textId="77777777" w:rsidR="00CA01BF" w:rsidRDefault="00CA01BF" w:rsidP="00CA01BF">
      <w:pPr>
        <w:pStyle w:val="NoSpacing"/>
        <w:rPr>
          <w:bCs/>
        </w:rPr>
      </w:pPr>
    </w:p>
    <w:p w14:paraId="64F9D48E" w14:textId="77777777" w:rsidR="00CA01BF" w:rsidRDefault="00CA01BF" w:rsidP="00CA01BF">
      <w:pPr>
        <w:pStyle w:val="NoSpacing"/>
        <w:ind w:left="720"/>
      </w:pPr>
      <w:r>
        <w:t>“</w:t>
      </w:r>
      <w:r w:rsidRPr="00377F72">
        <w:t>On September 11, 2022, at approximately 11 a.m., Houston firefighter Eugene Schifani drove a Houston Fire Department (</w:t>
      </w:r>
      <w:r>
        <w:t>‘</w:t>
      </w:r>
      <w:r w:rsidRPr="00377F72">
        <w:t>HFD</w:t>
      </w:r>
      <w:r>
        <w:t>’</w:t>
      </w:r>
      <w:r w:rsidRPr="00377F72">
        <w:t xml:space="preserve">) ladder truck to an H-E-B grocery store in Houston, Texas with three other firefighters on board. </w:t>
      </w:r>
      <w:proofErr w:type="spellStart"/>
      <w:r w:rsidRPr="00377F72">
        <w:t>Schifani</w:t>
      </w:r>
      <w:proofErr w:type="spellEnd"/>
      <w:r w:rsidRPr="00377F72">
        <w:t xml:space="preserve"> and firefighter Troy Dornak waited in the fire truck with its engine running while the two other firefighters went inside the grocery store to purchase groceries for the fire station's crew to eat during their twenty-four-hour shift. According to Schifani, the fire truck's engine remained running during the forty-five minutes the two firefighters were in the store </w:t>
      </w:r>
      <w:r>
        <w:t>‘</w:t>
      </w:r>
      <w:r w:rsidRPr="00377F72">
        <w:t>just in case we got an emergency call for a ladder truck while on our grocery run.</w:t>
      </w:r>
      <w:r>
        <w:t>’</w:t>
      </w:r>
    </w:p>
    <w:p w14:paraId="5F5C3263" w14:textId="77777777" w:rsidR="00CA01BF" w:rsidRDefault="00CA01BF" w:rsidP="00CA01BF">
      <w:pPr>
        <w:pStyle w:val="NoSpacing"/>
        <w:ind w:left="720"/>
      </w:pPr>
    </w:p>
    <w:p w14:paraId="6F05E1E5" w14:textId="77777777" w:rsidR="00CA01BF" w:rsidRDefault="00CA01BF" w:rsidP="00CA01BF">
      <w:pPr>
        <w:pStyle w:val="NoSpacing"/>
        <w:ind w:left="720"/>
      </w:pPr>
      <w:r>
        <w:t>***</w:t>
      </w:r>
    </w:p>
    <w:p w14:paraId="4FB7F78A" w14:textId="77777777" w:rsidR="00CA01BF" w:rsidRDefault="00CA01BF" w:rsidP="00CA01BF">
      <w:pPr>
        <w:pStyle w:val="NoSpacing"/>
        <w:ind w:left="720"/>
      </w:pPr>
      <w:r w:rsidRPr="003D28DE">
        <w:t xml:space="preserve">The groceries were purchased </w:t>
      </w:r>
      <w:r>
        <w:t>‘</w:t>
      </w:r>
      <w:r w:rsidRPr="003D28DE">
        <w:t xml:space="preserve">to be prepared at the station for lunch, dinner and breakfast the next day. We have twelve firefighters at Station 62 for the shift. Each firefighter chips in $25.00, so we [have] $300.00 to buy groceries for three </w:t>
      </w:r>
      <w:proofErr w:type="gramStart"/>
      <w:r w:rsidRPr="003D28DE">
        <w:t>really substantial</w:t>
      </w:r>
      <w:proofErr w:type="gramEnd"/>
      <w:r w:rsidRPr="003D28DE">
        <w:t xml:space="preserve"> meals.</w:t>
      </w:r>
      <w:r>
        <w:t>’</w:t>
      </w:r>
    </w:p>
    <w:p w14:paraId="5FA051F5" w14:textId="77777777" w:rsidR="00CA01BF" w:rsidRDefault="00CA01BF" w:rsidP="00CA01BF">
      <w:pPr>
        <w:pStyle w:val="NoSpacing"/>
        <w:ind w:left="720"/>
      </w:pPr>
    </w:p>
    <w:p w14:paraId="24750244" w14:textId="77777777" w:rsidR="00CA01BF" w:rsidRDefault="00CA01BF" w:rsidP="00CA01BF">
      <w:pPr>
        <w:pStyle w:val="NoSpacing"/>
        <w:ind w:left="720"/>
      </w:pPr>
      <w:r>
        <w:t>***</w:t>
      </w:r>
    </w:p>
    <w:p w14:paraId="37E4B183" w14:textId="77777777" w:rsidR="00CA01BF" w:rsidRDefault="00CA01BF" w:rsidP="00CA01BF">
      <w:pPr>
        <w:pStyle w:val="NoSpacing"/>
        <w:ind w:left="720"/>
      </w:pPr>
      <w:r>
        <w:t xml:space="preserve">The </w:t>
      </w:r>
      <w:proofErr w:type="gramStart"/>
      <w:r>
        <w:t>City</w:t>
      </w:r>
      <w:proofErr w:type="gramEnd"/>
      <w:r>
        <w:t xml:space="preserve"> pled in its answer, among other things, that governmental immunity barred Holmes’ claims…. In its summary judgment reply, the </w:t>
      </w:r>
      <w:proofErr w:type="gramStart"/>
      <w:r>
        <w:t>City</w:t>
      </w:r>
      <w:proofErr w:type="gramEnd"/>
      <w:r>
        <w:t xml:space="preserve"> argued </w:t>
      </w:r>
      <w:proofErr w:type="gramStart"/>
      <w:r>
        <w:t>that ‘[</w:t>
      </w:r>
      <w:proofErr w:type="gramEnd"/>
      <w:r>
        <w:t xml:space="preserve">c]o-workers tasked by other co-workers to buy groceries during the shift and every shift does not make the errand in the scope of employment;’ going to purchase groceries in </w:t>
      </w:r>
      <w:proofErr w:type="gramStart"/>
      <w:r>
        <w:t>a</w:t>
      </w:r>
      <w:proofErr w:type="gramEnd"/>
      <w:r>
        <w:t xml:space="preserve"> HFD</w:t>
      </w:r>
    </w:p>
    <w:p w14:paraId="5B7ABB04" w14:textId="77777777" w:rsidR="00CA01BF" w:rsidRDefault="00CA01BF" w:rsidP="00CA01BF">
      <w:pPr>
        <w:pStyle w:val="NoSpacing"/>
        <w:ind w:left="720"/>
      </w:pPr>
      <w:r>
        <w:t>ladder truck does not turn the errand into a ‘scope of employment endeavor;’ the</w:t>
      </w:r>
    </w:p>
    <w:p w14:paraId="0E656CC9" w14:textId="77777777" w:rsidR="00CA01BF" w:rsidRDefault="00CA01BF" w:rsidP="00CA01BF">
      <w:pPr>
        <w:pStyle w:val="NoSpacing"/>
        <w:ind w:left="720"/>
      </w:pPr>
      <w:r>
        <w:t>City does not derive benefit from the grocery run; and the grocery run was not in</w:t>
      </w:r>
    </w:p>
    <w:p w14:paraId="640B16CF" w14:textId="77777777" w:rsidR="00CA01BF" w:rsidRDefault="00CA01BF" w:rsidP="00CA01BF">
      <w:pPr>
        <w:pStyle w:val="NoSpacing"/>
        <w:ind w:left="720"/>
      </w:pPr>
      <w:r>
        <w:t>furtherance of the City’s business.</w:t>
      </w:r>
    </w:p>
    <w:p w14:paraId="18770175" w14:textId="77777777" w:rsidR="00CA01BF" w:rsidRDefault="00CA01BF" w:rsidP="00CA01BF">
      <w:pPr>
        <w:pStyle w:val="NoSpacing"/>
        <w:ind w:left="720"/>
      </w:pPr>
    </w:p>
    <w:p w14:paraId="287F9B74" w14:textId="77777777" w:rsidR="00CA01BF" w:rsidRDefault="00CA01BF" w:rsidP="00CA01BF">
      <w:pPr>
        <w:pStyle w:val="NoSpacing"/>
        <w:ind w:left="720"/>
      </w:pPr>
      <w:r>
        <w:t>***</w:t>
      </w:r>
    </w:p>
    <w:p w14:paraId="427B8296" w14:textId="77777777" w:rsidR="00CA01BF" w:rsidRDefault="00CA01BF" w:rsidP="00CA01BF">
      <w:pPr>
        <w:pStyle w:val="NoSpacing"/>
        <w:ind w:left="720"/>
      </w:pPr>
      <w:r>
        <w:t xml:space="preserve">The grocery trip was not made to purchase </w:t>
      </w:r>
      <w:proofErr w:type="spellStart"/>
      <w:r>
        <w:t>Schifani’s</w:t>
      </w:r>
      <w:proofErr w:type="spellEnd"/>
      <w:r>
        <w:t xml:space="preserve"> own personal groceries, or even just for those four firefighters with him at the store, but for the entire on-duty crew. Given that he was required to remain ready and able to cover any emergency that arose during the grocery run, there is at least a fact question as to whether he was acting in the course and scope of his employment when the fire truck struck Holmes’ car…. We affirm the trial court’s denial of the City of Houston’s motion for summary judgment.”</w:t>
      </w:r>
    </w:p>
    <w:p w14:paraId="174D9F58" w14:textId="77777777" w:rsidR="00CA01BF" w:rsidRDefault="00CA01BF" w:rsidP="00CA01BF">
      <w:pPr>
        <w:pStyle w:val="NoSpacing"/>
        <w:ind w:left="720"/>
      </w:pPr>
    </w:p>
    <w:p w14:paraId="17E6A732" w14:textId="77777777" w:rsidR="00CA01BF" w:rsidRPr="006F3C84" w:rsidRDefault="00CA01BF" w:rsidP="00CA01BF">
      <w:pPr>
        <w:rPr>
          <w:b/>
          <w:bCs/>
        </w:rPr>
      </w:pPr>
      <w:r>
        <w:rPr>
          <w:b/>
        </w:rPr>
        <w:t xml:space="preserve">Legal lesson learned: Grocery runs are part of the “course and scope of duties” of the engineer who back the aerial into her vehicle; the City’s motion for summary judgement was properly denied. </w:t>
      </w:r>
    </w:p>
    <w:p w14:paraId="06A8F3CC" w14:textId="77777777" w:rsidR="00CA01BF" w:rsidRPr="008C12EA" w:rsidRDefault="00CA01BF" w:rsidP="00CA01BF">
      <w:pPr>
        <w:pStyle w:val="NoSpacing"/>
      </w:pPr>
    </w:p>
    <w:p w14:paraId="7906B0AC" w14:textId="77777777" w:rsidR="00CA01BF" w:rsidRDefault="00CA01BF" w:rsidP="000C62A1">
      <w:pPr>
        <w:pStyle w:val="NoSpacing"/>
        <w:rPr>
          <w:rFonts w:ascii="Arial Black" w:hAnsi="Arial Black"/>
          <w:sz w:val="28"/>
          <w:szCs w:val="28"/>
        </w:rPr>
      </w:pPr>
    </w:p>
    <w:p w14:paraId="7E10E3DB" w14:textId="77777777" w:rsidR="00CA01BF" w:rsidRDefault="00CA01BF" w:rsidP="000C62A1">
      <w:pPr>
        <w:pStyle w:val="NoSpacing"/>
        <w:rPr>
          <w:rFonts w:ascii="Arial Black" w:hAnsi="Arial Black"/>
          <w:sz w:val="28"/>
          <w:szCs w:val="28"/>
        </w:rPr>
      </w:pPr>
    </w:p>
    <w:p w14:paraId="1743D773" w14:textId="77777777" w:rsidR="00CA01BF" w:rsidRDefault="00CA01BF" w:rsidP="000C62A1">
      <w:pPr>
        <w:pStyle w:val="NoSpacing"/>
        <w:rPr>
          <w:rFonts w:ascii="Arial Black" w:hAnsi="Arial Black"/>
          <w:sz w:val="28"/>
          <w:szCs w:val="28"/>
        </w:rPr>
      </w:pPr>
    </w:p>
    <w:p w14:paraId="75FE50BD" w14:textId="690245FD" w:rsidR="00B63DAD" w:rsidRDefault="00B63DAD" w:rsidP="000C62A1">
      <w:pPr>
        <w:pStyle w:val="NoSpacing"/>
        <w:rPr>
          <w:rFonts w:ascii="Arial Black" w:hAnsi="Arial Black"/>
          <w:sz w:val="28"/>
          <w:szCs w:val="28"/>
        </w:rPr>
      </w:pPr>
      <w:r>
        <w:rPr>
          <w:rFonts w:ascii="Arial Black" w:hAnsi="Arial Black"/>
          <w:sz w:val="28"/>
          <w:szCs w:val="28"/>
        </w:rPr>
        <w:t>5-62</w:t>
      </w:r>
    </w:p>
    <w:p w14:paraId="3CDAD1B5" w14:textId="77777777" w:rsidR="00B63DAD" w:rsidRDefault="00B63DAD" w:rsidP="000C62A1">
      <w:pPr>
        <w:pStyle w:val="NoSpacing"/>
        <w:rPr>
          <w:rFonts w:ascii="Arial Black" w:hAnsi="Arial Black"/>
          <w:sz w:val="28"/>
          <w:szCs w:val="28"/>
        </w:rPr>
      </w:pPr>
    </w:p>
    <w:p w14:paraId="402F8CA4" w14:textId="77777777" w:rsidR="00C24BBC" w:rsidRDefault="00C24BBC" w:rsidP="00C24BBC">
      <w:pPr>
        <w:pStyle w:val="NoSpacing"/>
        <w:rPr>
          <w:rFonts w:ascii="Arial Black" w:hAnsi="Arial Black"/>
          <w:sz w:val="28"/>
          <w:szCs w:val="28"/>
        </w:rPr>
      </w:pPr>
      <w:r>
        <w:rPr>
          <w:rFonts w:ascii="Arial Black" w:hAnsi="Arial Black"/>
          <w:sz w:val="28"/>
          <w:szCs w:val="28"/>
        </w:rPr>
        <w:t xml:space="preserve">NY: MEDIC REPORTED EMT SPEEDING – NEXT DAY RADAR </w:t>
      </w:r>
    </w:p>
    <w:p w14:paraId="7B3333FC" w14:textId="77777777" w:rsidR="00C24BBC" w:rsidRDefault="00C24BBC" w:rsidP="00C24BBC">
      <w:pPr>
        <w:pStyle w:val="NoSpacing"/>
        <w:rPr>
          <w:rFonts w:ascii="Arial Black" w:hAnsi="Arial Black"/>
          <w:sz w:val="28"/>
          <w:szCs w:val="28"/>
        </w:rPr>
      </w:pPr>
    </w:p>
    <w:p w14:paraId="765E4487" w14:textId="77777777" w:rsidR="00C24BBC" w:rsidRDefault="00C24BBC" w:rsidP="00C24BBC">
      <w:pPr>
        <w:pStyle w:val="NoSpacing"/>
      </w:pPr>
      <w:r>
        <w:t xml:space="preserve">On February 26, 2026, in </w:t>
      </w:r>
      <w:r w:rsidRPr="00E713AD">
        <w:rPr>
          <w:u w:val="single"/>
        </w:rPr>
        <w:t>Robert Kuiken v. County of Hamilton, Michael Tracy, et al</w:t>
      </w:r>
      <w:r>
        <w:t xml:space="preserve">., U.S. District Court Judge </w:t>
      </w:r>
      <w:r w:rsidRPr="009F0088">
        <w:t>Anthony Brindisi</w:t>
      </w:r>
      <w:r>
        <w:t xml:space="preserve">, United States District Court for Northern District of New York, granted the defense motion for summary judgment. The 82-year-old volunteer EMT was observed speeding and crossing center line in his personal vehicle (with a green “courtesy” light). by a Paramedic (“critical care technician”) responding from another department.  The Medic reported this to volunteer’s </w:t>
      </w:r>
      <w:proofErr w:type="gramStart"/>
      <w:r>
        <w:t>department, and</w:t>
      </w:r>
      <w:proofErr w:type="gramEnd"/>
      <w:r>
        <w:t xml:space="preserve"> made a complaint to a Deputy Sheriff.  The next day, the Deputy was running radar and recorded the EMT speeding in his private vehicle on another run and issued a citation. Court rejected plaintiff’s claim of “selective prosecution” – claiming the critical care technician falsely accused the volunteer of driving recklessly, and that the Deputy “selectively enforced vehicle and traffic laws against plaintiff the next day by charging him with traffic offenses based on false accusations.” </w:t>
      </w:r>
    </w:p>
    <w:p w14:paraId="1977E429" w14:textId="77777777" w:rsidR="00C24BBC" w:rsidRPr="00671B60" w:rsidRDefault="00C24BBC" w:rsidP="00C24BBC">
      <w:pPr>
        <w:pStyle w:val="NoSpacing"/>
      </w:pPr>
      <w:hyperlink r:id="rId903" w:history="1">
        <w:r w:rsidRPr="00671B60">
          <w:rPr>
            <w:rStyle w:val="Hyperlink"/>
          </w:rPr>
          <w:t>https://cases.justia.com/federal/district-courts/new-york/nyndce/6:2022cv01157/135604/81/0.pdf?ts=1772211450</w:t>
        </w:r>
      </w:hyperlink>
      <w:r w:rsidRPr="00671B60">
        <w:t xml:space="preserve"> </w:t>
      </w:r>
    </w:p>
    <w:p w14:paraId="2778A8C7" w14:textId="77777777" w:rsidR="00C24BBC" w:rsidRPr="00671B60" w:rsidRDefault="00C24BBC" w:rsidP="00C24BBC">
      <w:pPr>
        <w:pStyle w:val="NoSpacing"/>
      </w:pPr>
    </w:p>
    <w:p w14:paraId="5AEF9064" w14:textId="77777777" w:rsidR="00C24BBC" w:rsidRDefault="00C24BBC" w:rsidP="00C24BBC">
      <w:pPr>
        <w:pStyle w:val="NoSpacing"/>
      </w:pPr>
      <w:r>
        <w:t>The COURT HELD:  “On July 17, 2021, Tracy [</w:t>
      </w:r>
      <w:r w:rsidRPr="0077409C">
        <w:t>Michael Tracy</w:t>
      </w:r>
      <w:r>
        <w:t>; critical care technician and supervisor with the Greater  Amsterdam Volunteer Ambulance Corps] filed a complaint with Deputy O’Brien regarding plaintiff’s allegedly unsafe driving earlier that day…. Though Tracy indicated that he wanted to pursue a criminal complaint against plaintiff … the Deputy defendants informed Tracy that the Sheriff’s Office could not file charges based on Tracy’s allegations. The next day, Deputy Loomis ticketed plaintiff for speeding and for failing to comply with a lawful order….  It is undisputed that Deputy Loomis observed plaintiff speeding and witnessed him drive away from a traffic stop [</w:t>
      </w:r>
      <w:proofErr w:type="gramStart"/>
      <w:r>
        <w:t>continued on</w:t>
      </w:r>
      <w:proofErr w:type="gramEnd"/>
      <w:r>
        <w:t xml:space="preserve"> to EMS call location] on July 18, 2021…. Just as the Deputy defendants exercised independent judgment in declining to prosecute plaintiff based on Tracy’s complaint, the undisputed evidence establishes that Deputy Loomis decided to pull plaintiff over only after observing him speeding and confirming that observation with a radar.</w:t>
      </w:r>
    </w:p>
    <w:p w14:paraId="33832BB7" w14:textId="77777777" w:rsidR="00C24BBC" w:rsidRDefault="00C24BBC" w:rsidP="00C24BBC">
      <w:pPr>
        <w:pStyle w:val="NoSpacing"/>
      </w:pPr>
    </w:p>
    <w:p w14:paraId="4A30C7B9" w14:textId="77777777" w:rsidR="00C24BBC" w:rsidRDefault="00C24BBC" w:rsidP="00C24BBC">
      <w:pPr>
        <w:pStyle w:val="NoSpacing"/>
      </w:pPr>
      <w:r>
        <w:t>***</w:t>
      </w:r>
    </w:p>
    <w:p w14:paraId="4C6ADF8B" w14:textId="77777777" w:rsidR="00C24BBC" w:rsidRDefault="00C24BBC" w:rsidP="00C24BBC">
      <w:pPr>
        <w:pStyle w:val="NoSpacing"/>
      </w:pPr>
    </w:p>
    <w:p w14:paraId="3B0EC172" w14:textId="77777777" w:rsidR="00C24BBC" w:rsidRDefault="00C24BBC" w:rsidP="00C24BBC">
      <w:pPr>
        <w:pStyle w:val="NoSpacing"/>
      </w:pPr>
      <w:r>
        <w:t xml:space="preserve">On May 24, 2022, plaintiff appeared in court in connection with the July 18, 2021, traffic tickets…. After rejecting </w:t>
      </w:r>
      <w:proofErr w:type="gramStart"/>
      <w:r>
        <w:t>a number of</w:t>
      </w:r>
      <w:proofErr w:type="gramEnd"/>
      <w:r>
        <w:t xml:space="preserve"> plea deals that would have required him to plead guilty to traffic infractions, plaintiff eventually agreed to plead guilty to two parking violations on the advice of his </w:t>
      </w:r>
      <w:proofErr w:type="gramStart"/>
      <w:r>
        <w:t>attorney.”</w:t>
      </w:r>
      <w:proofErr w:type="gramEnd"/>
    </w:p>
    <w:p w14:paraId="4020061C" w14:textId="77777777" w:rsidR="00C24BBC" w:rsidRDefault="00C24BBC" w:rsidP="00C24BBC">
      <w:pPr>
        <w:pStyle w:val="NoSpacing"/>
      </w:pPr>
    </w:p>
    <w:p w14:paraId="279735E4" w14:textId="77777777" w:rsidR="00C24BBC" w:rsidRDefault="00C24BBC" w:rsidP="00C24BBC">
      <w:pPr>
        <w:pStyle w:val="NoSpacing"/>
        <w:rPr>
          <w:b/>
        </w:rPr>
      </w:pPr>
      <w:r>
        <w:rPr>
          <w:b/>
        </w:rPr>
        <w:t xml:space="preserve">Legal lesson learned: The critical care technician property reported the volunteer’s unsafe driving. </w:t>
      </w:r>
    </w:p>
    <w:p w14:paraId="6EFB3DDF" w14:textId="77777777" w:rsidR="00C24BBC" w:rsidRDefault="00C24BBC" w:rsidP="00C24BBC">
      <w:pPr>
        <w:pStyle w:val="NoSpacing"/>
        <w:rPr>
          <w:b/>
        </w:rPr>
      </w:pPr>
    </w:p>
    <w:p w14:paraId="3781903E" w14:textId="77777777" w:rsidR="00C24BBC" w:rsidRPr="008D4B87" w:rsidRDefault="00C24BBC" w:rsidP="00C24BBC">
      <w:pPr>
        <w:pStyle w:val="NoSpacing"/>
        <w:ind w:left="720"/>
        <w:rPr>
          <w:bCs/>
        </w:rPr>
      </w:pPr>
      <w:r w:rsidRPr="008D4B87">
        <w:t>Note:</w:t>
      </w:r>
      <w:r>
        <w:t xml:space="preserve">  After the first speeding incident, the volunteer was directed by his </w:t>
      </w:r>
      <w:proofErr w:type="gramStart"/>
      <w:r>
        <w:t>Department</w:t>
      </w:r>
      <w:proofErr w:type="gramEnd"/>
      <w:r>
        <w:t xml:space="preserve"> to stop making runs </w:t>
      </w:r>
      <w:r w:rsidRPr="004162FF">
        <w:t>until he was instructed to do so.</w:t>
      </w:r>
      <w:r>
        <w:t xml:space="preserve"> </w:t>
      </w:r>
      <w:r w:rsidRPr="00CC0192">
        <w:t>“Even though [p]</w:t>
      </w:r>
      <w:proofErr w:type="spellStart"/>
      <w:r w:rsidRPr="00CC0192">
        <w:t>laintiff</w:t>
      </w:r>
      <w:proofErr w:type="spellEnd"/>
      <w:r w:rsidRPr="00CC0192">
        <w:t xml:space="preserve"> never retired nor resigned, in July 2022, SVAC leadership</w:t>
      </w:r>
      <w:r>
        <w:t xml:space="preserve"> </w:t>
      </w:r>
      <w:r w:rsidRPr="00CC0192">
        <w:t>showed up at [p]</w:t>
      </w:r>
      <w:proofErr w:type="spellStart"/>
      <w:r w:rsidRPr="00CC0192">
        <w:t>laintiff’s</w:t>
      </w:r>
      <w:proofErr w:type="spellEnd"/>
      <w:r w:rsidRPr="00CC0192">
        <w:t xml:space="preserve"> house unsolicited and presented him with a framed document</w:t>
      </w:r>
      <w:r>
        <w:t xml:space="preserve"> </w:t>
      </w:r>
      <w:r w:rsidRPr="00CC0192">
        <w:t>recognizing his 41 years of service to the community of Speculator.”</w:t>
      </w:r>
    </w:p>
    <w:p w14:paraId="00877AA9" w14:textId="77777777" w:rsidR="00C24BBC" w:rsidRPr="008D4B87" w:rsidRDefault="00C24BBC" w:rsidP="00C24BBC">
      <w:pPr>
        <w:pStyle w:val="NoSpacing"/>
        <w:rPr>
          <w:bCs/>
        </w:rPr>
      </w:pPr>
    </w:p>
    <w:p w14:paraId="2983B4DC" w14:textId="77777777" w:rsidR="00B63DAD" w:rsidRDefault="00B63DAD" w:rsidP="000C62A1">
      <w:pPr>
        <w:pStyle w:val="NoSpacing"/>
        <w:rPr>
          <w:rFonts w:ascii="Arial Black" w:hAnsi="Arial Black"/>
          <w:sz w:val="28"/>
          <w:szCs w:val="28"/>
        </w:rPr>
      </w:pPr>
    </w:p>
    <w:p w14:paraId="3116AA3D" w14:textId="77777777" w:rsidR="00B63DAD" w:rsidRDefault="00B63DAD" w:rsidP="000C62A1">
      <w:pPr>
        <w:pStyle w:val="NoSpacing"/>
        <w:rPr>
          <w:rFonts w:ascii="Arial Black" w:hAnsi="Arial Black"/>
          <w:sz w:val="28"/>
          <w:szCs w:val="28"/>
        </w:rPr>
      </w:pPr>
    </w:p>
    <w:p w14:paraId="4EEF557F" w14:textId="77777777" w:rsidR="00B63DAD" w:rsidRDefault="00B63DAD" w:rsidP="000C62A1">
      <w:pPr>
        <w:pStyle w:val="NoSpacing"/>
        <w:rPr>
          <w:rFonts w:ascii="Arial Black" w:hAnsi="Arial Black"/>
          <w:sz w:val="28"/>
          <w:szCs w:val="28"/>
        </w:rPr>
      </w:pPr>
    </w:p>
    <w:p w14:paraId="7EEC6F22" w14:textId="4D8DAB3E" w:rsidR="00CF5DF6" w:rsidRDefault="00CF5DF6" w:rsidP="000C62A1">
      <w:pPr>
        <w:pStyle w:val="NoSpacing"/>
        <w:rPr>
          <w:rFonts w:ascii="Arial Black" w:hAnsi="Arial Black"/>
          <w:sz w:val="28"/>
          <w:szCs w:val="28"/>
        </w:rPr>
      </w:pPr>
      <w:r>
        <w:rPr>
          <w:rFonts w:ascii="Arial Black" w:hAnsi="Arial Black"/>
          <w:sz w:val="28"/>
          <w:szCs w:val="28"/>
        </w:rPr>
        <w:t>5-61</w:t>
      </w:r>
    </w:p>
    <w:p w14:paraId="1E11B4BD" w14:textId="77777777" w:rsidR="00CF5DF6" w:rsidRPr="00914070" w:rsidRDefault="00CF5DF6" w:rsidP="00CF5DF6">
      <w:pPr>
        <w:pStyle w:val="NoSpacing"/>
        <w:rPr>
          <w:rFonts w:ascii="Arial Black" w:hAnsi="Arial Black"/>
          <w:b/>
          <w:sz w:val="28"/>
          <w:szCs w:val="28"/>
        </w:rPr>
      </w:pPr>
      <w:r>
        <w:rPr>
          <w:rFonts w:ascii="Arial Black" w:hAnsi="Arial Black"/>
          <w:b/>
          <w:sz w:val="28"/>
          <w:szCs w:val="28"/>
        </w:rPr>
        <w:t xml:space="preserve">TX: FF DRIVING FD VEH TO WORK – ACCID. CITY NO LIAB </w:t>
      </w:r>
    </w:p>
    <w:p w14:paraId="284F8B7B" w14:textId="77777777" w:rsidR="00CF5DF6" w:rsidRDefault="00CF5DF6" w:rsidP="00CF5DF6">
      <w:pPr>
        <w:pStyle w:val="NoSpacing"/>
        <w:rPr>
          <w:b/>
        </w:rPr>
      </w:pPr>
    </w:p>
    <w:p w14:paraId="0EA6B8D7" w14:textId="77777777" w:rsidR="00CF5DF6" w:rsidRPr="00363AC0" w:rsidRDefault="00CF5DF6" w:rsidP="00CF5DF6">
      <w:pPr>
        <w:pStyle w:val="NoSpacing"/>
        <w:rPr>
          <w:bCs/>
        </w:rPr>
      </w:pPr>
      <w:r>
        <w:t xml:space="preserve">On February 10, 2026, in </w:t>
      </w:r>
      <w:r w:rsidRPr="00363AC0">
        <w:rPr>
          <w:u w:val="single"/>
        </w:rPr>
        <w:t>City of Houston v. Sheniqua Henderson</w:t>
      </w:r>
      <w:r>
        <w:t xml:space="preserve">, the </w:t>
      </w:r>
      <w:r w:rsidRPr="00363AC0">
        <w:t>Court of Appeals of Texas, Fourteenth District</w:t>
      </w:r>
      <w:r>
        <w:t xml:space="preserve"> held (3 to 0) that the trial court should have dismissed the plaintiff’s lawsuit against the City of Houston, since the firefighter was off duty when the accident occurred when he was driving to his station on September 1, 2022, at 6:19 am.  Under </w:t>
      </w:r>
      <w:r>
        <w:lastRenderedPageBreak/>
        <w:t xml:space="preserve">Texas state law a city or other governmental unit is only liable for automobile accident when it occurs “within his scope of employment.” </w:t>
      </w:r>
      <w:hyperlink r:id="rId904" w:history="1">
        <w:r w:rsidRPr="00C72C21">
          <w:rPr>
            <w:rStyle w:val="Hyperlink"/>
          </w:rPr>
          <w:t>https://cases.justia.com/texas/fourteenth-court-of-appeals/2026-14-25-00078-cv.pdf?ts=1770741693</w:t>
        </w:r>
      </w:hyperlink>
      <w:r>
        <w:t xml:space="preserve"> </w:t>
      </w:r>
    </w:p>
    <w:p w14:paraId="2D0DCAB3" w14:textId="77777777" w:rsidR="00CF5DF6" w:rsidRDefault="00CF5DF6" w:rsidP="00CF5DF6">
      <w:pPr>
        <w:pStyle w:val="NoSpacing"/>
      </w:pPr>
    </w:p>
    <w:p w14:paraId="05261085" w14:textId="77777777" w:rsidR="00CF5DF6" w:rsidRDefault="00CF5DF6" w:rsidP="00CF5DF6">
      <w:pPr>
        <w:pStyle w:val="NoSpacing"/>
      </w:pPr>
      <w:r>
        <w:t>THE COURT HELD:  “</w:t>
      </w:r>
      <w:r w:rsidRPr="00D11F00">
        <w:t xml:space="preserve"> On September 1, 2022, Henderson was driving on the service road of the North Sam Houston Parkway in Harris County. City of Houston employee and firefighter Carlos Manuel Pascualli was driving to work in a vehicle owned and provided to </w:t>
      </w:r>
      <w:proofErr w:type="spellStart"/>
      <w:r w:rsidRPr="00D11F00">
        <w:t>Pascualli</w:t>
      </w:r>
      <w:proofErr w:type="spellEnd"/>
      <w:r w:rsidRPr="00D11F00">
        <w:t xml:space="preserve"> by Houston in the lane next to Henderson, when </w:t>
      </w:r>
      <w:proofErr w:type="spellStart"/>
      <w:r w:rsidRPr="00D11F00">
        <w:t>Pascualli</w:t>
      </w:r>
      <w:proofErr w:type="spellEnd"/>
      <w:r w:rsidRPr="00D11F00">
        <w:t xml:space="preserve"> changed lanes and collided with Henderson's vehicle</w:t>
      </w:r>
      <w:r>
        <w:t xml:space="preserve">…. </w:t>
      </w:r>
      <w:proofErr w:type="spellStart"/>
      <w:r w:rsidRPr="00B60506">
        <w:t>Pascualli</w:t>
      </w:r>
      <w:proofErr w:type="spellEnd"/>
      <w:r w:rsidRPr="00B60506">
        <w:t xml:space="preserve"> provided a supporting affidavit establishing that he was </w:t>
      </w:r>
      <w:proofErr w:type="gramStart"/>
      <w:r w:rsidRPr="00B60506">
        <w:t>off-duty</w:t>
      </w:r>
      <w:proofErr w:type="gramEnd"/>
      <w:r w:rsidRPr="00B60506">
        <w:t>, not on call, and driving to start his shift at 6:30 am.</w:t>
      </w:r>
    </w:p>
    <w:p w14:paraId="2054697A" w14:textId="77777777" w:rsidR="00CF5DF6" w:rsidRDefault="00CF5DF6" w:rsidP="00CF5DF6">
      <w:pPr>
        <w:pStyle w:val="NoSpacing"/>
        <w:ind w:left="720"/>
      </w:pPr>
    </w:p>
    <w:p w14:paraId="615F38C5" w14:textId="77777777" w:rsidR="00CF5DF6" w:rsidRPr="007253B6" w:rsidRDefault="00CF5DF6" w:rsidP="00CF5DF6">
      <w:pPr>
        <w:pStyle w:val="NoSpacing"/>
        <w:ind w:left="720"/>
      </w:pPr>
      <w:r w:rsidRPr="007253B6">
        <w:t xml:space="preserve">On September 1, 2022, at approximately 6:19 am, I was traveling on North Sam Houston East Parkway Service Road, Harris County Texas, when my vehicle collided with Plaintiff's vehicle. I was traveling to Fire Station 99 located </w:t>
      </w:r>
      <w:proofErr w:type="gramStart"/>
      <w:r w:rsidRPr="007253B6">
        <w:t>in</w:t>
      </w:r>
      <w:proofErr w:type="gramEnd"/>
      <w:r w:rsidRPr="007253B6">
        <w:t xml:space="preserve"> 18580 Chanute Road, Houston, Texas 77032. At the time of the collision on September 1, 2022, I was off duty, not on call and driving to work. At the time of the collision, I was not being directed by the Houston Fire Department, or furthering Houston Fire Department business.</w:t>
      </w:r>
    </w:p>
    <w:p w14:paraId="1D11DA66" w14:textId="77777777" w:rsidR="00CF5DF6" w:rsidRDefault="00CF5DF6" w:rsidP="00CF5DF6">
      <w:pPr>
        <w:pStyle w:val="NoSpacing"/>
      </w:pPr>
    </w:p>
    <w:p w14:paraId="50F4460F" w14:textId="77777777" w:rsidR="00CF5DF6" w:rsidRDefault="00CF5DF6" w:rsidP="00CF5DF6">
      <w:pPr>
        <w:pStyle w:val="NoSpacing"/>
      </w:pPr>
      <w:r w:rsidRPr="00211E46">
        <w:t xml:space="preserve">In response, Henderson argued that </w:t>
      </w:r>
      <w:proofErr w:type="spellStart"/>
      <w:r w:rsidRPr="00211E46">
        <w:t>Pascualli's</w:t>
      </w:r>
      <w:proofErr w:type="spellEnd"/>
      <w:r w:rsidRPr="00211E46">
        <w:t xml:space="preserve"> affidavit was a sham affidavit. She further claimed that </w:t>
      </w:r>
      <w:proofErr w:type="spellStart"/>
      <w:r w:rsidRPr="00211E46">
        <w:t>Pascualli</w:t>
      </w:r>
      <w:proofErr w:type="spellEnd"/>
      <w:r w:rsidRPr="00211E46">
        <w:t xml:space="preserve"> was in the scope of his employment and that she was entitled to take his deposition. </w:t>
      </w:r>
      <w:r>
        <w:t xml:space="preserve">*** </w:t>
      </w:r>
      <w:r w:rsidRPr="00914070">
        <w:t xml:space="preserve">Tex. Civ. </w:t>
      </w:r>
      <w:proofErr w:type="spellStart"/>
      <w:r w:rsidRPr="00914070">
        <w:t>Prac</w:t>
      </w:r>
      <w:proofErr w:type="spellEnd"/>
      <w:r w:rsidRPr="00914070">
        <w:t xml:space="preserve">. &amp; Rem. Code Ann. § 101.021. A governmental unit is only liable for the negligence of its employee, </w:t>
      </w:r>
      <w:proofErr w:type="gramStart"/>
      <w:r w:rsidRPr="00914070">
        <w:t>if and when</w:t>
      </w:r>
      <w:proofErr w:type="gramEnd"/>
      <w:r w:rsidRPr="00914070">
        <w:t xml:space="preserve"> that employee is </w:t>
      </w:r>
      <w:r>
        <w:t>‘</w:t>
      </w:r>
      <w:r w:rsidRPr="00914070">
        <w:t>acting within his scope of employment.</w:t>
      </w:r>
      <w:r>
        <w:t xml:space="preserve">’ … </w:t>
      </w:r>
      <w:r w:rsidRPr="00914070">
        <w:t>Although Henderson argues that she also has a direct negligence claim against Houston, she cites no authority or statute, nor have we found any, other than Section 101.021 that waives Houston's immunity for injuries resulting from the use of a motor-driven vehicle.</w:t>
      </w:r>
      <w:r>
        <w:t>”</w:t>
      </w:r>
    </w:p>
    <w:p w14:paraId="46308078" w14:textId="77777777" w:rsidR="00CF5DF6" w:rsidRDefault="00CF5DF6" w:rsidP="00CF5DF6">
      <w:pPr>
        <w:pStyle w:val="NoSpacing"/>
      </w:pPr>
    </w:p>
    <w:p w14:paraId="4DBD5F53" w14:textId="77777777" w:rsidR="00CF5DF6" w:rsidRDefault="00CF5DF6" w:rsidP="00CF5DF6">
      <w:pPr>
        <w:pStyle w:val="NoSpacing"/>
        <w:rPr>
          <w:b/>
          <w:bCs/>
        </w:rPr>
      </w:pPr>
      <w:r w:rsidRPr="005D3975">
        <w:rPr>
          <w:b/>
        </w:rPr>
        <w:t xml:space="preserve">Legal lesson learned: </w:t>
      </w:r>
      <w:r>
        <w:rPr>
          <w:b/>
        </w:rPr>
        <w:t>Firefighter was off duty; city cannot be sued.</w:t>
      </w:r>
    </w:p>
    <w:p w14:paraId="74FEC3EC" w14:textId="77777777" w:rsidR="00CF5DF6" w:rsidRDefault="00CF5DF6" w:rsidP="00CF5DF6">
      <w:pPr>
        <w:pStyle w:val="NoSpacing"/>
      </w:pPr>
    </w:p>
    <w:p w14:paraId="4FA59353" w14:textId="77777777" w:rsidR="00CF5DF6" w:rsidRDefault="00CF5DF6" w:rsidP="000C62A1">
      <w:pPr>
        <w:pStyle w:val="NoSpacing"/>
        <w:rPr>
          <w:rFonts w:ascii="Arial Black" w:hAnsi="Arial Black"/>
          <w:sz w:val="28"/>
          <w:szCs w:val="28"/>
        </w:rPr>
      </w:pPr>
    </w:p>
    <w:p w14:paraId="236B5FE9" w14:textId="77777777" w:rsidR="00CF5DF6" w:rsidRDefault="00CF5DF6" w:rsidP="000C62A1">
      <w:pPr>
        <w:pStyle w:val="NoSpacing"/>
        <w:rPr>
          <w:rFonts w:ascii="Arial Black" w:hAnsi="Arial Black"/>
          <w:sz w:val="28"/>
          <w:szCs w:val="28"/>
        </w:rPr>
      </w:pPr>
    </w:p>
    <w:p w14:paraId="027ED139" w14:textId="77777777" w:rsidR="00CF5DF6" w:rsidRDefault="00CF5DF6" w:rsidP="000C62A1">
      <w:pPr>
        <w:pStyle w:val="NoSpacing"/>
        <w:rPr>
          <w:rFonts w:ascii="Arial Black" w:hAnsi="Arial Black"/>
          <w:sz w:val="28"/>
          <w:szCs w:val="28"/>
        </w:rPr>
      </w:pPr>
    </w:p>
    <w:p w14:paraId="1BD44A23" w14:textId="694B22B1" w:rsidR="00CC770C" w:rsidRDefault="007100AC" w:rsidP="000C62A1">
      <w:pPr>
        <w:pStyle w:val="NoSpacing"/>
        <w:rPr>
          <w:rFonts w:ascii="Arial Black" w:hAnsi="Arial Black"/>
          <w:sz w:val="28"/>
          <w:szCs w:val="28"/>
        </w:rPr>
      </w:pPr>
      <w:r>
        <w:rPr>
          <w:rFonts w:ascii="Arial Black" w:hAnsi="Arial Black"/>
          <w:sz w:val="28"/>
          <w:szCs w:val="28"/>
        </w:rPr>
        <w:t>5-60</w:t>
      </w:r>
    </w:p>
    <w:p w14:paraId="002E8A9E" w14:textId="77777777" w:rsidR="007100AC" w:rsidRDefault="007100AC" w:rsidP="000C62A1">
      <w:pPr>
        <w:pStyle w:val="NoSpacing"/>
        <w:rPr>
          <w:rFonts w:ascii="Arial Black" w:hAnsi="Arial Black"/>
          <w:sz w:val="28"/>
          <w:szCs w:val="28"/>
        </w:rPr>
      </w:pPr>
    </w:p>
    <w:p w14:paraId="60A05A40" w14:textId="77777777" w:rsidR="007100AC" w:rsidRPr="005A1845" w:rsidRDefault="007100AC" w:rsidP="007100AC">
      <w:pPr>
        <w:rPr>
          <w:rFonts w:ascii="Arial Black" w:hAnsi="Arial Black"/>
          <w:b/>
          <w:sz w:val="28"/>
          <w:szCs w:val="28"/>
        </w:rPr>
      </w:pPr>
      <w:r>
        <w:rPr>
          <w:rFonts w:ascii="Arial Black" w:hAnsi="Arial Black"/>
          <w:b/>
          <w:sz w:val="28"/>
          <w:szCs w:val="28"/>
        </w:rPr>
        <w:t>TX: AMBULANCE – IMMUNITY - PHOTO EMER LIGHTS ON</w:t>
      </w:r>
    </w:p>
    <w:p w14:paraId="02B325B7" w14:textId="77777777" w:rsidR="007100AC" w:rsidRDefault="007100AC" w:rsidP="007100AC">
      <w:pPr>
        <w:pStyle w:val="NoSpacing"/>
        <w:rPr>
          <w:bCs/>
        </w:rPr>
      </w:pPr>
      <w:r>
        <w:t xml:space="preserve">On Jan. 21, 2026, in </w:t>
      </w:r>
      <w:r w:rsidRPr="00B031E6">
        <w:rPr>
          <w:u w:val="single"/>
        </w:rPr>
        <w:t>Michelle Ojeda v. City of Grand Prairie</w:t>
      </w:r>
      <w:r>
        <w:t xml:space="preserve">, the </w:t>
      </w:r>
      <w:r w:rsidRPr="00934DC7">
        <w:t>Court of Appeals of Texas, Fifth District, Dallas</w:t>
      </w:r>
      <w:r>
        <w:t xml:space="preserve"> held (3 to 0) that trial court properly dismissed the lawsuit, since the intersection crash happened on an emergency run, lights (photo taken after the accident) and siren activated, and slowed down entering the intersection. </w:t>
      </w:r>
      <w:hyperlink r:id="rId905" w:history="1">
        <w:r w:rsidRPr="00AC5608">
          <w:rPr>
            <w:rStyle w:val="Hyperlink"/>
          </w:rPr>
          <w:t>https://cases.justia.com/texas/fifth-court-of-appeals/2026-05-24-01403-cv.pdf?ts=1769077961</w:t>
        </w:r>
      </w:hyperlink>
    </w:p>
    <w:p w14:paraId="2DBA9681" w14:textId="77777777" w:rsidR="007100AC" w:rsidRDefault="007100AC" w:rsidP="007100AC">
      <w:pPr>
        <w:pStyle w:val="NoSpacing"/>
        <w:rPr>
          <w:bCs/>
        </w:rPr>
      </w:pPr>
    </w:p>
    <w:p w14:paraId="6A2C8F1B" w14:textId="77777777" w:rsidR="007100AC" w:rsidRDefault="007100AC" w:rsidP="007100AC">
      <w:pPr>
        <w:pStyle w:val="NoSpacing"/>
        <w:rPr>
          <w:bCs/>
        </w:rPr>
      </w:pPr>
      <w:r>
        <w:t xml:space="preserve">THE COURT HELD: </w:t>
      </w:r>
    </w:p>
    <w:p w14:paraId="4A7AF126" w14:textId="77777777" w:rsidR="007100AC" w:rsidRDefault="007100AC" w:rsidP="007100AC">
      <w:pPr>
        <w:pStyle w:val="NoSpacing"/>
        <w:rPr>
          <w:bCs/>
        </w:rPr>
      </w:pPr>
    </w:p>
    <w:p w14:paraId="69821FAF" w14:textId="77777777" w:rsidR="007100AC" w:rsidRDefault="007100AC" w:rsidP="007100AC">
      <w:pPr>
        <w:pStyle w:val="NoSpacing"/>
        <w:ind w:left="720"/>
        <w:rPr>
          <w:bCs/>
        </w:rPr>
      </w:pPr>
      <w:r>
        <w:t>“</w:t>
      </w:r>
      <w:r w:rsidRPr="00492BC7">
        <w:t>In an attempt to raise a fact issue, Ojeda asserts in her briefing that the ambulance's emergency lights and siren were not activated when the ambulance entered the intersection. But the summary judgment record contains no evidence supporting this assertion and the testimony of Kildal and Herrera and the photograph of the ambulance immediately after the crash establish the emergency lights and siren were activated and in operation before and during the collision</w:t>
      </w:r>
      <w:r>
        <w:t xml:space="preserve">…. </w:t>
      </w:r>
      <w:r w:rsidRPr="00801AF4">
        <w:t>With respect to Ojeda's contention reckless disregard is shown by Kildal entering the intersection without knowing whether the light was green or red, a driver of an emergency vehicle is permitted to proceed through a red light without stopping if they do so after slowing as necessary for safe operation</w:t>
      </w:r>
      <w:r>
        <w:t xml:space="preserve">…. </w:t>
      </w:r>
      <w:r w:rsidRPr="00801AF4">
        <w:t>(citing Tex. Transp. Code § 546.001(2)).</w:t>
      </w:r>
      <w:r>
        <w:t xml:space="preserve"> *** </w:t>
      </w:r>
      <w:r w:rsidRPr="00000FE4">
        <w:t>Data obtained from the Electronic Data Recorder device in the ambulance showed Kildal slowed the ambulance down five seconds before the collision from a speed of 33.3 mph to a speed of 16.8 mph at the time of impact.</w:t>
      </w:r>
      <w:r>
        <w:t xml:space="preserve">”  *** </w:t>
      </w:r>
      <w:r w:rsidRPr="00D253AC">
        <w:t xml:space="preserve">Under this exception, the waiver of immunity under the Texas Tort Claims Act does not apply to a claim based on a governmental employee's conduct if that employee, while responding to an emergency call or reacting to an emergency situation, acts in compliance with </w:t>
      </w:r>
      <w:r>
        <w:lastRenderedPageBreak/>
        <w:t>‘</w:t>
      </w:r>
      <w:r w:rsidRPr="00D253AC">
        <w:t>the laws and ordinances applicable to emergency action,</w:t>
      </w:r>
      <w:r>
        <w:t>’</w:t>
      </w:r>
      <w:r w:rsidRPr="00D253AC">
        <w:t xml:space="preserve"> or in the absence of such a law or ordinance, the employee's actions are not taken </w:t>
      </w:r>
      <w:r>
        <w:t>‘</w:t>
      </w:r>
      <w:r w:rsidRPr="00D253AC">
        <w:t>with conscious indifference or reckless disregard for the safety of others.</w:t>
      </w:r>
      <w:r>
        <w:t>’</w:t>
      </w:r>
      <w:r w:rsidRPr="00D253AC">
        <w:t xml:space="preserve"> Civ. </w:t>
      </w:r>
      <w:proofErr w:type="spellStart"/>
      <w:r w:rsidRPr="00D253AC">
        <w:t>Prac</w:t>
      </w:r>
      <w:proofErr w:type="spellEnd"/>
      <w:r w:rsidRPr="00D253AC">
        <w:t>. &amp; Rem. § 101.055(2).</w:t>
      </w:r>
      <w:r>
        <w:t>”</w:t>
      </w:r>
    </w:p>
    <w:p w14:paraId="40067775" w14:textId="77777777" w:rsidR="007100AC" w:rsidRDefault="007100AC" w:rsidP="007100AC">
      <w:pPr>
        <w:pStyle w:val="NoSpacing"/>
        <w:rPr>
          <w:bCs/>
        </w:rPr>
      </w:pPr>
    </w:p>
    <w:p w14:paraId="53219925" w14:textId="77777777" w:rsidR="007100AC" w:rsidRPr="004D5620" w:rsidRDefault="007100AC" w:rsidP="007100AC">
      <w:pPr>
        <w:pStyle w:val="NoSpacing"/>
        <w:rPr>
          <w:b/>
        </w:rPr>
      </w:pPr>
      <w:r>
        <w:rPr>
          <w:b/>
        </w:rPr>
        <w:t xml:space="preserve">Legal lesson learned: After an on-duty accident, leave your siren on as you notify dispatch, and then take a photo showing your emergency lights still activated. </w:t>
      </w:r>
    </w:p>
    <w:p w14:paraId="521A93AE" w14:textId="77777777" w:rsidR="007100AC" w:rsidRDefault="007100AC" w:rsidP="000C62A1">
      <w:pPr>
        <w:pStyle w:val="NoSpacing"/>
        <w:rPr>
          <w:rFonts w:ascii="Arial Black" w:hAnsi="Arial Black"/>
          <w:sz w:val="28"/>
          <w:szCs w:val="28"/>
        </w:rPr>
      </w:pPr>
    </w:p>
    <w:p w14:paraId="626F94C9" w14:textId="77777777" w:rsidR="007100AC" w:rsidRDefault="007100AC" w:rsidP="000C62A1">
      <w:pPr>
        <w:pStyle w:val="NoSpacing"/>
        <w:rPr>
          <w:rFonts w:ascii="Arial Black" w:hAnsi="Arial Black"/>
          <w:sz w:val="28"/>
          <w:szCs w:val="28"/>
        </w:rPr>
      </w:pPr>
    </w:p>
    <w:p w14:paraId="7444A9E1" w14:textId="77777777" w:rsidR="007100AC" w:rsidRDefault="007100AC" w:rsidP="000C62A1">
      <w:pPr>
        <w:pStyle w:val="NoSpacing"/>
        <w:rPr>
          <w:rFonts w:ascii="Arial Black" w:hAnsi="Arial Black"/>
          <w:sz w:val="28"/>
          <w:szCs w:val="28"/>
        </w:rPr>
      </w:pPr>
    </w:p>
    <w:p w14:paraId="6733B22F" w14:textId="6DABD62F" w:rsidR="00CC770C" w:rsidRDefault="00CC770C" w:rsidP="000C62A1">
      <w:pPr>
        <w:pStyle w:val="NoSpacing"/>
        <w:rPr>
          <w:rFonts w:ascii="Arial Black" w:hAnsi="Arial Black"/>
          <w:sz w:val="28"/>
          <w:szCs w:val="28"/>
        </w:rPr>
      </w:pPr>
      <w:r>
        <w:rPr>
          <w:rFonts w:ascii="Arial Black" w:hAnsi="Arial Black"/>
          <w:sz w:val="28"/>
          <w:szCs w:val="28"/>
        </w:rPr>
        <w:t>5-5</w:t>
      </w:r>
      <w:r w:rsidR="00EC252C">
        <w:rPr>
          <w:rFonts w:ascii="Arial Black" w:hAnsi="Arial Black"/>
          <w:sz w:val="28"/>
          <w:szCs w:val="28"/>
        </w:rPr>
        <w:t>9</w:t>
      </w:r>
    </w:p>
    <w:p w14:paraId="133AFA35" w14:textId="77777777" w:rsidR="00EC252C" w:rsidRPr="00E62CBF" w:rsidRDefault="00EC252C" w:rsidP="00EC252C">
      <w:pPr>
        <w:rPr>
          <w:rFonts w:ascii="Arial Black" w:hAnsi="Arial Black"/>
          <w:sz w:val="28"/>
          <w:szCs w:val="28"/>
        </w:rPr>
      </w:pPr>
      <w:r>
        <w:rPr>
          <w:rFonts w:ascii="Arial Black" w:hAnsi="Arial Black"/>
          <w:sz w:val="28"/>
          <w:szCs w:val="28"/>
        </w:rPr>
        <w:t>LA: FF BAD DRIVING – NOT SUSP. WITHIN “60-DAY RULE”</w:t>
      </w:r>
    </w:p>
    <w:p w14:paraId="589D6F9C" w14:textId="77777777" w:rsidR="00EC252C" w:rsidRPr="009434D7" w:rsidRDefault="00EC252C" w:rsidP="00EC252C">
      <w:pPr>
        <w:rPr>
          <w:bCs/>
        </w:rPr>
      </w:pPr>
      <w:r>
        <w:t xml:space="preserve">On December 15, 2025, in </w:t>
      </w:r>
      <w:r w:rsidRPr="009434D7">
        <w:rPr>
          <w:u w:val="single"/>
        </w:rPr>
        <w:t>Chase Bruner v. New Orleans Fire Department</w:t>
      </w:r>
      <w:r>
        <w:t xml:space="preserve">, the </w:t>
      </w:r>
      <w:r w:rsidRPr="009434D7">
        <w:t>Court of Appeals of Louisiana, Fourth Circuit</w:t>
      </w:r>
      <w:r>
        <w:t xml:space="preserve"> held (3 to 0) that the city’s Civil Service Commission properly set aside six-day suspension because the </w:t>
      </w:r>
      <w:r w:rsidRPr="005F7F77">
        <w:t>NOFD failed to comply with sixty-day investigatory</w:t>
      </w:r>
      <w:r>
        <w:t xml:space="preserve"> </w:t>
      </w:r>
      <w:r w:rsidRPr="005F7F77">
        <w:t>timeline in the Firefighter Bill of Rights</w:t>
      </w:r>
      <w:r>
        <w:t xml:space="preserve">.  The bad driving occurred </w:t>
      </w:r>
      <w:r w:rsidRPr="00F9679A">
        <w:t>April 11, 2024</w:t>
      </w:r>
      <w:r>
        <w:t xml:space="preserve">. On April 18, </w:t>
      </w:r>
      <w:r w:rsidRPr="00874B90">
        <w:t>Major Figueroa-Camps reviewed the video of the EMS vehicles and forwarded it</w:t>
      </w:r>
      <w:r>
        <w:t xml:space="preserve"> </w:t>
      </w:r>
      <w:r w:rsidRPr="00874B90">
        <w:t>to Chief Keller</w:t>
      </w:r>
      <w:r>
        <w:t xml:space="preserve">, who on April 19 </w:t>
      </w:r>
      <w:r w:rsidRPr="00874B90">
        <w:t>notified NOFD of the incident</w:t>
      </w:r>
      <w:r>
        <w:t xml:space="preserve">.  </w:t>
      </w:r>
      <w:r w:rsidRPr="00874B90">
        <w:t xml:space="preserve"> </w:t>
      </w:r>
      <w:r>
        <w:t xml:space="preserve">The Civil Service Commission stated the 60-day clock started on April 19.  The 60-days ended </w:t>
      </w:r>
      <w:r w:rsidRPr="004E7AAB">
        <w:t>June 19, 2024</w:t>
      </w:r>
      <w:r>
        <w:t xml:space="preserve">, but Mr. Brunner was issued his suspension letter on June 21.  </w:t>
      </w:r>
      <w:hyperlink r:id="rId906" w:history="1">
        <w:r w:rsidRPr="00CB1D74">
          <w:rPr>
            <w:rStyle w:val="Hyperlink"/>
          </w:rPr>
          <w:t>https://cases.justia.com/louisiana/fourth-circuit-court-of-appeal/2025-2025-ca-0386.pdf?ts=1765847814</w:t>
        </w:r>
      </w:hyperlink>
      <w:r>
        <w:t xml:space="preserve"> </w:t>
      </w:r>
    </w:p>
    <w:p w14:paraId="2ACFA1E5" w14:textId="77777777" w:rsidR="00EC252C" w:rsidRDefault="00EC252C" w:rsidP="00EC252C">
      <w:r>
        <w:t>THE COURT HELD:</w:t>
      </w:r>
    </w:p>
    <w:p w14:paraId="7A828915" w14:textId="77777777" w:rsidR="00EC252C" w:rsidRDefault="00EC252C" w:rsidP="00EC252C">
      <w:pPr>
        <w:pStyle w:val="NoSpacing"/>
        <w:ind w:left="720"/>
      </w:pPr>
      <w:r>
        <w:t>“On April 11, 2024, Mr. Bruner had an overtime shift as an ambulance driver for New Orleans Emergency Medical Services (‘EMS’). During his shift, Mr. Bruner violated multiple traffic laws, specifically, racing another ambulance, excessive speeding and driving on the wrong side of the street. The EMS in-vehicle camera system flagged a sudden brake event, prompting EMS Major Gerardo Figueroa-</w:t>
      </w:r>
      <w:proofErr w:type="gramStart"/>
      <w:r>
        <w:t>Camps (‘</w:t>
      </w:r>
      <w:proofErr w:type="gramEnd"/>
      <w:r>
        <w:t xml:space="preserve">Major Figueroa-Camps’) to review and send the full video footage to EMS Deputy Chief Chris </w:t>
      </w:r>
      <w:proofErr w:type="gramStart"/>
      <w:r>
        <w:t>Keller (‘</w:t>
      </w:r>
      <w:proofErr w:type="gramEnd"/>
      <w:r>
        <w:t>Chief Keller’) on April 18</w:t>
      </w:r>
      <w:proofErr w:type="gramStart"/>
      <w:r>
        <w:t xml:space="preserve"> 2024</w:t>
      </w:r>
      <w:proofErr w:type="gramEnd"/>
      <w:r>
        <w:t>, and [on April 19] Chief Keller emailed NOFD about Mr. Bruner’s traffic violations.</w:t>
      </w:r>
    </w:p>
    <w:p w14:paraId="7CD1E1FC" w14:textId="77777777" w:rsidR="00EC252C" w:rsidRDefault="00EC252C" w:rsidP="00EC252C">
      <w:pPr>
        <w:pStyle w:val="NoSpacing"/>
        <w:ind w:left="720"/>
      </w:pPr>
    </w:p>
    <w:p w14:paraId="1AD78E64" w14:textId="77777777" w:rsidR="00EC252C" w:rsidRDefault="00EC252C" w:rsidP="00EC252C">
      <w:pPr>
        <w:pStyle w:val="NoSpacing"/>
        <w:ind w:left="720"/>
      </w:pPr>
      <w:r>
        <w:t>***</w:t>
      </w:r>
    </w:p>
    <w:p w14:paraId="5A7E3FF5" w14:textId="77777777" w:rsidR="00EC252C" w:rsidRDefault="00EC252C" w:rsidP="00EC252C">
      <w:pPr>
        <w:pStyle w:val="NoSpacing"/>
        <w:ind w:left="720"/>
      </w:pPr>
      <w:r>
        <w:t xml:space="preserve">On June 21, 2024, NOFD Superintendent Roman Nelson issued a letter to Mr. Bruner informing him that he was charged </w:t>
      </w:r>
      <w:proofErr w:type="gramStart"/>
      <w:r>
        <w:t>for</w:t>
      </w:r>
      <w:proofErr w:type="gramEnd"/>
      <w:r>
        <w:t xml:space="preserve"> violating NOFD Rule RR5, which requires compliance with City of New Orleans policies, specifically CAO Policy 5(R) concerning driving standards. The letter further stated that Mr. Bruner would be suspended for six hours.</w:t>
      </w:r>
    </w:p>
    <w:p w14:paraId="38688B99" w14:textId="77777777" w:rsidR="00EC252C" w:rsidRDefault="00EC252C" w:rsidP="00EC252C">
      <w:pPr>
        <w:pStyle w:val="NoSpacing"/>
        <w:ind w:left="720"/>
      </w:pPr>
    </w:p>
    <w:p w14:paraId="1DC02E26" w14:textId="77777777" w:rsidR="00EC252C" w:rsidRDefault="00EC252C" w:rsidP="00EC252C">
      <w:pPr>
        <w:pStyle w:val="NoSpacing"/>
        <w:ind w:left="720"/>
      </w:pPr>
      <w:r>
        <w:t>***</w:t>
      </w:r>
    </w:p>
    <w:p w14:paraId="70B718CE" w14:textId="77777777" w:rsidR="00EC252C" w:rsidRDefault="00EC252C" w:rsidP="00EC252C">
      <w:pPr>
        <w:pStyle w:val="NoSpacing"/>
        <w:ind w:left="720"/>
      </w:pPr>
      <w:r>
        <w:t xml:space="preserve">Mr. Bruner </w:t>
      </w:r>
      <w:proofErr w:type="gramStart"/>
      <w:r>
        <w:t>appealed</w:t>
      </w:r>
      <w:proofErr w:type="gramEnd"/>
      <w:r>
        <w:t xml:space="preserve"> his suspension to the Civil Service Commission. A hearing took place on November 15, 2024. On May 8, 2025, the Commission granted Mr. Bruner’s appeal and ordered NOFD to reimburse Mr. Bruner for all lost wages and emoluments of employment from his six-hour suspension. The Commission found that NOFD failed to comply with sixty-day investigatory timeline in the Firefighter Bill of Rights. </w:t>
      </w:r>
    </w:p>
    <w:p w14:paraId="3B3F8F19" w14:textId="77777777" w:rsidR="00EC252C" w:rsidRDefault="00EC252C" w:rsidP="00EC252C">
      <w:pPr>
        <w:pStyle w:val="NoSpacing"/>
      </w:pPr>
    </w:p>
    <w:p w14:paraId="10617A17" w14:textId="77777777" w:rsidR="00EC252C" w:rsidRDefault="00EC252C" w:rsidP="00EC252C">
      <w:pPr>
        <w:pStyle w:val="NoSpacing"/>
        <w:ind w:left="1440"/>
      </w:pPr>
    </w:p>
    <w:p w14:paraId="06958D31" w14:textId="77777777" w:rsidR="00EC252C" w:rsidRDefault="00EC252C" w:rsidP="00EC252C">
      <w:pPr>
        <w:pStyle w:val="NoSpacing"/>
        <w:ind w:left="1440"/>
      </w:pPr>
      <w:r>
        <w:t>[</w:t>
      </w:r>
      <w:r w:rsidRPr="009E64D7">
        <w:t>Louisiana Revised Statute 33:2181, known as the Firefighters Bill of Rights</w:t>
      </w:r>
      <w:r>
        <w:t>]</w:t>
      </w:r>
      <w:r w:rsidRPr="009E64D7">
        <w:t>,</w:t>
      </w:r>
    </w:p>
    <w:p w14:paraId="32563332" w14:textId="77777777" w:rsidR="00EC252C" w:rsidRDefault="00EC252C" w:rsidP="00EC252C">
      <w:pPr>
        <w:pStyle w:val="NoSpacing"/>
        <w:ind w:left="1440"/>
      </w:pPr>
      <w:proofErr w:type="gramStart"/>
      <w:r>
        <w:t>provides ‘[</w:t>
      </w:r>
      <w:proofErr w:type="gramEnd"/>
      <w:r>
        <w:t>a]</w:t>
      </w:r>
      <w:proofErr w:type="spellStart"/>
      <w:r>
        <w:t>ny</w:t>
      </w:r>
      <w:proofErr w:type="spellEnd"/>
      <w:r>
        <w:t xml:space="preserve"> investigation of a fire employee which is conducted pursuant to this Subpart shall be completed within sixty days, including the conducting of any pre-disciplinary hearing or conference.’ La. R.S. 33:2186(A). The fire department may petition the governing authority for an extension of time in which to complete its investigation upon a showing of good cause. La. R.S. 33:2186(B).” </w:t>
      </w:r>
    </w:p>
    <w:p w14:paraId="2FF6C6F4" w14:textId="77777777" w:rsidR="00EC252C" w:rsidRDefault="00EC252C" w:rsidP="00EC252C">
      <w:pPr>
        <w:pStyle w:val="NoSpacing"/>
        <w:ind w:left="1440"/>
      </w:pPr>
    </w:p>
    <w:p w14:paraId="293B448D" w14:textId="77777777" w:rsidR="00EC252C" w:rsidRDefault="00EC252C" w:rsidP="00EC252C">
      <w:pPr>
        <w:pStyle w:val="NoSpacing"/>
        <w:ind w:left="720"/>
      </w:pPr>
      <w:r>
        <w:t>***</w:t>
      </w:r>
    </w:p>
    <w:p w14:paraId="61C19AC1" w14:textId="77777777" w:rsidR="00EC252C" w:rsidRDefault="00EC252C" w:rsidP="00EC252C">
      <w:pPr>
        <w:pStyle w:val="NoSpacing"/>
        <w:ind w:left="720"/>
      </w:pPr>
    </w:p>
    <w:p w14:paraId="5B5ACD88" w14:textId="77777777" w:rsidR="00EC252C" w:rsidRDefault="00EC252C" w:rsidP="00EC252C">
      <w:pPr>
        <w:pStyle w:val="NoSpacing"/>
        <w:ind w:left="720"/>
      </w:pPr>
      <w:r>
        <w:lastRenderedPageBreak/>
        <w:t xml:space="preserve">The NOFD argues that the Commission’s finding was erroneous because it undermines this Court’s decision in Pitre v. </w:t>
      </w:r>
      <w:proofErr w:type="spellStart"/>
      <w:r>
        <w:t>Dep’t</w:t>
      </w:r>
      <w:proofErr w:type="spellEnd"/>
      <w:r>
        <w:t xml:space="preserve"> of Fire, 2021-0632 (La. App. 4 Cir. 2022), 338 So.3d 70 regarding when an investigation commences…. In Pitre, a firefighter was charged with making false statements during a formal investigation regarding another employee’s worker’s compensation claim. The NOFD sent a notification letter to the firefighter on July 8, </w:t>
      </w:r>
      <w:proofErr w:type="gramStart"/>
      <w:r>
        <w:t>2020</w:t>
      </w:r>
      <w:proofErr w:type="gramEnd"/>
      <w:r>
        <w:t xml:space="preserve"> and the firefighter was terminated on September 28, 2020…. </w:t>
      </w:r>
    </w:p>
    <w:p w14:paraId="458BB811" w14:textId="77777777" w:rsidR="00EC252C" w:rsidRDefault="00EC252C" w:rsidP="00EC252C">
      <w:pPr>
        <w:pStyle w:val="NoSpacing"/>
        <w:ind w:left="720"/>
      </w:pPr>
      <w:r>
        <w:t>NOFD received an enhanced video footage of the firefighter’s actions on August 7, 2020….  NOFD argued that the investigation into the firefighter did not commence until August 7, 2020…. This Court found that the investigation commenced on July 8, 2020, when NOFD conducted an interrogation, not an initial inquiry. Specifically, the</w:t>
      </w:r>
    </w:p>
    <w:p w14:paraId="1C213FF7" w14:textId="77777777" w:rsidR="00EC252C" w:rsidRDefault="00EC252C" w:rsidP="00EC252C">
      <w:pPr>
        <w:pStyle w:val="NoSpacing"/>
        <w:ind w:left="720"/>
      </w:pPr>
      <w:r>
        <w:t xml:space="preserve">notification letter was issued to the firefighter detailing that he would be interviewed in connection with an investigation for violation of the NOFD Rules and Regulations. </w:t>
      </w:r>
    </w:p>
    <w:p w14:paraId="429FADC3" w14:textId="77777777" w:rsidR="00EC252C" w:rsidRDefault="00EC252C" w:rsidP="00EC252C">
      <w:pPr>
        <w:pStyle w:val="NoSpacing"/>
        <w:ind w:left="720"/>
      </w:pPr>
    </w:p>
    <w:p w14:paraId="02D9F32D" w14:textId="77777777" w:rsidR="00EC252C" w:rsidRDefault="00EC252C" w:rsidP="00EC252C">
      <w:pPr>
        <w:pStyle w:val="NoSpacing"/>
        <w:ind w:left="720"/>
      </w:pPr>
      <w:r>
        <w:t>***</w:t>
      </w:r>
    </w:p>
    <w:p w14:paraId="7E52B6F2" w14:textId="77777777" w:rsidR="00EC252C" w:rsidRDefault="00EC252C" w:rsidP="00EC252C">
      <w:pPr>
        <w:pStyle w:val="NoSpacing"/>
        <w:ind w:left="720"/>
      </w:pPr>
    </w:p>
    <w:p w14:paraId="46416B8F" w14:textId="77777777" w:rsidR="00EC252C" w:rsidRDefault="00EC252C" w:rsidP="00EC252C">
      <w:pPr>
        <w:pStyle w:val="NoSpacing"/>
        <w:ind w:left="720"/>
      </w:pPr>
      <w:r w:rsidRPr="00B05652">
        <w:t>We do not find that the Commission’s decision undermines this Court’s</w:t>
      </w:r>
      <w:r>
        <w:t xml:space="preserve"> </w:t>
      </w:r>
      <w:r w:rsidRPr="00B05652">
        <w:t xml:space="preserve">decision in Pitre. The facts in </w:t>
      </w:r>
      <w:proofErr w:type="gramStart"/>
      <w:r w:rsidRPr="00B05652">
        <w:t>Pitre,</w:t>
      </w:r>
      <w:proofErr w:type="gramEnd"/>
      <w:r w:rsidRPr="00B05652">
        <w:t xml:space="preserve"> are distinguishable, as the investigation into</w:t>
      </w:r>
      <w:r>
        <w:t xml:space="preserve"> </w:t>
      </w:r>
      <w:r w:rsidRPr="00B05652">
        <w:t>the firefighter began when NOFD made more than an initial inquiry into the</w:t>
      </w:r>
      <w:r>
        <w:t xml:space="preserve"> </w:t>
      </w:r>
      <w:r w:rsidRPr="00B05652">
        <w:t>firefighter’s misconduct by conducting a formal interview. Here, we find that the</w:t>
      </w:r>
      <w:r>
        <w:t xml:space="preserve"> </w:t>
      </w:r>
      <w:r w:rsidRPr="00B05652">
        <w:t>investigation into Mr. Bruner commenced on April 19, 2024, when NOFD was</w:t>
      </w:r>
      <w:r>
        <w:t xml:space="preserve"> </w:t>
      </w:r>
      <w:r w:rsidRPr="00B05652">
        <w:t>informed of Mr. Bruner’s misconduct and requested, and received evidence of his</w:t>
      </w:r>
      <w:r>
        <w:t xml:space="preserve"> </w:t>
      </w:r>
      <w:r w:rsidRPr="00B05652">
        <w:t>misconduct on the same date.</w:t>
      </w:r>
      <w:r>
        <w:t>”</w:t>
      </w:r>
    </w:p>
    <w:p w14:paraId="56C83147" w14:textId="77777777" w:rsidR="00EC252C" w:rsidRDefault="00EC252C" w:rsidP="00EC252C">
      <w:pPr>
        <w:pStyle w:val="NoSpacing"/>
        <w:ind w:left="720"/>
      </w:pPr>
    </w:p>
    <w:p w14:paraId="591752F3" w14:textId="77777777" w:rsidR="00EC252C" w:rsidRPr="00B05652" w:rsidRDefault="00EC252C" w:rsidP="00EC252C">
      <w:pPr>
        <w:pStyle w:val="NoSpacing"/>
        <w:rPr>
          <w:b/>
          <w:bCs/>
        </w:rPr>
      </w:pPr>
      <w:r>
        <w:rPr>
          <w:b/>
        </w:rPr>
        <w:t xml:space="preserve">Legal </w:t>
      </w:r>
      <w:proofErr w:type="gramStart"/>
      <w:r>
        <w:rPr>
          <w:b/>
        </w:rPr>
        <w:t>lesson</w:t>
      </w:r>
      <w:proofErr w:type="gramEnd"/>
      <w:r>
        <w:rPr>
          <w:b/>
        </w:rPr>
        <w:t xml:space="preserve"> learned:  The 60-day rule can lead to confusion; be helpful if a FD policy could give specific guidance. </w:t>
      </w:r>
    </w:p>
    <w:p w14:paraId="6ED60C2A" w14:textId="77777777" w:rsidR="00EC252C" w:rsidRDefault="00EC252C" w:rsidP="00EC252C">
      <w:pPr>
        <w:rPr>
          <w:b/>
        </w:rPr>
      </w:pPr>
    </w:p>
    <w:p w14:paraId="5B1D6F12" w14:textId="66D6A7EC" w:rsidR="00EC252C" w:rsidRDefault="009D283D" w:rsidP="000C62A1">
      <w:pPr>
        <w:pStyle w:val="NoSpacing"/>
        <w:rPr>
          <w:rFonts w:ascii="Arial Black" w:hAnsi="Arial Black"/>
          <w:sz w:val="28"/>
          <w:szCs w:val="28"/>
        </w:rPr>
      </w:pPr>
      <w:r>
        <w:rPr>
          <w:rFonts w:ascii="Arial Black" w:hAnsi="Arial Black"/>
          <w:sz w:val="28"/>
          <w:szCs w:val="28"/>
        </w:rPr>
        <w:t>5-58</w:t>
      </w:r>
    </w:p>
    <w:p w14:paraId="4565709E" w14:textId="77777777" w:rsidR="003F1E51" w:rsidRDefault="003F1E51" w:rsidP="009D283D">
      <w:pPr>
        <w:pStyle w:val="NoSpacing"/>
        <w:rPr>
          <w:rFonts w:ascii="Arial Black" w:hAnsi="Arial Black"/>
          <w:sz w:val="28"/>
          <w:szCs w:val="28"/>
        </w:rPr>
      </w:pPr>
    </w:p>
    <w:p w14:paraId="0C380036" w14:textId="3C1D26C7" w:rsidR="009D283D" w:rsidRPr="00FA1AE7" w:rsidRDefault="009D283D" w:rsidP="009D283D">
      <w:pPr>
        <w:pStyle w:val="NoSpacing"/>
        <w:rPr>
          <w:rFonts w:ascii="Arial Black" w:hAnsi="Arial Black"/>
          <w:sz w:val="28"/>
          <w:szCs w:val="28"/>
        </w:rPr>
      </w:pPr>
      <w:r>
        <w:rPr>
          <w:rFonts w:ascii="Arial Black" w:hAnsi="Arial Black"/>
          <w:sz w:val="28"/>
          <w:szCs w:val="28"/>
        </w:rPr>
        <w:t xml:space="preserve">TX: CHIEF MVA DRIVING TO WORK - CITY </w:t>
      </w:r>
      <w:r w:rsidR="00F42915">
        <w:rPr>
          <w:rFonts w:ascii="Arial Black" w:hAnsi="Arial Black"/>
          <w:sz w:val="28"/>
          <w:szCs w:val="28"/>
        </w:rPr>
        <w:t xml:space="preserve">HAS </w:t>
      </w:r>
      <w:r>
        <w:rPr>
          <w:rFonts w:ascii="Arial Black" w:hAnsi="Arial Black"/>
          <w:sz w:val="28"/>
          <w:szCs w:val="28"/>
        </w:rPr>
        <w:t xml:space="preserve">IMMUNITY </w:t>
      </w:r>
    </w:p>
    <w:p w14:paraId="5B6CD67B" w14:textId="77777777" w:rsidR="009D283D" w:rsidRDefault="009D283D" w:rsidP="009D283D">
      <w:pPr>
        <w:pStyle w:val="NoSpacing"/>
      </w:pPr>
    </w:p>
    <w:p w14:paraId="796D15BB" w14:textId="77777777" w:rsidR="009D283D" w:rsidRDefault="009D283D" w:rsidP="009D283D">
      <w:pPr>
        <w:rPr>
          <w:bCs/>
        </w:rPr>
      </w:pPr>
      <w:r>
        <w:t xml:space="preserve">On December 9, 2025, in </w:t>
      </w:r>
      <w:r w:rsidRPr="00236011">
        <w:rPr>
          <w:u w:val="single"/>
        </w:rPr>
        <w:t>City of Houston v. Annie Gutierrez, et al</w:t>
      </w:r>
      <w:r>
        <w:t xml:space="preserve">., the </w:t>
      </w:r>
      <w:r w:rsidRPr="00236011">
        <w:t>Court of Appeals of Texas, Fourteenth District</w:t>
      </w:r>
      <w:r>
        <w:t xml:space="preserve"> held that trial court should have dismissed the city; under the State’s tort claims act, municipalities wave their governmental immunity for motor vehicle accidents in the performance of employee’s duties.  Under the “coming and going” rule, employees driving to work are not in the performance of their duties.  </w:t>
      </w:r>
      <w:hyperlink r:id="rId907" w:history="1">
        <w:r w:rsidRPr="00AE4181">
          <w:rPr>
            <w:rStyle w:val="Hyperlink"/>
          </w:rPr>
          <w:t>https://cases.justia.com/texas/fourteenth-court-of-appeals/2025-14-24-00811-cv.pdf?ts=1765287556</w:t>
        </w:r>
      </w:hyperlink>
      <w:r>
        <w:t xml:space="preserve"> </w:t>
      </w:r>
    </w:p>
    <w:p w14:paraId="68E79A19" w14:textId="77777777" w:rsidR="009D283D" w:rsidRDefault="009D283D" w:rsidP="009D283D">
      <w:pPr>
        <w:rPr>
          <w:bCs/>
        </w:rPr>
      </w:pPr>
      <w:r>
        <w:t>THE COURT HELD:</w:t>
      </w:r>
    </w:p>
    <w:p w14:paraId="180F91F8" w14:textId="77777777" w:rsidR="009D283D" w:rsidRPr="00354114" w:rsidRDefault="009D283D" w:rsidP="009D283D">
      <w:pPr>
        <w:pStyle w:val="NoSpacing"/>
        <w:ind w:firstLine="720"/>
      </w:pPr>
      <w:r>
        <w:t>“</w:t>
      </w:r>
      <w:r w:rsidRPr="00354114">
        <w:t>At approximately 5:30 a.m. one morning, a Chevrolet Silverado truck struck</w:t>
      </w:r>
    </w:p>
    <w:p w14:paraId="285F8540" w14:textId="77777777" w:rsidR="009D283D" w:rsidRPr="00354114" w:rsidRDefault="009D283D" w:rsidP="009D283D">
      <w:pPr>
        <w:pStyle w:val="NoSpacing"/>
        <w:ind w:firstLine="720"/>
      </w:pPr>
      <w:r w:rsidRPr="00354114">
        <w:t>the back of a car in a left-hand-turn lane on Westpark Drive in Houston. City of</w:t>
      </w:r>
    </w:p>
    <w:p w14:paraId="7387BDE4" w14:textId="77777777" w:rsidR="009D283D" w:rsidRPr="00354114" w:rsidRDefault="009D283D" w:rsidP="009D283D">
      <w:pPr>
        <w:pStyle w:val="NoSpacing"/>
        <w:ind w:firstLine="720"/>
      </w:pPr>
      <w:r w:rsidRPr="00354114">
        <w:t xml:space="preserve">Houston Fire Chief Mark Griffiths was the driver of the </w:t>
      </w:r>
      <w:proofErr w:type="gramStart"/>
      <w:r w:rsidRPr="00354114">
        <w:t>truck, which</w:t>
      </w:r>
      <w:proofErr w:type="gramEnd"/>
      <w:r w:rsidRPr="00354114">
        <w:t xml:space="preserve"> the </w:t>
      </w:r>
      <w:proofErr w:type="gramStart"/>
      <w:r w:rsidRPr="00354114">
        <w:t>City</w:t>
      </w:r>
      <w:proofErr w:type="gramEnd"/>
      <w:r w:rsidRPr="00354114">
        <w:t xml:space="preserve"> owned.</w:t>
      </w:r>
    </w:p>
    <w:p w14:paraId="398CC545" w14:textId="77777777" w:rsidR="009D283D" w:rsidRPr="00354114" w:rsidRDefault="009D283D" w:rsidP="009D283D">
      <w:pPr>
        <w:pStyle w:val="NoSpacing"/>
        <w:ind w:firstLine="720"/>
      </w:pPr>
      <w:r w:rsidRPr="00354114">
        <w:t xml:space="preserve">Appellees sued the </w:t>
      </w:r>
      <w:proofErr w:type="gramStart"/>
      <w:r w:rsidRPr="00354114">
        <w:t>City</w:t>
      </w:r>
      <w:proofErr w:type="gramEnd"/>
      <w:r w:rsidRPr="00354114">
        <w:t xml:space="preserve"> alleging personal injuries from the collision. Appellees</w:t>
      </w:r>
    </w:p>
    <w:p w14:paraId="6878C234" w14:textId="77777777" w:rsidR="009D283D" w:rsidRPr="00354114" w:rsidRDefault="009D283D" w:rsidP="009D283D">
      <w:pPr>
        <w:pStyle w:val="NoSpacing"/>
        <w:ind w:firstLine="720"/>
      </w:pPr>
      <w:r w:rsidRPr="00354114">
        <w:t xml:space="preserve">alleged Griffiths drove negligently while </w:t>
      </w:r>
      <w:proofErr w:type="gramStart"/>
      <w:r w:rsidRPr="00354114">
        <w:t>in</w:t>
      </w:r>
      <w:proofErr w:type="gramEnd"/>
      <w:r w:rsidRPr="00354114">
        <w:t xml:space="preserve"> the course and scope of his </w:t>
      </w:r>
      <w:proofErr w:type="gramStart"/>
      <w:r w:rsidRPr="00354114">
        <w:t>City</w:t>
      </w:r>
      <w:proofErr w:type="gramEnd"/>
    </w:p>
    <w:p w14:paraId="7BBF326F" w14:textId="77777777" w:rsidR="009D283D" w:rsidRPr="00354114" w:rsidRDefault="009D283D" w:rsidP="009D283D">
      <w:pPr>
        <w:pStyle w:val="NoSpacing"/>
        <w:ind w:firstLine="720"/>
      </w:pPr>
      <w:r w:rsidRPr="00354114">
        <w:t xml:space="preserve">employment at the time of the collision, and thus, the City’s immunity was </w:t>
      </w:r>
      <w:proofErr w:type="gramStart"/>
      <w:r w:rsidRPr="00354114">
        <w:t>waived</w:t>
      </w:r>
      <w:proofErr w:type="gramEnd"/>
    </w:p>
    <w:p w14:paraId="70FEBB97" w14:textId="77777777" w:rsidR="009D283D" w:rsidRPr="00354114" w:rsidRDefault="009D283D" w:rsidP="009D283D">
      <w:pPr>
        <w:pStyle w:val="NoSpacing"/>
        <w:ind w:firstLine="720"/>
      </w:pPr>
      <w:r w:rsidRPr="00354114">
        <w:t xml:space="preserve">under the Texas Torts Claims Act (“TTCA”). See Tex. Civ. </w:t>
      </w:r>
      <w:proofErr w:type="spellStart"/>
      <w:r w:rsidRPr="00354114">
        <w:t>Prac</w:t>
      </w:r>
      <w:proofErr w:type="spellEnd"/>
      <w:r w:rsidRPr="00354114">
        <w:t>. &amp; Rem. Code</w:t>
      </w:r>
    </w:p>
    <w:p w14:paraId="776F8604" w14:textId="77777777" w:rsidR="009D283D" w:rsidRDefault="009D283D" w:rsidP="009D283D">
      <w:pPr>
        <w:pStyle w:val="NoSpacing"/>
        <w:ind w:firstLine="720"/>
      </w:pPr>
      <w:r w:rsidRPr="00354114">
        <w:t>Ann. § 101.021(1).</w:t>
      </w:r>
    </w:p>
    <w:p w14:paraId="0C753287" w14:textId="77777777" w:rsidR="009D283D" w:rsidRDefault="009D283D" w:rsidP="009D283D">
      <w:pPr>
        <w:pStyle w:val="NoSpacing"/>
      </w:pPr>
    </w:p>
    <w:p w14:paraId="07202E40" w14:textId="77777777" w:rsidR="009D283D" w:rsidRDefault="009D283D" w:rsidP="009D283D">
      <w:pPr>
        <w:pStyle w:val="NoSpacing"/>
        <w:ind w:firstLine="720"/>
      </w:pPr>
      <w:r>
        <w:t>The City’s evidence showed that when this accident occurred, Griffiths was</w:t>
      </w:r>
    </w:p>
    <w:p w14:paraId="789B127B" w14:textId="77777777" w:rsidR="009D283D" w:rsidRDefault="009D283D" w:rsidP="009D283D">
      <w:pPr>
        <w:pStyle w:val="NoSpacing"/>
        <w:ind w:firstLine="720"/>
      </w:pPr>
      <w:r>
        <w:t>driving from his home. Griffiths was about ten minutes away from the fire station,</w:t>
      </w:r>
    </w:p>
    <w:p w14:paraId="7020F297" w14:textId="77777777" w:rsidR="009D283D" w:rsidRDefault="009D283D" w:rsidP="009D283D">
      <w:pPr>
        <w:pStyle w:val="NoSpacing"/>
        <w:ind w:firstLine="720"/>
      </w:pPr>
      <w:r>
        <w:t>but planned to go to the gym, then to work. Griffiths was wearing his gym clothes</w:t>
      </w:r>
    </w:p>
    <w:p w14:paraId="3B077913" w14:textId="77777777" w:rsidR="009D283D" w:rsidRDefault="009D283D" w:rsidP="009D283D">
      <w:pPr>
        <w:pStyle w:val="NoSpacing"/>
        <w:ind w:firstLine="720"/>
      </w:pPr>
      <w:r>
        <w:t>at the time of the accident. Griffiths testified his normal routine was to go to the</w:t>
      </w:r>
    </w:p>
    <w:p w14:paraId="28BCAF3C" w14:textId="77777777" w:rsidR="009D283D" w:rsidRDefault="009D283D" w:rsidP="009D283D">
      <w:pPr>
        <w:pStyle w:val="NoSpacing"/>
        <w:ind w:firstLine="720"/>
      </w:pPr>
      <w:r>
        <w:t>gym, work out, then put on his uniform and then start work.</w:t>
      </w:r>
    </w:p>
    <w:p w14:paraId="699B68C3" w14:textId="77777777" w:rsidR="009D283D" w:rsidRDefault="009D283D" w:rsidP="009D283D">
      <w:pPr>
        <w:pStyle w:val="NoSpacing"/>
      </w:pPr>
    </w:p>
    <w:p w14:paraId="0A0EE420" w14:textId="77777777" w:rsidR="009D283D" w:rsidRDefault="009D283D" w:rsidP="009D283D">
      <w:pPr>
        <w:pStyle w:val="NoSpacing"/>
        <w:ind w:firstLine="720"/>
      </w:pPr>
      <w:proofErr w:type="spellStart"/>
      <w:r>
        <w:t>Griffiths’s</w:t>
      </w:r>
      <w:proofErr w:type="spellEnd"/>
      <w:r>
        <w:t xml:space="preserve"> work hours were 6:00 a.m. to 4:00 p.m., Tuesdays through Fridays.</w:t>
      </w:r>
    </w:p>
    <w:p w14:paraId="78524696" w14:textId="77777777" w:rsidR="009D283D" w:rsidRDefault="009D283D" w:rsidP="009D283D">
      <w:pPr>
        <w:pStyle w:val="NoSpacing"/>
        <w:ind w:firstLine="720"/>
      </w:pPr>
      <w:proofErr w:type="spellStart"/>
      <w:r>
        <w:lastRenderedPageBreak/>
        <w:t>Griffiths’s</w:t>
      </w:r>
      <w:proofErr w:type="spellEnd"/>
      <w:r>
        <w:t xml:space="preserve"> work duties did not include responding to emergencies. Griffiths</w:t>
      </w:r>
    </w:p>
    <w:p w14:paraId="076AD3B8" w14:textId="77777777" w:rsidR="009D283D" w:rsidRDefault="009D283D" w:rsidP="009D283D">
      <w:pPr>
        <w:pStyle w:val="NoSpacing"/>
        <w:ind w:firstLine="720"/>
      </w:pPr>
      <w:r>
        <w:t>described his work as training firefighters and quality assurance of incoming calls</w:t>
      </w:r>
    </w:p>
    <w:p w14:paraId="2848EAA0" w14:textId="77777777" w:rsidR="009D283D" w:rsidRDefault="009D283D" w:rsidP="009D283D">
      <w:pPr>
        <w:ind w:firstLine="720"/>
      </w:pPr>
      <w:r>
        <w:t>and complaints.</w:t>
      </w:r>
    </w:p>
    <w:p w14:paraId="105DB91F" w14:textId="77777777" w:rsidR="009D283D" w:rsidRDefault="009D283D" w:rsidP="009D283D">
      <w:pPr>
        <w:ind w:firstLine="720"/>
      </w:pPr>
      <w:r>
        <w:t>***</w:t>
      </w:r>
    </w:p>
    <w:p w14:paraId="76938831" w14:textId="77777777" w:rsidR="009D283D" w:rsidRDefault="009D283D" w:rsidP="009D283D">
      <w:pPr>
        <w:pStyle w:val="NoSpacing"/>
        <w:ind w:firstLine="720"/>
        <w:rPr>
          <w:bCs/>
        </w:rPr>
      </w:pPr>
      <w:r w:rsidRPr="009F3681">
        <w:t>This Court recently summarized the coming-and-going rule as follows:</w:t>
      </w:r>
      <w:r>
        <w:t xml:space="preserve"> </w:t>
      </w:r>
    </w:p>
    <w:p w14:paraId="14DCA6E8" w14:textId="77777777" w:rsidR="009D283D" w:rsidRPr="009F3681" w:rsidRDefault="009D283D" w:rsidP="009D283D">
      <w:pPr>
        <w:pStyle w:val="NoSpacing"/>
        <w:ind w:left="720"/>
        <w:rPr>
          <w:bCs/>
        </w:rPr>
      </w:pPr>
      <w:r w:rsidRPr="009F3681">
        <w:t xml:space="preserve">Under the coming-and-going rule, an </w:t>
      </w:r>
      <w:r>
        <w:t>‘</w:t>
      </w:r>
      <w:r w:rsidRPr="009F3681">
        <w:t>employee is generally not acting</w:t>
      </w:r>
      <w:r>
        <w:t xml:space="preserve"> </w:t>
      </w:r>
      <w:r w:rsidRPr="009F3681">
        <w:t>within the scope of [her] employment when traveling to and from</w:t>
      </w:r>
      <w:r>
        <w:t xml:space="preserve"> </w:t>
      </w:r>
      <w:r w:rsidRPr="009F3681">
        <w:t>work.</w:t>
      </w:r>
      <w:r>
        <w:t xml:space="preserve">’ </w:t>
      </w:r>
      <w:r w:rsidRPr="009F3681">
        <w:t xml:space="preserve"> Painter v. </w:t>
      </w:r>
      <w:proofErr w:type="spellStart"/>
      <w:r w:rsidRPr="009F3681">
        <w:t>Amerimex</w:t>
      </w:r>
      <w:proofErr w:type="spellEnd"/>
      <w:r w:rsidRPr="009F3681">
        <w:t xml:space="preserve"> Drilling I, Ltd., 561 S.W.3d 125, 136 (Tex.</w:t>
      </w:r>
      <w:r>
        <w:t xml:space="preserve"> </w:t>
      </w:r>
      <w:r w:rsidRPr="009F3681">
        <w:t>2018). The coming-and-going rule reflects that an accident while</w:t>
      </w:r>
      <w:r>
        <w:t xml:space="preserve"> </w:t>
      </w:r>
      <w:r w:rsidRPr="009F3681">
        <w:t>traveling to and from work does not generally arise from a person’s</w:t>
      </w:r>
    </w:p>
    <w:p w14:paraId="6FFBC35B" w14:textId="77777777" w:rsidR="009D283D" w:rsidRPr="009F3681" w:rsidRDefault="009D283D" w:rsidP="009D283D">
      <w:pPr>
        <w:pStyle w:val="NoSpacing"/>
        <w:ind w:left="720"/>
        <w:rPr>
          <w:bCs/>
        </w:rPr>
      </w:pPr>
      <w:r w:rsidRPr="009F3681">
        <w:t xml:space="preserve">employment but instead </w:t>
      </w:r>
      <w:proofErr w:type="gramStart"/>
      <w:r w:rsidRPr="009F3681">
        <w:t>from</w:t>
      </w:r>
      <w:proofErr w:type="gramEnd"/>
      <w:r w:rsidRPr="009F3681">
        <w:t xml:space="preserve"> the risks and hazards inherent to the</w:t>
      </w:r>
      <w:r>
        <w:t xml:space="preserve"> </w:t>
      </w:r>
      <w:r w:rsidRPr="009F3681">
        <w:t xml:space="preserve">driving public. Smith v. Tex. Emp. Ins. </w:t>
      </w:r>
      <w:proofErr w:type="spellStart"/>
      <w:r w:rsidRPr="009F3681">
        <w:t>Ass’n</w:t>
      </w:r>
      <w:proofErr w:type="spellEnd"/>
      <w:r w:rsidRPr="009F3681">
        <w:t>, 105 S.W.2d 192, 193</w:t>
      </w:r>
      <w:r>
        <w:t xml:space="preserve"> </w:t>
      </w:r>
      <w:r w:rsidRPr="009F3681">
        <w:t>(Tex. [Comm’n Op.] 1937); see Cameron Int’l Corp. v. Martinez, 662</w:t>
      </w:r>
      <w:r>
        <w:t xml:space="preserve"> </w:t>
      </w:r>
      <w:r w:rsidRPr="009F3681">
        <w:t xml:space="preserve">S.W.3d 373, 376 (Tex. 2022). </w:t>
      </w:r>
      <w:r>
        <w:t>‘</w:t>
      </w:r>
      <w:r w:rsidRPr="009F3681">
        <w:t>Such travel hazards do not arise out of</w:t>
      </w:r>
      <w:r>
        <w:t xml:space="preserve"> </w:t>
      </w:r>
      <w:r w:rsidRPr="009F3681">
        <w:t>the business of an employer; thus, the law does not hold the employer</w:t>
      </w:r>
    </w:p>
    <w:p w14:paraId="2882794A" w14:textId="77777777" w:rsidR="009D283D" w:rsidRDefault="009D283D" w:rsidP="009D283D">
      <w:pPr>
        <w:pStyle w:val="NoSpacing"/>
        <w:ind w:firstLine="720"/>
        <w:rPr>
          <w:bCs/>
        </w:rPr>
      </w:pPr>
      <w:r w:rsidRPr="009F3681">
        <w:t>liable for injuries resulting from engaging in these risks.</w:t>
      </w:r>
      <w:r>
        <w:t>’</w:t>
      </w:r>
      <w:r w:rsidRPr="009F3681">
        <w:t xml:space="preserve"> Cameron,</w:t>
      </w:r>
      <w:r>
        <w:t xml:space="preserve"> </w:t>
      </w:r>
      <w:r w:rsidRPr="009F3681">
        <w:t>662 S.W.3d at 376.</w:t>
      </w:r>
      <w:r>
        <w:t>”</w:t>
      </w:r>
    </w:p>
    <w:p w14:paraId="3073CFD8" w14:textId="77777777" w:rsidR="009D283D" w:rsidRDefault="009D283D" w:rsidP="009D283D">
      <w:pPr>
        <w:pStyle w:val="NoSpacing"/>
        <w:ind w:firstLine="720"/>
        <w:rPr>
          <w:bCs/>
        </w:rPr>
      </w:pPr>
    </w:p>
    <w:p w14:paraId="65F961A4" w14:textId="77777777" w:rsidR="009D283D" w:rsidRPr="00072A0E" w:rsidRDefault="009D283D" w:rsidP="009D283D">
      <w:pPr>
        <w:pStyle w:val="NoSpacing"/>
        <w:rPr>
          <w:b/>
        </w:rPr>
      </w:pPr>
      <w:r>
        <w:rPr>
          <w:b/>
        </w:rPr>
        <w:t xml:space="preserve">Legal lesson learned: The motorist may pursue litigation against the Chief in his personal capacity, but not the city. </w:t>
      </w:r>
    </w:p>
    <w:p w14:paraId="2B23B80E" w14:textId="77777777" w:rsidR="009D283D" w:rsidRPr="00236011" w:rsidRDefault="009D283D" w:rsidP="009D283D">
      <w:pPr>
        <w:pStyle w:val="NoSpacing"/>
        <w:rPr>
          <w:bCs/>
        </w:rPr>
      </w:pPr>
    </w:p>
    <w:p w14:paraId="77A190AC" w14:textId="77777777" w:rsidR="009D283D" w:rsidRDefault="009D283D" w:rsidP="000C62A1">
      <w:pPr>
        <w:pStyle w:val="NoSpacing"/>
        <w:rPr>
          <w:rFonts w:ascii="Arial Black" w:hAnsi="Arial Black"/>
          <w:sz w:val="28"/>
          <w:szCs w:val="28"/>
        </w:rPr>
      </w:pPr>
    </w:p>
    <w:p w14:paraId="671CC357" w14:textId="77777777" w:rsidR="00CC770C" w:rsidRDefault="00CC770C" w:rsidP="000C62A1">
      <w:pPr>
        <w:pStyle w:val="NoSpacing"/>
        <w:rPr>
          <w:rFonts w:ascii="Arial Black" w:hAnsi="Arial Black"/>
          <w:sz w:val="28"/>
          <w:szCs w:val="28"/>
        </w:rPr>
      </w:pPr>
    </w:p>
    <w:p w14:paraId="7B4787A0" w14:textId="77777777" w:rsidR="00CC770C" w:rsidRDefault="00CC770C" w:rsidP="000C62A1">
      <w:pPr>
        <w:pStyle w:val="NoSpacing"/>
        <w:rPr>
          <w:rFonts w:ascii="Arial Black" w:hAnsi="Arial Black"/>
          <w:sz w:val="28"/>
          <w:szCs w:val="28"/>
        </w:rPr>
      </w:pPr>
    </w:p>
    <w:p w14:paraId="44843B33" w14:textId="77777777" w:rsidR="00CC770C" w:rsidRDefault="00CC770C" w:rsidP="000C62A1">
      <w:pPr>
        <w:pStyle w:val="NoSpacing"/>
        <w:rPr>
          <w:rFonts w:ascii="Arial Black" w:hAnsi="Arial Black"/>
          <w:sz w:val="28"/>
          <w:szCs w:val="28"/>
        </w:rPr>
      </w:pPr>
    </w:p>
    <w:p w14:paraId="6E03A7EA" w14:textId="77777777" w:rsidR="00CC770C" w:rsidRDefault="00CC770C" w:rsidP="000C62A1">
      <w:pPr>
        <w:pStyle w:val="NoSpacing"/>
        <w:rPr>
          <w:rFonts w:ascii="Arial Black" w:hAnsi="Arial Black"/>
          <w:sz w:val="28"/>
          <w:szCs w:val="28"/>
        </w:rPr>
      </w:pPr>
    </w:p>
    <w:p w14:paraId="4793D3E2" w14:textId="77777777" w:rsidR="00CC770C" w:rsidRDefault="00CC770C" w:rsidP="000C62A1">
      <w:pPr>
        <w:pStyle w:val="NoSpacing"/>
        <w:rPr>
          <w:rFonts w:ascii="Arial Black" w:hAnsi="Arial Black"/>
          <w:sz w:val="28"/>
          <w:szCs w:val="28"/>
        </w:rPr>
      </w:pPr>
    </w:p>
    <w:p w14:paraId="129C85C4" w14:textId="1D4DAA88" w:rsidR="0096096B" w:rsidRDefault="003E41BB" w:rsidP="000C62A1">
      <w:pPr>
        <w:pStyle w:val="NoSpacing"/>
        <w:rPr>
          <w:rFonts w:ascii="Arial Black" w:hAnsi="Arial Black"/>
          <w:sz w:val="28"/>
          <w:szCs w:val="28"/>
        </w:rPr>
      </w:pPr>
      <w:r>
        <w:rPr>
          <w:rFonts w:ascii="Arial Black" w:hAnsi="Arial Black"/>
          <w:sz w:val="28"/>
          <w:szCs w:val="28"/>
        </w:rPr>
        <w:t>5-57</w:t>
      </w:r>
    </w:p>
    <w:p w14:paraId="492954D3" w14:textId="77777777" w:rsidR="003E41BB" w:rsidRDefault="003E41BB" w:rsidP="000C62A1">
      <w:pPr>
        <w:pStyle w:val="NoSpacing"/>
        <w:rPr>
          <w:rFonts w:ascii="Arial Black" w:hAnsi="Arial Black"/>
          <w:sz w:val="28"/>
          <w:szCs w:val="28"/>
        </w:rPr>
      </w:pPr>
    </w:p>
    <w:p w14:paraId="755FC4FA" w14:textId="77777777" w:rsidR="003E41BB" w:rsidRPr="00D418F3" w:rsidRDefault="003E41BB" w:rsidP="003E41BB">
      <w:pPr>
        <w:rPr>
          <w:rFonts w:ascii="Arial Black" w:hAnsi="Arial Black"/>
          <w:b/>
          <w:sz w:val="28"/>
          <w:szCs w:val="28"/>
        </w:rPr>
      </w:pPr>
      <w:r>
        <w:rPr>
          <w:rFonts w:ascii="Arial Black" w:hAnsi="Arial Black"/>
          <w:b/>
          <w:sz w:val="28"/>
          <w:szCs w:val="28"/>
        </w:rPr>
        <w:t>TX: RED LIGHT – NO PROOF SLOWED DOWN - NO IMMUNITY</w:t>
      </w:r>
    </w:p>
    <w:p w14:paraId="76149E22" w14:textId="77777777" w:rsidR="003E41BB" w:rsidRPr="00B00D48" w:rsidRDefault="003E41BB" w:rsidP="003E41BB">
      <w:pPr>
        <w:rPr>
          <w:b/>
          <w:bCs/>
        </w:rPr>
      </w:pPr>
      <w:r>
        <w:t xml:space="preserve">On Nov. 13, 2025, in </w:t>
      </w:r>
      <w:r w:rsidRPr="001C357D">
        <w:rPr>
          <w:u w:val="single"/>
        </w:rPr>
        <w:t>City of Houston, Texas v. Chelsea Manning, et al</w:t>
      </w:r>
      <w:r>
        <w:t xml:space="preserve">., the </w:t>
      </w:r>
      <w:r w:rsidRPr="00C56FEE">
        <w:t>Court of Appeals of Texas, Fourteenth District</w:t>
      </w:r>
      <w:r>
        <w:t xml:space="preserve"> held (3 to 0) that the trial court properly refused to grant immunity; the City failed to present evidence that Opticom had turned light to green.  </w:t>
      </w:r>
      <w:proofErr w:type="gramStart"/>
      <w:r>
        <w:t>Also</w:t>
      </w:r>
      <w:proofErr w:type="gramEnd"/>
      <w:r>
        <w:t xml:space="preserve"> no evidence Engine slowed down at the intersection (going 45 mph in 35 mph zone). This case has previously </w:t>
      </w:r>
      <w:proofErr w:type="gramStart"/>
      <w:r>
        <w:t>be</w:t>
      </w:r>
      <w:proofErr w:type="gramEnd"/>
      <w:r>
        <w:t xml:space="preserve"> appealed to Texas Supreme Court which remanded it back to the Court of Appeals to reconsider the evidence. THE COURT WROTE:  “[FAO </w:t>
      </w:r>
      <w:r w:rsidRPr="005E1C69">
        <w:t>Wilhelm</w:t>
      </w:r>
      <w:r>
        <w:t xml:space="preserve">] </w:t>
      </w:r>
      <w:r w:rsidRPr="007E7142">
        <w:t xml:space="preserve">Schmidt said he slowed to </w:t>
      </w:r>
      <w:r>
        <w:t>‘</w:t>
      </w:r>
      <w:r w:rsidRPr="007E7142">
        <w:t>clear the intersection,</w:t>
      </w:r>
      <w:r>
        <w:t>’</w:t>
      </w:r>
      <w:r w:rsidRPr="007E7142">
        <w:t xml:space="preserve"> but, as explained, other evidence in the record indicates that he was driving 45 miles per hour </w:t>
      </w:r>
      <w:r>
        <w:t>‘</w:t>
      </w:r>
      <w:r w:rsidRPr="007E7142">
        <w:t>on some of the straightaways</w:t>
      </w:r>
      <w:r>
        <w:t>’</w:t>
      </w:r>
      <w:r w:rsidRPr="007E7142">
        <w:t xml:space="preserve"> and remained driving at 45 miles per hour—10 miles per hour over the speed limit—at the </w:t>
      </w:r>
      <w:r>
        <w:t>‘</w:t>
      </w:r>
      <w:r w:rsidRPr="007E7142">
        <w:t>time of impact.</w:t>
      </w:r>
      <w:r>
        <w:t>’</w:t>
      </w:r>
      <w:r w:rsidRPr="007E7142">
        <w:t xml:space="preserve"> which is evidence from which a reasonable juror could infer that Schmidt either did not slow the vehicle at all or did not slow it as necessary for safe operation</w:t>
      </w:r>
      <w:r>
        <w:t xml:space="preserve">…. </w:t>
      </w:r>
      <w:r w:rsidRPr="000F4DCD">
        <w:t xml:space="preserve">We conclude that the </w:t>
      </w:r>
      <w:proofErr w:type="gramStart"/>
      <w:r w:rsidRPr="000F4DCD">
        <w:t>City</w:t>
      </w:r>
      <w:proofErr w:type="gramEnd"/>
      <w:r w:rsidRPr="000F4DCD">
        <w:t xml:space="preserve"> did not meet its initial burden to prove conclusively Schmidt's good fait</w:t>
      </w:r>
      <w:r>
        <w:t xml:space="preserve">h.” </w:t>
      </w:r>
      <w:hyperlink r:id="rId908" w:history="1">
        <w:r w:rsidRPr="006C188F">
          <w:rPr>
            <w:rStyle w:val="Hyperlink"/>
            <w:b/>
          </w:rPr>
          <w:t>https://caselaw.findlaw.com/court/tx-court-of-appeals/117928954.html</w:t>
        </w:r>
      </w:hyperlink>
      <w:r w:rsidRPr="00B00D48">
        <w:rPr>
          <w:b/>
        </w:rPr>
        <w:t xml:space="preserve"> </w:t>
      </w:r>
    </w:p>
    <w:p w14:paraId="10036D2C" w14:textId="77777777" w:rsidR="003E41BB" w:rsidRDefault="003E41BB" w:rsidP="003E41BB">
      <w:pPr>
        <w:pStyle w:val="NoSpacing"/>
      </w:pPr>
    </w:p>
    <w:p w14:paraId="6E7FFD55" w14:textId="77777777" w:rsidR="003E41BB" w:rsidRDefault="003E41BB" w:rsidP="003E41BB">
      <w:r>
        <w:t xml:space="preserve">THE COURT HELD: </w:t>
      </w:r>
    </w:p>
    <w:p w14:paraId="3F26A99A" w14:textId="77777777" w:rsidR="003E41BB" w:rsidRDefault="003E41BB" w:rsidP="003E41BB">
      <w:pPr>
        <w:ind w:left="720"/>
      </w:pPr>
      <w:r>
        <w:t>“</w:t>
      </w:r>
      <w:r w:rsidRPr="005E1C69">
        <w:t xml:space="preserve">The relevant facts are familiar to both the parties and to this court, so we summarize them only briefly. A Houston Fire </w:t>
      </w:r>
      <w:proofErr w:type="gramStart"/>
      <w:r w:rsidRPr="005E1C69">
        <w:t>Department (</w:t>
      </w:r>
      <w:r>
        <w:t>‘</w:t>
      </w:r>
      <w:proofErr w:type="gramEnd"/>
      <w:r w:rsidRPr="005E1C69">
        <w:t>HFD</w:t>
      </w:r>
      <w:r>
        <w:t>’</w:t>
      </w:r>
      <w:r w:rsidRPr="005E1C69">
        <w:t xml:space="preserve">) truck driven by Engineer/Operator Wilhelm Schmidt responded to a dispatch for a dumpster fire at an apartment complex. En route, the fire truck collided with a car driven by Chelsea </w:t>
      </w:r>
      <w:r w:rsidRPr="005E1C69">
        <w:lastRenderedPageBreak/>
        <w:t>Manning at the intersection of Ludington Drive and Fondren Road. Also in Manning's car were three minor passengers.</w:t>
      </w:r>
    </w:p>
    <w:p w14:paraId="49455F5F" w14:textId="77777777" w:rsidR="003E41BB" w:rsidRDefault="003E41BB" w:rsidP="003E41BB">
      <w:pPr>
        <w:ind w:left="720"/>
      </w:pPr>
      <w:r>
        <w:t>***</w:t>
      </w:r>
    </w:p>
    <w:p w14:paraId="0568A4F8" w14:textId="77777777" w:rsidR="003E41BB" w:rsidRDefault="003E41BB" w:rsidP="003E41BB">
      <w:pPr>
        <w:ind w:left="720"/>
      </w:pPr>
      <w:r w:rsidRPr="004F2DF7">
        <w:t xml:space="preserve">Under section 546.001, the operator of an emergency vehicle may proceed past a red or stop signal or stop sign, after slowing as necessary for safe operation. Id. § 546.001(2). Such an operator may also exceed a maximum speed limit, except as provided by an ordinance adopted under section 545.365, </w:t>
      </w:r>
      <w:proofErr w:type="gramStart"/>
      <w:r w:rsidRPr="004F2DF7">
        <w:t>as long as</w:t>
      </w:r>
      <w:proofErr w:type="gramEnd"/>
      <w:r w:rsidRPr="004F2DF7">
        <w:t xml:space="preserve"> the operator does not endanger life or property. Id. § 546.001(3)</w:t>
      </w:r>
      <w:r>
        <w:t xml:space="preserve">…. </w:t>
      </w:r>
    </w:p>
    <w:p w14:paraId="1A8D6F53" w14:textId="77777777" w:rsidR="003E41BB" w:rsidRDefault="003E41BB" w:rsidP="003E41BB">
      <w:pPr>
        <w:ind w:left="720"/>
      </w:pPr>
      <w:r w:rsidRPr="007E7142">
        <w:t>It is also evidence from which a reasonable juror could infer that Schmidt's excessive speed endangered life or property. Based on this evidence, a factfinder could reasonably conclude that Schmidt (1) drove above the speed limit endangering life or property, (2) did not slow his speed as necessary for safe operation of the vehicle, and (3) proceeded against a red light.</w:t>
      </w:r>
    </w:p>
    <w:p w14:paraId="3EF48397" w14:textId="77777777" w:rsidR="003E41BB" w:rsidRDefault="003E41BB" w:rsidP="003E41BB">
      <w:pPr>
        <w:ind w:left="720"/>
      </w:pPr>
      <w:r>
        <w:t>***</w:t>
      </w:r>
    </w:p>
    <w:p w14:paraId="456919C9" w14:textId="77777777" w:rsidR="003E41BB" w:rsidRDefault="003E41BB" w:rsidP="003E41BB">
      <w:pPr>
        <w:pStyle w:val="NoSpacing"/>
        <w:ind w:left="720"/>
      </w:pPr>
      <w:r w:rsidRPr="00920FF6">
        <w:t xml:space="preserve">Captain Hill introduced a new fact with the City's second summary-judgment motion that was not presented in the first appeal. He explained that the fire truck was fitted with an </w:t>
      </w:r>
      <w:r>
        <w:t>‘</w:t>
      </w:r>
      <w:r w:rsidRPr="00920FF6">
        <w:t>Opticom transmitter</w:t>
      </w:r>
      <w:r>
        <w:t>’</w:t>
      </w:r>
      <w:r w:rsidRPr="00920FF6">
        <w:t xml:space="preserve"> that automatically activated when the emergency lights were turned on. </w:t>
      </w:r>
      <w:r>
        <w:t xml:space="preserve"> </w:t>
      </w:r>
      <w:r w:rsidRPr="00920FF6">
        <w:t xml:space="preserve">An Opticom transmitter </w:t>
      </w:r>
      <w:r>
        <w:t>‘</w:t>
      </w:r>
      <w:r w:rsidRPr="00920FF6">
        <w:t>grants the apparatus a temporary right of way by turning their traffic light green, and the others red.</w:t>
      </w:r>
      <w:r>
        <w:t>’</w:t>
      </w:r>
      <w:r w:rsidRPr="00920FF6">
        <w:t xml:space="preserve"> Captain Hill could tell that the Opticom transmitter was working because traffic lights in their path changed to green as they drove to the scene. Based on the Opticom transmitter's operation, Captain Hill opined that, even if Schmidt did not slow down as he approached the intersection, he still acted in good faith because </w:t>
      </w:r>
      <w:r>
        <w:t>‘</w:t>
      </w:r>
      <w:r w:rsidRPr="00920FF6">
        <w:t>the Opticom transmitter was operating and turned our light green as we approached, so we did not have to slow down for a red traffic signal.</w:t>
      </w:r>
      <w:r>
        <w:t>’</w:t>
      </w:r>
      <w:r w:rsidRPr="00920FF6">
        <w:t xml:space="preserve"> Captain Hill added that the fire truck's emergency lights were activated the entire time, and they blew the airhorn as they approached each intersection, including the one at Fondren and Ludington.</w:t>
      </w:r>
      <w:r>
        <w:t xml:space="preserve"> </w:t>
      </w:r>
      <w:r w:rsidRPr="00134CE7">
        <w:t>There is no evidence, however, that the traffic signals for Schmidt and Manning could have been green at the same time. Captain Hill testified that, when the Opticom transmitter activates a green signal for an approaching fire truck, the signals for other traffic are changed to red.</w:t>
      </w:r>
      <w:r>
        <w:t xml:space="preserve">” </w:t>
      </w:r>
    </w:p>
    <w:p w14:paraId="6C0F1D5E" w14:textId="77777777" w:rsidR="003E41BB" w:rsidRDefault="003E41BB" w:rsidP="003E41BB">
      <w:pPr>
        <w:rPr>
          <w:b/>
          <w:bCs/>
        </w:rPr>
      </w:pPr>
    </w:p>
    <w:p w14:paraId="1AE687D3" w14:textId="3EEDCA8F" w:rsidR="003E41BB" w:rsidRDefault="003E41BB" w:rsidP="003E41BB">
      <w:pPr>
        <w:rPr>
          <w:b/>
          <w:bCs/>
        </w:rPr>
      </w:pPr>
      <w:r>
        <w:rPr>
          <w:b/>
        </w:rPr>
        <w:t xml:space="preserve">Legal lesson learned: The trial court judge was not presented with proof that FAO slowed down entering the intersection, or that the Opticom had timely operated to give FAO a green light.  </w:t>
      </w:r>
    </w:p>
    <w:p w14:paraId="35AAD2A5" w14:textId="77777777" w:rsidR="003E41BB" w:rsidRDefault="003E41BB" w:rsidP="000C62A1">
      <w:pPr>
        <w:pStyle w:val="NoSpacing"/>
        <w:rPr>
          <w:rFonts w:ascii="Arial Black" w:hAnsi="Arial Black"/>
          <w:sz w:val="28"/>
          <w:szCs w:val="28"/>
        </w:rPr>
      </w:pPr>
    </w:p>
    <w:p w14:paraId="481636D7" w14:textId="77777777" w:rsidR="003E41BB" w:rsidRDefault="003E41BB" w:rsidP="000C62A1">
      <w:pPr>
        <w:pStyle w:val="NoSpacing"/>
        <w:rPr>
          <w:rFonts w:ascii="Arial Black" w:hAnsi="Arial Black"/>
          <w:sz w:val="28"/>
          <w:szCs w:val="28"/>
        </w:rPr>
      </w:pPr>
    </w:p>
    <w:p w14:paraId="72877E0D" w14:textId="77777777" w:rsidR="003E41BB" w:rsidRDefault="003E41BB" w:rsidP="000C62A1">
      <w:pPr>
        <w:pStyle w:val="NoSpacing"/>
        <w:rPr>
          <w:rFonts w:ascii="Arial Black" w:hAnsi="Arial Black"/>
          <w:sz w:val="28"/>
          <w:szCs w:val="28"/>
        </w:rPr>
      </w:pPr>
    </w:p>
    <w:p w14:paraId="1CE9B9BF" w14:textId="23AF963E" w:rsidR="003E41BB" w:rsidRDefault="003E41BB" w:rsidP="000C62A1">
      <w:pPr>
        <w:pStyle w:val="NoSpacing"/>
        <w:rPr>
          <w:rFonts w:ascii="Arial Black" w:hAnsi="Arial Black"/>
          <w:sz w:val="28"/>
          <w:szCs w:val="28"/>
        </w:rPr>
      </w:pPr>
      <w:r>
        <w:rPr>
          <w:rFonts w:ascii="Arial Black" w:hAnsi="Arial Black"/>
          <w:sz w:val="28"/>
          <w:szCs w:val="28"/>
        </w:rPr>
        <w:t>5-56</w:t>
      </w:r>
    </w:p>
    <w:p w14:paraId="63C19777" w14:textId="77777777" w:rsidR="003E41BB" w:rsidRDefault="003E41BB" w:rsidP="000C62A1">
      <w:pPr>
        <w:pStyle w:val="NoSpacing"/>
        <w:rPr>
          <w:rFonts w:ascii="Arial Black" w:hAnsi="Arial Black"/>
          <w:sz w:val="28"/>
          <w:szCs w:val="28"/>
        </w:rPr>
      </w:pPr>
    </w:p>
    <w:p w14:paraId="5D4A0353" w14:textId="77777777" w:rsidR="00CC56F9" w:rsidRPr="00491816" w:rsidRDefault="00CC56F9" w:rsidP="00CC56F9">
      <w:pPr>
        <w:pStyle w:val="NoSpacing"/>
        <w:rPr>
          <w:rFonts w:ascii="Arial Black" w:hAnsi="Arial Black"/>
          <w:sz w:val="28"/>
          <w:szCs w:val="28"/>
        </w:rPr>
      </w:pPr>
      <w:r>
        <w:rPr>
          <w:rFonts w:ascii="Arial Black" w:hAnsi="Arial Black"/>
          <w:sz w:val="28"/>
          <w:szCs w:val="28"/>
        </w:rPr>
        <w:t>TX: ENGINE – HIT CAR PULLING TO RIGHT – NO IMMUNITY</w:t>
      </w:r>
    </w:p>
    <w:p w14:paraId="7B6E6123" w14:textId="77777777" w:rsidR="00CC56F9" w:rsidRDefault="00CC56F9" w:rsidP="00CC56F9">
      <w:pPr>
        <w:pStyle w:val="NoSpacing"/>
      </w:pPr>
    </w:p>
    <w:p w14:paraId="549181B0" w14:textId="77777777" w:rsidR="00CC56F9" w:rsidRDefault="00CC56F9" w:rsidP="00CC56F9">
      <w:r>
        <w:t xml:space="preserve">On November 4, 2025, in </w:t>
      </w:r>
      <w:r w:rsidRPr="00B75D1D">
        <w:rPr>
          <w:u w:val="single"/>
        </w:rPr>
        <w:t>City of Houston</w:t>
      </w:r>
      <w:r>
        <w:rPr>
          <w:u w:val="single"/>
        </w:rPr>
        <w:t>, et al.</w:t>
      </w:r>
      <w:r w:rsidRPr="00B75D1D">
        <w:rPr>
          <w:u w:val="single"/>
        </w:rPr>
        <w:t xml:space="preserve"> v. Myauna Wright</w:t>
      </w:r>
      <w:r>
        <w:t xml:space="preserve">, the </w:t>
      </w:r>
      <w:r w:rsidRPr="00B75D1D">
        <w:t>Court of Appeals of Texas, Houston (1st Dist.)</w:t>
      </w:r>
      <w:r>
        <w:t xml:space="preserve"> held (3 to 0) that trial court judge properly denied the City’s motion to dismiss under the Texas </w:t>
      </w:r>
      <w:r w:rsidRPr="00305726">
        <w:t>doctrine of official immunity.</w:t>
      </w:r>
      <w:r>
        <w:t xml:space="preserve">  The plaintiff’s vehicle was struck by the engine on August 25, 2022.   THE COURT WROTE: “Wright sued the </w:t>
      </w:r>
      <w:proofErr w:type="gramStart"/>
      <w:r>
        <w:t>City</w:t>
      </w:r>
      <w:proofErr w:type="gramEnd"/>
      <w:r>
        <w:t xml:space="preserve"> and … [FAO] S. Obando, for damages arising from a collision between a City of Houston fire engine and her vehicle…. Wright’s pleading does not establish that Obando is entitled to official immunity because she alleged that he acted with reckless disregard, which would </w:t>
      </w:r>
      <w:r w:rsidRPr="00875355">
        <w:t xml:space="preserve">negate good </w:t>
      </w:r>
      <w:proofErr w:type="gramStart"/>
      <w:r w:rsidRPr="00875355">
        <w:t>faith.</w:t>
      </w:r>
      <w:r>
        <w:t>”</w:t>
      </w:r>
      <w:proofErr w:type="gramEnd"/>
      <w:r>
        <w:t xml:space="preserve"> </w:t>
      </w:r>
      <w:hyperlink r:id="rId909" w:history="1">
        <w:r w:rsidRPr="005B3B90">
          <w:rPr>
            <w:rStyle w:val="Hyperlink"/>
          </w:rPr>
          <w:t>https://cases.justia.com/texas/first-court-of-appeals/2025-01-24-00936-cv.pdf?ts=1762265344</w:t>
        </w:r>
      </w:hyperlink>
      <w:r>
        <w:t xml:space="preserve"> </w:t>
      </w:r>
    </w:p>
    <w:p w14:paraId="6D290E15" w14:textId="77777777" w:rsidR="00CC56F9" w:rsidRDefault="00CC56F9" w:rsidP="00CC56F9">
      <w:r>
        <w:lastRenderedPageBreak/>
        <w:t>THE COURT HELD:</w:t>
      </w:r>
    </w:p>
    <w:p w14:paraId="5B0E30F7" w14:textId="77777777" w:rsidR="00CC56F9" w:rsidRDefault="00CC56F9" w:rsidP="00CC56F9">
      <w:pPr>
        <w:pStyle w:val="NoSpacing"/>
        <w:ind w:left="720"/>
      </w:pPr>
      <w:r>
        <w:t xml:space="preserve">“Wright’s pleading does not establish that Obando is entitled to official immunity because she alleged that he acted with reckless disregard, which would  negate good faith. Moreover, in its </w:t>
      </w:r>
      <w:proofErr w:type="gramStart"/>
      <w:r>
        <w:t>reply brief</w:t>
      </w:r>
      <w:proofErr w:type="gramEnd"/>
      <w:r>
        <w:t xml:space="preserve">, the </w:t>
      </w:r>
      <w:proofErr w:type="gramStart"/>
      <w:r>
        <w:t>City</w:t>
      </w:r>
      <w:proofErr w:type="gramEnd"/>
      <w:r>
        <w:t xml:space="preserve"> conceded that Wright had no burden to plead facts to overcome the driver’s assertion of official immunity. Because Wright’s pleading alleges that the fire engine driver’s breach of a duty of care caused her </w:t>
      </w:r>
      <w:proofErr w:type="gramStart"/>
      <w:r>
        <w:t>damages</w:t>
      </w:r>
      <w:proofErr w:type="gramEnd"/>
      <w:r>
        <w:t>, we conclude that she alleged a waiver of immunity under the TTCA [</w:t>
      </w:r>
      <w:r w:rsidRPr="006B192D">
        <w:t>Texas Tort Claims Act</w:t>
      </w:r>
      <w:r>
        <w:t>], subject to the statutory exceptions, which we consider next. See TEX. CIV. PRAC. &amp; REM. CODE § 101.021(1).</w:t>
      </w:r>
    </w:p>
    <w:p w14:paraId="4A795EF4" w14:textId="77777777" w:rsidR="00CC56F9" w:rsidRDefault="00CC56F9" w:rsidP="00CC56F9">
      <w:pPr>
        <w:pStyle w:val="NoSpacing"/>
        <w:ind w:left="720"/>
      </w:pPr>
    </w:p>
    <w:p w14:paraId="2D3C8DB5" w14:textId="77777777" w:rsidR="00CC56F9" w:rsidRDefault="00CC56F9" w:rsidP="00CC56F9">
      <w:pPr>
        <w:pStyle w:val="NoSpacing"/>
        <w:ind w:left="720"/>
      </w:pPr>
      <w:r>
        <w:t>***</w:t>
      </w:r>
    </w:p>
    <w:p w14:paraId="07153525" w14:textId="77777777" w:rsidR="00CC56F9" w:rsidRDefault="00CC56F9" w:rsidP="00CC56F9">
      <w:pPr>
        <w:pStyle w:val="NoSpacing"/>
        <w:ind w:left="720"/>
      </w:pPr>
      <w:r>
        <w:t>A governmental employee is entitled to official immunity: (1) for the performance of discretionary duties; (2) within the scope of the employee’s authority; (3) provided the employee acts in good faith.”</w:t>
      </w:r>
    </w:p>
    <w:p w14:paraId="53A47E7E" w14:textId="77777777" w:rsidR="00CC56F9" w:rsidRDefault="00CC56F9" w:rsidP="00CC56F9">
      <w:pPr>
        <w:pStyle w:val="NoSpacing"/>
        <w:ind w:left="720"/>
      </w:pPr>
    </w:p>
    <w:p w14:paraId="68958E7F" w14:textId="77777777" w:rsidR="00CC56F9" w:rsidRDefault="00CC56F9" w:rsidP="00CC56F9">
      <w:pPr>
        <w:pStyle w:val="NoSpacing"/>
        <w:rPr>
          <w:b/>
          <w:bCs/>
        </w:rPr>
      </w:pPr>
      <w:r>
        <w:rPr>
          <w:b/>
        </w:rPr>
        <w:t>Legal lesson learned: Texas has a “good faith” exception to official immunity; many state</w:t>
      </w:r>
      <w:r>
        <w:rPr>
          <w:b/>
          <w:bCs/>
        </w:rPr>
        <w:t>s</w:t>
      </w:r>
      <w:r>
        <w:rPr>
          <w:b/>
        </w:rPr>
        <w:t xml:space="preserve"> </w:t>
      </w:r>
      <w:r w:rsidRPr="006D3B26">
        <w:rPr>
          <w:b/>
        </w:rPr>
        <w:t>use a “</w:t>
      </w:r>
      <w:r w:rsidRPr="008E532E">
        <w:rPr>
          <w:b/>
        </w:rPr>
        <w:t>willful or wanton misconduct</w:t>
      </w:r>
      <w:r w:rsidRPr="006D3B26">
        <w:rPr>
          <w:b/>
        </w:rPr>
        <w:t xml:space="preserve">” or </w:t>
      </w:r>
      <w:r>
        <w:rPr>
          <w:b/>
          <w:bCs/>
        </w:rPr>
        <w:t>si</w:t>
      </w:r>
      <w:r w:rsidRPr="006D3B26">
        <w:rPr>
          <w:b/>
        </w:rPr>
        <w:t>milar standard.</w:t>
      </w:r>
      <w:r>
        <w:t xml:space="preserve"> </w:t>
      </w:r>
    </w:p>
    <w:p w14:paraId="4C889F76" w14:textId="77777777" w:rsidR="00CC56F9" w:rsidRDefault="00CC56F9" w:rsidP="00CC56F9">
      <w:pPr>
        <w:pStyle w:val="NoSpacing"/>
        <w:rPr>
          <w:b/>
          <w:bCs/>
        </w:rPr>
      </w:pPr>
    </w:p>
    <w:p w14:paraId="305A5F57" w14:textId="77777777" w:rsidR="00CC56F9" w:rsidRPr="00B359C0" w:rsidRDefault="00CC56F9" w:rsidP="00CC56F9">
      <w:pPr>
        <w:pStyle w:val="NoSpacing"/>
        <w:ind w:left="720"/>
        <w:rPr>
          <w:b/>
        </w:rPr>
      </w:pPr>
      <w:r>
        <w:t xml:space="preserve">Note: See Ohio Revised Code, </w:t>
      </w:r>
      <w:r w:rsidRPr="00B359C0">
        <w:rPr>
          <w:b/>
        </w:rPr>
        <w:t>Section 2744.02 | Governmental functions and proprietary functions of political subdivisions</w:t>
      </w:r>
      <w:r>
        <w:rPr>
          <w:b/>
        </w:rPr>
        <w:t xml:space="preserve"> </w:t>
      </w:r>
      <w:hyperlink r:id="rId910" w:history="1">
        <w:r w:rsidRPr="009C046C">
          <w:rPr>
            <w:rStyle w:val="Hyperlink"/>
            <w:b/>
          </w:rPr>
          <w:t>https://codes.ohio.gov/ohio-revised-code/section-2744.02</w:t>
        </w:r>
      </w:hyperlink>
      <w:r>
        <w:rPr>
          <w:b/>
        </w:rPr>
        <w:t xml:space="preserve"> </w:t>
      </w:r>
    </w:p>
    <w:p w14:paraId="16084E8C" w14:textId="77777777" w:rsidR="00CC56F9" w:rsidRDefault="00CC56F9" w:rsidP="00CC56F9">
      <w:pPr>
        <w:pStyle w:val="NoSpacing"/>
      </w:pPr>
    </w:p>
    <w:p w14:paraId="57B9FE57" w14:textId="77777777" w:rsidR="00CC56F9" w:rsidRPr="008E532E" w:rsidRDefault="00CC56F9" w:rsidP="00CC56F9">
      <w:pPr>
        <w:pStyle w:val="NoSpacing"/>
        <w:ind w:left="720"/>
      </w:pPr>
      <w:r w:rsidRPr="008E532E">
        <w:t>(1) Except as otherwise provided in this division, political subdivisions are liable for injury, death, or loss to person or property caused by the negligent operation of any motor vehicle by their employees when the employees are engaged within the scope of their employment and authority. The following are full defenses to that liability:</w:t>
      </w:r>
    </w:p>
    <w:p w14:paraId="155F3343" w14:textId="77777777" w:rsidR="00CC56F9" w:rsidRPr="008E532E" w:rsidRDefault="00CC56F9" w:rsidP="00CC56F9">
      <w:pPr>
        <w:pStyle w:val="NoSpacing"/>
        <w:ind w:left="720"/>
      </w:pPr>
      <w:r w:rsidRPr="008E532E">
        <w:t>(a) A member of a municipal corporation police department or any other police agency was operating a motor vehicle while responding to an emergency call and the operation of the vehicle did not constitute willful or wanton misconduct;</w:t>
      </w:r>
    </w:p>
    <w:p w14:paraId="003E5B26" w14:textId="77777777" w:rsidR="00CC56F9" w:rsidRPr="008E532E" w:rsidRDefault="00CC56F9" w:rsidP="00CC56F9">
      <w:pPr>
        <w:pStyle w:val="NoSpacing"/>
        <w:ind w:left="720"/>
      </w:pPr>
      <w:r w:rsidRPr="008E532E">
        <w:t>(b) A member of a municipal corporation fire department or any other firefighting agency was operating a motor vehicle while engaged in duty at a fire, proceeding toward a place where a fire is in progress or is believed to be in progress, or answering any other emergency alarm and the operation of the vehicle did not constitute willful or wanton misconduct</w:t>
      </w:r>
      <w:r>
        <w:t>….</w:t>
      </w:r>
    </w:p>
    <w:p w14:paraId="733B710E" w14:textId="77777777" w:rsidR="00CC56F9" w:rsidRPr="000E4B43" w:rsidRDefault="00CC56F9" w:rsidP="00CC56F9">
      <w:pPr>
        <w:pStyle w:val="NoSpacing"/>
      </w:pPr>
    </w:p>
    <w:p w14:paraId="4A6D2564" w14:textId="77777777" w:rsidR="00CC56F9" w:rsidRDefault="00CC56F9" w:rsidP="00CC56F9">
      <w:pPr>
        <w:pStyle w:val="NoSpacing"/>
      </w:pPr>
    </w:p>
    <w:p w14:paraId="1A84374B" w14:textId="77777777" w:rsidR="00CC56F9" w:rsidRDefault="00CC56F9" w:rsidP="000C62A1">
      <w:pPr>
        <w:pStyle w:val="NoSpacing"/>
        <w:rPr>
          <w:rFonts w:ascii="Arial Black" w:hAnsi="Arial Black"/>
          <w:sz w:val="28"/>
          <w:szCs w:val="28"/>
        </w:rPr>
      </w:pPr>
    </w:p>
    <w:p w14:paraId="6C2B0064" w14:textId="77777777" w:rsidR="003E41BB" w:rsidRDefault="003E41BB" w:rsidP="000C62A1">
      <w:pPr>
        <w:pStyle w:val="NoSpacing"/>
        <w:rPr>
          <w:rFonts w:ascii="Arial Black" w:hAnsi="Arial Black"/>
          <w:sz w:val="28"/>
          <w:szCs w:val="28"/>
        </w:rPr>
      </w:pPr>
    </w:p>
    <w:p w14:paraId="207E2160" w14:textId="14DC8D72" w:rsidR="0096096B" w:rsidRDefault="0096096B" w:rsidP="000C62A1">
      <w:pPr>
        <w:pStyle w:val="NoSpacing"/>
        <w:rPr>
          <w:rFonts w:ascii="Arial Black" w:hAnsi="Arial Black"/>
          <w:sz w:val="28"/>
          <w:szCs w:val="28"/>
        </w:rPr>
      </w:pPr>
      <w:r>
        <w:rPr>
          <w:rFonts w:ascii="Arial Black" w:hAnsi="Arial Black"/>
          <w:sz w:val="28"/>
          <w:szCs w:val="28"/>
        </w:rPr>
        <w:t>5-55</w:t>
      </w:r>
    </w:p>
    <w:p w14:paraId="7261FFD7" w14:textId="77777777" w:rsidR="00547BA3" w:rsidRDefault="00547BA3" w:rsidP="0096096B">
      <w:pPr>
        <w:pStyle w:val="NoSpacing"/>
        <w:rPr>
          <w:rFonts w:ascii="Arial Black" w:hAnsi="Arial Black"/>
          <w:sz w:val="28"/>
          <w:szCs w:val="28"/>
        </w:rPr>
      </w:pPr>
    </w:p>
    <w:p w14:paraId="509BBFA5" w14:textId="705B1C85" w:rsidR="0096096B" w:rsidRPr="00457206" w:rsidRDefault="0096096B" w:rsidP="0096096B">
      <w:pPr>
        <w:pStyle w:val="NoSpacing"/>
        <w:rPr>
          <w:rFonts w:ascii="Arial Black" w:hAnsi="Arial Black"/>
          <w:sz w:val="28"/>
          <w:szCs w:val="28"/>
        </w:rPr>
      </w:pPr>
      <w:r>
        <w:rPr>
          <w:rFonts w:ascii="Arial Black" w:hAnsi="Arial Black"/>
          <w:sz w:val="28"/>
          <w:szCs w:val="28"/>
        </w:rPr>
        <w:t xml:space="preserve">LA: DRUNK HITS ENGINE – FD GETS VALUE / PLUS $50,000 </w:t>
      </w:r>
    </w:p>
    <w:p w14:paraId="021406F8" w14:textId="77777777" w:rsidR="0096096B" w:rsidRDefault="0096096B" w:rsidP="0096096B">
      <w:pPr>
        <w:pStyle w:val="NoSpacing"/>
        <w:ind w:left="720"/>
      </w:pPr>
    </w:p>
    <w:p w14:paraId="555C0C65" w14:textId="77777777" w:rsidR="0096096B" w:rsidRPr="00496071" w:rsidRDefault="0096096B" w:rsidP="0096096B">
      <w:pPr>
        <w:pStyle w:val="NoSpacing"/>
      </w:pPr>
      <w:r>
        <w:t xml:space="preserve">On Oct. 29, 2025, in </w:t>
      </w:r>
      <w:r w:rsidRPr="00296094">
        <w:rPr>
          <w:u w:val="single"/>
        </w:rPr>
        <w:t>Lafayette City-Parish Consolidated Government v. Tripple T Enterprises, Inc., and Nathan Allen Martin</w:t>
      </w:r>
      <w:r>
        <w:t xml:space="preserve">, the Court of Appeal of Louisiana, Third Circuit held (3 to 0) that the trial court judge, after a bench trial, properly awarded “exemplary” (punitive) damages of $50,000 for destruction of the Lafayette Fire Department’s 1994 Pierce engine, plus its cash value ($12,500) and loss of use damages while awaiting for new engine ($131,175).  Punitive damages were proper even though the plaintiff government suffered no physical or mental injuries; under LA, “injuries” include destruction or loss of use of property. </w:t>
      </w:r>
      <w:hyperlink r:id="rId911" w:history="1">
        <w:r w:rsidRPr="00281F77">
          <w:rPr>
            <w:rStyle w:val="Hyperlink"/>
          </w:rPr>
          <w:t>https://cases.justia.com/louisiana/third-circuit-court-of-appeal/2025-ca-0025-0267.pdf?ts=1761751417</w:t>
        </w:r>
      </w:hyperlink>
      <w:r>
        <w:t xml:space="preserve"> </w:t>
      </w:r>
    </w:p>
    <w:p w14:paraId="4754504A" w14:textId="77777777" w:rsidR="0096096B" w:rsidRDefault="0096096B" w:rsidP="0096096B">
      <w:pPr>
        <w:pStyle w:val="NoSpacing"/>
        <w:ind w:left="720"/>
      </w:pPr>
    </w:p>
    <w:p w14:paraId="08991050" w14:textId="77777777" w:rsidR="0096096B" w:rsidRDefault="0096096B" w:rsidP="0096096B">
      <w:pPr>
        <w:pStyle w:val="NoSpacing"/>
      </w:pPr>
      <w:r>
        <w:t xml:space="preserve">THE COURT HELD: </w:t>
      </w:r>
    </w:p>
    <w:p w14:paraId="73136FFA" w14:textId="77777777" w:rsidR="0096096B" w:rsidRDefault="0096096B" w:rsidP="0096096B">
      <w:pPr>
        <w:pStyle w:val="NoSpacing"/>
        <w:ind w:left="720"/>
      </w:pPr>
    </w:p>
    <w:p w14:paraId="4BBBBC63" w14:textId="77777777" w:rsidR="0096096B" w:rsidRDefault="0096096B" w:rsidP="0096096B">
      <w:pPr>
        <w:pStyle w:val="NoSpacing"/>
        <w:ind w:firstLine="720"/>
      </w:pPr>
      <w:r>
        <w:t>“Nathan Allen Martin was driving an 18-wheeler for his employer, Triple T,</w:t>
      </w:r>
    </w:p>
    <w:p w14:paraId="7C36F176" w14:textId="77777777" w:rsidR="0096096B" w:rsidRDefault="0096096B" w:rsidP="0096096B">
      <w:pPr>
        <w:pStyle w:val="NoSpacing"/>
        <w:ind w:left="720"/>
      </w:pPr>
      <w:r>
        <w:t xml:space="preserve">while intoxicated and using an electronic device. Martin was hauling a fully loaded flat-bed trailer. Meanwhile, a nearby Lafayette Fire Department firetruck was responding to a major automobile crash. The firetruck stopped </w:t>
      </w:r>
      <w:r>
        <w:lastRenderedPageBreak/>
        <w:t>on an overpass with its emergency lights activated. Martin proceeded to crash head-on into the firetruck. A firefighter was injured from jumping off the overpass to avoid being struck by Martin. His claims were settled. The firetruck was a total loss.</w:t>
      </w:r>
    </w:p>
    <w:p w14:paraId="62DA315A" w14:textId="77777777" w:rsidR="0096096B" w:rsidRDefault="0096096B" w:rsidP="0096096B">
      <w:pPr>
        <w:pStyle w:val="NoSpacing"/>
      </w:pPr>
    </w:p>
    <w:p w14:paraId="67A442B4" w14:textId="77777777" w:rsidR="0096096B" w:rsidRDefault="0096096B" w:rsidP="0096096B">
      <w:pPr>
        <w:pStyle w:val="NoSpacing"/>
        <w:ind w:firstLine="720"/>
      </w:pPr>
      <w:r>
        <w:t>At the scene of the wreck, responding officers witnessed Martin slurring his</w:t>
      </w:r>
    </w:p>
    <w:p w14:paraId="239FDAA5" w14:textId="77777777" w:rsidR="0096096B" w:rsidRDefault="0096096B" w:rsidP="0096096B">
      <w:pPr>
        <w:pStyle w:val="NoSpacing"/>
        <w:ind w:firstLine="720"/>
      </w:pPr>
      <w:r>
        <w:t>words and displaying a lack of balance. He smelled of alcohol. The officers</w:t>
      </w:r>
    </w:p>
    <w:p w14:paraId="4693AAF5" w14:textId="77777777" w:rsidR="0096096B" w:rsidRDefault="0096096B" w:rsidP="0096096B">
      <w:pPr>
        <w:pStyle w:val="NoSpacing"/>
        <w:ind w:left="720"/>
      </w:pPr>
      <w:r>
        <w:t>discovered an open whiskey bottle on the ground near the 18-wheeler, and an opened beer can with condensation inside the cab of the vehicle. Martin’s blood alcohol test showed a level of 0.11 percent, well over the 0.04 percent limit for operators of commercial motor carriers under the Federal Motor Carrier Act.</w:t>
      </w:r>
    </w:p>
    <w:p w14:paraId="2A1249A1" w14:textId="77777777" w:rsidR="0096096B" w:rsidRDefault="0096096B" w:rsidP="0096096B">
      <w:pPr>
        <w:pStyle w:val="NoSpacing"/>
      </w:pPr>
    </w:p>
    <w:p w14:paraId="1A9F6A0D" w14:textId="77777777" w:rsidR="0096096B" w:rsidRDefault="0096096B" w:rsidP="0096096B">
      <w:pPr>
        <w:pStyle w:val="NoSpacing"/>
        <w:ind w:firstLine="720"/>
      </w:pPr>
      <w:r>
        <w:t>The firetruck was a 1994 Pierce pumper truck used as a spare pumper truck</w:t>
      </w:r>
    </w:p>
    <w:p w14:paraId="70B42FEA" w14:textId="77777777" w:rsidR="0096096B" w:rsidRDefault="0096096B" w:rsidP="0096096B">
      <w:pPr>
        <w:pStyle w:val="NoSpacing"/>
        <w:ind w:firstLine="720"/>
      </w:pPr>
      <w:r>
        <w:t>for the fire department’s fleet if other trucks went offline. Employees of the fire</w:t>
      </w:r>
    </w:p>
    <w:p w14:paraId="4B9F10E1" w14:textId="77777777" w:rsidR="0096096B" w:rsidRDefault="0096096B" w:rsidP="0096096B">
      <w:pPr>
        <w:pStyle w:val="NoSpacing"/>
        <w:ind w:left="720"/>
      </w:pPr>
      <w:r>
        <w:t>department and city testified that although the cost of rental for a similar truck would have been $275 per day, the department was unwilling to accept the risk associated with leasing or buying a used replacement vehicle.</w:t>
      </w:r>
    </w:p>
    <w:p w14:paraId="30575EBB" w14:textId="77777777" w:rsidR="0096096B" w:rsidRDefault="0096096B" w:rsidP="0096096B">
      <w:pPr>
        <w:pStyle w:val="NoSpacing"/>
        <w:ind w:left="720"/>
      </w:pPr>
    </w:p>
    <w:p w14:paraId="22DA015B" w14:textId="77777777" w:rsidR="0096096B" w:rsidRDefault="0096096B" w:rsidP="0096096B">
      <w:pPr>
        <w:pStyle w:val="NoSpacing"/>
        <w:ind w:left="720"/>
      </w:pPr>
      <w:r>
        <w:t>***</w:t>
      </w:r>
    </w:p>
    <w:p w14:paraId="2072B63C" w14:textId="77777777" w:rsidR="0096096B" w:rsidRDefault="0096096B" w:rsidP="0096096B">
      <w:pPr>
        <w:pStyle w:val="NoSpacing"/>
        <w:ind w:left="720"/>
      </w:pPr>
    </w:p>
    <w:p w14:paraId="6BC5DBC9" w14:textId="77777777" w:rsidR="0096096B" w:rsidRDefault="0096096B" w:rsidP="0096096B">
      <w:pPr>
        <w:pStyle w:val="NoSpacing"/>
      </w:pPr>
      <w:r>
        <w:tab/>
      </w:r>
      <w:r>
        <w:tab/>
      </w:r>
      <w:r w:rsidRPr="00133DBA">
        <w:t>Louisiana Civil Code Article 2315.4 states, in pertinent part:</w:t>
      </w:r>
    </w:p>
    <w:p w14:paraId="208D8C82" w14:textId="77777777" w:rsidR="0096096B" w:rsidRDefault="0096096B" w:rsidP="0096096B">
      <w:pPr>
        <w:pStyle w:val="NoSpacing"/>
        <w:ind w:left="720" w:firstLine="720"/>
      </w:pPr>
      <w:proofErr w:type="gramStart"/>
      <w:r>
        <w:t>exemplary</w:t>
      </w:r>
      <w:proofErr w:type="gramEnd"/>
      <w:r>
        <w:t xml:space="preserve"> damages may be awarded upon proof that the injuries on</w:t>
      </w:r>
    </w:p>
    <w:p w14:paraId="71540CA6" w14:textId="77777777" w:rsidR="0096096B" w:rsidRDefault="0096096B" w:rsidP="0096096B">
      <w:pPr>
        <w:pStyle w:val="NoSpacing"/>
        <w:ind w:left="720" w:firstLine="720"/>
      </w:pPr>
      <w:r>
        <w:t>which the action is based were caused by a wanton or reckless disregard</w:t>
      </w:r>
    </w:p>
    <w:p w14:paraId="407629B3" w14:textId="77777777" w:rsidR="0096096B" w:rsidRDefault="0096096B" w:rsidP="0096096B">
      <w:pPr>
        <w:pStyle w:val="NoSpacing"/>
        <w:ind w:left="720" w:firstLine="720"/>
      </w:pPr>
      <w:r>
        <w:t>for the rights and safety of others by a defendant whose intoxication</w:t>
      </w:r>
    </w:p>
    <w:p w14:paraId="102A995D" w14:textId="77777777" w:rsidR="0096096B" w:rsidRDefault="0096096B" w:rsidP="0096096B">
      <w:pPr>
        <w:pStyle w:val="NoSpacing"/>
        <w:ind w:left="720" w:firstLine="720"/>
      </w:pPr>
      <w:r>
        <w:t>while operating a motor vehicle was a cause in fact of the resulting</w:t>
      </w:r>
    </w:p>
    <w:p w14:paraId="4D4A3663" w14:textId="77777777" w:rsidR="0096096B" w:rsidRDefault="0096096B" w:rsidP="0096096B">
      <w:pPr>
        <w:pStyle w:val="NoSpacing"/>
        <w:ind w:left="1440"/>
      </w:pPr>
      <w:r>
        <w:t>injuries.</w:t>
      </w:r>
    </w:p>
    <w:p w14:paraId="3315573F" w14:textId="77777777" w:rsidR="0096096B" w:rsidRDefault="0096096B" w:rsidP="0096096B">
      <w:pPr>
        <w:pStyle w:val="NoSpacing"/>
        <w:ind w:left="1440"/>
      </w:pPr>
    </w:p>
    <w:p w14:paraId="54C0D936" w14:textId="77777777" w:rsidR="0096096B" w:rsidRDefault="0096096B" w:rsidP="0096096B">
      <w:pPr>
        <w:pStyle w:val="NoSpacing"/>
        <w:ind w:left="720"/>
      </w:pPr>
      <w:r>
        <w:t>***</w:t>
      </w:r>
    </w:p>
    <w:p w14:paraId="0559D7D8" w14:textId="77777777" w:rsidR="0096096B" w:rsidRDefault="0096096B" w:rsidP="0096096B">
      <w:pPr>
        <w:pStyle w:val="NoSpacing"/>
        <w:ind w:left="1440"/>
      </w:pPr>
    </w:p>
    <w:p w14:paraId="62BA2A2C" w14:textId="77777777" w:rsidR="0096096B" w:rsidRDefault="0096096B" w:rsidP="0096096B">
      <w:pPr>
        <w:pStyle w:val="NoSpacing"/>
        <w:ind w:left="720"/>
      </w:pPr>
      <w:r>
        <w:t>The defendants claim that ‘injuries’ are limited to physical and mental injuries and are unavailable in a case with only property and loss of use damages…. We adopt the reasoning of the fourth circuit that the term ‘injuries’ is sufficiently broad to include damages from the destruction or loss of use of property.</w:t>
      </w:r>
    </w:p>
    <w:p w14:paraId="1AF0B660" w14:textId="77777777" w:rsidR="0096096B" w:rsidRDefault="0096096B" w:rsidP="0096096B">
      <w:pPr>
        <w:pStyle w:val="NoSpacing"/>
        <w:ind w:left="720"/>
      </w:pPr>
    </w:p>
    <w:p w14:paraId="1F9132EE" w14:textId="77777777" w:rsidR="0096096B" w:rsidRDefault="0096096B" w:rsidP="0096096B">
      <w:pPr>
        <w:pStyle w:val="NoSpacing"/>
        <w:ind w:left="720"/>
      </w:pPr>
      <w:r>
        <w:t>***</w:t>
      </w:r>
    </w:p>
    <w:p w14:paraId="205B94D4" w14:textId="77777777" w:rsidR="0096096B" w:rsidRDefault="0096096B" w:rsidP="0096096B">
      <w:pPr>
        <w:pStyle w:val="NoSpacing"/>
        <w:ind w:left="720"/>
      </w:pPr>
      <w:r>
        <w:t>The trial court has much discretion in fixing the amount of an exemplary</w:t>
      </w:r>
    </w:p>
    <w:p w14:paraId="74693D9D" w14:textId="77777777" w:rsidR="0096096B" w:rsidRDefault="0096096B" w:rsidP="0096096B">
      <w:pPr>
        <w:pStyle w:val="NoSpacing"/>
        <w:ind w:left="720"/>
      </w:pPr>
      <w:r>
        <w:t>damage award…. Martin’s conduct was particularly egregious in this case. Not only was he operating a vehicle while over the legal blood alcohol limit, but his vehicle was a loaded 18-wheeler. Its size and weight presented a greater threat than most vehicles. Martin was also on an electronic device. Considering all of this, we cannot say that the trial court’s award for exemplary damages was abusively high in this case.”</w:t>
      </w:r>
    </w:p>
    <w:p w14:paraId="046D9D82" w14:textId="77777777" w:rsidR="0096096B" w:rsidRDefault="0096096B" w:rsidP="0096096B">
      <w:pPr>
        <w:pStyle w:val="NoSpacing"/>
        <w:ind w:left="1440"/>
      </w:pPr>
    </w:p>
    <w:p w14:paraId="7C40463C" w14:textId="77777777" w:rsidR="0096096B" w:rsidRDefault="0096096B" w:rsidP="0096096B">
      <w:pPr>
        <w:pStyle w:val="NoSpacing"/>
        <w:rPr>
          <w:b/>
          <w:bCs/>
        </w:rPr>
      </w:pPr>
      <w:r w:rsidRPr="00DB52C3">
        <w:rPr>
          <w:b/>
        </w:rPr>
        <w:t>Legal lesson learned: Punitive damages are designed to punish</w:t>
      </w:r>
      <w:r>
        <w:rPr>
          <w:b/>
        </w:rPr>
        <w:t xml:space="preserve"> drunk</w:t>
      </w:r>
      <w:r w:rsidRPr="00DB52C3">
        <w:rPr>
          <w:b/>
        </w:rPr>
        <w:t xml:space="preserve"> drivers for </w:t>
      </w:r>
      <w:r>
        <w:rPr>
          <w:b/>
        </w:rPr>
        <w:t>“</w:t>
      </w:r>
      <w:r w:rsidRPr="00DB52C3">
        <w:rPr>
          <w:b/>
        </w:rPr>
        <w:t>wanton or reckless disregard for the rights and safety of others</w:t>
      </w:r>
      <w:r>
        <w:rPr>
          <w:b/>
        </w:rPr>
        <w:t>.”</w:t>
      </w:r>
    </w:p>
    <w:p w14:paraId="0671A38B" w14:textId="77777777" w:rsidR="0096096B" w:rsidRDefault="0096096B" w:rsidP="000C62A1">
      <w:pPr>
        <w:pStyle w:val="NoSpacing"/>
        <w:rPr>
          <w:rFonts w:ascii="Arial Black" w:hAnsi="Arial Black"/>
          <w:sz w:val="28"/>
          <w:szCs w:val="28"/>
        </w:rPr>
      </w:pPr>
    </w:p>
    <w:p w14:paraId="27B4A078" w14:textId="77777777" w:rsidR="007B0FFF" w:rsidRDefault="007B0FFF" w:rsidP="000C62A1">
      <w:pPr>
        <w:pStyle w:val="NoSpacing"/>
        <w:rPr>
          <w:rFonts w:ascii="Arial Black" w:hAnsi="Arial Black"/>
          <w:sz w:val="28"/>
          <w:szCs w:val="28"/>
        </w:rPr>
      </w:pPr>
    </w:p>
    <w:p w14:paraId="6C769C4F" w14:textId="1591A71A" w:rsidR="007B0FFF" w:rsidRDefault="007B0FFF" w:rsidP="000C62A1">
      <w:pPr>
        <w:pStyle w:val="NoSpacing"/>
        <w:rPr>
          <w:rFonts w:ascii="Arial Black" w:hAnsi="Arial Black"/>
          <w:sz w:val="28"/>
          <w:szCs w:val="28"/>
        </w:rPr>
      </w:pPr>
      <w:r>
        <w:rPr>
          <w:rFonts w:ascii="Arial Black" w:hAnsi="Arial Black"/>
          <w:sz w:val="28"/>
          <w:szCs w:val="28"/>
        </w:rPr>
        <w:t>5-54</w:t>
      </w:r>
    </w:p>
    <w:p w14:paraId="79710F41" w14:textId="77777777" w:rsidR="007B0FFF" w:rsidRDefault="007B0FFF" w:rsidP="000C62A1">
      <w:pPr>
        <w:pStyle w:val="NoSpacing"/>
        <w:rPr>
          <w:rFonts w:ascii="Arial Black" w:hAnsi="Arial Black"/>
          <w:sz w:val="28"/>
          <w:szCs w:val="28"/>
        </w:rPr>
      </w:pPr>
    </w:p>
    <w:p w14:paraId="2CDA4D6C" w14:textId="748A8259" w:rsidR="007B0FFF" w:rsidRPr="006D18C8" w:rsidRDefault="007B0FFF" w:rsidP="007B0FFF">
      <w:pPr>
        <w:pStyle w:val="NoSpacing"/>
        <w:rPr>
          <w:rFonts w:ascii="Arial Black" w:hAnsi="Arial Black"/>
          <w:bCs/>
          <w:sz w:val="28"/>
          <w:szCs w:val="28"/>
        </w:rPr>
      </w:pPr>
      <w:r>
        <w:rPr>
          <w:rFonts w:ascii="Arial Black" w:hAnsi="Arial Black"/>
          <w:sz w:val="28"/>
          <w:szCs w:val="28"/>
        </w:rPr>
        <w:t>VA: RESCUE 1 – DISP</w:t>
      </w:r>
      <w:r w:rsidR="00F47375">
        <w:rPr>
          <w:rFonts w:ascii="Arial Black" w:hAnsi="Arial Black"/>
          <w:sz w:val="28"/>
          <w:szCs w:val="28"/>
        </w:rPr>
        <w:t xml:space="preserve"> / </w:t>
      </w:r>
      <w:r>
        <w:rPr>
          <w:rFonts w:ascii="Arial Black" w:hAnsi="Arial Black"/>
          <w:sz w:val="28"/>
          <w:szCs w:val="28"/>
        </w:rPr>
        <w:t xml:space="preserve">EMER </w:t>
      </w:r>
      <w:r w:rsidR="00F47375">
        <w:rPr>
          <w:rFonts w:ascii="Arial Black" w:hAnsi="Arial Black"/>
          <w:sz w:val="28"/>
          <w:szCs w:val="28"/>
        </w:rPr>
        <w:t xml:space="preserve">OVER </w:t>
      </w:r>
      <w:r w:rsidR="002824DF">
        <w:rPr>
          <w:rFonts w:ascii="Arial Black" w:hAnsi="Arial Black"/>
          <w:sz w:val="28"/>
          <w:szCs w:val="28"/>
        </w:rPr>
        <w:t>–</w:t>
      </w:r>
      <w:r>
        <w:rPr>
          <w:rFonts w:ascii="Arial Black" w:hAnsi="Arial Black"/>
          <w:sz w:val="28"/>
          <w:szCs w:val="28"/>
        </w:rPr>
        <w:t xml:space="preserve"> </w:t>
      </w:r>
      <w:r w:rsidR="002824DF">
        <w:rPr>
          <w:rFonts w:ascii="Arial Black" w:hAnsi="Arial Black"/>
          <w:sz w:val="28"/>
          <w:szCs w:val="28"/>
        </w:rPr>
        <w:t xml:space="preserve">CONT. EMER. – JURY </w:t>
      </w:r>
      <w:r>
        <w:rPr>
          <w:rFonts w:ascii="Arial Black" w:hAnsi="Arial Black"/>
          <w:sz w:val="28"/>
          <w:szCs w:val="28"/>
        </w:rPr>
        <w:t>$500,000</w:t>
      </w:r>
    </w:p>
    <w:p w14:paraId="4DD8FA35" w14:textId="77777777" w:rsidR="007B0FFF" w:rsidRDefault="007B0FFF" w:rsidP="007B0FFF">
      <w:pPr>
        <w:pStyle w:val="NoSpacing"/>
        <w:rPr>
          <w:bCs/>
        </w:rPr>
      </w:pPr>
    </w:p>
    <w:p w14:paraId="18039228" w14:textId="77777777" w:rsidR="007B0FFF" w:rsidRDefault="007B0FFF" w:rsidP="007B0FFF">
      <w:pPr>
        <w:pStyle w:val="NoSpacing"/>
        <w:rPr>
          <w:b/>
        </w:rPr>
      </w:pPr>
      <w:r>
        <w:t xml:space="preserve">On Oct. 21, </w:t>
      </w:r>
      <w:proofErr w:type="gramStart"/>
      <w:r>
        <w:t>2025</w:t>
      </w:r>
      <w:proofErr w:type="gramEnd"/>
      <w:r>
        <w:t xml:space="preserve"> in </w:t>
      </w:r>
      <w:r w:rsidRPr="00BC24EC">
        <w:rPr>
          <w:u w:val="single"/>
        </w:rPr>
        <w:t>James Lee v. Jason Carr</w:t>
      </w:r>
      <w:r>
        <w:t xml:space="preserve"> the </w:t>
      </w:r>
      <w:r w:rsidRPr="00E1635E">
        <w:t>Court of Appeals of Virginia</w:t>
      </w:r>
      <w:r>
        <w:t xml:space="preserve"> held (2 to 1; unpublished decision) the Court </w:t>
      </w:r>
      <w:r w:rsidRPr="00F22EA8">
        <w:t>remand</w:t>
      </w:r>
      <w:r>
        <w:t>ed</w:t>
      </w:r>
      <w:r w:rsidRPr="00F22EA8">
        <w:t xml:space="preserve"> the case for a new trial limited</w:t>
      </w:r>
      <w:r>
        <w:t xml:space="preserve"> to the </w:t>
      </w:r>
      <w:proofErr w:type="gramStart"/>
      <w:r>
        <w:t>amount</w:t>
      </w:r>
      <w:proofErr w:type="gramEnd"/>
      <w:r>
        <w:t xml:space="preserve"> of damages; the finding of “gross negligence” by first jury remains against driver of Recue 1, City of Newport News. The trial court judge after jury verdict and award of $500,000, set aside the finding of “gross negligence” and the punitive damages.  Rescue 1 was responding to a motor vehicle accident in a tunnel, but Dispatch advised that “</w:t>
      </w:r>
      <w:r w:rsidRPr="00BE09B2">
        <w:t>the vehicles</w:t>
      </w:r>
      <w:r>
        <w:t xml:space="preserve"> </w:t>
      </w:r>
      <w:r w:rsidRPr="00BE09B2">
        <w:t>had been cleared in the tunnel and there was no longer an emergency situation</w:t>
      </w:r>
      <w:r>
        <w:t>.</w:t>
      </w:r>
      <w:r w:rsidRPr="00BE09B2">
        <w:t>”</w:t>
      </w:r>
      <w:r>
        <w:t xml:space="preserve">  Firefighter Carr heard the dispatch, slowed down, but continued with lights and siren.  He </w:t>
      </w:r>
      <w:r>
        <w:lastRenderedPageBreak/>
        <w:t>entered the intersection westbound u</w:t>
      </w:r>
      <w:r w:rsidRPr="00423587">
        <w:t>nable to determine</w:t>
      </w:r>
      <w:r>
        <w:t xml:space="preserve"> </w:t>
      </w:r>
      <w:r w:rsidRPr="00423587">
        <w:t>whether he had a red light because of the sun</w:t>
      </w:r>
      <w:r>
        <w:t xml:space="preserve">, and his view of southbound traffic was obstructed by a house.  On board Captain did not order Carr to go non-emergency.  City may appeal to Virginia Supreme Court – see dissenting opinion. </w:t>
      </w:r>
      <w:hyperlink r:id="rId912" w:history="1">
        <w:r w:rsidRPr="00D23E57">
          <w:rPr>
            <w:rStyle w:val="Hyperlink"/>
            <w:b/>
          </w:rPr>
          <w:t>https://cases.justia.com/virginia/court-of-appeals-unpublished/2025-0990-24-1.pdf?ts=1761062926</w:t>
        </w:r>
      </w:hyperlink>
      <w:r>
        <w:rPr>
          <w:b/>
        </w:rPr>
        <w:t xml:space="preserve"> </w:t>
      </w:r>
    </w:p>
    <w:p w14:paraId="5C0AC645" w14:textId="77777777" w:rsidR="007B0FFF" w:rsidRDefault="007B0FFF" w:rsidP="007B0FFF">
      <w:pPr>
        <w:pStyle w:val="NoSpacing"/>
        <w:rPr>
          <w:b/>
        </w:rPr>
      </w:pPr>
    </w:p>
    <w:p w14:paraId="246538AF" w14:textId="77777777" w:rsidR="007B0FFF" w:rsidRDefault="007B0FFF" w:rsidP="007B0FFF">
      <w:pPr>
        <w:pStyle w:val="NoSpacing"/>
      </w:pPr>
      <w:r>
        <w:t xml:space="preserve">  </w:t>
      </w:r>
    </w:p>
    <w:p w14:paraId="5A3C4F77" w14:textId="77777777" w:rsidR="007B0FFF" w:rsidRPr="003C445E" w:rsidRDefault="007B0FFF" w:rsidP="007B0FFF">
      <w:pPr>
        <w:pStyle w:val="NoSpacing"/>
        <w:rPr>
          <w:bCs/>
        </w:rPr>
      </w:pPr>
      <w:r>
        <w:t xml:space="preserve">THE COURT HELD: </w:t>
      </w:r>
    </w:p>
    <w:p w14:paraId="56C1636B" w14:textId="77777777" w:rsidR="007B0FFF" w:rsidRPr="003C445E" w:rsidRDefault="007B0FFF" w:rsidP="007B0FFF">
      <w:pPr>
        <w:pStyle w:val="NoSpacing"/>
        <w:rPr>
          <w:bCs/>
        </w:rPr>
      </w:pPr>
    </w:p>
    <w:p w14:paraId="540FDBE2" w14:textId="77777777" w:rsidR="007B0FFF" w:rsidRDefault="007B0FFF" w:rsidP="007B0FFF">
      <w:pPr>
        <w:pStyle w:val="NoSpacing"/>
        <w:ind w:left="720"/>
      </w:pPr>
      <w:r>
        <w:t>“This case arises from a motor vehicle accident at the traffic light-controlled intersection of 16th Street and Ivy Avenue in the City of Newport News. At the time of the accident, Carr was driving a fire department rescue truck (Rescue 1) westbound on 16th Street toward the scene of a motor vehicle accident in the Monitor-Merrimac Bridge-Tunnel. As he approached the intersection, Carr’s view of southbound traffic on Ivy Avenue was obstructed by a house. Unable to determine whether he had a red light because of the sun, Carr drove Rescue 1 into the intersection and collided with Lee’s vehicle, which had been traveling southbound on Ivy Avenue.</w:t>
      </w:r>
    </w:p>
    <w:p w14:paraId="7F734909" w14:textId="77777777" w:rsidR="007B0FFF" w:rsidRDefault="007B0FFF" w:rsidP="007B0FFF">
      <w:pPr>
        <w:pStyle w:val="NoSpacing"/>
        <w:ind w:left="720"/>
      </w:pPr>
    </w:p>
    <w:p w14:paraId="04C5D99B" w14:textId="77777777" w:rsidR="007B0FFF" w:rsidRDefault="007B0FFF" w:rsidP="007B0FFF">
      <w:pPr>
        <w:pStyle w:val="NoSpacing"/>
        <w:ind w:left="720"/>
      </w:pPr>
      <w:r>
        <w:t>***</w:t>
      </w:r>
    </w:p>
    <w:p w14:paraId="3539C230" w14:textId="77777777" w:rsidR="007B0FFF" w:rsidRDefault="007B0FFF" w:rsidP="007B0FFF">
      <w:pPr>
        <w:pStyle w:val="NoSpacing"/>
        <w:ind w:left="720"/>
      </w:pPr>
      <w:r>
        <w:t xml:space="preserve">At trial, Lee played a silent video recording of the accident. Police officer Brandon Holden went to the scene of the accident and testified that the posted speed limit in that area was 25 miles per hour. Based on his review of the video recording and his own measurements, Officer Holden estimated that Rescue 1 travelled 110 feet in about 1.9 seconds (approximately 39 miles per hour) before </w:t>
      </w:r>
      <w:proofErr w:type="gramStart"/>
      <w:r>
        <w:t>braking</w:t>
      </w:r>
      <w:proofErr w:type="gramEnd"/>
      <w:r>
        <w:t xml:space="preserve"> in the intersection crosswalk.</w:t>
      </w:r>
    </w:p>
    <w:p w14:paraId="03DB6BBB" w14:textId="77777777" w:rsidR="007B0FFF" w:rsidRDefault="007B0FFF" w:rsidP="007B0FFF">
      <w:pPr>
        <w:pStyle w:val="NoSpacing"/>
        <w:ind w:left="720"/>
      </w:pPr>
    </w:p>
    <w:p w14:paraId="13C09291" w14:textId="77777777" w:rsidR="007B0FFF" w:rsidRDefault="007B0FFF" w:rsidP="007B0FFF">
      <w:pPr>
        <w:pStyle w:val="NoSpacing"/>
        <w:ind w:left="720"/>
      </w:pPr>
      <w:r>
        <w:t>***</w:t>
      </w:r>
    </w:p>
    <w:p w14:paraId="5DC38FE7" w14:textId="77777777" w:rsidR="007B0FFF" w:rsidRDefault="007B0FFF" w:rsidP="007B0FFF">
      <w:pPr>
        <w:pStyle w:val="NoSpacing"/>
        <w:ind w:left="720"/>
      </w:pPr>
    </w:p>
    <w:p w14:paraId="327478D8" w14:textId="77777777" w:rsidR="007B0FFF" w:rsidRDefault="007B0FFF" w:rsidP="007B0FFF">
      <w:pPr>
        <w:pStyle w:val="NoSpacing"/>
        <w:ind w:firstLine="720"/>
      </w:pPr>
      <w:r>
        <w:t>Carr admitted that he told ‘the police officer’ that ‘the only reason’ he would have gone to</w:t>
      </w:r>
    </w:p>
    <w:p w14:paraId="394CCDD6" w14:textId="77777777" w:rsidR="007B0FFF" w:rsidRDefault="007B0FFF" w:rsidP="007B0FFF">
      <w:pPr>
        <w:pStyle w:val="NoSpacing"/>
        <w:ind w:left="720"/>
      </w:pPr>
      <w:proofErr w:type="gramStart"/>
      <w:r>
        <w:t>the</w:t>
      </w:r>
      <w:proofErr w:type="gramEnd"/>
      <w:r>
        <w:t xml:space="preserve"> tunnel ‘was if people [were] in the tunnel.’ He acknowledged that he had been informed before the accident that ‘the vehicles were no longer in the tunnel,’ so he expected to ‘get turn[ed] around.’ Footnote 5:</w:t>
      </w:r>
    </w:p>
    <w:p w14:paraId="52815CA3" w14:textId="77777777" w:rsidR="007B0FFF" w:rsidRDefault="007B0FFF" w:rsidP="007B0FFF">
      <w:pPr>
        <w:pStyle w:val="NoSpacing"/>
      </w:pPr>
    </w:p>
    <w:p w14:paraId="47CBC782" w14:textId="77777777" w:rsidR="007B0FFF" w:rsidRDefault="007B0FFF" w:rsidP="007B0FFF">
      <w:pPr>
        <w:pStyle w:val="NoSpacing"/>
        <w:ind w:left="1440"/>
      </w:pPr>
      <w:r>
        <w:t>Carr testified that he had to respond to the scene of the tunnel accident until someone from the police or fire department arrived at the scene and confirmed that there was ‘nothing wrong.’ According to Carr, Rescue 1’s tools may have been necessary even if the vehicles had been moved out of the tunnel.</w:t>
      </w:r>
    </w:p>
    <w:p w14:paraId="6FB1AE73" w14:textId="77777777" w:rsidR="007B0FFF" w:rsidRDefault="007B0FFF" w:rsidP="007B0FFF">
      <w:pPr>
        <w:pStyle w:val="NoSpacing"/>
        <w:ind w:left="1440"/>
      </w:pPr>
    </w:p>
    <w:p w14:paraId="0E7E6505" w14:textId="77777777" w:rsidR="007B0FFF" w:rsidRDefault="007B0FFF" w:rsidP="007B0FFF">
      <w:pPr>
        <w:pStyle w:val="NoSpacing"/>
        <w:ind w:left="720"/>
      </w:pPr>
      <w:r>
        <w:t>***</w:t>
      </w:r>
    </w:p>
    <w:p w14:paraId="21F63261" w14:textId="77777777" w:rsidR="007B0FFF" w:rsidRDefault="007B0FFF" w:rsidP="007B0FFF">
      <w:pPr>
        <w:pStyle w:val="NoSpacing"/>
      </w:pPr>
    </w:p>
    <w:p w14:paraId="7CF78A9A" w14:textId="77777777" w:rsidR="007B0FFF" w:rsidRDefault="007B0FFF" w:rsidP="007B0FFF">
      <w:pPr>
        <w:pStyle w:val="NoSpacing"/>
        <w:ind w:left="720"/>
      </w:pPr>
      <w:r>
        <w:t xml:space="preserve">The question of whether Carr exercised any care was a factual one for the jury and credible evidence supports its verdict. In best light to Lee, Carr sped the </w:t>
      </w:r>
      <w:proofErr w:type="gramStart"/>
      <w:r>
        <w:t>54,000 pound</w:t>
      </w:r>
      <w:proofErr w:type="gramEnd"/>
      <w:r>
        <w:t xml:space="preserve"> firetruck into an intersection without even knowing whether the light was red or green—or whether any vehicle was in its path. According to Lee, there was no siren—and the video supports the jury’s view that there was no effort to brake upon entering the intersection (or at any meaningful time before imminent contact). The trial court </w:t>
      </w:r>
      <w:proofErr w:type="gramStart"/>
      <w:r>
        <w:t>erred</w:t>
      </w:r>
      <w:proofErr w:type="gramEnd"/>
      <w:r>
        <w:t xml:space="preserve"> by usurping the jury’s judgment because the evidence failed to conclusively establish that Carr took any care to prevent Lee’s accident. In short, the trial court relied on its findings of fact rather than the findings of fact made by the jury. In doing so, it erred. Accordingly, we reinstate the jury’s verdict on liability…. As explained below, however, we must still vacate the jury’s award of damages and remand for a new trial on that issue.”</w:t>
      </w:r>
    </w:p>
    <w:p w14:paraId="3F8D2E35" w14:textId="77777777" w:rsidR="007B0FFF" w:rsidRDefault="007B0FFF" w:rsidP="007B0FFF">
      <w:pPr>
        <w:pStyle w:val="NoSpacing"/>
        <w:ind w:left="720"/>
      </w:pPr>
    </w:p>
    <w:p w14:paraId="26326F43" w14:textId="77777777" w:rsidR="007B0FFF" w:rsidRDefault="007B0FFF" w:rsidP="007B0FFF">
      <w:pPr>
        <w:pStyle w:val="NoSpacing"/>
        <w:rPr>
          <w:bCs/>
        </w:rPr>
      </w:pPr>
      <w:r>
        <w:t xml:space="preserve">DISSENT (Judge </w:t>
      </w:r>
      <w:r w:rsidRPr="003C2F21">
        <w:t>Mary Janipher Malveaux)</w:t>
      </w:r>
    </w:p>
    <w:p w14:paraId="77E3262B" w14:textId="77777777" w:rsidR="007B0FFF" w:rsidRDefault="007B0FFF" w:rsidP="007B0FFF">
      <w:pPr>
        <w:pStyle w:val="NoSpacing"/>
        <w:rPr>
          <w:bCs/>
        </w:rPr>
      </w:pPr>
    </w:p>
    <w:p w14:paraId="603C2EBD" w14:textId="77777777" w:rsidR="007B0FFF" w:rsidRPr="00770F67" w:rsidRDefault="007B0FFF" w:rsidP="007B0FFF">
      <w:pPr>
        <w:pStyle w:val="NoSpacing"/>
        <w:rPr>
          <w:bCs/>
        </w:rPr>
      </w:pPr>
      <w:r>
        <w:tab/>
        <w:t>“</w:t>
      </w:r>
      <w:r w:rsidRPr="00770F67">
        <w:t>But as the majority correctly recognizes, the evidence that Carr had activated</w:t>
      </w:r>
    </w:p>
    <w:p w14:paraId="7FD9F0E2" w14:textId="77777777" w:rsidR="007B0FFF" w:rsidRDefault="007B0FFF" w:rsidP="007B0FFF">
      <w:pPr>
        <w:pStyle w:val="NoSpacing"/>
        <w:ind w:left="720"/>
      </w:pPr>
      <w:r w:rsidRPr="00770F67">
        <w:t xml:space="preserve">Rescue 1’s lights </w:t>
      </w:r>
      <w:proofErr w:type="gramStart"/>
      <w:r w:rsidRPr="00770F67">
        <w:t>was</w:t>
      </w:r>
      <w:proofErr w:type="gramEnd"/>
      <w:r w:rsidRPr="00770F67">
        <w:t xml:space="preserve"> uncontroverted.</w:t>
      </w:r>
      <w:r>
        <w:t xml:space="preserve"> </w:t>
      </w:r>
      <w:r w:rsidRPr="00770F67">
        <w:t>And in Virginia, uncontroverted evidence that Carr</w:t>
      </w:r>
      <w:r>
        <w:t xml:space="preserve"> </w:t>
      </w:r>
      <w:r w:rsidRPr="00770F67">
        <w:t xml:space="preserve">exercised </w:t>
      </w:r>
      <w:r>
        <w:t>‘</w:t>
      </w:r>
      <w:r w:rsidRPr="00770F67">
        <w:t>some degree of care</w:t>
      </w:r>
      <w:r>
        <w:t>’</w:t>
      </w:r>
      <w:r w:rsidRPr="00770F67">
        <w:t xml:space="preserve"> is adequate to defeat Lee’s gross negligence claim.</w:t>
      </w:r>
      <w:r>
        <w:t>”</w:t>
      </w:r>
    </w:p>
    <w:p w14:paraId="66FB0157" w14:textId="77777777" w:rsidR="007B0FFF" w:rsidRDefault="007B0FFF" w:rsidP="007B0FFF">
      <w:pPr>
        <w:pStyle w:val="NoSpacing"/>
        <w:ind w:left="720"/>
      </w:pPr>
    </w:p>
    <w:p w14:paraId="466F4E88" w14:textId="77777777" w:rsidR="007B0FFF" w:rsidRPr="00C46342" w:rsidRDefault="007B0FFF" w:rsidP="007B0FFF">
      <w:pPr>
        <w:pStyle w:val="NoSpacing"/>
        <w:rPr>
          <w:b/>
          <w:bCs/>
        </w:rPr>
      </w:pPr>
      <w:r w:rsidRPr="00C46342">
        <w:rPr>
          <w:b/>
        </w:rPr>
        <w:t xml:space="preserve">Legal lesson learned:  When dispatch advises - “the vehicles had been cleared in the tunnel and there was no longer an emergency situation” – only proceed non-emergency. </w:t>
      </w:r>
    </w:p>
    <w:p w14:paraId="37248EC6" w14:textId="77777777" w:rsidR="007B0FFF" w:rsidRPr="00DB52C3" w:rsidRDefault="007B0FFF" w:rsidP="007B0FFF">
      <w:pPr>
        <w:pStyle w:val="NoSpacing"/>
        <w:rPr>
          <w:b/>
          <w:bCs/>
        </w:rPr>
      </w:pPr>
    </w:p>
    <w:p w14:paraId="53F30381" w14:textId="77777777" w:rsidR="007B0FFF" w:rsidRDefault="007B0FFF" w:rsidP="000C62A1">
      <w:pPr>
        <w:pStyle w:val="NoSpacing"/>
        <w:rPr>
          <w:rFonts w:ascii="Arial Black" w:hAnsi="Arial Black"/>
          <w:sz w:val="28"/>
          <w:szCs w:val="28"/>
        </w:rPr>
      </w:pPr>
    </w:p>
    <w:p w14:paraId="39695791" w14:textId="77777777" w:rsidR="0096096B" w:rsidRDefault="0096096B" w:rsidP="000C62A1">
      <w:pPr>
        <w:pStyle w:val="NoSpacing"/>
        <w:rPr>
          <w:rFonts w:ascii="Arial Black" w:hAnsi="Arial Black"/>
          <w:sz w:val="28"/>
          <w:szCs w:val="28"/>
        </w:rPr>
      </w:pPr>
    </w:p>
    <w:p w14:paraId="598798E9" w14:textId="77777777" w:rsidR="0096096B" w:rsidRDefault="0096096B" w:rsidP="000C62A1">
      <w:pPr>
        <w:pStyle w:val="NoSpacing"/>
        <w:rPr>
          <w:rFonts w:ascii="Arial Black" w:hAnsi="Arial Black"/>
          <w:sz w:val="28"/>
          <w:szCs w:val="28"/>
        </w:rPr>
      </w:pPr>
    </w:p>
    <w:p w14:paraId="3AEA1F7C" w14:textId="19512866" w:rsidR="003B3DED" w:rsidRDefault="003B3DED" w:rsidP="000C62A1">
      <w:pPr>
        <w:pStyle w:val="NoSpacing"/>
        <w:rPr>
          <w:rFonts w:ascii="Arial Black" w:hAnsi="Arial Black"/>
          <w:sz w:val="28"/>
          <w:szCs w:val="28"/>
        </w:rPr>
      </w:pPr>
      <w:r>
        <w:rPr>
          <w:rFonts w:ascii="Arial Black" w:hAnsi="Arial Black"/>
          <w:sz w:val="28"/>
          <w:szCs w:val="28"/>
        </w:rPr>
        <w:t>5-53</w:t>
      </w:r>
    </w:p>
    <w:p w14:paraId="5BB1827D" w14:textId="77777777" w:rsidR="003B3DED" w:rsidRDefault="003B3DED" w:rsidP="000C62A1">
      <w:pPr>
        <w:pStyle w:val="NoSpacing"/>
        <w:rPr>
          <w:rFonts w:ascii="Arial Black" w:hAnsi="Arial Black"/>
          <w:sz w:val="28"/>
          <w:szCs w:val="28"/>
        </w:rPr>
      </w:pPr>
    </w:p>
    <w:p w14:paraId="127E8422" w14:textId="6EE877A9" w:rsidR="000C62A1" w:rsidRDefault="000C62A1" w:rsidP="000C62A1">
      <w:pPr>
        <w:pStyle w:val="NoSpacing"/>
        <w:rPr>
          <w:rFonts w:ascii="Arial Black" w:hAnsi="Arial Black"/>
          <w:sz w:val="28"/>
          <w:szCs w:val="28"/>
        </w:rPr>
      </w:pPr>
      <w:r>
        <w:rPr>
          <w:rFonts w:ascii="Arial Black" w:hAnsi="Arial Black"/>
          <w:sz w:val="28"/>
          <w:szCs w:val="28"/>
        </w:rPr>
        <w:t xml:space="preserve">TX: AMBUL BACKED </w:t>
      </w:r>
      <w:r w:rsidR="003F3074">
        <w:rPr>
          <w:rFonts w:ascii="Arial Black" w:hAnsi="Arial Black"/>
          <w:sz w:val="28"/>
          <w:szCs w:val="28"/>
        </w:rPr>
        <w:t xml:space="preserve">INTO </w:t>
      </w:r>
      <w:r>
        <w:rPr>
          <w:rFonts w:ascii="Arial Black" w:hAnsi="Arial Black"/>
          <w:sz w:val="28"/>
          <w:szCs w:val="28"/>
        </w:rPr>
        <w:t>CAR – AVOID</w:t>
      </w:r>
      <w:r w:rsidR="00E0376C">
        <w:rPr>
          <w:rFonts w:ascii="Arial Black" w:hAnsi="Arial Black"/>
          <w:sz w:val="28"/>
          <w:szCs w:val="28"/>
        </w:rPr>
        <w:t xml:space="preserve"> </w:t>
      </w:r>
      <w:r>
        <w:rPr>
          <w:rFonts w:ascii="Arial Black" w:hAnsi="Arial Black"/>
          <w:sz w:val="28"/>
          <w:szCs w:val="28"/>
        </w:rPr>
        <w:t>FIRE TRUCKS - IMMUNITY</w:t>
      </w:r>
    </w:p>
    <w:p w14:paraId="1A9FCD04" w14:textId="77777777" w:rsidR="000C62A1" w:rsidRDefault="000C62A1" w:rsidP="000C62A1">
      <w:pPr>
        <w:pStyle w:val="NoSpacing"/>
        <w:rPr>
          <w:rFonts w:ascii="Arial Black" w:hAnsi="Arial Black"/>
          <w:sz w:val="28"/>
          <w:szCs w:val="28"/>
        </w:rPr>
      </w:pPr>
    </w:p>
    <w:p w14:paraId="7F88E2EC" w14:textId="77777777" w:rsidR="000C62A1" w:rsidRPr="00B07EC1" w:rsidRDefault="000C62A1" w:rsidP="000C62A1">
      <w:pPr>
        <w:pStyle w:val="NoSpacing"/>
        <w:rPr>
          <w:rFonts w:ascii="Times New Roman" w:hAnsi="Times New Roman"/>
          <w:sz w:val="24"/>
          <w:szCs w:val="24"/>
        </w:rPr>
      </w:pPr>
      <w:r w:rsidRPr="00B07EC1">
        <w:rPr>
          <w:rFonts w:ascii="Times New Roman" w:hAnsi="Times New Roman"/>
          <w:sz w:val="24"/>
          <w:szCs w:val="24"/>
        </w:rPr>
        <w:t xml:space="preserve">On July 22, 2025, in </w:t>
      </w:r>
      <w:r w:rsidRPr="00B07EC1">
        <w:rPr>
          <w:rFonts w:ascii="Times New Roman" w:hAnsi="Times New Roman"/>
          <w:sz w:val="24"/>
          <w:szCs w:val="24"/>
          <w:u w:val="single"/>
        </w:rPr>
        <w:t xml:space="preserve">City of Houston v. </w:t>
      </w:r>
      <w:proofErr w:type="spellStart"/>
      <w:r w:rsidRPr="00B07EC1">
        <w:rPr>
          <w:rFonts w:ascii="Times New Roman" w:hAnsi="Times New Roman"/>
          <w:sz w:val="24"/>
          <w:szCs w:val="24"/>
          <w:u w:val="single"/>
        </w:rPr>
        <w:t>Maraunjanique</w:t>
      </w:r>
      <w:proofErr w:type="spellEnd"/>
      <w:r w:rsidRPr="00B07EC1">
        <w:rPr>
          <w:rFonts w:ascii="Times New Roman" w:hAnsi="Times New Roman"/>
          <w:sz w:val="24"/>
          <w:szCs w:val="24"/>
          <w:u w:val="single"/>
        </w:rPr>
        <w:t xml:space="preserve"> Smallwood</w:t>
      </w:r>
      <w:r w:rsidRPr="00B07EC1">
        <w:rPr>
          <w:rFonts w:ascii="Times New Roman" w:hAnsi="Times New Roman"/>
          <w:sz w:val="24"/>
          <w:szCs w:val="24"/>
        </w:rPr>
        <w:t xml:space="preserve">, the Court of Appeals of Texas, Fourteenth District held (3 to 0) held that trial court should have granted the City’s motion for summary judgement, under the emergency exception of waiver of immunity under the Texas Torts Claims Act.  The ambulance driver, returning to their station, saw flames coming from a building about seven blocks away – as they went north on two lane road, they had to stop and back up for two fire engines responding to the fire.  They collided with Smallwood’s vehicle behind them.  THE COURT HELD: “We conclude the City established the TTCA’s emergency exception applies to Smallwood’s claims against the City as a matter of law and that Smallwood failed to raise a fact issue as to whether the City’s immunity was waived. *** This evidence established that Moncivais was reacting to </w:t>
      </w:r>
      <w:proofErr w:type="gramStart"/>
      <w:r w:rsidRPr="00B07EC1">
        <w:rPr>
          <w:rFonts w:ascii="Times New Roman" w:hAnsi="Times New Roman"/>
          <w:sz w:val="24"/>
          <w:szCs w:val="24"/>
        </w:rPr>
        <w:t>an emergency situation</w:t>
      </w:r>
      <w:proofErr w:type="gramEnd"/>
      <w:r w:rsidRPr="00B07EC1">
        <w:rPr>
          <w:rFonts w:ascii="Times New Roman" w:hAnsi="Times New Roman"/>
          <w:sz w:val="24"/>
          <w:szCs w:val="24"/>
        </w:rPr>
        <w:t xml:space="preserve"> when he reversed the ambulance and collided with Smallwood.” </w:t>
      </w:r>
      <w:hyperlink r:id="rId913" w:history="1">
        <w:r w:rsidRPr="00B07EC1">
          <w:rPr>
            <w:rStyle w:val="Hyperlink"/>
            <w:rFonts w:ascii="Times New Roman" w:hAnsi="Times New Roman"/>
            <w:sz w:val="24"/>
            <w:szCs w:val="24"/>
          </w:rPr>
          <w:t>https://cases.justia.com/texas/fourteenth-court-of-appeals/2025-14-24-00312-cv.pdf?ts=1753189995</w:t>
        </w:r>
      </w:hyperlink>
      <w:r w:rsidRPr="00B07EC1">
        <w:rPr>
          <w:rFonts w:ascii="Times New Roman" w:hAnsi="Times New Roman"/>
          <w:sz w:val="24"/>
          <w:szCs w:val="24"/>
        </w:rPr>
        <w:t xml:space="preserve"> </w:t>
      </w:r>
    </w:p>
    <w:p w14:paraId="41767B15" w14:textId="77777777" w:rsidR="000C62A1" w:rsidRPr="00B07EC1" w:rsidRDefault="000C62A1" w:rsidP="000C62A1">
      <w:pPr>
        <w:pStyle w:val="NoSpacing"/>
        <w:rPr>
          <w:rFonts w:ascii="Times New Roman" w:hAnsi="Times New Roman"/>
          <w:sz w:val="24"/>
          <w:szCs w:val="24"/>
        </w:rPr>
      </w:pPr>
    </w:p>
    <w:p w14:paraId="70AE720F" w14:textId="77777777" w:rsidR="00B07EC1" w:rsidRDefault="00B07EC1" w:rsidP="00B07EC1">
      <w:pPr>
        <w:pStyle w:val="NoSpacing"/>
        <w:rPr>
          <w:rFonts w:ascii="Times New Roman" w:hAnsi="Times New Roman"/>
          <w:b/>
          <w:sz w:val="24"/>
          <w:szCs w:val="24"/>
        </w:rPr>
      </w:pPr>
      <w:r w:rsidRPr="00B07EC1">
        <w:rPr>
          <w:rFonts w:ascii="Times New Roman" w:hAnsi="Times New Roman"/>
          <w:b/>
          <w:sz w:val="24"/>
          <w:szCs w:val="24"/>
        </w:rPr>
        <w:t>Legal lesson learned:  Immunity statute protects City from liability</w:t>
      </w:r>
      <w:r w:rsidRPr="00B07EC1">
        <w:rPr>
          <w:rFonts w:ascii="Times New Roman" w:hAnsi="Times New Roman"/>
          <w:b/>
          <w:bCs/>
          <w:sz w:val="24"/>
          <w:szCs w:val="24"/>
        </w:rPr>
        <w:t xml:space="preserve"> in </w:t>
      </w:r>
      <w:proofErr w:type="gramStart"/>
      <w:r w:rsidRPr="00B07EC1">
        <w:rPr>
          <w:rFonts w:ascii="Times New Roman" w:hAnsi="Times New Roman"/>
          <w:b/>
          <w:bCs/>
          <w:sz w:val="24"/>
          <w:szCs w:val="24"/>
        </w:rPr>
        <w:t>emergency situation</w:t>
      </w:r>
      <w:proofErr w:type="gramEnd"/>
      <w:r w:rsidRPr="00B07EC1">
        <w:rPr>
          <w:rFonts w:ascii="Times New Roman" w:hAnsi="Times New Roman"/>
          <w:b/>
          <w:sz w:val="24"/>
          <w:szCs w:val="24"/>
        </w:rPr>
        <w:t xml:space="preserve">, even if ambulance did not activate siren or emergency lights. </w:t>
      </w:r>
    </w:p>
    <w:p w14:paraId="24BE3A4F" w14:textId="77777777" w:rsidR="007963B6" w:rsidRDefault="007963B6" w:rsidP="00B07EC1">
      <w:pPr>
        <w:pStyle w:val="NoSpacing"/>
        <w:rPr>
          <w:rFonts w:ascii="Times New Roman" w:hAnsi="Times New Roman"/>
          <w:b/>
          <w:sz w:val="24"/>
          <w:szCs w:val="24"/>
        </w:rPr>
      </w:pPr>
    </w:p>
    <w:p w14:paraId="2B4D71FD" w14:textId="77777777" w:rsidR="007963B6" w:rsidRDefault="007963B6" w:rsidP="00B07EC1">
      <w:pPr>
        <w:pStyle w:val="NoSpacing"/>
        <w:rPr>
          <w:rFonts w:ascii="Times New Roman" w:hAnsi="Times New Roman"/>
          <w:b/>
          <w:sz w:val="24"/>
          <w:szCs w:val="24"/>
        </w:rPr>
      </w:pPr>
    </w:p>
    <w:p w14:paraId="01374262" w14:textId="1B68F8F8" w:rsidR="007963B6" w:rsidRPr="003B3DED" w:rsidRDefault="003B3DED" w:rsidP="00B07EC1">
      <w:pPr>
        <w:pStyle w:val="NoSpacing"/>
        <w:rPr>
          <w:rFonts w:ascii="Arial Black" w:hAnsi="Arial Black"/>
          <w:b/>
          <w:sz w:val="24"/>
          <w:szCs w:val="24"/>
        </w:rPr>
      </w:pPr>
      <w:r w:rsidRPr="003B3DED">
        <w:rPr>
          <w:rFonts w:ascii="Arial Black" w:hAnsi="Arial Black"/>
          <w:b/>
          <w:sz w:val="24"/>
          <w:szCs w:val="24"/>
        </w:rPr>
        <w:t>5-52</w:t>
      </w:r>
    </w:p>
    <w:p w14:paraId="6F6595A6" w14:textId="77777777" w:rsidR="003B3DED" w:rsidRDefault="003B3DED" w:rsidP="00B07EC1">
      <w:pPr>
        <w:pStyle w:val="NoSpacing"/>
        <w:rPr>
          <w:rFonts w:ascii="Times New Roman" w:hAnsi="Times New Roman"/>
          <w:b/>
          <w:sz w:val="24"/>
          <w:szCs w:val="24"/>
        </w:rPr>
      </w:pPr>
    </w:p>
    <w:p w14:paraId="5FB6D64D" w14:textId="77777777" w:rsidR="007963B6" w:rsidRDefault="007963B6" w:rsidP="007963B6">
      <w:pPr>
        <w:rPr>
          <w:rFonts w:ascii="Arial Black" w:hAnsi="Arial Black"/>
          <w:b/>
          <w:sz w:val="28"/>
          <w:szCs w:val="28"/>
        </w:rPr>
      </w:pPr>
      <w:r>
        <w:rPr>
          <w:rFonts w:ascii="Arial Black" w:hAnsi="Arial Black"/>
          <w:b/>
          <w:sz w:val="28"/>
          <w:szCs w:val="28"/>
        </w:rPr>
        <w:t>CO: AMBUL - ICE - AUTOMATIC CHAIN SYSTEM - IMMUNITY</w:t>
      </w:r>
    </w:p>
    <w:p w14:paraId="04483453" w14:textId="77777777" w:rsidR="007963B6" w:rsidRPr="003B3DED" w:rsidRDefault="007963B6" w:rsidP="007963B6">
      <w:pPr>
        <w:rPr>
          <w:rFonts w:ascii="Times New Roman" w:hAnsi="Times New Roman"/>
          <w:sz w:val="24"/>
          <w:szCs w:val="24"/>
        </w:rPr>
      </w:pPr>
      <w:r w:rsidRPr="003B3DED">
        <w:rPr>
          <w:rFonts w:ascii="Times New Roman" w:hAnsi="Times New Roman"/>
          <w:sz w:val="24"/>
          <w:szCs w:val="24"/>
        </w:rPr>
        <w:t xml:space="preserve">On July 3, 2025, in </w:t>
      </w:r>
      <w:r w:rsidRPr="003B3DED">
        <w:rPr>
          <w:rFonts w:ascii="Times New Roman" w:hAnsi="Times New Roman"/>
          <w:sz w:val="24"/>
          <w:szCs w:val="24"/>
          <w:u w:val="single"/>
        </w:rPr>
        <w:t>Jeffrey Malott v. Town of Palisade Fire Department</w:t>
      </w:r>
      <w:r w:rsidRPr="003B3DED">
        <w:rPr>
          <w:rFonts w:ascii="Times New Roman" w:hAnsi="Times New Roman"/>
          <w:b/>
          <w:sz w:val="24"/>
          <w:szCs w:val="24"/>
        </w:rPr>
        <w:t xml:space="preserve">, </w:t>
      </w:r>
      <w:r w:rsidRPr="003B3DED">
        <w:rPr>
          <w:rFonts w:ascii="Times New Roman" w:hAnsi="Times New Roman"/>
          <w:sz w:val="24"/>
          <w:szCs w:val="24"/>
        </w:rPr>
        <w:t xml:space="preserve">the Colorado Court of Appeals, Division IV. Held (3 to 0) that trial court properly dismissed the lawsuit under emergency response provision of the Colorado Governmental Immunity Act [CCIA]; ambulance driver activated the system, no proof it didn’t deploy.  Early on October 28, 2019, firefighter Corey Massey was driving Ambulance 41 </w:t>
      </w:r>
      <w:proofErr w:type="gramStart"/>
      <w:r w:rsidRPr="003B3DED">
        <w:rPr>
          <w:rFonts w:ascii="Times New Roman" w:hAnsi="Times New Roman"/>
          <w:sz w:val="24"/>
          <w:szCs w:val="24"/>
        </w:rPr>
        <w:t>responding</w:t>
      </w:r>
      <w:proofErr w:type="gramEnd"/>
      <w:r w:rsidRPr="003B3DED">
        <w:rPr>
          <w:rFonts w:ascii="Times New Roman" w:hAnsi="Times New Roman"/>
          <w:sz w:val="24"/>
          <w:szCs w:val="24"/>
        </w:rPr>
        <w:t xml:space="preserve"> red lights and siren, eastbound on I-70, for a roll-over accident.  The weather was poor, and the road conditions were icy. The ambulance was acquired in 2018 with automatic chain system that could deploy chains on the ambulance’s tires to help with traction during adverse weather conditions; the first FD vehicle with this system and Massey had never been trained on its use. He drove on the right shoulder, 5 to 10 mph, to pass stopped traffic; deployed the chain system – didn’t hear or fell anything – and slid into the right side of the Plaintiff’s vehicle.  THE COURT HELD: “Malott contends that the CGIA’s waiver of immunity for operation of a motor vehicle is broad and encompasses vehicle maintenance. Specifically, he asserts that the emergency vehicle exception doesn’t even apply here </w:t>
      </w:r>
      <w:proofErr w:type="gramStart"/>
      <w:r w:rsidRPr="003B3DED">
        <w:rPr>
          <w:rFonts w:ascii="Times New Roman" w:hAnsi="Times New Roman"/>
          <w:sz w:val="24"/>
          <w:szCs w:val="24"/>
        </w:rPr>
        <w:t>because</w:t>
      </w:r>
      <w:proofErr w:type="gramEnd"/>
      <w:r w:rsidRPr="003B3DED">
        <w:rPr>
          <w:rFonts w:ascii="Times New Roman" w:hAnsi="Times New Roman"/>
          <w:sz w:val="24"/>
          <w:szCs w:val="24"/>
        </w:rPr>
        <w:t xml:space="preserve"> the Fire Department’s failure to maintain the automatic chain system occurred before any emergency and, therefore, the Fire Department waived its immunity. We disagree…. The legislature created the emergency vehicle exception to immunize public employees from tort liability in situations requiring an immediate response…. Here, Massey was responding properly and lawfully to precisely the type of </w:t>
      </w:r>
      <w:proofErr w:type="gramStart"/>
      <w:r w:rsidRPr="003B3DED">
        <w:rPr>
          <w:rFonts w:ascii="Times New Roman" w:hAnsi="Times New Roman"/>
          <w:sz w:val="24"/>
          <w:szCs w:val="24"/>
        </w:rPr>
        <w:t>emergency situation</w:t>
      </w:r>
      <w:proofErr w:type="gramEnd"/>
      <w:r w:rsidRPr="003B3DED">
        <w:rPr>
          <w:rFonts w:ascii="Times New Roman" w:hAnsi="Times New Roman"/>
          <w:sz w:val="24"/>
          <w:szCs w:val="24"/>
        </w:rPr>
        <w:t xml:space="preserve"> the legislature envisioned when it created the emergency vehicle exception. The district court found that Massey activated Ambulance 41’s lights and sirens, acted with due regard for Malott’s safety, and did not endanger life or property, and that there was no evidence indicating that he was careless when responding to the rollover accident. Massey’s response fits squarely within the CGIA’s requirement that the operator of an emergency vehicle respond to an emergency with the vehicle’s lights and sirens on…. We,  </w:t>
      </w:r>
      <w:r w:rsidRPr="003B3DED">
        <w:rPr>
          <w:rFonts w:ascii="Times New Roman" w:hAnsi="Times New Roman"/>
          <w:sz w:val="24"/>
          <w:szCs w:val="24"/>
        </w:rPr>
        <w:lastRenderedPageBreak/>
        <w:t xml:space="preserve">therefore, conclude that because Massey operated Ambulance 41 properly and lawfully while responding to the emergency rollover accident, the emergency vehicle exception applies, and the Fire Department is immune under the CGIA. The district court properly dismissed Malott’s case under C.R.C.P. 12(b)(1).”  </w:t>
      </w:r>
      <w:hyperlink r:id="rId914" w:history="1">
        <w:r w:rsidRPr="003B3DED">
          <w:rPr>
            <w:rStyle w:val="Hyperlink"/>
            <w:rFonts w:ascii="Times New Roman" w:hAnsi="Times New Roman"/>
            <w:sz w:val="24"/>
            <w:szCs w:val="24"/>
          </w:rPr>
          <w:t>https://cases.justia.com/colorado/court-of-appeals/2025-24ca1544.pdf?ts=1751643339</w:t>
        </w:r>
      </w:hyperlink>
      <w:r w:rsidRPr="003B3DED">
        <w:rPr>
          <w:rFonts w:ascii="Times New Roman" w:hAnsi="Times New Roman"/>
          <w:sz w:val="24"/>
          <w:szCs w:val="24"/>
        </w:rPr>
        <w:t xml:space="preserve"> </w:t>
      </w:r>
    </w:p>
    <w:p w14:paraId="157AD64E" w14:textId="77777777" w:rsidR="003B3DED" w:rsidRPr="003B3DED" w:rsidRDefault="003B3DED" w:rsidP="003B3DED">
      <w:pPr>
        <w:pStyle w:val="NoSpacing"/>
        <w:rPr>
          <w:rFonts w:ascii="Times New Roman" w:hAnsi="Times New Roman"/>
          <w:b/>
          <w:bCs/>
          <w:sz w:val="24"/>
          <w:szCs w:val="24"/>
        </w:rPr>
      </w:pPr>
      <w:r w:rsidRPr="003B3DED">
        <w:rPr>
          <w:rFonts w:ascii="Times New Roman" w:hAnsi="Times New Roman"/>
          <w:b/>
          <w:sz w:val="24"/>
          <w:szCs w:val="24"/>
        </w:rPr>
        <w:t xml:space="preserve">Legal lesson learned:  When acquiring an emergency apparatus with an automatic chain system, train your personnel in its operation and establish a documented maintenance program. </w:t>
      </w:r>
    </w:p>
    <w:p w14:paraId="01A98743" w14:textId="77777777" w:rsidR="007963B6" w:rsidRPr="003B3DED" w:rsidRDefault="007963B6" w:rsidP="00B07EC1">
      <w:pPr>
        <w:pStyle w:val="NoSpacing"/>
        <w:rPr>
          <w:rFonts w:ascii="Times New Roman" w:hAnsi="Times New Roman"/>
          <w:b/>
          <w:bCs/>
          <w:sz w:val="24"/>
          <w:szCs w:val="24"/>
        </w:rPr>
      </w:pPr>
    </w:p>
    <w:p w14:paraId="5CB876FB" w14:textId="77777777" w:rsidR="000C62A1" w:rsidRPr="003B3DED" w:rsidRDefault="000C62A1" w:rsidP="00EF1133">
      <w:pPr>
        <w:rPr>
          <w:rFonts w:ascii="Times New Roman" w:hAnsi="Times New Roman"/>
          <w:b/>
          <w:sz w:val="24"/>
          <w:szCs w:val="24"/>
        </w:rPr>
      </w:pPr>
    </w:p>
    <w:p w14:paraId="78313300" w14:textId="77777777" w:rsidR="000C62A1" w:rsidRDefault="000C62A1" w:rsidP="00EF1133">
      <w:pPr>
        <w:rPr>
          <w:rFonts w:ascii="Arial Black" w:hAnsi="Arial Black"/>
          <w:b/>
          <w:sz w:val="24"/>
          <w:szCs w:val="24"/>
        </w:rPr>
      </w:pPr>
    </w:p>
    <w:p w14:paraId="4EC6D80A" w14:textId="57D096AC" w:rsidR="005758F6" w:rsidRDefault="00AE1943" w:rsidP="00EF1133">
      <w:pPr>
        <w:rPr>
          <w:rFonts w:ascii="Arial Black" w:hAnsi="Arial Black"/>
          <w:b/>
          <w:sz w:val="24"/>
          <w:szCs w:val="24"/>
        </w:rPr>
      </w:pPr>
      <w:r>
        <w:rPr>
          <w:rFonts w:ascii="Arial Black" w:hAnsi="Arial Black"/>
          <w:b/>
          <w:sz w:val="24"/>
          <w:szCs w:val="24"/>
        </w:rPr>
        <w:t>5-51</w:t>
      </w:r>
    </w:p>
    <w:p w14:paraId="1A40C989" w14:textId="77777777" w:rsidR="00BD4E9A" w:rsidRDefault="00BD4E9A" w:rsidP="00BD4E9A">
      <w:pPr>
        <w:pStyle w:val="NoSpacing"/>
        <w:rPr>
          <w:rFonts w:ascii="Arial Black" w:hAnsi="Arial Black"/>
          <w:sz w:val="28"/>
          <w:szCs w:val="28"/>
        </w:rPr>
      </w:pPr>
      <w:r>
        <w:rPr>
          <w:rFonts w:ascii="Arial Black" w:hAnsi="Arial Black"/>
          <w:sz w:val="28"/>
          <w:szCs w:val="28"/>
        </w:rPr>
        <w:t>TX: AMBULANCE – TRAFFIC / LEFT SHOULDER  - IMMUNITY</w:t>
      </w:r>
    </w:p>
    <w:p w14:paraId="51EA8BFB" w14:textId="77777777" w:rsidR="00BD4E9A" w:rsidRPr="00BD4E9A" w:rsidRDefault="00BD4E9A" w:rsidP="00BD4E9A">
      <w:pPr>
        <w:rPr>
          <w:rFonts w:ascii="Times New Roman" w:hAnsi="Times New Roman"/>
          <w:bCs/>
          <w:sz w:val="24"/>
          <w:szCs w:val="24"/>
        </w:rPr>
      </w:pPr>
      <w:r w:rsidRPr="00BD4E9A">
        <w:rPr>
          <w:rFonts w:ascii="Times New Roman" w:hAnsi="Times New Roman"/>
          <w:sz w:val="24"/>
          <w:szCs w:val="24"/>
        </w:rPr>
        <w:t xml:space="preserve">On April 24, 2025, in </w:t>
      </w:r>
      <w:r w:rsidRPr="00BD4E9A">
        <w:rPr>
          <w:rFonts w:ascii="Times New Roman" w:hAnsi="Times New Roman"/>
          <w:sz w:val="24"/>
          <w:szCs w:val="24"/>
          <w:u w:val="single"/>
        </w:rPr>
        <w:t xml:space="preserve">City of Houston v. </w:t>
      </w:r>
      <w:proofErr w:type="spellStart"/>
      <w:r w:rsidRPr="00BD4E9A">
        <w:rPr>
          <w:rFonts w:ascii="Times New Roman" w:hAnsi="Times New Roman"/>
          <w:sz w:val="24"/>
          <w:szCs w:val="24"/>
          <w:u w:val="single"/>
        </w:rPr>
        <w:t>Sokmen</w:t>
      </w:r>
      <w:proofErr w:type="spellEnd"/>
      <w:r w:rsidRPr="00BD4E9A">
        <w:rPr>
          <w:rFonts w:ascii="Times New Roman" w:hAnsi="Times New Roman"/>
          <w:sz w:val="24"/>
          <w:szCs w:val="24"/>
          <w:u w:val="single"/>
        </w:rPr>
        <w:t xml:space="preserve"> </w:t>
      </w:r>
      <w:proofErr w:type="spellStart"/>
      <w:r w:rsidRPr="00BD4E9A">
        <w:rPr>
          <w:rFonts w:ascii="Times New Roman" w:hAnsi="Times New Roman"/>
          <w:sz w:val="24"/>
          <w:szCs w:val="24"/>
          <w:u w:val="single"/>
        </w:rPr>
        <w:t>Chour</w:t>
      </w:r>
      <w:r w:rsidRPr="00BD4E9A">
        <w:rPr>
          <w:rFonts w:ascii="Times New Roman" w:hAnsi="Times New Roman"/>
          <w:sz w:val="24"/>
          <w:szCs w:val="24"/>
        </w:rPr>
        <w:t>ng</w:t>
      </w:r>
      <w:proofErr w:type="spellEnd"/>
      <w:r w:rsidRPr="00BD4E9A">
        <w:rPr>
          <w:rFonts w:ascii="Times New Roman" w:hAnsi="Times New Roman"/>
          <w:sz w:val="24"/>
          <w:szCs w:val="24"/>
        </w:rPr>
        <w:t xml:space="preserve">, the Court of Appeals of Texas, Fourteenth District held (3 to 0) that trial court improperly denied the City’s motion to dismiss that case.  The ambulance was transporting a stabbing victim, with red lights and siren, and because of heavy traffic moved to </w:t>
      </w:r>
      <w:proofErr w:type="gramStart"/>
      <w:r w:rsidRPr="00BD4E9A">
        <w:rPr>
          <w:rFonts w:ascii="Times New Roman" w:hAnsi="Times New Roman"/>
          <w:sz w:val="24"/>
          <w:szCs w:val="24"/>
        </w:rPr>
        <w:t>far left</w:t>
      </w:r>
      <w:proofErr w:type="gramEnd"/>
      <w:r w:rsidRPr="00BD4E9A">
        <w:rPr>
          <w:rFonts w:ascii="Times New Roman" w:hAnsi="Times New Roman"/>
          <w:sz w:val="24"/>
          <w:szCs w:val="24"/>
        </w:rPr>
        <w:t xml:space="preserve"> shoulder.  A police officer following the ambulance to the hospital observed plaintiff’s vehicle move from left lane into the shoulder area, colliding with the ambulance.  </w:t>
      </w:r>
      <w:hyperlink r:id="rId915" w:history="1">
        <w:r w:rsidRPr="00BD4E9A">
          <w:rPr>
            <w:rStyle w:val="Hyperlink"/>
            <w:rFonts w:ascii="Times New Roman" w:hAnsi="Times New Roman"/>
            <w:sz w:val="24"/>
            <w:szCs w:val="24"/>
          </w:rPr>
          <w:t>https://cases.justia.com/texas/fourteenth-court-of-appeals/2025-14-24-00251-cv.pdf?ts=1745499568</w:t>
        </w:r>
      </w:hyperlink>
      <w:r w:rsidRPr="00BD4E9A">
        <w:rPr>
          <w:rFonts w:ascii="Times New Roman" w:hAnsi="Times New Roman"/>
          <w:sz w:val="24"/>
          <w:szCs w:val="24"/>
        </w:rPr>
        <w:t xml:space="preserve"> </w:t>
      </w:r>
    </w:p>
    <w:p w14:paraId="209BF353" w14:textId="77777777" w:rsidR="00CB79E4" w:rsidRPr="00CB79E4" w:rsidRDefault="00CB79E4" w:rsidP="00CB79E4">
      <w:pPr>
        <w:pStyle w:val="NoSpacing"/>
        <w:rPr>
          <w:rFonts w:ascii="Times New Roman" w:hAnsi="Times New Roman"/>
          <w:b/>
          <w:bCs/>
          <w:sz w:val="24"/>
          <w:szCs w:val="24"/>
        </w:rPr>
      </w:pPr>
      <w:r w:rsidRPr="00CB79E4">
        <w:rPr>
          <w:rFonts w:ascii="Times New Roman" w:hAnsi="Times New Roman"/>
          <w:b/>
          <w:sz w:val="24"/>
          <w:szCs w:val="24"/>
        </w:rPr>
        <w:t xml:space="preserve">Legal Lesson Learned: Passing traffic on the left shoulder requires great care. </w:t>
      </w:r>
    </w:p>
    <w:p w14:paraId="19D28B26" w14:textId="77777777" w:rsidR="00CB79E4" w:rsidRDefault="00CB79E4" w:rsidP="00CB79E4">
      <w:pPr>
        <w:pStyle w:val="NoSpacing"/>
      </w:pPr>
    </w:p>
    <w:p w14:paraId="4285519A" w14:textId="77777777" w:rsidR="00AE1943" w:rsidRDefault="00AE1943" w:rsidP="00EF1133">
      <w:pPr>
        <w:rPr>
          <w:rFonts w:ascii="Arial Black" w:hAnsi="Arial Black"/>
          <w:b/>
          <w:sz w:val="24"/>
          <w:szCs w:val="24"/>
        </w:rPr>
      </w:pPr>
    </w:p>
    <w:p w14:paraId="62592726" w14:textId="4997C52F" w:rsidR="005758F6" w:rsidRDefault="005758F6" w:rsidP="00EF1133">
      <w:pPr>
        <w:rPr>
          <w:rFonts w:ascii="Arial Black" w:hAnsi="Arial Black"/>
          <w:b/>
          <w:sz w:val="24"/>
          <w:szCs w:val="24"/>
        </w:rPr>
      </w:pPr>
      <w:r>
        <w:rPr>
          <w:rFonts w:ascii="Arial Black" w:hAnsi="Arial Black"/>
          <w:b/>
          <w:sz w:val="24"/>
          <w:szCs w:val="24"/>
        </w:rPr>
        <w:t>5-50</w:t>
      </w:r>
    </w:p>
    <w:p w14:paraId="65BC6691" w14:textId="4A21B8D8" w:rsidR="00733BB2" w:rsidRPr="00486E8E" w:rsidRDefault="00733BB2" w:rsidP="00733BB2">
      <w:pPr>
        <w:rPr>
          <w:rFonts w:ascii="Arial Black" w:hAnsi="Arial Black"/>
          <w:bCs/>
          <w:sz w:val="28"/>
          <w:szCs w:val="28"/>
        </w:rPr>
      </w:pPr>
      <w:r>
        <w:rPr>
          <w:rFonts w:ascii="Arial Black" w:hAnsi="Arial Black"/>
          <w:sz w:val="28"/>
          <w:szCs w:val="28"/>
        </w:rPr>
        <w:t>IL: AMBUL</w:t>
      </w:r>
      <w:r w:rsidR="00C12BB0">
        <w:rPr>
          <w:rFonts w:ascii="Arial Black" w:hAnsi="Arial Black"/>
          <w:sz w:val="28"/>
          <w:szCs w:val="28"/>
        </w:rPr>
        <w:t xml:space="preserve"> - LIGHTS &amp; SIREN – DIDN’T </w:t>
      </w:r>
      <w:r>
        <w:rPr>
          <w:rFonts w:ascii="Arial Black" w:hAnsi="Arial Black"/>
          <w:bCs/>
          <w:sz w:val="28"/>
          <w:szCs w:val="28"/>
        </w:rPr>
        <w:t xml:space="preserve">STOP </w:t>
      </w:r>
      <w:r w:rsidR="00C12BB0">
        <w:rPr>
          <w:rFonts w:ascii="Arial Black" w:hAnsi="Arial Black"/>
          <w:bCs/>
          <w:sz w:val="28"/>
          <w:szCs w:val="28"/>
        </w:rPr>
        <w:t xml:space="preserve">AT </w:t>
      </w:r>
      <w:r>
        <w:rPr>
          <w:rFonts w:ascii="Arial Black" w:hAnsi="Arial Black"/>
          <w:sz w:val="28"/>
          <w:szCs w:val="28"/>
        </w:rPr>
        <w:t>STOP SIGN - IMMUNITY</w:t>
      </w:r>
    </w:p>
    <w:p w14:paraId="33EDCE6A" w14:textId="07B7C00A" w:rsidR="005758F6" w:rsidRPr="00733BB2" w:rsidRDefault="00733BB2" w:rsidP="00733BB2">
      <w:pPr>
        <w:rPr>
          <w:rFonts w:ascii="Times New Roman" w:hAnsi="Times New Roman"/>
          <w:b/>
          <w:sz w:val="24"/>
          <w:szCs w:val="24"/>
        </w:rPr>
      </w:pPr>
      <w:r w:rsidRPr="00733BB2">
        <w:rPr>
          <w:rFonts w:ascii="Times New Roman" w:hAnsi="Times New Roman"/>
          <w:sz w:val="24"/>
          <w:szCs w:val="24"/>
        </w:rPr>
        <w:t xml:space="preserve">On April 22, 2025, in </w:t>
      </w:r>
      <w:r w:rsidRPr="00733BB2">
        <w:rPr>
          <w:rFonts w:ascii="Times New Roman" w:hAnsi="Times New Roman"/>
          <w:sz w:val="24"/>
          <w:szCs w:val="24"/>
          <w:u w:val="single"/>
        </w:rPr>
        <w:t>GinaM. Postula v. Tyler D. Blackwell and City of LaSalle</w:t>
      </w:r>
      <w:r w:rsidRPr="00733BB2">
        <w:rPr>
          <w:rFonts w:ascii="Times New Roman" w:hAnsi="Times New Roman"/>
          <w:sz w:val="24"/>
          <w:szCs w:val="24"/>
        </w:rPr>
        <w:t xml:space="preserve">, the Court of Appeals of Illinois, Third District held (3 to 0) that trial court properly dismissed the lawsuit alleging negligent conduct by the ambulance EMT driver for not stopping at stop sign before entering intersection and striking side of plaintiff’s vehicle, causing personal injury.  The EMT had lights and siren </w:t>
      </w:r>
      <w:proofErr w:type="gramStart"/>
      <w:r w:rsidRPr="00733BB2">
        <w:rPr>
          <w:rFonts w:ascii="Times New Roman" w:hAnsi="Times New Roman"/>
          <w:sz w:val="24"/>
          <w:szCs w:val="24"/>
        </w:rPr>
        <w:t>activated, and</w:t>
      </w:r>
      <w:proofErr w:type="gramEnd"/>
      <w:r w:rsidRPr="00733BB2">
        <w:rPr>
          <w:rFonts w:ascii="Times New Roman" w:hAnsi="Times New Roman"/>
          <w:sz w:val="24"/>
          <w:szCs w:val="24"/>
        </w:rPr>
        <w:t xml:space="preserve"> slowed down before entering the intersection.  Under state law, emergency responders and their public employers have immunity on an emergency run, except for “willful or wanton conduct.”  The case was dismissed without pre-trial discovery, and trial court denied the plaintiff’s request to file an amended complaint alleging willful or wanton conduct, since prior case law has held that failure of emergency responder to stop at stop sign was not willful or wanton misconduct. </w:t>
      </w:r>
      <w:hyperlink r:id="rId916" w:history="1">
        <w:r w:rsidRPr="00733BB2">
          <w:rPr>
            <w:rStyle w:val="Hyperlink"/>
            <w:rFonts w:ascii="Times New Roman" w:hAnsi="Times New Roman"/>
            <w:sz w:val="24"/>
            <w:szCs w:val="24"/>
          </w:rPr>
          <w:t>https://ilcourtsaudio.blob.core.windows.net/antilles-resources/resources/95e9af0e-d4e6-4f14-9f68-6c313ea57cfa/Postula%20v.%20Blackard,%202025%20IL%20App%20(3d)%20240464-U.pdf</w:t>
        </w:r>
      </w:hyperlink>
    </w:p>
    <w:p w14:paraId="41ED5D04" w14:textId="77777777" w:rsidR="00AE1943" w:rsidRPr="00AE1943" w:rsidRDefault="00AE1943" w:rsidP="00AE1943">
      <w:pPr>
        <w:pStyle w:val="NoSpacing"/>
        <w:rPr>
          <w:rFonts w:ascii="Times New Roman" w:hAnsi="Times New Roman"/>
          <w:b/>
          <w:bCs/>
          <w:sz w:val="24"/>
          <w:szCs w:val="24"/>
        </w:rPr>
      </w:pPr>
      <w:r w:rsidRPr="00AE1943">
        <w:rPr>
          <w:rFonts w:ascii="Times New Roman" w:hAnsi="Times New Roman"/>
          <w:b/>
          <w:sz w:val="24"/>
          <w:szCs w:val="24"/>
        </w:rPr>
        <w:t xml:space="preserve">Legal Lesson Learned: </w:t>
      </w:r>
      <w:r w:rsidRPr="00AE1943">
        <w:rPr>
          <w:rFonts w:ascii="Times New Roman" w:hAnsi="Times New Roman"/>
          <w:b/>
          <w:bCs/>
          <w:sz w:val="24"/>
          <w:szCs w:val="24"/>
        </w:rPr>
        <w:t>While not required by law in most states, s</w:t>
      </w:r>
      <w:r w:rsidRPr="00AE1943">
        <w:rPr>
          <w:rFonts w:ascii="Times New Roman" w:hAnsi="Times New Roman"/>
          <w:b/>
          <w:sz w:val="24"/>
          <w:szCs w:val="24"/>
        </w:rPr>
        <w:t xml:space="preserve">ome fire and EMS departments have adopted a “full stop” policy for stop signs and red lights to help avoid personal injuries as occurred in this case. </w:t>
      </w:r>
    </w:p>
    <w:p w14:paraId="590E92E8" w14:textId="77777777" w:rsidR="005758F6" w:rsidRPr="00AE1943" w:rsidRDefault="005758F6" w:rsidP="00EF1133">
      <w:pPr>
        <w:rPr>
          <w:rFonts w:ascii="Times New Roman" w:hAnsi="Times New Roman"/>
          <w:b/>
          <w:sz w:val="24"/>
          <w:szCs w:val="24"/>
        </w:rPr>
      </w:pPr>
    </w:p>
    <w:p w14:paraId="5CE8CC4F" w14:textId="77777777" w:rsidR="00FA7646" w:rsidRDefault="00FA7646" w:rsidP="00EF1133">
      <w:pPr>
        <w:rPr>
          <w:rFonts w:ascii="Arial Black" w:hAnsi="Arial Black"/>
          <w:b/>
          <w:sz w:val="24"/>
          <w:szCs w:val="24"/>
        </w:rPr>
      </w:pPr>
    </w:p>
    <w:p w14:paraId="5EDA0975" w14:textId="113FD657" w:rsidR="002450F2" w:rsidRDefault="002450F2" w:rsidP="00EF1133">
      <w:pPr>
        <w:rPr>
          <w:rFonts w:ascii="Arial Black" w:hAnsi="Arial Black"/>
          <w:b/>
          <w:sz w:val="24"/>
          <w:szCs w:val="24"/>
        </w:rPr>
      </w:pPr>
      <w:r>
        <w:rPr>
          <w:rFonts w:ascii="Arial Black" w:hAnsi="Arial Black"/>
          <w:b/>
          <w:sz w:val="24"/>
          <w:szCs w:val="24"/>
        </w:rPr>
        <w:lastRenderedPageBreak/>
        <w:t>5-</w:t>
      </w:r>
      <w:r w:rsidR="002628DB">
        <w:rPr>
          <w:rFonts w:ascii="Arial Black" w:hAnsi="Arial Black"/>
          <w:b/>
          <w:sz w:val="24"/>
          <w:szCs w:val="24"/>
        </w:rPr>
        <w:t>49</w:t>
      </w:r>
    </w:p>
    <w:p w14:paraId="42588A92" w14:textId="77777777" w:rsidR="00583C7D" w:rsidRPr="0039171C" w:rsidRDefault="00583C7D" w:rsidP="00583C7D">
      <w:pPr>
        <w:rPr>
          <w:rFonts w:ascii="Arial Black" w:hAnsi="Arial Black"/>
          <w:b/>
          <w:sz w:val="28"/>
          <w:szCs w:val="28"/>
        </w:rPr>
      </w:pPr>
      <w:r>
        <w:rPr>
          <w:rFonts w:ascii="Arial Black" w:hAnsi="Arial Black"/>
          <w:b/>
          <w:sz w:val="28"/>
          <w:szCs w:val="28"/>
        </w:rPr>
        <w:t>NC: MOTORCYCLIST INTO ENGINE - TURNING – IMMUNITY</w:t>
      </w:r>
    </w:p>
    <w:p w14:paraId="59C8CB1E" w14:textId="77777777" w:rsidR="00583C7D" w:rsidRPr="00583C7D" w:rsidRDefault="00583C7D" w:rsidP="00583C7D">
      <w:pPr>
        <w:rPr>
          <w:rFonts w:ascii="Times New Roman" w:hAnsi="Times New Roman"/>
          <w:bCs/>
          <w:sz w:val="24"/>
          <w:szCs w:val="24"/>
        </w:rPr>
      </w:pPr>
      <w:r w:rsidRPr="00583C7D">
        <w:rPr>
          <w:rFonts w:ascii="Times New Roman" w:hAnsi="Times New Roman"/>
          <w:sz w:val="24"/>
          <w:szCs w:val="24"/>
        </w:rPr>
        <w:t xml:space="preserve">On April 16, 2025, in </w:t>
      </w:r>
      <w:r w:rsidRPr="00583C7D">
        <w:rPr>
          <w:rFonts w:ascii="Times New Roman" w:hAnsi="Times New Roman"/>
          <w:sz w:val="24"/>
          <w:szCs w:val="24"/>
          <w:u w:val="single"/>
        </w:rPr>
        <w:t>Robert Dustin Smith v. Teresa Lane, City of Raleigh Firefighter and City of Raleigh</w:t>
      </w:r>
      <w:r w:rsidRPr="00583C7D">
        <w:rPr>
          <w:rFonts w:ascii="Times New Roman" w:hAnsi="Times New Roman"/>
          <w:sz w:val="24"/>
          <w:szCs w:val="24"/>
        </w:rPr>
        <w:t xml:space="preserve">, the Court of Appeals of North Carolina held (3 to 0) that trial court judge improperly denied the defense motion to dismiss this lawsuit on basis of governmental immunity.  The immunity was not waived when the City purchased two excess insurance policies for combined total of $10 million.  On October 22, 2022, firefighter Teresa Lane was returning to Fire Station 9, and plaintiff was in right lane.  He claims that Lane moved from right lane to center </w:t>
      </w:r>
      <w:proofErr w:type="gramStart"/>
      <w:r w:rsidRPr="00583C7D">
        <w:rPr>
          <w:rFonts w:ascii="Times New Roman" w:hAnsi="Times New Roman"/>
          <w:sz w:val="24"/>
          <w:szCs w:val="24"/>
        </w:rPr>
        <w:t>lane, but</w:t>
      </w:r>
      <w:proofErr w:type="gramEnd"/>
      <w:r w:rsidRPr="00583C7D">
        <w:rPr>
          <w:rFonts w:ascii="Times New Roman" w:hAnsi="Times New Roman"/>
          <w:sz w:val="24"/>
          <w:szCs w:val="24"/>
        </w:rPr>
        <w:t xml:space="preserve"> went back to right lane pulling int the station without a signal; he crashed into the side of the engine, and sustained serious injuries, including amputation of one leg above the knee. </w:t>
      </w:r>
      <w:hyperlink r:id="rId917" w:history="1">
        <w:r w:rsidRPr="00583C7D">
          <w:rPr>
            <w:rStyle w:val="Hyperlink"/>
            <w:rFonts w:ascii="Times New Roman" w:hAnsi="Times New Roman"/>
            <w:sz w:val="24"/>
            <w:szCs w:val="24"/>
          </w:rPr>
          <w:t>https://cases.justia.com/north-carolina/court-of-appeals/2025-24-790.pdf?ts=1744808209</w:t>
        </w:r>
      </w:hyperlink>
      <w:r w:rsidRPr="00583C7D">
        <w:rPr>
          <w:rFonts w:ascii="Times New Roman" w:hAnsi="Times New Roman"/>
          <w:sz w:val="24"/>
          <w:szCs w:val="24"/>
        </w:rPr>
        <w:t xml:space="preserve"> </w:t>
      </w:r>
    </w:p>
    <w:p w14:paraId="503A1096" w14:textId="77777777" w:rsidR="00EE5744" w:rsidRPr="00EE5744" w:rsidRDefault="00EE5744" w:rsidP="00EE5744">
      <w:pPr>
        <w:pStyle w:val="NoSpacing"/>
        <w:rPr>
          <w:rFonts w:ascii="Times New Roman" w:hAnsi="Times New Roman"/>
          <w:b/>
          <w:sz w:val="24"/>
          <w:szCs w:val="24"/>
        </w:rPr>
      </w:pPr>
      <w:r w:rsidRPr="00EE5744">
        <w:rPr>
          <w:rFonts w:ascii="Times New Roman" w:hAnsi="Times New Roman"/>
          <w:b/>
          <w:sz w:val="24"/>
          <w:szCs w:val="24"/>
        </w:rPr>
        <w:t xml:space="preserve">Legal Lesson Learned: Governmental immunity continues even if city has purchased  excess insurance policies.   </w:t>
      </w:r>
    </w:p>
    <w:p w14:paraId="5E9B277A" w14:textId="77777777" w:rsidR="00EE5744" w:rsidRDefault="00EE5744" w:rsidP="00EE5744">
      <w:pPr>
        <w:pStyle w:val="NoSpacing"/>
      </w:pPr>
    </w:p>
    <w:p w14:paraId="2400C48D" w14:textId="77777777" w:rsidR="002450F2" w:rsidRDefault="002450F2" w:rsidP="00EF1133">
      <w:pPr>
        <w:rPr>
          <w:rFonts w:ascii="Arial Black" w:hAnsi="Arial Black"/>
          <w:b/>
          <w:sz w:val="24"/>
          <w:szCs w:val="24"/>
        </w:rPr>
      </w:pPr>
    </w:p>
    <w:p w14:paraId="0F1164BD" w14:textId="6DA9BE91" w:rsidR="00AB3819" w:rsidRDefault="00AB3819" w:rsidP="00EF1133">
      <w:pPr>
        <w:rPr>
          <w:rFonts w:ascii="Arial Black" w:hAnsi="Arial Black"/>
          <w:b/>
          <w:sz w:val="24"/>
          <w:szCs w:val="24"/>
        </w:rPr>
      </w:pPr>
      <w:r>
        <w:rPr>
          <w:rFonts w:ascii="Arial Black" w:hAnsi="Arial Black"/>
          <w:b/>
          <w:sz w:val="24"/>
          <w:szCs w:val="24"/>
        </w:rPr>
        <w:t>5-48</w:t>
      </w:r>
    </w:p>
    <w:p w14:paraId="16CD5A42" w14:textId="77777777" w:rsidR="00AB3819" w:rsidRPr="000D3550" w:rsidRDefault="00AB3819" w:rsidP="00AB3819">
      <w:pPr>
        <w:rPr>
          <w:rFonts w:ascii="Arial Black" w:hAnsi="Arial Black"/>
          <w:bCs/>
          <w:sz w:val="28"/>
          <w:szCs w:val="28"/>
        </w:rPr>
      </w:pPr>
      <w:r>
        <w:rPr>
          <w:rFonts w:ascii="Arial Black" w:hAnsi="Arial Black"/>
          <w:sz w:val="28"/>
          <w:szCs w:val="28"/>
        </w:rPr>
        <w:t>OH: “HONOR RIDE” – CIVILIAN FALLS OUT ENGINE - DIED</w:t>
      </w:r>
    </w:p>
    <w:p w14:paraId="5F0C421C" w14:textId="77777777" w:rsidR="00AB3819" w:rsidRPr="00AB3819" w:rsidRDefault="00AB3819" w:rsidP="00AB3819">
      <w:pPr>
        <w:pStyle w:val="NoSpacing"/>
        <w:rPr>
          <w:rFonts w:ascii="Times New Roman" w:hAnsi="Times New Roman"/>
          <w:bCs/>
          <w:sz w:val="24"/>
          <w:szCs w:val="24"/>
        </w:rPr>
      </w:pPr>
      <w:r w:rsidRPr="00AB3819">
        <w:rPr>
          <w:rFonts w:ascii="Times New Roman" w:hAnsi="Times New Roman"/>
          <w:sz w:val="24"/>
          <w:szCs w:val="24"/>
        </w:rPr>
        <w:t xml:space="preserve">On Jan. 23, 2025, in </w:t>
      </w:r>
      <w:r w:rsidRPr="00AB3819">
        <w:rPr>
          <w:rFonts w:ascii="Times New Roman" w:hAnsi="Times New Roman"/>
          <w:sz w:val="24"/>
          <w:szCs w:val="24"/>
          <w:u w:val="single"/>
        </w:rPr>
        <w:t xml:space="preserve">Amanda Luke, Administrator of the Estate of Marguerite Appel v. Short Creek Joint Fire </w:t>
      </w:r>
      <w:proofErr w:type="spellStart"/>
      <w:r w:rsidRPr="00AB3819">
        <w:rPr>
          <w:rFonts w:ascii="Times New Roman" w:hAnsi="Times New Roman"/>
          <w:sz w:val="24"/>
          <w:szCs w:val="24"/>
          <w:u w:val="single"/>
        </w:rPr>
        <w:t>District,et</w:t>
      </w:r>
      <w:proofErr w:type="spellEnd"/>
      <w:r w:rsidRPr="00AB3819">
        <w:rPr>
          <w:rFonts w:ascii="Times New Roman" w:hAnsi="Times New Roman"/>
          <w:sz w:val="24"/>
          <w:szCs w:val="24"/>
          <w:u w:val="single"/>
        </w:rPr>
        <w:t xml:space="preserve"> al</w:t>
      </w:r>
      <w:r w:rsidRPr="00AB3819">
        <w:rPr>
          <w:rFonts w:ascii="Times New Roman" w:hAnsi="Times New Roman"/>
          <w:sz w:val="24"/>
          <w:szCs w:val="24"/>
        </w:rPr>
        <w:t xml:space="preserve">., the Court of Appeals of Ohio, Seventh District (Jefferson County) held (2 to 1) that trial court should have dismissed the firefighters, the Fire District and the political subdivisions served by the joint Fire District in the death of civilian who fell out of rear of engine during honor ride of her step-brother (former Fire Chief).   The deceased voluntarily rode in crowded back seat of the engine without a seat belt and encouraged more passengers to enter and take the empty seat. A man crying at the scene who had been in the fire truck told the Deputy Fire Chief that Ms. Appel was standing holding the door and she grabbed the wrong handle. There was no proof of negligence in operating the engine (15-25 mph), and the driver and other firefighters who allowed crowded engine were not “reckless.” </w:t>
      </w:r>
      <w:hyperlink r:id="rId918" w:history="1">
        <w:r w:rsidRPr="00AB3819">
          <w:rPr>
            <w:rStyle w:val="Hyperlink"/>
            <w:rFonts w:ascii="Times New Roman" w:hAnsi="Times New Roman"/>
            <w:sz w:val="24"/>
            <w:szCs w:val="24"/>
          </w:rPr>
          <w:t>https://www.supremecourt.ohio.gov/rod/docs/pdf/7/2025/2025-Ohio-203.pdf</w:t>
        </w:r>
      </w:hyperlink>
      <w:r w:rsidRPr="00AB3819">
        <w:rPr>
          <w:rFonts w:ascii="Times New Roman" w:hAnsi="Times New Roman"/>
          <w:sz w:val="24"/>
          <w:szCs w:val="24"/>
        </w:rPr>
        <w:t xml:space="preserve"> </w:t>
      </w:r>
    </w:p>
    <w:p w14:paraId="7451057C" w14:textId="77777777" w:rsidR="00AB3819" w:rsidRPr="00AB3819" w:rsidRDefault="00AB3819" w:rsidP="00AB3819">
      <w:pPr>
        <w:rPr>
          <w:rFonts w:ascii="Times New Roman" w:hAnsi="Times New Roman"/>
          <w:bCs/>
          <w:sz w:val="24"/>
          <w:szCs w:val="24"/>
        </w:rPr>
      </w:pPr>
    </w:p>
    <w:p w14:paraId="634C53AA" w14:textId="77777777" w:rsidR="00AB3819" w:rsidRPr="00AB3819" w:rsidRDefault="00AB3819" w:rsidP="00AB3819">
      <w:pPr>
        <w:rPr>
          <w:rFonts w:ascii="Times New Roman" w:hAnsi="Times New Roman"/>
          <w:bCs/>
          <w:sz w:val="24"/>
          <w:szCs w:val="24"/>
        </w:rPr>
      </w:pPr>
      <w:r w:rsidRPr="00AB3819">
        <w:rPr>
          <w:rFonts w:ascii="Times New Roman" w:hAnsi="Times New Roman"/>
          <w:sz w:val="24"/>
          <w:szCs w:val="24"/>
        </w:rPr>
        <w:t>The Court wrote:</w:t>
      </w:r>
    </w:p>
    <w:p w14:paraId="02329713"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 xml:space="preserve">“Defendants-Appellants Short Creek Joint Fire District and two employees appeal the decision of the Jefferson County Common Pleas Court denying their motion for summary judgment. They claimed immunity in the lawsuit filed by Appellee Amanda Luke, individually and as administrator of the Estate of Marguerite Appel (the decedent)…. The political subdivision [which is served by the Fire District] argues there was no evidence of negligence as required for the immunity exceptions involving the operation of a motor vehicle or the performance of a proprietary function, arguing there was no breach of </w:t>
      </w:r>
      <w:proofErr w:type="gramStart"/>
      <w:r w:rsidRPr="00AB3819">
        <w:rPr>
          <w:rFonts w:ascii="Times New Roman" w:hAnsi="Times New Roman"/>
          <w:sz w:val="24"/>
          <w:szCs w:val="24"/>
        </w:rPr>
        <w:t>a duty</w:t>
      </w:r>
      <w:proofErr w:type="gramEnd"/>
      <w:r w:rsidRPr="00AB3819">
        <w:rPr>
          <w:rFonts w:ascii="Times New Roman" w:hAnsi="Times New Roman"/>
          <w:sz w:val="24"/>
          <w:szCs w:val="24"/>
        </w:rPr>
        <w:t xml:space="preserve"> that proximately caused the decedent’s injury. In arguing the lack of duty for negligence, the political subdivision emphasizes the primary assumption of the risk doctrine and argues there was no showing of recklessness as required to defeat the doctrine. We agree and find the political subdivision was entitled to summary judgment….The employees contend they are immune because their performance was not reckless as required to invoke the recklessness exception to employee immunity. It is also argued their performance was not manifestly outside the scope of employment, while pointing out this exception was not invoked by Appellee below. We agree and find the employees were entitled to summary judgment.</w:t>
      </w:r>
    </w:p>
    <w:p w14:paraId="69DA601C" w14:textId="77777777" w:rsidR="00AB3819" w:rsidRPr="00AB3819" w:rsidRDefault="00AB3819" w:rsidP="00AB3819">
      <w:pPr>
        <w:pStyle w:val="NoSpacing"/>
        <w:ind w:left="720"/>
        <w:rPr>
          <w:rFonts w:ascii="Times New Roman" w:hAnsi="Times New Roman"/>
          <w:bCs/>
          <w:sz w:val="24"/>
          <w:szCs w:val="24"/>
        </w:rPr>
      </w:pPr>
    </w:p>
    <w:p w14:paraId="79A5F274"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t>
      </w:r>
    </w:p>
    <w:p w14:paraId="6E534CA4" w14:textId="77777777" w:rsidR="00AB3819" w:rsidRPr="00AB3819" w:rsidRDefault="00AB3819" w:rsidP="00AB3819">
      <w:pPr>
        <w:pStyle w:val="NoSpacing"/>
        <w:ind w:left="720"/>
        <w:rPr>
          <w:rFonts w:ascii="Times New Roman" w:hAnsi="Times New Roman"/>
          <w:bCs/>
          <w:sz w:val="24"/>
          <w:szCs w:val="24"/>
        </w:rPr>
      </w:pPr>
    </w:p>
    <w:p w14:paraId="0CB01D34"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 xml:space="preserve">Chief Manbeck noted the department provided civilian rides in the past, such as driving the youth baseball team in a small parade when they won a championship and the softball team for a similar reason; Spiderman also rode in a fire truck for </w:t>
      </w:r>
      <w:proofErr w:type="gramStart"/>
      <w:r w:rsidRPr="00AB3819">
        <w:rPr>
          <w:rFonts w:ascii="Times New Roman" w:hAnsi="Times New Roman"/>
          <w:sz w:val="24"/>
          <w:szCs w:val="24"/>
        </w:rPr>
        <w:t>a Fourth</w:t>
      </w:r>
      <w:proofErr w:type="gramEnd"/>
      <w:r w:rsidRPr="00AB3819">
        <w:rPr>
          <w:rFonts w:ascii="Times New Roman" w:hAnsi="Times New Roman"/>
          <w:sz w:val="24"/>
          <w:szCs w:val="24"/>
        </w:rPr>
        <w:t xml:space="preserve"> of July parade. He was also aware such services were provided by one of the prior fire districts before the merger into a joint district…. He said SCJFD had no specific policy on civilian rides, seat belts, or abiding by recommendations from a named publication….He pointed out state law does not require seat belts for backseat passengers and it is legal to sit on the floor in the back of the truck, regardless of what a manufacturer’s warning label states. </w:t>
      </w:r>
    </w:p>
    <w:p w14:paraId="5B5CFD79" w14:textId="77777777" w:rsidR="00AB3819" w:rsidRPr="00AB3819" w:rsidRDefault="00AB3819" w:rsidP="00AB3819">
      <w:pPr>
        <w:pStyle w:val="NoSpacing"/>
        <w:ind w:left="720"/>
        <w:rPr>
          <w:rFonts w:ascii="Times New Roman" w:hAnsi="Times New Roman"/>
          <w:bCs/>
          <w:sz w:val="24"/>
          <w:szCs w:val="24"/>
        </w:rPr>
      </w:pPr>
    </w:p>
    <w:p w14:paraId="197503E5"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t>
      </w:r>
    </w:p>
    <w:p w14:paraId="3923221D" w14:textId="77777777" w:rsidR="00AB3819" w:rsidRPr="00AB3819" w:rsidRDefault="00AB3819" w:rsidP="00AB3819">
      <w:pPr>
        <w:pStyle w:val="NoSpacing"/>
        <w:ind w:left="720"/>
        <w:rPr>
          <w:rFonts w:ascii="Times New Roman" w:hAnsi="Times New Roman"/>
          <w:bCs/>
          <w:sz w:val="24"/>
          <w:szCs w:val="24"/>
        </w:rPr>
      </w:pPr>
    </w:p>
    <w:p w14:paraId="13E075AD" w14:textId="77777777" w:rsidR="00AB3819" w:rsidRPr="00AB3819" w:rsidRDefault="00AB3819" w:rsidP="00AB3819">
      <w:pPr>
        <w:pStyle w:val="NoSpacing"/>
        <w:ind w:left="720"/>
        <w:rPr>
          <w:rFonts w:ascii="Times New Roman" w:hAnsi="Times New Roman"/>
          <w:bCs/>
          <w:i/>
          <w:iCs/>
          <w:sz w:val="24"/>
          <w:szCs w:val="24"/>
        </w:rPr>
      </w:pPr>
      <w:r w:rsidRPr="00AB3819">
        <w:rPr>
          <w:rFonts w:ascii="Times New Roman" w:hAnsi="Times New Roman"/>
          <w:i/>
          <w:iCs/>
          <w:sz w:val="24"/>
          <w:szCs w:val="24"/>
        </w:rPr>
        <w:t xml:space="preserve">At the very least, these riders assume the risks of normal driving movements incurred </w:t>
      </w:r>
      <w:proofErr w:type="gramStart"/>
      <w:r w:rsidRPr="00AB3819">
        <w:rPr>
          <w:rFonts w:ascii="Times New Roman" w:hAnsi="Times New Roman"/>
          <w:i/>
          <w:iCs/>
          <w:sz w:val="24"/>
          <w:szCs w:val="24"/>
        </w:rPr>
        <w:t>as a result of</w:t>
      </w:r>
      <w:proofErr w:type="gramEnd"/>
      <w:r w:rsidRPr="00AB3819">
        <w:rPr>
          <w:rFonts w:ascii="Times New Roman" w:hAnsi="Times New Roman"/>
          <w:i/>
          <w:iCs/>
          <w:sz w:val="24"/>
          <w:szCs w:val="24"/>
        </w:rPr>
        <w:t xml:space="preserve"> the position they placed themselves, even if they do not assume the risk of abnormal driving movements. [Emphasis in court decision.]</w:t>
      </w:r>
    </w:p>
    <w:p w14:paraId="250F17BC" w14:textId="77777777" w:rsidR="00AB3819" w:rsidRPr="00AB3819" w:rsidRDefault="00AB3819" w:rsidP="00AB3819">
      <w:pPr>
        <w:pStyle w:val="NoSpacing"/>
        <w:ind w:left="720"/>
        <w:rPr>
          <w:rFonts w:ascii="Times New Roman" w:hAnsi="Times New Roman"/>
          <w:bCs/>
          <w:i/>
          <w:iCs/>
          <w:sz w:val="24"/>
          <w:szCs w:val="24"/>
        </w:rPr>
      </w:pPr>
    </w:p>
    <w:p w14:paraId="4F0E4F61"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t>
      </w:r>
    </w:p>
    <w:p w14:paraId="73080C09" w14:textId="77777777" w:rsidR="00AB3819" w:rsidRPr="00AB3819" w:rsidRDefault="00AB3819" w:rsidP="00AB3819">
      <w:pPr>
        <w:pStyle w:val="NoSpacing"/>
        <w:ind w:left="720"/>
        <w:rPr>
          <w:rFonts w:ascii="Times New Roman" w:hAnsi="Times New Roman"/>
          <w:bCs/>
          <w:sz w:val="24"/>
          <w:szCs w:val="24"/>
        </w:rPr>
      </w:pPr>
    </w:p>
    <w:p w14:paraId="16C2A045"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We conclude a person voluntarily riding in a crowded fire truck after choosing to occupy the space by the door without a seat or seat belt and then encouraging more passengers to enter instead of taking the empty seat, primarily assumes the specific risk of falling out if they lean on the door as the truck navigates a curve after the door handle is accidentally activated by the plaintiff (or another person).”</w:t>
      </w:r>
    </w:p>
    <w:p w14:paraId="438B393A" w14:textId="77777777" w:rsidR="00AB3819" w:rsidRPr="00AB3819" w:rsidRDefault="00AB3819" w:rsidP="00AB3819">
      <w:pPr>
        <w:pStyle w:val="NoSpacing"/>
        <w:ind w:left="720"/>
        <w:rPr>
          <w:rFonts w:ascii="Times New Roman" w:hAnsi="Times New Roman"/>
          <w:bCs/>
          <w:sz w:val="24"/>
          <w:szCs w:val="24"/>
        </w:rPr>
      </w:pPr>
    </w:p>
    <w:p w14:paraId="4F1F4ED2" w14:textId="77777777" w:rsidR="00AB3819" w:rsidRPr="00AB3819" w:rsidRDefault="00AB3819" w:rsidP="00AB3819">
      <w:pPr>
        <w:pStyle w:val="NoSpacing"/>
        <w:rPr>
          <w:rFonts w:ascii="Times New Roman" w:hAnsi="Times New Roman"/>
          <w:bCs/>
          <w:sz w:val="24"/>
          <w:szCs w:val="24"/>
        </w:rPr>
      </w:pPr>
      <w:r w:rsidRPr="00AB3819">
        <w:rPr>
          <w:rFonts w:ascii="Times New Roman" w:hAnsi="Times New Roman"/>
          <w:sz w:val="24"/>
          <w:szCs w:val="24"/>
        </w:rPr>
        <w:t>Dissent:</w:t>
      </w:r>
    </w:p>
    <w:p w14:paraId="7F1FA594" w14:textId="77777777" w:rsidR="00AB3819" w:rsidRPr="00AB3819" w:rsidRDefault="00AB3819" w:rsidP="00AB3819">
      <w:pPr>
        <w:pStyle w:val="NoSpacing"/>
        <w:rPr>
          <w:rFonts w:ascii="Times New Roman" w:hAnsi="Times New Roman"/>
          <w:bCs/>
          <w:sz w:val="24"/>
          <w:szCs w:val="24"/>
        </w:rPr>
      </w:pPr>
    </w:p>
    <w:p w14:paraId="7C20100E"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“I would find that Appellants owed Ms. Appel a general duty of care to ensure her</w:t>
      </w:r>
    </w:p>
    <w:p w14:paraId="7514DB80"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safety on the firetruck after John Sebring, a volunteer firefighter, encouraged her to board</w:t>
      </w:r>
    </w:p>
    <w:p w14:paraId="3C35A56D"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 xml:space="preserve">the firetruck after Ms. Appel expressed concern about the overcrowding on the </w:t>
      </w:r>
      <w:proofErr w:type="gramStart"/>
      <w:r w:rsidRPr="00AB3819">
        <w:rPr>
          <w:rFonts w:ascii="Times New Roman" w:hAnsi="Times New Roman"/>
          <w:sz w:val="24"/>
          <w:szCs w:val="24"/>
        </w:rPr>
        <w:t>truck.}</w:t>
      </w:r>
      <w:proofErr w:type="gramEnd"/>
    </w:p>
    <w:p w14:paraId="71181E09" w14:textId="77777777" w:rsidR="00AB3819" w:rsidRPr="00AB3819" w:rsidRDefault="00AB3819" w:rsidP="00AB3819">
      <w:pPr>
        <w:pStyle w:val="NoSpacing"/>
        <w:ind w:left="720"/>
        <w:rPr>
          <w:rFonts w:ascii="Times New Roman" w:hAnsi="Times New Roman"/>
          <w:bCs/>
          <w:sz w:val="24"/>
          <w:szCs w:val="24"/>
        </w:rPr>
      </w:pPr>
    </w:p>
    <w:p w14:paraId="45453E7F" w14:textId="77777777" w:rsidR="00AB3819" w:rsidRPr="00AB3819" w:rsidRDefault="00AB3819" w:rsidP="00AB3819">
      <w:pPr>
        <w:pStyle w:val="NoSpacing"/>
        <w:rPr>
          <w:rFonts w:ascii="Times New Roman" w:hAnsi="Times New Roman"/>
          <w:b/>
          <w:sz w:val="24"/>
          <w:szCs w:val="24"/>
        </w:rPr>
      </w:pPr>
      <w:r w:rsidRPr="00AB3819">
        <w:rPr>
          <w:rFonts w:ascii="Times New Roman" w:hAnsi="Times New Roman"/>
          <w:b/>
          <w:sz w:val="24"/>
          <w:szCs w:val="24"/>
        </w:rPr>
        <w:t xml:space="preserve">Legal Lesson Learned: Tragic event that could have been avoided.  Civilians or firefighters riding in a fire engine should all be using seat belts. </w:t>
      </w:r>
    </w:p>
    <w:p w14:paraId="5C0DC1B6" w14:textId="77777777" w:rsidR="00AB3819" w:rsidRDefault="00AB3819" w:rsidP="00EF1133">
      <w:pPr>
        <w:rPr>
          <w:rFonts w:ascii="Arial Black" w:hAnsi="Arial Black"/>
          <w:b/>
          <w:sz w:val="24"/>
          <w:szCs w:val="24"/>
        </w:rPr>
      </w:pPr>
    </w:p>
    <w:p w14:paraId="59DCA56B" w14:textId="77777777" w:rsidR="00AB3819" w:rsidRDefault="00AB3819" w:rsidP="00EF1133">
      <w:pPr>
        <w:rPr>
          <w:rFonts w:ascii="Arial Black" w:hAnsi="Arial Black"/>
          <w:b/>
          <w:sz w:val="24"/>
          <w:szCs w:val="24"/>
        </w:rPr>
      </w:pPr>
    </w:p>
    <w:p w14:paraId="4CD383B4" w14:textId="77777777" w:rsidR="00AB3819" w:rsidRDefault="00AB3819" w:rsidP="00EF1133">
      <w:pPr>
        <w:rPr>
          <w:rFonts w:ascii="Arial Black" w:hAnsi="Arial Black"/>
          <w:b/>
          <w:sz w:val="24"/>
          <w:szCs w:val="24"/>
        </w:rPr>
      </w:pPr>
    </w:p>
    <w:p w14:paraId="47AD33CA" w14:textId="00C2D0DE" w:rsidR="00DE42DC" w:rsidRDefault="000B228A" w:rsidP="00EF1133">
      <w:pPr>
        <w:rPr>
          <w:rFonts w:ascii="Arial Black" w:hAnsi="Arial Black"/>
          <w:b/>
          <w:sz w:val="24"/>
          <w:szCs w:val="24"/>
        </w:rPr>
      </w:pPr>
      <w:r>
        <w:rPr>
          <w:rFonts w:ascii="Arial Black" w:hAnsi="Arial Black"/>
          <w:b/>
          <w:sz w:val="24"/>
          <w:szCs w:val="24"/>
        </w:rPr>
        <w:t>5-47</w:t>
      </w:r>
    </w:p>
    <w:p w14:paraId="1BFE0B0E" w14:textId="77777777" w:rsidR="00243663" w:rsidRDefault="00243663" w:rsidP="00243663">
      <w:pPr>
        <w:pStyle w:val="NoSpacing"/>
        <w:rPr>
          <w:rFonts w:ascii="Arial Black" w:hAnsi="Arial Black"/>
          <w:b/>
          <w:sz w:val="28"/>
          <w:szCs w:val="28"/>
        </w:rPr>
      </w:pPr>
      <w:r>
        <w:rPr>
          <w:rFonts w:ascii="Arial Black" w:hAnsi="Arial Black"/>
          <w:b/>
          <w:sz w:val="28"/>
          <w:szCs w:val="28"/>
        </w:rPr>
        <w:t xml:space="preserve">CA: MOTORCYCLIST KILLED – COLLISION FIRE ENGINE – PL’S EXPERT - FD CAPTAIN / RELATIVE  - MAY TESTIFY </w:t>
      </w:r>
    </w:p>
    <w:p w14:paraId="7BFAD992" w14:textId="77777777" w:rsidR="00243663" w:rsidRDefault="00243663" w:rsidP="00243663">
      <w:pPr>
        <w:pStyle w:val="NoSpacing"/>
        <w:rPr>
          <w:rFonts w:ascii="Arial Black" w:hAnsi="Arial Black"/>
          <w:b/>
          <w:sz w:val="28"/>
          <w:szCs w:val="28"/>
        </w:rPr>
      </w:pPr>
    </w:p>
    <w:p w14:paraId="6179ACCC" w14:textId="77777777" w:rsidR="00243663" w:rsidRPr="00127BCE" w:rsidRDefault="00243663" w:rsidP="00243663">
      <w:pPr>
        <w:pStyle w:val="NoSpacing"/>
        <w:rPr>
          <w:rFonts w:ascii="Times New Roman" w:hAnsi="Times New Roman"/>
          <w:sz w:val="24"/>
          <w:szCs w:val="24"/>
        </w:rPr>
      </w:pPr>
      <w:r w:rsidRPr="00127BCE">
        <w:rPr>
          <w:rFonts w:ascii="Times New Roman" w:hAnsi="Times New Roman"/>
          <w:sz w:val="24"/>
          <w:szCs w:val="24"/>
        </w:rPr>
        <w:t xml:space="preserve">On Nov. 7, 2024, in </w:t>
      </w:r>
      <w:r w:rsidRPr="00127BCE">
        <w:rPr>
          <w:rFonts w:ascii="Times New Roman" w:hAnsi="Times New Roman"/>
          <w:sz w:val="24"/>
          <w:szCs w:val="24"/>
          <w:u w:val="single"/>
        </w:rPr>
        <w:t>Carol Leigh Kneeshaw v. The Superior Court of Orange County; and City of Orange (Real Party in Interest</w:t>
      </w:r>
      <w:r w:rsidRPr="00127BCE">
        <w:rPr>
          <w:rFonts w:ascii="Times New Roman" w:hAnsi="Times New Roman"/>
          <w:sz w:val="24"/>
          <w:szCs w:val="24"/>
        </w:rPr>
        <w:t xml:space="preserve">), the California Court of Appeal, Fourth District, Division 3, held (3 to 0; unpublished decision) that trial court improperly excluded the Fire Captain as an expert witness for the plaintiff.  The </w:t>
      </w:r>
      <w:proofErr w:type="gramStart"/>
      <w:r w:rsidRPr="00127BCE">
        <w:rPr>
          <w:rFonts w:ascii="Times New Roman" w:hAnsi="Times New Roman"/>
          <w:sz w:val="24"/>
          <w:szCs w:val="24"/>
        </w:rPr>
        <w:t>Captain</w:t>
      </w:r>
      <w:proofErr w:type="gramEnd"/>
      <w:r w:rsidRPr="00127BCE">
        <w:rPr>
          <w:rFonts w:ascii="Times New Roman" w:hAnsi="Times New Roman"/>
          <w:sz w:val="24"/>
          <w:szCs w:val="24"/>
        </w:rPr>
        <w:t xml:space="preserve"> is also brother of the son-in-law of Christian Bardales, petitioner's co-plaintiff.  “There can be no question that Buford's basic credentials are sufficient to qualify him as an expert witness on the capabilities and operation of fire engines. While questions can be raised as to his methodology, the proper remedy is either cross-examination or a limitation on his testimony, not wholesale exclusion. Nor is bias arising from a distant </w:t>
      </w:r>
      <w:r w:rsidRPr="00127BCE">
        <w:rPr>
          <w:rFonts w:ascii="Times New Roman" w:hAnsi="Times New Roman"/>
          <w:sz w:val="24"/>
          <w:szCs w:val="24"/>
        </w:rPr>
        <w:lastRenderedPageBreak/>
        <w:t xml:space="preserve">familial relationship an adequate reason to exclude Buford. *** The opinions ultimately offered by Buford were that ‘the fire apparatus is not capable of making [the] maneuver described by the engine crew,’ ‘the fire apparatus is capable of making the maneuver that [certain third party witnesses] described,’ and ‘the fire apparatus is capable of making [the maneuver described by the accident reconstructionist], yet it's outside of standard operating procedures.’” </w:t>
      </w:r>
      <w:hyperlink r:id="rId919" w:history="1">
        <w:r w:rsidRPr="00127BCE">
          <w:rPr>
            <w:rStyle w:val="Hyperlink"/>
            <w:rFonts w:ascii="Times New Roman" w:hAnsi="Times New Roman"/>
            <w:sz w:val="24"/>
            <w:szCs w:val="24"/>
          </w:rPr>
          <w:t>https://casetext.com/case/kneeshaw-v-the-superior-court-of-orange-cnty</w:t>
        </w:r>
      </w:hyperlink>
      <w:r w:rsidRPr="00127BCE">
        <w:rPr>
          <w:rFonts w:ascii="Times New Roman" w:hAnsi="Times New Roman"/>
          <w:sz w:val="24"/>
          <w:szCs w:val="24"/>
        </w:rPr>
        <w:t xml:space="preserve"> </w:t>
      </w:r>
    </w:p>
    <w:p w14:paraId="23655509" w14:textId="77777777" w:rsidR="000B228A" w:rsidRPr="00127BCE" w:rsidRDefault="000B228A" w:rsidP="000B228A">
      <w:pPr>
        <w:pStyle w:val="NoSpacing"/>
        <w:rPr>
          <w:rFonts w:ascii="Times New Roman" w:hAnsi="Times New Roman"/>
          <w:sz w:val="24"/>
          <w:szCs w:val="24"/>
        </w:rPr>
      </w:pPr>
    </w:p>
    <w:p w14:paraId="5AF33DDB" w14:textId="77777777" w:rsidR="00127BCE" w:rsidRPr="00127BCE" w:rsidRDefault="00127BCE" w:rsidP="00127BCE">
      <w:pPr>
        <w:pStyle w:val="NoSpacing"/>
        <w:rPr>
          <w:rFonts w:ascii="Times New Roman" w:hAnsi="Times New Roman"/>
          <w:b/>
          <w:bCs/>
          <w:sz w:val="24"/>
          <w:szCs w:val="24"/>
        </w:rPr>
      </w:pPr>
      <w:r w:rsidRPr="00127BCE">
        <w:rPr>
          <w:rFonts w:ascii="Times New Roman" w:hAnsi="Times New Roman"/>
          <w:b/>
          <w:sz w:val="24"/>
          <w:szCs w:val="24"/>
        </w:rPr>
        <w:t xml:space="preserve">Legal Lesson Learned: A fire captain who is a certified instructor of Type 1 fire engines may testify as an expert witness (and offer his opinions), even if he is a distant relative to the plaintiffs. </w:t>
      </w:r>
    </w:p>
    <w:p w14:paraId="4098F225" w14:textId="77777777" w:rsidR="00127BCE" w:rsidRPr="00127BCE" w:rsidRDefault="00127BCE" w:rsidP="00127BCE">
      <w:pPr>
        <w:pStyle w:val="NoSpacing"/>
        <w:ind w:left="720"/>
        <w:rPr>
          <w:rFonts w:ascii="Times New Roman" w:hAnsi="Times New Roman"/>
          <w:bCs/>
          <w:sz w:val="24"/>
          <w:szCs w:val="24"/>
        </w:rPr>
      </w:pPr>
    </w:p>
    <w:p w14:paraId="468E4B62" w14:textId="77777777" w:rsidR="00127BCE" w:rsidRPr="00127BCE" w:rsidRDefault="00127BCE" w:rsidP="00127BCE">
      <w:pPr>
        <w:pStyle w:val="NoSpacing"/>
        <w:ind w:left="720"/>
        <w:rPr>
          <w:rFonts w:ascii="Times New Roman" w:hAnsi="Times New Roman"/>
          <w:sz w:val="24"/>
          <w:szCs w:val="24"/>
        </w:rPr>
      </w:pPr>
      <w:r w:rsidRPr="00127BCE">
        <w:rPr>
          <w:rFonts w:ascii="Times New Roman" w:hAnsi="Times New Roman"/>
          <w:sz w:val="24"/>
          <w:szCs w:val="24"/>
        </w:rPr>
        <w:t xml:space="preserve">Note: See this article and video; this appears to be the same incident as this case. </w:t>
      </w:r>
    </w:p>
    <w:p w14:paraId="5BEED58D" w14:textId="77777777" w:rsidR="00127BCE" w:rsidRPr="00127BCE" w:rsidRDefault="00127BCE" w:rsidP="00127BCE">
      <w:pPr>
        <w:pStyle w:val="NoSpacing"/>
        <w:ind w:left="720"/>
        <w:rPr>
          <w:rFonts w:ascii="Times New Roman" w:hAnsi="Times New Roman"/>
          <w:bCs/>
          <w:sz w:val="24"/>
          <w:szCs w:val="24"/>
        </w:rPr>
      </w:pPr>
    </w:p>
    <w:p w14:paraId="74837216" w14:textId="77777777" w:rsidR="00127BCE" w:rsidRPr="00127BCE" w:rsidRDefault="00127BCE" w:rsidP="00127BCE">
      <w:pPr>
        <w:pStyle w:val="NoSpacing"/>
        <w:ind w:left="720"/>
        <w:rPr>
          <w:rFonts w:ascii="Times New Roman" w:hAnsi="Times New Roman"/>
          <w:bCs/>
          <w:sz w:val="24"/>
          <w:szCs w:val="24"/>
        </w:rPr>
      </w:pPr>
      <w:r w:rsidRPr="00127BCE">
        <w:rPr>
          <w:rFonts w:ascii="Times New Roman" w:hAnsi="Times New Roman"/>
          <w:sz w:val="24"/>
          <w:szCs w:val="24"/>
        </w:rPr>
        <w:t xml:space="preserve">June 6, 2019: </w:t>
      </w:r>
      <w:r w:rsidRPr="00127BCE">
        <w:rPr>
          <w:rFonts w:ascii="Times New Roman" w:hAnsi="Times New Roman"/>
          <w:bCs/>
          <w:sz w:val="24"/>
          <w:szCs w:val="24"/>
        </w:rPr>
        <w:t>“Orange: Motorcyclist dies after crash with fire truck.” (</w:t>
      </w:r>
      <w:r w:rsidRPr="00127BCE">
        <w:rPr>
          <w:rFonts w:ascii="Times New Roman" w:hAnsi="Times New Roman"/>
          <w:sz w:val="24"/>
          <w:szCs w:val="24"/>
        </w:rPr>
        <w:t>KABC) -- A motorcyclist has died and three firefighters have minor injuries following a crash involving a fire truck in the city of Orange on Wednesday. According to Orange police, officers responded to the crash at about 4:41 p.m. near E. Collins Avenue and Roberto. The motorcyclist was transported to the hospital with life-threatening injuries and later died. The three firefighters were also transported with non-</w:t>
      </w:r>
      <w:proofErr w:type="gramStart"/>
      <w:r w:rsidRPr="00127BCE">
        <w:rPr>
          <w:rFonts w:ascii="Times New Roman" w:hAnsi="Times New Roman"/>
          <w:sz w:val="24"/>
          <w:szCs w:val="24"/>
        </w:rPr>
        <w:t>life threatening</w:t>
      </w:r>
      <w:proofErr w:type="gramEnd"/>
      <w:r w:rsidRPr="00127BCE">
        <w:rPr>
          <w:rFonts w:ascii="Times New Roman" w:hAnsi="Times New Roman"/>
          <w:sz w:val="24"/>
          <w:szCs w:val="24"/>
        </w:rPr>
        <w:t xml:space="preserve"> injuries, police said. It's unclear whether the fire truck had lights and sirens blaring at the time of the crash.”  </w:t>
      </w:r>
      <w:hyperlink r:id="rId920" w:history="1">
        <w:r w:rsidRPr="00127BCE">
          <w:rPr>
            <w:rStyle w:val="Hyperlink"/>
            <w:rFonts w:ascii="Times New Roman" w:hAnsi="Times New Roman"/>
            <w:sz w:val="24"/>
            <w:szCs w:val="24"/>
          </w:rPr>
          <w:t>https://abc7.com/orange-crash-fire-truck-motorcycle-and/5333918/</w:t>
        </w:r>
      </w:hyperlink>
      <w:r w:rsidRPr="00127BCE">
        <w:rPr>
          <w:rFonts w:ascii="Times New Roman" w:hAnsi="Times New Roman"/>
          <w:sz w:val="24"/>
          <w:szCs w:val="24"/>
        </w:rPr>
        <w:t xml:space="preserve"> </w:t>
      </w:r>
    </w:p>
    <w:p w14:paraId="71BCBD76" w14:textId="77777777" w:rsidR="00127BCE" w:rsidRPr="00127BCE" w:rsidRDefault="00127BCE" w:rsidP="00127BCE">
      <w:pPr>
        <w:pStyle w:val="NoSpacing"/>
        <w:ind w:left="720"/>
        <w:rPr>
          <w:rFonts w:ascii="Times New Roman" w:hAnsi="Times New Roman"/>
          <w:bCs/>
          <w:sz w:val="24"/>
          <w:szCs w:val="24"/>
        </w:rPr>
      </w:pPr>
    </w:p>
    <w:p w14:paraId="70BD414A" w14:textId="77777777" w:rsidR="00127BCE" w:rsidRPr="00127BCE" w:rsidRDefault="00127BCE" w:rsidP="00127BCE">
      <w:pPr>
        <w:pStyle w:val="NoSpacing"/>
        <w:ind w:left="720"/>
        <w:rPr>
          <w:rFonts w:ascii="Times New Roman" w:hAnsi="Times New Roman"/>
          <w:bCs/>
          <w:sz w:val="24"/>
          <w:szCs w:val="24"/>
        </w:rPr>
      </w:pPr>
      <w:r w:rsidRPr="00127BCE">
        <w:rPr>
          <w:rFonts w:ascii="Times New Roman" w:hAnsi="Times New Roman"/>
          <w:sz w:val="24"/>
          <w:szCs w:val="24"/>
        </w:rPr>
        <w:t xml:space="preserve">Video: </w:t>
      </w:r>
      <w:hyperlink r:id="rId921" w:history="1">
        <w:r w:rsidRPr="00127BCE">
          <w:rPr>
            <w:rStyle w:val="Hyperlink"/>
            <w:rFonts w:ascii="Times New Roman" w:hAnsi="Times New Roman"/>
            <w:sz w:val="24"/>
            <w:szCs w:val="24"/>
          </w:rPr>
          <w:t>https://www.youtube.com/watch?v=4rwA-whTxmQ</w:t>
        </w:r>
      </w:hyperlink>
      <w:r w:rsidRPr="00127BCE">
        <w:rPr>
          <w:rFonts w:ascii="Times New Roman" w:hAnsi="Times New Roman"/>
          <w:sz w:val="24"/>
          <w:szCs w:val="24"/>
        </w:rPr>
        <w:t xml:space="preserve"> </w:t>
      </w:r>
    </w:p>
    <w:p w14:paraId="403F642F" w14:textId="77777777" w:rsidR="00127BCE" w:rsidRDefault="00127BCE" w:rsidP="000B228A">
      <w:pPr>
        <w:pStyle w:val="NoSpacing"/>
      </w:pPr>
    </w:p>
    <w:p w14:paraId="4A07D3F4" w14:textId="77777777" w:rsidR="000B228A" w:rsidRDefault="000B228A" w:rsidP="00EF1133">
      <w:pPr>
        <w:rPr>
          <w:rFonts w:ascii="Arial Black" w:hAnsi="Arial Black"/>
          <w:b/>
          <w:sz w:val="24"/>
          <w:szCs w:val="24"/>
        </w:rPr>
      </w:pPr>
    </w:p>
    <w:p w14:paraId="04C68D6F" w14:textId="38F4EF39" w:rsidR="00DE42DC" w:rsidRDefault="00DE42DC" w:rsidP="00EF1133">
      <w:pPr>
        <w:rPr>
          <w:rFonts w:ascii="Arial Black" w:hAnsi="Arial Black"/>
          <w:b/>
          <w:sz w:val="24"/>
          <w:szCs w:val="24"/>
        </w:rPr>
      </w:pPr>
      <w:r>
        <w:rPr>
          <w:rFonts w:ascii="Arial Black" w:hAnsi="Arial Black"/>
          <w:b/>
          <w:sz w:val="24"/>
          <w:szCs w:val="24"/>
        </w:rPr>
        <w:t>5-46</w:t>
      </w:r>
    </w:p>
    <w:p w14:paraId="5385DA40" w14:textId="77777777" w:rsidR="001F2A28" w:rsidRPr="009D30FC" w:rsidRDefault="001F2A28" w:rsidP="001F2A28">
      <w:pPr>
        <w:rPr>
          <w:rFonts w:ascii="Arial Black" w:hAnsi="Arial Black"/>
          <w:b/>
          <w:bCs/>
          <w:sz w:val="28"/>
          <w:szCs w:val="28"/>
        </w:rPr>
      </w:pPr>
      <w:r w:rsidRPr="009D30FC">
        <w:rPr>
          <w:rFonts w:ascii="Arial Black" w:hAnsi="Arial Black"/>
          <w:b/>
          <w:bCs/>
          <w:sz w:val="28"/>
          <w:szCs w:val="28"/>
        </w:rPr>
        <w:t>PA: EMS LICENSE - 1-YR SUSP. REVERSED – 65 MPH / 40 ZONE – LIGHTS / SIREN - MOTORIST PULLED OUT / KILLED</w:t>
      </w:r>
    </w:p>
    <w:p w14:paraId="51E24838" w14:textId="35C84FCC" w:rsidR="001F2A28" w:rsidRPr="001F1BB0" w:rsidRDefault="001F2A28" w:rsidP="001F2A28">
      <w:pPr>
        <w:pStyle w:val="NoSpacing"/>
        <w:rPr>
          <w:rFonts w:ascii="Times New Roman" w:hAnsi="Times New Roman"/>
          <w:sz w:val="24"/>
          <w:szCs w:val="24"/>
        </w:rPr>
      </w:pPr>
      <w:r w:rsidRPr="001F1BB0">
        <w:rPr>
          <w:rFonts w:ascii="Times New Roman" w:hAnsi="Times New Roman"/>
          <w:sz w:val="24"/>
          <w:szCs w:val="24"/>
        </w:rPr>
        <w:t xml:space="preserve">On Oct. 24, </w:t>
      </w:r>
      <w:proofErr w:type="gramStart"/>
      <w:r w:rsidRPr="001F1BB0">
        <w:rPr>
          <w:rFonts w:ascii="Times New Roman" w:hAnsi="Times New Roman"/>
          <w:sz w:val="24"/>
          <w:szCs w:val="24"/>
        </w:rPr>
        <w:t>2024</w:t>
      </w:r>
      <w:proofErr w:type="gramEnd"/>
      <w:r w:rsidRPr="001F1BB0">
        <w:rPr>
          <w:rFonts w:ascii="Times New Roman" w:hAnsi="Times New Roman"/>
          <w:sz w:val="24"/>
          <w:szCs w:val="24"/>
        </w:rPr>
        <w:t xml:space="preserve"> in  </w:t>
      </w:r>
      <w:r w:rsidRPr="001F1BB0">
        <w:rPr>
          <w:rFonts w:ascii="Times New Roman" w:hAnsi="Times New Roman"/>
          <w:sz w:val="24"/>
          <w:szCs w:val="24"/>
          <w:u w:val="single"/>
        </w:rPr>
        <w:t>Steve E. Piotrowski v. Department of Health</w:t>
      </w:r>
      <w:r w:rsidRPr="001F1BB0">
        <w:rPr>
          <w:rFonts w:ascii="Times New Roman" w:hAnsi="Times New Roman"/>
          <w:sz w:val="24"/>
          <w:szCs w:val="24"/>
        </w:rPr>
        <w:t>, the Commonwealth of Pennsylvania held (3 to 0): “Steve E. Piotrowski (Piotrowski) petitions for review of an adjudication of the Department of Health (Health Department) that suspended his license as an</w:t>
      </w:r>
      <w:r w:rsidR="00594E74">
        <w:rPr>
          <w:rFonts w:ascii="Times New Roman" w:hAnsi="Times New Roman"/>
          <w:sz w:val="24"/>
          <w:szCs w:val="24"/>
        </w:rPr>
        <w:t xml:space="preserve"> </w:t>
      </w:r>
      <w:r w:rsidRPr="001F1BB0">
        <w:rPr>
          <w:rFonts w:ascii="Times New Roman" w:hAnsi="Times New Roman"/>
          <w:sz w:val="24"/>
          <w:szCs w:val="24"/>
        </w:rPr>
        <w:t xml:space="preserve">emergency medical services provider for operating an ambulance in a reckless manner. In doing so, the Health Department rejected the proposed adjudication of its hearing officer that Piotrowski’s operation of an ambulance </w:t>
      </w:r>
      <w:proofErr w:type="spellStart"/>
      <w:r w:rsidRPr="001F1BB0">
        <w:rPr>
          <w:rFonts w:ascii="Times New Roman" w:hAnsi="Times New Roman"/>
          <w:sz w:val="24"/>
          <w:szCs w:val="24"/>
        </w:rPr>
        <w:t>en</w:t>
      </w:r>
      <w:proofErr w:type="spellEnd"/>
      <w:r w:rsidRPr="001F1BB0">
        <w:rPr>
          <w:rFonts w:ascii="Times New Roman" w:hAnsi="Times New Roman"/>
          <w:sz w:val="24"/>
          <w:szCs w:val="24"/>
        </w:rPr>
        <w:t xml:space="preserve"> route to an emergency </w:t>
      </w:r>
      <w:proofErr w:type="gramStart"/>
      <w:r w:rsidRPr="001F1BB0">
        <w:rPr>
          <w:rFonts w:ascii="Times New Roman" w:hAnsi="Times New Roman"/>
          <w:sz w:val="24"/>
          <w:szCs w:val="24"/>
        </w:rPr>
        <w:t>in excess of</w:t>
      </w:r>
      <w:proofErr w:type="gramEnd"/>
      <w:r w:rsidRPr="001F1BB0">
        <w:rPr>
          <w:rFonts w:ascii="Times New Roman" w:hAnsi="Times New Roman"/>
          <w:sz w:val="24"/>
          <w:szCs w:val="24"/>
        </w:rPr>
        <w:t xml:space="preserve"> the posted speed limit did not, ipso facto, constitute reckless conduct. On appeal, Piotrowski argues that the Health Department </w:t>
      </w:r>
      <w:proofErr w:type="gramStart"/>
      <w:r w:rsidRPr="001F1BB0">
        <w:rPr>
          <w:rFonts w:ascii="Times New Roman" w:hAnsi="Times New Roman"/>
          <w:sz w:val="24"/>
          <w:szCs w:val="24"/>
        </w:rPr>
        <w:t>erred</w:t>
      </w:r>
      <w:proofErr w:type="gramEnd"/>
      <w:r w:rsidRPr="001F1BB0">
        <w:rPr>
          <w:rFonts w:ascii="Times New Roman" w:hAnsi="Times New Roman"/>
          <w:sz w:val="24"/>
          <w:szCs w:val="24"/>
        </w:rPr>
        <w:t xml:space="preserve"> in its rejection of the hearing officer’s interpretation and application of the term ‘reckless’ is set forth in Section 8121(a)(6) of the Emergency Medical Services System Act (EMS Act), 35 Pa. C.S. §8121(a)(6). After review, we reverse the Health Department’s adjudication.” </w:t>
      </w:r>
      <w:hyperlink r:id="rId922" w:history="1">
        <w:r w:rsidRPr="001F1BB0">
          <w:rPr>
            <w:rStyle w:val="Hyperlink"/>
            <w:rFonts w:ascii="Times New Roman" w:hAnsi="Times New Roman"/>
            <w:sz w:val="24"/>
            <w:szCs w:val="24"/>
          </w:rPr>
          <w:t>https://cases.justia.com/pennsylvania/commonwealth-court/2024-1232-c-d-2023.pdf?ts=1729783758</w:t>
        </w:r>
      </w:hyperlink>
      <w:r w:rsidRPr="001F1BB0">
        <w:rPr>
          <w:rFonts w:ascii="Times New Roman" w:hAnsi="Times New Roman"/>
          <w:sz w:val="24"/>
          <w:szCs w:val="24"/>
        </w:rPr>
        <w:t xml:space="preserve"> </w:t>
      </w:r>
    </w:p>
    <w:p w14:paraId="70F96415" w14:textId="77777777" w:rsidR="001F2A28" w:rsidRPr="001F1BB0" w:rsidRDefault="001F2A28" w:rsidP="001F2A28">
      <w:pPr>
        <w:pStyle w:val="NoSpacing"/>
        <w:rPr>
          <w:rFonts w:ascii="Times New Roman" w:hAnsi="Times New Roman"/>
          <w:sz w:val="24"/>
          <w:szCs w:val="24"/>
        </w:rPr>
      </w:pPr>
    </w:p>
    <w:p w14:paraId="36C9E5A8" w14:textId="77777777" w:rsidR="001F1BB0" w:rsidRPr="001F1BB0" w:rsidRDefault="001F1BB0" w:rsidP="001F1BB0">
      <w:pPr>
        <w:pStyle w:val="NoSpacing"/>
        <w:rPr>
          <w:rFonts w:ascii="Times New Roman" w:hAnsi="Times New Roman"/>
          <w:b/>
          <w:bCs/>
          <w:sz w:val="24"/>
          <w:szCs w:val="24"/>
        </w:rPr>
      </w:pPr>
      <w:r w:rsidRPr="001F1BB0">
        <w:rPr>
          <w:rFonts w:ascii="Times New Roman" w:hAnsi="Times New Roman"/>
          <w:b/>
          <w:sz w:val="24"/>
          <w:szCs w:val="24"/>
        </w:rPr>
        <w:t>Legal Lesson Learned:  Emergency run – 65 in 40 mph zone in rural area is not clearly reckless</w:t>
      </w:r>
      <w:r w:rsidRPr="001F1BB0">
        <w:rPr>
          <w:rFonts w:ascii="Times New Roman" w:hAnsi="Times New Roman"/>
          <w:b/>
          <w:bCs/>
          <w:sz w:val="24"/>
          <w:szCs w:val="24"/>
        </w:rPr>
        <w:t xml:space="preserve">. </w:t>
      </w:r>
    </w:p>
    <w:p w14:paraId="7C62346A" w14:textId="77777777" w:rsidR="00DE42DC" w:rsidRPr="001F1BB0" w:rsidRDefault="00DE42DC" w:rsidP="00EF1133">
      <w:pPr>
        <w:rPr>
          <w:rFonts w:ascii="Times New Roman" w:hAnsi="Times New Roman"/>
          <w:b/>
          <w:sz w:val="24"/>
          <w:szCs w:val="24"/>
        </w:rPr>
      </w:pPr>
    </w:p>
    <w:p w14:paraId="12095560" w14:textId="53C46569" w:rsidR="00DE42DC" w:rsidRDefault="00DE42DC" w:rsidP="00EF1133">
      <w:pPr>
        <w:rPr>
          <w:rFonts w:ascii="Arial Black" w:hAnsi="Arial Black"/>
          <w:b/>
          <w:sz w:val="24"/>
          <w:szCs w:val="24"/>
        </w:rPr>
      </w:pPr>
      <w:r>
        <w:rPr>
          <w:rFonts w:ascii="Arial Black" w:hAnsi="Arial Black"/>
          <w:b/>
          <w:sz w:val="24"/>
          <w:szCs w:val="24"/>
        </w:rPr>
        <w:t>5-45</w:t>
      </w:r>
    </w:p>
    <w:p w14:paraId="2870D18A" w14:textId="77777777" w:rsidR="00AC5D33" w:rsidRPr="009D30FC" w:rsidRDefault="00AC5D33" w:rsidP="00AC5D33">
      <w:pPr>
        <w:rPr>
          <w:rFonts w:ascii="Arial Black" w:hAnsi="Arial Black"/>
          <w:b/>
          <w:bCs/>
          <w:sz w:val="28"/>
          <w:szCs w:val="28"/>
        </w:rPr>
      </w:pPr>
      <w:r w:rsidRPr="009D30FC">
        <w:rPr>
          <w:rFonts w:ascii="Arial Black" w:hAnsi="Arial Black"/>
          <w:b/>
          <w:bCs/>
          <w:sz w:val="28"/>
          <w:szCs w:val="28"/>
        </w:rPr>
        <w:t>MI: AMBULANCE STRUCK BY MOTORIST – PATIENT DIED –EMS MAY BEEN EXCESIVE SPEED – NO IMMUNITY</w:t>
      </w:r>
    </w:p>
    <w:p w14:paraId="6D1572ED" w14:textId="77777777" w:rsidR="00AD7ECA" w:rsidRPr="00883F9B" w:rsidRDefault="00AD7ECA" w:rsidP="00AD7ECA">
      <w:pPr>
        <w:pStyle w:val="NoSpacing"/>
        <w:rPr>
          <w:rFonts w:ascii="Times New Roman" w:hAnsi="Times New Roman"/>
          <w:sz w:val="24"/>
          <w:szCs w:val="24"/>
        </w:rPr>
      </w:pPr>
      <w:r w:rsidRPr="00883F9B">
        <w:rPr>
          <w:rFonts w:ascii="Times New Roman" w:hAnsi="Times New Roman"/>
          <w:sz w:val="24"/>
          <w:szCs w:val="24"/>
        </w:rPr>
        <w:t xml:space="preserve">On Oct. 11, </w:t>
      </w:r>
      <w:proofErr w:type="gramStart"/>
      <w:r w:rsidRPr="00883F9B">
        <w:rPr>
          <w:rFonts w:ascii="Times New Roman" w:hAnsi="Times New Roman"/>
          <w:sz w:val="24"/>
          <w:szCs w:val="24"/>
        </w:rPr>
        <w:t>2024</w:t>
      </w:r>
      <w:proofErr w:type="gramEnd"/>
      <w:r w:rsidRPr="00883F9B">
        <w:rPr>
          <w:rFonts w:ascii="Times New Roman" w:hAnsi="Times New Roman"/>
          <w:sz w:val="24"/>
          <w:szCs w:val="24"/>
        </w:rPr>
        <w:t xml:space="preserve"> in Tia Gentry, personal representative of the estate of </w:t>
      </w:r>
      <w:r w:rsidRPr="00883F9B">
        <w:rPr>
          <w:rFonts w:ascii="Times New Roman" w:hAnsi="Times New Roman"/>
          <w:sz w:val="24"/>
          <w:szCs w:val="24"/>
          <w:u w:val="single"/>
        </w:rPr>
        <w:t>Delana Gentry v. Ryan Baugh; City of Detroit; et al.,</w:t>
      </w:r>
      <w:r w:rsidRPr="00883F9B">
        <w:rPr>
          <w:rFonts w:ascii="Times New Roman" w:hAnsi="Times New Roman"/>
          <w:sz w:val="24"/>
          <w:szCs w:val="24"/>
        </w:rPr>
        <w:t xml:space="preserve"> the Michigan Court of Appeals held (3 to 0): “In sum, as the record currently stands, there are </w:t>
      </w:r>
      <w:r w:rsidRPr="00883F9B">
        <w:rPr>
          <w:rFonts w:ascii="Times New Roman" w:hAnsi="Times New Roman"/>
          <w:sz w:val="24"/>
          <w:szCs w:val="24"/>
        </w:rPr>
        <w:lastRenderedPageBreak/>
        <w:t xml:space="preserve">genuine issues of material fact whether [firefighter] Baugh was negligent in his operation of the ambulance. The trial court accordingly did not err by denying defendants’ motion for summary disposition under MCR 2.116(C)(7) on grounds that plaintiff’s claims were barred by governmental immunity.” </w:t>
      </w:r>
      <w:hyperlink r:id="rId923" w:history="1">
        <w:r w:rsidRPr="00883F9B">
          <w:rPr>
            <w:rStyle w:val="Hyperlink"/>
            <w:rFonts w:ascii="Times New Roman" w:hAnsi="Times New Roman"/>
            <w:sz w:val="24"/>
            <w:szCs w:val="24"/>
          </w:rPr>
          <w:t>https://cases.justia.com/michigan/court-of-appeals-unpublished/2024-367862.pdf?ts=1728738006</w:t>
        </w:r>
      </w:hyperlink>
      <w:r w:rsidRPr="00883F9B">
        <w:rPr>
          <w:rFonts w:ascii="Times New Roman" w:hAnsi="Times New Roman"/>
          <w:sz w:val="24"/>
          <w:szCs w:val="24"/>
        </w:rPr>
        <w:t xml:space="preserve"> </w:t>
      </w:r>
    </w:p>
    <w:p w14:paraId="6AE6DC9D" w14:textId="77777777" w:rsidR="00AD7ECA" w:rsidRPr="00883F9B" w:rsidRDefault="00AD7ECA" w:rsidP="00AD7ECA">
      <w:pPr>
        <w:pStyle w:val="NoSpacing"/>
        <w:rPr>
          <w:rFonts w:ascii="Times New Roman" w:hAnsi="Times New Roman"/>
          <w:sz w:val="24"/>
          <w:szCs w:val="24"/>
        </w:rPr>
      </w:pPr>
    </w:p>
    <w:p w14:paraId="3F8ECE6A" w14:textId="77777777" w:rsidR="00883F9B" w:rsidRPr="00883F9B" w:rsidRDefault="00883F9B" w:rsidP="00883F9B">
      <w:pPr>
        <w:pStyle w:val="NoSpacing"/>
        <w:jc w:val="both"/>
        <w:rPr>
          <w:rFonts w:ascii="Times New Roman" w:hAnsi="Times New Roman"/>
          <w:b/>
          <w:bCs/>
          <w:sz w:val="24"/>
          <w:szCs w:val="24"/>
        </w:rPr>
      </w:pPr>
      <w:r w:rsidRPr="00883F9B">
        <w:rPr>
          <w:rFonts w:ascii="Times New Roman" w:hAnsi="Times New Roman"/>
          <w:b/>
          <w:sz w:val="24"/>
          <w:szCs w:val="24"/>
        </w:rPr>
        <w:t xml:space="preserve">Legal Lesson Learned: In deposition, </w:t>
      </w:r>
      <w:r w:rsidRPr="00883F9B">
        <w:rPr>
          <w:rFonts w:ascii="Times New Roman" w:hAnsi="Times New Roman"/>
          <w:b/>
          <w:bCs/>
          <w:sz w:val="24"/>
          <w:szCs w:val="24"/>
        </w:rPr>
        <w:t xml:space="preserve">EMS driver was not clear about speed. </w:t>
      </w:r>
      <w:r w:rsidRPr="00883F9B">
        <w:rPr>
          <w:rFonts w:ascii="Times New Roman" w:hAnsi="Times New Roman"/>
          <w:b/>
          <w:sz w:val="24"/>
          <w:szCs w:val="24"/>
        </w:rPr>
        <w:t xml:space="preserve"> </w:t>
      </w:r>
    </w:p>
    <w:p w14:paraId="71F9617A" w14:textId="77777777" w:rsidR="00DE42DC" w:rsidRPr="00883F9B" w:rsidRDefault="00DE42DC" w:rsidP="00EF1133">
      <w:pPr>
        <w:rPr>
          <w:rFonts w:ascii="Times New Roman" w:hAnsi="Times New Roman"/>
          <w:b/>
          <w:sz w:val="24"/>
          <w:szCs w:val="24"/>
        </w:rPr>
      </w:pPr>
    </w:p>
    <w:p w14:paraId="4084C568" w14:textId="77777777" w:rsidR="001F1BB0" w:rsidRDefault="001F1BB0" w:rsidP="00EF1133">
      <w:pPr>
        <w:rPr>
          <w:rFonts w:ascii="Arial Black" w:hAnsi="Arial Black"/>
          <w:b/>
          <w:sz w:val="24"/>
          <w:szCs w:val="24"/>
        </w:rPr>
      </w:pPr>
    </w:p>
    <w:p w14:paraId="7435CBD4" w14:textId="0B1CFBED" w:rsidR="00FC2C67" w:rsidRDefault="00FC2C67" w:rsidP="00EF1133">
      <w:pPr>
        <w:rPr>
          <w:rFonts w:ascii="Arial Black" w:hAnsi="Arial Black"/>
          <w:b/>
          <w:sz w:val="24"/>
          <w:szCs w:val="24"/>
        </w:rPr>
      </w:pPr>
      <w:r>
        <w:rPr>
          <w:rFonts w:ascii="Arial Black" w:hAnsi="Arial Black"/>
          <w:b/>
          <w:sz w:val="24"/>
          <w:szCs w:val="24"/>
        </w:rPr>
        <w:t>5-44</w:t>
      </w:r>
    </w:p>
    <w:p w14:paraId="632106F1" w14:textId="77777777" w:rsidR="00FC2C67" w:rsidRPr="004407E2" w:rsidRDefault="00FC2C67" w:rsidP="00FC2C67">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TX: CAPTAIN IN FD VEHICLE – STOPPED FOR GAS / MVA – CITY CAN BE SUED – EXCEPTION “GOING &amp; COMING RULE”</w:t>
      </w:r>
    </w:p>
    <w:p w14:paraId="05143EB8" w14:textId="77777777" w:rsidR="00FC2C67" w:rsidRPr="008F6524" w:rsidRDefault="00FC2C67" w:rsidP="00FC2C67">
      <w:pPr>
        <w:pStyle w:val="NormalWeb"/>
        <w:rPr>
          <w:color w:val="454545"/>
          <w:shd w:val="clear" w:color="auto" w:fill="FFFFFF"/>
        </w:rPr>
      </w:pPr>
      <w:r w:rsidRPr="008F6524">
        <w:rPr>
          <w:color w:val="454545"/>
          <w:shd w:val="clear" w:color="auto" w:fill="FFFFFF"/>
        </w:rPr>
        <w:t xml:space="preserve">On July 16, 2024, in </w:t>
      </w:r>
      <w:r w:rsidRPr="008F6524">
        <w:rPr>
          <w:color w:val="454545"/>
          <w:u w:val="single"/>
          <w:shd w:val="clear" w:color="auto" w:fill="FFFFFF"/>
        </w:rPr>
        <w:t>The City of Houston v. Amber Stoffer</w:t>
      </w:r>
      <w:r w:rsidRPr="008F6524">
        <w:rPr>
          <w:color w:val="454545"/>
          <w:shd w:val="clear" w:color="auto" w:fill="FFFFFF"/>
        </w:rPr>
        <w:t xml:space="preserve">, the Court of Appeals of Texas, First District, held (3 to 0) that trial court properly denied the City’s motion for summary judgment; under the City’s tort claim act it can be sued for damages incurred by employees “acting within the scope of employment.”  </w:t>
      </w:r>
      <w:r w:rsidRPr="008F6524">
        <w:rPr>
          <w:shd w:val="clear" w:color="auto" w:fill="FFFFFF"/>
        </w:rPr>
        <w:t>Under the “coming-and-going rule,” an employee is generally not acting within the scope of her employment when traveling to and from work</w:t>
      </w:r>
      <w:r w:rsidRPr="008F6524">
        <w:rPr>
          <w:color w:val="454545"/>
          <w:shd w:val="clear" w:color="auto" w:fill="FFFFFF"/>
        </w:rPr>
        <w:t xml:space="preserve">. However, since the </w:t>
      </w:r>
      <w:proofErr w:type="gramStart"/>
      <w:r w:rsidRPr="008F6524">
        <w:rPr>
          <w:color w:val="454545"/>
          <w:shd w:val="clear" w:color="auto" w:fill="FFFFFF"/>
        </w:rPr>
        <w:t>Captain</w:t>
      </w:r>
      <w:proofErr w:type="gramEnd"/>
      <w:r w:rsidRPr="008F6524">
        <w:rPr>
          <w:color w:val="454545"/>
          <w:shd w:val="clear" w:color="auto" w:fill="FFFFFF"/>
        </w:rPr>
        <w:t xml:space="preserve"> stopped for gas for FD vehicle, after conducting training at </w:t>
      </w:r>
      <w:proofErr w:type="gramStart"/>
      <w:r w:rsidRPr="008F6524">
        <w:rPr>
          <w:color w:val="454545"/>
          <w:shd w:val="clear" w:color="auto" w:fill="FFFFFF"/>
        </w:rPr>
        <w:t>a FD</w:t>
      </w:r>
      <w:proofErr w:type="gramEnd"/>
      <w:r w:rsidRPr="008F6524">
        <w:rPr>
          <w:color w:val="454545"/>
          <w:shd w:val="clear" w:color="auto" w:fill="FFFFFF"/>
        </w:rPr>
        <w:t xml:space="preserve"> station (the fire station pump was not working), there is a presumption she was acting within scope of her employment and jury can decide that question of fact. </w:t>
      </w:r>
      <w:hyperlink r:id="rId924" w:history="1">
        <w:r w:rsidRPr="008F6524">
          <w:rPr>
            <w:rStyle w:val="Hyperlink"/>
            <w:shd w:val="clear" w:color="auto" w:fill="FFFFFF"/>
          </w:rPr>
          <w:t>https://casetext.com/case/the-city-of-houston-v-stoffer</w:t>
        </w:r>
      </w:hyperlink>
      <w:r w:rsidRPr="008F6524">
        <w:rPr>
          <w:color w:val="454545"/>
          <w:shd w:val="clear" w:color="auto" w:fill="FFFFFF"/>
        </w:rPr>
        <w:t xml:space="preserve"> </w:t>
      </w:r>
    </w:p>
    <w:p w14:paraId="74B6D349" w14:textId="77777777" w:rsidR="00FC2C67" w:rsidRPr="008F6524" w:rsidRDefault="00FC2C67" w:rsidP="00FC2C67">
      <w:pPr>
        <w:pStyle w:val="NormalWeb"/>
        <w:rPr>
          <w:color w:val="454545"/>
          <w:shd w:val="clear" w:color="auto" w:fill="FFFFFF"/>
        </w:rPr>
      </w:pPr>
      <w:r w:rsidRPr="008F6524">
        <w:rPr>
          <w:color w:val="454545"/>
          <w:shd w:val="clear" w:color="auto" w:fill="FFFFFF"/>
        </w:rPr>
        <w:t xml:space="preserve">THE COURT HELD: </w:t>
      </w:r>
    </w:p>
    <w:p w14:paraId="24D48B70" w14:textId="77777777" w:rsidR="00FC2C67" w:rsidRDefault="00FC2C67" w:rsidP="00FC2C67">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E5330E">
        <w:rPr>
          <w:rFonts w:ascii="Times New Roman" w:hAnsi="Times New Roman"/>
          <w:sz w:val="24"/>
          <w:szCs w:val="24"/>
          <w:shd w:val="clear" w:color="auto" w:fill="FFFFFF"/>
        </w:rPr>
        <w:t>Because conflicting inferences could be drawn from Captain Tollett's affidavit and deposition testimony, and we resolve doubts in Stoffer's favor, Captain Tollett's statements that she stopped at the convenience store to refuel her city-issued vehicle is some evidence that she was not merely stopping for personal needs.</w:t>
      </w:r>
    </w:p>
    <w:p w14:paraId="08F5FB2B" w14:textId="77777777" w:rsidR="00FC2C67" w:rsidRDefault="00FC2C67" w:rsidP="00FC2C67">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5FB14BEE" w14:textId="77777777" w:rsidR="00FC2C67" w:rsidRDefault="00FC2C67" w:rsidP="00FC2C67">
      <w:pPr>
        <w:pStyle w:val="NoSpacing"/>
        <w:rPr>
          <w:rFonts w:ascii="Times New Roman" w:hAnsi="Times New Roman"/>
          <w:sz w:val="24"/>
          <w:szCs w:val="24"/>
          <w:shd w:val="clear" w:color="auto" w:fill="FFFFFF"/>
        </w:rPr>
      </w:pPr>
    </w:p>
    <w:p w14:paraId="2FBAC2DA" w14:textId="77777777" w:rsidR="00FC2C67" w:rsidRDefault="00FC2C67" w:rsidP="00FC2C67">
      <w:pPr>
        <w:pStyle w:val="NoSpacing"/>
        <w:ind w:left="720"/>
        <w:rPr>
          <w:rFonts w:ascii="Times New Roman" w:hAnsi="Times New Roman"/>
          <w:sz w:val="24"/>
          <w:szCs w:val="24"/>
          <w:shd w:val="clear" w:color="auto" w:fill="FFFFFF"/>
        </w:rPr>
      </w:pPr>
      <w:r w:rsidRPr="006924EE">
        <w:rPr>
          <w:rFonts w:ascii="Times New Roman" w:hAnsi="Times New Roman"/>
          <w:sz w:val="24"/>
          <w:szCs w:val="24"/>
          <w:shd w:val="clear" w:color="auto" w:fill="FFFFFF"/>
        </w:rPr>
        <w:t xml:space="preserve">The TTCA's limited waiver of immunity for motor vehicles only applies if the government employee was </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acting within the scope of employment</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 xml:space="preserve"> at the time of the alleged event. </w:t>
      </w:r>
      <w:hyperlink r:id="rId925" w:history="1">
        <w:r w:rsidRPr="006924EE">
          <w:rPr>
            <w:rStyle w:val="Hyperlink"/>
            <w:rFonts w:ascii="Times New Roman" w:hAnsi="Times New Roman"/>
            <w:sz w:val="24"/>
            <w:szCs w:val="24"/>
            <w:shd w:val="clear" w:color="auto" w:fill="FFFFFF"/>
          </w:rPr>
          <w:t xml:space="preserve">Tex. Civ. </w:t>
        </w:r>
        <w:proofErr w:type="spellStart"/>
        <w:r w:rsidRPr="006924EE">
          <w:rPr>
            <w:rStyle w:val="Hyperlink"/>
            <w:rFonts w:ascii="Times New Roman" w:hAnsi="Times New Roman"/>
            <w:sz w:val="24"/>
            <w:szCs w:val="24"/>
            <w:shd w:val="clear" w:color="auto" w:fill="FFFFFF"/>
          </w:rPr>
          <w:t>Prac</w:t>
        </w:r>
        <w:proofErr w:type="spellEnd"/>
        <w:r w:rsidRPr="006924EE">
          <w:rPr>
            <w:rStyle w:val="Hyperlink"/>
            <w:rFonts w:ascii="Times New Roman" w:hAnsi="Times New Roman"/>
            <w:sz w:val="24"/>
            <w:szCs w:val="24"/>
            <w:shd w:val="clear" w:color="auto" w:fill="FFFFFF"/>
          </w:rPr>
          <w:t>. &amp; Rem. Code § 101.021(1)</w:t>
        </w:r>
      </w:hyperlink>
      <w:r w:rsidRPr="006924EE">
        <w:rPr>
          <w:rFonts w:ascii="Times New Roman" w:hAnsi="Times New Roman"/>
          <w:sz w:val="24"/>
          <w:szCs w:val="24"/>
          <w:shd w:val="clear" w:color="auto" w:fill="FFFFFF"/>
        </w:rPr>
        <w:t xml:space="preserve">. The TTCA defines </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scope of employment</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 xml:space="preserve"> as </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the performance for a governmental unit of the duties of an employee's office or employment and includes being in and about the performance of a task lawfully assigned to an employee by competent authority.</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 xml:space="preserve"> </w:t>
      </w:r>
      <w:r w:rsidRPr="006924EE">
        <w:rPr>
          <w:rFonts w:ascii="Times New Roman" w:hAnsi="Times New Roman"/>
          <w:i/>
          <w:iCs/>
          <w:sz w:val="24"/>
          <w:szCs w:val="24"/>
          <w:shd w:val="clear" w:color="auto" w:fill="FFFFFF"/>
        </w:rPr>
        <w:t>Id.</w:t>
      </w:r>
      <w:r w:rsidRPr="006924EE">
        <w:rPr>
          <w:rFonts w:ascii="Times New Roman" w:hAnsi="Times New Roman"/>
          <w:sz w:val="24"/>
          <w:szCs w:val="24"/>
          <w:shd w:val="clear" w:color="auto" w:fill="FFFFFF"/>
        </w:rPr>
        <w:t xml:space="preserve"> § 101.001(5).</w:t>
      </w:r>
    </w:p>
    <w:p w14:paraId="2AD1F36C" w14:textId="77777777" w:rsidR="00FC2C67" w:rsidRDefault="00FC2C67" w:rsidP="00FC2C67">
      <w:pPr>
        <w:pStyle w:val="NoSpacing"/>
        <w:ind w:left="720"/>
        <w:rPr>
          <w:rFonts w:ascii="Times New Roman" w:hAnsi="Times New Roman"/>
          <w:sz w:val="24"/>
          <w:szCs w:val="24"/>
          <w:shd w:val="clear" w:color="auto" w:fill="FFFFFF"/>
        </w:rPr>
      </w:pPr>
    </w:p>
    <w:p w14:paraId="537441FC" w14:textId="77777777" w:rsidR="00FC2C67" w:rsidRDefault="00FC2C67" w:rsidP="00FC2C67">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2E1452E4" w14:textId="77777777" w:rsidR="00FC2C67" w:rsidRDefault="00FC2C67" w:rsidP="00FC2C67">
      <w:pPr>
        <w:pStyle w:val="NoSpacing"/>
        <w:rPr>
          <w:rFonts w:ascii="Times New Roman" w:hAnsi="Times New Roman"/>
          <w:sz w:val="24"/>
          <w:szCs w:val="24"/>
          <w:shd w:val="clear" w:color="auto" w:fill="FFFFFF"/>
        </w:rPr>
      </w:pPr>
    </w:p>
    <w:p w14:paraId="5CBCAF58" w14:textId="77777777" w:rsidR="00FC2C67" w:rsidRDefault="00FC2C67" w:rsidP="00FC2C67">
      <w:pPr>
        <w:pStyle w:val="NoSpacing"/>
        <w:ind w:left="720"/>
        <w:rPr>
          <w:rFonts w:ascii="Times New Roman" w:hAnsi="Times New Roman"/>
          <w:sz w:val="24"/>
          <w:szCs w:val="24"/>
          <w:shd w:val="clear" w:color="auto" w:fill="FFFFFF"/>
        </w:rPr>
      </w:pPr>
      <w:r w:rsidRPr="00D442E3">
        <w:rPr>
          <w:rFonts w:ascii="Times New Roman" w:hAnsi="Times New Roman"/>
          <w:sz w:val="24"/>
          <w:szCs w:val="24"/>
          <w:shd w:val="clear" w:color="auto" w:fill="FFFFFF"/>
        </w:rPr>
        <w:t xml:space="preserve">Under the </w:t>
      </w:r>
      <w:r>
        <w:rPr>
          <w:rFonts w:ascii="Times New Roman" w:hAnsi="Times New Roman"/>
          <w:sz w:val="24"/>
          <w:szCs w:val="24"/>
          <w:shd w:val="clear" w:color="auto" w:fill="FFFFFF"/>
        </w:rPr>
        <w:t>‘</w:t>
      </w:r>
      <w:r w:rsidRPr="00D442E3">
        <w:rPr>
          <w:rFonts w:ascii="Times New Roman" w:hAnsi="Times New Roman"/>
          <w:sz w:val="24"/>
          <w:szCs w:val="24"/>
          <w:shd w:val="clear" w:color="auto" w:fill="FFFFFF"/>
        </w:rPr>
        <w:t>coming-and-going rule,</w:t>
      </w:r>
      <w:r>
        <w:rPr>
          <w:rFonts w:ascii="Times New Roman" w:hAnsi="Times New Roman"/>
          <w:sz w:val="24"/>
          <w:szCs w:val="24"/>
          <w:shd w:val="clear" w:color="auto" w:fill="FFFFFF"/>
        </w:rPr>
        <w:t>’</w:t>
      </w:r>
      <w:r w:rsidRPr="00D442E3">
        <w:rPr>
          <w:rFonts w:ascii="Times New Roman" w:hAnsi="Times New Roman"/>
          <w:sz w:val="24"/>
          <w:szCs w:val="24"/>
          <w:shd w:val="clear" w:color="auto" w:fill="FFFFFF"/>
        </w:rPr>
        <w:t xml:space="preserve"> an employee is generally not acting within the scope of her employment when traveling to and from work</w:t>
      </w:r>
      <w:r>
        <w:rPr>
          <w:rFonts w:ascii="Times New Roman" w:hAnsi="Times New Roman"/>
          <w:sz w:val="24"/>
          <w:szCs w:val="24"/>
          <w:shd w:val="clear" w:color="auto" w:fill="FFFFFF"/>
        </w:rPr>
        <w:t xml:space="preserve">…. </w:t>
      </w:r>
      <w:r w:rsidRPr="00111BB5">
        <w:rPr>
          <w:rFonts w:ascii="Times New Roman" w:hAnsi="Times New Roman"/>
          <w:sz w:val="24"/>
          <w:szCs w:val="24"/>
          <w:shd w:val="clear" w:color="auto" w:fill="FFFFFF"/>
        </w:rPr>
        <w:t>However, if the vehicle involved in the accident was owned by the defendant and the driver was an employee of the defendant, a presumption arises that the driver was acting within the scope of her employment when the accident occurred.</w:t>
      </w:r>
      <w:r>
        <w:rPr>
          <w:rFonts w:ascii="Times New Roman" w:hAnsi="Times New Roman"/>
          <w:sz w:val="24"/>
          <w:szCs w:val="24"/>
          <w:shd w:val="clear" w:color="auto" w:fill="FFFFFF"/>
        </w:rPr>
        <w:t>”</w:t>
      </w:r>
    </w:p>
    <w:p w14:paraId="4D9FBDDA" w14:textId="77777777" w:rsidR="00FC2C67" w:rsidRPr="00FD2FF9" w:rsidRDefault="00FC2C67" w:rsidP="00FC2C67">
      <w:pPr>
        <w:pStyle w:val="NoSpacing"/>
        <w:ind w:left="720"/>
        <w:rPr>
          <w:rFonts w:ascii="Times New Roman" w:hAnsi="Times New Roman"/>
          <w:sz w:val="24"/>
          <w:szCs w:val="24"/>
          <w:shd w:val="clear" w:color="auto" w:fill="FFFFFF"/>
        </w:rPr>
      </w:pPr>
    </w:p>
    <w:p w14:paraId="5E544D29" w14:textId="09DF6F51" w:rsidR="00FC2C67" w:rsidRDefault="007A4CFB" w:rsidP="00EF1133">
      <w:pPr>
        <w:rPr>
          <w:rFonts w:ascii="Arial Black" w:hAnsi="Arial Black"/>
          <w:b/>
          <w:sz w:val="24"/>
          <w:szCs w:val="24"/>
        </w:rPr>
      </w:pPr>
      <w:r w:rsidRPr="00601FA7">
        <w:rPr>
          <w:rFonts w:ascii="Times New Roman" w:hAnsi="Times New Roman"/>
          <w:b/>
          <w:bCs/>
          <w:sz w:val="24"/>
          <w:szCs w:val="24"/>
          <w:shd w:val="clear" w:color="auto" w:fill="FFFFFF"/>
        </w:rPr>
        <w:t xml:space="preserve">Legal Lesson Learned: </w:t>
      </w:r>
      <w:r>
        <w:rPr>
          <w:rFonts w:ascii="Times New Roman" w:hAnsi="Times New Roman"/>
          <w:b/>
          <w:bCs/>
          <w:sz w:val="24"/>
          <w:szCs w:val="24"/>
          <w:shd w:val="clear" w:color="auto" w:fill="FFFFFF"/>
        </w:rPr>
        <w:t>The “coming and going” to work rule, where employer normally cannot be sued, doesn’t apply when employee operating FD vehicle and stopping for gas</w:t>
      </w:r>
    </w:p>
    <w:p w14:paraId="0AE89C20" w14:textId="77777777" w:rsidR="00FC2C67" w:rsidRDefault="00FC2C67" w:rsidP="00EF1133">
      <w:pPr>
        <w:rPr>
          <w:rFonts w:ascii="Arial Black" w:hAnsi="Arial Black"/>
          <w:b/>
          <w:sz w:val="24"/>
          <w:szCs w:val="24"/>
        </w:rPr>
      </w:pPr>
    </w:p>
    <w:p w14:paraId="3C58D07C" w14:textId="77777777" w:rsidR="00FC2C67" w:rsidRDefault="00FC2C67" w:rsidP="00EF1133">
      <w:pPr>
        <w:rPr>
          <w:rFonts w:ascii="Arial Black" w:hAnsi="Arial Black"/>
          <w:b/>
          <w:sz w:val="24"/>
          <w:szCs w:val="24"/>
        </w:rPr>
      </w:pPr>
    </w:p>
    <w:p w14:paraId="1780CDFF" w14:textId="18BA40E8" w:rsidR="00FC33D2" w:rsidRDefault="00FC33D2" w:rsidP="00EF1133">
      <w:pPr>
        <w:rPr>
          <w:rFonts w:ascii="Arial Black" w:hAnsi="Arial Black"/>
          <w:b/>
          <w:sz w:val="24"/>
          <w:szCs w:val="24"/>
        </w:rPr>
      </w:pPr>
      <w:r>
        <w:rPr>
          <w:rFonts w:ascii="Arial Black" w:hAnsi="Arial Black"/>
          <w:b/>
          <w:sz w:val="24"/>
          <w:szCs w:val="24"/>
        </w:rPr>
        <w:t>5-43</w:t>
      </w:r>
    </w:p>
    <w:p w14:paraId="48ED0278" w14:textId="77777777" w:rsidR="00FC33D2" w:rsidRPr="006A4945" w:rsidRDefault="00FC33D2" w:rsidP="00FC33D2">
      <w:pPr>
        <w:pStyle w:val="NormalWeb"/>
        <w:shd w:val="clear" w:color="auto" w:fill="FFFFFF"/>
        <w:spacing w:before="0" w:beforeAutospacing="0"/>
        <w:rPr>
          <w:rFonts w:ascii="Arial Black" w:hAnsi="Arial Black"/>
          <w:b/>
          <w:bCs/>
          <w:color w:val="454545"/>
          <w:sz w:val="28"/>
          <w:szCs w:val="28"/>
        </w:rPr>
      </w:pPr>
      <w:r>
        <w:rPr>
          <w:rFonts w:ascii="Arial Black" w:hAnsi="Arial Black"/>
          <w:b/>
          <w:bCs/>
          <w:color w:val="454545"/>
          <w:sz w:val="28"/>
          <w:szCs w:val="28"/>
        </w:rPr>
        <w:t>PA: MENTAL STOLE ANBULANCE – HOUR LONG LOW SPEED CHASE - 4-8 YEARS IN PRISON – LOCK THE AMBULANCE</w:t>
      </w:r>
    </w:p>
    <w:p w14:paraId="47848432" w14:textId="77777777" w:rsidR="00FC33D2" w:rsidRDefault="00FC33D2" w:rsidP="00FC33D2">
      <w:pPr>
        <w:pStyle w:val="NormalWeb"/>
      </w:pPr>
      <w:r>
        <w:rPr>
          <w:color w:val="454545"/>
        </w:rPr>
        <w:t xml:space="preserve">On March 26, 2024, in </w:t>
      </w:r>
      <w:r w:rsidRPr="0003348E">
        <w:rPr>
          <w:color w:val="454545"/>
          <w:u w:val="single"/>
        </w:rPr>
        <w:t>Commonwealth of Pennsylvania v. Mark Giwerowski</w:t>
      </w:r>
      <w:r>
        <w:rPr>
          <w:color w:val="454545"/>
        </w:rPr>
        <w:t xml:space="preserve">, the Superior Court of Pennsylvania, held (3 to 0) that sentence was appropriate. Defendant waived jury trial; </w:t>
      </w:r>
      <w:r>
        <w:t xml:space="preserve">at the trial's conclusion, the court found defendant guilty of the remaining thirty-six offenses, which included robbery of a motor vehicle, aggravated assault-attempt to cause bodily injury to police or enumerated persons, and ten other felonies. </w:t>
      </w:r>
    </w:p>
    <w:p w14:paraId="046F1801"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1D03A65" w14:textId="77777777" w:rsidR="00FC33D2" w:rsidRDefault="00FC33D2" w:rsidP="00FC33D2">
      <w:pPr>
        <w:pStyle w:val="NormalWeb"/>
        <w:ind w:left="720" w:firstLine="60"/>
      </w:pPr>
      <w:r>
        <w:t xml:space="preserve">“Finally, while the prison sentence imposed for robbery of a motor vehicle was itself above the aggravated minimum range of the sentencing guidelines, Appellant was nonetheless convicted of </w:t>
      </w:r>
      <w:r w:rsidRPr="008F6094">
        <w:rPr>
          <w:rStyle w:val="Strong"/>
          <w:rFonts w:eastAsiaTheme="majorEastAsia"/>
        </w:rPr>
        <w:t>eleven other felony offenses</w:t>
      </w:r>
      <w:r w:rsidRPr="008F6094">
        <w:rPr>
          <w:b/>
          <w:bCs/>
        </w:rPr>
        <w:t>,</w:t>
      </w:r>
      <w:r>
        <w:t xml:space="preserve"> the sentences for all of which were run concurrently. Had the trial court exercised its discretion to run them consecutively, even if each was within the standard range, Appellant could have faced more than the minimum of ten years in prison that the Commonwealth requested. </w:t>
      </w:r>
    </w:p>
    <w:p w14:paraId="6C5D126D" w14:textId="77777777" w:rsidR="00FC33D2" w:rsidRDefault="00FC33D2" w:rsidP="00FC33D2">
      <w:pPr>
        <w:pStyle w:val="NormalWeb"/>
        <w:ind w:left="720"/>
      </w:pPr>
      <w:r>
        <w:t xml:space="preserve">For all the above reasons, we do not find that the sentence imposed by the trial court was the product of an abuse of its considerable sentencing discretion, and therefore it must be upheld.”  </w:t>
      </w:r>
      <w:hyperlink r:id="rId926" w:history="1">
        <w:r w:rsidRPr="006F5A98">
          <w:rPr>
            <w:rStyle w:val="Hyperlink"/>
          </w:rPr>
          <w:t>https://public.fastcase.com/H1P9uiW3J20SFp%2BGCG%2BxLdY6%2FSfit7cxFyw3bnS%2FOidOFypRHxHWNwsmGqo4fSQEV9JpTw1bCRB2JkBf6VgjErq%2BbrT9DkyICOjdjgBVHFs%3D?utm_medium=email&amp;_hsmi=226712652&amp;_hsenc=p2ANqtz-82_plk0g72fbRvFB8NjbgL3Ik8GBcsuuIrmbdbiUiPbF7Kb8UwG6VvxYNyc-qobM2A00y-E3aXbEp-pYTE9TR3ELyYBQ&amp;utm_content=226712652&amp;utm_source=hs_email</w:t>
        </w:r>
      </w:hyperlink>
      <w:r>
        <w:t xml:space="preserve"> </w:t>
      </w:r>
    </w:p>
    <w:p w14:paraId="56D8AA4C" w14:textId="77777777" w:rsidR="00FC33D2" w:rsidRPr="00BB5CED" w:rsidRDefault="00FC33D2" w:rsidP="00FC33D2">
      <w:pPr>
        <w:pStyle w:val="NormalWeb"/>
        <w:rPr>
          <w:b/>
          <w:bCs/>
        </w:rPr>
      </w:pPr>
      <w:r w:rsidRPr="00BB5CED">
        <w:rPr>
          <w:b/>
          <w:bCs/>
        </w:rPr>
        <w:t>Legal Lesson Learned:</w:t>
      </w:r>
      <w:r>
        <w:rPr>
          <w:b/>
          <w:bCs/>
        </w:rPr>
        <w:t xml:space="preserve"> When arriving at scene of mental call, turn off the ambulance and </w:t>
      </w:r>
      <w:proofErr w:type="gramStart"/>
      <w:r>
        <w:rPr>
          <w:b/>
          <w:bCs/>
        </w:rPr>
        <w:t>secured</w:t>
      </w:r>
      <w:proofErr w:type="gramEnd"/>
      <w:r>
        <w:rPr>
          <w:b/>
          <w:bCs/>
        </w:rPr>
        <w:t xml:space="preserve"> your keys. </w:t>
      </w:r>
    </w:p>
    <w:p w14:paraId="5109FC60" w14:textId="77777777" w:rsidR="00FC33D2" w:rsidRDefault="00FC33D2" w:rsidP="00FC33D2">
      <w:pPr>
        <w:pStyle w:val="NormalWeb"/>
        <w:rPr>
          <w:rFonts w:ascii="Arial Black" w:hAnsi="Arial Black"/>
          <w:sz w:val="28"/>
          <w:szCs w:val="28"/>
        </w:rPr>
      </w:pPr>
    </w:p>
    <w:p w14:paraId="04CC0FA7" w14:textId="77777777" w:rsidR="00FC33D2" w:rsidRDefault="00FC33D2" w:rsidP="00FC33D2">
      <w:pPr>
        <w:pStyle w:val="NoSpacing"/>
        <w:ind w:left="720"/>
        <w:rPr>
          <w:rFonts w:ascii="Times New Roman" w:hAnsi="Times New Roman"/>
          <w:sz w:val="24"/>
          <w:szCs w:val="24"/>
          <w:shd w:val="clear" w:color="auto" w:fill="FFFFFF"/>
        </w:rPr>
      </w:pPr>
    </w:p>
    <w:p w14:paraId="23813889" w14:textId="77777777" w:rsidR="00FC33D2" w:rsidRDefault="00FC33D2" w:rsidP="00FC33D2">
      <w:pPr>
        <w:pStyle w:val="NoSpacing"/>
        <w:rPr>
          <w:rFonts w:ascii="Times New Roman" w:hAnsi="Times New Roman"/>
          <w:sz w:val="24"/>
          <w:szCs w:val="24"/>
        </w:rPr>
      </w:pPr>
    </w:p>
    <w:p w14:paraId="502C4026" w14:textId="77777777" w:rsidR="00FC33D2" w:rsidRPr="00FC33D2" w:rsidRDefault="00FC33D2" w:rsidP="00FC33D2">
      <w:pPr>
        <w:pStyle w:val="NormalWeb"/>
        <w:shd w:val="clear" w:color="auto" w:fill="FFFFFF"/>
        <w:spacing w:before="0" w:beforeAutospacing="0"/>
        <w:rPr>
          <w:rFonts w:ascii="Arial Black" w:hAnsi="Arial Black"/>
        </w:rPr>
      </w:pPr>
      <w:r w:rsidRPr="00FC33D2">
        <w:rPr>
          <w:rFonts w:ascii="Arial Black" w:hAnsi="Arial Black"/>
        </w:rPr>
        <w:t>5-42</w:t>
      </w:r>
    </w:p>
    <w:p w14:paraId="75FF2F4D" w14:textId="4CA5CE31" w:rsidR="00FC33D2" w:rsidRPr="009C706C" w:rsidRDefault="00FC33D2" w:rsidP="00FC33D2">
      <w:pPr>
        <w:pStyle w:val="NormalWeb"/>
        <w:shd w:val="clear" w:color="auto" w:fill="FFFFFF"/>
        <w:spacing w:before="0" w:beforeAutospacing="0"/>
        <w:rPr>
          <w:rFonts w:ascii="Arial Black" w:hAnsi="Arial Black"/>
          <w:b/>
          <w:bCs/>
          <w:color w:val="454545"/>
          <w:sz w:val="28"/>
          <w:szCs w:val="28"/>
        </w:rPr>
      </w:pPr>
      <w:r>
        <w:rPr>
          <w:rFonts w:ascii="Arial Black" w:hAnsi="Arial Black"/>
          <w:b/>
          <w:bCs/>
          <w:color w:val="454545"/>
          <w:sz w:val="28"/>
          <w:szCs w:val="28"/>
        </w:rPr>
        <w:t>TX: ENGINE TO DUMSTER FIRE – 10 MPH OVER, THROUGH RED LIGHT, COLLISION – NO GOVERNMENTAL IMMUNITY</w:t>
      </w:r>
    </w:p>
    <w:p w14:paraId="59C6A424" w14:textId="77777777" w:rsidR="00FC33D2" w:rsidRDefault="00FC33D2" w:rsidP="00FC33D2">
      <w:pPr>
        <w:pStyle w:val="NoSpacing"/>
        <w:rPr>
          <w:rFonts w:ascii="Times New Roman" w:hAnsi="Times New Roman"/>
          <w:sz w:val="24"/>
          <w:szCs w:val="24"/>
        </w:rPr>
      </w:pPr>
      <w:r>
        <w:rPr>
          <w:rFonts w:ascii="Times New Roman" w:hAnsi="Times New Roman"/>
          <w:sz w:val="24"/>
          <w:szCs w:val="24"/>
        </w:rPr>
        <w:t xml:space="preserve">On March 7, 2024, in </w:t>
      </w:r>
      <w:r w:rsidRPr="00B5059C">
        <w:rPr>
          <w:rFonts w:ascii="Times New Roman" w:hAnsi="Times New Roman"/>
          <w:sz w:val="24"/>
          <w:szCs w:val="24"/>
          <w:u w:val="single"/>
        </w:rPr>
        <w:t>City of Houston v. Chelsea Manning, et al</w:t>
      </w:r>
      <w:r>
        <w:rPr>
          <w:rFonts w:ascii="Times New Roman" w:hAnsi="Times New Roman"/>
          <w:sz w:val="24"/>
          <w:szCs w:val="24"/>
        </w:rPr>
        <w:t xml:space="preserve">., the Fourteenth Court of Appeals of Texas, held (3 to 0) that trial court properly denied their motion for summary judgment on the emergency response exception to tort liability; on this second appeal the city is again denied immunity. </w:t>
      </w:r>
    </w:p>
    <w:p w14:paraId="56BD4193" w14:textId="77777777" w:rsidR="003956F7" w:rsidRDefault="003956F7" w:rsidP="003956F7">
      <w:pPr>
        <w:pStyle w:val="NoSpacing"/>
        <w:rPr>
          <w:rFonts w:ascii="Times New Roman" w:hAnsi="Times New Roman"/>
          <w:sz w:val="24"/>
          <w:szCs w:val="24"/>
          <w:shd w:val="clear" w:color="auto" w:fill="FFFFFF"/>
        </w:rPr>
      </w:pPr>
    </w:p>
    <w:p w14:paraId="711A12B0" w14:textId="76FCAE72"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33205EC" w14:textId="77777777" w:rsidR="003956F7" w:rsidRDefault="003956F7" w:rsidP="00FC33D2">
      <w:pPr>
        <w:pStyle w:val="NoSpacing"/>
        <w:rPr>
          <w:rFonts w:ascii="Times New Roman" w:hAnsi="Times New Roman"/>
          <w:sz w:val="24"/>
          <w:szCs w:val="24"/>
        </w:rPr>
      </w:pPr>
    </w:p>
    <w:p w14:paraId="3493ECFE" w14:textId="77777777" w:rsidR="00FC33D2" w:rsidRDefault="00FC33D2" w:rsidP="00FC33D2">
      <w:pPr>
        <w:pStyle w:val="NoSpacing"/>
        <w:rPr>
          <w:rFonts w:ascii="Times New Roman" w:hAnsi="Times New Roman"/>
          <w:sz w:val="24"/>
          <w:szCs w:val="24"/>
        </w:rPr>
      </w:pPr>
    </w:p>
    <w:p w14:paraId="29F7A60A" w14:textId="77777777" w:rsidR="00FC33D2" w:rsidRPr="0011159F" w:rsidRDefault="00FC33D2" w:rsidP="00FC33D2">
      <w:pPr>
        <w:pStyle w:val="NoSpacing"/>
        <w:ind w:left="720"/>
        <w:rPr>
          <w:rFonts w:ascii="Times New Roman" w:hAnsi="Times New Roman"/>
          <w:sz w:val="24"/>
          <w:szCs w:val="24"/>
        </w:rPr>
      </w:pPr>
      <w:r>
        <w:rPr>
          <w:rFonts w:ascii="Times New Roman" w:hAnsi="Times New Roman"/>
          <w:sz w:val="24"/>
          <w:szCs w:val="24"/>
        </w:rPr>
        <w:t>“T</w:t>
      </w:r>
      <w:r w:rsidRPr="0011159F">
        <w:rPr>
          <w:rFonts w:ascii="Times New Roman" w:hAnsi="Times New Roman"/>
          <w:sz w:val="24"/>
          <w:szCs w:val="24"/>
        </w:rPr>
        <w:t>his is the second appeal by the City of Houston in this personal injury suit</w:t>
      </w:r>
    </w:p>
    <w:p w14:paraId="1CA99857" w14:textId="77777777" w:rsidR="00FC33D2" w:rsidRPr="0011159F" w:rsidRDefault="00FC33D2" w:rsidP="00FC33D2">
      <w:pPr>
        <w:pStyle w:val="NoSpacing"/>
        <w:ind w:left="720"/>
        <w:rPr>
          <w:rFonts w:ascii="Times New Roman" w:hAnsi="Times New Roman"/>
          <w:sz w:val="24"/>
          <w:szCs w:val="24"/>
        </w:rPr>
      </w:pPr>
      <w:r w:rsidRPr="0011159F">
        <w:rPr>
          <w:rFonts w:ascii="Times New Roman" w:hAnsi="Times New Roman"/>
          <w:sz w:val="24"/>
          <w:szCs w:val="24"/>
        </w:rPr>
        <w:lastRenderedPageBreak/>
        <w:t>arising from a collision between a fire truck and appellees’ vehicle. In the first</w:t>
      </w:r>
    </w:p>
    <w:p w14:paraId="3145F8C1" w14:textId="77777777" w:rsidR="00FC33D2" w:rsidRPr="0011159F" w:rsidRDefault="00FC33D2" w:rsidP="00FC33D2">
      <w:pPr>
        <w:pStyle w:val="NoSpacing"/>
        <w:ind w:left="720"/>
        <w:rPr>
          <w:rFonts w:ascii="Times New Roman" w:hAnsi="Times New Roman"/>
          <w:sz w:val="24"/>
          <w:szCs w:val="24"/>
        </w:rPr>
      </w:pPr>
      <w:r w:rsidRPr="0011159F">
        <w:rPr>
          <w:rFonts w:ascii="Times New Roman" w:hAnsi="Times New Roman"/>
          <w:sz w:val="24"/>
          <w:szCs w:val="24"/>
        </w:rPr>
        <w:t>appeal, the City challenged an order denying its traditional summary-judgment</w:t>
      </w:r>
    </w:p>
    <w:p w14:paraId="6464D1F6" w14:textId="77777777" w:rsidR="00FC33D2" w:rsidRPr="005E4DA9" w:rsidRDefault="00FC33D2" w:rsidP="00FC33D2">
      <w:pPr>
        <w:pStyle w:val="NoSpacing"/>
        <w:ind w:left="720"/>
        <w:rPr>
          <w:rFonts w:ascii="Times New Roman" w:hAnsi="Times New Roman"/>
          <w:sz w:val="24"/>
          <w:szCs w:val="24"/>
        </w:rPr>
      </w:pPr>
      <w:r w:rsidRPr="0011159F">
        <w:rPr>
          <w:rFonts w:ascii="Times New Roman" w:hAnsi="Times New Roman"/>
          <w:sz w:val="24"/>
          <w:szCs w:val="24"/>
        </w:rPr>
        <w:t>motion on immunity grounds. We held that a genuine and material fact questio</w:t>
      </w:r>
      <w:r>
        <w:rPr>
          <w:rFonts w:ascii="Times New Roman" w:hAnsi="Times New Roman"/>
          <w:sz w:val="24"/>
          <w:szCs w:val="24"/>
        </w:rPr>
        <w:t xml:space="preserve">n </w:t>
      </w:r>
      <w:r w:rsidRPr="005E4DA9">
        <w:rPr>
          <w:rFonts w:ascii="Times New Roman" w:hAnsi="Times New Roman"/>
          <w:sz w:val="24"/>
          <w:szCs w:val="24"/>
        </w:rPr>
        <w:t>existed as to the good-faith element of the City’s employee’s official immunity,</w:t>
      </w:r>
    </w:p>
    <w:p w14:paraId="0AD7C002" w14:textId="77777777" w:rsidR="00FC33D2" w:rsidRDefault="00FC33D2" w:rsidP="00FC33D2">
      <w:pPr>
        <w:pStyle w:val="NoSpacing"/>
        <w:ind w:left="720"/>
        <w:rPr>
          <w:rFonts w:ascii="Times New Roman" w:hAnsi="Times New Roman"/>
          <w:sz w:val="24"/>
          <w:szCs w:val="24"/>
        </w:rPr>
      </w:pPr>
      <w:r w:rsidRPr="005E4DA9">
        <w:rPr>
          <w:rFonts w:ascii="Times New Roman" w:hAnsi="Times New Roman"/>
          <w:sz w:val="24"/>
          <w:szCs w:val="24"/>
        </w:rPr>
        <w:t>and we affirmed in part the trial court’s denial of the City’s motion.</w:t>
      </w:r>
    </w:p>
    <w:p w14:paraId="11EDC6F3" w14:textId="77777777" w:rsidR="00FC33D2" w:rsidRDefault="00FC33D2" w:rsidP="00FC33D2">
      <w:pPr>
        <w:pStyle w:val="NoSpacing"/>
        <w:ind w:left="720"/>
        <w:rPr>
          <w:rFonts w:ascii="Times New Roman" w:hAnsi="Times New Roman"/>
          <w:sz w:val="24"/>
          <w:szCs w:val="24"/>
        </w:rPr>
      </w:pPr>
    </w:p>
    <w:p w14:paraId="69F610EC" w14:textId="77777777" w:rsidR="00FC33D2" w:rsidRDefault="00FC33D2" w:rsidP="00FC33D2">
      <w:pPr>
        <w:pStyle w:val="NoSpacing"/>
        <w:ind w:left="720"/>
        <w:rPr>
          <w:rFonts w:ascii="Times New Roman" w:hAnsi="Times New Roman"/>
          <w:sz w:val="24"/>
          <w:szCs w:val="24"/>
        </w:rPr>
      </w:pPr>
      <w:r>
        <w:rPr>
          <w:rFonts w:ascii="Times New Roman" w:hAnsi="Times New Roman"/>
          <w:sz w:val="24"/>
          <w:szCs w:val="24"/>
        </w:rPr>
        <w:t>***</w:t>
      </w:r>
    </w:p>
    <w:p w14:paraId="1FF413DD" w14:textId="77777777" w:rsidR="00FC33D2" w:rsidRDefault="00FC33D2" w:rsidP="00FC33D2">
      <w:pPr>
        <w:pStyle w:val="NoSpacing"/>
        <w:ind w:left="720"/>
        <w:rPr>
          <w:rFonts w:ascii="Times New Roman" w:hAnsi="Times New Roman"/>
          <w:sz w:val="24"/>
          <w:szCs w:val="24"/>
        </w:rPr>
      </w:pPr>
    </w:p>
    <w:p w14:paraId="71AACEDD" w14:textId="77777777" w:rsidR="00FC33D2" w:rsidRPr="00662D7E" w:rsidRDefault="00FC33D2" w:rsidP="00FC33D2">
      <w:pPr>
        <w:pStyle w:val="NoSpacing"/>
        <w:ind w:left="720"/>
        <w:rPr>
          <w:rFonts w:ascii="Times New Roman" w:hAnsi="Times New Roman"/>
          <w:sz w:val="24"/>
          <w:szCs w:val="24"/>
        </w:rPr>
      </w:pPr>
      <w:r w:rsidRPr="00662D7E">
        <w:rPr>
          <w:rFonts w:ascii="Times New Roman" w:hAnsi="Times New Roman"/>
          <w:sz w:val="24"/>
          <w:szCs w:val="24"/>
        </w:rPr>
        <w:t>After the first appeal, the City moved for summary judgment again on</w:t>
      </w:r>
    </w:p>
    <w:p w14:paraId="40CEDC5C" w14:textId="77777777" w:rsidR="00FC33D2" w:rsidRPr="00662D7E" w:rsidRDefault="00FC33D2" w:rsidP="00FC33D2">
      <w:pPr>
        <w:pStyle w:val="NoSpacing"/>
        <w:ind w:left="720"/>
        <w:rPr>
          <w:rFonts w:ascii="Times New Roman" w:hAnsi="Times New Roman"/>
          <w:sz w:val="24"/>
          <w:szCs w:val="24"/>
        </w:rPr>
      </w:pPr>
      <w:r w:rsidRPr="00662D7E">
        <w:rPr>
          <w:rFonts w:ascii="Times New Roman" w:hAnsi="Times New Roman"/>
          <w:sz w:val="24"/>
          <w:szCs w:val="24"/>
        </w:rPr>
        <w:t>immunity grounds, relying on its earlier evidence but adding some new evidence</w:t>
      </w:r>
    </w:p>
    <w:p w14:paraId="5AE89ACC" w14:textId="77777777" w:rsidR="00FC33D2" w:rsidRPr="00662D7E" w:rsidRDefault="00FC33D2" w:rsidP="00FC33D2">
      <w:pPr>
        <w:pStyle w:val="NoSpacing"/>
        <w:ind w:left="720"/>
        <w:rPr>
          <w:rFonts w:ascii="Times New Roman" w:hAnsi="Times New Roman"/>
          <w:sz w:val="24"/>
          <w:szCs w:val="24"/>
        </w:rPr>
      </w:pPr>
      <w:r w:rsidRPr="00662D7E">
        <w:rPr>
          <w:rFonts w:ascii="Times New Roman" w:hAnsi="Times New Roman"/>
          <w:sz w:val="24"/>
          <w:szCs w:val="24"/>
        </w:rPr>
        <w:t>and arguments. The trial court denied the City’s second motion. In this appeal, we</w:t>
      </w:r>
    </w:p>
    <w:p w14:paraId="28877B19" w14:textId="77777777" w:rsidR="00FC33D2" w:rsidRPr="00662D7E" w:rsidRDefault="00FC33D2" w:rsidP="00FC33D2">
      <w:pPr>
        <w:pStyle w:val="NoSpacing"/>
        <w:ind w:left="720"/>
        <w:rPr>
          <w:rFonts w:ascii="Times New Roman" w:hAnsi="Times New Roman"/>
          <w:sz w:val="24"/>
          <w:szCs w:val="24"/>
        </w:rPr>
      </w:pPr>
      <w:proofErr w:type="gramStart"/>
      <w:r w:rsidRPr="00662D7E">
        <w:rPr>
          <w:rFonts w:ascii="Times New Roman" w:hAnsi="Times New Roman"/>
          <w:sz w:val="24"/>
          <w:szCs w:val="24"/>
        </w:rPr>
        <w:t>again</w:t>
      </w:r>
      <w:proofErr w:type="gramEnd"/>
      <w:r w:rsidRPr="00662D7E">
        <w:rPr>
          <w:rFonts w:ascii="Times New Roman" w:hAnsi="Times New Roman"/>
          <w:sz w:val="24"/>
          <w:szCs w:val="24"/>
        </w:rPr>
        <w:t xml:space="preserve"> conclude that the City has not established conclusively that it is immune as a</w:t>
      </w:r>
    </w:p>
    <w:p w14:paraId="708A32A4" w14:textId="77777777" w:rsidR="00FC33D2" w:rsidRDefault="00FC33D2" w:rsidP="00FC33D2">
      <w:pPr>
        <w:pStyle w:val="NoSpacing"/>
        <w:ind w:left="720"/>
        <w:rPr>
          <w:rFonts w:ascii="Times New Roman" w:hAnsi="Times New Roman"/>
          <w:sz w:val="24"/>
          <w:szCs w:val="24"/>
        </w:rPr>
      </w:pPr>
      <w:r w:rsidRPr="00662D7E">
        <w:rPr>
          <w:rFonts w:ascii="Times New Roman" w:hAnsi="Times New Roman"/>
          <w:sz w:val="24"/>
          <w:szCs w:val="24"/>
        </w:rPr>
        <w:t>matter of law.</w:t>
      </w:r>
    </w:p>
    <w:p w14:paraId="00C59F24" w14:textId="77777777" w:rsidR="00FC33D2" w:rsidRDefault="00FC33D2" w:rsidP="00FC33D2">
      <w:pPr>
        <w:pStyle w:val="NoSpacing"/>
        <w:ind w:left="720"/>
        <w:rPr>
          <w:rFonts w:ascii="Times New Roman" w:hAnsi="Times New Roman"/>
          <w:sz w:val="24"/>
          <w:szCs w:val="24"/>
        </w:rPr>
      </w:pPr>
    </w:p>
    <w:p w14:paraId="3876C85F" w14:textId="77777777" w:rsidR="00FC33D2" w:rsidRDefault="00FC33D2" w:rsidP="00FC33D2">
      <w:pPr>
        <w:pStyle w:val="NoSpacing"/>
        <w:ind w:left="720"/>
        <w:rPr>
          <w:rFonts w:ascii="Times New Roman" w:hAnsi="Times New Roman"/>
          <w:sz w:val="24"/>
          <w:szCs w:val="24"/>
        </w:rPr>
      </w:pPr>
      <w:r>
        <w:rPr>
          <w:rFonts w:ascii="Times New Roman" w:hAnsi="Times New Roman"/>
          <w:sz w:val="24"/>
          <w:szCs w:val="24"/>
        </w:rPr>
        <w:t>***</w:t>
      </w:r>
    </w:p>
    <w:p w14:paraId="3FF1C95E" w14:textId="77777777" w:rsidR="00FC33D2" w:rsidRDefault="00FC33D2" w:rsidP="00FC33D2">
      <w:pPr>
        <w:pStyle w:val="NoSpacing"/>
        <w:ind w:left="720"/>
        <w:rPr>
          <w:rFonts w:ascii="Times New Roman" w:hAnsi="Times New Roman"/>
          <w:sz w:val="24"/>
          <w:szCs w:val="24"/>
        </w:rPr>
      </w:pPr>
    </w:p>
    <w:p w14:paraId="39C6ECD2" w14:textId="77777777" w:rsidR="00FC33D2" w:rsidRPr="00956F61" w:rsidRDefault="00FC33D2" w:rsidP="00FC33D2">
      <w:pPr>
        <w:pStyle w:val="NoSpacing"/>
        <w:ind w:left="720"/>
        <w:rPr>
          <w:rFonts w:ascii="Times New Roman" w:hAnsi="Times New Roman"/>
          <w:sz w:val="24"/>
          <w:szCs w:val="24"/>
        </w:rPr>
      </w:pPr>
      <w:r w:rsidRPr="00956F61">
        <w:rPr>
          <w:rFonts w:ascii="Times New Roman" w:hAnsi="Times New Roman"/>
          <w:sz w:val="24"/>
          <w:szCs w:val="24"/>
        </w:rPr>
        <w:t xml:space="preserve">Thus, fact questions exist whether the </w:t>
      </w:r>
      <w:proofErr w:type="gramStart"/>
      <w:r w:rsidRPr="00956F61">
        <w:rPr>
          <w:rFonts w:ascii="Times New Roman" w:hAnsi="Times New Roman"/>
          <w:sz w:val="24"/>
          <w:szCs w:val="24"/>
        </w:rPr>
        <w:t>City</w:t>
      </w:r>
      <w:proofErr w:type="gramEnd"/>
      <w:r w:rsidRPr="00956F61">
        <w:rPr>
          <w:rFonts w:ascii="Times New Roman" w:hAnsi="Times New Roman"/>
          <w:sz w:val="24"/>
          <w:szCs w:val="24"/>
        </w:rPr>
        <w:t xml:space="preserve"> complied with all three</w:t>
      </w:r>
      <w:r>
        <w:rPr>
          <w:rFonts w:ascii="Times New Roman" w:hAnsi="Times New Roman"/>
          <w:sz w:val="24"/>
          <w:szCs w:val="24"/>
        </w:rPr>
        <w:t xml:space="preserve"> </w:t>
      </w:r>
      <w:r w:rsidRPr="00956F61">
        <w:rPr>
          <w:rFonts w:ascii="Times New Roman" w:hAnsi="Times New Roman"/>
          <w:sz w:val="24"/>
          <w:szCs w:val="24"/>
        </w:rPr>
        <w:t>applicable laws it cited. A factfinder could reasonably conclude that Schmidt</w:t>
      </w:r>
      <w:r>
        <w:rPr>
          <w:rFonts w:ascii="Times New Roman" w:hAnsi="Times New Roman"/>
          <w:sz w:val="24"/>
          <w:szCs w:val="24"/>
        </w:rPr>
        <w:t xml:space="preserve"> </w:t>
      </w:r>
      <w:r w:rsidRPr="00956F61">
        <w:rPr>
          <w:rFonts w:ascii="Times New Roman" w:hAnsi="Times New Roman"/>
          <w:sz w:val="24"/>
          <w:szCs w:val="24"/>
        </w:rPr>
        <w:t>(1) drove above the speed limit, (2) did not slow his speed while entering the</w:t>
      </w:r>
      <w:r>
        <w:rPr>
          <w:rFonts w:ascii="Times New Roman" w:hAnsi="Times New Roman"/>
          <w:sz w:val="24"/>
          <w:szCs w:val="24"/>
        </w:rPr>
        <w:t xml:space="preserve"> </w:t>
      </w:r>
      <w:r w:rsidRPr="00956F61">
        <w:rPr>
          <w:rFonts w:ascii="Times New Roman" w:hAnsi="Times New Roman"/>
          <w:sz w:val="24"/>
          <w:szCs w:val="24"/>
        </w:rPr>
        <w:t>intersection, and (3) proceeded against a red light. Thus, disputed and material fact</w:t>
      </w:r>
      <w:r>
        <w:rPr>
          <w:rFonts w:ascii="Times New Roman" w:hAnsi="Times New Roman"/>
          <w:sz w:val="24"/>
          <w:szCs w:val="24"/>
        </w:rPr>
        <w:t xml:space="preserve"> </w:t>
      </w:r>
      <w:r w:rsidRPr="00956F61">
        <w:rPr>
          <w:rFonts w:ascii="Times New Roman" w:hAnsi="Times New Roman"/>
          <w:sz w:val="24"/>
          <w:szCs w:val="24"/>
        </w:rPr>
        <w:t>issues preclude summary judgment in the City’s favor on the emergency response</w:t>
      </w:r>
      <w:r>
        <w:rPr>
          <w:rFonts w:ascii="Times New Roman" w:hAnsi="Times New Roman"/>
          <w:sz w:val="24"/>
          <w:szCs w:val="24"/>
        </w:rPr>
        <w:t xml:space="preserve"> </w:t>
      </w:r>
      <w:proofErr w:type="gramStart"/>
      <w:r w:rsidRPr="00956F61">
        <w:rPr>
          <w:rFonts w:ascii="Times New Roman" w:hAnsi="Times New Roman"/>
          <w:sz w:val="24"/>
          <w:szCs w:val="24"/>
        </w:rPr>
        <w:t>exception.</w:t>
      </w:r>
      <w:r>
        <w:rPr>
          <w:rFonts w:ascii="Times New Roman" w:hAnsi="Times New Roman"/>
          <w:sz w:val="24"/>
          <w:szCs w:val="24"/>
        </w:rPr>
        <w:t>”</w:t>
      </w:r>
      <w:proofErr w:type="gramEnd"/>
      <w:r>
        <w:rPr>
          <w:rFonts w:ascii="Times New Roman" w:hAnsi="Times New Roman"/>
          <w:sz w:val="24"/>
          <w:szCs w:val="24"/>
        </w:rPr>
        <w:t xml:space="preserve"> </w:t>
      </w:r>
      <w:hyperlink r:id="rId927" w:history="1">
        <w:r w:rsidRPr="0090149E">
          <w:rPr>
            <w:rStyle w:val="Hyperlink"/>
            <w:rFonts w:ascii="Times New Roman" w:hAnsi="Times New Roman"/>
            <w:sz w:val="24"/>
            <w:szCs w:val="24"/>
          </w:rPr>
          <w:t>https://cases.justia.com/texas/fourteenth-court-of-appeals/2024-14-23-00087-cv.pdf?ts=1709819934</w:t>
        </w:r>
      </w:hyperlink>
      <w:r>
        <w:rPr>
          <w:rFonts w:ascii="Times New Roman" w:hAnsi="Times New Roman"/>
          <w:sz w:val="24"/>
          <w:szCs w:val="24"/>
        </w:rPr>
        <w:t xml:space="preserve"> </w:t>
      </w:r>
    </w:p>
    <w:p w14:paraId="72E9B41D" w14:textId="77777777" w:rsidR="00FC33D2" w:rsidRDefault="00FC33D2" w:rsidP="00FC33D2">
      <w:pPr>
        <w:pStyle w:val="NoSpacing"/>
        <w:ind w:left="720"/>
        <w:rPr>
          <w:rFonts w:ascii="Times New Roman" w:hAnsi="Times New Roman"/>
          <w:sz w:val="24"/>
          <w:szCs w:val="24"/>
        </w:rPr>
      </w:pPr>
    </w:p>
    <w:p w14:paraId="0AAFB88C" w14:textId="77777777" w:rsidR="00FC33D2" w:rsidRPr="00497100" w:rsidRDefault="00FC33D2" w:rsidP="00FC33D2">
      <w:pPr>
        <w:pStyle w:val="NoSpacing"/>
        <w:rPr>
          <w:b/>
          <w:bCs/>
          <w:color w:val="454545"/>
        </w:rPr>
      </w:pPr>
      <w:r w:rsidRPr="00497100">
        <w:rPr>
          <w:rFonts w:ascii="Times New Roman" w:hAnsi="Times New Roman"/>
          <w:b/>
          <w:bCs/>
          <w:sz w:val="24"/>
          <w:szCs w:val="24"/>
        </w:rPr>
        <w:t>Legal Lesson Learned:</w:t>
      </w:r>
      <w:r>
        <w:rPr>
          <w:rFonts w:ascii="Times New Roman" w:hAnsi="Times New Roman"/>
          <w:b/>
          <w:bCs/>
          <w:sz w:val="24"/>
          <w:szCs w:val="24"/>
        </w:rPr>
        <w:t xml:space="preserve"> On emergency response, proceed with due care and slow down at red lights to confirm safe to proceed.</w:t>
      </w:r>
    </w:p>
    <w:p w14:paraId="124777A7" w14:textId="77777777" w:rsidR="00FC33D2" w:rsidRPr="00497100" w:rsidRDefault="00FC33D2" w:rsidP="00FC33D2">
      <w:pPr>
        <w:pStyle w:val="NormalWeb"/>
        <w:spacing w:before="0" w:beforeAutospacing="0"/>
        <w:rPr>
          <w:b/>
          <w:bCs/>
          <w:color w:val="454545"/>
          <w:shd w:val="clear" w:color="auto" w:fill="FFFFFF"/>
        </w:rPr>
      </w:pPr>
    </w:p>
    <w:p w14:paraId="1A14ED05" w14:textId="06597828" w:rsidR="00A35726" w:rsidRDefault="00A35726" w:rsidP="00EF1133">
      <w:pPr>
        <w:rPr>
          <w:rFonts w:ascii="Arial Black" w:hAnsi="Arial Black"/>
          <w:b/>
          <w:sz w:val="24"/>
          <w:szCs w:val="24"/>
        </w:rPr>
      </w:pPr>
      <w:r>
        <w:rPr>
          <w:rFonts w:ascii="Arial Black" w:hAnsi="Arial Black"/>
          <w:b/>
          <w:sz w:val="24"/>
          <w:szCs w:val="24"/>
        </w:rPr>
        <w:t>5-41</w:t>
      </w:r>
    </w:p>
    <w:p w14:paraId="278A6B46" w14:textId="40B9F893" w:rsidR="00AD7949" w:rsidRPr="00D166AA" w:rsidRDefault="00AD7949" w:rsidP="00AD7949">
      <w:pPr>
        <w:pStyle w:val="NoSpacing"/>
        <w:rPr>
          <w:rFonts w:ascii="Arial Black" w:hAnsi="Arial Black"/>
          <w:sz w:val="28"/>
          <w:szCs w:val="28"/>
        </w:rPr>
      </w:pPr>
      <w:r>
        <w:rPr>
          <w:rFonts w:ascii="Arial Black" w:hAnsi="Arial Black"/>
          <w:sz w:val="28"/>
          <w:szCs w:val="28"/>
        </w:rPr>
        <w:t>OK: AMBULANCE SPEEDING WITH PATIENT RUNS INTO TOLL</w:t>
      </w:r>
      <w:r w:rsidR="00EC68FC">
        <w:rPr>
          <w:rFonts w:ascii="Arial Black" w:hAnsi="Arial Black"/>
          <w:sz w:val="28"/>
          <w:szCs w:val="28"/>
        </w:rPr>
        <w:t xml:space="preserve"> </w:t>
      </w:r>
      <w:r>
        <w:rPr>
          <w:rFonts w:ascii="Arial Black" w:hAnsi="Arial Black"/>
          <w:sz w:val="28"/>
          <w:szCs w:val="28"/>
        </w:rPr>
        <w:t xml:space="preserve">BOOTH – </w:t>
      </w:r>
      <w:r w:rsidR="00FE158F">
        <w:rPr>
          <w:rFonts w:ascii="Arial Black" w:hAnsi="Arial Black"/>
          <w:sz w:val="28"/>
          <w:szCs w:val="28"/>
        </w:rPr>
        <w:t xml:space="preserve">IMMUNITY - </w:t>
      </w:r>
      <w:r w:rsidR="00D25072">
        <w:rPr>
          <w:rFonts w:ascii="Arial Black" w:hAnsi="Arial Black"/>
          <w:sz w:val="28"/>
          <w:szCs w:val="28"/>
        </w:rPr>
        <w:t xml:space="preserve">TOLL BOTH OPERATOR </w:t>
      </w:r>
      <w:r>
        <w:rPr>
          <w:rFonts w:ascii="Arial Black" w:hAnsi="Arial Black"/>
          <w:sz w:val="28"/>
          <w:szCs w:val="28"/>
        </w:rPr>
        <w:t>G</w:t>
      </w:r>
      <w:r w:rsidR="00CD2ECE">
        <w:rPr>
          <w:rFonts w:ascii="Arial Black" w:hAnsi="Arial Black"/>
          <w:sz w:val="28"/>
          <w:szCs w:val="28"/>
        </w:rPr>
        <w:t>E</w:t>
      </w:r>
      <w:r>
        <w:rPr>
          <w:rFonts w:ascii="Arial Black" w:hAnsi="Arial Black"/>
          <w:sz w:val="28"/>
          <w:szCs w:val="28"/>
        </w:rPr>
        <w:t>T</w:t>
      </w:r>
      <w:r w:rsidR="00CD2ECE">
        <w:rPr>
          <w:rFonts w:ascii="Arial Black" w:hAnsi="Arial Black"/>
          <w:sz w:val="28"/>
          <w:szCs w:val="28"/>
        </w:rPr>
        <w:t>S</w:t>
      </w:r>
      <w:r>
        <w:rPr>
          <w:rFonts w:ascii="Arial Black" w:hAnsi="Arial Black"/>
          <w:sz w:val="28"/>
          <w:szCs w:val="28"/>
        </w:rPr>
        <w:t xml:space="preserve"> WORKERS COMP </w:t>
      </w:r>
    </w:p>
    <w:p w14:paraId="04421C59" w14:textId="77777777" w:rsidR="00AD7949" w:rsidRDefault="00AD7949" w:rsidP="00AD7949">
      <w:pPr>
        <w:pStyle w:val="Heading1"/>
        <w:rPr>
          <w:b w:val="0"/>
          <w:bCs w:val="0"/>
          <w:sz w:val="24"/>
          <w:szCs w:val="24"/>
          <w:u w:val="single"/>
        </w:rPr>
      </w:pPr>
      <w:r w:rsidRPr="00C07EB0">
        <w:rPr>
          <w:b w:val="0"/>
          <w:bCs w:val="0"/>
          <w:sz w:val="24"/>
          <w:szCs w:val="24"/>
        </w:rPr>
        <w:t xml:space="preserve">On Feb. 13, 2024, in </w:t>
      </w:r>
      <w:r w:rsidRPr="00C344F2">
        <w:rPr>
          <w:b w:val="0"/>
          <w:bCs w:val="0"/>
          <w:sz w:val="24"/>
          <w:szCs w:val="24"/>
          <w:u w:val="single"/>
        </w:rPr>
        <w:t>Jackson County Emergency Medical Service District v. The Honorable Kory S. Kirkland, Judge of the District Court for Grady County, State of Oklahoma</w:t>
      </w:r>
      <w:r w:rsidRPr="00C344F2">
        <w:rPr>
          <w:b w:val="0"/>
          <w:bCs w:val="0"/>
          <w:sz w:val="24"/>
          <w:szCs w:val="24"/>
        </w:rPr>
        <w:t xml:space="preserve">, </w:t>
      </w:r>
      <w:r>
        <w:rPr>
          <w:b w:val="0"/>
          <w:bCs w:val="0"/>
          <w:sz w:val="24"/>
          <w:szCs w:val="24"/>
        </w:rPr>
        <w:t xml:space="preserve">the Supreme Court of Oklahoma held (9 t0 0) that trial court improperly denied the Medical District’s motion to dismiss; it is a governmental entity of Jackson County, and under Oklahoma law, when an injured person[Shannon Garst, the injured toll-both attendant] collected worker’s comp from her employer,  </w:t>
      </w:r>
      <w:r w:rsidRPr="00247832">
        <w:rPr>
          <w:b w:val="0"/>
          <w:bCs w:val="0"/>
          <w:sz w:val="24"/>
          <w:szCs w:val="24"/>
        </w:rPr>
        <w:t>American Staff Corporation</w:t>
      </w:r>
      <w:r>
        <w:rPr>
          <w:b w:val="0"/>
          <w:bCs w:val="0"/>
          <w:sz w:val="24"/>
          <w:szCs w:val="24"/>
        </w:rPr>
        <w:t xml:space="preserve">, she cannot sue government agency. </w:t>
      </w:r>
    </w:p>
    <w:p w14:paraId="7746337B" w14:textId="77777777" w:rsidR="00AD7949" w:rsidRDefault="00AD7949" w:rsidP="00AD7949">
      <w:pPr>
        <w:pStyle w:val="Heading1"/>
        <w:rPr>
          <w:b w:val="0"/>
          <w:bCs w:val="0"/>
          <w:sz w:val="24"/>
          <w:szCs w:val="24"/>
        </w:rPr>
      </w:pPr>
      <w:r>
        <w:rPr>
          <w:b w:val="0"/>
          <w:bCs w:val="0"/>
          <w:sz w:val="24"/>
          <w:szCs w:val="24"/>
        </w:rPr>
        <w:t xml:space="preserve">The Court held:  </w:t>
      </w:r>
    </w:p>
    <w:p w14:paraId="5B31FBE1" w14:textId="77777777" w:rsidR="00AD7949" w:rsidRPr="006D7B0A" w:rsidRDefault="00AD7949" w:rsidP="00AD7949">
      <w:pPr>
        <w:pStyle w:val="NoSpacing"/>
        <w:ind w:left="720"/>
        <w:rPr>
          <w:rFonts w:ascii="Times New Roman" w:hAnsi="Times New Roman"/>
          <w:sz w:val="24"/>
          <w:szCs w:val="24"/>
        </w:rPr>
      </w:pPr>
      <w:r w:rsidRPr="006D7B0A">
        <w:rPr>
          <w:rFonts w:ascii="Times New Roman" w:hAnsi="Times New Roman"/>
          <w:sz w:val="24"/>
          <w:szCs w:val="24"/>
        </w:rPr>
        <w:t xml:space="preserve">“After an ambulance collided with a turnpike tollbooth, the injured toll-worker filed a lawsuit against the ambulance driver and her employer, the Jackson County Emergency Medical Services District. The medical district sought to dismiss the lawsuit. It argued that it was entitled to governmental immunity, and that the Governmental Tort Claims Act, 51 O.S. 2021 §155(14) applied to prohibit recovery because the toll-worker had recovered workers compensation benefits. The trial court denied the dismissal. The medical district filed an </w:t>
      </w:r>
      <w:proofErr w:type="gramStart"/>
      <w:r w:rsidRPr="006D7B0A">
        <w:rPr>
          <w:rFonts w:ascii="Times New Roman" w:hAnsi="Times New Roman"/>
          <w:sz w:val="24"/>
          <w:szCs w:val="24"/>
        </w:rPr>
        <w:t>Application</w:t>
      </w:r>
      <w:proofErr w:type="gramEnd"/>
      <w:r w:rsidRPr="006D7B0A">
        <w:rPr>
          <w:rFonts w:ascii="Times New Roman" w:hAnsi="Times New Roman"/>
          <w:sz w:val="24"/>
          <w:szCs w:val="24"/>
        </w:rPr>
        <w:t xml:space="preserve"> to Assume Original Jurisdiction and Petition for Writ of Prohibition in this Court to prevent the trial court from proceeding further. We assume original jurisdiction and grant the writ of prohibition by opinion. We hold that: 1) pursuant to the Okla. Const. art. 10, §9C, although the medical district is a unique entity, it is subject to lawsuits through its board of trustees to the same extent as any Oklahoma municipality or county; and 2) the Governmental Tort Claims Act, 51 </w:t>
      </w:r>
      <w:r w:rsidRPr="006D7B0A">
        <w:rPr>
          <w:rFonts w:ascii="Times New Roman" w:hAnsi="Times New Roman"/>
          <w:sz w:val="24"/>
          <w:szCs w:val="24"/>
        </w:rPr>
        <w:lastRenderedPageBreak/>
        <w:t>O.S. 2021, §155(14) et seq., is applicable to preclude recovery.</w:t>
      </w:r>
      <w:r>
        <w:rPr>
          <w:rFonts w:ascii="Times New Roman" w:hAnsi="Times New Roman"/>
          <w:sz w:val="24"/>
          <w:szCs w:val="24"/>
        </w:rPr>
        <w:t xml:space="preserve">” </w:t>
      </w:r>
      <w:hyperlink r:id="rId928" w:history="1">
        <w:r w:rsidRPr="006D7B0A">
          <w:rPr>
            <w:rStyle w:val="Hyperlink"/>
            <w:rFonts w:ascii="Times New Roman" w:hAnsi="Times New Roman"/>
            <w:sz w:val="24"/>
            <w:szCs w:val="24"/>
          </w:rPr>
          <w:t>https://law.justia.com/cases/oklahoma/supreme-court/2024/121510.html</w:t>
        </w:r>
      </w:hyperlink>
      <w:r w:rsidRPr="006D7B0A">
        <w:rPr>
          <w:rFonts w:ascii="Times New Roman" w:hAnsi="Times New Roman"/>
          <w:sz w:val="24"/>
          <w:szCs w:val="24"/>
        </w:rPr>
        <w:t xml:space="preserve"> </w:t>
      </w:r>
    </w:p>
    <w:p w14:paraId="2798CCDE" w14:textId="77777777" w:rsidR="00AD7949" w:rsidRDefault="00AD7949" w:rsidP="00AD7949">
      <w:pPr>
        <w:pStyle w:val="NoSpacing"/>
        <w:rPr>
          <w:rFonts w:ascii="Times New Roman" w:hAnsi="Times New Roman"/>
          <w:sz w:val="24"/>
          <w:szCs w:val="24"/>
        </w:rPr>
      </w:pPr>
    </w:p>
    <w:p w14:paraId="2BF82A3B" w14:textId="77777777" w:rsidR="00AD7949" w:rsidRDefault="00AD7949" w:rsidP="00AD7949">
      <w:pPr>
        <w:pStyle w:val="NoSpacing"/>
      </w:pPr>
    </w:p>
    <w:p w14:paraId="50F06CEF" w14:textId="77777777" w:rsidR="00AD7949" w:rsidRPr="006D7B0A" w:rsidRDefault="00AD7949" w:rsidP="00AD7949">
      <w:pPr>
        <w:pStyle w:val="NormalWeb"/>
        <w:rPr>
          <w:b/>
          <w:bCs/>
        </w:rPr>
      </w:pPr>
      <w:r w:rsidRPr="006D7B0A">
        <w:rPr>
          <w:b/>
          <w:bCs/>
        </w:rPr>
        <w:t>Legal Lesson Learned:</w:t>
      </w:r>
      <w:r>
        <w:rPr>
          <w:b/>
          <w:bCs/>
        </w:rPr>
        <w:t xml:space="preserve"> Pay attention when operating an emergency vehicle, including when passing through a tollbooth; fortunate to have government immunity when injured persons </w:t>
      </w:r>
      <w:proofErr w:type="gramStart"/>
      <w:r>
        <w:rPr>
          <w:b/>
          <w:bCs/>
        </w:rPr>
        <w:t>receives</w:t>
      </w:r>
      <w:proofErr w:type="gramEnd"/>
      <w:r>
        <w:rPr>
          <w:b/>
          <w:bCs/>
        </w:rPr>
        <w:t xml:space="preserve"> workers compensation. </w:t>
      </w:r>
    </w:p>
    <w:p w14:paraId="365A48DF" w14:textId="77777777" w:rsidR="00A35726" w:rsidRDefault="00A35726" w:rsidP="00EF1133">
      <w:pPr>
        <w:rPr>
          <w:rFonts w:ascii="Arial Black" w:hAnsi="Arial Black"/>
          <w:b/>
          <w:sz w:val="24"/>
          <w:szCs w:val="24"/>
        </w:rPr>
      </w:pPr>
    </w:p>
    <w:p w14:paraId="304E3595" w14:textId="77777777" w:rsidR="00A35726" w:rsidRDefault="00A35726" w:rsidP="00EF1133">
      <w:pPr>
        <w:rPr>
          <w:rFonts w:ascii="Arial Black" w:hAnsi="Arial Black"/>
          <w:b/>
          <w:sz w:val="24"/>
          <w:szCs w:val="24"/>
        </w:rPr>
      </w:pPr>
    </w:p>
    <w:p w14:paraId="2E7FF696" w14:textId="2FD598A8" w:rsidR="00AF2973" w:rsidRDefault="00AF2973" w:rsidP="00EF1133">
      <w:pPr>
        <w:rPr>
          <w:rFonts w:ascii="Arial Black" w:hAnsi="Arial Black"/>
          <w:b/>
          <w:sz w:val="24"/>
          <w:szCs w:val="24"/>
        </w:rPr>
      </w:pPr>
      <w:r>
        <w:rPr>
          <w:rFonts w:ascii="Arial Black" w:hAnsi="Arial Black"/>
          <w:b/>
          <w:sz w:val="24"/>
          <w:szCs w:val="24"/>
        </w:rPr>
        <w:t>5-40</w:t>
      </w:r>
    </w:p>
    <w:p w14:paraId="5E231F2C" w14:textId="77777777" w:rsidR="001C5889" w:rsidRPr="00960419" w:rsidRDefault="001C5889" w:rsidP="001C5889">
      <w:pPr>
        <w:pStyle w:val="NormalWeb"/>
        <w:rPr>
          <w:rFonts w:ascii="Arial Black" w:hAnsi="Arial Black"/>
          <w:sz w:val="28"/>
          <w:szCs w:val="28"/>
        </w:rPr>
      </w:pPr>
      <w:r>
        <w:rPr>
          <w:rFonts w:ascii="Arial Black" w:hAnsi="Arial Black"/>
          <w:sz w:val="28"/>
          <w:szCs w:val="28"/>
        </w:rPr>
        <w:t>MO: PD OFFICER RESPONDING TO VEHICLE CHASE – 87 MPH, STOP SIGN - CRASH– RECKLESS - OFFICIAL IMMUNITY</w:t>
      </w:r>
    </w:p>
    <w:p w14:paraId="046FB9FF" w14:textId="77777777" w:rsidR="001C5889" w:rsidRDefault="001C5889" w:rsidP="001C5889">
      <w:pPr>
        <w:pStyle w:val="NormalWeb"/>
      </w:pPr>
      <w:r>
        <w:t xml:space="preserve">On Jan. 30, 2024, in </w:t>
      </w:r>
      <w:r w:rsidRPr="00AA2F98">
        <w:rPr>
          <w:u w:val="single"/>
        </w:rPr>
        <w:t>John Carlton v. Brandon Means</w:t>
      </w:r>
      <w:r>
        <w:t xml:space="preserve">, the Court of Appeals of Missouri, Eastern Division (Second Division) holds (3 to 0) that while the officer may have been reckless, he enjoys official immunity under Missouri law since there was no “malice” (improper or wrongful motive) on his part. </w:t>
      </w:r>
    </w:p>
    <w:p w14:paraId="4D3F2B66" w14:textId="77777777" w:rsidR="001C5889" w:rsidRDefault="001C5889" w:rsidP="001C5889">
      <w:pPr>
        <w:pStyle w:val="NormalWeb"/>
        <w:ind w:left="720"/>
      </w:pPr>
      <w:r>
        <w:t xml:space="preserve">“Carlton suggests he can show the requisite intent because Officer Means's conduct was </w:t>
      </w:r>
      <w:r>
        <w:rPr>
          <w:rStyle w:val="Emphasis"/>
        </w:rPr>
        <w:t>so</w:t>
      </w:r>
      <w:r>
        <w:t xml:space="preserve"> reckless and was </w:t>
      </w:r>
      <w:r>
        <w:rPr>
          <w:rStyle w:val="Emphasis"/>
        </w:rPr>
        <w:t>so</w:t>
      </w:r>
      <w:r>
        <w:t xml:space="preserve"> willfully in disregard of another's rights that a trier of fact could infer he had an improper or wrongful motive. No Missouri cases have found malice based on an inference of intent drawn solely from the recklessness of an officer's conduct in responding to an emergency. </w:t>
      </w:r>
      <w:r>
        <w:rPr>
          <w:rStyle w:val="Emphasis"/>
        </w:rPr>
        <w:t>Throneberry</w:t>
      </w:r>
      <w:r>
        <w:t xml:space="preserve"> and </w:t>
      </w:r>
      <w:r>
        <w:rPr>
          <w:rStyle w:val="Emphasis"/>
        </w:rPr>
        <w:t>Moore</w:t>
      </w:r>
      <w:r>
        <w:t xml:space="preserve">, however, noted the </w:t>
      </w:r>
      <w:r>
        <w:rPr>
          <w:rStyle w:val="Emphasis"/>
        </w:rPr>
        <w:t>lack</w:t>
      </w:r>
      <w:r>
        <w:t xml:space="preserve"> of </w:t>
      </w:r>
      <w:proofErr w:type="gramStart"/>
      <w:r>
        <w:t>any facts</w:t>
      </w:r>
      <w:proofErr w:type="gramEnd"/>
      <w:r>
        <w:t xml:space="preserve"> giving rise to such an inference, which suggests the possibility that such an inference could be drawn in appropriate circumstances.  But no such inference can be drawn from the facts or opinions in this case, even when viewed in the light most favorable to Carlton. In the context of responding to this emergency, Officer Means's act of driving over the speed limit and past a stop sign-even if reckless-did not show an intent to injure anyone, only an intent to get to the officer in need as quickly as possible.” </w:t>
      </w:r>
      <w:hyperlink r:id="rId929" w:history="1">
        <w:r w:rsidRPr="00D10854">
          <w:rPr>
            <w:rStyle w:val="Hyperlink"/>
          </w:rPr>
          <w:t>https://www.courts.mo.gov/file.jsp?id=205075</w:t>
        </w:r>
      </w:hyperlink>
      <w:r>
        <w:t xml:space="preserve"> </w:t>
      </w:r>
    </w:p>
    <w:p w14:paraId="3643BB04" w14:textId="77777777" w:rsidR="00D73F92" w:rsidRPr="00175FBA" w:rsidRDefault="00D73F92" w:rsidP="00D73F92">
      <w:pPr>
        <w:pStyle w:val="NormalWeb"/>
        <w:rPr>
          <w:b/>
          <w:bCs/>
        </w:rPr>
      </w:pPr>
      <w:r w:rsidRPr="00175FBA">
        <w:rPr>
          <w:b/>
          <w:bCs/>
        </w:rPr>
        <w:t>Legal Lesson Learned</w:t>
      </w:r>
      <w:r>
        <w:rPr>
          <w:b/>
          <w:bCs/>
        </w:rPr>
        <w:t xml:space="preserve">: This officer, and his </w:t>
      </w:r>
      <w:proofErr w:type="gramStart"/>
      <w:r>
        <w:rPr>
          <w:b/>
          <w:bCs/>
        </w:rPr>
        <w:t>City</w:t>
      </w:r>
      <w:proofErr w:type="gramEnd"/>
      <w:r>
        <w:rPr>
          <w:b/>
          <w:bCs/>
        </w:rPr>
        <w:t xml:space="preserve">, were very fortunate to escape liability for this reckless conduct. </w:t>
      </w:r>
    </w:p>
    <w:p w14:paraId="24E6E62C" w14:textId="77777777" w:rsidR="00AF2973" w:rsidRDefault="00AF2973" w:rsidP="00EF1133">
      <w:pPr>
        <w:rPr>
          <w:rFonts w:ascii="Arial Black" w:hAnsi="Arial Black"/>
          <w:b/>
          <w:sz w:val="24"/>
          <w:szCs w:val="24"/>
        </w:rPr>
      </w:pPr>
    </w:p>
    <w:p w14:paraId="77AD4061" w14:textId="068B3117" w:rsidR="00BB49C5" w:rsidRDefault="00E118E6" w:rsidP="00EF1133">
      <w:pPr>
        <w:rPr>
          <w:rFonts w:ascii="Arial Black" w:hAnsi="Arial Black"/>
          <w:b/>
          <w:sz w:val="24"/>
          <w:szCs w:val="24"/>
        </w:rPr>
      </w:pPr>
      <w:r>
        <w:rPr>
          <w:rFonts w:ascii="Arial Black" w:hAnsi="Arial Black"/>
          <w:b/>
          <w:sz w:val="24"/>
          <w:szCs w:val="24"/>
        </w:rPr>
        <w:t>5-39</w:t>
      </w:r>
    </w:p>
    <w:p w14:paraId="6893F751" w14:textId="77777777" w:rsidR="00E118E6" w:rsidRDefault="00E118E6" w:rsidP="00E118E6">
      <w:pPr>
        <w:pStyle w:val="Heading1"/>
        <w:rPr>
          <w:rFonts w:ascii="Arial Black" w:hAnsi="Arial Black"/>
          <w:b w:val="0"/>
          <w:bCs w:val="0"/>
          <w:sz w:val="28"/>
          <w:szCs w:val="28"/>
        </w:rPr>
      </w:pPr>
      <w:r>
        <w:rPr>
          <w:rFonts w:ascii="Arial Black" w:hAnsi="Arial Black"/>
          <w:sz w:val="28"/>
          <w:szCs w:val="28"/>
        </w:rPr>
        <w:t xml:space="preserve">TX: PD &amp; EMS REPORTS GAVE CITY ADEQUATE “NOTICE” PD AT FAULT INJURED MOTORIST – LAWSUIT PROCEEED </w:t>
      </w:r>
    </w:p>
    <w:p w14:paraId="0F83DB56" w14:textId="77777777" w:rsidR="00E118E6" w:rsidRPr="00556010" w:rsidRDefault="00E118E6" w:rsidP="00E118E6">
      <w:pPr>
        <w:pStyle w:val="NoSpacing"/>
        <w:rPr>
          <w:rFonts w:ascii="Times New Roman" w:hAnsi="Times New Roman"/>
          <w:sz w:val="24"/>
          <w:szCs w:val="24"/>
        </w:rPr>
      </w:pPr>
      <w:r w:rsidRPr="00556010">
        <w:rPr>
          <w:rFonts w:ascii="Times New Roman" w:hAnsi="Times New Roman"/>
          <w:sz w:val="24"/>
          <w:szCs w:val="24"/>
        </w:rPr>
        <w:t xml:space="preserve">On Dec. 28, 2023, in </w:t>
      </w:r>
      <w:r w:rsidRPr="00556010">
        <w:rPr>
          <w:rFonts w:ascii="Times New Roman" w:hAnsi="Times New Roman"/>
          <w:sz w:val="24"/>
          <w:szCs w:val="24"/>
          <w:u w:val="single"/>
        </w:rPr>
        <w:t>City of Houston v. Marvis Huff</w:t>
      </w:r>
      <w:r w:rsidRPr="00556010">
        <w:rPr>
          <w:rFonts w:ascii="Times New Roman" w:hAnsi="Times New Roman"/>
          <w:sz w:val="24"/>
          <w:szCs w:val="24"/>
        </w:rPr>
        <w:t>, the Court of Appeals of Texas, First District, held (3 to 0) that trial court judge properly denied the City’s motion for summary judgment; the personal injury lawsuit may proceed even if injured party didn’t give City formal notice of his claim within 90 days (was 60 days late). “Officer Rangel concluded in the crash report that Officer Miller improperly</w:t>
      </w:r>
      <w:r>
        <w:rPr>
          <w:rFonts w:ascii="Times New Roman" w:hAnsi="Times New Roman"/>
          <w:sz w:val="24"/>
          <w:szCs w:val="24"/>
        </w:rPr>
        <w:t xml:space="preserve"> </w:t>
      </w:r>
      <w:r w:rsidRPr="00556010">
        <w:rPr>
          <w:rFonts w:ascii="Times New Roman" w:hAnsi="Times New Roman"/>
          <w:sz w:val="24"/>
          <w:szCs w:val="24"/>
        </w:rPr>
        <w:t xml:space="preserve">turned from the wrong lane and that this improper turn was the sole contributing factor to the accident. The report does not assign any fault to Huff or to any other party—other than Miller. Thus, the report in this case does more than just imply Miller’s </w:t>
      </w:r>
      <w:proofErr w:type="gramStart"/>
      <w:r w:rsidRPr="00556010">
        <w:rPr>
          <w:rFonts w:ascii="Times New Roman" w:hAnsi="Times New Roman"/>
          <w:sz w:val="24"/>
          <w:szCs w:val="24"/>
        </w:rPr>
        <w:lastRenderedPageBreak/>
        <w:t>fault—</w:t>
      </w:r>
      <w:proofErr w:type="gramEnd"/>
      <w:r w:rsidRPr="00556010">
        <w:rPr>
          <w:rFonts w:ascii="Times New Roman" w:hAnsi="Times New Roman"/>
          <w:sz w:val="24"/>
          <w:szCs w:val="24"/>
        </w:rPr>
        <w:t xml:space="preserve">it expressly assigns fault to him. An incident that triggers an investigation and accident report will impute actual notice where there is evidence to connect the accident to an action or omission by the governmental unit such that it should have known of its potential </w:t>
      </w:r>
      <w:proofErr w:type="gramStart"/>
      <w:r w:rsidRPr="00556010">
        <w:rPr>
          <w:rFonts w:ascii="Times New Roman" w:hAnsi="Times New Roman"/>
          <w:sz w:val="24"/>
          <w:szCs w:val="24"/>
        </w:rPr>
        <w:t>culpability.”</w:t>
      </w:r>
      <w:proofErr w:type="gramEnd"/>
      <w:r w:rsidRPr="00556010">
        <w:rPr>
          <w:rFonts w:ascii="Times New Roman" w:hAnsi="Times New Roman"/>
          <w:sz w:val="24"/>
          <w:szCs w:val="24"/>
        </w:rPr>
        <w:t xml:space="preserve"> </w:t>
      </w:r>
      <w:hyperlink r:id="rId930" w:history="1">
        <w:r w:rsidRPr="00556010">
          <w:rPr>
            <w:rStyle w:val="Hyperlink"/>
            <w:rFonts w:ascii="Times New Roman" w:hAnsi="Times New Roman"/>
            <w:sz w:val="24"/>
            <w:szCs w:val="24"/>
          </w:rPr>
          <w:t>https://cases.justia.com/texas/first-court-of-appeals/2023-01-22-00496-cv.pdf?ts=1703769793</w:t>
        </w:r>
      </w:hyperlink>
      <w:r w:rsidRPr="00556010">
        <w:rPr>
          <w:rFonts w:ascii="Times New Roman" w:hAnsi="Times New Roman"/>
          <w:sz w:val="24"/>
          <w:szCs w:val="24"/>
        </w:rPr>
        <w:t xml:space="preserve"> </w:t>
      </w:r>
    </w:p>
    <w:p w14:paraId="080B7229" w14:textId="77777777" w:rsidR="00AB682E" w:rsidRPr="00496608" w:rsidRDefault="00AB682E" w:rsidP="00AB682E">
      <w:pPr>
        <w:pStyle w:val="NormalWeb"/>
        <w:rPr>
          <w:b/>
          <w:bCs/>
        </w:rPr>
      </w:pPr>
      <w:r w:rsidRPr="00496608">
        <w:rPr>
          <w:b/>
          <w:bCs/>
        </w:rPr>
        <w:t>Legal Lesson Learned:</w:t>
      </w:r>
      <w:r>
        <w:rPr>
          <w:b/>
          <w:bCs/>
        </w:rPr>
        <w:t xml:space="preserve"> City ordinance requiring 90- day notice can be set aside when PD and EMS reports confirmed injury. </w:t>
      </w:r>
    </w:p>
    <w:p w14:paraId="0E839265" w14:textId="77777777" w:rsidR="00E118E6" w:rsidRDefault="00E118E6" w:rsidP="00EF1133">
      <w:pPr>
        <w:rPr>
          <w:rFonts w:ascii="Arial Black" w:hAnsi="Arial Black"/>
          <w:b/>
          <w:sz w:val="24"/>
          <w:szCs w:val="24"/>
        </w:rPr>
      </w:pPr>
    </w:p>
    <w:p w14:paraId="5C1C0CD6" w14:textId="46DAA9A1" w:rsidR="007B5BD2" w:rsidRDefault="007B5BD2" w:rsidP="00EF1133">
      <w:pPr>
        <w:rPr>
          <w:rFonts w:ascii="Arial Black" w:hAnsi="Arial Black"/>
          <w:b/>
          <w:sz w:val="24"/>
          <w:szCs w:val="24"/>
        </w:rPr>
      </w:pPr>
      <w:r>
        <w:rPr>
          <w:rFonts w:ascii="Arial Black" w:hAnsi="Arial Black"/>
          <w:b/>
          <w:sz w:val="24"/>
          <w:szCs w:val="24"/>
        </w:rPr>
        <w:t>5-3</w:t>
      </w:r>
      <w:r w:rsidR="00964D1B">
        <w:rPr>
          <w:rFonts w:ascii="Arial Black" w:hAnsi="Arial Black"/>
          <w:b/>
          <w:sz w:val="24"/>
          <w:szCs w:val="24"/>
        </w:rPr>
        <w:t>8</w:t>
      </w:r>
    </w:p>
    <w:p w14:paraId="4D7D017C" w14:textId="6E9EE2A8" w:rsidR="007B5BD2" w:rsidRPr="004F3E23" w:rsidRDefault="007B5BD2" w:rsidP="007B5BD2">
      <w:pPr>
        <w:pStyle w:val="NoSpacing"/>
        <w:rPr>
          <w:rFonts w:ascii="Arial Black" w:hAnsi="Arial Black"/>
          <w:b/>
          <w:sz w:val="28"/>
          <w:szCs w:val="28"/>
        </w:rPr>
      </w:pPr>
      <w:r>
        <w:rPr>
          <w:rFonts w:ascii="Arial Black" w:hAnsi="Arial Black"/>
          <w:b/>
          <w:sz w:val="28"/>
          <w:szCs w:val="28"/>
        </w:rPr>
        <w:t>OH: AMBULANCE TURNING LEFT NON-EMER. TRANSPORT -</w:t>
      </w:r>
      <w:r w:rsidR="00107D14">
        <w:rPr>
          <w:rFonts w:ascii="Arial Black" w:hAnsi="Arial Black"/>
          <w:b/>
          <w:sz w:val="28"/>
          <w:szCs w:val="28"/>
        </w:rPr>
        <w:t xml:space="preserve"> </w:t>
      </w:r>
      <w:r>
        <w:rPr>
          <w:rFonts w:ascii="Arial Black" w:hAnsi="Arial Black"/>
          <w:b/>
          <w:sz w:val="28"/>
          <w:szCs w:val="28"/>
        </w:rPr>
        <w:t>RUNS OVER FOOT PEDESTRIAN – LAWSUIT REINSTATED</w:t>
      </w:r>
    </w:p>
    <w:p w14:paraId="4FAED434" w14:textId="77777777" w:rsidR="007B5BD2" w:rsidRDefault="007B5BD2" w:rsidP="007B5BD2">
      <w:pPr>
        <w:pStyle w:val="NoSpacing"/>
        <w:rPr>
          <w:rFonts w:ascii="Times New Roman" w:hAnsi="Times New Roman"/>
          <w:b/>
          <w:sz w:val="24"/>
          <w:szCs w:val="24"/>
        </w:rPr>
      </w:pPr>
    </w:p>
    <w:p w14:paraId="010FA6C9" w14:textId="77777777" w:rsidR="007B5BD2" w:rsidRDefault="007B5BD2" w:rsidP="007B5BD2">
      <w:pPr>
        <w:pStyle w:val="NoSpacing"/>
        <w:rPr>
          <w:rFonts w:ascii="Times New Roman" w:hAnsi="Times New Roman"/>
          <w:bCs/>
          <w:sz w:val="24"/>
          <w:szCs w:val="24"/>
        </w:rPr>
      </w:pPr>
      <w:r>
        <w:rPr>
          <w:rFonts w:ascii="Times New Roman" w:hAnsi="Times New Roman"/>
          <w:bCs/>
          <w:sz w:val="24"/>
          <w:szCs w:val="24"/>
        </w:rPr>
        <w:t xml:space="preserve">On Nov. 22, 2023, in </w:t>
      </w:r>
      <w:r w:rsidRPr="00283F31">
        <w:rPr>
          <w:rFonts w:ascii="Times New Roman" w:hAnsi="Times New Roman"/>
          <w:bCs/>
          <w:sz w:val="24"/>
          <w:szCs w:val="24"/>
          <w:u w:val="single"/>
        </w:rPr>
        <w:t>Kiranmai Parker v. City of Cleveland, et al</w:t>
      </w:r>
      <w:r>
        <w:rPr>
          <w:rFonts w:ascii="Times New Roman" w:hAnsi="Times New Roman"/>
          <w:bCs/>
          <w:sz w:val="24"/>
          <w:szCs w:val="24"/>
        </w:rPr>
        <w:t xml:space="preserve">., the Ohio Court of Appeals for Eighth Appellate District (Cuyahoga County) held (3 to 0) that the trial court improperly dismissed the lawsuit.  The ambulance driver, Ms. </w:t>
      </w:r>
      <w:r w:rsidRPr="001A0714">
        <w:rPr>
          <w:rFonts w:ascii="Times New Roman" w:hAnsi="Times New Roman"/>
          <w:bCs/>
          <w:sz w:val="24"/>
          <w:szCs w:val="24"/>
        </w:rPr>
        <w:t>Sampson-Hall</w:t>
      </w:r>
      <w:r>
        <w:rPr>
          <w:rFonts w:ascii="Times New Roman" w:hAnsi="Times New Roman"/>
          <w:bCs/>
          <w:sz w:val="24"/>
          <w:szCs w:val="24"/>
        </w:rPr>
        <w:t xml:space="preserve">, and her partner were transporting a minor injury patient to hospital and was turning left in an intersection. The pedestrian had a “walk” sign when the </w:t>
      </w:r>
      <w:r w:rsidRPr="00B02E61">
        <w:rPr>
          <w:rFonts w:ascii="Times New Roman" w:hAnsi="Times New Roman"/>
          <w:bCs/>
          <w:sz w:val="24"/>
          <w:szCs w:val="24"/>
        </w:rPr>
        <w:t>vehicle’s front left tire crushed Pakeer’s right foot, causing</w:t>
      </w:r>
      <w:r>
        <w:rPr>
          <w:rFonts w:ascii="Times New Roman" w:hAnsi="Times New Roman"/>
          <w:bCs/>
          <w:sz w:val="24"/>
          <w:szCs w:val="24"/>
        </w:rPr>
        <w:t xml:space="preserve"> </w:t>
      </w:r>
      <w:r w:rsidRPr="00B02E61">
        <w:rPr>
          <w:rFonts w:ascii="Times New Roman" w:hAnsi="Times New Roman"/>
          <w:bCs/>
          <w:sz w:val="24"/>
          <w:szCs w:val="24"/>
        </w:rPr>
        <w:t>several fractures leading to the amputation of her big toe.</w:t>
      </w:r>
      <w:r>
        <w:rPr>
          <w:rFonts w:ascii="Times New Roman" w:hAnsi="Times New Roman"/>
          <w:bCs/>
          <w:sz w:val="24"/>
          <w:szCs w:val="24"/>
        </w:rPr>
        <w:t xml:space="preserve">  </w:t>
      </w:r>
      <w:hyperlink r:id="rId931" w:history="1">
        <w:r w:rsidRPr="00821889">
          <w:rPr>
            <w:rStyle w:val="Hyperlink"/>
            <w:rFonts w:ascii="Times New Roman" w:hAnsi="Times New Roman"/>
            <w:bCs/>
            <w:sz w:val="24"/>
            <w:szCs w:val="24"/>
          </w:rPr>
          <w:t>https://www.supremecourt.ohio.gov/rod/docs/pdf/8/2023/2023-Ohio-4213.pdf</w:t>
        </w:r>
      </w:hyperlink>
      <w:r>
        <w:rPr>
          <w:rFonts w:ascii="Times New Roman" w:hAnsi="Times New Roman"/>
          <w:bCs/>
          <w:sz w:val="24"/>
          <w:szCs w:val="24"/>
        </w:rPr>
        <w:t xml:space="preserve"> </w:t>
      </w:r>
    </w:p>
    <w:p w14:paraId="507E22F8" w14:textId="77777777" w:rsidR="007B5BD2" w:rsidRDefault="007B5BD2" w:rsidP="007B5BD2">
      <w:pPr>
        <w:pStyle w:val="NoSpacing"/>
        <w:rPr>
          <w:rFonts w:ascii="Times New Roman" w:hAnsi="Times New Roman"/>
          <w:bCs/>
          <w:sz w:val="24"/>
          <w:szCs w:val="24"/>
        </w:rPr>
      </w:pPr>
    </w:p>
    <w:p w14:paraId="1210558C" w14:textId="77777777" w:rsidR="007B5BD2" w:rsidRDefault="007B5BD2" w:rsidP="007B5BD2">
      <w:pPr>
        <w:pStyle w:val="NoSpacing"/>
        <w:rPr>
          <w:rFonts w:ascii="Times New Roman" w:hAnsi="Times New Roman"/>
          <w:bCs/>
          <w:sz w:val="24"/>
          <w:szCs w:val="24"/>
        </w:rPr>
      </w:pPr>
      <w:r>
        <w:rPr>
          <w:rFonts w:ascii="Times New Roman" w:hAnsi="Times New Roman"/>
          <w:bCs/>
          <w:sz w:val="24"/>
          <w:szCs w:val="24"/>
        </w:rPr>
        <w:t xml:space="preserve">The Court wrote: </w:t>
      </w:r>
    </w:p>
    <w:p w14:paraId="17AE8573" w14:textId="77777777" w:rsidR="007B5BD2" w:rsidRDefault="007B5BD2" w:rsidP="007B5BD2">
      <w:pPr>
        <w:pStyle w:val="NoSpacing"/>
        <w:rPr>
          <w:rFonts w:ascii="Times New Roman" w:hAnsi="Times New Roman"/>
          <w:bCs/>
          <w:sz w:val="24"/>
          <w:szCs w:val="24"/>
        </w:rPr>
      </w:pPr>
    </w:p>
    <w:p w14:paraId="1D4238FD" w14:textId="77777777" w:rsidR="007B5BD2" w:rsidRDefault="007B5BD2" w:rsidP="007B5BD2">
      <w:pPr>
        <w:pStyle w:val="NoSpacing"/>
        <w:ind w:left="720"/>
        <w:rPr>
          <w:rFonts w:ascii="Times New Roman" w:hAnsi="Times New Roman"/>
          <w:bCs/>
          <w:sz w:val="24"/>
          <w:szCs w:val="24"/>
        </w:rPr>
      </w:pPr>
      <w:r>
        <w:rPr>
          <w:rFonts w:ascii="Times New Roman" w:hAnsi="Times New Roman"/>
          <w:bCs/>
          <w:sz w:val="24"/>
          <w:szCs w:val="24"/>
        </w:rPr>
        <w:t xml:space="preserve">“She </w:t>
      </w:r>
      <w:r w:rsidRPr="0081318D">
        <w:rPr>
          <w:rFonts w:ascii="Times New Roman" w:hAnsi="Times New Roman"/>
          <w:bCs/>
          <w:sz w:val="24"/>
          <w:szCs w:val="24"/>
        </w:rPr>
        <w:t xml:space="preserve">claims to have slowed but kept moving in one continuous motion, and despite the five-second delay between the pedestrian light and the yellow arrow on Chester Avenue, Sampson-Hall still collided with Pakeer. Thus, there is an issue of fact as to the timing of the traffic lights as they relate to Sampson-Hall’s travel. The pedestrian’s </w:t>
      </w:r>
      <w:r>
        <w:rPr>
          <w:rFonts w:ascii="Times New Roman" w:hAnsi="Times New Roman"/>
          <w:bCs/>
          <w:sz w:val="24"/>
          <w:szCs w:val="24"/>
        </w:rPr>
        <w:t>‘</w:t>
      </w:r>
      <w:r w:rsidRPr="0081318D">
        <w:rPr>
          <w:rFonts w:ascii="Times New Roman" w:hAnsi="Times New Roman"/>
          <w:bCs/>
          <w:sz w:val="24"/>
          <w:szCs w:val="24"/>
        </w:rPr>
        <w:t>walk</w:t>
      </w:r>
      <w:r>
        <w:rPr>
          <w:rFonts w:ascii="Times New Roman" w:hAnsi="Times New Roman"/>
          <w:bCs/>
          <w:sz w:val="24"/>
          <w:szCs w:val="24"/>
        </w:rPr>
        <w:t>’</w:t>
      </w:r>
      <w:r w:rsidRPr="0081318D">
        <w:rPr>
          <w:rFonts w:ascii="Times New Roman" w:hAnsi="Times New Roman"/>
          <w:bCs/>
          <w:sz w:val="24"/>
          <w:szCs w:val="24"/>
        </w:rPr>
        <w:t xml:space="preserve"> signal illuminates five seconds after the Chester Avenue traffic control light for turning traffic illuminates the yellow arrow. The collision undisputedly occurred after the “walk” signal illuminated and Pakeer took one or two steps into the intersection (meaning additional time passed after the walk signal was illuminated). There is enough evidence, construing the disputed evidence in Pakeer’s favor, demonstrating that she possessed the </w:t>
      </w:r>
      <w:proofErr w:type="gramStart"/>
      <w:r w:rsidRPr="0081318D">
        <w:rPr>
          <w:rFonts w:ascii="Times New Roman" w:hAnsi="Times New Roman"/>
          <w:bCs/>
          <w:sz w:val="24"/>
          <w:szCs w:val="24"/>
        </w:rPr>
        <w:t>right of</w:t>
      </w:r>
      <w:proofErr w:type="gramEnd"/>
      <w:r w:rsidRPr="0081318D">
        <w:rPr>
          <w:rFonts w:ascii="Times New Roman" w:hAnsi="Times New Roman"/>
          <w:bCs/>
          <w:sz w:val="24"/>
          <w:szCs w:val="24"/>
        </w:rPr>
        <w:t xml:space="preserve"> way to cross the street.</w:t>
      </w:r>
      <w:r>
        <w:rPr>
          <w:rFonts w:ascii="Times New Roman" w:hAnsi="Times New Roman"/>
          <w:bCs/>
          <w:sz w:val="24"/>
          <w:szCs w:val="24"/>
        </w:rPr>
        <w:t xml:space="preserve"> </w:t>
      </w:r>
      <w:r w:rsidRPr="00912610">
        <w:rPr>
          <w:rFonts w:ascii="Times New Roman" w:hAnsi="Times New Roman"/>
          <w:bCs/>
          <w:sz w:val="24"/>
          <w:szCs w:val="24"/>
        </w:rPr>
        <w:t>*** At the least, the City has not demonstrated the absence of genuine issues of material fact with respect to whether Sampson-Hall’s operation of the vehicle constituted wanton misconduct for the purposes of R.C. 2744.02(B)(1)(c). That question is one for the jury to decide based on whose version of events is deemed more credible.”</w:t>
      </w:r>
      <w:r w:rsidRPr="007428B7">
        <w:t xml:space="preserve"> </w:t>
      </w:r>
      <w:hyperlink r:id="rId932" w:history="1">
        <w:r w:rsidRPr="00821889">
          <w:rPr>
            <w:rStyle w:val="Hyperlink"/>
            <w:rFonts w:ascii="Times New Roman" w:hAnsi="Times New Roman"/>
            <w:bCs/>
            <w:sz w:val="24"/>
            <w:szCs w:val="24"/>
          </w:rPr>
          <w:t>https://www.supremecourt.ohio.gov/rod/docs/pdf/8/2023/2023-Ohio-4213.pdf</w:t>
        </w:r>
      </w:hyperlink>
      <w:r>
        <w:rPr>
          <w:rFonts w:ascii="Times New Roman" w:hAnsi="Times New Roman"/>
          <w:bCs/>
          <w:sz w:val="24"/>
          <w:szCs w:val="24"/>
        </w:rPr>
        <w:t xml:space="preserve"> </w:t>
      </w:r>
    </w:p>
    <w:p w14:paraId="1090FBD5" w14:textId="77777777" w:rsidR="007B5BD2" w:rsidRDefault="007B5BD2" w:rsidP="007B5BD2">
      <w:pPr>
        <w:pStyle w:val="NoSpacing"/>
        <w:rPr>
          <w:rFonts w:ascii="Times New Roman" w:hAnsi="Times New Roman"/>
          <w:bCs/>
          <w:sz w:val="24"/>
          <w:szCs w:val="24"/>
        </w:rPr>
      </w:pPr>
    </w:p>
    <w:p w14:paraId="2519DD84" w14:textId="77777777" w:rsidR="007B5BD2" w:rsidRDefault="007B5BD2" w:rsidP="007B5BD2">
      <w:pPr>
        <w:pStyle w:val="NoSpacing"/>
        <w:rPr>
          <w:rFonts w:ascii="Times New Roman" w:hAnsi="Times New Roman"/>
          <w:b/>
          <w:sz w:val="24"/>
          <w:szCs w:val="24"/>
        </w:rPr>
      </w:pPr>
      <w:r w:rsidRPr="007428B7">
        <w:rPr>
          <w:rFonts w:ascii="Times New Roman" w:hAnsi="Times New Roman"/>
          <w:b/>
          <w:sz w:val="24"/>
          <w:szCs w:val="24"/>
        </w:rPr>
        <w:t xml:space="preserve">Legal Lesson Learned: </w:t>
      </w:r>
      <w:r>
        <w:rPr>
          <w:rFonts w:ascii="Times New Roman" w:hAnsi="Times New Roman"/>
          <w:b/>
          <w:sz w:val="24"/>
          <w:szCs w:val="24"/>
        </w:rPr>
        <w:t>Jury will now decide if EMS driver conduct was “wanton misconduct.”</w:t>
      </w:r>
    </w:p>
    <w:p w14:paraId="269F6F49" w14:textId="77777777" w:rsidR="007B5BD2" w:rsidRDefault="007B5BD2" w:rsidP="00EF1133">
      <w:pPr>
        <w:rPr>
          <w:rFonts w:ascii="Arial Black" w:hAnsi="Arial Black"/>
          <w:b/>
          <w:sz w:val="24"/>
          <w:szCs w:val="24"/>
        </w:rPr>
      </w:pPr>
    </w:p>
    <w:p w14:paraId="23069079" w14:textId="5CFF4C79" w:rsidR="007B5BD2" w:rsidRDefault="007B5BD2" w:rsidP="00EF1133">
      <w:pPr>
        <w:rPr>
          <w:rFonts w:ascii="Arial Black" w:hAnsi="Arial Black"/>
          <w:b/>
          <w:sz w:val="24"/>
          <w:szCs w:val="24"/>
        </w:rPr>
      </w:pPr>
      <w:r>
        <w:rPr>
          <w:rFonts w:ascii="Arial Black" w:hAnsi="Arial Black"/>
          <w:b/>
          <w:sz w:val="24"/>
          <w:szCs w:val="24"/>
        </w:rPr>
        <w:t>5-3</w:t>
      </w:r>
      <w:r w:rsidR="00964D1B">
        <w:rPr>
          <w:rFonts w:ascii="Arial Black" w:hAnsi="Arial Black"/>
          <w:b/>
          <w:sz w:val="24"/>
          <w:szCs w:val="24"/>
        </w:rPr>
        <w:t>7</w:t>
      </w:r>
    </w:p>
    <w:p w14:paraId="10C981B7" w14:textId="77777777" w:rsidR="009A03D1" w:rsidRDefault="009A03D1" w:rsidP="009A03D1">
      <w:pPr>
        <w:pStyle w:val="NoSpacing"/>
        <w:rPr>
          <w:rFonts w:ascii="Arial Black" w:hAnsi="Arial Black"/>
          <w:b/>
          <w:sz w:val="28"/>
          <w:szCs w:val="28"/>
        </w:rPr>
      </w:pPr>
      <w:r>
        <w:rPr>
          <w:rFonts w:ascii="Arial Black" w:hAnsi="Arial Black"/>
          <w:b/>
          <w:sz w:val="28"/>
          <w:szCs w:val="28"/>
        </w:rPr>
        <w:t>MI: MOTORIST KILLED – PULLED LEFT INTO ENGINE GOING AGAINST TRAFFIC – 44 MPH / 35 MPH ZONE, CASE PROCEED</w:t>
      </w:r>
    </w:p>
    <w:p w14:paraId="1D821323" w14:textId="77777777" w:rsidR="009A03D1" w:rsidRDefault="009A03D1" w:rsidP="009A03D1">
      <w:pPr>
        <w:pStyle w:val="NoSpacing"/>
        <w:rPr>
          <w:rFonts w:ascii="Times New Roman" w:hAnsi="Times New Roman"/>
          <w:bCs/>
          <w:sz w:val="24"/>
          <w:szCs w:val="24"/>
        </w:rPr>
      </w:pPr>
    </w:p>
    <w:p w14:paraId="2224EE66" w14:textId="77777777" w:rsidR="009A03D1" w:rsidRDefault="009A03D1" w:rsidP="009A03D1">
      <w:pPr>
        <w:pStyle w:val="NoSpacing"/>
        <w:rPr>
          <w:rFonts w:ascii="Times New Roman" w:hAnsi="Times New Roman"/>
          <w:bCs/>
          <w:sz w:val="24"/>
          <w:szCs w:val="24"/>
        </w:rPr>
      </w:pPr>
      <w:r>
        <w:rPr>
          <w:rFonts w:ascii="Times New Roman" w:hAnsi="Times New Roman"/>
          <w:bCs/>
          <w:sz w:val="24"/>
          <w:szCs w:val="24"/>
        </w:rPr>
        <w:t xml:space="preserve">On Nov. 21, 2023, in </w:t>
      </w:r>
      <w:r w:rsidRPr="00DA24D6">
        <w:rPr>
          <w:rFonts w:ascii="Times New Roman" w:hAnsi="Times New Roman"/>
          <w:bCs/>
          <w:sz w:val="24"/>
          <w:szCs w:val="24"/>
          <w:u w:val="single"/>
        </w:rPr>
        <w:t>Harold T. Sullivan, Personal Representative of the Estate of India D. Sullivan v. Brett Matthew Stiles and the City of Detroit</w:t>
      </w:r>
      <w:r>
        <w:rPr>
          <w:rFonts w:ascii="Times New Roman" w:hAnsi="Times New Roman"/>
          <w:bCs/>
          <w:sz w:val="24"/>
          <w:szCs w:val="24"/>
        </w:rPr>
        <w:t xml:space="preserve">, the Michigan Court of Appeals held (3 to 0) that trial court improperly dismissed the lawsuit. On a run for a structure fire, because of heavy traffic the first responding engine went into the oncoming lane.  FAO Brett Stiles, driving the second engine a few seconds behind the first, was going </w:t>
      </w:r>
      <w:r>
        <w:rPr>
          <w:rFonts w:ascii="Times New Roman" w:hAnsi="Times New Roman"/>
          <w:bCs/>
          <w:sz w:val="24"/>
          <w:szCs w:val="24"/>
        </w:rPr>
        <w:lastRenderedPageBreak/>
        <w:t xml:space="preserve">about 44 mph in a </w:t>
      </w:r>
      <w:proofErr w:type="gramStart"/>
      <w:r>
        <w:rPr>
          <w:rFonts w:ascii="Times New Roman" w:hAnsi="Times New Roman"/>
          <w:bCs/>
          <w:sz w:val="24"/>
          <w:szCs w:val="24"/>
        </w:rPr>
        <w:t>35 mph</w:t>
      </w:r>
      <w:proofErr w:type="gramEnd"/>
      <w:r>
        <w:rPr>
          <w:rFonts w:ascii="Times New Roman" w:hAnsi="Times New Roman"/>
          <w:bCs/>
          <w:sz w:val="24"/>
          <w:szCs w:val="24"/>
        </w:rPr>
        <w:t xml:space="preserve"> area, also went into the oncoming lane.  The deceased had her left turn signal on and turned left into the second engine. </w:t>
      </w:r>
      <w:hyperlink r:id="rId933" w:history="1">
        <w:r w:rsidRPr="00553FEF">
          <w:rPr>
            <w:rStyle w:val="Hyperlink"/>
            <w:rFonts w:ascii="Times New Roman" w:hAnsi="Times New Roman"/>
            <w:bCs/>
            <w:sz w:val="24"/>
            <w:szCs w:val="24"/>
          </w:rPr>
          <w:t>https://cases.justia.com/michigan/court-of-appeals-unpublished/2023-361624.pdf?ts=1700661618</w:t>
        </w:r>
      </w:hyperlink>
    </w:p>
    <w:p w14:paraId="7F0F03E6" w14:textId="77777777" w:rsidR="007B5BD2" w:rsidRDefault="007B5BD2" w:rsidP="00EF1133">
      <w:pPr>
        <w:rPr>
          <w:rFonts w:ascii="Arial Black" w:hAnsi="Arial Black"/>
          <w:b/>
          <w:sz w:val="24"/>
          <w:szCs w:val="24"/>
        </w:rPr>
      </w:pPr>
    </w:p>
    <w:p w14:paraId="5C1998F8" w14:textId="77777777" w:rsidR="0079584F" w:rsidRPr="00532965" w:rsidRDefault="0079584F" w:rsidP="0079584F">
      <w:pPr>
        <w:pStyle w:val="NoSpacing"/>
        <w:rPr>
          <w:rFonts w:ascii="Times New Roman" w:hAnsi="Times New Roman"/>
          <w:b/>
          <w:sz w:val="24"/>
          <w:szCs w:val="24"/>
        </w:rPr>
      </w:pPr>
      <w:r w:rsidRPr="00532965">
        <w:rPr>
          <w:rFonts w:ascii="Times New Roman" w:hAnsi="Times New Roman"/>
          <w:b/>
          <w:sz w:val="24"/>
          <w:szCs w:val="24"/>
        </w:rPr>
        <w:t xml:space="preserve">Legal Lesson Learned:  </w:t>
      </w:r>
      <w:r>
        <w:rPr>
          <w:rFonts w:ascii="Times New Roman" w:hAnsi="Times New Roman"/>
          <w:b/>
          <w:sz w:val="24"/>
          <w:szCs w:val="24"/>
        </w:rPr>
        <w:t xml:space="preserve">Fire &amp; EMS Departments should have an SOG requiring very reduced speed when traveling in a lane against oncoming traffic. </w:t>
      </w:r>
    </w:p>
    <w:p w14:paraId="0FEEED7D" w14:textId="77777777" w:rsidR="0079584F" w:rsidRDefault="0079584F" w:rsidP="00EF1133">
      <w:pPr>
        <w:rPr>
          <w:rFonts w:ascii="Arial Black" w:hAnsi="Arial Black"/>
          <w:b/>
          <w:sz w:val="24"/>
          <w:szCs w:val="24"/>
        </w:rPr>
      </w:pPr>
    </w:p>
    <w:p w14:paraId="5188441E" w14:textId="79506DCB" w:rsidR="0079584F" w:rsidRDefault="0079584F" w:rsidP="00EF1133">
      <w:pPr>
        <w:rPr>
          <w:rFonts w:ascii="Arial Black" w:hAnsi="Arial Black"/>
          <w:b/>
          <w:sz w:val="24"/>
          <w:szCs w:val="24"/>
        </w:rPr>
      </w:pPr>
      <w:r>
        <w:rPr>
          <w:rFonts w:ascii="Arial Black" w:hAnsi="Arial Black"/>
          <w:b/>
          <w:sz w:val="24"/>
          <w:szCs w:val="24"/>
        </w:rPr>
        <w:t>5-3</w:t>
      </w:r>
      <w:r w:rsidR="00964D1B">
        <w:rPr>
          <w:rFonts w:ascii="Arial Black" w:hAnsi="Arial Black"/>
          <w:b/>
          <w:sz w:val="24"/>
          <w:szCs w:val="24"/>
        </w:rPr>
        <w:t>6</w:t>
      </w:r>
    </w:p>
    <w:p w14:paraId="1CFF973A" w14:textId="77777777" w:rsidR="00D753A8" w:rsidRDefault="00D753A8" w:rsidP="00D753A8">
      <w:pPr>
        <w:pStyle w:val="NoSpacing"/>
        <w:rPr>
          <w:rFonts w:ascii="Arial Black" w:hAnsi="Arial Black"/>
          <w:sz w:val="28"/>
          <w:szCs w:val="28"/>
        </w:rPr>
      </w:pPr>
      <w:r>
        <w:rPr>
          <w:rFonts w:ascii="Arial Black" w:hAnsi="Arial Black"/>
          <w:sz w:val="28"/>
          <w:szCs w:val="28"/>
        </w:rPr>
        <w:t xml:space="preserve">OH: MUTUAL AID – WATER TENDER FROM WV – BACKING, KILLED TWO CIVILIAN - NO BACKING ALARM, NO BACKER </w:t>
      </w:r>
    </w:p>
    <w:p w14:paraId="14593E93" w14:textId="77777777" w:rsidR="00D753A8" w:rsidRDefault="00D753A8" w:rsidP="00D753A8">
      <w:pPr>
        <w:pStyle w:val="NoSpacing"/>
        <w:rPr>
          <w:rFonts w:ascii="Arial Black" w:hAnsi="Arial Black"/>
          <w:sz w:val="28"/>
          <w:szCs w:val="28"/>
        </w:rPr>
      </w:pPr>
    </w:p>
    <w:p w14:paraId="3EC25136" w14:textId="77777777" w:rsidR="00D753A8" w:rsidRDefault="00D753A8" w:rsidP="00D753A8">
      <w:pPr>
        <w:pStyle w:val="NoSpacing"/>
        <w:rPr>
          <w:rFonts w:ascii="Times New Roman" w:hAnsi="Times New Roman"/>
          <w:sz w:val="24"/>
          <w:szCs w:val="24"/>
        </w:rPr>
      </w:pPr>
      <w:r>
        <w:rPr>
          <w:rFonts w:ascii="Times New Roman" w:hAnsi="Times New Roman"/>
          <w:sz w:val="24"/>
          <w:szCs w:val="24"/>
        </w:rPr>
        <w:t xml:space="preserve">On Nov. 14, 2023, in </w:t>
      </w:r>
      <w:r w:rsidRPr="00EC19D2">
        <w:rPr>
          <w:rFonts w:ascii="Times New Roman" w:hAnsi="Times New Roman"/>
          <w:sz w:val="24"/>
          <w:szCs w:val="24"/>
          <w:u w:val="single"/>
        </w:rPr>
        <w:t>Craig W. Wakefield, as the Personal Representative and Administrator of the Estate of William A. Reed, Jr. and Karolyn Reed v. Williamstown Volunteer Fire Company, et al</w:t>
      </w:r>
      <w:r w:rsidRPr="00EC19D2">
        <w:rPr>
          <w:rFonts w:ascii="Times New Roman" w:hAnsi="Times New Roman"/>
          <w:sz w:val="24"/>
          <w:szCs w:val="24"/>
        </w:rPr>
        <w:t xml:space="preserve">., </w:t>
      </w:r>
      <w:r>
        <w:rPr>
          <w:rFonts w:ascii="Times New Roman" w:hAnsi="Times New Roman"/>
          <w:sz w:val="24"/>
          <w:szCs w:val="24"/>
        </w:rPr>
        <w:t xml:space="preserve">Chief U.S. District Court Judge Algenon L. Marbley, U.S. District Court for Southern District of Ohio (Cincinnati), held that defense motion for summary judgment is denied and case will proceed with pre-trial discovery. </w:t>
      </w:r>
      <w:hyperlink r:id="rId934" w:history="1">
        <w:r w:rsidRPr="006F62A4">
          <w:rPr>
            <w:rStyle w:val="Hyperlink"/>
            <w:rFonts w:ascii="Times New Roman" w:hAnsi="Times New Roman"/>
            <w:sz w:val="24"/>
            <w:szCs w:val="24"/>
          </w:rPr>
          <w:t>https://casetext.com/case/wakefield-v-williamstown-volunteer-fire-co</w:t>
        </w:r>
      </w:hyperlink>
      <w:r>
        <w:rPr>
          <w:rFonts w:ascii="Times New Roman" w:hAnsi="Times New Roman"/>
          <w:sz w:val="24"/>
          <w:szCs w:val="24"/>
        </w:rPr>
        <w:t xml:space="preserve"> </w:t>
      </w:r>
    </w:p>
    <w:p w14:paraId="3FB26D38" w14:textId="77777777" w:rsidR="00D753A8" w:rsidRDefault="00D753A8" w:rsidP="00D753A8">
      <w:pPr>
        <w:pStyle w:val="NoSpacing"/>
        <w:rPr>
          <w:rFonts w:ascii="Times New Roman" w:hAnsi="Times New Roman"/>
          <w:sz w:val="24"/>
          <w:szCs w:val="24"/>
        </w:rPr>
      </w:pPr>
    </w:p>
    <w:p w14:paraId="3B14C6B3" w14:textId="77777777" w:rsidR="00D753A8" w:rsidRDefault="00D753A8" w:rsidP="00D753A8">
      <w:pPr>
        <w:pStyle w:val="NoSpacing"/>
        <w:rPr>
          <w:rFonts w:ascii="Times New Roman" w:hAnsi="Times New Roman"/>
          <w:sz w:val="24"/>
          <w:szCs w:val="24"/>
        </w:rPr>
      </w:pPr>
    </w:p>
    <w:p w14:paraId="4B1F9147" w14:textId="77777777" w:rsidR="00964D1B" w:rsidRPr="000760A1" w:rsidRDefault="00964D1B" w:rsidP="00964D1B">
      <w:pPr>
        <w:pStyle w:val="NoSpacing"/>
        <w:rPr>
          <w:rFonts w:ascii="Times New Roman" w:hAnsi="Times New Roman"/>
          <w:b/>
          <w:bCs/>
          <w:sz w:val="24"/>
          <w:szCs w:val="24"/>
        </w:rPr>
      </w:pPr>
      <w:r w:rsidRPr="000760A1">
        <w:rPr>
          <w:rFonts w:ascii="Times New Roman" w:hAnsi="Times New Roman"/>
          <w:b/>
          <w:bCs/>
          <w:sz w:val="24"/>
          <w:szCs w:val="24"/>
        </w:rPr>
        <w:t>Legal Lesson Learned:</w:t>
      </w:r>
      <w:r>
        <w:rPr>
          <w:rFonts w:ascii="Times New Roman" w:hAnsi="Times New Roman"/>
          <w:b/>
          <w:bCs/>
          <w:sz w:val="24"/>
          <w:szCs w:val="24"/>
        </w:rPr>
        <w:t xml:space="preserve">  When backing an emergency vehicle, have a backer; tankers  should have a backing alarm; keep mutual aid agreement current. </w:t>
      </w:r>
    </w:p>
    <w:p w14:paraId="15151C40" w14:textId="77777777" w:rsidR="00964D1B" w:rsidRDefault="00964D1B" w:rsidP="00964D1B">
      <w:pPr>
        <w:pStyle w:val="Heading1"/>
        <w:ind w:left="720"/>
        <w:rPr>
          <w:b w:val="0"/>
          <w:bCs w:val="0"/>
          <w:sz w:val="24"/>
          <w:szCs w:val="24"/>
        </w:rPr>
      </w:pPr>
      <w:r w:rsidRPr="00315F60">
        <w:rPr>
          <w:b w:val="0"/>
          <w:bCs w:val="0"/>
          <w:sz w:val="24"/>
          <w:szCs w:val="24"/>
        </w:rPr>
        <w:t xml:space="preserve">Note: See Ohio Administrative Code: Rule 4123:1-3-06 </w:t>
      </w:r>
      <w:r w:rsidRPr="00315F60">
        <w:rPr>
          <w:rStyle w:val="codes-separator"/>
          <w:rFonts w:eastAsiaTheme="majorEastAsia"/>
          <w:b w:val="0"/>
          <w:bCs w:val="0"/>
          <w:sz w:val="24"/>
          <w:szCs w:val="24"/>
        </w:rPr>
        <w:t>|</w:t>
      </w:r>
      <w:r w:rsidRPr="00315F60">
        <w:rPr>
          <w:b w:val="0"/>
          <w:bCs w:val="0"/>
          <w:sz w:val="24"/>
          <w:szCs w:val="24"/>
        </w:rPr>
        <w:t xml:space="preserve"> Motor vehicles, mechanized equipment and marine operations. </w:t>
      </w:r>
      <w:hyperlink r:id="rId935" w:history="1">
        <w:r w:rsidRPr="00315F60">
          <w:rPr>
            <w:rStyle w:val="Hyperlink"/>
            <w:b w:val="0"/>
            <w:bCs w:val="0"/>
            <w:sz w:val="24"/>
            <w:szCs w:val="24"/>
          </w:rPr>
          <w:t>https://codes.ohio.gov/ohio-administrative-code/rule-4123:1-3-06</w:t>
        </w:r>
      </w:hyperlink>
      <w:r w:rsidRPr="00315F60">
        <w:rPr>
          <w:b w:val="0"/>
          <w:bCs w:val="0"/>
          <w:sz w:val="24"/>
          <w:szCs w:val="24"/>
        </w:rPr>
        <w:t xml:space="preserve"> </w:t>
      </w:r>
    </w:p>
    <w:p w14:paraId="65E9735A" w14:textId="77777777" w:rsidR="00964D1B" w:rsidRDefault="00964D1B" w:rsidP="00964D1B">
      <w:pPr>
        <w:pStyle w:val="first-paragraph"/>
        <w:ind w:firstLine="720"/>
      </w:pPr>
      <w:r>
        <w:t>(D) Motor vehicles.</w:t>
      </w:r>
    </w:p>
    <w:p w14:paraId="47FB3510" w14:textId="77777777" w:rsidR="00964D1B" w:rsidRDefault="00964D1B" w:rsidP="00964D1B">
      <w:pPr>
        <w:pStyle w:val="first-paragraph"/>
        <w:ind w:left="720"/>
      </w:pPr>
      <w:r>
        <w:t>(1) All trucks shall be equipped with an audible warning device, in an operable condition, at the operator's station.</w:t>
      </w:r>
    </w:p>
    <w:p w14:paraId="0B2F79D6" w14:textId="77777777" w:rsidR="00964D1B" w:rsidRDefault="00964D1B" w:rsidP="00964D1B">
      <w:pPr>
        <w:pStyle w:val="first-paragraph"/>
        <w:ind w:firstLine="720"/>
      </w:pPr>
      <w:r>
        <w:t>(2) On mobile equipment having an obstructed view to the rear, the employer shall:</w:t>
      </w:r>
    </w:p>
    <w:p w14:paraId="3761C41C" w14:textId="77777777" w:rsidR="00964D1B" w:rsidRDefault="00964D1B" w:rsidP="00964D1B">
      <w:pPr>
        <w:pStyle w:val="first-paragraph"/>
        <w:ind w:firstLine="720"/>
      </w:pPr>
      <w:r>
        <w:t>(a) Provide a reverse signal alarm audible above the surrounding noise, or</w:t>
      </w:r>
    </w:p>
    <w:p w14:paraId="3CAD36F2" w14:textId="77777777" w:rsidR="00964D1B" w:rsidRDefault="00964D1B" w:rsidP="00964D1B">
      <w:pPr>
        <w:pStyle w:val="first-paragraph"/>
        <w:ind w:firstLine="720"/>
      </w:pPr>
      <w:r>
        <w:t>(b) Provide an observer to signal the assured clear distance.</w:t>
      </w:r>
    </w:p>
    <w:p w14:paraId="497D40C2" w14:textId="77777777" w:rsidR="0079584F" w:rsidRDefault="0079584F" w:rsidP="00EF1133">
      <w:pPr>
        <w:rPr>
          <w:rFonts w:ascii="Arial Black" w:hAnsi="Arial Black"/>
          <w:b/>
          <w:sz w:val="24"/>
          <w:szCs w:val="24"/>
        </w:rPr>
      </w:pPr>
    </w:p>
    <w:p w14:paraId="1B2955ED" w14:textId="0808348A" w:rsidR="00964D1B" w:rsidRDefault="00964D1B" w:rsidP="00EF1133">
      <w:pPr>
        <w:rPr>
          <w:rFonts w:ascii="Arial Black" w:hAnsi="Arial Black"/>
          <w:b/>
          <w:sz w:val="24"/>
          <w:szCs w:val="24"/>
        </w:rPr>
      </w:pPr>
      <w:r>
        <w:rPr>
          <w:rFonts w:ascii="Arial Black" w:hAnsi="Arial Black"/>
          <w:b/>
          <w:sz w:val="24"/>
          <w:szCs w:val="24"/>
        </w:rPr>
        <w:t>5-35</w:t>
      </w:r>
    </w:p>
    <w:p w14:paraId="50AFD306" w14:textId="77777777" w:rsidR="00C61041" w:rsidRPr="007C21B5" w:rsidRDefault="00C61041" w:rsidP="00C61041">
      <w:pPr>
        <w:rPr>
          <w:rFonts w:ascii="Arial Black" w:hAnsi="Arial Black"/>
          <w:b/>
          <w:bCs/>
          <w:sz w:val="28"/>
          <w:szCs w:val="28"/>
        </w:rPr>
      </w:pPr>
      <w:r>
        <w:rPr>
          <w:rFonts w:ascii="Arial Black" w:hAnsi="Arial Black"/>
          <w:b/>
          <w:bCs/>
          <w:sz w:val="28"/>
          <w:szCs w:val="28"/>
        </w:rPr>
        <w:t xml:space="preserve">TX: HOUSTON ROCKETS NBA PLAYER DRIVING FD HIGH-WATER VEHICLE - 3-DAY SUSPENSION – NO REHEARING </w:t>
      </w:r>
    </w:p>
    <w:p w14:paraId="043F7C01" w14:textId="77777777" w:rsidR="00C61041" w:rsidRDefault="00C61041" w:rsidP="00C61041">
      <w:pPr>
        <w:rPr>
          <w:rFonts w:ascii="Times New Roman" w:hAnsi="Times New Roman"/>
          <w:sz w:val="24"/>
          <w:szCs w:val="24"/>
        </w:rPr>
      </w:pPr>
      <w:r>
        <w:rPr>
          <w:rFonts w:ascii="Times New Roman" w:hAnsi="Times New Roman"/>
          <w:sz w:val="24"/>
          <w:szCs w:val="24"/>
        </w:rPr>
        <w:t xml:space="preserve">On Nov. 7, 2023, in </w:t>
      </w:r>
      <w:r w:rsidRPr="00D636AD">
        <w:rPr>
          <w:rFonts w:ascii="Times New Roman" w:hAnsi="Times New Roman"/>
          <w:sz w:val="24"/>
          <w:szCs w:val="24"/>
          <w:u w:val="single"/>
        </w:rPr>
        <w:t>City of Houston v. Steven M. Dubar</w:t>
      </w:r>
      <w:r>
        <w:rPr>
          <w:rFonts w:ascii="Times New Roman" w:hAnsi="Times New Roman"/>
          <w:sz w:val="24"/>
          <w:szCs w:val="24"/>
        </w:rPr>
        <w:t xml:space="preserve">, the Texas Fourteenth Court of Appeals denied the motion for rehearing (2 to 1) by District Chief Steven Dunbar, who received a three-day suspension for not submitting an official report about Houston Rockets personnel on board the FD’s High-Water Vehicle with a </w:t>
      </w:r>
      <w:r>
        <w:rPr>
          <w:rFonts w:ascii="Times New Roman" w:hAnsi="Times New Roman"/>
          <w:sz w:val="24"/>
          <w:szCs w:val="24"/>
        </w:rPr>
        <w:lastRenderedPageBreak/>
        <w:t xml:space="preserve">Rockets player driving the vehicle with lights and sirens activated. Dissenting Justice </w:t>
      </w:r>
      <w:r w:rsidRPr="008C7BAB">
        <w:rPr>
          <w:rFonts w:ascii="Times New Roman" w:hAnsi="Times New Roman"/>
          <w:sz w:val="24"/>
          <w:szCs w:val="24"/>
        </w:rPr>
        <w:t>Jerry Zimmerer</w:t>
      </w:r>
      <w:r>
        <w:rPr>
          <w:rFonts w:ascii="Times New Roman" w:hAnsi="Times New Roman"/>
          <w:sz w:val="24"/>
          <w:szCs w:val="24"/>
        </w:rPr>
        <w:t xml:space="preserve"> again wrote that he would give Chief Dubar another hearing. </w:t>
      </w:r>
      <w:hyperlink r:id="rId936" w:history="1">
        <w:r w:rsidRPr="007522CE">
          <w:rPr>
            <w:rStyle w:val="Hyperlink"/>
            <w:rFonts w:ascii="Times New Roman" w:hAnsi="Times New Roman"/>
            <w:sz w:val="24"/>
            <w:szCs w:val="24"/>
          </w:rPr>
          <w:t>https://search.txcourts.gov/SearchMedia.aspx?MediaVersionID=ce66bb80-60c8-4a68-9e10-0d461411b53e&amp;coa=coa14&amp;DT=Opinion&amp;MediaID=4a32394c-a506-4577-9679-e2747d0b06c4</w:t>
        </w:r>
      </w:hyperlink>
      <w:r w:rsidRPr="007522CE">
        <w:rPr>
          <w:rFonts w:ascii="Times New Roman" w:hAnsi="Times New Roman"/>
          <w:sz w:val="24"/>
          <w:szCs w:val="24"/>
        </w:rPr>
        <w:t xml:space="preserve"> </w:t>
      </w:r>
    </w:p>
    <w:p w14:paraId="3B6E0CBF" w14:textId="77777777" w:rsidR="000516E6" w:rsidRDefault="000516E6" w:rsidP="000516E6">
      <w:pPr>
        <w:rPr>
          <w:rFonts w:ascii="Times New Roman" w:hAnsi="Times New Roman"/>
          <w:b/>
          <w:bCs/>
          <w:sz w:val="24"/>
          <w:szCs w:val="24"/>
        </w:rPr>
      </w:pPr>
      <w:r w:rsidRPr="00A33895">
        <w:rPr>
          <w:rFonts w:ascii="Times New Roman" w:hAnsi="Times New Roman"/>
          <w:b/>
          <w:bCs/>
          <w:sz w:val="24"/>
          <w:szCs w:val="24"/>
        </w:rPr>
        <w:t>Legal Lesson Learned:</w:t>
      </w:r>
      <w:r>
        <w:rPr>
          <w:rFonts w:ascii="Times New Roman" w:hAnsi="Times New Roman"/>
          <w:b/>
          <w:bCs/>
          <w:sz w:val="24"/>
          <w:szCs w:val="24"/>
        </w:rPr>
        <w:t xml:space="preserve"> When sports team members or other civilians are on fire apparatus, </w:t>
      </w:r>
      <w:proofErr w:type="gramStart"/>
      <w:r>
        <w:rPr>
          <w:rFonts w:ascii="Times New Roman" w:hAnsi="Times New Roman"/>
          <w:b/>
          <w:bCs/>
          <w:sz w:val="24"/>
          <w:szCs w:val="24"/>
        </w:rPr>
        <w:t>a FD</w:t>
      </w:r>
      <w:proofErr w:type="gramEnd"/>
      <w:r>
        <w:rPr>
          <w:rFonts w:ascii="Times New Roman" w:hAnsi="Times New Roman"/>
          <w:b/>
          <w:bCs/>
          <w:sz w:val="24"/>
          <w:szCs w:val="24"/>
        </w:rPr>
        <w:t xml:space="preserve"> member must always be in control of the vehicle. </w:t>
      </w:r>
    </w:p>
    <w:p w14:paraId="3420281E" w14:textId="77777777" w:rsidR="00C61041" w:rsidRDefault="00C61041" w:rsidP="00EF1133">
      <w:pPr>
        <w:rPr>
          <w:rFonts w:ascii="Arial Black" w:hAnsi="Arial Black"/>
          <w:b/>
          <w:sz w:val="24"/>
          <w:szCs w:val="24"/>
        </w:rPr>
      </w:pPr>
    </w:p>
    <w:p w14:paraId="52295C33" w14:textId="77777777" w:rsidR="007B5BD2" w:rsidRDefault="007B5BD2" w:rsidP="00EF1133">
      <w:pPr>
        <w:rPr>
          <w:rFonts w:ascii="Arial Black" w:hAnsi="Arial Black"/>
          <w:b/>
          <w:sz w:val="24"/>
          <w:szCs w:val="24"/>
        </w:rPr>
      </w:pPr>
    </w:p>
    <w:p w14:paraId="27E45B02" w14:textId="4DE12A87" w:rsidR="00BB49C5" w:rsidRDefault="00BB49C5" w:rsidP="00EF1133">
      <w:pPr>
        <w:rPr>
          <w:rFonts w:ascii="Arial Black" w:hAnsi="Arial Black"/>
          <w:b/>
          <w:sz w:val="24"/>
          <w:szCs w:val="24"/>
        </w:rPr>
      </w:pPr>
      <w:r>
        <w:rPr>
          <w:rFonts w:ascii="Arial Black" w:hAnsi="Arial Black"/>
          <w:b/>
          <w:sz w:val="24"/>
          <w:szCs w:val="24"/>
        </w:rPr>
        <w:t>5-3</w:t>
      </w:r>
      <w:r w:rsidR="00A65FD8">
        <w:rPr>
          <w:rFonts w:ascii="Arial Black" w:hAnsi="Arial Black"/>
          <w:b/>
          <w:sz w:val="24"/>
          <w:szCs w:val="24"/>
        </w:rPr>
        <w:t>4</w:t>
      </w:r>
    </w:p>
    <w:p w14:paraId="565594C0" w14:textId="77777777" w:rsidR="00BB49C5" w:rsidRPr="006B2512" w:rsidRDefault="00BB49C5" w:rsidP="00BB49C5">
      <w:pPr>
        <w:pStyle w:val="NormalWeb"/>
        <w:rPr>
          <w:rFonts w:ascii="Arial Black" w:hAnsi="Arial Black"/>
          <w:b/>
          <w:bCs/>
          <w:sz w:val="28"/>
          <w:szCs w:val="28"/>
        </w:rPr>
      </w:pPr>
      <w:r>
        <w:rPr>
          <w:rFonts w:ascii="Arial Black" w:hAnsi="Arial Black"/>
          <w:b/>
          <w:bCs/>
          <w:sz w:val="28"/>
          <w:szCs w:val="28"/>
        </w:rPr>
        <w:t>NJ: FIRE TRUCK SHIFTED INTO GEAR DURING TRAINING – DRIVERLESS TRUCK STRUCK BUILDING – INJURED PERSON</w:t>
      </w:r>
    </w:p>
    <w:p w14:paraId="2C387B58" w14:textId="77777777" w:rsidR="00BB49C5" w:rsidRDefault="00BB49C5" w:rsidP="00BB49C5">
      <w:pPr>
        <w:pStyle w:val="NormalWeb"/>
      </w:pPr>
      <w:r>
        <w:t xml:space="preserve">On Oct. 27, 2023, in </w:t>
      </w:r>
      <w:r w:rsidRPr="0089423C">
        <w:rPr>
          <w:u w:val="single"/>
        </w:rPr>
        <w:t xml:space="preserve">Berta Abreu Flores v. North Hudson Regional Fire </w:t>
      </w:r>
      <w:proofErr w:type="gramStart"/>
      <w:r w:rsidRPr="0089423C">
        <w:rPr>
          <w:u w:val="single"/>
        </w:rPr>
        <w:t>And</w:t>
      </w:r>
      <w:proofErr w:type="gramEnd"/>
      <w:r w:rsidRPr="0089423C">
        <w:rPr>
          <w:u w:val="single"/>
        </w:rPr>
        <w:t xml:space="preserve"> Rescue, et al</w:t>
      </w:r>
      <w:r>
        <w:t xml:space="preserve">., the Superior Court of New Jersey, Appellate Division, held (3 to 0), reversed trial court and held that under NJ law the injured person may proceed with claim for continuing medical </w:t>
      </w:r>
      <w:proofErr w:type="gramStart"/>
      <w:r>
        <w:t>issue</w:t>
      </w:r>
      <w:proofErr w:type="gramEnd"/>
      <w:r>
        <w:t xml:space="preserve"> regarding loss of balance. The Court described the incident. “On March 29, 2018, a fire engine owned by defendant North Hudson Regional Fire and Rescue accidently shifted into drive during a training exercise at a fire station in Union City. Driverless, the fire engine crossed the road and struck the front of a residence opposite the firehouse. The impact damaged the building's support columns. Plaintiff Berta Abreu Flores, a sixty-five-year-old woman who had been working on the first floor of the building, was injured by the collision.” </w:t>
      </w:r>
      <w:hyperlink r:id="rId937" w:history="1">
        <w:r w:rsidRPr="0097451D">
          <w:rPr>
            <w:rStyle w:val="Hyperlink"/>
            <w:rFonts w:eastAsiaTheme="majorEastAsia"/>
          </w:rPr>
          <w:t>https://www.njcourts.gov/system/files/court-opinions/2023/a0009-22.pdf</w:t>
        </w:r>
      </w:hyperlink>
      <w:r>
        <w:t xml:space="preserve"> </w:t>
      </w:r>
    </w:p>
    <w:p w14:paraId="1C86170A" w14:textId="77777777" w:rsidR="00A65FD8" w:rsidRDefault="00A65FD8" w:rsidP="00A65FD8">
      <w:pPr>
        <w:pStyle w:val="NormalWeb"/>
        <w:rPr>
          <w:b/>
          <w:bCs/>
        </w:rPr>
      </w:pPr>
      <w:bookmarkStart w:id="195" w:name="_Hlk149717414"/>
      <w:r w:rsidRPr="0089423C">
        <w:rPr>
          <w:b/>
          <w:bCs/>
        </w:rPr>
        <w:t>Legal Lesson Learned:</w:t>
      </w:r>
      <w:r>
        <w:rPr>
          <w:b/>
          <w:bCs/>
        </w:rPr>
        <w:t xml:space="preserve"> New drivers and experienced Fire Apparatus Operators [FAOs] must always set the brake when a fire vehicle is parked.  Tire chocks should also be used when vehicle is parked. </w:t>
      </w:r>
    </w:p>
    <w:p w14:paraId="3B189D0A" w14:textId="77777777" w:rsidR="00A65FD8" w:rsidRDefault="00A65FD8" w:rsidP="00A65FD8">
      <w:pPr>
        <w:pStyle w:val="NormalWeb"/>
        <w:rPr>
          <w:b/>
          <w:bCs/>
        </w:rPr>
      </w:pPr>
    </w:p>
    <w:p w14:paraId="3EF86AA3" w14:textId="7595CA3F" w:rsidR="00A65FD8" w:rsidRDefault="00A65FD8" w:rsidP="00A65FD8">
      <w:pPr>
        <w:pStyle w:val="NormalWeb"/>
        <w:rPr>
          <w:b/>
          <w:bCs/>
        </w:rPr>
      </w:pPr>
      <w:r>
        <w:rPr>
          <w:b/>
          <w:bCs/>
        </w:rPr>
        <w:t>5-33</w:t>
      </w:r>
    </w:p>
    <w:p w14:paraId="4D37A177" w14:textId="77777777" w:rsidR="00A65FD8" w:rsidRPr="001578E0" w:rsidRDefault="00A65FD8" w:rsidP="00A65FD8">
      <w:pPr>
        <w:pStyle w:val="NormalWeb"/>
        <w:rPr>
          <w:rFonts w:ascii="Arial Black" w:hAnsi="Arial Black"/>
          <w:sz w:val="28"/>
          <w:szCs w:val="28"/>
        </w:rPr>
      </w:pPr>
      <w:r>
        <w:rPr>
          <w:rFonts w:ascii="Arial Black" w:hAnsi="Arial Black"/>
          <w:sz w:val="28"/>
          <w:szCs w:val="28"/>
        </w:rPr>
        <w:t>GA: SPEEDING MOTORIST RUNS INTO FIRE ENGINE – BUT MOTORIST EXPERT FF SHOULD SEEN HIM – CASE PROCEED</w:t>
      </w:r>
    </w:p>
    <w:p w14:paraId="73BCBA6E" w14:textId="77777777" w:rsidR="00A65FD8" w:rsidRPr="00CF75EB" w:rsidRDefault="00A65FD8" w:rsidP="00A65FD8">
      <w:pPr>
        <w:pStyle w:val="NormalWeb"/>
      </w:pPr>
      <w:r>
        <w:t xml:space="preserve">On Oct. 18, 2023, in </w:t>
      </w:r>
      <w:r w:rsidRPr="001578E0">
        <w:rPr>
          <w:u w:val="single"/>
        </w:rPr>
        <w:t>Chandler v. City of Lafayette</w:t>
      </w:r>
      <w:r>
        <w:t>, the Court of Appeals of Georgia held (3 to 0) that trial court improperly granted summary judgment to the City. The Court held:  “Because there is some evidence to show that the accident still would have occurred despite Chandler’s speeding and that both [</w:t>
      </w:r>
      <w:r w:rsidRPr="001578E0">
        <w:t>James Lamar</w:t>
      </w:r>
      <w:r>
        <w:t xml:space="preserve">] Chandler and [firefighter] Dennison should have been able to see each other before the collision, we conclude that genuine issues of material fact remain as to whether Dennison proximately caused Chandler’s injuries, and thus the trial court erred by granting summary judgment to the City.*** Moreover, Chandler’s expert testified that Dennison should have waited at the intersection or ensured that Chandler acknowledged his presence, and that Dennison failed to observe Chandler’s vehicle at the intersection. Because there is conflicting evidence as to whether Dennison slowed down as was necessary before proceeding past the red light and entering the intersection, genuine issues of material fact remain as to the City’s affirmative defense, and the trial court therefore erred to the extent that it granted summary judgment on this basis.” </w:t>
      </w:r>
      <w:hyperlink r:id="rId938" w:history="1">
        <w:r w:rsidRPr="00DC791D">
          <w:rPr>
            <w:rStyle w:val="Hyperlink"/>
            <w:rFonts w:eastAsiaTheme="majorEastAsia"/>
          </w:rPr>
          <w:t>https://cases.justia.com/georgia/court-of-appeals/2023-a23a1037.pdf?ts=1697652631</w:t>
        </w:r>
      </w:hyperlink>
      <w:r>
        <w:t xml:space="preserve"> </w:t>
      </w:r>
    </w:p>
    <w:p w14:paraId="7B31E113" w14:textId="77777777" w:rsidR="00A65FD8" w:rsidRDefault="00A65FD8" w:rsidP="00A65FD8">
      <w:pPr>
        <w:pStyle w:val="NormalWeb"/>
        <w:rPr>
          <w:b/>
          <w:bCs/>
        </w:rPr>
      </w:pPr>
      <w:r w:rsidRPr="00585D35">
        <w:rPr>
          <w:b/>
          <w:bCs/>
        </w:rPr>
        <w:lastRenderedPageBreak/>
        <w:t xml:space="preserve">Legal Lesson Learned: </w:t>
      </w:r>
      <w:r>
        <w:rPr>
          <w:b/>
          <w:bCs/>
        </w:rPr>
        <w:t xml:space="preserve">This case appears to be a “battle of the experts.” Some fire departments have adopted a “full stop” policy if entering against a red light, to avoid this type of litigation.  </w:t>
      </w:r>
    </w:p>
    <w:p w14:paraId="62E0CBF3" w14:textId="77777777" w:rsidR="00A65FD8" w:rsidRDefault="00A65FD8" w:rsidP="00A65FD8">
      <w:pPr>
        <w:pStyle w:val="NormalWeb"/>
        <w:rPr>
          <w:b/>
          <w:bCs/>
        </w:rPr>
      </w:pPr>
    </w:p>
    <w:bookmarkEnd w:id="195"/>
    <w:p w14:paraId="5B89F3AA" w14:textId="77777777" w:rsidR="00BB49C5" w:rsidRDefault="00BB49C5" w:rsidP="00EF1133">
      <w:pPr>
        <w:rPr>
          <w:rFonts w:ascii="Arial Black" w:hAnsi="Arial Black"/>
          <w:b/>
          <w:sz w:val="24"/>
          <w:szCs w:val="24"/>
        </w:rPr>
      </w:pPr>
    </w:p>
    <w:p w14:paraId="2FCE7B72" w14:textId="77777777" w:rsidR="00BB49C5" w:rsidRDefault="00BB49C5" w:rsidP="00EF1133">
      <w:pPr>
        <w:rPr>
          <w:rFonts w:ascii="Arial Black" w:hAnsi="Arial Black"/>
          <w:b/>
          <w:sz w:val="24"/>
          <w:szCs w:val="24"/>
        </w:rPr>
      </w:pPr>
    </w:p>
    <w:p w14:paraId="00FBA9D7" w14:textId="7E842D65" w:rsidR="009B0593" w:rsidRDefault="009B0593" w:rsidP="00EF1133">
      <w:pPr>
        <w:rPr>
          <w:rFonts w:ascii="Arial Black" w:hAnsi="Arial Black"/>
          <w:b/>
          <w:sz w:val="24"/>
          <w:szCs w:val="24"/>
        </w:rPr>
      </w:pPr>
      <w:r>
        <w:rPr>
          <w:rFonts w:ascii="Arial Black" w:hAnsi="Arial Black"/>
          <w:b/>
          <w:sz w:val="24"/>
          <w:szCs w:val="24"/>
        </w:rPr>
        <w:t>5-32</w:t>
      </w:r>
    </w:p>
    <w:p w14:paraId="3FAE011C" w14:textId="77777777" w:rsidR="009B0593" w:rsidRDefault="009B0593" w:rsidP="009B0593">
      <w:pPr>
        <w:pStyle w:val="NormalWeb"/>
        <w:rPr>
          <w:rFonts w:ascii="Arial Black" w:hAnsi="Arial Black"/>
          <w:b/>
          <w:bCs/>
          <w:sz w:val="28"/>
          <w:szCs w:val="28"/>
        </w:rPr>
      </w:pPr>
      <w:r>
        <w:rPr>
          <w:rFonts w:ascii="Arial Black" w:hAnsi="Arial Black"/>
          <w:b/>
          <w:bCs/>
          <w:sz w:val="28"/>
          <w:szCs w:val="28"/>
        </w:rPr>
        <w:t xml:space="preserve">TX: EMER. RUN – HEAVY TRAFFIC - BACKING UP ENGINE SIDE-SWIPED SUV – OFFICIAL IMMUNITY FOR FF &amp; CITY </w:t>
      </w:r>
    </w:p>
    <w:p w14:paraId="116D65DE" w14:textId="77777777" w:rsidR="009B0593" w:rsidRPr="001E2B05" w:rsidRDefault="009B0593" w:rsidP="009B0593">
      <w:pPr>
        <w:pStyle w:val="NormalWeb"/>
      </w:pPr>
      <w:r w:rsidRPr="001E2B05">
        <w:t xml:space="preserve">On Aug. 22, 2023, in </w:t>
      </w:r>
      <w:r w:rsidRPr="001E2B05">
        <w:rPr>
          <w:u w:val="single"/>
        </w:rPr>
        <w:t>City of Houston v. Emmitt Wilson</w:t>
      </w:r>
      <w:r>
        <w:t xml:space="preserve">, the Court of Appeals of Texas, Fourteenth District, reversed the </w:t>
      </w:r>
      <w:proofErr w:type="gramStart"/>
      <w:r>
        <w:t>trial court judge</w:t>
      </w:r>
      <w:proofErr w:type="gramEnd"/>
      <w:r>
        <w:t xml:space="preserve"> and ordered the lawsuit dismissed. The firefighters were responding to an accident with 18-wheeler and a sedan, and because of heavy traffic the engine had to slowly back up with a spotter on passenger side.  The engine side-swiped Mr. Wilson’s vehicle when he suddenly stopped backing up.  </w:t>
      </w:r>
    </w:p>
    <w:p w14:paraId="2CE9AF32" w14:textId="77777777" w:rsidR="009B0593" w:rsidRDefault="009B0593" w:rsidP="009B0593">
      <w:pPr>
        <w:pStyle w:val="NormalWeb"/>
        <w:ind w:firstLine="720"/>
      </w:pPr>
      <w:r w:rsidRPr="001919F6">
        <w:t xml:space="preserve">The Court held: </w:t>
      </w:r>
    </w:p>
    <w:p w14:paraId="1BF2D7D3" w14:textId="77777777" w:rsidR="009B0593" w:rsidRDefault="009B0593" w:rsidP="009B0593">
      <w:pPr>
        <w:pStyle w:val="NormalWeb"/>
        <w:ind w:left="720" w:firstLine="60"/>
      </w:pPr>
      <w:r>
        <w:t>“[Firefighter Jason] Carroll testified that when he determined he would need to back up on Wayside, he used his individual judgment to leave his emergency lights engaged but disengaged the siren so that he could hear his spotter's radio transmissions. Carroll also explained that his back up signals would sound. Wilson did not dispute that these alarms were operating at the time of the accident and admits that ‘Mr. Carroll and all the [City's] agents were responding to an emergency’ at the time of the accident.</w:t>
      </w:r>
    </w:p>
    <w:p w14:paraId="4E4E7824" w14:textId="77777777" w:rsidR="009B0593" w:rsidRDefault="009B0593" w:rsidP="009B0593">
      <w:pPr>
        <w:pStyle w:val="NormalWeb"/>
        <w:ind w:left="720" w:firstLine="60"/>
      </w:pPr>
      <w:r>
        <w:t>***</w:t>
      </w:r>
    </w:p>
    <w:p w14:paraId="3363E9A6" w14:textId="77777777" w:rsidR="009B0593" w:rsidRDefault="009B0593" w:rsidP="009B0593">
      <w:pPr>
        <w:pStyle w:val="NormalWeb"/>
        <w:ind w:left="720" w:firstLine="60"/>
        <w:rPr>
          <w:rFonts w:eastAsiaTheme="minorHAnsi"/>
          <w:kern w:val="2"/>
          <w14:ligatures w14:val="standardContextual"/>
        </w:rPr>
      </w:pPr>
      <w:r w:rsidRPr="001919F6">
        <w:rPr>
          <w:rFonts w:eastAsiaTheme="minorHAnsi"/>
          <w:kern w:val="2"/>
          <w14:ligatures w14:val="standardContextual"/>
        </w:rPr>
        <w:t xml:space="preserve">Because the evidence was uncontroverted that Carrol was operating Engine 43 in the course of an emergency response to a vehicle accident, and Carroll's affidavit illustrates the various decisions he made in the course of driving Engine 43 leading up to the collision-including determining the proper route to the accident, whether to keep the emergency siren and lights engaged while backing up, whether and how many spotters he should have while performing the reverse maneuver-we conclude that the Carrol was performing </w:t>
      </w:r>
      <w:r w:rsidRPr="001919F6">
        <w:rPr>
          <w:rFonts w:eastAsiaTheme="minorHAnsi"/>
          <w:i/>
          <w:iCs/>
          <w:kern w:val="2"/>
          <w14:ligatures w14:val="standardContextual"/>
        </w:rPr>
        <w:t>discretionary duties</w:t>
      </w:r>
      <w:r w:rsidRPr="001919F6">
        <w:rPr>
          <w:rFonts w:eastAsiaTheme="minorHAnsi"/>
          <w:kern w:val="2"/>
          <w14:ligatures w14:val="standardContextual"/>
        </w:rPr>
        <w:t xml:space="preserve"> at the time of the incident. </w:t>
      </w:r>
      <w:r w:rsidRPr="001919F6">
        <w:rPr>
          <w:rFonts w:eastAsiaTheme="minorHAnsi"/>
          <w:i/>
          <w:iCs/>
          <w:kern w:val="2"/>
          <w14:ligatures w14:val="standardContextual"/>
        </w:rPr>
        <w:t>See id</w:t>
      </w:r>
      <w:r w:rsidRPr="001919F6">
        <w:rPr>
          <w:rFonts w:eastAsiaTheme="minorHAnsi"/>
          <w:kern w:val="2"/>
          <w14:ligatures w14:val="standardContextual"/>
        </w:rPr>
        <w:t xml:space="preserve">. Thus, to the extent the trial court's denial of summary judgment was based on a finding that the City failed to conclusively establish that Carrol's acts were discretionary duties at the time of the collision, such </w:t>
      </w:r>
      <w:proofErr w:type="gramStart"/>
      <w:r w:rsidRPr="001919F6">
        <w:rPr>
          <w:rFonts w:eastAsiaTheme="minorHAnsi"/>
          <w:kern w:val="2"/>
          <w14:ligatures w14:val="standardContextual"/>
        </w:rPr>
        <w:t>finding was</w:t>
      </w:r>
      <w:proofErr w:type="gramEnd"/>
      <w:r w:rsidRPr="001919F6">
        <w:rPr>
          <w:rFonts w:eastAsiaTheme="minorHAnsi"/>
          <w:kern w:val="2"/>
          <w14:ligatures w14:val="standardContextual"/>
        </w:rPr>
        <w:t xml:space="preserve"> erroneous. We next consider the trial court's implicit finding that the City failed to conclusively establish that Carrol was acting in good faith at the time of the incident.</w:t>
      </w:r>
    </w:p>
    <w:p w14:paraId="1B0766B7" w14:textId="77777777" w:rsidR="009B0593" w:rsidRDefault="009B0593" w:rsidP="009B0593">
      <w:pPr>
        <w:pStyle w:val="NormalWeb"/>
        <w:ind w:left="720" w:firstLine="60"/>
        <w:rPr>
          <w:rFonts w:eastAsiaTheme="minorHAnsi"/>
          <w:kern w:val="2"/>
          <w14:ligatures w14:val="standardContextual"/>
        </w:rPr>
      </w:pPr>
      <w:r>
        <w:rPr>
          <w:rFonts w:eastAsiaTheme="minorHAnsi"/>
          <w:kern w:val="2"/>
          <w14:ligatures w14:val="standardContextual"/>
        </w:rPr>
        <w:t>***</w:t>
      </w:r>
    </w:p>
    <w:p w14:paraId="05FC330E" w14:textId="77777777" w:rsidR="009B0593" w:rsidRDefault="009B0593" w:rsidP="009B0593">
      <w:pPr>
        <w:pStyle w:val="NormalWeb"/>
        <w:ind w:left="720"/>
      </w:pPr>
      <w:r>
        <w:t xml:space="preserve">On this record, the </w:t>
      </w:r>
      <w:proofErr w:type="gramStart"/>
      <w:r>
        <w:t>City</w:t>
      </w:r>
      <w:proofErr w:type="gramEnd"/>
      <w:r>
        <w:t xml:space="preserve"> satisfied its burden to prove conclusively that Carroll was acting in good faith at the time in question…. The fact that Carroll had turned off his siren or that he had chosen only one spotter is unconvincing </w:t>
      </w:r>
      <w:proofErr w:type="gramStart"/>
      <w:r>
        <w:t>in light of</w:t>
      </w:r>
      <w:proofErr w:type="gramEnd"/>
      <w:r>
        <w:t xml:space="preserve"> the circumstances described in Carroll's affidavit, and thus the cases Wilson has cited are not germane to this case.” </w:t>
      </w:r>
      <w:hyperlink r:id="rId939" w:history="1">
        <w:r w:rsidRPr="00CD12AF">
          <w:rPr>
            <w:rStyle w:val="Hyperlink"/>
            <w:rFonts w:eastAsiaTheme="majorEastAsia"/>
          </w:rPr>
          <w:t>https://casetext.com/case/city-of-houston-v-wilson-1</w:t>
        </w:r>
      </w:hyperlink>
      <w:r>
        <w:t xml:space="preserve"> </w:t>
      </w:r>
    </w:p>
    <w:p w14:paraId="2A0F08EF" w14:textId="77777777" w:rsidR="009B0593" w:rsidRPr="00023C8D" w:rsidRDefault="009B0593" w:rsidP="009B0593">
      <w:pPr>
        <w:pStyle w:val="NormalWeb"/>
        <w:rPr>
          <w:b/>
          <w:bCs/>
        </w:rPr>
      </w:pPr>
      <w:r w:rsidRPr="00023C8D">
        <w:rPr>
          <w:b/>
          <w:bCs/>
        </w:rPr>
        <w:t>Legal Lesson Learned:</w:t>
      </w:r>
      <w:r>
        <w:rPr>
          <w:b/>
          <w:bCs/>
        </w:rPr>
        <w:t xml:space="preserve"> Official immunity under Texas law protects the City and the apparatus operator from liability. </w:t>
      </w:r>
    </w:p>
    <w:p w14:paraId="43C03495" w14:textId="77777777" w:rsidR="009B0593" w:rsidRDefault="009B0593" w:rsidP="00EF1133">
      <w:pPr>
        <w:rPr>
          <w:rFonts w:ascii="Arial Black" w:hAnsi="Arial Black"/>
          <w:b/>
          <w:sz w:val="24"/>
          <w:szCs w:val="24"/>
        </w:rPr>
      </w:pPr>
    </w:p>
    <w:p w14:paraId="4B9F6DBA" w14:textId="77777777" w:rsidR="009B0593" w:rsidRDefault="009B0593" w:rsidP="00EF1133">
      <w:pPr>
        <w:rPr>
          <w:rFonts w:ascii="Arial Black" w:hAnsi="Arial Black"/>
          <w:b/>
          <w:sz w:val="24"/>
          <w:szCs w:val="24"/>
        </w:rPr>
      </w:pPr>
    </w:p>
    <w:p w14:paraId="57C269F7" w14:textId="51AF42B8" w:rsidR="007A0E71" w:rsidRDefault="00FE60DA" w:rsidP="00EF1133">
      <w:pPr>
        <w:rPr>
          <w:rFonts w:ascii="Arial Black" w:hAnsi="Arial Black"/>
          <w:b/>
          <w:sz w:val="24"/>
          <w:szCs w:val="24"/>
        </w:rPr>
      </w:pPr>
      <w:r>
        <w:rPr>
          <w:rFonts w:ascii="Arial Black" w:hAnsi="Arial Black"/>
          <w:b/>
          <w:sz w:val="24"/>
          <w:szCs w:val="24"/>
        </w:rPr>
        <w:t>5-31</w:t>
      </w:r>
    </w:p>
    <w:p w14:paraId="4790ACA0" w14:textId="77777777" w:rsidR="00FE60DA" w:rsidRDefault="00FE60DA" w:rsidP="00FE60DA">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TX: EMT 65+ MPH THROUGH RED LIGHT – MVA – TEXAS  “MEDICAL LIAB” LAW REQ. EXPERT REPORT OF NEGLIGENT </w:t>
      </w:r>
    </w:p>
    <w:p w14:paraId="143B6313" w14:textId="77777777" w:rsidR="00FE60DA" w:rsidRDefault="00FE60DA" w:rsidP="00FE60DA">
      <w:pPr>
        <w:spacing w:before="100" w:beforeAutospacing="1" w:after="100" w:afterAutospacing="1" w:line="240" w:lineRule="auto"/>
        <w:rPr>
          <w:rFonts w:ascii="Times New Roman" w:hAnsi="Times New Roman"/>
          <w:sz w:val="24"/>
          <w:szCs w:val="24"/>
        </w:rPr>
      </w:pPr>
      <w:r w:rsidRPr="006E4E96">
        <w:rPr>
          <w:rFonts w:ascii="Times New Roman" w:hAnsi="Times New Roman"/>
          <w:sz w:val="24"/>
          <w:szCs w:val="24"/>
        </w:rPr>
        <w:t xml:space="preserve">On June 15, 2023, in </w:t>
      </w:r>
      <w:r w:rsidRPr="006E4E96">
        <w:rPr>
          <w:rFonts w:ascii="Times New Roman" w:hAnsi="Times New Roman"/>
          <w:sz w:val="24"/>
          <w:szCs w:val="24"/>
          <w:u w:val="single"/>
        </w:rPr>
        <w:t>City of Alvin v. Edna Fields</w:t>
      </w:r>
      <w:r w:rsidRPr="006E4E96">
        <w:rPr>
          <w:rFonts w:ascii="Times New Roman" w:hAnsi="Times New Roman"/>
          <w:sz w:val="24"/>
          <w:szCs w:val="24"/>
        </w:rPr>
        <w:t>, the Court of Appeals of Texas, First</w:t>
      </w:r>
      <w:r>
        <w:rPr>
          <w:rFonts w:ascii="Times New Roman" w:hAnsi="Times New Roman"/>
          <w:sz w:val="24"/>
          <w:szCs w:val="24"/>
        </w:rPr>
        <w:t xml:space="preserve"> </w:t>
      </w:r>
      <w:r w:rsidRPr="006E4E96">
        <w:rPr>
          <w:rFonts w:ascii="Times New Roman" w:hAnsi="Times New Roman"/>
          <w:sz w:val="24"/>
          <w:szCs w:val="24"/>
        </w:rPr>
        <w:t>District,</w:t>
      </w:r>
      <w:r>
        <w:rPr>
          <w:rFonts w:ascii="Times New Roman" w:hAnsi="Times New Roman"/>
          <w:sz w:val="24"/>
          <w:szCs w:val="24"/>
        </w:rPr>
        <w:t xml:space="preserve"> </w:t>
      </w:r>
      <w:r w:rsidRPr="006E4E96">
        <w:rPr>
          <w:rFonts w:ascii="Times New Roman" w:hAnsi="Times New Roman"/>
          <w:sz w:val="24"/>
          <w:szCs w:val="24"/>
        </w:rPr>
        <w:t>held (3 to 0) that trial court should have granted city’s motion to dismiss, because the patient claiming neck injury from the accident was required by the Texas Medical Liability Act (TMLA)</w:t>
      </w:r>
      <w:r>
        <w:rPr>
          <w:rFonts w:ascii="Times New Roman" w:hAnsi="Times New Roman"/>
          <w:sz w:val="24"/>
          <w:szCs w:val="24"/>
        </w:rPr>
        <w:t xml:space="preserve"> to file report from an expert supporting a claim of negligence by ambulance driver.  </w:t>
      </w:r>
    </w:p>
    <w:p w14:paraId="4554876D" w14:textId="77777777" w:rsidR="00FE60DA" w:rsidRDefault="00FE60DA" w:rsidP="00FE60DA">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The Court </w:t>
      </w:r>
      <w:proofErr w:type="gramStart"/>
      <w:r>
        <w:rPr>
          <w:rFonts w:ascii="Times New Roman" w:hAnsi="Times New Roman"/>
          <w:sz w:val="24"/>
          <w:szCs w:val="24"/>
        </w:rPr>
        <w:t>held: “</w:t>
      </w:r>
      <w:proofErr w:type="gramEnd"/>
      <w:r>
        <w:rPr>
          <w:rFonts w:ascii="Times New Roman" w:hAnsi="Times New Roman"/>
          <w:sz w:val="24"/>
          <w:szCs w:val="24"/>
        </w:rPr>
        <w:t xml:space="preserve">[EMT driver Beverly] </w:t>
      </w:r>
      <w:r w:rsidRPr="00CC4FAC">
        <w:rPr>
          <w:rFonts w:ascii="Times New Roman" w:eastAsia="Times New Roman" w:hAnsi="Times New Roman"/>
          <w:sz w:val="24"/>
          <w:szCs w:val="24"/>
        </w:rPr>
        <w:t xml:space="preserve">Scott testified that she entered the intersection against the red light to protect her partner, who was unrestrained because he was providing emergent health care to Fields. She also said that she was considering herself, her partner, her patient, and everyone in the vicinity </w:t>
      </w:r>
      <w:r>
        <w:rPr>
          <w:rFonts w:ascii="Times New Roman" w:eastAsia="Times New Roman" w:hAnsi="Times New Roman"/>
          <w:sz w:val="24"/>
          <w:szCs w:val="24"/>
        </w:rPr>
        <w:t>‘</w:t>
      </w:r>
      <w:r w:rsidRPr="00CC4FAC">
        <w:rPr>
          <w:rFonts w:ascii="Times New Roman" w:eastAsia="Times New Roman" w:hAnsi="Times New Roman"/>
          <w:sz w:val="24"/>
          <w:szCs w:val="24"/>
        </w:rPr>
        <w:t>while running emergency traffic.</w:t>
      </w:r>
      <w:r>
        <w:rPr>
          <w:rFonts w:ascii="Times New Roman" w:eastAsia="Times New Roman" w:hAnsi="Times New Roman"/>
          <w:sz w:val="24"/>
          <w:szCs w:val="24"/>
        </w:rPr>
        <w:t>’</w:t>
      </w:r>
      <w:r w:rsidRPr="00CC4FAC">
        <w:rPr>
          <w:rFonts w:ascii="Times New Roman" w:eastAsia="Times New Roman" w:hAnsi="Times New Roman"/>
          <w:sz w:val="24"/>
          <w:szCs w:val="24"/>
        </w:rPr>
        <w:t xml:space="preserve"> We conclude that the claim that Fields </w:t>
      </w:r>
      <w:proofErr w:type="gramStart"/>
      <w:r w:rsidRPr="00CC4FAC">
        <w:rPr>
          <w:rFonts w:ascii="Times New Roman" w:eastAsia="Times New Roman" w:hAnsi="Times New Roman"/>
          <w:sz w:val="24"/>
          <w:szCs w:val="24"/>
        </w:rPr>
        <w:t>pleaded</w:t>
      </w:r>
      <w:proofErr w:type="gramEnd"/>
      <w:r w:rsidRPr="00CC4FAC">
        <w:rPr>
          <w:rFonts w:ascii="Times New Roman" w:eastAsia="Times New Roman" w:hAnsi="Times New Roman"/>
          <w:sz w:val="24"/>
          <w:szCs w:val="24"/>
        </w:rPr>
        <w:t xml:space="preserve"> has a nexus between the alleged negligence and the provision of health care, and we hold that Fields's claim is a health care liability claim. </w:t>
      </w:r>
      <w:r w:rsidRPr="00CC4FAC">
        <w:rPr>
          <w:rFonts w:ascii="Times New Roman" w:eastAsia="Times New Roman" w:hAnsi="Times New Roman"/>
          <w:i/>
          <w:iCs/>
          <w:sz w:val="24"/>
          <w:szCs w:val="24"/>
        </w:rPr>
        <w:t>Ross</w:t>
      </w:r>
      <w:r w:rsidRPr="00CC4FAC">
        <w:rPr>
          <w:rFonts w:ascii="Times New Roman" w:eastAsia="Times New Roman" w:hAnsi="Times New Roman"/>
          <w:sz w:val="24"/>
          <w:szCs w:val="24"/>
        </w:rPr>
        <w:t xml:space="preserve">, 462 S.W.3d at 504; </w:t>
      </w:r>
      <w:r w:rsidRPr="00CC4FAC">
        <w:rPr>
          <w:rFonts w:ascii="Times New Roman" w:eastAsia="Times New Roman" w:hAnsi="Times New Roman"/>
          <w:i/>
          <w:iCs/>
          <w:sz w:val="24"/>
          <w:szCs w:val="24"/>
        </w:rPr>
        <w:t>see Coming Attractions Bridal &amp; Formal</w:t>
      </w:r>
      <w:r w:rsidRPr="00CC4FAC">
        <w:rPr>
          <w:rFonts w:ascii="Times New Roman" w:eastAsia="Times New Roman" w:hAnsi="Times New Roman"/>
          <w:sz w:val="24"/>
          <w:szCs w:val="24"/>
        </w:rPr>
        <w:t>, 595 S.W.3d at 664</w:t>
      </w:r>
      <w:r>
        <w:rPr>
          <w:rFonts w:ascii="Times New Roman" w:eastAsia="Times New Roman" w:hAnsi="Times New Roman"/>
          <w:sz w:val="24"/>
          <w:szCs w:val="24"/>
        </w:rPr>
        <w:t xml:space="preserve">. </w:t>
      </w:r>
      <w:r w:rsidRPr="00CC4FAC">
        <w:rPr>
          <w:rFonts w:ascii="Times New Roman" w:eastAsia="Times New Roman" w:hAnsi="Times New Roman"/>
          <w:sz w:val="24"/>
          <w:szCs w:val="24"/>
        </w:rPr>
        <w:t xml:space="preserve"> It is undisputed that Fields did not timely serve an expert report. </w:t>
      </w:r>
      <w:r w:rsidRPr="00CC4FAC">
        <w:rPr>
          <w:rFonts w:ascii="Times New Roman" w:eastAsia="Times New Roman" w:hAnsi="Times New Roman"/>
          <w:i/>
          <w:iCs/>
          <w:sz w:val="24"/>
          <w:szCs w:val="24"/>
        </w:rPr>
        <w:t>See</w:t>
      </w:r>
      <w:r w:rsidRPr="00CC4FAC">
        <w:rPr>
          <w:rFonts w:ascii="Times New Roman" w:eastAsia="Times New Roman" w:hAnsi="Times New Roman"/>
          <w:sz w:val="24"/>
          <w:szCs w:val="24"/>
        </w:rPr>
        <w:t xml:space="preserve"> TEX. CIV. PRAC. &amp; REM. CODE § 74.351(b). We therefore hold that the trial court erred by denying the City's motion to dismiss. We sustain the City's second issue.</w:t>
      </w:r>
      <w:r>
        <w:rPr>
          <w:rFonts w:ascii="Times New Roman" w:eastAsia="Times New Roman" w:hAnsi="Times New Roman"/>
          <w:sz w:val="24"/>
          <w:szCs w:val="24"/>
        </w:rPr>
        <w:t>”</w:t>
      </w:r>
      <w:r w:rsidRPr="00CC4FAC">
        <w:rPr>
          <w:rFonts w:ascii="Times New Roman" w:eastAsia="Times New Roman" w:hAnsi="Times New Roman"/>
          <w:sz w:val="24"/>
          <w:szCs w:val="24"/>
        </w:rPr>
        <w:t xml:space="preserve"> </w:t>
      </w:r>
      <w:hyperlink r:id="rId940" w:history="1">
        <w:r w:rsidRPr="00812663">
          <w:rPr>
            <w:rStyle w:val="Hyperlink"/>
            <w:sz w:val="24"/>
            <w:szCs w:val="24"/>
          </w:rPr>
          <w:t>https://casetext.com/case/city-of-alvin-v-fields</w:t>
        </w:r>
      </w:hyperlink>
      <w:r>
        <w:rPr>
          <w:rFonts w:ascii="Times New Roman" w:eastAsia="Times New Roman" w:hAnsi="Times New Roman"/>
          <w:sz w:val="24"/>
          <w:szCs w:val="24"/>
        </w:rPr>
        <w:t xml:space="preserve"> </w:t>
      </w:r>
    </w:p>
    <w:p w14:paraId="13F01E28" w14:textId="77777777" w:rsidR="00FE60DA" w:rsidRDefault="00FE60DA" w:rsidP="00FE60DA">
      <w:pPr>
        <w:pStyle w:val="NormalWeb"/>
        <w:rPr>
          <w:b/>
          <w:bCs/>
        </w:rPr>
      </w:pPr>
      <w:r w:rsidRPr="007D7E2D">
        <w:rPr>
          <w:b/>
          <w:bCs/>
        </w:rPr>
        <w:t xml:space="preserve">Legal Lesson Learned: </w:t>
      </w:r>
      <w:r>
        <w:rPr>
          <w:b/>
          <w:bCs/>
        </w:rPr>
        <w:t xml:space="preserve"> EMS transporting stroke victim, where time is of the essence, should still slow down from 65 MPH when entering a controlled intersection.  In many states, this would be a normal tort claim for negligence, and not a medical claim requiring expert </w:t>
      </w:r>
      <w:proofErr w:type="gramStart"/>
      <w:r>
        <w:rPr>
          <w:b/>
          <w:bCs/>
        </w:rPr>
        <w:t>report</w:t>
      </w:r>
      <w:proofErr w:type="gramEnd"/>
      <w:r>
        <w:rPr>
          <w:b/>
          <w:bCs/>
        </w:rPr>
        <w:t xml:space="preserve">. </w:t>
      </w:r>
    </w:p>
    <w:p w14:paraId="7DC1989A" w14:textId="77777777" w:rsidR="00FE60DA" w:rsidRPr="00F115F8" w:rsidRDefault="00FE60DA" w:rsidP="00FE60DA">
      <w:pPr>
        <w:pStyle w:val="Heading1"/>
        <w:ind w:left="720"/>
        <w:rPr>
          <w:b w:val="0"/>
          <w:bCs w:val="0"/>
          <w:sz w:val="24"/>
          <w:szCs w:val="24"/>
        </w:rPr>
      </w:pPr>
      <w:r w:rsidRPr="00F115F8">
        <w:rPr>
          <w:b w:val="0"/>
          <w:bCs w:val="0"/>
          <w:sz w:val="24"/>
          <w:szCs w:val="24"/>
        </w:rPr>
        <w:t xml:space="preserve">Note: Under Ohio law. Section 4511.03 </w:t>
      </w:r>
      <w:r w:rsidRPr="00F115F8">
        <w:rPr>
          <w:rStyle w:val="codes-separator"/>
          <w:b w:val="0"/>
          <w:bCs w:val="0"/>
          <w:sz w:val="24"/>
          <w:szCs w:val="24"/>
        </w:rPr>
        <w:t>|</w:t>
      </w:r>
      <w:r w:rsidRPr="00F115F8">
        <w:rPr>
          <w:b w:val="0"/>
          <w:bCs w:val="0"/>
          <w:sz w:val="24"/>
          <w:szCs w:val="24"/>
        </w:rPr>
        <w:t xml:space="preserve"> Emergency vehicles at red signal or stop sign. </w:t>
      </w:r>
      <w:hyperlink r:id="rId941" w:history="1">
        <w:r w:rsidRPr="00F115F8">
          <w:rPr>
            <w:rStyle w:val="Hyperlink"/>
            <w:b w:val="0"/>
            <w:bCs w:val="0"/>
            <w:sz w:val="24"/>
            <w:szCs w:val="24"/>
          </w:rPr>
          <w:t>https://codes.ohio.gov/ohio-revised-code/section-4511.03</w:t>
        </w:r>
      </w:hyperlink>
      <w:r w:rsidRPr="00F115F8">
        <w:rPr>
          <w:b w:val="0"/>
          <w:bCs w:val="0"/>
          <w:sz w:val="24"/>
          <w:szCs w:val="24"/>
        </w:rPr>
        <w:t xml:space="preserve"> </w:t>
      </w:r>
    </w:p>
    <w:p w14:paraId="0708555E" w14:textId="77777777" w:rsidR="00FE60DA" w:rsidRPr="007D7E2D" w:rsidRDefault="00FE60DA" w:rsidP="00FE60DA">
      <w:pPr>
        <w:pStyle w:val="NormalWeb"/>
        <w:ind w:left="1440"/>
      </w:pPr>
      <w:r>
        <w:t>“</w:t>
      </w:r>
      <w:r w:rsidRPr="007D7E2D">
        <w:t>(A)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w:t>
      </w:r>
      <w:r>
        <w:t>”</w:t>
      </w:r>
    </w:p>
    <w:p w14:paraId="65BFAFB8" w14:textId="77777777" w:rsidR="00FE60DA" w:rsidRPr="00F115F8" w:rsidRDefault="00FE60DA" w:rsidP="00FE60DA">
      <w:pPr>
        <w:pStyle w:val="Heading1"/>
        <w:ind w:left="720"/>
        <w:rPr>
          <w:b w:val="0"/>
          <w:bCs w:val="0"/>
          <w:sz w:val="24"/>
          <w:szCs w:val="24"/>
        </w:rPr>
      </w:pPr>
      <w:r w:rsidRPr="00F115F8">
        <w:rPr>
          <w:b w:val="0"/>
          <w:bCs w:val="0"/>
          <w:sz w:val="24"/>
          <w:szCs w:val="24"/>
        </w:rPr>
        <w:t xml:space="preserve">See also Ohio Administrative Code: Rule 3335-21-12 </w:t>
      </w:r>
      <w:r w:rsidRPr="00F115F8">
        <w:rPr>
          <w:rStyle w:val="codes-separator"/>
          <w:b w:val="0"/>
          <w:bCs w:val="0"/>
          <w:sz w:val="24"/>
          <w:szCs w:val="24"/>
        </w:rPr>
        <w:t>|</w:t>
      </w:r>
      <w:r w:rsidRPr="00F115F8">
        <w:rPr>
          <w:b w:val="0"/>
          <w:bCs w:val="0"/>
          <w:sz w:val="24"/>
          <w:szCs w:val="24"/>
        </w:rPr>
        <w:t xml:space="preserve"> Emergency and public safety vehicles. </w:t>
      </w:r>
      <w:hyperlink r:id="rId942" w:history="1">
        <w:r w:rsidRPr="00F115F8">
          <w:rPr>
            <w:rStyle w:val="Hyperlink"/>
            <w:b w:val="0"/>
            <w:bCs w:val="0"/>
            <w:sz w:val="24"/>
            <w:szCs w:val="24"/>
          </w:rPr>
          <w:t>https://codes.ohio.gov/ohio-administrative-code/rule-3335-21-12</w:t>
        </w:r>
      </w:hyperlink>
      <w:r w:rsidRPr="00F115F8">
        <w:rPr>
          <w:b w:val="0"/>
          <w:bCs w:val="0"/>
          <w:sz w:val="24"/>
          <w:szCs w:val="24"/>
        </w:rPr>
        <w:t xml:space="preserve"> </w:t>
      </w:r>
    </w:p>
    <w:p w14:paraId="05C50502" w14:textId="77777777" w:rsidR="00FE60DA" w:rsidRDefault="00FE60DA" w:rsidP="00FE60DA">
      <w:pPr>
        <w:pStyle w:val="first-paragraph"/>
        <w:ind w:left="1440"/>
      </w:pPr>
      <w:r>
        <w:t>“(A) Privileges of drivers. The driver of an authorized emergency vehicle or public safety vehicle, when responding to an emergency call, or when in the pursuit of an actual or suspected violator of the law, or when responding to but not upon returning from a fire or other emergency alarm, may exercise the privileges set forth in this regulation, but subject to the conditions herein stated. The driver of an authorized emergency vehicle or public safety vehicle may:</w:t>
      </w:r>
    </w:p>
    <w:p w14:paraId="725DC510" w14:textId="77777777" w:rsidR="00FE60DA" w:rsidRDefault="00FE60DA" w:rsidP="00FE60DA">
      <w:pPr>
        <w:pStyle w:val="first-paragraph"/>
        <w:ind w:left="720" w:firstLine="720"/>
      </w:pPr>
      <w:r>
        <w:t xml:space="preserve">(1) Park or stand, irrespective of the provisions of </w:t>
      </w:r>
      <w:proofErr w:type="gramStart"/>
      <w:r>
        <w:t>these regulation</w:t>
      </w:r>
      <w:proofErr w:type="gramEnd"/>
      <w:r>
        <w:t>;</w:t>
      </w:r>
    </w:p>
    <w:p w14:paraId="125DDE84" w14:textId="77777777" w:rsidR="00FE60DA" w:rsidRDefault="00FE60DA" w:rsidP="00FE60DA">
      <w:pPr>
        <w:pStyle w:val="first-paragraph"/>
        <w:ind w:left="1440"/>
      </w:pPr>
      <w:r>
        <w:t>(2) Proceed past a red or stop signal or stop sign, but only after slowing down as may be necessary for safe operation;</w:t>
      </w:r>
    </w:p>
    <w:p w14:paraId="362E306A" w14:textId="77777777" w:rsidR="00FE60DA" w:rsidRDefault="00FE60DA" w:rsidP="00FE60DA">
      <w:pPr>
        <w:pStyle w:val="first-paragraph"/>
        <w:ind w:left="1440"/>
      </w:pPr>
      <w:r>
        <w:lastRenderedPageBreak/>
        <w:t>(3) Exceed the maximum speed limits so long as he or she does not endanger life or property; and</w:t>
      </w:r>
    </w:p>
    <w:p w14:paraId="250430C5" w14:textId="77777777" w:rsidR="00FE60DA" w:rsidRDefault="00FE60DA" w:rsidP="00FE60DA">
      <w:pPr>
        <w:pStyle w:val="first-paragraph"/>
        <w:ind w:left="1440"/>
      </w:pPr>
      <w:r>
        <w:t>(4) Disregard regulations governing direction of movement or turning in specified directions.”</w:t>
      </w:r>
    </w:p>
    <w:p w14:paraId="7CC1E033" w14:textId="77777777" w:rsidR="00FE60DA" w:rsidRDefault="00FE60DA" w:rsidP="00EF1133">
      <w:pPr>
        <w:rPr>
          <w:rFonts w:ascii="Arial Black" w:hAnsi="Arial Black"/>
          <w:b/>
          <w:sz w:val="24"/>
          <w:szCs w:val="24"/>
        </w:rPr>
      </w:pPr>
    </w:p>
    <w:p w14:paraId="2C5688C3" w14:textId="61493A01" w:rsidR="007A0E71" w:rsidRDefault="007A0E71" w:rsidP="00EF1133">
      <w:pPr>
        <w:rPr>
          <w:rFonts w:ascii="Arial Black" w:hAnsi="Arial Black"/>
          <w:b/>
          <w:sz w:val="24"/>
          <w:szCs w:val="24"/>
        </w:rPr>
      </w:pPr>
      <w:r>
        <w:rPr>
          <w:rFonts w:ascii="Arial Black" w:hAnsi="Arial Black"/>
          <w:b/>
          <w:sz w:val="24"/>
          <w:szCs w:val="24"/>
        </w:rPr>
        <w:t>5-30</w:t>
      </w:r>
    </w:p>
    <w:p w14:paraId="502F966D" w14:textId="77777777" w:rsidR="007A0E71" w:rsidRPr="00216C4D" w:rsidRDefault="007A0E71" w:rsidP="007A0E71">
      <w:pPr>
        <w:pStyle w:val="NoSpacing"/>
        <w:rPr>
          <w:rFonts w:ascii="Arial Black" w:hAnsi="Arial Black"/>
          <w:sz w:val="28"/>
          <w:szCs w:val="28"/>
        </w:rPr>
      </w:pPr>
      <w:r w:rsidRPr="00216C4D">
        <w:rPr>
          <w:rFonts w:ascii="Arial Black" w:hAnsi="Arial Black"/>
          <w:sz w:val="28"/>
          <w:szCs w:val="28"/>
        </w:rPr>
        <w:t xml:space="preserve">IN (4/28/2023) – BLUE LIGHTS VOL. FF – NON-VOL CITED HAVING TWO BLUE LIGHTS ON INSIDE BACK WINDOW </w:t>
      </w:r>
    </w:p>
    <w:p w14:paraId="4CAAB6A7" w14:textId="77777777" w:rsidR="007A0E71" w:rsidRDefault="007A0E71" w:rsidP="007A0E71">
      <w:pPr>
        <w:pStyle w:val="NoSpacing"/>
      </w:pPr>
    </w:p>
    <w:p w14:paraId="4C2E0374" w14:textId="77777777" w:rsidR="007A0E71" w:rsidRPr="00F76E2E" w:rsidRDefault="007A0E71" w:rsidP="007A0E71">
      <w:pPr>
        <w:pStyle w:val="NoSpacing"/>
        <w:rPr>
          <w:rFonts w:ascii="Times New Roman" w:hAnsi="Times New Roman"/>
          <w:sz w:val="24"/>
          <w:szCs w:val="24"/>
        </w:rPr>
      </w:pPr>
      <w:r w:rsidRPr="00F76E2E">
        <w:rPr>
          <w:rFonts w:ascii="Times New Roman" w:hAnsi="Times New Roman"/>
          <w:sz w:val="24"/>
          <w:szCs w:val="24"/>
          <w:u w:val="single"/>
        </w:rPr>
        <w:t>Bryan C. Falletti v. State of Indiana, Court of Appeals of Indiana</w:t>
      </w:r>
      <w:r w:rsidRPr="00F76E2E">
        <w:rPr>
          <w:rFonts w:ascii="Times New Roman" w:hAnsi="Times New Roman"/>
          <w:sz w:val="24"/>
          <w:szCs w:val="24"/>
        </w:rPr>
        <w:t xml:space="preserve">. </w:t>
      </w:r>
      <w:hyperlink r:id="rId943" w:history="1">
        <w:r w:rsidRPr="00F76E2E">
          <w:rPr>
            <w:rStyle w:val="Hyperlink"/>
            <w:rFonts w:ascii="Times New Roman" w:hAnsi="Times New Roman"/>
            <w:sz w:val="24"/>
            <w:szCs w:val="24"/>
          </w:rPr>
          <w:t>https://public.courts.in.gov/Decisions/api/Document/Opinion?Id=rJRDncpWPHQbq7P5uv2HFHli7-yY9NDpUsGFV_2xhbEFoKT6dBGW8VG2YJisX0M_0</w:t>
        </w:r>
      </w:hyperlink>
      <w:r w:rsidRPr="00F76E2E">
        <w:rPr>
          <w:rFonts w:ascii="Times New Roman" w:hAnsi="Times New Roman"/>
          <w:sz w:val="24"/>
          <w:szCs w:val="24"/>
        </w:rPr>
        <w:t xml:space="preserve"> </w:t>
      </w:r>
    </w:p>
    <w:p w14:paraId="12DE5294" w14:textId="77777777" w:rsidR="007A0E71" w:rsidRDefault="007A0E71" w:rsidP="007A0E71">
      <w:pPr>
        <w:pStyle w:val="NormalWeb"/>
        <w:rPr>
          <w:b/>
          <w:bCs/>
        </w:rPr>
      </w:pPr>
      <w:r>
        <w:rPr>
          <w:b/>
          <w:bCs/>
        </w:rPr>
        <w:t xml:space="preserve">Legal Lesson Learned: Unless you are a volunteer firefighter, may not have blue lights on top of your vehicle, or in your vehicle, in Indiana. </w:t>
      </w:r>
    </w:p>
    <w:p w14:paraId="5D6C70D2" w14:textId="77777777" w:rsidR="007A0E71" w:rsidRDefault="007A0E71" w:rsidP="00EF1133">
      <w:pPr>
        <w:rPr>
          <w:rFonts w:ascii="Arial Black" w:hAnsi="Arial Black"/>
          <w:b/>
          <w:sz w:val="24"/>
          <w:szCs w:val="24"/>
        </w:rPr>
      </w:pPr>
    </w:p>
    <w:p w14:paraId="0AA079C7" w14:textId="0EC9591D" w:rsidR="002D64A4" w:rsidRDefault="002D64A4" w:rsidP="00EF1133">
      <w:pPr>
        <w:rPr>
          <w:rFonts w:ascii="Arial Black" w:hAnsi="Arial Black"/>
          <w:b/>
          <w:sz w:val="24"/>
          <w:szCs w:val="24"/>
        </w:rPr>
      </w:pPr>
      <w:r>
        <w:rPr>
          <w:rFonts w:ascii="Arial Black" w:hAnsi="Arial Black"/>
          <w:b/>
          <w:sz w:val="24"/>
          <w:szCs w:val="24"/>
        </w:rPr>
        <w:t>5-29</w:t>
      </w:r>
    </w:p>
    <w:p w14:paraId="068DC7AC" w14:textId="77777777" w:rsidR="002D64A4" w:rsidRPr="00570961" w:rsidRDefault="002D64A4" w:rsidP="002D64A4">
      <w:pPr>
        <w:pStyle w:val="NormalWeb"/>
        <w:rPr>
          <w:rFonts w:ascii="Arial Black" w:hAnsi="Arial Black"/>
          <w:sz w:val="28"/>
          <w:szCs w:val="28"/>
        </w:rPr>
      </w:pPr>
      <w:r>
        <w:rPr>
          <w:rFonts w:ascii="Arial Black" w:hAnsi="Arial Black"/>
          <w:sz w:val="28"/>
          <w:szCs w:val="28"/>
        </w:rPr>
        <w:t xml:space="preserve">OH: ENGINE 20-25 MPH THROUGH RED LIGHT - FD &amp; TWP IMMUNITY – LAWSUIT AGAINST FF TO PROCEED </w:t>
      </w:r>
    </w:p>
    <w:p w14:paraId="0831C650" w14:textId="77777777" w:rsidR="002D64A4" w:rsidRDefault="002D64A4" w:rsidP="002D64A4">
      <w:pPr>
        <w:pStyle w:val="NormalWeb"/>
        <w:rPr>
          <w:b/>
          <w:bCs/>
        </w:rPr>
      </w:pPr>
      <w:r>
        <w:t xml:space="preserve">On Feb. 21, 2023, in </w:t>
      </w:r>
      <w:r w:rsidRPr="00E477B6">
        <w:rPr>
          <w:u w:val="single"/>
        </w:rPr>
        <w:t>Brandon Freeman v. David A. Lovejoy, et al</w:t>
      </w:r>
      <w:r>
        <w:t xml:space="preserve">., the Court of Appeals, Fifth District (Fairfield), held (3 to 0) that the trial court judge properly denied the firefighter’s motion for summary judgment in a personal injury lawsuit by a motorist who collided with the engine on April 19, 2019 in an intersection where the motorist had a green light, and the engine came through a red light.   “On April 25, 2022, the trial court granted summary judgment in favor of the Fire Department and the Township, finding the Fire Department and the Township were statutorily immune from liability as Appellant did not act in a willful or wanton manner. However, the trial court denied Appellant's motion for summary judgment, finding a genuine issue of material fact exists as to whether Appellant operated the fire engine in a reckless manner. *** Viewing the evidence in a light most favorable to Appellee, we find reasonable minds could come to different conclusions about Appellant's operation of the fire engine given the visual and sound obstructions in the area, the number of lanes of travel Appellant was crossing.” </w:t>
      </w:r>
      <w:hyperlink r:id="rId944" w:history="1">
        <w:r w:rsidRPr="00933DFB">
          <w:rPr>
            <w:rStyle w:val="Hyperlink"/>
            <w:rFonts w:eastAsiaTheme="majorEastAsia"/>
          </w:rPr>
          <w:t>https://cms7files1.revize.com/starkcountyoh/f22-16.wbh.sl.pdf</w:t>
        </w:r>
      </w:hyperlink>
      <w:r>
        <w:t xml:space="preserve"> </w:t>
      </w:r>
    </w:p>
    <w:p w14:paraId="7891A0B5" w14:textId="77777777" w:rsidR="002D64A4" w:rsidRDefault="002D64A4" w:rsidP="002D64A4">
      <w:pPr>
        <w:pStyle w:val="NormalWeb"/>
        <w:ind w:left="720"/>
      </w:pPr>
      <w:r>
        <w:t xml:space="preserve">“Pickerington Police Officer Thomas Spreen completed the Crash Report. Therein, Officer Spreen indicated the traffic was moderate, the road conditions were wet, and it was raining. Officer Spreen </w:t>
      </w:r>
      <w:proofErr w:type="gramStart"/>
      <w:r>
        <w:t>concluded</w:t>
      </w:r>
      <w:proofErr w:type="gramEnd"/>
      <w:r>
        <w:t xml:space="preserve"> Appellant [firefighter] was at fault for the accident, </w:t>
      </w:r>
      <w:proofErr w:type="gramStart"/>
      <w:r>
        <w:t>explaining</w:t>
      </w:r>
      <w:proofErr w:type="gramEnd"/>
      <w:r>
        <w:t xml:space="preserve"> Appellant entered ‘the busy intersection at an estimated speed of 20 mph to 25 mph without stopping on a red light. Therefore, I find that the driver of the fire truck did not use due regard when entering the intersection causing the accident.’ Crash Report at 8. Officer Spreen </w:t>
      </w:r>
      <w:proofErr w:type="gramStart"/>
      <w:r>
        <w:t>stated, ‘</w:t>
      </w:r>
      <w:proofErr w:type="gramEnd"/>
      <w:r>
        <w:t>From the vantage point of the Unit 2 driver [Appellee]. I found that his view or initial observation point on the fire truck was partially obstructed by the CVS building, (4) trees, landscaping and landscaping wall (photo taken). I also find that his being able to hear the (2) sets of approaching sirens from the (2) Truro emergency vehicles while approaching the intersection would also have been obstructed by the physical barriers listed.’”</w:t>
      </w:r>
    </w:p>
    <w:p w14:paraId="05CF420F" w14:textId="77777777" w:rsidR="002D64A4" w:rsidRDefault="002D64A4" w:rsidP="002D64A4">
      <w:pPr>
        <w:pStyle w:val="NormalWeb"/>
        <w:rPr>
          <w:b/>
          <w:bCs/>
        </w:rPr>
      </w:pPr>
      <w:r>
        <w:rPr>
          <w:b/>
          <w:bCs/>
        </w:rPr>
        <w:lastRenderedPageBreak/>
        <w:t>Legal Lesson Learned: FDs should consider adopting an SOP requiring a “full stop” at red lights.</w:t>
      </w:r>
    </w:p>
    <w:p w14:paraId="7B25E820" w14:textId="77777777" w:rsidR="002D64A4" w:rsidRDefault="002D64A4" w:rsidP="002D64A4">
      <w:pPr>
        <w:pStyle w:val="NormalWeb"/>
      </w:pPr>
    </w:p>
    <w:p w14:paraId="3AE3990F" w14:textId="06E39DF0" w:rsidR="006D2C51" w:rsidRDefault="00AE32D3" w:rsidP="00EF1133">
      <w:pPr>
        <w:rPr>
          <w:rFonts w:ascii="Arial Black" w:hAnsi="Arial Black"/>
          <w:b/>
          <w:sz w:val="24"/>
          <w:szCs w:val="24"/>
        </w:rPr>
      </w:pPr>
      <w:r>
        <w:rPr>
          <w:rFonts w:ascii="Arial Black" w:hAnsi="Arial Black"/>
          <w:b/>
          <w:sz w:val="24"/>
          <w:szCs w:val="24"/>
        </w:rPr>
        <w:t>5-28</w:t>
      </w:r>
    </w:p>
    <w:p w14:paraId="4BDDE1EB" w14:textId="77777777" w:rsidR="00B87D79" w:rsidRPr="00130410" w:rsidRDefault="00B87D79" w:rsidP="00B87D79">
      <w:pPr>
        <w:pStyle w:val="NormalWeb"/>
        <w:rPr>
          <w:rFonts w:ascii="Arial Black" w:hAnsi="Arial Black"/>
          <w:sz w:val="28"/>
          <w:szCs w:val="28"/>
        </w:rPr>
      </w:pPr>
      <w:r>
        <w:rPr>
          <w:rFonts w:ascii="Arial Black" w:hAnsi="Arial Black"/>
          <w:sz w:val="28"/>
          <w:szCs w:val="28"/>
        </w:rPr>
        <w:t>TX: AMBULANCE DRIVER CAME TO FULL STOP – SLOWLY ENTERED INTERSECTION WITH “BLIND SPOTS” - IMMUNITY</w:t>
      </w:r>
    </w:p>
    <w:p w14:paraId="1A30D734" w14:textId="77777777" w:rsidR="00B87D79" w:rsidRDefault="00B87D79" w:rsidP="00B87D79">
      <w:pPr>
        <w:pStyle w:val="NormalWeb"/>
      </w:pPr>
      <w:r>
        <w:t xml:space="preserve">On Nov. 8, 2022, in </w:t>
      </w:r>
      <w:r w:rsidRPr="00130410">
        <w:rPr>
          <w:u w:val="single"/>
        </w:rPr>
        <w:t>City of Houston v. Martha Vogel and Maria Escalante</w:t>
      </w:r>
      <w:r>
        <w:t xml:space="preserve">, the Court of Appeals of Texas, First District, held (3 to 0) that the trial court improperly denied the City’s motion to dismiss the case.  The deposition testimony of the EMT, his passenger, and civilian witnesses confirmed the ambulance driver had lights and siren operating, came to a complete stop, and slowly entered the intersection; the plaintiffs vehicle struct and rolled the ambulance. </w:t>
      </w:r>
    </w:p>
    <w:p w14:paraId="5EBCAFC5" w14:textId="77777777" w:rsidR="00B87D79" w:rsidRDefault="00B87D79" w:rsidP="00B87D79">
      <w:pPr>
        <w:pStyle w:val="NormalWeb"/>
        <w:ind w:left="720"/>
      </w:pPr>
      <w:r>
        <w:t xml:space="preserve">“Here, like in </w:t>
      </w:r>
      <w:r>
        <w:rPr>
          <w:rStyle w:val="Emphasis"/>
        </w:rPr>
        <w:t>Kuhn</w:t>
      </w:r>
      <w:r>
        <w:t xml:space="preserve">, whether the intersection was ‘blind’ did not create a material fact issue </w:t>
      </w:r>
      <w:proofErr w:type="gramStart"/>
      <w:r>
        <w:t>in light of</w:t>
      </w:r>
      <w:proofErr w:type="gramEnd"/>
      <w:r>
        <w:t xml:space="preserve"> the undisputed evidence that EMT Brooks was responding to a 9-1-1 emergency call, activated his lights and siren, came to a complete stop at the stop sign on Euel, and looked for traffic.</w:t>
      </w:r>
    </w:p>
    <w:p w14:paraId="07AFF628" w14:textId="77777777" w:rsidR="00B87D79" w:rsidRDefault="00B87D79" w:rsidP="00B87D79">
      <w:pPr>
        <w:pStyle w:val="NormalWeb"/>
        <w:ind w:left="720"/>
      </w:pPr>
      <w:r>
        <w:t>***</w:t>
      </w:r>
    </w:p>
    <w:p w14:paraId="3A362347" w14:textId="04830AFE" w:rsidR="00AE32D3" w:rsidRPr="00B87D79" w:rsidRDefault="00B87D79" w:rsidP="00B87D79">
      <w:pPr>
        <w:ind w:left="720"/>
        <w:rPr>
          <w:rFonts w:ascii="Times New Roman" w:hAnsi="Times New Roman"/>
          <w:b/>
          <w:sz w:val="24"/>
          <w:szCs w:val="24"/>
        </w:rPr>
      </w:pPr>
      <w:r w:rsidRPr="00B87D79">
        <w:rPr>
          <w:rFonts w:ascii="Times New Roman" w:hAnsi="Times New Roman"/>
          <w:sz w:val="24"/>
          <w:szCs w:val="24"/>
        </w:rPr>
        <w:t xml:space="preserve">Fogel and Escalante also asserted that their evidence raised a fact issue because it showed that EMT Brooks was reckless in entering the intersection ‘completely blind.’ They presented photographs of the intersection at issue, which they asserted ‘show EMT Brooks' view of Hardy was </w:t>
      </w:r>
      <w:r w:rsidRPr="00B87D79">
        <w:rPr>
          <w:rStyle w:val="Emphasis"/>
          <w:rFonts w:ascii="Times New Roman" w:hAnsi="Times New Roman"/>
          <w:sz w:val="24"/>
          <w:szCs w:val="24"/>
        </w:rPr>
        <w:t>completely blocked</w:t>
      </w:r>
      <w:r w:rsidRPr="00B87D79">
        <w:rPr>
          <w:rFonts w:ascii="Times New Roman" w:hAnsi="Times New Roman"/>
          <w:sz w:val="24"/>
          <w:szCs w:val="24"/>
        </w:rPr>
        <w:t xml:space="preserve"> by construction, a house, parked box trucks, trees and shrubs.’ (Emphasis added.) The record does not support their assertion. The photographs do not show that Brooks's view of Hardy was ‘completely blocked.’ Rather, the Exhibit 3 photograph shows a view of traffic on Hardy Street. Although plastic barriers and pylons appear, traffic behind them is readily visible. Their field diagram shows the stop sign located at the corner of the intersection, and the tree depicted in the photographs is shown in Exhibit 3 to be set back from the corner. There is not a house shown in the photographs attached their response to the City's plea.” </w:t>
      </w:r>
      <w:hyperlink r:id="rId945" w:history="1">
        <w:r w:rsidRPr="00B87D79">
          <w:rPr>
            <w:rStyle w:val="Hyperlink"/>
            <w:rFonts w:ascii="Times New Roman" w:eastAsiaTheme="majorEastAsia" w:hAnsi="Times New Roman"/>
            <w:sz w:val="24"/>
            <w:szCs w:val="24"/>
          </w:rPr>
          <w:t>https://casetext.com/case/city-of-hous-v-vogel</w:t>
        </w:r>
      </w:hyperlink>
    </w:p>
    <w:p w14:paraId="50671468" w14:textId="77777777" w:rsidR="00B87D79" w:rsidRDefault="00B87D79" w:rsidP="00B87D79">
      <w:pPr>
        <w:spacing w:after="100" w:line="240" w:lineRule="auto"/>
        <w:rPr>
          <w:rFonts w:ascii="Times New Roman" w:hAnsi="Times New Roman"/>
          <w:b/>
          <w:bCs/>
          <w:sz w:val="24"/>
          <w:szCs w:val="24"/>
        </w:rPr>
      </w:pPr>
      <w:r w:rsidRPr="00675A8D">
        <w:rPr>
          <w:rFonts w:ascii="Times New Roman" w:hAnsi="Times New Roman"/>
          <w:b/>
          <w:bCs/>
          <w:sz w:val="24"/>
          <w:szCs w:val="24"/>
        </w:rPr>
        <w:t>Legal Lesson Learned:</w:t>
      </w:r>
      <w:r>
        <w:rPr>
          <w:rFonts w:ascii="Times New Roman" w:hAnsi="Times New Roman"/>
          <w:b/>
          <w:bCs/>
          <w:sz w:val="24"/>
          <w:szCs w:val="24"/>
        </w:rPr>
        <w:t xml:space="preserve"> Testimony of civilian witnesses about </w:t>
      </w:r>
      <w:proofErr w:type="gramStart"/>
      <w:r>
        <w:rPr>
          <w:rFonts w:ascii="Times New Roman" w:hAnsi="Times New Roman"/>
          <w:b/>
          <w:bCs/>
          <w:sz w:val="24"/>
          <w:szCs w:val="24"/>
        </w:rPr>
        <w:t>ambulance</w:t>
      </w:r>
      <w:proofErr w:type="gramEnd"/>
      <w:r>
        <w:rPr>
          <w:rFonts w:ascii="Times New Roman" w:hAnsi="Times New Roman"/>
          <w:b/>
          <w:bCs/>
          <w:sz w:val="24"/>
          <w:szCs w:val="24"/>
        </w:rPr>
        <w:t xml:space="preserve"> coming to full stop, and slowly entering the intersection, was extremely helpful. </w:t>
      </w:r>
    </w:p>
    <w:p w14:paraId="3904177B" w14:textId="6D059BCD" w:rsidR="00AE32D3" w:rsidRDefault="00AE32D3" w:rsidP="00EF1133">
      <w:pPr>
        <w:rPr>
          <w:rFonts w:ascii="Arial Black" w:hAnsi="Arial Black"/>
          <w:b/>
          <w:sz w:val="24"/>
          <w:szCs w:val="24"/>
        </w:rPr>
      </w:pPr>
    </w:p>
    <w:p w14:paraId="0B370AAD" w14:textId="77777777" w:rsidR="00AE32D3" w:rsidRDefault="00AE32D3" w:rsidP="00EF1133">
      <w:pPr>
        <w:rPr>
          <w:rFonts w:ascii="Arial Black" w:hAnsi="Arial Black"/>
          <w:b/>
          <w:sz w:val="24"/>
          <w:szCs w:val="24"/>
        </w:rPr>
      </w:pPr>
    </w:p>
    <w:p w14:paraId="17C72C02" w14:textId="1E6349C6" w:rsidR="006D2C51" w:rsidRDefault="006D2C51" w:rsidP="00EF1133">
      <w:pPr>
        <w:rPr>
          <w:rFonts w:ascii="Arial Black" w:hAnsi="Arial Black"/>
          <w:b/>
          <w:sz w:val="24"/>
          <w:szCs w:val="24"/>
        </w:rPr>
      </w:pPr>
      <w:r>
        <w:rPr>
          <w:rFonts w:ascii="Arial Black" w:hAnsi="Arial Black"/>
          <w:b/>
          <w:sz w:val="24"/>
          <w:szCs w:val="24"/>
        </w:rPr>
        <w:t>5-27</w:t>
      </w:r>
    </w:p>
    <w:p w14:paraId="166D5F5B" w14:textId="77777777" w:rsidR="006D2C51" w:rsidRDefault="006D2C51" w:rsidP="006D2C5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MI: EMS DRIVER SLOWED DOWN - LIGHTS &amp; SIRENS PRIOR TO RED LIGHT – WITNESS CONFIRMED - IMMUNITY </w:t>
      </w:r>
    </w:p>
    <w:p w14:paraId="7CEFE585" w14:textId="77777777" w:rsidR="006D2C51" w:rsidRPr="00317CF0" w:rsidRDefault="006D2C51" w:rsidP="006D2C51">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July 28, 2022, in </w:t>
      </w:r>
      <w:r w:rsidRPr="00317CF0">
        <w:rPr>
          <w:rFonts w:ascii="Times New Roman" w:hAnsi="Times New Roman"/>
          <w:sz w:val="24"/>
          <w:szCs w:val="24"/>
          <w:u w:val="single"/>
        </w:rPr>
        <w:t xml:space="preserve">Denise Ann Middleton v. Kenneth Arthur Temple and Ogemaw County EMS, </w:t>
      </w:r>
      <w:r>
        <w:rPr>
          <w:rFonts w:ascii="Times New Roman" w:hAnsi="Times New Roman"/>
          <w:sz w:val="24"/>
          <w:szCs w:val="24"/>
        </w:rPr>
        <w:t>the Court of Appeals of Michigan, held (3 to 0</w:t>
      </w:r>
      <w:proofErr w:type="gramStart"/>
      <w:r>
        <w:rPr>
          <w:rFonts w:ascii="Times New Roman" w:hAnsi="Times New Roman"/>
          <w:sz w:val="24"/>
          <w:szCs w:val="24"/>
        </w:rPr>
        <w:t>) on</w:t>
      </w:r>
      <w:proofErr w:type="gramEnd"/>
      <w:r>
        <w:rPr>
          <w:rFonts w:ascii="Times New Roman" w:hAnsi="Times New Roman"/>
          <w:sz w:val="24"/>
          <w:szCs w:val="24"/>
        </w:rPr>
        <w:t xml:space="preserve"> an immediate appeal by the defense, that the trial court should have granted summary judgment to EMS driver and to County EMS.  The plaintiff entered intersection on green light, said she didn’t see or hear the ambulance, and drove into left side of the ambulance.  </w:t>
      </w:r>
      <w:hyperlink r:id="rId946" w:history="1">
        <w:r w:rsidRPr="0019682E">
          <w:rPr>
            <w:rStyle w:val="Hyperlink"/>
            <w:rFonts w:ascii="Times New Roman" w:eastAsia="Times New Roman" w:hAnsi="Times New Roman"/>
            <w:sz w:val="24"/>
            <w:szCs w:val="24"/>
          </w:rPr>
          <w:t>https://www.courts.michigan.gov/4a237a/siteassets/case-documents/uploads/opinions/final/coa/20220728_c356829_27_356829.opn.pdf</w:t>
        </w:r>
      </w:hyperlink>
      <w:r>
        <w:rPr>
          <w:rFonts w:ascii="Times New Roman" w:eastAsia="Times New Roman" w:hAnsi="Times New Roman"/>
          <w:sz w:val="24"/>
          <w:szCs w:val="24"/>
        </w:rPr>
        <w:t xml:space="preserve"> </w:t>
      </w:r>
    </w:p>
    <w:p w14:paraId="1BABEC09" w14:textId="77777777" w:rsidR="006D2C51" w:rsidRPr="000625D7" w:rsidRDefault="006D2C51" w:rsidP="006D2C51">
      <w:pPr>
        <w:spacing w:before="100" w:beforeAutospacing="1" w:after="100" w:afterAutospacing="1" w:line="240" w:lineRule="auto"/>
        <w:rPr>
          <w:rFonts w:ascii="Times New Roman" w:hAnsi="Times New Roman"/>
          <w:b/>
          <w:bCs/>
          <w:sz w:val="24"/>
          <w:szCs w:val="24"/>
        </w:rPr>
      </w:pPr>
      <w:r w:rsidRPr="000625D7">
        <w:rPr>
          <w:rFonts w:ascii="Times New Roman" w:hAnsi="Times New Roman"/>
          <w:b/>
          <w:bCs/>
          <w:sz w:val="24"/>
          <w:szCs w:val="24"/>
        </w:rPr>
        <w:t>Legal Lesson Learned:</w:t>
      </w:r>
      <w:r>
        <w:rPr>
          <w:rFonts w:ascii="Times New Roman" w:hAnsi="Times New Roman"/>
          <w:b/>
          <w:bCs/>
          <w:sz w:val="24"/>
          <w:szCs w:val="24"/>
        </w:rPr>
        <w:t xml:space="preserve"> EMS driver slowed down as entering intersection against a red light as required by law; extremely helpful to have civilian witness confirm this to PD. </w:t>
      </w:r>
    </w:p>
    <w:p w14:paraId="2D8ACED1" w14:textId="77777777" w:rsidR="006D2C51" w:rsidRDefault="006D2C51" w:rsidP="006D2C51">
      <w:pPr>
        <w:pStyle w:val="Heading1"/>
        <w:ind w:left="720"/>
        <w:rPr>
          <w:b w:val="0"/>
          <w:bCs w:val="0"/>
          <w:sz w:val="24"/>
          <w:szCs w:val="24"/>
        </w:rPr>
      </w:pPr>
      <w:r w:rsidRPr="00980AEA">
        <w:rPr>
          <w:b w:val="0"/>
          <w:bCs w:val="0"/>
          <w:sz w:val="24"/>
          <w:szCs w:val="24"/>
        </w:rPr>
        <w:t xml:space="preserve">Note: See Ohio Revised Code - Section 4511.03 </w:t>
      </w:r>
      <w:r w:rsidRPr="00980AEA">
        <w:rPr>
          <w:rStyle w:val="codes-separator"/>
          <w:b w:val="0"/>
          <w:bCs w:val="0"/>
          <w:sz w:val="24"/>
          <w:szCs w:val="24"/>
        </w:rPr>
        <w:t>|</w:t>
      </w:r>
      <w:r w:rsidRPr="00980AEA">
        <w:rPr>
          <w:b w:val="0"/>
          <w:bCs w:val="0"/>
          <w:sz w:val="24"/>
          <w:szCs w:val="24"/>
        </w:rPr>
        <w:t xml:space="preserve"> Emergency vehicles at red signal or stop sign</w:t>
      </w:r>
      <w:r>
        <w:rPr>
          <w:b w:val="0"/>
          <w:bCs w:val="0"/>
          <w:sz w:val="24"/>
          <w:szCs w:val="24"/>
        </w:rPr>
        <w:t xml:space="preserve">. </w:t>
      </w:r>
      <w:hyperlink r:id="rId947" w:history="1">
        <w:r w:rsidRPr="0019682E">
          <w:rPr>
            <w:rStyle w:val="Hyperlink"/>
            <w:rFonts w:eastAsiaTheme="majorEastAsia"/>
            <w:b w:val="0"/>
            <w:bCs w:val="0"/>
            <w:sz w:val="24"/>
            <w:szCs w:val="24"/>
          </w:rPr>
          <w:t>https://codes.ohio.gov/ohio-revised-code/section-4511.03</w:t>
        </w:r>
      </w:hyperlink>
      <w:r>
        <w:rPr>
          <w:b w:val="0"/>
          <w:bCs w:val="0"/>
          <w:sz w:val="24"/>
          <w:szCs w:val="24"/>
        </w:rPr>
        <w:t xml:space="preserve"> </w:t>
      </w:r>
    </w:p>
    <w:p w14:paraId="412CEE95" w14:textId="77777777" w:rsidR="006D2C51" w:rsidRDefault="006D2C51" w:rsidP="006D2C51">
      <w:pPr>
        <w:pStyle w:val="NormalWeb"/>
        <w:ind w:left="720"/>
      </w:pPr>
      <w:r>
        <w:t>“(A)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w:t>
      </w:r>
    </w:p>
    <w:p w14:paraId="73C9AEFB" w14:textId="77777777" w:rsidR="006D2C51" w:rsidRDefault="006D2C51" w:rsidP="006D2C51">
      <w:pPr>
        <w:pStyle w:val="NormalWeb"/>
        <w:ind w:left="720"/>
      </w:pPr>
      <w:r>
        <w:t>(B) Except as otherwise provided in this division, whoever violates this section is guilty of a minor misdemeanor. If, within one year of the offense, the offender previously has been convicted of or pleaded guilty to one predicate motor vehicle or traffic offense, whoever violates this section is guilty of a misdemeanor of the fourth degree. If, within one year of the offense, the offender previously has been convicted of two or more predicate motor vehicle or traffic offenses, whoever violates this section is guilty of a misdemeanor of the third degree.</w:t>
      </w:r>
    </w:p>
    <w:p w14:paraId="1B4ABFC2" w14:textId="77777777" w:rsidR="006D2C51" w:rsidRDefault="006D2C51" w:rsidP="006D2C51">
      <w:pPr>
        <w:pStyle w:val="NormalWeb"/>
        <w:ind w:left="720"/>
      </w:pPr>
      <w:r>
        <w:t xml:space="preserve">If the offender commits the offense while distracted and the distracting activity is a contributing factor to the commission of the offense, the offender is subject to the additional fine established under section </w:t>
      </w:r>
      <w:hyperlink r:id="rId948" w:history="1">
        <w:r>
          <w:rPr>
            <w:rStyle w:val="Hyperlink"/>
            <w:rFonts w:eastAsiaTheme="majorEastAsia"/>
          </w:rPr>
          <w:t>4511.991</w:t>
        </w:r>
      </w:hyperlink>
      <w:r>
        <w:t xml:space="preserve"> of the Revised Code.”</w:t>
      </w:r>
    </w:p>
    <w:p w14:paraId="6211EDD8" w14:textId="77777777" w:rsidR="006D2C51" w:rsidRDefault="006D2C51" w:rsidP="00EF1133">
      <w:pPr>
        <w:rPr>
          <w:rFonts w:ascii="Arial Black" w:hAnsi="Arial Black"/>
          <w:b/>
          <w:sz w:val="24"/>
          <w:szCs w:val="24"/>
        </w:rPr>
      </w:pPr>
    </w:p>
    <w:p w14:paraId="6896DDF5" w14:textId="77777777" w:rsidR="006D2C51" w:rsidRDefault="006D2C51" w:rsidP="00EF1133">
      <w:pPr>
        <w:rPr>
          <w:rFonts w:ascii="Arial Black" w:hAnsi="Arial Black"/>
          <w:b/>
          <w:sz w:val="24"/>
          <w:szCs w:val="24"/>
        </w:rPr>
      </w:pPr>
    </w:p>
    <w:p w14:paraId="554D944F" w14:textId="4EF00259" w:rsidR="00557CA2" w:rsidRDefault="0002742E" w:rsidP="00EF1133">
      <w:pPr>
        <w:rPr>
          <w:rFonts w:ascii="Arial Black" w:hAnsi="Arial Black"/>
          <w:b/>
          <w:sz w:val="24"/>
          <w:szCs w:val="24"/>
        </w:rPr>
      </w:pPr>
      <w:r>
        <w:rPr>
          <w:rFonts w:ascii="Arial Black" w:hAnsi="Arial Black"/>
          <w:b/>
          <w:sz w:val="24"/>
          <w:szCs w:val="24"/>
        </w:rPr>
        <w:t>5-26</w:t>
      </w:r>
    </w:p>
    <w:p w14:paraId="2C2906E4" w14:textId="77777777" w:rsidR="0002742E" w:rsidRPr="002D3A2F" w:rsidRDefault="0002742E" w:rsidP="0002742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DISPATCH REFUSES SEND PD WITHOUT SPECIFIC ADDRESS – WIFE IS DRIVING DRUNK, DIES - NO CASE</w:t>
      </w:r>
    </w:p>
    <w:p w14:paraId="3CFA2269" w14:textId="77777777" w:rsidR="0002742E" w:rsidRDefault="0002742E" w:rsidP="0002742E">
      <w:pPr>
        <w:pStyle w:val="NormalWeb"/>
      </w:pPr>
      <w:r>
        <w:t xml:space="preserve">On April 21, 2022, in </w:t>
      </w:r>
      <w:r w:rsidRPr="00EA6EC1">
        <w:rPr>
          <w:u w:val="single"/>
        </w:rPr>
        <w:t>Larry E. Schultz, Special Administrator of Estate of Laurene T. Schultz, Deceased v. St. Clair County, et al</w:t>
      </w:r>
      <w:r>
        <w:t xml:space="preserve">., the Supreme Court of Illinois held (6 to 1) that the lawsuit was properly dismissed since “the decedent's decision to drive while intoxicated was the sole proximate cause of her injuries and death.”  The Court also held that the dispatcher does not enjoy absolute immunity; under 2015 amendment of the state’s Tort Immunity Act, a dispatcher and her employer can be sued if their conduct </w:t>
      </w:r>
      <w:r w:rsidRPr="00447D07">
        <w:rPr>
          <w:rStyle w:val="Emphasis"/>
          <w:rFonts w:eastAsiaTheme="majorEastAsia"/>
        </w:rPr>
        <w:t>constitutes</w:t>
      </w:r>
      <w:r>
        <w:rPr>
          <w:rStyle w:val="Emphasis"/>
          <w:rFonts w:eastAsiaTheme="majorEastAsia"/>
        </w:rPr>
        <w:t xml:space="preserve"> “</w:t>
      </w:r>
      <w:r w:rsidRPr="00447D07">
        <w:rPr>
          <w:rStyle w:val="Emphasis"/>
          <w:rFonts w:eastAsiaTheme="majorEastAsia"/>
        </w:rPr>
        <w:t>gross negligence, recklessness, or intentional misconduct</w:t>
      </w:r>
      <w:r>
        <w:t xml:space="preserve">.”  </w:t>
      </w:r>
      <w:hyperlink r:id="rId949" w:history="1">
        <w:r w:rsidRPr="00C50FC4">
          <w:rPr>
            <w:rStyle w:val="Hyperlink"/>
          </w:rPr>
          <w:t>https://casetext.com/case/schultz-v-st-clair-cnty-2</w:t>
        </w:r>
      </w:hyperlink>
      <w:r>
        <w:t xml:space="preserve"> </w:t>
      </w:r>
    </w:p>
    <w:p w14:paraId="33942B55" w14:textId="77777777" w:rsidR="0002742E" w:rsidRPr="00AA7590" w:rsidRDefault="0002742E" w:rsidP="0002742E">
      <w:pPr>
        <w:rPr>
          <w:rFonts w:ascii="Times New Roman" w:hAnsi="Times New Roman"/>
          <w:b/>
          <w:bCs/>
          <w:sz w:val="24"/>
          <w:szCs w:val="24"/>
        </w:rPr>
      </w:pPr>
      <w:r w:rsidRPr="00AA7590">
        <w:rPr>
          <w:rFonts w:ascii="Times New Roman" w:hAnsi="Times New Roman"/>
          <w:b/>
          <w:bCs/>
          <w:sz w:val="24"/>
          <w:szCs w:val="24"/>
        </w:rPr>
        <w:t xml:space="preserve">Legal Lesson Learned: Dispatchers should be trained to alert police to a drunk driver, even if the exact current location of the driver is not known. </w:t>
      </w:r>
    </w:p>
    <w:p w14:paraId="1416B89D" w14:textId="77777777" w:rsidR="0002742E" w:rsidRDefault="0002742E" w:rsidP="00EF1133">
      <w:pPr>
        <w:rPr>
          <w:rFonts w:ascii="Arial Black" w:hAnsi="Arial Black"/>
          <w:b/>
          <w:sz w:val="24"/>
          <w:szCs w:val="24"/>
        </w:rPr>
      </w:pPr>
    </w:p>
    <w:p w14:paraId="447B3904" w14:textId="28BE314E" w:rsidR="0002742E" w:rsidRDefault="0002742E" w:rsidP="00EF1133">
      <w:pPr>
        <w:rPr>
          <w:rFonts w:ascii="Arial Black" w:hAnsi="Arial Black"/>
          <w:b/>
          <w:sz w:val="24"/>
          <w:szCs w:val="24"/>
        </w:rPr>
      </w:pPr>
      <w:r>
        <w:rPr>
          <w:rFonts w:ascii="Arial Black" w:hAnsi="Arial Black"/>
          <w:b/>
          <w:sz w:val="24"/>
          <w:szCs w:val="24"/>
        </w:rPr>
        <w:t>5-25</w:t>
      </w:r>
    </w:p>
    <w:p w14:paraId="0BD343DB" w14:textId="77777777" w:rsidR="0002742E" w:rsidRPr="00420468" w:rsidRDefault="0002742E" w:rsidP="0002742E">
      <w:pPr>
        <w:spacing w:before="100" w:beforeAutospacing="1" w:after="100" w:afterAutospacing="1" w:line="240" w:lineRule="auto"/>
        <w:rPr>
          <w:rFonts w:ascii="Arial Black" w:hAnsi="Arial Black"/>
          <w:sz w:val="28"/>
          <w:szCs w:val="28"/>
        </w:rPr>
      </w:pPr>
      <w:r>
        <w:rPr>
          <w:rFonts w:ascii="Arial Black" w:hAnsi="Arial Black"/>
          <w:sz w:val="28"/>
          <w:szCs w:val="28"/>
        </w:rPr>
        <w:lastRenderedPageBreak/>
        <w:t>VA: VOL. FF – NOT ALLOWED DRIVE ENGINE, SHEARED OFF COMPARTMENT DOOR – CONVICTED “UNAUTHORIZED USE”</w:t>
      </w:r>
    </w:p>
    <w:p w14:paraId="42DECD33" w14:textId="77777777" w:rsidR="0002742E" w:rsidRDefault="0002742E" w:rsidP="0002742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April 12, 2022, in </w:t>
      </w:r>
      <w:r w:rsidRPr="00681FE1">
        <w:rPr>
          <w:rFonts w:ascii="Times New Roman" w:hAnsi="Times New Roman"/>
          <w:sz w:val="24"/>
          <w:szCs w:val="24"/>
          <w:u w:val="single"/>
        </w:rPr>
        <w:t>Charles Raymond Arrington v. Commonwealth of Virginia</w:t>
      </w:r>
      <w:r>
        <w:rPr>
          <w:rFonts w:ascii="Times New Roman" w:hAnsi="Times New Roman"/>
          <w:sz w:val="24"/>
          <w:szCs w:val="24"/>
        </w:rPr>
        <w:t xml:space="preserve">, the Court of Appeals of Virginia, held (3 to 0) that the volunteer firefighter, who sheared off a compartment door left open on the engine as he backed out of station, was properly convicted of unauthorized use. </w:t>
      </w:r>
      <w:r w:rsidRPr="0065182A">
        <w:rPr>
          <w:rFonts w:ascii="Times New Roman" w:hAnsi="Times New Roman"/>
          <w:sz w:val="24"/>
          <w:szCs w:val="24"/>
        </w:rPr>
        <w:t xml:space="preserve">Arrington was indicted for the unauthorized use of a vehicle belonging to the Clifton Forge Fire Department, in violation of Code § 18.2-102. If the vehicle is worth $1, 000 or more, the crime is a Class 6 felony. At his bench trial, Arrington moved to strike the evidence, arguing that the Commonwealth failed to prove "any kind of deprivation" of possession or that Arrington had "the intent to deprive" </w:t>
      </w:r>
      <w:proofErr w:type="gramStart"/>
      <w:r w:rsidRPr="0065182A">
        <w:rPr>
          <w:rFonts w:ascii="Times New Roman" w:hAnsi="Times New Roman"/>
          <w:sz w:val="24"/>
          <w:szCs w:val="24"/>
        </w:rPr>
        <w:t>the</w:t>
      </w:r>
      <w:proofErr w:type="gramEnd"/>
      <w:r w:rsidRPr="0065182A">
        <w:rPr>
          <w:rFonts w:ascii="Times New Roman" w:hAnsi="Times New Roman"/>
          <w:sz w:val="24"/>
          <w:szCs w:val="24"/>
        </w:rPr>
        <w:t xml:space="preserve"> department of possession. The court denied the motion and found Arrington guilty as charged. The court sentenced him to twelve months' incarceration, all suspended, plus two years of unsupervised probation. Arrington was also ordered to pay $21, 947.64 in restitution to the two insurance companies that had paid the department's </w:t>
      </w:r>
      <w:proofErr w:type="gramStart"/>
      <w:r w:rsidRPr="0065182A">
        <w:rPr>
          <w:rFonts w:ascii="Times New Roman" w:hAnsi="Times New Roman"/>
          <w:sz w:val="24"/>
          <w:szCs w:val="24"/>
        </w:rPr>
        <w:t>property-damage</w:t>
      </w:r>
      <w:proofErr w:type="gramEnd"/>
      <w:r w:rsidRPr="0065182A">
        <w:rPr>
          <w:rFonts w:ascii="Times New Roman" w:hAnsi="Times New Roman"/>
          <w:sz w:val="24"/>
          <w:szCs w:val="24"/>
        </w:rPr>
        <w:t xml:space="preserve"> claims.</w:t>
      </w:r>
      <w:r>
        <w:rPr>
          <w:rFonts w:ascii="Times New Roman" w:hAnsi="Times New Roman"/>
          <w:sz w:val="24"/>
          <w:szCs w:val="24"/>
        </w:rPr>
        <w:t xml:space="preserve"> </w:t>
      </w:r>
      <w:hyperlink r:id="rId950" w:history="1">
        <w:r w:rsidRPr="00E9684A">
          <w:rPr>
            <w:rStyle w:val="Hyperlink"/>
            <w:rFonts w:ascii="Times New Roman" w:hAnsi="Times New Roman"/>
            <w:sz w:val="24"/>
            <w:szCs w:val="24"/>
          </w:rPr>
          <w:t>https://law.justia.com/cases/virginia/court-of-appeals-unpublished/2022/0124-21-3.html</w:t>
        </w:r>
      </w:hyperlink>
      <w:r>
        <w:rPr>
          <w:rFonts w:ascii="Times New Roman" w:hAnsi="Times New Roman"/>
          <w:sz w:val="24"/>
          <w:szCs w:val="24"/>
        </w:rPr>
        <w:t xml:space="preserve"> </w:t>
      </w:r>
    </w:p>
    <w:p w14:paraId="67E3DFB7" w14:textId="77777777" w:rsidR="0002742E" w:rsidRDefault="0002742E" w:rsidP="0002742E">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Do not drive emergency vehicles until authorized by your FD.</w:t>
      </w:r>
    </w:p>
    <w:p w14:paraId="237648CA" w14:textId="77777777" w:rsidR="0002742E" w:rsidRDefault="0002742E" w:rsidP="00EF1133">
      <w:pPr>
        <w:rPr>
          <w:rFonts w:ascii="Arial Black" w:hAnsi="Arial Black"/>
          <w:b/>
          <w:sz w:val="24"/>
          <w:szCs w:val="24"/>
        </w:rPr>
      </w:pPr>
    </w:p>
    <w:p w14:paraId="3357719E" w14:textId="77777777" w:rsidR="0002742E" w:rsidRDefault="0002742E" w:rsidP="00EF1133">
      <w:pPr>
        <w:rPr>
          <w:rFonts w:ascii="Arial Black" w:hAnsi="Arial Black"/>
          <w:b/>
          <w:sz w:val="24"/>
          <w:szCs w:val="24"/>
        </w:rPr>
      </w:pPr>
    </w:p>
    <w:p w14:paraId="0E157562" w14:textId="77777777" w:rsidR="0002742E" w:rsidRDefault="0002742E" w:rsidP="00EF1133">
      <w:pPr>
        <w:rPr>
          <w:rFonts w:ascii="Arial Black" w:hAnsi="Arial Black"/>
          <w:b/>
          <w:sz w:val="24"/>
          <w:szCs w:val="24"/>
        </w:rPr>
      </w:pPr>
    </w:p>
    <w:p w14:paraId="1B6A1ACB" w14:textId="3CAE8447" w:rsidR="00AE6CF5" w:rsidRDefault="00AE6CF5" w:rsidP="00EF1133">
      <w:pPr>
        <w:rPr>
          <w:rFonts w:ascii="Arial Black" w:hAnsi="Arial Black"/>
          <w:b/>
          <w:sz w:val="24"/>
          <w:szCs w:val="24"/>
        </w:rPr>
      </w:pPr>
      <w:r>
        <w:rPr>
          <w:rFonts w:ascii="Arial Black" w:hAnsi="Arial Black"/>
          <w:b/>
          <w:sz w:val="24"/>
          <w:szCs w:val="24"/>
        </w:rPr>
        <w:t>5-24</w:t>
      </w:r>
    </w:p>
    <w:p w14:paraId="7166C67D" w14:textId="77777777" w:rsidR="00AE6CF5" w:rsidRDefault="00AE6CF5" w:rsidP="00AE6CF5">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TX: MEDIC USED LIGHTS / BUT NO SIREN – INTERSECTION RED LIGHT - TRUCK KILLED PATIENT – NO IMMUNITY</w:t>
      </w:r>
    </w:p>
    <w:p w14:paraId="0ED998AF" w14:textId="77777777" w:rsidR="00AE6CF5" w:rsidRDefault="00AE6CF5" w:rsidP="00AE6CF5">
      <w:pPr>
        <w:spacing w:before="100" w:beforeAutospacing="1" w:after="100" w:afterAutospacing="1" w:line="240" w:lineRule="auto"/>
        <w:rPr>
          <w:rFonts w:ascii="Times New Roman" w:eastAsia="Times New Roman" w:hAnsi="Times New Roman"/>
          <w:sz w:val="24"/>
          <w:szCs w:val="24"/>
        </w:rPr>
      </w:pPr>
      <w:r w:rsidRPr="00A7603D">
        <w:rPr>
          <w:rFonts w:ascii="Times New Roman" w:eastAsia="Times New Roman" w:hAnsi="Times New Roman"/>
          <w:sz w:val="24"/>
          <w:szCs w:val="24"/>
        </w:rPr>
        <w:t xml:space="preserve">On March 17, 2022, in </w:t>
      </w:r>
      <w:r w:rsidRPr="00A7603D">
        <w:rPr>
          <w:rFonts w:ascii="Times New Roman" w:eastAsia="Times New Roman" w:hAnsi="Times New Roman"/>
          <w:sz w:val="24"/>
          <w:szCs w:val="24"/>
          <w:u w:val="single"/>
        </w:rPr>
        <w:t>Blue Bird Medical Enterprises, LLC, d/b/a Allegiance Mobile Health and Nicole Marina Mirza</w:t>
      </w:r>
      <w:r>
        <w:rPr>
          <w:rFonts w:ascii="Times New Roman" w:eastAsia="Times New Roman" w:hAnsi="Times New Roman"/>
          <w:sz w:val="24"/>
          <w:szCs w:val="24"/>
          <w:u w:val="single"/>
        </w:rPr>
        <w:t xml:space="preserve"> v. Russell Lynn Wllis, et al.</w:t>
      </w:r>
      <w:r>
        <w:rPr>
          <w:rFonts w:ascii="Times New Roman" w:eastAsia="Times New Roman" w:hAnsi="Times New Roman"/>
          <w:sz w:val="24"/>
          <w:szCs w:val="24"/>
        </w:rPr>
        <w:t xml:space="preserve">, the Court of Appeals of Texas, Fourteenth District, held (3 to 0) that trial court properly denied the defendants’ motion to dismiss, since the plaintiffs’ expert (a very experienced medic) testified the medic on a hospital to hospital transfer “breached the standard of care” when entering intersection against a red light without a siren activated.  The lawsuit may now proceed under the Texas health care liability claim. </w:t>
      </w:r>
      <w:hyperlink r:id="rId951" w:history="1">
        <w:r w:rsidRPr="005848D2">
          <w:rPr>
            <w:rStyle w:val="Hyperlink"/>
            <w:rFonts w:ascii="Times New Roman" w:hAnsi="Times New Roman"/>
            <w:sz w:val="24"/>
            <w:szCs w:val="24"/>
          </w:rPr>
          <w:t>https://law.justia.com/cases/texas/fourteenth-court-of-appeals/2022/14-20-00566-cv.html</w:t>
        </w:r>
      </w:hyperlink>
    </w:p>
    <w:p w14:paraId="4CC31B02" w14:textId="77777777" w:rsidR="00AE6CF5" w:rsidRPr="005F6421" w:rsidRDefault="00AE6CF5" w:rsidP="00AE6CF5">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5F6421">
        <w:rPr>
          <w:rFonts w:ascii="Times New Roman" w:eastAsia="Times New Roman" w:hAnsi="Times New Roman"/>
          <w:sz w:val="24"/>
          <w:szCs w:val="24"/>
        </w:rPr>
        <w:t xml:space="preserve">Nicole Mirza was driving the ambulance, with Willis as a passenger on the rear stretcher, on FM 2004 in Brazoria County. Mirza approached a red light at the intersection of FM 2004 and State Highway 288B. Mirza entered the left-hand turn lane to pass other vehicles waiting at the red light, and she pulled into the intersection using only emergency lights with no audible siren. A pickup truck struck the ambulance, causing it to overturn. Shortly thereafter, Willis collapsed and could not be resuscitated. In the crash, Willis sustained blunt force injuries with laceration of the spleen and massive internal injuries, and the blunt force trauma caused his death. </w:t>
      </w:r>
    </w:p>
    <w:p w14:paraId="73F006B9" w14:textId="77777777" w:rsidR="00AE6CF5" w:rsidRDefault="00AE6CF5" w:rsidP="00AE6CF5">
      <w:pPr>
        <w:spacing w:after="100" w:line="240" w:lineRule="auto"/>
        <w:ind w:left="720"/>
        <w:rPr>
          <w:rFonts w:ascii="Times New Roman" w:hAnsi="Times New Roman"/>
          <w:sz w:val="24"/>
          <w:szCs w:val="24"/>
        </w:rPr>
      </w:pPr>
      <w:r w:rsidRPr="005F6421">
        <w:rPr>
          <w:rFonts w:ascii="Times New Roman" w:eastAsia="Times New Roman" w:hAnsi="Times New Roman"/>
          <w:sz w:val="24"/>
          <w:szCs w:val="24"/>
        </w:rPr>
        <w:t xml:space="preserve">The driver of the pickup truck had a green light and did not hear any siren activated on the ambulance. Three eyewitnesses at the scene confirmed that Mirza had not activated the ambulance siren by the time of the collision. The investigating police officer cited Mirza's failure to activate the siren as the only contributing factor in the crash. </w:t>
      </w:r>
      <w:r>
        <w:rPr>
          <w:rFonts w:ascii="Times New Roman" w:hAnsi="Times New Roman"/>
          <w:sz w:val="24"/>
          <w:szCs w:val="24"/>
        </w:rPr>
        <w:tab/>
      </w:r>
    </w:p>
    <w:p w14:paraId="5A3ECFBB" w14:textId="77777777" w:rsidR="00AE6CF5" w:rsidRPr="005F6421" w:rsidRDefault="00AE6CF5" w:rsidP="00AE6CF5">
      <w:pPr>
        <w:spacing w:after="100" w:line="240" w:lineRule="auto"/>
        <w:ind w:left="720"/>
        <w:rPr>
          <w:rFonts w:ascii="Times New Roman" w:eastAsia="Times New Roman" w:hAnsi="Times New Roman"/>
          <w:sz w:val="24"/>
          <w:szCs w:val="24"/>
        </w:rPr>
      </w:pPr>
      <w:r>
        <w:rPr>
          <w:rFonts w:ascii="Times New Roman" w:hAnsi="Times New Roman"/>
          <w:sz w:val="24"/>
          <w:szCs w:val="24"/>
        </w:rPr>
        <w:t>Plaintiff’s expert [</w:t>
      </w:r>
      <w:r w:rsidRPr="005F6421">
        <w:rPr>
          <w:rFonts w:ascii="Times New Roman" w:eastAsia="Times New Roman" w:hAnsi="Times New Roman"/>
          <w:sz w:val="24"/>
          <w:szCs w:val="24"/>
        </w:rPr>
        <w:t>Robert Krause</w:t>
      </w:r>
      <w:r>
        <w:rPr>
          <w:rFonts w:ascii="Times New Roman" w:eastAsia="Times New Roman" w:hAnsi="Times New Roman"/>
          <w:sz w:val="24"/>
          <w:szCs w:val="24"/>
        </w:rPr>
        <w:t xml:space="preserve">, Ed.D., has </w:t>
      </w:r>
      <w:r w:rsidRPr="005F6421">
        <w:rPr>
          <w:rFonts w:ascii="Times New Roman" w:eastAsia="Times New Roman" w:hAnsi="Times New Roman"/>
          <w:sz w:val="24"/>
          <w:szCs w:val="24"/>
        </w:rPr>
        <w:t>been a practicing paramedic for nearly four decades</w:t>
      </w:r>
      <w:r>
        <w:rPr>
          <w:rFonts w:ascii="Times New Roman" w:eastAsia="Times New Roman" w:hAnsi="Times New Roman"/>
          <w:sz w:val="24"/>
          <w:szCs w:val="24"/>
        </w:rPr>
        <w:t xml:space="preserve">] </w:t>
      </w:r>
      <w:r w:rsidRPr="00CA6457">
        <w:rPr>
          <w:rFonts w:ascii="Times New Roman" w:hAnsi="Times New Roman"/>
          <w:sz w:val="24"/>
          <w:szCs w:val="24"/>
        </w:rPr>
        <w:t xml:space="preserve">then identified the different standards of care applicable to </w:t>
      </w:r>
      <w:r>
        <w:rPr>
          <w:rFonts w:ascii="Times New Roman" w:hAnsi="Times New Roman"/>
          <w:sz w:val="24"/>
          <w:szCs w:val="24"/>
        </w:rPr>
        <w:t>‘</w:t>
      </w:r>
      <w:r w:rsidRPr="00CA6457">
        <w:rPr>
          <w:rFonts w:ascii="Times New Roman" w:hAnsi="Times New Roman"/>
          <w:sz w:val="24"/>
          <w:szCs w:val="24"/>
        </w:rPr>
        <w:t>routine</w:t>
      </w:r>
      <w:r>
        <w:rPr>
          <w:rFonts w:ascii="Times New Roman" w:hAnsi="Times New Roman"/>
          <w:sz w:val="24"/>
          <w:szCs w:val="24"/>
        </w:rPr>
        <w:t>’</w:t>
      </w:r>
      <w:r w:rsidRPr="00CA6457">
        <w:rPr>
          <w:rFonts w:ascii="Times New Roman" w:hAnsi="Times New Roman"/>
          <w:sz w:val="24"/>
          <w:szCs w:val="24"/>
        </w:rPr>
        <w:t xml:space="preserve"> transports and to </w:t>
      </w:r>
      <w:r>
        <w:rPr>
          <w:rFonts w:ascii="Times New Roman" w:hAnsi="Times New Roman"/>
          <w:sz w:val="24"/>
          <w:szCs w:val="24"/>
        </w:rPr>
        <w:t>‘</w:t>
      </w:r>
      <w:r w:rsidRPr="00CA6457">
        <w:rPr>
          <w:rFonts w:ascii="Times New Roman" w:hAnsi="Times New Roman"/>
          <w:sz w:val="24"/>
          <w:szCs w:val="24"/>
        </w:rPr>
        <w:t>true emergencies,</w:t>
      </w:r>
      <w:r>
        <w:rPr>
          <w:rFonts w:ascii="Times New Roman" w:hAnsi="Times New Roman"/>
          <w:sz w:val="24"/>
          <w:szCs w:val="24"/>
        </w:rPr>
        <w:t>’</w:t>
      </w:r>
      <w:r w:rsidRPr="00CA6457">
        <w:rPr>
          <w:rFonts w:ascii="Times New Roman" w:hAnsi="Times New Roman"/>
          <w:sz w:val="24"/>
          <w:szCs w:val="24"/>
        </w:rPr>
        <w:t xml:space="preserve"> and </w:t>
      </w:r>
      <w:r w:rsidRPr="00CA6457">
        <w:rPr>
          <w:rFonts w:ascii="Times New Roman" w:hAnsi="Times New Roman"/>
          <w:sz w:val="24"/>
          <w:szCs w:val="24"/>
        </w:rPr>
        <w:lastRenderedPageBreak/>
        <w:t xml:space="preserve">although he asserted that Willis's transport </w:t>
      </w:r>
      <w:r>
        <w:rPr>
          <w:rFonts w:ascii="Times New Roman" w:hAnsi="Times New Roman"/>
          <w:sz w:val="24"/>
          <w:szCs w:val="24"/>
        </w:rPr>
        <w:t>‘</w:t>
      </w:r>
      <w:r w:rsidRPr="00CA6457">
        <w:rPr>
          <w:rFonts w:ascii="Times New Roman" w:hAnsi="Times New Roman"/>
          <w:sz w:val="24"/>
          <w:szCs w:val="24"/>
        </w:rPr>
        <w:t>was not an emergency,</w:t>
      </w:r>
      <w:r>
        <w:rPr>
          <w:rFonts w:ascii="Times New Roman" w:hAnsi="Times New Roman"/>
          <w:sz w:val="24"/>
          <w:szCs w:val="24"/>
        </w:rPr>
        <w:t>’</w:t>
      </w:r>
      <w:r w:rsidRPr="00CA6457">
        <w:rPr>
          <w:rFonts w:ascii="Times New Roman" w:hAnsi="Times New Roman"/>
          <w:sz w:val="24"/>
          <w:szCs w:val="24"/>
        </w:rPr>
        <w:t xml:space="preserve"> he opined that Mirza breached both standards of care.</w:t>
      </w:r>
      <w:r>
        <w:rPr>
          <w:rFonts w:ascii="Times New Roman" w:hAnsi="Times New Roman"/>
          <w:sz w:val="24"/>
          <w:szCs w:val="24"/>
        </w:rPr>
        <w:t xml:space="preserve">” </w:t>
      </w:r>
      <w:hyperlink r:id="rId952" w:history="1">
        <w:r w:rsidRPr="005848D2">
          <w:rPr>
            <w:rStyle w:val="Hyperlink"/>
            <w:rFonts w:ascii="Times New Roman" w:hAnsi="Times New Roman"/>
            <w:sz w:val="24"/>
            <w:szCs w:val="24"/>
          </w:rPr>
          <w:t>https://law.justia.com/cases/texas/fourteenth-court-of-appeals/2022/14-20-00566-cv.html</w:t>
        </w:r>
      </w:hyperlink>
      <w:r>
        <w:rPr>
          <w:rFonts w:ascii="Times New Roman" w:hAnsi="Times New Roman"/>
          <w:sz w:val="24"/>
          <w:szCs w:val="24"/>
        </w:rPr>
        <w:t xml:space="preserve"> </w:t>
      </w:r>
    </w:p>
    <w:p w14:paraId="148A37DB" w14:textId="77777777" w:rsidR="00727951" w:rsidRPr="00BB6FE9" w:rsidRDefault="00727951" w:rsidP="00727951">
      <w:pPr>
        <w:pStyle w:val="NormalWeb"/>
        <w:rPr>
          <w:b/>
          <w:bCs/>
        </w:rPr>
      </w:pPr>
      <w:r w:rsidRPr="00BB6FE9">
        <w:rPr>
          <w:b/>
          <w:bCs/>
        </w:rPr>
        <w:t>Legal Lesson Learned:</w:t>
      </w:r>
      <w:r>
        <w:rPr>
          <w:b/>
          <w:bCs/>
        </w:rPr>
        <w:t xml:space="preserve"> When driving an ambulance, or other emergency apparatus, do not enter an intersection against a red light without both siren and lights activated. A best practice, while not required by some state laws, is to have a SOG requiring full stops at controlled intersections.</w:t>
      </w:r>
    </w:p>
    <w:p w14:paraId="2E99815E" w14:textId="77777777" w:rsidR="00AE6CF5" w:rsidRDefault="00AE6CF5" w:rsidP="00EF1133">
      <w:pPr>
        <w:rPr>
          <w:rFonts w:ascii="Arial Black" w:hAnsi="Arial Black"/>
          <w:b/>
          <w:sz w:val="24"/>
          <w:szCs w:val="24"/>
        </w:rPr>
      </w:pPr>
    </w:p>
    <w:p w14:paraId="3148A01C" w14:textId="005DEEA9" w:rsidR="00AE6CF5" w:rsidRDefault="00AE6CF5" w:rsidP="00EF1133">
      <w:pPr>
        <w:rPr>
          <w:rFonts w:ascii="Arial Black" w:hAnsi="Arial Black"/>
          <w:b/>
          <w:sz w:val="24"/>
          <w:szCs w:val="24"/>
        </w:rPr>
      </w:pPr>
      <w:r>
        <w:rPr>
          <w:rFonts w:ascii="Arial Black" w:hAnsi="Arial Black"/>
          <w:b/>
          <w:sz w:val="24"/>
          <w:szCs w:val="24"/>
        </w:rPr>
        <w:t>5-23</w:t>
      </w:r>
    </w:p>
    <w:p w14:paraId="14C7391A" w14:textId="77777777" w:rsidR="00AE6CF5" w:rsidRPr="00773F77" w:rsidRDefault="00AE6CF5" w:rsidP="00AE6CF5">
      <w:pPr>
        <w:spacing w:before="100" w:beforeAutospacing="1" w:after="100" w:afterAutospacing="1" w:line="240" w:lineRule="auto"/>
        <w:rPr>
          <w:rFonts w:ascii="Arial Black" w:eastAsia="Times New Roman" w:hAnsi="Arial Black"/>
          <w:b/>
          <w:bCs/>
          <w:color w:val="000000" w:themeColor="text1"/>
          <w:sz w:val="28"/>
          <w:szCs w:val="28"/>
        </w:rPr>
      </w:pPr>
      <w:r w:rsidRPr="00773F77">
        <w:rPr>
          <w:rFonts w:ascii="Arial Black" w:eastAsia="Times New Roman" w:hAnsi="Arial Black"/>
          <w:b/>
          <w:bCs/>
          <w:color w:val="000000" w:themeColor="text1"/>
          <w:sz w:val="28"/>
          <w:szCs w:val="28"/>
        </w:rPr>
        <w:t xml:space="preserve">TX: VOL. FF DRIVING HOME AFTER FIRE – STRUCK TWO FF CHECKING TIRE ON TANKER – ONE DIED </w:t>
      </w:r>
      <w:r>
        <w:rPr>
          <w:rFonts w:ascii="Arial Black" w:eastAsia="Times New Roman" w:hAnsi="Arial Black"/>
          <w:b/>
          <w:bCs/>
          <w:color w:val="000000" w:themeColor="text1"/>
          <w:sz w:val="28"/>
          <w:szCs w:val="28"/>
        </w:rPr>
        <w:t xml:space="preserve">- </w:t>
      </w:r>
      <w:r w:rsidRPr="00773F77">
        <w:rPr>
          <w:rFonts w:ascii="Arial Black" w:eastAsia="Times New Roman" w:hAnsi="Arial Black"/>
          <w:b/>
          <w:bCs/>
          <w:color w:val="000000" w:themeColor="text1"/>
          <w:sz w:val="28"/>
          <w:szCs w:val="28"/>
        </w:rPr>
        <w:t xml:space="preserve">NO IMMUNITY </w:t>
      </w:r>
    </w:p>
    <w:p w14:paraId="39E6660C" w14:textId="77777777" w:rsidR="00AE6CF5" w:rsidRDefault="00AE6CF5" w:rsidP="00AE6CF5">
      <w:pPr>
        <w:pStyle w:val="NormalWeb"/>
      </w:pPr>
      <w:r w:rsidRPr="004D2359">
        <w:t xml:space="preserve">On </w:t>
      </w:r>
      <w:r>
        <w:t xml:space="preserve">March 17, 2022, in </w:t>
      </w:r>
      <w:r w:rsidRPr="00055EE6">
        <w:rPr>
          <w:u w:val="single"/>
        </w:rPr>
        <w:t xml:space="preserve">John Weston Roades v. Lisa Henderson, as Administratrix of the estate of Steven Henderson, Kinsley Henderson, </w:t>
      </w:r>
      <w:proofErr w:type="spellStart"/>
      <w:r w:rsidRPr="00055EE6">
        <w:rPr>
          <w:u w:val="single"/>
        </w:rPr>
        <w:t>Koale</w:t>
      </w:r>
      <w:proofErr w:type="spellEnd"/>
      <w:r w:rsidRPr="00055EE6">
        <w:rPr>
          <w:u w:val="single"/>
        </w:rPr>
        <w:t xml:space="preserve"> Jaks and Robert Popp</w:t>
      </w:r>
      <w:r>
        <w:t xml:space="preserve">, the Court of Appeals of Texas, Thirteenth District (Corpus Christi – Edinburg), held (3 to 0) </w:t>
      </w:r>
      <w:r w:rsidRPr="008C6B39">
        <w:t xml:space="preserve">that the trial court properly denied the </w:t>
      </w:r>
      <w:r>
        <w:t xml:space="preserve">motion to dismiss by the </w:t>
      </w:r>
      <w:r w:rsidRPr="008C6B39">
        <w:t>volunteer firefighter</w:t>
      </w:r>
      <w:r>
        <w:t xml:space="preserve"> </w:t>
      </w:r>
      <w:r w:rsidRPr="008C6B39">
        <w:t xml:space="preserve">with the Louise Volunteer Fire Department (LVFD), Wharton County, Texas, </w:t>
      </w:r>
      <w:r>
        <w:t>since the Texas Tort Claims Act protects governmental “employees” (defined as “in the paid service of a governmental unit) and another provision only protects volunteer firefighters “</w:t>
      </w:r>
      <w:r w:rsidRPr="00C9048E">
        <w:rPr>
          <w:rStyle w:val="Emphasis"/>
        </w:rPr>
        <w:t>while involved in or providing an emergency response</w:t>
      </w:r>
      <w:r w:rsidRPr="00C9048E">
        <w:t xml:space="preserve"> as a member of a volunteer fire department."</w:t>
      </w:r>
      <w:r>
        <w:t xml:space="preserve"> </w:t>
      </w:r>
      <w:hyperlink r:id="rId953" w:history="1">
        <w:r w:rsidRPr="005A2A16">
          <w:rPr>
            <w:rStyle w:val="Hyperlink"/>
            <w:rFonts w:eastAsiaTheme="majorEastAsia"/>
          </w:rPr>
          <w:t>https://law.justia.com/cases/texas/thirteenth-court-of-appeals/2022/13-20-00315-cv.html</w:t>
        </w:r>
      </w:hyperlink>
      <w:r>
        <w:t xml:space="preserve"> </w:t>
      </w:r>
    </w:p>
    <w:p w14:paraId="56E5BEC3" w14:textId="77777777" w:rsidR="00AE6CF5" w:rsidRDefault="00AE6CF5" w:rsidP="00AE6CF5">
      <w:pPr>
        <w:pStyle w:val="NormalWeb"/>
        <w:ind w:left="1440"/>
      </w:pPr>
      <w:r>
        <w:t xml:space="preserve">“Here, by Roades's own account, ‘the fire was under control’ and he was travelling home in his personal vehicle when the accident occurred. Thus, it is undisputed that Roades was not involved in or providing an emergency response during or at the time of the accident. Accordingly, Roades is not entitled to </w:t>
      </w:r>
      <w:proofErr w:type="gramStart"/>
      <w:r>
        <w:t>the ‘exclusions,</w:t>
      </w:r>
      <w:proofErr w:type="gramEnd"/>
      <w:r>
        <w:t xml:space="preserve"> exceptions, immunities, and </w:t>
      </w:r>
      <w:proofErr w:type="gramStart"/>
      <w:r>
        <w:t>defenses’</w:t>
      </w:r>
      <w:proofErr w:type="gramEnd"/>
      <w:r>
        <w:t xml:space="preserve"> applicable to an employee under the TTCA. </w:t>
      </w:r>
      <w:r>
        <w:rPr>
          <w:rStyle w:val="Emphasis"/>
        </w:rPr>
        <w:t>See</w:t>
      </w:r>
      <w:r>
        <w:t xml:space="preserve"> Tex. Civ. </w:t>
      </w:r>
      <w:proofErr w:type="spellStart"/>
      <w:r>
        <w:t>Prac</w:t>
      </w:r>
      <w:proofErr w:type="spellEnd"/>
      <w:r>
        <w:t xml:space="preserve">. &amp; Rem. Code Ann. §§ 78.101(1), 78.102, 78.104.” </w:t>
      </w:r>
      <w:hyperlink r:id="rId954" w:history="1">
        <w:r w:rsidRPr="005A2A16">
          <w:rPr>
            <w:rStyle w:val="Hyperlink"/>
            <w:rFonts w:eastAsiaTheme="majorEastAsia"/>
          </w:rPr>
          <w:t>https://law.justia.com/cases/texas/thirteenth-court-of-appeals/2022/13-20-00315-cv.html</w:t>
        </w:r>
      </w:hyperlink>
      <w:r>
        <w:t xml:space="preserve"> </w:t>
      </w:r>
    </w:p>
    <w:p w14:paraId="12F41A3B" w14:textId="77777777" w:rsidR="00AE6CF5" w:rsidRDefault="00AE6CF5" w:rsidP="00AE6CF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Here’s an article on this tragic accident. </w:t>
      </w:r>
    </w:p>
    <w:p w14:paraId="399F0B72" w14:textId="77777777" w:rsidR="00AE6CF5" w:rsidRPr="00F908DA" w:rsidRDefault="00AE6CF5" w:rsidP="00AE6CF5">
      <w:pPr>
        <w:spacing w:before="100" w:beforeAutospacing="1" w:after="100" w:afterAutospacing="1" w:line="240" w:lineRule="auto"/>
        <w:ind w:left="1440"/>
        <w:rPr>
          <w:rFonts w:ascii="Times New Roman" w:eastAsia="Times New Roman" w:hAnsi="Times New Roman"/>
          <w:sz w:val="24"/>
          <w:szCs w:val="24"/>
        </w:rPr>
      </w:pPr>
      <w:r w:rsidRPr="00F908DA">
        <w:rPr>
          <w:rFonts w:ascii="Times New Roman" w:eastAsia="Times New Roman" w:hAnsi="Times New Roman"/>
          <w:sz w:val="24"/>
          <w:szCs w:val="24"/>
        </w:rPr>
        <w:t>On Monday, October 7, 2019, Firefighter Steven Henderson with the Louise (TX) Volunteer Fire Department and another firefighter were returning from a fire call in a tanker truck when they stopped alongside the road to inspect the front tires.  While outside the vehicle, another firefighter from the same fire department driving his personal pick-up truck, who was also at the scene of the fire call and left shortly after Henderson, did not see the truck parked in the roadway or the two firefighters standing outside of it. He subsequently hit both Henderson and the other firefighter.</w:t>
      </w:r>
      <w:r>
        <w:rPr>
          <w:rFonts w:ascii="Times New Roman" w:eastAsia="Times New Roman" w:hAnsi="Times New Roman"/>
          <w:sz w:val="24"/>
          <w:szCs w:val="24"/>
        </w:rPr>
        <w:t xml:space="preserve">” </w:t>
      </w:r>
      <w:hyperlink r:id="rId955" w:anchor="gref" w:history="1">
        <w:r w:rsidRPr="005A2A16">
          <w:rPr>
            <w:rStyle w:val="Hyperlink"/>
            <w:rFonts w:ascii="Times New Roman" w:eastAsia="Times New Roman" w:hAnsi="Times New Roman"/>
            <w:sz w:val="24"/>
            <w:szCs w:val="24"/>
          </w:rPr>
          <w:t>https://www.fireengineering.com/health-safety/tx-firefighter-dies-after-being-struck/#gref</w:t>
        </w:r>
      </w:hyperlink>
      <w:r>
        <w:rPr>
          <w:rFonts w:ascii="Times New Roman" w:eastAsia="Times New Roman" w:hAnsi="Times New Roman"/>
          <w:sz w:val="24"/>
          <w:szCs w:val="24"/>
        </w:rPr>
        <w:t xml:space="preserve"> </w:t>
      </w:r>
    </w:p>
    <w:p w14:paraId="43D5B593" w14:textId="77777777" w:rsidR="00AE6CF5" w:rsidRPr="00C9048E" w:rsidRDefault="00AE6CF5" w:rsidP="00AE6CF5">
      <w:pPr>
        <w:pStyle w:val="NormalWeb"/>
        <w:rPr>
          <w:b/>
          <w:bCs/>
        </w:rPr>
      </w:pPr>
      <w:r w:rsidRPr="00927C97">
        <w:rPr>
          <w:b/>
          <w:bCs/>
        </w:rPr>
        <w:t xml:space="preserve">Legal Lesson Learned: </w:t>
      </w:r>
      <w:r>
        <w:rPr>
          <w:b/>
          <w:bCs/>
        </w:rPr>
        <w:t xml:space="preserve">Volunteer emergency responders should carefully check the law in their state; it is a wise practice to confirm with your automobile insurance carrier that you have coverage when serving as a volunteer. </w:t>
      </w:r>
    </w:p>
    <w:p w14:paraId="2DDBEC6C" w14:textId="77777777" w:rsidR="00AE6CF5" w:rsidRDefault="00AE6CF5" w:rsidP="00EF1133">
      <w:pPr>
        <w:rPr>
          <w:rFonts w:ascii="Arial Black" w:hAnsi="Arial Black"/>
          <w:b/>
          <w:sz w:val="24"/>
          <w:szCs w:val="24"/>
        </w:rPr>
      </w:pPr>
    </w:p>
    <w:p w14:paraId="7EDAB3F2" w14:textId="54900446" w:rsidR="00B5724A" w:rsidRDefault="00B5724A" w:rsidP="00EF1133">
      <w:pPr>
        <w:rPr>
          <w:rFonts w:ascii="Arial Black" w:hAnsi="Arial Black"/>
          <w:b/>
          <w:sz w:val="24"/>
          <w:szCs w:val="24"/>
        </w:rPr>
      </w:pPr>
      <w:r>
        <w:rPr>
          <w:rFonts w:ascii="Arial Black" w:hAnsi="Arial Black"/>
          <w:b/>
          <w:sz w:val="24"/>
          <w:szCs w:val="24"/>
        </w:rPr>
        <w:t>5-22</w:t>
      </w:r>
    </w:p>
    <w:p w14:paraId="6DA16F78" w14:textId="77777777" w:rsidR="00B5724A" w:rsidRDefault="00B5724A" w:rsidP="00B5724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 xml:space="preserve">TX: RED LIGHT - AMBULANCE DRIVER LIGHTS &amp; SIREN DIDN’T SLOW DOWN - OBSTRUCTED VIEW – NO IMMUNITY </w:t>
      </w:r>
    </w:p>
    <w:p w14:paraId="653E5251" w14:textId="77777777" w:rsidR="00B5724A" w:rsidRPr="00CB1C4F" w:rsidRDefault="00B5724A" w:rsidP="00B5724A">
      <w:pPr>
        <w:spacing w:before="100" w:beforeAutospacing="1" w:after="100" w:afterAutospacing="1" w:line="240" w:lineRule="auto"/>
        <w:rPr>
          <w:rFonts w:ascii="Times New Roman" w:hAnsi="Times New Roman"/>
          <w:sz w:val="24"/>
          <w:szCs w:val="24"/>
        </w:rPr>
      </w:pPr>
      <w:r w:rsidRPr="00E82791">
        <w:rPr>
          <w:rFonts w:ascii="Times New Roman" w:hAnsi="Times New Roman"/>
          <w:sz w:val="24"/>
          <w:szCs w:val="24"/>
        </w:rPr>
        <w:t xml:space="preserve">On </w:t>
      </w:r>
      <w:r>
        <w:rPr>
          <w:rFonts w:ascii="Times New Roman" w:hAnsi="Times New Roman"/>
          <w:sz w:val="24"/>
          <w:szCs w:val="24"/>
        </w:rPr>
        <w:t xml:space="preserve">Dec. 30, 2021, in </w:t>
      </w:r>
      <w:proofErr w:type="spellStart"/>
      <w:r w:rsidRPr="00E82791">
        <w:rPr>
          <w:rFonts w:ascii="Times New Roman" w:hAnsi="Times New Roman"/>
          <w:sz w:val="24"/>
          <w:szCs w:val="24"/>
          <w:u w:val="single"/>
        </w:rPr>
        <w:t>Seronda</w:t>
      </w:r>
      <w:proofErr w:type="spellEnd"/>
      <w:r w:rsidRPr="00E82791">
        <w:rPr>
          <w:rFonts w:ascii="Times New Roman" w:hAnsi="Times New Roman"/>
          <w:sz w:val="24"/>
          <w:szCs w:val="24"/>
          <w:u w:val="single"/>
        </w:rPr>
        <w:t xml:space="preserve"> Gillespie and </w:t>
      </w:r>
      <w:proofErr w:type="spellStart"/>
      <w:r w:rsidRPr="00E82791">
        <w:rPr>
          <w:rFonts w:ascii="Times New Roman" w:hAnsi="Times New Roman"/>
          <w:sz w:val="24"/>
          <w:szCs w:val="24"/>
          <w:u w:val="single"/>
        </w:rPr>
        <w:t>Torondia</w:t>
      </w:r>
      <w:proofErr w:type="spellEnd"/>
      <w:r w:rsidRPr="00E82791">
        <w:rPr>
          <w:rFonts w:ascii="Times New Roman" w:hAnsi="Times New Roman"/>
          <w:sz w:val="24"/>
          <w:szCs w:val="24"/>
          <w:u w:val="single"/>
        </w:rPr>
        <w:t xml:space="preserve"> </w:t>
      </w:r>
      <w:proofErr w:type="spellStart"/>
      <w:r w:rsidRPr="00E82791">
        <w:rPr>
          <w:rFonts w:ascii="Times New Roman" w:hAnsi="Times New Roman"/>
          <w:sz w:val="24"/>
          <w:szCs w:val="24"/>
          <w:u w:val="single"/>
        </w:rPr>
        <w:t>Talber</w:t>
      </w:r>
      <w:proofErr w:type="spellEnd"/>
      <w:r w:rsidRPr="00E82791">
        <w:rPr>
          <w:rFonts w:ascii="Times New Roman" w:hAnsi="Times New Roman"/>
          <w:sz w:val="24"/>
          <w:szCs w:val="24"/>
          <w:u w:val="single"/>
        </w:rPr>
        <w:t xml:space="preserve"> v. Galveston County Health District,</w:t>
      </w:r>
      <w:r>
        <w:rPr>
          <w:rFonts w:ascii="Times New Roman" w:hAnsi="Times New Roman"/>
          <w:sz w:val="24"/>
          <w:szCs w:val="24"/>
        </w:rPr>
        <w:t xml:space="preserve"> the Court of Appeals of Texas, Fourteenth District, held (3 to 0) that trial court is reversed and lawsuit reinstated. By </w:t>
      </w:r>
      <w:proofErr w:type="gramStart"/>
      <w:r>
        <w:rPr>
          <w:rFonts w:ascii="Times New Roman" w:hAnsi="Times New Roman"/>
          <w:sz w:val="24"/>
          <w:szCs w:val="24"/>
        </w:rPr>
        <w:t>entering into</w:t>
      </w:r>
      <w:proofErr w:type="gramEnd"/>
      <w:r>
        <w:rPr>
          <w:rFonts w:ascii="Times New Roman" w:hAnsi="Times New Roman"/>
          <w:sz w:val="24"/>
          <w:szCs w:val="24"/>
        </w:rPr>
        <w:t xml:space="preserve"> the obstructed intersection without slowing down as she had for prior red lights, there is sufficient evidence of “</w:t>
      </w:r>
      <w:r w:rsidRPr="00CB1C4F">
        <w:rPr>
          <w:rFonts w:ascii="Times New Roman" w:hAnsi="Times New Roman"/>
          <w:sz w:val="24"/>
          <w:szCs w:val="24"/>
        </w:rPr>
        <w:t>reckless disregard for the safety of others."</w:t>
      </w:r>
      <w:r>
        <w:rPr>
          <w:rFonts w:ascii="Times New Roman" w:hAnsi="Times New Roman"/>
          <w:sz w:val="24"/>
          <w:szCs w:val="24"/>
        </w:rPr>
        <w:t xml:space="preserve"> The posted speed was 35 mph; paramedic was going about 40 mph. </w:t>
      </w:r>
    </w:p>
    <w:p w14:paraId="22E8D3DB" w14:textId="77777777" w:rsidR="00B5724A" w:rsidRPr="00FF02D0" w:rsidRDefault="00B5724A" w:rsidP="00B5724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FF02D0">
        <w:rPr>
          <w:rFonts w:ascii="Times New Roman" w:eastAsia="Times New Roman" w:hAnsi="Times New Roman"/>
          <w:sz w:val="24"/>
          <w:szCs w:val="24"/>
        </w:rPr>
        <w:t xml:space="preserve">The </w:t>
      </w:r>
      <w:r>
        <w:rPr>
          <w:rFonts w:ascii="Times New Roman" w:eastAsia="Times New Roman" w:hAnsi="Times New Roman"/>
          <w:sz w:val="24"/>
          <w:szCs w:val="24"/>
        </w:rPr>
        <w:t xml:space="preserve">[County Health] </w:t>
      </w:r>
      <w:r w:rsidRPr="00FF02D0">
        <w:rPr>
          <w:rFonts w:ascii="Times New Roman" w:eastAsia="Times New Roman" w:hAnsi="Times New Roman"/>
          <w:sz w:val="24"/>
          <w:szCs w:val="24"/>
        </w:rPr>
        <w:t xml:space="preserve">District presented no evidence that a reasonably prudent official could have believed that Sanders-Fletcher was justified in entering the intersection without first slowing down under these circumstances. The </w:t>
      </w:r>
      <w:proofErr w:type="gramStart"/>
      <w:r w:rsidRPr="00FF02D0">
        <w:rPr>
          <w:rFonts w:ascii="Times New Roman" w:eastAsia="Times New Roman" w:hAnsi="Times New Roman"/>
          <w:sz w:val="24"/>
          <w:szCs w:val="24"/>
        </w:rPr>
        <w:t>District</w:t>
      </w:r>
      <w:proofErr w:type="gramEnd"/>
      <w:r w:rsidRPr="00FF02D0">
        <w:rPr>
          <w:rFonts w:ascii="Times New Roman" w:eastAsia="Times New Roman" w:hAnsi="Times New Roman"/>
          <w:sz w:val="24"/>
          <w:szCs w:val="24"/>
        </w:rPr>
        <w:t xml:space="preserve"> does not contend otherwise; it merely asserts on appeal that Sanders-Fletcher is entitled to official immunity because there is no fact issue as to whether her conduct was reckless and that the video shows her cautious speed and approach through the intersection. Because there is a genuine issue of material fact as to whether Sanders-Fletcher's conduct was reckless, the </w:t>
      </w:r>
      <w:proofErr w:type="gramStart"/>
      <w:r w:rsidRPr="00FF02D0">
        <w:rPr>
          <w:rFonts w:ascii="Times New Roman" w:eastAsia="Times New Roman" w:hAnsi="Times New Roman"/>
          <w:sz w:val="24"/>
          <w:szCs w:val="24"/>
        </w:rPr>
        <w:t>District's</w:t>
      </w:r>
      <w:proofErr w:type="gramEnd"/>
      <w:r w:rsidRPr="00FF02D0">
        <w:rPr>
          <w:rFonts w:ascii="Times New Roman" w:eastAsia="Times New Roman" w:hAnsi="Times New Roman"/>
          <w:sz w:val="24"/>
          <w:szCs w:val="24"/>
        </w:rPr>
        <w:t xml:space="preserve"> official-immunity argument cannot be sustained on this basis.</w:t>
      </w:r>
      <w:r>
        <w:rPr>
          <w:rFonts w:ascii="Times New Roman" w:eastAsia="Times New Roman" w:hAnsi="Times New Roman"/>
          <w:sz w:val="24"/>
          <w:szCs w:val="24"/>
        </w:rPr>
        <w:t xml:space="preserve">” </w:t>
      </w:r>
      <w:r w:rsidRPr="00FF02D0">
        <w:rPr>
          <w:rFonts w:ascii="Times New Roman" w:eastAsia="Times New Roman" w:hAnsi="Times New Roman"/>
          <w:sz w:val="24"/>
          <w:szCs w:val="24"/>
        </w:rPr>
        <w:t xml:space="preserve"> </w:t>
      </w:r>
      <w:hyperlink r:id="rId956" w:history="1">
        <w:r w:rsidRPr="00EC5853">
          <w:rPr>
            <w:rStyle w:val="Hyperlink"/>
            <w:rFonts w:ascii="Times New Roman" w:eastAsia="Times New Roman" w:hAnsi="Times New Roman"/>
            <w:sz w:val="24"/>
            <w:szCs w:val="24"/>
          </w:rPr>
          <w:t>https://public.fastcase.com/9SKwsfNqTc6OieYDhNMyMxYFAOB%2B8Exz96lCVjgKZ3LX4kIIj1F%2BwgWx84FRdD2XxPjZrEkhT3uMWAcBEArrI0vrm%2B5Vt5gbBlhQIZhqFuE%3D</w:t>
        </w:r>
      </w:hyperlink>
      <w:r>
        <w:rPr>
          <w:rFonts w:ascii="Times New Roman" w:eastAsia="Times New Roman" w:hAnsi="Times New Roman"/>
          <w:sz w:val="24"/>
          <w:szCs w:val="24"/>
        </w:rPr>
        <w:t xml:space="preserve"> </w:t>
      </w:r>
    </w:p>
    <w:p w14:paraId="326AB7B5" w14:textId="77777777" w:rsidR="00B5724A" w:rsidRPr="002C414E" w:rsidRDefault="00B5724A" w:rsidP="00B5724A">
      <w:pPr>
        <w:spacing w:before="100" w:beforeAutospacing="1" w:after="100" w:afterAutospacing="1" w:line="240" w:lineRule="auto"/>
        <w:rPr>
          <w:rFonts w:ascii="Times New Roman" w:hAnsi="Times New Roman"/>
          <w:b/>
          <w:bCs/>
          <w:sz w:val="24"/>
          <w:szCs w:val="24"/>
        </w:rPr>
      </w:pPr>
      <w:r w:rsidRPr="002C414E">
        <w:rPr>
          <w:rFonts w:ascii="Times New Roman" w:hAnsi="Times New Roman"/>
          <w:b/>
          <w:bCs/>
          <w:sz w:val="24"/>
          <w:szCs w:val="24"/>
        </w:rPr>
        <w:t xml:space="preserve">Legal Lesson Learned: Operators of emergency vehicles should slow down when approaching a red light or stop sign, particularly if on a road with obstructed views. </w:t>
      </w:r>
    </w:p>
    <w:p w14:paraId="431666F5" w14:textId="77777777" w:rsidR="00B5724A" w:rsidRPr="002C414E" w:rsidRDefault="00B5724A" w:rsidP="00B5724A">
      <w:pPr>
        <w:pStyle w:val="Heading1"/>
        <w:ind w:left="720"/>
        <w:rPr>
          <w:b w:val="0"/>
          <w:bCs w:val="0"/>
          <w:sz w:val="24"/>
          <w:szCs w:val="24"/>
        </w:rPr>
      </w:pPr>
      <w:r w:rsidRPr="002C414E">
        <w:rPr>
          <w:b w:val="0"/>
          <w:bCs w:val="0"/>
          <w:sz w:val="24"/>
          <w:szCs w:val="24"/>
        </w:rPr>
        <w:t xml:space="preserve">Note: Ohio Revised Code Section 4511.03 </w:t>
      </w:r>
      <w:r w:rsidRPr="002C414E">
        <w:rPr>
          <w:rStyle w:val="codes-separator"/>
          <w:b w:val="0"/>
          <w:bCs w:val="0"/>
          <w:sz w:val="24"/>
          <w:szCs w:val="24"/>
        </w:rPr>
        <w:t>|</w:t>
      </w:r>
      <w:r w:rsidRPr="002C414E">
        <w:rPr>
          <w:b w:val="0"/>
          <w:bCs w:val="0"/>
          <w:sz w:val="24"/>
          <w:szCs w:val="24"/>
        </w:rPr>
        <w:t xml:space="preserve"> Emergency vehicles at red signal or stop sign. </w:t>
      </w:r>
      <w:hyperlink r:id="rId957" w:history="1">
        <w:r w:rsidRPr="002C414E">
          <w:rPr>
            <w:rFonts w:eastAsiaTheme="majorEastAsia"/>
            <w:b w:val="0"/>
            <w:bCs w:val="0"/>
            <w:sz w:val="24"/>
            <w:szCs w:val="24"/>
          </w:rPr>
          <w:t>https://codes.ohio.gov/ohio-revised-code/section-4511.03</w:t>
        </w:r>
      </w:hyperlink>
      <w:r w:rsidRPr="002C414E">
        <w:rPr>
          <w:b w:val="0"/>
          <w:bCs w:val="0"/>
          <w:sz w:val="24"/>
          <w:szCs w:val="24"/>
        </w:rPr>
        <w:t xml:space="preserve"> </w:t>
      </w:r>
    </w:p>
    <w:p w14:paraId="4D78946D" w14:textId="77777777" w:rsidR="00B5724A" w:rsidRPr="002C414E" w:rsidRDefault="00B5724A" w:rsidP="00B5724A">
      <w:pPr>
        <w:spacing w:before="100" w:beforeAutospacing="1" w:after="100" w:afterAutospacing="1" w:line="240" w:lineRule="auto"/>
        <w:ind w:left="1440"/>
        <w:rPr>
          <w:rFonts w:ascii="Times New Roman" w:eastAsia="Times New Roman" w:hAnsi="Times New Roman"/>
          <w:sz w:val="24"/>
          <w:szCs w:val="24"/>
        </w:rPr>
      </w:pPr>
      <w:r w:rsidRPr="002C414E">
        <w:rPr>
          <w:rFonts w:ascii="Times New Roman" w:hAnsi="Times New Roman"/>
          <w:sz w:val="24"/>
          <w:szCs w:val="24"/>
        </w:rPr>
        <w:t>“(A)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w:t>
      </w:r>
    </w:p>
    <w:p w14:paraId="6B1FF64C" w14:textId="77777777" w:rsidR="00B5724A" w:rsidRDefault="00B5724A" w:rsidP="00EF1133">
      <w:pPr>
        <w:rPr>
          <w:rFonts w:ascii="Arial Black" w:hAnsi="Arial Black"/>
          <w:b/>
          <w:sz w:val="24"/>
          <w:szCs w:val="24"/>
        </w:rPr>
      </w:pPr>
    </w:p>
    <w:p w14:paraId="30A46054" w14:textId="273659CE" w:rsidR="00BC5936" w:rsidRPr="00BC5936" w:rsidRDefault="00BC5936" w:rsidP="00EF1133">
      <w:pPr>
        <w:rPr>
          <w:rFonts w:ascii="Times New Roman" w:hAnsi="Times New Roman"/>
          <w:bCs/>
          <w:sz w:val="24"/>
          <w:szCs w:val="24"/>
        </w:rPr>
      </w:pPr>
      <w:r>
        <w:rPr>
          <w:rFonts w:ascii="Arial Black" w:hAnsi="Arial Black"/>
          <w:b/>
          <w:sz w:val="24"/>
          <w:szCs w:val="24"/>
        </w:rPr>
        <w:t xml:space="preserve">5-21 </w:t>
      </w:r>
      <w:r>
        <w:rPr>
          <w:rFonts w:ascii="Times New Roman" w:hAnsi="Times New Roman"/>
          <w:bCs/>
          <w:sz w:val="24"/>
          <w:szCs w:val="24"/>
        </w:rPr>
        <w:t>[also filed, Chap. 13]</w:t>
      </w:r>
    </w:p>
    <w:p w14:paraId="5A6B839B" w14:textId="77777777" w:rsidR="00BC5936" w:rsidRPr="002F193B" w:rsidRDefault="00BC5936" w:rsidP="00BC5936">
      <w:pPr>
        <w:pStyle w:val="NoSpacing"/>
        <w:rPr>
          <w:rFonts w:ascii="Arial Black" w:hAnsi="Arial Black"/>
          <w:sz w:val="28"/>
          <w:szCs w:val="28"/>
        </w:rPr>
      </w:pPr>
      <w:r>
        <w:rPr>
          <w:rFonts w:ascii="Arial Black" w:hAnsi="Arial Black"/>
          <w:sz w:val="28"/>
          <w:szCs w:val="28"/>
        </w:rPr>
        <w:t>WV: AMBULANCE ROLL OVER - 2 KILLED, EMT’S LAWSUIT HOSP. DISMISSED – MEDICAL CERT. OF MERIT REQUIRED</w:t>
      </w:r>
    </w:p>
    <w:p w14:paraId="69A4B9FB" w14:textId="77777777" w:rsidR="00BC5936" w:rsidRDefault="00BC5936" w:rsidP="00BC5936">
      <w:pPr>
        <w:pStyle w:val="NoSpacing"/>
      </w:pPr>
    </w:p>
    <w:p w14:paraId="6F7FC8DE" w14:textId="77777777" w:rsidR="00BC5936" w:rsidRDefault="00BC5936" w:rsidP="00BC5936">
      <w:pPr>
        <w:pStyle w:val="NoSpacing"/>
        <w:rPr>
          <w:rFonts w:ascii="Times New Roman" w:hAnsi="Times New Roman"/>
          <w:sz w:val="24"/>
          <w:szCs w:val="24"/>
        </w:rPr>
      </w:pPr>
      <w:r w:rsidRPr="00397962">
        <w:rPr>
          <w:rFonts w:ascii="Times New Roman" w:hAnsi="Times New Roman"/>
          <w:sz w:val="24"/>
          <w:szCs w:val="24"/>
        </w:rPr>
        <w:t xml:space="preserve">On May 20, 2021, in </w:t>
      </w:r>
      <w:r w:rsidRPr="00397962">
        <w:rPr>
          <w:rFonts w:ascii="Times New Roman" w:hAnsi="Times New Roman"/>
          <w:sz w:val="24"/>
          <w:szCs w:val="24"/>
          <w:u w:val="single"/>
        </w:rPr>
        <w:t>Crystal G. Brown and Tri-State Ambulance, Inc. v. Ohio Valley Health Services &amp; Education Corporation; Ohio Valley Medical Center; et al</w:t>
      </w:r>
      <w:r>
        <w:rPr>
          <w:rFonts w:ascii="Times New Roman" w:hAnsi="Times New Roman"/>
          <w:sz w:val="24"/>
          <w:szCs w:val="24"/>
        </w:rPr>
        <w:t xml:space="preserve">., the State of West Virginia Supreme Court of Appeals, </w:t>
      </w:r>
      <w:r w:rsidRPr="00FD6489">
        <w:rPr>
          <w:rStyle w:val="font-weight-bold"/>
          <w:rFonts w:ascii="Times New Roman" w:hAnsi="Times New Roman"/>
          <w:sz w:val="24"/>
          <w:szCs w:val="24"/>
        </w:rPr>
        <w:t>Brown v. Ohio Valley Health Servs. &amp; Educ. Corp. (W. Va. 202</w:t>
      </w:r>
      <w:r>
        <w:rPr>
          <w:rFonts w:ascii="Times New Roman" w:hAnsi="Times New Roman"/>
          <w:sz w:val="24"/>
          <w:szCs w:val="24"/>
        </w:rPr>
        <w:t xml:space="preserve">1, held (3 to 0) that the lawsuit was properly dismissed since the West Virginia code of medical professional liability requires both patients and others suing a health care provider 30 days </w:t>
      </w:r>
      <w:proofErr w:type="gramStart"/>
      <w:r>
        <w:rPr>
          <w:rFonts w:ascii="Times New Roman" w:hAnsi="Times New Roman"/>
          <w:sz w:val="24"/>
          <w:szCs w:val="24"/>
        </w:rPr>
        <w:t>prior</w:t>
      </w:r>
      <w:proofErr w:type="gramEnd"/>
      <w:r>
        <w:rPr>
          <w:rFonts w:ascii="Times New Roman" w:hAnsi="Times New Roman"/>
          <w:sz w:val="24"/>
          <w:szCs w:val="24"/>
        </w:rPr>
        <w:t xml:space="preserve"> written notice, and a certificate of merit by a qualified health care provider.  The EMT in her lawsuit claimed the hospital knew but failed to disclose that transporting the patient to a Columbus, OH hospital was not medically necessary to save his life and that dangerous weather was approaching; the Ambulance company’s insurance provider sought reimbursement for its settlement costs.</w:t>
      </w:r>
    </w:p>
    <w:p w14:paraId="1449E210" w14:textId="77777777" w:rsidR="00BC5936" w:rsidRPr="00FD6489" w:rsidRDefault="00BC5936" w:rsidP="00BC5936">
      <w:pPr>
        <w:spacing w:before="100" w:beforeAutospacing="1" w:after="100" w:afterAutospacing="1"/>
        <w:ind w:left="720"/>
        <w:rPr>
          <w:rFonts w:ascii="Times New Roman" w:hAnsi="Times New Roman"/>
          <w:sz w:val="24"/>
          <w:szCs w:val="24"/>
        </w:rPr>
      </w:pPr>
      <w:r>
        <w:rPr>
          <w:rFonts w:ascii="Times New Roman" w:hAnsi="Times New Roman"/>
          <w:sz w:val="24"/>
          <w:szCs w:val="24"/>
        </w:rPr>
        <w:t>“</w:t>
      </w:r>
      <w:r w:rsidRPr="00FD6489">
        <w:rPr>
          <w:rFonts w:ascii="Times New Roman" w:hAnsi="Times New Roman"/>
          <w:sz w:val="24"/>
          <w:szCs w:val="24"/>
        </w:rPr>
        <w:t xml:space="preserve">That Petitioner Brown was not the patient does not preclude application of the MPLA. [Medical Professional Liability Act].  In syllabus point 5 of </w:t>
      </w:r>
      <w:r w:rsidRPr="00FD6489">
        <w:rPr>
          <w:rFonts w:ascii="Times New Roman" w:hAnsi="Times New Roman"/>
          <w:i/>
          <w:iCs/>
          <w:sz w:val="24"/>
          <w:szCs w:val="24"/>
        </w:rPr>
        <w:t>Osbourne v</w:t>
      </w:r>
      <w:r w:rsidRPr="00FD6489">
        <w:rPr>
          <w:rFonts w:ascii="Times New Roman" w:hAnsi="Times New Roman"/>
          <w:sz w:val="24"/>
          <w:szCs w:val="24"/>
        </w:rPr>
        <w:t xml:space="preserve">. </w:t>
      </w:r>
      <w:r w:rsidRPr="00FD6489">
        <w:rPr>
          <w:rFonts w:ascii="Times New Roman" w:hAnsi="Times New Roman"/>
          <w:i/>
          <w:iCs/>
          <w:sz w:val="24"/>
          <w:szCs w:val="24"/>
        </w:rPr>
        <w:t>United States</w:t>
      </w:r>
      <w:r w:rsidRPr="00FD6489">
        <w:rPr>
          <w:rFonts w:ascii="Times New Roman" w:hAnsi="Times New Roman"/>
          <w:sz w:val="24"/>
          <w:szCs w:val="24"/>
        </w:rPr>
        <w:t xml:space="preserve">, 211 W. Va. 667, 567 S.E.2d 677 (2002), we held that the Act </w:t>
      </w:r>
      <w:r>
        <w:rPr>
          <w:rFonts w:ascii="Times New Roman" w:hAnsi="Times New Roman"/>
          <w:sz w:val="24"/>
          <w:szCs w:val="24"/>
        </w:rPr>
        <w:t>‘</w:t>
      </w:r>
      <w:r w:rsidRPr="00FD6489">
        <w:rPr>
          <w:rFonts w:ascii="Times New Roman" w:hAnsi="Times New Roman"/>
          <w:sz w:val="24"/>
          <w:szCs w:val="24"/>
        </w:rPr>
        <w:t xml:space="preserve">permits a third party to bring a cause of action against a health </w:t>
      </w:r>
      <w:r w:rsidRPr="00FD6489">
        <w:rPr>
          <w:rFonts w:ascii="Times New Roman" w:hAnsi="Times New Roman"/>
          <w:sz w:val="24"/>
          <w:szCs w:val="24"/>
        </w:rPr>
        <w:lastRenderedPageBreak/>
        <w:t>care provider for foreseeable injuries that were proximately caused by the health care provider's negligent treatment of a tortfeasor patient.</w:t>
      </w:r>
      <w:r>
        <w:rPr>
          <w:rFonts w:ascii="Times New Roman" w:hAnsi="Times New Roman"/>
          <w:sz w:val="24"/>
          <w:szCs w:val="24"/>
        </w:rPr>
        <w:t>’</w:t>
      </w:r>
      <w:r w:rsidRPr="00FD6489">
        <w:rPr>
          <w:rFonts w:ascii="Times New Roman" w:hAnsi="Times New Roman"/>
          <w:sz w:val="24"/>
          <w:szCs w:val="24"/>
        </w:rPr>
        <w:t xml:space="preserve"> In reaching this holding, we observed that, in defining </w:t>
      </w:r>
      <w:r>
        <w:rPr>
          <w:rFonts w:ascii="Times New Roman" w:hAnsi="Times New Roman"/>
          <w:sz w:val="24"/>
          <w:szCs w:val="24"/>
        </w:rPr>
        <w:t>‘</w:t>
      </w:r>
      <w:r w:rsidRPr="00FD6489">
        <w:rPr>
          <w:rFonts w:ascii="Times New Roman" w:hAnsi="Times New Roman"/>
          <w:sz w:val="24"/>
          <w:szCs w:val="24"/>
        </w:rPr>
        <w:t>medical professional liability</w:t>
      </w:r>
      <w:r>
        <w:rPr>
          <w:rFonts w:ascii="Times New Roman" w:hAnsi="Times New Roman"/>
          <w:sz w:val="24"/>
          <w:szCs w:val="24"/>
        </w:rPr>
        <w:t xml:space="preserve">.’” </w:t>
      </w:r>
      <w:hyperlink r:id="rId958" w:history="1">
        <w:r w:rsidRPr="007344F4">
          <w:rPr>
            <w:rStyle w:val="Hyperlink"/>
            <w:sz w:val="24"/>
            <w:szCs w:val="24"/>
          </w:rPr>
          <w:t>https://casetext.com/case/brown-v-ohio-valley-health-servs-educ-corp</w:t>
        </w:r>
      </w:hyperlink>
      <w:r>
        <w:rPr>
          <w:rFonts w:ascii="Times New Roman" w:hAnsi="Times New Roman"/>
          <w:sz w:val="24"/>
          <w:szCs w:val="24"/>
        </w:rPr>
        <w:t xml:space="preserve"> </w:t>
      </w:r>
    </w:p>
    <w:p w14:paraId="71724B90" w14:textId="77777777" w:rsidR="00BC5936" w:rsidRPr="006723F9" w:rsidRDefault="00BC5936" w:rsidP="00BC5936">
      <w:pPr>
        <w:spacing w:before="100" w:beforeAutospacing="1" w:after="100" w:afterAutospacing="1"/>
        <w:rPr>
          <w:rFonts w:ascii="Times New Roman" w:eastAsia="Times New Roman" w:hAnsi="Times New Roman"/>
          <w:b/>
          <w:bCs/>
          <w:sz w:val="24"/>
          <w:szCs w:val="24"/>
        </w:rPr>
      </w:pPr>
      <w:r w:rsidRPr="006723F9">
        <w:rPr>
          <w:rFonts w:ascii="Times New Roman" w:hAnsi="Times New Roman"/>
          <w:b/>
          <w:bCs/>
          <w:sz w:val="24"/>
          <w:szCs w:val="24"/>
        </w:rPr>
        <w:t xml:space="preserve">Legal Lesson Learned:  </w:t>
      </w:r>
      <w:r>
        <w:rPr>
          <w:rFonts w:ascii="Times New Roman" w:hAnsi="Times New Roman"/>
          <w:b/>
          <w:bCs/>
          <w:sz w:val="24"/>
          <w:szCs w:val="24"/>
        </w:rPr>
        <w:t xml:space="preserve">Lawsuit dismissed since EMT and her attorney </w:t>
      </w:r>
      <w:r w:rsidRPr="006723F9">
        <w:rPr>
          <w:rFonts w:ascii="Times New Roman" w:hAnsi="Times New Roman"/>
          <w:b/>
          <w:bCs/>
          <w:sz w:val="24"/>
          <w:szCs w:val="24"/>
        </w:rPr>
        <w:t xml:space="preserve">didn’t </w:t>
      </w:r>
      <w:r>
        <w:rPr>
          <w:rFonts w:ascii="Times New Roman" w:hAnsi="Times New Roman"/>
          <w:b/>
          <w:bCs/>
          <w:sz w:val="24"/>
          <w:szCs w:val="24"/>
        </w:rPr>
        <w:t xml:space="preserve">provide the Certificate of Merit required by the Medical Professional Liability </w:t>
      </w:r>
      <w:r w:rsidRPr="006723F9">
        <w:rPr>
          <w:rFonts w:ascii="Times New Roman" w:hAnsi="Times New Roman"/>
          <w:b/>
          <w:bCs/>
          <w:sz w:val="24"/>
          <w:szCs w:val="24"/>
        </w:rPr>
        <w:t xml:space="preserve">statute. </w:t>
      </w:r>
      <w:r>
        <w:rPr>
          <w:rFonts w:ascii="Times New Roman" w:hAnsi="Times New Roman"/>
          <w:b/>
          <w:bCs/>
          <w:sz w:val="24"/>
          <w:szCs w:val="24"/>
        </w:rPr>
        <w:t xml:space="preserve"> Similar statutes can be found throughout U.S. </w:t>
      </w:r>
    </w:p>
    <w:p w14:paraId="48C9C5A7" w14:textId="77777777" w:rsidR="00BC5936" w:rsidRDefault="00BC5936" w:rsidP="00BC5936">
      <w:pPr>
        <w:spacing w:before="100" w:beforeAutospacing="1" w:after="100" w:afterAutospacing="1"/>
        <w:ind w:left="720"/>
        <w:rPr>
          <w:rFonts w:ascii="Times New Roman" w:hAnsi="Times New Roman"/>
          <w:sz w:val="24"/>
          <w:szCs w:val="24"/>
        </w:rPr>
      </w:pPr>
      <w:r>
        <w:rPr>
          <w:rFonts w:ascii="Times New Roman" w:eastAsia="Times New Roman" w:hAnsi="Times New Roman"/>
          <w:sz w:val="24"/>
          <w:szCs w:val="24"/>
        </w:rPr>
        <w:t>Note: See this article on the roll over.</w:t>
      </w:r>
    </w:p>
    <w:p w14:paraId="7FB078B2" w14:textId="77777777" w:rsidR="00BC5936" w:rsidRPr="006C56B5" w:rsidRDefault="00BC5936" w:rsidP="00BC5936">
      <w:pPr>
        <w:ind w:left="720"/>
        <w:rPr>
          <w:rFonts w:ascii="Times New Roman" w:hAnsi="Times New Roman"/>
          <w:sz w:val="24"/>
          <w:szCs w:val="24"/>
        </w:rPr>
      </w:pPr>
      <w:r w:rsidRPr="006C56B5">
        <w:rPr>
          <w:rFonts w:ascii="Times New Roman" w:hAnsi="Times New Roman"/>
          <w:b/>
          <w:bCs/>
          <w:sz w:val="24"/>
          <w:szCs w:val="24"/>
        </w:rPr>
        <w:t>Two Dead After Ambulance Rollover</w:t>
      </w:r>
      <w:r>
        <w:rPr>
          <w:rFonts w:ascii="Times New Roman" w:hAnsi="Times New Roman"/>
          <w:sz w:val="24"/>
          <w:szCs w:val="24"/>
        </w:rPr>
        <w:t xml:space="preserve"> (Dec. 17, 2016): </w:t>
      </w:r>
      <w:hyperlink r:id="rId959" w:history="1">
        <w:r w:rsidRPr="006C56B5">
          <w:rPr>
            <w:rStyle w:val="Hyperlink"/>
            <w:sz w:val="24"/>
            <w:szCs w:val="24"/>
          </w:rPr>
          <w:t>https://www.zanesvilletimesrecorder.com/story/news/local/2016/12/17/two-dead-after-ambulance-rollover/95557626/</w:t>
        </w:r>
      </w:hyperlink>
      <w:r w:rsidRPr="006C56B5">
        <w:rPr>
          <w:rFonts w:ascii="Times New Roman" w:hAnsi="Times New Roman"/>
          <w:sz w:val="24"/>
          <w:szCs w:val="24"/>
        </w:rPr>
        <w:t xml:space="preserve"> </w:t>
      </w:r>
    </w:p>
    <w:p w14:paraId="30134D7C" w14:textId="77777777" w:rsidR="00BC5936" w:rsidRPr="006C56B5" w:rsidRDefault="00BC5936" w:rsidP="00BC5936">
      <w:pPr>
        <w:ind w:left="1440"/>
        <w:rPr>
          <w:rFonts w:ascii="Times New Roman" w:hAnsi="Times New Roman"/>
          <w:sz w:val="24"/>
          <w:szCs w:val="24"/>
        </w:rPr>
      </w:pPr>
      <w:r w:rsidRPr="006C56B5">
        <w:rPr>
          <w:rFonts w:ascii="Times New Roman" w:hAnsi="Times New Roman"/>
          <w:sz w:val="24"/>
          <w:szCs w:val="24"/>
        </w:rPr>
        <w:t>CAMBRIDGE, OH- Two people died early Saturday morning after an ambulance lost control and overturned several times, according to a release from the Cambridge Post of the Ohio Highway Patrol.</w:t>
      </w:r>
    </w:p>
    <w:p w14:paraId="6F905B98" w14:textId="77777777" w:rsidR="00BC5936" w:rsidRDefault="00BC5936" w:rsidP="00BC5936">
      <w:pPr>
        <w:pStyle w:val="gntarbp"/>
        <w:ind w:left="1440"/>
      </w:pPr>
      <w:r>
        <w:t>According to the release, shortly after 2 a.m. an ambulance, registered to Tri State Ambulance, was transporting a patient on I-70 westbound near milepost 176 when it lost control, drove off the left edge of the interstate and overturned multiple times.</w:t>
      </w:r>
    </w:p>
    <w:p w14:paraId="1016D659" w14:textId="77777777" w:rsidR="00BC5936" w:rsidRDefault="00BC5936" w:rsidP="00BC5936">
      <w:pPr>
        <w:pStyle w:val="gntarbp"/>
        <w:ind w:left="1440"/>
      </w:pPr>
      <w:r>
        <w:t>At the time of the crash, a patient and four emergency medical personnel were in the ambulance. A patient and one of the emergency personnel, both in the patient care area of the ambulance, were killed in the crash. The three other emergency personnel sustained minor injuries, which were treated at Southeastern Medical Center.</w:t>
      </w:r>
    </w:p>
    <w:p w14:paraId="5729DF2F" w14:textId="77777777" w:rsidR="00BC5936" w:rsidRPr="006C56B5" w:rsidRDefault="00BC5936" w:rsidP="00BC5936">
      <w:pPr>
        <w:pStyle w:val="gntarbp"/>
        <w:ind w:left="1440"/>
      </w:pPr>
      <w:r>
        <w:t xml:space="preserve">Killed in the crash were the patient, Dennis Calvert, 64, of Wheeling West Virginia, and emergency personnel Charles McMahan, 39, of New Matamoras. Injured in the crash </w:t>
      </w:r>
      <w:proofErr w:type="gramStart"/>
      <w:r>
        <w:t>were the driver,</w:t>
      </w:r>
      <w:proofErr w:type="gramEnd"/>
      <w:r>
        <w:t xml:space="preserve"> Crystal Brown, 33</w:t>
      </w:r>
      <w:proofErr w:type="gramStart"/>
      <w:r>
        <w:t>, of</w:t>
      </w:r>
      <w:proofErr w:type="gramEnd"/>
      <w:r>
        <w:t xml:space="preserve"> Proctor, West Virginia, passengers Jennifer Rothwell, 32, of Wheeling, West Virginia, and Randi Watson, 37, of Glen Easton, West Virginia.</w:t>
      </w:r>
    </w:p>
    <w:p w14:paraId="7C63F985" w14:textId="77777777" w:rsidR="00BC5936" w:rsidRPr="00D1078B" w:rsidRDefault="00BC5936" w:rsidP="00BC5936">
      <w:pPr>
        <w:spacing w:before="100" w:beforeAutospacing="1" w:after="100" w:afterAutospacing="1"/>
        <w:ind w:left="720"/>
        <w:rPr>
          <w:rFonts w:ascii="Times New Roman" w:hAnsi="Times New Roman"/>
          <w:sz w:val="24"/>
          <w:szCs w:val="24"/>
        </w:rPr>
      </w:pPr>
      <w:r w:rsidRPr="00D1078B">
        <w:rPr>
          <w:rFonts w:ascii="Times New Roman" w:hAnsi="Times New Roman"/>
          <w:sz w:val="24"/>
          <w:szCs w:val="24"/>
        </w:rPr>
        <w:t xml:space="preserve">The West Virginia </w:t>
      </w:r>
      <w:r w:rsidRPr="00FD6489">
        <w:rPr>
          <w:rFonts w:ascii="Times New Roman" w:hAnsi="Times New Roman"/>
          <w:sz w:val="24"/>
          <w:szCs w:val="24"/>
        </w:rPr>
        <w:t>Medical Professional Liability Act</w:t>
      </w:r>
      <w:r>
        <w:rPr>
          <w:rFonts w:ascii="Times New Roman" w:hAnsi="Times New Roman"/>
          <w:sz w:val="24"/>
          <w:szCs w:val="24"/>
        </w:rPr>
        <w:t xml:space="preserve"> provides: </w:t>
      </w:r>
      <w:hyperlink r:id="rId960" w:history="1">
        <w:r w:rsidRPr="00C15479">
          <w:rPr>
            <w:rStyle w:val="Hyperlink"/>
            <w:sz w:val="24"/>
            <w:szCs w:val="24"/>
          </w:rPr>
          <w:t>https://law.justia.com/codes/west-virginia/2017/chapter-55/article-7b/section-55-7b-6/</w:t>
        </w:r>
      </w:hyperlink>
    </w:p>
    <w:p w14:paraId="22684F4A" w14:textId="77777777" w:rsidR="00BC5936" w:rsidRPr="002F193B" w:rsidRDefault="00BC5936" w:rsidP="00BC5936">
      <w:pPr>
        <w:spacing w:before="100" w:beforeAutospacing="1" w:after="100" w:afterAutospacing="1"/>
        <w:ind w:left="1440"/>
        <w:rPr>
          <w:rFonts w:ascii="Times New Roman" w:eastAsia="Times New Roman" w:hAnsi="Times New Roman"/>
          <w:sz w:val="24"/>
          <w:szCs w:val="24"/>
        </w:rPr>
      </w:pPr>
      <w:r>
        <w:rPr>
          <w:rFonts w:ascii="Times New Roman" w:hAnsi="Times New Roman"/>
          <w:sz w:val="24"/>
          <w:szCs w:val="24"/>
        </w:rPr>
        <w:t>“</w:t>
      </w:r>
      <w:r w:rsidRPr="00D1078B">
        <w:rPr>
          <w:rFonts w:ascii="Times New Roman" w:hAnsi="Times New Roman"/>
          <w:sz w:val="24"/>
          <w:szCs w:val="24"/>
        </w:rPr>
        <w:t xml:space="preserve">(b) At least thirty days prior to the filing of a medical professional liability action against a health care provider, the claimant shall serve by certified mail, return receipt requested, a notice of claim on each health care provider the claimant will join in litigation. The notice of claim shall include a statement of the theory or theories of liability upon which a cause of action may be based, and a list of all health care providers and health care facilities to whom notices of claim are being sent, together with a screening certificate of merit. The screening certificate of merit shall be executed under oath by a health care provider qualified as an expert under the West Virginia rules of evidence and shall state with particularity: (1) The expert’s familiarity with the applicable standard of care in issue; (2) the expert’s qualifications; (3) the expert’s opinion as to how the applicable standard of care was breached; and (4) the expert’s opinion as to how the breach of the applicable standard of care resulted in injury or death. A separate screening </w:t>
      </w:r>
      <w:r w:rsidRPr="00D1078B">
        <w:rPr>
          <w:rFonts w:ascii="Times New Roman" w:hAnsi="Times New Roman"/>
          <w:sz w:val="24"/>
          <w:szCs w:val="24"/>
        </w:rPr>
        <w:lastRenderedPageBreak/>
        <w:t xml:space="preserve">certificate of merit must be provided for each health care provider against whom a claim is asserted. The person signing the screening certificate of merit shall have no financial interest in the underlying </w:t>
      </w:r>
      <w:proofErr w:type="gramStart"/>
      <w:r w:rsidRPr="00D1078B">
        <w:rPr>
          <w:rFonts w:ascii="Times New Roman" w:hAnsi="Times New Roman"/>
          <w:sz w:val="24"/>
          <w:szCs w:val="24"/>
        </w:rPr>
        <w:t>claim, but</w:t>
      </w:r>
      <w:proofErr w:type="gramEnd"/>
      <w:r w:rsidRPr="00D1078B">
        <w:rPr>
          <w:rFonts w:ascii="Times New Roman" w:hAnsi="Times New Roman"/>
          <w:sz w:val="24"/>
          <w:szCs w:val="24"/>
        </w:rPr>
        <w:t xml:space="preserve"> may participate as an expert witness in any judicial proceeding. Nothing in this subsection may be construed to limit the application of Rule 15 of the Rules of Civil Procedure.</w:t>
      </w:r>
    </w:p>
    <w:p w14:paraId="4AB69B2A" w14:textId="77777777" w:rsidR="00BC5936" w:rsidRDefault="00BC5936" w:rsidP="00EF1133">
      <w:pPr>
        <w:rPr>
          <w:rFonts w:ascii="Arial Black" w:hAnsi="Arial Black"/>
          <w:b/>
          <w:sz w:val="24"/>
          <w:szCs w:val="24"/>
        </w:rPr>
      </w:pPr>
    </w:p>
    <w:p w14:paraId="6158793C" w14:textId="77777777" w:rsidR="00BC5936" w:rsidRDefault="00BC5936" w:rsidP="00EF1133">
      <w:pPr>
        <w:rPr>
          <w:rFonts w:ascii="Arial Black" w:hAnsi="Arial Black"/>
          <w:b/>
          <w:sz w:val="24"/>
          <w:szCs w:val="24"/>
        </w:rPr>
      </w:pPr>
    </w:p>
    <w:p w14:paraId="0CBA9DB3" w14:textId="2D1031EF" w:rsidR="00CD5950" w:rsidRDefault="00CD5950" w:rsidP="00EF1133">
      <w:pPr>
        <w:rPr>
          <w:rFonts w:ascii="Arial Black" w:hAnsi="Arial Black"/>
          <w:b/>
          <w:sz w:val="24"/>
          <w:szCs w:val="24"/>
        </w:rPr>
      </w:pPr>
      <w:r>
        <w:rPr>
          <w:rFonts w:ascii="Arial Black" w:hAnsi="Arial Black"/>
          <w:b/>
          <w:sz w:val="24"/>
          <w:szCs w:val="24"/>
        </w:rPr>
        <w:t>5-20</w:t>
      </w:r>
    </w:p>
    <w:p w14:paraId="0671D53F" w14:textId="77777777" w:rsidR="00CD5950" w:rsidRPr="00781094" w:rsidRDefault="00CD5950" w:rsidP="00CD5950">
      <w:pPr>
        <w:pStyle w:val="NoSpacing"/>
        <w:rPr>
          <w:rFonts w:ascii="Arial Black" w:hAnsi="Arial Black"/>
          <w:sz w:val="28"/>
          <w:szCs w:val="28"/>
        </w:rPr>
      </w:pPr>
      <w:r>
        <w:rPr>
          <w:rFonts w:ascii="Arial Black" w:hAnsi="Arial Black"/>
          <w:sz w:val="28"/>
          <w:szCs w:val="28"/>
        </w:rPr>
        <w:t>MS:  VOL. FF IN ACCIDENT ON CALL – QUALIFIED IMMUNITY WAVED SINCE HIS ATTORNEY DIDN’T RAISE 14 MONTHS</w:t>
      </w:r>
    </w:p>
    <w:p w14:paraId="580E97DE" w14:textId="77777777" w:rsidR="00CD5950" w:rsidRDefault="00CD5950" w:rsidP="00CD595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Feb. 22, 2021, in </w:t>
      </w:r>
      <w:r w:rsidRPr="00781094">
        <w:rPr>
          <w:rFonts w:ascii="Times New Roman" w:eastAsia="Times New Roman" w:hAnsi="Times New Roman"/>
          <w:sz w:val="24"/>
          <w:szCs w:val="24"/>
          <w:u w:val="single"/>
        </w:rPr>
        <w:t>Brenda Cook v. Amos Taylor</w:t>
      </w:r>
      <w:r>
        <w:rPr>
          <w:rFonts w:ascii="Times New Roman" w:eastAsia="Times New Roman" w:hAnsi="Times New Roman"/>
          <w:sz w:val="24"/>
          <w:szCs w:val="24"/>
        </w:rPr>
        <w:t xml:space="preserve">, the Court of Appeals of the State of Mississippi, held (6 to 1) that the trial judge improperly granted summary judgment to the volunteer firefighter, finding that his attorney “waved” the statutory defense by not asserting it in his answer to the complaint, or for 14 months of pre-trial discovery. </w:t>
      </w:r>
    </w:p>
    <w:p w14:paraId="42E51283" w14:textId="77777777" w:rsidR="00CD5950" w:rsidRDefault="00CD5950" w:rsidP="00CD5950">
      <w:pPr>
        <w:pStyle w:val="NormalWeb"/>
        <w:ind w:left="720"/>
      </w:pPr>
      <w:r>
        <w:t>“Under the MTCA [Mississippi Tort Claims Act], a governmental employee is entitled to qualified immunity if, while engaged in ‘activities relating to . . . fire protection,’ he did not act ‘in reckless disregard of the safety and well-being of any person’ while engaged in those activities. Miss. Code Ann. § 11-46-9(1)(c).</w:t>
      </w:r>
      <w:hyperlink r:id="rId961" w:anchor="fr1" w:history="1">
        <w:r>
          <w:rPr>
            <w:rStyle w:val="Hyperlink"/>
            <w:sz w:val="20"/>
            <w:szCs w:val="20"/>
            <w:vertAlign w:val="superscript"/>
          </w:rPr>
          <w:t>1</w:t>
        </w:r>
      </w:hyperlink>
      <w:r>
        <w:t xml:space="preserve"> The MTCA defines ‘employee[s]’ to include ‘firefighters who are members of a volunteer fire department that is a political subdivision,’ Miss. Code Ann. § 11-46-1(f) (Supp. 2017), and it defines ‘political subdivision’ to include a ‘volunteer fire department that is a chartered nonprofit corporation providing emergency services under contract with a county or municipality.’ Miss. Code Ann. § 11-46-1(</w:t>
      </w:r>
      <w:proofErr w:type="spellStart"/>
      <w:r>
        <w:t>i</w:t>
      </w:r>
      <w:proofErr w:type="spellEnd"/>
      <w:r>
        <w:t>).</w:t>
      </w:r>
    </w:p>
    <w:p w14:paraId="690416E3" w14:textId="77777777" w:rsidR="00CD5950" w:rsidRDefault="00CD5950" w:rsidP="00CD5950">
      <w:pPr>
        <w:pStyle w:val="NormalWeb"/>
        <w:ind w:left="720"/>
      </w:pPr>
      <w:r>
        <w:t>***</w:t>
      </w:r>
    </w:p>
    <w:p w14:paraId="5CEEE080" w14:textId="77777777" w:rsidR="00CD5950" w:rsidRPr="00781094" w:rsidRDefault="00CD5950" w:rsidP="00CD5950">
      <w:pPr>
        <w:spacing w:before="100" w:beforeAutospacing="1" w:after="100" w:afterAutospacing="1" w:line="240" w:lineRule="auto"/>
        <w:ind w:left="720"/>
        <w:rPr>
          <w:rFonts w:ascii="Times New Roman" w:eastAsia="Times New Roman" w:hAnsi="Times New Roman"/>
          <w:sz w:val="24"/>
          <w:szCs w:val="24"/>
        </w:rPr>
      </w:pPr>
      <w:r w:rsidRPr="00AB7084">
        <w:rPr>
          <w:rFonts w:ascii="Times New Roman" w:hAnsi="Times New Roman"/>
          <w:sz w:val="24"/>
          <w:szCs w:val="24"/>
        </w:rPr>
        <w:t xml:space="preserve">For the reasons stated, we therefore find that the circuit court abused its discretion by implicitly allowing Taylor to amend his answer when it proceeded to grant Taylor's motion for summary judgment based upon a qualified immunity defense. </w:t>
      </w:r>
      <w:proofErr w:type="gramStart"/>
      <w:r w:rsidRPr="00AB7084">
        <w:rPr>
          <w:rFonts w:ascii="Times New Roman" w:hAnsi="Times New Roman"/>
          <w:sz w:val="24"/>
          <w:szCs w:val="24"/>
        </w:rPr>
        <w:t>We further</w:t>
      </w:r>
      <w:proofErr w:type="gramEnd"/>
      <w:r w:rsidRPr="00AB7084">
        <w:rPr>
          <w:rFonts w:ascii="Times New Roman" w:hAnsi="Times New Roman"/>
          <w:sz w:val="24"/>
          <w:szCs w:val="24"/>
        </w:rPr>
        <w:t xml:space="preserve"> find that Taylor waived his qualified immunity affirmative defense as a matter of law. Accordingly, the circuit court's judgment is reversed, and this case is remanded for further proceedings on Cook's negligence and negligence per se complaint against Taylor.</w:t>
      </w:r>
      <w:r>
        <w:rPr>
          <w:rFonts w:ascii="Times New Roman" w:hAnsi="Times New Roman"/>
          <w:sz w:val="24"/>
          <w:szCs w:val="24"/>
        </w:rPr>
        <w:t xml:space="preserve">” </w:t>
      </w:r>
      <w:hyperlink r:id="rId962" w:history="1">
        <w:r w:rsidRPr="00EA374E">
          <w:rPr>
            <w:rStyle w:val="Hyperlink"/>
            <w:rFonts w:ascii="Times New Roman" w:hAnsi="Times New Roman"/>
            <w:sz w:val="24"/>
            <w:szCs w:val="24"/>
          </w:rPr>
          <w:t>https://law.justia.com/cases/mississippi/court-of-appeals/2021/2019-ca-01406-coa.html</w:t>
        </w:r>
      </w:hyperlink>
      <w:r>
        <w:rPr>
          <w:rFonts w:ascii="Times New Roman" w:hAnsi="Times New Roman"/>
          <w:sz w:val="24"/>
          <w:szCs w:val="24"/>
        </w:rPr>
        <w:t xml:space="preserve"> </w:t>
      </w:r>
    </w:p>
    <w:p w14:paraId="0DE8A90B" w14:textId="4B25262C" w:rsidR="00CD5950" w:rsidRPr="00AB7084" w:rsidRDefault="00CD5950" w:rsidP="00CD5950">
      <w:pPr>
        <w:spacing w:before="100" w:beforeAutospacing="1" w:after="100" w:afterAutospacing="1" w:line="240" w:lineRule="auto"/>
        <w:rPr>
          <w:rFonts w:ascii="Times New Roman" w:eastAsia="Times New Roman" w:hAnsi="Times New Roman"/>
          <w:b/>
          <w:bCs/>
          <w:sz w:val="24"/>
          <w:szCs w:val="24"/>
        </w:rPr>
      </w:pPr>
      <w:bookmarkStart w:id="196" w:name="_Hlk65910959"/>
      <w:r w:rsidRPr="00326FC0">
        <w:rPr>
          <w:rFonts w:ascii="Times New Roman" w:hAnsi="Times New Roman"/>
          <w:b/>
          <w:bCs/>
          <w:sz w:val="24"/>
          <w:szCs w:val="24"/>
        </w:rPr>
        <w:t xml:space="preserve">Legal Lesson Learned:  Qualified immunity is an “affirmative defense” and should normally be asserted early in the litigation process, </w:t>
      </w:r>
      <w:r>
        <w:rPr>
          <w:rFonts w:ascii="Times New Roman" w:hAnsi="Times New Roman"/>
          <w:b/>
          <w:bCs/>
          <w:sz w:val="24"/>
          <w:szCs w:val="24"/>
        </w:rPr>
        <w:t xml:space="preserve">and if lawsuit not dismissed, in many jurisdictions FF can take an immediate appeal. </w:t>
      </w:r>
    </w:p>
    <w:bookmarkEnd w:id="196"/>
    <w:p w14:paraId="358690E8" w14:textId="77777777" w:rsidR="00CD5950" w:rsidRDefault="00CD5950" w:rsidP="00EF1133">
      <w:pPr>
        <w:rPr>
          <w:rFonts w:ascii="Arial Black" w:hAnsi="Arial Black"/>
          <w:b/>
          <w:sz w:val="24"/>
          <w:szCs w:val="24"/>
        </w:rPr>
      </w:pPr>
    </w:p>
    <w:p w14:paraId="3DA01B9B" w14:textId="77777777" w:rsidR="00CD5950" w:rsidRDefault="00CD5950" w:rsidP="00EF1133">
      <w:pPr>
        <w:rPr>
          <w:rFonts w:ascii="Arial Black" w:hAnsi="Arial Black"/>
          <w:b/>
          <w:sz w:val="24"/>
          <w:szCs w:val="24"/>
        </w:rPr>
      </w:pPr>
    </w:p>
    <w:p w14:paraId="0C208D9F" w14:textId="77777777" w:rsidR="00CD5950" w:rsidRDefault="00CD5950" w:rsidP="00EF1133">
      <w:pPr>
        <w:rPr>
          <w:rFonts w:ascii="Arial Black" w:hAnsi="Arial Black"/>
          <w:b/>
          <w:sz w:val="24"/>
          <w:szCs w:val="24"/>
        </w:rPr>
      </w:pPr>
    </w:p>
    <w:p w14:paraId="1205991C" w14:textId="424FD80F" w:rsidR="007D178F" w:rsidRDefault="007D178F" w:rsidP="00EF1133">
      <w:pPr>
        <w:rPr>
          <w:rFonts w:ascii="Arial Black" w:hAnsi="Arial Black"/>
          <w:b/>
          <w:sz w:val="24"/>
          <w:szCs w:val="24"/>
        </w:rPr>
      </w:pPr>
      <w:r>
        <w:rPr>
          <w:rFonts w:ascii="Arial Black" w:hAnsi="Arial Black"/>
          <w:b/>
          <w:sz w:val="24"/>
          <w:szCs w:val="24"/>
        </w:rPr>
        <w:t>5-19</w:t>
      </w:r>
    </w:p>
    <w:p w14:paraId="7970F4F1" w14:textId="77777777" w:rsidR="009E093C" w:rsidRPr="003E79B9" w:rsidRDefault="009E093C" w:rsidP="009E093C">
      <w:pPr>
        <w:pStyle w:val="NoSpacing"/>
        <w:rPr>
          <w:rFonts w:ascii="Arial Black" w:hAnsi="Arial Black"/>
          <w:sz w:val="28"/>
          <w:szCs w:val="28"/>
        </w:rPr>
      </w:pPr>
      <w:r>
        <w:rPr>
          <w:rFonts w:ascii="Arial Black" w:hAnsi="Arial Black"/>
          <w:sz w:val="28"/>
          <w:szCs w:val="28"/>
        </w:rPr>
        <w:lastRenderedPageBreak/>
        <w:t xml:space="preserve">MI: NON-EMERGENCY TRANSPORT – BLACK ICE, AMBULANCE ROLLED OVER DITCH – NO IMMUNITY, NON-EMERGENCY </w:t>
      </w:r>
    </w:p>
    <w:p w14:paraId="490D9070" w14:textId="77777777" w:rsidR="009E093C" w:rsidRDefault="009E093C" w:rsidP="009E093C">
      <w:pPr>
        <w:rPr>
          <w:rFonts w:ascii="Times New Roman" w:hAnsi="Times New Roman"/>
          <w:sz w:val="24"/>
          <w:szCs w:val="24"/>
        </w:rPr>
      </w:pPr>
    </w:p>
    <w:p w14:paraId="1022DADD" w14:textId="3CF61EEF" w:rsidR="009E093C" w:rsidRDefault="009E093C" w:rsidP="009E093C">
      <w:pPr>
        <w:rPr>
          <w:rFonts w:ascii="Times New Roman" w:hAnsi="Times New Roman"/>
          <w:sz w:val="24"/>
          <w:szCs w:val="24"/>
        </w:rPr>
      </w:pPr>
      <w:r>
        <w:rPr>
          <w:rFonts w:ascii="Times New Roman" w:hAnsi="Times New Roman"/>
          <w:sz w:val="24"/>
          <w:szCs w:val="24"/>
        </w:rPr>
        <w:t xml:space="preserve">On Nov. 24, 2020, in </w:t>
      </w:r>
      <w:r w:rsidRPr="003E79B9">
        <w:rPr>
          <w:rFonts w:ascii="Times New Roman" w:hAnsi="Times New Roman"/>
          <w:sz w:val="24"/>
          <w:szCs w:val="24"/>
          <w:u w:val="single"/>
        </w:rPr>
        <w:t>Charles C. Willis v. Community Emergency Medical Service, Inc. and Eric J. Norris</w:t>
      </w:r>
      <w:r>
        <w:rPr>
          <w:rFonts w:ascii="Times New Roman" w:hAnsi="Times New Roman"/>
          <w:sz w:val="24"/>
          <w:szCs w:val="24"/>
        </w:rPr>
        <w:t xml:space="preserve">, the State of Michigan Court of Appeals, held (3 to 0; unpublished decision) that lawsuit against the ambulance company and the EMT driver is reinstated, overturning trial judge’s decision that there were no material facts showing negligence.  The Court of Appeals found that there is a dispute whether EMT was driving too fast for weather conditions, with </w:t>
      </w:r>
      <w:r w:rsidRPr="00BF69CF">
        <w:rPr>
          <w:rFonts w:ascii="Times New Roman" w:hAnsi="Times New Roman"/>
          <w:sz w:val="24"/>
          <w:szCs w:val="24"/>
        </w:rPr>
        <w:t>ice on the ground and a mix of rain, snow, and sleet</w:t>
      </w:r>
      <w:r>
        <w:rPr>
          <w:rFonts w:ascii="Times New Roman" w:hAnsi="Times New Roman"/>
          <w:sz w:val="24"/>
          <w:szCs w:val="24"/>
        </w:rPr>
        <w:t xml:space="preserve">; Court also held the immunity statute for EMS does not apply to non-emergency </w:t>
      </w:r>
      <w:proofErr w:type="gramStart"/>
      <w:r>
        <w:rPr>
          <w:rFonts w:ascii="Times New Roman" w:hAnsi="Times New Roman"/>
          <w:sz w:val="24"/>
          <w:szCs w:val="24"/>
        </w:rPr>
        <w:t>transports</w:t>
      </w:r>
      <w:proofErr w:type="gramEnd"/>
      <w:r>
        <w:rPr>
          <w:rFonts w:ascii="Times New Roman" w:hAnsi="Times New Roman"/>
          <w:sz w:val="24"/>
          <w:szCs w:val="24"/>
        </w:rPr>
        <w:t xml:space="preserve">. </w:t>
      </w:r>
    </w:p>
    <w:p w14:paraId="24330A5B" w14:textId="77777777" w:rsidR="009E093C" w:rsidRDefault="009E093C" w:rsidP="009E093C">
      <w:pPr>
        <w:ind w:left="720"/>
        <w:rPr>
          <w:rFonts w:ascii="Times New Roman" w:hAnsi="Times New Roman"/>
          <w:sz w:val="24"/>
          <w:szCs w:val="24"/>
        </w:rPr>
      </w:pPr>
      <w:r>
        <w:rPr>
          <w:rFonts w:ascii="Times New Roman" w:hAnsi="Times New Roman"/>
          <w:sz w:val="24"/>
          <w:szCs w:val="24"/>
        </w:rPr>
        <w:t>“[W]</w:t>
      </w:r>
      <w:r w:rsidRPr="003B03E6">
        <w:rPr>
          <w:rFonts w:ascii="Times New Roman" w:hAnsi="Times New Roman"/>
          <w:sz w:val="24"/>
          <w:szCs w:val="24"/>
        </w:rPr>
        <w:t>e conclude that the trial court erred in granting defendants' motion for summary disposition pursuant to MCR 2.116(C)(10). Specifically, the trial court erred by failing to view the evidence in the light most favorable to plaintiff and to draw all reasonable inferences in his favor, and by weighing credibility. Plaintiff may not be able to establish his claim for negligence ultimately, but he has at least raised a genuine issue of material fact regarding whether the accident at issue occurred because Norris was negligent by driving too fast for the weather conditions. Accordingly, we reverse that portion of the trial court's order granting defendants' motion for summary disposition pursuant to MCR 2.116(C)(10).</w:t>
      </w:r>
      <w:r>
        <w:rPr>
          <w:rFonts w:ascii="Times New Roman" w:hAnsi="Times New Roman"/>
          <w:sz w:val="24"/>
          <w:szCs w:val="24"/>
        </w:rPr>
        <w:t xml:space="preserve">” </w:t>
      </w:r>
      <w:hyperlink r:id="rId963" w:history="1">
        <w:r w:rsidRPr="00D35A04">
          <w:rPr>
            <w:rStyle w:val="Hyperlink"/>
            <w:rFonts w:ascii="Times New Roman" w:hAnsi="Times New Roman"/>
            <w:sz w:val="24"/>
            <w:szCs w:val="24"/>
          </w:rPr>
          <w:t>https://law.justia.com/cases/michigan/court-of-appeals-unpublished/2020/351871.html</w:t>
        </w:r>
      </w:hyperlink>
      <w:r>
        <w:rPr>
          <w:rFonts w:ascii="Times New Roman" w:hAnsi="Times New Roman"/>
          <w:sz w:val="24"/>
          <w:szCs w:val="24"/>
        </w:rPr>
        <w:t xml:space="preserve"> </w:t>
      </w:r>
    </w:p>
    <w:p w14:paraId="2B4B66AE" w14:textId="77777777" w:rsidR="009E093C" w:rsidRPr="003404A7" w:rsidRDefault="009E093C" w:rsidP="009E093C">
      <w:pPr>
        <w:pStyle w:val="NoSpacing"/>
        <w:rPr>
          <w:rFonts w:ascii="Times New Roman" w:hAnsi="Times New Roman"/>
          <w:b/>
          <w:bCs/>
          <w:sz w:val="24"/>
          <w:szCs w:val="24"/>
        </w:rPr>
      </w:pPr>
      <w:r w:rsidRPr="003404A7">
        <w:rPr>
          <w:rFonts w:ascii="Times New Roman" w:hAnsi="Times New Roman"/>
          <w:b/>
          <w:bCs/>
          <w:sz w:val="24"/>
          <w:szCs w:val="24"/>
        </w:rPr>
        <w:t>Legal Lesson Learned:</w:t>
      </w:r>
      <w:r>
        <w:rPr>
          <w:rFonts w:ascii="Times New Roman" w:hAnsi="Times New Roman"/>
          <w:b/>
          <w:bCs/>
          <w:sz w:val="24"/>
          <w:szCs w:val="24"/>
        </w:rPr>
        <w:t xml:space="preserve"> The state’s immunity statute protects EMS only for “treatment” of a patient. </w:t>
      </w:r>
    </w:p>
    <w:p w14:paraId="4DCAD598" w14:textId="77777777" w:rsidR="009E093C" w:rsidRDefault="009E093C" w:rsidP="00EF1133">
      <w:pPr>
        <w:rPr>
          <w:rFonts w:ascii="Arial Black" w:hAnsi="Arial Black"/>
          <w:b/>
          <w:sz w:val="24"/>
          <w:szCs w:val="24"/>
        </w:rPr>
      </w:pPr>
    </w:p>
    <w:p w14:paraId="61AF6354" w14:textId="77777777" w:rsidR="007D178F" w:rsidRDefault="007D178F" w:rsidP="00EF1133">
      <w:pPr>
        <w:rPr>
          <w:rFonts w:ascii="Arial Black" w:hAnsi="Arial Black"/>
          <w:b/>
          <w:sz w:val="24"/>
          <w:szCs w:val="24"/>
        </w:rPr>
      </w:pPr>
    </w:p>
    <w:p w14:paraId="6E55ED21" w14:textId="7BCF7B05" w:rsidR="007D178F" w:rsidRDefault="007D178F" w:rsidP="00EF1133">
      <w:pPr>
        <w:rPr>
          <w:rFonts w:ascii="Arial Black" w:hAnsi="Arial Black"/>
          <w:b/>
          <w:sz w:val="24"/>
          <w:szCs w:val="24"/>
        </w:rPr>
      </w:pPr>
      <w:r>
        <w:rPr>
          <w:rFonts w:ascii="Arial Black" w:hAnsi="Arial Black"/>
          <w:b/>
          <w:sz w:val="24"/>
          <w:szCs w:val="24"/>
        </w:rPr>
        <w:t>5-18</w:t>
      </w:r>
    </w:p>
    <w:p w14:paraId="3ED15AF1" w14:textId="77777777" w:rsidR="007D178F" w:rsidRDefault="007D178F" w:rsidP="007D178F">
      <w:pPr>
        <w:pStyle w:val="NoSpacing"/>
        <w:rPr>
          <w:rFonts w:ascii="Arial Black" w:hAnsi="Arial Black"/>
          <w:sz w:val="28"/>
          <w:szCs w:val="28"/>
        </w:rPr>
      </w:pPr>
      <w:bookmarkStart w:id="197" w:name="_Hlk66946467"/>
      <w:r>
        <w:rPr>
          <w:rFonts w:ascii="Arial Black" w:hAnsi="Arial Black"/>
          <w:sz w:val="28"/>
          <w:szCs w:val="28"/>
        </w:rPr>
        <w:t>TX: AMBULANCE LEFT RUNNING AT SCENE – STOLEN, INJURED MOTORISTS – ANTI-THEFT DEVICE NOT REQUIRED – NO CASE</w:t>
      </w:r>
    </w:p>
    <w:p w14:paraId="009AB070" w14:textId="77777777" w:rsidR="007D178F" w:rsidRDefault="007D178F" w:rsidP="007D178F">
      <w:pPr>
        <w:pStyle w:val="NoSpacing"/>
        <w:rPr>
          <w:rFonts w:ascii="Arial Black" w:hAnsi="Arial Black"/>
          <w:sz w:val="28"/>
          <w:szCs w:val="28"/>
        </w:rPr>
      </w:pPr>
    </w:p>
    <w:p w14:paraId="496F66D8" w14:textId="77777777" w:rsidR="007D178F" w:rsidRDefault="007D178F" w:rsidP="007D178F">
      <w:pPr>
        <w:rPr>
          <w:rFonts w:ascii="Times New Roman" w:hAnsi="Times New Roman"/>
          <w:sz w:val="24"/>
          <w:szCs w:val="24"/>
        </w:rPr>
      </w:pPr>
      <w:r>
        <w:rPr>
          <w:rFonts w:ascii="Times New Roman" w:hAnsi="Times New Roman"/>
          <w:sz w:val="24"/>
          <w:szCs w:val="24"/>
        </w:rPr>
        <w:t xml:space="preserve">On Nov. 25, 2020, in </w:t>
      </w:r>
      <w:r w:rsidRPr="007F700A">
        <w:rPr>
          <w:rFonts w:ascii="Times New Roman" w:hAnsi="Times New Roman"/>
          <w:sz w:val="24"/>
          <w:szCs w:val="24"/>
          <w:u w:val="single"/>
        </w:rPr>
        <w:t>The City of San Antonio v. Suzanne L. Smith and Claudia Acevedo</w:t>
      </w:r>
      <w:r>
        <w:rPr>
          <w:rFonts w:ascii="Times New Roman" w:hAnsi="Times New Roman"/>
          <w:sz w:val="24"/>
          <w:szCs w:val="24"/>
        </w:rPr>
        <w:t xml:space="preserve">, the Fourth Court of Appeals, San Antonio held (3 to 0) that the trial court should have dismissed the lawsuit against the City; while an anti-theft device may be helpful when leaving an ambulance running at 3 am, the City enjoys government immunity.  The plaintiffs </w:t>
      </w:r>
      <w:proofErr w:type="gramStart"/>
      <w:r>
        <w:rPr>
          <w:rFonts w:ascii="Times New Roman" w:hAnsi="Times New Roman"/>
          <w:sz w:val="24"/>
          <w:szCs w:val="24"/>
        </w:rPr>
        <w:t>had included</w:t>
      </w:r>
      <w:proofErr w:type="gramEnd"/>
      <w:r>
        <w:rPr>
          <w:rFonts w:ascii="Times New Roman" w:hAnsi="Times New Roman"/>
          <w:sz w:val="24"/>
          <w:szCs w:val="24"/>
        </w:rPr>
        <w:t xml:space="preserve"> </w:t>
      </w:r>
      <w:r w:rsidRPr="00950AE6">
        <w:rPr>
          <w:rFonts w:ascii="Times New Roman" w:hAnsi="Times New Roman"/>
          <w:sz w:val="24"/>
          <w:szCs w:val="24"/>
        </w:rPr>
        <w:t>an affidavit from Robyn McKinley, a firefighter and paramedic in Memphis, Tennessee, who specifically advocated for the use of an anti-theft device manufactured by a company called Tremco. This device apparently is designed to make it difficult to put a vehicle into gear even though the vehicle has been left running.</w:t>
      </w:r>
      <w:r>
        <w:rPr>
          <w:rFonts w:ascii="Times New Roman" w:hAnsi="Times New Roman"/>
          <w:sz w:val="24"/>
          <w:szCs w:val="24"/>
        </w:rPr>
        <w:t>”</w:t>
      </w:r>
    </w:p>
    <w:bookmarkEnd w:id="197"/>
    <w:p w14:paraId="51C9421D"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r w:rsidRPr="001C3116">
        <w:rPr>
          <w:rFonts w:ascii="Times New Roman" w:hAnsi="Times New Roman"/>
          <w:sz w:val="24"/>
          <w:szCs w:val="24"/>
        </w:rPr>
        <w:t xml:space="preserve">In the present case, Appellees allege that the ambulance was not equipped with a specific anti-theft device that may have prevented it from being stolen even though it was left running. They argue that the City thus used or provided property (the ambulance) that lacked an integral safety feature (a particular anti-theft device), thus bringing their claims within the "use or condition of personal property" waiver pursuant to </w:t>
      </w:r>
      <w:r w:rsidRPr="001C3116">
        <w:rPr>
          <w:rFonts w:ascii="Times New Roman" w:hAnsi="Times New Roman"/>
          <w:i/>
          <w:iCs/>
          <w:sz w:val="24"/>
          <w:szCs w:val="24"/>
        </w:rPr>
        <w:t>Lowe</w:t>
      </w:r>
      <w:r w:rsidRPr="001C3116">
        <w:rPr>
          <w:rFonts w:ascii="Times New Roman" w:hAnsi="Times New Roman"/>
          <w:sz w:val="24"/>
          <w:szCs w:val="24"/>
        </w:rPr>
        <w:t xml:space="preserve"> and </w:t>
      </w:r>
      <w:r w:rsidRPr="001C3116">
        <w:rPr>
          <w:rFonts w:ascii="Times New Roman" w:hAnsi="Times New Roman"/>
          <w:i/>
          <w:iCs/>
          <w:sz w:val="24"/>
          <w:szCs w:val="24"/>
        </w:rPr>
        <w:t>Robinson</w:t>
      </w:r>
      <w:r w:rsidRPr="001C3116">
        <w:rPr>
          <w:rFonts w:ascii="Times New Roman" w:hAnsi="Times New Roman"/>
          <w:sz w:val="24"/>
          <w:szCs w:val="24"/>
        </w:rPr>
        <w:t xml:space="preserve">. The </w:t>
      </w:r>
      <w:proofErr w:type="gramStart"/>
      <w:r w:rsidRPr="001C3116">
        <w:rPr>
          <w:rFonts w:ascii="Times New Roman" w:hAnsi="Times New Roman"/>
          <w:sz w:val="24"/>
          <w:szCs w:val="24"/>
        </w:rPr>
        <w:t>City</w:t>
      </w:r>
      <w:proofErr w:type="gramEnd"/>
      <w:r w:rsidRPr="001C3116">
        <w:rPr>
          <w:rFonts w:ascii="Times New Roman" w:hAnsi="Times New Roman"/>
          <w:sz w:val="24"/>
          <w:szCs w:val="24"/>
        </w:rPr>
        <w:t xml:space="preserve"> counters that Appellees' claims do not fall within that waiver because the ambulance </w:t>
      </w:r>
      <w:r w:rsidRPr="001C3116">
        <w:rPr>
          <w:rFonts w:ascii="Times New Roman" w:hAnsi="Times New Roman"/>
          <w:i/>
          <w:iCs/>
          <w:sz w:val="24"/>
          <w:szCs w:val="24"/>
        </w:rPr>
        <w:t>was</w:t>
      </w:r>
      <w:r w:rsidRPr="001C3116">
        <w:rPr>
          <w:rFonts w:ascii="Times New Roman" w:hAnsi="Times New Roman"/>
          <w:sz w:val="24"/>
          <w:szCs w:val="24"/>
        </w:rPr>
        <w:t xml:space="preserve"> equipped with anti-theft devices—door locks and an alarm—and Appellees' contention that it should also have been equipped with a different device is not cognizable under the integral safety component theory. </w:t>
      </w:r>
      <w:r w:rsidRPr="001C3116">
        <w:rPr>
          <w:rFonts w:ascii="Times New Roman" w:hAnsi="Times New Roman"/>
          <w:i/>
          <w:iCs/>
          <w:sz w:val="24"/>
          <w:szCs w:val="24"/>
        </w:rPr>
        <w:t>See Bishop</w:t>
      </w:r>
      <w:r w:rsidRPr="001C3116">
        <w:rPr>
          <w:rFonts w:ascii="Times New Roman" w:hAnsi="Times New Roman"/>
          <w:sz w:val="24"/>
          <w:szCs w:val="24"/>
        </w:rPr>
        <w:t xml:space="preserve">, 156 S.W.3d at 584 (theory applies "only when an integral safety component is entirely lacking rather than merely inadequate"). We agree with the </w:t>
      </w:r>
      <w:proofErr w:type="gramStart"/>
      <w:r w:rsidRPr="001C3116">
        <w:rPr>
          <w:rFonts w:ascii="Times New Roman" w:hAnsi="Times New Roman"/>
          <w:sz w:val="24"/>
          <w:szCs w:val="24"/>
        </w:rPr>
        <w:t>City</w:t>
      </w:r>
      <w:proofErr w:type="gramEnd"/>
      <w:r w:rsidRPr="001C3116">
        <w:rPr>
          <w:rFonts w:ascii="Times New Roman" w:hAnsi="Times New Roman"/>
          <w:sz w:val="24"/>
          <w:szCs w:val="24"/>
        </w:rPr>
        <w:t>.</w:t>
      </w:r>
    </w:p>
    <w:p w14:paraId="30FA2914" w14:textId="77777777" w:rsidR="007D178F" w:rsidRDefault="007D178F" w:rsidP="007D178F">
      <w:pPr>
        <w:pStyle w:val="NoSpacing"/>
        <w:ind w:left="720"/>
        <w:rPr>
          <w:rFonts w:ascii="Times New Roman" w:hAnsi="Times New Roman"/>
          <w:sz w:val="24"/>
          <w:szCs w:val="24"/>
        </w:rPr>
      </w:pPr>
    </w:p>
    <w:p w14:paraId="0806B63E"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p>
    <w:p w14:paraId="048A1110" w14:textId="77777777" w:rsidR="007D178F" w:rsidRDefault="007D178F" w:rsidP="007D178F">
      <w:pPr>
        <w:pStyle w:val="NoSpacing"/>
        <w:ind w:left="720"/>
        <w:rPr>
          <w:rFonts w:ascii="Times New Roman" w:hAnsi="Times New Roman"/>
          <w:sz w:val="24"/>
          <w:szCs w:val="24"/>
        </w:rPr>
      </w:pPr>
    </w:p>
    <w:p w14:paraId="3FBD508E" w14:textId="77777777" w:rsidR="007D178F" w:rsidRDefault="007D178F" w:rsidP="007D178F">
      <w:pPr>
        <w:pStyle w:val="NoSpacing"/>
        <w:ind w:left="720"/>
        <w:rPr>
          <w:rFonts w:ascii="Times New Roman" w:hAnsi="Times New Roman"/>
          <w:sz w:val="24"/>
          <w:szCs w:val="24"/>
        </w:rPr>
      </w:pPr>
      <w:r w:rsidRPr="001C3116">
        <w:rPr>
          <w:rFonts w:ascii="Times New Roman" w:eastAsia="Times New Roman" w:hAnsi="Times New Roman"/>
          <w:sz w:val="24"/>
          <w:szCs w:val="24"/>
        </w:rPr>
        <w:t xml:space="preserve">[Footnote 3.]  </w:t>
      </w:r>
      <w:r w:rsidRPr="001C3116">
        <w:rPr>
          <w:rFonts w:ascii="Times New Roman" w:hAnsi="Times New Roman"/>
          <w:sz w:val="24"/>
          <w:szCs w:val="24"/>
        </w:rPr>
        <w:t xml:space="preserve">Insofar as Appellees challenge the City's decision not to equip its ambulances with the </w:t>
      </w:r>
      <w:proofErr w:type="gramStart"/>
      <w:r w:rsidRPr="001C3116">
        <w:rPr>
          <w:rFonts w:ascii="Times New Roman" w:hAnsi="Times New Roman"/>
          <w:sz w:val="24"/>
          <w:szCs w:val="24"/>
        </w:rPr>
        <w:t>particular anti-</w:t>
      </w:r>
      <w:proofErr w:type="gramEnd"/>
      <w:r w:rsidRPr="001C3116">
        <w:rPr>
          <w:rFonts w:ascii="Times New Roman" w:hAnsi="Times New Roman"/>
          <w:sz w:val="24"/>
          <w:szCs w:val="24"/>
        </w:rPr>
        <w:t xml:space="preserve">theft device they favor, which they contend is a safety feature, we note that </w:t>
      </w:r>
      <w:r>
        <w:rPr>
          <w:rFonts w:ascii="Times New Roman" w:hAnsi="Times New Roman"/>
          <w:sz w:val="24"/>
          <w:szCs w:val="24"/>
        </w:rPr>
        <w:t>‘</w:t>
      </w:r>
      <w:r w:rsidRPr="001C3116">
        <w:rPr>
          <w:rFonts w:ascii="Times New Roman" w:hAnsi="Times New Roman"/>
          <w:sz w:val="24"/>
          <w:szCs w:val="24"/>
        </w:rPr>
        <w:t>decisions about installing safety features are discretionary decisions for which the [City] may not be sued.</w:t>
      </w:r>
      <w:r>
        <w:rPr>
          <w:rFonts w:ascii="Times New Roman" w:hAnsi="Times New Roman"/>
          <w:sz w:val="24"/>
          <w:szCs w:val="24"/>
        </w:rPr>
        <w:t>’</w:t>
      </w:r>
      <w:r w:rsidRPr="001C3116">
        <w:rPr>
          <w:rFonts w:ascii="Times New Roman" w:hAnsi="Times New Roman"/>
          <w:sz w:val="24"/>
          <w:szCs w:val="24"/>
        </w:rPr>
        <w:t xml:space="preserve"> </w:t>
      </w:r>
      <w:r w:rsidRPr="001C3116">
        <w:rPr>
          <w:rFonts w:ascii="Times New Roman" w:hAnsi="Times New Roman"/>
          <w:i/>
          <w:iCs/>
          <w:sz w:val="24"/>
          <w:szCs w:val="24"/>
        </w:rPr>
        <w:t>Tex</w:t>
      </w:r>
      <w:r w:rsidRPr="001C3116">
        <w:rPr>
          <w:rFonts w:ascii="Times New Roman" w:hAnsi="Times New Roman"/>
          <w:sz w:val="24"/>
          <w:szCs w:val="24"/>
        </w:rPr>
        <w:t xml:space="preserve">. </w:t>
      </w:r>
      <w:proofErr w:type="spellStart"/>
      <w:r w:rsidRPr="001C3116">
        <w:rPr>
          <w:rFonts w:ascii="Times New Roman" w:hAnsi="Times New Roman"/>
          <w:i/>
          <w:iCs/>
          <w:sz w:val="24"/>
          <w:szCs w:val="24"/>
        </w:rPr>
        <w:t>Dep't</w:t>
      </w:r>
      <w:proofErr w:type="spellEnd"/>
      <w:r w:rsidRPr="001C3116">
        <w:rPr>
          <w:rFonts w:ascii="Times New Roman" w:hAnsi="Times New Roman"/>
          <w:i/>
          <w:iCs/>
          <w:sz w:val="24"/>
          <w:szCs w:val="24"/>
        </w:rPr>
        <w:t xml:space="preserve"> of Transp</w:t>
      </w:r>
      <w:r w:rsidRPr="001C3116">
        <w:rPr>
          <w:rFonts w:ascii="Times New Roman" w:hAnsi="Times New Roman"/>
          <w:sz w:val="24"/>
          <w:szCs w:val="24"/>
        </w:rPr>
        <w:t xml:space="preserve">. </w:t>
      </w:r>
      <w:r w:rsidRPr="001C3116">
        <w:rPr>
          <w:rFonts w:ascii="Times New Roman" w:hAnsi="Times New Roman"/>
          <w:i/>
          <w:iCs/>
          <w:sz w:val="24"/>
          <w:szCs w:val="24"/>
        </w:rPr>
        <w:t>v</w:t>
      </w:r>
      <w:r w:rsidRPr="001C3116">
        <w:rPr>
          <w:rFonts w:ascii="Times New Roman" w:hAnsi="Times New Roman"/>
          <w:sz w:val="24"/>
          <w:szCs w:val="24"/>
        </w:rPr>
        <w:t xml:space="preserve">. </w:t>
      </w:r>
      <w:r w:rsidRPr="001C3116">
        <w:rPr>
          <w:rFonts w:ascii="Times New Roman" w:hAnsi="Times New Roman"/>
          <w:i/>
          <w:iCs/>
          <w:sz w:val="24"/>
          <w:szCs w:val="24"/>
        </w:rPr>
        <w:t>Ramirez</w:t>
      </w:r>
      <w:r w:rsidRPr="001C3116">
        <w:rPr>
          <w:rFonts w:ascii="Times New Roman" w:hAnsi="Times New Roman"/>
          <w:sz w:val="24"/>
          <w:szCs w:val="24"/>
        </w:rPr>
        <w:t>, 74 S.W.3d 864, 867 (Tex. 2002).</w:t>
      </w:r>
      <w:r>
        <w:rPr>
          <w:rFonts w:ascii="Times New Roman" w:hAnsi="Times New Roman"/>
          <w:sz w:val="24"/>
          <w:szCs w:val="24"/>
        </w:rPr>
        <w:t xml:space="preserve">” </w:t>
      </w:r>
      <w:bookmarkStart w:id="198" w:name="_Hlk66946499"/>
      <w:r w:rsidR="00F00958">
        <w:fldChar w:fldCharType="begin"/>
      </w:r>
      <w:r w:rsidR="00F00958">
        <w:instrText xml:space="preserve"> HYPERLINK "https://law.justia.com/cases/texas/fourth-court-of-appeals/2020/04-20-00077-cv.html" </w:instrText>
      </w:r>
      <w:r w:rsidR="00F00958">
        <w:fldChar w:fldCharType="separate"/>
      </w:r>
      <w:r w:rsidRPr="00695F3D">
        <w:rPr>
          <w:rStyle w:val="Hyperlink"/>
          <w:rFonts w:ascii="Times New Roman" w:hAnsi="Times New Roman"/>
          <w:sz w:val="24"/>
          <w:szCs w:val="24"/>
        </w:rPr>
        <w:t>https://law.justia.com/cases/texas/fourth-court-of-appeals/2020/04-20-00077-cv.html</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269F0D63" w14:textId="7BF43612" w:rsidR="007D178F" w:rsidRDefault="007D178F" w:rsidP="00EF1133">
      <w:pPr>
        <w:rPr>
          <w:rFonts w:ascii="Arial Black" w:hAnsi="Arial Black"/>
          <w:b/>
          <w:sz w:val="24"/>
          <w:szCs w:val="24"/>
        </w:rPr>
      </w:pPr>
    </w:p>
    <w:p w14:paraId="2AA9546F" w14:textId="77777777" w:rsidR="007D178F" w:rsidRPr="001C3116" w:rsidRDefault="007D178F" w:rsidP="007D178F">
      <w:pPr>
        <w:spacing w:before="100" w:beforeAutospacing="1" w:after="100" w:afterAutospacing="1" w:line="240" w:lineRule="auto"/>
        <w:rPr>
          <w:rFonts w:ascii="Times New Roman" w:eastAsia="Times New Roman" w:hAnsi="Times New Roman"/>
          <w:b/>
          <w:bCs/>
          <w:sz w:val="24"/>
          <w:szCs w:val="24"/>
        </w:rPr>
      </w:pPr>
      <w:r w:rsidRPr="00950AE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Theft of ambulances left running at the scene are increasingly common; if possible, lock the doors and take a second set of keys. </w:t>
      </w:r>
    </w:p>
    <w:p w14:paraId="3D18E7D0" w14:textId="77777777" w:rsidR="007D178F" w:rsidRDefault="007D178F" w:rsidP="007D178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Plaintiff’s expert suggested Tremco anti-theft device. See their ad: </w:t>
      </w:r>
      <w:hyperlink r:id="rId964" w:history="1">
        <w:r w:rsidRPr="00695F3D">
          <w:rPr>
            <w:rStyle w:val="Hyperlink"/>
            <w:rFonts w:ascii="Times New Roman" w:hAnsi="Times New Roman"/>
            <w:sz w:val="24"/>
            <w:szCs w:val="24"/>
          </w:rPr>
          <w:t>https://www.tremcopoliceproducts.com/</w:t>
        </w:r>
      </w:hyperlink>
      <w:r>
        <w:rPr>
          <w:rFonts w:ascii="Times New Roman" w:eastAsia="Times New Roman" w:hAnsi="Times New Roman"/>
          <w:sz w:val="24"/>
          <w:szCs w:val="24"/>
        </w:rPr>
        <w:t xml:space="preserve"> </w:t>
      </w:r>
    </w:p>
    <w:p w14:paraId="7F81E6F5"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Vehicles Can Be Left Unattended While Running</w:t>
      </w:r>
    </w:p>
    <w:p w14:paraId="35864163"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Allows Emergency Lighting &amp; Other Electronics to Operate</w:t>
      </w:r>
    </w:p>
    <w:p w14:paraId="7A873A85"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 xml:space="preserve">Provides More Security at The Scene </w:t>
      </w:r>
      <w:proofErr w:type="gramStart"/>
      <w:r w:rsidRPr="00950AE6">
        <w:rPr>
          <w:rFonts w:ascii="Times New Roman" w:eastAsia="Times New Roman" w:hAnsi="Times New Roman"/>
          <w:sz w:val="24"/>
          <w:szCs w:val="24"/>
        </w:rPr>
        <w:t>Of</w:t>
      </w:r>
      <w:proofErr w:type="gramEnd"/>
      <w:r w:rsidRPr="00950AE6">
        <w:rPr>
          <w:rFonts w:ascii="Times New Roman" w:eastAsia="Times New Roman" w:hAnsi="Times New Roman"/>
          <w:sz w:val="24"/>
          <w:szCs w:val="24"/>
        </w:rPr>
        <w:t xml:space="preserve"> </w:t>
      </w:r>
      <w:proofErr w:type="gramStart"/>
      <w:r w:rsidRPr="00950AE6">
        <w:rPr>
          <w:rFonts w:ascii="Times New Roman" w:eastAsia="Times New Roman" w:hAnsi="Times New Roman"/>
          <w:sz w:val="24"/>
          <w:szCs w:val="24"/>
        </w:rPr>
        <w:t>An</w:t>
      </w:r>
      <w:proofErr w:type="gramEnd"/>
      <w:r w:rsidRPr="00950AE6">
        <w:rPr>
          <w:rFonts w:ascii="Times New Roman" w:eastAsia="Times New Roman" w:hAnsi="Times New Roman"/>
          <w:sz w:val="24"/>
          <w:szCs w:val="24"/>
        </w:rPr>
        <w:t xml:space="preserve"> Accident</w:t>
      </w:r>
    </w:p>
    <w:p w14:paraId="30DCEC11"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Inexpensive &amp; Easy to Install – Plug N Play</w:t>
      </w:r>
      <w:r>
        <w:rPr>
          <w:rFonts w:ascii="Times New Roman" w:eastAsia="Times New Roman" w:hAnsi="Times New Roman"/>
          <w:sz w:val="24"/>
          <w:szCs w:val="24"/>
        </w:rPr>
        <w:t>.</w:t>
      </w:r>
    </w:p>
    <w:bookmarkEnd w:id="198"/>
    <w:p w14:paraId="7BA52E9F" w14:textId="77777777" w:rsidR="007D178F" w:rsidRDefault="007D178F" w:rsidP="00EF1133">
      <w:pPr>
        <w:rPr>
          <w:rFonts w:ascii="Arial Black" w:hAnsi="Arial Black"/>
          <w:b/>
          <w:sz w:val="24"/>
          <w:szCs w:val="24"/>
        </w:rPr>
      </w:pPr>
    </w:p>
    <w:p w14:paraId="4960E410" w14:textId="7176F516" w:rsidR="00557CA2" w:rsidRDefault="00557CA2" w:rsidP="00EF1133">
      <w:pPr>
        <w:rPr>
          <w:rFonts w:ascii="Arial Black" w:hAnsi="Arial Black"/>
          <w:b/>
          <w:sz w:val="24"/>
          <w:szCs w:val="24"/>
        </w:rPr>
      </w:pPr>
      <w:r>
        <w:rPr>
          <w:rFonts w:ascii="Arial Black" w:hAnsi="Arial Black"/>
          <w:b/>
          <w:sz w:val="24"/>
          <w:szCs w:val="24"/>
        </w:rPr>
        <w:t>5-17</w:t>
      </w:r>
    </w:p>
    <w:p w14:paraId="06DC5D93" w14:textId="77777777" w:rsidR="00557CA2" w:rsidRDefault="00557CA2" w:rsidP="00557CA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VOL. FF IN MVA – CROSSED AGAINST RED LIGHT- NO SIREN, ONLY EMER. LIGHT - 40% LIABLE – JURY $20,000</w:t>
      </w:r>
    </w:p>
    <w:p w14:paraId="4EFE939D" w14:textId="77777777" w:rsidR="00557CA2" w:rsidRDefault="00557CA2" w:rsidP="00557CA2">
      <w:pPr>
        <w:tabs>
          <w:tab w:val="left" w:pos="6680"/>
        </w:tabs>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19, 2020, in </w:t>
      </w:r>
      <w:r>
        <w:rPr>
          <w:rFonts w:ascii="Times New Roman" w:eastAsia="Times New Roman" w:hAnsi="Times New Roman"/>
          <w:sz w:val="24"/>
          <w:szCs w:val="24"/>
          <w:u w:val="single"/>
        </w:rPr>
        <w:t>Jeffrey K. Schleger v. Michael F. Jurcsak</w:t>
      </w:r>
      <w:r>
        <w:rPr>
          <w:rFonts w:ascii="Times New Roman" w:eastAsia="Times New Roman" w:hAnsi="Times New Roman"/>
          <w:sz w:val="24"/>
          <w:szCs w:val="24"/>
        </w:rPr>
        <w:t xml:space="preserve">, the Supreme Court of the State of New York, Appellate Division (Second Judicial Department) upheld (3 to 0) the jury’s verdict, finding plaintiff 60% liable and only awarding him $20,000 in damages. </w:t>
      </w:r>
    </w:p>
    <w:p w14:paraId="1771C541" w14:textId="77777777" w:rsidR="00557CA2" w:rsidRDefault="00557CA2" w:rsidP="00557CA2">
      <w:pPr>
        <w:tabs>
          <w:tab w:val="left" w:pos="6680"/>
        </w:tabs>
        <w:spacing w:before="100" w:beforeAutospacing="1" w:after="100" w:afterAutospacing="1" w:line="240" w:lineRule="auto"/>
        <w:ind w:left="540"/>
        <w:rPr>
          <w:rFonts w:ascii="Times New Roman" w:eastAsia="Times New Roman" w:hAnsi="Times New Roman"/>
          <w:sz w:val="24"/>
          <w:szCs w:val="24"/>
        </w:rPr>
      </w:pPr>
      <w:r>
        <w:rPr>
          <w:rFonts w:ascii="Times New Roman" w:hAnsi="Times New Roman"/>
          <w:sz w:val="24"/>
          <w:szCs w:val="24"/>
        </w:rPr>
        <w:t>“Issues of credibility are for the jury, which had the opportunity to observe the witnesses and the evidence,' and its credibility determination is entitled to deference" (</w:t>
      </w:r>
      <w:r>
        <w:rPr>
          <w:rFonts w:ascii="Times New Roman" w:hAnsi="Times New Roman"/>
          <w:i/>
          <w:iCs/>
          <w:sz w:val="24"/>
          <w:szCs w:val="24"/>
        </w:rPr>
        <w:t>id</w:t>
      </w:r>
      <w:r>
        <w:rPr>
          <w:rFonts w:ascii="Times New Roman" w:hAnsi="Times New Roman"/>
          <w:sz w:val="24"/>
          <w:szCs w:val="24"/>
        </w:rPr>
        <w:t xml:space="preserve">., quoting </w:t>
      </w:r>
      <w:r>
        <w:rPr>
          <w:rFonts w:ascii="Times New Roman" w:hAnsi="Times New Roman"/>
          <w:i/>
          <w:iCs/>
          <w:sz w:val="24"/>
          <w:szCs w:val="24"/>
        </w:rPr>
        <w:t>Aronov v Kanarek</w:t>
      </w:r>
      <w:r>
        <w:rPr>
          <w:rFonts w:ascii="Times New Roman" w:hAnsi="Times New Roman"/>
          <w:sz w:val="24"/>
          <w:szCs w:val="24"/>
        </w:rPr>
        <w:t>, 166 AD3d 574, 575 [internal quotation marks omitted]). Contrary to the plaintiff's contention, the jury's verdict on the issue of liability finding that the plaintiff was negligent and 60% at fault in the happening of the accident was not contrary to the weight of the evidence because a fair interpretation of the evidence supports the verdict (</w:t>
      </w:r>
      <w:r>
        <w:rPr>
          <w:rFonts w:ascii="Times New Roman" w:hAnsi="Times New Roman"/>
          <w:i/>
          <w:iCs/>
          <w:sz w:val="24"/>
          <w:szCs w:val="24"/>
        </w:rPr>
        <w:t xml:space="preserve">see </w:t>
      </w:r>
      <w:proofErr w:type="spellStart"/>
      <w:r>
        <w:rPr>
          <w:rFonts w:ascii="Times New Roman" w:hAnsi="Times New Roman"/>
          <w:i/>
          <w:iCs/>
          <w:sz w:val="24"/>
          <w:szCs w:val="24"/>
        </w:rPr>
        <w:t>Khaydarov</w:t>
      </w:r>
      <w:proofErr w:type="spellEnd"/>
      <w:r>
        <w:rPr>
          <w:rFonts w:ascii="Times New Roman" w:hAnsi="Times New Roman"/>
          <w:i/>
          <w:iCs/>
          <w:sz w:val="24"/>
          <w:szCs w:val="24"/>
        </w:rPr>
        <w:t xml:space="preserve"> v AK1 Group</w:t>
      </w:r>
      <w:r>
        <w:rPr>
          <w:rFonts w:ascii="Times New Roman" w:hAnsi="Times New Roman"/>
          <w:sz w:val="24"/>
          <w:szCs w:val="24"/>
        </w:rPr>
        <w:t xml:space="preserve">, </w:t>
      </w:r>
      <w:r>
        <w:rPr>
          <w:rFonts w:ascii="Times New Roman" w:hAnsi="Times New Roman"/>
          <w:i/>
          <w:iCs/>
          <w:sz w:val="24"/>
          <w:szCs w:val="24"/>
        </w:rPr>
        <w:t>Inc</w:t>
      </w:r>
      <w:r>
        <w:rPr>
          <w:rFonts w:ascii="Times New Roman" w:hAnsi="Times New Roman"/>
          <w:sz w:val="24"/>
          <w:szCs w:val="24"/>
        </w:rPr>
        <w:t xml:space="preserve">., 173 AD3d at 722; </w:t>
      </w:r>
      <w:r>
        <w:rPr>
          <w:rFonts w:ascii="Times New Roman" w:hAnsi="Times New Roman"/>
          <w:i/>
          <w:iCs/>
          <w:sz w:val="24"/>
          <w:szCs w:val="24"/>
        </w:rPr>
        <w:t>Vazquez v County of Nassau</w:t>
      </w:r>
      <w:r>
        <w:rPr>
          <w:rFonts w:ascii="Times New Roman" w:hAnsi="Times New Roman"/>
          <w:sz w:val="24"/>
          <w:szCs w:val="24"/>
        </w:rPr>
        <w:t xml:space="preserve"> 91 AD3d at 857).” </w:t>
      </w:r>
      <w:hyperlink r:id="rId965" w:history="1">
        <w:r>
          <w:rPr>
            <w:rStyle w:val="Hyperlink"/>
            <w:sz w:val="24"/>
            <w:szCs w:val="24"/>
          </w:rPr>
          <w:t>https://public.fastcase.com/Wl%2B2t%2BeVuI35%2FN70vAMFZpcMKjA7NXtV8NizS7yUss6ITpHR1n8JduscQQ47RvF2</w:t>
        </w:r>
      </w:hyperlink>
      <w:r>
        <w:rPr>
          <w:rFonts w:ascii="Times New Roman" w:hAnsi="Times New Roman"/>
          <w:sz w:val="24"/>
          <w:szCs w:val="24"/>
        </w:rPr>
        <w:t xml:space="preserve"> </w:t>
      </w:r>
    </w:p>
    <w:p w14:paraId="769603FE" w14:textId="77777777" w:rsidR="00557CA2" w:rsidRDefault="00557CA2" w:rsidP="00557CA2">
      <w:pPr>
        <w:tabs>
          <w:tab w:val="left" w:pos="3130"/>
        </w:tabs>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Fire Departments should require fire &amp; EMS personnel to use both emergency lights and sirens when entering intersection against a red light.  Volunteers should inform their personal insurance companies in writing they are using their personal vehicles to respond and request written confirmation they have coverage. </w:t>
      </w:r>
    </w:p>
    <w:p w14:paraId="0BEFBAC2" w14:textId="77777777" w:rsidR="00557CA2" w:rsidRDefault="00557CA2" w:rsidP="00EF1133">
      <w:pPr>
        <w:rPr>
          <w:rFonts w:ascii="Arial Black" w:hAnsi="Arial Black"/>
          <w:b/>
          <w:sz w:val="24"/>
          <w:szCs w:val="24"/>
        </w:rPr>
      </w:pPr>
    </w:p>
    <w:p w14:paraId="759BB1E3" w14:textId="77777777" w:rsidR="00557CA2" w:rsidRDefault="00557CA2" w:rsidP="00EF1133">
      <w:pPr>
        <w:rPr>
          <w:rFonts w:ascii="Arial Black" w:hAnsi="Arial Black"/>
          <w:b/>
          <w:sz w:val="24"/>
          <w:szCs w:val="24"/>
        </w:rPr>
      </w:pPr>
    </w:p>
    <w:p w14:paraId="2A81DF57" w14:textId="251A1B72" w:rsidR="00D94DC4" w:rsidRDefault="00A672EE" w:rsidP="00EF1133">
      <w:pPr>
        <w:rPr>
          <w:rFonts w:ascii="Arial Black" w:hAnsi="Arial Black"/>
          <w:b/>
          <w:sz w:val="24"/>
          <w:szCs w:val="24"/>
        </w:rPr>
      </w:pPr>
      <w:r>
        <w:rPr>
          <w:rFonts w:ascii="Arial Black" w:hAnsi="Arial Black"/>
          <w:b/>
          <w:sz w:val="24"/>
          <w:szCs w:val="24"/>
        </w:rPr>
        <w:t>5-16</w:t>
      </w:r>
    </w:p>
    <w:p w14:paraId="2403CFD6" w14:textId="77777777" w:rsidR="00A672EE" w:rsidRPr="0050734F" w:rsidRDefault="00A672EE" w:rsidP="00A672EE">
      <w:pPr>
        <w:spacing w:before="100" w:beforeAutospacing="1" w:after="100" w:afterAutospacing="1" w:line="240" w:lineRule="auto"/>
        <w:rPr>
          <w:rFonts w:ascii="Arial Black" w:eastAsia="Times New Roman" w:hAnsi="Arial Black"/>
          <w:sz w:val="28"/>
          <w:szCs w:val="28"/>
        </w:rPr>
      </w:pPr>
      <w:r w:rsidRPr="0050734F">
        <w:rPr>
          <w:rFonts w:ascii="Arial Black" w:eastAsia="Times New Roman" w:hAnsi="Arial Black"/>
          <w:sz w:val="28"/>
          <w:szCs w:val="28"/>
        </w:rPr>
        <w:t xml:space="preserve">NY: </w:t>
      </w:r>
      <w:r>
        <w:rPr>
          <w:rFonts w:ascii="Arial Black" w:eastAsia="Times New Roman" w:hAnsi="Arial Black"/>
          <w:sz w:val="28"/>
          <w:szCs w:val="28"/>
        </w:rPr>
        <w:t xml:space="preserve">FDNY AMBULANCE RESPONDED TO MVA – BACKED INTO VEHICE – CLAIM NOT FILED WITHIN 90 DAYS </w:t>
      </w:r>
    </w:p>
    <w:p w14:paraId="77D791DD" w14:textId="44924364" w:rsidR="00A672EE" w:rsidRDefault="00A672EE" w:rsidP="00A672EE">
      <w:pPr>
        <w:rPr>
          <w:rStyle w:val="Hyperlink"/>
          <w:rFonts w:ascii="Times New Roman" w:hAnsi="Times New Roman"/>
          <w:sz w:val="24"/>
          <w:szCs w:val="24"/>
        </w:rPr>
      </w:pPr>
      <w:r w:rsidRPr="0050734F">
        <w:rPr>
          <w:rFonts w:ascii="Times New Roman" w:eastAsia="Times New Roman" w:hAnsi="Times New Roman"/>
          <w:sz w:val="24"/>
          <w:szCs w:val="24"/>
        </w:rPr>
        <w:t>On July 15, 2020, i</w:t>
      </w:r>
      <w:r>
        <w:rPr>
          <w:rFonts w:ascii="Times New Roman" w:eastAsia="Times New Roman" w:hAnsi="Times New Roman"/>
          <w:sz w:val="24"/>
          <w:szCs w:val="24"/>
        </w:rPr>
        <w:t xml:space="preserve">n case </w:t>
      </w:r>
      <w:r w:rsidRPr="00D91ABE">
        <w:rPr>
          <w:rFonts w:ascii="Times New Roman" w:eastAsia="Times New Roman" w:hAnsi="Times New Roman"/>
          <w:sz w:val="24"/>
          <w:szCs w:val="24"/>
          <w:u w:val="single"/>
        </w:rPr>
        <w:t>In the Matter of Johanny M. Lugo et al. v. City of New York</w:t>
      </w:r>
      <w:r>
        <w:rPr>
          <w:rFonts w:ascii="Times New Roman" w:eastAsia="Times New Roman" w:hAnsi="Times New Roman"/>
          <w:b/>
          <w:bCs/>
          <w:sz w:val="24"/>
          <w:szCs w:val="24"/>
        </w:rPr>
        <w:t xml:space="preserve">, </w:t>
      </w:r>
      <w:r>
        <w:rPr>
          <w:rFonts w:ascii="Times New Roman" w:eastAsia="Times New Roman" w:hAnsi="Times New Roman"/>
          <w:sz w:val="24"/>
          <w:szCs w:val="24"/>
        </w:rPr>
        <w:t>the Supreme Court of the State of New York, Appellate Division, Second Judicial Department, upheld (5 to 0) the trial court judge’s decision dismissing her request to file a late claim. Court wrote: “</w:t>
      </w:r>
      <w:r w:rsidRPr="00D91ABE">
        <w:rPr>
          <w:rFonts w:ascii="Times New Roman" w:hAnsi="Times New Roman"/>
          <w:sz w:val="24"/>
          <w:szCs w:val="24"/>
        </w:rPr>
        <w:t>Here, the police accident report</w:t>
      </w:r>
      <w:r>
        <w:rPr>
          <w:rFonts w:ascii="Times New Roman" w:hAnsi="Times New Roman"/>
          <w:sz w:val="24"/>
          <w:szCs w:val="24"/>
        </w:rPr>
        <w:t xml:space="preserve"> </w:t>
      </w:r>
      <w:r w:rsidRPr="00D91ABE">
        <w:rPr>
          <w:rFonts w:ascii="Times New Roman" w:hAnsi="Times New Roman"/>
          <w:sz w:val="24"/>
          <w:szCs w:val="24"/>
        </w:rPr>
        <w:t>stated that the EMS vehicle caused</w:t>
      </w:r>
      <w:r>
        <w:rPr>
          <w:rFonts w:ascii="Times New Roman" w:hAnsi="Times New Roman"/>
          <w:sz w:val="24"/>
          <w:szCs w:val="24"/>
        </w:rPr>
        <w:t xml:space="preserve"> </w:t>
      </w:r>
      <w:r w:rsidRPr="00D91ABE">
        <w:rPr>
          <w:rFonts w:ascii="Times New Roman" w:hAnsi="Times New Roman"/>
          <w:sz w:val="24"/>
          <w:szCs w:val="24"/>
        </w:rPr>
        <w:t xml:space="preserve">“no damage” to the petitioner’s </w:t>
      </w:r>
      <w:proofErr w:type="gramStart"/>
      <w:r w:rsidRPr="00D91ABE">
        <w:rPr>
          <w:rFonts w:ascii="Times New Roman" w:hAnsi="Times New Roman"/>
          <w:sz w:val="24"/>
          <w:szCs w:val="24"/>
        </w:rPr>
        <w:t>vehicle, and</w:t>
      </w:r>
      <w:proofErr w:type="gramEnd"/>
      <w:r w:rsidRPr="00D91ABE">
        <w:rPr>
          <w:rFonts w:ascii="Times New Roman" w:hAnsi="Times New Roman"/>
          <w:sz w:val="24"/>
          <w:szCs w:val="24"/>
        </w:rPr>
        <w:t xml:space="preserve"> did not indicate that there was any connection between</w:t>
      </w:r>
      <w:r>
        <w:rPr>
          <w:rFonts w:ascii="Times New Roman" w:hAnsi="Times New Roman"/>
          <w:sz w:val="24"/>
          <w:szCs w:val="24"/>
        </w:rPr>
        <w:t xml:space="preserve"> </w:t>
      </w:r>
      <w:r w:rsidRPr="00D91ABE">
        <w:rPr>
          <w:rFonts w:ascii="Times New Roman" w:hAnsi="Times New Roman"/>
          <w:sz w:val="24"/>
          <w:szCs w:val="24"/>
        </w:rPr>
        <w:t>the petitioner’s alleged injuries and any negligent conduct on</w:t>
      </w:r>
      <w:r>
        <w:rPr>
          <w:rFonts w:ascii="Times New Roman" w:hAnsi="Times New Roman"/>
          <w:sz w:val="24"/>
          <w:szCs w:val="24"/>
        </w:rPr>
        <w:t xml:space="preserve"> </w:t>
      </w:r>
      <w:r w:rsidRPr="00D91ABE">
        <w:rPr>
          <w:rFonts w:ascii="Times New Roman" w:hAnsi="Times New Roman"/>
          <w:sz w:val="24"/>
          <w:szCs w:val="24"/>
        </w:rPr>
        <w:t>the</w:t>
      </w:r>
      <w:r>
        <w:rPr>
          <w:rFonts w:ascii="Times New Roman" w:hAnsi="Times New Roman"/>
          <w:sz w:val="24"/>
          <w:szCs w:val="24"/>
        </w:rPr>
        <w:t xml:space="preserve"> </w:t>
      </w:r>
      <w:r w:rsidRPr="00D91ABE">
        <w:rPr>
          <w:rFonts w:ascii="Times New Roman" w:hAnsi="Times New Roman"/>
          <w:sz w:val="24"/>
          <w:szCs w:val="24"/>
        </w:rPr>
        <w:t>part</w:t>
      </w:r>
      <w:r>
        <w:rPr>
          <w:rFonts w:ascii="Times New Roman" w:hAnsi="Times New Roman"/>
          <w:sz w:val="24"/>
          <w:szCs w:val="24"/>
        </w:rPr>
        <w:t xml:space="preserve"> </w:t>
      </w:r>
      <w:r w:rsidRPr="00D91ABE">
        <w:rPr>
          <w:rFonts w:ascii="Times New Roman" w:hAnsi="Times New Roman"/>
          <w:sz w:val="24"/>
          <w:szCs w:val="24"/>
        </w:rPr>
        <w:t>of the operator of the EMS</w:t>
      </w:r>
      <w:r>
        <w:rPr>
          <w:rFonts w:ascii="Times New Roman" w:hAnsi="Times New Roman"/>
          <w:sz w:val="24"/>
          <w:szCs w:val="24"/>
        </w:rPr>
        <w:t xml:space="preserve"> </w:t>
      </w:r>
      <w:r w:rsidRPr="00D91ABE">
        <w:rPr>
          <w:rFonts w:ascii="Times New Roman" w:hAnsi="Times New Roman"/>
          <w:sz w:val="24"/>
          <w:szCs w:val="24"/>
        </w:rPr>
        <w:t>vehicle. Thus, the petitioner failed to establish that the police accident report provided actual notice</w:t>
      </w:r>
      <w:r>
        <w:rPr>
          <w:rFonts w:ascii="Times New Roman" w:hAnsi="Times New Roman"/>
          <w:sz w:val="24"/>
          <w:szCs w:val="24"/>
        </w:rPr>
        <w:t xml:space="preserve"> </w:t>
      </w:r>
      <w:r w:rsidRPr="00D91ABE">
        <w:rPr>
          <w:rFonts w:ascii="Times New Roman" w:hAnsi="Times New Roman"/>
          <w:sz w:val="24"/>
          <w:szCs w:val="24"/>
        </w:rPr>
        <w:t>of the facts constituting the petitioner’s claim</w:t>
      </w:r>
      <w:r>
        <w:rPr>
          <w:rFonts w:ascii="Times New Roman" w:hAnsi="Times New Roman"/>
          <w:sz w:val="24"/>
          <w:szCs w:val="24"/>
        </w:rPr>
        <w:t xml:space="preserve"> </w:t>
      </w:r>
      <w:r w:rsidRPr="00D91ABE">
        <w:rPr>
          <w:rFonts w:ascii="Times New Roman" w:hAnsi="Times New Roman"/>
          <w:sz w:val="24"/>
          <w:szCs w:val="24"/>
        </w:rPr>
        <w:t xml:space="preserve">that she sustained serious injuries </w:t>
      </w:r>
      <w:proofErr w:type="gramStart"/>
      <w:r w:rsidRPr="00D91ABE">
        <w:rPr>
          <w:rFonts w:ascii="Times New Roman" w:hAnsi="Times New Roman"/>
          <w:sz w:val="24"/>
          <w:szCs w:val="24"/>
        </w:rPr>
        <w:t>as a result of</w:t>
      </w:r>
      <w:proofErr w:type="gramEnd"/>
      <w:r w:rsidRPr="00D91ABE">
        <w:rPr>
          <w:rFonts w:ascii="Times New Roman" w:hAnsi="Times New Roman"/>
          <w:sz w:val="24"/>
          <w:szCs w:val="24"/>
        </w:rPr>
        <w:t xml:space="preserve"> the</w:t>
      </w:r>
      <w:r>
        <w:rPr>
          <w:rFonts w:ascii="Times New Roman" w:hAnsi="Times New Roman"/>
          <w:sz w:val="24"/>
          <w:szCs w:val="24"/>
        </w:rPr>
        <w:t xml:space="preserve"> </w:t>
      </w:r>
      <w:r w:rsidRPr="00D91ABE">
        <w:rPr>
          <w:rFonts w:ascii="Times New Roman" w:hAnsi="Times New Roman"/>
          <w:sz w:val="24"/>
          <w:szCs w:val="24"/>
        </w:rPr>
        <w:t>City’s negligence</w:t>
      </w:r>
      <w:r>
        <w:rPr>
          <w:rFonts w:ascii="Times New Roman" w:hAnsi="Times New Roman"/>
          <w:sz w:val="24"/>
          <w:szCs w:val="24"/>
        </w:rPr>
        <w:t xml:space="preserve">….”  </w:t>
      </w:r>
      <w:hyperlink r:id="rId966" w:history="1">
        <w:r w:rsidRPr="00DD4F05">
          <w:rPr>
            <w:rStyle w:val="Hyperlink"/>
            <w:rFonts w:ascii="Times New Roman" w:hAnsi="Times New Roman"/>
            <w:sz w:val="24"/>
            <w:szCs w:val="24"/>
          </w:rPr>
          <w:t>http://www.nycourts.gov/courts/AD2/Handdowns/2020/Decisions/D63290.pdf</w:t>
        </w:r>
      </w:hyperlink>
    </w:p>
    <w:p w14:paraId="67F93CFE" w14:textId="77777777" w:rsidR="00A672EE" w:rsidRDefault="00A672EE" w:rsidP="00A672EE">
      <w:pPr>
        <w:tabs>
          <w:tab w:val="left" w:pos="3680"/>
        </w:tabs>
        <w:spacing w:before="100" w:beforeAutospacing="1" w:after="100" w:afterAutospacing="1" w:line="240" w:lineRule="auto"/>
        <w:rPr>
          <w:rFonts w:ascii="Times New Roman" w:hAnsi="Times New Roman"/>
          <w:b/>
          <w:bCs/>
          <w:sz w:val="24"/>
          <w:szCs w:val="24"/>
        </w:rPr>
      </w:pPr>
      <w:r w:rsidRPr="00DD4F05">
        <w:rPr>
          <w:rFonts w:ascii="Times New Roman" w:hAnsi="Times New Roman"/>
          <w:b/>
          <w:bCs/>
          <w:sz w:val="24"/>
          <w:szCs w:val="24"/>
        </w:rPr>
        <w:t>Legal Lesson Learned</w:t>
      </w:r>
      <w:r>
        <w:rPr>
          <w:rFonts w:ascii="Times New Roman" w:hAnsi="Times New Roman"/>
          <w:sz w:val="24"/>
          <w:szCs w:val="24"/>
        </w:rPr>
        <w:t xml:space="preserve">:  </w:t>
      </w:r>
      <w:r w:rsidRPr="00683FEB">
        <w:rPr>
          <w:rFonts w:ascii="Times New Roman" w:hAnsi="Times New Roman"/>
          <w:b/>
          <w:bCs/>
          <w:sz w:val="24"/>
          <w:szCs w:val="24"/>
        </w:rPr>
        <w:t xml:space="preserve">Courts will enforce municipal </w:t>
      </w:r>
      <w:r>
        <w:rPr>
          <w:rFonts w:ascii="Times New Roman" w:hAnsi="Times New Roman"/>
          <w:b/>
          <w:bCs/>
          <w:sz w:val="24"/>
          <w:szCs w:val="24"/>
        </w:rPr>
        <w:t>ordinances</w:t>
      </w:r>
      <w:r w:rsidRPr="00683FEB">
        <w:rPr>
          <w:rFonts w:ascii="Times New Roman" w:hAnsi="Times New Roman"/>
          <w:b/>
          <w:bCs/>
          <w:sz w:val="24"/>
          <w:szCs w:val="24"/>
        </w:rPr>
        <w:t xml:space="preserve"> requiring timely, written notice of a </w:t>
      </w:r>
      <w:r>
        <w:rPr>
          <w:rFonts w:ascii="Times New Roman" w:hAnsi="Times New Roman"/>
          <w:b/>
          <w:bCs/>
          <w:sz w:val="24"/>
          <w:szCs w:val="24"/>
        </w:rPr>
        <w:t xml:space="preserve">tort </w:t>
      </w:r>
      <w:r w:rsidRPr="00683FEB">
        <w:rPr>
          <w:rFonts w:ascii="Times New Roman" w:hAnsi="Times New Roman"/>
          <w:b/>
          <w:bCs/>
          <w:sz w:val="24"/>
          <w:szCs w:val="24"/>
        </w:rPr>
        <w:t xml:space="preserve">claim. </w:t>
      </w:r>
      <w:r>
        <w:rPr>
          <w:rFonts w:ascii="Times New Roman" w:hAnsi="Times New Roman"/>
          <w:b/>
          <w:bCs/>
          <w:sz w:val="24"/>
          <w:szCs w:val="24"/>
        </w:rPr>
        <w:t xml:space="preserve"> </w:t>
      </w:r>
    </w:p>
    <w:p w14:paraId="037D4301" w14:textId="77777777" w:rsidR="00A672EE" w:rsidRDefault="00A672EE" w:rsidP="001C563D">
      <w:pPr>
        <w:rPr>
          <w:rFonts w:ascii="Arial Black" w:hAnsi="Arial Black"/>
          <w:b/>
          <w:sz w:val="24"/>
          <w:szCs w:val="24"/>
        </w:rPr>
      </w:pPr>
    </w:p>
    <w:p w14:paraId="17F7CC47" w14:textId="5834FA90" w:rsidR="001C563D" w:rsidRPr="007105B3" w:rsidRDefault="007105B3" w:rsidP="001C563D">
      <w:pPr>
        <w:rPr>
          <w:rFonts w:ascii="Times New Roman" w:hAnsi="Times New Roman"/>
          <w:bCs/>
          <w:sz w:val="24"/>
          <w:szCs w:val="24"/>
        </w:rPr>
      </w:pPr>
      <w:r>
        <w:rPr>
          <w:rFonts w:ascii="Arial Black" w:hAnsi="Arial Black"/>
          <w:b/>
          <w:sz w:val="24"/>
          <w:szCs w:val="24"/>
        </w:rPr>
        <w:t>5-1</w:t>
      </w:r>
      <w:r w:rsidR="00A672EE">
        <w:rPr>
          <w:rFonts w:ascii="Arial Black" w:hAnsi="Arial Black"/>
          <w:b/>
          <w:sz w:val="24"/>
          <w:szCs w:val="24"/>
        </w:rPr>
        <w:t>5</w:t>
      </w:r>
      <w:r w:rsidR="001C563D">
        <w:rPr>
          <w:rFonts w:ascii="Arial Black" w:hAnsi="Arial Black"/>
          <w:b/>
          <w:sz w:val="24"/>
          <w:szCs w:val="24"/>
        </w:rPr>
        <w:t xml:space="preserve"> </w:t>
      </w:r>
      <w:r w:rsidR="001C563D" w:rsidRPr="007105B3">
        <w:rPr>
          <w:rFonts w:ascii="Times New Roman" w:hAnsi="Times New Roman"/>
          <w:bCs/>
          <w:sz w:val="24"/>
          <w:szCs w:val="24"/>
        </w:rPr>
        <w:t>[Also filed, Chap. 1</w:t>
      </w:r>
      <w:r w:rsidR="001C563D">
        <w:rPr>
          <w:rFonts w:ascii="Times New Roman" w:hAnsi="Times New Roman"/>
          <w:bCs/>
          <w:sz w:val="24"/>
          <w:szCs w:val="24"/>
        </w:rPr>
        <w:t>3</w:t>
      </w:r>
      <w:r w:rsidR="001C563D" w:rsidRPr="007105B3">
        <w:rPr>
          <w:rFonts w:ascii="Times New Roman" w:hAnsi="Times New Roman"/>
          <w:bCs/>
          <w:sz w:val="24"/>
          <w:szCs w:val="24"/>
        </w:rPr>
        <w:t>]</w:t>
      </w:r>
    </w:p>
    <w:p w14:paraId="63DB6797" w14:textId="77777777" w:rsidR="007105B3" w:rsidRDefault="007105B3" w:rsidP="007105B3">
      <w:pPr>
        <w:pStyle w:val="NoSpacing"/>
        <w:rPr>
          <w:rFonts w:ascii="Arial Black" w:hAnsi="Arial Black"/>
          <w:sz w:val="28"/>
          <w:szCs w:val="28"/>
        </w:rPr>
      </w:pPr>
      <w:r w:rsidRPr="00284D4F">
        <w:rPr>
          <w:rFonts w:ascii="Arial Black" w:hAnsi="Arial Black"/>
          <w:sz w:val="28"/>
          <w:szCs w:val="28"/>
        </w:rPr>
        <w:t xml:space="preserve">IL: </w:t>
      </w:r>
      <w:r>
        <w:rPr>
          <w:rFonts w:ascii="Arial Black" w:hAnsi="Arial Black"/>
          <w:sz w:val="28"/>
          <w:szCs w:val="28"/>
        </w:rPr>
        <w:t>PRIVATE AMBULANCE – RAN RED LIGHT WHEN DRIVING TO NON-EMERGENCY TRANSPORT - NO IMMUNITY</w:t>
      </w:r>
    </w:p>
    <w:p w14:paraId="0000839C" w14:textId="77777777" w:rsidR="007105B3" w:rsidRDefault="007105B3" w:rsidP="007105B3">
      <w:pPr>
        <w:pStyle w:val="NoSpacing"/>
        <w:rPr>
          <w:rFonts w:ascii="Arial Black" w:hAnsi="Arial Black"/>
          <w:sz w:val="28"/>
          <w:szCs w:val="28"/>
        </w:rPr>
      </w:pPr>
    </w:p>
    <w:p w14:paraId="76DA4ACE" w14:textId="00F6329E" w:rsidR="007105B3" w:rsidRPr="00700A10" w:rsidRDefault="007105B3" w:rsidP="007105B3">
      <w:pPr>
        <w:pStyle w:val="NoSpacing"/>
        <w:rPr>
          <w:rFonts w:ascii="Times New Roman" w:hAnsi="Times New Roman"/>
          <w:sz w:val="24"/>
          <w:szCs w:val="24"/>
        </w:rPr>
      </w:pPr>
      <w:r w:rsidRPr="00284D4F">
        <w:rPr>
          <w:rFonts w:ascii="Times New Roman" w:hAnsi="Times New Roman"/>
          <w:sz w:val="24"/>
          <w:szCs w:val="24"/>
        </w:rPr>
        <w:t xml:space="preserve">On </w:t>
      </w:r>
      <w:r>
        <w:rPr>
          <w:rFonts w:ascii="Times New Roman" w:hAnsi="Times New Roman"/>
          <w:sz w:val="24"/>
          <w:szCs w:val="24"/>
        </w:rPr>
        <w:t xml:space="preserve">June 18, 2020, in </w:t>
      </w:r>
      <w:r w:rsidRPr="00284D4F">
        <w:rPr>
          <w:rFonts w:ascii="Times New Roman" w:hAnsi="Times New Roman"/>
          <w:sz w:val="24"/>
          <w:szCs w:val="24"/>
          <w:u w:val="single"/>
        </w:rPr>
        <w:t>Roberto Hernandez v. Lifeline Ambulance, LLC, et al</w:t>
      </w:r>
      <w:r>
        <w:rPr>
          <w:rFonts w:ascii="Times New Roman" w:hAnsi="Times New Roman"/>
          <w:sz w:val="24"/>
          <w:szCs w:val="24"/>
        </w:rPr>
        <w:t xml:space="preserve">., the Supreme Court of State of Illinois, held (4 to 3) that the private ambulance driver and his employer are not protected under the state’s EMS immunity statute when the ambulance driver, on a non-emergency run without lights or siren, ran a red light and injured the driver of another vehicle. The ambulance had been dispatched </w:t>
      </w:r>
      <w:r w:rsidRPr="00700A10">
        <w:rPr>
          <w:rFonts w:ascii="Times New Roman" w:hAnsi="Times New Roman"/>
          <w:sz w:val="24"/>
          <w:szCs w:val="24"/>
        </w:rPr>
        <w:t>to pick up a patient for nonemergency medical transport from Symphony at Aria Post Acute Care in Hillside to Villa Park Home Dialysis in Villa Park</w:t>
      </w:r>
      <w:r>
        <w:rPr>
          <w:rFonts w:ascii="Times New Roman" w:hAnsi="Times New Roman"/>
          <w:sz w:val="24"/>
          <w:szCs w:val="24"/>
        </w:rPr>
        <w:t>. The Court’s majority held: “</w:t>
      </w:r>
      <w:r w:rsidRPr="00700A10">
        <w:rPr>
          <w:rFonts w:ascii="Times New Roman" w:hAnsi="Times New Roman"/>
          <w:sz w:val="24"/>
          <w:szCs w:val="24"/>
        </w:rPr>
        <w:t xml:space="preserve">The issue presented is whether section 3.150 of the Emergency Medical Services Systems Act (EMS Act) (210 ILCS 50/3.150 (West 2016)) provides immunity from liability—to an ambulance owner and its driver—stemming from a motor-vehicle accident caused by the negligent operation of the ambulance while </w:t>
      </w:r>
      <w:proofErr w:type="spellStart"/>
      <w:r w:rsidRPr="00700A10">
        <w:rPr>
          <w:rFonts w:ascii="Times New Roman" w:hAnsi="Times New Roman"/>
          <w:sz w:val="24"/>
          <w:szCs w:val="24"/>
        </w:rPr>
        <w:t>en</w:t>
      </w:r>
      <w:proofErr w:type="spellEnd"/>
      <w:r w:rsidRPr="00700A10">
        <w:rPr>
          <w:rFonts w:ascii="Times New Roman" w:hAnsi="Times New Roman"/>
          <w:sz w:val="24"/>
          <w:szCs w:val="24"/>
        </w:rPr>
        <w:t xml:space="preserve"> route to pick up a patient for nonemergency transportation. We answer this question in the negative, holding that defendants are not immune from liability under the circumstances of this case.</w:t>
      </w:r>
      <w:r>
        <w:rPr>
          <w:rFonts w:ascii="Times New Roman" w:hAnsi="Times New Roman"/>
          <w:sz w:val="24"/>
          <w:szCs w:val="24"/>
        </w:rPr>
        <w:t xml:space="preserve">” </w:t>
      </w:r>
      <w:hyperlink r:id="rId967" w:history="1">
        <w:r w:rsidRPr="005B0C9C">
          <w:rPr>
            <w:rStyle w:val="Hyperlink"/>
            <w:rFonts w:ascii="Times New Roman" w:hAnsi="Times New Roman"/>
            <w:sz w:val="24"/>
            <w:szCs w:val="24"/>
          </w:rPr>
          <w:t>https://courts.illinois.gov/Opinions/SupremeCourt/2020/124610.pdf</w:t>
        </w:r>
      </w:hyperlink>
      <w:r>
        <w:rPr>
          <w:rFonts w:ascii="Times New Roman" w:hAnsi="Times New Roman"/>
          <w:sz w:val="24"/>
          <w:szCs w:val="24"/>
        </w:rPr>
        <w:t xml:space="preserve"> </w:t>
      </w:r>
    </w:p>
    <w:p w14:paraId="2F74C9E2" w14:textId="77777777" w:rsidR="007105B3" w:rsidRPr="00700A10" w:rsidRDefault="007105B3" w:rsidP="007105B3">
      <w:pPr>
        <w:pStyle w:val="NoSpacing"/>
        <w:rPr>
          <w:rFonts w:ascii="Times New Roman" w:hAnsi="Times New Roman"/>
          <w:sz w:val="24"/>
          <w:szCs w:val="24"/>
        </w:rPr>
      </w:pPr>
    </w:p>
    <w:p w14:paraId="264DFFDE" w14:textId="77777777" w:rsidR="007105B3" w:rsidRPr="00700A10" w:rsidRDefault="007105B3" w:rsidP="007105B3">
      <w:pPr>
        <w:pStyle w:val="NoSpacing"/>
        <w:rPr>
          <w:rFonts w:ascii="Times New Roman" w:hAnsi="Times New Roman"/>
          <w:b/>
          <w:bCs/>
          <w:sz w:val="24"/>
          <w:szCs w:val="24"/>
        </w:rPr>
      </w:pPr>
      <w:r w:rsidRPr="00700A10">
        <w:rPr>
          <w:rFonts w:ascii="Times New Roman" w:hAnsi="Times New Roman"/>
          <w:b/>
          <w:bCs/>
          <w:sz w:val="24"/>
          <w:szCs w:val="24"/>
        </w:rPr>
        <w:t>Legal Lessons Learned:</w:t>
      </w:r>
      <w:r>
        <w:rPr>
          <w:rFonts w:ascii="Times New Roman" w:hAnsi="Times New Roman"/>
          <w:b/>
          <w:bCs/>
          <w:sz w:val="24"/>
          <w:szCs w:val="24"/>
        </w:rPr>
        <w:t xml:space="preserve"> EMS driving running a red light for a non-emergency transport should be held responsible, along with his company, for his negligent conduct. </w:t>
      </w:r>
    </w:p>
    <w:p w14:paraId="195DB726" w14:textId="77777777" w:rsidR="007105B3" w:rsidRDefault="007105B3" w:rsidP="007105B3">
      <w:pPr>
        <w:pStyle w:val="NoSpacing"/>
        <w:rPr>
          <w:rFonts w:ascii="Times New Roman" w:hAnsi="Times New Roman"/>
          <w:sz w:val="24"/>
          <w:szCs w:val="24"/>
        </w:rPr>
      </w:pPr>
    </w:p>
    <w:p w14:paraId="3B47FBEE" w14:textId="77777777" w:rsidR="007105B3" w:rsidRPr="005262A7" w:rsidRDefault="007105B3" w:rsidP="007105B3">
      <w:pPr>
        <w:pStyle w:val="NoSpacing"/>
        <w:ind w:firstLine="720"/>
        <w:rPr>
          <w:rFonts w:ascii="Times New Roman" w:hAnsi="Times New Roman"/>
          <w:sz w:val="24"/>
          <w:szCs w:val="24"/>
        </w:rPr>
      </w:pPr>
      <w:r w:rsidRPr="005262A7">
        <w:rPr>
          <w:rFonts w:ascii="Times New Roman" w:hAnsi="Times New Roman"/>
          <w:sz w:val="24"/>
          <w:szCs w:val="24"/>
        </w:rPr>
        <w:t xml:space="preserve">Note: Three dissenting Justices </w:t>
      </w:r>
      <w:r>
        <w:rPr>
          <w:rFonts w:ascii="Times New Roman" w:hAnsi="Times New Roman"/>
          <w:sz w:val="24"/>
          <w:szCs w:val="24"/>
        </w:rPr>
        <w:t>disagreed:</w:t>
      </w:r>
    </w:p>
    <w:p w14:paraId="5398AC1B" w14:textId="77777777" w:rsidR="007105B3" w:rsidRDefault="007105B3" w:rsidP="007105B3">
      <w:pPr>
        <w:pStyle w:val="NoSpacing"/>
        <w:ind w:left="720"/>
        <w:rPr>
          <w:rFonts w:ascii="Times New Roman" w:hAnsi="Times New Roman"/>
          <w:sz w:val="24"/>
          <w:szCs w:val="24"/>
        </w:rPr>
      </w:pPr>
    </w:p>
    <w:p w14:paraId="230F6F10" w14:textId="18D4006C" w:rsidR="007105B3" w:rsidRDefault="007105B3" w:rsidP="007105B3">
      <w:pPr>
        <w:pStyle w:val="NoSpacing"/>
        <w:ind w:left="720"/>
      </w:pPr>
      <w:r>
        <w:rPr>
          <w:rFonts w:ascii="Times New Roman" w:hAnsi="Times New Roman"/>
          <w:sz w:val="24"/>
          <w:szCs w:val="24"/>
        </w:rPr>
        <w:t>“</w:t>
      </w:r>
      <w:r w:rsidRPr="005262A7">
        <w:rPr>
          <w:rFonts w:ascii="Times New Roman" w:hAnsi="Times New Roman"/>
          <w:sz w:val="24"/>
          <w:szCs w:val="24"/>
        </w:rPr>
        <w:t xml:space="preserve">In the case at bar, at the time of the accident, Nicholas was rendering nonemergency medical services in the normal course of conducting his duties. Nicholas was in the process of responding to a dispatch to transport a patient to a health care facility. Driving to the patient was preparatory for and integral to delivering the medical service. Further, the accident occurred before transporting the patient to a health </w:t>
      </w:r>
      <w:r w:rsidRPr="005262A7">
        <w:rPr>
          <w:rFonts w:ascii="Times New Roman" w:hAnsi="Times New Roman"/>
          <w:sz w:val="24"/>
          <w:szCs w:val="24"/>
        </w:rPr>
        <w:lastRenderedPageBreak/>
        <w:t xml:space="preserve">care facility and during defendant’s driving in response to the dispatch. Therefore, absent willful and wanton misconduct, section 3.150(a) of the EMS Act immunizes defendants for their alleged negligent acts or omissions while providing nonemergency medical </w:t>
      </w:r>
      <w:proofErr w:type="gramStart"/>
      <w:r w:rsidRPr="005262A7">
        <w:rPr>
          <w:rFonts w:ascii="Times New Roman" w:hAnsi="Times New Roman"/>
          <w:sz w:val="24"/>
          <w:szCs w:val="24"/>
        </w:rPr>
        <w:t>services</w:t>
      </w:r>
      <w:r>
        <w:t>.”</w:t>
      </w:r>
      <w:proofErr w:type="gramEnd"/>
    </w:p>
    <w:p w14:paraId="1820DBE5" w14:textId="77777777" w:rsidR="007105B3" w:rsidRDefault="007105B3" w:rsidP="007105B3">
      <w:pPr>
        <w:pStyle w:val="NoSpacing"/>
        <w:ind w:left="720"/>
      </w:pPr>
    </w:p>
    <w:p w14:paraId="35B897B6" w14:textId="77777777" w:rsidR="007105B3" w:rsidRDefault="007105B3" w:rsidP="00EF1133">
      <w:pPr>
        <w:rPr>
          <w:rFonts w:ascii="Arial Black" w:hAnsi="Arial Black"/>
          <w:b/>
          <w:sz w:val="24"/>
          <w:szCs w:val="24"/>
        </w:rPr>
      </w:pPr>
    </w:p>
    <w:p w14:paraId="4F7A9F7A" w14:textId="4E1A7FBC" w:rsidR="00D94DC4" w:rsidRDefault="00D94DC4" w:rsidP="00EF1133">
      <w:pPr>
        <w:rPr>
          <w:rFonts w:ascii="Arial Black" w:hAnsi="Arial Black"/>
          <w:b/>
          <w:sz w:val="24"/>
          <w:szCs w:val="24"/>
        </w:rPr>
      </w:pPr>
      <w:r>
        <w:rPr>
          <w:rFonts w:ascii="Arial Black" w:hAnsi="Arial Black"/>
          <w:b/>
          <w:sz w:val="24"/>
          <w:szCs w:val="24"/>
        </w:rPr>
        <w:t>5-</w:t>
      </w:r>
      <w:r w:rsidR="004E22C3">
        <w:rPr>
          <w:rFonts w:ascii="Arial Black" w:hAnsi="Arial Black"/>
          <w:b/>
          <w:sz w:val="24"/>
          <w:szCs w:val="24"/>
        </w:rPr>
        <w:t>1</w:t>
      </w:r>
      <w:r w:rsidR="00A672EE">
        <w:rPr>
          <w:rFonts w:ascii="Arial Black" w:hAnsi="Arial Black"/>
          <w:b/>
          <w:sz w:val="24"/>
          <w:szCs w:val="24"/>
        </w:rPr>
        <w:t>4</w:t>
      </w:r>
    </w:p>
    <w:p w14:paraId="4759CF39" w14:textId="77777777" w:rsidR="004E22C3" w:rsidRPr="007B3BAD" w:rsidRDefault="004E22C3" w:rsidP="004E22C3">
      <w:pPr>
        <w:spacing w:before="100" w:beforeAutospacing="1" w:after="100" w:afterAutospacing="1" w:line="240" w:lineRule="auto"/>
        <w:jc w:val="both"/>
        <w:rPr>
          <w:rFonts w:ascii="Arial Black" w:eastAsia="Times New Roman" w:hAnsi="Arial Black"/>
          <w:b/>
          <w:bCs/>
          <w:sz w:val="28"/>
          <w:szCs w:val="28"/>
        </w:rPr>
      </w:pPr>
      <w:r w:rsidRPr="007B3BAD">
        <w:rPr>
          <w:rFonts w:ascii="Arial Black" w:eastAsia="Times New Roman" w:hAnsi="Arial Black"/>
          <w:b/>
          <w:bCs/>
          <w:sz w:val="28"/>
          <w:szCs w:val="28"/>
        </w:rPr>
        <w:t xml:space="preserve">AL: </w:t>
      </w:r>
      <w:r>
        <w:rPr>
          <w:rFonts w:ascii="Arial Black" w:eastAsia="Times New Roman" w:hAnsi="Arial Black"/>
          <w:b/>
          <w:bCs/>
          <w:sz w:val="28"/>
          <w:szCs w:val="28"/>
        </w:rPr>
        <w:t>PARAMEDIC INJURED IN MVA - SETTLED WITH DRIVER $25K, BUT WITHOUT CONSENT OF MEDIC’S INSURANCE CO. – STATE FARM NO LONGER REQ. COVER “UNDERINSURED”</w:t>
      </w:r>
    </w:p>
    <w:p w14:paraId="5B6F94FF" w14:textId="77777777" w:rsidR="004E22C3" w:rsidRDefault="004E22C3" w:rsidP="004E22C3">
      <w:pPr>
        <w:spacing w:before="100" w:beforeAutospacing="1" w:after="100" w:afterAutospacing="1" w:line="240" w:lineRule="auto"/>
        <w:rPr>
          <w:rFonts w:ascii="Times New Roman" w:eastAsia="Times New Roman" w:hAnsi="Times New Roman"/>
          <w:sz w:val="24"/>
          <w:szCs w:val="24"/>
        </w:rPr>
      </w:pPr>
      <w:r w:rsidRPr="00F74356">
        <w:rPr>
          <w:rFonts w:ascii="Times New Roman" w:eastAsia="Times New Roman" w:hAnsi="Times New Roman"/>
          <w:sz w:val="24"/>
          <w:szCs w:val="24"/>
        </w:rPr>
        <w:t xml:space="preserve">On May 29, 2020, in </w:t>
      </w:r>
      <w:r w:rsidRPr="00F74356">
        <w:rPr>
          <w:rFonts w:ascii="Times New Roman" w:eastAsia="Times New Roman" w:hAnsi="Times New Roman"/>
          <w:sz w:val="24"/>
          <w:szCs w:val="24"/>
          <w:u w:val="single"/>
        </w:rPr>
        <w:t>David R. Turner v. State Farm Mutual Insurance Company</w:t>
      </w:r>
      <w:r w:rsidRPr="00F74356">
        <w:rPr>
          <w:rFonts w:ascii="Times New Roman" w:eastAsia="Times New Roman" w:hAnsi="Times New Roman"/>
          <w:sz w:val="24"/>
          <w:szCs w:val="24"/>
        </w:rPr>
        <w:t>, the Supreme Court of Alabama, upheld the trial court’s dismissal of the paramedic’s lawsuit against his own insurance company [All State].</w:t>
      </w:r>
      <w:r>
        <w:rPr>
          <w:rFonts w:ascii="Times New Roman" w:eastAsia="Times New Roman" w:hAnsi="Times New Roman"/>
          <w:sz w:val="24"/>
          <w:szCs w:val="24"/>
        </w:rPr>
        <w:t xml:space="preserve"> </w:t>
      </w:r>
      <w:hyperlink r:id="rId968" w:history="1">
        <w:r w:rsidRPr="00BA0245">
          <w:rPr>
            <w:rStyle w:val="Hyperlink"/>
            <w:sz w:val="24"/>
            <w:szCs w:val="24"/>
          </w:rPr>
          <w:t>https://acis.alabama.gov/displaydocs.cfm?no=1022968&amp;event=5S20LIXMT</w:t>
        </w:r>
      </w:hyperlink>
    </w:p>
    <w:p w14:paraId="228BC173" w14:textId="77777777" w:rsidR="004E22C3" w:rsidRPr="0071286B" w:rsidRDefault="004E22C3" w:rsidP="004E22C3">
      <w:pPr>
        <w:spacing w:before="100" w:beforeAutospacing="1" w:after="100" w:afterAutospacing="1" w:line="240" w:lineRule="auto"/>
        <w:jc w:val="both"/>
        <w:rPr>
          <w:rFonts w:ascii="Times New Roman" w:eastAsia="Times New Roman" w:hAnsi="Times New Roman"/>
          <w:b/>
          <w:bCs/>
          <w:sz w:val="24"/>
          <w:szCs w:val="24"/>
        </w:rPr>
      </w:pPr>
      <w:r w:rsidRPr="0071286B">
        <w:rPr>
          <w:rFonts w:ascii="Times New Roman" w:hAnsi="Times New Roman"/>
          <w:b/>
          <w:bCs/>
          <w:sz w:val="24"/>
          <w:szCs w:val="24"/>
        </w:rPr>
        <w:t>Legal Lessons Learned:</w:t>
      </w:r>
      <w:r>
        <w:rPr>
          <w:rFonts w:ascii="Times New Roman" w:hAnsi="Times New Roman"/>
          <w:b/>
          <w:bCs/>
          <w:sz w:val="24"/>
          <w:szCs w:val="24"/>
        </w:rPr>
        <w:t xml:space="preserve"> If injured in MVA, do not settle and release the other driver’s insurance company without the consent of your insurance company.   Since medic also covered by worker’s comp, the state fund has a right to recover from the $25K settlement.  </w:t>
      </w:r>
    </w:p>
    <w:p w14:paraId="2288998B" w14:textId="27DEB1A6" w:rsidR="00D94DC4" w:rsidRDefault="00A672EE" w:rsidP="00EF1133">
      <w:pPr>
        <w:rPr>
          <w:rFonts w:ascii="Arial Black" w:hAnsi="Arial Black"/>
          <w:b/>
          <w:sz w:val="24"/>
          <w:szCs w:val="24"/>
        </w:rPr>
      </w:pPr>
      <w:r>
        <w:rPr>
          <w:rFonts w:ascii="Arial Black" w:hAnsi="Arial Black"/>
          <w:b/>
          <w:sz w:val="24"/>
          <w:szCs w:val="24"/>
        </w:rPr>
        <w:t>5-13</w:t>
      </w:r>
    </w:p>
    <w:p w14:paraId="52A49942" w14:textId="77777777" w:rsidR="00A672EE" w:rsidRDefault="00A672EE" w:rsidP="00A672EE">
      <w:pPr>
        <w:pStyle w:val="NoSpacing"/>
        <w:rPr>
          <w:rFonts w:ascii="Arial Black" w:hAnsi="Arial Black"/>
          <w:sz w:val="28"/>
          <w:szCs w:val="28"/>
        </w:rPr>
      </w:pPr>
      <w:bookmarkStart w:id="199" w:name="_Hlk66946612"/>
      <w:r w:rsidRPr="009B0E33">
        <w:rPr>
          <w:rFonts w:ascii="Arial Black" w:hAnsi="Arial Black"/>
          <w:sz w:val="28"/>
          <w:szCs w:val="28"/>
        </w:rPr>
        <w:t>TX:</w:t>
      </w:r>
      <w:r>
        <w:rPr>
          <w:rFonts w:ascii="Arial Black" w:hAnsi="Arial Black"/>
          <w:sz w:val="28"/>
          <w:szCs w:val="28"/>
        </w:rPr>
        <w:t xml:space="preserve"> FIRETRUCK ACCIDENT AT INTERSECTION– FF DIDN’T STOP RED LIGHT / FD POLICY – NOT RECKLESS – GOVT IMMUNITY</w:t>
      </w:r>
    </w:p>
    <w:p w14:paraId="0F984B7A" w14:textId="77777777" w:rsidR="00A672EE" w:rsidRDefault="00A672EE" w:rsidP="00A672EE">
      <w:pPr>
        <w:pStyle w:val="NoSpacing"/>
        <w:rPr>
          <w:rFonts w:ascii="Arial Black" w:hAnsi="Arial Black"/>
          <w:sz w:val="28"/>
          <w:szCs w:val="28"/>
        </w:rPr>
      </w:pPr>
    </w:p>
    <w:p w14:paraId="2551EAAC" w14:textId="60943A45" w:rsidR="00A672EE" w:rsidRDefault="00A672EE" w:rsidP="00A672EE">
      <w:pPr>
        <w:rPr>
          <w:rFonts w:ascii="Arial Black" w:hAnsi="Arial Black"/>
          <w:b/>
          <w:sz w:val="24"/>
          <w:szCs w:val="24"/>
        </w:rPr>
      </w:pPr>
      <w:r w:rsidRPr="009B0E33">
        <w:rPr>
          <w:rFonts w:ascii="Times New Roman" w:hAnsi="Times New Roman"/>
          <w:sz w:val="24"/>
          <w:szCs w:val="24"/>
        </w:rPr>
        <w:t xml:space="preserve">On </w:t>
      </w:r>
      <w:r>
        <w:rPr>
          <w:rFonts w:ascii="Times New Roman" w:hAnsi="Times New Roman"/>
          <w:sz w:val="24"/>
          <w:szCs w:val="24"/>
        </w:rPr>
        <w:t xml:space="preserve">May 28, 2020, in </w:t>
      </w:r>
      <w:r w:rsidRPr="009B0E33">
        <w:rPr>
          <w:rFonts w:ascii="Times New Roman" w:hAnsi="Times New Roman"/>
          <w:sz w:val="24"/>
          <w:szCs w:val="24"/>
          <w:u w:val="single"/>
        </w:rPr>
        <w:t>The City of Kingsville v. Ermelinda Dominguez</w:t>
      </w:r>
      <w:r>
        <w:rPr>
          <w:rFonts w:ascii="Times New Roman" w:hAnsi="Times New Roman"/>
          <w:sz w:val="24"/>
          <w:szCs w:val="24"/>
        </w:rPr>
        <w:t xml:space="preserve">, the Court of Appeals, Thirteenth District of Texas (Corpus Christi – Edinburg), reversed the trial court and ordered the lawsuit dismissed since the firefighter was not driving recklessly, when on an EMS run with lights and siren, he followed an ambulance through a red light at reasonable speed. </w:t>
      </w:r>
      <w:bookmarkEnd w:id="199"/>
      <w:r>
        <w:rPr>
          <w:rFonts w:ascii="Times New Roman" w:hAnsi="Times New Roman"/>
          <w:sz w:val="24"/>
          <w:szCs w:val="24"/>
        </w:rPr>
        <w:t xml:space="preserve">The Court wrote: </w:t>
      </w:r>
      <w:r w:rsidRPr="006D72FE">
        <w:rPr>
          <w:rFonts w:ascii="Times New Roman" w:hAnsi="Times New Roman"/>
          <w:sz w:val="24"/>
          <w:szCs w:val="24"/>
        </w:rPr>
        <w:t>“[T]he fact that Mendiola violated department policy by not coming to a complete stop prior to entering the intersection is not evidence of recklessness. See Hudson, 179 S.W.3d at 700–01; see also City of Laredo v. Varela, No. 04-10-00619-CV, 2011 WL 1852439, *3–5 (Tex. App.—San Antonio May 11, 2011, no pet.) (</w:t>
      </w:r>
      <w:proofErr w:type="gramStart"/>
      <w:r w:rsidRPr="006D72FE">
        <w:rPr>
          <w:rFonts w:ascii="Times New Roman" w:hAnsi="Times New Roman"/>
          <w:sz w:val="24"/>
          <w:szCs w:val="24"/>
        </w:rPr>
        <w:t>mem</w:t>
      </w:r>
      <w:proofErr w:type="gramEnd"/>
      <w:r w:rsidRPr="006D72FE">
        <w:rPr>
          <w:rFonts w:ascii="Times New Roman" w:hAnsi="Times New Roman"/>
          <w:sz w:val="24"/>
          <w:szCs w:val="24"/>
        </w:rPr>
        <w:t>. op.) (holding that an officer’s failure to adhere to policy requiring emergency vehicles to come to complete stop did not raise fact issue as to whether officer acted with reckless disregard for the safety of others). We conclude that the undisputed facts do not demonstrate that Mendiola committed an act that he knew or should have known posed a high degree of risk of serious injury but did not care about the result.SeePerez,511 S.W.3d at 236.</w:t>
      </w:r>
      <w:r>
        <w:rPr>
          <w:rFonts w:ascii="Times New Roman" w:hAnsi="Times New Roman"/>
          <w:sz w:val="24"/>
          <w:szCs w:val="24"/>
        </w:rPr>
        <w:t xml:space="preserve"> </w:t>
      </w:r>
      <w:r w:rsidRPr="006D72FE">
        <w:rPr>
          <w:rFonts w:ascii="Times New Roman" w:hAnsi="Times New Roman"/>
          <w:sz w:val="24"/>
          <w:szCs w:val="24"/>
        </w:rPr>
        <w:t xml:space="preserve">Rather, by travelling at a speed below the speed limit, activating his siren and emergency lights and confirming that the cross-traffic was yielding, Mendiola was not acting with reckless disregard </w:t>
      </w:r>
      <w:proofErr w:type="gramStart"/>
      <w:r w:rsidRPr="006D72FE">
        <w:rPr>
          <w:rFonts w:ascii="Times New Roman" w:hAnsi="Times New Roman"/>
          <w:sz w:val="24"/>
          <w:szCs w:val="24"/>
        </w:rPr>
        <w:t>to</w:t>
      </w:r>
      <w:proofErr w:type="gramEnd"/>
      <w:r w:rsidRPr="006D72FE">
        <w:rPr>
          <w:rFonts w:ascii="Times New Roman" w:hAnsi="Times New Roman"/>
          <w:sz w:val="24"/>
          <w:szCs w:val="24"/>
        </w:rPr>
        <w:t xml:space="preserve"> others. Because the jurisdictional record fails to raise a fact issue regarding recklessness, the City retains its immunity from suit pursuant to the </w:t>
      </w:r>
      <w:r>
        <w:rPr>
          <w:rFonts w:ascii="Times New Roman" w:hAnsi="Times New Roman"/>
          <w:sz w:val="24"/>
          <w:szCs w:val="24"/>
        </w:rPr>
        <w:t>T</w:t>
      </w:r>
      <w:r w:rsidRPr="006D72FE">
        <w:rPr>
          <w:rFonts w:ascii="Times New Roman" w:hAnsi="Times New Roman"/>
          <w:sz w:val="24"/>
          <w:szCs w:val="24"/>
        </w:rPr>
        <w:t xml:space="preserve">TCA’s </w:t>
      </w:r>
      <w:r>
        <w:rPr>
          <w:rFonts w:ascii="Times New Roman" w:hAnsi="Times New Roman"/>
          <w:sz w:val="24"/>
          <w:szCs w:val="24"/>
        </w:rPr>
        <w:t xml:space="preserve">[Texas Tort Claims Act] </w:t>
      </w:r>
      <w:r w:rsidRPr="006D72FE">
        <w:rPr>
          <w:rFonts w:ascii="Times New Roman" w:hAnsi="Times New Roman"/>
          <w:sz w:val="24"/>
          <w:szCs w:val="24"/>
        </w:rPr>
        <w:t xml:space="preserve">emergency response </w:t>
      </w:r>
      <w:proofErr w:type="gramStart"/>
      <w:r w:rsidRPr="006D72FE">
        <w:rPr>
          <w:rFonts w:ascii="Times New Roman" w:hAnsi="Times New Roman"/>
          <w:sz w:val="24"/>
          <w:szCs w:val="24"/>
        </w:rPr>
        <w:t>exception.</w:t>
      </w:r>
      <w:r>
        <w:rPr>
          <w:rFonts w:ascii="Times New Roman" w:hAnsi="Times New Roman"/>
          <w:sz w:val="24"/>
          <w:szCs w:val="24"/>
        </w:rPr>
        <w:t>”</w:t>
      </w:r>
      <w:proofErr w:type="gramEnd"/>
      <w:r>
        <w:rPr>
          <w:rFonts w:ascii="Times New Roman" w:hAnsi="Times New Roman"/>
          <w:sz w:val="24"/>
          <w:szCs w:val="24"/>
        </w:rPr>
        <w:t xml:space="preserve"> </w:t>
      </w:r>
      <w:bookmarkStart w:id="200" w:name="_Hlk66946639"/>
      <w:r w:rsidR="00F00958">
        <w:fldChar w:fldCharType="begin"/>
      </w:r>
      <w:r w:rsidR="00F00958">
        <w:instrText xml:space="preserve"> HYPERLINK "https://www.txcourts.gov/media/1446920/13-19-00236-cv-city-of-kingsville-v-dominguez-memo-op.pdf" </w:instrText>
      </w:r>
      <w:r w:rsidR="00F00958">
        <w:fldChar w:fldCharType="separate"/>
      </w:r>
      <w:r w:rsidRPr="00DE6B93">
        <w:rPr>
          <w:rStyle w:val="Hyperlink"/>
          <w:rFonts w:ascii="Times New Roman" w:hAnsi="Times New Roman"/>
          <w:sz w:val="24"/>
          <w:szCs w:val="24"/>
        </w:rPr>
        <w:t>https://www.txcourts.gov/media/1446920/13-19-00236-cv-city-of-kingsville-v-dominguez-memo-op.pdf</w:t>
      </w:r>
      <w:r w:rsidR="00F00958">
        <w:rPr>
          <w:rStyle w:val="Hyperlink"/>
          <w:rFonts w:ascii="Times New Roman" w:hAnsi="Times New Roman"/>
          <w:sz w:val="24"/>
          <w:szCs w:val="24"/>
        </w:rPr>
        <w:fldChar w:fldCharType="end"/>
      </w:r>
    </w:p>
    <w:p w14:paraId="3930AD62" w14:textId="77777777" w:rsidR="00A672EE" w:rsidRPr="006D72FE" w:rsidRDefault="00A672EE" w:rsidP="00A672EE">
      <w:pPr>
        <w:pStyle w:val="NoSpacing"/>
        <w:rPr>
          <w:rFonts w:ascii="Times New Roman" w:hAnsi="Times New Roman"/>
          <w:b/>
          <w:bCs/>
          <w:sz w:val="24"/>
          <w:szCs w:val="24"/>
        </w:rPr>
      </w:pPr>
      <w:r w:rsidRPr="006D72FE">
        <w:rPr>
          <w:rFonts w:ascii="Times New Roman" w:hAnsi="Times New Roman"/>
          <w:b/>
          <w:bCs/>
          <w:sz w:val="24"/>
          <w:szCs w:val="24"/>
        </w:rPr>
        <w:t>Legal Lessons Learned:</w:t>
      </w:r>
      <w:r>
        <w:rPr>
          <w:rFonts w:ascii="Times New Roman" w:hAnsi="Times New Roman"/>
          <w:b/>
          <w:bCs/>
          <w:sz w:val="24"/>
          <w:szCs w:val="24"/>
        </w:rPr>
        <w:t xml:space="preserve"> FDs should consider including in their emergency vehicle policy those situations where one apparatus is following another through a controlled intersection. </w:t>
      </w:r>
    </w:p>
    <w:bookmarkEnd w:id="200"/>
    <w:p w14:paraId="12E93138" w14:textId="77777777" w:rsidR="00D94DC4" w:rsidRDefault="00D94DC4" w:rsidP="00EF1133">
      <w:pPr>
        <w:rPr>
          <w:rFonts w:ascii="Arial Black" w:hAnsi="Arial Black"/>
          <w:b/>
          <w:sz w:val="24"/>
          <w:szCs w:val="24"/>
        </w:rPr>
      </w:pPr>
    </w:p>
    <w:p w14:paraId="345AC58D" w14:textId="6D774043" w:rsidR="00D94DC4" w:rsidRDefault="00D94DC4" w:rsidP="00EF1133">
      <w:pPr>
        <w:rPr>
          <w:rFonts w:ascii="Arial Black" w:hAnsi="Arial Black"/>
          <w:b/>
          <w:sz w:val="24"/>
          <w:szCs w:val="24"/>
        </w:rPr>
      </w:pPr>
      <w:r>
        <w:rPr>
          <w:rFonts w:ascii="Arial Black" w:hAnsi="Arial Black"/>
          <w:b/>
          <w:sz w:val="24"/>
          <w:szCs w:val="24"/>
        </w:rPr>
        <w:lastRenderedPageBreak/>
        <w:t>5-12</w:t>
      </w:r>
    </w:p>
    <w:p w14:paraId="27084001" w14:textId="77777777" w:rsidR="00D94DC4" w:rsidRPr="008A7C9E" w:rsidRDefault="00D94DC4" w:rsidP="00D94DC4">
      <w:pPr>
        <w:spacing w:before="100" w:beforeAutospacing="1" w:after="100" w:afterAutospacing="1" w:line="240" w:lineRule="auto"/>
        <w:rPr>
          <w:rFonts w:ascii="Arial Black" w:eastAsia="Times New Roman" w:hAnsi="Arial Black"/>
          <w:b/>
          <w:bCs/>
          <w:sz w:val="28"/>
          <w:szCs w:val="28"/>
        </w:rPr>
      </w:pPr>
      <w:r w:rsidRPr="008A7C9E">
        <w:rPr>
          <w:rFonts w:ascii="Arial Black" w:eastAsia="Times New Roman" w:hAnsi="Arial Black"/>
          <w:b/>
          <w:bCs/>
          <w:sz w:val="28"/>
          <w:szCs w:val="28"/>
        </w:rPr>
        <w:t xml:space="preserve">TX: </w:t>
      </w:r>
      <w:r>
        <w:rPr>
          <w:rFonts w:ascii="Arial Black" w:eastAsia="Times New Roman" w:hAnsi="Arial Black"/>
          <w:b/>
          <w:bCs/>
          <w:sz w:val="28"/>
          <w:szCs w:val="28"/>
        </w:rPr>
        <w:t>MEMBER OF COMMUNITY. EMER. RESPONSE TEAM [CERT] - ILLEGALLY USING LIGHTS &amp; SIREN – CONVICTION CONFIRMED</w:t>
      </w:r>
    </w:p>
    <w:p w14:paraId="028C2FA6" w14:textId="77777777" w:rsidR="00D94DC4" w:rsidRDefault="00D94DC4" w:rsidP="00D94DC4">
      <w:pPr>
        <w:spacing w:before="100" w:beforeAutospacing="1" w:after="100" w:afterAutospacing="1" w:line="240" w:lineRule="auto"/>
        <w:rPr>
          <w:rFonts w:ascii="Times New Roman" w:hAnsi="Times New Roman"/>
          <w:sz w:val="24"/>
          <w:szCs w:val="24"/>
        </w:rPr>
      </w:pPr>
      <w:r w:rsidRPr="00726E26">
        <w:rPr>
          <w:rFonts w:ascii="Times New Roman" w:hAnsi="Times New Roman"/>
          <w:sz w:val="24"/>
          <w:szCs w:val="24"/>
        </w:rPr>
        <w:t xml:space="preserve">On April 14, 2020, in </w:t>
      </w:r>
      <w:r w:rsidRPr="00726E26">
        <w:rPr>
          <w:rFonts w:ascii="Times New Roman" w:hAnsi="Times New Roman"/>
          <w:sz w:val="24"/>
          <w:szCs w:val="24"/>
          <w:u w:val="single"/>
        </w:rPr>
        <w:t>Michael Thomas Paul v. State of Texas</w:t>
      </w:r>
      <w:r>
        <w:rPr>
          <w:rFonts w:ascii="Times New Roman" w:hAnsi="Times New Roman"/>
          <w:sz w:val="24"/>
          <w:szCs w:val="24"/>
        </w:rPr>
        <w:t xml:space="preserve">, the Court of Appeals, Seventh District of Texas at Amarillo, held (3 to 0) that defendant was properly convicted after a bench trial (not jury trial) of the </w:t>
      </w:r>
      <w:r w:rsidRPr="00726E26">
        <w:rPr>
          <w:rFonts w:ascii="Times New Roman" w:hAnsi="Times New Roman"/>
          <w:sz w:val="24"/>
          <w:szCs w:val="24"/>
        </w:rPr>
        <w:t>offense of impersonating a public servant, a third-degree felony.</w:t>
      </w:r>
      <w:r>
        <w:rPr>
          <w:rFonts w:ascii="Times New Roman" w:hAnsi="Times New Roman"/>
          <w:sz w:val="24"/>
          <w:szCs w:val="24"/>
        </w:rPr>
        <w:t xml:space="preserve"> </w:t>
      </w:r>
      <w:hyperlink r:id="rId969" w:history="1">
        <w:r w:rsidRPr="00250842">
          <w:rPr>
            <w:rStyle w:val="Hyperlink"/>
            <w:sz w:val="24"/>
            <w:szCs w:val="24"/>
          </w:rPr>
          <w:t>https://cases.justia.com/texas/seventh-court-of-appeals/2020-07-19-00027-cr.pdf?ts=1586952945</w:t>
        </w:r>
      </w:hyperlink>
      <w:r>
        <w:rPr>
          <w:rFonts w:ascii="Times New Roman" w:hAnsi="Times New Roman"/>
          <w:sz w:val="24"/>
          <w:szCs w:val="24"/>
        </w:rPr>
        <w:t xml:space="preserve"> </w:t>
      </w:r>
    </w:p>
    <w:p w14:paraId="4DDACF54" w14:textId="77777777" w:rsidR="00D94DC4" w:rsidRDefault="00D94DC4" w:rsidP="00D94DC4">
      <w:pPr>
        <w:spacing w:before="100" w:beforeAutospacing="1" w:after="100" w:afterAutospacing="1" w:line="240" w:lineRule="auto"/>
        <w:jc w:val="both"/>
        <w:rPr>
          <w:rFonts w:ascii="Times New Roman" w:hAnsi="Times New Roman"/>
          <w:b/>
          <w:bCs/>
          <w:sz w:val="24"/>
          <w:szCs w:val="24"/>
        </w:rPr>
      </w:pPr>
      <w:r w:rsidRPr="00EC01F5">
        <w:rPr>
          <w:rFonts w:ascii="Times New Roman" w:hAnsi="Times New Roman"/>
          <w:b/>
          <w:bCs/>
          <w:sz w:val="24"/>
          <w:szCs w:val="24"/>
        </w:rPr>
        <w:t>Legal Lessons Learned:</w:t>
      </w:r>
      <w:r>
        <w:rPr>
          <w:rFonts w:ascii="Times New Roman" w:hAnsi="Times New Roman"/>
          <w:b/>
          <w:bCs/>
          <w:sz w:val="24"/>
          <w:szCs w:val="24"/>
        </w:rPr>
        <w:t xml:space="preserve"> Members of CERT Teams should be reminded they are not emergency responders, and use of emergency lights &amp; sirens can lead to conviction. </w:t>
      </w:r>
    </w:p>
    <w:p w14:paraId="5E50B962" w14:textId="77777777" w:rsidR="00D94DC4" w:rsidRPr="00EC01F5" w:rsidRDefault="00D94DC4" w:rsidP="00D94DC4">
      <w:pPr>
        <w:spacing w:before="100" w:beforeAutospacing="1" w:after="100" w:afterAutospacing="1" w:line="240" w:lineRule="auto"/>
        <w:ind w:left="720"/>
        <w:jc w:val="both"/>
        <w:rPr>
          <w:rFonts w:ascii="Times New Roman" w:hAnsi="Times New Roman"/>
          <w:sz w:val="24"/>
          <w:szCs w:val="24"/>
        </w:rPr>
      </w:pPr>
      <w:r w:rsidRPr="00EC01F5">
        <w:rPr>
          <w:rFonts w:ascii="Times New Roman" w:hAnsi="Times New Roman"/>
          <w:sz w:val="24"/>
          <w:szCs w:val="24"/>
        </w:rPr>
        <w:t xml:space="preserve">Note: Defendant </w:t>
      </w:r>
      <w:r>
        <w:rPr>
          <w:rFonts w:ascii="Times New Roman" w:hAnsi="Times New Roman"/>
          <w:sz w:val="24"/>
          <w:szCs w:val="24"/>
        </w:rPr>
        <w:t xml:space="preserve">was very fortunate to receive a suspended sentence and placed on probation for three years. </w:t>
      </w:r>
    </w:p>
    <w:p w14:paraId="2C06A724" w14:textId="71E33349" w:rsidR="00C9355B" w:rsidRDefault="00C9355B" w:rsidP="00EF1133">
      <w:pPr>
        <w:rPr>
          <w:rFonts w:ascii="Arial Black" w:hAnsi="Arial Black"/>
          <w:b/>
          <w:sz w:val="24"/>
          <w:szCs w:val="24"/>
        </w:rPr>
      </w:pPr>
      <w:r>
        <w:rPr>
          <w:rFonts w:ascii="Arial Black" w:hAnsi="Arial Black"/>
          <w:b/>
          <w:sz w:val="24"/>
          <w:szCs w:val="24"/>
        </w:rPr>
        <w:t>5-11</w:t>
      </w:r>
    </w:p>
    <w:p w14:paraId="60F8F100" w14:textId="77777777" w:rsidR="00C9355B" w:rsidRPr="005E0291" w:rsidRDefault="00C9355B" w:rsidP="00C9355B">
      <w:pPr>
        <w:spacing w:before="100" w:beforeAutospacing="1" w:after="100" w:afterAutospacing="1"/>
        <w:rPr>
          <w:rFonts w:ascii="Arial Black" w:eastAsia="Times New Roman" w:hAnsi="Arial Black"/>
          <w:b/>
          <w:sz w:val="28"/>
          <w:szCs w:val="28"/>
        </w:rPr>
      </w:pPr>
      <w:bookmarkStart w:id="201" w:name="_Hlk39763993"/>
      <w:r w:rsidRPr="005E0291">
        <w:rPr>
          <w:rFonts w:ascii="Arial Black" w:eastAsia="Times New Roman" w:hAnsi="Arial Black"/>
          <w:sz w:val="28"/>
          <w:szCs w:val="28"/>
        </w:rPr>
        <w:t xml:space="preserve">LA: </w:t>
      </w:r>
      <w:r>
        <w:rPr>
          <w:rFonts w:ascii="Arial Black" w:eastAsia="Times New Roman" w:hAnsi="Arial Black"/>
          <w:sz w:val="28"/>
          <w:szCs w:val="28"/>
        </w:rPr>
        <w:t xml:space="preserve"> ENGINE EMER. RUN – FROM LEFT LANE, MADE SHARP RIGHT TURN, COLLISION – GROSS NEGLIGENCE - NO IMMUNITY</w:t>
      </w:r>
    </w:p>
    <w:p w14:paraId="49427D51" w14:textId="77777777" w:rsidR="00C9355B" w:rsidRPr="009C4A80" w:rsidRDefault="00C9355B" w:rsidP="00C9355B">
      <w:pPr>
        <w:spacing w:before="100" w:beforeAutospacing="1" w:after="100" w:afterAutospacing="1"/>
        <w:rPr>
          <w:rFonts w:ascii="Times New Roman" w:eastAsia="Times New Roman" w:hAnsi="Times New Roman"/>
          <w:b/>
          <w:sz w:val="24"/>
          <w:szCs w:val="24"/>
        </w:rPr>
      </w:pPr>
      <w:r w:rsidRPr="009C4A80">
        <w:rPr>
          <w:rFonts w:ascii="Times New Roman" w:eastAsia="Times New Roman" w:hAnsi="Times New Roman"/>
          <w:sz w:val="24"/>
          <w:szCs w:val="24"/>
        </w:rPr>
        <w:t xml:space="preserve">On Jan. 8, 2020, in </w:t>
      </w:r>
      <w:r w:rsidRPr="009C4A80">
        <w:rPr>
          <w:rFonts w:ascii="Times New Roman" w:eastAsia="Times New Roman" w:hAnsi="Times New Roman"/>
          <w:sz w:val="24"/>
          <w:szCs w:val="24"/>
          <w:u w:val="single"/>
        </w:rPr>
        <w:t>Louis Ridgel v. Mitchell Chevalier, St. Bernard Parish Fire Department, et al</w:t>
      </w:r>
      <w:r w:rsidRPr="009C4A80">
        <w:rPr>
          <w:rFonts w:ascii="Times New Roman" w:eastAsia="Times New Roman" w:hAnsi="Times New Roman"/>
          <w:sz w:val="24"/>
          <w:szCs w:val="24"/>
        </w:rPr>
        <w:t xml:space="preserve">., the LA Court of Appeals, Fourth Circuit, held (3 to 0) that the trial judge properly found that the firefighter’s sharp right turn, even if had lights and sirens on, amounted to “gross negligence” and therefore the states’ immunity statute did not apply. </w:t>
      </w:r>
    </w:p>
    <w:p w14:paraId="0D3BF24F" w14:textId="16CE70FB" w:rsidR="00C9355B" w:rsidRPr="009C4A80" w:rsidRDefault="00C9355B" w:rsidP="009C4A80">
      <w:pPr>
        <w:ind w:left="720"/>
        <w:rPr>
          <w:rFonts w:ascii="Times New Roman" w:hAnsi="Times New Roman"/>
          <w:b/>
          <w:sz w:val="24"/>
          <w:szCs w:val="24"/>
        </w:rPr>
      </w:pPr>
      <w:r w:rsidRPr="009C4A80">
        <w:rPr>
          <w:rFonts w:ascii="Times New Roman" w:hAnsi="Times New Roman"/>
          <w:bCs/>
          <w:sz w:val="24"/>
          <w:szCs w:val="24"/>
        </w:rPr>
        <w:t xml:space="preserve">“The trial court found, however, that Mr. Chevalier [FF driver] should have kept a proper lookout for other motorists on the road, specifically because he was making a right turn from the left lane. Further, the trial court determined that the evidence showed that Mr. Chevalier intended to make a quick right turn from the left lane onto West Judge Perez </w:t>
      </w:r>
      <w:proofErr w:type="gramStart"/>
      <w:r w:rsidRPr="009C4A80">
        <w:rPr>
          <w:rFonts w:ascii="Times New Roman" w:hAnsi="Times New Roman"/>
          <w:bCs/>
          <w:sz w:val="24"/>
          <w:szCs w:val="24"/>
        </w:rPr>
        <w:t>Drive, but</w:t>
      </w:r>
      <w:proofErr w:type="gramEnd"/>
      <w:r w:rsidRPr="009C4A80">
        <w:rPr>
          <w:rFonts w:ascii="Times New Roman" w:hAnsi="Times New Roman"/>
          <w:bCs/>
          <w:sz w:val="24"/>
          <w:szCs w:val="24"/>
        </w:rPr>
        <w:t xml:space="preserve"> did not ensure it was safe to make that right turn. As such, the trial court determined that Mr. Chevalier’s actions constituted gross negligence despite the immunity established by La. R.S. 32:24. We agree.  </w:t>
      </w:r>
      <w:hyperlink r:id="rId970" w:history="1">
        <w:r w:rsidRPr="009C4A80">
          <w:rPr>
            <w:rStyle w:val="Hyperlink"/>
            <w:rFonts w:ascii="Times New Roman" w:hAnsi="Times New Roman"/>
            <w:b/>
            <w:sz w:val="24"/>
            <w:szCs w:val="24"/>
          </w:rPr>
          <w:t>https://cases.justia.com/louisiana/fourth-circuit-court-of-appeal/2020-2019-ca-0250.pdf?ts=1578564502</w:t>
        </w:r>
      </w:hyperlink>
    </w:p>
    <w:p w14:paraId="5E2F24FC" w14:textId="77777777" w:rsidR="00C9355B" w:rsidRPr="009C4A80" w:rsidRDefault="00C9355B" w:rsidP="00C9355B">
      <w:pPr>
        <w:spacing w:before="100" w:beforeAutospacing="1" w:after="100" w:afterAutospacing="1"/>
        <w:rPr>
          <w:rFonts w:ascii="Times New Roman" w:hAnsi="Times New Roman"/>
          <w:b/>
          <w:bCs/>
          <w:sz w:val="24"/>
          <w:szCs w:val="24"/>
        </w:rPr>
      </w:pPr>
      <w:bookmarkStart w:id="202" w:name="_Hlk40510107"/>
      <w:bookmarkEnd w:id="201"/>
      <w:r w:rsidRPr="009C4A80">
        <w:rPr>
          <w:rFonts w:ascii="Times New Roman" w:hAnsi="Times New Roman"/>
          <w:b/>
          <w:bCs/>
          <w:sz w:val="24"/>
          <w:szCs w:val="24"/>
        </w:rPr>
        <w:t xml:space="preserve">Legal Lessons Learned:  Share these facts with your FD and discuss what steps could have been taken by both the FF driver and the </w:t>
      </w:r>
      <w:proofErr w:type="gramStart"/>
      <w:r w:rsidRPr="009C4A80">
        <w:rPr>
          <w:rFonts w:ascii="Times New Roman" w:hAnsi="Times New Roman"/>
          <w:b/>
          <w:bCs/>
          <w:sz w:val="24"/>
          <w:szCs w:val="24"/>
        </w:rPr>
        <w:t>Captain</w:t>
      </w:r>
      <w:proofErr w:type="gramEnd"/>
      <w:r w:rsidRPr="009C4A80">
        <w:rPr>
          <w:rFonts w:ascii="Times New Roman" w:hAnsi="Times New Roman"/>
          <w:b/>
          <w:bCs/>
          <w:sz w:val="24"/>
          <w:szCs w:val="24"/>
        </w:rPr>
        <w:t xml:space="preserve"> to avoid the collision.  FYI: the plaintiff claimed personal injury and was awarded total of $143,074 in damages.  </w:t>
      </w:r>
    </w:p>
    <w:bookmarkEnd w:id="202"/>
    <w:p w14:paraId="4A855BE8" w14:textId="7923C1DF" w:rsidR="00C9355B" w:rsidRPr="009C4A80" w:rsidRDefault="00C9355B" w:rsidP="00EF1133">
      <w:pPr>
        <w:rPr>
          <w:rFonts w:ascii="Times New Roman" w:hAnsi="Times New Roman"/>
          <w:b/>
          <w:sz w:val="24"/>
          <w:szCs w:val="24"/>
        </w:rPr>
      </w:pPr>
    </w:p>
    <w:p w14:paraId="6BD18C1C" w14:textId="77777777" w:rsidR="00C9355B" w:rsidRDefault="00C9355B" w:rsidP="00EF1133">
      <w:pPr>
        <w:rPr>
          <w:rFonts w:ascii="Arial Black" w:hAnsi="Arial Black"/>
          <w:b/>
          <w:sz w:val="24"/>
          <w:szCs w:val="24"/>
        </w:rPr>
      </w:pPr>
    </w:p>
    <w:p w14:paraId="70C69FEB" w14:textId="4A43F479" w:rsidR="00A06387" w:rsidRDefault="00A06387" w:rsidP="00EF1133">
      <w:pPr>
        <w:rPr>
          <w:rFonts w:ascii="Arial Black" w:hAnsi="Arial Black"/>
          <w:b/>
          <w:sz w:val="24"/>
          <w:szCs w:val="24"/>
        </w:rPr>
      </w:pPr>
      <w:r>
        <w:rPr>
          <w:rFonts w:ascii="Arial Black" w:hAnsi="Arial Black"/>
          <w:b/>
          <w:sz w:val="24"/>
          <w:szCs w:val="24"/>
        </w:rPr>
        <w:t>5-10</w:t>
      </w:r>
    </w:p>
    <w:p w14:paraId="203A74FE" w14:textId="77777777" w:rsidR="00A06387" w:rsidRDefault="00A06387" w:rsidP="00A06387">
      <w:pPr>
        <w:pStyle w:val="NoSpacing"/>
        <w:rPr>
          <w:rFonts w:ascii="Arial Black" w:hAnsi="Arial Black"/>
          <w:sz w:val="28"/>
          <w:szCs w:val="28"/>
        </w:rPr>
      </w:pPr>
      <w:r>
        <w:rPr>
          <w:rFonts w:ascii="Arial Black" w:hAnsi="Arial Black"/>
          <w:sz w:val="28"/>
          <w:szCs w:val="28"/>
        </w:rPr>
        <w:lastRenderedPageBreak/>
        <w:t xml:space="preserve">TX:  PD RESPONSE ROBBERY CALL – MVA – CONFLICTING REPORTS ON EMERENCY LIGHTS, LAWSUIT REINSTATED </w:t>
      </w:r>
    </w:p>
    <w:p w14:paraId="7DA6E9FE" w14:textId="77777777" w:rsidR="00A06387" w:rsidRDefault="00A06387" w:rsidP="00A06387">
      <w:pPr>
        <w:pStyle w:val="NoSpacing"/>
        <w:rPr>
          <w:rFonts w:ascii="Arial Black" w:hAnsi="Arial Black"/>
          <w:sz w:val="28"/>
          <w:szCs w:val="28"/>
        </w:rPr>
      </w:pPr>
    </w:p>
    <w:p w14:paraId="076BBE8C"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Cs/>
          <w:sz w:val="24"/>
          <w:szCs w:val="24"/>
        </w:rPr>
        <w:t xml:space="preserve">On Oct. 29, 2019, in </w:t>
      </w:r>
      <w:r w:rsidRPr="009C4A80">
        <w:rPr>
          <w:rFonts w:ascii="Times New Roman" w:hAnsi="Times New Roman"/>
          <w:bCs/>
          <w:sz w:val="24"/>
          <w:szCs w:val="24"/>
          <w:u w:val="single"/>
        </w:rPr>
        <w:t>Marcia Gomez v. City of Houston</w:t>
      </w:r>
      <w:r w:rsidRPr="009C4A80">
        <w:rPr>
          <w:rFonts w:ascii="Times New Roman" w:hAnsi="Times New Roman"/>
          <w:bCs/>
          <w:sz w:val="24"/>
          <w:szCs w:val="24"/>
        </w:rPr>
        <w:t>, the Texas Fourteenth Court of Appeals held (</w:t>
      </w:r>
      <w:proofErr w:type="spellStart"/>
      <w:r w:rsidRPr="009C4A80">
        <w:rPr>
          <w:rFonts w:ascii="Times New Roman" w:hAnsi="Times New Roman"/>
          <w:bCs/>
          <w:sz w:val="24"/>
          <w:szCs w:val="24"/>
        </w:rPr>
        <w:t>en</w:t>
      </w:r>
      <w:proofErr w:type="spellEnd"/>
      <w:r w:rsidRPr="009C4A80">
        <w:rPr>
          <w:rFonts w:ascii="Times New Roman" w:hAnsi="Times New Roman"/>
          <w:bCs/>
          <w:sz w:val="24"/>
          <w:szCs w:val="24"/>
        </w:rPr>
        <w:t xml:space="preserve"> banc decision of all judges on court, vote of 6 to 3) held that the trial court improperly granted immunity to the City.  </w:t>
      </w:r>
    </w:p>
    <w:p w14:paraId="15AF2870" w14:textId="77777777" w:rsidR="00A06387" w:rsidRPr="009C4A80" w:rsidRDefault="00A06387" w:rsidP="00A06387">
      <w:pPr>
        <w:pStyle w:val="NoSpacing"/>
        <w:ind w:left="720"/>
        <w:rPr>
          <w:rFonts w:ascii="Times New Roman" w:hAnsi="Times New Roman"/>
          <w:sz w:val="24"/>
          <w:szCs w:val="24"/>
        </w:rPr>
      </w:pPr>
    </w:p>
    <w:p w14:paraId="7BAEFF84" w14:textId="5D3AF1D3"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sz w:val="24"/>
          <w:szCs w:val="24"/>
        </w:rPr>
        <w:t>“</w:t>
      </w:r>
      <w:r w:rsidRPr="009C4A80">
        <w:rPr>
          <w:rFonts w:ascii="Times New Roman" w:hAnsi="Times New Roman"/>
          <w:bCs/>
          <w:sz w:val="24"/>
          <w:szCs w:val="24"/>
        </w:rPr>
        <w:t xml:space="preserve">Thus, the City’s evidence of good faith assumes the truth of a disputed fact —that [Officer] Simmons was using his overhead emergency lights as he approached the </w:t>
      </w:r>
      <w:proofErr w:type="spellStart"/>
      <w:r w:rsidRPr="009C4A80">
        <w:rPr>
          <w:rFonts w:ascii="Times New Roman" w:hAnsi="Times New Roman"/>
          <w:bCs/>
          <w:sz w:val="24"/>
          <w:szCs w:val="24"/>
        </w:rPr>
        <w:t>Crosstimbers</w:t>
      </w:r>
      <w:proofErr w:type="spellEnd"/>
      <w:r w:rsidRPr="009C4A80">
        <w:rPr>
          <w:rFonts w:ascii="Times New Roman" w:hAnsi="Times New Roman"/>
          <w:bCs/>
          <w:sz w:val="24"/>
          <w:szCs w:val="24"/>
        </w:rPr>
        <w:t xml:space="preserve"> intersection. Simmons testified that he used overhead emergency lights continuously from the beginning of his response to the armed-robbery call, but the record contains other evidence that he did not do so. This evidence includes (1) [plaintiff] Gomez’s affidavit testimony that Simmons was not using his vehicle’s overhead emergency lights and (2) [Houston PD Accident Investigator Isaac] Jefferson’s PD accident  determination in his investigation report that Simmons was not using his vehicle’s overhead emergency lights before the collision.”  </w:t>
      </w:r>
    </w:p>
    <w:p w14:paraId="038D58F4" w14:textId="77777777" w:rsidR="00A06387" w:rsidRPr="009C4A80" w:rsidRDefault="00A06387" w:rsidP="00A06387">
      <w:pPr>
        <w:pStyle w:val="NoSpacing"/>
        <w:ind w:left="720"/>
        <w:rPr>
          <w:rFonts w:ascii="Times New Roman" w:hAnsi="Times New Roman"/>
          <w:b/>
          <w:bCs/>
          <w:sz w:val="24"/>
          <w:szCs w:val="24"/>
        </w:rPr>
      </w:pPr>
    </w:p>
    <w:p w14:paraId="609A2EA1"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w:t>
      </w:r>
    </w:p>
    <w:p w14:paraId="15FBB3DA"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The City did not conclusively establish Simmons’s good faith, and a material fact issue exists as to whether Simmons acted recklessly.3Therefore, we reverse the trial court’s judgment and remand the case to the trial court for further proceeding </w:t>
      </w:r>
      <w:proofErr w:type="gramStart"/>
      <w:r w:rsidRPr="009C4A80">
        <w:rPr>
          <w:rFonts w:ascii="Times New Roman" w:hAnsi="Times New Roman"/>
          <w:bCs/>
          <w:sz w:val="24"/>
          <w:szCs w:val="24"/>
        </w:rPr>
        <w:t>consistent</w:t>
      </w:r>
      <w:proofErr w:type="gramEnd"/>
      <w:r w:rsidRPr="009C4A80">
        <w:rPr>
          <w:rFonts w:ascii="Times New Roman" w:hAnsi="Times New Roman"/>
          <w:bCs/>
          <w:sz w:val="24"/>
          <w:szCs w:val="24"/>
        </w:rPr>
        <w:t xml:space="preserve"> with this opinion.</w:t>
      </w:r>
    </w:p>
    <w:p w14:paraId="742F721B" w14:textId="77777777" w:rsidR="00A06387" w:rsidRPr="009C4A80" w:rsidRDefault="00A06387" w:rsidP="00A06387">
      <w:pPr>
        <w:pStyle w:val="NoSpacing"/>
        <w:ind w:left="720"/>
        <w:rPr>
          <w:rFonts w:ascii="Times New Roman" w:hAnsi="Times New Roman"/>
          <w:b/>
          <w:bCs/>
          <w:sz w:val="24"/>
          <w:szCs w:val="24"/>
        </w:rPr>
      </w:pPr>
      <w:hyperlink r:id="rId971" w:history="1">
        <w:r w:rsidRPr="009C4A80">
          <w:rPr>
            <w:rStyle w:val="Hyperlink"/>
            <w:rFonts w:ascii="Times New Roman" w:hAnsi="Times New Roman"/>
            <w:bCs/>
            <w:sz w:val="24"/>
            <w:szCs w:val="24"/>
          </w:rPr>
          <w:t>https://cases.justia.com/texas/fourteenth-court-of-appeals/2019-14-17-00811-cv.pdf?ts=1572351542</w:t>
        </w:r>
      </w:hyperlink>
      <w:r w:rsidRPr="009C4A80">
        <w:rPr>
          <w:rFonts w:ascii="Times New Roman" w:hAnsi="Times New Roman"/>
          <w:bCs/>
          <w:sz w:val="24"/>
          <w:szCs w:val="24"/>
        </w:rPr>
        <w:t xml:space="preserve"> </w:t>
      </w:r>
    </w:p>
    <w:p w14:paraId="5B3973B0"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 </w:t>
      </w:r>
    </w:p>
    <w:p w14:paraId="22C8999F"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
          <w:bCs/>
          <w:sz w:val="24"/>
          <w:szCs w:val="24"/>
        </w:rPr>
        <w:t>Legal Lessons Learned:  Emergency response when lights &amp; siren not used, extreme care must be exercised to prove you drove with “due regard” for the safety of others</w:t>
      </w:r>
      <w:r w:rsidRPr="009C4A80">
        <w:rPr>
          <w:rFonts w:ascii="Times New Roman" w:hAnsi="Times New Roman"/>
          <w:sz w:val="24"/>
          <w:szCs w:val="24"/>
        </w:rPr>
        <w:t xml:space="preserve">. </w:t>
      </w:r>
      <w:r w:rsidRPr="009C4A80">
        <w:rPr>
          <w:rFonts w:ascii="Times New Roman" w:hAnsi="Times New Roman"/>
          <w:bCs/>
          <w:sz w:val="24"/>
          <w:szCs w:val="24"/>
        </w:rPr>
        <w:t xml:space="preserve">For example, Ohio Revised Code 4511.03, Emergency Vehicles At Red Signal Or Stop Sign, provides:  “(A)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 </w:t>
      </w:r>
      <w:hyperlink r:id="rId972" w:history="1">
        <w:r w:rsidRPr="009C4A80">
          <w:rPr>
            <w:rStyle w:val="Hyperlink"/>
            <w:rFonts w:ascii="Times New Roman" w:hAnsi="Times New Roman"/>
            <w:bCs/>
            <w:sz w:val="24"/>
            <w:szCs w:val="24"/>
          </w:rPr>
          <w:t>http://codes.ohio.gov/orc/4511.03v1</w:t>
        </w:r>
      </w:hyperlink>
      <w:r w:rsidRPr="009C4A80">
        <w:rPr>
          <w:rFonts w:ascii="Times New Roman" w:hAnsi="Times New Roman"/>
          <w:bCs/>
          <w:sz w:val="24"/>
          <w:szCs w:val="24"/>
        </w:rPr>
        <w:t xml:space="preserve"> </w:t>
      </w:r>
    </w:p>
    <w:p w14:paraId="19C11B21" w14:textId="255D36C4" w:rsidR="00A06387" w:rsidRPr="009C4A80" w:rsidRDefault="00A06387" w:rsidP="00EF1133">
      <w:pPr>
        <w:rPr>
          <w:rFonts w:ascii="Times New Roman" w:hAnsi="Times New Roman"/>
          <w:b/>
          <w:sz w:val="24"/>
          <w:szCs w:val="24"/>
        </w:rPr>
      </w:pPr>
    </w:p>
    <w:p w14:paraId="7351F4B7" w14:textId="77777777" w:rsidR="00A06387" w:rsidRDefault="00A06387" w:rsidP="00EF1133">
      <w:pPr>
        <w:rPr>
          <w:rFonts w:ascii="Arial Black" w:hAnsi="Arial Black"/>
          <w:b/>
          <w:sz w:val="24"/>
          <w:szCs w:val="24"/>
        </w:rPr>
      </w:pPr>
    </w:p>
    <w:p w14:paraId="120A335C" w14:textId="77777777" w:rsidR="00A06387" w:rsidRDefault="00A06387" w:rsidP="00EF1133">
      <w:pPr>
        <w:rPr>
          <w:rFonts w:ascii="Arial Black" w:hAnsi="Arial Black"/>
          <w:b/>
          <w:sz w:val="24"/>
          <w:szCs w:val="24"/>
        </w:rPr>
      </w:pPr>
    </w:p>
    <w:p w14:paraId="58D952EB" w14:textId="2A261541" w:rsidR="009F0F05" w:rsidRDefault="009F0F05" w:rsidP="00EF1133">
      <w:pPr>
        <w:rPr>
          <w:rFonts w:ascii="Arial Black" w:hAnsi="Arial Black"/>
          <w:b/>
          <w:sz w:val="24"/>
          <w:szCs w:val="24"/>
        </w:rPr>
      </w:pPr>
      <w:r>
        <w:rPr>
          <w:rFonts w:ascii="Arial Black" w:hAnsi="Arial Black"/>
          <w:b/>
          <w:sz w:val="24"/>
          <w:szCs w:val="24"/>
        </w:rPr>
        <w:t>5-9</w:t>
      </w:r>
    </w:p>
    <w:p w14:paraId="6F8A33AD" w14:textId="77777777" w:rsidR="009F0F05" w:rsidRPr="003D7FE9" w:rsidRDefault="009F0F05" w:rsidP="009F0F05">
      <w:pPr>
        <w:rPr>
          <w:rFonts w:ascii="Arial Black" w:hAnsi="Arial Black"/>
          <w:sz w:val="28"/>
          <w:szCs w:val="28"/>
        </w:rPr>
      </w:pPr>
      <w:bookmarkStart w:id="203" w:name="_Hlk39764089"/>
      <w:r w:rsidRPr="003D7FE9">
        <w:rPr>
          <w:rFonts w:ascii="Arial Black" w:hAnsi="Arial Black"/>
          <w:sz w:val="28"/>
          <w:szCs w:val="28"/>
        </w:rPr>
        <w:t xml:space="preserve">NY: </w:t>
      </w:r>
      <w:r>
        <w:rPr>
          <w:rFonts w:ascii="Arial Black" w:hAnsi="Arial Black"/>
          <w:sz w:val="28"/>
          <w:szCs w:val="28"/>
        </w:rPr>
        <w:t xml:space="preserve">VOL. FF INJURED ENGINE ROLLED OVER – CAN NOT SUE VOL. DRIVER OR FD - NO PROOF WILLFUL NEGLIGENCE </w:t>
      </w:r>
    </w:p>
    <w:p w14:paraId="23ED54A8" w14:textId="2D0DE6E4" w:rsidR="009F0F05" w:rsidRPr="006756B6" w:rsidRDefault="009F0F05" w:rsidP="009F0F05">
      <w:pPr>
        <w:rPr>
          <w:rFonts w:ascii="Times New Roman" w:hAnsi="Times New Roman"/>
          <w:sz w:val="24"/>
          <w:szCs w:val="24"/>
        </w:rPr>
      </w:pPr>
      <w:r w:rsidRPr="006756B6">
        <w:rPr>
          <w:rFonts w:ascii="Times New Roman" w:hAnsi="Times New Roman"/>
          <w:sz w:val="24"/>
          <w:szCs w:val="24"/>
        </w:rPr>
        <w:t xml:space="preserve">On </w:t>
      </w:r>
      <w:bookmarkStart w:id="204" w:name="_Hlk39836866"/>
      <w:r w:rsidRPr="006756B6">
        <w:rPr>
          <w:rFonts w:ascii="Times New Roman" w:hAnsi="Times New Roman"/>
          <w:sz w:val="24"/>
          <w:szCs w:val="24"/>
        </w:rPr>
        <w:t xml:space="preserve">Aug. 13, 2019, in </w:t>
      </w:r>
      <w:r w:rsidRPr="006756B6">
        <w:rPr>
          <w:rFonts w:ascii="Times New Roman" w:hAnsi="Times New Roman"/>
          <w:sz w:val="24"/>
          <w:szCs w:val="24"/>
          <w:u w:val="single"/>
        </w:rPr>
        <w:t xml:space="preserve">Robert E. Lee v. Kyle M. Verstraete and </w:t>
      </w:r>
      <w:proofErr w:type="spellStart"/>
      <w:r w:rsidRPr="006756B6">
        <w:rPr>
          <w:rFonts w:ascii="Times New Roman" w:hAnsi="Times New Roman"/>
          <w:sz w:val="24"/>
          <w:szCs w:val="24"/>
          <w:u w:val="single"/>
        </w:rPr>
        <w:t>Marbletown</w:t>
      </w:r>
      <w:proofErr w:type="spellEnd"/>
      <w:r w:rsidRPr="006756B6">
        <w:rPr>
          <w:rFonts w:ascii="Times New Roman" w:hAnsi="Times New Roman"/>
          <w:sz w:val="24"/>
          <w:szCs w:val="24"/>
          <w:u w:val="single"/>
        </w:rPr>
        <w:t xml:space="preserve"> Volunteer Fire Department, Inc, et a</w:t>
      </w:r>
      <w:r w:rsidRPr="006756B6">
        <w:rPr>
          <w:rFonts w:ascii="Times New Roman" w:hAnsi="Times New Roman"/>
          <w:sz w:val="24"/>
          <w:szCs w:val="24"/>
        </w:rPr>
        <w:t>l</w:t>
      </w:r>
      <w:bookmarkEnd w:id="204"/>
      <w:r w:rsidRPr="006756B6">
        <w:rPr>
          <w:rFonts w:ascii="Times New Roman" w:hAnsi="Times New Roman"/>
          <w:sz w:val="24"/>
          <w:szCs w:val="24"/>
        </w:rPr>
        <w:t xml:space="preserve">., Superior Court, Wayne County, 2019 NY Slip Op 29270 (N.Y. Sup. Ct., 2019), Acting Supreme Court Justice John B. Nesbitt granted defense motion to dismiss.  </w:t>
      </w:r>
    </w:p>
    <w:p w14:paraId="4E8930A3" w14:textId="628EAE52" w:rsidR="00DC51D4" w:rsidRPr="006756B6" w:rsidRDefault="009F0F05" w:rsidP="00DC51D4">
      <w:pPr>
        <w:ind w:left="720"/>
        <w:rPr>
          <w:rFonts w:ascii="Times New Roman" w:hAnsi="Times New Roman"/>
          <w:sz w:val="24"/>
          <w:szCs w:val="24"/>
        </w:rPr>
      </w:pPr>
      <w:r w:rsidRPr="006756B6">
        <w:rPr>
          <w:rFonts w:ascii="Times New Roman" w:hAnsi="Times New Roman"/>
          <w:sz w:val="24"/>
          <w:szCs w:val="24"/>
        </w:rPr>
        <w:t xml:space="preserve">“After long thought and careful analysis, the Court grants both </w:t>
      </w:r>
      <w:proofErr w:type="gramStart"/>
      <w:r w:rsidRPr="006756B6">
        <w:rPr>
          <w:rFonts w:ascii="Times New Roman" w:hAnsi="Times New Roman"/>
          <w:sz w:val="24"/>
          <w:szCs w:val="24"/>
        </w:rPr>
        <w:t>defendants</w:t>
      </w:r>
      <w:proofErr w:type="gramEnd"/>
      <w:r w:rsidR="00DC51D4">
        <w:rPr>
          <w:rFonts w:ascii="Times New Roman" w:hAnsi="Times New Roman"/>
          <w:sz w:val="24"/>
          <w:szCs w:val="24"/>
        </w:rPr>
        <w:t xml:space="preserve"> </w:t>
      </w:r>
      <w:r w:rsidRPr="006756B6">
        <w:rPr>
          <w:rFonts w:ascii="Times New Roman" w:hAnsi="Times New Roman"/>
          <w:sz w:val="24"/>
          <w:szCs w:val="24"/>
        </w:rPr>
        <w:t>motions for judgment dismissing the complaint and denying plaintiff's motion to amend the same. First, the Court finds, as a matter of law, upon the papers submitted, that plaintiff fails to demonstrate a triable issue whether the conduct of Kyle Verstraete constituted willful negligence or malfeasance.”</w:t>
      </w:r>
      <w:r w:rsidR="00DC51D4">
        <w:rPr>
          <w:rFonts w:ascii="Times New Roman" w:hAnsi="Times New Roman"/>
          <w:sz w:val="24"/>
          <w:szCs w:val="24"/>
        </w:rPr>
        <w:t xml:space="preserve">  </w:t>
      </w:r>
      <w:bookmarkStart w:id="205" w:name="_Hlk39836885"/>
      <w:r w:rsidR="00DC51D4">
        <w:fldChar w:fldCharType="begin"/>
      </w:r>
      <w:r w:rsidR="00DC51D4">
        <w:instrText xml:space="preserve"> HYPERLINK "https://law.justia.com/cases/new-york/other-courts/2019/2019-ny-slip-op-29270.html" </w:instrText>
      </w:r>
      <w:r w:rsidR="00DC51D4">
        <w:fldChar w:fldCharType="separate"/>
      </w:r>
      <w:r w:rsidR="00DC51D4" w:rsidRPr="006756B6">
        <w:rPr>
          <w:rStyle w:val="Hyperlink"/>
          <w:rFonts w:ascii="Times New Roman" w:hAnsi="Times New Roman"/>
          <w:sz w:val="24"/>
          <w:szCs w:val="24"/>
        </w:rPr>
        <w:t>https://law.justia.com/cases/new-york/other-courts/2019/2019-ny-slip-op-29270.html</w:t>
      </w:r>
      <w:r w:rsidR="00DC51D4">
        <w:rPr>
          <w:rStyle w:val="Hyperlink"/>
          <w:rFonts w:ascii="Times New Roman" w:hAnsi="Times New Roman"/>
          <w:sz w:val="24"/>
          <w:szCs w:val="24"/>
        </w:rPr>
        <w:fldChar w:fldCharType="end"/>
      </w:r>
      <w:r w:rsidR="00DC51D4" w:rsidRPr="006756B6">
        <w:rPr>
          <w:rFonts w:ascii="Times New Roman" w:hAnsi="Times New Roman"/>
          <w:sz w:val="24"/>
          <w:szCs w:val="24"/>
        </w:rPr>
        <w:t xml:space="preserve"> </w:t>
      </w:r>
    </w:p>
    <w:bookmarkEnd w:id="205"/>
    <w:p w14:paraId="62D57E95" w14:textId="001BB76F" w:rsidR="009F0F05" w:rsidRPr="006756B6" w:rsidRDefault="009F0F05" w:rsidP="009F0F05">
      <w:pPr>
        <w:ind w:left="720"/>
        <w:rPr>
          <w:rFonts w:ascii="Times New Roman" w:hAnsi="Times New Roman"/>
          <w:sz w:val="24"/>
          <w:szCs w:val="24"/>
        </w:rPr>
      </w:pPr>
    </w:p>
    <w:bookmarkEnd w:id="203"/>
    <w:p w14:paraId="694A62E5" w14:textId="640BABF1" w:rsidR="009F0F05" w:rsidRDefault="009F0F05" w:rsidP="009F0F05">
      <w:pPr>
        <w:pStyle w:val="NoSpacing"/>
        <w:rPr>
          <w:rFonts w:ascii="Times New Roman" w:hAnsi="Times New Roman"/>
          <w:b/>
          <w:bCs/>
          <w:sz w:val="24"/>
          <w:szCs w:val="24"/>
        </w:rPr>
      </w:pPr>
      <w:r>
        <w:rPr>
          <w:rFonts w:ascii="Times New Roman" w:hAnsi="Times New Roman"/>
          <w:b/>
          <w:bCs/>
          <w:sz w:val="24"/>
          <w:szCs w:val="24"/>
        </w:rPr>
        <w:t xml:space="preserve">Legal Lessons Learned: The injured volunteer firefighter’s only remedy is workers comp.  </w:t>
      </w:r>
      <w:proofErr w:type="gramStart"/>
      <w:r>
        <w:rPr>
          <w:rFonts w:ascii="Times New Roman" w:hAnsi="Times New Roman"/>
          <w:b/>
          <w:bCs/>
          <w:sz w:val="24"/>
          <w:szCs w:val="24"/>
        </w:rPr>
        <w:t>Other</w:t>
      </w:r>
      <w:proofErr w:type="gramEnd"/>
      <w:r>
        <w:rPr>
          <w:rFonts w:ascii="Times New Roman" w:hAnsi="Times New Roman"/>
          <w:b/>
          <w:bCs/>
          <w:sz w:val="24"/>
          <w:szCs w:val="24"/>
        </w:rPr>
        <w:t xml:space="preserve"> lesson - wear your seat belt.</w:t>
      </w:r>
    </w:p>
    <w:p w14:paraId="2ED036E9" w14:textId="04D753E0" w:rsidR="00E26EA8" w:rsidRDefault="00E26EA8" w:rsidP="009F0F05">
      <w:pPr>
        <w:pStyle w:val="NoSpacing"/>
        <w:rPr>
          <w:rFonts w:ascii="Times New Roman" w:hAnsi="Times New Roman"/>
          <w:b/>
          <w:bCs/>
          <w:sz w:val="24"/>
          <w:szCs w:val="24"/>
        </w:rPr>
      </w:pPr>
    </w:p>
    <w:p w14:paraId="659533B1" w14:textId="092AC4E6" w:rsidR="009F0F05" w:rsidRPr="00715CF2" w:rsidRDefault="009F0F05" w:rsidP="00EF1133">
      <w:pPr>
        <w:rPr>
          <w:rFonts w:ascii="Times New Roman" w:hAnsi="Times New Roman"/>
          <w:bCs/>
          <w:sz w:val="24"/>
          <w:szCs w:val="24"/>
        </w:rPr>
      </w:pPr>
    </w:p>
    <w:p w14:paraId="091455C7" w14:textId="77777777" w:rsidR="00715CF2" w:rsidRDefault="00715CF2" w:rsidP="00EF1133">
      <w:pPr>
        <w:rPr>
          <w:rFonts w:ascii="Arial Black" w:hAnsi="Arial Black"/>
          <w:b/>
          <w:sz w:val="24"/>
          <w:szCs w:val="24"/>
        </w:rPr>
      </w:pPr>
    </w:p>
    <w:p w14:paraId="5990C83D" w14:textId="6C2B7BBF" w:rsidR="009F0F05" w:rsidRDefault="009F0F05" w:rsidP="00EF1133">
      <w:pPr>
        <w:rPr>
          <w:rFonts w:ascii="Arial Black" w:hAnsi="Arial Black"/>
          <w:b/>
          <w:sz w:val="24"/>
          <w:szCs w:val="24"/>
        </w:rPr>
      </w:pPr>
      <w:r>
        <w:rPr>
          <w:rFonts w:ascii="Arial Black" w:hAnsi="Arial Black"/>
          <w:b/>
          <w:sz w:val="24"/>
          <w:szCs w:val="24"/>
        </w:rPr>
        <w:t>5-8</w:t>
      </w:r>
    </w:p>
    <w:p w14:paraId="092F8E23" w14:textId="77777777" w:rsidR="009F0F05" w:rsidRDefault="009F0F05" w:rsidP="009F0F05">
      <w:pPr>
        <w:rPr>
          <w:rFonts w:ascii="Arial Black" w:hAnsi="Arial Black"/>
          <w:sz w:val="28"/>
          <w:szCs w:val="28"/>
        </w:rPr>
      </w:pPr>
      <w:bookmarkStart w:id="206" w:name="_Hlk39764142"/>
      <w:r w:rsidRPr="00D803B2">
        <w:rPr>
          <w:rFonts w:ascii="Arial Black" w:hAnsi="Arial Black"/>
          <w:sz w:val="28"/>
          <w:szCs w:val="28"/>
        </w:rPr>
        <w:t xml:space="preserve">IL: </w:t>
      </w:r>
      <w:r>
        <w:rPr>
          <w:rFonts w:ascii="Arial Black" w:hAnsi="Arial Black"/>
          <w:sz w:val="28"/>
          <w:szCs w:val="28"/>
        </w:rPr>
        <w:t xml:space="preserve"> PATIENT INJURED AMBULANCE CRASH - 65 MPH WET HWY – PARAMEDIC REPRIMANDED - QUALIFIED IMMUNITY  </w:t>
      </w:r>
    </w:p>
    <w:p w14:paraId="61A2AF96" w14:textId="71F3EEFE" w:rsidR="009F0F05" w:rsidRDefault="009F0F05" w:rsidP="009F0F05">
      <w:r w:rsidRPr="004112C3">
        <w:rPr>
          <w:rFonts w:ascii="Times New Roman" w:hAnsi="Times New Roman"/>
          <w:sz w:val="24"/>
          <w:szCs w:val="24"/>
        </w:rPr>
        <w:t>On</w:t>
      </w:r>
      <w:r>
        <w:rPr>
          <w:rFonts w:ascii="Times New Roman" w:hAnsi="Times New Roman"/>
          <w:sz w:val="24"/>
          <w:szCs w:val="24"/>
        </w:rPr>
        <w:t xml:space="preserve"> Aug. 6, 2019, in </w:t>
      </w:r>
      <w:r w:rsidRPr="0030048E">
        <w:rPr>
          <w:rFonts w:ascii="Times New Roman" w:hAnsi="Times New Roman"/>
          <w:sz w:val="24"/>
          <w:szCs w:val="24"/>
          <w:u w:val="single"/>
        </w:rPr>
        <w:t>Jeremy Hicks and Isaiah Sampson (a minor) v. City of Fallon, et al.</w:t>
      </w:r>
      <w:r>
        <w:rPr>
          <w:rFonts w:ascii="Times New Roman" w:hAnsi="Times New Roman"/>
          <w:sz w:val="24"/>
          <w:szCs w:val="24"/>
        </w:rPr>
        <w:t xml:space="preserve">, </w:t>
      </w:r>
      <w:r w:rsidRPr="00A84C9A">
        <w:rPr>
          <w:rFonts w:ascii="Times New Roman" w:hAnsi="Times New Roman"/>
          <w:sz w:val="24"/>
          <w:szCs w:val="24"/>
        </w:rPr>
        <w:t xml:space="preserve">2019 Ill. App. 5th 180397, the Appellate Court of Illinois, Fifth District, held (3 to 0) that the trial court properly granted summary judgment to the </w:t>
      </w:r>
      <w:proofErr w:type="gramStart"/>
      <w:r w:rsidRPr="00A84C9A">
        <w:rPr>
          <w:rFonts w:ascii="Times New Roman" w:hAnsi="Times New Roman"/>
          <w:sz w:val="24"/>
          <w:szCs w:val="24"/>
        </w:rPr>
        <w:t>City</w:t>
      </w:r>
      <w:proofErr w:type="gramEnd"/>
      <w:r w:rsidRPr="00A84C9A">
        <w:rPr>
          <w:rFonts w:ascii="Times New Roman" w:hAnsi="Times New Roman"/>
          <w:sz w:val="24"/>
          <w:szCs w:val="24"/>
        </w:rPr>
        <w:t xml:space="preserve"> and the EMS personnel. </w:t>
      </w:r>
      <w:r w:rsidR="00AA589C">
        <w:rPr>
          <w:rFonts w:ascii="Times New Roman" w:hAnsi="Times New Roman"/>
          <w:sz w:val="24"/>
          <w:szCs w:val="24"/>
        </w:rPr>
        <w:t xml:space="preserve"> </w:t>
      </w:r>
      <w:bookmarkStart w:id="207" w:name="_Hlk39766010"/>
      <w:bookmarkEnd w:id="206"/>
      <w:r>
        <w:rPr>
          <w:rFonts w:ascii="Times New Roman" w:hAnsi="Times New Roman"/>
          <w:sz w:val="24"/>
          <w:szCs w:val="24"/>
        </w:rPr>
        <w:t xml:space="preserve">Justice Barberis wrote: </w:t>
      </w:r>
    </w:p>
    <w:p w14:paraId="27549F51" w14:textId="77777777" w:rsidR="00A84C9A" w:rsidRPr="00A84C9A" w:rsidRDefault="009F0F05" w:rsidP="00A84C9A">
      <w:pPr>
        <w:ind w:left="720"/>
        <w:rPr>
          <w:rFonts w:ascii="Times New Roman" w:hAnsi="Times New Roman"/>
          <w:sz w:val="24"/>
          <w:szCs w:val="24"/>
        </w:rPr>
      </w:pPr>
      <w:r>
        <w:rPr>
          <w:rFonts w:ascii="Times New Roman" w:hAnsi="Times New Roman"/>
          <w:sz w:val="24"/>
          <w:szCs w:val="24"/>
        </w:rPr>
        <w:t>“[P]</w:t>
      </w:r>
      <w:proofErr w:type="spellStart"/>
      <w:r w:rsidRPr="00086296">
        <w:rPr>
          <w:rFonts w:ascii="Times New Roman" w:hAnsi="Times New Roman"/>
          <w:sz w:val="24"/>
          <w:szCs w:val="24"/>
        </w:rPr>
        <w:t>laintiffs</w:t>
      </w:r>
      <w:proofErr w:type="spellEnd"/>
      <w:r w:rsidRPr="00086296">
        <w:rPr>
          <w:rFonts w:ascii="Times New Roman" w:hAnsi="Times New Roman"/>
          <w:sz w:val="24"/>
          <w:szCs w:val="24"/>
        </w:rPr>
        <w:t xml:space="preserve"> argue that Sill's</w:t>
      </w:r>
      <w:r>
        <w:rPr>
          <w:rFonts w:ascii="Times New Roman" w:hAnsi="Times New Roman"/>
          <w:sz w:val="24"/>
          <w:szCs w:val="24"/>
        </w:rPr>
        <w:t xml:space="preserve"> {paramedic] </w:t>
      </w:r>
      <w:r w:rsidRPr="00086296">
        <w:rPr>
          <w:rFonts w:ascii="Times New Roman" w:hAnsi="Times New Roman"/>
          <w:sz w:val="24"/>
          <w:szCs w:val="24"/>
        </w:rPr>
        <w:t xml:space="preserve">failure to operate the ambulance at a speed below the speed limit violated the City's policies and procedures, per Wild's deposition testimony, that required an ambulance to be operated slower in adverse conditions than it might be otherwise be operated in </w:t>
      </w:r>
      <w:proofErr w:type="spellStart"/>
      <w:r w:rsidRPr="00086296">
        <w:rPr>
          <w:rFonts w:ascii="Times New Roman" w:hAnsi="Times New Roman"/>
          <w:sz w:val="24"/>
          <w:szCs w:val="24"/>
        </w:rPr>
        <w:t>nonadverse</w:t>
      </w:r>
      <w:proofErr w:type="spellEnd"/>
      <w:r w:rsidRPr="00086296">
        <w:rPr>
          <w:rFonts w:ascii="Times New Roman" w:hAnsi="Times New Roman"/>
          <w:sz w:val="24"/>
          <w:szCs w:val="24"/>
        </w:rPr>
        <w:t xml:space="preserve"> conditions. First, we note that </w:t>
      </w:r>
      <w:r>
        <w:rPr>
          <w:rFonts w:ascii="Times New Roman" w:hAnsi="Times New Roman"/>
          <w:sz w:val="24"/>
          <w:szCs w:val="24"/>
        </w:rPr>
        <w:t>W</w:t>
      </w:r>
      <w:r w:rsidRPr="00086296">
        <w:rPr>
          <w:rFonts w:ascii="Times New Roman" w:hAnsi="Times New Roman"/>
          <w:sz w:val="24"/>
          <w:szCs w:val="24"/>
        </w:rPr>
        <w:t xml:space="preserve">ild </w:t>
      </w:r>
      <w:r>
        <w:rPr>
          <w:rFonts w:ascii="Times New Roman" w:hAnsi="Times New Roman"/>
          <w:sz w:val="24"/>
          <w:szCs w:val="24"/>
        </w:rPr>
        <w:t xml:space="preserve">[paramedic] </w:t>
      </w:r>
      <w:r w:rsidRPr="00086296">
        <w:rPr>
          <w:rFonts w:ascii="Times New Roman" w:hAnsi="Times New Roman"/>
          <w:sz w:val="24"/>
          <w:szCs w:val="24"/>
        </w:rPr>
        <w:t xml:space="preserve">testified that drivers were to maintain slower speeds during adverse weather conditions, although he was unsure whether a specific policy was in place. Moreover, our colleagues in the First District stated that a </w:t>
      </w:r>
      <w:r>
        <w:rPr>
          <w:rFonts w:ascii="Times New Roman" w:hAnsi="Times New Roman"/>
          <w:sz w:val="24"/>
          <w:szCs w:val="24"/>
        </w:rPr>
        <w:t>‘</w:t>
      </w:r>
      <w:r w:rsidRPr="00086296">
        <w:rPr>
          <w:rFonts w:ascii="Times New Roman" w:hAnsi="Times New Roman"/>
          <w:sz w:val="24"/>
          <w:szCs w:val="24"/>
        </w:rPr>
        <w:t>[v]</w:t>
      </w:r>
      <w:proofErr w:type="spellStart"/>
      <w:r w:rsidRPr="00086296">
        <w:rPr>
          <w:rFonts w:ascii="Times New Roman" w:hAnsi="Times New Roman"/>
          <w:sz w:val="24"/>
          <w:szCs w:val="24"/>
        </w:rPr>
        <w:t>iolation</w:t>
      </w:r>
      <w:proofErr w:type="spellEnd"/>
      <w:r w:rsidRPr="00086296">
        <w:rPr>
          <w:rFonts w:ascii="Times New Roman" w:hAnsi="Times New Roman"/>
          <w:sz w:val="24"/>
          <w:szCs w:val="24"/>
        </w:rPr>
        <w:t xml:space="preserve"> of self-imposed rules or internal guidelines *** 'does not normally impose a legal duty, let alone constitute evidence of negligence, or beyond that, willful and wanton conduct.' Wade v. City of Chicago, 364 Ill. App. 3d 773, 781 (2006) (quoting Morton v. City of Chicago, 286 Ill. App. 3d 444, 454 (1997)). Thus, a violation of the City's policy, if one had existed at the time of the accident, would not alone constitute evidence of willful and wanton </w:t>
      </w:r>
      <w:proofErr w:type="gramStart"/>
      <w:r w:rsidRPr="00086296">
        <w:rPr>
          <w:rFonts w:ascii="Times New Roman" w:hAnsi="Times New Roman"/>
          <w:sz w:val="24"/>
          <w:szCs w:val="24"/>
        </w:rPr>
        <w:t>conduct.</w:t>
      </w:r>
      <w:r>
        <w:rPr>
          <w:rFonts w:ascii="Times New Roman" w:hAnsi="Times New Roman"/>
          <w:sz w:val="24"/>
          <w:szCs w:val="24"/>
        </w:rPr>
        <w:t>”</w:t>
      </w:r>
      <w:proofErr w:type="gramEnd"/>
      <w:r w:rsidR="00A84C9A">
        <w:rPr>
          <w:rFonts w:ascii="Times New Roman" w:hAnsi="Times New Roman"/>
          <w:sz w:val="24"/>
          <w:szCs w:val="24"/>
        </w:rPr>
        <w:t xml:space="preserve"> </w:t>
      </w:r>
      <w:hyperlink r:id="rId973" w:history="1">
        <w:r w:rsidR="00A84C9A" w:rsidRPr="00A84C9A">
          <w:rPr>
            <w:rStyle w:val="Hyperlink"/>
            <w:rFonts w:ascii="Times New Roman" w:hAnsi="Times New Roman"/>
            <w:sz w:val="24"/>
            <w:szCs w:val="24"/>
          </w:rPr>
          <w:t>https://casetext.com/case/hicks-v-city-of-ofallon</w:t>
        </w:r>
      </w:hyperlink>
      <w:r w:rsidR="00A84C9A" w:rsidRPr="00A84C9A">
        <w:rPr>
          <w:rFonts w:ascii="Times New Roman" w:hAnsi="Times New Roman"/>
          <w:sz w:val="24"/>
          <w:szCs w:val="24"/>
        </w:rPr>
        <w:t xml:space="preserve"> </w:t>
      </w:r>
    </w:p>
    <w:p w14:paraId="2439432B" w14:textId="77777777" w:rsidR="009F0F05" w:rsidRPr="005245B1" w:rsidRDefault="009F0F05" w:rsidP="009F0F05">
      <w:pPr>
        <w:rPr>
          <w:rFonts w:ascii="Times New Roman" w:hAnsi="Times New Roman"/>
          <w:b/>
          <w:bCs/>
          <w:sz w:val="24"/>
          <w:szCs w:val="24"/>
        </w:rPr>
      </w:pPr>
      <w:bookmarkStart w:id="208" w:name="_Hlk40510205"/>
      <w:bookmarkEnd w:id="207"/>
      <w:r w:rsidRPr="005245B1">
        <w:rPr>
          <w:rFonts w:ascii="Times New Roman" w:hAnsi="Times New Roman"/>
          <w:b/>
          <w:bCs/>
          <w:sz w:val="24"/>
          <w:szCs w:val="24"/>
        </w:rPr>
        <w:t xml:space="preserve">Legal Lessons Learned: </w:t>
      </w:r>
      <w:r>
        <w:rPr>
          <w:rFonts w:ascii="Times New Roman" w:hAnsi="Times New Roman"/>
          <w:b/>
          <w:bCs/>
          <w:sz w:val="24"/>
          <w:szCs w:val="24"/>
        </w:rPr>
        <w:t xml:space="preserve">Immunity </w:t>
      </w:r>
      <w:proofErr w:type="gramStart"/>
      <w:r>
        <w:rPr>
          <w:rFonts w:ascii="Times New Roman" w:hAnsi="Times New Roman"/>
          <w:b/>
          <w:bCs/>
          <w:sz w:val="24"/>
          <w:szCs w:val="24"/>
        </w:rPr>
        <w:t>statute</w:t>
      </w:r>
      <w:proofErr w:type="gramEnd"/>
      <w:r>
        <w:rPr>
          <w:rFonts w:ascii="Times New Roman" w:hAnsi="Times New Roman"/>
          <w:b/>
          <w:bCs/>
          <w:sz w:val="24"/>
          <w:szCs w:val="24"/>
        </w:rPr>
        <w:t xml:space="preserve"> very helpful; but use caution when driving high speeds on a wet highway.  </w:t>
      </w:r>
    </w:p>
    <w:bookmarkEnd w:id="208"/>
    <w:p w14:paraId="4A9C5183" w14:textId="77777777" w:rsidR="009F0F05" w:rsidRDefault="009F0F05" w:rsidP="00EF1133">
      <w:pPr>
        <w:rPr>
          <w:rFonts w:ascii="Arial Black" w:hAnsi="Arial Black"/>
          <w:b/>
          <w:sz w:val="24"/>
          <w:szCs w:val="24"/>
        </w:rPr>
      </w:pPr>
    </w:p>
    <w:p w14:paraId="2084228C" w14:textId="27ED0317" w:rsidR="00EF1133" w:rsidRDefault="00EF1133" w:rsidP="00EF1133">
      <w:pPr>
        <w:rPr>
          <w:rFonts w:ascii="Arial Black" w:hAnsi="Arial Black"/>
          <w:sz w:val="28"/>
          <w:szCs w:val="28"/>
        </w:rPr>
      </w:pPr>
      <w:r w:rsidRPr="00EF1133">
        <w:rPr>
          <w:rFonts w:ascii="Arial Black" w:hAnsi="Arial Black"/>
          <w:b/>
          <w:sz w:val="24"/>
          <w:szCs w:val="24"/>
        </w:rPr>
        <w:t>5-</w:t>
      </w:r>
      <w:r>
        <w:rPr>
          <w:rFonts w:ascii="Arial Black" w:hAnsi="Arial Black"/>
          <w:b/>
          <w:sz w:val="24"/>
          <w:szCs w:val="24"/>
        </w:rPr>
        <w:t>7</w:t>
      </w:r>
    </w:p>
    <w:p w14:paraId="572158BB" w14:textId="1451C876" w:rsidR="00527EDF" w:rsidRDefault="00527EDF" w:rsidP="00527EDF">
      <w:pPr>
        <w:pStyle w:val="NoSpacing"/>
        <w:rPr>
          <w:rFonts w:ascii="Arial Black" w:hAnsi="Arial Black"/>
          <w:sz w:val="28"/>
          <w:szCs w:val="28"/>
        </w:rPr>
      </w:pPr>
      <w:r>
        <w:rPr>
          <w:rFonts w:ascii="Arial Black" w:hAnsi="Arial Black"/>
          <w:sz w:val="28"/>
          <w:szCs w:val="28"/>
        </w:rPr>
        <w:t xml:space="preserve">TX:  EMT LOST CONTROL AMBULANCE - INJURED ROAD GRADER – MAX LIAB. OF NOT-FOR-PROFIT CO. IS $100K  </w:t>
      </w:r>
    </w:p>
    <w:p w14:paraId="3555D47A" w14:textId="77777777" w:rsidR="00527EDF" w:rsidRDefault="00527EDF" w:rsidP="00527EDF">
      <w:pPr>
        <w:pStyle w:val="NoSpacing"/>
        <w:rPr>
          <w:rFonts w:ascii="Arial Black" w:hAnsi="Arial Black"/>
          <w:sz w:val="28"/>
          <w:szCs w:val="28"/>
        </w:rPr>
      </w:pPr>
    </w:p>
    <w:p w14:paraId="38C51E4B" w14:textId="77777777" w:rsidR="00527EDF" w:rsidRPr="004A0292" w:rsidRDefault="00527EDF" w:rsidP="00527EDF">
      <w:pPr>
        <w:pStyle w:val="NoSpacing"/>
        <w:rPr>
          <w:rFonts w:ascii="Times New Roman" w:hAnsi="Times New Roman"/>
          <w:sz w:val="24"/>
          <w:szCs w:val="24"/>
        </w:rPr>
      </w:pPr>
      <w:r w:rsidRPr="004A0292">
        <w:rPr>
          <w:rFonts w:ascii="Times New Roman" w:hAnsi="Times New Roman"/>
          <w:sz w:val="24"/>
          <w:szCs w:val="24"/>
        </w:rPr>
        <w:t xml:space="preserve">On May 23, 2019, in </w:t>
      </w:r>
      <w:r w:rsidRPr="004A0292">
        <w:rPr>
          <w:rFonts w:ascii="Times New Roman" w:hAnsi="Times New Roman"/>
          <w:sz w:val="24"/>
          <w:szCs w:val="24"/>
          <w:u w:val="single"/>
        </w:rPr>
        <w:t>Jose Roel Garcia v. Jesse Perez and South Texas Emergency Care Foundation, Inc.</w:t>
      </w:r>
      <w:r w:rsidRPr="004A0292">
        <w:rPr>
          <w:rFonts w:ascii="Times New Roman" w:hAnsi="Times New Roman"/>
          <w:sz w:val="24"/>
          <w:szCs w:val="24"/>
        </w:rPr>
        <w:t>, the Court of Appeals of Thirteenth District, Corpus Christi held (3 to 0)</w:t>
      </w:r>
    </w:p>
    <w:p w14:paraId="7D27F224" w14:textId="77777777" w:rsidR="00527EDF" w:rsidRPr="004A0292" w:rsidRDefault="00527EDF" w:rsidP="00527EDF">
      <w:pPr>
        <w:pStyle w:val="NoSpacing"/>
        <w:rPr>
          <w:rFonts w:ascii="Times New Roman" w:hAnsi="Times New Roman"/>
          <w:sz w:val="24"/>
          <w:szCs w:val="24"/>
        </w:rPr>
      </w:pPr>
    </w:p>
    <w:p w14:paraId="0081598D" w14:textId="77777777" w:rsidR="00527EDF" w:rsidRPr="004A0292" w:rsidRDefault="00527EDF" w:rsidP="00527EDF">
      <w:pPr>
        <w:pStyle w:val="NoSpacing"/>
        <w:ind w:left="720"/>
        <w:rPr>
          <w:rFonts w:ascii="Times New Roman" w:hAnsi="Times New Roman"/>
          <w:sz w:val="24"/>
          <w:szCs w:val="24"/>
        </w:rPr>
      </w:pPr>
      <w:r w:rsidRPr="004A0292">
        <w:rPr>
          <w:rFonts w:ascii="Times New Roman" w:hAnsi="Times New Roman"/>
          <w:sz w:val="24"/>
          <w:szCs w:val="24"/>
        </w:rPr>
        <w:t>“Thus, we conclude that Garcia’s argument that STEC is not an emergency service organization because it is not operated by volunteer members is not supported by the statute. Accordingly, we reject this argument.”</w:t>
      </w:r>
    </w:p>
    <w:p w14:paraId="34EA4B9A" w14:textId="113270E2" w:rsidR="00527EDF" w:rsidRDefault="00527EDF" w:rsidP="00F326E5">
      <w:pPr>
        <w:pStyle w:val="NoSpacing"/>
        <w:rPr>
          <w:sz w:val="24"/>
          <w:szCs w:val="24"/>
        </w:rPr>
      </w:pPr>
    </w:p>
    <w:p w14:paraId="0B50BC02" w14:textId="77777777" w:rsidR="00527EDF" w:rsidRPr="00E8724B" w:rsidRDefault="00527EDF" w:rsidP="00527EDF">
      <w:pPr>
        <w:pStyle w:val="HTMLPreformatted"/>
        <w:rPr>
          <w:rFonts w:ascii="Times New Roman" w:hAnsi="Times New Roman" w:cs="Times New Roman"/>
          <w:b/>
          <w:sz w:val="24"/>
          <w:szCs w:val="24"/>
        </w:rPr>
      </w:pPr>
      <w:bookmarkStart w:id="209" w:name="_Hlk10126871"/>
      <w:r w:rsidRPr="00E8724B">
        <w:rPr>
          <w:rFonts w:ascii="Times New Roman" w:hAnsi="Times New Roman" w:cs="Times New Roman"/>
          <w:b/>
          <w:sz w:val="24"/>
          <w:szCs w:val="24"/>
        </w:rPr>
        <w:lastRenderedPageBreak/>
        <w:t xml:space="preserve">Legal Lessons Learned: </w:t>
      </w:r>
      <w:r>
        <w:rPr>
          <w:rFonts w:ascii="Times New Roman" w:hAnsi="Times New Roman" w:cs="Times New Roman"/>
          <w:b/>
          <w:sz w:val="24"/>
          <w:szCs w:val="24"/>
        </w:rPr>
        <w:t xml:space="preserve">  Helpful to have a statutory cap on liability for volunteer and not-for-profit emergency response organizations.  This may also reduce the cost of insurance.  </w:t>
      </w:r>
    </w:p>
    <w:bookmarkEnd w:id="209"/>
    <w:p w14:paraId="33495ABD" w14:textId="77777777" w:rsidR="00527EDF" w:rsidRDefault="00527EDF" w:rsidP="00527EDF">
      <w:pPr>
        <w:pStyle w:val="NoSpacing"/>
        <w:rPr>
          <w:rFonts w:ascii="Times New Roman" w:hAnsi="Times New Roman"/>
          <w:sz w:val="24"/>
          <w:szCs w:val="24"/>
        </w:rPr>
      </w:pPr>
    </w:p>
    <w:p w14:paraId="010CFCD3" w14:textId="6A4BE911" w:rsidR="0097592D" w:rsidRDefault="0097592D" w:rsidP="00F326E5">
      <w:pPr>
        <w:pStyle w:val="NoSpacing"/>
        <w:rPr>
          <w:sz w:val="24"/>
          <w:szCs w:val="24"/>
        </w:rPr>
      </w:pPr>
    </w:p>
    <w:p w14:paraId="7D3916C7" w14:textId="77777777" w:rsidR="0097592D" w:rsidRDefault="0097592D" w:rsidP="00F326E5">
      <w:pPr>
        <w:pStyle w:val="NoSpacing"/>
        <w:rPr>
          <w:sz w:val="24"/>
          <w:szCs w:val="24"/>
        </w:rPr>
      </w:pPr>
    </w:p>
    <w:p w14:paraId="42C00D40" w14:textId="5A9B567C" w:rsidR="00527EDF" w:rsidRDefault="00EF1133" w:rsidP="00EF1133">
      <w:pPr>
        <w:rPr>
          <w:sz w:val="24"/>
          <w:szCs w:val="24"/>
        </w:rPr>
      </w:pPr>
      <w:r w:rsidRPr="00EF1133">
        <w:rPr>
          <w:rFonts w:ascii="Arial Black" w:hAnsi="Arial Black"/>
          <w:b/>
          <w:sz w:val="24"/>
          <w:szCs w:val="24"/>
        </w:rPr>
        <w:t>5-</w:t>
      </w:r>
      <w:r>
        <w:rPr>
          <w:rFonts w:ascii="Arial Black" w:hAnsi="Arial Black"/>
          <w:b/>
          <w:sz w:val="24"/>
          <w:szCs w:val="24"/>
        </w:rPr>
        <w:t>6</w:t>
      </w:r>
    </w:p>
    <w:p w14:paraId="3EEA1607" w14:textId="2A633C47" w:rsidR="00F326E5" w:rsidRDefault="002B1283" w:rsidP="00F326E5">
      <w:pPr>
        <w:pStyle w:val="NoSpacing"/>
        <w:rPr>
          <w:rFonts w:ascii="Arial Black" w:hAnsi="Arial Black"/>
          <w:sz w:val="28"/>
          <w:szCs w:val="28"/>
        </w:rPr>
      </w:pPr>
      <w:bookmarkStart w:id="210" w:name="_Hlk39764237"/>
      <w:r>
        <w:rPr>
          <w:rFonts w:ascii="Arial Black" w:hAnsi="Arial Black"/>
          <w:sz w:val="28"/>
          <w:szCs w:val="28"/>
        </w:rPr>
        <w:t>L</w:t>
      </w:r>
      <w:r w:rsidR="00F326E5">
        <w:rPr>
          <w:rFonts w:ascii="Arial Black" w:hAnsi="Arial Black"/>
          <w:sz w:val="28"/>
          <w:szCs w:val="28"/>
        </w:rPr>
        <w:t>A:  EMER. LIGHTS USED, BUT NO SIREN – CHILD NON</w:t>
      </w:r>
      <w:r w:rsidR="00A84C9A">
        <w:rPr>
          <w:rFonts w:ascii="Arial Black" w:hAnsi="Arial Black"/>
          <w:sz w:val="28"/>
          <w:szCs w:val="28"/>
        </w:rPr>
        <w:t>-</w:t>
      </w:r>
      <w:r w:rsidR="00F326E5">
        <w:rPr>
          <w:rFonts w:ascii="Arial Black" w:hAnsi="Arial Black"/>
          <w:sz w:val="28"/>
          <w:szCs w:val="28"/>
        </w:rPr>
        <w:t xml:space="preserve">BREATHER RUN - NO STATUTORY IMMUNITY </w:t>
      </w:r>
    </w:p>
    <w:p w14:paraId="355BDDDD" w14:textId="77777777" w:rsidR="00F326E5" w:rsidRPr="009C4A80" w:rsidRDefault="00F326E5" w:rsidP="00F326E5">
      <w:pPr>
        <w:pStyle w:val="NoSpacing"/>
        <w:rPr>
          <w:rFonts w:ascii="Times New Roman" w:hAnsi="Times New Roman"/>
          <w:b/>
          <w:sz w:val="24"/>
          <w:szCs w:val="24"/>
        </w:rPr>
      </w:pPr>
      <w:r w:rsidRPr="009C4A80">
        <w:rPr>
          <w:rFonts w:ascii="Times New Roman" w:hAnsi="Times New Roman"/>
          <w:sz w:val="24"/>
          <w:szCs w:val="24"/>
        </w:rPr>
        <w:t xml:space="preserve">On Feb. 22, 2019, in </w:t>
      </w:r>
      <w:r w:rsidRPr="009C4A80">
        <w:rPr>
          <w:rFonts w:ascii="Times New Roman" w:hAnsi="Times New Roman"/>
          <w:sz w:val="24"/>
          <w:szCs w:val="24"/>
          <w:u w:val="single"/>
        </w:rPr>
        <w:t xml:space="preserve">Nunzio </w:t>
      </w:r>
      <w:proofErr w:type="spellStart"/>
      <w:r w:rsidRPr="009C4A80">
        <w:rPr>
          <w:rFonts w:ascii="Times New Roman" w:hAnsi="Times New Roman"/>
          <w:sz w:val="24"/>
          <w:szCs w:val="24"/>
          <w:u w:val="single"/>
        </w:rPr>
        <w:t>Inzina</w:t>
      </w:r>
      <w:proofErr w:type="spellEnd"/>
      <w:r w:rsidRPr="009C4A80">
        <w:rPr>
          <w:rFonts w:ascii="Times New Roman" w:hAnsi="Times New Roman"/>
          <w:sz w:val="24"/>
          <w:szCs w:val="24"/>
          <w:u w:val="single"/>
        </w:rPr>
        <w:t xml:space="preserve"> &amp; Emily </w:t>
      </w:r>
      <w:proofErr w:type="spellStart"/>
      <w:r w:rsidRPr="009C4A80">
        <w:rPr>
          <w:rFonts w:ascii="Times New Roman" w:hAnsi="Times New Roman"/>
          <w:sz w:val="24"/>
          <w:szCs w:val="24"/>
          <w:u w:val="single"/>
        </w:rPr>
        <w:t>Inzina</w:t>
      </w:r>
      <w:proofErr w:type="spellEnd"/>
      <w:r w:rsidRPr="009C4A80">
        <w:rPr>
          <w:rFonts w:ascii="Times New Roman" w:hAnsi="Times New Roman"/>
          <w:sz w:val="24"/>
          <w:szCs w:val="24"/>
          <w:u w:val="single"/>
        </w:rPr>
        <w:t xml:space="preserve"> v. Troy Guitreau, et al</w:t>
      </w:r>
      <w:r w:rsidRPr="009C4A80">
        <w:rPr>
          <w:rFonts w:ascii="Times New Roman" w:hAnsi="Times New Roman"/>
          <w:sz w:val="24"/>
          <w:szCs w:val="24"/>
        </w:rPr>
        <w:t xml:space="preserve">.,  the State of Louisiana, Court of Appeal, First District (3 to 0) held that “because the trial court's finding that Mr. Guitreau's emergency lights were insufficient to warn motorists of his approach was not manifestly erroneous, the trial court properly determined that the ‘reckless disregard’ (or ‘gross negligence’) standard does not apply. Mr. Guitreau does not meet the requirements of 32:24(C) and therefore his actions must be assessed under an ordinary negligence </w:t>
      </w:r>
      <w:proofErr w:type="gramStart"/>
      <w:r w:rsidRPr="009C4A80">
        <w:rPr>
          <w:rFonts w:ascii="Times New Roman" w:hAnsi="Times New Roman"/>
          <w:sz w:val="24"/>
          <w:szCs w:val="24"/>
        </w:rPr>
        <w:t>standard.”</w:t>
      </w:r>
      <w:proofErr w:type="gramEnd"/>
      <w:r w:rsidRPr="009C4A80">
        <w:rPr>
          <w:rFonts w:ascii="Times New Roman" w:hAnsi="Times New Roman"/>
          <w:b/>
          <w:sz w:val="24"/>
          <w:szCs w:val="24"/>
        </w:rPr>
        <w:t xml:space="preserve"> </w:t>
      </w:r>
      <w:hyperlink r:id="rId974" w:history="1">
        <w:r w:rsidRPr="009C4A80">
          <w:rPr>
            <w:rStyle w:val="Hyperlink"/>
            <w:rFonts w:ascii="Times New Roman" w:hAnsi="Times New Roman"/>
            <w:sz w:val="24"/>
            <w:szCs w:val="24"/>
          </w:rPr>
          <w:t>http://www.la-fcca.org/opiniongrid/opinionpdf/2018%20CA%200905%20Decision%20Appeal.pdf</w:t>
        </w:r>
      </w:hyperlink>
      <w:r w:rsidRPr="009C4A80">
        <w:rPr>
          <w:rFonts w:ascii="Times New Roman" w:hAnsi="Times New Roman"/>
          <w:b/>
          <w:sz w:val="24"/>
          <w:szCs w:val="24"/>
        </w:rPr>
        <w:t xml:space="preserve"> </w:t>
      </w:r>
    </w:p>
    <w:bookmarkEnd w:id="210"/>
    <w:p w14:paraId="6E875164" w14:textId="77777777" w:rsidR="009C4A80" w:rsidRDefault="009C4A80" w:rsidP="00F326E5">
      <w:pPr>
        <w:pStyle w:val="NoSpacing"/>
        <w:rPr>
          <w:rFonts w:ascii="Times New Roman" w:hAnsi="Times New Roman"/>
          <w:b/>
          <w:sz w:val="24"/>
          <w:szCs w:val="24"/>
        </w:rPr>
      </w:pPr>
    </w:p>
    <w:p w14:paraId="205B4087" w14:textId="6B386BAA" w:rsidR="00F326E5" w:rsidRPr="009C4A80" w:rsidRDefault="00F326E5" w:rsidP="00F326E5">
      <w:pPr>
        <w:pStyle w:val="NoSpacing"/>
        <w:rPr>
          <w:rFonts w:ascii="Times New Roman" w:hAnsi="Times New Roman"/>
          <w:b/>
          <w:sz w:val="24"/>
          <w:szCs w:val="24"/>
        </w:rPr>
      </w:pPr>
      <w:bookmarkStart w:id="211" w:name="_Hlk40510242"/>
      <w:r w:rsidRPr="009C4A80">
        <w:rPr>
          <w:rFonts w:ascii="Times New Roman" w:hAnsi="Times New Roman"/>
          <w:b/>
          <w:sz w:val="24"/>
          <w:szCs w:val="24"/>
        </w:rPr>
        <w:t xml:space="preserve">Legal Lessons Learned: If you are in an accident responding to an emergency, and your siren was on, keep it on when calling dispatch to report the accident – the 911 Dispatch recording will help avoid litigation and liability.  </w:t>
      </w:r>
    </w:p>
    <w:bookmarkEnd w:id="211"/>
    <w:p w14:paraId="024C6EE7" w14:textId="77777777" w:rsidR="00536545" w:rsidRPr="009C4A80" w:rsidRDefault="00536545" w:rsidP="00F326E5">
      <w:pPr>
        <w:rPr>
          <w:rFonts w:ascii="Times New Roman" w:hAnsi="Times New Roman"/>
          <w:b/>
          <w:sz w:val="24"/>
          <w:szCs w:val="24"/>
        </w:rPr>
      </w:pPr>
    </w:p>
    <w:bookmarkEnd w:id="194"/>
    <w:p w14:paraId="1CD749BE" w14:textId="77777777" w:rsidR="00EF1133" w:rsidRDefault="00EF1133" w:rsidP="00F326E5">
      <w:pPr>
        <w:rPr>
          <w:rFonts w:ascii="Arial Black" w:hAnsi="Arial Black"/>
          <w:b/>
          <w:sz w:val="24"/>
          <w:szCs w:val="24"/>
        </w:rPr>
      </w:pPr>
    </w:p>
    <w:p w14:paraId="4C5758B7" w14:textId="77777777" w:rsidR="00536545" w:rsidRDefault="00536545" w:rsidP="00F326E5">
      <w:pPr>
        <w:rPr>
          <w:rFonts w:ascii="Arial Black" w:hAnsi="Arial Black"/>
          <w:b/>
          <w:sz w:val="24"/>
          <w:szCs w:val="24"/>
        </w:rPr>
      </w:pPr>
    </w:p>
    <w:p w14:paraId="059C9922" w14:textId="77777777" w:rsidR="00536545" w:rsidRDefault="00536545" w:rsidP="00F326E5">
      <w:pPr>
        <w:rPr>
          <w:rFonts w:ascii="Arial Black" w:hAnsi="Arial Black"/>
          <w:b/>
          <w:sz w:val="24"/>
          <w:szCs w:val="24"/>
        </w:rPr>
      </w:pPr>
    </w:p>
    <w:p w14:paraId="613BFFDF" w14:textId="4DF3309B" w:rsidR="00F326E5" w:rsidRDefault="00EF1133" w:rsidP="00F326E5">
      <w:pPr>
        <w:rPr>
          <w:rFonts w:ascii="Arial Black" w:hAnsi="Arial Black"/>
          <w:sz w:val="40"/>
          <w:szCs w:val="40"/>
        </w:rPr>
      </w:pPr>
      <w:r w:rsidRPr="00EF1133">
        <w:rPr>
          <w:rFonts w:ascii="Arial Black" w:hAnsi="Arial Black"/>
          <w:b/>
          <w:sz w:val="24"/>
          <w:szCs w:val="24"/>
        </w:rPr>
        <w:t>5-</w:t>
      </w:r>
      <w:r>
        <w:rPr>
          <w:rFonts w:ascii="Arial Black" w:hAnsi="Arial Black"/>
          <w:b/>
          <w:sz w:val="24"/>
          <w:szCs w:val="24"/>
        </w:rPr>
        <w:t>5</w:t>
      </w:r>
    </w:p>
    <w:p w14:paraId="55D3FF9A" w14:textId="35A3B6F2" w:rsidR="00F326E5" w:rsidRDefault="00F326E5" w:rsidP="00F326E5">
      <w:pPr>
        <w:pStyle w:val="NoSpacing"/>
        <w:rPr>
          <w:rFonts w:ascii="Arial Black" w:eastAsia="Times New Roman" w:hAnsi="Arial Black"/>
          <w:sz w:val="28"/>
          <w:szCs w:val="28"/>
        </w:rPr>
      </w:pPr>
      <w:bookmarkStart w:id="212" w:name="_Hlk7342692"/>
      <w:r>
        <w:rPr>
          <w:rFonts w:ascii="Arial Black" w:eastAsia="Times New Roman" w:hAnsi="Arial Black"/>
          <w:sz w:val="28"/>
          <w:szCs w:val="28"/>
        </w:rPr>
        <w:t>IL:  STATE IMMUNITY STATUTE PROTECTS PRIV. &amp; PUBLIC AMBULANCES – ONLY IF PATIENT ON BOARD</w:t>
      </w:r>
    </w:p>
    <w:p w14:paraId="12BBCED6" w14:textId="77777777" w:rsidR="009C4A80" w:rsidRDefault="00F326E5" w:rsidP="00F326E5">
      <w:pPr>
        <w:pStyle w:val="NoSpacing"/>
        <w:rPr>
          <w:rFonts w:ascii="Times New Roman" w:hAnsi="Times New Roman"/>
          <w:sz w:val="24"/>
          <w:szCs w:val="24"/>
        </w:rPr>
      </w:pPr>
      <w:r w:rsidRPr="009C4A80">
        <w:rPr>
          <w:rFonts w:ascii="Times New Roman" w:hAnsi="Times New Roman"/>
          <w:sz w:val="24"/>
          <w:szCs w:val="24"/>
        </w:rPr>
        <w:t xml:space="preserve">On Feb. 1, 2019, in </w:t>
      </w:r>
      <w:r w:rsidRPr="009C4A80">
        <w:rPr>
          <w:rFonts w:ascii="Times New Roman" w:hAnsi="Times New Roman"/>
          <w:sz w:val="24"/>
          <w:szCs w:val="24"/>
          <w:u w:val="single"/>
        </w:rPr>
        <w:t>Roberto Hernandez v. Lifeline Ambulance, LLC and Joshua M. Nicholas</w:t>
      </w:r>
      <w:r w:rsidRPr="009C4A80">
        <w:rPr>
          <w:rFonts w:ascii="Times New Roman" w:hAnsi="Times New Roman"/>
          <w:sz w:val="24"/>
          <w:szCs w:val="24"/>
        </w:rPr>
        <w:t>, the Appellate Court of Illinois (First District; Fifth Division) held (2 to 1):</w:t>
      </w:r>
    </w:p>
    <w:p w14:paraId="302F8D5A" w14:textId="77777777" w:rsidR="009C4A80" w:rsidRDefault="009C4A80" w:rsidP="00F326E5">
      <w:pPr>
        <w:pStyle w:val="NoSpacing"/>
        <w:rPr>
          <w:rFonts w:ascii="Times New Roman" w:hAnsi="Times New Roman"/>
          <w:sz w:val="24"/>
          <w:szCs w:val="24"/>
        </w:rPr>
      </w:pPr>
    </w:p>
    <w:p w14:paraId="41019EDF" w14:textId="2B4E75D6" w:rsidR="00F326E5" w:rsidRPr="009C4A80" w:rsidRDefault="00F326E5" w:rsidP="009C4A80">
      <w:pPr>
        <w:pStyle w:val="NoSpacing"/>
        <w:ind w:left="720"/>
        <w:rPr>
          <w:rFonts w:ascii="Times New Roman" w:eastAsia="Times New Roman" w:hAnsi="Times New Roman"/>
          <w:sz w:val="24"/>
          <w:szCs w:val="24"/>
        </w:rPr>
      </w:pPr>
      <w:r w:rsidRPr="009C4A80">
        <w:rPr>
          <w:rFonts w:ascii="Times New Roman" w:hAnsi="Times New Roman"/>
          <w:sz w:val="24"/>
          <w:szCs w:val="24"/>
        </w:rPr>
        <w:t xml:space="preserve">“As the ambulance driven by Nicholas was not transporting a patient to a health care facility at the time of the collision with the vehicle driven by the plaintiff, section 3.150(a) of the EMS Act does not provide Nicholas or Lifeline with immunity from liability for any negligent acts or omissions which proximately resulted in damages to the plaintiff. </w:t>
      </w:r>
      <w:hyperlink r:id="rId975" w:history="1">
        <w:r w:rsidRPr="009C4A80">
          <w:rPr>
            <w:rStyle w:val="Hyperlink"/>
            <w:rFonts w:ascii="Times New Roman" w:hAnsi="Times New Roman"/>
            <w:sz w:val="24"/>
            <w:szCs w:val="24"/>
          </w:rPr>
          <w:t>https://cases.justia.com/illinois/court-of-appeals-first-appellate-district/2019-1-18-0696.pdf?ts=1549320383</w:t>
        </w:r>
      </w:hyperlink>
      <w:r w:rsidRPr="009C4A80">
        <w:rPr>
          <w:rFonts w:ascii="Times New Roman" w:hAnsi="Times New Roman"/>
          <w:bCs/>
          <w:sz w:val="24"/>
          <w:szCs w:val="24"/>
        </w:rPr>
        <w:t xml:space="preserve"> </w:t>
      </w:r>
    </w:p>
    <w:p w14:paraId="5A5A83F1" w14:textId="77777777" w:rsidR="009C4A80" w:rsidRDefault="009C4A80" w:rsidP="00F326E5">
      <w:pPr>
        <w:pStyle w:val="NoSpacing"/>
        <w:rPr>
          <w:rFonts w:ascii="Times New Roman" w:hAnsi="Times New Roman"/>
          <w:b/>
          <w:sz w:val="24"/>
          <w:szCs w:val="24"/>
        </w:rPr>
      </w:pPr>
    </w:p>
    <w:p w14:paraId="7638A860" w14:textId="7C0B58CC" w:rsidR="00F326E5" w:rsidRPr="009C4A80" w:rsidRDefault="00F326E5" w:rsidP="00F326E5">
      <w:pPr>
        <w:pStyle w:val="NoSpacing"/>
        <w:rPr>
          <w:rFonts w:ascii="Times New Roman" w:hAnsi="Times New Roman"/>
          <w:b/>
          <w:sz w:val="24"/>
          <w:szCs w:val="24"/>
        </w:rPr>
      </w:pPr>
      <w:r w:rsidRPr="009C4A80">
        <w:rPr>
          <w:rFonts w:ascii="Times New Roman" w:hAnsi="Times New Roman"/>
          <w:b/>
          <w:sz w:val="24"/>
          <w:szCs w:val="24"/>
        </w:rPr>
        <w:t xml:space="preserve">Legal Lessons Learned:  The Illinois immunity statute broadly includes non-emergency </w:t>
      </w:r>
      <w:proofErr w:type="gramStart"/>
      <w:r w:rsidRPr="009C4A80">
        <w:rPr>
          <w:rFonts w:ascii="Times New Roman" w:hAnsi="Times New Roman"/>
          <w:b/>
          <w:sz w:val="24"/>
          <w:szCs w:val="24"/>
        </w:rPr>
        <w:t>transports</w:t>
      </w:r>
      <w:proofErr w:type="gramEnd"/>
      <w:r w:rsidRPr="009C4A80">
        <w:rPr>
          <w:rFonts w:ascii="Times New Roman" w:hAnsi="Times New Roman"/>
          <w:b/>
          <w:sz w:val="24"/>
          <w:szCs w:val="24"/>
        </w:rPr>
        <w:t xml:space="preserve">, but not so broad as to cover driving ambulance to pick up a patient.  Hopefully the ambulance company’s private insurance will cover both the company and its </w:t>
      </w:r>
      <w:proofErr w:type="gramStart"/>
      <w:r w:rsidRPr="009C4A80">
        <w:rPr>
          <w:rFonts w:ascii="Times New Roman" w:hAnsi="Times New Roman"/>
          <w:b/>
          <w:sz w:val="24"/>
          <w:szCs w:val="24"/>
        </w:rPr>
        <w:t>employee</w:t>
      </w:r>
      <w:proofErr w:type="gramEnd"/>
      <w:r w:rsidRPr="009C4A80">
        <w:rPr>
          <w:rFonts w:ascii="Times New Roman" w:hAnsi="Times New Roman"/>
          <w:b/>
          <w:sz w:val="24"/>
          <w:szCs w:val="24"/>
        </w:rPr>
        <w:t>.</w:t>
      </w:r>
    </w:p>
    <w:p w14:paraId="0207FDBA" w14:textId="77777777" w:rsidR="00F326E5" w:rsidRPr="009C4A80" w:rsidRDefault="00F326E5" w:rsidP="00F326E5">
      <w:pPr>
        <w:pStyle w:val="NoSpacing"/>
        <w:rPr>
          <w:rFonts w:ascii="Times New Roman" w:hAnsi="Times New Roman"/>
          <w:sz w:val="24"/>
          <w:szCs w:val="24"/>
        </w:rPr>
      </w:pPr>
      <w:bookmarkStart w:id="213" w:name="_Hlk1297730"/>
      <w:bookmarkEnd w:id="212"/>
    </w:p>
    <w:p w14:paraId="61406979" w14:textId="77777777" w:rsidR="00EF1133" w:rsidRDefault="00EF1133" w:rsidP="00EF1133">
      <w:pPr>
        <w:rPr>
          <w:rFonts w:ascii="Arial Black" w:hAnsi="Arial Black"/>
          <w:b/>
          <w:sz w:val="24"/>
          <w:szCs w:val="24"/>
        </w:rPr>
      </w:pPr>
    </w:p>
    <w:p w14:paraId="69B573DF" w14:textId="2955F262" w:rsidR="00EF1133" w:rsidRPr="00EF1133" w:rsidRDefault="00EF1133" w:rsidP="00EF1133">
      <w:pPr>
        <w:rPr>
          <w:rFonts w:ascii="Arial Black" w:hAnsi="Arial Black"/>
          <w:b/>
          <w:sz w:val="24"/>
          <w:szCs w:val="24"/>
        </w:rPr>
      </w:pPr>
      <w:r w:rsidRPr="00EF1133">
        <w:rPr>
          <w:rFonts w:ascii="Arial Black" w:hAnsi="Arial Black"/>
          <w:b/>
          <w:sz w:val="24"/>
          <w:szCs w:val="24"/>
        </w:rPr>
        <w:t>5-</w:t>
      </w:r>
      <w:r>
        <w:rPr>
          <w:rFonts w:ascii="Arial Black" w:hAnsi="Arial Black"/>
          <w:b/>
          <w:sz w:val="24"/>
          <w:szCs w:val="24"/>
        </w:rPr>
        <w:t>4</w:t>
      </w:r>
    </w:p>
    <w:p w14:paraId="03DA6A01" w14:textId="36BF1ECD" w:rsidR="00F326E5" w:rsidRPr="00EA4270" w:rsidRDefault="00F326E5" w:rsidP="00F326E5">
      <w:pPr>
        <w:pStyle w:val="NoSpacing"/>
        <w:rPr>
          <w:rFonts w:ascii="Arial Black" w:hAnsi="Arial Black"/>
          <w:sz w:val="28"/>
          <w:szCs w:val="28"/>
        </w:rPr>
      </w:pPr>
      <w:bookmarkStart w:id="214" w:name="_Hlk7342728"/>
      <w:r>
        <w:rPr>
          <w:rFonts w:ascii="Arial Black" w:hAnsi="Arial Black"/>
          <w:sz w:val="28"/>
          <w:szCs w:val="28"/>
        </w:rPr>
        <w:lastRenderedPageBreak/>
        <w:t xml:space="preserve">OH: </w:t>
      </w:r>
      <w:r w:rsidR="00374417">
        <w:rPr>
          <w:rFonts w:ascii="Arial Black" w:hAnsi="Arial Black"/>
          <w:sz w:val="28"/>
          <w:szCs w:val="28"/>
        </w:rPr>
        <w:t>MAN</w:t>
      </w:r>
      <w:r w:rsidRPr="00EA4270">
        <w:rPr>
          <w:rFonts w:ascii="Arial Black" w:hAnsi="Arial Black"/>
          <w:sz w:val="28"/>
          <w:szCs w:val="28"/>
        </w:rPr>
        <w:t xml:space="preserve"> KILLED BY LOOSE FIRE HOSE –</w:t>
      </w:r>
      <w:r>
        <w:rPr>
          <w:rFonts w:ascii="Arial Black" w:hAnsi="Arial Black"/>
          <w:sz w:val="28"/>
          <w:szCs w:val="28"/>
        </w:rPr>
        <w:t xml:space="preserve"> NO </w:t>
      </w:r>
      <w:r w:rsidRPr="00EA4270">
        <w:rPr>
          <w:rFonts w:ascii="Arial Black" w:hAnsi="Arial Black"/>
          <w:sz w:val="28"/>
          <w:szCs w:val="28"/>
        </w:rPr>
        <w:t>WILLFUL OR WANTON MISCONDUCT / NFPA GUIDELINES</w:t>
      </w:r>
    </w:p>
    <w:p w14:paraId="4A95E4C3" w14:textId="77777777" w:rsidR="009C4A80" w:rsidRDefault="009C4A80" w:rsidP="00F326E5">
      <w:pPr>
        <w:pStyle w:val="NoSpacing"/>
        <w:rPr>
          <w:rFonts w:ascii="Times New Roman" w:hAnsi="Times New Roman"/>
          <w:sz w:val="24"/>
          <w:szCs w:val="24"/>
        </w:rPr>
      </w:pPr>
    </w:p>
    <w:p w14:paraId="6D21564B" w14:textId="7375E58D" w:rsidR="00F326E5" w:rsidRDefault="00F326E5" w:rsidP="00F326E5">
      <w:pPr>
        <w:pStyle w:val="NoSpacing"/>
        <w:rPr>
          <w:rFonts w:ascii="Times New Roman" w:hAnsi="Times New Roman"/>
          <w:bCs/>
          <w:sz w:val="24"/>
          <w:szCs w:val="24"/>
        </w:rPr>
      </w:pPr>
      <w:r w:rsidRPr="009C4A80">
        <w:rPr>
          <w:rFonts w:ascii="Times New Roman" w:hAnsi="Times New Roman"/>
          <w:sz w:val="24"/>
          <w:szCs w:val="24"/>
        </w:rPr>
        <w:t xml:space="preserve">On </w:t>
      </w:r>
      <w:bookmarkStart w:id="215" w:name="_Hlk39827597"/>
      <w:r w:rsidRPr="009C4A80">
        <w:rPr>
          <w:rFonts w:ascii="Times New Roman" w:hAnsi="Times New Roman"/>
          <w:sz w:val="24"/>
          <w:szCs w:val="24"/>
        </w:rPr>
        <w:t xml:space="preserve">Jan. 18, </w:t>
      </w:r>
      <w:proofErr w:type="gramStart"/>
      <w:r w:rsidRPr="009C4A80">
        <w:rPr>
          <w:rFonts w:ascii="Times New Roman" w:hAnsi="Times New Roman"/>
          <w:sz w:val="24"/>
          <w:szCs w:val="24"/>
        </w:rPr>
        <w:t>2019</w:t>
      </w:r>
      <w:proofErr w:type="gramEnd"/>
      <w:r w:rsidRPr="009C4A80">
        <w:rPr>
          <w:rFonts w:ascii="Times New Roman" w:hAnsi="Times New Roman"/>
          <w:sz w:val="24"/>
          <w:szCs w:val="24"/>
        </w:rPr>
        <w:t xml:space="preserve"> in </w:t>
      </w:r>
      <w:r w:rsidRPr="009C4A80">
        <w:rPr>
          <w:rFonts w:ascii="Times New Roman" w:hAnsi="Times New Roman"/>
          <w:sz w:val="24"/>
          <w:szCs w:val="24"/>
          <w:u w:val="single"/>
        </w:rPr>
        <w:t>Linda H. Ogburn, etc., Appellant, v. City of Toledo</w:t>
      </w:r>
      <w:bookmarkEnd w:id="215"/>
      <w:r w:rsidRPr="009C4A80">
        <w:rPr>
          <w:rFonts w:ascii="Times New Roman" w:hAnsi="Times New Roman"/>
          <w:sz w:val="24"/>
          <w:szCs w:val="24"/>
        </w:rPr>
        <w:t xml:space="preserve">, Appellee., </w:t>
      </w:r>
      <w:r w:rsidRPr="009C4A80">
        <w:rPr>
          <w:rFonts w:ascii="Times New Roman" w:hAnsi="Times New Roman"/>
          <w:bCs/>
          <w:sz w:val="24"/>
          <w:szCs w:val="24"/>
        </w:rPr>
        <w:t>Court of Appeals of Ohio, Sixth District, Lucas County:</w:t>
      </w:r>
    </w:p>
    <w:p w14:paraId="0CF454D3" w14:textId="77777777" w:rsidR="009C4A80" w:rsidRPr="009C4A80" w:rsidRDefault="009C4A80" w:rsidP="00F326E5">
      <w:pPr>
        <w:pStyle w:val="NoSpacing"/>
        <w:rPr>
          <w:rFonts w:ascii="Times New Roman" w:hAnsi="Times New Roman"/>
          <w:sz w:val="24"/>
          <w:szCs w:val="24"/>
        </w:rPr>
      </w:pPr>
    </w:p>
    <w:p w14:paraId="32F86259" w14:textId="77777777" w:rsidR="00F326E5" w:rsidRPr="009C4A80" w:rsidRDefault="00F326E5" w:rsidP="00F326E5">
      <w:pPr>
        <w:pStyle w:val="NoSpacing"/>
        <w:ind w:left="720"/>
        <w:rPr>
          <w:rFonts w:ascii="Times New Roman" w:hAnsi="Times New Roman"/>
          <w:sz w:val="24"/>
          <w:szCs w:val="24"/>
        </w:rPr>
      </w:pPr>
      <w:r w:rsidRPr="009C4A80">
        <w:rPr>
          <w:rFonts w:ascii="Times New Roman" w:hAnsi="Times New Roman"/>
          <w:sz w:val="24"/>
          <w:szCs w:val="24"/>
        </w:rPr>
        <w:t xml:space="preserve">“The evidence contained in the record by way of deposition testimony reveals that the city removed the safety nets on its fire engines to facilitate firefighter safety, based upon incidents in which TFRD firefighters were tripped by the nets when they were attempting to utilize fire hoses. According to TFRD's fire maintenance officer, the nets also slowed down firefighting efforts that are time-sensitive in nature. As a result, TFRD decided to remove the safety nets and install holsters in their place. The holsters that were installed eliminated the trip hazard presented by the nets, while at the same time facilitating expedient use of the fire hoses. Since the nets were removed and the holsters installed, the city has safely completed over one million runs without a fire hose coming loose from a fire engine. To us, the fact that over one million runs have taken place without incident demonstrates that injury to others does not ordinarily follow from the removal of safety nets and installation of the </w:t>
      </w:r>
      <w:proofErr w:type="gramStart"/>
      <w:r w:rsidRPr="009C4A80">
        <w:rPr>
          <w:rFonts w:ascii="Times New Roman" w:hAnsi="Times New Roman"/>
          <w:sz w:val="24"/>
          <w:szCs w:val="24"/>
        </w:rPr>
        <w:t>holsters.”</w:t>
      </w:r>
      <w:proofErr w:type="gramEnd"/>
    </w:p>
    <w:bookmarkStart w:id="216" w:name="_Hlk39827619"/>
    <w:p w14:paraId="7DE1C7C5" w14:textId="68775843" w:rsidR="00F326E5" w:rsidRPr="009C4A80" w:rsidRDefault="00374417" w:rsidP="009C4A80">
      <w:pPr>
        <w:pStyle w:val="NoSpacing"/>
        <w:ind w:left="720"/>
        <w:rPr>
          <w:rFonts w:ascii="Times New Roman" w:hAnsi="Times New Roman"/>
          <w:sz w:val="24"/>
          <w:szCs w:val="24"/>
        </w:rPr>
      </w:pPr>
      <w:r>
        <w:fldChar w:fldCharType="begin"/>
      </w:r>
      <w:r>
        <w:instrText xml:space="preserve"> HYPERLINK "https://scholar.google.com/scholar_case?case=11320550123465325906&amp;hl=en&amp;as_sdt=6&amp;as_vis=1&amp;oi=scholarr" </w:instrText>
      </w:r>
      <w:r>
        <w:fldChar w:fldCharType="separate"/>
      </w:r>
      <w:r w:rsidR="009C4A80" w:rsidRPr="002F304C">
        <w:rPr>
          <w:rStyle w:val="Hyperlink"/>
          <w:rFonts w:ascii="Times New Roman" w:hAnsi="Times New Roman"/>
          <w:sz w:val="24"/>
          <w:szCs w:val="24"/>
        </w:rPr>
        <w:t>https://scholar.google.com/scholar_case?case=11320550123465325906&amp;hl=en&amp;as_sdt=6&amp;as_vis=1&amp;oi=scholarr</w:t>
      </w:r>
      <w:r>
        <w:rPr>
          <w:rStyle w:val="Hyperlink"/>
          <w:rFonts w:ascii="Times New Roman" w:hAnsi="Times New Roman"/>
          <w:sz w:val="24"/>
          <w:szCs w:val="24"/>
        </w:rPr>
        <w:fldChar w:fldCharType="end"/>
      </w:r>
      <w:r w:rsidR="00F326E5" w:rsidRPr="009C4A80">
        <w:rPr>
          <w:rFonts w:ascii="Times New Roman" w:hAnsi="Times New Roman"/>
          <w:sz w:val="24"/>
          <w:szCs w:val="24"/>
        </w:rPr>
        <w:t xml:space="preserve"> </w:t>
      </w:r>
    </w:p>
    <w:bookmarkEnd w:id="213"/>
    <w:bookmarkEnd w:id="216"/>
    <w:p w14:paraId="4BA6D9D4" w14:textId="77777777" w:rsidR="009C4A80" w:rsidRDefault="009C4A80" w:rsidP="00F326E5">
      <w:pPr>
        <w:pStyle w:val="NoSpacing"/>
        <w:rPr>
          <w:rFonts w:ascii="Times New Roman" w:hAnsi="Times New Roman"/>
          <w:b/>
          <w:sz w:val="24"/>
          <w:szCs w:val="24"/>
        </w:rPr>
      </w:pPr>
    </w:p>
    <w:p w14:paraId="59B9CFCB" w14:textId="1466ED35" w:rsidR="00F326E5" w:rsidRPr="009C4A80" w:rsidRDefault="00F326E5" w:rsidP="00F326E5">
      <w:pPr>
        <w:pStyle w:val="NoSpacing"/>
        <w:rPr>
          <w:rFonts w:ascii="Times New Roman" w:hAnsi="Times New Roman"/>
          <w:b/>
          <w:sz w:val="24"/>
          <w:szCs w:val="24"/>
        </w:rPr>
      </w:pPr>
      <w:r w:rsidRPr="009C4A80">
        <w:rPr>
          <w:rFonts w:ascii="Times New Roman" w:hAnsi="Times New Roman"/>
          <w:b/>
          <w:sz w:val="24"/>
          <w:szCs w:val="24"/>
        </w:rPr>
        <w:t xml:space="preserve">Legal Lessons Learned:  Secure your fire hoses; avoid similar tragedies. </w:t>
      </w:r>
    </w:p>
    <w:p w14:paraId="48658912" w14:textId="5650516E" w:rsidR="00F326E5" w:rsidRPr="009C4A80" w:rsidRDefault="00F326E5" w:rsidP="00F326E5">
      <w:pPr>
        <w:pStyle w:val="NoSpacing"/>
        <w:ind w:left="720"/>
        <w:rPr>
          <w:rFonts w:ascii="Times New Roman" w:hAnsi="Times New Roman"/>
          <w:sz w:val="24"/>
          <w:szCs w:val="24"/>
        </w:rPr>
      </w:pPr>
      <w:bookmarkStart w:id="217" w:name="_Hlk39827460"/>
      <w:bookmarkStart w:id="218" w:name="_Hlk1297666"/>
      <w:r w:rsidRPr="009C4A80">
        <w:rPr>
          <w:rFonts w:ascii="Times New Roman" w:hAnsi="Times New Roman"/>
          <w:sz w:val="24"/>
          <w:szCs w:val="24"/>
        </w:rPr>
        <w:t xml:space="preserve">See also March 7, </w:t>
      </w:r>
      <w:proofErr w:type="gramStart"/>
      <w:r w:rsidRPr="009C4A80">
        <w:rPr>
          <w:rFonts w:ascii="Times New Roman" w:hAnsi="Times New Roman"/>
          <w:sz w:val="24"/>
          <w:szCs w:val="24"/>
        </w:rPr>
        <w:t>2017</w:t>
      </w:r>
      <w:proofErr w:type="gramEnd"/>
      <w:r w:rsidRPr="009C4A80">
        <w:rPr>
          <w:rFonts w:ascii="Times New Roman" w:hAnsi="Times New Roman"/>
          <w:sz w:val="24"/>
          <w:szCs w:val="24"/>
        </w:rPr>
        <w:t xml:space="preserve"> article: “Hose Alert: A Firefighter's Commonsense Solution to a Serious Problem.” </w:t>
      </w:r>
      <w:hyperlink r:id="rId976" w:history="1">
        <w:r w:rsidRPr="009C4A80">
          <w:rPr>
            <w:rStyle w:val="Hyperlink"/>
            <w:rFonts w:ascii="Times New Roman" w:hAnsi="Times New Roman"/>
            <w:sz w:val="24"/>
            <w:szCs w:val="24"/>
          </w:rPr>
          <w:t>https://www.fireapparatusmagazine.com/articles/print/volume-22/issue-3/features/hose-alert-a-firefighter-s-commonsense-solution-to-a-serious-problem.html</w:t>
        </w:r>
      </w:hyperlink>
      <w:r w:rsidRPr="009C4A80">
        <w:rPr>
          <w:rFonts w:ascii="Times New Roman" w:hAnsi="Times New Roman"/>
          <w:sz w:val="24"/>
          <w:szCs w:val="24"/>
        </w:rPr>
        <w:t xml:space="preserve">  </w:t>
      </w:r>
    </w:p>
    <w:bookmarkEnd w:id="217"/>
    <w:p w14:paraId="4EFD87C4" w14:textId="77777777" w:rsidR="009C4A80" w:rsidRDefault="009C4A80" w:rsidP="00F326E5">
      <w:pPr>
        <w:pStyle w:val="NoSpacing"/>
        <w:ind w:left="720" w:firstLine="720"/>
        <w:rPr>
          <w:rFonts w:ascii="Times New Roman" w:hAnsi="Times New Roman"/>
          <w:sz w:val="24"/>
          <w:szCs w:val="24"/>
        </w:rPr>
      </w:pPr>
    </w:p>
    <w:p w14:paraId="7A4847B6" w14:textId="6250C0B3" w:rsidR="00F326E5" w:rsidRPr="009C4A80" w:rsidRDefault="00F326E5" w:rsidP="009C4A80">
      <w:pPr>
        <w:pStyle w:val="NoSpacing"/>
        <w:ind w:left="720"/>
        <w:rPr>
          <w:rFonts w:ascii="Times New Roman" w:hAnsi="Times New Roman"/>
          <w:sz w:val="24"/>
          <w:szCs w:val="24"/>
        </w:rPr>
      </w:pPr>
      <w:bookmarkStart w:id="219" w:name="_Hlk39827520"/>
      <w:r w:rsidRPr="009C4A80">
        <w:rPr>
          <w:rFonts w:ascii="Times New Roman" w:hAnsi="Times New Roman"/>
          <w:sz w:val="24"/>
          <w:szCs w:val="24"/>
        </w:rPr>
        <w:t xml:space="preserve">See also Jan. 29, </w:t>
      </w:r>
      <w:proofErr w:type="gramStart"/>
      <w:r w:rsidRPr="009C4A80">
        <w:rPr>
          <w:rFonts w:ascii="Times New Roman" w:hAnsi="Times New Roman"/>
          <w:sz w:val="24"/>
          <w:szCs w:val="24"/>
        </w:rPr>
        <w:t>2010</w:t>
      </w:r>
      <w:proofErr w:type="gramEnd"/>
      <w:r w:rsidRPr="009C4A80">
        <w:rPr>
          <w:rFonts w:ascii="Times New Roman" w:hAnsi="Times New Roman"/>
          <w:sz w:val="24"/>
          <w:szCs w:val="24"/>
        </w:rPr>
        <w:t xml:space="preserve"> article from MA: “Woman struck by flailing fire hose dies.” </w:t>
      </w:r>
      <w:hyperlink r:id="rId977" w:history="1">
        <w:r w:rsidRPr="009C4A80">
          <w:rPr>
            <w:rStyle w:val="Hyperlink"/>
            <w:rFonts w:ascii="Times New Roman" w:hAnsi="Times New Roman"/>
            <w:sz w:val="24"/>
            <w:szCs w:val="24"/>
          </w:rPr>
          <w:t>http://www.cnn.com/2010/US/01/29/massachusetts.fire.hose.deaths/index.html</w:t>
        </w:r>
      </w:hyperlink>
      <w:r w:rsidRPr="009C4A80">
        <w:rPr>
          <w:rFonts w:ascii="Times New Roman" w:hAnsi="Times New Roman"/>
          <w:sz w:val="24"/>
          <w:szCs w:val="24"/>
        </w:rPr>
        <w:t xml:space="preserve"> </w:t>
      </w:r>
    </w:p>
    <w:p w14:paraId="41F3F898" w14:textId="77777777" w:rsidR="00F326E5" w:rsidRPr="009C4A80" w:rsidRDefault="00F326E5" w:rsidP="00F326E5">
      <w:pPr>
        <w:pStyle w:val="NoSpacing"/>
        <w:ind w:left="720"/>
        <w:rPr>
          <w:rFonts w:ascii="Times New Roman" w:hAnsi="Times New Roman"/>
          <w:sz w:val="24"/>
          <w:szCs w:val="24"/>
        </w:rPr>
      </w:pPr>
      <w:r w:rsidRPr="009C4A80">
        <w:rPr>
          <w:rFonts w:ascii="Times New Roman" w:hAnsi="Times New Roman"/>
          <w:sz w:val="24"/>
          <w:szCs w:val="24"/>
        </w:rPr>
        <w:t xml:space="preserve">See also Sept. 15, </w:t>
      </w:r>
      <w:proofErr w:type="gramStart"/>
      <w:r w:rsidRPr="009C4A80">
        <w:rPr>
          <w:rFonts w:ascii="Times New Roman" w:hAnsi="Times New Roman"/>
          <w:sz w:val="24"/>
          <w:szCs w:val="24"/>
        </w:rPr>
        <w:t>2006</w:t>
      </w:r>
      <w:proofErr w:type="gramEnd"/>
      <w:r w:rsidRPr="009C4A80">
        <w:rPr>
          <w:rFonts w:ascii="Times New Roman" w:hAnsi="Times New Roman"/>
          <w:sz w:val="24"/>
          <w:szCs w:val="24"/>
        </w:rPr>
        <w:t xml:space="preserve"> article from PA: “Jury awards $5 million to families in fire hose accident.” </w:t>
      </w:r>
      <w:hyperlink r:id="rId978" w:history="1">
        <w:r w:rsidRPr="009C4A80">
          <w:rPr>
            <w:rStyle w:val="Hyperlink"/>
            <w:rFonts w:ascii="Times New Roman" w:hAnsi="Times New Roman"/>
            <w:sz w:val="24"/>
            <w:szCs w:val="24"/>
          </w:rPr>
          <w:t>https://www.post-gazette.com/local/west/2006/09/15/Jury-awards-5-million-to-families-in-fire-hose-accident/stories/200609150169</w:t>
        </w:r>
      </w:hyperlink>
      <w:bookmarkEnd w:id="219"/>
      <w:r w:rsidRPr="009C4A80">
        <w:rPr>
          <w:rFonts w:ascii="Times New Roman" w:hAnsi="Times New Roman"/>
          <w:sz w:val="24"/>
          <w:szCs w:val="24"/>
        </w:rPr>
        <w:t xml:space="preserve"> </w:t>
      </w:r>
    </w:p>
    <w:bookmarkEnd w:id="218"/>
    <w:p w14:paraId="4794B337" w14:textId="77777777" w:rsidR="00F326E5" w:rsidRPr="009C4A80" w:rsidRDefault="00F326E5" w:rsidP="00F326E5">
      <w:pPr>
        <w:pStyle w:val="NoSpacing"/>
        <w:rPr>
          <w:rFonts w:ascii="Times New Roman" w:hAnsi="Times New Roman"/>
          <w:sz w:val="24"/>
          <w:szCs w:val="24"/>
        </w:rPr>
      </w:pPr>
    </w:p>
    <w:p w14:paraId="2EAC1036" w14:textId="77777777" w:rsidR="00F326E5" w:rsidRPr="009C4A80" w:rsidRDefault="00F326E5" w:rsidP="00F326E5">
      <w:pPr>
        <w:ind w:left="720"/>
        <w:rPr>
          <w:rFonts w:ascii="Times New Roman" w:eastAsia="Times New Roman" w:hAnsi="Times New Roman"/>
          <w:sz w:val="24"/>
          <w:szCs w:val="24"/>
        </w:rPr>
      </w:pPr>
      <w:bookmarkStart w:id="220" w:name="_Hlk1297617"/>
      <w:r w:rsidRPr="009C4A80">
        <w:rPr>
          <w:rFonts w:ascii="Times New Roman" w:eastAsia="Times New Roman" w:hAnsi="Times New Roman"/>
          <w:sz w:val="24"/>
          <w:szCs w:val="24"/>
        </w:rPr>
        <w:t xml:space="preserve">Note: Ohio public employees are protected by indemnification statute they acted in “good faith.” Ohio Revised Code 2744.07: “The political subdivision has the duty to defend the employee if the act or omission occurred while the employee was acting both in good faith and not manifestly outside the scope of employment or official responsibilities. *** Except as otherwise provided in this division, a political subdivision shall indemnify and hold harmless an employee in the amount of any judgment, other than a judgment for punitive or exemplary damages, that is obtained against the employee in a state or federal court or as a result of a law of a foreign jurisdiction and that is for damages for injury, death, or loss to person or property caused by an act or omission in connection with a governmental or proprietary function, if at the time of the act or omission the employee was acting in good faith and within the scope of employment or official responsibilities.”  </w:t>
      </w:r>
      <w:hyperlink r:id="rId979" w:history="1">
        <w:r w:rsidRPr="009C4A80">
          <w:rPr>
            <w:rStyle w:val="Hyperlink"/>
            <w:rFonts w:ascii="Times New Roman" w:hAnsi="Times New Roman"/>
            <w:sz w:val="24"/>
            <w:szCs w:val="24"/>
          </w:rPr>
          <w:t>http://codes.ohio.gov/orc/2744.07</w:t>
        </w:r>
      </w:hyperlink>
      <w:r w:rsidRPr="009C4A80">
        <w:rPr>
          <w:rFonts w:ascii="Times New Roman" w:eastAsia="Times New Roman" w:hAnsi="Times New Roman"/>
          <w:sz w:val="24"/>
          <w:szCs w:val="24"/>
        </w:rPr>
        <w:t xml:space="preserve"> </w:t>
      </w:r>
    </w:p>
    <w:p w14:paraId="19F6A92F" w14:textId="77777777" w:rsidR="00F326E5" w:rsidRPr="009C4A80" w:rsidRDefault="00F326E5" w:rsidP="00F326E5">
      <w:pPr>
        <w:ind w:left="720"/>
        <w:rPr>
          <w:rFonts w:ascii="Times New Roman" w:eastAsia="Times New Roman" w:hAnsi="Times New Roman"/>
          <w:sz w:val="24"/>
          <w:szCs w:val="24"/>
        </w:rPr>
      </w:pPr>
      <w:r w:rsidRPr="009C4A80">
        <w:rPr>
          <w:rFonts w:ascii="Times New Roman" w:eastAsia="Times New Roman" w:hAnsi="Times New Roman"/>
          <w:sz w:val="24"/>
          <w:szCs w:val="24"/>
        </w:rPr>
        <w:t xml:space="preserve">Likewise, “reckless” driving by fire or EMS can lead to personal liability if case is not settled by the political subdivision. In Anderson v. Massillon, involving aerial truck killing elderly driver and his grandson, the Ohio Supreme Court in 2012 held that the aerial driver and the </w:t>
      </w:r>
      <w:proofErr w:type="gramStart"/>
      <w:r w:rsidRPr="009C4A80">
        <w:rPr>
          <w:rFonts w:ascii="Times New Roman" w:eastAsia="Times New Roman" w:hAnsi="Times New Roman"/>
          <w:sz w:val="24"/>
          <w:szCs w:val="24"/>
        </w:rPr>
        <w:t>Captain</w:t>
      </w:r>
      <w:proofErr w:type="gramEnd"/>
      <w:r w:rsidRPr="009C4A80">
        <w:rPr>
          <w:rFonts w:ascii="Times New Roman" w:eastAsia="Times New Roman" w:hAnsi="Times New Roman"/>
          <w:sz w:val="24"/>
          <w:szCs w:val="24"/>
        </w:rPr>
        <w:t xml:space="preserve"> were not entitled to immunity, but the </w:t>
      </w:r>
      <w:proofErr w:type="gramStart"/>
      <w:r w:rsidRPr="009C4A80">
        <w:rPr>
          <w:rFonts w:ascii="Times New Roman" w:eastAsia="Times New Roman" w:hAnsi="Times New Roman"/>
          <w:sz w:val="24"/>
          <w:szCs w:val="24"/>
        </w:rPr>
        <w:t>City</w:t>
      </w:r>
      <w:proofErr w:type="gramEnd"/>
      <w:r w:rsidRPr="009C4A80">
        <w:rPr>
          <w:rFonts w:ascii="Times New Roman" w:eastAsia="Times New Roman" w:hAnsi="Times New Roman"/>
          <w:sz w:val="24"/>
          <w:szCs w:val="24"/>
        </w:rPr>
        <w:t xml:space="preserve"> was immune. See video from scene: </w:t>
      </w:r>
      <w:hyperlink r:id="rId980" w:history="1">
        <w:r w:rsidRPr="009C4A80">
          <w:rPr>
            <w:rStyle w:val="Hyperlink"/>
            <w:rFonts w:ascii="Times New Roman" w:hAnsi="Times New Roman"/>
            <w:sz w:val="24"/>
            <w:szCs w:val="24"/>
          </w:rPr>
          <w:t>https://www.youtube.com/watch?v=ga_vHeGYQ34</w:t>
        </w:r>
      </w:hyperlink>
      <w:r w:rsidRPr="009C4A80">
        <w:rPr>
          <w:rFonts w:ascii="Times New Roman" w:eastAsia="Times New Roman" w:hAnsi="Times New Roman"/>
          <w:sz w:val="24"/>
          <w:szCs w:val="24"/>
        </w:rPr>
        <w:t xml:space="preserve"> </w:t>
      </w:r>
    </w:p>
    <w:p w14:paraId="26C52114" w14:textId="77777777" w:rsidR="00F326E5" w:rsidRPr="009C4A80" w:rsidRDefault="00F326E5" w:rsidP="00F326E5">
      <w:pPr>
        <w:ind w:left="720"/>
        <w:rPr>
          <w:rFonts w:ascii="Times New Roman" w:eastAsia="Times New Roman" w:hAnsi="Times New Roman"/>
          <w:sz w:val="24"/>
          <w:szCs w:val="24"/>
        </w:rPr>
      </w:pPr>
      <w:r w:rsidRPr="009C4A80">
        <w:rPr>
          <w:rFonts w:ascii="Times New Roman" w:eastAsia="Times New Roman" w:hAnsi="Times New Roman"/>
          <w:sz w:val="24"/>
          <w:szCs w:val="24"/>
        </w:rPr>
        <w:t xml:space="preserve">The Supreme Court held: “R.C. 2744.02(B)(1)(b) provides a political subdivision with a full defense to liability for injuries caused by the operation of a fire department vehicle while engaged in duty at a fire, </w:t>
      </w:r>
      <w:r w:rsidRPr="009C4A80">
        <w:rPr>
          <w:rFonts w:ascii="Times New Roman" w:eastAsia="Times New Roman" w:hAnsi="Times New Roman"/>
          <w:sz w:val="24"/>
          <w:szCs w:val="24"/>
        </w:rPr>
        <w:lastRenderedPageBreak/>
        <w:t xml:space="preserve">proceeding toward a place where a fire is in progress or is believed to be in progress, or answering any other emergency alarm if its operation does not constitute willful or wanton misconduct. R.C. 2744.03(A)(6)(b) provides immunity to employees of a political subdivision for acts that are not committed in a wanton or reckless manner.” </w:t>
      </w:r>
      <w:hyperlink r:id="rId981" w:history="1">
        <w:r w:rsidRPr="009C4A80">
          <w:rPr>
            <w:rStyle w:val="Hyperlink"/>
            <w:rFonts w:ascii="Times New Roman" w:hAnsi="Times New Roman"/>
            <w:sz w:val="24"/>
            <w:szCs w:val="24"/>
          </w:rPr>
          <w:t>http://www.legallyspeakingohio.com/wordpress/wp-content/uploads/2013/03/anderson-v-massilon.pdf</w:t>
        </w:r>
      </w:hyperlink>
      <w:r w:rsidRPr="009C4A80">
        <w:rPr>
          <w:rFonts w:ascii="Times New Roman" w:eastAsia="Times New Roman" w:hAnsi="Times New Roman"/>
          <w:sz w:val="24"/>
          <w:szCs w:val="24"/>
        </w:rPr>
        <w:t xml:space="preserve"> </w:t>
      </w:r>
    </w:p>
    <w:p w14:paraId="7392CE29" w14:textId="77777777" w:rsidR="00F326E5" w:rsidRPr="009C4A80" w:rsidRDefault="00F326E5" w:rsidP="00F326E5">
      <w:pPr>
        <w:ind w:left="720"/>
        <w:rPr>
          <w:rFonts w:ascii="Times New Roman" w:eastAsia="Times New Roman" w:hAnsi="Times New Roman"/>
          <w:sz w:val="24"/>
          <w:szCs w:val="24"/>
        </w:rPr>
      </w:pPr>
      <w:r w:rsidRPr="009C4A80">
        <w:rPr>
          <w:rFonts w:ascii="Times New Roman" w:eastAsia="Times New Roman" w:hAnsi="Times New Roman"/>
          <w:sz w:val="24"/>
          <w:szCs w:val="24"/>
        </w:rPr>
        <w:t xml:space="preserve">Case was settled by the </w:t>
      </w:r>
      <w:proofErr w:type="gramStart"/>
      <w:r w:rsidRPr="009C4A80">
        <w:rPr>
          <w:rFonts w:ascii="Times New Roman" w:eastAsia="Times New Roman" w:hAnsi="Times New Roman"/>
          <w:sz w:val="24"/>
          <w:szCs w:val="24"/>
        </w:rPr>
        <w:t>City</w:t>
      </w:r>
      <w:proofErr w:type="gramEnd"/>
      <w:r w:rsidRPr="009C4A80">
        <w:rPr>
          <w:rFonts w:ascii="Times New Roman" w:eastAsia="Times New Roman" w:hAnsi="Times New Roman"/>
          <w:sz w:val="24"/>
          <w:szCs w:val="24"/>
        </w:rPr>
        <w:t xml:space="preserve"> in 2008 for $362,000: </w:t>
      </w:r>
      <w:hyperlink r:id="rId982" w:history="1">
        <w:r w:rsidRPr="009C4A80">
          <w:rPr>
            <w:rStyle w:val="Hyperlink"/>
            <w:rFonts w:ascii="Times New Roman" w:hAnsi="Times New Roman"/>
            <w:sz w:val="24"/>
            <w:szCs w:val="24"/>
          </w:rPr>
          <w:t>http://www.cantonrep.com/news/20160713/massillon-family-awarded-362k-in-2008-firetruck-crash-settlement</w:t>
        </w:r>
      </w:hyperlink>
    </w:p>
    <w:bookmarkEnd w:id="214"/>
    <w:bookmarkEnd w:id="220"/>
    <w:p w14:paraId="6665C7F8" w14:textId="77777777" w:rsidR="00EF1133" w:rsidRPr="009C4A80" w:rsidRDefault="00EF1133" w:rsidP="00EF1133">
      <w:pPr>
        <w:rPr>
          <w:rFonts w:ascii="Times New Roman" w:hAnsi="Times New Roman"/>
          <w:b/>
          <w:sz w:val="24"/>
          <w:szCs w:val="24"/>
        </w:rPr>
      </w:pPr>
    </w:p>
    <w:p w14:paraId="61FBE930" w14:textId="104FF48F" w:rsidR="00F326E5" w:rsidRPr="009F2867" w:rsidRDefault="00EF1133" w:rsidP="00EF1133">
      <w:pPr>
        <w:rPr>
          <w:bCs/>
        </w:rPr>
      </w:pPr>
      <w:r w:rsidRPr="00EF1133">
        <w:rPr>
          <w:rFonts w:ascii="Arial Black" w:hAnsi="Arial Black"/>
          <w:b/>
          <w:sz w:val="24"/>
          <w:szCs w:val="24"/>
        </w:rPr>
        <w:t>5-</w:t>
      </w:r>
      <w:r>
        <w:rPr>
          <w:rFonts w:ascii="Arial Black" w:hAnsi="Arial Black"/>
          <w:b/>
          <w:sz w:val="24"/>
          <w:szCs w:val="24"/>
        </w:rPr>
        <w:t>3</w:t>
      </w:r>
    </w:p>
    <w:p w14:paraId="182DBEAA" w14:textId="0AE6B069" w:rsidR="00F326E5" w:rsidRDefault="00F326E5" w:rsidP="00F326E5">
      <w:pPr>
        <w:pStyle w:val="NoSpacing"/>
        <w:rPr>
          <w:rFonts w:ascii="Arial Black" w:hAnsi="Arial Black"/>
          <w:b/>
          <w:sz w:val="28"/>
          <w:szCs w:val="28"/>
        </w:rPr>
      </w:pPr>
      <w:bookmarkStart w:id="221" w:name="_Hlk7342765"/>
      <w:r w:rsidRPr="006A0855">
        <w:rPr>
          <w:rFonts w:ascii="Arial Black" w:hAnsi="Arial Black"/>
          <w:b/>
          <w:sz w:val="28"/>
          <w:szCs w:val="28"/>
        </w:rPr>
        <w:t>CA: DRUNK DRIVER RAN INTO FIRE ENGINE – MUST PAY FULL RESTITUTION, EVEN IF FD INSUR</w:t>
      </w:r>
      <w:r>
        <w:rPr>
          <w:rFonts w:ascii="Arial Black" w:hAnsi="Arial Black"/>
          <w:b/>
          <w:sz w:val="28"/>
          <w:szCs w:val="28"/>
        </w:rPr>
        <w:t xml:space="preserve">ED </w:t>
      </w:r>
    </w:p>
    <w:p w14:paraId="2DF84CA3" w14:textId="03776433" w:rsidR="00F326E5" w:rsidRPr="00F86024" w:rsidRDefault="00F326E5" w:rsidP="00F326E5">
      <w:pPr>
        <w:pStyle w:val="NoSpacing"/>
        <w:rPr>
          <w:b/>
          <w:sz w:val="24"/>
          <w:szCs w:val="24"/>
        </w:rPr>
      </w:pPr>
    </w:p>
    <w:p w14:paraId="39D7850A" w14:textId="77777777" w:rsidR="009C4A80" w:rsidRDefault="00F326E5" w:rsidP="00F326E5">
      <w:pPr>
        <w:pStyle w:val="NoSpacing"/>
        <w:rPr>
          <w:rFonts w:ascii="Times New Roman" w:hAnsi="Times New Roman"/>
          <w:sz w:val="24"/>
          <w:szCs w:val="24"/>
        </w:rPr>
      </w:pPr>
      <w:r w:rsidRPr="009C4A80">
        <w:rPr>
          <w:rFonts w:ascii="Times New Roman" w:hAnsi="Times New Roman"/>
          <w:sz w:val="24"/>
          <w:szCs w:val="24"/>
        </w:rPr>
        <w:t xml:space="preserve">On Jan. 15, 2019, in </w:t>
      </w:r>
      <w:r w:rsidRPr="009C4A80">
        <w:rPr>
          <w:rFonts w:ascii="Times New Roman" w:hAnsi="Times New Roman"/>
          <w:bCs/>
          <w:sz w:val="24"/>
          <w:szCs w:val="24"/>
          <w:u w:val="single"/>
        </w:rPr>
        <w:t>The People v. Christian A. Zuniga,</w:t>
      </w:r>
      <w:r w:rsidRPr="009C4A80">
        <w:rPr>
          <w:rFonts w:ascii="Times New Roman" w:hAnsi="Times New Roman"/>
          <w:bCs/>
          <w:sz w:val="24"/>
          <w:szCs w:val="24"/>
        </w:rPr>
        <w:t xml:space="preserve"> the Court of Appeal of California, First Appellate District, held 3 to 0 [unpublished opinion], </w:t>
      </w:r>
      <w:r w:rsidRPr="009C4A80">
        <w:rPr>
          <w:rFonts w:ascii="Times New Roman" w:hAnsi="Times New Roman"/>
          <w:sz w:val="24"/>
          <w:szCs w:val="24"/>
        </w:rPr>
        <w:t> </w:t>
      </w:r>
    </w:p>
    <w:p w14:paraId="51FC80C0" w14:textId="77777777" w:rsidR="009C4A80" w:rsidRDefault="009C4A80" w:rsidP="00F326E5">
      <w:pPr>
        <w:pStyle w:val="NoSpacing"/>
        <w:rPr>
          <w:rFonts w:ascii="Times New Roman" w:hAnsi="Times New Roman"/>
          <w:sz w:val="24"/>
          <w:szCs w:val="24"/>
        </w:rPr>
      </w:pPr>
    </w:p>
    <w:p w14:paraId="29A0CAA1" w14:textId="1C17A408" w:rsidR="00F326E5" w:rsidRPr="009C4A80" w:rsidRDefault="00F326E5" w:rsidP="009C4A80">
      <w:pPr>
        <w:pStyle w:val="NoSpacing"/>
        <w:ind w:left="720"/>
        <w:rPr>
          <w:rFonts w:ascii="Times New Roman" w:hAnsi="Times New Roman"/>
          <w:sz w:val="24"/>
          <w:szCs w:val="24"/>
        </w:rPr>
      </w:pPr>
      <w:r w:rsidRPr="009C4A80">
        <w:rPr>
          <w:rFonts w:ascii="Times New Roman" w:hAnsi="Times New Roman"/>
          <w:sz w:val="24"/>
          <w:szCs w:val="24"/>
        </w:rPr>
        <w:t xml:space="preserve">“We have carefully reviewed the entire record in accordance with our </w:t>
      </w:r>
      <w:r w:rsidRPr="009C4A80">
        <w:rPr>
          <w:rFonts w:ascii="Times New Roman" w:hAnsi="Times New Roman"/>
          <w:i/>
          <w:iCs/>
          <w:sz w:val="24"/>
          <w:szCs w:val="24"/>
        </w:rPr>
        <w:t>Wende</w:t>
      </w:r>
      <w:r w:rsidRPr="009C4A80">
        <w:rPr>
          <w:rFonts w:ascii="Times New Roman" w:hAnsi="Times New Roman"/>
          <w:sz w:val="24"/>
          <w:szCs w:val="24"/>
        </w:rPr>
        <w:t xml:space="preserve"> obligations, and we conclude there are no arguable issues on appeal that require further briefing. (See </w:t>
      </w:r>
      <w:r w:rsidRPr="009C4A80">
        <w:rPr>
          <w:rFonts w:ascii="Times New Roman" w:hAnsi="Times New Roman"/>
          <w:i/>
          <w:iCs/>
          <w:sz w:val="24"/>
          <w:szCs w:val="24"/>
        </w:rPr>
        <w:t>People v</w:t>
      </w:r>
      <w:r w:rsidRPr="009C4A80">
        <w:rPr>
          <w:rFonts w:ascii="Times New Roman" w:hAnsi="Times New Roman"/>
          <w:sz w:val="24"/>
          <w:szCs w:val="24"/>
        </w:rPr>
        <w:t xml:space="preserve">. </w:t>
      </w:r>
      <w:r w:rsidRPr="009C4A80">
        <w:rPr>
          <w:rFonts w:ascii="Times New Roman" w:hAnsi="Times New Roman"/>
          <w:i/>
          <w:iCs/>
          <w:sz w:val="24"/>
          <w:szCs w:val="24"/>
        </w:rPr>
        <w:t xml:space="preserve">Birkett </w:t>
      </w:r>
      <w:hyperlink r:id="rId983" w:history="1">
        <w:r w:rsidRPr="009C4A80">
          <w:rPr>
            <w:rStyle w:val="Hyperlink"/>
            <w:rFonts w:ascii="Times New Roman" w:hAnsi="Times New Roman"/>
            <w:sz w:val="24"/>
            <w:szCs w:val="24"/>
          </w:rPr>
          <w:t>(1999) 21 Cal.4th 226</w:t>
        </w:r>
      </w:hyperlink>
      <w:r w:rsidRPr="009C4A80">
        <w:rPr>
          <w:rFonts w:ascii="Times New Roman" w:hAnsi="Times New Roman"/>
          <w:sz w:val="24"/>
          <w:szCs w:val="24"/>
        </w:rPr>
        <w:t xml:space="preserve">, 245-247 [victim entitled to restitution in the ‘full amount of the loss caused by the crime, regardless of whether, in the exercise of prudence, the victim had purchased private insurance that covered some or all of the same losses’].)” </w:t>
      </w:r>
      <w:hyperlink r:id="rId984" w:history="1">
        <w:r w:rsidRPr="009C4A80">
          <w:rPr>
            <w:rStyle w:val="Hyperlink"/>
            <w:rFonts w:ascii="Times New Roman" w:hAnsi="Times New Roman"/>
            <w:sz w:val="24"/>
            <w:szCs w:val="24"/>
          </w:rPr>
          <w:t>http://www.courts.ca.gov/opinions/nonpub/A154587.PDF</w:t>
        </w:r>
      </w:hyperlink>
      <w:r w:rsidRPr="009C4A80">
        <w:rPr>
          <w:rFonts w:ascii="Times New Roman" w:hAnsi="Times New Roman"/>
          <w:sz w:val="24"/>
          <w:szCs w:val="24"/>
        </w:rPr>
        <w:t xml:space="preserve"> </w:t>
      </w:r>
    </w:p>
    <w:p w14:paraId="71EA2686" w14:textId="77777777" w:rsidR="009C4A80" w:rsidRDefault="009C4A80" w:rsidP="00F326E5">
      <w:pPr>
        <w:pStyle w:val="NoSpacing"/>
        <w:rPr>
          <w:rFonts w:ascii="Times New Roman" w:hAnsi="Times New Roman"/>
          <w:b/>
          <w:sz w:val="24"/>
          <w:szCs w:val="24"/>
        </w:rPr>
      </w:pPr>
    </w:p>
    <w:p w14:paraId="188A4BEC" w14:textId="5EE42847" w:rsidR="00F326E5" w:rsidRPr="009C4A80" w:rsidRDefault="00F326E5" w:rsidP="00F326E5">
      <w:pPr>
        <w:pStyle w:val="NoSpacing"/>
        <w:rPr>
          <w:rFonts w:ascii="Times New Roman" w:hAnsi="Times New Roman"/>
          <w:b/>
          <w:sz w:val="24"/>
          <w:szCs w:val="24"/>
        </w:rPr>
      </w:pPr>
      <w:r w:rsidRPr="009C4A80">
        <w:rPr>
          <w:rFonts w:ascii="Times New Roman" w:hAnsi="Times New Roman"/>
          <w:b/>
          <w:sz w:val="24"/>
          <w:szCs w:val="24"/>
        </w:rPr>
        <w:t>Legal Lessons Learned: Great lesson for this drunk driver.  The Insurance company may be entitled to a refund, if this defendant ultimately pays full amount.</w:t>
      </w:r>
    </w:p>
    <w:bookmarkEnd w:id="221"/>
    <w:p w14:paraId="711078C5" w14:textId="77777777" w:rsidR="00F326E5" w:rsidRDefault="00F326E5" w:rsidP="00F326E5">
      <w:pPr>
        <w:rPr>
          <w:rFonts w:eastAsia="Times New Roman"/>
          <w:sz w:val="24"/>
          <w:szCs w:val="24"/>
        </w:rPr>
      </w:pPr>
    </w:p>
    <w:p w14:paraId="1FF60CD6" w14:textId="2816875C" w:rsidR="00F326E5" w:rsidRDefault="00EF1133" w:rsidP="00F326E5">
      <w:pPr>
        <w:rPr>
          <w:sz w:val="24"/>
          <w:szCs w:val="24"/>
        </w:rPr>
      </w:pPr>
      <w:r w:rsidRPr="00EF1133">
        <w:rPr>
          <w:rFonts w:ascii="Arial Black" w:hAnsi="Arial Black"/>
          <w:b/>
          <w:sz w:val="24"/>
          <w:szCs w:val="24"/>
        </w:rPr>
        <w:t>5-</w:t>
      </w:r>
      <w:r>
        <w:rPr>
          <w:rFonts w:ascii="Arial Black" w:hAnsi="Arial Black"/>
          <w:b/>
          <w:sz w:val="24"/>
          <w:szCs w:val="24"/>
        </w:rPr>
        <w:t>2</w:t>
      </w:r>
    </w:p>
    <w:p w14:paraId="3D573D8B" w14:textId="4F0A5F78" w:rsidR="00F326E5" w:rsidRDefault="00F326E5" w:rsidP="00F326E5">
      <w:pPr>
        <w:rPr>
          <w:rFonts w:ascii="Arial Black" w:eastAsia="Times New Roman" w:hAnsi="Arial Black"/>
          <w:sz w:val="28"/>
          <w:szCs w:val="28"/>
        </w:rPr>
      </w:pPr>
      <w:bookmarkStart w:id="222" w:name="_Hlk7342818"/>
      <w:r>
        <w:rPr>
          <w:rFonts w:ascii="Arial Black" w:eastAsia="Times New Roman" w:hAnsi="Arial Black"/>
          <w:sz w:val="28"/>
          <w:szCs w:val="28"/>
        </w:rPr>
        <w:t>OH: EMER. VEH. OPERATOR ENTITLED TO IMMUNITY – BACKED OVER WALKER – NOT “RECKLESS”</w:t>
      </w:r>
    </w:p>
    <w:p w14:paraId="7285E0B9" w14:textId="77777777" w:rsidR="009C4A80" w:rsidRDefault="00F326E5" w:rsidP="00F326E5">
      <w:pPr>
        <w:pStyle w:val="NoSpacing"/>
        <w:rPr>
          <w:rFonts w:ascii="Times New Roman" w:hAnsi="Times New Roman"/>
          <w:sz w:val="24"/>
          <w:szCs w:val="24"/>
        </w:rPr>
      </w:pPr>
      <w:r w:rsidRPr="009C4A80">
        <w:rPr>
          <w:rFonts w:ascii="Times New Roman" w:eastAsia="Times New Roman" w:hAnsi="Times New Roman"/>
          <w:bCs/>
          <w:sz w:val="24"/>
          <w:szCs w:val="24"/>
        </w:rPr>
        <w:t xml:space="preserve">On </w:t>
      </w:r>
      <w:bookmarkStart w:id="223" w:name="_Hlk39829822"/>
      <w:r w:rsidRPr="009C4A80">
        <w:rPr>
          <w:rFonts w:ascii="Times New Roman" w:eastAsia="Times New Roman" w:hAnsi="Times New Roman"/>
          <w:bCs/>
          <w:sz w:val="24"/>
          <w:szCs w:val="24"/>
        </w:rPr>
        <w:t xml:space="preserve">Oct. 9, 2018, in </w:t>
      </w:r>
      <w:r w:rsidRPr="009C4A80">
        <w:rPr>
          <w:rFonts w:ascii="Times New Roman" w:eastAsia="Times New Roman" w:hAnsi="Times New Roman"/>
          <w:bCs/>
          <w:sz w:val="24"/>
          <w:szCs w:val="24"/>
          <w:u w:val="single"/>
        </w:rPr>
        <w:t>Riehm v. Green Springs Rural Volunteer Fire Dept</w:t>
      </w:r>
      <w:r w:rsidRPr="009C4A80">
        <w:rPr>
          <w:rFonts w:ascii="Times New Roman" w:eastAsia="Times New Roman" w:hAnsi="Times New Roman"/>
          <w:bCs/>
          <w:sz w:val="24"/>
          <w:szCs w:val="24"/>
        </w:rPr>
        <w:t>., 2018-Ohio-4075</w:t>
      </w:r>
      <w:bookmarkEnd w:id="223"/>
      <w:r w:rsidRPr="009C4A80">
        <w:rPr>
          <w:rFonts w:ascii="Times New Roman" w:eastAsia="Times New Roman" w:hAnsi="Times New Roman"/>
          <w:bCs/>
          <w:sz w:val="24"/>
          <w:szCs w:val="24"/>
        </w:rPr>
        <w:t>, the</w:t>
      </w:r>
      <w:r w:rsidRPr="009C4A80">
        <w:rPr>
          <w:rFonts w:ascii="Times New Roman" w:eastAsia="Times New Roman" w:hAnsi="Times New Roman"/>
          <w:b/>
          <w:sz w:val="24"/>
          <w:szCs w:val="24"/>
        </w:rPr>
        <w:t xml:space="preserve"> </w:t>
      </w:r>
      <w:r w:rsidRPr="009C4A80">
        <w:rPr>
          <w:rFonts w:ascii="Times New Roman" w:eastAsia="Times New Roman" w:hAnsi="Times New Roman"/>
          <w:sz w:val="24"/>
          <w:szCs w:val="24"/>
        </w:rPr>
        <w:t xml:space="preserve">Ohio Court of Appeals for Third District (Seneca County), held (2 to 1) that the trial court improperly denied the fire department, and firefighter </w:t>
      </w:r>
      <w:r w:rsidRPr="009C4A80">
        <w:rPr>
          <w:rFonts w:ascii="Times New Roman" w:hAnsi="Times New Roman"/>
          <w:sz w:val="24"/>
          <w:szCs w:val="24"/>
        </w:rPr>
        <w:t xml:space="preserve">Seth T. Knieriemen’s motions for summary judgment.  </w:t>
      </w:r>
    </w:p>
    <w:p w14:paraId="63E95956" w14:textId="77777777" w:rsidR="009C4A80" w:rsidRDefault="009C4A80" w:rsidP="00F326E5">
      <w:pPr>
        <w:pStyle w:val="NoSpacing"/>
        <w:rPr>
          <w:rFonts w:ascii="Times New Roman" w:hAnsi="Times New Roman"/>
          <w:sz w:val="24"/>
          <w:szCs w:val="24"/>
        </w:rPr>
      </w:pPr>
    </w:p>
    <w:p w14:paraId="56E0C221" w14:textId="150B0C73" w:rsidR="00F326E5" w:rsidRPr="009C4A80" w:rsidRDefault="00F326E5" w:rsidP="009C4A80">
      <w:pPr>
        <w:pStyle w:val="NoSpacing"/>
        <w:ind w:left="720"/>
        <w:rPr>
          <w:rStyle w:val="Hyperlink"/>
          <w:rFonts w:ascii="Times New Roman" w:hAnsi="Times New Roman"/>
          <w:b/>
          <w:sz w:val="24"/>
          <w:szCs w:val="24"/>
        </w:rPr>
      </w:pPr>
      <w:r w:rsidRPr="009C4A80">
        <w:rPr>
          <w:rFonts w:ascii="Times New Roman" w:hAnsi="Times New Roman"/>
          <w:sz w:val="24"/>
          <w:szCs w:val="24"/>
        </w:rPr>
        <w:t>“</w:t>
      </w:r>
      <w:r w:rsidRPr="009C4A80">
        <w:rPr>
          <w:rFonts w:ascii="Times New Roman" w:eastAsia="Times New Roman" w:hAnsi="Times New Roman"/>
          <w:sz w:val="24"/>
          <w:szCs w:val="24"/>
        </w:rPr>
        <w:t xml:space="preserve">As to Knieriemen individually, he could still be liable if his conduct constituted recklessness. Recklessness implies conduct that is substantially greater than negligence. Knieriemen’s failure to follow standard operating guidelines does not establish a genuine issue of material fact as to whether there was more than negligence here, particularly where he did not see, and perhaps could not have seen, Lorri. Knieriemen’s conduct could certainly be considered negligent, but not substantially greater than negligent. Therefore, we find that the trial court also erred on this issue.” </w:t>
      </w:r>
      <w:bookmarkStart w:id="224" w:name="_Hlk39829850"/>
      <w:r w:rsidR="00374417">
        <w:fldChar w:fldCharType="begin"/>
      </w:r>
      <w:r w:rsidR="00374417">
        <w:instrText xml:space="preserve"> HYPERLINK "https://www.courtlistener.com/pdf/2018/10/09/riehm_v._green_springs_rural_volunteer_fire_dept..pdf" </w:instrText>
      </w:r>
      <w:r w:rsidR="00374417">
        <w:fldChar w:fldCharType="separate"/>
      </w:r>
      <w:r w:rsidRPr="009C4A80">
        <w:rPr>
          <w:rStyle w:val="Hyperlink"/>
          <w:rFonts w:ascii="Times New Roman" w:hAnsi="Times New Roman"/>
          <w:sz w:val="24"/>
          <w:szCs w:val="24"/>
        </w:rPr>
        <w:t>https://www.courtlistener.com/pdf/2018/10/09/riehm_v._green_springs_rural_volunteer_fire_dept..pdf</w:t>
      </w:r>
      <w:r w:rsidR="00374417">
        <w:rPr>
          <w:rStyle w:val="Hyperlink"/>
          <w:rFonts w:ascii="Times New Roman" w:hAnsi="Times New Roman"/>
          <w:sz w:val="24"/>
          <w:szCs w:val="24"/>
        </w:rPr>
        <w:fldChar w:fldCharType="end"/>
      </w:r>
      <w:bookmarkEnd w:id="224"/>
    </w:p>
    <w:p w14:paraId="6AC4635A" w14:textId="77777777" w:rsidR="009C4A80" w:rsidRDefault="009C4A80" w:rsidP="00F326E5">
      <w:pPr>
        <w:rPr>
          <w:rFonts w:ascii="Times New Roman" w:hAnsi="Times New Roman"/>
          <w:b/>
          <w:sz w:val="24"/>
          <w:szCs w:val="24"/>
        </w:rPr>
      </w:pPr>
    </w:p>
    <w:p w14:paraId="07845484" w14:textId="0A1535FA" w:rsidR="00F326E5" w:rsidRPr="009C4A80" w:rsidRDefault="00F326E5" w:rsidP="00F326E5">
      <w:pPr>
        <w:rPr>
          <w:rFonts w:ascii="Times New Roman" w:hAnsi="Times New Roman"/>
          <w:b/>
          <w:sz w:val="24"/>
          <w:szCs w:val="24"/>
        </w:rPr>
      </w:pPr>
      <w:r w:rsidRPr="009C4A80">
        <w:rPr>
          <w:rFonts w:ascii="Times New Roman" w:hAnsi="Times New Roman"/>
          <w:b/>
          <w:sz w:val="24"/>
          <w:szCs w:val="24"/>
        </w:rPr>
        <w:lastRenderedPageBreak/>
        <w:t xml:space="preserve">Legal Lessons Learned:  Tragic accidents can be avoided if SOGs are followed, including using a backer.  </w:t>
      </w:r>
    </w:p>
    <w:bookmarkEnd w:id="222"/>
    <w:p w14:paraId="7AAB0E56" w14:textId="77777777" w:rsidR="00F326E5" w:rsidRDefault="00F326E5" w:rsidP="00F326E5">
      <w:pPr>
        <w:rPr>
          <w:b/>
          <w:sz w:val="24"/>
          <w:szCs w:val="24"/>
        </w:rPr>
      </w:pPr>
    </w:p>
    <w:p w14:paraId="0F51F6E6" w14:textId="45CE9A32" w:rsidR="00F326E5" w:rsidRPr="00EF1133" w:rsidRDefault="00EF1133" w:rsidP="00F326E5">
      <w:pPr>
        <w:rPr>
          <w:rFonts w:ascii="Arial Black" w:hAnsi="Arial Black"/>
          <w:b/>
          <w:sz w:val="24"/>
          <w:szCs w:val="24"/>
        </w:rPr>
      </w:pPr>
      <w:r w:rsidRPr="00EF1133">
        <w:rPr>
          <w:rFonts w:ascii="Arial Black" w:hAnsi="Arial Black"/>
          <w:b/>
          <w:sz w:val="24"/>
          <w:szCs w:val="24"/>
        </w:rPr>
        <w:t>5-1</w:t>
      </w:r>
    </w:p>
    <w:p w14:paraId="5679A08F" w14:textId="5BFD68B1" w:rsidR="00F326E5" w:rsidRPr="00103A9C" w:rsidRDefault="00F326E5" w:rsidP="00F326E5">
      <w:pPr>
        <w:rPr>
          <w:rFonts w:ascii="Arial Black" w:hAnsi="Arial Black"/>
          <w:sz w:val="28"/>
          <w:szCs w:val="28"/>
        </w:rPr>
      </w:pPr>
      <w:bookmarkStart w:id="225" w:name="_Hlk7342908"/>
      <w:r w:rsidRPr="00103A9C">
        <w:rPr>
          <w:rFonts w:ascii="Arial Black" w:hAnsi="Arial Black"/>
          <w:sz w:val="28"/>
          <w:szCs w:val="28"/>
        </w:rPr>
        <w:t>MI: A</w:t>
      </w:r>
      <w:r>
        <w:rPr>
          <w:rFonts w:ascii="Arial Black" w:hAnsi="Arial Black"/>
          <w:sz w:val="28"/>
          <w:szCs w:val="28"/>
        </w:rPr>
        <w:t>MBULANCE STRUCT DEBRIS IN ROADWAY, EMT INJURED – NOT ENTITLED TO UNINSURED MOTORIST</w:t>
      </w:r>
      <w:r w:rsidR="00EF0BEC">
        <w:rPr>
          <w:rFonts w:ascii="Arial Black" w:hAnsi="Arial Black"/>
          <w:sz w:val="28"/>
          <w:szCs w:val="28"/>
        </w:rPr>
        <w:t xml:space="preserve"> INSURANCE COVERAGE</w:t>
      </w:r>
    </w:p>
    <w:p w14:paraId="74D68AB1" w14:textId="77777777" w:rsidR="009C4A80" w:rsidRDefault="00F326E5" w:rsidP="00F326E5">
      <w:pPr>
        <w:rPr>
          <w:rFonts w:ascii="Times New Roman" w:hAnsi="Times New Roman"/>
          <w:sz w:val="24"/>
          <w:szCs w:val="24"/>
        </w:rPr>
      </w:pPr>
      <w:r w:rsidRPr="009C4A80">
        <w:rPr>
          <w:rFonts w:ascii="Times New Roman" w:hAnsi="Times New Roman"/>
          <w:sz w:val="24"/>
          <w:szCs w:val="24"/>
        </w:rPr>
        <w:t xml:space="preserve">On Feb. 27, 2018, in Jeremy </w:t>
      </w:r>
      <w:r w:rsidRPr="009C4A80">
        <w:rPr>
          <w:rFonts w:ascii="Times New Roman" w:hAnsi="Times New Roman"/>
          <w:sz w:val="24"/>
          <w:szCs w:val="24"/>
          <w:u w:val="single"/>
        </w:rPr>
        <w:t>Drouillard v. American Alternative Insurance Company</w:t>
      </w:r>
      <w:r w:rsidRPr="009C4A80">
        <w:rPr>
          <w:rFonts w:ascii="Times New Roman" w:hAnsi="Times New Roman"/>
          <w:sz w:val="24"/>
          <w:szCs w:val="24"/>
        </w:rPr>
        <w:t xml:space="preserve">, the Court of Appeals of Michigan held (2 to 1) that the insurance policy which was purchased by ambulance company does not cover such an accident.  </w:t>
      </w:r>
    </w:p>
    <w:p w14:paraId="131160F9" w14:textId="0452BAD7" w:rsidR="00F326E5" w:rsidRPr="009C4A80" w:rsidRDefault="00F326E5" w:rsidP="009C4A80">
      <w:pPr>
        <w:ind w:left="720"/>
        <w:rPr>
          <w:rFonts w:ascii="Times New Roman" w:hAnsi="Times New Roman"/>
          <w:sz w:val="24"/>
          <w:szCs w:val="24"/>
        </w:rPr>
      </w:pPr>
      <w:r w:rsidRPr="009C4A80">
        <w:rPr>
          <w:rFonts w:ascii="Times New Roman" w:hAnsi="Times New Roman"/>
          <w:sz w:val="24"/>
          <w:szCs w:val="24"/>
        </w:rPr>
        <w:t xml:space="preserve">“[T] he plain language of the contract provides uninsured motorist coverage to Drouillard [EMT passenger] only if the unidentified pickup truck caused an object to hit the insured ambulance, and not vice versa. Reviewing the pertinent </w:t>
      </w:r>
      <w:proofErr w:type="gramStart"/>
      <w:r w:rsidRPr="009C4A80">
        <w:rPr>
          <w:rFonts w:ascii="Times New Roman" w:hAnsi="Times New Roman"/>
          <w:sz w:val="24"/>
          <w:szCs w:val="24"/>
        </w:rPr>
        <w:t>section as a whole, the</w:t>
      </w:r>
      <w:proofErr w:type="gramEnd"/>
      <w:r w:rsidRPr="009C4A80">
        <w:rPr>
          <w:rFonts w:ascii="Times New Roman" w:hAnsi="Times New Roman"/>
          <w:sz w:val="24"/>
          <w:szCs w:val="24"/>
        </w:rPr>
        <w:t xml:space="preserve"> language cannot reasonably be understood in any other way. Importantly, Drouillard and Schoenberg {EMT driver] both admitted that the building materials were stationary at the time of the accident, and Schoenberg agreed that, as the driver of the ambulance, she struck the materials in the roadway. Therefore, this is not a situation in which a hit-and-run vehicle caused an object to hit the insured ambulance, and Drouillard is not entitled to uninsured motorist benefits under the terms of the </w:t>
      </w:r>
      <w:proofErr w:type="gramStart"/>
      <w:r w:rsidRPr="009C4A80">
        <w:rPr>
          <w:rFonts w:ascii="Times New Roman" w:hAnsi="Times New Roman"/>
          <w:sz w:val="24"/>
          <w:szCs w:val="24"/>
        </w:rPr>
        <w:t>policy.”</w:t>
      </w:r>
      <w:proofErr w:type="gramEnd"/>
      <w:r w:rsidRPr="009C4A80">
        <w:rPr>
          <w:rFonts w:ascii="Times New Roman" w:hAnsi="Times New Roman"/>
          <w:sz w:val="24"/>
          <w:szCs w:val="24"/>
        </w:rPr>
        <w:t xml:space="preserve"> </w:t>
      </w:r>
      <w:hyperlink r:id="rId985" w:history="1">
        <w:r w:rsidRPr="009C4A80">
          <w:rPr>
            <w:rStyle w:val="Hyperlink"/>
            <w:rFonts w:ascii="Times New Roman" w:hAnsi="Times New Roman"/>
            <w:sz w:val="24"/>
            <w:szCs w:val="24"/>
          </w:rPr>
          <w:t>https://caselaw.findlaw.com/mi-court-of-appeals/1890718.html</w:t>
        </w:r>
      </w:hyperlink>
      <w:r w:rsidRPr="009C4A80">
        <w:rPr>
          <w:rFonts w:ascii="Times New Roman" w:hAnsi="Times New Roman"/>
          <w:sz w:val="24"/>
          <w:szCs w:val="24"/>
        </w:rPr>
        <w:t xml:space="preserve"> </w:t>
      </w:r>
    </w:p>
    <w:p w14:paraId="58B5F07F" w14:textId="5660B739" w:rsidR="00F326E5" w:rsidRDefault="00F326E5" w:rsidP="0090461E">
      <w:pPr>
        <w:rPr>
          <w:rFonts w:ascii="Arial Black" w:hAnsi="Arial Black"/>
          <w:sz w:val="40"/>
          <w:szCs w:val="40"/>
        </w:rPr>
      </w:pPr>
      <w:r w:rsidRPr="009C4A80">
        <w:rPr>
          <w:rFonts w:ascii="Times New Roman" w:hAnsi="Times New Roman"/>
          <w:b/>
          <w:sz w:val="24"/>
          <w:szCs w:val="24"/>
        </w:rPr>
        <w:t>Legal Lessons Learned:  Ask your insurance carrier how they would respond to a similar claim; if they would deny the claim, then get the insurance carrier to amend your policy or find a new carrier.</w:t>
      </w:r>
      <w:r w:rsidRPr="009F2867">
        <w:rPr>
          <w:b/>
          <w:sz w:val="24"/>
          <w:szCs w:val="24"/>
        </w:rPr>
        <w:t xml:space="preserve"> </w:t>
      </w:r>
      <w:bookmarkEnd w:id="225"/>
    </w:p>
    <w:p w14:paraId="649E036E" w14:textId="77777777" w:rsidR="0090461E" w:rsidRDefault="0090461E" w:rsidP="00F326E5">
      <w:pPr>
        <w:pStyle w:val="NoSpacing"/>
        <w:rPr>
          <w:rFonts w:ascii="Arial Black" w:hAnsi="Arial Black"/>
          <w:sz w:val="40"/>
          <w:szCs w:val="40"/>
        </w:rPr>
      </w:pPr>
    </w:p>
    <w:p w14:paraId="36C6CE7B" w14:textId="77777777" w:rsidR="0090461E" w:rsidRDefault="0090461E" w:rsidP="00F326E5">
      <w:pPr>
        <w:pStyle w:val="NoSpacing"/>
        <w:rPr>
          <w:rFonts w:ascii="Arial Black" w:hAnsi="Arial Black"/>
          <w:sz w:val="40"/>
          <w:szCs w:val="40"/>
        </w:rPr>
      </w:pPr>
    </w:p>
    <w:p w14:paraId="1081D8B7" w14:textId="77777777" w:rsidR="0090461E" w:rsidRDefault="0090461E" w:rsidP="00F326E5">
      <w:pPr>
        <w:pStyle w:val="NoSpacing"/>
        <w:rPr>
          <w:rFonts w:ascii="Arial Black" w:hAnsi="Arial Black"/>
          <w:sz w:val="40"/>
          <w:szCs w:val="40"/>
        </w:rPr>
      </w:pPr>
    </w:p>
    <w:p w14:paraId="66D50EAB" w14:textId="77777777" w:rsidR="0090461E" w:rsidRDefault="0090461E" w:rsidP="00F326E5">
      <w:pPr>
        <w:pStyle w:val="NoSpacing"/>
        <w:rPr>
          <w:rFonts w:ascii="Arial Black" w:hAnsi="Arial Black"/>
          <w:sz w:val="40"/>
          <w:szCs w:val="40"/>
        </w:rPr>
      </w:pPr>
    </w:p>
    <w:p w14:paraId="296EFA27" w14:textId="77777777" w:rsidR="0090461E" w:rsidRDefault="0090461E" w:rsidP="00F326E5">
      <w:pPr>
        <w:pStyle w:val="NoSpacing"/>
        <w:rPr>
          <w:rFonts w:ascii="Arial Black" w:hAnsi="Arial Black"/>
          <w:sz w:val="40"/>
          <w:szCs w:val="40"/>
        </w:rPr>
      </w:pPr>
    </w:p>
    <w:p w14:paraId="30B957C6" w14:textId="77777777" w:rsidR="0090461E" w:rsidRDefault="0090461E" w:rsidP="00F326E5">
      <w:pPr>
        <w:pStyle w:val="NoSpacing"/>
        <w:rPr>
          <w:rFonts w:ascii="Arial Black" w:hAnsi="Arial Black"/>
          <w:sz w:val="40"/>
          <w:szCs w:val="40"/>
        </w:rPr>
      </w:pPr>
    </w:p>
    <w:p w14:paraId="494BD50A" w14:textId="77777777" w:rsidR="0090461E" w:rsidRDefault="0090461E" w:rsidP="00F326E5">
      <w:pPr>
        <w:pStyle w:val="NoSpacing"/>
        <w:rPr>
          <w:rFonts w:ascii="Arial Black" w:hAnsi="Arial Black"/>
          <w:sz w:val="40"/>
          <w:szCs w:val="40"/>
        </w:rPr>
      </w:pPr>
    </w:p>
    <w:p w14:paraId="05451AE6" w14:textId="77777777" w:rsidR="0090461E" w:rsidRDefault="0090461E" w:rsidP="00F326E5">
      <w:pPr>
        <w:pStyle w:val="NoSpacing"/>
        <w:rPr>
          <w:rFonts w:ascii="Arial Black" w:hAnsi="Arial Black"/>
          <w:sz w:val="40"/>
          <w:szCs w:val="40"/>
        </w:rPr>
      </w:pPr>
    </w:p>
    <w:p w14:paraId="097348AB" w14:textId="77777777" w:rsidR="0090461E" w:rsidRDefault="0090461E" w:rsidP="00F326E5">
      <w:pPr>
        <w:pStyle w:val="NoSpacing"/>
        <w:rPr>
          <w:rFonts w:ascii="Arial Black" w:hAnsi="Arial Black"/>
          <w:sz w:val="40"/>
          <w:szCs w:val="40"/>
        </w:rPr>
      </w:pPr>
    </w:p>
    <w:p w14:paraId="67837476" w14:textId="77777777" w:rsidR="0090461E" w:rsidRDefault="0090461E" w:rsidP="00F326E5">
      <w:pPr>
        <w:pStyle w:val="NoSpacing"/>
        <w:rPr>
          <w:rFonts w:ascii="Arial Black" w:hAnsi="Arial Black"/>
          <w:sz w:val="40"/>
          <w:szCs w:val="40"/>
        </w:rPr>
      </w:pPr>
    </w:p>
    <w:p w14:paraId="0573D9BC" w14:textId="77777777" w:rsidR="005263F1" w:rsidRDefault="005263F1" w:rsidP="00F326E5">
      <w:pPr>
        <w:pStyle w:val="NoSpacing"/>
        <w:rPr>
          <w:rFonts w:ascii="Arial Black" w:hAnsi="Arial Black"/>
          <w:sz w:val="40"/>
          <w:szCs w:val="40"/>
        </w:rPr>
      </w:pPr>
    </w:p>
    <w:p w14:paraId="0C3B30FD" w14:textId="0982FD90" w:rsidR="0097062D" w:rsidRDefault="0097062D">
      <w:pPr>
        <w:spacing w:after="0" w:line="240" w:lineRule="auto"/>
        <w:rPr>
          <w:rFonts w:ascii="Arial Black" w:hAnsi="Arial Black"/>
          <w:sz w:val="40"/>
          <w:szCs w:val="40"/>
        </w:rPr>
      </w:pPr>
      <w:r>
        <w:rPr>
          <w:rFonts w:ascii="Arial Black" w:hAnsi="Arial Black"/>
          <w:sz w:val="40"/>
          <w:szCs w:val="40"/>
        </w:rPr>
        <w:lastRenderedPageBreak/>
        <w:br w:type="page"/>
      </w:r>
    </w:p>
    <w:p w14:paraId="255FC209" w14:textId="35C02436"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6</w:t>
      </w:r>
      <w:r w:rsidRPr="007732FA">
        <w:rPr>
          <w:rFonts w:ascii="Arial Black" w:hAnsi="Arial Black"/>
          <w:sz w:val="40"/>
          <w:szCs w:val="40"/>
        </w:rPr>
        <w:tab/>
        <w:t>Employment Litigation</w:t>
      </w:r>
      <w:r w:rsidR="003F660F">
        <w:rPr>
          <w:rFonts w:ascii="Arial Black" w:hAnsi="Arial Black"/>
          <w:sz w:val="40"/>
          <w:szCs w:val="40"/>
        </w:rPr>
        <w:t>, incl</w:t>
      </w:r>
      <w:r w:rsidR="00BC5936">
        <w:rPr>
          <w:rFonts w:ascii="Arial Black" w:hAnsi="Arial Black"/>
          <w:sz w:val="40"/>
          <w:szCs w:val="40"/>
        </w:rPr>
        <w:t xml:space="preserve">. </w:t>
      </w:r>
      <w:r w:rsidR="00BB43DD">
        <w:rPr>
          <w:rFonts w:ascii="Arial Black" w:hAnsi="Arial Black"/>
          <w:sz w:val="40"/>
          <w:szCs w:val="40"/>
        </w:rPr>
        <w:t>Workers</w:t>
      </w:r>
      <w:r w:rsidR="005F0E6D">
        <w:rPr>
          <w:rFonts w:ascii="Arial Black" w:hAnsi="Arial Black"/>
          <w:sz w:val="40"/>
          <w:szCs w:val="40"/>
        </w:rPr>
        <w:t>’</w:t>
      </w:r>
      <w:r w:rsidR="00BB43DD">
        <w:rPr>
          <w:rFonts w:ascii="Arial Black" w:hAnsi="Arial Black"/>
          <w:sz w:val="40"/>
          <w:szCs w:val="40"/>
        </w:rPr>
        <w:t xml:space="preserve"> Comp</w:t>
      </w:r>
      <w:r w:rsidR="003F660F">
        <w:rPr>
          <w:rFonts w:ascii="Arial Black" w:hAnsi="Arial Black"/>
          <w:sz w:val="40"/>
          <w:szCs w:val="40"/>
        </w:rPr>
        <w:t>.</w:t>
      </w:r>
      <w:r w:rsidR="00BC5936">
        <w:rPr>
          <w:rFonts w:ascii="Arial Black" w:hAnsi="Arial Black"/>
          <w:sz w:val="40"/>
          <w:szCs w:val="40"/>
        </w:rPr>
        <w:t>, Disability</w:t>
      </w:r>
    </w:p>
    <w:p w14:paraId="1CAF88C4" w14:textId="77777777" w:rsidR="00066F05" w:rsidRDefault="00066F05" w:rsidP="00EF1133">
      <w:pPr>
        <w:rPr>
          <w:rFonts w:ascii="Arial Black" w:hAnsi="Arial Black"/>
          <w:b/>
          <w:sz w:val="24"/>
          <w:szCs w:val="24"/>
        </w:rPr>
      </w:pPr>
    </w:p>
    <w:p w14:paraId="53A6A14E" w14:textId="0BD5E128" w:rsidR="00221DD4" w:rsidRDefault="00221DD4" w:rsidP="00EF1133">
      <w:pPr>
        <w:rPr>
          <w:rFonts w:ascii="Arial Black" w:hAnsi="Arial Black"/>
          <w:b/>
          <w:sz w:val="24"/>
          <w:szCs w:val="24"/>
        </w:rPr>
      </w:pPr>
      <w:r>
        <w:rPr>
          <w:rFonts w:ascii="Arial Black" w:hAnsi="Arial Black"/>
          <w:b/>
          <w:sz w:val="28"/>
          <w:szCs w:val="28"/>
        </w:rPr>
        <w:t>6-182</w:t>
      </w:r>
    </w:p>
    <w:p w14:paraId="0C180BC4" w14:textId="77777777" w:rsidR="00893575" w:rsidRPr="00CB350E" w:rsidRDefault="00893575" w:rsidP="00893575">
      <w:pPr>
        <w:pStyle w:val="NoSpacing"/>
        <w:rPr>
          <w:rFonts w:ascii="Arial Black" w:hAnsi="Arial Black"/>
          <w:sz w:val="28"/>
          <w:szCs w:val="28"/>
        </w:rPr>
      </w:pPr>
      <w:r>
        <w:rPr>
          <w:rFonts w:ascii="Arial Black" w:hAnsi="Arial Black"/>
          <w:sz w:val="28"/>
          <w:szCs w:val="28"/>
        </w:rPr>
        <w:t>NY: FF FOOT INJURED ON FIRE BOAT – CASE PROCEED</w:t>
      </w:r>
    </w:p>
    <w:p w14:paraId="11882251" w14:textId="77777777" w:rsidR="00893575" w:rsidRDefault="00893575" w:rsidP="00893575">
      <w:pPr>
        <w:pStyle w:val="NoSpacing"/>
      </w:pPr>
    </w:p>
    <w:p w14:paraId="2E99352C" w14:textId="77777777" w:rsidR="00893575" w:rsidRDefault="00893575" w:rsidP="00893575">
      <w:pPr>
        <w:pStyle w:val="NoSpacing"/>
      </w:pPr>
      <w:r>
        <w:t xml:space="preserve">On April 30, 2026, </w:t>
      </w:r>
      <w:r w:rsidRPr="00C14F25">
        <w:rPr>
          <w:u w:val="single"/>
        </w:rPr>
        <w:t>In Re: In the Matter of the Complaint of Verplanck Fire District, et al. v. Troy Dyckman</w:t>
      </w:r>
      <w:r w:rsidRPr="00DD01C1">
        <w:t>, the</w:t>
      </w:r>
      <w:r>
        <w:t xml:space="preserve"> </w:t>
      </w:r>
      <w:r w:rsidRPr="00DD01C1">
        <w:t>United States Court of Appeals for Second District</w:t>
      </w:r>
      <w:r>
        <w:t xml:space="preserve"> (New York City) held (3 to 0) that the firefighter lawsuit seeking damages for breach of “warranty of seaworthiness may proceed under federal maritime law.  He was a volunteer firefighter while aboard 25-foot Marine I, owned by the Verplanck Fire District on August 9, </w:t>
      </w:r>
      <w:proofErr w:type="gramStart"/>
      <w:r>
        <w:t>2020</w:t>
      </w:r>
      <w:proofErr w:type="gramEnd"/>
      <w:r>
        <w:t xml:space="preserve"> to the reported site of a boat fire on the Hudson River, when he </w:t>
      </w:r>
      <w:r w:rsidRPr="00815FFD">
        <w:t xml:space="preserve">extended his leg to fend off a collision with </w:t>
      </w:r>
      <w:r>
        <w:t xml:space="preserve">West Chester County police </w:t>
      </w:r>
      <w:r w:rsidRPr="00815FFD">
        <w:t>vessel.</w:t>
      </w:r>
      <w:r>
        <w:t xml:space="preserve">  His foot was crushed between the boats; he has since undergone two surgeries. Under the New York State Volunteer Firefighters’ Benefit Law, his medical expenses are paid by the FD, plus he is paid $500 every two weeks for loss of income while injured.  Under the New York Volunteer Fireman’s statute, workers comp is his sole remedy, but federal maritime law allowing lawsuits for breach of “warranty of seaworthiness” may override that state law – case remanded for discovery.  </w:t>
      </w:r>
      <w:hyperlink r:id="rId986" w:history="1">
        <w:r w:rsidRPr="00EF04F6">
          <w:rPr>
            <w:rStyle w:val="Hyperlink"/>
          </w:rPr>
          <w:t>https://cases.justia.com/federal/appellate-courts/ca2/23-1218/23-1218-2026-04-30.pdf?ts=1777566611</w:t>
        </w:r>
      </w:hyperlink>
      <w:r>
        <w:t xml:space="preserve"> </w:t>
      </w:r>
    </w:p>
    <w:p w14:paraId="4699B838" w14:textId="77777777" w:rsidR="00893575" w:rsidRDefault="00893575" w:rsidP="00893575">
      <w:pPr>
        <w:pStyle w:val="NoSpacing"/>
      </w:pPr>
    </w:p>
    <w:p w14:paraId="123D1104" w14:textId="77777777" w:rsidR="00893575" w:rsidRDefault="00893575" w:rsidP="00893575">
      <w:pPr>
        <w:pStyle w:val="NoSpacing"/>
      </w:pPr>
      <w:r>
        <w:t>THE COURT HELD:</w:t>
      </w:r>
    </w:p>
    <w:p w14:paraId="4BC283AB" w14:textId="77777777" w:rsidR="00893575" w:rsidRDefault="00893575" w:rsidP="00893575">
      <w:pPr>
        <w:pStyle w:val="NoSpacing"/>
      </w:pPr>
    </w:p>
    <w:p w14:paraId="00422053" w14:textId="77777777" w:rsidR="00893575" w:rsidRDefault="00893575" w:rsidP="00893575">
      <w:pPr>
        <w:pStyle w:val="NoSpacing"/>
        <w:ind w:left="720"/>
      </w:pPr>
      <w:r>
        <w:t>“[Footnote 1.] “Dyckman testified in his deposition that he went to the front of the boat to ‘get the ropes ready to tie off in the front,’ either on the instruction of a colleague or his own initiative, purportedly to secure the boat by tying it to a mooring or vessel.</w:t>
      </w:r>
    </w:p>
    <w:p w14:paraId="03DEC488" w14:textId="77777777" w:rsidR="00893575" w:rsidRDefault="00893575" w:rsidP="00893575">
      <w:pPr>
        <w:pStyle w:val="NoSpacing"/>
        <w:ind w:left="720"/>
      </w:pPr>
    </w:p>
    <w:p w14:paraId="1426479D" w14:textId="77777777" w:rsidR="00893575" w:rsidRDefault="00893575" w:rsidP="00893575">
      <w:pPr>
        <w:pStyle w:val="NoSpacing"/>
        <w:ind w:left="720"/>
      </w:pPr>
      <w:r>
        <w:t>***</w:t>
      </w:r>
    </w:p>
    <w:p w14:paraId="1B960859" w14:textId="77777777" w:rsidR="00893575" w:rsidRDefault="00893575" w:rsidP="00893575">
      <w:pPr>
        <w:pStyle w:val="NoSpacing"/>
        <w:ind w:left="720"/>
      </w:pPr>
      <w:r>
        <w:t xml:space="preserve">Nothing in the logic of </w:t>
      </w:r>
      <w:r w:rsidRPr="00546785">
        <w:rPr>
          <w:i/>
          <w:iCs/>
        </w:rPr>
        <w:t>Sieracki</w:t>
      </w:r>
      <w:r>
        <w:t xml:space="preserve"> [U.S. Supreme Court - </w:t>
      </w:r>
      <w:r w:rsidRPr="005A0F3E">
        <w:t>Seas Shipping Co. v. Sieracki, 328 U.S. 85 (1946</w:t>
      </w:r>
      <w:r>
        <w:t>] or its progeny has suggested that, while workers employed by an independent stevedoring contractor may recover from the shipowner for unseaworthy conditions, workers employed by a shipowner in its own land-based stevedoring operation may not.</w:t>
      </w:r>
    </w:p>
    <w:p w14:paraId="65CAF55D" w14:textId="77777777" w:rsidR="00893575" w:rsidRDefault="00893575" w:rsidP="00893575">
      <w:pPr>
        <w:pStyle w:val="NoSpacing"/>
        <w:ind w:left="720"/>
      </w:pPr>
    </w:p>
    <w:p w14:paraId="3633EDBB" w14:textId="77777777" w:rsidR="00893575" w:rsidRDefault="00893575" w:rsidP="00893575">
      <w:pPr>
        <w:pStyle w:val="NoSpacing"/>
        <w:ind w:left="720"/>
      </w:pPr>
      <w:r>
        <w:t>***</w:t>
      </w:r>
    </w:p>
    <w:p w14:paraId="0133E12D" w14:textId="77777777" w:rsidR="00893575" w:rsidRDefault="00893575" w:rsidP="00893575">
      <w:pPr>
        <w:pStyle w:val="NoSpacing"/>
        <w:ind w:left="720"/>
      </w:pPr>
      <w:r>
        <w:t xml:space="preserve">The relevant issue for us is whether Dyckman was covered by the Act. Dyckman, as explained below, is not covered by the Act [Limitation of Liability Act of 1851, 46 U.S.C. § 30523.]  because he is a </w:t>
      </w:r>
      <w:proofErr w:type="gramStart"/>
      <w:r>
        <w:t>governmental</w:t>
      </w:r>
      <w:proofErr w:type="gramEnd"/>
      <w:r>
        <w:t xml:space="preserve"> employee. Because he is excluded as a governmental employee, the fact that he is neither an independent contractor nor employed by one is of no significance as to whether he is or is not covered under the Act.</w:t>
      </w:r>
    </w:p>
    <w:p w14:paraId="3E521E57" w14:textId="77777777" w:rsidR="00893575" w:rsidRDefault="00893575" w:rsidP="00893575">
      <w:pPr>
        <w:pStyle w:val="NoSpacing"/>
        <w:ind w:left="720"/>
      </w:pPr>
      <w:r>
        <w:t xml:space="preserve">Footnote 2: The Limitation of Liability Act limits the liability of the owner of a vessel to the ‘value of the vessel and pending freight’ so long as the damage, loss, or personal injury was incurred ‘without the privity or knowledge of the owner.’ </w:t>
      </w:r>
    </w:p>
    <w:p w14:paraId="6F62C2C6" w14:textId="77777777" w:rsidR="00893575" w:rsidRDefault="00893575" w:rsidP="00893575">
      <w:pPr>
        <w:pStyle w:val="NoSpacing"/>
        <w:ind w:left="720"/>
      </w:pPr>
    </w:p>
    <w:p w14:paraId="3AD72310" w14:textId="77777777" w:rsidR="00893575" w:rsidRDefault="00893575" w:rsidP="00893575">
      <w:pPr>
        <w:pStyle w:val="NoSpacing"/>
        <w:ind w:left="720"/>
      </w:pPr>
      <w:r>
        <w:t>***</w:t>
      </w:r>
    </w:p>
    <w:p w14:paraId="6A68DD79" w14:textId="77777777" w:rsidR="00893575" w:rsidRDefault="00893575" w:rsidP="00893575">
      <w:pPr>
        <w:pStyle w:val="NoSpacing"/>
        <w:ind w:left="720"/>
      </w:pPr>
      <w:r>
        <w:t xml:space="preserve">We leave it to the proceedings in the district court on </w:t>
      </w:r>
      <w:proofErr w:type="gramStart"/>
      <w:r>
        <w:t>remand</w:t>
      </w:r>
      <w:proofErr w:type="gramEnd"/>
      <w:r>
        <w:t xml:space="preserve"> to determine</w:t>
      </w:r>
    </w:p>
    <w:p w14:paraId="540561CB" w14:textId="77777777" w:rsidR="00893575" w:rsidRDefault="00893575" w:rsidP="00893575">
      <w:pPr>
        <w:pStyle w:val="NoSpacing"/>
        <w:ind w:left="720"/>
      </w:pPr>
      <w:r>
        <w:t>whether this evidence should be believed and whether Dyckman was doing</w:t>
      </w:r>
    </w:p>
    <w:p w14:paraId="6D8585BB" w14:textId="77777777" w:rsidR="00893575" w:rsidRDefault="00893575" w:rsidP="00893575">
      <w:pPr>
        <w:pStyle w:val="NoSpacing"/>
        <w:ind w:left="720"/>
      </w:pPr>
      <w:r>
        <w:t>seaman’s work and incurring a seaman’s hazards.”</w:t>
      </w:r>
    </w:p>
    <w:p w14:paraId="366840BC" w14:textId="77777777" w:rsidR="00893575" w:rsidRDefault="00893575" w:rsidP="00893575">
      <w:pPr>
        <w:pStyle w:val="NoSpacing"/>
        <w:ind w:left="720"/>
      </w:pPr>
    </w:p>
    <w:p w14:paraId="5888320E" w14:textId="77777777" w:rsidR="00893575" w:rsidRPr="007F2593" w:rsidRDefault="00893575" w:rsidP="00893575">
      <w:pPr>
        <w:pStyle w:val="NoSpacing"/>
        <w:rPr>
          <w:b/>
          <w:bCs/>
        </w:rPr>
      </w:pPr>
      <w:r>
        <w:rPr>
          <w:b/>
        </w:rPr>
        <w:t xml:space="preserve">Legal lesson learned: Workers’ comp is normally only remedy for </w:t>
      </w:r>
      <w:proofErr w:type="gramStart"/>
      <w:r>
        <w:rPr>
          <w:b/>
        </w:rPr>
        <w:t>firefighter</w:t>
      </w:r>
      <w:proofErr w:type="gramEnd"/>
      <w:r>
        <w:rPr>
          <w:b/>
        </w:rPr>
        <w:t xml:space="preserve"> seeking claims against his FD. </w:t>
      </w:r>
    </w:p>
    <w:p w14:paraId="7BF5210B" w14:textId="77777777" w:rsidR="00893575" w:rsidRPr="00C14F25" w:rsidRDefault="00893575" w:rsidP="00893575">
      <w:pPr>
        <w:pStyle w:val="NoSpacing"/>
        <w:rPr>
          <w:u w:val="single"/>
        </w:rPr>
      </w:pPr>
    </w:p>
    <w:p w14:paraId="06019AA9" w14:textId="77777777" w:rsidR="00893575" w:rsidRDefault="00893575" w:rsidP="00893575">
      <w:pPr>
        <w:pStyle w:val="NoSpacing"/>
      </w:pPr>
    </w:p>
    <w:p w14:paraId="31B216A3" w14:textId="77777777" w:rsidR="0092471F" w:rsidRDefault="0092471F" w:rsidP="000624FD">
      <w:pPr>
        <w:pStyle w:val="NoSpacing"/>
        <w:rPr>
          <w:rFonts w:ascii="Arial Black" w:hAnsi="Arial Black"/>
          <w:b/>
          <w:sz w:val="28"/>
          <w:szCs w:val="28"/>
        </w:rPr>
      </w:pPr>
    </w:p>
    <w:p w14:paraId="6979F8A7" w14:textId="77777777" w:rsidR="0092471F" w:rsidRDefault="0092471F" w:rsidP="000624FD">
      <w:pPr>
        <w:pStyle w:val="NoSpacing"/>
        <w:rPr>
          <w:rFonts w:ascii="Arial Black" w:hAnsi="Arial Black"/>
          <w:b/>
          <w:sz w:val="28"/>
          <w:szCs w:val="28"/>
        </w:rPr>
      </w:pPr>
    </w:p>
    <w:p w14:paraId="7E5A09BD" w14:textId="77777777" w:rsidR="0092471F" w:rsidRDefault="0092471F" w:rsidP="000624FD">
      <w:pPr>
        <w:pStyle w:val="NoSpacing"/>
        <w:rPr>
          <w:rFonts w:ascii="Arial Black" w:hAnsi="Arial Black"/>
          <w:b/>
          <w:sz w:val="28"/>
          <w:szCs w:val="28"/>
        </w:rPr>
      </w:pPr>
    </w:p>
    <w:p w14:paraId="64226EC6" w14:textId="0745083F" w:rsidR="00035385" w:rsidRDefault="00035385" w:rsidP="000624FD">
      <w:pPr>
        <w:pStyle w:val="NoSpacing"/>
        <w:rPr>
          <w:rFonts w:ascii="Arial Black" w:hAnsi="Arial Black"/>
          <w:b/>
          <w:sz w:val="28"/>
          <w:szCs w:val="28"/>
        </w:rPr>
      </w:pPr>
      <w:r>
        <w:rPr>
          <w:rFonts w:ascii="Arial Black" w:hAnsi="Arial Black"/>
          <w:b/>
          <w:sz w:val="28"/>
          <w:szCs w:val="28"/>
        </w:rPr>
        <w:t>6-181</w:t>
      </w:r>
    </w:p>
    <w:p w14:paraId="74F3F171" w14:textId="77777777" w:rsidR="00035385" w:rsidRDefault="00035385" w:rsidP="000624FD">
      <w:pPr>
        <w:pStyle w:val="NoSpacing"/>
        <w:rPr>
          <w:rFonts w:ascii="Arial Black" w:hAnsi="Arial Black"/>
          <w:b/>
          <w:sz w:val="28"/>
          <w:szCs w:val="28"/>
        </w:rPr>
      </w:pPr>
    </w:p>
    <w:p w14:paraId="54EC177A" w14:textId="77777777" w:rsidR="007B6232" w:rsidRDefault="007B6232" w:rsidP="007B6232">
      <w:pPr>
        <w:pStyle w:val="NoSpacing"/>
        <w:rPr>
          <w:rFonts w:ascii="Arial Black" w:hAnsi="Arial Black"/>
          <w:b/>
          <w:sz w:val="28"/>
          <w:szCs w:val="28"/>
        </w:rPr>
      </w:pPr>
      <w:r>
        <w:rPr>
          <w:rFonts w:ascii="Arial Black" w:hAnsi="Arial Black"/>
          <w:b/>
          <w:sz w:val="28"/>
          <w:szCs w:val="28"/>
        </w:rPr>
        <w:t xml:space="preserve">NY: FDNY - 7 BACK INJURIES – DEGENERATIVE / NO ADR </w:t>
      </w:r>
    </w:p>
    <w:p w14:paraId="004D7752" w14:textId="77777777" w:rsidR="007B6232" w:rsidRDefault="007B6232" w:rsidP="007B6232">
      <w:pPr>
        <w:pStyle w:val="NoSpacing"/>
        <w:rPr>
          <w:rFonts w:ascii="Arial Black" w:hAnsi="Arial Black"/>
          <w:b/>
          <w:sz w:val="28"/>
          <w:szCs w:val="28"/>
        </w:rPr>
      </w:pPr>
    </w:p>
    <w:p w14:paraId="36E729A8" w14:textId="77777777" w:rsidR="007B6232" w:rsidRDefault="007B6232" w:rsidP="007B6232">
      <w:pPr>
        <w:pStyle w:val="NoSpacing"/>
      </w:pPr>
      <w:r w:rsidRPr="00426EAE">
        <w:t xml:space="preserve">On February 24, 2026, in </w:t>
      </w:r>
      <w:r w:rsidRPr="00DE0863">
        <w:rPr>
          <w:u w:val="single"/>
        </w:rPr>
        <w:t>Marcus Cevallos v. Robert Tucker, as the Fire Commissioner of the City of New York</w:t>
      </w:r>
      <w:r>
        <w:t xml:space="preserve">, Judge </w:t>
      </w:r>
      <w:r w:rsidRPr="00505C38">
        <w:t xml:space="preserve">Kathleen Waterman-Marshall, </w:t>
      </w:r>
      <w:r w:rsidRPr="00DE0863">
        <w:t>Supreme Court, New York County</w:t>
      </w:r>
      <w:r>
        <w:t xml:space="preserve">, held that plaintiff was properly awarded only ordinary disability retirement (ODR), and denied </w:t>
      </w:r>
      <w:r w:rsidRPr="009B77E9">
        <w:t>Accident Disability Retirement</w:t>
      </w:r>
      <w:r>
        <w:t xml:space="preserve"> (ADR) because his medical history revealed </w:t>
      </w:r>
      <w:r w:rsidRPr="00EC6C51">
        <w:t xml:space="preserve">degenerative changes and not </w:t>
      </w:r>
      <w:r>
        <w:t>changes cause by his workplace injuries. B</w:t>
      </w:r>
      <w:r w:rsidRPr="0058637B">
        <w:t xml:space="preserve">etween March 2014 and August 2022, </w:t>
      </w:r>
      <w:r>
        <w:t xml:space="preserve">he </w:t>
      </w:r>
      <w:r w:rsidRPr="0058637B">
        <w:t xml:space="preserve">suffered seven </w:t>
      </w:r>
      <w:r>
        <w:t xml:space="preserve">documented </w:t>
      </w:r>
      <w:proofErr w:type="gramStart"/>
      <w:r w:rsidRPr="0058637B">
        <w:t>line</w:t>
      </w:r>
      <w:proofErr w:type="gramEnd"/>
      <w:r w:rsidRPr="0058637B">
        <w:t xml:space="preserve"> of duty injuries to his back</w:t>
      </w:r>
      <w:r>
        <w:t xml:space="preserve">, but on March 29, </w:t>
      </w:r>
      <w:r w:rsidRPr="00EC6C51">
        <w:t xml:space="preserve">2014, </w:t>
      </w:r>
      <w:r>
        <w:t xml:space="preserve">he </w:t>
      </w:r>
      <w:r w:rsidRPr="00EC6C51">
        <w:t xml:space="preserve">was seen in the emergency room at Phelps Memorial </w:t>
      </w:r>
      <w:proofErr w:type="gramStart"/>
      <w:r w:rsidRPr="00EC6C51">
        <w:t xml:space="preserve">Hospital, </w:t>
      </w:r>
      <w:r>
        <w:t>and</w:t>
      </w:r>
      <w:proofErr w:type="gramEnd"/>
      <w:r>
        <w:t xml:space="preserve"> </w:t>
      </w:r>
      <w:r w:rsidRPr="00EC6C51">
        <w:t>told the examiner that he had "chronic back pain and was taking Naprosyn." This is less than a year on the job, with no previous injur</w:t>
      </w:r>
      <w:r>
        <w:t>ies</w:t>
      </w:r>
      <w:r w:rsidRPr="00EC6C51">
        <w:t xml:space="preserve"> to his back. </w:t>
      </w:r>
      <w:r>
        <w:t xml:space="preserve"> </w:t>
      </w:r>
      <w:hyperlink r:id="rId987" w:history="1">
        <w:r w:rsidRPr="00502BCE">
          <w:rPr>
            <w:rStyle w:val="Hyperlink"/>
          </w:rPr>
          <w:t>https://cases.justia.com/new-york/other-courts/2026-2026-ny-slip-op-30695-u.pdf?ts=1773178122</w:t>
        </w:r>
      </w:hyperlink>
      <w:r>
        <w:t xml:space="preserve"> </w:t>
      </w:r>
    </w:p>
    <w:p w14:paraId="5D35D398" w14:textId="77777777" w:rsidR="007B6232" w:rsidRDefault="007B6232" w:rsidP="007B6232">
      <w:pPr>
        <w:pStyle w:val="NoSpacing"/>
      </w:pPr>
    </w:p>
    <w:p w14:paraId="750353F8" w14:textId="77777777" w:rsidR="007B6232" w:rsidRDefault="007B6232" w:rsidP="007B6232">
      <w:pPr>
        <w:pStyle w:val="NoSpacing"/>
      </w:pPr>
    </w:p>
    <w:p w14:paraId="1BB94490" w14:textId="77777777" w:rsidR="007B6232" w:rsidRDefault="007B6232" w:rsidP="007B6232">
      <w:pPr>
        <w:pStyle w:val="NoSpacing"/>
      </w:pPr>
      <w:r>
        <w:t>THE COURT HELD: “</w:t>
      </w:r>
      <w:r w:rsidRPr="000F7DF4">
        <w:t>Put simply, the Medical Board was presented with competing and arguably conflicting medical evidence concerning the cause of Mr. Cevallos' disability. By way of brief example, on the one hand, the report of Mr. Cevallos' doctor urges that there was no pre-existing condition prior to Mr. Cevallos' line of duty injuries, because he was able to pass the physical exam and the 2012 x-ray showed no structural issues. One the other hand, March 2014 medical records show that Mr. Cevallos complained of chronic back pain as the result of weightlifting, requiring medication, and various radiographic studies revealed degenerative disc herniations and bulges and the absence of an acute injury. The Medical Board was entitled to review the competing evidence and recommend that the disability was caused by degenerative disease, notwithstanding the prior line of duty injuries</w:t>
      </w:r>
      <w:r>
        <w:t>.”</w:t>
      </w:r>
    </w:p>
    <w:p w14:paraId="2D87F858" w14:textId="77777777" w:rsidR="007B6232" w:rsidRDefault="007B6232" w:rsidP="007B6232">
      <w:pPr>
        <w:pStyle w:val="NoSpacing"/>
      </w:pPr>
    </w:p>
    <w:p w14:paraId="544F0C01" w14:textId="77777777" w:rsidR="007B6232" w:rsidRPr="00037C57" w:rsidRDefault="007B6232" w:rsidP="007B6232">
      <w:pPr>
        <w:pStyle w:val="NoSpacing"/>
        <w:rPr>
          <w:b/>
          <w:bCs/>
        </w:rPr>
      </w:pPr>
      <w:r w:rsidRPr="00037C57">
        <w:rPr>
          <w:b/>
        </w:rPr>
        <w:t xml:space="preserve">Legal lesson learned: </w:t>
      </w:r>
      <w:r>
        <w:rPr>
          <w:b/>
        </w:rPr>
        <w:t xml:space="preserve">Courts will generally not “second guess” the Medical Board. </w:t>
      </w:r>
    </w:p>
    <w:p w14:paraId="778C5980" w14:textId="77777777" w:rsidR="007B6232" w:rsidRDefault="007B6232" w:rsidP="007B6232">
      <w:pPr>
        <w:pStyle w:val="NoSpacing"/>
      </w:pPr>
    </w:p>
    <w:p w14:paraId="200870D5" w14:textId="77777777" w:rsidR="00035385" w:rsidRDefault="00035385" w:rsidP="000624FD">
      <w:pPr>
        <w:pStyle w:val="NoSpacing"/>
        <w:rPr>
          <w:rFonts w:ascii="Arial Black" w:hAnsi="Arial Black"/>
          <w:b/>
          <w:sz w:val="28"/>
          <w:szCs w:val="28"/>
        </w:rPr>
      </w:pPr>
    </w:p>
    <w:p w14:paraId="6ABAAB22" w14:textId="77777777" w:rsidR="00035385" w:rsidRDefault="00035385" w:rsidP="000624FD">
      <w:pPr>
        <w:pStyle w:val="NoSpacing"/>
        <w:rPr>
          <w:rFonts w:ascii="Arial Black" w:hAnsi="Arial Black"/>
          <w:b/>
          <w:sz w:val="28"/>
          <w:szCs w:val="28"/>
        </w:rPr>
      </w:pPr>
    </w:p>
    <w:p w14:paraId="517BBB1C" w14:textId="77777777" w:rsidR="00035385" w:rsidRDefault="00035385" w:rsidP="000624FD">
      <w:pPr>
        <w:pStyle w:val="NoSpacing"/>
        <w:rPr>
          <w:rFonts w:ascii="Arial Black" w:hAnsi="Arial Black"/>
          <w:b/>
          <w:sz w:val="28"/>
          <w:szCs w:val="28"/>
        </w:rPr>
      </w:pPr>
    </w:p>
    <w:p w14:paraId="18A1AE36" w14:textId="16443396" w:rsidR="006D2F6D" w:rsidRDefault="006D2F6D" w:rsidP="000624FD">
      <w:pPr>
        <w:pStyle w:val="NoSpacing"/>
        <w:rPr>
          <w:rFonts w:ascii="Arial Black" w:hAnsi="Arial Black"/>
          <w:b/>
          <w:sz w:val="28"/>
          <w:szCs w:val="28"/>
        </w:rPr>
      </w:pPr>
      <w:r>
        <w:rPr>
          <w:rFonts w:ascii="Arial Black" w:hAnsi="Arial Black"/>
          <w:b/>
          <w:sz w:val="28"/>
          <w:szCs w:val="28"/>
        </w:rPr>
        <w:t>6-1</w:t>
      </w:r>
      <w:r w:rsidR="00977A84">
        <w:rPr>
          <w:rFonts w:ascii="Arial Black" w:hAnsi="Arial Black"/>
          <w:b/>
          <w:sz w:val="28"/>
          <w:szCs w:val="28"/>
        </w:rPr>
        <w:t>80</w:t>
      </w:r>
    </w:p>
    <w:p w14:paraId="6F955B6E" w14:textId="77777777" w:rsidR="006D2F6D" w:rsidRPr="00D908BA" w:rsidRDefault="006D2F6D" w:rsidP="006D2F6D">
      <w:pPr>
        <w:pStyle w:val="NoSpacing"/>
        <w:rPr>
          <w:rFonts w:ascii="Arial Black" w:hAnsi="Arial Black"/>
          <w:b/>
          <w:sz w:val="28"/>
          <w:szCs w:val="28"/>
        </w:rPr>
      </w:pPr>
      <w:r>
        <w:rPr>
          <w:rFonts w:ascii="Arial Black" w:hAnsi="Arial Black"/>
          <w:b/>
          <w:sz w:val="28"/>
          <w:szCs w:val="28"/>
        </w:rPr>
        <w:t>WV: RIGHT KNEE – GETS WORK COMP / SURGEON’S RPT</w:t>
      </w:r>
    </w:p>
    <w:p w14:paraId="4FE170CA" w14:textId="77777777" w:rsidR="006D2F6D" w:rsidRDefault="006D2F6D" w:rsidP="006D2F6D">
      <w:pPr>
        <w:pStyle w:val="NoSpacing"/>
        <w:rPr>
          <w:b/>
        </w:rPr>
      </w:pPr>
    </w:p>
    <w:p w14:paraId="16B0C988" w14:textId="77777777" w:rsidR="006D2F6D" w:rsidRDefault="006D2F6D" w:rsidP="006D2F6D">
      <w:pPr>
        <w:pStyle w:val="NoSpacing"/>
      </w:pPr>
      <w:r>
        <w:t xml:space="preserve">On February 27, 2026, in </w:t>
      </w:r>
      <w:r w:rsidRPr="009E3073">
        <w:rPr>
          <w:u w:val="single"/>
        </w:rPr>
        <w:t>City of Wheeling v. Cody Melsop</w:t>
      </w:r>
      <w:r>
        <w:t xml:space="preserve">, the </w:t>
      </w:r>
      <w:r w:rsidRPr="009E3073">
        <w:t>West Virginia Intermediate Court of Appeals</w:t>
      </w:r>
      <w:r>
        <w:t xml:space="preserve"> held (5 to 0) that the firefighter was entitled to worker comp;  his right knee surgery was required because of the December 21, </w:t>
      </w:r>
      <w:proofErr w:type="gramStart"/>
      <w:r>
        <w:t>2023</w:t>
      </w:r>
      <w:proofErr w:type="gramEnd"/>
      <w:r>
        <w:t xml:space="preserve"> injury carrying a tote up the stairs, not because of his </w:t>
      </w:r>
      <w:r w:rsidRPr="00B63D1A">
        <w:t>degenerative</w:t>
      </w:r>
      <w:r>
        <w:t xml:space="preserve"> knee condition.  H</w:t>
      </w:r>
      <w:r w:rsidRPr="007B64B1">
        <w:t>e was carrying a large tote with about forty pounds of supplies from the laundry room, which is downstairs, and he proceeded up the stairs</w:t>
      </w:r>
      <w:r>
        <w:t xml:space="preserve">, when </w:t>
      </w:r>
      <w:r w:rsidRPr="007B64B1">
        <w:t xml:space="preserve"> about halfway up the stairs, he felt an excruciating pain in his right knee and immediately thereafter felt a loss of stability and that his knee was weak.</w:t>
      </w:r>
      <w:r>
        <w:t xml:space="preserve">  An </w:t>
      </w:r>
      <w:r w:rsidRPr="009916E8">
        <w:t xml:space="preserve">MRI </w:t>
      </w:r>
      <w:r>
        <w:t>did r</w:t>
      </w:r>
      <w:r w:rsidRPr="009916E8">
        <w:t>eveal an irregularity at the posterior horn of the medial meniscus without displaced tearing</w:t>
      </w:r>
      <w:r>
        <w:t xml:space="preserve">, but his surgeon who performed the surgery reported the knee injury was </w:t>
      </w:r>
      <w:proofErr w:type="gramStart"/>
      <w:r>
        <w:t>as a result of</w:t>
      </w:r>
      <w:proofErr w:type="gramEnd"/>
      <w:r>
        <w:t xml:space="preserve"> the workplace in jury. The </w:t>
      </w:r>
      <w:r w:rsidRPr="001A72CC">
        <w:t>Workers' Compensation Board of Review</w:t>
      </w:r>
      <w:r>
        <w:t xml:space="preserve"> relied on the report of the surgeon, reversing the Hearing Officer who relied on the work comp retained doctor.  </w:t>
      </w:r>
      <w:hyperlink r:id="rId988" w:history="1">
        <w:r w:rsidRPr="00CB2F3F">
          <w:rPr>
            <w:rStyle w:val="Hyperlink"/>
          </w:rPr>
          <w:t>https://www.courtswv.gov/sites/default/pubfilesmnt/2026-02/25-ICA-338_MD.pdf</w:t>
        </w:r>
      </w:hyperlink>
      <w:r>
        <w:t xml:space="preserve"> </w:t>
      </w:r>
    </w:p>
    <w:p w14:paraId="17301936" w14:textId="77777777" w:rsidR="006D2F6D" w:rsidRDefault="006D2F6D" w:rsidP="006D2F6D">
      <w:pPr>
        <w:pStyle w:val="NoSpacing"/>
      </w:pPr>
    </w:p>
    <w:p w14:paraId="2B43E5F0" w14:textId="77777777" w:rsidR="006D2F6D" w:rsidRDefault="006D2F6D" w:rsidP="006D2F6D">
      <w:pPr>
        <w:pStyle w:val="NoSpacing"/>
      </w:pPr>
      <w:r>
        <w:t>THE COURT HELD:  “</w:t>
      </w:r>
      <w:r w:rsidRPr="00B63D1A">
        <w:t xml:space="preserve">Wheeling argues that the Board erred in finding the opinion of Dr. Frank to be more credible than that of Dr. Magone based solely upon Dr. Frank's status as Mr. </w:t>
      </w:r>
      <w:proofErr w:type="spellStart"/>
      <w:r w:rsidRPr="00B63D1A">
        <w:t>Melsop's</w:t>
      </w:r>
      <w:proofErr w:type="spellEnd"/>
      <w:r w:rsidRPr="00B63D1A">
        <w:t xml:space="preserve"> treating physician and Dr. Magone only conducting a records review, when Dr. Magone's opinion is more consistent with Mr. </w:t>
      </w:r>
      <w:proofErr w:type="spellStart"/>
      <w:r w:rsidRPr="00B63D1A">
        <w:t>Melsop's</w:t>
      </w:r>
      <w:proofErr w:type="spellEnd"/>
      <w:r w:rsidRPr="00B63D1A">
        <w:t xml:space="preserve"> medical records. Wheeling further argues that Dr. Frank failed to explain the alleged causal relationship between Mr. </w:t>
      </w:r>
      <w:proofErr w:type="spellStart"/>
      <w:r w:rsidRPr="00B63D1A">
        <w:t>Melsop's</w:t>
      </w:r>
      <w:proofErr w:type="spellEnd"/>
      <w:r w:rsidRPr="00B63D1A">
        <w:t xml:space="preserve"> meniscal </w:t>
      </w:r>
      <w:r w:rsidRPr="00B63D1A">
        <w:lastRenderedPageBreak/>
        <w:t xml:space="preserve">tear and his compensable injury, while Dr. Magone's conclusion that Mr. </w:t>
      </w:r>
      <w:proofErr w:type="spellStart"/>
      <w:r w:rsidRPr="00B63D1A">
        <w:t>Melsop's</w:t>
      </w:r>
      <w:proofErr w:type="spellEnd"/>
      <w:r w:rsidRPr="00B63D1A">
        <w:t xml:space="preserve"> tear is degenerative in nature is consistent with his medical records. Wheeling also argues that the Board's award of TTD benefits to Mr. </w:t>
      </w:r>
      <w:proofErr w:type="spellStart"/>
      <w:r w:rsidRPr="00B63D1A">
        <w:t>Melsop</w:t>
      </w:r>
      <w:proofErr w:type="spellEnd"/>
      <w:r w:rsidRPr="00B63D1A">
        <w:t xml:space="preserve"> is based upon its mischaracterization of the evidence that Mr. </w:t>
      </w:r>
      <w:proofErr w:type="spellStart"/>
      <w:r w:rsidRPr="00B63D1A">
        <w:t>Melsop's</w:t>
      </w:r>
      <w:proofErr w:type="spellEnd"/>
      <w:r w:rsidRPr="00B63D1A">
        <w:t xml:space="preserve"> work restrictions cannot be met. We disagree</w:t>
      </w:r>
      <w:r>
        <w:t xml:space="preserve">…. </w:t>
      </w:r>
      <w:r w:rsidRPr="00D25CC2">
        <w:t xml:space="preserve">Upon review, we conclude that the Board was not clearly wrong in finding that the preponderance of the medical evidence establishes that Mr. </w:t>
      </w:r>
      <w:proofErr w:type="spellStart"/>
      <w:r w:rsidRPr="00D25CC2">
        <w:t>Melsop</w:t>
      </w:r>
      <w:proofErr w:type="spellEnd"/>
      <w:r w:rsidRPr="00D25CC2">
        <w:t xml:space="preserve"> sustained a right knee medial meniscal tear </w:t>
      </w:r>
      <w:proofErr w:type="gramStart"/>
      <w:r w:rsidRPr="00D25CC2">
        <w:t>in the course of</w:t>
      </w:r>
      <w:proofErr w:type="gramEnd"/>
      <w:r w:rsidRPr="00D25CC2">
        <w:t xml:space="preserve"> and resulting from his employment.</w:t>
      </w:r>
      <w:r>
        <w:t>”</w:t>
      </w:r>
    </w:p>
    <w:p w14:paraId="66D9004D" w14:textId="77777777" w:rsidR="006D2F6D" w:rsidRDefault="006D2F6D" w:rsidP="006D2F6D">
      <w:pPr>
        <w:pStyle w:val="NoSpacing"/>
      </w:pPr>
    </w:p>
    <w:p w14:paraId="2DED7B31" w14:textId="77777777" w:rsidR="006D2F6D" w:rsidRPr="00F53B2E" w:rsidRDefault="006D2F6D" w:rsidP="006D2F6D">
      <w:pPr>
        <w:pStyle w:val="NoSpacing"/>
        <w:rPr>
          <w:b/>
          <w:bCs/>
        </w:rPr>
      </w:pPr>
      <w:r>
        <w:rPr>
          <w:b/>
        </w:rPr>
        <w:t>Legal lesson learned: Another drawn out battle between a firefighter (with some evidence of a prior degenerative condition) and his employer.</w:t>
      </w:r>
    </w:p>
    <w:p w14:paraId="0A9BCBE3" w14:textId="77777777" w:rsidR="006D2F6D" w:rsidRDefault="006D2F6D" w:rsidP="006D2F6D">
      <w:pPr>
        <w:pStyle w:val="NoSpacing"/>
      </w:pPr>
    </w:p>
    <w:p w14:paraId="15E98913" w14:textId="77777777" w:rsidR="006D2F6D" w:rsidRPr="001D2DCA" w:rsidRDefault="006D2F6D" w:rsidP="006D2F6D">
      <w:pPr>
        <w:pStyle w:val="NoSpacing"/>
        <w:ind w:left="720"/>
      </w:pPr>
      <w:r>
        <w:t>Note: “</w:t>
      </w:r>
      <w:r w:rsidRPr="001D2DCA">
        <w:t>On April 29, 2025, this Court issued a memorandum decision affirming the Board's order. See City of Wheeling v. Melsop, No. 24-ICA-379, 2025 WL 1249650 (W.Va. Ct. App. April 29, 2025) (memorandum decision). On October 21, 2025, the Supreme Court of Appeals of West Virginia affirmed this Court's decision. See City of Wheeling v. Melsop, No. 25-382, 2025 WL 2962901 (W.Va. Oct. 21, 2025) (memorandum decision).</w:t>
      </w:r>
      <w:r>
        <w:t>”</w:t>
      </w:r>
    </w:p>
    <w:p w14:paraId="0C4C8BA1" w14:textId="77777777" w:rsidR="006D2F6D" w:rsidRDefault="006D2F6D" w:rsidP="000624FD">
      <w:pPr>
        <w:pStyle w:val="NoSpacing"/>
        <w:rPr>
          <w:rFonts w:ascii="Arial Black" w:hAnsi="Arial Black"/>
          <w:b/>
          <w:sz w:val="28"/>
          <w:szCs w:val="28"/>
        </w:rPr>
      </w:pPr>
    </w:p>
    <w:p w14:paraId="512D3FEF" w14:textId="77777777" w:rsidR="000509A0" w:rsidRDefault="000509A0" w:rsidP="000624FD">
      <w:pPr>
        <w:pStyle w:val="NoSpacing"/>
        <w:rPr>
          <w:rFonts w:ascii="Arial Black" w:hAnsi="Arial Black"/>
          <w:b/>
          <w:sz w:val="28"/>
          <w:szCs w:val="28"/>
        </w:rPr>
      </w:pPr>
    </w:p>
    <w:p w14:paraId="43F796B9" w14:textId="78ADE6CE" w:rsidR="008E1D82" w:rsidRDefault="008E1D82" w:rsidP="000624FD">
      <w:pPr>
        <w:pStyle w:val="NoSpacing"/>
        <w:rPr>
          <w:rFonts w:ascii="Arial Black" w:hAnsi="Arial Black"/>
          <w:b/>
          <w:sz w:val="28"/>
          <w:szCs w:val="28"/>
        </w:rPr>
      </w:pPr>
      <w:r>
        <w:rPr>
          <w:rFonts w:ascii="Arial Black" w:hAnsi="Arial Black"/>
          <w:b/>
          <w:sz w:val="28"/>
          <w:szCs w:val="28"/>
        </w:rPr>
        <w:t>6-17</w:t>
      </w:r>
      <w:r w:rsidR="00977A84">
        <w:rPr>
          <w:rFonts w:ascii="Arial Black" w:hAnsi="Arial Black"/>
          <w:b/>
          <w:sz w:val="28"/>
          <w:szCs w:val="28"/>
        </w:rPr>
        <w:t>9</w:t>
      </w:r>
    </w:p>
    <w:p w14:paraId="611FE522" w14:textId="77777777" w:rsidR="008E1D82" w:rsidRDefault="008E1D82" w:rsidP="000624FD">
      <w:pPr>
        <w:pStyle w:val="NoSpacing"/>
        <w:rPr>
          <w:rFonts w:ascii="Arial Black" w:hAnsi="Arial Black"/>
          <w:b/>
          <w:sz w:val="28"/>
          <w:szCs w:val="28"/>
        </w:rPr>
      </w:pPr>
    </w:p>
    <w:p w14:paraId="36D916A7" w14:textId="77777777" w:rsidR="008E1D82" w:rsidRPr="00FF2EDA" w:rsidRDefault="008E1D82" w:rsidP="008E1D82">
      <w:pPr>
        <w:pStyle w:val="NoSpacing"/>
        <w:rPr>
          <w:rFonts w:ascii="Arial Black" w:hAnsi="Arial Black"/>
          <w:sz w:val="28"/>
          <w:szCs w:val="28"/>
        </w:rPr>
      </w:pPr>
      <w:r>
        <w:rPr>
          <w:rFonts w:ascii="Arial Black" w:hAnsi="Arial Black"/>
          <w:sz w:val="28"/>
          <w:szCs w:val="28"/>
        </w:rPr>
        <w:t xml:space="preserve">FL: MILITARY – NO PROMOTION “PREFERANCE” - </w:t>
      </w:r>
      <w:r w:rsidRPr="00FF2EDA">
        <w:rPr>
          <w:rFonts w:ascii="Arial Black" w:hAnsi="Arial Black"/>
          <w:sz w:val="28"/>
          <w:szCs w:val="28"/>
        </w:rPr>
        <w:t>USERRA</w:t>
      </w:r>
    </w:p>
    <w:p w14:paraId="4146C63B" w14:textId="77777777" w:rsidR="008E1D82" w:rsidRDefault="008E1D82" w:rsidP="008E1D82">
      <w:pPr>
        <w:pStyle w:val="NoSpacing"/>
      </w:pPr>
    </w:p>
    <w:p w14:paraId="532F9CCD" w14:textId="77777777" w:rsidR="008E1D82" w:rsidRDefault="008E1D82" w:rsidP="008E1D82">
      <w:pPr>
        <w:pStyle w:val="NoSpacing"/>
      </w:pPr>
      <w:r>
        <w:t xml:space="preserve">On February 17, 2026, in </w:t>
      </w:r>
      <w:r w:rsidRPr="00D36291">
        <w:rPr>
          <w:u w:val="single"/>
        </w:rPr>
        <w:t>John Kutz v. Bonita Springs Fire Control and Rescue District</w:t>
      </w:r>
      <w:r>
        <w:t>, U.S. District Court Judge Sheri Polster Chappel</w:t>
      </w:r>
      <w:r w:rsidRPr="00FE1D81">
        <w:t>, United States District Court</w:t>
      </w:r>
      <w:r>
        <w:rPr>
          <w:b/>
        </w:rPr>
        <w:t xml:space="preserve"> </w:t>
      </w:r>
      <w:r w:rsidRPr="00D66E4A">
        <w:t>for Middle District of Florida, Fort Myers Division</w:t>
      </w:r>
      <w:r>
        <w:t xml:space="preserve">, denied the defendant’s motion to dismiss, and held that there was some evidence in the Complaint that </w:t>
      </w:r>
      <w:r w:rsidRPr="00180F3F">
        <w:t xml:space="preserve">his membership in the uniformed services </w:t>
      </w:r>
      <w:r>
        <w:t>was “</w:t>
      </w:r>
      <w:r w:rsidRPr="00180F3F">
        <w:t>a motivating factor</w:t>
      </w:r>
      <w:r>
        <w:t>’</w:t>
      </w:r>
      <w:r w:rsidRPr="00180F3F">
        <w:t xml:space="preserve"> in the employer's adverse employment decision</w:t>
      </w:r>
      <w:r>
        <w:t xml:space="preserve"> to not promote him to deputy chief, in violation of the </w:t>
      </w:r>
      <w:r w:rsidRPr="00B56337">
        <w:t xml:space="preserve">Uniformed Services Employment and Reemployment Rights Act of 1994, 38 U.S.C. § 4301, </w:t>
      </w:r>
      <w:r w:rsidRPr="00B56337">
        <w:rPr>
          <w:i/>
          <w:iCs/>
        </w:rPr>
        <w:t>et seq.</w:t>
      </w:r>
      <w:r w:rsidRPr="00B56337">
        <w:t xml:space="preserve"> (</w:t>
      </w:r>
      <w:r>
        <w:t>‘</w:t>
      </w:r>
      <w:r w:rsidRPr="00B56337">
        <w:t>USERRA</w:t>
      </w:r>
      <w:r>
        <w:t>’</w:t>
      </w:r>
      <w:r w:rsidRPr="00B56337">
        <w:t>)</w:t>
      </w:r>
      <w:r>
        <w:t xml:space="preserve">.  The will now proceed to pretrial discovery, but Court also made it clear that </w:t>
      </w:r>
      <w:r w:rsidRPr="00DA3EEF">
        <w:t>while USERRA prevents the denial of promotion on the basis of military service, it does not itself provide a remedy to veterans who are not given preferences in employment decisions</w:t>
      </w:r>
      <w:r>
        <w:t xml:space="preserve">. </w:t>
      </w:r>
      <w:hyperlink r:id="rId989" w:history="1">
        <w:r w:rsidRPr="002B0907">
          <w:rPr>
            <w:rStyle w:val="Hyperlink"/>
          </w:rPr>
          <w:t>https://public.fastcase.com/Jhe1Qn%2BmJndQYQU6z%2FeNm1SSbD0G3ZEWJh7YHZP1lKvwyFhreCu4Zs3UIv3EdnBK?utm_medium=email&amp;_hsenc=p2ANqtz-9nqm6pHuxrJA2eqp98a7_eI9fDSv0sKlRywY7jloQaZjhwJh8mlE2JmH7OUYiPvznSiiSBN3erALyoe2ilWNUf5RREvQ&amp;_hsmi=226712652&amp;utm_content=226712652&amp;utm_source=hs_email</w:t>
        </w:r>
      </w:hyperlink>
      <w:r>
        <w:t xml:space="preserve"> </w:t>
      </w:r>
    </w:p>
    <w:p w14:paraId="649F365E" w14:textId="77777777" w:rsidR="008E1D82" w:rsidRDefault="008E1D82" w:rsidP="008E1D82">
      <w:pPr>
        <w:pStyle w:val="NoSpacing"/>
      </w:pPr>
    </w:p>
    <w:p w14:paraId="4AF5A271" w14:textId="77777777" w:rsidR="008E1D82" w:rsidRPr="00900740" w:rsidRDefault="008E1D82" w:rsidP="008E1D82">
      <w:pPr>
        <w:pStyle w:val="NoSpacing"/>
      </w:pPr>
      <w:r>
        <w:t>THE COURT HELD:  “</w:t>
      </w:r>
      <w:r w:rsidRPr="00A04B82">
        <w:t>Plaintiff began his employment at Defendant in 2006. In 2015, Plaintiff joined the National Guard. Beginning in 2016, Plaintiff took a leave of absence for an unspecified period to attend basic training. In 2021, Plaintiff deployed for about a year.</w:t>
      </w:r>
      <w:r>
        <w:t xml:space="preserve"> </w:t>
      </w:r>
      <w:r w:rsidRPr="000D4F39">
        <w:t>Upon returning, he re-employed with Defendant as a lieutenant. Along with serving as a lieutenant, Plaintiff volunteered as an acting battalion chief. In doing so, he became eligible for promotion to any full-time battalion chief position</w:t>
      </w:r>
      <w:r>
        <w:t xml:space="preserve">…. </w:t>
      </w:r>
      <w:r w:rsidRPr="00474902">
        <w:t>Sometime later, Plaintiff applied for an open deputy chief position. Three other employees, Captain Kelli Wilson, Lieutenant Giovanni Zamora, and Nic Aracia, also applied</w:t>
      </w:r>
      <w:r>
        <w:t xml:space="preserve">…. </w:t>
      </w:r>
      <w:r w:rsidRPr="0072475D">
        <w:t xml:space="preserve">According to Plaintiff, his qualification of </w:t>
      </w:r>
      <w:r>
        <w:t>‘</w:t>
      </w:r>
      <w:r w:rsidRPr="0072475D">
        <w:t>Fire Officer Three</w:t>
      </w:r>
      <w:r>
        <w:t>’</w:t>
      </w:r>
      <w:r w:rsidRPr="0072475D">
        <w:t xml:space="preserve"> by the National Fire Protection Association made him more qualified than the two other candidates Defendant interviewed. Chief Dewitt acknowledged Plaintiff </w:t>
      </w:r>
      <w:r>
        <w:t>‘</w:t>
      </w:r>
      <w:r w:rsidRPr="0072475D">
        <w:t>may be more qualified</w:t>
      </w:r>
      <w:r>
        <w:t>’</w:t>
      </w:r>
      <w:r w:rsidRPr="0072475D">
        <w:t xml:space="preserve"> but indicated Captain Wilson would receive the promotion.</w:t>
      </w:r>
      <w:r>
        <w:t xml:space="preserve"> </w:t>
      </w:r>
      <w:r w:rsidRPr="00900740">
        <w:t xml:space="preserve">Plaintiff told Assistant Chief Brod that Defendant violated the law regarding veteran preference in hiring. </w:t>
      </w:r>
    </w:p>
    <w:p w14:paraId="4C65B147" w14:textId="77777777" w:rsidR="008E1D82" w:rsidRDefault="008E1D82" w:rsidP="008E1D82">
      <w:pPr>
        <w:pStyle w:val="NoSpacing"/>
      </w:pPr>
      <w:r w:rsidRPr="00787E1B">
        <w:t>On December 2, 2024, Defendant announced Captain Wilson's promotion to the deputy chief position</w:t>
      </w:r>
      <w:r>
        <w:t xml:space="preserve">…. </w:t>
      </w:r>
      <w:r w:rsidRPr="00AF4880">
        <w:t>Plaintiff's union refused to advance the grievance because the deputy chief position “was a non-bargaining position,” and the CBA does not cover Plaintiff's alleged violations.</w:t>
      </w:r>
      <w:r>
        <w:t xml:space="preserve"> *** </w:t>
      </w:r>
      <w:r w:rsidRPr="00180F3F">
        <w:t xml:space="preserve">USERRA prohibits employers from denying uniformed servicemembers “any benefit of employment . . . on the basis of” that service. 38 U.S.C. § 4311(a). To state a claim under USERRA, Plaintiff must allege (1) he qualifies as a member of the protected class of service members; (2) he suffered an adverse employment decision; and (3) his membership in the uniformed services </w:t>
      </w:r>
      <w:r>
        <w:t>‘</w:t>
      </w:r>
      <w:r w:rsidRPr="00180F3F">
        <w:t>is a motivating factor</w:t>
      </w:r>
      <w:r>
        <w:t>’</w:t>
      </w:r>
      <w:r w:rsidRPr="00180F3F">
        <w:t xml:space="preserve"> in the employer's adverse employment decision.</w:t>
      </w:r>
      <w:r>
        <w:t>”</w:t>
      </w:r>
    </w:p>
    <w:p w14:paraId="744EBDAB" w14:textId="77777777" w:rsidR="008E1D82" w:rsidRDefault="008E1D82" w:rsidP="008E1D82">
      <w:pPr>
        <w:pStyle w:val="NoSpacing"/>
      </w:pPr>
    </w:p>
    <w:p w14:paraId="0BCF30E6" w14:textId="77777777" w:rsidR="008E1D82" w:rsidRPr="00180F3F" w:rsidRDefault="008E1D82" w:rsidP="008E1D82">
      <w:pPr>
        <w:pStyle w:val="NoSpacing"/>
        <w:rPr>
          <w:b/>
          <w:bCs/>
        </w:rPr>
      </w:pPr>
      <w:r w:rsidRPr="007707BD">
        <w:rPr>
          <w:b/>
        </w:rPr>
        <w:lastRenderedPageBreak/>
        <w:t xml:space="preserve">Legal lesson learned: </w:t>
      </w:r>
      <w:r>
        <w:rPr>
          <w:b/>
        </w:rPr>
        <w:t xml:space="preserve">Case will now proceed to pre-trial discovery. </w:t>
      </w:r>
    </w:p>
    <w:p w14:paraId="2693B110" w14:textId="77777777" w:rsidR="008E1D82" w:rsidRDefault="008E1D82" w:rsidP="008E1D82">
      <w:pPr>
        <w:pStyle w:val="NoSpacing"/>
      </w:pPr>
    </w:p>
    <w:p w14:paraId="0AFC6D8F" w14:textId="77777777" w:rsidR="008E1D82" w:rsidRDefault="008E1D82" w:rsidP="008E1D82">
      <w:pPr>
        <w:pStyle w:val="NoSpacing"/>
        <w:ind w:left="720"/>
      </w:pPr>
      <w:r>
        <w:t>Note: Footnote 8: “</w:t>
      </w:r>
      <w:r w:rsidRPr="00DA3EEF">
        <w:t>Plaintiff alleges in the Second Amended Complaint that Defendant violated USERRA by failing to comply with Fla. Stat. § 295.09(1)(a), which affords veteran preference in hiring</w:t>
      </w:r>
      <w:r>
        <w:t xml:space="preserve">…. </w:t>
      </w:r>
      <w:r w:rsidRPr="00DA3EEF">
        <w:t xml:space="preserve">While this theory is not addressed in the parties' briefs, the Court rejects it as incognizable. </w:t>
      </w:r>
      <w:r w:rsidRPr="00DA3EEF">
        <w:rPr>
          <w:i/>
          <w:iCs/>
        </w:rPr>
        <w:t>See, e.g.</w:t>
      </w:r>
      <w:r w:rsidRPr="00DA3EEF">
        <w:t xml:space="preserve">, </w:t>
      </w:r>
      <w:r w:rsidRPr="00DA3EEF">
        <w:rPr>
          <w:i/>
          <w:iCs/>
        </w:rPr>
        <w:t>Case v. Judd</w:t>
      </w:r>
      <w:r w:rsidRPr="00DA3EEF">
        <w:t xml:space="preserve">, No. 8:19-CV-607-T-33TGW, 2019 WL 10966204, at *4 (M.D. Fla. Oct. 23, 2019) (“[T]he veteran's preference policies . . . in [Section] 295.09(1)(a) are not ‘benefits of employment' under USERRA. Having made this determination, the Court finds that Case cannot seek relief under 38 U.S.C. § 4311(a) for [defendant's] alleged failure to afford preference to veterans in promotional decisions”); </w:t>
      </w:r>
      <w:r w:rsidRPr="00DA3EEF">
        <w:rPr>
          <w:i/>
          <w:iCs/>
        </w:rPr>
        <w:t xml:space="preserve">see also Wilborn v. </w:t>
      </w:r>
      <w:proofErr w:type="spellStart"/>
      <w:r w:rsidRPr="00DA3EEF">
        <w:rPr>
          <w:i/>
          <w:iCs/>
        </w:rPr>
        <w:t>Dep't</w:t>
      </w:r>
      <w:proofErr w:type="spellEnd"/>
      <w:r w:rsidRPr="00DA3EEF">
        <w:rPr>
          <w:i/>
          <w:iCs/>
        </w:rPr>
        <w:t xml:space="preserve"> of Just.</w:t>
      </w:r>
      <w:r w:rsidRPr="00DA3EEF">
        <w:t>, 230 F.3d 1383, 2000 WL 194114, at *2 (Fed. Cir. 2000) (noting “while USERRA prevents the denial of promotion on the basis of military service, it does not itself provide a remedy to veterans who are not given preferences in employment decisions”).</w:t>
      </w:r>
    </w:p>
    <w:p w14:paraId="1103CA03" w14:textId="77777777" w:rsidR="008E1D82" w:rsidRDefault="008E1D82" w:rsidP="008E1D82">
      <w:pPr>
        <w:pStyle w:val="NoSpacing"/>
      </w:pPr>
    </w:p>
    <w:p w14:paraId="71A98F4F" w14:textId="6C1C41D1" w:rsidR="00191CD7" w:rsidRPr="00977A84" w:rsidRDefault="00191CD7" w:rsidP="008E1D82">
      <w:pPr>
        <w:pStyle w:val="NoSpacing"/>
        <w:rPr>
          <w:rFonts w:ascii="Arial Black" w:hAnsi="Arial Black"/>
          <w:sz w:val="28"/>
          <w:szCs w:val="28"/>
        </w:rPr>
      </w:pPr>
      <w:r w:rsidRPr="00977A84">
        <w:rPr>
          <w:rFonts w:ascii="Arial Black" w:hAnsi="Arial Black"/>
          <w:sz w:val="28"/>
          <w:szCs w:val="28"/>
        </w:rPr>
        <w:t>6-178</w:t>
      </w:r>
    </w:p>
    <w:p w14:paraId="49CEAA64" w14:textId="77777777" w:rsidR="00191CD7" w:rsidRDefault="00191CD7" w:rsidP="008E1D82">
      <w:pPr>
        <w:pStyle w:val="NoSpacing"/>
      </w:pPr>
    </w:p>
    <w:p w14:paraId="28DF3FC2" w14:textId="225729C1" w:rsidR="00191CD7" w:rsidRPr="00977A84" w:rsidRDefault="00191CD7" w:rsidP="00191CD7">
      <w:pPr>
        <w:pStyle w:val="NoSpacing"/>
        <w:rPr>
          <w:rFonts w:ascii="Times New Roman" w:hAnsi="Times New Roman"/>
          <w:b/>
          <w:sz w:val="24"/>
          <w:szCs w:val="24"/>
        </w:rPr>
      </w:pPr>
      <w:r>
        <w:rPr>
          <w:rFonts w:ascii="Arial Black" w:hAnsi="Arial Black"/>
          <w:b/>
          <w:sz w:val="28"/>
          <w:szCs w:val="28"/>
        </w:rPr>
        <w:t>CT: NEW DROP LAW – NOT FF UNDER 55 – CASE PROCEED</w:t>
      </w:r>
      <w:r w:rsidR="00977A84">
        <w:rPr>
          <w:rFonts w:ascii="Arial Black" w:hAnsi="Arial Black"/>
          <w:b/>
          <w:sz w:val="28"/>
          <w:szCs w:val="28"/>
        </w:rPr>
        <w:t xml:space="preserve"> </w:t>
      </w:r>
      <w:r w:rsidR="00977A84" w:rsidRPr="00977A84">
        <w:rPr>
          <w:rFonts w:ascii="Times New Roman" w:hAnsi="Times New Roman"/>
          <w:b/>
          <w:sz w:val="24"/>
          <w:szCs w:val="24"/>
        </w:rPr>
        <w:t>[also filed, Chap. 18]</w:t>
      </w:r>
    </w:p>
    <w:p w14:paraId="179DB026" w14:textId="77777777" w:rsidR="00191CD7" w:rsidRDefault="00191CD7" w:rsidP="00191CD7">
      <w:pPr>
        <w:pStyle w:val="NoSpacing"/>
      </w:pPr>
    </w:p>
    <w:p w14:paraId="177B5DE6" w14:textId="77777777" w:rsidR="00191CD7" w:rsidRDefault="00191CD7" w:rsidP="00191CD7">
      <w:pPr>
        <w:pStyle w:val="NoSpacing"/>
      </w:pPr>
      <w:r>
        <w:t xml:space="preserve">On February 4, 2026, in </w:t>
      </w:r>
      <w:r w:rsidRPr="004C7896">
        <w:rPr>
          <w:u w:val="single"/>
        </w:rPr>
        <w:t>David Dobbs, IAFF Local 834</w:t>
      </w:r>
      <w:r>
        <w:rPr>
          <w:u w:val="single"/>
        </w:rPr>
        <w:t xml:space="preserve">, et al. </w:t>
      </w:r>
      <w:r w:rsidRPr="004C7896">
        <w:rPr>
          <w:u w:val="single"/>
        </w:rPr>
        <w:t xml:space="preserve"> v. Brian Vahey, Chair of the State of Connecticut Municipal Employees Retirement Commission, et al</w:t>
      </w:r>
      <w:r w:rsidRPr="004C7896">
        <w:t>., U.S.</w:t>
      </w:r>
      <w:r>
        <w:rPr>
          <w:u w:val="single"/>
        </w:rPr>
        <w:t xml:space="preserve"> </w:t>
      </w:r>
      <w:r>
        <w:t xml:space="preserve">District Court Judge </w:t>
      </w:r>
    </w:p>
    <w:p w14:paraId="72CE0DF4" w14:textId="77777777" w:rsidR="00191CD7" w:rsidRDefault="00191CD7" w:rsidP="00191CD7">
      <w:pPr>
        <w:pStyle w:val="NoSpacing"/>
      </w:pPr>
      <w:r w:rsidRPr="004F64AC">
        <w:t xml:space="preserve">Sarala V. </w:t>
      </w:r>
      <w:proofErr w:type="spellStart"/>
      <w:r w:rsidRPr="004F64AC">
        <w:t>Nagala</w:t>
      </w:r>
      <w:proofErr w:type="spellEnd"/>
      <w:r w:rsidRPr="00357297">
        <w:t>, United States United States District Court for the District of Connecticut</w:t>
      </w:r>
      <w:r>
        <w:t>, denied the Commission’s motion to dismiss (</w:t>
      </w:r>
      <w:proofErr w:type="gramStart"/>
      <w:r>
        <w:t>and also</w:t>
      </w:r>
      <w:proofErr w:type="gramEnd"/>
      <w:r>
        <w:t xml:space="preserve"> Bridgeport firefighters and Union’s motion for preliminary injunction); case will now proceed with pre-trial discovery.  The Bridgeport firefighters and Local 834 argue that it is age discrimination under the new DROP program to allow some public safety employees (including Plaintiffs) to be eligible to retire—for instance, if they have completed twenty-five years of service—but ineligible to enter the DROP, because they are not yet age 55 and have not completed thirty years of service.  </w:t>
      </w:r>
      <w:hyperlink r:id="rId990" w:history="1">
        <w:r w:rsidRPr="00FF19A6">
          <w:rPr>
            <w:rStyle w:val="Hyperlink"/>
          </w:rPr>
          <w:t>https://ecf.ctd.uscourts.gov/cgi-bin/show_public_doc?2025cv0824-74</w:t>
        </w:r>
      </w:hyperlink>
      <w:r>
        <w:t xml:space="preserve"> </w:t>
      </w:r>
    </w:p>
    <w:p w14:paraId="65FA3BD4" w14:textId="77777777" w:rsidR="00191CD7" w:rsidRDefault="00191CD7" w:rsidP="00191CD7">
      <w:pPr>
        <w:pStyle w:val="NoSpacing"/>
      </w:pPr>
    </w:p>
    <w:p w14:paraId="4BD62D53" w14:textId="77777777" w:rsidR="00191CD7" w:rsidRDefault="00191CD7" w:rsidP="00191CD7">
      <w:pPr>
        <w:pStyle w:val="NoSpacing"/>
      </w:pPr>
      <w:r>
        <w:t xml:space="preserve">THE COURT HELD: “Effective July 1, 2025, certain members of the Connecticut Municipal Employees’ Retirement System who are otherwise eligible to retire can elect to defer their retirement allowance, while continuing their employment for up to five years, under a Deferred Retirement Option Plan (‘DROP’)…. </w:t>
      </w:r>
      <w:r w:rsidRPr="00D22380">
        <w:t>Under the statute adopted by the Connecticut legislature, the Connecticut State Employees</w:t>
      </w:r>
      <w:r>
        <w:t xml:space="preserve"> </w:t>
      </w:r>
      <w:r w:rsidRPr="00D22380">
        <w:t xml:space="preserve">Retirement Commission </w:t>
      </w:r>
      <w:r>
        <w:t>‘</w:t>
      </w:r>
      <w:r w:rsidRPr="00D22380">
        <w:t>may create</w:t>
      </w:r>
      <w:r>
        <w:t>’</w:t>
      </w:r>
      <w:r w:rsidRPr="00D22380">
        <w:t xml:space="preserve"> a DROP, which </w:t>
      </w:r>
      <w:r>
        <w:t>‘</w:t>
      </w:r>
      <w:r w:rsidRPr="00D22380">
        <w:t>shall include a fixed period of time for</w:t>
      </w:r>
      <w:r>
        <w:t xml:space="preserve"> </w:t>
      </w:r>
      <w:r w:rsidRPr="00D22380">
        <w:t>member participation, not to exceed five years, and a specified rate of interest credit for member</w:t>
      </w:r>
      <w:r>
        <w:t xml:space="preserve"> </w:t>
      </w:r>
      <w:r w:rsidRPr="00D22380">
        <w:t>accounts.” Conn. Gen. Stat. § 7-459b(b)</w:t>
      </w:r>
      <w:r>
        <w:t xml:space="preserve">…. As relevant here, retirement-eligible firefighters may join the DROP at age 57 with five years of continuous service, at age 55 with 25 years of aggregate service, or with 30 years of aggregate service regardless of age. The Individual Plaintiffs, firefighters with the Bridgeport Fire Department,1 are eligible for retirement allowances by virtue of their tenure with the Fire Department, but are all under age 55, and therefore ineligible to join the DROP. *** First, the Court notes that Defendants’ argument about the rationality of the age classification—that it incentivizes skilled employees to delay their retirement beyond the date they are first eligible to collect pension benefits, thereby extending the period during which the employees contribute to the plan and delaying the time at which they begin to receive payments— are not in fact arguments about the rationality of the challenged age classification at all: they are simply arguments about the rationality of adopting a DROP as a whole….  </w:t>
      </w:r>
      <w:proofErr w:type="gramStart"/>
      <w:r>
        <w:t>(‘[</w:t>
      </w:r>
      <w:proofErr w:type="gramEnd"/>
      <w:r>
        <w:t>The DROP] is also intended to encourage . . . skilled employees to stick around and delay their retirement’). Defendants do not meaningfully explain why this reasoning would apply differently to retirement-eligible firefighters who are under age 55 than to those who are age 55 or older. The desire to keep skilled employees working for a longer period and to delay paying benefits applies to all employees, regardless of age, and therefore does not squarely address the age-55 requirement Plaintiffs challenge here.”</w:t>
      </w:r>
    </w:p>
    <w:p w14:paraId="7295A5E9" w14:textId="77777777" w:rsidR="00191CD7" w:rsidRDefault="00191CD7" w:rsidP="00191CD7">
      <w:pPr>
        <w:pStyle w:val="NoSpacing"/>
      </w:pPr>
    </w:p>
    <w:p w14:paraId="720AD6E6" w14:textId="77777777" w:rsidR="00191CD7" w:rsidRDefault="00191CD7" w:rsidP="00191CD7">
      <w:pPr>
        <w:pStyle w:val="NoSpacing"/>
        <w:rPr>
          <w:b/>
          <w:bCs/>
        </w:rPr>
      </w:pPr>
      <w:r w:rsidRPr="007A4F40">
        <w:rPr>
          <w:b/>
        </w:rPr>
        <w:t xml:space="preserve">Legal lesson learned: </w:t>
      </w:r>
      <w:r>
        <w:rPr>
          <w:b/>
        </w:rPr>
        <w:t xml:space="preserve">The case will now proceed with pre-trial discovery; the Commission will then likely file a motion for summary judgment that addresses the cost reasons for keeping eligibility at age 55 or older. </w:t>
      </w:r>
    </w:p>
    <w:p w14:paraId="24E32E1E" w14:textId="77777777" w:rsidR="00191CD7" w:rsidRDefault="00191CD7" w:rsidP="00191CD7">
      <w:pPr>
        <w:pStyle w:val="NoSpacing"/>
        <w:rPr>
          <w:b/>
          <w:bCs/>
        </w:rPr>
      </w:pPr>
    </w:p>
    <w:p w14:paraId="3A6CF26A" w14:textId="77777777" w:rsidR="00191CD7" w:rsidRDefault="00191CD7" w:rsidP="00191CD7">
      <w:pPr>
        <w:pStyle w:val="NoSpacing"/>
      </w:pPr>
      <w:r>
        <w:tab/>
        <w:t xml:space="preserve">Note: See Ohio DROP. </w:t>
      </w:r>
      <w:hyperlink r:id="rId991" w:history="1">
        <w:r w:rsidRPr="00FF19A6">
          <w:rPr>
            <w:rStyle w:val="Hyperlink"/>
          </w:rPr>
          <w:t>https://www.op-f.org/files/mgdrop.pdf</w:t>
        </w:r>
      </w:hyperlink>
      <w:r>
        <w:t xml:space="preserve"> </w:t>
      </w:r>
    </w:p>
    <w:p w14:paraId="009CAB39" w14:textId="77777777" w:rsidR="00191CD7" w:rsidRDefault="00191CD7" w:rsidP="00191CD7">
      <w:pPr>
        <w:pStyle w:val="NoSpacing"/>
        <w:ind w:left="720"/>
      </w:pPr>
      <w:r>
        <w:t>“If you are eligible for a normal service retirement you can enter the DROP</w:t>
      </w:r>
    </w:p>
    <w:p w14:paraId="15614D9A" w14:textId="77777777" w:rsidR="00191CD7" w:rsidRDefault="00191CD7" w:rsidP="00191CD7">
      <w:pPr>
        <w:pStyle w:val="NoSpacing"/>
        <w:ind w:firstLine="720"/>
      </w:pPr>
      <w:r>
        <w:t>program by delaying retirement and continuing to work as a police officer or</w:t>
      </w:r>
    </w:p>
    <w:p w14:paraId="50EAC0A5" w14:textId="77777777" w:rsidR="00191CD7" w:rsidRDefault="00191CD7" w:rsidP="00191CD7">
      <w:pPr>
        <w:pStyle w:val="NoSpacing"/>
        <w:ind w:firstLine="720"/>
      </w:pPr>
      <w:r>
        <w:lastRenderedPageBreak/>
        <w:t>firefighter. For those who were OP&amp;F members on or before July 1, 2013,</w:t>
      </w:r>
    </w:p>
    <w:p w14:paraId="58ED6C05" w14:textId="77777777" w:rsidR="00191CD7" w:rsidRDefault="00191CD7" w:rsidP="00191CD7">
      <w:pPr>
        <w:pStyle w:val="NoSpacing"/>
        <w:ind w:firstLine="720"/>
      </w:pPr>
      <w:proofErr w:type="gramStart"/>
      <w:r>
        <w:t>normal</w:t>
      </w:r>
      <w:proofErr w:type="gramEnd"/>
      <w:r>
        <w:t xml:space="preserve"> service retirement eligibility is at least 48 years of age with at least 25 years</w:t>
      </w:r>
    </w:p>
    <w:p w14:paraId="2755D788" w14:textId="77777777" w:rsidR="00191CD7" w:rsidRDefault="00191CD7" w:rsidP="00191CD7">
      <w:pPr>
        <w:pStyle w:val="NoSpacing"/>
        <w:ind w:firstLine="720"/>
      </w:pPr>
      <w:r>
        <w:t>of service. For members hired into an OP&amp;F-covered position after July 1, 2013,</w:t>
      </w:r>
    </w:p>
    <w:p w14:paraId="233A3C79" w14:textId="77777777" w:rsidR="00191CD7" w:rsidRPr="004749CB" w:rsidRDefault="00191CD7" w:rsidP="00191CD7">
      <w:pPr>
        <w:pStyle w:val="NoSpacing"/>
        <w:ind w:firstLine="720"/>
      </w:pPr>
      <w:r>
        <w:t>normal service retirement is age 52 with at least 25 years of service.”</w:t>
      </w:r>
    </w:p>
    <w:p w14:paraId="0C2EAD0D" w14:textId="77777777" w:rsidR="00191CD7" w:rsidRDefault="00191CD7" w:rsidP="00191CD7">
      <w:pPr>
        <w:pStyle w:val="NoSpacing"/>
      </w:pPr>
    </w:p>
    <w:p w14:paraId="75B17CF3" w14:textId="77777777" w:rsidR="00191CD7" w:rsidRDefault="00191CD7" w:rsidP="00191CD7">
      <w:pPr>
        <w:pStyle w:val="NoSpacing"/>
      </w:pPr>
    </w:p>
    <w:p w14:paraId="75967A50" w14:textId="77777777" w:rsidR="00191CD7" w:rsidRDefault="00191CD7" w:rsidP="008E1D82">
      <w:pPr>
        <w:pStyle w:val="NoSpacing"/>
      </w:pPr>
    </w:p>
    <w:p w14:paraId="41908A86" w14:textId="77777777" w:rsidR="00191CD7" w:rsidRDefault="00191CD7" w:rsidP="008E1D82">
      <w:pPr>
        <w:pStyle w:val="NoSpacing"/>
      </w:pPr>
    </w:p>
    <w:p w14:paraId="458C6A5C" w14:textId="77777777" w:rsidR="008E1D82" w:rsidRDefault="008E1D82" w:rsidP="000624FD">
      <w:pPr>
        <w:pStyle w:val="NoSpacing"/>
        <w:rPr>
          <w:rFonts w:ascii="Arial Black" w:hAnsi="Arial Black"/>
          <w:b/>
          <w:sz w:val="28"/>
          <w:szCs w:val="28"/>
        </w:rPr>
      </w:pPr>
    </w:p>
    <w:p w14:paraId="0FB4758C" w14:textId="04E4A26F" w:rsidR="006D2F6D" w:rsidRDefault="00CB4012" w:rsidP="000624FD">
      <w:pPr>
        <w:pStyle w:val="NoSpacing"/>
        <w:rPr>
          <w:rFonts w:ascii="Arial Black" w:hAnsi="Arial Black"/>
          <w:b/>
          <w:sz w:val="28"/>
          <w:szCs w:val="28"/>
        </w:rPr>
      </w:pPr>
      <w:r>
        <w:rPr>
          <w:rFonts w:ascii="Arial Black" w:hAnsi="Arial Black"/>
          <w:b/>
          <w:sz w:val="28"/>
          <w:szCs w:val="28"/>
        </w:rPr>
        <w:t>6-177</w:t>
      </w:r>
    </w:p>
    <w:p w14:paraId="51A57099" w14:textId="77777777" w:rsidR="00CB4012" w:rsidRDefault="00CB4012" w:rsidP="000624FD">
      <w:pPr>
        <w:pStyle w:val="NoSpacing"/>
        <w:rPr>
          <w:rFonts w:ascii="Arial Black" w:hAnsi="Arial Black"/>
          <w:b/>
          <w:sz w:val="28"/>
          <w:szCs w:val="28"/>
        </w:rPr>
      </w:pPr>
    </w:p>
    <w:p w14:paraId="76806ADA" w14:textId="77777777" w:rsidR="00CB4012" w:rsidRDefault="00CB4012" w:rsidP="00CB4012">
      <w:pPr>
        <w:pStyle w:val="NoSpacing"/>
        <w:rPr>
          <w:rFonts w:ascii="Arial Black" w:hAnsi="Arial Black"/>
          <w:b/>
          <w:sz w:val="28"/>
          <w:szCs w:val="28"/>
        </w:rPr>
      </w:pPr>
      <w:r>
        <w:rPr>
          <w:rFonts w:ascii="Arial Black" w:hAnsi="Arial Black"/>
          <w:b/>
          <w:sz w:val="28"/>
          <w:szCs w:val="28"/>
        </w:rPr>
        <w:t>PA: COLON CANCER – TOBACCO - FAMILY HIST - NO LODD</w:t>
      </w:r>
    </w:p>
    <w:p w14:paraId="37901BB7" w14:textId="77777777" w:rsidR="00CB4012" w:rsidRDefault="00CB4012" w:rsidP="00CB4012">
      <w:pPr>
        <w:pStyle w:val="NoSpacing"/>
        <w:rPr>
          <w:bCs/>
        </w:rPr>
      </w:pPr>
    </w:p>
    <w:p w14:paraId="2E841253" w14:textId="77777777" w:rsidR="00CB4012" w:rsidRDefault="00CB4012" w:rsidP="00CB4012">
      <w:pPr>
        <w:pStyle w:val="NoSpacing"/>
      </w:pPr>
      <w:r w:rsidRPr="00ED6F9A">
        <w:t xml:space="preserve">On February 2, 2026, in </w:t>
      </w:r>
      <w:r w:rsidRPr="000768AC">
        <w:rPr>
          <w:u w:val="single"/>
        </w:rPr>
        <w:t xml:space="preserve">Estate of Thomas R. </w:t>
      </w:r>
      <w:proofErr w:type="spellStart"/>
      <w:r w:rsidRPr="000768AC">
        <w:rPr>
          <w:u w:val="single"/>
        </w:rPr>
        <w:t>Tratthen</w:t>
      </w:r>
      <w:proofErr w:type="spellEnd"/>
      <w:r w:rsidRPr="000768AC">
        <w:rPr>
          <w:u w:val="single"/>
        </w:rPr>
        <w:t xml:space="preserve"> and Lisa </w:t>
      </w:r>
      <w:proofErr w:type="spellStart"/>
      <w:r w:rsidRPr="000768AC">
        <w:rPr>
          <w:u w:val="single"/>
        </w:rPr>
        <w:t>Tratthen</w:t>
      </w:r>
      <w:proofErr w:type="spellEnd"/>
      <w:r w:rsidRPr="000768AC">
        <w:rPr>
          <w:u w:val="single"/>
        </w:rPr>
        <w:t xml:space="preserve"> v. Department of General Services</w:t>
      </w:r>
      <w:r w:rsidRPr="00137327">
        <w:t xml:space="preserve">, </w:t>
      </w:r>
      <w:r>
        <w:t xml:space="preserve">the </w:t>
      </w:r>
      <w:r w:rsidRPr="00137327">
        <w:t xml:space="preserve"> Commonwealth Court of Pennsylvania</w:t>
      </w:r>
      <w:r>
        <w:t xml:space="preserve"> held (3 to 0) that the family of the firefighter who died of colon cancer on June 4, 2018 was properly </w:t>
      </w:r>
      <w:r w:rsidRPr="00001CCE">
        <w:t>denie</w:t>
      </w:r>
      <w:r>
        <w:t xml:space="preserve">d </w:t>
      </w:r>
      <w:r w:rsidRPr="00001CCE">
        <w:t>Line of Duty Death (LODD) benefits under the Emergency and Law Enforcement Personnel Death Benefits Act (Act 101).</w:t>
      </w:r>
      <w:r>
        <w:rPr>
          <w:vertAlign w:val="superscript"/>
        </w:rPr>
        <w:t xml:space="preserve"> </w:t>
      </w:r>
      <w:r w:rsidRPr="00D9476B">
        <w:t xml:space="preserve">He worked full time for Dunmore Borough from 2000 to 2007, and </w:t>
      </w:r>
      <w:proofErr w:type="gramStart"/>
      <w:r w:rsidRPr="00D9476B">
        <w:t>part-time paid</w:t>
      </w:r>
      <w:proofErr w:type="gramEnd"/>
      <w:r w:rsidRPr="00D9476B">
        <w:t xml:space="preserve"> until June 4, 2018</w:t>
      </w:r>
      <w:r>
        <w:t xml:space="preserve">, but had </w:t>
      </w:r>
      <w:r w:rsidRPr="00217163">
        <w:t>diabetes</w:t>
      </w:r>
      <w:r>
        <w:t xml:space="preserve">, </w:t>
      </w:r>
      <w:r w:rsidRPr="00217163">
        <w:t>25-year history of smokeless tobacco use</w:t>
      </w:r>
      <w:r>
        <w:t xml:space="preserve">, and a family history of colon cancer. </w:t>
      </w:r>
      <w:hyperlink r:id="rId992" w:history="1">
        <w:r w:rsidRPr="00734647">
          <w:rPr>
            <w:rStyle w:val="Hyperlink"/>
          </w:rPr>
          <w:t>https://www.pacourts.us/assets/opinions/Commonwealth/out/1089CD24_2-2-26.pdf?cb=1</w:t>
        </w:r>
      </w:hyperlink>
      <w:r>
        <w:t xml:space="preserve"> </w:t>
      </w:r>
    </w:p>
    <w:p w14:paraId="1BBFC1A3" w14:textId="77777777" w:rsidR="00CB4012" w:rsidRDefault="00CB4012" w:rsidP="00CB4012">
      <w:pPr>
        <w:pStyle w:val="NoSpacing"/>
      </w:pPr>
    </w:p>
    <w:p w14:paraId="267448A2" w14:textId="77777777" w:rsidR="00CB4012" w:rsidRDefault="00CB4012" w:rsidP="00CB4012">
      <w:pPr>
        <w:pStyle w:val="NoSpacing"/>
        <w:rPr>
          <w:b/>
        </w:rPr>
      </w:pPr>
      <w:r>
        <w:t>THE COURT HELD: “</w:t>
      </w:r>
      <w:r w:rsidRPr="00FB0CC5">
        <w:t>This Court agrees with the Department's reasoning. Given that the standard is whether, but for Decedent's firefighting activities, Decedent's colon cancer would not have occurred, and Petitioners did not present any evidence from which the Department could so conclude, the Department properly denied LODD benefits</w:t>
      </w:r>
      <w:r>
        <w:t xml:space="preserve">…. </w:t>
      </w:r>
      <w:r w:rsidRPr="00EA1266">
        <w:t xml:space="preserve">On July 26, 2022, the Department's Bureau of Finance and Risk Management (Bureau) denied Petitioners' LODD benefits claim. On August 17, 2022, Petitioners filed a Notice of Appeal and Request for Hearing. On May 12, 2023, Department Hearing Officer Michael T. Foerster (Hearing Officer Foerster) held a hearing at which the Bureau and Petitioners </w:t>
      </w:r>
      <w:proofErr w:type="gramStart"/>
      <w:r w:rsidRPr="00EA1266">
        <w:t>stipulated to</w:t>
      </w:r>
      <w:proofErr w:type="gramEnd"/>
      <w:r w:rsidRPr="00EA1266">
        <w:t xml:space="preserve"> certain facts and documents. In addition, the Bureau </w:t>
      </w:r>
      <w:proofErr w:type="gramStart"/>
      <w:r w:rsidRPr="00EA1266">
        <w:t>entered into</w:t>
      </w:r>
      <w:proofErr w:type="gramEnd"/>
      <w:r w:rsidRPr="00EA1266">
        <w:t xml:space="preserve"> evidence additional documents and both sides presented witnesses</w:t>
      </w:r>
      <w:r w:rsidRPr="00EA1266">
        <w:rPr>
          <w:b/>
        </w:rPr>
        <w:t>.</w:t>
      </w:r>
      <w:r>
        <w:rPr>
          <w:b/>
        </w:rPr>
        <w:t xml:space="preserve"> </w:t>
      </w:r>
    </w:p>
    <w:p w14:paraId="56132E17" w14:textId="77777777" w:rsidR="00CB4012" w:rsidRPr="00217163" w:rsidRDefault="00CB4012" w:rsidP="00CB4012">
      <w:pPr>
        <w:pStyle w:val="NoSpacing"/>
      </w:pPr>
      <w:r w:rsidRPr="0045688E">
        <w:t xml:space="preserve">Petitioners presented, inter alia, Tee Guidotti, M.D.'s (Dr. Guidotti) April 3, </w:t>
      </w:r>
      <w:proofErr w:type="gramStart"/>
      <w:r w:rsidRPr="0045688E">
        <w:t>2020</w:t>
      </w:r>
      <w:proofErr w:type="gramEnd"/>
      <w:r w:rsidRPr="0045688E">
        <w:t xml:space="preserve"> report to support Petitioners' Act 101 claim, which had also been produced in support of Decedent's claim for WC benefits. Therein, Dr. Guidotti stated: </w:t>
      </w:r>
      <w:r>
        <w:t xml:space="preserve"> </w:t>
      </w:r>
      <w:r w:rsidRPr="0045688E">
        <w:t xml:space="preserve">Given [Decedent's] long service and exposure to International Agency for Research on Cancer (IARC) Group I carcinogens in smoke, soot, diesel emissions, and building materials, I can opine, to a reasonable degree of medical certainty, that his volunteer fire service was, at a minimum, a substantial contributing factor to his diagnosis with cancer. </w:t>
      </w:r>
      <w:r>
        <w:t xml:space="preserve"> </w:t>
      </w:r>
      <w:r w:rsidRPr="0045688E">
        <w:t>Reproduced Record (R.R.) at 138a (emphasis added)</w:t>
      </w:r>
      <w:r>
        <w:t xml:space="preserve">…. </w:t>
      </w:r>
      <w:r w:rsidRPr="00217163">
        <w:t xml:space="preserve">The Bureau presented, </w:t>
      </w:r>
      <w:r w:rsidRPr="00217163">
        <w:rPr>
          <w:i/>
          <w:iCs/>
        </w:rPr>
        <w:t>inter alia</w:t>
      </w:r>
      <w:r w:rsidRPr="00217163">
        <w:t xml:space="preserve">, Howard Sandler, M.D.'s (Dr. Sandler) December 3, </w:t>
      </w:r>
      <w:proofErr w:type="gramStart"/>
      <w:r w:rsidRPr="00217163">
        <w:t>2020</w:t>
      </w:r>
      <w:proofErr w:type="gramEnd"/>
      <w:r w:rsidRPr="00217163">
        <w:t xml:space="preserve"> report authored on behalf of the insurance carrier defending against Decedent's WC claim. Therein, Dr. Sandler referenced Decedent's diabetes and his 25-year history of smokeless tobacco use, and opined: </w:t>
      </w:r>
    </w:p>
    <w:p w14:paraId="38DC0DE2" w14:textId="77777777" w:rsidR="00CB4012" w:rsidRPr="00217163" w:rsidRDefault="00CB4012" w:rsidP="00CB4012">
      <w:pPr>
        <w:pStyle w:val="NoSpacing"/>
      </w:pPr>
      <w:r w:rsidRPr="00217163">
        <w:t>[</w:t>
      </w:r>
      <w:proofErr w:type="gramStart"/>
      <w:r w:rsidRPr="00217163">
        <w:t>Decedent's</w:t>
      </w:r>
      <w:proofErr w:type="gramEnd"/>
      <w:r w:rsidRPr="00217163">
        <w:t xml:space="preserve">] diagnosed colorectal or rectal carcinomas are most likely caused by his underlying personal risk factors as discussed previously[,] such as diet, minimal physical activity, diabetes mellitus, obesity, smoking[,] and alcohol consumption. . . . [Decedent's] family history of various cancers[,] including colon cancer[,] is indeed a risk factor for the development of colorectal/rectal </w:t>
      </w:r>
      <w:proofErr w:type="gramStart"/>
      <w:r w:rsidRPr="00217163">
        <w:t>cancer.</w:t>
      </w:r>
      <w:r>
        <w:t>”</w:t>
      </w:r>
      <w:proofErr w:type="gramEnd"/>
    </w:p>
    <w:p w14:paraId="6D0D75A9" w14:textId="77777777" w:rsidR="00CB4012" w:rsidRDefault="00CB4012" w:rsidP="00CB4012">
      <w:pPr>
        <w:pStyle w:val="NoSpacing"/>
      </w:pPr>
    </w:p>
    <w:p w14:paraId="3867B713" w14:textId="77777777" w:rsidR="00CB4012" w:rsidRPr="000768AC" w:rsidRDefault="00CB4012" w:rsidP="00CB4012">
      <w:pPr>
        <w:pStyle w:val="NoSpacing"/>
        <w:rPr>
          <w:b/>
          <w:bCs/>
        </w:rPr>
      </w:pPr>
      <w:r>
        <w:rPr>
          <w:b/>
        </w:rPr>
        <w:t xml:space="preserve">Legal lesson learned: The 25-year history of smokeless tobacco use, and family history, led to denial of LODD benefits. </w:t>
      </w:r>
    </w:p>
    <w:p w14:paraId="7DE73648" w14:textId="77777777" w:rsidR="00CB4012" w:rsidRDefault="00CB4012" w:rsidP="00CB4012">
      <w:pPr>
        <w:pStyle w:val="NoSpacing"/>
      </w:pPr>
    </w:p>
    <w:p w14:paraId="2A1A54F4" w14:textId="77777777" w:rsidR="00CB4012" w:rsidRDefault="00CB4012" w:rsidP="00CB4012">
      <w:pPr>
        <w:pStyle w:val="NoSpacing"/>
      </w:pPr>
    </w:p>
    <w:p w14:paraId="187FB646" w14:textId="77777777" w:rsidR="00CB4012" w:rsidRDefault="00CB4012" w:rsidP="000624FD">
      <w:pPr>
        <w:pStyle w:val="NoSpacing"/>
        <w:rPr>
          <w:rFonts w:ascii="Arial Black" w:hAnsi="Arial Black"/>
          <w:b/>
          <w:sz w:val="28"/>
          <w:szCs w:val="28"/>
        </w:rPr>
      </w:pPr>
    </w:p>
    <w:p w14:paraId="512C3D0D" w14:textId="77777777" w:rsidR="006D2F6D" w:rsidRDefault="006D2F6D" w:rsidP="000624FD">
      <w:pPr>
        <w:pStyle w:val="NoSpacing"/>
        <w:rPr>
          <w:rFonts w:ascii="Arial Black" w:hAnsi="Arial Black"/>
          <w:b/>
          <w:sz w:val="28"/>
          <w:szCs w:val="28"/>
        </w:rPr>
      </w:pPr>
    </w:p>
    <w:p w14:paraId="095BA951" w14:textId="77777777" w:rsidR="006D2F6D" w:rsidRDefault="006D2F6D" w:rsidP="000624FD">
      <w:pPr>
        <w:pStyle w:val="NoSpacing"/>
        <w:rPr>
          <w:rFonts w:ascii="Arial Black" w:hAnsi="Arial Black"/>
          <w:b/>
          <w:sz w:val="28"/>
          <w:szCs w:val="28"/>
        </w:rPr>
      </w:pPr>
    </w:p>
    <w:p w14:paraId="08490DB9" w14:textId="292EF437" w:rsidR="007369A1" w:rsidRDefault="007369A1" w:rsidP="000624FD">
      <w:pPr>
        <w:pStyle w:val="NoSpacing"/>
        <w:rPr>
          <w:rFonts w:ascii="Arial Black" w:hAnsi="Arial Black"/>
          <w:b/>
          <w:sz w:val="28"/>
          <w:szCs w:val="28"/>
        </w:rPr>
      </w:pPr>
      <w:r>
        <w:rPr>
          <w:rFonts w:ascii="Arial Black" w:hAnsi="Arial Black"/>
          <w:b/>
          <w:sz w:val="28"/>
          <w:szCs w:val="28"/>
        </w:rPr>
        <w:t>6-176</w:t>
      </w:r>
    </w:p>
    <w:p w14:paraId="40B5F97F" w14:textId="77777777" w:rsidR="007369A1" w:rsidRDefault="007369A1" w:rsidP="007369A1">
      <w:pPr>
        <w:rPr>
          <w:rFonts w:ascii="Arial Black" w:hAnsi="Arial Black"/>
          <w:b/>
          <w:sz w:val="28"/>
          <w:szCs w:val="28"/>
        </w:rPr>
      </w:pPr>
      <w:r>
        <w:rPr>
          <w:rFonts w:ascii="Arial Black" w:hAnsi="Arial Black"/>
          <w:b/>
          <w:sz w:val="28"/>
          <w:szCs w:val="28"/>
        </w:rPr>
        <w:t>DE: BACK INJURY – “RECURRENCE” PRIOR AT ANOTHER FD</w:t>
      </w:r>
    </w:p>
    <w:p w14:paraId="20314A64" w14:textId="77777777" w:rsidR="007369A1" w:rsidRDefault="007369A1" w:rsidP="007369A1">
      <w:pPr>
        <w:rPr>
          <w:b/>
        </w:rPr>
      </w:pPr>
      <w:r w:rsidRPr="00555944">
        <w:lastRenderedPageBreak/>
        <w:t xml:space="preserve">On December 4, 2025, in </w:t>
      </w:r>
      <w:r w:rsidRPr="00555944">
        <w:rPr>
          <w:u w:val="single"/>
        </w:rPr>
        <w:t>Corey Ferrell v. City of Wilmington</w:t>
      </w:r>
      <w:r w:rsidRPr="00555944">
        <w:t xml:space="preserve">, </w:t>
      </w:r>
      <w:r>
        <w:t xml:space="preserve">the </w:t>
      </w:r>
      <w:r w:rsidRPr="00EA031B">
        <w:t>Supreme Court of Delaware</w:t>
      </w:r>
      <w:r>
        <w:t xml:space="preserve"> held (3 to 0) that Wilmington Fire Department had no workers comp liability for 2023 incident, where the firefighter injured his back carrying two high-rise packs (second was for his officer) up high-rise, since this was a “recurrence” of a 2015 claim settled with the </w:t>
      </w:r>
      <w:r w:rsidRPr="004B7C01">
        <w:t>Belvedere</w:t>
      </w:r>
      <w:r>
        <w:t xml:space="preserve"> Fire Department where he worked on </w:t>
      </w:r>
      <w:r w:rsidRPr="004B7C01">
        <w:t>part-time basis</w:t>
      </w:r>
      <w:r>
        <w:t xml:space="preserve">. </w:t>
      </w:r>
      <w:hyperlink r:id="rId993" w:history="1">
        <w:r w:rsidRPr="007F05A7">
          <w:rPr>
            <w:rStyle w:val="Hyperlink"/>
            <w:b/>
          </w:rPr>
          <w:t>https://cases.justia.com/delaware/supreme-court/2025-152-2025.pdf?ts=1764862317</w:t>
        </w:r>
      </w:hyperlink>
      <w:r>
        <w:rPr>
          <w:b/>
        </w:rPr>
        <w:t xml:space="preserve"> </w:t>
      </w:r>
    </w:p>
    <w:p w14:paraId="1DFF9C39" w14:textId="77777777" w:rsidR="007369A1" w:rsidRDefault="007369A1" w:rsidP="007369A1">
      <w:pPr>
        <w:rPr>
          <w:bCs/>
        </w:rPr>
      </w:pPr>
      <w:r>
        <w:t>THE COURT HELD:</w:t>
      </w:r>
    </w:p>
    <w:p w14:paraId="7218EB87" w14:textId="77777777" w:rsidR="007369A1" w:rsidRDefault="007369A1" w:rsidP="007369A1">
      <w:pPr>
        <w:pStyle w:val="NoSpacing"/>
        <w:ind w:left="720"/>
        <w:rPr>
          <w:bCs/>
        </w:rPr>
      </w:pPr>
      <w:r>
        <w:t>“</w:t>
      </w:r>
      <w:r w:rsidRPr="005C01D2">
        <w:t>Ultimately, the Board concluded that the 2023 incident was a recurrence of</w:t>
      </w:r>
      <w:r>
        <w:t xml:space="preserve"> </w:t>
      </w:r>
      <w:r w:rsidRPr="005C01D2">
        <w:t>the injury that Ferrell sustained in 2015. In reaching that conclusion, the Board</w:t>
      </w:r>
      <w:r>
        <w:t xml:space="preserve"> </w:t>
      </w:r>
      <w:r w:rsidRPr="005C01D2">
        <w:t>placed significant weight on Dr. Matz’s opinion and testimony. The Board found</w:t>
      </w:r>
      <w:r>
        <w:t xml:space="preserve"> </w:t>
      </w:r>
      <w:r w:rsidRPr="005C01D2">
        <w:t>that the 2023 incident did not aggravate the 2015 injury and did not cause a new,</w:t>
      </w:r>
      <w:r>
        <w:t xml:space="preserve"> </w:t>
      </w:r>
      <w:r w:rsidRPr="005C01D2">
        <w:t>separately compensable injury to Ferrell. The Board agreed with Dr. Matz that a</w:t>
      </w:r>
      <w:r>
        <w:t xml:space="preserve"> </w:t>
      </w:r>
      <w:r w:rsidRPr="005C01D2">
        <w:t>comparison of Ferrell’s MRIs showed the expected progression of spinal</w:t>
      </w:r>
      <w:r>
        <w:t xml:space="preserve"> </w:t>
      </w:r>
      <w:r w:rsidRPr="005C01D2">
        <w:t>deterioration from the 2015 injury, and the Board found that the act of walking up</w:t>
      </w:r>
      <w:r>
        <w:t xml:space="preserve"> </w:t>
      </w:r>
      <w:r w:rsidRPr="005C01D2">
        <w:t xml:space="preserve">the stairs carrying the high-rise packs was not enough to create a </w:t>
      </w:r>
      <w:r>
        <w:t>‘</w:t>
      </w:r>
      <w:r w:rsidRPr="005C01D2">
        <w:t>genuine</w:t>
      </w:r>
      <w:r>
        <w:t xml:space="preserve"> </w:t>
      </w:r>
      <w:r w:rsidRPr="005C01D2">
        <w:t xml:space="preserve">intervening </w:t>
      </w:r>
      <w:proofErr w:type="gramStart"/>
      <w:r w:rsidRPr="005C01D2">
        <w:t>event.</w:t>
      </w:r>
      <w:r>
        <w:t>’</w:t>
      </w:r>
      <w:proofErr w:type="gramEnd"/>
      <w:r>
        <w:t xml:space="preserve"> </w:t>
      </w:r>
      <w:r w:rsidRPr="001B07A1">
        <w:t>The Board therefore held that liability for the 2023 incident</w:t>
      </w:r>
      <w:r>
        <w:t xml:space="preserve"> </w:t>
      </w:r>
      <w:r w:rsidRPr="002F57F5">
        <w:t>would remain under the 2015 claim and denied Ferrell’s petition for workers’</w:t>
      </w:r>
      <w:r>
        <w:t xml:space="preserve"> </w:t>
      </w:r>
      <w:r w:rsidRPr="002F57F5">
        <w:t>compensation coverage from Wilmington FD.</w:t>
      </w:r>
    </w:p>
    <w:p w14:paraId="41109C6B" w14:textId="77777777" w:rsidR="007369A1" w:rsidRDefault="007369A1" w:rsidP="007369A1">
      <w:pPr>
        <w:pStyle w:val="NoSpacing"/>
        <w:ind w:left="720"/>
        <w:rPr>
          <w:bCs/>
        </w:rPr>
      </w:pPr>
    </w:p>
    <w:p w14:paraId="354D90CF" w14:textId="77777777" w:rsidR="007369A1" w:rsidRDefault="007369A1" w:rsidP="007369A1">
      <w:pPr>
        <w:pStyle w:val="NoSpacing"/>
        <w:ind w:left="720"/>
        <w:rPr>
          <w:bCs/>
        </w:rPr>
      </w:pPr>
      <w:r>
        <w:t>***</w:t>
      </w:r>
    </w:p>
    <w:p w14:paraId="7BB92A2A" w14:textId="77777777" w:rsidR="007369A1" w:rsidRDefault="007369A1" w:rsidP="007369A1">
      <w:pPr>
        <w:pStyle w:val="NoSpacing"/>
        <w:ind w:left="720"/>
        <w:rPr>
          <w:bCs/>
        </w:rPr>
      </w:pPr>
      <w:r w:rsidRPr="000F4EBA">
        <w:t>The Board heard contrasting</w:t>
      </w:r>
      <w:r>
        <w:t xml:space="preserve"> </w:t>
      </w:r>
      <w:r w:rsidRPr="000F4EBA">
        <w:t>medical opinions from Dr. Tucker and Dr. Matz, both of whom relied on their</w:t>
      </w:r>
      <w:r>
        <w:t xml:space="preserve"> </w:t>
      </w:r>
      <w:r w:rsidRPr="000F4EBA">
        <w:t>physical evaluations of Ferrell and their comparisons of his 2015 and 2023 MRIs.</w:t>
      </w:r>
    </w:p>
    <w:p w14:paraId="09938CB7" w14:textId="77777777" w:rsidR="007369A1" w:rsidRDefault="007369A1" w:rsidP="007369A1">
      <w:pPr>
        <w:pStyle w:val="NoSpacing"/>
        <w:ind w:left="720"/>
        <w:rPr>
          <w:bCs/>
        </w:rPr>
      </w:pPr>
    </w:p>
    <w:p w14:paraId="7C89FAE7" w14:textId="77777777" w:rsidR="007369A1" w:rsidRDefault="007369A1" w:rsidP="007369A1">
      <w:pPr>
        <w:pStyle w:val="NoSpacing"/>
        <w:ind w:left="720"/>
        <w:rPr>
          <w:bCs/>
        </w:rPr>
      </w:pPr>
      <w:r>
        <w:t>***</w:t>
      </w:r>
    </w:p>
    <w:p w14:paraId="546B797C" w14:textId="77777777" w:rsidR="007369A1" w:rsidRDefault="007369A1" w:rsidP="007369A1">
      <w:pPr>
        <w:pStyle w:val="NoSpacing"/>
        <w:ind w:left="720"/>
        <w:rPr>
          <w:bCs/>
        </w:rPr>
      </w:pPr>
      <w:r w:rsidRPr="00A63172">
        <w:t>Dr. Matz is an orthopedic surgeon whom the Board found credible. In Dr.</w:t>
      </w:r>
      <w:r>
        <w:t xml:space="preserve"> </w:t>
      </w:r>
      <w:r w:rsidRPr="00A63172">
        <w:t>Matz’s opinion, the results of Ferrell’s MRIs showed that his condition was</w:t>
      </w:r>
      <w:r>
        <w:t xml:space="preserve"> </w:t>
      </w:r>
      <w:r w:rsidRPr="00A63172">
        <w:t xml:space="preserve">degenerative, not acute, and </w:t>
      </w:r>
      <w:r>
        <w:t>‘</w:t>
      </w:r>
      <w:r w:rsidRPr="00A63172">
        <w:t>the sort of progression that you would expect with the</w:t>
      </w:r>
      <w:r>
        <w:t xml:space="preserve"> </w:t>
      </w:r>
      <w:r w:rsidRPr="00A63172">
        <w:t>natural aging process.</w:t>
      </w:r>
      <w:r>
        <w:t xml:space="preserve">’ </w:t>
      </w:r>
      <w:r w:rsidRPr="00A63172">
        <w:t>The Board agreed that the MRIs—performed eight years</w:t>
      </w:r>
      <w:r>
        <w:t xml:space="preserve"> </w:t>
      </w:r>
      <w:r w:rsidRPr="00A63172">
        <w:t>apart—may have shown some worsening in Ferrell’s condition, but the progression</w:t>
      </w:r>
      <w:r>
        <w:t xml:space="preserve"> </w:t>
      </w:r>
      <w:r w:rsidRPr="00D23F0F">
        <w:t>was expected. The Board accepted Dr. Matz’s expert opinion that Ferrell’s</w:t>
      </w:r>
      <w:r>
        <w:t xml:space="preserve"> </w:t>
      </w:r>
      <w:r w:rsidRPr="00D23F0F">
        <w:t xml:space="preserve">condition was degenerative and a </w:t>
      </w:r>
      <w:r>
        <w:t>‘</w:t>
      </w:r>
      <w:r w:rsidRPr="00D23F0F">
        <w:t>slowly progressive thoracic disc disease.</w:t>
      </w:r>
      <w:r>
        <w:t>’”</w:t>
      </w:r>
    </w:p>
    <w:p w14:paraId="3A2076C5" w14:textId="77777777" w:rsidR="007369A1" w:rsidRDefault="007369A1" w:rsidP="007369A1">
      <w:pPr>
        <w:pStyle w:val="NoSpacing"/>
        <w:ind w:left="720"/>
        <w:rPr>
          <w:bCs/>
        </w:rPr>
      </w:pPr>
    </w:p>
    <w:p w14:paraId="0A792C8D" w14:textId="77777777" w:rsidR="007369A1" w:rsidRDefault="007369A1" w:rsidP="007369A1">
      <w:pPr>
        <w:pStyle w:val="NoSpacing"/>
        <w:jc w:val="both"/>
        <w:rPr>
          <w:b/>
        </w:rPr>
      </w:pPr>
      <w:r>
        <w:rPr>
          <w:b/>
        </w:rPr>
        <w:t xml:space="preserve">Legal lesson learned: Since the firefighter had settled his 2015 claim, he had no workers comp coverage for the 2023 claim. </w:t>
      </w:r>
    </w:p>
    <w:p w14:paraId="65AECD8D" w14:textId="77777777" w:rsidR="007369A1" w:rsidRDefault="007369A1" w:rsidP="007369A1">
      <w:pPr>
        <w:pStyle w:val="NoSpacing"/>
        <w:jc w:val="both"/>
        <w:rPr>
          <w:b/>
        </w:rPr>
      </w:pPr>
    </w:p>
    <w:p w14:paraId="7E107A21" w14:textId="77777777" w:rsidR="007369A1" w:rsidRPr="000A0735" w:rsidRDefault="007369A1" w:rsidP="007369A1">
      <w:pPr>
        <w:pStyle w:val="NoSpacing"/>
        <w:ind w:left="720"/>
        <w:jc w:val="both"/>
        <w:rPr>
          <w:bCs/>
        </w:rPr>
      </w:pPr>
      <w:r w:rsidRPr="000A0735">
        <w:t xml:space="preserve">Note: </w:t>
      </w:r>
      <w:r>
        <w:t>The Court wrote: “</w:t>
      </w:r>
      <w:r w:rsidRPr="000A0735">
        <w:t>In 2018, Ferrell accepted a commutation of the 2015 claim with Belvedere’s workers’</w:t>
      </w:r>
      <w:r>
        <w:t xml:space="preserve"> </w:t>
      </w:r>
      <w:r w:rsidRPr="000A0735">
        <w:t>compensation insurance carrier. The commutation globally resolved the claim and</w:t>
      </w:r>
      <w:r>
        <w:t xml:space="preserve"> </w:t>
      </w:r>
      <w:r w:rsidRPr="000A0735">
        <w:t>released the insurer from further liability with respect to the injury.</w:t>
      </w:r>
      <w:r>
        <w:t>”</w:t>
      </w:r>
    </w:p>
    <w:p w14:paraId="592A3102" w14:textId="77777777" w:rsidR="007369A1" w:rsidRDefault="007369A1" w:rsidP="007369A1">
      <w:pPr>
        <w:rPr>
          <w:rFonts w:ascii="Arial Black" w:hAnsi="Arial Black"/>
          <w:bCs/>
          <w:sz w:val="28"/>
          <w:szCs w:val="28"/>
        </w:rPr>
      </w:pPr>
    </w:p>
    <w:p w14:paraId="74D8EAD6" w14:textId="03B91F8D" w:rsidR="007369A1" w:rsidRDefault="007369A1" w:rsidP="000624FD">
      <w:pPr>
        <w:pStyle w:val="NoSpacing"/>
        <w:rPr>
          <w:rFonts w:ascii="Arial Black" w:hAnsi="Arial Black"/>
          <w:b/>
          <w:sz w:val="28"/>
          <w:szCs w:val="28"/>
        </w:rPr>
      </w:pPr>
      <w:r>
        <w:rPr>
          <w:rFonts w:ascii="Arial Black" w:hAnsi="Arial Black"/>
          <w:b/>
          <w:sz w:val="28"/>
          <w:szCs w:val="28"/>
        </w:rPr>
        <w:t>6-175</w:t>
      </w:r>
    </w:p>
    <w:p w14:paraId="3016E18C" w14:textId="77777777" w:rsidR="00EC0328" w:rsidRDefault="00EC0328" w:rsidP="000624FD">
      <w:pPr>
        <w:pStyle w:val="NoSpacing"/>
        <w:rPr>
          <w:rFonts w:ascii="Arial Black" w:hAnsi="Arial Black"/>
          <w:b/>
          <w:sz w:val="28"/>
          <w:szCs w:val="28"/>
        </w:rPr>
      </w:pPr>
    </w:p>
    <w:p w14:paraId="3E87115A" w14:textId="433F400F" w:rsidR="00EC0328" w:rsidRDefault="00EC0328" w:rsidP="00EC0328">
      <w:pPr>
        <w:rPr>
          <w:rFonts w:ascii="Arial Black" w:hAnsi="Arial Black"/>
          <w:b/>
          <w:sz w:val="28"/>
          <w:szCs w:val="28"/>
        </w:rPr>
      </w:pPr>
      <w:r>
        <w:rPr>
          <w:rFonts w:ascii="Arial Black" w:hAnsi="Arial Black"/>
          <w:b/>
          <w:sz w:val="28"/>
          <w:szCs w:val="28"/>
        </w:rPr>
        <w:t xml:space="preserve">WV: FF R-WRIST – TRIPPED </w:t>
      </w:r>
      <w:r w:rsidR="00CA4898">
        <w:rPr>
          <w:rFonts w:ascii="Arial Black" w:hAnsi="Arial Black"/>
          <w:b/>
          <w:sz w:val="28"/>
          <w:szCs w:val="28"/>
        </w:rPr>
        <w:t xml:space="preserve">IN </w:t>
      </w:r>
      <w:r>
        <w:rPr>
          <w:rFonts w:ascii="Arial Black" w:hAnsi="Arial Black"/>
          <w:b/>
          <w:sz w:val="28"/>
          <w:szCs w:val="28"/>
        </w:rPr>
        <w:t>AMBULANCE – BENEFITS CONT</w:t>
      </w:r>
    </w:p>
    <w:p w14:paraId="5EB17885" w14:textId="77777777" w:rsidR="00EC0328" w:rsidRDefault="00EC0328" w:rsidP="00EC0328">
      <w:pPr>
        <w:rPr>
          <w:bCs/>
        </w:rPr>
      </w:pPr>
      <w:r w:rsidRPr="001D4F31">
        <w:t xml:space="preserve">On December 4, 2025, in </w:t>
      </w:r>
      <w:r w:rsidRPr="001839BD">
        <w:rPr>
          <w:u w:val="single"/>
        </w:rPr>
        <w:t>City of Wheeling v. David Gilbert</w:t>
      </w:r>
      <w:r>
        <w:t xml:space="preserve">, the </w:t>
      </w:r>
      <w:r w:rsidRPr="001839BD">
        <w:t>West Virginia Intermediate Court of Appeals</w:t>
      </w:r>
      <w:r>
        <w:t xml:space="preserve"> held (3 to 0) that the Worker’s Comp Board properly reversed the hearing officer who closed the claim on November 5, 2024.  He is entitled to continued coverage for his December 1, </w:t>
      </w:r>
      <w:proofErr w:type="gramStart"/>
      <w:r>
        <w:t>2023</w:t>
      </w:r>
      <w:proofErr w:type="gramEnd"/>
      <w:r>
        <w:t xml:space="preserve"> injury of his right wrist </w:t>
      </w:r>
      <w:r w:rsidRPr="000E3282">
        <w:t xml:space="preserve">when he tripped and caught himself while getting into an ambulance. </w:t>
      </w:r>
      <w:hyperlink r:id="rId994" w:history="1">
        <w:r w:rsidRPr="00E22D14">
          <w:rPr>
            <w:rStyle w:val="Hyperlink"/>
          </w:rPr>
          <w:t>https://www.courtswv.gov/sites/default/pubfilesmnt/2025-12/25-ICA-222_MD.pdf</w:t>
        </w:r>
      </w:hyperlink>
      <w:r>
        <w:t xml:space="preserve"> </w:t>
      </w:r>
    </w:p>
    <w:p w14:paraId="59696EEA" w14:textId="77777777" w:rsidR="00EC0328" w:rsidRDefault="00EC0328" w:rsidP="00EC0328">
      <w:pPr>
        <w:rPr>
          <w:bCs/>
        </w:rPr>
      </w:pPr>
      <w:r>
        <w:t xml:space="preserve">THE COURT HELD: </w:t>
      </w:r>
    </w:p>
    <w:p w14:paraId="3CD0F6BA" w14:textId="77777777" w:rsidR="00EC0328" w:rsidRDefault="00EC0328" w:rsidP="00EC0328">
      <w:pPr>
        <w:pStyle w:val="NoSpacing"/>
        <w:ind w:firstLine="720"/>
        <w:rPr>
          <w:bCs/>
        </w:rPr>
      </w:pPr>
      <w:r>
        <w:t>“</w:t>
      </w:r>
      <w:r w:rsidRPr="005D768D">
        <w:t>Mr. Gilbert had not worked since June 2, 2024.</w:t>
      </w:r>
    </w:p>
    <w:p w14:paraId="379610BE" w14:textId="77777777" w:rsidR="00EC0328" w:rsidRDefault="00EC0328" w:rsidP="00EC0328">
      <w:pPr>
        <w:pStyle w:val="NoSpacing"/>
        <w:ind w:firstLine="720"/>
        <w:rPr>
          <w:bCs/>
        </w:rPr>
      </w:pPr>
    </w:p>
    <w:p w14:paraId="130D1454" w14:textId="77777777" w:rsidR="00EC0328" w:rsidRDefault="00EC0328" w:rsidP="00EC0328">
      <w:pPr>
        <w:pStyle w:val="NoSpacing"/>
        <w:ind w:firstLine="720"/>
        <w:rPr>
          <w:bCs/>
        </w:rPr>
      </w:pPr>
      <w:r>
        <w:t>***</w:t>
      </w:r>
    </w:p>
    <w:p w14:paraId="77D1A30B" w14:textId="77777777" w:rsidR="00EC0328" w:rsidRPr="009B705D" w:rsidRDefault="00EC0328" w:rsidP="00EC0328">
      <w:pPr>
        <w:pStyle w:val="NoSpacing"/>
        <w:ind w:firstLine="720"/>
        <w:rPr>
          <w:bCs/>
        </w:rPr>
      </w:pPr>
      <w:r w:rsidRPr="009B705D">
        <w:t>On July 31, 2024, the claim administrator issued an order denying the addition of</w:t>
      </w:r>
    </w:p>
    <w:p w14:paraId="4068D69B" w14:textId="77777777" w:rsidR="00EC0328" w:rsidRDefault="00EC0328" w:rsidP="00EC0328">
      <w:pPr>
        <w:pStyle w:val="NoSpacing"/>
        <w:ind w:left="720"/>
        <w:rPr>
          <w:bCs/>
        </w:rPr>
      </w:pPr>
      <w:r w:rsidRPr="009B705D">
        <w:lastRenderedPageBreak/>
        <w:t>scapholunate instability of the right wrist and scapholunate ligament tear of the right wrist</w:t>
      </w:r>
      <w:r>
        <w:t xml:space="preserve"> </w:t>
      </w:r>
      <w:r w:rsidRPr="009B705D">
        <w:t>as compensable conditions of the claim. Mr. Gilbert protested this claim.</w:t>
      </w:r>
    </w:p>
    <w:p w14:paraId="10FDCAA8" w14:textId="77777777" w:rsidR="00EC0328" w:rsidRDefault="00EC0328" w:rsidP="00EC0328">
      <w:pPr>
        <w:pStyle w:val="NoSpacing"/>
        <w:ind w:left="720"/>
        <w:rPr>
          <w:bCs/>
        </w:rPr>
      </w:pPr>
    </w:p>
    <w:p w14:paraId="73545A68" w14:textId="77777777" w:rsidR="00EC0328" w:rsidRDefault="00EC0328" w:rsidP="00EC0328">
      <w:pPr>
        <w:pStyle w:val="NoSpacing"/>
        <w:ind w:left="720"/>
        <w:rPr>
          <w:bCs/>
        </w:rPr>
      </w:pPr>
      <w:r>
        <w:t>***</w:t>
      </w:r>
    </w:p>
    <w:p w14:paraId="061D3DA6" w14:textId="77777777" w:rsidR="00EC0328" w:rsidRPr="00A10B17" w:rsidRDefault="00EC0328" w:rsidP="00EC0328">
      <w:pPr>
        <w:pStyle w:val="NoSpacing"/>
        <w:ind w:left="720"/>
        <w:rPr>
          <w:bCs/>
        </w:rPr>
      </w:pPr>
      <w:r w:rsidRPr="00A10B17">
        <w:t>Mr. Gilbert was evaluated by Joseph Grady II, M.D., on September 6, 2024.</w:t>
      </w:r>
      <w:r>
        <w:t xml:space="preserve"> </w:t>
      </w:r>
      <w:r w:rsidRPr="00A10B17">
        <w:t>Mr. Gilbert reported pain and a shifting sensation within the radial aspect of the right wrist.</w:t>
      </w:r>
      <w:r>
        <w:t xml:space="preserve"> </w:t>
      </w:r>
      <w:r w:rsidRPr="00A10B17">
        <w:t>Dr. Grady noted that Mr. Gilbert had not worked since June 2, 2024. The assessment was</w:t>
      </w:r>
      <w:r>
        <w:t xml:space="preserve"> </w:t>
      </w:r>
      <w:r w:rsidRPr="00A10B17">
        <w:t>right wrist pain with demonstrated right scapholunate ligament tear on direct visualization</w:t>
      </w:r>
      <w:r>
        <w:t xml:space="preserve"> </w:t>
      </w:r>
      <w:r w:rsidRPr="00A10B17">
        <w:t>during arthroscopic examination. Dr. Grady opined that the right wrist sprain that occurred</w:t>
      </w:r>
      <w:r>
        <w:t xml:space="preserve"> </w:t>
      </w:r>
      <w:r w:rsidRPr="00A10B17">
        <w:t>with the initial injury had resolved, and Mr. Gilbert had reached maximum medical</w:t>
      </w:r>
      <w:r>
        <w:t xml:space="preserve"> </w:t>
      </w:r>
      <w:r w:rsidRPr="00A10B17">
        <w:t>improvement (</w:t>
      </w:r>
      <w:r>
        <w:t>‘</w:t>
      </w:r>
      <w:r w:rsidRPr="00A10B17">
        <w:t>MMI</w:t>
      </w:r>
      <w:r>
        <w:t>’</w:t>
      </w:r>
      <w:r w:rsidRPr="00A10B17">
        <w:t>) for the compensable injury. Dr. Grady further opined that Mr.</w:t>
      </w:r>
    </w:p>
    <w:p w14:paraId="2AD2B224" w14:textId="77777777" w:rsidR="00EC0328" w:rsidRDefault="00EC0328" w:rsidP="00EC0328">
      <w:pPr>
        <w:pStyle w:val="NoSpacing"/>
        <w:ind w:left="720"/>
        <w:rPr>
          <w:bCs/>
        </w:rPr>
      </w:pPr>
      <w:r w:rsidRPr="00A10B17">
        <w:t>Gilbert would have difficulty working full duty at his regular job because of the right-hand</w:t>
      </w:r>
      <w:r>
        <w:t xml:space="preserve"> </w:t>
      </w:r>
      <w:r w:rsidRPr="00A10B17">
        <w:t xml:space="preserve">pain and weakness, which Dr. Grady attributed to the </w:t>
      </w:r>
      <w:proofErr w:type="spellStart"/>
      <w:proofErr w:type="gramStart"/>
      <w:r w:rsidRPr="00A10B17">
        <w:t>non</w:t>
      </w:r>
      <w:r>
        <w:t xml:space="preserve"> </w:t>
      </w:r>
      <w:r w:rsidRPr="00A10B17">
        <w:t>compensable</w:t>
      </w:r>
      <w:proofErr w:type="spellEnd"/>
      <w:proofErr w:type="gramEnd"/>
      <w:r w:rsidRPr="00A10B17">
        <w:t xml:space="preserve"> scapholunate</w:t>
      </w:r>
      <w:r>
        <w:t xml:space="preserve"> </w:t>
      </w:r>
      <w:r w:rsidRPr="00A10B17">
        <w:t>ligament tear.</w:t>
      </w:r>
    </w:p>
    <w:p w14:paraId="7008E8B1" w14:textId="77777777" w:rsidR="00EC0328" w:rsidRDefault="00EC0328" w:rsidP="00EC0328">
      <w:pPr>
        <w:pStyle w:val="NoSpacing"/>
        <w:ind w:firstLine="720"/>
        <w:rPr>
          <w:bCs/>
        </w:rPr>
      </w:pPr>
    </w:p>
    <w:p w14:paraId="20D3B16F" w14:textId="77777777" w:rsidR="00EC0328" w:rsidRDefault="00EC0328" w:rsidP="00EC0328">
      <w:pPr>
        <w:pStyle w:val="NoSpacing"/>
        <w:ind w:firstLine="720"/>
        <w:rPr>
          <w:bCs/>
        </w:rPr>
      </w:pPr>
      <w:r>
        <w:t>***</w:t>
      </w:r>
    </w:p>
    <w:p w14:paraId="744AAEC9" w14:textId="77777777" w:rsidR="00EC0328" w:rsidRDefault="00EC0328" w:rsidP="00EC0328">
      <w:pPr>
        <w:pStyle w:val="NoSpacing"/>
        <w:ind w:firstLine="720"/>
        <w:rPr>
          <w:bCs/>
        </w:rPr>
      </w:pPr>
    </w:p>
    <w:p w14:paraId="70204F73" w14:textId="77777777" w:rsidR="00EC0328" w:rsidRPr="00A43EB0" w:rsidRDefault="00EC0328" w:rsidP="00EC0328">
      <w:pPr>
        <w:pStyle w:val="NoSpacing"/>
        <w:ind w:firstLine="720"/>
        <w:rPr>
          <w:bCs/>
        </w:rPr>
      </w:pPr>
      <w:r w:rsidRPr="00A43EB0">
        <w:t>Mr. Gilbert underwent a scapholunate ligament reconstruction, with tendon graft</w:t>
      </w:r>
    </w:p>
    <w:p w14:paraId="2294E77D" w14:textId="77777777" w:rsidR="00EC0328" w:rsidRPr="00A43EB0" w:rsidRDefault="00EC0328" w:rsidP="00EC0328">
      <w:pPr>
        <w:pStyle w:val="NoSpacing"/>
        <w:ind w:firstLine="720"/>
        <w:rPr>
          <w:bCs/>
        </w:rPr>
      </w:pPr>
      <w:r w:rsidRPr="00A43EB0">
        <w:t>and internal brace augmentation of the right wrist on September 12, 2024. The post-</w:t>
      </w:r>
    </w:p>
    <w:p w14:paraId="458171DD" w14:textId="77777777" w:rsidR="00EC0328" w:rsidRDefault="00EC0328" w:rsidP="00EC0328">
      <w:pPr>
        <w:pStyle w:val="NoSpacing"/>
        <w:ind w:firstLine="720"/>
        <w:rPr>
          <w:bCs/>
        </w:rPr>
      </w:pPr>
      <w:r w:rsidRPr="00A43EB0">
        <w:t>operative diagnosis was a complete tear of the scapholunate ligament of the right wrist.</w:t>
      </w:r>
    </w:p>
    <w:p w14:paraId="11FA01C1" w14:textId="77777777" w:rsidR="00EC0328" w:rsidRDefault="00EC0328" w:rsidP="00EC0328">
      <w:pPr>
        <w:pStyle w:val="NoSpacing"/>
        <w:ind w:firstLine="720"/>
        <w:rPr>
          <w:bCs/>
        </w:rPr>
      </w:pPr>
    </w:p>
    <w:p w14:paraId="3F22141E" w14:textId="77777777" w:rsidR="00EC0328" w:rsidRDefault="00EC0328" w:rsidP="00EC0328">
      <w:pPr>
        <w:pStyle w:val="NoSpacing"/>
        <w:ind w:firstLine="720"/>
        <w:rPr>
          <w:bCs/>
        </w:rPr>
      </w:pPr>
      <w:r>
        <w:t>***</w:t>
      </w:r>
    </w:p>
    <w:p w14:paraId="196A95EC" w14:textId="77777777" w:rsidR="00EC0328" w:rsidRDefault="00EC0328" w:rsidP="00EC0328">
      <w:pPr>
        <w:pStyle w:val="NoSpacing"/>
        <w:ind w:firstLine="720"/>
        <w:rPr>
          <w:bCs/>
        </w:rPr>
      </w:pPr>
    </w:p>
    <w:p w14:paraId="29063C1A" w14:textId="77777777" w:rsidR="00EC0328" w:rsidRPr="00596A41" w:rsidRDefault="00EC0328" w:rsidP="00EC0328">
      <w:pPr>
        <w:pStyle w:val="NoSpacing"/>
        <w:ind w:firstLine="720"/>
        <w:rPr>
          <w:bCs/>
        </w:rPr>
      </w:pPr>
      <w:r w:rsidRPr="00596A41">
        <w:t>On September 30, 2024, the claim administrator issued an order suspending Mr.</w:t>
      </w:r>
    </w:p>
    <w:p w14:paraId="6F3C8237" w14:textId="77777777" w:rsidR="00EC0328" w:rsidRPr="00596A41" w:rsidRDefault="00EC0328" w:rsidP="00EC0328">
      <w:pPr>
        <w:pStyle w:val="NoSpacing"/>
        <w:ind w:firstLine="720"/>
        <w:rPr>
          <w:bCs/>
        </w:rPr>
      </w:pPr>
      <w:r w:rsidRPr="00596A41">
        <w:t xml:space="preserve">Gilbert’s TTD benefits </w:t>
      </w:r>
      <w:proofErr w:type="gramStart"/>
      <w:r w:rsidRPr="00596A41">
        <w:t>based</w:t>
      </w:r>
      <w:proofErr w:type="gramEnd"/>
      <w:r w:rsidRPr="00596A41">
        <w:t xml:space="preserve"> upon Dr. Grady’s finding of MMI. </w:t>
      </w:r>
      <w:proofErr w:type="gramStart"/>
      <w:r w:rsidRPr="00596A41">
        <w:t>On November</w:t>
      </w:r>
      <w:proofErr w:type="gramEnd"/>
      <w:r w:rsidRPr="00596A41">
        <w:t xml:space="preserve"> 5, 2024,</w:t>
      </w:r>
    </w:p>
    <w:p w14:paraId="7F5C70D6" w14:textId="77777777" w:rsidR="00EC0328" w:rsidRPr="00596A41" w:rsidRDefault="00EC0328" w:rsidP="00EC0328">
      <w:pPr>
        <w:pStyle w:val="NoSpacing"/>
        <w:ind w:firstLine="720"/>
        <w:rPr>
          <w:bCs/>
        </w:rPr>
      </w:pPr>
      <w:proofErr w:type="gramStart"/>
      <w:r w:rsidRPr="00596A41">
        <w:t>the</w:t>
      </w:r>
      <w:proofErr w:type="gramEnd"/>
      <w:r w:rsidRPr="00596A41">
        <w:t xml:space="preserve"> claim administrator issued an order closing the claim for TTD benefits. Mr. Gilbert</w:t>
      </w:r>
    </w:p>
    <w:p w14:paraId="1861C17F" w14:textId="77777777" w:rsidR="00EC0328" w:rsidRDefault="00EC0328" w:rsidP="00EC0328">
      <w:pPr>
        <w:pStyle w:val="NoSpacing"/>
        <w:ind w:firstLine="720"/>
        <w:rPr>
          <w:bCs/>
        </w:rPr>
      </w:pPr>
      <w:r w:rsidRPr="00596A41">
        <w:t>protested this order.</w:t>
      </w:r>
    </w:p>
    <w:p w14:paraId="7948F36F" w14:textId="77777777" w:rsidR="00EC0328" w:rsidRDefault="00EC0328" w:rsidP="00EC0328">
      <w:pPr>
        <w:pStyle w:val="NoSpacing"/>
        <w:ind w:firstLine="720"/>
        <w:rPr>
          <w:bCs/>
        </w:rPr>
      </w:pPr>
    </w:p>
    <w:p w14:paraId="7EAFE268" w14:textId="77777777" w:rsidR="00EC0328" w:rsidRDefault="00EC0328" w:rsidP="00EC0328">
      <w:pPr>
        <w:pStyle w:val="NoSpacing"/>
        <w:ind w:firstLine="720"/>
        <w:rPr>
          <w:bCs/>
        </w:rPr>
      </w:pPr>
      <w:r>
        <w:t>***</w:t>
      </w:r>
    </w:p>
    <w:p w14:paraId="3C8D9E00" w14:textId="77777777" w:rsidR="00EC0328" w:rsidRDefault="00EC0328" w:rsidP="00EC0328">
      <w:pPr>
        <w:pStyle w:val="NoSpacing"/>
        <w:ind w:firstLine="720"/>
        <w:rPr>
          <w:bCs/>
        </w:rPr>
      </w:pPr>
    </w:p>
    <w:p w14:paraId="1FF34756" w14:textId="77777777" w:rsidR="00EC0328" w:rsidRPr="00433300" w:rsidRDefault="00EC0328" w:rsidP="00EC0328">
      <w:pPr>
        <w:pStyle w:val="NoSpacing"/>
        <w:ind w:firstLine="720"/>
        <w:rPr>
          <w:bCs/>
        </w:rPr>
      </w:pPr>
      <w:r w:rsidRPr="00433300">
        <w:t>Upon review, we conclude that the Board was not clearly wrong in finding that the</w:t>
      </w:r>
    </w:p>
    <w:p w14:paraId="53045FD8" w14:textId="77777777" w:rsidR="00EC0328" w:rsidRPr="00433300" w:rsidRDefault="00EC0328" w:rsidP="00EC0328">
      <w:pPr>
        <w:pStyle w:val="NoSpacing"/>
        <w:ind w:firstLine="720"/>
        <w:rPr>
          <w:bCs/>
        </w:rPr>
      </w:pPr>
      <w:r w:rsidRPr="00433300">
        <w:t>closure of the claim for TTD benefits was premature and improper. We note that TTD</w:t>
      </w:r>
    </w:p>
    <w:p w14:paraId="69DDC4BF" w14:textId="77777777" w:rsidR="00EC0328" w:rsidRPr="00433300" w:rsidRDefault="00EC0328" w:rsidP="00EC0328">
      <w:pPr>
        <w:pStyle w:val="NoSpacing"/>
        <w:ind w:firstLine="720"/>
        <w:rPr>
          <w:bCs/>
        </w:rPr>
      </w:pPr>
      <w:r w:rsidRPr="00433300">
        <w:t xml:space="preserve">payments are payable during an injured worker’s recovery period after a </w:t>
      </w:r>
      <w:proofErr w:type="gramStart"/>
      <w:r w:rsidRPr="00433300">
        <w:t>compensable</w:t>
      </w:r>
      <w:proofErr w:type="gramEnd"/>
    </w:p>
    <w:p w14:paraId="7BD1C713" w14:textId="77777777" w:rsidR="00EC0328" w:rsidRPr="00433300" w:rsidRDefault="00EC0328" w:rsidP="00EC0328">
      <w:pPr>
        <w:pStyle w:val="NoSpacing"/>
        <w:ind w:firstLine="720"/>
        <w:rPr>
          <w:bCs/>
        </w:rPr>
      </w:pPr>
      <w:r w:rsidRPr="00433300">
        <w:t>injury. Pursuant to West Virginia Code § 23-4-7a, TTD benefits are not payable once an</w:t>
      </w:r>
    </w:p>
    <w:p w14:paraId="39CF0F20" w14:textId="77777777" w:rsidR="00EC0328" w:rsidRPr="00433300" w:rsidRDefault="00EC0328" w:rsidP="00EC0328">
      <w:pPr>
        <w:pStyle w:val="NoSpacing"/>
        <w:ind w:firstLine="720"/>
        <w:rPr>
          <w:bCs/>
        </w:rPr>
      </w:pPr>
      <w:r w:rsidRPr="00433300">
        <w:t xml:space="preserve">injured worker reaches MMI, is released to return to work, or </w:t>
      </w:r>
      <w:proofErr w:type="gramStart"/>
      <w:r w:rsidRPr="00433300">
        <w:t>actually returns</w:t>
      </w:r>
      <w:proofErr w:type="gramEnd"/>
      <w:r w:rsidRPr="00433300">
        <w:t xml:space="preserve"> to work.</w:t>
      </w:r>
    </w:p>
    <w:p w14:paraId="578415C4" w14:textId="77777777" w:rsidR="00EC0328" w:rsidRDefault="00EC0328" w:rsidP="00EC0328">
      <w:pPr>
        <w:pStyle w:val="NoSpacing"/>
        <w:ind w:left="720"/>
        <w:rPr>
          <w:bCs/>
        </w:rPr>
      </w:pPr>
      <w:r w:rsidRPr="00433300">
        <w:t>Upon review, we conclude that the Board was not clearly wrong in finding that the evidence</w:t>
      </w:r>
      <w:r>
        <w:t xml:space="preserve"> </w:t>
      </w:r>
      <w:r w:rsidRPr="00433300">
        <w:t>established that the closing of the claim for TTD benefits on November 5, 2024, was</w:t>
      </w:r>
      <w:r>
        <w:t xml:space="preserve"> </w:t>
      </w:r>
      <w:r w:rsidRPr="00433300">
        <w:t>premature</w:t>
      </w:r>
      <w:r>
        <w:t>. “</w:t>
      </w:r>
    </w:p>
    <w:p w14:paraId="0143E390" w14:textId="77777777" w:rsidR="00EC0328" w:rsidRDefault="00EC0328" w:rsidP="00EC0328">
      <w:pPr>
        <w:pStyle w:val="NoSpacing"/>
        <w:ind w:left="720"/>
        <w:rPr>
          <w:bCs/>
        </w:rPr>
      </w:pPr>
    </w:p>
    <w:p w14:paraId="247DB93F" w14:textId="77777777" w:rsidR="00EC0328" w:rsidRPr="00A10B17" w:rsidRDefault="00EC0328" w:rsidP="00EC0328">
      <w:pPr>
        <w:pStyle w:val="NoSpacing"/>
        <w:rPr>
          <w:b/>
        </w:rPr>
      </w:pPr>
      <w:r>
        <w:rPr>
          <w:b/>
        </w:rPr>
        <w:t xml:space="preserve">Legal lesson learned:  Another “battle of the experts.”  Nice to read that the firefighter will have continuing coverage until he reaches MMI (Maximum Medical Improvement). </w:t>
      </w:r>
    </w:p>
    <w:p w14:paraId="00CC73E7" w14:textId="77777777" w:rsidR="00EC0328" w:rsidRDefault="00EC0328" w:rsidP="000624FD">
      <w:pPr>
        <w:pStyle w:val="NoSpacing"/>
        <w:rPr>
          <w:rFonts w:ascii="Arial Black" w:hAnsi="Arial Black"/>
          <w:b/>
          <w:sz w:val="28"/>
          <w:szCs w:val="28"/>
        </w:rPr>
      </w:pPr>
    </w:p>
    <w:p w14:paraId="1B935616" w14:textId="77777777" w:rsidR="007369A1" w:rsidRDefault="007369A1" w:rsidP="000624FD">
      <w:pPr>
        <w:pStyle w:val="NoSpacing"/>
        <w:rPr>
          <w:rFonts w:ascii="Arial Black" w:hAnsi="Arial Black"/>
          <w:b/>
          <w:sz w:val="28"/>
          <w:szCs w:val="28"/>
        </w:rPr>
      </w:pPr>
    </w:p>
    <w:p w14:paraId="6B16C6AC" w14:textId="77777777" w:rsidR="007369A1" w:rsidRDefault="007369A1" w:rsidP="000624FD">
      <w:pPr>
        <w:pStyle w:val="NoSpacing"/>
        <w:rPr>
          <w:rFonts w:ascii="Arial Black" w:hAnsi="Arial Black"/>
          <w:b/>
          <w:sz w:val="28"/>
          <w:szCs w:val="28"/>
        </w:rPr>
      </w:pPr>
    </w:p>
    <w:p w14:paraId="55973961" w14:textId="77777777" w:rsidR="007369A1" w:rsidRDefault="007369A1" w:rsidP="000624FD">
      <w:pPr>
        <w:pStyle w:val="NoSpacing"/>
        <w:rPr>
          <w:rFonts w:ascii="Arial Black" w:hAnsi="Arial Black"/>
          <w:b/>
          <w:sz w:val="28"/>
          <w:szCs w:val="28"/>
        </w:rPr>
      </w:pPr>
    </w:p>
    <w:p w14:paraId="69E06DAD" w14:textId="63D0A001" w:rsidR="00040383" w:rsidRDefault="00040383" w:rsidP="000624FD">
      <w:pPr>
        <w:pStyle w:val="NoSpacing"/>
        <w:rPr>
          <w:rFonts w:ascii="Arial Black" w:hAnsi="Arial Black"/>
          <w:b/>
          <w:sz w:val="28"/>
          <w:szCs w:val="28"/>
        </w:rPr>
      </w:pPr>
      <w:r>
        <w:rPr>
          <w:rFonts w:ascii="Arial Black" w:hAnsi="Arial Black"/>
          <w:b/>
          <w:sz w:val="28"/>
          <w:szCs w:val="28"/>
        </w:rPr>
        <w:t>6-174</w:t>
      </w:r>
    </w:p>
    <w:p w14:paraId="2FB79C9D" w14:textId="77777777" w:rsidR="00040383" w:rsidRDefault="00040383" w:rsidP="00040383">
      <w:pPr>
        <w:pStyle w:val="NoSpacing"/>
        <w:rPr>
          <w:rFonts w:ascii="Arial Black" w:hAnsi="Arial Black"/>
          <w:sz w:val="28"/>
          <w:szCs w:val="28"/>
        </w:rPr>
      </w:pPr>
      <w:r>
        <w:rPr>
          <w:rFonts w:ascii="Arial Black" w:hAnsi="Arial Black"/>
          <w:sz w:val="28"/>
          <w:szCs w:val="28"/>
        </w:rPr>
        <w:t>MD: EMT HEAD INJURY– JURY - TT 47 DAYS OFF IN 5 YRS</w:t>
      </w:r>
    </w:p>
    <w:p w14:paraId="32000FA6" w14:textId="77777777" w:rsidR="00040383" w:rsidRDefault="00040383" w:rsidP="00040383">
      <w:pPr>
        <w:pStyle w:val="NoSpacing"/>
        <w:rPr>
          <w:rFonts w:ascii="Arial Black" w:hAnsi="Arial Black"/>
          <w:sz w:val="28"/>
          <w:szCs w:val="28"/>
        </w:rPr>
      </w:pPr>
    </w:p>
    <w:p w14:paraId="47651A43" w14:textId="7679CE3B" w:rsidR="00040383" w:rsidRDefault="00040383" w:rsidP="00040383">
      <w:pPr>
        <w:pStyle w:val="NoSpacing"/>
      </w:pPr>
      <w:r>
        <w:t xml:space="preserve">On November 19, 2025, in </w:t>
      </w:r>
      <w:r w:rsidRPr="00562B80">
        <w:rPr>
          <w:u w:val="single"/>
        </w:rPr>
        <w:t>Montgomery County, Maryland v. Patricia Taylor</w:t>
      </w:r>
      <w:r>
        <w:t xml:space="preserve">, the </w:t>
      </w:r>
      <w:r w:rsidRPr="00562B80">
        <w:t>Court of Special Appeals of Maryland</w:t>
      </w:r>
      <w:r>
        <w:t xml:space="preserve"> held (4 to 0; unreported decision) that a jury properly awarded a volunteer Medic (and College instructor) temporary total disability for 47 days missed from work because of migraine headaches </w:t>
      </w:r>
      <w:r w:rsidRPr="001D7936">
        <w:t>between 2017-2021</w:t>
      </w:r>
      <w:r>
        <w:t>.  THE COURT WROTE: “</w:t>
      </w:r>
      <w:r w:rsidRPr="001D7936">
        <w:t>On August 15, 2016, Appellee Patricia Taylor, a Montgomery County EMT, sustained a head injury after she was struck by a heavy backboard during a training exercise</w:t>
      </w:r>
      <w:r>
        <w:t xml:space="preserve">…. [She] </w:t>
      </w:r>
      <w:r w:rsidRPr="009D25FA">
        <w:t xml:space="preserve">appealed the denial of her claim for temporary total disability </w:t>
      </w:r>
      <w:r w:rsidRPr="009D25FA">
        <w:lastRenderedPageBreak/>
        <w:t>benefits by the Maryland Workers' Compensation Commission to the Circuit Court for Montgomery County. Appellee elected a jury trial, and following the presentation of evidence and deliberations, the jury determined that she was temporarily totally disabled on the dates specified in her claim</w:t>
      </w:r>
      <w:r>
        <w:t xml:space="preserve">…. </w:t>
      </w:r>
      <w:r w:rsidRPr="00732DE9">
        <w:t> </w:t>
      </w:r>
      <w:r w:rsidRPr="00C81949">
        <w:t>Dr. Jeffrey Gaber, a board-certified internal medicine doctor</w:t>
      </w:r>
      <w:r>
        <w:t xml:space="preserve"> … </w:t>
      </w:r>
      <w:r w:rsidRPr="00732DE9">
        <w:t xml:space="preserve">testified that based on his own evaluation and in part, on a review of medical records from Appellee's internal neurologist and the county's independent medical examiner, that the accident that Appellee suffered can </w:t>
      </w:r>
      <w:r>
        <w:t>‘</w:t>
      </w:r>
      <w:r w:rsidRPr="00732DE9">
        <w:t>absolutely</w:t>
      </w:r>
      <w:r>
        <w:t>’</w:t>
      </w:r>
      <w:r w:rsidRPr="00732DE9">
        <w:t xml:space="preserve"> cause the </w:t>
      </w:r>
      <w:r>
        <w:t>‘</w:t>
      </w:r>
      <w:r w:rsidRPr="00732DE9">
        <w:t>severe</w:t>
      </w:r>
      <w:r>
        <w:t>’</w:t>
      </w:r>
      <w:r w:rsidRPr="00732DE9">
        <w:t xml:space="preserve"> post-concussive headaches that Appellee experienced.</w:t>
      </w:r>
      <w:r>
        <w:t>”</w:t>
      </w:r>
      <w:r w:rsidR="00A94598">
        <w:t xml:space="preserve"> </w:t>
      </w:r>
      <w:hyperlink r:id="rId995" w:history="1">
        <w:r w:rsidR="00A94598" w:rsidRPr="00824C83">
          <w:rPr>
            <w:rStyle w:val="Hyperlink"/>
          </w:rPr>
          <w:t>https://thedailyrecord.com/files/2025/12/1167s24.pdf</w:t>
        </w:r>
      </w:hyperlink>
      <w:r w:rsidR="00A94598">
        <w:t xml:space="preserve"> </w:t>
      </w:r>
    </w:p>
    <w:p w14:paraId="0CAD56B5" w14:textId="77777777" w:rsidR="00040383" w:rsidRDefault="00040383" w:rsidP="00040383">
      <w:pPr>
        <w:pStyle w:val="NoSpacing"/>
      </w:pPr>
    </w:p>
    <w:p w14:paraId="70E4137A" w14:textId="77777777" w:rsidR="00040383" w:rsidRPr="00D070F3" w:rsidRDefault="00040383" w:rsidP="00040383">
      <w:pPr>
        <w:pStyle w:val="NoSpacing"/>
      </w:pPr>
      <w:r>
        <w:t xml:space="preserve">THE COURT HELD:  </w:t>
      </w:r>
    </w:p>
    <w:p w14:paraId="78CC1239" w14:textId="77777777" w:rsidR="00040383" w:rsidRDefault="00040383" w:rsidP="00040383">
      <w:pPr>
        <w:pStyle w:val="NoSpacing"/>
      </w:pPr>
    </w:p>
    <w:p w14:paraId="47E40BEB" w14:textId="77777777" w:rsidR="00040383" w:rsidRDefault="00040383" w:rsidP="00040383">
      <w:pPr>
        <w:pStyle w:val="NoSpacing"/>
        <w:ind w:left="720"/>
      </w:pPr>
      <w:r>
        <w:t>“</w:t>
      </w:r>
      <w:r w:rsidRPr="00101E58">
        <w:t xml:space="preserve">Appellee presented two witnesses, Dr. Jeffrey Gaber, a board-certified internal medicine doctor, who testified by video deposition and herself. Dr. Gaber opined that, based on his training, experience, medical evaluation, and review of Appellee's medical records, Appellee sustained a concussion </w:t>
      </w:r>
      <w:proofErr w:type="gramStart"/>
      <w:r w:rsidRPr="00101E58">
        <w:t>as a result of</w:t>
      </w:r>
      <w:proofErr w:type="gramEnd"/>
      <w:r w:rsidRPr="00101E58">
        <w:t xml:space="preserve"> a work injury on August 15, 2016. Dr. Gaber further opined that Appellee suffers from post-concussive syndrome because of the accident and that she was unable to work on days when the symptoms were severe</w:t>
      </w:r>
      <w:r>
        <w:t xml:space="preserve">…. </w:t>
      </w:r>
    </w:p>
    <w:p w14:paraId="12AA0FEA" w14:textId="77777777" w:rsidR="00040383" w:rsidRDefault="00040383" w:rsidP="00040383">
      <w:pPr>
        <w:pStyle w:val="NoSpacing"/>
        <w:ind w:left="720" w:firstLine="60"/>
      </w:pPr>
      <w:r w:rsidRPr="00101E58">
        <w:t>Dr. Gaber explained the significance of EMT Taylor's post concussive headaches and their impact on her ability to serve as a paramedic and as a full-time teacher in the education and training department at Johns Hopkins University.</w:t>
      </w:r>
      <w:r>
        <w:t>”</w:t>
      </w:r>
    </w:p>
    <w:p w14:paraId="213139CF" w14:textId="77777777" w:rsidR="00040383" w:rsidRDefault="00040383" w:rsidP="00040383">
      <w:pPr>
        <w:pStyle w:val="NoSpacing"/>
        <w:ind w:left="720" w:firstLine="60"/>
      </w:pPr>
    </w:p>
    <w:p w14:paraId="78837DB5" w14:textId="77777777" w:rsidR="00040383" w:rsidRPr="00567053" w:rsidRDefault="00040383" w:rsidP="00040383">
      <w:pPr>
        <w:pStyle w:val="NoSpacing"/>
        <w:ind w:firstLine="60"/>
        <w:rPr>
          <w:b/>
          <w:bCs/>
        </w:rPr>
      </w:pPr>
      <w:r>
        <w:rPr>
          <w:b/>
        </w:rPr>
        <w:t xml:space="preserve">Legal lesson learned:  Maryland </w:t>
      </w:r>
      <w:r>
        <w:rPr>
          <w:b/>
          <w:bCs/>
        </w:rPr>
        <w:t xml:space="preserve">has unique </w:t>
      </w:r>
      <w:r>
        <w:rPr>
          <w:b/>
        </w:rPr>
        <w:t>jury trial</w:t>
      </w:r>
      <w:r>
        <w:rPr>
          <w:b/>
          <w:bCs/>
        </w:rPr>
        <w:t xml:space="preserve">s </w:t>
      </w:r>
      <w:r>
        <w:rPr>
          <w:b/>
        </w:rPr>
        <w:t>on worker’s comp claims</w:t>
      </w:r>
      <w:r>
        <w:rPr>
          <w:b/>
          <w:bCs/>
        </w:rPr>
        <w:t xml:space="preserve">. </w:t>
      </w:r>
    </w:p>
    <w:p w14:paraId="677A7BD7" w14:textId="77777777" w:rsidR="00040383" w:rsidRDefault="00040383" w:rsidP="00040383">
      <w:pPr>
        <w:rPr>
          <w:b/>
        </w:rPr>
      </w:pPr>
    </w:p>
    <w:p w14:paraId="2182BDC9" w14:textId="77777777" w:rsidR="00040383" w:rsidRDefault="00040383" w:rsidP="000624FD">
      <w:pPr>
        <w:pStyle w:val="NoSpacing"/>
        <w:rPr>
          <w:rFonts w:ascii="Arial Black" w:hAnsi="Arial Black"/>
          <w:b/>
          <w:sz w:val="28"/>
          <w:szCs w:val="28"/>
        </w:rPr>
      </w:pPr>
    </w:p>
    <w:p w14:paraId="631B1D63" w14:textId="77777777" w:rsidR="00040383" w:rsidRDefault="00040383" w:rsidP="000624FD">
      <w:pPr>
        <w:pStyle w:val="NoSpacing"/>
        <w:rPr>
          <w:rFonts w:ascii="Arial Black" w:hAnsi="Arial Black"/>
          <w:b/>
          <w:sz w:val="28"/>
          <w:szCs w:val="28"/>
        </w:rPr>
      </w:pPr>
    </w:p>
    <w:p w14:paraId="46E247D5" w14:textId="61DC7FAE" w:rsidR="00DE3247" w:rsidRDefault="00040383" w:rsidP="000624FD">
      <w:pPr>
        <w:pStyle w:val="NoSpacing"/>
        <w:rPr>
          <w:rFonts w:ascii="Arial Black" w:hAnsi="Arial Black"/>
          <w:b/>
          <w:sz w:val="28"/>
          <w:szCs w:val="28"/>
        </w:rPr>
      </w:pPr>
      <w:r>
        <w:rPr>
          <w:rFonts w:ascii="Arial Black" w:hAnsi="Arial Black"/>
          <w:b/>
          <w:sz w:val="28"/>
          <w:szCs w:val="28"/>
        </w:rPr>
        <w:t>6-173</w:t>
      </w:r>
    </w:p>
    <w:p w14:paraId="2961EA3B" w14:textId="77777777" w:rsidR="00190EAB" w:rsidRDefault="00190EAB" w:rsidP="000624FD">
      <w:pPr>
        <w:pStyle w:val="NoSpacing"/>
        <w:rPr>
          <w:rFonts w:ascii="Arial Black" w:hAnsi="Arial Black"/>
          <w:b/>
          <w:sz w:val="28"/>
          <w:szCs w:val="28"/>
        </w:rPr>
      </w:pPr>
    </w:p>
    <w:p w14:paraId="69F6602F" w14:textId="77777777" w:rsidR="00190EAB" w:rsidRDefault="00190EAB" w:rsidP="00190EAB">
      <w:pPr>
        <w:pStyle w:val="NoSpacing"/>
        <w:rPr>
          <w:rFonts w:ascii="Arial Black" w:hAnsi="Arial Black"/>
          <w:sz w:val="28"/>
          <w:szCs w:val="28"/>
        </w:rPr>
      </w:pPr>
      <w:r>
        <w:rPr>
          <w:rFonts w:ascii="Arial Black" w:hAnsi="Arial Black"/>
          <w:sz w:val="28"/>
          <w:szCs w:val="28"/>
        </w:rPr>
        <w:t>CA: PENSION “SPIKING” – STANDBY PAY NOT COUNTED</w:t>
      </w:r>
    </w:p>
    <w:p w14:paraId="2BD4DC38" w14:textId="77777777" w:rsidR="00190EAB" w:rsidRDefault="00190EAB" w:rsidP="00190EAB">
      <w:pPr>
        <w:pStyle w:val="NoSpacing"/>
        <w:rPr>
          <w:rFonts w:ascii="Arial Black" w:hAnsi="Arial Black"/>
          <w:sz w:val="28"/>
          <w:szCs w:val="28"/>
        </w:rPr>
      </w:pPr>
    </w:p>
    <w:p w14:paraId="20110E76" w14:textId="77777777" w:rsidR="00190EAB" w:rsidRDefault="00190EAB" w:rsidP="00190EAB">
      <w:pPr>
        <w:pStyle w:val="NoSpacing"/>
      </w:pPr>
      <w:r>
        <w:t xml:space="preserve">On November 13, 2025, in </w:t>
      </w:r>
      <w:r w:rsidRPr="00FC0177">
        <w:rPr>
          <w:u w:val="single"/>
        </w:rPr>
        <w:t>Ventura County Professional Firefighters’ Association, et al. v. Ventura County Employees’ Retirement Association, et al</w:t>
      </w:r>
      <w:r>
        <w:t xml:space="preserve">., the </w:t>
      </w:r>
      <w:r w:rsidRPr="0038538F">
        <w:t>California Court of Appeals, Second District, Sixth Division</w:t>
      </w:r>
      <w:r>
        <w:t xml:space="preserve"> held (3 to 0; unpublished opinion) that pension Board since 2021 stop considering “standby pay” (where they may be called back work in an emergency) in employee pension calculation of their “annual average compensation.”  The state pension law was amended in 2013 to prevent “spiking” – “additional services rendered outside of normal working hours” no longer in pension calculation.  Three firefighter Heavy Equipment Operators, and two firefighter Aviation Managers were hired prior to the 2021 change, and these “legacy” personnel and their union </w:t>
      </w:r>
      <w:r w:rsidRPr="00224E79">
        <w:t>petitioned for a writ of mandamus in the trial court</w:t>
      </w:r>
      <w:r>
        <w:t>. THE COURT WROTE:  “PEPRA revised laws governing pension plans and amended provisions of CERL in response to a rise in ‘spiking’ and other practices used to increase retirement benefits during the representative period…. Among the types of compensation excluded are ‘[p]</w:t>
      </w:r>
      <w:proofErr w:type="spellStart"/>
      <w:r>
        <w:t>ayments</w:t>
      </w:r>
      <w:proofErr w:type="spellEnd"/>
      <w:r>
        <w:t xml:space="preserve"> for additional services rendered outside of normal working hours, whether paid in a lump sum or otherwise.’ (§ 31461, subd. (b)(3).) … T</w:t>
      </w:r>
      <w:r w:rsidRPr="00434C5F">
        <w:t>ime on standby, it must follow, is not</w:t>
      </w:r>
      <w:r>
        <w:t xml:space="preserve"> time appellants are ‘actually’ working under Article 10, but time they agree the </w:t>
      </w:r>
      <w:proofErr w:type="gramStart"/>
      <w:r>
        <w:t>District</w:t>
      </w:r>
      <w:proofErr w:type="gramEnd"/>
      <w:r>
        <w:t xml:space="preserve"> may call them back to work an unspecified number of overtime hours under Article 11…. </w:t>
      </w:r>
      <w:r w:rsidRPr="00E55F32">
        <w:t>Employees</w:t>
      </w:r>
      <w:r>
        <w:t xml:space="preserve"> </w:t>
      </w:r>
      <w:r w:rsidRPr="00E55F32">
        <w:t xml:space="preserve">are paid one quarter of their hourly wage if placed on </w:t>
      </w:r>
      <w:proofErr w:type="gramStart"/>
      <w:r w:rsidRPr="00E55F32">
        <w:t xml:space="preserve">standby </w:t>
      </w:r>
      <w:r>
        <w:t>status</w:t>
      </w:r>
      <w:proofErr w:type="gramEnd"/>
      <w:r>
        <w:t xml:space="preserve"> </w:t>
      </w:r>
      <w:r w:rsidRPr="00E55F32">
        <w:t>by their Duty Chief. If called back to work, they are paid</w:t>
      </w:r>
      <w:r>
        <w:t xml:space="preserve"> </w:t>
      </w:r>
      <w:r w:rsidRPr="00E55F32">
        <w:t>at a predetermined hourly overtime rate</w:t>
      </w:r>
      <w:r>
        <w:t xml:space="preserve">…. The [Pension] Board ratified revised pay codes in May of 2021…. The discretionary nature of standby hours is what requires us to conclude they are not hours ‘ordinarily performed…. We read these provisions as requiring appellants to accept standby </w:t>
      </w:r>
      <w:r w:rsidRPr="001A5C92">
        <w:rPr>
          <w:i/>
          <w:iCs/>
        </w:rPr>
        <w:t xml:space="preserve">if </w:t>
      </w:r>
      <w:r>
        <w:t>assigned and not as expanding their normal work hours. VCERA and the trial court</w:t>
      </w:r>
    </w:p>
    <w:p w14:paraId="49648E99" w14:textId="77777777" w:rsidR="00190EAB" w:rsidRDefault="00190EAB" w:rsidP="00190EAB">
      <w:pPr>
        <w:pStyle w:val="NoSpacing"/>
      </w:pPr>
      <w:r>
        <w:t xml:space="preserve">correctly considered standby—at least as defined in the MOA and Side Letter—as ‘additional services rendered outside of normal working hours.’ (§ 31461, subd. (b)(3).) “ </w:t>
      </w:r>
      <w:hyperlink r:id="rId996" w:history="1">
        <w:r w:rsidRPr="00583A8C">
          <w:rPr>
            <w:rStyle w:val="Hyperlink"/>
          </w:rPr>
          <w:t>https://www4.courts.ca.gov/opinions/nonpub/B338919.PDF</w:t>
        </w:r>
      </w:hyperlink>
      <w:r>
        <w:t xml:space="preserve"> </w:t>
      </w:r>
    </w:p>
    <w:p w14:paraId="31BF533B" w14:textId="77777777" w:rsidR="00190EAB" w:rsidRDefault="00190EAB" w:rsidP="00190EAB">
      <w:pPr>
        <w:pStyle w:val="NoSpacing"/>
      </w:pPr>
    </w:p>
    <w:p w14:paraId="13E8DB7F" w14:textId="77777777" w:rsidR="00190EAB" w:rsidRDefault="00190EAB" w:rsidP="00190EAB">
      <w:pPr>
        <w:pStyle w:val="NoSpacing"/>
      </w:pPr>
      <w:r>
        <w:t>THE COURT HELD:</w:t>
      </w:r>
    </w:p>
    <w:p w14:paraId="6739618A" w14:textId="77777777" w:rsidR="00190EAB" w:rsidRDefault="00190EAB" w:rsidP="00190EAB">
      <w:pPr>
        <w:pStyle w:val="NoSpacing"/>
      </w:pPr>
    </w:p>
    <w:p w14:paraId="1F5FD323" w14:textId="77777777" w:rsidR="00190EAB" w:rsidRDefault="00190EAB" w:rsidP="00190EAB">
      <w:pPr>
        <w:pStyle w:val="NoSpacing"/>
        <w:ind w:left="720"/>
      </w:pPr>
      <w:r>
        <w:lastRenderedPageBreak/>
        <w:t xml:space="preserve">“VCPFA’s co-appellants are five employees of the </w:t>
      </w:r>
      <w:proofErr w:type="gramStart"/>
      <w:r>
        <w:t>District</w:t>
      </w:r>
      <w:proofErr w:type="gramEnd"/>
      <w:r>
        <w:t>: aviation managers Melvin Lovo and Jeffrey Seabrook, and heavy equipment operators Scott Price, Christopher Beery, and Ryan Winchester. They contribute a portion of every paycheck to VCERA to fund their pension benefits. CERL governs the calculation of VCERA members’ retirement allowances based on a formula comprised of an employee’s: (1) age at retirement; (2) years of service; and (3) final compensation.</w:t>
      </w:r>
    </w:p>
    <w:p w14:paraId="3A339DB0" w14:textId="77777777" w:rsidR="00190EAB" w:rsidRDefault="00190EAB" w:rsidP="00190EAB">
      <w:pPr>
        <w:pStyle w:val="NoSpacing"/>
        <w:ind w:left="720"/>
      </w:pPr>
    </w:p>
    <w:p w14:paraId="693536B6" w14:textId="77777777" w:rsidR="00190EAB" w:rsidRDefault="00190EAB" w:rsidP="00190EAB">
      <w:pPr>
        <w:pStyle w:val="NoSpacing"/>
        <w:ind w:left="720"/>
      </w:pPr>
      <w:r>
        <w:t>***</w:t>
      </w:r>
    </w:p>
    <w:p w14:paraId="3980D2C9" w14:textId="77777777" w:rsidR="00190EAB" w:rsidRDefault="00190EAB" w:rsidP="00190EAB">
      <w:pPr>
        <w:pStyle w:val="NoSpacing"/>
        <w:ind w:left="720"/>
      </w:pPr>
      <w:r>
        <w:t>Appellants are ‘legacy’ members of VCERA because they were employed by the county prior to the enactment of PEPRA in 2013…. EPRA revised laws governing pension plans and amended provisions of CERL in response to a rise in ‘spiking’ and other practices used to increase retirement benefits during the representative period.</w:t>
      </w:r>
    </w:p>
    <w:p w14:paraId="1E234DBA" w14:textId="77777777" w:rsidR="00190EAB" w:rsidRDefault="00190EAB" w:rsidP="00190EAB">
      <w:pPr>
        <w:pStyle w:val="NoSpacing"/>
        <w:ind w:left="720"/>
      </w:pPr>
    </w:p>
    <w:p w14:paraId="4B6990D7" w14:textId="77777777" w:rsidR="00190EAB" w:rsidRDefault="00190EAB" w:rsidP="00190EAB">
      <w:pPr>
        <w:pStyle w:val="NoSpacing"/>
        <w:ind w:left="720"/>
      </w:pPr>
      <w:r>
        <w:t>***</w:t>
      </w:r>
    </w:p>
    <w:p w14:paraId="2BE671C2" w14:textId="77777777" w:rsidR="00190EAB" w:rsidRDefault="00190EAB" w:rsidP="00190EAB">
      <w:pPr>
        <w:pStyle w:val="NoSpacing"/>
        <w:ind w:left="720"/>
      </w:pPr>
    </w:p>
    <w:p w14:paraId="42A6D74C" w14:textId="77777777" w:rsidR="00190EAB" w:rsidRDefault="00190EAB" w:rsidP="00190EAB">
      <w:pPr>
        <w:pStyle w:val="NoSpacing"/>
        <w:ind w:left="720"/>
      </w:pPr>
      <w:r>
        <w:t xml:space="preserve">The MOA does not differentiate between different types of standby. Appellants assert that in practice there are two types: (1) ‘ad hoc’ standby worked at the Duty Chief’s discretion when emergency conditions were forecasted; and (2) ‘scheduled’ standby that is ‘assigned, regular, and reoccurring, mandatory, and part of an employee’s normal working hours.” They allege the </w:t>
      </w:r>
      <w:proofErr w:type="gramStart"/>
      <w:r>
        <w:t>District</w:t>
      </w:r>
      <w:proofErr w:type="gramEnd"/>
      <w:r>
        <w:t xml:space="preserve"> requires them ‘to be on standby for a certain number of days each month as part of their normal </w:t>
      </w:r>
      <w:proofErr w:type="gramStart"/>
      <w:r>
        <w:t>schedules’</w:t>
      </w:r>
      <w:proofErr w:type="gramEnd"/>
      <w:r>
        <w:t xml:space="preserve"> because they have specialized skills. ‘Heavy Equipment Operator[s]’ work ‘a minimum’ of two days per week and seven days per three-week period. ‘ Aviation Manager[s]/ work an additional</w:t>
      </w:r>
    </w:p>
    <w:p w14:paraId="159E64D1" w14:textId="77777777" w:rsidR="00190EAB" w:rsidRDefault="00190EAB" w:rsidP="00190EAB">
      <w:pPr>
        <w:pStyle w:val="NoSpacing"/>
        <w:ind w:left="720"/>
      </w:pPr>
      <w:r>
        <w:t>eight hours of standby after each shift.”</w:t>
      </w:r>
    </w:p>
    <w:p w14:paraId="788E501B" w14:textId="77777777" w:rsidR="00190EAB" w:rsidRDefault="00190EAB" w:rsidP="00190EAB">
      <w:pPr>
        <w:pStyle w:val="NoSpacing"/>
        <w:ind w:firstLine="720"/>
      </w:pPr>
    </w:p>
    <w:p w14:paraId="06A42621" w14:textId="77777777" w:rsidR="00190EAB" w:rsidRPr="00CD2147" w:rsidRDefault="00190EAB" w:rsidP="00190EAB">
      <w:pPr>
        <w:pStyle w:val="NoSpacing"/>
        <w:rPr>
          <w:b/>
          <w:bCs/>
        </w:rPr>
      </w:pPr>
      <w:r>
        <w:rPr>
          <w:b/>
        </w:rPr>
        <w:t xml:space="preserve">Legal lesson learned: California law was amended in 2013 because of pension “spiking” – </w:t>
      </w:r>
      <w:r w:rsidRPr="00CD2147">
        <w:rPr>
          <w:b/>
        </w:rPr>
        <w:t>“additional services rendered outside of normal working hours” not in calculation of average annual compensation.</w:t>
      </w:r>
    </w:p>
    <w:p w14:paraId="04100214" w14:textId="77777777" w:rsidR="00190EAB" w:rsidRDefault="00190EAB" w:rsidP="000624FD">
      <w:pPr>
        <w:pStyle w:val="NoSpacing"/>
        <w:rPr>
          <w:rFonts w:ascii="Arial Black" w:hAnsi="Arial Black"/>
          <w:b/>
          <w:sz w:val="28"/>
          <w:szCs w:val="28"/>
        </w:rPr>
      </w:pPr>
    </w:p>
    <w:p w14:paraId="4185E707" w14:textId="77777777" w:rsidR="00190EAB" w:rsidRDefault="00190EAB" w:rsidP="000624FD">
      <w:pPr>
        <w:pStyle w:val="NoSpacing"/>
        <w:rPr>
          <w:rFonts w:ascii="Arial Black" w:hAnsi="Arial Black"/>
          <w:b/>
          <w:sz w:val="28"/>
          <w:szCs w:val="28"/>
        </w:rPr>
      </w:pPr>
    </w:p>
    <w:p w14:paraId="2513789F" w14:textId="77777777" w:rsidR="00190EAB" w:rsidRDefault="00190EAB" w:rsidP="000624FD">
      <w:pPr>
        <w:pStyle w:val="NoSpacing"/>
        <w:rPr>
          <w:rFonts w:ascii="Arial Black" w:hAnsi="Arial Black"/>
          <w:b/>
          <w:sz w:val="28"/>
          <w:szCs w:val="28"/>
        </w:rPr>
      </w:pPr>
    </w:p>
    <w:p w14:paraId="6A9ED24A" w14:textId="77777777" w:rsidR="00190EAB" w:rsidRDefault="00190EAB" w:rsidP="000624FD">
      <w:pPr>
        <w:pStyle w:val="NoSpacing"/>
        <w:rPr>
          <w:rFonts w:ascii="Arial Black" w:hAnsi="Arial Black"/>
          <w:b/>
          <w:sz w:val="28"/>
          <w:szCs w:val="28"/>
        </w:rPr>
      </w:pPr>
    </w:p>
    <w:p w14:paraId="0EFFD7B3" w14:textId="77777777" w:rsidR="00040383" w:rsidRDefault="00040383" w:rsidP="000624FD">
      <w:pPr>
        <w:pStyle w:val="NoSpacing"/>
        <w:rPr>
          <w:rFonts w:ascii="Arial Black" w:hAnsi="Arial Black"/>
          <w:b/>
          <w:sz w:val="28"/>
          <w:szCs w:val="28"/>
        </w:rPr>
      </w:pPr>
    </w:p>
    <w:p w14:paraId="4D41564F" w14:textId="3EF1D647" w:rsidR="00DE3247" w:rsidRDefault="005646A1" w:rsidP="000624FD">
      <w:pPr>
        <w:pStyle w:val="NoSpacing"/>
        <w:rPr>
          <w:rFonts w:ascii="Arial Black" w:hAnsi="Arial Black"/>
          <w:b/>
          <w:sz w:val="28"/>
          <w:szCs w:val="28"/>
        </w:rPr>
      </w:pPr>
      <w:r>
        <w:rPr>
          <w:rFonts w:ascii="Arial Black" w:hAnsi="Arial Black"/>
          <w:b/>
          <w:sz w:val="28"/>
          <w:szCs w:val="28"/>
        </w:rPr>
        <w:t>6-17</w:t>
      </w:r>
      <w:r w:rsidR="002A0697">
        <w:rPr>
          <w:rFonts w:ascii="Arial Black" w:hAnsi="Arial Black"/>
          <w:b/>
          <w:sz w:val="28"/>
          <w:szCs w:val="28"/>
        </w:rPr>
        <w:t>2</w:t>
      </w:r>
    </w:p>
    <w:p w14:paraId="186CA53D" w14:textId="77777777" w:rsidR="005646A1" w:rsidRDefault="005646A1" w:rsidP="000624FD">
      <w:pPr>
        <w:pStyle w:val="NoSpacing"/>
        <w:rPr>
          <w:rFonts w:ascii="Arial Black" w:hAnsi="Arial Black"/>
          <w:b/>
          <w:sz w:val="28"/>
          <w:szCs w:val="28"/>
        </w:rPr>
      </w:pPr>
    </w:p>
    <w:p w14:paraId="07CE58F2" w14:textId="3F774473" w:rsidR="00FC5BB1" w:rsidRPr="00244855" w:rsidRDefault="00FC5BB1" w:rsidP="00FC5BB1">
      <w:pPr>
        <w:pStyle w:val="NoSpacing"/>
        <w:rPr>
          <w:rFonts w:ascii="Arial Black" w:hAnsi="Arial Black"/>
          <w:sz w:val="28"/>
          <w:szCs w:val="28"/>
        </w:rPr>
      </w:pPr>
      <w:r>
        <w:rPr>
          <w:rFonts w:ascii="Arial Black" w:hAnsi="Arial Black"/>
          <w:sz w:val="28"/>
          <w:szCs w:val="28"/>
        </w:rPr>
        <w:t xml:space="preserve">AZ: BRAIN CANCER – WORK COMP </w:t>
      </w:r>
      <w:r w:rsidR="005C48CA">
        <w:rPr>
          <w:rFonts w:ascii="Arial Black" w:hAnsi="Arial Black"/>
          <w:sz w:val="28"/>
          <w:szCs w:val="28"/>
        </w:rPr>
        <w:t>COVERAGE</w:t>
      </w:r>
    </w:p>
    <w:p w14:paraId="1236FD41" w14:textId="77777777" w:rsidR="00FC5BB1" w:rsidRDefault="00FC5BB1" w:rsidP="00FC5BB1">
      <w:pPr>
        <w:pStyle w:val="NoSpacing"/>
      </w:pPr>
    </w:p>
    <w:p w14:paraId="629E6913" w14:textId="77777777" w:rsidR="00FC5BB1" w:rsidRPr="009327ED" w:rsidRDefault="00FC5BB1" w:rsidP="00FC5BB1">
      <w:pPr>
        <w:pStyle w:val="NoSpacing"/>
      </w:pPr>
      <w:r>
        <w:t xml:space="preserve">On Oct. 31, 2025, in </w:t>
      </w:r>
      <w:r w:rsidRPr="008559F1">
        <w:rPr>
          <w:u w:val="single"/>
        </w:rPr>
        <w:t>Robert Vande Krol v. The Industrial Commission of Arizona, et al</w:t>
      </w:r>
      <w:r>
        <w:t xml:space="preserve">., the </w:t>
      </w:r>
      <w:r w:rsidRPr="009327ED">
        <w:t>Court of Appeals of Arizona, First Division</w:t>
      </w:r>
      <w:r>
        <w:t xml:space="preserve"> held (3 to 1, unpublished opinion) that the medically retired firefighter from Superstition Fire Department was entitled to workers comp. by showing that </w:t>
      </w:r>
      <w:r w:rsidRPr="00C23189">
        <w:t>carcinogen</w:t>
      </w:r>
      <w:r>
        <w:t>s to which he was exposed could lead to brain cancer in general – no need to prove cause his specific type of cancer (</w:t>
      </w:r>
      <w:r w:rsidRPr="00EC6245">
        <w:t>oligodendroglioma,</w:t>
      </w:r>
      <w:r>
        <w:t xml:space="preserve">). In August 2000 as part of annual physical, a tumor </w:t>
      </w:r>
      <w:proofErr w:type="gramStart"/>
      <w:r>
        <w:t>was located in</w:t>
      </w:r>
      <w:proofErr w:type="gramEnd"/>
      <w:r>
        <w:t xml:space="preserve"> brain of this 18-year firefighter. </w:t>
      </w:r>
      <w:r w:rsidRPr="00EC6245">
        <w:t xml:space="preserve">In October 2020, Vande Krol underwent brain surgery (a right craniotomy), which successfully removed the tumor. Thereafter, </w:t>
      </w:r>
      <w:r>
        <w:t xml:space="preserve">he </w:t>
      </w:r>
      <w:r w:rsidRPr="00EC6245">
        <w:t>was diagnosed with oligodendroglioma, a rare form of brain cancer. After surgery, Vande Krol lost peripheral vision in his left eye, and he now suffers cognitive impairment, vertigo, headaches, and muscle weakness</w:t>
      </w:r>
      <w:r>
        <w:t xml:space="preserve">, and was required to take medical </w:t>
      </w:r>
      <w:r w:rsidRPr="00EC6245">
        <w:t xml:space="preserve"> retirement. </w:t>
      </w:r>
      <w:r>
        <w:t xml:space="preserve"> </w:t>
      </w:r>
      <w:hyperlink r:id="rId997" w:history="1">
        <w:r w:rsidRPr="00822BB2">
          <w:rPr>
            <w:rStyle w:val="Hyperlink"/>
          </w:rPr>
          <w:t>https://public.fastcase.com/jaEE2PXzRXmZ99jOLMt1IiCZZZpteOfluZOkYG3wMviTSniVMo5h4kc4WRTpe6V8Jg8IM7MTKJ5SfgRKhZGl2tVI6P4U%2BnkSaEwO2dzM8Rk%3D?utm_medium=email&amp;_hsenc=p2ANqtz--UPexxOwqhUZNftyKJhb3R-qXmsyD2qvqkoufxMeh6uEfEbZVRIKhd7hzivD-PUaEhi0YeikRdDbC9teuqS6ORoDRaLQ&amp;_hsmi=226712652&amp;utm_content=226712652&amp;utm_source=hs_email</w:t>
        </w:r>
      </w:hyperlink>
      <w:r>
        <w:t xml:space="preserve"> </w:t>
      </w:r>
    </w:p>
    <w:p w14:paraId="7231DC29" w14:textId="77777777" w:rsidR="00FC5BB1" w:rsidRDefault="00FC5BB1" w:rsidP="00FC5BB1">
      <w:pPr>
        <w:pStyle w:val="NoSpacing"/>
      </w:pPr>
    </w:p>
    <w:p w14:paraId="7DD7FE10" w14:textId="77777777" w:rsidR="00FC5BB1" w:rsidRDefault="00FC5BB1" w:rsidP="00FC5BB1">
      <w:pPr>
        <w:pStyle w:val="NoSpacing"/>
      </w:pPr>
      <w:r>
        <w:t>THE COURT HELD:</w:t>
      </w:r>
    </w:p>
    <w:p w14:paraId="623A9EAD" w14:textId="77777777" w:rsidR="00FC5BB1" w:rsidRDefault="00FC5BB1" w:rsidP="00FC5BB1">
      <w:pPr>
        <w:pStyle w:val="NoSpacing"/>
        <w:ind w:left="720"/>
      </w:pPr>
    </w:p>
    <w:p w14:paraId="7DE63E37" w14:textId="77777777" w:rsidR="00FC5BB1" w:rsidRDefault="00FC5BB1" w:rsidP="00FC5BB1">
      <w:pPr>
        <w:pStyle w:val="NoSpacing"/>
        <w:ind w:left="720"/>
      </w:pPr>
      <w:r>
        <w:lastRenderedPageBreak/>
        <w:t>“V</w:t>
      </w:r>
      <w:r w:rsidRPr="00A43411">
        <w:t>ande Krol filed a workers' compensation claim with Superstition's insurer, Benchmark Insurance Company ("Benchmark"), stating that his brain cancer was a covered occupational disease. Benchmark denied the claim, so Vande Krol requested a hearing before an ALJ</w:t>
      </w:r>
      <w:r>
        <w:t>.</w:t>
      </w:r>
    </w:p>
    <w:p w14:paraId="04EDCF5A" w14:textId="77777777" w:rsidR="00FC5BB1" w:rsidRDefault="00FC5BB1" w:rsidP="00FC5BB1">
      <w:pPr>
        <w:pStyle w:val="NoSpacing"/>
        <w:ind w:left="720"/>
      </w:pPr>
    </w:p>
    <w:p w14:paraId="32385D7A" w14:textId="77777777" w:rsidR="00FC5BB1" w:rsidRDefault="00FC5BB1" w:rsidP="00FC5BB1">
      <w:pPr>
        <w:pStyle w:val="NoSpacing"/>
        <w:ind w:left="720"/>
      </w:pPr>
      <w:r>
        <w:t>***</w:t>
      </w:r>
    </w:p>
    <w:p w14:paraId="3766EA7C" w14:textId="77777777" w:rsidR="00FC5BB1" w:rsidRDefault="00FC5BB1" w:rsidP="00FC5BB1">
      <w:pPr>
        <w:pStyle w:val="NoSpacing"/>
      </w:pPr>
    </w:p>
    <w:p w14:paraId="023E76BC" w14:textId="77777777" w:rsidR="00FC5BB1" w:rsidRDefault="00FC5BB1" w:rsidP="00FC5BB1">
      <w:pPr>
        <w:pStyle w:val="NoSpacing"/>
        <w:ind w:left="720"/>
      </w:pPr>
      <w:r w:rsidRPr="00BA15B4">
        <w:t xml:space="preserve">At the hearing, the ALJ </w:t>
      </w:r>
      <w:r>
        <w:t xml:space="preserve">[Administrative Law Judge] </w:t>
      </w:r>
      <w:r w:rsidRPr="00BA15B4">
        <w:t xml:space="preserve">heard testimony from Vande Krol and two medical experts. Dr. Smith, a former firefighter and current physician, testified for Vande Krol. He opined that the </w:t>
      </w:r>
      <w:r>
        <w:t>‘</w:t>
      </w:r>
      <w:r w:rsidRPr="00BA15B4">
        <w:t>probable cause</w:t>
      </w:r>
      <w:r>
        <w:t>’</w:t>
      </w:r>
      <w:r w:rsidRPr="00BA15B4">
        <w:t xml:space="preserve"> of Vande Krol's brain cancer was a combination of exposure to (1) the byproducts of combustion from fires, (2) firefighting foam, (3) diesel fumes, and (4) radiation emitted from the cell tower near his fire station.</w:t>
      </w:r>
    </w:p>
    <w:p w14:paraId="315DBC0D" w14:textId="77777777" w:rsidR="00FC5BB1" w:rsidRDefault="00FC5BB1" w:rsidP="00FC5BB1">
      <w:pPr>
        <w:pStyle w:val="NoSpacing"/>
      </w:pPr>
    </w:p>
    <w:p w14:paraId="74040993" w14:textId="77777777" w:rsidR="00FC5BB1" w:rsidRDefault="00FC5BB1" w:rsidP="00FC5BB1">
      <w:pPr>
        <w:pStyle w:val="NoSpacing"/>
        <w:ind w:left="720"/>
      </w:pPr>
      <w:r w:rsidRPr="00727F96">
        <w:t xml:space="preserve">Dr. Peter Ferrara, a surgical oncologist, testified </w:t>
      </w:r>
      <w:proofErr w:type="gramStart"/>
      <w:r w:rsidRPr="00727F96">
        <w:t>for</w:t>
      </w:r>
      <w:proofErr w:type="gramEnd"/>
      <w:r w:rsidRPr="00727F96">
        <w:t xml:space="preserve"> Superstition and Benchmark (together, "Respondents"). Dr. Ferrara testified that the only </w:t>
      </w:r>
      <w:r>
        <w:t>‘</w:t>
      </w:r>
      <w:r w:rsidRPr="00727F96">
        <w:t xml:space="preserve">definite </w:t>
      </w:r>
      <w:proofErr w:type="spellStart"/>
      <w:r w:rsidRPr="00727F96">
        <w:t>caus</w:t>
      </w:r>
      <w:proofErr w:type="spellEnd"/>
      <w:r w:rsidRPr="00727F96">
        <w:t xml:space="preserve">[e] of brain </w:t>
      </w:r>
      <w:proofErr w:type="gramStart"/>
      <w:r w:rsidRPr="00727F96">
        <w:t>cancers</w:t>
      </w:r>
      <w:proofErr w:type="gramEnd"/>
      <w:r w:rsidRPr="00727F96">
        <w:t xml:space="preserve"> is ionizing radiation,</w:t>
      </w:r>
      <w:r>
        <w:t>’</w:t>
      </w:r>
      <w:r w:rsidRPr="00727F96">
        <w:t xml:space="preserve"> and there was no evidence of such exposure. Dr. Ferrara said he could not opine to a </w:t>
      </w:r>
      <w:r>
        <w:t>‘</w:t>
      </w:r>
      <w:r w:rsidRPr="00727F96">
        <w:t>reasonable degree of medical probability</w:t>
      </w:r>
      <w:r>
        <w:t>’</w:t>
      </w:r>
      <w:r w:rsidRPr="00727F96">
        <w:t xml:space="preserve"> that Vande Krol's exposure to any carcinogens commonly associated with firefighting were related to his </w:t>
      </w:r>
      <w:r>
        <w:t>‘</w:t>
      </w:r>
      <w:r w:rsidRPr="00727F96">
        <w:t>type of brain cancer.</w:t>
      </w:r>
      <w:r>
        <w:t>’</w:t>
      </w:r>
    </w:p>
    <w:p w14:paraId="59F04EDA" w14:textId="77777777" w:rsidR="00FC5BB1" w:rsidRDefault="00FC5BB1" w:rsidP="00FC5BB1">
      <w:pPr>
        <w:pStyle w:val="NoSpacing"/>
        <w:ind w:left="720"/>
      </w:pPr>
    </w:p>
    <w:p w14:paraId="730DE42C" w14:textId="77777777" w:rsidR="00FC5BB1" w:rsidRPr="00E571B4" w:rsidRDefault="00FC5BB1" w:rsidP="00FC5BB1">
      <w:pPr>
        <w:pStyle w:val="NoSpacing"/>
        <w:ind w:left="720"/>
      </w:pPr>
      <w:r>
        <w:t>***</w:t>
      </w:r>
    </w:p>
    <w:p w14:paraId="76F76A29" w14:textId="77777777" w:rsidR="00FC5BB1" w:rsidRDefault="00FC5BB1" w:rsidP="00FC5BB1">
      <w:pPr>
        <w:pStyle w:val="NoSpacing"/>
      </w:pPr>
    </w:p>
    <w:p w14:paraId="0CB0A29B" w14:textId="77777777" w:rsidR="00FC5BB1" w:rsidRDefault="00FC5BB1" w:rsidP="00FC5BB1">
      <w:pPr>
        <w:pStyle w:val="NoSpacing"/>
        <w:ind w:left="720"/>
      </w:pPr>
      <w:r w:rsidRPr="00B875CD">
        <w:t>The ALJ determined Vande Krol satisfied the requirements of A.R.S. § 23-901.01(C), save for one. Based on the ALJ's interpretation of A.R.S. § 23-901.01(C)(3), she concluded Vande Krol failed to prove that his exposure to a specific carcinogen caused his specific type of brain cancer (oligodendroglioma). And, because Vande Krol had not made that showing, the ALJ concluded Vande Krol had not suffered a compensable injury entitling him to compensation.</w:t>
      </w:r>
    </w:p>
    <w:p w14:paraId="6F5AC396" w14:textId="77777777" w:rsidR="00FC5BB1" w:rsidRDefault="00FC5BB1" w:rsidP="00FC5BB1">
      <w:pPr>
        <w:pStyle w:val="NoSpacing"/>
        <w:ind w:left="720"/>
      </w:pPr>
    </w:p>
    <w:p w14:paraId="080E42F0" w14:textId="77777777" w:rsidR="00FC5BB1" w:rsidRDefault="00FC5BB1" w:rsidP="00FC5BB1">
      <w:pPr>
        <w:pStyle w:val="NoSpacing"/>
        <w:ind w:left="720"/>
      </w:pPr>
      <w:r>
        <w:t>***</w:t>
      </w:r>
    </w:p>
    <w:p w14:paraId="262AA4F7" w14:textId="77777777" w:rsidR="00FC5BB1" w:rsidRDefault="00FC5BB1" w:rsidP="00FC5BB1">
      <w:pPr>
        <w:pStyle w:val="NoSpacing"/>
        <w:ind w:left="720"/>
      </w:pPr>
      <w:r w:rsidRPr="00006D2F">
        <w:t xml:space="preserve">Beginning in 2001, Arizona joined a growing number of states to enact a statutory presumption easing causation for firefighters with certain cancers. </w:t>
      </w:r>
      <w:r w:rsidRPr="00006D2F">
        <w:rPr>
          <w:i/>
          <w:iCs/>
        </w:rPr>
        <w:t>See</w:t>
      </w:r>
      <w:r w:rsidRPr="00006D2F">
        <w:t xml:space="preserve"> A.R.S. §§ 23-901.01(B)-(E) (2001); 2001 Ariz. Sess. Laws </w:t>
      </w:r>
      <w:proofErr w:type="spellStart"/>
      <w:r w:rsidRPr="00006D2F">
        <w:t>ch.</w:t>
      </w:r>
      <w:proofErr w:type="spellEnd"/>
      <w:r w:rsidRPr="00006D2F">
        <w:t xml:space="preserve"> 192, § 1 (1st Reg. Sess.)</w:t>
      </w:r>
      <w:r>
        <w:t xml:space="preserve">… </w:t>
      </w:r>
      <w:r w:rsidRPr="008D1591">
        <w:t xml:space="preserve">Applying our interpretation, Vande Krol's claim is subject to the presumption in (B)(1) because (everyone agrees) he had brain cancer. Under (C)(3), Vande Krol had to prove that a carcinogen or </w:t>
      </w:r>
      <w:proofErr w:type="gramStart"/>
      <w:r w:rsidRPr="008D1591">
        <w:t>carcinogens</w:t>
      </w:r>
      <w:proofErr w:type="gramEnd"/>
      <w:r w:rsidRPr="008D1591">
        <w:t xml:space="preserve"> to which he was exposed is reasonably related to the type of cancer making him eligible under (B)(1)-namely, brain cancer. He was not required to show that the carcinogens are reasonably related to some specific type, or subset, of brain cancer, like oligodendroglioma.</w:t>
      </w:r>
    </w:p>
    <w:p w14:paraId="4D075EE9" w14:textId="77777777" w:rsidR="00FC5BB1" w:rsidRDefault="00FC5BB1" w:rsidP="00FC5BB1">
      <w:pPr>
        <w:pStyle w:val="NoSpacing"/>
        <w:ind w:left="720"/>
      </w:pPr>
    </w:p>
    <w:p w14:paraId="2ED0FFEA" w14:textId="77777777" w:rsidR="00FC5BB1" w:rsidRDefault="00FC5BB1" w:rsidP="00FC5BB1">
      <w:pPr>
        <w:pStyle w:val="NoSpacing"/>
        <w:ind w:left="720"/>
      </w:pPr>
      <w:r>
        <w:t>***</w:t>
      </w:r>
    </w:p>
    <w:p w14:paraId="22F683BC" w14:textId="77777777" w:rsidR="00FC5BB1" w:rsidRDefault="00FC5BB1" w:rsidP="00FC5BB1">
      <w:pPr>
        <w:pStyle w:val="NoSpacing"/>
        <w:ind w:left="720"/>
      </w:pPr>
      <w:r w:rsidRPr="00AA1DB1">
        <w:t xml:space="preserve">We conclude that, under (C)(3), a firefighter need not show that his exposure to a carcinogen is reasonably related to his specific type of brain cancer. Instead, he must show that a carcinogen to which he was exposed is reasonably related to brain cancer </w:t>
      </w:r>
      <w:proofErr w:type="gramStart"/>
      <w:r w:rsidRPr="00AA1DB1">
        <w:t>generally.</w:t>
      </w:r>
      <w:r>
        <w:t>”</w:t>
      </w:r>
      <w:proofErr w:type="gramEnd"/>
    </w:p>
    <w:p w14:paraId="662880F6" w14:textId="77777777" w:rsidR="00FC5BB1" w:rsidRDefault="00FC5BB1" w:rsidP="00FC5BB1">
      <w:pPr>
        <w:pStyle w:val="NoSpacing"/>
        <w:ind w:left="720"/>
      </w:pPr>
    </w:p>
    <w:p w14:paraId="3AE84A04" w14:textId="1C657DB8" w:rsidR="00FC5BB1" w:rsidRDefault="00FC5BB1" w:rsidP="00FC5BB1">
      <w:pPr>
        <w:pStyle w:val="NoSpacing"/>
        <w:rPr>
          <w:b/>
          <w:bCs/>
        </w:rPr>
      </w:pPr>
      <w:r>
        <w:rPr>
          <w:b/>
        </w:rPr>
        <w:t xml:space="preserve">Lesson learned: Great decision, after a lengthy legal battle – Jan. 2021 claim; appeal to Court of Appeals, then to Arizona Supreme Court, and remand to Court of Appeals.  </w:t>
      </w:r>
    </w:p>
    <w:p w14:paraId="7C6C3D76" w14:textId="77777777" w:rsidR="00FC5BB1" w:rsidRDefault="00FC5BB1" w:rsidP="00FC5BB1">
      <w:pPr>
        <w:pStyle w:val="NoSpacing"/>
        <w:rPr>
          <w:b/>
          <w:bCs/>
        </w:rPr>
      </w:pPr>
    </w:p>
    <w:p w14:paraId="5F7ED90B" w14:textId="77777777" w:rsidR="00FC5BB1" w:rsidRPr="000F1AB9" w:rsidRDefault="00FC5BB1" w:rsidP="00FC5BB1">
      <w:pPr>
        <w:pStyle w:val="NoSpacing"/>
        <w:ind w:left="720"/>
      </w:pPr>
      <w:r w:rsidRPr="000F1AB9">
        <w:t xml:space="preserve">Note: On March 26, </w:t>
      </w:r>
      <w:proofErr w:type="gramStart"/>
      <w:r w:rsidRPr="000F1AB9">
        <w:t>2025</w:t>
      </w:r>
      <w:proofErr w:type="gramEnd"/>
      <w:r w:rsidRPr="000F1AB9">
        <w:t xml:space="preserve"> the Arizona Supreme Court (6 to 1): We hold that the 2017 statute applies to Vande Krol’s workers’ compensation claim. We vacate the court of appeals’ opinion. Because the court of appeals concluded that the 2021 statute applied, it did “not address whether the ALJ correctly interpreted the 2017 statute.”</w:t>
      </w:r>
      <w:r w:rsidRPr="003205D0">
        <w:t xml:space="preserve"> </w:t>
      </w:r>
      <w:hyperlink r:id="rId998" w:history="1">
        <w:r w:rsidRPr="00822BB2">
          <w:rPr>
            <w:rStyle w:val="Hyperlink"/>
          </w:rPr>
          <w:t>https://cases.justia.com/arizona/supreme-court/2025-cv-23-0211-pr.pdf?ts=1743008459</w:t>
        </w:r>
      </w:hyperlink>
      <w:r>
        <w:t xml:space="preserve"> </w:t>
      </w:r>
    </w:p>
    <w:p w14:paraId="20595A88" w14:textId="77777777" w:rsidR="00FC5BB1" w:rsidRDefault="00FC5BB1" w:rsidP="00FC5BB1">
      <w:pPr>
        <w:pStyle w:val="NoSpacing"/>
        <w:ind w:left="720"/>
      </w:pPr>
    </w:p>
    <w:p w14:paraId="1EF2DD96" w14:textId="77777777" w:rsidR="00FC5BB1" w:rsidRDefault="00FC5BB1" w:rsidP="00FC5BB1">
      <w:pPr>
        <w:pStyle w:val="NoSpacing"/>
        <w:ind w:left="720"/>
        <w:rPr>
          <w:b/>
          <w:bCs/>
        </w:rPr>
      </w:pPr>
      <w:r w:rsidRPr="00F87F8E">
        <w:t>Then,</w:t>
      </w:r>
      <w:r>
        <w:t xml:space="preserve"> </w:t>
      </w:r>
      <w:r w:rsidRPr="00F87F8E">
        <w:t xml:space="preserve">in 2021, the legislature relaxed the burden on firefighters to establish </w:t>
      </w:r>
      <w:proofErr w:type="gramStart"/>
      <w:r w:rsidRPr="00F87F8E">
        <w:t>the</w:t>
      </w:r>
      <w:r>
        <w:t xml:space="preserve"> </w:t>
      </w:r>
      <w:r w:rsidRPr="00F87F8E">
        <w:t>statutory</w:t>
      </w:r>
      <w:proofErr w:type="gramEnd"/>
      <w:r w:rsidRPr="00F87F8E">
        <w:t xml:space="preserve"> presumption </w:t>
      </w:r>
      <w:proofErr w:type="gramStart"/>
      <w:r w:rsidRPr="00F87F8E">
        <w:t>and also</w:t>
      </w:r>
      <w:proofErr w:type="gramEnd"/>
      <w:r w:rsidRPr="00F87F8E">
        <w:t xml:space="preserve"> heightened the evidentiary standard </w:t>
      </w:r>
      <w:r>
        <w:t xml:space="preserve">for an employer seeking </w:t>
      </w:r>
      <w:r w:rsidRPr="00F87F8E">
        <w:t>to</w:t>
      </w:r>
      <w:r>
        <w:t xml:space="preserve"> </w:t>
      </w:r>
      <w:r w:rsidRPr="00F87F8E">
        <w:t>rebut the presumption. A.R.S. § 23-901.09 (2021) (effective Sept. 29, 2021)</w:t>
      </w:r>
      <w:r>
        <w:t xml:space="preserve"> </w:t>
      </w:r>
      <w:r w:rsidRPr="00F87F8E">
        <w:t xml:space="preserve">(“2021 statute”); 2021 Ariz. Sess. Laws </w:t>
      </w:r>
      <w:proofErr w:type="spellStart"/>
      <w:r w:rsidRPr="00F87F8E">
        <w:t>ch.</w:t>
      </w:r>
      <w:proofErr w:type="spellEnd"/>
      <w:r w:rsidRPr="00F87F8E">
        <w:t xml:space="preserve"> 229, §§ 5–6 (1st Reg. Sess.).</w:t>
      </w:r>
    </w:p>
    <w:p w14:paraId="662B9696" w14:textId="77777777" w:rsidR="00FC5BB1" w:rsidRDefault="00FC5BB1" w:rsidP="00FC5BB1">
      <w:pPr>
        <w:pStyle w:val="NoSpacing"/>
        <w:rPr>
          <w:b/>
          <w:bCs/>
        </w:rPr>
      </w:pPr>
    </w:p>
    <w:p w14:paraId="313CE331" w14:textId="77777777" w:rsidR="00FC5BB1" w:rsidRDefault="00FC5BB1" w:rsidP="00FC5BB1">
      <w:pPr>
        <w:pStyle w:val="NoSpacing"/>
        <w:ind w:left="720"/>
      </w:pPr>
      <w:r>
        <w:lastRenderedPageBreak/>
        <w:t xml:space="preserve">See March 26, </w:t>
      </w:r>
      <w:proofErr w:type="gramStart"/>
      <w:r>
        <w:t>2025</w:t>
      </w:r>
      <w:proofErr w:type="gramEnd"/>
      <w:r>
        <w:t xml:space="preserve"> article: </w:t>
      </w:r>
      <w:r w:rsidRPr="003812BA">
        <w:t xml:space="preserve">“Arizona Supreme Court rules in favor of firefighter in compensation claim.” </w:t>
      </w:r>
      <w:hyperlink r:id="rId999" w:history="1">
        <w:r w:rsidRPr="00822BB2">
          <w:rPr>
            <w:rStyle w:val="Hyperlink"/>
          </w:rPr>
          <w:t>https://www.kvoa.com/news/arizona/arizona-supreme-court-rules-in-favor-of-firefighter-in-compensation-claim/article_63a696b0-5894-4bcc-94e3-966091411b00.html</w:t>
        </w:r>
      </w:hyperlink>
      <w:r>
        <w:t xml:space="preserve"> </w:t>
      </w:r>
    </w:p>
    <w:p w14:paraId="07E49B75" w14:textId="77777777" w:rsidR="00FC5BB1" w:rsidRDefault="00FC5BB1" w:rsidP="00FC5BB1">
      <w:pPr>
        <w:pStyle w:val="NoSpacing"/>
        <w:ind w:left="720"/>
      </w:pPr>
    </w:p>
    <w:p w14:paraId="682C8402" w14:textId="77777777" w:rsidR="00FC5BB1" w:rsidRDefault="00FC5BB1" w:rsidP="00FC5BB1">
      <w:pPr>
        <w:pStyle w:val="NoSpacing"/>
        <w:ind w:left="720"/>
      </w:pPr>
    </w:p>
    <w:p w14:paraId="30F7060A" w14:textId="6669CB98" w:rsidR="005646A1" w:rsidRDefault="00FC5BB1" w:rsidP="000624FD">
      <w:pPr>
        <w:pStyle w:val="NoSpacing"/>
        <w:rPr>
          <w:rFonts w:ascii="Arial Black" w:hAnsi="Arial Black"/>
          <w:b/>
          <w:sz w:val="28"/>
          <w:szCs w:val="28"/>
        </w:rPr>
      </w:pPr>
      <w:r>
        <w:rPr>
          <w:rFonts w:ascii="Arial Black" w:hAnsi="Arial Black"/>
          <w:b/>
          <w:sz w:val="28"/>
          <w:szCs w:val="28"/>
        </w:rPr>
        <w:t>6-17</w:t>
      </w:r>
      <w:r w:rsidR="002A0697">
        <w:rPr>
          <w:rFonts w:ascii="Arial Black" w:hAnsi="Arial Black"/>
          <w:b/>
          <w:sz w:val="28"/>
          <w:szCs w:val="28"/>
        </w:rPr>
        <w:t>1</w:t>
      </w:r>
    </w:p>
    <w:p w14:paraId="41D259CD" w14:textId="77777777" w:rsidR="00FC5BB1" w:rsidRDefault="00FC5BB1" w:rsidP="000624FD">
      <w:pPr>
        <w:pStyle w:val="NoSpacing"/>
        <w:rPr>
          <w:rFonts w:ascii="Arial Black" w:hAnsi="Arial Black"/>
          <w:b/>
          <w:sz w:val="28"/>
          <w:szCs w:val="28"/>
        </w:rPr>
      </w:pPr>
    </w:p>
    <w:p w14:paraId="20753664" w14:textId="77777777" w:rsidR="001F0C4C" w:rsidRPr="008C4E26" w:rsidRDefault="001F0C4C" w:rsidP="001F0C4C">
      <w:pPr>
        <w:spacing w:after="0"/>
        <w:rPr>
          <w:rFonts w:ascii="Arial Black" w:hAnsi="Arial Black"/>
          <w:b/>
          <w:sz w:val="28"/>
          <w:szCs w:val="28"/>
        </w:rPr>
      </w:pPr>
      <w:r>
        <w:rPr>
          <w:rFonts w:ascii="Arial Black" w:hAnsi="Arial Black"/>
          <w:b/>
          <w:sz w:val="28"/>
          <w:szCs w:val="28"/>
        </w:rPr>
        <w:t xml:space="preserve">WV: WRIST INJURY – THERAPIST WROTE “PRIOR ISSUES” </w:t>
      </w:r>
    </w:p>
    <w:p w14:paraId="4BB44EDA" w14:textId="77777777" w:rsidR="001F0C4C" w:rsidRDefault="001F0C4C" w:rsidP="001F0C4C">
      <w:pPr>
        <w:pStyle w:val="NoSpacing"/>
      </w:pPr>
    </w:p>
    <w:p w14:paraId="5F41E7B2" w14:textId="77777777" w:rsidR="001F0C4C" w:rsidRDefault="001F0C4C" w:rsidP="001F0C4C">
      <w:pPr>
        <w:spacing w:after="0"/>
        <w:rPr>
          <w:bCs/>
        </w:rPr>
      </w:pPr>
      <w:r>
        <w:t xml:space="preserve">On Oct. 24, 2025, in </w:t>
      </w:r>
      <w:r w:rsidRPr="00E72AD3">
        <w:rPr>
          <w:u w:val="single"/>
        </w:rPr>
        <w:t>City of Wheeling v. David Gilbert</w:t>
      </w:r>
      <w:r>
        <w:t xml:space="preserve">, the </w:t>
      </w:r>
      <w:r w:rsidRPr="00E72AD3">
        <w:t>West Virginia Intermediate Court of Appeals</w:t>
      </w:r>
      <w:r>
        <w:t xml:space="preserve"> held (3 to 0) that the </w:t>
      </w:r>
      <w:r w:rsidRPr="00554591">
        <w:t>Workers’ Compensation Board of Review</w:t>
      </w:r>
      <w:r>
        <w:t xml:space="preserve"> properly overruled the Claim Administrator, and will cover surgery for right wrist (Dec. 1, 2023 injury; X-Ray no broken bone and normal MRI; but June 3, 2024 </w:t>
      </w:r>
      <w:r w:rsidRPr="00572C02">
        <w:t>arthroscopy</w:t>
      </w:r>
      <w:r>
        <w:t xml:space="preserve"> revealed complete tear of ligament). </w:t>
      </w:r>
    </w:p>
    <w:p w14:paraId="7E628415" w14:textId="77777777" w:rsidR="001F0C4C" w:rsidRDefault="001F0C4C" w:rsidP="001F0C4C">
      <w:pPr>
        <w:spacing w:after="0"/>
        <w:rPr>
          <w:b/>
        </w:rPr>
      </w:pPr>
      <w:r>
        <w:t xml:space="preserve">The Independent Medical Examiner physician focused on notes by physical therapist that firefighter had prior issues with that right wrist.  The Board, however, relied on firefighter’s deposition testimony that he told the therapist he had prior issues with his </w:t>
      </w:r>
      <w:r w:rsidRPr="007113A0">
        <w:t>left wrist</w:t>
      </w:r>
      <w:r>
        <w:t xml:space="preserve">, and the therapist mistakenly recorded prior issues with right wrist. </w:t>
      </w:r>
      <w:hyperlink r:id="rId1000" w:history="1">
        <w:r w:rsidRPr="00E1728C">
          <w:rPr>
            <w:rStyle w:val="Hyperlink"/>
            <w:b/>
          </w:rPr>
          <w:t>https://cases.justia.com/west-virginia/intermediate-court-of-appeals/2025-25-ica-138.pdf?ts=1761335525</w:t>
        </w:r>
      </w:hyperlink>
      <w:r>
        <w:rPr>
          <w:b/>
        </w:rPr>
        <w:t xml:space="preserve"> </w:t>
      </w:r>
    </w:p>
    <w:p w14:paraId="24721377" w14:textId="77777777" w:rsidR="001F0C4C" w:rsidRDefault="001F0C4C" w:rsidP="001F0C4C">
      <w:pPr>
        <w:spacing w:after="0"/>
        <w:rPr>
          <w:bCs/>
        </w:rPr>
      </w:pPr>
    </w:p>
    <w:p w14:paraId="47617D31" w14:textId="77777777" w:rsidR="001F0C4C" w:rsidRDefault="001F0C4C" w:rsidP="001F0C4C">
      <w:pPr>
        <w:spacing w:after="0"/>
      </w:pPr>
      <w:r>
        <w:t xml:space="preserve">THE COURT HELD: </w:t>
      </w:r>
    </w:p>
    <w:p w14:paraId="020CAD27" w14:textId="77777777" w:rsidR="001F0C4C" w:rsidRDefault="001F0C4C" w:rsidP="001F0C4C">
      <w:pPr>
        <w:spacing w:after="0"/>
      </w:pPr>
    </w:p>
    <w:p w14:paraId="3B5B574F" w14:textId="77777777" w:rsidR="001F0C4C" w:rsidRDefault="001F0C4C" w:rsidP="001F0C4C">
      <w:pPr>
        <w:spacing w:after="0"/>
        <w:ind w:left="720"/>
      </w:pPr>
      <w:r>
        <w:t>“Mr. Gilbert was deposed on November 11, 2024, and testified that he injured his right wrist on December 1, 2023, when he tripped while getting into a vehicle and attempted to catch himself. Mr. Gilbert stated that he hooked his thumb on the headrest of the stretcher, which injured his wrist…. He stated that he might have mentioned that he</w:t>
      </w:r>
    </w:p>
    <w:p w14:paraId="3A3136A3" w14:textId="77777777" w:rsidR="001F0C4C" w:rsidRDefault="001F0C4C" w:rsidP="001F0C4C">
      <w:pPr>
        <w:spacing w:after="0"/>
        <w:ind w:firstLine="720"/>
      </w:pPr>
      <w:r>
        <w:t>had some prior issues with his left wrist, such as when he was rock climbing that required</w:t>
      </w:r>
    </w:p>
    <w:p w14:paraId="0D09D9E5" w14:textId="77777777" w:rsidR="001F0C4C" w:rsidRDefault="001F0C4C" w:rsidP="001F0C4C">
      <w:pPr>
        <w:spacing w:after="0"/>
        <w:ind w:left="720"/>
      </w:pPr>
      <w:r>
        <w:t xml:space="preserve">him to adjust his left wrist to use it functionally. Regarding the physical therapy note dated December 13, 2023, which reported that he had some joint instability in his right wrist prior to the compensable injury, Mr. Gilbert testified that he believed that note was based upon a miscommunication. Mr. Gilbert further testified that he was describing an issue with his left wrist and trying to say that he never had any issues with his right wrist. </w:t>
      </w:r>
    </w:p>
    <w:p w14:paraId="4DF8CF07" w14:textId="77777777" w:rsidR="001F0C4C" w:rsidRDefault="001F0C4C" w:rsidP="001F0C4C">
      <w:pPr>
        <w:spacing w:after="0"/>
        <w:ind w:left="720"/>
      </w:pPr>
    </w:p>
    <w:p w14:paraId="5D2B1928" w14:textId="77777777" w:rsidR="001F0C4C" w:rsidRDefault="001F0C4C" w:rsidP="001F0C4C">
      <w:pPr>
        <w:spacing w:after="0"/>
        <w:ind w:left="720"/>
      </w:pPr>
      <w:r>
        <w:t>***</w:t>
      </w:r>
    </w:p>
    <w:p w14:paraId="5970F6A9" w14:textId="77777777" w:rsidR="001F0C4C" w:rsidRDefault="001F0C4C" w:rsidP="001F0C4C">
      <w:pPr>
        <w:spacing w:after="0"/>
        <w:ind w:left="720"/>
      </w:pPr>
      <w:r>
        <w:t>Here, the Board found that Mr. Gilbert established with medical evidence that</w:t>
      </w:r>
    </w:p>
    <w:p w14:paraId="5DB39725" w14:textId="77777777" w:rsidR="001F0C4C" w:rsidRDefault="001F0C4C" w:rsidP="001F0C4C">
      <w:pPr>
        <w:spacing w:after="0"/>
        <w:ind w:left="720"/>
      </w:pPr>
      <w:r>
        <w:t xml:space="preserve">scapholunate instability of the right wrist and ligament tear of the scapholunate right wrist are causally related to the compensable injury. The Board further found that Mr. Gilbert’s testimony regarding the inconsistency in the occupational therapy records was credible.” </w:t>
      </w:r>
    </w:p>
    <w:p w14:paraId="4DBA59E8" w14:textId="77777777" w:rsidR="001F0C4C" w:rsidRDefault="001F0C4C" w:rsidP="001F0C4C">
      <w:pPr>
        <w:spacing w:after="0"/>
        <w:ind w:left="720"/>
      </w:pPr>
    </w:p>
    <w:p w14:paraId="0117EF9A" w14:textId="69894794" w:rsidR="001F0C4C" w:rsidRPr="002322D7" w:rsidRDefault="001F0C4C" w:rsidP="001F0C4C">
      <w:pPr>
        <w:spacing w:after="0"/>
        <w:rPr>
          <w:b/>
          <w:bCs/>
        </w:rPr>
      </w:pPr>
      <w:r>
        <w:rPr>
          <w:b/>
        </w:rPr>
        <w:t xml:space="preserve">Lesson Learned:  When speaking with physical </w:t>
      </w:r>
      <w:proofErr w:type="gramStart"/>
      <w:r>
        <w:rPr>
          <w:b/>
        </w:rPr>
        <w:t>therapist</w:t>
      </w:r>
      <w:proofErr w:type="gramEnd"/>
      <w:r>
        <w:rPr>
          <w:b/>
        </w:rPr>
        <w:t xml:space="preserve"> </w:t>
      </w:r>
      <w:proofErr w:type="gramStart"/>
      <w:r>
        <w:rPr>
          <w:b/>
        </w:rPr>
        <w:t>be</w:t>
      </w:r>
      <w:proofErr w:type="gramEnd"/>
      <w:r>
        <w:rPr>
          <w:b/>
        </w:rPr>
        <w:t xml:space="preserve"> very clear in discussing prior injuries.   </w:t>
      </w:r>
    </w:p>
    <w:p w14:paraId="0E4FA404" w14:textId="77777777" w:rsidR="001F0C4C" w:rsidRDefault="001F0C4C" w:rsidP="001F0C4C">
      <w:pPr>
        <w:spacing w:after="0"/>
        <w:rPr>
          <w:rFonts w:ascii="Arial Black" w:hAnsi="Arial Black"/>
          <w:sz w:val="28"/>
          <w:szCs w:val="28"/>
        </w:rPr>
      </w:pPr>
    </w:p>
    <w:p w14:paraId="523C3C52" w14:textId="704358B3" w:rsidR="00FC5BB1" w:rsidRDefault="001F0C4C" w:rsidP="000624FD">
      <w:pPr>
        <w:pStyle w:val="NoSpacing"/>
        <w:rPr>
          <w:rFonts w:ascii="Arial Black" w:hAnsi="Arial Black"/>
          <w:b/>
          <w:sz w:val="28"/>
          <w:szCs w:val="28"/>
        </w:rPr>
      </w:pPr>
      <w:r>
        <w:rPr>
          <w:rFonts w:ascii="Arial Black" w:hAnsi="Arial Black"/>
          <w:b/>
          <w:sz w:val="28"/>
          <w:szCs w:val="28"/>
        </w:rPr>
        <w:t>6-1</w:t>
      </w:r>
      <w:r w:rsidR="002A0697">
        <w:rPr>
          <w:rFonts w:ascii="Arial Black" w:hAnsi="Arial Black"/>
          <w:b/>
          <w:sz w:val="28"/>
          <w:szCs w:val="28"/>
        </w:rPr>
        <w:t>70</w:t>
      </w:r>
    </w:p>
    <w:p w14:paraId="773E1CDC" w14:textId="77777777" w:rsidR="007867D4" w:rsidRDefault="007867D4" w:rsidP="000624FD">
      <w:pPr>
        <w:pStyle w:val="NoSpacing"/>
        <w:rPr>
          <w:rFonts w:ascii="Arial Black" w:hAnsi="Arial Black"/>
          <w:b/>
          <w:sz w:val="28"/>
          <w:szCs w:val="28"/>
        </w:rPr>
      </w:pPr>
    </w:p>
    <w:p w14:paraId="4154BB56" w14:textId="77777777" w:rsidR="007867D4" w:rsidRDefault="007867D4" w:rsidP="007867D4">
      <w:pPr>
        <w:pStyle w:val="NoSpacing"/>
        <w:rPr>
          <w:rFonts w:ascii="Arial Black" w:hAnsi="Arial Black"/>
          <w:sz w:val="28"/>
          <w:szCs w:val="28"/>
        </w:rPr>
      </w:pPr>
      <w:r>
        <w:rPr>
          <w:rFonts w:ascii="Arial Black" w:hAnsi="Arial Black"/>
          <w:sz w:val="28"/>
          <w:szCs w:val="28"/>
        </w:rPr>
        <w:t>RI: FF CANCER DEATH –  ADDED INSURANCE IF “INJURY”</w:t>
      </w:r>
    </w:p>
    <w:p w14:paraId="6AA3AFFA" w14:textId="77777777" w:rsidR="007867D4" w:rsidRDefault="007867D4" w:rsidP="007867D4">
      <w:pPr>
        <w:pStyle w:val="NoSpacing"/>
        <w:rPr>
          <w:rFonts w:ascii="Arial Black" w:hAnsi="Arial Black"/>
          <w:sz w:val="28"/>
          <w:szCs w:val="28"/>
        </w:rPr>
      </w:pPr>
    </w:p>
    <w:p w14:paraId="24A2EC94" w14:textId="77777777" w:rsidR="007867D4" w:rsidRDefault="007867D4" w:rsidP="007867D4">
      <w:pPr>
        <w:pStyle w:val="NoSpacing"/>
      </w:pPr>
      <w:r>
        <w:t xml:space="preserve">On October 14, 2025, in </w:t>
      </w:r>
      <w:r w:rsidRPr="005765C3">
        <w:rPr>
          <w:u w:val="single"/>
        </w:rPr>
        <w:t>James L. Varin, Jr. and Tyer C. Varin v. The Prudential Insurance Company of America</w:t>
      </w:r>
      <w:r>
        <w:t xml:space="preserve">, Chief Judge John J. McConnell, Jr., United States District Court for the District of Rhode Island denied the insurance company’s motion to dismiss the lawsuit by two sons of deceased firefighter James Varin, Sr., a Providence firefighter who died of </w:t>
      </w:r>
      <w:r>
        <w:lastRenderedPageBreak/>
        <w:t xml:space="preserve">brain cancer. The family seeks a declaratory judgment that father’s death should be covered as an “injury” while insurance company claims it is a “sickness” not covered.  Under the terms of the policy, a City of Providence fire department employee has $100,000 in basic life insurance coverage (which was paid to the family), </w:t>
      </w:r>
      <w:proofErr w:type="gramStart"/>
      <w:r>
        <w:t>and also</w:t>
      </w:r>
      <w:proofErr w:type="gramEnd"/>
      <w:r>
        <w:t xml:space="preserve"> $100,000 in basic accidental death and dismemberment (“AD&amp;D”) insurance coverage.  Plaintiffs will now proceed with pre-trial discovery; the Court held that the insurance company presumably knew when negotiating the policy with the city that Rhode Island has a “statutory presumption” for firefighter cancer, and IAFF Local 799 has a similar provision in their Collective Bargaining Agreement with the city.  </w:t>
      </w:r>
      <w:hyperlink r:id="rId1001" w:history="1">
        <w:r w:rsidRPr="00F13728">
          <w:rPr>
            <w:rStyle w:val="Hyperlink"/>
          </w:rPr>
          <w:t>https://ecf.rid.uscourts.gov/cgi-bin/show_public_doc?2025cv0270-20</w:t>
        </w:r>
      </w:hyperlink>
      <w:r>
        <w:t xml:space="preserve"> </w:t>
      </w:r>
    </w:p>
    <w:p w14:paraId="195AACAE" w14:textId="77777777" w:rsidR="007867D4" w:rsidRDefault="007867D4" w:rsidP="007867D4">
      <w:pPr>
        <w:pStyle w:val="NoSpacing"/>
      </w:pPr>
    </w:p>
    <w:p w14:paraId="469F4A8E" w14:textId="77777777" w:rsidR="007867D4" w:rsidRDefault="007867D4" w:rsidP="007867D4">
      <w:pPr>
        <w:pStyle w:val="NoSpacing"/>
      </w:pPr>
      <w:r>
        <w:t>THE COURT HELD:</w:t>
      </w:r>
    </w:p>
    <w:p w14:paraId="67FBFE07" w14:textId="77777777" w:rsidR="007867D4" w:rsidRDefault="007867D4" w:rsidP="007867D4">
      <w:pPr>
        <w:pStyle w:val="NoSpacing"/>
      </w:pPr>
    </w:p>
    <w:p w14:paraId="494D4795" w14:textId="77777777" w:rsidR="007867D4" w:rsidRDefault="007867D4" w:rsidP="007867D4">
      <w:pPr>
        <w:pStyle w:val="NoSpacing"/>
        <w:ind w:left="720"/>
      </w:pPr>
      <w:r>
        <w:t xml:space="preserve">In their complaint, Plaintiffs allege that Mr. Varin’s cause of death was glioblastoma, a cancer that could be caused by carcinogenic exposure…. They also allege that Mr. Varin was exposed to carcinogens in his job as a firefighter and that his employer, the City of Providence, considers his death to be an injury in the line of duty…. Plaintiffs cite to the CBA, which states that whenever a firefighter dies from cancer, it is presumed to be an injury resulting from their firefighting duties…. In addition, they </w:t>
      </w:r>
      <w:proofErr w:type="gramStart"/>
      <w:r>
        <w:t>reference</w:t>
      </w:r>
      <w:proofErr w:type="gramEnd"/>
      <w:r>
        <w:t xml:space="preserve"> a state statute,</w:t>
      </w:r>
    </w:p>
    <w:p w14:paraId="34BFEE54" w14:textId="77777777" w:rsidR="007867D4" w:rsidRDefault="007867D4" w:rsidP="007867D4">
      <w:pPr>
        <w:pStyle w:val="NoSpacing"/>
        <w:ind w:left="720"/>
      </w:pPr>
      <w:r>
        <w:t>R.I. Gen. Laws § 45-19.1-1, which also states that firefighters are exposed to carcinogens, so cancer is a recognized occupational hazard under Rhode Island law…. At this stage of the litigation, the Court finds that these allegations are sufficient to state a claim under the policy.</w:t>
      </w:r>
    </w:p>
    <w:p w14:paraId="4226E621" w14:textId="77777777" w:rsidR="007867D4" w:rsidRDefault="007867D4" w:rsidP="007867D4">
      <w:pPr>
        <w:pStyle w:val="NoSpacing"/>
        <w:ind w:left="720"/>
      </w:pPr>
    </w:p>
    <w:p w14:paraId="6957631E" w14:textId="77777777" w:rsidR="007867D4" w:rsidRDefault="007867D4" w:rsidP="007867D4">
      <w:pPr>
        <w:pStyle w:val="NoSpacing"/>
        <w:ind w:left="720"/>
      </w:pPr>
      <w:r>
        <w:t>***</w:t>
      </w:r>
    </w:p>
    <w:p w14:paraId="58825BA6" w14:textId="77777777" w:rsidR="007867D4" w:rsidRDefault="007867D4" w:rsidP="007867D4">
      <w:pPr>
        <w:pStyle w:val="NoSpacing"/>
        <w:ind w:left="720"/>
      </w:pPr>
      <w:r>
        <w:t>It is plausible that Prudential knew what benefits the Union expected to provide its members because the CBA states that members have a $100,000 life insurance policy with a maximum of $200,000 for deaths sustained in the line of duty, and that is exactly</w:t>
      </w:r>
    </w:p>
    <w:p w14:paraId="1C02E2C6" w14:textId="77777777" w:rsidR="007867D4" w:rsidRDefault="007867D4" w:rsidP="007867D4">
      <w:pPr>
        <w:pStyle w:val="NoSpacing"/>
        <w:ind w:firstLine="720"/>
      </w:pPr>
      <w:r>
        <w:t>what the Prudential policy at issue here provides. ECF No. 1 ¶ 12; 7-2 at 9.</w:t>
      </w:r>
    </w:p>
    <w:p w14:paraId="35C275E2" w14:textId="77777777" w:rsidR="007867D4" w:rsidRDefault="007867D4" w:rsidP="007867D4">
      <w:pPr>
        <w:pStyle w:val="NoSpacing"/>
        <w:ind w:firstLine="720"/>
      </w:pPr>
    </w:p>
    <w:p w14:paraId="00314289" w14:textId="77777777" w:rsidR="007867D4" w:rsidRDefault="007867D4" w:rsidP="007867D4">
      <w:pPr>
        <w:pStyle w:val="NoSpacing"/>
        <w:ind w:firstLine="720"/>
      </w:pPr>
      <w:r>
        <w:t>***</w:t>
      </w:r>
    </w:p>
    <w:p w14:paraId="7CD236AA" w14:textId="77777777" w:rsidR="007867D4" w:rsidRDefault="007867D4" w:rsidP="007867D4">
      <w:pPr>
        <w:pStyle w:val="NoSpacing"/>
        <w:ind w:left="720"/>
      </w:pPr>
      <w:r>
        <w:t>As for the sickness exception, Prudential argues that it applies because cancer is generally recognized as a sickness not an injury….  The policy provides that a loss is not covered if it results from sickness, which is defined as ‘Any disorder of the body or mind of a Covered Person, but not an Injury.’ …  If discovery proves that Plaintiffs’ claims are covered because the Prudential policy was negotiated to cover cancer as an on-the-job injury, then their father’s cancer would be an ‘injury’ not a ‘sickness’ as defined in the policy. Therefore, the Court finds that the complaint states a claim for declaratory relief.”</w:t>
      </w:r>
    </w:p>
    <w:p w14:paraId="2788211B" w14:textId="77777777" w:rsidR="007867D4" w:rsidRDefault="007867D4" w:rsidP="007867D4">
      <w:pPr>
        <w:pStyle w:val="NoSpacing"/>
        <w:rPr>
          <w:b/>
          <w:bCs/>
        </w:rPr>
      </w:pPr>
    </w:p>
    <w:p w14:paraId="2C6AC8B9" w14:textId="66911C6C" w:rsidR="007867D4" w:rsidRPr="00960E6C" w:rsidRDefault="007867D4" w:rsidP="007867D4">
      <w:pPr>
        <w:pStyle w:val="NoSpacing"/>
        <w:rPr>
          <w:b/>
          <w:bCs/>
        </w:rPr>
      </w:pPr>
      <w:r>
        <w:rPr>
          <w:b/>
        </w:rPr>
        <w:t xml:space="preserve">Lesson learned: When City is contracting with insurance policy for firefighters, there should be a clause in the policy specifically covering firefighter cancers. </w:t>
      </w:r>
    </w:p>
    <w:p w14:paraId="17A338BA" w14:textId="77777777" w:rsidR="007867D4" w:rsidRDefault="007867D4" w:rsidP="007867D4">
      <w:pPr>
        <w:pStyle w:val="NoSpacing"/>
      </w:pPr>
    </w:p>
    <w:p w14:paraId="2B74F7D7" w14:textId="77777777" w:rsidR="007867D4" w:rsidRDefault="007867D4" w:rsidP="000624FD">
      <w:pPr>
        <w:pStyle w:val="NoSpacing"/>
        <w:rPr>
          <w:rFonts w:ascii="Arial Black" w:hAnsi="Arial Black"/>
          <w:b/>
          <w:sz w:val="28"/>
          <w:szCs w:val="28"/>
        </w:rPr>
      </w:pPr>
    </w:p>
    <w:p w14:paraId="2F065326" w14:textId="77777777" w:rsidR="00DE3247" w:rsidRDefault="00DE3247" w:rsidP="000624FD">
      <w:pPr>
        <w:pStyle w:val="NoSpacing"/>
        <w:rPr>
          <w:rFonts w:ascii="Arial Black" w:hAnsi="Arial Black"/>
          <w:b/>
          <w:sz w:val="28"/>
          <w:szCs w:val="28"/>
        </w:rPr>
      </w:pPr>
    </w:p>
    <w:p w14:paraId="3127AAA3" w14:textId="77777777" w:rsidR="00DE3247" w:rsidRDefault="00DE3247" w:rsidP="000624FD">
      <w:pPr>
        <w:pStyle w:val="NoSpacing"/>
        <w:rPr>
          <w:rFonts w:ascii="Arial Black" w:hAnsi="Arial Black"/>
          <w:b/>
          <w:sz w:val="28"/>
          <w:szCs w:val="28"/>
        </w:rPr>
      </w:pPr>
    </w:p>
    <w:p w14:paraId="36F82DB0" w14:textId="77777777" w:rsidR="00DE3247" w:rsidRDefault="00DE3247" w:rsidP="000624FD">
      <w:pPr>
        <w:pStyle w:val="NoSpacing"/>
        <w:rPr>
          <w:rFonts w:ascii="Arial Black" w:hAnsi="Arial Black"/>
          <w:b/>
          <w:sz w:val="28"/>
          <w:szCs w:val="28"/>
        </w:rPr>
      </w:pPr>
    </w:p>
    <w:p w14:paraId="27A3793F" w14:textId="053E4140" w:rsidR="000624FD" w:rsidRDefault="000624FD" w:rsidP="000624FD">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9</w:t>
      </w:r>
    </w:p>
    <w:p w14:paraId="7C26530E" w14:textId="77777777" w:rsidR="000624FD" w:rsidRDefault="000624FD" w:rsidP="00424D1C">
      <w:pPr>
        <w:pStyle w:val="NoSpacing"/>
        <w:rPr>
          <w:rFonts w:ascii="Arial Black" w:hAnsi="Arial Black"/>
          <w:sz w:val="28"/>
          <w:szCs w:val="28"/>
        </w:rPr>
      </w:pPr>
    </w:p>
    <w:p w14:paraId="705E1F64" w14:textId="654D46F4" w:rsidR="00424D1C" w:rsidRDefault="00424D1C" w:rsidP="00424D1C">
      <w:pPr>
        <w:pStyle w:val="NoSpacing"/>
      </w:pPr>
      <w:r>
        <w:rPr>
          <w:rFonts w:ascii="Arial Black" w:hAnsi="Arial Black"/>
          <w:sz w:val="28"/>
          <w:szCs w:val="28"/>
        </w:rPr>
        <w:t>NC: FF AGE 54 FIRED – COMMENTS AGE - CASE PROCEED</w:t>
      </w:r>
    </w:p>
    <w:p w14:paraId="65E7203E" w14:textId="77777777" w:rsidR="00424D1C" w:rsidRDefault="00424D1C" w:rsidP="00424D1C">
      <w:pPr>
        <w:pStyle w:val="NoSpacing"/>
      </w:pPr>
    </w:p>
    <w:p w14:paraId="6ECCCE1A" w14:textId="77777777" w:rsidR="00424D1C" w:rsidRDefault="00424D1C" w:rsidP="00424D1C">
      <w:pPr>
        <w:pStyle w:val="NoSpacing"/>
      </w:pPr>
      <w:r>
        <w:t xml:space="preserve">On September 3, 2025, in </w:t>
      </w:r>
      <w:r w:rsidRPr="00A3297C">
        <w:rPr>
          <w:u w:val="single"/>
        </w:rPr>
        <w:t>Walter Kevin Carpenter v. The City of Newton, et al</w:t>
      </w:r>
      <w:r>
        <w:t xml:space="preserve">., U.S. Magistrate Judge Susan C. Rodriquez, United States District Court for Western District of North Carolina (Statesville Division) issued a report and recommendation recommended that city’s motion to dismiss be denied in part (age discrimination claim).  On June 22, 2022, the first day after Plaintiff returned from vacation, the </w:t>
      </w:r>
      <w:proofErr w:type="gramStart"/>
      <w:r>
        <w:t>City</w:t>
      </w:r>
      <w:proofErr w:type="gramEnd"/>
      <w:r>
        <w:t xml:space="preserve"> terminated Plaintiff for “abusive </w:t>
      </w:r>
      <w:r w:rsidRPr="006F631B">
        <w:t>and/or threatening language to a supervisor</w:t>
      </w:r>
      <w:r>
        <w:t>.  He claims he was joking, when heading out for vacation he texted to  his Battalion Chief, “In the famous words of Cody Lawing, F U and F U and I am out of here.”</w:t>
      </w:r>
    </w:p>
    <w:p w14:paraId="420BA4A5" w14:textId="77777777" w:rsidR="00424D1C" w:rsidRDefault="00424D1C" w:rsidP="00424D1C">
      <w:pPr>
        <w:pStyle w:val="NoSpacing"/>
      </w:pPr>
      <w:r>
        <w:lastRenderedPageBreak/>
        <w:t xml:space="preserve"> </w:t>
      </w:r>
    </w:p>
    <w:p w14:paraId="53B828AE" w14:textId="77777777" w:rsidR="00424D1C" w:rsidRDefault="00424D1C" w:rsidP="00424D1C">
      <w:pPr>
        <w:pStyle w:val="NoSpacing"/>
      </w:pPr>
      <w:r w:rsidRPr="00B511E1">
        <w:rPr>
          <w:b/>
        </w:rPr>
        <w:t>THE MAGISTRATE WROTE</w:t>
      </w:r>
      <w:r>
        <w:t xml:space="preserve">: “The undersigned finds Plaintiff has alleged sufficient facts that the employer took an adverse employment action under circumstances giving rise to an inference of age discrimination. Plaintiff has alleged certain derogatory comments made related to his age by those in the supervisory chain … and that Plaintiff was terminated within a month of certain comments….  This, combined with Plaintiff’s allegations related to the different responses to the similar conduct of Plaintiff and Lawing, create an inference of age discrimination at this initial stage.” </w:t>
      </w:r>
      <w:hyperlink r:id="rId1002" w:history="1">
        <w:r w:rsidRPr="00B23663">
          <w:rPr>
            <w:rStyle w:val="Hyperlink"/>
          </w:rPr>
          <w:t>https://www.govinfo.gov/content/pkg/USCOURTS-ncwd-5_24-cv-00192/pdf/USCOURTS-ncwd-5_24-cv-00192-1.pdf</w:t>
        </w:r>
      </w:hyperlink>
      <w:r>
        <w:t xml:space="preserve"> </w:t>
      </w:r>
    </w:p>
    <w:p w14:paraId="5AFD73C6" w14:textId="77777777" w:rsidR="00424D1C" w:rsidRDefault="00424D1C" w:rsidP="00424D1C">
      <w:pPr>
        <w:pStyle w:val="NoSpacing"/>
      </w:pPr>
    </w:p>
    <w:p w14:paraId="484F6798" w14:textId="77777777" w:rsidR="00424D1C" w:rsidRDefault="00424D1C" w:rsidP="00424D1C">
      <w:pPr>
        <w:pStyle w:val="NoSpacing"/>
      </w:pPr>
      <w:r w:rsidRPr="00B511E1">
        <w:rPr>
          <w:b/>
        </w:rPr>
        <w:t>KEY FACTS</w:t>
      </w:r>
      <w:r>
        <w:t>:</w:t>
      </w:r>
    </w:p>
    <w:p w14:paraId="294604F1" w14:textId="77777777" w:rsidR="00424D1C" w:rsidRDefault="00424D1C" w:rsidP="00424D1C">
      <w:pPr>
        <w:pStyle w:val="NoSpacing"/>
      </w:pPr>
    </w:p>
    <w:p w14:paraId="7E385967" w14:textId="77777777" w:rsidR="00424D1C" w:rsidRDefault="00424D1C" w:rsidP="00424D1C">
      <w:pPr>
        <w:pStyle w:val="NoSpacing"/>
        <w:ind w:left="720"/>
      </w:pPr>
      <w:r>
        <w:t>“Plaintiff alleges that Defendants made several ageist comments toward him in public, such as his supervisor, Battalion Chief Kenneth Huffman (‘Huffman’), saying, ‘We’re going to push you down the steps and you won’t recover.’ … On approximately June 4, 2022, Huffman ordered Plaintiff to respond on the ladder truck to a structure fire…. Huffman chose to put on his turnout gear and assist with the fire…. After the call, Defendant Whitener reprimanded Plaintiff for not putting on his turnout gear. Id. Plaintiff contends that he did not have an opportunity to put on his turnout gear. Id. The following day, Chief Yoder criticized Plaintiff, allegedly saying, ‘You think you don’t have to do anything but run the truck . . . [a]</w:t>
      </w:r>
      <w:proofErr w:type="spellStart"/>
      <w:r>
        <w:t>ll</w:t>
      </w:r>
      <w:proofErr w:type="spellEnd"/>
      <w:r>
        <w:t xml:space="preserve"> of the younger guys go in and actually fight fires….’</w:t>
      </w:r>
    </w:p>
    <w:p w14:paraId="52CACC0A" w14:textId="77777777" w:rsidR="00424D1C" w:rsidRDefault="00424D1C" w:rsidP="00424D1C">
      <w:pPr>
        <w:pStyle w:val="NoSpacing"/>
        <w:ind w:left="720"/>
      </w:pPr>
    </w:p>
    <w:p w14:paraId="49026CC8" w14:textId="77777777" w:rsidR="00424D1C" w:rsidRDefault="00424D1C" w:rsidP="00424D1C">
      <w:pPr>
        <w:pStyle w:val="NoSpacing"/>
        <w:ind w:left="720"/>
      </w:pPr>
      <w:r>
        <w:t>***</w:t>
      </w:r>
    </w:p>
    <w:p w14:paraId="7D1403A1" w14:textId="77777777" w:rsidR="00424D1C" w:rsidRDefault="00424D1C" w:rsidP="00424D1C">
      <w:pPr>
        <w:pStyle w:val="NoSpacing"/>
        <w:ind w:left="720"/>
      </w:pPr>
      <w:r>
        <w:t>On or about June 15, 2022, when Plaintiff was preparing to take leave for vacation, he</w:t>
      </w:r>
    </w:p>
    <w:p w14:paraId="03DC2291" w14:textId="77777777" w:rsidR="00424D1C" w:rsidRDefault="00424D1C" w:rsidP="00424D1C">
      <w:pPr>
        <w:pStyle w:val="NoSpacing"/>
        <w:ind w:left="720"/>
      </w:pPr>
      <w:r>
        <w:t>texted Huffman: ‘In the famous words of Cody Lawing, F U and F U and I am out of here.’ … Cody Lawing (‘Lawing’), an employee under the age of forty, used this phrase often to joke with various members of the Fire Department, stating the full explicative when doing so, and, at times, directing his words toward Huffman…. Lawing, however, was never terminated or reprimanded for using this language as it was known to be made in jest…. Plaintiff claims he sent the text to Huffman jokingly, and Huffman admitted he perceived the text as a joke, not a threat….</w:t>
      </w:r>
    </w:p>
    <w:p w14:paraId="2F26B785" w14:textId="77777777" w:rsidR="00424D1C" w:rsidRDefault="00424D1C" w:rsidP="00424D1C">
      <w:pPr>
        <w:pStyle w:val="NoSpacing"/>
        <w:ind w:left="720"/>
      </w:pPr>
    </w:p>
    <w:p w14:paraId="7B5B2E8C" w14:textId="77777777" w:rsidR="00424D1C" w:rsidRDefault="00424D1C" w:rsidP="00424D1C">
      <w:pPr>
        <w:pStyle w:val="NoSpacing"/>
        <w:ind w:left="720"/>
      </w:pPr>
      <w:r>
        <w:t xml:space="preserve">On June 22, 2022, the first day after Plaintiff returned from vacation, the </w:t>
      </w:r>
      <w:proofErr w:type="gramStart"/>
      <w:r>
        <w:t>City</w:t>
      </w:r>
      <w:proofErr w:type="gramEnd"/>
      <w:r>
        <w:t xml:space="preserve"> terminated</w:t>
      </w:r>
    </w:p>
    <w:p w14:paraId="7415AAC4" w14:textId="77777777" w:rsidR="00424D1C" w:rsidRDefault="00424D1C" w:rsidP="00424D1C">
      <w:pPr>
        <w:pStyle w:val="NoSpacing"/>
        <w:ind w:left="720"/>
      </w:pPr>
      <w:r>
        <w:t xml:space="preserve">Plaintiff….The City referenced personnel policy IV.10(b)(18), which prohibits ‘abusive </w:t>
      </w:r>
      <w:r w:rsidRPr="006F631B">
        <w:t>and/or threatening language to a supervisor</w:t>
      </w:r>
      <w:r>
        <w:t xml:space="preserve">’ </w:t>
      </w:r>
      <w:r w:rsidRPr="006F631B">
        <w:t>in terminating Plaintiff.</w:t>
      </w:r>
      <w:r>
        <w:t>”</w:t>
      </w:r>
    </w:p>
    <w:p w14:paraId="7E450F6B" w14:textId="77777777" w:rsidR="00424D1C" w:rsidRDefault="00424D1C" w:rsidP="00424D1C">
      <w:pPr>
        <w:pStyle w:val="NoSpacing"/>
      </w:pPr>
    </w:p>
    <w:p w14:paraId="3A6D8391" w14:textId="77777777" w:rsidR="00424D1C" w:rsidRPr="002C1CFD" w:rsidRDefault="00424D1C" w:rsidP="00424D1C">
      <w:pPr>
        <w:pStyle w:val="NoSpacing"/>
        <w:rPr>
          <w:b/>
          <w:bCs/>
        </w:rPr>
      </w:pPr>
      <w:r>
        <w:t xml:space="preserve"> </w:t>
      </w:r>
      <w:r>
        <w:rPr>
          <w:b/>
        </w:rPr>
        <w:t xml:space="preserve">Legal lesson learned:  Age-related comments can lead to litigation.  </w:t>
      </w:r>
    </w:p>
    <w:p w14:paraId="165D29B8" w14:textId="77777777" w:rsidR="00424D1C" w:rsidRDefault="00424D1C" w:rsidP="00424D1C">
      <w:pPr>
        <w:pStyle w:val="NoSpacing"/>
      </w:pPr>
    </w:p>
    <w:p w14:paraId="0F163BBB" w14:textId="77777777" w:rsidR="00424D1C" w:rsidRDefault="00424D1C" w:rsidP="00424D1C">
      <w:pPr>
        <w:pStyle w:val="NoSpacing"/>
        <w:ind w:left="720"/>
      </w:pPr>
      <w:r>
        <w:t xml:space="preserve">Note: On September 18, 2025, U.S. District Court Judge Kenneth D. Bell adopted the Magistrate’s recommendation </w:t>
      </w:r>
      <w:hyperlink r:id="rId1003" w:history="1">
        <w:r w:rsidRPr="00D0636F">
          <w:rPr>
            <w:rStyle w:val="Hyperlink"/>
          </w:rPr>
          <w:t>https://www.govinfo.gov/content/pkg/USCOURTS-ncwd-5_24-cv-00192/pdf/USCOURTS-ncwd-5_24-cv-00192-3.pdf</w:t>
        </w:r>
      </w:hyperlink>
      <w:r>
        <w:t xml:space="preserve"> </w:t>
      </w:r>
    </w:p>
    <w:p w14:paraId="5B6BA90F" w14:textId="77777777" w:rsidR="00D44956" w:rsidRDefault="00D44956" w:rsidP="00EF1133">
      <w:pPr>
        <w:rPr>
          <w:rFonts w:ascii="Arial Black" w:hAnsi="Arial Black"/>
          <w:b/>
          <w:sz w:val="24"/>
          <w:szCs w:val="24"/>
        </w:rPr>
      </w:pPr>
    </w:p>
    <w:p w14:paraId="0EDCAD5E" w14:textId="4FE382C8" w:rsidR="000624FD" w:rsidRDefault="000624FD" w:rsidP="000624FD">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8</w:t>
      </w:r>
    </w:p>
    <w:p w14:paraId="6802D4E8" w14:textId="77777777" w:rsidR="000624FD" w:rsidRDefault="000624FD" w:rsidP="00782139">
      <w:pPr>
        <w:rPr>
          <w:rFonts w:ascii="Arial Black" w:hAnsi="Arial Black"/>
          <w:sz w:val="28"/>
          <w:szCs w:val="28"/>
        </w:rPr>
      </w:pPr>
    </w:p>
    <w:p w14:paraId="7151D473" w14:textId="61CBF1A9" w:rsidR="00782139" w:rsidRPr="00A83858" w:rsidRDefault="00782139" w:rsidP="00782139">
      <w:pPr>
        <w:rPr>
          <w:rFonts w:ascii="Arial Black" w:hAnsi="Arial Black"/>
          <w:bCs/>
          <w:sz w:val="28"/>
          <w:szCs w:val="28"/>
        </w:rPr>
      </w:pPr>
      <w:r>
        <w:rPr>
          <w:rFonts w:ascii="Arial Black" w:hAnsi="Arial Black"/>
          <w:sz w:val="28"/>
          <w:szCs w:val="28"/>
        </w:rPr>
        <w:t xml:space="preserve">MD: WORK COMP – JURY FF 63% WORK COMP – NOT 3% </w:t>
      </w:r>
    </w:p>
    <w:p w14:paraId="6B502694" w14:textId="77777777" w:rsidR="00782139" w:rsidRDefault="00782139" w:rsidP="00782139">
      <w:pPr>
        <w:pStyle w:val="NoSpacing"/>
        <w:rPr>
          <w:bCs/>
        </w:rPr>
      </w:pPr>
      <w:r>
        <w:t xml:space="preserve">On September 2, 2025, in </w:t>
      </w:r>
      <w:r w:rsidRPr="004D4CE6">
        <w:rPr>
          <w:u w:val="single"/>
        </w:rPr>
        <w:t>Prince George’s County, Maryland v. Bradley Schroder</w:t>
      </w:r>
      <w:r>
        <w:t xml:space="preserve">, </w:t>
      </w:r>
      <w:r w:rsidRPr="004D4CE6">
        <w:t>Court of Special Appeals of Maryland</w:t>
      </w:r>
      <w:r>
        <w:t xml:space="preserve"> held (3 to 0; unreported decision) that firefighter Bradley Schroeder was properly awarded workers’ compensation by a jury of 63% prominent partial, overturning the Work Comp Commission award of only 3%.  </w:t>
      </w:r>
    </w:p>
    <w:p w14:paraId="7CE4DDB2" w14:textId="77777777" w:rsidR="00782139" w:rsidRDefault="00782139" w:rsidP="00782139">
      <w:pPr>
        <w:pStyle w:val="NoSpacing"/>
        <w:rPr>
          <w:bCs/>
        </w:rPr>
      </w:pPr>
    </w:p>
    <w:p w14:paraId="7319DF16" w14:textId="77777777" w:rsidR="00782139" w:rsidRDefault="00782139" w:rsidP="00782139">
      <w:pPr>
        <w:pStyle w:val="NoSpacing"/>
        <w:rPr>
          <w:bCs/>
        </w:rPr>
      </w:pPr>
      <w:r w:rsidRPr="00D82473">
        <w:rPr>
          <w:b/>
        </w:rPr>
        <w:t>THE COURT HELD:</w:t>
      </w:r>
      <w:r>
        <w:t xml:space="preserve"> “</w:t>
      </w:r>
      <w:r w:rsidRPr="00694FA2">
        <w:t>We do not hold that a finding by the jury of 63% permanent partial disability was</w:t>
      </w:r>
      <w:r>
        <w:t xml:space="preserve"> </w:t>
      </w:r>
      <w:r w:rsidRPr="00694FA2">
        <w:t>grossly excessive and the trial court therefore did not abuse its discretion in denying the</w:t>
      </w:r>
      <w:r>
        <w:t xml:space="preserve"> </w:t>
      </w:r>
      <w:r w:rsidRPr="00694FA2">
        <w:t>County’s motion for a new trial.</w:t>
      </w:r>
      <w:r>
        <w:t>”</w:t>
      </w:r>
    </w:p>
    <w:p w14:paraId="42903EB6" w14:textId="77777777" w:rsidR="00782139" w:rsidRDefault="00782139" w:rsidP="00782139">
      <w:pPr>
        <w:rPr>
          <w:bCs/>
        </w:rPr>
      </w:pPr>
      <w:hyperlink r:id="rId1004" w:history="1">
        <w:r w:rsidRPr="00204094">
          <w:rPr>
            <w:rStyle w:val="Hyperlink"/>
          </w:rPr>
          <w:t>https://www.courts.state.md.us/sites/default/files/unreported-opinions/1098s22.pdf</w:t>
        </w:r>
      </w:hyperlink>
      <w:r>
        <w:t xml:space="preserve"> </w:t>
      </w:r>
    </w:p>
    <w:p w14:paraId="32C29F5D" w14:textId="77777777" w:rsidR="00782139" w:rsidRDefault="00782139" w:rsidP="00782139">
      <w:pPr>
        <w:pStyle w:val="NoSpacing"/>
        <w:rPr>
          <w:bCs/>
        </w:rPr>
      </w:pPr>
    </w:p>
    <w:p w14:paraId="6F68850E" w14:textId="77777777" w:rsidR="00782139" w:rsidRPr="00BD39E4" w:rsidRDefault="00782139" w:rsidP="00782139">
      <w:pPr>
        <w:pStyle w:val="NoSpacing"/>
        <w:rPr>
          <w:b/>
        </w:rPr>
      </w:pPr>
      <w:r w:rsidRPr="00BD39E4">
        <w:rPr>
          <w:b/>
        </w:rPr>
        <w:t>KEY FACTS:</w:t>
      </w:r>
    </w:p>
    <w:p w14:paraId="17C554DD" w14:textId="77777777" w:rsidR="00782139" w:rsidRDefault="00782139" w:rsidP="00782139">
      <w:pPr>
        <w:pStyle w:val="NoSpacing"/>
        <w:rPr>
          <w:bCs/>
        </w:rPr>
      </w:pPr>
    </w:p>
    <w:p w14:paraId="08554F9F" w14:textId="77777777" w:rsidR="00782139" w:rsidRDefault="00782139" w:rsidP="00782139">
      <w:pPr>
        <w:pStyle w:val="NoSpacing"/>
        <w:ind w:left="720"/>
        <w:rPr>
          <w:bCs/>
        </w:rPr>
      </w:pPr>
      <w:r>
        <w:t>“</w:t>
      </w:r>
      <w:r w:rsidRPr="00742BFE">
        <w:t>While working for the Prince George’s County Fire Department, Bradley</w:t>
      </w:r>
      <w:r>
        <w:t xml:space="preserve"> </w:t>
      </w:r>
      <w:r w:rsidRPr="00742BFE">
        <w:t>Schroeder, the Appellee, suffered an injury to his back during a training exercise. Based</w:t>
      </w:r>
      <w:r>
        <w:t xml:space="preserve"> </w:t>
      </w:r>
      <w:r w:rsidRPr="00742BFE">
        <w:t>on his injuries, the Appellee filed a worker’s compensation claim. The Worker’s</w:t>
      </w:r>
      <w:r>
        <w:t xml:space="preserve"> </w:t>
      </w:r>
      <w:r w:rsidRPr="00742BFE">
        <w:t>Compensation Commission found that the Appellee had a 3.5% permanent partial</w:t>
      </w:r>
      <w:r>
        <w:t xml:space="preserve"> </w:t>
      </w:r>
      <w:r w:rsidRPr="00742BFE">
        <w:t>disability. The Appellee appealed this ruling to the Circuit Court for Prince George’s</w:t>
      </w:r>
      <w:r>
        <w:t xml:space="preserve"> </w:t>
      </w:r>
      <w:r w:rsidRPr="00742BFE">
        <w:t xml:space="preserve">County. After a trial, the jury returned a verdict of 63% permanent partial disability. </w:t>
      </w:r>
      <w:proofErr w:type="gramStart"/>
      <w:r w:rsidRPr="00742BFE">
        <w:t>The</w:t>
      </w:r>
      <w:r>
        <w:t xml:space="preserve"> </w:t>
      </w:r>
      <w:r w:rsidRPr="00742BFE">
        <w:t>Prince</w:t>
      </w:r>
      <w:proofErr w:type="gramEnd"/>
      <w:r w:rsidRPr="00742BFE">
        <w:t xml:space="preserve"> George’s County Government, the County, filed a Motion for a New Trial, arguing</w:t>
      </w:r>
      <w:r>
        <w:t xml:space="preserve"> </w:t>
      </w:r>
      <w:r w:rsidRPr="00742BFE">
        <w:t>that this verdict was grossly excessive, which the trial court denied. The County appealed</w:t>
      </w:r>
      <w:r>
        <w:t xml:space="preserve"> </w:t>
      </w:r>
      <w:r w:rsidRPr="00742BFE">
        <w:t>the judgment to this Court.</w:t>
      </w:r>
    </w:p>
    <w:p w14:paraId="4BDC361E" w14:textId="77777777" w:rsidR="00782139" w:rsidRDefault="00782139" w:rsidP="00782139">
      <w:pPr>
        <w:pStyle w:val="NoSpacing"/>
        <w:ind w:firstLine="720"/>
        <w:rPr>
          <w:bCs/>
        </w:rPr>
      </w:pPr>
    </w:p>
    <w:p w14:paraId="5A14EEF2" w14:textId="77777777" w:rsidR="00782139" w:rsidRDefault="00782139" w:rsidP="00782139">
      <w:pPr>
        <w:pStyle w:val="NoSpacing"/>
        <w:ind w:firstLine="720"/>
        <w:rPr>
          <w:bCs/>
        </w:rPr>
      </w:pPr>
      <w:r>
        <w:t>***</w:t>
      </w:r>
    </w:p>
    <w:p w14:paraId="701F8FC7" w14:textId="77777777" w:rsidR="00782139" w:rsidRPr="00033701" w:rsidRDefault="00782139" w:rsidP="00782139">
      <w:pPr>
        <w:pStyle w:val="NoSpacing"/>
        <w:ind w:firstLine="720"/>
        <w:rPr>
          <w:bCs/>
        </w:rPr>
      </w:pPr>
      <w:r w:rsidRPr="00033701">
        <w:t xml:space="preserve">The Appellee began working for </w:t>
      </w:r>
      <w:proofErr w:type="gramStart"/>
      <w:r w:rsidRPr="00033701">
        <w:t>the Prince</w:t>
      </w:r>
      <w:proofErr w:type="gramEnd"/>
      <w:r w:rsidRPr="00033701">
        <w:t xml:space="preserve"> George’s County Fire Department in</w:t>
      </w:r>
    </w:p>
    <w:p w14:paraId="05DBCBA5" w14:textId="77777777" w:rsidR="00782139" w:rsidRPr="00057EA9" w:rsidRDefault="00782139" w:rsidP="00782139">
      <w:pPr>
        <w:pStyle w:val="NoSpacing"/>
        <w:ind w:left="720"/>
        <w:rPr>
          <w:bCs/>
        </w:rPr>
      </w:pPr>
      <w:r w:rsidRPr="00033701">
        <w:t>June of 2015. On January 9, 2019, he participated in a training exercise at an abandoned</w:t>
      </w:r>
      <w:r>
        <w:t xml:space="preserve"> </w:t>
      </w:r>
      <w:r w:rsidRPr="00057EA9">
        <w:t>building. Part of the training involved a series of tasks performed with full gear, with the</w:t>
      </w:r>
    </w:p>
    <w:p w14:paraId="5C202047" w14:textId="77777777" w:rsidR="00782139" w:rsidRPr="00057EA9" w:rsidRDefault="00782139" w:rsidP="00782139">
      <w:pPr>
        <w:pStyle w:val="NoSpacing"/>
        <w:ind w:firstLine="720"/>
        <w:rPr>
          <w:bCs/>
        </w:rPr>
      </w:pPr>
      <w:r w:rsidRPr="00057EA9">
        <w:t>final task being a simulation of the ceiling falling on the firefighter. This simulation</w:t>
      </w:r>
    </w:p>
    <w:p w14:paraId="57832B7E" w14:textId="77777777" w:rsidR="00782139" w:rsidRPr="00057EA9" w:rsidRDefault="00782139" w:rsidP="00782139">
      <w:pPr>
        <w:pStyle w:val="NoSpacing"/>
        <w:ind w:firstLine="720"/>
        <w:rPr>
          <w:bCs/>
        </w:rPr>
      </w:pPr>
      <w:r w:rsidRPr="00057EA9">
        <w:t>involved a heavy six-foot by ten-foot chain-link fence coming down directly on top of the</w:t>
      </w:r>
    </w:p>
    <w:p w14:paraId="5E286999" w14:textId="77777777" w:rsidR="00782139" w:rsidRPr="00057EA9" w:rsidRDefault="00782139" w:rsidP="00782139">
      <w:pPr>
        <w:pStyle w:val="NoSpacing"/>
        <w:ind w:firstLine="720"/>
        <w:rPr>
          <w:bCs/>
        </w:rPr>
      </w:pPr>
      <w:r w:rsidRPr="00057EA9">
        <w:t>firefighter. When the Appellee got to this part of the simulation, the other firefighters put</w:t>
      </w:r>
    </w:p>
    <w:p w14:paraId="4F67F0D7" w14:textId="77777777" w:rsidR="00782139" w:rsidRDefault="00782139" w:rsidP="00782139">
      <w:pPr>
        <w:pStyle w:val="NoSpacing"/>
        <w:ind w:left="720"/>
        <w:rPr>
          <w:bCs/>
        </w:rPr>
      </w:pPr>
      <w:r w:rsidRPr="00057EA9">
        <w:t>the fence down on him. The Appellee threw it off and knelt on all fours on the ground. The</w:t>
      </w:r>
      <w:r>
        <w:t xml:space="preserve"> </w:t>
      </w:r>
      <w:r w:rsidRPr="00057EA9">
        <w:t>instructor then jumped on the Appellee’s back and the Appellee flattened out on the floor,</w:t>
      </w:r>
      <w:r>
        <w:t xml:space="preserve"> </w:t>
      </w:r>
      <w:r w:rsidRPr="00057EA9">
        <w:t>held down by the others until he called for a mayday on his radio. The Appellee’s back</w:t>
      </w:r>
      <w:r>
        <w:t xml:space="preserve"> </w:t>
      </w:r>
      <w:r w:rsidRPr="00057EA9">
        <w:t>began to hurt immediately after this exercise.</w:t>
      </w:r>
    </w:p>
    <w:p w14:paraId="618F5546" w14:textId="77777777" w:rsidR="00782139" w:rsidRDefault="00782139" w:rsidP="00782139">
      <w:pPr>
        <w:pStyle w:val="NoSpacing"/>
        <w:ind w:left="720"/>
        <w:rPr>
          <w:bCs/>
        </w:rPr>
      </w:pPr>
    </w:p>
    <w:p w14:paraId="52C75138" w14:textId="77777777" w:rsidR="00782139" w:rsidRDefault="00782139" w:rsidP="00782139">
      <w:pPr>
        <w:pStyle w:val="NoSpacing"/>
        <w:ind w:left="720"/>
        <w:rPr>
          <w:bCs/>
        </w:rPr>
      </w:pPr>
      <w:r>
        <w:t>***</w:t>
      </w:r>
    </w:p>
    <w:p w14:paraId="4383B5AC" w14:textId="77777777" w:rsidR="00782139" w:rsidRPr="00E2647D" w:rsidRDefault="00782139" w:rsidP="00782139">
      <w:pPr>
        <w:pStyle w:val="NoSpacing"/>
        <w:ind w:left="720"/>
        <w:rPr>
          <w:bCs/>
        </w:rPr>
      </w:pPr>
      <w:r w:rsidRPr="00E2647D">
        <w:t>The Appellee filed a worker’s compensation claim. A hearing was held by the</w:t>
      </w:r>
      <w:r>
        <w:t xml:space="preserve"> </w:t>
      </w:r>
      <w:r w:rsidRPr="00E2647D">
        <w:t>Workers’ Compensation Commission on September 25, 2020. By this time, the Appellee</w:t>
      </w:r>
    </w:p>
    <w:p w14:paraId="2EDD69A4" w14:textId="77777777" w:rsidR="00782139" w:rsidRPr="00E2647D" w:rsidRDefault="00782139" w:rsidP="00782139">
      <w:pPr>
        <w:pStyle w:val="NoSpacing"/>
        <w:ind w:left="720"/>
        <w:rPr>
          <w:bCs/>
        </w:rPr>
      </w:pPr>
      <w:r w:rsidRPr="00E2647D">
        <w:t>had returned to his full duties. However, he was not working any voluntary overtime like</w:t>
      </w:r>
    </w:p>
    <w:p w14:paraId="7F2A9077" w14:textId="77777777" w:rsidR="00782139" w:rsidRPr="00E2647D" w:rsidRDefault="00782139" w:rsidP="00782139">
      <w:pPr>
        <w:pStyle w:val="NoSpacing"/>
        <w:ind w:left="720"/>
        <w:rPr>
          <w:bCs/>
        </w:rPr>
      </w:pPr>
      <w:proofErr w:type="gramStart"/>
      <w:r w:rsidRPr="00E2647D">
        <w:t>he</w:t>
      </w:r>
      <w:proofErr w:type="gramEnd"/>
      <w:r w:rsidRPr="00E2647D">
        <w:t xml:space="preserve"> had prior to his injuries because he needed to rest his back. His injuries prevented him</w:t>
      </w:r>
    </w:p>
    <w:p w14:paraId="1EF527E8" w14:textId="77777777" w:rsidR="00782139" w:rsidRPr="00E2647D" w:rsidRDefault="00782139" w:rsidP="00782139">
      <w:pPr>
        <w:pStyle w:val="NoSpacing"/>
        <w:ind w:left="720"/>
        <w:rPr>
          <w:bCs/>
        </w:rPr>
      </w:pPr>
      <w:r w:rsidRPr="00E2647D">
        <w:t>from playing softball and golf. The Appellee said that at the time of the hearing his</w:t>
      </w:r>
    </w:p>
    <w:p w14:paraId="3E08C0BB" w14:textId="77777777" w:rsidR="00782139" w:rsidRPr="00C06A4E" w:rsidRDefault="00782139" w:rsidP="00782139">
      <w:pPr>
        <w:pStyle w:val="NoSpacing"/>
        <w:ind w:left="720"/>
        <w:rPr>
          <w:bCs/>
        </w:rPr>
      </w:pPr>
      <w:r w:rsidRPr="00E2647D">
        <w:t>symptoms had not resolved. The Appellee said he still had pain during 24-hour shifts,</w:t>
      </w:r>
      <w:r>
        <w:t xml:space="preserve"> </w:t>
      </w:r>
      <w:r w:rsidRPr="00C06A4E">
        <w:t>especially when he was crawling around. The pain was shooting pain down his back and</w:t>
      </w:r>
    </w:p>
    <w:p w14:paraId="70D68A6A" w14:textId="77777777" w:rsidR="00782139" w:rsidRDefault="00782139" w:rsidP="00782139">
      <w:pPr>
        <w:pStyle w:val="NoSpacing"/>
        <w:ind w:left="720"/>
        <w:rPr>
          <w:bCs/>
        </w:rPr>
      </w:pPr>
      <w:r w:rsidRPr="00C06A4E">
        <w:t>he experienced stiffness between his shoulder blades.</w:t>
      </w:r>
      <w:r>
        <w:t>”</w:t>
      </w:r>
    </w:p>
    <w:p w14:paraId="71890575" w14:textId="77777777" w:rsidR="00782139" w:rsidRDefault="00782139" w:rsidP="00782139">
      <w:pPr>
        <w:pStyle w:val="NoSpacing"/>
        <w:rPr>
          <w:bCs/>
        </w:rPr>
      </w:pPr>
    </w:p>
    <w:p w14:paraId="30A34A92" w14:textId="77777777" w:rsidR="00782139" w:rsidRPr="00552F88" w:rsidRDefault="00782139" w:rsidP="00782139">
      <w:pPr>
        <w:pStyle w:val="NoSpacing"/>
        <w:rPr>
          <w:b/>
        </w:rPr>
      </w:pPr>
      <w:r>
        <w:rPr>
          <w:b/>
        </w:rPr>
        <w:t xml:space="preserve">Legal lesson learned:  Maryland law provides for jury to increase Work Comp award. </w:t>
      </w:r>
    </w:p>
    <w:p w14:paraId="2FABEA8C" w14:textId="77777777" w:rsidR="00782139" w:rsidRDefault="00782139" w:rsidP="00EF1133">
      <w:pPr>
        <w:rPr>
          <w:rFonts w:ascii="Arial Black" w:hAnsi="Arial Black"/>
          <w:b/>
          <w:sz w:val="24"/>
          <w:szCs w:val="24"/>
        </w:rPr>
      </w:pPr>
    </w:p>
    <w:p w14:paraId="4DB6EBA5" w14:textId="77777777" w:rsidR="005E6D64" w:rsidRDefault="005E6D64" w:rsidP="00EF1133">
      <w:pPr>
        <w:rPr>
          <w:rFonts w:ascii="Arial Black" w:hAnsi="Arial Black"/>
          <w:b/>
          <w:sz w:val="24"/>
          <w:szCs w:val="24"/>
        </w:rPr>
      </w:pPr>
    </w:p>
    <w:p w14:paraId="5810C630" w14:textId="376F9DAE" w:rsidR="000624FD" w:rsidRDefault="000624FD" w:rsidP="000624FD">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7</w:t>
      </w:r>
    </w:p>
    <w:p w14:paraId="65DF2835" w14:textId="77777777" w:rsidR="000624FD" w:rsidRDefault="000624FD" w:rsidP="005E6D64">
      <w:pPr>
        <w:pStyle w:val="NoSpacing"/>
        <w:rPr>
          <w:rFonts w:ascii="Arial Black" w:hAnsi="Arial Black"/>
          <w:sz w:val="28"/>
          <w:szCs w:val="28"/>
        </w:rPr>
      </w:pPr>
    </w:p>
    <w:p w14:paraId="2FDED63F" w14:textId="40D6DB7C" w:rsidR="005E6D64" w:rsidRPr="00606633" w:rsidRDefault="005E6D64" w:rsidP="005E6D64">
      <w:pPr>
        <w:pStyle w:val="NoSpacing"/>
        <w:rPr>
          <w:rFonts w:ascii="Arial Black" w:hAnsi="Arial Black"/>
          <w:sz w:val="28"/>
          <w:szCs w:val="28"/>
        </w:rPr>
      </w:pPr>
      <w:r>
        <w:rPr>
          <w:rFonts w:ascii="Arial Black" w:hAnsi="Arial Black"/>
          <w:sz w:val="28"/>
          <w:szCs w:val="28"/>
        </w:rPr>
        <w:t xml:space="preserve">NY: WIDOW – </w:t>
      </w:r>
      <w:r w:rsidR="007A51E6">
        <w:rPr>
          <w:rFonts w:ascii="Arial Black" w:hAnsi="Arial Black"/>
          <w:sz w:val="28"/>
          <w:szCs w:val="28"/>
        </w:rPr>
        <w:t xml:space="preserve">LODD </w:t>
      </w:r>
      <w:r w:rsidR="00042C6A">
        <w:rPr>
          <w:rFonts w:ascii="Arial Black" w:hAnsi="Arial Black"/>
          <w:sz w:val="28"/>
          <w:szCs w:val="28"/>
        </w:rPr>
        <w:t xml:space="preserve">BENEFITS </w:t>
      </w:r>
      <w:r w:rsidR="00693E53">
        <w:rPr>
          <w:rFonts w:ascii="Arial Black" w:hAnsi="Arial Black"/>
          <w:sz w:val="28"/>
          <w:szCs w:val="28"/>
        </w:rPr>
        <w:t>–</w:t>
      </w:r>
      <w:r w:rsidR="00042C6A">
        <w:rPr>
          <w:rFonts w:ascii="Arial Black" w:hAnsi="Arial Black"/>
          <w:sz w:val="28"/>
          <w:szCs w:val="28"/>
        </w:rPr>
        <w:t xml:space="preserve"> </w:t>
      </w:r>
      <w:r>
        <w:rPr>
          <w:rFonts w:ascii="Arial Black" w:hAnsi="Arial Black"/>
          <w:sz w:val="28"/>
          <w:szCs w:val="28"/>
        </w:rPr>
        <w:t>CARDIAC</w:t>
      </w:r>
      <w:r w:rsidR="00693E53">
        <w:rPr>
          <w:rFonts w:ascii="Arial Black" w:hAnsi="Arial Black"/>
          <w:sz w:val="28"/>
          <w:szCs w:val="28"/>
        </w:rPr>
        <w:t xml:space="preserve"> – NY </w:t>
      </w:r>
      <w:r>
        <w:rPr>
          <w:rFonts w:ascii="Arial Black" w:hAnsi="Arial Black"/>
          <w:sz w:val="28"/>
          <w:szCs w:val="28"/>
        </w:rPr>
        <w:t xml:space="preserve">HEART BILL – EVEN IF COCAINE </w:t>
      </w:r>
    </w:p>
    <w:p w14:paraId="12CE0DD3" w14:textId="77777777" w:rsidR="005E6D64" w:rsidRDefault="005E6D64" w:rsidP="005E6D64">
      <w:pPr>
        <w:pStyle w:val="NoSpacing"/>
      </w:pPr>
    </w:p>
    <w:p w14:paraId="05F51074" w14:textId="77777777" w:rsidR="005E6D64" w:rsidRDefault="005E6D64" w:rsidP="005E6D64">
      <w:pPr>
        <w:pStyle w:val="NoSpacing"/>
        <w:rPr>
          <w:bCs/>
        </w:rPr>
      </w:pPr>
      <w:r>
        <w:t xml:space="preserve">On Aug. 26, 2025, in </w:t>
      </w:r>
      <w:r w:rsidRPr="00B80F96">
        <w:rPr>
          <w:u w:val="single"/>
        </w:rPr>
        <w:t>Deborah Morrison-Morgan v. Robert Tucker, The Board of Trustees of the New York City Fire Department</w:t>
      </w:r>
      <w:r>
        <w:t xml:space="preserve">, the </w:t>
      </w:r>
      <w:r w:rsidRPr="00B80F96">
        <w:t xml:space="preserve">Supreme Court, </w:t>
      </w:r>
      <w:r>
        <w:t xml:space="preserve">Justice Jeffrey H. Pearlman, Supreme Court, </w:t>
      </w:r>
      <w:r w:rsidRPr="00B80F96">
        <w:t>New York County</w:t>
      </w:r>
      <w:r>
        <w:t xml:space="preserve"> held (unpublished decision) that the widow is entitled to line-of-duty death benefits under the Heart Bill’s statutory presumption, even if autopsy revealed cocaine.  </w:t>
      </w:r>
    </w:p>
    <w:p w14:paraId="2584D97B" w14:textId="77777777" w:rsidR="005E6D64" w:rsidRDefault="005E6D64" w:rsidP="005E6D64">
      <w:pPr>
        <w:pStyle w:val="NoSpacing"/>
        <w:rPr>
          <w:bCs/>
        </w:rPr>
      </w:pPr>
    </w:p>
    <w:p w14:paraId="74980505" w14:textId="77777777" w:rsidR="005E6D64" w:rsidRDefault="005E6D64" w:rsidP="005E6D64">
      <w:pPr>
        <w:pStyle w:val="NoSpacing"/>
      </w:pPr>
      <w:r w:rsidRPr="002B48FE">
        <w:rPr>
          <w:b/>
        </w:rPr>
        <w:t>THE COURT HELD:</w:t>
      </w:r>
      <w:r>
        <w:t xml:space="preserve"> “[W]hen Decedent joined the FDNY, he passed his physical examination … revealed no heart conditions. Decedent died while serving as an FDNY firefighter and his autopsy report listed cardiomegaly and coronary atherosclerosis, moderate, both heart diseases…. These facts plainly qualify Petitioner for the statutory presumption </w:t>
      </w:r>
      <w:r>
        <w:lastRenderedPageBreak/>
        <w:t>that t</w:t>
      </w:r>
      <w:r w:rsidRPr="00430B2A">
        <w:t>he Heart Bill provides.</w:t>
      </w:r>
      <w:r>
        <w:t xml:space="preserve">”  </w:t>
      </w:r>
      <w:hyperlink r:id="rId1005" w:history="1">
        <w:r w:rsidRPr="008D04E3">
          <w:rPr>
            <w:rStyle w:val="Hyperlink"/>
          </w:rPr>
          <w:t>https://cases.justia.com/new-york/other-courts/2025-2025-ny-slip-op-33207-u.pdf?ts=1757714614</w:t>
        </w:r>
      </w:hyperlink>
      <w:r>
        <w:t xml:space="preserve"> </w:t>
      </w:r>
    </w:p>
    <w:p w14:paraId="070579A5" w14:textId="77777777" w:rsidR="005E6D64" w:rsidRDefault="005E6D64" w:rsidP="005E6D64">
      <w:pPr>
        <w:rPr>
          <w:bCs/>
        </w:rPr>
      </w:pPr>
    </w:p>
    <w:p w14:paraId="781866E9" w14:textId="77777777" w:rsidR="005E6D64" w:rsidRPr="002B48FE" w:rsidRDefault="005E6D64" w:rsidP="005E6D64">
      <w:pPr>
        <w:rPr>
          <w:b/>
        </w:rPr>
      </w:pPr>
      <w:r w:rsidRPr="002B48FE">
        <w:rPr>
          <w:b/>
        </w:rPr>
        <w:t>KEY FACTS:</w:t>
      </w:r>
    </w:p>
    <w:p w14:paraId="5B30ECC8" w14:textId="77777777" w:rsidR="005E6D64" w:rsidRPr="007B337D" w:rsidRDefault="005E6D64" w:rsidP="005E6D64">
      <w:pPr>
        <w:pStyle w:val="NoSpacing"/>
        <w:ind w:firstLine="720"/>
        <w:rPr>
          <w:bCs/>
        </w:rPr>
      </w:pPr>
      <w:r>
        <w:t>“</w:t>
      </w:r>
      <w:r w:rsidRPr="007B337D">
        <w:t>Petitioner is the widow and beneficiary</w:t>
      </w:r>
      <w:r>
        <w:t xml:space="preserve"> </w:t>
      </w:r>
      <w:r w:rsidRPr="007B337D">
        <w:t>of</w:t>
      </w:r>
      <w:r>
        <w:t xml:space="preserve"> </w:t>
      </w:r>
      <w:r w:rsidRPr="007B337D">
        <w:t>FDNY Firefighter John P. Morgan</w:t>
      </w:r>
    </w:p>
    <w:p w14:paraId="7EF8A379" w14:textId="77777777" w:rsidR="005E6D64" w:rsidRPr="007B337D" w:rsidRDefault="005E6D64" w:rsidP="005E6D64">
      <w:pPr>
        <w:pStyle w:val="NoSpacing"/>
        <w:ind w:left="720"/>
        <w:rPr>
          <w:bCs/>
        </w:rPr>
      </w:pPr>
      <w:r w:rsidRPr="007B337D">
        <w:t>(</w:t>
      </w:r>
      <w:r>
        <w:t>‘</w:t>
      </w:r>
      <w:r w:rsidRPr="007B337D">
        <w:t>Decedent</w:t>
      </w:r>
      <w:r>
        <w:t>’</w:t>
      </w:r>
      <w:r w:rsidRPr="007B337D">
        <w:t xml:space="preserve">). Decedent served as a Firefighter in the FDNY from August 5, </w:t>
      </w:r>
      <w:proofErr w:type="gramStart"/>
      <w:r w:rsidRPr="007B337D">
        <w:t>2007</w:t>
      </w:r>
      <w:proofErr w:type="gramEnd"/>
      <w:r w:rsidRPr="007B337D">
        <w:t xml:space="preserve"> continuously</w:t>
      </w:r>
      <w:r>
        <w:t xml:space="preserve"> </w:t>
      </w:r>
      <w:r w:rsidRPr="007B337D">
        <w:t>until his death on July 4, 2024. On June 17, 2023, the FDNY Bureau</w:t>
      </w:r>
    </w:p>
    <w:p w14:paraId="23A44B99" w14:textId="77777777" w:rsidR="005E6D64" w:rsidRDefault="005E6D64" w:rsidP="005E6D64">
      <w:pPr>
        <w:pStyle w:val="NoSpacing"/>
        <w:ind w:left="720"/>
        <w:rPr>
          <w:bCs/>
        </w:rPr>
      </w:pPr>
      <w:r w:rsidRPr="007B337D">
        <w:t>Of</w:t>
      </w:r>
      <w:r>
        <w:t xml:space="preserve"> </w:t>
      </w:r>
      <w:r w:rsidRPr="007B337D">
        <w:t xml:space="preserve">Health </w:t>
      </w:r>
      <w:proofErr w:type="gramStart"/>
      <w:r w:rsidRPr="007B337D">
        <w:t>Services</w:t>
      </w:r>
      <w:r>
        <w:t xml:space="preserve"> </w:t>
      </w:r>
      <w:r w:rsidRPr="005516F1">
        <w:t>(</w:t>
      </w:r>
      <w:r>
        <w:t>‘</w:t>
      </w:r>
      <w:proofErr w:type="gramEnd"/>
      <w:r w:rsidRPr="005516F1">
        <w:t>BHS</w:t>
      </w:r>
      <w:r>
        <w:t>’</w:t>
      </w:r>
      <w:r w:rsidRPr="005516F1">
        <w:t xml:space="preserve">) examined Decedent due to a </w:t>
      </w:r>
      <w:proofErr w:type="gramStart"/>
      <w:r w:rsidRPr="005516F1">
        <w:t>service connected</w:t>
      </w:r>
      <w:proofErr w:type="gramEnd"/>
      <w:r w:rsidRPr="005516F1">
        <w:t xml:space="preserve"> injury. Pet. </w:t>
      </w:r>
      <w:proofErr w:type="spellStart"/>
      <w:r w:rsidRPr="005516F1">
        <w:t>Exh</w:t>
      </w:r>
      <w:proofErr w:type="spellEnd"/>
      <w:r w:rsidRPr="005516F1">
        <w:t>. A., NYSCEF Doc. No.</w:t>
      </w:r>
      <w:r>
        <w:t xml:space="preserve"> </w:t>
      </w:r>
      <w:r w:rsidRPr="005516F1">
        <w:t>3. In BHS's Examination Report, decedent's blood pressure reading was 157/98, a reading</w:t>
      </w:r>
      <w:r>
        <w:t xml:space="preserve"> </w:t>
      </w:r>
      <w:r w:rsidRPr="005516F1">
        <w:t>consistent with Stage II Hypertension. Id. On July 1, 2023, a BHS Clinic-Triage report measured</w:t>
      </w:r>
      <w:r>
        <w:t xml:space="preserve"> </w:t>
      </w:r>
      <w:r w:rsidRPr="005516F1">
        <w:t>Decedent's blood pressure at 157/98, also consistent with Stage II Hypertension</w:t>
      </w:r>
      <w:r>
        <w:t xml:space="preserve">…. </w:t>
      </w:r>
      <w:r w:rsidRPr="005516F1">
        <w:t>Decedent died on July 4, 2023, during active service; an autopsy reported</w:t>
      </w:r>
      <w:r>
        <w:t xml:space="preserve"> </w:t>
      </w:r>
      <w:r w:rsidRPr="005516F1">
        <w:t xml:space="preserve">the cause of death as </w:t>
      </w:r>
      <w:r>
        <w:t>‘</w:t>
      </w:r>
      <w:r w:rsidRPr="005516F1">
        <w:t>cardiomegaly with recent cocaine use" with pathological diagnoses</w:t>
      </w:r>
      <w:r>
        <w:t xml:space="preserve"> </w:t>
      </w:r>
      <w:r w:rsidRPr="005516F1">
        <w:t>including</w:t>
      </w:r>
      <w:r>
        <w:t xml:space="preserve">’ </w:t>
      </w:r>
      <w:r w:rsidRPr="005516F1">
        <w:t>coronary atherosclerosis, moderate</w:t>
      </w:r>
      <w:r>
        <w:t>….’</w:t>
      </w:r>
      <w:r w:rsidRPr="005516F1">
        <w:t xml:space="preserve"> </w:t>
      </w:r>
    </w:p>
    <w:p w14:paraId="70F5031F" w14:textId="77777777" w:rsidR="005E6D64" w:rsidRDefault="005E6D64" w:rsidP="005E6D64">
      <w:pPr>
        <w:pStyle w:val="NoSpacing"/>
        <w:ind w:left="720"/>
        <w:rPr>
          <w:bCs/>
        </w:rPr>
      </w:pPr>
    </w:p>
    <w:p w14:paraId="0285B49A" w14:textId="77777777" w:rsidR="005E6D64" w:rsidRPr="00ED7AB1" w:rsidRDefault="005E6D64" w:rsidP="005E6D64">
      <w:pPr>
        <w:pStyle w:val="NoSpacing"/>
        <w:ind w:left="720"/>
        <w:rPr>
          <w:bCs/>
        </w:rPr>
      </w:pPr>
      <w:r w:rsidRPr="00ED7AB1">
        <w:t>Petitioner filed an Application for Administrative Line-of-Duty Pension with the FDF on</w:t>
      </w:r>
    </w:p>
    <w:p w14:paraId="5E6E20A1" w14:textId="77777777" w:rsidR="005E6D64" w:rsidRDefault="005E6D64" w:rsidP="005E6D64">
      <w:pPr>
        <w:pStyle w:val="NoSpacing"/>
        <w:ind w:left="720"/>
        <w:rPr>
          <w:bCs/>
        </w:rPr>
      </w:pPr>
      <w:r w:rsidRPr="00ED7AB1">
        <w:t>September 11, 2023</w:t>
      </w:r>
      <w:r>
        <w:t>….</w:t>
      </w:r>
      <w:r w:rsidRPr="00ED7AB1">
        <w:t xml:space="preserve"> On January 2, 2024, the FPF Medical</w:t>
      </w:r>
      <w:r>
        <w:t xml:space="preserve"> </w:t>
      </w:r>
      <w:r w:rsidRPr="00ED7AB1">
        <w:t xml:space="preserve">Board declined Petitioner's application on the grounds that it was </w:t>
      </w:r>
      <w:r>
        <w:t>‘</w:t>
      </w:r>
      <w:r w:rsidRPr="00ED7AB1">
        <w:t>not possible to define the</w:t>
      </w:r>
      <w:r>
        <w:t xml:space="preserve"> </w:t>
      </w:r>
      <w:r w:rsidRPr="00ED7AB1">
        <w:t>basis for [Decedent]'s death ... [as] cardiomegaly ... does not define the etiology of his death.</w:t>
      </w:r>
      <w:r>
        <w:t xml:space="preserve">’ … </w:t>
      </w:r>
      <w:r w:rsidRPr="00ED7AB1">
        <w:t xml:space="preserve">The Medical Board further cited </w:t>
      </w:r>
      <w:r>
        <w:t>‘</w:t>
      </w:r>
      <w:r w:rsidRPr="00ED7AB1">
        <w:t>evidence of recent cocaine use</w:t>
      </w:r>
      <w:r>
        <w:t xml:space="preserve">’ </w:t>
      </w:r>
      <w:r w:rsidRPr="00ED7AB1">
        <w:t>as a factor obscuring Decedent's cause of death. Id. On May 29, 2024, the Board of Trustees</w:t>
      </w:r>
      <w:r>
        <w:t xml:space="preserve"> </w:t>
      </w:r>
      <w:r w:rsidRPr="00ED7AB1">
        <w:t xml:space="preserve">denied Petitioner's application based on the Medical Board </w:t>
      </w:r>
      <w:proofErr w:type="gramStart"/>
      <w:r w:rsidRPr="00ED7AB1">
        <w:t>recommendation.</w:t>
      </w:r>
      <w:r>
        <w:t>”</w:t>
      </w:r>
      <w:proofErr w:type="gramEnd"/>
    </w:p>
    <w:p w14:paraId="41E6B288" w14:textId="77777777" w:rsidR="005E6D64" w:rsidRDefault="005E6D64" w:rsidP="005E6D64">
      <w:pPr>
        <w:pStyle w:val="NoSpacing"/>
        <w:rPr>
          <w:b/>
          <w:bCs/>
        </w:rPr>
      </w:pPr>
    </w:p>
    <w:p w14:paraId="4A5BE76B" w14:textId="77777777" w:rsidR="005E6D64" w:rsidRPr="00466C63" w:rsidRDefault="005E6D64" w:rsidP="005E6D64">
      <w:pPr>
        <w:pStyle w:val="NoSpacing"/>
        <w:rPr>
          <w:b/>
          <w:bCs/>
        </w:rPr>
      </w:pPr>
      <w:r>
        <w:rPr>
          <w:b/>
        </w:rPr>
        <w:t>Legal lesson learned</w:t>
      </w:r>
      <w:proofErr w:type="gramStart"/>
      <w:r>
        <w:rPr>
          <w:b/>
        </w:rPr>
        <w:t>: The</w:t>
      </w:r>
      <w:r>
        <w:rPr>
          <w:b/>
          <w:bCs/>
        </w:rPr>
        <w:t xml:space="preserve"> </w:t>
      </w:r>
      <w:r>
        <w:rPr>
          <w:b/>
        </w:rPr>
        <w:t>statutory</w:t>
      </w:r>
      <w:proofErr w:type="gramEnd"/>
      <w:r>
        <w:rPr>
          <w:b/>
        </w:rPr>
        <w:t xml:space="preserve"> presumption in the Heart Bill controls, even if there is evidence of cocaine use. </w:t>
      </w:r>
    </w:p>
    <w:p w14:paraId="7019FBD4" w14:textId="77777777" w:rsidR="005E6D64" w:rsidRDefault="005E6D64" w:rsidP="00EF1133">
      <w:pPr>
        <w:rPr>
          <w:rFonts w:ascii="Arial Black" w:hAnsi="Arial Black"/>
          <w:b/>
          <w:sz w:val="24"/>
          <w:szCs w:val="24"/>
        </w:rPr>
      </w:pPr>
    </w:p>
    <w:p w14:paraId="28943BD2" w14:textId="77777777" w:rsidR="00D44956" w:rsidRDefault="00D44956" w:rsidP="00EF1133">
      <w:pPr>
        <w:rPr>
          <w:rFonts w:ascii="Arial Black" w:hAnsi="Arial Black"/>
          <w:b/>
          <w:sz w:val="24"/>
          <w:szCs w:val="24"/>
        </w:rPr>
      </w:pPr>
    </w:p>
    <w:p w14:paraId="15FB7053" w14:textId="67D0D791" w:rsidR="002F205D" w:rsidRDefault="002F205D" w:rsidP="0086215E">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6</w:t>
      </w:r>
    </w:p>
    <w:p w14:paraId="24B5C097" w14:textId="77777777" w:rsidR="002F205D" w:rsidRDefault="002F205D" w:rsidP="0086215E">
      <w:pPr>
        <w:pStyle w:val="NoSpacing"/>
        <w:rPr>
          <w:rFonts w:ascii="Arial Black" w:hAnsi="Arial Black"/>
          <w:b/>
          <w:sz w:val="28"/>
          <w:szCs w:val="28"/>
        </w:rPr>
      </w:pPr>
    </w:p>
    <w:p w14:paraId="0C0308E4" w14:textId="6A10E1DD" w:rsidR="0086215E" w:rsidRPr="0084729D" w:rsidRDefault="0086215E" w:rsidP="0086215E">
      <w:pPr>
        <w:pStyle w:val="NoSpacing"/>
        <w:rPr>
          <w:rFonts w:ascii="Arial Black" w:hAnsi="Arial Black"/>
          <w:b/>
          <w:sz w:val="28"/>
          <w:szCs w:val="28"/>
        </w:rPr>
      </w:pPr>
      <w:r>
        <w:rPr>
          <w:rFonts w:ascii="Arial Black" w:hAnsi="Arial Black"/>
          <w:b/>
          <w:sz w:val="28"/>
          <w:szCs w:val="28"/>
        </w:rPr>
        <w:t xml:space="preserve">IL: FF BACK INJURY – NOT CREDIBLE CLAIM </w:t>
      </w:r>
    </w:p>
    <w:p w14:paraId="6B78C973" w14:textId="77777777" w:rsidR="0086215E" w:rsidRDefault="0086215E" w:rsidP="0086215E">
      <w:pPr>
        <w:pStyle w:val="NoSpacing"/>
        <w:rPr>
          <w:bCs/>
        </w:rPr>
      </w:pPr>
    </w:p>
    <w:p w14:paraId="68F032A4" w14:textId="13D52A94" w:rsidR="003B3DED" w:rsidRPr="00483671" w:rsidRDefault="0086215E" w:rsidP="0086215E">
      <w:pPr>
        <w:pStyle w:val="NoSpacing"/>
        <w:rPr>
          <w:rFonts w:ascii="Times New Roman" w:hAnsi="Times New Roman"/>
          <w:sz w:val="24"/>
          <w:szCs w:val="24"/>
        </w:rPr>
      </w:pPr>
      <w:r w:rsidRPr="00483671">
        <w:rPr>
          <w:rFonts w:ascii="Times New Roman" w:hAnsi="Times New Roman"/>
          <w:sz w:val="24"/>
          <w:szCs w:val="24"/>
        </w:rPr>
        <w:t xml:space="preserve">On July 25, 2025, in </w:t>
      </w:r>
      <w:r w:rsidRPr="00483671">
        <w:rPr>
          <w:rFonts w:ascii="Times New Roman" w:hAnsi="Times New Roman"/>
          <w:sz w:val="24"/>
          <w:szCs w:val="24"/>
          <w:u w:val="single"/>
        </w:rPr>
        <w:t>Nicholas Witteman v. Brookfield Firefighters’ Pension Fund</w:t>
      </w:r>
      <w:r w:rsidRPr="00483671">
        <w:rPr>
          <w:rFonts w:ascii="Times New Roman" w:hAnsi="Times New Roman"/>
          <w:sz w:val="24"/>
          <w:szCs w:val="24"/>
        </w:rPr>
        <w:t xml:space="preserve">, the Court of Appeals of Illinois, First District, Sixth Division held (3 to 0) that the Board properly denied the firefighter a line-of-duty pension; only receive disability pension.  His credibility was challenged by testimony of fellow firefighters; patient used Hoyer Lift to put himself on stretcher; firefighter [and union President] never said he was injured, went on two more runs. THE COURT WROTE: “The Board concluded that Witteman was disabled </w:t>
      </w:r>
      <w:proofErr w:type="gramStart"/>
      <w:r w:rsidRPr="00483671">
        <w:rPr>
          <w:rFonts w:ascii="Times New Roman" w:hAnsi="Times New Roman"/>
          <w:sz w:val="24"/>
          <w:szCs w:val="24"/>
        </w:rPr>
        <w:t>but,</w:t>
      </w:r>
      <w:proofErr w:type="gramEnd"/>
      <w:r w:rsidRPr="00483671">
        <w:rPr>
          <w:rFonts w:ascii="Times New Roman" w:hAnsi="Times New Roman"/>
          <w:sz w:val="24"/>
          <w:szCs w:val="24"/>
        </w:rPr>
        <w:t xml:space="preserve"> based on his demeanor and credibility, as well as the testimony of others, determined that he did not injure his back by lifting the patient and, thus, unrelated to his job.” </w:t>
      </w:r>
      <w:hyperlink r:id="rId1006" w:history="1">
        <w:r w:rsidRPr="00483671">
          <w:rPr>
            <w:rStyle w:val="Hyperlink"/>
            <w:rFonts w:ascii="Times New Roman" w:hAnsi="Times New Roman"/>
            <w:sz w:val="24"/>
            <w:szCs w:val="24"/>
          </w:rPr>
          <w:t>https://ilcourtsaudio.blob.core.windows.net/antilles-resources/resources/f07642b7-1e8b-438e-bd0d-cfbc858fbc9b/Witteman%20v.%20Brookfield%20Firefighters%20Pension%20Fund%202025%20IL%20App%20(1st)%20241278.pdf</w:t>
        </w:r>
      </w:hyperlink>
    </w:p>
    <w:p w14:paraId="2FF8AC72" w14:textId="77777777" w:rsidR="00483671" w:rsidRPr="00483671" w:rsidRDefault="00483671" w:rsidP="00483671">
      <w:pPr>
        <w:pStyle w:val="NoSpacing"/>
        <w:rPr>
          <w:rFonts w:ascii="Times New Roman" w:hAnsi="Times New Roman"/>
          <w:b/>
          <w:sz w:val="24"/>
          <w:szCs w:val="24"/>
        </w:rPr>
      </w:pPr>
      <w:r w:rsidRPr="00483671">
        <w:rPr>
          <w:rFonts w:ascii="Times New Roman" w:hAnsi="Times New Roman"/>
          <w:b/>
          <w:sz w:val="24"/>
          <w:szCs w:val="24"/>
        </w:rPr>
        <w:t xml:space="preserve">Legal lesson learned:  If injured on the job, inform your crew and your officer and promptly complete an injury form. </w:t>
      </w:r>
    </w:p>
    <w:p w14:paraId="41C14ECB" w14:textId="77777777" w:rsidR="00483671" w:rsidRPr="00483671" w:rsidRDefault="00483671" w:rsidP="0086215E">
      <w:pPr>
        <w:pStyle w:val="NoSpacing"/>
        <w:rPr>
          <w:rFonts w:ascii="Times New Roman" w:hAnsi="Times New Roman"/>
          <w:sz w:val="24"/>
          <w:szCs w:val="24"/>
        </w:rPr>
      </w:pPr>
    </w:p>
    <w:p w14:paraId="100DF6E5" w14:textId="77777777" w:rsidR="003B3DED" w:rsidRDefault="003B3DED" w:rsidP="007C4C98">
      <w:pPr>
        <w:pStyle w:val="NoSpacing"/>
        <w:rPr>
          <w:rFonts w:ascii="Arial Black" w:hAnsi="Arial Black"/>
          <w:sz w:val="28"/>
          <w:szCs w:val="28"/>
        </w:rPr>
      </w:pPr>
    </w:p>
    <w:p w14:paraId="6C7208BE" w14:textId="77777777" w:rsidR="003B3DED" w:rsidRDefault="003B3DED" w:rsidP="007C4C98">
      <w:pPr>
        <w:pStyle w:val="NoSpacing"/>
        <w:rPr>
          <w:rFonts w:ascii="Arial Black" w:hAnsi="Arial Black"/>
          <w:sz w:val="28"/>
          <w:szCs w:val="28"/>
        </w:rPr>
      </w:pPr>
    </w:p>
    <w:p w14:paraId="101C00A3" w14:textId="785AC5F7"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5</w:t>
      </w:r>
    </w:p>
    <w:p w14:paraId="30FA5F05" w14:textId="77777777" w:rsidR="007C4C98" w:rsidRDefault="007C4C98" w:rsidP="00462481">
      <w:pPr>
        <w:rPr>
          <w:rFonts w:ascii="Arial Black" w:hAnsi="Arial Black"/>
          <w:b/>
          <w:sz w:val="28"/>
          <w:szCs w:val="28"/>
        </w:rPr>
      </w:pPr>
    </w:p>
    <w:p w14:paraId="45D8DCF5" w14:textId="7622D2B5" w:rsidR="00462481" w:rsidRDefault="00462481" w:rsidP="00462481">
      <w:pPr>
        <w:rPr>
          <w:rFonts w:ascii="Arial Black" w:hAnsi="Arial Black"/>
          <w:b/>
          <w:sz w:val="28"/>
          <w:szCs w:val="28"/>
        </w:rPr>
      </w:pPr>
      <w:r>
        <w:rPr>
          <w:rFonts w:ascii="Arial Black" w:hAnsi="Arial Black"/>
          <w:b/>
          <w:sz w:val="28"/>
          <w:szCs w:val="28"/>
        </w:rPr>
        <w:lastRenderedPageBreak/>
        <w:t xml:space="preserve">IL: HEARING LOSS – FF JOB WAS “CONTRIBUTING FACTOR” </w:t>
      </w:r>
    </w:p>
    <w:p w14:paraId="2BA16B63" w14:textId="77777777" w:rsidR="00462481" w:rsidRPr="00E82675" w:rsidRDefault="00462481" w:rsidP="00462481">
      <w:pPr>
        <w:pStyle w:val="NoSpacing"/>
        <w:rPr>
          <w:rFonts w:ascii="Times New Roman" w:hAnsi="Times New Roman"/>
          <w:sz w:val="24"/>
          <w:szCs w:val="24"/>
        </w:rPr>
      </w:pPr>
      <w:r w:rsidRPr="00E82675">
        <w:rPr>
          <w:rFonts w:ascii="Times New Roman" w:hAnsi="Times New Roman"/>
          <w:sz w:val="24"/>
          <w:szCs w:val="24"/>
        </w:rPr>
        <w:t xml:space="preserve">On June 27, 2025, in The </w:t>
      </w:r>
      <w:r w:rsidRPr="00E82675">
        <w:rPr>
          <w:rFonts w:ascii="Times New Roman" w:hAnsi="Times New Roman"/>
          <w:sz w:val="24"/>
          <w:szCs w:val="24"/>
          <w:u w:val="single"/>
        </w:rPr>
        <w:t>Village of Schaumburg v. The Village of Schaumburg Firefighters’ Pension Fund, and Phillip Reid, et al</w:t>
      </w:r>
      <w:r w:rsidRPr="00E82675">
        <w:rPr>
          <w:rFonts w:ascii="Times New Roman" w:hAnsi="Times New Roman"/>
          <w:sz w:val="24"/>
          <w:szCs w:val="24"/>
        </w:rPr>
        <w:t xml:space="preserve">., the Court of Appeals of Illinois, First District, Sixth Division held (3 to 0) that the Pension Board, upon order of Circuit Court judge, properly reconsidered their previous denial of the duty caused injury pension, and awarded the improved pension.  Phillip Reid served 32 years as a firefighter, and part-time at another fire department.  He developed hearing loss in 2009 and began wearing hearing aids.  In January 2017, he applied for a line-of-duty disability pension and retired, claiming that the noise from his job as a Village firefighter caused his hearing loss.  THE COURT HELD: “The record supports the Board’s conclusion that Ried suffered from a hearing loss disability and his duty-related activities were a contributing or exacerbating factor. We do not reweigh the evidence or independently assess the facts…. Thus, the Board’s decision to grant Ried a line of duty disability pension was not against the manifest weight of the evidence.” </w:t>
      </w:r>
      <w:hyperlink r:id="rId1007" w:history="1">
        <w:r w:rsidRPr="00E82675">
          <w:rPr>
            <w:rStyle w:val="Hyperlink"/>
            <w:rFonts w:ascii="Times New Roman" w:hAnsi="Times New Roman"/>
            <w:sz w:val="24"/>
            <w:szCs w:val="24"/>
          </w:rPr>
          <w:t>https://ilcourtsaudio.blob.core.windows.net/antilles-resources/resources/b97cd9d5-bd7a-4b80-8ae7-ba3200915f21/Village%20of%20Schaumburg%20v.%20VoS%20Firefighters%E2%80%99%20Pension%20Fund%202025%20IL%20App%20(1st)%20241764.pdf</w:t>
        </w:r>
      </w:hyperlink>
      <w:r w:rsidRPr="00E82675">
        <w:rPr>
          <w:rFonts w:ascii="Times New Roman" w:hAnsi="Times New Roman"/>
          <w:sz w:val="24"/>
          <w:szCs w:val="24"/>
        </w:rPr>
        <w:t xml:space="preserve"> </w:t>
      </w:r>
    </w:p>
    <w:p w14:paraId="3EFA355D" w14:textId="77777777" w:rsidR="00E82675" w:rsidRPr="00E82675" w:rsidRDefault="00E82675" w:rsidP="00E82675">
      <w:pPr>
        <w:pStyle w:val="NoSpacing"/>
        <w:rPr>
          <w:rFonts w:ascii="Times New Roman" w:hAnsi="Times New Roman"/>
          <w:b/>
          <w:sz w:val="24"/>
          <w:szCs w:val="24"/>
        </w:rPr>
      </w:pPr>
    </w:p>
    <w:p w14:paraId="472F9133" w14:textId="02D1A02B" w:rsidR="00E82675" w:rsidRPr="00E82675" w:rsidRDefault="00E82675" w:rsidP="00E82675">
      <w:pPr>
        <w:pStyle w:val="NoSpacing"/>
        <w:rPr>
          <w:rFonts w:ascii="Times New Roman" w:hAnsi="Times New Roman"/>
          <w:b/>
          <w:bCs/>
          <w:sz w:val="24"/>
          <w:szCs w:val="24"/>
        </w:rPr>
      </w:pPr>
      <w:r w:rsidRPr="00E82675">
        <w:rPr>
          <w:rFonts w:ascii="Times New Roman" w:hAnsi="Times New Roman"/>
          <w:b/>
          <w:sz w:val="24"/>
          <w:szCs w:val="24"/>
        </w:rPr>
        <w:t xml:space="preserve">Legal lesson learned: It was a classic “battle of the experts.”  Many states have enacted a “statutory presumption” that certain illnesses, such as cancer and heart disease, are caused by the job to avoid these types of extended legal battles. </w:t>
      </w:r>
    </w:p>
    <w:p w14:paraId="06E22EAB" w14:textId="77777777" w:rsidR="00E82675" w:rsidRPr="00E82675" w:rsidRDefault="00E82675" w:rsidP="00E82675">
      <w:pPr>
        <w:pStyle w:val="NoSpacing"/>
        <w:rPr>
          <w:rFonts w:ascii="Times New Roman" w:hAnsi="Times New Roman"/>
          <w:sz w:val="24"/>
          <w:szCs w:val="24"/>
        </w:rPr>
      </w:pPr>
    </w:p>
    <w:p w14:paraId="2E250122" w14:textId="77777777" w:rsidR="00E82675" w:rsidRPr="00E82675" w:rsidRDefault="00E82675" w:rsidP="00E82675">
      <w:pPr>
        <w:ind w:left="720"/>
        <w:rPr>
          <w:rFonts w:ascii="Times New Roman" w:hAnsi="Times New Roman"/>
          <w:bCs/>
          <w:sz w:val="24"/>
          <w:szCs w:val="24"/>
        </w:rPr>
      </w:pPr>
      <w:r w:rsidRPr="00E82675">
        <w:rPr>
          <w:rFonts w:ascii="Times New Roman" w:hAnsi="Times New Roman"/>
          <w:sz w:val="24"/>
          <w:szCs w:val="24"/>
        </w:rPr>
        <w:t xml:space="preserve">Note: See Illinois House Bill 3392 (filed 2023) seeking to include hearing loss to the list of diseases for which certain firefighters may be eligible for an occupational disease disability pension. </w:t>
      </w:r>
      <w:hyperlink r:id="rId1008" w:history="1">
        <w:r w:rsidRPr="00E82675">
          <w:rPr>
            <w:rStyle w:val="Hyperlink"/>
            <w:rFonts w:ascii="Times New Roman" w:hAnsi="Times New Roman"/>
            <w:sz w:val="24"/>
            <w:szCs w:val="24"/>
          </w:rPr>
          <w:t>https://www.ilga.gov/legislation/BillStatus.asp?DocNum=3392&amp;GAID=17&amp;DocTypeID=HB&amp;LegId=148558&amp;SessionID=112&amp;GA=103</w:t>
        </w:r>
      </w:hyperlink>
    </w:p>
    <w:p w14:paraId="33433332" w14:textId="77777777" w:rsidR="00462481" w:rsidRPr="00E82675" w:rsidRDefault="00462481" w:rsidP="00015CB5">
      <w:pPr>
        <w:rPr>
          <w:rFonts w:ascii="Times New Roman" w:hAnsi="Times New Roman"/>
          <w:b/>
          <w:sz w:val="24"/>
          <w:szCs w:val="24"/>
        </w:rPr>
      </w:pPr>
    </w:p>
    <w:p w14:paraId="5D391A12" w14:textId="77777777" w:rsidR="00462481" w:rsidRDefault="00462481" w:rsidP="00015CB5">
      <w:pPr>
        <w:rPr>
          <w:rFonts w:ascii="Arial Black" w:hAnsi="Arial Black"/>
          <w:b/>
          <w:sz w:val="28"/>
          <w:szCs w:val="28"/>
        </w:rPr>
      </w:pPr>
    </w:p>
    <w:p w14:paraId="3BC77956" w14:textId="231EC196"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4</w:t>
      </w:r>
    </w:p>
    <w:p w14:paraId="69757A7D" w14:textId="77777777" w:rsidR="007C4C98" w:rsidRDefault="007C4C98" w:rsidP="00015CB5">
      <w:pPr>
        <w:rPr>
          <w:rFonts w:ascii="Arial Black" w:hAnsi="Arial Black"/>
          <w:b/>
          <w:sz w:val="28"/>
          <w:szCs w:val="28"/>
        </w:rPr>
      </w:pPr>
    </w:p>
    <w:p w14:paraId="216DC94F" w14:textId="07C34688" w:rsidR="00015CB5" w:rsidRPr="00453B8C" w:rsidRDefault="00015CB5" w:rsidP="00015CB5">
      <w:pPr>
        <w:rPr>
          <w:rFonts w:ascii="Arial Black" w:hAnsi="Arial Black"/>
          <w:b/>
          <w:sz w:val="28"/>
          <w:szCs w:val="28"/>
        </w:rPr>
      </w:pPr>
      <w:r>
        <w:rPr>
          <w:rFonts w:ascii="Arial Black" w:hAnsi="Arial Black"/>
          <w:b/>
          <w:sz w:val="28"/>
          <w:szCs w:val="28"/>
        </w:rPr>
        <w:t>WA: MILITARY LEAVE - 21 DAYS PAY/ FY – STATE LAW</w:t>
      </w:r>
    </w:p>
    <w:p w14:paraId="0BD09CD1" w14:textId="77777777" w:rsidR="00015CB5" w:rsidRPr="005A4D75" w:rsidRDefault="00015CB5" w:rsidP="00015CB5">
      <w:pPr>
        <w:pStyle w:val="NoSpacing"/>
        <w:rPr>
          <w:rFonts w:ascii="Times New Roman" w:hAnsi="Times New Roman"/>
          <w:sz w:val="24"/>
          <w:szCs w:val="24"/>
        </w:rPr>
      </w:pPr>
      <w:r w:rsidRPr="005A4D75">
        <w:rPr>
          <w:rFonts w:ascii="Times New Roman" w:hAnsi="Times New Roman"/>
          <w:sz w:val="24"/>
          <w:szCs w:val="24"/>
        </w:rPr>
        <w:t xml:space="preserve">On June 26, 2025, in </w:t>
      </w:r>
      <w:r w:rsidRPr="005A4D75">
        <w:rPr>
          <w:rFonts w:ascii="Times New Roman" w:hAnsi="Times New Roman"/>
          <w:sz w:val="24"/>
          <w:szCs w:val="24"/>
          <w:u w:val="single"/>
        </w:rPr>
        <w:t>Travis Bearden v. City of Ocean Shores, et al</w:t>
      </w:r>
      <w:r w:rsidRPr="005A4D75">
        <w:rPr>
          <w:rFonts w:ascii="Times New Roman" w:hAnsi="Times New Roman"/>
          <w:sz w:val="24"/>
          <w:szCs w:val="24"/>
        </w:rPr>
        <w:t>., the Supreme Court of Washington held (</w:t>
      </w:r>
      <w:proofErr w:type="spellStart"/>
      <w:r w:rsidRPr="005A4D75">
        <w:rPr>
          <w:rFonts w:ascii="Times New Roman" w:hAnsi="Times New Roman"/>
          <w:sz w:val="24"/>
          <w:szCs w:val="24"/>
        </w:rPr>
        <w:t>en</w:t>
      </w:r>
      <w:proofErr w:type="spellEnd"/>
      <w:r w:rsidRPr="005A4D75">
        <w:rPr>
          <w:rFonts w:ascii="Times New Roman" w:hAnsi="Times New Roman"/>
          <w:sz w:val="24"/>
          <w:szCs w:val="24"/>
        </w:rPr>
        <w:t xml:space="preserve"> banc; all 9 Justices) held that under State law firefighters and other public employees are entitled to 21 days of paid leave when on Reserve or Active duty during each military fiscal year.  Firefighter Travis Bearden has filed a lawsuit in federal court under USERRA when he was not paid the 21 days while on Active duty in Army Reserve for 273 days (August 2020-May 2021) and was therefore not scheduled to work at the fire department.  The State Supreme Court responded to a question for the U.S. Court of Appeals for the 9</w:t>
      </w:r>
      <w:r w:rsidRPr="005A4D75">
        <w:rPr>
          <w:rFonts w:ascii="Times New Roman" w:hAnsi="Times New Roman"/>
          <w:sz w:val="24"/>
          <w:szCs w:val="24"/>
          <w:vertAlign w:val="superscript"/>
        </w:rPr>
        <w:t>th</w:t>
      </w:r>
      <w:r w:rsidRPr="005A4D75">
        <w:rPr>
          <w:rFonts w:ascii="Times New Roman" w:hAnsi="Times New Roman"/>
          <w:sz w:val="24"/>
          <w:szCs w:val="24"/>
        </w:rPr>
        <w:t xml:space="preserve"> Circuit (San Francisco) confirming he is entitled to the 21 days paid leave under state law. THE COURT HELD: “According to the city’s reading of the statute, employers would not have to pay paid military leave at all because once they know an employee will be absent, they would not place them on the schedule. That cannot be what the legislature intended when it </w:t>
      </w:r>
      <w:proofErr w:type="gramStart"/>
      <w:r w:rsidRPr="005A4D75">
        <w:rPr>
          <w:rFonts w:ascii="Times New Roman" w:hAnsi="Times New Roman"/>
          <w:sz w:val="24"/>
          <w:szCs w:val="24"/>
        </w:rPr>
        <w:t>provided that</w:t>
      </w:r>
      <w:proofErr w:type="gramEnd"/>
      <w:r w:rsidRPr="005A4D75">
        <w:rPr>
          <w:rFonts w:ascii="Times New Roman" w:hAnsi="Times New Roman"/>
          <w:sz w:val="24"/>
          <w:szCs w:val="24"/>
        </w:rPr>
        <w:t xml:space="preserve"> service members are entitled to and granted military leave that must be charged to </w:t>
      </w:r>
      <w:proofErr w:type="gramStart"/>
      <w:r w:rsidRPr="005A4D75">
        <w:rPr>
          <w:rFonts w:ascii="Times New Roman" w:hAnsi="Times New Roman"/>
          <w:sz w:val="24"/>
          <w:szCs w:val="24"/>
        </w:rPr>
        <w:t>days</w:t>
      </w:r>
      <w:proofErr w:type="gramEnd"/>
      <w:r w:rsidRPr="005A4D75">
        <w:rPr>
          <w:rFonts w:ascii="Times New Roman" w:hAnsi="Times New Roman"/>
          <w:sz w:val="24"/>
          <w:szCs w:val="24"/>
        </w:rPr>
        <w:t xml:space="preserve"> they are scheduled to work. No rational employer would schedule an employee to work when they know that employee would not be present and, therefore, no employee could ever claim the paid military leave to which they are entitled under RCW 38.40.060.”</w:t>
      </w:r>
    </w:p>
    <w:p w14:paraId="50A3070C" w14:textId="5D1CAB7B" w:rsidR="005263F1" w:rsidRPr="005A4D75" w:rsidRDefault="00015CB5" w:rsidP="00015CB5">
      <w:pPr>
        <w:pStyle w:val="NoSpacing"/>
        <w:rPr>
          <w:rFonts w:ascii="Times New Roman" w:hAnsi="Times New Roman"/>
          <w:sz w:val="24"/>
          <w:szCs w:val="24"/>
        </w:rPr>
      </w:pPr>
      <w:hyperlink r:id="rId1009" w:history="1">
        <w:r w:rsidRPr="005A4D75">
          <w:rPr>
            <w:rStyle w:val="Hyperlink"/>
            <w:rFonts w:ascii="Times New Roman" w:hAnsi="Times New Roman"/>
            <w:sz w:val="24"/>
            <w:szCs w:val="24"/>
          </w:rPr>
          <w:t>https://cases.justia.com/washington/supreme-court/2025-103-121-1.pdf?ts=1750950890</w:t>
        </w:r>
      </w:hyperlink>
    </w:p>
    <w:p w14:paraId="02D71073" w14:textId="77777777" w:rsidR="005263F1" w:rsidRPr="005A4D75" w:rsidRDefault="005263F1" w:rsidP="00683497">
      <w:pPr>
        <w:pStyle w:val="NoSpacing"/>
        <w:rPr>
          <w:rFonts w:ascii="Times New Roman" w:hAnsi="Times New Roman"/>
          <w:sz w:val="24"/>
          <w:szCs w:val="24"/>
        </w:rPr>
      </w:pPr>
    </w:p>
    <w:p w14:paraId="7A0709B2" w14:textId="77777777" w:rsidR="005A4D75" w:rsidRPr="005A4D75" w:rsidRDefault="005A4D75" w:rsidP="005A4D75">
      <w:pPr>
        <w:pStyle w:val="NoSpacing"/>
        <w:rPr>
          <w:rFonts w:ascii="Times New Roman" w:hAnsi="Times New Roman"/>
          <w:b/>
          <w:bCs/>
          <w:sz w:val="24"/>
          <w:szCs w:val="24"/>
        </w:rPr>
      </w:pPr>
      <w:r w:rsidRPr="005A4D75">
        <w:rPr>
          <w:rFonts w:ascii="Times New Roman" w:hAnsi="Times New Roman"/>
          <w:b/>
          <w:sz w:val="24"/>
          <w:szCs w:val="24"/>
        </w:rPr>
        <w:lastRenderedPageBreak/>
        <w:t>Legal lesson learned:  Hopefully the City will not settle his USERRA lawsuit in Federal Court, pay his lost reimbursement and his attorney fees.</w:t>
      </w:r>
      <w:r w:rsidRPr="005A4D75">
        <w:rPr>
          <w:rFonts w:ascii="Times New Roman" w:hAnsi="Times New Roman"/>
          <w:sz w:val="24"/>
          <w:szCs w:val="24"/>
        </w:rPr>
        <w:t xml:space="preserve"> </w:t>
      </w:r>
    </w:p>
    <w:p w14:paraId="7B0BE3B4" w14:textId="77777777" w:rsidR="005A4D75" w:rsidRPr="005A4D75" w:rsidRDefault="005A4D75" w:rsidP="005A4D75">
      <w:pPr>
        <w:pStyle w:val="NoSpacing"/>
        <w:rPr>
          <w:rFonts w:ascii="Times New Roman" w:hAnsi="Times New Roman"/>
          <w:sz w:val="24"/>
          <w:szCs w:val="24"/>
        </w:rPr>
      </w:pPr>
    </w:p>
    <w:p w14:paraId="122B5BEA" w14:textId="77777777" w:rsidR="005A4D75" w:rsidRPr="005A4D75" w:rsidRDefault="005A4D75" w:rsidP="005A4D75">
      <w:pPr>
        <w:pStyle w:val="NoSpacing"/>
        <w:ind w:left="720"/>
        <w:rPr>
          <w:rFonts w:ascii="Times New Roman" w:hAnsi="Times New Roman"/>
          <w:sz w:val="24"/>
          <w:szCs w:val="24"/>
        </w:rPr>
      </w:pPr>
      <w:r w:rsidRPr="005A4D75">
        <w:rPr>
          <w:rFonts w:ascii="Times New Roman" w:hAnsi="Times New Roman"/>
          <w:sz w:val="24"/>
          <w:szCs w:val="24"/>
        </w:rPr>
        <w:t>Note:  See U.S. Department of Labor – “A Guide to the Uniformed Services</w:t>
      </w:r>
      <w:r w:rsidRPr="005A4D75">
        <w:rPr>
          <w:rFonts w:ascii="Times New Roman" w:hAnsi="Times New Roman"/>
          <w:sz w:val="24"/>
          <w:szCs w:val="24"/>
        </w:rPr>
        <w:br/>
        <w:t xml:space="preserve">Employment and Reemployment Rights Act.” </w:t>
      </w:r>
      <w:hyperlink r:id="rId1010" w:anchor="ch21" w:history="1">
        <w:r w:rsidRPr="005A4D75">
          <w:rPr>
            <w:rStyle w:val="Hyperlink"/>
            <w:rFonts w:ascii="Times New Roman" w:hAnsi="Times New Roman"/>
            <w:sz w:val="24"/>
            <w:szCs w:val="24"/>
          </w:rPr>
          <w:t>https://www.dol.gov/agencies/vets/programs/userra/USERRA-Pocket-Guide#ch21</w:t>
        </w:r>
      </w:hyperlink>
      <w:r w:rsidRPr="005A4D75">
        <w:rPr>
          <w:rFonts w:ascii="Times New Roman" w:hAnsi="Times New Roman"/>
          <w:sz w:val="24"/>
          <w:szCs w:val="24"/>
        </w:rPr>
        <w:t xml:space="preserve"> </w:t>
      </w:r>
    </w:p>
    <w:p w14:paraId="2471ECA9" w14:textId="77777777" w:rsidR="005A4D75" w:rsidRPr="005A4D75" w:rsidRDefault="005A4D75" w:rsidP="005A4D75">
      <w:pPr>
        <w:pStyle w:val="NoSpacing"/>
        <w:rPr>
          <w:rFonts w:ascii="Times New Roman" w:hAnsi="Times New Roman"/>
          <w:sz w:val="24"/>
          <w:szCs w:val="24"/>
        </w:rPr>
      </w:pPr>
    </w:p>
    <w:p w14:paraId="4190E244" w14:textId="77777777" w:rsidR="005A4D75" w:rsidRPr="005A4D75" w:rsidRDefault="005A4D75" w:rsidP="005A4D75">
      <w:pPr>
        <w:pStyle w:val="NoSpacing"/>
        <w:ind w:left="720"/>
        <w:rPr>
          <w:rFonts w:ascii="Times New Roman" w:hAnsi="Times New Roman"/>
          <w:sz w:val="24"/>
          <w:szCs w:val="24"/>
        </w:rPr>
      </w:pPr>
      <w:r w:rsidRPr="005A4D75">
        <w:rPr>
          <w:rFonts w:ascii="Times New Roman" w:hAnsi="Times New Roman"/>
          <w:sz w:val="24"/>
          <w:szCs w:val="24"/>
        </w:rPr>
        <w:t>“Awards of attorney fees, expert witness fees, and other litigation expenses to successful plaintiffs who retain private counsel may be made at the court’s discretion.”</w:t>
      </w:r>
    </w:p>
    <w:p w14:paraId="6E45207E" w14:textId="77777777" w:rsidR="005A4D75" w:rsidRDefault="005A4D75" w:rsidP="005A4D75">
      <w:pPr>
        <w:rPr>
          <w:bCs/>
        </w:rPr>
      </w:pPr>
    </w:p>
    <w:p w14:paraId="5CC8619D" w14:textId="49E0191F"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3</w:t>
      </w:r>
    </w:p>
    <w:p w14:paraId="738552DA" w14:textId="77777777" w:rsidR="007C4C98" w:rsidRDefault="007C4C98" w:rsidP="00683497">
      <w:pPr>
        <w:pStyle w:val="NoSpacing"/>
        <w:rPr>
          <w:rFonts w:ascii="Arial Black" w:hAnsi="Arial Black"/>
          <w:sz w:val="28"/>
          <w:szCs w:val="28"/>
        </w:rPr>
      </w:pPr>
    </w:p>
    <w:p w14:paraId="3D8CC82F" w14:textId="77777777" w:rsidR="00B571BC" w:rsidRDefault="00B571BC" w:rsidP="00B571BC">
      <w:pPr>
        <w:rPr>
          <w:rFonts w:ascii="Arial Black" w:hAnsi="Arial Black"/>
          <w:bCs/>
          <w:sz w:val="28"/>
          <w:szCs w:val="28"/>
        </w:rPr>
      </w:pPr>
      <w:r>
        <w:rPr>
          <w:rFonts w:ascii="Arial Black" w:hAnsi="Arial Black"/>
          <w:sz w:val="28"/>
          <w:szCs w:val="28"/>
        </w:rPr>
        <w:t xml:space="preserve">MA: FF VOL. RESIGNED – </w:t>
      </w:r>
      <w:r>
        <w:rPr>
          <w:rFonts w:ascii="Arial Black" w:hAnsi="Arial Black"/>
          <w:bCs/>
          <w:sz w:val="28"/>
          <w:szCs w:val="28"/>
        </w:rPr>
        <w:t>NO RIGHT TO</w:t>
      </w:r>
      <w:r>
        <w:rPr>
          <w:rFonts w:ascii="Arial Black" w:hAnsi="Arial Black"/>
          <w:sz w:val="28"/>
          <w:szCs w:val="28"/>
        </w:rPr>
        <w:t xml:space="preserve"> GROUP HEALTH </w:t>
      </w:r>
    </w:p>
    <w:p w14:paraId="69953CAE" w14:textId="5CE898FA" w:rsidR="006325EF" w:rsidRPr="007A2A30" w:rsidRDefault="00B571BC" w:rsidP="00B571BC">
      <w:pPr>
        <w:pStyle w:val="NoSpacing"/>
        <w:rPr>
          <w:rFonts w:ascii="Times New Roman" w:hAnsi="Times New Roman"/>
          <w:sz w:val="24"/>
          <w:szCs w:val="24"/>
        </w:rPr>
      </w:pPr>
      <w:r w:rsidRPr="007A2A30">
        <w:rPr>
          <w:rFonts w:ascii="Times New Roman" w:hAnsi="Times New Roman"/>
          <w:sz w:val="24"/>
          <w:szCs w:val="24"/>
        </w:rPr>
        <w:t xml:space="preserve">On June 18, 2025, in </w:t>
      </w:r>
      <w:r w:rsidRPr="007A2A30">
        <w:rPr>
          <w:rFonts w:ascii="Times New Roman" w:hAnsi="Times New Roman"/>
          <w:sz w:val="24"/>
          <w:szCs w:val="24"/>
          <w:u w:val="single"/>
        </w:rPr>
        <w:t>Michael Cannata v. Town of Mashpee</w:t>
      </w:r>
      <w:r w:rsidRPr="007A2A30">
        <w:rPr>
          <w:rFonts w:ascii="Times New Roman" w:hAnsi="Times New Roman"/>
          <w:sz w:val="24"/>
          <w:szCs w:val="24"/>
        </w:rPr>
        <w:t xml:space="preserve">, the Supreme Judicial Court of Massachusetts, Barnstable held (7 to 0) that the trial court properly granted the Town’s motion to dismiss; the firefighter voluntarily resigned in 2004 after 10 years on the fire department and did not elect to continue paying for group health insurance.  When he reached age 55 in 2021, the Town had no legal obligation to allow him to enroll in the group </w:t>
      </w:r>
      <w:proofErr w:type="gramStart"/>
      <w:r w:rsidRPr="007A2A30">
        <w:rPr>
          <w:rFonts w:ascii="Times New Roman" w:hAnsi="Times New Roman"/>
          <w:sz w:val="24"/>
          <w:szCs w:val="24"/>
        </w:rPr>
        <w:t>plan, but</w:t>
      </w:r>
      <w:proofErr w:type="gramEnd"/>
      <w:r w:rsidRPr="007A2A30">
        <w:rPr>
          <w:rFonts w:ascii="Times New Roman" w:hAnsi="Times New Roman"/>
          <w:sz w:val="24"/>
          <w:szCs w:val="24"/>
        </w:rPr>
        <w:t xml:space="preserve"> could have done so.  THE COURT HELD: “We conclude that G. L. c. 32B, § 9, neither requires nor prohibits a municipality from enrolling individuals like Cannata. Accordingly, the third paragraph of the statute does not govern this case, and the judge erred in holding otherwise. Municipalities may -- but are not obligated to -- allow such individuals to enroll in group health insurance upon </w:t>
      </w:r>
      <w:proofErr w:type="gramStart"/>
      <w:r w:rsidRPr="007A2A30">
        <w:rPr>
          <w:rFonts w:ascii="Times New Roman" w:hAnsi="Times New Roman"/>
          <w:sz w:val="24"/>
          <w:szCs w:val="24"/>
        </w:rPr>
        <w:t>retirement.”</w:t>
      </w:r>
      <w:proofErr w:type="gramEnd"/>
      <w:r w:rsidRPr="007A2A30">
        <w:rPr>
          <w:rFonts w:ascii="Times New Roman" w:hAnsi="Times New Roman"/>
          <w:sz w:val="24"/>
          <w:szCs w:val="24"/>
        </w:rPr>
        <w:t xml:space="preserve">  </w:t>
      </w:r>
      <w:hyperlink r:id="rId1011" w:history="1">
        <w:r w:rsidRPr="007A2A30">
          <w:rPr>
            <w:rStyle w:val="Hyperlink"/>
            <w:rFonts w:ascii="Times New Roman" w:hAnsi="Times New Roman"/>
            <w:sz w:val="24"/>
            <w:szCs w:val="24"/>
          </w:rPr>
          <w:t>https://www.socialaw.com/services/slip-opinions/slip-opinion-details/michael-cannata-vs.-town-of-mashpee</w:t>
        </w:r>
      </w:hyperlink>
    </w:p>
    <w:p w14:paraId="7BB9C507" w14:textId="77777777" w:rsidR="007A2A30" w:rsidRDefault="007A2A30" w:rsidP="007A2A30">
      <w:pPr>
        <w:rPr>
          <w:rFonts w:ascii="Times New Roman" w:hAnsi="Times New Roman"/>
          <w:b/>
          <w:sz w:val="24"/>
          <w:szCs w:val="24"/>
        </w:rPr>
      </w:pPr>
    </w:p>
    <w:p w14:paraId="78A304E8" w14:textId="2D8C5586" w:rsidR="007A2A30" w:rsidRPr="007A2A30" w:rsidRDefault="007A2A30" w:rsidP="007A2A30">
      <w:pPr>
        <w:rPr>
          <w:rFonts w:ascii="Times New Roman" w:hAnsi="Times New Roman"/>
          <w:b/>
          <w:bCs/>
          <w:sz w:val="24"/>
          <w:szCs w:val="24"/>
        </w:rPr>
      </w:pPr>
      <w:r w:rsidRPr="007A2A30">
        <w:rPr>
          <w:rFonts w:ascii="Times New Roman" w:hAnsi="Times New Roman"/>
          <w:b/>
          <w:sz w:val="24"/>
          <w:szCs w:val="24"/>
        </w:rPr>
        <w:t xml:space="preserve">Legal lesson learned:  Prior to resigning or retiring, confirm with HR your rights to continued group health insurance. </w:t>
      </w:r>
    </w:p>
    <w:p w14:paraId="21028487" w14:textId="77777777" w:rsidR="007A2A30" w:rsidRDefault="007A2A30" w:rsidP="00B571BC">
      <w:pPr>
        <w:pStyle w:val="NoSpacing"/>
        <w:rPr>
          <w:rFonts w:ascii="Times New Roman" w:hAnsi="Times New Roman"/>
          <w:sz w:val="24"/>
          <w:szCs w:val="24"/>
        </w:rPr>
      </w:pPr>
    </w:p>
    <w:p w14:paraId="5AA4A549" w14:textId="77777777" w:rsidR="007C4C98" w:rsidRDefault="007C4C98" w:rsidP="007F03DE">
      <w:pPr>
        <w:rPr>
          <w:rFonts w:ascii="Arial Black" w:hAnsi="Arial Black"/>
          <w:b/>
          <w:sz w:val="28"/>
          <w:szCs w:val="28"/>
        </w:rPr>
      </w:pPr>
    </w:p>
    <w:p w14:paraId="6CD7A283" w14:textId="257BD3A0"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2</w:t>
      </w:r>
    </w:p>
    <w:p w14:paraId="4ECEC13A" w14:textId="77777777" w:rsidR="007C4C98" w:rsidRDefault="007C4C98" w:rsidP="007F03DE">
      <w:pPr>
        <w:rPr>
          <w:rFonts w:ascii="Arial Black" w:hAnsi="Arial Black"/>
          <w:b/>
          <w:sz w:val="28"/>
          <w:szCs w:val="28"/>
        </w:rPr>
      </w:pPr>
    </w:p>
    <w:p w14:paraId="6F4F2639" w14:textId="7965BB48" w:rsidR="007F03DE" w:rsidRDefault="007F03DE" w:rsidP="007F03DE">
      <w:pPr>
        <w:rPr>
          <w:rFonts w:ascii="Arial Black" w:hAnsi="Arial Black"/>
          <w:b/>
          <w:sz w:val="28"/>
          <w:szCs w:val="28"/>
        </w:rPr>
      </w:pPr>
      <w:r>
        <w:rPr>
          <w:rFonts w:ascii="Arial Black" w:hAnsi="Arial Black"/>
          <w:b/>
          <w:sz w:val="28"/>
          <w:szCs w:val="28"/>
        </w:rPr>
        <w:t xml:space="preserve">NV: HEART - 8-YR AFTER RETIRED - TOTAL DISAB PENSION </w:t>
      </w:r>
    </w:p>
    <w:p w14:paraId="4A7A53D0" w14:textId="77777777" w:rsidR="007F03DE" w:rsidRPr="007C4C98" w:rsidRDefault="007F03DE" w:rsidP="007F03DE">
      <w:pPr>
        <w:pStyle w:val="NoSpacing"/>
        <w:rPr>
          <w:rFonts w:ascii="Times New Roman" w:hAnsi="Times New Roman"/>
          <w:sz w:val="24"/>
          <w:szCs w:val="24"/>
        </w:rPr>
      </w:pPr>
      <w:r w:rsidRPr="007C4C98">
        <w:rPr>
          <w:rFonts w:ascii="Times New Roman" w:hAnsi="Times New Roman"/>
          <w:sz w:val="24"/>
          <w:szCs w:val="24"/>
        </w:rPr>
        <w:t xml:space="preserve">On June 12, 2025, in </w:t>
      </w:r>
      <w:r w:rsidRPr="007C4C98">
        <w:rPr>
          <w:rFonts w:ascii="Times New Roman" w:hAnsi="Times New Roman"/>
          <w:sz w:val="24"/>
          <w:szCs w:val="24"/>
          <w:u w:val="single"/>
        </w:rPr>
        <w:t>City of Las Vegas and CCMSI v. Peggy Munson</w:t>
      </w:r>
      <w:r w:rsidRPr="007C4C98">
        <w:rPr>
          <w:rFonts w:ascii="Times New Roman" w:hAnsi="Times New Roman"/>
          <w:sz w:val="24"/>
          <w:szCs w:val="24"/>
        </w:rPr>
        <w:t xml:space="preserve">, the Court at Ms. Munson’s request published it prior unpublished order, granting her worker’s comp - permanent total disability – for disabling heart disease in 2021, eight years after retirement.  In 2015, the Nevada Legislature restricted heart benefits to cover only medical expenses, not wages, unless the firefighter had 20 years of service.  She met that requirement , having worked from November 1992 until February 2013, and is therefore entitled to 66 2/3 percent of the average monthly </w:t>
      </w:r>
      <w:proofErr w:type="gramStart"/>
      <w:r w:rsidRPr="007C4C98">
        <w:rPr>
          <w:rFonts w:ascii="Times New Roman" w:hAnsi="Times New Roman"/>
          <w:sz w:val="24"/>
          <w:szCs w:val="24"/>
        </w:rPr>
        <w:t>wage for wages</w:t>
      </w:r>
      <w:proofErr w:type="gramEnd"/>
      <w:r w:rsidRPr="007C4C98">
        <w:rPr>
          <w:rFonts w:ascii="Times New Roman" w:hAnsi="Times New Roman"/>
          <w:sz w:val="24"/>
          <w:szCs w:val="24"/>
        </w:rPr>
        <w:t xml:space="preserve"> earned in 2013.  THE COURT HELD: “Because section 6 of S.B. 153, as enacted, constitutes binding law, NRS 617.457(14) does not apply to Munson, and thus the statute did not preclude her from seeking permanent total disability benefits if she had ‘completed at least 20 years of creditable service’ as a firefighter at the time section 6 became effective in 2015, regardless of when she became disabled.” </w:t>
      </w:r>
    </w:p>
    <w:p w14:paraId="76CB4626" w14:textId="51EE3D2F" w:rsidR="007F03DE" w:rsidRPr="007C4C98" w:rsidRDefault="007F03DE" w:rsidP="007F03DE">
      <w:pPr>
        <w:pStyle w:val="NoSpacing"/>
        <w:rPr>
          <w:rFonts w:ascii="Times New Roman" w:hAnsi="Times New Roman"/>
          <w:sz w:val="24"/>
          <w:szCs w:val="24"/>
        </w:rPr>
      </w:pPr>
      <w:r w:rsidRPr="007C4C98">
        <w:rPr>
          <w:rFonts w:ascii="Times New Roman" w:hAnsi="Times New Roman"/>
          <w:sz w:val="24"/>
          <w:szCs w:val="24"/>
        </w:rPr>
        <w:t xml:space="preserve"> </w:t>
      </w:r>
      <w:hyperlink r:id="rId1012" w:history="1">
        <w:r w:rsidRPr="007C4C98">
          <w:rPr>
            <w:rStyle w:val="Hyperlink"/>
            <w:rFonts w:ascii="Times New Roman" w:hAnsi="Times New Roman"/>
            <w:sz w:val="24"/>
            <w:szCs w:val="24"/>
          </w:rPr>
          <w:t>file:///C:/Users/lawre/Downloads/25-26180-1.pdf</w:t>
        </w:r>
      </w:hyperlink>
    </w:p>
    <w:p w14:paraId="369813A7" w14:textId="77777777" w:rsidR="007C4C98" w:rsidRPr="007C4C98" w:rsidRDefault="007C4C98" w:rsidP="007F03DE">
      <w:pPr>
        <w:pStyle w:val="NoSpacing"/>
        <w:rPr>
          <w:rFonts w:ascii="Times New Roman" w:hAnsi="Times New Roman"/>
          <w:sz w:val="24"/>
          <w:szCs w:val="24"/>
        </w:rPr>
      </w:pPr>
    </w:p>
    <w:p w14:paraId="44FEE055" w14:textId="77777777" w:rsidR="007C4C98" w:rsidRPr="007C4C98" w:rsidRDefault="007C4C98" w:rsidP="007C4C98">
      <w:pPr>
        <w:pStyle w:val="NoSpacing"/>
        <w:rPr>
          <w:rFonts w:ascii="Times New Roman" w:hAnsi="Times New Roman"/>
          <w:b/>
          <w:sz w:val="24"/>
          <w:szCs w:val="24"/>
        </w:rPr>
      </w:pPr>
      <w:r w:rsidRPr="007C4C98">
        <w:rPr>
          <w:rFonts w:ascii="Times New Roman" w:hAnsi="Times New Roman"/>
          <w:b/>
          <w:sz w:val="24"/>
          <w:szCs w:val="24"/>
        </w:rPr>
        <w:lastRenderedPageBreak/>
        <w:t xml:space="preserve">Legal lesson learned: Very nice of the court to now publish their earlier unpublished decision in favor of this retiree. </w:t>
      </w:r>
    </w:p>
    <w:p w14:paraId="00F104E2" w14:textId="77777777" w:rsidR="007C4C98" w:rsidRPr="007C4C98" w:rsidRDefault="007C4C98" w:rsidP="007C4C98">
      <w:pPr>
        <w:pStyle w:val="NoSpacing"/>
        <w:ind w:left="720"/>
        <w:rPr>
          <w:rFonts w:ascii="Times New Roman" w:hAnsi="Times New Roman"/>
          <w:bCs/>
          <w:sz w:val="24"/>
          <w:szCs w:val="24"/>
        </w:rPr>
      </w:pPr>
    </w:p>
    <w:p w14:paraId="39550A13" w14:textId="77777777" w:rsidR="007C4C98" w:rsidRPr="007C4C98" w:rsidRDefault="007C4C98" w:rsidP="007C4C98">
      <w:pPr>
        <w:ind w:left="720"/>
        <w:rPr>
          <w:rFonts w:ascii="Times New Roman" w:hAnsi="Times New Roman"/>
          <w:bCs/>
          <w:sz w:val="24"/>
          <w:szCs w:val="24"/>
        </w:rPr>
      </w:pPr>
      <w:r w:rsidRPr="007C4C98">
        <w:rPr>
          <w:rFonts w:ascii="Times New Roman" w:hAnsi="Times New Roman"/>
          <w:sz w:val="24"/>
          <w:szCs w:val="24"/>
        </w:rPr>
        <w:t xml:space="preserve">Note: Section 6 of S.B. 153 provides: </w:t>
      </w:r>
      <w:hyperlink r:id="rId1013" w:history="1">
        <w:r w:rsidRPr="007C4C98">
          <w:rPr>
            <w:rStyle w:val="Hyperlink"/>
            <w:rFonts w:ascii="Times New Roman" w:hAnsi="Times New Roman"/>
            <w:sz w:val="24"/>
            <w:szCs w:val="24"/>
          </w:rPr>
          <w:t>https://www.leg.state.nv.us/App/NELIS/REL/82nd2023/Bill/9844/Overview</w:t>
        </w:r>
      </w:hyperlink>
      <w:r w:rsidRPr="007C4C98">
        <w:rPr>
          <w:rFonts w:ascii="Times New Roman" w:hAnsi="Times New Roman"/>
          <w:sz w:val="24"/>
          <w:szCs w:val="24"/>
        </w:rPr>
        <w:t xml:space="preserve">  </w:t>
      </w:r>
    </w:p>
    <w:p w14:paraId="0E7048AF" w14:textId="77777777" w:rsidR="007C4C98" w:rsidRPr="007C4C98" w:rsidRDefault="007C4C98" w:rsidP="007C4C98">
      <w:pPr>
        <w:pStyle w:val="NoSpacing"/>
        <w:ind w:left="720" w:firstLine="720"/>
        <w:rPr>
          <w:rFonts w:ascii="Times New Roman" w:hAnsi="Times New Roman"/>
          <w:bCs/>
          <w:sz w:val="24"/>
          <w:szCs w:val="24"/>
        </w:rPr>
      </w:pPr>
      <w:r w:rsidRPr="007C4C98">
        <w:rPr>
          <w:rFonts w:ascii="Times New Roman" w:hAnsi="Times New Roman"/>
          <w:sz w:val="24"/>
          <w:szCs w:val="24"/>
        </w:rPr>
        <w:t>The amendatory provisions of this act:</w:t>
      </w:r>
    </w:p>
    <w:p w14:paraId="04A10EFC" w14:textId="77777777" w:rsidR="007C4C98" w:rsidRPr="007C4C98" w:rsidRDefault="007C4C98" w:rsidP="007C4C98">
      <w:pPr>
        <w:pStyle w:val="NoSpacing"/>
        <w:ind w:left="720" w:firstLine="720"/>
        <w:rPr>
          <w:rFonts w:ascii="Times New Roman" w:hAnsi="Times New Roman"/>
          <w:bCs/>
          <w:sz w:val="24"/>
          <w:szCs w:val="24"/>
        </w:rPr>
      </w:pPr>
      <w:r w:rsidRPr="007C4C98">
        <w:rPr>
          <w:rFonts w:ascii="Times New Roman" w:hAnsi="Times New Roman"/>
          <w:sz w:val="24"/>
          <w:szCs w:val="24"/>
        </w:rPr>
        <w:t>1. Apply only to disablement which occurs on</w:t>
      </w:r>
    </w:p>
    <w:p w14:paraId="31C88FDF" w14:textId="77777777" w:rsidR="007C4C98" w:rsidRPr="007C4C98" w:rsidRDefault="007C4C98" w:rsidP="007C4C98">
      <w:pPr>
        <w:pStyle w:val="NoSpacing"/>
        <w:ind w:left="720" w:firstLine="720"/>
        <w:rPr>
          <w:rFonts w:ascii="Times New Roman" w:hAnsi="Times New Roman"/>
          <w:bCs/>
          <w:sz w:val="24"/>
          <w:szCs w:val="24"/>
        </w:rPr>
      </w:pPr>
      <w:r w:rsidRPr="007C4C98">
        <w:rPr>
          <w:rFonts w:ascii="Times New Roman" w:hAnsi="Times New Roman"/>
          <w:sz w:val="24"/>
          <w:szCs w:val="24"/>
        </w:rPr>
        <w:t>or after the effective date of this section; and</w:t>
      </w:r>
    </w:p>
    <w:p w14:paraId="76442BEF" w14:textId="77777777" w:rsidR="007C4C98" w:rsidRPr="007C4C98" w:rsidRDefault="007C4C98" w:rsidP="007C4C98">
      <w:pPr>
        <w:pStyle w:val="NoSpacing"/>
        <w:ind w:left="1440"/>
        <w:rPr>
          <w:rFonts w:ascii="Times New Roman" w:hAnsi="Times New Roman"/>
          <w:bCs/>
          <w:sz w:val="24"/>
          <w:szCs w:val="24"/>
        </w:rPr>
      </w:pPr>
      <w:r w:rsidRPr="007C4C98">
        <w:rPr>
          <w:rFonts w:ascii="Times New Roman" w:hAnsi="Times New Roman"/>
          <w:sz w:val="24"/>
          <w:szCs w:val="24"/>
        </w:rPr>
        <w:t xml:space="preserve">2. Do not apply to any person who, on the effective date </w:t>
      </w:r>
    </w:p>
    <w:p w14:paraId="30566C6E" w14:textId="77777777" w:rsidR="007C4C98" w:rsidRPr="007C4C98" w:rsidRDefault="007C4C98" w:rsidP="007C4C98">
      <w:pPr>
        <w:pStyle w:val="NoSpacing"/>
        <w:ind w:left="1440"/>
        <w:rPr>
          <w:rFonts w:ascii="Times New Roman" w:hAnsi="Times New Roman"/>
          <w:bCs/>
          <w:sz w:val="24"/>
          <w:szCs w:val="24"/>
        </w:rPr>
      </w:pPr>
      <w:r w:rsidRPr="007C4C98">
        <w:rPr>
          <w:rFonts w:ascii="Times New Roman" w:hAnsi="Times New Roman"/>
          <w:sz w:val="24"/>
          <w:szCs w:val="24"/>
        </w:rPr>
        <w:t xml:space="preserve">of this section, has completed at least 20 years of creditable </w:t>
      </w:r>
    </w:p>
    <w:p w14:paraId="7E8A947E" w14:textId="77777777" w:rsidR="007C4C98" w:rsidRPr="007C4C98" w:rsidRDefault="007C4C98" w:rsidP="007C4C98">
      <w:pPr>
        <w:pStyle w:val="NoSpacing"/>
        <w:ind w:left="1440"/>
        <w:rPr>
          <w:rFonts w:ascii="Times New Roman" w:hAnsi="Times New Roman"/>
          <w:bCs/>
          <w:sz w:val="24"/>
          <w:szCs w:val="24"/>
        </w:rPr>
      </w:pPr>
      <w:r w:rsidRPr="007C4C98">
        <w:rPr>
          <w:rFonts w:ascii="Times New Roman" w:hAnsi="Times New Roman"/>
          <w:sz w:val="24"/>
          <w:szCs w:val="24"/>
        </w:rPr>
        <w:t>service . . . as a . . firefighter . . . in this State.</w:t>
      </w:r>
    </w:p>
    <w:p w14:paraId="667F842F" w14:textId="77777777" w:rsidR="007C4C98" w:rsidRPr="007A2A30" w:rsidRDefault="007C4C98" w:rsidP="007F03DE">
      <w:pPr>
        <w:pStyle w:val="NoSpacing"/>
        <w:rPr>
          <w:rFonts w:ascii="Times New Roman" w:hAnsi="Times New Roman"/>
          <w:sz w:val="24"/>
          <w:szCs w:val="24"/>
        </w:rPr>
      </w:pPr>
    </w:p>
    <w:p w14:paraId="1987FA7D" w14:textId="77777777" w:rsidR="006325EF" w:rsidRDefault="006325EF" w:rsidP="00683497">
      <w:pPr>
        <w:pStyle w:val="NoSpacing"/>
        <w:rPr>
          <w:rFonts w:ascii="Arial Black" w:hAnsi="Arial Black"/>
          <w:sz w:val="28"/>
          <w:szCs w:val="28"/>
        </w:rPr>
      </w:pPr>
    </w:p>
    <w:p w14:paraId="07C213B1" w14:textId="77777777" w:rsidR="005263F1" w:rsidRDefault="005263F1" w:rsidP="00683497">
      <w:pPr>
        <w:pStyle w:val="NoSpacing"/>
        <w:rPr>
          <w:rFonts w:ascii="Arial Black" w:hAnsi="Arial Black"/>
          <w:sz w:val="28"/>
          <w:szCs w:val="28"/>
        </w:rPr>
      </w:pPr>
    </w:p>
    <w:p w14:paraId="60B11BA5" w14:textId="0CE63C41" w:rsidR="0090461E" w:rsidRDefault="0090461E" w:rsidP="00683497">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1</w:t>
      </w:r>
    </w:p>
    <w:p w14:paraId="40676CCC" w14:textId="77777777" w:rsidR="0090461E" w:rsidRDefault="0090461E" w:rsidP="00683497">
      <w:pPr>
        <w:pStyle w:val="NoSpacing"/>
        <w:rPr>
          <w:rFonts w:ascii="Arial Black" w:hAnsi="Arial Black"/>
          <w:sz w:val="28"/>
          <w:szCs w:val="28"/>
        </w:rPr>
      </w:pPr>
    </w:p>
    <w:p w14:paraId="38FDD922" w14:textId="7CF4A11A" w:rsidR="00683497" w:rsidRDefault="00683497" w:rsidP="00683497">
      <w:pPr>
        <w:pStyle w:val="NoSpacing"/>
        <w:rPr>
          <w:rFonts w:ascii="Arial Black" w:hAnsi="Arial Black"/>
          <w:sz w:val="28"/>
          <w:szCs w:val="28"/>
        </w:rPr>
      </w:pPr>
      <w:r w:rsidRPr="006F2B87">
        <w:rPr>
          <w:rFonts w:ascii="Arial Black" w:hAnsi="Arial Black"/>
          <w:sz w:val="28"/>
          <w:szCs w:val="28"/>
        </w:rPr>
        <w:t>KY: MEDIC MVA - WORK COMP</w:t>
      </w:r>
      <w:r w:rsidR="00D116D3">
        <w:rPr>
          <w:rFonts w:ascii="Arial Black" w:hAnsi="Arial Black"/>
          <w:sz w:val="28"/>
          <w:szCs w:val="28"/>
        </w:rPr>
        <w:t xml:space="preserve"> / CAN ALSO SUE </w:t>
      </w:r>
      <w:r w:rsidRPr="006F2B87">
        <w:rPr>
          <w:rFonts w:ascii="Arial Black" w:hAnsi="Arial Black"/>
          <w:sz w:val="28"/>
          <w:szCs w:val="28"/>
        </w:rPr>
        <w:t>“UNINSURED MOTORIST”</w:t>
      </w:r>
    </w:p>
    <w:p w14:paraId="5DE86FA7" w14:textId="39103F0C" w:rsidR="00D116D3" w:rsidRPr="006F2B87" w:rsidRDefault="00D116D3" w:rsidP="00683497">
      <w:pPr>
        <w:pStyle w:val="NoSpacing"/>
        <w:rPr>
          <w:rFonts w:ascii="Arial Black" w:hAnsi="Arial Black"/>
          <w:sz w:val="28"/>
          <w:szCs w:val="28"/>
        </w:rPr>
      </w:pPr>
      <w:hyperlink r:id="rId1014" w:history="1">
        <w:r w:rsidRPr="00683497">
          <w:rPr>
            <w:rStyle w:val="Hyperlink"/>
            <w:rFonts w:ascii="Times New Roman" w:hAnsi="Times New Roman"/>
            <w:sz w:val="24"/>
            <w:szCs w:val="24"/>
          </w:rPr>
          <w:t>https://cases.justia.com/kentucky/court-of-appeals/2025-2024-ca-0152-mr.pdf?ts=1748009113</w:t>
        </w:r>
      </w:hyperlink>
    </w:p>
    <w:p w14:paraId="7D7FC876" w14:textId="77777777" w:rsidR="00683497" w:rsidRPr="006F2B87" w:rsidRDefault="00683497" w:rsidP="00683497">
      <w:pPr>
        <w:pStyle w:val="NoSpacing"/>
      </w:pPr>
    </w:p>
    <w:p w14:paraId="2A3A5247" w14:textId="77777777" w:rsidR="00683497" w:rsidRPr="00683497" w:rsidRDefault="00683497" w:rsidP="00683497">
      <w:pPr>
        <w:pStyle w:val="NoSpacing"/>
        <w:rPr>
          <w:rFonts w:ascii="Times New Roman" w:hAnsi="Times New Roman"/>
          <w:bCs/>
          <w:sz w:val="24"/>
          <w:szCs w:val="24"/>
        </w:rPr>
      </w:pPr>
      <w:r w:rsidRPr="00683497">
        <w:rPr>
          <w:rFonts w:ascii="Times New Roman" w:hAnsi="Times New Roman"/>
          <w:sz w:val="24"/>
          <w:szCs w:val="24"/>
        </w:rPr>
        <w:t xml:space="preserve">On May 25, 2025, in </w:t>
      </w:r>
      <w:r w:rsidRPr="00683497">
        <w:rPr>
          <w:rFonts w:ascii="Times New Roman" w:hAnsi="Times New Roman"/>
          <w:sz w:val="24"/>
          <w:szCs w:val="24"/>
          <w:u w:val="single"/>
        </w:rPr>
        <w:t xml:space="preserve">Scott Preston v. Nationwide Insurance Company and Kentucky Association of Counties </w:t>
      </w:r>
      <w:proofErr w:type="gramStart"/>
      <w:r w:rsidRPr="00683497">
        <w:rPr>
          <w:rFonts w:ascii="Times New Roman" w:hAnsi="Times New Roman"/>
          <w:sz w:val="24"/>
          <w:szCs w:val="24"/>
          <w:u w:val="single"/>
        </w:rPr>
        <w:t>And</w:t>
      </w:r>
      <w:proofErr w:type="gramEnd"/>
      <w:r w:rsidRPr="00683497">
        <w:rPr>
          <w:rFonts w:ascii="Times New Roman" w:hAnsi="Times New Roman"/>
          <w:sz w:val="24"/>
          <w:szCs w:val="24"/>
          <w:u w:val="single"/>
        </w:rPr>
        <w:t xml:space="preserve"> All Lines Fund</w:t>
      </w:r>
      <w:r w:rsidRPr="00683497">
        <w:rPr>
          <w:rFonts w:ascii="Times New Roman" w:hAnsi="Times New Roman"/>
          <w:sz w:val="24"/>
          <w:szCs w:val="24"/>
        </w:rPr>
        <w:t xml:space="preserve">, the Court of Appeals of Kentucky held (3 to 0) that trial court improperly dismissed Preston’s lawsuit against KALF’s, which has a $60,000 policy limit for uninsured motorist claims.  While Preston is covered by worker’s comp, he may pursue claims not covered by worker’s comp. </w:t>
      </w:r>
    </w:p>
    <w:p w14:paraId="1A732791" w14:textId="77777777" w:rsidR="00683497" w:rsidRPr="00683497" w:rsidRDefault="00683497" w:rsidP="00683497">
      <w:pPr>
        <w:pStyle w:val="NoSpacing"/>
        <w:rPr>
          <w:rFonts w:ascii="Times New Roman" w:hAnsi="Times New Roman"/>
          <w:bCs/>
          <w:sz w:val="24"/>
          <w:szCs w:val="24"/>
        </w:rPr>
      </w:pPr>
    </w:p>
    <w:p w14:paraId="4EC19AE0" w14:textId="77777777" w:rsidR="00683497" w:rsidRPr="00683497" w:rsidRDefault="00683497" w:rsidP="00683497">
      <w:pPr>
        <w:pStyle w:val="NoSpacing"/>
        <w:rPr>
          <w:rFonts w:ascii="Times New Roman" w:hAnsi="Times New Roman"/>
          <w:bCs/>
          <w:sz w:val="24"/>
          <w:szCs w:val="24"/>
        </w:rPr>
      </w:pPr>
      <w:r w:rsidRPr="00683497">
        <w:rPr>
          <w:rFonts w:ascii="Times New Roman" w:hAnsi="Times New Roman"/>
          <w:sz w:val="24"/>
          <w:szCs w:val="24"/>
        </w:rPr>
        <w:t xml:space="preserve">The Court wrote: “However, any jury award for lost wages and permanent impairment not duplicated by the workers’ compensation award would be recoverable by Preston under KALF’s UIM policy, as would any award for pain and suffering, as it is not an item of damages covered by workers’ compensation.” </w:t>
      </w:r>
      <w:hyperlink r:id="rId1015" w:history="1">
        <w:r w:rsidRPr="00683497">
          <w:rPr>
            <w:rStyle w:val="Hyperlink"/>
            <w:rFonts w:ascii="Times New Roman" w:hAnsi="Times New Roman"/>
            <w:sz w:val="24"/>
            <w:szCs w:val="24"/>
          </w:rPr>
          <w:t>https://cases.justia.com/kentucky/court-of-appeals/2025-2024-ca-0152-mr.pdf?ts=1748009113</w:t>
        </w:r>
      </w:hyperlink>
      <w:r w:rsidRPr="00683497">
        <w:rPr>
          <w:rFonts w:ascii="Times New Roman" w:hAnsi="Times New Roman"/>
          <w:sz w:val="24"/>
          <w:szCs w:val="24"/>
        </w:rPr>
        <w:t xml:space="preserve"> </w:t>
      </w:r>
    </w:p>
    <w:p w14:paraId="125999A8" w14:textId="77777777" w:rsidR="00575946" w:rsidRDefault="00575946" w:rsidP="00575946">
      <w:pPr>
        <w:pStyle w:val="NoSpacing"/>
        <w:rPr>
          <w:rFonts w:ascii="Times New Roman" w:hAnsi="Times New Roman"/>
          <w:b/>
          <w:sz w:val="24"/>
          <w:szCs w:val="24"/>
        </w:rPr>
      </w:pPr>
    </w:p>
    <w:p w14:paraId="706F4653" w14:textId="198B5C1E" w:rsidR="00575946" w:rsidRDefault="00575946" w:rsidP="00575946">
      <w:pPr>
        <w:pStyle w:val="NoSpacing"/>
        <w:rPr>
          <w:rFonts w:ascii="Times New Roman" w:hAnsi="Times New Roman"/>
          <w:b/>
          <w:sz w:val="24"/>
          <w:szCs w:val="24"/>
        </w:rPr>
      </w:pPr>
      <w:r w:rsidRPr="00575946">
        <w:rPr>
          <w:rFonts w:ascii="Times New Roman" w:hAnsi="Times New Roman"/>
          <w:b/>
          <w:sz w:val="24"/>
          <w:szCs w:val="24"/>
        </w:rPr>
        <w:t xml:space="preserve">Legal Lesson Learned: The pension plan was </w:t>
      </w:r>
      <w:proofErr w:type="gramStart"/>
      <w:r w:rsidRPr="00575946">
        <w:rPr>
          <w:rFonts w:ascii="Times New Roman" w:hAnsi="Times New Roman"/>
          <w:b/>
          <w:sz w:val="24"/>
          <w:szCs w:val="24"/>
        </w:rPr>
        <w:t>clear,</w:t>
      </w:r>
      <w:proofErr w:type="gramEnd"/>
      <w:r w:rsidRPr="00575946">
        <w:rPr>
          <w:rFonts w:ascii="Times New Roman" w:hAnsi="Times New Roman"/>
          <w:b/>
          <w:sz w:val="24"/>
          <w:szCs w:val="24"/>
        </w:rPr>
        <w:t xml:space="preserve"> three physicians must certify total disability. </w:t>
      </w:r>
    </w:p>
    <w:p w14:paraId="53C57AC5" w14:textId="77777777" w:rsidR="006E00CC" w:rsidRDefault="006E00CC" w:rsidP="00575946">
      <w:pPr>
        <w:pStyle w:val="NoSpacing"/>
        <w:rPr>
          <w:rFonts w:ascii="Times New Roman" w:hAnsi="Times New Roman"/>
          <w:b/>
          <w:sz w:val="24"/>
          <w:szCs w:val="24"/>
        </w:rPr>
      </w:pPr>
    </w:p>
    <w:p w14:paraId="181DB2A7" w14:textId="77777777" w:rsidR="006E00CC" w:rsidRDefault="006E00CC" w:rsidP="00575946">
      <w:pPr>
        <w:pStyle w:val="NoSpacing"/>
        <w:rPr>
          <w:rFonts w:ascii="Times New Roman" w:hAnsi="Times New Roman"/>
          <w:b/>
          <w:sz w:val="24"/>
          <w:szCs w:val="24"/>
        </w:rPr>
      </w:pPr>
    </w:p>
    <w:p w14:paraId="3D4E37E5" w14:textId="77777777" w:rsidR="006E00CC" w:rsidRDefault="006E00CC" w:rsidP="00575946">
      <w:pPr>
        <w:pStyle w:val="NoSpacing"/>
        <w:rPr>
          <w:rFonts w:ascii="Times New Roman" w:hAnsi="Times New Roman"/>
          <w:b/>
          <w:sz w:val="24"/>
          <w:szCs w:val="24"/>
        </w:rPr>
      </w:pPr>
    </w:p>
    <w:p w14:paraId="27539B55" w14:textId="77777777" w:rsidR="00C74618" w:rsidRDefault="00C74618" w:rsidP="00575946">
      <w:pPr>
        <w:pStyle w:val="NoSpacing"/>
        <w:rPr>
          <w:rFonts w:ascii="Times New Roman" w:hAnsi="Times New Roman"/>
          <w:b/>
          <w:bCs/>
          <w:sz w:val="24"/>
          <w:szCs w:val="24"/>
        </w:rPr>
      </w:pPr>
    </w:p>
    <w:p w14:paraId="2907EC9C" w14:textId="2D39DC69" w:rsidR="0090461E" w:rsidRDefault="0090461E" w:rsidP="00411F2A">
      <w:pPr>
        <w:pStyle w:val="NoSpacing"/>
        <w:rPr>
          <w:rFonts w:ascii="Arial Black" w:hAnsi="Arial Black"/>
          <w:sz w:val="28"/>
          <w:szCs w:val="28"/>
        </w:rPr>
      </w:pPr>
      <w:r>
        <w:rPr>
          <w:rFonts w:ascii="Arial Black" w:hAnsi="Arial Black"/>
          <w:sz w:val="28"/>
          <w:szCs w:val="28"/>
        </w:rPr>
        <w:t>6-1</w:t>
      </w:r>
      <w:r w:rsidR="002A0697">
        <w:rPr>
          <w:rFonts w:ascii="Arial Black" w:hAnsi="Arial Black"/>
          <w:sz w:val="28"/>
          <w:szCs w:val="28"/>
        </w:rPr>
        <w:t>60</w:t>
      </w:r>
    </w:p>
    <w:p w14:paraId="78E758F6" w14:textId="77777777" w:rsidR="0090461E" w:rsidRDefault="0090461E" w:rsidP="00411F2A">
      <w:pPr>
        <w:pStyle w:val="NoSpacing"/>
        <w:rPr>
          <w:rFonts w:ascii="Arial Black" w:hAnsi="Arial Black"/>
          <w:sz w:val="28"/>
          <w:szCs w:val="28"/>
        </w:rPr>
      </w:pPr>
    </w:p>
    <w:p w14:paraId="7F7C32D9" w14:textId="300CDF82" w:rsidR="00411F2A" w:rsidRPr="006F2B87" w:rsidRDefault="00411F2A" w:rsidP="00411F2A">
      <w:pPr>
        <w:pStyle w:val="NoSpacing"/>
        <w:rPr>
          <w:rFonts w:ascii="Arial Black" w:hAnsi="Arial Black"/>
          <w:sz w:val="28"/>
          <w:szCs w:val="28"/>
        </w:rPr>
      </w:pPr>
      <w:r w:rsidRPr="006F2B87">
        <w:rPr>
          <w:rFonts w:ascii="Arial Black" w:hAnsi="Arial Black"/>
          <w:sz w:val="28"/>
          <w:szCs w:val="28"/>
        </w:rPr>
        <w:t>CT: DISAB. PENSION FOR HEARING LOSS DENIED – 3 MDs</w:t>
      </w:r>
    </w:p>
    <w:p w14:paraId="5AB7B27B" w14:textId="77777777" w:rsidR="00411F2A" w:rsidRPr="006F2B87" w:rsidRDefault="00411F2A" w:rsidP="00411F2A">
      <w:pPr>
        <w:pStyle w:val="NoSpacing"/>
      </w:pPr>
    </w:p>
    <w:p w14:paraId="5446F811" w14:textId="77777777" w:rsidR="00411F2A" w:rsidRPr="00411F2A" w:rsidRDefault="00411F2A" w:rsidP="00411F2A">
      <w:pPr>
        <w:pStyle w:val="NoSpacing"/>
        <w:rPr>
          <w:rFonts w:ascii="Times New Roman" w:hAnsi="Times New Roman"/>
          <w:bCs/>
          <w:sz w:val="24"/>
          <w:szCs w:val="24"/>
        </w:rPr>
      </w:pPr>
      <w:r w:rsidRPr="00411F2A">
        <w:rPr>
          <w:rFonts w:ascii="Times New Roman" w:hAnsi="Times New Roman"/>
          <w:sz w:val="24"/>
          <w:szCs w:val="24"/>
        </w:rPr>
        <w:t xml:space="preserve">On May 15, 2025, in </w:t>
      </w:r>
      <w:r w:rsidRPr="00411F2A">
        <w:rPr>
          <w:rFonts w:ascii="Times New Roman" w:hAnsi="Times New Roman"/>
          <w:sz w:val="24"/>
          <w:szCs w:val="24"/>
          <w:u w:val="single"/>
        </w:rPr>
        <w:t>Kenneth Lombardi v. Town of Westport</w:t>
      </w:r>
      <w:r w:rsidRPr="00411F2A">
        <w:rPr>
          <w:rFonts w:ascii="Times New Roman" w:hAnsi="Times New Roman"/>
          <w:sz w:val="24"/>
          <w:szCs w:val="24"/>
        </w:rPr>
        <w:t xml:space="preserve">, the Court of Appeals of Connecticut held (3 to 0) that the Pension Board properly denied the firefighter a disability pension; he retired June 1, </w:t>
      </w:r>
      <w:proofErr w:type="gramStart"/>
      <w:r w:rsidRPr="00411F2A">
        <w:rPr>
          <w:rFonts w:ascii="Times New Roman" w:hAnsi="Times New Roman"/>
          <w:sz w:val="24"/>
          <w:szCs w:val="24"/>
        </w:rPr>
        <w:t>2017</w:t>
      </w:r>
      <w:proofErr w:type="gramEnd"/>
      <w:r w:rsidRPr="00411F2A">
        <w:rPr>
          <w:rFonts w:ascii="Times New Roman" w:hAnsi="Times New Roman"/>
          <w:sz w:val="24"/>
          <w:szCs w:val="24"/>
        </w:rPr>
        <w:t xml:space="preserve"> and claimed an on-the-job ear injury in 2004 entitled him to disability pension.  The pension plan required three (3) physicians to certify total disability, and the third doctor found he could still perform 90% of his job.  </w:t>
      </w:r>
    </w:p>
    <w:p w14:paraId="41A786C8" w14:textId="77777777" w:rsidR="00411F2A" w:rsidRPr="00411F2A" w:rsidRDefault="00411F2A" w:rsidP="00411F2A">
      <w:pPr>
        <w:pStyle w:val="NoSpacing"/>
        <w:rPr>
          <w:rFonts w:ascii="Times New Roman" w:hAnsi="Times New Roman"/>
          <w:bCs/>
          <w:sz w:val="24"/>
          <w:szCs w:val="24"/>
        </w:rPr>
      </w:pPr>
    </w:p>
    <w:p w14:paraId="52EA81FE" w14:textId="77777777" w:rsidR="00411F2A" w:rsidRPr="00411F2A" w:rsidRDefault="00411F2A" w:rsidP="00411F2A">
      <w:pPr>
        <w:pStyle w:val="NoSpacing"/>
        <w:rPr>
          <w:rFonts w:ascii="Times New Roman" w:hAnsi="Times New Roman"/>
          <w:bCs/>
          <w:sz w:val="24"/>
          <w:szCs w:val="24"/>
        </w:rPr>
      </w:pPr>
      <w:r w:rsidRPr="00411F2A">
        <w:rPr>
          <w:rFonts w:ascii="Times New Roman" w:hAnsi="Times New Roman"/>
          <w:sz w:val="24"/>
          <w:szCs w:val="24"/>
        </w:rPr>
        <w:t xml:space="preserve">The Court wrote: “To aid in its determination of whether the plaintiff qualified for a disability retirement pension, the board accepted and considered medical evaluations from two physicians selected by the plaintiff, who opined that the plaintiff ‘’suffered from permanent hearing disabilities rendering him unfit for duty as a </w:t>
      </w:r>
      <w:r w:rsidRPr="00411F2A">
        <w:rPr>
          <w:rFonts w:ascii="Times New Roman" w:hAnsi="Times New Roman"/>
          <w:sz w:val="24"/>
          <w:szCs w:val="24"/>
        </w:rPr>
        <w:lastRenderedPageBreak/>
        <w:t xml:space="preserve">fire-fighter.’’ In addition, the board referred the plaintiff to Craig Hecht, a physician, for an independent examination. ‘’Hecht’s findings were consistent with the conclusions of [the other two physicians], except [for] Hecht’s conclusion that the plaintiff could perform ‘90 percent of his job responsibilities’ . . . . In </w:t>
      </w:r>
      <w:proofErr w:type="gramStart"/>
      <w:r w:rsidRPr="00411F2A">
        <w:rPr>
          <w:rFonts w:ascii="Times New Roman" w:hAnsi="Times New Roman"/>
          <w:sz w:val="24"/>
          <w:szCs w:val="24"/>
        </w:rPr>
        <w:t>December,</w:t>
      </w:r>
      <w:proofErr w:type="gramEnd"/>
      <w:r w:rsidRPr="00411F2A">
        <w:rPr>
          <w:rFonts w:ascii="Times New Roman" w:hAnsi="Times New Roman"/>
          <w:sz w:val="24"/>
          <w:szCs w:val="24"/>
        </w:rPr>
        <w:t xml:space="preserve"> 2017, the board denied the plaintiff’s request for a disability retirement pension. *** Accordingly, there exists no genuine issue of material fact that the plaintiff was not entitled to a disability retirement pension on the basis that he did not have certifications from at least three physicians.”  </w:t>
      </w:r>
      <w:hyperlink r:id="rId1016" w:history="1">
        <w:r w:rsidRPr="00411F2A">
          <w:rPr>
            <w:rStyle w:val="Hyperlink"/>
            <w:rFonts w:ascii="Times New Roman" w:hAnsi="Times New Roman"/>
            <w:sz w:val="24"/>
            <w:szCs w:val="24"/>
          </w:rPr>
          <w:t>https://www.jud.ct.gov/external/supapp/Cases/AROap/AP232/AP232.214.pdf</w:t>
        </w:r>
      </w:hyperlink>
      <w:r w:rsidRPr="00411F2A">
        <w:rPr>
          <w:rFonts w:ascii="Times New Roman" w:hAnsi="Times New Roman"/>
          <w:sz w:val="24"/>
          <w:szCs w:val="24"/>
        </w:rPr>
        <w:t xml:space="preserve"> </w:t>
      </w:r>
    </w:p>
    <w:p w14:paraId="5B8DF7FB" w14:textId="77777777" w:rsidR="00575946" w:rsidRPr="00411F2A" w:rsidRDefault="00575946" w:rsidP="00EF1133">
      <w:pPr>
        <w:rPr>
          <w:rFonts w:ascii="Times New Roman" w:hAnsi="Times New Roman"/>
          <w:b/>
          <w:sz w:val="24"/>
          <w:szCs w:val="24"/>
        </w:rPr>
      </w:pPr>
    </w:p>
    <w:p w14:paraId="2341891A" w14:textId="77777777" w:rsidR="0010642B" w:rsidRPr="006F2B87" w:rsidRDefault="0010642B" w:rsidP="0010642B">
      <w:pPr>
        <w:pStyle w:val="NoSpacing"/>
        <w:rPr>
          <w:b/>
          <w:bCs/>
        </w:rPr>
      </w:pPr>
      <w:r w:rsidRPr="0010642B">
        <w:rPr>
          <w:rFonts w:ascii="Times New Roman" w:hAnsi="Times New Roman"/>
          <w:b/>
          <w:sz w:val="24"/>
          <w:szCs w:val="24"/>
        </w:rPr>
        <w:t>Legal Lesson Learned: The pension plan was clear</w:t>
      </w:r>
      <w:r w:rsidRPr="0010642B">
        <w:rPr>
          <w:rFonts w:ascii="Times New Roman" w:hAnsi="Times New Roman"/>
          <w:b/>
          <w:bCs/>
          <w:sz w:val="24"/>
          <w:szCs w:val="24"/>
        </w:rPr>
        <w:t xml:space="preserve">; </w:t>
      </w:r>
      <w:r w:rsidRPr="0010642B">
        <w:rPr>
          <w:rFonts w:ascii="Times New Roman" w:hAnsi="Times New Roman"/>
          <w:b/>
          <w:sz w:val="24"/>
          <w:szCs w:val="24"/>
        </w:rPr>
        <w:t xml:space="preserve"> three physicians must certify total disability</w:t>
      </w:r>
      <w:r w:rsidRPr="006F2B87">
        <w:rPr>
          <w:b/>
        </w:rPr>
        <w:t xml:space="preserve">. </w:t>
      </w:r>
    </w:p>
    <w:p w14:paraId="2A04E333" w14:textId="77777777" w:rsidR="00744788" w:rsidRDefault="00744788" w:rsidP="00EF1133">
      <w:pPr>
        <w:rPr>
          <w:rFonts w:ascii="Arial Black" w:hAnsi="Arial Black"/>
          <w:b/>
          <w:sz w:val="24"/>
          <w:szCs w:val="24"/>
        </w:rPr>
      </w:pPr>
    </w:p>
    <w:p w14:paraId="29CA7718" w14:textId="302C12D0" w:rsidR="00F0728A" w:rsidRDefault="0090461E" w:rsidP="00EF1133">
      <w:pPr>
        <w:rPr>
          <w:rFonts w:ascii="Arial Black" w:hAnsi="Arial Black"/>
          <w:b/>
          <w:sz w:val="24"/>
          <w:szCs w:val="24"/>
        </w:rPr>
      </w:pPr>
      <w:r>
        <w:rPr>
          <w:rFonts w:ascii="Arial Black" w:hAnsi="Arial Black"/>
          <w:b/>
          <w:sz w:val="24"/>
          <w:szCs w:val="24"/>
        </w:rPr>
        <w:t>6-15</w:t>
      </w:r>
      <w:r w:rsidR="002A0697">
        <w:rPr>
          <w:rFonts w:ascii="Arial Black" w:hAnsi="Arial Black"/>
          <w:b/>
          <w:sz w:val="24"/>
          <w:szCs w:val="24"/>
        </w:rPr>
        <w:t>9</w:t>
      </w:r>
    </w:p>
    <w:p w14:paraId="36166260" w14:textId="77777777" w:rsidR="00F0728A" w:rsidRPr="006F2B87" w:rsidRDefault="00F0728A" w:rsidP="00F0728A">
      <w:pPr>
        <w:pStyle w:val="NoSpacing"/>
        <w:rPr>
          <w:rFonts w:ascii="Arial Black" w:hAnsi="Arial Black"/>
          <w:bCs/>
          <w:sz w:val="28"/>
          <w:szCs w:val="28"/>
        </w:rPr>
      </w:pPr>
      <w:r w:rsidRPr="006F2B87">
        <w:rPr>
          <w:rFonts w:ascii="Arial Black" w:hAnsi="Arial Black"/>
          <w:sz w:val="28"/>
          <w:szCs w:val="28"/>
        </w:rPr>
        <w:t xml:space="preserve">LA:  CAPT DIED FLU / MRSA – </w:t>
      </w:r>
      <w:r>
        <w:rPr>
          <w:rFonts w:ascii="Arial Black" w:hAnsi="Arial Black"/>
          <w:sz w:val="28"/>
          <w:szCs w:val="28"/>
        </w:rPr>
        <w:t xml:space="preserve">STATUTORY PRESUMPTION </w:t>
      </w:r>
    </w:p>
    <w:p w14:paraId="13C8DF69" w14:textId="77777777" w:rsidR="00F0728A" w:rsidRDefault="00F0728A" w:rsidP="00F0728A">
      <w:pPr>
        <w:pStyle w:val="NoSpacing"/>
      </w:pPr>
    </w:p>
    <w:p w14:paraId="2776D5F0" w14:textId="77777777" w:rsidR="00693E53" w:rsidRDefault="00F0728A" w:rsidP="00693E53">
      <w:pPr>
        <w:rPr>
          <w:rFonts w:ascii="Times New Roman" w:hAnsi="Times New Roman"/>
          <w:sz w:val="24"/>
          <w:szCs w:val="24"/>
        </w:rPr>
      </w:pPr>
      <w:r w:rsidRPr="00F0728A">
        <w:rPr>
          <w:rFonts w:ascii="Times New Roman" w:hAnsi="Times New Roman"/>
          <w:sz w:val="24"/>
          <w:szCs w:val="24"/>
        </w:rPr>
        <w:t xml:space="preserve">On May 6, 2025, in </w:t>
      </w:r>
      <w:r w:rsidRPr="00F0728A">
        <w:rPr>
          <w:rFonts w:ascii="Times New Roman" w:hAnsi="Times New Roman"/>
          <w:sz w:val="24"/>
          <w:szCs w:val="24"/>
          <w:u w:val="single"/>
        </w:rPr>
        <w:t>Roy D. Magee (deceased) / Wallace Magee and Clara Caston Filey v. City of New Orlean Fire Department</w:t>
      </w:r>
      <w:r w:rsidRPr="00F0728A">
        <w:rPr>
          <w:rFonts w:ascii="Times New Roman" w:hAnsi="Times New Roman"/>
          <w:sz w:val="24"/>
          <w:szCs w:val="24"/>
        </w:rPr>
        <w:t xml:space="preserve">, the Court of Appeals of Louisiana, Fourth Circuit held (3 to 0) that the Office of Workers’ Compensation properly found that the firefighter, who died from influenza A and MRSA pneumonia (methicillin-resistant staphylococcus aureus), was covered by the Firefighter's Heart and Lung Act, and his father and mother each can receive $75,000, and medical and funeral expenses (but not attorney fees).   </w:t>
      </w:r>
      <w:hyperlink r:id="rId1017" w:history="1">
        <w:r w:rsidR="00693E53" w:rsidRPr="00F0728A">
          <w:rPr>
            <w:rStyle w:val="Hyperlink"/>
            <w:rFonts w:ascii="Times New Roman" w:hAnsi="Times New Roman"/>
            <w:sz w:val="24"/>
            <w:szCs w:val="24"/>
          </w:rPr>
          <w:t>https://cases.justia.com/louisiana/fourth-circuit-court-of-appeal/2025-2024-ca-0747.pdf?ts=1746576943</w:t>
        </w:r>
      </w:hyperlink>
    </w:p>
    <w:p w14:paraId="1C2F6D27" w14:textId="14FA2FDB" w:rsidR="00F0728A" w:rsidRPr="00F0728A" w:rsidRDefault="00F0728A" w:rsidP="00F0728A">
      <w:pPr>
        <w:pStyle w:val="NoSpacing"/>
        <w:rPr>
          <w:rFonts w:ascii="Times New Roman" w:hAnsi="Times New Roman"/>
          <w:bCs/>
          <w:sz w:val="24"/>
          <w:szCs w:val="24"/>
        </w:rPr>
      </w:pPr>
    </w:p>
    <w:p w14:paraId="627B38DF" w14:textId="77777777" w:rsidR="00F0728A" w:rsidRPr="00F0728A" w:rsidRDefault="00F0728A" w:rsidP="00F0728A">
      <w:pPr>
        <w:pStyle w:val="NoSpacing"/>
        <w:rPr>
          <w:rFonts w:ascii="Times New Roman" w:hAnsi="Times New Roman"/>
          <w:bCs/>
          <w:sz w:val="24"/>
          <w:szCs w:val="24"/>
        </w:rPr>
      </w:pPr>
    </w:p>
    <w:p w14:paraId="5A70B167" w14:textId="2C41BCB2" w:rsidR="00F0728A" w:rsidRDefault="00F0728A" w:rsidP="00F0728A">
      <w:pPr>
        <w:rPr>
          <w:rFonts w:ascii="Times New Roman" w:hAnsi="Times New Roman"/>
          <w:sz w:val="24"/>
          <w:szCs w:val="24"/>
        </w:rPr>
      </w:pPr>
      <w:r w:rsidRPr="00F0728A">
        <w:rPr>
          <w:rFonts w:ascii="Times New Roman" w:hAnsi="Times New Roman"/>
          <w:sz w:val="24"/>
          <w:szCs w:val="24"/>
        </w:rPr>
        <w:t xml:space="preserve">The Court wrote:  “In October 2014, Captain Troy Magee (‘Captain Magee’), who had been employed as a Hazmat firefighter with the NOFD for 13 years, was in New Mexico attending a week-long firefighter training course. On the final day of training, he became extremely ill and had to be transported by ambulance to the hospital. His medical condition worsened and required a helicopter transfer to another hospital's intensive care unit. Captain Magee was diagnosed with acute respiratory distress and multifocal pneumonia. He remained in intensive care for four days and later died on October 27, 2014. Dr. Keith Hutchinson (‘Dr. Hutchinson’), the critical care physician who treated Captain Magee, was present when he died and completed the discharge summary. Dr. Hutchinson listed the cause of death as ‘acute respiratory distress syndrome, secondary to influenza A, and H3/MRSA pneumonia.’ ***  The Firefighter's Heart and Lung Act ("Act"), set forth in La. R.S. 33:2581, states: "Any disease or infirmity of the heart and lungs which develops during a period of employment in the classified fire service of Louisiana shall be classified as a disease or infirmity connected with employment.”  </w:t>
      </w:r>
      <w:hyperlink r:id="rId1018" w:history="1">
        <w:r w:rsidRPr="00F0728A">
          <w:rPr>
            <w:rStyle w:val="Hyperlink"/>
            <w:rFonts w:ascii="Times New Roman" w:hAnsi="Times New Roman"/>
            <w:sz w:val="24"/>
            <w:szCs w:val="24"/>
          </w:rPr>
          <w:t>https://cases.justia.com/louisiana/fourth-circuit-court-of-appeal/2025-2024-ca-0747.pdf?ts=1746576943</w:t>
        </w:r>
      </w:hyperlink>
    </w:p>
    <w:p w14:paraId="5085F9DC" w14:textId="77777777" w:rsidR="00A0378C" w:rsidRPr="00A0378C" w:rsidRDefault="00A0378C" w:rsidP="00A0378C">
      <w:pPr>
        <w:pStyle w:val="NoSpacing"/>
        <w:rPr>
          <w:rFonts w:ascii="Times New Roman" w:hAnsi="Times New Roman"/>
          <w:b/>
          <w:bCs/>
          <w:sz w:val="24"/>
          <w:szCs w:val="24"/>
        </w:rPr>
      </w:pPr>
      <w:r w:rsidRPr="00A0378C">
        <w:rPr>
          <w:rFonts w:ascii="Times New Roman" w:hAnsi="Times New Roman"/>
          <w:b/>
          <w:sz w:val="24"/>
          <w:szCs w:val="24"/>
        </w:rPr>
        <w:t xml:space="preserve">Legal Lesson Learned: The statutory presumption in the Firefighter's Heart and Lung Act is very broad. </w:t>
      </w:r>
    </w:p>
    <w:p w14:paraId="3ECF5154" w14:textId="77777777" w:rsidR="00A0378C" w:rsidRPr="00A0378C" w:rsidRDefault="00A0378C" w:rsidP="00A0378C">
      <w:pPr>
        <w:pStyle w:val="NoSpacing"/>
        <w:rPr>
          <w:rFonts w:ascii="Times New Roman" w:hAnsi="Times New Roman"/>
          <w:b/>
          <w:bCs/>
          <w:sz w:val="24"/>
          <w:szCs w:val="24"/>
        </w:rPr>
      </w:pPr>
    </w:p>
    <w:p w14:paraId="57EA3F29" w14:textId="77777777" w:rsidR="00A0378C" w:rsidRDefault="00A0378C" w:rsidP="00F0728A">
      <w:pPr>
        <w:rPr>
          <w:rFonts w:ascii="Times New Roman" w:hAnsi="Times New Roman"/>
          <w:b/>
          <w:sz w:val="24"/>
          <w:szCs w:val="24"/>
        </w:rPr>
      </w:pPr>
    </w:p>
    <w:p w14:paraId="7B5156A7" w14:textId="77777777" w:rsidR="002F63E3" w:rsidRDefault="002F63E3" w:rsidP="00F0728A">
      <w:pPr>
        <w:rPr>
          <w:rFonts w:ascii="Times New Roman" w:hAnsi="Times New Roman"/>
          <w:b/>
          <w:sz w:val="24"/>
          <w:szCs w:val="24"/>
        </w:rPr>
      </w:pPr>
    </w:p>
    <w:p w14:paraId="6E9A77C3" w14:textId="77777777" w:rsidR="00744788" w:rsidRDefault="00744788" w:rsidP="00EF1133">
      <w:pPr>
        <w:rPr>
          <w:rFonts w:ascii="Arial Black" w:hAnsi="Arial Black"/>
          <w:b/>
          <w:sz w:val="24"/>
          <w:szCs w:val="24"/>
        </w:rPr>
      </w:pPr>
    </w:p>
    <w:p w14:paraId="70951456" w14:textId="5DC5491B" w:rsidR="00CB79E4" w:rsidRDefault="00CB79E4" w:rsidP="00EF1133">
      <w:pPr>
        <w:rPr>
          <w:rFonts w:ascii="Arial Black" w:hAnsi="Arial Black"/>
          <w:b/>
          <w:sz w:val="24"/>
          <w:szCs w:val="24"/>
        </w:rPr>
      </w:pPr>
      <w:r>
        <w:rPr>
          <w:rFonts w:ascii="Arial Black" w:hAnsi="Arial Black"/>
          <w:b/>
          <w:sz w:val="24"/>
          <w:szCs w:val="24"/>
        </w:rPr>
        <w:t>6-15</w:t>
      </w:r>
      <w:r w:rsidR="002A0697">
        <w:rPr>
          <w:rFonts w:ascii="Arial Black" w:hAnsi="Arial Black"/>
          <w:b/>
          <w:sz w:val="24"/>
          <w:szCs w:val="24"/>
        </w:rPr>
        <w:t>8</w:t>
      </w:r>
    </w:p>
    <w:p w14:paraId="20264B8A" w14:textId="77777777" w:rsidR="00981C5A" w:rsidRPr="009041B2" w:rsidRDefault="00981C5A" w:rsidP="00981C5A">
      <w:pPr>
        <w:pStyle w:val="NoSpacing"/>
        <w:rPr>
          <w:rFonts w:ascii="Arial Black" w:hAnsi="Arial Black"/>
          <w:sz w:val="28"/>
          <w:szCs w:val="28"/>
        </w:rPr>
      </w:pPr>
      <w:r>
        <w:rPr>
          <w:rFonts w:ascii="Arial Black" w:hAnsi="Arial Black"/>
          <w:sz w:val="28"/>
          <w:szCs w:val="28"/>
        </w:rPr>
        <w:lastRenderedPageBreak/>
        <w:t>WV: FF KNEE – 40 LBS SUPPLIES UP STAIRS – WORK COMP</w:t>
      </w:r>
    </w:p>
    <w:p w14:paraId="782CAB52" w14:textId="77777777" w:rsidR="00981C5A" w:rsidRDefault="00981C5A" w:rsidP="00981C5A">
      <w:pPr>
        <w:pStyle w:val="NoSpacing"/>
      </w:pPr>
    </w:p>
    <w:p w14:paraId="64B55FD9" w14:textId="77777777" w:rsidR="00981C5A" w:rsidRPr="00981C5A" w:rsidRDefault="00981C5A" w:rsidP="00981C5A">
      <w:pPr>
        <w:rPr>
          <w:rFonts w:ascii="Times New Roman" w:hAnsi="Times New Roman"/>
          <w:sz w:val="24"/>
          <w:szCs w:val="24"/>
        </w:rPr>
      </w:pPr>
      <w:r w:rsidRPr="00981C5A">
        <w:rPr>
          <w:rFonts w:ascii="Times New Roman" w:hAnsi="Times New Roman"/>
          <w:sz w:val="24"/>
          <w:szCs w:val="24"/>
        </w:rPr>
        <w:t xml:space="preserve">On April 29, 2025, in </w:t>
      </w:r>
      <w:r w:rsidRPr="00981C5A">
        <w:rPr>
          <w:rFonts w:ascii="Times New Roman" w:hAnsi="Times New Roman"/>
          <w:sz w:val="24"/>
          <w:szCs w:val="24"/>
          <w:u w:val="single"/>
        </w:rPr>
        <w:t>City of Wheeling v. Cody Melsop</w:t>
      </w:r>
      <w:r w:rsidRPr="00981C5A">
        <w:rPr>
          <w:rFonts w:ascii="Times New Roman" w:hAnsi="Times New Roman"/>
          <w:sz w:val="24"/>
          <w:szCs w:val="24"/>
        </w:rPr>
        <w:t xml:space="preserve">, the West Virginia Intermediate Court of Appeals held (3 to 0) that the Workers Comp Board properly reversed the claim administrator; the injury was work related since he was carrying a tote with 40 pounds of supplies up 17 steps at the fire station when he felt pain in his right knee.  While an MRI revealed significant cartilage loss, the injury occurred on duty.  </w:t>
      </w:r>
      <w:hyperlink r:id="rId1019" w:history="1">
        <w:r w:rsidRPr="00981C5A">
          <w:rPr>
            <w:rStyle w:val="Hyperlink"/>
            <w:rFonts w:ascii="Times New Roman" w:hAnsi="Times New Roman"/>
            <w:sz w:val="24"/>
            <w:szCs w:val="24"/>
          </w:rPr>
          <w:t>https://cases.justia.com/west-virginia/intermediate-court-of-appeals/2025-24-ica-379.pdf?ts=1745964757</w:t>
        </w:r>
      </w:hyperlink>
      <w:r w:rsidRPr="00981C5A">
        <w:rPr>
          <w:rFonts w:ascii="Times New Roman" w:hAnsi="Times New Roman"/>
          <w:sz w:val="24"/>
          <w:szCs w:val="24"/>
        </w:rPr>
        <w:t xml:space="preserve"> </w:t>
      </w:r>
    </w:p>
    <w:p w14:paraId="77DF5FE8" w14:textId="77777777" w:rsidR="0062764C" w:rsidRPr="0062764C" w:rsidRDefault="0062764C" w:rsidP="0062764C">
      <w:pPr>
        <w:pStyle w:val="NoSpacing"/>
        <w:rPr>
          <w:rFonts w:ascii="Times New Roman" w:hAnsi="Times New Roman"/>
          <w:b/>
          <w:bCs/>
          <w:sz w:val="24"/>
          <w:szCs w:val="24"/>
        </w:rPr>
      </w:pPr>
      <w:r w:rsidRPr="0062764C">
        <w:rPr>
          <w:rFonts w:ascii="Times New Roman" w:hAnsi="Times New Roman"/>
          <w:b/>
          <w:sz w:val="24"/>
          <w:szCs w:val="24"/>
        </w:rPr>
        <w:t>Legal Lesson Learned: The firefighter was injured performing fire station duties.</w:t>
      </w:r>
    </w:p>
    <w:p w14:paraId="2AB2FF4B" w14:textId="77777777" w:rsidR="00CB79E4" w:rsidRPr="0062764C" w:rsidRDefault="00CB79E4" w:rsidP="00EF1133">
      <w:pPr>
        <w:rPr>
          <w:rFonts w:ascii="Times New Roman" w:hAnsi="Times New Roman"/>
          <w:b/>
          <w:sz w:val="24"/>
          <w:szCs w:val="24"/>
        </w:rPr>
      </w:pPr>
    </w:p>
    <w:p w14:paraId="4913FBA1" w14:textId="77777777" w:rsidR="002A0697" w:rsidRDefault="002A0697" w:rsidP="00EF1133">
      <w:pPr>
        <w:rPr>
          <w:rFonts w:ascii="Arial Black" w:hAnsi="Arial Black"/>
          <w:b/>
          <w:sz w:val="24"/>
          <w:szCs w:val="24"/>
        </w:rPr>
      </w:pPr>
    </w:p>
    <w:p w14:paraId="2C6F8D82" w14:textId="3119E286" w:rsidR="00CB79E4" w:rsidRDefault="002A0697" w:rsidP="00EF1133">
      <w:pPr>
        <w:rPr>
          <w:rFonts w:ascii="Arial Black" w:hAnsi="Arial Black"/>
          <w:b/>
          <w:sz w:val="24"/>
          <w:szCs w:val="24"/>
        </w:rPr>
      </w:pPr>
      <w:r>
        <w:rPr>
          <w:rFonts w:ascii="Arial Black" w:hAnsi="Arial Black"/>
          <w:b/>
          <w:sz w:val="24"/>
          <w:szCs w:val="24"/>
        </w:rPr>
        <w:t>6-157</w:t>
      </w:r>
    </w:p>
    <w:p w14:paraId="64E28150" w14:textId="77777777" w:rsidR="0090461E" w:rsidRPr="006F2B87" w:rsidRDefault="0090461E" w:rsidP="0090461E">
      <w:pPr>
        <w:pStyle w:val="NoSpacing"/>
        <w:rPr>
          <w:rFonts w:ascii="Arial Black" w:hAnsi="Arial Black"/>
          <w:b/>
          <w:bCs/>
          <w:sz w:val="28"/>
          <w:szCs w:val="28"/>
        </w:rPr>
      </w:pPr>
      <w:r w:rsidRPr="006F2B87">
        <w:rPr>
          <w:rFonts w:ascii="Arial Black" w:hAnsi="Arial Black"/>
          <w:b/>
          <w:sz w:val="28"/>
          <w:szCs w:val="28"/>
        </w:rPr>
        <w:t xml:space="preserve">NY: GROUND ZERO – FF’s </w:t>
      </w:r>
      <w:r>
        <w:rPr>
          <w:rFonts w:ascii="Arial Black" w:hAnsi="Arial Black"/>
          <w:b/>
          <w:sz w:val="28"/>
          <w:szCs w:val="28"/>
        </w:rPr>
        <w:t xml:space="preserve">LUNGS - </w:t>
      </w:r>
      <w:r w:rsidRPr="006F2B87">
        <w:rPr>
          <w:rFonts w:ascii="Arial Black" w:hAnsi="Arial Black"/>
          <w:b/>
          <w:sz w:val="28"/>
          <w:szCs w:val="28"/>
        </w:rPr>
        <w:t xml:space="preserve">WIFE GET </w:t>
      </w:r>
      <w:r>
        <w:rPr>
          <w:rFonts w:ascii="Arial Black" w:hAnsi="Arial Black"/>
          <w:b/>
          <w:sz w:val="28"/>
          <w:szCs w:val="28"/>
        </w:rPr>
        <w:t xml:space="preserve">WTC </w:t>
      </w:r>
      <w:r w:rsidRPr="006F2B87">
        <w:rPr>
          <w:rFonts w:ascii="Arial Black" w:hAnsi="Arial Black"/>
          <w:b/>
          <w:sz w:val="28"/>
          <w:szCs w:val="28"/>
        </w:rPr>
        <w:t xml:space="preserve">BENEFITS </w:t>
      </w:r>
    </w:p>
    <w:p w14:paraId="6087B686" w14:textId="77777777" w:rsidR="0090461E" w:rsidRDefault="0090461E" w:rsidP="0090461E">
      <w:pPr>
        <w:pStyle w:val="NoSpacing"/>
        <w:rPr>
          <w:bCs/>
        </w:rPr>
      </w:pPr>
    </w:p>
    <w:p w14:paraId="51721210" w14:textId="77777777" w:rsidR="0090461E" w:rsidRPr="002F63E3" w:rsidRDefault="0090461E" w:rsidP="0090461E">
      <w:pPr>
        <w:pStyle w:val="NoSpacing"/>
        <w:rPr>
          <w:rFonts w:ascii="Times New Roman" w:hAnsi="Times New Roman"/>
          <w:bCs/>
          <w:sz w:val="24"/>
          <w:szCs w:val="24"/>
        </w:rPr>
      </w:pPr>
      <w:r w:rsidRPr="002F63E3">
        <w:rPr>
          <w:rFonts w:ascii="Times New Roman" w:hAnsi="Times New Roman"/>
          <w:sz w:val="24"/>
          <w:szCs w:val="24"/>
        </w:rPr>
        <w:t xml:space="preserve">On April 11, 2025, </w:t>
      </w:r>
      <w:r w:rsidRPr="002F63E3">
        <w:rPr>
          <w:rFonts w:ascii="Times New Roman" w:hAnsi="Times New Roman"/>
          <w:sz w:val="24"/>
          <w:szCs w:val="24"/>
          <w:u w:val="single"/>
        </w:rPr>
        <w:t>In the matter of the Application of Susan Michlik-Klipp v. Board of Trustees of the Fire Department of the City of New York</w:t>
      </w:r>
      <w:r w:rsidRPr="002F63E3">
        <w:rPr>
          <w:rFonts w:ascii="Times New Roman" w:hAnsi="Times New Roman"/>
          <w:sz w:val="24"/>
          <w:szCs w:val="24"/>
        </w:rPr>
        <w:t xml:space="preserve">, the Supreme Court, New York County, New York, Judge Leslie A. Stroth, reversed the Board, holding the denial of World Trade Center death benefits to widow of FDNY firefighter Kenneth Klipp was “arbitrary and capricious.”  He joined the FDNY in 1985 and retired in 2016; he died on November 3, 2020. </w:t>
      </w:r>
    </w:p>
    <w:p w14:paraId="202BD26C" w14:textId="77777777" w:rsidR="0090461E" w:rsidRPr="002F63E3" w:rsidRDefault="0090461E" w:rsidP="0090461E">
      <w:pPr>
        <w:pStyle w:val="NoSpacing"/>
        <w:rPr>
          <w:rFonts w:ascii="Times New Roman" w:hAnsi="Times New Roman"/>
          <w:bCs/>
          <w:sz w:val="24"/>
          <w:szCs w:val="24"/>
        </w:rPr>
      </w:pPr>
    </w:p>
    <w:p w14:paraId="4C342E35" w14:textId="77777777" w:rsidR="0090461E" w:rsidRPr="002F63E3" w:rsidRDefault="0090461E" w:rsidP="0090461E">
      <w:pPr>
        <w:pStyle w:val="NoSpacing"/>
        <w:rPr>
          <w:rFonts w:ascii="Times New Roman" w:hAnsi="Times New Roman"/>
          <w:b/>
          <w:bCs/>
          <w:sz w:val="24"/>
          <w:szCs w:val="24"/>
        </w:rPr>
      </w:pPr>
      <w:r w:rsidRPr="002F63E3">
        <w:rPr>
          <w:rFonts w:ascii="Times New Roman" w:hAnsi="Times New Roman"/>
          <w:sz w:val="24"/>
          <w:szCs w:val="24"/>
        </w:rPr>
        <w:t xml:space="preserve">The Court wrote: “During his employment of over 30 years with FDNY, firefighter Klipp responded to the World Trade Center site after the terrorist attack on September 11, </w:t>
      </w:r>
      <w:proofErr w:type="gramStart"/>
      <w:r w:rsidRPr="002F63E3">
        <w:rPr>
          <w:rFonts w:ascii="Times New Roman" w:hAnsi="Times New Roman"/>
          <w:sz w:val="24"/>
          <w:szCs w:val="24"/>
        </w:rPr>
        <w:t>2001</w:t>
      </w:r>
      <w:proofErr w:type="gramEnd"/>
      <w:r w:rsidRPr="002F63E3">
        <w:rPr>
          <w:rFonts w:ascii="Times New Roman" w:hAnsi="Times New Roman"/>
          <w:sz w:val="24"/>
          <w:szCs w:val="24"/>
        </w:rPr>
        <w:t xml:space="preserve"> and ‘spent sufficient time . . . to qualify for WTC retirement benefits under the New York City Administrative Code and the New York State Retirement and Social Security Law.’ *** In support of her application, petitioner submitted, among other things, firefighter Klipp's medical records and two reports from board certified cardiologist Dr. Bruce Charash, F.A.C.C.</w:t>
      </w:r>
      <w:hyperlink r:id="rId1020" w:anchor="footnote_2" w:history="1">
        <w:r w:rsidRPr="002F63E3">
          <w:rPr>
            <w:rStyle w:val="Hyperlink"/>
            <w:rFonts w:ascii="Times New Roman" w:hAnsi="Times New Roman"/>
            <w:sz w:val="24"/>
            <w:szCs w:val="24"/>
            <w:vertAlign w:val="superscript"/>
          </w:rPr>
          <w:t>2</w:t>
        </w:r>
      </w:hyperlink>
      <w:r w:rsidRPr="002F63E3">
        <w:rPr>
          <w:rFonts w:ascii="Times New Roman" w:hAnsi="Times New Roman"/>
          <w:sz w:val="24"/>
          <w:szCs w:val="24"/>
        </w:rPr>
        <w:t xml:space="preserve">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dated February 17, </w:t>
      </w:r>
      <w:proofErr w:type="gramStart"/>
      <w:r w:rsidRPr="002F63E3">
        <w:rPr>
          <w:rFonts w:ascii="Times New Roman" w:hAnsi="Times New Roman"/>
          <w:sz w:val="24"/>
          <w:szCs w:val="24"/>
        </w:rPr>
        <w:t>2022</w:t>
      </w:r>
      <w:proofErr w:type="gramEnd"/>
      <w:r w:rsidRPr="002F63E3">
        <w:rPr>
          <w:rFonts w:ascii="Times New Roman" w:hAnsi="Times New Roman"/>
          <w:sz w:val="24"/>
          <w:szCs w:val="24"/>
        </w:rPr>
        <w:t xml:space="preserve"> and October 7, 2022….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reviewed firefighter Klipp's medical records and opined that his death was a ‘direct consequence of his exposure to inhaled particles due to his work at Ground Zero after 9/11’….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emphasized that firefighter Klipp ‘should have had a normal pulmonary performance’ with his normal cardiac status and an absence of obstructive lung disease ….Yet,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opined that firefighter Klipp had a ‘catastrophic lung collapse’ in 2020, and his exposure to inhaled toxins while working at Ground Zero after 9/11 resulted in ‘a degradation of his lungs and a damage to the local architecture of his lungs’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opined that exposure to inhaled toxins thus damaged firefighter Klipp's lungs on the ‘tissue level; creating a local state of immune compromise’ that lead to his death ….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further emphasized that firefighter Klipp's CT scan from October 18, </w:t>
      </w:r>
      <w:proofErr w:type="gramStart"/>
      <w:r w:rsidRPr="002F63E3">
        <w:rPr>
          <w:rFonts w:ascii="Times New Roman" w:hAnsi="Times New Roman"/>
          <w:sz w:val="24"/>
          <w:szCs w:val="24"/>
        </w:rPr>
        <w:t>2020</w:t>
      </w:r>
      <w:proofErr w:type="gramEnd"/>
      <w:r w:rsidRPr="002F63E3">
        <w:rPr>
          <w:rFonts w:ascii="Times New Roman" w:hAnsi="Times New Roman"/>
          <w:sz w:val="24"/>
          <w:szCs w:val="24"/>
        </w:rPr>
        <w:t xml:space="preserve"> showed that firefighter Klipp had ‘pneumoconiosis caused by inorganic dust,’ which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described as damage to the tissue and a ‘disruption of the local lung tissue architecture,’ associated with the lung's inability to fight infections ….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concluded that firefighter Klipp demonstrated ‘a significant failure of his lungs" to fight infections as demonstrated by his </w:t>
      </w:r>
      <w:proofErr w:type="spellStart"/>
      <w:r w:rsidRPr="002F63E3">
        <w:rPr>
          <w:rFonts w:ascii="Times New Roman" w:hAnsi="Times New Roman"/>
          <w:sz w:val="24"/>
          <w:szCs w:val="24"/>
        </w:rPr>
        <w:t>extubation</w:t>
      </w:r>
      <w:proofErr w:type="spellEnd"/>
      <w:r w:rsidRPr="002F63E3">
        <w:rPr>
          <w:rFonts w:ascii="Times New Roman" w:hAnsi="Times New Roman"/>
          <w:sz w:val="24"/>
          <w:szCs w:val="24"/>
        </w:rPr>
        <w:t xml:space="preserve"> on “9/25/19" and re-intubation on "9/27/19" ….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determined that firefighter Klipp died due to his damaged lungs and their inability to fight infections.’  *** To the contrary, the medical board's speculative conclusion that firefighter Klipp died ‘as a consequence of a cerebral vascular accident, in the face of defined hypertension and hypertensive heart disease, with multiple systemic complications"’(NYSCEF Doc No. 49, p. 4) is not supported by firefighter Klipp's medical records.”  </w:t>
      </w:r>
      <w:hyperlink r:id="rId1021" w:history="1">
        <w:r w:rsidRPr="002F63E3">
          <w:rPr>
            <w:rStyle w:val="Hyperlink"/>
            <w:rFonts w:ascii="Times New Roman" w:hAnsi="Times New Roman"/>
            <w:sz w:val="24"/>
            <w:szCs w:val="24"/>
          </w:rPr>
          <w:t>https://caselaw.findlaw.com/court/ny-supreme-court/117196656.html</w:t>
        </w:r>
      </w:hyperlink>
      <w:r w:rsidRPr="002F63E3">
        <w:rPr>
          <w:rFonts w:ascii="Times New Roman" w:hAnsi="Times New Roman"/>
          <w:sz w:val="24"/>
          <w:szCs w:val="24"/>
        </w:rPr>
        <w:t xml:space="preserve"> </w:t>
      </w:r>
    </w:p>
    <w:p w14:paraId="08DD9135" w14:textId="77777777" w:rsidR="0090461E" w:rsidRPr="002F63E3" w:rsidRDefault="0090461E" w:rsidP="0090461E">
      <w:pPr>
        <w:pStyle w:val="NoSpacing"/>
        <w:rPr>
          <w:rFonts w:ascii="Times New Roman" w:hAnsi="Times New Roman"/>
          <w:bCs/>
          <w:sz w:val="24"/>
          <w:szCs w:val="24"/>
        </w:rPr>
      </w:pPr>
    </w:p>
    <w:p w14:paraId="37184B96" w14:textId="77777777" w:rsidR="0090461E" w:rsidRPr="0090461E" w:rsidRDefault="0090461E" w:rsidP="0090461E">
      <w:pPr>
        <w:pStyle w:val="NoSpacing"/>
        <w:rPr>
          <w:rFonts w:ascii="Times New Roman" w:hAnsi="Times New Roman"/>
          <w:b/>
          <w:bCs/>
          <w:sz w:val="24"/>
          <w:szCs w:val="24"/>
        </w:rPr>
      </w:pPr>
      <w:r w:rsidRPr="0090461E">
        <w:rPr>
          <w:rFonts w:ascii="Times New Roman" w:hAnsi="Times New Roman"/>
          <w:b/>
          <w:sz w:val="24"/>
          <w:szCs w:val="24"/>
        </w:rPr>
        <w:t xml:space="preserve">Legal Lesson Learned: The NY Administrative Code creates a presumption that the retiree's death was </w:t>
      </w:r>
      <w:r w:rsidRPr="0090461E">
        <w:rPr>
          <w:rFonts w:ascii="Times New Roman" w:hAnsi="Times New Roman"/>
          <w:b/>
          <w:bCs/>
          <w:sz w:val="24"/>
          <w:szCs w:val="24"/>
        </w:rPr>
        <w:t>“</w:t>
      </w:r>
      <w:r w:rsidRPr="0090461E">
        <w:rPr>
          <w:rFonts w:ascii="Times New Roman" w:hAnsi="Times New Roman"/>
          <w:b/>
          <w:sz w:val="24"/>
          <w:szCs w:val="24"/>
        </w:rPr>
        <w:t>a natural and proximate result of</w:t>
      </w:r>
      <w:r w:rsidRPr="0090461E">
        <w:rPr>
          <w:rFonts w:ascii="Times New Roman" w:hAnsi="Times New Roman"/>
          <w:b/>
          <w:bCs/>
          <w:sz w:val="24"/>
          <w:szCs w:val="24"/>
        </w:rPr>
        <w:t>”</w:t>
      </w:r>
      <w:r w:rsidRPr="0090461E">
        <w:rPr>
          <w:rFonts w:ascii="Times New Roman" w:hAnsi="Times New Roman"/>
          <w:b/>
          <w:sz w:val="24"/>
          <w:szCs w:val="24"/>
        </w:rPr>
        <w:t xml:space="preserve"> their participation in the WTC rescue, recovery or cleanup operations.</w:t>
      </w:r>
    </w:p>
    <w:p w14:paraId="3A188F36" w14:textId="77777777" w:rsidR="0090461E" w:rsidRPr="0090461E" w:rsidRDefault="0090461E" w:rsidP="0090461E">
      <w:pPr>
        <w:pStyle w:val="NoSpacing"/>
        <w:rPr>
          <w:rFonts w:ascii="Times New Roman" w:hAnsi="Times New Roman"/>
          <w:sz w:val="24"/>
          <w:szCs w:val="24"/>
        </w:rPr>
      </w:pPr>
    </w:p>
    <w:p w14:paraId="5B3ADCAA" w14:textId="77777777" w:rsidR="0090461E" w:rsidRPr="00F0728A" w:rsidRDefault="0090461E" w:rsidP="0090461E">
      <w:pPr>
        <w:rPr>
          <w:rFonts w:ascii="Times New Roman" w:hAnsi="Times New Roman"/>
          <w:b/>
          <w:sz w:val="24"/>
          <w:szCs w:val="24"/>
        </w:rPr>
      </w:pPr>
    </w:p>
    <w:p w14:paraId="4EFD423A" w14:textId="77777777" w:rsidR="0090461E" w:rsidRDefault="0090461E" w:rsidP="00EF1133">
      <w:pPr>
        <w:rPr>
          <w:rFonts w:ascii="Arial Black" w:hAnsi="Arial Black"/>
          <w:b/>
          <w:sz w:val="24"/>
          <w:szCs w:val="24"/>
        </w:rPr>
      </w:pPr>
    </w:p>
    <w:p w14:paraId="393812F2" w14:textId="223A2A25" w:rsidR="00130523" w:rsidRDefault="00130523" w:rsidP="00EF1133">
      <w:pPr>
        <w:rPr>
          <w:rFonts w:ascii="Arial Black" w:hAnsi="Arial Black"/>
          <w:b/>
          <w:sz w:val="24"/>
          <w:szCs w:val="24"/>
        </w:rPr>
      </w:pPr>
      <w:r>
        <w:rPr>
          <w:rFonts w:ascii="Arial Black" w:hAnsi="Arial Black"/>
          <w:b/>
          <w:sz w:val="24"/>
          <w:szCs w:val="24"/>
        </w:rPr>
        <w:t>6-156</w:t>
      </w:r>
    </w:p>
    <w:p w14:paraId="72AAF748" w14:textId="77777777" w:rsidR="00130523" w:rsidRPr="00FF013C" w:rsidRDefault="00130523" w:rsidP="00130523">
      <w:pPr>
        <w:pStyle w:val="NoSpacing"/>
        <w:rPr>
          <w:rFonts w:ascii="Arial Black" w:hAnsi="Arial Black"/>
          <w:bCs/>
          <w:sz w:val="28"/>
          <w:szCs w:val="28"/>
        </w:rPr>
      </w:pPr>
      <w:r>
        <w:rPr>
          <w:rFonts w:ascii="Arial Black" w:hAnsi="Arial Black"/>
          <w:sz w:val="28"/>
          <w:szCs w:val="28"/>
        </w:rPr>
        <w:t>PA: THROAT CANCER – COVERED – LIST OF HIS RUNS</w:t>
      </w:r>
    </w:p>
    <w:p w14:paraId="23DD7C72" w14:textId="77777777" w:rsidR="00130523" w:rsidRPr="00130523" w:rsidRDefault="00130523" w:rsidP="00130523">
      <w:pPr>
        <w:pStyle w:val="NoSpacing"/>
        <w:rPr>
          <w:rFonts w:ascii="Times New Roman" w:hAnsi="Times New Roman"/>
          <w:bCs/>
          <w:sz w:val="24"/>
          <w:szCs w:val="24"/>
        </w:rPr>
      </w:pPr>
    </w:p>
    <w:p w14:paraId="02FBDB7D" w14:textId="77777777" w:rsidR="00130523" w:rsidRPr="00130523" w:rsidRDefault="00130523" w:rsidP="00130523">
      <w:pPr>
        <w:pStyle w:val="NoSpacing"/>
        <w:rPr>
          <w:rFonts w:ascii="Times New Roman" w:hAnsi="Times New Roman"/>
          <w:bCs/>
          <w:sz w:val="24"/>
          <w:szCs w:val="24"/>
        </w:rPr>
      </w:pPr>
      <w:r w:rsidRPr="00130523">
        <w:rPr>
          <w:rFonts w:ascii="Times New Roman" w:hAnsi="Times New Roman"/>
          <w:sz w:val="24"/>
          <w:szCs w:val="24"/>
        </w:rPr>
        <w:t xml:space="preserve">On April 1, 2025, in </w:t>
      </w:r>
      <w:r w:rsidRPr="00130523">
        <w:rPr>
          <w:rFonts w:ascii="Times New Roman" w:hAnsi="Times New Roman"/>
          <w:sz w:val="24"/>
          <w:szCs w:val="24"/>
          <w:u w:val="single"/>
        </w:rPr>
        <w:t>Lake Ariel Volunteer Fire Company, Petitioner v. Alex Rae (Workers' Compensation Appeal Board), Respondent</w:t>
      </w:r>
      <w:r w:rsidRPr="00130523">
        <w:rPr>
          <w:rFonts w:ascii="Times New Roman" w:hAnsi="Times New Roman"/>
          <w:sz w:val="24"/>
          <w:szCs w:val="24"/>
        </w:rPr>
        <w:t xml:space="preserve">, the Commonwealth Court of Pennsylvania held (3 to 0; unpublished decision) that the 72-year-old firefighter, having been active volunteer for over 28 years in NY and PA, was properly awarded workers comp.  In March 2021, Claimant was diagnosed with oral cancer.  Claimant prepared a report of his runs from the website,  </w:t>
      </w:r>
      <w:hyperlink r:id="rId1022" w:history="1">
        <w:r w:rsidRPr="00130523">
          <w:rPr>
            <w:rStyle w:val="Hyperlink"/>
            <w:rFonts w:ascii="Times New Roman" w:hAnsi="Times New Roman"/>
            <w:sz w:val="24"/>
            <w:szCs w:val="24"/>
          </w:rPr>
          <w:t>https://www.iamresponding.com/</w:t>
        </w:r>
      </w:hyperlink>
      <w:r w:rsidRPr="00130523">
        <w:rPr>
          <w:rFonts w:ascii="Times New Roman" w:hAnsi="Times New Roman"/>
          <w:sz w:val="24"/>
          <w:szCs w:val="24"/>
        </w:rPr>
        <w:t xml:space="preserve"> and testimony of expert witness. The WCJ found “the opinions of Dr. Guidotti [firefighter’s expert] more credible than the testimony of [Dr.] Goldsmith to the extent their testimony is inconsistent,” citing Dr. Guidotti’s status as a highly credentialed medical doctor with numerous certifications. </w:t>
      </w:r>
      <w:hyperlink r:id="rId1023" w:history="1">
        <w:r w:rsidRPr="00130523">
          <w:rPr>
            <w:rStyle w:val="Hyperlink"/>
            <w:rFonts w:ascii="Times New Roman" w:hAnsi="Times New Roman"/>
            <w:sz w:val="24"/>
            <w:szCs w:val="24"/>
          </w:rPr>
          <w:t>https://cases.justia.com/pennsylvania/commonwealth-court/2025-92-c-d-2024.pdf?ts=1743522170</w:t>
        </w:r>
      </w:hyperlink>
      <w:r w:rsidRPr="00130523">
        <w:rPr>
          <w:rFonts w:ascii="Times New Roman" w:hAnsi="Times New Roman"/>
          <w:sz w:val="24"/>
          <w:szCs w:val="24"/>
        </w:rPr>
        <w:t xml:space="preserve"> </w:t>
      </w:r>
    </w:p>
    <w:p w14:paraId="131FF51F" w14:textId="77777777" w:rsidR="00130523" w:rsidRPr="00130523" w:rsidRDefault="00130523" w:rsidP="00130523">
      <w:pPr>
        <w:pStyle w:val="NoSpacing"/>
        <w:rPr>
          <w:rFonts w:ascii="Times New Roman" w:hAnsi="Times New Roman"/>
          <w:bCs/>
          <w:sz w:val="24"/>
          <w:szCs w:val="24"/>
        </w:rPr>
      </w:pPr>
    </w:p>
    <w:p w14:paraId="4C0B6E45"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 xml:space="preserve">“Alex Rae (Claimant) was diagnosed with various cancers after decades of being a firefighter, most recently as a volunteer for the Lake Ariel Volunteer Fire Company (Employer). Certain cancers are known to have a causal connection to firefighting, and so the legislature created a presumption that those cancers are caused by being a firefighter for purposes of the occupational disease provisions of the Workers’ Compensation Act (Act). A Workers’ Compensation Judge (WCJ) granted Claimant’s Claim Petition awarding benefits, and the Workers’ Compensation Appeal Board (Board) affirmed. </w:t>
      </w:r>
    </w:p>
    <w:p w14:paraId="6D922CE6" w14:textId="77777777" w:rsidR="00130523" w:rsidRPr="00130523" w:rsidRDefault="00130523" w:rsidP="00130523">
      <w:pPr>
        <w:pStyle w:val="NoSpacing"/>
        <w:ind w:left="720"/>
        <w:rPr>
          <w:rFonts w:ascii="Times New Roman" w:hAnsi="Times New Roman"/>
          <w:bCs/>
          <w:sz w:val="24"/>
          <w:szCs w:val="24"/>
        </w:rPr>
      </w:pPr>
    </w:p>
    <w:p w14:paraId="1BD1599C"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w:t>
      </w:r>
    </w:p>
    <w:p w14:paraId="4967786F" w14:textId="77777777" w:rsidR="00130523" w:rsidRPr="00130523" w:rsidRDefault="00130523" w:rsidP="00130523">
      <w:pPr>
        <w:pStyle w:val="NoSpacing"/>
        <w:ind w:left="720"/>
        <w:rPr>
          <w:rFonts w:ascii="Times New Roman" w:hAnsi="Times New Roman"/>
          <w:b/>
          <w:sz w:val="24"/>
          <w:szCs w:val="24"/>
        </w:rPr>
      </w:pPr>
    </w:p>
    <w:p w14:paraId="21840E19"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 xml:space="preserve">Employer argues Claimant did not show, by competent, substantial evidence, that Claimant was exposed to carcinogens. Instead of presenting </w:t>
      </w:r>
      <w:proofErr w:type="spellStart"/>
      <w:r w:rsidRPr="00130523">
        <w:rPr>
          <w:rFonts w:ascii="Times New Roman" w:hAnsi="Times New Roman"/>
          <w:sz w:val="24"/>
          <w:szCs w:val="24"/>
        </w:rPr>
        <w:t>PennFIRS</w:t>
      </w:r>
      <w:proofErr w:type="spellEnd"/>
      <w:r w:rsidRPr="00130523">
        <w:rPr>
          <w:rFonts w:ascii="Times New Roman" w:hAnsi="Times New Roman"/>
          <w:sz w:val="24"/>
          <w:szCs w:val="24"/>
        </w:rPr>
        <w:t xml:space="preserve"> reports, as provided by Section 301(f) of the Act, Claimant only presented lay testimony and</w:t>
      </w:r>
    </w:p>
    <w:p w14:paraId="621D8B67"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 xml:space="preserve">data from the </w:t>
      </w:r>
      <w:proofErr w:type="gramStart"/>
      <w:r w:rsidRPr="00130523">
        <w:rPr>
          <w:rFonts w:ascii="Times New Roman" w:hAnsi="Times New Roman"/>
          <w:sz w:val="24"/>
          <w:szCs w:val="24"/>
        </w:rPr>
        <w:t>website, ‘</w:t>
      </w:r>
      <w:proofErr w:type="gramEnd"/>
      <w:r w:rsidRPr="00130523">
        <w:rPr>
          <w:rFonts w:ascii="Times New Roman" w:hAnsi="Times New Roman"/>
          <w:sz w:val="24"/>
          <w:szCs w:val="24"/>
        </w:rPr>
        <w:t xml:space="preserve">iamresponding.com.’ Unlike the </w:t>
      </w:r>
      <w:proofErr w:type="spellStart"/>
      <w:r w:rsidRPr="00130523">
        <w:rPr>
          <w:rFonts w:ascii="Times New Roman" w:hAnsi="Times New Roman"/>
          <w:sz w:val="24"/>
          <w:szCs w:val="24"/>
        </w:rPr>
        <w:t>PennFIRS</w:t>
      </w:r>
      <w:proofErr w:type="spellEnd"/>
      <w:r w:rsidRPr="00130523">
        <w:rPr>
          <w:rFonts w:ascii="Times New Roman" w:hAnsi="Times New Roman"/>
          <w:sz w:val="24"/>
          <w:szCs w:val="24"/>
        </w:rPr>
        <w:t xml:space="preserve"> reports or other</w:t>
      </w:r>
    </w:p>
    <w:p w14:paraId="2279E2B5"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reports that the Court has found to be sufficient, Employer argues the data here only</w:t>
      </w:r>
    </w:p>
    <w:p w14:paraId="38FB0FFF"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includes a date, station name, and reference to an unspecified ‘scene,’ which could</w:t>
      </w:r>
    </w:p>
    <w:p w14:paraId="12A1861A"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be a fire or not. Furthermore, Employer posits that to the extent Claimant testified</w:t>
      </w:r>
    </w:p>
    <w:p w14:paraId="59A24C77"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to make up any deficiencies in the data, this Court has rejected lay testimony as</w:t>
      </w:r>
    </w:p>
    <w:p w14:paraId="425C53D6"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sufficient under the Act.</w:t>
      </w:r>
    </w:p>
    <w:p w14:paraId="6B091414" w14:textId="77777777" w:rsidR="00130523" w:rsidRPr="00130523" w:rsidRDefault="00130523" w:rsidP="00130523">
      <w:pPr>
        <w:pStyle w:val="NoSpacing"/>
        <w:ind w:firstLine="720"/>
        <w:rPr>
          <w:rFonts w:ascii="Times New Roman" w:hAnsi="Times New Roman"/>
          <w:bCs/>
          <w:sz w:val="24"/>
          <w:szCs w:val="24"/>
        </w:rPr>
      </w:pPr>
    </w:p>
    <w:p w14:paraId="56542D37"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w:t>
      </w:r>
    </w:p>
    <w:p w14:paraId="76576AD2"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The incident participation report was provided by Employer, and given Claimant’s credible testimony and the WCJ’s findings, we agree with the Board that ‘the purpose of the provision was served.’ (Board Op. at 16.) Like the Board, we will not disturb the</w:t>
      </w:r>
    </w:p>
    <w:p w14:paraId="12AA044F"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WCJ’s determination.:</w:t>
      </w:r>
    </w:p>
    <w:p w14:paraId="1F7414A8" w14:textId="77777777" w:rsidR="00130523" w:rsidRPr="00130523" w:rsidRDefault="00130523" w:rsidP="00130523">
      <w:pPr>
        <w:pStyle w:val="NoSpacing"/>
        <w:ind w:firstLine="720"/>
        <w:rPr>
          <w:rFonts w:ascii="Times New Roman" w:hAnsi="Times New Roman"/>
          <w:bCs/>
          <w:sz w:val="24"/>
          <w:szCs w:val="24"/>
        </w:rPr>
      </w:pPr>
    </w:p>
    <w:p w14:paraId="43492F39" w14:textId="77777777" w:rsidR="00130523" w:rsidRPr="00130523" w:rsidRDefault="00130523" w:rsidP="00130523">
      <w:pPr>
        <w:pStyle w:val="NoSpacing"/>
        <w:rPr>
          <w:rFonts w:ascii="Times New Roman" w:hAnsi="Times New Roman"/>
          <w:b/>
          <w:sz w:val="24"/>
          <w:szCs w:val="24"/>
        </w:rPr>
      </w:pPr>
      <w:r w:rsidRPr="00130523">
        <w:rPr>
          <w:rFonts w:ascii="Times New Roman" w:hAnsi="Times New Roman"/>
          <w:b/>
          <w:sz w:val="24"/>
          <w:szCs w:val="24"/>
        </w:rPr>
        <w:t xml:space="preserve">Legal Lesson Learned: Keep a personal record of all runs where you have been exposed to smoke and other hazardous items.  </w:t>
      </w:r>
    </w:p>
    <w:p w14:paraId="0575782B" w14:textId="77777777" w:rsidR="001F58ED" w:rsidRDefault="001F58ED" w:rsidP="00EF1133">
      <w:pPr>
        <w:rPr>
          <w:rFonts w:ascii="Arial Black" w:hAnsi="Arial Black"/>
          <w:b/>
          <w:sz w:val="24"/>
          <w:szCs w:val="24"/>
        </w:rPr>
      </w:pPr>
    </w:p>
    <w:p w14:paraId="31CE11F5" w14:textId="78BCFE52" w:rsidR="009506CE" w:rsidRDefault="009506CE" w:rsidP="00EF1133">
      <w:pPr>
        <w:rPr>
          <w:rFonts w:ascii="Arial Black" w:hAnsi="Arial Black"/>
          <w:b/>
          <w:sz w:val="24"/>
          <w:szCs w:val="24"/>
        </w:rPr>
      </w:pPr>
      <w:r>
        <w:rPr>
          <w:rFonts w:ascii="Arial Black" w:hAnsi="Arial Black"/>
          <w:b/>
          <w:sz w:val="24"/>
          <w:szCs w:val="24"/>
        </w:rPr>
        <w:t>6-155</w:t>
      </w:r>
    </w:p>
    <w:p w14:paraId="092ECF35" w14:textId="77777777" w:rsidR="00BA2BFB" w:rsidRDefault="00BA2BFB" w:rsidP="00BA2BFB">
      <w:pPr>
        <w:pStyle w:val="NoSpacing"/>
        <w:rPr>
          <w:rFonts w:ascii="Arial Black" w:hAnsi="Arial Black"/>
          <w:b/>
          <w:bCs/>
          <w:sz w:val="28"/>
          <w:szCs w:val="28"/>
        </w:rPr>
      </w:pPr>
      <w:r>
        <w:rPr>
          <w:rFonts w:ascii="Arial Black" w:hAnsi="Arial Black"/>
          <w:b/>
          <w:sz w:val="28"/>
          <w:szCs w:val="28"/>
        </w:rPr>
        <w:lastRenderedPageBreak/>
        <w:t xml:space="preserve">LA: WORK COMP – TOTALLY DISAB - CITY PAY $2K PENALTY  </w:t>
      </w:r>
    </w:p>
    <w:p w14:paraId="63CFC96B" w14:textId="77777777" w:rsidR="00BA2BFB" w:rsidRPr="0080750A" w:rsidRDefault="00BA2BFB" w:rsidP="00BA2BFB">
      <w:pPr>
        <w:pStyle w:val="NoSpacing"/>
        <w:rPr>
          <w:rFonts w:ascii="Times New Roman" w:hAnsi="Times New Roman"/>
          <w:sz w:val="24"/>
          <w:szCs w:val="24"/>
        </w:rPr>
      </w:pPr>
    </w:p>
    <w:p w14:paraId="356EEB4F" w14:textId="77777777" w:rsidR="00BA2BFB" w:rsidRPr="0080750A" w:rsidRDefault="00BA2BFB" w:rsidP="00BA2BFB">
      <w:pPr>
        <w:pStyle w:val="NoSpacing"/>
        <w:rPr>
          <w:rFonts w:ascii="Times New Roman" w:hAnsi="Times New Roman"/>
          <w:b/>
          <w:sz w:val="24"/>
          <w:szCs w:val="24"/>
        </w:rPr>
      </w:pPr>
      <w:r w:rsidRPr="0080750A">
        <w:rPr>
          <w:rFonts w:ascii="Times New Roman" w:hAnsi="Times New Roman"/>
          <w:sz w:val="24"/>
          <w:szCs w:val="24"/>
        </w:rPr>
        <w:t xml:space="preserve">On March 28, 2025, in </w:t>
      </w:r>
      <w:r w:rsidRPr="0080750A">
        <w:rPr>
          <w:rFonts w:ascii="Times New Roman" w:hAnsi="Times New Roman"/>
          <w:sz w:val="24"/>
          <w:szCs w:val="24"/>
          <w:u w:val="single"/>
        </w:rPr>
        <w:t>Mark Shubert v. City of New Orleans</w:t>
      </w:r>
      <w:r w:rsidRPr="0080750A">
        <w:rPr>
          <w:rFonts w:ascii="Times New Roman" w:hAnsi="Times New Roman"/>
          <w:sz w:val="24"/>
          <w:szCs w:val="24"/>
        </w:rPr>
        <w:t xml:space="preserve">, the Court of Appeal of Louisiana, Fourth Circuit, held (3 to 0) that the worker’s comp judge properly held that the City was “arbitrary and capricious” in reducing his weekly benefits.   The </w:t>
      </w:r>
      <w:proofErr w:type="gramStart"/>
      <w:r w:rsidRPr="0080750A">
        <w:rPr>
          <w:rFonts w:ascii="Times New Roman" w:hAnsi="Times New Roman"/>
          <w:sz w:val="24"/>
          <w:szCs w:val="24"/>
        </w:rPr>
        <w:t>City</w:t>
      </w:r>
      <w:proofErr w:type="gramEnd"/>
      <w:r w:rsidRPr="0080750A">
        <w:rPr>
          <w:rFonts w:ascii="Times New Roman" w:hAnsi="Times New Roman"/>
          <w:sz w:val="24"/>
          <w:szCs w:val="24"/>
        </w:rPr>
        <w:t xml:space="preserve"> contends that no evidence supported the Worker’s Comp Judge’s finding that Mr. Shubert was totally disabled from all work after March 25, 2019.  The firefighter was limited to lifting only 10 pounds and no sitting or standing more than 20 minutes. He wisely kept a detailed list of jobs to which he applied and was rejected, including CarMax customer service rep.  The Court of Appeals agreed with the workers comp judge that City must reinstate </w:t>
      </w:r>
      <w:proofErr w:type="gramStart"/>
      <w:r w:rsidRPr="0080750A">
        <w:rPr>
          <w:rFonts w:ascii="Times New Roman" w:hAnsi="Times New Roman"/>
          <w:sz w:val="24"/>
          <w:szCs w:val="24"/>
        </w:rPr>
        <w:t>his</w:t>
      </w:r>
      <w:proofErr w:type="gramEnd"/>
      <w:r w:rsidRPr="0080750A">
        <w:rPr>
          <w:rFonts w:ascii="Times New Roman" w:hAnsi="Times New Roman"/>
          <w:sz w:val="24"/>
          <w:szCs w:val="24"/>
        </w:rPr>
        <w:t xml:space="preserve"> weekly benefits back to $630 [from $448.07], pay a penalty of $2,000, plus attorney fees for the work comp trial ($4,000) and attorney fees for the appeal ($2,500).  </w:t>
      </w:r>
      <w:hyperlink r:id="rId1024" w:history="1">
        <w:r w:rsidRPr="0080750A">
          <w:rPr>
            <w:rStyle w:val="Hyperlink"/>
            <w:rFonts w:ascii="Times New Roman" w:hAnsi="Times New Roman"/>
            <w:b/>
            <w:sz w:val="24"/>
            <w:szCs w:val="24"/>
          </w:rPr>
          <w:t>https://caselaw.findlaw.com/court/la-court-of-appeal/117104839.html</w:t>
        </w:r>
      </w:hyperlink>
      <w:r w:rsidRPr="0080750A">
        <w:rPr>
          <w:rFonts w:ascii="Times New Roman" w:hAnsi="Times New Roman"/>
          <w:b/>
          <w:sz w:val="24"/>
          <w:szCs w:val="24"/>
        </w:rPr>
        <w:t xml:space="preserve"> </w:t>
      </w:r>
    </w:p>
    <w:p w14:paraId="2024A053" w14:textId="77777777" w:rsidR="0080750A" w:rsidRPr="0080750A" w:rsidRDefault="0080750A" w:rsidP="0080750A">
      <w:pPr>
        <w:pStyle w:val="NoSpacing"/>
        <w:rPr>
          <w:rFonts w:ascii="Times New Roman" w:hAnsi="Times New Roman"/>
          <w:b/>
          <w:sz w:val="24"/>
          <w:szCs w:val="24"/>
        </w:rPr>
      </w:pPr>
    </w:p>
    <w:p w14:paraId="520C5C7E" w14:textId="14807C13" w:rsidR="0080750A" w:rsidRPr="0080750A" w:rsidRDefault="0080750A" w:rsidP="0080750A">
      <w:pPr>
        <w:pStyle w:val="NoSpacing"/>
        <w:rPr>
          <w:rFonts w:ascii="Times New Roman" w:hAnsi="Times New Roman"/>
          <w:b/>
          <w:bCs/>
          <w:sz w:val="24"/>
          <w:szCs w:val="24"/>
        </w:rPr>
      </w:pPr>
      <w:r w:rsidRPr="0080750A">
        <w:rPr>
          <w:rFonts w:ascii="Times New Roman" w:hAnsi="Times New Roman"/>
          <w:b/>
          <w:sz w:val="24"/>
          <w:szCs w:val="24"/>
        </w:rPr>
        <w:t xml:space="preserve">Legal Lesson Learned:  They firefighter wisely kept a log of all positions to which he applied. </w:t>
      </w:r>
    </w:p>
    <w:p w14:paraId="4134F82E" w14:textId="77777777" w:rsidR="009506CE" w:rsidRDefault="009506CE" w:rsidP="00EF1133">
      <w:pPr>
        <w:rPr>
          <w:rFonts w:ascii="Arial Black" w:hAnsi="Arial Black"/>
          <w:b/>
          <w:sz w:val="24"/>
          <w:szCs w:val="24"/>
        </w:rPr>
      </w:pPr>
    </w:p>
    <w:p w14:paraId="33DD8028" w14:textId="77777777" w:rsidR="009506CE" w:rsidRDefault="009506CE" w:rsidP="00EF1133">
      <w:pPr>
        <w:rPr>
          <w:rFonts w:ascii="Arial Black" w:hAnsi="Arial Black"/>
          <w:b/>
          <w:sz w:val="24"/>
          <w:szCs w:val="24"/>
        </w:rPr>
      </w:pPr>
    </w:p>
    <w:p w14:paraId="4D8A5CDC" w14:textId="2821CDB6" w:rsidR="00986728" w:rsidRDefault="00924257" w:rsidP="00EF1133">
      <w:pPr>
        <w:rPr>
          <w:rFonts w:ascii="Arial Black" w:hAnsi="Arial Black"/>
          <w:b/>
          <w:sz w:val="24"/>
          <w:szCs w:val="24"/>
        </w:rPr>
      </w:pPr>
      <w:r>
        <w:rPr>
          <w:rFonts w:ascii="Arial Black" w:hAnsi="Arial Black"/>
          <w:b/>
          <w:sz w:val="24"/>
          <w:szCs w:val="24"/>
        </w:rPr>
        <w:t>6-154</w:t>
      </w:r>
    </w:p>
    <w:p w14:paraId="7428FDC4" w14:textId="77777777" w:rsidR="00433EE5" w:rsidRPr="00FF57DC" w:rsidRDefault="00433EE5" w:rsidP="00433EE5">
      <w:pPr>
        <w:pStyle w:val="NoSpacing"/>
        <w:rPr>
          <w:rFonts w:ascii="Arial Black" w:hAnsi="Arial Black"/>
          <w:bCs/>
          <w:sz w:val="28"/>
          <w:szCs w:val="28"/>
        </w:rPr>
      </w:pPr>
      <w:r>
        <w:rPr>
          <w:rFonts w:ascii="Arial Black" w:hAnsi="Arial Black"/>
          <w:sz w:val="28"/>
          <w:szCs w:val="28"/>
        </w:rPr>
        <w:t>AR: BRAIN CANCER – 2021 LAW NOT RETROACTIVE</w:t>
      </w:r>
    </w:p>
    <w:p w14:paraId="639C47BB" w14:textId="77777777" w:rsidR="00433EE5" w:rsidRDefault="00433EE5" w:rsidP="00433EE5">
      <w:pPr>
        <w:pStyle w:val="NoSpacing"/>
        <w:rPr>
          <w:bCs/>
        </w:rPr>
      </w:pPr>
    </w:p>
    <w:p w14:paraId="7D78B0C3" w14:textId="77777777" w:rsidR="00433EE5" w:rsidRPr="009506CE" w:rsidRDefault="00433EE5" w:rsidP="00433EE5">
      <w:pPr>
        <w:pStyle w:val="NoSpacing"/>
        <w:rPr>
          <w:rFonts w:ascii="Times New Roman" w:hAnsi="Times New Roman"/>
          <w:bCs/>
          <w:sz w:val="24"/>
          <w:szCs w:val="24"/>
        </w:rPr>
      </w:pPr>
      <w:r w:rsidRPr="009506CE">
        <w:rPr>
          <w:rFonts w:ascii="Times New Roman" w:hAnsi="Times New Roman"/>
          <w:sz w:val="24"/>
          <w:szCs w:val="24"/>
        </w:rPr>
        <w:t xml:space="preserve">On March 26, 2025, in </w:t>
      </w:r>
      <w:r w:rsidRPr="009506CE">
        <w:rPr>
          <w:rFonts w:ascii="Times New Roman" w:hAnsi="Times New Roman"/>
          <w:sz w:val="24"/>
          <w:szCs w:val="24"/>
          <w:u w:val="single"/>
        </w:rPr>
        <w:t>Robert Vande Krol v. The Industrial Commission of Arizona, et al</w:t>
      </w:r>
      <w:r w:rsidRPr="009506CE">
        <w:rPr>
          <w:rFonts w:ascii="Times New Roman" w:hAnsi="Times New Roman"/>
          <w:sz w:val="24"/>
          <w:szCs w:val="24"/>
        </w:rPr>
        <w:t xml:space="preserve">., the </w:t>
      </w:r>
    </w:p>
    <w:p w14:paraId="1A223542" w14:textId="77777777" w:rsidR="00433EE5" w:rsidRPr="009506CE" w:rsidRDefault="00433EE5" w:rsidP="00433EE5">
      <w:pPr>
        <w:pStyle w:val="NoSpacing"/>
        <w:rPr>
          <w:rFonts w:ascii="Times New Roman" w:hAnsi="Times New Roman"/>
          <w:bCs/>
          <w:sz w:val="24"/>
          <w:szCs w:val="24"/>
        </w:rPr>
      </w:pPr>
      <w:r w:rsidRPr="009506CE">
        <w:rPr>
          <w:rFonts w:ascii="Times New Roman" w:hAnsi="Times New Roman"/>
          <w:sz w:val="24"/>
          <w:szCs w:val="24"/>
        </w:rPr>
        <w:t xml:space="preserve">Supreme Court of the State of Arizona held (6 to 1) that the firefighter. with 18 years of service. was not entitled to workers compensation because he filed his claim 8 months prior to the effective date of the 2021 statute that put burden of proof on the employer to prove it was not caused by the job.  The Court agreed with the Worker’s Comp Administrative Law Judge that the 2017 stature applied. The ALJ explained that while there is not much research regarding the causes of the unusual brain cancer - oligodendroglioma, “[t]he only known cause is ionizing radiation, which is not present in this case.”  Dr. Ferrara testified that the only known cause of oligodendroglioma is ionizing radiation, and Vande Krol’s record did not show exposure to that form of radiation.  The state’s 2021 statute, where the employer had to prove the cancer was not job related, did not specifically state it was retroactive for pending claims.  </w:t>
      </w:r>
      <w:hyperlink r:id="rId1025" w:history="1">
        <w:r w:rsidRPr="009506CE">
          <w:rPr>
            <w:rStyle w:val="Hyperlink"/>
            <w:rFonts w:ascii="Times New Roman" w:hAnsi="Times New Roman"/>
            <w:sz w:val="24"/>
            <w:szCs w:val="24"/>
          </w:rPr>
          <w:t>https://cases.justia.com/arizona/supreme-court/2025-cv-23-0211-pr.pdf?ts=1743008459</w:t>
        </w:r>
      </w:hyperlink>
      <w:r w:rsidRPr="009506CE">
        <w:rPr>
          <w:rFonts w:ascii="Times New Roman" w:hAnsi="Times New Roman"/>
          <w:sz w:val="24"/>
          <w:szCs w:val="24"/>
        </w:rPr>
        <w:t xml:space="preserve"> </w:t>
      </w:r>
    </w:p>
    <w:p w14:paraId="1C232474" w14:textId="77777777" w:rsidR="00924257" w:rsidRPr="009506CE" w:rsidRDefault="00924257" w:rsidP="00EF1133">
      <w:pPr>
        <w:rPr>
          <w:rFonts w:ascii="Times New Roman" w:hAnsi="Times New Roman"/>
          <w:b/>
          <w:sz w:val="24"/>
          <w:szCs w:val="24"/>
        </w:rPr>
      </w:pPr>
    </w:p>
    <w:p w14:paraId="011D9585" w14:textId="77777777" w:rsidR="009506CE" w:rsidRPr="009506CE" w:rsidRDefault="009506CE" w:rsidP="009506CE">
      <w:pPr>
        <w:pStyle w:val="NoSpacing"/>
        <w:rPr>
          <w:rFonts w:ascii="Times New Roman" w:hAnsi="Times New Roman"/>
          <w:b/>
          <w:sz w:val="24"/>
          <w:szCs w:val="24"/>
        </w:rPr>
      </w:pPr>
      <w:r w:rsidRPr="009506CE">
        <w:rPr>
          <w:rFonts w:ascii="Times New Roman" w:hAnsi="Times New Roman"/>
          <w:b/>
          <w:sz w:val="24"/>
          <w:szCs w:val="24"/>
        </w:rPr>
        <w:t xml:space="preserve">Legal Lesson Learned: The 2021 statute is very helpful to firefighters; it is a shame that the legislature did not specifically include a provision holding it was retroactive to pending claims. </w:t>
      </w:r>
    </w:p>
    <w:p w14:paraId="66FDB48E" w14:textId="77777777" w:rsidR="009506CE" w:rsidRPr="009506CE" w:rsidRDefault="009506CE" w:rsidP="009506CE">
      <w:pPr>
        <w:pStyle w:val="NoSpacing"/>
        <w:rPr>
          <w:rFonts w:ascii="Times New Roman" w:hAnsi="Times New Roman"/>
          <w:bCs/>
          <w:sz w:val="24"/>
          <w:szCs w:val="24"/>
        </w:rPr>
      </w:pPr>
    </w:p>
    <w:p w14:paraId="2E048FFE" w14:textId="77777777" w:rsidR="009506CE" w:rsidRPr="009506CE" w:rsidRDefault="009506CE" w:rsidP="009506CE">
      <w:pPr>
        <w:pStyle w:val="NoSpacing"/>
        <w:rPr>
          <w:rFonts w:ascii="Times New Roman" w:hAnsi="Times New Roman"/>
          <w:bCs/>
          <w:sz w:val="24"/>
          <w:szCs w:val="24"/>
        </w:rPr>
      </w:pPr>
      <w:r w:rsidRPr="009506CE">
        <w:rPr>
          <w:rFonts w:ascii="Times New Roman" w:hAnsi="Times New Roman"/>
          <w:sz w:val="24"/>
          <w:szCs w:val="24"/>
        </w:rPr>
        <w:tab/>
        <w:t>Note: Dissenting Justice Montgomery wrote:</w:t>
      </w:r>
    </w:p>
    <w:p w14:paraId="0014D181" w14:textId="77777777" w:rsidR="009506CE" w:rsidRPr="009506CE" w:rsidRDefault="009506CE" w:rsidP="009506CE">
      <w:pPr>
        <w:pStyle w:val="NoSpacing"/>
        <w:rPr>
          <w:rFonts w:ascii="Times New Roman" w:hAnsi="Times New Roman"/>
          <w:bCs/>
          <w:sz w:val="24"/>
          <w:szCs w:val="24"/>
        </w:rPr>
      </w:pPr>
    </w:p>
    <w:p w14:paraId="39B5E741" w14:textId="77777777" w:rsidR="009506CE" w:rsidRPr="009506CE" w:rsidRDefault="009506CE" w:rsidP="009506CE">
      <w:pPr>
        <w:pStyle w:val="NoSpacing"/>
        <w:ind w:left="720"/>
        <w:rPr>
          <w:rFonts w:ascii="Times New Roman" w:hAnsi="Times New Roman"/>
          <w:bCs/>
          <w:sz w:val="24"/>
          <w:szCs w:val="24"/>
        </w:rPr>
      </w:pPr>
      <w:r w:rsidRPr="009506CE">
        <w:rPr>
          <w:rFonts w:ascii="Times New Roman" w:hAnsi="Times New Roman"/>
          <w:sz w:val="24"/>
          <w:szCs w:val="24"/>
        </w:rPr>
        <w:t>“As amended in 2021, § 23-901.09(A)(1) provides: ‘Any disease, infirmity or impairment of a firefighter’s . . . health that is caused by brain . . . cancer . . . and that results in disability or death is presumed to be an occupational disease . . . and is deemed to arise out of employment.’ § 23-901.09(A)(1) (2021) (the “Presumption”)….  And § 23-901.09(C) specifies that the Presumption applies to firefighters who are: 1) currently in service, and 2) aged sixty-five or younger and diagnosed with brain cancer not more than fifteen years after their last date of employment as a firefighter…. The Amendments also made changes to sections of title 20 that permitted insurers to raise statewide insurance rates and adjust premiums related to firefighter workers’ compensation claims brought</w:t>
      </w:r>
    </w:p>
    <w:p w14:paraId="12757498" w14:textId="77777777" w:rsidR="009506CE" w:rsidRPr="009506CE" w:rsidRDefault="009506CE" w:rsidP="009506CE">
      <w:pPr>
        <w:pStyle w:val="NoSpacing"/>
        <w:ind w:left="720"/>
        <w:rPr>
          <w:rFonts w:ascii="Times New Roman" w:hAnsi="Times New Roman"/>
          <w:bCs/>
          <w:sz w:val="24"/>
          <w:szCs w:val="24"/>
        </w:rPr>
      </w:pPr>
      <w:r w:rsidRPr="009506CE">
        <w:rPr>
          <w:rFonts w:ascii="Times New Roman" w:hAnsi="Times New Roman"/>
          <w:sz w:val="24"/>
          <w:szCs w:val="24"/>
        </w:rPr>
        <w:t xml:space="preserve">under the Presumption. See 2021 Ariz. Sess. Laws </w:t>
      </w:r>
      <w:proofErr w:type="spellStart"/>
      <w:r w:rsidRPr="009506CE">
        <w:rPr>
          <w:rFonts w:ascii="Times New Roman" w:hAnsi="Times New Roman"/>
          <w:sz w:val="24"/>
          <w:szCs w:val="24"/>
        </w:rPr>
        <w:t>ch.</w:t>
      </w:r>
      <w:proofErr w:type="spellEnd"/>
      <w:r w:rsidRPr="009506CE">
        <w:rPr>
          <w:rFonts w:ascii="Times New Roman" w:hAnsi="Times New Roman"/>
          <w:sz w:val="24"/>
          <w:szCs w:val="24"/>
        </w:rPr>
        <w:t xml:space="preserve"> 229, §§ 1–3 (1st Reg.</w:t>
      </w:r>
    </w:p>
    <w:p w14:paraId="3F06B360" w14:textId="77777777" w:rsidR="009506CE" w:rsidRDefault="009506CE" w:rsidP="009506CE">
      <w:pPr>
        <w:pStyle w:val="NoSpacing"/>
        <w:ind w:left="720"/>
        <w:rPr>
          <w:bCs/>
        </w:rPr>
      </w:pPr>
      <w:r w:rsidRPr="009506CE">
        <w:rPr>
          <w:rFonts w:ascii="Times New Roman" w:hAnsi="Times New Roman"/>
          <w:sz w:val="24"/>
          <w:szCs w:val="24"/>
        </w:rPr>
        <w:t xml:space="preserve">Sess.).  Accordingly, I would affirm the court of appeals’ conclusion, albeit with different reasoning, and set aside the ALJ’s decision.”  </w:t>
      </w:r>
      <w:hyperlink r:id="rId1026" w:history="1">
        <w:r w:rsidRPr="009506CE">
          <w:rPr>
            <w:rStyle w:val="Hyperlink"/>
            <w:rFonts w:ascii="Times New Roman" w:hAnsi="Times New Roman"/>
            <w:sz w:val="24"/>
            <w:szCs w:val="24"/>
          </w:rPr>
          <w:t>https://cases.justia.com/arizona/supreme-court/2025-cv-23-0211-pr.pdf?ts=1743008459</w:t>
        </w:r>
      </w:hyperlink>
      <w:r>
        <w:t xml:space="preserve"> </w:t>
      </w:r>
    </w:p>
    <w:p w14:paraId="09CFB9F5" w14:textId="77777777" w:rsidR="009506CE" w:rsidRDefault="009506CE" w:rsidP="00EF1133">
      <w:pPr>
        <w:rPr>
          <w:rFonts w:ascii="Arial Black" w:hAnsi="Arial Black"/>
          <w:b/>
          <w:sz w:val="24"/>
          <w:szCs w:val="24"/>
        </w:rPr>
      </w:pPr>
    </w:p>
    <w:p w14:paraId="023E5752" w14:textId="77777777" w:rsidR="00924257" w:rsidRDefault="00924257" w:rsidP="00EF1133">
      <w:pPr>
        <w:rPr>
          <w:rFonts w:ascii="Arial Black" w:hAnsi="Arial Black"/>
          <w:b/>
          <w:sz w:val="24"/>
          <w:szCs w:val="24"/>
        </w:rPr>
      </w:pPr>
    </w:p>
    <w:p w14:paraId="71DC4519" w14:textId="66B32925" w:rsidR="00986728" w:rsidRDefault="00986728" w:rsidP="00EF1133">
      <w:pPr>
        <w:rPr>
          <w:rFonts w:ascii="Arial Black" w:hAnsi="Arial Black"/>
          <w:b/>
          <w:sz w:val="24"/>
          <w:szCs w:val="24"/>
        </w:rPr>
      </w:pPr>
      <w:r>
        <w:rPr>
          <w:rFonts w:ascii="Arial Black" w:hAnsi="Arial Black"/>
          <w:b/>
          <w:sz w:val="24"/>
          <w:szCs w:val="24"/>
        </w:rPr>
        <w:t>6-153</w:t>
      </w:r>
    </w:p>
    <w:p w14:paraId="4517BC2F" w14:textId="77777777" w:rsidR="00986728" w:rsidRPr="00457642" w:rsidRDefault="00986728" w:rsidP="00986728">
      <w:pPr>
        <w:pStyle w:val="NoSpacing"/>
        <w:rPr>
          <w:rFonts w:ascii="Arial Black" w:hAnsi="Arial Black"/>
          <w:b/>
          <w:sz w:val="28"/>
          <w:szCs w:val="28"/>
        </w:rPr>
      </w:pPr>
      <w:r>
        <w:rPr>
          <w:rFonts w:ascii="Arial Black" w:hAnsi="Arial Black"/>
          <w:b/>
          <w:sz w:val="28"/>
          <w:szCs w:val="28"/>
        </w:rPr>
        <w:t xml:space="preserve">PA: FF DIED CANCER – WIFE GETS 51% WAGE / 9 YR FIGHT </w:t>
      </w:r>
    </w:p>
    <w:p w14:paraId="3A9B30FD" w14:textId="77777777" w:rsidR="00986728" w:rsidRDefault="00986728" w:rsidP="00986728">
      <w:pPr>
        <w:pStyle w:val="NoSpacing"/>
        <w:rPr>
          <w:bCs/>
        </w:rPr>
      </w:pPr>
    </w:p>
    <w:p w14:paraId="352E1CE8" w14:textId="6EB3328C" w:rsidR="00986728" w:rsidRPr="00924257" w:rsidRDefault="00986728" w:rsidP="00986728">
      <w:pPr>
        <w:rPr>
          <w:rFonts w:ascii="Times New Roman" w:hAnsi="Times New Roman"/>
          <w:sz w:val="24"/>
          <w:szCs w:val="24"/>
        </w:rPr>
      </w:pPr>
      <w:r w:rsidRPr="00924257">
        <w:rPr>
          <w:rFonts w:ascii="Times New Roman" w:hAnsi="Times New Roman"/>
          <w:sz w:val="24"/>
          <w:szCs w:val="24"/>
        </w:rPr>
        <w:t xml:space="preserve">On March 19, 2025, in </w:t>
      </w:r>
      <w:r w:rsidRPr="00924257">
        <w:rPr>
          <w:rFonts w:ascii="Times New Roman" w:hAnsi="Times New Roman"/>
          <w:sz w:val="24"/>
          <w:szCs w:val="24"/>
          <w:u w:val="single"/>
        </w:rPr>
        <w:t>City of Philadelphia v. Larry Thompson (Workers’ Compensation Appeal Board)</w:t>
      </w:r>
      <w:r w:rsidRPr="00924257">
        <w:rPr>
          <w:rFonts w:ascii="Times New Roman" w:hAnsi="Times New Roman"/>
          <w:sz w:val="24"/>
          <w:szCs w:val="24"/>
        </w:rPr>
        <w:t xml:space="preserve">, the Commonwealth Court of Pennsylvania held (3 to 0; unpublished decision) upheld the award of work related death benefits to the wife of a 25-year Philadelphia firefighter; he died  on May 11, 2013 of non-Hodgkin’s lymphoma, and she filed her claim in 2016.  The City has fought her claim for 9 years -  including appealing May 4, </w:t>
      </w:r>
      <w:proofErr w:type="gramStart"/>
      <w:r w:rsidRPr="00924257">
        <w:rPr>
          <w:rFonts w:ascii="Times New Roman" w:hAnsi="Times New Roman"/>
          <w:sz w:val="24"/>
          <w:szCs w:val="24"/>
        </w:rPr>
        <w:t>2018</w:t>
      </w:r>
      <w:proofErr w:type="gramEnd"/>
      <w:r w:rsidRPr="00924257">
        <w:rPr>
          <w:rFonts w:ascii="Times New Roman" w:hAnsi="Times New Roman"/>
          <w:sz w:val="24"/>
          <w:szCs w:val="24"/>
        </w:rPr>
        <w:t xml:space="preserve"> ruling in her favor by Workers Comp Judge, and WC Board ruling in her favor on July 21, 2021, and their petition to this Court. </w:t>
      </w:r>
      <w:hyperlink r:id="rId1027" w:history="1">
        <w:r w:rsidRPr="00924257">
          <w:rPr>
            <w:rStyle w:val="Hyperlink"/>
            <w:rFonts w:ascii="Times New Roman" w:hAnsi="Times New Roman"/>
            <w:sz w:val="24"/>
            <w:szCs w:val="24"/>
          </w:rPr>
          <w:t>https://cases.justia.com/pennsylvania/commonwealth-court/2025-923-c-d-2021.pdf?ts=1742398374</w:t>
        </w:r>
      </w:hyperlink>
    </w:p>
    <w:p w14:paraId="194DED79" w14:textId="77777777" w:rsidR="00F93AE8" w:rsidRPr="00F93AE8" w:rsidRDefault="00F93AE8" w:rsidP="00F93AE8">
      <w:pPr>
        <w:pStyle w:val="NoSpacing"/>
        <w:rPr>
          <w:rFonts w:ascii="Times New Roman" w:hAnsi="Times New Roman"/>
          <w:b/>
          <w:sz w:val="24"/>
          <w:szCs w:val="24"/>
        </w:rPr>
      </w:pPr>
      <w:r w:rsidRPr="00F93AE8">
        <w:rPr>
          <w:rFonts w:ascii="Times New Roman" w:hAnsi="Times New Roman"/>
          <w:b/>
          <w:sz w:val="24"/>
          <w:szCs w:val="24"/>
        </w:rPr>
        <w:t xml:space="preserve">Legal Lesson Learned: Keep records of your exposure to fires and hazardous materials, to support testimony by your expert witness. </w:t>
      </w:r>
    </w:p>
    <w:p w14:paraId="5D9C074F" w14:textId="77777777" w:rsidR="00F93AE8" w:rsidRPr="00063B93" w:rsidRDefault="00F93AE8" w:rsidP="00F93AE8">
      <w:pPr>
        <w:pStyle w:val="NoSpacing"/>
        <w:rPr>
          <w:b/>
        </w:rPr>
      </w:pPr>
    </w:p>
    <w:p w14:paraId="34602CFA" w14:textId="77777777" w:rsidR="00924257" w:rsidRPr="00063B93" w:rsidRDefault="00924257" w:rsidP="00924257">
      <w:pPr>
        <w:pStyle w:val="NoSpacing"/>
        <w:rPr>
          <w:b/>
        </w:rPr>
      </w:pPr>
    </w:p>
    <w:p w14:paraId="6A1A2CE8" w14:textId="77777777" w:rsidR="00986728" w:rsidRDefault="00986728" w:rsidP="00EF1133">
      <w:pPr>
        <w:rPr>
          <w:rFonts w:ascii="Arial Black" w:hAnsi="Arial Black"/>
          <w:b/>
          <w:sz w:val="24"/>
          <w:szCs w:val="24"/>
        </w:rPr>
      </w:pPr>
    </w:p>
    <w:p w14:paraId="5E111C04" w14:textId="2A53C0DA" w:rsidR="00045450" w:rsidRDefault="00BF6F6C" w:rsidP="00EF1133">
      <w:pPr>
        <w:rPr>
          <w:rFonts w:ascii="Arial Black" w:hAnsi="Arial Black"/>
          <w:b/>
          <w:sz w:val="24"/>
          <w:szCs w:val="24"/>
        </w:rPr>
      </w:pPr>
      <w:r>
        <w:rPr>
          <w:rFonts w:ascii="Arial Black" w:hAnsi="Arial Black"/>
          <w:b/>
          <w:sz w:val="24"/>
          <w:szCs w:val="24"/>
        </w:rPr>
        <w:t>6-152</w:t>
      </w:r>
    </w:p>
    <w:p w14:paraId="46DF1A05" w14:textId="77777777" w:rsidR="000A5F54" w:rsidRPr="000B7F2C" w:rsidRDefault="000A5F54" w:rsidP="000A5F54">
      <w:pPr>
        <w:rPr>
          <w:rFonts w:ascii="Arial Black" w:hAnsi="Arial Black"/>
          <w:b/>
          <w:sz w:val="28"/>
          <w:szCs w:val="28"/>
        </w:rPr>
      </w:pPr>
      <w:r w:rsidRPr="000B7F2C">
        <w:rPr>
          <w:rFonts w:ascii="Arial Black" w:hAnsi="Arial Black"/>
          <w:b/>
          <w:sz w:val="28"/>
          <w:szCs w:val="28"/>
        </w:rPr>
        <w:t xml:space="preserve">IL: </w:t>
      </w:r>
      <w:r>
        <w:rPr>
          <w:rFonts w:ascii="Arial Black" w:hAnsi="Arial Black"/>
          <w:b/>
          <w:sz w:val="28"/>
          <w:szCs w:val="28"/>
        </w:rPr>
        <w:t xml:space="preserve">DIAB. </w:t>
      </w:r>
      <w:r w:rsidRPr="000B7F2C">
        <w:rPr>
          <w:rFonts w:ascii="Arial Black" w:hAnsi="Arial Black"/>
          <w:b/>
          <w:sz w:val="28"/>
          <w:szCs w:val="28"/>
        </w:rPr>
        <w:t xml:space="preserve">HEALTH INSUR </w:t>
      </w:r>
      <w:r>
        <w:rPr>
          <w:rFonts w:ascii="Arial Black" w:hAnsi="Arial Black"/>
          <w:b/>
          <w:sz w:val="28"/>
          <w:szCs w:val="28"/>
        </w:rPr>
        <w:t xml:space="preserve">IF </w:t>
      </w:r>
      <w:r w:rsidRPr="000B7F2C">
        <w:rPr>
          <w:rFonts w:ascii="Arial Black" w:hAnsi="Arial Black"/>
          <w:b/>
          <w:sz w:val="28"/>
          <w:szCs w:val="28"/>
        </w:rPr>
        <w:t xml:space="preserve">“EMERGENCY” </w:t>
      </w:r>
      <w:r>
        <w:rPr>
          <w:rFonts w:ascii="Arial Black" w:hAnsi="Arial Black"/>
          <w:b/>
          <w:sz w:val="28"/>
          <w:szCs w:val="28"/>
        </w:rPr>
        <w:t xml:space="preserve">-  </w:t>
      </w:r>
      <w:r w:rsidRPr="000B7F2C">
        <w:rPr>
          <w:rFonts w:ascii="Arial Black" w:hAnsi="Arial Black"/>
          <w:b/>
          <w:sz w:val="28"/>
          <w:szCs w:val="28"/>
        </w:rPr>
        <w:t>LIFT</w:t>
      </w:r>
      <w:r>
        <w:rPr>
          <w:rFonts w:ascii="Arial Black" w:hAnsi="Arial Black"/>
          <w:b/>
          <w:sz w:val="28"/>
          <w:szCs w:val="28"/>
        </w:rPr>
        <w:t xml:space="preserve"> PT</w:t>
      </w:r>
    </w:p>
    <w:p w14:paraId="77F600DD" w14:textId="77777777" w:rsidR="000A5F54" w:rsidRPr="000A5F54" w:rsidRDefault="000A5F54" w:rsidP="000A5F54">
      <w:pPr>
        <w:rPr>
          <w:rFonts w:ascii="Times New Roman" w:hAnsi="Times New Roman"/>
          <w:sz w:val="24"/>
          <w:szCs w:val="24"/>
        </w:rPr>
      </w:pPr>
      <w:r w:rsidRPr="000A5F54">
        <w:rPr>
          <w:rFonts w:ascii="Times New Roman" w:hAnsi="Times New Roman"/>
          <w:sz w:val="24"/>
          <w:szCs w:val="24"/>
        </w:rPr>
        <w:t xml:space="preserve">On Feb. 20, 2925, in </w:t>
      </w:r>
      <w:r w:rsidRPr="000A5F54">
        <w:rPr>
          <w:rFonts w:ascii="Times New Roman" w:hAnsi="Times New Roman"/>
          <w:sz w:val="24"/>
          <w:szCs w:val="24"/>
          <w:u w:val="single"/>
        </w:rPr>
        <w:t>Charles R. Ford v. Village of Northbrook, et al</w:t>
      </w:r>
      <w:r w:rsidRPr="000A5F54">
        <w:rPr>
          <w:rFonts w:ascii="Times New Roman" w:hAnsi="Times New Roman"/>
          <w:sz w:val="24"/>
          <w:szCs w:val="24"/>
        </w:rPr>
        <w:t xml:space="preserve">., the Court of Appeals of Illinois, First District, Fourth Division, held (3 to 0) that the trial court correctly held the firefighter was met the definition of the health insurance statute – he was injured in “response to what is reasonably believed to be an emergency.” The had responded non-fire emergent to a “person feeling week” – and found patient (325-pounds, 65-years old) sitting on the toilet with two family members holding her upright.  They used a stair chair, moved her the ambulance, and transported her red lights and siren.   While moving her to hospital bed he felt pain in his right shoulder.  The shoulder showed no fracture or dislocation, but Mr. Ford had a narrowing of his cervical spine in certain areas. An MRI also showed a narrowing of Mr. Ford’s cervical spine, and he received a line-of-duty pension, but the Village denied health insurance since the emergency transport had concluded.   </w:t>
      </w:r>
      <w:hyperlink r:id="rId1028" w:history="1">
        <w:r w:rsidRPr="000A5F54">
          <w:rPr>
            <w:rStyle w:val="Hyperlink"/>
            <w:rFonts w:ascii="Times New Roman" w:hAnsi="Times New Roman"/>
            <w:sz w:val="24"/>
            <w:szCs w:val="24"/>
          </w:rPr>
          <w:t>https://ilcourtsaudio.blob.core.windows.net/antilles-resources/resources/09ac8ced-f502-4e22-9f67-a03c9e14d801/Ford%20v.%20Village%20of%20Northbrook,%202025%20IL%20App%20(1st)%20231952-U.pdf</w:t>
        </w:r>
      </w:hyperlink>
      <w:r w:rsidRPr="000A5F54">
        <w:rPr>
          <w:rFonts w:ascii="Times New Roman" w:hAnsi="Times New Roman"/>
          <w:sz w:val="24"/>
          <w:szCs w:val="24"/>
        </w:rPr>
        <w:t xml:space="preserve"> </w:t>
      </w:r>
    </w:p>
    <w:p w14:paraId="338C1054" w14:textId="77777777" w:rsidR="000A5F54" w:rsidRPr="000A5F54" w:rsidRDefault="000A5F54" w:rsidP="000A5F54">
      <w:pPr>
        <w:rPr>
          <w:rFonts w:ascii="Times New Roman" w:hAnsi="Times New Roman"/>
          <w:sz w:val="24"/>
          <w:szCs w:val="24"/>
        </w:rPr>
      </w:pPr>
      <w:r w:rsidRPr="000A5F54">
        <w:rPr>
          <w:rFonts w:ascii="Times New Roman" w:hAnsi="Times New Roman"/>
          <w:sz w:val="24"/>
          <w:szCs w:val="24"/>
        </w:rPr>
        <w:t>The Court wrote:</w:t>
      </w:r>
    </w:p>
    <w:p w14:paraId="1F5B2BAD" w14:textId="77777777" w:rsidR="000A5F54" w:rsidRPr="000A5F54" w:rsidRDefault="000A5F54" w:rsidP="000A5F54">
      <w:pPr>
        <w:pStyle w:val="NoSpacing"/>
        <w:ind w:firstLine="720"/>
        <w:rPr>
          <w:rFonts w:ascii="Times New Roman" w:hAnsi="Times New Roman"/>
          <w:sz w:val="24"/>
          <w:szCs w:val="24"/>
        </w:rPr>
      </w:pPr>
      <w:r w:rsidRPr="000A5F54">
        <w:rPr>
          <w:rFonts w:ascii="Times New Roman" w:hAnsi="Times New Roman"/>
          <w:sz w:val="24"/>
          <w:szCs w:val="24"/>
        </w:rPr>
        <w:t>“The circuit court granted Mr. Ford’s writ of certiorari, finding that the Village’s</w:t>
      </w:r>
    </w:p>
    <w:p w14:paraId="07A7586E" w14:textId="77777777" w:rsidR="000A5F54" w:rsidRPr="000A5F54" w:rsidRDefault="000A5F54" w:rsidP="000A5F54">
      <w:pPr>
        <w:pStyle w:val="NoSpacing"/>
        <w:ind w:left="720"/>
        <w:rPr>
          <w:rFonts w:ascii="Times New Roman" w:hAnsi="Times New Roman"/>
          <w:sz w:val="24"/>
          <w:szCs w:val="24"/>
        </w:rPr>
      </w:pPr>
      <w:r w:rsidRPr="000A5F54">
        <w:rPr>
          <w:rFonts w:ascii="Times New Roman" w:hAnsi="Times New Roman"/>
          <w:sz w:val="24"/>
          <w:szCs w:val="24"/>
        </w:rPr>
        <w:t xml:space="preserve">determination that Mr. Ford was not injured while responding to what he reasonably believed to be an emergency was clearly erroneous. The court observed that the medical records showed that the patient presented with pale skin, was on numerous medications, was complaining of pain, and was given oxygen in the ambulance. The court noted at the time Mr. Ford was injured while transferring the patient, he did not have a diagnosis for the patient, did not know the cause of her pain, and could not have known if the emergency had passed. The court determined that it was reasonable for Mr. Ford to </w:t>
      </w:r>
      <w:r w:rsidRPr="000A5F54">
        <w:rPr>
          <w:rFonts w:ascii="Times New Roman" w:hAnsi="Times New Roman"/>
          <w:sz w:val="24"/>
          <w:szCs w:val="24"/>
        </w:rPr>
        <w:lastRenderedPageBreak/>
        <w:t>believe that the emergency was ongoing. The court therefore reversed the decision of the Village and instructed the Village to provide Mr. Ford health insurance benefits under the Act.</w:t>
      </w:r>
    </w:p>
    <w:p w14:paraId="39F81980" w14:textId="77777777" w:rsidR="000A5F54" w:rsidRPr="000A5F54" w:rsidRDefault="000A5F54" w:rsidP="000A5F54">
      <w:pPr>
        <w:pStyle w:val="NoSpacing"/>
        <w:rPr>
          <w:rFonts w:ascii="Times New Roman" w:hAnsi="Times New Roman"/>
          <w:sz w:val="24"/>
          <w:szCs w:val="24"/>
        </w:rPr>
      </w:pPr>
    </w:p>
    <w:p w14:paraId="7DF71D69" w14:textId="77777777" w:rsidR="000A5F54" w:rsidRPr="000A5F54" w:rsidRDefault="000A5F54" w:rsidP="000A5F54">
      <w:pPr>
        <w:pStyle w:val="NoSpacing"/>
        <w:ind w:firstLine="720"/>
        <w:rPr>
          <w:rFonts w:ascii="Times New Roman" w:hAnsi="Times New Roman"/>
          <w:sz w:val="24"/>
          <w:szCs w:val="24"/>
        </w:rPr>
      </w:pPr>
      <w:r w:rsidRPr="000A5F54">
        <w:rPr>
          <w:rFonts w:ascii="Times New Roman" w:hAnsi="Times New Roman"/>
          <w:sz w:val="24"/>
          <w:szCs w:val="24"/>
        </w:rPr>
        <w:t>***</w:t>
      </w:r>
    </w:p>
    <w:p w14:paraId="0C304427" w14:textId="77777777" w:rsidR="000A5F54" w:rsidRPr="000A5F54" w:rsidRDefault="000A5F54" w:rsidP="000A5F54">
      <w:pPr>
        <w:pStyle w:val="NoSpacing"/>
        <w:ind w:firstLine="720"/>
        <w:rPr>
          <w:rFonts w:ascii="Times New Roman" w:hAnsi="Times New Roman"/>
          <w:sz w:val="24"/>
          <w:szCs w:val="24"/>
        </w:rPr>
      </w:pPr>
      <w:r w:rsidRPr="000A5F54">
        <w:rPr>
          <w:rFonts w:ascii="Times New Roman" w:hAnsi="Times New Roman"/>
          <w:sz w:val="24"/>
          <w:szCs w:val="24"/>
        </w:rPr>
        <w:t xml:space="preserve">Accordingly, we find that these facts establish that Mr. Ford was injured </w:t>
      </w:r>
      <w:proofErr w:type="gramStart"/>
      <w:r w:rsidRPr="000A5F54">
        <w:rPr>
          <w:rFonts w:ascii="Times New Roman" w:hAnsi="Times New Roman"/>
          <w:sz w:val="24"/>
          <w:szCs w:val="24"/>
        </w:rPr>
        <w:t>as a result of</w:t>
      </w:r>
      <w:proofErr w:type="gramEnd"/>
      <w:r w:rsidRPr="000A5F54">
        <w:rPr>
          <w:rFonts w:ascii="Times New Roman" w:hAnsi="Times New Roman"/>
          <w:sz w:val="24"/>
          <w:szCs w:val="24"/>
        </w:rPr>
        <w:t xml:space="preserve"> his</w:t>
      </w:r>
    </w:p>
    <w:p w14:paraId="32B33B26" w14:textId="77777777" w:rsidR="000A5F54" w:rsidRPr="000A5F54" w:rsidRDefault="000A5F54" w:rsidP="000A5F54">
      <w:pPr>
        <w:pStyle w:val="NoSpacing"/>
        <w:ind w:left="720"/>
        <w:rPr>
          <w:rFonts w:ascii="Times New Roman" w:hAnsi="Times New Roman"/>
          <w:sz w:val="24"/>
          <w:szCs w:val="24"/>
        </w:rPr>
      </w:pPr>
      <w:r w:rsidRPr="000A5F54">
        <w:rPr>
          <w:rFonts w:ascii="Times New Roman" w:hAnsi="Times New Roman"/>
          <w:sz w:val="24"/>
          <w:szCs w:val="24"/>
        </w:rPr>
        <w:t>response to what he reasonably believed to be an emergency. We are therefore left with the definite and firm conviction that the Village’s finding to the contrary was clearly erroneous. We find that, under the circumstances of this case, Mr. Ford was entitled to benefits under section 10 of the Act and we affirm the judgment of the circuit court reversing the decision of the Village.”</w:t>
      </w:r>
    </w:p>
    <w:p w14:paraId="20F0F660" w14:textId="77777777" w:rsidR="000A5F54" w:rsidRPr="000A5F54" w:rsidRDefault="000A5F54" w:rsidP="000A5F54">
      <w:pPr>
        <w:pStyle w:val="NoSpacing"/>
        <w:rPr>
          <w:rFonts w:ascii="Times New Roman" w:hAnsi="Times New Roman"/>
          <w:sz w:val="24"/>
          <w:szCs w:val="24"/>
        </w:rPr>
      </w:pPr>
    </w:p>
    <w:p w14:paraId="572884FC" w14:textId="77777777" w:rsidR="000A5F54" w:rsidRPr="000A5F54" w:rsidRDefault="000A5F54" w:rsidP="000A5F54">
      <w:pPr>
        <w:pStyle w:val="NoSpacing"/>
        <w:rPr>
          <w:rFonts w:ascii="Times New Roman" w:hAnsi="Times New Roman"/>
          <w:b/>
          <w:bCs/>
          <w:sz w:val="24"/>
          <w:szCs w:val="24"/>
        </w:rPr>
      </w:pPr>
      <w:r w:rsidRPr="000A5F54">
        <w:rPr>
          <w:rFonts w:ascii="Times New Roman" w:hAnsi="Times New Roman"/>
          <w:b/>
          <w:sz w:val="24"/>
          <w:szCs w:val="24"/>
        </w:rPr>
        <w:t xml:space="preserve">Legal Lesson Learned:  The firefighter won his appeal; court viewed the entirety of the EMS run as an emergency, including the transport and lifting her on hospital bed. </w:t>
      </w:r>
    </w:p>
    <w:p w14:paraId="7732FD32" w14:textId="77777777" w:rsidR="00BF6F6C" w:rsidRPr="000A5F54" w:rsidRDefault="00BF6F6C" w:rsidP="00EF1133">
      <w:pPr>
        <w:rPr>
          <w:rFonts w:ascii="Times New Roman" w:hAnsi="Times New Roman"/>
          <w:b/>
          <w:sz w:val="24"/>
          <w:szCs w:val="24"/>
        </w:rPr>
      </w:pPr>
    </w:p>
    <w:p w14:paraId="22AAFD78" w14:textId="77777777" w:rsidR="00045450" w:rsidRPr="000A5F54" w:rsidRDefault="00045450" w:rsidP="00EF1133">
      <w:pPr>
        <w:rPr>
          <w:rFonts w:ascii="Times New Roman" w:hAnsi="Times New Roman"/>
          <w:b/>
          <w:sz w:val="24"/>
          <w:szCs w:val="24"/>
        </w:rPr>
      </w:pPr>
    </w:p>
    <w:p w14:paraId="3D7D6216" w14:textId="3755CAC7" w:rsidR="00045450" w:rsidRDefault="00045450" w:rsidP="00EF1133">
      <w:pPr>
        <w:rPr>
          <w:rFonts w:ascii="Arial Black" w:hAnsi="Arial Black"/>
          <w:b/>
          <w:sz w:val="24"/>
          <w:szCs w:val="24"/>
        </w:rPr>
      </w:pPr>
      <w:r>
        <w:rPr>
          <w:rFonts w:ascii="Arial Black" w:hAnsi="Arial Black"/>
          <w:b/>
          <w:sz w:val="24"/>
          <w:szCs w:val="24"/>
        </w:rPr>
        <w:t>6-151</w:t>
      </w:r>
    </w:p>
    <w:p w14:paraId="1684856A" w14:textId="77777777" w:rsidR="00045450" w:rsidRPr="000B7F2C" w:rsidRDefault="00045450" w:rsidP="00045450">
      <w:pPr>
        <w:rPr>
          <w:rFonts w:ascii="Arial Black" w:hAnsi="Arial Black"/>
          <w:sz w:val="28"/>
          <w:szCs w:val="28"/>
        </w:rPr>
      </w:pPr>
      <w:r w:rsidRPr="000B7F2C">
        <w:rPr>
          <w:rFonts w:ascii="Arial Black" w:hAnsi="Arial Black"/>
          <w:sz w:val="28"/>
          <w:szCs w:val="28"/>
        </w:rPr>
        <w:t>MO: CARPEL TUNNEL –</w:t>
      </w:r>
      <w:r>
        <w:rPr>
          <w:rFonts w:ascii="Arial Black" w:hAnsi="Arial Black"/>
          <w:sz w:val="28"/>
          <w:szCs w:val="28"/>
        </w:rPr>
        <w:t xml:space="preserve"> </w:t>
      </w:r>
      <w:r w:rsidRPr="000B7F2C">
        <w:rPr>
          <w:rFonts w:ascii="Arial Black" w:hAnsi="Arial Black"/>
          <w:sz w:val="28"/>
          <w:szCs w:val="28"/>
        </w:rPr>
        <w:t>3 MDs AGREE</w:t>
      </w:r>
      <w:r>
        <w:rPr>
          <w:rFonts w:ascii="Arial Black" w:hAnsi="Arial Black"/>
          <w:sz w:val="28"/>
          <w:szCs w:val="28"/>
        </w:rPr>
        <w:t xml:space="preserve"> </w:t>
      </w:r>
      <w:r w:rsidRPr="000B7F2C">
        <w:rPr>
          <w:rFonts w:ascii="Arial Black" w:hAnsi="Arial Black"/>
          <w:sz w:val="28"/>
          <w:szCs w:val="28"/>
        </w:rPr>
        <w:t xml:space="preserve">“DUTY-RELATED” </w:t>
      </w:r>
    </w:p>
    <w:p w14:paraId="74FEE003" w14:textId="77777777" w:rsidR="00045450" w:rsidRPr="00045450" w:rsidRDefault="00045450" w:rsidP="00045450">
      <w:pPr>
        <w:rPr>
          <w:rFonts w:ascii="Times New Roman" w:hAnsi="Times New Roman"/>
          <w:sz w:val="24"/>
          <w:szCs w:val="24"/>
        </w:rPr>
      </w:pPr>
      <w:r w:rsidRPr="00045450">
        <w:rPr>
          <w:rFonts w:ascii="Times New Roman" w:hAnsi="Times New Roman"/>
          <w:sz w:val="24"/>
          <w:szCs w:val="24"/>
        </w:rPr>
        <w:t xml:space="preserve">On Feb. 19, 2025, in </w:t>
      </w:r>
      <w:r w:rsidRPr="00045450">
        <w:rPr>
          <w:rFonts w:ascii="Times New Roman" w:hAnsi="Times New Roman"/>
          <w:sz w:val="24"/>
          <w:szCs w:val="24"/>
          <w:u w:val="single"/>
        </w:rPr>
        <w:t>State of Missouri ex rel. Jeremy Starr v. Board of Trustees for the Firefighter’s Pension System of the City of Kansas City, Missouri</w:t>
      </w:r>
      <w:r w:rsidRPr="00045450">
        <w:rPr>
          <w:rFonts w:ascii="Times New Roman" w:hAnsi="Times New Roman"/>
          <w:sz w:val="24"/>
          <w:szCs w:val="24"/>
        </w:rPr>
        <w:t xml:space="preserve">, the Court of Appeals of Missouri, Western District, Second Division, held (3 to 0) the Circuit Court correctly reversed the Board, and awarded him a “duty-related” disability pension.  Jeremy Starr served on the Kansas City fire department for 18.5 years. Three medical experts - plaintiff’s treating physician and the Boards’ two independent medical examiners – all agreed the carpal tunnel “substantially caused by actual performance of [Starr’s] duty as a firefighter.”  </w:t>
      </w:r>
      <w:hyperlink r:id="rId1029" w:history="1">
        <w:r w:rsidRPr="00045450">
          <w:rPr>
            <w:rStyle w:val="Hyperlink"/>
            <w:rFonts w:ascii="Times New Roman" w:hAnsi="Times New Roman"/>
            <w:sz w:val="24"/>
            <w:szCs w:val="24"/>
          </w:rPr>
          <w:t>https://cases.justia.com/missouri/court-of-appeals/2025-wd87111.pdf?ts=1739982610</w:t>
        </w:r>
      </w:hyperlink>
      <w:r w:rsidRPr="00045450">
        <w:rPr>
          <w:rFonts w:ascii="Times New Roman" w:hAnsi="Times New Roman"/>
          <w:sz w:val="24"/>
          <w:szCs w:val="24"/>
        </w:rPr>
        <w:t xml:space="preserve"> </w:t>
      </w:r>
    </w:p>
    <w:p w14:paraId="70E4CF3E" w14:textId="77777777" w:rsidR="00045450" w:rsidRPr="00045450" w:rsidRDefault="00045450" w:rsidP="00045450">
      <w:pPr>
        <w:pStyle w:val="NoSpacing"/>
        <w:rPr>
          <w:rFonts w:ascii="Times New Roman" w:hAnsi="Times New Roman"/>
          <w:sz w:val="24"/>
          <w:szCs w:val="24"/>
        </w:rPr>
      </w:pPr>
      <w:r w:rsidRPr="00045450">
        <w:rPr>
          <w:rFonts w:ascii="Times New Roman" w:hAnsi="Times New Roman"/>
          <w:sz w:val="24"/>
          <w:szCs w:val="24"/>
        </w:rPr>
        <w:t>The Court wrote:</w:t>
      </w:r>
    </w:p>
    <w:p w14:paraId="14EF7CFB" w14:textId="77777777" w:rsidR="00045450" w:rsidRPr="00045450" w:rsidRDefault="00045450" w:rsidP="00045450">
      <w:pPr>
        <w:pStyle w:val="NoSpacing"/>
        <w:rPr>
          <w:rFonts w:ascii="Times New Roman" w:hAnsi="Times New Roman"/>
          <w:sz w:val="24"/>
          <w:szCs w:val="24"/>
        </w:rPr>
      </w:pPr>
    </w:p>
    <w:p w14:paraId="429A5B9C"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“The Pension Board rejected the opinions of Starr’s treating physician and</w:t>
      </w:r>
    </w:p>
    <w:p w14:paraId="36B952E1"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the Medical Board doctors, and consequently found that Starr had failed to</w:t>
      </w:r>
    </w:p>
    <w:p w14:paraId="7EAD4818"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satisfy his burden to prove work-relatedness, based primarily on two factors:</w:t>
      </w:r>
    </w:p>
    <w:p w14:paraId="58B3B010"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 xml:space="preserve">(1) that Starr had overstated his use of </w:t>
      </w:r>
      <w:proofErr w:type="gramStart"/>
      <w:r w:rsidRPr="00045450">
        <w:rPr>
          <w:rFonts w:ascii="Times New Roman" w:hAnsi="Times New Roman"/>
          <w:sz w:val="24"/>
          <w:szCs w:val="24"/>
        </w:rPr>
        <w:t>particular vibrating</w:t>
      </w:r>
      <w:proofErr w:type="gramEnd"/>
      <w:r w:rsidRPr="00045450">
        <w:rPr>
          <w:rFonts w:ascii="Times New Roman" w:hAnsi="Times New Roman"/>
          <w:sz w:val="24"/>
          <w:szCs w:val="24"/>
        </w:rPr>
        <w:t xml:space="preserve"> equipment (driving a</w:t>
      </w:r>
    </w:p>
    <w:p w14:paraId="00762CA9"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pumper truck; using power tools and chainsaws); and (2) that Starr had been on</w:t>
      </w:r>
    </w:p>
    <w:p w14:paraId="509BF083"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modified duty, and was therefore not exposed to the rigors of fire suppression</w:t>
      </w:r>
    </w:p>
    <w:p w14:paraId="0966B660"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work, for half the time in the twenty-seven months before his disability</w:t>
      </w:r>
    </w:p>
    <w:p w14:paraId="446F2537"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manifested.</w:t>
      </w:r>
    </w:p>
    <w:p w14:paraId="76F38C7D" w14:textId="77777777" w:rsidR="00045450" w:rsidRPr="00045450" w:rsidRDefault="00045450" w:rsidP="00045450">
      <w:pPr>
        <w:pStyle w:val="NoSpacing"/>
        <w:rPr>
          <w:rFonts w:ascii="Times New Roman" w:hAnsi="Times New Roman"/>
          <w:sz w:val="24"/>
          <w:szCs w:val="24"/>
        </w:rPr>
      </w:pPr>
    </w:p>
    <w:p w14:paraId="78618B9F"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w:t>
      </w:r>
    </w:p>
    <w:p w14:paraId="51364879" w14:textId="77777777" w:rsidR="00045450" w:rsidRPr="00045450" w:rsidRDefault="00045450" w:rsidP="00045450">
      <w:pPr>
        <w:pStyle w:val="NoSpacing"/>
        <w:rPr>
          <w:rFonts w:ascii="Times New Roman" w:hAnsi="Times New Roman"/>
          <w:sz w:val="24"/>
          <w:szCs w:val="24"/>
        </w:rPr>
      </w:pPr>
    </w:p>
    <w:p w14:paraId="2A873196" w14:textId="77777777" w:rsidR="00045450" w:rsidRPr="00045450" w:rsidRDefault="00045450" w:rsidP="00045450">
      <w:pPr>
        <w:pStyle w:val="NoSpacing"/>
        <w:ind w:left="720"/>
        <w:rPr>
          <w:rFonts w:ascii="Times New Roman" w:hAnsi="Times New Roman"/>
          <w:sz w:val="24"/>
          <w:szCs w:val="24"/>
        </w:rPr>
      </w:pPr>
      <w:r w:rsidRPr="00045450">
        <w:rPr>
          <w:rFonts w:ascii="Times New Roman" w:hAnsi="Times New Roman"/>
          <w:sz w:val="24"/>
          <w:szCs w:val="24"/>
        </w:rPr>
        <w:t xml:space="preserve">The Pension Board’s conclusion that Starr had failed to prove that his disability was work related is unsupported by sufficient competent </w:t>
      </w:r>
      <w:proofErr w:type="gramStart"/>
      <w:r w:rsidRPr="00045450">
        <w:rPr>
          <w:rFonts w:ascii="Times New Roman" w:hAnsi="Times New Roman"/>
          <w:sz w:val="24"/>
          <w:szCs w:val="24"/>
        </w:rPr>
        <w:t>evidence, and</w:t>
      </w:r>
      <w:proofErr w:type="gramEnd"/>
      <w:r w:rsidRPr="00045450">
        <w:rPr>
          <w:rFonts w:ascii="Times New Roman" w:hAnsi="Times New Roman"/>
          <w:sz w:val="24"/>
          <w:szCs w:val="24"/>
        </w:rPr>
        <w:t xml:space="preserve"> must be reversed.”</w:t>
      </w:r>
    </w:p>
    <w:p w14:paraId="1F8602FD" w14:textId="77777777" w:rsidR="00045450" w:rsidRPr="00045450" w:rsidRDefault="00045450" w:rsidP="00045450">
      <w:pPr>
        <w:pStyle w:val="NoSpacing"/>
        <w:rPr>
          <w:rFonts w:ascii="Times New Roman" w:hAnsi="Times New Roman"/>
          <w:b/>
          <w:sz w:val="24"/>
          <w:szCs w:val="24"/>
        </w:rPr>
      </w:pPr>
    </w:p>
    <w:p w14:paraId="732D5FED" w14:textId="77777777" w:rsidR="00045450" w:rsidRPr="00045450" w:rsidRDefault="00045450" w:rsidP="00045450">
      <w:pPr>
        <w:pStyle w:val="NoSpacing"/>
        <w:rPr>
          <w:rFonts w:ascii="Times New Roman" w:hAnsi="Times New Roman"/>
          <w:b/>
          <w:sz w:val="24"/>
          <w:szCs w:val="24"/>
        </w:rPr>
      </w:pPr>
      <w:r w:rsidRPr="00045450">
        <w:rPr>
          <w:rFonts w:ascii="Times New Roman" w:hAnsi="Times New Roman"/>
          <w:b/>
          <w:sz w:val="24"/>
          <w:szCs w:val="24"/>
        </w:rPr>
        <w:t xml:space="preserve">Legal Lesson Learned: The Board improperly rejected the conclusion of its two independent medical examiners. </w:t>
      </w:r>
    </w:p>
    <w:p w14:paraId="2EC5F3E5" w14:textId="77777777" w:rsidR="00045450" w:rsidRPr="00045450" w:rsidRDefault="00045450" w:rsidP="00045450">
      <w:pPr>
        <w:rPr>
          <w:rFonts w:ascii="Times New Roman" w:hAnsi="Times New Roman"/>
          <w:sz w:val="24"/>
          <w:szCs w:val="24"/>
        </w:rPr>
      </w:pPr>
    </w:p>
    <w:p w14:paraId="2EB2997C" w14:textId="77777777" w:rsidR="002A0697" w:rsidRDefault="002A0697" w:rsidP="00B572BA">
      <w:pPr>
        <w:rPr>
          <w:rFonts w:ascii="Arial Black" w:hAnsi="Arial Black"/>
          <w:sz w:val="28"/>
          <w:szCs w:val="28"/>
        </w:rPr>
      </w:pPr>
    </w:p>
    <w:p w14:paraId="4B4B1694" w14:textId="34DF0E37" w:rsidR="002A0697" w:rsidRDefault="002A0697" w:rsidP="00B572BA">
      <w:pPr>
        <w:rPr>
          <w:rFonts w:ascii="Arial Black" w:hAnsi="Arial Black"/>
          <w:sz w:val="28"/>
          <w:szCs w:val="28"/>
        </w:rPr>
      </w:pPr>
      <w:r>
        <w:rPr>
          <w:rFonts w:ascii="Arial Black" w:hAnsi="Arial Black"/>
          <w:sz w:val="28"/>
          <w:szCs w:val="28"/>
        </w:rPr>
        <w:lastRenderedPageBreak/>
        <w:t>6-150</w:t>
      </w:r>
    </w:p>
    <w:p w14:paraId="0980842A" w14:textId="0641017D" w:rsidR="00B572BA" w:rsidRPr="000B7F2C" w:rsidRDefault="00B572BA" w:rsidP="00B572BA">
      <w:pPr>
        <w:rPr>
          <w:rFonts w:ascii="Arial Black" w:hAnsi="Arial Black"/>
          <w:sz w:val="28"/>
          <w:szCs w:val="28"/>
        </w:rPr>
      </w:pPr>
      <w:r w:rsidRPr="000B7F2C">
        <w:rPr>
          <w:rFonts w:ascii="Arial Black" w:hAnsi="Arial Black"/>
          <w:sz w:val="28"/>
          <w:szCs w:val="28"/>
        </w:rPr>
        <w:t>AR: PTSD –</w:t>
      </w:r>
      <w:r w:rsidR="00125039">
        <w:rPr>
          <w:rFonts w:ascii="Arial Black" w:hAnsi="Arial Black"/>
          <w:sz w:val="28"/>
          <w:szCs w:val="28"/>
        </w:rPr>
        <w:t xml:space="preserve"> ADMIN. LAW JUDGE - </w:t>
      </w:r>
      <w:r w:rsidRPr="000B7F2C">
        <w:rPr>
          <w:rFonts w:ascii="Arial Black" w:hAnsi="Arial Black"/>
          <w:sz w:val="28"/>
          <w:szCs w:val="28"/>
        </w:rPr>
        <w:t xml:space="preserve">1 YR </w:t>
      </w:r>
      <w:r w:rsidR="00E869C9">
        <w:rPr>
          <w:rFonts w:ascii="Arial Black" w:hAnsi="Arial Black"/>
          <w:sz w:val="28"/>
          <w:szCs w:val="28"/>
        </w:rPr>
        <w:t>OF</w:t>
      </w:r>
      <w:r w:rsidRPr="000B7F2C">
        <w:rPr>
          <w:rFonts w:ascii="Arial Black" w:hAnsi="Arial Black"/>
          <w:sz w:val="28"/>
          <w:szCs w:val="28"/>
        </w:rPr>
        <w:t xml:space="preserve"> “DIAGNOSIS” TO FILE WORK COMP</w:t>
      </w:r>
      <w:r>
        <w:rPr>
          <w:rFonts w:ascii="Arial Black" w:hAnsi="Arial Black"/>
          <w:sz w:val="28"/>
          <w:szCs w:val="28"/>
        </w:rPr>
        <w:t xml:space="preserve"> </w:t>
      </w:r>
      <w:r w:rsidR="00E869C9">
        <w:rPr>
          <w:rFonts w:ascii="Arial Black" w:hAnsi="Arial Black"/>
          <w:sz w:val="28"/>
          <w:szCs w:val="28"/>
        </w:rPr>
        <w:t xml:space="preserve"> </w:t>
      </w:r>
      <w:r>
        <w:rPr>
          <w:rFonts w:ascii="Arial Black" w:hAnsi="Arial Black"/>
          <w:sz w:val="28"/>
          <w:szCs w:val="28"/>
        </w:rPr>
        <w:t>[also filed, Chap. 15]</w:t>
      </w:r>
    </w:p>
    <w:p w14:paraId="225AF9A1" w14:textId="606024C8" w:rsidR="00B572BA" w:rsidRPr="00144037" w:rsidRDefault="00B572BA" w:rsidP="00B572BA">
      <w:pPr>
        <w:rPr>
          <w:rFonts w:ascii="Times New Roman" w:hAnsi="Times New Roman"/>
          <w:sz w:val="24"/>
          <w:szCs w:val="24"/>
        </w:rPr>
      </w:pPr>
      <w:r w:rsidRPr="00144037">
        <w:rPr>
          <w:rFonts w:ascii="Times New Roman" w:hAnsi="Times New Roman"/>
          <w:sz w:val="24"/>
          <w:szCs w:val="24"/>
        </w:rPr>
        <w:t xml:space="preserve">On January 27, 2025, in </w:t>
      </w:r>
      <w:r w:rsidRPr="00144037">
        <w:rPr>
          <w:rFonts w:ascii="Times New Roman" w:hAnsi="Times New Roman"/>
          <w:sz w:val="24"/>
          <w:szCs w:val="24"/>
          <w:u w:val="single"/>
        </w:rPr>
        <w:t>City of Tucson v. The Industrial Commission of Arizona; Christopher Mercer, Respondent Employee</w:t>
      </w:r>
      <w:r w:rsidRPr="00144037">
        <w:rPr>
          <w:rFonts w:ascii="Times New Roman" w:hAnsi="Times New Roman"/>
          <w:sz w:val="24"/>
          <w:szCs w:val="24"/>
        </w:rPr>
        <w:t>, the Court of Appeals of Arizona, Second Division, (3 to 0; unpublished decision) upheld the Administrative Law Judge who ruled the 1-</w:t>
      </w:r>
      <w:r w:rsidR="00125039">
        <w:rPr>
          <w:rFonts w:ascii="Times New Roman" w:hAnsi="Times New Roman"/>
          <w:sz w:val="24"/>
          <w:szCs w:val="24"/>
        </w:rPr>
        <w:t>y</w:t>
      </w:r>
      <w:r w:rsidRPr="00144037">
        <w:rPr>
          <w:rFonts w:ascii="Times New Roman" w:hAnsi="Times New Roman"/>
          <w:sz w:val="24"/>
          <w:szCs w:val="24"/>
        </w:rPr>
        <w:t xml:space="preserve">ear statute of limitations to file worker’s comp claim starts when the official diagnosis of PTSD has been made, not when employee has sought help for mental issues.  Time line: In 2017, with anger issues, his Captain suggested he see a psychiatrist; met six times between 2017 and 2021; in 2020 moved to slower station; April 2022 attended music festival off duty and helped female patient who feel 15 feet; that night at home threatened suicide including pulling trigger of 9 mil firearm (presumably unloaded); hospitalized 28 days at facility for first responders where for first time was diagnosed with PTSD; filed works comp claim July 30, 2022.  </w:t>
      </w:r>
      <w:hyperlink r:id="rId1030" w:history="1">
        <w:r w:rsidRPr="00144037">
          <w:rPr>
            <w:rStyle w:val="Hyperlink"/>
            <w:rFonts w:ascii="Times New Roman" w:hAnsi="Times New Roman"/>
            <w:sz w:val="24"/>
            <w:szCs w:val="24"/>
          </w:rPr>
          <w:t>https://cases.justia.com/arizona/court-of-appeals-division-two-unpublished/2025-2-ca-ic-2024-0003.pdf?ts=1738026580</w:t>
        </w:r>
      </w:hyperlink>
      <w:r w:rsidRPr="00144037">
        <w:rPr>
          <w:rFonts w:ascii="Times New Roman" w:hAnsi="Times New Roman"/>
          <w:sz w:val="24"/>
          <w:szCs w:val="24"/>
        </w:rPr>
        <w:t xml:space="preserve"> </w:t>
      </w:r>
    </w:p>
    <w:p w14:paraId="17275C13" w14:textId="77777777" w:rsidR="00B572BA" w:rsidRPr="00144037" w:rsidRDefault="00B572BA" w:rsidP="00B572BA">
      <w:pPr>
        <w:rPr>
          <w:rFonts w:ascii="Times New Roman" w:hAnsi="Times New Roman"/>
          <w:sz w:val="24"/>
          <w:szCs w:val="24"/>
        </w:rPr>
      </w:pPr>
    </w:p>
    <w:p w14:paraId="5C03FC6C" w14:textId="77777777" w:rsidR="00B572BA" w:rsidRPr="00144037" w:rsidRDefault="00B572BA" w:rsidP="00B572BA">
      <w:pPr>
        <w:pStyle w:val="NoSpacing"/>
        <w:rPr>
          <w:rFonts w:ascii="Times New Roman" w:hAnsi="Times New Roman"/>
          <w:sz w:val="24"/>
          <w:szCs w:val="24"/>
        </w:rPr>
      </w:pPr>
      <w:r w:rsidRPr="00144037">
        <w:rPr>
          <w:rFonts w:ascii="Times New Roman" w:hAnsi="Times New Roman"/>
          <w:sz w:val="24"/>
          <w:szCs w:val="24"/>
        </w:rPr>
        <w:t xml:space="preserve">The Court wrote: </w:t>
      </w:r>
    </w:p>
    <w:p w14:paraId="1FF7ABEE" w14:textId="77777777" w:rsidR="00B572BA" w:rsidRPr="00144037" w:rsidRDefault="00B572BA" w:rsidP="00B572BA">
      <w:pPr>
        <w:pStyle w:val="NoSpacing"/>
        <w:rPr>
          <w:rFonts w:ascii="Times New Roman" w:hAnsi="Times New Roman"/>
          <w:sz w:val="24"/>
          <w:szCs w:val="24"/>
        </w:rPr>
      </w:pPr>
    </w:p>
    <w:p w14:paraId="7B8B8420" w14:textId="77777777" w:rsidR="00B572BA" w:rsidRPr="00144037" w:rsidRDefault="00B572BA" w:rsidP="00B572BA">
      <w:pPr>
        <w:pStyle w:val="NoSpacing"/>
        <w:ind w:left="720"/>
        <w:rPr>
          <w:rFonts w:ascii="Times New Roman" w:hAnsi="Times New Roman"/>
          <w:sz w:val="24"/>
          <w:szCs w:val="24"/>
        </w:rPr>
      </w:pPr>
      <w:r w:rsidRPr="00144037">
        <w:rPr>
          <w:rFonts w:ascii="Times New Roman" w:hAnsi="Times New Roman"/>
          <w:sz w:val="24"/>
          <w:szCs w:val="24"/>
        </w:rPr>
        <w:t>“The ALJ determined that he was never ‘officially diagnosed with PTSD’ until April 2022, and there was ‘insufficient evidence to find that his symptoms had become serious and acute enough to meet the diagnosis for PTSD’ before then. The ALJ further explained that April 2022 was also the point at which Mercer first required inpatient psychiatric treatment and first became unable to return to work. Accordingly, the ALJ determined that Mercer’s July 2022 ICA claim was timely.</w:t>
      </w:r>
    </w:p>
    <w:p w14:paraId="3258C872" w14:textId="77777777" w:rsidR="00B572BA" w:rsidRPr="00144037" w:rsidRDefault="00B572BA" w:rsidP="00B572BA">
      <w:pPr>
        <w:pStyle w:val="NoSpacing"/>
        <w:rPr>
          <w:rFonts w:ascii="Times New Roman" w:hAnsi="Times New Roman"/>
          <w:sz w:val="24"/>
          <w:szCs w:val="24"/>
        </w:rPr>
      </w:pPr>
    </w:p>
    <w:p w14:paraId="130E8AF8" w14:textId="77777777" w:rsidR="00B572BA" w:rsidRPr="00144037" w:rsidRDefault="00B572BA" w:rsidP="00B572BA">
      <w:pPr>
        <w:pStyle w:val="NoSpacing"/>
        <w:ind w:firstLine="720"/>
        <w:rPr>
          <w:rFonts w:ascii="Times New Roman" w:hAnsi="Times New Roman"/>
          <w:sz w:val="24"/>
          <w:szCs w:val="24"/>
        </w:rPr>
      </w:pPr>
      <w:r w:rsidRPr="00144037">
        <w:rPr>
          <w:rFonts w:ascii="Times New Roman" w:hAnsi="Times New Roman"/>
          <w:sz w:val="24"/>
          <w:szCs w:val="24"/>
        </w:rPr>
        <w:t>***</w:t>
      </w:r>
    </w:p>
    <w:p w14:paraId="2FF5FF7F" w14:textId="77777777" w:rsidR="00B572BA" w:rsidRPr="00144037" w:rsidRDefault="00B572BA" w:rsidP="00B572BA">
      <w:pPr>
        <w:pStyle w:val="NoSpacing"/>
        <w:rPr>
          <w:rFonts w:ascii="Times New Roman" w:hAnsi="Times New Roman"/>
          <w:sz w:val="24"/>
          <w:szCs w:val="24"/>
        </w:rPr>
      </w:pPr>
    </w:p>
    <w:p w14:paraId="0B5775D8" w14:textId="77777777" w:rsidR="00B572BA" w:rsidRPr="00144037" w:rsidRDefault="00B572BA" w:rsidP="00B572BA">
      <w:pPr>
        <w:pStyle w:val="NoSpacing"/>
        <w:ind w:left="720"/>
        <w:rPr>
          <w:rFonts w:ascii="Times New Roman" w:hAnsi="Times New Roman"/>
          <w:sz w:val="24"/>
          <w:szCs w:val="24"/>
        </w:rPr>
      </w:pPr>
      <w:r w:rsidRPr="00144037">
        <w:rPr>
          <w:rFonts w:ascii="Times New Roman" w:hAnsi="Times New Roman"/>
          <w:sz w:val="24"/>
          <w:szCs w:val="24"/>
        </w:rPr>
        <w:t>[T]</w:t>
      </w:r>
      <w:proofErr w:type="gramStart"/>
      <w:r w:rsidRPr="00144037">
        <w:rPr>
          <w:rFonts w:ascii="Times New Roman" w:hAnsi="Times New Roman"/>
          <w:sz w:val="24"/>
          <w:szCs w:val="24"/>
        </w:rPr>
        <w:t>he</w:t>
      </w:r>
      <w:proofErr w:type="gramEnd"/>
      <w:r w:rsidRPr="00144037">
        <w:rPr>
          <w:rFonts w:ascii="Times New Roman" w:hAnsi="Times New Roman"/>
          <w:sz w:val="24"/>
          <w:szCs w:val="24"/>
        </w:rPr>
        <w:t xml:space="preserve"> City contends it produced expert testimony that Mercer’s PTSD was diagnosable prior to July 2021, it has satisfied some portion of the test for the accrual of mental injuries. Not so.” </w:t>
      </w:r>
    </w:p>
    <w:p w14:paraId="3550969E" w14:textId="77777777" w:rsidR="00B572BA" w:rsidRPr="00144037" w:rsidRDefault="00B572BA" w:rsidP="00B572BA">
      <w:pPr>
        <w:pStyle w:val="NoSpacing"/>
        <w:rPr>
          <w:rFonts w:ascii="Times New Roman" w:hAnsi="Times New Roman"/>
          <w:b/>
          <w:bCs/>
          <w:sz w:val="24"/>
          <w:szCs w:val="24"/>
        </w:rPr>
      </w:pPr>
    </w:p>
    <w:p w14:paraId="6FAEF93F" w14:textId="77777777" w:rsidR="00B572BA" w:rsidRPr="00144037" w:rsidRDefault="00B572BA" w:rsidP="00B572BA">
      <w:pPr>
        <w:pStyle w:val="NoSpacing"/>
        <w:rPr>
          <w:rFonts w:ascii="Times New Roman" w:hAnsi="Times New Roman"/>
          <w:b/>
          <w:bCs/>
          <w:sz w:val="24"/>
          <w:szCs w:val="24"/>
        </w:rPr>
      </w:pPr>
      <w:r w:rsidRPr="00144037">
        <w:rPr>
          <w:rFonts w:ascii="Times New Roman" w:hAnsi="Times New Roman"/>
          <w:b/>
          <w:sz w:val="24"/>
          <w:szCs w:val="24"/>
        </w:rPr>
        <w:t xml:space="preserve">Legal Lesson Learned: Excellent decision; city can’t force employees to file workers comp claim when they are merely seeking assistance. </w:t>
      </w:r>
    </w:p>
    <w:p w14:paraId="4C954BAA" w14:textId="77777777" w:rsidR="00045450" w:rsidRPr="00045450" w:rsidRDefault="00045450" w:rsidP="00EF1133">
      <w:pPr>
        <w:rPr>
          <w:rFonts w:ascii="Times New Roman" w:hAnsi="Times New Roman"/>
          <w:b/>
          <w:sz w:val="24"/>
          <w:szCs w:val="24"/>
        </w:rPr>
      </w:pPr>
    </w:p>
    <w:p w14:paraId="4DFD8CE9" w14:textId="77777777" w:rsidR="00045450" w:rsidRDefault="00045450" w:rsidP="00EF1133">
      <w:pPr>
        <w:rPr>
          <w:rFonts w:ascii="Arial Black" w:hAnsi="Arial Black"/>
          <w:b/>
          <w:sz w:val="24"/>
          <w:szCs w:val="24"/>
        </w:rPr>
      </w:pPr>
    </w:p>
    <w:p w14:paraId="7EE5F35D" w14:textId="6D2524AC" w:rsidR="00AF0D0A" w:rsidRDefault="00AF0D0A" w:rsidP="00EF1133">
      <w:pPr>
        <w:rPr>
          <w:rFonts w:ascii="Arial Black" w:hAnsi="Arial Black"/>
          <w:b/>
          <w:sz w:val="24"/>
          <w:szCs w:val="24"/>
        </w:rPr>
      </w:pPr>
      <w:r>
        <w:rPr>
          <w:rFonts w:ascii="Arial Black" w:hAnsi="Arial Black"/>
          <w:b/>
          <w:sz w:val="24"/>
          <w:szCs w:val="24"/>
        </w:rPr>
        <w:t>6-1</w:t>
      </w:r>
      <w:r w:rsidR="002A0697">
        <w:rPr>
          <w:rFonts w:ascii="Arial Black" w:hAnsi="Arial Black"/>
          <w:b/>
          <w:sz w:val="24"/>
          <w:szCs w:val="24"/>
        </w:rPr>
        <w:t>49</w:t>
      </w:r>
    </w:p>
    <w:p w14:paraId="3836D6EE" w14:textId="77777777" w:rsidR="00AF0D0A" w:rsidRPr="00386040" w:rsidRDefault="00AF0D0A" w:rsidP="00AF0D0A">
      <w:pPr>
        <w:pStyle w:val="NoSpacing"/>
        <w:rPr>
          <w:rFonts w:ascii="Arial Black" w:hAnsi="Arial Black"/>
          <w:sz w:val="28"/>
          <w:szCs w:val="28"/>
        </w:rPr>
      </w:pPr>
      <w:r>
        <w:rPr>
          <w:rFonts w:ascii="Arial Black" w:hAnsi="Arial Black"/>
          <w:sz w:val="28"/>
          <w:szCs w:val="28"/>
        </w:rPr>
        <w:t xml:space="preserve">NJ: FF BROKE ANKLE – ORDIN. DISAB., NOT “UNEXPECTED”   </w:t>
      </w:r>
    </w:p>
    <w:p w14:paraId="2AE0466C" w14:textId="77777777" w:rsidR="00AF0D0A" w:rsidRPr="00AF0D0A" w:rsidRDefault="00AF0D0A" w:rsidP="00AF0D0A">
      <w:pPr>
        <w:pStyle w:val="NoSpacing"/>
        <w:rPr>
          <w:rFonts w:ascii="Times New Roman" w:hAnsi="Times New Roman"/>
          <w:sz w:val="24"/>
          <w:szCs w:val="24"/>
        </w:rPr>
      </w:pPr>
    </w:p>
    <w:p w14:paraId="78FA6E87" w14:textId="77777777" w:rsidR="00AF0D0A" w:rsidRPr="00AF0D0A" w:rsidRDefault="00AF0D0A" w:rsidP="00AF0D0A">
      <w:pPr>
        <w:pStyle w:val="NoSpacing"/>
        <w:rPr>
          <w:rFonts w:ascii="Times New Roman" w:hAnsi="Times New Roman"/>
          <w:sz w:val="24"/>
          <w:szCs w:val="24"/>
        </w:rPr>
      </w:pPr>
      <w:r w:rsidRPr="00AF0D0A">
        <w:rPr>
          <w:rFonts w:ascii="Times New Roman" w:hAnsi="Times New Roman"/>
          <w:sz w:val="24"/>
          <w:szCs w:val="24"/>
        </w:rPr>
        <w:t xml:space="preserve">On Jan. 17, 2025, in </w:t>
      </w:r>
      <w:r w:rsidRPr="00AF0D0A">
        <w:rPr>
          <w:rFonts w:ascii="Times New Roman" w:hAnsi="Times New Roman"/>
          <w:sz w:val="24"/>
          <w:szCs w:val="24"/>
          <w:u w:val="single"/>
        </w:rPr>
        <w:t>Roberto Villarreal-Rio v. Board of Trustees, Police and Fireman’s Retirement System</w:t>
      </w:r>
      <w:r w:rsidRPr="00AF0D0A">
        <w:rPr>
          <w:rFonts w:ascii="Times New Roman" w:hAnsi="Times New Roman"/>
          <w:sz w:val="24"/>
          <w:szCs w:val="24"/>
        </w:rPr>
        <w:t xml:space="preserve">, the Superior Court of New Jersey, held (2 to 0; unpublished decision) that the retirement board properly held the firefighter was not entitled to Accidental Disability Retirement (72.7%), but only Ordinary Disability Retirement (43.6%); must be a traumatic event injured because of an “unexpected happening.”  </w:t>
      </w:r>
      <w:hyperlink r:id="rId1031" w:history="1">
        <w:r w:rsidRPr="00AF0D0A">
          <w:rPr>
            <w:rStyle w:val="Hyperlink"/>
            <w:rFonts w:ascii="Times New Roman" w:hAnsi="Times New Roman"/>
            <w:sz w:val="24"/>
            <w:szCs w:val="24"/>
          </w:rPr>
          <w:t>https://www.njcourts.gov/system/files/court-opinions/2025/a0585-22.pdf</w:t>
        </w:r>
      </w:hyperlink>
      <w:r w:rsidRPr="00AF0D0A">
        <w:rPr>
          <w:rFonts w:ascii="Times New Roman" w:hAnsi="Times New Roman"/>
          <w:sz w:val="24"/>
          <w:szCs w:val="24"/>
        </w:rPr>
        <w:t xml:space="preserve"> </w:t>
      </w:r>
    </w:p>
    <w:p w14:paraId="3A6F3451" w14:textId="77777777" w:rsidR="00AF0D0A" w:rsidRPr="00AF0D0A" w:rsidRDefault="00AF0D0A" w:rsidP="00AF0D0A">
      <w:pPr>
        <w:pStyle w:val="NoSpacing"/>
        <w:rPr>
          <w:rFonts w:ascii="Times New Roman" w:hAnsi="Times New Roman"/>
          <w:sz w:val="24"/>
          <w:szCs w:val="24"/>
        </w:rPr>
      </w:pPr>
    </w:p>
    <w:p w14:paraId="5736EA41" w14:textId="77777777" w:rsidR="00AF0D0A" w:rsidRPr="00AF0D0A" w:rsidRDefault="00AF0D0A" w:rsidP="00AF0D0A">
      <w:pPr>
        <w:pStyle w:val="NoSpacing"/>
        <w:rPr>
          <w:rFonts w:ascii="Times New Roman" w:hAnsi="Times New Roman"/>
          <w:sz w:val="24"/>
          <w:szCs w:val="24"/>
        </w:rPr>
      </w:pPr>
      <w:r w:rsidRPr="00AF0D0A">
        <w:rPr>
          <w:rFonts w:ascii="Times New Roman" w:hAnsi="Times New Roman"/>
          <w:sz w:val="24"/>
          <w:szCs w:val="24"/>
        </w:rPr>
        <w:tab/>
        <w:t xml:space="preserve">The Court held: </w:t>
      </w:r>
    </w:p>
    <w:p w14:paraId="70C5AFDA" w14:textId="77777777" w:rsidR="00AF0D0A" w:rsidRPr="00AF0D0A" w:rsidRDefault="00AF0D0A" w:rsidP="00AF0D0A">
      <w:pPr>
        <w:pStyle w:val="NoSpacing"/>
        <w:rPr>
          <w:rFonts w:ascii="Times New Roman" w:hAnsi="Times New Roman"/>
          <w:sz w:val="24"/>
          <w:szCs w:val="24"/>
        </w:rPr>
      </w:pPr>
    </w:p>
    <w:p w14:paraId="6AF84224"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lastRenderedPageBreak/>
        <w:t xml:space="preserve">“On September 22, 2017, petitioner, along with the </w:t>
      </w:r>
      <w:proofErr w:type="gramStart"/>
      <w:r w:rsidRPr="00AF0D0A">
        <w:rPr>
          <w:rFonts w:ascii="Times New Roman" w:hAnsi="Times New Roman"/>
          <w:sz w:val="24"/>
          <w:szCs w:val="24"/>
        </w:rPr>
        <w:t>Captain</w:t>
      </w:r>
      <w:proofErr w:type="gramEnd"/>
      <w:r w:rsidRPr="00AF0D0A">
        <w:rPr>
          <w:rFonts w:ascii="Times New Roman" w:hAnsi="Times New Roman"/>
          <w:sz w:val="24"/>
          <w:szCs w:val="24"/>
        </w:rPr>
        <w:t xml:space="preserve"> and another firefighter, responded to a call for an electrical fire in a basement. According to petitioner, when they arrived at the scene, a bookshelf was blocking the door to the basement. Therefore, the Captain asked him to retrieve additional feet of hose from the truck so they could access another entrance to the basement to reach the fire. The truck was parked at the bottom of the driveway, about one hundred feet from the building. As he returned with the extra feet of hose, petitioner stated he twisted his ankle and fell on the driveway. He stated that he did not recall what caused him to twist his ankle.</w:t>
      </w:r>
    </w:p>
    <w:p w14:paraId="510E5A56" w14:textId="77777777" w:rsidR="00AF0D0A" w:rsidRPr="00AF0D0A" w:rsidRDefault="00AF0D0A" w:rsidP="00AF0D0A">
      <w:pPr>
        <w:pStyle w:val="NoSpacing"/>
        <w:ind w:left="720"/>
        <w:rPr>
          <w:rFonts w:ascii="Times New Roman" w:hAnsi="Times New Roman"/>
          <w:sz w:val="24"/>
          <w:szCs w:val="24"/>
        </w:rPr>
      </w:pPr>
    </w:p>
    <w:p w14:paraId="2EAC6771"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w:t>
      </w:r>
    </w:p>
    <w:p w14:paraId="2709177E" w14:textId="77777777" w:rsidR="00AF0D0A" w:rsidRPr="00AF0D0A" w:rsidRDefault="00AF0D0A" w:rsidP="00AF0D0A">
      <w:pPr>
        <w:pStyle w:val="NoSpacing"/>
        <w:ind w:left="720"/>
        <w:rPr>
          <w:rFonts w:ascii="Times New Roman" w:hAnsi="Times New Roman"/>
          <w:sz w:val="24"/>
          <w:szCs w:val="24"/>
        </w:rPr>
      </w:pPr>
    </w:p>
    <w:p w14:paraId="22D71484"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Here, petitioner has not demonstrated an ‘unexpected happening’ that caused him to injure his ankle. He testified regarding his training and the specific duties of his job which included loading and unloading equipment, laying and connecting hoses, and preparing for the delivery of water discharge lines…. The evidence reflects petitioner was performing his usual job duties when he was injured. Dragging a hose up a driveway is not an unexpected event in his line of work.”</w:t>
      </w:r>
    </w:p>
    <w:p w14:paraId="303ADA54" w14:textId="77777777" w:rsidR="00AF0D0A" w:rsidRPr="00AF0D0A" w:rsidRDefault="00AF0D0A" w:rsidP="00AF0D0A">
      <w:pPr>
        <w:pStyle w:val="NoSpacing"/>
        <w:rPr>
          <w:rFonts w:ascii="Times New Roman" w:hAnsi="Times New Roman"/>
          <w:sz w:val="24"/>
          <w:szCs w:val="24"/>
        </w:rPr>
      </w:pPr>
    </w:p>
    <w:p w14:paraId="5CD6A234" w14:textId="77777777" w:rsidR="00AF0D0A" w:rsidRPr="00AF0D0A" w:rsidRDefault="00AF0D0A" w:rsidP="00AF0D0A">
      <w:pPr>
        <w:pStyle w:val="NoSpacing"/>
        <w:rPr>
          <w:rFonts w:ascii="Times New Roman" w:hAnsi="Times New Roman"/>
          <w:sz w:val="24"/>
          <w:szCs w:val="24"/>
        </w:rPr>
      </w:pPr>
      <w:r w:rsidRPr="00AF0D0A">
        <w:rPr>
          <w:rFonts w:ascii="Times New Roman" w:hAnsi="Times New Roman"/>
          <w:b/>
          <w:sz w:val="24"/>
          <w:szCs w:val="24"/>
        </w:rPr>
        <w:t>Legal Lesson Learned</w:t>
      </w:r>
      <w:r w:rsidRPr="00AF0D0A">
        <w:rPr>
          <w:rFonts w:ascii="Times New Roman" w:hAnsi="Times New Roman"/>
          <w:sz w:val="24"/>
          <w:szCs w:val="24"/>
        </w:rPr>
        <w:t xml:space="preserve">:  Under NJ statute and case law, public employees are only entitled to enhanced retirement for traumatic injuries from “unexpecting happening” such as a police officer shot pursuing a suspect or a librarian hit by falling bookshelf while restocking books.  </w:t>
      </w:r>
    </w:p>
    <w:p w14:paraId="31198EFE" w14:textId="77777777" w:rsidR="00AF0D0A" w:rsidRPr="00AF0D0A" w:rsidRDefault="00AF0D0A" w:rsidP="00AF0D0A">
      <w:pPr>
        <w:pStyle w:val="NoSpacing"/>
        <w:rPr>
          <w:rFonts w:ascii="Times New Roman" w:hAnsi="Times New Roman"/>
          <w:sz w:val="24"/>
          <w:szCs w:val="24"/>
        </w:rPr>
      </w:pPr>
    </w:p>
    <w:p w14:paraId="3C8F618B"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 xml:space="preserve">Note:  See NJ public employee retirement bulletin.  </w:t>
      </w:r>
      <w:hyperlink r:id="rId1032" w:history="1">
        <w:r w:rsidRPr="00AF0D0A">
          <w:rPr>
            <w:rStyle w:val="Hyperlink"/>
            <w:rFonts w:ascii="Times New Roman" w:hAnsi="Times New Roman"/>
            <w:sz w:val="24"/>
            <w:szCs w:val="24"/>
          </w:rPr>
          <w:t>https://www.nj.gov/treasury/pensions/documents/factsheets/fact15.pdf</w:t>
        </w:r>
      </w:hyperlink>
      <w:r w:rsidRPr="00AF0D0A">
        <w:rPr>
          <w:rFonts w:ascii="Times New Roman" w:hAnsi="Times New Roman"/>
          <w:sz w:val="24"/>
          <w:szCs w:val="24"/>
        </w:rPr>
        <w:t xml:space="preserve"> </w:t>
      </w:r>
    </w:p>
    <w:p w14:paraId="639DDEF8" w14:textId="77777777" w:rsidR="00AF0D0A" w:rsidRPr="00AF0D0A" w:rsidRDefault="00AF0D0A" w:rsidP="00AF0D0A">
      <w:pPr>
        <w:pStyle w:val="NoSpacing"/>
        <w:rPr>
          <w:rFonts w:ascii="Times New Roman" w:hAnsi="Times New Roman"/>
          <w:sz w:val="24"/>
          <w:szCs w:val="24"/>
        </w:rPr>
      </w:pPr>
    </w:p>
    <w:p w14:paraId="3A7FC941" w14:textId="77777777" w:rsidR="00AF0D0A" w:rsidRDefault="00AF0D0A" w:rsidP="00AF0D0A">
      <w:pPr>
        <w:pStyle w:val="NoSpacing"/>
      </w:pPr>
    </w:p>
    <w:p w14:paraId="297F019B" w14:textId="5BA60FB8" w:rsidR="00AF0D0A" w:rsidRDefault="00AF0D0A"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8</w:t>
      </w:r>
    </w:p>
    <w:p w14:paraId="5437276C" w14:textId="77777777" w:rsidR="00D93C20" w:rsidRPr="00FC011D" w:rsidRDefault="00D93C20" w:rsidP="00D93C20">
      <w:pPr>
        <w:rPr>
          <w:rFonts w:ascii="Arial Black" w:hAnsi="Arial Black"/>
          <w:b/>
          <w:sz w:val="28"/>
          <w:szCs w:val="28"/>
        </w:rPr>
      </w:pPr>
      <w:r>
        <w:rPr>
          <w:rFonts w:ascii="Arial Black" w:hAnsi="Arial Black"/>
          <w:b/>
          <w:sz w:val="28"/>
          <w:szCs w:val="28"/>
        </w:rPr>
        <w:t>WV: HEARING LOSS – 17.5% COAL MINER – NO ADDED PPD</w:t>
      </w:r>
    </w:p>
    <w:p w14:paraId="62F0338C" w14:textId="77777777" w:rsidR="00D93C20" w:rsidRPr="00BE4CD4" w:rsidRDefault="00D93C20" w:rsidP="00D93C20">
      <w:pPr>
        <w:pStyle w:val="NoSpacing"/>
        <w:rPr>
          <w:rFonts w:ascii="Times New Roman" w:hAnsi="Times New Roman"/>
          <w:sz w:val="24"/>
          <w:szCs w:val="24"/>
        </w:rPr>
      </w:pPr>
      <w:r w:rsidRPr="00BE4CD4">
        <w:rPr>
          <w:rFonts w:ascii="Times New Roman" w:hAnsi="Times New Roman"/>
          <w:sz w:val="24"/>
          <w:szCs w:val="24"/>
        </w:rPr>
        <w:t xml:space="preserve">On Jan. 14, 2025, in </w:t>
      </w:r>
      <w:r w:rsidRPr="00BE4CD4">
        <w:rPr>
          <w:rFonts w:ascii="Times New Roman" w:hAnsi="Times New Roman"/>
          <w:sz w:val="24"/>
          <w:szCs w:val="24"/>
          <w:u w:val="single"/>
        </w:rPr>
        <w:t>Wilburn T. Preece, Jr. v. Kermit Volunteer Fire Department</w:t>
      </w:r>
      <w:r w:rsidRPr="00BE4CD4">
        <w:rPr>
          <w:rFonts w:ascii="Times New Roman" w:hAnsi="Times New Roman"/>
          <w:sz w:val="24"/>
          <w:szCs w:val="24"/>
        </w:rPr>
        <w:t xml:space="preserve">, the Supreme Court of Appeals of West Virginia held (5 to 0) that the WV Workers’ Compensation Board properly denied the Fire Chief’s claim for progressive hearing loss on Sept. 11, 2023.  In 2015 he was awarded 17.5% permanent partial disability (PPD) from his years working as a coal miner.  He became full time Fire Chief in 2014 and in 2020 claimed 23% PPD (responded to 90% of the 300 – 500 calls per year). The Board rejected his claim on Sept. 11, 2023, after the Chief was examined by two experts – neither found fire service was clearly the cause of additional hearing loss. The Chief appealed to the WV Intermediate Court of Appeals, which upheld the Board on March 25, 2024.  </w:t>
      </w:r>
      <w:hyperlink r:id="rId1033" w:history="1">
        <w:r w:rsidRPr="00BE4CD4">
          <w:rPr>
            <w:rStyle w:val="Hyperlink"/>
            <w:rFonts w:ascii="Times New Roman" w:hAnsi="Times New Roman"/>
            <w:sz w:val="24"/>
            <w:szCs w:val="24"/>
          </w:rPr>
          <w:t>https://cases.justia.com/west-virginia/supreme-court/2025-24-266.pdf?ts=1736880091</w:t>
        </w:r>
      </w:hyperlink>
      <w:r w:rsidRPr="00BE4CD4">
        <w:rPr>
          <w:rFonts w:ascii="Times New Roman" w:hAnsi="Times New Roman"/>
          <w:sz w:val="24"/>
          <w:szCs w:val="24"/>
        </w:rPr>
        <w:t xml:space="preserve"> </w:t>
      </w:r>
    </w:p>
    <w:p w14:paraId="33F66F7B" w14:textId="77777777" w:rsidR="00D93C20" w:rsidRPr="00BE4CD4" w:rsidRDefault="00D93C20" w:rsidP="00D93C20">
      <w:pPr>
        <w:pStyle w:val="NoSpacing"/>
        <w:rPr>
          <w:rFonts w:ascii="Times New Roman" w:hAnsi="Times New Roman"/>
          <w:sz w:val="24"/>
          <w:szCs w:val="24"/>
        </w:rPr>
      </w:pPr>
    </w:p>
    <w:p w14:paraId="101F918F" w14:textId="77777777" w:rsidR="00D93C20" w:rsidRPr="00BE4CD4" w:rsidRDefault="00D93C20" w:rsidP="00D93C20">
      <w:pPr>
        <w:pStyle w:val="NoSpacing"/>
        <w:rPr>
          <w:rFonts w:ascii="Times New Roman" w:hAnsi="Times New Roman"/>
          <w:sz w:val="24"/>
          <w:szCs w:val="24"/>
        </w:rPr>
      </w:pPr>
      <w:r w:rsidRPr="00BE4CD4">
        <w:rPr>
          <w:rFonts w:ascii="Times New Roman" w:hAnsi="Times New Roman"/>
          <w:sz w:val="24"/>
          <w:szCs w:val="24"/>
        </w:rPr>
        <w:t xml:space="preserve">The State Supreme Court wrote: </w:t>
      </w:r>
    </w:p>
    <w:p w14:paraId="261FE68E" w14:textId="77777777" w:rsidR="00D93C20" w:rsidRPr="00BE4CD4" w:rsidRDefault="00D93C20" w:rsidP="00D93C20">
      <w:pPr>
        <w:pStyle w:val="NoSpacing"/>
        <w:rPr>
          <w:rFonts w:ascii="Times New Roman" w:hAnsi="Times New Roman"/>
          <w:sz w:val="24"/>
          <w:szCs w:val="24"/>
        </w:rPr>
      </w:pPr>
    </w:p>
    <w:p w14:paraId="30DC93A1" w14:textId="77777777" w:rsidR="00D93C20" w:rsidRPr="00BE4CD4" w:rsidRDefault="00D93C20" w:rsidP="00D93C20">
      <w:pPr>
        <w:pStyle w:val="NoSpacing"/>
        <w:ind w:firstLine="720"/>
        <w:rPr>
          <w:rFonts w:ascii="Times New Roman" w:hAnsi="Times New Roman"/>
          <w:sz w:val="24"/>
          <w:szCs w:val="24"/>
        </w:rPr>
      </w:pPr>
      <w:r w:rsidRPr="00BE4CD4">
        <w:rPr>
          <w:rFonts w:ascii="Times New Roman" w:hAnsi="Times New Roman"/>
          <w:sz w:val="24"/>
          <w:szCs w:val="24"/>
        </w:rPr>
        <w:t>“The claimant argues that the ICA was clearly wrong in finding that the report of Joseph</w:t>
      </w:r>
    </w:p>
    <w:p w14:paraId="19184A41"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Touma, M.D., was insufficient to establish that his occupation, as the fire chief, caused additional hearing loss. The claimant asserts that Dr. Touma’s report is the only credible medical evidence of record concerning whether he has additional </w:t>
      </w:r>
      <w:proofErr w:type="gramStart"/>
      <w:r w:rsidRPr="00BE4CD4">
        <w:rPr>
          <w:rFonts w:ascii="Times New Roman" w:hAnsi="Times New Roman"/>
          <w:sz w:val="24"/>
          <w:szCs w:val="24"/>
        </w:rPr>
        <w:t>noise induced</w:t>
      </w:r>
      <w:proofErr w:type="gramEnd"/>
      <w:r w:rsidRPr="00BE4CD4">
        <w:rPr>
          <w:rFonts w:ascii="Times New Roman" w:hAnsi="Times New Roman"/>
          <w:sz w:val="24"/>
          <w:szCs w:val="24"/>
        </w:rPr>
        <w:t xml:space="preserve"> impairment </w:t>
      </w:r>
      <w:proofErr w:type="gramStart"/>
      <w:r w:rsidRPr="00BE4CD4">
        <w:rPr>
          <w:rFonts w:ascii="Times New Roman" w:hAnsi="Times New Roman"/>
          <w:sz w:val="24"/>
          <w:szCs w:val="24"/>
        </w:rPr>
        <w:t>as a result of</w:t>
      </w:r>
      <w:proofErr w:type="gramEnd"/>
      <w:r w:rsidRPr="00BE4CD4">
        <w:rPr>
          <w:rFonts w:ascii="Times New Roman" w:hAnsi="Times New Roman"/>
          <w:sz w:val="24"/>
          <w:szCs w:val="24"/>
        </w:rPr>
        <w:t xml:space="preserve"> his work. As such, the claimant believes that Dr. Touma’s recommended impairment award of 23% should have been granted by the ICA. The employer counters by arguing that Dr. Touma did not consider the claimant’s nonoccupational factors that could contribute to hearing loss. Because the Board of Review found that Dr. Touma’s report was unpersuasive on the basis that he failed to consider whether the claimant’s progressive hearing loss was due to causes other than occupational noise exposure, the employer contends that the ICA correctly affirmed the Board of Review’s order.”</w:t>
      </w:r>
    </w:p>
    <w:p w14:paraId="53E54D05" w14:textId="77777777" w:rsidR="00D93C20" w:rsidRPr="00BE4CD4" w:rsidRDefault="00D93C20" w:rsidP="00D93C20">
      <w:pPr>
        <w:pStyle w:val="NoSpacing"/>
        <w:ind w:left="720"/>
        <w:rPr>
          <w:rFonts w:ascii="Times New Roman" w:hAnsi="Times New Roman"/>
          <w:sz w:val="24"/>
          <w:szCs w:val="24"/>
        </w:rPr>
      </w:pPr>
    </w:p>
    <w:p w14:paraId="1EC89581" w14:textId="77777777" w:rsidR="00D93C20" w:rsidRPr="00BE4CD4" w:rsidRDefault="00D93C20" w:rsidP="00D93C20">
      <w:pPr>
        <w:pStyle w:val="NoSpacing"/>
        <w:rPr>
          <w:rFonts w:ascii="Times New Roman" w:hAnsi="Times New Roman"/>
          <w:sz w:val="24"/>
          <w:szCs w:val="24"/>
        </w:rPr>
      </w:pPr>
      <w:r w:rsidRPr="00BE4CD4">
        <w:rPr>
          <w:rFonts w:ascii="Times New Roman" w:hAnsi="Times New Roman"/>
          <w:sz w:val="24"/>
          <w:szCs w:val="24"/>
        </w:rPr>
        <w:t>The Intermediate Court of Appeals described the Chief’s prior work history.</w:t>
      </w:r>
    </w:p>
    <w:p w14:paraId="101C43CB" w14:textId="77777777" w:rsidR="00D93C20" w:rsidRPr="00BE4CD4" w:rsidRDefault="00D93C20" w:rsidP="00D93C20">
      <w:pPr>
        <w:pStyle w:val="NoSpacing"/>
        <w:rPr>
          <w:rFonts w:ascii="Times New Roman" w:hAnsi="Times New Roman"/>
          <w:sz w:val="24"/>
          <w:szCs w:val="24"/>
        </w:rPr>
      </w:pPr>
    </w:p>
    <w:p w14:paraId="276172A1"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“In 2014, Mr. Preece began working as fire chief full-time for the KVFD. In a previous claim, Mr. Preece was granted a 17.5% PPD award in 2015 for occupational hearing loss related to his employment with another employer for whom he worked as a coal miner. Mr. Preece filed an Employees’ and Physicians’ Report of Occupational Hearing Loss dated August 25, 2020; indicating that he has occupational hearing loss due to noise exposure related to his employment at KVFD. </w:t>
      </w:r>
    </w:p>
    <w:p w14:paraId="60774096" w14:textId="77777777" w:rsidR="00D93C20" w:rsidRPr="00BE4CD4" w:rsidRDefault="00D93C20" w:rsidP="00D93C20">
      <w:pPr>
        <w:pStyle w:val="NoSpacing"/>
        <w:ind w:left="720"/>
        <w:rPr>
          <w:rFonts w:ascii="Times New Roman" w:hAnsi="Times New Roman"/>
          <w:sz w:val="24"/>
          <w:szCs w:val="24"/>
        </w:rPr>
      </w:pPr>
    </w:p>
    <w:p w14:paraId="59F599E0"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 </w:t>
      </w:r>
    </w:p>
    <w:p w14:paraId="3E1D08FB" w14:textId="77777777" w:rsidR="00D93C20" w:rsidRPr="00BE4CD4" w:rsidRDefault="00D93C20" w:rsidP="00D93C20">
      <w:pPr>
        <w:pStyle w:val="NoSpacing"/>
        <w:ind w:left="720"/>
        <w:rPr>
          <w:rFonts w:ascii="Times New Roman" w:hAnsi="Times New Roman"/>
          <w:sz w:val="24"/>
          <w:szCs w:val="24"/>
        </w:rPr>
      </w:pPr>
    </w:p>
    <w:p w14:paraId="7AEE6085"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Mr. Preece was deposed on May 13, 2022. Mr. Preece indicated that his job as fire chief required him to be at the fire station </w:t>
      </w:r>
      <w:proofErr w:type="gramStart"/>
      <w:r w:rsidRPr="00BE4CD4">
        <w:rPr>
          <w:rFonts w:ascii="Times New Roman" w:hAnsi="Times New Roman"/>
          <w:sz w:val="24"/>
          <w:szCs w:val="24"/>
        </w:rPr>
        <w:t>on a daily basis</w:t>
      </w:r>
      <w:proofErr w:type="gramEnd"/>
      <w:r w:rsidRPr="00BE4CD4">
        <w:rPr>
          <w:rFonts w:ascii="Times New Roman" w:hAnsi="Times New Roman"/>
          <w:sz w:val="24"/>
          <w:szCs w:val="24"/>
        </w:rPr>
        <w:t>. Mr. Preece testified that he answered 90% of the calls received by the fire department and that during the calls he would be exposed to loud noise from the sirens. Mr. Preece further testified that the fire department answers between 300 and 500 calls each year and that answering a call could take between twenty and thirty minutes wherein he would be exposed to the noise from the engine and siren.</w:t>
      </w:r>
    </w:p>
    <w:p w14:paraId="25F9B844" w14:textId="77777777" w:rsidR="00D93C20" w:rsidRPr="00BE4CD4" w:rsidRDefault="00D93C20" w:rsidP="00D93C20">
      <w:pPr>
        <w:pStyle w:val="NoSpacing"/>
        <w:ind w:left="720"/>
        <w:rPr>
          <w:rFonts w:ascii="Times New Roman" w:hAnsi="Times New Roman"/>
          <w:sz w:val="24"/>
          <w:szCs w:val="24"/>
        </w:rPr>
      </w:pPr>
    </w:p>
    <w:p w14:paraId="781EDC8B"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w:t>
      </w:r>
    </w:p>
    <w:p w14:paraId="52FFCA83"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Mr. Preece was evaluated by David Phillips, M.D., who drafted a report dated</w:t>
      </w:r>
    </w:p>
    <w:p w14:paraId="3A08F3E8"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December 14, 2022. Dr. Phillips found that Mr. Preece had a total of 22% whole person</w:t>
      </w:r>
    </w:p>
    <w:p w14:paraId="0481EFD7"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impairment (“WPI”) related to hearing loss. Dr. Phillips noted that Mr. Preece has a</w:t>
      </w:r>
    </w:p>
    <w:p w14:paraId="07DAB572"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medical history of diabetes, hypertension, and elevated cholesterol, all of which can</w:t>
      </w:r>
    </w:p>
    <w:p w14:paraId="6C6F7B93"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contribute to progressive hearing loss. Thus, Dr. Phillips attributed 17.5% of Mr. Preece’s</w:t>
      </w:r>
    </w:p>
    <w:p w14:paraId="0BE4BA34"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hearing loss to prior mining occupational noise exposure and 4.5% to nonoccupational</w:t>
      </w:r>
    </w:p>
    <w:p w14:paraId="60C823D9"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factors. Dr. Philips did not acknowledge Mr. Preece’s employment at KVFD or </w:t>
      </w:r>
      <w:proofErr w:type="gramStart"/>
      <w:r w:rsidRPr="00BE4CD4">
        <w:rPr>
          <w:rFonts w:ascii="Times New Roman" w:hAnsi="Times New Roman"/>
          <w:sz w:val="24"/>
          <w:szCs w:val="24"/>
        </w:rPr>
        <w:t>opine about</w:t>
      </w:r>
      <w:proofErr w:type="gramEnd"/>
      <w:r w:rsidRPr="00BE4CD4">
        <w:rPr>
          <w:rFonts w:ascii="Times New Roman" w:hAnsi="Times New Roman"/>
          <w:sz w:val="24"/>
          <w:szCs w:val="24"/>
        </w:rPr>
        <w:t xml:space="preserve"> any potential impairment related to noise exposure from KVFD. </w:t>
      </w:r>
    </w:p>
    <w:p w14:paraId="79141631" w14:textId="77777777" w:rsidR="00D93C20" w:rsidRPr="00BE4CD4" w:rsidRDefault="00D93C20" w:rsidP="00D93C20">
      <w:pPr>
        <w:pStyle w:val="NoSpacing"/>
        <w:ind w:left="720"/>
        <w:rPr>
          <w:rFonts w:ascii="Times New Roman" w:hAnsi="Times New Roman"/>
          <w:sz w:val="24"/>
          <w:szCs w:val="24"/>
        </w:rPr>
      </w:pPr>
    </w:p>
    <w:p w14:paraId="12A45841"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On March 29, 2023, Mr. Preece was examined by Joseph Touma, M.D. Dr. Touma found that Mr. Preece had a total of 23% WPI for hearing loss related to occupational noise exposure. Dr. Touma’s report indicates that adjustments were made for non-noise related</w:t>
      </w:r>
    </w:p>
    <w:p w14:paraId="45DA723B"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impairment, but the report does not give any further details regarding those adjustments.</w:t>
      </w:r>
    </w:p>
    <w:p w14:paraId="685D193F"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Dr. Touma opined that Mr. Preece’s worsening hearing loss “may” be due to subsequent</w:t>
      </w:r>
    </w:p>
    <w:p w14:paraId="569E8198"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noise exposure from his new work environment with KVFD. Dr. Touma further opined</w:t>
      </w:r>
    </w:p>
    <w:p w14:paraId="19DE79CA"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that Mr. Preece had no preexisting conditions that could have contributed to his progressive hearing </w:t>
      </w:r>
      <w:proofErr w:type="gramStart"/>
      <w:r w:rsidRPr="00BE4CD4">
        <w:rPr>
          <w:rFonts w:ascii="Times New Roman" w:hAnsi="Times New Roman"/>
          <w:sz w:val="24"/>
          <w:szCs w:val="24"/>
        </w:rPr>
        <w:t>loss.”</w:t>
      </w:r>
      <w:proofErr w:type="gramEnd"/>
      <w:r w:rsidRPr="00BE4CD4">
        <w:rPr>
          <w:rFonts w:ascii="Times New Roman" w:hAnsi="Times New Roman"/>
          <w:sz w:val="24"/>
          <w:szCs w:val="24"/>
        </w:rPr>
        <w:t xml:space="preserve"> </w:t>
      </w:r>
      <w:hyperlink r:id="rId1034" w:history="1">
        <w:r w:rsidRPr="00BE4CD4">
          <w:rPr>
            <w:rStyle w:val="Hyperlink"/>
            <w:rFonts w:ascii="Times New Roman" w:hAnsi="Times New Roman"/>
            <w:sz w:val="24"/>
            <w:szCs w:val="24"/>
          </w:rPr>
          <w:t>https://www.courtswv.gov/sites/default/pubfilesmnt/2024-03/23-ICA-446_MD.pdf</w:t>
        </w:r>
      </w:hyperlink>
      <w:r w:rsidRPr="00BE4CD4">
        <w:rPr>
          <w:rFonts w:ascii="Times New Roman" w:hAnsi="Times New Roman"/>
          <w:sz w:val="24"/>
          <w:szCs w:val="24"/>
        </w:rPr>
        <w:t xml:space="preserve"> </w:t>
      </w:r>
    </w:p>
    <w:p w14:paraId="06F2FE7F" w14:textId="77777777" w:rsidR="00D93C20" w:rsidRPr="00BE4CD4" w:rsidRDefault="00D93C20" w:rsidP="00D93C20">
      <w:pPr>
        <w:pStyle w:val="NoSpacing"/>
        <w:rPr>
          <w:rFonts w:ascii="Times New Roman" w:hAnsi="Times New Roman"/>
          <w:sz w:val="24"/>
          <w:szCs w:val="24"/>
        </w:rPr>
      </w:pPr>
    </w:p>
    <w:p w14:paraId="331A05E2" w14:textId="77777777" w:rsidR="00D93C20" w:rsidRPr="00BE4CD4" w:rsidRDefault="00D93C20" w:rsidP="00D93C20">
      <w:pPr>
        <w:pStyle w:val="NoSpacing"/>
        <w:ind w:left="720"/>
        <w:rPr>
          <w:rFonts w:ascii="Times New Roman" w:hAnsi="Times New Roman"/>
          <w:sz w:val="24"/>
          <w:szCs w:val="24"/>
        </w:rPr>
      </w:pPr>
    </w:p>
    <w:p w14:paraId="08608E57" w14:textId="77777777" w:rsidR="00D93C20" w:rsidRPr="00BE4CD4" w:rsidRDefault="00D93C20" w:rsidP="00D93C20">
      <w:pPr>
        <w:pStyle w:val="NoSpacing"/>
        <w:rPr>
          <w:rFonts w:ascii="Times New Roman" w:hAnsi="Times New Roman"/>
          <w:b/>
          <w:bCs/>
          <w:sz w:val="24"/>
          <w:szCs w:val="24"/>
        </w:rPr>
      </w:pPr>
      <w:r w:rsidRPr="00BE4CD4">
        <w:rPr>
          <w:rFonts w:ascii="Times New Roman" w:hAnsi="Times New Roman"/>
          <w:b/>
          <w:sz w:val="24"/>
          <w:szCs w:val="24"/>
        </w:rPr>
        <w:t xml:space="preserve">Legal Lesson Learned: Hearing loss is clearly an issue in the fire service; wearing hearing protection on all emergency runs should be mandatory.  To prove workplace loss, claimants should retain an expert who will record load noise exposure at fire and other scenes. </w:t>
      </w:r>
    </w:p>
    <w:p w14:paraId="64F1A625" w14:textId="77777777" w:rsidR="00AF0D0A" w:rsidRDefault="00AF0D0A" w:rsidP="00EF1133">
      <w:pPr>
        <w:rPr>
          <w:rFonts w:ascii="Arial Black" w:hAnsi="Arial Black"/>
          <w:b/>
          <w:sz w:val="24"/>
          <w:szCs w:val="24"/>
        </w:rPr>
      </w:pPr>
    </w:p>
    <w:p w14:paraId="32521D32" w14:textId="77777777" w:rsidR="00AF0D0A" w:rsidRDefault="00AF0D0A" w:rsidP="00EF1133">
      <w:pPr>
        <w:rPr>
          <w:rFonts w:ascii="Arial Black" w:hAnsi="Arial Black"/>
          <w:b/>
          <w:sz w:val="24"/>
          <w:szCs w:val="24"/>
        </w:rPr>
      </w:pPr>
    </w:p>
    <w:p w14:paraId="30499DCB" w14:textId="1EA3752D" w:rsidR="006634F6" w:rsidRDefault="006634F6"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7</w:t>
      </w:r>
    </w:p>
    <w:p w14:paraId="3E73A28D" w14:textId="77777777" w:rsidR="00BF6110" w:rsidRPr="00FA067C" w:rsidRDefault="00BF6110" w:rsidP="00BF6110">
      <w:pPr>
        <w:pStyle w:val="NoSpacing"/>
        <w:rPr>
          <w:rFonts w:ascii="Arial Black" w:hAnsi="Arial Black"/>
          <w:b/>
          <w:sz w:val="28"/>
          <w:szCs w:val="28"/>
        </w:rPr>
      </w:pPr>
      <w:r>
        <w:rPr>
          <w:rFonts w:ascii="Arial Black" w:hAnsi="Arial Black"/>
          <w:b/>
          <w:sz w:val="28"/>
          <w:szCs w:val="28"/>
        </w:rPr>
        <w:t>PA: LUNG CANCER – CITY PAY WIFE 10% PENALTY</w:t>
      </w:r>
    </w:p>
    <w:p w14:paraId="752FCA0B" w14:textId="77777777" w:rsidR="00BF6110" w:rsidRDefault="00BF6110" w:rsidP="00BF6110">
      <w:pPr>
        <w:pStyle w:val="NoSpacing"/>
        <w:rPr>
          <w:b/>
        </w:rPr>
      </w:pPr>
    </w:p>
    <w:p w14:paraId="45670B7F" w14:textId="77777777" w:rsidR="00BF6110" w:rsidRPr="00BF6110" w:rsidRDefault="00BF6110" w:rsidP="00BF6110">
      <w:pPr>
        <w:pStyle w:val="NoSpacing"/>
        <w:rPr>
          <w:rFonts w:ascii="Times New Roman" w:hAnsi="Times New Roman"/>
          <w:bCs/>
          <w:sz w:val="24"/>
          <w:szCs w:val="24"/>
        </w:rPr>
      </w:pPr>
      <w:r w:rsidRPr="00BF6110">
        <w:rPr>
          <w:rFonts w:ascii="Times New Roman" w:hAnsi="Times New Roman"/>
          <w:sz w:val="24"/>
          <w:szCs w:val="24"/>
        </w:rPr>
        <w:t xml:space="preserve">On Dec. 24, 2024, in </w:t>
      </w:r>
      <w:r w:rsidRPr="00BF6110">
        <w:rPr>
          <w:rFonts w:ascii="Times New Roman" w:hAnsi="Times New Roman"/>
          <w:sz w:val="24"/>
          <w:szCs w:val="24"/>
          <w:u w:val="single"/>
        </w:rPr>
        <w:t>City of Philadelphia v. Wayne Deloatch and Independence Blue Cross</w:t>
      </w:r>
      <w:r w:rsidRPr="00BF6110">
        <w:rPr>
          <w:rFonts w:ascii="Times New Roman" w:hAnsi="Times New Roman"/>
          <w:sz w:val="24"/>
          <w:szCs w:val="24"/>
        </w:rPr>
        <w:t xml:space="preserve"> (Workers’ Compensation Appeal Board), the Commonwealth Court of Pennsylvania held (3 to 0) that City must reimburse the firefighter’s insurance company $124,680.22 for medical benefits paid to the firefighter, plus interest back to 2014, and also pay a 10% penalty to the wife of the deceased firefighter.  The Court referenced the PA </w:t>
      </w:r>
      <w:r w:rsidRPr="00BF6110">
        <w:rPr>
          <w:rFonts w:ascii="Times New Roman" w:hAnsi="Times New Roman"/>
          <w:sz w:val="24"/>
          <w:szCs w:val="24"/>
        </w:rPr>
        <w:lastRenderedPageBreak/>
        <w:t>statutory presumption law (July 7, 2011) in holding that the firefighter’s wife will receive 51% of Deloatch’s average weekly wage as of his death on September 26, 2019.</w:t>
      </w:r>
    </w:p>
    <w:p w14:paraId="1D30D896" w14:textId="77777777" w:rsidR="00BF6110" w:rsidRPr="00BF6110" w:rsidRDefault="00BF6110" w:rsidP="00BF6110">
      <w:pPr>
        <w:pStyle w:val="NoSpacing"/>
        <w:rPr>
          <w:rFonts w:ascii="Times New Roman" w:hAnsi="Times New Roman"/>
          <w:bCs/>
          <w:sz w:val="24"/>
          <w:szCs w:val="24"/>
        </w:rPr>
      </w:pPr>
    </w:p>
    <w:p w14:paraId="75F1B6F9" w14:textId="77777777" w:rsidR="00BF6110" w:rsidRPr="00BF6110" w:rsidRDefault="00BF6110" w:rsidP="00BF6110">
      <w:pPr>
        <w:pStyle w:val="NoSpacing"/>
        <w:rPr>
          <w:rFonts w:ascii="Times New Roman" w:hAnsi="Times New Roman"/>
          <w:bCs/>
          <w:sz w:val="24"/>
          <w:szCs w:val="24"/>
        </w:rPr>
      </w:pPr>
      <w:r w:rsidRPr="00BF6110">
        <w:rPr>
          <w:rFonts w:ascii="Times New Roman" w:hAnsi="Times New Roman"/>
          <w:sz w:val="24"/>
          <w:szCs w:val="24"/>
        </w:rPr>
        <w:t>The Court wrote:</w:t>
      </w:r>
    </w:p>
    <w:p w14:paraId="55056F68" w14:textId="77777777" w:rsidR="00BF6110" w:rsidRPr="00BF6110" w:rsidRDefault="00BF6110" w:rsidP="00BF6110">
      <w:pPr>
        <w:pStyle w:val="NoSpacing"/>
        <w:rPr>
          <w:rFonts w:ascii="Times New Roman" w:hAnsi="Times New Roman"/>
          <w:bCs/>
          <w:sz w:val="24"/>
          <w:szCs w:val="24"/>
        </w:rPr>
      </w:pPr>
    </w:p>
    <w:p w14:paraId="391B417C" w14:textId="4C8FD9D9" w:rsidR="006634F6" w:rsidRPr="00BF6110" w:rsidRDefault="00BF6110" w:rsidP="00BF6110">
      <w:pPr>
        <w:ind w:left="720"/>
        <w:rPr>
          <w:rFonts w:ascii="Times New Roman" w:hAnsi="Times New Roman"/>
          <w:b/>
          <w:sz w:val="24"/>
          <w:szCs w:val="24"/>
        </w:rPr>
      </w:pPr>
      <w:r w:rsidRPr="00BF6110">
        <w:rPr>
          <w:rFonts w:ascii="Times New Roman" w:hAnsi="Times New Roman"/>
          <w:sz w:val="24"/>
          <w:szCs w:val="24"/>
        </w:rPr>
        <w:t xml:space="preserve">“Accordingly, because Insurer is entitled to interest on its subrogation lien, and the subrogation lien was established as of October 21, 2014, when Insurer introduced it before WCJ [Worker’s Comp Judge] Timm, WCJ Lawrence did not err by ordering Employer to pay interest on the subrogation lien from October 21, 2014.” </w:t>
      </w:r>
      <w:hyperlink r:id="rId1035" w:history="1">
        <w:r w:rsidRPr="00BF6110">
          <w:rPr>
            <w:rStyle w:val="Hyperlink"/>
            <w:rFonts w:ascii="Times New Roman" w:hAnsi="Times New Roman"/>
            <w:sz w:val="24"/>
            <w:szCs w:val="24"/>
          </w:rPr>
          <w:t>https://cases.justia.com/pennsylvania/commonwealth-court/2024-541-and-589-c-d-2022.pdf?ts=1735057731</w:t>
        </w:r>
      </w:hyperlink>
    </w:p>
    <w:p w14:paraId="3445CF49" w14:textId="77777777" w:rsidR="00922A0A" w:rsidRDefault="00922A0A" w:rsidP="00922A0A">
      <w:pPr>
        <w:pStyle w:val="NoSpacing"/>
        <w:ind w:left="720"/>
        <w:rPr>
          <w:bCs/>
        </w:rPr>
      </w:pPr>
    </w:p>
    <w:p w14:paraId="752DE9A6" w14:textId="77777777" w:rsidR="00922A0A" w:rsidRPr="00922A0A" w:rsidRDefault="00922A0A" w:rsidP="00922A0A">
      <w:pPr>
        <w:pStyle w:val="NoSpacing"/>
        <w:rPr>
          <w:rFonts w:ascii="Times New Roman" w:hAnsi="Times New Roman"/>
          <w:bCs/>
          <w:sz w:val="24"/>
          <w:szCs w:val="24"/>
        </w:rPr>
      </w:pPr>
      <w:r w:rsidRPr="00922A0A">
        <w:rPr>
          <w:rFonts w:ascii="Times New Roman" w:hAnsi="Times New Roman"/>
          <w:sz w:val="24"/>
          <w:szCs w:val="24"/>
        </w:rPr>
        <w:t>HOLDING:</w:t>
      </w:r>
    </w:p>
    <w:p w14:paraId="7D69861A" w14:textId="77777777" w:rsidR="00922A0A" w:rsidRPr="00922A0A" w:rsidRDefault="00922A0A" w:rsidP="00922A0A">
      <w:pPr>
        <w:pStyle w:val="NoSpacing"/>
        <w:rPr>
          <w:rFonts w:ascii="Times New Roman" w:hAnsi="Times New Roman"/>
          <w:bCs/>
          <w:sz w:val="24"/>
          <w:szCs w:val="24"/>
        </w:rPr>
      </w:pPr>
    </w:p>
    <w:p w14:paraId="544A9CF0" w14:textId="77777777" w:rsidR="00922A0A" w:rsidRPr="00922A0A" w:rsidRDefault="00922A0A" w:rsidP="00922A0A">
      <w:pPr>
        <w:pStyle w:val="NoSpacing"/>
        <w:ind w:left="720"/>
        <w:rPr>
          <w:rFonts w:ascii="Times New Roman" w:hAnsi="Times New Roman"/>
          <w:bCs/>
          <w:sz w:val="24"/>
          <w:szCs w:val="24"/>
        </w:rPr>
      </w:pPr>
      <w:r w:rsidRPr="00922A0A">
        <w:rPr>
          <w:rFonts w:ascii="Times New Roman" w:hAnsi="Times New Roman"/>
          <w:sz w:val="24"/>
          <w:szCs w:val="24"/>
        </w:rPr>
        <w:t>“Once this Court reversed the Board’s opinion and order, the granting of the underlying Claim Petition was reinstated; thus, the ‘entitlement to medical expenses or a lien for</w:t>
      </w:r>
    </w:p>
    <w:p w14:paraId="4D738904" w14:textId="77777777" w:rsidR="00922A0A" w:rsidRPr="00922A0A" w:rsidRDefault="00922A0A" w:rsidP="00922A0A">
      <w:pPr>
        <w:pStyle w:val="NoSpacing"/>
        <w:ind w:left="720"/>
        <w:rPr>
          <w:rFonts w:ascii="Times New Roman" w:hAnsi="Times New Roman"/>
          <w:bCs/>
          <w:sz w:val="24"/>
          <w:szCs w:val="24"/>
        </w:rPr>
      </w:pPr>
      <w:r w:rsidRPr="00922A0A">
        <w:rPr>
          <w:rFonts w:ascii="Times New Roman" w:hAnsi="Times New Roman"/>
          <w:sz w:val="24"/>
          <w:szCs w:val="24"/>
        </w:rPr>
        <w:t xml:space="preserve">medical expenses paid on [Deloatch’s] behalf’ was also reinstated…. Accordingly, Insurer did not waive its right to seek subrogation by not appealing from the Board’s December 11, </w:t>
      </w:r>
      <w:proofErr w:type="gramStart"/>
      <w:r w:rsidRPr="00922A0A">
        <w:rPr>
          <w:rFonts w:ascii="Times New Roman" w:hAnsi="Times New Roman"/>
          <w:sz w:val="24"/>
          <w:szCs w:val="24"/>
        </w:rPr>
        <w:t>2018</w:t>
      </w:r>
      <w:proofErr w:type="gramEnd"/>
      <w:r w:rsidRPr="00922A0A">
        <w:rPr>
          <w:rFonts w:ascii="Times New Roman" w:hAnsi="Times New Roman"/>
          <w:sz w:val="24"/>
          <w:szCs w:val="24"/>
        </w:rPr>
        <w:t xml:space="preserve"> opinion and order.”</w:t>
      </w:r>
    </w:p>
    <w:p w14:paraId="645C3285" w14:textId="77777777" w:rsidR="00922A0A" w:rsidRPr="00922A0A" w:rsidRDefault="00922A0A" w:rsidP="00922A0A">
      <w:pPr>
        <w:pStyle w:val="NoSpacing"/>
        <w:ind w:left="720"/>
        <w:rPr>
          <w:rFonts w:ascii="Times New Roman" w:hAnsi="Times New Roman"/>
          <w:bCs/>
          <w:sz w:val="24"/>
          <w:szCs w:val="24"/>
        </w:rPr>
      </w:pPr>
    </w:p>
    <w:p w14:paraId="400B10E0" w14:textId="77777777" w:rsidR="00922A0A" w:rsidRPr="00922A0A" w:rsidRDefault="00922A0A" w:rsidP="00922A0A">
      <w:pPr>
        <w:pStyle w:val="NoSpacing"/>
        <w:rPr>
          <w:rFonts w:ascii="Times New Roman" w:hAnsi="Times New Roman"/>
          <w:b/>
          <w:sz w:val="24"/>
          <w:szCs w:val="24"/>
        </w:rPr>
      </w:pPr>
      <w:r w:rsidRPr="00922A0A">
        <w:rPr>
          <w:rFonts w:ascii="Times New Roman" w:hAnsi="Times New Roman"/>
          <w:b/>
          <w:sz w:val="24"/>
          <w:szCs w:val="24"/>
        </w:rPr>
        <w:t xml:space="preserve">Legal Lesson Learned:  Employers continue to litigate firefighter cancer claims despite a statutory presumption. </w:t>
      </w:r>
    </w:p>
    <w:p w14:paraId="0393452F" w14:textId="77777777" w:rsidR="00922A0A" w:rsidRPr="00922A0A" w:rsidRDefault="00922A0A" w:rsidP="00922A0A">
      <w:pPr>
        <w:pStyle w:val="NoSpacing"/>
        <w:ind w:left="720"/>
        <w:rPr>
          <w:rFonts w:ascii="Times New Roman" w:hAnsi="Times New Roman"/>
          <w:bCs/>
          <w:sz w:val="24"/>
          <w:szCs w:val="24"/>
        </w:rPr>
      </w:pPr>
    </w:p>
    <w:p w14:paraId="2327851C" w14:textId="77777777" w:rsidR="009C6350" w:rsidRDefault="009C6350" w:rsidP="00EF1133">
      <w:pPr>
        <w:rPr>
          <w:rFonts w:ascii="Arial Black" w:hAnsi="Arial Black"/>
          <w:b/>
          <w:sz w:val="24"/>
          <w:szCs w:val="24"/>
        </w:rPr>
      </w:pPr>
    </w:p>
    <w:p w14:paraId="0AEEE8B9" w14:textId="67D3D261" w:rsidR="003B4DA5" w:rsidRDefault="003B4DA5"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6</w:t>
      </w:r>
    </w:p>
    <w:p w14:paraId="20E82761" w14:textId="77777777" w:rsidR="002972FF" w:rsidRPr="00CB1548" w:rsidRDefault="002972FF" w:rsidP="002972FF">
      <w:pPr>
        <w:pStyle w:val="NoSpacing"/>
        <w:rPr>
          <w:rFonts w:ascii="Arial Black" w:hAnsi="Arial Black"/>
          <w:b/>
          <w:sz w:val="28"/>
          <w:szCs w:val="28"/>
        </w:rPr>
      </w:pPr>
      <w:r>
        <w:rPr>
          <w:rFonts w:ascii="Arial Black" w:hAnsi="Arial Black"/>
          <w:b/>
          <w:sz w:val="28"/>
          <w:szCs w:val="28"/>
        </w:rPr>
        <w:t xml:space="preserve">IL: PROSTATE CANCER – NO WORKER’S COMP – FAMILY HISTORY – CONFLICTING EXPERTS / SCIENTIFIC STUDIES </w:t>
      </w:r>
    </w:p>
    <w:p w14:paraId="053B73B5" w14:textId="77777777" w:rsidR="002972FF" w:rsidRDefault="002972FF" w:rsidP="002972FF">
      <w:pPr>
        <w:pStyle w:val="NoSpacing"/>
        <w:ind w:firstLine="720"/>
        <w:rPr>
          <w:b/>
        </w:rPr>
      </w:pPr>
    </w:p>
    <w:p w14:paraId="09B1789E" w14:textId="54D29476" w:rsidR="003B4DA5" w:rsidRPr="00C1151D" w:rsidRDefault="002972FF" w:rsidP="002972FF">
      <w:pPr>
        <w:rPr>
          <w:rStyle w:val="Hyperlink"/>
          <w:rFonts w:ascii="Times New Roman" w:hAnsi="Times New Roman"/>
          <w:sz w:val="24"/>
          <w:szCs w:val="24"/>
        </w:rPr>
      </w:pPr>
      <w:r w:rsidRPr="00C1151D">
        <w:rPr>
          <w:rFonts w:ascii="Times New Roman" w:hAnsi="Times New Roman"/>
          <w:sz w:val="24"/>
          <w:szCs w:val="24"/>
        </w:rPr>
        <w:t xml:space="preserve">On Nov. 22, 2024, in </w:t>
      </w:r>
      <w:r w:rsidRPr="00C1151D">
        <w:rPr>
          <w:rFonts w:ascii="Times New Roman" w:hAnsi="Times New Roman"/>
          <w:sz w:val="24"/>
          <w:szCs w:val="24"/>
          <w:u w:val="single"/>
        </w:rPr>
        <w:t>Thomas Mangiameli v. The Illinois Workers’ Compensation Commission, et al. (Village of Hoffman Estates)</w:t>
      </w:r>
      <w:r w:rsidRPr="00C1151D">
        <w:rPr>
          <w:rFonts w:ascii="Times New Roman" w:hAnsi="Times New Roman"/>
          <w:sz w:val="24"/>
          <w:szCs w:val="24"/>
        </w:rPr>
        <w:t xml:space="preserve">, the Appellate Court of Illinois, First District, Worker’s Compensation Di vision (held 2 to 1, unpublished decision) held that the retired firefighter was properly denied worker’s comp. for his prostate cancer (cancer detected in 2017; he retired in 2018).  The Court wrote: “We agree with the dissent that the Act affords special protections to  firefighters ‘because Illinois values the vital services provided by them and because it is understood that, due to the nature of their work, they come into contact with carcinogens, chemicals, pathogens, and other substances which are detrimental to their health and to which the ordinary person is not regularly exposed.’ We note, however, that </w:t>
      </w:r>
      <w:proofErr w:type="gramStart"/>
      <w:r w:rsidRPr="00C1151D">
        <w:rPr>
          <w:rFonts w:ascii="Times New Roman" w:hAnsi="Times New Roman"/>
          <w:sz w:val="24"/>
          <w:szCs w:val="24"/>
        </w:rPr>
        <w:t>the</w:t>
      </w:r>
      <w:r w:rsidRPr="00C1151D">
        <w:rPr>
          <w:rFonts w:ascii="Times New Roman" w:hAnsi="Times New Roman"/>
          <w:bCs/>
          <w:sz w:val="24"/>
          <w:szCs w:val="24"/>
        </w:rPr>
        <w:t xml:space="preserve"> </w:t>
      </w:r>
      <w:r w:rsidRPr="00C1151D">
        <w:rPr>
          <w:rFonts w:ascii="Times New Roman" w:hAnsi="Times New Roman"/>
          <w:sz w:val="24"/>
          <w:szCs w:val="24"/>
        </w:rPr>
        <w:t>scientific</w:t>
      </w:r>
      <w:proofErr w:type="gramEnd"/>
      <w:r w:rsidRPr="00C1151D">
        <w:rPr>
          <w:rFonts w:ascii="Times New Roman" w:hAnsi="Times New Roman"/>
          <w:sz w:val="24"/>
          <w:szCs w:val="24"/>
        </w:rPr>
        <w:t xml:space="preserve"> studies, </w:t>
      </w:r>
      <w:proofErr w:type="gramStart"/>
      <w:r w:rsidRPr="00C1151D">
        <w:rPr>
          <w:rFonts w:ascii="Times New Roman" w:hAnsi="Times New Roman"/>
          <w:sz w:val="24"/>
          <w:szCs w:val="24"/>
        </w:rPr>
        <w:t>at this point in time</w:t>
      </w:r>
      <w:proofErr w:type="gramEnd"/>
      <w:r w:rsidRPr="00C1151D">
        <w:rPr>
          <w:rFonts w:ascii="Times New Roman" w:hAnsi="Times New Roman"/>
          <w:sz w:val="24"/>
          <w:szCs w:val="24"/>
        </w:rPr>
        <w:t xml:space="preserve">, regarding the correlation between the development of prostate cancer and the occupation of a firefighter are evolving. We reiterate that, in the present case, claimant had a family history of prostate cancer which doubled his risk for developing the cancer. Under these circumstances, we will not usurp the function of the Commission to weigh the evidence and make credibility determinations.” </w:t>
      </w:r>
      <w:hyperlink r:id="rId1036" w:history="1">
        <w:r w:rsidRPr="00C1151D">
          <w:rPr>
            <w:rStyle w:val="Hyperlink"/>
            <w:rFonts w:ascii="Times New Roman" w:hAnsi="Times New Roman"/>
            <w:sz w:val="24"/>
            <w:szCs w:val="24"/>
          </w:rPr>
          <w:t>https://ilcourtsaudio.blob.core.windows.net/antilles-resources/resources/19fc956b-c59f-4d15-932a-20de8f3f1feb/Mangiameli%20v.%20Illinois%20Workers%27%20Compensation%20Comm%27n,%202024%20IL%20App%20(1st)%20231397WC-U.pdf</w:t>
        </w:r>
      </w:hyperlink>
    </w:p>
    <w:p w14:paraId="478E3430" w14:textId="4AF28117" w:rsidR="00C1151D" w:rsidRPr="00C1151D" w:rsidRDefault="00C1151D" w:rsidP="00BE6A72">
      <w:pPr>
        <w:pStyle w:val="NoSpacing"/>
        <w:rPr>
          <w:rFonts w:ascii="Times New Roman" w:hAnsi="Times New Roman"/>
          <w:bCs/>
          <w:sz w:val="24"/>
          <w:szCs w:val="24"/>
        </w:rPr>
      </w:pPr>
      <w:r w:rsidRPr="00C1151D">
        <w:rPr>
          <w:rFonts w:ascii="Times New Roman" w:hAnsi="Times New Roman"/>
          <w:bCs/>
          <w:sz w:val="24"/>
          <w:szCs w:val="24"/>
        </w:rPr>
        <w:t>Dissent.</w:t>
      </w:r>
    </w:p>
    <w:p w14:paraId="604EBC82" w14:textId="77777777" w:rsidR="00C1151D" w:rsidRPr="00C1151D" w:rsidRDefault="00C1151D" w:rsidP="00BE6A72">
      <w:pPr>
        <w:pStyle w:val="NoSpacing"/>
        <w:rPr>
          <w:rFonts w:ascii="Times New Roman" w:hAnsi="Times New Roman"/>
          <w:b/>
          <w:sz w:val="24"/>
          <w:szCs w:val="24"/>
        </w:rPr>
      </w:pPr>
    </w:p>
    <w:p w14:paraId="384EABBF" w14:textId="3574E3AA" w:rsidR="00BE6A72" w:rsidRPr="00C1151D" w:rsidRDefault="00BE6A72" w:rsidP="00BE6A72">
      <w:pPr>
        <w:pStyle w:val="NoSpacing"/>
        <w:rPr>
          <w:rFonts w:ascii="Times New Roman" w:hAnsi="Times New Roman"/>
          <w:b/>
          <w:sz w:val="24"/>
          <w:szCs w:val="24"/>
        </w:rPr>
      </w:pPr>
      <w:r w:rsidRPr="00C1151D">
        <w:rPr>
          <w:rFonts w:ascii="Times New Roman" w:hAnsi="Times New Roman"/>
          <w:b/>
          <w:sz w:val="24"/>
          <w:szCs w:val="24"/>
        </w:rPr>
        <w:t xml:space="preserve">Legal Lesson Learned: Conflicting experts and scientific studies; court won’t overturn Commission. </w:t>
      </w:r>
    </w:p>
    <w:p w14:paraId="2CFB1B2F" w14:textId="77777777" w:rsidR="00BE6A72" w:rsidRPr="00C1151D" w:rsidRDefault="00BE6A72" w:rsidP="002972FF">
      <w:pPr>
        <w:rPr>
          <w:rFonts w:ascii="Times New Roman" w:hAnsi="Times New Roman"/>
          <w:b/>
          <w:sz w:val="24"/>
          <w:szCs w:val="24"/>
        </w:rPr>
      </w:pPr>
    </w:p>
    <w:p w14:paraId="08AB4E82" w14:textId="77777777" w:rsidR="003B4DA5" w:rsidRDefault="003B4DA5" w:rsidP="00EF1133">
      <w:pPr>
        <w:rPr>
          <w:rFonts w:ascii="Arial Black" w:hAnsi="Arial Black"/>
          <w:b/>
          <w:sz w:val="24"/>
          <w:szCs w:val="24"/>
        </w:rPr>
      </w:pPr>
    </w:p>
    <w:p w14:paraId="78BDDF17" w14:textId="4EC4E100" w:rsidR="009C6350" w:rsidRDefault="009C6350"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5</w:t>
      </w:r>
    </w:p>
    <w:p w14:paraId="18C0D0F9" w14:textId="77777777" w:rsidR="00A25CDF" w:rsidRDefault="00A25CDF" w:rsidP="00A25CDF">
      <w:pPr>
        <w:pStyle w:val="NoSpacing"/>
        <w:rPr>
          <w:b/>
        </w:rPr>
      </w:pPr>
      <w:r>
        <w:rPr>
          <w:rFonts w:ascii="Arial Black" w:hAnsi="Arial Black"/>
          <w:b/>
          <w:sz w:val="28"/>
          <w:szCs w:val="28"/>
        </w:rPr>
        <w:t>PA: LEUKEMIA – VOL. FF GETS WORKERS COMP – DIESEL EXHAUST / BENZENE - EVEN IF FEW INTERIOR FIRES</w:t>
      </w:r>
    </w:p>
    <w:p w14:paraId="381D8D91" w14:textId="77777777" w:rsidR="00A25CDF" w:rsidRDefault="00A25CDF" w:rsidP="00A25CDF">
      <w:pPr>
        <w:pStyle w:val="NoSpacing"/>
        <w:ind w:firstLine="720"/>
        <w:rPr>
          <w:b/>
        </w:rPr>
      </w:pPr>
    </w:p>
    <w:p w14:paraId="60CCB47D" w14:textId="77777777" w:rsidR="00A25CDF" w:rsidRPr="003B4DA5" w:rsidRDefault="00A25CDF" w:rsidP="00A25CDF">
      <w:pPr>
        <w:pStyle w:val="NoSpacing"/>
        <w:rPr>
          <w:rFonts w:ascii="Times New Roman" w:hAnsi="Times New Roman"/>
          <w:sz w:val="24"/>
          <w:szCs w:val="24"/>
        </w:rPr>
      </w:pPr>
      <w:r w:rsidRPr="003B4DA5">
        <w:rPr>
          <w:rFonts w:ascii="Times New Roman" w:hAnsi="Times New Roman"/>
          <w:sz w:val="24"/>
          <w:szCs w:val="24"/>
        </w:rPr>
        <w:t xml:space="preserve">On Nov. 19, 2024, in </w:t>
      </w:r>
      <w:r w:rsidRPr="003B4DA5">
        <w:rPr>
          <w:rFonts w:ascii="Times New Roman" w:hAnsi="Times New Roman"/>
          <w:sz w:val="24"/>
          <w:szCs w:val="24"/>
          <w:u w:val="single"/>
        </w:rPr>
        <w:t>Borough of Hollidaysburg v. Paul Detwiler (Workers’ Compensation Appeal Board</w:t>
      </w:r>
      <w:r w:rsidRPr="003B4DA5">
        <w:rPr>
          <w:rFonts w:ascii="Times New Roman" w:hAnsi="Times New Roman"/>
          <w:sz w:val="24"/>
          <w:szCs w:val="24"/>
        </w:rPr>
        <w:t>), Commonwealth Court of Pennsylvania held (2 to 1) that the firefighter was properly awarded worker’s comp.  The Court wrote: “The second prong of 301(f)’s test for the presumption requires a claimant to ‘establish a direct exposure to a carcinogen referred to in [S]</w:t>
      </w:r>
      <w:proofErr w:type="spellStart"/>
      <w:r w:rsidRPr="003B4DA5">
        <w:rPr>
          <w:rFonts w:ascii="Times New Roman" w:hAnsi="Times New Roman"/>
          <w:sz w:val="24"/>
          <w:szCs w:val="24"/>
        </w:rPr>
        <w:t>ection</w:t>
      </w:r>
      <w:proofErr w:type="spellEnd"/>
      <w:r w:rsidRPr="003B4DA5">
        <w:rPr>
          <w:rFonts w:ascii="Times New Roman" w:hAnsi="Times New Roman"/>
          <w:sz w:val="24"/>
          <w:szCs w:val="24"/>
        </w:rPr>
        <w:t xml:space="preserve"> 108(r) relating to cancer by a firefighter.’ The relevant carcinogen in this case is benzene.”</w:t>
      </w:r>
    </w:p>
    <w:p w14:paraId="2834FDD2" w14:textId="77777777" w:rsidR="00A25CDF" w:rsidRPr="003B4DA5" w:rsidRDefault="00A25CDF" w:rsidP="00A25CDF">
      <w:pPr>
        <w:pStyle w:val="NoSpacing"/>
        <w:rPr>
          <w:rFonts w:ascii="Times New Roman" w:hAnsi="Times New Roman"/>
          <w:bCs/>
          <w:sz w:val="24"/>
          <w:szCs w:val="24"/>
        </w:rPr>
      </w:pPr>
      <w:hyperlink r:id="rId1037" w:history="1">
        <w:r w:rsidRPr="003B4DA5">
          <w:rPr>
            <w:rStyle w:val="Hyperlink"/>
            <w:rFonts w:ascii="Times New Roman" w:hAnsi="Times New Roman"/>
            <w:sz w:val="24"/>
            <w:szCs w:val="24"/>
          </w:rPr>
          <w:t>https://cases.justia.com/pennsylvania/commonwealth-court/2024-739-c-d-2023.pdf?ts=1732034168</w:t>
        </w:r>
      </w:hyperlink>
      <w:r w:rsidRPr="003B4DA5">
        <w:rPr>
          <w:rFonts w:ascii="Times New Roman" w:hAnsi="Times New Roman"/>
          <w:sz w:val="24"/>
          <w:szCs w:val="24"/>
        </w:rPr>
        <w:t xml:space="preserve"> </w:t>
      </w:r>
    </w:p>
    <w:p w14:paraId="6F3AF292" w14:textId="77777777" w:rsidR="003B4DA5" w:rsidRDefault="003B4DA5" w:rsidP="00EF1133">
      <w:pPr>
        <w:rPr>
          <w:rFonts w:ascii="Times New Roman" w:hAnsi="Times New Roman"/>
          <w:bCs/>
          <w:sz w:val="24"/>
          <w:szCs w:val="24"/>
        </w:rPr>
      </w:pPr>
    </w:p>
    <w:p w14:paraId="3345F1E2" w14:textId="3C85AC97" w:rsidR="003B4DA5" w:rsidRPr="003B4DA5" w:rsidRDefault="003B4DA5" w:rsidP="00EF1133">
      <w:pPr>
        <w:rPr>
          <w:rFonts w:ascii="Times New Roman" w:hAnsi="Times New Roman"/>
          <w:bCs/>
          <w:sz w:val="24"/>
          <w:szCs w:val="24"/>
        </w:rPr>
      </w:pPr>
      <w:r w:rsidRPr="003B4DA5">
        <w:rPr>
          <w:rFonts w:ascii="Times New Roman" w:hAnsi="Times New Roman"/>
          <w:bCs/>
          <w:sz w:val="24"/>
          <w:szCs w:val="24"/>
        </w:rPr>
        <w:t>Dissent</w:t>
      </w:r>
    </w:p>
    <w:p w14:paraId="382EF0C8" w14:textId="77777777" w:rsidR="003B4DA5" w:rsidRPr="003B4DA5" w:rsidRDefault="003B4DA5" w:rsidP="003B4DA5">
      <w:pPr>
        <w:pStyle w:val="NoSpacing"/>
        <w:rPr>
          <w:rFonts w:ascii="Times New Roman" w:hAnsi="Times New Roman"/>
          <w:b/>
          <w:sz w:val="24"/>
          <w:szCs w:val="24"/>
        </w:rPr>
      </w:pPr>
      <w:r w:rsidRPr="003B4DA5">
        <w:rPr>
          <w:rFonts w:ascii="Times New Roman" w:hAnsi="Times New Roman"/>
          <w:b/>
          <w:sz w:val="24"/>
          <w:szCs w:val="24"/>
        </w:rPr>
        <w:t xml:space="preserve">Legal Lesson Learned: With the state’s statutory presumption, there is no requirement that the firefighter prove he had extensive interior firefighting experience. </w:t>
      </w:r>
    </w:p>
    <w:p w14:paraId="451B022A" w14:textId="77777777" w:rsidR="003B4DA5" w:rsidRDefault="003B4DA5" w:rsidP="00EF1133">
      <w:pPr>
        <w:rPr>
          <w:rFonts w:ascii="Arial Black" w:hAnsi="Arial Black"/>
          <w:b/>
          <w:sz w:val="24"/>
          <w:szCs w:val="24"/>
        </w:rPr>
      </w:pPr>
    </w:p>
    <w:p w14:paraId="0AABA937" w14:textId="77777777" w:rsidR="009C6350" w:rsidRDefault="009C6350" w:rsidP="00EF1133">
      <w:pPr>
        <w:rPr>
          <w:rFonts w:ascii="Arial Black" w:hAnsi="Arial Black"/>
          <w:b/>
          <w:sz w:val="24"/>
          <w:szCs w:val="24"/>
        </w:rPr>
      </w:pPr>
    </w:p>
    <w:p w14:paraId="22FE6C5D" w14:textId="16C899D8" w:rsidR="009C2906" w:rsidRDefault="009C2906"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4</w:t>
      </w:r>
    </w:p>
    <w:p w14:paraId="6F169179" w14:textId="77777777" w:rsidR="00840283" w:rsidRPr="009E40D5" w:rsidRDefault="00840283" w:rsidP="00840283">
      <w:pPr>
        <w:pStyle w:val="NoSpacing"/>
        <w:rPr>
          <w:rFonts w:ascii="Arial Black" w:hAnsi="Arial Black"/>
          <w:sz w:val="28"/>
          <w:szCs w:val="28"/>
        </w:rPr>
      </w:pPr>
      <w:r>
        <w:rPr>
          <w:rFonts w:ascii="Arial Black" w:hAnsi="Arial Black"/>
          <w:sz w:val="28"/>
          <w:szCs w:val="28"/>
        </w:rPr>
        <w:t xml:space="preserve">IL:  ON-DUTY PENSION - 2 ANKLE INJURIES – NEVER FULLY RECOVERED / DIDN’T HIDE ALSO FARMER – BOARD REV. </w:t>
      </w:r>
    </w:p>
    <w:p w14:paraId="4FD7D00F" w14:textId="77777777" w:rsidR="00840283" w:rsidRDefault="00840283" w:rsidP="00840283">
      <w:pPr>
        <w:pStyle w:val="NoSpacing"/>
      </w:pPr>
    </w:p>
    <w:p w14:paraId="2555A817" w14:textId="77777777" w:rsidR="00840283" w:rsidRPr="00456DFA" w:rsidRDefault="00840283" w:rsidP="00840283">
      <w:pPr>
        <w:pStyle w:val="NoSpacing"/>
        <w:rPr>
          <w:rFonts w:ascii="Times New Roman" w:hAnsi="Times New Roman"/>
          <w:sz w:val="24"/>
          <w:szCs w:val="24"/>
        </w:rPr>
      </w:pPr>
      <w:r w:rsidRPr="00456DFA">
        <w:rPr>
          <w:rFonts w:ascii="Times New Roman" w:hAnsi="Times New Roman"/>
          <w:sz w:val="24"/>
          <w:szCs w:val="24"/>
        </w:rPr>
        <w:t xml:space="preserve">On Nov. 15, 2024, in </w:t>
      </w:r>
      <w:r w:rsidRPr="00456DFA">
        <w:rPr>
          <w:rFonts w:ascii="Times New Roman" w:hAnsi="Times New Roman"/>
          <w:sz w:val="24"/>
          <w:szCs w:val="24"/>
          <w:u w:val="single"/>
        </w:rPr>
        <w:t>Timothy R. Barz v. The Village of Hazel Crest Firefighters Pension Fund, et al</w:t>
      </w:r>
      <w:r w:rsidRPr="00456DFA">
        <w:rPr>
          <w:rFonts w:ascii="Times New Roman" w:hAnsi="Times New Roman"/>
          <w:sz w:val="24"/>
          <w:szCs w:val="24"/>
        </w:rPr>
        <w:t xml:space="preserve">., the Appellate Courts of Illinois, First District held (3 to 0) that trail court judge properly overruled the Pension Board, which had only granted him a non-duty disability pension of 50% of his salary.  The Court wrote: “It is clear to us that the Board denied Barz an on-duty pension because it thought he lied to the medical treaters and evaluators about his farming operation by not disclosing it. Barz testified he mentioned it, and it is clear from the medical records and surveillance videos that at least some of the medical providers knew he was walking on uneven surfaces at home, working in his yard, operating equipment, and keeping active overall. No one testified Barz lied or concealed anything.” </w:t>
      </w:r>
      <w:hyperlink r:id="rId1038" w:history="1">
        <w:r w:rsidRPr="00456DFA">
          <w:rPr>
            <w:rStyle w:val="Hyperlink"/>
            <w:rFonts w:ascii="Times New Roman" w:hAnsi="Times New Roman"/>
            <w:sz w:val="24"/>
            <w:szCs w:val="24"/>
          </w:rPr>
          <w:t>https://ilcourtsaudio.blob.core.windows.net/antilles-resources/resources/cb295fe3-77b3-494e-ba2f-aabcd601915c/Barz%20v.%20Village%20of%20Hazel%20Crest%20Firefighters%20Pension%20Fund,%202024%20IL%20App%20(1st)%20240137-U.pdf</w:t>
        </w:r>
      </w:hyperlink>
      <w:r w:rsidRPr="00456DFA">
        <w:rPr>
          <w:rFonts w:ascii="Times New Roman" w:hAnsi="Times New Roman"/>
          <w:sz w:val="24"/>
          <w:szCs w:val="24"/>
        </w:rPr>
        <w:t xml:space="preserve"> </w:t>
      </w:r>
    </w:p>
    <w:p w14:paraId="621E4F9F" w14:textId="77777777" w:rsidR="00840283" w:rsidRPr="00456DFA" w:rsidRDefault="00840283" w:rsidP="00840283">
      <w:pPr>
        <w:pStyle w:val="NoSpacing"/>
        <w:rPr>
          <w:rFonts w:ascii="Times New Roman" w:hAnsi="Times New Roman"/>
          <w:sz w:val="24"/>
          <w:szCs w:val="24"/>
        </w:rPr>
      </w:pPr>
    </w:p>
    <w:p w14:paraId="6B89879F" w14:textId="77777777" w:rsidR="00456DFA" w:rsidRPr="00456DFA" w:rsidRDefault="00456DFA" w:rsidP="00456DFA">
      <w:pPr>
        <w:pStyle w:val="NoSpacing"/>
        <w:rPr>
          <w:rFonts w:ascii="Times New Roman" w:hAnsi="Times New Roman"/>
          <w:b/>
          <w:sz w:val="24"/>
          <w:szCs w:val="24"/>
        </w:rPr>
      </w:pPr>
      <w:r w:rsidRPr="00456DFA">
        <w:rPr>
          <w:rFonts w:ascii="Times New Roman" w:hAnsi="Times New Roman"/>
          <w:b/>
          <w:sz w:val="24"/>
          <w:szCs w:val="24"/>
        </w:rPr>
        <w:t>Legal Lesson Learned:   Board reversed – “no competent evidence supports the Board’s findings that Barz fully recovered following his second 2018 injury.”</w:t>
      </w:r>
    </w:p>
    <w:p w14:paraId="4E4C1E4B" w14:textId="77777777" w:rsidR="009C2906" w:rsidRPr="00456DFA" w:rsidRDefault="009C2906" w:rsidP="00EF1133">
      <w:pPr>
        <w:rPr>
          <w:rFonts w:ascii="Times New Roman" w:hAnsi="Times New Roman"/>
          <w:b/>
          <w:sz w:val="24"/>
          <w:szCs w:val="24"/>
        </w:rPr>
      </w:pPr>
    </w:p>
    <w:p w14:paraId="463BF82F" w14:textId="2D718893" w:rsidR="005D74B5" w:rsidRDefault="00066F05"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3</w:t>
      </w:r>
    </w:p>
    <w:p w14:paraId="4CB0663C" w14:textId="0772E0B1" w:rsidR="00311857" w:rsidRPr="004E2ADB" w:rsidRDefault="00311857" w:rsidP="00311857">
      <w:pPr>
        <w:pStyle w:val="NoSpacing"/>
        <w:rPr>
          <w:rFonts w:ascii="Arial Black" w:hAnsi="Arial Black"/>
          <w:b/>
          <w:bCs/>
          <w:sz w:val="28"/>
          <w:szCs w:val="28"/>
        </w:rPr>
      </w:pPr>
      <w:r w:rsidRPr="004E2ADB">
        <w:rPr>
          <w:rFonts w:ascii="Arial Black" w:hAnsi="Arial Black"/>
          <w:b/>
          <w:bCs/>
          <w:sz w:val="28"/>
          <w:szCs w:val="28"/>
        </w:rPr>
        <w:lastRenderedPageBreak/>
        <w:t xml:space="preserve">VA: AGE DISCRIMINATION NOT PROVEN – BC AGE </w:t>
      </w:r>
      <w:r w:rsidR="00D704A4" w:rsidRPr="004E2ADB">
        <w:rPr>
          <w:rFonts w:ascii="Arial Black" w:hAnsi="Arial Black"/>
          <w:b/>
          <w:bCs/>
          <w:sz w:val="28"/>
          <w:szCs w:val="28"/>
        </w:rPr>
        <w:t>58</w:t>
      </w:r>
      <w:r w:rsidRPr="004E2ADB">
        <w:rPr>
          <w:rFonts w:ascii="Arial Black" w:hAnsi="Arial Black"/>
          <w:b/>
          <w:bCs/>
          <w:sz w:val="28"/>
          <w:szCs w:val="28"/>
        </w:rPr>
        <w:t xml:space="preserve"> – FIRED FOR UNAUTHORIZED PURCHASE OF BRUSH TRUCK </w:t>
      </w:r>
    </w:p>
    <w:p w14:paraId="264EECAE" w14:textId="77777777" w:rsidR="00311857" w:rsidRPr="00FC6D48" w:rsidRDefault="00311857" w:rsidP="00311857">
      <w:pPr>
        <w:pStyle w:val="NoSpacing"/>
        <w:rPr>
          <w:rFonts w:ascii="Times New Roman" w:hAnsi="Times New Roman"/>
          <w:sz w:val="24"/>
          <w:szCs w:val="24"/>
        </w:rPr>
      </w:pPr>
    </w:p>
    <w:p w14:paraId="3CDAA3BB" w14:textId="77777777" w:rsidR="00311857" w:rsidRPr="00FC6D48" w:rsidRDefault="00311857" w:rsidP="00311857">
      <w:pPr>
        <w:pStyle w:val="NoSpacing"/>
        <w:rPr>
          <w:rFonts w:ascii="Times New Roman" w:hAnsi="Times New Roman"/>
          <w:sz w:val="24"/>
          <w:szCs w:val="24"/>
        </w:rPr>
      </w:pPr>
      <w:r w:rsidRPr="00FC6D48">
        <w:rPr>
          <w:rFonts w:ascii="Times New Roman" w:hAnsi="Times New Roman"/>
          <w:sz w:val="24"/>
          <w:szCs w:val="24"/>
        </w:rPr>
        <w:t xml:space="preserve">On Oct. 25, 2024, in </w:t>
      </w:r>
      <w:r w:rsidRPr="00FC6D48">
        <w:rPr>
          <w:rFonts w:ascii="Times New Roman" w:hAnsi="Times New Roman"/>
          <w:sz w:val="24"/>
          <w:szCs w:val="24"/>
          <w:u w:val="single"/>
        </w:rPr>
        <w:t>Clay O’Neal Fitzgerald v. Botetourt County, Virginia</w:t>
      </w:r>
      <w:r w:rsidRPr="00FC6D48">
        <w:rPr>
          <w:rFonts w:ascii="Times New Roman" w:hAnsi="Times New Roman"/>
          <w:sz w:val="24"/>
          <w:szCs w:val="24"/>
        </w:rPr>
        <w:t xml:space="preserve">, the U.S. Court of Appeals for the Fourth Circuit (Richmond, VA) held (3 to 0; unpublished opinion): “Plaintiff-appellant Clay O’Neal Fitzgerald alleges that his former employer, Botetourt County, Virginia, terminated him in retaliation for his complaints about age discrimination. The district court granted Botetourt County’s motion for summary judgment, finding that Fitzgerald failed to produce sufficient evidence under the McDonnell Douglas framework to show that the County’s proffered justification for terminating him was pretextual. Because we agree that no reasonable jury could conclude that the County’s legitimate non-retaliatory reason for Fitzgerald’s termination was mere pretext, we affirm. *** Per the County, Fitzgerald neither had ‘authority to make [the purchase] [$37,500 Ford pickup truck for neighboring volunteer fire department] nor did [he] seek or receive appropriate authorization.” </w:t>
      </w:r>
      <w:hyperlink r:id="rId1039" w:history="1">
        <w:r w:rsidRPr="00FC6D48">
          <w:rPr>
            <w:rStyle w:val="Hyperlink"/>
            <w:rFonts w:ascii="Times New Roman" w:hAnsi="Times New Roman"/>
            <w:sz w:val="24"/>
            <w:szCs w:val="24"/>
          </w:rPr>
          <w:t>https://www.ca4.uscourts.gov/opinions/221081.U.pdf</w:t>
        </w:r>
      </w:hyperlink>
      <w:r w:rsidRPr="00FC6D48">
        <w:rPr>
          <w:rFonts w:ascii="Times New Roman" w:hAnsi="Times New Roman"/>
          <w:sz w:val="24"/>
          <w:szCs w:val="24"/>
        </w:rPr>
        <w:t xml:space="preserve"> </w:t>
      </w:r>
    </w:p>
    <w:p w14:paraId="10A0BE1D" w14:textId="77777777" w:rsidR="00FC6D48" w:rsidRPr="00FC6D48" w:rsidRDefault="00FC6D48" w:rsidP="00FC6D48">
      <w:pPr>
        <w:pStyle w:val="NoSpacing"/>
        <w:rPr>
          <w:rFonts w:ascii="Times New Roman" w:hAnsi="Times New Roman"/>
          <w:b/>
          <w:sz w:val="24"/>
          <w:szCs w:val="24"/>
        </w:rPr>
      </w:pPr>
    </w:p>
    <w:p w14:paraId="02D47389" w14:textId="67AA703D" w:rsidR="00FC6D48" w:rsidRPr="00FC6D48" w:rsidRDefault="00FC6D48" w:rsidP="00FC6D48">
      <w:pPr>
        <w:pStyle w:val="NoSpacing"/>
        <w:rPr>
          <w:rFonts w:ascii="Times New Roman" w:hAnsi="Times New Roman"/>
          <w:b/>
          <w:bCs/>
          <w:sz w:val="24"/>
          <w:szCs w:val="24"/>
        </w:rPr>
      </w:pPr>
      <w:r w:rsidRPr="00FC6D48">
        <w:rPr>
          <w:rFonts w:ascii="Times New Roman" w:hAnsi="Times New Roman"/>
          <w:b/>
          <w:sz w:val="24"/>
          <w:szCs w:val="24"/>
        </w:rPr>
        <w:t>Legal Lesson Learned: County terminate</w:t>
      </w:r>
      <w:r w:rsidRPr="00FC6D48">
        <w:rPr>
          <w:rFonts w:ascii="Times New Roman" w:hAnsi="Times New Roman"/>
          <w:b/>
          <w:bCs/>
          <w:sz w:val="24"/>
          <w:szCs w:val="24"/>
        </w:rPr>
        <w:t xml:space="preserve">d </w:t>
      </w:r>
      <w:r w:rsidRPr="00FC6D48">
        <w:rPr>
          <w:rFonts w:ascii="Times New Roman" w:hAnsi="Times New Roman"/>
          <w:b/>
          <w:sz w:val="24"/>
          <w:szCs w:val="24"/>
        </w:rPr>
        <w:t>for unauthorized purchase of truck</w:t>
      </w:r>
      <w:r w:rsidRPr="00FC6D48">
        <w:rPr>
          <w:rFonts w:ascii="Times New Roman" w:hAnsi="Times New Roman"/>
          <w:b/>
          <w:bCs/>
          <w:sz w:val="24"/>
          <w:szCs w:val="24"/>
        </w:rPr>
        <w:t xml:space="preserve">; not age of Battalion Chief. </w:t>
      </w:r>
    </w:p>
    <w:p w14:paraId="03553F8A" w14:textId="77777777" w:rsidR="00FC6D48" w:rsidRDefault="00FC6D48" w:rsidP="006C4AD8">
      <w:pPr>
        <w:pStyle w:val="NormalWeb"/>
        <w:spacing w:before="0" w:beforeAutospacing="0"/>
        <w:rPr>
          <w:rFonts w:ascii="Arial Black" w:hAnsi="Arial Black"/>
          <w:b/>
          <w:bCs/>
          <w:color w:val="454545"/>
          <w:sz w:val="28"/>
          <w:szCs w:val="28"/>
          <w:shd w:val="clear" w:color="auto" w:fill="FFFFFF"/>
        </w:rPr>
      </w:pPr>
    </w:p>
    <w:p w14:paraId="060FFB7D" w14:textId="605C99E5" w:rsidR="00066F05"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6-14</w:t>
      </w:r>
      <w:r w:rsidR="002A0697">
        <w:rPr>
          <w:rFonts w:ascii="Arial Black" w:hAnsi="Arial Black"/>
          <w:b/>
          <w:bCs/>
          <w:color w:val="454545"/>
          <w:sz w:val="28"/>
          <w:szCs w:val="28"/>
          <w:shd w:val="clear" w:color="auto" w:fill="FFFFFF"/>
        </w:rPr>
        <w:t>2</w:t>
      </w:r>
    </w:p>
    <w:p w14:paraId="20E999E7" w14:textId="77777777" w:rsidR="00AD5EF8" w:rsidRPr="004E2ADB" w:rsidRDefault="00AD5EF8" w:rsidP="00AD5EF8">
      <w:pPr>
        <w:rPr>
          <w:rFonts w:ascii="Arial Black" w:hAnsi="Arial Black"/>
          <w:b/>
          <w:bCs/>
          <w:sz w:val="28"/>
          <w:szCs w:val="28"/>
        </w:rPr>
      </w:pPr>
      <w:r w:rsidRPr="004E2ADB">
        <w:rPr>
          <w:rFonts w:ascii="Arial Black" w:hAnsi="Arial Black"/>
          <w:b/>
          <w:bCs/>
          <w:sz w:val="28"/>
          <w:szCs w:val="28"/>
        </w:rPr>
        <w:t xml:space="preserve">OH: CINCINNATI FF – THYROID CANCER – STATUTORY PRESUMPTION WAS CAUSED BY JOB </w:t>
      </w:r>
    </w:p>
    <w:p w14:paraId="7AF1C5D6" w14:textId="65CCBA29" w:rsidR="00AD5EF8" w:rsidRPr="00F23ECF" w:rsidRDefault="00AD5EF8" w:rsidP="00AD5EF8">
      <w:pPr>
        <w:pStyle w:val="NoSpacing"/>
        <w:rPr>
          <w:rFonts w:ascii="Times New Roman" w:hAnsi="Times New Roman"/>
          <w:sz w:val="24"/>
          <w:szCs w:val="24"/>
        </w:rPr>
      </w:pPr>
      <w:r w:rsidRPr="00F23ECF">
        <w:rPr>
          <w:rFonts w:ascii="Times New Roman" w:hAnsi="Times New Roman"/>
          <w:sz w:val="24"/>
          <w:szCs w:val="24"/>
        </w:rPr>
        <w:t xml:space="preserve">On Oct. 10, 2024, in </w:t>
      </w:r>
      <w:r w:rsidRPr="00F23ECF">
        <w:rPr>
          <w:rFonts w:ascii="Times New Roman" w:hAnsi="Times New Roman"/>
          <w:sz w:val="24"/>
          <w:szCs w:val="24"/>
          <w:u w:val="single"/>
        </w:rPr>
        <w:t>State ex rel. City of Cincinnati v. Industrial Commission of Ohio (re: claimant, Joshua K. Knoechel</w:t>
      </w:r>
      <w:r w:rsidRPr="00F23ECF">
        <w:rPr>
          <w:rFonts w:ascii="Times New Roman" w:hAnsi="Times New Roman"/>
          <w:sz w:val="24"/>
          <w:szCs w:val="24"/>
        </w:rPr>
        <w:t>), the Ohio Court of Appeals for the Tenth Appellate District held (3 to 0):  “Relator, the City of Cincinnati, commenced this original action requesting this court to issue a writ of mandamus ordering respondent, the Industrial Commission of</w:t>
      </w:r>
    </w:p>
    <w:p w14:paraId="08EF269E" w14:textId="28B0BAAF" w:rsidR="00AD5EF8" w:rsidRPr="00F23ECF" w:rsidRDefault="00AD5EF8" w:rsidP="00AD5EF8">
      <w:pPr>
        <w:pStyle w:val="NoSpacing"/>
        <w:rPr>
          <w:rFonts w:ascii="Times New Roman" w:hAnsi="Times New Roman"/>
          <w:sz w:val="24"/>
          <w:szCs w:val="24"/>
        </w:rPr>
      </w:pPr>
      <w:r w:rsidRPr="00F23ECF">
        <w:rPr>
          <w:rFonts w:ascii="Times New Roman" w:hAnsi="Times New Roman"/>
          <w:sz w:val="24"/>
          <w:szCs w:val="24"/>
        </w:rPr>
        <w:t xml:space="preserve">Ohio (“commission”), to vacate its order exercising continuing jurisdiction to allow the workers’ compensation claim of claimant, Joshua K. Knoechel, for papillary thyroid cancer and to reinstate the March 11, </w:t>
      </w:r>
      <w:proofErr w:type="gramStart"/>
      <w:r w:rsidRPr="00F23ECF">
        <w:rPr>
          <w:rFonts w:ascii="Times New Roman" w:hAnsi="Times New Roman"/>
          <w:sz w:val="24"/>
          <w:szCs w:val="24"/>
        </w:rPr>
        <w:t>2022</w:t>
      </w:r>
      <w:proofErr w:type="gramEnd"/>
      <w:r w:rsidRPr="00F23ECF">
        <w:rPr>
          <w:rFonts w:ascii="Times New Roman" w:hAnsi="Times New Roman"/>
          <w:sz w:val="24"/>
          <w:szCs w:val="24"/>
        </w:rPr>
        <w:t xml:space="preserve"> order of the Staff Hearing Officer (‘SHO’) denying the claim. [Court agreed with Magistrate, who recommended] that this court should deny the employer’s petition for writ of mandamus.” </w:t>
      </w:r>
      <w:hyperlink r:id="rId1040" w:history="1">
        <w:r w:rsidRPr="00F23ECF">
          <w:rPr>
            <w:rStyle w:val="Hyperlink"/>
            <w:rFonts w:ascii="Times New Roman" w:hAnsi="Times New Roman"/>
            <w:sz w:val="24"/>
            <w:szCs w:val="24"/>
          </w:rPr>
          <w:t>https://cases.justia.com/ohio/tenth-district-court-of-appeals/2024-22ap-431.pdf?ts=1728583884</w:t>
        </w:r>
      </w:hyperlink>
      <w:r w:rsidRPr="00F23ECF">
        <w:rPr>
          <w:rFonts w:ascii="Times New Roman" w:hAnsi="Times New Roman"/>
          <w:sz w:val="24"/>
          <w:szCs w:val="24"/>
        </w:rPr>
        <w:t xml:space="preserve"> </w:t>
      </w:r>
    </w:p>
    <w:p w14:paraId="3B16020B" w14:textId="77777777" w:rsidR="00F23ECF" w:rsidRPr="00F23ECF" w:rsidRDefault="00F23ECF" w:rsidP="00F23ECF">
      <w:pPr>
        <w:pStyle w:val="NoSpacing"/>
        <w:rPr>
          <w:rFonts w:ascii="Times New Roman" w:hAnsi="Times New Roman"/>
          <w:b/>
          <w:sz w:val="24"/>
          <w:szCs w:val="24"/>
        </w:rPr>
      </w:pPr>
    </w:p>
    <w:p w14:paraId="223D5A0D" w14:textId="1117048B" w:rsidR="00F23ECF" w:rsidRPr="00F23ECF" w:rsidRDefault="00F23ECF" w:rsidP="00F23ECF">
      <w:pPr>
        <w:pStyle w:val="NoSpacing"/>
        <w:rPr>
          <w:rFonts w:ascii="Times New Roman" w:hAnsi="Times New Roman"/>
          <w:b/>
          <w:bCs/>
          <w:sz w:val="24"/>
          <w:szCs w:val="24"/>
        </w:rPr>
      </w:pPr>
      <w:r w:rsidRPr="00F23ECF">
        <w:rPr>
          <w:rFonts w:ascii="Times New Roman" w:hAnsi="Times New Roman"/>
          <w:b/>
          <w:sz w:val="24"/>
          <w:szCs w:val="24"/>
        </w:rPr>
        <w:t xml:space="preserve">Legal Lesson Learned: Statutory presumption that cancer was caused by the job; employer’s expert report did not overcome this presumption. </w:t>
      </w:r>
    </w:p>
    <w:p w14:paraId="10D6F9E4" w14:textId="77777777" w:rsidR="00F23ECF" w:rsidRPr="00F23ECF" w:rsidRDefault="00F23ECF" w:rsidP="006C4AD8">
      <w:pPr>
        <w:pStyle w:val="NormalWeb"/>
        <w:spacing w:before="0" w:beforeAutospacing="0"/>
        <w:rPr>
          <w:b/>
          <w:bCs/>
          <w:color w:val="454545"/>
          <w:shd w:val="clear" w:color="auto" w:fill="FFFFFF"/>
        </w:rPr>
      </w:pPr>
    </w:p>
    <w:p w14:paraId="0838296B" w14:textId="77777777" w:rsidR="00FC6D48" w:rsidRDefault="00FC6D48" w:rsidP="006C4AD8">
      <w:pPr>
        <w:pStyle w:val="NormalWeb"/>
        <w:spacing w:before="0" w:beforeAutospacing="0"/>
        <w:rPr>
          <w:rFonts w:ascii="Arial Black" w:hAnsi="Arial Black"/>
          <w:b/>
          <w:bCs/>
          <w:color w:val="454545"/>
          <w:sz w:val="28"/>
          <w:szCs w:val="28"/>
          <w:shd w:val="clear" w:color="auto" w:fill="FFFFFF"/>
        </w:rPr>
      </w:pPr>
    </w:p>
    <w:p w14:paraId="732AC63F" w14:textId="63C0B554" w:rsidR="00066F05"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6-14</w:t>
      </w:r>
      <w:r w:rsidR="002A0697">
        <w:rPr>
          <w:rFonts w:ascii="Arial Black" w:hAnsi="Arial Black"/>
          <w:b/>
          <w:bCs/>
          <w:color w:val="454545"/>
          <w:sz w:val="28"/>
          <w:szCs w:val="28"/>
          <w:shd w:val="clear" w:color="auto" w:fill="FFFFFF"/>
        </w:rPr>
        <w:t>1</w:t>
      </w:r>
    </w:p>
    <w:p w14:paraId="78888F58" w14:textId="77777777" w:rsidR="007506C7" w:rsidRPr="004E2ADB" w:rsidRDefault="007506C7" w:rsidP="007506C7">
      <w:pPr>
        <w:pStyle w:val="NoSpacing"/>
        <w:rPr>
          <w:rFonts w:ascii="Arial Black" w:hAnsi="Arial Black"/>
          <w:b/>
          <w:bCs/>
          <w:sz w:val="28"/>
          <w:szCs w:val="28"/>
        </w:rPr>
      </w:pPr>
      <w:r w:rsidRPr="004E2ADB">
        <w:rPr>
          <w:rFonts w:ascii="Arial Black" w:hAnsi="Arial Black"/>
          <w:b/>
          <w:bCs/>
          <w:sz w:val="28"/>
          <w:szCs w:val="28"/>
        </w:rPr>
        <w:t xml:space="preserve">OH: PROSTATE CANCER – 25 YRS ON JOB BEFORE RETIRED – AWARDED PERMANENT PARTIAL DISABILITY  </w:t>
      </w:r>
    </w:p>
    <w:p w14:paraId="29F02A84" w14:textId="77777777" w:rsidR="007506C7" w:rsidRPr="00067499" w:rsidRDefault="007506C7" w:rsidP="007506C7">
      <w:pPr>
        <w:pStyle w:val="NoSpacing"/>
        <w:rPr>
          <w:rFonts w:ascii="Times New Roman" w:hAnsi="Times New Roman"/>
          <w:b/>
          <w:bCs/>
          <w:sz w:val="24"/>
          <w:szCs w:val="24"/>
        </w:rPr>
      </w:pPr>
    </w:p>
    <w:p w14:paraId="7482D31A" w14:textId="780E0433" w:rsidR="001E7A60" w:rsidRPr="00067499" w:rsidRDefault="001E7A60" w:rsidP="001E7A60">
      <w:pPr>
        <w:pStyle w:val="NoSpacing"/>
        <w:rPr>
          <w:rStyle w:val="Hyperlink"/>
          <w:rFonts w:ascii="Times New Roman" w:hAnsi="Times New Roman"/>
        </w:rPr>
      </w:pPr>
      <w:r w:rsidRPr="00067499">
        <w:rPr>
          <w:rFonts w:ascii="Times New Roman" w:hAnsi="Times New Roman"/>
        </w:rPr>
        <w:t xml:space="preserve">On Oct. 17, 2024, in </w:t>
      </w:r>
      <w:r w:rsidRPr="00067499">
        <w:rPr>
          <w:rFonts w:ascii="Times New Roman" w:hAnsi="Times New Roman"/>
          <w:u w:val="single"/>
        </w:rPr>
        <w:t>State ex rel. City of Cincinnati v. Industrial Commission of Ohio (re: claimant Michael K. Hines</w:t>
      </w:r>
      <w:r w:rsidRPr="00067499">
        <w:rPr>
          <w:rFonts w:ascii="Times New Roman" w:hAnsi="Times New Roman"/>
        </w:rPr>
        <w:t xml:space="preserve">), the Cour of Appeals of Ohio, Tenth Appellate District. held (3 to 0): </w:t>
      </w:r>
      <w:r w:rsidR="007179A1" w:rsidRPr="00067499">
        <w:rPr>
          <w:rFonts w:ascii="Times New Roman" w:hAnsi="Times New Roman"/>
        </w:rPr>
        <w:t xml:space="preserve"> </w:t>
      </w:r>
      <w:r w:rsidRPr="00067499">
        <w:rPr>
          <w:rFonts w:ascii="Times New Roman" w:hAnsi="Times New Roman"/>
        </w:rPr>
        <w:t xml:space="preserve">“The magistrate determined the commission correctly applied R.C. 4123.57 in determining claimant is entitled to PPD compensation. Thus, the magistrate </w:t>
      </w:r>
      <w:r w:rsidRPr="00067499">
        <w:rPr>
          <w:rFonts w:ascii="Times New Roman" w:hAnsi="Times New Roman"/>
        </w:rPr>
        <w:lastRenderedPageBreak/>
        <w:t>recommends this court deny</w:t>
      </w:r>
      <w:r w:rsidR="007179A1" w:rsidRPr="00067499">
        <w:rPr>
          <w:rFonts w:ascii="Times New Roman" w:hAnsi="Times New Roman"/>
        </w:rPr>
        <w:t xml:space="preserve"> </w:t>
      </w:r>
      <w:r w:rsidRPr="00067499">
        <w:rPr>
          <w:rFonts w:ascii="Times New Roman" w:hAnsi="Times New Roman"/>
        </w:rPr>
        <w:t xml:space="preserve">employer’s petition for a writ of mandamus. *** Upon review, we find no error of law or other defect on the face of the magistrate’s decision. Therefore, we adopt the magistrate’s decision as our own, including findings of fact and conclusions of law, and we deny employer’s petition for a writ of mandamus.” </w:t>
      </w:r>
      <w:hyperlink r:id="rId1041" w:history="1">
        <w:r w:rsidRPr="00067499">
          <w:rPr>
            <w:rStyle w:val="Hyperlink"/>
            <w:rFonts w:ascii="Times New Roman" w:hAnsi="Times New Roman"/>
          </w:rPr>
          <w:t>https://www.supremecourt.ohio.gov/rod/docs/pdf/10/2024/2024-Ohio-5010.pdf</w:t>
        </w:r>
      </w:hyperlink>
    </w:p>
    <w:p w14:paraId="6333D5F4" w14:textId="77777777" w:rsidR="007179A1" w:rsidRPr="00067499" w:rsidRDefault="007179A1" w:rsidP="007179A1">
      <w:pPr>
        <w:pStyle w:val="NoSpacing"/>
        <w:rPr>
          <w:rFonts w:ascii="Times New Roman" w:hAnsi="Times New Roman"/>
          <w:b/>
        </w:rPr>
      </w:pPr>
    </w:p>
    <w:p w14:paraId="29DB39F8" w14:textId="043E4042" w:rsidR="007179A1" w:rsidRPr="00067499" w:rsidRDefault="007179A1" w:rsidP="007179A1">
      <w:pPr>
        <w:pStyle w:val="NoSpacing"/>
        <w:rPr>
          <w:rFonts w:ascii="Times New Roman" w:hAnsi="Times New Roman"/>
          <w:b/>
          <w:bCs/>
        </w:rPr>
      </w:pPr>
      <w:r w:rsidRPr="00067499">
        <w:rPr>
          <w:rFonts w:ascii="Times New Roman" w:hAnsi="Times New Roman"/>
          <w:b/>
        </w:rPr>
        <w:t xml:space="preserve">Legal Lesson Learned: Statutory presumption that prostate cancer caused by the job. </w:t>
      </w:r>
    </w:p>
    <w:p w14:paraId="5A4B9C29" w14:textId="77777777" w:rsidR="007179A1" w:rsidRPr="00067499" w:rsidRDefault="007179A1" w:rsidP="007179A1">
      <w:pPr>
        <w:pStyle w:val="NoSpacing"/>
        <w:rPr>
          <w:rFonts w:ascii="Times New Roman" w:hAnsi="Times New Roman"/>
          <w:bCs/>
          <w:sz w:val="28"/>
          <w:szCs w:val="28"/>
        </w:rPr>
      </w:pPr>
    </w:p>
    <w:p w14:paraId="72316945" w14:textId="77777777" w:rsidR="002A0697" w:rsidRDefault="002A0697" w:rsidP="006C4AD8">
      <w:pPr>
        <w:pStyle w:val="NormalWeb"/>
        <w:spacing w:before="0" w:beforeAutospacing="0"/>
        <w:rPr>
          <w:rFonts w:ascii="Arial Black" w:hAnsi="Arial Black"/>
          <w:b/>
          <w:bCs/>
          <w:color w:val="454545"/>
          <w:sz w:val="28"/>
          <w:szCs w:val="28"/>
          <w:shd w:val="clear" w:color="auto" w:fill="FFFFFF"/>
        </w:rPr>
      </w:pPr>
    </w:p>
    <w:p w14:paraId="37315153" w14:textId="6F92EA3F" w:rsidR="00E13EDA"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6-14</w:t>
      </w:r>
      <w:r w:rsidR="002A0697">
        <w:rPr>
          <w:rFonts w:ascii="Arial Black" w:hAnsi="Arial Black"/>
          <w:b/>
          <w:bCs/>
          <w:color w:val="454545"/>
          <w:sz w:val="28"/>
          <w:szCs w:val="28"/>
          <w:shd w:val="clear" w:color="auto" w:fill="FFFFFF"/>
        </w:rPr>
        <w:t>0</w:t>
      </w:r>
    </w:p>
    <w:p w14:paraId="617E65E9" w14:textId="77777777" w:rsidR="00EC0331" w:rsidRPr="004E2ADB" w:rsidRDefault="00EC0331" w:rsidP="00EC0331">
      <w:pPr>
        <w:pStyle w:val="NoSpacing"/>
        <w:rPr>
          <w:rFonts w:ascii="Arial Black" w:hAnsi="Arial Black"/>
          <w:b/>
          <w:bCs/>
          <w:sz w:val="28"/>
          <w:szCs w:val="28"/>
        </w:rPr>
      </w:pPr>
      <w:r w:rsidRPr="004E2ADB">
        <w:rPr>
          <w:rFonts w:ascii="Arial Black" w:hAnsi="Arial Black"/>
          <w:b/>
          <w:bCs/>
          <w:sz w:val="28"/>
          <w:szCs w:val="28"/>
        </w:rPr>
        <w:t>PA: FF – COLON CANCER / KIDNEY DISEASE – STATUTORY PRESUMPTION FOR CANCER – GETS WORK COMP.</w:t>
      </w:r>
    </w:p>
    <w:p w14:paraId="49187B54" w14:textId="77777777" w:rsidR="00EC0331" w:rsidRPr="004E2ADB" w:rsidRDefault="00EC0331" w:rsidP="00EC0331">
      <w:pPr>
        <w:pStyle w:val="NoSpacing"/>
        <w:rPr>
          <w:rFonts w:ascii="Arial Black" w:hAnsi="Arial Black"/>
          <w:sz w:val="28"/>
          <w:szCs w:val="28"/>
        </w:rPr>
      </w:pPr>
    </w:p>
    <w:p w14:paraId="4B401DA2" w14:textId="77777777" w:rsidR="00EC0331" w:rsidRPr="00084D68" w:rsidRDefault="00EC0331" w:rsidP="00EC0331">
      <w:pPr>
        <w:pStyle w:val="NoSpacing"/>
        <w:rPr>
          <w:rFonts w:ascii="Times New Roman" w:hAnsi="Times New Roman"/>
          <w:sz w:val="24"/>
          <w:szCs w:val="24"/>
          <w:u w:val="single"/>
        </w:rPr>
      </w:pPr>
      <w:r w:rsidRPr="00084D68">
        <w:rPr>
          <w:rFonts w:ascii="Times New Roman" w:hAnsi="Times New Roman"/>
          <w:sz w:val="24"/>
          <w:szCs w:val="24"/>
        </w:rPr>
        <w:t xml:space="preserve">On Oct. 10, 2024, in </w:t>
      </w:r>
      <w:r w:rsidRPr="00084D68">
        <w:rPr>
          <w:rFonts w:ascii="Times New Roman" w:hAnsi="Times New Roman"/>
          <w:sz w:val="24"/>
          <w:szCs w:val="24"/>
          <w:u w:val="single"/>
        </w:rPr>
        <w:t>West Conshohocken Borough v. David Markland (Workers’ :</w:t>
      </w:r>
    </w:p>
    <w:p w14:paraId="75BD9AB4" w14:textId="77777777" w:rsidR="00EC0331" w:rsidRPr="00084D68" w:rsidRDefault="00EC0331" w:rsidP="00EC0331">
      <w:pPr>
        <w:pStyle w:val="NoSpacing"/>
        <w:rPr>
          <w:rFonts w:ascii="Times New Roman" w:hAnsi="Times New Roman"/>
          <w:sz w:val="24"/>
          <w:szCs w:val="24"/>
        </w:rPr>
      </w:pPr>
      <w:r w:rsidRPr="00084D68">
        <w:rPr>
          <w:rFonts w:ascii="Times New Roman" w:hAnsi="Times New Roman"/>
          <w:sz w:val="24"/>
          <w:szCs w:val="24"/>
          <w:u w:val="single"/>
        </w:rPr>
        <w:t>Compensation Appeal Board</w:t>
      </w:r>
      <w:r w:rsidRPr="00084D68">
        <w:rPr>
          <w:rFonts w:ascii="Times New Roman" w:hAnsi="Times New Roman"/>
          <w:sz w:val="24"/>
          <w:szCs w:val="24"/>
        </w:rPr>
        <w:t>), the Commonwealth Court of Pennsylvania held (6 to 1): “West Conshohocken Borough (Employer) petitions for review of the November 18, 2022 opinion and order (Order) of the Workers’ Compensation Appeal Board (Board) that affirmed the Workers’ Compensation Judge’s (WCJ) May 2, 2022 decision and order (Decision) granting the Claim Petition that David Markland (Claimant) filed under the Workers’ Compensation Act (Act).After</w:t>
      </w:r>
    </w:p>
    <w:p w14:paraId="05E4D6D7" w14:textId="77777777" w:rsidR="00EC0331" w:rsidRPr="00084D68" w:rsidRDefault="00EC0331" w:rsidP="00EC0331">
      <w:pPr>
        <w:pStyle w:val="NoSpacing"/>
        <w:rPr>
          <w:rFonts w:ascii="Times New Roman" w:hAnsi="Times New Roman"/>
          <w:sz w:val="24"/>
          <w:szCs w:val="24"/>
        </w:rPr>
      </w:pPr>
      <w:r w:rsidRPr="00084D68">
        <w:rPr>
          <w:rFonts w:ascii="Times New Roman" w:hAnsi="Times New Roman"/>
          <w:sz w:val="24"/>
          <w:szCs w:val="24"/>
        </w:rPr>
        <w:t>careful review, we affirm.”</w:t>
      </w:r>
    </w:p>
    <w:p w14:paraId="11ED62A2" w14:textId="3712BBDD" w:rsidR="00067499" w:rsidRPr="00084D68" w:rsidRDefault="00EC0331" w:rsidP="00EC0331">
      <w:pPr>
        <w:pStyle w:val="NormalWeb"/>
        <w:spacing w:before="0" w:beforeAutospacing="0"/>
        <w:rPr>
          <w:rStyle w:val="Hyperlink"/>
        </w:rPr>
      </w:pPr>
      <w:hyperlink r:id="rId1042" w:history="1">
        <w:r w:rsidRPr="00084D68">
          <w:rPr>
            <w:rStyle w:val="Hyperlink"/>
          </w:rPr>
          <w:t>https://www.pacourts.us/assets/opinions/Commonwealth/out/1382CD22_10-10-24.pdf?cb=1</w:t>
        </w:r>
      </w:hyperlink>
    </w:p>
    <w:p w14:paraId="22FA04F5" w14:textId="77777777" w:rsidR="00084D68" w:rsidRPr="00084D68" w:rsidRDefault="00084D68" w:rsidP="00084D68">
      <w:pPr>
        <w:pStyle w:val="NoSpacing"/>
        <w:rPr>
          <w:rFonts w:ascii="Times New Roman" w:hAnsi="Times New Roman"/>
          <w:b/>
          <w:bCs/>
          <w:sz w:val="24"/>
          <w:szCs w:val="24"/>
        </w:rPr>
      </w:pPr>
      <w:r w:rsidRPr="00084D68">
        <w:rPr>
          <w:rFonts w:ascii="Times New Roman" w:hAnsi="Times New Roman"/>
          <w:b/>
          <w:sz w:val="24"/>
          <w:szCs w:val="24"/>
        </w:rPr>
        <w:t>Legal Lesson Learned: Employer failed to prove a</w:t>
      </w:r>
      <w:r w:rsidRPr="00084D68">
        <w:rPr>
          <w:rFonts w:ascii="Times New Roman" w:hAnsi="Times New Roman"/>
          <w:b/>
          <w:bCs/>
          <w:sz w:val="24"/>
          <w:szCs w:val="24"/>
        </w:rPr>
        <w:t>nother</w:t>
      </w:r>
      <w:r w:rsidRPr="00084D68">
        <w:rPr>
          <w:rFonts w:ascii="Times New Roman" w:hAnsi="Times New Roman"/>
          <w:b/>
          <w:sz w:val="24"/>
          <w:szCs w:val="24"/>
        </w:rPr>
        <w:t xml:space="preserve"> “specific, non-firefighting cause” of the colon cancer. </w:t>
      </w:r>
    </w:p>
    <w:p w14:paraId="67B6684E" w14:textId="77777777" w:rsidR="00067499" w:rsidRDefault="00067499" w:rsidP="006C4AD8">
      <w:pPr>
        <w:pStyle w:val="NormalWeb"/>
        <w:spacing w:before="0" w:beforeAutospacing="0"/>
        <w:rPr>
          <w:rFonts w:ascii="Arial Black" w:hAnsi="Arial Black"/>
          <w:b/>
          <w:bCs/>
          <w:color w:val="454545"/>
          <w:sz w:val="28"/>
          <w:szCs w:val="28"/>
          <w:shd w:val="clear" w:color="auto" w:fill="FFFFFF"/>
        </w:rPr>
      </w:pPr>
    </w:p>
    <w:p w14:paraId="5E514763" w14:textId="7EC1C6F0" w:rsidR="00E13EDA"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w:t>
      </w:r>
      <w:r w:rsidR="002A0697">
        <w:rPr>
          <w:rFonts w:ascii="Arial Black" w:hAnsi="Arial Black"/>
          <w:b/>
          <w:bCs/>
          <w:color w:val="454545"/>
          <w:sz w:val="28"/>
          <w:szCs w:val="28"/>
          <w:shd w:val="clear" w:color="auto" w:fill="FFFFFF"/>
        </w:rPr>
        <w:t>39</w:t>
      </w:r>
    </w:p>
    <w:p w14:paraId="5CCEE1B4" w14:textId="77777777" w:rsidR="001713FB" w:rsidRPr="004E2ADB" w:rsidRDefault="001713FB" w:rsidP="001713FB">
      <w:pPr>
        <w:pStyle w:val="NoSpacing"/>
        <w:rPr>
          <w:rFonts w:ascii="Arial Black" w:hAnsi="Arial Black"/>
          <w:b/>
          <w:bCs/>
          <w:sz w:val="28"/>
          <w:szCs w:val="28"/>
        </w:rPr>
      </w:pPr>
      <w:r w:rsidRPr="004E2ADB">
        <w:rPr>
          <w:rFonts w:ascii="Arial Black" w:hAnsi="Arial Black"/>
          <w:b/>
          <w:bCs/>
          <w:sz w:val="28"/>
          <w:szCs w:val="28"/>
        </w:rPr>
        <w:t>LA: HEART DISEASE – STATUTORY PRESUMPTION – NEW ORLEANS FF RECEIVES WORKERS COMP. &amp; ATTY FEES</w:t>
      </w:r>
    </w:p>
    <w:p w14:paraId="07B5ADFB" w14:textId="77777777" w:rsidR="001713FB" w:rsidRPr="00903FC7" w:rsidRDefault="001713FB" w:rsidP="001713FB">
      <w:pPr>
        <w:pStyle w:val="NoSpacing"/>
        <w:rPr>
          <w:rFonts w:ascii="Times New Roman" w:hAnsi="Times New Roman"/>
          <w:b/>
          <w:bCs/>
          <w:sz w:val="24"/>
          <w:szCs w:val="24"/>
        </w:rPr>
      </w:pPr>
    </w:p>
    <w:p w14:paraId="7F75CE85" w14:textId="554F7FE7" w:rsidR="001713FB" w:rsidRPr="00903FC7" w:rsidRDefault="001713FB" w:rsidP="001713FB">
      <w:pPr>
        <w:pStyle w:val="NoSpacing"/>
        <w:rPr>
          <w:rFonts w:ascii="Times New Roman" w:hAnsi="Times New Roman"/>
          <w:sz w:val="24"/>
          <w:szCs w:val="24"/>
        </w:rPr>
      </w:pPr>
      <w:r w:rsidRPr="00903FC7">
        <w:rPr>
          <w:rFonts w:ascii="Times New Roman" w:hAnsi="Times New Roman"/>
          <w:sz w:val="24"/>
          <w:szCs w:val="24"/>
        </w:rPr>
        <w:t xml:space="preserve">On Oct. 4, 2024, in </w:t>
      </w:r>
      <w:r w:rsidRPr="00903FC7">
        <w:rPr>
          <w:rFonts w:ascii="Times New Roman" w:hAnsi="Times New Roman"/>
          <w:sz w:val="24"/>
          <w:szCs w:val="24"/>
          <w:u w:val="single"/>
        </w:rPr>
        <w:t>Kenneth Prevost v. City of New Orleans Fire Department</w:t>
      </w:r>
      <w:r w:rsidRPr="00903FC7">
        <w:rPr>
          <w:rFonts w:ascii="Times New Roman" w:hAnsi="Times New Roman"/>
          <w:sz w:val="24"/>
          <w:szCs w:val="24"/>
        </w:rPr>
        <w:t xml:space="preserve">, the Louisiana Court of Appeal, </w:t>
      </w:r>
      <w:proofErr w:type="spellStart"/>
      <w:r w:rsidRPr="00903FC7">
        <w:rPr>
          <w:rFonts w:ascii="Times New Roman" w:hAnsi="Times New Roman"/>
          <w:sz w:val="24"/>
          <w:szCs w:val="24"/>
        </w:rPr>
        <w:t>Forth</w:t>
      </w:r>
      <w:proofErr w:type="spellEnd"/>
      <w:r w:rsidRPr="00903FC7">
        <w:rPr>
          <w:rFonts w:ascii="Times New Roman" w:hAnsi="Times New Roman"/>
          <w:sz w:val="24"/>
          <w:szCs w:val="24"/>
        </w:rPr>
        <w:t xml:space="preserve"> Circuit, held (3 to 0): “This is a workers’ compensation case. Defendant-Appellant, the New Orleans Fire Department (‘NOFD’) appeals the May 20, 2022 judgment rendered by the workers’ compensation judge (‘WCJ’), which found the claim filed by</w:t>
      </w:r>
      <w:r w:rsidR="00903FC7">
        <w:rPr>
          <w:rFonts w:ascii="Times New Roman" w:hAnsi="Times New Roman"/>
          <w:sz w:val="24"/>
          <w:szCs w:val="24"/>
        </w:rPr>
        <w:t xml:space="preserve"> </w:t>
      </w:r>
      <w:r w:rsidRPr="00903FC7">
        <w:rPr>
          <w:rFonts w:ascii="Times New Roman" w:hAnsi="Times New Roman"/>
          <w:sz w:val="24"/>
          <w:szCs w:val="24"/>
        </w:rPr>
        <w:t>Plaintiff-Appellee, Kenneth Prevost (‘Prevost’), under the Fireman’s Heart and Lung Act was compensable and awarded Prevost $2,000.00 in penalties and $3,500.00 in attorney’s fees.</w:t>
      </w:r>
      <w:r w:rsidR="00903FC7">
        <w:rPr>
          <w:rFonts w:ascii="Times New Roman" w:hAnsi="Times New Roman"/>
          <w:sz w:val="24"/>
          <w:szCs w:val="24"/>
        </w:rPr>
        <w:t xml:space="preserve"> </w:t>
      </w:r>
      <w:r w:rsidRPr="00903FC7">
        <w:rPr>
          <w:rFonts w:ascii="Times New Roman" w:hAnsi="Times New Roman"/>
          <w:sz w:val="24"/>
          <w:szCs w:val="24"/>
        </w:rPr>
        <w:t>For the following reasons, we affirm.”</w:t>
      </w:r>
    </w:p>
    <w:p w14:paraId="6580B861" w14:textId="77777777" w:rsidR="001713FB" w:rsidRPr="00903FC7" w:rsidRDefault="001713FB" w:rsidP="001713FB">
      <w:pPr>
        <w:pStyle w:val="NoSpacing"/>
        <w:rPr>
          <w:rFonts w:ascii="Times New Roman" w:hAnsi="Times New Roman"/>
          <w:sz w:val="24"/>
          <w:szCs w:val="24"/>
        </w:rPr>
      </w:pPr>
      <w:hyperlink r:id="rId1043" w:history="1">
        <w:r w:rsidRPr="00903FC7">
          <w:rPr>
            <w:rStyle w:val="Hyperlink"/>
            <w:rFonts w:ascii="Times New Roman" w:hAnsi="Times New Roman"/>
            <w:sz w:val="24"/>
            <w:szCs w:val="24"/>
          </w:rPr>
          <w:t>https://cases.justia.com/louisiana/fourth-circuit-court-of-appeal/2024-2024-ca-0114.pdf?ts=1727828103</w:t>
        </w:r>
      </w:hyperlink>
      <w:r w:rsidRPr="00903FC7">
        <w:rPr>
          <w:rFonts w:ascii="Times New Roman" w:hAnsi="Times New Roman"/>
          <w:sz w:val="24"/>
          <w:szCs w:val="24"/>
        </w:rPr>
        <w:t xml:space="preserve"> </w:t>
      </w:r>
    </w:p>
    <w:p w14:paraId="1D7E6594" w14:textId="77777777" w:rsidR="00903FC7" w:rsidRPr="00903FC7" w:rsidRDefault="00903FC7" w:rsidP="00903FC7">
      <w:pPr>
        <w:pStyle w:val="NoSpacing"/>
        <w:rPr>
          <w:rFonts w:ascii="Times New Roman" w:hAnsi="Times New Roman"/>
          <w:b/>
          <w:sz w:val="24"/>
          <w:szCs w:val="24"/>
        </w:rPr>
      </w:pPr>
    </w:p>
    <w:p w14:paraId="1F8BD6DF" w14:textId="39C03357" w:rsidR="00903FC7" w:rsidRPr="00903FC7" w:rsidRDefault="00903FC7" w:rsidP="00903FC7">
      <w:pPr>
        <w:pStyle w:val="NoSpacing"/>
        <w:rPr>
          <w:rFonts w:ascii="Times New Roman" w:hAnsi="Times New Roman"/>
          <w:b/>
          <w:bCs/>
          <w:sz w:val="24"/>
          <w:szCs w:val="24"/>
        </w:rPr>
      </w:pPr>
      <w:r w:rsidRPr="00903FC7">
        <w:rPr>
          <w:rFonts w:ascii="Times New Roman" w:hAnsi="Times New Roman"/>
          <w:b/>
          <w:sz w:val="24"/>
          <w:szCs w:val="24"/>
        </w:rPr>
        <w:t xml:space="preserve">Legal Lesson Learned: </w:t>
      </w:r>
      <w:r w:rsidRPr="00903FC7">
        <w:rPr>
          <w:rFonts w:ascii="Times New Roman" w:hAnsi="Times New Roman"/>
          <w:b/>
          <w:bCs/>
          <w:sz w:val="24"/>
          <w:szCs w:val="24"/>
        </w:rPr>
        <w:t>Heart disease, including d</w:t>
      </w:r>
      <w:r w:rsidRPr="00903FC7">
        <w:rPr>
          <w:rFonts w:ascii="Times New Roman" w:hAnsi="Times New Roman"/>
          <w:b/>
          <w:sz w:val="24"/>
          <w:szCs w:val="24"/>
        </w:rPr>
        <w:t>efective heart valve covered by statutory presumption.</w:t>
      </w:r>
    </w:p>
    <w:p w14:paraId="5C5AB984" w14:textId="77777777" w:rsidR="00903FC7" w:rsidRPr="00903FC7" w:rsidRDefault="00903FC7" w:rsidP="006C4AD8">
      <w:pPr>
        <w:pStyle w:val="NormalWeb"/>
        <w:spacing w:before="0" w:beforeAutospacing="0"/>
        <w:rPr>
          <w:b/>
          <w:bCs/>
          <w:color w:val="454545"/>
          <w:shd w:val="clear" w:color="auto" w:fill="FFFFFF"/>
        </w:rPr>
      </w:pPr>
    </w:p>
    <w:p w14:paraId="5AC760B0" w14:textId="77777777" w:rsidR="00B97A1B" w:rsidRDefault="00B97A1B" w:rsidP="006C4AD8">
      <w:pPr>
        <w:pStyle w:val="NormalWeb"/>
        <w:spacing w:before="0" w:beforeAutospacing="0"/>
        <w:rPr>
          <w:rFonts w:ascii="Arial Black" w:hAnsi="Arial Black"/>
          <w:b/>
          <w:bCs/>
          <w:color w:val="454545"/>
          <w:sz w:val="28"/>
          <w:szCs w:val="28"/>
          <w:shd w:val="clear" w:color="auto" w:fill="FFFFFF"/>
        </w:rPr>
      </w:pPr>
    </w:p>
    <w:p w14:paraId="633C599C" w14:textId="77777777" w:rsidR="00B97A1B" w:rsidRDefault="00B97A1B" w:rsidP="006C4AD8">
      <w:pPr>
        <w:pStyle w:val="NormalWeb"/>
        <w:spacing w:before="0" w:beforeAutospacing="0"/>
        <w:rPr>
          <w:rFonts w:ascii="Arial Black" w:hAnsi="Arial Black"/>
          <w:b/>
          <w:bCs/>
          <w:color w:val="454545"/>
          <w:sz w:val="28"/>
          <w:szCs w:val="28"/>
          <w:shd w:val="clear" w:color="auto" w:fill="FFFFFF"/>
        </w:rPr>
      </w:pPr>
    </w:p>
    <w:p w14:paraId="177B4407" w14:textId="62FDA3BC" w:rsidR="00525E67" w:rsidRDefault="00525E67"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lastRenderedPageBreak/>
        <w:t>6-1</w:t>
      </w:r>
      <w:r w:rsidR="00447612">
        <w:rPr>
          <w:rFonts w:ascii="Arial Black" w:hAnsi="Arial Black"/>
          <w:b/>
          <w:bCs/>
          <w:color w:val="454545"/>
          <w:sz w:val="28"/>
          <w:szCs w:val="28"/>
          <w:shd w:val="clear" w:color="auto" w:fill="FFFFFF"/>
        </w:rPr>
        <w:t>3</w:t>
      </w:r>
      <w:r w:rsidR="002A0697">
        <w:rPr>
          <w:rFonts w:ascii="Arial Black" w:hAnsi="Arial Black"/>
          <w:b/>
          <w:bCs/>
          <w:color w:val="454545"/>
          <w:sz w:val="28"/>
          <w:szCs w:val="28"/>
          <w:shd w:val="clear" w:color="auto" w:fill="FFFFFF"/>
        </w:rPr>
        <w:t>8</w:t>
      </w:r>
    </w:p>
    <w:p w14:paraId="00297654" w14:textId="77777777" w:rsidR="00E0229F" w:rsidRPr="007955D5" w:rsidRDefault="00E0229F" w:rsidP="00E0229F">
      <w:pPr>
        <w:rPr>
          <w:rFonts w:ascii="Arial Black" w:hAnsi="Arial Black"/>
          <w:sz w:val="28"/>
        </w:rPr>
      </w:pPr>
      <w:r>
        <w:rPr>
          <w:rFonts w:ascii="Arial Black" w:hAnsi="Arial Black"/>
          <w:sz w:val="28"/>
        </w:rPr>
        <w:t>IL: CAPTAIN WITH NECK CANCER – DENIED “LINE-OF-DUTY” PENSION – NO PROOF THAT SMOKE WAS CAUSE</w:t>
      </w:r>
    </w:p>
    <w:p w14:paraId="51AD2C7C"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 xml:space="preserve">On September 30, 2024, in </w:t>
      </w:r>
      <w:r w:rsidRPr="00E0229F">
        <w:rPr>
          <w:rFonts w:ascii="Times New Roman" w:hAnsi="Times New Roman"/>
          <w:sz w:val="24"/>
          <w:szCs w:val="24"/>
          <w:u w:val="single"/>
        </w:rPr>
        <w:t>Edward G. Sobczyk v. Board of Trustees of the Rockford Firefighters’ Pension Fund,</w:t>
      </w:r>
      <w:r w:rsidRPr="00E0229F">
        <w:rPr>
          <w:rFonts w:ascii="Times New Roman" w:hAnsi="Times New Roman"/>
          <w:sz w:val="24"/>
          <w:szCs w:val="24"/>
        </w:rPr>
        <w:t xml:space="preserve"> the Court of Appeals of Illinois, Fourth District, held (3 to 0) that the Board properly denied the </w:t>
      </w:r>
      <w:proofErr w:type="gramStart"/>
      <w:r w:rsidRPr="00E0229F">
        <w:rPr>
          <w:rFonts w:ascii="Times New Roman" w:hAnsi="Times New Roman"/>
          <w:sz w:val="24"/>
          <w:szCs w:val="24"/>
        </w:rPr>
        <w:t>Captain’s</w:t>
      </w:r>
      <w:proofErr w:type="gramEnd"/>
      <w:r w:rsidRPr="00E0229F">
        <w:rPr>
          <w:rFonts w:ascii="Times New Roman" w:hAnsi="Times New Roman"/>
          <w:sz w:val="24"/>
          <w:szCs w:val="24"/>
        </w:rPr>
        <w:t xml:space="preserve"> application for line-of-duty pensions.  The Court wrote: “And even though plaintiff asserted ‘that smoke ‘could be a cause or factor in the</w:t>
      </w:r>
    </w:p>
    <w:p w14:paraId="7B90852F"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development’ of his cancer,’ the Board determined plaintiff failed to ‘come forward with</w:t>
      </w:r>
    </w:p>
    <w:p w14:paraId="72525920"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 xml:space="preserve">sufficient evidence that smoke was a cause in his cancer.’” </w:t>
      </w:r>
      <w:hyperlink r:id="rId1044" w:history="1">
        <w:r w:rsidRPr="00E0229F">
          <w:rPr>
            <w:rStyle w:val="Hyperlink"/>
            <w:rFonts w:ascii="Times New Roman" w:hAnsi="Times New Roman"/>
            <w:sz w:val="24"/>
            <w:szCs w:val="24"/>
          </w:rPr>
          <w:t>https://ilcourtsaudio.blob.core.windows.net/antilles-resources/resources/6872cb37-ae61-4b36-815c-de4cd8130990/Sobczyk%20v.%20Board%20of%20Trustees%20of%20the%20Rockford%20Firefighters%e2%80%99%20Pension%20Fund,%202024%20IL%20App%20(4th)%20240261-U.pdf</w:t>
        </w:r>
      </w:hyperlink>
      <w:r w:rsidRPr="00E0229F">
        <w:rPr>
          <w:rFonts w:ascii="Times New Roman" w:hAnsi="Times New Roman"/>
          <w:sz w:val="24"/>
          <w:szCs w:val="24"/>
        </w:rPr>
        <w:t xml:space="preserve"> </w:t>
      </w:r>
    </w:p>
    <w:p w14:paraId="5C3226F8" w14:textId="77777777" w:rsidR="00E0229F" w:rsidRPr="00E0229F" w:rsidRDefault="00E0229F" w:rsidP="00E0229F">
      <w:pPr>
        <w:pStyle w:val="NoSpacing"/>
        <w:rPr>
          <w:rFonts w:ascii="Times New Roman" w:hAnsi="Times New Roman"/>
          <w:sz w:val="24"/>
          <w:szCs w:val="24"/>
        </w:rPr>
      </w:pPr>
    </w:p>
    <w:p w14:paraId="0B0DEC29"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THE COURT HELD:</w:t>
      </w:r>
    </w:p>
    <w:p w14:paraId="3029A23C" w14:textId="77777777" w:rsidR="00E0229F" w:rsidRPr="00E0229F" w:rsidRDefault="00E0229F" w:rsidP="00E0229F">
      <w:pPr>
        <w:pStyle w:val="NoSpacing"/>
        <w:rPr>
          <w:rFonts w:ascii="Times New Roman" w:hAnsi="Times New Roman"/>
          <w:sz w:val="24"/>
          <w:szCs w:val="24"/>
        </w:rPr>
      </w:pPr>
    </w:p>
    <w:p w14:paraId="48419A42"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“The Board also received the reports and testimony of four doctors. Plaintiff called</w:t>
      </w:r>
    </w:p>
    <w:p w14:paraId="17C7B43D"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 xml:space="preserve">Dr. Peter Orris, a physician trained in occupational and internal medicine, as a retained expert. The other three </w:t>
      </w:r>
      <w:proofErr w:type="gramStart"/>
      <w:r w:rsidRPr="00E0229F">
        <w:rPr>
          <w:rFonts w:ascii="Times New Roman" w:hAnsi="Times New Roman"/>
          <w:sz w:val="24"/>
          <w:szCs w:val="24"/>
        </w:rPr>
        <w:t>doctors—</w:t>
      </w:r>
      <w:proofErr w:type="gramEnd"/>
      <w:r w:rsidRPr="00E0229F">
        <w:rPr>
          <w:rFonts w:ascii="Times New Roman" w:hAnsi="Times New Roman"/>
          <w:sz w:val="24"/>
          <w:szCs w:val="24"/>
        </w:rPr>
        <w:t>Dr. Nicholas Campbell, Dr. Daniel Samo, and Dr. Elliot Lieberman— served as the Board’s IMEs.</w:t>
      </w:r>
    </w:p>
    <w:p w14:paraId="635A4EF7" w14:textId="77777777" w:rsidR="00E0229F" w:rsidRPr="00E0229F" w:rsidRDefault="00E0229F" w:rsidP="00E0229F">
      <w:pPr>
        <w:pStyle w:val="NoSpacing"/>
        <w:ind w:left="720"/>
        <w:rPr>
          <w:rFonts w:ascii="Times New Roman" w:hAnsi="Times New Roman"/>
          <w:sz w:val="24"/>
          <w:szCs w:val="24"/>
        </w:rPr>
      </w:pPr>
    </w:p>
    <w:p w14:paraId="1A944C86"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w:t>
      </w:r>
    </w:p>
    <w:p w14:paraId="46486EA5"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In February 2023, the Board issued its written decision and order. In relevant part,</w:t>
      </w:r>
    </w:p>
    <w:p w14:paraId="63C99218"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the Board determined plaintiff failed to show ‘that his act or acts of duty, or the cumulative effects thereof, caused or contributed to his disability,’ and he further failed to show ‘that his cancer was related to his service as a firefighter.’ In coming to its conclusion, the Board acknowledged the differences of opinion between the IMEs and Dr. Orris but afforded ‘paramount weight to the opinion of Dr. Campbell’ because he was ‘a board-certified oncologist and therefore in the best position to opine on the cause of the [plaintiff’s] cancer.’</w:t>
      </w:r>
    </w:p>
    <w:p w14:paraId="46F6A0F9" w14:textId="77777777" w:rsidR="00E0229F" w:rsidRPr="00E0229F" w:rsidRDefault="00E0229F" w:rsidP="00E0229F">
      <w:pPr>
        <w:pStyle w:val="NoSpacing"/>
        <w:ind w:left="720"/>
        <w:rPr>
          <w:rFonts w:ascii="Times New Roman" w:hAnsi="Times New Roman"/>
          <w:sz w:val="24"/>
          <w:szCs w:val="24"/>
        </w:rPr>
      </w:pPr>
    </w:p>
    <w:p w14:paraId="7E8A4CC4"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w:t>
      </w:r>
    </w:p>
    <w:p w14:paraId="1AAFF304" w14:textId="77777777" w:rsidR="00E0229F" w:rsidRPr="00E0229F" w:rsidRDefault="00E0229F" w:rsidP="00E0229F">
      <w:pPr>
        <w:pStyle w:val="NoSpacing"/>
        <w:ind w:left="720"/>
        <w:rPr>
          <w:rFonts w:ascii="Times New Roman" w:hAnsi="Times New Roman"/>
          <w:sz w:val="24"/>
          <w:szCs w:val="24"/>
        </w:rPr>
      </w:pPr>
    </w:p>
    <w:p w14:paraId="6B0AA503"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 xml:space="preserve">Dr. Nicholas Campbell is a board-certified oncologist specializing in thoracic, head, and neck malignancies. Dr. Campbell ruled out plaintiff’s firefighting duties as a contributing cause of plaintiff’s cancer based on the type of cancer plaintiff had. According to Dr. </w:t>
      </w:r>
      <w:proofErr w:type="gramStart"/>
      <w:r w:rsidRPr="00E0229F">
        <w:rPr>
          <w:rFonts w:ascii="Times New Roman" w:hAnsi="Times New Roman"/>
          <w:sz w:val="24"/>
          <w:szCs w:val="24"/>
        </w:rPr>
        <w:t>Campbell, ‘</w:t>
      </w:r>
      <w:proofErr w:type="gramEnd"/>
      <w:r w:rsidRPr="00E0229F">
        <w:rPr>
          <w:rFonts w:ascii="Times New Roman" w:hAnsi="Times New Roman"/>
          <w:sz w:val="24"/>
          <w:szCs w:val="24"/>
        </w:rPr>
        <w:t xml:space="preserve">p16 is a well-known and highly reproducible molecule for which pathologists routinely test head [and] neck cancers.’ Plaintiff’s tumors tested ‘strongly positive for this molecule,’ and Dr. Campbell concluded plaintiff’s cancer ‘was not caused by heat, radiation, or a known carcinogen that he would have been exposed to at work.’ Dr. Campbell </w:t>
      </w:r>
      <w:proofErr w:type="gramStart"/>
      <w:r w:rsidRPr="00E0229F">
        <w:rPr>
          <w:rFonts w:ascii="Times New Roman" w:hAnsi="Times New Roman"/>
          <w:sz w:val="24"/>
          <w:szCs w:val="24"/>
        </w:rPr>
        <w:t>explained, ‘</w:t>
      </w:r>
      <w:proofErr w:type="gramEnd"/>
      <w:r w:rsidRPr="00E0229F">
        <w:rPr>
          <w:rFonts w:ascii="Times New Roman" w:hAnsi="Times New Roman"/>
          <w:sz w:val="24"/>
          <w:szCs w:val="24"/>
        </w:rPr>
        <w:t xml:space="preserve">p16 positivity, especially when diffusely positive on a specimen as [plaintiff’s] samples were, is pathognomonic for a cancer caused by HPV. Other cancers that are not HPV related in the head [and] neck can rarely be seen to be p16 </w:t>
      </w:r>
      <w:proofErr w:type="gramStart"/>
      <w:r w:rsidRPr="00E0229F">
        <w:rPr>
          <w:rFonts w:ascii="Times New Roman" w:hAnsi="Times New Roman"/>
          <w:sz w:val="24"/>
          <w:szCs w:val="24"/>
        </w:rPr>
        <w:t>positive, but</w:t>
      </w:r>
      <w:proofErr w:type="gramEnd"/>
      <w:r w:rsidRPr="00E0229F">
        <w:rPr>
          <w:rFonts w:ascii="Times New Roman" w:hAnsi="Times New Roman"/>
          <w:sz w:val="24"/>
          <w:szCs w:val="24"/>
        </w:rPr>
        <w:t xml:space="preserve"> usually have a primary lesion that is found.’ Dr. Campbell also explained why the negative results of plaintiff’s metastasized samples for the HPV 16 and 18 genotypes did not change his opinion. According to Dr. </w:t>
      </w:r>
      <w:proofErr w:type="gramStart"/>
      <w:r w:rsidRPr="00E0229F">
        <w:rPr>
          <w:rFonts w:ascii="Times New Roman" w:hAnsi="Times New Roman"/>
          <w:sz w:val="24"/>
          <w:szCs w:val="24"/>
        </w:rPr>
        <w:t>Campbell, ‘</w:t>
      </w:r>
      <w:proofErr w:type="gramEnd"/>
      <w:r w:rsidRPr="00E0229F">
        <w:rPr>
          <w:rFonts w:ascii="Times New Roman" w:hAnsi="Times New Roman"/>
          <w:sz w:val="24"/>
          <w:szCs w:val="24"/>
        </w:rPr>
        <w:t>when cancers spread and metastasize, they become more deranged” and “will oftentimes lose the HPV positivity.’ And because plaintiff’s initial biopsy samples were diffusely positive for the p16 molecule, Dr. Campbell reasoned that ‘[t]his would be sort of the one tumor type to get that you can’t really pin on anything else,’ other than HPV.”</w:t>
      </w:r>
    </w:p>
    <w:p w14:paraId="126945A6" w14:textId="77777777" w:rsidR="00E0229F" w:rsidRPr="00E0229F" w:rsidRDefault="00E0229F" w:rsidP="00E0229F">
      <w:pPr>
        <w:pStyle w:val="NoSpacing"/>
        <w:rPr>
          <w:rFonts w:ascii="Times New Roman" w:hAnsi="Times New Roman"/>
          <w:sz w:val="24"/>
          <w:szCs w:val="24"/>
        </w:rPr>
      </w:pPr>
    </w:p>
    <w:p w14:paraId="13E11A92" w14:textId="77777777" w:rsidR="00E0229F" w:rsidRPr="00E0229F" w:rsidRDefault="00E0229F" w:rsidP="00E0229F">
      <w:pPr>
        <w:pStyle w:val="NoSpacing"/>
        <w:rPr>
          <w:rFonts w:ascii="Times New Roman" w:hAnsi="Times New Roman"/>
          <w:sz w:val="24"/>
          <w:szCs w:val="24"/>
        </w:rPr>
      </w:pPr>
    </w:p>
    <w:p w14:paraId="3DC51640" w14:textId="77777777" w:rsidR="00E0229F" w:rsidRPr="00E0229F" w:rsidRDefault="00E0229F" w:rsidP="00E0229F">
      <w:pPr>
        <w:rPr>
          <w:rFonts w:ascii="Times New Roman" w:hAnsi="Times New Roman"/>
          <w:b/>
          <w:bCs/>
          <w:sz w:val="24"/>
          <w:szCs w:val="24"/>
        </w:rPr>
      </w:pPr>
      <w:r w:rsidRPr="00E0229F">
        <w:rPr>
          <w:rFonts w:ascii="Times New Roman" w:hAnsi="Times New Roman"/>
          <w:b/>
          <w:bCs/>
          <w:sz w:val="24"/>
          <w:szCs w:val="24"/>
        </w:rPr>
        <w:lastRenderedPageBreak/>
        <w:t xml:space="preserve">Legal Lesson Learned:  Another case involving “battle of experts” where Pension Board relied on their experts.  Where SCBA during overhaul if smoky environment.  </w:t>
      </w:r>
    </w:p>
    <w:p w14:paraId="4CF36C77" w14:textId="77777777" w:rsidR="00E0229F" w:rsidRDefault="00E0229F" w:rsidP="00E0229F"/>
    <w:p w14:paraId="6B24DC6F" w14:textId="77777777" w:rsidR="00E0229F" w:rsidRDefault="00E0229F" w:rsidP="006C4AD8">
      <w:pPr>
        <w:pStyle w:val="NormalWeb"/>
        <w:spacing w:before="0" w:beforeAutospacing="0"/>
        <w:rPr>
          <w:rFonts w:ascii="Arial Black" w:hAnsi="Arial Black"/>
          <w:b/>
          <w:bCs/>
          <w:color w:val="454545"/>
          <w:sz w:val="28"/>
          <w:szCs w:val="28"/>
          <w:shd w:val="clear" w:color="auto" w:fill="FFFFFF"/>
        </w:rPr>
      </w:pPr>
    </w:p>
    <w:p w14:paraId="26E1D17B" w14:textId="77777777" w:rsidR="00525E67" w:rsidRDefault="00525E67" w:rsidP="006C4AD8">
      <w:pPr>
        <w:pStyle w:val="NormalWeb"/>
        <w:spacing w:before="0" w:beforeAutospacing="0"/>
        <w:rPr>
          <w:rFonts w:ascii="Arial Black" w:hAnsi="Arial Black"/>
          <w:b/>
          <w:bCs/>
          <w:color w:val="454545"/>
          <w:sz w:val="28"/>
          <w:szCs w:val="28"/>
          <w:shd w:val="clear" w:color="auto" w:fill="FFFFFF"/>
        </w:rPr>
      </w:pPr>
    </w:p>
    <w:p w14:paraId="1FB1BDF4" w14:textId="04AAFF3F" w:rsidR="00FF0339" w:rsidRDefault="00FF0339"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7</w:t>
      </w:r>
    </w:p>
    <w:p w14:paraId="32AD24CE" w14:textId="77777777" w:rsidR="00525E67" w:rsidRPr="0047626B" w:rsidRDefault="00525E67" w:rsidP="00525E67">
      <w:pPr>
        <w:rPr>
          <w:rFonts w:ascii="Arial Black" w:hAnsi="Arial Black"/>
          <w:b/>
          <w:bCs/>
          <w:sz w:val="28"/>
        </w:rPr>
      </w:pPr>
      <w:r>
        <w:rPr>
          <w:rFonts w:ascii="Arial Black" w:hAnsi="Arial Black"/>
          <w:b/>
          <w:bCs/>
          <w:sz w:val="28"/>
        </w:rPr>
        <w:t xml:space="preserve">CT: FIRE CHIEF – CITY CHARTER “PENSION OFFSET” - 75% DISABILITY PENSION OFFSET / WIFE NO MORE WORK COMP </w:t>
      </w:r>
    </w:p>
    <w:p w14:paraId="3769B752" w14:textId="77777777" w:rsidR="00525E67" w:rsidRPr="00525E67" w:rsidRDefault="00525E67" w:rsidP="00525E67">
      <w:pPr>
        <w:pStyle w:val="NoSpacing"/>
        <w:rPr>
          <w:rFonts w:ascii="Times New Roman" w:hAnsi="Times New Roman"/>
          <w:sz w:val="24"/>
          <w:szCs w:val="24"/>
        </w:rPr>
      </w:pPr>
      <w:r w:rsidRPr="00525E67">
        <w:rPr>
          <w:rFonts w:ascii="Times New Roman" w:hAnsi="Times New Roman"/>
          <w:sz w:val="24"/>
          <w:szCs w:val="24"/>
        </w:rPr>
        <w:t xml:space="preserve">On Sept. 24, 2024, in </w:t>
      </w:r>
      <w:r w:rsidRPr="00525E67">
        <w:rPr>
          <w:rFonts w:ascii="Times New Roman" w:hAnsi="Times New Roman"/>
          <w:sz w:val="24"/>
          <w:szCs w:val="24"/>
          <w:u w:val="single"/>
        </w:rPr>
        <w:t>City of Waterbury v. Janet Brennan, et al</w:t>
      </w:r>
      <w:r w:rsidRPr="00525E67">
        <w:rPr>
          <w:rFonts w:ascii="Times New Roman" w:hAnsi="Times New Roman"/>
          <w:sz w:val="24"/>
          <w:szCs w:val="24"/>
        </w:rPr>
        <w:t xml:space="preserve">., the Connecticut Appellant Court held (9 to 0) that the trial court properly granted summary judgment to the city.  Fire Chief Thomas Brennan had a heart attack in 1993 and was awarded worker’s comp; he retired on disability pension in 1995 (75%).  He died in 2006, having received monthly pension payments </w:t>
      </w:r>
      <w:proofErr w:type="gramStart"/>
      <w:r w:rsidRPr="00525E67">
        <w:rPr>
          <w:rFonts w:ascii="Times New Roman" w:hAnsi="Times New Roman"/>
          <w:sz w:val="24"/>
          <w:szCs w:val="24"/>
        </w:rPr>
        <w:t>and also</w:t>
      </w:r>
      <w:proofErr w:type="gramEnd"/>
      <w:r w:rsidRPr="00525E67">
        <w:rPr>
          <w:rFonts w:ascii="Times New Roman" w:hAnsi="Times New Roman"/>
          <w:sz w:val="24"/>
          <w:szCs w:val="24"/>
        </w:rPr>
        <w:t xml:space="preserve"> two worker’s comp lump sum payments in 1997 and 1999.   The </w:t>
      </w:r>
      <w:proofErr w:type="gramStart"/>
      <w:r w:rsidRPr="00525E67">
        <w:rPr>
          <w:rFonts w:ascii="Times New Roman" w:hAnsi="Times New Roman"/>
          <w:sz w:val="24"/>
          <w:szCs w:val="24"/>
        </w:rPr>
        <w:t>City</w:t>
      </w:r>
      <w:proofErr w:type="gramEnd"/>
      <w:r w:rsidRPr="00525E67">
        <w:rPr>
          <w:rFonts w:ascii="Times New Roman" w:hAnsi="Times New Roman"/>
          <w:sz w:val="24"/>
          <w:szCs w:val="24"/>
        </w:rPr>
        <w:t xml:space="preserve"> in 2005 asked Court to confirm no further worker’s comp payments were due to his widow. The City Charter provides that worker’s comp. obligations are to be “offset” by pension payments paid to the retiree.  The Court wrote: “As our Supreme Court observed in Russo v. Waterbury, 304 Conn. 710, 714, 41 A.3d 1033 (2012), § 2761 of the city charter ‘‘allows the city to offset the . . . pension benefits [of municipal employees] based on their heart and hypertension benefits’’ under § 7-433c.”</w:t>
      </w:r>
    </w:p>
    <w:p w14:paraId="6DAA9F60" w14:textId="77777777" w:rsidR="00525E67" w:rsidRPr="00525E67" w:rsidRDefault="00525E67" w:rsidP="00525E67">
      <w:pPr>
        <w:pStyle w:val="NoSpacing"/>
        <w:rPr>
          <w:rFonts w:ascii="Times New Roman" w:hAnsi="Times New Roman"/>
          <w:sz w:val="24"/>
          <w:szCs w:val="24"/>
        </w:rPr>
      </w:pPr>
      <w:hyperlink r:id="rId1045" w:history="1">
        <w:r w:rsidRPr="00525E67">
          <w:rPr>
            <w:rStyle w:val="Hyperlink"/>
            <w:rFonts w:ascii="Times New Roman" w:hAnsi="Times New Roman"/>
            <w:sz w:val="24"/>
            <w:szCs w:val="24"/>
          </w:rPr>
          <w:t>https://www.jud.ct.gov/external/supapp/Cases/AROap/AP228/AP228.307.pdf</w:t>
        </w:r>
      </w:hyperlink>
      <w:r w:rsidRPr="00525E67">
        <w:rPr>
          <w:rFonts w:ascii="Times New Roman" w:hAnsi="Times New Roman"/>
          <w:sz w:val="24"/>
          <w:szCs w:val="24"/>
        </w:rPr>
        <w:t xml:space="preserve"> </w:t>
      </w:r>
    </w:p>
    <w:p w14:paraId="45B116DE" w14:textId="77777777" w:rsidR="00525E67" w:rsidRPr="00525E67" w:rsidRDefault="00525E67" w:rsidP="00525E67">
      <w:pPr>
        <w:pStyle w:val="NoSpacing"/>
        <w:jc w:val="both"/>
        <w:rPr>
          <w:rFonts w:ascii="Times New Roman" w:hAnsi="Times New Roman"/>
          <w:sz w:val="24"/>
          <w:szCs w:val="24"/>
        </w:rPr>
      </w:pPr>
    </w:p>
    <w:p w14:paraId="35C71931" w14:textId="77777777" w:rsidR="00525E67" w:rsidRPr="00525E67" w:rsidRDefault="00525E67" w:rsidP="00525E67">
      <w:pPr>
        <w:pStyle w:val="NoSpacing"/>
        <w:rPr>
          <w:rFonts w:ascii="Times New Roman" w:hAnsi="Times New Roman"/>
          <w:sz w:val="24"/>
          <w:szCs w:val="24"/>
        </w:rPr>
      </w:pPr>
      <w:r w:rsidRPr="00525E67">
        <w:rPr>
          <w:rFonts w:ascii="Times New Roman" w:hAnsi="Times New Roman"/>
          <w:sz w:val="24"/>
          <w:szCs w:val="24"/>
        </w:rPr>
        <w:t xml:space="preserve"> THE COURT HELD: </w:t>
      </w:r>
    </w:p>
    <w:p w14:paraId="321E3EC6" w14:textId="77777777" w:rsidR="00525E67" w:rsidRPr="00525E67" w:rsidRDefault="00525E67" w:rsidP="00525E67">
      <w:pPr>
        <w:pStyle w:val="NoSpacing"/>
        <w:rPr>
          <w:rFonts w:ascii="Times New Roman" w:hAnsi="Times New Roman"/>
          <w:sz w:val="24"/>
          <w:szCs w:val="24"/>
        </w:rPr>
      </w:pPr>
    </w:p>
    <w:p w14:paraId="4D5B00D4" w14:textId="77777777" w:rsidR="00525E67" w:rsidRPr="00525E67" w:rsidRDefault="00525E67" w:rsidP="00525E67">
      <w:pPr>
        <w:pStyle w:val="NoSpacing"/>
        <w:ind w:left="720"/>
        <w:rPr>
          <w:rFonts w:ascii="Times New Roman" w:hAnsi="Times New Roman"/>
          <w:sz w:val="24"/>
          <w:szCs w:val="24"/>
        </w:rPr>
      </w:pPr>
      <w:r w:rsidRPr="00525E67">
        <w:rPr>
          <w:rFonts w:ascii="Times New Roman" w:hAnsi="Times New Roman"/>
          <w:sz w:val="24"/>
          <w:szCs w:val="24"/>
        </w:rPr>
        <w:t>“In this action for declaratory relief, the defendant Janet Brennan appeals from the judgment of the trial court rendered in favor of the plaintiff, the city of Waterbury (city). On appeal, the defendant claims that the court improperly denied her motion for summary judgment and, relatedly, that it improperly granted the motion for summary judgment filed by the city. We affirm the judgment of the trial court.</w:t>
      </w:r>
    </w:p>
    <w:p w14:paraId="373BA91F" w14:textId="77777777" w:rsidR="00525E67" w:rsidRPr="00525E67" w:rsidRDefault="00525E67" w:rsidP="00525E67">
      <w:pPr>
        <w:pStyle w:val="NoSpacing"/>
        <w:rPr>
          <w:rFonts w:ascii="Times New Roman" w:hAnsi="Times New Roman"/>
          <w:sz w:val="24"/>
          <w:szCs w:val="24"/>
        </w:rPr>
      </w:pPr>
    </w:p>
    <w:p w14:paraId="06D3D784" w14:textId="77777777" w:rsidR="00525E67" w:rsidRPr="00525E67" w:rsidRDefault="00525E67" w:rsidP="00525E67">
      <w:pPr>
        <w:pStyle w:val="NoSpacing"/>
        <w:ind w:firstLine="720"/>
        <w:rPr>
          <w:rFonts w:ascii="Times New Roman" w:hAnsi="Times New Roman"/>
          <w:sz w:val="24"/>
          <w:szCs w:val="24"/>
        </w:rPr>
      </w:pPr>
      <w:r w:rsidRPr="00525E67">
        <w:rPr>
          <w:rFonts w:ascii="Times New Roman" w:hAnsi="Times New Roman"/>
          <w:sz w:val="24"/>
          <w:szCs w:val="24"/>
        </w:rPr>
        <w:t>***</w:t>
      </w:r>
    </w:p>
    <w:p w14:paraId="07FFA0D9" w14:textId="77777777" w:rsidR="00525E67" w:rsidRPr="00525E67" w:rsidRDefault="00525E67" w:rsidP="00525E67">
      <w:pPr>
        <w:ind w:left="720"/>
        <w:rPr>
          <w:rFonts w:ascii="Times New Roman" w:hAnsi="Times New Roman"/>
          <w:sz w:val="24"/>
          <w:szCs w:val="24"/>
        </w:rPr>
      </w:pPr>
      <w:r w:rsidRPr="00525E67">
        <w:rPr>
          <w:rFonts w:ascii="Times New Roman" w:hAnsi="Times New Roman"/>
          <w:sz w:val="24"/>
          <w:szCs w:val="24"/>
        </w:rPr>
        <w:t xml:space="preserve">The city commenced the present action by service of process on December 24, 2015. The gist of its complaint was that, due to a pension offset provision in </w:t>
      </w:r>
      <w:proofErr w:type="gramStart"/>
      <w:r w:rsidRPr="00525E67">
        <w:rPr>
          <w:rFonts w:ascii="Times New Roman" w:hAnsi="Times New Roman"/>
          <w:sz w:val="24"/>
          <w:szCs w:val="24"/>
        </w:rPr>
        <w:t>the 1967</w:t>
      </w:r>
      <w:proofErr w:type="gramEnd"/>
      <w:r w:rsidRPr="00525E67">
        <w:rPr>
          <w:rFonts w:ascii="Times New Roman" w:hAnsi="Times New Roman"/>
          <w:sz w:val="24"/>
          <w:szCs w:val="24"/>
        </w:rPr>
        <w:t xml:space="preserve"> Waterbury city charter (city charter), no further heart and hypertension payments were due to the defendant.</w:t>
      </w:r>
    </w:p>
    <w:p w14:paraId="74CA59A7" w14:textId="77777777" w:rsidR="00525E67" w:rsidRPr="00525E67" w:rsidRDefault="00525E67" w:rsidP="00525E67">
      <w:pPr>
        <w:ind w:firstLine="720"/>
        <w:rPr>
          <w:rFonts w:ascii="Times New Roman" w:hAnsi="Times New Roman"/>
          <w:sz w:val="24"/>
          <w:szCs w:val="24"/>
        </w:rPr>
      </w:pPr>
      <w:r w:rsidRPr="00525E67">
        <w:rPr>
          <w:rFonts w:ascii="Times New Roman" w:hAnsi="Times New Roman"/>
          <w:sz w:val="24"/>
          <w:szCs w:val="24"/>
        </w:rPr>
        <w:t>***</w:t>
      </w:r>
    </w:p>
    <w:p w14:paraId="11DE5E0C" w14:textId="77777777" w:rsidR="00525E67" w:rsidRPr="00525E67" w:rsidRDefault="00525E67" w:rsidP="00525E67">
      <w:pPr>
        <w:pStyle w:val="NoSpacing"/>
        <w:ind w:left="720"/>
        <w:rPr>
          <w:rFonts w:ascii="Times New Roman" w:hAnsi="Times New Roman"/>
          <w:sz w:val="24"/>
          <w:szCs w:val="24"/>
        </w:rPr>
      </w:pPr>
      <w:r w:rsidRPr="00525E67">
        <w:rPr>
          <w:rFonts w:ascii="Times New Roman" w:hAnsi="Times New Roman"/>
          <w:sz w:val="24"/>
          <w:szCs w:val="24"/>
        </w:rPr>
        <w:t xml:space="preserve">Section 2761 of the city charter provides: ‘’No payments of retirement, disability or death benefits shall be allowed or paid under the provisions of this act so long or for such period as payments are being made by [the city] under the provisions of the General Statutes relating to workers’ compensation except when such payments would exceed the payments made under the provisions of the Workers’ Compensation Act. In such cases the pensioner shall receive, in addition to his payments under the Workers’ Compensation </w:t>
      </w:r>
      <w:proofErr w:type="gramStart"/>
      <w:r w:rsidRPr="00525E67">
        <w:rPr>
          <w:rFonts w:ascii="Times New Roman" w:hAnsi="Times New Roman"/>
          <w:sz w:val="24"/>
          <w:szCs w:val="24"/>
        </w:rPr>
        <w:t>Act</w:t>
      </w:r>
      <w:proofErr w:type="gramEnd"/>
      <w:r w:rsidRPr="00525E67">
        <w:rPr>
          <w:rFonts w:ascii="Times New Roman" w:hAnsi="Times New Roman"/>
          <w:sz w:val="24"/>
          <w:szCs w:val="24"/>
        </w:rPr>
        <w:t xml:space="preserve"> the difference between that amount and the amount which he would have received under the provisions of this </w:t>
      </w:r>
      <w:proofErr w:type="gramStart"/>
      <w:r w:rsidRPr="00525E67">
        <w:rPr>
          <w:rFonts w:ascii="Times New Roman" w:hAnsi="Times New Roman"/>
          <w:sz w:val="24"/>
          <w:szCs w:val="24"/>
        </w:rPr>
        <w:t>act.’</w:t>
      </w:r>
      <w:proofErr w:type="gramEnd"/>
      <w:r w:rsidRPr="00525E67">
        <w:rPr>
          <w:rFonts w:ascii="Times New Roman" w:hAnsi="Times New Roman"/>
          <w:sz w:val="24"/>
          <w:szCs w:val="24"/>
        </w:rPr>
        <w:t>’ In Russo v. Waterbury, supra, 304 Conn. 714, our Supreme Court concluded that § 2761 of the city charter ’allows the city to offset the . . . pension benefits [of municipal employees] based on their heart and hypertension benefits’’ under § 7-433c.’”</w:t>
      </w:r>
    </w:p>
    <w:p w14:paraId="1ACAA7F0" w14:textId="77777777" w:rsidR="00525E67" w:rsidRPr="00525E67" w:rsidRDefault="00525E67" w:rsidP="00525E67">
      <w:pPr>
        <w:pStyle w:val="NoSpacing"/>
        <w:ind w:left="720"/>
        <w:rPr>
          <w:rFonts w:ascii="Times New Roman" w:hAnsi="Times New Roman"/>
          <w:sz w:val="24"/>
          <w:szCs w:val="24"/>
        </w:rPr>
      </w:pPr>
    </w:p>
    <w:p w14:paraId="6B9950CA" w14:textId="77777777" w:rsidR="00525E67" w:rsidRPr="00525E67" w:rsidRDefault="00525E67" w:rsidP="00525E67">
      <w:pPr>
        <w:pStyle w:val="NoSpacing"/>
        <w:rPr>
          <w:rFonts w:ascii="Times New Roman" w:hAnsi="Times New Roman"/>
          <w:sz w:val="24"/>
          <w:szCs w:val="24"/>
        </w:rPr>
      </w:pPr>
    </w:p>
    <w:p w14:paraId="1DA4930A" w14:textId="77777777" w:rsidR="00525E67" w:rsidRPr="00525E67" w:rsidRDefault="00525E67" w:rsidP="00525E67">
      <w:pPr>
        <w:rPr>
          <w:rFonts w:ascii="Times New Roman" w:hAnsi="Times New Roman"/>
          <w:sz w:val="24"/>
          <w:szCs w:val="24"/>
        </w:rPr>
      </w:pPr>
    </w:p>
    <w:p w14:paraId="4DA998E9" w14:textId="77777777" w:rsidR="00525E67" w:rsidRPr="00525E67" w:rsidRDefault="00525E67" w:rsidP="00525E67">
      <w:pPr>
        <w:rPr>
          <w:rFonts w:ascii="Times New Roman" w:hAnsi="Times New Roman"/>
          <w:b/>
          <w:bCs/>
          <w:sz w:val="24"/>
          <w:szCs w:val="24"/>
        </w:rPr>
      </w:pPr>
      <w:r w:rsidRPr="00525E67">
        <w:rPr>
          <w:rFonts w:ascii="Times New Roman" w:hAnsi="Times New Roman"/>
          <w:b/>
          <w:bCs/>
          <w:sz w:val="24"/>
          <w:szCs w:val="24"/>
        </w:rPr>
        <w:t xml:space="preserve">Legal Lesson Learned: A City Charter can provide for “offset” so the city will not be required to pay both workers comp and pension. </w:t>
      </w:r>
    </w:p>
    <w:p w14:paraId="7E5BF7E9" w14:textId="77777777" w:rsidR="00525E67" w:rsidRDefault="00525E67" w:rsidP="00525E67"/>
    <w:p w14:paraId="6E9E6046" w14:textId="229DE5E2" w:rsidR="003F2075" w:rsidRDefault="003F207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6</w:t>
      </w:r>
    </w:p>
    <w:p w14:paraId="77CDEA8F" w14:textId="77777777" w:rsidR="00C81642" w:rsidRDefault="00C81642" w:rsidP="00C81642">
      <w:pPr>
        <w:pStyle w:val="NoSpacing"/>
        <w:rPr>
          <w:rFonts w:ascii="Aptos Black" w:hAnsi="Aptos Black"/>
          <w:sz w:val="28"/>
        </w:rPr>
      </w:pPr>
      <w:r>
        <w:rPr>
          <w:rFonts w:ascii="Arial Black" w:hAnsi="Arial Black"/>
          <w:sz w:val="28"/>
        </w:rPr>
        <w:t xml:space="preserve">MA: BOSTON FF – MUSLIM – REFUSED COVID WEEKLY TESTING OR VACINATION – NO UNEMPLOYMENT </w:t>
      </w:r>
    </w:p>
    <w:p w14:paraId="31AC6C68" w14:textId="77777777" w:rsidR="00C81642" w:rsidRDefault="00C81642" w:rsidP="00C81642">
      <w:pPr>
        <w:pStyle w:val="NoSpacing"/>
        <w:rPr>
          <w:rFonts w:ascii="Aptos Black" w:hAnsi="Aptos Black"/>
          <w:sz w:val="28"/>
        </w:rPr>
      </w:pPr>
    </w:p>
    <w:p w14:paraId="3EC7A062" w14:textId="77777777" w:rsidR="00C81642" w:rsidRPr="00C81642" w:rsidRDefault="00C81642" w:rsidP="00C81642">
      <w:pPr>
        <w:pStyle w:val="NoSpacing"/>
        <w:rPr>
          <w:rFonts w:ascii="Times New Roman" w:hAnsi="Times New Roman"/>
          <w:sz w:val="24"/>
          <w:szCs w:val="24"/>
        </w:rPr>
      </w:pPr>
      <w:r w:rsidRPr="00C81642">
        <w:rPr>
          <w:rFonts w:ascii="Times New Roman" w:hAnsi="Times New Roman"/>
          <w:sz w:val="24"/>
          <w:szCs w:val="24"/>
        </w:rPr>
        <w:t xml:space="preserve">On August 28, 2024, in </w:t>
      </w:r>
      <w:r w:rsidRPr="00C81642">
        <w:rPr>
          <w:rFonts w:ascii="Times New Roman" w:hAnsi="Times New Roman"/>
          <w:sz w:val="24"/>
          <w:szCs w:val="24"/>
          <w:u w:val="single"/>
        </w:rPr>
        <w:t>Michael Browder v. Department of Unemployment Assistance</w:t>
      </w:r>
      <w:r w:rsidRPr="00C81642">
        <w:rPr>
          <w:rFonts w:ascii="Times New Roman" w:hAnsi="Times New Roman"/>
          <w:sz w:val="24"/>
          <w:szCs w:val="24"/>
        </w:rPr>
        <w:t xml:space="preserve">, the Appeals Court of Massachusetts held (3 to 0) that the former Boston firefighter was not entitled to unemployment compensation.  The Court wrote: “As directed, the [unemployment hearing] examiner made one additional finding: </w:t>
      </w:r>
    </w:p>
    <w:p w14:paraId="0B6097D6" w14:textId="77777777" w:rsidR="00C81642" w:rsidRPr="00C81642" w:rsidRDefault="00C81642" w:rsidP="00C81642">
      <w:pPr>
        <w:pStyle w:val="NoSpacing"/>
        <w:ind w:left="720"/>
        <w:rPr>
          <w:rFonts w:ascii="Times New Roman" w:hAnsi="Times New Roman"/>
          <w:sz w:val="24"/>
          <w:szCs w:val="24"/>
        </w:rPr>
      </w:pPr>
    </w:p>
    <w:p w14:paraId="13ADA41E" w14:textId="77777777" w:rsidR="00C81642" w:rsidRPr="00C81642" w:rsidRDefault="00C81642" w:rsidP="00C81642">
      <w:pPr>
        <w:pStyle w:val="NoSpacing"/>
        <w:ind w:left="720"/>
        <w:rPr>
          <w:rFonts w:ascii="Times New Roman" w:hAnsi="Times New Roman"/>
          <w:sz w:val="24"/>
          <w:szCs w:val="24"/>
        </w:rPr>
      </w:pPr>
      <w:r w:rsidRPr="00C81642">
        <w:rPr>
          <w:rFonts w:ascii="Times New Roman" w:hAnsi="Times New Roman"/>
          <w:sz w:val="24"/>
          <w:szCs w:val="24"/>
        </w:rPr>
        <w:t>‘Since being placed on an employer-imposed leave of absence, [Browder] has not been actively seeking work because he only wants to be a firefighter and feels that other municipalities would not hire him because of his vaccination status.’ Adopting the review examiner's factual findings in their entirety, the board reached a different conclusion: Browder was neither totally nor partially unemployed under G. L. c. 151A, §§ 1 (r) and 29, and was therefore ineligible for unemployment benefits.</w:t>
      </w:r>
    </w:p>
    <w:p w14:paraId="077DCF4B" w14:textId="77777777" w:rsidR="00C81642" w:rsidRPr="00C81642" w:rsidRDefault="00C81642" w:rsidP="00C81642">
      <w:pPr>
        <w:pStyle w:val="NoSpacing"/>
        <w:rPr>
          <w:rFonts w:ascii="Times New Roman" w:hAnsi="Times New Roman"/>
          <w:sz w:val="24"/>
          <w:szCs w:val="24"/>
        </w:rPr>
      </w:pPr>
    </w:p>
    <w:p w14:paraId="00863329" w14:textId="77777777" w:rsidR="00C81642" w:rsidRPr="00C81642" w:rsidRDefault="00C81642" w:rsidP="00C81642">
      <w:pPr>
        <w:pStyle w:val="NoSpacing"/>
        <w:rPr>
          <w:rFonts w:ascii="Times New Roman" w:hAnsi="Times New Roman"/>
          <w:sz w:val="24"/>
          <w:szCs w:val="24"/>
        </w:rPr>
      </w:pPr>
      <w:r w:rsidRPr="00C81642">
        <w:rPr>
          <w:rFonts w:ascii="Times New Roman" w:hAnsi="Times New Roman"/>
          <w:sz w:val="24"/>
          <w:szCs w:val="24"/>
        </w:rPr>
        <w:t xml:space="preserve">In the BMC [Boston Municipal Court], Browder argued that the board failed to provide a full remand hearing with an opportunity for Browder to testify and submit evidence of his search for work. While the remand procedure employed by the board does indeed appear unorthodox, Browder's principal brief provides no legal authority demonstrating that the procedure violated any statute, regulation, or Browder's due process rights. Nor does he provide any basis for us to conclude that the board's decision, to which we owe substantial deference, was arbitrary or capricious, was not based on correct legal principles, or was not supported by substantial </w:t>
      </w:r>
      <w:proofErr w:type="gramStart"/>
      <w:r w:rsidRPr="00C81642">
        <w:rPr>
          <w:rFonts w:ascii="Times New Roman" w:hAnsi="Times New Roman"/>
          <w:sz w:val="24"/>
          <w:szCs w:val="24"/>
        </w:rPr>
        <w:t>evidence.”</w:t>
      </w:r>
      <w:proofErr w:type="gramEnd"/>
      <w:r w:rsidRPr="00C81642">
        <w:rPr>
          <w:rFonts w:ascii="Times New Roman" w:hAnsi="Times New Roman"/>
          <w:sz w:val="24"/>
          <w:szCs w:val="24"/>
        </w:rPr>
        <w:t xml:space="preserve"> </w:t>
      </w:r>
      <w:hyperlink r:id="rId1046" w:history="1">
        <w:r w:rsidRPr="00C81642">
          <w:rPr>
            <w:rStyle w:val="Hyperlink"/>
            <w:rFonts w:ascii="Times New Roman" w:hAnsi="Times New Roman"/>
            <w:sz w:val="24"/>
            <w:szCs w:val="24"/>
          </w:rPr>
          <w:t>https://caselaw.findlaw.com/court/ma-court-of-appeals/116528710.html</w:t>
        </w:r>
      </w:hyperlink>
      <w:r w:rsidRPr="00C81642">
        <w:rPr>
          <w:rFonts w:ascii="Times New Roman" w:hAnsi="Times New Roman"/>
          <w:sz w:val="24"/>
          <w:szCs w:val="24"/>
        </w:rPr>
        <w:t xml:space="preserve"> </w:t>
      </w:r>
    </w:p>
    <w:p w14:paraId="3765673D" w14:textId="77777777" w:rsidR="00C81642" w:rsidRPr="00C81642" w:rsidRDefault="00C81642" w:rsidP="00C81642">
      <w:pPr>
        <w:pStyle w:val="NoSpacing"/>
        <w:rPr>
          <w:rFonts w:ascii="Times New Roman" w:hAnsi="Times New Roman"/>
          <w:sz w:val="24"/>
          <w:szCs w:val="24"/>
        </w:rPr>
      </w:pPr>
    </w:p>
    <w:p w14:paraId="4836639B" w14:textId="77777777" w:rsidR="00C81642" w:rsidRPr="00C81642" w:rsidRDefault="00C81642" w:rsidP="00C81642">
      <w:pPr>
        <w:pStyle w:val="NoSpacing"/>
        <w:rPr>
          <w:rFonts w:ascii="Times New Roman" w:hAnsi="Times New Roman"/>
          <w:sz w:val="24"/>
          <w:szCs w:val="24"/>
        </w:rPr>
      </w:pPr>
      <w:r w:rsidRPr="00C81642">
        <w:rPr>
          <w:rFonts w:ascii="Times New Roman" w:hAnsi="Times New Roman"/>
          <w:sz w:val="24"/>
          <w:szCs w:val="24"/>
        </w:rPr>
        <w:t>THE COURT HELD:</w:t>
      </w:r>
    </w:p>
    <w:p w14:paraId="69980B72" w14:textId="77777777" w:rsidR="00C81642" w:rsidRPr="00C81642" w:rsidRDefault="00C81642" w:rsidP="00C81642">
      <w:pPr>
        <w:pStyle w:val="NoSpacing"/>
        <w:rPr>
          <w:rFonts w:ascii="Times New Roman" w:hAnsi="Times New Roman"/>
          <w:sz w:val="24"/>
          <w:szCs w:val="24"/>
        </w:rPr>
      </w:pPr>
    </w:p>
    <w:p w14:paraId="08FC01F7" w14:textId="77777777" w:rsidR="00C81642" w:rsidRPr="00C81642" w:rsidRDefault="00C81642" w:rsidP="00C81642">
      <w:pPr>
        <w:pStyle w:val="NoSpacing"/>
        <w:ind w:left="720"/>
        <w:rPr>
          <w:rFonts w:ascii="Times New Roman" w:hAnsi="Times New Roman"/>
          <w:sz w:val="24"/>
          <w:szCs w:val="24"/>
        </w:rPr>
      </w:pPr>
      <w:r w:rsidRPr="00C81642">
        <w:rPr>
          <w:rFonts w:ascii="Times New Roman" w:hAnsi="Times New Roman"/>
          <w:sz w:val="24"/>
          <w:szCs w:val="24"/>
        </w:rPr>
        <w:t>“The judge had no obligation to take Browder's testimony, as the administrative agency is the sole finder of fact and judicial review is based on the administrative record. See Curtis v. Commissioner of the Div. of Unemployment Assistance, 68 Mass. App. Ct. 516, 519 (2007). Live testimony is not necessary where the claims of irregularities in the agency procedure can be decided on the record.”</w:t>
      </w:r>
    </w:p>
    <w:p w14:paraId="46E40346" w14:textId="77777777" w:rsidR="00C81642" w:rsidRPr="00C81642" w:rsidRDefault="00C81642" w:rsidP="00C81642">
      <w:pPr>
        <w:pStyle w:val="NoSpacing"/>
        <w:rPr>
          <w:rFonts w:ascii="Times New Roman" w:hAnsi="Times New Roman"/>
          <w:sz w:val="24"/>
          <w:szCs w:val="24"/>
        </w:rPr>
      </w:pPr>
    </w:p>
    <w:p w14:paraId="7BBB6E83" w14:textId="77777777" w:rsidR="00C81642" w:rsidRPr="00C81642" w:rsidRDefault="00C81642" w:rsidP="00C81642">
      <w:pPr>
        <w:pStyle w:val="NoSpacing"/>
        <w:ind w:left="720"/>
        <w:rPr>
          <w:rFonts w:ascii="Times New Roman" w:hAnsi="Times New Roman"/>
          <w:sz w:val="24"/>
          <w:szCs w:val="24"/>
        </w:rPr>
      </w:pPr>
    </w:p>
    <w:p w14:paraId="608B8821" w14:textId="77777777" w:rsidR="00C81642" w:rsidRPr="00C81642" w:rsidRDefault="00C81642" w:rsidP="00C81642">
      <w:pPr>
        <w:pStyle w:val="NoSpacing"/>
        <w:rPr>
          <w:rFonts w:ascii="Times New Roman" w:hAnsi="Times New Roman"/>
          <w:b/>
          <w:bCs/>
          <w:sz w:val="24"/>
          <w:szCs w:val="24"/>
        </w:rPr>
      </w:pPr>
      <w:r w:rsidRPr="00C81642">
        <w:rPr>
          <w:rFonts w:ascii="Times New Roman" w:hAnsi="Times New Roman"/>
          <w:b/>
          <w:bCs/>
          <w:sz w:val="24"/>
          <w:szCs w:val="24"/>
        </w:rPr>
        <w:t xml:space="preserve">Legal Lesson Learned:  Unemployment denied for failure to comply with COVID safety precautions. </w:t>
      </w:r>
    </w:p>
    <w:p w14:paraId="63F25398" w14:textId="77777777" w:rsidR="00C81642" w:rsidRDefault="00C81642" w:rsidP="00C81642">
      <w:pPr>
        <w:pStyle w:val="NoSpacing"/>
        <w:rPr>
          <w:szCs w:val="24"/>
        </w:rPr>
      </w:pPr>
    </w:p>
    <w:p w14:paraId="56D0DD75" w14:textId="77777777" w:rsidR="003F2075" w:rsidRDefault="003F2075" w:rsidP="006C4AD8">
      <w:pPr>
        <w:pStyle w:val="NormalWeb"/>
        <w:spacing w:before="0" w:beforeAutospacing="0"/>
        <w:rPr>
          <w:rFonts w:ascii="Arial Black" w:hAnsi="Arial Black"/>
          <w:b/>
          <w:bCs/>
          <w:color w:val="454545"/>
          <w:sz w:val="28"/>
          <w:szCs w:val="28"/>
          <w:shd w:val="clear" w:color="auto" w:fill="FFFFFF"/>
        </w:rPr>
      </w:pPr>
    </w:p>
    <w:p w14:paraId="5E37FC36" w14:textId="5D974DE5" w:rsidR="004F15A5" w:rsidRDefault="004F15A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5</w:t>
      </w:r>
    </w:p>
    <w:p w14:paraId="2A191D1D" w14:textId="77777777" w:rsidR="004B21EA" w:rsidRPr="00F5128A" w:rsidRDefault="004B21EA" w:rsidP="004B21EA">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IL: FF LINE-OF-DUTY KNEE INJURY – 6 YRS LITIGATION – GETS HEALTH INSURANCE – REIMBURSED PRIVATE PAY</w:t>
      </w:r>
    </w:p>
    <w:p w14:paraId="207EA74C" w14:textId="77777777" w:rsidR="004B21EA" w:rsidRDefault="004B21EA" w:rsidP="004B21EA">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On July 29, 2024, in </w:t>
      </w:r>
      <w:r w:rsidRPr="00C81CE6">
        <w:rPr>
          <w:rFonts w:ascii="Times New Roman" w:hAnsi="Times New Roman"/>
          <w:sz w:val="24"/>
          <w:szCs w:val="24"/>
          <w:u w:val="single"/>
          <w:shd w:val="clear" w:color="auto" w:fill="FFFFFF"/>
        </w:rPr>
        <w:t xml:space="preserve">Benno </w:t>
      </w:r>
      <w:proofErr w:type="spellStart"/>
      <w:r w:rsidRPr="00C81CE6">
        <w:rPr>
          <w:rFonts w:ascii="Times New Roman" w:hAnsi="Times New Roman"/>
          <w:sz w:val="24"/>
          <w:szCs w:val="24"/>
          <w:u w:val="single"/>
          <w:shd w:val="clear" w:color="auto" w:fill="FFFFFF"/>
        </w:rPr>
        <w:t>Ceyer</w:t>
      </w:r>
      <w:proofErr w:type="spellEnd"/>
      <w:r w:rsidRPr="00C81CE6">
        <w:rPr>
          <w:rFonts w:ascii="Times New Roman" w:hAnsi="Times New Roman"/>
          <w:sz w:val="24"/>
          <w:szCs w:val="24"/>
          <w:u w:val="single"/>
          <w:shd w:val="clear" w:color="auto" w:fill="FFFFFF"/>
        </w:rPr>
        <w:t>, et al. v. The City of Berwyn</w:t>
      </w:r>
      <w:r>
        <w:rPr>
          <w:rFonts w:ascii="Times New Roman" w:hAnsi="Times New Roman"/>
          <w:sz w:val="24"/>
          <w:szCs w:val="24"/>
          <w:shd w:val="clear" w:color="auto" w:fill="FFFFFF"/>
        </w:rPr>
        <w:t xml:space="preserve">, the Court of Appeals of Illinois, First District, First Division, held (3 to 0) that the FF is entitled to reimbursement for the private insurance costs he purchased (Oct. 11, 2008 – Feb. 15, 2015), when the city’s Pension Fund denied his disability claim. </w:t>
      </w:r>
      <w:r w:rsidRPr="003E3404">
        <w:rPr>
          <w:rFonts w:ascii="Times New Roman" w:hAnsi="Times New Roman"/>
          <w:sz w:val="24"/>
          <w:szCs w:val="24"/>
          <w:shd w:val="clear" w:color="auto" w:fill="FFFFFF"/>
        </w:rPr>
        <w:t xml:space="preserve">Under section 10 of the </w:t>
      </w:r>
      <w:r>
        <w:rPr>
          <w:rFonts w:ascii="Times New Roman" w:hAnsi="Times New Roman"/>
          <w:sz w:val="24"/>
          <w:szCs w:val="24"/>
          <w:shd w:val="clear" w:color="auto" w:fill="FFFFFF"/>
        </w:rPr>
        <w:t xml:space="preserve">state’s </w:t>
      </w:r>
      <w:r w:rsidRPr="003E3404">
        <w:rPr>
          <w:rFonts w:ascii="Times New Roman" w:hAnsi="Times New Roman"/>
          <w:sz w:val="24"/>
          <w:szCs w:val="24"/>
          <w:shd w:val="clear" w:color="auto" w:fill="FFFFFF"/>
        </w:rPr>
        <w:t>Public Safety Employee Benefits Act (Act) (820 ILCS 320/10</w:t>
      </w:r>
      <w:r>
        <w:rPr>
          <w:rFonts w:ascii="Times New Roman" w:hAnsi="Times New Roman"/>
          <w:sz w:val="24"/>
          <w:szCs w:val="24"/>
          <w:shd w:val="clear" w:color="auto" w:fill="FFFFFF"/>
        </w:rPr>
        <w:t xml:space="preserve"> </w:t>
      </w:r>
      <w:r w:rsidRPr="003E3404">
        <w:rPr>
          <w:rFonts w:ascii="Times New Roman" w:hAnsi="Times New Roman"/>
          <w:sz w:val="24"/>
          <w:szCs w:val="24"/>
          <w:shd w:val="clear" w:color="auto" w:fill="FFFFFF"/>
        </w:rPr>
        <w:t>(West 2018)), firefighters who suffer a catastrophic injur</w:t>
      </w:r>
      <w:r>
        <w:rPr>
          <w:rFonts w:ascii="Times New Roman" w:hAnsi="Times New Roman"/>
          <w:sz w:val="24"/>
          <w:szCs w:val="24"/>
          <w:shd w:val="clear" w:color="auto" w:fill="FFFFFF"/>
        </w:rPr>
        <w:t>y</w:t>
      </w:r>
      <w:r w:rsidRPr="003E3404">
        <w:rPr>
          <w:rFonts w:ascii="Times New Roman" w:hAnsi="Times New Roman"/>
          <w:sz w:val="24"/>
          <w:szCs w:val="24"/>
          <w:shd w:val="clear" w:color="auto" w:fill="FFFFFF"/>
        </w:rPr>
        <w:t xml:space="preserve"> in responding to an emergency are</w:t>
      </w:r>
      <w:r>
        <w:rPr>
          <w:rFonts w:ascii="Times New Roman" w:hAnsi="Times New Roman"/>
          <w:sz w:val="24"/>
          <w:szCs w:val="24"/>
          <w:shd w:val="clear" w:color="auto" w:fill="FFFFFF"/>
        </w:rPr>
        <w:t xml:space="preserve"> </w:t>
      </w:r>
      <w:r w:rsidRPr="003E3404">
        <w:rPr>
          <w:rFonts w:ascii="Times New Roman" w:hAnsi="Times New Roman"/>
          <w:sz w:val="24"/>
          <w:szCs w:val="24"/>
          <w:shd w:val="clear" w:color="auto" w:fill="FFFFFF"/>
        </w:rPr>
        <w:t xml:space="preserve">entitled to payment of health insurance premiums by their employer. </w:t>
      </w:r>
      <w:r>
        <w:rPr>
          <w:rFonts w:ascii="Times New Roman" w:hAnsi="Times New Roman"/>
          <w:sz w:val="24"/>
          <w:szCs w:val="24"/>
          <w:shd w:val="clear" w:color="auto" w:fill="FFFFFF"/>
        </w:rPr>
        <w:t xml:space="preserve">When the city Pension Fund initially denied him coverage.  The Trial Court judge found that the Pension Fund hearing officer, instead of being “neutral” hearing officer, was also an attorney for the Fund.  The retired FF opened his own business, </w:t>
      </w:r>
      <w:r w:rsidRPr="008C7351">
        <w:rPr>
          <w:rFonts w:ascii="Times New Roman" w:hAnsi="Times New Roman"/>
          <w:sz w:val="24"/>
          <w:szCs w:val="24"/>
          <w:shd w:val="clear" w:color="auto" w:fill="FFFFFF"/>
        </w:rPr>
        <w:t>Weimer Machine (WM)</w:t>
      </w:r>
      <w:r>
        <w:rPr>
          <w:rFonts w:ascii="Times New Roman" w:hAnsi="Times New Roman"/>
          <w:sz w:val="24"/>
          <w:szCs w:val="24"/>
          <w:shd w:val="clear" w:color="auto" w:fill="FFFFFF"/>
        </w:rPr>
        <w:t xml:space="preserve">, which reimbursed health insurance for his two employees; he had no obligation to have the company reimburse himself, and from 2008 – 2015 he purchased his own private insurance. </w:t>
      </w:r>
      <w:hyperlink r:id="rId1047" w:history="1">
        <w:r w:rsidRPr="0013187C">
          <w:rPr>
            <w:rStyle w:val="Hyperlink"/>
            <w:rFonts w:ascii="Times New Roman" w:hAnsi="Times New Roman"/>
            <w:sz w:val="24"/>
            <w:szCs w:val="24"/>
            <w:shd w:val="clear" w:color="auto" w:fill="FFFFFF"/>
          </w:rPr>
          <w:t>https://ilcourtsaudio.blob.core.windows.net/antilles-resources/resources/b3c62d52-1215-4e2d-8145-22ad48aed626/Ceyer%20v.%20City%20of%20Berwyn,%202024%20IL%20App%20(1st)%20231538.pdf</w:t>
        </w:r>
      </w:hyperlink>
      <w:r>
        <w:rPr>
          <w:rFonts w:ascii="Times New Roman" w:hAnsi="Times New Roman"/>
          <w:sz w:val="24"/>
          <w:szCs w:val="24"/>
          <w:shd w:val="clear" w:color="auto" w:fill="FFFFFF"/>
        </w:rPr>
        <w:t xml:space="preserve"> </w:t>
      </w:r>
    </w:p>
    <w:p w14:paraId="35E4C635" w14:textId="77777777" w:rsidR="004B21EA" w:rsidRDefault="004B21EA" w:rsidP="004B21EA">
      <w:pPr>
        <w:pStyle w:val="NoSpacing"/>
        <w:rPr>
          <w:rFonts w:ascii="Times New Roman" w:hAnsi="Times New Roman"/>
          <w:sz w:val="24"/>
          <w:szCs w:val="24"/>
          <w:shd w:val="clear" w:color="auto" w:fill="FFFFFF"/>
        </w:rPr>
      </w:pPr>
    </w:p>
    <w:p w14:paraId="2494B08E" w14:textId="77777777" w:rsidR="004B21EA" w:rsidRDefault="004B21EA" w:rsidP="004B21EA">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7745EE21" w14:textId="77777777" w:rsidR="004B21EA" w:rsidRDefault="004B21EA" w:rsidP="004B21EA">
      <w:pPr>
        <w:pStyle w:val="NoSpacing"/>
        <w:rPr>
          <w:rFonts w:ascii="Times New Roman" w:hAnsi="Times New Roman"/>
          <w:sz w:val="24"/>
          <w:szCs w:val="24"/>
          <w:shd w:val="clear" w:color="auto" w:fill="FFFFFF"/>
        </w:rPr>
      </w:pPr>
    </w:p>
    <w:p w14:paraId="50CD712E" w14:textId="77777777" w:rsidR="004B21EA" w:rsidRPr="00E37A14" w:rsidRDefault="004B21EA" w:rsidP="004B21EA">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E37A14">
        <w:rPr>
          <w:rFonts w:ascii="Times New Roman" w:hAnsi="Times New Roman"/>
          <w:sz w:val="24"/>
          <w:szCs w:val="24"/>
          <w:shd w:val="clear" w:color="auto" w:fill="FFFFFF"/>
        </w:rPr>
        <w:t xml:space="preserve">The record reflects that, at all relevant times,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 xml:space="preserve"> has been covered under the City’s</w:t>
      </w:r>
    </w:p>
    <w:p w14:paraId="747BE207" w14:textId="77777777" w:rsidR="004B21EA" w:rsidRDefault="004B21EA" w:rsidP="004B21EA">
      <w:pPr>
        <w:pStyle w:val="NoSpacing"/>
        <w:ind w:left="720"/>
        <w:rPr>
          <w:rFonts w:ascii="Times New Roman" w:hAnsi="Times New Roman"/>
          <w:sz w:val="24"/>
          <w:szCs w:val="24"/>
          <w:shd w:val="clear" w:color="auto" w:fill="FFFFFF"/>
        </w:rPr>
      </w:pPr>
      <w:r w:rsidRPr="00E37A14">
        <w:rPr>
          <w:rFonts w:ascii="Times New Roman" w:hAnsi="Times New Roman"/>
          <w:sz w:val="24"/>
          <w:szCs w:val="24"/>
          <w:shd w:val="clear" w:color="auto" w:fill="FFFFFF"/>
        </w:rPr>
        <w:t>group health insurance plan. He paid his own premiums from September 2008 to May 2015,</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 xml:space="preserve">after which the </w:t>
      </w:r>
      <w:proofErr w:type="gramStart"/>
      <w:r w:rsidRPr="00E37A14">
        <w:rPr>
          <w:rFonts w:ascii="Times New Roman" w:hAnsi="Times New Roman"/>
          <w:sz w:val="24"/>
          <w:szCs w:val="24"/>
          <w:shd w:val="clear" w:color="auto" w:fill="FFFFFF"/>
        </w:rPr>
        <w:t>City</w:t>
      </w:r>
      <w:proofErr w:type="gramEnd"/>
      <w:r w:rsidRPr="00E37A14">
        <w:rPr>
          <w:rFonts w:ascii="Times New Roman" w:hAnsi="Times New Roman"/>
          <w:sz w:val="24"/>
          <w:szCs w:val="24"/>
          <w:shd w:val="clear" w:color="auto" w:fill="FFFFFF"/>
        </w:rPr>
        <w:t xml:space="preserve"> commenced making payments under the Act. At no time did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 xml:space="preserve"> receive</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health insurance through WM, nor did he receive reimbursement from WM for the cost of the</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 xml:space="preserve">premiums that he paid. The City nevertheless argues that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 xml:space="preserve"> had </w:t>
      </w:r>
      <w:r>
        <w:rPr>
          <w:rFonts w:ascii="Times New Roman" w:hAnsi="Times New Roman"/>
          <w:sz w:val="24"/>
          <w:szCs w:val="24"/>
          <w:shd w:val="clear" w:color="auto" w:fill="FFFFFF"/>
        </w:rPr>
        <w:t>‘</w:t>
      </w:r>
      <w:r w:rsidRPr="00E37A14">
        <w:rPr>
          <w:rFonts w:ascii="Times New Roman" w:hAnsi="Times New Roman"/>
          <w:sz w:val="24"/>
          <w:szCs w:val="24"/>
          <w:shd w:val="clear" w:color="auto" w:fill="FFFFFF"/>
        </w:rPr>
        <w:t>access to health insurance</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through [his] employer</w:t>
      </w:r>
      <w:r>
        <w:rPr>
          <w:rFonts w:ascii="Times New Roman" w:hAnsi="Times New Roman"/>
          <w:sz w:val="24"/>
          <w:szCs w:val="24"/>
          <w:shd w:val="clear" w:color="auto" w:fill="FFFFFF"/>
        </w:rPr>
        <w:t>’</w:t>
      </w:r>
      <w:r w:rsidRPr="00E37A14">
        <w:rPr>
          <w:rFonts w:ascii="Times New Roman" w:hAnsi="Times New Roman"/>
          <w:sz w:val="24"/>
          <w:szCs w:val="24"/>
          <w:shd w:val="clear" w:color="auto" w:fill="FFFFFF"/>
        </w:rPr>
        <w:t xml:space="preserve"> because WM paid health insurance premiums for two of its employees,</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 xml:space="preserve">Pietraszewski and Rausch, and could therefore theoretically have done the same for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w:t>
      </w:r>
    </w:p>
    <w:p w14:paraId="4F9B0B19" w14:textId="77777777" w:rsidR="004B21EA" w:rsidRDefault="004B21EA" w:rsidP="004B21EA">
      <w:pPr>
        <w:pStyle w:val="NoSpacing"/>
        <w:rPr>
          <w:rFonts w:ascii="Times New Roman" w:hAnsi="Times New Roman"/>
          <w:sz w:val="24"/>
          <w:szCs w:val="24"/>
          <w:shd w:val="clear" w:color="auto" w:fill="FFFFFF"/>
        </w:rPr>
      </w:pPr>
    </w:p>
    <w:p w14:paraId="0A058EEF" w14:textId="77777777" w:rsidR="004B21EA" w:rsidRPr="00B33896" w:rsidRDefault="004B21EA" w:rsidP="004B21EA">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W</w:t>
      </w:r>
      <w:r w:rsidRPr="00B33896">
        <w:rPr>
          <w:rFonts w:ascii="Times New Roman" w:hAnsi="Times New Roman"/>
          <w:sz w:val="24"/>
          <w:szCs w:val="24"/>
          <w:shd w:val="clear" w:color="auto" w:fill="FFFFFF"/>
        </w:rPr>
        <w:t xml:space="preserve">e disagree. As the trial court aptly </w:t>
      </w:r>
      <w:proofErr w:type="gramStart"/>
      <w:r w:rsidRPr="00B33896">
        <w:rPr>
          <w:rFonts w:ascii="Times New Roman" w:hAnsi="Times New Roman"/>
          <w:sz w:val="24"/>
          <w:szCs w:val="24"/>
          <w:shd w:val="clear" w:color="auto" w:fill="FFFFFF"/>
        </w:rPr>
        <w:t xml:space="preserve">stated, </w:t>
      </w:r>
      <w:r>
        <w:rPr>
          <w:rFonts w:ascii="Times New Roman" w:hAnsi="Times New Roman"/>
          <w:sz w:val="24"/>
          <w:szCs w:val="24"/>
          <w:shd w:val="clear" w:color="auto" w:fill="FFFFFF"/>
        </w:rPr>
        <w:t>‘</w:t>
      </w:r>
      <w:proofErr w:type="gramEnd"/>
      <w:r w:rsidRPr="00B33896">
        <w:rPr>
          <w:rFonts w:ascii="Times New Roman" w:hAnsi="Times New Roman"/>
          <w:sz w:val="24"/>
          <w:szCs w:val="24"/>
          <w:shd w:val="clear" w:color="auto" w:fill="FFFFFF"/>
        </w:rPr>
        <w:t xml:space="preserve">to find that </w:t>
      </w:r>
      <w:r>
        <w:rPr>
          <w:rFonts w:ascii="Times New Roman" w:hAnsi="Times New Roman"/>
          <w:sz w:val="24"/>
          <w:szCs w:val="24"/>
          <w:shd w:val="clear" w:color="auto" w:fill="FFFFFF"/>
        </w:rPr>
        <w:t>‘</w:t>
      </w:r>
      <w:r w:rsidRPr="00B33896">
        <w:rPr>
          <w:rFonts w:ascii="Times New Roman" w:hAnsi="Times New Roman"/>
          <w:sz w:val="24"/>
          <w:szCs w:val="24"/>
          <w:shd w:val="clear" w:color="auto" w:fill="FFFFFF"/>
        </w:rPr>
        <w:t>payable from any other source</w:t>
      </w:r>
      <w:r>
        <w:rPr>
          <w:rFonts w:ascii="Times New Roman" w:hAnsi="Times New Roman"/>
          <w:sz w:val="24"/>
          <w:szCs w:val="24"/>
          <w:shd w:val="clear" w:color="auto" w:fill="FFFFFF"/>
        </w:rPr>
        <w:t>’</w:t>
      </w:r>
    </w:p>
    <w:p w14:paraId="124919EE" w14:textId="77777777" w:rsidR="004B21EA" w:rsidRPr="00D6540F" w:rsidRDefault="004B21EA" w:rsidP="004B21EA">
      <w:pPr>
        <w:pStyle w:val="NoSpacing"/>
        <w:ind w:left="720"/>
        <w:rPr>
          <w:rFonts w:ascii="Times New Roman" w:hAnsi="Times New Roman"/>
          <w:sz w:val="24"/>
          <w:szCs w:val="24"/>
          <w:shd w:val="clear" w:color="auto" w:fill="FFFFFF"/>
        </w:rPr>
      </w:pPr>
      <w:r w:rsidRPr="00B33896">
        <w:rPr>
          <w:rFonts w:ascii="Times New Roman" w:hAnsi="Times New Roman"/>
          <w:sz w:val="24"/>
          <w:szCs w:val="24"/>
          <w:shd w:val="clear" w:color="auto" w:fill="FFFFFF"/>
        </w:rPr>
        <w:t>under [the Act] includes a beneficiary’s individual capacity to go buy themselves insurance</w:t>
      </w:r>
      <w:r>
        <w:rPr>
          <w:rFonts w:ascii="Times New Roman" w:hAnsi="Times New Roman"/>
          <w:sz w:val="24"/>
          <w:szCs w:val="24"/>
          <w:shd w:val="clear" w:color="auto" w:fill="FFFFFF"/>
        </w:rPr>
        <w:t xml:space="preserve"> </w:t>
      </w:r>
      <w:r w:rsidRPr="00FF07E8">
        <w:rPr>
          <w:rFonts w:ascii="Times New Roman" w:hAnsi="Times New Roman"/>
          <w:sz w:val="24"/>
          <w:szCs w:val="24"/>
          <w:shd w:val="clear" w:color="auto" w:fill="FFFFFF"/>
        </w:rPr>
        <w:t>would be inconsistent with the purpose of [the Act].</w:t>
      </w:r>
      <w:r>
        <w:rPr>
          <w:rFonts w:ascii="Times New Roman" w:hAnsi="Times New Roman"/>
          <w:sz w:val="24"/>
          <w:szCs w:val="24"/>
          <w:shd w:val="clear" w:color="auto" w:fill="FFFFFF"/>
        </w:rPr>
        <w:t>’</w:t>
      </w:r>
      <w:r w:rsidRPr="00FF07E8">
        <w:rPr>
          <w:rFonts w:ascii="Times New Roman" w:hAnsi="Times New Roman"/>
          <w:sz w:val="24"/>
          <w:szCs w:val="24"/>
          <w:shd w:val="clear" w:color="auto" w:fill="FFFFFF"/>
        </w:rPr>
        <w:t xml:space="preserve"> Indeed, such an interpretation would</w:t>
      </w:r>
      <w:r>
        <w:rPr>
          <w:rFonts w:ascii="Times New Roman" w:hAnsi="Times New Roman"/>
          <w:sz w:val="24"/>
          <w:szCs w:val="24"/>
          <w:shd w:val="clear" w:color="auto" w:fill="FFFFFF"/>
        </w:rPr>
        <w:t xml:space="preserve"> </w:t>
      </w:r>
      <w:r w:rsidRPr="00FF07E8">
        <w:rPr>
          <w:rFonts w:ascii="Times New Roman" w:hAnsi="Times New Roman"/>
          <w:sz w:val="24"/>
          <w:szCs w:val="24"/>
          <w:shd w:val="clear" w:color="auto" w:fill="FFFFFF"/>
        </w:rPr>
        <w:t xml:space="preserve">entirely vitiate the statute. We will not interpret a statute </w:t>
      </w:r>
      <w:r>
        <w:rPr>
          <w:rFonts w:ascii="Times New Roman" w:hAnsi="Times New Roman"/>
          <w:sz w:val="24"/>
          <w:szCs w:val="24"/>
          <w:shd w:val="clear" w:color="auto" w:fill="FFFFFF"/>
        </w:rPr>
        <w:t>‘</w:t>
      </w:r>
      <w:r w:rsidRPr="00FF07E8">
        <w:rPr>
          <w:rFonts w:ascii="Times New Roman" w:hAnsi="Times New Roman"/>
          <w:sz w:val="24"/>
          <w:szCs w:val="24"/>
          <w:shd w:val="clear" w:color="auto" w:fill="FFFFFF"/>
        </w:rPr>
        <w:t>in a manner that makes [it]</w:t>
      </w:r>
      <w:r>
        <w:rPr>
          <w:rFonts w:ascii="Times New Roman" w:hAnsi="Times New Roman"/>
          <w:sz w:val="24"/>
          <w:szCs w:val="24"/>
          <w:shd w:val="clear" w:color="auto" w:fill="FFFFFF"/>
        </w:rPr>
        <w:t xml:space="preserve"> </w:t>
      </w:r>
      <w:r w:rsidRPr="00FF07E8">
        <w:rPr>
          <w:rFonts w:ascii="Times New Roman" w:hAnsi="Times New Roman"/>
          <w:sz w:val="24"/>
          <w:szCs w:val="24"/>
          <w:shd w:val="clear" w:color="auto" w:fill="FFFFFF"/>
        </w:rPr>
        <w:t>meaningless.</w:t>
      </w:r>
      <w:r>
        <w:rPr>
          <w:rFonts w:ascii="Times New Roman" w:hAnsi="Times New Roman"/>
          <w:sz w:val="24"/>
          <w:szCs w:val="24"/>
          <w:shd w:val="clear" w:color="auto" w:fill="FFFFFF"/>
        </w:rPr>
        <w:t>’</w:t>
      </w:r>
      <w:r w:rsidRPr="00FF07E8">
        <w:rPr>
          <w:rFonts w:ascii="Times New Roman" w:hAnsi="Times New Roman"/>
          <w:sz w:val="24"/>
          <w:szCs w:val="24"/>
          <w:shd w:val="clear" w:color="auto" w:fill="FFFFFF"/>
        </w:rPr>
        <w:t xml:space="preserve"> Boucher v. 111 East Chestnut Condominium </w:t>
      </w:r>
      <w:proofErr w:type="spellStart"/>
      <w:r w:rsidRPr="00FF07E8">
        <w:rPr>
          <w:rFonts w:ascii="Times New Roman" w:hAnsi="Times New Roman"/>
          <w:sz w:val="24"/>
          <w:szCs w:val="24"/>
          <w:shd w:val="clear" w:color="auto" w:fill="FFFFFF"/>
        </w:rPr>
        <w:t>Ass’n</w:t>
      </w:r>
      <w:proofErr w:type="spellEnd"/>
      <w:r w:rsidRPr="00FF07E8">
        <w:rPr>
          <w:rFonts w:ascii="Times New Roman" w:hAnsi="Times New Roman"/>
          <w:sz w:val="24"/>
          <w:szCs w:val="24"/>
          <w:shd w:val="clear" w:color="auto" w:fill="FFFFFF"/>
        </w:rPr>
        <w:t>, 2018 IL App (1st) 162233,¶ 18.</w:t>
      </w:r>
    </w:p>
    <w:p w14:paraId="566F128C" w14:textId="77777777" w:rsidR="004F15A5" w:rsidRDefault="004F15A5" w:rsidP="006C4AD8">
      <w:pPr>
        <w:pStyle w:val="NormalWeb"/>
        <w:spacing w:before="0" w:beforeAutospacing="0"/>
        <w:rPr>
          <w:rFonts w:ascii="Arial Black" w:hAnsi="Arial Black"/>
          <w:b/>
          <w:bCs/>
          <w:color w:val="454545"/>
          <w:sz w:val="28"/>
          <w:szCs w:val="28"/>
          <w:shd w:val="clear" w:color="auto" w:fill="FFFFFF"/>
        </w:rPr>
      </w:pPr>
    </w:p>
    <w:p w14:paraId="3B88B171" w14:textId="77777777" w:rsidR="00E16202" w:rsidRDefault="00E16202" w:rsidP="00E16202">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It is a shame to have 6 years of litigation to receive disability retirement health insurance. </w:t>
      </w:r>
    </w:p>
    <w:p w14:paraId="060C1B83" w14:textId="77777777" w:rsidR="00E16202" w:rsidRDefault="00E16202" w:rsidP="00E16202">
      <w:pPr>
        <w:pStyle w:val="NoSpacing"/>
        <w:rPr>
          <w:rFonts w:ascii="Times New Roman" w:hAnsi="Times New Roman"/>
          <w:b/>
          <w:bCs/>
          <w:sz w:val="24"/>
          <w:szCs w:val="24"/>
          <w:shd w:val="clear" w:color="auto" w:fill="FFFFFF"/>
        </w:rPr>
      </w:pPr>
    </w:p>
    <w:p w14:paraId="198833CE" w14:textId="77777777" w:rsidR="00E16202" w:rsidRDefault="00E16202" w:rsidP="00E16202">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 xml:space="preserve">Note: Under the State statute, he was entitled to free insurance for a line-of-duty injury. </w:t>
      </w:r>
    </w:p>
    <w:p w14:paraId="193816B1" w14:textId="77777777" w:rsidR="00E16202" w:rsidRPr="00C13929" w:rsidRDefault="00E16202" w:rsidP="00E16202">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[Footnote 1.] “</w:t>
      </w:r>
      <w:r w:rsidRPr="00C13929">
        <w:rPr>
          <w:rFonts w:ascii="Times New Roman" w:hAnsi="Times New Roman"/>
          <w:sz w:val="24"/>
          <w:szCs w:val="24"/>
          <w:shd w:val="clear" w:color="auto" w:fill="FFFFFF"/>
        </w:rPr>
        <w:t xml:space="preserve">A </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catastrophic injury</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 xml:space="preserve"> is defined as </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an injury resulting in a line-of-duty disability</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 xml:space="preserve"> under</w:t>
      </w:r>
      <w:r>
        <w:rPr>
          <w:rFonts w:ascii="Times New Roman" w:hAnsi="Times New Roman"/>
          <w:sz w:val="24"/>
          <w:szCs w:val="24"/>
          <w:shd w:val="clear" w:color="auto" w:fill="FFFFFF"/>
        </w:rPr>
        <w:t xml:space="preserve"> </w:t>
      </w:r>
      <w:r w:rsidRPr="00C13929">
        <w:rPr>
          <w:rFonts w:ascii="Times New Roman" w:hAnsi="Times New Roman"/>
          <w:sz w:val="24"/>
          <w:szCs w:val="24"/>
          <w:shd w:val="clear" w:color="auto" w:fill="FFFFFF"/>
        </w:rPr>
        <w:t>section 4-110 of the Illinois Pension Code (40 ILCS 5/4-110 (West 2000)). Krohe v. City of Bloomington,</w:t>
      </w:r>
      <w:r>
        <w:rPr>
          <w:rFonts w:ascii="Times New Roman" w:hAnsi="Times New Roman"/>
          <w:sz w:val="24"/>
          <w:szCs w:val="24"/>
          <w:shd w:val="clear" w:color="auto" w:fill="FFFFFF"/>
        </w:rPr>
        <w:t xml:space="preserve"> </w:t>
      </w:r>
      <w:r w:rsidRPr="00C13929">
        <w:rPr>
          <w:rFonts w:ascii="Times New Roman" w:hAnsi="Times New Roman"/>
          <w:sz w:val="24"/>
          <w:szCs w:val="24"/>
          <w:shd w:val="clear" w:color="auto" w:fill="FFFFFF"/>
        </w:rPr>
        <w:t>204 Ill. 2d 392, 400 (2003).</w:t>
      </w:r>
    </w:p>
    <w:p w14:paraId="32247426" w14:textId="77777777" w:rsidR="00E16202" w:rsidRDefault="00E16202" w:rsidP="006C4AD8">
      <w:pPr>
        <w:pStyle w:val="NormalWeb"/>
        <w:spacing w:before="0" w:beforeAutospacing="0"/>
        <w:rPr>
          <w:rFonts w:ascii="Arial Black" w:hAnsi="Arial Black"/>
          <w:b/>
          <w:bCs/>
          <w:color w:val="454545"/>
          <w:sz w:val="28"/>
          <w:szCs w:val="28"/>
          <w:shd w:val="clear" w:color="auto" w:fill="FFFFFF"/>
        </w:rPr>
      </w:pPr>
    </w:p>
    <w:p w14:paraId="6568EAA9" w14:textId="77777777" w:rsidR="004F15A5" w:rsidRDefault="004F15A5" w:rsidP="006C4AD8">
      <w:pPr>
        <w:pStyle w:val="NormalWeb"/>
        <w:spacing w:before="0" w:beforeAutospacing="0"/>
        <w:rPr>
          <w:rFonts w:ascii="Arial Black" w:hAnsi="Arial Black"/>
          <w:b/>
          <w:bCs/>
          <w:color w:val="454545"/>
          <w:sz w:val="28"/>
          <w:szCs w:val="28"/>
          <w:shd w:val="clear" w:color="auto" w:fill="FFFFFF"/>
        </w:rPr>
      </w:pPr>
    </w:p>
    <w:p w14:paraId="499DFDDE" w14:textId="707FABAB" w:rsidR="00562A25" w:rsidRDefault="00364F21"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4</w:t>
      </w:r>
    </w:p>
    <w:p w14:paraId="6D78F0FA" w14:textId="77777777" w:rsidR="00364F21" w:rsidRDefault="00364F21" w:rsidP="00364F21">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LA: NEW TIMEKEEPING SYSTEM – ALL FF REQUIRED FINGERPRINTS - UPHELD BY U.S. DISTRICT COURT</w:t>
      </w:r>
    </w:p>
    <w:p w14:paraId="53C1AAEB" w14:textId="77777777" w:rsidR="00364F21" w:rsidRPr="0071601A" w:rsidRDefault="00364F21" w:rsidP="00364F21">
      <w:pPr>
        <w:pStyle w:val="NormalWeb"/>
        <w:rPr>
          <w:shd w:val="clear" w:color="auto" w:fill="FFFFFF"/>
        </w:rPr>
      </w:pPr>
      <w:r w:rsidRPr="0071601A">
        <w:rPr>
          <w:color w:val="454545"/>
          <w:shd w:val="clear" w:color="auto" w:fill="FFFFFF"/>
        </w:rPr>
        <w:t xml:space="preserve">On July 22, 2024, in </w:t>
      </w:r>
      <w:proofErr w:type="spellStart"/>
      <w:r w:rsidRPr="0071601A">
        <w:rPr>
          <w:color w:val="454545"/>
          <w:u w:val="single"/>
          <w:shd w:val="clear" w:color="auto" w:fill="FFFFFF"/>
        </w:rPr>
        <w:t>Chistopher</w:t>
      </w:r>
      <w:proofErr w:type="spellEnd"/>
      <w:r w:rsidRPr="0071601A">
        <w:rPr>
          <w:color w:val="454545"/>
          <w:u w:val="single"/>
          <w:shd w:val="clear" w:color="auto" w:fill="FFFFFF"/>
        </w:rPr>
        <w:t xml:space="preserve"> Perre, et al. v. East Bank Consolidated Special Service Fire Protection Section</w:t>
      </w:r>
      <w:r w:rsidRPr="0071601A">
        <w:rPr>
          <w:color w:val="454545"/>
          <w:shd w:val="clear" w:color="auto" w:fill="FFFFFF"/>
        </w:rPr>
        <w:t>, five firefighters filed a lawsuit challenging new “</w:t>
      </w:r>
      <w:r w:rsidRPr="0071601A">
        <w:rPr>
          <w:shd w:val="clear" w:color="auto" w:fill="FFFFFF"/>
        </w:rPr>
        <w:t xml:space="preserve">Kronos” timekeeping security system where </w:t>
      </w:r>
      <w:r w:rsidRPr="0071601A">
        <w:rPr>
          <w:color w:val="454545"/>
          <w:shd w:val="clear" w:color="auto" w:fill="FFFFFF"/>
        </w:rPr>
        <w:t xml:space="preserve">their fingerprints must be taken.  U.S. District Court Judge Wendy B. Vitter, in a lengthy decision reviewing U.S. Supreme Court </w:t>
      </w:r>
      <w:r w:rsidRPr="0071601A">
        <w:rPr>
          <w:color w:val="454545"/>
          <w:shd w:val="clear" w:color="auto" w:fill="FFFFFF"/>
        </w:rPr>
        <w:lastRenderedPageBreak/>
        <w:t>and lower court decisions, dismissed the lawsuit.  “</w:t>
      </w:r>
      <w:r w:rsidRPr="0071601A">
        <w:rPr>
          <w:shd w:val="clear" w:color="auto" w:fill="FFFFFF"/>
        </w:rPr>
        <w:t>However, even assuming such mandatory fingerprint collection qualifies as a Fourth Amendment search, Plaintiffs fail to show that the search was unreasonable… The intrusion undertaken by Defendants therefore satisfies the legitimate government interest in timekeeping and ensuring that public funds related to employee salaries are used for their intended purpose. The fingerprinting policy was justified at its inception.”</w:t>
      </w:r>
      <w:r w:rsidRPr="0071601A">
        <w:t xml:space="preserve"> </w:t>
      </w:r>
      <w:hyperlink r:id="rId1048" w:history="1">
        <w:r w:rsidRPr="0071601A">
          <w:rPr>
            <w:rStyle w:val="Hyperlink"/>
            <w:shd w:val="clear" w:color="auto" w:fill="FFFFFF"/>
          </w:rPr>
          <w:t>https://cases.justia.com/federal/district-courts/louisiana/laedce/2:2023cv00439/259406/50/0.pdf?ts=1721728516</w:t>
        </w:r>
      </w:hyperlink>
      <w:r w:rsidRPr="0071601A">
        <w:rPr>
          <w:shd w:val="clear" w:color="auto" w:fill="FFFFFF"/>
        </w:rPr>
        <w:t xml:space="preserve"> </w:t>
      </w:r>
    </w:p>
    <w:p w14:paraId="47C6DC34" w14:textId="77777777" w:rsidR="00364F21" w:rsidRDefault="00364F21" w:rsidP="00364F21">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32FA80C5" w14:textId="77777777" w:rsidR="00364F21" w:rsidRDefault="00364F21" w:rsidP="00364F21">
      <w:pPr>
        <w:pStyle w:val="NoSpacing"/>
        <w:rPr>
          <w:rFonts w:ascii="Times New Roman" w:hAnsi="Times New Roman"/>
          <w:sz w:val="24"/>
          <w:szCs w:val="24"/>
          <w:shd w:val="clear" w:color="auto" w:fill="FFFFFF"/>
        </w:rPr>
      </w:pPr>
    </w:p>
    <w:p w14:paraId="4F2AE327" w14:textId="77777777" w:rsidR="00364F21" w:rsidRDefault="00364F21" w:rsidP="00364F21">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E01FC6">
        <w:rPr>
          <w:rFonts w:ascii="Times New Roman" w:hAnsi="Times New Roman"/>
          <w:sz w:val="24"/>
          <w:szCs w:val="24"/>
          <w:shd w:val="clear" w:color="auto" w:fill="FFFFFF"/>
        </w:rPr>
        <w:t xml:space="preserve">While the fingerprinting in this case likely constituted a search under </w:t>
      </w:r>
      <w:r w:rsidRPr="00E01FC6">
        <w:rPr>
          <w:rFonts w:ascii="Times New Roman" w:hAnsi="Times New Roman"/>
          <w:i/>
          <w:iCs/>
          <w:sz w:val="24"/>
          <w:szCs w:val="24"/>
          <w:shd w:val="clear" w:color="auto" w:fill="FFFFFF"/>
        </w:rPr>
        <w:t>Jones</w:t>
      </w:r>
      <w:r w:rsidRPr="00E01FC6">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 xml:space="preserve">the search did not run afoul of the Fourth Amendment. The scope of the </w:t>
      </w:r>
      <w:proofErr w:type="gramStart"/>
      <w:r w:rsidRPr="00E01FC6">
        <w:rPr>
          <w:rFonts w:ascii="Times New Roman" w:hAnsi="Times New Roman"/>
          <w:sz w:val="24"/>
          <w:szCs w:val="24"/>
          <w:shd w:val="clear" w:color="auto" w:fill="FFFFFF"/>
        </w:rPr>
        <w:t>particular</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intrusion</w:t>
      </w:r>
      <w:proofErr w:type="gramEnd"/>
      <w:r w:rsidRPr="00E01FC6">
        <w:rPr>
          <w:rFonts w:ascii="Times New Roman" w:hAnsi="Times New Roman"/>
          <w:sz w:val="24"/>
          <w:szCs w:val="24"/>
          <w:shd w:val="clear" w:color="auto" w:fill="FFFFFF"/>
        </w:rPr>
        <w:t xml:space="preserve"> and the </w:t>
      </w:r>
      <w:proofErr w:type="gramStart"/>
      <w:r w:rsidRPr="00E01FC6">
        <w:rPr>
          <w:rFonts w:ascii="Times New Roman" w:hAnsi="Times New Roman"/>
          <w:sz w:val="24"/>
          <w:szCs w:val="24"/>
          <w:shd w:val="clear" w:color="auto" w:fill="FFFFFF"/>
        </w:rPr>
        <w:t>manner in which</w:t>
      </w:r>
      <w:proofErr w:type="gramEnd"/>
      <w:r w:rsidRPr="00E01FC6">
        <w:rPr>
          <w:rFonts w:ascii="Times New Roman" w:hAnsi="Times New Roman"/>
          <w:sz w:val="24"/>
          <w:szCs w:val="24"/>
          <w:shd w:val="clear" w:color="auto" w:fill="FFFFFF"/>
        </w:rPr>
        <w:t xml:space="preserve"> it was collected in this case were minimal. The</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timekeeping justification for the intrusion constitutes a legitimate work-related,</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non</w:t>
      </w:r>
      <w:r>
        <w:rPr>
          <w:rFonts w:ascii="Times New Roman" w:hAnsi="Times New Roman"/>
          <w:sz w:val="24"/>
          <w:szCs w:val="24"/>
          <w:shd w:val="clear" w:color="auto" w:fill="FFFFFF"/>
        </w:rPr>
        <w:t>-</w:t>
      </w:r>
      <w:r w:rsidRPr="00E01FC6">
        <w:rPr>
          <w:rFonts w:ascii="Times New Roman" w:hAnsi="Times New Roman"/>
          <w:sz w:val="24"/>
          <w:szCs w:val="24"/>
          <w:shd w:val="clear" w:color="auto" w:fill="FFFFFF"/>
        </w:rPr>
        <w:t>investigatory intrusion that satisfies the reasonableness standard in terms of its</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inception and scope. Therefore, the fingerprinting of Plaintiffs was not an</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unreasonable search in violation of the Fourth Amendment. Because the Plaintiffs</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 xml:space="preserve">cannot demonstrate an underlying constitutional violation, their § 1983 </w:t>
      </w:r>
      <w:r w:rsidRPr="004220C8">
        <w:rPr>
          <w:rFonts w:ascii="Times New Roman" w:hAnsi="Times New Roman"/>
          <w:i/>
          <w:iCs/>
          <w:sz w:val="24"/>
          <w:szCs w:val="24"/>
          <w:shd w:val="clear" w:color="auto" w:fill="FFFFFF"/>
        </w:rPr>
        <w:t xml:space="preserve">Monell </w:t>
      </w:r>
      <w:r w:rsidRPr="004220C8">
        <w:rPr>
          <w:rFonts w:ascii="Times New Roman" w:hAnsi="Times New Roman"/>
          <w:sz w:val="24"/>
          <w:szCs w:val="24"/>
          <w:shd w:val="clear" w:color="auto" w:fill="FFFFFF"/>
        </w:rPr>
        <w:t>claims against the Defendants necessarily fail. Likewise, the Plaintiffs’ Louisiana</w:t>
      </w:r>
      <w:r>
        <w:rPr>
          <w:rFonts w:ascii="Times New Roman" w:hAnsi="Times New Roman"/>
          <w:sz w:val="24"/>
          <w:szCs w:val="24"/>
          <w:shd w:val="clear" w:color="auto" w:fill="FFFFFF"/>
        </w:rPr>
        <w:t xml:space="preserve"> </w:t>
      </w:r>
      <w:r w:rsidRPr="004220C8">
        <w:rPr>
          <w:rFonts w:ascii="Times New Roman" w:hAnsi="Times New Roman"/>
          <w:sz w:val="24"/>
          <w:szCs w:val="24"/>
          <w:shd w:val="clear" w:color="auto" w:fill="FFFFFF"/>
        </w:rPr>
        <w:t>constitutional claims also fail.</w:t>
      </w:r>
      <w:r>
        <w:rPr>
          <w:rFonts w:ascii="Times New Roman" w:hAnsi="Times New Roman"/>
          <w:sz w:val="24"/>
          <w:szCs w:val="24"/>
          <w:shd w:val="clear" w:color="auto" w:fill="FFFFFF"/>
        </w:rPr>
        <w:t>”</w:t>
      </w:r>
    </w:p>
    <w:p w14:paraId="30960912" w14:textId="77777777" w:rsidR="004F15A5" w:rsidRDefault="004F15A5" w:rsidP="004F15A5">
      <w:pPr>
        <w:pStyle w:val="NoSpacing"/>
        <w:rPr>
          <w:rFonts w:ascii="Times New Roman" w:hAnsi="Times New Roman"/>
          <w:b/>
          <w:bCs/>
          <w:sz w:val="24"/>
          <w:szCs w:val="24"/>
          <w:shd w:val="clear" w:color="auto" w:fill="FFFFFF"/>
        </w:rPr>
      </w:pPr>
    </w:p>
    <w:p w14:paraId="173CA355" w14:textId="160DF5A9" w:rsidR="004F15A5" w:rsidRPr="005136BE" w:rsidRDefault="004F15A5" w:rsidP="004F15A5">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Legal Lesson Learned: There is little case law on fingerprinting of employees; this decision is extremely well researched.</w:t>
      </w:r>
    </w:p>
    <w:p w14:paraId="5170BFBF" w14:textId="0C52AEC7" w:rsidR="00364F21" w:rsidRDefault="004F15A5" w:rsidP="004F15A5">
      <w:pPr>
        <w:pStyle w:val="NormalWeb"/>
        <w:spacing w:before="0" w:beforeAutospacing="0"/>
        <w:rPr>
          <w:rFonts w:ascii="Arial Black" w:hAnsi="Arial Black"/>
          <w:b/>
          <w:bCs/>
          <w:color w:val="454545"/>
          <w:sz w:val="28"/>
          <w:szCs w:val="28"/>
          <w:shd w:val="clear" w:color="auto" w:fill="FFFFFF"/>
        </w:rPr>
      </w:pPr>
      <w:r w:rsidRPr="0071601A">
        <w:rPr>
          <w:color w:val="454545"/>
          <w:shd w:val="clear" w:color="auto" w:fill="FFFFFF"/>
        </w:rPr>
        <w:t xml:space="preserve">Note: See the </w:t>
      </w:r>
      <w:r>
        <w:rPr>
          <w:color w:val="454545"/>
          <w:shd w:val="clear" w:color="auto" w:fill="FFFFFF"/>
        </w:rPr>
        <w:t>“</w:t>
      </w:r>
      <w:r w:rsidRPr="0071601A">
        <w:rPr>
          <w:color w:val="454545"/>
          <w:shd w:val="clear" w:color="auto" w:fill="FFFFFF"/>
        </w:rPr>
        <w:t>Kronos</w:t>
      </w:r>
      <w:r>
        <w:rPr>
          <w:color w:val="454545"/>
          <w:shd w:val="clear" w:color="auto" w:fill="FFFFFF"/>
        </w:rPr>
        <w:t>”</w:t>
      </w:r>
      <w:r w:rsidRPr="0071601A">
        <w:rPr>
          <w:color w:val="454545"/>
          <w:shd w:val="clear" w:color="auto" w:fill="FFFFFF"/>
        </w:rPr>
        <w:t xml:space="preserve"> timekeeping system. </w:t>
      </w:r>
      <w:hyperlink r:id="rId1049" w:history="1">
        <w:r w:rsidRPr="0071601A">
          <w:rPr>
            <w:rStyle w:val="Hyperlink"/>
            <w:shd w:val="clear" w:color="auto" w:fill="FFFFFF"/>
          </w:rPr>
          <w:t>https://www.360connect.com/product-blog/kronos-time-and-attendance-system-types-features-pricing/</w:t>
        </w:r>
      </w:hyperlink>
    </w:p>
    <w:p w14:paraId="06D5BBD6" w14:textId="77777777" w:rsidR="00562A25" w:rsidRDefault="00562A25" w:rsidP="006C4AD8">
      <w:pPr>
        <w:pStyle w:val="NormalWeb"/>
        <w:spacing w:before="0" w:beforeAutospacing="0"/>
        <w:rPr>
          <w:rFonts w:ascii="Arial Black" w:hAnsi="Arial Black"/>
          <w:b/>
          <w:bCs/>
          <w:color w:val="454545"/>
          <w:sz w:val="28"/>
          <w:szCs w:val="28"/>
          <w:shd w:val="clear" w:color="auto" w:fill="FFFFFF"/>
        </w:rPr>
      </w:pPr>
    </w:p>
    <w:p w14:paraId="4E0DF329" w14:textId="77777777" w:rsidR="00562A25" w:rsidRDefault="00562A25" w:rsidP="006C4AD8">
      <w:pPr>
        <w:pStyle w:val="NormalWeb"/>
        <w:spacing w:before="0" w:beforeAutospacing="0"/>
        <w:rPr>
          <w:rFonts w:ascii="Arial Black" w:hAnsi="Arial Black"/>
          <w:b/>
          <w:bCs/>
          <w:color w:val="454545"/>
          <w:sz w:val="28"/>
          <w:szCs w:val="28"/>
          <w:shd w:val="clear" w:color="auto" w:fill="FFFFFF"/>
        </w:rPr>
      </w:pPr>
    </w:p>
    <w:p w14:paraId="75C35C2D" w14:textId="020C7F5B" w:rsidR="00C63CEB" w:rsidRDefault="009F02E2"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3</w:t>
      </w:r>
    </w:p>
    <w:p w14:paraId="24C3F924" w14:textId="77777777" w:rsidR="00A905C2" w:rsidRPr="000F466D" w:rsidRDefault="00A905C2" w:rsidP="00A905C2">
      <w:pPr>
        <w:pStyle w:val="NormalWeb"/>
        <w:rPr>
          <w:rFonts w:ascii="Arial Black" w:hAnsi="Arial Black"/>
          <w:sz w:val="28"/>
          <w:szCs w:val="28"/>
        </w:rPr>
      </w:pPr>
      <w:r>
        <w:rPr>
          <w:rFonts w:ascii="Arial Black" w:hAnsi="Arial Black"/>
          <w:sz w:val="28"/>
          <w:szCs w:val="28"/>
        </w:rPr>
        <w:t>IL: CORONARY ARTERY DISEASE – LT. 28 YEARS FIRE SERVICE – CAN’T PROVE CAUSED BY JOB – NO WORK COMP</w:t>
      </w:r>
    </w:p>
    <w:p w14:paraId="0D39A263" w14:textId="77777777" w:rsidR="00A905C2" w:rsidRDefault="00A905C2" w:rsidP="00A905C2">
      <w:pPr>
        <w:pStyle w:val="NormalWeb"/>
      </w:pPr>
      <w:r>
        <w:t xml:space="preserve">On May 24, 2024, in </w:t>
      </w:r>
      <w:r w:rsidRPr="00110426">
        <w:rPr>
          <w:u w:val="single"/>
        </w:rPr>
        <w:t>Jerry Faruzzi v. The Illinois Workers Compensation Commission</w:t>
      </w:r>
      <w:r>
        <w:t xml:space="preserve">, the Court of Appeals of Illinois, First District, Workers’ Compensation Commission Division, held (5 to 0) that the firefighter failed to prove the artery disease was caused by the job. The Court held: </w:t>
      </w:r>
    </w:p>
    <w:p w14:paraId="77176E4D" w14:textId="77777777" w:rsidR="00A905C2" w:rsidRDefault="00A905C2" w:rsidP="00A905C2">
      <w:pPr>
        <w:pStyle w:val="NormalWeb"/>
        <w:ind w:left="720" w:firstLine="60"/>
      </w:pPr>
      <w:r>
        <w:t>“The claimant argues that Dr. Moisan's testimony that the claimant's firefighting activities contributed in part to his development of coronary artery disease is a judicial admission by the Village based on Dr. Moisan's position as medical director for the Village's fire department. We disagree…. As noted earlier, Dr. Moisan's causation opinion is hardly unequivocal. When asked directly whether the claimant's coronary artery disease was caused or contributed to by his firefighting duties, Dr. Moisan stated: ‘I can't know that</w:t>
      </w:r>
      <w:proofErr w:type="gramStart"/>
      <w:r>
        <w:t>.</w:t>
      </w:r>
      <w:proofErr w:type="gramEnd"/>
      <w:r>
        <w:t xml:space="preserve"> I can't exclude it.’” </w:t>
      </w:r>
      <w:hyperlink r:id="rId1050" w:history="1">
        <w:r w:rsidRPr="00F80308">
          <w:rPr>
            <w:rStyle w:val="Hyperlink"/>
          </w:rPr>
          <w:t>https://ilcourtsaudio.blob.core.windows.net/antilles-resources/resources/db67e7e2-0717-4638-8c31-3e01bcc193d9/Faruzzi%20v.%20Illinois%20Workers%27%20Compensation%20Comm%27n,%202024%20IL%20App%20(1st)%20231896WC-U.pdf</w:t>
        </w:r>
      </w:hyperlink>
      <w:r>
        <w:t xml:space="preserve"> </w:t>
      </w:r>
    </w:p>
    <w:p w14:paraId="2C422B3B" w14:textId="77777777" w:rsidR="009C6DC9" w:rsidRDefault="009C6DC9" w:rsidP="009C6DC9">
      <w:pPr>
        <w:pStyle w:val="NormalWeb"/>
        <w:rPr>
          <w:b/>
          <w:bCs/>
        </w:rPr>
      </w:pPr>
      <w:r>
        <w:rPr>
          <w:b/>
          <w:bCs/>
        </w:rPr>
        <w:t xml:space="preserve">Legal Lesson Learned:  Extremely difficult to prove coronary artery disease caused by the job. </w:t>
      </w:r>
    </w:p>
    <w:p w14:paraId="01812EC9" w14:textId="77777777" w:rsidR="009C6DC9" w:rsidRPr="009E5A90" w:rsidRDefault="009C6DC9" w:rsidP="009C6DC9">
      <w:pPr>
        <w:pStyle w:val="Heading1"/>
        <w:ind w:left="720"/>
        <w:rPr>
          <w:sz w:val="24"/>
          <w:szCs w:val="24"/>
        </w:rPr>
      </w:pPr>
      <w:r w:rsidRPr="009E5A90">
        <w:rPr>
          <w:sz w:val="24"/>
          <w:szCs w:val="24"/>
        </w:rPr>
        <w:lastRenderedPageBreak/>
        <w:t xml:space="preserve">Note: In Ohio, the legislature has enacted a “statutory presumption” law for certain firefighter diseases.  Section 4123.68 </w:t>
      </w:r>
      <w:r w:rsidRPr="009E5A90">
        <w:rPr>
          <w:rStyle w:val="codes-separator"/>
          <w:rFonts w:eastAsiaTheme="minorHAnsi"/>
          <w:sz w:val="24"/>
          <w:szCs w:val="24"/>
        </w:rPr>
        <w:t>|</w:t>
      </w:r>
      <w:r w:rsidRPr="009E5A90">
        <w:rPr>
          <w:sz w:val="24"/>
          <w:szCs w:val="24"/>
        </w:rPr>
        <w:t xml:space="preserve"> Schedule of compensable occupational diseases. </w:t>
      </w:r>
      <w:hyperlink r:id="rId1051" w:history="1">
        <w:r w:rsidRPr="00F80308">
          <w:rPr>
            <w:rStyle w:val="Hyperlink"/>
            <w:sz w:val="24"/>
            <w:szCs w:val="24"/>
          </w:rPr>
          <w:t>https://codes.ohio.gov/ohio-revised-code/section-4123.68</w:t>
        </w:r>
      </w:hyperlink>
      <w:r>
        <w:rPr>
          <w:sz w:val="24"/>
          <w:szCs w:val="24"/>
        </w:rPr>
        <w:t xml:space="preserve"> </w:t>
      </w:r>
    </w:p>
    <w:p w14:paraId="53EC78E9" w14:textId="77777777" w:rsidR="009C6DC9" w:rsidRDefault="009C6DC9" w:rsidP="009C6DC9">
      <w:pPr>
        <w:pStyle w:val="NormalWeb"/>
        <w:ind w:left="720"/>
      </w:pPr>
      <w:r>
        <w:t>For example:</w:t>
      </w:r>
    </w:p>
    <w:p w14:paraId="31E75CB6" w14:textId="77777777" w:rsidR="009C6DC9" w:rsidRDefault="009C6DC9" w:rsidP="009C6DC9">
      <w:pPr>
        <w:pStyle w:val="NormalWeb"/>
        <w:ind w:left="1440"/>
      </w:pPr>
      <w:r>
        <w:t>“(W) Cardiovascular, pulmonary, or respiratory diseases incurred by firefighters or police officers following exposure to heat, smoke, toxic gases, chemical fumes and other toxic substances: Any cardiovascular, pulmonary, or respiratory disease of a firefighter or police officer caused or induced by the cumulative effect of exposure to heat, the inhalation of smoke, toxic gases, chemical fumes and other toxic substances in the performance of the firefighter's or police officer's duty constitutes a presumption, which may be refuted by affirmative evidence, that such occurred in the course of and arising out of the firefighter's or police officer's employment.</w:t>
      </w:r>
    </w:p>
    <w:p w14:paraId="13DC7DCC" w14:textId="77777777" w:rsidR="009C6DC9" w:rsidRPr="00797268" w:rsidRDefault="009C6DC9" w:rsidP="009C6DC9">
      <w:pPr>
        <w:pStyle w:val="NormalWeb"/>
        <w:ind w:left="1440"/>
      </w:pPr>
      <w:r>
        <w:t>***</w:t>
      </w:r>
    </w:p>
    <w:p w14:paraId="0CD2C01F" w14:textId="77777777" w:rsidR="009C6DC9" w:rsidRPr="00EE37D5" w:rsidRDefault="009C6DC9" w:rsidP="009C6DC9">
      <w:pPr>
        <w:pStyle w:val="NormalWeb"/>
        <w:ind w:left="1440"/>
        <w:rPr>
          <w:b/>
          <w:bCs/>
        </w:rPr>
      </w:pPr>
      <w:r>
        <w:t xml:space="preserve">(X)(1) Cancer contracted by a firefighter: Cancer contracted by a firefighter who has been assigned to at least six years of hazardous duty as a firefighter constitutes a presumption that the cancer was contracted in the course of and arising out of the firefighter's employment if the firefighter was exposed to an agent classified by the international agency for research on cancer or its successor organization as a group 1 or 2A carcinogen.” </w:t>
      </w:r>
    </w:p>
    <w:p w14:paraId="0C2123E8" w14:textId="77777777" w:rsidR="009C6DC9" w:rsidRDefault="009C6DC9" w:rsidP="009C6DC9">
      <w:pPr>
        <w:pStyle w:val="NormalWeb"/>
        <w:ind w:left="720"/>
      </w:pPr>
      <w:r>
        <w:t xml:space="preserve">See IAFF list of states with statutory presumption laws. </w:t>
      </w:r>
      <w:hyperlink r:id="rId1052" w:history="1">
        <w:r w:rsidRPr="00F80308">
          <w:rPr>
            <w:rStyle w:val="Hyperlink"/>
          </w:rPr>
          <w:t>https://www.iaff.org/presumptive-health/</w:t>
        </w:r>
      </w:hyperlink>
      <w:r>
        <w:t xml:space="preserve"> </w:t>
      </w:r>
    </w:p>
    <w:p w14:paraId="278DA56C" w14:textId="77777777" w:rsidR="009F02E2" w:rsidRDefault="009F02E2" w:rsidP="006C4AD8">
      <w:pPr>
        <w:pStyle w:val="NormalWeb"/>
        <w:spacing w:before="0" w:beforeAutospacing="0"/>
        <w:rPr>
          <w:rFonts w:ascii="Arial Black" w:hAnsi="Arial Black"/>
          <w:b/>
          <w:bCs/>
          <w:color w:val="454545"/>
          <w:sz w:val="28"/>
          <w:szCs w:val="28"/>
          <w:shd w:val="clear" w:color="auto" w:fill="FFFFFF"/>
        </w:rPr>
      </w:pPr>
    </w:p>
    <w:p w14:paraId="31C637F1" w14:textId="2CC1D7DF" w:rsidR="00C63CEB" w:rsidRDefault="00C63CEB"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2</w:t>
      </w:r>
    </w:p>
    <w:p w14:paraId="16ECB341" w14:textId="77777777" w:rsidR="00DC3D8E" w:rsidRDefault="00DC3D8E" w:rsidP="00DC3D8E">
      <w:pPr>
        <w:pStyle w:val="NormalWeb"/>
        <w:spacing w:before="0" w:beforeAutospacing="0"/>
        <w:rPr>
          <w:rFonts w:ascii="Arial Black" w:hAnsi="Arial Black"/>
          <w:b/>
          <w:bCs/>
          <w:color w:val="454545"/>
          <w:sz w:val="28"/>
          <w:szCs w:val="28"/>
          <w:shd w:val="clear" w:color="auto" w:fill="FFFFFF"/>
        </w:rPr>
      </w:pPr>
      <w:r w:rsidRPr="009E0BBC">
        <w:rPr>
          <w:rFonts w:ascii="Arial Black" w:hAnsi="Arial Black"/>
          <w:b/>
          <w:bCs/>
          <w:color w:val="454545"/>
          <w:sz w:val="28"/>
          <w:szCs w:val="28"/>
          <w:shd w:val="clear" w:color="auto" w:fill="FFFFFF"/>
        </w:rPr>
        <w:t xml:space="preserve">PA: </w:t>
      </w:r>
      <w:r>
        <w:rPr>
          <w:rFonts w:ascii="Arial Black" w:hAnsi="Arial Black"/>
          <w:b/>
          <w:bCs/>
          <w:color w:val="454545"/>
          <w:sz w:val="28"/>
          <w:szCs w:val="28"/>
          <w:shd w:val="clear" w:color="auto" w:fill="FFFFFF"/>
        </w:rPr>
        <w:t xml:space="preserve">PHILADELPHIA FF - </w:t>
      </w:r>
      <w:r w:rsidRPr="009E0BBC">
        <w:rPr>
          <w:rFonts w:ascii="Arial Black" w:hAnsi="Arial Black"/>
          <w:b/>
          <w:bCs/>
          <w:color w:val="454545"/>
          <w:sz w:val="28"/>
          <w:szCs w:val="28"/>
          <w:shd w:val="clear" w:color="auto" w:fill="FFFFFF"/>
        </w:rPr>
        <w:t xml:space="preserve">TRANSGENDER </w:t>
      </w:r>
      <w:r>
        <w:rPr>
          <w:rFonts w:ascii="Arial Black" w:hAnsi="Arial Black"/>
          <w:b/>
          <w:bCs/>
          <w:color w:val="454545"/>
          <w:sz w:val="28"/>
          <w:szCs w:val="28"/>
          <w:shd w:val="clear" w:color="auto" w:fill="FFFFFF"/>
        </w:rPr>
        <w:t xml:space="preserve">FEMALE - DENIED </w:t>
      </w:r>
      <w:r w:rsidRPr="009E0BBC">
        <w:rPr>
          <w:rFonts w:ascii="Arial Black" w:hAnsi="Arial Black"/>
          <w:b/>
          <w:bCs/>
          <w:color w:val="454545"/>
          <w:sz w:val="28"/>
          <w:szCs w:val="28"/>
          <w:shd w:val="clear" w:color="auto" w:fill="FFFFFF"/>
        </w:rPr>
        <w:t>INSUR</w:t>
      </w:r>
      <w:r>
        <w:rPr>
          <w:rFonts w:ascii="Arial Black" w:hAnsi="Arial Black"/>
          <w:b/>
          <w:bCs/>
          <w:color w:val="454545"/>
          <w:sz w:val="28"/>
          <w:szCs w:val="28"/>
          <w:shd w:val="clear" w:color="auto" w:fill="FFFFFF"/>
        </w:rPr>
        <w:t>. “FACIAL SURGERY” – CASE DISMISSED / CAN REFILE</w:t>
      </w:r>
    </w:p>
    <w:p w14:paraId="11A5892D" w14:textId="77777777" w:rsidR="00DC3D8E" w:rsidRDefault="00DC3D8E" w:rsidP="00DC3D8E">
      <w:pPr>
        <w:pStyle w:val="NormalWeb"/>
        <w:spacing w:before="0" w:beforeAutospacing="0"/>
      </w:pPr>
      <w:r w:rsidRPr="000B7D4B">
        <w:rPr>
          <w:color w:val="454545"/>
          <w:shd w:val="clear" w:color="auto" w:fill="FFFFFF"/>
        </w:rPr>
        <w:t xml:space="preserve">On May 16, 2024, in </w:t>
      </w:r>
      <w:r w:rsidRPr="00885806">
        <w:rPr>
          <w:color w:val="454545"/>
          <w:u w:val="single"/>
          <w:shd w:val="clear" w:color="auto" w:fill="FFFFFF"/>
        </w:rPr>
        <w:t>Jane Doe [not actual name] v. City of Philadelphia, Independent Blue Cross, Firefighters’ &amp; Paramedics Union, IADD Local 22</w:t>
      </w:r>
      <w:r>
        <w:rPr>
          <w:color w:val="454545"/>
          <w:shd w:val="clear" w:color="auto" w:fill="FFFFFF"/>
        </w:rPr>
        <w:t>, the plaintiff, a member of the FD for three decades, was denied insurance coverage for “</w:t>
      </w:r>
      <w:r>
        <w:t xml:space="preserve">facial feminization surgery.”  </w:t>
      </w:r>
      <w:r>
        <w:rPr>
          <w:color w:val="454545"/>
          <w:shd w:val="clear" w:color="auto" w:fill="FFFFFF"/>
        </w:rPr>
        <w:t xml:space="preserve">United States District Court Judge </w:t>
      </w:r>
      <w:r>
        <w:t>Wendy Beetlestone granted the defendants’ motion to dismiss her lawsuit since it is not specific regarding alleged unlawful conduct of each of the three defendants, but the dismissal is “without prejudice” meaning she can refile with a more specific Complaint.  The plaintiff had filed an EEOC complaint and received a “Right to Sue” letter from EEOC, so she has properly taken steps to file a lawsuit. The Court held:</w:t>
      </w:r>
    </w:p>
    <w:p w14:paraId="168C3E8B" w14:textId="77777777" w:rsidR="00DC3D8E" w:rsidRDefault="00DC3D8E" w:rsidP="00DC3D8E">
      <w:pPr>
        <w:pStyle w:val="NormalWeb"/>
        <w:ind w:left="720"/>
      </w:pPr>
      <w:r>
        <w:t xml:space="preserve">“Here, Doe levies most of her allegations against Defendants as a whole, without identifying the conduct for which the </w:t>
      </w:r>
      <w:proofErr w:type="gramStart"/>
      <w:r>
        <w:t>City</w:t>
      </w:r>
      <w:proofErr w:type="gramEnd"/>
      <w:r>
        <w:t xml:space="preserve"> specifically is responsible. The only non-conclusory allegations against the City are that: (1) it employed Doe; (2) as her employer, the City was ‘responsible for the provision of benefits to [her] including employer-sponsored healthcare benefits;’ (3) the City funded that plan; and, (4) ‘[</w:t>
      </w:r>
      <w:proofErr w:type="spellStart"/>
      <w:r>
        <w:t>i</w:t>
      </w:r>
      <w:proofErr w:type="spellEnd"/>
      <w:r>
        <w:t xml:space="preserve">]t is believed and therefore averred that’ the City, along with the other Defendants ‘exercised extensive control over benefits,’ including health insurance. The key allegations relating to Defendants' liability-that they denied Doe health insurance coverage for treatments necessary to treat her gender dysphoria and misapplied her policy's cosmetic surgery exclusion in doing so-do not distinguish between the conduct of the City, Independence Blue Cross, and Local 22. The Amended Complaint therefore does not </w:t>
      </w:r>
      <w:proofErr w:type="gramStart"/>
      <w:r>
        <w:t>plead</w:t>
      </w:r>
      <w:proofErr w:type="gramEnd"/>
      <w:r>
        <w:t xml:space="preserve"> facts sufficient to show that Doe is plausibly entitled to relief from the City.</w:t>
      </w:r>
    </w:p>
    <w:p w14:paraId="1D482102" w14:textId="77777777" w:rsidR="00DC3D8E" w:rsidRDefault="00DC3D8E" w:rsidP="00DC3D8E">
      <w:pPr>
        <w:pStyle w:val="NormalWeb"/>
        <w:ind w:left="720"/>
      </w:pPr>
      <w:r>
        <w:lastRenderedPageBreak/>
        <w:t>***</w:t>
      </w:r>
    </w:p>
    <w:p w14:paraId="7326FA47" w14:textId="77777777" w:rsidR="00DC3D8E" w:rsidRDefault="00DC3D8E" w:rsidP="00DC3D8E">
      <w:pPr>
        <w:pStyle w:val="NormalWeb"/>
        <w:spacing w:before="0" w:beforeAutospacing="0"/>
        <w:ind w:left="720" w:firstLine="60"/>
      </w:pPr>
      <w:r>
        <w:t xml:space="preserve">For the foregoing reasons, the City of Philadelphia's Motion to Dismiss will be granted, and Doe's Amended Complaint will be dismissed without prejudice.”  </w:t>
      </w:r>
      <w:hyperlink r:id="rId1053" w:history="1">
        <w:r w:rsidRPr="00DF21B2">
          <w:rPr>
            <w:rStyle w:val="Hyperlink"/>
          </w:rPr>
          <w:t>https://casetext.com/case/doe-v-city-of-philadelphia-5</w:t>
        </w:r>
      </w:hyperlink>
      <w:r>
        <w:t xml:space="preserve"> </w:t>
      </w:r>
    </w:p>
    <w:p w14:paraId="4352044C" w14:textId="77777777" w:rsidR="009F02E2" w:rsidRPr="007D3354" w:rsidRDefault="009F02E2" w:rsidP="009F02E2">
      <w:pPr>
        <w:pStyle w:val="NormalWeb"/>
        <w:spacing w:before="0" w:beforeAutospacing="0"/>
        <w:rPr>
          <w:b/>
          <w:bCs/>
          <w:color w:val="454545"/>
          <w:shd w:val="clear" w:color="auto" w:fill="FFFFFF"/>
        </w:rPr>
      </w:pPr>
      <w:r w:rsidRPr="007D3354">
        <w:rPr>
          <w:b/>
          <w:bCs/>
        </w:rPr>
        <w:t xml:space="preserve">Legal Lesson Learned: This lawsuit will likely be refiled, focusing on the Insurance Company’s cosmetic surgery exclusion. </w:t>
      </w:r>
    </w:p>
    <w:p w14:paraId="3C7BA024" w14:textId="77777777" w:rsidR="009F02E2" w:rsidRDefault="009F02E2" w:rsidP="009F02E2">
      <w:pPr>
        <w:pStyle w:val="NormalWeb"/>
        <w:spacing w:before="0" w:beforeAutospacing="0"/>
        <w:ind w:left="720"/>
        <w:rPr>
          <w:b/>
          <w:bCs/>
          <w:color w:val="454545"/>
          <w:shd w:val="clear" w:color="auto" w:fill="FFFFFF"/>
        </w:rPr>
      </w:pPr>
      <w:r w:rsidRPr="007E1F50">
        <w:rPr>
          <w:color w:val="000000" w:themeColor="text1"/>
          <w:shd w:val="clear" w:color="auto" w:fill="FFFFFF"/>
        </w:rPr>
        <w:t>Note: See this abstract (Aug. 12, 2023):</w:t>
      </w:r>
      <w:r w:rsidRPr="007E1F50">
        <w:rPr>
          <w:b/>
          <w:bCs/>
          <w:color w:val="000000" w:themeColor="text1"/>
          <w:shd w:val="clear" w:color="auto" w:fill="FFFFFF"/>
        </w:rPr>
        <w:t xml:space="preserve"> </w:t>
      </w:r>
      <w:r>
        <w:rPr>
          <w:b/>
          <w:bCs/>
          <w:color w:val="000000" w:themeColor="text1"/>
          <w:shd w:val="clear" w:color="auto" w:fill="FFFFFF"/>
        </w:rPr>
        <w:t>“</w:t>
      </w:r>
      <w:r w:rsidRPr="007E1F50">
        <w:rPr>
          <w:color w:val="000000" w:themeColor="text1"/>
        </w:rPr>
        <w:t>The Limited Coverage of Facial Feminization Surgery in the United States: A Literature Review of Policy Constraints and Implications</w:t>
      </w:r>
      <w:r>
        <w:rPr>
          <w:color w:val="000000" w:themeColor="text1"/>
        </w:rPr>
        <w:t xml:space="preserve">.” </w:t>
      </w:r>
      <w:hyperlink r:id="rId1054" w:history="1">
        <w:r w:rsidRPr="00DF21B2">
          <w:rPr>
            <w:rStyle w:val="Hyperlink"/>
          </w:rPr>
          <w:t>https://www.ncbi.nlm.nih.gov/pmc/articles/PMC10455106/</w:t>
        </w:r>
      </w:hyperlink>
      <w:r>
        <w:t xml:space="preserve"> </w:t>
      </w:r>
    </w:p>
    <w:p w14:paraId="6DBB5852" w14:textId="77777777" w:rsidR="009F02E2" w:rsidRDefault="009F02E2" w:rsidP="009F02E2">
      <w:pPr>
        <w:pStyle w:val="NormalWeb"/>
        <w:spacing w:before="0" w:beforeAutospacing="0"/>
        <w:ind w:left="1440"/>
        <w:rPr>
          <w:b/>
          <w:bCs/>
          <w:color w:val="454545"/>
          <w:shd w:val="clear" w:color="auto" w:fill="FFFFFF"/>
        </w:rPr>
      </w:pPr>
      <w:r>
        <w:t xml:space="preserve">“In 2014, the Department of Human Health Services (HHS) lifted the transgender exclusion policy, leading to an increase in policies regarding GASs for both private and state insurance. However, there are differences in medical necessity requirements among policies, which may not align with the World Professional Association for Transgender Health (WPATH) criteria. States that prohibit exclusion tend to offer better coverage for FFS. These states are mainly located in the western and northeast regions, whereas states in the southern and middle east regions have less coverage. Among the procedures, chondrolaryngoplasty is the most covered, while facial and cervical rhytidectomy are the least covered. To enhance transgender care, it is crucial to reach a consensus on how to offer coverage for facial feminization surgery. However, there is a lack of adequate research on this topic, and there is a need for resources and tools to assess the results of FFS procedures.” </w:t>
      </w:r>
    </w:p>
    <w:p w14:paraId="47383A6C" w14:textId="77777777" w:rsidR="009F02E2" w:rsidRDefault="009F02E2" w:rsidP="009F02E2">
      <w:pPr>
        <w:pStyle w:val="NormalWeb"/>
        <w:spacing w:before="0" w:beforeAutospacing="0"/>
        <w:ind w:left="720"/>
        <w:rPr>
          <w:color w:val="454545"/>
          <w:shd w:val="clear" w:color="auto" w:fill="FFFFFF"/>
        </w:rPr>
      </w:pPr>
      <w:r w:rsidRPr="00546DEF">
        <w:rPr>
          <w:color w:val="454545"/>
          <w:shd w:val="clear" w:color="auto" w:fill="FFFFFF"/>
        </w:rPr>
        <w:t>See also</w:t>
      </w:r>
      <w:r>
        <w:rPr>
          <w:color w:val="454545"/>
          <w:shd w:val="clear" w:color="auto" w:fill="FFFFFF"/>
        </w:rPr>
        <w:t xml:space="preserve">:  May 13, </w:t>
      </w:r>
      <w:proofErr w:type="gramStart"/>
      <w:r>
        <w:rPr>
          <w:color w:val="454545"/>
          <w:shd w:val="clear" w:color="auto" w:fill="FFFFFF"/>
        </w:rPr>
        <w:t>2024</w:t>
      </w:r>
      <w:proofErr w:type="gramEnd"/>
      <w:r>
        <w:rPr>
          <w:color w:val="454545"/>
          <w:shd w:val="clear" w:color="auto" w:fill="FFFFFF"/>
        </w:rPr>
        <w:t xml:space="preserve"> decision by U.S. Court of Appeals for the 11</w:t>
      </w:r>
      <w:r w:rsidRPr="00BF4B65">
        <w:rPr>
          <w:color w:val="454545"/>
          <w:shd w:val="clear" w:color="auto" w:fill="FFFFFF"/>
          <w:vertAlign w:val="superscript"/>
        </w:rPr>
        <w:t>th</w:t>
      </w:r>
      <w:r>
        <w:rPr>
          <w:color w:val="454545"/>
          <w:shd w:val="clear" w:color="auto" w:fill="FFFFFF"/>
        </w:rPr>
        <w:t xml:space="preserve"> Circuit, </w:t>
      </w:r>
      <w:r w:rsidRPr="007F4E32">
        <w:rPr>
          <w:color w:val="454545"/>
          <w:u w:val="single"/>
          <w:shd w:val="clear" w:color="auto" w:fill="FFFFFF"/>
        </w:rPr>
        <w:t>Anna Lang v. Houston County, Georg</w:t>
      </w:r>
      <w:r>
        <w:rPr>
          <w:color w:val="454545"/>
          <w:u w:val="single"/>
          <w:shd w:val="clear" w:color="auto" w:fill="FFFFFF"/>
        </w:rPr>
        <w:t>ia</w:t>
      </w:r>
      <w:r>
        <w:rPr>
          <w:color w:val="454545"/>
          <w:shd w:val="clear" w:color="auto" w:fill="FFFFFF"/>
        </w:rPr>
        <w:t xml:space="preserve">: </w:t>
      </w:r>
    </w:p>
    <w:p w14:paraId="53262C28" w14:textId="77777777" w:rsidR="009F02E2" w:rsidRPr="00C65EDF" w:rsidRDefault="009F02E2" w:rsidP="009F02E2">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w:t>
      </w:r>
      <w:r w:rsidRPr="005C61F2">
        <w:rPr>
          <w:rFonts w:ascii="Times New Roman" w:hAnsi="Times New Roman"/>
          <w:sz w:val="24"/>
          <w:szCs w:val="24"/>
          <w:shd w:val="clear" w:color="auto" w:fill="FFFFFF"/>
        </w:rPr>
        <w:t>Anna Lange is a transgender woman</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Lange was formally diagnosed with gender dysphoria by a</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healthcare provider in 2017. The next year, Lange informed the</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Sheriff’s Office that she was transgender and would be living as a</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woman. Following her formal diagnosis, Lange’s healthcare providers started her on a treatment plan to align her physical characteristics with her gender identity. The plan comprised of hormone</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therapy and gender-affirming surgery, both of which are shown to</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alleviate symptoms of gender dysphoria. In 2018, her healthcare</w:t>
      </w:r>
    </w:p>
    <w:p w14:paraId="7A78DC16" w14:textId="77777777" w:rsidR="009F02E2" w:rsidRPr="00C65EDF" w:rsidRDefault="009F02E2" w:rsidP="009F02E2">
      <w:pPr>
        <w:pStyle w:val="NoSpacing"/>
        <w:ind w:left="1440"/>
        <w:rPr>
          <w:rFonts w:ascii="Times New Roman" w:hAnsi="Times New Roman"/>
          <w:sz w:val="24"/>
          <w:szCs w:val="24"/>
          <w:shd w:val="clear" w:color="auto" w:fill="FFFFFF"/>
        </w:rPr>
      </w:pPr>
      <w:r w:rsidRPr="00C65EDF">
        <w:rPr>
          <w:rFonts w:ascii="Times New Roman" w:hAnsi="Times New Roman"/>
          <w:sz w:val="24"/>
          <w:szCs w:val="24"/>
          <w:shd w:val="clear" w:color="auto" w:fill="FFFFFF"/>
        </w:rPr>
        <w:t>providers determined that a vaginoplasty—a surgical procedure to</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feminize her genitals—was medically necessary.</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 xml:space="preserve">Lange turned to her health insurance to cover her </w:t>
      </w:r>
      <w:proofErr w:type="gramStart"/>
      <w:r w:rsidRPr="00C65EDF">
        <w:rPr>
          <w:rFonts w:ascii="Times New Roman" w:hAnsi="Times New Roman"/>
          <w:sz w:val="24"/>
          <w:szCs w:val="24"/>
          <w:shd w:val="clear" w:color="auto" w:fill="FFFFFF"/>
        </w:rPr>
        <w:t>medically</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necessary</w:t>
      </w:r>
      <w:proofErr w:type="gramEnd"/>
      <w:r w:rsidRPr="00C65EDF">
        <w:rPr>
          <w:rFonts w:ascii="Times New Roman" w:hAnsi="Times New Roman"/>
          <w:sz w:val="24"/>
          <w:szCs w:val="24"/>
          <w:shd w:val="clear" w:color="auto" w:fill="FFFFFF"/>
        </w:rPr>
        <w:t xml:space="preserve"> surgery. However, Lange’s request for coverage was </w:t>
      </w:r>
      <w:r>
        <w:rPr>
          <w:rFonts w:ascii="Times New Roman" w:hAnsi="Times New Roman"/>
          <w:sz w:val="24"/>
          <w:szCs w:val="24"/>
          <w:shd w:val="clear" w:color="auto" w:fill="FFFFFF"/>
        </w:rPr>
        <w:t>denied</w:t>
      </w:r>
      <w:r w:rsidRPr="00C65EDF">
        <w:rPr>
          <w:rFonts w:ascii="Times New Roman" w:hAnsi="Times New Roman"/>
          <w:sz w:val="24"/>
          <w:szCs w:val="24"/>
          <w:shd w:val="clear" w:color="auto" w:fill="FFFFFF"/>
        </w:rPr>
        <w:t xml:space="preserve"> based on the Health Plan’s exclusion of </w:t>
      </w:r>
      <w:r>
        <w:rPr>
          <w:rFonts w:ascii="Times New Roman" w:hAnsi="Times New Roman"/>
          <w:sz w:val="24"/>
          <w:szCs w:val="24"/>
          <w:shd w:val="clear" w:color="auto" w:fill="FFFFFF"/>
        </w:rPr>
        <w:t>‘</w:t>
      </w:r>
      <w:r w:rsidRPr="00C65EDF">
        <w:rPr>
          <w:rFonts w:ascii="Times New Roman" w:hAnsi="Times New Roman"/>
          <w:sz w:val="24"/>
          <w:szCs w:val="24"/>
          <w:shd w:val="clear" w:color="auto" w:fill="FFFFFF"/>
        </w:rPr>
        <w:t>[d]rugs for sex change</w:t>
      </w:r>
    </w:p>
    <w:p w14:paraId="09A024DE" w14:textId="77777777" w:rsidR="009F02E2" w:rsidRPr="007A5B05" w:rsidRDefault="009F02E2" w:rsidP="009F02E2">
      <w:pPr>
        <w:pStyle w:val="NoSpacing"/>
        <w:ind w:left="1440"/>
        <w:rPr>
          <w:rFonts w:ascii="Times New Roman" w:hAnsi="Times New Roman"/>
          <w:sz w:val="24"/>
          <w:szCs w:val="24"/>
          <w:shd w:val="clear" w:color="auto" w:fill="FFFFFF"/>
        </w:rPr>
      </w:pPr>
      <w:r w:rsidRPr="00C65EDF">
        <w:rPr>
          <w:rFonts w:ascii="Times New Roman" w:hAnsi="Times New Roman"/>
          <w:sz w:val="24"/>
          <w:szCs w:val="24"/>
          <w:shd w:val="clear" w:color="auto" w:fill="FFFFFF"/>
        </w:rPr>
        <w:t>surgery</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 xml:space="preserve">and </w:t>
      </w:r>
      <w:r>
        <w:rPr>
          <w:rFonts w:ascii="Times New Roman" w:hAnsi="Times New Roman"/>
          <w:sz w:val="24"/>
          <w:szCs w:val="24"/>
          <w:shd w:val="clear" w:color="auto" w:fill="FFFFFF"/>
        </w:rPr>
        <w:t>‘</w:t>
      </w:r>
      <w:r w:rsidRPr="00C65EDF">
        <w:rPr>
          <w:rFonts w:ascii="Times New Roman" w:hAnsi="Times New Roman"/>
          <w:sz w:val="24"/>
          <w:szCs w:val="24"/>
          <w:shd w:val="clear" w:color="auto" w:fill="FFFFFF"/>
        </w:rPr>
        <w:t>[s]</w:t>
      </w:r>
      <w:proofErr w:type="spellStart"/>
      <w:r w:rsidRPr="00C65EDF">
        <w:rPr>
          <w:rFonts w:ascii="Times New Roman" w:hAnsi="Times New Roman"/>
          <w:sz w:val="24"/>
          <w:szCs w:val="24"/>
          <w:shd w:val="clear" w:color="auto" w:fill="FFFFFF"/>
        </w:rPr>
        <w:t>ervices</w:t>
      </w:r>
      <w:proofErr w:type="spellEnd"/>
      <w:r w:rsidRPr="00C65EDF">
        <w:rPr>
          <w:rFonts w:ascii="Times New Roman" w:hAnsi="Times New Roman"/>
          <w:sz w:val="24"/>
          <w:szCs w:val="24"/>
          <w:shd w:val="clear" w:color="auto" w:fill="FFFFFF"/>
        </w:rPr>
        <w:t xml:space="preserve"> and supplies for a sex change and/or the</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reversal of a sex change</w:t>
      </w:r>
      <w:r>
        <w:rPr>
          <w:rFonts w:ascii="Times New Roman" w:hAnsi="Times New Roman"/>
          <w:sz w:val="24"/>
          <w:szCs w:val="24"/>
          <w:shd w:val="clear" w:color="auto" w:fill="FFFFFF"/>
        </w:rPr>
        <w:t>’</w:t>
      </w:r>
      <w:r w:rsidRPr="00C65EDF">
        <w:rPr>
          <w:rFonts w:ascii="Times New Roman" w:hAnsi="Times New Roman"/>
          <w:sz w:val="24"/>
          <w:szCs w:val="24"/>
          <w:shd w:val="clear" w:color="auto" w:fill="FFFFFF"/>
        </w:rPr>
        <w:t xml:space="preserve"> (together, the Exclusion)</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In granting summary judgment to Lange on the Title VII</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claim, the district court found the Exclusion facially discriminatory</w:t>
      </w:r>
    </w:p>
    <w:p w14:paraId="5FB30946" w14:textId="77777777" w:rsidR="009F02E2" w:rsidRDefault="009F02E2" w:rsidP="009F02E2">
      <w:pPr>
        <w:pStyle w:val="NoSpacing"/>
        <w:ind w:left="1440"/>
        <w:rPr>
          <w:rFonts w:ascii="Times New Roman" w:hAnsi="Times New Roman"/>
          <w:sz w:val="24"/>
          <w:szCs w:val="24"/>
          <w:shd w:val="clear" w:color="auto" w:fill="FFFFFF"/>
        </w:rPr>
      </w:pPr>
      <w:r w:rsidRPr="007A5B05">
        <w:rPr>
          <w:rFonts w:ascii="Times New Roman" w:hAnsi="Times New Roman"/>
          <w:sz w:val="24"/>
          <w:szCs w:val="24"/>
          <w:shd w:val="clear" w:color="auto" w:fill="FFFFFF"/>
        </w:rPr>
        <w:t>as a matter of law. The Title VII claim then proceeded to trial, and</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a jury awarded Lange $60,000 in damages. After trial, the district</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court entered an order declaring that the Exclusion violated Title</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VII and permanently enjoined the Sheriff and Houston County</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 xml:space="preserve">from any further enforcement or application of the </w:t>
      </w:r>
      <w:proofErr w:type="gramStart"/>
      <w:r w:rsidRPr="007A5B05">
        <w:rPr>
          <w:rFonts w:ascii="Times New Roman" w:hAnsi="Times New Roman"/>
          <w:sz w:val="24"/>
          <w:szCs w:val="24"/>
          <w:shd w:val="clear" w:color="auto" w:fill="FFFFFF"/>
        </w:rPr>
        <w:t>Exclusion.</w:t>
      </w:r>
      <w:r>
        <w:rPr>
          <w:rFonts w:ascii="Times New Roman" w:hAnsi="Times New Roman"/>
          <w:sz w:val="24"/>
          <w:szCs w:val="24"/>
          <w:shd w:val="clear" w:color="auto" w:fill="FFFFFF"/>
        </w:rPr>
        <w:t>”</w:t>
      </w:r>
      <w:proofErr w:type="gramEnd"/>
    </w:p>
    <w:p w14:paraId="7277BE35" w14:textId="77777777" w:rsidR="009F02E2" w:rsidRDefault="009F02E2" w:rsidP="009F02E2">
      <w:pPr>
        <w:pStyle w:val="NoSpacing"/>
        <w:ind w:left="1440"/>
        <w:rPr>
          <w:rFonts w:ascii="Times New Roman" w:hAnsi="Times New Roman"/>
          <w:sz w:val="24"/>
          <w:szCs w:val="24"/>
          <w:shd w:val="clear" w:color="auto" w:fill="FFFFFF"/>
        </w:rPr>
      </w:pPr>
    </w:p>
    <w:p w14:paraId="76C8FA27" w14:textId="77777777" w:rsidR="009F02E2" w:rsidRDefault="009F02E2" w:rsidP="009F02E2">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The 11</w:t>
      </w:r>
      <w:r w:rsidRPr="007A5B05">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agreed:</w:t>
      </w:r>
    </w:p>
    <w:p w14:paraId="17319099" w14:textId="77777777" w:rsidR="009F02E2" w:rsidRDefault="009F02E2" w:rsidP="009F02E2">
      <w:pPr>
        <w:pStyle w:val="NoSpacing"/>
        <w:ind w:left="1440"/>
        <w:rPr>
          <w:rFonts w:ascii="Times New Roman" w:hAnsi="Times New Roman"/>
          <w:sz w:val="24"/>
          <w:szCs w:val="24"/>
          <w:shd w:val="clear" w:color="auto" w:fill="FFFFFF"/>
        </w:rPr>
      </w:pPr>
    </w:p>
    <w:p w14:paraId="6384FCBF" w14:textId="77777777" w:rsidR="009F02E2" w:rsidRPr="00017ECB" w:rsidRDefault="009F02E2" w:rsidP="009F02E2">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“[W]</w:t>
      </w:r>
      <w:r w:rsidRPr="00017ECB">
        <w:rPr>
          <w:rFonts w:ascii="Times New Roman" w:hAnsi="Times New Roman"/>
          <w:sz w:val="24"/>
          <w:szCs w:val="24"/>
          <w:shd w:val="clear" w:color="auto" w:fill="FFFFFF"/>
        </w:rPr>
        <w:t>e conclude that the district court was correct in finding that the Exclusion violated Title VII. There is no genuine dispute of fact or law</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as to whether the Exclusion unlawfully discriminates against Lange</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and other transgender persons. The Exclusion is a blanket denial</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of coverage for gender-affirming surgery. Health Plan participants</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 xml:space="preserve">who are transgender are the only participants </w:t>
      </w:r>
      <w:r w:rsidRPr="00017ECB">
        <w:rPr>
          <w:rFonts w:ascii="Times New Roman" w:hAnsi="Times New Roman"/>
          <w:sz w:val="24"/>
          <w:szCs w:val="24"/>
          <w:shd w:val="clear" w:color="auto" w:fill="FFFFFF"/>
        </w:rPr>
        <w:lastRenderedPageBreak/>
        <w:t>who would seek gender-affirming surgery. Because transgender persons are the only</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plan participants who qualify for gender-affirming surgery, the plan</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denies health care coverage based on transgender status.</w:t>
      </w:r>
      <w:r>
        <w:rPr>
          <w:rFonts w:ascii="Times New Roman" w:hAnsi="Times New Roman"/>
          <w:sz w:val="24"/>
          <w:szCs w:val="24"/>
          <w:shd w:val="clear" w:color="auto" w:fill="FFFFFF"/>
        </w:rPr>
        <w:t xml:space="preserve">” </w:t>
      </w:r>
      <w:hyperlink r:id="rId1055" w:history="1">
        <w:r w:rsidRPr="003E1588">
          <w:rPr>
            <w:rStyle w:val="Hyperlink"/>
            <w:rFonts w:ascii="Times New Roman" w:hAnsi="Times New Roman"/>
            <w:sz w:val="24"/>
            <w:szCs w:val="24"/>
            <w:shd w:val="clear" w:color="auto" w:fill="FFFFFF"/>
          </w:rPr>
          <w:t>https://media.ca11.uscourts.gov/opinions/pub/files/202213626.pdf</w:t>
        </w:r>
      </w:hyperlink>
      <w:r>
        <w:rPr>
          <w:rFonts w:ascii="Times New Roman" w:hAnsi="Times New Roman"/>
          <w:sz w:val="24"/>
          <w:szCs w:val="24"/>
          <w:shd w:val="clear" w:color="auto" w:fill="FFFFFF"/>
        </w:rPr>
        <w:t xml:space="preserve"> </w:t>
      </w:r>
    </w:p>
    <w:p w14:paraId="3669E115" w14:textId="77777777" w:rsidR="00DC3D8E" w:rsidRDefault="00DC3D8E" w:rsidP="006C4AD8">
      <w:pPr>
        <w:pStyle w:val="NormalWeb"/>
        <w:spacing w:before="0" w:beforeAutospacing="0"/>
        <w:rPr>
          <w:rFonts w:ascii="Arial Black" w:hAnsi="Arial Black"/>
          <w:b/>
          <w:bCs/>
          <w:color w:val="454545"/>
          <w:sz w:val="28"/>
          <w:szCs w:val="28"/>
          <w:shd w:val="clear" w:color="auto" w:fill="FFFFFF"/>
        </w:rPr>
      </w:pPr>
    </w:p>
    <w:p w14:paraId="355E5168" w14:textId="77777777" w:rsidR="00C63CEB" w:rsidRDefault="00C63CEB" w:rsidP="006C4AD8">
      <w:pPr>
        <w:pStyle w:val="NormalWeb"/>
        <w:spacing w:before="0" w:beforeAutospacing="0"/>
        <w:rPr>
          <w:rFonts w:ascii="Arial Black" w:hAnsi="Arial Black"/>
          <w:b/>
          <w:bCs/>
          <w:color w:val="454545"/>
          <w:sz w:val="28"/>
          <w:szCs w:val="28"/>
          <w:shd w:val="clear" w:color="auto" w:fill="FFFFFF"/>
        </w:rPr>
      </w:pPr>
    </w:p>
    <w:p w14:paraId="155CB732" w14:textId="754EF3A1" w:rsidR="003F14B8" w:rsidRDefault="003F14B8"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1</w:t>
      </w:r>
    </w:p>
    <w:p w14:paraId="6299ACD8" w14:textId="77777777" w:rsidR="00E018F9" w:rsidRPr="00DC6B8D" w:rsidRDefault="00E018F9" w:rsidP="00E018F9">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NJ: EMT SLIPPED ON ICE – RETIRED – ACCIDENTAL DISABILITY PENSION DENIED – NOT “UNEXPECTED” </w:t>
      </w:r>
    </w:p>
    <w:p w14:paraId="3C88B6B5" w14:textId="77777777" w:rsidR="00E018F9" w:rsidRDefault="00E018F9" w:rsidP="00E018F9">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14, 2024, in </w:t>
      </w:r>
      <w:r w:rsidRPr="00530983">
        <w:rPr>
          <w:rFonts w:ascii="Times New Roman" w:eastAsia="Times New Roman" w:hAnsi="Times New Roman"/>
          <w:sz w:val="24"/>
          <w:szCs w:val="24"/>
          <w:u w:val="single"/>
        </w:rPr>
        <w:t>Dennis McCool v. Board of Trustees, Public Employees’ Retirement System</w:t>
      </w:r>
      <w:r>
        <w:rPr>
          <w:rFonts w:ascii="Times New Roman" w:eastAsia="Times New Roman" w:hAnsi="Times New Roman"/>
          <w:sz w:val="24"/>
          <w:szCs w:val="24"/>
        </w:rPr>
        <w:t>, the Superior Court of New Jersey, Appellate Division, upheld the Board and the Administrative Law Judge decision denying ADR [accidental disability pension] benefits. ADR is 72.7% of base salary at time of traumatic event, ordinary is 43.6% of final average salary.</w:t>
      </w:r>
      <w:r w:rsidRPr="0084019C">
        <w:t xml:space="preserve"> </w:t>
      </w:r>
      <w:hyperlink r:id="rId1056" w:history="1">
        <w:r w:rsidRPr="008C767B">
          <w:rPr>
            <w:rStyle w:val="Hyperlink"/>
            <w:rFonts w:ascii="Times New Roman" w:eastAsia="Times New Roman" w:hAnsi="Times New Roman"/>
            <w:sz w:val="24"/>
            <w:szCs w:val="24"/>
          </w:rPr>
          <w:t>https://www.nj.gov/treasury/pensions/documents/factsheets/fact15.pdf</w:t>
        </w:r>
      </w:hyperlink>
      <w:r>
        <w:rPr>
          <w:rFonts w:ascii="Times New Roman" w:eastAsia="Times New Roman" w:hAnsi="Times New Roman"/>
          <w:sz w:val="24"/>
          <w:szCs w:val="24"/>
        </w:rPr>
        <w:t xml:space="preserve">.  The Court held (3 to 0): </w:t>
      </w:r>
    </w:p>
    <w:p w14:paraId="63D6083B" w14:textId="77777777" w:rsidR="00E018F9" w:rsidRPr="00560FAA" w:rsidRDefault="00E018F9" w:rsidP="00E018F9">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w:t>
      </w:r>
      <w:r w:rsidRPr="00560FAA">
        <w:rPr>
          <w:rFonts w:ascii="Times New Roman" w:eastAsia="Times New Roman" w:hAnsi="Times New Roman"/>
          <w:sz w:val="24"/>
          <w:szCs w:val="24"/>
        </w:rPr>
        <w:t xml:space="preserve">On January 4, 2019, petitioner applied for ADR benefits. In his application he wrote: </w:t>
      </w:r>
    </w:p>
    <w:p w14:paraId="2506AE68" w14:textId="77777777" w:rsidR="00E018F9" w:rsidRPr="00560FAA" w:rsidRDefault="00E018F9" w:rsidP="00E018F9">
      <w:pPr>
        <w:spacing w:after="100" w:line="240" w:lineRule="auto"/>
        <w:ind w:left="1440"/>
        <w:rPr>
          <w:rFonts w:ascii="Times New Roman" w:eastAsia="Times New Roman" w:hAnsi="Times New Roman"/>
          <w:sz w:val="24"/>
          <w:szCs w:val="24"/>
        </w:rPr>
      </w:pPr>
      <w:r w:rsidRPr="00560FAA">
        <w:rPr>
          <w:rFonts w:ascii="Times New Roman" w:eastAsia="Times New Roman" w:hAnsi="Times New Roman"/>
          <w:sz w:val="24"/>
          <w:szCs w:val="24"/>
        </w:rPr>
        <w:t>On January 9</w:t>
      </w:r>
      <w:proofErr w:type="gramStart"/>
      <w:r w:rsidRPr="00560FAA">
        <w:rPr>
          <w:rFonts w:ascii="Times New Roman" w:eastAsia="Times New Roman" w:hAnsi="Times New Roman"/>
          <w:sz w:val="24"/>
          <w:szCs w:val="24"/>
        </w:rPr>
        <w:t xml:space="preserve"> 2018</w:t>
      </w:r>
      <w:proofErr w:type="gramEnd"/>
      <w:r w:rsidRPr="00560FAA">
        <w:rPr>
          <w:rFonts w:ascii="Times New Roman" w:eastAsia="Times New Roman" w:hAnsi="Times New Roman"/>
          <w:sz w:val="24"/>
          <w:szCs w:val="24"/>
        </w:rPr>
        <w:t xml:space="preserve">[,] I slipped on icy snowy steps returning to vehicle from assisting a patient into residence[,] which resulted in a large piece of disc shearing off and compressing [my] sciatic nerve. I then underwent multiple surgeries and now have permanent nerve damage[,] a spinal nerve stimulator[,] and limited mobility. </w:t>
      </w:r>
    </w:p>
    <w:p w14:paraId="0C5D7FA3" w14:textId="77777777" w:rsidR="00E018F9" w:rsidRDefault="00E018F9" w:rsidP="00E018F9">
      <w:pPr>
        <w:spacing w:before="100" w:beforeAutospacing="1" w:after="100" w:afterAutospacing="1" w:line="240" w:lineRule="auto"/>
        <w:ind w:left="540"/>
        <w:rPr>
          <w:rFonts w:ascii="Times New Roman" w:eastAsia="Times New Roman" w:hAnsi="Times New Roman"/>
          <w:sz w:val="24"/>
          <w:szCs w:val="24"/>
        </w:rPr>
      </w:pPr>
      <w:r w:rsidRPr="00560FAA">
        <w:rPr>
          <w:rFonts w:ascii="Times New Roman" w:eastAsia="Times New Roman" w:hAnsi="Times New Roman"/>
          <w:sz w:val="24"/>
          <w:szCs w:val="24"/>
        </w:rPr>
        <w:t xml:space="preserve">On October 17, 2019, the Board denied McCool's application for ADR benefits because his disability was not the result of a traumatic event that was </w:t>
      </w:r>
      <w:r>
        <w:rPr>
          <w:rFonts w:ascii="Times New Roman" w:eastAsia="Times New Roman" w:hAnsi="Times New Roman"/>
          <w:sz w:val="24"/>
          <w:szCs w:val="24"/>
        </w:rPr>
        <w:t>‘</w:t>
      </w:r>
      <w:r w:rsidRPr="00560FAA">
        <w:rPr>
          <w:rFonts w:ascii="Times New Roman" w:eastAsia="Times New Roman" w:hAnsi="Times New Roman"/>
          <w:sz w:val="24"/>
          <w:szCs w:val="24"/>
        </w:rPr>
        <w:t>undesigned and unexpected.</w:t>
      </w:r>
      <w:r>
        <w:rPr>
          <w:rFonts w:ascii="Times New Roman" w:eastAsia="Times New Roman" w:hAnsi="Times New Roman"/>
          <w:sz w:val="24"/>
          <w:szCs w:val="24"/>
        </w:rPr>
        <w:t>’</w:t>
      </w:r>
    </w:p>
    <w:p w14:paraId="79F63800" w14:textId="77777777" w:rsidR="00E018F9" w:rsidRDefault="00E018F9" w:rsidP="00E018F9">
      <w:pPr>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w:t>
      </w:r>
    </w:p>
    <w:p w14:paraId="75CF4325" w14:textId="77777777" w:rsidR="00E018F9" w:rsidRDefault="00E018F9" w:rsidP="00E018F9">
      <w:pPr>
        <w:pStyle w:val="NormalWeb"/>
        <w:ind w:left="540"/>
      </w:pPr>
      <w:r>
        <w:t xml:space="preserve">McCool's contention that his case is </w:t>
      </w:r>
      <w:proofErr w:type="gramStart"/>
      <w:r>
        <w:t>similar to</w:t>
      </w:r>
      <w:proofErr w:type="gramEnd"/>
      <w:r>
        <w:t xml:space="preserve"> </w:t>
      </w:r>
      <w:r>
        <w:rPr>
          <w:rStyle w:val="Emphasis"/>
          <w:rFonts w:eastAsiaTheme="majorEastAsia"/>
        </w:rPr>
        <w:t>Richardson</w:t>
      </w:r>
      <w:r>
        <w:t xml:space="preserve"> and </w:t>
      </w:r>
      <w:r>
        <w:rPr>
          <w:rStyle w:val="Emphasis"/>
          <w:rFonts w:eastAsiaTheme="majorEastAsia"/>
        </w:rPr>
        <w:t>Moran v. Board of Trustees, Police &amp;Firemen's Retirement System</w:t>
      </w:r>
      <w:r>
        <w:t xml:space="preserve">, 438 </w:t>
      </w:r>
      <w:proofErr w:type="spellStart"/>
      <w:r>
        <w:t>N.J.Super</w:t>
      </w:r>
      <w:proofErr w:type="spellEnd"/>
      <w:r>
        <w:t xml:space="preserve">. 346 (App. Div. 2014), is not convincing. In </w:t>
      </w:r>
      <w:r>
        <w:rPr>
          <w:rStyle w:val="Emphasis"/>
          <w:rFonts w:eastAsiaTheme="majorEastAsia"/>
        </w:rPr>
        <w:t>Richardson</w:t>
      </w:r>
      <w:r>
        <w:t xml:space="preserve">, a corrections officer was injured while attempting to subdue an inmate. 192 N.J. at 193. There, the officer straddled the inmate to hold him down. </w:t>
      </w:r>
      <w:r>
        <w:rPr>
          <w:rStyle w:val="Emphasis"/>
          <w:rFonts w:eastAsiaTheme="majorEastAsia"/>
        </w:rPr>
        <w:t>Ibid.</w:t>
      </w:r>
      <w:r>
        <w:t xml:space="preserve"> The inmate continued to kick, punch, and throw his body around, and eventually pulled himself loose. </w:t>
      </w:r>
      <w:r>
        <w:rPr>
          <w:rStyle w:val="Emphasis"/>
          <w:rFonts w:eastAsiaTheme="majorEastAsia"/>
        </w:rPr>
        <w:t>Ibid.</w:t>
      </w:r>
      <w:r>
        <w:t xml:space="preserve"> The inmate then forcefully jerked up from the ground and knocked the officer backward, injuring him. </w:t>
      </w:r>
      <w:r>
        <w:rPr>
          <w:rStyle w:val="Emphasis"/>
          <w:rFonts w:eastAsiaTheme="majorEastAsia"/>
        </w:rPr>
        <w:t>Ibid.</w:t>
      </w:r>
      <w:r>
        <w:t xml:space="preserve"> </w:t>
      </w:r>
    </w:p>
    <w:p w14:paraId="2B4FD90E" w14:textId="77777777" w:rsidR="00E018F9" w:rsidRDefault="00E018F9" w:rsidP="00E018F9">
      <w:pPr>
        <w:pStyle w:val="NormalWeb"/>
        <w:ind w:left="540"/>
      </w:pPr>
      <w:r>
        <w:t xml:space="preserve">In </w:t>
      </w:r>
      <w:r>
        <w:rPr>
          <w:rStyle w:val="Emphasis"/>
          <w:rFonts w:eastAsiaTheme="majorEastAsia"/>
        </w:rPr>
        <w:t>Moran,</w:t>
      </w:r>
      <w:r>
        <w:t xml:space="preserve"> the court found an undesigned and unexpected event occurred when a ‘combination of unusual circumstances . . . led to [the member's] injury.’ 438 </w:t>
      </w:r>
      <w:proofErr w:type="spellStart"/>
      <w:r>
        <w:t>N.J.Super</w:t>
      </w:r>
      <w:proofErr w:type="spellEnd"/>
      <w:r>
        <w:t xml:space="preserve">. at 354. In that case, a firefighter was injured after kicking down a door to a burning building because he heard voices yelling from inside. </w:t>
      </w:r>
      <w:r>
        <w:rPr>
          <w:rStyle w:val="Emphasis"/>
          <w:rFonts w:eastAsiaTheme="majorEastAsia"/>
        </w:rPr>
        <w:t>Id.</w:t>
      </w:r>
      <w:r>
        <w:t xml:space="preserve"> at 349-50. The firefighter was part of the ‘engine company’ that brought </w:t>
      </w:r>
      <w:proofErr w:type="gramStart"/>
      <w:r>
        <w:t>hoses</w:t>
      </w:r>
      <w:proofErr w:type="gramEnd"/>
      <w:r>
        <w:t xml:space="preserve"> to burning buildings and not part of the ‘truck company’ that brought equipment used to forcibly enter buildings. </w:t>
      </w:r>
      <w:r>
        <w:rPr>
          <w:rStyle w:val="Emphasis"/>
          <w:rFonts w:eastAsiaTheme="majorEastAsia"/>
        </w:rPr>
        <w:t>Id.</w:t>
      </w:r>
      <w:r>
        <w:t xml:space="preserve"> at 349. The ‘truck company’ was running late so the firefighter attempted to rescue victims trapped inside the building despite not having the proper equipment. </w:t>
      </w:r>
      <w:r>
        <w:rPr>
          <w:rStyle w:val="Emphasis"/>
          <w:rFonts w:eastAsiaTheme="majorEastAsia"/>
        </w:rPr>
        <w:t>Id.</w:t>
      </w:r>
      <w:r>
        <w:t xml:space="preserve"> at 354. We concluded the firefighter's injury was caused by an undesigned and unexpected event because the firefighter faced unusual circumstances, including the presence of victims inside the burning building, the "truck company's" delay, and the lack of equipment to break down the door. </w:t>
      </w:r>
      <w:r>
        <w:rPr>
          <w:rStyle w:val="Emphasis"/>
          <w:rFonts w:eastAsiaTheme="majorEastAsia"/>
        </w:rPr>
        <w:t>Ibid.</w:t>
      </w:r>
      <w:r>
        <w:t xml:space="preserve"> </w:t>
      </w:r>
    </w:p>
    <w:p w14:paraId="3146B63E" w14:textId="77777777" w:rsidR="00E018F9" w:rsidRDefault="00E018F9" w:rsidP="00E018F9">
      <w:pPr>
        <w:pStyle w:val="NormalWeb"/>
        <w:ind w:left="540"/>
      </w:pPr>
      <w:r>
        <w:lastRenderedPageBreak/>
        <w:t xml:space="preserve">Unlike in </w:t>
      </w:r>
      <w:r>
        <w:rPr>
          <w:rStyle w:val="Emphasis"/>
          <w:rFonts w:eastAsiaTheme="majorEastAsia"/>
        </w:rPr>
        <w:t>Richardson</w:t>
      </w:r>
      <w:r>
        <w:t xml:space="preserve"> and </w:t>
      </w:r>
      <w:r>
        <w:rPr>
          <w:rStyle w:val="Emphasis"/>
          <w:rFonts w:eastAsiaTheme="majorEastAsia"/>
        </w:rPr>
        <w:t>Moran</w:t>
      </w:r>
      <w:r>
        <w:t xml:space="preserve">, petitioner's injury did not result from an ‘unexpected happening.’ He did not face unusual circumstances like in </w:t>
      </w:r>
      <w:r>
        <w:rPr>
          <w:rStyle w:val="Emphasis"/>
          <w:rFonts w:eastAsiaTheme="majorEastAsia"/>
        </w:rPr>
        <w:t>Moran</w:t>
      </w:r>
      <w:r>
        <w:t xml:space="preserve">; nor was he injured as </w:t>
      </w:r>
      <w:proofErr w:type="spellStart"/>
      <w:proofErr w:type="gramStart"/>
      <w:r>
        <w:t>a</w:t>
      </w:r>
      <w:proofErr w:type="spellEnd"/>
      <w:proofErr w:type="gramEnd"/>
      <w:r>
        <w:t xml:space="preserve"> individual like in </w:t>
      </w:r>
      <w:r>
        <w:rPr>
          <w:rStyle w:val="Emphasis"/>
          <w:rFonts w:eastAsiaTheme="majorEastAsia"/>
        </w:rPr>
        <w:t>Richardson</w:t>
      </w:r>
      <w:r>
        <w:t xml:space="preserve">. After considering </w:t>
      </w:r>
      <w:proofErr w:type="gramStart"/>
      <w:r>
        <w:t>all of</w:t>
      </w:r>
      <w:proofErr w:type="gramEnd"/>
      <w:r>
        <w:t xml:space="preserve"> the evidence presented and the applicable legal standards, the ALJ determined McCool failed to prove by a preponderance of the evidence his disability was caused by an undesigned and unexpected event. The ALJ's decision was based on ample findings supported by substantial credible evidence in the record and was not arbitrary, capricious, or unreasonable. We discern no basis to disturb the Board's decision </w:t>
      </w:r>
      <w:proofErr w:type="gramStart"/>
      <w:r>
        <w:t>adopting</w:t>
      </w:r>
      <w:proofErr w:type="gramEnd"/>
      <w:r>
        <w:t xml:space="preserve"> the ALJ's findings and </w:t>
      </w:r>
      <w:proofErr w:type="gramStart"/>
      <w:r>
        <w:t>denying</w:t>
      </w:r>
      <w:proofErr w:type="gramEnd"/>
      <w:r>
        <w:t xml:space="preserve"> McCool's application for ADR benefits. </w:t>
      </w:r>
    </w:p>
    <w:p w14:paraId="00CA3F4B" w14:textId="77777777" w:rsidR="00E018F9" w:rsidRPr="00560FAA" w:rsidRDefault="00E018F9" w:rsidP="00E018F9">
      <w:pPr>
        <w:pStyle w:val="NormalWeb"/>
        <w:ind w:left="540"/>
      </w:pPr>
      <w:r>
        <w:t xml:space="preserve">The Board's decision is supported by sufficient credible evidence on the </w:t>
      </w:r>
      <w:proofErr w:type="gramStart"/>
      <w:r>
        <w:t>record as a whole</w:t>
      </w:r>
      <w:proofErr w:type="gramEnd"/>
      <w:r>
        <w:t xml:space="preserve">. </w:t>
      </w:r>
      <w:r>
        <w:rPr>
          <w:rStyle w:val="Emphasis"/>
          <w:rFonts w:eastAsiaTheme="majorEastAsia"/>
        </w:rPr>
        <w:t>R.</w:t>
      </w:r>
      <w:r>
        <w:t xml:space="preserve"> 2:11-3(e)(1)(D). To the extent we have not otherwise addressed McCool's arguments, they are without sufficient merit to warrant discussion in a written opinion. </w:t>
      </w:r>
      <w:r>
        <w:rPr>
          <w:rStyle w:val="Emphasis"/>
          <w:rFonts w:eastAsiaTheme="majorEastAsia"/>
        </w:rPr>
        <w:t>R.</w:t>
      </w:r>
      <w:r>
        <w:t xml:space="preserve"> 2:11-3(e)(1)(E).”</w:t>
      </w:r>
      <w:r w:rsidRPr="00C602E7">
        <w:t xml:space="preserve"> </w:t>
      </w:r>
      <w:hyperlink r:id="rId1057" w:history="1">
        <w:r w:rsidRPr="008C767B">
          <w:rPr>
            <w:rStyle w:val="Hyperlink"/>
          </w:rPr>
          <w:t>https://www.njcourts.gov/system/files/court-opinions/2024/a3332-21.pdf</w:t>
        </w:r>
      </w:hyperlink>
      <w:r>
        <w:t xml:space="preserve"> </w:t>
      </w:r>
      <w:r w:rsidRPr="00560FAA">
        <w:t xml:space="preserve"> </w:t>
      </w:r>
    </w:p>
    <w:p w14:paraId="45BCA169" w14:textId="77777777" w:rsidR="00C63CEB" w:rsidRPr="001D4B2A" w:rsidRDefault="00C63CEB" w:rsidP="00C63CEB">
      <w:pPr>
        <w:pStyle w:val="NormalWeb"/>
        <w:rPr>
          <w:b/>
          <w:bCs/>
        </w:rPr>
      </w:pPr>
      <w:r w:rsidRPr="001D4B2A">
        <w:rPr>
          <w:b/>
          <w:bCs/>
        </w:rPr>
        <w:t>Legal Lesson Learned:</w:t>
      </w:r>
      <w:r>
        <w:rPr>
          <w:b/>
          <w:bCs/>
        </w:rPr>
        <w:t xml:space="preserve"> Enhanced accidental disability pension for traumatic injury is limited to those injuries that are an “unexpected.”</w:t>
      </w:r>
    </w:p>
    <w:p w14:paraId="30E88095" w14:textId="77777777" w:rsidR="00E018F9" w:rsidRDefault="00E018F9" w:rsidP="006C4AD8">
      <w:pPr>
        <w:pStyle w:val="NormalWeb"/>
        <w:spacing w:before="0" w:beforeAutospacing="0"/>
        <w:rPr>
          <w:rFonts w:ascii="Arial Black" w:hAnsi="Arial Black"/>
          <w:b/>
          <w:bCs/>
          <w:color w:val="454545"/>
          <w:sz w:val="28"/>
          <w:szCs w:val="28"/>
          <w:shd w:val="clear" w:color="auto" w:fill="FFFFFF"/>
        </w:rPr>
      </w:pPr>
    </w:p>
    <w:p w14:paraId="3611B9F0" w14:textId="77777777" w:rsidR="003F14B8" w:rsidRDefault="003F14B8" w:rsidP="006C4AD8">
      <w:pPr>
        <w:pStyle w:val="NormalWeb"/>
        <w:spacing w:before="0" w:beforeAutospacing="0"/>
        <w:rPr>
          <w:rFonts w:ascii="Arial Black" w:hAnsi="Arial Black"/>
          <w:b/>
          <w:bCs/>
          <w:color w:val="454545"/>
          <w:sz w:val="28"/>
          <w:szCs w:val="28"/>
          <w:shd w:val="clear" w:color="auto" w:fill="FFFFFF"/>
        </w:rPr>
      </w:pPr>
    </w:p>
    <w:p w14:paraId="2459F776" w14:textId="03652378" w:rsidR="0060031B" w:rsidRDefault="0060031B"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0</w:t>
      </w:r>
    </w:p>
    <w:p w14:paraId="56260724" w14:textId="7A6C35D4" w:rsidR="006C4AD8" w:rsidRDefault="006C4AD8" w:rsidP="006C4AD8">
      <w:pPr>
        <w:pStyle w:val="NormalWeb"/>
        <w:spacing w:before="0" w:beforeAutospacing="0"/>
        <w:rPr>
          <w:b/>
          <w:bCs/>
          <w:color w:val="454545"/>
          <w:shd w:val="clear" w:color="auto" w:fill="FFFFFF"/>
        </w:rPr>
      </w:pPr>
      <w:r>
        <w:rPr>
          <w:rFonts w:ascii="Arial Black" w:hAnsi="Arial Black"/>
          <w:b/>
          <w:bCs/>
          <w:color w:val="454545"/>
          <w:sz w:val="28"/>
          <w:szCs w:val="28"/>
          <w:shd w:val="clear" w:color="auto" w:fill="FFFFFF"/>
        </w:rPr>
        <w:t xml:space="preserve">WV: VOL. FIRE CHIEF HEARING LOSS AS COAL MINOR (17.5%) – CLAIM ADDITIONAL LOSS FD DENIED / DIABETES  </w:t>
      </w:r>
    </w:p>
    <w:p w14:paraId="0BECCF51" w14:textId="77777777" w:rsidR="006C4AD8" w:rsidRDefault="006C4AD8" w:rsidP="006C4AD8">
      <w:pPr>
        <w:pStyle w:val="NoSpacing"/>
        <w:rPr>
          <w:rFonts w:ascii="Times New Roman" w:hAnsi="Times New Roman"/>
          <w:sz w:val="24"/>
          <w:szCs w:val="24"/>
        </w:rPr>
      </w:pPr>
      <w:r>
        <w:rPr>
          <w:rFonts w:ascii="Times New Roman" w:hAnsi="Times New Roman"/>
          <w:sz w:val="24"/>
          <w:szCs w:val="24"/>
        </w:rPr>
        <w:t xml:space="preserve">On March 25, 2024, in </w:t>
      </w:r>
      <w:r w:rsidRPr="00D22B5A">
        <w:rPr>
          <w:rFonts w:ascii="Times New Roman" w:hAnsi="Times New Roman"/>
          <w:sz w:val="24"/>
          <w:szCs w:val="24"/>
          <w:u w:val="single"/>
        </w:rPr>
        <w:t>Wilburn T. Preece, Jr. v. Kermit Volunteer Fire Department</w:t>
      </w:r>
      <w:r>
        <w:rPr>
          <w:rFonts w:ascii="Times New Roman" w:hAnsi="Times New Roman"/>
          <w:sz w:val="24"/>
          <w:szCs w:val="24"/>
        </w:rPr>
        <w:t xml:space="preserve">, the West Virginia Intermediate Court of Appeals upheld (3 to 0) the Administrative Law Judge, and the </w:t>
      </w:r>
      <w:r w:rsidRPr="00AD6935">
        <w:rPr>
          <w:rFonts w:ascii="Times New Roman" w:hAnsi="Times New Roman"/>
          <w:sz w:val="24"/>
          <w:szCs w:val="24"/>
        </w:rPr>
        <w:t xml:space="preserve">Workers' Compensation Board of Review </w:t>
      </w:r>
      <w:r>
        <w:rPr>
          <w:rFonts w:ascii="Times New Roman" w:hAnsi="Times New Roman"/>
          <w:sz w:val="24"/>
          <w:szCs w:val="24"/>
        </w:rPr>
        <w:t xml:space="preserve">decision denying him additional worker’s comp.  He had previously been granted 17.5% </w:t>
      </w:r>
      <w:r w:rsidRPr="00781DB6">
        <w:rPr>
          <w:rFonts w:ascii="Times New Roman" w:hAnsi="Times New Roman"/>
          <w:sz w:val="24"/>
          <w:szCs w:val="24"/>
        </w:rPr>
        <w:t>permanent partial disability</w:t>
      </w:r>
      <w:r>
        <w:rPr>
          <w:rFonts w:ascii="Times New Roman" w:hAnsi="Times New Roman"/>
          <w:sz w:val="24"/>
          <w:szCs w:val="24"/>
        </w:rPr>
        <w:t xml:space="preserve"> (PPD)</w:t>
      </w:r>
      <w:r w:rsidRPr="00781DB6">
        <w:rPr>
          <w:rFonts w:ascii="Times New Roman" w:hAnsi="Times New Roman"/>
          <w:sz w:val="24"/>
          <w:szCs w:val="24"/>
        </w:rPr>
        <w:t xml:space="preserve"> award</w:t>
      </w:r>
      <w:r>
        <w:rPr>
          <w:rFonts w:ascii="Times New Roman" w:hAnsi="Times New Roman"/>
          <w:sz w:val="24"/>
          <w:szCs w:val="24"/>
        </w:rPr>
        <w:t xml:space="preserve"> in 2015 related to work as a minor and failed to prove additional hearing loss (22%) was due to service starting in 2014 as the Fire Chief at the volunteer fire department.  </w:t>
      </w:r>
    </w:p>
    <w:p w14:paraId="4D4D7809" w14:textId="77777777" w:rsidR="003956F7" w:rsidRDefault="003956F7" w:rsidP="003956F7">
      <w:pPr>
        <w:pStyle w:val="NoSpacing"/>
        <w:rPr>
          <w:rFonts w:ascii="Times New Roman" w:hAnsi="Times New Roman"/>
          <w:sz w:val="24"/>
          <w:szCs w:val="24"/>
          <w:shd w:val="clear" w:color="auto" w:fill="FFFFFF"/>
        </w:rPr>
      </w:pPr>
    </w:p>
    <w:p w14:paraId="5A819468" w14:textId="16978171"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9520472" w14:textId="77777777" w:rsidR="003956F7" w:rsidRPr="00781DB6" w:rsidRDefault="003956F7" w:rsidP="006C4AD8">
      <w:pPr>
        <w:pStyle w:val="NoSpacing"/>
        <w:rPr>
          <w:rFonts w:ascii="Times New Roman" w:hAnsi="Times New Roman"/>
          <w:sz w:val="24"/>
          <w:szCs w:val="24"/>
        </w:rPr>
      </w:pPr>
    </w:p>
    <w:p w14:paraId="44F45D83" w14:textId="77777777" w:rsidR="006C4AD8" w:rsidRPr="00FD334E" w:rsidRDefault="006C4AD8" w:rsidP="006C4AD8">
      <w:pPr>
        <w:pStyle w:val="NoSpacing"/>
        <w:ind w:left="720"/>
        <w:rPr>
          <w:rFonts w:ascii="Times New Roman" w:hAnsi="Times New Roman"/>
          <w:sz w:val="24"/>
          <w:szCs w:val="24"/>
        </w:rPr>
      </w:pPr>
      <w:r w:rsidRPr="00FD334E">
        <w:rPr>
          <w:rFonts w:ascii="Times New Roman" w:hAnsi="Times New Roman"/>
          <w:sz w:val="24"/>
          <w:szCs w:val="24"/>
        </w:rPr>
        <w:t xml:space="preserve">“Mr. Preece was evaluated by David Phillips, M.D., who drafted a report dated December 14, 2022. Dr. Phillips found that Mr. Preece had a total of 22% </w:t>
      </w:r>
      <w:proofErr w:type="gramStart"/>
      <w:r w:rsidRPr="00FD334E">
        <w:rPr>
          <w:rFonts w:ascii="Times New Roman" w:hAnsi="Times New Roman"/>
          <w:sz w:val="24"/>
          <w:szCs w:val="24"/>
        </w:rPr>
        <w:t>whole</w:t>
      </w:r>
      <w:proofErr w:type="gramEnd"/>
      <w:r w:rsidRPr="00FD334E">
        <w:rPr>
          <w:rFonts w:ascii="Times New Roman" w:hAnsi="Times New Roman"/>
          <w:sz w:val="24"/>
          <w:szCs w:val="24"/>
        </w:rPr>
        <w:t xml:space="preserve"> </w:t>
      </w:r>
      <w:proofErr w:type="gramStart"/>
      <w:r w:rsidRPr="00FD334E">
        <w:rPr>
          <w:rFonts w:ascii="Times New Roman" w:hAnsi="Times New Roman"/>
          <w:sz w:val="24"/>
          <w:szCs w:val="24"/>
        </w:rPr>
        <w:t>person</w:t>
      </w:r>
      <w:proofErr w:type="gramEnd"/>
      <w:r w:rsidRPr="00FD334E">
        <w:rPr>
          <w:rFonts w:ascii="Times New Roman" w:hAnsi="Times New Roman"/>
          <w:sz w:val="24"/>
          <w:szCs w:val="24"/>
        </w:rPr>
        <w:t xml:space="preserve"> </w:t>
      </w:r>
      <w:proofErr w:type="gramStart"/>
      <w:r w:rsidRPr="00FD334E">
        <w:rPr>
          <w:rFonts w:ascii="Times New Roman" w:hAnsi="Times New Roman"/>
          <w:sz w:val="24"/>
          <w:szCs w:val="24"/>
        </w:rPr>
        <w:t>impairment (</w:t>
      </w:r>
      <w:r>
        <w:rPr>
          <w:rFonts w:ascii="Times New Roman" w:hAnsi="Times New Roman"/>
          <w:sz w:val="24"/>
          <w:szCs w:val="24"/>
        </w:rPr>
        <w:t>‘</w:t>
      </w:r>
      <w:proofErr w:type="gramEnd"/>
      <w:r w:rsidRPr="00FD334E">
        <w:rPr>
          <w:rFonts w:ascii="Times New Roman" w:hAnsi="Times New Roman"/>
          <w:sz w:val="24"/>
          <w:szCs w:val="24"/>
        </w:rPr>
        <w:t>WPI</w:t>
      </w:r>
      <w:r>
        <w:rPr>
          <w:rFonts w:ascii="Times New Roman" w:hAnsi="Times New Roman"/>
          <w:sz w:val="24"/>
          <w:szCs w:val="24"/>
        </w:rPr>
        <w:t>’</w:t>
      </w:r>
      <w:r w:rsidRPr="00FD334E">
        <w:rPr>
          <w:rFonts w:ascii="Times New Roman" w:hAnsi="Times New Roman"/>
          <w:sz w:val="24"/>
          <w:szCs w:val="24"/>
        </w:rPr>
        <w:t>) related to hearing loss. Dr. Phillips noted that Mr. Preece has a medical history of diabetes, hypertension, and elevated cholesterol, all of which can contribute to progressive hearing loss. Thus, Dr. Phillips attributed 17.5% of Mr. Preece's hearing loss to prior mining occupational noise exposure and 4.5% to nonoccupational factors.</w:t>
      </w:r>
    </w:p>
    <w:p w14:paraId="6DB453C9" w14:textId="77777777" w:rsidR="006C4AD8" w:rsidRPr="00AA7464" w:rsidRDefault="006C4AD8" w:rsidP="006C4AD8">
      <w:pPr>
        <w:pStyle w:val="NoSpacing"/>
        <w:ind w:left="720"/>
        <w:rPr>
          <w:rFonts w:ascii="Times New Roman" w:hAnsi="Times New Roman"/>
          <w:sz w:val="24"/>
          <w:szCs w:val="24"/>
        </w:rPr>
      </w:pPr>
    </w:p>
    <w:p w14:paraId="39FF471F" w14:textId="77777777" w:rsidR="006C4AD8" w:rsidRDefault="006C4AD8" w:rsidP="006C4AD8">
      <w:pPr>
        <w:pStyle w:val="NoSpacing"/>
        <w:ind w:left="720"/>
        <w:rPr>
          <w:rFonts w:ascii="Times New Roman" w:hAnsi="Times New Roman"/>
          <w:sz w:val="24"/>
          <w:szCs w:val="24"/>
        </w:rPr>
      </w:pPr>
      <w:r>
        <w:rPr>
          <w:rFonts w:ascii="Times New Roman" w:hAnsi="Times New Roman"/>
          <w:sz w:val="24"/>
          <w:szCs w:val="24"/>
        </w:rPr>
        <w:t>***</w:t>
      </w:r>
    </w:p>
    <w:p w14:paraId="115848E8" w14:textId="77777777" w:rsidR="006C4AD8" w:rsidRDefault="006C4AD8" w:rsidP="006C4AD8">
      <w:pPr>
        <w:pStyle w:val="NoSpacing"/>
        <w:ind w:left="720"/>
        <w:rPr>
          <w:rFonts w:ascii="Times New Roman" w:hAnsi="Times New Roman"/>
          <w:sz w:val="24"/>
          <w:szCs w:val="24"/>
        </w:rPr>
      </w:pPr>
    </w:p>
    <w:p w14:paraId="02F19B31" w14:textId="77777777" w:rsidR="006C4AD8" w:rsidRPr="00215DCD" w:rsidRDefault="006C4AD8" w:rsidP="006C4AD8">
      <w:pPr>
        <w:pStyle w:val="NoSpacing"/>
        <w:ind w:left="720"/>
        <w:rPr>
          <w:rFonts w:ascii="Times New Roman" w:hAnsi="Times New Roman"/>
          <w:b/>
          <w:bCs/>
          <w:color w:val="454545"/>
          <w:sz w:val="24"/>
          <w:szCs w:val="24"/>
          <w:shd w:val="clear" w:color="auto" w:fill="FFFFFF"/>
        </w:rPr>
      </w:pPr>
      <w:r w:rsidRPr="00215DCD">
        <w:rPr>
          <w:rFonts w:ascii="Times New Roman" w:hAnsi="Times New Roman"/>
          <w:sz w:val="24"/>
          <w:szCs w:val="24"/>
        </w:rPr>
        <w:t xml:space="preserve">Upon review, we cannot conclude that the Board was clearly wrong in finding that Mr. Preece failed to establish that his job as fire chief has caused additional hearing loss. As the Supreme Court of Appeals of West Virginia has set forth, "[t]he 'clearly wrong' and the 'arbitrary and capricious' standards of review are deferential ones which presume an agency's actions are valid as long as the decision is supported by substantial evidence or </w:t>
      </w:r>
      <w:proofErr w:type="gramStart"/>
      <w:r w:rsidRPr="00215DCD">
        <w:rPr>
          <w:rFonts w:ascii="Times New Roman" w:hAnsi="Times New Roman"/>
          <w:sz w:val="24"/>
          <w:szCs w:val="24"/>
        </w:rPr>
        <w:t>by</w:t>
      </w:r>
      <w:proofErr w:type="gramEnd"/>
      <w:r w:rsidRPr="00215DCD">
        <w:rPr>
          <w:rFonts w:ascii="Times New Roman" w:hAnsi="Times New Roman"/>
          <w:sz w:val="24"/>
          <w:szCs w:val="24"/>
        </w:rPr>
        <w:t xml:space="preserve"> a rational basis." Syl. Pt. 3, </w:t>
      </w:r>
      <w:r w:rsidRPr="00215DCD">
        <w:rPr>
          <w:rStyle w:val="Emphasis"/>
          <w:rFonts w:ascii="Times New Roman" w:hAnsi="Times New Roman"/>
          <w:sz w:val="24"/>
          <w:szCs w:val="24"/>
        </w:rPr>
        <w:t>In re Queen</w:t>
      </w:r>
      <w:r w:rsidRPr="00215DCD">
        <w:rPr>
          <w:rFonts w:ascii="Times New Roman" w:hAnsi="Times New Roman"/>
          <w:sz w:val="24"/>
          <w:szCs w:val="24"/>
        </w:rPr>
        <w:t>, 196 W.Va. 442, 473 S.E.2d 483 (1996). With this deferential standard of review in mind, we cannot conclude that the Board was clearly wrong in affirming the claim administrator's order rejecting the claim.</w:t>
      </w:r>
      <w:r>
        <w:rPr>
          <w:rFonts w:ascii="Times New Roman" w:hAnsi="Times New Roman"/>
          <w:sz w:val="24"/>
          <w:szCs w:val="24"/>
        </w:rPr>
        <w:t>”</w:t>
      </w:r>
      <w:r w:rsidRPr="000A3EB7">
        <w:t xml:space="preserve"> </w:t>
      </w:r>
      <w:hyperlink r:id="rId1058" w:history="1">
        <w:r w:rsidRPr="007E7996">
          <w:rPr>
            <w:rStyle w:val="Hyperlink"/>
            <w:rFonts w:ascii="Times New Roman" w:hAnsi="Times New Roman"/>
            <w:sz w:val="24"/>
            <w:szCs w:val="24"/>
          </w:rPr>
          <w:t>https://public.fastcase.com/H1P9uiW3J20SFp%2BGCG%2BxLadhvM%2BTk6CyYLUbfEuOSnynNWxAhyJMu40rylJQnWa9?utm_medium=email&amp;_hsmi=226712652&amp;_hsenc=p2ANqtz-_Dihe0VmJESjxgjqn36kOhagQU45bmN7CEHRIuj2470_KUhcV7wrW-Y9ruG8-Hj5g_txVmqO_R_d6e-gS-IENa_oPFKQ&amp;utm_content=226712652&amp;utm_source=hs_email</w:t>
        </w:r>
      </w:hyperlink>
      <w:r>
        <w:rPr>
          <w:rFonts w:ascii="Times New Roman" w:hAnsi="Times New Roman"/>
          <w:sz w:val="24"/>
          <w:szCs w:val="24"/>
        </w:rPr>
        <w:t xml:space="preserve"> </w:t>
      </w:r>
    </w:p>
    <w:p w14:paraId="09DB4F0A" w14:textId="77777777" w:rsidR="006C4AD8" w:rsidRDefault="006C4AD8" w:rsidP="006C4AD8">
      <w:pPr>
        <w:pStyle w:val="NoSpacing"/>
        <w:rPr>
          <w:rFonts w:ascii="Times New Roman" w:hAnsi="Times New Roman"/>
          <w:sz w:val="24"/>
          <w:szCs w:val="24"/>
        </w:rPr>
      </w:pPr>
    </w:p>
    <w:p w14:paraId="3D73FADE" w14:textId="77777777" w:rsidR="006C4AD8" w:rsidRDefault="006C4AD8" w:rsidP="006C4AD8">
      <w:pPr>
        <w:pStyle w:val="NoSpacing"/>
        <w:rPr>
          <w:rFonts w:ascii="Times New Roman" w:hAnsi="Times New Roman"/>
          <w:sz w:val="24"/>
          <w:szCs w:val="24"/>
        </w:rPr>
      </w:pPr>
    </w:p>
    <w:p w14:paraId="2994A667" w14:textId="77777777" w:rsidR="006C4AD8" w:rsidRPr="008B6467" w:rsidRDefault="006C4AD8" w:rsidP="006C4AD8">
      <w:pPr>
        <w:pStyle w:val="NormalWeb"/>
        <w:rPr>
          <w:b/>
          <w:bCs/>
        </w:rPr>
      </w:pPr>
      <w:r w:rsidRPr="008B6467">
        <w:rPr>
          <w:b/>
          <w:bCs/>
        </w:rPr>
        <w:t>Legal Lesson Learned: Hearing loss can be attributed to multiple factors, including diabetes, hypertension, and elevated cholesterol.</w:t>
      </w:r>
    </w:p>
    <w:p w14:paraId="46C0753D" w14:textId="77777777" w:rsidR="006C4AD8" w:rsidRDefault="006C4AD8" w:rsidP="006C4AD8">
      <w:pPr>
        <w:pStyle w:val="NoSpacing"/>
        <w:rPr>
          <w:rFonts w:ascii="Times New Roman" w:hAnsi="Times New Roman"/>
          <w:sz w:val="24"/>
          <w:szCs w:val="24"/>
        </w:rPr>
      </w:pPr>
    </w:p>
    <w:p w14:paraId="605E8B5C" w14:textId="77777777" w:rsidR="006C4AD8" w:rsidRDefault="006C4AD8" w:rsidP="006C4AD8">
      <w:pPr>
        <w:pStyle w:val="NormalWeb"/>
        <w:spacing w:before="0" w:beforeAutospacing="0"/>
        <w:rPr>
          <w:b/>
          <w:bCs/>
          <w:color w:val="454545"/>
          <w:shd w:val="clear" w:color="auto" w:fill="FFFFFF"/>
        </w:rPr>
      </w:pPr>
    </w:p>
    <w:p w14:paraId="26153F56" w14:textId="387FF3E1" w:rsidR="006C4AD8" w:rsidRDefault="0060031B"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w:t>
      </w:r>
      <w:r w:rsidR="002A0697">
        <w:rPr>
          <w:rFonts w:ascii="Arial Black" w:hAnsi="Arial Black"/>
          <w:b/>
          <w:bCs/>
          <w:color w:val="454545"/>
          <w:sz w:val="28"/>
          <w:szCs w:val="28"/>
          <w:shd w:val="clear" w:color="auto" w:fill="FFFFFF"/>
        </w:rPr>
        <w:t>29</w:t>
      </w:r>
    </w:p>
    <w:p w14:paraId="586D680E" w14:textId="77777777" w:rsidR="006C4AD8" w:rsidRDefault="006C4AD8"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TX:  PANCREATIC CANCER NOT COVERD UNDER FF PRESUMPTION LAW – WIDOW DENIED WORK COMP</w:t>
      </w:r>
    </w:p>
    <w:p w14:paraId="783DCD94" w14:textId="77777777" w:rsidR="006C4AD8" w:rsidRDefault="006C4AD8" w:rsidP="006C4AD8">
      <w:pPr>
        <w:pStyle w:val="NormalWeb"/>
        <w:rPr>
          <w:color w:val="454545"/>
          <w:shd w:val="clear" w:color="auto" w:fill="FFFFFF"/>
        </w:rPr>
      </w:pPr>
      <w:r>
        <w:rPr>
          <w:color w:val="454545"/>
          <w:shd w:val="clear" w:color="auto" w:fill="FFFFFF"/>
        </w:rPr>
        <w:t xml:space="preserve">On March 7, 2024, in </w:t>
      </w:r>
      <w:r w:rsidRPr="003F27FF">
        <w:rPr>
          <w:color w:val="454545"/>
          <w:u w:val="single"/>
          <w:shd w:val="clear" w:color="auto" w:fill="FFFFFF"/>
        </w:rPr>
        <w:t>City of Stephenville v. Anna Belew, et al</w:t>
      </w:r>
      <w:r>
        <w:rPr>
          <w:color w:val="454545"/>
          <w:shd w:val="clear" w:color="auto" w:fill="FFFFFF"/>
        </w:rPr>
        <w:t xml:space="preserve">., the Eleventh Court of Appeals of Texas, held (3 to 0) in a lengthy decision, that the City’s appeal is granted, reversing the award of workers comp death benefits to widow of </w:t>
      </w:r>
      <w:r w:rsidRPr="00DF56EC">
        <w:rPr>
          <w:color w:val="454545"/>
          <w:shd w:val="clear" w:color="auto" w:fill="FFFFFF"/>
        </w:rPr>
        <w:t>Michael Belew, a firefighter for the City of</w:t>
      </w:r>
      <w:r>
        <w:rPr>
          <w:color w:val="454545"/>
          <w:shd w:val="clear" w:color="auto" w:fill="FFFFFF"/>
        </w:rPr>
        <w:t xml:space="preserve"> </w:t>
      </w:r>
      <w:r w:rsidRPr="00DF56EC">
        <w:rPr>
          <w:color w:val="454545"/>
          <w:shd w:val="clear" w:color="auto" w:fill="FFFFFF"/>
        </w:rPr>
        <w:t>Stephenville who passed away in 2014 after a battle with pancreatic</w:t>
      </w:r>
      <w:r>
        <w:rPr>
          <w:color w:val="454545"/>
          <w:shd w:val="clear" w:color="auto" w:fill="FFFFFF"/>
        </w:rPr>
        <w:t xml:space="preserve"> </w:t>
      </w:r>
      <w:r w:rsidRPr="00DF56EC">
        <w:rPr>
          <w:color w:val="454545"/>
          <w:shd w:val="clear" w:color="auto" w:fill="FFFFFF"/>
        </w:rPr>
        <w:t>cancer.</w:t>
      </w:r>
    </w:p>
    <w:p w14:paraId="04920658"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604A790" w14:textId="77777777" w:rsidR="006C4AD8" w:rsidRDefault="006C4AD8" w:rsidP="006C4AD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B55288">
        <w:rPr>
          <w:rFonts w:ascii="Times New Roman" w:hAnsi="Times New Roman"/>
          <w:sz w:val="24"/>
          <w:szCs w:val="24"/>
          <w:shd w:val="clear" w:color="auto" w:fill="FFFFFF"/>
        </w:rPr>
        <w:t xml:space="preserve">The IARC </w:t>
      </w:r>
      <w:r w:rsidRPr="00B81F19">
        <w:rPr>
          <w:rFonts w:ascii="Times New Roman" w:hAnsi="Times New Roman"/>
          <w:sz w:val="24"/>
          <w:szCs w:val="24"/>
          <w:shd w:val="clear" w:color="auto" w:fill="FFFFFF"/>
        </w:rPr>
        <w:t>[</w:t>
      </w:r>
      <w:r w:rsidRPr="00B81F19">
        <w:rPr>
          <w:rFonts w:ascii="Times New Roman" w:hAnsi="Times New Roman"/>
          <w:sz w:val="24"/>
          <w:szCs w:val="24"/>
        </w:rPr>
        <w:t>International Agency for Research on Cancer</w:t>
      </w:r>
      <w:r>
        <w:t xml:space="preserve">] </w:t>
      </w:r>
      <w:r w:rsidRPr="00B55288">
        <w:rPr>
          <w:rFonts w:ascii="Times New Roman" w:hAnsi="Times New Roman"/>
          <w:sz w:val="24"/>
          <w:szCs w:val="24"/>
          <w:shd w:val="clear" w:color="auto" w:fill="FFFFFF"/>
        </w:rPr>
        <w:t>is the cancer research agency of the World Health Organization.</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The IARC conducts critical reviews and evaluations on the carcinogenicity of a wide</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range of human exposures. These are done by a working group of experts in the</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subject field and the IARC publishes the results of this working group’s evaluations</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in monographs.</w:t>
      </w:r>
    </w:p>
    <w:p w14:paraId="2B9D48CF" w14:textId="77777777" w:rsidR="006C4AD8" w:rsidRDefault="006C4AD8" w:rsidP="006C4AD8">
      <w:pPr>
        <w:pStyle w:val="NoSpacing"/>
        <w:ind w:left="720"/>
        <w:rPr>
          <w:rFonts w:ascii="Times New Roman" w:hAnsi="Times New Roman"/>
          <w:sz w:val="24"/>
          <w:szCs w:val="24"/>
          <w:shd w:val="clear" w:color="auto" w:fill="FFFFFF"/>
        </w:rPr>
      </w:pPr>
    </w:p>
    <w:p w14:paraId="4BFEECAA" w14:textId="77777777" w:rsidR="006C4AD8" w:rsidRDefault="006C4AD8" w:rsidP="006C4AD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0DCA09D5" w14:textId="77777777" w:rsidR="006C4AD8" w:rsidRDefault="006C4AD8" w:rsidP="006C4AD8">
      <w:pPr>
        <w:pStyle w:val="NoSpacing"/>
        <w:ind w:left="720"/>
        <w:rPr>
          <w:rFonts w:ascii="Times New Roman" w:hAnsi="Times New Roman"/>
          <w:sz w:val="24"/>
          <w:szCs w:val="24"/>
          <w:shd w:val="clear" w:color="auto" w:fill="FFFFFF"/>
        </w:rPr>
      </w:pPr>
    </w:p>
    <w:p w14:paraId="1AE7DC37" w14:textId="77777777" w:rsidR="006C4AD8" w:rsidRDefault="006C4AD8" w:rsidP="006C4AD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A</w:t>
      </w:r>
      <w:r w:rsidRPr="003E7505">
        <w:rPr>
          <w:rFonts w:ascii="Times New Roman" w:hAnsi="Times New Roman"/>
          <w:sz w:val="24"/>
          <w:szCs w:val="24"/>
          <w:shd w:val="clear" w:color="auto" w:fill="FFFFFF"/>
        </w:rPr>
        <w:t xml:space="preserve">ppellees </w:t>
      </w:r>
      <w:r>
        <w:rPr>
          <w:rFonts w:ascii="Times New Roman" w:hAnsi="Times New Roman"/>
          <w:sz w:val="24"/>
          <w:szCs w:val="24"/>
          <w:shd w:val="clear" w:color="auto" w:fill="FFFFFF"/>
        </w:rPr>
        <w:t xml:space="preserve">[widow and family] </w:t>
      </w:r>
      <w:r w:rsidRPr="003E7505">
        <w:rPr>
          <w:rFonts w:ascii="Times New Roman" w:hAnsi="Times New Roman"/>
          <w:sz w:val="24"/>
          <w:szCs w:val="24"/>
          <w:shd w:val="clear" w:color="auto" w:fill="FFFFFF"/>
        </w:rPr>
        <w:t>did not proffer any</w:t>
      </w:r>
      <w:r>
        <w:rPr>
          <w:rFonts w:ascii="Times New Roman" w:hAnsi="Times New Roman"/>
          <w:sz w:val="24"/>
          <w:szCs w:val="24"/>
          <w:shd w:val="clear" w:color="auto" w:fill="FFFFFF"/>
        </w:rPr>
        <w:t xml:space="preserve"> </w:t>
      </w:r>
      <w:r w:rsidRPr="003E7505">
        <w:rPr>
          <w:rFonts w:ascii="Times New Roman" w:hAnsi="Times New Roman"/>
          <w:sz w:val="24"/>
          <w:szCs w:val="24"/>
          <w:shd w:val="clear" w:color="auto" w:fill="FFFFFF"/>
        </w:rPr>
        <w:t>expert testimony or opinions, or other evidence for that matter, to explain and</w:t>
      </w:r>
      <w:r>
        <w:rPr>
          <w:rFonts w:ascii="Times New Roman" w:hAnsi="Times New Roman"/>
          <w:sz w:val="24"/>
          <w:szCs w:val="24"/>
          <w:shd w:val="clear" w:color="auto" w:fill="FFFFFF"/>
        </w:rPr>
        <w:t xml:space="preserve"> </w:t>
      </w:r>
      <w:r w:rsidRPr="003E7505">
        <w:rPr>
          <w:rFonts w:ascii="Times New Roman" w:hAnsi="Times New Roman"/>
          <w:sz w:val="24"/>
          <w:szCs w:val="24"/>
          <w:shd w:val="clear" w:color="auto" w:fill="FFFFFF"/>
        </w:rPr>
        <w:t>support their nuanced argument that individual studies within the Monograph</w:t>
      </w:r>
      <w:r>
        <w:rPr>
          <w:rFonts w:ascii="Times New Roman" w:hAnsi="Times New Roman"/>
          <w:sz w:val="24"/>
          <w:szCs w:val="24"/>
          <w:shd w:val="clear" w:color="auto" w:fill="FFFFFF"/>
        </w:rPr>
        <w:t xml:space="preserve"> </w:t>
      </w:r>
      <w:r w:rsidRPr="003E7505">
        <w:rPr>
          <w:rFonts w:ascii="Times New Roman" w:hAnsi="Times New Roman"/>
          <w:sz w:val="24"/>
          <w:szCs w:val="24"/>
          <w:shd w:val="clear" w:color="auto" w:fill="FFFFFF"/>
        </w:rPr>
        <w:t xml:space="preserve">indicate that the IARC has </w:t>
      </w:r>
      <w:r>
        <w:rPr>
          <w:rFonts w:ascii="Times New Roman" w:hAnsi="Times New Roman"/>
          <w:sz w:val="24"/>
          <w:szCs w:val="24"/>
          <w:shd w:val="clear" w:color="auto" w:fill="FFFFFF"/>
        </w:rPr>
        <w:t>‘</w:t>
      </w:r>
      <w:r w:rsidRPr="003E7505">
        <w:rPr>
          <w:rFonts w:ascii="Times New Roman" w:hAnsi="Times New Roman"/>
          <w:sz w:val="24"/>
          <w:szCs w:val="24"/>
          <w:shd w:val="clear" w:color="auto" w:fill="FFFFFF"/>
        </w:rPr>
        <w:t>determined</w:t>
      </w:r>
      <w:r>
        <w:rPr>
          <w:rFonts w:ascii="Times New Roman" w:hAnsi="Times New Roman"/>
          <w:sz w:val="24"/>
          <w:szCs w:val="24"/>
          <w:shd w:val="clear" w:color="auto" w:fill="FFFFFF"/>
        </w:rPr>
        <w:t>’</w:t>
      </w:r>
      <w:r w:rsidRPr="003E7505">
        <w:rPr>
          <w:rFonts w:ascii="Times New Roman" w:hAnsi="Times New Roman"/>
          <w:sz w:val="24"/>
          <w:szCs w:val="24"/>
          <w:shd w:val="clear" w:color="auto" w:fill="FFFFFF"/>
        </w:rPr>
        <w:t xml:space="preserve"> pancreatic cancer to be a type of cancer that</w:t>
      </w:r>
      <w:r>
        <w:rPr>
          <w:rFonts w:ascii="Times New Roman" w:hAnsi="Times New Roman"/>
          <w:sz w:val="24"/>
          <w:szCs w:val="24"/>
          <w:shd w:val="clear" w:color="auto" w:fill="FFFFFF"/>
        </w:rPr>
        <w:t xml:space="preserve"> i</w:t>
      </w:r>
      <w:r w:rsidRPr="00296A1A">
        <w:rPr>
          <w:rFonts w:ascii="Times New Roman" w:hAnsi="Times New Roman"/>
          <w:sz w:val="24"/>
          <w:szCs w:val="24"/>
          <w:shd w:val="clear" w:color="auto" w:fill="FFFFFF"/>
        </w:rPr>
        <w:t>s covered by the statute.</w:t>
      </w:r>
      <w:r>
        <w:rPr>
          <w:rFonts w:ascii="Times New Roman" w:hAnsi="Times New Roman"/>
          <w:sz w:val="24"/>
          <w:szCs w:val="24"/>
          <w:shd w:val="clear" w:color="auto" w:fill="FFFFFF"/>
        </w:rPr>
        <w:t xml:space="preserve"> </w:t>
      </w:r>
      <w:r w:rsidRPr="005A181E">
        <w:rPr>
          <w:rFonts w:ascii="Times New Roman" w:hAnsi="Times New Roman"/>
          <w:sz w:val="24"/>
          <w:szCs w:val="24"/>
          <w:shd w:val="clear" w:color="auto" w:fill="FFFFFF"/>
        </w:rPr>
        <w:t xml:space="preserve">On the other hand, the </w:t>
      </w:r>
      <w:proofErr w:type="gramStart"/>
      <w:r w:rsidRPr="005A181E">
        <w:rPr>
          <w:rFonts w:ascii="Times New Roman" w:hAnsi="Times New Roman"/>
          <w:sz w:val="24"/>
          <w:szCs w:val="24"/>
          <w:shd w:val="clear" w:color="auto" w:fill="FFFFFF"/>
        </w:rPr>
        <w:t>City</w:t>
      </w:r>
      <w:proofErr w:type="gramEnd"/>
      <w:r w:rsidRPr="005A181E">
        <w:rPr>
          <w:rFonts w:ascii="Times New Roman" w:hAnsi="Times New Roman"/>
          <w:sz w:val="24"/>
          <w:szCs w:val="24"/>
          <w:shd w:val="clear" w:color="auto" w:fill="FFFFFF"/>
        </w:rPr>
        <w:t xml:space="preserve"> presented the affidavits of two qualified experts,</w:t>
      </w:r>
      <w:r>
        <w:rPr>
          <w:rFonts w:ascii="Times New Roman" w:hAnsi="Times New Roman"/>
          <w:sz w:val="24"/>
          <w:szCs w:val="24"/>
          <w:shd w:val="clear" w:color="auto" w:fill="FFFFFF"/>
        </w:rPr>
        <w:t xml:space="preserve"> </w:t>
      </w:r>
      <w:r w:rsidRPr="005A181E">
        <w:rPr>
          <w:rFonts w:ascii="Times New Roman" w:hAnsi="Times New Roman"/>
          <w:sz w:val="24"/>
          <w:szCs w:val="24"/>
          <w:shd w:val="clear" w:color="auto" w:fill="FFFFFF"/>
        </w:rPr>
        <w:t>each of whom opined that the IARC has not determined that pancreatic cancer is a</w:t>
      </w:r>
      <w:r>
        <w:rPr>
          <w:rFonts w:ascii="Times New Roman" w:hAnsi="Times New Roman"/>
          <w:sz w:val="24"/>
          <w:szCs w:val="24"/>
          <w:shd w:val="clear" w:color="auto" w:fill="FFFFFF"/>
        </w:rPr>
        <w:t xml:space="preserve"> </w:t>
      </w:r>
      <w:r w:rsidRPr="005A181E">
        <w:rPr>
          <w:rFonts w:ascii="Times New Roman" w:hAnsi="Times New Roman"/>
          <w:sz w:val="24"/>
          <w:szCs w:val="24"/>
          <w:shd w:val="clear" w:color="auto" w:fill="FFFFFF"/>
        </w:rPr>
        <w:t>type of cancer that is covered by the statut</w:t>
      </w:r>
      <w:r>
        <w:rPr>
          <w:rFonts w:ascii="Times New Roman" w:hAnsi="Times New Roman"/>
          <w:sz w:val="24"/>
          <w:szCs w:val="24"/>
          <w:shd w:val="clear" w:color="auto" w:fill="FFFFFF"/>
        </w:rPr>
        <w:t>e.”</w:t>
      </w:r>
    </w:p>
    <w:p w14:paraId="4BF7E76C" w14:textId="77777777" w:rsidR="006C4AD8" w:rsidRDefault="006C4AD8" w:rsidP="006C4AD8">
      <w:pPr>
        <w:pStyle w:val="NoSpacing"/>
        <w:ind w:left="720"/>
        <w:rPr>
          <w:rFonts w:ascii="Times New Roman" w:hAnsi="Times New Roman"/>
          <w:sz w:val="24"/>
          <w:szCs w:val="24"/>
          <w:shd w:val="clear" w:color="auto" w:fill="FFFFFF"/>
        </w:rPr>
      </w:pPr>
    </w:p>
    <w:p w14:paraId="00B926BA" w14:textId="77777777" w:rsidR="006C4AD8" w:rsidRPr="00E362EA" w:rsidRDefault="006C4AD8" w:rsidP="006C4AD8">
      <w:pPr>
        <w:pStyle w:val="NoSpacing"/>
        <w:rPr>
          <w:rFonts w:ascii="Times New Roman" w:hAnsi="Times New Roman"/>
          <w:b/>
          <w:bCs/>
          <w:sz w:val="24"/>
          <w:szCs w:val="24"/>
          <w:shd w:val="clear" w:color="auto" w:fill="FFFFFF"/>
        </w:rPr>
      </w:pPr>
      <w:r w:rsidRPr="00E362EA">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Under the firefighter statutory presumption law must show that IARC has classified the cancer as likely caused by the job. </w:t>
      </w:r>
    </w:p>
    <w:p w14:paraId="5A0F5B46" w14:textId="77777777" w:rsidR="006C4AD8" w:rsidRDefault="006C4AD8" w:rsidP="006C4AD8">
      <w:pPr>
        <w:pStyle w:val="NoSpacing"/>
        <w:rPr>
          <w:rFonts w:ascii="Times New Roman" w:hAnsi="Times New Roman"/>
          <w:sz w:val="24"/>
          <w:szCs w:val="24"/>
          <w:shd w:val="clear" w:color="auto" w:fill="FFFFFF"/>
        </w:rPr>
      </w:pPr>
    </w:p>
    <w:p w14:paraId="1A2D84FE" w14:textId="77777777" w:rsidR="006C4AD8" w:rsidRDefault="006C4AD8" w:rsidP="006C4AD8">
      <w:pPr>
        <w:pStyle w:val="NoSpacing"/>
        <w:rPr>
          <w:rFonts w:ascii="Times New Roman" w:hAnsi="Times New Roman"/>
          <w:sz w:val="24"/>
          <w:szCs w:val="24"/>
          <w:shd w:val="clear" w:color="auto" w:fill="FFFFFF"/>
        </w:rPr>
      </w:pPr>
    </w:p>
    <w:p w14:paraId="5F53CD2D" w14:textId="77777777" w:rsidR="006C4AD8" w:rsidRDefault="006C4AD8" w:rsidP="006C4AD8">
      <w:pPr>
        <w:pStyle w:val="NoSpacing"/>
        <w:rPr>
          <w:rFonts w:ascii="Times New Roman" w:hAnsi="Times New Roman"/>
          <w:sz w:val="24"/>
          <w:szCs w:val="24"/>
        </w:rPr>
      </w:pPr>
    </w:p>
    <w:p w14:paraId="2CF32D70" w14:textId="77777777" w:rsidR="006C4AD8" w:rsidRDefault="006C4AD8" w:rsidP="006C4AD8">
      <w:pPr>
        <w:pStyle w:val="NoSpacing"/>
        <w:rPr>
          <w:rFonts w:ascii="Times New Roman" w:hAnsi="Times New Roman"/>
          <w:sz w:val="24"/>
          <w:szCs w:val="24"/>
        </w:rPr>
      </w:pPr>
    </w:p>
    <w:p w14:paraId="1ED1FA8F" w14:textId="0B56C466" w:rsidR="0060031B" w:rsidRPr="0060031B" w:rsidRDefault="0060031B" w:rsidP="006C4AD8">
      <w:pPr>
        <w:pStyle w:val="NormalWeb"/>
        <w:spacing w:before="0" w:beforeAutospacing="0"/>
        <w:rPr>
          <w:rFonts w:ascii="Arial Black" w:hAnsi="Arial Black"/>
          <w:b/>
          <w:bCs/>
        </w:rPr>
      </w:pPr>
      <w:r w:rsidRPr="0060031B">
        <w:rPr>
          <w:rFonts w:ascii="Arial Black" w:hAnsi="Arial Black"/>
          <w:b/>
          <w:bCs/>
        </w:rPr>
        <w:t>6-1</w:t>
      </w:r>
      <w:r w:rsidR="00D11FBB">
        <w:rPr>
          <w:rFonts w:ascii="Arial Black" w:hAnsi="Arial Black"/>
          <w:b/>
          <w:bCs/>
        </w:rPr>
        <w:t>2</w:t>
      </w:r>
      <w:r w:rsidR="002A0697">
        <w:rPr>
          <w:rFonts w:ascii="Arial Black" w:hAnsi="Arial Black"/>
          <w:b/>
          <w:bCs/>
        </w:rPr>
        <w:t>8</w:t>
      </w:r>
    </w:p>
    <w:p w14:paraId="3CDF6C58" w14:textId="1D77FA81" w:rsidR="006C4AD8" w:rsidRDefault="006C4AD8" w:rsidP="006C4AD8">
      <w:pPr>
        <w:pStyle w:val="NormalWeb"/>
        <w:spacing w:before="0" w:beforeAutospacing="0"/>
        <w:rPr>
          <w:rFonts w:ascii="Arial Black" w:hAnsi="Arial Black"/>
          <w:sz w:val="28"/>
          <w:szCs w:val="28"/>
        </w:rPr>
      </w:pPr>
      <w:r>
        <w:rPr>
          <w:rFonts w:ascii="Arial Black" w:hAnsi="Arial Black"/>
          <w:sz w:val="28"/>
          <w:szCs w:val="28"/>
        </w:rPr>
        <w:t>WI: PART-TIME CAPTAIN LOST TITLE – ALL OFFICERS MUST APPROVED COMMISSION - DUE PROCESS CASE PROCEED</w:t>
      </w:r>
    </w:p>
    <w:p w14:paraId="624C2DFB" w14:textId="77777777" w:rsidR="006C4AD8" w:rsidRDefault="006C4AD8" w:rsidP="006C4AD8">
      <w:pPr>
        <w:pStyle w:val="NormalWeb"/>
        <w:spacing w:before="0" w:beforeAutospacing="0"/>
      </w:pPr>
      <w:r>
        <w:lastRenderedPageBreak/>
        <w:t xml:space="preserve">On March 20, 2024, in </w:t>
      </w:r>
      <w:r w:rsidRPr="008A4F1E">
        <w:rPr>
          <w:u w:val="single"/>
        </w:rPr>
        <w:t>Richard Haffner v. Joshua Bell, The City of New Richmond, et al.</w:t>
      </w:r>
      <w:r>
        <w:t xml:space="preserve">, United States District Court Judge James D. Peterson, U.S. District Court for Western District of Wisconsin, held that Fire Chief Joshua Bell is dismissed since he enjoys qualified immunity, the part-time Captain was denied due process in loss of his rank. </w:t>
      </w:r>
    </w:p>
    <w:p w14:paraId="468119D8"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6E1D770" w14:textId="77777777" w:rsidR="003956F7" w:rsidRDefault="003956F7" w:rsidP="006C4AD8">
      <w:pPr>
        <w:pStyle w:val="NormalWeb"/>
        <w:spacing w:before="0" w:beforeAutospacing="0"/>
        <w:ind w:left="720"/>
      </w:pPr>
    </w:p>
    <w:p w14:paraId="1F8CD100" w14:textId="7A165C5A" w:rsidR="006C4AD8" w:rsidRDefault="006C4AD8" w:rsidP="006C4AD8">
      <w:pPr>
        <w:pStyle w:val="NormalWeb"/>
        <w:spacing w:before="0" w:beforeAutospacing="0"/>
        <w:ind w:left="720"/>
      </w:pPr>
      <w:r>
        <w:t xml:space="preserve">“For years, the City of New Richmond elected the subordinate officers in its fire department without the formal approval of the city's Police and Fire Commission. This process did not conform to state law. In 2021, the city brought its promotion practices into compliance, and it authorized its fire chief, defendant Joshua Bell, to start fresh with a new slate of officers. Plaintiff Richard Haffner is a part-time firefighter with the department. At the time of the change in promotion practice, he was a captain and the health and safety officer. But he was not among those whom Bell chose as new officers. Haffner contends that defendants demoted him from his officer positions without providing </w:t>
      </w:r>
      <w:proofErr w:type="gramStart"/>
      <w:r>
        <w:t>him</w:t>
      </w:r>
      <w:proofErr w:type="gramEnd"/>
      <w:r>
        <w:t xml:space="preserve"> the procedural protection he was due under state law, violating his right to due process under the Fourteenth Amendment.</w:t>
      </w:r>
    </w:p>
    <w:p w14:paraId="783AA62B" w14:textId="77777777" w:rsidR="006C4AD8" w:rsidRPr="004628C1" w:rsidRDefault="006C4AD8" w:rsidP="006C4AD8">
      <w:pPr>
        <w:pStyle w:val="NormalWeb"/>
        <w:spacing w:before="0" w:beforeAutospacing="0"/>
        <w:ind w:left="720"/>
        <w:rPr>
          <w:rFonts w:ascii="Arial Black" w:hAnsi="Arial Black"/>
          <w:sz w:val="28"/>
          <w:szCs w:val="28"/>
        </w:rPr>
      </w:pPr>
      <w:r>
        <w:t>***</w:t>
      </w:r>
    </w:p>
    <w:p w14:paraId="7D05B029" w14:textId="77777777" w:rsidR="006C4AD8" w:rsidRDefault="006C4AD8" w:rsidP="006C4AD8">
      <w:pPr>
        <w:ind w:left="720"/>
        <w:rPr>
          <w:rFonts w:ascii="Times New Roman" w:hAnsi="Times New Roman"/>
          <w:sz w:val="24"/>
          <w:szCs w:val="24"/>
        </w:rPr>
      </w:pPr>
      <w:r w:rsidRPr="004628C1">
        <w:rPr>
          <w:rFonts w:ascii="Times New Roman" w:hAnsi="Times New Roman"/>
          <w:sz w:val="24"/>
          <w:szCs w:val="24"/>
        </w:rPr>
        <w:t xml:space="preserve">Under </w:t>
      </w:r>
      <w:proofErr w:type="gramStart"/>
      <w:r w:rsidRPr="004628C1">
        <w:rPr>
          <w:rStyle w:val="Emphasis"/>
          <w:rFonts w:ascii="Times New Roman" w:hAnsi="Times New Roman"/>
          <w:sz w:val="24"/>
          <w:szCs w:val="24"/>
        </w:rPr>
        <w:t>Loudermill</w:t>
      </w:r>
      <w:r w:rsidRPr="004628C1">
        <w:rPr>
          <w:rFonts w:ascii="Times New Roman" w:hAnsi="Times New Roman"/>
          <w:sz w:val="24"/>
          <w:szCs w:val="24"/>
        </w:rPr>
        <w:t xml:space="preserve">, </w:t>
      </w:r>
      <w:r>
        <w:rPr>
          <w:rFonts w:ascii="Times New Roman" w:hAnsi="Times New Roman"/>
          <w:sz w:val="24"/>
          <w:szCs w:val="24"/>
        </w:rPr>
        <w:t>‘</w:t>
      </w:r>
      <w:proofErr w:type="gramEnd"/>
      <w:r w:rsidRPr="004628C1">
        <w:rPr>
          <w:rFonts w:ascii="Times New Roman" w:hAnsi="Times New Roman"/>
          <w:sz w:val="24"/>
          <w:szCs w:val="24"/>
        </w:rPr>
        <w:t xml:space="preserve">some kind of </w:t>
      </w:r>
      <w:proofErr w:type="gramStart"/>
      <w:r w:rsidRPr="004628C1">
        <w:rPr>
          <w:rFonts w:ascii="Times New Roman" w:hAnsi="Times New Roman"/>
          <w:sz w:val="24"/>
          <w:szCs w:val="24"/>
        </w:rPr>
        <w:t>a hearing</w:t>
      </w:r>
      <w:r>
        <w:rPr>
          <w:rFonts w:ascii="Times New Roman" w:hAnsi="Times New Roman"/>
          <w:sz w:val="24"/>
          <w:szCs w:val="24"/>
        </w:rPr>
        <w:t>’</w:t>
      </w:r>
      <w:proofErr w:type="gramEnd"/>
      <w:r w:rsidRPr="004628C1">
        <w:rPr>
          <w:rFonts w:ascii="Times New Roman" w:hAnsi="Times New Roman"/>
          <w:sz w:val="24"/>
          <w:szCs w:val="24"/>
        </w:rPr>
        <w:t xml:space="preserve"> is required before discharging an employee with a property interest. 470 U.S. at 542. The court need not define the minimum procedural requirement here other than to say that it is more than the nothing that Haffner got.</w:t>
      </w:r>
    </w:p>
    <w:p w14:paraId="5E440E80" w14:textId="77777777" w:rsidR="006C4AD8" w:rsidRDefault="006C4AD8" w:rsidP="006C4AD8">
      <w:pPr>
        <w:ind w:left="720"/>
        <w:rPr>
          <w:rFonts w:ascii="Times New Roman" w:hAnsi="Times New Roman"/>
          <w:sz w:val="24"/>
          <w:szCs w:val="24"/>
        </w:rPr>
      </w:pPr>
      <w:r>
        <w:rPr>
          <w:rFonts w:ascii="Times New Roman" w:hAnsi="Times New Roman"/>
          <w:sz w:val="24"/>
          <w:szCs w:val="24"/>
        </w:rPr>
        <w:t>***</w:t>
      </w:r>
    </w:p>
    <w:p w14:paraId="73ED3D35" w14:textId="77777777" w:rsidR="006C4AD8" w:rsidRPr="00F803ED" w:rsidRDefault="006C4AD8" w:rsidP="006C4AD8">
      <w:pPr>
        <w:ind w:left="720"/>
        <w:rPr>
          <w:rFonts w:ascii="Times New Roman" w:hAnsi="Times New Roman"/>
          <w:sz w:val="24"/>
          <w:szCs w:val="24"/>
        </w:rPr>
      </w:pPr>
      <w:r>
        <w:t> </w:t>
      </w:r>
      <w:r w:rsidRPr="006B660C">
        <w:rPr>
          <w:rFonts w:ascii="Times New Roman" w:hAnsi="Times New Roman"/>
          <w:sz w:val="24"/>
          <w:szCs w:val="24"/>
        </w:rPr>
        <w:t>Defendants' argument is based on a statutory interpretation. In essence, defendants contend that the statutory protections in § 62.13(5)(</w:t>
      </w:r>
      <w:proofErr w:type="spellStart"/>
      <w:r w:rsidRPr="006B660C">
        <w:rPr>
          <w:rFonts w:ascii="Times New Roman" w:hAnsi="Times New Roman"/>
          <w:sz w:val="24"/>
          <w:szCs w:val="24"/>
        </w:rPr>
        <w:t>em</w:t>
      </w:r>
      <w:proofErr w:type="spellEnd"/>
      <w:r w:rsidRPr="006B660C">
        <w:rPr>
          <w:rFonts w:ascii="Times New Roman" w:hAnsi="Times New Roman"/>
          <w:sz w:val="24"/>
          <w:szCs w:val="24"/>
        </w:rPr>
        <w:t xml:space="preserve">) are available only to officers whose hiring or promotion was approved by the commission, as required by § 62.13(4)(a). Nothing in the text of the statute supports </w:t>
      </w:r>
      <w:proofErr w:type="gramStart"/>
      <w:r w:rsidRPr="006B660C">
        <w:rPr>
          <w:rFonts w:ascii="Times New Roman" w:hAnsi="Times New Roman"/>
          <w:sz w:val="24"/>
          <w:szCs w:val="24"/>
        </w:rPr>
        <w:t>such a</w:t>
      </w:r>
      <w:proofErr w:type="gramEnd"/>
      <w:r w:rsidRPr="006B660C">
        <w:rPr>
          <w:rFonts w:ascii="Times New Roman" w:hAnsi="Times New Roman"/>
          <w:sz w:val="24"/>
          <w:szCs w:val="24"/>
        </w:rPr>
        <w:t xml:space="preserve"> reading. And this interpretation would allow a municipality to avoid affording job protection to its firefighters and law enforcement officers simply by withholding commission approval of their hiring and promotion. This is an absurd result that frustrates the purpose of the statute, so the court must reject the defendants' interpretation.</w:t>
      </w:r>
      <w:r>
        <w:rPr>
          <w:rFonts w:ascii="Times New Roman" w:hAnsi="Times New Roman"/>
          <w:sz w:val="24"/>
          <w:szCs w:val="24"/>
        </w:rPr>
        <w:t xml:space="preserve">” </w:t>
      </w:r>
      <w:hyperlink r:id="rId1059" w:history="1">
        <w:r w:rsidRPr="001C375D">
          <w:rPr>
            <w:rStyle w:val="Hyperlink"/>
            <w:rFonts w:ascii="Times New Roman" w:hAnsi="Times New Roman"/>
            <w:sz w:val="24"/>
            <w:szCs w:val="24"/>
          </w:rPr>
          <w:t>https://public.fastcase.com/H1P9uiW3J20SFp%2BGCG%2BxLTokB0aoklJy6U6lHfy%2FfW4XgHUeDnfzCtV2IraSxfBK?utm_medium=email&amp;_hsmi=226712652&amp;_hsenc=p2ANqtz-_gim38WUKhev0Avzaj483M_b7fed8rsJvlzMdOQbFB_Jpk5Z-</w:t>
        </w:r>
      </w:hyperlink>
      <w:r>
        <w:rPr>
          <w:rFonts w:ascii="Times New Roman" w:hAnsi="Times New Roman"/>
          <w:sz w:val="24"/>
          <w:szCs w:val="24"/>
        </w:rPr>
        <w:t xml:space="preserve"> </w:t>
      </w:r>
    </w:p>
    <w:p w14:paraId="28C92297" w14:textId="77777777" w:rsidR="0060031B" w:rsidRPr="00681787" w:rsidRDefault="0060031B" w:rsidP="0060031B">
      <w:pPr>
        <w:pStyle w:val="NormalWeb"/>
        <w:spacing w:before="0" w:beforeAutospacing="0"/>
        <w:rPr>
          <w:b/>
          <w:bCs/>
        </w:rPr>
      </w:pPr>
      <w:r>
        <w:rPr>
          <w:b/>
          <w:bCs/>
        </w:rPr>
        <w:t>Legal Lesson Learned: Provide due process (such as a hearing before Commission) before removing officer’s title.</w:t>
      </w:r>
    </w:p>
    <w:p w14:paraId="6F882CA7" w14:textId="77777777" w:rsidR="006C4AD8" w:rsidRDefault="006C4AD8" w:rsidP="00EF1133">
      <w:pPr>
        <w:rPr>
          <w:rFonts w:ascii="Arial Black" w:hAnsi="Arial Black"/>
          <w:b/>
          <w:sz w:val="24"/>
          <w:szCs w:val="24"/>
        </w:rPr>
      </w:pPr>
    </w:p>
    <w:p w14:paraId="0E390E3B" w14:textId="373D02EC" w:rsidR="00AD7949" w:rsidRDefault="00AD7949"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7</w:t>
      </w:r>
    </w:p>
    <w:p w14:paraId="037D73FF" w14:textId="77777777" w:rsidR="00C42282" w:rsidRPr="00461960" w:rsidRDefault="00C42282" w:rsidP="00C42282">
      <w:pPr>
        <w:pStyle w:val="NormalWeb"/>
        <w:rPr>
          <w:rFonts w:ascii="Arial Black" w:hAnsi="Arial Black"/>
          <w:b/>
          <w:bCs/>
          <w:sz w:val="28"/>
          <w:szCs w:val="28"/>
        </w:rPr>
      </w:pPr>
      <w:r>
        <w:rPr>
          <w:rFonts w:ascii="Arial Black" w:hAnsi="Arial Black"/>
          <w:b/>
          <w:bCs/>
          <w:sz w:val="28"/>
          <w:szCs w:val="28"/>
        </w:rPr>
        <w:t>NY: FDNY FF – ALLERGIC REACTION TO COVID 2</w:t>
      </w:r>
      <w:r w:rsidRPr="00D16292">
        <w:rPr>
          <w:rFonts w:ascii="Arial Black" w:hAnsi="Arial Black"/>
          <w:b/>
          <w:bCs/>
          <w:sz w:val="28"/>
          <w:szCs w:val="28"/>
          <w:vertAlign w:val="superscript"/>
        </w:rPr>
        <w:t>ND</w:t>
      </w:r>
      <w:r>
        <w:rPr>
          <w:rFonts w:ascii="Arial Black" w:hAnsi="Arial Black"/>
          <w:b/>
          <w:bCs/>
          <w:sz w:val="28"/>
          <w:szCs w:val="28"/>
        </w:rPr>
        <w:t xml:space="preserve"> SHOT – FORCED RETIRE – NOT “ACCIDENTAL” DISAB. RETIREMENT</w:t>
      </w:r>
    </w:p>
    <w:p w14:paraId="7ED7C0D8" w14:textId="77777777" w:rsidR="00C42282" w:rsidRDefault="00C42282" w:rsidP="00C42282">
      <w:pPr>
        <w:pStyle w:val="NormalWeb"/>
      </w:pPr>
      <w:r w:rsidRPr="008E4A59">
        <w:t xml:space="preserve">On Feb. 12, 2024, in </w:t>
      </w:r>
      <w:r w:rsidRPr="00BB0CE6">
        <w:rPr>
          <w:u w:val="single"/>
        </w:rPr>
        <w:t>O'Brian Pastran v. New York City Fire Pension Fund</w:t>
      </w:r>
      <w:r>
        <w:t xml:space="preserve">, Judge Arlene P. Bluth, Supreme Court, New York County, held that two Medical Boards voted to award the firefighter “ordinary” disability retirement, not accidental (75%) and there in not sufficient medical basis to reverse the Boards decision.  </w:t>
      </w:r>
    </w:p>
    <w:p w14:paraId="360E1C0D" w14:textId="77777777" w:rsidR="00C42282" w:rsidRPr="008E4A59" w:rsidRDefault="00C42282" w:rsidP="00C42282">
      <w:pPr>
        <w:pStyle w:val="NormalWeb"/>
      </w:pPr>
      <w:r>
        <w:lastRenderedPageBreak/>
        <w:t>The Judge held:</w:t>
      </w:r>
    </w:p>
    <w:p w14:paraId="5656E2AE" w14:textId="77777777" w:rsidR="00C42282" w:rsidRDefault="00C42282" w:rsidP="00C42282">
      <w:pPr>
        <w:ind w:left="720"/>
        <w:rPr>
          <w:rFonts w:ascii="Times New Roman" w:hAnsi="Times New Roman"/>
          <w:sz w:val="24"/>
          <w:szCs w:val="24"/>
        </w:rPr>
      </w:pPr>
      <w:r>
        <w:rPr>
          <w:rFonts w:ascii="Times New Roman" w:hAnsi="Times New Roman"/>
          <w:sz w:val="24"/>
          <w:szCs w:val="24"/>
        </w:rPr>
        <w:t>“</w:t>
      </w:r>
      <w:r w:rsidRPr="00461960">
        <w:rPr>
          <w:rFonts w:ascii="Times New Roman" w:hAnsi="Times New Roman"/>
          <w:sz w:val="24"/>
          <w:szCs w:val="24"/>
        </w:rPr>
        <w:t>Although it appears the Board of Trustees seriously considered granting petitioner ADR, petitioner unfortunately did not prevail in the final vote. That this Court may have significant admiration for petitioner's many years of service for the FDNY and compassion for his current physical ailments is not a sufficient basis upon which this Court can substitute its own judgment for that of respondents.</w:t>
      </w:r>
      <w:r>
        <w:rPr>
          <w:rFonts w:ascii="Times New Roman" w:hAnsi="Times New Roman"/>
          <w:sz w:val="24"/>
          <w:szCs w:val="24"/>
        </w:rPr>
        <w:t xml:space="preserve">” </w:t>
      </w:r>
      <w:hyperlink r:id="rId1060" w:history="1">
        <w:r w:rsidRPr="00644350">
          <w:rPr>
            <w:rStyle w:val="Hyperlink"/>
            <w:rFonts w:ascii="Times New Roman" w:hAnsi="Times New Roman"/>
            <w:sz w:val="24"/>
            <w:szCs w:val="24"/>
          </w:rPr>
          <w:t>https://casetext.com/case/pastrana-v-nyc-fire-pension-fund</w:t>
        </w:r>
      </w:hyperlink>
      <w:r>
        <w:rPr>
          <w:rFonts w:ascii="Times New Roman" w:hAnsi="Times New Roman"/>
          <w:sz w:val="24"/>
          <w:szCs w:val="24"/>
        </w:rPr>
        <w:t xml:space="preserve"> </w:t>
      </w:r>
    </w:p>
    <w:p w14:paraId="2C907A06" w14:textId="77777777" w:rsidR="00C42282" w:rsidRDefault="00C42282" w:rsidP="00C42282">
      <w:pPr>
        <w:pStyle w:val="NormalWeb"/>
      </w:pPr>
      <w:r w:rsidRPr="00195947">
        <w:rPr>
          <w:b/>
          <w:bCs/>
        </w:rPr>
        <w:t>Legal Lesson Learned:</w:t>
      </w:r>
      <w:r>
        <w:rPr>
          <w:b/>
          <w:bCs/>
        </w:rPr>
        <w:t xml:space="preserve"> To receive accidental disability retirement (75%), the firefighter must prove he became permanently incapacitated (physically or mentally) as result of an on-the-job accident not due to his willful negligence. </w:t>
      </w:r>
      <w:hyperlink r:id="rId1061" w:history="1">
        <w:r w:rsidRPr="00E8503C">
          <w:rPr>
            <w:rStyle w:val="Hyperlink"/>
          </w:rPr>
          <w:t>https://www.osc.ny.gov/retirement/publications/1512/accidental-disability</w:t>
        </w:r>
      </w:hyperlink>
      <w:r w:rsidRPr="00E8503C">
        <w:t xml:space="preserve"> </w:t>
      </w:r>
    </w:p>
    <w:p w14:paraId="38556BD6" w14:textId="77777777" w:rsidR="00C42282" w:rsidRDefault="00C42282" w:rsidP="00EF1133">
      <w:pPr>
        <w:rPr>
          <w:rFonts w:ascii="Arial Black" w:hAnsi="Arial Black"/>
          <w:b/>
          <w:sz w:val="24"/>
          <w:szCs w:val="24"/>
        </w:rPr>
      </w:pPr>
    </w:p>
    <w:p w14:paraId="63B478E1" w14:textId="77777777" w:rsidR="00AD7949" w:rsidRDefault="00AD7949" w:rsidP="00EF1133">
      <w:pPr>
        <w:rPr>
          <w:rFonts w:ascii="Arial Black" w:hAnsi="Arial Black"/>
          <w:b/>
          <w:sz w:val="24"/>
          <w:szCs w:val="24"/>
        </w:rPr>
      </w:pPr>
    </w:p>
    <w:p w14:paraId="43F9A71C" w14:textId="29BFB144" w:rsidR="00D73F92" w:rsidRDefault="00D73F92"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6</w:t>
      </w:r>
    </w:p>
    <w:p w14:paraId="07C0FC7C" w14:textId="77777777" w:rsidR="00255984" w:rsidRDefault="00255984" w:rsidP="00255984">
      <w:pPr>
        <w:pStyle w:val="NoSpacing"/>
        <w:rPr>
          <w:rFonts w:ascii="Arial Black" w:hAnsi="Arial Black"/>
          <w:sz w:val="28"/>
          <w:szCs w:val="28"/>
        </w:rPr>
      </w:pPr>
      <w:r>
        <w:rPr>
          <w:rFonts w:ascii="Arial Black" w:hAnsi="Arial Black"/>
          <w:sz w:val="28"/>
          <w:szCs w:val="28"/>
        </w:rPr>
        <w:t>VA: FF FRACTURED HIP 2014 – SCREWS – 6 YRS LATER TOTAL HIP – DENIED TEMP. TOTAL / PERM. IMPAIRMENT</w:t>
      </w:r>
    </w:p>
    <w:p w14:paraId="11A2CB62" w14:textId="77777777" w:rsidR="00255984" w:rsidRDefault="00255984" w:rsidP="00255984">
      <w:pPr>
        <w:pStyle w:val="NoSpacing"/>
        <w:rPr>
          <w:rFonts w:ascii="Arial Black" w:hAnsi="Arial Black"/>
          <w:sz w:val="28"/>
          <w:szCs w:val="28"/>
        </w:rPr>
      </w:pPr>
    </w:p>
    <w:p w14:paraId="2D613A21" w14:textId="77777777" w:rsidR="00255984" w:rsidRDefault="00255984" w:rsidP="00255984">
      <w:pPr>
        <w:pStyle w:val="NoSpacing"/>
        <w:rPr>
          <w:rFonts w:ascii="Times New Roman" w:hAnsi="Times New Roman"/>
          <w:sz w:val="24"/>
          <w:szCs w:val="24"/>
        </w:rPr>
      </w:pPr>
      <w:r>
        <w:rPr>
          <w:rFonts w:ascii="Times New Roman" w:hAnsi="Times New Roman"/>
          <w:sz w:val="24"/>
          <w:szCs w:val="24"/>
        </w:rPr>
        <w:t xml:space="preserve">On Jan. 30, 2024, in </w:t>
      </w:r>
      <w:r w:rsidRPr="00A14439">
        <w:rPr>
          <w:rFonts w:ascii="Times New Roman" w:hAnsi="Times New Roman"/>
          <w:sz w:val="24"/>
          <w:szCs w:val="24"/>
          <w:u w:val="single"/>
        </w:rPr>
        <w:t>Joshua Stanton v. Virginia Beach – Fire Operations</w:t>
      </w:r>
      <w:r>
        <w:rPr>
          <w:rFonts w:ascii="Times New Roman" w:hAnsi="Times New Roman"/>
          <w:sz w:val="24"/>
          <w:szCs w:val="24"/>
        </w:rPr>
        <w:t xml:space="preserve">, the Court of Appeals of Virginia, held (3 to 0) that Virginia Worker’s Compensation Commission properly held that the firefighter was not entitled to temporary total and permanent impairment coverage for a “changed condition.”  On Aug. 30, </w:t>
      </w:r>
      <w:proofErr w:type="gramStart"/>
      <w:r>
        <w:rPr>
          <w:rFonts w:ascii="Times New Roman" w:hAnsi="Times New Roman"/>
          <w:sz w:val="24"/>
          <w:szCs w:val="24"/>
        </w:rPr>
        <w:t>2014</w:t>
      </w:r>
      <w:proofErr w:type="gramEnd"/>
      <w:r>
        <w:rPr>
          <w:rFonts w:ascii="Times New Roman" w:hAnsi="Times New Roman"/>
          <w:sz w:val="24"/>
          <w:szCs w:val="24"/>
        </w:rPr>
        <w:t xml:space="preserve"> he fractured his hip on duty (3 screws), and </w:t>
      </w:r>
      <w:proofErr w:type="gramStart"/>
      <w:r>
        <w:rPr>
          <w:rFonts w:ascii="Times New Roman" w:hAnsi="Times New Roman"/>
          <w:sz w:val="24"/>
          <w:szCs w:val="24"/>
        </w:rPr>
        <w:t>returned</w:t>
      </w:r>
      <w:proofErr w:type="gramEnd"/>
      <w:r>
        <w:rPr>
          <w:rFonts w:ascii="Times New Roman" w:hAnsi="Times New Roman"/>
          <w:sz w:val="24"/>
          <w:szCs w:val="24"/>
        </w:rPr>
        <w:t xml:space="preserve"> full duty Sept. 2015.  He then worked full duty for net six </w:t>
      </w:r>
      <w:proofErr w:type="gramStart"/>
      <w:r>
        <w:rPr>
          <w:rFonts w:ascii="Times New Roman" w:hAnsi="Times New Roman"/>
          <w:sz w:val="24"/>
          <w:szCs w:val="24"/>
        </w:rPr>
        <w:t>year</w:t>
      </w:r>
      <w:proofErr w:type="gramEnd"/>
      <w:r>
        <w:rPr>
          <w:rFonts w:ascii="Times New Roman" w:hAnsi="Times New Roman"/>
          <w:sz w:val="24"/>
          <w:szCs w:val="24"/>
        </w:rPr>
        <w:t>, until he needed total hip replacement Aug. 31, 2021; on light duty until returned full duty Nov. 2021.  The Court agreed with the Commission - his claim for t</w:t>
      </w:r>
      <w:r w:rsidRPr="005A7E8F">
        <w:rPr>
          <w:rFonts w:ascii="Times New Roman" w:hAnsi="Times New Roman"/>
          <w:sz w:val="24"/>
          <w:szCs w:val="24"/>
        </w:rPr>
        <w:t xml:space="preserve">emporary total disability and permanent impairment </w:t>
      </w:r>
      <w:r>
        <w:rPr>
          <w:rFonts w:ascii="Times New Roman" w:hAnsi="Times New Roman"/>
          <w:sz w:val="24"/>
          <w:szCs w:val="24"/>
        </w:rPr>
        <w:t xml:space="preserve">were </w:t>
      </w:r>
      <w:r w:rsidRPr="005A7E8F">
        <w:rPr>
          <w:rFonts w:ascii="Times New Roman" w:hAnsi="Times New Roman"/>
          <w:sz w:val="24"/>
          <w:szCs w:val="24"/>
        </w:rPr>
        <w:t>untimely</w:t>
      </w:r>
      <w:r>
        <w:rPr>
          <w:rFonts w:ascii="Times New Roman" w:hAnsi="Times New Roman"/>
          <w:sz w:val="24"/>
          <w:szCs w:val="24"/>
        </w:rPr>
        <w:t xml:space="preserve"> since not made with two </w:t>
      </w:r>
      <w:proofErr w:type="gramStart"/>
      <w:r>
        <w:rPr>
          <w:rFonts w:ascii="Times New Roman" w:hAnsi="Times New Roman"/>
          <w:sz w:val="24"/>
          <w:szCs w:val="24"/>
        </w:rPr>
        <w:t>year</w:t>
      </w:r>
      <w:proofErr w:type="gramEnd"/>
      <w:r>
        <w:rPr>
          <w:rFonts w:ascii="Times New Roman" w:hAnsi="Times New Roman"/>
          <w:sz w:val="24"/>
          <w:szCs w:val="24"/>
        </w:rPr>
        <w:t xml:space="preserve"> of last </w:t>
      </w:r>
      <w:proofErr w:type="gramStart"/>
      <w:r>
        <w:rPr>
          <w:rFonts w:ascii="Times New Roman" w:hAnsi="Times New Roman"/>
          <w:sz w:val="24"/>
          <w:szCs w:val="24"/>
        </w:rPr>
        <w:t>workers</w:t>
      </w:r>
      <w:proofErr w:type="gramEnd"/>
      <w:r>
        <w:rPr>
          <w:rFonts w:ascii="Times New Roman" w:hAnsi="Times New Roman"/>
          <w:sz w:val="24"/>
          <w:szCs w:val="24"/>
        </w:rPr>
        <w:t xml:space="preserve"> comp payment (six years prior).</w:t>
      </w:r>
    </w:p>
    <w:p w14:paraId="05FFE16D" w14:textId="77777777" w:rsidR="00255984" w:rsidRDefault="00255984" w:rsidP="00255984">
      <w:pPr>
        <w:pStyle w:val="NoSpacing"/>
        <w:rPr>
          <w:rFonts w:ascii="Times New Roman" w:hAnsi="Times New Roman"/>
          <w:sz w:val="24"/>
          <w:szCs w:val="24"/>
        </w:rPr>
      </w:pPr>
    </w:p>
    <w:p w14:paraId="4477D97B" w14:textId="77777777" w:rsidR="00255984" w:rsidRDefault="00255984" w:rsidP="00255984">
      <w:pPr>
        <w:pStyle w:val="NoSpacing"/>
        <w:ind w:left="720"/>
        <w:rPr>
          <w:rFonts w:ascii="Times New Roman" w:hAnsi="Times New Roman"/>
          <w:sz w:val="24"/>
          <w:szCs w:val="24"/>
        </w:rPr>
      </w:pPr>
      <w:r>
        <w:rPr>
          <w:rFonts w:ascii="Times New Roman" w:hAnsi="Times New Roman"/>
          <w:sz w:val="24"/>
          <w:szCs w:val="24"/>
        </w:rPr>
        <w:t>“T</w:t>
      </w:r>
      <w:r w:rsidRPr="00CB1BAF">
        <w:rPr>
          <w:rFonts w:ascii="Times New Roman" w:hAnsi="Times New Roman"/>
          <w:sz w:val="24"/>
          <w:szCs w:val="24"/>
        </w:rPr>
        <w:t>hus, September of 2015 was the last time that</w:t>
      </w:r>
      <w:r>
        <w:rPr>
          <w:rFonts w:ascii="Times New Roman" w:hAnsi="Times New Roman"/>
          <w:sz w:val="24"/>
          <w:szCs w:val="24"/>
        </w:rPr>
        <w:t xml:space="preserve"> </w:t>
      </w:r>
      <w:r w:rsidRPr="00CB1BAF">
        <w:rPr>
          <w:rFonts w:ascii="Times New Roman" w:hAnsi="Times New Roman"/>
          <w:sz w:val="24"/>
          <w:szCs w:val="24"/>
        </w:rPr>
        <w:t xml:space="preserve">Stanton received compensation </w:t>
      </w:r>
      <w:r>
        <w:rPr>
          <w:rFonts w:ascii="Times New Roman" w:hAnsi="Times New Roman"/>
          <w:sz w:val="24"/>
          <w:szCs w:val="24"/>
        </w:rPr>
        <w:t>‘</w:t>
      </w:r>
      <w:r w:rsidRPr="00CB1BAF">
        <w:rPr>
          <w:rFonts w:ascii="Times New Roman" w:hAnsi="Times New Roman"/>
          <w:sz w:val="24"/>
          <w:szCs w:val="24"/>
        </w:rPr>
        <w:t>pursuant to an award.</w:t>
      </w:r>
      <w:r>
        <w:rPr>
          <w:rFonts w:ascii="Times New Roman" w:hAnsi="Times New Roman"/>
          <w:sz w:val="24"/>
          <w:szCs w:val="24"/>
        </w:rPr>
        <w:t>’</w:t>
      </w:r>
      <w:r w:rsidRPr="00CB1BAF">
        <w:rPr>
          <w:rFonts w:ascii="Times New Roman" w:hAnsi="Times New Roman"/>
          <w:sz w:val="24"/>
          <w:szCs w:val="24"/>
        </w:rPr>
        <w:t xml:space="preserve"> As a result, the two-year statute of</w:t>
      </w:r>
      <w:r>
        <w:rPr>
          <w:rFonts w:ascii="Times New Roman" w:hAnsi="Times New Roman"/>
          <w:sz w:val="24"/>
          <w:szCs w:val="24"/>
        </w:rPr>
        <w:t xml:space="preserve"> </w:t>
      </w:r>
      <w:r w:rsidRPr="00CB1BAF">
        <w:rPr>
          <w:rFonts w:ascii="Times New Roman" w:hAnsi="Times New Roman"/>
          <w:sz w:val="24"/>
          <w:szCs w:val="24"/>
        </w:rPr>
        <w:t>limitations period under Code § 65.2-708(A) began in September of 2015, and any tolling of</w:t>
      </w:r>
      <w:r>
        <w:rPr>
          <w:rFonts w:ascii="Times New Roman" w:hAnsi="Times New Roman"/>
          <w:sz w:val="24"/>
          <w:szCs w:val="24"/>
        </w:rPr>
        <w:t xml:space="preserve"> </w:t>
      </w:r>
      <w:r w:rsidRPr="00CB1BAF">
        <w:rPr>
          <w:rFonts w:ascii="Times New Roman" w:hAnsi="Times New Roman"/>
          <w:sz w:val="24"/>
          <w:szCs w:val="24"/>
        </w:rPr>
        <w:t>subsection (A) due to the fulfillment of the conditions described in subsection (C) would need to</w:t>
      </w:r>
      <w:r>
        <w:rPr>
          <w:rFonts w:ascii="Times New Roman" w:hAnsi="Times New Roman"/>
          <w:sz w:val="24"/>
          <w:szCs w:val="24"/>
        </w:rPr>
        <w:t xml:space="preserve"> </w:t>
      </w:r>
      <w:r w:rsidRPr="00CB1BAF">
        <w:rPr>
          <w:rFonts w:ascii="Times New Roman" w:hAnsi="Times New Roman"/>
          <w:sz w:val="24"/>
          <w:szCs w:val="24"/>
        </w:rPr>
        <w:t>have occurred in the following 24 months. Since Stanton was not placed on light duty again until</w:t>
      </w:r>
      <w:r>
        <w:rPr>
          <w:rFonts w:ascii="Times New Roman" w:hAnsi="Times New Roman"/>
          <w:sz w:val="24"/>
          <w:szCs w:val="24"/>
        </w:rPr>
        <w:t xml:space="preserve"> </w:t>
      </w:r>
      <w:r w:rsidRPr="00CB1BAF">
        <w:rPr>
          <w:rFonts w:ascii="Times New Roman" w:hAnsi="Times New Roman"/>
          <w:sz w:val="24"/>
          <w:szCs w:val="24"/>
        </w:rPr>
        <w:t>six years later in October of 2021 after undergoing hip replacement surgery, he may have fulfilled</w:t>
      </w:r>
      <w:r>
        <w:rPr>
          <w:rFonts w:ascii="Times New Roman" w:hAnsi="Times New Roman"/>
          <w:sz w:val="24"/>
          <w:szCs w:val="24"/>
        </w:rPr>
        <w:t xml:space="preserve"> </w:t>
      </w:r>
      <w:r w:rsidRPr="00CB1BAF">
        <w:rPr>
          <w:rFonts w:ascii="Times New Roman" w:hAnsi="Times New Roman"/>
          <w:sz w:val="24"/>
          <w:szCs w:val="24"/>
        </w:rPr>
        <w:t>the conditions as expressed in subsection (C), but he did so outside of the statute of limitations of</w:t>
      </w:r>
      <w:r>
        <w:rPr>
          <w:rFonts w:ascii="Times New Roman" w:hAnsi="Times New Roman"/>
          <w:sz w:val="24"/>
          <w:szCs w:val="24"/>
        </w:rPr>
        <w:t xml:space="preserve"> </w:t>
      </w:r>
      <w:r w:rsidRPr="00CB1BAF">
        <w:rPr>
          <w:rFonts w:ascii="Times New Roman" w:hAnsi="Times New Roman"/>
          <w:sz w:val="24"/>
          <w:szCs w:val="24"/>
        </w:rPr>
        <w:t>subsection (A). Therefore, we find no error in the Commission’s finding and affirm the</w:t>
      </w:r>
      <w:r>
        <w:rPr>
          <w:rFonts w:ascii="Times New Roman" w:hAnsi="Times New Roman"/>
          <w:sz w:val="24"/>
          <w:szCs w:val="24"/>
        </w:rPr>
        <w:t xml:space="preserve"> </w:t>
      </w:r>
      <w:r w:rsidRPr="000E7188">
        <w:rPr>
          <w:rFonts w:ascii="Times New Roman" w:hAnsi="Times New Roman"/>
          <w:sz w:val="24"/>
          <w:szCs w:val="24"/>
        </w:rPr>
        <w:t>Commission’s decision</w:t>
      </w:r>
      <w:r>
        <w:rPr>
          <w:rFonts w:ascii="Times New Roman" w:hAnsi="Times New Roman"/>
          <w:sz w:val="24"/>
          <w:szCs w:val="24"/>
        </w:rPr>
        <w:t xml:space="preserve">.” </w:t>
      </w:r>
      <w:hyperlink r:id="rId1062" w:history="1">
        <w:r w:rsidRPr="00665549">
          <w:rPr>
            <w:rStyle w:val="Hyperlink"/>
            <w:rFonts w:ascii="Times New Roman" w:hAnsi="Times New Roman"/>
            <w:sz w:val="24"/>
            <w:szCs w:val="24"/>
          </w:rPr>
          <w:t>https://cases.justia.com/virginia/court-of-appeals-published/2024-0344-23-1.pdf?ts=1706633278</w:t>
        </w:r>
      </w:hyperlink>
      <w:r>
        <w:rPr>
          <w:rFonts w:ascii="Times New Roman" w:hAnsi="Times New Roman"/>
          <w:sz w:val="24"/>
          <w:szCs w:val="24"/>
        </w:rPr>
        <w:t xml:space="preserve"> </w:t>
      </w:r>
    </w:p>
    <w:p w14:paraId="4C187E9F" w14:textId="77777777" w:rsidR="00D73F92" w:rsidRDefault="00D73F92" w:rsidP="00EF1133">
      <w:pPr>
        <w:rPr>
          <w:rFonts w:ascii="Arial Black" w:hAnsi="Arial Black"/>
          <w:b/>
          <w:sz w:val="24"/>
          <w:szCs w:val="24"/>
        </w:rPr>
      </w:pPr>
    </w:p>
    <w:p w14:paraId="07C249E1" w14:textId="77777777" w:rsidR="00A763AF" w:rsidRPr="001662AE" w:rsidRDefault="00A763AF" w:rsidP="00A763AF">
      <w:pPr>
        <w:pStyle w:val="NoSpacing"/>
        <w:rPr>
          <w:rFonts w:ascii="Times New Roman" w:hAnsi="Times New Roman"/>
          <w:b/>
          <w:bCs/>
          <w:sz w:val="24"/>
          <w:szCs w:val="24"/>
        </w:rPr>
      </w:pPr>
      <w:r w:rsidRPr="001662AE">
        <w:rPr>
          <w:rFonts w:ascii="Times New Roman" w:hAnsi="Times New Roman"/>
          <w:b/>
          <w:bCs/>
          <w:sz w:val="24"/>
          <w:szCs w:val="24"/>
        </w:rPr>
        <w:t xml:space="preserve">Legal Lesson Learned: The parties agreed that if he had received a prosthesis in 2014, instead of three screws, then a “repair replacement” of the prosthesis in 2021 would have been covered. </w:t>
      </w:r>
    </w:p>
    <w:p w14:paraId="22254842" w14:textId="77777777" w:rsidR="000C0691" w:rsidRDefault="000C0691" w:rsidP="00EF1133">
      <w:pPr>
        <w:rPr>
          <w:rFonts w:ascii="Arial Black" w:hAnsi="Arial Black"/>
          <w:b/>
          <w:sz w:val="24"/>
          <w:szCs w:val="24"/>
        </w:rPr>
      </w:pPr>
    </w:p>
    <w:p w14:paraId="3FB7A6E0" w14:textId="77777777" w:rsidR="00D73F92" w:rsidRDefault="00D73F92" w:rsidP="00EF1133">
      <w:pPr>
        <w:rPr>
          <w:rFonts w:ascii="Arial Black" w:hAnsi="Arial Black"/>
          <w:b/>
          <w:sz w:val="24"/>
          <w:szCs w:val="24"/>
        </w:rPr>
      </w:pPr>
    </w:p>
    <w:p w14:paraId="54FAEB81" w14:textId="77777777" w:rsidR="00D73F92" w:rsidRDefault="00D73F92" w:rsidP="00EF1133">
      <w:pPr>
        <w:rPr>
          <w:rFonts w:ascii="Arial Black" w:hAnsi="Arial Black"/>
          <w:b/>
          <w:sz w:val="24"/>
          <w:szCs w:val="24"/>
        </w:rPr>
      </w:pPr>
    </w:p>
    <w:p w14:paraId="338BCD41" w14:textId="77777777" w:rsidR="002744EE" w:rsidRDefault="002744EE" w:rsidP="00EF1133">
      <w:pPr>
        <w:rPr>
          <w:rFonts w:ascii="Arial Black" w:hAnsi="Arial Black"/>
          <w:b/>
          <w:sz w:val="24"/>
          <w:szCs w:val="24"/>
        </w:rPr>
      </w:pPr>
    </w:p>
    <w:p w14:paraId="0E824F22" w14:textId="449FD04F" w:rsidR="00F33E0E" w:rsidRDefault="004668C7"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5</w:t>
      </w:r>
    </w:p>
    <w:p w14:paraId="7A744957" w14:textId="77777777" w:rsidR="00542190" w:rsidRDefault="00542190" w:rsidP="00542190">
      <w:pPr>
        <w:pStyle w:val="NormalWeb"/>
        <w:rPr>
          <w:rFonts w:ascii="Arial Black" w:hAnsi="Arial Black"/>
          <w:sz w:val="28"/>
          <w:szCs w:val="28"/>
        </w:rPr>
      </w:pPr>
      <w:r>
        <w:rPr>
          <w:rFonts w:ascii="Arial Black" w:hAnsi="Arial Black"/>
          <w:sz w:val="28"/>
          <w:szCs w:val="28"/>
        </w:rPr>
        <w:t xml:space="preserve">TN: PTSD - </w:t>
      </w:r>
      <w:r w:rsidRPr="003C4F4B">
        <w:rPr>
          <w:rFonts w:ascii="Arial Black" w:hAnsi="Arial Black"/>
          <w:sz w:val="28"/>
          <w:szCs w:val="28"/>
        </w:rPr>
        <w:t>CHATTANOOGA</w:t>
      </w:r>
      <w:r>
        <w:rPr>
          <w:rFonts w:ascii="Arial Black" w:hAnsi="Arial Black"/>
          <w:sz w:val="28"/>
          <w:szCs w:val="28"/>
        </w:rPr>
        <w:t xml:space="preserve"> – COURT ORDERS FIRE &amp; POLICE FUND GRANT FF JOB-RELATED DISAB. PENSION </w:t>
      </w:r>
    </w:p>
    <w:p w14:paraId="5A2E8631" w14:textId="77777777" w:rsidR="00542190" w:rsidRDefault="00542190" w:rsidP="00542190">
      <w:pPr>
        <w:pStyle w:val="NormalWeb"/>
      </w:pPr>
      <w:r>
        <w:t xml:space="preserve">On Dec. 18, 2023, in </w:t>
      </w:r>
      <w:r w:rsidRPr="001D0F2C">
        <w:rPr>
          <w:u w:val="single"/>
        </w:rPr>
        <w:t xml:space="preserve">Matthew Long v. Chattanooga Fire </w:t>
      </w:r>
      <w:proofErr w:type="gramStart"/>
      <w:r w:rsidRPr="001D0F2C">
        <w:rPr>
          <w:u w:val="single"/>
        </w:rPr>
        <w:t>And</w:t>
      </w:r>
      <w:proofErr w:type="gramEnd"/>
      <w:r w:rsidRPr="001D0F2C">
        <w:rPr>
          <w:u w:val="single"/>
        </w:rPr>
        <w:t xml:space="preserve"> Police Fund</w:t>
      </w:r>
      <w:r>
        <w:t>, the Court of Appeals of Tennessee held (3 to 0) that trial court judge properly ordered the Fund a job-</w:t>
      </w:r>
      <w:proofErr w:type="gramStart"/>
      <w:r>
        <w:t>related disability</w:t>
      </w:r>
      <w:proofErr w:type="gramEnd"/>
      <w:r>
        <w:t xml:space="preserve"> pension for firefighter’s PTSD. Board’s policy requiring proof of “undesigned and unexpected” traumatic event makes it impossible for most fire and police to receive pension. The Court wrote: “The Policy provides that an applicant can only obtain benefits for a job-related disability based on PTSD if the disability “is a direct result of a traumatic event that is . . . b. undesigned and unexpected[.]” However, the Policy makes no effort to define the term ‘unexpected,’ nor is that term defined in any controlling legal authority or caselaw. As a result, this portion of the Policy is ambiguous.  *** Here, “unexpected” is not defined in the Plan, and there is no binding Tennessee caselaw construing a similar plan provision. Yet, the Fund essentially argues that the term “unexpected” should be construed to mean that the event giving rise to benefits is entirely unforeseeable.” *** Accordingly, the Board relied on an undefined, ambiguous term in the Plan to deny Long’s benefits and then offered no explanation as to its reasoning. Inasmuch as the Board construed the Plan’s terms in favor of the Fund, instead of in favor of Long, its decision was arbitrary, capricious, and contrary to Tennessee law.” </w:t>
      </w:r>
      <w:hyperlink r:id="rId1063" w:history="1">
        <w:r w:rsidRPr="0044657D">
          <w:rPr>
            <w:rStyle w:val="Hyperlink"/>
          </w:rPr>
          <w:t>https://cases.justia.com/tennessee/court-of-appeals/2023-e2022-01151-coa-r3-cv.pdf?ts=1703121841</w:t>
        </w:r>
      </w:hyperlink>
      <w:r>
        <w:t xml:space="preserve"> </w:t>
      </w:r>
    </w:p>
    <w:p w14:paraId="3C3CF2C0" w14:textId="77777777" w:rsidR="002744EE" w:rsidRPr="00EE0B9A" w:rsidRDefault="002744EE" w:rsidP="002744EE">
      <w:pPr>
        <w:pStyle w:val="NoSpacing"/>
        <w:rPr>
          <w:rFonts w:ascii="Times New Roman" w:hAnsi="Times New Roman"/>
          <w:b/>
          <w:bCs/>
          <w:sz w:val="24"/>
          <w:szCs w:val="24"/>
        </w:rPr>
      </w:pPr>
      <w:r w:rsidRPr="00EE0B9A">
        <w:rPr>
          <w:rFonts w:ascii="Times New Roman" w:hAnsi="Times New Roman"/>
          <w:b/>
          <w:bCs/>
          <w:sz w:val="24"/>
          <w:szCs w:val="24"/>
        </w:rPr>
        <w:t xml:space="preserve">Legal Lesson Learned: </w:t>
      </w:r>
      <w:r>
        <w:rPr>
          <w:rFonts w:ascii="Times New Roman" w:hAnsi="Times New Roman"/>
          <w:b/>
          <w:bCs/>
          <w:sz w:val="24"/>
          <w:szCs w:val="24"/>
        </w:rPr>
        <w:t xml:space="preserve"> The Board needs to better define “unexpected” traumatic events that will be covered for PTSD disability pension. </w:t>
      </w:r>
    </w:p>
    <w:p w14:paraId="09398639" w14:textId="77777777" w:rsidR="002744EE" w:rsidRDefault="002744EE" w:rsidP="002744EE">
      <w:pPr>
        <w:pStyle w:val="NoSpacing"/>
        <w:rPr>
          <w:rFonts w:ascii="Times New Roman" w:hAnsi="Times New Roman"/>
          <w:sz w:val="24"/>
          <w:szCs w:val="24"/>
        </w:rPr>
      </w:pPr>
    </w:p>
    <w:p w14:paraId="7EDEF459" w14:textId="77777777" w:rsidR="002744EE" w:rsidRDefault="002744EE" w:rsidP="002744EE">
      <w:pPr>
        <w:pStyle w:val="NoSpacing"/>
        <w:ind w:left="720"/>
      </w:pPr>
      <w:r>
        <w:rPr>
          <w:rFonts w:ascii="Times New Roman" w:hAnsi="Times New Roman"/>
          <w:sz w:val="24"/>
          <w:szCs w:val="24"/>
        </w:rPr>
        <w:t xml:space="preserve">Note: See video of oral argument before Court of Appeals in this case. </w:t>
      </w:r>
      <w:hyperlink r:id="rId1064" w:anchor="fpstate=ive&amp;vld=cid:c519e51a,vid:fx8S8hEp9_s,st:0" w:history="1">
        <w:r w:rsidRPr="00A7078E">
          <w:rPr>
            <w:rStyle w:val="Hyperlink"/>
          </w:rPr>
          <w:t>https://www.google.com/search?channel=frsc&amp;client=firefox-b-1-d&amp;q=MATTHEW+LONG+v.+CHATTANOOGA+FIRE+AND+POLICE+PENSION+FUND+No.+E2022-01151-COA-R3-CV+%7C+June+20%2C+2023+Session+%7C+#fpstate=ive&amp;vld=cid:c519e51a,vid:fx8S8hEp9_s,st:0</w:t>
        </w:r>
      </w:hyperlink>
    </w:p>
    <w:p w14:paraId="37A4F4F8" w14:textId="77777777" w:rsidR="004668C7" w:rsidRDefault="004668C7" w:rsidP="00EF1133">
      <w:pPr>
        <w:rPr>
          <w:rFonts w:ascii="Arial Black" w:hAnsi="Arial Black"/>
          <w:b/>
          <w:sz w:val="24"/>
          <w:szCs w:val="24"/>
        </w:rPr>
      </w:pPr>
    </w:p>
    <w:p w14:paraId="07D20297" w14:textId="77777777" w:rsidR="004668C7" w:rsidRDefault="004668C7" w:rsidP="00EF1133">
      <w:pPr>
        <w:rPr>
          <w:rFonts w:ascii="Arial Black" w:hAnsi="Arial Black"/>
          <w:b/>
          <w:sz w:val="24"/>
          <w:szCs w:val="24"/>
        </w:rPr>
      </w:pPr>
    </w:p>
    <w:p w14:paraId="4D7F707D" w14:textId="4A4A40B3" w:rsidR="00554962" w:rsidRDefault="00554962"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4</w:t>
      </w:r>
    </w:p>
    <w:p w14:paraId="71156FBD" w14:textId="77777777" w:rsidR="00F33E0E" w:rsidRPr="008F275A" w:rsidRDefault="00F33E0E" w:rsidP="00F33E0E">
      <w:pPr>
        <w:pStyle w:val="NormalWeb"/>
        <w:rPr>
          <w:rFonts w:ascii="Arial Black" w:hAnsi="Arial Black"/>
          <w:sz w:val="28"/>
          <w:szCs w:val="28"/>
        </w:rPr>
      </w:pPr>
      <w:r>
        <w:rPr>
          <w:rFonts w:ascii="Arial Black" w:hAnsi="Arial Black"/>
          <w:sz w:val="28"/>
          <w:szCs w:val="28"/>
        </w:rPr>
        <w:t>FL: FF HEART REPLACEMENT – STATUTORY PRESUMPTION -  COUNTY FAILED PROVE CAUSED BY OFF DUTY COVID-19</w:t>
      </w:r>
    </w:p>
    <w:p w14:paraId="2108FE6D" w14:textId="5E6CA530" w:rsidR="00F33E0E" w:rsidRPr="00F33E0E" w:rsidRDefault="00F33E0E" w:rsidP="00F33E0E">
      <w:pPr>
        <w:rPr>
          <w:rFonts w:ascii="Times New Roman" w:hAnsi="Times New Roman"/>
          <w:b/>
          <w:sz w:val="24"/>
          <w:szCs w:val="24"/>
        </w:rPr>
      </w:pPr>
      <w:r w:rsidRPr="00F33E0E">
        <w:rPr>
          <w:rFonts w:ascii="Times New Roman" w:hAnsi="Times New Roman"/>
          <w:sz w:val="24"/>
          <w:szCs w:val="24"/>
        </w:rPr>
        <w:t xml:space="preserve">On Dec. 13, 2023, in </w:t>
      </w:r>
      <w:r w:rsidRPr="00F33E0E">
        <w:rPr>
          <w:rFonts w:ascii="Times New Roman" w:hAnsi="Times New Roman"/>
          <w:sz w:val="24"/>
          <w:szCs w:val="24"/>
          <w:u w:val="single"/>
        </w:rPr>
        <w:t>Seminole County, Florisa and John Eastern Company, Inc. v. Chad Braden</w:t>
      </w:r>
      <w:r w:rsidRPr="00F33E0E">
        <w:rPr>
          <w:rFonts w:ascii="Times New Roman" w:hAnsi="Times New Roman"/>
          <w:sz w:val="24"/>
          <w:szCs w:val="24"/>
        </w:rPr>
        <w:t xml:space="preserve">, the Florida Court of Appeals, First District, held (3 to 0) that the Judge of Compensation Claims (JCC), properly awarded workers' compensation benefits to firefighter Chad Braden. The Court wrote: “Rather, we consider only whether Seminole County met its burden to overcome the statutory burden of work causation. Under these facts, we find competent evidence supports the JCC's determination that Seminole County failed to rebut the statutory presumption.”  </w:t>
      </w:r>
      <w:hyperlink r:id="rId1065" w:history="1">
        <w:r w:rsidRPr="00F33E0E">
          <w:rPr>
            <w:rStyle w:val="Hyperlink"/>
            <w:rFonts w:ascii="Times New Roman" w:hAnsi="Times New Roman"/>
            <w:sz w:val="24"/>
            <w:szCs w:val="24"/>
          </w:rPr>
          <w:t>https://public.fastcase.com/ZZhmr5v9wN%2FXOe5IsQ%2FqD597Cj8vEFtFKU6dv%2BnWYID0RND2DGxx0gwPm3LnKjbN?utm_medium=email&amp;_hsmi=226712652&amp;_hsenc=p2ANqtz-</w:t>
        </w:r>
        <w:r w:rsidRPr="00F33E0E">
          <w:rPr>
            <w:rStyle w:val="Hyperlink"/>
            <w:rFonts w:ascii="Times New Roman" w:hAnsi="Times New Roman"/>
            <w:sz w:val="24"/>
            <w:szCs w:val="24"/>
          </w:rPr>
          <w:lastRenderedPageBreak/>
          <w:t>9VqkDv3iEaCOhGJ0e7W649YKVFgXPPT1K4rwfEfIma89pOhcAxwCchfIpHNeRMlfH4gAwQhfXkNV3ClRJYpxBL670A4g&amp;utm_content=226712652&amp;utm_source=hs_email</w:t>
        </w:r>
      </w:hyperlink>
    </w:p>
    <w:p w14:paraId="16EEA3AE" w14:textId="77777777" w:rsidR="004668C7" w:rsidRDefault="004668C7" w:rsidP="004668C7">
      <w:pPr>
        <w:pStyle w:val="NormalWeb"/>
        <w:rPr>
          <w:b/>
          <w:bCs/>
        </w:rPr>
      </w:pPr>
      <w:r w:rsidRPr="000664E1">
        <w:rPr>
          <w:b/>
          <w:bCs/>
        </w:rPr>
        <w:t>Legal Lesson Learned:</w:t>
      </w:r>
      <w:r>
        <w:rPr>
          <w:b/>
          <w:bCs/>
        </w:rPr>
        <w:t xml:space="preserve"> The FL statutory presumption properly puts burden on employer to prove heart issues were not caused by the job. </w:t>
      </w:r>
    </w:p>
    <w:p w14:paraId="26524411" w14:textId="77777777" w:rsidR="00554962" w:rsidRDefault="00554962" w:rsidP="00EF1133">
      <w:pPr>
        <w:rPr>
          <w:rFonts w:ascii="Arial Black" w:hAnsi="Arial Black"/>
          <w:b/>
          <w:sz w:val="24"/>
          <w:szCs w:val="24"/>
        </w:rPr>
      </w:pPr>
    </w:p>
    <w:p w14:paraId="46A0881E" w14:textId="77777777" w:rsidR="00554962" w:rsidRDefault="00554962" w:rsidP="00EF1133">
      <w:pPr>
        <w:rPr>
          <w:rFonts w:ascii="Arial Black" w:hAnsi="Arial Black"/>
          <w:b/>
          <w:sz w:val="24"/>
          <w:szCs w:val="24"/>
        </w:rPr>
      </w:pPr>
    </w:p>
    <w:p w14:paraId="49277BC9" w14:textId="28637DCA" w:rsidR="00841FB9" w:rsidRDefault="00841FB9"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3</w:t>
      </w:r>
    </w:p>
    <w:p w14:paraId="5A5776CA" w14:textId="77777777" w:rsidR="00841FB9" w:rsidRDefault="00841FB9" w:rsidP="00841FB9">
      <w:pPr>
        <w:pStyle w:val="NormalWeb"/>
        <w:rPr>
          <w:rFonts w:ascii="Arial Black" w:hAnsi="Arial Black"/>
          <w:b/>
          <w:bCs/>
          <w:sz w:val="28"/>
          <w:szCs w:val="28"/>
        </w:rPr>
      </w:pPr>
      <w:r>
        <w:rPr>
          <w:rFonts w:ascii="Arial Black" w:hAnsi="Arial Black"/>
          <w:b/>
          <w:bCs/>
          <w:sz w:val="28"/>
          <w:szCs w:val="28"/>
        </w:rPr>
        <w:t xml:space="preserve">OR: PROSTATE CANCER – STAUTORY PRESUMPTION – EMPLOYER FAILED TO OVERCOME PRESUMPTION </w:t>
      </w:r>
    </w:p>
    <w:p w14:paraId="68750709" w14:textId="77777777" w:rsidR="00841FB9" w:rsidRDefault="00841FB9" w:rsidP="00841FB9">
      <w:pPr>
        <w:pStyle w:val="NormalWeb"/>
      </w:pPr>
      <w:r w:rsidRPr="00561FB7">
        <w:t xml:space="preserve">On Dec. 6, 2023, </w:t>
      </w:r>
      <w:r w:rsidRPr="00532D49">
        <w:rPr>
          <w:u w:val="single"/>
        </w:rPr>
        <w:t xml:space="preserve">In the Matter of the Compensation of Stephen Smith;  Marion County Fire </w:t>
      </w:r>
      <w:proofErr w:type="gramStart"/>
      <w:r w:rsidRPr="00532D49">
        <w:rPr>
          <w:u w:val="single"/>
        </w:rPr>
        <w:t>District #1</w:t>
      </w:r>
      <w:proofErr w:type="gramEnd"/>
      <w:r w:rsidRPr="00532D49">
        <w:rPr>
          <w:u w:val="single"/>
        </w:rPr>
        <w:t xml:space="preserve"> v. Stephen Smith</w:t>
      </w:r>
      <w:r>
        <w:t xml:space="preserve">, the Court of Appeals of Oregon held (3 to 0; nonprecedential memorandum </w:t>
      </w:r>
      <w:proofErr w:type="spellStart"/>
      <w:r>
        <w:t>opinio</w:t>
      </w:r>
      <w:proofErr w:type="spellEnd"/>
      <w:r>
        <w:t xml:space="preserve">) that the Workers’ Compensation Board properly held for the firefighter.  The Court wrote: “This case concerns whether the Workers' Compensation Board (board) properly construed and applied the so-called ‘firefighter's presumption’ when it reversed employer's denial of claimant's occupational disease claim. *** The board reasoned that Dr. Beer's opinion was largely based on the conclusion that the causes of prostate cancer are unknown. The board correctly noted that in </w:t>
      </w:r>
      <w:r>
        <w:rPr>
          <w:rStyle w:val="Emphasis"/>
        </w:rPr>
        <w:t>Thompson,</w:t>
      </w:r>
      <w:r>
        <w:t xml:space="preserve"> the Supreme Court held that </w:t>
      </w:r>
      <w:proofErr w:type="gramStart"/>
      <w:r>
        <w:t>an</w:t>
      </w:r>
      <w:proofErr w:type="gramEnd"/>
      <w:r>
        <w:t xml:space="preserve"> opinion that the cause of a condition is unknown is "a confession of an inability to identify a cause," rather than evidence that the condition was not related to employment. </w:t>
      </w:r>
      <w:r>
        <w:rPr>
          <w:rStyle w:val="Emphasis"/>
        </w:rPr>
        <w:t>Thompson,</w:t>
      </w:r>
      <w:r>
        <w:t xml:space="preserve"> 360 Or at 168. The board went on to note several internal inconsistencies in Dr. Beer's opinion that left the board unpersuaded by the opinion. We conclude that the board's representation of Dr. Beer's opinion is reasonable and supported by substantial evidence. While employer characterizes Dr. Beer's opinion differently, we are not convinced that the board was required to view the opinion the way employer urges. The board reasonably could find, for the reasons the board stated, that Dr. Beer's evidence did not meet employer's burden of persuasion.” </w:t>
      </w:r>
      <w:hyperlink r:id="rId1066" w:history="1">
        <w:r w:rsidRPr="002D5A3E">
          <w:rPr>
            <w:rStyle w:val="Hyperlink"/>
          </w:rPr>
          <w:t>https://casetext.com/case/marion-cnty-fire-dist-1-v-smith-in-re-smith</w:t>
        </w:r>
      </w:hyperlink>
      <w:r>
        <w:t xml:space="preserve"> </w:t>
      </w:r>
    </w:p>
    <w:p w14:paraId="0A3917F7" w14:textId="77777777" w:rsidR="00554962" w:rsidRDefault="00554962" w:rsidP="00554962">
      <w:pPr>
        <w:pStyle w:val="NormalWeb"/>
        <w:rPr>
          <w:b/>
          <w:bCs/>
        </w:rPr>
      </w:pPr>
      <w:r w:rsidRPr="006C2F5A">
        <w:rPr>
          <w:b/>
          <w:bCs/>
        </w:rPr>
        <w:t>Legal Lesson Learned:</w:t>
      </w:r>
      <w:r>
        <w:rPr>
          <w:b/>
          <w:bCs/>
        </w:rPr>
        <w:t xml:space="preserve"> With the statutory presumption, the employer failed to rebut the presumption that the firefighter’s prostate cancer resulted from his employment as a firefighter. </w:t>
      </w:r>
    </w:p>
    <w:p w14:paraId="4B59223E" w14:textId="77777777" w:rsidR="00554962" w:rsidRPr="00F54637" w:rsidRDefault="00554962" w:rsidP="00554962">
      <w:pPr>
        <w:pStyle w:val="NormalWeb"/>
        <w:ind w:left="720"/>
      </w:pPr>
      <w:r w:rsidRPr="00F54637">
        <w:t>Note: The Court</w:t>
      </w:r>
      <w:r>
        <w:t xml:space="preserve"> of Appeals</w:t>
      </w:r>
      <w:r w:rsidRPr="00F54637">
        <w:t xml:space="preserve"> on same date</w:t>
      </w:r>
      <w:r>
        <w:t>, Dec. 6, 2023,</w:t>
      </w:r>
      <w:r w:rsidRPr="00F54637">
        <w:t xml:space="preserve"> upheld the award to another</w:t>
      </w:r>
      <w:r>
        <w:t xml:space="preserve"> Oregon</w:t>
      </w:r>
      <w:r w:rsidRPr="00F54637">
        <w:t xml:space="preserve"> firefighter</w:t>
      </w:r>
      <w:r>
        <w:t xml:space="preserve"> with another fire department. In the Matter of the Compensation of Robert M. Shannon, Claimant. v. Robert M. Shannon. North Douglas County Fire &amp; EMS. </w:t>
      </w:r>
      <w:hyperlink r:id="rId1067" w:history="1">
        <w:r w:rsidRPr="002D5A3E">
          <w:rPr>
            <w:rStyle w:val="Hyperlink"/>
          </w:rPr>
          <w:t>https://casetext.com/case/n-douglas-cnty-fire-ems-v-shannon-in-re-shannon</w:t>
        </w:r>
      </w:hyperlink>
      <w:r w:rsidRPr="00F54637">
        <w:t xml:space="preserve"> </w:t>
      </w:r>
    </w:p>
    <w:p w14:paraId="77F84341" w14:textId="77777777" w:rsidR="00554962" w:rsidRDefault="00554962" w:rsidP="00841FB9">
      <w:pPr>
        <w:pStyle w:val="NormalWeb"/>
      </w:pPr>
    </w:p>
    <w:p w14:paraId="3EDB32F1" w14:textId="1088390B" w:rsidR="000516E6" w:rsidRDefault="000516E6"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2</w:t>
      </w:r>
    </w:p>
    <w:p w14:paraId="2D565E84" w14:textId="77777777" w:rsidR="001B28A9" w:rsidRDefault="001B28A9" w:rsidP="001B28A9">
      <w:pPr>
        <w:pStyle w:val="NormalWeb"/>
        <w:rPr>
          <w:rFonts w:ascii="Arial Black" w:hAnsi="Arial Black"/>
          <w:sz w:val="28"/>
          <w:szCs w:val="28"/>
        </w:rPr>
      </w:pPr>
      <w:r>
        <w:rPr>
          <w:rFonts w:ascii="Arial Black" w:hAnsi="Arial Black"/>
          <w:sz w:val="28"/>
          <w:szCs w:val="28"/>
        </w:rPr>
        <w:t>CO: FF HAND INJURED - LIGHT DUTY / RETIRED - MUST FILE EEOC CHARGE IN 300 DAYS AFTER INFORMED FD RETIRING</w:t>
      </w:r>
    </w:p>
    <w:p w14:paraId="121C83CD" w14:textId="6574C3D2" w:rsidR="000516E6" w:rsidRDefault="001B28A9" w:rsidP="001B28A9">
      <w:pPr>
        <w:rPr>
          <w:rStyle w:val="Hyperlink"/>
          <w:rFonts w:ascii="Times New Roman" w:hAnsi="Times New Roman"/>
          <w:sz w:val="24"/>
          <w:szCs w:val="24"/>
        </w:rPr>
      </w:pPr>
      <w:r w:rsidRPr="001B28A9">
        <w:rPr>
          <w:rFonts w:ascii="Times New Roman" w:hAnsi="Times New Roman"/>
          <w:sz w:val="24"/>
          <w:szCs w:val="24"/>
        </w:rPr>
        <w:t xml:space="preserve">On Nov. 13, 2023, in </w:t>
      </w:r>
      <w:r w:rsidRPr="001B28A9">
        <w:rPr>
          <w:rFonts w:ascii="Times New Roman" w:hAnsi="Times New Roman"/>
          <w:sz w:val="24"/>
          <w:szCs w:val="24"/>
          <w:u w:val="single"/>
        </w:rPr>
        <w:t>David Perez v. City and County of Denver</w:t>
      </w:r>
      <w:r w:rsidRPr="001B28A9">
        <w:rPr>
          <w:rFonts w:ascii="Times New Roman" w:hAnsi="Times New Roman"/>
          <w:sz w:val="24"/>
          <w:szCs w:val="24"/>
        </w:rPr>
        <w:t xml:space="preserve">, the U.S. Court of Appeals for Tenth Circuit (Denver) held (3 to 0) that trial court properly dismissed the lawsuit for failure to timely file charge with EEOC.  </w:t>
      </w:r>
      <w:r w:rsidRPr="001B28A9">
        <w:rPr>
          <w:rFonts w:ascii="Times New Roman" w:hAnsi="Times New Roman"/>
          <w:sz w:val="24"/>
          <w:szCs w:val="24"/>
        </w:rPr>
        <w:lastRenderedPageBreak/>
        <w:t xml:space="preserve">The firefighter represented himself (pro se) instead of retaining an attorney. He also failed to timely file the lawsuit (90 days) when he </w:t>
      </w:r>
      <w:proofErr w:type="gramStart"/>
      <w:r w:rsidRPr="001B28A9">
        <w:rPr>
          <w:rFonts w:ascii="Times New Roman" w:hAnsi="Times New Roman"/>
          <w:sz w:val="24"/>
          <w:szCs w:val="24"/>
        </w:rPr>
        <w:t>received “</w:t>
      </w:r>
      <w:proofErr w:type="gramEnd"/>
      <w:r w:rsidRPr="001B28A9">
        <w:rPr>
          <w:rFonts w:ascii="Times New Roman" w:hAnsi="Times New Roman"/>
          <w:sz w:val="24"/>
          <w:szCs w:val="24"/>
        </w:rPr>
        <w:t xml:space="preserve">Right </w:t>
      </w:r>
      <w:proofErr w:type="gramStart"/>
      <w:r w:rsidRPr="001B28A9">
        <w:rPr>
          <w:rFonts w:ascii="Times New Roman" w:hAnsi="Times New Roman"/>
          <w:sz w:val="24"/>
          <w:szCs w:val="24"/>
        </w:rPr>
        <w:t>To</w:t>
      </w:r>
      <w:proofErr w:type="gramEnd"/>
      <w:r w:rsidRPr="001B28A9">
        <w:rPr>
          <w:rFonts w:ascii="Times New Roman" w:hAnsi="Times New Roman"/>
          <w:sz w:val="24"/>
          <w:szCs w:val="24"/>
        </w:rPr>
        <w:t xml:space="preserve"> Sue” letter from EEOC. </w:t>
      </w:r>
      <w:hyperlink r:id="rId1068" w:history="1">
        <w:r w:rsidRPr="001B28A9">
          <w:rPr>
            <w:rStyle w:val="Hyperlink"/>
            <w:rFonts w:ascii="Times New Roman" w:hAnsi="Times New Roman"/>
            <w:sz w:val="24"/>
            <w:szCs w:val="24"/>
          </w:rPr>
          <w:t>https://casetext.com/case/perez-v-city-of-denver-4</w:t>
        </w:r>
      </w:hyperlink>
    </w:p>
    <w:p w14:paraId="52201B1B" w14:textId="77777777" w:rsidR="0079037C" w:rsidRDefault="0079037C" w:rsidP="0079037C">
      <w:pPr>
        <w:pStyle w:val="NormalWeb"/>
        <w:rPr>
          <w:b/>
          <w:bCs/>
        </w:rPr>
      </w:pPr>
      <w:r w:rsidRPr="00863139">
        <w:rPr>
          <w:b/>
          <w:bCs/>
        </w:rPr>
        <w:t xml:space="preserve">Legal Lesson Learned: </w:t>
      </w:r>
      <w:r>
        <w:rPr>
          <w:b/>
          <w:bCs/>
        </w:rPr>
        <w:t xml:space="preserve">The time requirements for filing charge with </w:t>
      </w:r>
      <w:proofErr w:type="gramStart"/>
      <w:r>
        <w:rPr>
          <w:b/>
          <w:bCs/>
        </w:rPr>
        <w:t>EEOC, and</w:t>
      </w:r>
      <w:proofErr w:type="gramEnd"/>
      <w:r>
        <w:rPr>
          <w:b/>
          <w:bCs/>
        </w:rPr>
        <w:t xml:space="preserve"> then filing lawsuit after right-to-sue EEOC letter must be followed; even by those handling case pro se (no attorney).</w:t>
      </w:r>
    </w:p>
    <w:p w14:paraId="30CA0B4B" w14:textId="77777777" w:rsidR="0079037C" w:rsidRPr="001B28A9" w:rsidRDefault="0079037C" w:rsidP="001B28A9">
      <w:pPr>
        <w:rPr>
          <w:rFonts w:ascii="Times New Roman" w:hAnsi="Times New Roman"/>
          <w:b/>
          <w:sz w:val="24"/>
          <w:szCs w:val="24"/>
        </w:rPr>
      </w:pPr>
    </w:p>
    <w:p w14:paraId="3CF2A6BC" w14:textId="77777777" w:rsidR="000516E6" w:rsidRDefault="000516E6" w:rsidP="00EF1133">
      <w:pPr>
        <w:rPr>
          <w:rFonts w:ascii="Arial Black" w:hAnsi="Arial Black"/>
          <w:b/>
          <w:sz w:val="24"/>
          <w:szCs w:val="24"/>
        </w:rPr>
      </w:pPr>
    </w:p>
    <w:p w14:paraId="0BDF3C95" w14:textId="70D82113" w:rsidR="00A65FD8" w:rsidRDefault="00A65FD8"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1</w:t>
      </w:r>
    </w:p>
    <w:p w14:paraId="629D2590" w14:textId="77777777" w:rsidR="00A65FD8" w:rsidRPr="00EE3B90" w:rsidRDefault="00A65FD8" w:rsidP="00A65FD8">
      <w:pPr>
        <w:pStyle w:val="NormalWeb"/>
        <w:rPr>
          <w:rFonts w:ascii="Arial Black" w:hAnsi="Arial Black"/>
          <w:b/>
          <w:bCs/>
          <w:sz w:val="28"/>
          <w:szCs w:val="28"/>
        </w:rPr>
      </w:pPr>
      <w:r>
        <w:rPr>
          <w:rFonts w:ascii="Arial Black" w:hAnsi="Arial Black"/>
          <w:b/>
          <w:bCs/>
          <w:sz w:val="28"/>
          <w:szCs w:val="28"/>
        </w:rPr>
        <w:t xml:space="preserve">FL: FF DIED BRAIN CANCER – WIDOW ENTITLED TO $150,000 DEATH BENEFITS –PLUS THE PRIOR $25K </w:t>
      </w:r>
    </w:p>
    <w:p w14:paraId="41B6FC13" w14:textId="77777777" w:rsidR="00A65FD8" w:rsidRDefault="00A65FD8" w:rsidP="00A65FD8">
      <w:pPr>
        <w:pStyle w:val="NormalWeb"/>
      </w:pPr>
      <w:r>
        <w:t xml:space="preserve">On Oct. 25, 2023, in </w:t>
      </w:r>
      <w:r w:rsidRPr="00353608">
        <w:rPr>
          <w:u w:val="single"/>
        </w:rPr>
        <w:t>Christy Siena v. Orange County Fire Rescue / CCMSI</w:t>
      </w:r>
      <w:r>
        <w:t xml:space="preserve">, the Florida Court of Appeals, First District, held (3 to 0) that the Worker’s Comp. Judge of Compensation Claims is reversed, and widow is entitled to $150, 000. Under Florida statute, a </w:t>
      </w:r>
      <w:proofErr w:type="gramStart"/>
      <w:r>
        <w:t>firefighter</w:t>
      </w:r>
      <w:proofErr w:type="gramEnd"/>
      <w:r>
        <w:t xml:space="preserve"> when diagnosed with </w:t>
      </w:r>
      <w:proofErr w:type="gramStart"/>
      <w:r>
        <w:t>cancer</w:t>
      </w:r>
      <w:proofErr w:type="gramEnd"/>
      <w:r>
        <w:t xml:space="preserve"> is entitled to a one-time cash payout of $25,000.  Eric Siena received that amount when he was diagnosed with glioblastoma in January 2020; he died in May of 2021. The Court held: “In this appeal we consider whether receipt of medical, indemnity, and death benefits through section 112.1816, Florida Statutes, bars receipt of death benefits under section 440.16, Florida Statutes. We conclude that it does not and set aside the order below.” </w:t>
      </w:r>
      <w:hyperlink r:id="rId1069" w:history="1">
        <w:r w:rsidRPr="00956CFD">
          <w:rPr>
            <w:rStyle w:val="Hyperlink"/>
            <w:rFonts w:eastAsiaTheme="majorEastAsia"/>
          </w:rPr>
          <w:t>https://caselaw.findlaw.com/court/fl-district-court-of-appeal/115346402.html</w:t>
        </w:r>
      </w:hyperlink>
      <w:r>
        <w:t xml:space="preserve"> </w:t>
      </w:r>
    </w:p>
    <w:p w14:paraId="0C2780B5" w14:textId="77777777" w:rsidR="00A65FD8" w:rsidRDefault="00A65FD8" w:rsidP="00A65FD8">
      <w:pPr>
        <w:pStyle w:val="defaultstyledtext-tl066j-0"/>
        <w:rPr>
          <w:b/>
          <w:bCs/>
        </w:rPr>
      </w:pPr>
      <w:r w:rsidRPr="00C71B53">
        <w:rPr>
          <w:b/>
          <w:bCs/>
        </w:rPr>
        <w:t xml:space="preserve">Legal Lesson Learned: </w:t>
      </w:r>
      <w:r>
        <w:rPr>
          <w:b/>
          <w:bCs/>
        </w:rPr>
        <w:t>The Court has properly examined the legislative intent when interpreting the statutes.</w:t>
      </w:r>
    </w:p>
    <w:p w14:paraId="62814FA2" w14:textId="77777777" w:rsidR="00A65FD8" w:rsidRDefault="00A65FD8" w:rsidP="00A65FD8">
      <w:pPr>
        <w:pStyle w:val="NormalWeb"/>
        <w:ind w:left="720"/>
      </w:pPr>
      <w:r w:rsidRPr="009C192C">
        <w:t>Note:</w:t>
      </w:r>
      <w:r>
        <w:rPr>
          <w:b/>
          <w:bCs/>
        </w:rPr>
        <w:t xml:space="preserve"> </w:t>
      </w:r>
      <w:r>
        <w:t xml:space="preserve">See Oct. 25, </w:t>
      </w:r>
      <w:proofErr w:type="gramStart"/>
      <w:r>
        <w:t>2023</w:t>
      </w:r>
      <w:proofErr w:type="gramEnd"/>
      <w:r>
        <w:t xml:space="preserve"> article, “</w:t>
      </w:r>
      <w:r w:rsidRPr="00C71B53">
        <w:t xml:space="preserve">Appeals court ruling paves way for Orange County firefighter’s widow to seek workers’ comp payout.” </w:t>
      </w:r>
      <w:hyperlink r:id="rId1070" w:history="1">
        <w:r w:rsidRPr="00956CFD">
          <w:rPr>
            <w:rStyle w:val="Hyperlink"/>
            <w:rFonts w:eastAsiaTheme="majorEastAsia"/>
          </w:rPr>
          <w:t>https://www.wftv.com/news/local/appeals-court-ruling-paves-way-orange-county-firefighters-widow-seek-workers-comp-payout/QFOHSP22XNHLXLGDFDZYKLTKMM/</w:t>
        </w:r>
      </w:hyperlink>
      <w:r>
        <w:t xml:space="preserve"> </w:t>
      </w:r>
    </w:p>
    <w:p w14:paraId="15D8D651" w14:textId="77777777" w:rsidR="00A65FD8" w:rsidRDefault="00A65FD8" w:rsidP="00A65FD8">
      <w:pPr>
        <w:pStyle w:val="NormalWeb"/>
        <w:ind w:left="720"/>
      </w:pPr>
      <w:r>
        <w:t>ORANGE COUNTY, Fla. — A First District Court of Appeals judge has ruled in favor of an Orange County firefighter’s widow, who was fighting for payment promised to her under state law after her husband died of work-related cancer.</w:t>
      </w:r>
    </w:p>
    <w:p w14:paraId="3AA29A72" w14:textId="77777777" w:rsidR="00A65FD8" w:rsidRDefault="00A65FD8" w:rsidP="00A65FD8">
      <w:pPr>
        <w:pStyle w:val="defaultstyledtext-tl066j-0"/>
        <w:ind w:left="720"/>
      </w:pPr>
      <w:r>
        <w:t>The ruling clears the way for her to petition for $150,000 in workers’ compensation benefits related to her husband’s death; something Orange County had questioned whether she was entitled to seek because her husband had accepted a one-time $25,000 payout when he was first diagnosed with work-related brain cancer.</w:t>
      </w:r>
    </w:p>
    <w:p w14:paraId="0B0BEA06" w14:textId="77777777" w:rsidR="00A65FD8" w:rsidRDefault="00A65FD8" w:rsidP="00A65FD8">
      <w:pPr>
        <w:pStyle w:val="defaultstyledtext-tl066j-0"/>
        <w:ind w:left="720"/>
      </w:pPr>
      <w:r>
        <w:t>Eric Siena was on the top of his game as an Orange County firefighter before being diagnosed with glioblastoma in January 2020. The devastating brain cancer would take his life in May of 2021.</w:t>
      </w:r>
    </w:p>
    <w:p w14:paraId="631D9D27" w14:textId="77777777" w:rsidR="00A65FD8" w:rsidRDefault="00A65FD8" w:rsidP="00A65FD8">
      <w:pPr>
        <w:pStyle w:val="defaultstyledtext-tl066j-0"/>
        <w:ind w:left="720"/>
      </w:pPr>
      <w:r>
        <w:t>His wife Christy, who was also a first responder, was left alone to fight the system instead of fires.</w:t>
      </w:r>
    </w:p>
    <w:p w14:paraId="0222CB1F" w14:textId="77777777" w:rsidR="00A65FD8" w:rsidRDefault="00A65FD8" w:rsidP="00A65FD8">
      <w:pPr>
        <w:pStyle w:val="defaultstyledtext-tl066j-0"/>
        <w:ind w:left="720"/>
      </w:pPr>
      <w:r>
        <w:t xml:space="preserve">‘There’s not another decision in the state that has dealt with this issue so far,’ attorney Geoff Bichler said during a previous interview with 9 Investigates. Bichler has been fighting with Siena for the </w:t>
      </w:r>
      <w:r>
        <w:lastRenderedPageBreak/>
        <w:t>$150,000 payment, arguing that because each portion of the payout is covered by separate portions of the statute, receiving one does not prevent descendants from applying for the other.</w:t>
      </w:r>
    </w:p>
    <w:p w14:paraId="0BD71199" w14:textId="77777777" w:rsidR="00A65FD8" w:rsidRDefault="00A65FD8" w:rsidP="00A65FD8">
      <w:pPr>
        <w:pStyle w:val="defaultstyledtext-tl066j-0"/>
        <w:ind w:left="720"/>
      </w:pPr>
      <w:r>
        <w:t xml:space="preserve">‘Most employers are operating from the assumption that if they pay this benefit, they’re off the hook for worker’s compensation, and we do not agree with that,’ Bichler </w:t>
      </w:r>
      <w:proofErr w:type="gramStart"/>
      <w:r>
        <w:t>said.”</w:t>
      </w:r>
      <w:proofErr w:type="gramEnd"/>
    </w:p>
    <w:p w14:paraId="71FF1A34" w14:textId="77777777" w:rsidR="00A65FD8" w:rsidRDefault="00A65FD8" w:rsidP="00EF1133">
      <w:pPr>
        <w:rPr>
          <w:rFonts w:ascii="Arial Black" w:hAnsi="Arial Black"/>
          <w:b/>
          <w:sz w:val="24"/>
          <w:szCs w:val="24"/>
        </w:rPr>
      </w:pPr>
    </w:p>
    <w:p w14:paraId="67D2BEEB" w14:textId="7DD21865" w:rsidR="00A65FD8" w:rsidRDefault="00A65FD8"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0</w:t>
      </w:r>
    </w:p>
    <w:p w14:paraId="1570C17B" w14:textId="77777777" w:rsidR="00A65FD8" w:rsidRDefault="00A65FD8" w:rsidP="00A65FD8">
      <w:pPr>
        <w:pStyle w:val="NormalWeb"/>
        <w:rPr>
          <w:rFonts w:ascii="Arial Black" w:hAnsi="Arial Black"/>
          <w:b/>
          <w:bCs/>
          <w:sz w:val="28"/>
          <w:szCs w:val="28"/>
        </w:rPr>
      </w:pPr>
      <w:r>
        <w:rPr>
          <w:rFonts w:ascii="Arial Black" w:hAnsi="Arial Black"/>
          <w:b/>
          <w:bCs/>
          <w:sz w:val="28"/>
          <w:szCs w:val="28"/>
        </w:rPr>
        <w:t>OH: CINCINNATI FF – THYROID CANCER – OHIO STATUTORY PRESUMPTION – FF FINALLY WINS WORKERS COMP.</w:t>
      </w:r>
    </w:p>
    <w:p w14:paraId="21BB4C59" w14:textId="77777777" w:rsidR="00A65FD8" w:rsidRDefault="00A65FD8" w:rsidP="00A65FD8">
      <w:pPr>
        <w:pStyle w:val="NormalWeb"/>
      </w:pPr>
      <w:r>
        <w:t xml:space="preserve">On </w:t>
      </w:r>
      <w:proofErr w:type="gramStart"/>
      <w:r>
        <w:t>Oct,</w:t>
      </w:r>
      <w:proofErr w:type="gramEnd"/>
      <w:r>
        <w:t xml:space="preserve"> 5, 2023, in </w:t>
      </w:r>
      <w:r>
        <w:rPr>
          <w:u w:val="single"/>
        </w:rPr>
        <w:t>State ex rel. City of Cincinnati v. Industrial Commission of Ohio  (Joseph C. Conley)</w:t>
      </w:r>
      <w:r>
        <w:t xml:space="preserve">, the Ohio Court of Appeals, Tenth District, refused the City’s petition for a writ of mandamus, and upheld the Industrial Commission’s award of workers comp for the firefighter. The Court held: “Although Dr. [Rafid] </w:t>
      </w:r>
      <w:proofErr w:type="spellStart"/>
      <w:r>
        <w:t>Kakel</w:t>
      </w:r>
      <w:proofErr w:type="spellEnd"/>
      <w:r>
        <w:t xml:space="preserve">, M.D. </w:t>
      </w:r>
      <w:proofErr w:type="spellStart"/>
      <w:r>
        <w:t>Kakel</w:t>
      </w:r>
      <w:proofErr w:type="spellEnd"/>
      <w:r>
        <w:t xml:space="preserve"> opined that Conley's exposure to the carcinogens may not have been the cause of Conley's thyroid cancer, Dr. </w:t>
      </w:r>
      <w:proofErr w:type="spellStart"/>
      <w:r>
        <w:t>Kakel's</w:t>
      </w:r>
      <w:proofErr w:type="spellEnd"/>
      <w:r>
        <w:t xml:space="preserve"> report did not show by a preponderance of competent scientific evidence that Conley's exposure to the carcinogens </w:t>
      </w:r>
      <w:r>
        <w:rPr>
          <w:rStyle w:val="Emphasis"/>
        </w:rPr>
        <w:t>did not or could not have</w:t>
      </w:r>
      <w:r>
        <w:t xml:space="preserve"> caused Conley's thyroid cancer. Thus, because Cincinnati put forth insufficient evidence to rebut the statutory presumption in R.C. 4123.68(X), the SHO's [Staff Hearing Officer] order contained a clear mistake of law.” </w:t>
      </w:r>
      <w:hyperlink r:id="rId1071" w:history="1">
        <w:r>
          <w:rPr>
            <w:rStyle w:val="Hyperlink"/>
          </w:rPr>
          <w:t>https://casetext.com/case/state-ex-rel-city-of-cincinnati-v-indus-commn-of-ohio</w:t>
        </w:r>
      </w:hyperlink>
      <w:r>
        <w:t xml:space="preserve"> </w:t>
      </w:r>
    </w:p>
    <w:p w14:paraId="6A39C5A4" w14:textId="77777777" w:rsidR="00A65FD8" w:rsidRDefault="00A65FD8" w:rsidP="00A65FD8">
      <w:pPr>
        <w:pStyle w:val="NormalWeb"/>
        <w:rPr>
          <w:b/>
          <w:bCs/>
        </w:rPr>
      </w:pPr>
      <w:r>
        <w:rPr>
          <w:b/>
          <w:bCs/>
        </w:rPr>
        <w:t xml:space="preserve">Legal Lesson Learned:  It was a three-year fight, with numerous appeals, but the firefighter was victorious under the Ohio statutory presumption statute. </w:t>
      </w:r>
    </w:p>
    <w:p w14:paraId="520402E3" w14:textId="77777777" w:rsidR="00A65FD8" w:rsidRDefault="00A65FD8" w:rsidP="00EF1133">
      <w:pPr>
        <w:rPr>
          <w:rFonts w:ascii="Arial Black" w:hAnsi="Arial Black"/>
          <w:b/>
          <w:sz w:val="24"/>
          <w:szCs w:val="24"/>
        </w:rPr>
      </w:pPr>
    </w:p>
    <w:p w14:paraId="4136FF35" w14:textId="50D8AC96" w:rsidR="00A65FD8" w:rsidRDefault="00A65FD8" w:rsidP="00EF1133">
      <w:pPr>
        <w:rPr>
          <w:rFonts w:ascii="Arial Black" w:hAnsi="Arial Black"/>
          <w:b/>
          <w:sz w:val="24"/>
          <w:szCs w:val="24"/>
        </w:rPr>
      </w:pPr>
      <w:r>
        <w:rPr>
          <w:rFonts w:ascii="Arial Black" w:hAnsi="Arial Black"/>
          <w:b/>
          <w:sz w:val="24"/>
          <w:szCs w:val="24"/>
        </w:rPr>
        <w:t>6-1</w:t>
      </w:r>
      <w:r w:rsidR="002A0697">
        <w:rPr>
          <w:rFonts w:ascii="Arial Black" w:hAnsi="Arial Black"/>
          <w:b/>
          <w:sz w:val="24"/>
          <w:szCs w:val="24"/>
        </w:rPr>
        <w:t>19</w:t>
      </w:r>
    </w:p>
    <w:p w14:paraId="4FEAD6CC" w14:textId="77777777" w:rsidR="00832745" w:rsidRPr="00BF3F98" w:rsidRDefault="00832745" w:rsidP="00832745">
      <w:pPr>
        <w:pStyle w:val="NormalWeb"/>
        <w:rPr>
          <w:rFonts w:ascii="Arial Black" w:hAnsi="Arial Black"/>
          <w:b/>
          <w:bCs/>
          <w:sz w:val="28"/>
          <w:szCs w:val="28"/>
        </w:rPr>
      </w:pPr>
      <w:r w:rsidRPr="00BF3F98">
        <w:rPr>
          <w:rFonts w:ascii="Arial Black" w:hAnsi="Arial Black"/>
          <w:b/>
          <w:bCs/>
          <w:sz w:val="28"/>
          <w:szCs w:val="28"/>
        </w:rPr>
        <w:t>PA: VOL. FF WITH CHRONIC LYMPHOCTIC LEUKEMIA [CLE] – DENIED WORK COMP - NO MEDICAL STUDIES LINKED JOB</w:t>
      </w:r>
    </w:p>
    <w:p w14:paraId="1253D223" w14:textId="7F3F2034" w:rsidR="00A65FD8" w:rsidRDefault="00832745" w:rsidP="00832745">
      <w:pPr>
        <w:rPr>
          <w:rFonts w:ascii="Arial Black" w:hAnsi="Arial Black"/>
          <w:b/>
          <w:sz w:val="24"/>
          <w:szCs w:val="24"/>
        </w:rPr>
      </w:pPr>
      <w:r w:rsidRPr="00BF3F98">
        <w:rPr>
          <w:rFonts w:ascii="Times New Roman" w:hAnsi="Times New Roman"/>
          <w:sz w:val="24"/>
          <w:szCs w:val="24"/>
        </w:rPr>
        <w:t xml:space="preserve">On April 14, 2023, </w:t>
      </w:r>
      <w:r w:rsidRPr="00BF3F98">
        <w:rPr>
          <w:rFonts w:ascii="Times New Roman" w:hAnsi="Times New Roman"/>
          <w:sz w:val="24"/>
          <w:szCs w:val="24"/>
          <w:u w:val="single"/>
        </w:rPr>
        <w:t>in Nicholas Caruccio v. Shrewsbury Borough (Workers’ Compensation Appeal Board)</w:t>
      </w:r>
      <w:r w:rsidRPr="00BF3F98">
        <w:rPr>
          <w:rFonts w:ascii="Times New Roman" w:hAnsi="Times New Roman"/>
          <w:sz w:val="24"/>
          <w:szCs w:val="24"/>
        </w:rPr>
        <w:t xml:space="preserve">, the Commonwealth Court of Pennsylvania held (3 to 0; unpublished opinion) that even though PA has a firefighter statutory presumption law, the Workers Comp administrative law judge properly concluded there is no medical evidence that CLE was caused by his exposure to carcinogens.  The Court held: “Based on our review of the evidence, and the WCJ’s findings and credibility determinations, Claimant was unable to establish Section 108(r) general causation. In other words, based on the credited evidence, Claimant failed to demonstrate that his exposure to several IARC Group 1 carcinogens possibly caused his CLL.  In this case, Claimant’s expert, Dr. Guidotti, conceded that there is no specific epidemiological evidence demonstrating a link between CLL and exposure to benzene, TCE, or dioxins. Report of Dr. Guidotti at 5-6. *** In response, Dr. Sandler [employer’s expert] noted his agreement with Dr. Guidotti that ‘there is no scientific/medical literature, comprehensive assessments and meta-analyses to show a causal relationship between possible firefighter </w:t>
      </w:r>
      <w:proofErr w:type="gramStart"/>
      <w:r w:rsidRPr="00BF3F98">
        <w:rPr>
          <w:rFonts w:ascii="Times New Roman" w:hAnsi="Times New Roman"/>
          <w:sz w:val="24"/>
          <w:szCs w:val="24"/>
        </w:rPr>
        <w:t>exposures</w:t>
      </w:r>
      <w:proofErr w:type="gramEnd"/>
      <w:r w:rsidRPr="00BF3F98">
        <w:rPr>
          <w:rFonts w:ascii="Times New Roman" w:hAnsi="Times New Roman"/>
          <w:sz w:val="24"/>
          <w:szCs w:val="24"/>
        </w:rPr>
        <w:t xml:space="preserve"> especially those potentially received as a volunteer firefighter and the development of CLL/SCL.’ Report of Dr. Sandler at 7 (double emphasis in original). *** As in Malone, the WCJ considered the evidence and made a reasoned decision to credit one expert opinion over another. Cf. Malone. In this case, the WCJ found Dr. Sandler’s </w:t>
      </w:r>
      <w:r w:rsidRPr="00BF3F98">
        <w:rPr>
          <w:rFonts w:ascii="Times New Roman" w:hAnsi="Times New Roman"/>
          <w:sz w:val="24"/>
          <w:szCs w:val="24"/>
        </w:rPr>
        <w:lastRenderedPageBreak/>
        <w:t>opinion credible and rejected the opinion of Dr. Guidotti. This decision was neither arbitrary nor capricious and is supported by substantial evidence of record. See Morocho, 167 A.3d at 858 n.4; Kriebel, 29 A.3d at 769. We therefore decline to overturn the WCJ’s findings on appeal.”</w:t>
      </w:r>
      <w:hyperlink r:id="rId1072" w:history="1">
        <w:r w:rsidRPr="00BF3F98">
          <w:rPr>
            <w:rStyle w:val="Hyperlink"/>
            <w:rFonts w:ascii="Times New Roman" w:eastAsiaTheme="majorEastAsia" w:hAnsi="Times New Roman"/>
            <w:sz w:val="24"/>
            <w:szCs w:val="24"/>
          </w:rPr>
          <w:t>https://www.pacourts.us/assets/opinions/Commonwealth/out/726CD22_10-3-23.pdf?cb=1</w:t>
        </w:r>
      </w:hyperlink>
    </w:p>
    <w:p w14:paraId="44D4881D" w14:textId="77777777" w:rsidR="00832745" w:rsidRPr="000755D1" w:rsidRDefault="00832745" w:rsidP="00832745">
      <w:pPr>
        <w:pStyle w:val="NormalWeb"/>
        <w:rPr>
          <w:b/>
          <w:bCs/>
        </w:rPr>
      </w:pPr>
      <w:r w:rsidRPr="000755D1">
        <w:rPr>
          <w:b/>
          <w:bCs/>
        </w:rPr>
        <w:t xml:space="preserve">Legal Lesson Learned: </w:t>
      </w:r>
      <w:r>
        <w:rPr>
          <w:b/>
          <w:bCs/>
        </w:rPr>
        <w:t xml:space="preserve">Firefighters with cancer still must provide credible evidence that Group 1 carcinogens can cause their cancer. </w:t>
      </w:r>
    </w:p>
    <w:p w14:paraId="0CAA0922" w14:textId="77777777" w:rsidR="00A65FD8" w:rsidRDefault="00A65FD8" w:rsidP="00EF1133">
      <w:pPr>
        <w:rPr>
          <w:rFonts w:ascii="Arial Black" w:hAnsi="Arial Black"/>
          <w:b/>
          <w:sz w:val="24"/>
          <w:szCs w:val="24"/>
        </w:rPr>
      </w:pPr>
    </w:p>
    <w:p w14:paraId="47BD11BD" w14:textId="77777777" w:rsidR="00A65FD8" w:rsidRDefault="00A65FD8" w:rsidP="00EF1133">
      <w:pPr>
        <w:rPr>
          <w:rFonts w:ascii="Arial Black" w:hAnsi="Arial Black"/>
          <w:b/>
          <w:sz w:val="24"/>
          <w:szCs w:val="24"/>
        </w:rPr>
      </w:pPr>
    </w:p>
    <w:p w14:paraId="327490B6" w14:textId="757CF6A1" w:rsidR="00411936" w:rsidRDefault="00411936"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8</w:t>
      </w:r>
    </w:p>
    <w:p w14:paraId="6D93090B" w14:textId="77777777" w:rsidR="00411936" w:rsidRPr="009850B1" w:rsidRDefault="00411936" w:rsidP="00411936">
      <w:pPr>
        <w:pStyle w:val="NormalWeb"/>
        <w:rPr>
          <w:rFonts w:ascii="Arial Black" w:hAnsi="Arial Black"/>
          <w:sz w:val="28"/>
          <w:szCs w:val="28"/>
        </w:rPr>
      </w:pPr>
      <w:r>
        <w:rPr>
          <w:rFonts w:ascii="Arial Black" w:hAnsi="Arial Black"/>
          <w:sz w:val="28"/>
          <w:szCs w:val="28"/>
        </w:rPr>
        <w:t>AR: FF BRAIN CANCER 2020 – NEW STATE LAW IN 2021  STATUTORY PRESUMPTION – COVERED UNDER NEW LAW</w:t>
      </w:r>
    </w:p>
    <w:p w14:paraId="3CCECDFA" w14:textId="77777777" w:rsidR="00411936" w:rsidRDefault="00411936" w:rsidP="00411936">
      <w:pPr>
        <w:pStyle w:val="NormalWeb"/>
      </w:pPr>
      <w:r>
        <w:t>On July 11, 2023</w:t>
      </w:r>
      <w:proofErr w:type="gramStart"/>
      <w:r>
        <w:t>, in</w:t>
      </w:r>
      <w:proofErr w:type="gramEnd"/>
      <w:r>
        <w:t xml:space="preserve"> </w:t>
      </w:r>
      <w:r w:rsidRPr="001E5789">
        <w:rPr>
          <w:u w:val="single"/>
        </w:rPr>
        <w:t>Robert Vande Krol v. The Industrial Commission of Arizona, et al</w:t>
      </w:r>
      <w:r>
        <w:t xml:space="preserve">., the Court of Appeals of Arizona, First Division, held (3 to 0) that the Industrial Commission’s Administrative Law Judge incorrectly applied 2017 statute where there was no statutory presumption. The firefighter (18 years on the job; age 50 when cancer was detected); when the ALJ held the 3-day hearing the new 2021 statutory presumption statute was in effect.  The Court held this was a “procedural” change in law, and ALJ should have followed it.  The FF is entitled to workers comp coverage unless the insurance company for the FD has clear and convincing evidence that cancer was not caused by the job. </w:t>
      </w:r>
    </w:p>
    <w:p w14:paraId="64C0C7B6" w14:textId="77777777" w:rsidR="00411936" w:rsidRDefault="00411936" w:rsidP="00411936">
      <w:pPr>
        <w:pStyle w:val="NormalWeb"/>
      </w:pPr>
      <w:r>
        <w:t>The Court held:</w:t>
      </w:r>
    </w:p>
    <w:p w14:paraId="52BA6D6E" w14:textId="77777777" w:rsidR="00411936" w:rsidRDefault="00411936" w:rsidP="00411936">
      <w:pPr>
        <w:pStyle w:val="NormalWeb"/>
      </w:pPr>
      <w:r>
        <w:t xml:space="preserve">“The 2021 statute contains a </w:t>
      </w:r>
      <w:r>
        <w:rPr>
          <w:rStyle w:val="Emphasis"/>
        </w:rPr>
        <w:t>procedural</w:t>
      </w:r>
      <w:r>
        <w:t xml:space="preserve"> presumption-the presumption is rebuttable and disappears with clear and convincing evidence of ‘a specific cause of the cancer other than an occupational exposure to a carcinogen.’ A.R.S. § 23-901.09(E). *** Arizona's workers' compensation system provides covered firefighters with benefits for workplace injuries. Yet not all firefighting injuries are alike. Physical injuries stemming from perceptible dangers (like burns or smoke inhalation from rushing into a burning building) are easily provable. Occupational diseases stemming from imperceptible dangers (like cancer from inhaling carcinogens or other noxious chemicals) are more difficult (if not impossible) to prove, particularly as to causation. *** We conclude the 2021 statute applies to Vande Krol's workers' compensation claim, and we, therefore, need not address whether the ALJ correctly interpreted the 2017 statute. Because </w:t>
      </w:r>
      <w:proofErr w:type="gramStart"/>
      <w:r>
        <w:t>the ALJ</w:t>
      </w:r>
      <w:proofErr w:type="gramEnd"/>
      <w:r>
        <w:t xml:space="preserve"> did not apply the 2021 statute, we set aside the award of non-compensation. The parties and the ALJ all correctly agreed Vande Krol satisfied the elements necessary to invoke the presumption in the 2021 statute. We </w:t>
      </w:r>
      <w:proofErr w:type="gramStart"/>
      <w:r>
        <w:t>remand to allow the</w:t>
      </w:r>
      <w:proofErr w:type="gramEnd"/>
      <w:r>
        <w:t xml:space="preserve"> ALJ </w:t>
      </w:r>
      <w:proofErr w:type="gramStart"/>
      <w:r>
        <w:t>to determine</w:t>
      </w:r>
      <w:proofErr w:type="gramEnd"/>
      <w:r>
        <w:t xml:space="preserve"> in the first instance whether Benchmark [Insurance Company] presented clear and convincing evidence to rebut the presumption. *** Distilled down, we apply a rather straightforward framework: applying a new procedural statute to a future procedure is not applying the statute retroactively and is generally permissible.”  </w:t>
      </w:r>
      <w:hyperlink r:id="rId1073" w:history="1">
        <w:r w:rsidRPr="007B2850">
          <w:rPr>
            <w:rStyle w:val="Hyperlink"/>
            <w:rFonts w:eastAsiaTheme="majorEastAsia"/>
          </w:rPr>
          <w:t>https://public.fastcase.com/ZZhmr5v9wN%2FXOe5IsQ%2FqD%2FaLdDTUZ9Bp4i3kiVRF7d97YDP9rIPdBi21RNkcNkR5tUpl7J0i2aSQMqXbficIjpy79lKVHToNjy22tiJ4vWE%3D?utm_medium=email&amp;_hsmi=226712652&amp;_hsenc=p2ANqtz-9MD5NcRenWzxZK3r0B0IWrLCE0j3XNAkXqR3ZxFb7wcv_xjopQQNgTmJWg80Fq-GGoAscEcs0qRLFtSd9eSgTH9vCqyg&amp;utm_content=226712652&amp;utm_source=hs_email</w:t>
        </w:r>
      </w:hyperlink>
      <w:r>
        <w:t xml:space="preserve"> </w:t>
      </w:r>
    </w:p>
    <w:p w14:paraId="78DE78FC" w14:textId="77777777" w:rsidR="00411936" w:rsidRDefault="00411936" w:rsidP="00411936">
      <w:pPr>
        <w:pStyle w:val="NormalWeb"/>
        <w:rPr>
          <w:b/>
          <w:bCs/>
        </w:rPr>
      </w:pPr>
      <w:r w:rsidRPr="00321A87">
        <w:rPr>
          <w:b/>
          <w:bCs/>
        </w:rPr>
        <w:t xml:space="preserve">Legal Lesson Learned: </w:t>
      </w:r>
      <w:r>
        <w:rPr>
          <w:b/>
          <w:bCs/>
        </w:rPr>
        <w:t xml:space="preserve">Great decision; firefighter is protected by the new “procedural” statutory presumption law. </w:t>
      </w:r>
    </w:p>
    <w:p w14:paraId="1FB392FF" w14:textId="77777777" w:rsidR="00411936" w:rsidRDefault="00411936" w:rsidP="00EF1133">
      <w:pPr>
        <w:rPr>
          <w:rFonts w:ascii="Arial Black" w:hAnsi="Arial Black"/>
          <w:b/>
          <w:sz w:val="24"/>
          <w:szCs w:val="24"/>
        </w:rPr>
      </w:pPr>
    </w:p>
    <w:p w14:paraId="09C954F4" w14:textId="77777777" w:rsidR="00411936" w:rsidRDefault="00411936" w:rsidP="00EF1133">
      <w:pPr>
        <w:rPr>
          <w:rFonts w:ascii="Arial Black" w:hAnsi="Arial Black"/>
          <w:b/>
          <w:sz w:val="24"/>
          <w:szCs w:val="24"/>
        </w:rPr>
      </w:pPr>
    </w:p>
    <w:p w14:paraId="177B68CD" w14:textId="0D2217C8" w:rsidR="00FE60DA"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7</w:t>
      </w:r>
    </w:p>
    <w:p w14:paraId="27FBE35E" w14:textId="77777777" w:rsidR="00BC4628" w:rsidRDefault="00BC4628" w:rsidP="00BC4628">
      <w:pPr>
        <w:spacing w:before="100" w:beforeAutospacing="1" w:after="100" w:afterAutospacing="1" w:line="240" w:lineRule="auto"/>
        <w:rPr>
          <w:rFonts w:ascii="Arial Black" w:hAnsi="Arial Black"/>
          <w:sz w:val="28"/>
          <w:szCs w:val="28"/>
        </w:rPr>
      </w:pPr>
      <w:r>
        <w:rPr>
          <w:rFonts w:ascii="Arial Black" w:hAnsi="Arial Black"/>
          <w:sz w:val="28"/>
          <w:szCs w:val="28"/>
        </w:rPr>
        <w:t>PA: KIDNEY CANCER AFTER HE RETIRED - 37 YRS CITY FF - NOW TWP FIRE MARSHAL – CITY’S WORK. COMP. LIABLE</w:t>
      </w:r>
    </w:p>
    <w:p w14:paraId="054E5A67" w14:textId="77777777" w:rsidR="00BC4628" w:rsidRDefault="00BC4628" w:rsidP="00BC4628">
      <w:pPr>
        <w:pStyle w:val="NormalWeb"/>
      </w:pPr>
      <w:r>
        <w:t xml:space="preserve">On July 6, 2023, in </w:t>
      </w:r>
      <w:r w:rsidRPr="009B0261">
        <w:rPr>
          <w:u w:val="single"/>
        </w:rPr>
        <w:t>City of Chester v. John Gresch and Nether Providence Township (Workers’ Compensation Appeal Board)</w:t>
      </w:r>
      <w:r>
        <w:t xml:space="preserve">, the Commonwealth Court of Pennsylvania, held (3 to 0; unpublished decision) that the Worker’s Compensation Board properly held that the City, not the Township, must </w:t>
      </w:r>
      <w:proofErr w:type="gramStart"/>
      <w:r>
        <w:t>covered</w:t>
      </w:r>
      <w:proofErr w:type="gramEnd"/>
      <w:r>
        <w:t xml:space="preserve"> his disability claim. </w:t>
      </w:r>
    </w:p>
    <w:p w14:paraId="29EEDF4F" w14:textId="77777777" w:rsidR="00BC4628" w:rsidRPr="009B0261" w:rsidRDefault="00BC4628" w:rsidP="00BC4628">
      <w:pPr>
        <w:pStyle w:val="NormalWeb"/>
      </w:pPr>
      <w:r w:rsidRPr="009B0261">
        <w:t xml:space="preserve">The Court held: </w:t>
      </w:r>
      <w:r>
        <w:t>“</w:t>
      </w:r>
      <w:r w:rsidRPr="009B0261">
        <w:t xml:space="preserve">Although Claimant worked for the Township more recently, for two years immediately preceding his diagnosis, Claimant credibly testified that he responded to six or seven fires in total while employed by the Township. In contrast, Claimant responded to 12 fires per month while employed by the </w:t>
      </w:r>
      <w:proofErr w:type="gramStart"/>
      <w:r w:rsidRPr="009B0261">
        <w:t>City</w:t>
      </w:r>
      <w:proofErr w:type="gramEnd"/>
      <w:r w:rsidRPr="009B0261">
        <w:t xml:space="preserve">. It is therefore obvious that Claimant's actual exposure to the relevant group 1 carcinogens was far greater while employed by the </w:t>
      </w:r>
      <w:proofErr w:type="gramStart"/>
      <w:r w:rsidRPr="009B0261">
        <w:t>City</w:t>
      </w:r>
      <w:proofErr w:type="gramEnd"/>
      <w:r w:rsidRPr="009B0261">
        <w:t xml:space="preserve"> than the Township. Thus, the </w:t>
      </w:r>
      <w:proofErr w:type="gramStart"/>
      <w:r w:rsidRPr="009B0261">
        <w:t>City</w:t>
      </w:r>
      <w:proofErr w:type="gramEnd"/>
      <w:r w:rsidRPr="009B0261">
        <w:t xml:space="preserve"> is liable for the payment of Claimant's workers' compensation </w:t>
      </w:r>
      <w:proofErr w:type="gramStart"/>
      <w:r w:rsidRPr="009B0261">
        <w:t>benefits.</w:t>
      </w:r>
      <w:r>
        <w:t>”</w:t>
      </w:r>
      <w:proofErr w:type="gramEnd"/>
      <w:r>
        <w:t xml:space="preserve"> </w:t>
      </w:r>
      <w:hyperlink r:id="rId1074" w:history="1">
        <w:r w:rsidRPr="00812663">
          <w:rPr>
            <w:rStyle w:val="Hyperlink"/>
          </w:rPr>
          <w:t>https://law.justia.com/cases/pennsylvania/commonwealth-court/2023/1040-c-d-2021.html</w:t>
        </w:r>
      </w:hyperlink>
      <w:r>
        <w:t xml:space="preserve"> </w:t>
      </w:r>
    </w:p>
    <w:p w14:paraId="08711EE1" w14:textId="77777777" w:rsidR="00BC4628" w:rsidRDefault="00BC4628" w:rsidP="00BC4628">
      <w:pPr>
        <w:spacing w:before="100" w:beforeAutospacing="1" w:after="100" w:afterAutospacing="1" w:line="240" w:lineRule="auto"/>
        <w:rPr>
          <w:rFonts w:ascii="Times New Roman" w:hAnsi="Times New Roman"/>
          <w:b/>
          <w:bCs/>
          <w:sz w:val="24"/>
          <w:szCs w:val="24"/>
        </w:rPr>
      </w:pPr>
      <w:r w:rsidRPr="009B0261">
        <w:rPr>
          <w:rFonts w:ascii="Times New Roman" w:hAnsi="Times New Roman"/>
          <w:b/>
          <w:bCs/>
          <w:sz w:val="24"/>
          <w:szCs w:val="24"/>
        </w:rPr>
        <w:t xml:space="preserve">Legal Lesson Learned: </w:t>
      </w:r>
      <w:r>
        <w:rPr>
          <w:rFonts w:ascii="Times New Roman" w:hAnsi="Times New Roman"/>
          <w:b/>
          <w:bCs/>
          <w:sz w:val="24"/>
          <w:szCs w:val="24"/>
        </w:rPr>
        <w:t xml:space="preserve">Another case where a city’s worker’s comp representative seeks to avoid clear legal obligation. </w:t>
      </w:r>
    </w:p>
    <w:p w14:paraId="1151AE43" w14:textId="77777777" w:rsidR="00FE60DA" w:rsidRDefault="00FE60DA" w:rsidP="00EF1133">
      <w:pPr>
        <w:rPr>
          <w:rFonts w:ascii="Arial Black" w:hAnsi="Arial Black"/>
          <w:b/>
          <w:sz w:val="24"/>
          <w:szCs w:val="24"/>
        </w:rPr>
      </w:pPr>
    </w:p>
    <w:p w14:paraId="32288A8D" w14:textId="73D31D4E" w:rsidR="00BC4628"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6</w:t>
      </w:r>
    </w:p>
    <w:p w14:paraId="08FC405A" w14:textId="77777777" w:rsidR="00BC4628" w:rsidRDefault="00BC4628" w:rsidP="00BC4628">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NJ: FF / EMT INJURED BACK MOVING PT TO HOSPITAL BED – ORDINARY DISABILITY – NOT A “TRAUMATIC EVENT”</w:t>
      </w:r>
    </w:p>
    <w:p w14:paraId="503D7544" w14:textId="77777777" w:rsidR="00BC4628" w:rsidRDefault="00BC4628" w:rsidP="00BC462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June 30, 2023, in </w:t>
      </w:r>
      <w:r w:rsidRPr="00A33FA3">
        <w:rPr>
          <w:rFonts w:ascii="Times New Roman" w:eastAsia="Times New Roman" w:hAnsi="Times New Roman"/>
          <w:sz w:val="24"/>
          <w:szCs w:val="24"/>
          <w:u w:val="single"/>
        </w:rPr>
        <w:t>John Karolinski v. Board of Trustees, Public Employees’ Retirement System</w:t>
      </w:r>
      <w:r>
        <w:rPr>
          <w:rFonts w:ascii="Times New Roman" w:eastAsia="Times New Roman" w:hAnsi="Times New Roman"/>
          <w:sz w:val="24"/>
          <w:szCs w:val="24"/>
        </w:rPr>
        <w:t xml:space="preserve">, the Superior Court of New Jersey, Appellate Division, held (2 to 0) that while the firefighter / EMT is entitled to ordinary disability retirement benefits, he is not entitled to accidental benefits for a “traumatic event.”  </w:t>
      </w:r>
      <w:r w:rsidRPr="00A33FA3">
        <w:rPr>
          <w:rFonts w:ascii="Times New Roman" w:eastAsia="Times New Roman" w:hAnsi="Times New Roman"/>
          <w:sz w:val="24"/>
          <w:szCs w:val="24"/>
        </w:rPr>
        <w:t xml:space="preserve">The </w:t>
      </w:r>
      <w:r>
        <w:rPr>
          <w:rFonts w:ascii="Times New Roman" w:eastAsia="Times New Roman" w:hAnsi="Times New Roman"/>
          <w:sz w:val="24"/>
          <w:szCs w:val="24"/>
        </w:rPr>
        <w:t xml:space="preserve">Court agreed with the </w:t>
      </w:r>
      <w:r w:rsidRPr="00A33FA3">
        <w:rPr>
          <w:rFonts w:ascii="Times New Roman" w:eastAsia="Times New Roman" w:hAnsi="Times New Roman"/>
          <w:sz w:val="24"/>
          <w:szCs w:val="24"/>
        </w:rPr>
        <w:t>Administrative Law Judge</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there</w:t>
      </w:r>
      <w:proofErr w:type="gramEnd"/>
      <w:r>
        <w:rPr>
          <w:rFonts w:ascii="Times New Roman" w:eastAsia="Times New Roman" w:hAnsi="Times New Roman"/>
          <w:sz w:val="24"/>
          <w:szCs w:val="24"/>
        </w:rPr>
        <w:t xml:space="preserve"> firefighter was performing </w:t>
      </w:r>
      <w:proofErr w:type="gramStart"/>
      <w:r>
        <w:rPr>
          <w:rFonts w:ascii="Times New Roman" w:eastAsia="Times New Roman" w:hAnsi="Times New Roman"/>
          <w:sz w:val="24"/>
          <w:szCs w:val="24"/>
        </w:rPr>
        <w:t>task</w:t>
      </w:r>
      <w:proofErr w:type="gramEnd"/>
      <w:r>
        <w:rPr>
          <w:rFonts w:ascii="Times New Roman" w:eastAsia="Times New Roman" w:hAnsi="Times New Roman"/>
          <w:sz w:val="24"/>
          <w:szCs w:val="24"/>
        </w:rPr>
        <w:t xml:space="preserve"> he had done many times.</w:t>
      </w:r>
    </w:p>
    <w:p w14:paraId="60C890DC" w14:textId="77777777" w:rsidR="00BC4628" w:rsidRPr="00A33FA3" w:rsidRDefault="00BC4628" w:rsidP="00BC462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Court held: </w:t>
      </w:r>
      <w:r>
        <w:rPr>
          <w:rFonts w:ascii="Times New Roman" w:hAnsi="Times New Roman"/>
          <w:sz w:val="24"/>
          <w:szCs w:val="24"/>
        </w:rPr>
        <w:t>“</w:t>
      </w:r>
      <w:r w:rsidRPr="00A33FA3">
        <w:rPr>
          <w:rFonts w:ascii="Times New Roman" w:hAnsi="Times New Roman"/>
          <w:sz w:val="24"/>
          <w:szCs w:val="24"/>
        </w:rPr>
        <w:t>Petitioner testified he was injured while transferring a patient from a stretcher to the catheterization table, a job duty he had performed ‘hundreds of time[s]’ and was trained to do. It was petitioner's work effort that caused his disability. He stated it was common for patients to be ‘freaking out.</w:t>
      </w:r>
      <w:r>
        <w:rPr>
          <w:rFonts w:ascii="Times New Roman" w:hAnsi="Times New Roman"/>
          <w:sz w:val="24"/>
          <w:szCs w:val="24"/>
        </w:rPr>
        <w:t xml:space="preserve">’ </w:t>
      </w:r>
      <w:r w:rsidRPr="00A33FA3">
        <w:rPr>
          <w:rFonts w:ascii="Times New Roman" w:hAnsi="Times New Roman"/>
          <w:sz w:val="24"/>
          <w:szCs w:val="24"/>
        </w:rPr>
        <w:t xml:space="preserve">Therefore, it was not unexpected for a patient to be uncooperative during the transfer process. Moreover, he </w:t>
      </w:r>
      <w:proofErr w:type="gramStart"/>
      <w:r w:rsidRPr="00A33FA3">
        <w:rPr>
          <w:rFonts w:ascii="Times New Roman" w:hAnsi="Times New Roman"/>
          <w:sz w:val="24"/>
          <w:szCs w:val="24"/>
        </w:rPr>
        <w:t>testified</w:t>
      </w:r>
      <w:proofErr w:type="gramEnd"/>
      <w:r w:rsidRPr="00A33FA3">
        <w:rPr>
          <w:rFonts w:ascii="Times New Roman" w:hAnsi="Times New Roman"/>
          <w:sz w:val="24"/>
          <w:szCs w:val="24"/>
        </w:rPr>
        <w:t xml:space="preserve"> the way in which he transfers a patient-using a double </w:t>
      </w:r>
      <w:proofErr w:type="gramStart"/>
      <w:r w:rsidRPr="00A33FA3">
        <w:rPr>
          <w:rFonts w:ascii="Times New Roman" w:hAnsi="Times New Roman"/>
          <w:sz w:val="24"/>
          <w:szCs w:val="24"/>
        </w:rPr>
        <w:t>sheet-‘</w:t>
      </w:r>
      <w:proofErr w:type="gramEnd"/>
      <w:r w:rsidRPr="00A33FA3">
        <w:rPr>
          <w:rFonts w:ascii="Times New Roman" w:hAnsi="Times New Roman"/>
          <w:sz w:val="24"/>
          <w:szCs w:val="24"/>
        </w:rPr>
        <w:t xml:space="preserve">makes it a lot easier to move . . . a patient </w:t>
      </w:r>
      <w:proofErr w:type="gramStart"/>
      <w:r w:rsidRPr="00A33FA3">
        <w:rPr>
          <w:rFonts w:ascii="Times New Roman" w:hAnsi="Times New Roman"/>
          <w:sz w:val="24"/>
          <w:szCs w:val="24"/>
        </w:rPr>
        <w:t>that[] [</w:t>
      </w:r>
      <w:proofErr w:type="gramEnd"/>
      <w:r w:rsidRPr="00A33FA3">
        <w:rPr>
          <w:rFonts w:ascii="Times New Roman" w:hAnsi="Times New Roman"/>
          <w:sz w:val="24"/>
          <w:szCs w:val="24"/>
        </w:rPr>
        <w:t>is] not cooperating.’ It was not an ‘unexpected happening’ that petitioner would need to help a patient to prevent a fall during a transfer.”</w:t>
      </w:r>
      <w:r>
        <w:rPr>
          <w:rFonts w:ascii="Times New Roman" w:hAnsi="Times New Roman"/>
          <w:sz w:val="24"/>
          <w:szCs w:val="24"/>
        </w:rPr>
        <w:t xml:space="preserve"> </w:t>
      </w:r>
      <w:hyperlink r:id="rId1075" w:history="1">
        <w:r w:rsidRPr="00812663">
          <w:rPr>
            <w:rStyle w:val="Hyperlink"/>
            <w:sz w:val="24"/>
            <w:szCs w:val="24"/>
          </w:rPr>
          <w:t>https://www.njcourts.gov/system/files/court-opinions/2023/a3333-21.pdf</w:t>
        </w:r>
      </w:hyperlink>
      <w:r>
        <w:rPr>
          <w:rFonts w:ascii="Times New Roman" w:eastAsia="Times New Roman" w:hAnsi="Times New Roman"/>
          <w:sz w:val="24"/>
          <w:szCs w:val="24"/>
        </w:rPr>
        <w:t xml:space="preserve"> </w:t>
      </w:r>
    </w:p>
    <w:p w14:paraId="35D0F98C" w14:textId="77777777" w:rsidR="00BC4628" w:rsidRPr="00954CB5" w:rsidRDefault="00BC4628" w:rsidP="00BC4628">
      <w:pPr>
        <w:spacing w:before="100" w:beforeAutospacing="1" w:after="100" w:afterAutospacing="1" w:line="240" w:lineRule="auto"/>
        <w:rPr>
          <w:rFonts w:ascii="Times New Roman" w:eastAsia="Times New Roman" w:hAnsi="Times New Roman"/>
          <w:b/>
          <w:bCs/>
          <w:sz w:val="24"/>
          <w:szCs w:val="24"/>
        </w:rPr>
      </w:pPr>
      <w:r w:rsidRPr="00954CB5">
        <w:rPr>
          <w:rFonts w:ascii="Times New Roman" w:hAnsi="Times New Roman"/>
          <w:b/>
          <w:bCs/>
          <w:sz w:val="24"/>
          <w:szCs w:val="24"/>
        </w:rPr>
        <w:t xml:space="preserve">Legal Lesson Learned: Under NJ law, accidental disability </w:t>
      </w:r>
      <w:r>
        <w:rPr>
          <w:rFonts w:ascii="Times New Roman" w:hAnsi="Times New Roman"/>
          <w:b/>
          <w:bCs/>
          <w:sz w:val="24"/>
          <w:szCs w:val="24"/>
        </w:rPr>
        <w:t xml:space="preserve">with enhanced compensation </w:t>
      </w:r>
      <w:r w:rsidRPr="00954CB5">
        <w:rPr>
          <w:rFonts w:ascii="Times New Roman" w:hAnsi="Times New Roman"/>
          <w:b/>
          <w:bCs/>
          <w:sz w:val="24"/>
          <w:szCs w:val="24"/>
        </w:rPr>
        <w:t>is only for fire &amp; EMS personnel "permanently and totally disabled as a direct result of a traumatic event occurring during and as a result of the performance of [their] regular or assigned duties.”</w:t>
      </w:r>
    </w:p>
    <w:p w14:paraId="10277B32" w14:textId="77777777" w:rsidR="00BC4628" w:rsidRDefault="00BC4628" w:rsidP="00EF1133">
      <w:pPr>
        <w:rPr>
          <w:rFonts w:ascii="Arial Black" w:hAnsi="Arial Black"/>
          <w:b/>
          <w:sz w:val="24"/>
          <w:szCs w:val="24"/>
        </w:rPr>
      </w:pPr>
    </w:p>
    <w:p w14:paraId="00D2A871" w14:textId="6213896E" w:rsidR="00BC4628"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5</w:t>
      </w:r>
    </w:p>
    <w:p w14:paraId="25C2ED0E" w14:textId="77777777" w:rsidR="00BC4628" w:rsidRPr="00FE3A79" w:rsidRDefault="00BC4628" w:rsidP="00BC4628">
      <w:pPr>
        <w:pStyle w:val="NormalWeb"/>
        <w:rPr>
          <w:rFonts w:ascii="Arial Black" w:hAnsi="Arial Black"/>
          <w:sz w:val="28"/>
          <w:szCs w:val="28"/>
        </w:rPr>
      </w:pPr>
      <w:r>
        <w:rPr>
          <w:rFonts w:ascii="Arial Black" w:hAnsi="Arial Black"/>
          <w:sz w:val="28"/>
          <w:szCs w:val="28"/>
        </w:rPr>
        <w:t>RI: RETIRED PROVIDENCE FF – CANCER – COVERED BY STATE’S DISABILITY, EVEN IF CITY HAS RETIREMENT PLAN</w:t>
      </w:r>
    </w:p>
    <w:p w14:paraId="420CF6DF" w14:textId="77777777" w:rsidR="00BC4628" w:rsidRDefault="00BC4628" w:rsidP="00BC4628">
      <w:pPr>
        <w:pStyle w:val="NormalWeb"/>
      </w:pPr>
      <w:r>
        <w:t xml:space="preserve">On June 26, 2023, in </w:t>
      </w:r>
      <w:r w:rsidRPr="00FE3A79">
        <w:rPr>
          <w:u w:val="single"/>
        </w:rPr>
        <w:t xml:space="preserve">The Providence Retired Police </w:t>
      </w:r>
      <w:proofErr w:type="gramStart"/>
      <w:r w:rsidRPr="00FE3A79">
        <w:rPr>
          <w:u w:val="single"/>
        </w:rPr>
        <w:t>And</w:t>
      </w:r>
      <w:proofErr w:type="gramEnd"/>
      <w:r w:rsidRPr="00FE3A79">
        <w:rPr>
          <w:u w:val="single"/>
        </w:rPr>
        <w:t xml:space="preserve"> Firefighter’s Association v. The City of Providence</w:t>
      </w:r>
      <w:r>
        <w:t xml:space="preserve">, Judge </w:t>
      </w:r>
      <w:r w:rsidRPr="00FE3A79">
        <w:t>R. David Cruise</w:t>
      </w:r>
      <w:r>
        <w:t xml:space="preserve">, Superior Court of Rhode Island, held that retired Providence firefighters, who develop cancer, are covered for disability benefits under the state’s 1986 statutory presumption law, even though City of Providence does not participate in the State’s “Municipal Employee Retirement System” and in 2008 enacted its own statutory presumption ordinance under its retirement plan.  </w:t>
      </w:r>
    </w:p>
    <w:p w14:paraId="0667991D" w14:textId="77777777" w:rsidR="00BC4628" w:rsidRDefault="00BC4628" w:rsidP="00BC4628">
      <w:pPr>
        <w:pStyle w:val="NormalWeb"/>
      </w:pPr>
      <w:r>
        <w:t>The Court held: “</w:t>
      </w:r>
      <w:r w:rsidRPr="00981B02">
        <w:t xml:space="preserve">The Court agrees with Plaintiff that our Supreme Court's decision in </w:t>
      </w:r>
      <w:r w:rsidRPr="00981B02">
        <w:rPr>
          <w:rStyle w:val="Emphasis"/>
          <w:rFonts w:eastAsiaTheme="majorEastAsia"/>
        </w:rPr>
        <w:t>East Providence</w:t>
      </w:r>
      <w:r w:rsidRPr="00981B02">
        <w:t xml:space="preserve"> </w:t>
      </w:r>
      <w:r w:rsidRPr="004F140E">
        <w:t>[</w:t>
      </w:r>
      <w:r w:rsidRPr="004F140E">
        <w:rPr>
          <w:rStyle w:val="Emphasis"/>
          <w:rFonts w:eastAsiaTheme="majorEastAsia"/>
        </w:rPr>
        <w:t>v. IAFF Local,</w:t>
      </w:r>
      <w:r w:rsidRPr="004F140E">
        <w:t xml:space="preserve"> 850, 982 A.2d 1281 (R.I. 2009)],</w:t>
      </w:r>
      <w:r>
        <w:t xml:space="preserve"> s</w:t>
      </w:r>
      <w:r w:rsidRPr="00981B02">
        <w:t xml:space="preserve">upports that § 45-19.1-3 does not restrict its application to only firefighters of municipalities that participate in the MERS…. Furthermore, it is apparent that § 45-19.1-3 was intended to provide cancer disability benefits to </w:t>
      </w:r>
      <w:r w:rsidRPr="00981B02">
        <w:rPr>
          <w:rStyle w:val="Emphasis"/>
          <w:rFonts w:eastAsiaTheme="majorEastAsia"/>
        </w:rPr>
        <w:t>all</w:t>
      </w:r>
      <w:r w:rsidRPr="00981B02">
        <w:t xml:space="preserve"> firefighters in the State, in accordance with the legislative intent and our Supreme Court's explanation in </w:t>
      </w:r>
      <w:r w:rsidRPr="00981B02">
        <w:rPr>
          <w:rStyle w:val="Emphasis"/>
          <w:rFonts w:eastAsiaTheme="majorEastAsia"/>
        </w:rPr>
        <w:t>East Providence</w:t>
      </w:r>
      <w:r w:rsidRPr="00981B02">
        <w:t>, and it would be absurd for the Court to conclude that Providence firefighters are excluded from said benefits when § 45-19.1-3 is meant to apply to all firefighters.</w:t>
      </w:r>
      <w:r>
        <w:t xml:space="preserve">” </w:t>
      </w:r>
      <w:hyperlink r:id="rId1076" w:history="1">
        <w:r w:rsidRPr="00812663">
          <w:rPr>
            <w:rStyle w:val="Hyperlink"/>
          </w:rPr>
          <w:t>https://casetext.com/case/the-providence-retired-police-firefighters-assn-v-city-of-providence</w:t>
        </w:r>
      </w:hyperlink>
      <w:r>
        <w:t xml:space="preserve"> </w:t>
      </w:r>
    </w:p>
    <w:p w14:paraId="4385A2DC" w14:textId="77777777" w:rsidR="00BC4628" w:rsidRDefault="00BC4628" w:rsidP="00BC462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state-wide retirement system fortunately includes a statutory presumption for cancer that includes retirees. </w:t>
      </w:r>
    </w:p>
    <w:p w14:paraId="78C5A6F6" w14:textId="77777777" w:rsidR="00BC4628" w:rsidRPr="00F115F8" w:rsidRDefault="00BC4628" w:rsidP="00BC4628">
      <w:pPr>
        <w:pStyle w:val="Heading1"/>
        <w:ind w:left="720"/>
        <w:rPr>
          <w:b w:val="0"/>
          <w:bCs w:val="0"/>
          <w:sz w:val="24"/>
          <w:szCs w:val="24"/>
        </w:rPr>
      </w:pPr>
      <w:r w:rsidRPr="00F115F8">
        <w:rPr>
          <w:b w:val="0"/>
          <w:bCs w:val="0"/>
          <w:kern w:val="0"/>
          <w:sz w:val="24"/>
          <w:szCs w:val="24"/>
        </w:rPr>
        <w:t xml:space="preserve">Note: See July 5, </w:t>
      </w:r>
      <w:proofErr w:type="gramStart"/>
      <w:r w:rsidRPr="00F115F8">
        <w:rPr>
          <w:b w:val="0"/>
          <w:bCs w:val="0"/>
          <w:kern w:val="0"/>
          <w:sz w:val="24"/>
          <w:szCs w:val="24"/>
        </w:rPr>
        <w:t>2023</w:t>
      </w:r>
      <w:proofErr w:type="gramEnd"/>
      <w:r w:rsidRPr="00F115F8">
        <w:rPr>
          <w:b w:val="0"/>
          <w:bCs w:val="0"/>
          <w:kern w:val="0"/>
          <w:sz w:val="24"/>
          <w:szCs w:val="24"/>
        </w:rPr>
        <w:t xml:space="preserve"> article on the case, “</w:t>
      </w:r>
      <w:r w:rsidRPr="00F115F8">
        <w:rPr>
          <w:b w:val="0"/>
          <w:bCs w:val="0"/>
          <w:sz w:val="24"/>
          <w:szCs w:val="24"/>
        </w:rPr>
        <w:t xml:space="preserve">Retired Providence firefighters not barred from cancer benefits.” </w:t>
      </w:r>
      <w:hyperlink r:id="rId1077" w:history="1">
        <w:r w:rsidRPr="00F115F8">
          <w:rPr>
            <w:rStyle w:val="Hyperlink"/>
            <w:b w:val="0"/>
            <w:bCs w:val="0"/>
            <w:sz w:val="24"/>
            <w:szCs w:val="24"/>
          </w:rPr>
          <w:t>https://rilawyersweekly.com/blog/2023/07/05/retired-providence-firefighters-not-barred-from-cancer-benefits/</w:t>
        </w:r>
      </w:hyperlink>
      <w:r w:rsidRPr="00F115F8">
        <w:rPr>
          <w:b w:val="0"/>
          <w:bCs w:val="0"/>
          <w:sz w:val="24"/>
          <w:szCs w:val="24"/>
        </w:rPr>
        <w:t xml:space="preserve"> </w:t>
      </w:r>
    </w:p>
    <w:p w14:paraId="6D74B9CB" w14:textId="77777777" w:rsidR="00BC4628" w:rsidRDefault="00BC4628" w:rsidP="00EF1133">
      <w:pPr>
        <w:rPr>
          <w:rFonts w:ascii="Arial Black" w:hAnsi="Arial Black"/>
          <w:b/>
          <w:sz w:val="24"/>
          <w:szCs w:val="24"/>
        </w:rPr>
      </w:pPr>
    </w:p>
    <w:p w14:paraId="09F4F789" w14:textId="4BCAF48C" w:rsidR="00FE60DA"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4</w:t>
      </w:r>
    </w:p>
    <w:p w14:paraId="3280DD8E" w14:textId="77777777" w:rsidR="00BC4628" w:rsidRDefault="00BC4628" w:rsidP="00BC4628">
      <w:pPr>
        <w:pStyle w:val="NormalWeb"/>
        <w:rPr>
          <w:rFonts w:ascii="Arial Black" w:hAnsi="Arial Black"/>
          <w:sz w:val="28"/>
          <w:szCs w:val="28"/>
        </w:rPr>
      </w:pPr>
      <w:r>
        <w:rPr>
          <w:rFonts w:ascii="Arial Black" w:hAnsi="Arial Black"/>
          <w:sz w:val="28"/>
          <w:szCs w:val="28"/>
        </w:rPr>
        <w:t>CT: PART-TIME FF – HEART - SEEKS DISABILITY BONUS PAID FF HIRED PRIOR JULY 1, 1996 – AVER. 20 HRS / WEEK</w:t>
      </w:r>
    </w:p>
    <w:p w14:paraId="13697E2D" w14:textId="77777777" w:rsidR="00BC4628" w:rsidRDefault="00BC4628" w:rsidP="00BC4628">
      <w:pPr>
        <w:pStyle w:val="NormalWeb"/>
      </w:pPr>
      <w:r>
        <w:t xml:space="preserve">On June 20, 2023, in </w:t>
      </w:r>
      <w:r w:rsidRPr="00993113">
        <w:rPr>
          <w:u w:val="single"/>
        </w:rPr>
        <w:t xml:space="preserve">Christopher A. Clark v. Town of Waterford, </w:t>
      </w:r>
      <w:proofErr w:type="spellStart"/>
      <w:r w:rsidRPr="00993113">
        <w:rPr>
          <w:u w:val="single"/>
        </w:rPr>
        <w:t>Cohanzie</w:t>
      </w:r>
      <w:proofErr w:type="spellEnd"/>
      <w:r w:rsidRPr="00993113">
        <w:rPr>
          <w:u w:val="single"/>
        </w:rPr>
        <w:t xml:space="preserve"> Fire Department, et al.</w:t>
      </w:r>
      <w:r>
        <w:t xml:space="preserve">, the Supreme Court of Connecticut, held (6 to 1) </w:t>
      </w:r>
      <w:r w:rsidRPr="00221594">
        <w:t>that the Town correctly contended that</w:t>
      </w:r>
      <w:r>
        <w:t xml:space="preserve"> a state statute awarding municipal police and firefighters hired prior to July 1, 1996 with enhanced benefits for heart </w:t>
      </w:r>
      <w:r w:rsidRPr="005B1FFB">
        <w:t>or hypertension disease</w:t>
      </w:r>
      <w:r>
        <w:t xml:space="preserve"> (get benefits as if they suffered on duty personal injury), but only if they worked an average of 20 hours a week or more. Case </w:t>
      </w:r>
      <w:proofErr w:type="gramStart"/>
      <w:r>
        <w:t>remanded</w:t>
      </w:r>
      <w:proofErr w:type="gramEnd"/>
      <w:r>
        <w:t xml:space="preserve"> to determine if he met this hourly requirement when he served as a part-time firefighter starting in 1992.</w:t>
      </w:r>
    </w:p>
    <w:p w14:paraId="511A3487" w14:textId="77777777" w:rsidR="00BC4628" w:rsidRPr="00993113" w:rsidRDefault="00BC4628" w:rsidP="00BC4628">
      <w:pPr>
        <w:pStyle w:val="NormalWeb"/>
      </w:pPr>
      <w:r>
        <w:t>The Court held: “</w:t>
      </w:r>
      <w:r w:rsidRPr="005B1FFB">
        <w:t xml:space="preserve">Because the </w:t>
      </w:r>
      <w:r>
        <w:t xml:space="preserve">[Workers Comp.] </w:t>
      </w:r>
      <w:r w:rsidRPr="005B1FFB">
        <w:t>commissioner did not apply the correct legal standard in failing to make a finding as to whether the plaintiff had customarily worked the requisite twenty hours per week prior to his hiring as a full-time firefighter, the plaintiff is entitled to have the commissioner decide that factual issue</w:t>
      </w:r>
      <w:r>
        <w:t xml:space="preserve">.” </w:t>
      </w:r>
      <w:hyperlink r:id="rId1078" w:history="1">
        <w:r w:rsidRPr="00812663">
          <w:rPr>
            <w:rStyle w:val="Hyperlink"/>
          </w:rPr>
          <w:t>https://casetext.com/case/clark-v-town-of-waterford-1</w:t>
        </w:r>
      </w:hyperlink>
      <w:r>
        <w:t xml:space="preserve"> </w:t>
      </w:r>
    </w:p>
    <w:p w14:paraId="5DD3720F" w14:textId="77777777" w:rsidR="00BC4628" w:rsidRPr="00295415" w:rsidRDefault="00BC4628" w:rsidP="00BC4628">
      <w:pPr>
        <w:pStyle w:val="NormalWeb"/>
        <w:rPr>
          <w:b/>
          <w:bCs/>
        </w:rPr>
      </w:pPr>
      <w:r w:rsidRPr="00295415">
        <w:rPr>
          <w:b/>
          <w:bCs/>
        </w:rPr>
        <w:t xml:space="preserve">Legal Lesson Learned: </w:t>
      </w:r>
      <w:r>
        <w:rPr>
          <w:b/>
          <w:bCs/>
        </w:rPr>
        <w:t>This is unusual decision; per the Dissent, the Court is reversing 70 years of history awarding disability benefits to all uniformed members of municipal fire departments.</w:t>
      </w:r>
    </w:p>
    <w:p w14:paraId="13CBA0BD" w14:textId="77777777" w:rsidR="00BC4628" w:rsidRPr="00F115F8" w:rsidRDefault="00BC4628" w:rsidP="00BC4628">
      <w:pPr>
        <w:pStyle w:val="Heading1"/>
        <w:ind w:left="720"/>
        <w:rPr>
          <w:b w:val="0"/>
          <w:bCs w:val="0"/>
          <w:sz w:val="24"/>
          <w:szCs w:val="24"/>
        </w:rPr>
      </w:pPr>
      <w:r w:rsidRPr="00F115F8">
        <w:rPr>
          <w:b w:val="0"/>
          <w:bCs w:val="0"/>
          <w:sz w:val="24"/>
          <w:szCs w:val="24"/>
        </w:rPr>
        <w:lastRenderedPageBreak/>
        <w:t xml:space="preserve">Note: See June 26, </w:t>
      </w:r>
      <w:proofErr w:type="gramStart"/>
      <w:r w:rsidRPr="00F115F8">
        <w:rPr>
          <w:b w:val="0"/>
          <w:bCs w:val="0"/>
          <w:sz w:val="24"/>
          <w:szCs w:val="24"/>
        </w:rPr>
        <w:t>2023</w:t>
      </w:r>
      <w:proofErr w:type="gramEnd"/>
      <w:r w:rsidRPr="00F115F8">
        <w:rPr>
          <w:b w:val="0"/>
          <w:bCs w:val="0"/>
          <w:sz w:val="24"/>
          <w:szCs w:val="24"/>
        </w:rPr>
        <w:t xml:space="preserve"> article, “Connecticut High Court Nixes Workers’ Comp for Firefighter </w:t>
      </w:r>
      <w:proofErr w:type="gramStart"/>
      <w:r w:rsidRPr="00F115F8">
        <w:rPr>
          <w:b w:val="0"/>
          <w:bCs w:val="0"/>
          <w:sz w:val="24"/>
          <w:szCs w:val="24"/>
        </w:rPr>
        <w:t>With</w:t>
      </w:r>
      <w:proofErr w:type="gramEnd"/>
      <w:r w:rsidRPr="00F115F8">
        <w:rPr>
          <w:b w:val="0"/>
          <w:bCs w:val="0"/>
          <w:sz w:val="24"/>
          <w:szCs w:val="24"/>
        </w:rPr>
        <w:t xml:space="preserve"> Heart Condition.” </w:t>
      </w:r>
      <w:hyperlink r:id="rId1079" w:history="1">
        <w:r w:rsidRPr="00F115F8">
          <w:rPr>
            <w:rStyle w:val="Hyperlink"/>
            <w:b w:val="0"/>
            <w:bCs w:val="0"/>
            <w:sz w:val="24"/>
            <w:szCs w:val="24"/>
          </w:rPr>
          <w:t>https://www.insurancejournal.com/news/east/2023/06/26/727250.htm#</w:t>
        </w:r>
      </w:hyperlink>
      <w:r w:rsidRPr="00F115F8">
        <w:rPr>
          <w:b w:val="0"/>
          <w:bCs w:val="0"/>
          <w:sz w:val="24"/>
          <w:szCs w:val="24"/>
        </w:rPr>
        <w:t xml:space="preserve"> </w:t>
      </w:r>
    </w:p>
    <w:p w14:paraId="61B687B4" w14:textId="77777777" w:rsidR="00BC4628" w:rsidRDefault="00BC4628" w:rsidP="00EF1133">
      <w:pPr>
        <w:rPr>
          <w:rFonts w:ascii="Arial Black" w:hAnsi="Arial Black"/>
          <w:b/>
          <w:sz w:val="24"/>
          <w:szCs w:val="24"/>
        </w:rPr>
      </w:pPr>
    </w:p>
    <w:p w14:paraId="580EF268" w14:textId="77777777" w:rsidR="00FE60DA" w:rsidRDefault="00FE60DA" w:rsidP="00EF1133">
      <w:pPr>
        <w:rPr>
          <w:rFonts w:ascii="Arial Black" w:hAnsi="Arial Black"/>
          <w:b/>
          <w:sz w:val="24"/>
          <w:szCs w:val="24"/>
        </w:rPr>
      </w:pPr>
    </w:p>
    <w:p w14:paraId="674FB872" w14:textId="778F9BC4" w:rsidR="00477016" w:rsidRDefault="00477016"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3</w:t>
      </w:r>
    </w:p>
    <w:p w14:paraId="3DF14A5F" w14:textId="77777777" w:rsidR="00477016" w:rsidRPr="00683B6E" w:rsidRDefault="00477016" w:rsidP="00477016">
      <w:pPr>
        <w:pStyle w:val="NormalWeb"/>
        <w:rPr>
          <w:rStyle w:val="markedcontent"/>
          <w:rFonts w:ascii="Arial Black" w:hAnsi="Arial Black"/>
          <w:sz w:val="28"/>
          <w:szCs w:val="28"/>
        </w:rPr>
      </w:pPr>
      <w:bookmarkStart w:id="226" w:name="_Hlk136859176"/>
      <w:r>
        <w:rPr>
          <w:rStyle w:val="markedcontent"/>
          <w:rFonts w:ascii="Arial Black" w:hAnsi="Arial Black"/>
          <w:sz w:val="28"/>
          <w:szCs w:val="28"/>
        </w:rPr>
        <w:t xml:space="preserve">MI:  ARMY FF NOT PROMOTED CAPTAIN – RATED BELOW 2 OTHERS – NO RETALITION / COMMENTS HIS “B-SIZE BRA” </w:t>
      </w:r>
    </w:p>
    <w:bookmarkEnd w:id="226"/>
    <w:p w14:paraId="6CBEFE58" w14:textId="77777777" w:rsidR="00477016" w:rsidRDefault="00477016" w:rsidP="00477016">
      <w:pPr>
        <w:pStyle w:val="NormalWeb"/>
      </w:pPr>
      <w:r>
        <w:rPr>
          <w:rStyle w:val="markedcontent"/>
        </w:rPr>
        <w:t xml:space="preserve">On June 2, 2023, in </w:t>
      </w:r>
      <w:r w:rsidRPr="00CD5BF6">
        <w:rPr>
          <w:rStyle w:val="markedcontent"/>
          <w:u w:val="single"/>
        </w:rPr>
        <w:t>Joe Dasilva v. Mark Esper, et al</w:t>
      </w:r>
      <w:r>
        <w:rPr>
          <w:rStyle w:val="markedcontent"/>
        </w:rPr>
        <w:t xml:space="preserve">., U.S. District Court Judge Mark A. </w:t>
      </w:r>
      <w:proofErr w:type="spellStart"/>
      <w:r>
        <w:rPr>
          <w:rStyle w:val="markedcontent"/>
        </w:rPr>
        <w:t>Golsmith</w:t>
      </w:r>
      <w:proofErr w:type="spellEnd"/>
      <w:r>
        <w:rPr>
          <w:rStyle w:val="markedcontent"/>
        </w:rPr>
        <w:t xml:space="preserve">, U.S. District Court for Eastern District of Michigan, Southern Division, granted U.S, Army’s motion for summary judgment, dismissing the lawsuit by the firefighter / EMT.  He claimed that the Chief of the Fire Division, </w:t>
      </w:r>
      <w:r>
        <w:t xml:space="preserve">Martin Potter, </w:t>
      </w:r>
      <w:r>
        <w:rPr>
          <w:rStyle w:val="markedcontent"/>
        </w:rPr>
        <w:t xml:space="preserve">who served on the three-member promotion panel in 2019, denied him promotion because he had filed EEOC complaints against him in 2017 and 2018 after comments  such as, </w:t>
      </w:r>
      <w:r>
        <w:t xml:space="preserve">“I bet you can wear a B-sized bra.” </w:t>
      </w:r>
      <w:hyperlink r:id="rId1080" w:history="1">
        <w:r w:rsidRPr="005E5A42">
          <w:rPr>
            <w:rStyle w:val="Hyperlink"/>
          </w:rPr>
          <w:t>https://casetext.com/case/dasilva-v-esper-1</w:t>
        </w:r>
      </w:hyperlink>
      <w:r>
        <w:t xml:space="preserve"> </w:t>
      </w:r>
    </w:p>
    <w:p w14:paraId="76305C05" w14:textId="77777777" w:rsidR="00477016" w:rsidRDefault="00477016" w:rsidP="00477016">
      <w:pPr>
        <w:pStyle w:val="NormalWeb"/>
        <w:ind w:left="720"/>
      </w:pPr>
      <w:r>
        <w:t>“Dasilva alleges that Potter created a hostile work environment by sexually harassing him…. According to Dasilva, Potter ‘continuously’ told him from 2008 until 2018, ‘I bet you can wear a B-sized bra….’ Potter also allegedly once asked Dasilva how much breast implants cost and once stated, ‘Hey, Dasilva [bet] you can . . . hold this pencil under . . . your breasts</w:t>
      </w:r>
      <w:proofErr w:type="gramStart"/>
      <w:r>
        <w:t>…..</w:t>
      </w:r>
      <w:proofErr w:type="gramEnd"/>
      <w:r>
        <w:t>”’ Dasilva further asserts that Potter retaliated against him for reporting the sexual harassment. *** The Army asserts that Dasilva was not selected for the position of captain because he was less qualified than the candidate who was selected, Shane Biehl…. The three individuals who interviewed and rated Dasilva's abilities when Dasilva applied for the position-Potter, Assistant Chief Adam Todd, and Assistant Chief Lesley Tillman-submitted declarations stating that they did not deem Dasilva qualified for the position…. The rating criteria sheets attached to the declarations show that all three individuals rated Dasilva the second lowest of the eight individuals who applied for the position</w:t>
      </w:r>
      <w:proofErr w:type="gramStart"/>
      <w:r>
        <w:t>…..</w:t>
      </w:r>
      <w:proofErr w:type="gramEnd"/>
      <w:r>
        <w:t xml:space="preserve"> Out of 110 total points, they scored the highest-scoring applicant between 48-52 points higher than Dasilva…. The interview rating sheets attached to the declarations show that Potter and Tillman found that Dasilva did not demonstrate leadership performance skills….Todd's interview rating sheet shows that Todd found that Dasilva lacked evidence of numerous performance skills, including leadership, customer service, motivating others, team building, and ‘planning, prioritizing, and goal setting…..’ It also states that Dasilva ‘does not demonstrate abilities needed to effectively lead at the GS-8 level’ and ‘should continue to improve and work </w:t>
      </w:r>
      <w:proofErr w:type="spellStart"/>
      <w:r>
        <w:t>towar</w:t>
      </w:r>
      <w:proofErr w:type="spellEnd"/>
      <w:r>
        <w:t>[d] engaging in activity to help….’ Defendants' reason for not promoting Dasilva to captain-that he was not qualified-satisfies their burden of proof at this stage.”</w:t>
      </w:r>
    </w:p>
    <w:p w14:paraId="384714F1" w14:textId="77777777" w:rsidR="00477016" w:rsidRPr="000D14A8" w:rsidRDefault="00477016" w:rsidP="00477016">
      <w:pPr>
        <w:pStyle w:val="NormalWeb"/>
        <w:rPr>
          <w:b/>
          <w:bCs/>
        </w:rPr>
      </w:pPr>
      <w:r w:rsidRPr="000D14A8">
        <w:rPr>
          <w:b/>
          <w:bCs/>
        </w:rPr>
        <w:t>Legal Lesson Learned:</w:t>
      </w:r>
      <w:r>
        <w:rPr>
          <w:b/>
          <w:bCs/>
        </w:rPr>
        <w:t xml:space="preserve"> Promotion panel score sheets carry great weight.  FD officers need to be cautious about comments on firefighter appearance – male or female. </w:t>
      </w:r>
    </w:p>
    <w:p w14:paraId="0F43FA98" w14:textId="77777777" w:rsidR="00477016" w:rsidRDefault="00477016" w:rsidP="00EF1133">
      <w:pPr>
        <w:rPr>
          <w:rFonts w:ascii="Arial Black" w:hAnsi="Arial Black"/>
          <w:b/>
          <w:sz w:val="24"/>
          <w:szCs w:val="24"/>
        </w:rPr>
      </w:pPr>
    </w:p>
    <w:p w14:paraId="1CE03F25" w14:textId="3875709E" w:rsidR="00477016" w:rsidRDefault="00477016"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2</w:t>
      </w:r>
    </w:p>
    <w:p w14:paraId="2271E22E" w14:textId="77777777" w:rsidR="00477016" w:rsidRPr="00907F57" w:rsidRDefault="00477016" w:rsidP="00477016">
      <w:pPr>
        <w:pStyle w:val="NormalWeb"/>
        <w:rPr>
          <w:rFonts w:ascii="Arial Black" w:hAnsi="Arial Black"/>
          <w:sz w:val="28"/>
          <w:szCs w:val="28"/>
        </w:rPr>
      </w:pPr>
      <w:bookmarkStart w:id="227" w:name="_Hlk136859401"/>
      <w:r>
        <w:rPr>
          <w:rFonts w:ascii="Arial Black" w:hAnsi="Arial Black"/>
          <w:sz w:val="28"/>
          <w:szCs w:val="28"/>
        </w:rPr>
        <w:t xml:space="preserve">IL: GAY CHICAGO FF – CLAIMS FEMALE MGR. ASKED FOR SEX / HARASSED – CITY SLOW INVEST. - CASE PROCEED </w:t>
      </w:r>
    </w:p>
    <w:bookmarkEnd w:id="227"/>
    <w:p w14:paraId="05FEBEC7" w14:textId="77777777" w:rsidR="00477016" w:rsidRDefault="00477016" w:rsidP="00477016">
      <w:pPr>
        <w:pStyle w:val="NormalWeb"/>
      </w:pPr>
      <w:r>
        <w:lastRenderedPageBreak/>
        <w:t xml:space="preserve">On May 18, 2023, in </w:t>
      </w:r>
      <w:r w:rsidRPr="001D0C15">
        <w:rPr>
          <w:u w:val="single"/>
        </w:rPr>
        <w:t>James Mundo v. City of Chicago and Janice Hogan</w:t>
      </w:r>
      <w:r>
        <w:t xml:space="preserve">, U.S. District Court Judge Matthew F. Kennelly, U.S. District Court for Northern District of Illinois, Eastern Division, denied the City’s motion for summary judgment on firefighter’s asserts a hostile work environment claim under Title VII of the Civil Rights Act of 1964.   The Court described allegations.  </w:t>
      </w:r>
      <w:hyperlink r:id="rId1081" w:history="1">
        <w:r w:rsidRPr="00B93E1E">
          <w:rPr>
            <w:rStyle w:val="Hyperlink"/>
            <w:rFonts w:eastAsiaTheme="majorEastAsia"/>
          </w:rPr>
          <w:t>https://public.fastcase.com/ZZhmr5v9wN%2FXOe5IsQ%2FqD20iR7BWmLId4hSDI3nXqVWgPhPXw%2BQtkDECKs6HrcpaaA0bYVe7yei9SfZEfso10IPB%2B%2BM5XAOSsASvTO6V770%3D?utm_medium=email&amp;_hsmi=226712652&amp;_hsenc=p2ANqtz-8Ok8gGNpyLe8hTDi80EaJgVLaHo-pifPeTe8oohUIZEvo8GKO7wbe6cb01t7sw656xUcVdVRiPGkXPM8qU1b5G_smouQ&amp;utm_content=226712652&amp;utm_source=hs_email</w:t>
        </w:r>
      </w:hyperlink>
      <w:r>
        <w:t xml:space="preserve"> </w:t>
      </w:r>
    </w:p>
    <w:p w14:paraId="18E99763" w14:textId="77777777" w:rsidR="00477016" w:rsidRDefault="00477016" w:rsidP="00477016">
      <w:pPr>
        <w:pStyle w:val="NormalWeb"/>
        <w:ind w:left="720"/>
      </w:pPr>
      <w:r>
        <w:t xml:space="preserve">“On October 5, 2018, Mundo and his husband Dave met with Malec [Steven Malec, the Assistant Commissioner of Internal Affairs] over lunch. During their meeting, Mundo handed Malec a </w:t>
      </w:r>
      <w:proofErr w:type="gramStart"/>
      <w:r>
        <w:t>six page</w:t>
      </w:r>
      <w:proofErr w:type="gramEnd"/>
      <w:r>
        <w:t xml:space="preserve">, typed document listing </w:t>
      </w:r>
      <w:proofErr w:type="gramStart"/>
      <w:r>
        <w:t>a number of</w:t>
      </w:r>
      <w:proofErr w:type="gramEnd"/>
      <w:r>
        <w:t xml:space="preserve"> instances of sexual harassment that he said he had experienced at Hogan's hands. *** The entries range from October 1, </w:t>
      </w:r>
      <w:proofErr w:type="gramStart"/>
      <w:r>
        <w:t>2016</w:t>
      </w:r>
      <w:proofErr w:type="gramEnd"/>
      <w:r>
        <w:t xml:space="preserve"> to October 11, 2018. The reported incidents include, among other things: Hogan repeatedly asking Mundo to have sex with her and to masturbate in front of her (and on one occasion, onto her phone); hitting Mundo over the head; undressing in front of him at least twenty times; making comments about her genitalia and comparing it to a flower; saying that she and Mundo would be perfect together if he wasn't gay; using homophobic slurs; saying that she needed to ‘get laid; and threatening to send Mundo back to the field if he didn't comply with her demands. *** Deputy Commissioner Vasquez and </w:t>
      </w:r>
      <w:proofErr w:type="spellStart"/>
      <w:r>
        <w:t>DeCamp</w:t>
      </w:r>
      <w:proofErr w:type="spellEnd"/>
      <w:r>
        <w:t xml:space="preserve"> did not sit down with Hogan </w:t>
      </w:r>
      <w:r w:rsidRPr="001D0C15">
        <w:t>[Deputy Chief of L</w:t>
      </w:r>
      <w:r>
        <w:t xml:space="preserve">abor Relations Division] until a month after Mundo made his official complaint, and in the interim they allowed her to remain in her then-current position. After their interview, Vasquez and </w:t>
      </w:r>
      <w:proofErr w:type="spellStart"/>
      <w:r>
        <w:t>DeCamp</w:t>
      </w:r>
      <w:proofErr w:type="spellEnd"/>
      <w:r>
        <w:t xml:space="preserve"> allowed Hogan to move back to her career service rank of firefighter/paramedic despite her admission that she had engaged in some of the conduct that Mundo accused her of. Moreover, the EEO Division did not begin conducting interviews </w:t>
      </w:r>
      <w:proofErr w:type="gramStart"/>
      <w:r>
        <w:t>of</w:t>
      </w:r>
      <w:proofErr w:type="gramEnd"/>
      <w:r>
        <w:t xml:space="preserve"> </w:t>
      </w:r>
      <w:proofErr w:type="gramStart"/>
      <w:r>
        <w:t>the parties</w:t>
      </w:r>
      <w:proofErr w:type="gramEnd"/>
      <w:r>
        <w:t xml:space="preserve"> and witnesses until another month after that (December 2018). Nor did the EEO Division complete its investigation until over a year and one-half later, on July 10, 2020. And despite Commander Ford's statement that he found Hogan's conduct to be ‘egregious,’ she did not serve her suspension until almost seven months later, on January 29, 2021. Finally, although Hogan and Mundo ceased working together the very same </w:t>
      </w:r>
      <w:proofErr w:type="gramStart"/>
      <w:r>
        <w:t>day</w:t>
      </w:r>
      <w:proofErr w:type="gramEnd"/>
      <w:r>
        <w:t xml:space="preserve"> he made his complaint to Malec, a reasonable jury could find that was due to Mundo taking medical leave, not any remedial action on the City's part.” </w:t>
      </w:r>
    </w:p>
    <w:p w14:paraId="12B7E07B" w14:textId="77777777" w:rsidR="00477016" w:rsidRPr="00DB7D01" w:rsidRDefault="00477016" w:rsidP="00477016">
      <w:pPr>
        <w:pStyle w:val="NormalWeb"/>
        <w:rPr>
          <w:b/>
          <w:bCs/>
        </w:rPr>
      </w:pPr>
      <w:r w:rsidRPr="00DB7D01">
        <w:rPr>
          <w:b/>
          <w:bCs/>
        </w:rPr>
        <w:t>Legal Lesson Learned:</w:t>
      </w:r>
      <w:r>
        <w:rPr>
          <w:b/>
          <w:bCs/>
        </w:rPr>
        <w:t xml:space="preserve"> Internal complaints </w:t>
      </w:r>
      <w:proofErr w:type="gramStart"/>
      <w:r>
        <w:rPr>
          <w:b/>
          <w:bCs/>
        </w:rPr>
        <w:t>of</w:t>
      </w:r>
      <w:proofErr w:type="gramEnd"/>
      <w:r>
        <w:rPr>
          <w:b/>
          <w:bCs/>
        </w:rPr>
        <w:t xml:space="preserve"> hostile work environment should be promptly investigated and corrective action taken.</w:t>
      </w:r>
    </w:p>
    <w:p w14:paraId="0DDAEAE4" w14:textId="77777777" w:rsidR="00477016" w:rsidRDefault="00477016" w:rsidP="00EF1133">
      <w:pPr>
        <w:rPr>
          <w:rFonts w:ascii="Arial Black" w:hAnsi="Arial Black"/>
          <w:b/>
          <w:sz w:val="24"/>
          <w:szCs w:val="24"/>
        </w:rPr>
      </w:pPr>
    </w:p>
    <w:p w14:paraId="276F88CF" w14:textId="6675FE0D" w:rsidR="007A0E71" w:rsidRDefault="007A0E71"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1</w:t>
      </w:r>
    </w:p>
    <w:p w14:paraId="37BAE7AE" w14:textId="33BCFCED" w:rsidR="007A0E71" w:rsidRPr="00806668" w:rsidRDefault="007A0E71" w:rsidP="007A0E71">
      <w:pPr>
        <w:pStyle w:val="NoSpacing"/>
        <w:rPr>
          <w:rFonts w:ascii="Arial Black" w:hAnsi="Arial Black"/>
          <w:sz w:val="28"/>
          <w:szCs w:val="28"/>
        </w:rPr>
      </w:pPr>
      <w:r w:rsidRPr="00806668">
        <w:rPr>
          <w:rFonts w:ascii="Arial Black" w:hAnsi="Arial Black"/>
          <w:sz w:val="28"/>
          <w:szCs w:val="28"/>
        </w:rPr>
        <w:t>KY</w:t>
      </w:r>
      <w:r w:rsidR="00CF133C">
        <w:rPr>
          <w:rFonts w:ascii="Arial Black" w:hAnsi="Arial Black"/>
          <w:sz w:val="28"/>
          <w:szCs w:val="28"/>
        </w:rPr>
        <w:t xml:space="preserve">: </w:t>
      </w:r>
      <w:r w:rsidRPr="00806668">
        <w:rPr>
          <w:rFonts w:ascii="Arial Black" w:hAnsi="Arial Black"/>
          <w:sz w:val="28"/>
          <w:szCs w:val="28"/>
        </w:rPr>
        <w:t>FF</w:t>
      </w:r>
      <w:r>
        <w:rPr>
          <w:rFonts w:ascii="Arial Black" w:hAnsi="Arial Black"/>
          <w:sz w:val="28"/>
          <w:szCs w:val="28"/>
        </w:rPr>
        <w:t xml:space="preserve"> HAD BOTH KNEES REPLACED – WORK RELATED TRAUMA - PERMANENT PARTIAL D</w:t>
      </w:r>
      <w:r w:rsidRPr="00806668">
        <w:rPr>
          <w:rFonts w:ascii="Arial Black" w:hAnsi="Arial Black"/>
          <w:sz w:val="28"/>
          <w:szCs w:val="28"/>
        </w:rPr>
        <w:t xml:space="preserve">ISABILITY </w:t>
      </w:r>
    </w:p>
    <w:p w14:paraId="1856D14F" w14:textId="77777777" w:rsidR="007A0E71" w:rsidRDefault="007A0E71" w:rsidP="007A0E71">
      <w:pPr>
        <w:pStyle w:val="NoSpacing"/>
      </w:pPr>
    </w:p>
    <w:p w14:paraId="55A88808" w14:textId="77777777" w:rsidR="007A0E71" w:rsidRDefault="007A0E71" w:rsidP="007A0E71">
      <w:pPr>
        <w:pStyle w:val="NoSpacing"/>
        <w:rPr>
          <w:rFonts w:ascii="Times New Roman" w:hAnsi="Times New Roman"/>
          <w:sz w:val="24"/>
          <w:szCs w:val="24"/>
        </w:rPr>
      </w:pPr>
      <w:r w:rsidRPr="003C1643">
        <w:rPr>
          <w:rFonts w:ascii="Times New Roman" w:hAnsi="Times New Roman"/>
          <w:sz w:val="24"/>
          <w:szCs w:val="24"/>
          <w:u w:val="single"/>
        </w:rPr>
        <w:t>Lexington Fayette Urban County Government v. Michael Gosper, et al</w:t>
      </w:r>
      <w:r w:rsidRPr="003C1643">
        <w:rPr>
          <w:rFonts w:ascii="Times New Roman" w:hAnsi="Times New Roman"/>
          <w:sz w:val="24"/>
          <w:szCs w:val="24"/>
        </w:rPr>
        <w:t xml:space="preserve">., Supreme Court of Kentucky, </w:t>
      </w:r>
      <w:hyperlink r:id="rId1082" w:history="1">
        <w:r w:rsidRPr="003C1643">
          <w:rPr>
            <w:rStyle w:val="Hyperlink"/>
            <w:rFonts w:ascii="Times New Roman" w:hAnsi="Times New Roman"/>
            <w:sz w:val="24"/>
            <w:szCs w:val="24"/>
          </w:rPr>
          <w:t>https://casetext.com/case/lexington-fayette-urban-cnty-govt-v-gosper-1</w:t>
        </w:r>
      </w:hyperlink>
      <w:r w:rsidRPr="003C1643">
        <w:rPr>
          <w:rFonts w:ascii="Times New Roman" w:hAnsi="Times New Roman"/>
          <w:sz w:val="24"/>
          <w:szCs w:val="24"/>
        </w:rPr>
        <w:t xml:space="preserve"> </w:t>
      </w:r>
    </w:p>
    <w:p w14:paraId="1926DC56" w14:textId="6DB0242B" w:rsidR="00546A79" w:rsidRPr="003C1643" w:rsidRDefault="00CF133C" w:rsidP="007A0E71">
      <w:pPr>
        <w:pStyle w:val="NoSpacing"/>
        <w:rPr>
          <w:rFonts w:ascii="Times New Roman" w:hAnsi="Times New Roman"/>
          <w:sz w:val="24"/>
          <w:szCs w:val="24"/>
        </w:rPr>
      </w:pPr>
      <w:r>
        <w:rPr>
          <w:rFonts w:ascii="Times New Roman" w:hAnsi="Times New Roman"/>
          <w:sz w:val="24"/>
          <w:szCs w:val="24"/>
        </w:rPr>
        <w:t>4/27/2023</w:t>
      </w:r>
    </w:p>
    <w:p w14:paraId="3D778DEC" w14:textId="77777777" w:rsidR="007A0E71" w:rsidRPr="003C1643" w:rsidRDefault="007A0E71" w:rsidP="007A0E71">
      <w:pPr>
        <w:pStyle w:val="NoSpacing"/>
        <w:rPr>
          <w:rFonts w:ascii="Times New Roman" w:hAnsi="Times New Roman"/>
          <w:sz w:val="24"/>
          <w:szCs w:val="24"/>
        </w:rPr>
      </w:pPr>
    </w:p>
    <w:p w14:paraId="5C421277" w14:textId="77777777" w:rsidR="007A0E71" w:rsidRDefault="007A0E71" w:rsidP="007A0E71">
      <w:pPr>
        <w:pStyle w:val="NormalWeb"/>
        <w:rPr>
          <w:b/>
          <w:bCs/>
        </w:rPr>
      </w:pPr>
      <w:r>
        <w:rPr>
          <w:b/>
          <w:bCs/>
        </w:rPr>
        <w:t xml:space="preserve">Legal Lesson Learned: Testimony concerning 18 years of strenuous on duty activities was important. </w:t>
      </w:r>
    </w:p>
    <w:p w14:paraId="2F99BB80" w14:textId="77777777" w:rsidR="007A0E71" w:rsidRDefault="007A0E71" w:rsidP="00EF1133">
      <w:pPr>
        <w:rPr>
          <w:rFonts w:ascii="Arial Black" w:hAnsi="Arial Black"/>
          <w:b/>
          <w:sz w:val="24"/>
          <w:szCs w:val="24"/>
        </w:rPr>
      </w:pPr>
    </w:p>
    <w:p w14:paraId="0E702D2D" w14:textId="1D09652C" w:rsidR="007A0E71" w:rsidRDefault="007A0E71" w:rsidP="00EF1133">
      <w:pPr>
        <w:rPr>
          <w:rFonts w:ascii="Arial Black" w:hAnsi="Arial Black"/>
          <w:b/>
          <w:sz w:val="24"/>
          <w:szCs w:val="24"/>
        </w:rPr>
      </w:pPr>
      <w:r>
        <w:rPr>
          <w:rFonts w:ascii="Arial Black" w:hAnsi="Arial Black"/>
          <w:b/>
          <w:sz w:val="24"/>
          <w:szCs w:val="24"/>
        </w:rPr>
        <w:lastRenderedPageBreak/>
        <w:t>6-1</w:t>
      </w:r>
      <w:r w:rsidR="00227BDE">
        <w:rPr>
          <w:rFonts w:ascii="Arial Black" w:hAnsi="Arial Black"/>
          <w:b/>
          <w:sz w:val="24"/>
          <w:szCs w:val="24"/>
        </w:rPr>
        <w:t>1</w:t>
      </w:r>
      <w:r w:rsidR="002A0697">
        <w:rPr>
          <w:rFonts w:ascii="Arial Black" w:hAnsi="Arial Black"/>
          <w:b/>
          <w:sz w:val="24"/>
          <w:szCs w:val="24"/>
        </w:rPr>
        <w:t>0</w:t>
      </w:r>
    </w:p>
    <w:p w14:paraId="65F4DD95" w14:textId="33E24254" w:rsidR="007A0E71" w:rsidRPr="000218A8" w:rsidRDefault="007A0E71" w:rsidP="007A0E71">
      <w:pPr>
        <w:pStyle w:val="NoSpacing"/>
        <w:rPr>
          <w:rFonts w:ascii="Arial Black" w:hAnsi="Arial Black"/>
          <w:sz w:val="28"/>
          <w:szCs w:val="28"/>
        </w:rPr>
      </w:pPr>
      <w:r w:rsidRPr="000218A8">
        <w:rPr>
          <w:rFonts w:ascii="Arial Black" w:hAnsi="Arial Black"/>
          <w:sz w:val="28"/>
          <w:szCs w:val="28"/>
        </w:rPr>
        <w:t>TX</w:t>
      </w:r>
      <w:r w:rsidR="00CF133C">
        <w:rPr>
          <w:rFonts w:ascii="Arial Black" w:hAnsi="Arial Black"/>
          <w:sz w:val="28"/>
          <w:szCs w:val="28"/>
        </w:rPr>
        <w:t xml:space="preserve">: </w:t>
      </w:r>
      <w:r w:rsidRPr="000218A8">
        <w:rPr>
          <w:rFonts w:ascii="Arial Black" w:hAnsi="Arial Black"/>
          <w:sz w:val="28"/>
          <w:szCs w:val="28"/>
        </w:rPr>
        <w:t xml:space="preserve">FF NOT HIRED BY SAN ANTONIO FD – </w:t>
      </w:r>
      <w:r>
        <w:rPr>
          <w:rFonts w:ascii="Arial Black" w:hAnsi="Arial Black"/>
          <w:sz w:val="28"/>
          <w:szCs w:val="28"/>
        </w:rPr>
        <w:t>ONLY CITY EMPLOYEES CAN APPEAL CITY</w:t>
      </w:r>
      <w:r w:rsidRPr="000218A8">
        <w:rPr>
          <w:rFonts w:ascii="Arial Black" w:hAnsi="Arial Black"/>
          <w:sz w:val="28"/>
          <w:szCs w:val="28"/>
        </w:rPr>
        <w:t xml:space="preserve"> CIVIL SERVICE COMM.</w:t>
      </w:r>
    </w:p>
    <w:p w14:paraId="7DE57EFB" w14:textId="77777777" w:rsidR="007A0E71" w:rsidRDefault="007A0E71" w:rsidP="007A0E71">
      <w:pPr>
        <w:pStyle w:val="NoSpacing"/>
      </w:pPr>
    </w:p>
    <w:p w14:paraId="68456BED" w14:textId="77777777" w:rsidR="007A0E71" w:rsidRDefault="007A0E71" w:rsidP="007A0E71">
      <w:pPr>
        <w:pStyle w:val="NoSpacing"/>
        <w:rPr>
          <w:rFonts w:ascii="Times New Roman" w:hAnsi="Times New Roman"/>
          <w:sz w:val="24"/>
          <w:szCs w:val="24"/>
        </w:rPr>
      </w:pPr>
      <w:r w:rsidRPr="003C1643">
        <w:rPr>
          <w:rFonts w:ascii="Times New Roman" w:hAnsi="Times New Roman"/>
          <w:sz w:val="24"/>
          <w:szCs w:val="24"/>
          <w:u w:val="single"/>
        </w:rPr>
        <w:t xml:space="preserve">The City of San Antonio Fire Fighters’ </w:t>
      </w:r>
      <w:proofErr w:type="gramStart"/>
      <w:r w:rsidRPr="003C1643">
        <w:rPr>
          <w:rFonts w:ascii="Times New Roman" w:hAnsi="Times New Roman"/>
          <w:sz w:val="24"/>
          <w:szCs w:val="24"/>
          <w:u w:val="single"/>
        </w:rPr>
        <w:t>And</w:t>
      </w:r>
      <w:proofErr w:type="gramEnd"/>
      <w:r w:rsidRPr="003C1643">
        <w:rPr>
          <w:rFonts w:ascii="Times New Roman" w:hAnsi="Times New Roman"/>
          <w:sz w:val="24"/>
          <w:szCs w:val="24"/>
          <w:u w:val="single"/>
        </w:rPr>
        <w:t xml:space="preserve"> Police Officers’ Civil Service Commission, et al. v. Gabriel Saenz</w:t>
      </w:r>
      <w:r w:rsidRPr="003C1643">
        <w:rPr>
          <w:rFonts w:ascii="Times New Roman" w:hAnsi="Times New Roman"/>
          <w:sz w:val="24"/>
          <w:szCs w:val="24"/>
        </w:rPr>
        <w:t xml:space="preserve">, Court of Appeals of Texas, Fourth District, San Antonio. </w:t>
      </w:r>
      <w:hyperlink r:id="rId1083" w:history="1">
        <w:r w:rsidRPr="003C1643">
          <w:rPr>
            <w:rStyle w:val="Hyperlink"/>
            <w:rFonts w:ascii="Times New Roman" w:hAnsi="Times New Roman"/>
            <w:sz w:val="24"/>
            <w:szCs w:val="24"/>
          </w:rPr>
          <w:t>https://law.justia.com/cases/texas/fourth-court-of-appeals/2023/04-22-00347-cv.html</w:t>
        </w:r>
      </w:hyperlink>
      <w:r w:rsidRPr="003C1643">
        <w:rPr>
          <w:rFonts w:ascii="Times New Roman" w:hAnsi="Times New Roman"/>
          <w:sz w:val="24"/>
          <w:szCs w:val="24"/>
        </w:rPr>
        <w:t xml:space="preserve"> </w:t>
      </w:r>
    </w:p>
    <w:p w14:paraId="4E8C2112" w14:textId="6AF60273" w:rsidR="00CF133C" w:rsidRPr="003C1643" w:rsidRDefault="00CF133C" w:rsidP="007A0E71">
      <w:pPr>
        <w:pStyle w:val="NoSpacing"/>
        <w:rPr>
          <w:rFonts w:ascii="Times New Roman" w:hAnsi="Times New Roman"/>
          <w:sz w:val="24"/>
          <w:szCs w:val="24"/>
        </w:rPr>
      </w:pPr>
      <w:r>
        <w:rPr>
          <w:rFonts w:ascii="Times New Roman" w:hAnsi="Times New Roman"/>
          <w:sz w:val="24"/>
          <w:szCs w:val="24"/>
        </w:rPr>
        <w:t>4/27/2023</w:t>
      </w:r>
    </w:p>
    <w:p w14:paraId="764E7DCA" w14:textId="77777777" w:rsidR="007A0E71" w:rsidRDefault="007A0E71" w:rsidP="00EF1133">
      <w:pPr>
        <w:rPr>
          <w:rFonts w:ascii="Arial Black" w:hAnsi="Arial Black"/>
          <w:b/>
          <w:sz w:val="24"/>
          <w:szCs w:val="24"/>
        </w:rPr>
      </w:pPr>
    </w:p>
    <w:p w14:paraId="789FE2D2" w14:textId="77777777" w:rsidR="007A0E71" w:rsidRDefault="007A0E71" w:rsidP="007A0E71">
      <w:pPr>
        <w:pStyle w:val="NormalWeb"/>
        <w:rPr>
          <w:b/>
          <w:bCs/>
        </w:rPr>
      </w:pPr>
      <w:r>
        <w:rPr>
          <w:b/>
          <w:bCs/>
        </w:rPr>
        <w:t xml:space="preserve">Legal Lesson Learned: Civil Service Commission appeals are only for city employees. </w:t>
      </w:r>
    </w:p>
    <w:p w14:paraId="3BBDBA46" w14:textId="77777777" w:rsidR="007A0E71" w:rsidRDefault="007A0E71" w:rsidP="00EF1133">
      <w:pPr>
        <w:rPr>
          <w:rFonts w:ascii="Arial Black" w:hAnsi="Arial Black"/>
          <w:b/>
          <w:sz w:val="24"/>
          <w:szCs w:val="24"/>
        </w:rPr>
      </w:pPr>
    </w:p>
    <w:p w14:paraId="11FAC368" w14:textId="77777777" w:rsidR="007A0E71" w:rsidRDefault="007A0E71" w:rsidP="00EF1133">
      <w:pPr>
        <w:rPr>
          <w:rFonts w:ascii="Arial Black" w:hAnsi="Arial Black"/>
          <w:b/>
          <w:sz w:val="24"/>
          <w:szCs w:val="24"/>
        </w:rPr>
      </w:pPr>
    </w:p>
    <w:p w14:paraId="67FE4841" w14:textId="20EF6AD5" w:rsidR="007A0E71" w:rsidRDefault="007A0E71" w:rsidP="00EF1133">
      <w:pPr>
        <w:rPr>
          <w:rFonts w:ascii="Arial Black" w:hAnsi="Arial Black"/>
          <w:b/>
          <w:sz w:val="24"/>
          <w:szCs w:val="24"/>
        </w:rPr>
      </w:pPr>
      <w:r>
        <w:rPr>
          <w:rFonts w:ascii="Arial Black" w:hAnsi="Arial Black"/>
          <w:b/>
          <w:sz w:val="24"/>
          <w:szCs w:val="24"/>
        </w:rPr>
        <w:t>6-1</w:t>
      </w:r>
      <w:r w:rsidR="00B877B2">
        <w:rPr>
          <w:rFonts w:ascii="Arial Black" w:hAnsi="Arial Black"/>
          <w:b/>
          <w:sz w:val="24"/>
          <w:szCs w:val="24"/>
        </w:rPr>
        <w:t>09</w:t>
      </w:r>
    </w:p>
    <w:p w14:paraId="0DAACF9B" w14:textId="77777777" w:rsidR="007A0E71" w:rsidRPr="009A765C" w:rsidRDefault="007A0E71" w:rsidP="007A0E71">
      <w:pPr>
        <w:pStyle w:val="NoSpacing"/>
        <w:rPr>
          <w:rFonts w:ascii="Arial Black" w:hAnsi="Arial Black"/>
          <w:sz w:val="28"/>
          <w:szCs w:val="28"/>
        </w:rPr>
      </w:pPr>
      <w:r w:rsidRPr="009A765C">
        <w:rPr>
          <w:rFonts w:ascii="Arial Black" w:hAnsi="Arial Black"/>
          <w:sz w:val="28"/>
          <w:szCs w:val="28"/>
        </w:rPr>
        <w:t xml:space="preserve">IL (4/24/2023) – FF - LEUKEMIA – </w:t>
      </w:r>
      <w:r>
        <w:rPr>
          <w:rFonts w:ascii="Arial Black" w:hAnsi="Arial Black"/>
          <w:sz w:val="28"/>
          <w:szCs w:val="28"/>
        </w:rPr>
        <w:t xml:space="preserve">RECEIVES </w:t>
      </w:r>
      <w:r w:rsidRPr="009A765C">
        <w:rPr>
          <w:rFonts w:ascii="Arial Black" w:hAnsi="Arial Black"/>
          <w:sz w:val="28"/>
          <w:szCs w:val="28"/>
        </w:rPr>
        <w:t>LINE OF DUTY DISABILTY PENSION &amp; PAID HEALTH INSURANCE</w:t>
      </w:r>
    </w:p>
    <w:p w14:paraId="6CEB268D" w14:textId="77777777" w:rsidR="007A0E71" w:rsidRDefault="007A0E71" w:rsidP="007A0E71">
      <w:pPr>
        <w:pStyle w:val="NoSpacing"/>
      </w:pPr>
    </w:p>
    <w:p w14:paraId="022ED0F9" w14:textId="5178084E" w:rsidR="007A0E71" w:rsidRDefault="007A0E71" w:rsidP="007A0E71">
      <w:r w:rsidRPr="003C1643">
        <w:rPr>
          <w:rFonts w:ascii="Times New Roman" w:hAnsi="Times New Roman"/>
          <w:sz w:val="24"/>
          <w:szCs w:val="24"/>
          <w:u w:val="single"/>
        </w:rPr>
        <w:t xml:space="preserve">James Ivetic, on behalf of his spouse, Nancy </w:t>
      </w:r>
      <w:proofErr w:type="spellStart"/>
      <w:r w:rsidRPr="003C1643">
        <w:rPr>
          <w:rFonts w:ascii="Times New Roman" w:hAnsi="Times New Roman"/>
          <w:sz w:val="24"/>
          <w:szCs w:val="24"/>
          <w:u w:val="single"/>
        </w:rPr>
        <w:t>Ivetic</w:t>
      </w:r>
      <w:proofErr w:type="spellEnd"/>
      <w:r w:rsidRPr="003C1643">
        <w:rPr>
          <w:rFonts w:ascii="Times New Roman" w:hAnsi="Times New Roman"/>
          <w:sz w:val="24"/>
          <w:szCs w:val="24"/>
          <w:u w:val="single"/>
        </w:rPr>
        <w:t xml:space="preserve"> v. Bensenville Fire Protection District No. 2</w:t>
      </w:r>
      <w:r w:rsidRPr="003C1643">
        <w:rPr>
          <w:rFonts w:ascii="Times New Roman" w:hAnsi="Times New Roman"/>
          <w:sz w:val="24"/>
          <w:szCs w:val="24"/>
        </w:rPr>
        <w:t xml:space="preserve">, Court of Appeals of Illinois, First District, First Division. </w:t>
      </w:r>
      <w:hyperlink r:id="rId1084" w:history="1">
        <w:r w:rsidR="002A0697" w:rsidRPr="00792717">
          <w:rPr>
            <w:rStyle w:val="Hyperlink"/>
            <w:rFonts w:ascii="Times New Roman" w:hAnsi="Times New Roman"/>
            <w:sz w:val="24"/>
            <w:szCs w:val="24"/>
          </w:rPr>
          <w:t>https://ilcourtsaudio.blob.core.windows.net/antilles- resources/resources/467a406e-7cd0-4d26-a9c9-2d169ea7237c/Ivetic%20v.%20Bensenville%20Fire%20Protection%20District%20No.3,%202023%20IL%20App%20(1st)%20220879-U.pdf</w:t>
        </w:r>
      </w:hyperlink>
    </w:p>
    <w:p w14:paraId="4A250EC2" w14:textId="13D1E9C5" w:rsidR="002A0697" w:rsidRDefault="002A0697" w:rsidP="007A0E71">
      <w:pPr>
        <w:rPr>
          <w:rFonts w:ascii="Arial Black" w:hAnsi="Arial Black"/>
          <w:b/>
          <w:sz w:val="24"/>
          <w:szCs w:val="24"/>
        </w:rPr>
      </w:pPr>
      <w:r>
        <w:t>4/24/2023</w:t>
      </w:r>
    </w:p>
    <w:p w14:paraId="3B30B91E" w14:textId="77777777" w:rsidR="007A0E71" w:rsidRPr="003C1643" w:rsidRDefault="007A0E71" w:rsidP="007A0E71">
      <w:pPr>
        <w:pStyle w:val="NormalWeb"/>
        <w:rPr>
          <w:b/>
          <w:bCs/>
        </w:rPr>
      </w:pPr>
      <w:r w:rsidRPr="003C1643">
        <w:rPr>
          <w:b/>
          <w:bCs/>
        </w:rPr>
        <w:t xml:space="preserve">Legal Lesson Learned:  Firefighter entitled to health insurance benefit for him and his wife. </w:t>
      </w:r>
    </w:p>
    <w:p w14:paraId="4020FE30" w14:textId="77777777" w:rsidR="007A0E71" w:rsidRDefault="007A0E71" w:rsidP="00EF1133">
      <w:pPr>
        <w:rPr>
          <w:rFonts w:ascii="Arial Black" w:hAnsi="Arial Black"/>
          <w:b/>
          <w:sz w:val="24"/>
          <w:szCs w:val="24"/>
        </w:rPr>
      </w:pPr>
    </w:p>
    <w:p w14:paraId="64F4A4DB" w14:textId="070A2BB9" w:rsidR="007A0E71" w:rsidRDefault="007A0E71" w:rsidP="00EF1133">
      <w:pPr>
        <w:rPr>
          <w:rFonts w:ascii="Arial Black" w:hAnsi="Arial Black"/>
          <w:b/>
          <w:sz w:val="24"/>
          <w:szCs w:val="24"/>
        </w:rPr>
      </w:pPr>
      <w:r>
        <w:rPr>
          <w:rFonts w:ascii="Arial Black" w:hAnsi="Arial Black"/>
          <w:b/>
          <w:sz w:val="24"/>
          <w:szCs w:val="24"/>
        </w:rPr>
        <w:t>6-10</w:t>
      </w:r>
      <w:r w:rsidR="00B877B2">
        <w:rPr>
          <w:rFonts w:ascii="Arial Black" w:hAnsi="Arial Black"/>
          <w:b/>
          <w:sz w:val="24"/>
          <w:szCs w:val="24"/>
        </w:rPr>
        <w:t>8</w:t>
      </w:r>
    </w:p>
    <w:p w14:paraId="1803F61E" w14:textId="17EC8C9E" w:rsidR="007A0E71" w:rsidRPr="00A23E14" w:rsidRDefault="007A0E71" w:rsidP="007A0E71">
      <w:pPr>
        <w:pStyle w:val="NoSpacing"/>
        <w:rPr>
          <w:rFonts w:ascii="Arial Black" w:hAnsi="Arial Black"/>
          <w:sz w:val="28"/>
          <w:szCs w:val="28"/>
        </w:rPr>
      </w:pPr>
      <w:r w:rsidRPr="00A23E14">
        <w:rPr>
          <w:rFonts w:ascii="Arial Black" w:hAnsi="Arial Black"/>
          <w:sz w:val="28"/>
          <w:szCs w:val="28"/>
        </w:rPr>
        <w:t>PA</w:t>
      </w:r>
      <w:r w:rsidR="00B877B2">
        <w:rPr>
          <w:rFonts w:ascii="Arial Black" w:hAnsi="Arial Black"/>
          <w:sz w:val="28"/>
          <w:szCs w:val="28"/>
        </w:rPr>
        <w:t xml:space="preserve">: </w:t>
      </w:r>
      <w:r w:rsidRPr="00A23E14">
        <w:rPr>
          <w:rFonts w:ascii="Arial Black" w:hAnsi="Arial Black"/>
          <w:sz w:val="28"/>
          <w:szCs w:val="28"/>
        </w:rPr>
        <w:t xml:space="preserve">FF RIGHT SHOULDER </w:t>
      </w:r>
      <w:r>
        <w:rPr>
          <w:rFonts w:ascii="Arial Black" w:hAnsi="Arial Black"/>
          <w:sz w:val="28"/>
          <w:szCs w:val="28"/>
        </w:rPr>
        <w:t xml:space="preserve">INJURY </w:t>
      </w:r>
      <w:r w:rsidRPr="00A23E14">
        <w:rPr>
          <w:rFonts w:ascii="Arial Black" w:hAnsi="Arial Black"/>
          <w:sz w:val="28"/>
          <w:szCs w:val="28"/>
        </w:rPr>
        <w:t xml:space="preserve">– LIGHT DUTY UNTIL </w:t>
      </w:r>
      <w:r>
        <w:rPr>
          <w:rFonts w:ascii="Arial Black" w:hAnsi="Arial Black"/>
          <w:sz w:val="28"/>
          <w:szCs w:val="28"/>
        </w:rPr>
        <w:t xml:space="preserve">FELT HE HAD </w:t>
      </w:r>
      <w:r w:rsidRPr="00A23E14">
        <w:rPr>
          <w:rFonts w:ascii="Arial Black" w:hAnsi="Arial Black"/>
          <w:sz w:val="28"/>
          <w:szCs w:val="28"/>
        </w:rPr>
        <w:t>RETIRE</w:t>
      </w:r>
      <w:r>
        <w:rPr>
          <w:rFonts w:ascii="Arial Black" w:hAnsi="Arial Black"/>
          <w:sz w:val="28"/>
          <w:szCs w:val="28"/>
        </w:rPr>
        <w:t xml:space="preserve"> – DISABILITY BENEFITS </w:t>
      </w:r>
    </w:p>
    <w:p w14:paraId="6B058F79" w14:textId="77777777" w:rsidR="007A0E71" w:rsidRDefault="007A0E71" w:rsidP="007A0E71">
      <w:pPr>
        <w:pStyle w:val="NoSpacing"/>
      </w:pPr>
    </w:p>
    <w:p w14:paraId="4F5E0619" w14:textId="77777777" w:rsidR="007A0E71" w:rsidRPr="003C1643" w:rsidRDefault="007A0E71" w:rsidP="007A0E71">
      <w:pPr>
        <w:pStyle w:val="NoSpacing"/>
        <w:rPr>
          <w:rFonts w:ascii="Times New Roman" w:hAnsi="Times New Roman"/>
          <w:sz w:val="24"/>
          <w:szCs w:val="24"/>
        </w:rPr>
      </w:pPr>
      <w:r w:rsidRPr="003C1643">
        <w:rPr>
          <w:rFonts w:ascii="Times New Roman" w:hAnsi="Times New Roman"/>
          <w:sz w:val="24"/>
          <w:szCs w:val="24"/>
          <w:u w:val="single"/>
        </w:rPr>
        <w:t>City of Wilkes-Barre v. Thomas Snyder (Workers’ Compensation Appeal Board)</w:t>
      </w:r>
      <w:r w:rsidRPr="003C1643">
        <w:rPr>
          <w:rFonts w:ascii="Times New Roman" w:hAnsi="Times New Roman"/>
          <w:sz w:val="24"/>
          <w:szCs w:val="24"/>
        </w:rPr>
        <w:t xml:space="preserve">, Commonwealth Court of Pennsylvania. </w:t>
      </w:r>
      <w:hyperlink r:id="rId1085" w:history="1">
        <w:r w:rsidRPr="003C1643">
          <w:rPr>
            <w:rStyle w:val="Hyperlink"/>
            <w:rFonts w:ascii="Times New Roman" w:hAnsi="Times New Roman"/>
            <w:sz w:val="24"/>
            <w:szCs w:val="24"/>
          </w:rPr>
          <w:t>https://casetext.com/case/city-of-wilkes-barre-v-snyder</w:t>
        </w:r>
      </w:hyperlink>
      <w:r w:rsidRPr="003C1643">
        <w:rPr>
          <w:rFonts w:ascii="Times New Roman" w:hAnsi="Times New Roman"/>
          <w:sz w:val="24"/>
          <w:szCs w:val="24"/>
        </w:rPr>
        <w:t xml:space="preserve"> </w:t>
      </w:r>
    </w:p>
    <w:p w14:paraId="651CD1B5" w14:textId="478AD09D" w:rsidR="007A0E71" w:rsidRPr="003C1643" w:rsidRDefault="007A0E71" w:rsidP="007A0E71">
      <w:pPr>
        <w:pStyle w:val="NoSpacing"/>
        <w:rPr>
          <w:rFonts w:ascii="Times New Roman" w:hAnsi="Times New Roman"/>
          <w:sz w:val="24"/>
          <w:szCs w:val="24"/>
        </w:rPr>
      </w:pPr>
      <w:r w:rsidRPr="003C1643">
        <w:rPr>
          <w:rFonts w:ascii="Times New Roman" w:hAnsi="Times New Roman"/>
          <w:sz w:val="24"/>
          <w:szCs w:val="24"/>
        </w:rPr>
        <w:t>[Unpublished Decision.]</w:t>
      </w:r>
      <w:r w:rsidR="00B877B2">
        <w:rPr>
          <w:rFonts w:ascii="Times New Roman" w:hAnsi="Times New Roman"/>
          <w:sz w:val="24"/>
          <w:szCs w:val="24"/>
        </w:rPr>
        <w:t xml:space="preserve"> 4/20/2023</w:t>
      </w:r>
    </w:p>
    <w:p w14:paraId="499A7814" w14:textId="77777777" w:rsidR="007A0E71" w:rsidRDefault="007A0E71" w:rsidP="00EF1133">
      <w:pPr>
        <w:rPr>
          <w:rFonts w:ascii="Arial Black" w:hAnsi="Arial Black"/>
          <w:b/>
          <w:sz w:val="24"/>
          <w:szCs w:val="24"/>
        </w:rPr>
      </w:pPr>
    </w:p>
    <w:p w14:paraId="74918EA5" w14:textId="77777777" w:rsidR="007A0E71" w:rsidRPr="003C1643" w:rsidRDefault="007A0E71" w:rsidP="007A0E71">
      <w:pPr>
        <w:pStyle w:val="NoSpacing"/>
        <w:rPr>
          <w:rFonts w:ascii="Times New Roman" w:hAnsi="Times New Roman"/>
          <w:b/>
          <w:bCs/>
          <w:sz w:val="24"/>
          <w:szCs w:val="24"/>
        </w:rPr>
      </w:pPr>
      <w:r w:rsidRPr="003C1643">
        <w:rPr>
          <w:rFonts w:ascii="Times New Roman" w:hAnsi="Times New Roman"/>
          <w:b/>
          <w:bCs/>
          <w:sz w:val="24"/>
          <w:szCs w:val="24"/>
        </w:rPr>
        <w:t xml:space="preserve">Legal Lesson Learned:  If injury will not allow you to return full duty, document with management the need for disability retirement. </w:t>
      </w:r>
    </w:p>
    <w:p w14:paraId="337A440E" w14:textId="77777777" w:rsidR="007A0E71" w:rsidRDefault="007A0E71" w:rsidP="00EF1133">
      <w:pPr>
        <w:rPr>
          <w:rFonts w:ascii="Arial Black" w:hAnsi="Arial Black"/>
          <w:b/>
          <w:sz w:val="24"/>
          <w:szCs w:val="24"/>
        </w:rPr>
      </w:pPr>
    </w:p>
    <w:p w14:paraId="2F7A68ED" w14:textId="7B4FA9D4" w:rsidR="007A0E71" w:rsidRDefault="007A0E71" w:rsidP="00EF1133">
      <w:pPr>
        <w:rPr>
          <w:rFonts w:ascii="Arial Black" w:hAnsi="Arial Black"/>
          <w:b/>
          <w:sz w:val="24"/>
          <w:szCs w:val="24"/>
        </w:rPr>
      </w:pPr>
      <w:r>
        <w:rPr>
          <w:rFonts w:ascii="Arial Black" w:hAnsi="Arial Black"/>
          <w:b/>
          <w:sz w:val="24"/>
          <w:szCs w:val="24"/>
        </w:rPr>
        <w:lastRenderedPageBreak/>
        <w:t>6-10</w:t>
      </w:r>
      <w:r w:rsidR="00FF7C63">
        <w:rPr>
          <w:rFonts w:ascii="Arial Black" w:hAnsi="Arial Black"/>
          <w:b/>
          <w:sz w:val="24"/>
          <w:szCs w:val="24"/>
        </w:rPr>
        <w:t>7</w:t>
      </w:r>
    </w:p>
    <w:p w14:paraId="7901C0E7" w14:textId="77777777" w:rsidR="00B877B2" w:rsidRDefault="007A0E71" w:rsidP="007A0E71">
      <w:pPr>
        <w:pStyle w:val="NoSpacing"/>
        <w:rPr>
          <w:rFonts w:ascii="Arial Black" w:hAnsi="Arial Black"/>
          <w:sz w:val="28"/>
          <w:szCs w:val="28"/>
        </w:rPr>
      </w:pPr>
      <w:r w:rsidRPr="00811A7B">
        <w:rPr>
          <w:rFonts w:ascii="Arial Black" w:hAnsi="Arial Black"/>
          <w:sz w:val="28"/>
          <w:szCs w:val="28"/>
        </w:rPr>
        <w:t>NY</w:t>
      </w:r>
      <w:r w:rsidR="00FF7C63">
        <w:rPr>
          <w:rFonts w:ascii="Arial Black" w:hAnsi="Arial Black"/>
          <w:sz w:val="28"/>
          <w:szCs w:val="28"/>
        </w:rPr>
        <w:t xml:space="preserve">: </w:t>
      </w:r>
    </w:p>
    <w:p w14:paraId="72A4DAD9" w14:textId="180BD2F1" w:rsidR="007A0E71" w:rsidRPr="00811A7B" w:rsidRDefault="007A0E71" w:rsidP="007A0E71">
      <w:pPr>
        <w:pStyle w:val="NoSpacing"/>
        <w:rPr>
          <w:rFonts w:ascii="Arial Black" w:hAnsi="Arial Black"/>
          <w:sz w:val="28"/>
          <w:szCs w:val="28"/>
        </w:rPr>
      </w:pPr>
      <w:r w:rsidRPr="00811A7B">
        <w:rPr>
          <w:rFonts w:ascii="Arial Black" w:hAnsi="Arial Black"/>
          <w:sz w:val="28"/>
          <w:szCs w:val="28"/>
        </w:rPr>
        <w:t xml:space="preserve">FDNY – </w:t>
      </w:r>
      <w:r>
        <w:rPr>
          <w:rFonts w:ascii="Arial Black" w:hAnsi="Arial Black"/>
          <w:sz w:val="28"/>
          <w:szCs w:val="28"/>
        </w:rPr>
        <w:t xml:space="preserve">HIP </w:t>
      </w:r>
      <w:r w:rsidRPr="00811A7B">
        <w:rPr>
          <w:rFonts w:ascii="Arial Black" w:hAnsi="Arial Black"/>
          <w:sz w:val="28"/>
          <w:szCs w:val="28"/>
        </w:rPr>
        <w:t xml:space="preserve">INJURY AT FIRE </w:t>
      </w:r>
      <w:r>
        <w:rPr>
          <w:rFonts w:ascii="Arial Black" w:hAnsi="Arial Black"/>
          <w:sz w:val="28"/>
          <w:szCs w:val="28"/>
        </w:rPr>
        <w:t>–</w:t>
      </w:r>
      <w:r w:rsidRPr="00811A7B">
        <w:rPr>
          <w:rFonts w:ascii="Arial Black" w:hAnsi="Arial Black"/>
          <w:sz w:val="28"/>
          <w:szCs w:val="28"/>
        </w:rPr>
        <w:t xml:space="preserve"> </w:t>
      </w:r>
      <w:r>
        <w:rPr>
          <w:rFonts w:ascii="Arial Black" w:hAnsi="Arial Black"/>
          <w:sz w:val="28"/>
          <w:szCs w:val="28"/>
        </w:rPr>
        <w:t xml:space="preserve">ORDINARY DISABILITY - </w:t>
      </w:r>
      <w:r w:rsidRPr="00811A7B">
        <w:rPr>
          <w:rFonts w:ascii="Arial Black" w:hAnsi="Arial Black"/>
          <w:sz w:val="28"/>
          <w:szCs w:val="28"/>
        </w:rPr>
        <w:t>NO</w:t>
      </w:r>
      <w:r>
        <w:rPr>
          <w:rFonts w:ascii="Arial Black" w:hAnsi="Arial Black"/>
          <w:sz w:val="28"/>
          <w:szCs w:val="28"/>
        </w:rPr>
        <w:t>T</w:t>
      </w:r>
      <w:r w:rsidRPr="00811A7B">
        <w:rPr>
          <w:rFonts w:ascii="Arial Black" w:hAnsi="Arial Black"/>
          <w:sz w:val="28"/>
          <w:szCs w:val="28"/>
        </w:rPr>
        <w:t xml:space="preserve"> ACCIDENTAL DISAB</w:t>
      </w:r>
      <w:r>
        <w:rPr>
          <w:rFonts w:ascii="Arial Black" w:hAnsi="Arial Black"/>
          <w:sz w:val="28"/>
          <w:szCs w:val="28"/>
        </w:rPr>
        <w:t xml:space="preserve"> - </w:t>
      </w:r>
      <w:r w:rsidRPr="00811A7B">
        <w:rPr>
          <w:rFonts w:ascii="Arial Black" w:hAnsi="Arial Black"/>
          <w:sz w:val="28"/>
          <w:szCs w:val="28"/>
        </w:rPr>
        <w:t xml:space="preserve">DEGENERATIVE </w:t>
      </w:r>
      <w:r>
        <w:rPr>
          <w:rFonts w:ascii="Arial Black" w:hAnsi="Arial Black"/>
          <w:sz w:val="28"/>
          <w:szCs w:val="28"/>
        </w:rPr>
        <w:t>HIP</w:t>
      </w:r>
    </w:p>
    <w:p w14:paraId="396C9EAF" w14:textId="77777777" w:rsidR="007A0E71" w:rsidRDefault="007A0E71" w:rsidP="007A0E71">
      <w:pPr>
        <w:pStyle w:val="NoSpacing"/>
      </w:pPr>
    </w:p>
    <w:p w14:paraId="17107020" w14:textId="77777777" w:rsidR="007A0E71" w:rsidRPr="003C1643" w:rsidRDefault="007A0E71" w:rsidP="007A0E71">
      <w:pPr>
        <w:pStyle w:val="NoSpacing"/>
        <w:rPr>
          <w:rFonts w:ascii="Times New Roman" w:hAnsi="Times New Roman"/>
          <w:sz w:val="24"/>
          <w:szCs w:val="24"/>
        </w:rPr>
      </w:pPr>
      <w:r w:rsidRPr="003C1643">
        <w:rPr>
          <w:rFonts w:ascii="Times New Roman" w:hAnsi="Times New Roman"/>
          <w:sz w:val="24"/>
          <w:szCs w:val="24"/>
          <w:u w:val="single"/>
        </w:rPr>
        <w:t>Kevin Barnabee v. The New York City Fire Pension Fund, et al</w:t>
      </w:r>
      <w:r w:rsidRPr="003C1643">
        <w:rPr>
          <w:rFonts w:ascii="Times New Roman" w:hAnsi="Times New Roman"/>
          <w:sz w:val="24"/>
          <w:szCs w:val="24"/>
        </w:rPr>
        <w:t xml:space="preserve">., Supreme Court, New York County. </w:t>
      </w:r>
      <w:hyperlink r:id="rId1086" w:history="1">
        <w:r w:rsidRPr="003C1643">
          <w:rPr>
            <w:rStyle w:val="Hyperlink"/>
            <w:rFonts w:ascii="Times New Roman" w:hAnsi="Times New Roman"/>
            <w:sz w:val="24"/>
            <w:szCs w:val="24"/>
          </w:rPr>
          <w:t>https://casetext.com/case/barnabee-v-the-nyc-fire-pension-fund</w:t>
        </w:r>
      </w:hyperlink>
      <w:r w:rsidRPr="003C1643">
        <w:rPr>
          <w:rFonts w:ascii="Times New Roman" w:hAnsi="Times New Roman"/>
          <w:sz w:val="24"/>
          <w:szCs w:val="24"/>
        </w:rPr>
        <w:t xml:space="preserve"> </w:t>
      </w:r>
    </w:p>
    <w:p w14:paraId="6CAA3937" w14:textId="2EB8A533" w:rsidR="007A0E71" w:rsidRPr="003C1643" w:rsidRDefault="00FF7C63" w:rsidP="007A0E71">
      <w:pPr>
        <w:pStyle w:val="NoSpacing"/>
        <w:rPr>
          <w:rFonts w:ascii="Times New Roman" w:hAnsi="Times New Roman"/>
          <w:sz w:val="24"/>
          <w:szCs w:val="24"/>
        </w:rPr>
      </w:pPr>
      <w:r>
        <w:rPr>
          <w:rFonts w:ascii="Times New Roman" w:hAnsi="Times New Roman"/>
          <w:sz w:val="24"/>
          <w:szCs w:val="24"/>
        </w:rPr>
        <w:t>4/10/2023</w:t>
      </w:r>
    </w:p>
    <w:p w14:paraId="106CBA1F" w14:textId="77777777" w:rsidR="00227BDE" w:rsidRPr="003C1643" w:rsidRDefault="00227BDE" w:rsidP="00227BDE">
      <w:pPr>
        <w:pStyle w:val="NormalWeb"/>
        <w:rPr>
          <w:b/>
          <w:bCs/>
        </w:rPr>
      </w:pPr>
      <w:r w:rsidRPr="003C1643">
        <w:rPr>
          <w:b/>
          <w:bCs/>
        </w:rPr>
        <w:t xml:space="preserve">Legal Lesson Learned: Degenerative hip medical history does not qualify for accidental disability benefits. </w:t>
      </w:r>
    </w:p>
    <w:p w14:paraId="3E98453C" w14:textId="77777777" w:rsidR="007A0E71" w:rsidRDefault="007A0E71" w:rsidP="00EF1133">
      <w:pPr>
        <w:rPr>
          <w:rFonts w:ascii="Arial Black" w:hAnsi="Arial Black"/>
          <w:b/>
          <w:sz w:val="24"/>
          <w:szCs w:val="24"/>
        </w:rPr>
      </w:pPr>
    </w:p>
    <w:p w14:paraId="233259AC" w14:textId="77777777" w:rsidR="007A0E71" w:rsidRDefault="007A0E71" w:rsidP="00EF1133">
      <w:pPr>
        <w:rPr>
          <w:rFonts w:ascii="Arial Black" w:hAnsi="Arial Black"/>
          <w:b/>
          <w:sz w:val="24"/>
          <w:szCs w:val="24"/>
        </w:rPr>
      </w:pPr>
    </w:p>
    <w:p w14:paraId="1F029A0F" w14:textId="7AFD8C3F" w:rsidR="003F788B" w:rsidRDefault="003F788B"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6</w:t>
      </w:r>
    </w:p>
    <w:p w14:paraId="129A4EBF"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IL: PART-TIME FF – CLAIMED RETALIATION FOR SUPPORTING MAYOR’S OPPONENT IN 2005 – NO CASE  </w:t>
      </w:r>
    </w:p>
    <w:p w14:paraId="44CB9ED2" w14:textId="77777777" w:rsidR="003F788B" w:rsidRDefault="003F788B" w:rsidP="003F788B">
      <w:pPr>
        <w:pStyle w:val="NormalWeb"/>
      </w:pPr>
      <w:r>
        <w:t xml:space="preserve">On March 30, 2023, in </w:t>
      </w:r>
      <w:r>
        <w:rPr>
          <w:u w:val="single"/>
        </w:rPr>
        <w:t>Brian E. Carroll v. City of Oak Forest</w:t>
      </w:r>
      <w:r>
        <w:t xml:space="preserve">, U.S. District Court Judge L. Jorge Alonso, U.S., District Court for Northern District of Illinois, Eastern District, granted the City’s motion for summary judgment; insufficient evidence of “retaliation because of his political activities while he was employed as a part-time firefighter with the City of Oak Forest.” </w:t>
      </w:r>
    </w:p>
    <w:p w14:paraId="5298C949" w14:textId="77777777" w:rsidR="003F788B" w:rsidRDefault="003F788B" w:rsidP="003F788B">
      <w:pPr>
        <w:pStyle w:val="NormalWeb"/>
        <w:ind w:left="720"/>
      </w:pPr>
      <w:r>
        <w:t xml:space="preserve">The Court described his claims: “In 2005, Carroll and his father, Edward Carroll, campaigned for a candidate running against JoAnn Kelly, one of the mayoral candidates for the City of Oak Forest at that time. Edward Carroll was an outspoken member of the Oak Forest political community who served as an alderman and a three-term commissioner of the Oak Forest Board of Fire and Police Commissioners (hereafter the ‘Board’)….Carroll claims that, because of his campaigning and political affiliations, he has been harassed and retaliated against while working as a part-time firefighter with the Oak Forest Fire Department. To wit, he claims that he was subjected to general harassment within the department; made fun of for his reaction to his mother passing away in 2006; threatened with ‘blackballing,’ termination, and other reprimands; not allowed to join the South Suburban Emergency Response Team; refused accommodations for light-duty work after an injury in 2019; and refused additional hours for part-time firefighters in the department in 2019.”  He also claimed he was improperly denied an opportunity to take full-time exam in 2018 (he was not eligible; over age 35), having failed 2014 written exam.  </w:t>
      </w:r>
      <w:hyperlink r:id="rId1087" w:history="1">
        <w:r>
          <w:rPr>
            <w:rStyle w:val="Hyperlink"/>
          </w:rPr>
          <w:t>https://public.fastcase.com/J%2FJP6pdidelsXxEE4k%2BLMqXEJeUJZsYN8XwYWOyUlC0GPh%2F%2Bwkq0xl5anyRaTE9QaHRZkEBmW2yHOKZORN4PlxYhmnon1IB%2FHyIvmx43UH0%3D?utm_medium=email&amp;_hsmi=226712652&amp;_hsenc=p2ANqtz-9rfqpJ9UH1QBxXvlnF05ow2K3pkk0BVnTTX6Sp6SY3f-pdahd0e2LayjJ1D5QImVRxXi3oa7lL84FVoA8yZRWqxdZ-pA&amp;utm_content=226712652&amp;utm_source=hs_email</w:t>
        </w:r>
      </w:hyperlink>
      <w:r>
        <w:t xml:space="preserve"> </w:t>
      </w:r>
    </w:p>
    <w:p w14:paraId="4A6EDE0B" w14:textId="77777777" w:rsidR="003F788B" w:rsidRDefault="003F788B" w:rsidP="003F788B">
      <w:pPr>
        <w:pStyle w:val="NormalWeb"/>
        <w:ind w:left="720"/>
      </w:pPr>
      <w:r>
        <w:t>“Even if the Court reached the merits, however, Carroll does not come forward with sufficient evidence to sustain a First Amendment claim based on the alleged pre-2017 acts of retaliation. For starters, his claim about general harassment is too vague to survive summary judgment.</w:t>
      </w:r>
    </w:p>
    <w:p w14:paraId="1A4934C0" w14:textId="77777777" w:rsidR="003F788B" w:rsidRDefault="003F788B" w:rsidP="003F788B">
      <w:pPr>
        <w:pStyle w:val="NormalWeb"/>
        <w:ind w:left="720"/>
      </w:pPr>
      <w:r>
        <w:lastRenderedPageBreak/>
        <w:t>***</w:t>
      </w:r>
    </w:p>
    <w:p w14:paraId="05795AAF" w14:textId="77777777" w:rsidR="003F788B" w:rsidRDefault="003F788B" w:rsidP="003F788B">
      <w:pPr>
        <w:pStyle w:val="NormalWeb"/>
        <w:ind w:left="720"/>
      </w:pPr>
      <w:r>
        <w:t xml:space="preserve">Likewise, the record does not demonstrate any retaliation related to the 2014 firefighter exam. Any such claim suffers from a causation deficiency because the Board allowed Carroll to sit for the exam and he did not pass it because he failed the written portion. He does not dispute that he failed the written portion or assert that the Board purposefully failed him because of his political activities. Instead, he claims that comments directed toward him by Nagel “rattled” him and prevented him from passing the written portion of the test. But the Court finds that no reasonable juror could infer that he failed to pass the exam because of Nagel's comment, even if the comment was rude or disparaging. </w:t>
      </w:r>
      <w:r>
        <w:rPr>
          <w:rStyle w:val="Emphasis"/>
        </w:rPr>
        <w:t>See Riley v. City of Kokomo</w:t>
      </w:r>
      <w:r>
        <w:t>, 909 F.3d 182, 192 (7th Cir. 2018) (declining to draw an unreasonable inference at summary judgment).”</w:t>
      </w:r>
    </w:p>
    <w:p w14:paraId="1B989024" w14:textId="77777777" w:rsidR="003F788B" w:rsidRDefault="003F788B" w:rsidP="003F788B">
      <w:pPr>
        <w:pStyle w:val="NormalWeb"/>
        <w:rPr>
          <w:b/>
          <w:bCs/>
        </w:rPr>
      </w:pPr>
      <w:r>
        <w:rPr>
          <w:b/>
          <w:bCs/>
        </w:rPr>
        <w:t xml:space="preserve">Legal Lesson Learned: The plaintiff failed to prove retaliation for his 2005 political activities; his allegations of harassment were too vague.  </w:t>
      </w:r>
    </w:p>
    <w:p w14:paraId="46DE8121" w14:textId="77777777" w:rsidR="003F788B" w:rsidRDefault="003F788B" w:rsidP="003F788B">
      <w:pPr>
        <w:pStyle w:val="NormalWeb"/>
      </w:pPr>
    </w:p>
    <w:p w14:paraId="3D3AC4BD" w14:textId="4154263D" w:rsidR="003F788B" w:rsidRDefault="003F788B"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5</w:t>
      </w:r>
    </w:p>
    <w:p w14:paraId="79E86101" w14:textId="77777777" w:rsidR="003F788B" w:rsidRDefault="003F788B" w:rsidP="003F788B">
      <w:pPr>
        <w:pStyle w:val="NormalWeb"/>
        <w:rPr>
          <w:rFonts w:ascii="Arial Black" w:hAnsi="Arial Black"/>
          <w:sz w:val="28"/>
          <w:szCs w:val="28"/>
        </w:rPr>
      </w:pPr>
      <w:r>
        <w:rPr>
          <w:rFonts w:ascii="Arial Black" w:hAnsi="Arial Black"/>
          <w:sz w:val="28"/>
          <w:szCs w:val="28"/>
        </w:rPr>
        <w:t>IL:  FF STROKE – GETS ON DUTY DISABILITY PENSION – BLOOD THINNER 3 YRS PRIOR – STATUTORY PRESUMPTION</w:t>
      </w:r>
    </w:p>
    <w:p w14:paraId="62DE527B" w14:textId="77777777" w:rsidR="003F788B" w:rsidRDefault="003F788B" w:rsidP="003F788B">
      <w:pPr>
        <w:pStyle w:val="NormalWeb"/>
      </w:pPr>
      <w:r>
        <w:t xml:space="preserve">On March 22, 2023, in </w:t>
      </w:r>
      <w:r>
        <w:rPr>
          <w:u w:val="single"/>
        </w:rPr>
        <w:t>The City of East Peoria, Illinois v. Charles Melton II</w:t>
      </w:r>
      <w:r>
        <w:t xml:space="preserve">, the Court of Appeals of Illinois, Fourth District, upheld the decision of the Board of Trustees of the Firefighter’s Pension Fund of the City of East Peoria, which voted “three to two in favor of an oral motion to find that the disability resulted from service as a firefighter, entitling him to an       occupational disease disability pension.” Lieutenant Melton (age 56) was at home on March 11, </w:t>
      </w:r>
      <w:proofErr w:type="gramStart"/>
      <w:r>
        <w:t>2020</w:t>
      </w:r>
      <w:proofErr w:type="gramEnd"/>
      <w:r>
        <w:t xml:space="preserve"> and suffered right cerebellar ischemic stroke and has fully recovered but must remain on blood thinner rest of his life. Per NFPA 1582, he was not allowed to return to full duty for one year, and FD had no light duty. On July 8, 2020, he applied for an occupational disease disability pension. The Pension Board majority vote relied on report of one of three Independent Medical Experts who reviewed his file (none did physical exam or testified before the Board) that "one cannot discount the cumulative effects of active-duty firefighting in regard to his stroke."  The City </w:t>
      </w:r>
      <w:proofErr w:type="gramStart"/>
      <w:r>
        <w:t>appealed</w:t>
      </w:r>
      <w:proofErr w:type="gramEnd"/>
      <w:r>
        <w:t xml:space="preserve"> the Pension Board’s decision. </w:t>
      </w:r>
    </w:p>
    <w:p w14:paraId="060F20EA" w14:textId="77777777" w:rsidR="003F788B" w:rsidRDefault="003F788B" w:rsidP="003F788B">
      <w:pPr>
        <w:pStyle w:val="NormalWeb"/>
      </w:pPr>
      <w:r>
        <w:t xml:space="preserve">The Court of Appeals ruled </w:t>
      </w:r>
      <w:proofErr w:type="gramStart"/>
      <w:r>
        <w:t>the</w:t>
      </w:r>
      <w:proofErr w:type="gramEnd"/>
      <w:r>
        <w:t xml:space="preserve"> Independent Medical Experts were not required by state law to physically examine the firefighter.  The Court also held he was entitled to a work-related disability pension, referencing state statutory presumption statute.  </w:t>
      </w:r>
    </w:p>
    <w:p w14:paraId="0D6E5786" w14:textId="77777777" w:rsidR="003F788B" w:rsidRDefault="003F788B" w:rsidP="003F788B">
      <w:pPr>
        <w:pStyle w:val="NormalWeb"/>
        <w:ind w:left="720"/>
      </w:pPr>
      <w:r>
        <w:t xml:space="preserve">“We conclude that the Board's finding that Melton's stroke resulted from his ‘service as a firefighter’ was not against the manifest weight of the evidence.”  *** Melton himself does not dispute that he had numerous preexisting conditions that could have contributed to the stroke. However, a firefighter is ‘not required to prove that a duty-related accident or illness was the primary or originating cause of his disability; rather, he only needed to prove that a duty-related accident or illness aggravated, contributed, or exacerbated his disability.’ </w:t>
      </w:r>
      <w:r>
        <w:rPr>
          <w:rStyle w:val="Emphasis"/>
        </w:rPr>
        <w:t>Covello v. Village of Schaumburg Firefighters' Pension Fund</w:t>
      </w:r>
      <w:r>
        <w:t xml:space="preserve">, 2018 IL App (1st) 172350, ¶ 43. In other words, Melton did not have to prove that his stroke resulted solely from his firefighting duties. Though the City disputes that Melton demonstrated that he was subject to hazardous work conditions, Melton testified that his duties included being on firefighting calls and that he performed </w:t>
      </w:r>
      <w:proofErr w:type="gramStart"/>
      <w:r>
        <w:t>all of</w:t>
      </w:r>
      <w:proofErr w:type="gramEnd"/>
      <w:r>
        <w:t xml:space="preserve"> the duties listed in the job description for his position. The occupational disease disability statute itself, section 4-110.1, includes legislative findings that firefighters are exposed to dangerous conditions </w:t>
      </w:r>
      <w:proofErr w:type="gramStart"/>
      <w:r>
        <w:t>as a result of</w:t>
      </w:r>
      <w:proofErr w:type="gramEnd"/>
      <w:r>
        <w:t xml:space="preserve"> their employment. See also </w:t>
      </w:r>
      <w:r>
        <w:rPr>
          <w:rStyle w:val="Emphasis"/>
        </w:rPr>
        <w:t>Bremer v. City of Rockford</w:t>
      </w:r>
      <w:r>
        <w:t>, 2016 IL 119889, ¶ 31 ("[S]</w:t>
      </w:r>
      <w:proofErr w:type="spellStart"/>
      <w:r>
        <w:t>ection</w:t>
      </w:r>
      <w:proofErr w:type="spellEnd"/>
      <w:r>
        <w:t xml:space="preserve"> 4-110.1 recognizes that firefighters work in dangerous conditions and provides compensation when a firefighter contracts one of the listed diseases from repeated exposure to those </w:t>
      </w:r>
      <w:r>
        <w:lastRenderedPageBreak/>
        <w:t xml:space="preserve">conditions over a set period of time."); </w:t>
      </w:r>
      <w:r>
        <w:rPr>
          <w:rStyle w:val="Emphasis"/>
        </w:rPr>
        <w:t>Lindemulder</w:t>
      </w:r>
      <w:r>
        <w:t xml:space="preserve">, 408 Ill.App.3d at 503 ("Courts are not empowered to adjudicate the accuracy of legislative findings, but must accord great deference to the legislature's fact-finding authority."). As these diseases are recognized as possibly resulting from repeated exposures over long periods of time, that Melton suffered the stroke at home as opposed to while at work does not undermine his claim.” </w:t>
      </w:r>
      <w:hyperlink r:id="rId1088" w:history="1">
        <w:r>
          <w:rPr>
            <w:rStyle w:val="Hyperlink"/>
          </w:rPr>
          <w:t>https://public.fastcase.com/J%2FJP6pdidelsXxEE4k%2BLMk0xZflerRl5zZ1fWOEI5mhvpVlhWjp%2F9QDqlOI9DDnF8Aa9%2BfFIJaxfznSW2LItCr2%2FIZnHCYIIWW3H5dl8900%3D?utm_medium=email&amp;_hsmi=226712652&amp;_hsenc=p2ANqtz-9FKeS83U96VoJDZ5OFHU1pICbtYjQvhKtRkoV1KLCJmMon6gHAySjMj0YQylycLU_jnNetJR4aMTbAa4E7Rm7YwE3nmg&amp;utm_content=226712652&amp;utm_source=hs_email</w:t>
        </w:r>
      </w:hyperlink>
      <w:r>
        <w:t xml:space="preserve"> </w:t>
      </w:r>
    </w:p>
    <w:p w14:paraId="5D207117" w14:textId="77777777" w:rsidR="003F788B" w:rsidRDefault="003F788B" w:rsidP="003F788B">
      <w:pPr>
        <w:pStyle w:val="NormalWeb"/>
      </w:pPr>
      <w:r>
        <w:t>One of three IME, Dr. Williamson-Link, wrote a helpful report:</w:t>
      </w:r>
    </w:p>
    <w:p w14:paraId="409F6F26" w14:textId="77777777" w:rsidR="003F788B" w:rsidRDefault="003F788B" w:rsidP="003F788B">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“Dr. Jeffrey D. Williamson-Link, who was board certified in occupational medicine, similarly outlined Melton's medical history. </w:t>
      </w:r>
      <w:proofErr w:type="gramStart"/>
      <w:r>
        <w:rPr>
          <w:rFonts w:ascii="Times New Roman" w:eastAsia="Times New Roman" w:hAnsi="Times New Roman"/>
          <w:sz w:val="24"/>
          <w:szCs w:val="24"/>
        </w:rPr>
        <w:t>On the subject of the</w:t>
      </w:r>
      <w:proofErr w:type="gramEnd"/>
      <w:r>
        <w:rPr>
          <w:rFonts w:ascii="Times New Roman" w:eastAsia="Times New Roman" w:hAnsi="Times New Roman"/>
          <w:sz w:val="24"/>
          <w:szCs w:val="24"/>
        </w:rPr>
        <w:t xml:space="preserve"> nature and extent of any disability, Williamson-Link stated that Melton suffered from a cerebellar infarction that would, under NFPA 1582, require a waiting period of at least 12 months and </w:t>
      </w:r>
      <w:proofErr w:type="gramStart"/>
      <w:r>
        <w:rPr>
          <w:rFonts w:ascii="Times New Roman" w:eastAsia="Times New Roman" w:hAnsi="Times New Roman"/>
          <w:sz w:val="24"/>
          <w:szCs w:val="24"/>
        </w:rPr>
        <w:t>meeting</w:t>
      </w:r>
      <w:proofErr w:type="gramEnd"/>
      <w:r>
        <w:rPr>
          <w:rFonts w:ascii="Times New Roman" w:eastAsia="Times New Roman" w:hAnsi="Times New Roman"/>
          <w:sz w:val="24"/>
          <w:szCs w:val="24"/>
        </w:rPr>
        <w:t xml:space="preserve"> additional criteria before being considered to return to active duty without limitations or restrictions. ‘Additionally [Melton was] also on long term anticoagulation treatment for history of Factor V Leiden and Pulmonary Embolism which would restrict him from performing Essential Job Task #8 which involves climbing ladders, operating from heights and uneven surfaces.’ The lifelong need to remain on anticoagulation would prevent him from being "able to be </w:t>
      </w:r>
      <w:proofErr w:type="gramStart"/>
      <w:r>
        <w:rPr>
          <w:rFonts w:ascii="Times New Roman" w:eastAsia="Times New Roman" w:hAnsi="Times New Roman"/>
          <w:sz w:val="24"/>
          <w:szCs w:val="24"/>
        </w:rPr>
        <w:t>cleared</w:t>
      </w:r>
      <w:proofErr w:type="gramEnd"/>
      <w:r>
        <w:rPr>
          <w:rFonts w:ascii="Times New Roman" w:eastAsia="Times New Roman" w:hAnsi="Times New Roman"/>
          <w:sz w:val="24"/>
          <w:szCs w:val="24"/>
        </w:rPr>
        <w:t xml:space="preserve"> for full firefighting duties.’ In response to the question of whether any disabilities were the result of service as a firefighter, Williamson-Link wrote: </w:t>
      </w:r>
    </w:p>
    <w:p w14:paraId="3F77DEF2"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‘It is my medical opinion that one cannot discount the cumulative effects of active duty of Firefighting </w:t>
      </w:r>
      <w:proofErr w:type="gramStart"/>
      <w:r>
        <w:rPr>
          <w:rFonts w:ascii="Times New Roman" w:eastAsia="Times New Roman" w:hAnsi="Times New Roman"/>
          <w:sz w:val="24"/>
          <w:szCs w:val="24"/>
        </w:rPr>
        <w:t>in regards to</w:t>
      </w:r>
      <w:proofErr w:type="gramEnd"/>
      <w:r>
        <w:rPr>
          <w:rFonts w:ascii="Times New Roman" w:eastAsia="Times New Roman" w:hAnsi="Times New Roman"/>
          <w:sz w:val="24"/>
          <w:szCs w:val="24"/>
        </w:rPr>
        <w:t xml:space="preserve"> his stroke. Though the firefighter did have other risk factors, the occupational stressors of active firefighting </w:t>
      </w:r>
      <w:proofErr w:type="gramStart"/>
      <w:r>
        <w:rPr>
          <w:rFonts w:ascii="Times New Roman" w:eastAsia="Times New Roman" w:hAnsi="Times New Roman"/>
          <w:sz w:val="24"/>
          <w:szCs w:val="24"/>
        </w:rPr>
        <w:t>is</w:t>
      </w:r>
      <w:proofErr w:type="gramEnd"/>
      <w:r>
        <w:rPr>
          <w:rFonts w:ascii="Times New Roman" w:eastAsia="Times New Roman" w:hAnsi="Times New Roman"/>
          <w:sz w:val="24"/>
          <w:szCs w:val="24"/>
        </w:rPr>
        <w:t xml:space="preserve"> well-documented and its effects on the Cardiovascular System. </w:t>
      </w:r>
      <w:proofErr w:type="gramStart"/>
      <w:r>
        <w:rPr>
          <w:rFonts w:ascii="Times New Roman" w:eastAsia="Times New Roman" w:hAnsi="Times New Roman"/>
          <w:sz w:val="24"/>
          <w:szCs w:val="24"/>
        </w:rPr>
        <w:t>Additionally</w:t>
      </w:r>
      <w:proofErr w:type="gramEnd"/>
      <w:r>
        <w:rPr>
          <w:rFonts w:ascii="Times New Roman" w:eastAsia="Times New Roman" w:hAnsi="Times New Roman"/>
          <w:sz w:val="24"/>
          <w:szCs w:val="24"/>
        </w:rPr>
        <w:t xml:space="preserve"> the Firefighter has a history of Factor V </w:t>
      </w:r>
      <w:proofErr w:type="gramStart"/>
      <w:r>
        <w:rPr>
          <w:rFonts w:ascii="Times New Roman" w:eastAsia="Times New Roman" w:hAnsi="Times New Roman"/>
          <w:sz w:val="24"/>
          <w:szCs w:val="24"/>
        </w:rPr>
        <w:t>Leiden, and</w:t>
      </w:r>
      <w:proofErr w:type="gramEnd"/>
      <w:r>
        <w:rPr>
          <w:rFonts w:ascii="Times New Roman" w:eastAsia="Times New Roman" w:hAnsi="Times New Roman"/>
          <w:sz w:val="24"/>
          <w:szCs w:val="24"/>
        </w:rPr>
        <w:t xml:space="preserve"> has subsequently developed Pulmonary Embolism. Based on the review of the medical records, this appears to be a genetic disorder and would not be considered to be part of cumulative effects of active duty." </w:t>
      </w:r>
    </w:p>
    <w:p w14:paraId="74B0B118" w14:textId="77777777" w:rsidR="003F788B" w:rsidRDefault="003F788B" w:rsidP="003F788B">
      <w:pPr>
        <w:pStyle w:val="NormalWeb"/>
        <w:ind w:left="720"/>
        <w:rPr>
          <w:b/>
          <w:bCs/>
        </w:rPr>
      </w:pPr>
      <w:r>
        <w:t xml:space="preserve"> </w:t>
      </w:r>
      <w:r>
        <w:rPr>
          <w:b/>
          <w:bCs/>
        </w:rPr>
        <w:t xml:space="preserve">Legal Lesson Learned: The Court relied on language in the Illinois statutory presumption statute. </w:t>
      </w:r>
    </w:p>
    <w:p w14:paraId="3986D4FD" w14:textId="77777777" w:rsidR="003F788B" w:rsidRDefault="003F788B" w:rsidP="003F788B">
      <w:pPr>
        <w:pStyle w:val="NormalWeb"/>
        <w:ind w:left="1440"/>
        <w:rPr>
          <w:kern w:val="36"/>
        </w:rPr>
      </w:pPr>
      <w:r>
        <w:t xml:space="preserve">Note: See Ohio Revised Code, </w:t>
      </w:r>
      <w:r>
        <w:rPr>
          <w:kern w:val="36"/>
        </w:rPr>
        <w:t xml:space="preserve">Section 4123.68 | Schedule of compensable occupational diseases. </w:t>
      </w:r>
      <w:hyperlink r:id="rId1089" w:history="1">
        <w:r>
          <w:rPr>
            <w:rStyle w:val="Hyperlink"/>
          </w:rPr>
          <w:t>https://codes.ohio.gov/ohio-revised-code/section-4123.68</w:t>
        </w:r>
      </w:hyperlink>
      <w:r>
        <w:rPr>
          <w:kern w:val="36"/>
        </w:rPr>
        <w:t xml:space="preserve">. </w:t>
      </w:r>
      <w:r>
        <w:t>(W) Cardiovascular, pulmonary, or respiratory diseases incurred by firefighters or police officers following exposure to heat, smoke, toxic gases, chemical fumes and other toxic substances: Any cardiovascular, pulmonary, or respiratory disease of a firefighter or police officer caused or induced by the cumulative effect of exposure to heat, the inhalation of smoke, toxic gases, chemical fumes and other toxic substances in the performance of the firefighter's or police officer's duty constitutes a presumption, which may be refuted by affirmative evidence, that such occurred in the course of and arising out of the firefighter's or police officer's employment.”</w:t>
      </w:r>
    </w:p>
    <w:p w14:paraId="58C63217" w14:textId="77777777" w:rsidR="003F788B" w:rsidRDefault="003F788B" w:rsidP="00EF1133">
      <w:pPr>
        <w:rPr>
          <w:rFonts w:ascii="Arial Black" w:hAnsi="Arial Black"/>
          <w:b/>
          <w:sz w:val="24"/>
          <w:szCs w:val="24"/>
        </w:rPr>
      </w:pPr>
    </w:p>
    <w:p w14:paraId="798294AE" w14:textId="7C8702B0" w:rsidR="00EF1133" w:rsidRDefault="002D64A4"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4</w:t>
      </w:r>
    </w:p>
    <w:p w14:paraId="756D8721" w14:textId="77777777" w:rsidR="002D64A4" w:rsidRDefault="002D64A4" w:rsidP="002D64A4">
      <w:pPr>
        <w:pStyle w:val="NormalWeb"/>
        <w:rPr>
          <w:rFonts w:ascii="Arial Black" w:hAnsi="Arial Black"/>
          <w:sz w:val="28"/>
          <w:szCs w:val="28"/>
        </w:rPr>
      </w:pPr>
      <w:bookmarkStart w:id="228" w:name="_Hlk129180485"/>
      <w:r>
        <w:rPr>
          <w:rFonts w:ascii="Arial Black" w:hAnsi="Arial Black"/>
          <w:sz w:val="28"/>
          <w:szCs w:val="28"/>
        </w:rPr>
        <w:t>LA: NASAL CANCER – FF WINS WORK COMP – STATUTORY PRESUMPTION – “CANNOT RULE OUT” CAUSED BY THE JOB</w:t>
      </w:r>
    </w:p>
    <w:p w14:paraId="05E5FE18" w14:textId="77777777" w:rsidR="002D64A4" w:rsidRDefault="002D64A4" w:rsidP="002D64A4">
      <w:pPr>
        <w:pStyle w:val="NormalWeb"/>
      </w:pPr>
      <w:r>
        <w:lastRenderedPageBreak/>
        <w:t xml:space="preserve">On March 1, 2023, in </w:t>
      </w:r>
      <w:r w:rsidRPr="00AF372B">
        <w:rPr>
          <w:u w:val="single"/>
        </w:rPr>
        <w:t>James Schexnayder v. Jefferson Parish Fire Department</w:t>
      </w:r>
      <w:r>
        <w:t xml:space="preserve">, the Court of Appeals of Louisiana, Fifth Circuit held (3 to 0) that Office of Workers Comp (OWC) judge erred in dismissing claimant's </w:t>
      </w:r>
      <w:proofErr w:type="gramStart"/>
      <w:r>
        <w:t>petition</w:t>
      </w:r>
      <w:proofErr w:type="gramEnd"/>
      <w:r>
        <w:t xml:space="preserve"> and we reverse the judgment appealed, based on the state “statutory presumption” law for firefighters who have cancer.  “In this case, it is undisputed that claimant has been employed in the classified service as a firefighter for the Jefferson Parish Fire Department for more than 31 years and is still employed as a professional firefighter with the Parish and actively fighting fires today. Therefore, he is clearly entitled to the presumption set forth in the Cancer Act. Upon review of all evidence presented at trial, we find that the Parish did not rebut the presumption sufficiently to dismiss claimant's petition. Although the Parish put forth evidence to demonstrate that the type of lymphoma claimant has been diagnosed with is generally caused by the EBV virus, the claimant presented evidence that such a diagnosis is multifactorial and that the etiology is complicated. The evidence claimant introduced clearly demonstrated that claimant's employment could not be ruled out as a contributing factor to his disease.” </w:t>
      </w:r>
      <w:hyperlink r:id="rId1090" w:history="1">
        <w:r w:rsidRPr="003C2BFF">
          <w:rPr>
            <w:rStyle w:val="Hyperlink"/>
            <w:rFonts w:eastAsiaTheme="majorEastAsia"/>
          </w:rPr>
          <w:t>https://www.fifthcircuit.org/dmzdocs/OI/PO/2023/E7D4F8B7-C22B-4814-BFD0-4E0FF0BBD0BE.pdf</w:t>
        </w:r>
      </w:hyperlink>
      <w:r>
        <w:t xml:space="preserve"> </w:t>
      </w:r>
    </w:p>
    <w:p w14:paraId="635190FE" w14:textId="77777777" w:rsidR="002D64A4" w:rsidRDefault="002D64A4" w:rsidP="002D64A4">
      <w:pPr>
        <w:pStyle w:val="NormalWeb"/>
        <w:ind w:left="720"/>
      </w:pPr>
      <w:r>
        <w:t xml:space="preserve">“The [Firefighter Cancer] Act embodies the social policy of the state which recognizes that firemen are subjected during their career to the hazards of smoke, heat, and nauseous fumes from all kinds of toxic chemicals…. The legislature recognized that this exposure could cause a fireman to become the victim of cancer and the presumption relieves the claimant from the necessity of proving an occupational causation of the disease. </w:t>
      </w:r>
    </w:p>
    <w:p w14:paraId="4B345BE8" w14:textId="77777777" w:rsidR="002D64A4" w:rsidRDefault="002D64A4" w:rsidP="002D64A4">
      <w:pPr>
        <w:pStyle w:val="NormalWeb"/>
        <w:ind w:left="720"/>
      </w:pPr>
      <w:r>
        <w:t>***</w:t>
      </w:r>
    </w:p>
    <w:p w14:paraId="32B6A1E2" w14:textId="77777777" w:rsidR="002D64A4" w:rsidRDefault="002D64A4" w:rsidP="002D64A4">
      <w:pPr>
        <w:pStyle w:val="NormalWeb"/>
        <w:ind w:left="720"/>
      </w:pPr>
      <w:r>
        <w:t>We find the evidence presented at trial could not rule out that claimant's more than 30-year employment actively fighting fires could not have contributed to his diagnoses of lymphoma in this case. Consequently, we find the OWJ was clearly erroneous in dismissing claimant's 1008.”</w:t>
      </w:r>
    </w:p>
    <w:p w14:paraId="236D2356" w14:textId="49EE32DB" w:rsidR="002D64A4" w:rsidRDefault="002D64A4" w:rsidP="002D64A4">
      <w:pPr>
        <w:pStyle w:val="NormalWeb"/>
        <w:rPr>
          <w:b/>
          <w:bCs/>
        </w:rPr>
      </w:pPr>
      <w:r w:rsidRPr="006C7ECC">
        <w:rPr>
          <w:b/>
          <w:bCs/>
        </w:rPr>
        <w:t>Legal Lesson Learned:</w:t>
      </w:r>
      <w:r>
        <w:rPr>
          <w:b/>
          <w:bCs/>
        </w:rPr>
        <w:t xml:space="preserve"> Another case where the “statutory presumption” was the deciding factor.  FF should keep records of fires and other chemical exposures.  </w:t>
      </w:r>
    </w:p>
    <w:p w14:paraId="5221CE81" w14:textId="58C50AE5" w:rsidR="002D64A4" w:rsidRDefault="002D64A4" w:rsidP="002D64A4">
      <w:pPr>
        <w:pStyle w:val="NormalWeb"/>
        <w:rPr>
          <w:b/>
          <w:bCs/>
        </w:rPr>
      </w:pPr>
    </w:p>
    <w:p w14:paraId="1A3FCAEF" w14:textId="693E0F9C" w:rsidR="002D64A4" w:rsidRPr="00FF0339" w:rsidRDefault="002D64A4" w:rsidP="002D64A4">
      <w:pPr>
        <w:pStyle w:val="NormalWeb"/>
        <w:rPr>
          <w:rFonts w:ascii="Arial Black" w:hAnsi="Arial Black"/>
          <w:sz w:val="28"/>
          <w:szCs w:val="28"/>
        </w:rPr>
      </w:pPr>
      <w:r w:rsidRPr="00FF0339">
        <w:rPr>
          <w:rFonts w:ascii="Arial Black" w:hAnsi="Arial Black"/>
          <w:sz w:val="28"/>
          <w:szCs w:val="28"/>
        </w:rPr>
        <w:t>6-10</w:t>
      </w:r>
      <w:r w:rsidR="00FF7C63">
        <w:rPr>
          <w:rFonts w:ascii="Arial Black" w:hAnsi="Arial Black"/>
          <w:sz w:val="28"/>
          <w:szCs w:val="28"/>
        </w:rPr>
        <w:t>3</w:t>
      </w:r>
    </w:p>
    <w:p w14:paraId="27ADF6EA" w14:textId="77777777" w:rsidR="002D64A4" w:rsidRPr="001377C6" w:rsidRDefault="002D64A4" w:rsidP="002D64A4">
      <w:pPr>
        <w:pStyle w:val="NormalWeb"/>
        <w:rPr>
          <w:rFonts w:ascii="Arial Black" w:hAnsi="Arial Black"/>
          <w:b/>
          <w:bCs/>
          <w:sz w:val="28"/>
          <w:szCs w:val="28"/>
        </w:rPr>
      </w:pPr>
      <w:r>
        <w:rPr>
          <w:rFonts w:ascii="Arial Black" w:hAnsi="Arial Black"/>
          <w:b/>
          <w:bCs/>
          <w:sz w:val="28"/>
          <w:szCs w:val="28"/>
        </w:rPr>
        <w:t>MA: FIRE CHIEF CONTRACT NOT RENEWED AFTER 5</w:t>
      </w:r>
      <w:r w:rsidRPr="001377C6">
        <w:rPr>
          <w:rFonts w:ascii="Arial Black" w:hAnsi="Arial Black"/>
          <w:b/>
          <w:bCs/>
          <w:sz w:val="28"/>
          <w:szCs w:val="28"/>
          <w:vertAlign w:val="superscript"/>
        </w:rPr>
        <w:t>th</w:t>
      </w:r>
      <w:r>
        <w:rPr>
          <w:rFonts w:ascii="Arial Black" w:hAnsi="Arial Black"/>
          <w:b/>
          <w:bCs/>
          <w:sz w:val="28"/>
          <w:szCs w:val="28"/>
        </w:rPr>
        <w:t xml:space="preserve"> YEARS – DIDN’T HAVE LIFETIME APPOINTMENT</w:t>
      </w:r>
    </w:p>
    <w:p w14:paraId="57E63D28" w14:textId="77777777" w:rsidR="002D64A4" w:rsidRPr="001377C6" w:rsidRDefault="002D64A4" w:rsidP="002D64A4">
      <w:pPr>
        <w:pStyle w:val="NormalWeb"/>
      </w:pPr>
      <w:r>
        <w:t xml:space="preserve">On Feb. 24, 2023, in </w:t>
      </w:r>
      <w:r w:rsidRPr="001377C6">
        <w:rPr>
          <w:u w:val="single"/>
        </w:rPr>
        <w:t>Mark Tetreault v. Board of Selectmen of Lynnfield</w:t>
      </w:r>
      <w:r>
        <w:t xml:space="preserve">, the Appeals Court of Massachusetts, Essex, held (3 to 0) that that the town did not violate the “strong chief” statute, the town charter, or the town's personnel bylaws by electing in 2018 not to renew Tetreault's contract.  </w:t>
      </w:r>
      <w:r w:rsidRPr="00EF4D33">
        <w:t>The</w:t>
      </w:r>
      <w:r>
        <w:t xml:space="preserve"> Court noted: “Tetreault suggests that its purpose was to protect fire chiefs from ‘political machinations’ and to allow them independence in the discharge of their duties. He argues that this purpose would be undermined by our interpretation. We disagree. ***  Even if the strong chief statute could be interpreted to provide fire chiefs with lifetime tenure -- a doubtful proposition -- Tetreault waived any such statutory right by </w:t>
      </w:r>
      <w:proofErr w:type="gramStart"/>
      <w:r>
        <w:t>entering into</w:t>
      </w:r>
      <w:proofErr w:type="gramEnd"/>
      <w:r>
        <w:t xml:space="preserve"> the employment contract. When he did so, he knew that the contract had language and terms that conflicted with what he professes was his belief about the meaning of the strong chief statute. As we have said, however, nothing would prohibit a fire chief from </w:t>
      </w:r>
      <w:proofErr w:type="gramStart"/>
      <w:r>
        <w:t>entering into</w:t>
      </w:r>
      <w:proofErr w:type="gramEnd"/>
      <w:r>
        <w:t xml:space="preserve"> an employment contract on terms that differ from the strong chief statute, and G. L. c. 41, § 108O, expressly permits that course of action.” </w:t>
      </w:r>
      <w:hyperlink r:id="rId1091" w:history="1">
        <w:r w:rsidRPr="00CE4DCE">
          <w:rPr>
            <w:rStyle w:val="Hyperlink"/>
            <w:rFonts w:eastAsiaTheme="majorEastAsia"/>
          </w:rPr>
          <w:t>https://www.socialaw.com/services/slip-opinions/slip-opinion-details/mark-tetreault-vs.-board-of-selectmen-of-lynnfield</w:t>
        </w:r>
      </w:hyperlink>
      <w:r>
        <w:t xml:space="preserve"> </w:t>
      </w:r>
    </w:p>
    <w:p w14:paraId="36C512AE" w14:textId="77777777" w:rsidR="002D64A4" w:rsidRDefault="002D64A4" w:rsidP="002D64A4">
      <w:pPr>
        <w:pStyle w:val="NormalWeb"/>
        <w:ind w:left="720"/>
      </w:pPr>
      <w:r>
        <w:lastRenderedPageBreak/>
        <w:t xml:space="preserve">“In December 2013, the board appointed Tetreault as the town's fire chief ‘subject to the successful negotiation of an employment contract.’ During those negotiations, in discussing the contract provision that he </w:t>
      </w:r>
      <w:proofErr w:type="gramStart"/>
      <w:r>
        <w:t>serve</w:t>
      </w:r>
      <w:proofErr w:type="gramEnd"/>
      <w:r>
        <w:t xml:space="preserve"> as an employee at will during an initial six-month probationary period, Tetreault told the town administrator that it was his understanding that under the strong chief statute, a chief ‘only could be terminated for cause.’ Tetreault asked to include in the contract language that provided that ‘[n]</w:t>
      </w:r>
      <w:proofErr w:type="spellStart"/>
      <w:r>
        <w:t>othing</w:t>
      </w:r>
      <w:proofErr w:type="spellEnd"/>
      <w:r>
        <w:t xml:space="preserve"> in this agreement shall diminish the authority, duty, and protections granted under [G. L. c. 48, § 42],’ and that the contract was ‘in accordance with [G. L. c. 41, § 108O].’ The town administrator declined to do so, and no reference to either statute was included in the contract.”</w:t>
      </w:r>
    </w:p>
    <w:p w14:paraId="416A6D4F" w14:textId="77777777" w:rsidR="002D64A4" w:rsidRDefault="002D64A4" w:rsidP="002D64A4">
      <w:pPr>
        <w:pStyle w:val="NormalWeb"/>
        <w:rPr>
          <w:b/>
          <w:bCs/>
        </w:rPr>
      </w:pPr>
      <w:r w:rsidRPr="00577551">
        <w:rPr>
          <w:b/>
          <w:bCs/>
        </w:rPr>
        <w:t>Legal Lesson Learned:</w:t>
      </w:r>
      <w:r>
        <w:rPr>
          <w:b/>
          <w:bCs/>
        </w:rPr>
        <w:t xml:space="preserve"> Fire Chiefs when negotiating an employment contract should have a clear provision on basis for non-renewal of the contract; wise to have an attorney review. </w:t>
      </w:r>
    </w:p>
    <w:p w14:paraId="409649A0" w14:textId="77777777" w:rsidR="002D64A4" w:rsidRPr="006C7ECC" w:rsidRDefault="002D64A4" w:rsidP="002D64A4">
      <w:pPr>
        <w:pStyle w:val="NormalWeb"/>
        <w:rPr>
          <w:b/>
          <w:bCs/>
        </w:rPr>
      </w:pPr>
    </w:p>
    <w:bookmarkEnd w:id="228"/>
    <w:p w14:paraId="1F96F92E" w14:textId="77777777" w:rsidR="002D64A4" w:rsidRDefault="002D64A4" w:rsidP="00EF1133">
      <w:pPr>
        <w:rPr>
          <w:rFonts w:ascii="Arial Black" w:hAnsi="Arial Black"/>
          <w:b/>
          <w:sz w:val="24"/>
          <w:szCs w:val="24"/>
        </w:rPr>
      </w:pPr>
    </w:p>
    <w:p w14:paraId="416F9D9E" w14:textId="01A68C81" w:rsidR="007959C9" w:rsidRDefault="008A4533"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2</w:t>
      </w:r>
    </w:p>
    <w:p w14:paraId="1808E9E0" w14:textId="77777777" w:rsidR="008A4533" w:rsidRPr="00E81735" w:rsidRDefault="008A4533" w:rsidP="008A4533">
      <w:pPr>
        <w:pStyle w:val="NormalWeb"/>
        <w:rPr>
          <w:rFonts w:ascii="Arial Black" w:hAnsi="Arial Black"/>
          <w:sz w:val="28"/>
          <w:szCs w:val="28"/>
        </w:rPr>
      </w:pPr>
      <w:r>
        <w:rPr>
          <w:rFonts w:ascii="Arial Black" w:hAnsi="Arial Black"/>
          <w:sz w:val="28"/>
          <w:szCs w:val="28"/>
        </w:rPr>
        <w:t xml:space="preserve">PA: VOLUNTEER FF – KIDNEY / COLON CANCER – GETS WORK COMP UNDER PA “STATUTORY PRESUMPTION” </w:t>
      </w:r>
    </w:p>
    <w:p w14:paraId="2900FECC" w14:textId="77777777" w:rsidR="008A4533" w:rsidRDefault="008A4533" w:rsidP="008A4533">
      <w:pPr>
        <w:pStyle w:val="NormalWeb"/>
      </w:pPr>
      <w:r>
        <w:t xml:space="preserve">On Jan. 10, 2023, in </w:t>
      </w:r>
      <w:r w:rsidRPr="00FE6967">
        <w:rPr>
          <w:u w:val="single"/>
        </w:rPr>
        <w:t>Volunteer Fire Companies of Lower Saucon v. David Cawley (Workers’ Compensation Appeal Board</w:t>
      </w:r>
      <w:r>
        <w:t xml:space="preserve">,  the Commonwealth Court of Pennsylvania held (3 to 0; unpublished opinion) that the Administrative Law Judge, and the Appeal Board, both properly held that the volunteer firefighter, with over 20 years of service, and over 1,000 fires, who worked in Fire Station that did not extract diesel smoke, was entitled to worker’s comp for his kidney and colon cancers. Under the PA statutory presumption statute, firefighters with over 4 years on the job, with no cancer when they joined fire service, only had to </w:t>
      </w:r>
      <w:r w:rsidRPr="00FE6967">
        <w:t>prove</w:t>
      </w:r>
      <w:r>
        <w:t xml:space="preserve"> a</w:t>
      </w:r>
      <w:r w:rsidRPr="00FE6967">
        <w:rPr>
          <w:b/>
          <w:bCs/>
        </w:rPr>
        <w:t xml:space="preserve"> “</w:t>
      </w:r>
      <w:r w:rsidRPr="00FE6967">
        <w:rPr>
          <w:rStyle w:val="Strong"/>
        </w:rPr>
        <w:t>general causative link between the claimant</w:t>
      </w:r>
      <w:r w:rsidRPr="00FE6967">
        <w:rPr>
          <w:b/>
          <w:bCs/>
        </w:rPr>
        <w:t>'</w:t>
      </w:r>
      <w:r w:rsidRPr="00FE6967">
        <w:rPr>
          <w:rStyle w:val="Strong"/>
        </w:rPr>
        <w:t>s type of cancer and a Group 1 carcinogen</w:t>
      </w:r>
      <w:r w:rsidRPr="00FE6967">
        <w:rPr>
          <w:b/>
          <w:bCs/>
        </w:rPr>
        <w:t>.”</w:t>
      </w:r>
      <w:r>
        <w:t xml:space="preserve"> The Court held: “In other words, the claimant </w:t>
      </w:r>
      <w:r>
        <w:rPr>
          <w:rStyle w:val="Emphasis"/>
        </w:rPr>
        <w:t>must produce evidence that it is possible</w:t>
      </w:r>
      <w:r>
        <w:t xml:space="preserve"> that the carcinogen in question caused the type of cancer with which the claimant is afflicted. It does </w:t>
      </w:r>
      <w:r>
        <w:rPr>
          <w:rStyle w:val="Emphasis"/>
        </w:rPr>
        <w:t xml:space="preserve">not require the claimant to prove that the identified Group 1 carcinogen </w:t>
      </w:r>
      <w:proofErr w:type="gramStart"/>
      <w:r>
        <w:rPr>
          <w:rStyle w:val="Emphasis"/>
        </w:rPr>
        <w:t>actually</w:t>
      </w:r>
      <w:r>
        <w:t xml:space="preserve"> caused</w:t>
      </w:r>
      <w:proofErr w:type="gramEnd"/>
      <w:r>
        <w:t xml:space="preserve"> claimant's cancer.”</w:t>
      </w:r>
      <w:hyperlink r:id="rId1092" w:history="1">
        <w:r w:rsidRPr="00D25822">
          <w:rPr>
            <w:rStyle w:val="Hyperlink"/>
          </w:rPr>
          <w:t>https://law.justia.com/cases/pennsylvania/commonwealth-court/2023/12-c-d-2022.html</w:t>
        </w:r>
      </w:hyperlink>
      <w:r>
        <w:t xml:space="preserve"> </w:t>
      </w:r>
    </w:p>
    <w:p w14:paraId="263B8DB9" w14:textId="77777777" w:rsidR="008A4533" w:rsidRDefault="008A4533" w:rsidP="008A4533">
      <w:pPr>
        <w:pStyle w:val="NormalWeb"/>
        <w:ind w:left="720"/>
      </w:pPr>
      <w:r>
        <w:t xml:space="preserve">“Here, Claimant testified that he has always worked at the same firehouse, which operates three diesel-powered vehicles, and it does not have a diesel fuel emissions capture system….  He could see and smell diesel fuel emissions on every fire call for approximately five to eight minutes before the trucks pulled out of the firehouse, during which time he was not wearing breathing protection. …  He was also exposed while the trucks are running at every fire scene…. Claimant recalled that the firehouse apparatus door, walls, and ceiling were covered in diesel fuel soot, which he periodically participated in cleaning without being given personal protective equipment. </w:t>
      </w:r>
    </w:p>
    <w:p w14:paraId="55B8B77A" w14:textId="77777777" w:rsidR="008A4533" w:rsidRDefault="008A4533" w:rsidP="008A4533">
      <w:pPr>
        <w:pStyle w:val="NormalWeb"/>
        <w:ind w:left="720" w:firstLine="60"/>
      </w:pPr>
      <w:r>
        <w:t>Claimant described that he fought at least 1,000 interior and exterior fires over the years, including house, car, trash, brush, and warehouse fires…. Claimant presented Employer's pre-</w:t>
      </w:r>
      <w:proofErr w:type="spellStart"/>
      <w:r>
        <w:t>PennFIRS</w:t>
      </w:r>
      <w:proofErr w:type="spellEnd"/>
      <w:r>
        <w:t xml:space="preserve"> and </w:t>
      </w:r>
      <w:proofErr w:type="spellStart"/>
      <w:r>
        <w:t>PennFIRS</w:t>
      </w:r>
      <w:proofErr w:type="spellEnd"/>
      <w:r>
        <w:t xml:space="preserve"> reports reflecting his firefighting since 1979. He stated that he participated in all firefighting stages, including: the attack phase (entry, search, rescue, ventilation and suppression), the overhaul phase, the salvage phase, and the fire investigation phase, all of which exposed him to soot and smoke…. Claimant explained that, although firefighters now use self-contained breathing apparatuses (SCBAs) for all types of fires and phases, for the first 20 years or so of his service, SCBAs were not used for exterior fires, car fires, overhaul, or salvage.</w:t>
      </w:r>
    </w:p>
    <w:p w14:paraId="2A63AD88" w14:textId="77777777" w:rsidR="008A4533" w:rsidRDefault="008A4533" w:rsidP="008A4533">
      <w:pPr>
        <w:pStyle w:val="NormalWeb"/>
        <w:ind w:left="720" w:firstLine="60"/>
        <w:rPr>
          <w:rStyle w:val="Emphasis"/>
        </w:rPr>
      </w:pPr>
      <w:r>
        <w:lastRenderedPageBreak/>
        <w:t>***</w:t>
      </w:r>
    </w:p>
    <w:p w14:paraId="4D051345" w14:textId="77777777" w:rsidR="008A4533" w:rsidRDefault="008A4533" w:rsidP="008A4533">
      <w:pPr>
        <w:pStyle w:val="NormalWeb"/>
        <w:ind w:left="720"/>
      </w:pPr>
      <w:r>
        <w:t xml:space="preserve">“The express language of </w:t>
      </w:r>
      <w:r>
        <w:rPr>
          <w:rStyle w:val="Strong"/>
        </w:rPr>
        <w:t>Section 108(r)</w:t>
      </w:r>
      <w:r>
        <w:t xml:space="preserve"> [</w:t>
      </w:r>
      <w:r>
        <w:rPr>
          <w:rStyle w:val="Strong"/>
        </w:rPr>
        <w:t>of the Act</w:t>
      </w:r>
      <w:r>
        <w:t xml:space="preserve">], namely that the claimant has a ‘cancer . . . which is caused by exposure to a known (Group 1) carcinogen’ clearly imposes an initial burden of causation on the claimant. Importantly, however, the provision </w:t>
      </w:r>
      <w:r>
        <w:rPr>
          <w:rStyle w:val="Strong"/>
        </w:rPr>
        <w:t>only requires the claimant to establish a general causative link between the claimant</w:t>
      </w:r>
      <w:r>
        <w:t>'</w:t>
      </w:r>
      <w:r>
        <w:rPr>
          <w:rStyle w:val="Strong"/>
        </w:rPr>
        <w:t>s type of cancer and a Group 1 carcinogen</w:t>
      </w:r>
      <w:r>
        <w:t>…. Section 108(r) [of the Act] embodies a legislative acknowledgement that firefighting is a dangerous occupation that routinely exposes firefighters to Group 1 carcinogens that are known to cause various types of cancers. The ‘general causation’ requirement under Section 108(r) [of the Act] constitutes a recognition that different types of cancers have different etiologies, and it weeds out claims for compensation for cancers with no known link to Group 1 carcinogens. The burden imposed by Section 108(r) [of the Act] is not a heavy burden.”</w:t>
      </w:r>
    </w:p>
    <w:p w14:paraId="56C1283D" w14:textId="77777777" w:rsidR="008A4533" w:rsidRPr="005B7454" w:rsidRDefault="008A4533" w:rsidP="008A4533">
      <w:pPr>
        <w:pStyle w:val="NormalWeb"/>
        <w:rPr>
          <w:b/>
          <w:bCs/>
        </w:rPr>
      </w:pPr>
      <w:r w:rsidRPr="005B7454">
        <w:rPr>
          <w:b/>
          <w:bCs/>
        </w:rPr>
        <w:t>Legal Lesson Learned:</w:t>
      </w:r>
      <w:r>
        <w:rPr>
          <w:b/>
          <w:bCs/>
        </w:rPr>
        <w:t xml:space="preserve"> Statutory presumption statute in Pennsylvania, and many other states, is very helpful.   </w:t>
      </w:r>
    </w:p>
    <w:p w14:paraId="4B3194C2" w14:textId="77777777" w:rsidR="008A4533" w:rsidRDefault="008A4533" w:rsidP="008A4533">
      <w:pPr>
        <w:pStyle w:val="NormalWeb"/>
      </w:pPr>
    </w:p>
    <w:p w14:paraId="29711B73" w14:textId="7336E4EA" w:rsidR="008A4533" w:rsidRDefault="008A4533" w:rsidP="00EF1133">
      <w:pPr>
        <w:rPr>
          <w:rFonts w:ascii="Arial Black" w:hAnsi="Arial Black"/>
          <w:b/>
          <w:sz w:val="24"/>
          <w:szCs w:val="24"/>
        </w:rPr>
      </w:pPr>
    </w:p>
    <w:p w14:paraId="1BF8D28E" w14:textId="1737D3C0" w:rsidR="008A4533" w:rsidRDefault="008A4533"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1</w:t>
      </w:r>
    </w:p>
    <w:p w14:paraId="48019C73" w14:textId="00DBCD29" w:rsidR="008A4533" w:rsidRDefault="008A4533" w:rsidP="00EF1133">
      <w:pPr>
        <w:rPr>
          <w:rFonts w:ascii="Arial Black" w:hAnsi="Arial Black"/>
          <w:b/>
          <w:sz w:val="24"/>
          <w:szCs w:val="24"/>
        </w:rPr>
      </w:pPr>
    </w:p>
    <w:p w14:paraId="218EEB18" w14:textId="77777777" w:rsidR="008A4533" w:rsidRPr="00BF0E9D" w:rsidRDefault="008A4533" w:rsidP="008A4533">
      <w:pPr>
        <w:pStyle w:val="NormalWeb"/>
        <w:rPr>
          <w:rFonts w:ascii="Arial Black" w:hAnsi="Arial Black"/>
          <w:sz w:val="28"/>
          <w:szCs w:val="28"/>
        </w:rPr>
      </w:pPr>
      <w:r>
        <w:rPr>
          <w:rFonts w:ascii="Arial Black" w:hAnsi="Arial Black"/>
          <w:sz w:val="28"/>
          <w:szCs w:val="28"/>
        </w:rPr>
        <w:t>AL:  ASSISTANT FIRE CHIEF – ARRESTED DOMESTIC VIOLENCE - RETIRED “IMMEDIATELY” – NOT FORCED</w:t>
      </w:r>
    </w:p>
    <w:p w14:paraId="02DDBE6B" w14:textId="77777777" w:rsidR="008A4533" w:rsidRDefault="008A4533" w:rsidP="008A4533">
      <w:pPr>
        <w:pStyle w:val="NormalWeb"/>
      </w:pPr>
      <w:r>
        <w:t xml:space="preserve">On Jan. 6, 2023, in </w:t>
      </w:r>
      <w:r w:rsidRPr="00BF0E9D">
        <w:rPr>
          <w:u w:val="single"/>
        </w:rPr>
        <w:t>Kenneth Bolling v. City of Montgomery</w:t>
      </w:r>
      <w:r>
        <w:t xml:space="preserve">, U.S. District Court Judge A. Austin Huffaker, Jr., U.S. District Court for Middle District of Alabama (Northern Division), held that after holding a bench trial May 16-17, 2022 and July 11, 2022, he found that Assistant Fire Bolling’s allegation that Fire Chief directed him to immediate resign after his arrest for domestic violence was not credible.  Bolling was second in command at the FD, 33 years of service, was arrested on June 27, </w:t>
      </w:r>
      <w:proofErr w:type="gramStart"/>
      <w:r>
        <w:t>2018</w:t>
      </w:r>
      <w:proofErr w:type="gramEnd"/>
      <w:r>
        <w:t xml:space="preserve"> for alleged domestic violence against his former girlfriend the night before.  When released from jail after 12-hour mandatory hold, he first called the City’s retirement specialist for estimate of his retirement payout.  He then met with Fire Chief </w:t>
      </w:r>
      <w:proofErr w:type="spellStart"/>
      <w:r>
        <w:t>Miford</w:t>
      </w:r>
      <w:proofErr w:type="spellEnd"/>
      <w:r>
        <w:t xml:space="preserve"> Jordan, and Chief of Staff Chief of Staff John Petrey, and signed a suspension with pay document.  He then when to retirement specialist, obtained retirement document, and signed for “immediate retirement” (not giving 7-days’ notice led to forfeiture of accrued leave and sick time). The Court held:  “And finally, and perhaps most persuasively, on the morning he turned himself into the city police-</w:t>
      </w:r>
      <w:r>
        <w:rPr>
          <w:rStyle w:val="Emphasis"/>
        </w:rPr>
        <w:t>before</w:t>
      </w:r>
      <w:r>
        <w:t xml:space="preserve"> his parking lot discussion with Chief Jordan and </w:t>
      </w:r>
      <w:r>
        <w:rPr>
          <w:rStyle w:val="Emphasis"/>
        </w:rPr>
        <w:t>before</w:t>
      </w:r>
      <w:r>
        <w:t xml:space="preserve"> the Petrey office meeting-Bolling called city retirement specialist Kim Neese to obtain an estimate of retirement benefit payouts should he decide to retire immediately. This uncoerced, self-initiated action supports the inference that Bolling intended to resign (or at least was seriously considering it) prior to any discussion with Chief Jordan and Petrey about his termination and supposed loss of retirement benefits.” </w:t>
      </w:r>
      <w:hyperlink r:id="rId1093" w:history="1">
        <w:r w:rsidRPr="00D25822">
          <w:rPr>
            <w:rStyle w:val="Hyperlink"/>
          </w:rPr>
          <w:t>https://public.fastcase.com/J%2FJP6pdidelsXxEE4k%2BLMqkdD5%2F9vomvqFlCkCXbHBZeshVe9dMO69n26VvOOGQ0AfFNIJdHHotvSTHs4WCcjg4h%2FMs%2B3ZGL0GmuYT%2B2kk4%3D?utm_medium=email&amp;_hsmi=226712652&amp;_hsenc=p2ANqtz-9blRBfGvWcvPfjP94U0OWp5xjRToJRFC1FgT4HNxkVt3pCFWJPlaIDL-9MMTlNfF1ZXM41l3Otj_VuO__ziHrFsLR4IQ&amp;utm_content=226712652&amp;utm_source=hs_email</w:t>
        </w:r>
      </w:hyperlink>
      <w:r>
        <w:t xml:space="preserve"> </w:t>
      </w:r>
    </w:p>
    <w:p w14:paraId="0FDEBDAB" w14:textId="77777777" w:rsidR="008A4533" w:rsidRDefault="008A4533" w:rsidP="008A4533">
      <w:pPr>
        <w:pStyle w:val="NormalWeb"/>
        <w:ind w:left="720"/>
      </w:pPr>
      <w:r>
        <w:t xml:space="preserve">“According to Chief Jordan, in the parking garage and on the way to Petrey's office, Bolling kept repeating that he should not have gone over to his </w:t>
      </w:r>
      <w:proofErr w:type="spellStart"/>
      <w:proofErr w:type="gramStart"/>
      <w:r>
        <w:t>ex girlfriend’s</w:t>
      </w:r>
      <w:proofErr w:type="spellEnd"/>
      <w:proofErr w:type="gramEnd"/>
      <w:r>
        <w:t xml:space="preserve"> house. Chief Jordan also testified that </w:t>
      </w:r>
      <w:r>
        <w:lastRenderedPageBreak/>
        <w:t xml:space="preserve">the two did not talk about anything related to Bolling's employment status at the time.  According to Bolling, the discussion was somewhat different. Per Bolling, Chief Jordan approached Bolling in the parking lot, hugged him, and told him, “They [are] going to fire you.” Chief Jordan also said, “Bolling, I'm talking to you like a brother [T]here </w:t>
      </w:r>
      <w:proofErr w:type="spellStart"/>
      <w:r>
        <w:t>ain't</w:t>
      </w:r>
      <w:proofErr w:type="spellEnd"/>
      <w:r>
        <w:t xml:space="preserve"> no fighting this.” </w:t>
      </w:r>
    </w:p>
    <w:p w14:paraId="6F1EFA16" w14:textId="77777777" w:rsidR="008A4533" w:rsidRDefault="008A4533" w:rsidP="008A4533">
      <w:pPr>
        <w:pStyle w:val="NormalWeb"/>
        <w:ind w:left="720"/>
      </w:pPr>
      <w:r>
        <w:t>***</w:t>
      </w:r>
    </w:p>
    <w:p w14:paraId="126D1698" w14:textId="77777777" w:rsidR="008A4533" w:rsidRDefault="008A4533" w:rsidP="008A4533">
      <w:pPr>
        <w:pStyle w:val="NormalWeb"/>
        <w:ind w:left="720"/>
      </w:pPr>
      <w:r>
        <w:t>Chief Jordan further testified that he never told Bolling that he was being terminated, that he should resign, or that he would lose his benefits if he did not resign. Simply put, according to Chief Jordan, they never discussed resignation or termination whatsoever during the meeting. This version of events was fully corroborated by Petrey, who reiterated in his testimony that Bolling was put on administrative leave without ever discussing resignation, retirement, or termination, and that Bolling acknowledged being put on administrative leave while an investigation into the arrest was conducted.</w:t>
      </w:r>
    </w:p>
    <w:p w14:paraId="7E0872FF" w14:textId="77777777" w:rsidR="008A4533" w:rsidRDefault="008A4533" w:rsidP="008A4533">
      <w:pPr>
        <w:pStyle w:val="NormalWeb"/>
        <w:ind w:left="720"/>
      </w:pPr>
      <w:r>
        <w:t>***</w:t>
      </w:r>
    </w:p>
    <w:p w14:paraId="2530A02B" w14:textId="77777777" w:rsidR="008A4533" w:rsidRDefault="008A4533" w:rsidP="008A4533">
      <w:pPr>
        <w:pStyle w:val="NormalWeb"/>
        <w:ind w:left="720"/>
      </w:pPr>
      <w:r>
        <w:t xml:space="preserve">Footnote 2: </w:t>
      </w:r>
      <w:r w:rsidRPr="009B4536">
        <w:t>From Bolling's standpoint, resignation ended any city investigation into the domestic violence incident over which criminal charges had been initiated and therefore Bolling would have avoided having to sit and answer questions during the interview about the incident as well as the other incidents, allegations, and convictions of domestic violence against Bolling over the years, and arguably would have allowed him to separate in good standing. During the trial, there was much testimony and evidence about other domestic violations incidents, criminal charges and convictions against Bolling. The Court fails to see the relevancy of his domestic violence history other than the impact it may have had in his decision to resign, effective immediately.</w:t>
      </w:r>
    </w:p>
    <w:p w14:paraId="557D4B17" w14:textId="77777777" w:rsidR="008A4533" w:rsidRPr="009B4536" w:rsidRDefault="008A4533" w:rsidP="008A4533">
      <w:pPr>
        <w:pStyle w:val="NormalWeb"/>
        <w:rPr>
          <w:b/>
          <w:bCs/>
        </w:rPr>
      </w:pPr>
      <w:r w:rsidRPr="009B4536">
        <w:rPr>
          <w:b/>
          <w:bCs/>
        </w:rPr>
        <w:t>Legal Lesson Learned:</w:t>
      </w:r>
      <w:r>
        <w:rPr>
          <w:b/>
          <w:bCs/>
        </w:rPr>
        <w:t xml:space="preserve"> Do not make hasty retirement decisions.</w:t>
      </w:r>
    </w:p>
    <w:p w14:paraId="42B69768" w14:textId="77777777" w:rsidR="008A4533" w:rsidRDefault="008A4533" w:rsidP="008A4533">
      <w:pPr>
        <w:pStyle w:val="NormalWeb"/>
        <w:ind w:left="720"/>
      </w:pPr>
      <w:r>
        <w:t xml:space="preserve">Note:  The Court is an earlier decision in this case , April 2, 2020, wrote: “Bolling has never been convicted of domestic violence, but he has been charged with domestic violence at least eight times during his career.” </w:t>
      </w:r>
      <w:hyperlink r:id="rId1094" w:history="1">
        <w:r w:rsidRPr="00D25822">
          <w:rPr>
            <w:rStyle w:val="Hyperlink"/>
          </w:rPr>
          <w:t>https://casetext.com/case/bolling-v-city-of-montgomery</w:t>
        </w:r>
      </w:hyperlink>
      <w:r>
        <w:t xml:space="preserve"> </w:t>
      </w:r>
    </w:p>
    <w:p w14:paraId="71DB59C1" w14:textId="77777777" w:rsidR="008A4533" w:rsidRDefault="008A4533" w:rsidP="008A4533">
      <w:pPr>
        <w:pStyle w:val="NormalWeb"/>
        <w:ind w:left="720"/>
      </w:pPr>
    </w:p>
    <w:p w14:paraId="0B5A4828" w14:textId="77777777" w:rsidR="008A4533" w:rsidRDefault="008A4533" w:rsidP="00EF1133">
      <w:pPr>
        <w:rPr>
          <w:rFonts w:ascii="Arial Black" w:hAnsi="Arial Black"/>
          <w:b/>
          <w:sz w:val="24"/>
          <w:szCs w:val="24"/>
        </w:rPr>
      </w:pPr>
    </w:p>
    <w:p w14:paraId="4F9C9290" w14:textId="77777777" w:rsidR="007959C9" w:rsidRDefault="007959C9" w:rsidP="00EF1133">
      <w:pPr>
        <w:rPr>
          <w:rFonts w:ascii="Arial Black" w:hAnsi="Arial Black"/>
          <w:b/>
          <w:sz w:val="24"/>
          <w:szCs w:val="24"/>
        </w:rPr>
      </w:pPr>
    </w:p>
    <w:p w14:paraId="742E3D60" w14:textId="2011C56F" w:rsidR="00BA3CDE" w:rsidRDefault="00BA3CDE"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0</w:t>
      </w:r>
    </w:p>
    <w:p w14:paraId="6A11D359" w14:textId="77777777" w:rsidR="00BA3CDE" w:rsidRPr="003B67CB" w:rsidRDefault="00BA3CDE" w:rsidP="00BA3CDE">
      <w:pPr>
        <w:pStyle w:val="NormalWeb"/>
        <w:rPr>
          <w:rFonts w:ascii="Arial Black" w:hAnsi="Arial Black"/>
          <w:b/>
          <w:bCs/>
          <w:sz w:val="28"/>
          <w:szCs w:val="28"/>
        </w:rPr>
      </w:pPr>
      <w:r>
        <w:rPr>
          <w:rFonts w:ascii="Arial Black" w:hAnsi="Arial Black"/>
          <w:b/>
          <w:bCs/>
          <w:sz w:val="28"/>
          <w:szCs w:val="28"/>
        </w:rPr>
        <w:t xml:space="preserve">NJ: FF BACK INJURY CARRYING PATIENT – NOT “UNEXPECTED” - DENIED ACCID. DISABILIY PENSION </w:t>
      </w:r>
    </w:p>
    <w:p w14:paraId="48E5E5DB" w14:textId="77777777" w:rsidR="00BA3CDE" w:rsidRDefault="00BA3CDE" w:rsidP="00BA3CDE">
      <w:pPr>
        <w:pStyle w:val="NormalWeb"/>
      </w:pPr>
      <w:r>
        <w:t xml:space="preserve">On Dec. 16, 2022, in </w:t>
      </w:r>
      <w:r w:rsidRPr="003B67CB">
        <w:rPr>
          <w:u w:val="single"/>
        </w:rPr>
        <w:t>Dennis Coaxum v. Board of Trustees, Police and Firemen’s Retirement System</w:t>
      </w:r>
      <w:r>
        <w:t xml:space="preserve">, the Superior Court of New Jersey, Appellate Division, held (2 to 0) that the Administrative Law Judge properly concluded that the injury suffered by the Atlantic City firefighter was not "undesigned and unexpected” as required under State law for accidental disability retirement benefits (ADRB).  The ALJ found Dennis failed to satisfy, by a preponderance of the evidence, the July 18, </w:t>
      </w:r>
      <w:proofErr w:type="gramStart"/>
      <w:r>
        <w:t>2017</w:t>
      </w:r>
      <w:proofErr w:type="gramEnd"/>
      <w:r>
        <w:t xml:space="preserve"> incident was "undesigned and unexpected."  Additionally, the ALJ questioned Dennis' credibility given his lack of disclosure about the patient grabbing the railing on any form or to any doctor prior to his testimony.</w:t>
      </w:r>
    </w:p>
    <w:p w14:paraId="36AFEB4F" w14:textId="77777777" w:rsidR="00BA3CDE" w:rsidRDefault="00BA3CDE" w:rsidP="00BA3CDE">
      <w:pPr>
        <w:pStyle w:val="NormalWeb"/>
        <w:ind w:left="720"/>
      </w:pPr>
      <w:r>
        <w:lastRenderedPageBreak/>
        <w:t xml:space="preserve">“Dennis was performing his normal job duties on the date of the incident. He had been trained to transport people to medical facilities. While the utilization of a stair chair was more common and preferable, Dennis had been supplied with and trained to use a Reeves Sleeve and had utilized it to move patients on previous occasions. He conceded he was trained to move patients in different types of areas and under different circumstances. He testified he was trained to lift things over his head as a firefighter. The record is bereft of any indication Dennis' injury arose from anything other than ordinary strenuous work effort.” </w:t>
      </w:r>
      <w:hyperlink r:id="rId1095" w:history="1">
        <w:r w:rsidRPr="00237809">
          <w:rPr>
            <w:rStyle w:val="Hyperlink"/>
            <w:rFonts w:eastAsiaTheme="majorEastAsia"/>
          </w:rPr>
          <w:t>https://casetext.com/case/coaxum-v-bd-of-trs</w:t>
        </w:r>
      </w:hyperlink>
      <w:r>
        <w:t xml:space="preserve"> </w:t>
      </w:r>
    </w:p>
    <w:p w14:paraId="15E30CFE" w14:textId="77777777" w:rsidR="00BA3CDE" w:rsidRDefault="00BA3CDE" w:rsidP="00BA3CDE">
      <w:pPr>
        <w:pStyle w:val="NormalWeb"/>
        <w:rPr>
          <w:b/>
          <w:bCs/>
        </w:rPr>
      </w:pPr>
      <w:r w:rsidRPr="000502FD">
        <w:rPr>
          <w:b/>
          <w:bCs/>
        </w:rPr>
        <w:t>Legal Lesson Learned:</w:t>
      </w:r>
      <w:r>
        <w:rPr>
          <w:b/>
          <w:bCs/>
        </w:rPr>
        <w:t xml:space="preserve">  Thoroughly document in all reports that the patient grabbed the railing. </w:t>
      </w:r>
    </w:p>
    <w:p w14:paraId="63A9C5F9" w14:textId="77777777" w:rsidR="00BA3CDE" w:rsidRDefault="00BA3CDE" w:rsidP="00EF1133">
      <w:pPr>
        <w:rPr>
          <w:rFonts w:ascii="Arial Black" w:hAnsi="Arial Black"/>
          <w:b/>
          <w:sz w:val="24"/>
          <w:szCs w:val="24"/>
        </w:rPr>
      </w:pPr>
    </w:p>
    <w:p w14:paraId="02D6A6EE" w14:textId="77777777" w:rsidR="00BA3CDE" w:rsidRDefault="00BA3CDE" w:rsidP="00EF1133">
      <w:pPr>
        <w:rPr>
          <w:rFonts w:ascii="Arial Black" w:hAnsi="Arial Black"/>
          <w:b/>
          <w:sz w:val="24"/>
          <w:szCs w:val="24"/>
        </w:rPr>
      </w:pPr>
    </w:p>
    <w:p w14:paraId="2B74590B" w14:textId="28FE1369" w:rsidR="006C79BE" w:rsidRDefault="006C79BE"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99</w:t>
      </w:r>
    </w:p>
    <w:p w14:paraId="15A77FF6" w14:textId="77777777" w:rsidR="006C79BE" w:rsidRPr="00E86687" w:rsidRDefault="006C79BE" w:rsidP="006C79BE">
      <w:pPr>
        <w:rPr>
          <w:rFonts w:ascii="Arial Black" w:hAnsi="Arial Black"/>
          <w:sz w:val="28"/>
          <w:szCs w:val="28"/>
        </w:rPr>
      </w:pPr>
      <w:r>
        <w:rPr>
          <w:rFonts w:ascii="Arial Black" w:hAnsi="Arial Black"/>
          <w:sz w:val="28"/>
          <w:szCs w:val="28"/>
        </w:rPr>
        <w:t>SC: FF BACK INJURY - WORKERS COMP AWARDED FOR “REPETITIVE TRAUMA INJURY” – ALJ REVERSED</w:t>
      </w:r>
    </w:p>
    <w:p w14:paraId="55E4B2CB" w14:textId="77777777" w:rsidR="006C79BE" w:rsidRDefault="006C79BE" w:rsidP="006C79BE">
      <w:pPr>
        <w:pStyle w:val="NormalWeb"/>
      </w:pPr>
      <w:r w:rsidRPr="00E86687">
        <w:t xml:space="preserve">On Dec. 7, 2022, </w:t>
      </w:r>
      <w:r>
        <w:t xml:space="preserve">in </w:t>
      </w:r>
      <w:r w:rsidRPr="00E86687">
        <w:rPr>
          <w:u w:val="single"/>
        </w:rPr>
        <w:t>Nicholas B. Thompson v. Bluffton Township Fire District, et al</w:t>
      </w:r>
      <w:r>
        <w:t xml:space="preserve">., the Court of Appeals of South Carolina, held (3 to 0) that Administrative Law Judge is reversed, since there is substantial evidence of repetitive trauma injury caused by his work as a firefighter. He began experiencing back pain in </w:t>
      </w:r>
      <w:proofErr w:type="gramStart"/>
      <w:r>
        <w:t>2014, but</w:t>
      </w:r>
      <w:proofErr w:type="gramEnd"/>
      <w:r>
        <w:t xml:space="preserve"> was able to perform firefighter duties. </w:t>
      </w:r>
      <w:r w:rsidRPr="00E86687">
        <w:t xml:space="preserve">In 2016, Thompson </w:t>
      </w:r>
      <w:r>
        <w:t xml:space="preserve">identified </w:t>
      </w:r>
      <w:r w:rsidRPr="00E86687">
        <w:t xml:space="preserve">three specific instances where his back pain was "significant" at work. </w:t>
      </w:r>
      <w:r>
        <w:t xml:space="preserve">In </w:t>
      </w:r>
      <w:r w:rsidRPr="00E86687">
        <w:t xml:space="preserve">late spring of 2016, Thompson responded to a "lift and assist call" to help a four-hundred-pound woman rise from the floor of her home. </w:t>
      </w:r>
      <w:r>
        <w:t xml:space="preserve"> On </w:t>
      </w:r>
      <w:r w:rsidRPr="00E86687">
        <w:t>July 9, 2016</w:t>
      </w:r>
      <w:r>
        <w:t xml:space="preserve">, he </w:t>
      </w:r>
      <w:r w:rsidRPr="00E86687">
        <w:t>was at the scene of a large house fire (the Belfair Fire)</w:t>
      </w:r>
      <w:r>
        <w:t xml:space="preserve"> where he handled high-pressure hose and replaced SCBAs.  In October 2016, he used chains in </w:t>
      </w:r>
      <w:r w:rsidRPr="00E86687">
        <w:t>aftermath of Hurricane Matthew</w:t>
      </w:r>
      <w:r>
        <w:t xml:space="preserve">. In January 2017, Thompson reported to his Battalion Chief that his back pain was affecting his ability to do his job and underwent MRI that revealed he had a bulging disc, disc degeneration, and nerve impingement in his lower back. The Court was particularly critical of ALJ’s criticism that </w:t>
      </w:r>
      <w:proofErr w:type="gramStart"/>
      <w:r>
        <w:t>firefighter</w:t>
      </w:r>
      <w:proofErr w:type="gramEnd"/>
      <w:r>
        <w:t xml:space="preserve"> did not file reports of injury from these incidents.  </w:t>
      </w:r>
    </w:p>
    <w:p w14:paraId="41ABF8F4" w14:textId="77777777" w:rsidR="006C79BE" w:rsidRDefault="006C79BE" w:rsidP="006C79BE">
      <w:pPr>
        <w:pStyle w:val="NormalWeb"/>
        <w:ind w:left="720"/>
      </w:pPr>
      <w:r>
        <w:t>“</w:t>
      </w:r>
      <w:r w:rsidRPr="00BF6A0E">
        <w:rPr>
          <w:rStyle w:val="markedcontent"/>
        </w:rPr>
        <w:t>We find Thompson, although</w:t>
      </w:r>
      <w:r>
        <w:rPr>
          <w:rStyle w:val="markedcontent"/>
        </w:rPr>
        <w:t xml:space="preserve"> </w:t>
      </w:r>
      <w:r w:rsidRPr="00BF6A0E">
        <w:rPr>
          <w:rStyle w:val="markedcontent"/>
        </w:rPr>
        <w:t>experiencing and receiving treatment for back pain from 2014 until 2016, could not</w:t>
      </w:r>
      <w:r>
        <w:rPr>
          <w:rStyle w:val="markedcontent"/>
        </w:rPr>
        <w:t xml:space="preserve"> </w:t>
      </w:r>
      <w:r w:rsidRPr="00BF6A0E">
        <w:rPr>
          <w:rStyle w:val="markedcontent"/>
        </w:rPr>
        <w:t>have reasonably known it was a compensable repetitive trauma injury until February</w:t>
      </w:r>
      <w:r>
        <w:rPr>
          <w:rStyle w:val="markedcontent"/>
        </w:rPr>
        <w:t xml:space="preserve"> </w:t>
      </w:r>
      <w:r w:rsidRPr="00BF6A0E">
        <w:rPr>
          <w:rStyle w:val="markedcontent"/>
        </w:rPr>
        <w:t>2017, when the pain from his gradual onset injury became so intense that he was</w:t>
      </w:r>
      <w:r>
        <w:rPr>
          <w:rStyle w:val="markedcontent"/>
        </w:rPr>
        <w:t xml:space="preserve"> </w:t>
      </w:r>
      <w:r w:rsidRPr="00BF6A0E">
        <w:rPr>
          <w:rStyle w:val="markedcontent"/>
        </w:rPr>
        <w:t>unable to complete daily duties as a firefighter and he sought medical treatment from</w:t>
      </w:r>
      <w:r>
        <w:rPr>
          <w:rStyle w:val="markedcontent"/>
        </w:rPr>
        <w:t xml:space="preserve"> </w:t>
      </w:r>
      <w:r w:rsidRPr="00BF6A0E">
        <w:rPr>
          <w:rStyle w:val="markedcontent"/>
        </w:rPr>
        <w:t>Dr. Cramer</w:t>
      </w:r>
      <w:r>
        <w:rPr>
          <w:rStyle w:val="markedcontent"/>
        </w:rPr>
        <w:t xml:space="preserve">…. </w:t>
      </w:r>
      <w:r w:rsidRPr="00E73268">
        <w:t xml:space="preserve">We also find Thompson presented competent medical evidence </w:t>
      </w:r>
      <w:r>
        <w:t>‘</w:t>
      </w:r>
      <w:r w:rsidRPr="00E73268">
        <w:t>that there is a direct causal relationship between the condition under which the work is performed and the injury.</w:t>
      </w:r>
      <w:r>
        <w:t>’</w:t>
      </w:r>
      <w:r w:rsidRPr="00E73268">
        <w:t xml:space="preserve"> § 42-1-172(D). Dr. Lindley was under no misapprehension about the duties Thompson was required to perform as a firefighter when giving his opinion about the cause of Thompson's repetitive trauma injury, and it was his expert medical opinion-recited in both his July 11, 2017 letter and in his sworn deposition testimony-that to a reasonable degree of medical certainty, Thompson's repeated activity of picking up heavy objects and people caused Thompson's L4-5 disc protrusion with radiculopathy, nerve impingement, and bowel and bladder issues.</w:t>
      </w:r>
      <w:r>
        <w:t xml:space="preserve">” </w:t>
      </w:r>
      <w:hyperlink r:id="rId1096" w:history="1">
        <w:r w:rsidRPr="00622894">
          <w:rPr>
            <w:rStyle w:val="Hyperlink"/>
          </w:rPr>
          <w:t>https://law.justia.com/cases/south-carolina/court-of-appeals/2022/2022-up-437.html</w:t>
        </w:r>
      </w:hyperlink>
      <w:r>
        <w:t xml:space="preserve"> </w:t>
      </w:r>
    </w:p>
    <w:p w14:paraId="7D7A6EFF" w14:textId="77777777" w:rsidR="006C79BE" w:rsidRPr="00E73268" w:rsidRDefault="006C79BE" w:rsidP="006C79BE">
      <w:pPr>
        <w:rPr>
          <w:rFonts w:ascii="Times New Roman" w:hAnsi="Times New Roman"/>
          <w:b/>
          <w:bCs/>
          <w:sz w:val="24"/>
          <w:szCs w:val="24"/>
        </w:rPr>
      </w:pPr>
      <w:r w:rsidRPr="00E73268">
        <w:rPr>
          <w:rFonts w:ascii="Times New Roman" w:hAnsi="Times New Roman"/>
          <w:b/>
          <w:bCs/>
          <w:sz w:val="24"/>
          <w:szCs w:val="24"/>
        </w:rPr>
        <w:t>Legal Lesson Learned:</w:t>
      </w:r>
      <w:r>
        <w:rPr>
          <w:rFonts w:ascii="Times New Roman" w:hAnsi="Times New Roman"/>
          <w:b/>
          <w:bCs/>
          <w:sz w:val="24"/>
          <w:szCs w:val="24"/>
        </w:rPr>
        <w:t xml:space="preserve"> Excellent decision based on substantial testimony about the firefighter’s strenuous job duties. </w:t>
      </w:r>
    </w:p>
    <w:p w14:paraId="5D011BFB" w14:textId="77777777" w:rsidR="006C79BE" w:rsidRDefault="006C79BE" w:rsidP="006C79BE">
      <w:pPr>
        <w:pStyle w:val="NormalWeb"/>
      </w:pPr>
    </w:p>
    <w:p w14:paraId="1E574966" w14:textId="77777777" w:rsidR="006C79BE" w:rsidRDefault="006C79BE" w:rsidP="00EF1133">
      <w:pPr>
        <w:rPr>
          <w:rFonts w:ascii="Arial Black" w:hAnsi="Arial Black"/>
          <w:b/>
          <w:sz w:val="24"/>
          <w:szCs w:val="24"/>
        </w:rPr>
      </w:pPr>
    </w:p>
    <w:p w14:paraId="7F2960A1" w14:textId="77777777" w:rsidR="006C79BE" w:rsidRDefault="006C79BE" w:rsidP="00EF1133">
      <w:pPr>
        <w:rPr>
          <w:rFonts w:ascii="Arial Black" w:hAnsi="Arial Black"/>
          <w:b/>
          <w:sz w:val="24"/>
          <w:szCs w:val="24"/>
        </w:rPr>
      </w:pPr>
    </w:p>
    <w:p w14:paraId="7D617C63" w14:textId="77777777" w:rsidR="006C79BE" w:rsidRDefault="006C79BE" w:rsidP="00EF1133">
      <w:pPr>
        <w:rPr>
          <w:rFonts w:ascii="Arial Black" w:hAnsi="Arial Black"/>
          <w:b/>
          <w:sz w:val="24"/>
          <w:szCs w:val="24"/>
        </w:rPr>
      </w:pPr>
    </w:p>
    <w:p w14:paraId="3596749D" w14:textId="06B31B61" w:rsidR="00B87D79" w:rsidRDefault="00B87D79"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8</w:t>
      </w:r>
    </w:p>
    <w:p w14:paraId="6A018D38" w14:textId="77777777" w:rsidR="00B87D79" w:rsidRDefault="00B87D79" w:rsidP="00B87D79">
      <w:pPr>
        <w:pStyle w:val="NormalWeb"/>
        <w:rPr>
          <w:rFonts w:ascii="Arial Black" w:hAnsi="Arial Black"/>
          <w:sz w:val="28"/>
          <w:szCs w:val="28"/>
        </w:rPr>
      </w:pPr>
      <w:r>
        <w:rPr>
          <w:rFonts w:ascii="Arial Black" w:hAnsi="Arial Black"/>
          <w:sz w:val="28"/>
          <w:szCs w:val="28"/>
        </w:rPr>
        <w:t>IL: FIRE CHIEF – SEVERANCE – PENSION MUST INCLUDE 4 ½ MONTHS ON PAID LEAVE AND 3% PAY INCREASE FOR FF</w:t>
      </w:r>
    </w:p>
    <w:p w14:paraId="58938F75" w14:textId="77777777" w:rsidR="00B87D79" w:rsidRDefault="00B87D79" w:rsidP="00B87D79">
      <w:pPr>
        <w:pStyle w:val="NormalWeb"/>
      </w:pPr>
      <w:r>
        <w:t xml:space="preserve">On Nov. 30, 2022, in </w:t>
      </w:r>
      <w:r w:rsidRPr="00CE1473">
        <w:rPr>
          <w:u w:val="single"/>
        </w:rPr>
        <w:t>Kenneth Brucki v. Orland Fire Protection District, et al</w:t>
      </w:r>
      <w:r>
        <w:t xml:space="preserve">., the Court of Appeals of Illinois, Third Division, held (3 to 0) that Pension Board is reversed; the Fire Chief’s pension should be increased based on his salary with 3% increase to $186,449 (from $181,220), and shall include his pay while on administrative leave. The Fire Chief had been under investigation and “Brucki agreed to pay $12,500 as reimbursement for charges on the </w:t>
      </w:r>
      <w:proofErr w:type="gramStart"/>
      <w:r>
        <w:t>District's</w:t>
      </w:r>
      <w:proofErr w:type="gramEnd"/>
      <w:r>
        <w:t xml:space="preserve"> credit cards.”</w:t>
      </w:r>
    </w:p>
    <w:p w14:paraId="2FF36DD9" w14:textId="77777777" w:rsidR="00B87D79" w:rsidRDefault="00B87D79" w:rsidP="00B87D79">
      <w:pPr>
        <w:pStyle w:val="NormalWeb"/>
        <w:ind w:left="720"/>
      </w:pPr>
      <w:r>
        <w:t xml:space="preserve">“After his 50th birthday in October 2017, Brucki was entitled to a pension. In his pension application, he listed his last day worked as January 4, 2016, and his annual pensionable salary as $186,449, which included the 3% adjustment on January 1, 2016. The pension fund submitted paperwork indicating that his last day was August 20, 2015, and his salary was $181,220. </w:t>
      </w:r>
    </w:p>
    <w:p w14:paraId="28C9D85A" w14:textId="77777777" w:rsidR="00B87D79" w:rsidRDefault="00B87D79" w:rsidP="00B87D79">
      <w:pPr>
        <w:pStyle w:val="NormalWeb"/>
        <w:ind w:left="720"/>
      </w:pPr>
      <w:r>
        <w:t>***</w:t>
      </w:r>
    </w:p>
    <w:p w14:paraId="643BED0A" w14:textId="627DC936" w:rsidR="00B87D79" w:rsidRPr="00B87D79" w:rsidRDefault="00B87D79" w:rsidP="00B87D79">
      <w:pPr>
        <w:ind w:left="720"/>
        <w:rPr>
          <w:rFonts w:ascii="Times New Roman" w:hAnsi="Times New Roman"/>
          <w:b/>
          <w:sz w:val="24"/>
          <w:szCs w:val="24"/>
        </w:rPr>
      </w:pPr>
      <w:r w:rsidRPr="00B87D79">
        <w:rPr>
          <w:rFonts w:ascii="Times New Roman" w:hAnsi="Times New Roman"/>
          <w:sz w:val="24"/>
          <w:szCs w:val="24"/>
        </w:rPr>
        <w:t xml:space="preserve">We thus reverse the decision of the Board and the circuit court and remand with instructions to recalculate and award pension benefits to Brucki based on a final date of service of January 4, 2016, and an annual salary amount which includes the 3% adjustment - $186,449.” </w:t>
      </w:r>
      <w:hyperlink r:id="rId1097" w:history="1">
        <w:r w:rsidRPr="00B87D79">
          <w:rPr>
            <w:rStyle w:val="Hyperlink"/>
            <w:rFonts w:ascii="Times New Roman" w:eastAsiaTheme="majorEastAsia" w:hAnsi="Times New Roman"/>
            <w:sz w:val="24"/>
            <w:szCs w:val="24"/>
          </w:rPr>
          <w:t>https://ilcourtsaudio.blob.core.windows.net/antilles-resources/resources/aec16a44-b27a-4304-97c1-5c133043b2dd/Brucki%20v.%20Orland%20Fire%20Protection%20District,%202022%20IL%20App%20(1st)%20220288-U.pdf</w:t>
        </w:r>
      </w:hyperlink>
    </w:p>
    <w:p w14:paraId="75695449" w14:textId="77777777" w:rsidR="00B87D79" w:rsidRPr="00F058AD" w:rsidRDefault="00B87D79" w:rsidP="00B87D79">
      <w:pPr>
        <w:pStyle w:val="NormalWeb"/>
        <w:rPr>
          <w:b/>
          <w:bCs/>
        </w:rPr>
      </w:pPr>
      <w:r w:rsidRPr="00F058AD">
        <w:rPr>
          <w:b/>
          <w:bCs/>
        </w:rPr>
        <w:t>Legal Lesson Learned:</w:t>
      </w:r>
      <w:r>
        <w:rPr>
          <w:b/>
          <w:bCs/>
        </w:rPr>
        <w:t xml:space="preserve"> When negotiating a severance agreement with 4 ½ months of paid leave, the parties should include a clause regarding how those </w:t>
      </w:r>
      <w:proofErr w:type="gramStart"/>
      <w:r>
        <w:rPr>
          <w:b/>
          <w:bCs/>
        </w:rPr>
        <w:t>months</w:t>
      </w:r>
      <w:proofErr w:type="gramEnd"/>
      <w:r>
        <w:rPr>
          <w:b/>
          <w:bCs/>
        </w:rPr>
        <w:t xml:space="preserve"> and any pay increases would impact pension calculations. </w:t>
      </w:r>
    </w:p>
    <w:p w14:paraId="64D36E47" w14:textId="77777777" w:rsidR="00B87D79" w:rsidRPr="00F058AD" w:rsidRDefault="00B87D79" w:rsidP="00B87D79">
      <w:pPr>
        <w:pStyle w:val="Heading1"/>
        <w:ind w:left="720"/>
        <w:rPr>
          <w:b w:val="0"/>
          <w:bCs w:val="0"/>
          <w:sz w:val="24"/>
          <w:szCs w:val="24"/>
        </w:rPr>
      </w:pPr>
      <w:r w:rsidRPr="00F058AD">
        <w:rPr>
          <w:b w:val="0"/>
          <w:bCs w:val="0"/>
          <w:sz w:val="24"/>
          <w:szCs w:val="24"/>
        </w:rPr>
        <w:t xml:space="preserve">Note: See Aug. 23, </w:t>
      </w:r>
      <w:proofErr w:type="gramStart"/>
      <w:r w:rsidRPr="00F058AD">
        <w:rPr>
          <w:b w:val="0"/>
          <w:bCs w:val="0"/>
          <w:sz w:val="24"/>
          <w:szCs w:val="24"/>
        </w:rPr>
        <w:t>2011</w:t>
      </w:r>
      <w:proofErr w:type="gramEnd"/>
      <w:r w:rsidRPr="00F058AD">
        <w:rPr>
          <w:b w:val="0"/>
          <w:bCs w:val="0"/>
          <w:sz w:val="24"/>
          <w:szCs w:val="24"/>
        </w:rPr>
        <w:t xml:space="preserve"> article, Orland fire chief retires under cloud: 'I didn't do anything wrong.' </w:t>
      </w:r>
      <w:hyperlink r:id="rId1098" w:history="1">
        <w:r w:rsidRPr="00F058AD">
          <w:rPr>
            <w:rStyle w:val="Hyperlink"/>
            <w:rFonts w:eastAsiaTheme="majorEastAsia"/>
            <w:b w:val="0"/>
            <w:bCs w:val="0"/>
            <w:sz w:val="24"/>
            <w:szCs w:val="24"/>
          </w:rPr>
          <w:t>https://www.chicagotribune.com/news/breaking/chi-retiring-orland-fire-chief-i-didnt-do-anything-wrong-20110823-story.html</w:t>
        </w:r>
      </w:hyperlink>
      <w:r w:rsidRPr="00F058AD">
        <w:rPr>
          <w:b w:val="0"/>
          <w:bCs w:val="0"/>
          <w:sz w:val="24"/>
          <w:szCs w:val="24"/>
        </w:rPr>
        <w:t xml:space="preserve"> </w:t>
      </w:r>
    </w:p>
    <w:p w14:paraId="3437C912" w14:textId="77777777" w:rsidR="00B87D79" w:rsidRDefault="00B87D79" w:rsidP="00EF1133">
      <w:pPr>
        <w:rPr>
          <w:rFonts w:ascii="Arial Black" w:hAnsi="Arial Black"/>
          <w:b/>
          <w:sz w:val="24"/>
          <w:szCs w:val="24"/>
        </w:rPr>
      </w:pPr>
    </w:p>
    <w:p w14:paraId="636D96E9" w14:textId="77777777" w:rsidR="00B87D79" w:rsidRDefault="00B87D79" w:rsidP="00EF1133">
      <w:pPr>
        <w:rPr>
          <w:rFonts w:ascii="Arial Black" w:hAnsi="Arial Black"/>
          <w:b/>
          <w:sz w:val="24"/>
          <w:szCs w:val="24"/>
        </w:rPr>
      </w:pPr>
    </w:p>
    <w:p w14:paraId="77EF82F8" w14:textId="77777777" w:rsidR="00B87D79" w:rsidRDefault="00B87D79" w:rsidP="00EF1133">
      <w:pPr>
        <w:rPr>
          <w:rFonts w:ascii="Arial Black" w:hAnsi="Arial Black"/>
          <w:b/>
          <w:sz w:val="24"/>
          <w:szCs w:val="24"/>
        </w:rPr>
      </w:pPr>
    </w:p>
    <w:p w14:paraId="0EE088C5" w14:textId="5F553AA2" w:rsidR="00B87D79" w:rsidRDefault="00B87D79"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7</w:t>
      </w:r>
    </w:p>
    <w:p w14:paraId="6FB0873B" w14:textId="77777777" w:rsidR="00B87D79" w:rsidRDefault="00B87D79" w:rsidP="00B87D79">
      <w:pPr>
        <w:pStyle w:val="NormalWeb"/>
        <w:rPr>
          <w:rFonts w:ascii="Arial Black" w:hAnsi="Arial Black"/>
          <w:sz w:val="28"/>
          <w:szCs w:val="28"/>
        </w:rPr>
      </w:pPr>
      <w:r>
        <w:rPr>
          <w:rFonts w:ascii="Arial Black" w:hAnsi="Arial Black"/>
          <w:sz w:val="28"/>
          <w:szCs w:val="28"/>
        </w:rPr>
        <w:lastRenderedPageBreak/>
        <w:t>IL: FF STROKE AT HOME – “CUMULATIVE EFFECTS OF ACTIVE DUTY” – OCCUP. DISEASE DISABILITY PENSION</w:t>
      </w:r>
    </w:p>
    <w:p w14:paraId="6240D2E6" w14:textId="77777777" w:rsidR="00B87D79" w:rsidRDefault="00B87D79" w:rsidP="00B87D79">
      <w:pPr>
        <w:pStyle w:val="NormalWeb"/>
      </w:pPr>
      <w:r>
        <w:t xml:space="preserve">On Nov. 29, 2022, in </w:t>
      </w:r>
      <w:r w:rsidRPr="009F7136">
        <w:rPr>
          <w:u w:val="single"/>
        </w:rPr>
        <w:t>The City of East Peoria, Illinois v. Charles Melton, II, et al</w:t>
      </w:r>
      <w:r>
        <w:t xml:space="preserve">., the Court of Appeals of Illinois, Fourth District, held (3 to 0) that the Pension Board properly held that the 56-year-old Lieutenant was entitled to the disability pension. NFPA </w:t>
      </w:r>
      <w:proofErr w:type="gramStart"/>
      <w:r>
        <w:t>requires wait</w:t>
      </w:r>
      <w:proofErr w:type="gramEnd"/>
      <w:r>
        <w:t xml:space="preserve"> one year after stroke to return to work; but he can’t ever return since on blood thinner from 2017 pulmonary embolism. City argued that the stroke was not caused by the job, but from blood thinner,  but Board had three physicians review his medical records (not statutory requirement they give him physical exam) and a physician </w:t>
      </w:r>
      <w:proofErr w:type="gramStart"/>
      <w:r>
        <w:t>said</w:t>
      </w:r>
      <w:proofErr w:type="gramEnd"/>
      <w:r>
        <w:t xml:space="preserve"> “</w:t>
      </w:r>
      <w:r w:rsidRPr="009F7136">
        <w:t xml:space="preserve">cannot discount the cumulative effects of active duty of Firefighting </w:t>
      </w:r>
      <w:proofErr w:type="gramStart"/>
      <w:r w:rsidRPr="009F7136">
        <w:t>in regards to</w:t>
      </w:r>
      <w:proofErr w:type="gramEnd"/>
      <w:r w:rsidRPr="009F7136">
        <w:t xml:space="preserve"> his stroke.</w:t>
      </w:r>
      <w:r>
        <w:t xml:space="preserve">” </w:t>
      </w:r>
    </w:p>
    <w:p w14:paraId="6BE7B41E" w14:textId="77777777" w:rsidR="00B87D79" w:rsidRDefault="00B87D79" w:rsidP="00B87D79">
      <w:pPr>
        <w:pStyle w:val="NormalWeb"/>
        <w:ind w:left="720"/>
      </w:pPr>
      <w:r>
        <w:t xml:space="preserve">“The Board argues that Melton's pre-existing medical conditions, including his prior voluntary use of anticoagulants, does not disqualify him from receiving an occupational disease pension. The Board argues that there was no evidence that Melton was prohibited from performing full unrestricted duties prior to his stroke and that he continued those duties even after voluntarily beginning the medications in 2017. The Board argues that there is no dispute that Melton suffered a stroke, and </w:t>
      </w:r>
      <w:proofErr w:type="gramStart"/>
      <w:r>
        <w:t>as a result of</w:t>
      </w:r>
      <w:proofErr w:type="gramEnd"/>
      <w:r>
        <w:t xml:space="preserve"> the stroke he thereafter was prescribed a mandatory, higher dose of anticoagulants that he must take for the rest of his life.</w:t>
      </w:r>
    </w:p>
    <w:p w14:paraId="32F5D8B0" w14:textId="77777777" w:rsidR="00B87D79" w:rsidRDefault="00B87D79" w:rsidP="00B87D79">
      <w:pPr>
        <w:pStyle w:val="NormalWeb"/>
        <w:ind w:left="720"/>
      </w:pPr>
      <w:r>
        <w:t>***</w:t>
      </w:r>
    </w:p>
    <w:p w14:paraId="1C86A019" w14:textId="77777777" w:rsidR="00B87D79" w:rsidRPr="009F7136" w:rsidRDefault="00B87D79" w:rsidP="00B87D79">
      <w:pPr>
        <w:pStyle w:val="NormalWeb"/>
        <w:ind w:left="720"/>
      </w:pPr>
      <w:r>
        <w:t xml:space="preserve">We conclude that the Board's finding that Melton's stroke resulted from his ‘service as a firefighter’ was not against the manifest weight of the evidence.” </w:t>
      </w:r>
      <w:hyperlink r:id="rId1099" w:history="1">
        <w:r w:rsidRPr="00736457">
          <w:rPr>
            <w:rStyle w:val="Hyperlink"/>
            <w:rFonts w:eastAsiaTheme="majorEastAsia"/>
          </w:rPr>
          <w:t>https://ilcourtsaudio.blob.core.windows.net/antilles-resources/resources/afeb172a-b7f7-45e5-889d-a00b38f164df/City%20of%20East%20Peoria%20v.%20Melton,%202022%20IL%20App%20(4th)%20220281-U.pdf</w:t>
        </w:r>
      </w:hyperlink>
      <w:r>
        <w:t xml:space="preserve"> </w:t>
      </w:r>
    </w:p>
    <w:p w14:paraId="49D66FC6" w14:textId="77777777" w:rsidR="00B87D79" w:rsidRPr="006C71D8" w:rsidRDefault="00B87D79" w:rsidP="00B87D79">
      <w:pPr>
        <w:pStyle w:val="NormalWeb"/>
        <w:rPr>
          <w:b/>
          <w:bCs/>
        </w:rPr>
      </w:pPr>
      <w:r w:rsidRPr="006C71D8">
        <w:rPr>
          <w:b/>
          <w:bCs/>
        </w:rPr>
        <w:t>Legal Lesson Learned: The Board relied on physician’s report that “</w:t>
      </w:r>
      <w:r w:rsidRPr="009F7136">
        <w:rPr>
          <w:b/>
          <w:bCs/>
        </w:rPr>
        <w:t xml:space="preserve">cannot discount the cumulative effects of active duty of Firefighting </w:t>
      </w:r>
      <w:proofErr w:type="gramStart"/>
      <w:r w:rsidRPr="009F7136">
        <w:rPr>
          <w:b/>
          <w:bCs/>
        </w:rPr>
        <w:t>in regards</w:t>
      </w:r>
      <w:r>
        <w:rPr>
          <w:b/>
          <w:bCs/>
        </w:rPr>
        <w:t xml:space="preserve"> </w:t>
      </w:r>
      <w:r w:rsidRPr="009F7136">
        <w:rPr>
          <w:b/>
          <w:bCs/>
        </w:rPr>
        <w:t>to</w:t>
      </w:r>
      <w:proofErr w:type="gramEnd"/>
      <w:r w:rsidRPr="009F7136">
        <w:rPr>
          <w:b/>
          <w:bCs/>
        </w:rPr>
        <w:t xml:space="preserve"> his stroke.</w:t>
      </w:r>
      <w:r w:rsidRPr="006C71D8">
        <w:rPr>
          <w:b/>
          <w:bCs/>
        </w:rPr>
        <w:t xml:space="preserve">” </w:t>
      </w:r>
    </w:p>
    <w:p w14:paraId="2EE9A954" w14:textId="31D0CDD7" w:rsidR="00804F3A" w:rsidRDefault="00804F3A"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6</w:t>
      </w:r>
    </w:p>
    <w:p w14:paraId="48121EE9" w14:textId="77777777" w:rsidR="00804F3A" w:rsidRPr="00815A5D" w:rsidRDefault="00804F3A" w:rsidP="00804F3A">
      <w:pPr>
        <w:pStyle w:val="NormalWeb"/>
        <w:rPr>
          <w:rFonts w:ascii="Arial Black" w:hAnsi="Arial Black"/>
          <w:b/>
          <w:bCs/>
          <w:sz w:val="28"/>
          <w:szCs w:val="28"/>
        </w:rPr>
      </w:pPr>
      <w:r>
        <w:rPr>
          <w:rFonts w:ascii="Arial Black" w:hAnsi="Arial Black"/>
          <w:b/>
          <w:bCs/>
          <w:sz w:val="28"/>
          <w:szCs w:val="28"/>
        </w:rPr>
        <w:t xml:space="preserve">NY: FF ON DUTY INJURED RIGHT HIP – MRI SHOWED HISTORY JOINT DISEASE – NO ACCIDENTAL DISAB. </w:t>
      </w:r>
    </w:p>
    <w:p w14:paraId="7A389ABF" w14:textId="77777777" w:rsidR="00804F3A" w:rsidRDefault="00804F3A" w:rsidP="00804F3A">
      <w:pPr>
        <w:pStyle w:val="NormalWeb"/>
      </w:pPr>
      <w:r w:rsidRPr="00AC10D4">
        <w:t xml:space="preserve">On </w:t>
      </w:r>
      <w:r>
        <w:t xml:space="preserve">Oct. 26, 2022, </w:t>
      </w:r>
      <w:r w:rsidRPr="00AC10D4">
        <w:rPr>
          <w:u w:val="single"/>
        </w:rPr>
        <w:t>In the Matter of Joseph M. Kearney v. Daniel A. Nigro, et al.,</w:t>
      </w:r>
      <w:r>
        <w:t xml:space="preserve"> the Supreme Court of New York held (4 to 0), 2022 NY Slip Op 06007, that the Pension Fund properly denied the firefighter’s application for accidental disability retirement benefits and retired him on ordinary disability retirement benefits. Although the firefighter was disabled due to his right hip injury, this disabling condition was causally related to chronic degenerative joint disease, not a work-related injury. </w:t>
      </w:r>
    </w:p>
    <w:p w14:paraId="689583E0" w14:textId="77777777" w:rsidR="00804F3A" w:rsidRPr="00AC10D4" w:rsidRDefault="00804F3A" w:rsidP="00804F3A">
      <w:pPr>
        <w:pStyle w:val="NormalWeb"/>
        <w:ind w:left="720"/>
        <w:rPr>
          <w:b/>
          <w:bCs/>
        </w:rPr>
      </w:pPr>
      <w:r w:rsidRPr="00AC10D4">
        <w:rPr>
          <w:rFonts w:eastAsiaTheme="minorHAnsi"/>
        </w:rPr>
        <w:t xml:space="preserve">Here, the Medical Board's initial determination that the petitioner's </w:t>
      </w:r>
      <w:r>
        <w:rPr>
          <w:rFonts w:eastAsiaTheme="minorHAnsi"/>
        </w:rPr>
        <w:t>‘</w:t>
      </w:r>
      <w:r w:rsidRPr="00AC10D4">
        <w:rPr>
          <w:rFonts w:eastAsiaTheme="minorHAnsi"/>
        </w:rPr>
        <w:t>right hip disability is causally related to Chronic Degenerative Joint Disease,</w:t>
      </w:r>
      <w:r>
        <w:rPr>
          <w:rFonts w:eastAsiaTheme="minorHAnsi"/>
        </w:rPr>
        <w:t>’</w:t>
      </w:r>
      <w:r w:rsidRPr="00AC10D4">
        <w:rPr>
          <w:rFonts w:eastAsiaTheme="minorHAnsi"/>
        </w:rPr>
        <w:t xml:space="preserve"> which remained unchanged upon further consideration, was supported by credible evidence, consisting of the results of the MRI performed on August 14, 2015</w:t>
      </w:r>
      <w:r>
        <w:rPr>
          <w:rFonts w:eastAsiaTheme="minorHAnsi"/>
        </w:rPr>
        <w:t xml:space="preserve">…. </w:t>
      </w:r>
      <w:r w:rsidRPr="00AC10D4">
        <w:rPr>
          <w:rFonts w:eastAsiaTheme="minorHAnsi"/>
        </w:rPr>
        <w:t>Accordingly, it cannot be determined as a matter of law that the petitioner's disability was caused by his May 2015 accident. Moreover, contrary to the petitioner's contention, the record does not support a determination, as a matter of law, that his pre-existing degenerative condition was exacerbated by the accident</w:t>
      </w:r>
      <w:r>
        <w:rPr>
          <w:rFonts w:eastAsiaTheme="minorHAnsi"/>
        </w:rPr>
        <w:t>….”</w:t>
      </w:r>
      <w:hyperlink r:id="rId1100" w:history="1">
        <w:r w:rsidRPr="007662E8">
          <w:rPr>
            <w:rStyle w:val="Hyperlink"/>
            <w:rFonts w:eastAsiaTheme="minorHAnsi"/>
          </w:rPr>
          <w:t>https://caselaw.findlaw.com/ny-supreme-court/1972528.html</w:t>
        </w:r>
      </w:hyperlink>
      <w:r>
        <w:rPr>
          <w:rFonts w:eastAsiaTheme="minorHAnsi"/>
        </w:rPr>
        <w:t xml:space="preserve"> </w:t>
      </w:r>
    </w:p>
    <w:p w14:paraId="5C8C09D1" w14:textId="77777777" w:rsidR="00804F3A" w:rsidRPr="00AC10D4" w:rsidRDefault="00804F3A" w:rsidP="00804F3A">
      <w:pPr>
        <w:pStyle w:val="NormalWeb"/>
        <w:rPr>
          <w:b/>
          <w:bCs/>
        </w:rPr>
      </w:pPr>
      <w:r>
        <w:rPr>
          <w:b/>
          <w:bCs/>
        </w:rPr>
        <w:lastRenderedPageBreak/>
        <w:t xml:space="preserve">Legal Lesson Learned:  Hip replacement was not due to a work-related injury; ordinary retirement. </w:t>
      </w:r>
    </w:p>
    <w:p w14:paraId="4DF195F1" w14:textId="77777777" w:rsidR="00804F3A" w:rsidRDefault="00804F3A" w:rsidP="00EF1133">
      <w:pPr>
        <w:rPr>
          <w:rFonts w:ascii="Arial Black" w:hAnsi="Arial Black"/>
          <w:b/>
          <w:sz w:val="24"/>
          <w:szCs w:val="24"/>
        </w:rPr>
      </w:pPr>
    </w:p>
    <w:p w14:paraId="25DA10C3" w14:textId="77777777" w:rsidR="00804F3A" w:rsidRDefault="00804F3A" w:rsidP="00EF1133">
      <w:pPr>
        <w:rPr>
          <w:rFonts w:ascii="Arial Black" w:hAnsi="Arial Black"/>
          <w:b/>
          <w:sz w:val="24"/>
          <w:szCs w:val="24"/>
        </w:rPr>
      </w:pPr>
    </w:p>
    <w:p w14:paraId="670C6C59" w14:textId="13184F2C" w:rsidR="00E8117B" w:rsidRDefault="00E8117B"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5</w:t>
      </w:r>
    </w:p>
    <w:p w14:paraId="03FF7C59" w14:textId="77777777" w:rsidR="00E8117B" w:rsidRDefault="00E8117B" w:rsidP="00E8117B">
      <w:pPr>
        <w:pStyle w:val="NormalWeb"/>
        <w:rPr>
          <w:rFonts w:ascii="Arial Black" w:hAnsi="Arial Black"/>
          <w:b/>
          <w:bCs/>
          <w:sz w:val="28"/>
          <w:szCs w:val="28"/>
        </w:rPr>
      </w:pPr>
      <w:r>
        <w:rPr>
          <w:rFonts w:ascii="Arial Black" w:hAnsi="Arial Black"/>
          <w:b/>
          <w:bCs/>
          <w:sz w:val="28"/>
          <w:szCs w:val="28"/>
        </w:rPr>
        <w:t>NY: ON-THE-JOB FOOT INJURY / SHOULDER INJURY - NOT UNEPECTED “ACCIDENTS” – NO DISABILITY RETIREMENT</w:t>
      </w:r>
    </w:p>
    <w:p w14:paraId="7B521BF3" w14:textId="77777777" w:rsidR="00E8117B" w:rsidRPr="00E8117B" w:rsidRDefault="00E8117B" w:rsidP="00E8117B">
      <w:pPr>
        <w:pStyle w:val="NormalWeb"/>
      </w:pPr>
      <w:r w:rsidRPr="00E8117B">
        <w:t xml:space="preserve">On Sept. 29, 2022, in </w:t>
      </w:r>
      <w:r w:rsidRPr="00E8117B">
        <w:rPr>
          <w:u w:val="single"/>
        </w:rPr>
        <w:t>Matter of Elaine R. Berman v. Thomas P. DiNapoli, State Comptroller</w:t>
      </w:r>
      <w:r w:rsidRPr="00E8117B">
        <w:t xml:space="preserve">, the  Supreme Court of New York, Third Department, held (5 to 0) that souse of a deceased firefighter was not entitled to accidental disability payments. The Court agreed with the Hearing Officer that the firefighter’s foot injury and back injury occurred </w:t>
      </w:r>
      <w:proofErr w:type="gramStart"/>
      <w:r w:rsidRPr="00E8117B">
        <w:t>during the course of</w:t>
      </w:r>
      <w:proofErr w:type="gramEnd"/>
      <w:r w:rsidRPr="00E8117B">
        <w:t xml:space="preserve"> routine employment duties and were a risk inherent in the performance thereof.  </w:t>
      </w:r>
    </w:p>
    <w:p w14:paraId="152B2C6D" w14:textId="18072D45" w:rsidR="00E8117B" w:rsidRPr="00E8117B" w:rsidRDefault="00E8117B" w:rsidP="00E8117B">
      <w:pPr>
        <w:rPr>
          <w:rFonts w:ascii="Times New Roman" w:hAnsi="Times New Roman"/>
          <w:b/>
          <w:sz w:val="24"/>
          <w:szCs w:val="24"/>
        </w:rPr>
      </w:pPr>
      <w:r w:rsidRPr="00E8117B">
        <w:rPr>
          <w:rFonts w:ascii="Times New Roman" w:hAnsi="Times New Roman"/>
          <w:sz w:val="24"/>
          <w:szCs w:val="24"/>
        </w:rPr>
        <w:t xml:space="preserve">“Petitioner's burden was to demonstrate that decedent's disability arose out of an accident, which, for purposes of the Retirement and Social Security Law, is defined as ‘a sudden, fortuitous mischance, unexpected, out of the ordinary, and injurious in impact.’ *** </w:t>
      </w:r>
      <w:r w:rsidRPr="00E8117B">
        <w:rPr>
          <w:rFonts w:ascii="Times New Roman" w:eastAsiaTheme="minorHAnsi" w:hAnsi="Times New Roman"/>
          <w:sz w:val="24"/>
          <w:szCs w:val="24"/>
        </w:rPr>
        <w:t>His resulting injury was not caused by a sudden and unexpected event. As such, substantial evidence supports respondent's finding that the incident did not constitute an accident.”</w:t>
      </w:r>
      <w:hyperlink r:id="rId1101" w:history="1">
        <w:r w:rsidRPr="00E8117B">
          <w:rPr>
            <w:rStyle w:val="Hyperlink"/>
            <w:rFonts w:ascii="Times New Roman" w:hAnsi="Times New Roman"/>
            <w:sz w:val="24"/>
            <w:szCs w:val="24"/>
          </w:rPr>
          <w:t>https://public.fastcase.com/J%2FJP6pdidelsXxEE4k%2BLMgZsxRPxIagHaOxK3V7dyuXFeFyB6fz1Dln4tTh4Jm%2FUrhr8rAmwFuGj0jKVlSZT92lB7laeHNqW0rDlXNrGxCk%3D?utm_medium=email&amp;_hsmi=226712652&amp;_hsenc=p2ANqtz-88sbIkrx-fKIJNKIHom0LKoVEBAjtP4sRnfpcv7MlL8ga8F7YTwpRtQY7XbucL3D6C1qELcyLUMrsKcjyI3sLUlue5QA&amp;utm_content=226712652&amp;utm_source=hs_email</w:t>
        </w:r>
      </w:hyperlink>
    </w:p>
    <w:p w14:paraId="2B0451A4" w14:textId="77777777" w:rsidR="00E8117B" w:rsidRDefault="00E8117B" w:rsidP="00E8117B">
      <w:pPr>
        <w:pStyle w:val="NormalWeb"/>
        <w:rPr>
          <w:b/>
          <w:bCs/>
        </w:rPr>
      </w:pPr>
      <w:r>
        <w:rPr>
          <w:b/>
          <w:bCs/>
        </w:rPr>
        <w:t>Legal Lesson Learned: In New York, accidental disability retirement benefits are only for on-the-job accidents that are “sudden, fortuitous mischance, unexpected, out of the ordinary, and injurious in impact.”</w:t>
      </w:r>
    </w:p>
    <w:p w14:paraId="022D6364" w14:textId="300D3511" w:rsidR="00E8117B" w:rsidRDefault="00E8117B" w:rsidP="00EF1133">
      <w:pPr>
        <w:rPr>
          <w:rFonts w:ascii="Arial Black" w:hAnsi="Arial Black"/>
          <w:b/>
          <w:sz w:val="24"/>
          <w:szCs w:val="24"/>
        </w:rPr>
      </w:pPr>
    </w:p>
    <w:p w14:paraId="05B9903E" w14:textId="6DC5C59E" w:rsidR="00E8117B" w:rsidRDefault="00E8117B"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4</w:t>
      </w:r>
    </w:p>
    <w:p w14:paraId="0E5E2E01" w14:textId="77777777" w:rsidR="00E8117B" w:rsidRDefault="00E8117B" w:rsidP="00E8117B">
      <w:pPr>
        <w:pStyle w:val="NormalWeb"/>
        <w:rPr>
          <w:rFonts w:ascii="Arial Black" w:hAnsi="Arial Black"/>
          <w:b/>
          <w:bCs/>
          <w:sz w:val="28"/>
          <w:szCs w:val="28"/>
        </w:rPr>
      </w:pPr>
      <w:r>
        <w:rPr>
          <w:rFonts w:ascii="Arial Black" w:hAnsi="Arial Black"/>
          <w:b/>
          <w:bCs/>
          <w:sz w:val="28"/>
          <w:szCs w:val="28"/>
        </w:rPr>
        <w:t xml:space="preserve">IL: FF KIDNEY CANCER – WINS WORKERS COMP – REBUTTABLE PRESUMPTION STATUTE, EXPERT OPINION  </w:t>
      </w:r>
    </w:p>
    <w:p w14:paraId="4E179B9A" w14:textId="77777777" w:rsidR="00E8117B" w:rsidRDefault="00E8117B" w:rsidP="00E8117B">
      <w:pPr>
        <w:pStyle w:val="NormalWeb"/>
      </w:pPr>
      <w:r>
        <w:t xml:space="preserve">On Sept. 15, 2022, in </w:t>
      </w:r>
      <w:r>
        <w:rPr>
          <w:u w:val="single"/>
        </w:rPr>
        <w:t>City of Springfield v. The Illinois Workers’ Compensation Commission et al. (Matt Wood)</w:t>
      </w:r>
      <w:r>
        <w:t xml:space="preserve">, the Court of Appeals of Illinois, Fourth District (Workers; Compensation Commission Division) held (5 to 0) that the arbitrator and the Worker’s Comp Commission properly held that the firefighter was entitled to workers comp under the Illinois “rebuttable presumption” statute. </w:t>
      </w:r>
    </w:p>
    <w:p w14:paraId="7AB94878" w14:textId="77777777" w:rsidR="00E8117B" w:rsidRDefault="00E8117B" w:rsidP="00E8117B">
      <w:pPr>
        <w:pStyle w:val="NormalWeb"/>
        <w:ind w:left="720"/>
      </w:pPr>
      <w:r>
        <w:t xml:space="preserve">“[T]he Commission's finding that the claimant's kidney cancer arose out of and in the course of his employment was not against the manifest weight of the evidence. *** The arbitrator found that given the claimant [Matt Wood] was a firefighter for about 16 years on September 6, 2013, and he had kidney cancer that resulted in a disability, his kidney cancer shall be rebuttably presumed to (1) arise out of and </w:t>
      </w:r>
      <w:r>
        <w:lastRenderedPageBreak/>
        <w:t xml:space="preserve">in the course of his employment and (2) be causally connected to the hazards or exposures of the employment (820 ILCS 310/1(d) (West 2012)).” </w:t>
      </w:r>
      <w:hyperlink r:id="rId1102" w:history="1">
        <w:r w:rsidRPr="0078619C">
          <w:rPr>
            <w:rStyle w:val="Hyperlink"/>
          </w:rPr>
          <w:t>https://ilcourtsaudio.blob.core.windows.net/antilles-resources/resources/eba608df-6fa9-4d1a-8a11-f48abce29596/City%20of%20Springfield%20v.%20Illinois%20Workers'%20Compensation%20Comm'n,%202022%20IL%20App%20(4th)%20210604WC-U.pdf</w:t>
        </w:r>
      </w:hyperlink>
    </w:p>
    <w:p w14:paraId="097419E2" w14:textId="77777777" w:rsidR="00E8117B" w:rsidRDefault="00E8117B" w:rsidP="00E8117B">
      <w:pPr>
        <w:pStyle w:val="NormalWeb"/>
        <w:rPr>
          <w:b/>
          <w:bCs/>
        </w:rPr>
      </w:pPr>
      <w:r>
        <w:rPr>
          <w:b/>
          <w:bCs/>
        </w:rPr>
        <w:t xml:space="preserve">Legal Lesson Learned: Having an expert who has studied firefighter </w:t>
      </w:r>
      <w:proofErr w:type="gramStart"/>
      <w:r>
        <w:rPr>
          <w:b/>
          <w:bCs/>
        </w:rPr>
        <w:t>cancers</w:t>
      </w:r>
      <w:proofErr w:type="gramEnd"/>
      <w:r>
        <w:rPr>
          <w:b/>
          <w:bCs/>
        </w:rPr>
        <w:t xml:space="preserve"> is essential when presenting a workers’ compensation claim. </w:t>
      </w:r>
    </w:p>
    <w:p w14:paraId="4611AF32" w14:textId="77777777" w:rsidR="00E8117B" w:rsidRDefault="00E8117B" w:rsidP="00E8117B">
      <w:pPr>
        <w:pStyle w:val="NormalWeb"/>
        <w:ind w:left="720"/>
      </w:pPr>
      <w:r>
        <w:t xml:space="preserve">Note: The Court cited Firefighter Matt Wood’s testimony about changes in protocol in wearing SCBAs during overhaul and other cancer prevention SOGs.  </w:t>
      </w:r>
    </w:p>
    <w:p w14:paraId="2F7ADE91" w14:textId="77777777" w:rsidR="00E8117B" w:rsidRDefault="00E8117B" w:rsidP="00E8117B">
      <w:pPr>
        <w:pStyle w:val="NormalWeb"/>
        <w:ind w:left="720"/>
      </w:pPr>
      <w:r>
        <w:t xml:space="preserve">“The claimant testified that his firefighting duties were the same while in all three positions, which included actively fighting fires. He stated that he responded to approximately four fires per month. The claimant responded to fires at residential homes, structural fires, building fires, and fires in cars, rubbish, and brush. When he responded to a fire, he wore his bunker gear, which consisted of a fire suit, pants, coat, helmet, gloves, hat, mask, and a self-contained breathing apparatus (SCBA), which is a backpack that carries a cylinder holding air. The claimant testified that new procedures went into effect four years ago and now firefighters would keep their SCBA on until an </w:t>
      </w:r>
      <w:proofErr w:type="gramStart"/>
      <w:r>
        <w:t>on shift</w:t>
      </w:r>
      <w:proofErr w:type="gramEnd"/>
      <w:r>
        <w:t xml:space="preserve"> safety officer determined with a Lower Explosive Limit (LEL) monitor, that all gas levels were within normal range and it was safe to take the equipment off. He stated that this resulted in the firefighters' masks remaining on much longer while they were performing their overhaul duties. Other changes also went into effect at that time, such as the firefighters having a spare set of gear ready and wet wipes at the scene to clean their face, neck, and hands.” </w:t>
      </w:r>
      <w:hyperlink r:id="rId1103" w:history="1">
        <w:r>
          <w:rPr>
            <w:rStyle w:val="Hyperlink"/>
          </w:rPr>
          <w:t>https://ilcourtsaudio.blob.core.windows.net/antilles-resources/resources/eba608df-6fa9-4d1a-8a11-f48abce29596/City%20of%20Springfield%20v.%20Illinois%20Workers'%20Compensation%20Comm'n,%202022%20IL%20App%20(4th)%20210604WC-U.pdf</w:t>
        </w:r>
      </w:hyperlink>
      <w:r>
        <w:t xml:space="preserve"> </w:t>
      </w:r>
    </w:p>
    <w:p w14:paraId="17B92C82" w14:textId="77777777" w:rsidR="00E8117B" w:rsidRDefault="00E8117B" w:rsidP="00E8117B">
      <w:pPr>
        <w:pStyle w:val="NormalWeb"/>
        <w:ind w:left="1440"/>
      </w:pPr>
    </w:p>
    <w:p w14:paraId="35ED23CF" w14:textId="77777777" w:rsidR="00E8117B" w:rsidRPr="00CB79E4" w:rsidRDefault="00E8117B" w:rsidP="00E8117B">
      <w:pPr>
        <w:pStyle w:val="NormalWeb"/>
        <w:ind w:firstLine="720"/>
      </w:pPr>
      <w:r w:rsidRPr="00CB79E4">
        <w:t xml:space="preserve">Illinois Rebuttable Presumption: </w:t>
      </w:r>
    </w:p>
    <w:p w14:paraId="658398F5" w14:textId="77777777" w:rsidR="00E8117B" w:rsidRPr="00CB79E4" w:rsidRDefault="00E8117B" w:rsidP="00E8117B">
      <w:pPr>
        <w:pStyle w:val="NormalWeb"/>
        <w:ind w:left="720"/>
      </w:pPr>
      <w:r w:rsidRPr="00CB79E4">
        <w:t>“</w:t>
      </w:r>
      <w:r w:rsidRPr="00CB79E4">
        <w:rPr>
          <w:rStyle w:val="HTMLCode"/>
          <w:rFonts w:ascii="Times New Roman" w:eastAsiaTheme="majorEastAsia" w:hAnsi="Times New Roman" w:cs="Times New Roman"/>
          <w:sz w:val="24"/>
          <w:szCs w:val="24"/>
        </w:rPr>
        <w:t xml:space="preserve">Any condition or impairment of health of an employee employed as a firefighter, emergency medical technician (EMT), emergency medical technician-intermediate (EMT-I), advanced emergency medical technician (A-EMT), or paramedic which results directly or indirectly from any bloodborne pathogen, lung or respiratory disease or condition, heart or vascular disease or condition, hypertension, tuberculosis, or cancer resulting in any disability (temporary, permanent, total, or partial) to the employee shall be rebuttably presumed to arise out of and in the course of the employee's firefighting, EMT, EMT-I, A-EMT, or paramedic employment and, further, shall be rebuttably presumed to be causally connected to the hazards or exposures of the employment. This presumption shall also apply to any hernia or hearing loss suffered by an employee employed as a firefighter, EMT, EMT-I, A-EMT, or paramedic. However, this presumption shall not apply to any employee who has been employed as a firefighter, EMT, EMT-I, A-EMT, or paramedic for less than 5 years at the time he or she files an Application for Adjustment of Claim concerning this condition or impairment with the Illinois Workers' Compensation Commission.” </w:t>
      </w:r>
      <w:hyperlink r:id="rId1104" w:history="1">
        <w:r w:rsidRPr="00CB79E4">
          <w:rPr>
            <w:rStyle w:val="Hyperlink"/>
          </w:rPr>
          <w:t>https://www.ilga.gov/legislation/ilcs/ilcs3.asp?ActID=2431&amp;ChapterID=68</w:t>
        </w:r>
      </w:hyperlink>
      <w:r w:rsidRPr="00CB79E4">
        <w:rPr>
          <w:rStyle w:val="HTMLCode"/>
          <w:rFonts w:ascii="Times New Roman" w:eastAsiaTheme="majorEastAsia" w:hAnsi="Times New Roman" w:cs="Times New Roman"/>
          <w:sz w:val="24"/>
          <w:szCs w:val="24"/>
        </w:rPr>
        <w:t xml:space="preserve"> </w:t>
      </w:r>
    </w:p>
    <w:p w14:paraId="5F1A488D" w14:textId="77777777" w:rsidR="00E8117B" w:rsidRDefault="00E8117B" w:rsidP="00EF1133">
      <w:pPr>
        <w:rPr>
          <w:rFonts w:ascii="Arial Black" w:hAnsi="Arial Black"/>
          <w:b/>
          <w:sz w:val="24"/>
          <w:szCs w:val="24"/>
        </w:rPr>
      </w:pPr>
    </w:p>
    <w:p w14:paraId="222DBE32" w14:textId="77777777" w:rsidR="00E8117B" w:rsidRDefault="00E8117B" w:rsidP="00EF1133">
      <w:pPr>
        <w:rPr>
          <w:rFonts w:ascii="Arial Black" w:hAnsi="Arial Black"/>
          <w:b/>
          <w:sz w:val="24"/>
          <w:szCs w:val="24"/>
        </w:rPr>
      </w:pPr>
    </w:p>
    <w:p w14:paraId="4E134FD3" w14:textId="02D03CAE" w:rsidR="006D2C51" w:rsidRDefault="006D2C51" w:rsidP="00EF1133">
      <w:pPr>
        <w:rPr>
          <w:rFonts w:ascii="Arial Black" w:hAnsi="Arial Black"/>
          <w:b/>
          <w:sz w:val="24"/>
          <w:szCs w:val="24"/>
        </w:rPr>
      </w:pPr>
      <w:r>
        <w:rPr>
          <w:rFonts w:ascii="Arial Black" w:hAnsi="Arial Black"/>
          <w:b/>
          <w:sz w:val="24"/>
          <w:szCs w:val="24"/>
        </w:rPr>
        <w:lastRenderedPageBreak/>
        <w:t>6-9</w:t>
      </w:r>
      <w:r w:rsidR="00FF7C63">
        <w:rPr>
          <w:rFonts w:ascii="Arial Black" w:hAnsi="Arial Black"/>
          <w:b/>
          <w:sz w:val="24"/>
          <w:szCs w:val="24"/>
        </w:rPr>
        <w:t>3</w:t>
      </w:r>
    </w:p>
    <w:p w14:paraId="2F7B079B" w14:textId="77777777" w:rsidR="006C4BDE"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NY: FDNY KNEE INJURY – 7</w:t>
      </w:r>
      <w:r w:rsidRPr="00D97113">
        <w:rPr>
          <w:rFonts w:ascii="Arial Black" w:hAnsi="Arial Black"/>
          <w:sz w:val="28"/>
          <w:szCs w:val="28"/>
          <w:vertAlign w:val="superscript"/>
        </w:rPr>
        <w:t>th</w:t>
      </w:r>
      <w:r>
        <w:rPr>
          <w:rFonts w:ascii="Arial Black" w:hAnsi="Arial Black"/>
          <w:sz w:val="28"/>
          <w:szCs w:val="28"/>
        </w:rPr>
        <w:t xml:space="preserve"> ON JOB - BUT ARTHRITIS - COURT AWARDS 75% ACCIDENTAL DISAB. RETIREMENT </w:t>
      </w:r>
    </w:p>
    <w:p w14:paraId="1DDF8872" w14:textId="77777777" w:rsidR="006C4BDE" w:rsidRDefault="006C4BDE" w:rsidP="006C4BD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11, 2022, in </w:t>
      </w:r>
      <w:r w:rsidRPr="000836BE">
        <w:rPr>
          <w:rFonts w:ascii="Times New Roman" w:hAnsi="Times New Roman"/>
          <w:sz w:val="24"/>
          <w:szCs w:val="24"/>
          <w:u w:val="single"/>
        </w:rPr>
        <w:t>David J. Lamar v. Daniel Nigro, the Board of Trustees of the New York City Fire Department, et al</w:t>
      </w:r>
      <w:r>
        <w:rPr>
          <w:rFonts w:ascii="Times New Roman" w:hAnsi="Times New Roman"/>
          <w:sz w:val="24"/>
          <w:szCs w:val="24"/>
        </w:rPr>
        <w:t xml:space="preserve">., the Supreme Court, New York County held (2 to 0; unpublished opinion) granted the retired firefighter’s </w:t>
      </w:r>
      <w:r w:rsidRPr="000836BE">
        <w:rPr>
          <w:rFonts w:ascii="Times New Roman" w:hAnsi="Times New Roman"/>
          <w:sz w:val="24"/>
          <w:szCs w:val="24"/>
        </w:rPr>
        <w:t>petition to reverse respondents' determination denying petitioner's application for accident disability retirement (</w:t>
      </w:r>
      <w:r>
        <w:rPr>
          <w:rFonts w:ascii="Times New Roman" w:hAnsi="Times New Roman"/>
          <w:sz w:val="24"/>
          <w:szCs w:val="24"/>
        </w:rPr>
        <w:t>‘</w:t>
      </w:r>
      <w:r w:rsidRPr="000836BE">
        <w:rPr>
          <w:rFonts w:ascii="Times New Roman" w:hAnsi="Times New Roman"/>
          <w:sz w:val="24"/>
          <w:szCs w:val="24"/>
        </w:rPr>
        <w:t>ADR</w:t>
      </w:r>
      <w:r>
        <w:rPr>
          <w:rFonts w:ascii="Times New Roman" w:hAnsi="Times New Roman"/>
          <w:sz w:val="24"/>
          <w:szCs w:val="24"/>
        </w:rPr>
        <w:t>’</w:t>
      </w:r>
      <w:r w:rsidRPr="000836BE">
        <w:rPr>
          <w:rFonts w:ascii="Times New Roman" w:hAnsi="Times New Roman"/>
          <w:sz w:val="24"/>
          <w:szCs w:val="24"/>
        </w:rPr>
        <w:t>) benefits</w:t>
      </w:r>
      <w:r>
        <w:rPr>
          <w:rFonts w:ascii="Times New Roman" w:hAnsi="Times New Roman"/>
          <w:sz w:val="24"/>
          <w:szCs w:val="24"/>
        </w:rPr>
        <w:t xml:space="preserve"> [$75%] </w:t>
      </w:r>
      <w:r w:rsidRPr="000836BE">
        <w:rPr>
          <w:rFonts w:ascii="Times New Roman" w:hAnsi="Times New Roman"/>
          <w:sz w:val="24"/>
          <w:szCs w:val="24"/>
        </w:rPr>
        <w:t>is granted and he is entitled to benefits retroactive to his date of retirement.</w:t>
      </w:r>
      <w:r>
        <w:rPr>
          <w:rFonts w:ascii="Times New Roman" w:hAnsi="Times New Roman"/>
          <w:sz w:val="24"/>
          <w:szCs w:val="24"/>
        </w:rPr>
        <w:t xml:space="preserve">  </w:t>
      </w:r>
      <w:hyperlink r:id="rId1105" w:history="1">
        <w:r w:rsidRPr="00355029">
          <w:rPr>
            <w:rStyle w:val="Hyperlink"/>
            <w:rFonts w:ascii="Times New Roman" w:eastAsia="Times New Roman" w:hAnsi="Times New Roman"/>
            <w:sz w:val="24"/>
            <w:szCs w:val="24"/>
          </w:rPr>
          <w:t>https://cases.justia.com/new-york/other-courts/2022-2022-ny-slip-op-32197-u.pdf?ts=1657833320</w:t>
        </w:r>
      </w:hyperlink>
    </w:p>
    <w:p w14:paraId="46B4B6F5" w14:textId="77777777" w:rsidR="006C4BDE" w:rsidRPr="00134EB1" w:rsidRDefault="006C4BDE" w:rsidP="006C4BDE">
      <w:pPr>
        <w:spacing w:before="100" w:beforeAutospacing="1" w:after="100" w:afterAutospacing="1" w:line="240" w:lineRule="auto"/>
        <w:rPr>
          <w:rFonts w:ascii="Times New Roman" w:eastAsia="Times New Roman" w:hAnsi="Times New Roman"/>
          <w:b/>
          <w:bCs/>
          <w:sz w:val="24"/>
          <w:szCs w:val="24"/>
        </w:rPr>
      </w:pPr>
      <w:r w:rsidRPr="00134EB1">
        <w:rPr>
          <w:rFonts w:ascii="Times New Roman" w:eastAsia="Times New Roman" w:hAnsi="Times New Roman"/>
          <w:b/>
          <w:bCs/>
          <w:sz w:val="24"/>
          <w:szCs w:val="24"/>
        </w:rPr>
        <w:t xml:space="preserve">Legal Lesson Learned: Nice to see Court recognizing </w:t>
      </w:r>
      <w:r w:rsidRPr="00134EB1">
        <w:rPr>
          <w:rFonts w:ascii="Times New Roman" w:hAnsi="Times New Roman"/>
          <w:b/>
          <w:bCs/>
          <w:sz w:val="24"/>
          <w:szCs w:val="24"/>
        </w:rPr>
        <w:t>that “years pass</w:t>
      </w:r>
      <w:r>
        <w:rPr>
          <w:rFonts w:ascii="Times New Roman" w:hAnsi="Times New Roman"/>
          <w:b/>
          <w:bCs/>
          <w:sz w:val="24"/>
          <w:szCs w:val="24"/>
        </w:rPr>
        <w:t xml:space="preserve"> </w:t>
      </w:r>
      <w:r w:rsidRPr="00134EB1">
        <w:rPr>
          <w:rFonts w:ascii="Times New Roman" w:hAnsi="Times New Roman"/>
          <w:b/>
          <w:bCs/>
          <w:sz w:val="24"/>
          <w:szCs w:val="24"/>
        </w:rPr>
        <w:t xml:space="preserve">and knees can get worse due to degenerative conditions,” but firefighter still entitled to ADR because this was clearly aggravated by </w:t>
      </w:r>
      <w:proofErr w:type="spellStart"/>
      <w:proofErr w:type="gramStart"/>
      <w:r w:rsidRPr="00134EB1">
        <w:rPr>
          <w:rFonts w:ascii="Times New Roman" w:hAnsi="Times New Roman"/>
          <w:b/>
          <w:bCs/>
          <w:sz w:val="24"/>
          <w:szCs w:val="24"/>
        </w:rPr>
        <w:t>a</w:t>
      </w:r>
      <w:proofErr w:type="spellEnd"/>
      <w:proofErr w:type="gramEnd"/>
      <w:r w:rsidRPr="00134EB1">
        <w:rPr>
          <w:rFonts w:ascii="Times New Roman" w:hAnsi="Times New Roman"/>
          <w:b/>
          <w:bCs/>
          <w:sz w:val="24"/>
          <w:szCs w:val="24"/>
        </w:rPr>
        <w:t xml:space="preserve"> on-the-job injury. </w:t>
      </w:r>
    </w:p>
    <w:p w14:paraId="146AE8C0" w14:textId="77777777" w:rsidR="006D2C51" w:rsidRDefault="006D2C51" w:rsidP="00EF1133">
      <w:pPr>
        <w:rPr>
          <w:rFonts w:ascii="Arial Black" w:hAnsi="Arial Black"/>
          <w:b/>
          <w:sz w:val="24"/>
          <w:szCs w:val="24"/>
        </w:rPr>
      </w:pPr>
    </w:p>
    <w:p w14:paraId="5E96F905" w14:textId="41F57F97" w:rsidR="007F3F5A" w:rsidRDefault="007F3F5A"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2</w:t>
      </w:r>
    </w:p>
    <w:p w14:paraId="2B5D5AD2" w14:textId="77777777" w:rsidR="007F3F5A" w:rsidRDefault="007F3F5A" w:rsidP="007F3F5A">
      <w:pPr>
        <w:spacing w:before="100" w:beforeAutospacing="1" w:after="100" w:afterAutospacing="1" w:line="240" w:lineRule="auto"/>
        <w:rPr>
          <w:rStyle w:val="markedcontent"/>
          <w:rFonts w:ascii="Arial Black" w:hAnsi="Arial Black"/>
          <w:sz w:val="28"/>
          <w:szCs w:val="28"/>
        </w:rPr>
      </w:pPr>
      <w:r>
        <w:rPr>
          <w:rStyle w:val="markedcontent"/>
          <w:rFonts w:ascii="Arial Black" w:hAnsi="Arial Black"/>
          <w:b/>
          <w:bCs/>
          <w:sz w:val="28"/>
          <w:szCs w:val="28"/>
        </w:rPr>
        <w:t>U.S. SUP. CT:  USERRA – TX STATE TROOPER RETURNING FROM IRAQ – LUNG ISSUES – CAN SUE IN STATE COURT</w:t>
      </w:r>
    </w:p>
    <w:p w14:paraId="3771FD9C" w14:textId="77777777" w:rsidR="007F3F5A" w:rsidRDefault="007F3F5A" w:rsidP="007F3F5A">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June 29, 2022, in </w:t>
      </w:r>
      <w:r>
        <w:rPr>
          <w:rStyle w:val="markedcontent"/>
          <w:rFonts w:ascii="Times New Roman" w:hAnsi="Times New Roman"/>
          <w:sz w:val="24"/>
          <w:szCs w:val="24"/>
          <w:u w:val="single"/>
        </w:rPr>
        <w:t>Torres v. Texas Department of Public Safety</w:t>
      </w:r>
      <w:r>
        <w:rPr>
          <w:rStyle w:val="markedcontent"/>
          <w:rFonts w:ascii="Times New Roman" w:hAnsi="Times New Roman"/>
          <w:sz w:val="24"/>
          <w:szCs w:val="24"/>
        </w:rPr>
        <w:t xml:space="preserve">, the U.S. Supreme Court held (4 to 0) that the former State Trooper can sue his employer in state court for violation of USERRA [Uniformed Services Employment and Reemployment Rights Act of 1994]; he is not required to sue in federal court.  Le Roy Torres returned from active military service in Iraq with lung issues from “burn pits” and </w:t>
      </w:r>
      <w:r>
        <w:rPr>
          <w:rFonts w:ascii="Times New Roman" w:hAnsi="Times New Roman"/>
          <w:sz w:val="24"/>
          <w:szCs w:val="24"/>
        </w:rPr>
        <w:t xml:space="preserve">but requested to be placed in a different position other than as a state trooper, since his lung damage precluded him from performing </w:t>
      </w:r>
      <w:proofErr w:type="gramStart"/>
      <w:r>
        <w:rPr>
          <w:rFonts w:ascii="Times New Roman" w:hAnsi="Times New Roman"/>
          <w:sz w:val="24"/>
          <w:szCs w:val="24"/>
        </w:rPr>
        <w:t>all of</w:t>
      </w:r>
      <w:proofErr w:type="gramEnd"/>
      <w:r>
        <w:rPr>
          <w:rFonts w:ascii="Times New Roman" w:hAnsi="Times New Roman"/>
          <w:sz w:val="24"/>
          <w:szCs w:val="24"/>
        </w:rPr>
        <w:t xml:space="preserve"> his duties. DPS declined the request and offered him a temporary position as a state trooper, stating that if he did not report to duty, his employment would be terminated. Torres resigned. He </w:t>
      </w:r>
      <w:proofErr w:type="gramStart"/>
      <w:r>
        <w:rPr>
          <w:rFonts w:ascii="Times New Roman" w:hAnsi="Times New Roman"/>
          <w:sz w:val="24"/>
          <w:szCs w:val="24"/>
        </w:rPr>
        <w:t>sued</w:t>
      </w:r>
      <w:proofErr w:type="gramEnd"/>
      <w:r>
        <w:rPr>
          <w:rFonts w:ascii="Times New Roman" w:hAnsi="Times New Roman"/>
          <w:sz w:val="24"/>
          <w:szCs w:val="24"/>
        </w:rPr>
        <w:t xml:space="preserve"> in state court, but Texas court of appeals said that </w:t>
      </w:r>
      <w:proofErr w:type="gramStart"/>
      <w:r>
        <w:rPr>
          <w:rFonts w:ascii="Times New Roman" w:hAnsi="Times New Roman"/>
          <w:sz w:val="24"/>
          <w:szCs w:val="24"/>
        </w:rPr>
        <w:t>he</w:t>
      </w:r>
      <w:proofErr w:type="gramEnd"/>
      <w:r>
        <w:rPr>
          <w:rFonts w:ascii="Times New Roman" w:hAnsi="Times New Roman"/>
          <w:sz w:val="24"/>
          <w:szCs w:val="24"/>
        </w:rPr>
        <w:t xml:space="preserve"> only remedy is in federal court.  The lawsuit will now proceed in State </w:t>
      </w:r>
      <w:proofErr w:type="gramStart"/>
      <w:r>
        <w:rPr>
          <w:rFonts w:ascii="Times New Roman" w:hAnsi="Times New Roman"/>
          <w:sz w:val="24"/>
          <w:szCs w:val="24"/>
        </w:rPr>
        <w:t>court</w:t>
      </w:r>
      <w:proofErr w:type="gramEnd"/>
      <w:r>
        <w:rPr>
          <w:rFonts w:ascii="Times New Roman" w:hAnsi="Times New Roman"/>
          <w:sz w:val="24"/>
          <w:szCs w:val="24"/>
        </w:rPr>
        <w:t xml:space="preserve"> and a jury will be asked to award damages. </w:t>
      </w:r>
      <w:hyperlink r:id="rId1106" w:history="1">
        <w:r>
          <w:rPr>
            <w:rStyle w:val="Hyperlink"/>
            <w:sz w:val="24"/>
            <w:szCs w:val="24"/>
          </w:rPr>
          <w:t>https://www.supremecourt.gov/opinions/21pdf/20-603_o758.pdf</w:t>
        </w:r>
      </w:hyperlink>
      <w:r>
        <w:rPr>
          <w:rStyle w:val="markedcontent"/>
          <w:rFonts w:ascii="Times New Roman" w:hAnsi="Times New Roman"/>
          <w:sz w:val="24"/>
          <w:szCs w:val="24"/>
        </w:rPr>
        <w:t xml:space="preserve"> </w:t>
      </w:r>
    </w:p>
    <w:p w14:paraId="7706807C" w14:textId="77777777" w:rsidR="007F3F5A" w:rsidRDefault="007F3F5A" w:rsidP="007F3F5A">
      <w:pPr>
        <w:spacing w:before="100" w:beforeAutospacing="1" w:after="100" w:afterAutospacing="1" w:line="240" w:lineRule="auto"/>
        <w:rPr>
          <w:b/>
          <w:bCs/>
        </w:rPr>
      </w:pPr>
      <w:r>
        <w:rPr>
          <w:rStyle w:val="markedcontent"/>
          <w:rFonts w:ascii="Times New Roman" w:hAnsi="Times New Roman"/>
          <w:b/>
          <w:bCs/>
          <w:sz w:val="24"/>
          <w:szCs w:val="24"/>
        </w:rPr>
        <w:t xml:space="preserve">Legal Lesson Learned: Fire &amp; EMS departments must comply with USERRA, and failure to comply can lead to lawsuits in State court with a jury awarding </w:t>
      </w:r>
      <w:proofErr w:type="gramStart"/>
      <w:r>
        <w:rPr>
          <w:rStyle w:val="markedcontent"/>
          <w:rFonts w:ascii="Times New Roman" w:hAnsi="Times New Roman"/>
          <w:b/>
          <w:bCs/>
          <w:sz w:val="24"/>
          <w:szCs w:val="24"/>
        </w:rPr>
        <w:t>damages</w:t>
      </w:r>
      <w:proofErr w:type="gramEnd"/>
      <w:r>
        <w:rPr>
          <w:rStyle w:val="markedcontent"/>
          <w:rFonts w:ascii="Times New Roman" w:hAnsi="Times New Roman"/>
          <w:b/>
          <w:bCs/>
          <w:sz w:val="24"/>
          <w:szCs w:val="24"/>
        </w:rPr>
        <w:t xml:space="preserve">. </w:t>
      </w:r>
    </w:p>
    <w:p w14:paraId="78E849A2" w14:textId="77777777" w:rsidR="007F3F5A" w:rsidRDefault="007F3F5A" w:rsidP="00EF1133">
      <w:pPr>
        <w:rPr>
          <w:rFonts w:ascii="Arial Black" w:hAnsi="Arial Black"/>
          <w:b/>
          <w:sz w:val="24"/>
          <w:szCs w:val="24"/>
        </w:rPr>
      </w:pPr>
    </w:p>
    <w:p w14:paraId="46FA1073" w14:textId="6F05E5E0" w:rsidR="00FC62FF" w:rsidRDefault="00FC62FF"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1</w:t>
      </w:r>
      <w:r w:rsidR="00156E5D">
        <w:rPr>
          <w:rFonts w:ascii="Arial Black" w:hAnsi="Arial Black"/>
          <w:b/>
          <w:sz w:val="24"/>
          <w:szCs w:val="24"/>
        </w:rPr>
        <w:t xml:space="preserve"> [also filed, Chap. 17]</w:t>
      </w:r>
    </w:p>
    <w:p w14:paraId="3D614908" w14:textId="77777777" w:rsidR="00FC62FF" w:rsidRDefault="00FC62FF" w:rsidP="00FC62FF">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OH: FIRE CHIEF “RETIRE / REHIRE” NEXT DAY IS LAWFUL – CIVIL SERVICE POSTING JOB ONLY WHEN A “VACANCY” </w:t>
      </w:r>
    </w:p>
    <w:p w14:paraId="583B9C62" w14:textId="77777777" w:rsidR="00FC62FF" w:rsidRDefault="00FC62FF" w:rsidP="00FC62F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27, 2022, in </w:t>
      </w:r>
      <w:r>
        <w:rPr>
          <w:rFonts w:ascii="Times New Roman" w:hAnsi="Times New Roman"/>
          <w:sz w:val="24"/>
          <w:szCs w:val="24"/>
          <w:u w:val="single"/>
        </w:rPr>
        <w:t xml:space="preserve">State of Ohio ex re. The International Association of Fire Fighters, Local 1536, AFL-CIO v. John Barbush, In His Official Capacity </w:t>
      </w:r>
      <w:proofErr w:type="gramStart"/>
      <w:r>
        <w:rPr>
          <w:rFonts w:ascii="Times New Roman" w:hAnsi="Times New Roman"/>
          <w:sz w:val="24"/>
          <w:szCs w:val="24"/>
          <w:u w:val="single"/>
        </w:rPr>
        <w:t>As</w:t>
      </w:r>
      <w:proofErr w:type="gramEnd"/>
      <w:r>
        <w:rPr>
          <w:rFonts w:ascii="Times New Roman" w:hAnsi="Times New Roman"/>
          <w:sz w:val="24"/>
          <w:szCs w:val="24"/>
          <w:u w:val="single"/>
        </w:rPr>
        <w:t xml:space="preserve"> Maor </w:t>
      </w:r>
      <w:proofErr w:type="gramStart"/>
      <w:r>
        <w:rPr>
          <w:rFonts w:ascii="Times New Roman" w:hAnsi="Times New Roman"/>
          <w:sz w:val="24"/>
          <w:szCs w:val="24"/>
          <w:u w:val="single"/>
        </w:rPr>
        <w:t>And</w:t>
      </w:r>
      <w:proofErr w:type="gramEnd"/>
      <w:r>
        <w:rPr>
          <w:rFonts w:ascii="Times New Roman" w:hAnsi="Times New Roman"/>
          <w:sz w:val="24"/>
          <w:szCs w:val="24"/>
          <w:u w:val="single"/>
        </w:rPr>
        <w:t xml:space="preserve"> Director </w:t>
      </w:r>
      <w:proofErr w:type="gramStart"/>
      <w:r>
        <w:rPr>
          <w:rFonts w:ascii="Times New Roman" w:hAnsi="Times New Roman"/>
          <w:sz w:val="24"/>
          <w:szCs w:val="24"/>
          <w:u w:val="single"/>
        </w:rPr>
        <w:t>Of</w:t>
      </w:r>
      <w:proofErr w:type="gramEnd"/>
      <w:r>
        <w:rPr>
          <w:rFonts w:ascii="Times New Roman" w:hAnsi="Times New Roman"/>
          <w:sz w:val="24"/>
          <w:szCs w:val="24"/>
          <w:u w:val="single"/>
        </w:rPr>
        <w:t xml:space="preserve"> Public Safety, et. al., and James G. Powers</w:t>
      </w:r>
      <w:r>
        <w:rPr>
          <w:rFonts w:ascii="Times New Roman" w:hAnsi="Times New Roman"/>
          <w:sz w:val="24"/>
          <w:szCs w:val="24"/>
        </w:rPr>
        <w:t xml:space="preserve">, the Court of Appeals of Ohio, Eleventh District (Lake County), held (2 to 1) that trial court properly held that there was no “vacancy” in the Fire Chiefs position since he retired on Jan. 6, 2020, and was rehired the next day. Local 1536 argued [and the Dissenting Judge agreed] that the position should have been </w:t>
      </w:r>
      <w:proofErr w:type="gramStart"/>
      <w:r>
        <w:rPr>
          <w:rFonts w:ascii="Times New Roman" w:hAnsi="Times New Roman"/>
          <w:sz w:val="24"/>
          <w:szCs w:val="24"/>
        </w:rPr>
        <w:t>submitted</w:t>
      </w:r>
      <w:proofErr w:type="gramEnd"/>
      <w:r>
        <w:rPr>
          <w:rFonts w:ascii="Times New Roman" w:hAnsi="Times New Roman"/>
          <w:sz w:val="24"/>
          <w:szCs w:val="24"/>
        </w:rPr>
        <w:t xml:space="preserve"> the </w:t>
      </w:r>
      <w:r>
        <w:rPr>
          <w:rFonts w:ascii="Times New Roman" w:hAnsi="Times New Roman"/>
          <w:sz w:val="24"/>
          <w:szCs w:val="24"/>
        </w:rPr>
        <w:lastRenderedPageBreak/>
        <w:t xml:space="preserve">City’s Civil Service Commission, and the position filled through a competitive promotional examination process where four Captains were eligible to apply. </w:t>
      </w:r>
      <w:hyperlink r:id="rId1107" w:history="1">
        <w:r>
          <w:rPr>
            <w:rStyle w:val="Hyperlink"/>
            <w:sz w:val="24"/>
            <w:szCs w:val="24"/>
          </w:rPr>
          <w:t>https://www.leagle.com/decision/inohco20220627386</w:t>
        </w:r>
      </w:hyperlink>
      <w:r>
        <w:rPr>
          <w:rFonts w:ascii="Times New Roman" w:hAnsi="Times New Roman"/>
          <w:sz w:val="24"/>
          <w:szCs w:val="24"/>
        </w:rPr>
        <w:t xml:space="preserve"> </w:t>
      </w:r>
    </w:p>
    <w:p w14:paraId="0B204B03" w14:textId="77777777" w:rsidR="00156E5D" w:rsidRDefault="00156E5D" w:rsidP="00156E5D">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In Ohio, other fire chiefs have also done “retire / rehire.” </w:t>
      </w:r>
    </w:p>
    <w:p w14:paraId="70EA6FE7"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For example, see: “Fairfield able to rehire retired fire chief” (March 15, 2011): </w:t>
      </w:r>
      <w:hyperlink r:id="rId1108" w:history="1">
        <w:r w:rsidRPr="00102BDF">
          <w:rPr>
            <w:rStyle w:val="Hyperlink"/>
            <w:b w:val="0"/>
            <w:bCs w:val="0"/>
            <w:sz w:val="24"/>
            <w:szCs w:val="24"/>
          </w:rPr>
          <w:t>https://www.journal-news.com/news/local/fairfield-able-rehire-retired-fire-chief/JMPkJQCqJ2eIDqbu2eI8RK/</w:t>
        </w:r>
      </w:hyperlink>
      <w:r w:rsidRPr="00102BDF">
        <w:rPr>
          <w:b w:val="0"/>
          <w:bCs w:val="0"/>
          <w:sz w:val="24"/>
          <w:szCs w:val="24"/>
        </w:rPr>
        <w:t xml:space="preserve"> </w:t>
      </w:r>
    </w:p>
    <w:p w14:paraId="6CD3EB80"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“West Carrollton to rehire fire chief after Valentine’s week retirement” (Feb. 13, 2019): </w:t>
      </w:r>
      <w:hyperlink r:id="rId1109" w:history="1">
        <w:r w:rsidRPr="00102BDF">
          <w:rPr>
            <w:rStyle w:val="Hyperlink"/>
            <w:b w:val="0"/>
            <w:bCs w:val="0"/>
            <w:sz w:val="24"/>
            <w:szCs w:val="24"/>
          </w:rPr>
          <w:t>https://www.daytondailynews.com/news/west-carrollton-rehire-fire-chief-after-valentine-week-retirement/XSsYoJpSmxdkIIZtoGUpzJ/</w:t>
        </w:r>
      </w:hyperlink>
      <w:r w:rsidRPr="00102BDF">
        <w:rPr>
          <w:b w:val="0"/>
          <w:bCs w:val="0"/>
          <w:sz w:val="24"/>
          <w:szCs w:val="24"/>
        </w:rPr>
        <w:t xml:space="preserve"> </w:t>
      </w:r>
    </w:p>
    <w:p w14:paraId="7E877B0F" w14:textId="77777777" w:rsidR="00FC62FF" w:rsidRDefault="00FC62FF" w:rsidP="00EF1133">
      <w:pPr>
        <w:rPr>
          <w:rFonts w:ascii="Arial Black" w:hAnsi="Arial Black"/>
          <w:b/>
          <w:sz w:val="24"/>
          <w:szCs w:val="24"/>
        </w:rPr>
      </w:pPr>
    </w:p>
    <w:p w14:paraId="363F5A16" w14:textId="77777777" w:rsidR="00FC62FF" w:rsidRDefault="00FC62FF" w:rsidP="00EF1133">
      <w:pPr>
        <w:rPr>
          <w:rFonts w:ascii="Arial Black" w:hAnsi="Arial Black"/>
          <w:b/>
          <w:sz w:val="24"/>
          <w:szCs w:val="24"/>
        </w:rPr>
      </w:pPr>
    </w:p>
    <w:p w14:paraId="57258129" w14:textId="77777777" w:rsidR="00FC62FF" w:rsidRDefault="00FC62FF" w:rsidP="00EF1133">
      <w:pPr>
        <w:rPr>
          <w:rFonts w:ascii="Arial Black" w:hAnsi="Arial Black"/>
          <w:b/>
          <w:sz w:val="24"/>
          <w:szCs w:val="24"/>
        </w:rPr>
      </w:pPr>
    </w:p>
    <w:p w14:paraId="29759BB5" w14:textId="6108A0CF" w:rsidR="0002742E" w:rsidRDefault="0002742E"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0</w:t>
      </w:r>
    </w:p>
    <w:p w14:paraId="5306DDBC" w14:textId="77777777" w:rsidR="0002742E" w:rsidRPr="00A8477F" w:rsidRDefault="0002742E" w:rsidP="0002742E">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b/>
          <w:bCs/>
          <w:sz w:val="28"/>
          <w:szCs w:val="28"/>
        </w:rPr>
        <w:t xml:space="preserve">ID: FF DIED LEUKEMIA – WIDOW WINS WORKER COMP APPEAL - STATE SUP. CT. STAUTORY </w:t>
      </w:r>
      <w:r>
        <w:rPr>
          <w:rFonts w:ascii="Arial Black" w:eastAsia="Times New Roman" w:hAnsi="Arial Black"/>
          <w:sz w:val="28"/>
          <w:szCs w:val="28"/>
        </w:rPr>
        <w:t>PRESUMPTION</w:t>
      </w:r>
    </w:p>
    <w:p w14:paraId="49754685" w14:textId="77777777" w:rsidR="0002742E" w:rsidRPr="00241167" w:rsidRDefault="0002742E" w:rsidP="0002742E">
      <w:pPr>
        <w:spacing w:before="100" w:beforeAutospacing="1" w:after="100" w:afterAutospacing="1" w:line="240" w:lineRule="auto"/>
        <w:rPr>
          <w:rFonts w:ascii="Times New Roman" w:eastAsia="Times New Roman" w:hAnsi="Times New Roman"/>
          <w:sz w:val="24"/>
          <w:szCs w:val="24"/>
        </w:rPr>
      </w:pPr>
      <w:r w:rsidRPr="00A8477F">
        <w:rPr>
          <w:rFonts w:ascii="Times New Roman" w:eastAsia="Times New Roman" w:hAnsi="Times New Roman"/>
          <w:sz w:val="24"/>
          <w:szCs w:val="24"/>
        </w:rPr>
        <w:t xml:space="preserve">On </w:t>
      </w:r>
      <w:r>
        <w:rPr>
          <w:rFonts w:ascii="Times New Roman" w:eastAsia="Times New Roman" w:hAnsi="Times New Roman"/>
          <w:sz w:val="24"/>
          <w:szCs w:val="24"/>
        </w:rPr>
        <w:t xml:space="preserve">April 29, 2022, in </w:t>
      </w:r>
      <w:r w:rsidRPr="00241167">
        <w:rPr>
          <w:rFonts w:ascii="Times New Roman" w:eastAsia="Times New Roman" w:hAnsi="Times New Roman"/>
          <w:sz w:val="24"/>
          <w:szCs w:val="24"/>
          <w:u w:val="single"/>
        </w:rPr>
        <w:t>Richard Nelson v. City of Pocatello</w:t>
      </w:r>
      <w:r>
        <w:rPr>
          <w:rFonts w:ascii="Times New Roman" w:eastAsia="Times New Roman" w:hAnsi="Times New Roman"/>
          <w:sz w:val="24"/>
          <w:szCs w:val="24"/>
        </w:rPr>
        <w:t xml:space="preserve">, the Supreme Court of Idaho held (5 to 0) that the 2016 statutory presumption statute is </w:t>
      </w:r>
      <w:proofErr w:type="gramStart"/>
      <w:r>
        <w:rPr>
          <w:rFonts w:ascii="Times New Roman" w:eastAsia="Times New Roman" w:hAnsi="Times New Roman"/>
          <w:sz w:val="24"/>
          <w:szCs w:val="24"/>
        </w:rPr>
        <w:t>constitutional</w:t>
      </w:r>
      <w:proofErr w:type="gramEnd"/>
      <w:r>
        <w:rPr>
          <w:rFonts w:ascii="Times New Roman" w:eastAsia="Times New Roman" w:hAnsi="Times New Roman"/>
          <w:sz w:val="24"/>
          <w:szCs w:val="24"/>
        </w:rPr>
        <w:t xml:space="preserve"> and the Industrial Commission properly held that 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failed to present “substantial evidence” to rebut that presumption.  Richard Nelson served </w:t>
      </w:r>
      <w:proofErr w:type="gramStart"/>
      <w:r>
        <w:rPr>
          <w:rFonts w:ascii="Times New Roman" w:eastAsia="Times New Roman" w:hAnsi="Times New Roman"/>
          <w:sz w:val="24"/>
          <w:szCs w:val="24"/>
        </w:rPr>
        <w:t>21-years</w:t>
      </w:r>
      <w:proofErr w:type="gramEnd"/>
      <w:r>
        <w:rPr>
          <w:rFonts w:ascii="Times New Roman" w:eastAsia="Times New Roman" w:hAnsi="Times New Roman"/>
          <w:sz w:val="24"/>
          <w:szCs w:val="24"/>
        </w:rPr>
        <w:t xml:space="preserve"> as a career firefighter, retired in 2014 and in 2018 was diagnosed with </w:t>
      </w:r>
      <w:r w:rsidRPr="00241167">
        <w:rPr>
          <w:rFonts w:ascii="Times New Roman" w:hAnsi="Times New Roman"/>
          <w:sz w:val="24"/>
          <w:szCs w:val="24"/>
        </w:rPr>
        <w:t>early-stage chronic lymphocytic leukemia ("CLL")</w:t>
      </w:r>
      <w:r>
        <w:rPr>
          <w:rFonts w:ascii="Times New Roman" w:hAnsi="Times New Roman"/>
          <w:sz w:val="24"/>
          <w:szCs w:val="24"/>
        </w:rPr>
        <w:t xml:space="preserve">.  </w:t>
      </w:r>
      <w:hyperlink r:id="rId1110" w:history="1">
        <w:r w:rsidRPr="00C50FC4">
          <w:rPr>
            <w:rStyle w:val="Hyperlink"/>
            <w:rFonts w:ascii="Times New Roman" w:hAnsi="Times New Roman"/>
            <w:sz w:val="24"/>
            <w:szCs w:val="24"/>
          </w:rPr>
          <w:t>https://isc.idaho.gov/opinions/49171.pdf</w:t>
        </w:r>
      </w:hyperlink>
      <w:r>
        <w:rPr>
          <w:rFonts w:ascii="Times New Roman" w:hAnsi="Times New Roman"/>
          <w:sz w:val="24"/>
          <w:szCs w:val="24"/>
        </w:rPr>
        <w:t xml:space="preserve"> </w:t>
      </w:r>
    </w:p>
    <w:p w14:paraId="1359ADF3" w14:textId="77777777" w:rsidR="0002742E" w:rsidRPr="008066A3" w:rsidRDefault="0002742E" w:rsidP="0002742E">
      <w:pPr>
        <w:spacing w:before="100" w:beforeAutospacing="1" w:after="100" w:afterAutospacing="1" w:line="240" w:lineRule="auto"/>
        <w:ind w:left="90"/>
        <w:rPr>
          <w:rFonts w:ascii="Times New Roman" w:hAnsi="Times New Roman"/>
          <w:b/>
          <w:bCs/>
          <w:sz w:val="24"/>
          <w:szCs w:val="24"/>
        </w:rPr>
      </w:pPr>
      <w:r w:rsidRPr="008066A3">
        <w:rPr>
          <w:rFonts w:ascii="Times New Roman" w:hAnsi="Times New Roman"/>
          <w:b/>
          <w:bCs/>
          <w:sz w:val="24"/>
          <w:szCs w:val="24"/>
        </w:rPr>
        <w:t xml:space="preserve">Legal Lesson Learned: </w:t>
      </w:r>
      <w:r>
        <w:rPr>
          <w:rFonts w:ascii="Times New Roman" w:hAnsi="Times New Roman"/>
          <w:b/>
          <w:bCs/>
          <w:sz w:val="24"/>
          <w:szCs w:val="24"/>
        </w:rPr>
        <w:t xml:space="preserve">Excellent decision; Court also cited IAFF brief listing numerous decisions in other states upholding firefighter cancer statutory presumptions. </w:t>
      </w:r>
    </w:p>
    <w:p w14:paraId="2F6BAC63" w14:textId="77777777" w:rsidR="0002742E" w:rsidRDefault="0002742E" w:rsidP="00EF1133">
      <w:pPr>
        <w:rPr>
          <w:rFonts w:ascii="Arial Black" w:hAnsi="Arial Black"/>
          <w:b/>
          <w:sz w:val="24"/>
          <w:szCs w:val="24"/>
        </w:rPr>
      </w:pPr>
    </w:p>
    <w:p w14:paraId="1AC37D27" w14:textId="01A63BB3" w:rsidR="0002742E" w:rsidRDefault="0002742E"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89</w:t>
      </w:r>
    </w:p>
    <w:p w14:paraId="1F4CF0CE" w14:textId="77777777" w:rsidR="0002742E" w:rsidRPr="00C42D64" w:rsidRDefault="0002742E" w:rsidP="0002742E">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b/>
          <w:bCs/>
          <w:sz w:val="28"/>
          <w:szCs w:val="28"/>
        </w:rPr>
        <w:t xml:space="preserve">NV: FF RE-INJURED SHOULDER – CAN RE-OPEN WORKERS </w:t>
      </w:r>
      <w:r w:rsidRPr="00C42D64">
        <w:rPr>
          <w:rFonts w:ascii="Arial Black" w:eastAsia="Times New Roman" w:hAnsi="Arial Black"/>
          <w:sz w:val="28"/>
          <w:szCs w:val="28"/>
        </w:rPr>
        <w:t xml:space="preserve">COMP CLAIM BECAUSE </w:t>
      </w:r>
      <w:r>
        <w:rPr>
          <w:rFonts w:ascii="Arial Black" w:eastAsia="Times New Roman" w:hAnsi="Arial Black"/>
          <w:sz w:val="28"/>
          <w:szCs w:val="28"/>
        </w:rPr>
        <w:t xml:space="preserve">HE </w:t>
      </w:r>
      <w:r w:rsidRPr="00C42D64">
        <w:rPr>
          <w:rFonts w:ascii="Arial Black" w:eastAsia="Times New Roman" w:hAnsi="Arial Black"/>
          <w:sz w:val="28"/>
          <w:szCs w:val="28"/>
        </w:rPr>
        <w:t xml:space="preserve">LOST </w:t>
      </w:r>
      <w:r>
        <w:rPr>
          <w:rFonts w:ascii="Arial Black" w:eastAsia="Times New Roman" w:hAnsi="Arial Black"/>
          <w:sz w:val="28"/>
          <w:szCs w:val="28"/>
        </w:rPr>
        <w:t>INCOME</w:t>
      </w:r>
      <w:r w:rsidRPr="00C42D64">
        <w:rPr>
          <w:rFonts w:ascii="Arial Black" w:eastAsia="Times New Roman" w:hAnsi="Arial Black"/>
          <w:sz w:val="28"/>
          <w:szCs w:val="28"/>
        </w:rPr>
        <w:t xml:space="preserve"> </w:t>
      </w:r>
      <w:r>
        <w:rPr>
          <w:rFonts w:ascii="Arial Black" w:eastAsia="Times New Roman" w:hAnsi="Arial Black"/>
          <w:sz w:val="28"/>
          <w:szCs w:val="28"/>
        </w:rPr>
        <w:t xml:space="preserve">FIRST INJURY </w:t>
      </w:r>
    </w:p>
    <w:p w14:paraId="65BED98A" w14:textId="77777777" w:rsidR="0002742E" w:rsidRDefault="0002742E" w:rsidP="0002742E">
      <w:pPr>
        <w:spacing w:before="100" w:beforeAutospacing="1" w:after="100" w:afterAutospacing="1" w:line="240" w:lineRule="auto"/>
        <w:rPr>
          <w:rFonts w:ascii="Times New Roman" w:eastAsia="Times New Roman" w:hAnsi="Times New Roman"/>
          <w:sz w:val="24"/>
          <w:szCs w:val="24"/>
        </w:rPr>
      </w:pPr>
      <w:r w:rsidRPr="00C42D64">
        <w:rPr>
          <w:rFonts w:ascii="Times New Roman" w:eastAsia="Times New Roman" w:hAnsi="Times New Roman"/>
          <w:sz w:val="24"/>
          <w:szCs w:val="24"/>
        </w:rPr>
        <w:t xml:space="preserve">On </w:t>
      </w:r>
      <w:r>
        <w:rPr>
          <w:rFonts w:ascii="Times New Roman" w:eastAsia="Times New Roman" w:hAnsi="Times New Roman"/>
          <w:sz w:val="24"/>
          <w:szCs w:val="24"/>
        </w:rPr>
        <w:t xml:space="preserve">April 20, 2022, in </w:t>
      </w:r>
      <w:r w:rsidRPr="00C42D64">
        <w:rPr>
          <w:rFonts w:ascii="Times New Roman" w:eastAsia="Times New Roman" w:hAnsi="Times New Roman"/>
          <w:sz w:val="24"/>
          <w:szCs w:val="24"/>
          <w:u w:val="single"/>
        </w:rPr>
        <w:t>City of Henderson, et al. v. Jason Law</w:t>
      </w:r>
      <w:r>
        <w:rPr>
          <w:rFonts w:ascii="Times New Roman" w:eastAsia="Times New Roman" w:hAnsi="Times New Roman"/>
          <w:sz w:val="24"/>
          <w:szCs w:val="24"/>
        </w:rPr>
        <w:t xml:space="preserve">, the Court of Appeals of Nevada, held (3 to 0), unpublished decision, that the firefighter under state law was entitled to re-open his claim for “lifetime” since he lost wage during the first injury – overtime pay while on light duty.  The firefighter injured his left shoulder on duty in 2021, and for two months while on light duty he was not eligible for overtime; in Aug. 2016 he reinjured it in a </w:t>
      </w:r>
      <w:proofErr w:type="gramStart"/>
      <w:r>
        <w:rPr>
          <w:rFonts w:ascii="Times New Roman" w:eastAsia="Times New Roman" w:hAnsi="Times New Roman"/>
          <w:sz w:val="24"/>
          <w:szCs w:val="24"/>
        </w:rPr>
        <w:t>firefighters</w:t>
      </w:r>
      <w:proofErr w:type="gramEnd"/>
      <w:r>
        <w:rPr>
          <w:rFonts w:ascii="Times New Roman" w:eastAsia="Times New Roman" w:hAnsi="Times New Roman"/>
          <w:sz w:val="24"/>
          <w:szCs w:val="24"/>
        </w:rPr>
        <w:t xml:space="preserve"> versus police officers football game. </w:t>
      </w:r>
      <w:hyperlink r:id="rId1111" w:history="1">
        <w:r w:rsidRPr="00C50FC4">
          <w:rPr>
            <w:rStyle w:val="Hyperlink"/>
            <w:rFonts w:ascii="Times New Roman" w:eastAsia="Times New Roman" w:hAnsi="Times New Roman"/>
            <w:sz w:val="24"/>
            <w:szCs w:val="24"/>
          </w:rPr>
          <w:t>https://casetext.com/case/city-of-henderson-v-law</w:t>
        </w:r>
      </w:hyperlink>
      <w:r>
        <w:rPr>
          <w:rFonts w:ascii="Times New Roman" w:eastAsia="Times New Roman" w:hAnsi="Times New Roman"/>
          <w:sz w:val="24"/>
          <w:szCs w:val="24"/>
        </w:rPr>
        <w:t xml:space="preserve">  </w:t>
      </w:r>
    </w:p>
    <w:p w14:paraId="466F4150" w14:textId="77777777" w:rsidR="0009438D" w:rsidRDefault="0002742E" w:rsidP="0002742E">
      <w:pPr>
        <w:spacing w:before="100" w:beforeAutospacing="1" w:after="100" w:afterAutospacing="1" w:line="240" w:lineRule="auto"/>
        <w:rPr>
          <w:rFonts w:ascii="Times New Roman" w:eastAsia="Times New Roman" w:hAnsi="Times New Roman"/>
          <w:b/>
          <w:bCs/>
          <w:sz w:val="24"/>
          <w:szCs w:val="24"/>
        </w:rPr>
      </w:pPr>
      <w:r w:rsidRPr="00B174B3">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Under this decision, </w:t>
      </w:r>
      <w:proofErr w:type="gramStart"/>
      <w:r>
        <w:rPr>
          <w:rFonts w:ascii="Times New Roman" w:eastAsia="Times New Roman" w:hAnsi="Times New Roman"/>
          <w:b/>
          <w:bCs/>
          <w:sz w:val="24"/>
          <w:szCs w:val="24"/>
        </w:rPr>
        <w:t>loss wages</w:t>
      </w:r>
      <w:proofErr w:type="gramEnd"/>
      <w:r>
        <w:rPr>
          <w:rFonts w:ascii="Times New Roman" w:eastAsia="Times New Roman" w:hAnsi="Times New Roman"/>
          <w:b/>
          <w:bCs/>
          <w:sz w:val="24"/>
          <w:szCs w:val="24"/>
        </w:rPr>
        <w:t xml:space="preserve"> </w:t>
      </w:r>
      <w:proofErr w:type="gramStart"/>
      <w:r>
        <w:rPr>
          <w:rFonts w:ascii="Times New Roman" w:eastAsia="Times New Roman" w:hAnsi="Times New Roman"/>
          <w:b/>
          <w:bCs/>
          <w:sz w:val="24"/>
          <w:szCs w:val="24"/>
        </w:rPr>
        <w:t>includes</w:t>
      </w:r>
      <w:proofErr w:type="gramEnd"/>
      <w:r>
        <w:rPr>
          <w:rFonts w:ascii="Times New Roman" w:eastAsia="Times New Roman" w:hAnsi="Times New Roman"/>
          <w:b/>
          <w:bCs/>
          <w:sz w:val="24"/>
          <w:szCs w:val="24"/>
        </w:rPr>
        <w:t xml:space="preserve"> loss of overtime pay.  </w:t>
      </w:r>
    </w:p>
    <w:p w14:paraId="156E99C6" w14:textId="7B602E4D" w:rsidR="0009438D" w:rsidRPr="0009438D" w:rsidRDefault="0009438D" w:rsidP="0009438D">
      <w:pPr>
        <w:spacing w:before="100" w:beforeAutospacing="1" w:after="100" w:afterAutospacing="1" w:line="240" w:lineRule="auto"/>
        <w:ind w:left="720"/>
      </w:pPr>
      <w:r w:rsidRPr="0009438D">
        <w:rPr>
          <w:rFonts w:ascii="Times New Roman" w:eastAsia="Times New Roman" w:hAnsi="Times New Roman"/>
          <w:sz w:val="24"/>
          <w:szCs w:val="24"/>
        </w:rPr>
        <w:lastRenderedPageBreak/>
        <w:t xml:space="preserve">Note: To avoid workers </w:t>
      </w:r>
      <w:proofErr w:type="gramStart"/>
      <w:r w:rsidRPr="0009438D">
        <w:rPr>
          <w:rFonts w:ascii="Times New Roman" w:eastAsia="Times New Roman" w:hAnsi="Times New Roman"/>
          <w:sz w:val="24"/>
          <w:szCs w:val="24"/>
        </w:rPr>
        <w:t>comp liability</w:t>
      </w:r>
      <w:proofErr w:type="gramEnd"/>
      <w:r w:rsidRPr="0009438D">
        <w:rPr>
          <w:rFonts w:ascii="Times New Roman" w:eastAsia="Times New Roman" w:hAnsi="Times New Roman"/>
          <w:sz w:val="24"/>
          <w:szCs w:val="24"/>
        </w:rPr>
        <w:t xml:space="preserve"> for personnel playing in off-duty sporting events, some employers will require </w:t>
      </w:r>
      <w:proofErr w:type="gramStart"/>
      <w:r w:rsidRPr="0009438D">
        <w:rPr>
          <w:rFonts w:ascii="Times New Roman" w:eastAsia="Times New Roman" w:hAnsi="Times New Roman"/>
          <w:sz w:val="24"/>
          <w:szCs w:val="24"/>
        </w:rPr>
        <w:t>employee</w:t>
      </w:r>
      <w:proofErr w:type="gramEnd"/>
      <w:r w:rsidRPr="0009438D">
        <w:rPr>
          <w:rFonts w:ascii="Times New Roman" w:eastAsia="Times New Roman" w:hAnsi="Times New Roman"/>
          <w:sz w:val="24"/>
          <w:szCs w:val="24"/>
        </w:rPr>
        <w:t xml:space="preserve"> to sign a waiver. </w:t>
      </w:r>
      <w:r>
        <w:rPr>
          <w:rFonts w:ascii="Times New Roman" w:eastAsia="Times New Roman" w:hAnsi="Times New Roman"/>
          <w:sz w:val="24"/>
          <w:szCs w:val="24"/>
        </w:rPr>
        <w:t xml:space="preserve">See Ohio BWC: </w:t>
      </w:r>
      <w:r>
        <w:rPr>
          <w:rFonts w:ascii="Times New Roman" w:hAnsi="Times New Roman"/>
          <w:sz w:val="24"/>
          <w:szCs w:val="24"/>
        </w:rPr>
        <w:t>“</w:t>
      </w:r>
      <w:r w:rsidRPr="0009438D">
        <w:rPr>
          <w:rFonts w:ascii="Times New Roman" w:hAnsi="Times New Roman"/>
          <w:sz w:val="24"/>
          <w:szCs w:val="24"/>
        </w:rPr>
        <w:t xml:space="preserve">It's BWC's policy that an injury or disability incurred during voluntary participation in an employer sponsored recreation or fitness activity is </w:t>
      </w:r>
      <w:r w:rsidRPr="0009438D">
        <w:rPr>
          <w:rStyle w:val="Strong"/>
          <w:rFonts w:ascii="Times New Roman" w:hAnsi="Times New Roman"/>
          <w:sz w:val="24"/>
          <w:szCs w:val="24"/>
        </w:rPr>
        <w:t>not</w:t>
      </w:r>
      <w:r w:rsidRPr="0009438D">
        <w:rPr>
          <w:rFonts w:ascii="Times New Roman" w:hAnsi="Times New Roman"/>
          <w:sz w:val="24"/>
          <w:szCs w:val="24"/>
        </w:rPr>
        <w:t xml:space="preserve"> compensable</w:t>
      </w:r>
      <w:r w:rsidRPr="0009438D">
        <w:rPr>
          <w:rStyle w:val="Strong"/>
          <w:rFonts w:ascii="Times New Roman" w:hAnsi="Times New Roman"/>
          <w:sz w:val="24"/>
          <w:szCs w:val="24"/>
        </w:rPr>
        <w:t xml:space="preserve"> if </w:t>
      </w:r>
      <w:r w:rsidRPr="0009438D">
        <w:rPr>
          <w:rFonts w:ascii="Times New Roman" w:hAnsi="Times New Roman"/>
          <w:sz w:val="24"/>
          <w:szCs w:val="24"/>
        </w:rPr>
        <w:t>the injured worker signed a waiver of the right to workers' compensation benefits prior to engaging in the recreation or fitness activity.</w:t>
      </w:r>
      <w:r>
        <w:rPr>
          <w:rFonts w:ascii="Times New Roman" w:hAnsi="Times New Roman"/>
          <w:sz w:val="24"/>
          <w:szCs w:val="24"/>
        </w:rPr>
        <w:t xml:space="preserve">” </w:t>
      </w:r>
      <w:hyperlink r:id="rId1112" w:history="1">
        <w:r w:rsidRPr="00107D95">
          <w:rPr>
            <w:rStyle w:val="Hyperlink"/>
            <w:rFonts w:ascii="Times New Roman" w:hAnsi="Times New Roman"/>
            <w:sz w:val="24"/>
            <w:szCs w:val="24"/>
          </w:rPr>
          <w:t>https://info.bwc.ohio.gov/for-employers/workers-compensation-claims/recreational-waiver</w:t>
        </w:r>
      </w:hyperlink>
      <w:r>
        <w:rPr>
          <w:rFonts w:ascii="Times New Roman" w:hAnsi="Times New Roman"/>
          <w:sz w:val="24"/>
          <w:szCs w:val="24"/>
        </w:rPr>
        <w:t xml:space="preserve"> </w:t>
      </w:r>
    </w:p>
    <w:p w14:paraId="4F7A5F60" w14:textId="77777777" w:rsidR="0002742E" w:rsidRDefault="0002742E" w:rsidP="00EF1133">
      <w:pPr>
        <w:rPr>
          <w:rFonts w:ascii="Arial Black" w:hAnsi="Arial Black"/>
          <w:b/>
          <w:sz w:val="24"/>
          <w:szCs w:val="24"/>
        </w:rPr>
      </w:pPr>
    </w:p>
    <w:p w14:paraId="1CFC6FD3" w14:textId="45A014E4" w:rsidR="00727951" w:rsidRDefault="00727951"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8</w:t>
      </w:r>
    </w:p>
    <w:p w14:paraId="788BC477" w14:textId="77777777" w:rsidR="00727951" w:rsidRPr="00421F16" w:rsidRDefault="00727951" w:rsidP="0072795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FF PAY - CITY COUNCIL DOES NOT HAVE TO COMPARE PAY FF IN 5 CITIES – “MEASURE F” UNENFORCEABLE</w:t>
      </w:r>
    </w:p>
    <w:p w14:paraId="24FCF342" w14:textId="77777777" w:rsidR="00727951" w:rsidRDefault="00727951" w:rsidP="0072795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24, 2022, in </w:t>
      </w:r>
      <w:r w:rsidRPr="00421F16">
        <w:rPr>
          <w:rFonts w:ascii="Times New Roman" w:eastAsia="Times New Roman" w:hAnsi="Times New Roman"/>
          <w:sz w:val="24"/>
          <w:szCs w:val="24"/>
          <w:u w:val="single"/>
        </w:rPr>
        <w:t>Pacifica Firefighters Association v. City of Pacifica</w:t>
      </w:r>
      <w:r>
        <w:rPr>
          <w:rFonts w:ascii="Times New Roman" w:eastAsia="Times New Roman" w:hAnsi="Times New Roman"/>
          <w:sz w:val="24"/>
          <w:szCs w:val="24"/>
        </w:rPr>
        <w:t xml:space="preserve">, the California Court of Appeals, First District (Second Division) held (3 to 0) that the trial court judge properly denied the FF Association’s petition requiring the City to follow “Measure F” after an impasse in negotiations in 2019.  </w:t>
      </w:r>
      <w:hyperlink r:id="rId1113" w:history="1">
        <w:r w:rsidRPr="00B25BE6">
          <w:rPr>
            <w:rStyle w:val="Hyperlink"/>
            <w:rFonts w:ascii="Times New Roman" w:eastAsia="Times New Roman" w:hAnsi="Times New Roman"/>
            <w:sz w:val="24"/>
            <w:szCs w:val="24"/>
          </w:rPr>
          <w:t>https://law.justia.com/cases/california/court-of-appeal/2022/a161575.html</w:t>
        </w:r>
      </w:hyperlink>
      <w:r>
        <w:rPr>
          <w:rFonts w:ascii="Times New Roman" w:eastAsia="Times New Roman" w:hAnsi="Times New Roman"/>
          <w:sz w:val="24"/>
          <w:szCs w:val="24"/>
        </w:rPr>
        <w:t xml:space="preserve"> </w:t>
      </w:r>
    </w:p>
    <w:p w14:paraId="170CDF5B" w14:textId="77777777" w:rsidR="00727951" w:rsidRDefault="00727951" w:rsidP="0072795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036D7B">
        <w:rPr>
          <w:rFonts w:ascii="Times New Roman" w:hAnsi="Times New Roman"/>
          <w:sz w:val="24"/>
          <w:szCs w:val="24"/>
        </w:rPr>
        <w:t xml:space="preserve">Measure F addresses the compensation of employees in a single city department; the voters sought to ensure that if negotiations failed, firefighters in Pacifica would receive compensation commensurate with that of firefighters in neighboring cities. Laudable as their purpose may have been, the voters were considering one part of a complicated puzzle in isolation. Voters do not have access to the detailed financial information necessary to see the puzzle as a whole and weigh competing demands on a finite city treasury. In specifically directing the </w:t>
      </w:r>
      <w:r>
        <w:rPr>
          <w:rFonts w:ascii="Times New Roman" w:hAnsi="Times New Roman"/>
          <w:sz w:val="24"/>
          <w:szCs w:val="24"/>
        </w:rPr>
        <w:t>‘</w:t>
      </w:r>
      <w:r w:rsidRPr="00036D7B">
        <w:rPr>
          <w:rFonts w:ascii="Times New Roman" w:hAnsi="Times New Roman"/>
          <w:sz w:val="24"/>
          <w:szCs w:val="24"/>
        </w:rPr>
        <w:t>city council</w:t>
      </w:r>
      <w:r>
        <w:rPr>
          <w:rFonts w:ascii="Times New Roman" w:hAnsi="Times New Roman"/>
          <w:sz w:val="24"/>
          <w:szCs w:val="24"/>
        </w:rPr>
        <w:t>’</w:t>
      </w:r>
      <w:r w:rsidRPr="00036D7B">
        <w:rPr>
          <w:rFonts w:ascii="Times New Roman" w:hAnsi="Times New Roman"/>
          <w:sz w:val="24"/>
          <w:szCs w:val="24"/>
        </w:rPr>
        <w:t xml:space="preserve"> to </w:t>
      </w:r>
      <w:r>
        <w:rPr>
          <w:rFonts w:ascii="Times New Roman" w:hAnsi="Times New Roman"/>
          <w:sz w:val="24"/>
          <w:szCs w:val="24"/>
        </w:rPr>
        <w:t>‘</w:t>
      </w:r>
      <w:r w:rsidRPr="00036D7B">
        <w:rPr>
          <w:rFonts w:ascii="Times New Roman" w:hAnsi="Times New Roman"/>
          <w:sz w:val="24"/>
          <w:szCs w:val="24"/>
        </w:rPr>
        <w:t>fix the compensation of all appointive officers and employees</w:t>
      </w:r>
      <w:r>
        <w:rPr>
          <w:rFonts w:ascii="Times New Roman" w:hAnsi="Times New Roman"/>
          <w:sz w:val="24"/>
          <w:szCs w:val="24"/>
        </w:rPr>
        <w:t>’</w:t>
      </w:r>
      <w:r w:rsidRPr="00036D7B">
        <w:rPr>
          <w:rFonts w:ascii="Times New Roman" w:hAnsi="Times New Roman"/>
          <w:sz w:val="24"/>
          <w:szCs w:val="24"/>
        </w:rPr>
        <w:t xml:space="preserve"> (§ 36506), the Legislature must have intended to avoid the disruption to city operations that could result if the electorate could require a general law city to pay its firefighters higher salaries than the city council deemed appropriate by requiring salaries no less than those in another jurisdiction.</w:t>
      </w:r>
      <w:r>
        <w:rPr>
          <w:rFonts w:ascii="Times New Roman" w:hAnsi="Times New Roman"/>
          <w:sz w:val="24"/>
          <w:szCs w:val="24"/>
        </w:rPr>
        <w:t xml:space="preserve"> </w:t>
      </w:r>
      <w:r w:rsidRPr="00036D7B">
        <w:rPr>
          <w:rFonts w:ascii="Times New Roman" w:hAnsi="Times New Roman"/>
          <w:sz w:val="24"/>
          <w:szCs w:val="24"/>
        </w:rPr>
        <w:t xml:space="preserve">We therefore agree with the trial court that Measure F is unenforceable as a usurpation of authority the Legislature granted exclusively to the city </w:t>
      </w:r>
      <w:proofErr w:type="gramStart"/>
      <w:r w:rsidRPr="00036D7B">
        <w:rPr>
          <w:rFonts w:ascii="Times New Roman" w:hAnsi="Times New Roman"/>
          <w:sz w:val="24"/>
          <w:szCs w:val="24"/>
        </w:rPr>
        <w:t>council.</w:t>
      </w:r>
      <w:r>
        <w:rPr>
          <w:rFonts w:ascii="Times New Roman" w:hAnsi="Times New Roman"/>
          <w:sz w:val="24"/>
          <w:szCs w:val="24"/>
        </w:rPr>
        <w:t>”</w:t>
      </w:r>
      <w:proofErr w:type="gramEnd"/>
      <w:r>
        <w:rPr>
          <w:rFonts w:ascii="Times New Roman" w:hAnsi="Times New Roman"/>
          <w:sz w:val="24"/>
          <w:szCs w:val="24"/>
        </w:rPr>
        <w:t xml:space="preserve"> </w:t>
      </w:r>
      <w:hyperlink r:id="rId1114" w:history="1">
        <w:r w:rsidRPr="00B25BE6">
          <w:rPr>
            <w:rStyle w:val="Hyperlink"/>
            <w:rFonts w:ascii="Times New Roman" w:eastAsia="Times New Roman" w:hAnsi="Times New Roman"/>
            <w:sz w:val="24"/>
            <w:szCs w:val="24"/>
          </w:rPr>
          <w:t>https://law.justia.com/cases/california/court-of-appeal/2022/a161575.html</w:t>
        </w:r>
      </w:hyperlink>
      <w:r>
        <w:rPr>
          <w:rFonts w:ascii="Times New Roman" w:eastAsia="Times New Roman" w:hAnsi="Times New Roman"/>
          <w:sz w:val="24"/>
          <w:szCs w:val="24"/>
        </w:rPr>
        <w:t xml:space="preserve"> </w:t>
      </w:r>
    </w:p>
    <w:p w14:paraId="1675592E" w14:textId="77777777" w:rsidR="00727951" w:rsidRDefault="00727951" w:rsidP="00727951">
      <w:pPr>
        <w:spacing w:before="100" w:beforeAutospacing="1" w:after="100" w:afterAutospacing="1" w:line="240" w:lineRule="auto"/>
        <w:rPr>
          <w:rFonts w:ascii="Times New Roman" w:eastAsia="Times New Roman" w:hAnsi="Times New Roman"/>
          <w:b/>
          <w:bCs/>
          <w:sz w:val="24"/>
          <w:szCs w:val="24"/>
        </w:rPr>
      </w:pPr>
      <w:r w:rsidRPr="00036D7B">
        <w:rPr>
          <w:rFonts w:ascii="Times New Roman" w:eastAsia="Times New Roman" w:hAnsi="Times New Roman"/>
          <w:b/>
          <w:bCs/>
          <w:sz w:val="24"/>
          <w:szCs w:val="24"/>
        </w:rPr>
        <w:t xml:space="preserve">Legal Lesson Learned: </w:t>
      </w:r>
      <w:r w:rsidRPr="00DC6AC7">
        <w:rPr>
          <w:rFonts w:ascii="Times New Roman" w:eastAsia="Times New Roman" w:hAnsi="Times New Roman"/>
          <w:b/>
          <w:bCs/>
          <w:sz w:val="24"/>
          <w:szCs w:val="24"/>
        </w:rPr>
        <w:t xml:space="preserve">The </w:t>
      </w:r>
      <w:r>
        <w:rPr>
          <w:rFonts w:ascii="Times New Roman" w:eastAsia="Times New Roman" w:hAnsi="Times New Roman"/>
          <w:b/>
          <w:bCs/>
          <w:sz w:val="24"/>
          <w:szCs w:val="24"/>
        </w:rPr>
        <w:t>California</w:t>
      </w:r>
      <w:r w:rsidRPr="00DC6AC7">
        <w:rPr>
          <w:rFonts w:ascii="Times New Roman" w:eastAsia="Times New Roman" w:hAnsi="Times New Roman"/>
          <w:b/>
          <w:bCs/>
          <w:sz w:val="24"/>
          <w:szCs w:val="24"/>
        </w:rPr>
        <w:t xml:space="preserve"> legislature has enacted procedures when the parties are at an impasse in negotiations</w:t>
      </w:r>
      <w:r>
        <w:rPr>
          <w:rFonts w:ascii="Times New Roman" w:eastAsia="Times New Roman" w:hAnsi="Times New Roman"/>
          <w:b/>
          <w:bCs/>
          <w:sz w:val="24"/>
          <w:szCs w:val="24"/>
        </w:rPr>
        <w:t>, and city voters cannot overturn those provisions.</w:t>
      </w:r>
      <w:r w:rsidRPr="00DC6AC7">
        <w:rPr>
          <w:rFonts w:ascii="Times New Roman" w:eastAsia="Times New Roman" w:hAnsi="Times New Roman"/>
          <w:b/>
          <w:bCs/>
          <w:sz w:val="24"/>
          <w:szCs w:val="24"/>
        </w:rPr>
        <w:t xml:space="preserve"> </w:t>
      </w:r>
    </w:p>
    <w:p w14:paraId="0977A79C" w14:textId="2EEAEB2A" w:rsidR="00727951" w:rsidRDefault="00727951" w:rsidP="00727951">
      <w:pPr>
        <w:rPr>
          <w:rFonts w:ascii="Arial Black" w:hAnsi="Arial Black"/>
          <w:b/>
          <w:sz w:val="24"/>
          <w:szCs w:val="24"/>
        </w:rPr>
      </w:pPr>
      <w:r w:rsidRPr="0039112E">
        <w:rPr>
          <w:rFonts w:ascii="Times New Roman" w:eastAsia="Times New Roman" w:hAnsi="Times New Roman"/>
          <w:sz w:val="24"/>
          <w:szCs w:val="24"/>
        </w:rPr>
        <w:t>Note: “</w:t>
      </w:r>
      <w:r w:rsidRPr="0039112E">
        <w:rPr>
          <w:rFonts w:ascii="Times New Roman" w:hAnsi="Times New Roman"/>
          <w:sz w:val="24"/>
          <w:szCs w:val="24"/>
        </w:rPr>
        <w:t xml:space="preserve">The Meyers-Milias-Brown Act (1968) governs the labor-management relations in California local government, including cities, counties, and most special districts.” </w:t>
      </w:r>
      <w:hyperlink r:id="rId1115" w:history="1">
        <w:r w:rsidRPr="0039112E">
          <w:rPr>
            <w:rStyle w:val="Hyperlink"/>
            <w:rFonts w:ascii="Times New Roman" w:hAnsi="Times New Roman"/>
            <w:sz w:val="24"/>
            <w:szCs w:val="24"/>
          </w:rPr>
          <w:t>https://capeunion.org/contracts/meyers-milias-brown-act</w:t>
        </w:r>
      </w:hyperlink>
    </w:p>
    <w:p w14:paraId="7FBFE8AF" w14:textId="77777777" w:rsidR="00727951" w:rsidRDefault="00727951" w:rsidP="00EF1133">
      <w:pPr>
        <w:rPr>
          <w:rFonts w:ascii="Arial Black" w:hAnsi="Arial Black"/>
          <w:b/>
          <w:sz w:val="24"/>
          <w:szCs w:val="24"/>
        </w:rPr>
      </w:pPr>
    </w:p>
    <w:p w14:paraId="60736E6A" w14:textId="77777777" w:rsidR="00727951" w:rsidRDefault="00727951" w:rsidP="00EF1133">
      <w:pPr>
        <w:rPr>
          <w:rFonts w:ascii="Arial Black" w:hAnsi="Arial Black"/>
          <w:b/>
          <w:sz w:val="24"/>
          <w:szCs w:val="24"/>
        </w:rPr>
      </w:pPr>
    </w:p>
    <w:p w14:paraId="3649F5DE" w14:textId="230CC917" w:rsidR="009A3D9F" w:rsidRDefault="009A3D9F"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7</w:t>
      </w:r>
    </w:p>
    <w:p w14:paraId="35683431" w14:textId="77777777" w:rsidR="009A3D9F" w:rsidRPr="006122C5" w:rsidRDefault="009A3D9F" w:rsidP="009A3D9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STATE “CATASTROPHIC INJURY” BENEFITS – CITY CAN’T DENY TO FF / PD WHO CAN DO “GAINFUL WORK”</w:t>
      </w:r>
    </w:p>
    <w:p w14:paraId="79A7036E" w14:textId="77777777" w:rsidR="009A3D9F" w:rsidRDefault="009A3D9F" w:rsidP="009A3D9F">
      <w:pPr>
        <w:spacing w:before="100" w:beforeAutospacing="1" w:after="100" w:afterAutospacing="1" w:line="240" w:lineRule="auto"/>
        <w:rPr>
          <w:rFonts w:ascii="Times New Roman" w:eastAsia="Times New Roman" w:hAnsi="Times New Roman"/>
          <w:sz w:val="24"/>
          <w:szCs w:val="24"/>
        </w:rPr>
      </w:pPr>
      <w:r w:rsidRPr="004E0E0D">
        <w:rPr>
          <w:rFonts w:ascii="Times New Roman" w:eastAsia="Times New Roman" w:hAnsi="Times New Roman"/>
          <w:sz w:val="24"/>
          <w:szCs w:val="24"/>
        </w:rPr>
        <w:lastRenderedPageBreak/>
        <w:t>On Jan. 21, 2022</w:t>
      </w:r>
      <w:r>
        <w:rPr>
          <w:rFonts w:ascii="Times New Roman" w:eastAsia="Times New Roman" w:hAnsi="Times New Roman"/>
          <w:sz w:val="24"/>
          <w:szCs w:val="24"/>
        </w:rPr>
        <w:t xml:space="preserve">, </w:t>
      </w:r>
      <w:r w:rsidRPr="004E0E0D">
        <w:rPr>
          <w:rFonts w:ascii="Times New Roman" w:eastAsia="Times New Roman" w:hAnsi="Times New Roman"/>
          <w:sz w:val="24"/>
          <w:szCs w:val="24"/>
        </w:rPr>
        <w:t xml:space="preserve">in </w:t>
      </w:r>
      <w:r w:rsidRPr="004E0E0D">
        <w:rPr>
          <w:rFonts w:ascii="Times New Roman" w:eastAsia="Times New Roman" w:hAnsi="Times New Roman"/>
          <w:sz w:val="24"/>
          <w:szCs w:val="24"/>
          <w:u w:val="single"/>
        </w:rPr>
        <w:t>IAFF Local 50 v. The City of Peoria</w:t>
      </w:r>
      <w:r w:rsidRPr="004E0E0D">
        <w:rPr>
          <w:rFonts w:ascii="Times New Roman" w:eastAsia="Times New Roman" w:hAnsi="Times New Roman"/>
          <w:sz w:val="24"/>
          <w:szCs w:val="24"/>
        </w:rPr>
        <w:t>, the Supreme Court of Illinois held (7 to 0)</w:t>
      </w:r>
      <w:r>
        <w:rPr>
          <w:rFonts w:ascii="Times New Roman" w:eastAsia="Times New Roman" w:hAnsi="Times New Roman"/>
          <w:sz w:val="24"/>
          <w:szCs w:val="24"/>
        </w:rPr>
        <w:t>, that the city does not have “home rule” authority to enact an ordinance restricting state pension law for career firefighters and police officers. “</w:t>
      </w:r>
      <w:r w:rsidRPr="00E32542">
        <w:rPr>
          <w:rFonts w:ascii="Times New Roman" w:eastAsia="Times New Roman" w:hAnsi="Times New Roman"/>
          <w:sz w:val="24"/>
          <w:szCs w:val="24"/>
        </w:rPr>
        <w:t>Under the ordinance, if a firefighter can volunteer part-time as a store greeter, he or she will not be considered to have suffered a catastrophic injury-even if that firefighter is not compensated.</w:t>
      </w:r>
      <w:r>
        <w:rPr>
          <w:rFonts w:ascii="Times New Roman" w:eastAsia="Times New Roman" w:hAnsi="Times New Roman"/>
          <w:sz w:val="24"/>
          <w:szCs w:val="24"/>
        </w:rPr>
        <w:t xml:space="preserve">” The Illinois 1997 </w:t>
      </w:r>
      <w:r w:rsidRPr="00302251">
        <w:rPr>
          <w:rFonts w:ascii="Times New Roman" w:eastAsia="Times New Roman" w:hAnsi="Times New Roman"/>
          <w:sz w:val="24"/>
          <w:szCs w:val="24"/>
        </w:rPr>
        <w:t>Public Safety Employee Benefits Act</w:t>
      </w:r>
      <w:r>
        <w:rPr>
          <w:rFonts w:ascii="Times New Roman" w:eastAsia="Times New Roman" w:hAnsi="Times New Roman"/>
          <w:sz w:val="24"/>
          <w:szCs w:val="24"/>
        </w:rPr>
        <w:t xml:space="preserve">, as interpreted by state Supreme Court, covers injured firefighters and police </w:t>
      </w:r>
      <w:proofErr w:type="gramStart"/>
      <w:r>
        <w:rPr>
          <w:rFonts w:ascii="Times New Roman" w:eastAsia="Times New Roman" w:hAnsi="Times New Roman"/>
          <w:sz w:val="24"/>
          <w:szCs w:val="24"/>
        </w:rPr>
        <w:t>who can</w:t>
      </w:r>
      <w:proofErr w:type="gramEnd"/>
      <w:r>
        <w:rPr>
          <w:rFonts w:ascii="Times New Roman" w:eastAsia="Times New Roman" w:hAnsi="Times New Roman"/>
          <w:sz w:val="24"/>
          <w:szCs w:val="24"/>
        </w:rPr>
        <w:t xml:space="preserve"> no longer perform their public safety jobs, but may be able to do other work. Their employer “</w:t>
      </w:r>
      <w:r w:rsidRPr="00BB5C6D">
        <w:rPr>
          <w:rFonts w:ascii="Times New Roman" w:eastAsia="Times New Roman" w:hAnsi="Times New Roman"/>
          <w:sz w:val="24"/>
          <w:szCs w:val="24"/>
        </w:rPr>
        <w:t>shall pay the entire premium of the employer's health insurance plan for the injured employee, the injured employee's spouse, and for each dependent child of the injured employee."</w:t>
      </w:r>
      <w:r>
        <w:rPr>
          <w:rFonts w:ascii="Times New Roman" w:eastAsia="Times New Roman" w:hAnsi="Times New Roman"/>
          <w:sz w:val="24"/>
          <w:szCs w:val="24"/>
        </w:rPr>
        <w:t xml:space="preserve"> </w:t>
      </w:r>
      <w:hyperlink r:id="rId1116" w:history="1">
        <w:r w:rsidRPr="00A83547">
          <w:rPr>
            <w:rStyle w:val="Hyperlink"/>
          </w:rPr>
          <w:t>https://ilcourtsaudio.blob.core.windows.net/antilles-resources/resources/51e43aff-4d85-414d-b8bb-128a5f970896/Int%20Assn%20of%20Fire%20Fighters,%20Local%2050%20v.%20City%20of%20Peoria,%202021%20IL%20127040.pdf</w:t>
        </w:r>
      </w:hyperlink>
    </w:p>
    <w:p w14:paraId="358BF0D0" w14:textId="77777777" w:rsidR="009A3D9F" w:rsidRPr="00302251" w:rsidRDefault="009A3D9F" w:rsidP="009A3D9F">
      <w:pPr>
        <w:spacing w:before="100" w:beforeAutospacing="1" w:after="100" w:afterAutospacing="1" w:line="240" w:lineRule="auto"/>
        <w:rPr>
          <w:rFonts w:ascii="Times New Roman" w:eastAsia="Times New Roman" w:hAnsi="Times New Roman"/>
          <w:b/>
          <w:bCs/>
          <w:sz w:val="24"/>
          <w:szCs w:val="24"/>
        </w:rPr>
      </w:pPr>
      <w:r w:rsidRPr="00A62F01">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Court prevented this “Home Rule” city from seeking to avoid financial obligations under the state statute.</w:t>
      </w:r>
    </w:p>
    <w:p w14:paraId="45930D0B" w14:textId="77777777" w:rsidR="009A3D9F" w:rsidRDefault="009A3D9F" w:rsidP="00EF1133">
      <w:pPr>
        <w:rPr>
          <w:rFonts w:ascii="Arial Black" w:hAnsi="Arial Black"/>
          <w:b/>
          <w:sz w:val="24"/>
          <w:szCs w:val="24"/>
        </w:rPr>
      </w:pPr>
    </w:p>
    <w:p w14:paraId="577D9922" w14:textId="77777777" w:rsidR="009A3D9F" w:rsidRDefault="009A3D9F" w:rsidP="00EF1133">
      <w:pPr>
        <w:rPr>
          <w:rFonts w:ascii="Arial Black" w:hAnsi="Arial Black"/>
          <w:b/>
          <w:sz w:val="24"/>
          <w:szCs w:val="24"/>
        </w:rPr>
      </w:pPr>
    </w:p>
    <w:p w14:paraId="1E5CDFAB" w14:textId="023C63E4" w:rsidR="00433119" w:rsidRDefault="00433119"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6</w:t>
      </w:r>
    </w:p>
    <w:p w14:paraId="1CCC98C0" w14:textId="77777777" w:rsidR="00433119" w:rsidRDefault="00433119" w:rsidP="0043311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IL: PENSION - INJURED MOVING WATERBOTTLES AT STATION – FF GETS PENSION FOR “ACT OF DUTY” INJURIES </w:t>
      </w:r>
    </w:p>
    <w:p w14:paraId="700CAF20" w14:textId="77777777" w:rsidR="00433119" w:rsidRDefault="00433119" w:rsidP="00433119">
      <w:pPr>
        <w:spacing w:before="100" w:beforeAutospacing="1" w:after="100" w:afterAutospacing="1" w:line="240" w:lineRule="auto"/>
        <w:rPr>
          <w:rFonts w:ascii="Times New Roman" w:eastAsia="Times New Roman" w:hAnsi="Times New Roman"/>
          <w:sz w:val="24"/>
          <w:szCs w:val="24"/>
        </w:rPr>
      </w:pPr>
      <w:r w:rsidRPr="00945A33">
        <w:rPr>
          <w:rFonts w:ascii="Times New Roman" w:eastAsia="Times New Roman" w:hAnsi="Times New Roman"/>
          <w:sz w:val="24"/>
          <w:szCs w:val="24"/>
        </w:rPr>
        <w:t xml:space="preserve">On </w:t>
      </w:r>
      <w:r>
        <w:rPr>
          <w:rFonts w:ascii="Times New Roman" w:eastAsia="Times New Roman" w:hAnsi="Times New Roman"/>
          <w:sz w:val="24"/>
          <w:szCs w:val="24"/>
        </w:rPr>
        <w:t xml:space="preserve">Dec. 28, 2021, in </w:t>
      </w:r>
      <w:r w:rsidRPr="00945A33">
        <w:rPr>
          <w:rFonts w:ascii="Times New Roman" w:eastAsia="Times New Roman" w:hAnsi="Times New Roman"/>
          <w:sz w:val="24"/>
          <w:szCs w:val="24"/>
          <w:u w:val="single"/>
        </w:rPr>
        <w:t>The Village of Roselle v. The Board of Trustees of the Roselle Firefighters’ Pension Fund, and Ryan Case</w:t>
      </w:r>
      <w:r>
        <w:rPr>
          <w:rFonts w:ascii="Times New Roman" w:eastAsia="Times New Roman" w:hAnsi="Times New Roman"/>
          <w:sz w:val="24"/>
          <w:szCs w:val="24"/>
        </w:rPr>
        <w:t xml:space="preserve">, the Court of Appeals of Illinois, Second District, held (3 to 0) that the Circuit Court judge had improperly reversed the Board of </w:t>
      </w:r>
      <w:proofErr w:type="gramStart"/>
      <w:r>
        <w:rPr>
          <w:rFonts w:ascii="Times New Roman" w:eastAsia="Times New Roman" w:hAnsi="Times New Roman"/>
          <w:sz w:val="24"/>
          <w:szCs w:val="24"/>
        </w:rPr>
        <w:t>Trustees</w:t>
      </w:r>
      <w:proofErr w:type="gramEnd"/>
      <w:r>
        <w:rPr>
          <w:rFonts w:ascii="Times New Roman" w:eastAsia="Times New Roman" w:hAnsi="Times New Roman"/>
          <w:sz w:val="24"/>
          <w:szCs w:val="24"/>
        </w:rPr>
        <w:t xml:space="preserve"> decision, and firefighter Ryan Case is entitled to a disability pension.  His failure to inform the Village of prior back problems when working at four prior fire department is not a defense; it was the back injury on Sept. 18, </w:t>
      </w:r>
      <w:proofErr w:type="gramStart"/>
      <w:r>
        <w:rPr>
          <w:rFonts w:ascii="Times New Roman" w:eastAsia="Times New Roman" w:hAnsi="Times New Roman"/>
          <w:sz w:val="24"/>
          <w:szCs w:val="24"/>
        </w:rPr>
        <w:t>2016</w:t>
      </w:r>
      <w:proofErr w:type="gramEnd"/>
      <w:r>
        <w:rPr>
          <w:rFonts w:ascii="Times New Roman" w:eastAsia="Times New Roman" w:hAnsi="Times New Roman"/>
          <w:sz w:val="24"/>
          <w:szCs w:val="24"/>
        </w:rPr>
        <w:t xml:space="preserve"> when moving the bottles which led to the disability</w:t>
      </w:r>
    </w:p>
    <w:p w14:paraId="567D37A5" w14:textId="31A7535D" w:rsidR="00433119" w:rsidRDefault="00433119" w:rsidP="00433119">
      <w:pPr>
        <w:ind w:left="720"/>
        <w:rPr>
          <w:rFonts w:ascii="Arial Black" w:hAnsi="Arial Black"/>
          <w:b/>
          <w:sz w:val="24"/>
          <w:szCs w:val="24"/>
        </w:rPr>
      </w:pPr>
      <w:r>
        <w:rPr>
          <w:rFonts w:ascii="Times New Roman" w:eastAsia="Times New Roman" w:hAnsi="Times New Roman"/>
          <w:sz w:val="24"/>
          <w:szCs w:val="24"/>
        </w:rPr>
        <w:t>“</w:t>
      </w:r>
      <w:r w:rsidRPr="00526A4D">
        <w:rPr>
          <w:rFonts w:ascii="Times New Roman" w:eastAsia="Times New Roman" w:hAnsi="Times New Roman"/>
          <w:sz w:val="24"/>
          <w:szCs w:val="24"/>
        </w:rPr>
        <w:t xml:space="preserve">As for the Village's assertion that the Board applied too broad a definition of </w:t>
      </w:r>
      <w:r>
        <w:rPr>
          <w:rFonts w:ascii="Times New Roman" w:eastAsia="Times New Roman" w:hAnsi="Times New Roman"/>
          <w:sz w:val="24"/>
          <w:szCs w:val="24"/>
        </w:rPr>
        <w:t>‘</w:t>
      </w:r>
      <w:r w:rsidRPr="00526A4D">
        <w:rPr>
          <w:rFonts w:ascii="Times New Roman" w:eastAsia="Times New Roman" w:hAnsi="Times New Roman"/>
          <w:sz w:val="24"/>
          <w:szCs w:val="24"/>
        </w:rPr>
        <w:t>act of duty,</w:t>
      </w:r>
      <w:r>
        <w:rPr>
          <w:rFonts w:ascii="Times New Roman" w:eastAsia="Times New Roman" w:hAnsi="Times New Roman"/>
          <w:sz w:val="24"/>
          <w:szCs w:val="24"/>
        </w:rPr>
        <w:t>’</w:t>
      </w:r>
      <w:r w:rsidRPr="00526A4D">
        <w:rPr>
          <w:rFonts w:ascii="Times New Roman" w:eastAsia="Times New Roman" w:hAnsi="Times New Roman"/>
          <w:sz w:val="24"/>
          <w:szCs w:val="24"/>
        </w:rPr>
        <w:t xml:space="preserve"> that complaint is more properly directed at the General Assembly, which chose to define the term</w:t>
      </w:r>
      <w:r w:rsidRPr="00945A33">
        <w:rPr>
          <w:rFonts w:ascii="Times New Roman" w:eastAsia="Times New Roman" w:hAnsi="Times New Roman"/>
          <w:sz w:val="24"/>
          <w:szCs w:val="24"/>
        </w:rPr>
        <w:t xml:space="preserve"> </w:t>
      </w:r>
      <w:r w:rsidRPr="00526A4D">
        <w:rPr>
          <w:rFonts w:ascii="Times New Roman" w:eastAsia="Times New Roman" w:hAnsi="Times New Roman"/>
          <w:sz w:val="24"/>
          <w:szCs w:val="24"/>
        </w:rPr>
        <w:t>broadly. The Board's duty was not to craft its own, narrower definition but to apply the definition provided in the Code. The Board did just that, and we find no error in its decision.</w:t>
      </w:r>
      <w:r>
        <w:rPr>
          <w:rFonts w:ascii="Times New Roman" w:eastAsia="Times New Roman" w:hAnsi="Times New Roman"/>
          <w:sz w:val="24"/>
          <w:szCs w:val="24"/>
        </w:rPr>
        <w:t xml:space="preserve">”  </w:t>
      </w:r>
      <w:hyperlink r:id="rId1117" w:history="1">
        <w:r w:rsidRPr="00EC5853">
          <w:rPr>
            <w:rStyle w:val="Hyperlink"/>
            <w:rFonts w:ascii="Times New Roman" w:eastAsia="Times New Roman" w:hAnsi="Times New Roman"/>
            <w:sz w:val="24"/>
            <w:szCs w:val="24"/>
          </w:rPr>
          <w:t>https://ilcourtsaudio.blob.core.windows.net/antilles-resources/resources/2cab1835-a4bd-4f15-be52-5bbea6ed2024/Roselle%20v.%20BOT%20of%20the%20Roselle%20Firefighters%20Pension%20Fund,%202021%20IL%20App%20(2d)%20200360.pdf</w:t>
        </w:r>
      </w:hyperlink>
    </w:p>
    <w:p w14:paraId="2BBAF51B" w14:textId="77777777" w:rsidR="00433119" w:rsidRPr="00FB5E08" w:rsidRDefault="00433119" w:rsidP="00433119">
      <w:pPr>
        <w:spacing w:before="100" w:beforeAutospacing="1" w:after="100" w:afterAutospacing="1" w:line="240" w:lineRule="auto"/>
        <w:rPr>
          <w:rFonts w:ascii="Times New Roman" w:eastAsia="Times New Roman" w:hAnsi="Times New Roman"/>
          <w:b/>
          <w:bCs/>
          <w:sz w:val="24"/>
          <w:szCs w:val="24"/>
        </w:rPr>
      </w:pPr>
      <w:r w:rsidRPr="00FB5E08">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To avoid “surprises” concerning medical conditions of new hires, Fire Departments can (1) require release of prior medical records, and (2) condition hiring on passing medical examination.  </w:t>
      </w:r>
    </w:p>
    <w:p w14:paraId="71013C7A" w14:textId="77777777" w:rsidR="00433119" w:rsidRDefault="00433119" w:rsidP="00EF1133">
      <w:pPr>
        <w:rPr>
          <w:rFonts w:ascii="Arial Black" w:hAnsi="Arial Black"/>
          <w:b/>
          <w:sz w:val="24"/>
          <w:szCs w:val="24"/>
        </w:rPr>
      </w:pPr>
    </w:p>
    <w:p w14:paraId="1C27CF9C" w14:textId="2C99124D" w:rsidR="00433119" w:rsidRDefault="00433119"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5</w:t>
      </w:r>
    </w:p>
    <w:p w14:paraId="0D58B441" w14:textId="77777777" w:rsidR="00433119" w:rsidRPr="00635F06" w:rsidRDefault="00433119" w:rsidP="00433119">
      <w:pPr>
        <w:spacing w:before="100" w:beforeAutospacing="1" w:after="100" w:afterAutospacing="1" w:line="240" w:lineRule="auto"/>
        <w:rPr>
          <w:rFonts w:ascii="Arial Black" w:hAnsi="Arial Black"/>
          <w:sz w:val="28"/>
          <w:szCs w:val="28"/>
        </w:rPr>
      </w:pPr>
      <w:r>
        <w:rPr>
          <w:rFonts w:ascii="Arial Black" w:hAnsi="Arial Black"/>
          <w:sz w:val="28"/>
          <w:szCs w:val="28"/>
        </w:rPr>
        <w:t>IL: INJURED CHICAGO FFs PENSION - FREE AGE 65 – THEN MUST USE MEDICARE – PAY FOR ANY SUPPLEMENTAL</w:t>
      </w:r>
    </w:p>
    <w:p w14:paraId="1F07CA27" w14:textId="77777777" w:rsidR="00433119" w:rsidRPr="00FA3336" w:rsidRDefault="00433119" w:rsidP="00433119">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On Dec. 23, 2021, in </w:t>
      </w:r>
      <w:r w:rsidRPr="0089175F">
        <w:rPr>
          <w:rFonts w:ascii="Times New Roman" w:hAnsi="Times New Roman"/>
          <w:sz w:val="24"/>
          <w:szCs w:val="24"/>
          <w:u w:val="single"/>
        </w:rPr>
        <w:t>Thomas Barry, et al. v. City of Chicago</w:t>
      </w:r>
      <w:r>
        <w:rPr>
          <w:rFonts w:ascii="Times New Roman" w:hAnsi="Times New Roman"/>
          <w:sz w:val="24"/>
          <w:szCs w:val="24"/>
        </w:rPr>
        <w:t xml:space="preserve">, the Court of Appeals of Illinois, First District (Fourth Division) held (3 to 0) that the City’s obligation to provide premium-free participation in its group plan for active-duty firefighters ended when the plaintiffs became eligible for Medicare. Unfortunately, the </w:t>
      </w:r>
      <w:proofErr w:type="gramStart"/>
      <w:r w:rsidRPr="00FA3336">
        <w:rPr>
          <w:rFonts w:ascii="Times New Roman" w:hAnsi="Times New Roman"/>
          <w:sz w:val="24"/>
          <w:szCs w:val="24"/>
        </w:rPr>
        <w:t>City</w:t>
      </w:r>
      <w:proofErr w:type="gramEnd"/>
      <w:r w:rsidRPr="00FA3336">
        <w:rPr>
          <w:rFonts w:ascii="Times New Roman" w:hAnsi="Times New Roman"/>
          <w:sz w:val="24"/>
          <w:szCs w:val="24"/>
        </w:rPr>
        <w:t xml:space="preserve"> </w:t>
      </w:r>
      <w:r>
        <w:rPr>
          <w:rFonts w:ascii="Times New Roman" w:hAnsi="Times New Roman"/>
          <w:sz w:val="24"/>
          <w:szCs w:val="24"/>
        </w:rPr>
        <w:t xml:space="preserve">had also </w:t>
      </w:r>
      <w:r w:rsidRPr="00FA3336">
        <w:rPr>
          <w:rFonts w:ascii="Times New Roman" w:hAnsi="Times New Roman"/>
          <w:sz w:val="24"/>
          <w:szCs w:val="24"/>
        </w:rPr>
        <w:t>allowed plaintiffs to participate in its Medicare supplement retiree health care plan until that plan was discontinued in December 2016.</w:t>
      </w:r>
    </w:p>
    <w:p w14:paraId="08E2F7EA" w14:textId="77777777" w:rsidR="00433119" w:rsidRPr="00635F06" w:rsidRDefault="00433119" w:rsidP="00433119">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635F06">
        <w:rPr>
          <w:rFonts w:ascii="Times New Roman" w:eastAsia="Times New Roman" w:hAnsi="Times New Roman"/>
          <w:sz w:val="24"/>
          <w:szCs w:val="24"/>
        </w:rPr>
        <w:t xml:space="preserve">We reject plaintiffs' argument that the Act guarantees lifetime premium-free health insurance under the City's group plan because the Act neither references Medicare nor states that benefits cease at a certain age. This argument seeks to add words to the Act that the legislature did not use and fails to </w:t>
      </w:r>
      <w:proofErr w:type="gramStart"/>
      <w:r w:rsidRPr="00635F06">
        <w:rPr>
          <w:rFonts w:ascii="Times New Roman" w:eastAsia="Times New Roman" w:hAnsi="Times New Roman"/>
          <w:sz w:val="24"/>
          <w:szCs w:val="24"/>
        </w:rPr>
        <w:t>construe</w:t>
      </w:r>
      <w:proofErr w:type="gramEnd"/>
      <w:r w:rsidRPr="00635F06">
        <w:rPr>
          <w:rFonts w:ascii="Times New Roman" w:eastAsia="Times New Roman" w:hAnsi="Times New Roman"/>
          <w:sz w:val="24"/>
          <w:szCs w:val="24"/>
        </w:rPr>
        <w:t xml:space="preserve"> the entire statute coherently. Although the Act does guarantee that injured firefighters will always have some type of health insurance coverage, whether from their former employer or another source like Medicare, the Act never states that premium-free coverage under the employer's group plan must last a lifetime. </w:t>
      </w:r>
      <w:r w:rsidRPr="00635F06">
        <w:rPr>
          <w:rFonts w:ascii="Times New Roman" w:hAnsi="Times New Roman"/>
          <w:sz w:val="24"/>
          <w:szCs w:val="24"/>
        </w:rPr>
        <w:t>Instead, section 10(a)(1) of the Act explicitly limits the employer's obligation to pay premiums for its group health insurance plan when benefits are payable from any other source. The public employer's obligation to pay the premiums is not reduced based on the beneficiaries' age per se but rather based on the existence of benefits payable "from any other source." 820 ILCS 320/10(a)(1) (West 2018).</w:t>
      </w:r>
      <w:r>
        <w:rPr>
          <w:rFonts w:ascii="Times New Roman" w:hAnsi="Times New Roman"/>
          <w:sz w:val="24"/>
          <w:szCs w:val="24"/>
        </w:rPr>
        <w:t xml:space="preserve">” </w:t>
      </w:r>
      <w:hyperlink r:id="rId1118" w:history="1">
        <w:r w:rsidRPr="00EC5853">
          <w:rPr>
            <w:rStyle w:val="Hyperlink"/>
            <w:rFonts w:ascii="Times New Roman" w:hAnsi="Times New Roman"/>
            <w:sz w:val="24"/>
            <w:szCs w:val="24"/>
          </w:rPr>
          <w:t>https://casetext.com/case/barry-v-the-city-of-chicago</w:t>
        </w:r>
      </w:hyperlink>
      <w:r>
        <w:rPr>
          <w:rFonts w:ascii="Times New Roman" w:hAnsi="Times New Roman"/>
          <w:sz w:val="24"/>
          <w:szCs w:val="24"/>
        </w:rPr>
        <w:t xml:space="preserve"> </w:t>
      </w:r>
    </w:p>
    <w:p w14:paraId="3A68F6F5" w14:textId="77777777" w:rsidR="00433119" w:rsidRDefault="00433119" w:rsidP="00433119">
      <w:pPr>
        <w:spacing w:before="100" w:beforeAutospacing="1" w:after="100" w:afterAutospacing="1" w:line="240" w:lineRule="auto"/>
        <w:rPr>
          <w:rFonts w:ascii="Times New Roman" w:eastAsia="Times New Roman" w:hAnsi="Times New Roman"/>
          <w:b/>
          <w:bCs/>
          <w:sz w:val="24"/>
          <w:szCs w:val="24"/>
        </w:rPr>
      </w:pPr>
      <w:r w:rsidRPr="00C10A0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medically retired firefighters must pay for Medicare supplemental retiree health care insurance.  </w:t>
      </w:r>
    </w:p>
    <w:p w14:paraId="431A8464" w14:textId="77777777" w:rsidR="00433119" w:rsidRDefault="00433119" w:rsidP="00EF1133">
      <w:pPr>
        <w:rPr>
          <w:rFonts w:ascii="Arial Black" w:hAnsi="Arial Black"/>
          <w:b/>
          <w:sz w:val="24"/>
          <w:szCs w:val="24"/>
        </w:rPr>
      </w:pPr>
    </w:p>
    <w:p w14:paraId="0D3FC633" w14:textId="75CC3222" w:rsidR="00433119" w:rsidRDefault="00433119"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4</w:t>
      </w:r>
    </w:p>
    <w:p w14:paraId="7A128F32" w14:textId="77777777" w:rsidR="00433119" w:rsidRPr="005B2B58" w:rsidRDefault="00433119" w:rsidP="0043311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ASTHMA / LUNG ISSUES - 11 YEARS FIRE SCENES PHOTOS - WORKERS COMP IF CAN PROVE JOB CAUSED</w:t>
      </w:r>
    </w:p>
    <w:p w14:paraId="350C6707" w14:textId="77777777" w:rsidR="00433119" w:rsidRPr="0096799C" w:rsidRDefault="00433119" w:rsidP="00433119">
      <w:pPr>
        <w:rPr>
          <w:rFonts w:ascii="Times New Roman" w:hAnsi="Times New Roman"/>
          <w:sz w:val="24"/>
          <w:szCs w:val="24"/>
        </w:rPr>
      </w:pPr>
      <w:r w:rsidRPr="0096799C">
        <w:rPr>
          <w:rFonts w:ascii="Times New Roman" w:hAnsi="Times New Roman"/>
          <w:sz w:val="24"/>
          <w:szCs w:val="24"/>
        </w:rPr>
        <w:t xml:space="preserve">On Dec. 23, 2021, in </w:t>
      </w:r>
      <w:r w:rsidRPr="0096799C">
        <w:rPr>
          <w:rFonts w:ascii="Times New Roman" w:hAnsi="Times New Roman"/>
          <w:sz w:val="24"/>
          <w:szCs w:val="24"/>
          <w:u w:val="single"/>
        </w:rPr>
        <w:t xml:space="preserve">Peter </w:t>
      </w:r>
      <w:proofErr w:type="spellStart"/>
      <w:r w:rsidRPr="0096799C">
        <w:rPr>
          <w:rFonts w:ascii="Times New Roman" w:hAnsi="Times New Roman"/>
          <w:sz w:val="24"/>
          <w:szCs w:val="24"/>
          <w:u w:val="single"/>
        </w:rPr>
        <w:t>DiLaqua</w:t>
      </w:r>
      <w:proofErr w:type="spellEnd"/>
      <w:r w:rsidRPr="0096799C">
        <w:rPr>
          <w:rFonts w:ascii="Times New Roman" w:hAnsi="Times New Roman"/>
          <w:sz w:val="24"/>
          <w:szCs w:val="24"/>
          <w:u w:val="single"/>
        </w:rPr>
        <w:t xml:space="preserve"> v. City of Philadelphia Fire Department</w:t>
      </w:r>
      <w:r w:rsidRPr="0096799C">
        <w:rPr>
          <w:rFonts w:ascii="Times New Roman" w:hAnsi="Times New Roman"/>
          <w:sz w:val="24"/>
          <w:szCs w:val="24"/>
        </w:rPr>
        <w:t xml:space="preserve">, the Commonwealth Court of Pennsylvania held (3 to 0) that the firefighters’ claim is remanded for further evidence to be presented to the Workers Comp Judge; the court reversed the Workers’ Compensation Review Board that had overturned the WCJ’s finding that the firefighter’s asthma and RADS (Reactive Airways Dysfunction Syndrome) were job related. </w:t>
      </w:r>
    </w:p>
    <w:p w14:paraId="78F8C10A" w14:textId="37D946BE" w:rsidR="00433119" w:rsidRDefault="00433119" w:rsidP="00433119">
      <w:pPr>
        <w:ind w:left="720"/>
        <w:rPr>
          <w:rFonts w:ascii="Arial Black" w:hAnsi="Arial Black"/>
          <w:b/>
          <w:sz w:val="24"/>
          <w:szCs w:val="24"/>
        </w:rPr>
      </w:pPr>
      <w:r>
        <w:rPr>
          <w:rFonts w:ascii="Times New Roman" w:hAnsi="Times New Roman"/>
          <w:sz w:val="24"/>
          <w:szCs w:val="24"/>
        </w:rPr>
        <w:t>“</w:t>
      </w:r>
      <w:r w:rsidRPr="00AE0D89">
        <w:rPr>
          <w:rFonts w:ascii="Times New Roman" w:hAnsi="Times New Roman"/>
          <w:sz w:val="24"/>
          <w:szCs w:val="24"/>
        </w:rPr>
        <w:t>At the WCJ hearings, Claimant testified</w:t>
      </w:r>
      <w:r>
        <w:rPr>
          <w:rFonts w:ascii="Times New Roman" w:hAnsi="Times New Roman"/>
          <w:sz w:val="24"/>
          <w:szCs w:val="24"/>
          <w:vertAlign w:val="superscript"/>
        </w:rPr>
        <w:t xml:space="preserve"> </w:t>
      </w:r>
      <w:r w:rsidRPr="00AE0D89">
        <w:rPr>
          <w:rFonts w:ascii="Times New Roman" w:hAnsi="Times New Roman"/>
          <w:sz w:val="24"/>
          <w:szCs w:val="24"/>
        </w:rPr>
        <w:t>that, although Employer provided respiratory protection equipment when he fought fires for the first two years of his employment, Employer did not provide such equipment when he photographed fire scenes for the VCU</w:t>
      </w:r>
      <w:r>
        <w:rPr>
          <w:rFonts w:ascii="Times New Roman" w:hAnsi="Times New Roman"/>
          <w:sz w:val="24"/>
          <w:szCs w:val="24"/>
        </w:rPr>
        <w:t xml:space="preserve"> </w:t>
      </w:r>
      <w:r w:rsidRPr="00AE0D89">
        <w:rPr>
          <w:rFonts w:ascii="Times New Roman" w:hAnsi="Times New Roman"/>
          <w:sz w:val="24"/>
          <w:szCs w:val="24"/>
        </w:rPr>
        <w:t>[Visual Communication Unit ]….</w:t>
      </w:r>
      <w:r>
        <w:t xml:space="preserve"> </w:t>
      </w:r>
      <w:r w:rsidRPr="00AE0D89">
        <w:rPr>
          <w:rFonts w:ascii="Times New Roman" w:hAnsi="Times New Roman"/>
          <w:sz w:val="24"/>
          <w:szCs w:val="24"/>
        </w:rPr>
        <w:t>Claimant estimated that he photographed 8 to 10 multiple-alarm fires per year and, over time, he photographed 50 to 70 rooms where deaths occurred</w:t>
      </w:r>
      <w:r>
        <w:rPr>
          <w:rFonts w:ascii="Times New Roman" w:hAnsi="Times New Roman"/>
          <w:sz w:val="24"/>
          <w:szCs w:val="24"/>
        </w:rPr>
        <w:t xml:space="preserve">…. </w:t>
      </w:r>
      <w:r w:rsidRPr="00AE0D89">
        <w:rPr>
          <w:rFonts w:ascii="Times New Roman" w:hAnsi="Times New Roman"/>
          <w:sz w:val="24"/>
          <w:szCs w:val="24"/>
        </w:rPr>
        <w:t>Claimant explained that, for multiple alarm fires, he would be at a scene for 8 to 10 hours and, relative to death investigations, he would be at a fire scene for at least 6 hours</w:t>
      </w:r>
      <w:r>
        <w:rPr>
          <w:rFonts w:ascii="Times New Roman" w:hAnsi="Times New Roman"/>
          <w:sz w:val="24"/>
          <w:szCs w:val="24"/>
        </w:rPr>
        <w:t xml:space="preserve">…. </w:t>
      </w:r>
      <w:r w:rsidRPr="00AE0D89">
        <w:rPr>
          <w:rFonts w:ascii="Times New Roman" w:hAnsi="Times New Roman"/>
          <w:sz w:val="24"/>
          <w:szCs w:val="24"/>
        </w:rPr>
        <w:t>Here, key to the Board's and this Court's review is whether Claimant proved his entitlement to WC benefits. Specifically, whether he proved the injury he alleged in the Claim Petition, and whether it was causally related to his employment (or he was entitled to the Presumption). Because those issues cannot be resolved by this Court, this matter must be remanded to the Board and the WCJ for application of the correct legal principles.</w:t>
      </w:r>
      <w:r>
        <w:rPr>
          <w:rFonts w:ascii="Times New Roman" w:hAnsi="Times New Roman"/>
          <w:sz w:val="24"/>
          <w:szCs w:val="24"/>
        </w:rPr>
        <w:t xml:space="preserve">” </w:t>
      </w:r>
      <w:hyperlink r:id="rId1119" w:history="1">
        <w:r w:rsidRPr="00EC5853">
          <w:rPr>
            <w:rStyle w:val="Hyperlink"/>
            <w:rFonts w:ascii="Times New Roman" w:hAnsi="Times New Roman"/>
            <w:sz w:val="24"/>
            <w:szCs w:val="24"/>
          </w:rPr>
          <w:t>https://casetext.com/case/dilaqua-v-city-of-philadelphia-fire-dept-workers-comp-appeal-board</w:t>
        </w:r>
      </w:hyperlink>
    </w:p>
    <w:p w14:paraId="3F2F2D5D" w14:textId="77777777" w:rsidR="00433119" w:rsidRPr="00927BF6" w:rsidRDefault="00433119" w:rsidP="00433119">
      <w:pPr>
        <w:pStyle w:val="NormalWeb"/>
        <w:rPr>
          <w:b/>
          <w:bCs/>
        </w:rPr>
      </w:pPr>
      <w:r w:rsidRPr="00927BF6">
        <w:rPr>
          <w:b/>
          <w:bCs/>
        </w:rPr>
        <w:lastRenderedPageBreak/>
        <w:t>Legal Lesson Learned:</w:t>
      </w:r>
      <w:r>
        <w:rPr>
          <w:b/>
          <w:bCs/>
        </w:rPr>
        <w:t xml:space="preserve"> PA has a helpful statutory presumption for diseases of lungs for </w:t>
      </w:r>
      <w:proofErr w:type="gramStart"/>
      <w:r>
        <w:rPr>
          <w:b/>
          <w:bCs/>
        </w:rPr>
        <w:t>firefighter</w:t>
      </w:r>
      <w:proofErr w:type="gramEnd"/>
      <w:r>
        <w:rPr>
          <w:b/>
          <w:bCs/>
        </w:rPr>
        <w:t xml:space="preserve"> with four or more years of service. </w:t>
      </w:r>
    </w:p>
    <w:p w14:paraId="0FEC2BC5" w14:textId="77777777" w:rsidR="00433119" w:rsidRDefault="00433119" w:rsidP="00433119">
      <w:pPr>
        <w:ind w:left="720"/>
        <w:rPr>
          <w:rFonts w:ascii="Times New Roman" w:hAnsi="Times New Roman"/>
          <w:sz w:val="24"/>
          <w:szCs w:val="24"/>
        </w:rPr>
      </w:pPr>
      <w:r>
        <w:rPr>
          <w:rFonts w:ascii="Times New Roman" w:hAnsi="Times New Roman"/>
          <w:sz w:val="24"/>
          <w:szCs w:val="24"/>
        </w:rPr>
        <w:t xml:space="preserve">Note:  See Ohio Revised Code 742.38, statutory presumption: </w:t>
      </w:r>
      <w:hyperlink r:id="rId1120" w:history="1">
        <w:r w:rsidRPr="001E7A1B">
          <w:rPr>
            <w:rStyle w:val="Hyperlink"/>
            <w:rFonts w:ascii="Times New Roman" w:hAnsi="Times New Roman"/>
            <w:sz w:val="24"/>
            <w:szCs w:val="24"/>
          </w:rPr>
          <w:t>https://codes.ohio.gov/ohio-revised-code/section-742.38</w:t>
        </w:r>
      </w:hyperlink>
      <w:r>
        <w:rPr>
          <w:rFonts w:ascii="Times New Roman" w:hAnsi="Times New Roman"/>
          <w:sz w:val="24"/>
          <w:szCs w:val="24"/>
        </w:rPr>
        <w:t xml:space="preserve"> </w:t>
      </w:r>
    </w:p>
    <w:p w14:paraId="7257D604" w14:textId="77777777" w:rsidR="00433119" w:rsidRPr="00971F78" w:rsidRDefault="00433119" w:rsidP="00433119">
      <w:pPr>
        <w:ind w:left="1440"/>
        <w:rPr>
          <w:rFonts w:ascii="Times New Roman" w:hAnsi="Times New Roman"/>
          <w:b/>
          <w:bCs/>
          <w:sz w:val="24"/>
          <w:szCs w:val="24"/>
        </w:rPr>
      </w:pPr>
      <w:r w:rsidRPr="00971F78">
        <w:rPr>
          <w:rFonts w:ascii="Times New Roman" w:hAnsi="Times New Roman"/>
          <w:sz w:val="24"/>
          <w:szCs w:val="24"/>
        </w:rPr>
        <w:t>(3)(a) A member of the fund [Ohio police and fire pension fund]</w:t>
      </w:r>
      <w:r>
        <w:t xml:space="preserve"> </w:t>
      </w:r>
      <w:r w:rsidRPr="00971F78">
        <w:rPr>
          <w:rFonts w:ascii="Times New Roman" w:hAnsi="Times New Roman"/>
          <w:sz w:val="24"/>
          <w:szCs w:val="24"/>
        </w:rPr>
        <w:t xml:space="preserve">who is permanently disabled as a result of heart disease or any cardiovascular or respiratory disease of a chronic nature, which disease or any evidence of which disease was not revealed by the physical examination passed by the member on entry into the department or another examination specified in rules the board adopts under section </w:t>
      </w:r>
      <w:hyperlink r:id="rId1121" w:history="1">
        <w:r w:rsidRPr="00971F78">
          <w:rPr>
            <w:rStyle w:val="Hyperlink"/>
            <w:rFonts w:ascii="Times New Roman" w:hAnsi="Times New Roman"/>
            <w:sz w:val="24"/>
            <w:szCs w:val="24"/>
          </w:rPr>
          <w:t>742.10</w:t>
        </w:r>
      </w:hyperlink>
      <w:r w:rsidRPr="00971F78">
        <w:rPr>
          <w:rFonts w:ascii="Times New Roman" w:hAnsi="Times New Roman"/>
          <w:sz w:val="24"/>
          <w:szCs w:val="24"/>
        </w:rPr>
        <w:t xml:space="preserve"> of the Revised Code, is presumed to have incurred the disease while performing the member's official duties, unless the contrary is shown by competent evidence. The board may waive the requirement that the absence of disease be evidenced by a physical examination if competent medical evidence of a type specified in rules adopted under section </w:t>
      </w:r>
      <w:hyperlink r:id="rId1122" w:history="1">
        <w:r w:rsidRPr="00971F78">
          <w:rPr>
            <w:rStyle w:val="Hyperlink"/>
            <w:rFonts w:ascii="Times New Roman" w:hAnsi="Times New Roman"/>
            <w:sz w:val="24"/>
            <w:szCs w:val="24"/>
          </w:rPr>
          <w:t>742.10</w:t>
        </w:r>
      </w:hyperlink>
      <w:r w:rsidRPr="00971F78">
        <w:rPr>
          <w:rFonts w:ascii="Times New Roman" w:hAnsi="Times New Roman"/>
          <w:sz w:val="24"/>
          <w:szCs w:val="24"/>
        </w:rPr>
        <w:t xml:space="preserve"> of the Revised Code is submitted documenting that the disease was not evident prior to or at the time of entry into the department.</w:t>
      </w:r>
    </w:p>
    <w:p w14:paraId="2C5B5AA1" w14:textId="77777777" w:rsidR="00433119" w:rsidRDefault="00433119" w:rsidP="00EF1133">
      <w:pPr>
        <w:rPr>
          <w:rFonts w:ascii="Arial Black" w:hAnsi="Arial Black"/>
          <w:b/>
          <w:sz w:val="24"/>
          <w:szCs w:val="24"/>
        </w:rPr>
      </w:pPr>
    </w:p>
    <w:p w14:paraId="5561F4C0" w14:textId="4D97F2F3" w:rsidR="00B5724A" w:rsidRDefault="00B5724A"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3</w:t>
      </w:r>
    </w:p>
    <w:p w14:paraId="27072C7B" w14:textId="77777777" w:rsidR="00B5724A" w:rsidRDefault="00B5724A" w:rsidP="00B5724A">
      <w:pPr>
        <w:spacing w:before="100" w:beforeAutospacing="1" w:after="100" w:afterAutospacing="1" w:line="240" w:lineRule="auto"/>
        <w:rPr>
          <w:rFonts w:ascii="Arial Black" w:eastAsia="Times New Roman" w:hAnsi="Arial Black"/>
          <w:sz w:val="28"/>
          <w:szCs w:val="28"/>
        </w:rPr>
      </w:pPr>
      <w:bookmarkStart w:id="229" w:name="_Hlk92113959"/>
      <w:r>
        <w:rPr>
          <w:rFonts w:ascii="Arial Black" w:eastAsia="Times New Roman" w:hAnsi="Arial Black"/>
          <w:sz w:val="28"/>
          <w:szCs w:val="28"/>
        </w:rPr>
        <w:t>PA: FF DIED LUNG CANCER – HEAVY SMOKER - 40% INCREASE - WIFE NO WORKERS COMP DEATH BENEFITS</w:t>
      </w:r>
    </w:p>
    <w:bookmarkEnd w:id="229"/>
    <w:p w14:paraId="59423BFB" w14:textId="77777777" w:rsidR="00B5724A" w:rsidRDefault="00B5724A" w:rsidP="00B5724A">
      <w:pPr>
        <w:spacing w:before="100" w:beforeAutospacing="1" w:after="100" w:afterAutospacing="1" w:line="240" w:lineRule="auto"/>
      </w:pPr>
      <w:r>
        <w:rPr>
          <w:rFonts w:ascii="Times New Roman" w:eastAsia="Times New Roman" w:hAnsi="Times New Roman"/>
          <w:sz w:val="24"/>
          <w:szCs w:val="24"/>
        </w:rPr>
        <w:t xml:space="preserve">On Dec. 13, 2021, in </w:t>
      </w:r>
      <w:r w:rsidRPr="00BF2980">
        <w:rPr>
          <w:rFonts w:ascii="Times New Roman" w:eastAsia="Times New Roman" w:hAnsi="Times New Roman"/>
          <w:sz w:val="24"/>
          <w:szCs w:val="24"/>
          <w:u w:val="single"/>
        </w:rPr>
        <w:t>Vincent Regan v. City of Philadelphia (Workers’ Compensation Appeal Board</w:t>
      </w:r>
      <w:r>
        <w:rPr>
          <w:rFonts w:ascii="Times New Roman" w:eastAsia="Times New Roman" w:hAnsi="Times New Roman"/>
          <w:sz w:val="24"/>
          <w:szCs w:val="24"/>
          <w:u w:val="single"/>
        </w:rPr>
        <w:t>)</w:t>
      </w:r>
      <w:r>
        <w:rPr>
          <w:rFonts w:ascii="Times New Roman" w:eastAsia="Times New Roman" w:hAnsi="Times New Roman"/>
          <w:sz w:val="24"/>
          <w:szCs w:val="24"/>
        </w:rPr>
        <w:t xml:space="preserve">, the Commonwealth Court of Pennsylvania held (3 to 0) that the widow of Vincent Regan is not entitled to workers compensation, since the Administrative Law Judge found the city’s expert witness very credible. He </w:t>
      </w:r>
      <w:r w:rsidRPr="00BB487E">
        <w:rPr>
          <w:rFonts w:ascii="Times New Roman" w:eastAsia="Times New Roman" w:hAnsi="Times New Roman"/>
          <w:sz w:val="24"/>
          <w:szCs w:val="24"/>
        </w:rPr>
        <w:t>stated</w:t>
      </w:r>
      <w:r>
        <w:rPr>
          <w:rFonts w:ascii="Times New Roman" w:eastAsia="Times New Roman" w:hAnsi="Times New Roman"/>
          <w:sz w:val="24"/>
          <w:szCs w:val="24"/>
        </w:rPr>
        <w:t xml:space="preserve"> </w:t>
      </w:r>
      <w:r w:rsidRPr="00BB487E">
        <w:rPr>
          <w:rFonts w:ascii="Times New Roman" w:eastAsia="Times New Roman" w:hAnsi="Times New Roman"/>
          <w:sz w:val="24"/>
          <w:szCs w:val="24"/>
        </w:rPr>
        <w:t xml:space="preserve">that </w:t>
      </w:r>
      <w:r>
        <w:rPr>
          <w:rFonts w:ascii="Times New Roman" w:eastAsia="Times New Roman" w:hAnsi="Times New Roman"/>
          <w:sz w:val="24"/>
          <w:szCs w:val="24"/>
        </w:rPr>
        <w:t>“</w:t>
      </w:r>
      <w:r w:rsidRPr="00BB487E">
        <w:rPr>
          <w:rFonts w:ascii="Times New Roman" w:eastAsia="Times New Roman" w:hAnsi="Times New Roman"/>
          <w:sz w:val="24"/>
          <w:szCs w:val="24"/>
        </w:rPr>
        <w:t xml:space="preserve">medical records revealed that Decedent began smoking at age 16, and quit at age 68 in 2008, with a 40- to 50-pack per year history of tobacco use. He said that the effect of a 40-pack per year history will increase the risk of lung cancer by 40 </w:t>
      </w:r>
      <w:proofErr w:type="gramStart"/>
      <w:r w:rsidRPr="00BB487E">
        <w:rPr>
          <w:rFonts w:ascii="Times New Roman" w:eastAsia="Times New Roman" w:hAnsi="Times New Roman"/>
          <w:sz w:val="24"/>
          <w:szCs w:val="24"/>
        </w:rPr>
        <w:t>times.</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The PA statutory presumption law for firefighters was “fully rebutted” by the City’s expert.   </w:t>
      </w:r>
    </w:p>
    <w:p w14:paraId="5D03E918" w14:textId="77777777" w:rsidR="00B5724A" w:rsidRPr="0080447D" w:rsidRDefault="00B5724A" w:rsidP="00B5724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0447D">
        <w:rPr>
          <w:rFonts w:ascii="Times New Roman" w:eastAsia="Times New Roman" w:hAnsi="Times New Roman"/>
          <w:sz w:val="24"/>
          <w:szCs w:val="24"/>
        </w:rPr>
        <w:t xml:space="preserve">Because the WCJ's credibility determinations were not made arbitrarily and capriciously and her findings are supported by substantial evidence, the WCJ's decision cannot be disturbed on appeal. </w:t>
      </w:r>
      <w:r w:rsidRPr="0080447D">
        <w:rPr>
          <w:rFonts w:ascii="Times New Roman" w:eastAsia="Times New Roman" w:hAnsi="Times New Roman"/>
          <w:i/>
          <w:iCs/>
          <w:sz w:val="24"/>
          <w:szCs w:val="24"/>
        </w:rPr>
        <w:t>Id.</w:t>
      </w:r>
      <w:r w:rsidRPr="0080447D">
        <w:rPr>
          <w:rFonts w:ascii="Times New Roman" w:eastAsia="Times New Roman" w:hAnsi="Times New Roman"/>
          <w:sz w:val="24"/>
          <w:szCs w:val="24"/>
        </w:rPr>
        <w:t xml:space="preserve"> Further, we conclude that the WCJ's decision sets forth an adequate explanation of her reasons for accepting and rejecting </w:t>
      </w:r>
      <w:proofErr w:type="gramStart"/>
      <w:r w:rsidRPr="0080447D">
        <w:rPr>
          <w:rFonts w:ascii="Times New Roman" w:eastAsia="Times New Roman" w:hAnsi="Times New Roman"/>
          <w:sz w:val="24"/>
          <w:szCs w:val="24"/>
        </w:rPr>
        <w:t>evidence, and</w:t>
      </w:r>
      <w:proofErr w:type="gramEnd"/>
      <w:r w:rsidRPr="0080447D">
        <w:rPr>
          <w:rFonts w:ascii="Times New Roman" w:eastAsia="Times New Roman" w:hAnsi="Times New Roman"/>
          <w:sz w:val="24"/>
          <w:szCs w:val="24"/>
        </w:rPr>
        <w:t xml:space="preserve"> therefore satisfies the reasoned decision requirements of Section 422(a) of the Act. </w:t>
      </w:r>
      <w:r w:rsidRPr="0080447D">
        <w:rPr>
          <w:rFonts w:ascii="Times New Roman" w:eastAsia="Times New Roman" w:hAnsi="Times New Roman"/>
          <w:i/>
          <w:iCs/>
          <w:sz w:val="24"/>
          <w:szCs w:val="24"/>
        </w:rPr>
        <w:t>See id.</w:t>
      </w:r>
      <w:r w:rsidRPr="0080447D">
        <w:rPr>
          <w:rFonts w:ascii="Times New Roman" w:eastAsia="Times New Roman" w:hAnsi="Times New Roman"/>
          <w:sz w:val="24"/>
          <w:szCs w:val="24"/>
        </w:rPr>
        <w:t xml:space="preserve"> at 1089 (noting that Section 422(a) does not require </w:t>
      </w:r>
      <w:r>
        <w:rPr>
          <w:rFonts w:ascii="Times New Roman" w:eastAsia="Times New Roman" w:hAnsi="Times New Roman"/>
          <w:sz w:val="24"/>
          <w:szCs w:val="24"/>
        </w:rPr>
        <w:t>‘</w:t>
      </w:r>
      <w:r w:rsidRPr="0080447D">
        <w:rPr>
          <w:rFonts w:ascii="Times New Roman" w:eastAsia="Times New Roman" w:hAnsi="Times New Roman"/>
          <w:sz w:val="24"/>
          <w:szCs w:val="24"/>
        </w:rPr>
        <w:t>adequate reasons,</w:t>
      </w:r>
      <w:r>
        <w:rPr>
          <w:rFonts w:ascii="Times New Roman" w:eastAsia="Times New Roman" w:hAnsi="Times New Roman"/>
          <w:sz w:val="24"/>
          <w:szCs w:val="24"/>
        </w:rPr>
        <w:t>’</w:t>
      </w:r>
      <w:r w:rsidRPr="0080447D">
        <w:rPr>
          <w:rFonts w:ascii="Times New Roman" w:eastAsia="Times New Roman" w:hAnsi="Times New Roman"/>
          <w:sz w:val="24"/>
          <w:szCs w:val="24"/>
        </w:rPr>
        <w:t xml:space="preserve"> but an adequate explanation for those reasons, </w:t>
      </w:r>
      <w:proofErr w:type="gramStart"/>
      <w:r w:rsidRPr="0080447D">
        <w:rPr>
          <w:rFonts w:ascii="Times New Roman" w:eastAsia="Times New Roman" w:hAnsi="Times New Roman"/>
          <w:sz w:val="24"/>
          <w:szCs w:val="24"/>
        </w:rPr>
        <w:t>in order for</w:t>
      </w:r>
      <w:proofErr w:type="gramEnd"/>
      <w:r w:rsidRPr="0080447D">
        <w:rPr>
          <w:rFonts w:ascii="Times New Roman" w:eastAsia="Times New Roman" w:hAnsi="Times New Roman"/>
          <w:sz w:val="24"/>
          <w:szCs w:val="24"/>
        </w:rPr>
        <w:t xml:space="preserve"> appellate review to be meaningful). </w:t>
      </w:r>
      <w:r>
        <w:rPr>
          <w:rFonts w:ascii="Times New Roman" w:eastAsia="Times New Roman" w:hAnsi="Times New Roman"/>
          <w:sz w:val="24"/>
          <w:szCs w:val="24"/>
        </w:rPr>
        <w:t xml:space="preserve">“ </w:t>
      </w:r>
      <w:hyperlink r:id="rId1123" w:history="1">
        <w:r w:rsidRPr="00EC5853">
          <w:rPr>
            <w:rStyle w:val="Hyperlink"/>
            <w:rFonts w:ascii="Times New Roman" w:eastAsia="Times New Roman" w:hAnsi="Times New Roman"/>
            <w:sz w:val="24"/>
            <w:szCs w:val="24"/>
          </w:rPr>
          <w:t>https://casetext.com/case/regan-v-city-of-philadelphia-workers-comp-appeal-board</w:t>
        </w:r>
      </w:hyperlink>
      <w:r>
        <w:rPr>
          <w:rFonts w:ascii="Times New Roman" w:eastAsia="Times New Roman" w:hAnsi="Times New Roman"/>
          <w:sz w:val="24"/>
          <w:szCs w:val="24"/>
        </w:rPr>
        <w:t xml:space="preserve"> </w:t>
      </w:r>
    </w:p>
    <w:p w14:paraId="38606B72" w14:textId="77777777" w:rsidR="00433119" w:rsidRPr="009459BB" w:rsidRDefault="00433119" w:rsidP="00433119">
      <w:pPr>
        <w:spacing w:before="100" w:beforeAutospacing="1" w:after="100" w:afterAutospacing="1" w:line="240" w:lineRule="auto"/>
        <w:rPr>
          <w:rFonts w:ascii="Times New Roman" w:eastAsia="Times New Roman" w:hAnsi="Times New Roman"/>
          <w:b/>
          <w:bCs/>
          <w:sz w:val="24"/>
          <w:szCs w:val="24"/>
        </w:rPr>
      </w:pPr>
      <w:r w:rsidRPr="009459BB">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statutory presumption for firefighters can be overcome by expert testimony, including evidence the firefighter was a heavy smoker. </w:t>
      </w:r>
    </w:p>
    <w:p w14:paraId="6606C2B6" w14:textId="77777777" w:rsidR="00433119" w:rsidRDefault="00433119" w:rsidP="00433119">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Ohio statutory presumption includes provision on firefighter use of tobacco products. </w:t>
      </w:r>
      <w:proofErr w:type="gramStart"/>
      <w:r>
        <w:rPr>
          <w:rFonts w:ascii="Times New Roman" w:eastAsia="Times New Roman" w:hAnsi="Times New Roman"/>
          <w:sz w:val="24"/>
          <w:szCs w:val="24"/>
        </w:rPr>
        <w:t>Ohio Rev. Code 4123.68,</w:t>
      </w:r>
      <w:proofErr w:type="gramEnd"/>
      <w:r>
        <w:rPr>
          <w:rFonts w:ascii="Times New Roman" w:eastAsia="Times New Roman" w:hAnsi="Times New Roman"/>
          <w:sz w:val="24"/>
          <w:szCs w:val="24"/>
        </w:rPr>
        <w:t xml:space="preserve"> includes following. </w:t>
      </w:r>
      <w:r w:rsidRPr="00223FC1">
        <w:t xml:space="preserve"> </w:t>
      </w:r>
      <w:hyperlink r:id="rId1124" w:history="1">
        <w:r w:rsidRPr="003A1264">
          <w:rPr>
            <w:rFonts w:ascii="Times New Roman" w:eastAsia="Times New Roman" w:hAnsi="Times New Roman"/>
            <w:sz w:val="24"/>
            <w:szCs w:val="24"/>
          </w:rPr>
          <w:t>https://codes.ohio.gov/ohio-revised-code/section-4123.68</w:t>
        </w:r>
      </w:hyperlink>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w:t>
      </w:r>
      <w:proofErr w:type="spellEnd"/>
    </w:p>
    <w:p w14:paraId="2C68B934" w14:textId="77777777" w:rsidR="00433119" w:rsidRDefault="00433119" w:rsidP="00433119">
      <w:pPr>
        <w:spacing w:before="100" w:beforeAutospacing="1" w:after="100" w:afterAutospacing="1" w:line="240" w:lineRule="auto"/>
        <w:ind w:left="1440"/>
        <w:rPr>
          <w:rFonts w:ascii="Times New Roman" w:hAnsi="Times New Roman"/>
          <w:sz w:val="24"/>
          <w:szCs w:val="24"/>
        </w:rPr>
      </w:pPr>
      <w:r>
        <w:rPr>
          <w:rFonts w:ascii="Times New Roman" w:hAnsi="Times New Roman"/>
          <w:sz w:val="24"/>
          <w:szCs w:val="24"/>
        </w:rPr>
        <w:t>“</w:t>
      </w:r>
      <w:r w:rsidRPr="00223FC1">
        <w:rPr>
          <w:rFonts w:ascii="Times New Roman" w:hAnsi="Times New Roman"/>
          <w:sz w:val="24"/>
          <w:szCs w:val="24"/>
        </w:rPr>
        <w:t xml:space="preserve">(X)(1) Cancer contracted by a firefighter: Cancer contracted by a firefighter who has been assigned to at least six years of hazardous duty as a firefighter constitutes a presumption that the cancer was contracted in the course of and arising out of the firefighter's employment if the </w:t>
      </w:r>
      <w:r w:rsidRPr="00223FC1">
        <w:rPr>
          <w:rFonts w:ascii="Times New Roman" w:hAnsi="Times New Roman"/>
          <w:sz w:val="24"/>
          <w:szCs w:val="24"/>
        </w:rPr>
        <w:lastRenderedPageBreak/>
        <w:t>firefighter was exposed to an agent classified by the international agency for research on cancer or its successor organization as a group 1 or 2A carcinogen.</w:t>
      </w:r>
    </w:p>
    <w:p w14:paraId="4895C7BF" w14:textId="77777777" w:rsidR="00433119" w:rsidRPr="00223FC1" w:rsidRDefault="00433119" w:rsidP="00433119">
      <w:pPr>
        <w:spacing w:before="100" w:beforeAutospacing="1" w:after="100" w:afterAutospacing="1" w:line="240" w:lineRule="auto"/>
        <w:ind w:left="1440"/>
        <w:rPr>
          <w:rFonts w:ascii="Times New Roman" w:eastAsia="Times New Roman" w:hAnsi="Times New Roman"/>
          <w:sz w:val="24"/>
          <w:szCs w:val="24"/>
        </w:rPr>
      </w:pPr>
      <w:r w:rsidRPr="00223FC1">
        <w:rPr>
          <w:rFonts w:ascii="Times New Roman" w:eastAsia="Times New Roman" w:hAnsi="Times New Roman"/>
          <w:sz w:val="24"/>
          <w:szCs w:val="24"/>
        </w:rPr>
        <w:t>(2) The presumption described in division (X)(1) of this section is rebuttable in any of the following situations:</w:t>
      </w:r>
    </w:p>
    <w:p w14:paraId="351CCBA5" w14:textId="77777777" w:rsidR="00433119" w:rsidRPr="00223FC1" w:rsidRDefault="00433119" w:rsidP="00433119">
      <w:pPr>
        <w:spacing w:before="100" w:beforeAutospacing="1" w:after="100" w:afterAutospacing="1" w:line="240" w:lineRule="auto"/>
        <w:ind w:left="1440"/>
        <w:rPr>
          <w:rFonts w:ascii="Times New Roman" w:eastAsia="Times New Roman" w:hAnsi="Times New Roman"/>
          <w:sz w:val="24"/>
          <w:szCs w:val="24"/>
        </w:rPr>
      </w:pPr>
      <w:r w:rsidRPr="00223FC1">
        <w:rPr>
          <w:rFonts w:ascii="Times New Roman" w:eastAsia="Times New Roman" w:hAnsi="Times New Roman"/>
          <w:sz w:val="24"/>
          <w:szCs w:val="24"/>
        </w:rPr>
        <w:t xml:space="preserve">(a) There is evidence that the firefighter's exposure, outside the scope of the firefighter's official duties, to cigarettes, tobacco products, or other conditions presenting an extremely high risk for the development of the cancer alleged, was probably a significant factor in the cause or progression of the </w:t>
      </w:r>
      <w:proofErr w:type="gramStart"/>
      <w:r w:rsidRPr="00223FC1">
        <w:rPr>
          <w:rFonts w:ascii="Times New Roman" w:eastAsia="Times New Roman" w:hAnsi="Times New Roman"/>
          <w:sz w:val="24"/>
          <w:szCs w:val="24"/>
        </w:rPr>
        <w:t>cancer.</w:t>
      </w:r>
      <w:r>
        <w:rPr>
          <w:rFonts w:ascii="Times New Roman" w:eastAsia="Times New Roman" w:hAnsi="Times New Roman"/>
          <w:sz w:val="24"/>
          <w:szCs w:val="24"/>
        </w:rPr>
        <w:t>”</w:t>
      </w:r>
      <w:proofErr w:type="gramEnd"/>
    </w:p>
    <w:p w14:paraId="02F22A35" w14:textId="1F49D307" w:rsidR="00B5724A" w:rsidRDefault="00B5724A" w:rsidP="00EF1133">
      <w:pPr>
        <w:rPr>
          <w:rFonts w:ascii="Arial Black" w:hAnsi="Arial Black"/>
          <w:b/>
          <w:sz w:val="24"/>
          <w:szCs w:val="24"/>
        </w:rPr>
      </w:pPr>
    </w:p>
    <w:p w14:paraId="6E31679E" w14:textId="77777777" w:rsidR="00B5724A" w:rsidRDefault="00B5724A" w:rsidP="00EF1133">
      <w:pPr>
        <w:rPr>
          <w:rFonts w:ascii="Arial Black" w:hAnsi="Arial Black"/>
          <w:b/>
          <w:sz w:val="24"/>
          <w:szCs w:val="24"/>
        </w:rPr>
      </w:pPr>
    </w:p>
    <w:p w14:paraId="0F9DB5E0" w14:textId="321AB88B" w:rsidR="00B5724A" w:rsidRDefault="00B5724A"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2</w:t>
      </w:r>
    </w:p>
    <w:p w14:paraId="3E61DE8B" w14:textId="77777777" w:rsidR="00B5724A" w:rsidRDefault="00B5724A" w:rsidP="00B5724A">
      <w:pPr>
        <w:pStyle w:val="Heading1"/>
        <w:ind w:left="90"/>
        <w:rPr>
          <w:rFonts w:ascii="Arial Black" w:hAnsi="Arial Black"/>
          <w:b w:val="0"/>
          <w:bCs w:val="0"/>
          <w:sz w:val="28"/>
          <w:szCs w:val="28"/>
        </w:rPr>
      </w:pPr>
      <w:r>
        <w:rPr>
          <w:rFonts w:ascii="Arial Black" w:hAnsi="Arial Black"/>
          <w:b w:val="0"/>
          <w:bCs w:val="0"/>
          <w:sz w:val="28"/>
          <w:szCs w:val="28"/>
        </w:rPr>
        <w:t xml:space="preserve">WA: HEART - RETIRED FF - FAILED TO HAVE CARDIOLOGIST TESTIFY HEART CONDITION CAUSE EARLY SYMPTOMS </w:t>
      </w:r>
    </w:p>
    <w:p w14:paraId="4BA36305" w14:textId="77777777" w:rsidR="00B5724A" w:rsidRDefault="00B5724A" w:rsidP="00B5724A">
      <w:pPr>
        <w:pStyle w:val="Heading1"/>
        <w:rPr>
          <w:b w:val="0"/>
          <w:bCs w:val="0"/>
          <w:sz w:val="24"/>
          <w:szCs w:val="24"/>
        </w:rPr>
      </w:pPr>
      <w:r>
        <w:rPr>
          <w:b w:val="0"/>
          <w:bCs w:val="0"/>
          <w:sz w:val="24"/>
          <w:szCs w:val="24"/>
        </w:rPr>
        <w:t xml:space="preserve">On Dec. 7, 2021, in </w:t>
      </w:r>
      <w:r w:rsidRPr="009E02C5">
        <w:rPr>
          <w:b w:val="0"/>
          <w:bCs w:val="0"/>
          <w:sz w:val="24"/>
          <w:szCs w:val="24"/>
          <w:u w:val="single"/>
        </w:rPr>
        <w:t xml:space="preserve">Larry Spohn v. Department of Labor </w:t>
      </w:r>
      <w:proofErr w:type="gramStart"/>
      <w:r w:rsidRPr="009E02C5">
        <w:rPr>
          <w:b w:val="0"/>
          <w:bCs w:val="0"/>
          <w:sz w:val="24"/>
          <w:szCs w:val="24"/>
          <w:u w:val="single"/>
        </w:rPr>
        <w:t>And</w:t>
      </w:r>
      <w:proofErr w:type="gramEnd"/>
      <w:r w:rsidRPr="009E02C5">
        <w:rPr>
          <w:b w:val="0"/>
          <w:bCs w:val="0"/>
          <w:sz w:val="24"/>
          <w:szCs w:val="24"/>
          <w:u w:val="single"/>
        </w:rPr>
        <w:t xml:space="preserve"> Industries</w:t>
      </w:r>
      <w:r>
        <w:rPr>
          <w:b w:val="0"/>
          <w:bCs w:val="0"/>
          <w:sz w:val="24"/>
          <w:szCs w:val="24"/>
        </w:rPr>
        <w:t>, the Court of Appeals of Washington, Division 2, held (3 to 0) that trial court is reversed and should not have granted the firefighter’s claim for workers comp.  The firefighter (firefighter from 1990 to 2013) submitted his application for benefits in 2017, his “</w:t>
      </w:r>
      <w:r w:rsidRPr="00154601">
        <w:rPr>
          <w:b w:val="0"/>
          <w:bCs w:val="0"/>
          <w:sz w:val="24"/>
          <w:szCs w:val="24"/>
        </w:rPr>
        <w:t>application for benefits failed to include a physician's report or medical proof. The Department notified Spohn that it had not received the provider's section of the application four separate times.</w:t>
      </w:r>
      <w:r>
        <w:rPr>
          <w:b w:val="0"/>
          <w:bCs w:val="0"/>
          <w:sz w:val="24"/>
          <w:szCs w:val="24"/>
        </w:rPr>
        <w:t xml:space="preserve">”  </w:t>
      </w:r>
    </w:p>
    <w:p w14:paraId="561A9F91" w14:textId="77777777" w:rsidR="00B5724A" w:rsidRPr="00D038EE" w:rsidRDefault="00B5724A" w:rsidP="00B5724A">
      <w:pPr>
        <w:ind w:left="720"/>
        <w:rPr>
          <w:rFonts w:ascii="Times New Roman" w:hAnsi="Times New Roman"/>
          <w:sz w:val="24"/>
          <w:szCs w:val="24"/>
        </w:rPr>
      </w:pPr>
      <w:r w:rsidRPr="00D038EE">
        <w:rPr>
          <w:rFonts w:ascii="Times New Roman" w:hAnsi="Times New Roman"/>
          <w:sz w:val="24"/>
          <w:szCs w:val="24"/>
        </w:rPr>
        <w:t xml:space="preserve">“Spohn contends that he is entitled to the presumption in RCW 51.32.185(1)(a)(ii) because he provided evidence that he suffered shortness of breath, fatigue, and other symptoms with 72 hours of exposure to smoke, fumes, or toxic substances and within 24 hours of strenuous physical exertion due to firefighting activities. But experiencing symptoms that could reflect a heart condition is not sufficient to trigger the presumption in RCW 51.32.185(1)(a)(ii) without a doctor providing a medical opinion that those symptoms were caused by a heart condition. As our Supreme Court has recognized, testimony about symptoms is not a substitute for a doctor's testimony that the symptoms were evidence of a specific health condition. Gorre, 184 Wn.2d at 38. Medical testimony is required to connect the symptoms that Spohn experienced to a heart problem. Spohn has not provided any admissible medical evidence that the symptoms he experienced were related to a heart problem.” </w:t>
      </w:r>
      <w:hyperlink r:id="rId1125" w:history="1">
        <w:r w:rsidRPr="00EC5853">
          <w:rPr>
            <w:rStyle w:val="Hyperlink"/>
            <w:rFonts w:ascii="Times New Roman" w:hAnsi="Times New Roman"/>
            <w:sz w:val="24"/>
            <w:szCs w:val="24"/>
          </w:rPr>
          <w:t>https://law.justia.com/cases/washington/court-of-appeals-division-ii/2021/54914-0.html</w:t>
        </w:r>
      </w:hyperlink>
      <w:r>
        <w:rPr>
          <w:rFonts w:ascii="Times New Roman" w:hAnsi="Times New Roman"/>
          <w:sz w:val="24"/>
          <w:szCs w:val="24"/>
        </w:rPr>
        <w:t xml:space="preserve"> </w:t>
      </w:r>
    </w:p>
    <w:p w14:paraId="239E2266" w14:textId="77777777" w:rsidR="00B5724A" w:rsidRPr="000B3190" w:rsidRDefault="00B5724A" w:rsidP="00B5724A">
      <w:pPr>
        <w:pStyle w:val="Heading1"/>
        <w:rPr>
          <w:sz w:val="24"/>
          <w:szCs w:val="24"/>
        </w:rPr>
      </w:pPr>
      <w:r w:rsidRPr="000B3190">
        <w:rPr>
          <w:sz w:val="24"/>
          <w:szCs w:val="24"/>
        </w:rPr>
        <w:t>Legal Lesson Learned:  The for</w:t>
      </w:r>
      <w:r>
        <w:rPr>
          <w:sz w:val="24"/>
          <w:szCs w:val="24"/>
        </w:rPr>
        <w:t>mer</w:t>
      </w:r>
      <w:r w:rsidRPr="000B3190">
        <w:rPr>
          <w:sz w:val="24"/>
          <w:szCs w:val="24"/>
        </w:rPr>
        <w:t xml:space="preserve"> firefighter never provided medical testimony to support his claim. </w:t>
      </w:r>
    </w:p>
    <w:p w14:paraId="7E3A65AA" w14:textId="77777777" w:rsidR="00B5724A" w:rsidRDefault="00B5724A" w:rsidP="00EF1133">
      <w:pPr>
        <w:rPr>
          <w:rFonts w:ascii="Arial Black" w:hAnsi="Arial Black"/>
          <w:b/>
          <w:sz w:val="24"/>
          <w:szCs w:val="24"/>
        </w:rPr>
      </w:pPr>
    </w:p>
    <w:p w14:paraId="1394245F" w14:textId="77777777" w:rsidR="00B5724A" w:rsidRDefault="00B5724A" w:rsidP="00EF1133">
      <w:pPr>
        <w:rPr>
          <w:rFonts w:ascii="Arial Black" w:hAnsi="Arial Black"/>
          <w:b/>
          <w:sz w:val="24"/>
          <w:szCs w:val="24"/>
        </w:rPr>
      </w:pPr>
    </w:p>
    <w:p w14:paraId="74AE0AF9" w14:textId="1DD86925" w:rsidR="00D43015" w:rsidRDefault="00D43015"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1</w:t>
      </w:r>
    </w:p>
    <w:p w14:paraId="1EB675A9" w14:textId="77777777" w:rsidR="00D43015" w:rsidRPr="001C0F6C" w:rsidRDefault="00D43015" w:rsidP="00D43015">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WA: BLADDER CANCER – FF WINS WORKERS COMP. COVERAGE – STATUTORY PRESUMPTION ALL CANCERS</w:t>
      </w:r>
    </w:p>
    <w:p w14:paraId="58CC980E" w14:textId="77777777" w:rsidR="00D43015" w:rsidRDefault="00D43015" w:rsidP="00D43015">
      <w:pPr>
        <w:spacing w:before="100" w:beforeAutospacing="1" w:after="100" w:afterAutospacing="1" w:line="240" w:lineRule="auto"/>
        <w:rPr>
          <w:rFonts w:ascii="Times New Roman" w:hAnsi="Times New Roman"/>
          <w:sz w:val="24"/>
          <w:szCs w:val="24"/>
        </w:rPr>
      </w:pPr>
      <w:r w:rsidRPr="001C0F6C">
        <w:rPr>
          <w:rFonts w:ascii="Times New Roman" w:eastAsia="Times New Roman" w:hAnsi="Times New Roman"/>
          <w:sz w:val="24"/>
          <w:szCs w:val="24"/>
        </w:rPr>
        <w:t xml:space="preserve">On </w:t>
      </w:r>
      <w:r>
        <w:rPr>
          <w:rFonts w:ascii="Times New Roman" w:eastAsia="Times New Roman" w:hAnsi="Times New Roman"/>
          <w:sz w:val="24"/>
          <w:szCs w:val="24"/>
        </w:rPr>
        <w:t xml:space="preserve">Nov. 9, 2021, in </w:t>
      </w:r>
      <w:r w:rsidRPr="001C0F6C">
        <w:rPr>
          <w:rFonts w:ascii="Times New Roman" w:eastAsia="Times New Roman" w:hAnsi="Times New Roman"/>
          <w:sz w:val="24"/>
          <w:szCs w:val="24"/>
          <w:u w:val="single"/>
        </w:rPr>
        <w:t xml:space="preserve">Stephen T. Bradley v. City of Olympia and Department of Labor </w:t>
      </w:r>
      <w:proofErr w:type="gramStart"/>
      <w:r w:rsidRPr="001C0F6C">
        <w:rPr>
          <w:rFonts w:ascii="Times New Roman" w:eastAsia="Times New Roman" w:hAnsi="Times New Roman"/>
          <w:sz w:val="24"/>
          <w:szCs w:val="24"/>
          <w:u w:val="single"/>
        </w:rPr>
        <w:t>And</w:t>
      </w:r>
      <w:proofErr w:type="gramEnd"/>
      <w:r w:rsidRPr="001C0F6C">
        <w:rPr>
          <w:rFonts w:ascii="Times New Roman" w:eastAsia="Times New Roman" w:hAnsi="Times New Roman"/>
          <w:sz w:val="24"/>
          <w:szCs w:val="24"/>
          <w:u w:val="single"/>
        </w:rPr>
        <w:t xml:space="preserve"> Industries</w:t>
      </w:r>
      <w:r>
        <w:rPr>
          <w:rFonts w:ascii="Times New Roman" w:eastAsia="Times New Roman" w:hAnsi="Times New Roman"/>
          <w:sz w:val="24"/>
          <w:szCs w:val="24"/>
        </w:rPr>
        <w:t xml:space="preserve">, the Court of Appeals of Washington, Division 2, held (3 to 0) that a Superior Court judge properly determined that the firefighter was entitled to workers comp coverage under the state statute, </w:t>
      </w:r>
      <w:r w:rsidRPr="00B014FB">
        <w:rPr>
          <w:rFonts w:ascii="Times New Roman" w:hAnsi="Times New Roman"/>
          <w:sz w:val="24"/>
          <w:szCs w:val="24"/>
        </w:rPr>
        <w:t>RCW 51.32.185(1)(a)(iii).</w:t>
      </w:r>
      <w:r>
        <w:rPr>
          <w:rFonts w:ascii="Times New Roman" w:hAnsi="Times New Roman"/>
          <w:sz w:val="24"/>
          <w:szCs w:val="24"/>
        </w:rPr>
        <w:t xml:space="preserve">  The City argued that firefighting “in general” does not cause bladder cancer, but that is not sufficient to rebut the statutory presumption.  The statute covers all cancers. </w:t>
      </w:r>
    </w:p>
    <w:p w14:paraId="3BF22BC0" w14:textId="77777777" w:rsidR="00D43015" w:rsidRDefault="00D43015" w:rsidP="00D4301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B014FB">
        <w:rPr>
          <w:rFonts w:ascii="Times New Roman" w:hAnsi="Times New Roman"/>
          <w:sz w:val="24"/>
          <w:szCs w:val="24"/>
        </w:rPr>
        <w:t xml:space="preserve">(1)(a) In the case of firefighters as defined in RCW </w:t>
      </w:r>
      <w:hyperlink r:id="rId1126" w:history="1">
        <w:r w:rsidRPr="00B014FB">
          <w:rPr>
            <w:rStyle w:val="Hyperlink"/>
            <w:rFonts w:ascii="Times New Roman" w:hAnsi="Times New Roman"/>
            <w:sz w:val="24"/>
            <w:szCs w:val="24"/>
          </w:rPr>
          <w:t>41.26.030</w:t>
        </w:r>
      </w:hyperlink>
      <w:r w:rsidRPr="00B014FB">
        <w:rPr>
          <w:rFonts w:ascii="Times New Roman" w:hAnsi="Times New Roman"/>
          <w:sz w:val="24"/>
          <w:szCs w:val="24"/>
        </w:rPr>
        <w:t>(17) (a), (b), (c), and (h) who are covered under this title and firefighters, including supervisors, employed on a full-time, fully compensated basis as a firefighter of a private sector employer's fire department that includes over fifty such firefighters, and public employee fire investigators, there shall exist a prima facie presumption that: (</w:t>
      </w:r>
      <w:proofErr w:type="spellStart"/>
      <w:r w:rsidRPr="00B014FB">
        <w:rPr>
          <w:rFonts w:ascii="Times New Roman" w:hAnsi="Times New Roman"/>
          <w:sz w:val="24"/>
          <w:szCs w:val="24"/>
        </w:rPr>
        <w:t>i</w:t>
      </w:r>
      <w:proofErr w:type="spellEnd"/>
      <w:r w:rsidRPr="00B014FB">
        <w:rPr>
          <w:rFonts w:ascii="Times New Roman" w:hAnsi="Times New Roman"/>
          <w:sz w:val="24"/>
          <w:szCs w:val="24"/>
        </w:rPr>
        <w:t xml:space="preserve">) Respiratory disease; (ii) any heart problems, experienced within seventy-two hours of exposure to smoke, fumes, or toxic substances, or experienced within twenty-four hours of strenuous physical exertion due to firefighting activities; (iii) cancer; and (iv) infectious diseases are occupational diseases under RCW </w:t>
      </w:r>
      <w:hyperlink r:id="rId1127" w:history="1">
        <w:r w:rsidRPr="00B014FB">
          <w:rPr>
            <w:rStyle w:val="Hyperlink"/>
            <w:rFonts w:ascii="Times New Roman" w:hAnsi="Times New Roman"/>
            <w:sz w:val="24"/>
            <w:szCs w:val="24"/>
          </w:rPr>
          <w:t>51.08.140</w:t>
        </w:r>
      </w:hyperlink>
      <w:r w:rsidRPr="00B014FB">
        <w:rPr>
          <w:rFonts w:ascii="Times New Roman" w:hAnsi="Times New Roman"/>
          <w:sz w:val="24"/>
          <w:szCs w:val="24"/>
        </w:rPr>
        <w:t>.</w:t>
      </w:r>
      <w:r>
        <w:rPr>
          <w:rFonts w:ascii="Times New Roman" w:hAnsi="Times New Roman"/>
          <w:sz w:val="24"/>
          <w:szCs w:val="24"/>
        </w:rPr>
        <w:t xml:space="preserve">” </w:t>
      </w:r>
      <w:hyperlink r:id="rId1128" w:history="1">
        <w:r w:rsidRPr="00316766">
          <w:rPr>
            <w:rStyle w:val="Hyperlink"/>
            <w:rFonts w:ascii="Times New Roman" w:hAnsi="Times New Roman"/>
            <w:sz w:val="24"/>
            <w:szCs w:val="24"/>
          </w:rPr>
          <w:t>https://apps.leg.wa.gov/rcw/default.aspx?cite=51.32.185</w:t>
        </w:r>
      </w:hyperlink>
      <w:r>
        <w:rPr>
          <w:rFonts w:ascii="Times New Roman" w:hAnsi="Times New Roman"/>
          <w:sz w:val="24"/>
          <w:szCs w:val="24"/>
        </w:rPr>
        <w:t xml:space="preserve"> </w:t>
      </w:r>
    </w:p>
    <w:p w14:paraId="54853659" w14:textId="77777777" w:rsidR="00D43015" w:rsidRPr="00B014FB" w:rsidRDefault="00D43015" w:rsidP="00D43015">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The Court held:</w:t>
      </w:r>
    </w:p>
    <w:p w14:paraId="1582C6C2" w14:textId="77777777" w:rsidR="00D43015" w:rsidRDefault="00D43015" w:rsidP="00D43015">
      <w:pPr>
        <w:spacing w:before="100" w:beforeAutospacing="1" w:after="100" w:afterAutospacing="1" w:line="240" w:lineRule="auto"/>
        <w:ind w:left="720"/>
        <w:rPr>
          <w:rFonts w:ascii="Times New Roman" w:hAnsi="Times New Roman"/>
          <w:sz w:val="24"/>
          <w:szCs w:val="24"/>
        </w:rPr>
      </w:pPr>
      <w:r w:rsidRPr="008B2ECB">
        <w:rPr>
          <w:rFonts w:ascii="Times New Roman" w:hAnsi="Times New Roman"/>
          <w:sz w:val="24"/>
          <w:szCs w:val="24"/>
        </w:rPr>
        <w:t xml:space="preserve">“DLI denied Bradley's workers' compensation claim, and Bradley filed a petition for review with the Board of Industrial Insurance Appeals (Board). To rebut the RCW 51.32.185(1)(a) presumption, the </w:t>
      </w:r>
      <w:proofErr w:type="gramStart"/>
      <w:r w:rsidRPr="008B2ECB">
        <w:rPr>
          <w:rFonts w:ascii="Times New Roman" w:hAnsi="Times New Roman"/>
          <w:sz w:val="24"/>
          <w:szCs w:val="24"/>
        </w:rPr>
        <w:t>City</w:t>
      </w:r>
      <w:proofErr w:type="gramEnd"/>
      <w:r w:rsidRPr="008B2ECB">
        <w:rPr>
          <w:rFonts w:ascii="Times New Roman" w:hAnsi="Times New Roman"/>
          <w:sz w:val="24"/>
          <w:szCs w:val="24"/>
        </w:rPr>
        <w:t xml:space="preserve"> presented medical evidence that firefighting activities </w:t>
      </w:r>
      <w:r w:rsidRPr="008B2ECB">
        <w:rPr>
          <w:rStyle w:val="Emphasis"/>
          <w:rFonts w:ascii="Times New Roman" w:hAnsi="Times New Roman"/>
          <w:sz w:val="24"/>
          <w:szCs w:val="24"/>
        </w:rPr>
        <w:t>in general</w:t>
      </w:r>
      <w:r w:rsidRPr="008B2ECB">
        <w:rPr>
          <w:rFonts w:ascii="Times New Roman" w:hAnsi="Times New Roman"/>
          <w:sz w:val="24"/>
          <w:szCs w:val="24"/>
        </w:rPr>
        <w:t xml:space="preserve"> do not cause bladder cancer. The Board affirmed DLI's denial, finding that the </w:t>
      </w:r>
      <w:proofErr w:type="gramStart"/>
      <w:r w:rsidRPr="008B2ECB">
        <w:rPr>
          <w:rFonts w:ascii="Times New Roman" w:hAnsi="Times New Roman"/>
          <w:sz w:val="24"/>
          <w:szCs w:val="24"/>
        </w:rPr>
        <w:t>City</w:t>
      </w:r>
      <w:proofErr w:type="gramEnd"/>
      <w:r w:rsidRPr="008B2ECB">
        <w:rPr>
          <w:rFonts w:ascii="Times New Roman" w:hAnsi="Times New Roman"/>
          <w:sz w:val="24"/>
          <w:szCs w:val="24"/>
        </w:rPr>
        <w:t xml:space="preserve"> had rebutted the statutory presumption. On appeal, the superior court granted summary judgment in favor of Bradley on the grounds that the City's medical evidence could not rebut the RCW 51.32.185(1)(a) presumption.</w:t>
      </w:r>
    </w:p>
    <w:p w14:paraId="550FAC75" w14:textId="77777777" w:rsidR="00D43015" w:rsidRDefault="00D43015" w:rsidP="00D43015">
      <w:pPr>
        <w:spacing w:before="100" w:beforeAutospacing="1" w:after="100" w:afterAutospacing="1" w:line="240" w:lineRule="auto"/>
        <w:ind w:left="720"/>
        <w:rPr>
          <w:rFonts w:ascii="Times New Roman" w:hAnsi="Times New Roman"/>
          <w:sz w:val="24"/>
          <w:szCs w:val="24"/>
        </w:rPr>
      </w:pPr>
      <w:r w:rsidRPr="000C3B96">
        <w:rPr>
          <w:rFonts w:ascii="Times New Roman" w:hAnsi="Times New Roman"/>
          <w:sz w:val="24"/>
          <w:szCs w:val="24"/>
        </w:rPr>
        <w:t xml:space="preserve">We hold that an employer cannot rebut the presumption under RCW 51.32.185(1)(a) with evidence that firefighting activities </w:t>
      </w:r>
      <w:r w:rsidRPr="000C3B96">
        <w:rPr>
          <w:rStyle w:val="Emphasis"/>
          <w:rFonts w:ascii="Times New Roman" w:hAnsi="Times New Roman"/>
          <w:sz w:val="24"/>
          <w:szCs w:val="24"/>
        </w:rPr>
        <w:t>in general</w:t>
      </w:r>
      <w:r w:rsidRPr="000C3B96">
        <w:rPr>
          <w:rFonts w:ascii="Times New Roman" w:hAnsi="Times New Roman"/>
          <w:sz w:val="24"/>
          <w:szCs w:val="24"/>
        </w:rPr>
        <w:t xml:space="preserve"> do not cause bladder cancer. Instead, to avoid summary judgment an employer must present sufficient evidence that the individual claimant's bladder cancer was caused by nonoccupational factors. Here, summary judgment was appropriate because the City failed to present evidence that created a genuine issue of material fact as to whether nonoccupational factors caused Bradley's bladder cancer.</w:t>
      </w:r>
      <w:r>
        <w:rPr>
          <w:rFonts w:ascii="Times New Roman" w:hAnsi="Times New Roman"/>
          <w:sz w:val="24"/>
          <w:szCs w:val="24"/>
        </w:rPr>
        <w:t xml:space="preserve">” </w:t>
      </w:r>
      <w:hyperlink r:id="rId1129" w:history="1">
        <w:r w:rsidRPr="00316766">
          <w:rPr>
            <w:rStyle w:val="Hyperlink"/>
            <w:rFonts w:ascii="Times New Roman" w:hAnsi="Times New Roman"/>
            <w:sz w:val="24"/>
            <w:szCs w:val="24"/>
          </w:rPr>
          <w:t>https://casetext.com/case/bradley-v-city-of-olympia</w:t>
        </w:r>
      </w:hyperlink>
      <w:r>
        <w:rPr>
          <w:rFonts w:ascii="Times New Roman" w:hAnsi="Times New Roman"/>
          <w:sz w:val="24"/>
          <w:szCs w:val="24"/>
        </w:rPr>
        <w:t xml:space="preserve"> </w:t>
      </w:r>
    </w:p>
    <w:p w14:paraId="25394401" w14:textId="77777777" w:rsidR="00D43015" w:rsidRPr="00502D61" w:rsidRDefault="00D43015" w:rsidP="00D43015">
      <w:pPr>
        <w:spacing w:before="100" w:beforeAutospacing="1" w:after="100" w:afterAutospacing="1" w:line="240" w:lineRule="auto"/>
        <w:rPr>
          <w:rFonts w:ascii="Times New Roman" w:eastAsia="Times New Roman" w:hAnsi="Times New Roman"/>
          <w:b/>
          <w:bCs/>
          <w:sz w:val="24"/>
          <w:szCs w:val="24"/>
        </w:rPr>
      </w:pPr>
      <w:r w:rsidRPr="00502D61">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Great decision reflecting why a statutory presumption is extremely helpful in firefighter cancer claims. </w:t>
      </w:r>
    </w:p>
    <w:p w14:paraId="4C5C8FA0" w14:textId="77777777" w:rsidR="00D43015" w:rsidRDefault="00D43015" w:rsidP="00EF1133">
      <w:pPr>
        <w:rPr>
          <w:rFonts w:ascii="Arial Black" w:hAnsi="Arial Black"/>
          <w:b/>
          <w:sz w:val="24"/>
          <w:szCs w:val="24"/>
        </w:rPr>
      </w:pPr>
    </w:p>
    <w:p w14:paraId="0532651D" w14:textId="77777777" w:rsidR="00D43015" w:rsidRDefault="00D43015" w:rsidP="00EF1133">
      <w:pPr>
        <w:rPr>
          <w:rFonts w:ascii="Arial Black" w:hAnsi="Arial Black"/>
          <w:b/>
          <w:sz w:val="24"/>
          <w:szCs w:val="24"/>
        </w:rPr>
      </w:pPr>
    </w:p>
    <w:p w14:paraId="132C3C9F" w14:textId="1E9E7F85" w:rsidR="0082055F" w:rsidRDefault="0082055F"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0</w:t>
      </w:r>
    </w:p>
    <w:p w14:paraId="7F8105E0" w14:textId="77777777" w:rsidR="0082055F" w:rsidRDefault="0082055F" w:rsidP="0082055F">
      <w:pPr>
        <w:spacing w:before="100" w:beforeAutospacing="1" w:after="100" w:afterAutospacing="1" w:line="240" w:lineRule="auto"/>
        <w:rPr>
          <w:rFonts w:ascii="Arial Black" w:hAnsi="Arial Black"/>
          <w:sz w:val="28"/>
          <w:szCs w:val="28"/>
        </w:rPr>
      </w:pPr>
      <w:r>
        <w:rPr>
          <w:rFonts w:ascii="Arial Black" w:hAnsi="Arial Black"/>
          <w:sz w:val="28"/>
          <w:szCs w:val="28"/>
        </w:rPr>
        <w:t>RI: STATE PENSION BOARD – CAN’T RECOUP $129,000 OVERPAY 15 RETIRED FF – WAITED 6 YEARS INFORM THEM</w:t>
      </w:r>
    </w:p>
    <w:p w14:paraId="13CB6DE5" w14:textId="77777777" w:rsidR="0082055F" w:rsidRDefault="0082055F" w:rsidP="0082055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Oct. 25, 2021, in </w:t>
      </w:r>
      <w:r w:rsidRPr="009967FA">
        <w:rPr>
          <w:rFonts w:ascii="Times New Roman" w:hAnsi="Times New Roman"/>
          <w:sz w:val="24"/>
          <w:szCs w:val="24"/>
          <w:u w:val="single"/>
        </w:rPr>
        <w:t>Frank Andre, et al. v. Employee’s Retirement System of Ohio</w:t>
      </w:r>
      <w:r>
        <w:rPr>
          <w:rFonts w:ascii="Times New Roman" w:hAnsi="Times New Roman"/>
          <w:sz w:val="24"/>
          <w:szCs w:val="24"/>
        </w:rPr>
        <w:t xml:space="preserve">, the Judge Susan E. McGuirl, Superior Court of Rhode Island, Providence, held that while the North Providence Fire Department’s CBA provided that FF overtime pay be reported to State Pension Board as part of their regular wages, this </w:t>
      </w:r>
      <w:r>
        <w:rPr>
          <w:rFonts w:ascii="Times New Roman" w:hAnsi="Times New Roman"/>
          <w:sz w:val="24"/>
          <w:szCs w:val="24"/>
        </w:rPr>
        <w:lastRenderedPageBreak/>
        <w:t xml:space="preserve">violated state law and must be stopped, but the Board knew of the problem since 2011 and never informed retirees until 2017. </w:t>
      </w:r>
    </w:p>
    <w:p w14:paraId="7E43A60E" w14:textId="77777777" w:rsidR="0082055F" w:rsidRPr="009967FA" w:rsidRDefault="0082055F" w:rsidP="0082055F">
      <w:pPr>
        <w:spacing w:before="100" w:beforeAutospacing="1" w:after="100" w:afterAutospacing="1" w:line="240" w:lineRule="auto"/>
        <w:ind w:left="720"/>
        <w:rPr>
          <w:rFonts w:ascii="Times New Roman" w:eastAsia="Times New Roman" w:hAnsi="Times New Roman"/>
          <w:sz w:val="24"/>
          <w:szCs w:val="24"/>
        </w:rPr>
      </w:pPr>
      <w:r w:rsidRPr="000F1C37">
        <w:rPr>
          <w:rFonts w:ascii="Times New Roman" w:eastAsia="Times New Roman" w:hAnsi="Times New Roman"/>
          <w:sz w:val="24"/>
          <w:szCs w:val="24"/>
        </w:rPr>
        <w:t>“</w:t>
      </w:r>
      <w:r w:rsidRPr="00A71871">
        <w:rPr>
          <w:rFonts w:ascii="Times New Roman" w:eastAsia="Times New Roman" w:hAnsi="Times New Roman"/>
          <w:sz w:val="24"/>
          <w:szCs w:val="24"/>
        </w:rPr>
        <w:t>The record reflects that, in total, the fifteen Petitioners would be required to pay back $129, 286.64</w:t>
      </w:r>
      <w:r w:rsidRPr="000F1C37">
        <w:rPr>
          <w:rFonts w:ascii="Times New Roman" w:eastAsia="Times New Roman" w:hAnsi="Times New Roman"/>
          <w:sz w:val="24"/>
          <w:szCs w:val="24"/>
        </w:rPr>
        <w:t xml:space="preserve">. </w:t>
      </w:r>
      <w:r w:rsidRPr="000F1C37">
        <w:rPr>
          <w:rFonts w:ascii="Times New Roman" w:hAnsi="Times New Roman"/>
          <w:sz w:val="24"/>
          <w:szCs w:val="24"/>
        </w:rPr>
        <w:t>As discussed above, ERSRI had discovered the mistaken overpayment of benefits by early 2011, as evidenced when its internal legal counsel reached out to the Town for assistance in correcting the matter</w:t>
      </w:r>
      <w:r>
        <w:rPr>
          <w:rFonts w:ascii="Times New Roman" w:hAnsi="Times New Roman"/>
          <w:sz w:val="24"/>
          <w:szCs w:val="24"/>
        </w:rPr>
        <w:t xml:space="preserve">…. </w:t>
      </w:r>
      <w:r w:rsidRPr="000F1C37">
        <w:rPr>
          <w:rFonts w:ascii="Times New Roman" w:hAnsi="Times New Roman"/>
          <w:sz w:val="24"/>
          <w:szCs w:val="24"/>
        </w:rPr>
        <w:t>It was not until April and May 2017 that ERSRI informed Petitioners of the overpayments, their cessation, and the recoupment of the overpaid benefits</w:t>
      </w:r>
      <w:r>
        <w:rPr>
          <w:rFonts w:ascii="Times New Roman" w:hAnsi="Times New Roman"/>
          <w:sz w:val="24"/>
          <w:szCs w:val="24"/>
        </w:rPr>
        <w:t xml:space="preserve">… </w:t>
      </w:r>
      <w:r w:rsidRPr="000F1C37">
        <w:rPr>
          <w:rFonts w:ascii="Times New Roman" w:hAnsi="Times New Roman"/>
          <w:sz w:val="24"/>
          <w:szCs w:val="24"/>
        </w:rPr>
        <w:t xml:space="preserve"> In the interim, Petitioners </w:t>
      </w:r>
      <w:proofErr w:type="gramStart"/>
      <w:r w:rsidRPr="000F1C37">
        <w:rPr>
          <w:rFonts w:ascii="Times New Roman" w:hAnsi="Times New Roman"/>
          <w:sz w:val="24"/>
          <w:szCs w:val="24"/>
        </w:rPr>
        <w:t>had continued</w:t>
      </w:r>
      <w:proofErr w:type="gramEnd"/>
      <w:r w:rsidRPr="000F1C37">
        <w:rPr>
          <w:rFonts w:ascii="Times New Roman" w:hAnsi="Times New Roman"/>
          <w:sz w:val="24"/>
          <w:szCs w:val="24"/>
        </w:rPr>
        <w:t xml:space="preserve"> to receive those benefits.</w:t>
      </w:r>
      <w:r>
        <w:rPr>
          <w:rFonts w:ascii="Times New Roman" w:hAnsi="Times New Roman"/>
          <w:sz w:val="24"/>
          <w:szCs w:val="24"/>
        </w:rPr>
        <w:t xml:space="preserve"> *** </w:t>
      </w:r>
      <w:r w:rsidRPr="009967FA">
        <w:rPr>
          <w:rFonts w:ascii="Times New Roman" w:eastAsia="Times New Roman" w:hAnsi="Times New Roman"/>
          <w:sz w:val="24"/>
          <w:szCs w:val="24"/>
        </w:rPr>
        <w:t>While the above emails indicate that ERSRI was in sporadic contact with the Town regarding the need for recalculations, this Court is troubled by the lengthy and recurring gaps between those communications. ERSRI knew that with each pension check they drew, Petitioners received what it considered to be improper benefits. Accordingly, ERSRI needed to act with diligence and expedition to obtain the information required. This Court also notes the apparent lack of urgency with which ERSRI sought to notify Petitioners of the issue, as Petitioners could have been informed of the potential change to their pensions before the exact adjustments were determined.</w:t>
      </w:r>
      <w:r>
        <w:rPr>
          <w:rFonts w:ascii="Times New Roman" w:eastAsia="Times New Roman" w:hAnsi="Times New Roman"/>
          <w:sz w:val="24"/>
          <w:szCs w:val="24"/>
        </w:rPr>
        <w:t xml:space="preserve"> </w:t>
      </w:r>
      <w:r w:rsidRPr="00DF1C6F">
        <w:rPr>
          <w:rFonts w:ascii="Times New Roman" w:eastAsia="Times New Roman" w:hAnsi="Times New Roman"/>
          <w:sz w:val="24"/>
          <w:szCs w:val="24"/>
        </w:rPr>
        <w:t xml:space="preserve">*** </w:t>
      </w:r>
      <w:r w:rsidRPr="00DF1C6F">
        <w:rPr>
          <w:rFonts w:ascii="Times New Roman" w:hAnsi="Times New Roman"/>
          <w:sz w:val="24"/>
          <w:szCs w:val="24"/>
        </w:rPr>
        <w:t>In conclusion, while the Board's interpretation of § 36-8-1(8) as excluding longevity payments calculated with reference to overtime was not an error of law, the Board's decision to unilaterally recoup the overpaid benefits from Petitioners is barred by the doctrines of laches and equitable estoppel. Accordingly, Petitioners' appeal is sustained, and the decision of the Board is hereby reversed. Counsel shall submit the appropriate order for entry.</w:t>
      </w:r>
      <w:r>
        <w:t xml:space="preserve"> </w:t>
      </w:r>
      <w:hyperlink r:id="rId1130" w:history="1">
        <w:r w:rsidRPr="007148A2">
          <w:rPr>
            <w:rStyle w:val="Hyperlink"/>
            <w:sz w:val="24"/>
            <w:szCs w:val="24"/>
          </w:rPr>
          <w:t>https://public.fastcase.com/9SKwsfNqTc6OieYDhNMyM7K54qMUE6VagvA5ZeUquJVblXNtT5CMEmLb%2FOI9awGykkKYC2JU7RwfzsQEOAIcP6T5leBqhSKOtHvIUfiLV%2Fs%3D</w:t>
        </w:r>
      </w:hyperlink>
      <w:r>
        <w:rPr>
          <w:rFonts w:ascii="Times New Roman" w:eastAsia="Times New Roman" w:hAnsi="Times New Roman"/>
          <w:sz w:val="24"/>
          <w:szCs w:val="24"/>
        </w:rPr>
        <w:t xml:space="preserve"> </w:t>
      </w:r>
    </w:p>
    <w:p w14:paraId="3FC2E16A" w14:textId="77777777" w:rsidR="0082055F" w:rsidRPr="00DF1C6F" w:rsidRDefault="0082055F" w:rsidP="0082055F">
      <w:pPr>
        <w:spacing w:before="100" w:beforeAutospacing="1" w:after="100" w:afterAutospacing="1" w:line="240" w:lineRule="auto"/>
        <w:rPr>
          <w:rFonts w:ascii="Times New Roman" w:hAnsi="Times New Roman"/>
          <w:b/>
          <w:bCs/>
          <w:sz w:val="24"/>
          <w:szCs w:val="24"/>
        </w:rPr>
      </w:pPr>
      <w:r w:rsidRPr="00DF1C6F">
        <w:rPr>
          <w:rFonts w:ascii="Times New Roman" w:hAnsi="Times New Roman"/>
          <w:b/>
          <w:bCs/>
          <w:sz w:val="24"/>
          <w:szCs w:val="24"/>
        </w:rPr>
        <w:t>Legal Lesson Learned:</w:t>
      </w:r>
      <w:r>
        <w:rPr>
          <w:rFonts w:ascii="Times New Roman" w:hAnsi="Times New Roman"/>
          <w:b/>
          <w:bCs/>
          <w:sz w:val="24"/>
          <w:szCs w:val="24"/>
        </w:rPr>
        <w:t xml:space="preserve"> Nice to see decision that six-year delay by Pension Board protects retirees from forced payback.  State may appeal this decision. </w:t>
      </w:r>
    </w:p>
    <w:p w14:paraId="732ADF62" w14:textId="77777777" w:rsidR="0082055F" w:rsidRDefault="0082055F" w:rsidP="00EF1133">
      <w:pPr>
        <w:rPr>
          <w:rFonts w:ascii="Arial Black" w:hAnsi="Arial Black"/>
          <w:b/>
          <w:sz w:val="24"/>
          <w:szCs w:val="24"/>
        </w:rPr>
      </w:pPr>
    </w:p>
    <w:p w14:paraId="64DA7A95" w14:textId="10F4E3AA" w:rsidR="0082055F" w:rsidRDefault="0082055F"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79</w:t>
      </w:r>
    </w:p>
    <w:p w14:paraId="31C9F5E3" w14:textId="77777777" w:rsidR="0082055F" w:rsidRDefault="0082055F" w:rsidP="0082055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MT: VOLUNTEER FD IS OWNED BY TOWN – “BUDGET-STRAPPED” TOWN HAS RIGHT TO MANAGE FD BUDGET</w:t>
      </w:r>
    </w:p>
    <w:p w14:paraId="2BEAE154" w14:textId="77777777" w:rsidR="0082055F" w:rsidRPr="0073357D" w:rsidRDefault="0082055F" w:rsidP="0082055F">
      <w:pPr>
        <w:spacing w:before="100" w:beforeAutospacing="1" w:after="100" w:afterAutospacing="1" w:line="240" w:lineRule="auto"/>
        <w:rPr>
          <w:rFonts w:ascii="Times New Roman" w:eastAsia="Times New Roman" w:hAnsi="Times New Roman"/>
          <w:sz w:val="24"/>
          <w:szCs w:val="24"/>
        </w:rPr>
      </w:pPr>
      <w:r w:rsidRPr="00306BD3">
        <w:rPr>
          <w:rFonts w:ascii="Times New Roman" w:eastAsia="Times New Roman" w:hAnsi="Times New Roman"/>
          <w:sz w:val="24"/>
          <w:szCs w:val="24"/>
        </w:rPr>
        <w:t xml:space="preserve">On </w:t>
      </w:r>
      <w:r>
        <w:rPr>
          <w:rFonts w:ascii="Times New Roman" w:eastAsia="Times New Roman" w:hAnsi="Times New Roman"/>
          <w:sz w:val="24"/>
          <w:szCs w:val="24"/>
        </w:rPr>
        <w:t xml:space="preserve">Oct. 19, 2021, in </w:t>
      </w:r>
      <w:r w:rsidRPr="00306BD3">
        <w:rPr>
          <w:rFonts w:ascii="Times New Roman" w:eastAsia="Times New Roman" w:hAnsi="Times New Roman"/>
          <w:sz w:val="24"/>
          <w:szCs w:val="24"/>
          <w:u w:val="single"/>
        </w:rPr>
        <w:t>Town of Ekalaka v, Ekalaka Volunteer Fire Department, Inc</w:t>
      </w:r>
      <w:r>
        <w:rPr>
          <w:rFonts w:ascii="Times New Roman" w:eastAsia="Times New Roman" w:hAnsi="Times New Roman"/>
          <w:sz w:val="24"/>
          <w:szCs w:val="24"/>
        </w:rPr>
        <w:t>., the Supreme Court of Montana held (5 to 0) that District Court judge properly granted summary judgment to the Town. It’s all about the money: “[B]</w:t>
      </w:r>
      <w:proofErr w:type="spellStart"/>
      <w:r w:rsidRPr="0073357D">
        <w:rPr>
          <w:rFonts w:ascii="Times New Roman" w:hAnsi="Times New Roman"/>
          <w:sz w:val="24"/>
          <w:szCs w:val="24"/>
        </w:rPr>
        <w:t>eginning</w:t>
      </w:r>
      <w:proofErr w:type="spellEnd"/>
      <w:r w:rsidRPr="0073357D">
        <w:rPr>
          <w:rFonts w:ascii="Times New Roman" w:hAnsi="Times New Roman"/>
          <w:sz w:val="24"/>
          <w:szCs w:val="24"/>
        </w:rPr>
        <w:t xml:space="preserve"> around 2014, the contract money in the Department’s separate coffers began to swell and outmatch that coming from Town and community funds. The Department now contends that the budget-strapped Town is trying to seize the assets of a private association</w:t>
      </w:r>
      <w:r>
        <w:rPr>
          <w:rFonts w:ascii="Times New Roman" w:hAnsi="Times New Roman"/>
          <w:sz w:val="24"/>
          <w:szCs w:val="24"/>
        </w:rPr>
        <w:t xml:space="preserve">.” </w:t>
      </w:r>
    </w:p>
    <w:p w14:paraId="6CD32183" w14:textId="77777777" w:rsidR="0082055F" w:rsidRPr="008147C2" w:rsidRDefault="0082055F" w:rsidP="0082055F">
      <w:pPr>
        <w:spacing w:before="100" w:beforeAutospacing="1" w:after="100" w:afterAutospacing="1" w:line="240" w:lineRule="auto"/>
        <w:ind w:left="720"/>
        <w:rPr>
          <w:rFonts w:ascii="Times New Roman" w:eastAsia="Times New Roman" w:hAnsi="Times New Roman"/>
          <w:sz w:val="24"/>
          <w:szCs w:val="24"/>
        </w:rPr>
      </w:pPr>
      <w:r w:rsidRPr="008147C2">
        <w:rPr>
          <w:rFonts w:ascii="Times New Roman" w:eastAsia="Times New Roman" w:hAnsi="Times New Roman"/>
          <w:sz w:val="24"/>
          <w:szCs w:val="24"/>
        </w:rPr>
        <w:t>“</w:t>
      </w:r>
      <w:r w:rsidRPr="008147C2">
        <w:rPr>
          <w:rFonts w:ascii="Times New Roman" w:hAnsi="Times New Roman"/>
          <w:sz w:val="24"/>
          <w:szCs w:val="24"/>
        </w:rPr>
        <w:t xml:space="preserve">The Town acknowledges its technically improper department oversight, but it also cites ways in which its management of the department has conformed to what </w:t>
      </w:r>
      <w:r w:rsidRPr="008147C2">
        <w:rPr>
          <w:rStyle w:val="Emphasis"/>
          <w:rFonts w:ascii="Times New Roman" w:hAnsi="Times New Roman"/>
          <w:sz w:val="24"/>
          <w:szCs w:val="24"/>
        </w:rPr>
        <w:t>only</w:t>
      </w:r>
      <w:r w:rsidRPr="008147C2">
        <w:rPr>
          <w:rFonts w:ascii="Times New Roman" w:hAnsi="Times New Roman"/>
          <w:sz w:val="24"/>
          <w:szCs w:val="24"/>
        </w:rPr>
        <w:t xml:space="preserve"> municipalities can do. For example, the town provides workers compensation insurance through the Montana Municipal Interlocal Authority, which is exclusive to municipal departments. The Town has also maintained property and liability insurance on the Department's vehicles and equipment.</w:t>
      </w:r>
    </w:p>
    <w:p w14:paraId="7AB9A229" w14:textId="77777777" w:rsidR="0082055F" w:rsidRDefault="0082055F" w:rsidP="0082055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E8EFD99" w14:textId="77777777" w:rsidR="0082055F" w:rsidRDefault="0082055F" w:rsidP="0082055F">
      <w:pPr>
        <w:spacing w:before="100" w:beforeAutospacing="1" w:after="100" w:afterAutospacing="1" w:line="240" w:lineRule="auto"/>
        <w:ind w:left="720"/>
        <w:rPr>
          <w:rFonts w:ascii="Times New Roman" w:eastAsia="Times New Roman" w:hAnsi="Times New Roman"/>
          <w:sz w:val="24"/>
          <w:szCs w:val="24"/>
        </w:rPr>
      </w:pPr>
      <w:proofErr w:type="gramStart"/>
      <w:r w:rsidRPr="00306BD3">
        <w:rPr>
          <w:rFonts w:ascii="Times New Roman" w:eastAsia="Times New Roman" w:hAnsi="Times New Roman"/>
          <w:sz w:val="24"/>
          <w:szCs w:val="24"/>
        </w:rPr>
        <w:t>At most, what</w:t>
      </w:r>
      <w:proofErr w:type="gramEnd"/>
      <w:r w:rsidRPr="00306BD3">
        <w:rPr>
          <w:rFonts w:ascii="Times New Roman" w:eastAsia="Times New Roman" w:hAnsi="Times New Roman"/>
          <w:sz w:val="24"/>
          <w:szCs w:val="24"/>
        </w:rPr>
        <w:t xml:space="preserve"> much of this evidence proves is that Ekalaka's volunteer fire department acted with an amount of delegated independence over the decades that the Town does not contest, and perhaps that some individual volunteers misperceived or lacked the language to correctly describe its municipal </w:t>
      </w:r>
      <w:r w:rsidRPr="00306BD3">
        <w:rPr>
          <w:rFonts w:ascii="Times New Roman" w:eastAsia="Times New Roman" w:hAnsi="Times New Roman"/>
          <w:sz w:val="24"/>
          <w:szCs w:val="24"/>
        </w:rPr>
        <w:lastRenderedPageBreak/>
        <w:t xml:space="preserve">ownership. It is not unusual for two parts of a Town's government to interact with each other in ways that require arms-length language, nor is it odd for a fire department to thank its town government for support. Additionally, every piece of evidence the Department presents must be weighed against contrary evidence from the Town, including the perceptions and actions of former Department leaders; the Town's establishment of a relief association under state laws on municipalities; the impressions of third parties like the vehicle donors; mutual aid agreements that exist between </w:t>
      </w:r>
      <w:r w:rsidRPr="00306BD3">
        <w:rPr>
          <w:rFonts w:ascii="Times New Roman" w:eastAsia="Times New Roman" w:hAnsi="Times New Roman"/>
          <w:i/>
          <w:iCs/>
          <w:sz w:val="24"/>
          <w:szCs w:val="24"/>
        </w:rPr>
        <w:t>the Town</w:t>
      </w:r>
      <w:r w:rsidRPr="00306BD3">
        <w:rPr>
          <w:rFonts w:ascii="Times New Roman" w:eastAsia="Times New Roman" w:hAnsi="Times New Roman"/>
          <w:sz w:val="24"/>
          <w:szCs w:val="24"/>
        </w:rPr>
        <w:t xml:space="preserve"> and Carter County, even if arranged or signed by the fire chief; and municipal fire department reports the Town has sent to the Montana State Auditor. </w:t>
      </w:r>
    </w:p>
    <w:p w14:paraId="0EA3B66B" w14:textId="77777777" w:rsidR="0082055F" w:rsidRDefault="0082055F" w:rsidP="0082055F">
      <w:pPr>
        <w:spacing w:before="100" w:beforeAutospacing="1" w:after="100" w:afterAutospacing="1" w:line="240" w:lineRule="auto"/>
        <w:ind w:left="720"/>
        <w:rPr>
          <w:rFonts w:ascii="Times New Roman" w:hAnsi="Times New Roman"/>
          <w:sz w:val="24"/>
          <w:szCs w:val="24"/>
        </w:rPr>
      </w:pPr>
      <w:r w:rsidRPr="00306BD3">
        <w:rPr>
          <w:rFonts w:ascii="Times New Roman" w:hAnsi="Times New Roman"/>
          <w:sz w:val="24"/>
          <w:szCs w:val="24"/>
        </w:rPr>
        <w:t xml:space="preserve">The documentary evidence from the parties overwhelmingly weighs toward declaratory judgment affirming the duly established municipal department. The evidence that the Department claims </w:t>
      </w:r>
      <w:proofErr w:type="gramStart"/>
      <w:r w:rsidRPr="00306BD3">
        <w:rPr>
          <w:rFonts w:ascii="Times New Roman" w:hAnsi="Times New Roman"/>
          <w:sz w:val="24"/>
          <w:szCs w:val="24"/>
        </w:rPr>
        <w:t>exemplifies</w:t>
      </w:r>
      <w:proofErr w:type="gramEnd"/>
      <w:r w:rsidRPr="00306BD3">
        <w:rPr>
          <w:rFonts w:ascii="Times New Roman" w:hAnsi="Times New Roman"/>
          <w:sz w:val="24"/>
          <w:szCs w:val="24"/>
        </w:rPr>
        <w:t xml:space="preserve"> its practical legal sovereignty is equivocal at best, and the Department cites no legal authority for the notion that individual beliefs or vocabulary can excise an agency from town government. As the District Court noted, the Town's extensive financial and managerial delegation to the Department may be ill-advised and </w:t>
      </w:r>
      <w:proofErr w:type="gramStart"/>
      <w:r w:rsidRPr="00306BD3">
        <w:rPr>
          <w:rFonts w:ascii="Times New Roman" w:hAnsi="Times New Roman"/>
          <w:sz w:val="24"/>
          <w:szCs w:val="24"/>
        </w:rPr>
        <w:t>may be</w:t>
      </w:r>
      <w:proofErr w:type="gramEnd"/>
      <w:r w:rsidRPr="00306BD3">
        <w:rPr>
          <w:rFonts w:ascii="Times New Roman" w:hAnsi="Times New Roman"/>
          <w:sz w:val="24"/>
          <w:szCs w:val="24"/>
        </w:rPr>
        <w:t xml:space="preserve"> worth reconsidering</w:t>
      </w:r>
      <w:proofErr w:type="gramStart"/>
      <w:r w:rsidRPr="00306BD3">
        <w:rPr>
          <w:rFonts w:ascii="Times New Roman" w:hAnsi="Times New Roman"/>
          <w:sz w:val="24"/>
          <w:szCs w:val="24"/>
        </w:rPr>
        <w:t>-this</w:t>
      </w:r>
      <w:proofErr w:type="gramEnd"/>
      <w:r w:rsidRPr="00306BD3">
        <w:rPr>
          <w:rFonts w:ascii="Times New Roman" w:hAnsi="Times New Roman"/>
          <w:sz w:val="24"/>
          <w:szCs w:val="24"/>
        </w:rPr>
        <w:t xml:space="preserve"> controversy is proof enough of the pitfalls. But a small municipality's somewhat casual oversight of its volunteer fire department does not give that department a license to declare itself divested.</w:t>
      </w:r>
      <w:r>
        <w:rPr>
          <w:rFonts w:ascii="Times New Roman" w:hAnsi="Times New Roman"/>
          <w:sz w:val="24"/>
          <w:szCs w:val="24"/>
        </w:rPr>
        <w:t xml:space="preserve">” </w:t>
      </w:r>
      <w:hyperlink r:id="rId1131" w:history="1">
        <w:r w:rsidRPr="00764F47">
          <w:rPr>
            <w:rStyle w:val="Hyperlink"/>
            <w:sz w:val="24"/>
            <w:szCs w:val="24"/>
          </w:rPr>
          <w:t>https://cases.justia.com/montana/supreme-court/2021-da-20-0594.pdf?ts=1634679339</w:t>
        </w:r>
      </w:hyperlink>
      <w:r>
        <w:rPr>
          <w:rFonts w:ascii="Times New Roman" w:hAnsi="Times New Roman"/>
          <w:sz w:val="24"/>
          <w:szCs w:val="24"/>
        </w:rPr>
        <w:t xml:space="preserve"> </w:t>
      </w:r>
    </w:p>
    <w:p w14:paraId="65B61863" w14:textId="77777777" w:rsidR="0082055F" w:rsidRPr="00A7736E" w:rsidRDefault="0082055F" w:rsidP="0082055F">
      <w:pPr>
        <w:spacing w:before="100" w:beforeAutospacing="1" w:after="100" w:afterAutospacing="1" w:line="240" w:lineRule="auto"/>
        <w:rPr>
          <w:rFonts w:ascii="Times New Roman" w:eastAsia="Times New Roman" w:hAnsi="Times New Roman"/>
          <w:b/>
          <w:bCs/>
          <w:sz w:val="24"/>
          <w:szCs w:val="24"/>
        </w:rPr>
      </w:pPr>
      <w:r w:rsidRPr="008147C2">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Volunteer fire departments should have a clear understanding </w:t>
      </w:r>
      <w:proofErr w:type="gramStart"/>
      <w:r>
        <w:rPr>
          <w:rFonts w:ascii="Times New Roman" w:eastAsia="Times New Roman" w:hAnsi="Times New Roman"/>
          <w:b/>
          <w:bCs/>
          <w:sz w:val="24"/>
          <w:szCs w:val="24"/>
        </w:rPr>
        <w:t>on</w:t>
      </w:r>
      <w:proofErr w:type="gramEnd"/>
      <w:r>
        <w:rPr>
          <w:rFonts w:ascii="Times New Roman" w:eastAsia="Times New Roman" w:hAnsi="Times New Roman"/>
          <w:b/>
          <w:bCs/>
          <w:sz w:val="24"/>
          <w:szCs w:val="24"/>
        </w:rPr>
        <w:t xml:space="preserve"> the legal status of that department. </w:t>
      </w:r>
    </w:p>
    <w:p w14:paraId="0CBB6666" w14:textId="77777777" w:rsidR="0082055F" w:rsidRDefault="0082055F" w:rsidP="00EF1133">
      <w:pPr>
        <w:rPr>
          <w:rFonts w:ascii="Arial Black" w:hAnsi="Arial Black"/>
          <w:b/>
          <w:sz w:val="24"/>
          <w:szCs w:val="24"/>
        </w:rPr>
      </w:pPr>
    </w:p>
    <w:p w14:paraId="1CC71435" w14:textId="4F2AD901" w:rsidR="00BD1702" w:rsidRDefault="00BD1702"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8</w:t>
      </w:r>
    </w:p>
    <w:p w14:paraId="3F3A9334" w14:textId="77777777" w:rsidR="00BD1702" w:rsidRDefault="00BD1702" w:rsidP="00BD1702">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OH: CLEVELAND LOCAL 93 – PUBLIC RECORDS - CHIEF’S E-MAILS - FOUR DOC. WERE NOT “ATTY-CLIENT PRIVILEGED” </w:t>
      </w:r>
    </w:p>
    <w:p w14:paraId="452DFC25" w14:textId="77777777" w:rsidR="00BD1702" w:rsidRDefault="00BD1702" w:rsidP="00BD1702">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Oct. 7, 2021, in </w:t>
      </w:r>
      <w:r>
        <w:rPr>
          <w:rFonts w:ascii="Times New Roman" w:eastAsia="Times New Roman" w:hAnsi="Times New Roman"/>
          <w:sz w:val="24"/>
          <w:szCs w:val="24"/>
          <w:u w:val="single"/>
        </w:rPr>
        <w:t>Association of Cleveland Fire Fighters IAFF Local 93 v. City of Cleveland, Department of Law</w:t>
      </w:r>
      <w:r>
        <w:rPr>
          <w:rFonts w:ascii="Times New Roman" w:eastAsia="Times New Roman" w:hAnsi="Times New Roman"/>
          <w:sz w:val="24"/>
          <w:szCs w:val="24"/>
        </w:rPr>
        <w:t xml:space="preserve">, </w:t>
      </w:r>
      <w:r>
        <w:rPr>
          <w:rStyle w:val="font-weight-bold"/>
          <w:rFonts w:ascii="Times New Roman" w:hAnsi="Times New Roman"/>
        </w:rPr>
        <w:t xml:space="preserve">2021 Ohio 3602 (Ohio App. 2021), </w:t>
      </w:r>
      <w:r>
        <w:rPr>
          <w:rFonts w:ascii="Times New Roman" w:eastAsia="Times New Roman" w:hAnsi="Times New Roman"/>
          <w:sz w:val="24"/>
          <w:szCs w:val="24"/>
        </w:rPr>
        <w:t>the Court of Appeals of Ohio, 8</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District, Cuyahoga County, held (3 to 0) that the four e-mails marked “Attorney-Client Privileged” </w:t>
      </w:r>
      <w:r>
        <w:rPr>
          <w:rFonts w:ascii="Times New Roman" w:hAnsi="Times New Roman"/>
          <w:sz w:val="24"/>
          <w:szCs w:val="24"/>
        </w:rPr>
        <w:t xml:space="preserve">relative to an early morning fire that had occurred in the city on January 26, 2020 were in fact, after in camera review, not privileged. The Ohio Court of Claims granted </w:t>
      </w:r>
      <w:r>
        <w:rPr>
          <w:rFonts w:ascii="Times New Roman" w:eastAsia="Times New Roman" w:hAnsi="Times New Roman"/>
          <w:sz w:val="24"/>
          <w:szCs w:val="24"/>
        </w:rPr>
        <w:t xml:space="preserve">Local 93’s </w:t>
      </w:r>
      <w:r>
        <w:rPr>
          <w:rFonts w:ascii="Times New Roman" w:hAnsi="Times New Roman"/>
          <w:sz w:val="24"/>
          <w:szCs w:val="24"/>
        </w:rPr>
        <w:t xml:space="preserve">public-records request for emails that city of Cleveland Fire Chief Angelo Calvillo (‘Chief Calvillo’ or ‘the Chief’) sent, received, and was copied on from January 26, 2020, through February 5, 2020, including four marked “Attorney-Client Privileged.” </w:t>
      </w:r>
    </w:p>
    <w:p w14:paraId="102EF182"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“Upon review, the first three subject emails did not fall squarely within the attorney-client privilege. They did not seek any kind of legal advice. For example, the one email naming Menzalora as the primary recipient related to a scheduling matter.</w:t>
      </w:r>
    </w:p>
    <w:p w14:paraId="73F3C870"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w:t>
      </w:r>
    </w:p>
    <w:p w14:paraId="6A5D6413"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 xml:space="preserve">The fourth email that was from Chief Calvillo to the Assistant Chief, Division of Fire, is the trickiest. Although Menzalora was copied on the email, the greeting of the email was solely to the Assistant Chief, and the body asked only for the Assistant Chiefs review of a document…. Further, the header in the subject line of the </w:t>
      </w:r>
      <w:proofErr w:type="gramStart"/>
      <w:r>
        <w:rPr>
          <w:rFonts w:ascii="Times New Roman" w:hAnsi="Times New Roman"/>
          <w:sz w:val="24"/>
          <w:szCs w:val="24"/>
        </w:rPr>
        <w:t>emails</w:t>
      </w:r>
      <w:proofErr w:type="gramEnd"/>
      <w:r>
        <w:rPr>
          <w:rFonts w:ascii="Times New Roman" w:hAnsi="Times New Roman"/>
          <w:sz w:val="24"/>
          <w:szCs w:val="24"/>
        </w:rPr>
        <w:t xml:space="preserve"> that they were ‘Attorney-Client </w:t>
      </w:r>
      <w:proofErr w:type="gramStart"/>
      <w:r>
        <w:rPr>
          <w:rFonts w:ascii="Times New Roman" w:hAnsi="Times New Roman"/>
          <w:sz w:val="24"/>
          <w:szCs w:val="24"/>
        </w:rPr>
        <w:t>privilege’</w:t>
      </w:r>
      <w:proofErr w:type="gramEnd"/>
      <w:r>
        <w:rPr>
          <w:rFonts w:ascii="Times New Roman" w:hAnsi="Times New Roman"/>
          <w:sz w:val="24"/>
          <w:szCs w:val="24"/>
        </w:rPr>
        <w:t xml:space="preserve"> do not make them so. The content of the emails </w:t>
      </w:r>
      <w:proofErr w:type="gramStart"/>
      <w:r>
        <w:rPr>
          <w:rFonts w:ascii="Times New Roman" w:hAnsi="Times New Roman"/>
          <w:sz w:val="24"/>
          <w:szCs w:val="24"/>
        </w:rPr>
        <w:t>has to</w:t>
      </w:r>
      <w:proofErr w:type="gramEnd"/>
      <w:r>
        <w:rPr>
          <w:rFonts w:ascii="Times New Roman" w:hAnsi="Times New Roman"/>
          <w:sz w:val="24"/>
          <w:szCs w:val="24"/>
        </w:rPr>
        <w:t xml:space="preserve"> involve attorney-client-privileged information, and our de novo review shows that they did not contain privileged information.</w:t>
      </w:r>
    </w:p>
    <w:p w14:paraId="1BD5229E"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w:t>
      </w:r>
    </w:p>
    <w:p w14:paraId="5A9DC896"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lastRenderedPageBreak/>
        <w:t xml:space="preserve">Upon review, we decline to award attorney fees to Local 93. The record does not demonstrate that the city ‘obviously filed the appeal with the intent to either delay compliance with the Court of Claims' order from which the appeal is taken for no reasonable cause or [to] unduly harass’ Local 93.” </w:t>
      </w:r>
      <w:hyperlink r:id="rId1132" w:history="1">
        <w:r>
          <w:rPr>
            <w:rStyle w:val="Hyperlink"/>
            <w:sz w:val="24"/>
            <w:szCs w:val="24"/>
          </w:rPr>
          <w:t>https://www.leagle.com/decision/inohco20211007389</w:t>
        </w:r>
      </w:hyperlink>
    </w:p>
    <w:p w14:paraId="1A43F41A" w14:textId="77777777" w:rsidR="00BD1702" w:rsidRDefault="00BD1702" w:rsidP="00BD1702">
      <w:pPr>
        <w:tabs>
          <w:tab w:val="left" w:pos="2760"/>
        </w:tabs>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burden is on the City to prove the documents meet the Attorney-Client Privilege.  Judges [or in Ohio, Special Masters with Ohio Court of Claims] will normally conduct an </w:t>
      </w:r>
      <w:proofErr w:type="gramStart"/>
      <w:r>
        <w:rPr>
          <w:rFonts w:ascii="Times New Roman" w:hAnsi="Times New Roman"/>
          <w:b/>
          <w:bCs/>
          <w:sz w:val="24"/>
          <w:szCs w:val="24"/>
        </w:rPr>
        <w:t>in camera</w:t>
      </w:r>
      <w:proofErr w:type="gramEnd"/>
      <w:r>
        <w:rPr>
          <w:rFonts w:ascii="Times New Roman" w:hAnsi="Times New Roman"/>
          <w:b/>
          <w:bCs/>
          <w:sz w:val="24"/>
          <w:szCs w:val="24"/>
        </w:rPr>
        <w:t xml:space="preserve"> review of the documents claimed to be </w:t>
      </w:r>
      <w:proofErr w:type="gramStart"/>
      <w:r>
        <w:rPr>
          <w:rFonts w:ascii="Times New Roman" w:hAnsi="Times New Roman"/>
          <w:b/>
          <w:bCs/>
          <w:sz w:val="24"/>
          <w:szCs w:val="24"/>
        </w:rPr>
        <w:t>privileged, and</w:t>
      </w:r>
      <w:proofErr w:type="gramEnd"/>
      <w:r>
        <w:rPr>
          <w:rFonts w:ascii="Times New Roman" w:hAnsi="Times New Roman"/>
          <w:b/>
          <w:bCs/>
          <w:sz w:val="24"/>
          <w:szCs w:val="24"/>
        </w:rPr>
        <w:t xml:space="preserve"> then seal the documents for review by Court of Appeals. </w:t>
      </w:r>
    </w:p>
    <w:p w14:paraId="2929F529" w14:textId="77777777" w:rsidR="00BD1702" w:rsidRDefault="00BD1702" w:rsidP="00EF1133">
      <w:pPr>
        <w:rPr>
          <w:rFonts w:ascii="Arial Black" w:hAnsi="Arial Black"/>
          <w:b/>
          <w:sz w:val="24"/>
          <w:szCs w:val="24"/>
        </w:rPr>
      </w:pPr>
    </w:p>
    <w:p w14:paraId="009FF946" w14:textId="77777777" w:rsidR="00BD1702" w:rsidRDefault="00BD1702" w:rsidP="00EF1133">
      <w:pPr>
        <w:rPr>
          <w:rFonts w:ascii="Arial Black" w:hAnsi="Arial Black"/>
          <w:b/>
          <w:sz w:val="24"/>
          <w:szCs w:val="24"/>
        </w:rPr>
      </w:pPr>
    </w:p>
    <w:p w14:paraId="64B5056D" w14:textId="35982584" w:rsidR="00BD263B" w:rsidRDefault="00BD263B"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7</w:t>
      </w:r>
    </w:p>
    <w:p w14:paraId="5DF128AA" w14:textId="77777777" w:rsidR="00BD263B" w:rsidRDefault="00BD263B" w:rsidP="00BD263B">
      <w:pPr>
        <w:pStyle w:val="articleparagraph"/>
        <w:rPr>
          <w:rFonts w:ascii="Arial Black" w:hAnsi="Arial Black"/>
          <w:sz w:val="28"/>
          <w:szCs w:val="28"/>
        </w:rPr>
      </w:pPr>
      <w:bookmarkStart w:id="230" w:name="_Hlk81842050"/>
      <w:r>
        <w:rPr>
          <w:rFonts w:ascii="Arial Black" w:hAnsi="Arial Black"/>
          <w:sz w:val="28"/>
          <w:szCs w:val="28"/>
        </w:rPr>
        <w:t>OH:  BATTALION CHIEF’s 1</w:t>
      </w:r>
      <w:r w:rsidRPr="00CF76A9">
        <w:rPr>
          <w:rFonts w:ascii="Arial Black" w:hAnsi="Arial Black"/>
          <w:sz w:val="28"/>
          <w:szCs w:val="28"/>
          <w:vertAlign w:val="superscript"/>
        </w:rPr>
        <w:t>st</w:t>
      </w:r>
      <w:r>
        <w:rPr>
          <w:rFonts w:ascii="Arial Black" w:hAnsi="Arial Black"/>
          <w:sz w:val="28"/>
          <w:szCs w:val="28"/>
        </w:rPr>
        <w:t xml:space="preserve"> AMENDMENT RIGHTS - NEW CHIEF LACKED EMS CE HOURS – LAWSUIT PROCEED</w:t>
      </w:r>
    </w:p>
    <w:bookmarkEnd w:id="230"/>
    <w:p w14:paraId="07B1D9F4" w14:textId="77777777" w:rsidR="00BD263B" w:rsidRDefault="00BD263B" w:rsidP="00BD263B">
      <w:pPr>
        <w:pStyle w:val="articleparagraph"/>
      </w:pPr>
      <w:r>
        <w:t xml:space="preserve">On Sept. 1, 2021, in </w:t>
      </w:r>
      <w:r w:rsidRPr="00F10437">
        <w:rPr>
          <w:u w:val="single"/>
        </w:rPr>
        <w:t>Sean DeCrane v. Edward Eckart, in his official and individual capacities; City of Cleveland</w:t>
      </w:r>
      <w:r>
        <w:t>, the U.S. Court of Appeals for the 6</w:t>
      </w:r>
      <w:r w:rsidRPr="00F10437">
        <w:rPr>
          <w:vertAlign w:val="superscript"/>
        </w:rPr>
        <w:t>th</w:t>
      </w:r>
      <w:r>
        <w:t xml:space="preserve"> Circuit (Cincinnati) held (3 to 0) that a retired Cleveland Battalion Chief’s lawsuit may proceed against the City and the Assistant Safety Director for retaliation, and trial court correctly denied the Safety Director’s motion for summary judgment since he does not enjoy qualified immunity.   The Battalion Chief was a candidate for Fire Chief, and when not selected, he warned the city that the new Fire Chief [</w:t>
      </w:r>
      <w:r w:rsidRPr="0046342A">
        <w:rPr>
          <w:rStyle w:val="markedcontent"/>
        </w:rPr>
        <w:t>Daryl McGinnis</w:t>
      </w:r>
      <w:r>
        <w:rPr>
          <w:rStyle w:val="markedcontent"/>
        </w:rPr>
        <w:t>, who later was suspended and then retired]</w:t>
      </w:r>
      <w:r w:rsidRPr="0046342A">
        <w:rPr>
          <w:rStyle w:val="markedcontent"/>
        </w:rPr>
        <w:t xml:space="preserve">, </w:t>
      </w:r>
      <w:r>
        <w:t xml:space="preserve">lacked continuing education hours for his EMT certificate.  Someone in the Training Division [not DeCrane] then leaked to the Press about the new Fire Chief’s lack of CE hours, and Sean DeCrane claims retaliation started against him. </w:t>
      </w:r>
    </w:p>
    <w:p w14:paraId="4D031119" w14:textId="77777777" w:rsidR="00BD263B" w:rsidRPr="0046342A" w:rsidRDefault="00BD263B" w:rsidP="00BD263B">
      <w:pPr>
        <w:pStyle w:val="articleparagraph"/>
        <w:ind w:left="720"/>
      </w:pPr>
      <w:r>
        <w:rPr>
          <w:rStyle w:val="markedcontent"/>
        </w:rPr>
        <w:t>“</w:t>
      </w:r>
      <w:r w:rsidRPr="0046342A">
        <w:rPr>
          <w:rStyle w:val="markedcontent"/>
        </w:rPr>
        <w:t xml:space="preserve">Someone in the City of Cleveland’s fire department leaked embarrassing information to the media about its chief’s insufficient training hours. Sean DeCrane, the director of the Fire Training Academy, was not that person. But, according to DeCrane, Edward Eckart thought he was. DeCrane alleges that Eckart facilitated several harmful personnel actions against him because of this mistaken </w:t>
      </w:r>
      <w:proofErr w:type="gramStart"/>
      <w:r w:rsidRPr="0046342A">
        <w:rPr>
          <w:rStyle w:val="markedcontent"/>
        </w:rPr>
        <w:t>belief—all</w:t>
      </w:r>
      <w:proofErr w:type="gramEnd"/>
      <w:r w:rsidRPr="0046342A">
        <w:rPr>
          <w:rStyle w:val="markedcontent"/>
        </w:rPr>
        <w:t xml:space="preserve"> in violation of the First Amendment. Eckart’s response? He argues that the First Amendment does not protect speech made as part of an employee’s government job, see Garcetti v. Ceballos, 547 U.S. 410, </w:t>
      </w:r>
      <w:r w:rsidRPr="0046342A">
        <w:br/>
      </w:r>
      <w:r w:rsidRPr="0046342A">
        <w:rPr>
          <w:rStyle w:val="markedcontent"/>
        </w:rPr>
        <w:t>421–22 (2006), and that DeCrane would have leaked the information pursuant to his job duties as the training director. The district court denied Eckart qualified immunity on this argument, holding that our precedent clearly established that DeCrane would have tipped off the media as a private citizen rather than a public employee. We agree and affirm this part of the court’s decision. We dismiss Eckart’s other two arguments for lack of jurisdiction in this appeal’s interlocutory posture.</w:t>
      </w:r>
      <w:r>
        <w:rPr>
          <w:rStyle w:val="markedcontent"/>
        </w:rPr>
        <w:t xml:space="preserve">”  </w:t>
      </w:r>
      <w:hyperlink r:id="rId1133" w:history="1">
        <w:r w:rsidRPr="00843DBD">
          <w:rPr>
            <w:rStyle w:val="Hyperlink"/>
          </w:rPr>
          <w:t>https://www.opn.ca6.uscourts.gov/opinions.pdf/21a0204p-06.pdf</w:t>
        </w:r>
      </w:hyperlink>
      <w:r>
        <w:rPr>
          <w:rStyle w:val="markedcontent"/>
        </w:rPr>
        <w:t xml:space="preserve"> </w:t>
      </w:r>
    </w:p>
    <w:p w14:paraId="48815E18" w14:textId="77777777" w:rsidR="00BD263B" w:rsidRPr="00F74717" w:rsidRDefault="00BD263B" w:rsidP="00BD263B">
      <w:pPr>
        <w:rPr>
          <w:rStyle w:val="markedcontent"/>
          <w:rFonts w:ascii="Times New Roman" w:hAnsi="Times New Roman"/>
          <w:b/>
          <w:bCs/>
          <w:sz w:val="24"/>
          <w:szCs w:val="24"/>
        </w:rPr>
      </w:pPr>
      <w:r w:rsidRPr="00DA62BE">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Important decision. While firefighters and police officers only have “limited” First Amendment rights to post information on social media concerning internal FD matters, but if a city official retaliates against an employee for speech protected by the First Amendment, the employee may sue even if the official </w:t>
      </w:r>
      <w:r w:rsidRPr="00F74717">
        <w:rPr>
          <w:rStyle w:val="markedcontent"/>
          <w:rFonts w:ascii="Times New Roman" w:hAnsi="Times New Roman"/>
          <w:b/>
          <w:bCs/>
          <w:i/>
          <w:iCs/>
          <w:sz w:val="24"/>
          <w:szCs w:val="24"/>
        </w:rPr>
        <w:t xml:space="preserve">incorrectly </w:t>
      </w:r>
      <w:r>
        <w:rPr>
          <w:rStyle w:val="markedcontent"/>
          <w:rFonts w:ascii="Times New Roman" w:hAnsi="Times New Roman"/>
          <w:b/>
          <w:bCs/>
          <w:sz w:val="24"/>
          <w:szCs w:val="24"/>
        </w:rPr>
        <w:t xml:space="preserve">believed the employee had leaked information to the press.  </w:t>
      </w:r>
    </w:p>
    <w:p w14:paraId="26038D3F" w14:textId="77777777" w:rsidR="00BD263B" w:rsidRPr="00DC7DCB" w:rsidRDefault="00BD263B" w:rsidP="00BD263B">
      <w:pPr>
        <w:ind w:left="720"/>
        <w:rPr>
          <w:rFonts w:ascii="Times New Roman" w:hAnsi="Times New Roman"/>
          <w:sz w:val="24"/>
          <w:szCs w:val="24"/>
        </w:rPr>
      </w:pPr>
      <w:r w:rsidRPr="00DC7DCB">
        <w:rPr>
          <w:rFonts w:ascii="Times New Roman" w:hAnsi="Times New Roman"/>
          <w:sz w:val="24"/>
          <w:szCs w:val="24"/>
        </w:rPr>
        <w:t xml:space="preserve">Note: See Sept. 2, </w:t>
      </w:r>
      <w:proofErr w:type="gramStart"/>
      <w:r w:rsidRPr="00DC7DCB">
        <w:rPr>
          <w:rFonts w:ascii="Times New Roman" w:hAnsi="Times New Roman"/>
          <w:sz w:val="24"/>
          <w:szCs w:val="24"/>
        </w:rPr>
        <w:t>2021</w:t>
      </w:r>
      <w:proofErr w:type="gramEnd"/>
      <w:r w:rsidRPr="00DC7DCB">
        <w:rPr>
          <w:rFonts w:ascii="Times New Roman" w:hAnsi="Times New Roman"/>
          <w:sz w:val="24"/>
          <w:szCs w:val="24"/>
        </w:rPr>
        <w:t xml:space="preserve"> article, “Federal appellate court upholds First Amendment case brought by retired Cleveland battalion chief.” </w:t>
      </w:r>
      <w:hyperlink r:id="rId1134" w:history="1">
        <w:r w:rsidRPr="00DC7DCB">
          <w:rPr>
            <w:rStyle w:val="Hyperlink"/>
            <w:sz w:val="24"/>
            <w:szCs w:val="24"/>
          </w:rPr>
          <w:t>https://www.cleveland.com/cityhall/2021/09/federal-appellate-court-upholds-first-amendment-case-brought-against-cleveland-by-retired-battalion-chief.html</w:t>
        </w:r>
      </w:hyperlink>
      <w:r w:rsidRPr="00DC7DCB">
        <w:rPr>
          <w:rFonts w:ascii="Times New Roman" w:hAnsi="Times New Roman"/>
          <w:sz w:val="24"/>
          <w:szCs w:val="24"/>
        </w:rPr>
        <w:t xml:space="preserve"> </w:t>
      </w:r>
    </w:p>
    <w:p w14:paraId="714E6B26" w14:textId="77777777" w:rsidR="00BD263B" w:rsidRPr="00DC7DCB" w:rsidRDefault="00BD263B" w:rsidP="00BD263B">
      <w:pPr>
        <w:pStyle w:val="Heading1"/>
        <w:ind w:left="720"/>
        <w:rPr>
          <w:b w:val="0"/>
          <w:bCs w:val="0"/>
          <w:sz w:val="24"/>
          <w:szCs w:val="24"/>
        </w:rPr>
      </w:pPr>
      <w:r w:rsidRPr="00DC7DCB">
        <w:rPr>
          <w:b w:val="0"/>
          <w:bCs w:val="0"/>
          <w:sz w:val="24"/>
          <w:szCs w:val="24"/>
        </w:rPr>
        <w:lastRenderedPageBreak/>
        <w:t xml:space="preserve">See Aug. 4, </w:t>
      </w:r>
      <w:proofErr w:type="gramStart"/>
      <w:r w:rsidRPr="00DC7DCB">
        <w:rPr>
          <w:b w:val="0"/>
          <w:bCs w:val="0"/>
          <w:sz w:val="24"/>
          <w:szCs w:val="24"/>
        </w:rPr>
        <w:t>2013</w:t>
      </w:r>
      <w:proofErr w:type="gramEnd"/>
      <w:r w:rsidRPr="00DC7DCB">
        <w:rPr>
          <w:b w:val="0"/>
          <w:bCs w:val="0"/>
          <w:sz w:val="24"/>
          <w:szCs w:val="24"/>
        </w:rPr>
        <w:t xml:space="preserve"> article, </w:t>
      </w:r>
      <w:r>
        <w:rPr>
          <w:b w:val="0"/>
          <w:bCs w:val="0"/>
          <w:sz w:val="24"/>
          <w:szCs w:val="24"/>
        </w:rPr>
        <w:t>“</w:t>
      </w:r>
      <w:r w:rsidRPr="00DC7DCB">
        <w:rPr>
          <w:b w:val="0"/>
          <w:bCs w:val="0"/>
          <w:sz w:val="24"/>
          <w:szCs w:val="24"/>
        </w:rPr>
        <w:t>Cleveland Fire Chief Daryl McGinnis retires two weeks after being relieved of duties</w:t>
      </w:r>
      <w:r>
        <w:rPr>
          <w:b w:val="0"/>
          <w:bCs w:val="0"/>
          <w:sz w:val="24"/>
          <w:szCs w:val="24"/>
        </w:rPr>
        <w:t>.”  “</w:t>
      </w:r>
      <w:r w:rsidRPr="00DC7DCB">
        <w:rPr>
          <w:b w:val="0"/>
          <w:bCs w:val="0"/>
          <w:sz w:val="24"/>
          <w:szCs w:val="24"/>
        </w:rPr>
        <w:t>A city review of McGinnis' training records revealed that between 2009-12 he had completed only 22 of the required 40 hours of continuing education. The city reported the information a week after The Plain Dealer asked to review his training records.</w:t>
      </w:r>
      <w:r>
        <w:rPr>
          <w:b w:val="0"/>
          <w:bCs w:val="0"/>
          <w:sz w:val="24"/>
          <w:szCs w:val="24"/>
        </w:rPr>
        <w:t xml:space="preserve">” </w:t>
      </w:r>
      <w:hyperlink r:id="rId1135" w:history="1">
        <w:r w:rsidRPr="00843DBD">
          <w:rPr>
            <w:rStyle w:val="Hyperlink"/>
            <w:sz w:val="24"/>
            <w:szCs w:val="24"/>
          </w:rPr>
          <w:t>https://www.cleveland.com/metro/2013/08/cleveland_fire_chief_daryl_mcg.html</w:t>
        </w:r>
      </w:hyperlink>
      <w:r>
        <w:rPr>
          <w:b w:val="0"/>
          <w:bCs w:val="0"/>
          <w:sz w:val="24"/>
          <w:szCs w:val="24"/>
        </w:rPr>
        <w:t xml:space="preserve"> </w:t>
      </w:r>
    </w:p>
    <w:p w14:paraId="3CF389CE" w14:textId="77777777" w:rsidR="00BD263B" w:rsidRDefault="00BD263B" w:rsidP="00EF1133">
      <w:pPr>
        <w:rPr>
          <w:rFonts w:ascii="Arial Black" w:hAnsi="Arial Black"/>
          <w:b/>
          <w:sz w:val="24"/>
          <w:szCs w:val="24"/>
        </w:rPr>
      </w:pPr>
    </w:p>
    <w:p w14:paraId="7C8B3FBF" w14:textId="6035D54A" w:rsidR="005217D5" w:rsidRDefault="005217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6</w:t>
      </w:r>
    </w:p>
    <w:p w14:paraId="47E0D5F1" w14:textId="77777777" w:rsidR="005217D5" w:rsidRDefault="005217D5" w:rsidP="00B20474">
      <w:pPr>
        <w:pStyle w:val="Heading1"/>
        <w:rPr>
          <w:rFonts w:ascii="Arial Black" w:hAnsi="Arial Black"/>
          <w:b w:val="0"/>
          <w:bCs w:val="0"/>
          <w:sz w:val="28"/>
          <w:szCs w:val="28"/>
        </w:rPr>
      </w:pPr>
      <w:r w:rsidRPr="00CB17BF">
        <w:rPr>
          <w:rFonts w:ascii="Arial Black" w:hAnsi="Arial Black"/>
          <w:b w:val="0"/>
          <w:bCs w:val="0"/>
          <w:sz w:val="28"/>
          <w:szCs w:val="28"/>
        </w:rPr>
        <w:t xml:space="preserve">CT: </w:t>
      </w:r>
      <w:r>
        <w:rPr>
          <w:rFonts w:ascii="Arial Black" w:hAnsi="Arial Black"/>
          <w:b w:val="0"/>
          <w:bCs w:val="0"/>
          <w:sz w:val="28"/>
          <w:szCs w:val="28"/>
        </w:rPr>
        <w:t>HEART ATTACK - STATUTORY PRESUMPTION FOR “MEMBERS” MUNICIPAL FD - PART-TIMERS COVERED</w:t>
      </w:r>
    </w:p>
    <w:p w14:paraId="177C602F" w14:textId="77777777" w:rsidR="005217D5" w:rsidRDefault="005217D5" w:rsidP="005217D5">
      <w:pPr>
        <w:pStyle w:val="Heading1"/>
        <w:ind w:left="720"/>
        <w:rPr>
          <w:b w:val="0"/>
          <w:bCs w:val="0"/>
          <w:sz w:val="24"/>
          <w:szCs w:val="24"/>
        </w:rPr>
      </w:pPr>
      <w:r>
        <w:rPr>
          <w:b w:val="0"/>
          <w:bCs w:val="0"/>
          <w:sz w:val="24"/>
          <w:szCs w:val="24"/>
        </w:rPr>
        <w:t xml:space="preserve">On July 27, 2021, in </w:t>
      </w:r>
      <w:r w:rsidRPr="00711A5D">
        <w:rPr>
          <w:b w:val="0"/>
          <w:bCs w:val="0"/>
          <w:sz w:val="24"/>
          <w:szCs w:val="24"/>
          <w:u w:val="single"/>
        </w:rPr>
        <w:t xml:space="preserve">Christopher A. Clark v. Town of Waterford, </w:t>
      </w:r>
      <w:proofErr w:type="spellStart"/>
      <w:r w:rsidRPr="00711A5D">
        <w:rPr>
          <w:b w:val="0"/>
          <w:bCs w:val="0"/>
          <w:sz w:val="24"/>
          <w:szCs w:val="24"/>
          <w:u w:val="single"/>
        </w:rPr>
        <w:t>Cohanzie</w:t>
      </w:r>
      <w:proofErr w:type="spellEnd"/>
      <w:r w:rsidRPr="00711A5D">
        <w:rPr>
          <w:b w:val="0"/>
          <w:bCs w:val="0"/>
          <w:sz w:val="24"/>
          <w:szCs w:val="24"/>
          <w:u w:val="single"/>
        </w:rPr>
        <w:t xml:space="preserve"> Fire </w:t>
      </w:r>
      <w:r w:rsidRPr="007400FB">
        <w:rPr>
          <w:b w:val="0"/>
          <w:bCs w:val="0"/>
          <w:sz w:val="24"/>
          <w:szCs w:val="24"/>
          <w:u w:val="single"/>
        </w:rPr>
        <w:t>Department</w:t>
      </w:r>
      <w:r w:rsidRPr="00E20B80">
        <w:rPr>
          <w:b w:val="0"/>
          <w:bCs w:val="0"/>
          <w:sz w:val="24"/>
          <w:szCs w:val="24"/>
        </w:rPr>
        <w:t xml:space="preserve">, </w:t>
      </w:r>
      <w:r>
        <w:rPr>
          <w:b w:val="0"/>
          <w:bCs w:val="0"/>
          <w:sz w:val="24"/>
          <w:szCs w:val="24"/>
        </w:rPr>
        <w:t xml:space="preserve">the Court of Appeals of Connecticut held (3 to 0) that </w:t>
      </w:r>
      <w:r w:rsidRPr="00711A5D">
        <w:rPr>
          <w:b w:val="0"/>
          <w:bCs w:val="0"/>
          <w:sz w:val="24"/>
          <w:szCs w:val="24"/>
        </w:rPr>
        <w:t>Workers' Compensation Commissioner</w:t>
      </w:r>
      <w:r>
        <w:rPr>
          <w:b w:val="0"/>
          <w:bCs w:val="0"/>
          <w:sz w:val="24"/>
          <w:szCs w:val="24"/>
        </w:rPr>
        <w:t xml:space="preserve"> correctly held that the part-time firefighter was a “uniformed member” of a municipal fire department who passed a pre-hire medical exam and therefore covered under the </w:t>
      </w:r>
      <w:r w:rsidRPr="009D0C21">
        <w:rPr>
          <w:b w:val="0"/>
          <w:bCs w:val="0"/>
          <w:sz w:val="24"/>
          <w:szCs w:val="24"/>
        </w:rPr>
        <w:t>Heart and Hypertension Act</w:t>
      </w:r>
      <w:r>
        <w:rPr>
          <w:b w:val="0"/>
          <w:bCs w:val="0"/>
          <w:sz w:val="24"/>
          <w:szCs w:val="24"/>
        </w:rPr>
        <w:t xml:space="preserve">, even if he wasn’t eligible for retirement pension since he didn’t work an average of 20 hours per week or more.  </w:t>
      </w:r>
    </w:p>
    <w:p w14:paraId="1982B88E" w14:textId="77777777" w:rsidR="005217D5" w:rsidRDefault="005217D5" w:rsidP="005217D5">
      <w:pPr>
        <w:pStyle w:val="Heading1"/>
        <w:ind w:left="1440"/>
        <w:rPr>
          <w:b w:val="0"/>
          <w:bCs w:val="0"/>
          <w:sz w:val="24"/>
          <w:szCs w:val="24"/>
        </w:rPr>
      </w:pPr>
      <w:r>
        <w:rPr>
          <w:b w:val="0"/>
          <w:bCs w:val="0"/>
          <w:sz w:val="24"/>
          <w:szCs w:val="24"/>
        </w:rPr>
        <w:t>“</w:t>
      </w:r>
      <w:r w:rsidRPr="00D553CE">
        <w:rPr>
          <w:b w:val="0"/>
          <w:bCs w:val="0"/>
          <w:sz w:val="24"/>
          <w:szCs w:val="24"/>
        </w:rPr>
        <w:t xml:space="preserve">On appeal before us, the town claims that the board erred when it affirmed the commissioner's award because it failed to apply the definition of the term </w:t>
      </w:r>
      <w:r w:rsidRPr="00D553CE">
        <w:rPr>
          <w:rStyle w:val="Emphasis"/>
          <w:b w:val="0"/>
          <w:bCs w:val="0"/>
          <w:sz w:val="24"/>
          <w:szCs w:val="24"/>
        </w:rPr>
        <w:t>member</w:t>
      </w:r>
      <w:r w:rsidRPr="00D553CE">
        <w:rPr>
          <w:b w:val="0"/>
          <w:bCs w:val="0"/>
          <w:sz w:val="24"/>
          <w:szCs w:val="24"/>
        </w:rPr>
        <w:t xml:space="preserve"> provided in § 7-425 (5) when considering whether the plaintiff was </w:t>
      </w:r>
      <w:r>
        <w:rPr>
          <w:b w:val="0"/>
          <w:bCs w:val="0"/>
          <w:sz w:val="24"/>
          <w:szCs w:val="24"/>
        </w:rPr>
        <w:t>‘</w:t>
      </w:r>
      <w:r w:rsidRPr="00D553CE">
        <w:rPr>
          <w:b w:val="0"/>
          <w:bCs w:val="0"/>
          <w:sz w:val="24"/>
          <w:szCs w:val="24"/>
        </w:rPr>
        <w:t>a uniformed member of a paid municipal fire department'</w:t>
      </w:r>
      <w:r>
        <w:rPr>
          <w:b w:val="0"/>
          <w:bCs w:val="0"/>
          <w:sz w:val="24"/>
          <w:szCs w:val="24"/>
        </w:rPr>
        <w:t>’</w:t>
      </w:r>
      <w:r w:rsidRPr="00D553CE">
        <w:rPr>
          <w:b w:val="0"/>
          <w:bCs w:val="0"/>
          <w:sz w:val="24"/>
          <w:szCs w:val="24"/>
        </w:rPr>
        <w:t xml:space="preserve"> eligible for benefits pursuant to § 7-433c. We disagree.</w:t>
      </w:r>
    </w:p>
    <w:p w14:paraId="46EECC05" w14:textId="77777777" w:rsidR="005217D5" w:rsidRDefault="005217D5" w:rsidP="005217D5">
      <w:pPr>
        <w:pStyle w:val="Heading1"/>
        <w:ind w:left="1440"/>
        <w:rPr>
          <w:b w:val="0"/>
          <w:bCs w:val="0"/>
          <w:sz w:val="24"/>
          <w:szCs w:val="24"/>
        </w:rPr>
      </w:pPr>
      <w:r>
        <w:rPr>
          <w:b w:val="0"/>
          <w:bCs w:val="0"/>
          <w:sz w:val="24"/>
          <w:szCs w:val="24"/>
        </w:rPr>
        <w:t>***</w:t>
      </w:r>
    </w:p>
    <w:p w14:paraId="5215AAA4" w14:textId="77777777" w:rsidR="005217D5" w:rsidRPr="00CB17BF" w:rsidRDefault="005217D5" w:rsidP="005217D5">
      <w:pPr>
        <w:pStyle w:val="Heading1"/>
        <w:ind w:left="1440"/>
        <w:rPr>
          <w:b w:val="0"/>
          <w:bCs w:val="0"/>
          <w:sz w:val="24"/>
          <w:szCs w:val="24"/>
        </w:rPr>
      </w:pPr>
      <w:r w:rsidRPr="00CB17BF">
        <w:rPr>
          <w:b w:val="0"/>
          <w:bCs w:val="0"/>
          <w:sz w:val="24"/>
          <w:szCs w:val="24"/>
        </w:rPr>
        <w:t xml:space="preserve">Consequently, § 7-433c requires all municipal employers, as defined in General Statutes § 7-467, to pay compensation and medical care to any </w:t>
      </w:r>
      <w:r>
        <w:rPr>
          <w:b w:val="0"/>
          <w:bCs w:val="0"/>
          <w:sz w:val="24"/>
          <w:szCs w:val="24"/>
        </w:rPr>
        <w:t>‘</w:t>
      </w:r>
      <w:r w:rsidRPr="00CB17BF">
        <w:rPr>
          <w:b w:val="0"/>
          <w:bCs w:val="0"/>
          <w:sz w:val="24"/>
          <w:szCs w:val="24"/>
        </w:rPr>
        <w:t>uniformed member of a paid municipal fire department or regular member of a paid municipal police department</w:t>
      </w:r>
      <w:r>
        <w:rPr>
          <w:b w:val="0"/>
          <w:bCs w:val="0"/>
          <w:sz w:val="24"/>
          <w:szCs w:val="24"/>
        </w:rPr>
        <w:t>’</w:t>
      </w:r>
      <w:r w:rsidRPr="00CB17BF">
        <w:rPr>
          <w:b w:val="0"/>
          <w:bCs w:val="0"/>
          <w:sz w:val="24"/>
          <w:szCs w:val="24"/>
        </w:rPr>
        <w:t xml:space="preserve"> who suffers any condition or impairment of health caused by hypertension or heart disease resulting in death or temporary or permanent, total or partial disability, or dependents, as the case may be.</w:t>
      </w:r>
      <w:r>
        <w:rPr>
          <w:b w:val="0"/>
          <w:bCs w:val="0"/>
          <w:sz w:val="24"/>
          <w:szCs w:val="24"/>
        </w:rPr>
        <w:t xml:space="preserve">” </w:t>
      </w:r>
      <w:hyperlink r:id="rId1136" w:history="1">
        <w:r w:rsidRPr="00D66E15">
          <w:rPr>
            <w:rStyle w:val="Hyperlink"/>
            <w:sz w:val="24"/>
            <w:szCs w:val="24"/>
          </w:rPr>
          <w:t>https://casetext.com/case/clark-v-town-of-waterford</w:t>
        </w:r>
      </w:hyperlink>
      <w:r>
        <w:rPr>
          <w:b w:val="0"/>
          <w:bCs w:val="0"/>
          <w:sz w:val="24"/>
          <w:szCs w:val="24"/>
        </w:rPr>
        <w:t xml:space="preserve"> </w:t>
      </w:r>
    </w:p>
    <w:p w14:paraId="03955DD3" w14:textId="77777777" w:rsidR="005217D5" w:rsidRDefault="005217D5" w:rsidP="005217D5">
      <w:pPr>
        <w:pStyle w:val="Heading1"/>
        <w:ind w:left="720"/>
        <w:rPr>
          <w:sz w:val="24"/>
          <w:szCs w:val="24"/>
        </w:rPr>
      </w:pPr>
      <w:r w:rsidRPr="0021201E">
        <w:rPr>
          <w:sz w:val="24"/>
          <w:szCs w:val="24"/>
        </w:rPr>
        <w:t>Legal Lesson Learned:</w:t>
      </w:r>
      <w:r>
        <w:rPr>
          <w:sz w:val="24"/>
          <w:szCs w:val="24"/>
        </w:rPr>
        <w:t xml:space="preserve"> Statutory presumptions for heart attacks are very helpful, and in Connecticut now applies to career, part-time, and volunteer firefighters who have passed a pre-employment physical.   </w:t>
      </w:r>
    </w:p>
    <w:p w14:paraId="143D28D8" w14:textId="77777777" w:rsidR="005217D5" w:rsidRDefault="005217D5" w:rsidP="005217D5">
      <w:pPr>
        <w:pStyle w:val="NormalWeb"/>
        <w:ind w:left="1440" w:hanging="720"/>
      </w:pPr>
      <w:r w:rsidRPr="00DD5072">
        <w:t xml:space="preserve">Note: </w:t>
      </w:r>
      <w:r w:rsidRPr="00DD5072">
        <w:tab/>
      </w:r>
    </w:p>
    <w:p w14:paraId="09549AFF" w14:textId="77777777" w:rsidR="005217D5" w:rsidRDefault="005217D5" w:rsidP="005217D5">
      <w:pPr>
        <w:pStyle w:val="Heading1"/>
        <w:ind w:left="1440"/>
        <w:rPr>
          <w:sz w:val="24"/>
          <w:szCs w:val="24"/>
        </w:rPr>
      </w:pPr>
      <w:r w:rsidRPr="00F66A5F">
        <w:rPr>
          <w:b w:val="0"/>
          <w:bCs w:val="0"/>
          <w:sz w:val="24"/>
          <w:szCs w:val="24"/>
        </w:rPr>
        <w:t>Check the law in your state: IAFF Presumptive Health Initiative:</w:t>
      </w:r>
      <w:r>
        <w:rPr>
          <w:b w:val="0"/>
          <w:bCs w:val="0"/>
          <w:sz w:val="24"/>
          <w:szCs w:val="24"/>
        </w:rPr>
        <w:t xml:space="preserve"> </w:t>
      </w:r>
      <w:hyperlink r:id="rId1137" w:history="1">
        <w:r w:rsidRPr="004A379F">
          <w:rPr>
            <w:rStyle w:val="Hyperlink"/>
            <w:sz w:val="24"/>
            <w:szCs w:val="24"/>
          </w:rPr>
          <w:t>https://www.iaff.org/presumptive-health/</w:t>
        </w:r>
      </w:hyperlink>
      <w:r>
        <w:rPr>
          <w:b w:val="0"/>
          <w:bCs w:val="0"/>
          <w:sz w:val="24"/>
          <w:szCs w:val="24"/>
        </w:rPr>
        <w:t xml:space="preserve">. </w:t>
      </w:r>
    </w:p>
    <w:p w14:paraId="0DCAE8C7" w14:textId="77777777" w:rsidR="005217D5" w:rsidRPr="006C4B78" w:rsidRDefault="005217D5" w:rsidP="005217D5">
      <w:pPr>
        <w:pStyle w:val="NormalWeb"/>
        <w:ind w:left="1440"/>
        <w:rPr>
          <w:b/>
          <w:bCs/>
        </w:rPr>
      </w:pPr>
      <w:r>
        <w:t>“</w:t>
      </w:r>
      <w:r w:rsidRPr="006C4B78">
        <w:t xml:space="preserve">Connecticut's Heart and Hypertension Act was signed into law in </w:t>
      </w:r>
      <w:proofErr w:type="gramStart"/>
      <w:r w:rsidRPr="006C4B78">
        <w:t>1977, and</w:t>
      </w:r>
      <w:proofErr w:type="gramEnd"/>
      <w:r w:rsidRPr="006C4B78">
        <w:t xml:space="preserve"> allows firefighters and police officers with hypertension and heart disease to receive benefits equivalent to those found in </w:t>
      </w:r>
      <w:hyperlink r:id="rId1138" w:history="1">
        <w:r w:rsidRPr="006C4B78">
          <w:rPr>
            <w:rStyle w:val="Hyperlink"/>
          </w:rPr>
          <w:t xml:space="preserve">workers' compensation </w:t>
        </w:r>
      </w:hyperlink>
      <w:r w:rsidRPr="006C4B78">
        <w:t>without the burden of proving that the condition was in fact caused by their work.</w:t>
      </w:r>
      <w:r>
        <w:rPr>
          <w:b/>
          <w:bCs/>
        </w:rPr>
        <w:t xml:space="preserve"> </w:t>
      </w:r>
      <w:r w:rsidRPr="006C4B78">
        <w:t>Eligibility for compensation under the Heart and Hypertension Act requires that the recipient be a current or former police officer or firefighter, and that a pre-employment physical was conducted that showed no signs of either hypertension or heart disease.</w:t>
      </w:r>
      <w:r>
        <w:t>”</w:t>
      </w:r>
      <w:hyperlink r:id="rId1139" w:history="1">
        <w:r w:rsidRPr="003612CA">
          <w:rPr>
            <w:rStyle w:val="Hyperlink"/>
          </w:rPr>
          <w:t>https://www.schafer-and-schafer.com/workers-compensation/heart-and-hypertension/</w:t>
        </w:r>
      </w:hyperlink>
      <w:r>
        <w:rPr>
          <w:b/>
          <w:bCs/>
        </w:rPr>
        <w:t xml:space="preserve"> </w:t>
      </w:r>
    </w:p>
    <w:p w14:paraId="3C50E05A" w14:textId="77777777" w:rsidR="005217D5" w:rsidRPr="006C4B78" w:rsidRDefault="005217D5" w:rsidP="005217D5">
      <w:pPr>
        <w:pStyle w:val="Heading1"/>
        <w:ind w:left="1440"/>
        <w:rPr>
          <w:b w:val="0"/>
          <w:bCs w:val="0"/>
          <w:sz w:val="24"/>
          <w:szCs w:val="24"/>
        </w:rPr>
      </w:pPr>
      <w:r>
        <w:rPr>
          <w:b w:val="0"/>
          <w:bCs w:val="0"/>
          <w:sz w:val="24"/>
          <w:szCs w:val="24"/>
        </w:rPr>
        <w:lastRenderedPageBreak/>
        <w:t xml:space="preserve">Volunteer firefighters are now also covered, </w:t>
      </w:r>
      <w:r w:rsidRPr="006C4B78">
        <w:rPr>
          <w:b w:val="0"/>
          <w:bCs w:val="0"/>
          <w:sz w:val="24"/>
          <w:szCs w:val="24"/>
        </w:rPr>
        <w:t>“provided such member had previously successfully passed a physical examination by a licensed physician appointed by such department or ambulance service which examination failed to reveal any evidence of such condition.</w:t>
      </w:r>
      <w:r>
        <w:rPr>
          <w:b w:val="0"/>
          <w:bCs w:val="0"/>
          <w:sz w:val="24"/>
          <w:szCs w:val="24"/>
        </w:rPr>
        <w:t xml:space="preserve">” </w:t>
      </w:r>
      <w:hyperlink r:id="rId1140" w:history="1">
        <w:r w:rsidRPr="003612CA">
          <w:rPr>
            <w:rStyle w:val="Hyperlink"/>
            <w:sz w:val="24"/>
            <w:szCs w:val="24"/>
          </w:rPr>
          <w:t>https://wcc.state.ct.us/law/rel-stat/2009/7-314a.htm</w:t>
        </w:r>
      </w:hyperlink>
      <w:r>
        <w:rPr>
          <w:b w:val="0"/>
          <w:bCs w:val="0"/>
          <w:sz w:val="24"/>
          <w:szCs w:val="24"/>
        </w:rPr>
        <w:t xml:space="preserve"> </w:t>
      </w:r>
    </w:p>
    <w:p w14:paraId="05BBB02B" w14:textId="77777777" w:rsidR="005217D5" w:rsidRDefault="005217D5" w:rsidP="005217D5">
      <w:pPr>
        <w:pStyle w:val="Heading1"/>
        <w:ind w:left="1440"/>
        <w:rPr>
          <w:b w:val="0"/>
          <w:bCs w:val="0"/>
          <w:sz w:val="24"/>
          <w:szCs w:val="24"/>
        </w:rPr>
      </w:pPr>
      <w:r>
        <w:rPr>
          <w:b w:val="0"/>
          <w:bCs w:val="0"/>
          <w:sz w:val="24"/>
          <w:szCs w:val="24"/>
        </w:rPr>
        <w:t xml:space="preserve">April 13, 2021: Watch Appellate argument in this case: </w:t>
      </w:r>
      <w:hyperlink r:id="rId1141" w:history="1">
        <w:r w:rsidRPr="00D66E15">
          <w:rPr>
            <w:rStyle w:val="Hyperlink"/>
            <w:sz w:val="24"/>
            <w:szCs w:val="24"/>
          </w:rPr>
          <w:t>https://www.youtube.com/watch?v=-Y6r01Pmcaw</w:t>
        </w:r>
      </w:hyperlink>
      <w:r>
        <w:rPr>
          <w:b w:val="0"/>
          <w:bCs w:val="0"/>
          <w:sz w:val="24"/>
          <w:szCs w:val="24"/>
        </w:rPr>
        <w:t xml:space="preserve"> </w:t>
      </w:r>
    </w:p>
    <w:p w14:paraId="2A422DB9" w14:textId="77777777" w:rsidR="005217D5" w:rsidRDefault="005217D5" w:rsidP="00EF1133">
      <w:pPr>
        <w:rPr>
          <w:rFonts w:ascii="Arial Black" w:hAnsi="Arial Black"/>
          <w:b/>
          <w:sz w:val="24"/>
          <w:szCs w:val="24"/>
        </w:rPr>
      </w:pPr>
    </w:p>
    <w:p w14:paraId="4037BB38" w14:textId="77777777" w:rsidR="005217D5" w:rsidRDefault="005217D5" w:rsidP="00EF1133">
      <w:pPr>
        <w:rPr>
          <w:rFonts w:ascii="Arial Black" w:hAnsi="Arial Black"/>
          <w:b/>
          <w:sz w:val="24"/>
          <w:szCs w:val="24"/>
        </w:rPr>
      </w:pPr>
    </w:p>
    <w:p w14:paraId="5F7DD42E" w14:textId="23001047" w:rsidR="00F27CD5" w:rsidRDefault="00F27C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5</w:t>
      </w:r>
    </w:p>
    <w:p w14:paraId="23D9175B" w14:textId="77777777" w:rsidR="00F27CD5" w:rsidRPr="00AA1475" w:rsidRDefault="00F27CD5" w:rsidP="00F27CD5">
      <w:pPr>
        <w:pStyle w:val="NoSpacing"/>
        <w:rPr>
          <w:rFonts w:ascii="Arial Black" w:hAnsi="Arial Black"/>
          <w:sz w:val="28"/>
          <w:szCs w:val="28"/>
        </w:rPr>
      </w:pPr>
      <w:r w:rsidRPr="00AA1475">
        <w:rPr>
          <w:rFonts w:ascii="Arial Black" w:hAnsi="Arial Black"/>
          <w:sz w:val="28"/>
          <w:szCs w:val="28"/>
        </w:rPr>
        <w:t xml:space="preserve">NY: FF </w:t>
      </w:r>
      <w:r>
        <w:rPr>
          <w:rFonts w:ascii="Arial Black" w:hAnsi="Arial Black"/>
          <w:sz w:val="28"/>
          <w:szCs w:val="28"/>
        </w:rPr>
        <w:t xml:space="preserve">RIGHT </w:t>
      </w:r>
      <w:r w:rsidRPr="00AA1475">
        <w:rPr>
          <w:rFonts w:ascii="Arial Black" w:hAnsi="Arial Black"/>
          <w:sz w:val="28"/>
          <w:szCs w:val="28"/>
        </w:rPr>
        <w:t>SHOULDER INJUR</w:t>
      </w:r>
      <w:r>
        <w:rPr>
          <w:rFonts w:ascii="Arial Black" w:hAnsi="Arial Black"/>
          <w:sz w:val="28"/>
          <w:szCs w:val="28"/>
        </w:rPr>
        <w:t>IES – NONE QUALIFY FOR “ACCIDENTAL DISABILITY RETIREMENT [75% TAX FREE]</w:t>
      </w:r>
    </w:p>
    <w:p w14:paraId="5A61C59D" w14:textId="77777777" w:rsidR="00F27CD5" w:rsidRDefault="00F27CD5" w:rsidP="00F27CD5">
      <w:pPr>
        <w:pStyle w:val="NoSpacing"/>
      </w:pPr>
    </w:p>
    <w:p w14:paraId="73E703C7" w14:textId="77777777" w:rsidR="00F27CD5" w:rsidRPr="008A3320" w:rsidRDefault="00F27CD5" w:rsidP="00F27CD5">
      <w:pPr>
        <w:pStyle w:val="NoSpacing"/>
        <w:rPr>
          <w:rFonts w:ascii="Times New Roman" w:hAnsi="Times New Roman"/>
          <w:sz w:val="24"/>
          <w:szCs w:val="24"/>
        </w:rPr>
      </w:pPr>
      <w:r w:rsidRPr="008A3320">
        <w:rPr>
          <w:rFonts w:ascii="Times New Roman" w:hAnsi="Times New Roman"/>
          <w:sz w:val="24"/>
          <w:szCs w:val="24"/>
        </w:rPr>
        <w:t xml:space="preserve">On May 20, 2021, </w:t>
      </w:r>
      <w:r w:rsidRPr="008A3320">
        <w:rPr>
          <w:rFonts w:ascii="Times New Roman" w:hAnsi="Times New Roman"/>
          <w:sz w:val="24"/>
          <w:szCs w:val="24"/>
          <w:u w:val="single"/>
        </w:rPr>
        <w:t>In the Matter of Bernard McGoey v. Thomas P. DiNapoli, as State Comptroller</w:t>
      </w:r>
      <w:r w:rsidRPr="008A3320">
        <w:rPr>
          <w:rFonts w:ascii="Times New Roman" w:hAnsi="Times New Roman"/>
          <w:sz w:val="24"/>
          <w:szCs w:val="24"/>
        </w:rPr>
        <w:t xml:space="preserve">, </w:t>
      </w:r>
      <w:r w:rsidRPr="008A3320">
        <w:rPr>
          <w:rStyle w:val="font-weight-bold"/>
          <w:rFonts w:ascii="Times New Roman" w:hAnsi="Times New Roman"/>
          <w:sz w:val="24"/>
          <w:szCs w:val="24"/>
        </w:rPr>
        <w:t xml:space="preserve">2021 NY Slip Op 3235 (N.Y. App. Div. 2021), </w:t>
      </w:r>
      <w:r w:rsidRPr="008A3320">
        <w:rPr>
          <w:rFonts w:ascii="Times New Roman" w:hAnsi="Times New Roman"/>
          <w:sz w:val="24"/>
          <w:szCs w:val="24"/>
        </w:rPr>
        <w:t xml:space="preserve">the Appellate Division of the Supreme Court of the State of New York, held (3 to 0) that the New York State and Local Police and Fire Retirement System correctly held that the three </w:t>
      </w:r>
      <w:r>
        <w:rPr>
          <w:rFonts w:ascii="Times New Roman" w:hAnsi="Times New Roman"/>
          <w:sz w:val="24"/>
          <w:szCs w:val="24"/>
        </w:rPr>
        <w:t>incidents, including being hit by ice from building,</w:t>
      </w:r>
      <w:r w:rsidRPr="008A3320">
        <w:rPr>
          <w:rFonts w:ascii="Times New Roman" w:hAnsi="Times New Roman"/>
          <w:sz w:val="24"/>
          <w:szCs w:val="24"/>
        </w:rPr>
        <w:t xml:space="preserve"> were part of the normal risks of firefighting, and did not constitute “accidents” within the meaning of state statute, which requires proof of "a sudden, fortuitous mischance, unexpected, out of the ordinary, and injurious in impact."</w:t>
      </w:r>
      <w:r>
        <w:rPr>
          <w:rFonts w:ascii="Times New Roman" w:hAnsi="Times New Roman"/>
          <w:sz w:val="24"/>
          <w:szCs w:val="24"/>
        </w:rPr>
        <w:t xml:space="preserve">  Under NY law, if he has proven an injury from an accident, he would receive a </w:t>
      </w:r>
      <w:r w:rsidRPr="007F639D">
        <w:rPr>
          <w:rFonts w:ascii="Times New Roman" w:hAnsi="Times New Roman"/>
          <w:sz w:val="24"/>
          <w:szCs w:val="24"/>
        </w:rPr>
        <w:t xml:space="preserve">tax-free pension of 75% of their </w:t>
      </w:r>
      <w:r>
        <w:rPr>
          <w:rFonts w:ascii="Times New Roman" w:hAnsi="Times New Roman"/>
          <w:sz w:val="24"/>
          <w:szCs w:val="24"/>
        </w:rPr>
        <w:t>f</w:t>
      </w:r>
      <w:r w:rsidRPr="007F639D">
        <w:rPr>
          <w:rFonts w:ascii="Times New Roman" w:hAnsi="Times New Roman"/>
          <w:sz w:val="24"/>
          <w:szCs w:val="24"/>
        </w:rPr>
        <w:t xml:space="preserve">inal </w:t>
      </w:r>
      <w:r>
        <w:rPr>
          <w:rFonts w:ascii="Times New Roman" w:hAnsi="Times New Roman"/>
          <w:sz w:val="24"/>
          <w:szCs w:val="24"/>
        </w:rPr>
        <w:t>a</w:t>
      </w:r>
      <w:r w:rsidRPr="007F639D">
        <w:rPr>
          <w:rFonts w:ascii="Times New Roman" w:hAnsi="Times New Roman"/>
          <w:sz w:val="24"/>
          <w:szCs w:val="24"/>
        </w:rPr>
        <w:t xml:space="preserve">verage </w:t>
      </w:r>
      <w:r>
        <w:rPr>
          <w:rFonts w:ascii="Times New Roman" w:hAnsi="Times New Roman"/>
          <w:sz w:val="24"/>
          <w:szCs w:val="24"/>
        </w:rPr>
        <w:t>s</w:t>
      </w:r>
      <w:r w:rsidRPr="007F639D">
        <w:rPr>
          <w:rFonts w:ascii="Times New Roman" w:hAnsi="Times New Roman"/>
          <w:sz w:val="24"/>
          <w:szCs w:val="24"/>
        </w:rPr>
        <w:t>alary</w:t>
      </w:r>
      <w:r>
        <w:rPr>
          <w:rFonts w:ascii="Times New Roman" w:hAnsi="Times New Roman"/>
          <w:sz w:val="24"/>
          <w:szCs w:val="24"/>
        </w:rPr>
        <w:t>.</w:t>
      </w:r>
    </w:p>
    <w:p w14:paraId="0088F124" w14:textId="77777777" w:rsidR="00F27CD5" w:rsidRPr="008A3320" w:rsidRDefault="00F27CD5" w:rsidP="00F27CD5">
      <w:pPr>
        <w:pStyle w:val="NormalWeb"/>
        <w:ind w:left="360"/>
      </w:pPr>
      <w:r>
        <w:t>“</w:t>
      </w:r>
      <w:r w:rsidRPr="008A3320">
        <w:t>Petitioner does not dispute, and the record indeed establishes, that petitioner was engaged in the performance of his ordinary firefighting duties during each of the foregoing incidents. *** It also is well established that encountering smoke, water, tangled hose lines, reduced visibility and debris — as well as the corresponding threat of tripping or falling due to such conditions</w:t>
      </w:r>
      <w:r>
        <w:t xml:space="preserve"> … </w:t>
      </w:r>
      <w:r w:rsidRPr="008A3320">
        <w:t>are all risks inherent in the performance of a firefighter's duties</w:t>
      </w:r>
      <w:r>
        <w:t>….</w:t>
      </w:r>
      <w:r w:rsidRPr="008A3320">
        <w:t xml:space="preserve"> </w:t>
      </w:r>
      <w:hyperlink r:id="rId1142" w:history="1">
        <w:r w:rsidRPr="007344F4">
          <w:rPr>
            <w:rStyle w:val="Hyperlink"/>
          </w:rPr>
          <w:t>https://law.justia.com/cases/new-york/appellate-division-third-department/2021/532333.html</w:t>
        </w:r>
      </w:hyperlink>
      <w:r>
        <w:t xml:space="preserve"> </w:t>
      </w:r>
    </w:p>
    <w:p w14:paraId="13023B9A" w14:textId="77777777" w:rsidR="00F27CD5" w:rsidRPr="00E72984" w:rsidRDefault="00F27CD5" w:rsidP="00F27CD5">
      <w:pPr>
        <w:pStyle w:val="NoSpacing"/>
        <w:rPr>
          <w:rFonts w:ascii="Times New Roman" w:hAnsi="Times New Roman"/>
          <w:b/>
          <w:bCs/>
          <w:sz w:val="24"/>
          <w:szCs w:val="24"/>
        </w:rPr>
      </w:pPr>
      <w:r w:rsidRPr="00E72984">
        <w:rPr>
          <w:rFonts w:ascii="Times New Roman" w:hAnsi="Times New Roman"/>
          <w:b/>
          <w:bCs/>
          <w:sz w:val="24"/>
          <w:szCs w:val="24"/>
        </w:rPr>
        <w:t>Legal Lesson Learned:</w:t>
      </w:r>
      <w:r>
        <w:rPr>
          <w:rFonts w:ascii="Times New Roman" w:hAnsi="Times New Roman"/>
          <w:b/>
          <w:bCs/>
          <w:sz w:val="24"/>
          <w:szCs w:val="24"/>
        </w:rPr>
        <w:t xml:space="preserve"> To receive a tax-free pension of 75% of final average salary, the firefighter had to prove injury from a sudden, unexpected occurrence that was not a risk inherent in the job.   </w:t>
      </w:r>
    </w:p>
    <w:p w14:paraId="57B53B11" w14:textId="77777777" w:rsidR="00F27CD5" w:rsidRDefault="00F27CD5" w:rsidP="00F27CD5">
      <w:pPr>
        <w:pStyle w:val="NoSpacing"/>
        <w:rPr>
          <w:rFonts w:ascii="Times New Roman" w:hAnsi="Times New Roman"/>
          <w:sz w:val="24"/>
          <w:szCs w:val="24"/>
        </w:rPr>
      </w:pPr>
    </w:p>
    <w:p w14:paraId="5EA7D6E3" w14:textId="77777777" w:rsidR="00F27CD5" w:rsidRDefault="00F27CD5" w:rsidP="00F27CD5">
      <w:pPr>
        <w:pStyle w:val="NoSpacing"/>
        <w:ind w:left="720"/>
        <w:rPr>
          <w:rFonts w:ascii="Times New Roman" w:hAnsi="Times New Roman"/>
          <w:sz w:val="24"/>
          <w:szCs w:val="24"/>
        </w:rPr>
      </w:pPr>
      <w:r>
        <w:rPr>
          <w:rFonts w:ascii="Times New Roman" w:hAnsi="Times New Roman"/>
          <w:sz w:val="24"/>
          <w:szCs w:val="24"/>
        </w:rPr>
        <w:t xml:space="preserve">Note: </w:t>
      </w:r>
    </w:p>
    <w:p w14:paraId="67EBA8E4" w14:textId="77777777" w:rsidR="00F27CD5" w:rsidRDefault="00F27CD5" w:rsidP="00F27CD5">
      <w:pPr>
        <w:pStyle w:val="NoSpacing"/>
        <w:ind w:left="720"/>
        <w:rPr>
          <w:rFonts w:ascii="Times New Roman" w:hAnsi="Times New Roman"/>
          <w:sz w:val="24"/>
          <w:szCs w:val="24"/>
        </w:rPr>
      </w:pPr>
    </w:p>
    <w:p w14:paraId="56BB1848" w14:textId="77777777" w:rsidR="00F27CD5" w:rsidRPr="005F1FB2" w:rsidRDefault="00F27CD5" w:rsidP="00F27CD5">
      <w:pPr>
        <w:pStyle w:val="Heading3"/>
        <w:ind w:left="720"/>
        <w:rPr>
          <w:rFonts w:ascii="Times New Roman" w:hAnsi="Times New Roman" w:cs="Times New Roman"/>
        </w:rPr>
      </w:pPr>
      <w:r w:rsidRPr="005F1FB2">
        <w:rPr>
          <w:rFonts w:ascii="Times New Roman" w:hAnsi="Times New Roman" w:cs="Times New Roman"/>
          <w:color w:val="auto"/>
        </w:rPr>
        <w:t>See article: NEW YORK COURTS CLARIFY DEFINITION OF 'ACCIDENT' FOR DISABILITY RETIREMENT PURPOSES (Oct. 12, 2018)</w:t>
      </w:r>
      <w:r>
        <w:rPr>
          <w:rFonts w:ascii="Times New Roman" w:hAnsi="Times New Roman" w:cs="Times New Roman"/>
          <w:color w:val="auto"/>
        </w:rPr>
        <w:t xml:space="preserve">: </w:t>
      </w:r>
      <w:hyperlink r:id="rId1143" w:history="1">
        <w:r w:rsidRPr="005F1FB2">
          <w:rPr>
            <w:rStyle w:val="Hyperlink"/>
            <w:rFonts w:cs="Times New Roman"/>
          </w:rPr>
          <w:t>https://www.alexdell.com/news/79/NEW-YORK-COURTS-CLARIFY-DEFINITION-OF-ACCIDENT-FOR-DISABILITY-RETIREMENT-PURPOSES/</w:t>
        </w:r>
      </w:hyperlink>
    </w:p>
    <w:p w14:paraId="629F59BF" w14:textId="77777777" w:rsidR="00F27CD5" w:rsidRDefault="00F27CD5" w:rsidP="00F27CD5">
      <w:pPr>
        <w:pStyle w:val="NoSpacing"/>
        <w:ind w:left="720"/>
        <w:rPr>
          <w:rFonts w:ascii="Times New Roman" w:hAnsi="Times New Roman"/>
          <w:sz w:val="24"/>
          <w:szCs w:val="24"/>
        </w:rPr>
      </w:pPr>
    </w:p>
    <w:p w14:paraId="1642DB31" w14:textId="77777777" w:rsidR="00F27CD5" w:rsidRDefault="00F27CD5" w:rsidP="00F27CD5">
      <w:pPr>
        <w:pStyle w:val="NoSpacing"/>
        <w:ind w:left="1440"/>
        <w:rPr>
          <w:rFonts w:ascii="Times New Roman" w:hAnsi="Times New Roman"/>
          <w:sz w:val="24"/>
          <w:szCs w:val="24"/>
        </w:rPr>
      </w:pPr>
      <w:r>
        <w:rPr>
          <w:rFonts w:ascii="Times New Roman" w:hAnsi="Times New Roman"/>
          <w:sz w:val="24"/>
          <w:szCs w:val="24"/>
        </w:rPr>
        <w:t>“</w:t>
      </w:r>
      <w:r w:rsidRPr="007F639D">
        <w:rPr>
          <w:rFonts w:ascii="Times New Roman" w:hAnsi="Times New Roman"/>
          <w:sz w:val="24"/>
          <w:szCs w:val="24"/>
        </w:rPr>
        <w:t>In New York State, police officers and firefighters</w:t>
      </w:r>
      <w:r>
        <w:rPr>
          <w:rFonts w:ascii="Times New Roman" w:hAnsi="Times New Roman"/>
          <w:sz w:val="24"/>
          <w:szCs w:val="24"/>
        </w:rPr>
        <w:t xml:space="preserve"> </w:t>
      </w:r>
      <w:r w:rsidRPr="007F639D">
        <w:rPr>
          <w:rFonts w:ascii="Times New Roman" w:hAnsi="Times New Roman"/>
          <w:sz w:val="24"/>
          <w:szCs w:val="24"/>
        </w:rPr>
        <w:t xml:space="preserve">who are rendered permanently disabled as the result of an on-the-job </w:t>
      </w:r>
      <w:r>
        <w:rPr>
          <w:rFonts w:ascii="Times New Roman" w:hAnsi="Times New Roman"/>
          <w:sz w:val="24"/>
          <w:szCs w:val="24"/>
        </w:rPr>
        <w:t>‘</w:t>
      </w:r>
      <w:r w:rsidRPr="007F639D">
        <w:rPr>
          <w:rFonts w:ascii="Times New Roman" w:hAnsi="Times New Roman"/>
          <w:sz w:val="24"/>
          <w:szCs w:val="24"/>
        </w:rPr>
        <w:t>accident</w:t>
      </w:r>
      <w:r>
        <w:rPr>
          <w:rFonts w:ascii="Times New Roman" w:hAnsi="Times New Roman"/>
          <w:sz w:val="24"/>
          <w:szCs w:val="24"/>
        </w:rPr>
        <w:t>’</w:t>
      </w:r>
      <w:r w:rsidRPr="007F639D">
        <w:rPr>
          <w:rFonts w:ascii="Times New Roman" w:hAnsi="Times New Roman"/>
          <w:sz w:val="24"/>
          <w:szCs w:val="24"/>
        </w:rPr>
        <w:t xml:space="preserve"> are eligible to receive a tax-free pension of 75% of their Final Average Salary. To qualify, the first responder needs to demonstrate that their work injury meets the definition of an </w:t>
      </w:r>
      <w:r>
        <w:rPr>
          <w:rFonts w:ascii="Times New Roman" w:hAnsi="Times New Roman"/>
          <w:sz w:val="24"/>
          <w:szCs w:val="24"/>
        </w:rPr>
        <w:t>‘</w:t>
      </w:r>
      <w:r w:rsidRPr="007F639D">
        <w:rPr>
          <w:rFonts w:ascii="Times New Roman" w:hAnsi="Times New Roman"/>
          <w:sz w:val="24"/>
          <w:szCs w:val="24"/>
        </w:rPr>
        <w:t xml:space="preserve">accident” as defined over time by New York State courts. An </w:t>
      </w:r>
      <w:r>
        <w:rPr>
          <w:rFonts w:ascii="Times New Roman" w:hAnsi="Times New Roman"/>
          <w:sz w:val="24"/>
          <w:szCs w:val="24"/>
        </w:rPr>
        <w:t>‘</w:t>
      </w:r>
      <w:r w:rsidRPr="007F639D">
        <w:rPr>
          <w:rFonts w:ascii="Times New Roman" w:hAnsi="Times New Roman"/>
          <w:sz w:val="24"/>
          <w:szCs w:val="24"/>
        </w:rPr>
        <w:t>accident</w:t>
      </w:r>
      <w:r>
        <w:rPr>
          <w:rFonts w:ascii="Times New Roman" w:hAnsi="Times New Roman"/>
          <w:sz w:val="24"/>
          <w:szCs w:val="24"/>
        </w:rPr>
        <w:t>’</w:t>
      </w:r>
      <w:r w:rsidRPr="007F639D">
        <w:rPr>
          <w:rFonts w:ascii="Times New Roman" w:hAnsi="Times New Roman"/>
          <w:sz w:val="24"/>
          <w:szCs w:val="24"/>
        </w:rPr>
        <w:t xml:space="preserve"> is a sudden, unexpected occurrence that was not a risk inherent in the work performed. For years, this definition of an </w:t>
      </w:r>
      <w:r>
        <w:rPr>
          <w:rFonts w:ascii="Times New Roman" w:hAnsi="Times New Roman"/>
          <w:sz w:val="24"/>
          <w:szCs w:val="24"/>
        </w:rPr>
        <w:t>‘</w:t>
      </w:r>
      <w:r w:rsidRPr="007F639D">
        <w:rPr>
          <w:rFonts w:ascii="Times New Roman" w:hAnsi="Times New Roman"/>
          <w:sz w:val="24"/>
          <w:szCs w:val="24"/>
        </w:rPr>
        <w:t>accident</w:t>
      </w:r>
      <w:r>
        <w:rPr>
          <w:rFonts w:ascii="Times New Roman" w:hAnsi="Times New Roman"/>
          <w:sz w:val="24"/>
          <w:szCs w:val="24"/>
        </w:rPr>
        <w:t>’</w:t>
      </w:r>
      <w:r w:rsidRPr="007F639D">
        <w:rPr>
          <w:rFonts w:ascii="Times New Roman" w:hAnsi="Times New Roman"/>
          <w:sz w:val="24"/>
          <w:szCs w:val="24"/>
        </w:rPr>
        <w:t xml:space="preserve"> has been fraught with ambiguity and has led to inconsistent decisions, many of which involve cases where the employee was injured as the result of a misstep or fall.</w:t>
      </w:r>
      <w:r>
        <w:rPr>
          <w:rFonts w:ascii="Times New Roman" w:hAnsi="Times New Roman"/>
          <w:sz w:val="24"/>
          <w:szCs w:val="24"/>
        </w:rPr>
        <w:t xml:space="preserve"> </w:t>
      </w:r>
    </w:p>
    <w:p w14:paraId="1DDFA25F" w14:textId="77777777" w:rsidR="00F27CD5" w:rsidRDefault="00F27CD5" w:rsidP="00F27CD5">
      <w:pPr>
        <w:pStyle w:val="NoSpacing"/>
        <w:ind w:left="720"/>
        <w:rPr>
          <w:rFonts w:ascii="Times New Roman" w:hAnsi="Times New Roman"/>
          <w:sz w:val="24"/>
          <w:szCs w:val="24"/>
        </w:rPr>
      </w:pPr>
    </w:p>
    <w:p w14:paraId="2764D980" w14:textId="77777777" w:rsidR="00F27CD5" w:rsidRDefault="00F27CD5" w:rsidP="00F27CD5">
      <w:pPr>
        <w:pStyle w:val="NoSpacing"/>
        <w:ind w:left="720" w:firstLine="720"/>
        <w:rPr>
          <w:rFonts w:ascii="Times New Roman" w:hAnsi="Times New Roman"/>
          <w:sz w:val="24"/>
          <w:szCs w:val="24"/>
        </w:rPr>
      </w:pPr>
      <w:r>
        <w:rPr>
          <w:rFonts w:ascii="Times New Roman" w:hAnsi="Times New Roman"/>
          <w:sz w:val="24"/>
          <w:szCs w:val="24"/>
        </w:rPr>
        <w:lastRenderedPageBreak/>
        <w:t>***</w:t>
      </w:r>
    </w:p>
    <w:p w14:paraId="62F8C5CF" w14:textId="77777777" w:rsidR="00F27CD5" w:rsidRDefault="00F27CD5" w:rsidP="00F27CD5">
      <w:pPr>
        <w:pStyle w:val="NoSpacing"/>
        <w:ind w:left="1440"/>
        <w:rPr>
          <w:rFonts w:ascii="Times New Roman" w:hAnsi="Times New Roman"/>
          <w:sz w:val="24"/>
          <w:szCs w:val="24"/>
        </w:rPr>
      </w:pPr>
      <w:r w:rsidRPr="007F639D">
        <w:rPr>
          <w:rFonts w:ascii="Times New Roman" w:hAnsi="Times New Roman"/>
          <w:sz w:val="24"/>
          <w:szCs w:val="24"/>
        </w:rPr>
        <w:t xml:space="preserve">On February 13, 2018, the New York State Court of Appeals – the highest court in New York – decided two important cases involving applications for accidental disability retirement benefits. In </w:t>
      </w:r>
      <w:r w:rsidRPr="007F639D">
        <w:rPr>
          <w:rFonts w:ascii="Times New Roman" w:hAnsi="Times New Roman"/>
          <w:sz w:val="24"/>
          <w:szCs w:val="24"/>
          <w:u w:val="single"/>
        </w:rPr>
        <w:t>Kelly v. DiNapoli</w:t>
      </w:r>
      <w:r w:rsidRPr="007F639D">
        <w:rPr>
          <w:rFonts w:ascii="Times New Roman" w:hAnsi="Times New Roman"/>
          <w:sz w:val="24"/>
          <w:szCs w:val="24"/>
        </w:rPr>
        <w:t xml:space="preserve"> and </w:t>
      </w:r>
      <w:r w:rsidRPr="007F639D">
        <w:rPr>
          <w:rFonts w:ascii="Times New Roman" w:hAnsi="Times New Roman"/>
          <w:sz w:val="24"/>
          <w:szCs w:val="24"/>
          <w:u w:val="single"/>
        </w:rPr>
        <w:t>Sica v. DiNapoli</w:t>
      </w:r>
      <w:r w:rsidRPr="007F639D">
        <w:rPr>
          <w:rFonts w:ascii="Times New Roman" w:hAnsi="Times New Roman"/>
          <w:sz w:val="24"/>
          <w:szCs w:val="24"/>
        </w:rPr>
        <w:t xml:space="preserve">, the Court ruled that it would no longer require injured workers to demonstrate that they were injured as the result of a hazard that was not </w:t>
      </w:r>
      <w:r>
        <w:rPr>
          <w:rFonts w:ascii="Times New Roman" w:hAnsi="Times New Roman"/>
          <w:sz w:val="24"/>
          <w:szCs w:val="24"/>
        </w:rPr>
        <w:t>‘</w:t>
      </w:r>
      <w:r w:rsidRPr="007F639D">
        <w:rPr>
          <w:rFonts w:ascii="Times New Roman" w:hAnsi="Times New Roman"/>
          <w:sz w:val="24"/>
          <w:szCs w:val="24"/>
        </w:rPr>
        <w:t>readily observable.</w:t>
      </w:r>
      <w:r>
        <w:rPr>
          <w:rFonts w:ascii="Times New Roman" w:hAnsi="Times New Roman"/>
          <w:sz w:val="24"/>
          <w:szCs w:val="24"/>
        </w:rPr>
        <w:t>’</w:t>
      </w:r>
      <w:r w:rsidRPr="007F639D">
        <w:rPr>
          <w:rFonts w:ascii="Times New Roman" w:hAnsi="Times New Roman"/>
          <w:sz w:val="24"/>
          <w:szCs w:val="24"/>
        </w:rPr>
        <w:t xml:space="preserve"> Previously, applications for accidental disability retirement benefits were often denied simply because the hazard that caused the disabling injury was deemed </w:t>
      </w:r>
      <w:r>
        <w:rPr>
          <w:rFonts w:ascii="Times New Roman" w:hAnsi="Times New Roman"/>
          <w:sz w:val="24"/>
          <w:szCs w:val="24"/>
        </w:rPr>
        <w:t>‘</w:t>
      </w:r>
      <w:r w:rsidRPr="007F639D">
        <w:rPr>
          <w:rFonts w:ascii="Times New Roman" w:hAnsi="Times New Roman"/>
          <w:sz w:val="24"/>
          <w:szCs w:val="24"/>
        </w:rPr>
        <w:t>readily observable,</w:t>
      </w:r>
      <w:r>
        <w:rPr>
          <w:rFonts w:ascii="Times New Roman" w:hAnsi="Times New Roman"/>
          <w:sz w:val="24"/>
          <w:szCs w:val="24"/>
        </w:rPr>
        <w:t>’</w:t>
      </w:r>
      <w:r w:rsidRPr="007F639D">
        <w:rPr>
          <w:rFonts w:ascii="Times New Roman" w:hAnsi="Times New Roman"/>
          <w:sz w:val="24"/>
          <w:szCs w:val="24"/>
        </w:rPr>
        <w:t xml:space="preserve"> even if the injured worker did not actually see it at the time of their injury.</w:t>
      </w:r>
      <w:r>
        <w:rPr>
          <w:rFonts w:ascii="Times New Roman" w:hAnsi="Times New Roman"/>
          <w:sz w:val="24"/>
          <w:szCs w:val="24"/>
        </w:rPr>
        <w:t xml:space="preserve">” </w:t>
      </w:r>
    </w:p>
    <w:p w14:paraId="632BD6B7" w14:textId="77777777" w:rsidR="00F27CD5" w:rsidRDefault="00F27CD5" w:rsidP="00EF1133">
      <w:pPr>
        <w:rPr>
          <w:rFonts w:ascii="Arial Black" w:hAnsi="Arial Black"/>
          <w:b/>
          <w:sz w:val="24"/>
          <w:szCs w:val="24"/>
        </w:rPr>
      </w:pPr>
    </w:p>
    <w:p w14:paraId="0ABFE0A2" w14:textId="58AB2841" w:rsidR="00F27CD5" w:rsidRDefault="00F27C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4</w:t>
      </w:r>
    </w:p>
    <w:p w14:paraId="235441FE" w14:textId="77777777" w:rsidR="00F27CD5" w:rsidRDefault="00F27CD5" w:rsidP="00F27CD5">
      <w:pPr>
        <w:pStyle w:val="NoSpacing"/>
        <w:rPr>
          <w:rFonts w:ascii="Arial Black" w:hAnsi="Arial Black"/>
          <w:sz w:val="28"/>
          <w:szCs w:val="28"/>
        </w:rPr>
      </w:pPr>
      <w:r>
        <w:rPr>
          <w:rFonts w:ascii="Arial Black" w:hAnsi="Arial Black"/>
          <w:sz w:val="28"/>
          <w:szCs w:val="28"/>
        </w:rPr>
        <w:t xml:space="preserve">NJ: FF INJURED KNEE - SLIPPED ICE AT FIRE – PRE-EXISTING ARTHRITIS - “ACCIDENTAL DISABILITY” DENIED </w:t>
      </w:r>
    </w:p>
    <w:p w14:paraId="727461B8" w14:textId="77777777" w:rsidR="00F27CD5" w:rsidRDefault="00F27CD5" w:rsidP="00F27CD5">
      <w:pPr>
        <w:pStyle w:val="NoSpacing"/>
        <w:rPr>
          <w:rStyle w:val="font-weight-bold"/>
          <w:rFonts w:ascii="Times New Roman" w:hAnsi="Times New Roman"/>
          <w:sz w:val="24"/>
          <w:szCs w:val="24"/>
        </w:rPr>
      </w:pPr>
      <w:r>
        <w:rPr>
          <w:rFonts w:ascii="Times New Roman" w:hAnsi="Times New Roman"/>
          <w:sz w:val="24"/>
          <w:szCs w:val="24"/>
        </w:rPr>
        <w:t xml:space="preserve">On May 20, 2021, in </w:t>
      </w:r>
      <w:r w:rsidRPr="00330426">
        <w:rPr>
          <w:rFonts w:ascii="Times New Roman" w:hAnsi="Times New Roman"/>
          <w:sz w:val="24"/>
          <w:szCs w:val="24"/>
          <w:u w:val="single"/>
        </w:rPr>
        <w:t xml:space="preserve">Matthew Davis v. Board of Trustees, Police </w:t>
      </w:r>
      <w:proofErr w:type="gramStart"/>
      <w:r w:rsidRPr="00330426">
        <w:rPr>
          <w:rFonts w:ascii="Times New Roman" w:hAnsi="Times New Roman"/>
          <w:sz w:val="24"/>
          <w:szCs w:val="24"/>
          <w:u w:val="single"/>
        </w:rPr>
        <w:t>And</w:t>
      </w:r>
      <w:proofErr w:type="gramEnd"/>
      <w:r w:rsidRPr="00330426">
        <w:rPr>
          <w:rFonts w:ascii="Times New Roman" w:hAnsi="Times New Roman"/>
          <w:sz w:val="24"/>
          <w:szCs w:val="24"/>
          <w:u w:val="single"/>
        </w:rPr>
        <w:t xml:space="preserve"> Firemen’s Retirement System</w:t>
      </w:r>
      <w:r>
        <w:rPr>
          <w:rFonts w:ascii="Times New Roman" w:hAnsi="Times New Roman"/>
          <w:sz w:val="24"/>
          <w:szCs w:val="24"/>
        </w:rPr>
        <w:t xml:space="preserve">, the Superior Court of New Jersey, Appellate Division, </w:t>
      </w:r>
      <w:r w:rsidRPr="00330426">
        <w:rPr>
          <w:rStyle w:val="font-weight-bold"/>
          <w:rFonts w:ascii="Times New Roman" w:hAnsi="Times New Roman"/>
          <w:sz w:val="24"/>
          <w:szCs w:val="24"/>
        </w:rPr>
        <w:t xml:space="preserve">Davis v. Bd. of </w:t>
      </w:r>
      <w:proofErr w:type="spellStart"/>
      <w:r w:rsidRPr="00330426">
        <w:rPr>
          <w:rStyle w:val="font-weight-bold"/>
          <w:rFonts w:ascii="Times New Roman" w:hAnsi="Times New Roman"/>
          <w:sz w:val="24"/>
          <w:szCs w:val="24"/>
        </w:rPr>
        <w:t>Trs</w:t>
      </w:r>
      <w:proofErr w:type="spellEnd"/>
      <w:r w:rsidRPr="00330426">
        <w:rPr>
          <w:rStyle w:val="font-weight-bold"/>
          <w:rFonts w:ascii="Times New Roman" w:hAnsi="Times New Roman"/>
          <w:sz w:val="24"/>
          <w:szCs w:val="24"/>
        </w:rPr>
        <w:t>. (N.J. Super. App. Div. 2021)</w:t>
      </w:r>
      <w:r>
        <w:rPr>
          <w:rStyle w:val="font-weight-bold"/>
          <w:rFonts w:ascii="Times New Roman" w:hAnsi="Times New Roman"/>
          <w:sz w:val="24"/>
          <w:szCs w:val="24"/>
        </w:rPr>
        <w:t xml:space="preserve">, in unpublished decision, held (3 to 0) that the firefighter was not entitled to extra “accidental” disability benefits, only ordinary disability, since the 2015 injury was caused by the arthritis and lack of stability in his right knee from the 2005 skiing accident and ACL surgery. </w:t>
      </w:r>
    </w:p>
    <w:p w14:paraId="2EA24C42" w14:textId="75D5D5BD" w:rsidR="00F27CD5" w:rsidRDefault="00F27CD5" w:rsidP="00F27CD5">
      <w:pPr>
        <w:rPr>
          <w:rFonts w:ascii="Arial Black" w:hAnsi="Arial Black"/>
          <w:b/>
          <w:sz w:val="24"/>
          <w:szCs w:val="24"/>
        </w:rPr>
      </w:pPr>
      <w:r>
        <w:rPr>
          <w:rFonts w:ascii="Times New Roman" w:eastAsia="Times New Roman" w:hAnsi="Times New Roman"/>
          <w:sz w:val="24"/>
          <w:szCs w:val="24"/>
        </w:rPr>
        <w:t>“</w:t>
      </w:r>
      <w:r w:rsidRPr="00E26351">
        <w:rPr>
          <w:rFonts w:ascii="Times New Roman" w:eastAsia="Times New Roman" w:hAnsi="Times New Roman"/>
          <w:sz w:val="24"/>
          <w:szCs w:val="24"/>
        </w:rPr>
        <w:t xml:space="preserve">The Board stated that, under </w:t>
      </w:r>
      <w:r w:rsidRPr="00E26351">
        <w:rPr>
          <w:rFonts w:ascii="Times New Roman" w:eastAsia="Times New Roman" w:hAnsi="Times New Roman"/>
          <w:sz w:val="24"/>
          <w:szCs w:val="24"/>
          <w:u w:val="single"/>
        </w:rPr>
        <w:t>Gerba v. Board of Trustees, Public Employees' Retirement System</w:t>
      </w:r>
      <w:r w:rsidRPr="00E26351">
        <w:rPr>
          <w:rFonts w:ascii="Times New Roman" w:eastAsia="Times New Roman" w:hAnsi="Times New Roman"/>
          <w:sz w:val="24"/>
          <w:szCs w:val="24"/>
        </w:rPr>
        <w:t>, 83 N.J. 174, 186 (1980), an individual does not qualify for accidental disability benefits if the disability is caused by an underlying condition, which has not been directly caused, but is only aggravated or ignited by the traumatic event. The Board concluded that the evidence showed that the 2015 incident merely aggravated or ignited Davis's long-standing pre-existing arthritis. Therefore, he is not entitled to accidental disability retirement benefits. There is sufficient credible evidence in the record to support the Board's findings.</w:t>
      </w:r>
      <w:r>
        <w:rPr>
          <w:rFonts w:ascii="Times New Roman" w:eastAsia="Times New Roman" w:hAnsi="Times New Roman"/>
          <w:sz w:val="24"/>
          <w:szCs w:val="24"/>
        </w:rPr>
        <w:t xml:space="preserve">” </w:t>
      </w:r>
      <w:hyperlink r:id="rId1144" w:history="1">
        <w:r w:rsidRPr="007344F4">
          <w:rPr>
            <w:rStyle w:val="Hyperlink"/>
            <w:sz w:val="24"/>
            <w:szCs w:val="24"/>
          </w:rPr>
          <w:t>https://njcourts.gov/attorneys/assets/opinions/appellate/unpublished/a4070-18.pdf</w:t>
        </w:r>
      </w:hyperlink>
    </w:p>
    <w:p w14:paraId="1B1FF44D" w14:textId="77777777" w:rsidR="00F27CD5" w:rsidRPr="00D96A67" w:rsidRDefault="00F27CD5" w:rsidP="00F27CD5">
      <w:pPr>
        <w:pStyle w:val="NormalWeb"/>
        <w:rPr>
          <w:b/>
          <w:bCs/>
        </w:rPr>
      </w:pPr>
      <w:r w:rsidRPr="00D96A67">
        <w:rPr>
          <w:b/>
          <w:bCs/>
        </w:rPr>
        <w:t>Legal Lesson Learned:</w:t>
      </w:r>
      <w:r>
        <w:rPr>
          <w:b/>
          <w:bCs/>
        </w:rPr>
        <w:t xml:space="preserve"> This was a classic “battle of the experts.” An agency’s decision to accept or reject an expert’s testimony will generally be upheld by Courts on appeal. </w:t>
      </w:r>
    </w:p>
    <w:p w14:paraId="508F6A6C" w14:textId="77777777" w:rsidR="00F27CD5" w:rsidRDefault="00F27CD5" w:rsidP="00EF1133">
      <w:pPr>
        <w:rPr>
          <w:rFonts w:ascii="Arial Black" w:hAnsi="Arial Black"/>
          <w:b/>
          <w:sz w:val="24"/>
          <w:szCs w:val="24"/>
        </w:rPr>
      </w:pPr>
    </w:p>
    <w:p w14:paraId="7D9A14E1" w14:textId="77777777" w:rsidR="00F27CD5" w:rsidRDefault="00F27CD5" w:rsidP="00EF1133">
      <w:pPr>
        <w:rPr>
          <w:rFonts w:ascii="Arial Black" w:hAnsi="Arial Black"/>
          <w:b/>
          <w:sz w:val="24"/>
          <w:szCs w:val="24"/>
        </w:rPr>
      </w:pPr>
    </w:p>
    <w:p w14:paraId="2BFECD75" w14:textId="05B02F13" w:rsidR="00F27CD5" w:rsidRDefault="00F27C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3</w:t>
      </w:r>
    </w:p>
    <w:p w14:paraId="1B212B2D" w14:textId="77777777" w:rsidR="00F27CD5" w:rsidRDefault="00F27CD5" w:rsidP="00F27CD5">
      <w:pPr>
        <w:pStyle w:val="NoSpacing"/>
        <w:rPr>
          <w:rFonts w:ascii="Arial Black" w:hAnsi="Arial Black"/>
          <w:sz w:val="28"/>
          <w:szCs w:val="28"/>
        </w:rPr>
      </w:pPr>
      <w:r>
        <w:rPr>
          <w:rFonts w:ascii="Arial Black" w:hAnsi="Arial Black"/>
          <w:sz w:val="28"/>
          <w:szCs w:val="28"/>
        </w:rPr>
        <w:t>LA: CITY MUST PAY $1.6 BACKPAY TO CURRENT / RETIRED FF – STATE LAW REQ. “LONGEVITY” PAY AFTER 3 YEARS</w:t>
      </w:r>
    </w:p>
    <w:p w14:paraId="62822132" w14:textId="77777777" w:rsidR="00F27CD5" w:rsidRDefault="00F27CD5" w:rsidP="00F27CD5">
      <w:pPr>
        <w:pStyle w:val="text"/>
      </w:pPr>
      <w:r w:rsidRPr="001B4D08">
        <w:t xml:space="preserve">On </w:t>
      </w:r>
      <w:r>
        <w:t xml:space="preserve">May 13, 2021, in </w:t>
      </w:r>
      <w:r w:rsidRPr="001B4D08">
        <w:rPr>
          <w:u w:val="single"/>
        </w:rPr>
        <w:t>Arnold Lowther, et al. v. Town of Bastrop</w:t>
      </w:r>
      <w:r>
        <w:t xml:space="preserve">, the Supreme Court of Louisiana held (6 to 1) that the </w:t>
      </w:r>
      <w:proofErr w:type="gramStart"/>
      <w:r>
        <w:t>City</w:t>
      </w:r>
      <w:proofErr w:type="gramEnd"/>
      <w:r>
        <w:t xml:space="preserve"> must pay $1,673,805 in backpay to 32 current and former firefighters; </w:t>
      </w:r>
      <w:r w:rsidRPr="0059197A">
        <w:t xml:space="preserve">Louisiana law states that firefighters will receive longevity pay after three continuous years of service. </w:t>
      </w:r>
    </w:p>
    <w:p w14:paraId="35405411" w14:textId="77777777" w:rsidR="00F27CD5" w:rsidRDefault="00F27CD5" w:rsidP="00F27CD5">
      <w:pPr>
        <w:pStyle w:val="NormalWeb"/>
        <w:ind w:left="720"/>
      </w:pPr>
      <w:r>
        <w:t>“</w:t>
      </w:r>
      <w:r w:rsidRPr="0059197A">
        <w:t>The action requested by the Firefighters' amended petition for a writ of mandamus is the City's ministerial duty to appropriate funds necessary to satisfy the May 2019 judgment as required by La. Const. art. VI, § 14(A)(2)(e), La. R.S. 33:1992(A), La. R.S. 33:1992(B), and La. R.S. 33:1969.</w:t>
      </w:r>
      <w:bookmarkStart w:id="231" w:name="fn6"/>
      <w:r w:rsidRPr="0059197A">
        <w:rPr>
          <w:vertAlign w:val="superscript"/>
        </w:rPr>
        <w:fldChar w:fldCharType="begin"/>
      </w:r>
      <w:r w:rsidRPr="0059197A">
        <w:rPr>
          <w:vertAlign w:val="superscript"/>
        </w:rPr>
        <w:instrText xml:space="preserve"> HYPERLINK "https://public.fastcase.com/" \l "fr6" </w:instrText>
      </w:r>
      <w:r w:rsidRPr="0059197A">
        <w:rPr>
          <w:vertAlign w:val="superscript"/>
        </w:rPr>
      </w:r>
      <w:r w:rsidRPr="0059197A">
        <w:rPr>
          <w:vertAlign w:val="superscript"/>
        </w:rPr>
        <w:fldChar w:fldCharType="separate"/>
      </w:r>
      <w:r w:rsidRPr="0059197A">
        <w:rPr>
          <w:rStyle w:val="Hyperlink"/>
          <w:vertAlign w:val="superscript"/>
        </w:rPr>
        <w:t>6</w:t>
      </w:r>
      <w:r w:rsidRPr="0059197A">
        <w:rPr>
          <w:vertAlign w:val="superscript"/>
        </w:rPr>
        <w:fldChar w:fldCharType="end"/>
      </w:r>
      <w:bookmarkEnd w:id="231"/>
      <w:r w:rsidRPr="0059197A">
        <w:t xml:space="preserve"> Accordingly, we find the Firefighters' allegations that the City has failed to perform this duty state a valid cause of action.</w:t>
      </w:r>
      <w:r>
        <w:t xml:space="preserve">” </w:t>
      </w:r>
      <w:hyperlink r:id="rId1145" w:history="1">
        <w:r w:rsidRPr="00416E6F">
          <w:rPr>
            <w:rStyle w:val="Hyperlink"/>
          </w:rPr>
          <w:t>https://www.lasc.org/Opinions/2021/20-1231.C.OPN.pdf</w:t>
        </w:r>
      </w:hyperlink>
      <w:r>
        <w:t xml:space="preserve"> </w:t>
      </w:r>
    </w:p>
    <w:p w14:paraId="19602926" w14:textId="77777777" w:rsidR="00F27CD5" w:rsidRDefault="00F27CD5" w:rsidP="00F27CD5">
      <w:pPr>
        <w:spacing w:before="100" w:beforeAutospacing="1" w:after="100" w:afterAutospacing="1"/>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Legal Lesson Learned: The court-ordered </w:t>
      </w:r>
      <w:proofErr w:type="gramStart"/>
      <w:r>
        <w:rPr>
          <w:rFonts w:ascii="Times New Roman" w:eastAsia="Times New Roman" w:hAnsi="Times New Roman"/>
          <w:b/>
          <w:bCs/>
          <w:sz w:val="24"/>
          <w:szCs w:val="24"/>
        </w:rPr>
        <w:t>back pay</w:t>
      </w:r>
      <w:proofErr w:type="gramEnd"/>
      <w:r>
        <w:rPr>
          <w:rFonts w:ascii="Times New Roman" w:eastAsia="Times New Roman" w:hAnsi="Times New Roman"/>
          <w:b/>
          <w:bCs/>
          <w:sz w:val="24"/>
          <w:szCs w:val="24"/>
        </w:rPr>
        <w:t xml:space="preserve"> award must be honored.</w:t>
      </w:r>
    </w:p>
    <w:p w14:paraId="1917693B" w14:textId="77777777" w:rsidR="00F27CD5" w:rsidRDefault="00F27CD5" w:rsidP="00F27CD5">
      <w:pPr>
        <w:pStyle w:val="text"/>
        <w:ind w:left="720"/>
      </w:pPr>
      <w:r>
        <w:t xml:space="preserve">Note: On March 20, 2021, the City held a special election and citizens voted for a 1.4 mil property tax to pay the judgment. </w:t>
      </w:r>
      <w:hyperlink r:id="rId1146" w:history="1">
        <w:r w:rsidRPr="00416E6F">
          <w:rPr>
            <w:rStyle w:val="Hyperlink"/>
          </w:rPr>
          <w:t>https://www.knoe.com/2021/03/21/bastrop-passes-14-million-property-tax/</w:t>
        </w:r>
      </w:hyperlink>
      <w:r>
        <w:t xml:space="preserve"> </w:t>
      </w:r>
    </w:p>
    <w:p w14:paraId="322CBF6C" w14:textId="77777777" w:rsidR="00F27CD5" w:rsidRDefault="00F27CD5" w:rsidP="00F27CD5">
      <w:pPr>
        <w:spacing w:before="100" w:beforeAutospacing="1" w:after="100" w:afterAutospacing="1"/>
        <w:ind w:left="720"/>
      </w:pPr>
      <w:r>
        <w:rPr>
          <w:rFonts w:ascii="Times New Roman" w:eastAsia="Times New Roman" w:hAnsi="Times New Roman"/>
          <w:sz w:val="24"/>
          <w:szCs w:val="24"/>
        </w:rPr>
        <w:t xml:space="preserve">See also: </w:t>
      </w:r>
      <w:r w:rsidRPr="00E42885">
        <w:rPr>
          <w:rFonts w:ascii="Times New Roman" w:eastAsia="Times New Roman" w:hAnsi="Times New Roman"/>
          <w:sz w:val="24"/>
          <w:szCs w:val="24"/>
        </w:rPr>
        <w:t xml:space="preserve">May 6, 2019: </w:t>
      </w:r>
      <w:r>
        <w:rPr>
          <w:rFonts w:ascii="Times New Roman" w:eastAsia="Times New Roman" w:hAnsi="Times New Roman"/>
          <w:sz w:val="24"/>
          <w:szCs w:val="24"/>
        </w:rPr>
        <w:t>“</w:t>
      </w:r>
      <w:r w:rsidRPr="00E42885">
        <w:rPr>
          <w:rFonts w:ascii="Times New Roman" w:hAnsi="Times New Roman"/>
          <w:sz w:val="24"/>
          <w:szCs w:val="24"/>
        </w:rPr>
        <w:t>Bastrop ordered to pay more than $1.6 million to firemen after lawsuit</w:t>
      </w:r>
      <w:r>
        <w:rPr>
          <w:rFonts w:ascii="Times New Roman" w:hAnsi="Times New Roman"/>
          <w:sz w:val="24"/>
          <w:szCs w:val="24"/>
        </w:rPr>
        <w:t xml:space="preserve">.” </w:t>
      </w:r>
      <w:hyperlink r:id="rId1147" w:history="1">
        <w:r w:rsidRPr="00416E6F">
          <w:rPr>
            <w:rStyle w:val="Hyperlink"/>
          </w:rPr>
          <w:t>https://www.knoe.com/content/news/Bastrop-ordered-to-pay-more-than-16-million-to-firemen-after-lawsuit-509570521.html</w:t>
        </w:r>
      </w:hyperlink>
    </w:p>
    <w:p w14:paraId="0EDEF9C8" w14:textId="79B8548B" w:rsidR="00F27CD5" w:rsidRDefault="00F27CD5" w:rsidP="00F27CD5">
      <w:pPr>
        <w:ind w:left="720"/>
        <w:rPr>
          <w:rFonts w:ascii="Arial Black" w:hAnsi="Arial Black"/>
          <w:b/>
          <w:sz w:val="24"/>
          <w:szCs w:val="24"/>
        </w:rPr>
      </w:pPr>
      <w:r w:rsidRPr="001F5FAA">
        <w:rPr>
          <w:rFonts w:ascii="Times New Roman" w:hAnsi="Times New Roman"/>
          <w:sz w:val="24"/>
          <w:szCs w:val="24"/>
        </w:rPr>
        <w:t xml:space="preserve">April 22, 2019: TV </w:t>
      </w:r>
      <w:r>
        <w:rPr>
          <w:rFonts w:ascii="Times New Roman" w:hAnsi="Times New Roman"/>
          <w:sz w:val="24"/>
          <w:szCs w:val="24"/>
        </w:rPr>
        <w:t>v</w:t>
      </w:r>
      <w:r w:rsidRPr="001F5FAA">
        <w:rPr>
          <w:rFonts w:ascii="Times New Roman" w:hAnsi="Times New Roman"/>
          <w:sz w:val="24"/>
          <w:szCs w:val="24"/>
        </w:rPr>
        <w:t>ideo</w:t>
      </w:r>
      <w:r>
        <w:rPr>
          <w:rFonts w:ascii="Times New Roman" w:hAnsi="Times New Roman"/>
          <w:sz w:val="24"/>
          <w:szCs w:val="24"/>
        </w:rPr>
        <w:t xml:space="preserve"> interview current Mayor</w:t>
      </w:r>
      <w:r w:rsidRPr="001F5FAA">
        <w:rPr>
          <w:rFonts w:ascii="Times New Roman" w:hAnsi="Times New Roman"/>
          <w:sz w:val="24"/>
          <w:szCs w:val="24"/>
        </w:rPr>
        <w:t xml:space="preserve">, “Bastrop firefighters fighting for their pay, the mayor says they deserve it.” : </w:t>
      </w:r>
      <w:hyperlink r:id="rId1148" w:history="1">
        <w:r w:rsidRPr="001F5FAA">
          <w:rPr>
            <w:rStyle w:val="Hyperlink"/>
            <w:sz w:val="24"/>
            <w:szCs w:val="24"/>
          </w:rPr>
          <w:t>https://www.myarklamiss.com/news/local-news/bastrop-firefighters-fighting-for-their-pay-the-mayor-says-they-deserve-it/</w:t>
        </w:r>
      </w:hyperlink>
    </w:p>
    <w:p w14:paraId="1311D0E7" w14:textId="77777777" w:rsidR="00F27CD5" w:rsidRDefault="00F27CD5" w:rsidP="00EF1133">
      <w:pPr>
        <w:rPr>
          <w:rFonts w:ascii="Arial Black" w:hAnsi="Arial Black"/>
          <w:b/>
          <w:sz w:val="24"/>
          <w:szCs w:val="24"/>
        </w:rPr>
      </w:pPr>
    </w:p>
    <w:p w14:paraId="6B591346" w14:textId="7C30A5CE" w:rsidR="00BD263B" w:rsidRDefault="00BD263B"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2</w:t>
      </w:r>
    </w:p>
    <w:p w14:paraId="3E678A48" w14:textId="77777777" w:rsidR="00BD263B" w:rsidRPr="007A4A18" w:rsidRDefault="00BD263B" w:rsidP="00BD263B">
      <w:pPr>
        <w:pStyle w:val="Heading1"/>
        <w:rPr>
          <w:rFonts w:ascii="Arial Black" w:hAnsi="Arial Black"/>
          <w:b w:val="0"/>
          <w:bCs w:val="0"/>
          <w:sz w:val="28"/>
          <w:szCs w:val="28"/>
        </w:rPr>
      </w:pPr>
      <w:bookmarkStart w:id="232" w:name="_Hlk81842110"/>
      <w:r>
        <w:rPr>
          <w:rFonts w:ascii="Arial Black" w:hAnsi="Arial Black"/>
          <w:b w:val="0"/>
          <w:bCs w:val="0"/>
          <w:sz w:val="28"/>
          <w:szCs w:val="28"/>
        </w:rPr>
        <w:t>MD: BALTIMORE – PENSION 20 YEARS TO 25 YEARS – COLA – BUT CITY MUST PAY $31 MILLION PRIOR RETIREES</w:t>
      </w:r>
    </w:p>
    <w:bookmarkEnd w:id="232"/>
    <w:p w14:paraId="2530D116" w14:textId="77777777" w:rsidR="00BD263B" w:rsidRPr="000A6C3C" w:rsidRDefault="00BD263B" w:rsidP="00BD263B">
      <w:pPr>
        <w:pStyle w:val="Heading1"/>
        <w:rPr>
          <w:rStyle w:val="markedcontent"/>
          <w:b w:val="0"/>
          <w:bCs w:val="0"/>
          <w:sz w:val="24"/>
          <w:szCs w:val="24"/>
        </w:rPr>
      </w:pPr>
      <w:r>
        <w:rPr>
          <w:b w:val="0"/>
          <w:bCs w:val="0"/>
          <w:sz w:val="24"/>
          <w:szCs w:val="24"/>
        </w:rPr>
        <w:t xml:space="preserve">On Aug. 16, 2021, in </w:t>
      </w:r>
      <w:r w:rsidRPr="001A7E4B">
        <w:rPr>
          <w:b w:val="0"/>
          <w:bCs w:val="0"/>
          <w:sz w:val="24"/>
          <w:szCs w:val="24"/>
          <w:u w:val="single"/>
        </w:rPr>
        <w:t>Robert F. Cherry, Jr. et al. v. Mayor and City Council of Baltimore City</w:t>
      </w:r>
      <w:r>
        <w:rPr>
          <w:b w:val="0"/>
          <w:bCs w:val="0"/>
          <w:sz w:val="24"/>
          <w:szCs w:val="24"/>
        </w:rPr>
        <w:t>, the Court of Appeals of Maryland, held (7 to 0) in a class action that the city made “</w:t>
      </w:r>
      <w:r w:rsidRPr="001A7E4B">
        <w:rPr>
          <w:rStyle w:val="markedcontent"/>
          <w:b w:val="0"/>
          <w:bCs w:val="0"/>
          <w:sz w:val="24"/>
          <w:szCs w:val="24"/>
        </w:rPr>
        <w:t>reasonable and necessary prospective change</w:t>
      </w:r>
      <w:r>
        <w:rPr>
          <w:rStyle w:val="markedcontent"/>
          <w:b w:val="0"/>
          <w:bCs w:val="0"/>
          <w:sz w:val="24"/>
          <w:szCs w:val="24"/>
        </w:rPr>
        <w:t xml:space="preserve">s” to protect the retirement plan for current firefighters and police officers.  </w:t>
      </w:r>
      <w:r w:rsidRPr="001A7E4B">
        <w:rPr>
          <w:rStyle w:val="markedcontent"/>
          <w:b w:val="0"/>
          <w:bCs w:val="0"/>
          <w:sz w:val="24"/>
          <w:szCs w:val="24"/>
        </w:rPr>
        <w:t>“Most notably, it replaced a variable post-retirement cost-of-living adjustment that was based entirely on the investment performance of Plan assets with a guaranteed, tiered cost-of-living adjustment that is not market-driven.</w:t>
      </w:r>
      <w:r>
        <w:rPr>
          <w:rStyle w:val="markedcontent"/>
          <w:b w:val="0"/>
          <w:bCs w:val="0"/>
          <w:sz w:val="24"/>
          <w:szCs w:val="24"/>
        </w:rPr>
        <w:t xml:space="preserve">”  Service time was also expanded. </w:t>
      </w:r>
    </w:p>
    <w:p w14:paraId="5CD2062B" w14:textId="77777777" w:rsidR="00BD263B" w:rsidRDefault="00BD263B" w:rsidP="00BD263B">
      <w:pPr>
        <w:pStyle w:val="Heading1"/>
        <w:ind w:left="720"/>
        <w:rPr>
          <w:rStyle w:val="markedcontent"/>
          <w:b w:val="0"/>
          <w:bCs w:val="0"/>
          <w:sz w:val="24"/>
          <w:szCs w:val="24"/>
        </w:rPr>
      </w:pPr>
      <w:r>
        <w:rPr>
          <w:rStyle w:val="markedcontent"/>
          <w:b w:val="0"/>
          <w:bCs w:val="0"/>
          <w:sz w:val="24"/>
          <w:szCs w:val="24"/>
        </w:rPr>
        <w:t>“</w:t>
      </w:r>
      <w:r w:rsidRPr="001A7E4B">
        <w:rPr>
          <w:rStyle w:val="markedcontent"/>
          <w:b w:val="0"/>
          <w:bCs w:val="0"/>
          <w:sz w:val="24"/>
          <w:szCs w:val="24"/>
        </w:rPr>
        <w:t xml:space="preserve">Over the course of time, governing bodies of large cities face many challenges. One </w:t>
      </w:r>
      <w:r w:rsidRPr="001A7E4B">
        <w:rPr>
          <w:b w:val="0"/>
          <w:bCs w:val="0"/>
          <w:sz w:val="24"/>
          <w:szCs w:val="24"/>
        </w:rPr>
        <w:br/>
      </w:r>
      <w:r w:rsidRPr="001A7E4B">
        <w:rPr>
          <w:rStyle w:val="markedcontent"/>
          <w:b w:val="0"/>
          <w:bCs w:val="0"/>
          <w:sz w:val="24"/>
          <w:szCs w:val="24"/>
        </w:rPr>
        <w:t>such challenge that some cities and other local governments may confront is how to change a public pension plan that is actuarially unsound. Often, the public employees who participate in these plans are represented by unions that register legitimate objections to proposed modifications. Taking such action in the face of opposition by public employees can be difficult politically. The challenge is magnified when the city is in dire financial straits. In such a situation, the city may have to choose between the lesser of two evils: change the plan without the consent, and to the consternation, of employees who have devoted their careers to public service; or keep the plan as is and put the city deeper into debt, perhaps even risking financial ruin. In 2010, Baltimore City faced this choice.</w:t>
      </w:r>
    </w:p>
    <w:p w14:paraId="00437CE9" w14:textId="77777777" w:rsidR="00BD263B" w:rsidRDefault="00BD263B" w:rsidP="00BD263B">
      <w:pPr>
        <w:rPr>
          <w:rFonts w:ascii="Arial Black" w:hAnsi="Arial Black"/>
          <w:b/>
          <w:sz w:val="24"/>
          <w:szCs w:val="24"/>
        </w:rPr>
      </w:pPr>
      <w:r w:rsidRPr="001A7E4B">
        <w:rPr>
          <w:rStyle w:val="markedcontent"/>
          <w:sz w:val="24"/>
          <w:szCs w:val="24"/>
        </w:rPr>
        <w:t xml:space="preserve">The record makes clear that the </w:t>
      </w:r>
      <w:proofErr w:type="gramStart"/>
      <w:r w:rsidRPr="001A7E4B">
        <w:rPr>
          <w:rStyle w:val="markedcontent"/>
          <w:sz w:val="24"/>
          <w:szCs w:val="24"/>
        </w:rPr>
        <w:t>City</w:t>
      </w:r>
      <w:proofErr w:type="gramEnd"/>
      <w:r w:rsidRPr="001A7E4B">
        <w:rPr>
          <w:rStyle w:val="markedcontent"/>
          <w:sz w:val="24"/>
          <w:szCs w:val="24"/>
        </w:rPr>
        <w:t xml:space="preserve"> took no pleasure in modifying the Plan with </w:t>
      </w:r>
      <w:r w:rsidRPr="001A7E4B">
        <w:rPr>
          <w:sz w:val="24"/>
          <w:szCs w:val="24"/>
        </w:rPr>
        <w:br/>
      </w:r>
      <w:r w:rsidRPr="001A7E4B">
        <w:rPr>
          <w:rStyle w:val="markedcontent"/>
          <w:sz w:val="24"/>
          <w:szCs w:val="24"/>
        </w:rPr>
        <w:t xml:space="preserve">the enactment of Ordinance 10-306. The City was faced with a lose-lose proposition: either change the terms of the Plan and incur the wrath of its </w:t>
      </w:r>
      <w:proofErr w:type="gramStart"/>
      <w:r w:rsidRPr="001A7E4B">
        <w:rPr>
          <w:rStyle w:val="markedcontent"/>
          <w:sz w:val="24"/>
          <w:szCs w:val="24"/>
        </w:rPr>
        <w:t>members, or</w:t>
      </w:r>
      <w:proofErr w:type="gramEnd"/>
      <w:r w:rsidRPr="001A7E4B">
        <w:rPr>
          <w:rStyle w:val="markedcontent"/>
          <w:sz w:val="24"/>
          <w:szCs w:val="24"/>
        </w:rPr>
        <w:t xml:space="preserve"> allow the unsustainable Plan eventually to consume itself from within, harming the Plan members and all City residents. The </w:t>
      </w:r>
      <w:proofErr w:type="gramStart"/>
      <w:r w:rsidRPr="001A7E4B">
        <w:rPr>
          <w:rStyle w:val="markedcontent"/>
          <w:sz w:val="24"/>
          <w:szCs w:val="24"/>
        </w:rPr>
        <w:t>City</w:t>
      </w:r>
      <w:proofErr w:type="gramEnd"/>
      <w:r w:rsidRPr="001A7E4B">
        <w:rPr>
          <w:rStyle w:val="markedcontent"/>
          <w:sz w:val="24"/>
          <w:szCs w:val="24"/>
        </w:rPr>
        <w:t xml:space="preserve"> opted for the former approach. As to the Active Sub-class, Ordinance 10-306’s changes made reasonable and necessary prospective changes. Thus, the City did not breach its contract with the Active Sub-class. However, the Ordinance retrospectively divested Retired and Retirement-Eligible members of the benefits they had earned by reaching Service Retirement eligibility. The City breached its contract with those Sub-classes and is liable for damages to the members as calculated and ordered by the circuit </w:t>
      </w:r>
      <w:proofErr w:type="gramStart"/>
      <w:r w:rsidRPr="001A7E4B">
        <w:rPr>
          <w:rStyle w:val="markedcontent"/>
          <w:sz w:val="24"/>
          <w:szCs w:val="24"/>
        </w:rPr>
        <w:t>court.</w:t>
      </w:r>
      <w:r>
        <w:rPr>
          <w:rStyle w:val="markedcontent"/>
          <w:sz w:val="24"/>
          <w:szCs w:val="24"/>
        </w:rPr>
        <w:t>”</w:t>
      </w:r>
      <w:proofErr w:type="gramEnd"/>
      <w:r>
        <w:rPr>
          <w:rStyle w:val="markedcontent"/>
          <w:sz w:val="24"/>
          <w:szCs w:val="24"/>
        </w:rPr>
        <w:t xml:space="preserve"> </w:t>
      </w:r>
      <w:hyperlink r:id="rId1149" w:history="1">
        <w:r w:rsidRPr="00EE73D5">
          <w:rPr>
            <w:rStyle w:val="Hyperlink"/>
            <w:sz w:val="24"/>
            <w:szCs w:val="24"/>
          </w:rPr>
          <w:t>https://www.courts.state.md.us/data/opinions/coa/2021/36a20.pdf</w:t>
        </w:r>
      </w:hyperlink>
    </w:p>
    <w:p w14:paraId="2A178C2E" w14:textId="77777777" w:rsidR="00BD263B" w:rsidRPr="007B0E98" w:rsidRDefault="00BD263B" w:rsidP="00BD263B">
      <w:pPr>
        <w:pStyle w:val="NormalWeb"/>
        <w:tabs>
          <w:tab w:val="left" w:pos="2890"/>
        </w:tabs>
        <w:rPr>
          <w:b/>
          <w:bCs/>
        </w:rPr>
      </w:pPr>
      <w:r w:rsidRPr="007B0E98">
        <w:rPr>
          <w:rStyle w:val="markedcontent"/>
          <w:b/>
          <w:bCs/>
        </w:rPr>
        <w:lastRenderedPageBreak/>
        <w:t>Legal Lesson Learned</w:t>
      </w:r>
      <w:r>
        <w:rPr>
          <w:rStyle w:val="markedcontent"/>
          <w:b/>
          <w:bCs/>
        </w:rPr>
        <w:t xml:space="preserve">: Changing retirement plans can be painful and impact morale of current </w:t>
      </w:r>
      <w:proofErr w:type="gramStart"/>
      <w:r>
        <w:rPr>
          <w:rStyle w:val="markedcontent"/>
          <w:b/>
          <w:bCs/>
        </w:rPr>
        <w:t>employees, but</w:t>
      </w:r>
      <w:proofErr w:type="gramEnd"/>
      <w:r>
        <w:rPr>
          <w:rStyle w:val="markedcontent"/>
          <w:b/>
          <w:bCs/>
        </w:rPr>
        <w:t xml:space="preserve"> may be lawful under state laws. </w:t>
      </w:r>
    </w:p>
    <w:p w14:paraId="64697FF3" w14:textId="77777777" w:rsidR="00BD263B" w:rsidRPr="007B0E98" w:rsidRDefault="00BD263B" w:rsidP="00BD263B">
      <w:pPr>
        <w:pStyle w:val="Heading1"/>
        <w:ind w:left="720"/>
        <w:rPr>
          <w:b w:val="0"/>
          <w:sz w:val="24"/>
          <w:szCs w:val="24"/>
        </w:rPr>
      </w:pPr>
      <w:r w:rsidRPr="007B0E98">
        <w:rPr>
          <w:b w:val="0"/>
          <w:sz w:val="24"/>
          <w:szCs w:val="24"/>
        </w:rPr>
        <w:t xml:space="preserve">Note: See Aug. 16, </w:t>
      </w:r>
      <w:proofErr w:type="gramStart"/>
      <w:r w:rsidRPr="007B0E98">
        <w:rPr>
          <w:b w:val="0"/>
          <w:sz w:val="24"/>
          <w:szCs w:val="24"/>
        </w:rPr>
        <w:t>2021</w:t>
      </w:r>
      <w:proofErr w:type="gramEnd"/>
      <w:r w:rsidRPr="007B0E98">
        <w:rPr>
          <w:b w:val="0"/>
          <w:sz w:val="24"/>
          <w:szCs w:val="24"/>
        </w:rPr>
        <w:t xml:space="preserve"> article, “Baltimore police and fire unions frustrated by appeals court ruling upholding city’s right to raise retirement age.” </w:t>
      </w:r>
      <w:hyperlink r:id="rId1150" w:history="1">
        <w:r w:rsidRPr="007B0E98">
          <w:rPr>
            <w:rStyle w:val="Hyperlink"/>
            <w:sz w:val="24"/>
            <w:szCs w:val="24"/>
          </w:rPr>
          <w:t>https://www.baltimoresun.com/maryland/baltimore-city/bs-md-ci-lawsuit-opinion-20210817-vlhba6nhe5dnfayycibxat2sli-story.html</w:t>
        </w:r>
      </w:hyperlink>
      <w:r w:rsidRPr="007B0E98">
        <w:rPr>
          <w:b w:val="0"/>
          <w:sz w:val="24"/>
          <w:szCs w:val="24"/>
        </w:rPr>
        <w:t xml:space="preserve">  </w:t>
      </w:r>
    </w:p>
    <w:p w14:paraId="3E5E72CE" w14:textId="77777777" w:rsidR="00BD263B" w:rsidRPr="007B0E98" w:rsidRDefault="00BD263B" w:rsidP="00BD263B">
      <w:pPr>
        <w:pStyle w:val="NormalWeb"/>
        <w:ind w:left="720"/>
        <w:rPr>
          <w:bCs/>
        </w:rPr>
      </w:pPr>
      <w:r>
        <w:t xml:space="preserve">“The Court of Appeals ruling affirmed the lower court’s computation of $31 million in damages to retirees who had already earned their pensions…. The lawsuit came after the city, facing a staggering budget shortfall following the 2008 financial crises, changed its pension plan to require police and firefighters to serve 25 years instead of 20 </w:t>
      </w:r>
      <w:proofErr w:type="gramStart"/>
      <w:r>
        <w:t>in order to</w:t>
      </w:r>
      <w:proofErr w:type="gramEnd"/>
      <w:r>
        <w:t xml:space="preserve"> retire and get benefits.”</w:t>
      </w:r>
    </w:p>
    <w:p w14:paraId="2388490F" w14:textId="77777777" w:rsidR="00BD263B" w:rsidRDefault="00BD263B" w:rsidP="00EF1133">
      <w:pPr>
        <w:rPr>
          <w:rFonts w:ascii="Arial Black" w:hAnsi="Arial Black"/>
          <w:b/>
          <w:sz w:val="24"/>
          <w:szCs w:val="24"/>
        </w:rPr>
      </w:pPr>
    </w:p>
    <w:p w14:paraId="01930713" w14:textId="0CE5ADAE" w:rsidR="0077274E" w:rsidRDefault="0077274E"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1</w:t>
      </w:r>
    </w:p>
    <w:p w14:paraId="771AB435" w14:textId="77777777" w:rsidR="0077274E" w:rsidRPr="000A707F" w:rsidRDefault="0077274E" w:rsidP="0077274E">
      <w:pPr>
        <w:rPr>
          <w:rFonts w:ascii="Arial Black" w:hAnsi="Arial Black"/>
          <w:sz w:val="28"/>
          <w:szCs w:val="28"/>
        </w:rPr>
      </w:pPr>
      <w:r>
        <w:rPr>
          <w:rFonts w:ascii="Arial Black" w:hAnsi="Arial Black"/>
          <w:sz w:val="28"/>
          <w:szCs w:val="28"/>
        </w:rPr>
        <w:t>OH: PROMOTION EXAM CAPTAIN – “DISTRACTED, BORED, SLEEPING” EVALUATORS – BUT NO RIGHT TO PROMOTION</w:t>
      </w:r>
    </w:p>
    <w:p w14:paraId="56805AA0" w14:textId="77777777" w:rsidR="0077274E" w:rsidRDefault="0077274E" w:rsidP="0077274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April 14, 2021, in </w:t>
      </w:r>
      <w:r w:rsidRPr="000A707F">
        <w:rPr>
          <w:rFonts w:ascii="Times New Roman" w:hAnsi="Times New Roman"/>
          <w:sz w:val="24"/>
          <w:szCs w:val="24"/>
          <w:u w:val="single"/>
        </w:rPr>
        <w:t>State of Ohio, Ex Rel. Jeffrey Neal v. City of Cincinnati</w:t>
      </w:r>
      <w:r>
        <w:rPr>
          <w:rFonts w:ascii="Times New Roman" w:hAnsi="Times New Roman"/>
          <w:sz w:val="24"/>
          <w:szCs w:val="24"/>
        </w:rPr>
        <w:t xml:space="preserve">, the Ohio Court of Appeals, First Appellate District (Hamilton County) held (3 to 0) that the trial court improperly ordered the City to promote Lt. Neal, Cincinnati Fire Department.   Even if the testing process was flawed in the oral portions (tactical and interview portions} by distracted evaluators, he failed to show a “clear legal right” to the promotion.  In addition, he scored </w:t>
      </w:r>
      <w:r w:rsidRPr="006A44A9">
        <w:rPr>
          <w:rFonts w:ascii="Times New Roman" w:hAnsi="Times New Roman"/>
          <w:sz w:val="24"/>
          <w:szCs w:val="24"/>
        </w:rPr>
        <w:t>42</w:t>
      </w:r>
      <w:r w:rsidRPr="006A44A9">
        <w:rPr>
          <w:rFonts w:ascii="Times New Roman" w:hAnsi="Times New Roman"/>
          <w:sz w:val="24"/>
          <w:szCs w:val="24"/>
          <w:vertAlign w:val="superscript"/>
        </w:rPr>
        <w:t>nd</w:t>
      </w:r>
      <w:r>
        <w:rPr>
          <w:rFonts w:ascii="Times New Roman" w:hAnsi="Times New Roman"/>
          <w:sz w:val="24"/>
          <w:szCs w:val="24"/>
        </w:rPr>
        <w:t xml:space="preserve"> </w:t>
      </w:r>
      <w:r w:rsidRPr="006A44A9">
        <w:rPr>
          <w:rFonts w:ascii="Times New Roman" w:hAnsi="Times New Roman"/>
          <w:sz w:val="24"/>
          <w:szCs w:val="24"/>
        </w:rPr>
        <w:t>out of 54</w:t>
      </w:r>
      <w:r>
        <w:rPr>
          <w:rFonts w:ascii="Times New Roman" w:hAnsi="Times New Roman"/>
          <w:sz w:val="24"/>
          <w:szCs w:val="24"/>
        </w:rPr>
        <w:t xml:space="preserve"> </w:t>
      </w:r>
      <w:r w:rsidRPr="006A44A9">
        <w:rPr>
          <w:rFonts w:ascii="Times New Roman" w:hAnsi="Times New Roman"/>
          <w:sz w:val="24"/>
          <w:szCs w:val="24"/>
        </w:rPr>
        <w:t xml:space="preserve">applicants, with only the top 25 qualifying for promotion. </w:t>
      </w:r>
    </w:p>
    <w:p w14:paraId="15219241" w14:textId="77777777" w:rsidR="0077274E"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76A19">
        <w:rPr>
          <w:rFonts w:ascii="Times New Roman" w:hAnsi="Times New Roman"/>
          <w:sz w:val="24"/>
          <w:szCs w:val="24"/>
        </w:rPr>
        <w:t>Lt.</w:t>
      </w:r>
      <w:r>
        <w:rPr>
          <w:rFonts w:ascii="Times New Roman" w:hAnsi="Times New Roman"/>
          <w:sz w:val="24"/>
          <w:szCs w:val="24"/>
        </w:rPr>
        <w:t xml:space="preserve"> </w:t>
      </w:r>
      <w:r w:rsidRPr="00C76A19">
        <w:rPr>
          <w:rFonts w:ascii="Times New Roman" w:hAnsi="Times New Roman"/>
          <w:sz w:val="24"/>
          <w:szCs w:val="24"/>
        </w:rPr>
        <w:t>Neal disputed</w:t>
      </w:r>
      <w:r>
        <w:rPr>
          <w:rFonts w:ascii="Times New Roman" w:hAnsi="Times New Roman"/>
          <w:sz w:val="24"/>
          <w:szCs w:val="24"/>
        </w:rPr>
        <w:t xml:space="preserve"> </w:t>
      </w:r>
      <w:r w:rsidRPr="00C76A19">
        <w:rPr>
          <w:rFonts w:ascii="Times New Roman" w:hAnsi="Times New Roman"/>
          <w:sz w:val="24"/>
          <w:szCs w:val="24"/>
        </w:rPr>
        <w:t>his exam results, specifically challenging the administration of the tactical and interview portions. These portions of the exam involved, among other things, Lt.</w:t>
      </w:r>
      <w:r>
        <w:rPr>
          <w:rFonts w:ascii="Times New Roman" w:hAnsi="Times New Roman"/>
          <w:sz w:val="24"/>
          <w:szCs w:val="24"/>
        </w:rPr>
        <w:t xml:space="preserve"> </w:t>
      </w:r>
      <w:r w:rsidRPr="00C76A19">
        <w:rPr>
          <w:rFonts w:ascii="Times New Roman" w:hAnsi="Times New Roman"/>
          <w:sz w:val="24"/>
          <w:szCs w:val="24"/>
        </w:rPr>
        <w:t>Neal orally responding to questions posed by assessors. He alleged that the interruptions</w:t>
      </w:r>
      <w:r>
        <w:rPr>
          <w:rFonts w:ascii="Times New Roman" w:hAnsi="Times New Roman"/>
          <w:sz w:val="24"/>
          <w:szCs w:val="24"/>
        </w:rPr>
        <w:t xml:space="preserve"> </w:t>
      </w:r>
      <w:r w:rsidRPr="00C76A19">
        <w:rPr>
          <w:rFonts w:ascii="Times New Roman" w:hAnsi="Times New Roman"/>
          <w:sz w:val="24"/>
          <w:szCs w:val="24"/>
        </w:rPr>
        <w:t>began during the tactical portion, after an</w:t>
      </w:r>
      <w:r>
        <w:rPr>
          <w:rFonts w:ascii="Times New Roman" w:hAnsi="Times New Roman"/>
          <w:sz w:val="24"/>
          <w:szCs w:val="24"/>
        </w:rPr>
        <w:t xml:space="preserve"> </w:t>
      </w:r>
      <w:r w:rsidRPr="00C76A19">
        <w:rPr>
          <w:rFonts w:ascii="Times New Roman" w:hAnsi="Times New Roman"/>
          <w:sz w:val="24"/>
          <w:szCs w:val="24"/>
        </w:rPr>
        <w:t>assessor’s phone went off. Because the phone</w:t>
      </w:r>
      <w:r>
        <w:rPr>
          <w:rFonts w:ascii="Times New Roman" w:hAnsi="Times New Roman"/>
          <w:sz w:val="24"/>
          <w:szCs w:val="24"/>
        </w:rPr>
        <w:t xml:space="preserve"> </w:t>
      </w:r>
      <w:r w:rsidRPr="00C76A19">
        <w:rPr>
          <w:rFonts w:ascii="Times New Roman" w:hAnsi="Times New Roman"/>
          <w:sz w:val="24"/>
          <w:szCs w:val="24"/>
        </w:rPr>
        <w:t>was located across the room in a backpack, the assessor waltzed</w:t>
      </w:r>
      <w:r>
        <w:rPr>
          <w:rFonts w:ascii="Times New Roman" w:hAnsi="Times New Roman"/>
          <w:sz w:val="24"/>
          <w:szCs w:val="24"/>
        </w:rPr>
        <w:t xml:space="preserve"> </w:t>
      </w:r>
      <w:r w:rsidRPr="00C76A19">
        <w:rPr>
          <w:rFonts w:ascii="Times New Roman" w:hAnsi="Times New Roman"/>
          <w:sz w:val="24"/>
          <w:szCs w:val="24"/>
        </w:rPr>
        <w:t>over</w:t>
      </w:r>
      <w:r>
        <w:rPr>
          <w:rFonts w:ascii="Times New Roman" w:hAnsi="Times New Roman"/>
          <w:sz w:val="24"/>
          <w:szCs w:val="24"/>
        </w:rPr>
        <w:t xml:space="preserve"> </w:t>
      </w:r>
      <w:r w:rsidRPr="00C76A19">
        <w:rPr>
          <w:rFonts w:ascii="Times New Roman" w:hAnsi="Times New Roman"/>
          <w:sz w:val="24"/>
          <w:szCs w:val="24"/>
        </w:rPr>
        <w:t>to the backpack, rummaging around before locating the phone to silence it.</w:t>
      </w:r>
      <w:r>
        <w:rPr>
          <w:rFonts w:ascii="Times New Roman" w:hAnsi="Times New Roman"/>
          <w:sz w:val="24"/>
          <w:szCs w:val="24"/>
        </w:rPr>
        <w:t xml:space="preserve"> </w:t>
      </w:r>
      <w:r w:rsidRPr="00C76A19">
        <w:rPr>
          <w:rFonts w:ascii="Times New Roman" w:hAnsi="Times New Roman"/>
          <w:sz w:val="24"/>
          <w:szCs w:val="24"/>
        </w:rPr>
        <w:t>Incredibly, the assessor allegedly spent considerable time reading texts from the phone</w:t>
      </w:r>
      <w:r>
        <w:rPr>
          <w:rFonts w:ascii="Times New Roman" w:hAnsi="Times New Roman"/>
          <w:sz w:val="24"/>
          <w:szCs w:val="24"/>
        </w:rPr>
        <w:t xml:space="preserve"> </w:t>
      </w:r>
      <w:r w:rsidRPr="00C76A19">
        <w:rPr>
          <w:rFonts w:ascii="Times New Roman" w:hAnsi="Times New Roman"/>
          <w:sz w:val="24"/>
          <w:szCs w:val="24"/>
        </w:rPr>
        <w:t>before wandering</w:t>
      </w:r>
      <w:r>
        <w:rPr>
          <w:rFonts w:ascii="Times New Roman" w:hAnsi="Times New Roman"/>
          <w:sz w:val="24"/>
          <w:szCs w:val="24"/>
        </w:rPr>
        <w:t xml:space="preserve"> </w:t>
      </w:r>
      <w:r w:rsidRPr="00C76A19">
        <w:rPr>
          <w:rFonts w:ascii="Times New Roman" w:hAnsi="Times New Roman"/>
          <w:sz w:val="24"/>
          <w:szCs w:val="24"/>
        </w:rPr>
        <w:t>back to the table. And once there, the phone</w:t>
      </w:r>
      <w:r>
        <w:rPr>
          <w:rFonts w:ascii="Times New Roman" w:hAnsi="Times New Roman"/>
          <w:sz w:val="24"/>
          <w:szCs w:val="24"/>
        </w:rPr>
        <w:t xml:space="preserve"> </w:t>
      </w:r>
      <w:r w:rsidRPr="00C76A19">
        <w:rPr>
          <w:rFonts w:ascii="Times New Roman" w:hAnsi="Times New Roman"/>
          <w:sz w:val="24"/>
          <w:szCs w:val="24"/>
        </w:rPr>
        <w:t>repeatedly vibrated, prompting the distracted assessor to engage with the phone and respond to messages, while presumably ignoring Lt. Neal. All of this occurred during an exam where phones were not permitted</w:t>
      </w:r>
      <w:r>
        <w:rPr>
          <w:rFonts w:ascii="Times New Roman" w:hAnsi="Times New Roman"/>
          <w:sz w:val="24"/>
          <w:szCs w:val="24"/>
        </w:rPr>
        <w:t xml:space="preserve"> </w:t>
      </w:r>
      <w:r w:rsidRPr="00C76A19">
        <w:rPr>
          <w:rFonts w:ascii="Times New Roman" w:hAnsi="Times New Roman"/>
          <w:sz w:val="24"/>
          <w:szCs w:val="24"/>
        </w:rPr>
        <w:t>(for obvious reasons, as this episode illustrates).</w:t>
      </w:r>
    </w:p>
    <w:p w14:paraId="43F49131" w14:textId="77777777" w:rsidR="0077274E" w:rsidRDefault="0077274E" w:rsidP="0077274E">
      <w:pPr>
        <w:ind w:left="720"/>
        <w:rPr>
          <w:rFonts w:ascii="Times New Roman" w:hAnsi="Times New Roman"/>
          <w:sz w:val="24"/>
          <w:szCs w:val="24"/>
        </w:rPr>
      </w:pPr>
      <w:r w:rsidRPr="00C76A19">
        <w:rPr>
          <w:rFonts w:ascii="Times New Roman" w:hAnsi="Times New Roman"/>
          <w:sz w:val="24"/>
          <w:szCs w:val="24"/>
        </w:rPr>
        <w:t>These distractions allegedly spilled over to</w:t>
      </w:r>
      <w:r>
        <w:rPr>
          <w:rFonts w:ascii="Times New Roman" w:hAnsi="Times New Roman"/>
          <w:sz w:val="24"/>
          <w:szCs w:val="24"/>
        </w:rPr>
        <w:t xml:space="preserve"> </w:t>
      </w:r>
      <w:r w:rsidRPr="00C76A19">
        <w:rPr>
          <w:rFonts w:ascii="Times New Roman" w:hAnsi="Times New Roman"/>
          <w:sz w:val="24"/>
          <w:szCs w:val="24"/>
        </w:rPr>
        <w:t>the interview portion as well. At one point, an</w:t>
      </w:r>
      <w:r>
        <w:rPr>
          <w:rFonts w:ascii="Times New Roman" w:hAnsi="Times New Roman"/>
          <w:sz w:val="24"/>
          <w:szCs w:val="24"/>
        </w:rPr>
        <w:t xml:space="preserve"> </w:t>
      </w:r>
      <w:r w:rsidRPr="00C76A19">
        <w:rPr>
          <w:rFonts w:ascii="Times New Roman" w:hAnsi="Times New Roman"/>
          <w:sz w:val="24"/>
          <w:szCs w:val="24"/>
        </w:rPr>
        <w:t>assessor was responding to a text message during the entirety of</w:t>
      </w:r>
      <w:r>
        <w:rPr>
          <w:rFonts w:ascii="Times New Roman" w:hAnsi="Times New Roman"/>
          <w:sz w:val="24"/>
          <w:szCs w:val="24"/>
        </w:rPr>
        <w:t xml:space="preserve"> </w:t>
      </w:r>
      <w:r w:rsidRPr="00C76A19">
        <w:rPr>
          <w:rFonts w:ascii="Times New Roman" w:hAnsi="Times New Roman"/>
          <w:sz w:val="24"/>
          <w:szCs w:val="24"/>
        </w:rPr>
        <w:t>Lt.</w:t>
      </w:r>
      <w:r>
        <w:rPr>
          <w:rFonts w:ascii="Times New Roman" w:hAnsi="Times New Roman"/>
          <w:sz w:val="24"/>
          <w:szCs w:val="24"/>
        </w:rPr>
        <w:t xml:space="preserve"> </w:t>
      </w:r>
      <w:r w:rsidRPr="00C76A19">
        <w:rPr>
          <w:rFonts w:ascii="Times New Roman" w:hAnsi="Times New Roman"/>
          <w:sz w:val="24"/>
          <w:szCs w:val="24"/>
        </w:rPr>
        <w:t>Neal’s</w:t>
      </w:r>
      <w:r>
        <w:rPr>
          <w:rFonts w:ascii="Times New Roman" w:hAnsi="Times New Roman"/>
          <w:sz w:val="24"/>
          <w:szCs w:val="24"/>
        </w:rPr>
        <w:t xml:space="preserve"> </w:t>
      </w:r>
      <w:r w:rsidRPr="00C76A19">
        <w:rPr>
          <w:rFonts w:ascii="Times New Roman" w:hAnsi="Times New Roman"/>
          <w:sz w:val="24"/>
          <w:szCs w:val="24"/>
        </w:rPr>
        <w:t>answer to a question. To make matters worse, another assessor allegedly dozed off</w:t>
      </w:r>
      <w:r>
        <w:rPr>
          <w:rFonts w:ascii="Times New Roman" w:hAnsi="Times New Roman"/>
          <w:sz w:val="24"/>
          <w:szCs w:val="24"/>
        </w:rPr>
        <w:t xml:space="preserve"> </w:t>
      </w:r>
      <w:r w:rsidRPr="00C76A19">
        <w:rPr>
          <w:rFonts w:ascii="Times New Roman" w:hAnsi="Times New Roman"/>
          <w:sz w:val="24"/>
          <w:szCs w:val="24"/>
        </w:rPr>
        <w:t>for some</w:t>
      </w:r>
      <w:r>
        <w:rPr>
          <w:rFonts w:ascii="Times New Roman" w:hAnsi="Times New Roman"/>
          <w:sz w:val="24"/>
          <w:szCs w:val="24"/>
        </w:rPr>
        <w:t xml:space="preserve"> </w:t>
      </w:r>
      <w:proofErr w:type="gramStart"/>
      <w:r w:rsidRPr="00C76A19">
        <w:rPr>
          <w:rFonts w:ascii="Times New Roman" w:hAnsi="Times New Roman"/>
          <w:sz w:val="24"/>
          <w:szCs w:val="24"/>
        </w:rPr>
        <w:t>period of</w:t>
      </w:r>
      <w:r>
        <w:rPr>
          <w:rFonts w:ascii="Times New Roman" w:hAnsi="Times New Roman"/>
          <w:sz w:val="24"/>
          <w:szCs w:val="24"/>
        </w:rPr>
        <w:t xml:space="preserve"> </w:t>
      </w:r>
      <w:r w:rsidRPr="00C76A19">
        <w:rPr>
          <w:rFonts w:ascii="Times New Roman" w:hAnsi="Times New Roman"/>
          <w:sz w:val="24"/>
          <w:szCs w:val="24"/>
        </w:rPr>
        <w:t>time</w:t>
      </w:r>
      <w:proofErr w:type="gramEnd"/>
      <w:r w:rsidRPr="00C76A19">
        <w:rPr>
          <w:rFonts w:ascii="Times New Roman" w:hAnsi="Times New Roman"/>
          <w:sz w:val="24"/>
          <w:szCs w:val="24"/>
        </w:rPr>
        <w:t>. In sum,</w:t>
      </w:r>
      <w:r>
        <w:rPr>
          <w:rFonts w:ascii="Times New Roman" w:hAnsi="Times New Roman"/>
          <w:sz w:val="24"/>
          <w:szCs w:val="24"/>
        </w:rPr>
        <w:t xml:space="preserve"> </w:t>
      </w:r>
      <w:proofErr w:type="spellStart"/>
      <w:r w:rsidRPr="00C76A19">
        <w:rPr>
          <w:rFonts w:ascii="Times New Roman" w:hAnsi="Times New Roman"/>
          <w:sz w:val="24"/>
          <w:szCs w:val="24"/>
        </w:rPr>
        <w:t>Lt.Neal</w:t>
      </w:r>
      <w:proofErr w:type="spellEnd"/>
      <w:r>
        <w:rPr>
          <w:rFonts w:ascii="Times New Roman" w:hAnsi="Times New Roman"/>
          <w:sz w:val="24"/>
          <w:szCs w:val="24"/>
        </w:rPr>
        <w:t xml:space="preserve"> </w:t>
      </w:r>
      <w:r w:rsidRPr="00C76A19">
        <w:rPr>
          <w:rFonts w:ascii="Times New Roman" w:hAnsi="Times New Roman"/>
          <w:sz w:val="24"/>
          <w:szCs w:val="24"/>
        </w:rPr>
        <w:t>concludes</w:t>
      </w:r>
      <w:r>
        <w:rPr>
          <w:rFonts w:ascii="Times New Roman" w:hAnsi="Times New Roman"/>
          <w:sz w:val="24"/>
          <w:szCs w:val="24"/>
        </w:rPr>
        <w:t xml:space="preserve"> </w:t>
      </w:r>
      <w:r w:rsidRPr="00C76A19">
        <w:rPr>
          <w:rFonts w:ascii="Times New Roman" w:hAnsi="Times New Roman"/>
          <w:sz w:val="24"/>
          <w:szCs w:val="24"/>
        </w:rPr>
        <w:t>that these repeated distractions placed</w:t>
      </w:r>
      <w:r>
        <w:rPr>
          <w:rFonts w:ascii="Times New Roman" w:hAnsi="Times New Roman"/>
          <w:sz w:val="24"/>
          <w:szCs w:val="24"/>
        </w:rPr>
        <w:t xml:space="preserve"> </w:t>
      </w:r>
      <w:r w:rsidRPr="00C76A19">
        <w:rPr>
          <w:rFonts w:ascii="Times New Roman" w:hAnsi="Times New Roman"/>
          <w:sz w:val="24"/>
          <w:szCs w:val="24"/>
        </w:rPr>
        <w:t>him at a considerable disadvantage for the tactical and interview portions of the exam</w:t>
      </w:r>
      <w:r>
        <w:rPr>
          <w:rFonts w:ascii="Times New Roman" w:hAnsi="Times New Roman"/>
          <w:sz w:val="24"/>
          <w:szCs w:val="24"/>
        </w:rPr>
        <w:t xml:space="preserve"> </w:t>
      </w:r>
      <w:r w:rsidRPr="00C76A19">
        <w:rPr>
          <w:rFonts w:ascii="Times New Roman" w:hAnsi="Times New Roman"/>
          <w:sz w:val="24"/>
          <w:szCs w:val="24"/>
        </w:rPr>
        <w:t>because, so far as he is aware and the record discloses, other applicants did not encounter similar distractions. As a result, he challenges the legitimacy of the testing process.</w:t>
      </w:r>
    </w:p>
    <w:p w14:paraId="1872ECE1" w14:textId="77777777" w:rsidR="0077274E" w:rsidRDefault="0077274E" w:rsidP="0077274E">
      <w:pPr>
        <w:ind w:left="720"/>
        <w:rPr>
          <w:rFonts w:ascii="Times New Roman" w:hAnsi="Times New Roman"/>
          <w:sz w:val="24"/>
          <w:szCs w:val="24"/>
        </w:rPr>
      </w:pPr>
      <w:r>
        <w:rPr>
          <w:rFonts w:ascii="Times New Roman" w:hAnsi="Times New Roman"/>
          <w:sz w:val="24"/>
          <w:szCs w:val="24"/>
        </w:rPr>
        <w:t>***</w:t>
      </w:r>
    </w:p>
    <w:p w14:paraId="0BF632AE" w14:textId="77777777" w:rsidR="0077274E" w:rsidRPr="006A44A9" w:rsidRDefault="0077274E" w:rsidP="0077274E">
      <w:pPr>
        <w:ind w:left="720"/>
        <w:rPr>
          <w:rFonts w:ascii="Times New Roman" w:hAnsi="Times New Roman"/>
          <w:sz w:val="24"/>
          <w:szCs w:val="24"/>
        </w:rPr>
      </w:pPr>
      <w:r w:rsidRPr="006A44A9">
        <w:rPr>
          <w:rFonts w:ascii="Times New Roman" w:hAnsi="Times New Roman"/>
          <w:sz w:val="24"/>
          <w:szCs w:val="24"/>
        </w:rPr>
        <w:t xml:space="preserve">But therein lies the problem: Lt. Neal did not request a new exam. Nor is that the relief the trial court granted. Instead, Lt. Neal requested—and the trial court ordered—that he be promoted to captain. R.C. 124.45 thus fails to support the relief ordered by the trial court, which explains Lt. Neal’s avoidance of that provision. </w:t>
      </w:r>
    </w:p>
    <w:p w14:paraId="7F0306DD" w14:textId="77777777" w:rsidR="0077274E" w:rsidRDefault="0077274E" w:rsidP="0077274E">
      <w:pPr>
        <w:ind w:left="720"/>
        <w:rPr>
          <w:rFonts w:ascii="Times New Roman" w:hAnsi="Times New Roman"/>
          <w:sz w:val="24"/>
          <w:szCs w:val="24"/>
        </w:rPr>
      </w:pPr>
      <w:r w:rsidRPr="006A44A9">
        <w:rPr>
          <w:rFonts w:ascii="Times New Roman" w:hAnsi="Times New Roman"/>
          <w:sz w:val="24"/>
          <w:szCs w:val="24"/>
        </w:rPr>
        <w:lastRenderedPageBreak/>
        <w:t>It also is worth pausing for a moment to further illustrate the disconnect between a</w:t>
      </w:r>
      <w:r>
        <w:rPr>
          <w:rFonts w:ascii="Times New Roman" w:hAnsi="Times New Roman"/>
          <w:sz w:val="24"/>
          <w:szCs w:val="24"/>
        </w:rPr>
        <w:t xml:space="preserve"> </w:t>
      </w:r>
      <w:r w:rsidRPr="006A44A9">
        <w:rPr>
          <w:rFonts w:ascii="Times New Roman" w:hAnsi="Times New Roman"/>
          <w:sz w:val="24"/>
          <w:szCs w:val="24"/>
        </w:rPr>
        <w:t>flawed testing environment and awarding Lt.</w:t>
      </w:r>
      <w:r>
        <w:rPr>
          <w:rFonts w:ascii="Times New Roman" w:hAnsi="Times New Roman"/>
          <w:sz w:val="24"/>
          <w:szCs w:val="24"/>
        </w:rPr>
        <w:t xml:space="preserve"> </w:t>
      </w:r>
      <w:r w:rsidRPr="006A44A9">
        <w:rPr>
          <w:rFonts w:ascii="Times New Roman" w:hAnsi="Times New Roman"/>
          <w:sz w:val="24"/>
          <w:szCs w:val="24"/>
        </w:rPr>
        <w:t>Neal the promotion. Given Lt. Neal’s</w:t>
      </w:r>
      <w:r>
        <w:rPr>
          <w:rFonts w:ascii="Times New Roman" w:hAnsi="Times New Roman"/>
          <w:sz w:val="24"/>
          <w:szCs w:val="24"/>
        </w:rPr>
        <w:t xml:space="preserve"> </w:t>
      </w:r>
      <w:r w:rsidRPr="006A44A9">
        <w:rPr>
          <w:rFonts w:ascii="Times New Roman" w:hAnsi="Times New Roman"/>
          <w:sz w:val="24"/>
          <w:szCs w:val="24"/>
        </w:rPr>
        <w:t>scores during the untainted portions</w:t>
      </w:r>
      <w:r>
        <w:rPr>
          <w:rFonts w:ascii="Times New Roman" w:hAnsi="Times New Roman"/>
          <w:sz w:val="24"/>
          <w:szCs w:val="24"/>
        </w:rPr>
        <w:t xml:space="preserve"> </w:t>
      </w:r>
      <w:r w:rsidRPr="006A44A9">
        <w:rPr>
          <w:rFonts w:ascii="Times New Roman" w:hAnsi="Times New Roman"/>
          <w:sz w:val="24"/>
          <w:szCs w:val="24"/>
        </w:rPr>
        <w:t>of the test, they suggest that he would not have qualified for promotion even under an ideal testing environment.</w:t>
      </w:r>
      <w:r>
        <w:rPr>
          <w:rFonts w:ascii="Times New Roman" w:hAnsi="Times New Roman"/>
          <w:sz w:val="24"/>
          <w:szCs w:val="24"/>
        </w:rPr>
        <w:t xml:space="preserve">” </w:t>
      </w:r>
      <w:hyperlink r:id="rId1151" w:history="1">
        <w:r w:rsidRPr="0041276B">
          <w:rPr>
            <w:rStyle w:val="Hyperlink"/>
            <w:rFonts w:ascii="Times New Roman" w:hAnsi="Times New Roman"/>
            <w:sz w:val="24"/>
            <w:szCs w:val="24"/>
          </w:rPr>
          <w:t>https://www.hamiltoncountyohio.gov/UserFiles/Servers/Server_3788196/File/releases/2021/C-200202_04142021.pdf</w:t>
        </w:r>
      </w:hyperlink>
    </w:p>
    <w:p w14:paraId="07465937" w14:textId="77777777" w:rsidR="0077274E" w:rsidRDefault="0077274E" w:rsidP="0077274E">
      <w:pPr>
        <w:rPr>
          <w:rFonts w:ascii="Times New Roman" w:hAnsi="Times New Roman"/>
          <w:b/>
          <w:bCs/>
          <w:sz w:val="24"/>
          <w:szCs w:val="24"/>
        </w:rPr>
      </w:pPr>
      <w:r w:rsidRPr="00E15ABE">
        <w:rPr>
          <w:rFonts w:ascii="Times New Roman" w:hAnsi="Times New Roman"/>
          <w:b/>
          <w:bCs/>
          <w:sz w:val="24"/>
          <w:szCs w:val="24"/>
        </w:rPr>
        <w:t>Legal Lesson Learned:</w:t>
      </w:r>
      <w:r>
        <w:rPr>
          <w:rFonts w:ascii="Times New Roman" w:hAnsi="Times New Roman"/>
          <w:b/>
          <w:bCs/>
          <w:sz w:val="24"/>
          <w:szCs w:val="24"/>
        </w:rPr>
        <w:t xml:space="preserve"> These examiners should be reprimanded and removed from further promotion boards. </w:t>
      </w:r>
    </w:p>
    <w:p w14:paraId="30D94316" w14:textId="77777777" w:rsidR="0077274E" w:rsidRDefault="0077274E" w:rsidP="0077274E">
      <w:pPr>
        <w:ind w:left="720"/>
        <w:rPr>
          <w:rFonts w:ascii="Times New Roman" w:hAnsi="Times New Roman"/>
          <w:sz w:val="24"/>
          <w:szCs w:val="24"/>
        </w:rPr>
      </w:pPr>
      <w:r w:rsidRPr="00E15ABE">
        <w:rPr>
          <w:rFonts w:ascii="Times New Roman" w:hAnsi="Times New Roman"/>
          <w:sz w:val="24"/>
          <w:szCs w:val="24"/>
        </w:rPr>
        <w:t>Note:</w:t>
      </w:r>
      <w:r>
        <w:rPr>
          <w:rFonts w:ascii="Times New Roman" w:hAnsi="Times New Roman"/>
          <w:b/>
          <w:bCs/>
          <w:sz w:val="24"/>
          <w:szCs w:val="24"/>
        </w:rPr>
        <w:t xml:space="preserve"> </w:t>
      </w:r>
      <w:r>
        <w:rPr>
          <w:rFonts w:ascii="Times New Roman" w:hAnsi="Times New Roman"/>
          <w:sz w:val="24"/>
          <w:szCs w:val="24"/>
        </w:rPr>
        <w:t xml:space="preserve">In the </w:t>
      </w:r>
      <w:r w:rsidRPr="00DD3AC9">
        <w:rPr>
          <w:rFonts w:ascii="Times New Roman" w:hAnsi="Times New Roman"/>
          <w:sz w:val="24"/>
          <w:szCs w:val="24"/>
          <w:u w:val="single"/>
        </w:rPr>
        <w:t>Lanter</w:t>
      </w:r>
      <w:r>
        <w:rPr>
          <w:rFonts w:ascii="Times New Roman" w:hAnsi="Times New Roman"/>
          <w:sz w:val="24"/>
          <w:szCs w:val="24"/>
        </w:rPr>
        <w:t xml:space="preserve"> case referenced by the Court, </w:t>
      </w:r>
      <w:r w:rsidRPr="00DD3AC9">
        <w:rPr>
          <w:rFonts w:ascii="Times New Roman" w:hAnsi="Times New Roman"/>
          <w:sz w:val="24"/>
          <w:szCs w:val="24"/>
          <w:u w:val="single"/>
        </w:rPr>
        <w:t>State of Ohio, Ex Re. Timothy Lanter v. City of Cincinnati</w:t>
      </w:r>
      <w:r>
        <w:rPr>
          <w:rFonts w:ascii="Times New Roman" w:hAnsi="Times New Roman"/>
          <w:sz w:val="24"/>
          <w:szCs w:val="24"/>
        </w:rPr>
        <w:t xml:space="preserve"> (Oct. 21, 2020) concerned a mandamus action filed by Cincinnati Police Sergeant Timothy Lanter; where the Ohio Court of Appeals reversed a trial judge who had granted relief to the Sergeant. </w:t>
      </w:r>
    </w:p>
    <w:p w14:paraId="19EF6E00" w14:textId="77777777" w:rsidR="0077274E" w:rsidRDefault="0077274E" w:rsidP="0077274E">
      <w:pPr>
        <w:ind w:left="1440"/>
        <w:rPr>
          <w:rFonts w:ascii="Times New Roman" w:hAnsi="Times New Roman"/>
          <w:sz w:val="24"/>
          <w:szCs w:val="24"/>
        </w:rPr>
      </w:pPr>
      <w:r>
        <w:rPr>
          <w:rFonts w:ascii="Times New Roman" w:hAnsi="Times New Roman"/>
          <w:sz w:val="24"/>
          <w:szCs w:val="24"/>
        </w:rPr>
        <w:t>“</w:t>
      </w:r>
      <w:r w:rsidRPr="00DD3AC9">
        <w:rPr>
          <w:rFonts w:ascii="Times New Roman" w:hAnsi="Times New Roman"/>
          <w:sz w:val="24"/>
          <w:szCs w:val="24"/>
        </w:rPr>
        <w:t xml:space="preserve">This dispute arises over an episode allegedly colored by racist overtones. Daryl Spivey, an </w:t>
      </w:r>
      <w:proofErr w:type="gramStart"/>
      <w:r w:rsidRPr="00DD3AC9">
        <w:rPr>
          <w:rFonts w:ascii="Times New Roman" w:hAnsi="Times New Roman"/>
          <w:sz w:val="24"/>
          <w:szCs w:val="24"/>
        </w:rPr>
        <w:t>African-American</w:t>
      </w:r>
      <w:proofErr w:type="gramEnd"/>
      <w:r w:rsidRPr="00DD3AC9">
        <w:rPr>
          <w:rFonts w:ascii="Times New Roman" w:hAnsi="Times New Roman"/>
          <w:sz w:val="24"/>
          <w:szCs w:val="24"/>
        </w:rPr>
        <w:t xml:space="preserve">, worked as a security guard at a building where the elevators cannot be accessed without entering a security code. Needing to use those elevators, Sergeant Lanter approached Mr. Spivey and asked him to enter the security code. Mr. Spivey complied, but he alleges that Sergeant Lanter responded with: </w:t>
      </w:r>
      <w:r>
        <w:rPr>
          <w:rFonts w:ascii="Times New Roman" w:hAnsi="Times New Roman"/>
          <w:sz w:val="24"/>
          <w:szCs w:val="24"/>
        </w:rPr>
        <w:t>‘</w:t>
      </w:r>
      <w:r w:rsidRPr="00DD3AC9">
        <w:rPr>
          <w:rFonts w:ascii="Times New Roman" w:hAnsi="Times New Roman"/>
          <w:sz w:val="24"/>
          <w:szCs w:val="24"/>
        </w:rPr>
        <w:t>Thanks, boy, I appreciate it.</w:t>
      </w:r>
      <w:r>
        <w:rPr>
          <w:rFonts w:ascii="Times New Roman" w:hAnsi="Times New Roman"/>
          <w:sz w:val="24"/>
          <w:szCs w:val="24"/>
        </w:rPr>
        <w:t>’</w:t>
      </w:r>
      <w:r w:rsidRPr="00DD3AC9">
        <w:rPr>
          <w:rFonts w:ascii="Times New Roman" w:hAnsi="Times New Roman"/>
          <w:sz w:val="24"/>
          <w:szCs w:val="24"/>
        </w:rPr>
        <w:t xml:space="preserve"> Mr. Spivey immediately complained to his supervisor and filed a discrimination complaint with the CCA</w:t>
      </w:r>
      <w:r>
        <w:rPr>
          <w:rFonts w:ascii="Times New Roman" w:hAnsi="Times New Roman"/>
          <w:sz w:val="24"/>
          <w:szCs w:val="24"/>
        </w:rPr>
        <w:t>.</w:t>
      </w:r>
    </w:p>
    <w:p w14:paraId="115BA2A9" w14:textId="77777777" w:rsidR="0077274E" w:rsidRDefault="0077274E" w:rsidP="0077274E">
      <w:pPr>
        <w:ind w:left="1440"/>
        <w:rPr>
          <w:rFonts w:ascii="Times New Roman" w:hAnsi="Times New Roman"/>
          <w:sz w:val="24"/>
          <w:szCs w:val="24"/>
        </w:rPr>
      </w:pPr>
      <w:r>
        <w:rPr>
          <w:rFonts w:ascii="Times New Roman" w:hAnsi="Times New Roman"/>
          <w:sz w:val="24"/>
          <w:szCs w:val="24"/>
        </w:rPr>
        <w:t>***</w:t>
      </w:r>
    </w:p>
    <w:p w14:paraId="037BEAC4" w14:textId="77777777" w:rsidR="0077274E" w:rsidRPr="00B61592" w:rsidRDefault="0077274E" w:rsidP="0077274E">
      <w:pPr>
        <w:ind w:left="1440"/>
        <w:rPr>
          <w:rFonts w:ascii="Times New Roman" w:hAnsi="Times New Roman"/>
          <w:sz w:val="24"/>
          <w:szCs w:val="24"/>
        </w:rPr>
      </w:pPr>
      <w:r w:rsidRPr="00B61592">
        <w:rPr>
          <w:rFonts w:ascii="Times New Roman" w:hAnsi="Times New Roman"/>
          <w:sz w:val="24"/>
          <w:szCs w:val="24"/>
        </w:rPr>
        <w:t>The</w:t>
      </w:r>
      <w:r>
        <w:rPr>
          <w:rFonts w:ascii="Times New Roman" w:hAnsi="Times New Roman"/>
          <w:sz w:val="24"/>
          <w:szCs w:val="24"/>
        </w:rPr>
        <w:t xml:space="preserve"> [trial judge in the Hamilton County Court of Common Pleas]</w:t>
      </w:r>
      <w:r w:rsidRPr="00B61592">
        <w:rPr>
          <w:rFonts w:ascii="Times New Roman" w:hAnsi="Times New Roman"/>
          <w:sz w:val="24"/>
          <w:szCs w:val="24"/>
        </w:rPr>
        <w:t xml:space="preserve"> overturned the CCA’s report in the administrative review, determining that the CCA’s findings were not supported by a preponderance of substantial evidence, in part pointing to the conflicting stories of Mr. </w:t>
      </w:r>
      <w:proofErr w:type="spellStart"/>
      <w:r w:rsidRPr="00B61592">
        <w:rPr>
          <w:rFonts w:ascii="Times New Roman" w:hAnsi="Times New Roman"/>
          <w:sz w:val="24"/>
          <w:szCs w:val="24"/>
        </w:rPr>
        <w:t>Vandehatert</w:t>
      </w:r>
      <w:proofErr w:type="spellEnd"/>
      <w:r w:rsidRPr="00B61592">
        <w:rPr>
          <w:rFonts w:ascii="Times New Roman" w:hAnsi="Times New Roman"/>
          <w:sz w:val="24"/>
          <w:szCs w:val="24"/>
        </w:rPr>
        <w:t xml:space="preserve">. But the court dismissed Sergeant Lanter’s mandamus petition because the administrative appeal provided an adequate remedy at law. The City </w:t>
      </w:r>
      <w:proofErr w:type="gramStart"/>
      <w:r w:rsidRPr="00B61592">
        <w:rPr>
          <w:rFonts w:ascii="Times New Roman" w:hAnsi="Times New Roman"/>
          <w:sz w:val="24"/>
          <w:szCs w:val="24"/>
        </w:rPr>
        <w:t>appealed</w:t>
      </w:r>
      <w:proofErr w:type="gramEnd"/>
      <w:r w:rsidRPr="00B61592">
        <w:rPr>
          <w:rFonts w:ascii="Times New Roman" w:hAnsi="Times New Roman"/>
          <w:sz w:val="24"/>
          <w:szCs w:val="24"/>
        </w:rPr>
        <w:t xml:space="preserve"> the trial court’s review of the CCA’s report, prompting Sergeant Lanter to cross-appeal the dismissal of the mandamus petition.</w:t>
      </w:r>
    </w:p>
    <w:p w14:paraId="43EA0B9D" w14:textId="77777777" w:rsidR="0077274E" w:rsidRDefault="0077274E" w:rsidP="0077274E">
      <w:pPr>
        <w:ind w:left="1440"/>
        <w:rPr>
          <w:rFonts w:ascii="Times New Roman" w:hAnsi="Times New Roman"/>
          <w:sz w:val="24"/>
          <w:szCs w:val="24"/>
        </w:rPr>
      </w:pPr>
      <w:r>
        <w:rPr>
          <w:rFonts w:ascii="Times New Roman" w:hAnsi="Times New Roman"/>
          <w:sz w:val="24"/>
          <w:szCs w:val="24"/>
        </w:rPr>
        <w:t>***</w:t>
      </w:r>
    </w:p>
    <w:p w14:paraId="04CC5889" w14:textId="77777777" w:rsidR="0077274E" w:rsidRDefault="0077274E" w:rsidP="0077274E">
      <w:pPr>
        <w:ind w:left="1440"/>
        <w:rPr>
          <w:rFonts w:ascii="Times New Roman" w:hAnsi="Times New Roman"/>
          <w:sz w:val="24"/>
          <w:szCs w:val="24"/>
        </w:rPr>
      </w:pPr>
      <w:r>
        <w:rPr>
          <w:rFonts w:ascii="Times New Roman" w:hAnsi="Times New Roman"/>
          <w:sz w:val="24"/>
          <w:szCs w:val="24"/>
        </w:rPr>
        <w:t xml:space="preserve">[The Ohio Court of Appeals] ruled: </w:t>
      </w:r>
    </w:p>
    <w:p w14:paraId="2E6D32B9" w14:textId="77777777" w:rsidR="0077274E" w:rsidRPr="00E15ABE" w:rsidRDefault="0077274E" w:rsidP="0077274E">
      <w:pPr>
        <w:ind w:left="1440"/>
        <w:rPr>
          <w:rFonts w:ascii="Times New Roman" w:hAnsi="Times New Roman"/>
          <w:b/>
          <w:bCs/>
          <w:sz w:val="24"/>
          <w:szCs w:val="24"/>
        </w:rPr>
      </w:pPr>
      <w:r w:rsidRPr="00E15ABE">
        <w:rPr>
          <w:rFonts w:ascii="Times New Roman" w:hAnsi="Times New Roman"/>
          <w:sz w:val="24"/>
          <w:szCs w:val="24"/>
        </w:rPr>
        <w:t xml:space="preserve">The city of Cincinnati created the Citizen Complaint Authority (CCA) as part of a settlement agreement to a federal lawsuit alleging racial discrimination within the Cincinnati Police Department. The purpose of the CCA is to provide independent review, reporting, and recommendations concerning citizen complaints about police conduct. After the CCA sustained a charge of discrimination against Cincinnati police sergeant Timothy Lanter, the police department investigated the matter anew and rejected the CCA’s conclusions, which meant that Sergeant Lanter suffered no adverse employment consequences. Nevertheless, he initiated this litigation seeking to overturn the CCA’s recommendation, and the trial court obliged. We conclude, however, that the trial court lacked subject matter jurisdiction because the matter before the CCA cannot qualify as a </w:t>
      </w:r>
      <w:r>
        <w:rPr>
          <w:rFonts w:ascii="Times New Roman" w:hAnsi="Times New Roman"/>
          <w:sz w:val="24"/>
          <w:szCs w:val="24"/>
        </w:rPr>
        <w:t>‘</w:t>
      </w:r>
      <w:r w:rsidRPr="00E15ABE">
        <w:rPr>
          <w:rFonts w:ascii="Times New Roman" w:hAnsi="Times New Roman"/>
          <w:sz w:val="24"/>
          <w:szCs w:val="24"/>
        </w:rPr>
        <w:t>quasi-judicial</w:t>
      </w:r>
      <w:r>
        <w:rPr>
          <w:rFonts w:ascii="Times New Roman" w:hAnsi="Times New Roman"/>
          <w:sz w:val="24"/>
          <w:szCs w:val="24"/>
        </w:rPr>
        <w:t>’</w:t>
      </w:r>
      <w:r w:rsidRPr="00E15ABE">
        <w:rPr>
          <w:rFonts w:ascii="Times New Roman" w:hAnsi="Times New Roman"/>
          <w:sz w:val="24"/>
          <w:szCs w:val="24"/>
        </w:rPr>
        <w:t xml:space="preserve"> proceeding capable of review by a common pleas court.</w:t>
      </w:r>
      <w:r>
        <w:rPr>
          <w:rFonts w:ascii="Times New Roman" w:hAnsi="Times New Roman"/>
          <w:sz w:val="24"/>
          <w:szCs w:val="24"/>
        </w:rPr>
        <w:t xml:space="preserve">” </w:t>
      </w:r>
      <w:hyperlink r:id="rId1152" w:history="1">
        <w:r w:rsidRPr="0041276B">
          <w:rPr>
            <w:rStyle w:val="Hyperlink"/>
            <w:rFonts w:ascii="Times New Roman" w:hAnsi="Times New Roman"/>
            <w:sz w:val="24"/>
            <w:szCs w:val="24"/>
          </w:rPr>
          <w:t>https://law.justia.com/cases/ohio/first-district-court-of-appeals/2020/c-190708.html</w:t>
        </w:r>
      </w:hyperlink>
      <w:r>
        <w:rPr>
          <w:sz w:val="21"/>
          <w:szCs w:val="21"/>
        </w:rPr>
        <w:t xml:space="preserve"> </w:t>
      </w:r>
      <w:r>
        <w:rPr>
          <w:rFonts w:ascii="Times New Roman" w:hAnsi="Times New Roman"/>
          <w:b/>
          <w:bCs/>
          <w:sz w:val="24"/>
          <w:szCs w:val="24"/>
        </w:rPr>
        <w:t xml:space="preserve"> </w:t>
      </w:r>
    </w:p>
    <w:p w14:paraId="2A749BB0" w14:textId="77777777" w:rsidR="0077274E" w:rsidRDefault="0077274E" w:rsidP="00EF1133">
      <w:pPr>
        <w:rPr>
          <w:rFonts w:ascii="Arial Black" w:hAnsi="Arial Black"/>
          <w:b/>
          <w:sz w:val="24"/>
          <w:szCs w:val="24"/>
        </w:rPr>
      </w:pPr>
    </w:p>
    <w:p w14:paraId="7F50840F" w14:textId="77777777" w:rsidR="0077274E" w:rsidRDefault="0077274E" w:rsidP="00EF1133">
      <w:pPr>
        <w:rPr>
          <w:rFonts w:ascii="Arial Black" w:hAnsi="Arial Black"/>
          <w:b/>
          <w:sz w:val="24"/>
          <w:szCs w:val="24"/>
        </w:rPr>
      </w:pPr>
    </w:p>
    <w:p w14:paraId="14CF9559" w14:textId="77777777" w:rsidR="0077274E" w:rsidRDefault="0077274E" w:rsidP="00EF1133">
      <w:pPr>
        <w:rPr>
          <w:rFonts w:ascii="Arial Black" w:hAnsi="Arial Black"/>
          <w:b/>
          <w:sz w:val="24"/>
          <w:szCs w:val="24"/>
        </w:rPr>
      </w:pPr>
    </w:p>
    <w:p w14:paraId="41248A67" w14:textId="768BB41E" w:rsidR="0077274E" w:rsidRDefault="0077274E"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0</w:t>
      </w:r>
    </w:p>
    <w:p w14:paraId="5BC67768" w14:textId="77777777" w:rsidR="0077274E" w:rsidRPr="00FB1BAB" w:rsidRDefault="0077274E" w:rsidP="0077274E">
      <w:pPr>
        <w:pStyle w:val="Heading1"/>
        <w:rPr>
          <w:rFonts w:ascii="Arial Black" w:hAnsi="Arial Black"/>
          <w:sz w:val="28"/>
          <w:szCs w:val="28"/>
        </w:rPr>
      </w:pPr>
      <w:r>
        <w:rPr>
          <w:rFonts w:ascii="Arial Black" w:hAnsi="Arial Black"/>
          <w:sz w:val="28"/>
          <w:szCs w:val="28"/>
        </w:rPr>
        <w:t xml:space="preserve">MO: CARDIAC ARREST AT FORD MOTOR – COMPANY EMER. RESP. TEAM INADEQUATE - WORK COMP. ONLY REMEDY </w:t>
      </w:r>
    </w:p>
    <w:p w14:paraId="67DFADEA" w14:textId="77777777" w:rsidR="0077274E" w:rsidRDefault="0077274E" w:rsidP="0077274E">
      <w:pPr>
        <w:spacing w:before="100" w:beforeAutospacing="1" w:after="100" w:afterAutospacing="1" w:line="240" w:lineRule="auto"/>
        <w:rPr>
          <w:rFonts w:ascii="Times New Roman" w:hAnsi="Times New Roman"/>
          <w:sz w:val="24"/>
          <w:szCs w:val="24"/>
        </w:rPr>
      </w:pPr>
      <w:r w:rsidRPr="00FB1BAB">
        <w:rPr>
          <w:rFonts w:ascii="Times New Roman" w:hAnsi="Times New Roman"/>
          <w:sz w:val="24"/>
          <w:szCs w:val="24"/>
        </w:rPr>
        <w:t xml:space="preserve">On April 13, 2021, in </w:t>
      </w:r>
      <w:r w:rsidRPr="00FB1BAB">
        <w:rPr>
          <w:rFonts w:ascii="Times New Roman" w:hAnsi="Times New Roman"/>
          <w:sz w:val="24"/>
          <w:szCs w:val="24"/>
          <w:u w:val="single"/>
        </w:rPr>
        <w:t xml:space="preserve">Nancy J. </w:t>
      </w:r>
      <w:proofErr w:type="spellStart"/>
      <w:r w:rsidRPr="00FB1BAB">
        <w:rPr>
          <w:rFonts w:ascii="Times New Roman" w:hAnsi="Times New Roman"/>
          <w:sz w:val="24"/>
          <w:szCs w:val="24"/>
          <w:u w:val="single"/>
        </w:rPr>
        <w:t>Ducoulombier</w:t>
      </w:r>
      <w:proofErr w:type="spellEnd"/>
      <w:r w:rsidRPr="00FB1BAB">
        <w:rPr>
          <w:rFonts w:ascii="Times New Roman" w:hAnsi="Times New Roman"/>
          <w:sz w:val="24"/>
          <w:szCs w:val="24"/>
          <w:u w:val="single"/>
        </w:rPr>
        <w:t xml:space="preserve"> v. Ford Motor Company</w:t>
      </w:r>
      <w:r w:rsidRPr="00FB1BAB">
        <w:rPr>
          <w:rFonts w:ascii="Times New Roman" w:hAnsi="Times New Roman"/>
          <w:sz w:val="24"/>
          <w:szCs w:val="24"/>
        </w:rPr>
        <w:t xml:space="preserve">, </w:t>
      </w:r>
      <w:r>
        <w:rPr>
          <w:rFonts w:ascii="Times New Roman" w:hAnsi="Times New Roman"/>
          <w:sz w:val="24"/>
          <w:szCs w:val="24"/>
        </w:rPr>
        <w:t xml:space="preserve">the Missouri Court of Appeal (Western District) held (3 to 0) that the trial court properly granted Ford Motor Company’s motion for summary judgment.  The wife’s sole remedy is Worker’s Compensation, not a jury trial seeking damages, even if the Ford Company’s Emergency Response Team members were slow in calling 911, or slow in moving the patient to a location where responding EMS could </w:t>
      </w:r>
      <w:proofErr w:type="gramStart"/>
      <w:r>
        <w:rPr>
          <w:rFonts w:ascii="Times New Roman" w:hAnsi="Times New Roman"/>
          <w:sz w:val="24"/>
          <w:szCs w:val="24"/>
        </w:rPr>
        <w:t>being</w:t>
      </w:r>
      <w:proofErr w:type="gramEnd"/>
      <w:r>
        <w:rPr>
          <w:rFonts w:ascii="Times New Roman" w:hAnsi="Times New Roman"/>
          <w:sz w:val="24"/>
          <w:szCs w:val="24"/>
        </w:rPr>
        <w:t xml:space="preserve"> treatment.  </w:t>
      </w:r>
    </w:p>
    <w:p w14:paraId="0B1FE1BF" w14:textId="77777777" w:rsidR="0077274E"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23691">
        <w:rPr>
          <w:rFonts w:ascii="Times New Roman" w:hAnsi="Times New Roman"/>
          <w:sz w:val="24"/>
          <w:szCs w:val="24"/>
        </w:rPr>
        <w:t xml:space="preserve">Appellant's petition alleges that Ford's negligence caused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death. More specifically, it alleges that Ford failed to have properly trained responders for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on-site medical emergency, failed to ensure that the employees who administered CPR to 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xml:space="preserve"> were properly trained, failed to equip its employees and Emergency Response Team members with proper equipment and devices to be used in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cardiac life support, and failed to plan for interfacing with community EMS responders for on-site emergencies thereby hindering EMS responders in reaching 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xml:space="preserve">. </w:t>
      </w:r>
      <w:proofErr w:type="gramStart"/>
      <w:r w:rsidRPr="00123691">
        <w:rPr>
          <w:rFonts w:ascii="Times New Roman" w:hAnsi="Times New Roman"/>
          <w:sz w:val="24"/>
          <w:szCs w:val="24"/>
        </w:rPr>
        <w:t>Further, that</w:t>
      </w:r>
      <w:proofErr w:type="gramEnd"/>
      <w:r w:rsidRPr="00123691">
        <w:rPr>
          <w:rFonts w:ascii="Times New Roman" w:hAnsi="Times New Roman"/>
          <w:sz w:val="24"/>
          <w:szCs w:val="24"/>
        </w:rPr>
        <w:t xml:space="preserve"> Ford did not provide enough Emergency Response Team members within various areas of the plant </w:t>
      </w:r>
      <w:proofErr w:type="gramStart"/>
      <w:r w:rsidRPr="00123691">
        <w:rPr>
          <w:rFonts w:ascii="Times New Roman" w:hAnsi="Times New Roman"/>
          <w:sz w:val="24"/>
          <w:szCs w:val="24"/>
        </w:rPr>
        <w:t>so as to</w:t>
      </w:r>
      <w:proofErr w:type="gramEnd"/>
      <w:r w:rsidRPr="00123691">
        <w:rPr>
          <w:rFonts w:ascii="Times New Roman" w:hAnsi="Times New Roman"/>
          <w:sz w:val="24"/>
          <w:szCs w:val="24"/>
        </w:rPr>
        <w:t xml:space="preserve"> properly respond to </w:t>
      </w:r>
      <w:proofErr w:type="gramStart"/>
      <w:r w:rsidRPr="00123691">
        <w:rPr>
          <w:rFonts w:ascii="Times New Roman" w:hAnsi="Times New Roman"/>
          <w:sz w:val="24"/>
          <w:szCs w:val="24"/>
        </w:rPr>
        <w:t xml:space="preserve">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and</w:t>
      </w:r>
      <w:proofErr w:type="gramEnd"/>
      <w:r w:rsidRPr="00123691">
        <w:rPr>
          <w:rFonts w:ascii="Times New Roman" w:hAnsi="Times New Roman"/>
          <w:sz w:val="24"/>
          <w:szCs w:val="24"/>
        </w:rPr>
        <w:t xml:space="preserve"> did not provide the Emergency Response Team members it had with appropriate vehicles to transport 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xml:space="preserve"> to a rendezvous point. </w:t>
      </w:r>
      <w:proofErr w:type="gramStart"/>
      <w:r w:rsidRPr="00123691">
        <w:rPr>
          <w:rFonts w:ascii="Times New Roman" w:hAnsi="Times New Roman"/>
          <w:sz w:val="24"/>
          <w:szCs w:val="24"/>
        </w:rPr>
        <w:t>Finally, that</w:t>
      </w:r>
      <w:proofErr w:type="gramEnd"/>
      <w:r w:rsidRPr="00123691">
        <w:rPr>
          <w:rFonts w:ascii="Times New Roman" w:hAnsi="Times New Roman"/>
          <w:sz w:val="24"/>
          <w:szCs w:val="24"/>
        </w:rPr>
        <w:t xml:space="preserve"> Ford failed to timely notify community EMS responders of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medical emergency and request their assistance in rendering care.</w:t>
      </w:r>
    </w:p>
    <w:p w14:paraId="612419E7" w14:textId="77777777" w:rsidR="0077274E" w:rsidRPr="00123691"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10291A1" w14:textId="77777777" w:rsidR="0077274E" w:rsidRPr="00FB1BAB"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B</w:t>
      </w:r>
      <w:r w:rsidRPr="00FB1BAB">
        <w:rPr>
          <w:rFonts w:ascii="Times New Roman" w:hAnsi="Times New Roman"/>
          <w:sz w:val="24"/>
          <w:szCs w:val="24"/>
        </w:rPr>
        <w:t xml:space="preserve">ased on the factual allegations set forth in Appellant's pleadings, the same is true here. Mr. </w:t>
      </w:r>
      <w:proofErr w:type="spellStart"/>
      <w:r w:rsidRPr="00FB1BAB">
        <w:rPr>
          <w:rFonts w:ascii="Times New Roman" w:hAnsi="Times New Roman"/>
          <w:sz w:val="24"/>
          <w:szCs w:val="24"/>
        </w:rPr>
        <w:t>Ducoulombier's</w:t>
      </w:r>
      <w:proofErr w:type="spellEnd"/>
      <w:r w:rsidRPr="00FB1BAB">
        <w:rPr>
          <w:rFonts w:ascii="Times New Roman" w:hAnsi="Times New Roman"/>
          <w:sz w:val="24"/>
          <w:szCs w:val="24"/>
        </w:rPr>
        <w:t xml:space="preserve"> presence and purpose for being on Ford's premises on February 25, 2016, was solely due to his employment. As such, exclusive statutory authority to consider the cause and extent of alleged injuries arising from Mr. </w:t>
      </w:r>
      <w:proofErr w:type="spellStart"/>
      <w:r w:rsidRPr="00FB1BAB">
        <w:rPr>
          <w:rFonts w:ascii="Times New Roman" w:hAnsi="Times New Roman"/>
          <w:sz w:val="24"/>
          <w:szCs w:val="24"/>
        </w:rPr>
        <w:t>Ducoulombier's</w:t>
      </w:r>
      <w:proofErr w:type="spellEnd"/>
      <w:r w:rsidRPr="00FB1BAB">
        <w:rPr>
          <w:rFonts w:ascii="Times New Roman" w:hAnsi="Times New Roman"/>
          <w:sz w:val="24"/>
          <w:szCs w:val="24"/>
        </w:rPr>
        <w:t xml:space="preserve"> presence at his workplace lies with the Labor and Industrial Relations Commission.</w:t>
      </w:r>
      <w:r>
        <w:rPr>
          <w:rFonts w:ascii="Times New Roman" w:hAnsi="Times New Roman"/>
          <w:sz w:val="24"/>
          <w:szCs w:val="24"/>
        </w:rPr>
        <w:t xml:space="preserve">” </w:t>
      </w:r>
      <w:hyperlink r:id="rId1153" w:history="1">
        <w:r w:rsidRPr="0041276B">
          <w:rPr>
            <w:rStyle w:val="Hyperlink"/>
            <w:rFonts w:ascii="Times New Roman" w:hAnsi="Times New Roman"/>
            <w:sz w:val="24"/>
            <w:szCs w:val="24"/>
          </w:rPr>
          <w:t>https://law.justia.com/cases/missouri/court-of-appeals/2021/wd83430.html</w:t>
        </w:r>
      </w:hyperlink>
      <w:r>
        <w:rPr>
          <w:rFonts w:ascii="Times New Roman" w:hAnsi="Times New Roman"/>
          <w:sz w:val="24"/>
          <w:szCs w:val="24"/>
        </w:rPr>
        <w:t xml:space="preserve"> </w:t>
      </w:r>
    </w:p>
    <w:p w14:paraId="16488130" w14:textId="77777777" w:rsidR="0077274E" w:rsidRDefault="0077274E" w:rsidP="0077274E">
      <w:pPr>
        <w:spacing w:before="100" w:beforeAutospacing="1" w:after="100" w:afterAutospacing="1" w:line="240" w:lineRule="auto"/>
        <w:rPr>
          <w:rFonts w:ascii="Times New Roman" w:hAnsi="Times New Roman"/>
          <w:b/>
          <w:bCs/>
          <w:sz w:val="24"/>
          <w:szCs w:val="24"/>
        </w:rPr>
      </w:pPr>
      <w:r w:rsidRPr="003B387C">
        <w:rPr>
          <w:rFonts w:ascii="Times New Roman" w:hAnsi="Times New Roman"/>
          <w:b/>
          <w:bCs/>
          <w:sz w:val="24"/>
          <w:szCs w:val="24"/>
        </w:rPr>
        <w:t>Legal Lesson Learned:</w:t>
      </w:r>
      <w:r>
        <w:rPr>
          <w:rFonts w:ascii="Times New Roman" w:hAnsi="Times New Roman"/>
          <w:b/>
          <w:bCs/>
          <w:sz w:val="24"/>
          <w:szCs w:val="24"/>
        </w:rPr>
        <w:t xml:space="preserve">  For workplace injuries and death, workers comp. is normally the exclusive remedy. </w:t>
      </w:r>
    </w:p>
    <w:p w14:paraId="7690D01C" w14:textId="77777777" w:rsidR="0077274E" w:rsidRPr="00F97B96" w:rsidRDefault="0077274E" w:rsidP="0077274E">
      <w:pPr>
        <w:pStyle w:val="Heading1"/>
        <w:ind w:left="720"/>
        <w:rPr>
          <w:b w:val="0"/>
          <w:bCs w:val="0"/>
          <w:sz w:val="24"/>
          <w:szCs w:val="24"/>
        </w:rPr>
      </w:pPr>
      <w:r w:rsidRPr="00F97B96">
        <w:rPr>
          <w:b w:val="0"/>
          <w:bCs w:val="0"/>
          <w:sz w:val="24"/>
          <w:szCs w:val="24"/>
        </w:rPr>
        <w:t xml:space="preserve">Note:  Some states allow lawsuits against employers for “intentional torts.”  Ohio has a very limited statute. Ohio Revised Code 2745.01, “Liability of employer for intentional tort - intent to injure required - exceptions.” </w:t>
      </w:r>
      <w:hyperlink r:id="rId1154" w:history="1">
        <w:r w:rsidRPr="00F97B96">
          <w:rPr>
            <w:rStyle w:val="Hyperlink"/>
            <w:sz w:val="24"/>
            <w:szCs w:val="24"/>
          </w:rPr>
          <w:t>https://codes.ohio.gov/ohio-revised-code/section-2745.01</w:t>
        </w:r>
      </w:hyperlink>
      <w:r w:rsidRPr="00F97B96">
        <w:rPr>
          <w:b w:val="0"/>
          <w:bCs w:val="0"/>
          <w:sz w:val="24"/>
          <w:szCs w:val="24"/>
        </w:rPr>
        <w:t xml:space="preserve"> </w:t>
      </w:r>
    </w:p>
    <w:p w14:paraId="2C8CB72D"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(A) In an action brought against an employer by an employee, or by the dependent survivors of a deceased employee, for damages resulting from an intentional tort committed by the employer during the course of employment, the employer shall not be liable unless the plaintiff proves that the employer committed the tortious act with the intent to injure another or with the belief that the injury was substantially certain to occur.</w:t>
      </w:r>
    </w:p>
    <w:p w14:paraId="2D5BF1EC"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(B) As used in this section, "substantially certain" means that an employer acts with deliberate intent to cause an employee to suffer an injury, a disease, a condition, or death.</w:t>
      </w:r>
    </w:p>
    <w:p w14:paraId="3B5CA388"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lastRenderedPageBreak/>
        <w:t>(C) Deliberate removal by an employer of an equipment safety guard or deliberate misrepresentation of a toxic or hazardous substance creates a rebuttable presumption that the removal or misrepresentation was committed with intent to injure another if an injury or an occupational disease or condition occurs as a direct result.</w:t>
      </w:r>
    </w:p>
    <w:p w14:paraId="6BFA661B"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 xml:space="preserve">(D) This section does not apply to claims arising </w:t>
      </w:r>
      <w:proofErr w:type="gramStart"/>
      <w:r w:rsidRPr="003B387C">
        <w:rPr>
          <w:rFonts w:ascii="Times New Roman" w:eastAsia="Times New Roman" w:hAnsi="Times New Roman"/>
          <w:sz w:val="24"/>
          <w:szCs w:val="24"/>
        </w:rPr>
        <w:t>during the course of</w:t>
      </w:r>
      <w:proofErr w:type="gramEnd"/>
      <w:r w:rsidRPr="003B387C">
        <w:rPr>
          <w:rFonts w:ascii="Times New Roman" w:eastAsia="Times New Roman" w:hAnsi="Times New Roman"/>
          <w:sz w:val="24"/>
          <w:szCs w:val="24"/>
        </w:rPr>
        <w:t xml:space="preserve"> employment involving discrimination, civil rights, retaliation, harassment in violation of Chapter 4112. of the Revised Code, intentional infliction of emotional distress not compensable under Chapters 4121. and 4123. of the Revised Code, contract, promissory estoppel, or defamation.</w:t>
      </w:r>
    </w:p>
    <w:p w14:paraId="322BF799" w14:textId="69FA7D36" w:rsidR="0077274E" w:rsidRDefault="00F27CD5"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69</w:t>
      </w:r>
    </w:p>
    <w:p w14:paraId="7EA85C1B" w14:textId="77777777" w:rsidR="00F27CD5" w:rsidRPr="00AC6430" w:rsidRDefault="00F27CD5" w:rsidP="00F27CD5">
      <w:pPr>
        <w:pStyle w:val="NoSpacing"/>
        <w:rPr>
          <w:rFonts w:ascii="Arial Black" w:hAnsi="Arial Black"/>
          <w:sz w:val="28"/>
          <w:szCs w:val="28"/>
        </w:rPr>
      </w:pPr>
      <w:r>
        <w:rPr>
          <w:rFonts w:ascii="Arial Black" w:hAnsi="Arial Black"/>
          <w:sz w:val="28"/>
          <w:szCs w:val="28"/>
        </w:rPr>
        <w:t>LA: HEARING LOSS – GRADUAL LOSS OVER CAREER - MED. COVERAGE, BUT NOT PERMANENT PARTIAL DIABILITY</w:t>
      </w:r>
    </w:p>
    <w:p w14:paraId="1BE2649B" w14:textId="77777777" w:rsidR="00F27CD5" w:rsidRDefault="00F27CD5" w:rsidP="00F27CD5">
      <w:pPr>
        <w:pStyle w:val="NoSpacing"/>
        <w:rPr>
          <w:rFonts w:ascii="Times New Roman" w:hAnsi="Times New Roman"/>
          <w:sz w:val="24"/>
          <w:szCs w:val="24"/>
        </w:rPr>
      </w:pPr>
    </w:p>
    <w:p w14:paraId="573A5E42" w14:textId="77777777" w:rsidR="00F27CD5" w:rsidRPr="00AC6430" w:rsidRDefault="00F27CD5" w:rsidP="00F27CD5">
      <w:pPr>
        <w:pStyle w:val="NoSpacing"/>
        <w:rPr>
          <w:rFonts w:ascii="Times New Roman" w:hAnsi="Times New Roman"/>
          <w:sz w:val="24"/>
          <w:szCs w:val="24"/>
        </w:rPr>
      </w:pPr>
      <w:r w:rsidRPr="00AC6430">
        <w:rPr>
          <w:rFonts w:ascii="Times New Roman" w:hAnsi="Times New Roman"/>
          <w:sz w:val="24"/>
          <w:szCs w:val="24"/>
        </w:rPr>
        <w:t xml:space="preserve">On March 24, 2021, in </w:t>
      </w:r>
      <w:r w:rsidRPr="00AC6430">
        <w:rPr>
          <w:rFonts w:ascii="Times New Roman" w:hAnsi="Times New Roman"/>
          <w:sz w:val="24"/>
          <w:szCs w:val="24"/>
          <w:u w:val="single"/>
        </w:rPr>
        <w:t>James J. Hartman, Jr. vs. Bernard Parish Fire Department &amp; FARA</w:t>
      </w:r>
      <w:r w:rsidRPr="00AC6430">
        <w:rPr>
          <w:rFonts w:ascii="Times New Roman" w:hAnsi="Times New Roman"/>
          <w:sz w:val="24"/>
          <w:szCs w:val="24"/>
        </w:rPr>
        <w:t xml:space="preserve">, the Louisiana Supreme Court held (7 to 0) that a gradual loss of hearing by a District Chief does not meet the state’s statute requiring an explosion or other permanent hearing loss “solely due to a single traumatic accident.”  </w:t>
      </w:r>
      <w:r>
        <w:rPr>
          <w:rFonts w:ascii="Times New Roman" w:hAnsi="Times New Roman"/>
          <w:sz w:val="24"/>
          <w:szCs w:val="24"/>
        </w:rPr>
        <w:t xml:space="preserve">He is entitled to </w:t>
      </w:r>
      <w:proofErr w:type="gramStart"/>
      <w:r>
        <w:rPr>
          <w:rFonts w:ascii="Times New Roman" w:hAnsi="Times New Roman"/>
          <w:sz w:val="24"/>
          <w:szCs w:val="24"/>
        </w:rPr>
        <w:t>continuing</w:t>
      </w:r>
      <w:proofErr w:type="gramEnd"/>
      <w:r>
        <w:rPr>
          <w:rFonts w:ascii="Times New Roman" w:hAnsi="Times New Roman"/>
          <w:sz w:val="24"/>
          <w:szCs w:val="24"/>
        </w:rPr>
        <w:t xml:space="preserve"> medical coverage. </w:t>
      </w:r>
    </w:p>
    <w:p w14:paraId="753EDC8B" w14:textId="77777777" w:rsidR="00F27CD5" w:rsidRDefault="00F27CD5" w:rsidP="00F27CD5">
      <w:pPr>
        <w:pStyle w:val="NoSpacing"/>
        <w:rPr>
          <w:rFonts w:ascii="Times New Roman" w:hAnsi="Times New Roman"/>
          <w:sz w:val="24"/>
          <w:szCs w:val="24"/>
        </w:rPr>
      </w:pPr>
    </w:p>
    <w:p w14:paraId="079FC725" w14:textId="77777777" w:rsidR="00F27CD5" w:rsidRPr="00C14B60" w:rsidRDefault="00F27CD5" w:rsidP="00F27CD5">
      <w:pPr>
        <w:pStyle w:val="NoSpacing"/>
        <w:ind w:left="720"/>
        <w:rPr>
          <w:rFonts w:ascii="Times New Roman" w:hAnsi="Times New Roman"/>
          <w:color w:val="303030"/>
          <w:sz w:val="24"/>
          <w:szCs w:val="24"/>
        </w:rPr>
      </w:pPr>
      <w:r w:rsidRPr="00C14B60">
        <w:rPr>
          <w:rFonts w:ascii="Times New Roman" w:hAnsi="Times New Roman"/>
          <w:sz w:val="24"/>
          <w:szCs w:val="24"/>
        </w:rPr>
        <w:t xml:space="preserve">“Applying instead the clear and unambiguous words of the statute, we find that the medical evidence in this case establishes that Mr. Hartman’s hearing loss did not result solely from a single traumatic accident and, thus, he is not entitled to permanent partial disability benefits pursuant to La. R.S. 23:1221(4)(p).” </w:t>
      </w:r>
      <w:hyperlink r:id="rId1155" w:history="1">
        <w:r w:rsidRPr="00C14B60">
          <w:rPr>
            <w:rStyle w:val="Hyperlink"/>
            <w:sz w:val="24"/>
            <w:szCs w:val="24"/>
          </w:rPr>
          <w:t>https://www.lasc.org/Opinions/2021/20-0693.C.OPN.pdf</w:t>
        </w:r>
      </w:hyperlink>
      <w:r w:rsidRPr="00C14B60">
        <w:rPr>
          <w:rFonts w:ascii="Times New Roman" w:hAnsi="Times New Roman"/>
          <w:color w:val="303030"/>
          <w:sz w:val="24"/>
          <w:szCs w:val="24"/>
        </w:rPr>
        <w:t xml:space="preserve"> </w:t>
      </w:r>
    </w:p>
    <w:p w14:paraId="4BE49C89" w14:textId="77777777" w:rsidR="00F27CD5" w:rsidRPr="00AD1A4D" w:rsidRDefault="00F27CD5" w:rsidP="00F27CD5">
      <w:pPr>
        <w:pStyle w:val="NoSpacing"/>
        <w:rPr>
          <w:rFonts w:ascii="Times New Roman" w:hAnsi="Times New Roman"/>
          <w:b/>
          <w:bCs/>
          <w:sz w:val="24"/>
          <w:szCs w:val="24"/>
        </w:rPr>
      </w:pPr>
      <w:r w:rsidRPr="00AD1A4D">
        <w:rPr>
          <w:rFonts w:ascii="Times New Roman" w:hAnsi="Times New Roman"/>
          <w:b/>
          <w:bCs/>
          <w:sz w:val="24"/>
          <w:szCs w:val="24"/>
        </w:rPr>
        <w:t>Legal Lesson Learned:</w:t>
      </w:r>
      <w:r>
        <w:rPr>
          <w:rFonts w:ascii="Times New Roman" w:hAnsi="Times New Roman"/>
          <w:b/>
          <w:bCs/>
          <w:sz w:val="24"/>
          <w:szCs w:val="24"/>
        </w:rPr>
        <w:t xml:space="preserve"> The state statute limits partial disability compensation only if caused by a single traumatic accident. Time to “lobby” the legislature to broaden the statute. </w:t>
      </w:r>
    </w:p>
    <w:p w14:paraId="1C560811" w14:textId="77777777" w:rsidR="00F27CD5" w:rsidRDefault="00F27CD5" w:rsidP="00F27CD5">
      <w:pPr>
        <w:pStyle w:val="NormalWeb"/>
      </w:pPr>
      <w:r>
        <w:rPr>
          <w:sz w:val="38"/>
          <w:szCs w:val="38"/>
        </w:rPr>
        <w:tab/>
      </w:r>
      <w:r>
        <w:t xml:space="preserve">Note: </w:t>
      </w:r>
    </w:p>
    <w:p w14:paraId="2B8034EA" w14:textId="77777777" w:rsidR="00F27CD5" w:rsidRPr="00CC6D9B" w:rsidRDefault="00F27CD5" w:rsidP="00F27CD5">
      <w:pPr>
        <w:pStyle w:val="Heading1"/>
        <w:ind w:left="720"/>
        <w:rPr>
          <w:sz w:val="24"/>
          <w:szCs w:val="24"/>
        </w:rPr>
      </w:pPr>
      <w:r w:rsidRPr="00CB33A6">
        <w:rPr>
          <w:sz w:val="24"/>
          <w:szCs w:val="24"/>
        </w:rPr>
        <w:t xml:space="preserve">Ohio Revised Code: Section 4123.57 </w:t>
      </w:r>
      <w:r w:rsidRPr="00CB33A6">
        <w:rPr>
          <w:rStyle w:val="codes-separator"/>
          <w:sz w:val="24"/>
          <w:szCs w:val="24"/>
        </w:rPr>
        <w:t>|</w:t>
      </w:r>
      <w:r w:rsidRPr="00CB33A6">
        <w:rPr>
          <w:sz w:val="24"/>
          <w:szCs w:val="24"/>
        </w:rPr>
        <w:t xml:space="preserve"> Partial disability compensation</w:t>
      </w:r>
      <w:r w:rsidRPr="00CC6D9B">
        <w:rPr>
          <w:sz w:val="24"/>
          <w:szCs w:val="24"/>
        </w:rPr>
        <w:t>.</w:t>
      </w:r>
      <w:r>
        <w:rPr>
          <w:sz w:val="24"/>
          <w:szCs w:val="24"/>
        </w:rPr>
        <w:t xml:space="preserve"> </w:t>
      </w:r>
      <w:hyperlink r:id="rId1156" w:history="1">
        <w:r w:rsidRPr="00C724D5">
          <w:rPr>
            <w:rStyle w:val="Hyperlink"/>
            <w:sz w:val="24"/>
            <w:szCs w:val="24"/>
          </w:rPr>
          <w:t>https://codes.ohio.gov/ohio-revised-code/section-4123.57</w:t>
        </w:r>
      </w:hyperlink>
      <w:r>
        <w:rPr>
          <w:sz w:val="24"/>
          <w:szCs w:val="24"/>
        </w:rPr>
        <w:t xml:space="preserve"> </w:t>
      </w:r>
    </w:p>
    <w:p w14:paraId="707ACC72" w14:textId="77777777" w:rsidR="00F27CD5" w:rsidRDefault="00F27CD5" w:rsidP="00F27CD5">
      <w:pPr>
        <w:pStyle w:val="NormalWeb"/>
        <w:ind w:left="1440" w:firstLine="720"/>
      </w:pPr>
      <w:r>
        <w:t>“</w:t>
      </w:r>
      <w:r w:rsidRPr="00CC6D9B">
        <w:t>For the permanent and total loss of hearing, one hundred twenty-five weeks; but, except pursuant to the next preceding paragraph, in no case shall an award of compensation be made for less than permanent and total loss of hearing.</w:t>
      </w:r>
      <w:r>
        <w:t>”</w:t>
      </w:r>
    </w:p>
    <w:p w14:paraId="320230A5" w14:textId="77777777" w:rsidR="00F27CD5" w:rsidRPr="00AD1A4D" w:rsidRDefault="00F27CD5" w:rsidP="00F27CD5">
      <w:pPr>
        <w:pStyle w:val="NormalWeb"/>
        <w:ind w:left="720"/>
      </w:pPr>
      <w:r>
        <w:t xml:space="preserve">See also: </w:t>
      </w:r>
      <w:hyperlink r:id="rId1157" w:history="1">
        <w:r w:rsidRPr="00C724D5">
          <w:rPr>
            <w:rStyle w:val="Hyperlink"/>
          </w:rPr>
          <w:t>https://www.monastlaw.com/blog/ohio-workers-compensation-for-hearing-loss.cfm</w:t>
        </w:r>
      </w:hyperlink>
      <w:r>
        <w:t xml:space="preserve"> </w:t>
      </w:r>
    </w:p>
    <w:p w14:paraId="1910EDE7" w14:textId="77777777" w:rsidR="00F27CD5" w:rsidRPr="00AD1A4D" w:rsidRDefault="00F27CD5" w:rsidP="00F27CD5">
      <w:pPr>
        <w:pStyle w:val="NormalWeb"/>
        <w:ind w:left="1170"/>
      </w:pPr>
      <w:r>
        <w:t>“</w:t>
      </w:r>
      <w:r w:rsidRPr="00AD1A4D">
        <w:t xml:space="preserve">Under workers’ compensation law in Ohio, hearing loss is a </w:t>
      </w:r>
      <w:hyperlink r:id="rId1158" w:history="1">
        <w:r w:rsidRPr="00AD1A4D">
          <w:rPr>
            <w:rStyle w:val="Hyperlink"/>
          </w:rPr>
          <w:t>scheduled loss</w:t>
        </w:r>
      </w:hyperlink>
      <w:r w:rsidRPr="00AD1A4D">
        <w:t>, meaning compensation is awarded based on a set schedule. Depending on the extent of your hearing loss, you may obtain benefits for a specific number of weeks:</w:t>
      </w:r>
    </w:p>
    <w:p w14:paraId="39838718" w14:textId="77777777" w:rsidR="00F27CD5" w:rsidRPr="00AD1A4D" w:rsidRDefault="00F27CD5" w:rsidP="00F27CD5">
      <w:pPr>
        <w:numPr>
          <w:ilvl w:val="0"/>
          <w:numId w:val="10"/>
        </w:numPr>
        <w:tabs>
          <w:tab w:val="clear" w:pos="720"/>
          <w:tab w:val="num" w:pos="900"/>
        </w:tabs>
        <w:spacing w:before="100" w:beforeAutospacing="1" w:after="100" w:afterAutospacing="1" w:line="240" w:lineRule="auto"/>
        <w:ind w:firstLine="450"/>
        <w:rPr>
          <w:rFonts w:ascii="Times New Roman" w:hAnsi="Times New Roman"/>
          <w:sz w:val="24"/>
          <w:szCs w:val="24"/>
        </w:rPr>
      </w:pPr>
      <w:r w:rsidRPr="00AD1A4D">
        <w:rPr>
          <w:rFonts w:ascii="Times New Roman" w:hAnsi="Times New Roman"/>
          <w:sz w:val="24"/>
          <w:szCs w:val="24"/>
        </w:rPr>
        <w:t>25 weeks for permanent and total loss of hearing in one ear</w:t>
      </w:r>
    </w:p>
    <w:p w14:paraId="05E264D6" w14:textId="77777777" w:rsidR="00F27CD5" w:rsidRPr="00AD1A4D" w:rsidRDefault="00F27CD5" w:rsidP="00F27CD5">
      <w:pPr>
        <w:numPr>
          <w:ilvl w:val="0"/>
          <w:numId w:val="10"/>
        </w:numPr>
        <w:tabs>
          <w:tab w:val="clear" w:pos="720"/>
          <w:tab w:val="num" w:pos="900"/>
        </w:tabs>
        <w:spacing w:before="100" w:beforeAutospacing="1" w:after="100" w:afterAutospacing="1" w:line="240" w:lineRule="auto"/>
        <w:ind w:firstLine="450"/>
        <w:rPr>
          <w:rFonts w:ascii="Times New Roman" w:hAnsi="Times New Roman"/>
          <w:sz w:val="24"/>
          <w:szCs w:val="24"/>
        </w:rPr>
      </w:pPr>
      <w:r w:rsidRPr="00AD1A4D">
        <w:rPr>
          <w:rFonts w:ascii="Times New Roman" w:hAnsi="Times New Roman"/>
          <w:sz w:val="24"/>
          <w:szCs w:val="24"/>
        </w:rPr>
        <w:t>125 weeks for complete loss of hearing in both ears</w:t>
      </w:r>
    </w:p>
    <w:p w14:paraId="5943134C" w14:textId="77777777" w:rsidR="00F27CD5" w:rsidRDefault="00F27CD5" w:rsidP="00F27CD5">
      <w:pPr>
        <w:pStyle w:val="NormalWeb"/>
        <w:ind w:left="1170"/>
      </w:pPr>
      <w:r w:rsidRPr="00AD1A4D">
        <w:t xml:space="preserve">No award is </w:t>
      </w:r>
      <w:proofErr w:type="gramStart"/>
      <w:r w:rsidRPr="00AD1A4D">
        <w:t>made</w:t>
      </w:r>
      <w:proofErr w:type="gramEnd"/>
      <w:r w:rsidRPr="00AD1A4D">
        <w:t xml:space="preserve"> for anything less than permanent and total loss of hearing in at least one ear. Your benefits can include compensation for up to 100% of the statewide average weekly wage. This amount is determined annually</w:t>
      </w:r>
      <w:r>
        <w:t xml:space="preserve">.” </w:t>
      </w:r>
    </w:p>
    <w:p w14:paraId="5689C71C" w14:textId="77777777" w:rsidR="00F27CD5" w:rsidRDefault="00F27CD5" w:rsidP="00EF1133">
      <w:pPr>
        <w:rPr>
          <w:rFonts w:ascii="Arial Black" w:hAnsi="Arial Black"/>
          <w:b/>
          <w:sz w:val="24"/>
          <w:szCs w:val="24"/>
        </w:rPr>
      </w:pPr>
    </w:p>
    <w:p w14:paraId="3B347FB9" w14:textId="77777777" w:rsidR="0077274E" w:rsidRDefault="0077274E" w:rsidP="00EF1133">
      <w:pPr>
        <w:rPr>
          <w:rFonts w:ascii="Arial Black" w:hAnsi="Arial Black"/>
          <w:b/>
          <w:sz w:val="24"/>
          <w:szCs w:val="24"/>
        </w:rPr>
      </w:pPr>
    </w:p>
    <w:p w14:paraId="1FA1E0E7" w14:textId="4984267B" w:rsidR="00831847" w:rsidRDefault="00831847"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8</w:t>
      </w:r>
    </w:p>
    <w:p w14:paraId="6DD3BEA7" w14:textId="77777777" w:rsidR="00831847" w:rsidRPr="00E0778E" w:rsidRDefault="00831847" w:rsidP="00831847">
      <w:pPr>
        <w:pStyle w:val="NoSpacing"/>
        <w:rPr>
          <w:rFonts w:ascii="Arial Black" w:hAnsi="Arial Black"/>
          <w:sz w:val="28"/>
          <w:szCs w:val="28"/>
        </w:rPr>
      </w:pPr>
      <w:r>
        <w:rPr>
          <w:rFonts w:ascii="Arial Black" w:hAnsi="Arial Black"/>
          <w:sz w:val="28"/>
          <w:szCs w:val="28"/>
        </w:rPr>
        <w:t>IL: FF RETIRED AT MANADATORY AGE OF 65 – PENSION - CANNOT THEN ALSO RECEIVE UNEMPLOYMENT COMP</w:t>
      </w:r>
    </w:p>
    <w:p w14:paraId="6F45EBAD" w14:textId="77777777" w:rsidR="00831847" w:rsidRDefault="00831847" w:rsidP="0083184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16, 2021, in </w:t>
      </w:r>
      <w:r w:rsidRPr="00E0778E">
        <w:rPr>
          <w:rFonts w:ascii="Times New Roman" w:eastAsia="Times New Roman" w:hAnsi="Times New Roman"/>
          <w:sz w:val="24"/>
          <w:szCs w:val="24"/>
          <w:u w:val="single"/>
        </w:rPr>
        <w:t>Prospect Heights Fire Protection District v. The Department of Employment Security</w:t>
      </w:r>
      <w:r>
        <w:rPr>
          <w:rFonts w:ascii="Times New Roman" w:eastAsia="Times New Roman" w:hAnsi="Times New Roman"/>
          <w:sz w:val="24"/>
          <w:szCs w:val="24"/>
          <w:u w:val="single"/>
        </w:rPr>
        <w:t xml:space="preserve"> (Robert J. </w:t>
      </w:r>
      <w:proofErr w:type="spellStart"/>
      <w:r>
        <w:rPr>
          <w:rFonts w:ascii="Times New Roman" w:eastAsia="Times New Roman" w:hAnsi="Times New Roman"/>
          <w:sz w:val="24"/>
          <w:szCs w:val="24"/>
          <w:u w:val="single"/>
        </w:rPr>
        <w:t>Pyzyna</w:t>
      </w:r>
      <w:proofErr w:type="spellEnd"/>
      <w:r>
        <w:rPr>
          <w:rFonts w:ascii="Times New Roman" w:eastAsia="Times New Roman" w:hAnsi="Times New Roman"/>
          <w:sz w:val="24"/>
          <w:szCs w:val="24"/>
          <w:u w:val="single"/>
        </w:rPr>
        <w:t>)</w:t>
      </w:r>
      <w:r w:rsidRPr="00E0778E">
        <w:rPr>
          <w:rFonts w:ascii="Times New Roman" w:eastAsia="Times New Roman" w:hAnsi="Times New Roman"/>
          <w:sz w:val="24"/>
          <w:szCs w:val="24"/>
          <w:u w:val="single"/>
        </w:rPr>
        <w:t>, et al</w:t>
      </w:r>
      <w:r>
        <w:rPr>
          <w:rFonts w:ascii="Times New Roman" w:eastAsia="Times New Roman" w:hAnsi="Times New Roman"/>
          <w:sz w:val="24"/>
          <w:szCs w:val="24"/>
        </w:rPr>
        <w:t xml:space="preserve">., the Appellate Court of Illinois, First Judicial District (Second Division) held (3 to 0), </w:t>
      </w:r>
      <w:r w:rsidRPr="00F50861">
        <w:rPr>
          <w:rFonts w:ascii="Times New Roman" w:hAnsi="Times New Roman"/>
          <w:sz w:val="24"/>
          <w:szCs w:val="24"/>
        </w:rPr>
        <w:t>2021 IL App (1st) 182525</w:t>
      </w:r>
      <w:r>
        <w:rPr>
          <w:rFonts w:ascii="Times New Roman" w:eastAsia="Times New Roman" w:hAnsi="Times New Roman"/>
          <w:sz w:val="24"/>
          <w:szCs w:val="24"/>
        </w:rPr>
        <w:t xml:space="preserve">, that career firefighter Robert Pyzyna, who retired in Nov. 2017 when he reached mandatory retirement age 65, and began drawing a pension, should have not receive unemployment benefits since he was never “laid off.”  This is an important decision for Illinois fire service since it resolves an issue of “first impression.”  Note: </w:t>
      </w:r>
      <w:proofErr w:type="gramStart"/>
      <w:r>
        <w:rPr>
          <w:rFonts w:ascii="Times New Roman" w:eastAsia="Times New Roman" w:hAnsi="Times New Roman"/>
          <w:sz w:val="24"/>
          <w:szCs w:val="24"/>
        </w:rPr>
        <w:t>His is</w:t>
      </w:r>
      <w:proofErr w:type="gramEnd"/>
      <w:r>
        <w:rPr>
          <w:rFonts w:ascii="Times New Roman" w:eastAsia="Times New Roman" w:hAnsi="Times New Roman"/>
          <w:sz w:val="24"/>
          <w:szCs w:val="24"/>
        </w:rPr>
        <w:t xml:space="preserve"> current weekly income is $1,467.27; the unemployment benefit would have been $449.  While an Illinois statute would normally prevent applicants </w:t>
      </w:r>
      <w:proofErr w:type="gramStart"/>
      <w:r>
        <w:rPr>
          <w:rFonts w:ascii="Times New Roman" w:eastAsia="Times New Roman" w:hAnsi="Times New Roman"/>
          <w:sz w:val="24"/>
          <w:szCs w:val="24"/>
        </w:rPr>
        <w:t>to receive</w:t>
      </w:r>
      <w:proofErr w:type="gramEnd"/>
      <w:r>
        <w:rPr>
          <w:rFonts w:ascii="Times New Roman" w:eastAsia="Times New Roman" w:hAnsi="Times New Roman"/>
          <w:sz w:val="24"/>
          <w:szCs w:val="24"/>
        </w:rPr>
        <w:t xml:space="preserve"> unemployment comp if they are already making is excess of that amount, the Court decision was issued so other FF will not pursue such claims. </w:t>
      </w:r>
    </w:p>
    <w:p w14:paraId="686F31F9" w14:textId="77777777" w:rsidR="00831847" w:rsidRDefault="00831847" w:rsidP="00831847">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D82A44">
        <w:rPr>
          <w:rFonts w:ascii="Times New Roman" w:eastAsia="Times New Roman" w:hAnsi="Times New Roman"/>
          <w:sz w:val="24"/>
          <w:szCs w:val="24"/>
        </w:rPr>
        <w:t>Here, the issue raised in this appeal is one of first impression, and we find that resolving the issue would aid IDES officials in performing their duties and in properly applying the law. As such, we find that the</w:t>
      </w:r>
      <w:r>
        <w:rPr>
          <w:rFonts w:ascii="Times New Roman" w:eastAsia="Times New Roman" w:hAnsi="Times New Roman"/>
          <w:sz w:val="24"/>
          <w:szCs w:val="24"/>
        </w:rPr>
        <w:t xml:space="preserve"> </w:t>
      </w:r>
      <w:r w:rsidRPr="00D82A44">
        <w:rPr>
          <w:rFonts w:ascii="Times New Roman" w:eastAsia="Times New Roman" w:hAnsi="Times New Roman"/>
          <w:sz w:val="24"/>
          <w:szCs w:val="24"/>
        </w:rPr>
        <w:t xml:space="preserve">second prong of the public interest exception is also satisfied. </w:t>
      </w:r>
      <w:r w:rsidRPr="007A0047">
        <w:rPr>
          <w:rFonts w:ascii="Times New Roman" w:hAnsi="Times New Roman"/>
          <w:sz w:val="24"/>
          <w:szCs w:val="24"/>
        </w:rPr>
        <w:t xml:space="preserve">Finally, with respect to the third factor, given the large number of firefighters employed in this state, we believe that absent a ruling on this issue, questions about the interplay between the Fire Protection Act's mandatory retirement provision and the Unemployment Act are likely to </w:t>
      </w:r>
      <w:proofErr w:type="gramStart"/>
      <w:r w:rsidRPr="007A0047">
        <w:rPr>
          <w:rFonts w:ascii="Times New Roman" w:hAnsi="Times New Roman"/>
          <w:sz w:val="24"/>
          <w:szCs w:val="24"/>
        </w:rPr>
        <w:t>reoccur</w:t>
      </w:r>
      <w:proofErr w:type="gramEnd"/>
      <w:r w:rsidRPr="007A0047">
        <w:rPr>
          <w:rFonts w:ascii="Times New Roman" w:hAnsi="Times New Roman"/>
          <w:sz w:val="24"/>
          <w:szCs w:val="24"/>
        </w:rPr>
        <w:t>.</w:t>
      </w:r>
    </w:p>
    <w:p w14:paraId="0CDD0D7A" w14:textId="77777777" w:rsidR="00831847" w:rsidRDefault="00831847" w:rsidP="0083184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175ACA01" w14:textId="77777777" w:rsidR="00831847" w:rsidRPr="00F50861" w:rsidRDefault="00831847" w:rsidP="00831847">
      <w:pPr>
        <w:spacing w:before="100" w:beforeAutospacing="1" w:after="100" w:afterAutospacing="1" w:line="240" w:lineRule="auto"/>
        <w:ind w:left="720"/>
        <w:rPr>
          <w:rFonts w:ascii="Times New Roman" w:hAnsi="Times New Roman"/>
          <w:sz w:val="24"/>
          <w:szCs w:val="24"/>
        </w:rPr>
      </w:pPr>
      <w:r w:rsidRPr="00F50861">
        <w:rPr>
          <w:rFonts w:ascii="Times New Roman" w:hAnsi="Times New Roman"/>
          <w:sz w:val="24"/>
          <w:szCs w:val="24"/>
        </w:rPr>
        <w:t>We conclude that an Illinois firefighter who leaves his or her place of employment upon reaching the mandatory retirement age of 65 does so voluntarily absent good cause attributable to the employer and is not eligible to seek unemployment benefits pursuant to the Unemployment Act. Accordingly, we affirm the circuit court judgment reversing the contrary conclusion reached by the Board in this case.</w:t>
      </w:r>
      <w:r>
        <w:rPr>
          <w:rFonts w:ascii="Times New Roman" w:hAnsi="Times New Roman"/>
          <w:sz w:val="24"/>
          <w:szCs w:val="24"/>
        </w:rPr>
        <w:t xml:space="preserve">” </w:t>
      </w:r>
      <w:hyperlink r:id="rId1159" w:history="1">
        <w:r w:rsidRPr="00AB20E4">
          <w:rPr>
            <w:rStyle w:val="Hyperlink"/>
            <w:sz w:val="24"/>
            <w:szCs w:val="24"/>
          </w:rPr>
          <w:t>https://casetext.com/case/prospect-heights-fire-prot-dist-v-dept-of-empt-sec</w:t>
        </w:r>
      </w:hyperlink>
      <w:r>
        <w:rPr>
          <w:rFonts w:ascii="Times New Roman" w:hAnsi="Times New Roman"/>
          <w:sz w:val="24"/>
          <w:szCs w:val="24"/>
        </w:rPr>
        <w:t xml:space="preserve"> </w:t>
      </w:r>
    </w:p>
    <w:p w14:paraId="040E9525" w14:textId="77777777" w:rsidR="00831847" w:rsidRPr="00D82A44" w:rsidRDefault="00831847" w:rsidP="00831847">
      <w:pPr>
        <w:spacing w:before="100" w:beforeAutospacing="1" w:after="100" w:afterAutospacing="1" w:line="240" w:lineRule="auto"/>
        <w:rPr>
          <w:rFonts w:ascii="Times New Roman" w:eastAsia="Times New Roman" w:hAnsi="Times New Roman"/>
          <w:b/>
          <w:bCs/>
          <w:sz w:val="24"/>
          <w:szCs w:val="24"/>
        </w:rPr>
      </w:pPr>
      <w:r w:rsidRPr="0087635A">
        <w:rPr>
          <w:rFonts w:ascii="Times New Roman" w:hAnsi="Times New Roman"/>
          <w:b/>
          <w:bCs/>
          <w:sz w:val="24"/>
          <w:szCs w:val="24"/>
        </w:rPr>
        <w:t>Legal Lesson Learned:</w:t>
      </w:r>
      <w:r>
        <w:rPr>
          <w:rFonts w:ascii="Times New Roman" w:hAnsi="Times New Roman"/>
          <w:b/>
          <w:bCs/>
          <w:sz w:val="24"/>
          <w:szCs w:val="24"/>
        </w:rPr>
        <w:t xml:space="preserve">  Excellent court decision that hopefully will prevent other Illinois firefighters from pursuing unemployment claims after their retirement at age 65. </w:t>
      </w:r>
    </w:p>
    <w:p w14:paraId="3E7C7067"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 xml:space="preserve">Note – Mandatory Retirement: </w:t>
      </w:r>
    </w:p>
    <w:p w14:paraId="46F0EF97" w14:textId="77777777" w:rsidR="00831847" w:rsidRDefault="00831847" w:rsidP="00831847">
      <w:pPr>
        <w:pStyle w:val="NoSpacing"/>
        <w:ind w:left="720"/>
        <w:rPr>
          <w:rFonts w:ascii="Times New Roman" w:hAnsi="Times New Roman"/>
          <w:sz w:val="24"/>
          <w:szCs w:val="24"/>
        </w:rPr>
      </w:pPr>
    </w:p>
    <w:p w14:paraId="24245B55" w14:textId="77777777" w:rsidR="00831847" w:rsidRDefault="00831847" w:rsidP="00831847">
      <w:pPr>
        <w:pStyle w:val="NoSpacing"/>
        <w:ind w:left="720"/>
        <w:rPr>
          <w:rFonts w:ascii="Times New Roman" w:hAnsi="Times New Roman"/>
          <w:color w:val="000000"/>
          <w:sz w:val="24"/>
          <w:szCs w:val="24"/>
        </w:rPr>
      </w:pPr>
      <w:r>
        <w:rPr>
          <w:rFonts w:ascii="Times New Roman" w:hAnsi="Times New Roman"/>
          <w:color w:val="000000"/>
          <w:sz w:val="24"/>
          <w:szCs w:val="24"/>
        </w:rPr>
        <w:t>“</w:t>
      </w:r>
      <w:r w:rsidRPr="0087635A">
        <w:rPr>
          <w:rFonts w:ascii="Times New Roman" w:hAnsi="Times New Roman"/>
          <w:color w:val="000000"/>
          <w:sz w:val="24"/>
          <w:szCs w:val="24"/>
        </w:rPr>
        <w:t xml:space="preserve">After Congress in 1996 permitted age caps for police and fire personnel, Chicago restored its mandatory retirement age of 63 for firefighters. Having lost on their ADEA claim, they asserted that their forced retirements violated due process. The appellate panel held that </w:t>
      </w:r>
      <w:proofErr w:type="gramStart"/>
      <w:r w:rsidRPr="0087635A">
        <w:rPr>
          <w:rFonts w:ascii="Times New Roman" w:hAnsi="Times New Roman"/>
          <w:color w:val="000000"/>
          <w:sz w:val="24"/>
          <w:szCs w:val="24"/>
        </w:rPr>
        <w:t>an involuntary</w:t>
      </w:r>
      <w:proofErr w:type="gramEnd"/>
      <w:r w:rsidRPr="0087635A">
        <w:rPr>
          <w:rFonts w:ascii="Times New Roman" w:hAnsi="Times New Roman"/>
          <w:color w:val="000000"/>
          <w:sz w:val="24"/>
          <w:szCs w:val="24"/>
        </w:rPr>
        <w:t xml:space="preserve"> retirement is not a discharge and the bargaining agreement did not give firefighters a protected property interest in continued employment regardless of their age. Minch v. City of Chicago, #05-2702, 2007 U.S. App. Lexis 11260, 181 LRRM (BNA) 3089 (7th Cir.).</w:t>
      </w:r>
      <w:r>
        <w:rPr>
          <w:rFonts w:ascii="Times New Roman" w:hAnsi="Times New Roman"/>
          <w:color w:val="000000"/>
          <w:sz w:val="24"/>
          <w:szCs w:val="24"/>
        </w:rPr>
        <w:t xml:space="preserve">” </w:t>
      </w:r>
      <w:hyperlink r:id="rId1160" w:history="1">
        <w:r w:rsidRPr="00AB20E4">
          <w:rPr>
            <w:rStyle w:val="Hyperlink"/>
            <w:sz w:val="24"/>
            <w:szCs w:val="24"/>
          </w:rPr>
          <w:t>http://www.aele.org/law/Digests/empl6.html</w:t>
        </w:r>
      </w:hyperlink>
      <w:r>
        <w:rPr>
          <w:rFonts w:ascii="Times New Roman" w:hAnsi="Times New Roman"/>
          <w:color w:val="000000"/>
          <w:sz w:val="24"/>
          <w:szCs w:val="24"/>
        </w:rPr>
        <w:t xml:space="preserve"> </w:t>
      </w:r>
    </w:p>
    <w:p w14:paraId="21D09FCD" w14:textId="77777777" w:rsidR="00831847" w:rsidRDefault="00831847" w:rsidP="00831847">
      <w:pPr>
        <w:pStyle w:val="NoSpacing"/>
        <w:ind w:left="720"/>
        <w:rPr>
          <w:rFonts w:ascii="Times New Roman" w:hAnsi="Times New Roman"/>
          <w:color w:val="000000"/>
          <w:sz w:val="24"/>
          <w:szCs w:val="24"/>
        </w:rPr>
      </w:pPr>
    </w:p>
    <w:p w14:paraId="5B8F3FBB" w14:textId="77777777" w:rsidR="00831847" w:rsidRDefault="00831847" w:rsidP="00831847">
      <w:pPr>
        <w:pStyle w:val="NoSpacing"/>
        <w:ind w:left="720"/>
        <w:rPr>
          <w:rFonts w:ascii="Times New Roman" w:hAnsi="Times New Roman"/>
          <w:color w:val="000000"/>
          <w:sz w:val="24"/>
          <w:szCs w:val="24"/>
        </w:rPr>
      </w:pPr>
      <w:r>
        <w:rPr>
          <w:rFonts w:ascii="Times New Roman" w:hAnsi="Times New Roman"/>
          <w:color w:val="000000"/>
          <w:sz w:val="24"/>
          <w:szCs w:val="24"/>
        </w:rPr>
        <w:t>***</w:t>
      </w:r>
    </w:p>
    <w:p w14:paraId="218CD4FB" w14:textId="77777777" w:rsidR="00831847" w:rsidRDefault="00831847" w:rsidP="00831847">
      <w:pPr>
        <w:pStyle w:val="NoSpacing"/>
        <w:ind w:left="720"/>
        <w:rPr>
          <w:rFonts w:ascii="Times New Roman" w:hAnsi="Times New Roman"/>
          <w:color w:val="000000"/>
          <w:sz w:val="24"/>
          <w:szCs w:val="24"/>
        </w:rPr>
      </w:pPr>
    </w:p>
    <w:p w14:paraId="32D3782D" w14:textId="77777777" w:rsidR="00831847" w:rsidRDefault="00831847" w:rsidP="00831847">
      <w:pPr>
        <w:pStyle w:val="NoSpacing"/>
        <w:ind w:left="720"/>
        <w:rPr>
          <w:rFonts w:ascii="Times New Roman" w:hAnsi="Times New Roman"/>
          <w:sz w:val="24"/>
          <w:szCs w:val="24"/>
        </w:rPr>
      </w:pPr>
      <w:r w:rsidRPr="00990608">
        <w:rPr>
          <w:rFonts w:ascii="Times New Roman" w:hAnsi="Times New Roman"/>
          <w:color w:val="000000"/>
          <w:sz w:val="24"/>
          <w:szCs w:val="24"/>
        </w:rPr>
        <w:t xml:space="preserve">U.S. Department of Interior firefighters: </w:t>
      </w:r>
      <w:r>
        <w:rPr>
          <w:rFonts w:ascii="Times New Roman" w:hAnsi="Times New Roman"/>
          <w:color w:val="000000"/>
          <w:sz w:val="24"/>
          <w:szCs w:val="24"/>
        </w:rPr>
        <w:t>“</w:t>
      </w:r>
      <w:r>
        <w:rPr>
          <w:rFonts w:ascii="Times New Roman" w:hAnsi="Times New Roman"/>
          <w:sz w:val="24"/>
          <w:szCs w:val="24"/>
        </w:rPr>
        <w:t xml:space="preserve">The </w:t>
      </w:r>
      <w:r w:rsidRPr="00990608">
        <w:rPr>
          <w:rFonts w:ascii="Times New Roman" w:hAnsi="Times New Roman"/>
          <w:sz w:val="24"/>
          <w:szCs w:val="24"/>
        </w:rPr>
        <w:t>mandatory retirement age, with</w:t>
      </w:r>
      <w:r>
        <w:rPr>
          <w:rFonts w:ascii="Times New Roman" w:hAnsi="Times New Roman"/>
          <w:sz w:val="24"/>
          <w:szCs w:val="24"/>
        </w:rPr>
        <w:t xml:space="preserve"> </w:t>
      </w:r>
      <w:r w:rsidRPr="00990608">
        <w:rPr>
          <w:rFonts w:ascii="Times New Roman" w:hAnsi="Times New Roman"/>
          <w:sz w:val="24"/>
          <w:szCs w:val="24"/>
        </w:rPr>
        <w:t>20 years covered service</w:t>
      </w:r>
      <w:r>
        <w:rPr>
          <w:rFonts w:ascii="Times New Roman" w:hAnsi="Times New Roman"/>
          <w:sz w:val="24"/>
          <w:szCs w:val="24"/>
        </w:rPr>
        <w:t xml:space="preserve"> </w:t>
      </w:r>
      <w:r w:rsidRPr="00990608">
        <w:rPr>
          <w:rFonts w:ascii="Times New Roman" w:hAnsi="Times New Roman"/>
          <w:sz w:val="24"/>
          <w:szCs w:val="24"/>
        </w:rPr>
        <w:t>is:</w:t>
      </w:r>
      <w:r>
        <w:rPr>
          <w:rFonts w:ascii="Times New Roman" w:hAnsi="Times New Roman"/>
          <w:sz w:val="24"/>
          <w:szCs w:val="24"/>
        </w:rPr>
        <w:t xml:space="preserve"> </w:t>
      </w:r>
      <w:r w:rsidRPr="00990608">
        <w:rPr>
          <w:rFonts w:ascii="Times New Roman" w:hAnsi="Times New Roman"/>
          <w:sz w:val="24"/>
          <w:szCs w:val="24"/>
        </w:rPr>
        <w:t>Firefighters and Law Enforcement Officers - age 57, or any</w:t>
      </w:r>
      <w:r>
        <w:rPr>
          <w:rFonts w:ascii="Times New Roman" w:hAnsi="Times New Roman"/>
          <w:sz w:val="24"/>
          <w:szCs w:val="24"/>
        </w:rPr>
        <w:t xml:space="preserve"> </w:t>
      </w:r>
      <w:r w:rsidRPr="00990608">
        <w:rPr>
          <w:rFonts w:ascii="Times New Roman" w:hAnsi="Times New Roman"/>
          <w:sz w:val="24"/>
          <w:szCs w:val="24"/>
        </w:rPr>
        <w:t>time after age 57, upon reaching 20 years</w:t>
      </w:r>
      <w:r>
        <w:rPr>
          <w:rFonts w:ascii="Times New Roman" w:hAnsi="Times New Roman"/>
          <w:sz w:val="24"/>
          <w:szCs w:val="24"/>
        </w:rPr>
        <w:t xml:space="preserve"> </w:t>
      </w:r>
      <w:r w:rsidRPr="00990608">
        <w:rPr>
          <w:rFonts w:ascii="Times New Roman" w:hAnsi="Times New Roman"/>
          <w:sz w:val="24"/>
          <w:szCs w:val="24"/>
        </w:rPr>
        <w:t>covered service.</w:t>
      </w:r>
      <w:r>
        <w:rPr>
          <w:rFonts w:ascii="Times New Roman" w:hAnsi="Times New Roman"/>
          <w:sz w:val="24"/>
          <w:szCs w:val="24"/>
        </w:rPr>
        <w:t xml:space="preserve">” </w:t>
      </w:r>
      <w:hyperlink r:id="rId1161" w:history="1">
        <w:r w:rsidRPr="00AB20E4">
          <w:rPr>
            <w:rStyle w:val="Hyperlink"/>
            <w:sz w:val="24"/>
            <w:szCs w:val="24"/>
          </w:rPr>
          <w:t>https://www.doi.gov/sites/doi.gov/files/migrated/flert/training/upload/General-FF-LEO-Retirement-Information-Pamphlet.pdf</w:t>
        </w:r>
      </w:hyperlink>
      <w:r>
        <w:rPr>
          <w:rFonts w:ascii="Times New Roman" w:hAnsi="Times New Roman"/>
          <w:sz w:val="24"/>
          <w:szCs w:val="24"/>
        </w:rPr>
        <w:t xml:space="preserve"> </w:t>
      </w:r>
    </w:p>
    <w:p w14:paraId="75B62BC3" w14:textId="77777777" w:rsidR="00831847" w:rsidRDefault="00831847" w:rsidP="00831847">
      <w:pPr>
        <w:pStyle w:val="NoSpacing"/>
        <w:ind w:left="720"/>
        <w:rPr>
          <w:rFonts w:ascii="Times New Roman" w:hAnsi="Times New Roman"/>
          <w:color w:val="000000"/>
          <w:sz w:val="24"/>
          <w:szCs w:val="24"/>
        </w:rPr>
      </w:pPr>
    </w:p>
    <w:p w14:paraId="68B9DABD" w14:textId="77777777" w:rsidR="00831847" w:rsidRPr="00990608" w:rsidRDefault="00831847" w:rsidP="00831847">
      <w:pPr>
        <w:pStyle w:val="NoSpacing"/>
        <w:ind w:left="720"/>
        <w:rPr>
          <w:rFonts w:ascii="Times New Roman" w:hAnsi="Times New Roman"/>
          <w:color w:val="000000"/>
          <w:sz w:val="24"/>
          <w:szCs w:val="24"/>
        </w:rPr>
      </w:pPr>
      <w:r>
        <w:rPr>
          <w:rFonts w:ascii="Times New Roman" w:hAnsi="Times New Roman"/>
          <w:color w:val="000000"/>
          <w:sz w:val="24"/>
          <w:szCs w:val="24"/>
        </w:rPr>
        <w:t>***</w:t>
      </w:r>
    </w:p>
    <w:p w14:paraId="3D096B16" w14:textId="77777777" w:rsidR="00831847" w:rsidRPr="00990608" w:rsidRDefault="00831847" w:rsidP="00831847">
      <w:pPr>
        <w:pStyle w:val="NoSpacing"/>
        <w:rPr>
          <w:rFonts w:ascii="Times New Roman" w:hAnsi="Times New Roman"/>
          <w:sz w:val="24"/>
          <w:szCs w:val="24"/>
        </w:rPr>
      </w:pPr>
    </w:p>
    <w:p w14:paraId="2D5E1072"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March 6, 2012: “</w:t>
      </w:r>
      <w:r w:rsidRPr="00990608">
        <w:rPr>
          <w:rFonts w:ascii="Times New Roman" w:hAnsi="Times New Roman"/>
          <w:sz w:val="24"/>
          <w:szCs w:val="24"/>
        </w:rPr>
        <w:t xml:space="preserve">Many states made changes to retirement benefits for uniformed personnel in the wake of the recession. Table 2 shows changes made in 12 states from 2010 to 2011. Some moved to 25 and out plans; new uniformed hires in various classes of employment in Arizona, Connecticut, Hawaii, Maryland, New Jersey, and Rhode Island were placed in 25 and out plans. In 2010 new hazardous duty personnel in Louisiana began in a 25 and out plan, as well. Six other states set higher retirement ages and/or service requirements for some uniformed personnel. Florida, for example, adopted a 60/30 plan for its new special risk class employees and Massachusetts increased retirement ages for three out of four types of law enforcement employees to 50 and 55. In Illinois new uniformed employees of Downstate and Chicago will be required to reach the age of 55 and have at least 10 </w:t>
      </w:r>
      <w:proofErr w:type="spellStart"/>
      <w:r w:rsidRPr="00990608">
        <w:rPr>
          <w:rFonts w:ascii="Times New Roman" w:hAnsi="Times New Roman"/>
          <w:sz w:val="24"/>
          <w:szCs w:val="24"/>
        </w:rPr>
        <w:t>years service</w:t>
      </w:r>
      <w:proofErr w:type="spellEnd"/>
      <w:r w:rsidRPr="00990608">
        <w:rPr>
          <w:rFonts w:ascii="Times New Roman" w:hAnsi="Times New Roman"/>
          <w:sz w:val="24"/>
          <w:szCs w:val="24"/>
        </w:rPr>
        <w:t xml:space="preserve"> to claim a pension.</w:t>
      </w:r>
      <w:r>
        <w:rPr>
          <w:rFonts w:ascii="Times New Roman" w:hAnsi="Times New Roman"/>
          <w:sz w:val="24"/>
          <w:szCs w:val="24"/>
        </w:rPr>
        <w:t xml:space="preserve">” </w:t>
      </w:r>
      <w:hyperlink r:id="rId1162" w:history="1">
        <w:r w:rsidRPr="00AB20E4">
          <w:rPr>
            <w:rStyle w:val="Hyperlink"/>
            <w:sz w:val="24"/>
            <w:szCs w:val="24"/>
          </w:rPr>
          <w:t>https://cbcny.org/research/pension-reform-firefighters-will-not-be-running-burning-buildings-age-65</w:t>
        </w:r>
      </w:hyperlink>
      <w:r>
        <w:rPr>
          <w:rFonts w:ascii="Times New Roman" w:hAnsi="Times New Roman"/>
          <w:sz w:val="24"/>
          <w:szCs w:val="24"/>
        </w:rPr>
        <w:t xml:space="preserve"> </w:t>
      </w:r>
    </w:p>
    <w:p w14:paraId="0CA9BD02" w14:textId="77777777" w:rsidR="00831847" w:rsidRDefault="00831847" w:rsidP="00831847">
      <w:pPr>
        <w:pStyle w:val="NoSpacing"/>
        <w:ind w:left="720"/>
        <w:rPr>
          <w:rFonts w:ascii="Times New Roman" w:hAnsi="Times New Roman"/>
          <w:sz w:val="24"/>
          <w:szCs w:val="24"/>
        </w:rPr>
      </w:pPr>
    </w:p>
    <w:p w14:paraId="66C4B62A" w14:textId="77777777" w:rsidR="00831847" w:rsidRPr="00990608" w:rsidRDefault="00831847" w:rsidP="00831847">
      <w:pPr>
        <w:pStyle w:val="NoSpacing"/>
        <w:ind w:left="720"/>
        <w:rPr>
          <w:rFonts w:ascii="Times New Roman" w:hAnsi="Times New Roman"/>
          <w:sz w:val="24"/>
          <w:szCs w:val="24"/>
        </w:rPr>
      </w:pPr>
      <w:r>
        <w:rPr>
          <w:rFonts w:ascii="Times New Roman" w:hAnsi="Times New Roman"/>
          <w:sz w:val="24"/>
          <w:szCs w:val="24"/>
        </w:rPr>
        <w:t>***</w:t>
      </w:r>
    </w:p>
    <w:p w14:paraId="238D4B31" w14:textId="77777777" w:rsidR="00831847" w:rsidRPr="00990608" w:rsidRDefault="00831847" w:rsidP="00831847">
      <w:pPr>
        <w:pStyle w:val="NoSpacing"/>
        <w:ind w:left="720"/>
        <w:rPr>
          <w:rFonts w:ascii="Times New Roman" w:hAnsi="Times New Roman"/>
          <w:sz w:val="24"/>
          <w:szCs w:val="24"/>
        </w:rPr>
      </w:pPr>
    </w:p>
    <w:p w14:paraId="7E8A59C8"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 xml:space="preserve">March 2, 2002:  </w:t>
      </w:r>
      <w:r w:rsidRPr="0087635A">
        <w:rPr>
          <w:rFonts w:ascii="Times New Roman" w:hAnsi="Times New Roman"/>
          <w:sz w:val="24"/>
          <w:szCs w:val="24"/>
        </w:rPr>
        <w:t>Federal firefighters have a mandatory retirement age of 57. In California the age is 60 and in Chicago, it's 63. Connecticut state law puts the issue under local control.</w:t>
      </w:r>
      <w:r>
        <w:rPr>
          <w:rFonts w:ascii="Times New Roman" w:hAnsi="Times New Roman"/>
          <w:sz w:val="24"/>
          <w:szCs w:val="24"/>
        </w:rPr>
        <w:t xml:space="preserve"> </w:t>
      </w:r>
      <w:hyperlink r:id="rId1163" w:history="1">
        <w:r w:rsidRPr="00AB20E4">
          <w:rPr>
            <w:rStyle w:val="Hyperlink"/>
            <w:sz w:val="24"/>
            <w:szCs w:val="24"/>
          </w:rPr>
          <w:t>https://www.courant.com/news/connecticut/hc-xpm-2002-03-02-0203020027-story.html</w:t>
        </w:r>
      </w:hyperlink>
      <w:r>
        <w:rPr>
          <w:rFonts w:ascii="Times New Roman" w:hAnsi="Times New Roman"/>
          <w:sz w:val="24"/>
          <w:szCs w:val="24"/>
        </w:rPr>
        <w:t xml:space="preserve"> </w:t>
      </w:r>
    </w:p>
    <w:p w14:paraId="1CA35CB2" w14:textId="77777777" w:rsidR="00831847" w:rsidRDefault="00831847" w:rsidP="00831847">
      <w:pPr>
        <w:pStyle w:val="NoSpacing"/>
        <w:ind w:left="720"/>
        <w:rPr>
          <w:rFonts w:ascii="Times New Roman" w:hAnsi="Times New Roman"/>
          <w:sz w:val="24"/>
          <w:szCs w:val="24"/>
        </w:rPr>
      </w:pPr>
    </w:p>
    <w:p w14:paraId="4227E910"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w:t>
      </w:r>
    </w:p>
    <w:p w14:paraId="1024E0D5" w14:textId="77777777" w:rsidR="00831847" w:rsidRDefault="00831847" w:rsidP="00831847">
      <w:pPr>
        <w:pStyle w:val="NoSpacing"/>
        <w:rPr>
          <w:rFonts w:ascii="Times New Roman" w:hAnsi="Times New Roman"/>
          <w:sz w:val="24"/>
          <w:szCs w:val="24"/>
        </w:rPr>
      </w:pPr>
    </w:p>
    <w:p w14:paraId="71D212EF" w14:textId="77777777" w:rsidR="00831847" w:rsidRPr="006E0916" w:rsidRDefault="00831847" w:rsidP="00831847">
      <w:pPr>
        <w:pStyle w:val="NoSpacing"/>
        <w:ind w:left="720"/>
        <w:rPr>
          <w:rFonts w:ascii="Times New Roman" w:hAnsi="Times New Roman"/>
          <w:sz w:val="24"/>
          <w:szCs w:val="24"/>
        </w:rPr>
      </w:pPr>
      <w:r>
        <w:rPr>
          <w:rFonts w:ascii="Times New Roman" w:hAnsi="Times New Roman"/>
          <w:sz w:val="24"/>
          <w:szCs w:val="24"/>
        </w:rPr>
        <w:t>Aug. 3, 2001: “</w:t>
      </w:r>
      <w:r w:rsidRPr="006E0916">
        <w:rPr>
          <w:rFonts w:ascii="Times New Roman" w:hAnsi="Times New Roman"/>
          <w:sz w:val="24"/>
          <w:szCs w:val="24"/>
        </w:rPr>
        <w:t xml:space="preserve">Federal firefighters will be able to stay on the job until they are 57, under a law President Bush signed on Monday. Under </w:t>
      </w:r>
      <w:proofErr w:type="gramStart"/>
      <w:r w:rsidRPr="006E0916">
        <w:rPr>
          <w:rFonts w:ascii="Times New Roman" w:hAnsi="Times New Roman"/>
          <w:sz w:val="24"/>
          <w:szCs w:val="24"/>
        </w:rPr>
        <w:t>a previous</w:t>
      </w:r>
      <w:proofErr w:type="gramEnd"/>
      <w:r w:rsidRPr="006E0916">
        <w:rPr>
          <w:rFonts w:ascii="Times New Roman" w:hAnsi="Times New Roman"/>
          <w:sz w:val="24"/>
          <w:szCs w:val="24"/>
        </w:rPr>
        <w:t xml:space="preserve"> law, the mandatory retirement age for firefighters was 55. Firefighters must serve for 20 years to receive full retirement benefits.</w:t>
      </w:r>
      <w:r>
        <w:rPr>
          <w:rFonts w:ascii="Times New Roman" w:hAnsi="Times New Roman"/>
          <w:sz w:val="24"/>
          <w:szCs w:val="24"/>
        </w:rPr>
        <w:t xml:space="preserve">” </w:t>
      </w:r>
      <w:hyperlink r:id="rId1164" w:history="1">
        <w:r w:rsidRPr="00AB20E4">
          <w:rPr>
            <w:rStyle w:val="Hyperlink"/>
            <w:sz w:val="24"/>
            <w:szCs w:val="24"/>
          </w:rPr>
          <w:t>https://www.govexec.com/pay-benefits/2001/08/firefighter-retirement-age-rises-to-57/9846/</w:t>
        </w:r>
      </w:hyperlink>
      <w:r>
        <w:rPr>
          <w:rFonts w:ascii="Times New Roman" w:hAnsi="Times New Roman"/>
          <w:sz w:val="24"/>
          <w:szCs w:val="24"/>
        </w:rPr>
        <w:t xml:space="preserve"> </w:t>
      </w:r>
    </w:p>
    <w:p w14:paraId="02649629" w14:textId="67E15864" w:rsidR="00831847" w:rsidRDefault="00831847" w:rsidP="00EF1133">
      <w:pPr>
        <w:rPr>
          <w:rFonts w:ascii="Arial Black" w:hAnsi="Arial Black"/>
          <w:b/>
          <w:sz w:val="24"/>
          <w:szCs w:val="24"/>
        </w:rPr>
      </w:pPr>
    </w:p>
    <w:p w14:paraId="4B08E8B2" w14:textId="2FD3C284" w:rsidR="00831847" w:rsidRDefault="00831847" w:rsidP="00EF1133">
      <w:pPr>
        <w:rPr>
          <w:rFonts w:ascii="Arial Black" w:hAnsi="Arial Black"/>
          <w:b/>
          <w:sz w:val="24"/>
          <w:szCs w:val="24"/>
        </w:rPr>
      </w:pPr>
    </w:p>
    <w:p w14:paraId="69DA113A" w14:textId="77777777" w:rsidR="00831847" w:rsidRDefault="00831847" w:rsidP="00EF1133">
      <w:pPr>
        <w:rPr>
          <w:rFonts w:ascii="Arial Black" w:hAnsi="Arial Black"/>
          <w:b/>
          <w:sz w:val="24"/>
          <w:szCs w:val="24"/>
        </w:rPr>
      </w:pPr>
    </w:p>
    <w:p w14:paraId="7CBC5F7A" w14:textId="0A65C499" w:rsidR="00831847" w:rsidRDefault="00831847"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7</w:t>
      </w:r>
    </w:p>
    <w:p w14:paraId="26B5369C" w14:textId="77777777" w:rsidR="00831847" w:rsidRPr="00BC1F41" w:rsidRDefault="00831847" w:rsidP="00831847">
      <w:pPr>
        <w:pStyle w:val="NoSpacing"/>
        <w:rPr>
          <w:rFonts w:ascii="Arial Black" w:hAnsi="Arial Black"/>
          <w:sz w:val="28"/>
          <w:szCs w:val="28"/>
        </w:rPr>
      </w:pPr>
      <w:r>
        <w:rPr>
          <w:rFonts w:ascii="Arial Black" w:hAnsi="Arial Black"/>
          <w:sz w:val="28"/>
          <w:szCs w:val="28"/>
        </w:rPr>
        <w:t xml:space="preserve">PA:  INDEMNIFICATION DENIED – OFF DUTY PD CHASED &amp; PUNCHED 16-YR-OLD SMASHED PUMPKINS AT PD HOME </w:t>
      </w:r>
    </w:p>
    <w:p w14:paraId="10FCC555" w14:textId="77777777" w:rsidR="00831847" w:rsidRPr="00D91F44" w:rsidRDefault="00831847" w:rsidP="00831847">
      <w:pPr>
        <w:pStyle w:val="Heading1"/>
        <w:rPr>
          <w:b w:val="0"/>
          <w:bCs w:val="0"/>
          <w:sz w:val="24"/>
          <w:szCs w:val="24"/>
        </w:rPr>
      </w:pPr>
      <w:r>
        <w:rPr>
          <w:b w:val="0"/>
          <w:bCs w:val="0"/>
          <w:sz w:val="24"/>
          <w:szCs w:val="24"/>
        </w:rPr>
        <w:t xml:space="preserve">On March 10, 2021, in </w:t>
      </w:r>
      <w:r w:rsidRPr="00BC1F41">
        <w:rPr>
          <w:b w:val="0"/>
          <w:bCs w:val="0"/>
          <w:sz w:val="24"/>
          <w:szCs w:val="24"/>
          <w:u w:val="single"/>
        </w:rPr>
        <w:t>Shane McGuire, on behalf of Colby Neidig v. City of Pittsburg</w:t>
      </w:r>
      <w:r>
        <w:rPr>
          <w:b w:val="0"/>
          <w:bCs w:val="0"/>
          <w:sz w:val="24"/>
          <w:szCs w:val="24"/>
        </w:rPr>
        <w:t>, the Commonwealth Court of Pennsylvania, held (3 to 0) that an off-duty police officer (Neidig) was not entitled to indemnification by the City since he was not acting “within the score of his office or duties when he chased a 16-year-old juvenile (McGuire) who had smashed pumpkins on the officer’s front porch, punched the juvenile in the face, and held him until police arrived.    The lawsuit proceeded in Federal court for violation of juvenile’s federal constitutional rights under 42 U.S.C. 1983 and the jury “</w:t>
      </w:r>
      <w:r w:rsidRPr="00396E8F">
        <w:rPr>
          <w:b w:val="0"/>
          <w:bCs w:val="0"/>
          <w:sz w:val="24"/>
          <w:szCs w:val="24"/>
        </w:rPr>
        <w:t>specifically concluded that Neidig acted under color of state law</w:t>
      </w:r>
      <w:r>
        <w:rPr>
          <w:b w:val="0"/>
          <w:bCs w:val="0"/>
          <w:sz w:val="24"/>
          <w:szCs w:val="24"/>
        </w:rPr>
        <w:t>.” The juvenile then sued City of Pittsburg (with officer’s permission) in state court to pay the judgment, but after a 4-day jury trial, the jury found City had no obligation to indemnify the officer, “</w:t>
      </w:r>
      <w:r w:rsidRPr="00D91F44">
        <w:rPr>
          <w:b w:val="0"/>
          <w:bCs w:val="0"/>
          <w:sz w:val="24"/>
          <w:szCs w:val="24"/>
        </w:rPr>
        <w:t>concluding that Neidig had not acted within the scope of his duties when he struck McGuire.</w:t>
      </w:r>
      <w:r>
        <w:rPr>
          <w:b w:val="0"/>
          <w:bCs w:val="0"/>
          <w:sz w:val="24"/>
          <w:szCs w:val="24"/>
        </w:rPr>
        <w:t>”</w:t>
      </w:r>
    </w:p>
    <w:p w14:paraId="4C2B0C5E" w14:textId="77777777" w:rsidR="00831847" w:rsidRPr="001A09F3" w:rsidRDefault="00831847" w:rsidP="00831847">
      <w:pPr>
        <w:pStyle w:val="Heading1"/>
        <w:ind w:left="720"/>
        <w:rPr>
          <w:b w:val="0"/>
          <w:bCs w:val="0"/>
          <w:sz w:val="24"/>
          <w:szCs w:val="24"/>
        </w:rPr>
      </w:pPr>
      <w:r>
        <w:rPr>
          <w:b w:val="0"/>
          <w:bCs w:val="0"/>
          <w:sz w:val="24"/>
          <w:szCs w:val="24"/>
        </w:rPr>
        <w:t>“</w:t>
      </w:r>
      <w:r w:rsidRPr="00DF22C9">
        <w:rPr>
          <w:b w:val="0"/>
          <w:bCs w:val="0"/>
          <w:sz w:val="24"/>
          <w:szCs w:val="24"/>
        </w:rPr>
        <w:t>This Court emphasizes</w:t>
      </w:r>
      <w:r>
        <w:rPr>
          <w:b w:val="0"/>
          <w:bCs w:val="0"/>
          <w:sz w:val="24"/>
          <w:szCs w:val="24"/>
        </w:rPr>
        <w:t xml:space="preserve"> </w:t>
      </w:r>
      <w:r w:rsidRPr="00DF22C9">
        <w:rPr>
          <w:b w:val="0"/>
          <w:bCs w:val="0"/>
          <w:sz w:val="24"/>
          <w:szCs w:val="24"/>
        </w:rPr>
        <w:t>that</w:t>
      </w:r>
      <w:r>
        <w:rPr>
          <w:b w:val="0"/>
          <w:bCs w:val="0"/>
          <w:sz w:val="24"/>
          <w:szCs w:val="24"/>
        </w:rPr>
        <w:t xml:space="preserve"> </w:t>
      </w:r>
      <w:r w:rsidRPr="00DF22C9">
        <w:rPr>
          <w:b w:val="0"/>
          <w:bCs w:val="0"/>
          <w:sz w:val="24"/>
          <w:szCs w:val="24"/>
        </w:rPr>
        <w:t xml:space="preserve">under Section 8548(a) of the </w:t>
      </w:r>
      <w:r>
        <w:rPr>
          <w:b w:val="0"/>
          <w:bCs w:val="0"/>
          <w:sz w:val="24"/>
          <w:szCs w:val="24"/>
        </w:rPr>
        <w:t xml:space="preserve">[PA] </w:t>
      </w:r>
      <w:r w:rsidRPr="00DF22C9">
        <w:rPr>
          <w:b w:val="0"/>
          <w:bCs w:val="0"/>
          <w:sz w:val="24"/>
          <w:szCs w:val="24"/>
        </w:rPr>
        <w:t>Tort Claims Act, a municipality need only indemnify an employee if that employee was acting within the scope of his office or duties</w:t>
      </w:r>
      <w:r>
        <w:rPr>
          <w:b w:val="0"/>
          <w:bCs w:val="0"/>
          <w:sz w:val="24"/>
          <w:szCs w:val="24"/>
        </w:rPr>
        <w:t xml:space="preserve"> </w:t>
      </w:r>
      <w:r w:rsidRPr="00DF22C9">
        <w:rPr>
          <w:b w:val="0"/>
          <w:bCs w:val="0"/>
          <w:sz w:val="24"/>
          <w:szCs w:val="24"/>
        </w:rPr>
        <w:t xml:space="preserve">at the </w:t>
      </w:r>
      <w:r w:rsidRPr="00DF22C9">
        <w:rPr>
          <w:b w:val="0"/>
          <w:bCs w:val="0"/>
          <w:sz w:val="24"/>
          <w:szCs w:val="24"/>
        </w:rPr>
        <w:lastRenderedPageBreak/>
        <w:t>time the employee caused the injury.</w:t>
      </w:r>
      <w:r>
        <w:rPr>
          <w:b w:val="0"/>
          <w:bCs w:val="0"/>
          <w:sz w:val="24"/>
          <w:szCs w:val="24"/>
        </w:rPr>
        <w:t xml:space="preserve"> </w:t>
      </w:r>
      <w:r w:rsidRPr="00DF22C9">
        <w:rPr>
          <w:b w:val="0"/>
          <w:bCs w:val="0"/>
          <w:sz w:val="24"/>
          <w:szCs w:val="24"/>
        </w:rPr>
        <w:t>Because the jury properly</w:t>
      </w:r>
      <w:r>
        <w:rPr>
          <w:b w:val="0"/>
          <w:bCs w:val="0"/>
          <w:sz w:val="24"/>
          <w:szCs w:val="24"/>
        </w:rPr>
        <w:t xml:space="preserve"> </w:t>
      </w:r>
      <w:r w:rsidRPr="00DF22C9">
        <w:rPr>
          <w:b w:val="0"/>
          <w:bCs w:val="0"/>
          <w:sz w:val="24"/>
          <w:szCs w:val="24"/>
        </w:rPr>
        <w:t>determined that Neidig acted beyond the scope of his employment, and the jury did not reach the willful misconduct issue, this Court need not address McGuire’s willful misconduct arguments</w:t>
      </w:r>
      <w:r>
        <w:rPr>
          <w:b w:val="0"/>
          <w:bCs w:val="0"/>
          <w:sz w:val="24"/>
          <w:szCs w:val="24"/>
        </w:rPr>
        <w:t xml:space="preserve">…. </w:t>
      </w:r>
      <w:r w:rsidRPr="00DF22C9">
        <w:rPr>
          <w:b w:val="0"/>
          <w:bCs w:val="0"/>
          <w:sz w:val="24"/>
          <w:szCs w:val="24"/>
        </w:rPr>
        <w:t xml:space="preserve">For </w:t>
      </w:r>
      <w:proofErr w:type="gramStart"/>
      <w:r w:rsidRPr="00DF22C9">
        <w:rPr>
          <w:b w:val="0"/>
          <w:bCs w:val="0"/>
          <w:sz w:val="24"/>
          <w:szCs w:val="24"/>
        </w:rPr>
        <w:t>all of</w:t>
      </w:r>
      <w:proofErr w:type="gramEnd"/>
      <w:r w:rsidRPr="00DF22C9">
        <w:rPr>
          <w:b w:val="0"/>
          <w:bCs w:val="0"/>
          <w:sz w:val="24"/>
          <w:szCs w:val="24"/>
        </w:rPr>
        <w:t xml:space="preserve"> the above reasons, the trial court’s order is </w:t>
      </w:r>
      <w:proofErr w:type="gramStart"/>
      <w:r w:rsidRPr="00DF22C9">
        <w:rPr>
          <w:b w:val="0"/>
          <w:bCs w:val="0"/>
          <w:sz w:val="24"/>
          <w:szCs w:val="24"/>
        </w:rPr>
        <w:t>affirmed.</w:t>
      </w:r>
      <w:r>
        <w:rPr>
          <w:b w:val="0"/>
          <w:bCs w:val="0"/>
          <w:sz w:val="24"/>
          <w:szCs w:val="24"/>
        </w:rPr>
        <w:t>”</w:t>
      </w:r>
      <w:proofErr w:type="gramEnd"/>
      <w:r>
        <w:rPr>
          <w:b w:val="0"/>
          <w:bCs w:val="0"/>
          <w:sz w:val="24"/>
          <w:szCs w:val="24"/>
        </w:rPr>
        <w:t xml:space="preserve"> </w:t>
      </w:r>
      <w:hyperlink r:id="rId1165" w:history="1">
        <w:r w:rsidRPr="001A09F3">
          <w:rPr>
            <w:rStyle w:val="Hyperlink"/>
            <w:b w:val="0"/>
            <w:bCs w:val="0"/>
            <w:sz w:val="24"/>
            <w:szCs w:val="24"/>
          </w:rPr>
          <w:t>http://www.pacourts.us/assets/opinions/Commonwealth/out/141CD20_3-10-21.pdf?cb=1</w:t>
        </w:r>
      </w:hyperlink>
      <w:r w:rsidRPr="001A09F3">
        <w:rPr>
          <w:b w:val="0"/>
          <w:bCs w:val="0"/>
          <w:sz w:val="24"/>
          <w:szCs w:val="24"/>
        </w:rPr>
        <w:t xml:space="preserve"> </w:t>
      </w:r>
    </w:p>
    <w:p w14:paraId="29F1601F" w14:textId="77777777" w:rsidR="00831847" w:rsidRDefault="00831847" w:rsidP="00831847">
      <w:pPr>
        <w:rPr>
          <w:rFonts w:ascii="Times New Roman" w:hAnsi="Times New Roman"/>
          <w:b/>
          <w:bCs/>
          <w:sz w:val="24"/>
          <w:szCs w:val="24"/>
        </w:rPr>
      </w:pPr>
      <w:r w:rsidRPr="00BA4149">
        <w:rPr>
          <w:rFonts w:ascii="Times New Roman" w:hAnsi="Times New Roman"/>
          <w:b/>
          <w:bCs/>
          <w:sz w:val="24"/>
          <w:szCs w:val="24"/>
        </w:rPr>
        <w:t>Legal Lesson Learned:</w:t>
      </w:r>
      <w:r>
        <w:rPr>
          <w:rFonts w:ascii="Times New Roman" w:hAnsi="Times New Roman"/>
          <w:b/>
          <w:bCs/>
          <w:sz w:val="24"/>
          <w:szCs w:val="24"/>
        </w:rPr>
        <w:t xml:space="preserve">  Indemnification is important for emergency responders, including Fire &amp; EMS.   This decision was reportedly a matter of “first-impression” in PA; in Ohio, the Ohio Supreme Court held that individuals who successfully sue police officers may not then sue the officer’s city to collect the judgment, only the officers may sue. </w:t>
      </w:r>
      <w:r w:rsidRPr="00E3717D">
        <w:rPr>
          <w:rFonts w:ascii="Times New Roman" w:hAnsi="Times New Roman"/>
          <w:b/>
          <w:bCs/>
          <w:sz w:val="24"/>
          <w:szCs w:val="24"/>
          <w:u w:val="single"/>
        </w:rPr>
        <w:t>Ayers v. Cleveland</w:t>
      </w:r>
      <w:r w:rsidRPr="00E3717D">
        <w:rPr>
          <w:rFonts w:ascii="Times New Roman" w:hAnsi="Times New Roman"/>
          <w:b/>
          <w:bCs/>
          <w:sz w:val="24"/>
          <w:szCs w:val="24"/>
        </w:rPr>
        <w:t>, 160 Ohio St.3d 288, 2020-Ohio-1047 (March 25, 2020),</w:t>
      </w:r>
      <w:r w:rsidRPr="00E3717D">
        <w:t xml:space="preserve"> </w:t>
      </w:r>
      <w:hyperlink r:id="rId1166" w:history="1">
        <w:r w:rsidRPr="007A690F">
          <w:rPr>
            <w:rStyle w:val="Hyperlink"/>
            <w:rFonts w:ascii="Times New Roman" w:hAnsi="Times New Roman"/>
            <w:sz w:val="24"/>
            <w:szCs w:val="24"/>
          </w:rPr>
          <w:t>https://www.supremecourt.ohio.gov/rod/docs/pdf/0/2020/2020-Ohio-1047.pdf</w:t>
        </w:r>
      </w:hyperlink>
      <w:r>
        <w:rPr>
          <w:rStyle w:val="Hyperlink"/>
          <w:sz w:val="24"/>
          <w:szCs w:val="24"/>
        </w:rPr>
        <w:t xml:space="preserve"> </w:t>
      </w:r>
    </w:p>
    <w:p w14:paraId="2C015357" w14:textId="77777777" w:rsidR="00831847" w:rsidRDefault="00831847" w:rsidP="00831847">
      <w:pPr>
        <w:pStyle w:val="Heading1"/>
        <w:ind w:left="720"/>
        <w:rPr>
          <w:b w:val="0"/>
          <w:bCs w:val="0"/>
          <w:sz w:val="24"/>
          <w:szCs w:val="24"/>
        </w:rPr>
      </w:pPr>
      <w:r w:rsidRPr="00E3717D">
        <w:rPr>
          <w:b w:val="0"/>
          <w:bCs w:val="0"/>
          <w:sz w:val="24"/>
          <w:szCs w:val="24"/>
        </w:rPr>
        <w:t xml:space="preserve">Note: </w:t>
      </w:r>
    </w:p>
    <w:p w14:paraId="49E6EE6C" w14:textId="77777777" w:rsidR="00831847" w:rsidRPr="00E3717D" w:rsidRDefault="00831847" w:rsidP="00831847">
      <w:pPr>
        <w:pStyle w:val="Heading1"/>
        <w:ind w:left="720"/>
        <w:rPr>
          <w:b w:val="0"/>
          <w:bCs w:val="0"/>
          <w:sz w:val="24"/>
          <w:szCs w:val="24"/>
        </w:rPr>
      </w:pPr>
      <w:r>
        <w:rPr>
          <w:b w:val="0"/>
          <w:bCs w:val="0"/>
          <w:sz w:val="24"/>
          <w:szCs w:val="24"/>
        </w:rPr>
        <w:t xml:space="preserve">On Dec. 16, 2020, the </w:t>
      </w:r>
      <w:r w:rsidRPr="00E3717D">
        <w:rPr>
          <w:b w:val="0"/>
          <w:bCs w:val="0"/>
          <w:sz w:val="24"/>
          <w:szCs w:val="24"/>
        </w:rPr>
        <w:t xml:space="preserve">City of Cincinnati confirmed it will indemnify Dispatchers and Police sued in death of high school students who called 911 when back seat of </w:t>
      </w:r>
      <w:proofErr w:type="spellStart"/>
      <w:r w:rsidRPr="00E3717D">
        <w:rPr>
          <w:b w:val="0"/>
          <w:bCs w:val="0"/>
          <w:sz w:val="24"/>
          <w:szCs w:val="24"/>
        </w:rPr>
        <w:t>mini van</w:t>
      </w:r>
      <w:proofErr w:type="spellEnd"/>
      <w:r w:rsidRPr="00E3717D">
        <w:rPr>
          <w:b w:val="0"/>
          <w:bCs w:val="0"/>
          <w:sz w:val="24"/>
          <w:szCs w:val="24"/>
        </w:rPr>
        <w:t xml:space="preserve"> trapped him.  </w:t>
      </w:r>
      <w:r>
        <w:rPr>
          <w:b w:val="0"/>
          <w:bCs w:val="0"/>
          <w:sz w:val="24"/>
          <w:szCs w:val="24"/>
        </w:rPr>
        <w:t>“</w:t>
      </w:r>
      <w:r w:rsidRPr="00E3717D">
        <w:rPr>
          <w:b w:val="0"/>
          <w:bCs w:val="0"/>
          <w:sz w:val="24"/>
          <w:szCs w:val="24"/>
        </w:rPr>
        <w:t>Kyle Plush wrongful death lawsuit can proceed against 5 Cincinnati employees, appeals court says.</w:t>
      </w:r>
      <w:r>
        <w:rPr>
          <w:b w:val="0"/>
          <w:bCs w:val="0"/>
          <w:sz w:val="24"/>
          <w:szCs w:val="24"/>
        </w:rPr>
        <w:t xml:space="preserve">” </w:t>
      </w:r>
      <w:hyperlink r:id="rId1167" w:history="1">
        <w:r w:rsidRPr="00C72D50">
          <w:rPr>
            <w:rStyle w:val="Hyperlink"/>
            <w:b w:val="0"/>
            <w:bCs w:val="0"/>
            <w:sz w:val="24"/>
            <w:szCs w:val="24"/>
          </w:rPr>
          <w:t>https://www.fox19.com/2020/12/16/kyle-plush-wrongful-death-lawsuit-can-proceed-against-cincinnati-employees-appeals-court-says/</w:t>
        </w:r>
      </w:hyperlink>
      <w:r w:rsidRPr="00E3717D">
        <w:rPr>
          <w:b w:val="0"/>
          <w:bCs w:val="0"/>
          <w:sz w:val="24"/>
          <w:szCs w:val="24"/>
        </w:rPr>
        <w:t xml:space="preserve"> “The city indemnifies employees in their official capacities, meaning the city would be liable for any judgment or settlement involving the employees in their official capacities.” </w:t>
      </w:r>
    </w:p>
    <w:p w14:paraId="3B557974" w14:textId="77777777" w:rsidR="00831847" w:rsidRDefault="00831847" w:rsidP="00831847">
      <w:pPr>
        <w:pStyle w:val="NoSpacing"/>
        <w:ind w:left="720"/>
        <w:rPr>
          <w:rFonts w:ascii="Times New Roman" w:hAnsi="Times New Roman"/>
          <w:sz w:val="24"/>
          <w:szCs w:val="24"/>
        </w:rPr>
      </w:pPr>
      <w:r w:rsidRPr="003F7A4F">
        <w:rPr>
          <w:rFonts w:ascii="Times New Roman" w:hAnsi="Times New Roman"/>
          <w:sz w:val="24"/>
          <w:szCs w:val="24"/>
        </w:rPr>
        <w:t xml:space="preserve">See </w:t>
      </w:r>
      <w:r w:rsidRPr="005C57DC">
        <w:rPr>
          <w:rFonts w:ascii="Times New Roman" w:hAnsi="Times New Roman"/>
          <w:sz w:val="24"/>
          <w:szCs w:val="24"/>
        </w:rPr>
        <w:t xml:space="preserve">Ohio Supreme Court decision in </w:t>
      </w:r>
      <w:r w:rsidRPr="005C57DC">
        <w:rPr>
          <w:rFonts w:ascii="Times New Roman" w:hAnsi="Times New Roman"/>
          <w:sz w:val="24"/>
          <w:szCs w:val="24"/>
          <w:u w:val="single"/>
        </w:rPr>
        <w:t>Ayers v. Cleveland</w:t>
      </w:r>
      <w:r w:rsidRPr="003F7A4F">
        <w:rPr>
          <w:rFonts w:ascii="Times New Roman" w:hAnsi="Times New Roman"/>
          <w:sz w:val="24"/>
          <w:szCs w:val="24"/>
        </w:rPr>
        <w:t xml:space="preserve">, 160 Ohio St.3d 288, 2020-Ohio-1047 (March 25, 2020), </w:t>
      </w:r>
      <w:r>
        <w:rPr>
          <w:rFonts w:ascii="Times New Roman" w:hAnsi="Times New Roman"/>
          <w:sz w:val="24"/>
          <w:szCs w:val="24"/>
        </w:rPr>
        <w:t xml:space="preserve">holding that only employees can sue for indemnification; they cannot assign that right to the person who won a judgment against the employee [in this case, David Ayers, who after a decade in prison was released on a federal habeas corpus claim in 2011]. </w:t>
      </w:r>
    </w:p>
    <w:p w14:paraId="59213746" w14:textId="77777777" w:rsidR="00831847" w:rsidRDefault="00831847" w:rsidP="00831847">
      <w:pPr>
        <w:pStyle w:val="NoSpacing"/>
        <w:ind w:firstLine="720"/>
        <w:rPr>
          <w:rFonts w:ascii="Times New Roman" w:hAnsi="Times New Roman"/>
          <w:sz w:val="24"/>
          <w:szCs w:val="24"/>
        </w:rPr>
      </w:pPr>
      <w:hyperlink r:id="rId1168" w:history="1">
        <w:r w:rsidRPr="006A29A3">
          <w:rPr>
            <w:rStyle w:val="Hyperlink"/>
            <w:sz w:val="24"/>
            <w:szCs w:val="24"/>
          </w:rPr>
          <w:t>https://www.supremecourt.ohio.gov/rod/docs/pdf/0/2020/2020-Ohio-1047.pdf</w:t>
        </w:r>
      </w:hyperlink>
      <w:r w:rsidRPr="003F7A4F">
        <w:rPr>
          <w:rFonts w:ascii="Times New Roman" w:hAnsi="Times New Roman"/>
          <w:sz w:val="24"/>
          <w:szCs w:val="24"/>
        </w:rPr>
        <w:t xml:space="preserve"> </w:t>
      </w:r>
    </w:p>
    <w:p w14:paraId="6A5253FD" w14:textId="77777777" w:rsidR="00831847" w:rsidRPr="003F7A4F" w:rsidRDefault="00831847" w:rsidP="00831847">
      <w:pPr>
        <w:pStyle w:val="NoSpacing"/>
        <w:ind w:firstLine="720"/>
        <w:rPr>
          <w:rFonts w:ascii="Times New Roman" w:hAnsi="Times New Roman"/>
          <w:sz w:val="24"/>
          <w:szCs w:val="24"/>
        </w:rPr>
      </w:pPr>
    </w:p>
    <w:p w14:paraId="736D0FC3" w14:textId="77777777" w:rsidR="00831847" w:rsidRPr="00263A1A" w:rsidRDefault="00831847" w:rsidP="00831847">
      <w:pPr>
        <w:ind w:left="1440"/>
        <w:rPr>
          <w:rFonts w:ascii="Times New Roman" w:hAnsi="Times New Roman"/>
          <w:sz w:val="24"/>
          <w:szCs w:val="24"/>
        </w:rPr>
      </w:pPr>
      <w:r>
        <w:rPr>
          <w:rFonts w:ascii="Times New Roman" w:hAnsi="Times New Roman"/>
          <w:sz w:val="24"/>
          <w:szCs w:val="24"/>
        </w:rPr>
        <w:t>“</w:t>
      </w:r>
      <w:r w:rsidRPr="003F7A4F">
        <w:rPr>
          <w:rFonts w:ascii="Times New Roman" w:hAnsi="Times New Roman"/>
          <w:sz w:val="24"/>
          <w:szCs w:val="24"/>
        </w:rPr>
        <w:t xml:space="preserve">After a trial that involved only claims against </w:t>
      </w:r>
      <w:r>
        <w:rPr>
          <w:rFonts w:ascii="Times New Roman" w:hAnsi="Times New Roman"/>
          <w:sz w:val="24"/>
          <w:szCs w:val="24"/>
        </w:rPr>
        <w:t xml:space="preserve">[Detectives] </w:t>
      </w:r>
      <w:proofErr w:type="spellStart"/>
      <w:r w:rsidRPr="003F7A4F">
        <w:rPr>
          <w:rFonts w:ascii="Times New Roman" w:hAnsi="Times New Roman"/>
          <w:sz w:val="24"/>
          <w:szCs w:val="24"/>
        </w:rPr>
        <w:t>Cipo</w:t>
      </w:r>
      <w:proofErr w:type="spellEnd"/>
      <w:r w:rsidRPr="003F7A4F">
        <w:rPr>
          <w:rFonts w:ascii="Times New Roman" w:hAnsi="Times New Roman"/>
          <w:sz w:val="24"/>
          <w:szCs w:val="24"/>
        </w:rPr>
        <w:t xml:space="preserve"> and Kovach, the jury returned a verdict in Ayers’s favor finding that </w:t>
      </w:r>
      <w:proofErr w:type="spellStart"/>
      <w:r w:rsidRPr="003F7A4F">
        <w:rPr>
          <w:rFonts w:ascii="Times New Roman" w:hAnsi="Times New Roman"/>
          <w:sz w:val="24"/>
          <w:szCs w:val="24"/>
        </w:rPr>
        <w:t>Cipo</w:t>
      </w:r>
      <w:proofErr w:type="spellEnd"/>
      <w:r w:rsidRPr="003F7A4F">
        <w:rPr>
          <w:rFonts w:ascii="Times New Roman" w:hAnsi="Times New Roman"/>
          <w:sz w:val="24"/>
          <w:szCs w:val="24"/>
        </w:rPr>
        <w:t xml:space="preserve"> and Kovach had violated Ayers’s federal constitutional rights. The district court entered a judgment against the detectives in the amount of $13,210,000 and later increased the amount by awarding costs and attorney fees. The detectives twice offered to assign to Ayers any indemnification claims that they might have against the city in exchange for an agreement by Ayers to forgo collection efforts against the detectives personally. Ayers rejected each offer.</w:t>
      </w:r>
      <w:r>
        <w:rPr>
          <w:rFonts w:ascii="Times New Roman" w:hAnsi="Times New Roman"/>
          <w:sz w:val="24"/>
          <w:szCs w:val="24"/>
        </w:rPr>
        <w:t xml:space="preserve"> *** [Ayers filed lawsuit in Ohio. </w:t>
      </w:r>
      <w:r w:rsidRPr="003F7A4F">
        <w:rPr>
          <w:rFonts w:ascii="Times New Roman" w:hAnsi="Times New Roman"/>
          <w:sz w:val="24"/>
          <w:szCs w:val="24"/>
        </w:rPr>
        <w:t>The common pleas court granted Ayers’s motion for summary judgment after concluding that R.C. 2744.07(A)(2) requires Cleveland to indemnify the officers and pay the judgment.</w:t>
      </w:r>
      <w:r>
        <w:rPr>
          <w:rFonts w:ascii="Times New Roman" w:hAnsi="Times New Roman"/>
          <w:sz w:val="24"/>
          <w:szCs w:val="24"/>
        </w:rPr>
        <w:t xml:space="preserve"> *** </w:t>
      </w:r>
      <w:r w:rsidRPr="00263A1A">
        <w:rPr>
          <w:rFonts w:ascii="Times New Roman" w:hAnsi="Times New Roman"/>
          <w:sz w:val="24"/>
          <w:szCs w:val="24"/>
        </w:rPr>
        <w:t>The Eighth District Court of Appeals reversed in a two-to-one decision. 2017-Ohio-8571, 99 N.E.3d 1269, ¶ 50. The majority concluded that Ayers, as a judgment creditor, does not have standing to bring a private cause of action against the city to enforce the city’s obligations to its employees.</w:t>
      </w:r>
      <w:r>
        <w:rPr>
          <w:rFonts w:ascii="Times New Roman" w:hAnsi="Times New Roman"/>
          <w:sz w:val="24"/>
          <w:szCs w:val="24"/>
        </w:rPr>
        <w:t xml:space="preserve"> *** [Ohio Supreme Court held]</w:t>
      </w:r>
      <w:r w:rsidRPr="00263A1A">
        <w:rPr>
          <w:rFonts w:ascii="Times New Roman" w:hAnsi="Times New Roman"/>
          <w:sz w:val="24"/>
          <w:szCs w:val="24"/>
        </w:rPr>
        <w:t>Based on the unambiguous language of the statute, which serves only to indemnify an employee</w:t>
      </w:r>
      <w:r>
        <w:rPr>
          <w:rFonts w:ascii="Times New Roman" w:hAnsi="Times New Roman"/>
          <w:sz w:val="24"/>
          <w:szCs w:val="24"/>
        </w:rPr>
        <w:t xml:space="preserve"> </w:t>
      </w:r>
      <w:r w:rsidRPr="00263A1A">
        <w:rPr>
          <w:rFonts w:ascii="Times New Roman" w:hAnsi="Times New Roman"/>
          <w:sz w:val="24"/>
          <w:szCs w:val="24"/>
        </w:rPr>
        <w:t xml:space="preserve">and does not vest any rights in third parties connected to the employee, we conclude that R.C. 2744.07(A)(2) does not permit a judgment creditor to proceed directly against an </w:t>
      </w:r>
      <w:proofErr w:type="gramStart"/>
      <w:r w:rsidRPr="00263A1A">
        <w:rPr>
          <w:rFonts w:ascii="Times New Roman" w:hAnsi="Times New Roman"/>
          <w:sz w:val="24"/>
          <w:szCs w:val="24"/>
        </w:rPr>
        <w:t>indemnitor.</w:t>
      </w:r>
      <w:r>
        <w:rPr>
          <w:rFonts w:ascii="Times New Roman" w:hAnsi="Times New Roman"/>
          <w:sz w:val="24"/>
          <w:szCs w:val="24"/>
        </w:rPr>
        <w:t>”</w:t>
      </w:r>
      <w:proofErr w:type="gramEnd"/>
    </w:p>
    <w:p w14:paraId="3A029989" w14:textId="77777777" w:rsidR="00831847" w:rsidRDefault="00831847" w:rsidP="00831847">
      <w:pPr>
        <w:ind w:left="720"/>
        <w:rPr>
          <w:rFonts w:ascii="Times New Roman" w:hAnsi="Times New Roman"/>
          <w:sz w:val="24"/>
          <w:szCs w:val="24"/>
        </w:rPr>
      </w:pPr>
    </w:p>
    <w:p w14:paraId="10C8F39D" w14:textId="77777777" w:rsidR="00831847" w:rsidRDefault="00831847" w:rsidP="00831847">
      <w:pPr>
        <w:ind w:left="720"/>
        <w:rPr>
          <w:rFonts w:ascii="Times New Roman" w:eastAsia="Times New Roman" w:hAnsi="Times New Roman"/>
          <w:sz w:val="24"/>
          <w:szCs w:val="24"/>
        </w:rPr>
      </w:pPr>
      <w:r w:rsidRPr="007A690F">
        <w:rPr>
          <w:rFonts w:ascii="Times New Roman" w:eastAsia="Times New Roman" w:hAnsi="Times New Roman"/>
          <w:sz w:val="24"/>
          <w:szCs w:val="24"/>
        </w:rPr>
        <w:t xml:space="preserve">See also Ohio Revised Code 2744.07(A)(2) - Defending and indemnifying employees: </w:t>
      </w:r>
      <w:hyperlink r:id="rId1169" w:history="1">
        <w:r w:rsidRPr="006A29A3">
          <w:rPr>
            <w:rStyle w:val="Hyperlink"/>
            <w:sz w:val="24"/>
            <w:szCs w:val="24"/>
          </w:rPr>
          <w:t>http://codes.ohio.gov/orc/2744.07</w:t>
        </w:r>
      </w:hyperlink>
      <w:r>
        <w:rPr>
          <w:rFonts w:ascii="Times New Roman" w:eastAsia="Times New Roman" w:hAnsi="Times New Roman"/>
          <w:sz w:val="24"/>
          <w:szCs w:val="24"/>
        </w:rPr>
        <w:t xml:space="preserve"> </w:t>
      </w:r>
    </w:p>
    <w:p w14:paraId="08369585" w14:textId="77777777" w:rsidR="00831847" w:rsidRPr="003F7A4F" w:rsidRDefault="00831847" w:rsidP="00831847">
      <w:pPr>
        <w:spacing w:before="100" w:beforeAutospacing="1" w:after="100" w:afterAutospacing="1" w:line="240" w:lineRule="auto"/>
        <w:ind w:firstLine="720"/>
        <w:rPr>
          <w:rFonts w:ascii="Times New Roman" w:eastAsia="Times New Roman" w:hAnsi="Times New Roman"/>
          <w:sz w:val="24"/>
          <w:szCs w:val="24"/>
        </w:rPr>
      </w:pPr>
      <w:r w:rsidRPr="003F7A4F">
        <w:rPr>
          <w:rFonts w:ascii="Times New Roman" w:eastAsia="Times New Roman" w:hAnsi="Times New Roman"/>
          <w:sz w:val="24"/>
          <w:szCs w:val="24"/>
        </w:rPr>
        <w:t xml:space="preserve">(A) </w:t>
      </w:r>
    </w:p>
    <w:p w14:paraId="3112CDBC" w14:textId="77777777" w:rsidR="00831847" w:rsidRPr="003F7A4F" w:rsidRDefault="00831847" w:rsidP="00831847">
      <w:pPr>
        <w:spacing w:before="100" w:beforeAutospacing="1" w:after="100" w:afterAutospacing="1" w:line="240" w:lineRule="auto"/>
        <w:ind w:left="720"/>
        <w:rPr>
          <w:rFonts w:ascii="Times New Roman" w:eastAsia="Times New Roman" w:hAnsi="Times New Roman"/>
          <w:sz w:val="24"/>
          <w:szCs w:val="24"/>
        </w:rPr>
      </w:pPr>
      <w:r w:rsidRPr="003F7A4F">
        <w:rPr>
          <w:rFonts w:ascii="Times New Roman" w:eastAsia="Times New Roman" w:hAnsi="Times New Roman"/>
          <w:sz w:val="24"/>
          <w:szCs w:val="24"/>
        </w:rPr>
        <w:lastRenderedPageBreak/>
        <w:t xml:space="preserve">(1) Except as otherwise provided in division (A)(2) of this section, a political subdivision shall provide for the defense of an employee, in any state or federal court, in any civil action or proceeding which contains an allegation for damages for injury, death, or loss to person or property caused by an act or omission of the employee in connection with a governmental or proprietary function. Amounts expended by a political subdivision in the defense of its employees shall be from funds appropriated for this purpose or from proceeds of insurance. </w:t>
      </w:r>
    </w:p>
    <w:p w14:paraId="396B6489" w14:textId="77777777" w:rsidR="00831847" w:rsidRPr="003F7A4F" w:rsidRDefault="00831847" w:rsidP="00831847">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3F7A4F">
        <w:rPr>
          <w:rFonts w:ascii="Times New Roman" w:eastAsia="Times New Roman" w:hAnsi="Times New Roman"/>
          <w:sz w:val="24"/>
          <w:szCs w:val="24"/>
        </w:rPr>
        <w:t xml:space="preserve">2) A political subdivision does not have the duty to provide for the defense of an employee under division (A)(1) of this section if any of the following </w:t>
      </w:r>
      <w:proofErr w:type="gramStart"/>
      <w:r w:rsidRPr="003F7A4F">
        <w:rPr>
          <w:rFonts w:ascii="Times New Roman" w:eastAsia="Times New Roman" w:hAnsi="Times New Roman"/>
          <w:sz w:val="24"/>
          <w:szCs w:val="24"/>
        </w:rPr>
        <w:t>apply</w:t>
      </w:r>
      <w:proofErr w:type="gramEnd"/>
      <w:r w:rsidRPr="003F7A4F">
        <w:rPr>
          <w:rFonts w:ascii="Times New Roman" w:eastAsia="Times New Roman" w:hAnsi="Times New Roman"/>
          <w:sz w:val="24"/>
          <w:szCs w:val="24"/>
        </w:rPr>
        <w:t xml:space="preserve">: </w:t>
      </w:r>
    </w:p>
    <w:p w14:paraId="67FCC14C" w14:textId="77777777" w:rsidR="00831847" w:rsidRPr="003F7A4F" w:rsidRDefault="00831847" w:rsidP="00831847">
      <w:pPr>
        <w:spacing w:before="100" w:beforeAutospacing="1" w:after="100" w:afterAutospacing="1" w:line="240" w:lineRule="auto"/>
        <w:ind w:firstLine="720"/>
        <w:rPr>
          <w:rFonts w:ascii="Times New Roman" w:eastAsia="Times New Roman" w:hAnsi="Times New Roman"/>
          <w:sz w:val="24"/>
          <w:szCs w:val="24"/>
        </w:rPr>
      </w:pPr>
      <w:r w:rsidRPr="003F7A4F">
        <w:rPr>
          <w:rFonts w:ascii="Times New Roman" w:eastAsia="Times New Roman" w:hAnsi="Times New Roman"/>
          <w:sz w:val="24"/>
          <w:szCs w:val="24"/>
        </w:rPr>
        <w:t xml:space="preserve">(a) The act or omission occurred while the employee was not acting in good faith. </w:t>
      </w:r>
    </w:p>
    <w:p w14:paraId="66905F2B" w14:textId="77777777" w:rsidR="00831847" w:rsidRPr="003F7A4F" w:rsidRDefault="00831847" w:rsidP="00831847">
      <w:pPr>
        <w:spacing w:before="100" w:beforeAutospacing="1" w:after="100" w:afterAutospacing="1" w:line="240" w:lineRule="auto"/>
        <w:ind w:left="720"/>
        <w:rPr>
          <w:rFonts w:ascii="Times New Roman" w:eastAsia="Times New Roman" w:hAnsi="Times New Roman"/>
          <w:sz w:val="24"/>
          <w:szCs w:val="24"/>
        </w:rPr>
      </w:pPr>
      <w:r w:rsidRPr="003F7A4F">
        <w:rPr>
          <w:rFonts w:ascii="Times New Roman" w:eastAsia="Times New Roman" w:hAnsi="Times New Roman"/>
          <w:sz w:val="24"/>
          <w:szCs w:val="24"/>
        </w:rPr>
        <w:t xml:space="preserve">(b) The act or omission occurred while the employee was acting manifestly outside the scope of the employee's employment or official responsibilities. </w:t>
      </w:r>
    </w:p>
    <w:p w14:paraId="4B9FD74D" w14:textId="77777777" w:rsidR="00831847" w:rsidRDefault="00831847" w:rsidP="00831847">
      <w:pPr>
        <w:pStyle w:val="NoSpacing"/>
        <w:rPr>
          <w:rFonts w:ascii="Times New Roman" w:hAnsi="Times New Roman"/>
          <w:sz w:val="24"/>
          <w:szCs w:val="24"/>
        </w:rPr>
      </w:pPr>
    </w:p>
    <w:p w14:paraId="4E138747" w14:textId="77777777" w:rsidR="00831847" w:rsidRPr="00831847" w:rsidRDefault="00831847" w:rsidP="00831847">
      <w:pPr>
        <w:pStyle w:val="Heading2"/>
        <w:ind w:left="720"/>
        <w:rPr>
          <w:rFonts w:ascii="Times New Roman" w:hAnsi="Times New Roman"/>
          <w:b w:val="0"/>
          <w:bCs w:val="0"/>
          <w:i w:val="0"/>
          <w:iCs w:val="0"/>
          <w:sz w:val="24"/>
          <w:szCs w:val="24"/>
        </w:rPr>
      </w:pPr>
      <w:r w:rsidRPr="00831847">
        <w:rPr>
          <w:rFonts w:ascii="Times New Roman" w:hAnsi="Times New Roman"/>
          <w:b w:val="0"/>
          <w:bCs w:val="0"/>
          <w:i w:val="0"/>
          <w:iCs w:val="0"/>
          <w:sz w:val="24"/>
          <w:szCs w:val="24"/>
        </w:rPr>
        <w:t>See also:  Ohio Revised Code 9.87 - Indemnification of public officers and employees.</w:t>
      </w:r>
    </w:p>
    <w:p w14:paraId="5E39949E" w14:textId="77777777" w:rsidR="00831847" w:rsidRPr="00831847" w:rsidRDefault="00831847" w:rsidP="00831847">
      <w:pPr>
        <w:ind w:left="720"/>
        <w:rPr>
          <w:rFonts w:ascii="Times New Roman" w:hAnsi="Times New Roman"/>
          <w:sz w:val="24"/>
          <w:szCs w:val="24"/>
        </w:rPr>
      </w:pPr>
      <w:hyperlink r:id="rId1170" w:history="1">
        <w:r w:rsidRPr="00831847">
          <w:rPr>
            <w:rStyle w:val="Hyperlink"/>
            <w:rFonts w:ascii="Times New Roman" w:hAnsi="Times New Roman"/>
            <w:sz w:val="24"/>
            <w:szCs w:val="24"/>
          </w:rPr>
          <w:t>https://codes.ohio.gov/orc/gp9.87</w:t>
        </w:r>
      </w:hyperlink>
      <w:r w:rsidRPr="00831847">
        <w:rPr>
          <w:rFonts w:ascii="Times New Roman" w:hAnsi="Times New Roman"/>
          <w:sz w:val="24"/>
          <w:szCs w:val="24"/>
        </w:rPr>
        <w:t xml:space="preserve"> </w:t>
      </w:r>
    </w:p>
    <w:p w14:paraId="62076BD4" w14:textId="77777777" w:rsidR="00831847" w:rsidRPr="00A30466" w:rsidRDefault="00831847" w:rsidP="00831847">
      <w:pPr>
        <w:spacing w:before="100" w:beforeAutospacing="1" w:after="100" w:afterAutospacing="1" w:line="240" w:lineRule="auto"/>
        <w:ind w:left="1440"/>
        <w:rPr>
          <w:rFonts w:ascii="Times New Roman" w:eastAsia="Times New Roman" w:hAnsi="Times New Roman"/>
          <w:sz w:val="24"/>
          <w:szCs w:val="24"/>
        </w:rPr>
      </w:pPr>
      <w:proofErr w:type="gramStart"/>
      <w:r>
        <w:rPr>
          <w:rFonts w:ascii="Times New Roman" w:eastAsia="Times New Roman" w:hAnsi="Times New Roman"/>
          <w:sz w:val="24"/>
          <w:szCs w:val="24"/>
        </w:rPr>
        <w:t>“</w:t>
      </w:r>
      <w:r w:rsidRPr="00A30466">
        <w:rPr>
          <w:rFonts w:ascii="Times New Roman" w:eastAsia="Times New Roman" w:hAnsi="Times New Roman"/>
          <w:sz w:val="24"/>
          <w:szCs w:val="24"/>
        </w:rPr>
        <w:t>(B) The</w:t>
      </w:r>
      <w:proofErr w:type="gramEnd"/>
      <w:r w:rsidRPr="00A30466">
        <w:rPr>
          <w:rFonts w:ascii="Times New Roman" w:eastAsia="Times New Roman" w:hAnsi="Times New Roman"/>
          <w:sz w:val="24"/>
          <w:szCs w:val="24"/>
        </w:rPr>
        <w:t xml:space="preserve"> state shall not indemnify an officer or employee under any of the following circumstances: </w:t>
      </w:r>
    </w:p>
    <w:p w14:paraId="51C09C93" w14:textId="77777777" w:rsidR="00831847" w:rsidRDefault="00831847" w:rsidP="00831847">
      <w:pPr>
        <w:spacing w:before="100" w:beforeAutospacing="1" w:after="100" w:afterAutospacing="1" w:line="240" w:lineRule="auto"/>
        <w:ind w:left="1440"/>
        <w:rPr>
          <w:rFonts w:ascii="Times New Roman" w:eastAsia="Times New Roman" w:hAnsi="Times New Roman"/>
          <w:sz w:val="24"/>
          <w:szCs w:val="24"/>
        </w:rPr>
      </w:pPr>
      <w:r w:rsidRPr="00A30466">
        <w:rPr>
          <w:rFonts w:ascii="Times New Roman" w:eastAsia="Times New Roman" w:hAnsi="Times New Roman"/>
          <w:sz w:val="24"/>
          <w:szCs w:val="24"/>
        </w:rPr>
        <w:t xml:space="preserve">(2) When the officer or employee acts manifestly outside the scope of the officer's or employee's employment or official responsibilities, with malicious purpose, in bad faith, or in a wanton or reckless manner, as determined by the employer of the officer or employee or by the attorney </w:t>
      </w:r>
      <w:proofErr w:type="gramStart"/>
      <w:r w:rsidRPr="00A30466">
        <w:rPr>
          <w:rFonts w:ascii="Times New Roman" w:eastAsia="Times New Roman" w:hAnsi="Times New Roman"/>
          <w:sz w:val="24"/>
          <w:szCs w:val="24"/>
        </w:rPr>
        <w:t>general.</w:t>
      </w:r>
      <w:r>
        <w:rPr>
          <w:rFonts w:ascii="Times New Roman" w:eastAsia="Times New Roman" w:hAnsi="Times New Roman"/>
          <w:sz w:val="24"/>
          <w:szCs w:val="24"/>
        </w:rPr>
        <w:t>”</w:t>
      </w:r>
      <w:proofErr w:type="gramEnd"/>
    </w:p>
    <w:p w14:paraId="4E0B7E19" w14:textId="77777777" w:rsidR="00831847" w:rsidRDefault="00831847" w:rsidP="00EF1133">
      <w:pPr>
        <w:rPr>
          <w:rFonts w:ascii="Arial Black" w:hAnsi="Arial Black"/>
          <w:b/>
          <w:sz w:val="24"/>
          <w:szCs w:val="24"/>
        </w:rPr>
      </w:pPr>
    </w:p>
    <w:p w14:paraId="7C51AFC5" w14:textId="77777777" w:rsidR="00831847" w:rsidRDefault="00831847" w:rsidP="00EF1133">
      <w:pPr>
        <w:rPr>
          <w:rFonts w:ascii="Arial Black" w:hAnsi="Arial Black"/>
          <w:b/>
          <w:sz w:val="24"/>
          <w:szCs w:val="24"/>
        </w:rPr>
      </w:pPr>
    </w:p>
    <w:p w14:paraId="6A2B6C76" w14:textId="77777777" w:rsidR="00B03268" w:rsidRDefault="00B03268" w:rsidP="00EF1133">
      <w:pPr>
        <w:rPr>
          <w:rFonts w:ascii="Arial Black" w:hAnsi="Arial Black"/>
          <w:b/>
          <w:sz w:val="24"/>
          <w:szCs w:val="24"/>
        </w:rPr>
      </w:pPr>
    </w:p>
    <w:p w14:paraId="7F7F002D" w14:textId="77777777" w:rsidR="00B03268" w:rsidRDefault="00B03268" w:rsidP="00EF1133">
      <w:pPr>
        <w:rPr>
          <w:rFonts w:ascii="Arial Black" w:hAnsi="Arial Black"/>
          <w:b/>
          <w:sz w:val="24"/>
          <w:szCs w:val="24"/>
        </w:rPr>
      </w:pPr>
    </w:p>
    <w:p w14:paraId="5F6646DF" w14:textId="3FF75820" w:rsidR="00CD5950" w:rsidRDefault="00CD5950"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6</w:t>
      </w:r>
    </w:p>
    <w:p w14:paraId="3BC4ABE8" w14:textId="77777777" w:rsidR="00CD5950" w:rsidRPr="00E6324D" w:rsidRDefault="00CD5950" w:rsidP="00CD5950">
      <w:pPr>
        <w:spacing w:before="100" w:beforeAutospacing="1" w:after="100" w:afterAutospacing="1" w:line="240" w:lineRule="auto"/>
        <w:rPr>
          <w:rFonts w:ascii="Arial Black" w:hAnsi="Arial Black"/>
          <w:sz w:val="28"/>
          <w:szCs w:val="28"/>
        </w:rPr>
      </w:pPr>
      <w:bookmarkStart w:id="233" w:name="_Hlk66946865"/>
      <w:r>
        <w:rPr>
          <w:rFonts w:ascii="Arial Black" w:hAnsi="Arial Black"/>
          <w:sz w:val="28"/>
          <w:szCs w:val="28"/>
        </w:rPr>
        <w:t>WA: FF HEART ATTACK - STATUTORY PRESUMPTION – LATER MORE STENTS - ALSO COVERED, ATTORNEY FEES</w:t>
      </w:r>
    </w:p>
    <w:p w14:paraId="0303AC44" w14:textId="77777777" w:rsidR="00CD5950" w:rsidRDefault="00CD5950" w:rsidP="00CD5950">
      <w:pPr>
        <w:spacing w:before="100" w:beforeAutospacing="1" w:after="100" w:afterAutospacing="1" w:line="240" w:lineRule="auto"/>
        <w:rPr>
          <w:rFonts w:ascii="Times New Roman" w:hAnsi="Times New Roman"/>
          <w:sz w:val="24"/>
          <w:szCs w:val="24"/>
        </w:rPr>
      </w:pPr>
      <w:r w:rsidRPr="00750087">
        <w:rPr>
          <w:rFonts w:ascii="Times New Roman" w:hAnsi="Times New Roman"/>
          <w:sz w:val="24"/>
          <w:szCs w:val="24"/>
        </w:rPr>
        <w:t xml:space="preserve">On Feb. 9, 2021, in </w:t>
      </w:r>
      <w:r w:rsidRPr="00750087">
        <w:rPr>
          <w:rFonts w:ascii="Times New Roman" w:hAnsi="Times New Roman"/>
          <w:sz w:val="24"/>
          <w:szCs w:val="24"/>
          <w:u w:val="single"/>
        </w:rPr>
        <w:t xml:space="preserve">Calvin Johnson v. Department </w:t>
      </w:r>
      <w:r>
        <w:rPr>
          <w:rFonts w:ascii="Times New Roman" w:hAnsi="Times New Roman"/>
          <w:sz w:val="24"/>
          <w:szCs w:val="24"/>
          <w:u w:val="single"/>
        </w:rPr>
        <w:t>o</w:t>
      </w:r>
      <w:r w:rsidRPr="00750087">
        <w:rPr>
          <w:rFonts w:ascii="Times New Roman" w:hAnsi="Times New Roman"/>
          <w:sz w:val="24"/>
          <w:szCs w:val="24"/>
          <w:u w:val="single"/>
        </w:rPr>
        <w:t xml:space="preserve">f Labor </w:t>
      </w:r>
      <w:r>
        <w:rPr>
          <w:rFonts w:ascii="Times New Roman" w:hAnsi="Times New Roman"/>
          <w:sz w:val="24"/>
          <w:szCs w:val="24"/>
          <w:u w:val="single"/>
        </w:rPr>
        <w:t>A</w:t>
      </w:r>
      <w:r w:rsidRPr="00750087">
        <w:rPr>
          <w:rFonts w:ascii="Times New Roman" w:hAnsi="Times New Roman"/>
          <w:sz w:val="24"/>
          <w:szCs w:val="24"/>
          <w:u w:val="single"/>
        </w:rPr>
        <w:t>nd Industries</w:t>
      </w:r>
      <w:r>
        <w:rPr>
          <w:rFonts w:ascii="Times New Roman" w:hAnsi="Times New Roman"/>
          <w:sz w:val="24"/>
          <w:szCs w:val="24"/>
        </w:rPr>
        <w:t xml:space="preserve">, the Court of Appeals of the State of Washington (Division II) ruled (3 to 0) that the State’s statutory presumption of firefighter heart attacks covers workers comp. not only for the first heart attack in 2015, but also for subsequent need in 2016 for further stents; he is also entitled to reimbursement of attorney fees for his successful appeal of the denial of coverage on the second event. The statutory presumption applies to “any </w:t>
      </w:r>
      <w:r w:rsidRPr="006178BF">
        <w:rPr>
          <w:rFonts w:ascii="Times New Roman" w:hAnsi="Times New Roman"/>
          <w:sz w:val="24"/>
          <w:szCs w:val="24"/>
        </w:rPr>
        <w:t>heart problems</w:t>
      </w:r>
      <w:r>
        <w:rPr>
          <w:rFonts w:ascii="Times New Roman" w:hAnsi="Times New Roman"/>
          <w:sz w:val="24"/>
          <w:szCs w:val="24"/>
        </w:rPr>
        <w:t xml:space="preserve">, </w:t>
      </w:r>
      <w:r w:rsidRPr="006178BF">
        <w:rPr>
          <w:rFonts w:ascii="Times New Roman" w:hAnsi="Times New Roman"/>
          <w:sz w:val="24"/>
          <w:szCs w:val="24"/>
        </w:rPr>
        <w:t>experienced within seventy-two hours of exposure to smoke, fumes, or toxic substances, or experienced within twenty-four hours of strenuous physical exertion due to firefighting activities</w:t>
      </w:r>
      <w:r>
        <w:rPr>
          <w:rFonts w:ascii="Times New Roman" w:hAnsi="Times New Roman"/>
          <w:sz w:val="24"/>
          <w:szCs w:val="24"/>
        </w:rPr>
        <w:t>.”</w:t>
      </w:r>
    </w:p>
    <w:bookmarkEnd w:id="233"/>
    <w:p w14:paraId="3EF45D08" w14:textId="77777777" w:rsidR="00CD5950" w:rsidRDefault="00CD5950" w:rsidP="00CD5950">
      <w:pPr>
        <w:pStyle w:val="NoSpacing"/>
        <w:ind w:left="720"/>
        <w:rPr>
          <w:rFonts w:ascii="Times New Roman" w:hAnsi="Times New Roman"/>
          <w:sz w:val="24"/>
          <w:szCs w:val="24"/>
        </w:rPr>
      </w:pPr>
      <w:r>
        <w:rPr>
          <w:rFonts w:ascii="Times New Roman" w:hAnsi="Times New Roman"/>
          <w:sz w:val="24"/>
          <w:szCs w:val="24"/>
        </w:rPr>
        <w:lastRenderedPageBreak/>
        <w:t>“</w:t>
      </w:r>
      <w:r w:rsidRPr="00880D79">
        <w:rPr>
          <w:rFonts w:ascii="Times New Roman" w:hAnsi="Times New Roman"/>
          <w:sz w:val="24"/>
          <w:szCs w:val="24"/>
        </w:rPr>
        <w:t>On April 15, 2015, Johnson had a myocardial infarction, commonly referred to as a heart attack. He had experienced physical exertion and exposure to diesel fumes before the heart attack. After Johnson filed an accident report to open a claim, the Department applied to Johnson's claim the presumption that heart problems arising 72 hours from exposure to fumes or 24 hours from exertion are occupational diseases. It then allowed Johnson's claim under RCW 51.32.185. The Department provided treatment and other benefits to Johnson. The Department then closed Johnson's claim on January 21, 2016, with no permanent or partial disability.</w:t>
      </w:r>
    </w:p>
    <w:p w14:paraId="3FA1DBD1" w14:textId="77777777" w:rsidR="00CD5950" w:rsidRDefault="00CD5950" w:rsidP="00CD5950">
      <w:pPr>
        <w:pStyle w:val="NoSpacing"/>
        <w:ind w:left="720"/>
        <w:rPr>
          <w:rFonts w:ascii="Times New Roman" w:hAnsi="Times New Roman"/>
          <w:sz w:val="24"/>
          <w:szCs w:val="24"/>
        </w:rPr>
      </w:pPr>
    </w:p>
    <w:p w14:paraId="3F7ABE96" w14:textId="77777777" w:rsidR="00CD5950" w:rsidRDefault="00CD5950" w:rsidP="00CD5950">
      <w:pPr>
        <w:pStyle w:val="NoSpacing"/>
        <w:ind w:left="720"/>
        <w:rPr>
          <w:rFonts w:ascii="Times New Roman" w:hAnsi="Times New Roman"/>
          <w:sz w:val="24"/>
          <w:szCs w:val="24"/>
        </w:rPr>
      </w:pPr>
      <w:r>
        <w:rPr>
          <w:rFonts w:ascii="Times New Roman" w:hAnsi="Times New Roman"/>
          <w:sz w:val="24"/>
          <w:szCs w:val="24"/>
        </w:rPr>
        <w:t>***</w:t>
      </w:r>
    </w:p>
    <w:p w14:paraId="62EE5C47" w14:textId="77777777" w:rsidR="00CD5950" w:rsidRPr="00880D79" w:rsidRDefault="00CD5950" w:rsidP="00CD5950">
      <w:pPr>
        <w:spacing w:before="100" w:beforeAutospacing="1" w:after="100" w:afterAutospacing="1" w:line="240" w:lineRule="auto"/>
        <w:ind w:left="720"/>
        <w:rPr>
          <w:rFonts w:ascii="Times New Roman" w:hAnsi="Times New Roman"/>
          <w:sz w:val="24"/>
          <w:szCs w:val="24"/>
        </w:rPr>
      </w:pPr>
      <w:r w:rsidRPr="00880D79">
        <w:rPr>
          <w:rFonts w:ascii="Times New Roman" w:hAnsi="Times New Roman"/>
          <w:sz w:val="24"/>
          <w:szCs w:val="24"/>
        </w:rPr>
        <w:t>We hold that under the facts presented and the plain language of RCW 51.32.185(9)(a), Johnson's claim to reopen was a claim for benefits entitling him to an award of attorney fees and costs incurred before the Board. Because Johnson is entitled to a fee award, we affirm the superior court's order requiring the Department to pay Johnson reasonable attorney fees and costs incurred before the Board. We also award Johnson reasonable appellate fees and costs as the prevailing party in this appeal.</w:t>
      </w:r>
      <w:r>
        <w:rPr>
          <w:rFonts w:ascii="Times New Roman" w:hAnsi="Times New Roman"/>
          <w:sz w:val="24"/>
          <w:szCs w:val="24"/>
        </w:rPr>
        <w:t xml:space="preserve">” </w:t>
      </w:r>
      <w:bookmarkStart w:id="234" w:name="_Hlk66946891"/>
      <w:r w:rsidR="00F00958">
        <w:fldChar w:fldCharType="begin"/>
      </w:r>
      <w:r w:rsidR="00F00958">
        <w:instrText xml:space="preserve"> HYPERLINK "https://law.justia.com/cases/washington/court-of-appeals-division-ii/2021/53761-3.html" </w:instrText>
      </w:r>
      <w:r w:rsidR="00F00958">
        <w:fldChar w:fldCharType="separate"/>
      </w:r>
      <w:r w:rsidRPr="00FE7279">
        <w:rPr>
          <w:rStyle w:val="Hyperlink"/>
          <w:rFonts w:ascii="Times New Roman" w:hAnsi="Times New Roman"/>
          <w:sz w:val="24"/>
          <w:szCs w:val="24"/>
        </w:rPr>
        <w:t>https://law.justia.com/cases/washington/court-of-appeals-division-ii/2021/53761-3.html</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2C0FBEC4" w14:textId="77777777" w:rsidR="00CD5950" w:rsidRPr="00880D79" w:rsidRDefault="00CD5950" w:rsidP="00CD5950">
      <w:pPr>
        <w:spacing w:before="100" w:beforeAutospacing="1" w:after="100" w:afterAutospacing="1" w:line="240" w:lineRule="auto"/>
        <w:rPr>
          <w:rFonts w:ascii="Times New Roman" w:eastAsia="Times New Roman" w:hAnsi="Times New Roman"/>
          <w:b/>
          <w:bCs/>
          <w:sz w:val="24"/>
          <w:szCs w:val="24"/>
        </w:rPr>
      </w:pPr>
      <w:r w:rsidRPr="00880D79">
        <w:rPr>
          <w:rFonts w:ascii="Times New Roman" w:hAnsi="Times New Roman"/>
          <w:b/>
          <w:bCs/>
          <w:sz w:val="24"/>
          <w:szCs w:val="24"/>
        </w:rPr>
        <w:t>Legal Lesson Learned:</w:t>
      </w:r>
      <w:r>
        <w:rPr>
          <w:rFonts w:ascii="Times New Roman" w:hAnsi="Times New Roman"/>
          <w:b/>
          <w:bCs/>
          <w:sz w:val="24"/>
          <w:szCs w:val="24"/>
        </w:rPr>
        <w:t xml:space="preserve">  The State of Washington’s statutory presumption applies to heart attacks, and subsequent heart problems. </w:t>
      </w:r>
    </w:p>
    <w:p w14:paraId="731638BF" w14:textId="77777777" w:rsidR="00CD5950" w:rsidRDefault="00CD5950" w:rsidP="00CD595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See State of Washington statute: RCW 51.32.185, “Occupational diseases – presumption of occupational disease for firefighters and fire investigators.” </w:t>
      </w:r>
      <w:hyperlink r:id="rId1171" w:history="1">
        <w:r w:rsidRPr="00FE7279">
          <w:rPr>
            <w:rStyle w:val="Hyperlink"/>
            <w:rFonts w:ascii="Times New Roman" w:hAnsi="Times New Roman"/>
            <w:sz w:val="24"/>
            <w:szCs w:val="24"/>
          </w:rPr>
          <w:t>https://apps.leg.wa.gov/rcw/default.aspx?cite=51.32.185</w:t>
        </w:r>
      </w:hyperlink>
      <w:r>
        <w:rPr>
          <w:rFonts w:ascii="Times New Roman" w:hAnsi="Times New Roman"/>
          <w:sz w:val="24"/>
          <w:szCs w:val="24"/>
        </w:rPr>
        <w:t xml:space="preserve"> </w:t>
      </w:r>
    </w:p>
    <w:p w14:paraId="368BE588" w14:textId="77777777" w:rsidR="00CD5950" w:rsidRPr="006178BF" w:rsidRDefault="00CD5950" w:rsidP="00CD5950">
      <w:pPr>
        <w:spacing w:before="100" w:beforeAutospacing="1" w:after="100" w:afterAutospacing="1" w:line="240" w:lineRule="auto"/>
        <w:ind w:left="720"/>
        <w:rPr>
          <w:rFonts w:ascii="Times New Roman" w:hAnsi="Times New Roman"/>
          <w:sz w:val="24"/>
          <w:szCs w:val="24"/>
        </w:rPr>
      </w:pPr>
      <w:r w:rsidRPr="006178BF">
        <w:rPr>
          <w:rFonts w:ascii="Times New Roman" w:hAnsi="Times New Roman"/>
          <w:sz w:val="24"/>
          <w:szCs w:val="24"/>
        </w:rPr>
        <w:t xml:space="preserve">(1)(a) In the case of firefighters as defined in RCW </w:t>
      </w:r>
      <w:hyperlink r:id="rId1172" w:history="1">
        <w:r w:rsidRPr="006178BF">
          <w:rPr>
            <w:rStyle w:val="Hyperlink"/>
            <w:rFonts w:ascii="Times New Roman" w:hAnsi="Times New Roman"/>
            <w:sz w:val="24"/>
            <w:szCs w:val="24"/>
          </w:rPr>
          <w:t>41.26.030</w:t>
        </w:r>
      </w:hyperlink>
      <w:r w:rsidRPr="006178BF">
        <w:rPr>
          <w:rFonts w:ascii="Times New Roman" w:hAnsi="Times New Roman"/>
          <w:sz w:val="24"/>
          <w:szCs w:val="24"/>
        </w:rPr>
        <w:t>(17) (a), (b), (c), and (h) who are covered under this title and firefighters, including supervisors, employed on a full-time, fully compensated basis as a firefighter of a private sector employer's fire department that includes over fifty such firefighters, and public employee fire investigators, there shall exist a prima facie presumption that: (</w:t>
      </w:r>
      <w:proofErr w:type="spellStart"/>
      <w:r w:rsidRPr="006178BF">
        <w:rPr>
          <w:rFonts w:ascii="Times New Roman" w:hAnsi="Times New Roman"/>
          <w:sz w:val="24"/>
          <w:szCs w:val="24"/>
        </w:rPr>
        <w:t>i</w:t>
      </w:r>
      <w:proofErr w:type="spellEnd"/>
      <w:r w:rsidRPr="006178BF">
        <w:rPr>
          <w:rFonts w:ascii="Times New Roman" w:hAnsi="Times New Roman"/>
          <w:sz w:val="24"/>
          <w:szCs w:val="24"/>
        </w:rPr>
        <w:t xml:space="preserve">) Respiratory disease; (ii) any heart problems, experienced within seventy-two hours of exposure to smoke, fumes, or toxic substances, or experienced within twenty-four hours of strenuous physical exertion due to firefighting activities; (iii) cancer; and (iv) infectious diseases are occupational diseases under RCW </w:t>
      </w:r>
      <w:hyperlink r:id="rId1173" w:history="1">
        <w:r w:rsidRPr="006178BF">
          <w:rPr>
            <w:rStyle w:val="Hyperlink"/>
            <w:rFonts w:ascii="Times New Roman" w:hAnsi="Times New Roman"/>
            <w:sz w:val="24"/>
            <w:szCs w:val="24"/>
          </w:rPr>
          <w:t>51.08.140</w:t>
        </w:r>
      </w:hyperlink>
      <w:r w:rsidRPr="006178BF">
        <w:rPr>
          <w:rFonts w:ascii="Times New Roman" w:hAnsi="Times New Roman"/>
          <w:sz w:val="24"/>
          <w:szCs w:val="24"/>
        </w:rPr>
        <w:t xml:space="preserve">.  </w:t>
      </w:r>
    </w:p>
    <w:bookmarkEnd w:id="234"/>
    <w:p w14:paraId="35348AFC" w14:textId="285F4DF1" w:rsidR="00CD5950" w:rsidRDefault="00CD5950"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5</w:t>
      </w:r>
    </w:p>
    <w:p w14:paraId="3C7D2126" w14:textId="77777777" w:rsidR="00CD5950" w:rsidRPr="00F05C54" w:rsidRDefault="00CD5950" w:rsidP="00CD5950">
      <w:pPr>
        <w:pStyle w:val="NormalWeb"/>
        <w:rPr>
          <w:rFonts w:ascii="Arial Black" w:hAnsi="Arial Black"/>
          <w:sz w:val="28"/>
          <w:szCs w:val="28"/>
        </w:rPr>
      </w:pPr>
      <w:bookmarkStart w:id="235" w:name="_Hlk66947419"/>
      <w:r>
        <w:rPr>
          <w:rFonts w:ascii="Arial Black" w:hAnsi="Arial Black"/>
          <w:sz w:val="28"/>
          <w:szCs w:val="28"/>
        </w:rPr>
        <w:t>NV: LIGHT DUTY - CAPTAIN SHOULDER INJURY - REFUSED LIGHT DUTY AFTER SURGERY – TTD PAYMENTS STOPPED</w:t>
      </w:r>
    </w:p>
    <w:p w14:paraId="276D8919" w14:textId="77777777" w:rsidR="00CD5950" w:rsidRDefault="00CD5950" w:rsidP="00CD5950">
      <w:pPr>
        <w:pStyle w:val="NormalWeb"/>
      </w:pPr>
      <w:r>
        <w:t xml:space="preserve">On Feb. 4, 2021, in </w:t>
      </w:r>
      <w:r w:rsidRPr="00E77AA2">
        <w:rPr>
          <w:u w:val="single"/>
        </w:rPr>
        <w:t>Vance Taylor v. Truckee Meadows Fire Protection District</w:t>
      </w:r>
      <w:r>
        <w:t xml:space="preserve">, the Supreme Court of the State of Nevada, held (3 to 0) that the FD’s offer of temporary, light-duty employment (40-hour work week; secretarial duties) was reasonable and in compliance with Nevada law. even if the new schedule required they get a babysitter, and even if he found the secretarial work to “demeaning or humiliating to him.” The Court held that the workers comp administrator was justified in terminating the firefighter’s temporary total disability benefits. </w:t>
      </w:r>
    </w:p>
    <w:bookmarkEnd w:id="235"/>
    <w:p w14:paraId="303149D7" w14:textId="77777777" w:rsidR="00CD5950" w:rsidRDefault="00CD5950" w:rsidP="00CD5950">
      <w:pPr>
        <w:pStyle w:val="NormalWeb"/>
        <w:ind w:left="720"/>
      </w:pPr>
      <w:r>
        <w:t>“Taylor contends that the temporary, light-duty employment offer of secretarial work was not ‘substantially similar’ to his preinjury position in location, hours, or benefits and was thus not a reasonable offer in accordance with NRS 616C.475. He further argues that the offer was not reasonable because it involved different job duties and a different chain of command than his preinjury position and because it was humiliating work. We disagree.</w:t>
      </w:r>
    </w:p>
    <w:p w14:paraId="6DEA9B10" w14:textId="77777777" w:rsidR="00CD5950" w:rsidRDefault="00CD5950" w:rsidP="00CD5950">
      <w:pPr>
        <w:pStyle w:val="NormalWeb"/>
        <w:ind w:firstLine="720"/>
      </w:pPr>
      <w:r>
        <w:lastRenderedPageBreak/>
        <w:t>***</w:t>
      </w:r>
    </w:p>
    <w:p w14:paraId="388D595A" w14:textId="393DEFD9" w:rsidR="00CD5950" w:rsidRDefault="00CD5950" w:rsidP="00CD5950">
      <w:pPr>
        <w:spacing w:before="100" w:beforeAutospacing="1" w:after="100" w:afterAutospacing="1" w:line="240" w:lineRule="auto"/>
        <w:ind w:left="720"/>
        <w:rPr>
          <w:rFonts w:ascii="Times New Roman" w:eastAsia="Times New Roman" w:hAnsi="Times New Roman"/>
          <w:sz w:val="24"/>
          <w:szCs w:val="24"/>
        </w:rPr>
      </w:pPr>
      <w:r w:rsidRPr="00F05C54">
        <w:rPr>
          <w:rFonts w:ascii="Times New Roman" w:eastAsia="Times New Roman" w:hAnsi="Times New Roman"/>
          <w:sz w:val="24"/>
          <w:szCs w:val="24"/>
        </w:rPr>
        <w:t>Notwithstanding the requirement to consider a light-duty employment offer's schedule, we conclude that the light-duty job offered to Taylor was substantially similar to his preinjury firefighter job in terms of hours. Taylor's preinjury employment required that he work 48 hours on and 96 hours off. The offered light-duty job required Taylor to work a typical administrative schedule, from 8 a.m. to 5 p.m. Monday through</w:t>
      </w:r>
      <w:r>
        <w:rPr>
          <w:rFonts w:ascii="Times New Roman" w:eastAsia="Times New Roman" w:hAnsi="Times New Roman"/>
          <w:sz w:val="24"/>
          <w:szCs w:val="24"/>
        </w:rPr>
        <w:t xml:space="preserve"> </w:t>
      </w:r>
      <w:r w:rsidRPr="00F05C54">
        <w:rPr>
          <w:rFonts w:ascii="Times New Roman" w:eastAsia="Times New Roman" w:hAnsi="Times New Roman"/>
          <w:sz w:val="24"/>
          <w:szCs w:val="24"/>
        </w:rPr>
        <w:t>Friday, totaling 40 hours a week. Although the administrative schedule was not identical to Taylor's firefighter schedule, it also did not require him to work unusual hours or an atypical timetable.</w:t>
      </w:r>
    </w:p>
    <w:p w14:paraId="21A99775" w14:textId="77777777" w:rsidR="00CD5950" w:rsidRDefault="00CD5950" w:rsidP="00CD5950">
      <w:pPr>
        <w:pStyle w:val="NormalWeb"/>
      </w:pPr>
      <w:r>
        <w:tab/>
        <w:t>***</w:t>
      </w:r>
    </w:p>
    <w:p w14:paraId="02241B1B" w14:textId="77777777" w:rsidR="00CD5950" w:rsidRDefault="00CD5950" w:rsidP="00CD5950">
      <w:pPr>
        <w:pStyle w:val="NormalWeb"/>
        <w:ind w:left="720"/>
      </w:pPr>
      <w:r>
        <w:t xml:space="preserve">We further reject Taylor's contention that the administrative position was demeaning or humiliating to him. Secretaries and their assistants perform the necessary everyday tasks that are required to run organizations and businesses. The mere fact that an employee feels that a position is beneath him or her does not make the offer unreasonable or invalid.”  </w:t>
      </w:r>
      <w:bookmarkStart w:id="236" w:name="_Hlk66947486"/>
      <w:r w:rsidR="00F00958">
        <w:fldChar w:fldCharType="begin"/>
      </w:r>
      <w:r w:rsidR="00F00958">
        <w:instrText xml:space="preserve"> HYPERLINK "https://law.justia.com/cases/nevada/supreme-court/2021/78971.html" </w:instrText>
      </w:r>
      <w:r w:rsidR="00F00958">
        <w:fldChar w:fldCharType="separate"/>
      </w:r>
      <w:r w:rsidRPr="00B07E35">
        <w:rPr>
          <w:rStyle w:val="Hyperlink"/>
        </w:rPr>
        <w:t>https://law.justia.com/cases/nevada/supreme-court/2021/78971.html</w:t>
      </w:r>
      <w:r w:rsidR="00F00958">
        <w:rPr>
          <w:rStyle w:val="Hyperlink"/>
        </w:rPr>
        <w:fldChar w:fldCharType="end"/>
      </w:r>
    </w:p>
    <w:p w14:paraId="0E688D60" w14:textId="77777777" w:rsidR="00CD5950" w:rsidRPr="00015E59" w:rsidRDefault="00CD5950" w:rsidP="00CD5950">
      <w:pPr>
        <w:pStyle w:val="NormalWeb"/>
        <w:rPr>
          <w:b/>
          <w:bCs/>
        </w:rPr>
      </w:pPr>
      <w:bookmarkStart w:id="237" w:name="_Hlk66947464"/>
      <w:bookmarkEnd w:id="236"/>
      <w:r w:rsidRPr="00015E59">
        <w:rPr>
          <w:b/>
          <w:bCs/>
        </w:rPr>
        <w:t>Legal Lesson Learned:</w:t>
      </w:r>
      <w:r>
        <w:rPr>
          <w:b/>
          <w:bCs/>
        </w:rPr>
        <w:t xml:space="preserve">  The Nevada statute is designed to ‘encourage” employees to accept light duty and get back to full duty as soon as possible. </w:t>
      </w:r>
    </w:p>
    <w:p w14:paraId="5C045BF0" w14:textId="77777777" w:rsidR="00CD5950" w:rsidRDefault="00CD5950" w:rsidP="00CD5950">
      <w:pPr>
        <w:pStyle w:val="NormalWeb"/>
        <w:ind w:left="720"/>
      </w:pPr>
      <w:r>
        <w:t>Note: The FD offered him same gross wages during light duty.</w:t>
      </w:r>
    </w:p>
    <w:p w14:paraId="2E47EBA4" w14:textId="77777777" w:rsidR="00CD5950" w:rsidRPr="00F05C54" w:rsidRDefault="00CD5950" w:rsidP="00CD5950">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F05C54">
        <w:rPr>
          <w:rFonts w:ascii="Times New Roman" w:eastAsia="Times New Roman" w:hAnsi="Times New Roman"/>
          <w:sz w:val="24"/>
          <w:szCs w:val="24"/>
        </w:rPr>
        <w:t>The gross wage that Taylor would have received if he had accepted the temporary, light-duty employment offer was an average of his past 12-week wage history and amounted to $10,115 a month. Taylor argues that the light-duty employment offer was invalid because it did not include overtime pay and did not provide an ability to bank holiday compensatory time. The record shows, however, that the 12-week period used to calculate the offered wage included two holidays, as well as a significant amount of overtime pay—189 hours to be exact. We conclude that because holiday time and overtime pay were included in this gross</w:t>
      </w:r>
      <w:r>
        <w:rPr>
          <w:rFonts w:ascii="Times New Roman" w:eastAsia="Times New Roman" w:hAnsi="Times New Roman"/>
          <w:sz w:val="24"/>
          <w:szCs w:val="24"/>
        </w:rPr>
        <w:t xml:space="preserve"> </w:t>
      </w:r>
      <w:r w:rsidRPr="00F05C54">
        <w:rPr>
          <w:rFonts w:ascii="Times New Roman" w:eastAsia="Times New Roman" w:hAnsi="Times New Roman"/>
          <w:sz w:val="24"/>
          <w:szCs w:val="24"/>
        </w:rPr>
        <w:t xml:space="preserve">wage, the light-duty position provided a substantially similar wage and the same employment benefits as the preinjury </w:t>
      </w:r>
      <w:proofErr w:type="gramStart"/>
      <w:r w:rsidRPr="00F05C54">
        <w:rPr>
          <w:rFonts w:ascii="Times New Roman" w:eastAsia="Times New Roman" w:hAnsi="Times New Roman"/>
          <w:sz w:val="24"/>
          <w:szCs w:val="24"/>
        </w:rPr>
        <w:t>position.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
    <w:bookmarkEnd w:id="237"/>
    <w:p w14:paraId="5822E6F5" w14:textId="2DA066DE" w:rsidR="00CD5950" w:rsidRDefault="00CD5950"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4</w:t>
      </w:r>
    </w:p>
    <w:p w14:paraId="11C9155F" w14:textId="77777777" w:rsidR="00CD5950" w:rsidRDefault="00CD5950" w:rsidP="00CD5950">
      <w:pPr>
        <w:rPr>
          <w:rFonts w:ascii="Arial Black" w:hAnsi="Arial Black"/>
          <w:sz w:val="28"/>
          <w:szCs w:val="28"/>
        </w:rPr>
      </w:pPr>
      <w:r>
        <w:rPr>
          <w:rFonts w:ascii="Arial Black" w:hAnsi="Arial Black"/>
          <w:sz w:val="28"/>
          <w:szCs w:val="28"/>
        </w:rPr>
        <w:t>IL: “CATASTROPHIC INJURY” – LIFETIME HEALTH INSURANCE UNDER STATE LAW – CITY CAN’T RE-DEFINE QUALIFICATIONS</w:t>
      </w:r>
    </w:p>
    <w:p w14:paraId="6A45872B" w14:textId="77777777" w:rsidR="00CD5950" w:rsidRDefault="00CD5950" w:rsidP="00CD5950">
      <w:pPr>
        <w:rPr>
          <w:rFonts w:ascii="Times New Roman" w:hAnsi="Times New Roman"/>
          <w:sz w:val="24"/>
          <w:szCs w:val="24"/>
        </w:rPr>
      </w:pPr>
      <w:r>
        <w:rPr>
          <w:rFonts w:ascii="Times New Roman" w:hAnsi="Times New Roman"/>
          <w:sz w:val="24"/>
          <w:szCs w:val="24"/>
        </w:rPr>
        <w:t xml:space="preserve">On Feb. 1, 2021, in </w:t>
      </w:r>
      <w:r w:rsidRPr="009836FC">
        <w:rPr>
          <w:rFonts w:ascii="Times New Roman" w:hAnsi="Times New Roman"/>
          <w:sz w:val="24"/>
          <w:szCs w:val="24"/>
          <w:u w:val="single"/>
        </w:rPr>
        <w:t>IAFF Local 50 v. The City of Peoria</w:t>
      </w:r>
      <w:r>
        <w:rPr>
          <w:rFonts w:ascii="Times New Roman" w:hAnsi="Times New Roman"/>
          <w:sz w:val="24"/>
          <w:szCs w:val="24"/>
        </w:rPr>
        <w:t xml:space="preserve">, the Appellate Court of Illinois (Third District) held (3 to 0) that the Circuit Court of Peoria County properly awarded summary judgment to the IAFF, holding that the City cannot enact an ordinance that seeks to define (and therefore limit) the state’s </w:t>
      </w:r>
      <w:r w:rsidRPr="009836FC">
        <w:rPr>
          <w:rFonts w:ascii="Times New Roman" w:hAnsi="Times New Roman"/>
          <w:sz w:val="24"/>
          <w:szCs w:val="24"/>
        </w:rPr>
        <w:t>Public Safety Employee Benefits Act (Act)</w:t>
      </w:r>
      <w:r>
        <w:rPr>
          <w:rFonts w:ascii="Times New Roman" w:hAnsi="Times New Roman"/>
          <w:sz w:val="24"/>
          <w:szCs w:val="24"/>
        </w:rPr>
        <w:t xml:space="preserve">, particularly after Illinois Supreme Court has already reviewed the state law and its legislative history.  </w:t>
      </w:r>
    </w:p>
    <w:p w14:paraId="085F7C87" w14:textId="77777777" w:rsidR="00CD5950"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0331B7">
        <w:rPr>
          <w:rFonts w:ascii="Times New Roman" w:eastAsia="Times New Roman" w:hAnsi="Times New Roman"/>
          <w:sz w:val="24"/>
          <w:szCs w:val="24"/>
        </w:rPr>
        <w:t xml:space="preserve">Peoria City Code § 2-350(b) (amended June 12, 2018). </w:t>
      </w:r>
      <w:r>
        <w:rPr>
          <w:rFonts w:ascii="Times New Roman" w:eastAsia="Times New Roman" w:hAnsi="Times New Roman"/>
          <w:sz w:val="24"/>
          <w:szCs w:val="24"/>
        </w:rPr>
        <w:t>‘</w:t>
      </w:r>
      <w:r w:rsidRPr="000331B7">
        <w:rPr>
          <w:rFonts w:ascii="Times New Roman" w:eastAsia="Times New Roman" w:hAnsi="Times New Roman"/>
          <w:sz w:val="24"/>
          <w:szCs w:val="24"/>
        </w:rPr>
        <w:t>Catastrophic injury</w:t>
      </w:r>
      <w:r>
        <w:rPr>
          <w:rFonts w:ascii="Times New Roman" w:eastAsia="Times New Roman" w:hAnsi="Times New Roman"/>
          <w:sz w:val="24"/>
          <w:szCs w:val="24"/>
        </w:rPr>
        <w:t>’</w:t>
      </w:r>
      <w:r w:rsidRPr="000331B7">
        <w:rPr>
          <w:rFonts w:ascii="Times New Roman" w:eastAsia="Times New Roman" w:hAnsi="Times New Roman"/>
          <w:sz w:val="24"/>
          <w:szCs w:val="24"/>
        </w:rPr>
        <w:t xml:space="preserve"> is defined as </w:t>
      </w:r>
      <w:r>
        <w:rPr>
          <w:rFonts w:ascii="Times New Roman" w:eastAsia="Times New Roman" w:hAnsi="Times New Roman"/>
          <w:sz w:val="24"/>
          <w:szCs w:val="24"/>
        </w:rPr>
        <w:t>‘</w:t>
      </w:r>
      <w:r w:rsidRPr="000331B7">
        <w:rPr>
          <w:rFonts w:ascii="Times New Roman" w:eastAsia="Times New Roman" w:hAnsi="Times New Roman"/>
          <w:sz w:val="24"/>
          <w:szCs w:val="24"/>
        </w:rPr>
        <w:t>[a]n injury, the direct and proximate consequences of which permanently prevent an individual from performing any gainful work.</w:t>
      </w:r>
      <w:r>
        <w:rPr>
          <w:rFonts w:ascii="Times New Roman" w:eastAsia="Times New Roman" w:hAnsi="Times New Roman"/>
          <w:sz w:val="24"/>
          <w:szCs w:val="24"/>
        </w:rPr>
        <w:t>’</w:t>
      </w:r>
      <w:r w:rsidRPr="000331B7">
        <w:rPr>
          <w:rFonts w:ascii="Times New Roman" w:eastAsia="Times New Roman" w:hAnsi="Times New Roman"/>
          <w:sz w:val="24"/>
          <w:szCs w:val="24"/>
        </w:rPr>
        <w:t xml:space="preserve"> </w:t>
      </w:r>
      <w:r w:rsidRPr="000331B7">
        <w:rPr>
          <w:rFonts w:ascii="Times New Roman" w:eastAsia="Times New Roman" w:hAnsi="Times New Roman"/>
          <w:i/>
          <w:iCs/>
          <w:sz w:val="24"/>
          <w:szCs w:val="24"/>
        </w:rPr>
        <w:t>Id</w:t>
      </w:r>
      <w:r w:rsidRPr="000331B7">
        <w:rPr>
          <w:rFonts w:ascii="Times New Roman" w:eastAsia="Times New Roman" w:hAnsi="Times New Roman"/>
          <w:sz w:val="24"/>
          <w:szCs w:val="24"/>
        </w:rPr>
        <w:t xml:space="preserve">. </w:t>
      </w:r>
      <w:r>
        <w:rPr>
          <w:rFonts w:ascii="Times New Roman" w:eastAsia="Times New Roman" w:hAnsi="Times New Roman"/>
          <w:sz w:val="24"/>
          <w:szCs w:val="24"/>
        </w:rPr>
        <w:t>‘</w:t>
      </w:r>
      <w:r w:rsidRPr="000331B7">
        <w:rPr>
          <w:rFonts w:ascii="Times New Roman" w:eastAsia="Times New Roman" w:hAnsi="Times New Roman"/>
          <w:sz w:val="24"/>
          <w:szCs w:val="24"/>
        </w:rPr>
        <w:t>Gainful work</w:t>
      </w:r>
      <w:r>
        <w:rPr>
          <w:rFonts w:ascii="Times New Roman" w:eastAsia="Times New Roman" w:hAnsi="Times New Roman"/>
          <w:sz w:val="24"/>
          <w:szCs w:val="24"/>
        </w:rPr>
        <w:t>’</w:t>
      </w:r>
      <w:r w:rsidRPr="000331B7">
        <w:rPr>
          <w:rFonts w:ascii="Times New Roman" w:eastAsia="Times New Roman" w:hAnsi="Times New Roman"/>
          <w:sz w:val="24"/>
          <w:szCs w:val="24"/>
        </w:rPr>
        <w:t xml:space="preserve"> is defined as </w:t>
      </w:r>
      <w:r>
        <w:rPr>
          <w:rFonts w:ascii="Times New Roman" w:eastAsia="Times New Roman" w:hAnsi="Times New Roman"/>
          <w:sz w:val="24"/>
          <w:szCs w:val="24"/>
        </w:rPr>
        <w:t>‘</w:t>
      </w:r>
      <w:r w:rsidRPr="000331B7">
        <w:rPr>
          <w:rFonts w:ascii="Times New Roman" w:eastAsia="Times New Roman" w:hAnsi="Times New Roman"/>
          <w:sz w:val="24"/>
          <w:szCs w:val="24"/>
        </w:rPr>
        <w:t>[f]</w:t>
      </w:r>
      <w:proofErr w:type="spellStart"/>
      <w:r w:rsidRPr="000331B7">
        <w:rPr>
          <w:rFonts w:ascii="Times New Roman" w:eastAsia="Times New Roman" w:hAnsi="Times New Roman"/>
          <w:sz w:val="24"/>
          <w:szCs w:val="24"/>
        </w:rPr>
        <w:t>ull</w:t>
      </w:r>
      <w:proofErr w:type="spellEnd"/>
      <w:r w:rsidRPr="000331B7">
        <w:rPr>
          <w:rFonts w:ascii="Times New Roman" w:eastAsia="Times New Roman" w:hAnsi="Times New Roman"/>
          <w:sz w:val="24"/>
          <w:szCs w:val="24"/>
        </w:rPr>
        <w:t xml:space="preserve">- or part-time </w:t>
      </w:r>
      <w:proofErr w:type="gramStart"/>
      <w:r w:rsidRPr="000331B7">
        <w:rPr>
          <w:rFonts w:ascii="Times New Roman" w:eastAsia="Times New Roman" w:hAnsi="Times New Roman"/>
          <w:sz w:val="24"/>
          <w:szCs w:val="24"/>
        </w:rPr>
        <w:t>activity</w:t>
      </w:r>
      <w:proofErr w:type="gramEnd"/>
      <w:r w:rsidRPr="000331B7">
        <w:rPr>
          <w:rFonts w:ascii="Times New Roman" w:eastAsia="Times New Roman" w:hAnsi="Times New Roman"/>
          <w:sz w:val="24"/>
          <w:szCs w:val="24"/>
        </w:rPr>
        <w:t xml:space="preserve"> that actually is compensated or commonly is compensated.</w:t>
      </w:r>
      <w:r>
        <w:rPr>
          <w:rFonts w:ascii="Times New Roman" w:eastAsia="Times New Roman" w:hAnsi="Times New Roman"/>
          <w:sz w:val="24"/>
          <w:szCs w:val="24"/>
        </w:rPr>
        <w:t>’</w:t>
      </w:r>
      <w:r w:rsidRPr="000331B7">
        <w:rPr>
          <w:rFonts w:ascii="Times New Roman" w:eastAsia="Times New Roman" w:hAnsi="Times New Roman"/>
          <w:sz w:val="24"/>
          <w:szCs w:val="24"/>
        </w:rPr>
        <w:t xml:space="preserve"> </w:t>
      </w:r>
      <w:r w:rsidRPr="000331B7">
        <w:rPr>
          <w:rFonts w:ascii="Times New Roman" w:eastAsia="Times New Roman" w:hAnsi="Times New Roman"/>
          <w:i/>
          <w:iCs/>
          <w:sz w:val="24"/>
          <w:szCs w:val="24"/>
        </w:rPr>
        <w:t>Id</w:t>
      </w:r>
      <w:r w:rsidRPr="000331B7">
        <w:rPr>
          <w:rFonts w:ascii="Times New Roman" w:eastAsia="Times New Roman" w:hAnsi="Times New Roman"/>
          <w:sz w:val="24"/>
          <w:szCs w:val="24"/>
        </w:rPr>
        <w:t xml:space="preserve">. "Injury" is defined </w:t>
      </w:r>
      <w:proofErr w:type="gramStart"/>
      <w:r w:rsidRPr="000331B7">
        <w:rPr>
          <w:rFonts w:ascii="Times New Roman" w:eastAsia="Times New Roman" w:hAnsi="Times New Roman"/>
          <w:sz w:val="24"/>
          <w:szCs w:val="24"/>
        </w:rPr>
        <w:t>as:</w:t>
      </w:r>
      <w:r>
        <w:rPr>
          <w:rFonts w:ascii="Times New Roman" w:eastAsia="Times New Roman" w:hAnsi="Times New Roman"/>
          <w:sz w:val="24"/>
          <w:szCs w:val="24"/>
        </w:rPr>
        <w:t xml:space="preserve"> ‘</w:t>
      </w:r>
      <w:proofErr w:type="gramEnd"/>
      <w:r w:rsidRPr="000331B7">
        <w:rPr>
          <w:rFonts w:ascii="Times New Roman" w:eastAsia="Times New Roman" w:hAnsi="Times New Roman"/>
          <w:sz w:val="24"/>
          <w:szCs w:val="24"/>
        </w:rPr>
        <w:t>A traumatic physical wound *** directly and proximately caused by external force ***, chemicals, electricity, climatic conditions, infectious disease, radiation, virus, or bacteria, but does not include:</w:t>
      </w:r>
      <w:r>
        <w:rPr>
          <w:rFonts w:ascii="Times New Roman" w:eastAsia="Times New Roman" w:hAnsi="Times New Roman"/>
          <w:sz w:val="24"/>
          <w:szCs w:val="24"/>
        </w:rPr>
        <w:t xml:space="preserve"> </w:t>
      </w:r>
    </w:p>
    <w:p w14:paraId="5238FCD7" w14:textId="77777777" w:rsidR="00CD5950" w:rsidRDefault="00CD5950" w:rsidP="00CD5950">
      <w:pPr>
        <w:spacing w:before="100" w:beforeAutospacing="1" w:after="100" w:afterAutospacing="1" w:line="240" w:lineRule="auto"/>
        <w:ind w:left="1440"/>
        <w:rPr>
          <w:rFonts w:ascii="Times New Roman" w:eastAsia="Times New Roman" w:hAnsi="Times New Roman"/>
          <w:sz w:val="24"/>
          <w:szCs w:val="24"/>
        </w:rPr>
      </w:pPr>
      <w:r w:rsidRPr="000331B7">
        <w:rPr>
          <w:rFonts w:ascii="Times New Roman" w:eastAsia="Times New Roman" w:hAnsi="Times New Roman"/>
          <w:sz w:val="24"/>
          <w:szCs w:val="24"/>
        </w:rPr>
        <w:lastRenderedPageBreak/>
        <w:t>(1) Any occupational disease; or</w:t>
      </w:r>
      <w:r w:rsidRPr="000331B7">
        <w:rPr>
          <w:rFonts w:ascii="Times New Roman" w:eastAsia="Times New Roman" w:hAnsi="Times New Roman"/>
          <w:sz w:val="24"/>
          <w:szCs w:val="24"/>
        </w:rPr>
        <w:br/>
      </w:r>
      <w:r w:rsidRPr="000331B7">
        <w:rPr>
          <w:rFonts w:ascii="Times New Roman" w:eastAsia="Times New Roman" w:hAnsi="Times New Roman"/>
          <w:sz w:val="24"/>
          <w:szCs w:val="24"/>
        </w:rPr>
        <w:br/>
        <w:t>(2) Any condition of the body caused or occasioned by stress or strain.</w:t>
      </w:r>
    </w:p>
    <w:p w14:paraId="6F48ADFA" w14:textId="77777777" w:rsidR="00CD5950"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063E6CB9" w14:textId="5DBD5DCD" w:rsidR="00CD5950" w:rsidRPr="000331B7" w:rsidRDefault="00CD5950" w:rsidP="00CD5950">
      <w:pPr>
        <w:spacing w:before="100" w:beforeAutospacing="1" w:after="100" w:afterAutospacing="1" w:line="240" w:lineRule="auto"/>
        <w:ind w:left="720"/>
        <w:rPr>
          <w:rFonts w:ascii="Times New Roman" w:eastAsia="Times New Roman" w:hAnsi="Times New Roman"/>
          <w:sz w:val="24"/>
          <w:szCs w:val="24"/>
        </w:rPr>
      </w:pPr>
      <w:r w:rsidRPr="000331B7">
        <w:rPr>
          <w:rFonts w:ascii="Times New Roman" w:hAnsi="Times New Roman"/>
          <w:sz w:val="24"/>
          <w:szCs w:val="24"/>
        </w:rPr>
        <w:t xml:space="preserve">We conclude that the City's definitions of </w:t>
      </w:r>
      <w:r>
        <w:rPr>
          <w:rFonts w:ascii="Times New Roman" w:hAnsi="Times New Roman"/>
          <w:sz w:val="24"/>
          <w:szCs w:val="24"/>
        </w:rPr>
        <w:t>‘</w:t>
      </w:r>
      <w:r w:rsidRPr="000331B7">
        <w:rPr>
          <w:rFonts w:ascii="Times New Roman" w:hAnsi="Times New Roman"/>
          <w:sz w:val="24"/>
          <w:szCs w:val="24"/>
        </w:rPr>
        <w:t>catastrophic injury,</w:t>
      </w:r>
      <w:r>
        <w:rPr>
          <w:rFonts w:ascii="Times New Roman" w:hAnsi="Times New Roman"/>
          <w:sz w:val="24"/>
          <w:szCs w:val="24"/>
        </w:rPr>
        <w:t>’</w:t>
      </w:r>
      <w:r w:rsidRPr="000331B7">
        <w:rPr>
          <w:rFonts w:ascii="Times New Roman" w:hAnsi="Times New Roman"/>
          <w:sz w:val="24"/>
          <w:szCs w:val="24"/>
        </w:rPr>
        <w:t xml:space="preserve"> </w:t>
      </w:r>
      <w:r>
        <w:rPr>
          <w:rFonts w:ascii="Times New Roman" w:hAnsi="Times New Roman"/>
          <w:sz w:val="24"/>
          <w:szCs w:val="24"/>
        </w:rPr>
        <w:t>‘</w:t>
      </w:r>
      <w:r w:rsidRPr="000331B7">
        <w:rPr>
          <w:rFonts w:ascii="Times New Roman" w:hAnsi="Times New Roman"/>
          <w:sz w:val="24"/>
          <w:szCs w:val="24"/>
        </w:rPr>
        <w:t>injury,</w:t>
      </w:r>
      <w:r>
        <w:rPr>
          <w:rFonts w:ascii="Times New Roman" w:hAnsi="Times New Roman"/>
          <w:sz w:val="24"/>
          <w:szCs w:val="24"/>
        </w:rPr>
        <w:t>’</w:t>
      </w:r>
      <w:r w:rsidRPr="000331B7">
        <w:rPr>
          <w:rFonts w:ascii="Times New Roman" w:hAnsi="Times New Roman"/>
          <w:sz w:val="24"/>
          <w:szCs w:val="24"/>
        </w:rPr>
        <w:t xml:space="preserve"> and </w:t>
      </w:r>
      <w:r>
        <w:rPr>
          <w:rFonts w:ascii="Times New Roman" w:hAnsi="Times New Roman"/>
          <w:sz w:val="24"/>
          <w:szCs w:val="24"/>
        </w:rPr>
        <w:t>‘</w:t>
      </w:r>
      <w:r w:rsidRPr="000331B7">
        <w:rPr>
          <w:rFonts w:ascii="Times New Roman" w:hAnsi="Times New Roman"/>
          <w:sz w:val="24"/>
          <w:szCs w:val="24"/>
        </w:rPr>
        <w:t>gainful work</w:t>
      </w:r>
      <w:r>
        <w:rPr>
          <w:rFonts w:ascii="Times New Roman" w:hAnsi="Times New Roman"/>
          <w:sz w:val="24"/>
          <w:szCs w:val="24"/>
        </w:rPr>
        <w:t>’</w:t>
      </w:r>
      <w:r w:rsidRPr="000331B7">
        <w:rPr>
          <w:rFonts w:ascii="Times New Roman" w:hAnsi="Times New Roman"/>
          <w:sz w:val="24"/>
          <w:szCs w:val="24"/>
        </w:rPr>
        <w:t xml:space="preserve"> were inconsistent with the substantive requirements of the Act, and the ordinance was not a valid exercise of home rule authority.</w:t>
      </w:r>
      <w:r>
        <w:rPr>
          <w:rFonts w:ascii="Times New Roman" w:hAnsi="Times New Roman"/>
          <w:sz w:val="24"/>
          <w:szCs w:val="24"/>
        </w:rPr>
        <w:t xml:space="preserve">” </w:t>
      </w:r>
      <w:hyperlink r:id="rId1174" w:history="1">
        <w:r w:rsidRPr="002013DF">
          <w:rPr>
            <w:rStyle w:val="Hyperlink"/>
            <w:rFonts w:ascii="Times New Roman" w:hAnsi="Times New Roman"/>
            <w:sz w:val="24"/>
            <w:szCs w:val="24"/>
          </w:rPr>
          <w:t>https://public.fastcase.com/Wl%2B2t%2BeVuI35%2FN70vAMFZhBwSznuAn%2FrUV3euz1vpuZ8G42r7l80quvA5s5OcZyT</w:t>
        </w:r>
      </w:hyperlink>
      <w:r>
        <w:rPr>
          <w:rFonts w:ascii="Times New Roman" w:hAnsi="Times New Roman"/>
          <w:sz w:val="24"/>
          <w:szCs w:val="24"/>
        </w:rPr>
        <w:t xml:space="preserve"> </w:t>
      </w:r>
    </w:p>
    <w:p w14:paraId="3CFE1194" w14:textId="77777777" w:rsidR="00CD5950" w:rsidRPr="00AB7084" w:rsidRDefault="00CD5950" w:rsidP="00CD5950">
      <w:pPr>
        <w:spacing w:before="100" w:beforeAutospacing="1" w:after="100" w:afterAutospacing="1" w:line="240" w:lineRule="auto"/>
        <w:ind w:left="720"/>
        <w:rPr>
          <w:rFonts w:ascii="Times New Roman" w:eastAsia="Times New Roman" w:hAnsi="Times New Roman"/>
          <w:sz w:val="24"/>
          <w:szCs w:val="24"/>
        </w:rPr>
      </w:pPr>
      <w:r w:rsidRPr="00EC6D3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Cities under their “home rule” authority cannot enact an ordinance limiting or defining health benefits provided under state statute.  </w:t>
      </w:r>
    </w:p>
    <w:p w14:paraId="005095DB" w14:textId="77777777" w:rsidR="00CD5950" w:rsidRDefault="00CD5950" w:rsidP="00EF1133">
      <w:pPr>
        <w:rPr>
          <w:rFonts w:ascii="Arial Black" w:hAnsi="Arial Black"/>
          <w:b/>
          <w:sz w:val="24"/>
          <w:szCs w:val="24"/>
        </w:rPr>
      </w:pPr>
    </w:p>
    <w:p w14:paraId="6D58EE4E" w14:textId="377283A5" w:rsidR="007F3C7D" w:rsidRDefault="007F3C7D"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3</w:t>
      </w:r>
    </w:p>
    <w:p w14:paraId="37ECCA80" w14:textId="77777777" w:rsidR="007F3C7D" w:rsidRPr="003F7EAE" w:rsidRDefault="007F3C7D" w:rsidP="007F3C7D">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ME: TOWN’S CHARTER REQUIRES EMPLOYEES &amp; VOL. FF TO RESIGN IN ORDER TO RUN FOR ELECTION – FED. JUDGE UPHOLDS</w:t>
      </w:r>
    </w:p>
    <w:p w14:paraId="122156B6" w14:textId="77777777" w:rsidR="007F3C7D" w:rsidRDefault="007F3C7D" w:rsidP="007F3C7D">
      <w:pPr>
        <w:rPr>
          <w:rFonts w:ascii="Times New Roman" w:hAnsi="Times New Roman"/>
          <w:sz w:val="24"/>
          <w:szCs w:val="24"/>
        </w:rPr>
      </w:pPr>
      <w:r>
        <w:rPr>
          <w:rFonts w:ascii="Times New Roman" w:hAnsi="Times New Roman"/>
          <w:sz w:val="24"/>
          <w:szCs w:val="24"/>
        </w:rPr>
        <w:t xml:space="preserve">On Jan. 21, 2021, in </w:t>
      </w:r>
      <w:r w:rsidRPr="00DC7AB1">
        <w:rPr>
          <w:rFonts w:ascii="Times New Roman" w:hAnsi="Times New Roman"/>
          <w:sz w:val="24"/>
          <w:szCs w:val="24"/>
          <w:u w:val="single"/>
        </w:rPr>
        <w:t>Megan Casey</w:t>
      </w:r>
      <w:r>
        <w:rPr>
          <w:rFonts w:ascii="Times New Roman" w:hAnsi="Times New Roman"/>
          <w:sz w:val="24"/>
          <w:szCs w:val="24"/>
          <w:u w:val="single"/>
        </w:rPr>
        <w:t xml:space="preserve">, </w:t>
      </w:r>
      <w:r w:rsidRPr="00DC7AB1">
        <w:rPr>
          <w:rFonts w:ascii="Times New Roman" w:hAnsi="Times New Roman"/>
          <w:sz w:val="24"/>
          <w:szCs w:val="24"/>
          <w:u w:val="single"/>
        </w:rPr>
        <w:t>et al. v. Town of Yarmouth</w:t>
      </w:r>
      <w:r>
        <w:rPr>
          <w:rFonts w:ascii="Times New Roman" w:hAnsi="Times New Roman"/>
          <w:sz w:val="24"/>
          <w:szCs w:val="24"/>
        </w:rPr>
        <w:t xml:space="preserve">, U.S. District Court Judge George Z. Singal, U.S. District Court, District of Maine held that the Town’s Charter Amendment is constitutional based on the “balancing” test in U.S. Supreme Court’s decision in Pickering v. Board of Education, 391 U.S. 563 (1968).  The Charter Amendment was passed by referendum of voters in Nov. 2018, supported by a group calling itself </w:t>
      </w:r>
      <w:r w:rsidRPr="003575D4">
        <w:rPr>
          <w:rFonts w:ascii="Times New Roman" w:hAnsi="Times New Roman"/>
          <w:sz w:val="24"/>
          <w:szCs w:val="24"/>
        </w:rPr>
        <w:t>"Yarmouth Citizens for Responsible Government</w:t>
      </w:r>
      <w:r>
        <w:rPr>
          <w:rFonts w:ascii="Times New Roman" w:hAnsi="Times New Roman"/>
          <w:sz w:val="24"/>
          <w:szCs w:val="24"/>
        </w:rPr>
        <w:t>.,</w:t>
      </w:r>
      <w:r w:rsidRPr="003575D4">
        <w:rPr>
          <w:rFonts w:ascii="Times New Roman" w:hAnsi="Times New Roman"/>
          <w:sz w:val="24"/>
          <w:szCs w:val="24"/>
        </w:rPr>
        <w:t>"</w:t>
      </w:r>
      <w:r>
        <w:rPr>
          <w:rFonts w:ascii="Times New Roman" w:hAnsi="Times New Roman"/>
          <w:sz w:val="24"/>
          <w:szCs w:val="24"/>
        </w:rPr>
        <w:t xml:space="preserve"> seeking to avoid any conflict of interest by prohibiting any Town employee [apparently this includes volunteer firefighters], current teachers from serving on Council.  Judge also held that the volunteer firefighter Mark </w:t>
      </w:r>
      <w:proofErr w:type="spellStart"/>
      <w:r>
        <w:rPr>
          <w:rFonts w:ascii="Times New Roman" w:hAnsi="Times New Roman"/>
          <w:sz w:val="24"/>
          <w:szCs w:val="24"/>
        </w:rPr>
        <w:t>Reinsborough</w:t>
      </w:r>
      <w:proofErr w:type="spellEnd"/>
      <w:r>
        <w:rPr>
          <w:rFonts w:ascii="Times New Roman" w:hAnsi="Times New Roman"/>
          <w:sz w:val="24"/>
          <w:szCs w:val="24"/>
        </w:rPr>
        <w:t xml:space="preserve"> [as well as his wife, and his father, a former volunteer firefighter] lacked “standing” since none expressed a current intent to run for Council. </w:t>
      </w:r>
    </w:p>
    <w:p w14:paraId="24083F2A" w14:textId="77777777" w:rsidR="007F3C7D" w:rsidRPr="00933346" w:rsidRDefault="007F3C7D" w:rsidP="007F3C7D">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“[T]</w:t>
      </w:r>
      <w:r w:rsidRPr="00865711">
        <w:rPr>
          <w:rFonts w:ascii="Times New Roman" w:hAnsi="Times New Roman"/>
          <w:sz w:val="24"/>
          <w:szCs w:val="24"/>
        </w:rPr>
        <w:t xml:space="preserve">he Supreme Court </w:t>
      </w:r>
      <w:r>
        <w:rPr>
          <w:rFonts w:ascii="Times New Roman" w:hAnsi="Times New Roman"/>
          <w:sz w:val="24"/>
          <w:szCs w:val="24"/>
        </w:rPr>
        <w:t xml:space="preserve">in </w:t>
      </w:r>
      <w:r w:rsidRPr="00924AEC">
        <w:rPr>
          <w:rFonts w:ascii="Times New Roman" w:hAnsi="Times New Roman"/>
          <w:sz w:val="24"/>
          <w:szCs w:val="24"/>
          <w:u w:val="single"/>
        </w:rPr>
        <w:t>Pickering</w:t>
      </w:r>
      <w:r>
        <w:rPr>
          <w:rFonts w:ascii="Times New Roman" w:hAnsi="Times New Roman"/>
          <w:sz w:val="24"/>
          <w:szCs w:val="24"/>
        </w:rPr>
        <w:t xml:space="preserve"> ‘</w:t>
      </w:r>
      <w:r w:rsidRPr="00865711">
        <w:rPr>
          <w:rFonts w:ascii="Times New Roman" w:hAnsi="Times New Roman"/>
          <w:sz w:val="24"/>
          <w:szCs w:val="24"/>
        </w:rPr>
        <w:t>declared that citizens do not surrender their First Amendment rights by accepting public employment.</w:t>
      </w:r>
      <w:r>
        <w:rPr>
          <w:rFonts w:ascii="Times New Roman" w:hAnsi="Times New Roman"/>
          <w:sz w:val="24"/>
          <w:szCs w:val="24"/>
        </w:rPr>
        <w:t>’</w:t>
      </w:r>
      <w:r w:rsidRPr="00865711">
        <w:rPr>
          <w:rFonts w:ascii="Times New Roman" w:hAnsi="Times New Roman"/>
          <w:sz w:val="24"/>
          <w:szCs w:val="24"/>
        </w:rPr>
        <w:t xml:space="preserve"> </w:t>
      </w:r>
      <w:r w:rsidRPr="00865711">
        <w:rPr>
          <w:rFonts w:ascii="Times New Roman" w:hAnsi="Times New Roman"/>
          <w:sz w:val="24"/>
          <w:szCs w:val="24"/>
          <w:u w:val="single"/>
        </w:rPr>
        <w:t>Lane v. Franks</w:t>
      </w:r>
      <w:r w:rsidRPr="00865711">
        <w:rPr>
          <w:rFonts w:ascii="Times New Roman" w:hAnsi="Times New Roman"/>
          <w:sz w:val="24"/>
          <w:szCs w:val="24"/>
        </w:rPr>
        <w:t xml:space="preserve">, 573 U.S. 228, 231 (2014) (describing </w:t>
      </w:r>
      <w:r w:rsidRPr="00865711">
        <w:rPr>
          <w:rFonts w:ascii="Times New Roman" w:hAnsi="Times New Roman"/>
          <w:sz w:val="24"/>
          <w:szCs w:val="24"/>
          <w:u w:val="single"/>
        </w:rPr>
        <w:t>Pickering</w:t>
      </w:r>
      <w:r w:rsidRPr="00865711">
        <w:rPr>
          <w:rFonts w:ascii="Times New Roman" w:hAnsi="Times New Roman"/>
          <w:sz w:val="24"/>
          <w:szCs w:val="24"/>
        </w:rPr>
        <w:t>). However, the Court found that it was necessary "</w:t>
      </w:r>
      <w:r>
        <w:rPr>
          <w:rFonts w:ascii="Times New Roman" w:hAnsi="Times New Roman"/>
          <w:sz w:val="24"/>
          <w:szCs w:val="24"/>
        </w:rPr>
        <w:t>t</w:t>
      </w:r>
      <w:r w:rsidRPr="00865711">
        <w:rPr>
          <w:rFonts w:ascii="Times New Roman" w:hAnsi="Times New Roman"/>
          <w:sz w:val="24"/>
          <w:szCs w:val="24"/>
        </w:rPr>
        <w:t xml:space="preserve">o . . . balance between the interests of the [employee], as a citizen, in commenting upon matters of public concern and the interest of the [government], as an employer, in promoting the efficiency of the public services it </w:t>
      </w:r>
      <w:proofErr w:type="gramStart"/>
      <w:r w:rsidRPr="00865711">
        <w:rPr>
          <w:rFonts w:ascii="Times New Roman" w:hAnsi="Times New Roman"/>
          <w:sz w:val="24"/>
          <w:szCs w:val="24"/>
        </w:rPr>
        <w:t>performs</w:t>
      </w:r>
      <w:proofErr w:type="gramEnd"/>
      <w:r w:rsidRPr="00865711">
        <w:rPr>
          <w:rFonts w:ascii="Times New Roman" w:hAnsi="Times New Roman"/>
          <w:sz w:val="24"/>
          <w:szCs w:val="24"/>
        </w:rPr>
        <w:t xml:space="preserve"> through its employees.</w:t>
      </w:r>
      <w:r>
        <w:rPr>
          <w:rFonts w:ascii="Times New Roman" w:hAnsi="Times New Roman"/>
          <w:sz w:val="24"/>
          <w:szCs w:val="24"/>
        </w:rPr>
        <w:t>’</w:t>
      </w:r>
      <w:r w:rsidRPr="00865711">
        <w:rPr>
          <w:rFonts w:ascii="Times New Roman" w:hAnsi="Times New Roman"/>
          <w:sz w:val="24"/>
          <w:szCs w:val="24"/>
        </w:rPr>
        <w:t xml:space="preserve"> </w:t>
      </w:r>
      <w:r w:rsidRPr="00865711">
        <w:rPr>
          <w:rFonts w:ascii="Times New Roman" w:hAnsi="Times New Roman"/>
          <w:sz w:val="24"/>
          <w:szCs w:val="24"/>
          <w:u w:val="single"/>
        </w:rPr>
        <w:t>Pickering</w:t>
      </w:r>
      <w:r w:rsidRPr="00865711">
        <w:rPr>
          <w:rFonts w:ascii="Times New Roman" w:hAnsi="Times New Roman"/>
          <w:sz w:val="24"/>
          <w:szCs w:val="24"/>
        </w:rPr>
        <w:t>, 391 U.S. at 568.</w:t>
      </w:r>
      <w:r>
        <w:rPr>
          <w:rFonts w:ascii="Times New Roman" w:hAnsi="Times New Roman"/>
          <w:sz w:val="24"/>
          <w:szCs w:val="24"/>
        </w:rPr>
        <w:t xml:space="preserve"> </w:t>
      </w:r>
      <w:hyperlink r:id="rId1175" w:history="1">
        <w:r w:rsidRPr="00563FF7">
          <w:rPr>
            <w:rStyle w:val="Hyperlink"/>
            <w:rFonts w:ascii="Times New Roman" w:eastAsia="Times New Roman" w:hAnsi="Times New Roman"/>
            <w:sz w:val="24"/>
            <w:szCs w:val="24"/>
          </w:rPr>
          <w:t>https://public.fastcase.com/Wl%2B2t%2BeVuI35%2FN70vAMFZiwHTxExttVvxvtro3%2Fx3JKRataF5Ade5ddShAB2khcY</w:t>
        </w:r>
      </w:hyperlink>
      <w:r>
        <w:rPr>
          <w:rFonts w:ascii="Times New Roman" w:eastAsia="Times New Roman" w:hAnsi="Times New Roman"/>
          <w:sz w:val="24"/>
          <w:szCs w:val="24"/>
        </w:rPr>
        <w:t xml:space="preserve"> </w:t>
      </w:r>
    </w:p>
    <w:p w14:paraId="26386CB8" w14:textId="77777777" w:rsidR="007F3C7D" w:rsidRDefault="007F3C7D" w:rsidP="007F3C7D">
      <w:pPr>
        <w:rPr>
          <w:rFonts w:ascii="Times New Roman" w:hAnsi="Times New Roman"/>
          <w:b/>
          <w:bCs/>
          <w:sz w:val="24"/>
          <w:szCs w:val="24"/>
        </w:rPr>
      </w:pPr>
      <w:r w:rsidRPr="00590EE6">
        <w:rPr>
          <w:rFonts w:ascii="Times New Roman" w:hAnsi="Times New Roman"/>
          <w:b/>
          <w:bCs/>
          <w:sz w:val="24"/>
          <w:szCs w:val="24"/>
        </w:rPr>
        <w:t>Legal Lesson Learned:</w:t>
      </w:r>
      <w:r>
        <w:rPr>
          <w:rFonts w:ascii="Times New Roman" w:hAnsi="Times New Roman"/>
          <w:b/>
          <w:bCs/>
          <w:sz w:val="24"/>
          <w:szCs w:val="24"/>
        </w:rPr>
        <w:t xml:space="preserve">  In many states, there are statutes prohibiting elected officials from voting on matters that could be a “conflict of interest.”  It is rather unusual to see a Charter that prohibits public employees from also serving on Council. </w:t>
      </w:r>
    </w:p>
    <w:p w14:paraId="5DAF944D" w14:textId="77777777" w:rsidR="007F3C7D" w:rsidRPr="00C745B6" w:rsidRDefault="007F3C7D" w:rsidP="007F3C7D">
      <w:pPr>
        <w:ind w:left="720"/>
        <w:rPr>
          <w:rFonts w:ascii="Times New Roman" w:hAnsi="Times New Roman"/>
          <w:sz w:val="24"/>
          <w:szCs w:val="24"/>
        </w:rPr>
      </w:pPr>
      <w:r w:rsidRPr="008B3CA3">
        <w:rPr>
          <w:rFonts w:ascii="Times New Roman" w:hAnsi="Times New Roman"/>
          <w:sz w:val="24"/>
          <w:szCs w:val="24"/>
        </w:rPr>
        <w:t xml:space="preserve">Note:  </w:t>
      </w:r>
      <w:r w:rsidRPr="00C745B6">
        <w:rPr>
          <w:rFonts w:ascii="Times New Roman" w:hAnsi="Times New Roman"/>
          <w:sz w:val="24"/>
          <w:szCs w:val="24"/>
        </w:rPr>
        <w:t xml:space="preserve">The ACLU of Maine brought this lawsuit, and in their </w:t>
      </w:r>
      <w:r>
        <w:rPr>
          <w:rFonts w:ascii="Times New Roman" w:hAnsi="Times New Roman"/>
          <w:sz w:val="24"/>
          <w:szCs w:val="24"/>
        </w:rPr>
        <w:t xml:space="preserve">Aug. 27, </w:t>
      </w:r>
      <w:proofErr w:type="gramStart"/>
      <w:r>
        <w:rPr>
          <w:rFonts w:ascii="Times New Roman" w:hAnsi="Times New Roman"/>
          <w:sz w:val="24"/>
          <w:szCs w:val="24"/>
        </w:rPr>
        <w:t>2019</w:t>
      </w:r>
      <w:proofErr w:type="gramEnd"/>
      <w:r>
        <w:rPr>
          <w:rFonts w:ascii="Times New Roman" w:hAnsi="Times New Roman"/>
          <w:sz w:val="24"/>
          <w:szCs w:val="24"/>
        </w:rPr>
        <w:t xml:space="preserve"> </w:t>
      </w:r>
      <w:r w:rsidRPr="00C745B6">
        <w:rPr>
          <w:rFonts w:ascii="Times New Roman" w:hAnsi="Times New Roman"/>
          <w:sz w:val="24"/>
          <w:szCs w:val="24"/>
        </w:rPr>
        <w:t xml:space="preserve">Press Release stated: </w:t>
      </w:r>
      <w:r>
        <w:rPr>
          <w:rFonts w:ascii="Times New Roman" w:hAnsi="Times New Roman"/>
          <w:sz w:val="24"/>
          <w:szCs w:val="24"/>
        </w:rPr>
        <w:t>“</w:t>
      </w:r>
      <w:r w:rsidRPr="00C745B6">
        <w:rPr>
          <w:rFonts w:ascii="Times New Roman" w:hAnsi="Times New Roman"/>
          <w:sz w:val="24"/>
          <w:szCs w:val="24"/>
        </w:rPr>
        <w:t xml:space="preserve">Courts have consistently held that restrictions like the one adopted by Yarmouth must serve a substantial public interest, and Maine law even specifically anticipates that </w:t>
      </w:r>
      <w:proofErr w:type="gramStart"/>
      <w:r w:rsidRPr="00C745B6">
        <w:rPr>
          <w:rFonts w:ascii="Times New Roman" w:hAnsi="Times New Roman"/>
          <w:sz w:val="24"/>
          <w:szCs w:val="24"/>
        </w:rPr>
        <w:t>school</w:t>
      </w:r>
      <w:r>
        <w:rPr>
          <w:rFonts w:ascii="Times New Roman" w:hAnsi="Times New Roman"/>
          <w:sz w:val="24"/>
          <w:szCs w:val="24"/>
        </w:rPr>
        <w:t xml:space="preserve"> </w:t>
      </w:r>
      <w:r w:rsidRPr="00C745B6">
        <w:rPr>
          <w:rFonts w:ascii="Times New Roman" w:hAnsi="Times New Roman"/>
          <w:sz w:val="24"/>
          <w:szCs w:val="24"/>
        </w:rPr>
        <w:t>teachers</w:t>
      </w:r>
      <w:proofErr w:type="gramEnd"/>
      <w:r w:rsidRPr="00C745B6">
        <w:rPr>
          <w:rFonts w:ascii="Times New Roman" w:hAnsi="Times New Roman"/>
          <w:sz w:val="24"/>
          <w:szCs w:val="24"/>
        </w:rPr>
        <w:t xml:space="preserve"> can and will serve as municipal officers. In August 2017, the town’s own legal counsel concluded that prohibiting </w:t>
      </w:r>
      <w:r w:rsidRPr="00C745B6">
        <w:rPr>
          <w:rFonts w:ascii="Times New Roman" w:hAnsi="Times New Roman"/>
          <w:sz w:val="24"/>
          <w:szCs w:val="24"/>
        </w:rPr>
        <w:lastRenderedPageBreak/>
        <w:t>town or school employees from serving on the town council could violate their First Amendment rights.</w:t>
      </w:r>
      <w:r>
        <w:rPr>
          <w:rFonts w:ascii="Times New Roman" w:hAnsi="Times New Roman"/>
          <w:sz w:val="24"/>
          <w:szCs w:val="24"/>
        </w:rPr>
        <w:t xml:space="preserve">” </w:t>
      </w:r>
      <w:hyperlink r:id="rId1176" w:history="1">
        <w:r w:rsidRPr="00563FF7">
          <w:rPr>
            <w:rStyle w:val="Hyperlink"/>
            <w:rFonts w:ascii="Times New Roman" w:hAnsi="Times New Roman"/>
            <w:sz w:val="24"/>
            <w:szCs w:val="24"/>
          </w:rPr>
          <w:t>https://www.aclumaine.org/en/press-releases/yarmouth-residents-aclu-challenge-new-restrictions-who-can-run-town-council</w:t>
        </w:r>
      </w:hyperlink>
      <w:r>
        <w:rPr>
          <w:rFonts w:ascii="Times New Roman" w:hAnsi="Times New Roman"/>
          <w:sz w:val="24"/>
          <w:szCs w:val="24"/>
        </w:rPr>
        <w:t xml:space="preserve"> </w:t>
      </w:r>
    </w:p>
    <w:p w14:paraId="33D9366C" w14:textId="77777777" w:rsidR="007F3C7D" w:rsidRPr="008B3CA3" w:rsidRDefault="007F3C7D" w:rsidP="007F3C7D">
      <w:pPr>
        <w:ind w:firstLine="720"/>
        <w:rPr>
          <w:rFonts w:ascii="Times New Roman" w:hAnsi="Times New Roman"/>
          <w:sz w:val="24"/>
          <w:szCs w:val="24"/>
        </w:rPr>
      </w:pPr>
      <w:r>
        <w:rPr>
          <w:rFonts w:ascii="Times New Roman" w:hAnsi="Times New Roman"/>
          <w:sz w:val="24"/>
          <w:szCs w:val="24"/>
        </w:rPr>
        <w:t xml:space="preserve">See:  </w:t>
      </w:r>
      <w:r w:rsidRPr="008B3CA3">
        <w:rPr>
          <w:rFonts w:ascii="Times New Roman" w:hAnsi="Times New Roman"/>
          <w:sz w:val="24"/>
          <w:szCs w:val="24"/>
        </w:rPr>
        <w:t>Ohio Ethics Commission Opinion 91-002 (Aug. 21, 1991)</w:t>
      </w:r>
    </w:p>
    <w:p w14:paraId="2F09AF04" w14:textId="77777777" w:rsidR="007F3C7D" w:rsidRPr="008B3CA3" w:rsidRDefault="007F3C7D" w:rsidP="007F3C7D">
      <w:pPr>
        <w:ind w:left="720"/>
        <w:rPr>
          <w:rFonts w:ascii="Times New Roman" w:hAnsi="Times New Roman"/>
          <w:b/>
          <w:bCs/>
          <w:sz w:val="24"/>
          <w:szCs w:val="24"/>
        </w:rPr>
      </w:pPr>
      <w:r>
        <w:rPr>
          <w:rFonts w:ascii="Times New Roman" w:hAnsi="Times New Roman"/>
          <w:sz w:val="24"/>
          <w:szCs w:val="24"/>
        </w:rPr>
        <w:t>“[T]</w:t>
      </w:r>
      <w:r w:rsidRPr="008B3CA3">
        <w:rPr>
          <w:rFonts w:ascii="Times New Roman" w:hAnsi="Times New Roman"/>
          <w:sz w:val="24"/>
          <w:szCs w:val="24"/>
        </w:rPr>
        <w:t>he Revised Code do not prohibit a city council member from serving as an unpaid volunteer paramedic with the fire department of the city, provided he receives no definite and direct personal pecuniary benefit from such service; and, (3) Division (D) of Section 102.03 of the Revised Code prohibits a city council member who serves as an unpaid volunteer paramedic with the fire department of the city from voting, deliberating, participating in discussions, or otherwise using the authority or influence of his office, either formally or informally, with regard to matters affecting the fire department and its personnel.</w:t>
      </w:r>
      <w:r>
        <w:rPr>
          <w:rFonts w:ascii="Times New Roman" w:hAnsi="Times New Roman"/>
          <w:sz w:val="24"/>
          <w:szCs w:val="24"/>
        </w:rPr>
        <w:t xml:space="preserve">” </w:t>
      </w:r>
      <w:hyperlink r:id="rId1177" w:history="1">
        <w:r w:rsidRPr="00563FF7">
          <w:rPr>
            <w:rStyle w:val="Hyperlink"/>
            <w:rFonts w:ascii="Times New Roman" w:hAnsi="Times New Roman"/>
            <w:sz w:val="24"/>
            <w:szCs w:val="24"/>
          </w:rPr>
          <w:t>https://www.ethics.ohio.gov/advice/opinions/91-002.pdf</w:t>
        </w:r>
      </w:hyperlink>
      <w:r>
        <w:rPr>
          <w:rFonts w:ascii="Times New Roman" w:hAnsi="Times New Roman"/>
          <w:sz w:val="24"/>
          <w:szCs w:val="24"/>
        </w:rPr>
        <w:t xml:space="preserve"> </w:t>
      </w:r>
    </w:p>
    <w:p w14:paraId="24E9A620" w14:textId="3296DFFC" w:rsidR="007F3C7D" w:rsidRDefault="007F3C7D" w:rsidP="00EF1133">
      <w:pPr>
        <w:rPr>
          <w:rFonts w:ascii="Arial Black" w:hAnsi="Arial Black"/>
          <w:b/>
          <w:sz w:val="24"/>
          <w:szCs w:val="24"/>
        </w:rPr>
      </w:pPr>
    </w:p>
    <w:p w14:paraId="611B8F86" w14:textId="77777777" w:rsidR="007F3C7D" w:rsidRDefault="007F3C7D" w:rsidP="00EF1133">
      <w:pPr>
        <w:rPr>
          <w:rFonts w:ascii="Arial Black" w:hAnsi="Arial Black"/>
          <w:b/>
          <w:sz w:val="24"/>
          <w:szCs w:val="24"/>
        </w:rPr>
      </w:pPr>
    </w:p>
    <w:p w14:paraId="2E7813D9" w14:textId="4AC5F615" w:rsidR="007F3C7D" w:rsidRDefault="007F3C7D"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2</w:t>
      </w:r>
    </w:p>
    <w:p w14:paraId="137733F0" w14:textId="77777777" w:rsidR="007F3C7D" w:rsidRPr="00507F4B" w:rsidRDefault="007F3C7D" w:rsidP="007F3C7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PA: PROSTATE CANCER – FF DENIED WORKERS COMP – CANCER IS MORE FROM AGE - NOT GROUP I CARCINOGENS</w:t>
      </w:r>
    </w:p>
    <w:p w14:paraId="5F10369B" w14:textId="77777777" w:rsidR="007F3C7D" w:rsidRDefault="007F3C7D" w:rsidP="007F3C7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Jan. 6, 2021, in </w:t>
      </w:r>
      <w:r w:rsidRPr="003A1FC5">
        <w:rPr>
          <w:rFonts w:ascii="Times New Roman" w:eastAsia="Times New Roman" w:hAnsi="Times New Roman"/>
          <w:sz w:val="24"/>
          <w:szCs w:val="24"/>
          <w:u w:val="single"/>
        </w:rPr>
        <w:t>Michael Malone v. Workers’ Compensation Appeal Board (City of Philadelphia)</w:t>
      </w:r>
      <w:r>
        <w:rPr>
          <w:rFonts w:ascii="Times New Roman" w:eastAsia="Times New Roman" w:hAnsi="Times New Roman"/>
          <w:sz w:val="24"/>
          <w:szCs w:val="24"/>
        </w:rPr>
        <w:t xml:space="preserve">, the Commonwealth Court of Pennsylvania held (3 to 0; unreported decision) that the finding by the Workers Compensation Judge that the firefighters’ expert witness failed to show that </w:t>
      </w:r>
      <w:r w:rsidRPr="00D5248C">
        <w:rPr>
          <w:rFonts w:ascii="Times New Roman" w:eastAsia="Times New Roman" w:hAnsi="Times New Roman"/>
          <w:sz w:val="24"/>
          <w:szCs w:val="24"/>
        </w:rPr>
        <w:t>prostate cancer is caused by Group 1 carcinogens.</w:t>
      </w:r>
      <w:r>
        <w:rPr>
          <w:rFonts w:ascii="Times New Roman" w:eastAsia="Times New Roman" w:hAnsi="Times New Roman"/>
          <w:sz w:val="24"/>
          <w:szCs w:val="24"/>
        </w:rPr>
        <w:t xml:space="preserve"> In 2011, the State enacted a statutory presumption for firefighter cancer, but firefighters must still introduce evidence that the firefighter’s particular cancer [prostate cancer] is caused by the job.  </w:t>
      </w:r>
    </w:p>
    <w:p w14:paraId="3C335A22" w14:textId="77777777" w:rsidR="007F3C7D" w:rsidRDefault="007F3C7D" w:rsidP="007F3C7D">
      <w:pPr>
        <w:spacing w:before="100" w:beforeAutospacing="1" w:after="100" w:afterAutospacing="1" w:line="240" w:lineRule="auto"/>
        <w:ind w:left="720"/>
        <w:rPr>
          <w:rFonts w:ascii="Times New Roman" w:hAnsi="Times New Roman"/>
          <w:sz w:val="24"/>
          <w:szCs w:val="24"/>
        </w:rPr>
      </w:pPr>
      <w:r w:rsidRPr="008E2249">
        <w:rPr>
          <w:rFonts w:ascii="Times New Roman" w:eastAsia="Times New Roman" w:hAnsi="Times New Roman"/>
          <w:sz w:val="24"/>
          <w:szCs w:val="24"/>
        </w:rPr>
        <w:t>“</w:t>
      </w:r>
      <w:r w:rsidRPr="008E2249">
        <w:rPr>
          <w:rFonts w:ascii="Times New Roman" w:hAnsi="Times New Roman"/>
          <w:sz w:val="24"/>
          <w:szCs w:val="24"/>
        </w:rPr>
        <w:t xml:space="preserve">In the March 2, </w:t>
      </w:r>
      <w:proofErr w:type="gramStart"/>
      <w:r w:rsidRPr="008E2249">
        <w:rPr>
          <w:rFonts w:ascii="Times New Roman" w:hAnsi="Times New Roman"/>
          <w:sz w:val="24"/>
          <w:szCs w:val="24"/>
        </w:rPr>
        <w:t>2018</w:t>
      </w:r>
      <w:proofErr w:type="gramEnd"/>
      <w:r w:rsidRPr="008E2249">
        <w:rPr>
          <w:rFonts w:ascii="Times New Roman" w:hAnsi="Times New Roman"/>
          <w:sz w:val="24"/>
          <w:szCs w:val="24"/>
        </w:rPr>
        <w:t xml:space="preserve"> Decision, the WCJ found that Claimant did not establish that his prostate cancer was caused by his work as a firefighter and denied the Claim Petition. In doing so, the WCJ found Claimant's testimony wholly credible, noting that Employer did not dispute Claimant's description of his firefighting duties and experiences, presumably including the exposure to smoke and diesel exhaust of which Claimant testified. (Mar. 2, </w:t>
      </w:r>
      <w:proofErr w:type="gramStart"/>
      <w:r w:rsidRPr="008E2249">
        <w:rPr>
          <w:rFonts w:ascii="Times New Roman" w:hAnsi="Times New Roman"/>
          <w:sz w:val="24"/>
          <w:szCs w:val="24"/>
        </w:rPr>
        <w:t>2018</w:t>
      </w:r>
      <w:proofErr w:type="gramEnd"/>
      <w:r w:rsidRPr="008E2249">
        <w:rPr>
          <w:rFonts w:ascii="Times New Roman" w:hAnsi="Times New Roman"/>
          <w:sz w:val="24"/>
          <w:szCs w:val="24"/>
        </w:rPr>
        <w:t xml:space="preserve"> WCJ Decision, FOF ¶ 8.) Concerning the medical testimony, the WCJ found that Claimant's evidence did not establish that any IARC Group 1 carcinogens are known to cause prostate cancer.</w:t>
      </w:r>
    </w:p>
    <w:p w14:paraId="1915B14E" w14:textId="77777777" w:rsidR="007F3C7D" w:rsidRPr="008E2249" w:rsidRDefault="007F3C7D" w:rsidP="007F3C7D">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703FC6D7" w14:textId="77777777" w:rsidR="007F3C7D" w:rsidRPr="003A1FC5" w:rsidRDefault="007F3C7D" w:rsidP="007F3C7D">
      <w:pPr>
        <w:spacing w:before="100" w:beforeAutospacing="1" w:after="100" w:afterAutospacing="1" w:line="240" w:lineRule="auto"/>
        <w:ind w:left="720"/>
        <w:rPr>
          <w:rFonts w:ascii="Times New Roman" w:hAnsi="Times New Roman"/>
          <w:sz w:val="24"/>
          <w:szCs w:val="24"/>
        </w:rPr>
      </w:pPr>
      <w:r w:rsidRPr="003A1FC5">
        <w:rPr>
          <w:rFonts w:ascii="Times New Roman" w:hAnsi="Times New Roman"/>
          <w:sz w:val="24"/>
          <w:szCs w:val="24"/>
        </w:rPr>
        <w:t xml:space="preserve">As we have discussed, </w:t>
      </w:r>
      <w:proofErr w:type="gramStart"/>
      <w:r w:rsidRPr="003A1FC5">
        <w:rPr>
          <w:rFonts w:ascii="Times New Roman" w:hAnsi="Times New Roman"/>
          <w:sz w:val="24"/>
          <w:szCs w:val="24"/>
        </w:rPr>
        <w:t>the WCJ's</w:t>
      </w:r>
      <w:proofErr w:type="gramEnd"/>
      <w:r w:rsidRPr="003A1FC5">
        <w:rPr>
          <w:rFonts w:ascii="Times New Roman" w:hAnsi="Times New Roman"/>
          <w:sz w:val="24"/>
          <w:szCs w:val="24"/>
        </w:rPr>
        <w:t xml:space="preserve"> decision not to credit Dr. Singer's testimony was an exercise of discretion accompanied by a reasoned explanation, and it must, therefore, stand. We conclude that Claimant has not met his initial burden of demonstrating general causation under Section 108(r) of the Act, and he has not established that his cancer is an occupational disease under that </w:t>
      </w:r>
      <w:proofErr w:type="gramStart"/>
      <w:r w:rsidRPr="003A1FC5">
        <w:rPr>
          <w:rFonts w:ascii="Times New Roman" w:hAnsi="Times New Roman"/>
          <w:sz w:val="24"/>
          <w:szCs w:val="24"/>
        </w:rPr>
        <w:t>section.</w:t>
      </w:r>
      <w:r>
        <w:rPr>
          <w:rFonts w:ascii="Times New Roman" w:hAnsi="Times New Roman"/>
          <w:sz w:val="24"/>
          <w:szCs w:val="24"/>
        </w:rPr>
        <w:t>”</w:t>
      </w:r>
      <w:proofErr w:type="gramEnd"/>
      <w:r>
        <w:rPr>
          <w:rFonts w:ascii="Times New Roman" w:hAnsi="Times New Roman"/>
          <w:sz w:val="24"/>
          <w:szCs w:val="24"/>
        </w:rPr>
        <w:t xml:space="preserve"> </w:t>
      </w:r>
      <w:hyperlink r:id="rId1178" w:history="1">
        <w:r w:rsidRPr="00FA40FF">
          <w:rPr>
            <w:rStyle w:val="Hyperlink"/>
            <w:rFonts w:ascii="Times New Roman" w:hAnsi="Times New Roman"/>
            <w:sz w:val="24"/>
            <w:szCs w:val="24"/>
          </w:rPr>
          <w:t>https://casetext.com/case/malone-v-workers-comp-appeal-bd</w:t>
        </w:r>
      </w:hyperlink>
      <w:r>
        <w:rPr>
          <w:rFonts w:ascii="Times New Roman" w:hAnsi="Times New Roman"/>
          <w:sz w:val="24"/>
          <w:szCs w:val="24"/>
        </w:rPr>
        <w:t xml:space="preserve"> </w:t>
      </w:r>
    </w:p>
    <w:p w14:paraId="69BAD818" w14:textId="77777777" w:rsidR="007F3C7D" w:rsidRDefault="007F3C7D" w:rsidP="007F3C7D">
      <w:pPr>
        <w:rPr>
          <w:rFonts w:ascii="Times New Roman" w:hAnsi="Times New Roman"/>
          <w:b/>
          <w:bCs/>
          <w:sz w:val="24"/>
          <w:szCs w:val="24"/>
        </w:rPr>
      </w:pPr>
      <w:r w:rsidRPr="008E2249">
        <w:rPr>
          <w:rFonts w:ascii="Times New Roman" w:hAnsi="Times New Roman"/>
          <w:b/>
          <w:bCs/>
          <w:sz w:val="24"/>
          <w:szCs w:val="24"/>
        </w:rPr>
        <w:t>Legal Lesson Learned:</w:t>
      </w:r>
      <w:r>
        <w:rPr>
          <w:rFonts w:ascii="Times New Roman" w:hAnsi="Times New Roman"/>
          <w:b/>
          <w:bCs/>
          <w:sz w:val="24"/>
          <w:szCs w:val="24"/>
        </w:rPr>
        <w:t xml:space="preserve"> Even though PA has a statutory presumption, the firefighter must still present expert testimony connecting his </w:t>
      </w:r>
      <w:proofErr w:type="gramStart"/>
      <w:r>
        <w:rPr>
          <w:rFonts w:ascii="Times New Roman" w:hAnsi="Times New Roman"/>
          <w:b/>
          <w:bCs/>
          <w:sz w:val="24"/>
          <w:szCs w:val="24"/>
        </w:rPr>
        <w:t>particular cancer</w:t>
      </w:r>
      <w:proofErr w:type="gramEnd"/>
      <w:r>
        <w:rPr>
          <w:rFonts w:ascii="Times New Roman" w:hAnsi="Times New Roman"/>
          <w:b/>
          <w:bCs/>
          <w:sz w:val="24"/>
          <w:szCs w:val="24"/>
        </w:rPr>
        <w:t xml:space="preserve"> with occupational exposures.  </w:t>
      </w:r>
    </w:p>
    <w:p w14:paraId="4000FA71" w14:textId="77777777" w:rsidR="007F3C7D" w:rsidRPr="008E2249" w:rsidRDefault="007F3C7D" w:rsidP="007F3C7D">
      <w:pPr>
        <w:ind w:left="720"/>
        <w:rPr>
          <w:rFonts w:ascii="Times New Roman" w:hAnsi="Times New Roman"/>
          <w:sz w:val="24"/>
          <w:szCs w:val="24"/>
        </w:rPr>
      </w:pPr>
      <w:r w:rsidRPr="005344DB">
        <w:rPr>
          <w:rFonts w:ascii="Times New Roman" w:hAnsi="Times New Roman"/>
          <w:sz w:val="24"/>
          <w:szCs w:val="24"/>
        </w:rPr>
        <w:lastRenderedPageBreak/>
        <w:t>Note:</w:t>
      </w:r>
      <w:r>
        <w:rPr>
          <w:rFonts w:ascii="Times New Roman" w:hAnsi="Times New Roman"/>
          <w:b/>
          <w:bCs/>
          <w:sz w:val="24"/>
          <w:szCs w:val="24"/>
        </w:rPr>
        <w:t xml:space="preserve"> </w:t>
      </w:r>
      <w:r w:rsidRPr="008E2249">
        <w:rPr>
          <w:rFonts w:ascii="Times New Roman" w:hAnsi="Times New Roman"/>
          <w:sz w:val="24"/>
          <w:szCs w:val="24"/>
        </w:rPr>
        <w:t>PA Supreme Court explained in another case involving malignant melanoma</w:t>
      </w:r>
      <w:r>
        <w:rPr>
          <w:rFonts w:ascii="Times New Roman" w:hAnsi="Times New Roman"/>
          <w:sz w:val="24"/>
          <w:szCs w:val="24"/>
        </w:rPr>
        <w:t xml:space="preserve"> where workers comp was granted. </w:t>
      </w:r>
      <w:r w:rsidRPr="008E2249">
        <w:rPr>
          <w:rFonts w:ascii="Times New Roman" w:hAnsi="Times New Roman"/>
          <w:sz w:val="24"/>
          <w:szCs w:val="24"/>
        </w:rPr>
        <w:t xml:space="preserve">"In other words, the claimant must produce evidence that it is </w:t>
      </w:r>
      <w:r w:rsidRPr="008E2249">
        <w:rPr>
          <w:rFonts w:ascii="Times New Roman" w:hAnsi="Times New Roman"/>
          <w:b/>
          <w:bCs/>
          <w:sz w:val="24"/>
          <w:szCs w:val="24"/>
        </w:rPr>
        <w:t>possible</w:t>
      </w:r>
      <w:r w:rsidRPr="008E2249">
        <w:rPr>
          <w:rFonts w:ascii="Times New Roman" w:hAnsi="Times New Roman"/>
          <w:sz w:val="24"/>
          <w:szCs w:val="24"/>
        </w:rPr>
        <w:t xml:space="preserve"> that the carcinogen in question caused the type of cancer with which the claimant is afflicted."</w:t>
      </w:r>
      <w:r>
        <w:rPr>
          <w:rFonts w:ascii="Times New Roman" w:hAnsi="Times New Roman"/>
          <w:sz w:val="24"/>
          <w:szCs w:val="24"/>
        </w:rPr>
        <w:t xml:space="preserve"> </w:t>
      </w:r>
      <w:r w:rsidRPr="008E2249">
        <w:rPr>
          <w:rFonts w:ascii="Times New Roman" w:hAnsi="Times New Roman"/>
          <w:sz w:val="24"/>
          <w:szCs w:val="24"/>
        </w:rPr>
        <w:t xml:space="preserve">See City of Phila. Fire </w:t>
      </w:r>
      <w:proofErr w:type="spellStart"/>
      <w:r w:rsidRPr="008E2249">
        <w:rPr>
          <w:rFonts w:ascii="Times New Roman" w:hAnsi="Times New Roman"/>
          <w:sz w:val="24"/>
          <w:szCs w:val="24"/>
        </w:rPr>
        <w:t>Dep't</w:t>
      </w:r>
      <w:proofErr w:type="spellEnd"/>
      <w:r w:rsidRPr="008E2249">
        <w:rPr>
          <w:rFonts w:ascii="Times New Roman" w:hAnsi="Times New Roman"/>
          <w:sz w:val="24"/>
          <w:szCs w:val="24"/>
        </w:rPr>
        <w:t xml:space="preserve"> v. Workers' Comp. Appeal Bd. (Sladek), 195 A.3d 197 (Pa. 2018) (Sladek II).</w:t>
      </w:r>
    </w:p>
    <w:p w14:paraId="0094A635" w14:textId="77777777" w:rsidR="007F3C7D" w:rsidRDefault="007F3C7D" w:rsidP="007F3C7D">
      <w:pPr>
        <w:ind w:left="720"/>
        <w:rPr>
          <w:rFonts w:ascii="Times New Roman" w:hAnsi="Times New Roman"/>
          <w:sz w:val="24"/>
          <w:szCs w:val="24"/>
        </w:rPr>
      </w:pPr>
      <w:r>
        <w:rPr>
          <w:rFonts w:ascii="Times New Roman" w:hAnsi="Times New Roman"/>
          <w:sz w:val="24"/>
          <w:szCs w:val="24"/>
        </w:rPr>
        <w:t>See PA Statutory Presumption:</w:t>
      </w:r>
    </w:p>
    <w:p w14:paraId="61B8FAF8" w14:textId="77777777" w:rsidR="007F3C7D" w:rsidRPr="00507F4B" w:rsidRDefault="007F3C7D" w:rsidP="007F3C7D">
      <w:pPr>
        <w:ind w:left="1440" w:firstLine="60"/>
        <w:rPr>
          <w:rFonts w:ascii="Times New Roman" w:eastAsia="Times New Roman" w:hAnsi="Times New Roman"/>
          <w:sz w:val="24"/>
          <w:szCs w:val="24"/>
        </w:rPr>
      </w:pPr>
      <w:r w:rsidRPr="00507F4B">
        <w:rPr>
          <w:rFonts w:ascii="Times New Roman" w:eastAsia="Times New Roman" w:hAnsi="Times New Roman"/>
          <w:sz w:val="24"/>
          <w:szCs w:val="24"/>
        </w:rPr>
        <w:t>Section 301(f) was added to the Act by Section 2 of the Act of July 7, 2011, P.L. 251, and provides, in pertinent part, as follows:</w:t>
      </w:r>
    </w:p>
    <w:p w14:paraId="1080F362" w14:textId="77777777" w:rsidR="007F3C7D" w:rsidRPr="00507F4B" w:rsidRDefault="007F3C7D" w:rsidP="007F3C7D">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507F4B">
        <w:rPr>
          <w:rFonts w:ascii="Times New Roman" w:eastAsia="Times New Roman" w:hAnsi="Times New Roman"/>
          <w:sz w:val="24"/>
          <w:szCs w:val="24"/>
        </w:rPr>
        <w:t>Compensation pursuant to cancer suffered by a firefighter shall only be to those firefighters who have served four or more years in continuous firefighting duties, who can establish direct exposure to a carcinogen referred to in section 108(r) relating to cancer by a firefighter and have successfully passed a physical examination prior to asserting a claim under this subsection or prior to engaging in firefighting duties and the examination failed to reveal any evidence of the condition of cancer. The presumption of this subsection may be rebutted by substantial competent evidence that shows that the firefighter's cancer was not caused by the occupation of firefighting. . . .</w:t>
      </w:r>
      <w:r>
        <w:rPr>
          <w:rFonts w:ascii="Times New Roman" w:eastAsia="Times New Roman" w:hAnsi="Times New Roman"/>
          <w:sz w:val="24"/>
          <w:szCs w:val="24"/>
        </w:rPr>
        <w:t xml:space="preserve"> </w:t>
      </w:r>
      <w:r w:rsidRPr="00507F4B">
        <w:rPr>
          <w:rFonts w:ascii="Times New Roman" w:eastAsia="Times New Roman" w:hAnsi="Times New Roman"/>
          <w:sz w:val="24"/>
          <w:szCs w:val="24"/>
        </w:rPr>
        <w:t>The presumption provided for under this subsection shall only apply to claims made within the first three hundred weeks [after the last date of employment in an occupation or industry to which a claimant was exposed to the hazards of disease].</w:t>
      </w:r>
      <w:r>
        <w:rPr>
          <w:rFonts w:ascii="Times New Roman" w:eastAsia="Times New Roman" w:hAnsi="Times New Roman"/>
          <w:sz w:val="24"/>
          <w:szCs w:val="24"/>
        </w:rPr>
        <w:t>”</w:t>
      </w:r>
    </w:p>
    <w:p w14:paraId="04E3D4AC" w14:textId="77777777" w:rsidR="007F3C7D" w:rsidRDefault="007F3C7D" w:rsidP="00EF1133">
      <w:pPr>
        <w:rPr>
          <w:rFonts w:ascii="Arial Black" w:hAnsi="Arial Black"/>
          <w:b/>
          <w:sz w:val="24"/>
          <w:szCs w:val="24"/>
        </w:rPr>
      </w:pPr>
    </w:p>
    <w:p w14:paraId="40B27EAF" w14:textId="31BFCF26" w:rsidR="007F3C7D" w:rsidRDefault="007F3C7D"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1</w:t>
      </w:r>
    </w:p>
    <w:p w14:paraId="676DF236" w14:textId="77777777" w:rsidR="007F3C7D" w:rsidRPr="00A8166B" w:rsidRDefault="007F3C7D" w:rsidP="007F3C7D">
      <w:pPr>
        <w:spacing w:before="100" w:beforeAutospacing="1" w:after="100" w:afterAutospacing="1" w:line="240" w:lineRule="auto"/>
        <w:rPr>
          <w:rFonts w:ascii="Arial Black" w:hAnsi="Arial Black"/>
          <w:sz w:val="28"/>
          <w:szCs w:val="28"/>
        </w:rPr>
      </w:pPr>
      <w:r>
        <w:rPr>
          <w:rFonts w:ascii="Arial Black" w:hAnsi="Arial Black"/>
          <w:sz w:val="28"/>
          <w:szCs w:val="28"/>
        </w:rPr>
        <w:t>NY: APPLICANT TO FDNY – 5 POINTS “RESIDENCY CREDITS” – AMENDED TAX RETURN INSUFFICIENT PROOF RESIDENCY</w:t>
      </w:r>
    </w:p>
    <w:p w14:paraId="3F269E95" w14:textId="5AEB727F" w:rsidR="007F3C7D" w:rsidRDefault="007F3C7D" w:rsidP="007F3C7D">
      <w:pPr>
        <w:spacing w:before="100" w:beforeAutospacing="1" w:after="100" w:afterAutospacing="1" w:line="240" w:lineRule="auto"/>
        <w:rPr>
          <w:rFonts w:ascii="Times New Roman" w:hAnsi="Times New Roman"/>
          <w:sz w:val="24"/>
          <w:szCs w:val="24"/>
        </w:rPr>
      </w:pPr>
      <w:r w:rsidRPr="00A8166B">
        <w:rPr>
          <w:rFonts w:ascii="Times New Roman" w:hAnsi="Times New Roman"/>
          <w:sz w:val="24"/>
          <w:szCs w:val="24"/>
        </w:rPr>
        <w:t xml:space="preserve">On </w:t>
      </w:r>
      <w:r>
        <w:rPr>
          <w:rFonts w:ascii="Times New Roman" w:hAnsi="Times New Roman"/>
          <w:sz w:val="24"/>
          <w:szCs w:val="24"/>
        </w:rPr>
        <w:t xml:space="preserve">Dec. 28, 2020, </w:t>
      </w:r>
      <w:r w:rsidRPr="00A8166B">
        <w:rPr>
          <w:rFonts w:ascii="Times New Roman" w:hAnsi="Times New Roman"/>
          <w:sz w:val="24"/>
          <w:szCs w:val="24"/>
        </w:rPr>
        <w:t xml:space="preserve">in </w:t>
      </w:r>
      <w:r w:rsidRPr="00A8166B">
        <w:rPr>
          <w:rFonts w:ascii="Times New Roman" w:hAnsi="Times New Roman"/>
          <w:sz w:val="24"/>
          <w:szCs w:val="24"/>
          <w:u w:val="single"/>
        </w:rPr>
        <w:t>John P. Atwell v. New Your City Fire Department, et al</w:t>
      </w:r>
      <w:r>
        <w:rPr>
          <w:rFonts w:ascii="Times New Roman" w:hAnsi="Times New Roman"/>
          <w:sz w:val="24"/>
          <w:szCs w:val="24"/>
        </w:rPr>
        <w:t xml:space="preserve">., Justice Carol E. Edmead, Supreme Court of the State of New York (New York County), </w:t>
      </w:r>
      <w:r w:rsidRPr="001B0200">
        <w:rPr>
          <w:rFonts w:ascii="Times New Roman" w:hAnsi="Times New Roman"/>
          <w:sz w:val="24"/>
          <w:szCs w:val="24"/>
        </w:rPr>
        <w:t>2020 NY Slip Op 34353(U)</w:t>
      </w:r>
      <w:r>
        <w:rPr>
          <w:rFonts w:ascii="Times New Roman" w:hAnsi="Times New Roman"/>
          <w:sz w:val="24"/>
          <w:szCs w:val="24"/>
        </w:rPr>
        <w:t xml:space="preserve">, dismissed the applicant’s petition to overturn the decision of the FD’s Candidate Investigation Division (CID); the Notice Of Examination Notice advised applicants that amended tax returns are not sufficient proof of residency in the city.  His score on the </w:t>
      </w:r>
      <w:proofErr w:type="gramStart"/>
      <w:r>
        <w:rPr>
          <w:rFonts w:ascii="Times New Roman" w:hAnsi="Times New Roman"/>
          <w:sz w:val="24"/>
          <w:szCs w:val="24"/>
        </w:rPr>
        <w:t>Computer</w:t>
      </w:r>
      <w:proofErr w:type="gramEnd"/>
      <w:r>
        <w:rPr>
          <w:rFonts w:ascii="Times New Roman" w:hAnsi="Times New Roman"/>
          <w:sz w:val="24"/>
          <w:szCs w:val="24"/>
        </w:rPr>
        <w:t xml:space="preserve">-Based Test of 99, without the 5 extra residency points, moved him on the hiring list from 552 to 5594.  </w:t>
      </w:r>
    </w:p>
    <w:p w14:paraId="479E9611" w14:textId="77777777" w:rsidR="007F3C7D" w:rsidRPr="001B0200" w:rsidRDefault="007F3C7D" w:rsidP="007F3C7D">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1B0200">
        <w:rPr>
          <w:rFonts w:ascii="Times New Roman" w:hAnsi="Times New Roman"/>
          <w:sz w:val="24"/>
          <w:szCs w:val="24"/>
        </w:rPr>
        <w:t xml:space="preserve">Here, there was plainly a </w:t>
      </w:r>
      <w:r>
        <w:rPr>
          <w:rFonts w:ascii="Times New Roman" w:hAnsi="Times New Roman"/>
          <w:sz w:val="24"/>
          <w:szCs w:val="24"/>
        </w:rPr>
        <w:t>‘</w:t>
      </w:r>
      <w:r w:rsidRPr="001B0200">
        <w:rPr>
          <w:rFonts w:ascii="Times New Roman" w:hAnsi="Times New Roman"/>
          <w:sz w:val="24"/>
          <w:szCs w:val="24"/>
        </w:rPr>
        <w:t xml:space="preserve">rational </w:t>
      </w:r>
      <w:proofErr w:type="spellStart"/>
      <w:r w:rsidRPr="001B0200">
        <w:rPr>
          <w:rFonts w:ascii="Times New Roman" w:hAnsi="Times New Roman"/>
          <w:sz w:val="24"/>
          <w:szCs w:val="24"/>
        </w:rPr>
        <w:t>basis</w:t>
      </w:r>
      <w:r>
        <w:rPr>
          <w:rFonts w:ascii="Times New Roman" w:hAnsi="Times New Roman"/>
          <w:sz w:val="24"/>
          <w:szCs w:val="24"/>
        </w:rPr>
        <w:t>’</w:t>
      </w:r>
      <w:proofErr w:type="spellEnd"/>
      <w:r>
        <w:rPr>
          <w:rFonts w:ascii="Times New Roman" w:hAnsi="Times New Roman"/>
          <w:sz w:val="24"/>
          <w:szCs w:val="24"/>
        </w:rPr>
        <w:t xml:space="preserve"> </w:t>
      </w:r>
      <w:r w:rsidRPr="001B0200">
        <w:rPr>
          <w:rFonts w:ascii="Times New Roman" w:hAnsi="Times New Roman"/>
          <w:sz w:val="24"/>
          <w:szCs w:val="24"/>
        </w:rPr>
        <w:t xml:space="preserve">for the CID's decision to deny Atwell's application for a residency credit, since the evidence in the administrative record regarding Atwell's alleged NYC residency only included his amended tax return. As noted earlier, the rules set forth in the NOA </w:t>
      </w:r>
      <w:r>
        <w:rPr>
          <w:rFonts w:ascii="Times New Roman" w:hAnsi="Times New Roman"/>
          <w:sz w:val="24"/>
          <w:szCs w:val="24"/>
        </w:rPr>
        <w:t xml:space="preserve">[Notice </w:t>
      </w:r>
      <w:proofErr w:type="gramStart"/>
      <w:r>
        <w:rPr>
          <w:rFonts w:ascii="Times New Roman" w:hAnsi="Times New Roman"/>
          <w:sz w:val="24"/>
          <w:szCs w:val="24"/>
        </w:rPr>
        <w:t>Of</w:t>
      </w:r>
      <w:proofErr w:type="gramEnd"/>
      <w:r>
        <w:rPr>
          <w:rFonts w:ascii="Times New Roman" w:hAnsi="Times New Roman"/>
          <w:sz w:val="24"/>
          <w:szCs w:val="24"/>
        </w:rPr>
        <w:t xml:space="preserve"> Examination] </w:t>
      </w:r>
      <w:r w:rsidRPr="001B0200">
        <w:rPr>
          <w:rFonts w:ascii="Times New Roman" w:hAnsi="Times New Roman"/>
          <w:sz w:val="24"/>
          <w:szCs w:val="24"/>
        </w:rPr>
        <w:t xml:space="preserve">plainly provided that the FDNY would not consider amended tax returns as proof of residency. </w:t>
      </w:r>
      <w:r w:rsidRPr="001B0200">
        <w:rPr>
          <w:rFonts w:ascii="Times New Roman" w:hAnsi="Times New Roman"/>
          <w:i/>
          <w:iCs/>
          <w:sz w:val="24"/>
          <w:szCs w:val="24"/>
        </w:rPr>
        <w:t>See</w:t>
      </w:r>
      <w:r w:rsidRPr="001B0200">
        <w:rPr>
          <w:rFonts w:ascii="Times New Roman" w:hAnsi="Times New Roman"/>
          <w:sz w:val="24"/>
          <w:szCs w:val="24"/>
        </w:rPr>
        <w:t xml:space="preserve"> verified answer, exhibit 1. Therefore, the court concludes that the CID's decision to deny Atwell's application for </w:t>
      </w:r>
      <w:proofErr w:type="gramStart"/>
      <w:r w:rsidRPr="001B0200">
        <w:rPr>
          <w:rFonts w:ascii="Times New Roman" w:hAnsi="Times New Roman"/>
          <w:sz w:val="24"/>
          <w:szCs w:val="24"/>
        </w:rPr>
        <w:t>a residency</w:t>
      </w:r>
      <w:proofErr w:type="gramEnd"/>
      <w:r w:rsidRPr="001B0200">
        <w:rPr>
          <w:rFonts w:ascii="Times New Roman" w:hAnsi="Times New Roman"/>
          <w:sz w:val="24"/>
          <w:szCs w:val="24"/>
        </w:rPr>
        <w:t xml:space="preserve"> credit on his FDNY examination was not arbitrary and capricious. For </w:t>
      </w:r>
      <w:proofErr w:type="gramStart"/>
      <w:r w:rsidRPr="001B0200">
        <w:rPr>
          <w:rFonts w:ascii="Times New Roman" w:hAnsi="Times New Roman"/>
          <w:sz w:val="24"/>
          <w:szCs w:val="24"/>
        </w:rPr>
        <w:t>all of</w:t>
      </w:r>
      <w:proofErr w:type="gramEnd"/>
      <w:r w:rsidRPr="001B0200">
        <w:rPr>
          <w:rFonts w:ascii="Times New Roman" w:hAnsi="Times New Roman"/>
          <w:sz w:val="24"/>
          <w:szCs w:val="24"/>
        </w:rPr>
        <w:t xml:space="preserve"> the foregoing reasons, the court denies so much of Atwell's Article 78 petition as pertained to the FDNY's denial decision.</w:t>
      </w:r>
      <w:r>
        <w:rPr>
          <w:rFonts w:ascii="Times New Roman" w:hAnsi="Times New Roman"/>
          <w:sz w:val="24"/>
          <w:szCs w:val="24"/>
        </w:rPr>
        <w:t xml:space="preserve">” </w:t>
      </w:r>
      <w:hyperlink r:id="rId1179" w:history="1">
        <w:r w:rsidRPr="002F4AC3">
          <w:rPr>
            <w:rStyle w:val="Hyperlink"/>
            <w:rFonts w:ascii="Times New Roman" w:hAnsi="Times New Roman"/>
            <w:sz w:val="24"/>
            <w:szCs w:val="24"/>
          </w:rPr>
          <w:t>https://law.justia.com/cases/new-york/other-courts/2020/2020-ny-slip-op-34353-u.html</w:t>
        </w:r>
      </w:hyperlink>
      <w:r>
        <w:rPr>
          <w:rFonts w:ascii="Times New Roman" w:hAnsi="Times New Roman"/>
          <w:sz w:val="24"/>
          <w:szCs w:val="24"/>
        </w:rPr>
        <w:t xml:space="preserve"> </w:t>
      </w:r>
    </w:p>
    <w:p w14:paraId="78A5FFC9" w14:textId="77777777" w:rsidR="007F3C7D" w:rsidRPr="00B34D05" w:rsidRDefault="007F3C7D" w:rsidP="007F3C7D">
      <w:pPr>
        <w:spacing w:before="100" w:beforeAutospacing="1" w:after="100" w:afterAutospacing="1" w:line="240" w:lineRule="auto"/>
        <w:rPr>
          <w:rFonts w:ascii="Times New Roman" w:eastAsia="Times New Roman" w:hAnsi="Times New Roman"/>
          <w:b/>
          <w:bCs/>
          <w:sz w:val="24"/>
          <w:szCs w:val="24"/>
        </w:rPr>
      </w:pPr>
      <w:r w:rsidRPr="00B34D05">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Applicants need to read and follow the Notice of Examination; if he had “alternate proof of residency” he should have submitted it at the time of the exam. </w:t>
      </w:r>
    </w:p>
    <w:p w14:paraId="30001FBB" w14:textId="77777777" w:rsidR="007F3C7D" w:rsidRDefault="007F3C7D" w:rsidP="00EF1133">
      <w:pPr>
        <w:rPr>
          <w:rFonts w:ascii="Arial Black" w:hAnsi="Arial Black"/>
          <w:b/>
          <w:sz w:val="24"/>
          <w:szCs w:val="24"/>
        </w:rPr>
      </w:pPr>
    </w:p>
    <w:p w14:paraId="6A24C010" w14:textId="5F03AD6D" w:rsidR="005E132A" w:rsidRDefault="005E132A" w:rsidP="00EF1133">
      <w:pPr>
        <w:rPr>
          <w:rFonts w:ascii="Arial Black" w:hAnsi="Arial Black"/>
          <w:b/>
          <w:sz w:val="24"/>
          <w:szCs w:val="24"/>
        </w:rPr>
      </w:pPr>
      <w:r>
        <w:rPr>
          <w:rFonts w:ascii="Arial Black" w:hAnsi="Arial Black"/>
          <w:b/>
          <w:sz w:val="24"/>
          <w:szCs w:val="24"/>
        </w:rPr>
        <w:lastRenderedPageBreak/>
        <w:t>6-6</w:t>
      </w:r>
      <w:r w:rsidR="008F02C3">
        <w:rPr>
          <w:rFonts w:ascii="Arial Black" w:hAnsi="Arial Black"/>
          <w:b/>
          <w:sz w:val="24"/>
          <w:szCs w:val="24"/>
        </w:rPr>
        <w:t>0</w:t>
      </w:r>
    </w:p>
    <w:p w14:paraId="1BECE2AA" w14:textId="77777777" w:rsidR="005E132A" w:rsidRPr="00A5637B" w:rsidRDefault="005E132A" w:rsidP="005E13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OH:  BC’s RETALIATION CASE NOT REINSTATED – CLAIMED CITY INVEST. TRAINING DIV. – PRESS “LEAK” FIRE CHIEF LACKED CE </w:t>
      </w:r>
    </w:p>
    <w:p w14:paraId="69C04D00" w14:textId="77777777" w:rsidR="005E132A" w:rsidRDefault="005E132A" w:rsidP="005E132A">
      <w:pPr>
        <w:spacing w:after="100"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23, 2020, in </w:t>
      </w:r>
      <w:r w:rsidRPr="00872791">
        <w:rPr>
          <w:rFonts w:ascii="Times New Roman" w:eastAsia="Times New Roman" w:hAnsi="Times New Roman"/>
          <w:sz w:val="24"/>
          <w:szCs w:val="24"/>
          <w:u w:val="single"/>
        </w:rPr>
        <w:t>Sean DeCrane v. Edward J. Eckart, et al.</w:t>
      </w:r>
      <w:r>
        <w:rPr>
          <w:rFonts w:ascii="Times New Roman" w:eastAsia="Times New Roman" w:hAnsi="Times New Roman"/>
          <w:sz w:val="24"/>
          <w:szCs w:val="24"/>
        </w:rPr>
        <w:t xml:space="preserve">, U.S. Senior District Court Judge Christopher A. Boyko, U.S. District Court, Northern District of Ohio (Eastern Division), has denied his motion for reconsideration of the May 13, </w:t>
      </w:r>
      <w:proofErr w:type="gramStart"/>
      <w:r>
        <w:rPr>
          <w:rFonts w:ascii="Times New Roman" w:eastAsia="Times New Roman" w:hAnsi="Times New Roman"/>
          <w:sz w:val="24"/>
          <w:szCs w:val="24"/>
        </w:rPr>
        <w:t>2020</w:t>
      </w:r>
      <w:proofErr w:type="gramEnd"/>
      <w:r>
        <w:rPr>
          <w:rFonts w:ascii="Times New Roman" w:eastAsia="Times New Roman" w:hAnsi="Times New Roman"/>
          <w:sz w:val="24"/>
          <w:szCs w:val="24"/>
        </w:rPr>
        <w:t xml:space="preserve"> dismissal of his law</w:t>
      </w:r>
      <w:r>
        <w:rPr>
          <w:rFonts w:ascii="Times New Roman" w:eastAsia="Times New Roman" w:hAnsi="Times New Roman"/>
          <w:sz w:val="24"/>
          <w:szCs w:val="24"/>
        </w:rPr>
        <w:softHyphen/>
        <w:t xml:space="preserve">suit claiming retaliation.  He claimed 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thought he was the Press leaker and in retaliation started a City “Office of Integrity Control” investigation of the Training Division which he then managed.  </w:t>
      </w:r>
    </w:p>
    <w:p w14:paraId="1156F084" w14:textId="77777777" w:rsidR="005E132A" w:rsidRPr="0047468C" w:rsidRDefault="005E132A" w:rsidP="005E132A">
      <w:pPr>
        <w:spacing w:after="100" w:line="240" w:lineRule="auto"/>
        <w:ind w:left="720"/>
        <w:rPr>
          <w:rFonts w:ascii="Times New Roman" w:eastAsia="Times New Roman" w:hAnsi="Times New Roman"/>
          <w:sz w:val="24"/>
          <w:szCs w:val="24"/>
        </w:rPr>
      </w:pPr>
      <w:r>
        <w:t>“</w:t>
      </w:r>
      <w:r w:rsidRPr="0047468C">
        <w:rPr>
          <w:rFonts w:ascii="Times New Roman" w:hAnsi="Times New Roman"/>
          <w:sz w:val="24"/>
          <w:szCs w:val="24"/>
        </w:rPr>
        <w:t>Plaintiff argued as follows</w:t>
      </w:r>
      <w:r>
        <w:rPr>
          <w:rFonts w:ascii="Times New Roman" w:hAnsi="Times New Roman"/>
          <w:sz w:val="24"/>
          <w:szCs w:val="24"/>
        </w:rPr>
        <w:t>:</w:t>
      </w:r>
    </w:p>
    <w:p w14:paraId="4F55A090" w14:textId="77777777" w:rsidR="005E132A" w:rsidRPr="00A5637B" w:rsidRDefault="005E132A" w:rsidP="005E132A">
      <w:pPr>
        <w:spacing w:after="100" w:line="240" w:lineRule="auto"/>
        <w:ind w:left="1440"/>
        <w:rPr>
          <w:rFonts w:ascii="Times New Roman" w:eastAsia="Times New Roman" w:hAnsi="Times New Roman"/>
          <w:sz w:val="24"/>
          <w:szCs w:val="24"/>
        </w:rPr>
      </w:pPr>
      <w:r w:rsidRPr="00A5637B">
        <w:rPr>
          <w:rFonts w:ascii="Times New Roman" w:eastAsia="Times New Roman" w:hAnsi="Times New Roman"/>
          <w:sz w:val="24"/>
          <w:szCs w:val="24"/>
        </w:rPr>
        <w:t xml:space="preserve">The </w:t>
      </w:r>
      <w:proofErr w:type="gramStart"/>
      <w:r w:rsidRPr="00A5637B">
        <w:rPr>
          <w:rFonts w:ascii="Times New Roman" w:eastAsia="Times New Roman" w:hAnsi="Times New Roman"/>
          <w:sz w:val="24"/>
          <w:szCs w:val="24"/>
        </w:rPr>
        <w:t>City</w:t>
      </w:r>
      <w:proofErr w:type="gramEnd"/>
      <w:r w:rsidRPr="00A5637B">
        <w:rPr>
          <w:rFonts w:ascii="Times New Roman" w:eastAsia="Times New Roman" w:hAnsi="Times New Roman"/>
          <w:sz w:val="24"/>
          <w:szCs w:val="24"/>
        </w:rPr>
        <w:t xml:space="preserve"> engaged in a </w:t>
      </w:r>
      <w:proofErr w:type="gramStart"/>
      <w:r w:rsidRPr="00A5637B">
        <w:rPr>
          <w:rFonts w:ascii="Times New Roman" w:eastAsia="Times New Roman" w:hAnsi="Times New Roman"/>
          <w:sz w:val="24"/>
          <w:szCs w:val="24"/>
        </w:rPr>
        <w:t>years</w:t>
      </w:r>
      <w:proofErr w:type="gramEnd"/>
      <w:r w:rsidRPr="00A5637B">
        <w:rPr>
          <w:rFonts w:ascii="Times New Roman" w:eastAsia="Times New Roman" w:hAnsi="Times New Roman"/>
          <w:sz w:val="24"/>
          <w:szCs w:val="24"/>
        </w:rPr>
        <w:t xml:space="preserve">-long pattern of retaliation against DeCrane, fueled by </w:t>
      </w:r>
      <w:r>
        <w:rPr>
          <w:rFonts w:ascii="Times New Roman" w:eastAsia="Times New Roman" w:hAnsi="Times New Roman"/>
          <w:sz w:val="24"/>
          <w:szCs w:val="24"/>
        </w:rPr>
        <w:t xml:space="preserve">[Assistant Safety Director] </w:t>
      </w:r>
      <w:r w:rsidRPr="00A5637B">
        <w:rPr>
          <w:rFonts w:ascii="Times New Roman" w:eastAsia="Times New Roman" w:hAnsi="Times New Roman"/>
          <w:sz w:val="24"/>
          <w:szCs w:val="24"/>
        </w:rPr>
        <w:t>Eckart</w:t>
      </w:r>
      <w:r>
        <w:rPr>
          <w:rFonts w:ascii="Times New Roman" w:eastAsia="Times New Roman" w:hAnsi="Times New Roman"/>
          <w:sz w:val="24"/>
          <w:szCs w:val="24"/>
        </w:rPr>
        <w:t>’</w:t>
      </w:r>
      <w:r w:rsidRPr="00A5637B">
        <w:rPr>
          <w:rFonts w:ascii="Times New Roman" w:eastAsia="Times New Roman" w:hAnsi="Times New Roman"/>
          <w:sz w:val="24"/>
          <w:szCs w:val="24"/>
        </w:rPr>
        <w:t>s and Mayor Jackson</w:t>
      </w:r>
      <w:r>
        <w:rPr>
          <w:rFonts w:ascii="Times New Roman" w:eastAsia="Times New Roman" w:hAnsi="Times New Roman"/>
          <w:sz w:val="24"/>
          <w:szCs w:val="24"/>
        </w:rPr>
        <w:t>’</w:t>
      </w:r>
      <w:r w:rsidRPr="00A5637B">
        <w:rPr>
          <w:rFonts w:ascii="Times New Roman" w:eastAsia="Times New Roman" w:hAnsi="Times New Roman"/>
          <w:sz w:val="24"/>
          <w:szCs w:val="24"/>
        </w:rPr>
        <w:t>s irritation with DeCrane</w:t>
      </w:r>
      <w:r>
        <w:rPr>
          <w:rFonts w:ascii="Times New Roman" w:eastAsia="Times New Roman" w:hAnsi="Times New Roman"/>
          <w:sz w:val="24"/>
          <w:szCs w:val="24"/>
        </w:rPr>
        <w:t>’</w:t>
      </w:r>
      <w:r w:rsidRPr="00A5637B">
        <w:rPr>
          <w:rFonts w:ascii="Times New Roman" w:eastAsia="Times New Roman" w:hAnsi="Times New Roman"/>
          <w:sz w:val="24"/>
          <w:szCs w:val="24"/>
        </w:rPr>
        <w:t>s protected activity, both real and suspected. Jackson made clear his feelings about the McGinnis leak, leading Defendants to then act against DeCrane with impunity. The City</w:t>
      </w:r>
      <w:r>
        <w:rPr>
          <w:rFonts w:ascii="Times New Roman" w:eastAsia="Times New Roman" w:hAnsi="Times New Roman"/>
          <w:sz w:val="24"/>
          <w:szCs w:val="24"/>
        </w:rPr>
        <w:t>’</w:t>
      </w:r>
      <w:r w:rsidRPr="00A5637B">
        <w:rPr>
          <w:rFonts w:ascii="Times New Roman" w:eastAsia="Times New Roman" w:hAnsi="Times New Roman"/>
          <w:sz w:val="24"/>
          <w:szCs w:val="24"/>
        </w:rPr>
        <w:t>s failure to train most officials on employees</w:t>
      </w:r>
      <w:r>
        <w:rPr>
          <w:rFonts w:ascii="Times New Roman" w:eastAsia="Times New Roman" w:hAnsi="Times New Roman"/>
          <w:sz w:val="24"/>
          <w:szCs w:val="24"/>
        </w:rPr>
        <w:t>’</w:t>
      </w:r>
      <w:r w:rsidRPr="00A5637B">
        <w:rPr>
          <w:rFonts w:ascii="Times New Roman" w:eastAsia="Times New Roman" w:hAnsi="Times New Roman"/>
          <w:sz w:val="24"/>
          <w:szCs w:val="24"/>
        </w:rPr>
        <w:t xml:space="preserve"> First Amendment rights contributed to the retaliatory activity as well. And the retaliation</w:t>
      </w:r>
      <w:r>
        <w:rPr>
          <w:rFonts w:ascii="Times New Roman" w:eastAsia="Times New Roman" w:hAnsi="Times New Roman"/>
          <w:sz w:val="24"/>
          <w:szCs w:val="24"/>
        </w:rPr>
        <w:t>’</w:t>
      </w:r>
      <w:r w:rsidRPr="00A5637B">
        <w:rPr>
          <w:rFonts w:ascii="Times New Roman" w:eastAsia="Times New Roman" w:hAnsi="Times New Roman"/>
          <w:sz w:val="24"/>
          <w:szCs w:val="24"/>
        </w:rPr>
        <w:t xml:space="preserve">s length </w:t>
      </w:r>
      <w:r>
        <w:rPr>
          <w:rFonts w:ascii="Times New Roman" w:eastAsia="Times New Roman" w:hAnsi="Times New Roman"/>
          <w:sz w:val="24"/>
          <w:szCs w:val="24"/>
        </w:rPr>
        <w:t>–</w:t>
      </w:r>
      <w:r w:rsidRPr="00A5637B">
        <w:rPr>
          <w:rFonts w:ascii="Times New Roman" w:eastAsia="Times New Roman" w:hAnsi="Times New Roman"/>
          <w:sz w:val="24"/>
          <w:szCs w:val="24"/>
        </w:rPr>
        <w:t xml:space="preserve"> in terms of time and the measures taken </w:t>
      </w:r>
      <w:r>
        <w:rPr>
          <w:rFonts w:ascii="Times New Roman" w:eastAsia="Times New Roman" w:hAnsi="Times New Roman"/>
          <w:sz w:val="24"/>
          <w:szCs w:val="24"/>
        </w:rPr>
        <w:t>–</w:t>
      </w:r>
      <w:r w:rsidRPr="00A5637B">
        <w:rPr>
          <w:rFonts w:ascii="Times New Roman" w:eastAsia="Times New Roman" w:hAnsi="Times New Roman"/>
          <w:sz w:val="24"/>
          <w:szCs w:val="24"/>
        </w:rPr>
        <w:t xml:space="preserve"> demonstrates the City</w:t>
      </w:r>
      <w:r>
        <w:rPr>
          <w:rFonts w:ascii="Times New Roman" w:eastAsia="Times New Roman" w:hAnsi="Times New Roman"/>
          <w:sz w:val="24"/>
          <w:szCs w:val="24"/>
        </w:rPr>
        <w:t>’</w:t>
      </w:r>
      <w:r w:rsidRPr="00A5637B">
        <w:rPr>
          <w:rFonts w:ascii="Times New Roman" w:eastAsia="Times New Roman" w:hAnsi="Times New Roman"/>
          <w:sz w:val="24"/>
          <w:szCs w:val="24"/>
        </w:rPr>
        <w:t>s deliberate indifference to DeCrane</w:t>
      </w:r>
      <w:r>
        <w:rPr>
          <w:rFonts w:ascii="Times New Roman" w:eastAsia="Times New Roman" w:hAnsi="Times New Roman"/>
          <w:sz w:val="24"/>
          <w:szCs w:val="24"/>
        </w:rPr>
        <w:t>’</w:t>
      </w:r>
      <w:r w:rsidRPr="00A5637B">
        <w:rPr>
          <w:rFonts w:ascii="Times New Roman" w:eastAsia="Times New Roman" w:hAnsi="Times New Roman"/>
          <w:sz w:val="24"/>
          <w:szCs w:val="24"/>
        </w:rPr>
        <w:t>s rights. (ECF DKT #151, p.27).</w:t>
      </w:r>
    </w:p>
    <w:p w14:paraId="22FD9F63"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sidRPr="00A5637B">
        <w:rPr>
          <w:rFonts w:ascii="Times New Roman" w:eastAsia="Times New Roman" w:hAnsi="Times New Roman"/>
          <w:sz w:val="24"/>
          <w:szCs w:val="24"/>
        </w:rPr>
        <w:t xml:space="preserve">Aside from these declarations, Plaintiff offered no citations (not even in a footnote) to any </w:t>
      </w:r>
      <w:proofErr w:type="gramStart"/>
      <w:r w:rsidRPr="00A5637B">
        <w:rPr>
          <w:rFonts w:ascii="Times New Roman" w:eastAsia="Times New Roman" w:hAnsi="Times New Roman"/>
          <w:sz w:val="24"/>
          <w:szCs w:val="24"/>
        </w:rPr>
        <w:t>previously-detailed</w:t>
      </w:r>
      <w:proofErr w:type="gramEnd"/>
      <w:r w:rsidRPr="00A5637B">
        <w:rPr>
          <w:rFonts w:ascii="Times New Roman" w:eastAsia="Times New Roman" w:hAnsi="Times New Roman"/>
          <w:sz w:val="24"/>
          <w:szCs w:val="24"/>
        </w:rPr>
        <w:t xml:space="preserve"> facts to illustrate a policy, a final </w:t>
      </w:r>
      <w:proofErr w:type="gramStart"/>
      <w:r w:rsidRPr="00A5637B">
        <w:rPr>
          <w:rFonts w:ascii="Times New Roman" w:eastAsia="Times New Roman" w:hAnsi="Times New Roman"/>
          <w:sz w:val="24"/>
          <w:szCs w:val="24"/>
        </w:rPr>
        <w:t>policy-maker</w:t>
      </w:r>
      <w:proofErr w:type="gramEnd"/>
      <w:r w:rsidRPr="00A5637B">
        <w:rPr>
          <w:rFonts w:ascii="Times New Roman" w:eastAsia="Times New Roman" w:hAnsi="Times New Roman"/>
          <w:sz w:val="24"/>
          <w:szCs w:val="24"/>
        </w:rPr>
        <w:t xml:space="preserve"> (particularly as </w:t>
      </w:r>
      <w:proofErr w:type="gramStart"/>
      <w:r w:rsidRPr="00A5637B">
        <w:rPr>
          <w:rFonts w:ascii="Times New Roman" w:eastAsia="Times New Roman" w:hAnsi="Times New Roman"/>
          <w:sz w:val="24"/>
          <w:szCs w:val="24"/>
        </w:rPr>
        <w:t>relates</w:t>
      </w:r>
      <w:proofErr w:type="gramEnd"/>
      <w:r w:rsidRPr="00A5637B">
        <w:rPr>
          <w:rFonts w:ascii="Times New Roman" w:eastAsia="Times New Roman" w:hAnsi="Times New Roman"/>
          <w:sz w:val="24"/>
          <w:szCs w:val="24"/>
        </w:rPr>
        <w:t xml:space="preserve"> to Defendant Eckart), deficient training, nor tolerance of, or indifference to, constitutional violations.</w:t>
      </w:r>
      <w:r>
        <w:rPr>
          <w:rFonts w:ascii="Times New Roman" w:eastAsia="Times New Roman" w:hAnsi="Times New Roman"/>
          <w:sz w:val="24"/>
          <w:szCs w:val="24"/>
        </w:rPr>
        <w:t xml:space="preserve">  </w:t>
      </w:r>
      <w:hyperlink r:id="rId1180" w:history="1">
        <w:r w:rsidRPr="008505F4">
          <w:rPr>
            <w:rStyle w:val="Hyperlink"/>
          </w:rPr>
          <w:t>https://www.leagle.com/decision/infdco20201228943</w:t>
        </w:r>
      </w:hyperlink>
      <w:r>
        <w:rPr>
          <w:rFonts w:ascii="Times New Roman" w:eastAsia="Times New Roman" w:hAnsi="Times New Roman"/>
          <w:sz w:val="24"/>
          <w:szCs w:val="24"/>
        </w:rPr>
        <w:t xml:space="preserve"> </w:t>
      </w:r>
    </w:p>
    <w:p w14:paraId="5411E2FE" w14:textId="77777777" w:rsidR="005E132A" w:rsidRDefault="005E132A" w:rsidP="005E132A">
      <w:pPr>
        <w:pStyle w:val="Heading1"/>
        <w:rPr>
          <w:sz w:val="24"/>
          <w:szCs w:val="24"/>
        </w:rPr>
      </w:pPr>
      <w:r w:rsidRPr="00DD2400">
        <w:rPr>
          <w:sz w:val="24"/>
          <w:szCs w:val="24"/>
        </w:rPr>
        <w:t xml:space="preserve">Legal Lesson Learned: </w:t>
      </w:r>
      <w:r>
        <w:rPr>
          <w:sz w:val="24"/>
          <w:szCs w:val="24"/>
        </w:rPr>
        <w:t xml:space="preserve">The U.S. Supreme Court has placed a heavy burden on plaintiffs suing cities and other municipalities for </w:t>
      </w:r>
      <w:r w:rsidRPr="00DD2400">
        <w:rPr>
          <w:sz w:val="24"/>
          <w:szCs w:val="24"/>
        </w:rPr>
        <w:t xml:space="preserve">deprivation of </w:t>
      </w:r>
      <w:r>
        <w:rPr>
          <w:sz w:val="24"/>
          <w:szCs w:val="24"/>
        </w:rPr>
        <w:t>f</w:t>
      </w:r>
      <w:r w:rsidRPr="00DD2400">
        <w:rPr>
          <w:sz w:val="24"/>
          <w:szCs w:val="24"/>
        </w:rPr>
        <w:t>ederal Constitutional rights under 42 USC 1983</w:t>
      </w:r>
      <w:r>
        <w:rPr>
          <w:sz w:val="24"/>
          <w:szCs w:val="24"/>
        </w:rPr>
        <w:t xml:space="preserve">.   Need to prove that a city policy or a city “final policy maker” is indifferent to constitutional violations. </w:t>
      </w:r>
    </w:p>
    <w:p w14:paraId="4D3E17D1" w14:textId="77777777" w:rsidR="005E132A" w:rsidRDefault="005E132A" w:rsidP="005E132A">
      <w:pPr>
        <w:pStyle w:val="Heading1"/>
        <w:ind w:firstLine="720"/>
        <w:rPr>
          <w:b w:val="0"/>
          <w:bCs w:val="0"/>
          <w:sz w:val="24"/>
          <w:szCs w:val="24"/>
        </w:rPr>
      </w:pPr>
      <w:r>
        <w:rPr>
          <w:b w:val="0"/>
          <w:bCs w:val="0"/>
          <w:sz w:val="24"/>
          <w:szCs w:val="24"/>
        </w:rPr>
        <w:t xml:space="preserve">Note: See these Press articles about the Cleveland FD. </w:t>
      </w:r>
    </w:p>
    <w:p w14:paraId="62249C31" w14:textId="77777777" w:rsidR="005E132A" w:rsidRPr="00721AFF" w:rsidRDefault="005E132A" w:rsidP="005E132A">
      <w:pPr>
        <w:pStyle w:val="Heading1"/>
        <w:ind w:left="720"/>
        <w:rPr>
          <w:b w:val="0"/>
          <w:bCs w:val="0"/>
          <w:sz w:val="24"/>
          <w:szCs w:val="24"/>
        </w:rPr>
      </w:pPr>
      <w:r w:rsidRPr="00691C9E">
        <w:rPr>
          <w:b w:val="0"/>
          <w:bCs w:val="0"/>
          <w:sz w:val="24"/>
          <w:szCs w:val="24"/>
        </w:rPr>
        <w:t>Aug. 14, 2013: “Cleveland Fire Chief to Retire Friday.</w:t>
      </w:r>
      <w:r>
        <w:rPr>
          <w:b w:val="0"/>
          <w:bCs w:val="0"/>
          <w:sz w:val="24"/>
          <w:szCs w:val="24"/>
        </w:rPr>
        <w:t xml:space="preserve">” </w:t>
      </w:r>
      <w:hyperlink r:id="rId1181" w:history="1">
        <w:r w:rsidRPr="00721AFF">
          <w:rPr>
            <w:rStyle w:val="Hyperlink"/>
            <w:b w:val="0"/>
            <w:bCs w:val="0"/>
            <w:sz w:val="24"/>
            <w:szCs w:val="24"/>
          </w:rPr>
          <w:t>https://fox8.com/news/cleveland-fire-chief-to-retire-friday/</w:t>
        </w:r>
      </w:hyperlink>
      <w:r w:rsidRPr="00721AFF">
        <w:rPr>
          <w:b w:val="0"/>
          <w:bCs w:val="0"/>
          <w:sz w:val="24"/>
          <w:szCs w:val="24"/>
        </w:rPr>
        <w:t xml:space="preserve"> </w:t>
      </w:r>
    </w:p>
    <w:p w14:paraId="3188F9E4" w14:textId="77777777" w:rsidR="005E132A" w:rsidRPr="00721AFF" w:rsidRDefault="005E132A" w:rsidP="005E132A">
      <w:pPr>
        <w:pStyle w:val="Heading1"/>
        <w:ind w:left="720"/>
        <w:rPr>
          <w:b w:val="0"/>
          <w:bCs w:val="0"/>
          <w:sz w:val="24"/>
          <w:szCs w:val="24"/>
        </w:rPr>
      </w:pPr>
      <w:r>
        <w:rPr>
          <w:b w:val="0"/>
          <w:bCs w:val="0"/>
          <w:sz w:val="24"/>
          <w:szCs w:val="24"/>
        </w:rPr>
        <w:t xml:space="preserve">Oct. 31, 2016: </w:t>
      </w:r>
      <w:r w:rsidRPr="00691C9E">
        <w:rPr>
          <w:b w:val="0"/>
          <w:bCs w:val="0"/>
          <w:sz w:val="24"/>
          <w:szCs w:val="24"/>
        </w:rPr>
        <w:t>“Retired Cleveland Fire Division battalion chief files First Amendment-retaliation suit against City &amp; senior public-safety officials.</w:t>
      </w:r>
      <w:r>
        <w:rPr>
          <w:b w:val="0"/>
          <w:bCs w:val="0"/>
          <w:sz w:val="24"/>
          <w:szCs w:val="24"/>
        </w:rPr>
        <w:t>”</w:t>
      </w:r>
      <w:r w:rsidRPr="00691C9E">
        <w:rPr>
          <w:b w:val="0"/>
          <w:bCs w:val="0"/>
          <w:sz w:val="24"/>
          <w:szCs w:val="24"/>
        </w:rPr>
        <w:t xml:space="preserve"> </w:t>
      </w:r>
      <w:hyperlink r:id="rId1182" w:history="1">
        <w:r w:rsidRPr="00721AFF">
          <w:rPr>
            <w:rStyle w:val="Hyperlink"/>
            <w:b w:val="0"/>
            <w:bCs w:val="0"/>
            <w:sz w:val="24"/>
            <w:szCs w:val="24"/>
          </w:rPr>
          <w:t>https://www.chandralaw.com/blog/retired-cleveland-fire-division-battalion-chief-files-first-amendment-retaliation-suit-against-city-senior-public-safety-officials</w:t>
        </w:r>
      </w:hyperlink>
      <w:r w:rsidRPr="00721AFF">
        <w:rPr>
          <w:b w:val="0"/>
          <w:bCs w:val="0"/>
          <w:sz w:val="24"/>
          <w:szCs w:val="24"/>
        </w:rPr>
        <w:t xml:space="preserve"> </w:t>
      </w:r>
    </w:p>
    <w:p w14:paraId="2110C89D" w14:textId="77777777" w:rsidR="005E132A" w:rsidRDefault="005E132A" w:rsidP="00EF1133">
      <w:pPr>
        <w:rPr>
          <w:rFonts w:ascii="Arial Black" w:hAnsi="Arial Black"/>
          <w:b/>
          <w:sz w:val="24"/>
          <w:szCs w:val="24"/>
        </w:rPr>
      </w:pPr>
    </w:p>
    <w:p w14:paraId="711C5C5B" w14:textId="755259BB" w:rsidR="005E132A" w:rsidRDefault="005E132A" w:rsidP="00EF1133">
      <w:pPr>
        <w:rPr>
          <w:rFonts w:ascii="Arial Black" w:hAnsi="Arial Black"/>
          <w:b/>
          <w:sz w:val="24"/>
          <w:szCs w:val="24"/>
        </w:rPr>
      </w:pPr>
      <w:r>
        <w:rPr>
          <w:rFonts w:ascii="Arial Black" w:hAnsi="Arial Black"/>
          <w:b/>
          <w:sz w:val="24"/>
          <w:szCs w:val="24"/>
        </w:rPr>
        <w:t>6-</w:t>
      </w:r>
      <w:r w:rsidR="008F02C3">
        <w:rPr>
          <w:rFonts w:ascii="Arial Black" w:hAnsi="Arial Black"/>
          <w:b/>
          <w:sz w:val="24"/>
          <w:szCs w:val="24"/>
        </w:rPr>
        <w:t>59</w:t>
      </w:r>
    </w:p>
    <w:p w14:paraId="3B72369B" w14:textId="77777777" w:rsidR="00737B49" w:rsidRDefault="00737B49" w:rsidP="00737B49">
      <w:pPr>
        <w:tabs>
          <w:tab w:val="left" w:pos="667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14, 2020, in </w:t>
      </w:r>
      <w:r>
        <w:rPr>
          <w:rFonts w:ascii="Times New Roman" w:hAnsi="Times New Roman"/>
          <w:sz w:val="24"/>
          <w:szCs w:val="24"/>
          <w:u w:val="single"/>
        </w:rPr>
        <w:t>Sean T. Heneghan v. City of Evanston</w:t>
      </w:r>
      <w:r>
        <w:rPr>
          <w:rFonts w:ascii="Times New Roman" w:hAnsi="Times New Roman"/>
          <w:sz w:val="24"/>
          <w:szCs w:val="24"/>
        </w:rPr>
        <w:t>, the Appellate Court of Illinois, First District (First Division), held (3 to 0; unpublished decision) that the City properly denied the firefighter life-time health benefits since he was not responding to an emergency when he and his partner were performing ventilation, the saw malfunctioned, he retrieved an ax from the ground, lost his balance when peeling off roof cover with the ax and severely injured both feet when he fell off the roof.  The Illinois statute provides for life-time insurance or firefighters and family who are killed or suffer catastrophic injury responding to “what is reasonably believed to be an emergency.”</w:t>
      </w:r>
    </w:p>
    <w:p w14:paraId="27A59A2C" w14:textId="77777777" w:rsidR="00737B49" w:rsidRDefault="00737B49" w:rsidP="00737B49">
      <w:pPr>
        <w:tabs>
          <w:tab w:val="left" w:pos="6670"/>
        </w:tabs>
        <w:spacing w:before="100" w:beforeAutospacing="1" w:after="100" w:afterAutospacing="1" w:line="240" w:lineRule="auto"/>
        <w:ind w:left="630"/>
        <w:rPr>
          <w:rFonts w:ascii="Times New Roman" w:hAnsi="Times New Roman"/>
          <w:sz w:val="24"/>
          <w:szCs w:val="24"/>
        </w:rPr>
      </w:pPr>
      <w:r>
        <w:rPr>
          <w:rFonts w:ascii="Times New Roman" w:hAnsi="Times New Roman"/>
          <w:sz w:val="24"/>
          <w:szCs w:val="24"/>
        </w:rPr>
        <w:lastRenderedPageBreak/>
        <w:t>“Plaintiff argues that he was responding to what he reasonably believed to be an emergency when the saw failed during the exercise. We are not persuaded by this argument.</w:t>
      </w:r>
    </w:p>
    <w:p w14:paraId="171856DD" w14:textId="77777777" w:rsidR="00737B49" w:rsidRDefault="00737B49" w:rsidP="00737B49">
      <w:pPr>
        <w:spacing w:before="100" w:beforeAutospacing="1" w:after="100" w:afterAutospacing="1" w:line="240" w:lineRule="auto"/>
        <w:ind w:left="630"/>
        <w:rPr>
          <w:rFonts w:ascii="Times New Roman" w:hAnsi="Times New Roman"/>
          <w:sz w:val="24"/>
          <w:szCs w:val="24"/>
        </w:rPr>
      </w:pPr>
      <w:r>
        <w:rPr>
          <w:rFonts w:ascii="Times New Roman" w:hAnsi="Times New Roman"/>
          <w:sz w:val="24"/>
          <w:szCs w:val="24"/>
        </w:rPr>
        <w:t xml:space="preserve">The failure of the </w:t>
      </w:r>
      <w:proofErr w:type="gramStart"/>
      <w:r>
        <w:rPr>
          <w:rFonts w:ascii="Times New Roman" w:hAnsi="Times New Roman"/>
          <w:sz w:val="24"/>
          <w:szCs w:val="24"/>
        </w:rPr>
        <w:t>saw</w:t>
      </w:r>
      <w:proofErr w:type="gramEnd"/>
      <w:r>
        <w:rPr>
          <w:rFonts w:ascii="Times New Roman" w:hAnsi="Times New Roman"/>
          <w:sz w:val="24"/>
          <w:szCs w:val="24"/>
        </w:rPr>
        <w:t xml:space="preserve"> was certainly an unforeseen development and could reasonably be regarded as an emergency. If the vent covers were not removed, then the firefighters inside the structure would be in imminent danger from fire and explosions. However, plaintiff was able to climb from the roof, retrieve his axe, return to the roof, and pry open the first vent cover. The emergency that plaintiff describes was the failure of the saw and his belief that the vent covers could not be opened. That emergency ended once plaintiff was able to successfully pry open this first cover with his axe.</w:t>
      </w:r>
    </w:p>
    <w:p w14:paraId="1BC91DB3" w14:textId="77777777" w:rsidR="00737B49" w:rsidRDefault="00737B49" w:rsidP="00737B49">
      <w:pPr>
        <w:spacing w:before="100" w:beforeAutospacing="1" w:after="100" w:afterAutospacing="1" w:line="240" w:lineRule="auto"/>
        <w:ind w:left="630"/>
        <w:rPr>
          <w:rFonts w:ascii="Times New Roman" w:hAnsi="Times New Roman"/>
          <w:sz w:val="24"/>
          <w:szCs w:val="24"/>
        </w:rPr>
      </w:pPr>
      <w:r>
        <w:rPr>
          <w:rFonts w:ascii="Times New Roman" w:hAnsi="Times New Roman"/>
          <w:sz w:val="24"/>
          <w:szCs w:val="24"/>
        </w:rPr>
        <w:t>***</w:t>
      </w:r>
    </w:p>
    <w:p w14:paraId="0D852576" w14:textId="77777777" w:rsidR="00737B49" w:rsidRDefault="00737B49" w:rsidP="00737B49">
      <w:pPr>
        <w:spacing w:before="100" w:beforeAutospacing="1" w:after="100" w:afterAutospacing="1" w:line="240" w:lineRule="auto"/>
        <w:ind w:left="630"/>
        <w:rPr>
          <w:rFonts w:ascii="Times New Roman" w:eastAsia="Times New Roman" w:hAnsi="Times New Roman"/>
          <w:sz w:val="24"/>
          <w:szCs w:val="24"/>
        </w:rPr>
      </w:pPr>
      <w:r>
        <w:rPr>
          <w:rFonts w:ascii="Times New Roman" w:eastAsia="Times New Roman" w:hAnsi="Times New Roman"/>
          <w:sz w:val="24"/>
          <w:szCs w:val="24"/>
        </w:rPr>
        <w:t xml:space="preserve">Once he had a suitable replacement for the saw, he was able to continue with the rest of the exercise. He could not reasonably believe that his fellow firefighters were still in imminent danger after finding a replacement tool. He also would have known that it was possible </w:t>
      </w:r>
      <w:proofErr w:type="gramStart"/>
      <w:r>
        <w:rPr>
          <w:rFonts w:ascii="Times New Roman" w:eastAsia="Times New Roman" w:hAnsi="Times New Roman"/>
          <w:sz w:val="24"/>
          <w:szCs w:val="24"/>
        </w:rPr>
        <w:t>the open</w:t>
      </w:r>
      <w:proofErr w:type="gramEnd"/>
      <w:r>
        <w:rPr>
          <w:rFonts w:ascii="Times New Roman" w:eastAsia="Times New Roman" w:hAnsi="Times New Roman"/>
          <w:sz w:val="24"/>
          <w:szCs w:val="24"/>
        </w:rPr>
        <w:t xml:space="preserve"> the remaining vent with his axe. More importantly, he was not injured because of his actions addressing the saw's </w:t>
      </w:r>
      <w:proofErr w:type="gramStart"/>
      <w:r>
        <w:rPr>
          <w:rFonts w:ascii="Times New Roman" w:eastAsia="Times New Roman" w:hAnsi="Times New Roman"/>
          <w:sz w:val="24"/>
          <w:szCs w:val="24"/>
        </w:rPr>
        <w:t>failure.”</w:t>
      </w:r>
      <w:proofErr w:type="gramEnd"/>
      <w:r>
        <w:rPr>
          <w:rFonts w:ascii="Times New Roman" w:eastAsia="Times New Roman" w:hAnsi="Times New Roman"/>
          <w:sz w:val="24"/>
          <w:szCs w:val="24"/>
        </w:rPr>
        <w:t xml:space="preserve"> </w:t>
      </w:r>
      <w:hyperlink r:id="rId1183" w:history="1">
        <w:r>
          <w:rPr>
            <w:rStyle w:val="Hyperlink"/>
          </w:rPr>
          <w:t>https://casetext.com/case/heneghan-v-city-of-evanston</w:t>
        </w:r>
      </w:hyperlink>
      <w:r>
        <w:rPr>
          <w:rFonts w:ascii="Times New Roman" w:eastAsia="Times New Roman" w:hAnsi="Times New Roman"/>
          <w:sz w:val="24"/>
          <w:szCs w:val="24"/>
        </w:rPr>
        <w:t xml:space="preserve"> </w:t>
      </w:r>
    </w:p>
    <w:p w14:paraId="4B99668C" w14:textId="77777777" w:rsidR="00737B49" w:rsidRDefault="00737B49" w:rsidP="00737B4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Legal Lesson Learned: Terrible injury, but facts clearly show did not occur during an “emergency.”</w:t>
      </w:r>
    </w:p>
    <w:p w14:paraId="56FFDA15" w14:textId="77777777" w:rsidR="00737B49" w:rsidRDefault="00737B49" w:rsidP="00737B49">
      <w:pPr>
        <w:spacing w:before="100" w:beforeAutospacing="1" w:after="100" w:afterAutospacing="1" w:line="240" w:lineRule="auto"/>
        <w:ind w:left="720"/>
        <w:rPr>
          <w:rFonts w:asciiTheme="minorHAnsi" w:hAnsiTheme="minorHAnsi" w:cstheme="minorBidi"/>
        </w:rPr>
      </w:pPr>
      <w:r>
        <w:rPr>
          <w:rFonts w:ascii="Times New Roman" w:hAnsi="Times New Roman"/>
          <w:sz w:val="24"/>
          <w:szCs w:val="24"/>
        </w:rPr>
        <w:t xml:space="preserve">Note:  The Court referenced that Illinois case law does support life-time medical coverage during a training exercise if there is a true emergency. </w:t>
      </w:r>
      <w:r>
        <w:rPr>
          <w:rFonts w:ascii="Times New Roman" w:hAnsi="Times New Roman"/>
          <w:sz w:val="24"/>
          <w:szCs w:val="24"/>
          <w:u w:val="single"/>
        </w:rPr>
        <w:t>Gaffney v. Board of Trustees of Orland Fire Protection District</w:t>
      </w:r>
      <w:r>
        <w:rPr>
          <w:rFonts w:ascii="Times New Roman" w:hAnsi="Times New Roman"/>
          <w:sz w:val="24"/>
          <w:szCs w:val="24"/>
        </w:rPr>
        <w:t xml:space="preserve">, 2012 IL 110012, May 29, 2012, Illinois Supreme Court: </w:t>
      </w:r>
      <w:hyperlink r:id="rId1184" w:history="1">
        <w:r>
          <w:rPr>
            <w:rStyle w:val="Hyperlink"/>
          </w:rPr>
          <w:t>https://courts.illinois.gov/opinions/SupremeCourt/2012/110012.pdf</w:t>
        </w:r>
      </w:hyperlink>
      <w:r>
        <w:t xml:space="preserve"> </w:t>
      </w:r>
    </w:p>
    <w:p w14:paraId="779F75AC" w14:textId="11A9219B" w:rsidR="00737B49" w:rsidRDefault="00737B49" w:rsidP="00737B49">
      <w:pPr>
        <w:rPr>
          <w:rStyle w:val="Hyperlink"/>
        </w:rPr>
      </w:pPr>
      <w:r>
        <w:rPr>
          <w:rFonts w:ascii="Times New Roman" w:hAnsi="Times New Roman"/>
          <w:sz w:val="24"/>
          <w:szCs w:val="24"/>
        </w:rPr>
        <w:t xml:space="preserve">“Gaffney was injured during a live fire training exercise on the third floor of a building. Gaffney wore full fire gear for the exercise, and his battalion chief instructed him to treat the exercise as an actual emergency. As the crew was moving the fire hose from the second floor to the third floor, it became entangled. The smoke from the fire left no visibility. Gaffney followed the hose back down to the second floor and discovered that it was hooked around a loveseat. When Gaffney flipped the loveseat backward, he injured his shoulder. The court held that Gaffney's training exercise became an emergency when the hose became entangled. </w:t>
      </w:r>
      <w:r>
        <w:rPr>
          <w:rFonts w:ascii="Times New Roman" w:hAnsi="Times New Roman"/>
          <w:i/>
          <w:iCs/>
          <w:sz w:val="24"/>
          <w:szCs w:val="24"/>
        </w:rPr>
        <w:t>Id</w:t>
      </w:r>
      <w:r>
        <w:rPr>
          <w:rFonts w:ascii="Times New Roman" w:hAnsi="Times New Roman"/>
          <w:sz w:val="24"/>
          <w:szCs w:val="24"/>
        </w:rPr>
        <w:t xml:space="preserve">. ¶ 66. This unforeseen development involved imminent danger and required an urgent response because it left the crew ‘stranded on the stairwell to the third floor </w:t>
      </w:r>
      <w:r>
        <w:rPr>
          <w:rFonts w:ascii="Times New Roman" w:eastAsia="Times New Roman" w:hAnsi="Times New Roman"/>
          <w:sz w:val="24"/>
          <w:szCs w:val="24"/>
        </w:rPr>
        <w:t>of the burning building with no visibility and no water to put out the fire.</w:t>
      </w:r>
      <w:r>
        <w:rPr>
          <w:rFonts w:ascii="Times New Roman" w:hAnsi="Times New Roman"/>
          <w:sz w:val="24"/>
          <w:szCs w:val="24"/>
        </w:rPr>
        <w:t>’”</w:t>
      </w:r>
      <w:r>
        <w:t xml:space="preserve"> </w:t>
      </w:r>
      <w:hyperlink r:id="rId1185" w:history="1">
        <w:r>
          <w:rPr>
            <w:rStyle w:val="Hyperlink"/>
          </w:rPr>
          <w:t>https://casetext.com/case/heneghan-v-city-of-evanston</w:t>
        </w:r>
      </w:hyperlink>
    </w:p>
    <w:p w14:paraId="207AFA86" w14:textId="28E99789" w:rsidR="00737B49" w:rsidRDefault="00737B49" w:rsidP="00737B49">
      <w:pPr>
        <w:rPr>
          <w:rStyle w:val="Hyperlink"/>
        </w:rPr>
      </w:pPr>
    </w:p>
    <w:p w14:paraId="138B301C" w14:textId="77777777" w:rsidR="00737B49" w:rsidRDefault="00737B49" w:rsidP="00737B49">
      <w:pPr>
        <w:spacing w:before="100" w:beforeAutospacing="1" w:after="100" w:afterAutospacing="1" w:line="240" w:lineRule="auto"/>
        <w:rPr>
          <w:rFonts w:ascii="Arial Black" w:hAnsi="Arial Black"/>
          <w:sz w:val="28"/>
          <w:szCs w:val="28"/>
        </w:rPr>
      </w:pPr>
    </w:p>
    <w:p w14:paraId="5C3EFBA4" w14:textId="77777777" w:rsidR="00737B49" w:rsidRDefault="00737B49" w:rsidP="00737B49">
      <w:pPr>
        <w:spacing w:before="100" w:beforeAutospacing="1" w:after="100" w:afterAutospacing="1" w:line="240" w:lineRule="auto"/>
        <w:rPr>
          <w:rFonts w:ascii="Arial Black" w:hAnsi="Arial Black"/>
          <w:sz w:val="28"/>
          <w:szCs w:val="28"/>
        </w:rPr>
      </w:pPr>
    </w:p>
    <w:p w14:paraId="38B69A42" w14:textId="5A7C67F8" w:rsidR="00737B49" w:rsidRDefault="00737B49" w:rsidP="00737B49">
      <w:pPr>
        <w:spacing w:before="100" w:beforeAutospacing="1" w:after="100" w:afterAutospacing="1" w:line="240" w:lineRule="auto"/>
        <w:rPr>
          <w:rFonts w:ascii="Arial Black" w:hAnsi="Arial Black"/>
          <w:sz w:val="28"/>
          <w:szCs w:val="28"/>
        </w:rPr>
      </w:pPr>
      <w:r>
        <w:rPr>
          <w:rFonts w:ascii="Arial Black" w:hAnsi="Arial Black"/>
          <w:sz w:val="28"/>
          <w:szCs w:val="28"/>
        </w:rPr>
        <w:t>6-5</w:t>
      </w:r>
      <w:r w:rsidR="008F02C3">
        <w:rPr>
          <w:rFonts w:ascii="Arial Black" w:hAnsi="Arial Black"/>
          <w:sz w:val="28"/>
          <w:szCs w:val="28"/>
        </w:rPr>
        <w:t>8</w:t>
      </w:r>
    </w:p>
    <w:p w14:paraId="25825208" w14:textId="7748A388" w:rsidR="00737B49" w:rsidRPr="00950C0A" w:rsidRDefault="00737B49" w:rsidP="00737B49">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MA: INTERNAL INVESTIGATION – EMPLOYEES PROVIDE INFO – CONDITIONALLY PROTECTED FROM DEFAMATION </w:t>
      </w:r>
    </w:p>
    <w:p w14:paraId="1391B508" w14:textId="77777777" w:rsidR="00737B49" w:rsidRDefault="00737B49" w:rsidP="00737B49">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10, 2020, in </w:t>
      </w:r>
      <w:r w:rsidRPr="005202DF">
        <w:rPr>
          <w:rFonts w:ascii="Times New Roman" w:hAnsi="Times New Roman"/>
          <w:sz w:val="24"/>
          <w:szCs w:val="24"/>
          <w:u w:val="single"/>
        </w:rPr>
        <w:t>Diane Lawless v, Cheryl Estrella</w:t>
      </w:r>
      <w:r>
        <w:rPr>
          <w:rFonts w:ascii="Times New Roman" w:hAnsi="Times New Roman"/>
          <w:sz w:val="24"/>
          <w:szCs w:val="24"/>
        </w:rPr>
        <w:t xml:space="preserve">, the Massachusetts Court of Appeals held (3 to 0) that the trial court properly granted summary judgment and dismissed the lawsuit filed by the former Town </w:t>
      </w:r>
      <w:r>
        <w:rPr>
          <w:rFonts w:ascii="Times New Roman" w:hAnsi="Times New Roman"/>
          <w:sz w:val="24"/>
          <w:szCs w:val="24"/>
        </w:rPr>
        <w:lastRenderedPageBreak/>
        <w:t xml:space="preserve">Treasurer against a Senior Clerk who provided investigators with a 6-page e-mail documenting misconduct by the Treasurer. </w:t>
      </w:r>
    </w:p>
    <w:p w14:paraId="57DAA941" w14:textId="77777777" w:rsidR="00737B49" w:rsidRPr="005202DF" w:rsidRDefault="00737B49" w:rsidP="00737B49">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5202DF">
        <w:rPr>
          <w:rFonts w:ascii="Times New Roman" w:hAnsi="Times New Roman"/>
          <w:sz w:val="24"/>
          <w:szCs w:val="24"/>
        </w:rPr>
        <w:t>We conclude that an opinion based on disclosed, nondefamatory facts is not defamatory and that many of the allegedly defamatory statements constitute such opinions.</w:t>
      </w:r>
      <w:r>
        <w:rPr>
          <w:rFonts w:ascii="Times New Roman" w:hAnsi="Times New Roman"/>
          <w:sz w:val="24"/>
          <w:szCs w:val="24"/>
        </w:rPr>
        <w:t xml:space="preserve"> </w:t>
      </w:r>
      <w:proofErr w:type="gramStart"/>
      <w:r w:rsidRPr="005202DF">
        <w:rPr>
          <w:rFonts w:ascii="Times New Roman" w:hAnsi="Times New Roman"/>
          <w:sz w:val="24"/>
          <w:szCs w:val="24"/>
        </w:rPr>
        <w:t>Further</w:t>
      </w:r>
      <w:proofErr w:type="gramEnd"/>
      <w:r w:rsidRPr="005202DF">
        <w:rPr>
          <w:rFonts w:ascii="Times New Roman" w:hAnsi="Times New Roman"/>
          <w:sz w:val="24"/>
          <w:szCs w:val="24"/>
        </w:rPr>
        <w:t xml:space="preserve"> concluding that an employee has a conditional privilege to provide information concerning another employee upon the request of a supervisor and that the plaintiff failed to raise a genuine issue of material fact that would allow a jury to find that this privilege was abused regarding the other statements, we affirm</w:t>
      </w:r>
      <w:r>
        <w:rPr>
          <w:rFonts w:ascii="Times New Roman" w:hAnsi="Times New Roman"/>
          <w:sz w:val="24"/>
          <w:szCs w:val="24"/>
        </w:rPr>
        <w:t xml:space="preserve">.” </w:t>
      </w:r>
      <w:hyperlink r:id="rId1186" w:history="1">
        <w:r w:rsidRPr="007F3E99">
          <w:rPr>
            <w:rStyle w:val="Hyperlink"/>
            <w:rFonts w:ascii="Times New Roman" w:hAnsi="Times New Roman"/>
            <w:sz w:val="24"/>
            <w:szCs w:val="24"/>
          </w:rPr>
          <w:t>https://www.massmunilaw.org/wp-content/uploads/2020/12/DIANE-LAWLESS-v.-CHERYL-ESTRELLA.pdf</w:t>
        </w:r>
      </w:hyperlink>
      <w:r>
        <w:rPr>
          <w:rFonts w:ascii="Times New Roman" w:hAnsi="Times New Roman"/>
          <w:sz w:val="24"/>
          <w:szCs w:val="24"/>
        </w:rPr>
        <w:t xml:space="preserve"> </w:t>
      </w:r>
    </w:p>
    <w:p w14:paraId="1273528A" w14:textId="77777777" w:rsidR="00737B49" w:rsidRDefault="00737B49" w:rsidP="00737B49">
      <w:pPr>
        <w:spacing w:before="100" w:beforeAutospacing="1" w:after="100" w:afterAutospacing="1" w:line="240" w:lineRule="auto"/>
        <w:rPr>
          <w:rFonts w:ascii="Times New Roman" w:hAnsi="Times New Roman"/>
          <w:b/>
          <w:bCs/>
          <w:sz w:val="24"/>
          <w:szCs w:val="24"/>
        </w:rPr>
      </w:pPr>
      <w:r w:rsidRPr="005202DF">
        <w:rPr>
          <w:rFonts w:ascii="Times New Roman" w:hAnsi="Times New Roman"/>
          <w:b/>
          <w:bCs/>
          <w:sz w:val="24"/>
          <w:szCs w:val="24"/>
        </w:rPr>
        <w:t>Legal Lesson Learned:</w:t>
      </w:r>
      <w:r>
        <w:rPr>
          <w:rFonts w:ascii="Times New Roman" w:hAnsi="Times New Roman"/>
          <w:b/>
          <w:bCs/>
          <w:sz w:val="24"/>
          <w:szCs w:val="24"/>
        </w:rPr>
        <w:t xml:space="preserve"> Internal investigations of a public official will often involve co-workers providing statements.  The “conditional privilege” is an important protection of these co-workers.</w:t>
      </w:r>
    </w:p>
    <w:p w14:paraId="6D3234E6" w14:textId="77777777" w:rsidR="00737B49" w:rsidRPr="005D50F1" w:rsidRDefault="00737B49" w:rsidP="00737B49">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The Court of Appeals referenced a Fire Department case where a co-worker also enjoyed protection from defamation lawsuit under the “conditional privilege.”  Kevin Barrows v. Wareham Fire District (Mass Court of Appeals; Oct. 12, 2012). </w:t>
      </w:r>
      <w:hyperlink r:id="rId1187" w:history="1">
        <w:r w:rsidRPr="007F3E99">
          <w:rPr>
            <w:rStyle w:val="Hyperlink"/>
          </w:rPr>
          <w:t>http://masscases.com/cases/app/82/82massappct623.html</w:t>
        </w:r>
      </w:hyperlink>
      <w:r>
        <w:t xml:space="preserve"> </w:t>
      </w:r>
    </w:p>
    <w:p w14:paraId="4946449C" w14:textId="77777777" w:rsidR="005E132A" w:rsidRDefault="005E132A" w:rsidP="00EF1133">
      <w:pPr>
        <w:rPr>
          <w:rFonts w:ascii="Arial Black" w:hAnsi="Arial Black"/>
          <w:b/>
          <w:sz w:val="24"/>
          <w:szCs w:val="24"/>
        </w:rPr>
      </w:pPr>
    </w:p>
    <w:p w14:paraId="2FEF57CE" w14:textId="77777777" w:rsidR="00737B49" w:rsidRDefault="00737B49" w:rsidP="00EF1133">
      <w:pPr>
        <w:rPr>
          <w:rFonts w:ascii="Arial Black" w:hAnsi="Arial Black"/>
          <w:b/>
          <w:sz w:val="24"/>
          <w:szCs w:val="24"/>
        </w:rPr>
      </w:pPr>
    </w:p>
    <w:p w14:paraId="259B3C9D" w14:textId="7679324B" w:rsidR="005E132A" w:rsidRDefault="005E132A"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7</w:t>
      </w:r>
    </w:p>
    <w:p w14:paraId="61010149" w14:textId="77777777" w:rsidR="00737B49" w:rsidRDefault="00737B49" w:rsidP="00737B49">
      <w:pPr>
        <w:pStyle w:val="NoSpacing"/>
        <w:rPr>
          <w:rFonts w:ascii="Arial Black" w:eastAsiaTheme="minorHAnsi" w:hAnsi="Arial Black" w:cstheme="minorBidi"/>
          <w:sz w:val="28"/>
          <w:szCs w:val="28"/>
        </w:rPr>
      </w:pPr>
      <w:r>
        <w:rPr>
          <w:rFonts w:ascii="Arial Black" w:hAnsi="Arial Black"/>
          <w:sz w:val="28"/>
          <w:szCs w:val="28"/>
        </w:rPr>
        <w:t>WV: EMT INJURED SHOULDER - FIRED 16 MO. LATER FOR FALSIFICATION DOC. – JURY DECIDED NO RETALIATION</w:t>
      </w:r>
    </w:p>
    <w:p w14:paraId="7E9B45ED" w14:textId="77777777" w:rsidR="00737B49" w:rsidRDefault="00737B49" w:rsidP="00737B49">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Dec. 7, 2020, in </w:t>
      </w:r>
      <w:r>
        <w:rPr>
          <w:rFonts w:ascii="Times New Roman" w:eastAsia="Times New Roman" w:hAnsi="Times New Roman"/>
          <w:sz w:val="24"/>
          <w:szCs w:val="24"/>
          <w:u w:val="single"/>
        </w:rPr>
        <w:t>Terri Smith v. Kanawha County Emergency Ambulance Authority</w:t>
      </w:r>
      <w:r>
        <w:rPr>
          <w:rFonts w:ascii="Times New Roman" w:eastAsia="Times New Roman" w:hAnsi="Times New Roman"/>
          <w:sz w:val="24"/>
          <w:szCs w:val="24"/>
        </w:rPr>
        <w:t xml:space="preserve">, the State of West Virginia Supreme Court of Appeals, held (3 to 2) that after a four-day jury trial the jury held for the employer, and the Court of Appeals held there were no errors in the jury instructions.  The Court also held there was no need to schedule oral argument by counsel (2 Justices disagreed).  The Court did not describe the document that was allegedly falsified.  </w:t>
      </w:r>
    </w:p>
    <w:p w14:paraId="25D69155" w14:textId="77777777" w:rsidR="00737B49" w:rsidRDefault="00737B49" w:rsidP="00737B49">
      <w:pPr>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“There is no dispute that petitioner sustained an on-the-job injury or that she instituted proceedings under the Workers' Compensation Act. However, the jury was asked to determine whether the filing of that workers' compensation claim was a ‘significant factor in the employer's decision to discharge’ and found that it was not.</w:t>
      </w:r>
    </w:p>
    <w:p w14:paraId="339223A6" w14:textId="77777777" w:rsidR="00737B49" w:rsidRDefault="00737B49" w:rsidP="00737B49">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The jury had the opportunity to observe the witnesses during their testimony and examine </w:t>
      </w:r>
      <w:proofErr w:type="gramStart"/>
      <w:r>
        <w:rPr>
          <w:rFonts w:ascii="Times New Roman" w:hAnsi="Times New Roman"/>
          <w:sz w:val="24"/>
          <w:szCs w:val="24"/>
        </w:rPr>
        <w:t>all of</w:t>
      </w:r>
      <w:proofErr w:type="gramEnd"/>
      <w:r>
        <w:rPr>
          <w:rFonts w:ascii="Times New Roman" w:hAnsi="Times New Roman"/>
          <w:sz w:val="24"/>
          <w:szCs w:val="24"/>
        </w:rPr>
        <w:t xml:space="preserve"> the evidence presented. The jury's finding that petitioner's filing of a workers' compensation claim was not a significant factor in her termination satisfies this Court's previously established standard, as petitioner was required to show that it was a significant factor </w:t>
      </w:r>
      <w:proofErr w:type="gramStart"/>
      <w:r>
        <w:rPr>
          <w:rFonts w:ascii="Times New Roman" w:hAnsi="Times New Roman"/>
          <w:sz w:val="24"/>
          <w:szCs w:val="24"/>
        </w:rPr>
        <w:t>in order to</w:t>
      </w:r>
      <w:proofErr w:type="gramEnd"/>
      <w:r>
        <w:rPr>
          <w:rFonts w:ascii="Times New Roman" w:hAnsi="Times New Roman"/>
          <w:sz w:val="24"/>
          <w:szCs w:val="24"/>
        </w:rPr>
        <w:t xml:space="preserve"> establish a prima facie case of discrimination. Syl. Pt. 1, </w:t>
      </w:r>
      <w:r>
        <w:rPr>
          <w:rFonts w:ascii="Times New Roman" w:hAnsi="Times New Roman"/>
          <w:i/>
          <w:iCs/>
          <w:sz w:val="24"/>
          <w:szCs w:val="24"/>
        </w:rPr>
        <w:t>Powell</w:t>
      </w:r>
      <w:r>
        <w:rPr>
          <w:rFonts w:ascii="Times New Roman" w:hAnsi="Times New Roman"/>
          <w:sz w:val="24"/>
          <w:szCs w:val="24"/>
        </w:rPr>
        <w:t xml:space="preserve">, 184 W.Va. at 701, 403 S.E.2d at 718. Therefore, we will not overturn the jury's verdict in favor of respondent on this </w:t>
      </w:r>
      <w:proofErr w:type="gramStart"/>
      <w:r>
        <w:rPr>
          <w:rFonts w:ascii="Times New Roman" w:hAnsi="Times New Roman"/>
          <w:sz w:val="24"/>
          <w:szCs w:val="24"/>
        </w:rPr>
        <w:t>ground.”</w:t>
      </w:r>
      <w:proofErr w:type="gramEnd"/>
      <w:r>
        <w:rPr>
          <w:rFonts w:ascii="Times New Roman" w:hAnsi="Times New Roman"/>
          <w:sz w:val="24"/>
          <w:szCs w:val="24"/>
        </w:rPr>
        <w:t xml:space="preserve"> </w:t>
      </w:r>
      <w:hyperlink r:id="rId1188" w:history="1">
        <w:r>
          <w:rPr>
            <w:rStyle w:val="Hyperlink"/>
          </w:rPr>
          <w:t>https://www.courtlistener.com/opinion/4836452/terri-smith-v-kanawha-county-emergency-ambulance-authority/</w:t>
        </w:r>
      </w:hyperlink>
      <w:r>
        <w:rPr>
          <w:rFonts w:ascii="Times New Roman" w:hAnsi="Times New Roman"/>
          <w:sz w:val="24"/>
          <w:szCs w:val="24"/>
        </w:rPr>
        <w:t xml:space="preserve">? </w:t>
      </w:r>
    </w:p>
    <w:p w14:paraId="5D7D330A" w14:textId="77777777" w:rsidR="00737B49" w:rsidRDefault="00737B49" w:rsidP="00737B49">
      <w:pPr>
        <w:pStyle w:val="NormalWeb"/>
        <w:rPr>
          <w:b/>
          <w:bCs/>
        </w:rPr>
      </w:pPr>
      <w:r>
        <w:rPr>
          <w:b/>
          <w:bCs/>
        </w:rPr>
        <w:t xml:space="preserve">Legal Lesson Learned: Under West Virginia statute, the employee must prove that the workers’ compensation claim was a “significant factor in the employer’s decision to discharge” the employee.  </w:t>
      </w:r>
    </w:p>
    <w:p w14:paraId="35F4EBBA" w14:textId="271BF514" w:rsidR="00737B49" w:rsidRDefault="00737B49" w:rsidP="00737B49">
      <w:pPr>
        <w:ind w:left="720"/>
        <w:rPr>
          <w:rFonts w:ascii="Arial Black" w:hAnsi="Arial Black"/>
          <w:b/>
          <w:sz w:val="24"/>
          <w:szCs w:val="24"/>
        </w:rPr>
      </w:pPr>
      <w:r>
        <w:rPr>
          <w:rFonts w:ascii="Times New Roman" w:hAnsi="Times New Roman"/>
          <w:sz w:val="24"/>
          <w:szCs w:val="24"/>
        </w:rPr>
        <w:lastRenderedPageBreak/>
        <w:t xml:space="preserve">Note: See Jan. 25, </w:t>
      </w:r>
      <w:proofErr w:type="gramStart"/>
      <w:r>
        <w:rPr>
          <w:rFonts w:ascii="Times New Roman" w:hAnsi="Times New Roman"/>
          <w:sz w:val="24"/>
          <w:szCs w:val="24"/>
        </w:rPr>
        <w:t>2017</w:t>
      </w:r>
      <w:proofErr w:type="gramEnd"/>
      <w:r>
        <w:rPr>
          <w:rFonts w:ascii="Times New Roman" w:hAnsi="Times New Roman"/>
          <w:sz w:val="24"/>
          <w:szCs w:val="24"/>
        </w:rPr>
        <w:t xml:space="preserve"> article: “Ambulance service worker blames multiple defendants for injuries.”  *** “According to the complaint, on Dec. 31, 2014, </w:t>
      </w:r>
      <w:proofErr w:type="gramStart"/>
      <w:r>
        <w:rPr>
          <w:rFonts w:ascii="Times New Roman" w:hAnsi="Times New Roman"/>
          <w:sz w:val="24"/>
          <w:szCs w:val="24"/>
        </w:rPr>
        <w:t>as a result of</w:t>
      </w:r>
      <w:proofErr w:type="gramEnd"/>
      <w:r>
        <w:rPr>
          <w:rFonts w:ascii="Times New Roman" w:hAnsi="Times New Roman"/>
          <w:sz w:val="24"/>
          <w:szCs w:val="24"/>
        </w:rPr>
        <w:t xml:space="preserve"> the defendants' negligence, Smith was seriously injured while lifting an obese patient she was required to transport from the Charleston Area Medical Center. The plaintiff alleges the defendants failed to provide sufficient staff and other resources to safely lift the obese patient.” </w:t>
      </w:r>
      <w:hyperlink r:id="rId1189" w:history="1">
        <w:r>
          <w:rPr>
            <w:rStyle w:val="Hyperlink"/>
          </w:rPr>
          <w:t>https://wvrecord.com/stories/511075521-ambulance-service-worker-blames-multiple-defendants-for-injuries</w:t>
        </w:r>
      </w:hyperlink>
    </w:p>
    <w:p w14:paraId="61538E8B" w14:textId="77777777" w:rsidR="005E132A" w:rsidRDefault="005E132A" w:rsidP="00EF1133">
      <w:pPr>
        <w:rPr>
          <w:rFonts w:ascii="Arial Black" w:hAnsi="Arial Black"/>
          <w:b/>
          <w:sz w:val="24"/>
          <w:szCs w:val="24"/>
        </w:rPr>
      </w:pPr>
    </w:p>
    <w:p w14:paraId="1E960E05" w14:textId="3C9006D4"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6</w:t>
      </w:r>
    </w:p>
    <w:p w14:paraId="61C2B7D2" w14:textId="77777777" w:rsidR="009E093C" w:rsidRPr="00E24ECF" w:rsidRDefault="009E093C" w:rsidP="009E093C">
      <w:pPr>
        <w:pStyle w:val="NoSpacing"/>
        <w:rPr>
          <w:rFonts w:ascii="Arial Black" w:hAnsi="Arial Black"/>
          <w:sz w:val="28"/>
          <w:szCs w:val="28"/>
        </w:rPr>
      </w:pPr>
      <w:r>
        <w:rPr>
          <w:rFonts w:ascii="Arial Black" w:hAnsi="Arial Black"/>
          <w:sz w:val="28"/>
          <w:szCs w:val="28"/>
        </w:rPr>
        <w:t>MO: MANDATORY AGE 65 RETIREMENT – CITY POLICE DEPT - LAWFUL UNDER FEDERAL ADEA FOR POLICE / FIRE</w:t>
      </w:r>
    </w:p>
    <w:p w14:paraId="0612D3BA" w14:textId="77777777" w:rsidR="009E093C" w:rsidRDefault="009E093C" w:rsidP="009E093C">
      <w:pPr>
        <w:pStyle w:val="NormalWeb"/>
      </w:pPr>
      <w:r>
        <w:t xml:space="preserve">On Nov. 16, 2020, in </w:t>
      </w:r>
      <w:r w:rsidRPr="003C0A09">
        <w:rPr>
          <w:u w:val="single"/>
        </w:rPr>
        <w:t>Michael Caruso v. St. Louis, Missouri</w:t>
      </w:r>
      <w:r>
        <w:t xml:space="preserve">, U.S. Magistrate Judge Shirley P. Mensah, U.S. District Court, Eastern District of Missouri (Eastern Division), granted the City’s motion to dismiss; the City has a mandatory age 65 for its police officers, and while occasionally they will grant a one-year extension, there is no requirement to do so.  This is authorized under the federal ADEA, Age Discrimination in Employment Act amendments in 1986; see also EEOC guidance: </w:t>
      </w:r>
      <w:hyperlink r:id="rId1190" w:history="1">
        <w:r w:rsidRPr="00D74D0C">
          <w:rPr>
            <w:rStyle w:val="Hyperlink"/>
          </w:rPr>
          <w:t>https://www.eeoc.gov/statutes/age-discrimination-employment-act-1967</w:t>
        </w:r>
      </w:hyperlink>
      <w:r>
        <w:t xml:space="preserve">  </w:t>
      </w:r>
    </w:p>
    <w:p w14:paraId="1B513148" w14:textId="77777777" w:rsidR="009E093C" w:rsidRPr="003C0A09" w:rsidRDefault="009E093C" w:rsidP="009E093C">
      <w:pPr>
        <w:pStyle w:val="NormalWeb"/>
        <w:ind w:left="720"/>
      </w:pPr>
      <w:r>
        <w:t xml:space="preserve">“Defendant concedes Plaintiff was terminated because of his age but argues Plaintiff's discharge fell within an exemption in the ADEA that allows state and local governments to set a mandatory retirement age for police officers provided certain requirements are met. Specifically, under 29 U.S.C.§ 623(j), state and local governments are allowed to set mandatory retirement ages for firefighters and law enforcement officers if the following two requirements are met: First, the discharge must have been pursuant to a state or local law requiring mandatory retirement by a certain age; and, second, the discharge must be pursuant to a bona fide retirement plan that is not a subterfuge for impermissible age discrimination. 29 U.S.C. § 623(j)(1)-(2). </w:t>
      </w:r>
      <w:r w:rsidRPr="00E24ECF">
        <w:t xml:space="preserve"> To satisfy the first</w:t>
      </w:r>
      <w:r>
        <w:t xml:space="preserve"> </w:t>
      </w:r>
      <w:r w:rsidRPr="00E24ECF">
        <w:t xml:space="preserve">requirement, the mandatory retirement law must </w:t>
      </w:r>
      <w:r w:rsidRPr="00E24ECF">
        <w:rPr>
          <w:i/>
          <w:iCs/>
        </w:rPr>
        <w:t>either</w:t>
      </w:r>
      <w:r w:rsidRPr="00E24ECF">
        <w:t xml:space="preserve"> have been in effect on March 3, </w:t>
      </w:r>
      <w:proofErr w:type="gramStart"/>
      <w:r w:rsidRPr="00E24ECF">
        <w:t>1983</w:t>
      </w:r>
      <w:proofErr w:type="gramEnd"/>
      <w:r w:rsidRPr="00E24ECF">
        <w:t xml:space="preserve"> </w:t>
      </w:r>
      <w:r w:rsidRPr="00E24ECF">
        <w:rPr>
          <w:i/>
          <w:iCs/>
        </w:rPr>
        <w:t>or</w:t>
      </w:r>
      <w:r w:rsidRPr="00E24ECF">
        <w:t xml:space="preserve"> must have been enacted after September 30, 1996; and, if the latter, the discharge must occur no earlier than age fifty-five. </w:t>
      </w:r>
      <w:r w:rsidRPr="00E24ECF">
        <w:rPr>
          <w:i/>
          <w:iCs/>
        </w:rPr>
        <w:t>See Correa-Ruiz v</w:t>
      </w:r>
      <w:r w:rsidRPr="00E24ECF">
        <w:t xml:space="preserve">. </w:t>
      </w:r>
      <w:r w:rsidRPr="00E24ECF">
        <w:rPr>
          <w:i/>
          <w:iCs/>
        </w:rPr>
        <w:t>Fortuno</w:t>
      </w:r>
      <w:r w:rsidRPr="00E24ECF">
        <w:t>, 572 F.3d 1, 9 (1st Cir. 2009) (construing 29 U.S.C.</w:t>
      </w:r>
      <w:r>
        <w:t xml:space="preserve"> </w:t>
      </w:r>
      <w:r w:rsidRPr="00E24ECF">
        <w:t xml:space="preserve">§623(j)(1)(A) and (B)(ii) to mean the discharge must have been </w:t>
      </w:r>
      <w:r>
        <w:t>‘</w:t>
      </w:r>
      <w:r w:rsidRPr="00E24ECF">
        <w:t xml:space="preserve">pursuant to a mandatory retirement plan that </w:t>
      </w:r>
      <w:r w:rsidRPr="00E24ECF">
        <w:rPr>
          <w:i/>
          <w:iCs/>
        </w:rPr>
        <w:t>either</w:t>
      </w:r>
      <w:r w:rsidRPr="00E24ECF">
        <w:t xml:space="preserve"> was in effect on March 3, 1983 </w:t>
      </w:r>
      <w:r w:rsidRPr="00E24ECF">
        <w:rPr>
          <w:i/>
          <w:iCs/>
        </w:rPr>
        <w:t>or</w:t>
      </w:r>
      <w:r w:rsidRPr="00E24ECF">
        <w:t xml:space="preserve"> was enacted after September 30, 1996. The only-age related limitation on the latter option is that the discharge occurs no earlier than age fifty-five.</w:t>
      </w:r>
      <w:r>
        <w:t>’</w:t>
      </w:r>
      <w:r w:rsidRPr="00E24ECF">
        <w:t>).</w:t>
      </w:r>
      <w:r>
        <w:t xml:space="preserve"> </w:t>
      </w:r>
      <w:hyperlink r:id="rId1191" w:history="1">
        <w:r w:rsidRPr="003C0A09">
          <w:rPr>
            <w:rStyle w:val="Hyperlink"/>
          </w:rPr>
          <w:t>https://public.fastcase.com/Wl%2B2t%2BeVuI35%2FN70vAMFZjoMXHbjadZDEq7kSjk%2BwtWPLJ9YZycRPzxEYilorv6v</w:t>
        </w:r>
      </w:hyperlink>
      <w:r w:rsidRPr="003C0A09">
        <w:t xml:space="preserve"> </w:t>
      </w:r>
    </w:p>
    <w:p w14:paraId="22DBC5E7" w14:textId="77777777" w:rsidR="009E093C" w:rsidRDefault="009E093C" w:rsidP="009E093C">
      <w:pPr>
        <w:spacing w:before="100" w:beforeAutospacing="1" w:after="100" w:afterAutospacing="1" w:line="240" w:lineRule="auto"/>
        <w:rPr>
          <w:rFonts w:ascii="Times New Roman" w:eastAsia="Times New Roman" w:hAnsi="Times New Roman"/>
          <w:b/>
          <w:bCs/>
          <w:sz w:val="24"/>
          <w:szCs w:val="24"/>
        </w:rPr>
      </w:pPr>
      <w:r w:rsidRPr="00D53EBE">
        <w:rPr>
          <w:rFonts w:ascii="Times New Roman" w:hAnsi="Times New Roman"/>
          <w:b/>
          <w:bCs/>
          <w:sz w:val="24"/>
          <w:szCs w:val="24"/>
        </w:rPr>
        <w:t>Legal Lesson Learned:</w:t>
      </w:r>
      <w:r w:rsidRPr="00D53EBE">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Federal ADEA statute, amended 1986, authorizes mandatory retirement ages for police and fire. </w:t>
      </w:r>
    </w:p>
    <w:p w14:paraId="6443F067" w14:textId="77777777" w:rsidR="009E093C" w:rsidRPr="003C0A09" w:rsidRDefault="009E093C" w:rsidP="009E093C">
      <w:pPr>
        <w:spacing w:before="100" w:beforeAutospacing="1" w:after="100" w:afterAutospacing="1" w:line="240" w:lineRule="auto"/>
        <w:ind w:left="1440"/>
        <w:rPr>
          <w:rFonts w:ascii="Times New Roman" w:eastAsia="Times New Roman" w:hAnsi="Times New Roman"/>
          <w:sz w:val="24"/>
          <w:szCs w:val="24"/>
        </w:rPr>
      </w:pPr>
      <w:r w:rsidRPr="00D53EBE">
        <w:rPr>
          <w:rFonts w:ascii="Times New Roman" w:eastAsia="Times New Roman" w:hAnsi="Times New Roman"/>
          <w:sz w:val="24"/>
          <w:szCs w:val="24"/>
        </w:rPr>
        <w:t>Note: See Congressional testimony</w:t>
      </w:r>
      <w:r>
        <w:rPr>
          <w:rFonts w:ascii="Times New Roman" w:eastAsia="Times New Roman" w:hAnsi="Times New Roman"/>
          <w:sz w:val="24"/>
          <w:szCs w:val="24"/>
        </w:rPr>
        <w:t>, March 12,</w:t>
      </w:r>
      <w:r w:rsidRPr="00D53EBE">
        <w:rPr>
          <w:rFonts w:ascii="Times New Roman" w:eastAsia="Times New Roman" w:hAnsi="Times New Roman"/>
          <w:sz w:val="24"/>
          <w:szCs w:val="24"/>
        </w:rPr>
        <w:t xml:space="preserve"> 1986</w:t>
      </w:r>
      <w:r>
        <w:rPr>
          <w:rFonts w:ascii="Times New Roman" w:eastAsia="Times New Roman" w:hAnsi="Times New Roman"/>
          <w:sz w:val="24"/>
          <w:szCs w:val="24"/>
        </w:rPr>
        <w:t>, on the proposed exemptions to the ADEA for police and fire.  “</w:t>
      </w:r>
      <w:r w:rsidRPr="00D53EBE">
        <w:rPr>
          <w:rFonts w:ascii="Times New Roman" w:hAnsi="Times New Roman"/>
          <w:sz w:val="24"/>
          <w:szCs w:val="24"/>
        </w:rPr>
        <w:t xml:space="preserve">Air traffic controllers, for instance, must retire at age 56, foreign service officers at age 65, and Federal firefighters and law enforcement officers, including employees of the FBI, Secret Service, and Federal Prison System, must retire at the age of 55. </w:t>
      </w:r>
      <w:hyperlink r:id="rId1192" w:history="1">
        <w:r w:rsidRPr="002F20C3">
          <w:rPr>
            <w:rStyle w:val="Hyperlink"/>
            <w:rFonts w:ascii="Times New Roman" w:hAnsi="Times New Roman"/>
            <w:sz w:val="24"/>
            <w:szCs w:val="24"/>
          </w:rPr>
          <w:t>https://www.ncjrs.gov/pdffiles1/Digitization/103277NCJRS.pdf</w:t>
        </w:r>
      </w:hyperlink>
      <w:r>
        <w:rPr>
          <w:rFonts w:ascii="Times New Roman" w:hAnsi="Times New Roman"/>
          <w:sz w:val="24"/>
          <w:szCs w:val="24"/>
        </w:rPr>
        <w:t xml:space="preserve"> </w:t>
      </w:r>
    </w:p>
    <w:p w14:paraId="2BCB2F69" w14:textId="77777777" w:rsidR="009E093C" w:rsidRDefault="009E093C" w:rsidP="00EF1133">
      <w:pPr>
        <w:rPr>
          <w:rFonts w:ascii="Arial Black" w:hAnsi="Arial Black"/>
          <w:b/>
          <w:sz w:val="24"/>
          <w:szCs w:val="24"/>
        </w:rPr>
      </w:pPr>
    </w:p>
    <w:p w14:paraId="2D648636" w14:textId="77777777" w:rsidR="009E093C" w:rsidRDefault="009E093C" w:rsidP="00EF1133">
      <w:pPr>
        <w:rPr>
          <w:rFonts w:ascii="Arial Black" w:hAnsi="Arial Black"/>
          <w:b/>
          <w:sz w:val="24"/>
          <w:szCs w:val="24"/>
        </w:rPr>
      </w:pPr>
    </w:p>
    <w:p w14:paraId="61699EB5" w14:textId="3CFB7D1A"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5</w:t>
      </w:r>
    </w:p>
    <w:p w14:paraId="7445A0E6" w14:textId="77777777" w:rsidR="009E093C" w:rsidRPr="00DF42AC" w:rsidRDefault="009E093C" w:rsidP="009E093C">
      <w:pPr>
        <w:pStyle w:val="NoSpacing"/>
        <w:rPr>
          <w:rFonts w:ascii="Arial Black" w:hAnsi="Arial Black"/>
          <w:sz w:val="28"/>
          <w:szCs w:val="28"/>
        </w:rPr>
      </w:pPr>
      <w:r>
        <w:rPr>
          <w:rFonts w:ascii="Arial Black" w:hAnsi="Arial Black"/>
          <w:sz w:val="28"/>
          <w:szCs w:val="28"/>
        </w:rPr>
        <w:t xml:space="preserve">NJ: PENSION SURVIVOR BENEFITS – ONLY IF FEMALE WAS MARRIED TO MALE FF OR “SAME SEX DOMESTIC PARTNER” </w:t>
      </w:r>
    </w:p>
    <w:p w14:paraId="2E3A87CC" w14:textId="77777777" w:rsidR="009E093C" w:rsidRDefault="009E093C" w:rsidP="009E093C">
      <w:pPr>
        <w:pStyle w:val="NoSpacing"/>
      </w:pPr>
    </w:p>
    <w:p w14:paraId="16787AD9" w14:textId="77777777" w:rsidR="009E093C" w:rsidRDefault="009E093C" w:rsidP="009E093C">
      <w:pPr>
        <w:rPr>
          <w:rFonts w:ascii="Times New Roman" w:hAnsi="Times New Roman"/>
          <w:sz w:val="24"/>
          <w:szCs w:val="24"/>
        </w:rPr>
      </w:pPr>
      <w:r w:rsidRPr="00D60D8C">
        <w:rPr>
          <w:rFonts w:ascii="Times New Roman" w:hAnsi="Times New Roman"/>
          <w:sz w:val="24"/>
          <w:szCs w:val="24"/>
        </w:rPr>
        <w:t xml:space="preserve">On Nov. 5, 2020, </w:t>
      </w:r>
      <w:r>
        <w:rPr>
          <w:rFonts w:ascii="Times New Roman" w:hAnsi="Times New Roman"/>
          <w:sz w:val="24"/>
          <w:szCs w:val="24"/>
        </w:rPr>
        <w:t xml:space="preserve">in </w:t>
      </w:r>
      <w:r w:rsidRPr="00D60D8C">
        <w:rPr>
          <w:rFonts w:ascii="Times New Roman" w:hAnsi="Times New Roman"/>
          <w:sz w:val="24"/>
          <w:szCs w:val="24"/>
          <w:u w:val="single"/>
        </w:rPr>
        <w:t>The Matter Of Board Of Trustees Of The Police And Firemen’s Retirement System Of New Jersey – Denial Of Dolores Ortega’s Right To Receive Survivor Benefits</w:t>
      </w:r>
      <w:r>
        <w:rPr>
          <w:rFonts w:ascii="Times New Roman" w:hAnsi="Times New Roman"/>
          <w:sz w:val="24"/>
          <w:szCs w:val="24"/>
        </w:rPr>
        <w:t xml:space="preserve">, the Superior Court of New Jersey Appellate Division, held (3 to 0; unpublished decision) that Ms. Ortega did not qualify for survivor benefits because she was not the member’s widow. </w:t>
      </w:r>
    </w:p>
    <w:p w14:paraId="270D933A" w14:textId="77777777" w:rsidR="009E093C" w:rsidRDefault="009E093C" w:rsidP="009E093C">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B3AF5">
        <w:rPr>
          <w:rFonts w:ascii="Times New Roman" w:hAnsi="Times New Roman"/>
          <w:sz w:val="24"/>
          <w:szCs w:val="24"/>
        </w:rPr>
        <w:t xml:space="preserve">Contrary to appellant's contention, the statutory and regulatory scheme did not discriminate against her </w:t>
      </w:r>
      <w:proofErr w:type="gramStart"/>
      <w:r w:rsidRPr="00CB3AF5">
        <w:rPr>
          <w:rFonts w:ascii="Times New Roman" w:hAnsi="Times New Roman"/>
          <w:sz w:val="24"/>
          <w:szCs w:val="24"/>
        </w:rPr>
        <w:t>on the basis of</w:t>
      </w:r>
      <w:proofErr w:type="gramEnd"/>
      <w:r w:rsidRPr="00CB3AF5">
        <w:rPr>
          <w:rFonts w:ascii="Times New Roman" w:hAnsi="Times New Roman"/>
          <w:sz w:val="24"/>
          <w:szCs w:val="24"/>
        </w:rPr>
        <w:t xml:space="preserve"> her gender. Because she and Koncsol were of opposite sexes, they were free to marry, which would have enabled her to qualify for the </w:t>
      </w:r>
      <w:proofErr w:type="gramStart"/>
      <w:r w:rsidRPr="00CB3AF5">
        <w:rPr>
          <w:rFonts w:ascii="Times New Roman" w:hAnsi="Times New Roman"/>
          <w:sz w:val="24"/>
          <w:szCs w:val="24"/>
        </w:rPr>
        <w:t>survivor</w:t>
      </w:r>
      <w:proofErr w:type="gramEnd"/>
      <w:r w:rsidRPr="00CB3AF5">
        <w:rPr>
          <w:rFonts w:ascii="Times New Roman" w:hAnsi="Times New Roman"/>
          <w:sz w:val="24"/>
          <w:szCs w:val="24"/>
        </w:rPr>
        <w:t xml:space="preserve"> benefit. On the other hand, same-sex couples could not marry when the Act went into effect and, therefore, the Legislature wanted to provide a mechanism limited to them in the Act to ensure that these individuals would have the same right to this benefit as an opposite-sex couple. Thus, there was </w:t>
      </w:r>
      <w:r>
        <w:rPr>
          <w:rFonts w:ascii="Times New Roman" w:hAnsi="Times New Roman"/>
          <w:sz w:val="24"/>
          <w:szCs w:val="24"/>
        </w:rPr>
        <w:t>‘</w:t>
      </w:r>
      <w:r w:rsidRPr="00CB3AF5">
        <w:rPr>
          <w:rFonts w:ascii="Times New Roman" w:hAnsi="Times New Roman"/>
          <w:sz w:val="24"/>
          <w:szCs w:val="24"/>
        </w:rPr>
        <w:t xml:space="preserve">a clear and rational </w:t>
      </w:r>
      <w:proofErr w:type="spellStart"/>
      <w:r w:rsidRPr="00CB3AF5">
        <w:rPr>
          <w:rFonts w:ascii="Times New Roman" w:hAnsi="Times New Roman"/>
          <w:sz w:val="24"/>
          <w:szCs w:val="24"/>
        </w:rPr>
        <w:t>basis</w:t>
      </w:r>
      <w:r>
        <w:rPr>
          <w:rFonts w:ascii="Times New Roman" w:hAnsi="Times New Roman"/>
          <w:sz w:val="24"/>
          <w:szCs w:val="24"/>
        </w:rPr>
        <w:t>’</w:t>
      </w:r>
      <w:proofErr w:type="spellEnd"/>
      <w:r w:rsidRPr="00CB3AF5">
        <w:rPr>
          <w:rFonts w:ascii="Times New Roman" w:hAnsi="Times New Roman"/>
          <w:sz w:val="24"/>
          <w:szCs w:val="24"/>
        </w:rPr>
        <w:t xml:space="preserve"> underlying the Legislature's decision to </w:t>
      </w:r>
      <w:r>
        <w:rPr>
          <w:rFonts w:ascii="Times New Roman" w:hAnsi="Times New Roman"/>
          <w:sz w:val="24"/>
          <w:szCs w:val="24"/>
        </w:rPr>
        <w:t>‘</w:t>
      </w:r>
      <w:proofErr w:type="spellStart"/>
      <w:r w:rsidRPr="00CB3AF5">
        <w:rPr>
          <w:rFonts w:ascii="Times New Roman" w:hAnsi="Times New Roman"/>
          <w:sz w:val="24"/>
          <w:szCs w:val="24"/>
        </w:rPr>
        <w:t>mak</w:t>
      </w:r>
      <w:proofErr w:type="spellEnd"/>
      <w:r w:rsidRPr="00CB3AF5">
        <w:rPr>
          <w:rFonts w:ascii="Times New Roman" w:hAnsi="Times New Roman"/>
          <w:sz w:val="24"/>
          <w:szCs w:val="24"/>
        </w:rPr>
        <w:t>[e] certain health and pension benefits available to dependent domestic partners only in the case of domestic partnerships in which both persons are of the same sex . . . .</w:t>
      </w:r>
      <w:r>
        <w:rPr>
          <w:rFonts w:ascii="Times New Roman" w:hAnsi="Times New Roman"/>
          <w:sz w:val="24"/>
          <w:szCs w:val="24"/>
        </w:rPr>
        <w:t>’</w:t>
      </w:r>
      <w:r w:rsidRPr="00CB3AF5">
        <w:rPr>
          <w:rFonts w:ascii="Times New Roman" w:hAnsi="Times New Roman"/>
          <w:sz w:val="24"/>
          <w:szCs w:val="24"/>
        </w:rPr>
        <w:t xml:space="preserve"> N.J.S.A. 26:8A-2(e).</w:t>
      </w:r>
      <w:r>
        <w:rPr>
          <w:rFonts w:ascii="Times New Roman" w:hAnsi="Times New Roman"/>
          <w:sz w:val="24"/>
          <w:szCs w:val="24"/>
        </w:rPr>
        <w:t xml:space="preserve">” </w:t>
      </w:r>
      <w:hyperlink r:id="rId1193" w:history="1">
        <w:r w:rsidRPr="00D35A04">
          <w:rPr>
            <w:rStyle w:val="Hyperlink"/>
            <w:rFonts w:ascii="Times New Roman" w:hAnsi="Times New Roman"/>
            <w:sz w:val="24"/>
            <w:szCs w:val="24"/>
          </w:rPr>
          <w:t>https://public.fastcase.com/Wl%2B2t%2BeVuI35%2FN70vAMFZvIVF%2BSpwi61gSoehD%2F89NWJSNvj394DBr50iS5GXrLH</w:t>
        </w:r>
      </w:hyperlink>
      <w:r>
        <w:rPr>
          <w:rFonts w:ascii="Times New Roman" w:hAnsi="Times New Roman"/>
          <w:sz w:val="24"/>
          <w:szCs w:val="24"/>
        </w:rPr>
        <w:t xml:space="preserve"> </w:t>
      </w:r>
    </w:p>
    <w:p w14:paraId="5D24A226" w14:textId="77777777" w:rsidR="009E093C" w:rsidRPr="00DF42AC" w:rsidRDefault="009E093C" w:rsidP="009E093C">
      <w:pPr>
        <w:spacing w:before="100" w:beforeAutospacing="1" w:after="100" w:afterAutospacing="1" w:line="240" w:lineRule="auto"/>
        <w:rPr>
          <w:rFonts w:ascii="Times New Roman" w:eastAsia="Times New Roman" w:hAnsi="Times New Roman"/>
          <w:b/>
          <w:bCs/>
          <w:sz w:val="24"/>
          <w:szCs w:val="24"/>
        </w:rPr>
      </w:pPr>
      <w:r w:rsidRPr="00CB3AF5">
        <w:rPr>
          <w:rFonts w:ascii="Times New Roman" w:hAnsi="Times New Roman"/>
          <w:b/>
          <w:bCs/>
          <w:sz w:val="24"/>
          <w:szCs w:val="24"/>
        </w:rPr>
        <w:t>Legal Lesson Learned:</w:t>
      </w:r>
      <w:r>
        <w:rPr>
          <w:rFonts w:ascii="Times New Roman" w:hAnsi="Times New Roman"/>
          <w:b/>
          <w:bCs/>
          <w:sz w:val="24"/>
          <w:szCs w:val="24"/>
        </w:rPr>
        <w:t xml:space="preserve">  It would have been helpful if the state retirement Board had promptly notified the </w:t>
      </w:r>
      <w:proofErr w:type="gramStart"/>
      <w:r>
        <w:rPr>
          <w:rFonts w:ascii="Times New Roman" w:hAnsi="Times New Roman"/>
          <w:b/>
          <w:bCs/>
          <w:sz w:val="24"/>
          <w:szCs w:val="24"/>
        </w:rPr>
        <w:t>firefighter,</w:t>
      </w:r>
      <w:proofErr w:type="gramEnd"/>
      <w:r>
        <w:rPr>
          <w:rFonts w:ascii="Times New Roman" w:hAnsi="Times New Roman"/>
          <w:b/>
          <w:bCs/>
          <w:sz w:val="24"/>
          <w:szCs w:val="24"/>
        </w:rPr>
        <w:t xml:space="preserve"> when he submitted his change of beneficiary, that he had to marry Dolores Ortega. </w:t>
      </w:r>
    </w:p>
    <w:p w14:paraId="3EED1EFF" w14:textId="77777777" w:rsidR="009E093C" w:rsidRDefault="009E093C" w:rsidP="00EF1133">
      <w:pPr>
        <w:rPr>
          <w:rFonts w:ascii="Arial Black" w:hAnsi="Arial Black"/>
          <w:b/>
          <w:sz w:val="24"/>
          <w:szCs w:val="24"/>
        </w:rPr>
      </w:pPr>
    </w:p>
    <w:p w14:paraId="67E054B3" w14:textId="77777777" w:rsidR="009E093C" w:rsidRDefault="009E093C" w:rsidP="00EF1133">
      <w:pPr>
        <w:rPr>
          <w:rFonts w:ascii="Arial Black" w:hAnsi="Arial Black"/>
          <w:b/>
          <w:sz w:val="24"/>
          <w:szCs w:val="24"/>
        </w:rPr>
      </w:pPr>
    </w:p>
    <w:p w14:paraId="7B22431A" w14:textId="77777777" w:rsidR="00B03268" w:rsidRDefault="00B03268" w:rsidP="00EF1133">
      <w:pPr>
        <w:rPr>
          <w:rFonts w:ascii="Arial Black" w:hAnsi="Arial Black"/>
          <w:b/>
          <w:sz w:val="24"/>
          <w:szCs w:val="24"/>
        </w:rPr>
      </w:pPr>
    </w:p>
    <w:p w14:paraId="56ABCC56" w14:textId="61240802"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4</w:t>
      </w:r>
    </w:p>
    <w:p w14:paraId="0EA378CC" w14:textId="77777777" w:rsidR="009E093C" w:rsidRDefault="009E093C" w:rsidP="009E093C">
      <w:pPr>
        <w:pStyle w:val="NoSpacing"/>
        <w:rPr>
          <w:rFonts w:ascii="Arial Black" w:hAnsi="Arial Black"/>
          <w:sz w:val="28"/>
          <w:szCs w:val="28"/>
        </w:rPr>
      </w:pPr>
      <w:r>
        <w:rPr>
          <w:rFonts w:ascii="Arial Black" w:hAnsi="Arial Black"/>
          <w:sz w:val="28"/>
          <w:szCs w:val="28"/>
        </w:rPr>
        <w:t xml:space="preserve">DE:  WHISTLEBLOWER CASE DISMISSED – FIRE CHIEF CONVICTED, TO PRISON, BUT MONEY STOLEN NOT CITY FUNDS </w:t>
      </w:r>
    </w:p>
    <w:p w14:paraId="305DF530" w14:textId="77777777" w:rsidR="009E093C" w:rsidRDefault="009E093C" w:rsidP="009E093C">
      <w:pPr>
        <w:pStyle w:val="NoSpacing"/>
        <w:rPr>
          <w:rFonts w:ascii="Times New Roman" w:hAnsi="Times New Roman"/>
          <w:sz w:val="24"/>
          <w:szCs w:val="24"/>
        </w:rPr>
      </w:pPr>
    </w:p>
    <w:p w14:paraId="1F940C6E" w14:textId="77777777" w:rsidR="009E093C" w:rsidRPr="00BF6BAF" w:rsidRDefault="009E093C" w:rsidP="009E093C">
      <w:pPr>
        <w:pStyle w:val="NoSpacing"/>
        <w:rPr>
          <w:rFonts w:ascii="Times New Roman" w:hAnsi="Times New Roman"/>
          <w:sz w:val="24"/>
          <w:szCs w:val="24"/>
        </w:rPr>
      </w:pPr>
      <w:r w:rsidRPr="00BF6BAF">
        <w:rPr>
          <w:rFonts w:ascii="Times New Roman" w:hAnsi="Times New Roman"/>
          <w:sz w:val="24"/>
          <w:szCs w:val="24"/>
        </w:rPr>
        <w:t xml:space="preserve">On Oct. 29, 2020, in </w:t>
      </w:r>
      <w:r w:rsidRPr="00BF6BAF">
        <w:rPr>
          <w:rFonts w:ascii="Times New Roman" w:hAnsi="Times New Roman"/>
          <w:sz w:val="24"/>
          <w:szCs w:val="24"/>
          <w:u w:val="single"/>
        </w:rPr>
        <w:t>Thomas Hayman, Jr. v. City of Willington, et al</w:t>
      </w:r>
      <w:r w:rsidRPr="00BF6BAF">
        <w:rPr>
          <w:rFonts w:ascii="Times New Roman" w:hAnsi="Times New Roman"/>
          <w:sz w:val="24"/>
          <w:szCs w:val="24"/>
        </w:rPr>
        <w:t>., U.S. District Court Judge Vivian L. Medinilla granted the City’s motion to dismiss</w:t>
      </w:r>
      <w:r>
        <w:rPr>
          <w:rFonts w:ascii="Times New Roman" w:hAnsi="Times New Roman"/>
          <w:sz w:val="24"/>
          <w:szCs w:val="24"/>
        </w:rPr>
        <w:t xml:space="preserve"> federal Whistleblower lawsuit for his termination for alleged retaliation</w:t>
      </w:r>
      <w:r w:rsidRPr="00BF6BAF">
        <w:rPr>
          <w:rFonts w:ascii="Times New Roman" w:hAnsi="Times New Roman"/>
          <w:sz w:val="24"/>
          <w:szCs w:val="24"/>
        </w:rPr>
        <w:t xml:space="preserve">, since the theft of money by the Fire Chief was not from the </w:t>
      </w:r>
      <w:proofErr w:type="gramStart"/>
      <w:r w:rsidRPr="00BF6BAF">
        <w:rPr>
          <w:rFonts w:ascii="Times New Roman" w:hAnsi="Times New Roman"/>
          <w:sz w:val="24"/>
          <w:szCs w:val="24"/>
        </w:rPr>
        <w:t>City</w:t>
      </w:r>
      <w:proofErr w:type="gramEnd"/>
      <w:r>
        <w:rPr>
          <w:rFonts w:ascii="Times New Roman" w:hAnsi="Times New Roman"/>
          <w:sz w:val="24"/>
          <w:szCs w:val="24"/>
        </w:rPr>
        <w:t xml:space="preserve">.  The money </w:t>
      </w:r>
      <w:r w:rsidRPr="00BF6BAF">
        <w:rPr>
          <w:rFonts w:ascii="Times New Roman" w:hAnsi="Times New Roman"/>
          <w:sz w:val="24"/>
          <w:szCs w:val="24"/>
        </w:rPr>
        <w:t xml:space="preserve">was from “Gallant Blazers Organization,” where </w:t>
      </w:r>
      <w:r>
        <w:rPr>
          <w:rFonts w:ascii="Times New Roman" w:hAnsi="Times New Roman"/>
          <w:sz w:val="24"/>
          <w:szCs w:val="24"/>
        </w:rPr>
        <w:t xml:space="preserve">Fire Chief </w:t>
      </w:r>
      <w:r w:rsidRPr="00BF6BAF">
        <w:rPr>
          <w:rFonts w:ascii="Times New Roman" w:hAnsi="Times New Roman"/>
          <w:sz w:val="24"/>
          <w:szCs w:val="24"/>
        </w:rPr>
        <w:t xml:space="preserve">was President of this professional development group that helped minority firefighters in Wilmington.  See April 26, </w:t>
      </w:r>
      <w:proofErr w:type="gramStart"/>
      <w:r w:rsidRPr="00BF6BAF">
        <w:rPr>
          <w:rFonts w:ascii="Times New Roman" w:hAnsi="Times New Roman"/>
          <w:sz w:val="24"/>
          <w:szCs w:val="24"/>
        </w:rPr>
        <w:t>2019</w:t>
      </w:r>
      <w:proofErr w:type="gramEnd"/>
      <w:r w:rsidRPr="00BF6BAF">
        <w:rPr>
          <w:rFonts w:ascii="Times New Roman" w:hAnsi="Times New Roman"/>
          <w:sz w:val="24"/>
          <w:szCs w:val="24"/>
        </w:rPr>
        <w:t xml:space="preserve"> article: “Former Wilmington fire Chief Anthony Goode gets prison time for theft.” </w:t>
      </w:r>
      <w:hyperlink r:id="rId1194" w:history="1">
        <w:r w:rsidRPr="00BF6BAF">
          <w:rPr>
            <w:rStyle w:val="Hyperlink"/>
            <w:rFonts w:ascii="Times New Roman" w:hAnsi="Times New Roman"/>
            <w:sz w:val="24"/>
            <w:szCs w:val="24"/>
          </w:rPr>
          <w:t>https://www.delawareonline.com/story/news/2019/04/26/former-wilmington-fire-chief-gets-prison-time-theft/3588123002/</w:t>
        </w:r>
      </w:hyperlink>
      <w:r w:rsidRPr="00BF6BAF">
        <w:rPr>
          <w:rFonts w:ascii="Times New Roman" w:hAnsi="Times New Roman"/>
          <w:sz w:val="24"/>
          <w:szCs w:val="24"/>
        </w:rPr>
        <w:t xml:space="preserve"> </w:t>
      </w:r>
    </w:p>
    <w:p w14:paraId="0DAD9136" w14:textId="77777777" w:rsidR="009E093C" w:rsidRDefault="009E093C" w:rsidP="009E093C">
      <w:pPr>
        <w:pStyle w:val="NoSpacing"/>
        <w:rPr>
          <w:rFonts w:ascii="Times New Roman" w:hAnsi="Times New Roman"/>
          <w:sz w:val="24"/>
          <w:szCs w:val="24"/>
        </w:rPr>
      </w:pPr>
    </w:p>
    <w:p w14:paraId="56A86F66" w14:textId="77777777" w:rsidR="009E093C" w:rsidRDefault="009E093C" w:rsidP="009E093C">
      <w:pPr>
        <w:ind w:left="720"/>
        <w:rPr>
          <w:rFonts w:ascii="Times New Roman" w:hAnsi="Times New Roman"/>
          <w:sz w:val="24"/>
          <w:szCs w:val="24"/>
        </w:rPr>
      </w:pPr>
      <w:r>
        <w:rPr>
          <w:rFonts w:ascii="Times New Roman" w:hAnsi="Times New Roman"/>
          <w:sz w:val="24"/>
          <w:szCs w:val="24"/>
        </w:rPr>
        <w:t>“</w:t>
      </w:r>
      <w:r w:rsidRPr="001A3F57">
        <w:rPr>
          <w:rFonts w:ascii="Times New Roman" w:hAnsi="Times New Roman"/>
          <w:sz w:val="24"/>
          <w:szCs w:val="24"/>
        </w:rPr>
        <w:t xml:space="preserve">Accordingly, to state a claim under the Whistleblower Protection Act, Plaintiff must show that any alleged retaliation was for reporting: (1) a violation of financial management or accounting standards; </w:t>
      </w:r>
      <w:r w:rsidRPr="001A3F57">
        <w:rPr>
          <w:rFonts w:ascii="Times New Roman" w:hAnsi="Times New Roman"/>
          <w:sz w:val="24"/>
          <w:szCs w:val="24"/>
        </w:rPr>
        <w:lastRenderedPageBreak/>
        <w:t xml:space="preserve">(2) that the violation was related to funds or assets under the control of his </w:t>
      </w:r>
      <w:proofErr w:type="spellStart"/>
      <w:r w:rsidRPr="001A3F57">
        <w:rPr>
          <w:rFonts w:ascii="Times New Roman" w:hAnsi="Times New Roman"/>
          <w:sz w:val="24"/>
          <w:szCs w:val="24"/>
        </w:rPr>
        <w:t>employer;</w:t>
      </w:r>
      <w:bookmarkStart w:id="238" w:name="fn19"/>
      <w:r w:rsidRPr="001A3F57">
        <w:rPr>
          <w:rFonts w:ascii="Times New Roman" w:hAnsi="Times New Roman"/>
          <w:sz w:val="24"/>
          <w:szCs w:val="24"/>
          <w:vertAlign w:val="superscript"/>
        </w:rPr>
        <w:fldChar w:fldCharType="begin"/>
      </w:r>
      <w:r w:rsidRPr="001A3F57">
        <w:rPr>
          <w:rFonts w:ascii="Times New Roman" w:hAnsi="Times New Roman"/>
          <w:sz w:val="24"/>
          <w:szCs w:val="24"/>
          <w:vertAlign w:val="superscript"/>
        </w:rPr>
        <w:instrText xml:space="preserve"> HYPERLINK "https://public.fastcase.com/" \l "fr19" </w:instrText>
      </w:r>
      <w:r w:rsidRPr="001A3F57">
        <w:rPr>
          <w:rFonts w:ascii="Times New Roman" w:hAnsi="Times New Roman"/>
          <w:sz w:val="24"/>
          <w:szCs w:val="24"/>
          <w:vertAlign w:val="superscript"/>
        </w:rPr>
      </w:r>
      <w:r w:rsidRPr="001A3F57">
        <w:rPr>
          <w:rFonts w:ascii="Times New Roman" w:hAnsi="Times New Roman"/>
          <w:sz w:val="24"/>
          <w:szCs w:val="24"/>
          <w:vertAlign w:val="superscript"/>
        </w:rPr>
        <w:fldChar w:fldCharType="separate"/>
      </w:r>
      <w:r w:rsidR="00814FB6">
        <w:rPr>
          <w:rStyle w:val="Hyperlink"/>
        </w:rPr>
        <w:t>https</w:t>
      </w:r>
      <w:proofErr w:type="spellEnd"/>
      <w:r w:rsidR="00814FB6">
        <w:rPr>
          <w:rStyle w:val="Hyperlink"/>
        </w:rPr>
        <w:t>://public.fastcase.com/ - fr19</w:t>
      </w:r>
      <w:r w:rsidRPr="001A3F57">
        <w:rPr>
          <w:rFonts w:ascii="Times New Roman" w:hAnsi="Times New Roman"/>
          <w:sz w:val="24"/>
          <w:szCs w:val="24"/>
          <w:vertAlign w:val="superscript"/>
        </w:rPr>
        <w:fldChar w:fldCharType="end"/>
      </w:r>
      <w:bookmarkEnd w:id="238"/>
      <w:r>
        <w:rPr>
          <w:rFonts w:ascii="Times New Roman" w:hAnsi="Times New Roman"/>
          <w:sz w:val="24"/>
          <w:szCs w:val="24"/>
          <w:vertAlign w:val="superscript"/>
        </w:rPr>
        <w:t xml:space="preserve"> </w:t>
      </w:r>
      <w:r w:rsidRPr="001A3F57">
        <w:rPr>
          <w:rFonts w:ascii="Times New Roman" w:hAnsi="Times New Roman"/>
          <w:sz w:val="24"/>
          <w:szCs w:val="24"/>
        </w:rPr>
        <w:t xml:space="preserve">and (3) that the violation was due to an act or omission of his employer or an agent </w:t>
      </w:r>
      <w:proofErr w:type="spellStart"/>
      <w:r w:rsidRPr="001A3F57">
        <w:rPr>
          <w:rFonts w:ascii="Times New Roman" w:hAnsi="Times New Roman"/>
          <w:sz w:val="24"/>
          <w:szCs w:val="24"/>
        </w:rPr>
        <w:t>thereof.</w:t>
      </w:r>
      <w:bookmarkStart w:id="239" w:name="fn20"/>
      <w:r w:rsidRPr="001A3F57">
        <w:rPr>
          <w:rFonts w:ascii="Times New Roman" w:hAnsi="Times New Roman"/>
          <w:sz w:val="24"/>
          <w:szCs w:val="24"/>
          <w:vertAlign w:val="superscript"/>
        </w:rPr>
        <w:fldChar w:fldCharType="begin"/>
      </w:r>
      <w:r w:rsidRPr="001A3F57">
        <w:rPr>
          <w:rFonts w:ascii="Times New Roman" w:hAnsi="Times New Roman"/>
          <w:sz w:val="24"/>
          <w:szCs w:val="24"/>
          <w:vertAlign w:val="superscript"/>
        </w:rPr>
        <w:instrText xml:space="preserve"> HYPERLINK "https://public.fastcase.com/" \l "fr20" </w:instrText>
      </w:r>
      <w:r w:rsidRPr="001A3F57">
        <w:rPr>
          <w:rFonts w:ascii="Times New Roman" w:hAnsi="Times New Roman"/>
          <w:sz w:val="24"/>
          <w:szCs w:val="24"/>
          <w:vertAlign w:val="superscript"/>
        </w:rPr>
      </w:r>
      <w:r w:rsidRPr="001A3F57">
        <w:rPr>
          <w:rFonts w:ascii="Times New Roman" w:hAnsi="Times New Roman"/>
          <w:sz w:val="24"/>
          <w:szCs w:val="24"/>
          <w:vertAlign w:val="superscript"/>
        </w:rPr>
        <w:fldChar w:fldCharType="separate"/>
      </w:r>
      <w:r w:rsidR="00814FB6">
        <w:rPr>
          <w:rStyle w:val="Hyperlink"/>
        </w:rPr>
        <w:t>https</w:t>
      </w:r>
      <w:proofErr w:type="spellEnd"/>
      <w:r w:rsidR="00814FB6">
        <w:rPr>
          <w:rStyle w:val="Hyperlink"/>
        </w:rPr>
        <w:t>://public.fastcase.com/ - fr20</w:t>
      </w:r>
      <w:r w:rsidRPr="001A3F57">
        <w:rPr>
          <w:rFonts w:ascii="Times New Roman" w:hAnsi="Times New Roman"/>
          <w:sz w:val="24"/>
          <w:szCs w:val="24"/>
          <w:vertAlign w:val="superscript"/>
        </w:rPr>
        <w:fldChar w:fldCharType="end"/>
      </w:r>
      <w:bookmarkEnd w:id="239"/>
      <w:r>
        <w:rPr>
          <w:rFonts w:ascii="Times New Roman" w:hAnsi="Times New Roman"/>
          <w:sz w:val="24"/>
          <w:szCs w:val="24"/>
          <w:vertAlign w:val="superscript"/>
        </w:rPr>
        <w:t xml:space="preserve"> </w:t>
      </w:r>
      <w:r w:rsidRPr="001A3F57">
        <w:rPr>
          <w:rFonts w:ascii="Times New Roman" w:hAnsi="Times New Roman"/>
          <w:sz w:val="24"/>
          <w:szCs w:val="24"/>
        </w:rPr>
        <w:t>Plaintiff fails to satisfy prongs two and three.</w:t>
      </w:r>
    </w:p>
    <w:p w14:paraId="16C69165" w14:textId="77777777" w:rsidR="009E093C" w:rsidRDefault="009E093C" w:rsidP="009E093C">
      <w:pPr>
        <w:ind w:left="720"/>
        <w:rPr>
          <w:rFonts w:ascii="Times New Roman" w:hAnsi="Times New Roman"/>
          <w:sz w:val="24"/>
          <w:szCs w:val="24"/>
        </w:rPr>
      </w:pPr>
      <w:r>
        <w:rPr>
          <w:rFonts w:ascii="Times New Roman" w:hAnsi="Times New Roman"/>
          <w:sz w:val="24"/>
          <w:szCs w:val="24"/>
        </w:rPr>
        <w:t>***</w:t>
      </w:r>
    </w:p>
    <w:p w14:paraId="5AC49466" w14:textId="77777777" w:rsidR="009E093C" w:rsidRDefault="009E093C" w:rsidP="009E093C">
      <w:pPr>
        <w:pStyle w:val="NoSpacing"/>
        <w:ind w:left="720"/>
        <w:rPr>
          <w:rFonts w:ascii="Times New Roman" w:hAnsi="Times New Roman"/>
          <w:sz w:val="24"/>
          <w:szCs w:val="24"/>
        </w:rPr>
      </w:pPr>
      <w:r w:rsidRPr="001A3F57">
        <w:rPr>
          <w:rFonts w:ascii="Times New Roman" w:hAnsi="Times New Roman"/>
          <w:sz w:val="24"/>
          <w:szCs w:val="24"/>
        </w:rPr>
        <w:t xml:space="preserve">Following an investigation, public records </w:t>
      </w:r>
      <w:proofErr w:type="gramStart"/>
      <w:r w:rsidRPr="001A3F57">
        <w:rPr>
          <w:rFonts w:ascii="Times New Roman" w:hAnsi="Times New Roman"/>
          <w:sz w:val="24"/>
          <w:szCs w:val="24"/>
        </w:rPr>
        <w:t>reflect</w:t>
      </w:r>
      <w:proofErr w:type="gramEnd"/>
      <w:r w:rsidRPr="001A3F57">
        <w:rPr>
          <w:rFonts w:ascii="Times New Roman" w:hAnsi="Times New Roman"/>
          <w:sz w:val="24"/>
          <w:szCs w:val="24"/>
        </w:rPr>
        <w:t xml:space="preserve"> that the DOJ brought criminal charges including criminal racketeering and theft against Goode, who subsequently pled guilty to theft of $50,000 or more and unlawful use of a payment card. In 2019, he was sentenced to one year in prison followed by a period of probation</w:t>
      </w:r>
      <w:r>
        <w:rPr>
          <w:rFonts w:ascii="Times New Roman" w:hAnsi="Times New Roman"/>
          <w:sz w:val="24"/>
          <w:szCs w:val="24"/>
        </w:rPr>
        <w:t xml:space="preserve"> </w:t>
      </w:r>
      <w:r w:rsidRPr="001A3F57">
        <w:rPr>
          <w:rFonts w:ascii="Times New Roman" w:hAnsi="Times New Roman"/>
          <w:sz w:val="24"/>
          <w:szCs w:val="24"/>
        </w:rPr>
        <w:t xml:space="preserve">and </w:t>
      </w:r>
      <w:proofErr w:type="gramStart"/>
      <w:r w:rsidRPr="001A3F57">
        <w:rPr>
          <w:rFonts w:ascii="Times New Roman" w:hAnsi="Times New Roman"/>
          <w:sz w:val="24"/>
          <w:szCs w:val="24"/>
        </w:rPr>
        <w:t>repay</w:t>
      </w:r>
      <w:proofErr w:type="gramEnd"/>
      <w:r w:rsidRPr="001A3F57">
        <w:rPr>
          <w:rFonts w:ascii="Times New Roman" w:hAnsi="Times New Roman"/>
          <w:sz w:val="24"/>
          <w:szCs w:val="24"/>
        </w:rPr>
        <w:t xml:space="preserve"> the Gallant Blazers more than $</w:t>
      </w:r>
      <w:proofErr w:type="gramStart"/>
      <w:r w:rsidRPr="001A3F57">
        <w:rPr>
          <w:rFonts w:ascii="Times New Roman" w:hAnsi="Times New Roman"/>
          <w:sz w:val="24"/>
          <w:szCs w:val="24"/>
        </w:rPr>
        <w:t>62,000.</w:t>
      </w:r>
      <w:r>
        <w:rPr>
          <w:rFonts w:ascii="Times New Roman" w:hAnsi="Times New Roman"/>
          <w:sz w:val="24"/>
          <w:szCs w:val="24"/>
        </w:rPr>
        <w:t>”</w:t>
      </w:r>
      <w:proofErr w:type="gramEnd"/>
      <w:r>
        <w:rPr>
          <w:rFonts w:ascii="Times New Roman" w:hAnsi="Times New Roman"/>
          <w:sz w:val="24"/>
          <w:szCs w:val="24"/>
        </w:rPr>
        <w:t xml:space="preserve">  [Footnote 3.]</w:t>
      </w:r>
    </w:p>
    <w:p w14:paraId="427DFC8C" w14:textId="77777777" w:rsidR="009E093C" w:rsidRPr="001A3F57" w:rsidRDefault="009E093C" w:rsidP="009E093C">
      <w:pPr>
        <w:pStyle w:val="NoSpacing"/>
        <w:ind w:left="720"/>
        <w:rPr>
          <w:rFonts w:ascii="Times New Roman" w:hAnsi="Times New Roman"/>
          <w:sz w:val="24"/>
          <w:szCs w:val="24"/>
        </w:rPr>
      </w:pPr>
      <w:hyperlink r:id="rId1195" w:history="1">
        <w:r w:rsidRPr="00BA14DC">
          <w:rPr>
            <w:rStyle w:val="Hyperlink"/>
            <w:rFonts w:ascii="Times New Roman" w:hAnsi="Times New Roman"/>
            <w:sz w:val="24"/>
            <w:szCs w:val="24"/>
          </w:rPr>
          <w:t>https://casetext.com/case/hayman-v-city-of-wilmington</w:t>
        </w:r>
      </w:hyperlink>
      <w:r>
        <w:rPr>
          <w:rFonts w:ascii="Times New Roman" w:hAnsi="Times New Roman"/>
          <w:sz w:val="24"/>
          <w:szCs w:val="24"/>
        </w:rPr>
        <w:t xml:space="preserve"> </w:t>
      </w:r>
    </w:p>
    <w:p w14:paraId="764E6B7C" w14:textId="77777777" w:rsidR="009E093C" w:rsidRPr="00500FB1" w:rsidRDefault="009E093C" w:rsidP="009E093C">
      <w:pPr>
        <w:pStyle w:val="NoSpacing"/>
        <w:tabs>
          <w:tab w:val="left" w:pos="7640"/>
        </w:tabs>
        <w:rPr>
          <w:rFonts w:ascii="Times New Roman" w:hAnsi="Times New Roman"/>
          <w:sz w:val="24"/>
          <w:szCs w:val="24"/>
        </w:rPr>
      </w:pPr>
    </w:p>
    <w:p w14:paraId="55985BD9" w14:textId="77777777" w:rsidR="009E093C" w:rsidRDefault="009E093C" w:rsidP="009E093C">
      <w:pPr>
        <w:pStyle w:val="Heading1"/>
        <w:rPr>
          <w:b w:val="0"/>
          <w:bCs w:val="0"/>
          <w:sz w:val="24"/>
          <w:szCs w:val="24"/>
        </w:rPr>
      </w:pPr>
      <w:r w:rsidRPr="00885D66">
        <w:rPr>
          <w:sz w:val="24"/>
          <w:szCs w:val="24"/>
        </w:rPr>
        <w:t>Legal Lesson Learned: It is unfortunate that the firefighter did not retain legal counsel.</w:t>
      </w:r>
      <w:r w:rsidRPr="00885D66">
        <w:rPr>
          <w:b w:val="0"/>
          <w:bCs w:val="0"/>
          <w:sz w:val="24"/>
          <w:szCs w:val="24"/>
        </w:rPr>
        <w:t xml:space="preserve">  </w:t>
      </w:r>
    </w:p>
    <w:p w14:paraId="51088426" w14:textId="77777777" w:rsidR="009E093C" w:rsidRPr="007668F4" w:rsidRDefault="009E093C" w:rsidP="009E093C">
      <w:pPr>
        <w:pStyle w:val="Heading1"/>
        <w:ind w:left="720"/>
        <w:rPr>
          <w:b w:val="0"/>
          <w:bCs w:val="0"/>
          <w:sz w:val="24"/>
          <w:szCs w:val="24"/>
        </w:rPr>
      </w:pPr>
      <w:r>
        <w:rPr>
          <w:b w:val="0"/>
          <w:bCs w:val="0"/>
          <w:sz w:val="24"/>
          <w:szCs w:val="24"/>
        </w:rPr>
        <w:t xml:space="preserve">Note: </w:t>
      </w:r>
      <w:r w:rsidRPr="00885D66">
        <w:rPr>
          <w:b w:val="0"/>
          <w:bCs w:val="0"/>
          <w:sz w:val="24"/>
          <w:szCs w:val="24"/>
        </w:rPr>
        <w:t xml:space="preserve">If there were any federal funds involved in the theft, </w:t>
      </w:r>
      <w:r>
        <w:rPr>
          <w:b w:val="0"/>
          <w:bCs w:val="0"/>
          <w:sz w:val="24"/>
          <w:szCs w:val="24"/>
        </w:rPr>
        <w:t xml:space="preserve">plaintiff </w:t>
      </w:r>
      <w:r w:rsidRPr="00885D66">
        <w:rPr>
          <w:b w:val="0"/>
          <w:bCs w:val="0"/>
          <w:sz w:val="24"/>
          <w:szCs w:val="24"/>
        </w:rPr>
        <w:t>could have filed a civil whistleblower claim under seal</w:t>
      </w:r>
      <w:r>
        <w:rPr>
          <w:b w:val="0"/>
          <w:bCs w:val="0"/>
          <w:sz w:val="24"/>
          <w:szCs w:val="24"/>
        </w:rPr>
        <w:t xml:space="preserve">, and then </w:t>
      </w:r>
      <w:r w:rsidRPr="00885D66">
        <w:rPr>
          <w:b w:val="0"/>
          <w:bCs w:val="0"/>
          <w:sz w:val="24"/>
          <w:szCs w:val="24"/>
        </w:rPr>
        <w:t>U.S. Attorney’s Office in Delaware</w:t>
      </w:r>
      <w:r>
        <w:rPr>
          <w:b w:val="0"/>
          <w:bCs w:val="0"/>
          <w:sz w:val="24"/>
          <w:szCs w:val="24"/>
        </w:rPr>
        <w:t xml:space="preserve"> and FBI could help  pursue his civil action. </w:t>
      </w:r>
      <w:r w:rsidRPr="00885D66">
        <w:rPr>
          <w:b w:val="0"/>
          <w:bCs w:val="0"/>
          <w:sz w:val="24"/>
          <w:szCs w:val="24"/>
        </w:rPr>
        <w:t xml:space="preserve"> </w:t>
      </w:r>
      <w:r>
        <w:rPr>
          <w:b w:val="0"/>
          <w:bCs w:val="0"/>
          <w:sz w:val="24"/>
          <w:szCs w:val="24"/>
        </w:rPr>
        <w:t>“</w:t>
      </w:r>
      <w:r w:rsidRPr="00C03B09">
        <w:rPr>
          <w:b w:val="0"/>
          <w:bCs w:val="0"/>
          <w:sz w:val="24"/>
          <w:szCs w:val="24"/>
        </w:rPr>
        <w:t>In FY2019, qui tam whistleblowers received $272 million in rewards</w:t>
      </w:r>
      <w:r>
        <w:rPr>
          <w:b w:val="0"/>
          <w:bCs w:val="0"/>
          <w:sz w:val="24"/>
          <w:szCs w:val="24"/>
        </w:rPr>
        <w:t>.”</w:t>
      </w:r>
      <w:r w:rsidRPr="00C03B09">
        <w:t xml:space="preserve"> </w:t>
      </w:r>
      <w:r w:rsidRPr="00C03B09">
        <w:rPr>
          <w:i/>
          <w:iCs/>
          <w:sz w:val="24"/>
          <w:szCs w:val="24"/>
        </w:rPr>
        <w:t>Department of Justice Report Shows Whistleblowers Consistently Rewarded through Qui Tam Lawsuits</w:t>
      </w:r>
      <w:r>
        <w:rPr>
          <w:i/>
          <w:iCs/>
          <w:sz w:val="24"/>
          <w:szCs w:val="24"/>
        </w:rPr>
        <w:t xml:space="preserve">. </w:t>
      </w:r>
      <w:hyperlink r:id="rId1196" w:history="1">
        <w:r w:rsidRPr="007668F4">
          <w:rPr>
            <w:rStyle w:val="Hyperlink"/>
            <w:b w:val="0"/>
            <w:bCs w:val="0"/>
            <w:sz w:val="24"/>
            <w:szCs w:val="24"/>
          </w:rPr>
          <w:t>https://www.natlawreview.com/article/department-justice-report-shows-whistleblowers-consistently-rewarded-through-qui-tam</w:t>
        </w:r>
      </w:hyperlink>
      <w:r w:rsidRPr="007668F4">
        <w:rPr>
          <w:b w:val="0"/>
          <w:bCs w:val="0"/>
          <w:sz w:val="24"/>
          <w:szCs w:val="24"/>
        </w:rPr>
        <w:t xml:space="preserve"> </w:t>
      </w:r>
    </w:p>
    <w:p w14:paraId="4EC28A5C" w14:textId="77777777" w:rsidR="009E093C" w:rsidRDefault="009E093C" w:rsidP="009E093C">
      <w:pPr>
        <w:pStyle w:val="Heading1"/>
        <w:ind w:left="1440" w:hanging="720"/>
        <w:rPr>
          <w:b w:val="0"/>
          <w:bCs w:val="0"/>
          <w:sz w:val="24"/>
          <w:szCs w:val="24"/>
        </w:rPr>
      </w:pPr>
      <w:r>
        <w:rPr>
          <w:b w:val="0"/>
          <w:bCs w:val="0"/>
          <w:sz w:val="24"/>
          <w:szCs w:val="24"/>
        </w:rPr>
        <w:t xml:space="preserve">The State of Delaware also has a whistleblower protection statute. It provides, in part:  </w:t>
      </w:r>
    </w:p>
    <w:p w14:paraId="1842BC1F" w14:textId="77777777" w:rsidR="009E093C" w:rsidRPr="007668F4" w:rsidRDefault="009E093C" w:rsidP="009E093C">
      <w:pPr>
        <w:pStyle w:val="Heading1"/>
        <w:ind w:left="1440"/>
        <w:rPr>
          <w:b w:val="0"/>
          <w:bCs w:val="0"/>
          <w:sz w:val="24"/>
          <w:szCs w:val="24"/>
        </w:rPr>
      </w:pPr>
      <w:r>
        <w:rPr>
          <w:b w:val="0"/>
          <w:bCs w:val="0"/>
          <w:sz w:val="24"/>
          <w:szCs w:val="24"/>
        </w:rPr>
        <w:t>“</w:t>
      </w:r>
      <w:r w:rsidRPr="00C03B09">
        <w:rPr>
          <w:b w:val="0"/>
          <w:bCs w:val="0"/>
          <w:sz w:val="24"/>
          <w:szCs w:val="24"/>
        </w:rPr>
        <w:t>A court, in rendering a judgment in an action brought under this chapter, shall order, as the court considers appropriate, reinstatement of the employee, the payment of back wages, full reinstatement of fringe benefits and seniority rights, expungement of records relating to the disciplinary action or discharge, actual damages, or any combination of these remedies. A court may also award, as part of a judgment in an action brought under this chapter, all or a portion of the costs of litigation, including attorneys’ fees, if the court determines that such an award is appropriate.</w:t>
      </w:r>
      <w:r>
        <w:rPr>
          <w:b w:val="0"/>
          <w:bCs w:val="0"/>
          <w:sz w:val="24"/>
          <w:szCs w:val="24"/>
        </w:rPr>
        <w:t xml:space="preserve">” </w:t>
      </w:r>
      <w:hyperlink r:id="rId1197" w:history="1">
        <w:r w:rsidRPr="007668F4">
          <w:rPr>
            <w:rStyle w:val="Hyperlink"/>
            <w:b w:val="0"/>
            <w:bCs w:val="0"/>
            <w:sz w:val="24"/>
            <w:szCs w:val="24"/>
          </w:rPr>
          <w:t>https://delcode.delaware.gov/title19/c017/index.shtml</w:t>
        </w:r>
      </w:hyperlink>
      <w:r w:rsidRPr="007668F4">
        <w:rPr>
          <w:b w:val="0"/>
          <w:bCs w:val="0"/>
          <w:sz w:val="24"/>
          <w:szCs w:val="24"/>
        </w:rPr>
        <w:t xml:space="preserve"> </w:t>
      </w:r>
    </w:p>
    <w:p w14:paraId="5337BCCA" w14:textId="77777777" w:rsidR="009E093C" w:rsidRDefault="009E093C" w:rsidP="009E093C">
      <w:pPr>
        <w:rPr>
          <w:rFonts w:ascii="Times New Roman" w:hAnsi="Times New Roman"/>
          <w:sz w:val="24"/>
          <w:szCs w:val="24"/>
        </w:rPr>
      </w:pPr>
    </w:p>
    <w:p w14:paraId="3449CF53" w14:textId="77777777" w:rsidR="009E093C" w:rsidRDefault="009E093C" w:rsidP="00EF1133">
      <w:pPr>
        <w:rPr>
          <w:rFonts w:ascii="Arial Black" w:hAnsi="Arial Black"/>
          <w:b/>
          <w:sz w:val="24"/>
          <w:szCs w:val="24"/>
        </w:rPr>
      </w:pPr>
    </w:p>
    <w:p w14:paraId="5BB4AF46" w14:textId="77777777" w:rsidR="009E093C" w:rsidRDefault="009E093C" w:rsidP="00EF1133">
      <w:pPr>
        <w:rPr>
          <w:rFonts w:ascii="Arial Black" w:hAnsi="Arial Black"/>
          <w:b/>
          <w:sz w:val="24"/>
          <w:szCs w:val="24"/>
        </w:rPr>
      </w:pPr>
    </w:p>
    <w:p w14:paraId="7330DF42" w14:textId="41CE56AD"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3</w:t>
      </w:r>
    </w:p>
    <w:p w14:paraId="3862857D" w14:textId="77777777" w:rsidR="009E093C" w:rsidRDefault="009E093C" w:rsidP="009E093C">
      <w:pPr>
        <w:pStyle w:val="NoSpacing"/>
        <w:rPr>
          <w:rFonts w:ascii="Arial Black" w:hAnsi="Arial Black"/>
          <w:sz w:val="28"/>
          <w:szCs w:val="28"/>
        </w:rPr>
      </w:pPr>
      <w:r>
        <w:rPr>
          <w:rFonts w:ascii="Arial Black" w:hAnsi="Arial Black"/>
          <w:sz w:val="28"/>
          <w:szCs w:val="28"/>
        </w:rPr>
        <w:t>MI: DEPUTY SHERIFF REPORTED MISUSE DRUG FORFEITURE FUNDS – 1</w:t>
      </w:r>
      <w:r w:rsidRPr="00EB4193">
        <w:rPr>
          <w:rFonts w:ascii="Arial Black" w:hAnsi="Arial Black"/>
          <w:sz w:val="28"/>
          <w:szCs w:val="28"/>
          <w:vertAlign w:val="superscript"/>
        </w:rPr>
        <w:t>st</w:t>
      </w:r>
      <w:r>
        <w:rPr>
          <w:rFonts w:ascii="Arial Black" w:hAnsi="Arial Black"/>
          <w:sz w:val="28"/>
          <w:szCs w:val="28"/>
        </w:rPr>
        <w:t xml:space="preserve"> AMEND. ONLY IF SPEAKING AS “PRIVATE CITIZEN” </w:t>
      </w:r>
    </w:p>
    <w:p w14:paraId="36A7E55A" w14:textId="77777777" w:rsidR="009E093C" w:rsidRDefault="009E093C" w:rsidP="009E093C">
      <w:pPr>
        <w:pStyle w:val="NoSpacing"/>
        <w:rPr>
          <w:rFonts w:ascii="Arial Black" w:hAnsi="Arial Black"/>
          <w:sz w:val="28"/>
          <w:szCs w:val="28"/>
        </w:rPr>
      </w:pPr>
    </w:p>
    <w:p w14:paraId="62167879" w14:textId="77777777" w:rsidR="009E093C" w:rsidRDefault="009E093C" w:rsidP="009E093C">
      <w:pPr>
        <w:pStyle w:val="NoSpacing"/>
        <w:rPr>
          <w:rFonts w:ascii="Times New Roman" w:hAnsi="Times New Roman"/>
          <w:sz w:val="24"/>
          <w:szCs w:val="24"/>
        </w:rPr>
      </w:pPr>
      <w:r>
        <w:rPr>
          <w:rFonts w:ascii="Times New Roman" w:hAnsi="Times New Roman"/>
          <w:sz w:val="24"/>
          <w:szCs w:val="24"/>
        </w:rPr>
        <w:t xml:space="preserve">On Oct. 9, 2020, in </w:t>
      </w:r>
      <w:r w:rsidRPr="00FE06D1">
        <w:rPr>
          <w:rFonts w:ascii="Times New Roman" w:hAnsi="Times New Roman"/>
          <w:sz w:val="24"/>
          <w:szCs w:val="24"/>
          <w:u w:val="single"/>
        </w:rPr>
        <w:t>Garrett De</w:t>
      </w:r>
      <w:r>
        <w:rPr>
          <w:rFonts w:ascii="Times New Roman" w:hAnsi="Times New Roman"/>
          <w:sz w:val="24"/>
          <w:szCs w:val="24"/>
          <w:u w:val="single"/>
        </w:rPr>
        <w:t>W</w:t>
      </w:r>
      <w:r w:rsidRPr="00FE06D1">
        <w:rPr>
          <w:rFonts w:ascii="Times New Roman" w:hAnsi="Times New Roman"/>
          <w:sz w:val="24"/>
          <w:szCs w:val="24"/>
          <w:u w:val="single"/>
        </w:rPr>
        <w:t xml:space="preserve">yse v. </w:t>
      </w:r>
      <w:r>
        <w:rPr>
          <w:rFonts w:ascii="Times New Roman" w:hAnsi="Times New Roman"/>
          <w:sz w:val="24"/>
          <w:szCs w:val="24"/>
          <w:u w:val="single"/>
        </w:rPr>
        <w:t xml:space="preserve">William L. Federspiel, Heather Beyerlein, and </w:t>
      </w:r>
      <w:r w:rsidRPr="00FE06D1">
        <w:rPr>
          <w:rFonts w:ascii="Times New Roman" w:hAnsi="Times New Roman"/>
          <w:sz w:val="24"/>
          <w:szCs w:val="24"/>
          <w:u w:val="single"/>
        </w:rPr>
        <w:t>County of Saginaw, et al</w:t>
      </w:r>
      <w:r>
        <w:rPr>
          <w:rFonts w:ascii="Times New Roman" w:hAnsi="Times New Roman"/>
          <w:sz w:val="24"/>
          <w:szCs w:val="24"/>
        </w:rPr>
        <w:t>., the U.S. Court of Appeals for 6</w:t>
      </w:r>
      <w:r w:rsidRPr="00FE06D1">
        <w:rPr>
          <w:rFonts w:ascii="Times New Roman" w:hAnsi="Times New Roman"/>
          <w:sz w:val="24"/>
          <w:szCs w:val="24"/>
          <w:vertAlign w:val="superscript"/>
        </w:rPr>
        <w:t>th</w:t>
      </w:r>
      <w:r>
        <w:rPr>
          <w:rFonts w:ascii="Times New Roman" w:hAnsi="Times New Roman"/>
          <w:sz w:val="24"/>
          <w:szCs w:val="24"/>
        </w:rPr>
        <w:t xml:space="preserve"> Circuit (Cincinnati), held (3 to 0; unreported decision) the trial court judge properly dismissed the First Amendment retaliation lawsuit by Deputy who reported to County Finance Director possible misuse of drug forfeiture funds.  The Deputy </w:t>
      </w:r>
      <w:proofErr w:type="gramStart"/>
      <w:r>
        <w:rPr>
          <w:rFonts w:ascii="Times New Roman" w:hAnsi="Times New Roman"/>
          <w:sz w:val="24"/>
          <w:szCs w:val="24"/>
        </w:rPr>
        <w:t>was in charge of</w:t>
      </w:r>
      <w:proofErr w:type="gramEnd"/>
      <w:r>
        <w:rPr>
          <w:rFonts w:ascii="Times New Roman" w:hAnsi="Times New Roman"/>
          <w:sz w:val="24"/>
          <w:szCs w:val="24"/>
        </w:rPr>
        <w:t xml:space="preserve"> Property &amp; Evidence Room and was reporting on an item related to his official duties; he was not “speaking” as a private citizen reporting on an item of great public concern.   </w:t>
      </w:r>
    </w:p>
    <w:p w14:paraId="13189E70" w14:textId="77777777" w:rsidR="009E093C" w:rsidRDefault="009E093C" w:rsidP="009E093C">
      <w:pPr>
        <w:pStyle w:val="NoSpacing"/>
        <w:rPr>
          <w:rFonts w:ascii="Times New Roman" w:hAnsi="Times New Roman"/>
          <w:sz w:val="24"/>
          <w:szCs w:val="24"/>
        </w:rPr>
      </w:pPr>
    </w:p>
    <w:p w14:paraId="3282F86B" w14:textId="77777777" w:rsidR="009E093C" w:rsidRDefault="009E093C" w:rsidP="009E093C">
      <w:pPr>
        <w:pStyle w:val="NoSpacing"/>
        <w:ind w:left="720"/>
        <w:rPr>
          <w:rFonts w:ascii="Times New Roman" w:hAnsi="Times New Roman"/>
          <w:sz w:val="24"/>
          <w:szCs w:val="24"/>
        </w:rPr>
      </w:pPr>
      <w:r>
        <w:rPr>
          <w:rFonts w:ascii="Times New Roman" w:hAnsi="Times New Roman"/>
          <w:sz w:val="24"/>
          <w:szCs w:val="24"/>
        </w:rPr>
        <w:t>“</w:t>
      </w:r>
      <w:r w:rsidRPr="002D5EC1">
        <w:rPr>
          <w:rFonts w:ascii="Times New Roman" w:hAnsi="Times New Roman"/>
          <w:sz w:val="24"/>
          <w:szCs w:val="24"/>
        </w:rPr>
        <w:t>In reaching this</w:t>
      </w:r>
      <w:r>
        <w:rPr>
          <w:rFonts w:ascii="Times New Roman" w:hAnsi="Times New Roman"/>
          <w:sz w:val="24"/>
          <w:szCs w:val="24"/>
        </w:rPr>
        <w:t xml:space="preserve"> </w:t>
      </w:r>
      <w:r w:rsidRPr="002D5EC1">
        <w:rPr>
          <w:rFonts w:ascii="Times New Roman" w:hAnsi="Times New Roman"/>
          <w:sz w:val="24"/>
          <w:szCs w:val="24"/>
        </w:rPr>
        <w:t>outcome, we do not question DeWyse’s motivation, nor</w:t>
      </w:r>
      <w:r>
        <w:rPr>
          <w:rFonts w:ascii="Times New Roman" w:hAnsi="Times New Roman"/>
          <w:sz w:val="24"/>
          <w:szCs w:val="24"/>
        </w:rPr>
        <w:t xml:space="preserve"> </w:t>
      </w:r>
      <w:r w:rsidRPr="002D5EC1">
        <w:rPr>
          <w:rFonts w:ascii="Times New Roman" w:hAnsi="Times New Roman"/>
          <w:sz w:val="24"/>
          <w:szCs w:val="24"/>
        </w:rPr>
        <w:t>do we</w:t>
      </w:r>
      <w:r>
        <w:rPr>
          <w:rFonts w:ascii="Times New Roman" w:hAnsi="Times New Roman"/>
          <w:sz w:val="24"/>
          <w:szCs w:val="24"/>
        </w:rPr>
        <w:t xml:space="preserve"> </w:t>
      </w:r>
      <w:r w:rsidRPr="002D5EC1">
        <w:rPr>
          <w:rFonts w:ascii="Times New Roman" w:hAnsi="Times New Roman"/>
          <w:sz w:val="24"/>
          <w:szCs w:val="24"/>
        </w:rPr>
        <w:t>condone</w:t>
      </w:r>
      <w:r>
        <w:rPr>
          <w:rFonts w:ascii="Times New Roman" w:hAnsi="Times New Roman"/>
          <w:sz w:val="24"/>
          <w:szCs w:val="24"/>
        </w:rPr>
        <w:t xml:space="preserve"> </w:t>
      </w:r>
      <w:r w:rsidRPr="002D5EC1">
        <w:rPr>
          <w:rFonts w:ascii="Times New Roman" w:hAnsi="Times New Roman"/>
          <w:sz w:val="24"/>
          <w:szCs w:val="24"/>
        </w:rPr>
        <w:t>disciplining</w:t>
      </w:r>
      <w:r>
        <w:rPr>
          <w:rFonts w:ascii="Times New Roman" w:hAnsi="Times New Roman"/>
          <w:sz w:val="24"/>
          <w:szCs w:val="24"/>
        </w:rPr>
        <w:t xml:space="preserve"> </w:t>
      </w:r>
      <w:r w:rsidRPr="002D5EC1">
        <w:rPr>
          <w:rFonts w:ascii="Times New Roman" w:hAnsi="Times New Roman"/>
          <w:sz w:val="24"/>
          <w:szCs w:val="24"/>
        </w:rPr>
        <w:t>public employees</w:t>
      </w:r>
      <w:r>
        <w:rPr>
          <w:rFonts w:ascii="Times New Roman" w:hAnsi="Times New Roman"/>
          <w:sz w:val="24"/>
          <w:szCs w:val="24"/>
        </w:rPr>
        <w:t xml:space="preserve"> </w:t>
      </w:r>
      <w:r w:rsidRPr="002D5EC1">
        <w:rPr>
          <w:rFonts w:ascii="Times New Roman" w:hAnsi="Times New Roman"/>
          <w:sz w:val="24"/>
          <w:szCs w:val="24"/>
        </w:rPr>
        <w:t>for raising concerns about government mismanagement or</w:t>
      </w:r>
      <w:r>
        <w:rPr>
          <w:rFonts w:ascii="Times New Roman" w:hAnsi="Times New Roman"/>
          <w:sz w:val="24"/>
          <w:szCs w:val="24"/>
        </w:rPr>
        <w:t xml:space="preserve"> </w:t>
      </w:r>
      <w:r w:rsidRPr="002D5EC1">
        <w:rPr>
          <w:rFonts w:ascii="Times New Roman" w:hAnsi="Times New Roman"/>
          <w:sz w:val="24"/>
          <w:szCs w:val="24"/>
        </w:rPr>
        <w:t>corruption.</w:t>
      </w:r>
      <w:r>
        <w:rPr>
          <w:rFonts w:ascii="Times New Roman" w:hAnsi="Times New Roman"/>
          <w:sz w:val="24"/>
          <w:szCs w:val="24"/>
        </w:rPr>
        <w:t xml:space="preserve"> </w:t>
      </w:r>
      <w:r w:rsidRPr="002D5EC1">
        <w:rPr>
          <w:rFonts w:ascii="Times New Roman" w:hAnsi="Times New Roman"/>
          <w:sz w:val="24"/>
          <w:szCs w:val="24"/>
        </w:rPr>
        <w:t>See Mayhew, 859 F.3d at 466.</w:t>
      </w:r>
      <w:r>
        <w:rPr>
          <w:rFonts w:ascii="Times New Roman" w:hAnsi="Times New Roman"/>
          <w:sz w:val="24"/>
          <w:szCs w:val="24"/>
        </w:rPr>
        <w:t xml:space="preserve"> </w:t>
      </w:r>
      <w:r w:rsidRPr="002D5EC1">
        <w:rPr>
          <w:rFonts w:ascii="Times New Roman" w:hAnsi="Times New Roman"/>
          <w:sz w:val="24"/>
          <w:szCs w:val="24"/>
        </w:rPr>
        <w:t>But</w:t>
      </w:r>
      <w:r>
        <w:rPr>
          <w:rFonts w:ascii="Times New Roman" w:hAnsi="Times New Roman"/>
          <w:sz w:val="24"/>
          <w:szCs w:val="24"/>
        </w:rPr>
        <w:t xml:space="preserve"> </w:t>
      </w:r>
      <w:r w:rsidRPr="002D5EC1">
        <w:rPr>
          <w:rFonts w:ascii="Times New Roman" w:hAnsi="Times New Roman"/>
          <w:sz w:val="24"/>
          <w:szCs w:val="24"/>
        </w:rPr>
        <w:t>in this public employment setting, laudable intent</w:t>
      </w:r>
      <w:r>
        <w:rPr>
          <w:rFonts w:ascii="Times New Roman" w:hAnsi="Times New Roman"/>
          <w:sz w:val="24"/>
          <w:szCs w:val="24"/>
        </w:rPr>
        <w:t xml:space="preserve"> </w:t>
      </w:r>
      <w:r w:rsidRPr="002D5EC1">
        <w:rPr>
          <w:rFonts w:ascii="Times New Roman" w:hAnsi="Times New Roman"/>
          <w:sz w:val="24"/>
          <w:szCs w:val="24"/>
        </w:rPr>
        <w:t>alone</w:t>
      </w:r>
      <w:r>
        <w:rPr>
          <w:rFonts w:ascii="Times New Roman" w:hAnsi="Times New Roman"/>
          <w:sz w:val="24"/>
          <w:szCs w:val="24"/>
        </w:rPr>
        <w:t xml:space="preserve"> </w:t>
      </w:r>
      <w:r w:rsidRPr="002D5EC1">
        <w:rPr>
          <w:rFonts w:ascii="Times New Roman" w:hAnsi="Times New Roman"/>
          <w:sz w:val="24"/>
          <w:szCs w:val="24"/>
        </w:rPr>
        <w:t>is not enough to secure First Amendment protection. See Haddad, 910 F.3d at 249–50. As</w:t>
      </w:r>
      <w:r>
        <w:rPr>
          <w:rFonts w:ascii="Times New Roman" w:hAnsi="Times New Roman"/>
          <w:sz w:val="24"/>
          <w:szCs w:val="24"/>
        </w:rPr>
        <w:t xml:space="preserve"> </w:t>
      </w:r>
      <w:r w:rsidRPr="002D5EC1">
        <w:rPr>
          <w:rFonts w:ascii="Times New Roman" w:hAnsi="Times New Roman"/>
          <w:sz w:val="24"/>
          <w:szCs w:val="24"/>
        </w:rPr>
        <w:t>DeWyse’s communications</w:t>
      </w:r>
      <w:r>
        <w:rPr>
          <w:rFonts w:ascii="Times New Roman" w:hAnsi="Times New Roman"/>
          <w:sz w:val="24"/>
          <w:szCs w:val="24"/>
        </w:rPr>
        <w:t xml:space="preserve"> </w:t>
      </w:r>
      <w:r w:rsidRPr="002D5EC1">
        <w:rPr>
          <w:rFonts w:ascii="Times New Roman" w:hAnsi="Times New Roman"/>
          <w:sz w:val="24"/>
          <w:szCs w:val="24"/>
        </w:rPr>
        <w:t>fell within the scope of his employment and were</w:t>
      </w:r>
      <w:r>
        <w:rPr>
          <w:rFonts w:ascii="Times New Roman" w:hAnsi="Times New Roman"/>
          <w:sz w:val="24"/>
          <w:szCs w:val="24"/>
        </w:rPr>
        <w:t xml:space="preserve"> </w:t>
      </w:r>
      <w:r w:rsidRPr="002D5EC1">
        <w:rPr>
          <w:rFonts w:ascii="Times New Roman" w:hAnsi="Times New Roman"/>
          <w:sz w:val="24"/>
          <w:szCs w:val="24"/>
        </w:rPr>
        <w:t>made pursuant to his assigned duties, he</w:t>
      </w:r>
      <w:r>
        <w:rPr>
          <w:rFonts w:ascii="Times New Roman" w:hAnsi="Times New Roman"/>
          <w:sz w:val="24"/>
          <w:szCs w:val="24"/>
        </w:rPr>
        <w:t xml:space="preserve"> </w:t>
      </w:r>
      <w:r w:rsidRPr="002D5EC1">
        <w:rPr>
          <w:rFonts w:ascii="Times New Roman" w:hAnsi="Times New Roman"/>
          <w:sz w:val="24"/>
          <w:szCs w:val="24"/>
        </w:rPr>
        <w:t>spoke as a public employee, meaning</w:t>
      </w:r>
      <w:r>
        <w:rPr>
          <w:rFonts w:ascii="Times New Roman" w:hAnsi="Times New Roman"/>
          <w:sz w:val="24"/>
          <w:szCs w:val="24"/>
        </w:rPr>
        <w:t xml:space="preserve"> </w:t>
      </w:r>
      <w:r w:rsidRPr="002D5EC1">
        <w:rPr>
          <w:rFonts w:ascii="Times New Roman" w:hAnsi="Times New Roman"/>
          <w:sz w:val="24"/>
          <w:szCs w:val="24"/>
        </w:rPr>
        <w:t>his speech is unprotected.</w:t>
      </w:r>
      <w:r>
        <w:rPr>
          <w:rFonts w:ascii="Times New Roman" w:hAnsi="Times New Roman"/>
          <w:sz w:val="24"/>
          <w:szCs w:val="24"/>
        </w:rPr>
        <w:t xml:space="preserve">” </w:t>
      </w:r>
      <w:hyperlink r:id="rId1198" w:history="1">
        <w:r w:rsidRPr="00AA126E">
          <w:rPr>
            <w:rStyle w:val="Hyperlink"/>
            <w:rFonts w:ascii="Times New Roman" w:hAnsi="Times New Roman"/>
            <w:sz w:val="24"/>
            <w:szCs w:val="24"/>
          </w:rPr>
          <w:t>https://www.opn.ca6.uscourts.gov/opinions.pdf/20a0579n-06.pdf</w:t>
        </w:r>
      </w:hyperlink>
      <w:r>
        <w:rPr>
          <w:rFonts w:ascii="Times New Roman" w:hAnsi="Times New Roman"/>
          <w:sz w:val="24"/>
          <w:szCs w:val="24"/>
        </w:rPr>
        <w:t xml:space="preserve"> </w:t>
      </w:r>
    </w:p>
    <w:p w14:paraId="09F5DE6C" w14:textId="538036CD" w:rsidR="009E093C" w:rsidRDefault="009E093C" w:rsidP="00EF1133">
      <w:pPr>
        <w:rPr>
          <w:rFonts w:ascii="Arial Black" w:hAnsi="Arial Black"/>
          <w:b/>
          <w:sz w:val="24"/>
          <w:szCs w:val="24"/>
        </w:rPr>
      </w:pPr>
    </w:p>
    <w:p w14:paraId="75AAE181" w14:textId="77777777" w:rsidR="009E093C" w:rsidRDefault="009E093C" w:rsidP="009E093C">
      <w:pPr>
        <w:pStyle w:val="NoSpacing"/>
        <w:rPr>
          <w:rFonts w:ascii="Times New Roman" w:hAnsi="Times New Roman"/>
          <w:b/>
          <w:bCs/>
          <w:sz w:val="24"/>
          <w:szCs w:val="24"/>
        </w:rPr>
      </w:pPr>
      <w:r w:rsidRPr="00323F41">
        <w:rPr>
          <w:rFonts w:ascii="Times New Roman" w:hAnsi="Times New Roman"/>
          <w:b/>
          <w:bCs/>
          <w:sz w:val="24"/>
          <w:szCs w:val="24"/>
        </w:rPr>
        <w:t>Legal Lesson Learned:</w:t>
      </w:r>
      <w:r>
        <w:rPr>
          <w:rFonts w:ascii="Times New Roman" w:hAnsi="Times New Roman"/>
          <w:b/>
          <w:bCs/>
          <w:sz w:val="24"/>
          <w:szCs w:val="24"/>
        </w:rPr>
        <w:t xml:space="preserve"> If the Deputy Sheriff had gone to his union, County Prosecutor, FBI or County Commissioners, then his “speech” may have been protected.</w:t>
      </w:r>
    </w:p>
    <w:p w14:paraId="379A06FA" w14:textId="77777777" w:rsidR="009E093C" w:rsidRDefault="009E093C" w:rsidP="009E093C">
      <w:pPr>
        <w:pStyle w:val="NoSpacing"/>
        <w:rPr>
          <w:rFonts w:ascii="Times New Roman" w:hAnsi="Times New Roman"/>
          <w:b/>
          <w:bCs/>
          <w:sz w:val="24"/>
          <w:szCs w:val="24"/>
        </w:rPr>
      </w:pPr>
    </w:p>
    <w:p w14:paraId="2B0A7B10" w14:textId="77777777" w:rsidR="009E093C" w:rsidRPr="00EA56DC" w:rsidRDefault="009E093C" w:rsidP="009E093C">
      <w:pPr>
        <w:pStyle w:val="NoSpacing"/>
        <w:ind w:left="720"/>
        <w:rPr>
          <w:rFonts w:ascii="Times New Roman" w:hAnsi="Times New Roman"/>
          <w:sz w:val="24"/>
          <w:szCs w:val="24"/>
        </w:rPr>
      </w:pPr>
      <w:r w:rsidRPr="00EA56DC">
        <w:rPr>
          <w:rFonts w:ascii="Times New Roman" w:hAnsi="Times New Roman"/>
          <w:sz w:val="24"/>
          <w:szCs w:val="24"/>
        </w:rPr>
        <w:t>Note: The 6</w:t>
      </w:r>
      <w:r w:rsidRPr="00EA56DC">
        <w:rPr>
          <w:rFonts w:ascii="Times New Roman" w:hAnsi="Times New Roman"/>
          <w:sz w:val="24"/>
          <w:szCs w:val="24"/>
          <w:vertAlign w:val="superscript"/>
        </w:rPr>
        <w:t>th</w:t>
      </w:r>
      <w:r w:rsidRPr="00EA56DC">
        <w:rPr>
          <w:rFonts w:ascii="Times New Roman" w:hAnsi="Times New Roman"/>
          <w:sz w:val="24"/>
          <w:szCs w:val="24"/>
        </w:rPr>
        <w:t xml:space="preserve"> Circuit </w:t>
      </w:r>
      <w:r>
        <w:rPr>
          <w:rFonts w:ascii="Times New Roman" w:hAnsi="Times New Roman"/>
          <w:sz w:val="24"/>
          <w:szCs w:val="24"/>
        </w:rPr>
        <w:t xml:space="preserve">judges in this case </w:t>
      </w:r>
      <w:r w:rsidRPr="00EA56DC">
        <w:rPr>
          <w:rFonts w:ascii="Times New Roman" w:hAnsi="Times New Roman"/>
          <w:sz w:val="24"/>
          <w:szCs w:val="24"/>
        </w:rPr>
        <w:t xml:space="preserve">described </w:t>
      </w:r>
      <w:r>
        <w:rPr>
          <w:rFonts w:ascii="Times New Roman" w:hAnsi="Times New Roman"/>
          <w:sz w:val="24"/>
          <w:szCs w:val="24"/>
        </w:rPr>
        <w:t xml:space="preserve">a </w:t>
      </w:r>
      <w:r w:rsidRPr="00EA56DC">
        <w:rPr>
          <w:rFonts w:ascii="Times New Roman" w:hAnsi="Times New Roman"/>
          <w:sz w:val="24"/>
          <w:szCs w:val="24"/>
        </w:rPr>
        <w:t>recent decision where public employee was protected by 1</w:t>
      </w:r>
      <w:r w:rsidRPr="00EA56DC">
        <w:rPr>
          <w:rFonts w:ascii="Times New Roman" w:hAnsi="Times New Roman"/>
          <w:sz w:val="24"/>
          <w:szCs w:val="24"/>
          <w:vertAlign w:val="superscript"/>
        </w:rPr>
        <w:t>st</w:t>
      </w:r>
      <w:r w:rsidRPr="00EA56DC">
        <w:rPr>
          <w:rFonts w:ascii="Times New Roman" w:hAnsi="Times New Roman"/>
          <w:sz w:val="24"/>
          <w:szCs w:val="24"/>
        </w:rPr>
        <w:t xml:space="preserve"> Amendment. </w:t>
      </w:r>
    </w:p>
    <w:p w14:paraId="4C1FF146" w14:textId="77777777" w:rsidR="009E093C" w:rsidRDefault="009E093C" w:rsidP="009E093C">
      <w:pPr>
        <w:pStyle w:val="NoSpacing"/>
        <w:ind w:left="720"/>
        <w:rPr>
          <w:rFonts w:ascii="Times New Roman" w:hAnsi="Times New Roman"/>
          <w:sz w:val="24"/>
          <w:szCs w:val="24"/>
        </w:rPr>
      </w:pPr>
    </w:p>
    <w:p w14:paraId="0077E9D1" w14:textId="77777777" w:rsidR="009E093C" w:rsidRPr="00323F41" w:rsidRDefault="009E093C" w:rsidP="009E093C">
      <w:pPr>
        <w:pStyle w:val="NoSpacing"/>
        <w:ind w:left="1440"/>
        <w:rPr>
          <w:rFonts w:ascii="Times New Roman" w:hAnsi="Times New Roman"/>
          <w:sz w:val="24"/>
          <w:szCs w:val="24"/>
        </w:rPr>
      </w:pPr>
      <w:r>
        <w:rPr>
          <w:rFonts w:ascii="Times New Roman" w:hAnsi="Times New Roman"/>
          <w:sz w:val="24"/>
          <w:szCs w:val="24"/>
        </w:rPr>
        <w:t>“</w:t>
      </w:r>
      <w:r w:rsidRPr="00323F41">
        <w:rPr>
          <w:rFonts w:ascii="Times New Roman" w:hAnsi="Times New Roman"/>
          <w:sz w:val="24"/>
          <w:szCs w:val="24"/>
        </w:rPr>
        <w:t>Our recent decision,</w:t>
      </w:r>
      <w:r>
        <w:rPr>
          <w:rFonts w:ascii="Times New Roman" w:hAnsi="Times New Roman"/>
          <w:sz w:val="24"/>
          <w:szCs w:val="24"/>
        </w:rPr>
        <w:t xml:space="preserve"> </w:t>
      </w:r>
      <w:r w:rsidRPr="00323F41">
        <w:rPr>
          <w:rFonts w:ascii="Times New Roman" w:hAnsi="Times New Roman"/>
          <w:sz w:val="24"/>
          <w:szCs w:val="24"/>
        </w:rPr>
        <w:t xml:space="preserve">Mertins v. City of Mount Clemens, 817 F. </w:t>
      </w:r>
      <w:proofErr w:type="spellStart"/>
      <w:r w:rsidRPr="00323F41">
        <w:rPr>
          <w:rFonts w:ascii="Times New Roman" w:hAnsi="Times New Roman"/>
          <w:sz w:val="24"/>
          <w:szCs w:val="24"/>
        </w:rPr>
        <w:t>App’x</w:t>
      </w:r>
      <w:proofErr w:type="spellEnd"/>
      <w:r w:rsidRPr="00323F41">
        <w:rPr>
          <w:rFonts w:ascii="Times New Roman" w:hAnsi="Times New Roman"/>
          <w:sz w:val="24"/>
          <w:szCs w:val="24"/>
        </w:rPr>
        <w:t xml:space="preserve"> 126 (6</w:t>
      </w:r>
      <w:r w:rsidRPr="00753DA9">
        <w:rPr>
          <w:rFonts w:ascii="Times New Roman" w:hAnsi="Times New Roman"/>
          <w:sz w:val="24"/>
          <w:szCs w:val="24"/>
          <w:vertAlign w:val="superscript"/>
        </w:rPr>
        <w:t>th</w:t>
      </w:r>
      <w:r w:rsidRPr="00323F41">
        <w:rPr>
          <w:rFonts w:ascii="Times New Roman" w:hAnsi="Times New Roman"/>
          <w:sz w:val="24"/>
          <w:szCs w:val="24"/>
        </w:rPr>
        <w:t xml:space="preserve"> Cir. 2020),</w:t>
      </w:r>
      <w:r>
        <w:rPr>
          <w:rFonts w:ascii="Times New Roman" w:hAnsi="Times New Roman"/>
          <w:sz w:val="24"/>
          <w:szCs w:val="24"/>
        </w:rPr>
        <w:t xml:space="preserve"> </w:t>
      </w:r>
      <w:r w:rsidRPr="00323F41">
        <w:rPr>
          <w:rFonts w:ascii="Times New Roman" w:hAnsi="Times New Roman"/>
          <w:sz w:val="24"/>
          <w:szCs w:val="24"/>
        </w:rPr>
        <w:t>does not counsel otherwise. There, a city finance department employee discovered the city was overbilling residents for utilities</w:t>
      </w:r>
      <w:r>
        <w:rPr>
          <w:rFonts w:ascii="Times New Roman" w:hAnsi="Times New Roman"/>
          <w:sz w:val="24"/>
          <w:szCs w:val="24"/>
        </w:rPr>
        <w:t>….</w:t>
      </w:r>
      <w:r w:rsidRPr="00323F41">
        <w:rPr>
          <w:rFonts w:ascii="Times New Roman" w:hAnsi="Times New Roman"/>
          <w:sz w:val="24"/>
          <w:szCs w:val="24"/>
        </w:rPr>
        <w:t>Yet when the employee raised the issue with her supervisors, she was subjected to reprimands and harassment</w:t>
      </w:r>
      <w:r>
        <w:rPr>
          <w:rFonts w:ascii="Times New Roman" w:hAnsi="Times New Roman"/>
          <w:sz w:val="24"/>
          <w:szCs w:val="24"/>
        </w:rPr>
        <w:t>…</w:t>
      </w:r>
      <w:r w:rsidRPr="00323F41">
        <w:rPr>
          <w:rFonts w:ascii="Times New Roman" w:hAnsi="Times New Roman"/>
          <w:sz w:val="24"/>
          <w:szCs w:val="24"/>
        </w:rPr>
        <w:t xml:space="preserve"> The employee then raised these same concerns with her union, local prosecutors, the FBI, and city commissioners. Id.</w:t>
      </w:r>
      <w:r>
        <w:rPr>
          <w:rFonts w:ascii="Times New Roman" w:hAnsi="Times New Roman"/>
          <w:sz w:val="24"/>
          <w:szCs w:val="24"/>
        </w:rPr>
        <w:t xml:space="preserve"> </w:t>
      </w:r>
      <w:r w:rsidRPr="00323F41">
        <w:rPr>
          <w:rFonts w:ascii="Times New Roman" w:hAnsi="Times New Roman"/>
          <w:sz w:val="24"/>
          <w:szCs w:val="24"/>
        </w:rPr>
        <w:t>At the same time, she continued to face discipline from her supervisors. Id.</w:t>
      </w:r>
      <w:r>
        <w:rPr>
          <w:rFonts w:ascii="Times New Roman" w:hAnsi="Times New Roman"/>
          <w:sz w:val="24"/>
          <w:szCs w:val="24"/>
        </w:rPr>
        <w:t xml:space="preserve"> </w:t>
      </w:r>
      <w:r w:rsidRPr="00323F41">
        <w:rPr>
          <w:rFonts w:ascii="Times New Roman" w:hAnsi="Times New Roman"/>
          <w:sz w:val="24"/>
          <w:szCs w:val="24"/>
        </w:rPr>
        <w:t xml:space="preserve">The employee eventually filed a First Amendment retaliation claim against her supervisors, and we later reversed the district court’s grant of summary judgment for the </w:t>
      </w:r>
      <w:proofErr w:type="gramStart"/>
      <w:r w:rsidRPr="00323F41">
        <w:rPr>
          <w:rFonts w:ascii="Times New Roman" w:hAnsi="Times New Roman"/>
          <w:sz w:val="24"/>
          <w:szCs w:val="24"/>
        </w:rPr>
        <w:t>defendants.</w:t>
      </w:r>
      <w:r>
        <w:rPr>
          <w:rFonts w:ascii="Times New Roman" w:hAnsi="Times New Roman"/>
          <w:sz w:val="24"/>
          <w:szCs w:val="24"/>
        </w:rPr>
        <w:t>”</w:t>
      </w:r>
      <w:proofErr w:type="gramEnd"/>
      <w:r>
        <w:rPr>
          <w:rFonts w:ascii="Times New Roman" w:hAnsi="Times New Roman"/>
          <w:sz w:val="24"/>
          <w:szCs w:val="24"/>
        </w:rPr>
        <w:t xml:space="preserve">   [June 5, </w:t>
      </w:r>
      <w:proofErr w:type="gramStart"/>
      <w:r>
        <w:rPr>
          <w:rFonts w:ascii="Times New Roman" w:hAnsi="Times New Roman"/>
          <w:sz w:val="24"/>
          <w:szCs w:val="24"/>
        </w:rPr>
        <w:t>2020</w:t>
      </w:r>
      <w:proofErr w:type="gramEnd"/>
      <w:r>
        <w:rPr>
          <w:rFonts w:ascii="Times New Roman" w:hAnsi="Times New Roman"/>
          <w:sz w:val="24"/>
          <w:szCs w:val="24"/>
        </w:rPr>
        <w:t xml:space="preserve"> decision of 6</w:t>
      </w:r>
      <w:r w:rsidRPr="000C02CA">
        <w:rPr>
          <w:rFonts w:ascii="Times New Roman" w:hAnsi="Times New Roman"/>
          <w:sz w:val="24"/>
          <w:szCs w:val="24"/>
          <w:vertAlign w:val="superscript"/>
        </w:rPr>
        <w:t>th</w:t>
      </w:r>
      <w:r>
        <w:rPr>
          <w:rFonts w:ascii="Times New Roman" w:hAnsi="Times New Roman"/>
          <w:sz w:val="24"/>
          <w:szCs w:val="24"/>
        </w:rPr>
        <w:t xml:space="preserve"> Circuit: </w:t>
      </w:r>
      <w:hyperlink r:id="rId1199" w:history="1">
        <w:r w:rsidRPr="00AA126E">
          <w:rPr>
            <w:rStyle w:val="Hyperlink"/>
            <w:rFonts w:ascii="Times New Roman" w:hAnsi="Times New Roman"/>
            <w:sz w:val="24"/>
            <w:szCs w:val="24"/>
          </w:rPr>
          <w:t>https://law.justia.com/cases/federal/appellate-courts/ca6/19-1416/19-1416-2020-06-05.html</w:t>
        </w:r>
      </w:hyperlink>
      <w:r>
        <w:rPr>
          <w:rFonts w:ascii="Times New Roman" w:hAnsi="Times New Roman"/>
          <w:sz w:val="24"/>
          <w:szCs w:val="24"/>
        </w:rPr>
        <w:t xml:space="preserve">] </w:t>
      </w:r>
    </w:p>
    <w:p w14:paraId="1351B32C" w14:textId="77777777" w:rsidR="009E093C" w:rsidRDefault="009E093C" w:rsidP="009E093C">
      <w:pPr>
        <w:pStyle w:val="NoSpacing"/>
        <w:rPr>
          <w:rFonts w:ascii="Times New Roman" w:hAnsi="Times New Roman"/>
          <w:b/>
          <w:bCs/>
          <w:sz w:val="24"/>
          <w:szCs w:val="24"/>
        </w:rPr>
      </w:pPr>
    </w:p>
    <w:p w14:paraId="405353F6" w14:textId="77777777" w:rsidR="009E093C" w:rsidRDefault="009E093C" w:rsidP="009E093C">
      <w:pPr>
        <w:pStyle w:val="NoSpacing"/>
        <w:ind w:left="1440"/>
      </w:pPr>
      <w:r w:rsidRPr="000C02CA">
        <w:rPr>
          <w:rFonts w:ascii="Times New Roman" w:hAnsi="Times New Roman"/>
          <w:sz w:val="24"/>
          <w:szCs w:val="24"/>
        </w:rPr>
        <w:t xml:space="preserve">Many states have enacted whistleblower protection statutes. </w:t>
      </w:r>
      <w:r w:rsidRPr="00323F41">
        <w:rPr>
          <w:rFonts w:ascii="Times New Roman" w:hAnsi="Times New Roman"/>
          <w:sz w:val="24"/>
          <w:szCs w:val="24"/>
        </w:rPr>
        <w:t xml:space="preserve">For example: </w:t>
      </w:r>
      <w:r>
        <w:rPr>
          <w:rFonts w:ascii="Times New Roman" w:hAnsi="Times New Roman"/>
          <w:sz w:val="24"/>
          <w:szCs w:val="24"/>
        </w:rPr>
        <w:t>Ohio Revised Code</w:t>
      </w:r>
      <w:r w:rsidRPr="00323F41">
        <w:rPr>
          <w:rFonts w:ascii="Times New Roman" w:hAnsi="Times New Roman"/>
          <w:sz w:val="24"/>
          <w:szCs w:val="24"/>
        </w:rPr>
        <w:t xml:space="preserve"> 4113.52</w:t>
      </w:r>
      <w:r>
        <w:rPr>
          <w:rFonts w:ascii="Times New Roman" w:hAnsi="Times New Roman"/>
          <w:sz w:val="24"/>
          <w:szCs w:val="24"/>
        </w:rPr>
        <w:t>, ”</w:t>
      </w:r>
      <w:r w:rsidRPr="00323F41">
        <w:rPr>
          <w:rFonts w:ascii="Times New Roman" w:hAnsi="Times New Roman"/>
          <w:sz w:val="24"/>
          <w:szCs w:val="24"/>
        </w:rPr>
        <w:t>Reporting violation of law by employer or fellow employee</w:t>
      </w:r>
      <w:r>
        <w:t>.”</w:t>
      </w:r>
    </w:p>
    <w:p w14:paraId="57C8D374" w14:textId="77777777" w:rsidR="009E093C" w:rsidRDefault="009E093C" w:rsidP="009E093C">
      <w:pPr>
        <w:pStyle w:val="NormalWeb"/>
        <w:ind w:left="1830"/>
      </w:pPr>
      <w:r>
        <w:t xml:space="preserve">“(1)  (a) If an employee becomes aware in the course of the employee’s employment of a violation of any state or federal statute or any ordinance or regulation of a political subdivision that the employee’s employer has authority to correct, and the employee reasonably believes that the violation is a criminal offense that is likely to cause an imminent risk of physical harm to persons or a hazard to public health or safety , a felony, or an improper solicitation for a contribution, the employee orally shall notify the employee’s supervisor or other responsible officer of the employee’s employer of the violation and subsequently shall file with that supervisor or officer a written report that provides sufficient detail to identify and describe the violation. If the employer does not correct the violation or make a reasonable and good faith effort to correct the violation within twenty-four hours after the oral notification or the receipt of the report, whichever is earlier, the employee may file a written report that provides sufficient detail to identify and describe the violation with the prosecuting authority of the county or municipal corporation where the violation occurred, with a peace officer, with the inspector general if the violation is within the inspector general’s jurisdiction, or with any other appropriate public official or agency that has regulatory authority over the employer and the industry, trade, or business in which the employer is engaged.”  </w:t>
      </w:r>
      <w:hyperlink r:id="rId1200" w:history="1">
        <w:r w:rsidRPr="00AA126E">
          <w:rPr>
            <w:rStyle w:val="Hyperlink"/>
          </w:rPr>
          <w:t>http://codes.ohio.gov/orc/4113.52</w:t>
        </w:r>
      </w:hyperlink>
      <w:r>
        <w:t xml:space="preserve"> </w:t>
      </w:r>
    </w:p>
    <w:p w14:paraId="4E64EB72" w14:textId="77777777" w:rsidR="009E093C" w:rsidRDefault="009E093C" w:rsidP="009E093C">
      <w:pPr>
        <w:pStyle w:val="NoSpacing"/>
        <w:ind w:left="720" w:firstLine="720"/>
        <w:rPr>
          <w:rFonts w:ascii="Times New Roman" w:hAnsi="Times New Roman"/>
          <w:sz w:val="24"/>
          <w:szCs w:val="24"/>
        </w:rPr>
      </w:pPr>
      <w:r>
        <w:rPr>
          <w:rFonts w:ascii="Times New Roman" w:hAnsi="Times New Roman"/>
          <w:sz w:val="24"/>
          <w:szCs w:val="24"/>
        </w:rPr>
        <w:t xml:space="preserve">See also other Ohio statutes:  </w:t>
      </w:r>
    </w:p>
    <w:p w14:paraId="10A95A3F" w14:textId="77777777" w:rsidR="009E093C" w:rsidRDefault="009E093C" w:rsidP="009E093C">
      <w:pPr>
        <w:pStyle w:val="NoSpacing"/>
        <w:ind w:left="720" w:firstLine="720"/>
        <w:rPr>
          <w:rFonts w:ascii="Times New Roman" w:hAnsi="Times New Roman"/>
          <w:sz w:val="24"/>
          <w:szCs w:val="24"/>
        </w:rPr>
      </w:pPr>
    </w:p>
    <w:p w14:paraId="4BF7D098" w14:textId="77777777" w:rsidR="009E093C" w:rsidRPr="00323F41" w:rsidRDefault="009E093C" w:rsidP="009E093C">
      <w:pPr>
        <w:pStyle w:val="NoSpacing"/>
        <w:ind w:left="1440"/>
        <w:rPr>
          <w:rFonts w:ascii="Times New Roman" w:hAnsi="Times New Roman"/>
          <w:b/>
          <w:bCs/>
          <w:sz w:val="24"/>
          <w:szCs w:val="24"/>
        </w:rPr>
      </w:pPr>
      <w:r>
        <w:rPr>
          <w:rFonts w:ascii="Times New Roman" w:hAnsi="Times New Roman"/>
          <w:sz w:val="24"/>
          <w:szCs w:val="24"/>
        </w:rPr>
        <w:t>“</w:t>
      </w:r>
      <w:r w:rsidRPr="00323F41">
        <w:rPr>
          <w:rFonts w:ascii="Times New Roman" w:hAnsi="Times New Roman"/>
          <w:sz w:val="24"/>
          <w:szCs w:val="24"/>
        </w:rPr>
        <w:t xml:space="preserve">Ohio has a general whistleblower protection statute that protects whistleblowers who report suspected felonies, crimes that may cause physical harm, and crimes that may produce a hazard </w:t>
      </w:r>
      <w:r w:rsidRPr="00323F41">
        <w:rPr>
          <w:rFonts w:ascii="Times New Roman" w:hAnsi="Times New Roman"/>
          <w:sz w:val="24"/>
          <w:szCs w:val="24"/>
        </w:rPr>
        <w:lastRenderedPageBreak/>
        <w:t>to the public health or safety. Also, several other Ohio statutes contain anti-retaliation provisions. Employees who engage in protected activities under laws in the following subject areas are protected from retaliation: abuse or neglect of residents at health-care facility, discrimination, minimum wage, wage discrimination, and workers</w:t>
      </w:r>
      <w:r>
        <w:rPr>
          <w:rFonts w:ascii="Times New Roman" w:hAnsi="Times New Roman"/>
          <w:sz w:val="24"/>
          <w:szCs w:val="24"/>
        </w:rPr>
        <w:t>’</w:t>
      </w:r>
      <w:r w:rsidRPr="00323F41">
        <w:rPr>
          <w:rFonts w:ascii="Times New Roman" w:hAnsi="Times New Roman"/>
          <w:sz w:val="24"/>
          <w:szCs w:val="24"/>
        </w:rPr>
        <w:t xml:space="preserve"> compensation.” </w:t>
      </w:r>
      <w:hyperlink r:id="rId1201" w:history="1">
        <w:r w:rsidRPr="00323F41">
          <w:rPr>
            <w:rStyle w:val="Hyperlink"/>
            <w:rFonts w:ascii="Times New Roman" w:hAnsi="Times New Roman"/>
            <w:sz w:val="24"/>
            <w:szCs w:val="24"/>
          </w:rPr>
          <w:t>https://www.workplacefairness.org/whistleblower-retaliation-claim-OH</w:t>
        </w:r>
      </w:hyperlink>
      <w:r w:rsidRPr="00323F41">
        <w:rPr>
          <w:rFonts w:ascii="Times New Roman" w:hAnsi="Times New Roman"/>
          <w:sz w:val="24"/>
          <w:szCs w:val="24"/>
        </w:rPr>
        <w:t xml:space="preserve"> </w:t>
      </w:r>
    </w:p>
    <w:p w14:paraId="78C3413E" w14:textId="77777777" w:rsidR="009E093C" w:rsidRDefault="009E093C" w:rsidP="00EF1133">
      <w:pPr>
        <w:rPr>
          <w:rFonts w:ascii="Arial Black" w:hAnsi="Arial Black"/>
          <w:b/>
          <w:sz w:val="24"/>
          <w:szCs w:val="24"/>
        </w:rPr>
      </w:pPr>
    </w:p>
    <w:p w14:paraId="3ED44651" w14:textId="77777777" w:rsidR="009E093C" w:rsidRDefault="009E093C" w:rsidP="00EF1133">
      <w:pPr>
        <w:rPr>
          <w:rFonts w:ascii="Arial Black" w:hAnsi="Arial Black"/>
          <w:b/>
          <w:sz w:val="24"/>
          <w:szCs w:val="24"/>
        </w:rPr>
      </w:pPr>
    </w:p>
    <w:p w14:paraId="70F1EBC6" w14:textId="77777777" w:rsidR="009E093C" w:rsidRDefault="009E093C" w:rsidP="00EF1133">
      <w:pPr>
        <w:rPr>
          <w:rFonts w:ascii="Arial Black" w:hAnsi="Arial Black"/>
          <w:b/>
          <w:sz w:val="24"/>
          <w:szCs w:val="24"/>
        </w:rPr>
      </w:pPr>
    </w:p>
    <w:p w14:paraId="330431A7" w14:textId="15C107A1" w:rsidR="00DD03E3" w:rsidRDefault="00DD03E3"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2</w:t>
      </w:r>
    </w:p>
    <w:p w14:paraId="11CDA428" w14:textId="77777777" w:rsidR="00DD03E3" w:rsidRPr="001A1A8E" w:rsidRDefault="00DD03E3" w:rsidP="00DD03E3">
      <w:pPr>
        <w:pStyle w:val="NormalWeb"/>
        <w:rPr>
          <w:rFonts w:ascii="Arial Black" w:hAnsi="Arial Black"/>
          <w:sz w:val="28"/>
          <w:szCs w:val="28"/>
        </w:rPr>
      </w:pPr>
      <w:r w:rsidRPr="001A1A8E">
        <w:rPr>
          <w:rFonts w:ascii="Arial Black" w:hAnsi="Arial Black"/>
          <w:sz w:val="28"/>
          <w:szCs w:val="28"/>
        </w:rPr>
        <w:t>NJ:</w:t>
      </w:r>
      <w:r>
        <w:rPr>
          <w:rFonts w:ascii="Arial Black" w:hAnsi="Arial Black"/>
          <w:sz w:val="28"/>
          <w:szCs w:val="28"/>
        </w:rPr>
        <w:t xml:space="preserve"> RECRUIT FIRED AFTER GRADUATION – PRIOR TO ACADEMY HAD ALTERED INSURANCE CARD TO SHOW ADDRESS IN CITY - REINSTATED</w:t>
      </w:r>
    </w:p>
    <w:p w14:paraId="191F5C43" w14:textId="77777777" w:rsidR="00DD03E3" w:rsidRDefault="00DD03E3" w:rsidP="00DD03E3">
      <w:pPr>
        <w:spacing w:before="100" w:beforeAutospacing="1" w:after="100" w:afterAutospacing="1" w:line="240" w:lineRule="auto"/>
        <w:rPr>
          <w:rFonts w:ascii="Times New Roman" w:eastAsia="Times New Roman" w:hAnsi="Times New Roman"/>
          <w:sz w:val="24"/>
          <w:szCs w:val="24"/>
        </w:rPr>
      </w:pPr>
      <w:r w:rsidRPr="001A48DE">
        <w:rPr>
          <w:rFonts w:ascii="Times New Roman" w:eastAsia="Times New Roman" w:hAnsi="Times New Roman"/>
          <w:sz w:val="24"/>
          <w:szCs w:val="24"/>
        </w:rPr>
        <w:t xml:space="preserve">On Oct. 19, 2020, </w:t>
      </w:r>
      <w:r w:rsidRPr="001A48DE">
        <w:rPr>
          <w:rFonts w:ascii="Times New Roman" w:eastAsia="Times New Roman" w:hAnsi="Times New Roman"/>
          <w:sz w:val="24"/>
          <w:szCs w:val="24"/>
          <w:u w:val="single"/>
        </w:rPr>
        <w:t>In The Matter of Christopher D’Amico, City of Plainfield, Fire Department</w:t>
      </w:r>
      <w:r>
        <w:rPr>
          <w:rFonts w:ascii="Times New Roman" w:eastAsia="Times New Roman" w:hAnsi="Times New Roman"/>
          <w:sz w:val="24"/>
          <w:szCs w:val="24"/>
          <w:u w:val="single"/>
        </w:rPr>
        <w:t xml:space="preserve">, </w:t>
      </w:r>
      <w:r>
        <w:rPr>
          <w:rFonts w:ascii="Times New Roman" w:eastAsia="Times New Roman" w:hAnsi="Times New Roman"/>
          <w:sz w:val="24"/>
          <w:szCs w:val="24"/>
        </w:rPr>
        <w:t>the Superior Court of New Jersey, Appellate Division, held (2 to 0) in unpublished decision, that  the New Jersey Civil Service Commission, based on the findings of their Administrative Law Judge, properly ordered the City to rehire the firefighter, with back and seniority rights. The Fire Chief also supported the re-hire decision.</w:t>
      </w:r>
    </w:p>
    <w:p w14:paraId="632345FD" w14:textId="77777777" w:rsidR="00DD03E3" w:rsidRPr="001A48DE" w:rsidRDefault="00DD03E3" w:rsidP="00DD03E3">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1A48DE">
        <w:rPr>
          <w:rFonts w:ascii="Times New Roman" w:hAnsi="Times New Roman"/>
          <w:sz w:val="24"/>
          <w:szCs w:val="24"/>
        </w:rPr>
        <w:t xml:space="preserve">After reviewing the City's exceptions, the Commission agreed with the ALJ. It held D'Amico provided his true address on the card and the addition of correct information on the document did not indicate a lack of character or morals to be a firefighter. Even if it were, the Commission concluded the </w:t>
      </w:r>
      <w:proofErr w:type="gramStart"/>
      <w:r w:rsidRPr="001A48DE">
        <w:rPr>
          <w:rFonts w:ascii="Times New Roman" w:hAnsi="Times New Roman"/>
          <w:sz w:val="24"/>
          <w:szCs w:val="24"/>
        </w:rPr>
        <w:t>City</w:t>
      </w:r>
      <w:proofErr w:type="gramEnd"/>
      <w:r w:rsidRPr="001A48DE">
        <w:rPr>
          <w:rFonts w:ascii="Times New Roman" w:hAnsi="Times New Roman"/>
          <w:sz w:val="24"/>
          <w:szCs w:val="24"/>
        </w:rPr>
        <w:t xml:space="preserve"> was aware of the altered document in May 2017, before D'Amico was hired and attended the fire academy. In addition, because D'Amico was on the job for only three or four hours at the time he was terminated, the Commission concluded the </w:t>
      </w:r>
      <w:proofErr w:type="gramStart"/>
      <w:r w:rsidRPr="001A48DE">
        <w:rPr>
          <w:rFonts w:ascii="Times New Roman" w:hAnsi="Times New Roman"/>
          <w:sz w:val="24"/>
          <w:szCs w:val="24"/>
        </w:rPr>
        <w:t>City</w:t>
      </w:r>
      <w:proofErr w:type="gramEnd"/>
      <w:r w:rsidRPr="001A48DE">
        <w:rPr>
          <w:rFonts w:ascii="Times New Roman" w:hAnsi="Times New Roman"/>
          <w:sz w:val="24"/>
          <w:szCs w:val="24"/>
        </w:rPr>
        <w:t xml:space="preserve"> had the burden of proving D'Amico was guilty of the charges. Based on its findings, the Commission reinstated D'Amico, and awarded him back pay, benefits, and seniority status.</w:t>
      </w:r>
      <w:r>
        <w:rPr>
          <w:rFonts w:ascii="Times New Roman" w:hAnsi="Times New Roman"/>
          <w:sz w:val="24"/>
          <w:szCs w:val="24"/>
        </w:rPr>
        <w:t xml:space="preserve">” </w:t>
      </w:r>
      <w:hyperlink r:id="rId1202" w:history="1">
        <w:r w:rsidRPr="003B2E68">
          <w:rPr>
            <w:rStyle w:val="Hyperlink"/>
            <w:rFonts w:ascii="Times New Roman" w:hAnsi="Times New Roman"/>
            <w:sz w:val="24"/>
            <w:szCs w:val="24"/>
          </w:rPr>
          <w:t>https://public.fastcase.com/Wl%2B2t%2BeVuI35%2FN70vAMFZt8kW6J16QTt9TZ%2FuwcLGfAQlmvmDCIs7SYJL9UeqqRt</w:t>
        </w:r>
      </w:hyperlink>
      <w:r>
        <w:rPr>
          <w:rFonts w:ascii="Times New Roman" w:hAnsi="Times New Roman"/>
          <w:sz w:val="24"/>
          <w:szCs w:val="24"/>
        </w:rPr>
        <w:t xml:space="preserve"> </w:t>
      </w:r>
    </w:p>
    <w:p w14:paraId="764015A2" w14:textId="77777777" w:rsidR="00DD03E3" w:rsidRDefault="00DD03E3" w:rsidP="00DD03E3">
      <w:pPr>
        <w:spacing w:before="100" w:beforeAutospacing="1" w:after="100" w:afterAutospacing="1" w:line="240" w:lineRule="auto"/>
        <w:rPr>
          <w:rFonts w:ascii="Times New Roman" w:eastAsia="Times New Roman" w:hAnsi="Times New Roman"/>
          <w:b/>
          <w:bCs/>
          <w:sz w:val="24"/>
          <w:szCs w:val="24"/>
        </w:rPr>
      </w:pPr>
      <w:r w:rsidRPr="006D1272">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Civil Service Commissions can perform valuable service; Courts will normally uphold unless “arbitrary, capricious, unreasonable, or lacked sufficient credible evidence in the record. </w:t>
      </w:r>
    </w:p>
    <w:p w14:paraId="138AECDA" w14:textId="77777777" w:rsidR="00DD03E3" w:rsidRDefault="00DD03E3" w:rsidP="00DD03E3">
      <w:pPr>
        <w:spacing w:before="100" w:beforeAutospacing="1" w:after="100" w:afterAutospacing="1" w:line="240" w:lineRule="auto"/>
        <w:ind w:left="720"/>
        <w:rPr>
          <w:rFonts w:ascii="Times New Roman" w:hAnsi="Times New Roman"/>
          <w:sz w:val="24"/>
          <w:szCs w:val="24"/>
        </w:rPr>
      </w:pPr>
      <w:r w:rsidRPr="006F79CC">
        <w:rPr>
          <w:rFonts w:ascii="Times New Roman" w:eastAsia="Times New Roman" w:hAnsi="Times New Roman"/>
          <w:sz w:val="24"/>
          <w:szCs w:val="24"/>
        </w:rPr>
        <w:t>Note:</w:t>
      </w:r>
      <w:r>
        <w:rPr>
          <w:rFonts w:ascii="Times New Roman" w:eastAsia="Times New Roman" w:hAnsi="Times New Roman"/>
          <w:b/>
          <w:bCs/>
          <w:sz w:val="24"/>
          <w:szCs w:val="24"/>
        </w:rPr>
        <w:t xml:space="preserve"> </w:t>
      </w:r>
      <w:r w:rsidRPr="006D1272">
        <w:rPr>
          <w:rFonts w:ascii="Times New Roman" w:hAnsi="Times New Roman"/>
          <w:sz w:val="24"/>
          <w:szCs w:val="24"/>
        </w:rPr>
        <w:t>The Ohio Supreme Court, in Lima v State,</w:t>
      </w:r>
      <w:r>
        <w:rPr>
          <w:rFonts w:ascii="Times New Roman" w:hAnsi="Times New Roman"/>
          <w:sz w:val="24"/>
          <w:szCs w:val="24"/>
        </w:rPr>
        <w:t xml:space="preserve"> on June 10, 2009, </w:t>
      </w:r>
      <w:r w:rsidRPr="006D1272">
        <w:rPr>
          <w:rFonts w:ascii="Times New Roman" w:hAnsi="Times New Roman"/>
          <w:sz w:val="24"/>
          <w:szCs w:val="24"/>
        </w:rPr>
        <w:t>2009-Ohio-2597, held 5-2 that a state law</w:t>
      </w:r>
      <w:r>
        <w:rPr>
          <w:rFonts w:ascii="Times New Roman" w:hAnsi="Times New Roman"/>
          <w:sz w:val="24"/>
          <w:szCs w:val="24"/>
        </w:rPr>
        <w:t xml:space="preserve"> </w:t>
      </w:r>
      <w:r w:rsidRPr="006D1272">
        <w:rPr>
          <w:rFonts w:ascii="Times New Roman" w:hAnsi="Times New Roman"/>
          <w:sz w:val="24"/>
          <w:szCs w:val="24"/>
        </w:rPr>
        <w:t>prohibiting general residency requirements for public</w:t>
      </w:r>
      <w:r>
        <w:rPr>
          <w:rFonts w:ascii="Times New Roman" w:hAnsi="Times New Roman"/>
          <w:sz w:val="24"/>
          <w:szCs w:val="24"/>
        </w:rPr>
        <w:t xml:space="preserve"> </w:t>
      </w:r>
      <w:r w:rsidRPr="006D1272">
        <w:rPr>
          <w:rFonts w:ascii="Times New Roman" w:hAnsi="Times New Roman"/>
          <w:sz w:val="24"/>
          <w:szCs w:val="24"/>
        </w:rPr>
        <w:t>employees is valid and supersedes local laws</w:t>
      </w:r>
      <w:r>
        <w:rPr>
          <w:rFonts w:ascii="Times New Roman" w:hAnsi="Times New Roman"/>
          <w:sz w:val="24"/>
          <w:szCs w:val="24"/>
        </w:rPr>
        <w:t xml:space="preserve"> that might require residency.  </w:t>
      </w:r>
      <w:hyperlink r:id="rId1203" w:history="1">
        <w:r w:rsidRPr="003B2E68">
          <w:rPr>
            <w:rStyle w:val="Hyperlink"/>
            <w:rFonts w:ascii="Times New Roman" w:hAnsi="Times New Roman"/>
            <w:sz w:val="24"/>
            <w:szCs w:val="24"/>
          </w:rPr>
          <w:t>https://www.supremecourt.ohio.gov/rod/docs/pdf/0/2009/2009-Ohio-2597.pdf</w:t>
        </w:r>
      </w:hyperlink>
      <w:r>
        <w:rPr>
          <w:rFonts w:ascii="Times New Roman" w:hAnsi="Times New Roman"/>
          <w:sz w:val="24"/>
          <w:szCs w:val="24"/>
        </w:rPr>
        <w:t xml:space="preserve"> </w:t>
      </w:r>
    </w:p>
    <w:p w14:paraId="53AD2A8E" w14:textId="77777777" w:rsidR="00DD03E3" w:rsidRPr="00B5449A" w:rsidRDefault="00DD03E3" w:rsidP="00DD03E3">
      <w:pPr>
        <w:spacing w:before="100" w:beforeAutospacing="1" w:after="100" w:afterAutospacing="1" w:line="240" w:lineRule="auto"/>
        <w:ind w:left="720"/>
        <w:rPr>
          <w:rFonts w:ascii="Times New Roman" w:eastAsia="Times New Roman" w:hAnsi="Times New Roman"/>
          <w:sz w:val="24"/>
          <w:szCs w:val="24"/>
        </w:rPr>
      </w:pPr>
      <w:r w:rsidRPr="00B5449A">
        <w:rPr>
          <w:rFonts w:ascii="Times New Roman" w:eastAsia="Times New Roman" w:hAnsi="Times New Roman"/>
          <w:sz w:val="24"/>
          <w:szCs w:val="24"/>
        </w:rPr>
        <w:t>For Ohio firefighters</w:t>
      </w:r>
      <w:r>
        <w:rPr>
          <w:rFonts w:ascii="Times New Roman" w:eastAsia="Times New Roman" w:hAnsi="Times New Roman"/>
          <w:sz w:val="24"/>
          <w:szCs w:val="24"/>
        </w:rPr>
        <w:t xml:space="preserve"> and other emergency responders</w:t>
      </w:r>
      <w:r w:rsidRPr="00B5449A">
        <w:rPr>
          <w:rFonts w:ascii="Times New Roman" w:eastAsia="Times New Roman" w:hAnsi="Times New Roman"/>
          <w:sz w:val="24"/>
          <w:szCs w:val="24"/>
        </w:rPr>
        <w:t xml:space="preserve">, </w:t>
      </w:r>
      <w:r>
        <w:rPr>
          <w:rFonts w:ascii="Times New Roman" w:eastAsia="Times New Roman" w:hAnsi="Times New Roman"/>
          <w:sz w:val="24"/>
          <w:szCs w:val="24"/>
        </w:rPr>
        <w:t xml:space="preserve">a </w:t>
      </w:r>
      <w:r w:rsidRPr="00B5449A">
        <w:rPr>
          <w:rFonts w:ascii="Times New Roman" w:eastAsia="Times New Roman" w:hAnsi="Times New Roman"/>
          <w:sz w:val="24"/>
          <w:szCs w:val="24"/>
        </w:rPr>
        <w:t xml:space="preserve">political subdivision may require </w:t>
      </w:r>
      <w:r>
        <w:rPr>
          <w:rFonts w:ascii="Times New Roman" w:eastAsia="Times New Roman" w:hAnsi="Times New Roman"/>
          <w:sz w:val="24"/>
          <w:szCs w:val="24"/>
        </w:rPr>
        <w:t xml:space="preserve">that they </w:t>
      </w:r>
      <w:r w:rsidRPr="00B5449A">
        <w:rPr>
          <w:rFonts w:ascii="Times New Roman" w:eastAsia="Times New Roman" w:hAnsi="Times New Roman"/>
          <w:sz w:val="24"/>
          <w:szCs w:val="24"/>
        </w:rPr>
        <w:t>live in the county or adjacent county</w:t>
      </w:r>
      <w:r>
        <w:rPr>
          <w:rFonts w:ascii="Times New Roman" w:eastAsia="Times New Roman" w:hAnsi="Times New Roman"/>
          <w:sz w:val="24"/>
          <w:szCs w:val="24"/>
        </w:rPr>
        <w:t xml:space="preserve">. </w:t>
      </w:r>
      <w:r w:rsidRPr="00B5449A">
        <w:rPr>
          <w:rFonts w:ascii="Times New Roman" w:eastAsia="Times New Roman" w:hAnsi="Times New Roman"/>
          <w:sz w:val="24"/>
          <w:szCs w:val="24"/>
        </w:rPr>
        <w:t xml:space="preserve"> ORC 9.481: </w:t>
      </w:r>
      <w:hyperlink r:id="rId1204" w:history="1">
        <w:r w:rsidRPr="00B5449A">
          <w:rPr>
            <w:rStyle w:val="Hyperlink"/>
            <w:rFonts w:ascii="Times New Roman" w:eastAsia="Times New Roman" w:hAnsi="Times New Roman"/>
            <w:sz w:val="24"/>
            <w:szCs w:val="24"/>
          </w:rPr>
          <w:t>http://codes.ohio.gov/orc/gp9.481</w:t>
        </w:r>
      </w:hyperlink>
      <w:r w:rsidRPr="00B5449A">
        <w:rPr>
          <w:rFonts w:ascii="Times New Roman" w:eastAsia="Times New Roman" w:hAnsi="Times New Roman"/>
          <w:sz w:val="24"/>
          <w:szCs w:val="24"/>
        </w:rPr>
        <w:t xml:space="preserve"> </w:t>
      </w:r>
    </w:p>
    <w:p w14:paraId="35466EBD" w14:textId="77777777" w:rsidR="00DD03E3" w:rsidRPr="006D1272" w:rsidRDefault="00DD03E3" w:rsidP="00DD03E3">
      <w:pPr>
        <w:spacing w:before="100" w:beforeAutospacing="1" w:after="100" w:afterAutospacing="1" w:line="240" w:lineRule="auto"/>
        <w:ind w:left="1440"/>
        <w:rPr>
          <w:rFonts w:ascii="Times New Roman" w:eastAsia="Times New Roman" w:hAnsi="Times New Roman"/>
          <w:b/>
          <w:bCs/>
          <w:sz w:val="24"/>
          <w:szCs w:val="24"/>
        </w:rPr>
      </w:pPr>
      <w:r>
        <w:rPr>
          <w:rFonts w:ascii="Times New Roman" w:hAnsi="Times New Roman"/>
          <w:sz w:val="24"/>
          <w:szCs w:val="24"/>
        </w:rPr>
        <w:t>“</w:t>
      </w:r>
      <w:r w:rsidRPr="00B5449A">
        <w:rPr>
          <w:rFonts w:ascii="Times New Roman" w:hAnsi="Times New Roman"/>
          <w:sz w:val="24"/>
          <w:szCs w:val="24"/>
        </w:rPr>
        <w:t xml:space="preserve">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w:t>
      </w:r>
      <w:r w:rsidRPr="00B5449A">
        <w:rPr>
          <w:rFonts w:ascii="Times New Roman" w:hAnsi="Times New Roman"/>
          <w:sz w:val="24"/>
          <w:szCs w:val="24"/>
        </w:rPr>
        <w:lastRenderedPageBreak/>
        <w:t xml:space="preserve">subdivision, as a condition of employment, to reside either in the county where the political subdivision is located or in any adjacent county in this state. </w:t>
      </w:r>
      <w:r>
        <w:rPr>
          <w:rFonts w:ascii="Times New Roman" w:hAnsi="Times New Roman"/>
          <w:sz w:val="24"/>
          <w:szCs w:val="24"/>
        </w:rPr>
        <w:t>“</w:t>
      </w:r>
    </w:p>
    <w:p w14:paraId="6CEB703A" w14:textId="77777777" w:rsidR="00F824FE" w:rsidRPr="00033598" w:rsidRDefault="00F824FE" w:rsidP="00F824FE">
      <w:pPr>
        <w:spacing w:before="100" w:beforeAutospacing="1" w:after="100" w:afterAutospacing="1" w:line="240" w:lineRule="auto"/>
        <w:rPr>
          <w:rFonts w:ascii="Times New Roman" w:eastAsia="Times New Roman" w:hAnsi="Times New Roman"/>
          <w:b/>
          <w:bCs/>
          <w:sz w:val="24"/>
          <w:szCs w:val="24"/>
        </w:rPr>
      </w:pPr>
      <w:r w:rsidRPr="00033598">
        <w:rPr>
          <w:rFonts w:ascii="Times New Roman" w:hAnsi="Times New Roman"/>
          <w:b/>
          <w:bCs/>
          <w:sz w:val="24"/>
          <w:szCs w:val="24"/>
        </w:rPr>
        <w:t>Legal Lessons Learned</w:t>
      </w:r>
      <w:r>
        <w:rPr>
          <w:rFonts w:ascii="Times New Roman" w:hAnsi="Times New Roman"/>
          <w:b/>
          <w:bCs/>
          <w:sz w:val="24"/>
          <w:szCs w:val="24"/>
        </w:rPr>
        <w:t xml:space="preserve">:  If unclear about records being requested, City had obligation to request clarification. </w:t>
      </w:r>
    </w:p>
    <w:p w14:paraId="1F3D3F8F" w14:textId="77777777" w:rsidR="00F824FE" w:rsidRDefault="00F824FE" w:rsidP="00F824FE">
      <w:pPr>
        <w:spacing w:before="100" w:beforeAutospacing="1" w:after="100" w:afterAutospacing="1" w:line="240" w:lineRule="auto"/>
        <w:ind w:firstLine="720"/>
        <w:rPr>
          <w:rFonts w:ascii="Times New Roman" w:hAnsi="Times New Roman"/>
          <w:sz w:val="24"/>
          <w:szCs w:val="24"/>
        </w:rPr>
      </w:pPr>
      <w:r>
        <w:rPr>
          <w:rFonts w:ascii="Times New Roman" w:hAnsi="Times New Roman"/>
          <w:sz w:val="24"/>
          <w:szCs w:val="24"/>
        </w:rPr>
        <w:t xml:space="preserve">Note: </w:t>
      </w:r>
    </w:p>
    <w:p w14:paraId="0BBC0660" w14:textId="77777777" w:rsidR="00F824FE"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RECOVER ONLY FILING FEE: Ohio Rev. Code Section 2743.75(F)(3)(b): </w:t>
      </w:r>
      <w:hyperlink r:id="rId1205" w:history="1">
        <w:r w:rsidRPr="005E64DB">
          <w:rPr>
            <w:rStyle w:val="Hyperlink"/>
            <w:rFonts w:ascii="Times New Roman" w:hAnsi="Times New Roman"/>
            <w:sz w:val="24"/>
            <w:szCs w:val="24"/>
          </w:rPr>
          <w:t>http://codes.ohio.gov/orc/2743.75</w:t>
        </w:r>
      </w:hyperlink>
    </w:p>
    <w:p w14:paraId="474D57E8" w14:textId="77777777" w:rsidR="00F824FE" w:rsidRDefault="00F824FE" w:rsidP="00F824FE">
      <w:pPr>
        <w:spacing w:before="100" w:beforeAutospacing="1" w:after="100" w:afterAutospacing="1" w:line="240" w:lineRule="auto"/>
        <w:ind w:left="720"/>
        <w:rPr>
          <w:rFonts w:ascii="Times New Roman" w:hAnsi="Times New Roman"/>
          <w:sz w:val="24"/>
          <w:szCs w:val="24"/>
        </w:rPr>
      </w:pPr>
      <w:r w:rsidRPr="003801C1">
        <w:rPr>
          <w:rFonts w:ascii="Times New Roman" w:hAnsi="Times New Roman"/>
          <w:sz w:val="24"/>
          <w:szCs w:val="24"/>
        </w:rPr>
        <w:t xml:space="preserve">(b) The aggrieved person shall be entitled to recover from the public office or person responsible for the public records the amount of the filing fee of twenty-five dollars and any other costs associated with the action that are incurred by the aggrieved person, but shall not be entitled to recover attorney's fees, except that division (G)(2) of this section applies if an appeal is taken under division (G)(1) of this section. </w:t>
      </w:r>
    </w:p>
    <w:p w14:paraId="7D32409C" w14:textId="77777777" w:rsidR="00F824FE" w:rsidRDefault="00F824FE" w:rsidP="00F824FE">
      <w:pPr>
        <w:spacing w:before="100" w:beforeAutospacing="1" w:after="100" w:afterAutospacing="1" w:line="240" w:lineRule="auto"/>
        <w:ind w:left="720"/>
        <w:rPr>
          <w:rFonts w:ascii="Times New Roman" w:hAnsi="Times New Roman"/>
          <w:sz w:val="24"/>
          <w:szCs w:val="24"/>
        </w:rPr>
      </w:pPr>
    </w:p>
    <w:p w14:paraId="0BE59F01" w14:textId="77777777" w:rsidR="00F824FE" w:rsidRPr="00D2685F"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RECOVER ATTORNEY FEES:  Section </w:t>
      </w:r>
      <w:r w:rsidRPr="00D2685F">
        <w:rPr>
          <w:rFonts w:ascii="Times New Roman" w:hAnsi="Times New Roman"/>
          <w:sz w:val="24"/>
          <w:szCs w:val="24"/>
        </w:rPr>
        <w:t xml:space="preserve">149.43: </w:t>
      </w:r>
      <w:hyperlink r:id="rId1206" w:history="1">
        <w:r w:rsidRPr="005E64DB">
          <w:rPr>
            <w:rStyle w:val="Hyperlink"/>
            <w:rFonts w:ascii="Times New Roman" w:hAnsi="Times New Roman"/>
            <w:sz w:val="24"/>
            <w:szCs w:val="24"/>
          </w:rPr>
          <w:t>https://law.justia.com/codes/ohio/2006/orc/jd_14943-4d7.html</w:t>
        </w:r>
      </w:hyperlink>
      <w:r w:rsidRPr="00D2685F">
        <w:rPr>
          <w:rFonts w:ascii="Times New Roman" w:hAnsi="Times New Roman"/>
          <w:sz w:val="24"/>
          <w:szCs w:val="24"/>
        </w:rPr>
        <w:t xml:space="preserve"> </w:t>
      </w:r>
    </w:p>
    <w:p w14:paraId="0311A66F" w14:textId="77777777" w:rsidR="00F824FE" w:rsidRPr="00033598" w:rsidRDefault="00F824FE" w:rsidP="00F824FE">
      <w:pPr>
        <w:spacing w:before="100" w:beforeAutospacing="1" w:after="100" w:afterAutospacing="1" w:line="240" w:lineRule="auto"/>
        <w:ind w:left="720"/>
        <w:rPr>
          <w:rFonts w:ascii="Times New Roman" w:hAnsi="Times New Roman"/>
          <w:sz w:val="24"/>
          <w:szCs w:val="24"/>
        </w:rPr>
      </w:pPr>
      <w:r w:rsidRPr="00033598">
        <w:rPr>
          <w:rFonts w:ascii="Times New Roman" w:hAnsi="Times New Roman"/>
          <w:sz w:val="24"/>
          <w:szCs w:val="24"/>
        </w:rPr>
        <w:t>(C)  If a person allegedly is aggrieved by the failure of a public office to promptly prepare a public record and to make it available to the person for inspection in accordance with division (B) of this section, or if a person who has requested a copy of a public record allegedly is aggrieved by the failure of a public office or the person responsible for the public record to make a copy available to the person allegedly aggrieved in accordance with division (B) of this section, the person allegedly aggrieved may commence a mandamus action to obtain a judgment that orders the public office or the person responsible for the public record to comply with division (B) of this section and that awards reasonable attorney's fees to the person that instituted the mandamus action. The mandamus action may be commenced in the court of common pleas of the county in which division (B) of this section allegedly was not complied with, in the supreme court pursuant to its original jurisdiction under Section 2 of Article IV, Ohio Constitution, or in the court of appeals for the appellate district in which division (B) of this section allegedly was not complied with pursuant to its original jurisdiction under Section 3 of Article IV, Ohio Constitution. </w:t>
      </w:r>
    </w:p>
    <w:p w14:paraId="44E05360" w14:textId="77777777" w:rsidR="00F824FE" w:rsidRDefault="00F824FE" w:rsidP="00EF1133">
      <w:pPr>
        <w:rPr>
          <w:rFonts w:ascii="Arial Black" w:hAnsi="Arial Black"/>
          <w:b/>
          <w:sz w:val="24"/>
          <w:szCs w:val="24"/>
        </w:rPr>
      </w:pPr>
    </w:p>
    <w:p w14:paraId="0CF2D171" w14:textId="77777777" w:rsidR="00F824FE" w:rsidRDefault="00F824FE" w:rsidP="00EF1133">
      <w:pPr>
        <w:rPr>
          <w:rFonts w:ascii="Arial Black" w:hAnsi="Arial Black"/>
          <w:b/>
          <w:sz w:val="24"/>
          <w:szCs w:val="24"/>
        </w:rPr>
      </w:pPr>
    </w:p>
    <w:p w14:paraId="4457B992" w14:textId="5F38466E" w:rsidR="00F824FE" w:rsidRDefault="00F824FE" w:rsidP="00EF1133">
      <w:pPr>
        <w:rPr>
          <w:rFonts w:ascii="Arial Black" w:hAnsi="Arial Black"/>
          <w:b/>
          <w:sz w:val="24"/>
          <w:szCs w:val="24"/>
        </w:rPr>
      </w:pPr>
      <w:r>
        <w:rPr>
          <w:rFonts w:ascii="Arial Black" w:hAnsi="Arial Black"/>
          <w:b/>
          <w:sz w:val="24"/>
          <w:szCs w:val="24"/>
        </w:rPr>
        <w:t>6-51</w:t>
      </w:r>
    </w:p>
    <w:p w14:paraId="2813E3F4" w14:textId="77777777" w:rsidR="00F824FE" w:rsidRDefault="00F824FE" w:rsidP="00F824FE">
      <w:pPr>
        <w:spacing w:before="100" w:beforeAutospacing="1" w:after="100" w:afterAutospacing="1" w:line="240" w:lineRule="auto"/>
        <w:rPr>
          <w:rFonts w:ascii="Arial Black" w:hAnsi="Arial Black"/>
          <w:sz w:val="28"/>
          <w:szCs w:val="28"/>
        </w:rPr>
      </w:pPr>
      <w:r>
        <w:rPr>
          <w:rFonts w:ascii="Arial Black" w:hAnsi="Arial Black"/>
          <w:sz w:val="28"/>
          <w:szCs w:val="28"/>
        </w:rPr>
        <w:t>OH:  CLEVELAND LOCAL 93 – PUBLIC RECORDS REQUEST FOR FD’s 2019 EXPENSE REPORTS – CITY RESPONSE WAS INADEQUATE</w:t>
      </w:r>
    </w:p>
    <w:p w14:paraId="1E1CC502" w14:textId="77777777" w:rsidR="00F824FE" w:rsidRDefault="00F824FE" w:rsidP="00F824FE">
      <w:pPr>
        <w:spacing w:before="100" w:beforeAutospacing="1" w:after="100" w:afterAutospacing="1" w:line="240" w:lineRule="auto"/>
        <w:rPr>
          <w:rFonts w:ascii="Times New Roman" w:hAnsi="Times New Roman"/>
          <w:sz w:val="24"/>
          <w:szCs w:val="24"/>
        </w:rPr>
      </w:pPr>
      <w:r w:rsidRPr="005713F8">
        <w:rPr>
          <w:rFonts w:ascii="Times New Roman" w:hAnsi="Times New Roman"/>
          <w:sz w:val="24"/>
          <w:szCs w:val="24"/>
        </w:rPr>
        <w:t xml:space="preserve">On Sept. 22, 2020, in </w:t>
      </w:r>
      <w:r w:rsidRPr="005713F8">
        <w:rPr>
          <w:rFonts w:ascii="Times New Roman" w:hAnsi="Times New Roman"/>
          <w:sz w:val="24"/>
          <w:szCs w:val="24"/>
          <w:u w:val="single"/>
        </w:rPr>
        <w:t>Association of Cleveland Fire Fighters IAFF Local 93 v. City of Cleveland,</w:t>
      </w:r>
      <w:r>
        <w:rPr>
          <w:rFonts w:ascii="Times New Roman" w:hAnsi="Times New Roman"/>
          <w:sz w:val="24"/>
          <w:szCs w:val="24"/>
        </w:rPr>
        <w:t xml:space="preserve"> Court of Claims of Ohio, Special Master Jeff Clark, after mediation, published his Report and Recommendations to the Court of Claim, findings that City failed to promptly produce Excel records showing 2019 expense records [Dec. 31, 2019 request; City produced some financial records Feb. 12, 2020, but FD expense records not produced until May 20, 2020].  If the City was unclear about the records being </w:t>
      </w:r>
      <w:proofErr w:type="gramStart"/>
      <w:r>
        <w:rPr>
          <w:rFonts w:ascii="Times New Roman" w:hAnsi="Times New Roman"/>
          <w:sz w:val="24"/>
          <w:szCs w:val="24"/>
        </w:rPr>
        <w:t>requested</w:t>
      </w:r>
      <w:proofErr w:type="gramEnd"/>
      <w:r>
        <w:rPr>
          <w:rFonts w:ascii="Times New Roman" w:hAnsi="Times New Roman"/>
          <w:sz w:val="24"/>
          <w:szCs w:val="24"/>
        </w:rPr>
        <w:t xml:space="preserve"> it had obligation under </w:t>
      </w:r>
      <w:r>
        <w:rPr>
          <w:rFonts w:ascii="Times New Roman" w:hAnsi="Times New Roman"/>
          <w:sz w:val="24"/>
          <w:szCs w:val="24"/>
        </w:rPr>
        <w:lastRenderedPageBreak/>
        <w:t xml:space="preserve">Ohio code to ask Local 93 to clarify.  The only remedy, however, is $25 filing fee under Ohio Revised Code </w:t>
      </w:r>
      <w:r w:rsidRPr="003801C1">
        <w:rPr>
          <w:rFonts w:ascii="Times New Roman" w:hAnsi="Times New Roman"/>
          <w:sz w:val="24"/>
          <w:szCs w:val="24"/>
        </w:rPr>
        <w:t>2743.75(F)(3)(b).</w:t>
      </w:r>
      <w:r>
        <w:rPr>
          <w:rFonts w:ascii="Times New Roman" w:hAnsi="Times New Roman"/>
          <w:sz w:val="24"/>
          <w:szCs w:val="24"/>
        </w:rPr>
        <w:t xml:space="preserve"> </w:t>
      </w:r>
      <w:proofErr w:type="gramStart"/>
      <w:r>
        <w:rPr>
          <w:rFonts w:ascii="Times New Roman" w:hAnsi="Times New Roman"/>
          <w:sz w:val="24"/>
          <w:szCs w:val="24"/>
        </w:rPr>
        <w:t>In order to</w:t>
      </w:r>
      <w:proofErr w:type="gramEnd"/>
      <w:r>
        <w:rPr>
          <w:rFonts w:ascii="Times New Roman" w:hAnsi="Times New Roman"/>
          <w:sz w:val="24"/>
          <w:szCs w:val="24"/>
        </w:rPr>
        <w:t xml:space="preserve"> recover </w:t>
      </w:r>
      <w:proofErr w:type="spellStart"/>
      <w:proofErr w:type="gramStart"/>
      <w:r>
        <w:rPr>
          <w:rFonts w:ascii="Times New Roman" w:hAnsi="Times New Roman"/>
          <w:sz w:val="24"/>
          <w:szCs w:val="24"/>
        </w:rPr>
        <w:t>attorneys</w:t>
      </w:r>
      <w:proofErr w:type="spellEnd"/>
      <w:proofErr w:type="gramEnd"/>
      <w:r>
        <w:rPr>
          <w:rFonts w:ascii="Times New Roman" w:hAnsi="Times New Roman"/>
          <w:sz w:val="24"/>
          <w:szCs w:val="24"/>
        </w:rPr>
        <w:t xml:space="preserve"> fees, Local 93 </w:t>
      </w:r>
      <w:proofErr w:type="gramStart"/>
      <w:r>
        <w:rPr>
          <w:rFonts w:ascii="Times New Roman" w:hAnsi="Times New Roman"/>
          <w:sz w:val="24"/>
          <w:szCs w:val="24"/>
        </w:rPr>
        <w:t>would have had</w:t>
      </w:r>
      <w:proofErr w:type="gramEnd"/>
      <w:r>
        <w:rPr>
          <w:rFonts w:ascii="Times New Roman" w:hAnsi="Times New Roman"/>
          <w:sz w:val="24"/>
          <w:szCs w:val="24"/>
        </w:rPr>
        <w:t xml:space="preserve"> to file a mandamus action in Court of Common Pleas under Section 149.43.  </w:t>
      </w:r>
    </w:p>
    <w:p w14:paraId="50BEAE80" w14:textId="77777777" w:rsidR="00F824FE" w:rsidRPr="00D2685F"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2685F">
        <w:rPr>
          <w:rFonts w:ascii="Times New Roman" w:hAnsi="Times New Roman"/>
          <w:sz w:val="24"/>
          <w:szCs w:val="24"/>
        </w:rPr>
        <w:t xml:space="preserve">Presented with a request that it considered ambiguous, Cleveland had an obligation to </w:t>
      </w:r>
      <w:r>
        <w:rPr>
          <w:rFonts w:ascii="Times New Roman" w:hAnsi="Times New Roman"/>
          <w:sz w:val="24"/>
          <w:szCs w:val="24"/>
        </w:rPr>
        <w:t>‘</w:t>
      </w:r>
      <w:r w:rsidRPr="00D2685F">
        <w:rPr>
          <w:rFonts w:ascii="Times New Roman" w:hAnsi="Times New Roman"/>
          <w:sz w:val="24"/>
          <w:szCs w:val="24"/>
        </w:rPr>
        <w:t>provide the requester with an opportunity to revise the request by informing the requester of the manner in which records are maintained by the public office and accessed in the ordinary course of the public office's or person's duties.</w:t>
      </w:r>
      <w:r>
        <w:rPr>
          <w:rFonts w:ascii="Times New Roman" w:hAnsi="Times New Roman"/>
          <w:sz w:val="24"/>
          <w:szCs w:val="24"/>
        </w:rPr>
        <w:t>’</w:t>
      </w:r>
      <w:r w:rsidRPr="00D2685F">
        <w:rPr>
          <w:rFonts w:ascii="Times New Roman" w:hAnsi="Times New Roman"/>
          <w:sz w:val="24"/>
          <w:szCs w:val="24"/>
        </w:rPr>
        <w:t xml:space="preserve"> R.C. 149.43(B)(2). When Local 93 contacted Cleveland on February 12, 2020 and objected that the record provided was not the record that it sought, Cleveland's proper response was not to offer that Local 93 could send another email (Response at 4), but instead to affirmatively </w:t>
      </w:r>
      <w:r w:rsidRPr="00D2685F">
        <w:rPr>
          <w:rFonts w:ascii="Times New Roman" w:hAnsi="Times New Roman"/>
          <w:i/>
          <w:iCs/>
          <w:sz w:val="24"/>
          <w:szCs w:val="24"/>
        </w:rPr>
        <w:t>inform</w:t>
      </w:r>
      <w:r w:rsidRPr="00D2685F">
        <w:rPr>
          <w:rFonts w:ascii="Times New Roman" w:hAnsi="Times New Roman"/>
          <w:sz w:val="24"/>
          <w:szCs w:val="24"/>
        </w:rPr>
        <w:t xml:space="preserve"> Local 93 of the manner in which itemized expense reports for the Cleveland Division of Fire were maintained and accessed in the ordinary course of duty. As demonstrated in the record, Cleveland kept and used more than one such report.</w:t>
      </w:r>
      <w:r>
        <w:rPr>
          <w:rFonts w:ascii="Times New Roman" w:hAnsi="Times New Roman"/>
          <w:sz w:val="24"/>
          <w:szCs w:val="24"/>
        </w:rPr>
        <w:t xml:space="preserve">” </w:t>
      </w:r>
      <w:hyperlink r:id="rId1207" w:history="1">
        <w:r w:rsidRPr="005E64DB">
          <w:rPr>
            <w:rStyle w:val="Hyperlink"/>
            <w:rFonts w:ascii="Times New Roman" w:hAnsi="Times New Roman"/>
            <w:sz w:val="24"/>
            <w:szCs w:val="24"/>
          </w:rPr>
          <w:t>https://scholar.google.com/scholar_case?case=5871380462060471996&amp;q=Association+of+Cleveland+Fire+Fighters+IAFF+Local+93+v.+City+of+Cleveland,&amp;hl=en&amp;as_sdt=6,36&amp;as_vis=1</w:t>
        </w:r>
      </w:hyperlink>
      <w:r>
        <w:rPr>
          <w:rFonts w:ascii="Times New Roman" w:hAnsi="Times New Roman"/>
          <w:sz w:val="24"/>
          <w:szCs w:val="24"/>
        </w:rPr>
        <w:t xml:space="preserve"> </w:t>
      </w:r>
    </w:p>
    <w:p w14:paraId="7964B8D6" w14:textId="77777777" w:rsidR="00F824FE" w:rsidRDefault="00F824FE" w:rsidP="00EF1133">
      <w:pPr>
        <w:rPr>
          <w:rFonts w:ascii="Arial Black" w:hAnsi="Arial Black"/>
          <w:b/>
          <w:sz w:val="24"/>
          <w:szCs w:val="24"/>
        </w:rPr>
      </w:pPr>
    </w:p>
    <w:p w14:paraId="11EBBBC4" w14:textId="77777777" w:rsidR="00F824FE" w:rsidRDefault="00F824FE" w:rsidP="00EF1133">
      <w:pPr>
        <w:rPr>
          <w:rFonts w:ascii="Arial Black" w:hAnsi="Arial Black"/>
          <w:b/>
          <w:sz w:val="24"/>
          <w:szCs w:val="24"/>
        </w:rPr>
      </w:pPr>
    </w:p>
    <w:p w14:paraId="5ADB23E1" w14:textId="77777777" w:rsidR="00F824FE" w:rsidRDefault="00F824FE" w:rsidP="00EF1133">
      <w:pPr>
        <w:rPr>
          <w:rFonts w:ascii="Arial Black" w:hAnsi="Arial Black"/>
          <w:b/>
          <w:sz w:val="24"/>
          <w:szCs w:val="24"/>
        </w:rPr>
      </w:pPr>
    </w:p>
    <w:p w14:paraId="259B3B12" w14:textId="1B8F1311" w:rsidR="00557CA2" w:rsidRDefault="00557CA2" w:rsidP="00EF1133">
      <w:pPr>
        <w:rPr>
          <w:rFonts w:ascii="Arial Black" w:hAnsi="Arial Black"/>
          <w:b/>
          <w:sz w:val="24"/>
          <w:szCs w:val="24"/>
        </w:rPr>
      </w:pPr>
      <w:r>
        <w:rPr>
          <w:rFonts w:ascii="Arial Black" w:hAnsi="Arial Black"/>
          <w:b/>
          <w:sz w:val="24"/>
          <w:szCs w:val="24"/>
        </w:rPr>
        <w:t>6-50</w:t>
      </w:r>
    </w:p>
    <w:p w14:paraId="22465E70" w14:textId="77777777" w:rsidR="00557CA2" w:rsidRDefault="00557CA2" w:rsidP="00557CA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MD: EMT NECK INJURY – STATE STATUTE INCLUDED PARAMEDICS, FF BUT NOT “EMTs” – SHE IS COVERED</w:t>
      </w:r>
    </w:p>
    <w:p w14:paraId="00A1BD24" w14:textId="77777777" w:rsidR="00557CA2" w:rsidRDefault="00557CA2" w:rsidP="00557CA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26, 2020, in </w:t>
      </w:r>
      <w:r>
        <w:rPr>
          <w:rFonts w:ascii="Times New Roman" w:eastAsia="Times New Roman" w:hAnsi="Times New Roman"/>
          <w:sz w:val="24"/>
          <w:szCs w:val="24"/>
          <w:u w:val="single"/>
        </w:rPr>
        <w:t>Ashley N. Downer v. Baltimore County, Maryland</w:t>
      </w:r>
      <w:r>
        <w:rPr>
          <w:rFonts w:ascii="Times New Roman" w:eastAsia="Times New Roman" w:hAnsi="Times New Roman"/>
          <w:sz w:val="24"/>
          <w:szCs w:val="24"/>
        </w:rPr>
        <w:t xml:space="preserve">, the Court of Special Appeals of Maryland, held (3 to 0) that EMTs are covered by the 1987 statute that awards increased compensation to a “public safety employee” injured on the job, even though the statute did not specifically include EMTs in its definitions [receives two-thirds of her average weekly wage, instead of one-third].  The Court reversed the Circuit Court trial judge and held: </w:t>
      </w:r>
    </w:p>
    <w:p w14:paraId="57E1C85F"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hAnsi="Times New Roman"/>
          <w:sz w:val="24"/>
          <w:szCs w:val="24"/>
        </w:rPr>
        <w:t xml:space="preserve">The Court concludes that the term "paramedic" was used by the legislature in accordance with its commonly understood </w:t>
      </w:r>
      <w:proofErr w:type="gramStart"/>
      <w:r>
        <w:rPr>
          <w:rFonts w:ascii="Times New Roman" w:hAnsi="Times New Roman"/>
          <w:sz w:val="24"/>
          <w:szCs w:val="24"/>
        </w:rPr>
        <w:t>meaning,  and</w:t>
      </w:r>
      <w:proofErr w:type="gramEnd"/>
      <w:r>
        <w:rPr>
          <w:rFonts w:ascii="Times New Roman" w:hAnsi="Times New Roman"/>
          <w:sz w:val="24"/>
          <w:szCs w:val="24"/>
        </w:rPr>
        <w:t xml:space="preserve"> includes persons who are also known as emergency medical technicians.</w:t>
      </w:r>
      <w:r>
        <w:rPr>
          <w:rFonts w:ascii="Times New Roman" w:eastAsia="Times New Roman" w:hAnsi="Times New Roman"/>
          <w:sz w:val="24"/>
          <w:szCs w:val="24"/>
        </w:rPr>
        <w:t xml:space="preserve"> *** </w:t>
      </w:r>
      <w:r>
        <w:rPr>
          <w:rFonts w:ascii="Times New Roman" w:hAnsi="Times New Roman"/>
          <w:sz w:val="24"/>
          <w:szCs w:val="24"/>
        </w:rPr>
        <w:t>We conclude that Ms. Downer should have been considered a public safety employee within the definition of LE § 9-628(a)(1).”</w:t>
      </w:r>
      <w:r>
        <w:rPr>
          <w:rFonts w:ascii="Times New Roman" w:eastAsia="Times New Roman" w:hAnsi="Times New Roman"/>
          <w:sz w:val="24"/>
          <w:szCs w:val="24"/>
        </w:rPr>
        <w:t xml:space="preserve"> </w:t>
      </w:r>
      <w:hyperlink r:id="rId1208" w:history="1">
        <w:r>
          <w:rPr>
            <w:rStyle w:val="Hyperlink"/>
            <w:sz w:val="24"/>
            <w:szCs w:val="24"/>
          </w:rPr>
          <w:t>https://law.justia.com/cases/maryland/court-of-special-appeals/2020/2498-17.html</w:t>
        </w:r>
      </w:hyperlink>
      <w:r>
        <w:rPr>
          <w:rFonts w:ascii="Times New Roman" w:eastAsia="Times New Roman" w:hAnsi="Times New Roman"/>
          <w:sz w:val="24"/>
          <w:szCs w:val="24"/>
        </w:rPr>
        <w:t xml:space="preserve"> </w:t>
      </w:r>
    </w:p>
    <w:p w14:paraId="7721E80A" w14:textId="77777777" w:rsidR="00557CA2" w:rsidRDefault="00557CA2" w:rsidP="00557CA2">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Nice to see Court broadly interpreting a workers compensation statute broadly. </w:t>
      </w:r>
    </w:p>
    <w:p w14:paraId="62CEC2DE" w14:textId="77777777" w:rsidR="00557CA2" w:rsidRDefault="00557CA2" w:rsidP="00EF1133">
      <w:pPr>
        <w:rPr>
          <w:rFonts w:ascii="Arial Black" w:hAnsi="Arial Black"/>
          <w:b/>
          <w:sz w:val="24"/>
          <w:szCs w:val="24"/>
        </w:rPr>
      </w:pPr>
    </w:p>
    <w:p w14:paraId="2701FB75" w14:textId="4F35ECEB" w:rsidR="00557CA2" w:rsidRDefault="00557CA2" w:rsidP="00EF1133">
      <w:pPr>
        <w:rPr>
          <w:rFonts w:ascii="Arial Black" w:hAnsi="Arial Black"/>
          <w:b/>
          <w:sz w:val="24"/>
          <w:szCs w:val="24"/>
        </w:rPr>
      </w:pPr>
      <w:r>
        <w:rPr>
          <w:rFonts w:ascii="Arial Black" w:hAnsi="Arial Black"/>
          <w:b/>
          <w:sz w:val="24"/>
          <w:szCs w:val="24"/>
        </w:rPr>
        <w:t>6-49</w:t>
      </w:r>
    </w:p>
    <w:p w14:paraId="08E1822B" w14:textId="77777777" w:rsidR="00557CA2" w:rsidRDefault="00557CA2" w:rsidP="00557CA2">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WA: FF HEART ATTACK – FAMILY HISTORY - JURY FOUND CAUSED BY PLAQUE – STAT. PRESUMPTION OVERCOME</w:t>
      </w:r>
    </w:p>
    <w:p w14:paraId="4E4B7234" w14:textId="77777777" w:rsidR="00557CA2" w:rsidRDefault="00557CA2" w:rsidP="00557C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On Aug. 18, 2020, in </w:t>
      </w:r>
      <w:r>
        <w:rPr>
          <w:rFonts w:ascii="Times New Roman" w:hAnsi="Times New Roman"/>
          <w:sz w:val="24"/>
          <w:szCs w:val="24"/>
          <w:u w:val="single"/>
        </w:rPr>
        <w:t xml:space="preserve">Andrew P. Leitner v. City of Tacoma and Department of Labor </w:t>
      </w:r>
      <w:proofErr w:type="gramStart"/>
      <w:r>
        <w:rPr>
          <w:rFonts w:ascii="Times New Roman" w:hAnsi="Times New Roman"/>
          <w:sz w:val="24"/>
          <w:szCs w:val="24"/>
          <w:u w:val="single"/>
        </w:rPr>
        <w:t>And</w:t>
      </w:r>
      <w:proofErr w:type="gramEnd"/>
      <w:r>
        <w:rPr>
          <w:rFonts w:ascii="Times New Roman" w:hAnsi="Times New Roman"/>
          <w:sz w:val="24"/>
          <w:szCs w:val="24"/>
          <w:u w:val="single"/>
        </w:rPr>
        <w:t xml:space="preserve"> Industries</w:t>
      </w:r>
      <w:r>
        <w:rPr>
          <w:rFonts w:ascii="Times New Roman" w:hAnsi="Times New Roman"/>
          <w:sz w:val="24"/>
          <w:szCs w:val="24"/>
        </w:rPr>
        <w:t xml:space="preserve">, the Court of Appeals of the State of Washington, Division II, held (3 to 0; unpublished decision) that the trial court gave a proper instruction to the jury, and the jury’s verdict will not be reversed. </w:t>
      </w:r>
    </w:p>
    <w:p w14:paraId="3F6912C7" w14:textId="77777777" w:rsidR="00557CA2" w:rsidRDefault="00557CA2" w:rsidP="00557CA2">
      <w:pPr>
        <w:pStyle w:val="NormalWeb"/>
        <w:ind w:left="720"/>
      </w:pPr>
      <w:r>
        <w:t xml:space="preserve">“Ultimately, the question of whether Leitner's other heart problems qualified for application of the statutory presumption was a factual question for the jury. The question of whether the Board incorrectly applied the presumption by failing to address Leitner's other heart problems was also a question for the jury. Therefore, we conclude that Leitner's argument that the superior court erred by failing to reverse or modify the Board's findings and decision lacks merit.”   </w:t>
      </w:r>
      <w:hyperlink r:id="rId1209" w:history="1">
        <w:r>
          <w:rPr>
            <w:rStyle w:val="Hyperlink"/>
            <w:rFonts w:eastAsiaTheme="majorEastAsia"/>
          </w:rPr>
          <w:t>https://law.justia.com/cases/washington/court-of-appeals-division-ii/2020/52908-4.html</w:t>
        </w:r>
      </w:hyperlink>
    </w:p>
    <w:p w14:paraId="3F5314E1" w14:textId="77777777" w:rsidR="00557CA2" w:rsidRDefault="00557CA2" w:rsidP="00557CA2">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Lessons Learned: Under the State of Washington statute, the employer can seek a jury trial on the issue of the cause of a firefighter’s heart attack. </w:t>
      </w:r>
    </w:p>
    <w:p w14:paraId="7154E4B6" w14:textId="77777777" w:rsidR="00557CA2" w:rsidRDefault="00557CA2" w:rsidP="00557CA2">
      <w:pPr>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 xml:space="preserve">Note: The State of Washington statutory presumption, RCW 51.32.185: </w:t>
      </w:r>
      <w:hyperlink r:id="rId1210" w:history="1">
        <w:r>
          <w:rPr>
            <w:rStyle w:val="Hyperlink"/>
            <w:sz w:val="24"/>
            <w:szCs w:val="24"/>
          </w:rPr>
          <w:t>https://app.leg.wa.gov/rcw/default.aspx?cite=51.32.185</w:t>
        </w:r>
      </w:hyperlink>
      <w:r>
        <w:rPr>
          <w:rFonts w:ascii="Times New Roman" w:hAnsi="Times New Roman"/>
          <w:sz w:val="24"/>
          <w:szCs w:val="24"/>
        </w:rPr>
        <w:t xml:space="preserve"> </w:t>
      </w:r>
    </w:p>
    <w:p w14:paraId="66E45073" w14:textId="0D87694C" w:rsidR="00557CA2" w:rsidRDefault="00557CA2" w:rsidP="00557CA2">
      <w:pPr>
        <w:ind w:left="1440"/>
        <w:rPr>
          <w:rFonts w:ascii="Times New Roman" w:hAnsi="Times New Roman"/>
          <w:sz w:val="24"/>
          <w:szCs w:val="24"/>
        </w:rPr>
      </w:pPr>
      <w:r>
        <w:rPr>
          <w:rFonts w:ascii="Times New Roman" w:hAnsi="Times New Roman"/>
          <w:sz w:val="24"/>
          <w:szCs w:val="24"/>
        </w:rPr>
        <w:t xml:space="preserve">(1)(a) In the case of firefighters as defined in RCW </w:t>
      </w:r>
      <w:hyperlink r:id="rId1211" w:history="1">
        <w:r>
          <w:rPr>
            <w:rStyle w:val="Hyperlink"/>
            <w:sz w:val="24"/>
            <w:szCs w:val="24"/>
          </w:rPr>
          <w:t>41.26.030</w:t>
        </w:r>
      </w:hyperlink>
      <w:r>
        <w:rPr>
          <w:rFonts w:ascii="Times New Roman" w:hAnsi="Times New Roman"/>
          <w:sz w:val="24"/>
          <w:szCs w:val="24"/>
        </w:rPr>
        <w:t>(17) (a), (b), (c), and (h) who are covered under this title and firefighters, including supervisors, employed on a full-time, fully compensated basis as a firefighter of a private sector employer's fire department that includes over fifty such firefighters, and public employee fire investigators, there shall exist a prima facie presumption that: (</w:t>
      </w:r>
      <w:proofErr w:type="spellStart"/>
      <w:r>
        <w:rPr>
          <w:rFonts w:ascii="Times New Roman" w:hAnsi="Times New Roman"/>
          <w:sz w:val="24"/>
          <w:szCs w:val="24"/>
        </w:rPr>
        <w:t>i</w:t>
      </w:r>
      <w:proofErr w:type="spellEnd"/>
      <w:r>
        <w:rPr>
          <w:rFonts w:ascii="Times New Roman" w:hAnsi="Times New Roman"/>
          <w:sz w:val="24"/>
          <w:szCs w:val="24"/>
        </w:rPr>
        <w:t xml:space="preserve">) Respiratory disease; (ii) any heart problems, experienced within seventy-two hours of exposure to smoke, fumes, or toxic substances, or experienced within twenty-four hours of strenuous physical exertion due to firefighting activities; (iii) cancer; and (iv) infectious diseases are occupational diseases under RCW </w:t>
      </w:r>
      <w:hyperlink r:id="rId1212" w:history="1">
        <w:r>
          <w:rPr>
            <w:rStyle w:val="Hyperlink"/>
            <w:sz w:val="24"/>
            <w:szCs w:val="24"/>
          </w:rPr>
          <w:t>51.08.140</w:t>
        </w:r>
      </w:hyperlink>
      <w:r>
        <w:rPr>
          <w:rFonts w:ascii="Times New Roman" w:hAnsi="Times New Roman"/>
          <w:sz w:val="24"/>
          <w:szCs w:val="24"/>
        </w:rPr>
        <w:t>.</w:t>
      </w:r>
    </w:p>
    <w:p w14:paraId="5FEF2910" w14:textId="77777777" w:rsidR="00557CA2" w:rsidRDefault="00557CA2" w:rsidP="00557CA2">
      <w:pPr>
        <w:pStyle w:val="NormalWeb"/>
        <w:ind w:left="720"/>
      </w:pPr>
      <w:r>
        <w:t>On April 24, 2019, the Governor signed an amendment to the statute, including additional cancers covered by the statutory presumption:</w:t>
      </w:r>
    </w:p>
    <w:p w14:paraId="0B6A523C" w14:textId="75072A1E" w:rsidR="00557CA2" w:rsidRDefault="00557CA2" w:rsidP="00557CA2">
      <w:pPr>
        <w:rPr>
          <w:rFonts w:ascii="Arial Black" w:hAnsi="Arial Black"/>
          <w:b/>
          <w:sz w:val="24"/>
          <w:szCs w:val="24"/>
        </w:rPr>
      </w:pPr>
      <w:r>
        <w:t xml:space="preserve">(10)(a)The director must create an advisory committee on occupational disease presumptions. The purposes of the advisory30committee are to review scientific evidence and to make recommendations to the legislature on additional diseases or disorders for inclusion under this section. </w:t>
      </w:r>
      <w:hyperlink r:id="rId1213" w:history="1">
        <w:r>
          <w:rPr>
            <w:rStyle w:val="Hyperlink"/>
            <w:rFonts w:eastAsiaTheme="majorEastAsia"/>
          </w:rPr>
          <w:t>http://lawfilesext.leg.wa.gov/biennium/2019-20/Pdf/Bills/Session%20Laws/House/1913.SL.pdf?cite=2019%20c%20133%20%C2%A7%201</w:t>
        </w:r>
      </w:hyperlink>
    </w:p>
    <w:p w14:paraId="4FCF79B5" w14:textId="77777777" w:rsidR="00557CA2" w:rsidRDefault="00557CA2" w:rsidP="00EF1133">
      <w:pPr>
        <w:rPr>
          <w:rFonts w:ascii="Arial Black" w:hAnsi="Arial Black"/>
          <w:b/>
          <w:sz w:val="24"/>
          <w:szCs w:val="24"/>
        </w:rPr>
      </w:pPr>
    </w:p>
    <w:p w14:paraId="1EFB8E91" w14:textId="12187865" w:rsidR="006B2083" w:rsidRDefault="006B2083" w:rsidP="00EF1133">
      <w:pPr>
        <w:rPr>
          <w:rFonts w:ascii="Arial Black" w:hAnsi="Arial Black"/>
          <w:b/>
          <w:sz w:val="24"/>
          <w:szCs w:val="24"/>
        </w:rPr>
      </w:pPr>
      <w:r>
        <w:rPr>
          <w:rFonts w:ascii="Arial Black" w:hAnsi="Arial Black"/>
          <w:b/>
          <w:sz w:val="24"/>
          <w:szCs w:val="24"/>
        </w:rPr>
        <w:t>6-48</w:t>
      </w:r>
    </w:p>
    <w:p w14:paraId="741951BD" w14:textId="77777777" w:rsidR="006B2083" w:rsidRPr="00683FEB" w:rsidRDefault="006B2083" w:rsidP="006B2083">
      <w:pPr>
        <w:pStyle w:val="NoSpacing"/>
        <w:rPr>
          <w:rFonts w:ascii="Arial Black" w:hAnsi="Arial Black"/>
          <w:sz w:val="28"/>
          <w:szCs w:val="28"/>
        </w:rPr>
      </w:pPr>
      <w:r w:rsidRPr="00683FEB">
        <w:rPr>
          <w:rFonts w:ascii="Arial Black" w:hAnsi="Arial Black"/>
          <w:sz w:val="28"/>
          <w:szCs w:val="28"/>
        </w:rPr>
        <w:t>NY:</w:t>
      </w:r>
      <w:r>
        <w:rPr>
          <w:rFonts w:ascii="Arial Black" w:hAnsi="Arial Black"/>
          <w:sz w:val="28"/>
          <w:szCs w:val="28"/>
        </w:rPr>
        <w:t xml:space="preserve"> FF WITH BAD HIP -– CLAIMED ON DUTY INJURY CAUSED – DEGENTIVE HISTORY - GETS ONLY “ORDINARY” PENSION</w:t>
      </w:r>
    </w:p>
    <w:p w14:paraId="0A61C137" w14:textId="77777777" w:rsidR="006B2083" w:rsidRDefault="006B2083" w:rsidP="006B2083">
      <w:pPr>
        <w:pStyle w:val="NoSpacing"/>
        <w:rPr>
          <w:rFonts w:ascii="Times New Roman" w:hAnsi="Times New Roman"/>
          <w:sz w:val="24"/>
          <w:szCs w:val="24"/>
        </w:rPr>
      </w:pPr>
    </w:p>
    <w:p w14:paraId="633E10B4" w14:textId="77777777" w:rsidR="006B2083" w:rsidRDefault="006B2083" w:rsidP="006B2083">
      <w:pPr>
        <w:pStyle w:val="NoSpacing"/>
        <w:rPr>
          <w:rFonts w:ascii="Times New Roman" w:hAnsi="Times New Roman"/>
          <w:sz w:val="24"/>
          <w:szCs w:val="24"/>
        </w:rPr>
      </w:pPr>
      <w:r w:rsidRPr="00D32613">
        <w:rPr>
          <w:rFonts w:ascii="Times New Roman" w:hAnsi="Times New Roman"/>
          <w:sz w:val="24"/>
          <w:szCs w:val="24"/>
        </w:rPr>
        <w:t xml:space="preserve">On July 15, 2020, in the case of </w:t>
      </w:r>
      <w:r w:rsidRPr="00D32613">
        <w:rPr>
          <w:rFonts w:ascii="Times New Roman" w:hAnsi="Times New Roman"/>
          <w:sz w:val="24"/>
          <w:szCs w:val="24"/>
          <w:u w:val="single"/>
        </w:rPr>
        <w:t>In the Matter of Robert Giuliano v. New York Fire Department Pension Fund, et al</w:t>
      </w:r>
      <w:r w:rsidRPr="00D32613">
        <w:rPr>
          <w:rFonts w:ascii="Times New Roman" w:hAnsi="Times New Roman"/>
          <w:sz w:val="24"/>
          <w:szCs w:val="24"/>
        </w:rPr>
        <w:t xml:space="preserve">., </w:t>
      </w:r>
      <w:r w:rsidRPr="00D32613">
        <w:rPr>
          <w:rFonts w:ascii="Times New Roman" w:eastAsia="Times New Roman" w:hAnsi="Times New Roman"/>
          <w:sz w:val="24"/>
          <w:szCs w:val="24"/>
        </w:rPr>
        <w:t>the Supreme Court of the State of New York, Appellate Division, Second</w:t>
      </w:r>
      <w:r>
        <w:rPr>
          <w:rFonts w:ascii="Times New Roman" w:eastAsia="Times New Roman" w:hAnsi="Times New Roman"/>
          <w:sz w:val="24"/>
          <w:szCs w:val="24"/>
        </w:rPr>
        <w:t xml:space="preserve"> </w:t>
      </w:r>
      <w:r w:rsidRPr="00D32613">
        <w:rPr>
          <w:rFonts w:ascii="Times New Roman" w:eastAsia="Times New Roman" w:hAnsi="Times New Roman"/>
          <w:sz w:val="24"/>
          <w:szCs w:val="24"/>
        </w:rPr>
        <w:t xml:space="preserve">Judicial Department, upheld (5 to 0) the trial court’s decision denying the firefighter’s </w:t>
      </w:r>
      <w:r w:rsidRPr="00D32613">
        <w:rPr>
          <w:rFonts w:ascii="Times New Roman" w:hAnsi="Times New Roman"/>
          <w:sz w:val="24"/>
          <w:szCs w:val="24"/>
        </w:rPr>
        <w:t>application for accidental disability retirement benefits; while he and his surgeon claimed likely caused by on the job injury, MRI showed degenerative history.</w:t>
      </w:r>
      <w:r>
        <w:rPr>
          <w:rFonts w:ascii="Times New Roman" w:hAnsi="Times New Roman"/>
          <w:sz w:val="24"/>
          <w:szCs w:val="24"/>
        </w:rPr>
        <w:t xml:space="preserve"> Court wrote: “</w:t>
      </w:r>
      <w:r w:rsidRPr="00FB2CC3">
        <w:rPr>
          <w:rFonts w:ascii="Times New Roman" w:hAnsi="Times New Roman"/>
          <w:sz w:val="24"/>
          <w:szCs w:val="24"/>
        </w:rPr>
        <w:t>The Medical Board’s findings differ from</w:t>
      </w:r>
      <w:r>
        <w:rPr>
          <w:rFonts w:ascii="Times New Roman" w:hAnsi="Times New Roman"/>
          <w:sz w:val="24"/>
          <w:szCs w:val="24"/>
        </w:rPr>
        <w:t xml:space="preserve"> </w:t>
      </w:r>
      <w:r w:rsidRPr="00FB2CC3">
        <w:rPr>
          <w:rFonts w:ascii="Times New Roman" w:hAnsi="Times New Roman"/>
          <w:sz w:val="24"/>
          <w:szCs w:val="24"/>
        </w:rPr>
        <w:t>those of</w:t>
      </w:r>
      <w:r>
        <w:rPr>
          <w:rFonts w:ascii="Times New Roman" w:hAnsi="Times New Roman"/>
          <w:sz w:val="24"/>
          <w:szCs w:val="24"/>
        </w:rPr>
        <w:t xml:space="preserve"> </w:t>
      </w:r>
      <w:r w:rsidRPr="00FB2CC3">
        <w:rPr>
          <w:rFonts w:ascii="Times New Roman" w:hAnsi="Times New Roman"/>
          <w:sz w:val="24"/>
          <w:szCs w:val="24"/>
        </w:rPr>
        <w:t>the petitioner’s</w:t>
      </w:r>
      <w:r>
        <w:rPr>
          <w:rFonts w:ascii="Times New Roman" w:hAnsi="Times New Roman"/>
          <w:sz w:val="24"/>
          <w:szCs w:val="24"/>
        </w:rPr>
        <w:t xml:space="preserve"> </w:t>
      </w:r>
      <w:r w:rsidRPr="00FB2CC3">
        <w:rPr>
          <w:rFonts w:ascii="Times New Roman" w:hAnsi="Times New Roman"/>
          <w:sz w:val="24"/>
          <w:szCs w:val="24"/>
        </w:rPr>
        <w:t>surgeon,</w:t>
      </w:r>
      <w:r>
        <w:rPr>
          <w:rFonts w:ascii="Times New Roman" w:hAnsi="Times New Roman"/>
          <w:sz w:val="24"/>
          <w:szCs w:val="24"/>
        </w:rPr>
        <w:t xml:space="preserve"> </w:t>
      </w:r>
      <w:r w:rsidRPr="00FB2CC3">
        <w:rPr>
          <w:rFonts w:ascii="Times New Roman" w:hAnsi="Times New Roman"/>
          <w:sz w:val="24"/>
          <w:szCs w:val="24"/>
        </w:rPr>
        <w:t>who found that it was likely that the petitioner’s condition was causally</w:t>
      </w:r>
      <w:r>
        <w:rPr>
          <w:rFonts w:ascii="Times New Roman" w:hAnsi="Times New Roman"/>
          <w:sz w:val="24"/>
          <w:szCs w:val="24"/>
        </w:rPr>
        <w:t xml:space="preserve"> </w:t>
      </w:r>
      <w:r w:rsidRPr="00FB2CC3">
        <w:rPr>
          <w:rFonts w:ascii="Times New Roman" w:hAnsi="Times New Roman"/>
          <w:sz w:val="24"/>
          <w:szCs w:val="24"/>
        </w:rPr>
        <w:t xml:space="preserve">related to work injuries and that the petitioner may have exacerbated a pre-existing condition. However, </w:t>
      </w:r>
      <w:r>
        <w:rPr>
          <w:rFonts w:ascii="Times New Roman" w:hAnsi="Times New Roman"/>
          <w:sz w:val="24"/>
          <w:szCs w:val="24"/>
        </w:rPr>
        <w:t>‘</w:t>
      </w:r>
      <w:r w:rsidRPr="00FB2CC3">
        <w:rPr>
          <w:rFonts w:ascii="Times New Roman" w:hAnsi="Times New Roman"/>
          <w:sz w:val="24"/>
          <w:szCs w:val="24"/>
        </w:rPr>
        <w:t>[w]here conflicting medical evidence and medical reports are presented to the Medical</w:t>
      </w:r>
      <w:r>
        <w:rPr>
          <w:rFonts w:ascii="Times New Roman" w:hAnsi="Times New Roman"/>
          <w:sz w:val="24"/>
          <w:szCs w:val="24"/>
        </w:rPr>
        <w:t xml:space="preserve"> </w:t>
      </w:r>
      <w:r w:rsidRPr="00FB2CC3">
        <w:rPr>
          <w:rFonts w:ascii="Times New Roman" w:hAnsi="Times New Roman"/>
          <w:sz w:val="24"/>
          <w:szCs w:val="24"/>
        </w:rPr>
        <w:t>Board, it is solely within the province of the Medical Board to resolve such conflicts</w:t>
      </w:r>
      <w:r>
        <w:rPr>
          <w:rFonts w:ascii="Times New Roman" w:hAnsi="Times New Roman"/>
          <w:sz w:val="24"/>
          <w:szCs w:val="24"/>
        </w:rPr>
        <w:t xml:space="preserve">.’” </w:t>
      </w:r>
    </w:p>
    <w:p w14:paraId="5F13AC4B" w14:textId="77777777" w:rsidR="006B2083" w:rsidRDefault="006B2083" w:rsidP="006B2083">
      <w:pPr>
        <w:pStyle w:val="NoSpacing"/>
        <w:rPr>
          <w:rFonts w:ascii="Times New Roman" w:hAnsi="Times New Roman"/>
          <w:sz w:val="24"/>
          <w:szCs w:val="24"/>
        </w:rPr>
      </w:pPr>
      <w:hyperlink r:id="rId1214" w:history="1">
        <w:r w:rsidRPr="000603D4">
          <w:rPr>
            <w:rStyle w:val="Hyperlink"/>
            <w:rFonts w:ascii="Times New Roman" w:hAnsi="Times New Roman"/>
            <w:sz w:val="24"/>
            <w:szCs w:val="24"/>
          </w:rPr>
          <w:t>http://www.nycourts.gov/courts/AD2/Handdowns/2020/Decisions/D63333.pdf</w:t>
        </w:r>
      </w:hyperlink>
      <w:r>
        <w:rPr>
          <w:rFonts w:ascii="Times New Roman" w:hAnsi="Times New Roman"/>
          <w:sz w:val="24"/>
          <w:szCs w:val="24"/>
        </w:rPr>
        <w:t xml:space="preserve"> </w:t>
      </w:r>
    </w:p>
    <w:p w14:paraId="0A2161B7" w14:textId="77777777" w:rsidR="006B2083" w:rsidRDefault="006B2083" w:rsidP="006B2083">
      <w:pPr>
        <w:pStyle w:val="NoSpacing"/>
        <w:rPr>
          <w:rFonts w:ascii="Times New Roman" w:hAnsi="Times New Roman"/>
          <w:b/>
          <w:bCs/>
          <w:sz w:val="24"/>
          <w:szCs w:val="24"/>
        </w:rPr>
      </w:pPr>
    </w:p>
    <w:p w14:paraId="338F91CF" w14:textId="6B3C7A01" w:rsidR="006B2083" w:rsidRPr="00D32613" w:rsidRDefault="006B2083" w:rsidP="006B2083">
      <w:pPr>
        <w:pStyle w:val="NoSpacing"/>
        <w:rPr>
          <w:rFonts w:ascii="Times New Roman" w:hAnsi="Times New Roman"/>
          <w:b/>
          <w:bCs/>
          <w:sz w:val="24"/>
          <w:szCs w:val="24"/>
        </w:rPr>
      </w:pPr>
      <w:r w:rsidRPr="00D32613">
        <w:rPr>
          <w:rFonts w:ascii="Times New Roman" w:hAnsi="Times New Roman"/>
          <w:b/>
          <w:bCs/>
          <w:sz w:val="24"/>
          <w:szCs w:val="24"/>
        </w:rPr>
        <w:t xml:space="preserve">Legal Lesson Learned: </w:t>
      </w:r>
      <w:r>
        <w:rPr>
          <w:rFonts w:ascii="Times New Roman" w:hAnsi="Times New Roman"/>
          <w:b/>
          <w:bCs/>
          <w:sz w:val="24"/>
          <w:szCs w:val="24"/>
        </w:rPr>
        <w:t>Appellate courts will generally follow the findings of a Medical Board, supported by medical documentation.</w:t>
      </w:r>
    </w:p>
    <w:p w14:paraId="40D48217" w14:textId="77777777" w:rsidR="006B2083" w:rsidRDefault="006B2083" w:rsidP="00EF1133">
      <w:pPr>
        <w:rPr>
          <w:rFonts w:ascii="Arial Black" w:hAnsi="Arial Black"/>
          <w:b/>
          <w:sz w:val="24"/>
          <w:szCs w:val="24"/>
        </w:rPr>
      </w:pPr>
    </w:p>
    <w:p w14:paraId="13FB72E8" w14:textId="77777777" w:rsidR="006B2083" w:rsidRDefault="006B2083" w:rsidP="00EF1133">
      <w:pPr>
        <w:rPr>
          <w:rFonts w:ascii="Arial Black" w:hAnsi="Arial Black"/>
          <w:b/>
          <w:sz w:val="24"/>
          <w:szCs w:val="24"/>
        </w:rPr>
      </w:pPr>
    </w:p>
    <w:p w14:paraId="6A85CBAE" w14:textId="77777777" w:rsidR="006B2083" w:rsidRDefault="006B2083" w:rsidP="00EF1133">
      <w:pPr>
        <w:rPr>
          <w:rFonts w:ascii="Arial Black" w:hAnsi="Arial Black"/>
          <w:b/>
          <w:sz w:val="24"/>
          <w:szCs w:val="24"/>
        </w:rPr>
      </w:pPr>
    </w:p>
    <w:p w14:paraId="27B9AF9A" w14:textId="3073EE32" w:rsidR="006B2083" w:rsidRDefault="006B2083" w:rsidP="00EF1133">
      <w:pPr>
        <w:rPr>
          <w:rFonts w:ascii="Arial Black" w:hAnsi="Arial Black"/>
          <w:b/>
          <w:sz w:val="24"/>
          <w:szCs w:val="24"/>
        </w:rPr>
      </w:pPr>
      <w:r>
        <w:rPr>
          <w:rFonts w:ascii="Arial Black" w:hAnsi="Arial Black"/>
          <w:b/>
          <w:sz w:val="24"/>
          <w:szCs w:val="24"/>
        </w:rPr>
        <w:t>6-47</w:t>
      </w:r>
    </w:p>
    <w:p w14:paraId="38923EA9" w14:textId="77777777" w:rsidR="006B2083" w:rsidRDefault="006B2083" w:rsidP="006B2083">
      <w:pPr>
        <w:pStyle w:val="NoSpacing"/>
        <w:rPr>
          <w:rFonts w:ascii="Arial" w:hAnsi="Arial" w:cs="Arial"/>
          <w:sz w:val="30"/>
          <w:szCs w:val="30"/>
        </w:rPr>
      </w:pPr>
      <w:r w:rsidRPr="00244752">
        <w:rPr>
          <w:rFonts w:ascii="Arial Black" w:hAnsi="Arial Black"/>
          <w:sz w:val="28"/>
          <w:szCs w:val="28"/>
        </w:rPr>
        <w:t>R</w:t>
      </w:r>
      <w:r>
        <w:rPr>
          <w:rFonts w:ascii="Arial Black" w:hAnsi="Arial Black"/>
          <w:sz w:val="28"/>
          <w:szCs w:val="28"/>
        </w:rPr>
        <w:t>I: FISCAL EMERGENCY – FIRE &amp; POLICE RETIREES MUST NOW ENROLL IN MEDICARE - CITY MUST PAY GAP COVERAGE</w:t>
      </w:r>
    </w:p>
    <w:p w14:paraId="5D7ABA6D" w14:textId="77777777" w:rsidR="006B2083" w:rsidRDefault="006B2083" w:rsidP="006B2083">
      <w:pPr>
        <w:pStyle w:val="NoSpacing"/>
        <w:rPr>
          <w:rFonts w:ascii="Times New Roman" w:hAnsi="Times New Roman"/>
          <w:sz w:val="24"/>
          <w:szCs w:val="24"/>
        </w:rPr>
      </w:pPr>
    </w:p>
    <w:p w14:paraId="484ECA0E" w14:textId="77777777" w:rsidR="006B2083" w:rsidRPr="004473E9" w:rsidRDefault="006B2083" w:rsidP="006B2083">
      <w:pPr>
        <w:pStyle w:val="NoSpacing"/>
        <w:rPr>
          <w:rFonts w:ascii="Times New Roman" w:hAnsi="Times New Roman"/>
          <w:sz w:val="24"/>
          <w:szCs w:val="24"/>
        </w:rPr>
      </w:pPr>
      <w:r w:rsidRPr="004473E9">
        <w:rPr>
          <w:rFonts w:ascii="Times New Roman" w:hAnsi="Times New Roman"/>
          <w:sz w:val="24"/>
          <w:szCs w:val="24"/>
        </w:rPr>
        <w:t xml:space="preserve">On June 30, 2020, in </w:t>
      </w:r>
      <w:r w:rsidRPr="004473E9">
        <w:rPr>
          <w:rFonts w:ascii="Times New Roman" w:hAnsi="Times New Roman"/>
          <w:sz w:val="24"/>
          <w:szCs w:val="24"/>
          <w:u w:val="single"/>
        </w:rPr>
        <w:t>Manuel Andrews, Jr. et al. v. James Lombardi, Treasurer of the City of Providence, Rhode Island</w:t>
      </w:r>
      <w:r w:rsidRPr="004473E9">
        <w:rPr>
          <w:rFonts w:ascii="Times New Roman" w:hAnsi="Times New Roman"/>
          <w:sz w:val="24"/>
          <w:szCs w:val="24"/>
        </w:rPr>
        <w:t xml:space="preserve">, the Supreme Court of Rhode Island held (5 to 0) that the 2011 state statute authorizing municipalities to require retirees at age 65 to go on Medicare Part A was lawful, but the City of Providence must also pay for retiree supplemental benefits under Medicare Parts B &amp; D, as the City had agreed in a settlement with some of the retirees. The Court wrote: </w:t>
      </w:r>
      <w:r>
        <w:rPr>
          <w:rFonts w:ascii="Times New Roman" w:hAnsi="Times New Roman"/>
          <w:sz w:val="24"/>
          <w:szCs w:val="24"/>
        </w:rPr>
        <w:t>“</w:t>
      </w:r>
      <w:r w:rsidRPr="004473E9">
        <w:rPr>
          <w:rFonts w:ascii="Times New Roman" w:hAnsi="Times New Roman"/>
          <w:sz w:val="24"/>
          <w:szCs w:val="24"/>
        </w:rPr>
        <w:t>We are convinced nevertheless that the controversy ought to be resolved by awarding the plaintiffs the same remedies for health care</w:t>
      </w:r>
      <w:r>
        <w:rPr>
          <w:rFonts w:ascii="Times New Roman" w:hAnsi="Times New Roman"/>
          <w:sz w:val="24"/>
          <w:szCs w:val="24"/>
        </w:rPr>
        <w:t xml:space="preserve"> </w:t>
      </w:r>
      <w:r w:rsidRPr="004473E9">
        <w:rPr>
          <w:rFonts w:ascii="Times New Roman" w:hAnsi="Times New Roman"/>
          <w:sz w:val="24"/>
          <w:szCs w:val="24"/>
        </w:rPr>
        <w:t>as provided in the 2011 lawsuit’s settlement agreement</w:t>
      </w:r>
      <w:r>
        <w:rPr>
          <w:rFonts w:ascii="Times New Roman" w:hAnsi="Times New Roman"/>
          <w:sz w:val="24"/>
          <w:szCs w:val="24"/>
        </w:rPr>
        <w:t xml:space="preserve"> </w:t>
      </w:r>
      <w:r w:rsidRPr="004473E9">
        <w:rPr>
          <w:rFonts w:ascii="Times New Roman" w:hAnsi="Times New Roman"/>
          <w:sz w:val="24"/>
          <w:szCs w:val="24"/>
        </w:rPr>
        <w:t>approved in the 2013 Final and Consent Judgment. It is nothing more than what the City has agreed to provide for the opt-in retirees and indeed</w:t>
      </w:r>
      <w:r>
        <w:rPr>
          <w:rFonts w:ascii="Times New Roman" w:hAnsi="Times New Roman"/>
          <w:sz w:val="24"/>
          <w:szCs w:val="24"/>
        </w:rPr>
        <w:t xml:space="preserve"> </w:t>
      </w:r>
      <w:r w:rsidRPr="004473E9">
        <w:rPr>
          <w:rFonts w:ascii="Times New Roman" w:hAnsi="Times New Roman"/>
          <w:sz w:val="24"/>
          <w:szCs w:val="24"/>
        </w:rPr>
        <w:t>is contemplated in the 2011 Medicare Ordinance,</w:t>
      </w:r>
      <w:r>
        <w:rPr>
          <w:rFonts w:ascii="Times New Roman" w:hAnsi="Times New Roman"/>
          <w:sz w:val="24"/>
          <w:szCs w:val="24"/>
        </w:rPr>
        <w:t xml:space="preserve"> </w:t>
      </w:r>
      <w:r w:rsidRPr="004473E9">
        <w:rPr>
          <w:rFonts w:ascii="Times New Roman" w:hAnsi="Times New Roman"/>
          <w:sz w:val="24"/>
          <w:szCs w:val="24"/>
        </w:rPr>
        <w:t xml:space="preserve">which allows for the City’s payment of </w:t>
      </w:r>
      <w:r>
        <w:rPr>
          <w:rFonts w:ascii="Times New Roman" w:hAnsi="Times New Roman"/>
          <w:sz w:val="24"/>
          <w:szCs w:val="24"/>
        </w:rPr>
        <w:t>‘</w:t>
      </w:r>
      <w:r w:rsidRPr="004473E9">
        <w:rPr>
          <w:rFonts w:ascii="Times New Roman" w:hAnsi="Times New Roman"/>
          <w:sz w:val="24"/>
          <w:szCs w:val="24"/>
        </w:rPr>
        <w:t>Medicare supplement or gap coverage</w:t>
      </w:r>
      <w:r>
        <w:rPr>
          <w:rFonts w:ascii="Times New Roman" w:hAnsi="Times New Roman"/>
          <w:sz w:val="24"/>
          <w:szCs w:val="24"/>
        </w:rPr>
        <w:t>’</w:t>
      </w:r>
      <w:r w:rsidRPr="004473E9">
        <w:rPr>
          <w:rFonts w:ascii="Times New Roman" w:hAnsi="Times New Roman"/>
          <w:sz w:val="24"/>
          <w:szCs w:val="24"/>
        </w:rPr>
        <w:t xml:space="preserve"> when </w:t>
      </w:r>
      <w:r>
        <w:rPr>
          <w:rFonts w:ascii="Times New Roman" w:hAnsi="Times New Roman"/>
          <w:sz w:val="24"/>
          <w:szCs w:val="24"/>
        </w:rPr>
        <w:t>‘</w:t>
      </w:r>
      <w:r w:rsidRPr="004473E9">
        <w:rPr>
          <w:rFonts w:ascii="Times New Roman" w:hAnsi="Times New Roman"/>
          <w:sz w:val="24"/>
          <w:szCs w:val="24"/>
        </w:rPr>
        <w:t>otherwise provided by ordinance or contract.</w:t>
      </w:r>
      <w:r>
        <w:rPr>
          <w:rFonts w:ascii="Times New Roman" w:hAnsi="Times New Roman"/>
          <w:sz w:val="24"/>
          <w:szCs w:val="24"/>
        </w:rPr>
        <w:t>’”</w:t>
      </w:r>
      <w:r w:rsidRPr="004473E9">
        <w:t xml:space="preserve"> </w:t>
      </w:r>
      <w:hyperlink r:id="rId1215" w:anchor="search=Manuel%20Andrews%2C%20Jr" w:history="1">
        <w:r w:rsidRPr="00BC34AA">
          <w:rPr>
            <w:rStyle w:val="Hyperlink"/>
            <w:rFonts w:ascii="Times New Roman" w:hAnsi="Times New Roman"/>
            <w:sz w:val="24"/>
            <w:szCs w:val="24"/>
          </w:rPr>
          <w:t>https://www.courts.ri.gov/Courts/SupremeCourt/SupremeOpinions/17-255,256,257,260.pdf#search=Manuel%20Andrews%2C%20Jr</w:t>
        </w:r>
      </w:hyperlink>
      <w:r>
        <w:rPr>
          <w:rFonts w:ascii="Times New Roman" w:hAnsi="Times New Roman"/>
          <w:sz w:val="24"/>
          <w:szCs w:val="24"/>
        </w:rPr>
        <w:t xml:space="preserve"> </w:t>
      </w:r>
    </w:p>
    <w:p w14:paraId="5DEB734B" w14:textId="77777777" w:rsidR="006B2083" w:rsidRDefault="006B2083" w:rsidP="006B2083">
      <w:pPr>
        <w:pStyle w:val="NoSpacing"/>
        <w:rPr>
          <w:rFonts w:ascii="Times New Roman" w:hAnsi="Times New Roman"/>
          <w:b/>
          <w:bCs/>
          <w:sz w:val="24"/>
          <w:szCs w:val="24"/>
        </w:rPr>
      </w:pPr>
    </w:p>
    <w:p w14:paraId="4236FDB0" w14:textId="3C3BD1C6" w:rsidR="006B2083" w:rsidRPr="0002321F" w:rsidRDefault="006B2083" w:rsidP="006B2083">
      <w:pPr>
        <w:pStyle w:val="NoSpacing"/>
        <w:rPr>
          <w:rFonts w:ascii="Times New Roman" w:hAnsi="Times New Roman"/>
          <w:b/>
          <w:bCs/>
          <w:sz w:val="24"/>
          <w:szCs w:val="24"/>
        </w:rPr>
      </w:pPr>
      <w:r w:rsidRPr="0002321F">
        <w:rPr>
          <w:rFonts w:ascii="Times New Roman" w:hAnsi="Times New Roman"/>
          <w:b/>
          <w:bCs/>
          <w:sz w:val="24"/>
          <w:szCs w:val="24"/>
        </w:rPr>
        <w:t>Legal Lesson Learned:</w:t>
      </w:r>
      <w:r>
        <w:rPr>
          <w:rFonts w:ascii="Times New Roman" w:hAnsi="Times New Roman"/>
          <w:b/>
          <w:bCs/>
          <w:sz w:val="24"/>
          <w:szCs w:val="24"/>
        </w:rPr>
        <w:t xml:space="preserve"> State can enact a statute authorizing municipalities to require retirees to switch to Medicare coverage, but litigation may lead to settlements and Court decisions requiring the “gap” insurance is also paid by the municipality. </w:t>
      </w:r>
    </w:p>
    <w:p w14:paraId="14635816" w14:textId="77777777" w:rsidR="006B2083" w:rsidRDefault="006B2083" w:rsidP="00EF1133">
      <w:pPr>
        <w:rPr>
          <w:rFonts w:ascii="Arial Black" w:hAnsi="Arial Black"/>
          <w:b/>
          <w:sz w:val="24"/>
          <w:szCs w:val="24"/>
        </w:rPr>
      </w:pPr>
    </w:p>
    <w:p w14:paraId="248BAEE2" w14:textId="77777777" w:rsidR="006B2083" w:rsidRDefault="006B2083" w:rsidP="00EF1133">
      <w:pPr>
        <w:rPr>
          <w:rFonts w:ascii="Arial Black" w:hAnsi="Arial Black"/>
          <w:b/>
          <w:sz w:val="24"/>
          <w:szCs w:val="24"/>
        </w:rPr>
      </w:pPr>
    </w:p>
    <w:p w14:paraId="0A7E2A5E" w14:textId="77777777" w:rsidR="006B2083" w:rsidRDefault="006B2083" w:rsidP="00EF1133">
      <w:pPr>
        <w:rPr>
          <w:rFonts w:ascii="Arial Black" w:hAnsi="Arial Black"/>
          <w:b/>
          <w:sz w:val="24"/>
          <w:szCs w:val="24"/>
        </w:rPr>
      </w:pPr>
    </w:p>
    <w:p w14:paraId="716809E7" w14:textId="1DC0DA29" w:rsidR="007105B3" w:rsidRDefault="007105B3" w:rsidP="00EF1133">
      <w:pPr>
        <w:rPr>
          <w:rFonts w:ascii="Arial Black" w:hAnsi="Arial Black"/>
          <w:b/>
          <w:sz w:val="24"/>
          <w:szCs w:val="24"/>
        </w:rPr>
      </w:pPr>
      <w:r>
        <w:rPr>
          <w:rFonts w:ascii="Arial Black" w:hAnsi="Arial Black"/>
          <w:b/>
          <w:sz w:val="24"/>
          <w:szCs w:val="24"/>
        </w:rPr>
        <w:t>6-46</w:t>
      </w:r>
    </w:p>
    <w:p w14:paraId="46930089" w14:textId="77777777" w:rsidR="007105B3" w:rsidRPr="004F5401" w:rsidRDefault="007105B3" w:rsidP="007105B3">
      <w:pPr>
        <w:pStyle w:val="NoSpacing"/>
        <w:rPr>
          <w:rFonts w:ascii="Arial Black" w:hAnsi="Arial Black"/>
          <w:sz w:val="28"/>
          <w:szCs w:val="28"/>
        </w:rPr>
      </w:pPr>
      <w:r w:rsidRPr="004F5401">
        <w:rPr>
          <w:rFonts w:ascii="Arial Black" w:hAnsi="Arial Black"/>
          <w:sz w:val="28"/>
          <w:szCs w:val="28"/>
        </w:rPr>
        <w:t xml:space="preserve">OH: </w:t>
      </w:r>
      <w:r>
        <w:rPr>
          <w:rFonts w:ascii="Arial Black" w:hAnsi="Arial Black"/>
          <w:sz w:val="28"/>
          <w:szCs w:val="28"/>
        </w:rPr>
        <w:t xml:space="preserve">FF SUES MAYOR – FIRST AMEND. RIGHT POST YARD SIGNS – UPSET CITY INSPECTOR DIDN’T FIND DEFECTS NEW HOME </w:t>
      </w:r>
    </w:p>
    <w:p w14:paraId="108853C0" w14:textId="77777777" w:rsidR="007105B3" w:rsidRDefault="007105B3" w:rsidP="007105B3">
      <w:pPr>
        <w:pStyle w:val="NoSpacing"/>
        <w:rPr>
          <w:rFonts w:ascii="Times New Roman" w:hAnsi="Times New Roman"/>
          <w:sz w:val="24"/>
          <w:szCs w:val="24"/>
        </w:rPr>
      </w:pPr>
    </w:p>
    <w:p w14:paraId="1BAD5EE1" w14:textId="04906921" w:rsidR="007105B3" w:rsidRDefault="007105B3" w:rsidP="007105B3">
      <w:pPr>
        <w:rPr>
          <w:rStyle w:val="Hyperlink"/>
          <w:rFonts w:ascii="Times New Roman" w:hAnsi="Times New Roman"/>
          <w:sz w:val="24"/>
          <w:szCs w:val="24"/>
        </w:rPr>
      </w:pPr>
      <w:r w:rsidRPr="008263A3">
        <w:rPr>
          <w:rFonts w:ascii="Times New Roman" w:hAnsi="Times New Roman"/>
          <w:sz w:val="24"/>
          <w:szCs w:val="24"/>
        </w:rPr>
        <w:t xml:space="preserve">On </w:t>
      </w:r>
      <w:r>
        <w:rPr>
          <w:rFonts w:ascii="Times New Roman" w:hAnsi="Times New Roman"/>
          <w:sz w:val="24"/>
          <w:szCs w:val="24"/>
        </w:rPr>
        <w:t xml:space="preserve">June 22, 2020, in </w:t>
      </w:r>
      <w:r w:rsidRPr="008263A3">
        <w:rPr>
          <w:rFonts w:ascii="Times New Roman" w:hAnsi="Times New Roman"/>
          <w:sz w:val="24"/>
          <w:szCs w:val="24"/>
          <w:u w:val="single"/>
        </w:rPr>
        <w:t>Scott Solarz v. James Gaven &amp; City of Olmstead Falls</w:t>
      </w:r>
      <w:r>
        <w:rPr>
          <w:rFonts w:ascii="Times New Roman" w:hAnsi="Times New Roman"/>
          <w:sz w:val="24"/>
          <w:szCs w:val="24"/>
        </w:rPr>
        <w:t xml:space="preserve">, U.S. District Court Judge Christopher A Boyko, U.S. District Court for Northern District of Ohio (Eastern Division), denied the </w:t>
      </w:r>
      <w:proofErr w:type="gramStart"/>
      <w:r>
        <w:rPr>
          <w:rFonts w:ascii="Times New Roman" w:hAnsi="Times New Roman"/>
          <w:sz w:val="24"/>
          <w:szCs w:val="24"/>
        </w:rPr>
        <w:t>Mayor’s</w:t>
      </w:r>
      <w:proofErr w:type="gramEnd"/>
      <w:r>
        <w:rPr>
          <w:rFonts w:ascii="Times New Roman" w:hAnsi="Times New Roman"/>
          <w:sz w:val="24"/>
          <w:szCs w:val="24"/>
        </w:rPr>
        <w:t xml:space="preserve"> motion to dismiss based on qualified immunity, but did dismiss the </w:t>
      </w:r>
      <w:proofErr w:type="gramStart"/>
      <w:r>
        <w:rPr>
          <w:rFonts w:ascii="Times New Roman" w:hAnsi="Times New Roman"/>
          <w:sz w:val="24"/>
          <w:szCs w:val="24"/>
        </w:rPr>
        <w:t>City</w:t>
      </w:r>
      <w:proofErr w:type="gramEnd"/>
      <w:r>
        <w:rPr>
          <w:rFonts w:ascii="Times New Roman" w:hAnsi="Times New Roman"/>
          <w:sz w:val="24"/>
          <w:szCs w:val="24"/>
        </w:rPr>
        <w:t xml:space="preserve"> on basis of governmental immunity. as a defendant. Court wrote: “</w:t>
      </w:r>
      <w:r w:rsidRPr="004F5401">
        <w:rPr>
          <w:rFonts w:ascii="Times New Roman" w:eastAsia="Times New Roman" w:hAnsi="Times New Roman"/>
          <w:sz w:val="24"/>
          <w:szCs w:val="24"/>
        </w:rPr>
        <w:t>On May 14, 2019, Plaintiff attended a City Council meeting</w:t>
      </w:r>
      <w:r>
        <w:rPr>
          <w:rFonts w:ascii="Times New Roman" w:eastAsia="Times New Roman" w:hAnsi="Times New Roman"/>
          <w:sz w:val="24"/>
          <w:szCs w:val="24"/>
        </w:rPr>
        <w:t xml:space="preserve"> [he lives in City of Olmstead </w:t>
      </w:r>
      <w:proofErr w:type="gramStart"/>
      <w:r>
        <w:rPr>
          <w:rFonts w:ascii="Times New Roman" w:eastAsia="Times New Roman" w:hAnsi="Times New Roman"/>
          <w:sz w:val="24"/>
          <w:szCs w:val="24"/>
        </w:rPr>
        <w:t>Falls, and</w:t>
      </w:r>
      <w:proofErr w:type="gramEnd"/>
      <w:r>
        <w:rPr>
          <w:rFonts w:ascii="Times New Roman" w:eastAsia="Times New Roman" w:hAnsi="Times New Roman"/>
          <w:sz w:val="24"/>
          <w:szCs w:val="24"/>
        </w:rPr>
        <w:t xml:space="preserve"> is a firefighter with City of Rocky River]</w:t>
      </w:r>
      <w:r w:rsidRPr="004F5401">
        <w:rPr>
          <w:rFonts w:ascii="Times New Roman" w:eastAsia="Times New Roman" w:hAnsi="Times New Roman"/>
          <w:sz w:val="24"/>
          <w:szCs w:val="24"/>
        </w:rPr>
        <w:t xml:space="preserve">. Allegedly, Plaintiff and Defendant Graven had a heated exchange over the improper inspection </w:t>
      </w:r>
      <w:r>
        <w:rPr>
          <w:rFonts w:ascii="Times New Roman" w:eastAsia="Times New Roman" w:hAnsi="Times New Roman"/>
          <w:sz w:val="24"/>
          <w:szCs w:val="24"/>
        </w:rPr>
        <w:t xml:space="preserve">[of his home in 2016] </w:t>
      </w:r>
      <w:r w:rsidRPr="004F5401">
        <w:rPr>
          <w:rFonts w:ascii="Times New Roman" w:eastAsia="Times New Roman" w:hAnsi="Times New Roman"/>
          <w:sz w:val="24"/>
          <w:szCs w:val="24"/>
        </w:rPr>
        <w:t>and the refusal to provide Plaintiff with reimbursement</w:t>
      </w:r>
      <w:r>
        <w:rPr>
          <w:rFonts w:ascii="Times New Roman" w:eastAsia="Times New Roman" w:hAnsi="Times New Roman"/>
          <w:sz w:val="24"/>
          <w:szCs w:val="24"/>
        </w:rPr>
        <w:t xml:space="preserve"> [for cost of arbitration with builder]</w:t>
      </w:r>
      <w:r w:rsidRPr="004F5401">
        <w:rPr>
          <w:rFonts w:ascii="Times New Roman" w:eastAsia="Times New Roman" w:hAnsi="Times New Roman"/>
          <w:sz w:val="24"/>
          <w:szCs w:val="24"/>
        </w:rPr>
        <w:t xml:space="preserve">. Plaintiff felt the </w:t>
      </w:r>
      <w:proofErr w:type="gramStart"/>
      <w:r w:rsidRPr="004F5401">
        <w:rPr>
          <w:rFonts w:ascii="Times New Roman" w:eastAsia="Times New Roman" w:hAnsi="Times New Roman"/>
          <w:sz w:val="24"/>
          <w:szCs w:val="24"/>
        </w:rPr>
        <w:t>Mayor</w:t>
      </w:r>
      <w:proofErr w:type="gramEnd"/>
      <w:r w:rsidRPr="004F5401">
        <w:rPr>
          <w:rFonts w:ascii="Times New Roman" w:eastAsia="Times New Roman" w:hAnsi="Times New Roman"/>
          <w:sz w:val="24"/>
          <w:szCs w:val="24"/>
        </w:rPr>
        <w:t xml:space="preserve"> treated him disrespectfully and </w:t>
      </w:r>
      <w:r w:rsidRPr="004F5401">
        <w:rPr>
          <w:rFonts w:ascii="Times New Roman" w:eastAsia="Times New Roman" w:hAnsi="Times New Roman"/>
          <w:sz w:val="24"/>
          <w:szCs w:val="24"/>
        </w:rPr>
        <w:lastRenderedPageBreak/>
        <w:t>caused him to suffer public humiliation.</w:t>
      </w:r>
      <w:r>
        <w:rPr>
          <w:rFonts w:ascii="Times New Roman" w:eastAsia="Times New Roman" w:hAnsi="Times New Roman"/>
          <w:sz w:val="24"/>
          <w:szCs w:val="24"/>
        </w:rPr>
        <w:t xml:space="preserve"> </w:t>
      </w:r>
      <w:r w:rsidRPr="004F5401">
        <w:rPr>
          <w:rFonts w:ascii="Times New Roman" w:eastAsia="Times New Roman" w:hAnsi="Times New Roman"/>
          <w:sz w:val="24"/>
          <w:szCs w:val="24"/>
        </w:rPr>
        <w:t xml:space="preserve"> In June of 2019, Plaintiff created </w:t>
      </w:r>
      <w:proofErr w:type="gramStart"/>
      <w:r w:rsidRPr="004F5401">
        <w:rPr>
          <w:rFonts w:ascii="Times New Roman" w:eastAsia="Times New Roman" w:hAnsi="Times New Roman"/>
          <w:sz w:val="24"/>
          <w:szCs w:val="24"/>
        </w:rPr>
        <w:t>three</w:t>
      </w:r>
      <w:r>
        <w:rPr>
          <w:rFonts w:ascii="Times New Roman" w:eastAsia="Times New Roman" w:hAnsi="Times New Roman"/>
          <w:sz w:val="24"/>
          <w:szCs w:val="24"/>
        </w:rPr>
        <w:t xml:space="preserve"> </w:t>
      </w:r>
      <w:r w:rsidRPr="004F5401">
        <w:rPr>
          <w:rFonts w:ascii="Times New Roman" w:eastAsia="Times New Roman" w:hAnsi="Times New Roman"/>
          <w:sz w:val="24"/>
          <w:szCs w:val="24"/>
        </w:rPr>
        <w:t>yard</w:t>
      </w:r>
      <w:proofErr w:type="gramEnd"/>
      <w:r w:rsidRPr="004F5401">
        <w:rPr>
          <w:rFonts w:ascii="Times New Roman" w:eastAsia="Times New Roman" w:hAnsi="Times New Roman"/>
          <w:sz w:val="24"/>
          <w:szCs w:val="24"/>
        </w:rPr>
        <w:t xml:space="preserve"> signs - one was placed in his yard and the others in his two friends' yards. The signs </w:t>
      </w:r>
      <w:proofErr w:type="gramStart"/>
      <w:r w:rsidRPr="004F5401">
        <w:rPr>
          <w:rFonts w:ascii="Times New Roman" w:eastAsia="Times New Roman" w:hAnsi="Times New Roman"/>
          <w:sz w:val="24"/>
          <w:szCs w:val="24"/>
        </w:rPr>
        <w:t xml:space="preserve">read: </w:t>
      </w:r>
      <w:r>
        <w:rPr>
          <w:rFonts w:ascii="Times New Roman" w:eastAsia="Times New Roman" w:hAnsi="Times New Roman"/>
          <w:sz w:val="24"/>
          <w:szCs w:val="24"/>
        </w:rPr>
        <w:t>‘</w:t>
      </w:r>
      <w:proofErr w:type="gramEnd"/>
      <w:r w:rsidRPr="004F5401">
        <w:rPr>
          <w:rFonts w:ascii="Times New Roman" w:eastAsia="Times New Roman" w:hAnsi="Times New Roman"/>
          <w:sz w:val="24"/>
          <w:szCs w:val="24"/>
        </w:rPr>
        <w:t>VETERANS AND FIRE FIGHTERS AGAINST NO HONOR MAYOR GRAVEN.</w:t>
      </w:r>
      <w:r>
        <w:rPr>
          <w:rFonts w:ascii="Times New Roman" w:eastAsia="Times New Roman" w:hAnsi="Times New Roman"/>
          <w:sz w:val="24"/>
          <w:szCs w:val="24"/>
        </w:rPr>
        <w:t xml:space="preserve">’ *** </w:t>
      </w:r>
      <w:r w:rsidRPr="004F5401">
        <w:rPr>
          <w:rFonts w:ascii="Times New Roman" w:eastAsia="Times New Roman" w:hAnsi="Times New Roman"/>
          <w:sz w:val="24"/>
          <w:szCs w:val="24"/>
        </w:rPr>
        <w:t xml:space="preserve">According to the Complaint, </w:t>
      </w:r>
      <w:proofErr w:type="gramStart"/>
      <w:r w:rsidRPr="004F5401">
        <w:rPr>
          <w:rFonts w:ascii="Times New Roman" w:eastAsia="Times New Roman" w:hAnsi="Times New Roman"/>
          <w:sz w:val="24"/>
          <w:szCs w:val="24"/>
        </w:rPr>
        <w:t>in an effort to</w:t>
      </w:r>
      <w:proofErr w:type="gramEnd"/>
      <w:r w:rsidRPr="004F5401">
        <w:rPr>
          <w:rFonts w:ascii="Times New Roman" w:eastAsia="Times New Roman" w:hAnsi="Times New Roman"/>
          <w:sz w:val="24"/>
          <w:szCs w:val="24"/>
        </w:rPr>
        <w:t xml:space="preserve"> punish Plaintiff and to force him to remove</w:t>
      </w:r>
      <w:r>
        <w:rPr>
          <w:rFonts w:ascii="Times New Roman" w:eastAsia="Times New Roman" w:hAnsi="Times New Roman"/>
          <w:sz w:val="24"/>
          <w:szCs w:val="24"/>
        </w:rPr>
        <w:t xml:space="preserve"> </w:t>
      </w:r>
      <w:r w:rsidRPr="004F5401">
        <w:rPr>
          <w:rFonts w:ascii="Times New Roman" w:eastAsia="Times New Roman" w:hAnsi="Times New Roman"/>
          <w:sz w:val="24"/>
          <w:szCs w:val="24"/>
        </w:rPr>
        <w:t>the signs, Defendant Graven</w:t>
      </w:r>
      <w:r>
        <w:rPr>
          <w:rFonts w:ascii="Times New Roman" w:eastAsia="Times New Roman" w:hAnsi="Times New Roman"/>
          <w:sz w:val="24"/>
          <w:szCs w:val="24"/>
        </w:rPr>
        <w:t xml:space="preserve"> … </w:t>
      </w:r>
      <w:r w:rsidRPr="004F5401">
        <w:rPr>
          <w:rFonts w:ascii="Times New Roman" w:eastAsia="Times New Roman" w:hAnsi="Times New Roman"/>
          <w:sz w:val="24"/>
          <w:szCs w:val="24"/>
        </w:rPr>
        <w:t>contacted the Mayor of the City of Rocky River, the Fire Chief for the City of Rocky River, and Plaintiff's union president on or about June 29, 2019.</w:t>
      </w:r>
      <w:r>
        <w:rPr>
          <w:rFonts w:ascii="Times New Roman" w:eastAsia="Times New Roman" w:hAnsi="Times New Roman"/>
          <w:sz w:val="24"/>
          <w:szCs w:val="24"/>
        </w:rPr>
        <w:t xml:space="preserve"> *** </w:t>
      </w:r>
      <w:r w:rsidRPr="00897312">
        <w:rPr>
          <w:rFonts w:ascii="Times New Roman" w:hAnsi="Times New Roman"/>
          <w:sz w:val="24"/>
          <w:szCs w:val="24"/>
        </w:rPr>
        <w:t>Throughout the Complaint, Plaintiff alleges that Graven acted in his official capacity and/or under color of state law</w:t>
      </w:r>
      <w:r>
        <w:rPr>
          <w:rFonts w:ascii="Times New Roman" w:hAnsi="Times New Roman"/>
          <w:sz w:val="24"/>
          <w:szCs w:val="24"/>
        </w:rPr>
        <w:t>…</w:t>
      </w:r>
      <w:r w:rsidRPr="00897312">
        <w:rPr>
          <w:rFonts w:ascii="Times New Roman" w:hAnsi="Times New Roman"/>
          <w:sz w:val="24"/>
          <w:szCs w:val="24"/>
        </w:rPr>
        <w:t xml:space="preserve">. A mayor is a "person" who is constitutionally subject to liability under § 1983. </w:t>
      </w:r>
      <w:r w:rsidRPr="00897312">
        <w:rPr>
          <w:rFonts w:ascii="Times New Roman" w:hAnsi="Times New Roman"/>
          <w:i/>
          <w:iCs/>
          <w:sz w:val="24"/>
          <w:szCs w:val="24"/>
        </w:rPr>
        <w:t>Monell v</w:t>
      </w:r>
      <w:r w:rsidRPr="00897312">
        <w:rPr>
          <w:rFonts w:ascii="Times New Roman" w:hAnsi="Times New Roman"/>
          <w:sz w:val="24"/>
          <w:szCs w:val="24"/>
        </w:rPr>
        <w:t xml:space="preserve">. </w:t>
      </w:r>
      <w:r w:rsidRPr="00897312">
        <w:rPr>
          <w:rFonts w:ascii="Times New Roman" w:hAnsi="Times New Roman"/>
          <w:i/>
          <w:iCs/>
          <w:sz w:val="24"/>
          <w:szCs w:val="24"/>
        </w:rPr>
        <w:t>Department of Social Services</w:t>
      </w:r>
      <w:r w:rsidRPr="00897312">
        <w:rPr>
          <w:rFonts w:ascii="Times New Roman" w:hAnsi="Times New Roman"/>
          <w:sz w:val="24"/>
          <w:szCs w:val="24"/>
        </w:rPr>
        <w:t>, 436 U.S. 658 (1978).</w:t>
      </w:r>
      <w:r>
        <w:rPr>
          <w:rFonts w:ascii="Times New Roman" w:hAnsi="Times New Roman"/>
          <w:sz w:val="24"/>
          <w:szCs w:val="24"/>
        </w:rPr>
        <w:t xml:space="preserve"> *** T</w:t>
      </w:r>
      <w:r w:rsidRPr="00897312">
        <w:rPr>
          <w:rFonts w:ascii="Times New Roman" w:hAnsi="Times New Roman"/>
          <w:sz w:val="24"/>
          <w:szCs w:val="24"/>
        </w:rPr>
        <w:t>he Court concludes that, without some factual elucidation, it cannot find that Defendant Graven is entitled to qualified immunity.</w:t>
      </w:r>
      <w:r>
        <w:rPr>
          <w:rFonts w:ascii="Times New Roman" w:hAnsi="Times New Roman"/>
          <w:sz w:val="24"/>
          <w:szCs w:val="24"/>
        </w:rPr>
        <w:t xml:space="preserve">” </w:t>
      </w:r>
      <w:hyperlink r:id="rId1216" w:history="1">
        <w:r w:rsidRPr="0037669D">
          <w:rPr>
            <w:rStyle w:val="Hyperlink"/>
            <w:rFonts w:ascii="Times New Roman" w:hAnsi="Times New Roman"/>
            <w:sz w:val="24"/>
            <w:szCs w:val="24"/>
          </w:rPr>
          <w:t>https://public.fastcase.com/Wl%2B2t%2BeVuI35%2FN70vAMFZp5steAbFsjz8D5zs28wLVD2J2xhMYzUEH8PyP%2BVbQO%2B</w:t>
        </w:r>
      </w:hyperlink>
    </w:p>
    <w:p w14:paraId="6F2BF62F" w14:textId="77777777" w:rsidR="007105B3" w:rsidRDefault="007105B3" w:rsidP="007105B3">
      <w:pPr>
        <w:pStyle w:val="NoSpacing"/>
        <w:rPr>
          <w:rFonts w:ascii="Times New Roman" w:hAnsi="Times New Roman"/>
          <w:b/>
          <w:bCs/>
          <w:sz w:val="24"/>
          <w:szCs w:val="24"/>
        </w:rPr>
      </w:pPr>
    </w:p>
    <w:p w14:paraId="221CF47D" w14:textId="54FFAA0F" w:rsidR="007105B3" w:rsidRDefault="007105B3" w:rsidP="007105B3">
      <w:pPr>
        <w:pStyle w:val="NoSpacing"/>
        <w:rPr>
          <w:rFonts w:ascii="Times New Roman" w:hAnsi="Times New Roman"/>
          <w:b/>
          <w:bCs/>
          <w:sz w:val="24"/>
          <w:szCs w:val="24"/>
        </w:rPr>
      </w:pPr>
      <w:r w:rsidRPr="00C254E9">
        <w:rPr>
          <w:rFonts w:ascii="Times New Roman" w:hAnsi="Times New Roman"/>
          <w:b/>
          <w:bCs/>
          <w:sz w:val="24"/>
          <w:szCs w:val="24"/>
        </w:rPr>
        <w:t>Legal Lessons Learned:</w:t>
      </w:r>
      <w:r>
        <w:rPr>
          <w:rFonts w:ascii="Times New Roman" w:hAnsi="Times New Roman"/>
          <w:b/>
          <w:bCs/>
          <w:sz w:val="24"/>
          <w:szCs w:val="24"/>
        </w:rPr>
        <w:t xml:space="preserve"> Firefighters enjoy First Amendment rights to post yard signs involving personal matters; only limited rights concerning fire department matters.  </w:t>
      </w:r>
    </w:p>
    <w:p w14:paraId="4BDC1EE0" w14:textId="77777777" w:rsidR="007105B3" w:rsidRDefault="007105B3" w:rsidP="007105B3">
      <w:pPr>
        <w:pStyle w:val="NoSpacing"/>
        <w:rPr>
          <w:rFonts w:ascii="Times New Roman" w:hAnsi="Times New Roman"/>
          <w:b/>
          <w:bCs/>
          <w:sz w:val="24"/>
          <w:szCs w:val="24"/>
        </w:rPr>
      </w:pPr>
    </w:p>
    <w:p w14:paraId="56994B72" w14:textId="77777777" w:rsidR="007105B3" w:rsidRPr="00F65042" w:rsidRDefault="007105B3" w:rsidP="007105B3">
      <w:pPr>
        <w:pStyle w:val="NoSpacing"/>
        <w:ind w:left="720"/>
        <w:rPr>
          <w:rFonts w:ascii="Times New Roman" w:hAnsi="Times New Roman"/>
          <w:b/>
          <w:bCs/>
          <w:sz w:val="24"/>
          <w:szCs w:val="24"/>
        </w:rPr>
      </w:pPr>
      <w:r w:rsidRPr="00572796">
        <w:rPr>
          <w:rFonts w:ascii="Times New Roman" w:hAnsi="Times New Roman"/>
          <w:sz w:val="24"/>
          <w:szCs w:val="24"/>
        </w:rPr>
        <w:t xml:space="preserve">Note: City of Olmstead Falls was dismissed from </w:t>
      </w:r>
      <w:r>
        <w:rPr>
          <w:rFonts w:ascii="Times New Roman" w:hAnsi="Times New Roman"/>
          <w:sz w:val="24"/>
          <w:szCs w:val="24"/>
        </w:rPr>
        <w:t xml:space="preserve">lawsuit since this case did not involve any City policy or ordinances, based on the </w:t>
      </w:r>
      <w:r w:rsidRPr="00572796">
        <w:rPr>
          <w:rFonts w:ascii="Times New Roman" w:hAnsi="Times New Roman"/>
          <w:sz w:val="24"/>
          <w:szCs w:val="24"/>
        </w:rPr>
        <w:t xml:space="preserve">U.S. Supreme Court decision in </w:t>
      </w:r>
      <w:r w:rsidRPr="00F65042">
        <w:rPr>
          <w:rStyle w:val="Strong"/>
          <w:rFonts w:ascii="Times New Roman" w:hAnsi="Times New Roman"/>
          <w:b w:val="0"/>
          <w:bCs w:val="0"/>
          <w:sz w:val="24"/>
          <w:szCs w:val="24"/>
          <w:u w:val="single"/>
        </w:rPr>
        <w:t xml:space="preserve">Monell v. Department of Soc. </w:t>
      </w:r>
      <w:proofErr w:type="spellStart"/>
      <w:r w:rsidRPr="00F65042">
        <w:rPr>
          <w:rStyle w:val="Strong"/>
          <w:rFonts w:ascii="Times New Roman" w:hAnsi="Times New Roman"/>
          <w:b w:val="0"/>
          <w:bCs w:val="0"/>
          <w:sz w:val="24"/>
          <w:szCs w:val="24"/>
          <w:u w:val="single"/>
        </w:rPr>
        <w:t>Svcs</w:t>
      </w:r>
      <w:proofErr w:type="spellEnd"/>
      <w:r w:rsidRPr="00F65042">
        <w:rPr>
          <w:rStyle w:val="Strong"/>
          <w:rFonts w:ascii="Times New Roman" w:hAnsi="Times New Roman"/>
          <w:b w:val="0"/>
          <w:bCs w:val="0"/>
          <w:sz w:val="24"/>
          <w:szCs w:val="24"/>
        </w:rPr>
        <w:t xml:space="preserve">., 436 U.S. 658 (1978), where the New York City Board of Education forced pregnant teachers to take medical leave before such leave was required for medical reasons.  The U.S. Supreme Court held that NYC can be sued for damages for their unconstitutional policy, which the city wisely dropped. </w:t>
      </w:r>
      <w:hyperlink r:id="rId1217" w:history="1">
        <w:r w:rsidRPr="00F65042">
          <w:rPr>
            <w:rStyle w:val="Hyperlink"/>
            <w:rFonts w:ascii="Times New Roman" w:hAnsi="Times New Roman"/>
            <w:b/>
            <w:bCs/>
            <w:sz w:val="24"/>
            <w:szCs w:val="24"/>
          </w:rPr>
          <w:t>https://supreme.justia.com/cases/federal/us/436/658/</w:t>
        </w:r>
      </w:hyperlink>
      <w:r w:rsidRPr="00F65042">
        <w:rPr>
          <w:rStyle w:val="Strong"/>
          <w:rFonts w:ascii="Times New Roman" w:hAnsi="Times New Roman"/>
          <w:b w:val="0"/>
          <w:bCs w:val="0"/>
          <w:sz w:val="24"/>
          <w:szCs w:val="24"/>
        </w:rPr>
        <w:t xml:space="preserve"> </w:t>
      </w:r>
      <w:r w:rsidRPr="00F65042">
        <w:rPr>
          <w:rFonts w:ascii="Times New Roman" w:hAnsi="Times New Roman"/>
          <w:b/>
          <w:bCs/>
          <w:sz w:val="24"/>
          <w:szCs w:val="24"/>
        </w:rPr>
        <w:t xml:space="preserve">  </w:t>
      </w:r>
    </w:p>
    <w:p w14:paraId="756E88BB" w14:textId="2C8073E8" w:rsidR="007105B3" w:rsidRDefault="007105B3" w:rsidP="007105B3">
      <w:pPr>
        <w:rPr>
          <w:rStyle w:val="Hyperlink"/>
          <w:rFonts w:ascii="Times New Roman" w:hAnsi="Times New Roman"/>
          <w:sz w:val="24"/>
          <w:szCs w:val="24"/>
        </w:rPr>
      </w:pPr>
    </w:p>
    <w:p w14:paraId="56EB5C6D" w14:textId="77777777" w:rsidR="007105B3" w:rsidRDefault="007105B3" w:rsidP="007105B3">
      <w:pPr>
        <w:rPr>
          <w:rFonts w:ascii="Arial Black" w:hAnsi="Arial Black"/>
          <w:b/>
          <w:sz w:val="24"/>
          <w:szCs w:val="24"/>
        </w:rPr>
      </w:pPr>
    </w:p>
    <w:p w14:paraId="41FE17E2" w14:textId="3F50D94E" w:rsidR="006744D3" w:rsidRDefault="006744D3" w:rsidP="00EF1133">
      <w:pPr>
        <w:rPr>
          <w:rFonts w:ascii="Arial Black" w:hAnsi="Arial Black"/>
          <w:b/>
          <w:sz w:val="24"/>
          <w:szCs w:val="24"/>
        </w:rPr>
      </w:pPr>
      <w:r>
        <w:rPr>
          <w:rFonts w:ascii="Arial Black" w:hAnsi="Arial Black"/>
          <w:b/>
          <w:sz w:val="24"/>
          <w:szCs w:val="24"/>
        </w:rPr>
        <w:t>6-45</w:t>
      </w:r>
    </w:p>
    <w:p w14:paraId="404F3775" w14:textId="77777777" w:rsidR="006744D3" w:rsidRPr="00575185" w:rsidRDefault="006744D3" w:rsidP="006744D3">
      <w:pPr>
        <w:spacing w:after="0" w:line="240" w:lineRule="auto"/>
        <w:jc w:val="both"/>
        <w:rPr>
          <w:rFonts w:ascii="Arial Black" w:eastAsia="Times New Roman" w:hAnsi="Arial Black"/>
          <w:b/>
          <w:bCs/>
          <w:sz w:val="28"/>
          <w:szCs w:val="28"/>
        </w:rPr>
      </w:pPr>
      <w:r w:rsidRPr="00575185">
        <w:rPr>
          <w:rFonts w:ascii="Arial Black" w:eastAsia="Times New Roman" w:hAnsi="Arial Black"/>
          <w:b/>
          <w:bCs/>
          <w:sz w:val="28"/>
          <w:szCs w:val="28"/>
        </w:rPr>
        <w:t xml:space="preserve">MD:  FF </w:t>
      </w:r>
      <w:r>
        <w:rPr>
          <w:rFonts w:ascii="Arial Black" w:eastAsia="Times New Roman" w:hAnsi="Arial Black"/>
          <w:b/>
          <w:bCs/>
          <w:sz w:val="28"/>
          <w:szCs w:val="28"/>
        </w:rPr>
        <w:t xml:space="preserve">WITH </w:t>
      </w:r>
      <w:r w:rsidRPr="00575185">
        <w:rPr>
          <w:rFonts w:ascii="Arial Black" w:eastAsia="Times New Roman" w:hAnsi="Arial Black"/>
          <w:b/>
          <w:bCs/>
          <w:sz w:val="28"/>
          <w:szCs w:val="28"/>
        </w:rPr>
        <w:t>HERNIA</w:t>
      </w:r>
      <w:r>
        <w:rPr>
          <w:rFonts w:ascii="Arial Black" w:eastAsia="Times New Roman" w:hAnsi="Arial Black"/>
          <w:b/>
          <w:bCs/>
          <w:sz w:val="28"/>
          <w:szCs w:val="28"/>
        </w:rPr>
        <w:t xml:space="preserve"> – DENIED WORKERS COMP – IN MARYLAND JUST “SPRAIN” – NOT OCCPATIONAL DISEASE UNLESS CAUSED BY “ACCIDENTAL PERSONAL INJURY” </w:t>
      </w:r>
    </w:p>
    <w:p w14:paraId="3A0F5194" w14:textId="77777777" w:rsidR="006744D3" w:rsidRPr="00025F21" w:rsidRDefault="006744D3" w:rsidP="006744D3">
      <w:pPr>
        <w:spacing w:after="0" w:line="240" w:lineRule="auto"/>
        <w:ind w:left="720"/>
        <w:jc w:val="both"/>
        <w:rPr>
          <w:rFonts w:ascii="Times New Roman" w:eastAsia="Times New Roman" w:hAnsi="Times New Roman"/>
          <w:sz w:val="27"/>
          <w:szCs w:val="27"/>
        </w:rPr>
      </w:pPr>
    </w:p>
    <w:p w14:paraId="78B97EF1" w14:textId="77777777" w:rsidR="006744D3" w:rsidRDefault="006744D3" w:rsidP="006744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28, 2020, in </w:t>
      </w:r>
      <w:r w:rsidRPr="00575185">
        <w:rPr>
          <w:rFonts w:ascii="Times New Roman" w:eastAsia="Times New Roman" w:hAnsi="Times New Roman"/>
          <w:sz w:val="24"/>
          <w:szCs w:val="24"/>
          <w:u w:val="single"/>
        </w:rPr>
        <w:t>Justin Greer v. Montgomery County, Maryland</w:t>
      </w:r>
      <w:r>
        <w:rPr>
          <w:rFonts w:ascii="Times New Roman" w:eastAsia="Times New Roman" w:hAnsi="Times New Roman"/>
          <w:sz w:val="24"/>
          <w:szCs w:val="24"/>
        </w:rPr>
        <w:t xml:space="preserve">, the Court of Special Appeals of Maryland held (3 to 0) that the Workers Compensation Commission, and the trial court properly denied the firefighter’s workers comp claim for inguinal (groin area) hernia. </w:t>
      </w:r>
      <w:hyperlink r:id="rId1218" w:history="1">
        <w:r w:rsidRPr="003F3822">
          <w:rPr>
            <w:rStyle w:val="Hyperlink"/>
            <w:sz w:val="24"/>
            <w:szCs w:val="24"/>
          </w:rPr>
          <w:t>https://mdcourts.gov/data/opinions/cosa/2020/3381s18.pdf</w:t>
        </w:r>
      </w:hyperlink>
      <w:r>
        <w:rPr>
          <w:rFonts w:ascii="Times New Roman" w:eastAsia="Times New Roman" w:hAnsi="Times New Roman"/>
          <w:sz w:val="24"/>
          <w:szCs w:val="24"/>
        </w:rPr>
        <w:t xml:space="preserve"> </w:t>
      </w:r>
    </w:p>
    <w:p w14:paraId="74ED129D" w14:textId="77777777" w:rsidR="006744D3" w:rsidRDefault="006744D3" w:rsidP="006744D3">
      <w:pPr>
        <w:spacing w:after="0" w:line="240" w:lineRule="auto"/>
        <w:jc w:val="both"/>
        <w:rPr>
          <w:rFonts w:ascii="Times New Roman" w:hAnsi="Times New Roman"/>
          <w:b/>
          <w:bCs/>
          <w:sz w:val="24"/>
          <w:szCs w:val="24"/>
        </w:rPr>
      </w:pPr>
    </w:p>
    <w:p w14:paraId="493DD709" w14:textId="361C40C2" w:rsidR="006744D3" w:rsidRDefault="006744D3" w:rsidP="006744D3">
      <w:pPr>
        <w:spacing w:after="0" w:line="240" w:lineRule="auto"/>
        <w:jc w:val="both"/>
        <w:rPr>
          <w:rFonts w:ascii="Times New Roman" w:hAnsi="Times New Roman"/>
          <w:b/>
          <w:bCs/>
          <w:sz w:val="24"/>
          <w:szCs w:val="24"/>
        </w:rPr>
      </w:pPr>
      <w:r w:rsidRPr="001759E2">
        <w:rPr>
          <w:rFonts w:ascii="Times New Roman" w:hAnsi="Times New Roman"/>
          <w:b/>
          <w:bCs/>
          <w:sz w:val="24"/>
          <w:szCs w:val="24"/>
        </w:rPr>
        <w:t>Legal Lessons Learned:</w:t>
      </w:r>
      <w:r>
        <w:rPr>
          <w:rFonts w:ascii="Times New Roman" w:hAnsi="Times New Roman"/>
          <w:b/>
          <w:bCs/>
          <w:sz w:val="24"/>
          <w:szCs w:val="24"/>
        </w:rPr>
        <w:t xml:space="preserve"> Courts when reviewing administrative agency decisions will generally give deference to the agency’s interpretation of a statute enforced by that agency.  </w:t>
      </w:r>
    </w:p>
    <w:p w14:paraId="01273A2A" w14:textId="77777777" w:rsidR="006744D3" w:rsidRDefault="006744D3" w:rsidP="00EF1133">
      <w:pPr>
        <w:rPr>
          <w:rFonts w:ascii="Arial Black" w:hAnsi="Arial Black"/>
          <w:b/>
          <w:sz w:val="24"/>
          <w:szCs w:val="24"/>
        </w:rPr>
      </w:pPr>
    </w:p>
    <w:p w14:paraId="7B97B02B" w14:textId="77777777" w:rsidR="006744D3" w:rsidRDefault="006744D3" w:rsidP="00EF1133">
      <w:pPr>
        <w:rPr>
          <w:rFonts w:ascii="Arial Black" w:hAnsi="Arial Black"/>
          <w:b/>
          <w:sz w:val="24"/>
          <w:szCs w:val="24"/>
        </w:rPr>
      </w:pPr>
    </w:p>
    <w:p w14:paraId="0D5E6818" w14:textId="4BE7182F" w:rsidR="004E22C3" w:rsidRDefault="004E22C3" w:rsidP="00EF1133">
      <w:pPr>
        <w:rPr>
          <w:rFonts w:ascii="Arial Black" w:hAnsi="Arial Black"/>
          <w:b/>
          <w:sz w:val="24"/>
          <w:szCs w:val="24"/>
        </w:rPr>
      </w:pPr>
      <w:r>
        <w:rPr>
          <w:rFonts w:ascii="Arial Black" w:hAnsi="Arial Black"/>
          <w:b/>
          <w:sz w:val="24"/>
          <w:szCs w:val="24"/>
        </w:rPr>
        <w:t>6-44</w:t>
      </w:r>
    </w:p>
    <w:p w14:paraId="72871779" w14:textId="77777777" w:rsidR="004E22C3" w:rsidRPr="00970612" w:rsidRDefault="004E22C3" w:rsidP="004E22C3">
      <w:pPr>
        <w:spacing w:before="100" w:beforeAutospacing="1" w:after="100" w:afterAutospacing="1" w:line="240" w:lineRule="auto"/>
        <w:jc w:val="both"/>
        <w:rPr>
          <w:rFonts w:ascii="Arial Black" w:eastAsia="Times New Roman" w:hAnsi="Arial Black"/>
          <w:b/>
          <w:bCs/>
          <w:sz w:val="28"/>
          <w:szCs w:val="28"/>
        </w:rPr>
      </w:pPr>
      <w:r w:rsidRPr="00970612">
        <w:rPr>
          <w:rFonts w:ascii="Arial Black" w:eastAsia="Times New Roman" w:hAnsi="Arial Black"/>
          <w:b/>
          <w:bCs/>
          <w:sz w:val="28"/>
          <w:szCs w:val="28"/>
        </w:rPr>
        <w:lastRenderedPageBreak/>
        <w:t>OR:</w:t>
      </w:r>
      <w:r>
        <w:rPr>
          <w:rFonts w:ascii="Arial Black" w:eastAsia="Times New Roman" w:hAnsi="Arial Black"/>
          <w:b/>
          <w:bCs/>
          <w:sz w:val="28"/>
          <w:szCs w:val="28"/>
        </w:rPr>
        <w:t xml:space="preserve"> WORKERS COMP DENIED – FF WITH NON-HODGKIN’S LYMPHOMA – MEDICAL EXPERT DID NOT ESTABLISH THAT SMOKE EXPOSURE WAS MAJOR CONTRIBUTING CAUSE</w:t>
      </w:r>
    </w:p>
    <w:p w14:paraId="439C6C4D" w14:textId="077BE0DE" w:rsidR="004E22C3" w:rsidRDefault="004E22C3" w:rsidP="004E22C3">
      <w:pPr>
        <w:spacing w:before="100" w:beforeAutospacing="1" w:after="100" w:afterAutospacing="1" w:line="240" w:lineRule="auto"/>
        <w:jc w:val="both"/>
        <w:rPr>
          <w:rFonts w:ascii="Times New Roman" w:hAnsi="Times New Roman"/>
          <w:sz w:val="24"/>
          <w:szCs w:val="24"/>
        </w:rPr>
      </w:pPr>
      <w:r w:rsidRPr="00970612">
        <w:rPr>
          <w:rFonts w:ascii="Times New Roman" w:eastAsia="Times New Roman" w:hAnsi="Times New Roman"/>
          <w:sz w:val="24"/>
          <w:szCs w:val="24"/>
        </w:rPr>
        <w:t xml:space="preserve">On May 21, 2020, </w:t>
      </w:r>
      <w:r w:rsidRPr="00970612">
        <w:rPr>
          <w:rFonts w:ascii="Times New Roman" w:hAnsi="Times New Roman"/>
          <w:sz w:val="24"/>
          <w:szCs w:val="24"/>
          <w:u w:val="single"/>
        </w:rPr>
        <w:t xml:space="preserve">In </w:t>
      </w:r>
      <w:proofErr w:type="gramStart"/>
      <w:r w:rsidRPr="00970612">
        <w:rPr>
          <w:rFonts w:ascii="Times New Roman" w:hAnsi="Times New Roman"/>
          <w:sz w:val="24"/>
          <w:szCs w:val="24"/>
          <w:u w:val="single"/>
        </w:rPr>
        <w:t>The</w:t>
      </w:r>
      <w:proofErr w:type="gramEnd"/>
      <w:r w:rsidRPr="00970612">
        <w:rPr>
          <w:rFonts w:ascii="Times New Roman" w:hAnsi="Times New Roman"/>
          <w:sz w:val="24"/>
          <w:szCs w:val="24"/>
          <w:u w:val="single"/>
        </w:rPr>
        <w:t xml:space="preserve"> Matter </w:t>
      </w:r>
      <w:proofErr w:type="gramStart"/>
      <w:r w:rsidRPr="00970612">
        <w:rPr>
          <w:rFonts w:ascii="Times New Roman" w:hAnsi="Times New Roman"/>
          <w:sz w:val="24"/>
          <w:szCs w:val="24"/>
          <w:u w:val="single"/>
        </w:rPr>
        <w:t>Of</w:t>
      </w:r>
      <w:proofErr w:type="gramEnd"/>
      <w:r w:rsidRPr="00970612">
        <w:rPr>
          <w:rFonts w:ascii="Times New Roman" w:hAnsi="Times New Roman"/>
          <w:sz w:val="24"/>
          <w:szCs w:val="24"/>
          <w:u w:val="single"/>
        </w:rPr>
        <w:t xml:space="preserve"> </w:t>
      </w:r>
      <w:proofErr w:type="gramStart"/>
      <w:r w:rsidRPr="00970612">
        <w:rPr>
          <w:rFonts w:ascii="Times New Roman" w:hAnsi="Times New Roman"/>
          <w:sz w:val="24"/>
          <w:szCs w:val="24"/>
          <w:u w:val="single"/>
        </w:rPr>
        <w:t>The</w:t>
      </w:r>
      <w:proofErr w:type="gramEnd"/>
      <w:r w:rsidRPr="00970612">
        <w:rPr>
          <w:rFonts w:ascii="Times New Roman" w:hAnsi="Times New Roman"/>
          <w:sz w:val="24"/>
          <w:szCs w:val="24"/>
          <w:u w:val="single"/>
        </w:rPr>
        <w:t xml:space="preserve"> Compensation </w:t>
      </w:r>
      <w:proofErr w:type="gramStart"/>
      <w:r w:rsidRPr="00970612">
        <w:rPr>
          <w:rFonts w:ascii="Times New Roman" w:hAnsi="Times New Roman"/>
          <w:sz w:val="24"/>
          <w:szCs w:val="24"/>
          <w:u w:val="single"/>
        </w:rPr>
        <w:t>Of</w:t>
      </w:r>
      <w:proofErr w:type="gramEnd"/>
      <w:r w:rsidRPr="00970612">
        <w:rPr>
          <w:rFonts w:ascii="Times New Roman" w:hAnsi="Times New Roman"/>
          <w:sz w:val="24"/>
          <w:szCs w:val="24"/>
          <w:u w:val="single"/>
        </w:rPr>
        <w:t xml:space="preserve"> Alvin D. Rohrscheib, Claimant</w:t>
      </w:r>
      <w:r>
        <w:rPr>
          <w:b/>
          <w:bCs/>
        </w:rPr>
        <w:t xml:space="preserve">,  </w:t>
      </w:r>
      <w:r w:rsidRPr="00685BD9">
        <w:rPr>
          <w:rFonts w:ascii="Times New Roman" w:eastAsia="Times New Roman" w:hAnsi="Times New Roman"/>
          <w:sz w:val="24"/>
          <w:szCs w:val="24"/>
        </w:rPr>
        <w:t xml:space="preserve">72 </w:t>
      </w:r>
      <w:r w:rsidRPr="002F309C">
        <w:rPr>
          <w:rFonts w:ascii="Times New Roman" w:eastAsia="Times New Roman" w:hAnsi="Times New Roman"/>
          <w:sz w:val="24"/>
          <w:szCs w:val="24"/>
        </w:rPr>
        <w:t>Van Natta 421, WCB Case No. 18-02473</w:t>
      </w:r>
      <w:r>
        <w:rPr>
          <w:rFonts w:ascii="Times New Roman" w:eastAsia="Times New Roman" w:hAnsi="Times New Roman"/>
          <w:sz w:val="24"/>
          <w:szCs w:val="24"/>
        </w:rPr>
        <w:t xml:space="preserve">, </w:t>
      </w:r>
      <w:r>
        <w:rPr>
          <w:b/>
          <w:bCs/>
        </w:rPr>
        <w:t xml:space="preserve"> </w:t>
      </w:r>
      <w:r w:rsidRPr="00970612">
        <w:rPr>
          <w:rFonts w:ascii="Times New Roman" w:hAnsi="Times New Roman"/>
          <w:sz w:val="24"/>
          <w:szCs w:val="24"/>
        </w:rPr>
        <w:t>the Oregon Workers' Compensation Division</w:t>
      </w:r>
      <w:r>
        <w:rPr>
          <w:rFonts w:ascii="Times New Roman" w:hAnsi="Times New Roman"/>
          <w:sz w:val="24"/>
          <w:szCs w:val="24"/>
        </w:rPr>
        <w:t xml:space="preserve">, Reviewing Panel upheld (2 to 0) the Administrative Law Judge </w:t>
      </w:r>
      <w:r w:rsidRPr="00970612">
        <w:rPr>
          <w:rFonts w:ascii="Times New Roman" w:hAnsi="Times New Roman"/>
          <w:sz w:val="24"/>
          <w:szCs w:val="24"/>
        </w:rPr>
        <w:t>order that upheld the self-insured employer's denials of his occupational disease claim for non-Hodgkin's lymphoma</w:t>
      </w:r>
      <w:r>
        <w:rPr>
          <w:rFonts w:ascii="Times New Roman" w:hAnsi="Times New Roman"/>
          <w:sz w:val="24"/>
          <w:szCs w:val="24"/>
        </w:rPr>
        <w:t xml:space="preserve">.  </w:t>
      </w:r>
      <w:hyperlink r:id="rId1219" w:history="1">
        <w:r w:rsidR="006744D3" w:rsidRPr="00E74BA3">
          <w:rPr>
            <w:rStyle w:val="Hyperlink"/>
            <w:rFonts w:ascii="Times New Roman" w:hAnsi="Times New Roman"/>
            <w:sz w:val="24"/>
            <w:szCs w:val="24"/>
          </w:rPr>
          <w:t>https://public.fastcase.com/Wl%2B2t%2BeVuI35%2FN70vAMFZmh5C6Al26quhK4NpqFpqP3dNIvTBMbQP47YmW18oezY</w:t>
        </w:r>
      </w:hyperlink>
      <w:r w:rsidR="006744D3">
        <w:rPr>
          <w:rFonts w:ascii="Times New Roman" w:hAnsi="Times New Roman"/>
          <w:sz w:val="24"/>
          <w:szCs w:val="24"/>
        </w:rPr>
        <w:t xml:space="preserve"> </w:t>
      </w:r>
    </w:p>
    <w:p w14:paraId="088DFF40" w14:textId="77777777" w:rsidR="006744D3" w:rsidRDefault="006744D3" w:rsidP="006744D3">
      <w:pPr>
        <w:spacing w:before="100" w:beforeAutospacing="1" w:after="100" w:afterAutospacing="1" w:line="240" w:lineRule="auto"/>
        <w:rPr>
          <w:rFonts w:ascii="Times New Roman" w:eastAsia="Times New Roman" w:hAnsi="Times New Roman"/>
          <w:b/>
          <w:bCs/>
          <w:sz w:val="24"/>
          <w:szCs w:val="24"/>
        </w:rPr>
      </w:pPr>
      <w:r w:rsidRPr="00970612">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Many states have now enacted statutory presumption laws, including Oregon.  </w:t>
      </w:r>
      <w:hyperlink r:id="rId1220" w:history="1">
        <w:r w:rsidRPr="00E26203">
          <w:rPr>
            <w:rStyle w:val="Hyperlink"/>
            <w:sz w:val="24"/>
            <w:szCs w:val="24"/>
          </w:rPr>
          <w:t>https://www.firstrespondercenter.org/cancer/toolsresources/presumptive-legislation-firefighter-cancer-state/</w:t>
        </w:r>
      </w:hyperlink>
      <w:r>
        <w:rPr>
          <w:rFonts w:ascii="Times New Roman" w:eastAsia="Times New Roman" w:hAnsi="Times New Roman"/>
          <w:b/>
          <w:bCs/>
          <w:sz w:val="24"/>
          <w:szCs w:val="24"/>
        </w:rPr>
        <w:t xml:space="preserve">  </w:t>
      </w:r>
    </w:p>
    <w:p w14:paraId="4A85E050" w14:textId="77777777" w:rsidR="006744D3" w:rsidRDefault="006744D3" w:rsidP="006744D3">
      <w:pPr>
        <w:pStyle w:val="Heading3"/>
        <w:ind w:left="1440"/>
        <w:jc w:val="both"/>
        <w:rPr>
          <w:rFonts w:ascii="Times New Roman" w:hAnsi="Times New Roman" w:cs="Times New Roman"/>
          <w:color w:val="auto"/>
        </w:rPr>
      </w:pPr>
      <w:r w:rsidRPr="002F309C">
        <w:rPr>
          <w:rFonts w:ascii="Times New Roman" w:eastAsia="Times New Roman" w:hAnsi="Times New Roman" w:cs="Times New Roman"/>
          <w:color w:val="auto"/>
        </w:rPr>
        <w:t>Note: See article, Jan. 4, 2010,</w:t>
      </w:r>
      <w:r w:rsidRPr="002F309C">
        <w:rPr>
          <w:rFonts w:ascii="Times New Roman" w:eastAsia="Times New Roman" w:hAnsi="Times New Roman" w:cs="Times New Roman"/>
          <w:b/>
          <w:bCs/>
          <w:color w:val="auto"/>
        </w:rPr>
        <w:t xml:space="preserve"> “</w:t>
      </w:r>
      <w:r w:rsidRPr="002F309C">
        <w:rPr>
          <w:rFonts w:ascii="Times New Roman" w:hAnsi="Times New Roman" w:cs="Times New Roman"/>
          <w:color w:val="auto"/>
        </w:rPr>
        <w:t>Oregon's Expanded Cancer Presumption Law Takes Effect,</w:t>
      </w:r>
      <w:r>
        <w:rPr>
          <w:rFonts w:ascii="Times New Roman" w:hAnsi="Times New Roman" w:cs="Times New Roman"/>
          <w:color w:val="auto"/>
        </w:rPr>
        <w:t xml:space="preserve"> s</w:t>
      </w:r>
      <w:r w:rsidRPr="002F309C">
        <w:rPr>
          <w:rFonts w:ascii="Times New Roman" w:hAnsi="Times New Roman" w:cs="Times New Roman"/>
          <w:color w:val="auto"/>
        </w:rPr>
        <w:t>igned by Gov. Ted Kulongoski last March, the law added 12 types of cancer to existing firefighter presumptions for employment-caused occupational diseases under workers' comp.</w:t>
      </w:r>
      <w:r>
        <w:rPr>
          <w:rFonts w:ascii="Times New Roman" w:hAnsi="Times New Roman" w:cs="Times New Roman"/>
          <w:color w:val="auto"/>
        </w:rPr>
        <w:t>”</w:t>
      </w:r>
      <w:r w:rsidRPr="002F309C">
        <w:t xml:space="preserve"> </w:t>
      </w:r>
      <w:r w:rsidRPr="002F309C">
        <w:rPr>
          <w:rFonts w:ascii="Times New Roman" w:hAnsi="Times New Roman" w:cs="Times New Roman"/>
          <w:color w:val="auto"/>
        </w:rPr>
        <w:t>[including non-Hodgkin's lymphoma]</w:t>
      </w:r>
      <w:r>
        <w:rPr>
          <w:rFonts w:ascii="Times New Roman" w:hAnsi="Times New Roman" w:cs="Times New Roman"/>
          <w:color w:val="auto"/>
        </w:rPr>
        <w:t>.</w:t>
      </w:r>
    </w:p>
    <w:p w14:paraId="0CFB4165" w14:textId="77777777" w:rsidR="006744D3" w:rsidRPr="006744D3" w:rsidRDefault="006744D3" w:rsidP="006744D3">
      <w:pPr>
        <w:pStyle w:val="Heading3"/>
        <w:ind w:left="1440"/>
        <w:jc w:val="both"/>
        <w:rPr>
          <w:rFonts w:ascii="Times New Roman" w:eastAsia="Times New Roman" w:hAnsi="Times New Roman" w:cs="Times New Roman"/>
          <w:b/>
          <w:bCs/>
        </w:rPr>
      </w:pPr>
      <w:hyperlink r:id="rId1221" w:history="1">
        <w:r w:rsidRPr="006744D3">
          <w:rPr>
            <w:rStyle w:val="Hyperlink"/>
            <w:rFonts w:ascii="Times New Roman" w:hAnsi="Times New Roman" w:cs="Times New Roman"/>
          </w:rPr>
          <w:t>https://ohsonline.com/articles/2010/01/04/expanded-cancer-presumption-law.aspx</w:t>
        </w:r>
      </w:hyperlink>
    </w:p>
    <w:p w14:paraId="557487B5" w14:textId="77777777" w:rsidR="004E22C3" w:rsidRDefault="004E22C3" w:rsidP="00EF1133">
      <w:pPr>
        <w:rPr>
          <w:rFonts w:ascii="Arial Black" w:hAnsi="Arial Black"/>
          <w:b/>
          <w:sz w:val="24"/>
          <w:szCs w:val="24"/>
        </w:rPr>
      </w:pPr>
    </w:p>
    <w:p w14:paraId="232FEADC" w14:textId="77777777" w:rsidR="004E22C3" w:rsidRDefault="004E22C3" w:rsidP="00EF1133">
      <w:pPr>
        <w:rPr>
          <w:rFonts w:ascii="Arial Black" w:hAnsi="Arial Black"/>
          <w:b/>
          <w:sz w:val="24"/>
          <w:szCs w:val="24"/>
        </w:rPr>
      </w:pPr>
    </w:p>
    <w:p w14:paraId="5E1B444F" w14:textId="77777777" w:rsidR="00B03268" w:rsidRDefault="00B03268" w:rsidP="00EF1133">
      <w:pPr>
        <w:rPr>
          <w:rFonts w:ascii="Arial Black" w:hAnsi="Arial Black"/>
          <w:b/>
          <w:sz w:val="24"/>
          <w:szCs w:val="24"/>
        </w:rPr>
      </w:pPr>
    </w:p>
    <w:p w14:paraId="5DE15349" w14:textId="77777777" w:rsidR="00B03268" w:rsidRDefault="00B03268" w:rsidP="00EF1133">
      <w:pPr>
        <w:rPr>
          <w:rFonts w:ascii="Arial Black" w:hAnsi="Arial Black"/>
          <w:b/>
          <w:sz w:val="24"/>
          <w:szCs w:val="24"/>
        </w:rPr>
      </w:pPr>
    </w:p>
    <w:p w14:paraId="73C7402E" w14:textId="571864D6" w:rsidR="004E22C3" w:rsidRDefault="004E22C3" w:rsidP="00EF1133">
      <w:pPr>
        <w:rPr>
          <w:rFonts w:ascii="Arial Black" w:hAnsi="Arial Black"/>
          <w:b/>
          <w:sz w:val="24"/>
          <w:szCs w:val="24"/>
        </w:rPr>
      </w:pPr>
      <w:r>
        <w:rPr>
          <w:rFonts w:ascii="Arial Black" w:hAnsi="Arial Black"/>
          <w:b/>
          <w:sz w:val="24"/>
          <w:szCs w:val="24"/>
        </w:rPr>
        <w:t>6-43</w:t>
      </w:r>
    </w:p>
    <w:p w14:paraId="7525322D" w14:textId="77777777" w:rsidR="004E22C3" w:rsidRPr="003A738E" w:rsidRDefault="004E22C3" w:rsidP="004E22C3">
      <w:pPr>
        <w:spacing w:before="100" w:beforeAutospacing="1" w:after="100" w:afterAutospacing="1" w:line="240" w:lineRule="auto"/>
        <w:jc w:val="both"/>
        <w:rPr>
          <w:rFonts w:ascii="Arial Black" w:eastAsia="Times New Roman" w:hAnsi="Arial Black"/>
          <w:b/>
          <w:bCs/>
          <w:sz w:val="28"/>
          <w:szCs w:val="28"/>
        </w:rPr>
      </w:pPr>
      <w:r w:rsidRPr="003A738E">
        <w:rPr>
          <w:rFonts w:ascii="Arial Black" w:eastAsia="Times New Roman" w:hAnsi="Arial Black"/>
          <w:b/>
          <w:bCs/>
          <w:sz w:val="28"/>
          <w:szCs w:val="28"/>
        </w:rPr>
        <w:t xml:space="preserve">LA: </w:t>
      </w:r>
      <w:r>
        <w:rPr>
          <w:rFonts w:ascii="Arial Black" w:eastAsia="Times New Roman" w:hAnsi="Arial Black"/>
          <w:b/>
          <w:bCs/>
          <w:sz w:val="28"/>
          <w:szCs w:val="28"/>
        </w:rPr>
        <w:t>HEARING LOSS – WORKERS COMP DENIED – UNDER LOUISIANA LAW ONLY IF LOSS FROM A SINGLE TRAUMATIC ACCIDENT</w:t>
      </w:r>
    </w:p>
    <w:p w14:paraId="2F02E46F" w14:textId="77777777" w:rsidR="004E22C3" w:rsidRPr="00685BD9" w:rsidRDefault="004E22C3" w:rsidP="004E22C3">
      <w:pPr>
        <w:pStyle w:val="NoSpacing"/>
        <w:rPr>
          <w:rFonts w:ascii="Times New Roman" w:hAnsi="Times New Roman"/>
          <w:sz w:val="24"/>
          <w:szCs w:val="24"/>
        </w:rPr>
      </w:pPr>
      <w:r w:rsidRPr="00685BD9">
        <w:rPr>
          <w:rFonts w:ascii="Times New Roman" w:hAnsi="Times New Roman"/>
          <w:sz w:val="24"/>
          <w:szCs w:val="24"/>
        </w:rPr>
        <w:t xml:space="preserve">On May 20, 2020, in </w:t>
      </w:r>
      <w:r w:rsidRPr="00685BD9">
        <w:rPr>
          <w:rFonts w:ascii="Times New Roman" w:hAnsi="Times New Roman"/>
          <w:sz w:val="24"/>
          <w:szCs w:val="24"/>
          <w:u w:val="single"/>
        </w:rPr>
        <w:t>James L. Hartman, Jr. v. St. Bernard Parish Fire Department, et al</w:t>
      </w:r>
      <w:r w:rsidRPr="00685BD9">
        <w:rPr>
          <w:rFonts w:ascii="Times New Roman" w:hAnsi="Times New Roman"/>
          <w:sz w:val="24"/>
          <w:szCs w:val="24"/>
        </w:rPr>
        <w:t>., the Court of Appeals, Fourth Circuit, State of Louisiana, affirmed the Office of Workers’ Compensation judge, deny benefits to District Chief Hartman.</w:t>
      </w:r>
    </w:p>
    <w:p w14:paraId="1D023916" w14:textId="77777777" w:rsidR="004E22C3" w:rsidRPr="003A738E" w:rsidRDefault="004E22C3" w:rsidP="004E22C3">
      <w:pPr>
        <w:pStyle w:val="NoSpacing"/>
      </w:pPr>
      <w:hyperlink r:id="rId1222" w:history="1">
        <w:r w:rsidRPr="00685BD9">
          <w:rPr>
            <w:rStyle w:val="Hyperlink"/>
            <w:rFonts w:ascii="Times New Roman" w:eastAsia="Times New Roman" w:hAnsi="Times New Roman"/>
            <w:sz w:val="24"/>
            <w:szCs w:val="24"/>
          </w:rPr>
          <w:t>http://41af3k34gprx4f6bg12df75i.wpengine.netdna-cdn.com/wp-content/uploads/sites/19/2020/05/Hartman-v.-St.-Bernard-Parish-Fire-Dep_t_-2020-La.-App.pdf</w:t>
        </w:r>
      </w:hyperlink>
      <w:r>
        <w:t xml:space="preserve"> </w:t>
      </w:r>
    </w:p>
    <w:p w14:paraId="4E386935" w14:textId="77777777" w:rsidR="004E22C3" w:rsidRPr="00EF0D90" w:rsidRDefault="004E22C3" w:rsidP="004E22C3">
      <w:pPr>
        <w:spacing w:before="100" w:beforeAutospacing="1" w:after="100" w:afterAutospacing="1" w:line="240" w:lineRule="auto"/>
        <w:jc w:val="both"/>
        <w:rPr>
          <w:rFonts w:ascii="Times New Roman" w:hAnsi="Times New Roman"/>
          <w:b/>
          <w:bCs/>
          <w:sz w:val="24"/>
          <w:szCs w:val="24"/>
        </w:rPr>
      </w:pPr>
      <w:r w:rsidRPr="00EF0D90">
        <w:rPr>
          <w:rFonts w:ascii="Times New Roman" w:hAnsi="Times New Roman"/>
          <w:b/>
          <w:bCs/>
          <w:sz w:val="24"/>
          <w:szCs w:val="24"/>
        </w:rPr>
        <w:t>Legal Lessons Learned: Where hearing protection when on apparatus using siren, or near equipment with load noises.</w:t>
      </w:r>
    </w:p>
    <w:p w14:paraId="2737F3A7" w14:textId="77777777" w:rsidR="004E22C3" w:rsidRDefault="004E22C3" w:rsidP="00EF1133">
      <w:pPr>
        <w:rPr>
          <w:rFonts w:ascii="Arial Black" w:hAnsi="Arial Black"/>
          <w:b/>
          <w:sz w:val="24"/>
          <w:szCs w:val="24"/>
        </w:rPr>
      </w:pPr>
    </w:p>
    <w:p w14:paraId="7B1EB2ED" w14:textId="77777777" w:rsidR="004E22C3" w:rsidRDefault="004E22C3" w:rsidP="00EF1133">
      <w:pPr>
        <w:rPr>
          <w:rFonts w:ascii="Arial Black" w:hAnsi="Arial Black"/>
          <w:b/>
          <w:sz w:val="24"/>
          <w:szCs w:val="24"/>
        </w:rPr>
      </w:pPr>
    </w:p>
    <w:p w14:paraId="2490850D" w14:textId="288B17D9" w:rsidR="004E22C3" w:rsidRDefault="004E22C3" w:rsidP="00EF1133">
      <w:pPr>
        <w:rPr>
          <w:rFonts w:ascii="Arial Black" w:hAnsi="Arial Black"/>
          <w:b/>
          <w:sz w:val="24"/>
          <w:szCs w:val="24"/>
        </w:rPr>
      </w:pPr>
      <w:r>
        <w:rPr>
          <w:rFonts w:ascii="Arial Black" w:hAnsi="Arial Black"/>
          <w:b/>
          <w:sz w:val="24"/>
          <w:szCs w:val="24"/>
        </w:rPr>
        <w:t>6-42</w:t>
      </w:r>
    </w:p>
    <w:p w14:paraId="3F9CEED3" w14:textId="77777777" w:rsidR="004E22C3" w:rsidRPr="00450CB3" w:rsidRDefault="004E22C3" w:rsidP="004E22C3">
      <w:pPr>
        <w:spacing w:before="100" w:beforeAutospacing="1" w:after="100" w:afterAutospacing="1" w:line="240" w:lineRule="auto"/>
        <w:rPr>
          <w:rFonts w:ascii="Arial Black" w:hAnsi="Arial Black" w:cs="Arial"/>
          <w:sz w:val="28"/>
          <w:szCs w:val="28"/>
        </w:rPr>
      </w:pPr>
      <w:r w:rsidRPr="00450CB3">
        <w:rPr>
          <w:rFonts w:ascii="Arial Black" w:hAnsi="Arial Black" w:cs="Arial"/>
          <w:sz w:val="28"/>
          <w:szCs w:val="28"/>
        </w:rPr>
        <w:lastRenderedPageBreak/>
        <w:t xml:space="preserve">PA: </w:t>
      </w:r>
      <w:r>
        <w:rPr>
          <w:rFonts w:ascii="Arial Black" w:hAnsi="Arial Black" w:cs="Arial"/>
          <w:sz w:val="28"/>
          <w:szCs w:val="28"/>
        </w:rPr>
        <w:t xml:space="preserve">KIDNEY CANCER – FF RETIRED 2006, KIDNEY CANCER / SURGERY IN 2015 – PA 2011 STATUTORY PRESUMPTION LAW ALLOWS COVERAGE BACK TO 600 WEEKS  </w:t>
      </w:r>
    </w:p>
    <w:p w14:paraId="1BB9BD39" w14:textId="0282FA8F" w:rsidR="004E22C3" w:rsidRDefault="004E22C3" w:rsidP="004E22C3">
      <w:pPr>
        <w:rPr>
          <w:rFonts w:ascii="Arial Black" w:hAnsi="Arial Black"/>
          <w:b/>
          <w:sz w:val="24"/>
          <w:szCs w:val="24"/>
        </w:rPr>
      </w:pPr>
      <w:r w:rsidRPr="00450CB3">
        <w:rPr>
          <w:rFonts w:ascii="Times New Roman" w:hAnsi="Times New Roman"/>
          <w:sz w:val="24"/>
          <w:szCs w:val="24"/>
        </w:rPr>
        <w:t xml:space="preserve">On May 6, 2020, in </w:t>
      </w:r>
      <w:r w:rsidRPr="00450CB3">
        <w:rPr>
          <w:rFonts w:ascii="Times New Roman" w:hAnsi="Times New Roman"/>
          <w:sz w:val="24"/>
          <w:szCs w:val="24"/>
          <w:u w:val="single"/>
        </w:rPr>
        <w:t>City of Johnstown v. Workers’ Compensation Appeals Board</w:t>
      </w:r>
      <w:r>
        <w:rPr>
          <w:rFonts w:ascii="Times New Roman" w:hAnsi="Times New Roman"/>
          <w:sz w:val="24"/>
          <w:szCs w:val="24"/>
        </w:rPr>
        <w:t xml:space="preserve"> (Michael Sevanick), the Commonwealth Court of Pennsylvania held (3 to 0) in unreported decision that </w:t>
      </w:r>
      <w:r w:rsidRPr="00BD099B">
        <w:rPr>
          <w:rFonts w:ascii="Times New Roman" w:hAnsi="Times New Roman"/>
          <w:sz w:val="24"/>
          <w:szCs w:val="24"/>
        </w:rPr>
        <w:t>“Claimant timely filed his Petition, and it was supported by the substantial, competent evidence of record. The WCJ and the Board correctly applied the standards set out in the Act</w:t>
      </w:r>
      <w:r>
        <w:rPr>
          <w:rFonts w:ascii="Times New Roman" w:hAnsi="Times New Roman"/>
          <w:sz w:val="24"/>
          <w:szCs w:val="24"/>
        </w:rPr>
        <w:t xml:space="preserve"> </w:t>
      </w:r>
      <w:r w:rsidRPr="00BD099B">
        <w:rPr>
          <w:rFonts w:ascii="Times New Roman" w:hAnsi="Times New Roman"/>
          <w:sz w:val="24"/>
          <w:szCs w:val="24"/>
        </w:rPr>
        <w:t>and in the pertinent case law.”</w:t>
      </w:r>
      <w:r>
        <w:rPr>
          <w:rFonts w:ascii="Times New Roman" w:hAnsi="Times New Roman"/>
          <w:sz w:val="24"/>
          <w:szCs w:val="24"/>
        </w:rPr>
        <w:t xml:space="preserve"> </w:t>
      </w:r>
      <w:hyperlink r:id="rId1223" w:anchor="search=%22Sevanick%22" w:history="1">
        <w:r w:rsidRPr="008C168C">
          <w:rPr>
            <w:rStyle w:val="Hyperlink"/>
            <w:sz w:val="24"/>
            <w:szCs w:val="24"/>
          </w:rPr>
          <w:t>http://www.pacourts.us/assets/opinions/Commonwealth/out/1156cd19_5-6-20.pdf#search=%22Sevanick%22</w:t>
        </w:r>
      </w:hyperlink>
    </w:p>
    <w:p w14:paraId="2462C1EB" w14:textId="77777777" w:rsidR="004E22C3" w:rsidRPr="00F200DE" w:rsidRDefault="004E22C3" w:rsidP="004E22C3">
      <w:pPr>
        <w:spacing w:before="100" w:beforeAutospacing="1" w:after="100" w:afterAutospacing="1" w:line="240" w:lineRule="auto"/>
        <w:rPr>
          <w:rFonts w:ascii="Times New Roman" w:hAnsi="Times New Roman"/>
          <w:b/>
          <w:bCs/>
          <w:sz w:val="24"/>
          <w:szCs w:val="24"/>
        </w:rPr>
      </w:pPr>
      <w:r w:rsidRPr="00F200DE">
        <w:rPr>
          <w:rFonts w:ascii="Times New Roman" w:hAnsi="Times New Roman"/>
          <w:b/>
          <w:bCs/>
          <w:sz w:val="24"/>
          <w:szCs w:val="24"/>
        </w:rPr>
        <w:t>Legal Lessons Learned:</w:t>
      </w:r>
      <w:r>
        <w:rPr>
          <w:rFonts w:ascii="Times New Roman" w:hAnsi="Times New Roman"/>
          <w:b/>
          <w:bCs/>
          <w:sz w:val="24"/>
          <w:szCs w:val="24"/>
        </w:rPr>
        <w:t xml:space="preserve"> Fortunately, PA has enacted a statutory presumption statute that includes firefighters who retired within 600 weeks prior to enactment of the statute. </w:t>
      </w:r>
    </w:p>
    <w:p w14:paraId="61AA1F94" w14:textId="77777777" w:rsidR="004E22C3" w:rsidRDefault="004E22C3" w:rsidP="00EF1133">
      <w:pPr>
        <w:rPr>
          <w:rFonts w:ascii="Arial Black" w:hAnsi="Arial Black"/>
          <w:b/>
          <w:sz w:val="24"/>
          <w:szCs w:val="24"/>
        </w:rPr>
      </w:pPr>
    </w:p>
    <w:p w14:paraId="6DB5995D" w14:textId="0D75221B" w:rsidR="002147DA" w:rsidRDefault="002147DA" w:rsidP="00EF1133">
      <w:pPr>
        <w:rPr>
          <w:rFonts w:ascii="Arial Black" w:hAnsi="Arial Black"/>
          <w:b/>
          <w:sz w:val="24"/>
          <w:szCs w:val="24"/>
        </w:rPr>
      </w:pPr>
      <w:r>
        <w:rPr>
          <w:rFonts w:ascii="Arial Black" w:hAnsi="Arial Black"/>
          <w:b/>
          <w:sz w:val="24"/>
          <w:szCs w:val="24"/>
        </w:rPr>
        <w:t>6-41</w:t>
      </w:r>
    </w:p>
    <w:p w14:paraId="6F7E75C0" w14:textId="77777777" w:rsidR="002147DA" w:rsidRDefault="002147DA" w:rsidP="002147DA">
      <w:pPr>
        <w:pStyle w:val="NoSpacing"/>
        <w:rPr>
          <w:b/>
          <w:bCs/>
          <w:sz w:val="24"/>
          <w:szCs w:val="24"/>
        </w:rPr>
      </w:pPr>
      <w:bookmarkStart w:id="240" w:name="_Hlk39764354"/>
      <w:r w:rsidRPr="00FF2F39">
        <w:rPr>
          <w:rFonts w:ascii="Arial Black" w:hAnsi="Arial Black"/>
          <w:sz w:val="28"/>
          <w:szCs w:val="28"/>
        </w:rPr>
        <w:t>KY:</w:t>
      </w:r>
      <w:r>
        <w:rPr>
          <w:rFonts w:ascii="Arial Black" w:hAnsi="Arial Black"/>
          <w:sz w:val="28"/>
          <w:szCs w:val="28"/>
        </w:rPr>
        <w:t xml:space="preserve">  HARASSMENT OF ATHEIST FF – SUPERVISOR TOOK NO ACTION, URGED RESIGN - RETALIATION CASE REINSTATED</w:t>
      </w:r>
    </w:p>
    <w:p w14:paraId="6178327F" w14:textId="77777777" w:rsidR="002147DA" w:rsidRDefault="002147DA" w:rsidP="002147DA">
      <w:pPr>
        <w:pStyle w:val="NoSpacing"/>
        <w:rPr>
          <w:b/>
          <w:bCs/>
          <w:sz w:val="24"/>
          <w:szCs w:val="24"/>
        </w:rPr>
      </w:pPr>
    </w:p>
    <w:p w14:paraId="5B3613C4" w14:textId="77777777" w:rsidR="002147DA" w:rsidRPr="000A5D76" w:rsidRDefault="002147DA" w:rsidP="002147DA">
      <w:pPr>
        <w:pStyle w:val="NoSpacing"/>
        <w:tabs>
          <w:tab w:val="left" w:pos="7070"/>
        </w:tabs>
        <w:rPr>
          <w:rFonts w:ascii="Times New Roman" w:hAnsi="Times New Roman"/>
          <w:b/>
          <w:bCs/>
          <w:sz w:val="24"/>
          <w:szCs w:val="24"/>
        </w:rPr>
      </w:pPr>
      <w:r w:rsidRPr="000A5D76">
        <w:rPr>
          <w:rFonts w:ascii="Times New Roman" w:hAnsi="Times New Roman"/>
          <w:bCs/>
          <w:sz w:val="24"/>
          <w:szCs w:val="24"/>
        </w:rPr>
        <w:t xml:space="preserve">On April 22, 2020, in </w:t>
      </w:r>
      <w:r w:rsidRPr="000A5D76">
        <w:rPr>
          <w:rFonts w:ascii="Times New Roman" w:hAnsi="Times New Roman"/>
          <w:bCs/>
          <w:sz w:val="24"/>
          <w:szCs w:val="24"/>
          <w:u w:val="single"/>
        </w:rPr>
        <w:t>Jeffery Queen v. City of Bowling Green, KY</w:t>
      </w:r>
      <w:r w:rsidRPr="000A5D76">
        <w:rPr>
          <w:rFonts w:ascii="Times New Roman" w:hAnsi="Times New Roman"/>
          <w:bCs/>
          <w:sz w:val="24"/>
          <w:szCs w:val="24"/>
        </w:rPr>
        <w:t>, the U.S. Court of Appeals for the 6</w:t>
      </w:r>
      <w:r w:rsidRPr="000A5D76">
        <w:rPr>
          <w:rFonts w:ascii="Times New Roman" w:hAnsi="Times New Roman"/>
          <w:bCs/>
          <w:sz w:val="24"/>
          <w:szCs w:val="24"/>
          <w:vertAlign w:val="superscript"/>
        </w:rPr>
        <w:t>th</w:t>
      </w:r>
      <w:r w:rsidRPr="000A5D76">
        <w:rPr>
          <w:rFonts w:ascii="Times New Roman" w:hAnsi="Times New Roman"/>
          <w:bCs/>
          <w:sz w:val="24"/>
          <w:szCs w:val="24"/>
        </w:rPr>
        <w:t xml:space="preserve"> Circuit (Cincinnati) held (3 to 0) that the U.S. District Court judge in Bowling Green improperly dismissed the retaliation lawsuit against the plaintiff’s supervisor.  The firefighter worked at Bowling Green FD for five years, and after one year he complained to his </w:t>
      </w:r>
      <w:proofErr w:type="gramStart"/>
      <w:r w:rsidRPr="000A5D76">
        <w:rPr>
          <w:rFonts w:ascii="Times New Roman" w:hAnsi="Times New Roman"/>
          <w:bCs/>
          <w:sz w:val="24"/>
          <w:szCs w:val="24"/>
        </w:rPr>
        <w:t>Supervisor</w:t>
      </w:r>
      <w:proofErr w:type="gramEnd"/>
      <w:r w:rsidRPr="000A5D76">
        <w:rPr>
          <w:rFonts w:ascii="Times New Roman" w:hAnsi="Times New Roman"/>
          <w:bCs/>
          <w:sz w:val="24"/>
          <w:szCs w:val="24"/>
        </w:rPr>
        <w:t xml:space="preserve">.  He was urged to quit, and no corrective action was taken; he finally resigned in </w:t>
      </w:r>
      <w:proofErr w:type="gramStart"/>
      <w:r w:rsidRPr="000A5D76">
        <w:rPr>
          <w:rFonts w:ascii="Times New Roman" w:hAnsi="Times New Roman"/>
          <w:bCs/>
          <w:sz w:val="24"/>
          <w:szCs w:val="24"/>
        </w:rPr>
        <w:t>May,</w:t>
      </w:r>
      <w:proofErr w:type="gramEnd"/>
      <w:r w:rsidRPr="000A5D76">
        <w:rPr>
          <w:rFonts w:ascii="Times New Roman" w:hAnsi="Times New Roman"/>
          <w:bCs/>
          <w:sz w:val="24"/>
          <w:szCs w:val="24"/>
        </w:rPr>
        <w:t xml:space="preserve"> 2016. </w:t>
      </w:r>
    </w:p>
    <w:p w14:paraId="44A13A0B" w14:textId="77777777" w:rsidR="002147DA" w:rsidRPr="000A5D76" w:rsidRDefault="002147DA" w:rsidP="002147DA">
      <w:pPr>
        <w:pStyle w:val="NoSpacing"/>
        <w:ind w:left="720"/>
        <w:rPr>
          <w:rFonts w:ascii="Times New Roman" w:hAnsi="Times New Roman"/>
          <w:b/>
          <w:bCs/>
          <w:sz w:val="24"/>
          <w:szCs w:val="24"/>
        </w:rPr>
      </w:pPr>
    </w:p>
    <w:p w14:paraId="783C8ACA"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 xml:space="preserve">“A reasonable jury could conclude that [the Supervisor] Rockrohr’s subsequent conduct after receiving Queen’s complaint about the harassment he faced at the Bowling Green Fire Department (which conduct included Rockrohr’s suggestion that Queen ‘should get employment elsewhere’  because ‘things [were] not working out’) went far enough to amount to a materially adverse action. Indeed, Rockrohr’s specific admonition made directly to Queen that he ‘should get employment elsewhere’ could be interpreted by reasonable jurors to convey the message that Queen was no longer welcome at the Fire Department, thus amounting to a constructive termination of Queen’s </w:t>
      </w:r>
      <w:proofErr w:type="gramStart"/>
      <w:r w:rsidRPr="000A5D76">
        <w:rPr>
          <w:rFonts w:ascii="Times New Roman" w:hAnsi="Times New Roman"/>
          <w:bCs/>
          <w:sz w:val="24"/>
          <w:szCs w:val="24"/>
        </w:rPr>
        <w:t>employment.”</w:t>
      </w:r>
      <w:proofErr w:type="gramEnd"/>
    </w:p>
    <w:p w14:paraId="45A55C92" w14:textId="77777777" w:rsidR="002147DA" w:rsidRPr="000A5D76" w:rsidRDefault="002147DA" w:rsidP="002147DA">
      <w:pPr>
        <w:pStyle w:val="NoSpacing"/>
        <w:ind w:left="720"/>
        <w:rPr>
          <w:rFonts w:ascii="Times New Roman" w:hAnsi="Times New Roman"/>
          <w:b/>
          <w:bCs/>
          <w:sz w:val="24"/>
          <w:szCs w:val="24"/>
        </w:rPr>
      </w:pPr>
      <w:hyperlink r:id="rId1224" w:history="1">
        <w:r w:rsidRPr="000A5D76">
          <w:rPr>
            <w:rStyle w:val="Hyperlink"/>
            <w:rFonts w:ascii="Times New Roman" w:hAnsi="Times New Roman"/>
            <w:b/>
            <w:sz w:val="24"/>
            <w:szCs w:val="24"/>
          </w:rPr>
          <w:t>https://www.opn.ca6.uscourts.gov/opinions.pdf/20a0123p-06.pdf</w:t>
        </w:r>
      </w:hyperlink>
      <w:r w:rsidRPr="000A5D76">
        <w:rPr>
          <w:rFonts w:ascii="Times New Roman" w:hAnsi="Times New Roman"/>
          <w:bCs/>
          <w:sz w:val="24"/>
          <w:szCs w:val="24"/>
        </w:rPr>
        <w:t xml:space="preserve"> </w:t>
      </w:r>
    </w:p>
    <w:bookmarkEnd w:id="240"/>
    <w:p w14:paraId="0FC60F57" w14:textId="77777777" w:rsidR="002147DA" w:rsidRDefault="002147DA" w:rsidP="002147DA">
      <w:pPr>
        <w:pStyle w:val="NoSpacing"/>
        <w:rPr>
          <w:rFonts w:ascii="Times New Roman" w:hAnsi="Times New Roman"/>
          <w:b/>
          <w:bCs/>
          <w:sz w:val="24"/>
          <w:szCs w:val="24"/>
        </w:rPr>
      </w:pPr>
    </w:p>
    <w:p w14:paraId="08754EA9" w14:textId="73D4EBCB" w:rsidR="002147DA" w:rsidRPr="000A5D76" w:rsidRDefault="002147DA" w:rsidP="002147DA">
      <w:pPr>
        <w:pStyle w:val="NoSpacing"/>
        <w:rPr>
          <w:rFonts w:ascii="Times New Roman" w:hAnsi="Times New Roman"/>
          <w:b/>
          <w:bCs/>
          <w:sz w:val="24"/>
          <w:szCs w:val="24"/>
        </w:rPr>
      </w:pPr>
      <w:bookmarkStart w:id="241" w:name="_Hlk40510447"/>
      <w:r w:rsidRPr="000A5D76">
        <w:rPr>
          <w:rFonts w:ascii="Times New Roman" w:hAnsi="Times New Roman"/>
          <w:b/>
          <w:bCs/>
          <w:sz w:val="24"/>
          <w:szCs w:val="24"/>
        </w:rPr>
        <w:t xml:space="preserve">Legal Lessons Learned: When a firefighter complains of harassment, the </w:t>
      </w:r>
      <w:r w:rsidR="00C4249D">
        <w:rPr>
          <w:rFonts w:ascii="Times New Roman" w:hAnsi="Times New Roman"/>
          <w:b/>
          <w:bCs/>
          <w:sz w:val="24"/>
          <w:szCs w:val="24"/>
        </w:rPr>
        <w:t xml:space="preserve">FD Officer should promptly advise the Fire </w:t>
      </w:r>
      <w:proofErr w:type="gramStart"/>
      <w:r w:rsidR="00C4249D">
        <w:rPr>
          <w:rFonts w:ascii="Times New Roman" w:hAnsi="Times New Roman"/>
          <w:b/>
          <w:bCs/>
          <w:sz w:val="24"/>
          <w:szCs w:val="24"/>
        </w:rPr>
        <w:t xml:space="preserve">Chief, </w:t>
      </w:r>
      <w:r w:rsidRPr="000A5D76">
        <w:rPr>
          <w:rFonts w:ascii="Times New Roman" w:hAnsi="Times New Roman"/>
          <w:b/>
          <w:bCs/>
          <w:sz w:val="24"/>
          <w:szCs w:val="24"/>
        </w:rPr>
        <w:t>and</w:t>
      </w:r>
      <w:proofErr w:type="gramEnd"/>
      <w:r w:rsidRPr="000A5D76">
        <w:rPr>
          <w:rFonts w:ascii="Times New Roman" w:hAnsi="Times New Roman"/>
          <w:b/>
          <w:bCs/>
          <w:sz w:val="24"/>
          <w:szCs w:val="24"/>
        </w:rPr>
        <w:t xml:space="preserve"> promptly investigate and stop any harassment behavior. </w:t>
      </w:r>
    </w:p>
    <w:bookmarkEnd w:id="241"/>
    <w:p w14:paraId="6F2563DF" w14:textId="77777777" w:rsidR="002147DA" w:rsidRDefault="002147DA" w:rsidP="00EF1133">
      <w:pPr>
        <w:rPr>
          <w:rFonts w:ascii="Arial Black" w:hAnsi="Arial Black"/>
          <w:b/>
          <w:sz w:val="24"/>
          <w:szCs w:val="24"/>
        </w:rPr>
      </w:pPr>
    </w:p>
    <w:p w14:paraId="4C39DB1C" w14:textId="77777777" w:rsidR="002147DA" w:rsidRDefault="002147DA" w:rsidP="00EF1133">
      <w:pPr>
        <w:rPr>
          <w:rFonts w:ascii="Arial Black" w:hAnsi="Arial Black"/>
          <w:b/>
          <w:sz w:val="24"/>
          <w:szCs w:val="24"/>
        </w:rPr>
      </w:pPr>
    </w:p>
    <w:p w14:paraId="697CCD76" w14:textId="6AC96BCF" w:rsidR="002147DA" w:rsidRDefault="002147DA" w:rsidP="00EF1133">
      <w:pPr>
        <w:rPr>
          <w:rFonts w:ascii="Arial Black" w:hAnsi="Arial Black"/>
          <w:b/>
          <w:sz w:val="24"/>
          <w:szCs w:val="24"/>
        </w:rPr>
      </w:pPr>
      <w:r>
        <w:rPr>
          <w:rFonts w:ascii="Arial Black" w:hAnsi="Arial Black"/>
          <w:b/>
          <w:sz w:val="24"/>
          <w:szCs w:val="24"/>
        </w:rPr>
        <w:t>6-40</w:t>
      </w:r>
    </w:p>
    <w:p w14:paraId="780420E9" w14:textId="77777777" w:rsidR="002147DA" w:rsidRDefault="002147DA" w:rsidP="002147DA">
      <w:pPr>
        <w:pStyle w:val="NoSpacing"/>
        <w:rPr>
          <w:rFonts w:ascii="Arial Black" w:hAnsi="Arial Black"/>
          <w:sz w:val="28"/>
          <w:szCs w:val="28"/>
        </w:rPr>
      </w:pPr>
      <w:bookmarkStart w:id="242" w:name="_Hlk39764432"/>
      <w:r>
        <w:rPr>
          <w:rFonts w:ascii="Arial Black" w:hAnsi="Arial Black"/>
          <w:sz w:val="28"/>
          <w:szCs w:val="28"/>
        </w:rPr>
        <w:t xml:space="preserve">AR: WORKER’S COMP DENIED - TESTICULAR CANCER – HAD AS YOUTH – NOT COVERED BY PRESUMPTION STATUTE </w:t>
      </w:r>
    </w:p>
    <w:p w14:paraId="516F8082" w14:textId="77777777" w:rsidR="002147DA" w:rsidRDefault="002147DA" w:rsidP="002147DA">
      <w:pPr>
        <w:pStyle w:val="NoSpacing"/>
        <w:ind w:left="720"/>
        <w:rPr>
          <w:b/>
          <w:bCs/>
          <w:sz w:val="24"/>
          <w:szCs w:val="24"/>
        </w:rPr>
      </w:pPr>
    </w:p>
    <w:p w14:paraId="3DA1CA6D" w14:textId="77777777" w:rsidR="002147DA" w:rsidRPr="000A5D76" w:rsidRDefault="002147DA" w:rsidP="002147DA">
      <w:pPr>
        <w:pStyle w:val="NoSpacing"/>
        <w:rPr>
          <w:rFonts w:ascii="Times New Roman" w:hAnsi="Times New Roman"/>
          <w:b/>
          <w:bCs/>
          <w:sz w:val="24"/>
          <w:szCs w:val="24"/>
        </w:rPr>
      </w:pPr>
      <w:r w:rsidRPr="000A5D76">
        <w:rPr>
          <w:rFonts w:ascii="Times New Roman" w:hAnsi="Times New Roman"/>
          <w:bCs/>
          <w:sz w:val="24"/>
          <w:szCs w:val="24"/>
        </w:rPr>
        <w:lastRenderedPageBreak/>
        <w:t xml:space="preserve">On April 21, 2020, </w:t>
      </w:r>
      <w:r w:rsidRPr="000A5D76">
        <w:rPr>
          <w:rFonts w:ascii="Times New Roman" w:hAnsi="Times New Roman"/>
          <w:bCs/>
          <w:sz w:val="24"/>
          <w:szCs w:val="24"/>
          <w:u w:val="single"/>
        </w:rPr>
        <w:t>Wesley Forbach v. The Industrial Commission of Arizona &amp; City of Flagstaff</w:t>
      </w:r>
      <w:r w:rsidRPr="000A5D76">
        <w:rPr>
          <w:rFonts w:ascii="Times New Roman" w:hAnsi="Times New Roman"/>
          <w:bCs/>
          <w:sz w:val="24"/>
          <w:szCs w:val="24"/>
        </w:rPr>
        <w:t xml:space="preserve">, the Arizona Court of Appeal (Division One), held in unpublished opinion (3 to 0) that his surgery for removal of left testicle was not covered by worker’s comp.  The Arizona statutory presumption statute requires proof that the “carcinogen is reasonably related to the cancer.” The proof was particularly difficult in this case since the firefighter as a </w:t>
      </w:r>
      <w:proofErr w:type="gramStart"/>
      <w:r w:rsidRPr="000A5D76">
        <w:rPr>
          <w:rFonts w:ascii="Times New Roman" w:hAnsi="Times New Roman"/>
          <w:bCs/>
          <w:sz w:val="24"/>
          <w:szCs w:val="24"/>
        </w:rPr>
        <w:t>teenage</w:t>
      </w:r>
      <w:proofErr w:type="gramEnd"/>
      <w:r w:rsidRPr="000A5D76">
        <w:rPr>
          <w:rFonts w:ascii="Times New Roman" w:hAnsi="Times New Roman"/>
          <w:bCs/>
          <w:sz w:val="24"/>
          <w:szCs w:val="24"/>
        </w:rPr>
        <w:t xml:space="preserve"> had testicular cancer and his right testicle was removed.</w:t>
      </w:r>
    </w:p>
    <w:p w14:paraId="02DF9137" w14:textId="77777777" w:rsidR="002147DA" w:rsidRPr="000A5D76" w:rsidRDefault="002147DA" w:rsidP="002147DA">
      <w:pPr>
        <w:pStyle w:val="NoSpacing"/>
        <w:ind w:left="720"/>
        <w:rPr>
          <w:rFonts w:ascii="Times New Roman" w:hAnsi="Times New Roman"/>
          <w:b/>
          <w:bCs/>
          <w:sz w:val="24"/>
          <w:szCs w:val="24"/>
        </w:rPr>
      </w:pPr>
    </w:p>
    <w:p w14:paraId="55D2A7BF"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“The Administrative Law Judge (‘ALJ’) determined that Forbach was not entitled to a statutory presumption in his favor and, therefore, had not established a causal connection between his disease and his employment. We affirm.”</w:t>
      </w:r>
    </w:p>
    <w:p w14:paraId="0D7A3025" w14:textId="77777777" w:rsidR="002147DA" w:rsidRPr="000A5D76" w:rsidRDefault="002147DA" w:rsidP="002147DA">
      <w:pPr>
        <w:pStyle w:val="NoSpacing"/>
        <w:ind w:left="720"/>
        <w:rPr>
          <w:rFonts w:ascii="Times New Roman" w:hAnsi="Times New Roman"/>
          <w:b/>
          <w:bCs/>
          <w:sz w:val="24"/>
          <w:szCs w:val="24"/>
        </w:rPr>
      </w:pPr>
      <w:hyperlink r:id="rId1225" w:history="1">
        <w:r w:rsidRPr="000A5D76">
          <w:rPr>
            <w:rStyle w:val="Hyperlink"/>
            <w:rFonts w:ascii="Times New Roman" w:hAnsi="Times New Roman"/>
            <w:b/>
            <w:sz w:val="24"/>
            <w:szCs w:val="24"/>
          </w:rPr>
          <w:t>https://www.azcourts.gov/Portals/0/OpinionFiles/Div1/2020/1%20CA-IC%2019-0036%20-%20Forbach.pdf</w:t>
        </w:r>
      </w:hyperlink>
      <w:r w:rsidRPr="000A5D76">
        <w:rPr>
          <w:rFonts w:ascii="Times New Roman" w:hAnsi="Times New Roman"/>
          <w:bCs/>
          <w:sz w:val="24"/>
          <w:szCs w:val="24"/>
        </w:rPr>
        <w:t xml:space="preserve"> </w:t>
      </w:r>
    </w:p>
    <w:bookmarkEnd w:id="242"/>
    <w:p w14:paraId="394C0AF5" w14:textId="77777777" w:rsidR="002147DA" w:rsidRDefault="002147DA" w:rsidP="002147DA">
      <w:pPr>
        <w:pStyle w:val="NoSpacing"/>
        <w:rPr>
          <w:rFonts w:ascii="Times New Roman" w:hAnsi="Times New Roman"/>
          <w:b/>
          <w:bCs/>
          <w:sz w:val="24"/>
          <w:szCs w:val="24"/>
        </w:rPr>
      </w:pPr>
    </w:p>
    <w:p w14:paraId="21A9C70B" w14:textId="2B50B759" w:rsidR="002147DA" w:rsidRPr="000A5D76" w:rsidRDefault="002147DA" w:rsidP="002147DA">
      <w:pPr>
        <w:pStyle w:val="NoSpacing"/>
        <w:rPr>
          <w:rFonts w:ascii="Times New Roman" w:hAnsi="Times New Roman"/>
          <w:b/>
          <w:bCs/>
          <w:sz w:val="24"/>
          <w:szCs w:val="24"/>
        </w:rPr>
      </w:pPr>
      <w:bookmarkStart w:id="243" w:name="_Hlk40510494"/>
      <w:r w:rsidRPr="000A5D76">
        <w:rPr>
          <w:rFonts w:ascii="Times New Roman" w:hAnsi="Times New Roman"/>
          <w:b/>
          <w:bCs/>
          <w:sz w:val="24"/>
          <w:szCs w:val="24"/>
        </w:rPr>
        <w:t xml:space="preserve">Legal Lessons Learned:  Firefighters should keep a list of runs where they have been exposed to smoke or </w:t>
      </w:r>
      <w:r w:rsidR="00C4249D">
        <w:rPr>
          <w:rFonts w:ascii="Times New Roman" w:hAnsi="Times New Roman"/>
          <w:b/>
          <w:bCs/>
          <w:sz w:val="24"/>
          <w:szCs w:val="24"/>
        </w:rPr>
        <w:t xml:space="preserve">other </w:t>
      </w:r>
      <w:r w:rsidRPr="000A5D76">
        <w:rPr>
          <w:rFonts w:ascii="Times New Roman" w:hAnsi="Times New Roman"/>
          <w:b/>
          <w:bCs/>
          <w:sz w:val="24"/>
          <w:szCs w:val="24"/>
        </w:rPr>
        <w:t xml:space="preserve">chemicals, but even with such a list, without a State statutory presumption statute that specifically includes testicular cancer, it is very difficult to prove what caused this </w:t>
      </w:r>
      <w:proofErr w:type="gramStart"/>
      <w:r w:rsidRPr="000A5D76">
        <w:rPr>
          <w:rFonts w:ascii="Times New Roman" w:hAnsi="Times New Roman"/>
          <w:b/>
          <w:bCs/>
          <w:sz w:val="24"/>
          <w:szCs w:val="24"/>
        </w:rPr>
        <w:t>particular cancer</w:t>
      </w:r>
      <w:proofErr w:type="gramEnd"/>
      <w:r w:rsidRPr="000A5D76">
        <w:rPr>
          <w:rFonts w:ascii="Times New Roman" w:hAnsi="Times New Roman"/>
          <w:b/>
          <w:bCs/>
          <w:sz w:val="24"/>
          <w:szCs w:val="24"/>
        </w:rPr>
        <w:t xml:space="preserve">. </w:t>
      </w:r>
    </w:p>
    <w:bookmarkEnd w:id="243"/>
    <w:p w14:paraId="0945C119" w14:textId="77777777" w:rsidR="002147DA" w:rsidRPr="000A5D76" w:rsidRDefault="002147DA" w:rsidP="002147DA">
      <w:pPr>
        <w:pStyle w:val="NoSpacing"/>
        <w:rPr>
          <w:rFonts w:ascii="Times New Roman" w:hAnsi="Times New Roman"/>
          <w:sz w:val="24"/>
          <w:szCs w:val="24"/>
        </w:rPr>
      </w:pPr>
    </w:p>
    <w:p w14:paraId="540D963A"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 xml:space="preserve">Note: Court described the Arizona statutory presumption.  </w:t>
      </w:r>
    </w:p>
    <w:p w14:paraId="2849071D" w14:textId="77777777" w:rsidR="002147DA" w:rsidRPr="000A5D76" w:rsidRDefault="002147DA" w:rsidP="002147DA">
      <w:pPr>
        <w:pStyle w:val="NoSpacing"/>
        <w:ind w:left="720"/>
        <w:rPr>
          <w:rFonts w:ascii="Times New Roman" w:hAnsi="Times New Roman"/>
          <w:b/>
          <w:bCs/>
          <w:sz w:val="24"/>
          <w:szCs w:val="24"/>
        </w:rPr>
      </w:pPr>
    </w:p>
    <w:p w14:paraId="14A2A76C" w14:textId="77777777" w:rsidR="002147DA" w:rsidRPr="000A5D76" w:rsidRDefault="002147DA" w:rsidP="002147DA">
      <w:pPr>
        <w:pStyle w:val="NoSpacing"/>
        <w:ind w:left="1440"/>
        <w:rPr>
          <w:rFonts w:ascii="Times New Roman" w:hAnsi="Times New Roman"/>
          <w:b/>
          <w:bCs/>
          <w:sz w:val="24"/>
          <w:szCs w:val="24"/>
        </w:rPr>
      </w:pPr>
      <w:r w:rsidRPr="000A5D76">
        <w:rPr>
          <w:rFonts w:ascii="Times New Roman" w:hAnsi="Times New Roman"/>
          <w:bCs/>
          <w:sz w:val="24"/>
          <w:szCs w:val="24"/>
        </w:rPr>
        <w:t>“Starting in 2001, with a significant amendment in 2017, the Legislature created a statutory presumption of industrial causation for firefighters and police officers who contract certain diseases under certain conditions. *** Arizona Revised Statutes section 23-901.01(B) lists diseases that, if contracted by firefighters or police officers, will be presumed to be occupational diseases that arose out of employment if the four requirements in subsection (C) of the statute are met….</w:t>
      </w:r>
    </w:p>
    <w:p w14:paraId="3EFDA371" w14:textId="77777777" w:rsidR="002147DA" w:rsidRPr="000A5D76" w:rsidRDefault="002147DA" w:rsidP="002147DA">
      <w:pPr>
        <w:pStyle w:val="NoSpacing"/>
        <w:rPr>
          <w:rFonts w:ascii="Times New Roman" w:hAnsi="Times New Roman"/>
          <w:b/>
          <w:bCs/>
          <w:sz w:val="24"/>
          <w:szCs w:val="24"/>
        </w:rPr>
      </w:pPr>
    </w:p>
    <w:p w14:paraId="2373EB49" w14:textId="77777777" w:rsidR="002147DA" w:rsidRPr="000A5D76" w:rsidRDefault="002147DA" w:rsidP="002147DA">
      <w:pPr>
        <w:pStyle w:val="NoSpacing"/>
        <w:ind w:left="2160"/>
        <w:rPr>
          <w:rFonts w:ascii="Times New Roman" w:hAnsi="Times New Roman"/>
          <w:b/>
          <w:bCs/>
          <w:sz w:val="24"/>
          <w:szCs w:val="24"/>
        </w:rPr>
      </w:pPr>
      <w:r>
        <w:rPr>
          <w:rFonts w:ascii="Times New Roman" w:hAnsi="Times New Roman"/>
          <w:bCs/>
          <w:sz w:val="24"/>
          <w:szCs w:val="24"/>
        </w:rPr>
        <w:t>“</w:t>
      </w:r>
      <w:r w:rsidRPr="000A5D76">
        <w:rPr>
          <w:rFonts w:ascii="Times New Roman" w:hAnsi="Times New Roman"/>
          <w:bCs/>
          <w:sz w:val="24"/>
          <w:szCs w:val="24"/>
        </w:rPr>
        <w:t>3. The firefighter or peace officer was [</w:t>
      </w:r>
      <w:proofErr w:type="spellStart"/>
      <w:r w:rsidRPr="000A5D76">
        <w:rPr>
          <w:rFonts w:ascii="Times New Roman" w:hAnsi="Times New Roman"/>
          <w:bCs/>
          <w:sz w:val="24"/>
          <w:szCs w:val="24"/>
        </w:rPr>
        <w:t>i</w:t>
      </w:r>
      <w:proofErr w:type="spellEnd"/>
      <w:r w:rsidRPr="000A5D76">
        <w:rPr>
          <w:rFonts w:ascii="Times New Roman" w:hAnsi="Times New Roman"/>
          <w:bCs/>
          <w:sz w:val="24"/>
          <w:szCs w:val="24"/>
        </w:rPr>
        <w:t>]exposed to a known carcinogen as defined by the international agency for research on cancer and [ii] informed the department of this exposure, and [iii] the carcinogen is reasonably related to the cancer.”</w:t>
      </w:r>
    </w:p>
    <w:p w14:paraId="6C23509B" w14:textId="5D13BC10" w:rsidR="002147DA" w:rsidRDefault="002147DA" w:rsidP="00EF1133">
      <w:pPr>
        <w:rPr>
          <w:rFonts w:ascii="Arial Black" w:hAnsi="Arial Black"/>
          <w:b/>
          <w:sz w:val="24"/>
          <w:szCs w:val="24"/>
        </w:rPr>
      </w:pPr>
    </w:p>
    <w:p w14:paraId="5922A0C8" w14:textId="207EF2DF" w:rsidR="002147DA" w:rsidRDefault="002147DA" w:rsidP="00EF1133">
      <w:pPr>
        <w:rPr>
          <w:rFonts w:ascii="Arial Black" w:hAnsi="Arial Black"/>
          <w:b/>
          <w:sz w:val="24"/>
          <w:szCs w:val="24"/>
        </w:rPr>
      </w:pPr>
    </w:p>
    <w:p w14:paraId="4138232A" w14:textId="77777777" w:rsidR="002147DA" w:rsidRDefault="002147DA" w:rsidP="00EF1133">
      <w:pPr>
        <w:rPr>
          <w:rFonts w:ascii="Arial Black" w:hAnsi="Arial Black"/>
          <w:b/>
          <w:sz w:val="24"/>
          <w:szCs w:val="24"/>
        </w:rPr>
      </w:pPr>
    </w:p>
    <w:p w14:paraId="1EB2C408" w14:textId="73E32585" w:rsidR="002147DA" w:rsidRDefault="002147DA" w:rsidP="00EF1133">
      <w:pPr>
        <w:rPr>
          <w:rFonts w:ascii="Arial Black" w:hAnsi="Arial Black"/>
          <w:b/>
          <w:sz w:val="24"/>
          <w:szCs w:val="24"/>
        </w:rPr>
      </w:pPr>
      <w:r>
        <w:rPr>
          <w:rFonts w:ascii="Arial Black" w:hAnsi="Arial Black"/>
          <w:b/>
          <w:sz w:val="24"/>
          <w:szCs w:val="24"/>
        </w:rPr>
        <w:t>6-39</w:t>
      </w:r>
    </w:p>
    <w:p w14:paraId="37FF7DA4" w14:textId="3B071FAC" w:rsidR="002147DA" w:rsidRPr="00AC4AF3" w:rsidRDefault="002147DA" w:rsidP="002147DA">
      <w:pPr>
        <w:pStyle w:val="NoSpacing"/>
        <w:rPr>
          <w:rFonts w:ascii="Arial Black" w:hAnsi="Arial Black"/>
          <w:sz w:val="28"/>
          <w:szCs w:val="28"/>
        </w:rPr>
      </w:pPr>
      <w:bookmarkStart w:id="244" w:name="_Hlk39764496"/>
      <w:r w:rsidRPr="00AC4AF3">
        <w:rPr>
          <w:rFonts w:ascii="Arial Black" w:hAnsi="Arial Black"/>
          <w:sz w:val="28"/>
          <w:szCs w:val="28"/>
        </w:rPr>
        <w:t xml:space="preserve">NC: </w:t>
      </w:r>
      <w:r>
        <w:rPr>
          <w:rFonts w:ascii="Arial Black" w:hAnsi="Arial Black"/>
          <w:sz w:val="28"/>
          <w:szCs w:val="28"/>
        </w:rPr>
        <w:t>WORKER’S COMP - DENIED FOR HEARING LOSS – MINOR MVA AMBULANCE - BACK INJURY WAS COVERED</w:t>
      </w:r>
    </w:p>
    <w:p w14:paraId="5F83D9B6" w14:textId="77777777" w:rsidR="002147DA" w:rsidRDefault="002147DA" w:rsidP="002147DA">
      <w:pPr>
        <w:pStyle w:val="NoSpacing"/>
        <w:rPr>
          <w:b/>
          <w:bCs/>
          <w:sz w:val="24"/>
          <w:szCs w:val="24"/>
        </w:rPr>
      </w:pPr>
    </w:p>
    <w:p w14:paraId="604412DA" w14:textId="77777777" w:rsidR="002147DA" w:rsidRPr="000A5D76" w:rsidRDefault="002147DA" w:rsidP="002147DA">
      <w:pPr>
        <w:pStyle w:val="NoSpacing"/>
        <w:rPr>
          <w:rFonts w:ascii="Times New Roman" w:hAnsi="Times New Roman"/>
          <w:b/>
          <w:bCs/>
          <w:sz w:val="24"/>
          <w:szCs w:val="24"/>
        </w:rPr>
      </w:pPr>
      <w:r w:rsidRPr="000A5D76">
        <w:rPr>
          <w:rFonts w:ascii="Times New Roman" w:hAnsi="Times New Roman"/>
          <w:bCs/>
          <w:sz w:val="24"/>
          <w:szCs w:val="24"/>
        </w:rPr>
        <w:t xml:space="preserve">On April 7, 2020, in </w:t>
      </w:r>
      <w:r w:rsidRPr="000A5D76">
        <w:rPr>
          <w:rFonts w:ascii="Times New Roman" w:hAnsi="Times New Roman"/>
          <w:bCs/>
          <w:sz w:val="24"/>
          <w:szCs w:val="24"/>
          <w:u w:val="single"/>
        </w:rPr>
        <w:t xml:space="preserve">Travis Martin v. WakeMed &amp; Key Risk Management Services, </w:t>
      </w:r>
      <w:r w:rsidRPr="000A5D76">
        <w:rPr>
          <w:rFonts w:ascii="Times New Roman" w:hAnsi="Times New Roman"/>
          <w:bCs/>
          <w:sz w:val="24"/>
          <w:szCs w:val="24"/>
        </w:rPr>
        <w:t xml:space="preserve">the Court of Appeals of North Carolina held (3 to 0) in an unpublished opinion that the North Carolina Industrial Compensation properly denied the EMT’s claim for loss of hearing in both ears. </w:t>
      </w:r>
    </w:p>
    <w:p w14:paraId="2E941913" w14:textId="77777777" w:rsidR="002147DA" w:rsidRPr="000A5D76" w:rsidRDefault="002147DA" w:rsidP="002147DA">
      <w:pPr>
        <w:pStyle w:val="NoSpacing"/>
        <w:rPr>
          <w:rFonts w:ascii="Times New Roman" w:hAnsi="Times New Roman"/>
          <w:b/>
          <w:bCs/>
          <w:sz w:val="24"/>
          <w:szCs w:val="24"/>
        </w:rPr>
      </w:pPr>
    </w:p>
    <w:p w14:paraId="0292CC9E"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 xml:space="preserve">“The Commission found that the record evidence, including plaintiff’s testimony, did not reveal plaintiff ever discussing a loud noise or a certain degree of noise during the motor vehicle accident sufficient to cause plaintiff to sustain asymmetric bilateral hearing loss. Moreover, the motor vehicle collision on 13 April 2016 “’resulted in only minimal damage to [the vehicle plaintiff was driving].’ Based on the preponderance of evidence in view of the entire record, the Commission found that ‘insufficient evidence exists to establish a causal connection between the 13 April 2016 motor vehicle accident and </w:t>
      </w:r>
      <w:r w:rsidRPr="000A5D76">
        <w:rPr>
          <w:rFonts w:ascii="Times New Roman" w:hAnsi="Times New Roman"/>
          <w:bCs/>
          <w:sz w:val="24"/>
          <w:szCs w:val="24"/>
        </w:rPr>
        <w:lastRenderedPageBreak/>
        <w:t>[p]</w:t>
      </w:r>
      <w:proofErr w:type="spellStart"/>
      <w:r w:rsidRPr="000A5D76">
        <w:rPr>
          <w:rFonts w:ascii="Times New Roman" w:hAnsi="Times New Roman"/>
          <w:bCs/>
          <w:sz w:val="24"/>
          <w:szCs w:val="24"/>
        </w:rPr>
        <w:t>laintiff’s</w:t>
      </w:r>
      <w:proofErr w:type="spellEnd"/>
      <w:r w:rsidRPr="000A5D76">
        <w:rPr>
          <w:rFonts w:ascii="Times New Roman" w:hAnsi="Times New Roman"/>
          <w:bCs/>
          <w:sz w:val="24"/>
          <w:szCs w:val="24"/>
        </w:rPr>
        <w:t xml:space="preserve"> alleged injury to his ears, including bilateral hearing loss.” </w:t>
      </w:r>
      <w:hyperlink r:id="rId1226" w:history="1">
        <w:r w:rsidRPr="000A5D76">
          <w:rPr>
            <w:rStyle w:val="Hyperlink"/>
            <w:rFonts w:ascii="Times New Roman" w:hAnsi="Times New Roman"/>
            <w:b/>
            <w:sz w:val="24"/>
            <w:szCs w:val="24"/>
          </w:rPr>
          <w:t>https://appellate.nccourts.org/opinions/?c=2&amp;pdf=38946</w:t>
        </w:r>
      </w:hyperlink>
      <w:r w:rsidRPr="000A5D76">
        <w:rPr>
          <w:rFonts w:ascii="Times New Roman" w:hAnsi="Times New Roman"/>
          <w:bCs/>
          <w:sz w:val="24"/>
          <w:szCs w:val="24"/>
        </w:rPr>
        <w:t xml:space="preserve"> </w:t>
      </w:r>
    </w:p>
    <w:bookmarkEnd w:id="244"/>
    <w:p w14:paraId="5D759841" w14:textId="77777777" w:rsidR="002147DA" w:rsidRDefault="002147DA" w:rsidP="002147DA">
      <w:pPr>
        <w:pStyle w:val="NoSpacing"/>
        <w:rPr>
          <w:rFonts w:ascii="Times New Roman" w:hAnsi="Times New Roman"/>
          <w:b/>
          <w:bCs/>
          <w:sz w:val="24"/>
          <w:szCs w:val="24"/>
        </w:rPr>
      </w:pPr>
    </w:p>
    <w:p w14:paraId="6F12067E" w14:textId="18C1CA2B" w:rsidR="002147DA" w:rsidRPr="000A5D76" w:rsidRDefault="002147DA" w:rsidP="002147DA">
      <w:pPr>
        <w:pStyle w:val="NoSpacing"/>
        <w:rPr>
          <w:rFonts w:ascii="Times New Roman" w:hAnsi="Times New Roman"/>
          <w:b/>
          <w:bCs/>
          <w:sz w:val="24"/>
          <w:szCs w:val="24"/>
        </w:rPr>
      </w:pPr>
      <w:bookmarkStart w:id="245" w:name="_Hlk40510594"/>
      <w:r w:rsidRPr="000A5D76">
        <w:rPr>
          <w:rFonts w:ascii="Times New Roman" w:hAnsi="Times New Roman"/>
          <w:b/>
          <w:bCs/>
          <w:sz w:val="24"/>
          <w:szCs w:val="24"/>
        </w:rPr>
        <w:t xml:space="preserve">Legal Lessons Learned:  With a minor MVA, it is difficult to understand the EMT’s claim that he lost hearing in both ears. </w:t>
      </w:r>
    </w:p>
    <w:bookmarkEnd w:id="245"/>
    <w:p w14:paraId="218FFA19" w14:textId="77777777" w:rsidR="002147DA" w:rsidRPr="000A5D76" w:rsidRDefault="002147DA" w:rsidP="002147DA">
      <w:pPr>
        <w:pStyle w:val="NoSpacing"/>
        <w:rPr>
          <w:rFonts w:ascii="Times New Roman" w:hAnsi="Times New Roman"/>
          <w:b/>
          <w:bCs/>
          <w:sz w:val="24"/>
          <w:szCs w:val="24"/>
        </w:rPr>
      </w:pPr>
    </w:p>
    <w:p w14:paraId="52DCF66F" w14:textId="77777777" w:rsidR="002147DA" w:rsidRDefault="002147DA" w:rsidP="00EF1133">
      <w:pPr>
        <w:rPr>
          <w:rFonts w:ascii="Arial Black" w:hAnsi="Arial Black"/>
          <w:b/>
          <w:sz w:val="24"/>
          <w:szCs w:val="24"/>
        </w:rPr>
      </w:pPr>
    </w:p>
    <w:p w14:paraId="107D2CBC" w14:textId="77777777" w:rsidR="002147DA" w:rsidRDefault="002147DA" w:rsidP="00EF1133">
      <w:pPr>
        <w:rPr>
          <w:rFonts w:ascii="Arial Black" w:hAnsi="Arial Black"/>
          <w:b/>
          <w:sz w:val="24"/>
          <w:szCs w:val="24"/>
        </w:rPr>
      </w:pPr>
    </w:p>
    <w:p w14:paraId="31257DA4" w14:textId="01E6DB71" w:rsidR="002147DA" w:rsidRDefault="002147DA" w:rsidP="00EF1133">
      <w:pPr>
        <w:rPr>
          <w:rFonts w:ascii="Arial Black" w:hAnsi="Arial Black"/>
          <w:b/>
          <w:sz w:val="24"/>
          <w:szCs w:val="24"/>
        </w:rPr>
      </w:pPr>
      <w:r>
        <w:rPr>
          <w:rFonts w:ascii="Arial Black" w:hAnsi="Arial Black"/>
          <w:b/>
          <w:sz w:val="24"/>
          <w:szCs w:val="24"/>
        </w:rPr>
        <w:t>6-38</w:t>
      </w:r>
    </w:p>
    <w:p w14:paraId="0A0CEA28" w14:textId="77777777" w:rsidR="002147DA" w:rsidRPr="00B71D71" w:rsidRDefault="002147DA" w:rsidP="002147DA">
      <w:pPr>
        <w:pStyle w:val="NoSpacing"/>
        <w:rPr>
          <w:rFonts w:ascii="Arial Black" w:hAnsi="Arial Black"/>
          <w:sz w:val="28"/>
          <w:szCs w:val="28"/>
        </w:rPr>
      </w:pPr>
      <w:r w:rsidRPr="00B71D71">
        <w:rPr>
          <w:rFonts w:ascii="Arial Black" w:hAnsi="Arial Black"/>
          <w:sz w:val="28"/>
          <w:szCs w:val="28"/>
        </w:rPr>
        <w:t xml:space="preserve">MD: </w:t>
      </w:r>
      <w:r>
        <w:rPr>
          <w:rFonts w:ascii="Arial Black" w:hAnsi="Arial Black"/>
          <w:sz w:val="28"/>
          <w:szCs w:val="28"/>
        </w:rPr>
        <w:t xml:space="preserve"> WORKER’S COMP – GRANTED FOR ANKLE INJURY – AFTER SHIFT SPENT NIGHT AT STATION – AUTHORIZED</w:t>
      </w:r>
    </w:p>
    <w:p w14:paraId="3AD8DA83" w14:textId="38226C02" w:rsidR="002147DA" w:rsidRDefault="002147DA" w:rsidP="002147D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7, 2020, in </w:t>
      </w:r>
      <w:r w:rsidRPr="00EC156E">
        <w:rPr>
          <w:rFonts w:ascii="Times New Roman" w:eastAsia="Times New Roman" w:hAnsi="Times New Roman"/>
          <w:sz w:val="24"/>
          <w:szCs w:val="24"/>
          <w:u w:val="single"/>
        </w:rPr>
        <w:t>Montgomery County, Maryland v. John T. Maloney</w:t>
      </w:r>
      <w:r>
        <w:rPr>
          <w:rFonts w:ascii="Times New Roman" w:eastAsia="Times New Roman" w:hAnsi="Times New Roman"/>
          <w:sz w:val="24"/>
          <w:szCs w:val="24"/>
        </w:rPr>
        <w:t xml:space="preserve">, the Court of Special Appeals of Maryland, held (3 to 0) that the FF, even though he was off duty, was entitled to workers comp, confirming the holdings of both the Workers Compensation Commission, and Circuit Court judge who held evidentiary hearing.    </w:t>
      </w:r>
    </w:p>
    <w:p w14:paraId="2C4397C7" w14:textId="77777777" w:rsidR="002147DA" w:rsidRDefault="002147DA" w:rsidP="002147D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B71D71">
        <w:rPr>
          <w:rFonts w:ascii="Times New Roman" w:eastAsia="Times New Roman" w:hAnsi="Times New Roman"/>
          <w:sz w:val="24"/>
          <w:szCs w:val="24"/>
        </w:rPr>
        <w:t xml:space="preserve">In Maryland, employers must compensate </w:t>
      </w:r>
      <w:r>
        <w:rPr>
          <w:rFonts w:ascii="Times New Roman" w:eastAsia="Times New Roman" w:hAnsi="Times New Roman"/>
          <w:sz w:val="24"/>
          <w:szCs w:val="24"/>
        </w:rPr>
        <w:t>‘</w:t>
      </w:r>
      <w:r w:rsidRPr="00B71D71">
        <w:rPr>
          <w:rFonts w:ascii="Times New Roman" w:eastAsia="Times New Roman" w:hAnsi="Times New Roman"/>
          <w:sz w:val="24"/>
          <w:szCs w:val="24"/>
        </w:rPr>
        <w:t>covered employee[s]</w:t>
      </w:r>
      <w:r>
        <w:rPr>
          <w:rFonts w:ascii="Times New Roman" w:eastAsia="Times New Roman" w:hAnsi="Times New Roman"/>
          <w:sz w:val="24"/>
          <w:szCs w:val="24"/>
        </w:rPr>
        <w:t>’</w:t>
      </w:r>
      <w:r w:rsidRPr="00B71D71">
        <w:rPr>
          <w:rFonts w:ascii="Times New Roman" w:eastAsia="Times New Roman" w:hAnsi="Times New Roman"/>
          <w:sz w:val="24"/>
          <w:szCs w:val="24"/>
        </w:rPr>
        <w:t xml:space="preserve"> for certain accidental personal injuries. Lab. &amp; </w:t>
      </w:r>
      <w:proofErr w:type="spellStart"/>
      <w:r w:rsidRPr="00B71D71">
        <w:rPr>
          <w:rFonts w:ascii="Times New Roman" w:eastAsia="Times New Roman" w:hAnsi="Times New Roman"/>
          <w:sz w:val="24"/>
          <w:szCs w:val="24"/>
        </w:rPr>
        <w:t>Empl</w:t>
      </w:r>
      <w:proofErr w:type="spellEnd"/>
      <w:r w:rsidRPr="00B71D71">
        <w:rPr>
          <w:rFonts w:ascii="Times New Roman" w:eastAsia="Times New Roman" w:hAnsi="Times New Roman"/>
          <w:sz w:val="24"/>
          <w:szCs w:val="24"/>
        </w:rPr>
        <w:t xml:space="preserve">. § 9-501. A compensable </w:t>
      </w:r>
      <w:r>
        <w:rPr>
          <w:rFonts w:ascii="Times New Roman" w:eastAsia="Times New Roman" w:hAnsi="Times New Roman"/>
          <w:sz w:val="24"/>
          <w:szCs w:val="24"/>
        </w:rPr>
        <w:t>‘</w:t>
      </w:r>
      <w:r w:rsidRPr="00B71D71">
        <w:rPr>
          <w:rFonts w:ascii="Times New Roman" w:eastAsia="Times New Roman" w:hAnsi="Times New Roman"/>
          <w:sz w:val="24"/>
          <w:szCs w:val="24"/>
        </w:rPr>
        <w:t>accidental personal injury</w:t>
      </w:r>
      <w:r>
        <w:rPr>
          <w:rFonts w:ascii="Times New Roman" w:eastAsia="Times New Roman" w:hAnsi="Times New Roman"/>
          <w:sz w:val="24"/>
          <w:szCs w:val="24"/>
        </w:rPr>
        <w:t>’</w:t>
      </w:r>
      <w:r w:rsidRPr="00B71D71">
        <w:rPr>
          <w:rFonts w:ascii="Times New Roman" w:eastAsia="Times New Roman" w:hAnsi="Times New Roman"/>
          <w:sz w:val="24"/>
          <w:szCs w:val="24"/>
        </w:rPr>
        <w:t xml:space="preserve"> is one that </w:t>
      </w:r>
      <w:r>
        <w:rPr>
          <w:rFonts w:ascii="Times New Roman" w:eastAsia="Times New Roman" w:hAnsi="Times New Roman"/>
          <w:sz w:val="24"/>
          <w:szCs w:val="24"/>
        </w:rPr>
        <w:t>‘</w:t>
      </w:r>
      <w:r w:rsidRPr="00B71D71">
        <w:rPr>
          <w:rFonts w:ascii="Times New Roman" w:eastAsia="Times New Roman" w:hAnsi="Times New Roman"/>
          <w:sz w:val="24"/>
          <w:szCs w:val="24"/>
        </w:rPr>
        <w:t>arises out of and in the course of employment.</w:t>
      </w:r>
      <w:r>
        <w:rPr>
          <w:rFonts w:ascii="Times New Roman" w:eastAsia="Times New Roman" w:hAnsi="Times New Roman"/>
          <w:sz w:val="24"/>
          <w:szCs w:val="24"/>
        </w:rPr>
        <w:t>’</w:t>
      </w:r>
      <w:r w:rsidRPr="00B71D71">
        <w:rPr>
          <w:rFonts w:ascii="Times New Roman" w:eastAsia="Times New Roman" w:hAnsi="Times New Roman"/>
          <w:sz w:val="24"/>
          <w:szCs w:val="24"/>
        </w:rPr>
        <w:t xml:space="preserve"> Lab. &amp; </w:t>
      </w:r>
      <w:proofErr w:type="spellStart"/>
      <w:r w:rsidRPr="00B71D71">
        <w:rPr>
          <w:rFonts w:ascii="Times New Roman" w:eastAsia="Times New Roman" w:hAnsi="Times New Roman"/>
          <w:sz w:val="24"/>
          <w:szCs w:val="24"/>
        </w:rPr>
        <w:t>Empl</w:t>
      </w:r>
      <w:proofErr w:type="spellEnd"/>
      <w:r w:rsidRPr="00B71D71">
        <w:rPr>
          <w:rFonts w:ascii="Times New Roman" w:eastAsia="Times New Roman" w:hAnsi="Times New Roman"/>
          <w:sz w:val="24"/>
          <w:szCs w:val="24"/>
        </w:rPr>
        <w:t xml:space="preserve">. § 9-101(b). At the end of the </w:t>
      </w:r>
      <w:r w:rsidRPr="00B71D71">
        <w:rPr>
          <w:rFonts w:ascii="Times New Roman" w:eastAsia="Times New Roman" w:hAnsi="Times New Roman"/>
          <w:i/>
          <w:iCs/>
          <w:sz w:val="24"/>
          <w:szCs w:val="24"/>
        </w:rPr>
        <w:t>de novo</w:t>
      </w:r>
      <w:r w:rsidRPr="00B71D71">
        <w:rPr>
          <w:rFonts w:ascii="Times New Roman" w:eastAsia="Times New Roman" w:hAnsi="Times New Roman"/>
          <w:sz w:val="24"/>
          <w:szCs w:val="24"/>
        </w:rPr>
        <w:t xml:space="preserve"> evidentiary hearing, the circuit court concluded that Maloney's firehouse injury met these criteria—that it arose out of and in the course of his employment. The County's second appellate contention is that this conclusion by the circuit court was in error. To support its position, the County focuses mainly on the </w:t>
      </w:r>
      <w:proofErr w:type="gramStart"/>
      <w:r w:rsidRPr="00B71D71">
        <w:rPr>
          <w:rFonts w:ascii="Times New Roman" w:eastAsia="Times New Roman" w:hAnsi="Times New Roman"/>
          <w:sz w:val="24"/>
          <w:szCs w:val="24"/>
        </w:rPr>
        <w:t>facts</w:t>
      </w:r>
      <w:proofErr w:type="gramEnd"/>
      <w:r>
        <w:rPr>
          <w:rFonts w:ascii="Times New Roman" w:eastAsia="Times New Roman" w:hAnsi="Times New Roman"/>
          <w:sz w:val="24"/>
          <w:szCs w:val="24"/>
        </w:rPr>
        <w:t xml:space="preserve"> </w:t>
      </w:r>
      <w:r w:rsidRPr="00B71D71">
        <w:rPr>
          <w:rFonts w:ascii="Times New Roman" w:eastAsia="Times New Roman" w:hAnsi="Times New Roman"/>
          <w:sz w:val="24"/>
          <w:szCs w:val="24"/>
        </w:rPr>
        <w:t>that Maloney was not on duty when he was injured, that he was not required to stay at Station 33 that night, and that he chose to stay there for his own convenience.</w:t>
      </w:r>
      <w:r>
        <w:rPr>
          <w:rFonts w:ascii="Times New Roman" w:eastAsia="Times New Roman" w:hAnsi="Times New Roman"/>
          <w:sz w:val="24"/>
          <w:szCs w:val="24"/>
        </w:rPr>
        <w:t xml:space="preserve"> </w:t>
      </w:r>
      <w:r w:rsidRPr="00B71D71">
        <w:rPr>
          <w:rFonts w:ascii="Times New Roman" w:eastAsia="Times New Roman" w:hAnsi="Times New Roman"/>
          <w:sz w:val="24"/>
          <w:szCs w:val="24"/>
        </w:rPr>
        <w:t>  These arguments are not persuasive.</w:t>
      </w:r>
      <w:r>
        <w:rPr>
          <w:rFonts w:ascii="Times New Roman" w:eastAsia="Times New Roman" w:hAnsi="Times New Roman"/>
          <w:sz w:val="24"/>
          <w:szCs w:val="24"/>
        </w:rPr>
        <w:t xml:space="preserve">” </w:t>
      </w:r>
      <w:hyperlink r:id="rId1227" w:history="1">
        <w:r w:rsidRPr="000B08B8">
          <w:rPr>
            <w:rStyle w:val="Hyperlink"/>
            <w:rFonts w:ascii="Times New Roman" w:hAnsi="Times New Roman"/>
            <w:sz w:val="24"/>
            <w:szCs w:val="24"/>
          </w:rPr>
          <w:t>https://public.fastcase.com/Wl%2B2t%2BeVuI35%2FN70vAMFZv4uc1sCbMG5dFxJ8lan7QREifr4yKlj8U3C7mB5N4Yr</w:t>
        </w:r>
      </w:hyperlink>
      <w:r>
        <w:rPr>
          <w:rFonts w:ascii="Times New Roman" w:eastAsia="Times New Roman" w:hAnsi="Times New Roman"/>
          <w:sz w:val="24"/>
          <w:szCs w:val="24"/>
        </w:rPr>
        <w:t xml:space="preserve"> </w:t>
      </w:r>
    </w:p>
    <w:p w14:paraId="73810425" w14:textId="77777777" w:rsidR="002147DA" w:rsidRPr="000A5D76" w:rsidRDefault="002147DA" w:rsidP="002147DA">
      <w:pPr>
        <w:pStyle w:val="NoSpacing"/>
        <w:rPr>
          <w:rFonts w:ascii="Times New Roman" w:eastAsia="Times New Roman" w:hAnsi="Times New Roman"/>
          <w:b/>
          <w:bCs/>
          <w:sz w:val="24"/>
          <w:szCs w:val="24"/>
        </w:rPr>
      </w:pPr>
      <w:r w:rsidRPr="000A5D76">
        <w:rPr>
          <w:rFonts w:ascii="Times New Roman" w:hAnsi="Times New Roman"/>
          <w:b/>
          <w:bCs/>
          <w:sz w:val="24"/>
          <w:szCs w:val="24"/>
        </w:rPr>
        <w:t xml:space="preserve">Legal Lessons Learned: Given the fact that off duty firefighters are routinely allowed to spend the night at a station, it is hard to understand why the County fought this claim. </w:t>
      </w:r>
    </w:p>
    <w:p w14:paraId="092C001F" w14:textId="77777777" w:rsidR="002147DA" w:rsidRDefault="002147DA" w:rsidP="00EF1133">
      <w:pPr>
        <w:rPr>
          <w:rFonts w:ascii="Arial Black" w:hAnsi="Arial Black"/>
          <w:b/>
          <w:sz w:val="24"/>
          <w:szCs w:val="24"/>
        </w:rPr>
      </w:pPr>
    </w:p>
    <w:p w14:paraId="6D5B2668" w14:textId="0651BF7E" w:rsidR="005F0E6D" w:rsidRDefault="005F0E6D" w:rsidP="00EF1133">
      <w:pPr>
        <w:rPr>
          <w:rFonts w:ascii="Arial Black" w:hAnsi="Arial Black"/>
          <w:b/>
          <w:sz w:val="24"/>
          <w:szCs w:val="24"/>
        </w:rPr>
      </w:pPr>
      <w:r>
        <w:rPr>
          <w:rFonts w:ascii="Arial Black" w:hAnsi="Arial Black"/>
          <w:b/>
          <w:sz w:val="24"/>
          <w:szCs w:val="24"/>
        </w:rPr>
        <w:t>6-37</w:t>
      </w:r>
    </w:p>
    <w:p w14:paraId="7CDDC22B" w14:textId="77777777" w:rsidR="002147DA" w:rsidRPr="00B21DE4" w:rsidRDefault="002147DA" w:rsidP="002147DA">
      <w:pPr>
        <w:pStyle w:val="NoSpacing"/>
        <w:rPr>
          <w:rFonts w:ascii="Arial Black" w:hAnsi="Arial Black"/>
          <w:sz w:val="28"/>
          <w:szCs w:val="28"/>
        </w:rPr>
      </w:pPr>
      <w:r w:rsidRPr="00B21DE4">
        <w:rPr>
          <w:rFonts w:ascii="Arial Black" w:hAnsi="Arial Black"/>
          <w:sz w:val="28"/>
          <w:szCs w:val="28"/>
        </w:rPr>
        <w:t>IL</w:t>
      </w:r>
      <w:r>
        <w:rPr>
          <w:rFonts w:ascii="Arial Black" w:hAnsi="Arial Black"/>
          <w:sz w:val="28"/>
          <w:szCs w:val="28"/>
        </w:rPr>
        <w:t xml:space="preserve">:  VILLAGE RESIDENCY REQ. – FIRED – MARRIED CHICAGO TEACHER, PRIMARY RESIDENCE NOT MOTHER’S HOUSE </w:t>
      </w:r>
    </w:p>
    <w:p w14:paraId="7569A9FB" w14:textId="536481C6" w:rsidR="002147DA" w:rsidRDefault="002147DA" w:rsidP="002147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March 31, 2020, in </w:t>
      </w:r>
      <w:r w:rsidRPr="00B21DE4">
        <w:rPr>
          <w:rFonts w:ascii="Times New Roman" w:hAnsi="Times New Roman"/>
          <w:sz w:val="24"/>
          <w:szCs w:val="24"/>
          <w:u w:val="single"/>
        </w:rPr>
        <w:t>Anthony Figueroa v. The Board of Fire And Police Commissioners Of The Village of Melrose Park, Illinois</w:t>
      </w:r>
      <w:r>
        <w:rPr>
          <w:rFonts w:ascii="Times New Roman" w:hAnsi="Times New Roman"/>
          <w:sz w:val="24"/>
          <w:szCs w:val="24"/>
        </w:rPr>
        <w:t xml:space="preserve">, the Appellate Court of Illinois (First District) held (3 to 0) in unpublished decision, held that the trial judge in Circuit Court properly refused to overturn the Board’s decision to terminate the firefighter’s employment, even though he showed he had part-time residency in his mother’s home in the Village.  The room he used in his mother’s house was also used by his mother. </w:t>
      </w:r>
    </w:p>
    <w:p w14:paraId="35F115CA" w14:textId="71AB0BD3" w:rsidR="002147DA" w:rsidRDefault="002147DA" w:rsidP="002147DA">
      <w:pPr>
        <w:ind w:left="720"/>
        <w:rPr>
          <w:rFonts w:ascii="Arial Black" w:hAnsi="Arial Black"/>
          <w:b/>
          <w:sz w:val="24"/>
          <w:szCs w:val="24"/>
        </w:rPr>
      </w:pPr>
      <w:r>
        <w:rPr>
          <w:rFonts w:ascii="Times New Roman" w:hAnsi="Times New Roman"/>
          <w:sz w:val="24"/>
          <w:szCs w:val="24"/>
        </w:rPr>
        <w:t>“</w:t>
      </w:r>
      <w:r w:rsidRPr="00B21DE4">
        <w:rPr>
          <w:rFonts w:ascii="Times New Roman" w:hAnsi="Times New Roman"/>
          <w:sz w:val="24"/>
          <w:szCs w:val="24"/>
        </w:rPr>
        <w:t xml:space="preserve">Giving the statutory language its plain and ordinary meaning, the Village’s residency requirement clearly and unambiguously </w:t>
      </w:r>
      <w:proofErr w:type="gramStart"/>
      <w:r w:rsidRPr="00B21DE4">
        <w:rPr>
          <w:rFonts w:ascii="Times New Roman" w:hAnsi="Times New Roman"/>
          <w:sz w:val="24"/>
          <w:szCs w:val="24"/>
        </w:rPr>
        <w:t>provided that</w:t>
      </w:r>
      <w:proofErr w:type="gramEnd"/>
      <w:r w:rsidRPr="00B21DE4">
        <w:rPr>
          <w:rFonts w:ascii="Times New Roman" w:hAnsi="Times New Roman"/>
          <w:sz w:val="24"/>
          <w:szCs w:val="24"/>
        </w:rPr>
        <w:t xml:space="preserve"> Figueroa had to live within the boundaries of the Village in a home that was his primary or most important residence throughout his period of employment. Contrary </w:t>
      </w:r>
      <w:r w:rsidRPr="00B21DE4">
        <w:rPr>
          <w:rFonts w:ascii="Times New Roman" w:hAnsi="Times New Roman"/>
          <w:sz w:val="24"/>
          <w:szCs w:val="24"/>
        </w:rPr>
        <w:lastRenderedPageBreak/>
        <w:t>to Figueroa’s argument on appeal, the record establishes that the Board did not erroneously construe the ordinance to mean that he could not have more than one residence.</w:t>
      </w:r>
      <w:r>
        <w:rPr>
          <w:rFonts w:ascii="Times New Roman" w:hAnsi="Times New Roman"/>
          <w:sz w:val="24"/>
          <w:szCs w:val="24"/>
        </w:rPr>
        <w:t xml:space="preserve">”  </w:t>
      </w:r>
      <w:hyperlink r:id="rId1228" w:history="1">
        <w:r w:rsidRPr="00656322">
          <w:rPr>
            <w:rStyle w:val="Hyperlink"/>
            <w:rFonts w:ascii="Times New Roman" w:hAnsi="Times New Roman"/>
            <w:sz w:val="24"/>
            <w:szCs w:val="24"/>
          </w:rPr>
          <w:t>https://courts.illinois.gov/R23_Orders/AppellateCourt/2020/1stDistrict/1181708_R23.pdf</w:t>
        </w:r>
      </w:hyperlink>
    </w:p>
    <w:p w14:paraId="3C2361A7" w14:textId="77777777" w:rsidR="002147DA" w:rsidRPr="00AE3A49" w:rsidRDefault="002147DA" w:rsidP="002147DA">
      <w:pPr>
        <w:tabs>
          <w:tab w:val="left" w:pos="2930"/>
        </w:tabs>
        <w:spacing w:before="100" w:beforeAutospacing="1" w:after="100" w:afterAutospacing="1" w:line="240" w:lineRule="auto"/>
        <w:rPr>
          <w:rFonts w:ascii="Times New Roman" w:hAnsi="Times New Roman"/>
          <w:b/>
          <w:bCs/>
          <w:sz w:val="24"/>
          <w:szCs w:val="24"/>
        </w:rPr>
      </w:pPr>
      <w:r w:rsidRPr="00AE3A49">
        <w:rPr>
          <w:rFonts w:ascii="Times New Roman" w:hAnsi="Times New Roman"/>
          <w:b/>
          <w:bCs/>
          <w:sz w:val="24"/>
          <w:szCs w:val="24"/>
        </w:rPr>
        <w:t xml:space="preserve">Legal Lessons Learned: If the FF had purchased a home, or leased an apartment in the Village, took all his mail there, and kept Fire Chief informed, there may have never been charges brought. </w:t>
      </w:r>
    </w:p>
    <w:p w14:paraId="34660BE6" w14:textId="77777777" w:rsidR="002147DA" w:rsidRPr="00AE3A49" w:rsidRDefault="002147DA" w:rsidP="002147DA">
      <w:pPr>
        <w:pStyle w:val="NoSpacing"/>
        <w:ind w:left="720"/>
        <w:rPr>
          <w:rFonts w:ascii="Times New Roman" w:hAnsi="Times New Roman"/>
          <w:b/>
          <w:bCs/>
          <w:sz w:val="24"/>
          <w:szCs w:val="24"/>
        </w:rPr>
      </w:pPr>
      <w:r w:rsidRPr="00AE3A49">
        <w:rPr>
          <w:rFonts w:ascii="Times New Roman" w:hAnsi="Times New Roman"/>
          <w:bCs/>
          <w:sz w:val="24"/>
          <w:szCs w:val="24"/>
        </w:rPr>
        <w:t xml:space="preserve">Note: Some states, including Ohio, have abolished local residency requirements for emergency responders.  See Ohio Revised Code 9.481, “reside either in the county where the political subdivision is located or in any adjacent county in this state.” </w:t>
      </w:r>
      <w:hyperlink r:id="rId1229" w:history="1">
        <w:r w:rsidRPr="00AE3A49">
          <w:rPr>
            <w:rStyle w:val="Hyperlink"/>
            <w:rFonts w:ascii="Times New Roman" w:hAnsi="Times New Roman"/>
            <w:b/>
            <w:sz w:val="24"/>
            <w:szCs w:val="24"/>
          </w:rPr>
          <w:t>http://codes.ohio.gov/orc/gp9.481</w:t>
        </w:r>
      </w:hyperlink>
      <w:r w:rsidRPr="00AE3A49">
        <w:rPr>
          <w:rFonts w:ascii="Times New Roman" w:hAnsi="Times New Roman"/>
          <w:bCs/>
          <w:sz w:val="24"/>
          <w:szCs w:val="24"/>
        </w:rPr>
        <w:t xml:space="preserve"> </w:t>
      </w:r>
    </w:p>
    <w:p w14:paraId="3263228A" w14:textId="77777777" w:rsidR="005F0E6D" w:rsidRDefault="005F0E6D" w:rsidP="00EF1133">
      <w:pPr>
        <w:rPr>
          <w:rFonts w:ascii="Arial Black" w:hAnsi="Arial Black"/>
          <w:b/>
          <w:sz w:val="24"/>
          <w:szCs w:val="24"/>
        </w:rPr>
      </w:pPr>
    </w:p>
    <w:p w14:paraId="0FECC280" w14:textId="5CDD5718" w:rsidR="007540BD" w:rsidRDefault="007540BD" w:rsidP="00EF1133">
      <w:pPr>
        <w:rPr>
          <w:rFonts w:ascii="Arial Black" w:hAnsi="Arial Black"/>
          <w:b/>
          <w:sz w:val="24"/>
          <w:szCs w:val="24"/>
        </w:rPr>
      </w:pPr>
      <w:r>
        <w:rPr>
          <w:rFonts w:ascii="Arial Black" w:hAnsi="Arial Black"/>
          <w:b/>
          <w:sz w:val="24"/>
          <w:szCs w:val="24"/>
        </w:rPr>
        <w:t>6-36</w:t>
      </w:r>
    </w:p>
    <w:p w14:paraId="5B00557E" w14:textId="77777777" w:rsidR="007540BD" w:rsidRPr="00E81CA1" w:rsidRDefault="007540BD" w:rsidP="007540BD">
      <w:pPr>
        <w:spacing w:before="100" w:beforeAutospacing="1" w:after="100" w:afterAutospacing="1" w:line="240" w:lineRule="auto"/>
        <w:rPr>
          <w:rFonts w:ascii="Arial Black" w:eastAsia="Times New Roman" w:hAnsi="Arial Black"/>
          <w:b/>
          <w:bCs/>
          <w:sz w:val="28"/>
          <w:szCs w:val="28"/>
        </w:rPr>
      </w:pPr>
      <w:r w:rsidRPr="00E81CA1">
        <w:rPr>
          <w:rFonts w:ascii="Arial Black" w:eastAsia="Times New Roman" w:hAnsi="Arial Black"/>
          <w:b/>
          <w:bCs/>
          <w:sz w:val="28"/>
          <w:szCs w:val="28"/>
        </w:rPr>
        <w:t xml:space="preserve">TX: </w:t>
      </w:r>
      <w:r>
        <w:rPr>
          <w:rFonts w:ascii="Arial Black" w:eastAsia="Times New Roman" w:hAnsi="Arial Black"/>
          <w:b/>
          <w:bCs/>
          <w:sz w:val="28"/>
          <w:szCs w:val="28"/>
        </w:rPr>
        <w:t xml:space="preserve"> TESTICULAR CANCER – FF WORKERS COMP – CITY FAILED TO RAISE DEFENSE THAT FF DIDN’T FILE CLAIM WITHIN 1-YEAR </w:t>
      </w:r>
    </w:p>
    <w:p w14:paraId="36DCB9FC" w14:textId="77777777" w:rsidR="007540BD" w:rsidRDefault="007540BD" w:rsidP="007540BD">
      <w:pPr>
        <w:spacing w:before="100" w:beforeAutospacing="1" w:after="100" w:afterAutospacing="1" w:line="240" w:lineRule="auto"/>
        <w:rPr>
          <w:rFonts w:ascii="Times New Roman" w:eastAsia="Times New Roman" w:hAnsi="Times New Roman"/>
          <w:sz w:val="24"/>
          <w:szCs w:val="24"/>
        </w:rPr>
      </w:pPr>
      <w:r w:rsidRPr="009A62F9">
        <w:rPr>
          <w:rFonts w:ascii="Times New Roman" w:eastAsia="Times New Roman" w:hAnsi="Times New Roman"/>
          <w:sz w:val="24"/>
          <w:szCs w:val="24"/>
        </w:rPr>
        <w:t xml:space="preserve">On March 25, 2020, in </w:t>
      </w:r>
      <w:r w:rsidRPr="009A62F9">
        <w:rPr>
          <w:rFonts w:ascii="Times New Roman" w:eastAsia="Times New Roman" w:hAnsi="Times New Roman"/>
          <w:sz w:val="24"/>
          <w:szCs w:val="24"/>
          <w:u w:val="single"/>
        </w:rPr>
        <w:t>City of Dallas v. Gregory D. Thompson</w:t>
      </w:r>
      <w:r>
        <w:rPr>
          <w:rFonts w:ascii="Times New Roman" w:eastAsia="Times New Roman" w:hAnsi="Times New Roman"/>
          <w:sz w:val="24"/>
          <w:szCs w:val="24"/>
        </w:rPr>
        <w:t xml:space="preserve">, the Court of Appeals, Twelfth Court of Appeals District, Tyler, Texas held (3 to 0) that the firefighter is entitled to workers compensation coverage for his cancer. </w:t>
      </w:r>
    </w:p>
    <w:p w14:paraId="4CD7D203" w14:textId="77777777"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“The record supports the ALJ’s determination that Dallas did not raise its defense regarding Thompson’s failure to file a claim within one year of his injury within a reasonable amount of time after it became </w:t>
      </w:r>
    </w:p>
    <w:p w14:paraId="0EA09249" w14:textId="77777777" w:rsidR="007540BD" w:rsidRDefault="007540BD" w:rsidP="007540BD">
      <w:pPr>
        <w:pStyle w:val="NoSpacing"/>
        <w:rPr>
          <w:rFonts w:ascii="Times New Roman" w:hAnsi="Times New Roman"/>
          <w:bCs/>
          <w:sz w:val="24"/>
          <w:szCs w:val="24"/>
        </w:rPr>
      </w:pPr>
    </w:p>
    <w:p w14:paraId="4118C227" w14:textId="77777777" w:rsidR="007540BD" w:rsidRDefault="007540BD" w:rsidP="007540BD">
      <w:pPr>
        <w:pStyle w:val="NoSpacing"/>
        <w:rPr>
          <w:rFonts w:ascii="Times New Roman" w:hAnsi="Times New Roman"/>
          <w:bCs/>
          <w:sz w:val="24"/>
          <w:szCs w:val="24"/>
        </w:rPr>
      </w:pPr>
    </w:p>
    <w:p w14:paraId="6DDD1E84" w14:textId="77777777"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available. Therefore, Thompson showed as a matter of law that Dallas waived its one-year defense. Accordingly, the trial court did not err in denying Dallas’s motion for summary judgment and granting </w:t>
      </w:r>
    </w:p>
    <w:p w14:paraId="56E8B1AD" w14:textId="77777777" w:rsidR="007540BD" w:rsidRPr="007C7258" w:rsidRDefault="007540BD" w:rsidP="007540BD">
      <w:pPr>
        <w:pStyle w:val="NoSpacing"/>
        <w:ind w:left="720"/>
        <w:rPr>
          <w:rFonts w:ascii="Times New Roman" w:eastAsia="Times New Roman" w:hAnsi="Times New Roman"/>
          <w:b/>
          <w:bCs/>
          <w:sz w:val="24"/>
          <w:szCs w:val="24"/>
        </w:rPr>
      </w:pPr>
      <w:r w:rsidRPr="007C7258">
        <w:rPr>
          <w:rFonts w:ascii="Times New Roman" w:hAnsi="Times New Roman"/>
          <w:bCs/>
          <w:sz w:val="24"/>
          <w:szCs w:val="24"/>
        </w:rPr>
        <w:t xml:space="preserve">Thompson’s cross-motion for summary judgment.” </w:t>
      </w:r>
      <w:hyperlink r:id="rId1230" w:history="1">
        <w:r w:rsidRPr="007C7258">
          <w:rPr>
            <w:rStyle w:val="Hyperlink"/>
            <w:rFonts w:ascii="Times New Roman" w:hAnsi="Times New Roman"/>
            <w:b/>
            <w:sz w:val="24"/>
            <w:szCs w:val="24"/>
          </w:rPr>
          <w:t>http://www.search.txcourts.gov/SearchMedia.aspx?MediaVersionID=0d5f8f8d-dca0-42cf-9f3d-0b9f0ec4a868&amp;coa=coa12&amp;DT=Opinion&amp;MediaID=3cca35a6-dea2-4898-8844-a6d0a0f59f70</w:t>
        </w:r>
      </w:hyperlink>
    </w:p>
    <w:p w14:paraId="37F52047" w14:textId="77777777" w:rsidR="007540BD" w:rsidRPr="007C7258" w:rsidRDefault="007540BD" w:rsidP="007540BD">
      <w:pPr>
        <w:pStyle w:val="NoSpacing"/>
        <w:rPr>
          <w:rFonts w:ascii="Times New Roman" w:hAnsi="Times New Roman"/>
          <w:b/>
          <w:bCs/>
          <w:sz w:val="24"/>
          <w:szCs w:val="24"/>
        </w:rPr>
      </w:pPr>
    </w:p>
    <w:p w14:paraId="218A7C68" w14:textId="334F6FB2" w:rsidR="007540BD" w:rsidRDefault="007540BD" w:rsidP="00EF1133">
      <w:pPr>
        <w:rPr>
          <w:rFonts w:ascii="Arial Black" w:hAnsi="Arial Black"/>
          <w:b/>
          <w:sz w:val="24"/>
          <w:szCs w:val="24"/>
        </w:rPr>
      </w:pPr>
      <w:r w:rsidRPr="007C7258">
        <w:rPr>
          <w:rFonts w:ascii="Times New Roman" w:hAnsi="Times New Roman"/>
          <w:b/>
          <w:bCs/>
          <w:sz w:val="24"/>
          <w:szCs w:val="24"/>
        </w:rPr>
        <w:t>Legal Lessons Learned:  Many states have now enacted a “statutory presumption” regarding firefighter cancer</w:t>
      </w:r>
      <w:r w:rsidRPr="007C7258">
        <w:rPr>
          <w:rFonts w:ascii="Times New Roman" w:hAnsi="Times New Roman"/>
          <w:sz w:val="24"/>
          <w:szCs w:val="24"/>
        </w:rPr>
        <w:t xml:space="preserve">.  </w:t>
      </w:r>
      <w:r w:rsidRPr="007C7258">
        <w:rPr>
          <w:rFonts w:ascii="Times New Roman" w:hAnsi="Times New Roman"/>
          <w:bCs/>
          <w:sz w:val="24"/>
          <w:szCs w:val="24"/>
        </w:rPr>
        <w:t xml:space="preserve">See list of 33 states with statutory presumption statutes: </w:t>
      </w:r>
      <w:hyperlink r:id="rId1231" w:history="1">
        <w:r w:rsidRPr="007C7258">
          <w:rPr>
            <w:rStyle w:val="Hyperlink"/>
            <w:rFonts w:ascii="Times New Roman" w:hAnsi="Times New Roman"/>
            <w:b/>
            <w:sz w:val="24"/>
            <w:szCs w:val="24"/>
          </w:rPr>
          <w:t>https://www.firstrespondercenter.org/cancer/toolsresources/presumptive-legislation-firefighter-cancer-state/</w:t>
        </w:r>
      </w:hyperlink>
    </w:p>
    <w:p w14:paraId="3645B285" w14:textId="77777777" w:rsidR="007540BD" w:rsidRDefault="007540BD" w:rsidP="00A06387">
      <w:pPr>
        <w:pStyle w:val="NoSpacing"/>
        <w:rPr>
          <w:rFonts w:ascii="Arial Black" w:hAnsi="Arial Black"/>
          <w:sz w:val="28"/>
          <w:szCs w:val="28"/>
        </w:rPr>
      </w:pPr>
    </w:p>
    <w:p w14:paraId="39FFD0B3" w14:textId="0880F60A" w:rsidR="007540BD" w:rsidRDefault="007540BD" w:rsidP="00A06387">
      <w:pPr>
        <w:pStyle w:val="NoSpacing"/>
        <w:rPr>
          <w:rFonts w:ascii="Arial Black" w:hAnsi="Arial Black"/>
          <w:sz w:val="28"/>
          <w:szCs w:val="28"/>
        </w:rPr>
      </w:pPr>
      <w:r>
        <w:rPr>
          <w:rFonts w:ascii="Arial Black" w:hAnsi="Arial Black"/>
          <w:sz w:val="28"/>
          <w:szCs w:val="28"/>
        </w:rPr>
        <w:t>6-35</w:t>
      </w:r>
    </w:p>
    <w:p w14:paraId="566B8DA9" w14:textId="772676CA" w:rsidR="007540BD" w:rsidRDefault="007540BD" w:rsidP="00A06387">
      <w:pPr>
        <w:pStyle w:val="NoSpacing"/>
        <w:rPr>
          <w:rFonts w:ascii="Arial Black" w:hAnsi="Arial Black"/>
          <w:sz w:val="28"/>
          <w:szCs w:val="28"/>
        </w:rPr>
      </w:pPr>
    </w:p>
    <w:p w14:paraId="2ABB613A" w14:textId="77777777" w:rsidR="007540BD" w:rsidRPr="001456AA" w:rsidRDefault="007540BD" w:rsidP="007540BD">
      <w:pPr>
        <w:pStyle w:val="NoSpacing"/>
        <w:rPr>
          <w:rFonts w:ascii="Arial Black" w:hAnsi="Arial Black"/>
          <w:sz w:val="28"/>
          <w:szCs w:val="28"/>
        </w:rPr>
      </w:pPr>
      <w:r w:rsidRPr="001456AA">
        <w:rPr>
          <w:rFonts w:ascii="Arial Black" w:hAnsi="Arial Black"/>
          <w:sz w:val="28"/>
          <w:szCs w:val="28"/>
        </w:rPr>
        <w:t xml:space="preserve">IL: </w:t>
      </w:r>
      <w:r>
        <w:rPr>
          <w:rFonts w:ascii="Arial Black" w:hAnsi="Arial Black"/>
          <w:sz w:val="28"/>
          <w:szCs w:val="28"/>
        </w:rPr>
        <w:t>MANDATORY RETIREMENT FOR CHICAGO FF – AGE 63 – FF’S AGE DISCRIMINATION CASE DISMISSED</w:t>
      </w:r>
    </w:p>
    <w:p w14:paraId="718DBCBE" w14:textId="77777777" w:rsidR="007540BD" w:rsidRDefault="007540BD" w:rsidP="007540BD">
      <w:pPr>
        <w:pStyle w:val="NoSpacing"/>
      </w:pPr>
    </w:p>
    <w:p w14:paraId="658EBA95" w14:textId="77777777" w:rsidR="007540BD" w:rsidRPr="00E32D40" w:rsidRDefault="007540BD" w:rsidP="007540BD">
      <w:pPr>
        <w:pStyle w:val="NoSpacing"/>
        <w:rPr>
          <w:rFonts w:ascii="Times New Roman" w:hAnsi="Times New Roman"/>
          <w:b/>
          <w:bCs/>
          <w:sz w:val="24"/>
          <w:szCs w:val="24"/>
        </w:rPr>
      </w:pPr>
      <w:r w:rsidRPr="00E32D40">
        <w:rPr>
          <w:rFonts w:ascii="Times New Roman" w:hAnsi="Times New Roman"/>
          <w:bCs/>
          <w:sz w:val="24"/>
          <w:szCs w:val="24"/>
        </w:rPr>
        <w:t xml:space="preserve">On March 25, 2020, in </w:t>
      </w:r>
      <w:r w:rsidRPr="00E32D40">
        <w:rPr>
          <w:rFonts w:ascii="Times New Roman" w:hAnsi="Times New Roman"/>
          <w:bCs/>
          <w:sz w:val="24"/>
          <w:szCs w:val="24"/>
          <w:u w:val="single"/>
        </w:rPr>
        <w:t>Gerald Barry v. City of Chicago</w:t>
      </w:r>
      <w:r w:rsidRPr="00E32D40">
        <w:rPr>
          <w:rFonts w:ascii="Times New Roman" w:hAnsi="Times New Roman"/>
          <w:bCs/>
          <w:sz w:val="24"/>
          <w:szCs w:val="24"/>
        </w:rPr>
        <w:t xml:space="preserve">, U.S. District Court Judge John Robert Blakey, U.S. District Court for the Northern District of Illinois, Eastern Division, granted the City’s motion to dismiss.  This is his fourth amended complaint; the first three were dismissed because he failed to file an EEOC complaint within 300 days of the alleged discriminatory events.   </w:t>
      </w:r>
    </w:p>
    <w:p w14:paraId="2F98E62F" w14:textId="77777777" w:rsidR="007540BD" w:rsidRDefault="007540BD" w:rsidP="007540BD">
      <w:pPr>
        <w:pStyle w:val="NoSpacing"/>
        <w:rPr>
          <w:b/>
          <w:bCs/>
          <w:sz w:val="24"/>
          <w:szCs w:val="24"/>
        </w:rPr>
      </w:pPr>
    </w:p>
    <w:p w14:paraId="17C35CD0"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lastRenderedPageBreak/>
        <w:t>“Consistent with this new allegation, the operative complaint alleges that, on April 1, 2018, Plaintiff ‘lost the health care coverage that he had from the City of Chicago, resulting in a significant diminishment of his benefits.’ [39] at 5. He alleges that the loss of health care benefits is ‘consequential to the misapplication of the Mandatory Retirement Ordinance’ and that the City's decision to take away his health care coverage violates his rights under the ‘Lilly Ledbetter amendment to the Equal Pay Act.’</w:t>
      </w:r>
    </w:p>
    <w:p w14:paraId="3CCC52D5" w14:textId="77777777" w:rsidR="007540BD" w:rsidRPr="007C7258" w:rsidRDefault="007540BD" w:rsidP="007540BD">
      <w:pPr>
        <w:pStyle w:val="NoSpacing"/>
        <w:ind w:left="720"/>
        <w:rPr>
          <w:rFonts w:ascii="Times New Roman" w:hAnsi="Times New Roman"/>
          <w:b/>
          <w:bCs/>
          <w:sz w:val="24"/>
          <w:szCs w:val="24"/>
        </w:rPr>
      </w:pPr>
    </w:p>
    <w:p w14:paraId="059282DC"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w:t>
      </w:r>
    </w:p>
    <w:p w14:paraId="60B2DE5A" w14:textId="77777777" w:rsidR="007540BD" w:rsidRPr="007C7258" w:rsidRDefault="007540BD" w:rsidP="007540BD">
      <w:pPr>
        <w:pStyle w:val="NoSpacing"/>
        <w:ind w:left="720"/>
        <w:rPr>
          <w:rFonts w:ascii="Times New Roman" w:hAnsi="Times New Roman"/>
          <w:b/>
          <w:bCs/>
          <w:sz w:val="24"/>
          <w:szCs w:val="24"/>
        </w:rPr>
      </w:pPr>
    </w:p>
    <w:p w14:paraId="490917E2"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Thus, to state a claim under the ADEA, Plaintiff must at least allege that age was the reason for the challenged adverse employment action. </w:t>
      </w:r>
      <w:r w:rsidRPr="007C7258">
        <w:rPr>
          <w:rFonts w:ascii="Times New Roman" w:hAnsi="Times New Roman"/>
          <w:bCs/>
          <w:i/>
          <w:iCs/>
          <w:sz w:val="24"/>
          <w:szCs w:val="24"/>
        </w:rPr>
        <w:t>E</w:t>
      </w:r>
      <w:r w:rsidRPr="007C7258">
        <w:rPr>
          <w:rFonts w:ascii="Times New Roman" w:hAnsi="Times New Roman"/>
          <w:bCs/>
          <w:sz w:val="24"/>
          <w:szCs w:val="24"/>
        </w:rPr>
        <w:t>.</w:t>
      </w:r>
      <w:r w:rsidRPr="007C7258">
        <w:rPr>
          <w:rFonts w:ascii="Times New Roman" w:hAnsi="Times New Roman"/>
          <w:bCs/>
          <w:i/>
          <w:iCs/>
          <w:sz w:val="24"/>
          <w:szCs w:val="24"/>
        </w:rPr>
        <w:t>g</w:t>
      </w:r>
      <w:r w:rsidRPr="007C7258">
        <w:rPr>
          <w:rFonts w:ascii="Times New Roman" w:hAnsi="Times New Roman"/>
          <w:bCs/>
          <w:sz w:val="24"/>
          <w:szCs w:val="24"/>
        </w:rPr>
        <w:t xml:space="preserve">., </w:t>
      </w:r>
      <w:r w:rsidRPr="007C7258">
        <w:rPr>
          <w:rFonts w:ascii="Times New Roman" w:hAnsi="Times New Roman"/>
          <w:bCs/>
          <w:i/>
          <w:iCs/>
          <w:sz w:val="24"/>
          <w:szCs w:val="24"/>
        </w:rPr>
        <w:t>Gross v</w:t>
      </w:r>
      <w:r w:rsidRPr="007C7258">
        <w:rPr>
          <w:rFonts w:ascii="Times New Roman" w:hAnsi="Times New Roman"/>
          <w:bCs/>
          <w:sz w:val="24"/>
          <w:szCs w:val="24"/>
        </w:rPr>
        <w:t xml:space="preserve">. </w:t>
      </w:r>
      <w:r w:rsidRPr="007C7258">
        <w:rPr>
          <w:rFonts w:ascii="Times New Roman" w:hAnsi="Times New Roman"/>
          <w:bCs/>
          <w:i/>
          <w:iCs/>
          <w:sz w:val="24"/>
          <w:szCs w:val="24"/>
        </w:rPr>
        <w:t>FBL Fin</w:t>
      </w:r>
      <w:r w:rsidRPr="007C7258">
        <w:rPr>
          <w:rFonts w:ascii="Times New Roman" w:hAnsi="Times New Roman"/>
          <w:bCs/>
          <w:sz w:val="24"/>
          <w:szCs w:val="24"/>
        </w:rPr>
        <w:t xml:space="preserve">. </w:t>
      </w:r>
      <w:r w:rsidRPr="007C7258">
        <w:rPr>
          <w:rFonts w:ascii="Times New Roman" w:hAnsi="Times New Roman"/>
          <w:bCs/>
          <w:i/>
          <w:iCs/>
          <w:sz w:val="24"/>
          <w:szCs w:val="24"/>
        </w:rPr>
        <w:t>Servs</w:t>
      </w:r>
      <w:r w:rsidRPr="007C7258">
        <w:rPr>
          <w:rFonts w:ascii="Times New Roman" w:hAnsi="Times New Roman"/>
          <w:bCs/>
          <w:sz w:val="24"/>
          <w:szCs w:val="24"/>
        </w:rPr>
        <w:t xml:space="preserve">., </w:t>
      </w:r>
      <w:r w:rsidRPr="007C7258">
        <w:rPr>
          <w:rFonts w:ascii="Times New Roman" w:hAnsi="Times New Roman"/>
          <w:bCs/>
          <w:i/>
          <w:iCs/>
          <w:sz w:val="24"/>
          <w:szCs w:val="24"/>
        </w:rPr>
        <w:t>Inc</w:t>
      </w:r>
      <w:r w:rsidRPr="007C7258">
        <w:rPr>
          <w:rFonts w:ascii="Times New Roman" w:hAnsi="Times New Roman"/>
          <w:bCs/>
          <w:sz w:val="24"/>
          <w:szCs w:val="24"/>
        </w:rPr>
        <w:t xml:space="preserve">., 557 U.S. 167, 180 (2009). And such an allegation is wholly absent here. Plaintiff checked the box marked ‘age’ on the Court's form employment discrimination complaint, </w:t>
      </w:r>
      <w:r w:rsidRPr="007C7258">
        <w:rPr>
          <w:rFonts w:ascii="Times New Roman" w:hAnsi="Times New Roman"/>
          <w:bCs/>
          <w:i/>
          <w:iCs/>
          <w:sz w:val="24"/>
          <w:szCs w:val="24"/>
        </w:rPr>
        <w:t>see</w:t>
      </w:r>
      <w:r w:rsidRPr="007C7258">
        <w:rPr>
          <w:rFonts w:ascii="Times New Roman" w:hAnsi="Times New Roman"/>
          <w:bCs/>
          <w:sz w:val="24"/>
          <w:szCs w:val="24"/>
        </w:rPr>
        <w:t xml:space="preserve"> [39] at 3; Case No. 19 C 2275, [1] at 3, but he fails to allege any facts to support an age discrimination claim. He alleges that the loss of health care coverage ‘was a violation of his rights under the Lilly Ledbetter amendment to the Equal Pay Act,’ [39] at 5; [1] at 5, but he does not say why or how. He alleges that the loss of health care: resulted ‘from the discriminatory mandatory retirement on April 16, 2016’; was ‘consequential to the misapplication of the Mandatory Retirement Ordinance’; and was part of a "continual effort of discrimination." [39] at 5; [1] at 5. But he never explains why the forced retirement constituted </w:t>
      </w:r>
      <w:proofErr w:type="gramStart"/>
      <w:r w:rsidRPr="007C7258">
        <w:rPr>
          <w:rFonts w:ascii="Times New Roman" w:hAnsi="Times New Roman"/>
          <w:bCs/>
          <w:sz w:val="24"/>
          <w:szCs w:val="24"/>
        </w:rPr>
        <w:t>a discriminatory</w:t>
      </w:r>
      <w:proofErr w:type="gramEnd"/>
      <w:r w:rsidRPr="007C7258">
        <w:rPr>
          <w:rFonts w:ascii="Times New Roman" w:hAnsi="Times New Roman"/>
          <w:bCs/>
          <w:sz w:val="24"/>
          <w:szCs w:val="24"/>
        </w:rPr>
        <w:t xml:space="preserve"> action or how the </w:t>
      </w:r>
      <w:proofErr w:type="gramStart"/>
      <w:r w:rsidRPr="007C7258">
        <w:rPr>
          <w:rFonts w:ascii="Times New Roman" w:hAnsi="Times New Roman"/>
          <w:bCs/>
          <w:sz w:val="24"/>
          <w:szCs w:val="24"/>
        </w:rPr>
        <w:t>City</w:t>
      </w:r>
      <w:proofErr w:type="gramEnd"/>
      <w:r w:rsidRPr="007C7258">
        <w:rPr>
          <w:rFonts w:ascii="Times New Roman" w:hAnsi="Times New Roman"/>
          <w:bCs/>
          <w:sz w:val="24"/>
          <w:szCs w:val="24"/>
        </w:rPr>
        <w:t xml:space="preserve"> misapplied the MRO.</w:t>
      </w:r>
    </w:p>
    <w:p w14:paraId="7CE6163C" w14:textId="77777777" w:rsidR="007540BD" w:rsidRPr="007C7258" w:rsidRDefault="007540BD" w:rsidP="007540BD">
      <w:pPr>
        <w:pStyle w:val="NoSpacing"/>
        <w:ind w:left="720"/>
        <w:rPr>
          <w:rFonts w:ascii="Times New Roman" w:hAnsi="Times New Roman"/>
          <w:b/>
          <w:bCs/>
          <w:sz w:val="24"/>
          <w:szCs w:val="24"/>
        </w:rPr>
      </w:pPr>
      <w:hyperlink r:id="rId1232" w:history="1">
        <w:r w:rsidRPr="007C7258">
          <w:rPr>
            <w:rStyle w:val="Hyperlink"/>
            <w:rFonts w:ascii="Times New Roman" w:hAnsi="Times New Roman"/>
            <w:b/>
            <w:sz w:val="24"/>
            <w:szCs w:val="24"/>
          </w:rPr>
          <w:t>https://public.fastcase.com/Wl%2B2t%2BeVuI35%2FN70vAMFZqIZGQiBixrRs%2FhIZFdJSEICCexWSoup5Rgc2fSfyUDA</w:t>
        </w:r>
      </w:hyperlink>
      <w:r w:rsidRPr="007C7258">
        <w:rPr>
          <w:rFonts w:ascii="Times New Roman" w:hAnsi="Times New Roman"/>
          <w:bCs/>
          <w:sz w:val="24"/>
          <w:szCs w:val="24"/>
        </w:rPr>
        <w:t xml:space="preserve"> </w:t>
      </w:r>
    </w:p>
    <w:p w14:paraId="21EFF389" w14:textId="77777777" w:rsidR="007540BD" w:rsidRPr="007C7258" w:rsidRDefault="007540BD" w:rsidP="007540BD">
      <w:pPr>
        <w:pStyle w:val="NoSpacing"/>
        <w:ind w:left="720"/>
        <w:rPr>
          <w:rFonts w:ascii="Times New Roman" w:hAnsi="Times New Roman"/>
          <w:b/>
          <w:bCs/>
          <w:sz w:val="24"/>
          <w:szCs w:val="24"/>
        </w:rPr>
      </w:pPr>
    </w:p>
    <w:p w14:paraId="0D5E8C70"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Note: “As of December 31, 2000, the CFD’s compulsory retirement age is 63 for firefighters. There is no current compulsory retirement age for paramedics.” </w:t>
      </w:r>
      <w:hyperlink r:id="rId1233" w:history="1">
        <w:r w:rsidRPr="007C7258">
          <w:rPr>
            <w:rStyle w:val="Hyperlink"/>
            <w:rFonts w:ascii="Times New Roman" w:hAnsi="Times New Roman"/>
            <w:b/>
            <w:sz w:val="24"/>
            <w:szCs w:val="24"/>
          </w:rPr>
          <w:t>https://www.fabf.org/PDF/SummaryOfBenefits.pdf</w:t>
        </w:r>
      </w:hyperlink>
    </w:p>
    <w:p w14:paraId="7F3E6AF7" w14:textId="77777777" w:rsidR="007540BD" w:rsidRPr="007C7258" w:rsidRDefault="007540BD" w:rsidP="007540BD">
      <w:pPr>
        <w:pStyle w:val="NoSpacing"/>
        <w:ind w:left="720"/>
        <w:rPr>
          <w:rFonts w:ascii="Times New Roman" w:hAnsi="Times New Roman"/>
          <w:b/>
          <w:bCs/>
          <w:sz w:val="24"/>
          <w:szCs w:val="24"/>
        </w:rPr>
      </w:pPr>
    </w:p>
    <w:p w14:paraId="7D3E9A7A"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
          <w:bCs/>
          <w:sz w:val="24"/>
          <w:szCs w:val="24"/>
        </w:rPr>
        <w:t xml:space="preserve">Legal Lessons Learned: </w:t>
      </w:r>
      <w:r>
        <w:rPr>
          <w:rFonts w:ascii="Times New Roman" w:hAnsi="Times New Roman"/>
          <w:b/>
          <w:bCs/>
          <w:sz w:val="24"/>
          <w:szCs w:val="24"/>
        </w:rPr>
        <w:t xml:space="preserve">A city ordinance mandating a </w:t>
      </w:r>
      <w:r w:rsidRPr="007C7258">
        <w:rPr>
          <w:rFonts w:ascii="Times New Roman" w:hAnsi="Times New Roman"/>
          <w:b/>
          <w:bCs/>
          <w:sz w:val="24"/>
          <w:szCs w:val="24"/>
        </w:rPr>
        <w:t xml:space="preserve">retirement age for firefighters does not violate the Age Discrimination in Employment Act of 1967, or the </w:t>
      </w:r>
      <w:r w:rsidRPr="007C7258">
        <w:rPr>
          <w:rFonts w:ascii="Times New Roman" w:eastAsia="Times New Roman" w:hAnsi="Times New Roman"/>
          <w:b/>
          <w:bCs/>
          <w:sz w:val="24"/>
          <w:szCs w:val="24"/>
        </w:rPr>
        <w:t>Lilly Ledbetter Fair Pay Act of 2009.</w:t>
      </w:r>
    </w:p>
    <w:p w14:paraId="19A820E4" w14:textId="77777777" w:rsidR="007540BD" w:rsidRDefault="007540BD" w:rsidP="00A06387">
      <w:pPr>
        <w:pStyle w:val="NoSpacing"/>
        <w:rPr>
          <w:rFonts w:ascii="Arial Black" w:hAnsi="Arial Black"/>
          <w:sz w:val="28"/>
          <w:szCs w:val="28"/>
        </w:rPr>
      </w:pPr>
    </w:p>
    <w:p w14:paraId="72A3C127" w14:textId="77777777" w:rsidR="007540BD" w:rsidRDefault="007540BD" w:rsidP="00A06387">
      <w:pPr>
        <w:pStyle w:val="NoSpacing"/>
        <w:rPr>
          <w:rFonts w:ascii="Arial Black" w:hAnsi="Arial Black"/>
          <w:sz w:val="28"/>
          <w:szCs w:val="28"/>
        </w:rPr>
      </w:pPr>
    </w:p>
    <w:p w14:paraId="2432ADEA" w14:textId="77777777" w:rsidR="007540BD" w:rsidRDefault="007540BD" w:rsidP="00A06387">
      <w:pPr>
        <w:pStyle w:val="NoSpacing"/>
        <w:rPr>
          <w:rFonts w:ascii="Arial Black" w:hAnsi="Arial Black"/>
          <w:sz w:val="28"/>
          <w:szCs w:val="28"/>
        </w:rPr>
      </w:pPr>
    </w:p>
    <w:p w14:paraId="33A2F0A2" w14:textId="0F35F633" w:rsidR="007540BD" w:rsidRDefault="007540BD" w:rsidP="00A06387">
      <w:pPr>
        <w:pStyle w:val="NoSpacing"/>
        <w:rPr>
          <w:rFonts w:ascii="Arial Black" w:hAnsi="Arial Black"/>
          <w:sz w:val="28"/>
          <w:szCs w:val="28"/>
        </w:rPr>
      </w:pPr>
      <w:r>
        <w:rPr>
          <w:rFonts w:ascii="Arial Black" w:hAnsi="Arial Black"/>
          <w:sz w:val="28"/>
          <w:szCs w:val="28"/>
        </w:rPr>
        <w:t>6-34</w:t>
      </w:r>
    </w:p>
    <w:p w14:paraId="7BC4ED62" w14:textId="4CD3CFB2" w:rsidR="007540BD" w:rsidRDefault="007540BD" w:rsidP="00A06387">
      <w:pPr>
        <w:pStyle w:val="NoSpacing"/>
        <w:rPr>
          <w:rFonts w:ascii="Arial Black" w:hAnsi="Arial Black"/>
          <w:sz w:val="28"/>
          <w:szCs w:val="28"/>
        </w:rPr>
      </w:pPr>
    </w:p>
    <w:p w14:paraId="7C603A6D" w14:textId="77777777" w:rsidR="007540BD" w:rsidRPr="00651DAF" w:rsidRDefault="007540BD" w:rsidP="007540BD">
      <w:pPr>
        <w:pStyle w:val="NoSpacing"/>
        <w:rPr>
          <w:rFonts w:ascii="Arial Black" w:hAnsi="Arial Black"/>
          <w:b/>
          <w:bCs/>
          <w:sz w:val="28"/>
          <w:szCs w:val="28"/>
        </w:rPr>
      </w:pPr>
      <w:r w:rsidRPr="00651DAF">
        <w:rPr>
          <w:rFonts w:ascii="Arial Black" w:hAnsi="Arial Black"/>
          <w:bCs/>
          <w:sz w:val="28"/>
          <w:szCs w:val="28"/>
        </w:rPr>
        <w:t xml:space="preserve">CT: </w:t>
      </w:r>
      <w:r>
        <w:rPr>
          <w:rFonts w:ascii="Arial Black" w:hAnsi="Arial Black"/>
          <w:bCs/>
          <w:sz w:val="28"/>
          <w:szCs w:val="28"/>
        </w:rPr>
        <w:t xml:space="preserve">RETIRED FF – WORKER’S COMP FOR HYPERTENSION – NOW CORONARY ARTERY DISEASE IS ALSO COVERED </w:t>
      </w:r>
    </w:p>
    <w:p w14:paraId="12AE5452" w14:textId="77777777" w:rsidR="007540BD" w:rsidRDefault="007540BD" w:rsidP="007540BD">
      <w:pPr>
        <w:pStyle w:val="NoSpacing"/>
        <w:rPr>
          <w:b/>
          <w:bCs/>
          <w:sz w:val="24"/>
          <w:szCs w:val="24"/>
        </w:rPr>
      </w:pPr>
    </w:p>
    <w:p w14:paraId="44E596D8" w14:textId="77777777" w:rsidR="007540BD" w:rsidRPr="00E0273B" w:rsidRDefault="007540BD" w:rsidP="007540BD">
      <w:pPr>
        <w:pStyle w:val="NoSpacing"/>
        <w:rPr>
          <w:rFonts w:ascii="Times New Roman" w:hAnsi="Times New Roman"/>
          <w:b/>
          <w:bCs/>
          <w:sz w:val="24"/>
          <w:szCs w:val="24"/>
        </w:rPr>
      </w:pPr>
      <w:r w:rsidRPr="00E0273B">
        <w:rPr>
          <w:rFonts w:ascii="Times New Roman" w:hAnsi="Times New Roman"/>
          <w:bCs/>
          <w:sz w:val="24"/>
          <w:szCs w:val="24"/>
        </w:rPr>
        <w:t xml:space="preserve">On March 10, 2020, in </w:t>
      </w:r>
      <w:r w:rsidRPr="00E0273B">
        <w:rPr>
          <w:rFonts w:ascii="Times New Roman" w:hAnsi="Times New Roman"/>
          <w:bCs/>
          <w:sz w:val="24"/>
          <w:szCs w:val="24"/>
          <w:u w:val="single"/>
        </w:rPr>
        <w:t>John Coughlin v. Stamford Fire Department, et al</w:t>
      </w:r>
      <w:r w:rsidRPr="00E0273B">
        <w:rPr>
          <w:rFonts w:ascii="Times New Roman" w:hAnsi="Times New Roman"/>
          <w:bCs/>
          <w:sz w:val="24"/>
          <w:szCs w:val="24"/>
        </w:rPr>
        <w:t xml:space="preserve">., the Supreme Court of Connecticut held (7 to 0) that a firefighter who had a compensable </w:t>
      </w:r>
      <w:proofErr w:type="gramStart"/>
      <w:r w:rsidRPr="00E0273B">
        <w:rPr>
          <w:rFonts w:ascii="Times New Roman" w:hAnsi="Times New Roman"/>
          <w:bCs/>
          <w:sz w:val="24"/>
          <w:szCs w:val="24"/>
        </w:rPr>
        <w:t>workers</w:t>
      </w:r>
      <w:proofErr w:type="gramEnd"/>
      <w:r w:rsidRPr="00E0273B">
        <w:rPr>
          <w:rFonts w:ascii="Times New Roman" w:hAnsi="Times New Roman"/>
          <w:bCs/>
          <w:sz w:val="24"/>
          <w:szCs w:val="24"/>
        </w:rPr>
        <w:t xml:space="preserve"> comp claim approved in 2011, and retired in 2013, is also covered for heart disease detected after his retirement. </w:t>
      </w:r>
    </w:p>
    <w:p w14:paraId="36D8BA21" w14:textId="77777777" w:rsidR="007540BD" w:rsidRDefault="007540BD" w:rsidP="007540BD">
      <w:pPr>
        <w:pStyle w:val="NoSpacing"/>
        <w:rPr>
          <w:b/>
          <w:bCs/>
          <w:sz w:val="24"/>
          <w:szCs w:val="24"/>
        </w:rPr>
      </w:pPr>
    </w:p>
    <w:p w14:paraId="56277D7C" w14:textId="43100AFC"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“The plaintiff responds that his heart disease claim was timely because it flowed from his compensable claim for hypertension, and neither a plain reading of § 7-433c nor this court’s interpretation of that statute requires</w:t>
      </w:r>
    </w:p>
    <w:p w14:paraId="4405D616" w14:textId="77777777"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hypertension and heart disease to be treated as separate diseases when they are causally related. We agree with the plaintiff and, accordingly, affirm the decision of the board. </w:t>
      </w:r>
    </w:p>
    <w:p w14:paraId="2EF2F43E" w14:textId="77777777" w:rsidR="007540BD" w:rsidRDefault="007540BD" w:rsidP="007540BD">
      <w:pPr>
        <w:pStyle w:val="NoSpacing"/>
        <w:ind w:firstLine="720"/>
        <w:rPr>
          <w:rFonts w:ascii="Times New Roman" w:hAnsi="Times New Roman"/>
          <w:bCs/>
          <w:sz w:val="24"/>
          <w:szCs w:val="24"/>
        </w:rPr>
      </w:pPr>
    </w:p>
    <w:p w14:paraId="3990B7BB" w14:textId="77777777" w:rsidR="007540BD" w:rsidRPr="007C7258" w:rsidRDefault="007540BD" w:rsidP="007540BD">
      <w:pPr>
        <w:pStyle w:val="NoSpacing"/>
        <w:ind w:firstLine="720"/>
        <w:rPr>
          <w:rFonts w:ascii="Times New Roman" w:hAnsi="Times New Roman"/>
          <w:b/>
          <w:bCs/>
          <w:sz w:val="24"/>
          <w:szCs w:val="24"/>
        </w:rPr>
      </w:pPr>
      <w:r w:rsidRPr="007C7258">
        <w:rPr>
          <w:rFonts w:ascii="Times New Roman" w:hAnsi="Times New Roman"/>
          <w:bCs/>
          <w:sz w:val="24"/>
          <w:szCs w:val="24"/>
        </w:rPr>
        <w:t>***</w:t>
      </w:r>
    </w:p>
    <w:p w14:paraId="7FE5462A" w14:textId="77777777" w:rsidR="007540BD" w:rsidRPr="007C7258" w:rsidRDefault="007540BD" w:rsidP="007540BD">
      <w:pPr>
        <w:pStyle w:val="NoSpacing"/>
        <w:rPr>
          <w:rFonts w:ascii="Times New Roman" w:hAnsi="Times New Roman"/>
          <w:b/>
          <w:bCs/>
          <w:sz w:val="24"/>
          <w:szCs w:val="24"/>
        </w:rPr>
      </w:pPr>
    </w:p>
    <w:p w14:paraId="19C1B32B"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lastRenderedPageBreak/>
        <w:t xml:space="preserve">It follows that a claim for a heart disease that occurred after an initial compensable claim for hypertension pursuant to § 7-433c may qualify for benefits without the need to file a new notice of claim, </w:t>
      </w:r>
      <w:proofErr w:type="gramStart"/>
      <w:r w:rsidRPr="007C7258">
        <w:rPr>
          <w:rFonts w:ascii="Times New Roman" w:hAnsi="Times New Roman"/>
          <w:bCs/>
          <w:sz w:val="24"/>
          <w:szCs w:val="24"/>
        </w:rPr>
        <w:t>as long as</w:t>
      </w:r>
      <w:proofErr w:type="gramEnd"/>
      <w:r w:rsidRPr="007C7258">
        <w:rPr>
          <w:rFonts w:ascii="Times New Roman" w:hAnsi="Times New Roman"/>
          <w:bCs/>
          <w:sz w:val="24"/>
          <w:szCs w:val="24"/>
        </w:rPr>
        <w:t xml:space="preserve"> there is a causal connection between the two injuries, as required by the act.</w:t>
      </w:r>
    </w:p>
    <w:p w14:paraId="3703407A" w14:textId="77777777" w:rsidR="007540BD" w:rsidRPr="007C7258" w:rsidRDefault="007540BD" w:rsidP="007540BD">
      <w:pPr>
        <w:pStyle w:val="NoSpacing"/>
        <w:ind w:firstLine="720"/>
        <w:rPr>
          <w:rFonts w:ascii="Times New Roman" w:hAnsi="Times New Roman"/>
          <w:b/>
          <w:bCs/>
          <w:sz w:val="24"/>
          <w:szCs w:val="24"/>
        </w:rPr>
      </w:pPr>
      <w:hyperlink r:id="rId1234" w:history="1">
        <w:r w:rsidRPr="007C7258">
          <w:rPr>
            <w:rStyle w:val="Hyperlink"/>
            <w:rFonts w:ascii="Times New Roman" w:hAnsi="Times New Roman"/>
            <w:b/>
            <w:sz w:val="24"/>
            <w:szCs w:val="24"/>
          </w:rPr>
          <w:t>https://www.jud.ct.gov/external/supapp/Cases/AROcr/CR334/334CR12.pdf</w:t>
        </w:r>
      </w:hyperlink>
      <w:r w:rsidRPr="007C7258">
        <w:rPr>
          <w:rFonts w:ascii="Times New Roman" w:hAnsi="Times New Roman"/>
          <w:bCs/>
          <w:sz w:val="24"/>
          <w:szCs w:val="24"/>
        </w:rPr>
        <w:t xml:space="preserve"> </w:t>
      </w:r>
    </w:p>
    <w:p w14:paraId="74D3CCAF" w14:textId="6D5823C3" w:rsidR="007540BD" w:rsidRDefault="007540BD" w:rsidP="00A06387">
      <w:pPr>
        <w:pStyle w:val="NoSpacing"/>
        <w:rPr>
          <w:rFonts w:ascii="Arial Black" w:hAnsi="Arial Black"/>
          <w:sz w:val="28"/>
          <w:szCs w:val="28"/>
        </w:rPr>
      </w:pPr>
    </w:p>
    <w:p w14:paraId="432E327A" w14:textId="77777777" w:rsidR="007540BD" w:rsidRPr="007C7258" w:rsidRDefault="007540BD" w:rsidP="007540BD">
      <w:pPr>
        <w:spacing w:before="100" w:beforeAutospacing="1" w:after="100" w:afterAutospacing="1" w:line="240" w:lineRule="auto"/>
        <w:rPr>
          <w:rFonts w:ascii="Times New Roman" w:eastAsia="Times New Roman" w:hAnsi="Times New Roman"/>
          <w:b/>
          <w:bCs/>
          <w:sz w:val="24"/>
          <w:szCs w:val="24"/>
        </w:rPr>
      </w:pPr>
      <w:r w:rsidRPr="007C7258">
        <w:rPr>
          <w:rFonts w:ascii="Times New Roman" w:eastAsia="Times New Roman" w:hAnsi="Times New Roman"/>
          <w:b/>
          <w:bCs/>
          <w:sz w:val="24"/>
          <w:szCs w:val="24"/>
        </w:rPr>
        <w:t xml:space="preserve">Legal Lessons Learned:  A helpful decision that makes lots of sense; clear relationship between hypertension and </w:t>
      </w:r>
      <w:r>
        <w:rPr>
          <w:rFonts w:ascii="Times New Roman" w:eastAsia="Times New Roman" w:hAnsi="Times New Roman"/>
          <w:b/>
          <w:bCs/>
          <w:sz w:val="24"/>
          <w:szCs w:val="24"/>
        </w:rPr>
        <w:t xml:space="preserve">later having </w:t>
      </w:r>
      <w:r w:rsidRPr="007C7258">
        <w:rPr>
          <w:rFonts w:ascii="Times New Roman" w:eastAsia="Times New Roman" w:hAnsi="Times New Roman"/>
          <w:b/>
          <w:bCs/>
          <w:sz w:val="24"/>
          <w:szCs w:val="24"/>
        </w:rPr>
        <w:t>coronary heart disease.</w:t>
      </w:r>
    </w:p>
    <w:p w14:paraId="6960D73D" w14:textId="77777777" w:rsidR="007540BD" w:rsidRDefault="007540BD" w:rsidP="00A06387">
      <w:pPr>
        <w:pStyle w:val="NoSpacing"/>
        <w:rPr>
          <w:rFonts w:ascii="Arial Black" w:hAnsi="Arial Black"/>
          <w:sz w:val="28"/>
          <w:szCs w:val="28"/>
        </w:rPr>
      </w:pPr>
    </w:p>
    <w:p w14:paraId="60BBE562" w14:textId="77777777" w:rsidR="007540BD" w:rsidRDefault="007540BD" w:rsidP="00A06387">
      <w:pPr>
        <w:pStyle w:val="NoSpacing"/>
        <w:rPr>
          <w:rFonts w:ascii="Arial Black" w:hAnsi="Arial Black"/>
          <w:sz w:val="28"/>
          <w:szCs w:val="28"/>
        </w:rPr>
      </w:pPr>
    </w:p>
    <w:p w14:paraId="0313E65B" w14:textId="0CF65231" w:rsidR="00663160" w:rsidRDefault="00997329" w:rsidP="00A06387">
      <w:pPr>
        <w:pStyle w:val="NoSpacing"/>
        <w:rPr>
          <w:rFonts w:ascii="Arial Black" w:hAnsi="Arial Black"/>
          <w:sz w:val="28"/>
          <w:szCs w:val="28"/>
        </w:rPr>
      </w:pPr>
      <w:r>
        <w:rPr>
          <w:rFonts w:ascii="Arial Black" w:hAnsi="Arial Black"/>
          <w:sz w:val="28"/>
          <w:szCs w:val="28"/>
        </w:rPr>
        <w:t>6-33</w:t>
      </w:r>
    </w:p>
    <w:p w14:paraId="5561702C" w14:textId="16193B9A" w:rsidR="00997329" w:rsidRDefault="00997329" w:rsidP="00A06387">
      <w:pPr>
        <w:pStyle w:val="NoSpacing"/>
        <w:rPr>
          <w:rFonts w:ascii="Arial Black" w:hAnsi="Arial Black"/>
          <w:sz w:val="28"/>
          <w:szCs w:val="28"/>
        </w:rPr>
      </w:pPr>
    </w:p>
    <w:p w14:paraId="214B212A" w14:textId="77777777" w:rsidR="00997329" w:rsidRPr="00455FEE" w:rsidRDefault="00997329" w:rsidP="00997329">
      <w:pPr>
        <w:pStyle w:val="NoSpacing"/>
        <w:rPr>
          <w:rFonts w:ascii="Arial Black" w:hAnsi="Arial Black"/>
          <w:sz w:val="28"/>
          <w:szCs w:val="28"/>
        </w:rPr>
      </w:pPr>
      <w:r w:rsidRPr="00455FEE">
        <w:rPr>
          <w:rFonts w:ascii="Arial Black" w:hAnsi="Arial Black"/>
          <w:sz w:val="28"/>
          <w:szCs w:val="28"/>
        </w:rPr>
        <w:t xml:space="preserve">LA: </w:t>
      </w:r>
      <w:r>
        <w:rPr>
          <w:rFonts w:ascii="Arial Black" w:hAnsi="Arial Black"/>
          <w:sz w:val="28"/>
          <w:szCs w:val="28"/>
        </w:rPr>
        <w:t xml:space="preserve">RIDING OUT-OF-RANK – INJUNCTION UPHELD - FD MAY NOT THREATEN FF WITH DISCIPLINE FOR REFUSING </w:t>
      </w:r>
    </w:p>
    <w:p w14:paraId="5A43FAFC" w14:textId="77777777" w:rsidR="00997329" w:rsidRPr="00465FB3" w:rsidRDefault="00997329" w:rsidP="00997329">
      <w:pPr>
        <w:spacing w:before="100" w:beforeAutospacing="1" w:after="100" w:afterAutospacing="1" w:line="240" w:lineRule="auto"/>
        <w:rPr>
          <w:rFonts w:ascii="Times New Roman" w:eastAsia="Times New Roman" w:hAnsi="Times New Roman"/>
          <w:sz w:val="24"/>
          <w:szCs w:val="24"/>
        </w:rPr>
      </w:pPr>
      <w:r w:rsidRPr="00465FB3">
        <w:rPr>
          <w:rFonts w:ascii="Times New Roman" w:eastAsia="Times New Roman" w:hAnsi="Times New Roman"/>
          <w:sz w:val="24"/>
          <w:szCs w:val="24"/>
        </w:rPr>
        <w:t xml:space="preserve">On March 4, 2020, in </w:t>
      </w:r>
      <w:r w:rsidRPr="00465FB3">
        <w:rPr>
          <w:rFonts w:ascii="Times New Roman" w:eastAsia="Times New Roman" w:hAnsi="Times New Roman"/>
          <w:sz w:val="24"/>
          <w:szCs w:val="24"/>
          <w:u w:val="single"/>
        </w:rPr>
        <w:t>Brian Drumm, et al. v. City of Kenner</w:t>
      </w:r>
      <w:r w:rsidRPr="00465FB3">
        <w:rPr>
          <w:rFonts w:ascii="Times New Roman" w:eastAsia="Times New Roman" w:hAnsi="Times New Roman"/>
          <w:sz w:val="24"/>
          <w:szCs w:val="24"/>
        </w:rPr>
        <w:t>, the Fifth Circuit Court of Appeals of Louisiana upheld (2 to 1) the trial court’s injunction.</w:t>
      </w:r>
    </w:p>
    <w:p w14:paraId="611040D6" w14:textId="4B39DEE1" w:rsidR="00997329" w:rsidRDefault="00997329" w:rsidP="00997329">
      <w:pPr>
        <w:pStyle w:val="NoSpacing"/>
        <w:ind w:left="720"/>
        <w:rPr>
          <w:rStyle w:val="Hyperlink"/>
          <w:rFonts w:ascii="Times New Roman" w:hAnsi="Times New Roman"/>
          <w:bCs/>
          <w:sz w:val="24"/>
          <w:szCs w:val="24"/>
        </w:rPr>
      </w:pPr>
      <w:r w:rsidRPr="00465FB3">
        <w:rPr>
          <w:rFonts w:ascii="Times New Roman" w:hAnsi="Times New Roman"/>
          <w:bCs/>
          <w:sz w:val="24"/>
          <w:szCs w:val="24"/>
        </w:rPr>
        <w:t xml:space="preserve">“Kenner’s position, that the Fire Chief may force persons to work jobs outside their class against their will under threat of disciplinary action denies the existence of a voluntary, contractual agreement of employment in which both parties may freely negotiate their duties and responsibilities. Recognizing that plaintiffs’ employment with Kenner is a voluntary, contractual agreement, we conclude that the ‘appointment’ referenced in La. R.S. 33:2496 is </w:t>
      </w:r>
      <w:proofErr w:type="gramStart"/>
      <w:r w:rsidRPr="00465FB3">
        <w:rPr>
          <w:rFonts w:ascii="Times New Roman" w:hAnsi="Times New Roman"/>
          <w:bCs/>
          <w:sz w:val="24"/>
          <w:szCs w:val="24"/>
        </w:rPr>
        <w:t>in the nature of an</w:t>
      </w:r>
      <w:proofErr w:type="gramEnd"/>
      <w:r w:rsidRPr="00465FB3">
        <w:rPr>
          <w:rFonts w:ascii="Times New Roman" w:hAnsi="Times New Roman"/>
          <w:bCs/>
          <w:sz w:val="24"/>
          <w:szCs w:val="24"/>
        </w:rPr>
        <w:t xml:space="preserve"> offer and acceptance of employment. Forcing an employee to work out of class against his will under threat of discipline or other employment action is an unlawful act, and therefore plaintiffs were not required to show irreparable harm. Accordingly, we find Kenner’s argument that the district court legally erred in granting the preliminary injunction is without merit. </w:t>
      </w:r>
      <w:hyperlink r:id="rId1235" w:history="1">
        <w:r w:rsidRPr="00465FB3">
          <w:rPr>
            <w:rStyle w:val="Hyperlink"/>
            <w:rFonts w:ascii="Times New Roman" w:hAnsi="Times New Roman"/>
            <w:bCs/>
            <w:sz w:val="24"/>
            <w:szCs w:val="24"/>
          </w:rPr>
          <w:t>http://www.fifthcircuit.org/dmzdocs/OI/PO/2020/54FCDF86-AA62-4720-B56D-B5FDC85663B0.pdf</w:t>
        </w:r>
      </w:hyperlink>
    </w:p>
    <w:p w14:paraId="092731D0" w14:textId="77777777" w:rsidR="00997329" w:rsidRDefault="00997329" w:rsidP="00997329">
      <w:pPr>
        <w:pStyle w:val="NoSpacing"/>
        <w:rPr>
          <w:rFonts w:ascii="Times New Roman" w:hAnsi="Times New Roman"/>
          <w:b/>
          <w:bCs/>
          <w:sz w:val="24"/>
          <w:szCs w:val="24"/>
        </w:rPr>
      </w:pPr>
    </w:p>
    <w:p w14:paraId="4E36EDF7" w14:textId="2D5AA2E0" w:rsidR="00997329" w:rsidRPr="00465FB3" w:rsidRDefault="00997329" w:rsidP="00997329">
      <w:pPr>
        <w:pStyle w:val="NoSpacing"/>
        <w:rPr>
          <w:rFonts w:ascii="Times New Roman" w:hAnsi="Times New Roman"/>
          <w:b/>
          <w:bCs/>
          <w:sz w:val="24"/>
          <w:szCs w:val="24"/>
        </w:rPr>
      </w:pPr>
      <w:r w:rsidRPr="00465FB3">
        <w:rPr>
          <w:rFonts w:ascii="Times New Roman" w:hAnsi="Times New Roman"/>
          <w:b/>
          <w:bCs/>
          <w:sz w:val="24"/>
          <w:szCs w:val="24"/>
        </w:rPr>
        <w:t>Legal Lessons Learned:  Riding-out-rank is quite common in career FDs and is obviously a method to reduce overtime costs. The Court noted this testimony:  “The interim Fire Chief testified that when he needed a captain for a shift, he did not ask already qualified captains to step in temporarily because paying them overtime is more expensive than paying lower ranked employees an extra $1.16/hour to work out of class.”</w:t>
      </w:r>
    </w:p>
    <w:p w14:paraId="2C53FE97" w14:textId="77777777" w:rsidR="00997329" w:rsidRPr="00465FB3" w:rsidRDefault="00997329" w:rsidP="00997329">
      <w:pPr>
        <w:pStyle w:val="NoSpacing"/>
        <w:ind w:left="720"/>
        <w:rPr>
          <w:rFonts w:ascii="Times New Roman" w:hAnsi="Times New Roman"/>
          <w:sz w:val="24"/>
          <w:szCs w:val="24"/>
        </w:rPr>
      </w:pPr>
    </w:p>
    <w:p w14:paraId="06282C44" w14:textId="77777777" w:rsidR="00997329" w:rsidRDefault="00997329" w:rsidP="00997329">
      <w:pPr>
        <w:pStyle w:val="NoSpacing"/>
        <w:rPr>
          <w:rFonts w:ascii="Arial Black" w:hAnsi="Arial Black"/>
          <w:sz w:val="28"/>
          <w:szCs w:val="28"/>
        </w:rPr>
      </w:pPr>
    </w:p>
    <w:p w14:paraId="03EADC05" w14:textId="77777777" w:rsidR="00997329" w:rsidRDefault="00997329" w:rsidP="00A06387">
      <w:pPr>
        <w:pStyle w:val="NoSpacing"/>
        <w:rPr>
          <w:rFonts w:ascii="Arial Black" w:hAnsi="Arial Black"/>
          <w:sz w:val="28"/>
          <w:szCs w:val="28"/>
        </w:rPr>
      </w:pPr>
    </w:p>
    <w:p w14:paraId="0365AE14" w14:textId="19F5C09C" w:rsidR="00663160" w:rsidRDefault="00663160" w:rsidP="00A06387">
      <w:pPr>
        <w:pStyle w:val="NoSpacing"/>
        <w:rPr>
          <w:rFonts w:ascii="Arial Black" w:hAnsi="Arial Black"/>
          <w:sz w:val="28"/>
          <w:szCs w:val="28"/>
        </w:rPr>
      </w:pPr>
      <w:r>
        <w:rPr>
          <w:rFonts w:ascii="Arial Black" w:hAnsi="Arial Black"/>
          <w:sz w:val="28"/>
          <w:szCs w:val="28"/>
        </w:rPr>
        <w:t>6-32</w:t>
      </w:r>
    </w:p>
    <w:p w14:paraId="53A88647" w14:textId="77777777" w:rsidR="00663160" w:rsidRDefault="00663160" w:rsidP="00A06387">
      <w:pPr>
        <w:pStyle w:val="NoSpacing"/>
        <w:rPr>
          <w:rFonts w:ascii="Arial Black" w:hAnsi="Arial Black"/>
          <w:sz w:val="28"/>
          <w:szCs w:val="28"/>
        </w:rPr>
      </w:pPr>
    </w:p>
    <w:p w14:paraId="47E311C1" w14:textId="77777777" w:rsidR="00997329" w:rsidRPr="00D7391F" w:rsidRDefault="00997329" w:rsidP="00997329">
      <w:pPr>
        <w:pStyle w:val="NoSpacing"/>
        <w:rPr>
          <w:rFonts w:ascii="Arial Black" w:hAnsi="Arial Black"/>
          <w:sz w:val="28"/>
          <w:szCs w:val="28"/>
        </w:rPr>
      </w:pPr>
      <w:r w:rsidRPr="00D7391F">
        <w:rPr>
          <w:rFonts w:ascii="Arial Black" w:hAnsi="Arial Black"/>
          <w:sz w:val="28"/>
          <w:szCs w:val="28"/>
        </w:rPr>
        <w:t>NC</w:t>
      </w:r>
      <w:r>
        <w:rPr>
          <w:rFonts w:ascii="Arial Black" w:hAnsi="Arial Black"/>
          <w:sz w:val="28"/>
          <w:szCs w:val="28"/>
        </w:rPr>
        <w:t>:  FIREFIGHTER / ALSO FD BOARD MEMBER – OPPOSED NEW AERIAL - FIRED – FREE SPEECH LAWSUIT TO PROCEED</w:t>
      </w:r>
    </w:p>
    <w:p w14:paraId="6D2CFDBD" w14:textId="77777777" w:rsidR="00997329" w:rsidRPr="00465FB3" w:rsidRDefault="00997329" w:rsidP="00997329">
      <w:pPr>
        <w:spacing w:before="100" w:beforeAutospacing="1" w:after="100" w:afterAutospacing="1" w:line="240" w:lineRule="auto"/>
        <w:rPr>
          <w:rFonts w:ascii="Times New Roman" w:eastAsia="Times New Roman" w:hAnsi="Times New Roman"/>
          <w:sz w:val="24"/>
          <w:szCs w:val="24"/>
        </w:rPr>
      </w:pPr>
      <w:r w:rsidRPr="00465FB3">
        <w:rPr>
          <w:rFonts w:ascii="Times New Roman" w:eastAsia="Times New Roman" w:hAnsi="Times New Roman"/>
          <w:sz w:val="24"/>
          <w:szCs w:val="24"/>
        </w:rPr>
        <w:t xml:space="preserve">On March 2, 2020, in </w:t>
      </w:r>
      <w:r w:rsidRPr="00465FB3">
        <w:rPr>
          <w:rFonts w:ascii="Times New Roman" w:eastAsia="Times New Roman" w:hAnsi="Times New Roman"/>
          <w:sz w:val="24"/>
          <w:szCs w:val="24"/>
          <w:u w:val="single"/>
        </w:rPr>
        <w:t xml:space="preserve">Michael Cole v. Andrew Weatherman &amp; Lake Norman Volunteer Fire </w:t>
      </w:r>
      <w:proofErr w:type="gramStart"/>
      <w:r w:rsidRPr="00465FB3">
        <w:rPr>
          <w:rFonts w:ascii="Times New Roman" w:eastAsia="Times New Roman" w:hAnsi="Times New Roman"/>
          <w:sz w:val="24"/>
          <w:szCs w:val="24"/>
          <w:u w:val="single"/>
        </w:rPr>
        <w:t>And</w:t>
      </w:r>
      <w:proofErr w:type="gramEnd"/>
      <w:r w:rsidRPr="00465FB3">
        <w:rPr>
          <w:rFonts w:ascii="Times New Roman" w:eastAsia="Times New Roman" w:hAnsi="Times New Roman"/>
          <w:sz w:val="24"/>
          <w:szCs w:val="24"/>
          <w:u w:val="single"/>
        </w:rPr>
        <w:t xml:space="preserve"> Rescue Department</w:t>
      </w:r>
      <w:r w:rsidRPr="00465FB3">
        <w:rPr>
          <w:rFonts w:ascii="Times New Roman" w:eastAsia="Times New Roman" w:hAnsi="Times New Roman"/>
          <w:sz w:val="24"/>
          <w:szCs w:val="24"/>
        </w:rPr>
        <w:t xml:space="preserve">, et al., U.S. District Court Judge Kenneth D. Ball, Western District of North Carolina (Statesville </w:t>
      </w:r>
      <w:r w:rsidRPr="00465FB3">
        <w:rPr>
          <w:rFonts w:ascii="Times New Roman" w:eastAsia="Times New Roman" w:hAnsi="Times New Roman"/>
          <w:sz w:val="24"/>
          <w:szCs w:val="24"/>
        </w:rPr>
        <w:lastRenderedPageBreak/>
        <w:t xml:space="preserve">Division) held that the lawsuit may proceed; plaintiff was one of 20 paid firefighters on this “volunteer” fire department. </w:t>
      </w:r>
    </w:p>
    <w:p w14:paraId="1FEB7762" w14:textId="36A0BDB8" w:rsidR="00997329" w:rsidRPr="00465FB3" w:rsidRDefault="00997329" w:rsidP="00997329">
      <w:pPr>
        <w:spacing w:before="100" w:beforeAutospacing="1" w:after="100" w:afterAutospacing="1" w:line="240" w:lineRule="auto"/>
        <w:ind w:left="720"/>
        <w:rPr>
          <w:rFonts w:ascii="Times New Roman" w:eastAsia="Times New Roman" w:hAnsi="Times New Roman"/>
          <w:sz w:val="24"/>
          <w:szCs w:val="24"/>
        </w:rPr>
      </w:pPr>
      <w:r w:rsidRPr="00465FB3">
        <w:rPr>
          <w:rFonts w:ascii="Times New Roman" w:eastAsia="Times New Roman" w:hAnsi="Times New Roman"/>
          <w:sz w:val="24"/>
          <w:szCs w:val="24"/>
        </w:rPr>
        <w:t xml:space="preserve">“Defendants contend that Plaintiff's free speech claim fails because he was speaking as an employee on an internal LKNVFD[Lake Norman Volunteer Fire &amp; Rescue Department] matter. The Court disagrees. Plaintiff's Amended Complaint alleges that he was a member of ‘the statutorily authorized commission of the fire protection district, which administered the taxes levied for and appropriated to it by the County.’ (Doc. No. 13, at ¶ 11). This Board is comprised of employees and volunteers of the LKNVFD as well as members of the community at large. </w:t>
      </w:r>
      <w:r w:rsidRPr="00465FB3">
        <w:rPr>
          <w:rFonts w:ascii="Times New Roman" w:eastAsia="Times New Roman" w:hAnsi="Times New Roman"/>
          <w:i/>
          <w:iCs/>
          <w:sz w:val="24"/>
          <w:szCs w:val="24"/>
        </w:rPr>
        <w:t>Id</w:t>
      </w:r>
      <w:r w:rsidRPr="00465FB3">
        <w:rPr>
          <w:rFonts w:ascii="Times New Roman" w:eastAsia="Times New Roman" w:hAnsi="Times New Roman"/>
          <w:sz w:val="24"/>
          <w:szCs w:val="24"/>
        </w:rPr>
        <w:t xml:space="preserve">. Even though Plaintiff was an employee of LKNVFD, Plaintiff alleges that his statements opposing the purchase of the new truck were made as a citizen duly elected to the board and not as a firefighter exercising his job duties as an employee of LKNVFD. His comments on the wasteful expenditure of public money appropriated from a special tax levy on property in the fire protection district are adequately alleged to be a public matter, not purely an internal employment issue. </w:t>
      </w:r>
      <w:r w:rsidRPr="00465FB3">
        <w:rPr>
          <w:rFonts w:ascii="Times New Roman" w:eastAsia="Times New Roman" w:hAnsi="Times New Roman"/>
          <w:i/>
          <w:iCs/>
          <w:sz w:val="24"/>
          <w:szCs w:val="24"/>
        </w:rPr>
        <w:t>See Pickering v</w:t>
      </w:r>
      <w:r w:rsidRPr="00465FB3">
        <w:rPr>
          <w:rFonts w:ascii="Times New Roman" w:eastAsia="Times New Roman" w:hAnsi="Times New Roman"/>
          <w:sz w:val="24"/>
          <w:szCs w:val="24"/>
        </w:rPr>
        <w:t xml:space="preserve">. </w:t>
      </w:r>
      <w:r w:rsidRPr="00465FB3">
        <w:rPr>
          <w:rFonts w:ascii="Times New Roman" w:eastAsia="Times New Roman" w:hAnsi="Times New Roman"/>
          <w:i/>
          <w:iCs/>
          <w:sz w:val="24"/>
          <w:szCs w:val="24"/>
        </w:rPr>
        <w:t>Bd</w:t>
      </w:r>
      <w:r w:rsidRPr="00465FB3">
        <w:rPr>
          <w:rFonts w:ascii="Times New Roman" w:eastAsia="Times New Roman" w:hAnsi="Times New Roman"/>
          <w:sz w:val="24"/>
          <w:szCs w:val="24"/>
        </w:rPr>
        <w:t xml:space="preserve">. </w:t>
      </w:r>
      <w:r w:rsidRPr="00465FB3">
        <w:rPr>
          <w:rFonts w:ascii="Times New Roman" w:eastAsia="Times New Roman" w:hAnsi="Times New Roman"/>
          <w:i/>
          <w:iCs/>
          <w:sz w:val="24"/>
          <w:szCs w:val="24"/>
        </w:rPr>
        <w:t>of Educ</w:t>
      </w:r>
      <w:r w:rsidRPr="00465FB3">
        <w:rPr>
          <w:rFonts w:ascii="Times New Roman" w:eastAsia="Times New Roman" w:hAnsi="Times New Roman"/>
          <w:sz w:val="24"/>
          <w:szCs w:val="24"/>
        </w:rPr>
        <w:t xml:space="preserve">., 391 U.S. 563, (1968) (holding that a teacher's concerns about a school board's use of tax dollars was a matter of public concern); </w:t>
      </w:r>
      <w:proofErr w:type="spellStart"/>
      <w:r w:rsidRPr="00465FB3">
        <w:rPr>
          <w:rFonts w:ascii="Times New Roman" w:eastAsia="Times New Roman" w:hAnsi="Times New Roman"/>
          <w:i/>
          <w:iCs/>
          <w:sz w:val="24"/>
          <w:szCs w:val="24"/>
        </w:rPr>
        <w:t>Urofsky</w:t>
      </w:r>
      <w:proofErr w:type="spellEnd"/>
      <w:r w:rsidRPr="00465FB3">
        <w:rPr>
          <w:rFonts w:ascii="Times New Roman" w:eastAsia="Times New Roman" w:hAnsi="Times New Roman"/>
          <w:i/>
          <w:iCs/>
          <w:sz w:val="24"/>
          <w:szCs w:val="24"/>
        </w:rPr>
        <w:t xml:space="preserve"> v</w:t>
      </w:r>
      <w:r w:rsidRPr="00465FB3">
        <w:rPr>
          <w:rFonts w:ascii="Times New Roman" w:eastAsia="Times New Roman" w:hAnsi="Times New Roman"/>
          <w:sz w:val="24"/>
          <w:szCs w:val="24"/>
        </w:rPr>
        <w:t xml:space="preserve">. </w:t>
      </w:r>
      <w:r w:rsidRPr="00465FB3">
        <w:rPr>
          <w:rFonts w:ascii="Times New Roman" w:eastAsia="Times New Roman" w:hAnsi="Times New Roman"/>
          <w:i/>
          <w:iCs/>
          <w:sz w:val="24"/>
          <w:szCs w:val="24"/>
        </w:rPr>
        <w:t>Gilmore</w:t>
      </w:r>
      <w:r w:rsidRPr="00465FB3">
        <w:rPr>
          <w:rFonts w:ascii="Times New Roman" w:eastAsia="Times New Roman" w:hAnsi="Times New Roman"/>
          <w:sz w:val="24"/>
          <w:szCs w:val="24"/>
        </w:rPr>
        <w:t>, 216 F.3d 401, 406-07 (4th Cir. 2000) (</w:t>
      </w:r>
      <w:proofErr w:type="spellStart"/>
      <w:r w:rsidRPr="00465FB3">
        <w:rPr>
          <w:rFonts w:ascii="Times New Roman" w:eastAsia="Times New Roman" w:hAnsi="Times New Roman"/>
          <w:sz w:val="24"/>
          <w:szCs w:val="24"/>
        </w:rPr>
        <w:t>en</w:t>
      </w:r>
      <w:proofErr w:type="spellEnd"/>
      <w:r w:rsidRPr="00465FB3">
        <w:rPr>
          <w:rFonts w:ascii="Times New Roman" w:eastAsia="Times New Roman" w:hAnsi="Times New Roman"/>
          <w:sz w:val="24"/>
          <w:szCs w:val="24"/>
        </w:rPr>
        <w:t xml:space="preserve"> banc) (noting speech upon matters of ‘social, political, or other interest to a community’ is protected under the First Amendment). </w:t>
      </w:r>
      <w:hyperlink r:id="rId1236" w:history="1">
        <w:r w:rsidRPr="00465FB3">
          <w:rPr>
            <w:rStyle w:val="Hyperlink"/>
            <w:rFonts w:ascii="Times New Roman" w:eastAsia="Times New Roman" w:hAnsi="Times New Roman"/>
            <w:sz w:val="24"/>
            <w:szCs w:val="24"/>
          </w:rPr>
          <w:t>https://public.fastcase.com/Wl%2B2t%2BeVuI35%2FN70vAMFZnbY8dI3hkArUDoxTqO4WI%2Fa6TeM7CmZuz1%2Ftkv0oKJ0</w:t>
        </w:r>
      </w:hyperlink>
      <w:r w:rsidRPr="00465FB3">
        <w:rPr>
          <w:rFonts w:ascii="Times New Roman" w:eastAsia="Times New Roman" w:hAnsi="Times New Roman"/>
          <w:sz w:val="24"/>
          <w:szCs w:val="24"/>
        </w:rPr>
        <w:t xml:space="preserve"> </w:t>
      </w:r>
    </w:p>
    <w:p w14:paraId="79F275FA" w14:textId="77777777" w:rsidR="00997329" w:rsidRPr="00465FB3" w:rsidRDefault="00997329" w:rsidP="00997329">
      <w:pPr>
        <w:pStyle w:val="NoSpacing"/>
        <w:rPr>
          <w:rFonts w:ascii="Times New Roman" w:hAnsi="Times New Roman"/>
          <w:b/>
          <w:bCs/>
          <w:sz w:val="24"/>
          <w:szCs w:val="24"/>
        </w:rPr>
      </w:pPr>
      <w:r w:rsidRPr="00465FB3">
        <w:rPr>
          <w:rFonts w:ascii="Times New Roman" w:hAnsi="Times New Roman"/>
          <w:b/>
          <w:bCs/>
          <w:sz w:val="24"/>
          <w:szCs w:val="24"/>
        </w:rPr>
        <w:t xml:space="preserve">Legal Lessons Learned: Another decision reviewing the U.S. Supreme Court’s “balancing test.”  FD </w:t>
      </w:r>
      <w:proofErr w:type="gramStart"/>
      <w:r w:rsidRPr="00465FB3">
        <w:rPr>
          <w:rFonts w:ascii="Times New Roman" w:hAnsi="Times New Roman"/>
          <w:b/>
          <w:bCs/>
          <w:sz w:val="24"/>
          <w:szCs w:val="24"/>
        </w:rPr>
        <w:t>need</w:t>
      </w:r>
      <w:proofErr w:type="gramEnd"/>
      <w:r w:rsidRPr="00465FB3">
        <w:rPr>
          <w:rFonts w:ascii="Times New Roman" w:hAnsi="Times New Roman"/>
          <w:b/>
          <w:bCs/>
          <w:sz w:val="24"/>
          <w:szCs w:val="24"/>
        </w:rPr>
        <w:t xml:space="preserve"> to use extreme caution in terminating a firefighter for speaking on matters of public concern, particularly if they also serve on the FD’s Board. </w:t>
      </w:r>
    </w:p>
    <w:p w14:paraId="65A4F446" w14:textId="77777777" w:rsidR="00997329" w:rsidRPr="00465FB3" w:rsidRDefault="00997329" w:rsidP="00997329">
      <w:pPr>
        <w:spacing w:before="100" w:beforeAutospacing="1" w:after="100" w:afterAutospacing="1" w:line="240" w:lineRule="auto"/>
        <w:rPr>
          <w:rFonts w:ascii="Times New Roman" w:eastAsia="Times New Roman" w:hAnsi="Times New Roman"/>
          <w:b/>
          <w:bCs/>
          <w:sz w:val="24"/>
          <w:szCs w:val="24"/>
        </w:rPr>
      </w:pPr>
    </w:p>
    <w:p w14:paraId="07630A86" w14:textId="77777777" w:rsidR="00663160" w:rsidRDefault="00663160" w:rsidP="00A06387">
      <w:pPr>
        <w:pStyle w:val="NoSpacing"/>
        <w:rPr>
          <w:rFonts w:ascii="Arial Black" w:hAnsi="Arial Black"/>
          <w:sz w:val="28"/>
          <w:szCs w:val="28"/>
        </w:rPr>
      </w:pPr>
    </w:p>
    <w:p w14:paraId="328BC352" w14:textId="77777777" w:rsidR="00663160" w:rsidRDefault="00663160" w:rsidP="00A06387">
      <w:pPr>
        <w:pStyle w:val="NoSpacing"/>
        <w:rPr>
          <w:rFonts w:ascii="Arial Black" w:hAnsi="Arial Black"/>
          <w:sz w:val="28"/>
          <w:szCs w:val="28"/>
        </w:rPr>
      </w:pPr>
    </w:p>
    <w:p w14:paraId="6F146580" w14:textId="77777777" w:rsidR="00B03268" w:rsidRDefault="00B03268" w:rsidP="00A06387">
      <w:pPr>
        <w:pStyle w:val="NoSpacing"/>
        <w:rPr>
          <w:rFonts w:ascii="Arial Black" w:hAnsi="Arial Black"/>
          <w:sz w:val="28"/>
          <w:szCs w:val="28"/>
        </w:rPr>
      </w:pPr>
    </w:p>
    <w:p w14:paraId="0FC4E5E4" w14:textId="702FA686" w:rsidR="00663160" w:rsidRDefault="00663160" w:rsidP="00A06387">
      <w:pPr>
        <w:pStyle w:val="NoSpacing"/>
        <w:rPr>
          <w:rFonts w:ascii="Arial Black" w:hAnsi="Arial Black"/>
          <w:sz w:val="28"/>
          <w:szCs w:val="28"/>
        </w:rPr>
      </w:pPr>
      <w:r>
        <w:rPr>
          <w:rFonts w:ascii="Arial Black" w:hAnsi="Arial Black"/>
          <w:sz w:val="28"/>
          <w:szCs w:val="28"/>
        </w:rPr>
        <w:t>6-31</w:t>
      </w:r>
    </w:p>
    <w:p w14:paraId="6C9E9F66" w14:textId="1C55F183" w:rsidR="00663160" w:rsidRDefault="00663160" w:rsidP="00A06387">
      <w:pPr>
        <w:pStyle w:val="NoSpacing"/>
        <w:rPr>
          <w:rFonts w:ascii="Arial Black" w:hAnsi="Arial Black"/>
          <w:sz w:val="28"/>
          <w:szCs w:val="28"/>
        </w:rPr>
      </w:pPr>
    </w:p>
    <w:p w14:paraId="7788273E" w14:textId="77777777" w:rsidR="00663160" w:rsidRPr="00504D9F" w:rsidRDefault="00663160" w:rsidP="00663160">
      <w:pPr>
        <w:pStyle w:val="NoSpacing"/>
        <w:rPr>
          <w:rFonts w:ascii="Arial Black" w:hAnsi="Arial Black"/>
          <w:b/>
          <w:bCs/>
          <w:sz w:val="28"/>
          <w:szCs w:val="28"/>
        </w:rPr>
      </w:pPr>
      <w:r>
        <w:rPr>
          <w:rFonts w:ascii="Arial Black" w:hAnsi="Arial Black"/>
          <w:bCs/>
          <w:sz w:val="28"/>
          <w:szCs w:val="28"/>
        </w:rPr>
        <w:t>OH: CAPTAIN PROMOTION – SENIORITY POINTS ONLY FOR THOSE SCORED AT LEAST 70 – NEW SELECTION</w:t>
      </w:r>
    </w:p>
    <w:p w14:paraId="3D56695E" w14:textId="77777777" w:rsidR="00663160" w:rsidRPr="00465FB3" w:rsidRDefault="00663160" w:rsidP="00663160">
      <w:pPr>
        <w:pStyle w:val="Heading1"/>
        <w:rPr>
          <w:b w:val="0"/>
          <w:bCs w:val="0"/>
          <w:sz w:val="24"/>
          <w:szCs w:val="24"/>
        </w:rPr>
      </w:pPr>
      <w:r w:rsidRPr="00465FB3">
        <w:rPr>
          <w:b w:val="0"/>
          <w:bCs w:val="0"/>
          <w:sz w:val="24"/>
          <w:szCs w:val="24"/>
        </w:rPr>
        <w:t xml:space="preserve">On Feb. 5, 2020, in </w:t>
      </w:r>
      <w:r w:rsidRPr="00465FB3">
        <w:rPr>
          <w:b w:val="0"/>
          <w:bCs w:val="0"/>
          <w:sz w:val="24"/>
          <w:szCs w:val="24"/>
          <w:u w:val="single"/>
        </w:rPr>
        <w:t xml:space="preserve">State ex rel. Michael A. </w:t>
      </w:r>
      <w:proofErr w:type="spellStart"/>
      <w:r w:rsidRPr="00465FB3">
        <w:rPr>
          <w:b w:val="0"/>
          <w:bCs w:val="0"/>
          <w:sz w:val="24"/>
          <w:szCs w:val="24"/>
          <w:u w:val="single"/>
        </w:rPr>
        <w:t>Rimroth</w:t>
      </w:r>
      <w:proofErr w:type="spellEnd"/>
      <w:r w:rsidRPr="00465FB3">
        <w:rPr>
          <w:b w:val="0"/>
          <w:bCs w:val="0"/>
          <w:sz w:val="24"/>
          <w:szCs w:val="24"/>
          <w:u w:val="single"/>
        </w:rPr>
        <w:t xml:space="preserve"> v. City of Harrison</w:t>
      </w:r>
      <w:r w:rsidRPr="00465FB3">
        <w:rPr>
          <w:b w:val="0"/>
          <w:bCs w:val="0"/>
          <w:sz w:val="24"/>
          <w:szCs w:val="24"/>
        </w:rPr>
        <w:t xml:space="preserve">, the Ohio Court of Appeals for the First District (Hamilton County), held (3 to 0) that the promotion of the candidate who only scored 65 was inappropriate, since only the two candidates (plaintiff and one other) who scored 70 or higher were entitled to added points for seniority.  The Court reversed the trial judge’s order for a new written test, since the test was fair.  Case sent back to the city’s Civil Service Commission, and Mayor can now make a new promotion decision between plaintiff (scored 74) and the other candidate (scored 75).  </w:t>
      </w:r>
    </w:p>
    <w:p w14:paraId="3714FEA9" w14:textId="77777777" w:rsidR="00663160" w:rsidRPr="00465FB3" w:rsidRDefault="00663160" w:rsidP="00663160">
      <w:pPr>
        <w:pStyle w:val="NoSpacing"/>
        <w:ind w:left="720"/>
        <w:rPr>
          <w:rFonts w:ascii="Times New Roman" w:hAnsi="Times New Roman"/>
          <w:b/>
          <w:bCs/>
          <w:sz w:val="24"/>
          <w:szCs w:val="24"/>
        </w:rPr>
      </w:pPr>
      <w:r w:rsidRPr="00465FB3">
        <w:rPr>
          <w:rFonts w:ascii="Times New Roman" w:hAnsi="Times New Roman"/>
          <w:bCs/>
          <w:sz w:val="24"/>
          <w:szCs w:val="24"/>
        </w:rPr>
        <w:t xml:space="preserve">“[Michael]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was a firefighter employed by the city of Harrison. On April 4, 2015, he took the written promotional examination for the position of fire captain, along with firefighters Dennis Helcher and Cameron Kugler. Kugler received a score of 75,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received a 74, and </w:t>
      </w:r>
      <w:proofErr w:type="spellStart"/>
      <w:r w:rsidRPr="00465FB3">
        <w:rPr>
          <w:rFonts w:ascii="Times New Roman" w:hAnsi="Times New Roman"/>
          <w:bCs/>
          <w:sz w:val="24"/>
          <w:szCs w:val="24"/>
        </w:rPr>
        <w:t>Helcher</w:t>
      </w:r>
      <w:proofErr w:type="spellEnd"/>
      <w:r w:rsidRPr="00465FB3">
        <w:rPr>
          <w:rFonts w:ascii="Times New Roman" w:hAnsi="Times New Roman"/>
          <w:bCs/>
          <w:sz w:val="24"/>
          <w:szCs w:val="24"/>
        </w:rPr>
        <w:t xml:space="preserve"> received a 65. </w:t>
      </w:r>
      <w:proofErr w:type="gramStart"/>
      <w:r w:rsidRPr="00465FB3">
        <w:rPr>
          <w:rFonts w:ascii="Times New Roman" w:hAnsi="Times New Roman"/>
          <w:bCs/>
          <w:sz w:val="24"/>
          <w:szCs w:val="24"/>
        </w:rPr>
        <w:t>A passing</w:t>
      </w:r>
      <w:proofErr w:type="gramEnd"/>
      <w:r w:rsidRPr="00465FB3">
        <w:rPr>
          <w:rFonts w:ascii="Times New Roman" w:hAnsi="Times New Roman"/>
          <w:bCs/>
          <w:sz w:val="24"/>
          <w:szCs w:val="24"/>
        </w:rPr>
        <w:t xml:space="preserve"> score for the examination was 70. As a result, only Kugler and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were listed as having passed the examination. ***  In this case, both sides agree that it was inappropriate for the commission to include the service credit before determining if the candidates received a passing score. We agree with this consensus. The issue that remains is determining if the trial court's remedy was proper and, if not, what remedy lies for the violation of the statute. *** The proper remedy, therefore, is to remand the </w:t>
      </w:r>
      <w:r w:rsidRPr="00465FB3">
        <w:rPr>
          <w:rFonts w:ascii="Times New Roman" w:hAnsi="Times New Roman"/>
          <w:bCs/>
          <w:sz w:val="24"/>
          <w:szCs w:val="24"/>
        </w:rPr>
        <w:lastRenderedPageBreak/>
        <w:t xml:space="preserve">cause to the civil service commission for the appropriate award of credit to only those individuals who had received a passing score on the written examination: Kugler and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Once those scores are calculated, the commission should forward the resulting list for further </w:t>
      </w:r>
      <w:proofErr w:type="gramStart"/>
      <w:r w:rsidRPr="00465FB3">
        <w:rPr>
          <w:rFonts w:ascii="Times New Roman" w:hAnsi="Times New Roman"/>
          <w:bCs/>
          <w:sz w:val="24"/>
          <w:szCs w:val="24"/>
        </w:rPr>
        <w:t>consideration.”</w:t>
      </w:r>
      <w:proofErr w:type="gramEnd"/>
      <w:r w:rsidRPr="00465FB3">
        <w:rPr>
          <w:rFonts w:ascii="Times New Roman" w:hAnsi="Times New Roman"/>
          <w:bCs/>
          <w:sz w:val="24"/>
          <w:szCs w:val="24"/>
        </w:rPr>
        <w:t xml:space="preserve"> </w:t>
      </w:r>
      <w:hyperlink r:id="rId1237" w:history="1">
        <w:r w:rsidRPr="00465FB3">
          <w:rPr>
            <w:rStyle w:val="Hyperlink"/>
            <w:rFonts w:ascii="Times New Roman" w:hAnsi="Times New Roman"/>
            <w:bCs/>
            <w:sz w:val="24"/>
            <w:szCs w:val="24"/>
          </w:rPr>
          <w:t>https://www.leagle.com/decision/inohco20200205714</w:t>
        </w:r>
      </w:hyperlink>
      <w:r w:rsidRPr="00465FB3">
        <w:rPr>
          <w:rFonts w:ascii="Times New Roman" w:hAnsi="Times New Roman"/>
          <w:bCs/>
          <w:sz w:val="24"/>
          <w:szCs w:val="24"/>
        </w:rPr>
        <w:t xml:space="preserve"> </w:t>
      </w:r>
    </w:p>
    <w:p w14:paraId="281EDFF8" w14:textId="61AC8D19" w:rsidR="00663160" w:rsidRDefault="00663160" w:rsidP="00A06387">
      <w:pPr>
        <w:pStyle w:val="NoSpacing"/>
        <w:rPr>
          <w:rFonts w:ascii="Arial Black" w:hAnsi="Arial Black"/>
          <w:sz w:val="28"/>
          <w:szCs w:val="28"/>
        </w:rPr>
      </w:pPr>
    </w:p>
    <w:p w14:paraId="32E1884A" w14:textId="77777777" w:rsidR="00663160" w:rsidRPr="00465FB3" w:rsidRDefault="00663160" w:rsidP="00663160">
      <w:pPr>
        <w:pStyle w:val="NoSpacing"/>
        <w:tabs>
          <w:tab w:val="left" w:pos="2880"/>
        </w:tabs>
        <w:rPr>
          <w:rFonts w:ascii="Times New Roman" w:eastAsia="Times New Roman" w:hAnsi="Times New Roman"/>
          <w:b/>
          <w:bCs/>
          <w:sz w:val="24"/>
          <w:szCs w:val="24"/>
        </w:rPr>
      </w:pPr>
      <w:r w:rsidRPr="00465FB3">
        <w:rPr>
          <w:rFonts w:ascii="Times New Roman" w:hAnsi="Times New Roman"/>
          <w:b/>
          <w:bCs/>
          <w:sz w:val="24"/>
          <w:szCs w:val="24"/>
        </w:rPr>
        <w:t xml:space="preserve">Legal Lessons Learned: Promotion processes should clearly specify when seniority and military credits can be added to test scores. </w:t>
      </w:r>
    </w:p>
    <w:p w14:paraId="33ADF01E" w14:textId="11364D1C" w:rsidR="00663160" w:rsidRDefault="00663160" w:rsidP="00A06387">
      <w:pPr>
        <w:pStyle w:val="NoSpacing"/>
        <w:rPr>
          <w:rFonts w:ascii="Arial Black" w:hAnsi="Arial Black"/>
          <w:sz w:val="28"/>
          <w:szCs w:val="28"/>
        </w:rPr>
      </w:pPr>
      <w:r>
        <w:rPr>
          <w:rFonts w:ascii="Arial Black" w:hAnsi="Arial Black"/>
          <w:sz w:val="28"/>
          <w:szCs w:val="28"/>
        </w:rPr>
        <w:t xml:space="preserve"> </w:t>
      </w:r>
    </w:p>
    <w:p w14:paraId="091AFC41" w14:textId="77777777" w:rsidR="00663160" w:rsidRDefault="00663160" w:rsidP="00A06387">
      <w:pPr>
        <w:pStyle w:val="NoSpacing"/>
        <w:rPr>
          <w:rFonts w:ascii="Arial Black" w:hAnsi="Arial Black"/>
          <w:sz w:val="28"/>
          <w:szCs w:val="28"/>
        </w:rPr>
      </w:pPr>
    </w:p>
    <w:p w14:paraId="5D3EECC4" w14:textId="77777777" w:rsidR="00663160" w:rsidRDefault="00663160" w:rsidP="00A06387">
      <w:pPr>
        <w:pStyle w:val="NoSpacing"/>
        <w:rPr>
          <w:rFonts w:ascii="Arial Black" w:hAnsi="Arial Black"/>
          <w:sz w:val="28"/>
          <w:szCs w:val="28"/>
        </w:rPr>
      </w:pPr>
    </w:p>
    <w:p w14:paraId="72A34ECB" w14:textId="6B4BFD3D" w:rsidR="00C9355B" w:rsidRDefault="00C9355B" w:rsidP="00A06387">
      <w:pPr>
        <w:pStyle w:val="NoSpacing"/>
        <w:rPr>
          <w:rFonts w:ascii="Arial Black" w:hAnsi="Arial Black"/>
          <w:sz w:val="28"/>
          <w:szCs w:val="28"/>
        </w:rPr>
      </w:pPr>
      <w:r>
        <w:rPr>
          <w:rFonts w:ascii="Arial Black" w:hAnsi="Arial Black"/>
          <w:sz w:val="28"/>
          <w:szCs w:val="28"/>
        </w:rPr>
        <w:t>6-</w:t>
      </w:r>
      <w:r w:rsidR="00177094">
        <w:rPr>
          <w:rFonts w:ascii="Arial Black" w:hAnsi="Arial Black"/>
          <w:sz w:val="28"/>
          <w:szCs w:val="28"/>
        </w:rPr>
        <w:t>30</w:t>
      </w:r>
    </w:p>
    <w:p w14:paraId="6D154D02" w14:textId="65382B1A" w:rsidR="00C9355B" w:rsidRDefault="00C9355B" w:rsidP="00A06387">
      <w:pPr>
        <w:pStyle w:val="NoSpacing"/>
        <w:rPr>
          <w:rFonts w:ascii="Arial Black" w:hAnsi="Arial Black"/>
          <w:sz w:val="28"/>
          <w:szCs w:val="28"/>
        </w:rPr>
      </w:pPr>
    </w:p>
    <w:p w14:paraId="76C0F5C0" w14:textId="77777777" w:rsidR="00C9355B" w:rsidRDefault="00C9355B" w:rsidP="00C9355B">
      <w:pPr>
        <w:pStyle w:val="NoSpacing"/>
        <w:rPr>
          <w:rFonts w:ascii="Arial Black" w:hAnsi="Arial Black"/>
          <w:b/>
          <w:bCs/>
          <w:sz w:val="28"/>
          <w:szCs w:val="28"/>
        </w:rPr>
      </w:pPr>
      <w:r>
        <w:rPr>
          <w:rFonts w:ascii="Arial Black" w:hAnsi="Arial Black"/>
          <w:bCs/>
          <w:sz w:val="28"/>
          <w:szCs w:val="28"/>
        </w:rPr>
        <w:t xml:space="preserve">IL: HOUSE FIRE - FF FELL BACKWARDS, INJURED HER BACK – AWARDED LINE-OF-DUTY PENSION – CITY APPEAL DENIED </w:t>
      </w:r>
    </w:p>
    <w:p w14:paraId="63A0CA8C" w14:textId="77777777" w:rsidR="00C9355B" w:rsidRDefault="00C9355B" w:rsidP="00C9355B">
      <w:pPr>
        <w:pStyle w:val="NoSpacing"/>
        <w:rPr>
          <w:b/>
          <w:bCs/>
          <w:sz w:val="24"/>
          <w:szCs w:val="24"/>
        </w:rPr>
      </w:pPr>
    </w:p>
    <w:p w14:paraId="2A874A2E" w14:textId="77777777" w:rsidR="00C9355B" w:rsidRPr="00695030" w:rsidRDefault="00C9355B" w:rsidP="00C9355B">
      <w:pPr>
        <w:pStyle w:val="NoSpacing"/>
        <w:rPr>
          <w:rFonts w:ascii="Times New Roman" w:hAnsi="Times New Roman"/>
          <w:b/>
          <w:bCs/>
          <w:sz w:val="24"/>
          <w:szCs w:val="24"/>
        </w:rPr>
      </w:pPr>
      <w:r w:rsidRPr="00695030">
        <w:rPr>
          <w:rFonts w:ascii="Times New Roman" w:hAnsi="Times New Roman"/>
          <w:bCs/>
          <w:sz w:val="24"/>
          <w:szCs w:val="24"/>
        </w:rPr>
        <w:t xml:space="preserve">On Jan. 27, 2020, in </w:t>
      </w:r>
      <w:r w:rsidRPr="00695030">
        <w:rPr>
          <w:rFonts w:ascii="Times New Roman" w:hAnsi="Times New Roman"/>
          <w:bCs/>
          <w:sz w:val="24"/>
          <w:szCs w:val="24"/>
          <w:u w:val="single"/>
        </w:rPr>
        <w:t>City of Peoria v. The Firefighters Pension Fund of the City of Peoria and Angela Allen</w:t>
      </w:r>
      <w:r w:rsidRPr="00695030">
        <w:rPr>
          <w:rFonts w:ascii="Times New Roman" w:hAnsi="Times New Roman"/>
          <w:bCs/>
          <w:sz w:val="24"/>
          <w:szCs w:val="24"/>
        </w:rPr>
        <w:t xml:space="preserve">, the Appellate Court of Illinois, Third District, held (3 to 0) upheld the decision of the Board of Trustees of the pension fund to award line-of-duty death benefits. The city sought to reverse the Trustees, arguing the firefighter had a psychological disorder not caused by her fall. </w:t>
      </w:r>
    </w:p>
    <w:p w14:paraId="2335A114" w14:textId="77777777" w:rsidR="00C9355B" w:rsidRPr="00695030" w:rsidRDefault="00C9355B" w:rsidP="00C9355B">
      <w:pPr>
        <w:pStyle w:val="NoSpacing"/>
        <w:rPr>
          <w:rFonts w:ascii="Times New Roman" w:hAnsi="Times New Roman"/>
          <w:b/>
          <w:bCs/>
          <w:sz w:val="24"/>
          <w:szCs w:val="24"/>
        </w:rPr>
      </w:pPr>
    </w:p>
    <w:p w14:paraId="5B7131FD"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 xml:space="preserve">“In reaching that conclusion, we reject the City's assertion that the Pension Board somehow erred by finding that Allen was disabled due to her psychological conditions when Allen's specific allegation in her disability pension application was that she was disabled due to a vestibular/ocular motor disorder. Although Allen listed her condition in the application as a vestibular/ocular motor disorder, many of the symptoms that Allen also listed in the application as being from a vestibular disorder were the same symptoms that Allen was found to be suffering from </w:t>
      </w:r>
      <w:proofErr w:type="gramStart"/>
      <w:r w:rsidRPr="00695030">
        <w:rPr>
          <w:rFonts w:ascii="Times New Roman" w:hAnsi="Times New Roman"/>
          <w:bCs/>
          <w:sz w:val="24"/>
          <w:szCs w:val="24"/>
        </w:rPr>
        <w:t>as a result of</w:t>
      </w:r>
      <w:proofErr w:type="gramEnd"/>
      <w:r w:rsidRPr="00695030">
        <w:rPr>
          <w:rFonts w:ascii="Times New Roman" w:hAnsi="Times New Roman"/>
          <w:bCs/>
          <w:sz w:val="24"/>
          <w:szCs w:val="24"/>
        </w:rPr>
        <w:t xml:space="preserve"> her psychological disorders. Thus, we believe that Allen sufficiently alleged the nature of her disability in her disability pension application. Indeed, the City has made no argument on appeal that it was surprised by the evidence presented or that the </w:t>
      </w:r>
      <w:proofErr w:type="gramStart"/>
      <w:r w:rsidRPr="00695030">
        <w:rPr>
          <w:rFonts w:ascii="Times New Roman" w:hAnsi="Times New Roman"/>
          <w:bCs/>
          <w:sz w:val="24"/>
          <w:szCs w:val="24"/>
        </w:rPr>
        <w:t>manner in which</w:t>
      </w:r>
      <w:proofErr w:type="gramEnd"/>
      <w:r w:rsidRPr="00695030">
        <w:rPr>
          <w:rFonts w:ascii="Times New Roman" w:hAnsi="Times New Roman"/>
          <w:bCs/>
          <w:sz w:val="24"/>
          <w:szCs w:val="24"/>
        </w:rPr>
        <w:t xml:space="preserve"> Allen's condition was described in the application somehow deprived the City of a fair opportunity to prepare for the hearing before the Pension Board.” </w:t>
      </w:r>
      <w:hyperlink r:id="rId1238" w:history="1">
        <w:r w:rsidRPr="00695030">
          <w:rPr>
            <w:rStyle w:val="Hyperlink"/>
            <w:rFonts w:ascii="Times New Roman" w:hAnsi="Times New Roman"/>
            <w:b/>
            <w:sz w:val="24"/>
            <w:szCs w:val="24"/>
          </w:rPr>
          <w:t>https://courts.illinois.gov/R23_Orders/AppellateCourt/2020/3rdDistrict/3190055_R23.pdf</w:t>
        </w:r>
      </w:hyperlink>
      <w:r w:rsidRPr="00695030">
        <w:rPr>
          <w:rFonts w:ascii="Times New Roman" w:hAnsi="Times New Roman"/>
          <w:bCs/>
          <w:sz w:val="24"/>
          <w:szCs w:val="24"/>
        </w:rPr>
        <w:t xml:space="preserve"> </w:t>
      </w:r>
    </w:p>
    <w:p w14:paraId="3F8AF809" w14:textId="77777777" w:rsidR="00C9355B" w:rsidRDefault="00C9355B" w:rsidP="00C9355B">
      <w:pPr>
        <w:pStyle w:val="NoSpacing"/>
        <w:rPr>
          <w:rFonts w:ascii="Times New Roman" w:hAnsi="Times New Roman"/>
          <w:b/>
          <w:bCs/>
          <w:sz w:val="24"/>
          <w:szCs w:val="24"/>
        </w:rPr>
      </w:pPr>
    </w:p>
    <w:p w14:paraId="72F4B7C5" w14:textId="313B0065" w:rsidR="00C9355B" w:rsidRPr="00695030" w:rsidRDefault="00C9355B" w:rsidP="00C9355B">
      <w:pPr>
        <w:pStyle w:val="NoSpacing"/>
        <w:rPr>
          <w:rFonts w:ascii="Times New Roman" w:hAnsi="Times New Roman"/>
          <w:b/>
          <w:bCs/>
          <w:sz w:val="24"/>
          <w:szCs w:val="24"/>
        </w:rPr>
      </w:pPr>
      <w:r w:rsidRPr="00695030">
        <w:rPr>
          <w:rFonts w:ascii="Times New Roman" w:hAnsi="Times New Roman"/>
          <w:b/>
          <w:bCs/>
          <w:sz w:val="24"/>
          <w:szCs w:val="24"/>
        </w:rPr>
        <w:t xml:space="preserve">Legal Lessons Learned:  </w:t>
      </w:r>
      <w:r>
        <w:rPr>
          <w:rFonts w:ascii="Times New Roman" w:hAnsi="Times New Roman"/>
          <w:b/>
          <w:bCs/>
          <w:sz w:val="24"/>
          <w:szCs w:val="24"/>
        </w:rPr>
        <w:t xml:space="preserve">Under </w:t>
      </w:r>
      <w:r w:rsidRPr="00695030">
        <w:rPr>
          <w:rFonts w:ascii="Times New Roman" w:hAnsi="Times New Roman"/>
          <w:b/>
          <w:bCs/>
          <w:sz w:val="24"/>
          <w:szCs w:val="24"/>
        </w:rPr>
        <w:t>Illinois statute and court precedents</w:t>
      </w:r>
      <w:r>
        <w:rPr>
          <w:rFonts w:ascii="Times New Roman" w:hAnsi="Times New Roman"/>
          <w:b/>
          <w:bCs/>
          <w:sz w:val="24"/>
          <w:szCs w:val="24"/>
        </w:rPr>
        <w:t xml:space="preserve">, </w:t>
      </w:r>
      <w:r w:rsidRPr="00695030">
        <w:rPr>
          <w:rFonts w:ascii="Times New Roman" w:hAnsi="Times New Roman"/>
          <w:b/>
          <w:bCs/>
          <w:sz w:val="24"/>
          <w:szCs w:val="24"/>
        </w:rPr>
        <w:t xml:space="preserve">pension applications by firefighters must be “liberally construed” in favor of the firefighter. </w:t>
      </w:r>
    </w:p>
    <w:p w14:paraId="36DA7B82" w14:textId="77777777" w:rsidR="00C9355B" w:rsidRDefault="00C9355B" w:rsidP="00A06387">
      <w:pPr>
        <w:pStyle w:val="NoSpacing"/>
        <w:rPr>
          <w:rFonts w:ascii="Arial Black" w:hAnsi="Arial Black"/>
          <w:sz w:val="28"/>
          <w:szCs w:val="28"/>
        </w:rPr>
      </w:pPr>
    </w:p>
    <w:p w14:paraId="43495ADD" w14:textId="77777777" w:rsidR="00B03268" w:rsidRDefault="00B03268" w:rsidP="00A06387">
      <w:pPr>
        <w:pStyle w:val="NoSpacing"/>
        <w:rPr>
          <w:rFonts w:ascii="Arial Black" w:hAnsi="Arial Black"/>
          <w:sz w:val="28"/>
          <w:szCs w:val="28"/>
        </w:rPr>
      </w:pPr>
    </w:p>
    <w:p w14:paraId="2E0F56D3" w14:textId="768E11AF" w:rsidR="00C9355B" w:rsidRDefault="00C9355B" w:rsidP="00A06387">
      <w:pPr>
        <w:pStyle w:val="NoSpacing"/>
        <w:rPr>
          <w:rFonts w:ascii="Arial Black" w:hAnsi="Arial Black"/>
          <w:sz w:val="28"/>
          <w:szCs w:val="28"/>
        </w:rPr>
      </w:pPr>
      <w:r>
        <w:rPr>
          <w:rFonts w:ascii="Arial Black" w:hAnsi="Arial Black"/>
          <w:sz w:val="28"/>
          <w:szCs w:val="28"/>
        </w:rPr>
        <w:t>6-29</w:t>
      </w:r>
    </w:p>
    <w:p w14:paraId="2F4A87B0" w14:textId="77777777" w:rsidR="00C9355B" w:rsidRDefault="00C9355B" w:rsidP="00C9355B">
      <w:pPr>
        <w:spacing w:before="100" w:beforeAutospacing="1" w:after="100" w:afterAutospacing="1"/>
        <w:rPr>
          <w:rFonts w:ascii="Arial Black" w:eastAsia="Times New Roman" w:hAnsi="Arial Black"/>
          <w:bCs/>
          <w:sz w:val="28"/>
          <w:szCs w:val="28"/>
        </w:rPr>
      </w:pPr>
      <w:r w:rsidRPr="005463FA">
        <w:rPr>
          <w:rFonts w:ascii="Arial Black" w:eastAsia="Times New Roman" w:hAnsi="Arial Black"/>
          <w:bCs/>
          <w:sz w:val="28"/>
          <w:szCs w:val="28"/>
        </w:rPr>
        <w:t xml:space="preserve">IL: </w:t>
      </w:r>
      <w:r>
        <w:rPr>
          <w:rFonts w:ascii="Arial Black" w:eastAsia="Times New Roman" w:hAnsi="Arial Black"/>
          <w:bCs/>
          <w:sz w:val="28"/>
          <w:szCs w:val="28"/>
        </w:rPr>
        <w:t>PARAMEDIC LIFTING WEIGHTS – CLAIMED RIGHT FOOT INJURY – LATER VIDEOTAPED WORKING OUT, WALKING OK – CLAIM DENIED</w:t>
      </w:r>
    </w:p>
    <w:p w14:paraId="5793B94E" w14:textId="71B5CDF1" w:rsidR="00C9355B" w:rsidRDefault="00C9355B" w:rsidP="00E40E39">
      <w:pPr>
        <w:spacing w:before="100" w:beforeAutospacing="1" w:after="100" w:afterAutospacing="1"/>
        <w:rPr>
          <w:rFonts w:ascii="Times New Roman" w:hAnsi="Times New Roman"/>
          <w:bCs/>
          <w:sz w:val="24"/>
          <w:szCs w:val="24"/>
        </w:rPr>
      </w:pPr>
      <w:r w:rsidRPr="004236BE">
        <w:rPr>
          <w:rFonts w:ascii="Times New Roman" w:eastAsia="Times New Roman" w:hAnsi="Times New Roman"/>
          <w:sz w:val="24"/>
          <w:szCs w:val="24"/>
        </w:rPr>
        <w:t xml:space="preserve">On Dec. 27, 2019, in </w:t>
      </w:r>
      <w:r w:rsidRPr="004236BE">
        <w:rPr>
          <w:rFonts w:ascii="Times New Roman" w:eastAsia="Times New Roman" w:hAnsi="Times New Roman"/>
          <w:sz w:val="24"/>
          <w:szCs w:val="24"/>
          <w:u w:val="single"/>
        </w:rPr>
        <w:t>Brian Isenhardt v. Illinois Workers’ Compensation Commission</w:t>
      </w:r>
      <w:r w:rsidRPr="004236BE">
        <w:rPr>
          <w:rFonts w:ascii="Times New Roman" w:eastAsia="Times New Roman" w:hAnsi="Times New Roman"/>
          <w:sz w:val="24"/>
          <w:szCs w:val="24"/>
        </w:rPr>
        <w:t xml:space="preserve">, the Appellate Court of Illinois, First District / Workers’ Compensation Commission Division, held (5 to 0) that the Commission had properly denied the firefighter’s claim.  </w:t>
      </w:r>
    </w:p>
    <w:p w14:paraId="5938BA74" w14:textId="77777777" w:rsidR="00C9355B" w:rsidRPr="004236BE" w:rsidRDefault="00C9355B" w:rsidP="00C9355B">
      <w:pPr>
        <w:spacing w:before="100" w:beforeAutospacing="1" w:after="100" w:afterAutospacing="1"/>
        <w:ind w:left="720"/>
        <w:rPr>
          <w:rFonts w:ascii="Times New Roman" w:hAnsi="Times New Roman"/>
          <w:b/>
          <w:bCs/>
          <w:sz w:val="24"/>
          <w:szCs w:val="24"/>
        </w:rPr>
      </w:pPr>
      <w:r w:rsidRPr="004236BE">
        <w:rPr>
          <w:rFonts w:ascii="Times New Roman" w:hAnsi="Times New Roman"/>
          <w:bCs/>
          <w:sz w:val="24"/>
          <w:szCs w:val="24"/>
        </w:rPr>
        <w:lastRenderedPageBreak/>
        <w:t xml:space="preserve">“The Village also called Erik Ekstrom, a private investigator hired to investigate the claimant. Ekstrom testified that, during his surveillance on January 13, 2015, he observed the claimant walking with a normal gait, taking out the trash, and performing chest exercises at the gym. According to Ekstrom, on January 15, 2015, he observed the claimant walking with a usual gait without the assistance of crutches on his entrance and exit from the gym. He also observed the claimant on the treadmill, lifting </w:t>
      </w:r>
      <w:proofErr w:type="gramStart"/>
      <w:r w:rsidRPr="004236BE">
        <w:rPr>
          <w:rFonts w:ascii="Times New Roman" w:hAnsi="Times New Roman"/>
          <w:bCs/>
          <w:sz w:val="24"/>
          <w:szCs w:val="24"/>
        </w:rPr>
        <w:t>50 to 70 pound</w:t>
      </w:r>
      <w:proofErr w:type="gramEnd"/>
      <w:r w:rsidRPr="004236BE">
        <w:rPr>
          <w:rFonts w:ascii="Times New Roman" w:hAnsi="Times New Roman"/>
          <w:bCs/>
          <w:sz w:val="24"/>
          <w:szCs w:val="24"/>
        </w:rPr>
        <w:t xml:space="preserve"> weights above his head, while simultaneously </w:t>
      </w:r>
      <w:proofErr w:type="spellStart"/>
      <w:r w:rsidRPr="004236BE">
        <w:rPr>
          <w:rFonts w:ascii="Times New Roman" w:hAnsi="Times New Roman"/>
          <w:bCs/>
          <w:sz w:val="24"/>
          <w:szCs w:val="24"/>
        </w:rPr>
        <w:t>lexing</w:t>
      </w:r>
      <w:proofErr w:type="spellEnd"/>
      <w:r w:rsidRPr="004236BE">
        <w:rPr>
          <w:rFonts w:ascii="Times New Roman" w:hAnsi="Times New Roman"/>
          <w:bCs/>
          <w:sz w:val="24"/>
          <w:szCs w:val="24"/>
        </w:rPr>
        <w:t xml:space="preserve"> both ankles and standing on his “tippy toes,” without appearing to be in pain. Ekstrom recorded video during his surveillance, and a DVD of that video was admitted into evidence. </w:t>
      </w:r>
    </w:p>
    <w:p w14:paraId="7055DB2A" w14:textId="77777777" w:rsidR="00C9355B" w:rsidRPr="004236BE" w:rsidRDefault="00C9355B" w:rsidP="00C9355B">
      <w:pPr>
        <w:spacing w:before="100" w:beforeAutospacing="1" w:after="100" w:afterAutospacing="1"/>
        <w:ind w:left="720"/>
        <w:rPr>
          <w:rFonts w:ascii="Times New Roman" w:eastAsia="Times New Roman" w:hAnsi="Times New Roman"/>
          <w:b/>
          <w:bCs/>
          <w:sz w:val="24"/>
          <w:szCs w:val="24"/>
        </w:rPr>
      </w:pPr>
      <w:r w:rsidRPr="004236BE">
        <w:rPr>
          <w:rFonts w:ascii="Times New Roman" w:hAnsi="Times New Roman"/>
          <w:bCs/>
          <w:sz w:val="24"/>
          <w:szCs w:val="24"/>
        </w:rPr>
        <w:t>***</w:t>
      </w:r>
    </w:p>
    <w:p w14:paraId="28C5D119" w14:textId="77777777" w:rsidR="00C9355B" w:rsidRPr="004236BE" w:rsidRDefault="00C9355B" w:rsidP="00C9355B">
      <w:pPr>
        <w:pStyle w:val="NoSpacing"/>
        <w:ind w:left="720"/>
        <w:rPr>
          <w:rFonts w:ascii="Times New Roman" w:hAnsi="Times New Roman"/>
          <w:b/>
          <w:bCs/>
          <w:sz w:val="24"/>
          <w:szCs w:val="24"/>
        </w:rPr>
      </w:pPr>
      <w:r w:rsidRPr="004236BE">
        <w:rPr>
          <w:rFonts w:ascii="Times New Roman" w:hAnsi="Times New Roman"/>
          <w:bCs/>
          <w:sz w:val="24"/>
          <w:szCs w:val="24"/>
        </w:rPr>
        <w:t xml:space="preserve">The Commission found the claimant’s testimony not credible and found his ‘subjective complaints’ of pain ‘questionable’ based on his ankle and foot MRIs, which did not reveal any acute pathology, as well as the testimonies of both [HR employee] Majda and Eriksom, who observed the claimant, subsequent to November 8, 2014, weightlifting and walking normally without assistance or apparent pain.” </w:t>
      </w:r>
      <w:hyperlink r:id="rId1239" w:history="1">
        <w:r w:rsidRPr="004236BE">
          <w:rPr>
            <w:rStyle w:val="Hyperlink"/>
            <w:rFonts w:ascii="Times New Roman" w:hAnsi="Times New Roman"/>
            <w:b/>
            <w:sz w:val="24"/>
            <w:szCs w:val="24"/>
          </w:rPr>
          <w:t>https://courts.illinois.gov/R23_Orders/WorkersComp/2020/1190373WC_R23.pdf</w:t>
        </w:r>
      </w:hyperlink>
      <w:r w:rsidRPr="004236BE">
        <w:rPr>
          <w:rFonts w:ascii="Times New Roman" w:hAnsi="Times New Roman"/>
          <w:bCs/>
          <w:sz w:val="24"/>
          <w:szCs w:val="24"/>
        </w:rPr>
        <w:t xml:space="preserve"> </w:t>
      </w:r>
    </w:p>
    <w:p w14:paraId="68909A50" w14:textId="77777777" w:rsidR="00C9355B" w:rsidRDefault="00C9355B" w:rsidP="00C9355B">
      <w:pPr>
        <w:pStyle w:val="NoSpacing"/>
        <w:tabs>
          <w:tab w:val="left" w:pos="3210"/>
        </w:tabs>
        <w:rPr>
          <w:rFonts w:ascii="Times New Roman" w:hAnsi="Times New Roman"/>
          <w:b/>
          <w:bCs/>
          <w:sz w:val="24"/>
          <w:szCs w:val="24"/>
        </w:rPr>
      </w:pPr>
    </w:p>
    <w:p w14:paraId="5F243CEE" w14:textId="0C425A58" w:rsidR="00C9355B" w:rsidRPr="004236BE" w:rsidRDefault="00C9355B" w:rsidP="00C9355B">
      <w:pPr>
        <w:pStyle w:val="NoSpacing"/>
        <w:tabs>
          <w:tab w:val="left" w:pos="3210"/>
        </w:tabs>
        <w:rPr>
          <w:rFonts w:ascii="Times New Roman" w:hAnsi="Times New Roman"/>
          <w:b/>
          <w:bCs/>
          <w:sz w:val="24"/>
          <w:szCs w:val="24"/>
        </w:rPr>
      </w:pPr>
      <w:r w:rsidRPr="004236BE">
        <w:rPr>
          <w:rFonts w:ascii="Times New Roman" w:hAnsi="Times New Roman"/>
          <w:b/>
          <w:bCs/>
          <w:sz w:val="24"/>
          <w:szCs w:val="24"/>
        </w:rPr>
        <w:t>Legal Lessons Learned:  The private investigator’s video, and the report of the independent medical examiner</w:t>
      </w:r>
      <w:r>
        <w:rPr>
          <w:rFonts w:ascii="Times New Roman" w:hAnsi="Times New Roman"/>
          <w:b/>
          <w:bCs/>
          <w:sz w:val="24"/>
          <w:szCs w:val="24"/>
        </w:rPr>
        <w:t>, and testimony by HR employee, all</w:t>
      </w:r>
      <w:r w:rsidRPr="004236BE">
        <w:rPr>
          <w:rFonts w:ascii="Times New Roman" w:hAnsi="Times New Roman"/>
          <w:b/>
          <w:bCs/>
          <w:sz w:val="24"/>
          <w:szCs w:val="24"/>
        </w:rPr>
        <w:t xml:space="preserve"> led to denial of the claim. </w:t>
      </w:r>
    </w:p>
    <w:p w14:paraId="6D995B25" w14:textId="77777777" w:rsidR="00C9355B" w:rsidRDefault="00C9355B" w:rsidP="00A06387">
      <w:pPr>
        <w:pStyle w:val="NoSpacing"/>
        <w:rPr>
          <w:rFonts w:ascii="Arial Black" w:hAnsi="Arial Black"/>
          <w:sz w:val="28"/>
          <w:szCs w:val="28"/>
        </w:rPr>
      </w:pPr>
    </w:p>
    <w:p w14:paraId="27D8882C" w14:textId="38ECBFAD" w:rsidR="00C9355B" w:rsidRDefault="00C9355B" w:rsidP="00A06387">
      <w:pPr>
        <w:pStyle w:val="NoSpacing"/>
        <w:rPr>
          <w:rFonts w:ascii="Arial Black" w:hAnsi="Arial Black"/>
          <w:sz w:val="28"/>
          <w:szCs w:val="28"/>
        </w:rPr>
      </w:pPr>
    </w:p>
    <w:p w14:paraId="6D821275" w14:textId="320AFEB4" w:rsidR="00C9355B" w:rsidRDefault="00C9355B" w:rsidP="00A06387">
      <w:pPr>
        <w:pStyle w:val="NoSpacing"/>
        <w:rPr>
          <w:rFonts w:ascii="Arial Black" w:hAnsi="Arial Black"/>
          <w:sz w:val="28"/>
          <w:szCs w:val="28"/>
        </w:rPr>
      </w:pPr>
    </w:p>
    <w:p w14:paraId="6AD9FDF4" w14:textId="77777777" w:rsidR="00C9355B" w:rsidRDefault="00C9355B" w:rsidP="00A06387">
      <w:pPr>
        <w:pStyle w:val="NoSpacing"/>
        <w:rPr>
          <w:rFonts w:ascii="Arial Black" w:hAnsi="Arial Black"/>
          <w:sz w:val="28"/>
          <w:szCs w:val="28"/>
        </w:rPr>
      </w:pPr>
    </w:p>
    <w:p w14:paraId="1BB8B635" w14:textId="77777777" w:rsidR="00F27CD5" w:rsidRDefault="00F27CD5" w:rsidP="00A06387">
      <w:pPr>
        <w:pStyle w:val="NoSpacing"/>
        <w:rPr>
          <w:rFonts w:ascii="Arial Black" w:hAnsi="Arial Black"/>
          <w:sz w:val="28"/>
          <w:szCs w:val="28"/>
        </w:rPr>
      </w:pPr>
    </w:p>
    <w:p w14:paraId="35303F2E" w14:textId="4AB1A2A0" w:rsidR="007C6FEF" w:rsidRDefault="007C6FEF" w:rsidP="00A06387">
      <w:pPr>
        <w:pStyle w:val="NoSpacing"/>
        <w:rPr>
          <w:rFonts w:ascii="Arial Black" w:hAnsi="Arial Black"/>
          <w:sz w:val="28"/>
          <w:szCs w:val="28"/>
        </w:rPr>
      </w:pPr>
      <w:r>
        <w:rPr>
          <w:rFonts w:ascii="Arial Black" w:hAnsi="Arial Black"/>
          <w:sz w:val="28"/>
          <w:szCs w:val="28"/>
        </w:rPr>
        <w:t>6-28</w:t>
      </w:r>
    </w:p>
    <w:p w14:paraId="526835EF" w14:textId="5C60C775" w:rsidR="007C6FEF" w:rsidRDefault="007C6FEF" w:rsidP="00A06387">
      <w:pPr>
        <w:pStyle w:val="NoSpacing"/>
        <w:rPr>
          <w:rFonts w:ascii="Arial Black" w:hAnsi="Arial Black"/>
          <w:sz w:val="28"/>
          <w:szCs w:val="28"/>
        </w:rPr>
      </w:pPr>
    </w:p>
    <w:p w14:paraId="6B8E3B07" w14:textId="77777777" w:rsidR="007C6FEF" w:rsidRPr="00B01F90" w:rsidRDefault="007C6FEF" w:rsidP="007C6FEF">
      <w:pPr>
        <w:rPr>
          <w:rFonts w:ascii="Arial Black" w:hAnsi="Arial Black"/>
          <w:sz w:val="28"/>
          <w:szCs w:val="28"/>
        </w:rPr>
      </w:pPr>
      <w:r w:rsidRPr="00B01F90">
        <w:rPr>
          <w:rFonts w:ascii="Arial Black" w:hAnsi="Arial Black"/>
          <w:sz w:val="28"/>
          <w:szCs w:val="28"/>
        </w:rPr>
        <w:t>PA</w:t>
      </w:r>
      <w:r>
        <w:rPr>
          <w:rFonts w:ascii="Arial Black" w:hAnsi="Arial Black"/>
          <w:sz w:val="28"/>
          <w:szCs w:val="28"/>
        </w:rPr>
        <w:t xml:space="preserve">: </w:t>
      </w:r>
      <w:r w:rsidRPr="00B01F90">
        <w:rPr>
          <w:rFonts w:ascii="Arial Black" w:hAnsi="Arial Black"/>
          <w:sz w:val="28"/>
          <w:szCs w:val="28"/>
        </w:rPr>
        <w:t>PHIL</w:t>
      </w:r>
      <w:r>
        <w:rPr>
          <w:rFonts w:ascii="Arial Black" w:hAnsi="Arial Black"/>
          <w:sz w:val="28"/>
          <w:szCs w:val="28"/>
        </w:rPr>
        <w:t xml:space="preserve">ADEPHIA </w:t>
      </w:r>
      <w:r w:rsidRPr="00B01F90">
        <w:rPr>
          <w:rFonts w:ascii="Arial Black" w:hAnsi="Arial Black"/>
          <w:sz w:val="28"/>
          <w:szCs w:val="28"/>
        </w:rPr>
        <w:t xml:space="preserve">FF WITH LUNG CANCER – SMOKER </w:t>
      </w:r>
      <w:r>
        <w:rPr>
          <w:rFonts w:ascii="Arial Black" w:hAnsi="Arial Black"/>
          <w:sz w:val="28"/>
          <w:szCs w:val="28"/>
        </w:rPr>
        <w:t>–</w:t>
      </w:r>
      <w:r w:rsidRPr="00B01F90">
        <w:rPr>
          <w:rFonts w:ascii="Arial Black" w:hAnsi="Arial Black"/>
          <w:sz w:val="28"/>
          <w:szCs w:val="28"/>
        </w:rPr>
        <w:t xml:space="preserve"> </w:t>
      </w:r>
      <w:r>
        <w:rPr>
          <w:rFonts w:ascii="Arial Black" w:hAnsi="Arial Black"/>
          <w:sz w:val="28"/>
          <w:szCs w:val="28"/>
        </w:rPr>
        <w:t xml:space="preserve">WILL RECEIVE WORKERS COMP BENEFITS – 2011 </w:t>
      </w:r>
      <w:r w:rsidRPr="00B01F90">
        <w:rPr>
          <w:rFonts w:ascii="Arial Black" w:hAnsi="Arial Black"/>
          <w:sz w:val="28"/>
          <w:szCs w:val="28"/>
        </w:rPr>
        <w:t>STATUTORY PRESUMPTION</w:t>
      </w:r>
      <w:r>
        <w:rPr>
          <w:rFonts w:ascii="Arial Black" w:hAnsi="Arial Black"/>
          <w:sz w:val="28"/>
          <w:szCs w:val="28"/>
        </w:rPr>
        <w:t xml:space="preserve"> LAW</w:t>
      </w:r>
    </w:p>
    <w:p w14:paraId="4A7B614C" w14:textId="77777777" w:rsidR="007C6FEF" w:rsidRDefault="007C6FEF" w:rsidP="007C6FEF">
      <w:pPr>
        <w:rPr>
          <w:rFonts w:ascii="Times New Roman" w:hAnsi="Times New Roman"/>
          <w:sz w:val="24"/>
          <w:szCs w:val="24"/>
        </w:rPr>
      </w:pPr>
      <w:r w:rsidRPr="00B01F90">
        <w:rPr>
          <w:rFonts w:ascii="Times New Roman" w:hAnsi="Times New Roman"/>
          <w:sz w:val="24"/>
          <w:szCs w:val="24"/>
        </w:rPr>
        <w:t xml:space="preserve">On Jan. 3, 2020, in </w:t>
      </w:r>
      <w:r w:rsidRPr="00B01F90">
        <w:rPr>
          <w:rFonts w:ascii="Times New Roman" w:hAnsi="Times New Roman"/>
          <w:sz w:val="24"/>
          <w:szCs w:val="24"/>
          <w:u w:val="single"/>
        </w:rPr>
        <w:t>Wayne Deloatch v. Workers’ Compensation Appeal Board (City of Philadelphia)</w:t>
      </w:r>
      <w:r>
        <w:rPr>
          <w:rFonts w:ascii="Times New Roman" w:hAnsi="Times New Roman"/>
          <w:sz w:val="24"/>
          <w:szCs w:val="24"/>
        </w:rPr>
        <w:t xml:space="preserve">, the Commonwealth Court of Pennsylvania held (3 to 0) that the firefighter is entitled to benefits.  </w:t>
      </w:r>
    </w:p>
    <w:p w14:paraId="7A506DDB" w14:textId="77777777" w:rsidR="007C6FEF" w:rsidRPr="00F56F6D" w:rsidRDefault="007C6FEF" w:rsidP="007C6FEF">
      <w:pPr>
        <w:spacing w:before="100" w:beforeAutospacing="1" w:after="100" w:afterAutospacing="1" w:line="240" w:lineRule="auto"/>
        <w:ind w:left="720"/>
        <w:rPr>
          <w:rFonts w:ascii="Times New Roman" w:eastAsia="Times New Roman" w:hAnsi="Times New Roman"/>
          <w:sz w:val="24"/>
          <w:szCs w:val="24"/>
        </w:rPr>
      </w:pPr>
      <w:r w:rsidRPr="00B01F90">
        <w:rPr>
          <w:rFonts w:ascii="Times New Roman" w:eastAsia="Times New Roman" w:hAnsi="Times New Roman"/>
          <w:sz w:val="24"/>
          <w:szCs w:val="24"/>
        </w:rPr>
        <w:t>“</w:t>
      </w:r>
      <w:r w:rsidRPr="00B01F90">
        <w:rPr>
          <w:rFonts w:ascii="Times New Roman" w:hAnsi="Times New Roman"/>
          <w:sz w:val="24"/>
          <w:szCs w:val="24"/>
        </w:rPr>
        <w:t>During Claimant's firefighting career (20 years), he fought approximately 200-300 fires, including building, house, car, dumpster, trash, grass, and field fires, which exposed him to smoke.</w:t>
      </w:r>
      <w:r>
        <w:rPr>
          <w:rFonts w:ascii="Times New Roman" w:hAnsi="Times New Roman"/>
          <w:sz w:val="24"/>
          <w:szCs w:val="24"/>
        </w:rPr>
        <w:t xml:space="preserve"> *** </w:t>
      </w:r>
      <w:r w:rsidRPr="00B01F90">
        <w:rPr>
          <w:rFonts w:ascii="Times New Roman" w:eastAsia="Times New Roman" w:hAnsi="Times New Roman"/>
          <w:sz w:val="24"/>
          <w:szCs w:val="24"/>
        </w:rPr>
        <w:t>Claimant did not use the SCBA during exterior firefighting—</w:t>
      </w:r>
      <w:r w:rsidRPr="00B01F90">
        <w:rPr>
          <w:rFonts w:ascii="Times New Roman" w:eastAsia="Times New Roman" w:hAnsi="Times New Roman"/>
          <w:i/>
          <w:iCs/>
          <w:sz w:val="24"/>
          <w:szCs w:val="24"/>
        </w:rPr>
        <w:t>i</w:t>
      </w:r>
      <w:r w:rsidRPr="00B01F90">
        <w:rPr>
          <w:rFonts w:ascii="Times New Roman" w:eastAsia="Times New Roman" w:hAnsi="Times New Roman"/>
          <w:sz w:val="24"/>
          <w:szCs w:val="24"/>
        </w:rPr>
        <w:t>.</w:t>
      </w:r>
      <w:r w:rsidRPr="00B01F90">
        <w:rPr>
          <w:rFonts w:ascii="Times New Roman" w:eastAsia="Times New Roman" w:hAnsi="Times New Roman"/>
          <w:i/>
          <w:iCs/>
          <w:sz w:val="24"/>
          <w:szCs w:val="24"/>
        </w:rPr>
        <w:t>e</w:t>
      </w:r>
      <w:r w:rsidRPr="00B01F90">
        <w:rPr>
          <w:rFonts w:ascii="Times New Roman" w:eastAsia="Times New Roman" w:hAnsi="Times New Roman"/>
          <w:sz w:val="24"/>
          <w:szCs w:val="24"/>
        </w:rPr>
        <w:t xml:space="preserve">., outdoor firefighting—or overhaul, which entailed </w:t>
      </w:r>
      <w:r>
        <w:rPr>
          <w:rFonts w:ascii="Times New Roman" w:eastAsia="Times New Roman" w:hAnsi="Times New Roman"/>
          <w:sz w:val="24"/>
          <w:szCs w:val="24"/>
        </w:rPr>
        <w:t>‘</w:t>
      </w:r>
      <w:r w:rsidRPr="00B01F90">
        <w:rPr>
          <w:rFonts w:ascii="Times New Roman" w:eastAsia="Times New Roman" w:hAnsi="Times New Roman"/>
          <w:sz w:val="24"/>
          <w:szCs w:val="24"/>
        </w:rPr>
        <w:t>ripping of walls, ceilings, searching for any hidden fire and extinguishing that if it's visible.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After exposure to each fire incident, Claimant's body would be coated in soot, and Claimant would often find soot in his nasal secretions up to a week after exposure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Claimant further testified that he stopped smoking cigarettes in 2011, but had a 30 to 35-year-long smoking history</w:t>
      </w:r>
      <w:r>
        <w:rPr>
          <w:rFonts w:ascii="Times New Roman" w:eastAsia="Times New Roman" w:hAnsi="Times New Roman"/>
          <w:sz w:val="24"/>
          <w:szCs w:val="24"/>
        </w:rPr>
        <w:t xml:space="preserve">… </w:t>
      </w:r>
      <w:r w:rsidRPr="00B01F90">
        <w:rPr>
          <w:rFonts w:ascii="Times New Roman" w:eastAsia="Times New Roman" w:hAnsi="Times New Roman"/>
          <w:sz w:val="24"/>
          <w:szCs w:val="24"/>
        </w:rPr>
        <w:t>During that period, Claimant recalled smoking only one pack of cigarettes per week</w:t>
      </w:r>
      <w:r>
        <w:rPr>
          <w:rFonts w:ascii="Times New Roman" w:eastAsia="Times New Roman" w:hAnsi="Times New Roman"/>
          <w:sz w:val="24"/>
          <w:szCs w:val="24"/>
        </w:rPr>
        <w:t xml:space="preserve">…. </w:t>
      </w:r>
      <w:r w:rsidRPr="00B01F90">
        <w:rPr>
          <w:rFonts w:ascii="Times New Roman" w:eastAsia="Times New Roman" w:hAnsi="Times New Roman"/>
          <w:sz w:val="24"/>
          <w:szCs w:val="24"/>
        </w:rPr>
        <w:t xml:space="preserve">Firefighters were permitted to smoke in the fire stations, and Claimant worked with smokers during his career as a firefighter. </w:t>
      </w:r>
      <w:r>
        <w:rPr>
          <w:rFonts w:ascii="Times New Roman" w:eastAsia="Times New Roman" w:hAnsi="Times New Roman"/>
          <w:sz w:val="24"/>
          <w:szCs w:val="24"/>
        </w:rPr>
        <w:t xml:space="preserve">*** </w:t>
      </w:r>
      <w:r w:rsidRPr="00F56F6D">
        <w:rPr>
          <w:rFonts w:ascii="Times New Roman" w:eastAsia="Times New Roman" w:hAnsi="Times New Roman"/>
          <w:sz w:val="24"/>
          <w:szCs w:val="24"/>
        </w:rPr>
        <w:t>For the reasons set forth above, Claimant established that he was entitled to the statutory presumption under Section 301(f) of the Act, being that his lung cancer was caused by the occupation of firefighting. Employer failed to rebut the statutory presumption with substantial competent evidence that Claimant's</w:t>
      </w:r>
      <w:r>
        <w:rPr>
          <w:rFonts w:ascii="Times New Roman" w:eastAsia="Times New Roman" w:hAnsi="Times New Roman"/>
          <w:sz w:val="24"/>
          <w:szCs w:val="24"/>
        </w:rPr>
        <w:t xml:space="preserve"> </w:t>
      </w:r>
      <w:r w:rsidRPr="00F56F6D">
        <w:rPr>
          <w:rFonts w:ascii="Times New Roman" w:eastAsia="Times New Roman" w:hAnsi="Times New Roman"/>
          <w:sz w:val="24"/>
          <w:szCs w:val="24"/>
        </w:rPr>
        <w:t xml:space="preserve">cancer was caused by something other than his workplace exposure to IARC Group 1 carcinogens linked to lung cancer. </w:t>
      </w:r>
      <w:hyperlink r:id="rId1240" w:history="1">
        <w:r w:rsidRPr="00B01F90">
          <w:rPr>
            <w:rStyle w:val="Hyperlink"/>
            <w:rFonts w:ascii="Times New Roman" w:eastAsia="Times New Roman" w:hAnsi="Times New Roman"/>
            <w:sz w:val="24"/>
            <w:szCs w:val="24"/>
          </w:rPr>
          <w:t>https://public.fastcase.com/Wl%2B2t%2BeVuI35%2FN70vAMFZi2NtCwkTvdiKyrWKXTmtjwARSxGp50rXf7QoqUpwr%2BO</w:t>
        </w:r>
      </w:hyperlink>
      <w:r w:rsidRPr="00B01F90">
        <w:rPr>
          <w:rFonts w:ascii="Times New Roman" w:eastAsia="Times New Roman" w:hAnsi="Times New Roman"/>
          <w:sz w:val="24"/>
          <w:szCs w:val="24"/>
        </w:rPr>
        <w:t xml:space="preserve"> </w:t>
      </w:r>
    </w:p>
    <w:p w14:paraId="07D0AD1F" w14:textId="77777777" w:rsidR="007C6FEF" w:rsidRDefault="007C6FEF" w:rsidP="00A06387">
      <w:pPr>
        <w:pStyle w:val="NoSpacing"/>
        <w:rPr>
          <w:rFonts w:ascii="Arial Black" w:hAnsi="Arial Black"/>
          <w:sz w:val="28"/>
          <w:szCs w:val="28"/>
        </w:rPr>
      </w:pPr>
    </w:p>
    <w:p w14:paraId="3F6E0C59" w14:textId="77777777" w:rsidR="007C6FEF" w:rsidRDefault="007C6FEF" w:rsidP="00A06387">
      <w:pPr>
        <w:pStyle w:val="NoSpacing"/>
        <w:rPr>
          <w:rFonts w:ascii="Arial Black" w:hAnsi="Arial Black"/>
          <w:sz w:val="28"/>
          <w:szCs w:val="28"/>
        </w:rPr>
      </w:pPr>
    </w:p>
    <w:p w14:paraId="54CC9EBF" w14:textId="77777777" w:rsidR="007C6FEF" w:rsidRDefault="007C6FEF" w:rsidP="00A06387">
      <w:pPr>
        <w:pStyle w:val="NoSpacing"/>
        <w:rPr>
          <w:rFonts w:ascii="Arial Black" w:hAnsi="Arial Black"/>
          <w:sz w:val="28"/>
          <w:szCs w:val="28"/>
        </w:rPr>
      </w:pPr>
    </w:p>
    <w:p w14:paraId="1BF140C3" w14:textId="7BDC7DA2" w:rsidR="007C6FEF" w:rsidRDefault="007C6FEF" w:rsidP="00A06387">
      <w:pPr>
        <w:pStyle w:val="NoSpacing"/>
        <w:rPr>
          <w:rFonts w:ascii="Arial Black" w:hAnsi="Arial Black"/>
          <w:sz w:val="28"/>
          <w:szCs w:val="28"/>
        </w:rPr>
      </w:pPr>
      <w:r>
        <w:rPr>
          <w:rFonts w:ascii="Arial Black" w:hAnsi="Arial Black"/>
          <w:sz w:val="28"/>
          <w:szCs w:val="28"/>
        </w:rPr>
        <w:t>6-27</w:t>
      </w:r>
    </w:p>
    <w:p w14:paraId="2FD1BD7D" w14:textId="3EF71137" w:rsidR="007C6FEF" w:rsidRDefault="007C6FEF" w:rsidP="007C6FEF">
      <w:pPr>
        <w:rPr>
          <w:rFonts w:ascii="Arial Black" w:hAnsi="Arial Black"/>
          <w:sz w:val="28"/>
          <w:szCs w:val="28"/>
        </w:rPr>
      </w:pPr>
      <w:r w:rsidRPr="00407E0E">
        <w:rPr>
          <w:rFonts w:ascii="Arial Black" w:hAnsi="Arial Black"/>
          <w:sz w:val="28"/>
          <w:szCs w:val="28"/>
        </w:rPr>
        <w:t>RI:</w:t>
      </w:r>
      <w:r>
        <w:rPr>
          <w:rFonts w:ascii="Arial Black" w:hAnsi="Arial Black"/>
          <w:sz w:val="28"/>
          <w:szCs w:val="28"/>
        </w:rPr>
        <w:t xml:space="preserve"> CRANSTON FF – 20 YRS ON FD - DIED COLON CANCER 2017 – RI SUPREME COURT DENIES WIDOW ACCIDENTAL DISABILITY PENSION</w:t>
      </w:r>
    </w:p>
    <w:p w14:paraId="1C5F38B5" w14:textId="77777777" w:rsidR="007C6FEF" w:rsidRDefault="007C6FEF" w:rsidP="007C6FEF">
      <w:pPr>
        <w:rPr>
          <w:b/>
          <w:bCs/>
        </w:rPr>
      </w:pPr>
      <w:r w:rsidRPr="00212873">
        <w:rPr>
          <w:rFonts w:ascii="Times New Roman" w:hAnsi="Times New Roman"/>
          <w:sz w:val="24"/>
          <w:szCs w:val="24"/>
        </w:rPr>
        <w:t xml:space="preserve">On Dec. 18, </w:t>
      </w:r>
      <w:proofErr w:type="gramStart"/>
      <w:r w:rsidRPr="00212873">
        <w:rPr>
          <w:rFonts w:ascii="Times New Roman" w:hAnsi="Times New Roman"/>
          <w:sz w:val="24"/>
          <w:szCs w:val="24"/>
        </w:rPr>
        <w:t>2019</w:t>
      </w:r>
      <w:proofErr w:type="gramEnd"/>
      <w:r w:rsidRPr="00212873">
        <w:rPr>
          <w:rFonts w:ascii="Times New Roman" w:hAnsi="Times New Roman"/>
          <w:sz w:val="24"/>
          <w:szCs w:val="24"/>
        </w:rPr>
        <w:t xml:space="preserve"> in </w:t>
      </w:r>
      <w:r w:rsidRPr="00212873">
        <w:rPr>
          <w:rFonts w:ascii="Times New Roman" w:hAnsi="Times New Roman"/>
          <w:sz w:val="24"/>
          <w:szCs w:val="24"/>
          <w:u w:val="single"/>
        </w:rPr>
        <w:t>Corrine A. Lang as Executrix of Estate of Kevin Land v. Municipal Employees’ Retirement System of Rhode Island</w:t>
      </w:r>
      <w:r w:rsidRPr="00212873">
        <w:rPr>
          <w:rFonts w:ascii="Times New Roman" w:hAnsi="Times New Roman"/>
          <w:sz w:val="24"/>
          <w:szCs w:val="24"/>
        </w:rPr>
        <w:t xml:space="preserve">, the Supreme Court of Rode Island </w:t>
      </w:r>
      <w:r>
        <w:rPr>
          <w:rFonts w:ascii="Times New Roman" w:hAnsi="Times New Roman"/>
          <w:sz w:val="24"/>
          <w:szCs w:val="24"/>
        </w:rPr>
        <w:t xml:space="preserve">ruled </w:t>
      </w:r>
      <w:r w:rsidRPr="00212873">
        <w:rPr>
          <w:rFonts w:ascii="Times New Roman" w:hAnsi="Times New Roman"/>
          <w:sz w:val="24"/>
          <w:szCs w:val="24"/>
        </w:rPr>
        <w:t>(4 to 1)</w:t>
      </w:r>
      <w:r>
        <w:rPr>
          <w:rFonts w:ascii="Times New Roman" w:hAnsi="Times New Roman"/>
          <w:sz w:val="24"/>
          <w:szCs w:val="24"/>
        </w:rPr>
        <w:t xml:space="preserve"> that the widow was not entitled to an award of accidental disability benefits, reversing the </w:t>
      </w:r>
      <w:r w:rsidRPr="00212873">
        <w:rPr>
          <w:rFonts w:ascii="Times New Roman" w:hAnsi="Times New Roman"/>
          <w:sz w:val="24"/>
          <w:szCs w:val="24"/>
        </w:rPr>
        <w:t>Appellate Division of the Workers’ Compensation Court</w:t>
      </w:r>
      <w:r>
        <w:rPr>
          <w:rFonts w:ascii="Times New Roman" w:hAnsi="Times New Roman"/>
          <w:sz w:val="24"/>
          <w:szCs w:val="24"/>
        </w:rPr>
        <w:t>.</w:t>
      </w:r>
    </w:p>
    <w:p w14:paraId="0E961C8B" w14:textId="0C0F387F" w:rsidR="007C6FEF" w:rsidRDefault="007C6FEF" w:rsidP="009F1927">
      <w:pPr>
        <w:pStyle w:val="NoSpacing"/>
        <w:ind w:left="720"/>
        <w:rPr>
          <w:rFonts w:ascii="Arial Black" w:hAnsi="Arial Black"/>
          <w:sz w:val="28"/>
          <w:szCs w:val="28"/>
        </w:rPr>
      </w:pPr>
      <w:r>
        <w:rPr>
          <w:rFonts w:ascii="Times New Roman" w:hAnsi="Times New Roman"/>
          <w:sz w:val="24"/>
          <w:szCs w:val="24"/>
        </w:rPr>
        <w:t>“</w:t>
      </w:r>
      <w:r w:rsidRPr="00212873">
        <w:rPr>
          <w:rFonts w:ascii="Times New Roman" w:hAnsi="Times New Roman"/>
          <w:sz w:val="24"/>
          <w:szCs w:val="24"/>
        </w:rPr>
        <w:t>To conclude that the language in § 45-19.1-1 creates a conclusive presumption would not only render the statutory definition of occupational cancer in § 45-19.1-2(d) meaningless</w:t>
      </w:r>
      <w:r>
        <w:rPr>
          <w:rFonts w:ascii="Times New Roman" w:hAnsi="Times New Roman"/>
          <w:sz w:val="24"/>
          <w:szCs w:val="24"/>
        </w:rPr>
        <w:t xml:space="preserve"> </w:t>
      </w:r>
      <w:r w:rsidRPr="00212873">
        <w:rPr>
          <w:rFonts w:ascii="Times New Roman" w:hAnsi="Times New Roman"/>
          <w:sz w:val="24"/>
          <w:szCs w:val="24"/>
        </w:rPr>
        <w:t xml:space="preserve">and create a right not found within the </w:t>
      </w:r>
      <w:proofErr w:type="gramStart"/>
      <w:r w:rsidRPr="00212873">
        <w:rPr>
          <w:rFonts w:ascii="Times New Roman" w:hAnsi="Times New Roman"/>
          <w:sz w:val="24"/>
          <w:szCs w:val="24"/>
        </w:rPr>
        <w:t>statute,</w:t>
      </w:r>
      <w:r>
        <w:rPr>
          <w:rFonts w:ascii="Times New Roman" w:hAnsi="Times New Roman"/>
          <w:sz w:val="24"/>
          <w:szCs w:val="24"/>
        </w:rPr>
        <w:t xml:space="preserve"> </w:t>
      </w:r>
      <w:r w:rsidRPr="00212873">
        <w:rPr>
          <w:rFonts w:ascii="Times New Roman" w:hAnsi="Times New Roman"/>
          <w:sz w:val="24"/>
          <w:szCs w:val="24"/>
        </w:rPr>
        <w:t>but</w:t>
      </w:r>
      <w:proofErr w:type="gramEnd"/>
      <w:r w:rsidRPr="00212873">
        <w:rPr>
          <w:rFonts w:ascii="Times New Roman" w:hAnsi="Times New Roman"/>
          <w:sz w:val="24"/>
          <w:szCs w:val="24"/>
        </w:rPr>
        <w:t xml:space="preserve"> would also construe the statute to reach an absurd result. For example, a conclusive presumption that all cancers in firefighters are occupational cancers would mean that a firefighter who</w:t>
      </w:r>
      <w:r>
        <w:rPr>
          <w:rFonts w:ascii="Times New Roman" w:hAnsi="Times New Roman"/>
          <w:sz w:val="24"/>
          <w:szCs w:val="24"/>
        </w:rPr>
        <w:t xml:space="preserve"> </w:t>
      </w:r>
      <w:r w:rsidRPr="00212873">
        <w:rPr>
          <w:rFonts w:ascii="Times New Roman" w:hAnsi="Times New Roman"/>
          <w:sz w:val="24"/>
          <w:szCs w:val="24"/>
        </w:rPr>
        <w:t>smoked four packs</w:t>
      </w:r>
      <w:r>
        <w:rPr>
          <w:rFonts w:ascii="Times New Roman" w:hAnsi="Times New Roman"/>
          <w:sz w:val="24"/>
          <w:szCs w:val="24"/>
        </w:rPr>
        <w:t xml:space="preserve"> </w:t>
      </w:r>
      <w:r w:rsidRPr="00212873">
        <w:rPr>
          <w:rFonts w:ascii="Times New Roman" w:hAnsi="Times New Roman"/>
          <w:sz w:val="24"/>
          <w:szCs w:val="24"/>
        </w:rPr>
        <w:t>of cigarettes a day</w:t>
      </w:r>
      <w:r>
        <w:rPr>
          <w:rFonts w:ascii="Times New Roman" w:hAnsi="Times New Roman"/>
          <w:sz w:val="24"/>
          <w:szCs w:val="24"/>
        </w:rPr>
        <w:t xml:space="preserve"> </w:t>
      </w:r>
      <w:r w:rsidRPr="00212873">
        <w:rPr>
          <w:rFonts w:ascii="Times New Roman" w:hAnsi="Times New Roman"/>
          <w:sz w:val="24"/>
          <w:szCs w:val="24"/>
        </w:rPr>
        <w:t>for decades</w:t>
      </w:r>
      <w:r>
        <w:rPr>
          <w:rFonts w:ascii="Times New Roman" w:hAnsi="Times New Roman"/>
          <w:sz w:val="24"/>
          <w:szCs w:val="24"/>
        </w:rPr>
        <w:t xml:space="preserve"> </w:t>
      </w:r>
      <w:r w:rsidRPr="00212873">
        <w:rPr>
          <w:rFonts w:ascii="Times New Roman" w:hAnsi="Times New Roman"/>
          <w:sz w:val="24"/>
          <w:szCs w:val="24"/>
        </w:rPr>
        <w:t>would receive an occupational cancer disability benefit despite not having proved</w:t>
      </w:r>
      <w:r>
        <w:rPr>
          <w:rFonts w:ascii="Times New Roman" w:hAnsi="Times New Roman"/>
          <w:sz w:val="24"/>
          <w:szCs w:val="24"/>
        </w:rPr>
        <w:t xml:space="preserve"> </w:t>
      </w:r>
      <w:r w:rsidRPr="00212873">
        <w:rPr>
          <w:rFonts w:ascii="Times New Roman" w:hAnsi="Times New Roman"/>
          <w:sz w:val="24"/>
          <w:szCs w:val="24"/>
        </w:rPr>
        <w:t>that his cancer was related</w:t>
      </w:r>
      <w:r>
        <w:rPr>
          <w:rFonts w:ascii="Times New Roman" w:hAnsi="Times New Roman"/>
          <w:sz w:val="24"/>
          <w:szCs w:val="24"/>
        </w:rPr>
        <w:t xml:space="preserve"> </w:t>
      </w:r>
      <w:r w:rsidRPr="00212873">
        <w:rPr>
          <w:rFonts w:ascii="Times New Roman" w:hAnsi="Times New Roman"/>
          <w:sz w:val="24"/>
          <w:szCs w:val="24"/>
        </w:rPr>
        <w:t>to exposure on the job.</w:t>
      </w:r>
      <w:r>
        <w:rPr>
          <w:rFonts w:ascii="Times New Roman" w:hAnsi="Times New Roman"/>
          <w:sz w:val="24"/>
          <w:szCs w:val="24"/>
        </w:rPr>
        <w:t xml:space="preserve"> </w:t>
      </w:r>
      <w:r w:rsidRPr="00212873">
        <w:rPr>
          <w:rFonts w:ascii="Times New Roman" w:hAnsi="Times New Roman"/>
          <w:sz w:val="24"/>
          <w:szCs w:val="24"/>
        </w:rPr>
        <w:t xml:space="preserve">Similarly, a conclusive presumption would provide occupational cancer benefits to a firefighter who contracted cancer </w:t>
      </w:r>
      <w:proofErr w:type="gramStart"/>
      <w:r w:rsidRPr="00212873">
        <w:rPr>
          <w:rFonts w:ascii="Times New Roman" w:hAnsi="Times New Roman"/>
          <w:sz w:val="24"/>
          <w:szCs w:val="24"/>
        </w:rPr>
        <w:t>as a result of</w:t>
      </w:r>
      <w:proofErr w:type="gramEnd"/>
      <w:r w:rsidRPr="00212873">
        <w:rPr>
          <w:rFonts w:ascii="Times New Roman" w:hAnsi="Times New Roman"/>
          <w:sz w:val="24"/>
          <w:szCs w:val="24"/>
        </w:rPr>
        <w:t xml:space="preserve"> exposure to</w:t>
      </w:r>
      <w:r>
        <w:rPr>
          <w:rFonts w:ascii="Times New Roman" w:hAnsi="Times New Roman"/>
          <w:sz w:val="24"/>
          <w:szCs w:val="24"/>
        </w:rPr>
        <w:t xml:space="preserve"> </w:t>
      </w:r>
      <w:r w:rsidRPr="00212873">
        <w:rPr>
          <w:rFonts w:ascii="Times New Roman" w:hAnsi="Times New Roman"/>
          <w:sz w:val="24"/>
          <w:szCs w:val="24"/>
        </w:rPr>
        <w:t>pesticides while landscaping in his</w:t>
      </w:r>
      <w:r>
        <w:rPr>
          <w:rFonts w:ascii="Times New Roman" w:hAnsi="Times New Roman"/>
          <w:sz w:val="24"/>
          <w:szCs w:val="24"/>
        </w:rPr>
        <w:t xml:space="preserve"> </w:t>
      </w:r>
      <w:r w:rsidRPr="00212873">
        <w:rPr>
          <w:rFonts w:ascii="Times New Roman" w:hAnsi="Times New Roman"/>
          <w:sz w:val="24"/>
          <w:szCs w:val="24"/>
        </w:rPr>
        <w:t>or her</w:t>
      </w:r>
      <w:r>
        <w:rPr>
          <w:rFonts w:ascii="Times New Roman" w:hAnsi="Times New Roman"/>
          <w:sz w:val="24"/>
          <w:szCs w:val="24"/>
        </w:rPr>
        <w:t xml:space="preserve"> </w:t>
      </w:r>
      <w:r w:rsidRPr="00212873">
        <w:rPr>
          <w:rFonts w:ascii="Times New Roman" w:hAnsi="Times New Roman"/>
          <w:sz w:val="24"/>
          <w:szCs w:val="24"/>
        </w:rPr>
        <w:t>yard.</w:t>
      </w:r>
      <w:r>
        <w:rPr>
          <w:rFonts w:ascii="Times New Roman" w:hAnsi="Times New Roman"/>
          <w:sz w:val="24"/>
          <w:szCs w:val="24"/>
        </w:rPr>
        <w:t xml:space="preserve"> </w:t>
      </w:r>
      <w:r w:rsidRPr="00212873">
        <w:rPr>
          <w:rFonts w:ascii="Times New Roman" w:hAnsi="Times New Roman"/>
          <w:sz w:val="24"/>
          <w:szCs w:val="24"/>
        </w:rPr>
        <w:t>We do not believe the General Assembly would have extended such broad</w:t>
      </w:r>
      <w:r>
        <w:rPr>
          <w:rFonts w:ascii="Times New Roman" w:hAnsi="Times New Roman"/>
          <w:sz w:val="24"/>
          <w:szCs w:val="24"/>
        </w:rPr>
        <w:t xml:space="preserve"> </w:t>
      </w:r>
      <w:r w:rsidRPr="00212873">
        <w:rPr>
          <w:rFonts w:ascii="Times New Roman" w:hAnsi="Times New Roman"/>
          <w:sz w:val="24"/>
          <w:szCs w:val="24"/>
        </w:rPr>
        <w:t>benefits to all firefighters without expressly providing for</w:t>
      </w:r>
      <w:r>
        <w:rPr>
          <w:rFonts w:ascii="Times New Roman" w:hAnsi="Times New Roman"/>
          <w:sz w:val="24"/>
          <w:szCs w:val="24"/>
        </w:rPr>
        <w:t xml:space="preserve"> </w:t>
      </w:r>
      <w:r w:rsidRPr="00212873">
        <w:rPr>
          <w:rFonts w:ascii="Times New Roman" w:hAnsi="Times New Roman"/>
          <w:sz w:val="24"/>
          <w:szCs w:val="24"/>
        </w:rPr>
        <w:t>such</w:t>
      </w:r>
      <w:r>
        <w:rPr>
          <w:rFonts w:ascii="Times New Roman" w:hAnsi="Times New Roman"/>
          <w:sz w:val="24"/>
          <w:szCs w:val="24"/>
        </w:rPr>
        <w:t xml:space="preserve"> </w:t>
      </w:r>
      <w:r w:rsidRPr="00212873">
        <w:rPr>
          <w:rFonts w:ascii="Times New Roman" w:hAnsi="Times New Roman"/>
          <w:sz w:val="24"/>
          <w:szCs w:val="24"/>
        </w:rPr>
        <w:t>in clear and unambiguous language.</w:t>
      </w:r>
      <w:r>
        <w:rPr>
          <w:rFonts w:ascii="Times New Roman" w:hAnsi="Times New Roman"/>
          <w:sz w:val="24"/>
          <w:szCs w:val="24"/>
        </w:rPr>
        <w:t xml:space="preserve">” </w:t>
      </w:r>
      <w:hyperlink r:id="rId1241" w:history="1">
        <w:r w:rsidRPr="005F7F38">
          <w:rPr>
            <w:rStyle w:val="Hyperlink"/>
            <w:rFonts w:ascii="Times New Roman" w:hAnsi="Times New Roman"/>
            <w:sz w:val="24"/>
            <w:szCs w:val="24"/>
          </w:rPr>
          <w:t>https://www.courts.ri.gov/Courts/SupremeCourt/SupremeOpinions/17-295.pdf</w:t>
        </w:r>
      </w:hyperlink>
    </w:p>
    <w:p w14:paraId="078BFD58" w14:textId="38B0BF00" w:rsidR="007C6FEF" w:rsidRDefault="007C6FEF" w:rsidP="00A06387">
      <w:pPr>
        <w:pStyle w:val="NoSpacing"/>
        <w:rPr>
          <w:rFonts w:ascii="Arial Black" w:hAnsi="Arial Black"/>
          <w:sz w:val="28"/>
          <w:szCs w:val="28"/>
        </w:rPr>
      </w:pPr>
    </w:p>
    <w:p w14:paraId="6F9C3319" w14:textId="14D33386" w:rsidR="009F1927" w:rsidRPr="009F1927" w:rsidRDefault="009F1927" w:rsidP="00A06387">
      <w:pPr>
        <w:pStyle w:val="NoSpacing"/>
        <w:rPr>
          <w:rFonts w:ascii="Times New Roman" w:hAnsi="Times New Roman"/>
          <w:b/>
          <w:bCs/>
          <w:sz w:val="24"/>
          <w:szCs w:val="24"/>
        </w:rPr>
      </w:pPr>
      <w:r w:rsidRPr="009F1927">
        <w:rPr>
          <w:rFonts w:ascii="Times New Roman" w:hAnsi="Times New Roman"/>
          <w:b/>
          <w:bCs/>
          <w:sz w:val="24"/>
          <w:szCs w:val="24"/>
        </w:rPr>
        <w:t>Legal Lessons Learned:</w:t>
      </w:r>
      <w:r>
        <w:rPr>
          <w:rFonts w:ascii="Times New Roman" w:hAnsi="Times New Roman"/>
          <w:b/>
          <w:bCs/>
          <w:sz w:val="24"/>
          <w:szCs w:val="24"/>
        </w:rPr>
        <w:t xml:space="preserve"> </w:t>
      </w:r>
      <w:r w:rsidRPr="009F1927">
        <w:rPr>
          <w:rFonts w:ascii="Times New Roman" w:hAnsi="Times New Roman"/>
          <w:b/>
          <w:bCs/>
          <w:sz w:val="24"/>
          <w:szCs w:val="24"/>
        </w:rPr>
        <w:t>Hopefully the Rhode Island legislature will promptly amend the statutory presumption statute</w:t>
      </w:r>
      <w:r>
        <w:rPr>
          <w:rFonts w:ascii="Times New Roman" w:hAnsi="Times New Roman"/>
          <w:b/>
          <w:bCs/>
          <w:sz w:val="24"/>
          <w:szCs w:val="24"/>
        </w:rPr>
        <w:t xml:space="preserve"> t</w:t>
      </w:r>
      <w:r w:rsidRPr="009F1927">
        <w:rPr>
          <w:rFonts w:ascii="Times New Roman" w:hAnsi="Times New Roman"/>
          <w:b/>
          <w:bCs/>
          <w:sz w:val="24"/>
          <w:szCs w:val="24"/>
        </w:rPr>
        <w:t xml:space="preserve">o clarify the burden of proof when firefighters have can </w:t>
      </w:r>
      <w:r>
        <w:rPr>
          <w:rFonts w:ascii="Times New Roman" w:hAnsi="Times New Roman"/>
          <w:b/>
          <w:bCs/>
          <w:sz w:val="24"/>
          <w:szCs w:val="24"/>
        </w:rPr>
        <w:t>be entitled to coverage.</w:t>
      </w:r>
    </w:p>
    <w:p w14:paraId="2C46F1A3" w14:textId="77777777" w:rsidR="009F1927" w:rsidRDefault="009F1927" w:rsidP="003464C5">
      <w:pPr>
        <w:rPr>
          <w:rFonts w:ascii="Times New Roman" w:hAnsi="Times New Roman"/>
          <w:bCs/>
          <w:sz w:val="24"/>
          <w:szCs w:val="24"/>
        </w:rPr>
      </w:pPr>
    </w:p>
    <w:p w14:paraId="557F7C5C" w14:textId="77777777" w:rsidR="007C6FEF" w:rsidRDefault="007C6FEF" w:rsidP="00A06387">
      <w:pPr>
        <w:pStyle w:val="NoSpacing"/>
        <w:rPr>
          <w:rFonts w:ascii="Arial Black" w:hAnsi="Arial Black"/>
          <w:sz w:val="28"/>
          <w:szCs w:val="28"/>
        </w:rPr>
      </w:pPr>
    </w:p>
    <w:p w14:paraId="29B521B5" w14:textId="2082D058" w:rsidR="00A52325" w:rsidRDefault="00A52325" w:rsidP="00A06387">
      <w:pPr>
        <w:pStyle w:val="NoSpacing"/>
        <w:rPr>
          <w:rFonts w:ascii="Arial Black" w:hAnsi="Arial Black"/>
          <w:sz w:val="28"/>
          <w:szCs w:val="28"/>
        </w:rPr>
      </w:pPr>
      <w:r>
        <w:rPr>
          <w:rFonts w:ascii="Arial Black" w:hAnsi="Arial Black"/>
          <w:sz w:val="28"/>
          <w:szCs w:val="28"/>
        </w:rPr>
        <w:t>6-26</w:t>
      </w:r>
    </w:p>
    <w:p w14:paraId="704048D5" w14:textId="6D3719CC" w:rsidR="00A52325" w:rsidRDefault="00A52325" w:rsidP="00A06387">
      <w:pPr>
        <w:pStyle w:val="NoSpacing"/>
        <w:rPr>
          <w:rFonts w:ascii="Arial Black" w:hAnsi="Arial Black"/>
          <w:sz w:val="28"/>
          <w:szCs w:val="28"/>
        </w:rPr>
      </w:pPr>
    </w:p>
    <w:p w14:paraId="00F9FC01" w14:textId="77777777" w:rsidR="00A52325" w:rsidRDefault="00A52325" w:rsidP="00A52325">
      <w:pPr>
        <w:pStyle w:val="NoSpacing"/>
        <w:rPr>
          <w:rFonts w:ascii="Arial Black" w:hAnsi="Arial Black" w:cstheme="minorBidi"/>
          <w:sz w:val="28"/>
          <w:szCs w:val="28"/>
        </w:rPr>
      </w:pPr>
      <w:r>
        <w:rPr>
          <w:rFonts w:ascii="Arial Black" w:hAnsi="Arial Black"/>
          <w:sz w:val="28"/>
          <w:szCs w:val="28"/>
        </w:rPr>
        <w:t xml:space="preserve">NY:  FDNY FF RESIGNED – PLED GUILTY TO FELONY - LYING TO FBI &amp; DOJ – NO RIGHT TO REINSTATEMENT </w:t>
      </w:r>
    </w:p>
    <w:p w14:paraId="11456ED5" w14:textId="77777777" w:rsidR="00A52325" w:rsidRDefault="00A52325" w:rsidP="00A5232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8, 2019, in </w:t>
      </w:r>
      <w:r>
        <w:rPr>
          <w:rFonts w:ascii="Times New Roman" w:hAnsi="Times New Roman"/>
          <w:sz w:val="24"/>
          <w:szCs w:val="24"/>
          <w:u w:val="single"/>
        </w:rPr>
        <w:t xml:space="preserve">Stephen </w:t>
      </w:r>
      <w:proofErr w:type="spellStart"/>
      <w:r>
        <w:rPr>
          <w:rFonts w:ascii="Times New Roman" w:hAnsi="Times New Roman"/>
          <w:sz w:val="24"/>
          <w:szCs w:val="24"/>
          <w:u w:val="single"/>
        </w:rPr>
        <w:t>Mcanulty</w:t>
      </w:r>
      <w:proofErr w:type="spellEnd"/>
      <w:r>
        <w:rPr>
          <w:rFonts w:ascii="Times New Roman" w:hAnsi="Times New Roman"/>
          <w:sz w:val="24"/>
          <w:szCs w:val="24"/>
          <w:u w:val="single"/>
        </w:rPr>
        <w:t xml:space="preserve"> v. Fire Department of City of New York</w:t>
      </w:r>
      <w:r>
        <w:rPr>
          <w:rFonts w:ascii="Times New Roman" w:hAnsi="Times New Roman"/>
          <w:sz w:val="24"/>
          <w:szCs w:val="24"/>
        </w:rPr>
        <w:t>, NY Supreme Court / Kings County (Judge Katherine A. Levine), the judge held the FDNY had no obligation to rehire the firefighter eight years after he resigned.</w:t>
      </w:r>
    </w:p>
    <w:p w14:paraId="2FB9AB43" w14:textId="77777777" w:rsidR="00A52325" w:rsidRDefault="00A52325" w:rsidP="00A5232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“In sum, petitioner has not shown that the FDNY in any way violated lawful </w:t>
      </w:r>
      <w:proofErr w:type="gramStart"/>
      <w:r>
        <w:rPr>
          <w:rFonts w:ascii="Times New Roman" w:hAnsi="Times New Roman"/>
          <w:sz w:val="24"/>
          <w:szCs w:val="24"/>
        </w:rPr>
        <w:t>procedure, or</w:t>
      </w:r>
      <w:proofErr w:type="gramEnd"/>
      <w:r>
        <w:rPr>
          <w:rFonts w:ascii="Times New Roman" w:hAnsi="Times New Roman"/>
          <w:sz w:val="24"/>
          <w:szCs w:val="24"/>
        </w:rPr>
        <w:t xml:space="preserve"> deviated from the standards set forth in the PRR (55 RCNY Appendix A) § 6.2.1(a) and (b), and POL § 30(1)(e). The court finds that </w:t>
      </w:r>
      <w:proofErr w:type="gramStart"/>
      <w:r>
        <w:rPr>
          <w:rFonts w:ascii="Times New Roman" w:hAnsi="Times New Roman"/>
          <w:sz w:val="24"/>
          <w:szCs w:val="24"/>
        </w:rPr>
        <w:t>respondent's</w:t>
      </w:r>
      <w:proofErr w:type="gramEnd"/>
      <w:r>
        <w:rPr>
          <w:rFonts w:ascii="Times New Roman" w:hAnsi="Times New Roman"/>
          <w:sz w:val="24"/>
          <w:szCs w:val="24"/>
        </w:rPr>
        <w:t xml:space="preserve"> determination was reasonably based on the facts and </w:t>
      </w:r>
      <w:proofErr w:type="gramStart"/>
      <w:r>
        <w:rPr>
          <w:rFonts w:ascii="Times New Roman" w:hAnsi="Times New Roman"/>
          <w:sz w:val="24"/>
          <w:szCs w:val="24"/>
        </w:rPr>
        <w:t>law, and</w:t>
      </w:r>
      <w:proofErr w:type="gramEnd"/>
      <w:r>
        <w:rPr>
          <w:rFonts w:ascii="Times New Roman" w:hAnsi="Times New Roman"/>
          <w:sz w:val="24"/>
          <w:szCs w:val="24"/>
        </w:rPr>
        <w:t xml:space="preserve"> was not arbitrary and capricious or an abuse of discretion. Therefore, the petition is denied. This constitutes the </w:t>
      </w:r>
      <w:r>
        <w:rPr>
          <w:rFonts w:ascii="Times New Roman" w:hAnsi="Times New Roman"/>
          <w:sz w:val="24"/>
          <w:szCs w:val="24"/>
        </w:rPr>
        <w:lastRenderedPageBreak/>
        <w:t xml:space="preserve">decision and order of the court.” </w:t>
      </w:r>
      <w:hyperlink r:id="rId1242" w:history="1">
        <w:r>
          <w:rPr>
            <w:rStyle w:val="Hyperlink"/>
            <w:rFonts w:ascii="Times New Roman" w:hAnsi="Times New Roman"/>
            <w:sz w:val="24"/>
            <w:szCs w:val="24"/>
          </w:rPr>
          <w:t>https://law.justia.com/cases/new-york/other-courts/2019/2019-ny-slip-op-29363.html</w:t>
        </w:r>
      </w:hyperlink>
      <w:r>
        <w:rPr>
          <w:rFonts w:ascii="Times New Roman" w:hAnsi="Times New Roman"/>
          <w:sz w:val="24"/>
          <w:szCs w:val="24"/>
        </w:rPr>
        <w:t xml:space="preserve"> </w:t>
      </w:r>
    </w:p>
    <w:p w14:paraId="75CC0547" w14:textId="77777777" w:rsidR="00A52325" w:rsidRDefault="00A52325" w:rsidP="00A5232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FDNY was legally barred from reinstating a convicted felon whose conviction had never been vacated.  </w:t>
      </w:r>
    </w:p>
    <w:p w14:paraId="7E21E32C" w14:textId="77777777" w:rsidR="00A52325" w:rsidRDefault="00A52325" w:rsidP="00A06387">
      <w:pPr>
        <w:pStyle w:val="NoSpacing"/>
        <w:rPr>
          <w:rFonts w:ascii="Arial Black" w:hAnsi="Arial Black"/>
          <w:sz w:val="28"/>
          <w:szCs w:val="28"/>
        </w:rPr>
      </w:pPr>
    </w:p>
    <w:p w14:paraId="45110975" w14:textId="77777777" w:rsidR="00A52325" w:rsidRDefault="00A52325" w:rsidP="00A06387">
      <w:pPr>
        <w:pStyle w:val="NoSpacing"/>
        <w:rPr>
          <w:rFonts w:ascii="Arial Black" w:hAnsi="Arial Black"/>
          <w:sz w:val="28"/>
          <w:szCs w:val="28"/>
        </w:rPr>
      </w:pPr>
    </w:p>
    <w:p w14:paraId="0694928F" w14:textId="7515169A" w:rsidR="00A06387" w:rsidRDefault="00A06387" w:rsidP="00A06387">
      <w:pPr>
        <w:pStyle w:val="NoSpacing"/>
        <w:rPr>
          <w:rFonts w:ascii="Arial Black" w:hAnsi="Arial Black"/>
          <w:sz w:val="28"/>
          <w:szCs w:val="28"/>
        </w:rPr>
      </w:pPr>
      <w:r>
        <w:rPr>
          <w:rFonts w:ascii="Arial Black" w:hAnsi="Arial Black"/>
          <w:sz w:val="28"/>
          <w:szCs w:val="28"/>
        </w:rPr>
        <w:t>6-25</w:t>
      </w:r>
    </w:p>
    <w:p w14:paraId="2C6180D5" w14:textId="77777777" w:rsidR="00A06387" w:rsidRDefault="00A06387" w:rsidP="00A06387">
      <w:pPr>
        <w:pStyle w:val="NoSpacing"/>
        <w:rPr>
          <w:rFonts w:ascii="Arial Black" w:hAnsi="Arial Black"/>
          <w:sz w:val="28"/>
          <w:szCs w:val="28"/>
        </w:rPr>
      </w:pPr>
    </w:p>
    <w:p w14:paraId="2FD2CAC0" w14:textId="2AAE94F0" w:rsidR="00A06387" w:rsidRDefault="00A06387" w:rsidP="00A06387">
      <w:pPr>
        <w:pStyle w:val="NoSpacing"/>
        <w:rPr>
          <w:rFonts w:ascii="Arial Black" w:hAnsi="Arial Black"/>
          <w:sz w:val="28"/>
          <w:szCs w:val="28"/>
        </w:rPr>
      </w:pPr>
      <w:r>
        <w:rPr>
          <w:rFonts w:ascii="Arial Black" w:hAnsi="Arial Black"/>
          <w:sz w:val="28"/>
          <w:szCs w:val="28"/>
        </w:rPr>
        <w:t xml:space="preserve">WA: FF BRAIN MELANOMA - WINS PERMANENT DISABILITY – PREV. DENIED TEMPORARY DISAB, MELANOMA ON BACK </w:t>
      </w:r>
      <w:r>
        <w:rPr>
          <w:rFonts w:ascii="Arial Black" w:hAnsi="Arial Black"/>
          <w:sz w:val="28"/>
          <w:szCs w:val="28"/>
        </w:rPr>
        <w:br/>
      </w:r>
    </w:p>
    <w:p w14:paraId="44B8FB12" w14:textId="77777777" w:rsidR="00A06387" w:rsidRPr="009F1927" w:rsidRDefault="00A06387" w:rsidP="00A06387">
      <w:pPr>
        <w:pStyle w:val="NoSpacing"/>
        <w:rPr>
          <w:rFonts w:ascii="Times New Roman" w:hAnsi="Times New Roman"/>
          <w:sz w:val="24"/>
          <w:szCs w:val="24"/>
        </w:rPr>
      </w:pPr>
      <w:r w:rsidRPr="009F1927">
        <w:rPr>
          <w:rFonts w:ascii="Times New Roman" w:hAnsi="Times New Roman"/>
          <w:bCs/>
          <w:sz w:val="24"/>
          <w:szCs w:val="24"/>
        </w:rPr>
        <w:t xml:space="preserve">On Oct. 17, 2019, in </w:t>
      </w:r>
      <w:r w:rsidRPr="009F1927">
        <w:rPr>
          <w:rFonts w:ascii="Times New Roman" w:hAnsi="Times New Roman"/>
          <w:bCs/>
          <w:sz w:val="24"/>
          <w:szCs w:val="24"/>
          <w:u w:val="single"/>
        </w:rPr>
        <w:t>Michael Weaver v. City of Everett and State of Washington, Department of Labor &amp; Industries</w:t>
      </w:r>
      <w:r w:rsidRPr="009F1927">
        <w:rPr>
          <w:rFonts w:ascii="Times New Roman" w:hAnsi="Times New Roman"/>
          <w:bCs/>
          <w:sz w:val="24"/>
          <w:szCs w:val="24"/>
        </w:rPr>
        <w:t xml:space="preserve">, the Supreme Court of State of Washington, held (9 to 0) that the firefighter’s melanoma was an occupational disease entitling his to permanent disability benefits, even though the State had previously denied him temporary disability. </w:t>
      </w:r>
    </w:p>
    <w:p w14:paraId="0784BAC8" w14:textId="77777777" w:rsidR="00A06387" w:rsidRPr="009F1927" w:rsidRDefault="00A06387" w:rsidP="00A06387">
      <w:pPr>
        <w:pStyle w:val="NoSpacing"/>
        <w:rPr>
          <w:rFonts w:ascii="Times New Roman" w:hAnsi="Times New Roman"/>
          <w:b/>
          <w:bCs/>
          <w:sz w:val="24"/>
          <w:szCs w:val="24"/>
        </w:rPr>
      </w:pPr>
    </w:p>
    <w:p w14:paraId="09FE4AF3" w14:textId="77777777" w:rsidR="00A06387" w:rsidRPr="009F1927" w:rsidRDefault="00A06387" w:rsidP="00A06387">
      <w:pPr>
        <w:pStyle w:val="NoSpacing"/>
        <w:ind w:left="720"/>
        <w:rPr>
          <w:rFonts w:ascii="Times New Roman" w:hAnsi="Times New Roman"/>
          <w:b/>
          <w:bCs/>
          <w:sz w:val="24"/>
          <w:szCs w:val="24"/>
        </w:rPr>
      </w:pPr>
      <w:r w:rsidRPr="009F1927">
        <w:rPr>
          <w:rFonts w:ascii="Times New Roman" w:hAnsi="Times New Roman"/>
          <w:bCs/>
          <w:sz w:val="24"/>
          <w:szCs w:val="24"/>
        </w:rPr>
        <w:t xml:space="preserve">“We conclude that the substantial disparity of relief between Weaver's temporary and permanent disability claims kept Weaver from fully and vigorously litigating the issue at the temporary disability claim stage. Therefore, because applying the doctrine in this instance would work an injustice and contravene public policy, we hold that collateral estoppel does not </w:t>
      </w:r>
      <w:proofErr w:type="gramStart"/>
      <w:r w:rsidRPr="009F1927">
        <w:rPr>
          <w:rFonts w:ascii="Times New Roman" w:hAnsi="Times New Roman"/>
          <w:bCs/>
          <w:sz w:val="24"/>
          <w:szCs w:val="24"/>
        </w:rPr>
        <w:t>apply.”</w:t>
      </w:r>
      <w:proofErr w:type="gramEnd"/>
    </w:p>
    <w:p w14:paraId="7B8DF9E8" w14:textId="77777777" w:rsidR="00A06387" w:rsidRPr="009F1927" w:rsidRDefault="00A06387" w:rsidP="00A06387">
      <w:pPr>
        <w:pStyle w:val="NoSpacing"/>
        <w:ind w:left="720"/>
        <w:rPr>
          <w:rFonts w:ascii="Times New Roman" w:hAnsi="Times New Roman"/>
          <w:b/>
          <w:bCs/>
          <w:sz w:val="24"/>
          <w:szCs w:val="24"/>
        </w:rPr>
      </w:pPr>
      <w:hyperlink r:id="rId1243" w:history="1">
        <w:r w:rsidRPr="009F1927">
          <w:rPr>
            <w:rStyle w:val="Hyperlink"/>
            <w:rFonts w:ascii="Times New Roman" w:hAnsi="Times New Roman"/>
            <w:bCs/>
            <w:sz w:val="24"/>
            <w:szCs w:val="24"/>
          </w:rPr>
          <w:t>https://cases.justia.com/washington/supreme-court/2019-96189-1.pdf?ts=1571325618</w:t>
        </w:r>
      </w:hyperlink>
      <w:r w:rsidRPr="009F1927">
        <w:rPr>
          <w:rFonts w:ascii="Times New Roman" w:hAnsi="Times New Roman"/>
          <w:bCs/>
          <w:sz w:val="24"/>
          <w:szCs w:val="24"/>
        </w:rPr>
        <w:t xml:space="preserve"> </w:t>
      </w:r>
    </w:p>
    <w:p w14:paraId="6D0105BF" w14:textId="77777777" w:rsidR="009F1927" w:rsidRPr="009F1927" w:rsidRDefault="009F1927" w:rsidP="00A06387">
      <w:pPr>
        <w:pStyle w:val="NoSpacing"/>
        <w:rPr>
          <w:rFonts w:ascii="Times New Roman" w:hAnsi="Times New Roman"/>
          <w:b/>
          <w:bCs/>
          <w:sz w:val="24"/>
          <w:szCs w:val="24"/>
        </w:rPr>
      </w:pPr>
    </w:p>
    <w:p w14:paraId="395EE568" w14:textId="274DC165" w:rsidR="00A06387" w:rsidRPr="009F1927" w:rsidRDefault="00A06387" w:rsidP="00A06387">
      <w:pPr>
        <w:pStyle w:val="NoSpacing"/>
        <w:rPr>
          <w:rFonts w:ascii="Times New Roman" w:hAnsi="Times New Roman"/>
          <w:b/>
          <w:bCs/>
          <w:sz w:val="24"/>
          <w:szCs w:val="24"/>
        </w:rPr>
      </w:pPr>
      <w:r w:rsidRPr="009F1927">
        <w:rPr>
          <w:rFonts w:ascii="Times New Roman" w:hAnsi="Times New Roman"/>
          <w:b/>
          <w:bCs/>
          <w:sz w:val="24"/>
          <w:szCs w:val="24"/>
        </w:rPr>
        <w:t>Legal Lessons Learned: Nice to see Court supporting a firefighter’s cancer claim, to avoid an “injustice.”</w:t>
      </w:r>
    </w:p>
    <w:p w14:paraId="08939695" w14:textId="77777777" w:rsidR="00A06387" w:rsidRPr="009F1927" w:rsidRDefault="00A06387" w:rsidP="00A06387">
      <w:pPr>
        <w:pStyle w:val="NoSpacing"/>
        <w:ind w:left="720"/>
        <w:rPr>
          <w:rFonts w:ascii="Times New Roman" w:hAnsi="Times New Roman"/>
          <w:b/>
          <w:bCs/>
          <w:sz w:val="24"/>
          <w:szCs w:val="24"/>
        </w:rPr>
      </w:pPr>
    </w:p>
    <w:p w14:paraId="10B92AE0" w14:textId="77777777" w:rsidR="00A06387" w:rsidRDefault="00A06387" w:rsidP="00A06387">
      <w:pPr>
        <w:pStyle w:val="NoSpacing"/>
        <w:rPr>
          <w:b/>
          <w:bCs/>
          <w:sz w:val="24"/>
          <w:szCs w:val="24"/>
        </w:rPr>
      </w:pPr>
    </w:p>
    <w:p w14:paraId="4F08270A" w14:textId="056C5035" w:rsidR="00A06387" w:rsidRPr="0005503D" w:rsidRDefault="00A06387" w:rsidP="0005503D">
      <w:pPr>
        <w:pStyle w:val="NoSpacing"/>
        <w:rPr>
          <w:rFonts w:ascii="Times New Roman" w:hAnsi="Times New Roman"/>
          <w:sz w:val="24"/>
          <w:szCs w:val="24"/>
        </w:rPr>
      </w:pPr>
    </w:p>
    <w:p w14:paraId="3AC5B2C0" w14:textId="77777777" w:rsidR="00A06387" w:rsidRDefault="00A06387" w:rsidP="00EF1133">
      <w:pPr>
        <w:rPr>
          <w:rFonts w:ascii="Arial Black" w:hAnsi="Arial Black"/>
          <w:b/>
          <w:sz w:val="24"/>
          <w:szCs w:val="24"/>
        </w:rPr>
      </w:pPr>
    </w:p>
    <w:p w14:paraId="0FCC6887" w14:textId="77777777" w:rsidR="00A06387" w:rsidRDefault="00A06387" w:rsidP="00EF1133">
      <w:pPr>
        <w:rPr>
          <w:rFonts w:ascii="Arial Black" w:hAnsi="Arial Black"/>
          <w:b/>
          <w:sz w:val="24"/>
          <w:szCs w:val="24"/>
        </w:rPr>
      </w:pPr>
    </w:p>
    <w:p w14:paraId="1003FB7E" w14:textId="4D675248" w:rsidR="00853142" w:rsidRDefault="00853142" w:rsidP="00EF1133">
      <w:pPr>
        <w:rPr>
          <w:rFonts w:ascii="Arial Black" w:hAnsi="Arial Black"/>
          <w:b/>
          <w:sz w:val="24"/>
          <w:szCs w:val="24"/>
        </w:rPr>
      </w:pPr>
      <w:r>
        <w:rPr>
          <w:rFonts w:ascii="Arial Black" w:hAnsi="Arial Black"/>
          <w:b/>
          <w:sz w:val="24"/>
          <w:szCs w:val="24"/>
        </w:rPr>
        <w:t>6-2</w:t>
      </w:r>
      <w:r w:rsidR="005B0774">
        <w:rPr>
          <w:rFonts w:ascii="Arial Black" w:hAnsi="Arial Black"/>
          <w:b/>
          <w:sz w:val="24"/>
          <w:szCs w:val="24"/>
        </w:rPr>
        <w:t>4</w:t>
      </w:r>
    </w:p>
    <w:p w14:paraId="142BC532" w14:textId="77777777" w:rsidR="00853142" w:rsidRPr="00866BD5" w:rsidRDefault="00853142" w:rsidP="00853142">
      <w:pPr>
        <w:pStyle w:val="NoSpacing"/>
        <w:rPr>
          <w:rFonts w:ascii="Arial Black" w:hAnsi="Arial Black"/>
          <w:b/>
          <w:bCs/>
          <w:sz w:val="28"/>
          <w:szCs w:val="28"/>
        </w:rPr>
      </w:pPr>
      <w:r w:rsidRPr="00866BD5">
        <w:rPr>
          <w:rFonts w:ascii="Arial Black" w:hAnsi="Arial Black"/>
          <w:b/>
          <w:bCs/>
          <w:sz w:val="28"/>
          <w:szCs w:val="28"/>
        </w:rPr>
        <w:t xml:space="preserve">OH: </w:t>
      </w:r>
      <w:r>
        <w:rPr>
          <w:rFonts w:ascii="Arial Black" w:hAnsi="Arial Black"/>
          <w:b/>
          <w:bCs/>
          <w:sz w:val="28"/>
          <w:szCs w:val="28"/>
        </w:rPr>
        <w:t>FD LT. DEMOTED WITHIN 1-YR OF PROMOTION – NOT “PROBATIONARY EMPLOYEE” – MAY FILE GRIEVANCE / ARBITRATION</w:t>
      </w:r>
    </w:p>
    <w:p w14:paraId="6E38D84B" w14:textId="77777777" w:rsidR="00853142" w:rsidRDefault="00853142" w:rsidP="00853142">
      <w:pPr>
        <w:pStyle w:val="NoSpacing"/>
      </w:pPr>
    </w:p>
    <w:p w14:paraId="15CE99E1" w14:textId="77777777" w:rsidR="00853142" w:rsidRPr="00866BD5" w:rsidRDefault="00853142" w:rsidP="00853142">
      <w:pPr>
        <w:pStyle w:val="NoSpacing"/>
        <w:rPr>
          <w:rFonts w:ascii="Times New Roman" w:hAnsi="Times New Roman"/>
          <w:sz w:val="24"/>
          <w:szCs w:val="24"/>
        </w:rPr>
      </w:pPr>
      <w:r w:rsidRPr="00866BD5">
        <w:rPr>
          <w:rFonts w:ascii="Times New Roman" w:hAnsi="Times New Roman"/>
          <w:sz w:val="24"/>
          <w:szCs w:val="24"/>
        </w:rPr>
        <w:t xml:space="preserve">On Sept. 18, 2019, in </w:t>
      </w:r>
      <w:r w:rsidRPr="00866BD5">
        <w:rPr>
          <w:rFonts w:ascii="Times New Roman" w:hAnsi="Times New Roman"/>
          <w:sz w:val="24"/>
          <w:szCs w:val="24"/>
          <w:u w:val="single"/>
        </w:rPr>
        <w:t>Steve Conti v. Mayfield Village</w:t>
      </w:r>
      <w:r>
        <w:rPr>
          <w:rFonts w:ascii="Times New Roman" w:hAnsi="Times New Roman"/>
          <w:sz w:val="24"/>
          <w:szCs w:val="24"/>
        </w:rPr>
        <w:t>,  U.S. District Court Judge James S. Gwin, U.S. District Court for the Northern District of Ohio, denied the City’s motion for summary judgement, and rejected the City’s claim that the Lieutenant “</w:t>
      </w:r>
      <w:r w:rsidRPr="00866BD5">
        <w:rPr>
          <w:rFonts w:ascii="Times New Roman" w:hAnsi="Times New Roman"/>
          <w:sz w:val="24"/>
          <w:szCs w:val="24"/>
        </w:rPr>
        <w:t>did not have a property interest in his probationary lieutenant position</w:t>
      </w:r>
      <w:r>
        <w:rPr>
          <w:rFonts w:ascii="Times New Roman" w:hAnsi="Times New Roman"/>
          <w:sz w:val="24"/>
          <w:szCs w:val="24"/>
        </w:rPr>
        <w:t xml:space="preserve">.” </w:t>
      </w:r>
      <w:hyperlink r:id="rId1244" w:history="1">
        <w:r w:rsidRPr="00BA29A7">
          <w:rPr>
            <w:rStyle w:val="Hyperlink"/>
            <w:rFonts w:ascii="Times New Roman" w:hAnsi="Times New Roman"/>
            <w:sz w:val="24"/>
            <w:szCs w:val="24"/>
          </w:rPr>
          <w:t>https://www.courtlistener.com/recap/gov.uscourts.ohnd.252466/gov.uscourts.ohnd.252466.26.0.pdf</w:t>
        </w:r>
      </w:hyperlink>
      <w:r>
        <w:rPr>
          <w:rFonts w:ascii="Times New Roman" w:hAnsi="Times New Roman"/>
          <w:sz w:val="24"/>
          <w:szCs w:val="24"/>
        </w:rPr>
        <w:t xml:space="preserve"> </w:t>
      </w:r>
    </w:p>
    <w:p w14:paraId="31F1FE1E" w14:textId="77777777" w:rsidR="00853142" w:rsidRPr="00866BD5" w:rsidRDefault="00853142" w:rsidP="00853142">
      <w:pPr>
        <w:pStyle w:val="NoSpacing"/>
        <w:rPr>
          <w:rFonts w:ascii="Times New Roman" w:hAnsi="Times New Roman"/>
          <w:sz w:val="24"/>
          <w:szCs w:val="24"/>
        </w:rPr>
      </w:pPr>
    </w:p>
    <w:p w14:paraId="2BAE9346" w14:textId="77777777" w:rsidR="00853142" w:rsidRDefault="00853142" w:rsidP="00853142">
      <w:pPr>
        <w:pStyle w:val="NoSpacing"/>
        <w:ind w:firstLine="720"/>
        <w:rPr>
          <w:rFonts w:ascii="Times New Roman" w:hAnsi="Times New Roman"/>
          <w:sz w:val="24"/>
          <w:szCs w:val="24"/>
        </w:rPr>
      </w:pPr>
      <w:r>
        <w:rPr>
          <w:rFonts w:ascii="Times New Roman" w:hAnsi="Times New Roman"/>
          <w:sz w:val="24"/>
          <w:szCs w:val="24"/>
        </w:rPr>
        <w:t>Judge Gwin wrote:</w:t>
      </w:r>
    </w:p>
    <w:p w14:paraId="6354BE1E" w14:textId="77777777" w:rsidR="00853142" w:rsidRDefault="00853142" w:rsidP="00853142">
      <w:pPr>
        <w:pStyle w:val="NoSpacing"/>
        <w:ind w:firstLine="720"/>
        <w:rPr>
          <w:rFonts w:ascii="Times New Roman" w:hAnsi="Times New Roman"/>
          <w:sz w:val="24"/>
          <w:szCs w:val="24"/>
        </w:rPr>
      </w:pPr>
    </w:p>
    <w:p w14:paraId="450E6EFF" w14:textId="77777777" w:rsidR="00853142" w:rsidRPr="00866BD5"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866BD5">
        <w:rPr>
          <w:rFonts w:ascii="Times New Roman" w:hAnsi="Times New Roman"/>
          <w:sz w:val="24"/>
          <w:szCs w:val="24"/>
        </w:rPr>
        <w:t xml:space="preserve">Defendant points to the </w:t>
      </w:r>
      <w:r>
        <w:rPr>
          <w:rFonts w:ascii="Times New Roman" w:hAnsi="Times New Roman"/>
          <w:sz w:val="24"/>
          <w:szCs w:val="24"/>
        </w:rPr>
        <w:t>‘</w:t>
      </w:r>
      <w:r w:rsidRPr="00866BD5">
        <w:rPr>
          <w:rFonts w:ascii="Times New Roman" w:hAnsi="Times New Roman"/>
          <w:sz w:val="24"/>
          <w:szCs w:val="24"/>
        </w:rPr>
        <w:t>Fire Lieutenant, Class B – Probationary</w:t>
      </w:r>
      <w:r>
        <w:rPr>
          <w:rFonts w:ascii="Times New Roman" w:hAnsi="Times New Roman"/>
          <w:sz w:val="24"/>
          <w:szCs w:val="24"/>
        </w:rPr>
        <w:t>’</w:t>
      </w:r>
      <w:r w:rsidRPr="00866BD5">
        <w:rPr>
          <w:rFonts w:ascii="Times New Roman" w:hAnsi="Times New Roman"/>
          <w:sz w:val="24"/>
          <w:szCs w:val="24"/>
        </w:rPr>
        <w:t xml:space="preserve"> position in Section 21.1’s salary schedule as support its reading that Plaintiff was a probationary employee. However, the placement of the undefined term </w:t>
      </w:r>
      <w:r>
        <w:rPr>
          <w:rFonts w:ascii="Times New Roman" w:hAnsi="Times New Roman"/>
          <w:sz w:val="24"/>
          <w:szCs w:val="24"/>
        </w:rPr>
        <w:t>‘</w:t>
      </w:r>
      <w:r w:rsidRPr="00866BD5">
        <w:rPr>
          <w:rFonts w:ascii="Times New Roman" w:hAnsi="Times New Roman"/>
          <w:sz w:val="24"/>
          <w:szCs w:val="24"/>
        </w:rPr>
        <w:t>Probationary</w:t>
      </w:r>
      <w:r>
        <w:rPr>
          <w:rFonts w:ascii="Times New Roman" w:hAnsi="Times New Roman"/>
          <w:sz w:val="24"/>
          <w:szCs w:val="24"/>
        </w:rPr>
        <w:t xml:space="preserve">’ </w:t>
      </w:r>
      <w:r w:rsidRPr="00866BD5">
        <w:rPr>
          <w:rFonts w:ascii="Times New Roman" w:hAnsi="Times New Roman"/>
          <w:sz w:val="24"/>
          <w:szCs w:val="24"/>
        </w:rPr>
        <w:t xml:space="preserve">after a promotional position without further explanation is hardly </w:t>
      </w:r>
      <w:r w:rsidRPr="00866BD5">
        <w:rPr>
          <w:rFonts w:ascii="Times New Roman" w:hAnsi="Times New Roman"/>
          <w:sz w:val="24"/>
          <w:szCs w:val="24"/>
        </w:rPr>
        <w:lastRenderedPageBreak/>
        <w:t>dispositive of this matter. Defendant’s argument ignores the other CBA references to probationary employees that distinguishes between probationary employees and promoted employees.</w:t>
      </w:r>
    </w:p>
    <w:p w14:paraId="55C50E44" w14:textId="77777777" w:rsidR="00853142" w:rsidRDefault="00853142" w:rsidP="00853142">
      <w:pPr>
        <w:pStyle w:val="NoSpacing"/>
      </w:pPr>
    </w:p>
    <w:p w14:paraId="1B226892" w14:textId="77777777" w:rsidR="00853142" w:rsidRPr="007438B9" w:rsidRDefault="00853142" w:rsidP="00853142">
      <w:pPr>
        <w:pStyle w:val="NoSpacing"/>
        <w:rPr>
          <w:rFonts w:ascii="Times New Roman" w:hAnsi="Times New Roman"/>
          <w:b/>
          <w:bCs/>
          <w:sz w:val="24"/>
          <w:szCs w:val="24"/>
        </w:rPr>
      </w:pPr>
      <w:r w:rsidRPr="007438B9">
        <w:rPr>
          <w:rFonts w:ascii="Times New Roman" w:hAnsi="Times New Roman"/>
          <w:b/>
          <w:bCs/>
          <w:sz w:val="24"/>
          <w:szCs w:val="24"/>
        </w:rPr>
        <w:t xml:space="preserve">Legal Lessons Learned: </w:t>
      </w:r>
      <w:r>
        <w:rPr>
          <w:rFonts w:ascii="Times New Roman" w:hAnsi="Times New Roman"/>
          <w:b/>
          <w:bCs/>
          <w:sz w:val="24"/>
          <w:szCs w:val="24"/>
        </w:rPr>
        <w:t xml:space="preserve">If promoted personnel are to be treated as “probationary” for the first year after probation, clearly state this in the CBA or Employee Handbook.   See Sept. 18, </w:t>
      </w:r>
      <w:proofErr w:type="gramStart"/>
      <w:r>
        <w:rPr>
          <w:rFonts w:ascii="Times New Roman" w:hAnsi="Times New Roman"/>
          <w:b/>
          <w:bCs/>
          <w:sz w:val="24"/>
          <w:szCs w:val="24"/>
        </w:rPr>
        <w:t>2013</w:t>
      </w:r>
      <w:proofErr w:type="gramEnd"/>
      <w:r>
        <w:rPr>
          <w:rFonts w:ascii="Times New Roman" w:hAnsi="Times New Roman"/>
          <w:b/>
          <w:bCs/>
          <w:sz w:val="24"/>
          <w:szCs w:val="24"/>
        </w:rPr>
        <w:t xml:space="preserve"> article and photo – hiring Steve Conti and two other firefighters: </w:t>
      </w:r>
      <w:hyperlink r:id="rId1245" w:history="1">
        <w:r w:rsidRPr="00BA29A7">
          <w:rPr>
            <w:rStyle w:val="Hyperlink"/>
            <w:rFonts w:ascii="Times New Roman" w:hAnsi="Times New Roman"/>
            <w:b/>
            <w:bCs/>
            <w:sz w:val="24"/>
            <w:szCs w:val="24"/>
          </w:rPr>
          <w:t>https://patch.com/ohio/mayfield-hillcrest/mayfield-village-introduces-three-new-firefighters</w:t>
        </w:r>
      </w:hyperlink>
      <w:r>
        <w:rPr>
          <w:rFonts w:ascii="Times New Roman" w:hAnsi="Times New Roman"/>
          <w:b/>
          <w:bCs/>
          <w:sz w:val="24"/>
          <w:szCs w:val="24"/>
        </w:rPr>
        <w:t xml:space="preserve"> </w:t>
      </w:r>
    </w:p>
    <w:p w14:paraId="12125F24" w14:textId="77777777" w:rsidR="00853142" w:rsidRPr="001C6D4E" w:rsidRDefault="00853142" w:rsidP="00853142">
      <w:pPr>
        <w:pStyle w:val="NoSpacing"/>
        <w:rPr>
          <w:rFonts w:ascii="Times New Roman" w:hAnsi="Times New Roman"/>
          <w:sz w:val="24"/>
          <w:szCs w:val="24"/>
        </w:rPr>
      </w:pPr>
    </w:p>
    <w:p w14:paraId="17D20D29" w14:textId="77777777" w:rsidR="00A67C57" w:rsidRPr="001C6D4E" w:rsidRDefault="00A67C57" w:rsidP="00853142">
      <w:pPr>
        <w:pStyle w:val="NoSpacing"/>
        <w:rPr>
          <w:rFonts w:ascii="Times New Roman" w:hAnsi="Times New Roman"/>
          <w:sz w:val="24"/>
          <w:szCs w:val="24"/>
        </w:rPr>
      </w:pPr>
    </w:p>
    <w:p w14:paraId="42A91EB0" w14:textId="77777777" w:rsidR="00853142" w:rsidRDefault="00853142" w:rsidP="00853142">
      <w:pPr>
        <w:pStyle w:val="NoSpacing"/>
        <w:rPr>
          <w:rFonts w:ascii="Times New Roman" w:hAnsi="Times New Roman"/>
          <w:sz w:val="24"/>
          <w:szCs w:val="24"/>
        </w:rPr>
      </w:pPr>
    </w:p>
    <w:p w14:paraId="6B7190DE" w14:textId="099DB33C" w:rsidR="009F0F05" w:rsidRDefault="009F0F05" w:rsidP="00EF1133">
      <w:pPr>
        <w:rPr>
          <w:rFonts w:ascii="Arial Black" w:hAnsi="Arial Black"/>
          <w:b/>
          <w:sz w:val="24"/>
          <w:szCs w:val="24"/>
        </w:rPr>
      </w:pPr>
      <w:r>
        <w:rPr>
          <w:rFonts w:ascii="Arial Black" w:hAnsi="Arial Black"/>
          <w:b/>
          <w:sz w:val="24"/>
          <w:szCs w:val="24"/>
        </w:rPr>
        <w:t>6-2</w:t>
      </w:r>
      <w:r w:rsidR="005B0774">
        <w:rPr>
          <w:rFonts w:ascii="Arial Black" w:hAnsi="Arial Black"/>
          <w:b/>
          <w:sz w:val="24"/>
          <w:szCs w:val="24"/>
        </w:rPr>
        <w:t>3</w:t>
      </w:r>
    </w:p>
    <w:p w14:paraId="69342D9A" w14:textId="77777777" w:rsidR="009F0F05" w:rsidRDefault="009F0F05" w:rsidP="009F0F05">
      <w:pPr>
        <w:rPr>
          <w:rFonts w:ascii="Arial Black" w:hAnsi="Arial Black"/>
          <w:sz w:val="28"/>
          <w:szCs w:val="28"/>
        </w:rPr>
      </w:pPr>
      <w:r w:rsidRPr="00F03F21">
        <w:rPr>
          <w:rFonts w:ascii="Arial Black" w:hAnsi="Arial Black"/>
          <w:sz w:val="28"/>
          <w:szCs w:val="28"/>
        </w:rPr>
        <w:t xml:space="preserve">IL: </w:t>
      </w:r>
      <w:r>
        <w:rPr>
          <w:rFonts w:ascii="Arial Black" w:hAnsi="Arial Black"/>
          <w:sz w:val="28"/>
          <w:szCs w:val="28"/>
        </w:rPr>
        <w:t xml:space="preserve"> BACK INJURIES - COURT AWARDS “ON DUTY” DISABILITY - CUMULATIVE EFFECT OF FIREFIGHTING </w:t>
      </w:r>
    </w:p>
    <w:p w14:paraId="11C65BB1" w14:textId="77777777" w:rsidR="009F0F05" w:rsidRPr="00076FC1" w:rsidRDefault="009F0F05" w:rsidP="009F0F05">
      <w:pPr>
        <w:rPr>
          <w:rFonts w:ascii="Times New Roman" w:hAnsi="Times New Roman"/>
          <w:sz w:val="24"/>
          <w:szCs w:val="24"/>
        </w:rPr>
      </w:pPr>
      <w:r w:rsidRPr="00FD63A6">
        <w:rPr>
          <w:rFonts w:ascii="Times New Roman" w:hAnsi="Times New Roman"/>
          <w:sz w:val="24"/>
          <w:szCs w:val="24"/>
        </w:rPr>
        <w:t xml:space="preserve">On Sept. 6, 2019, in </w:t>
      </w:r>
      <w:r w:rsidRPr="003D1DE7">
        <w:rPr>
          <w:rFonts w:ascii="Times New Roman" w:hAnsi="Times New Roman"/>
          <w:sz w:val="24"/>
          <w:szCs w:val="24"/>
          <w:u w:val="single"/>
        </w:rPr>
        <w:t>Jerry Valadez v. Harvey Firefighter’s Pension Fund, et al.</w:t>
      </w:r>
      <w:r>
        <w:rPr>
          <w:rFonts w:ascii="Times New Roman" w:hAnsi="Times New Roman"/>
          <w:sz w:val="24"/>
          <w:szCs w:val="24"/>
        </w:rPr>
        <w:t>, the Appellate Court of Illinois, First Judicial District / 6</w:t>
      </w:r>
      <w:r w:rsidRPr="00F67974">
        <w:rPr>
          <w:rFonts w:ascii="Times New Roman" w:hAnsi="Times New Roman"/>
          <w:sz w:val="24"/>
          <w:szCs w:val="24"/>
          <w:vertAlign w:val="superscript"/>
        </w:rPr>
        <w:t>th</w:t>
      </w:r>
      <w:r>
        <w:rPr>
          <w:rFonts w:ascii="Times New Roman" w:hAnsi="Times New Roman"/>
          <w:sz w:val="24"/>
          <w:szCs w:val="24"/>
        </w:rPr>
        <w:t xml:space="preserve"> Division, held (3 to 0) that the firefighter is entitled to a “on duty” disability.  </w:t>
      </w:r>
      <w:r w:rsidRPr="00F67974">
        <w:rPr>
          <w:rFonts w:ascii="Times New Roman" w:hAnsi="Times New Roman"/>
          <w:sz w:val="24"/>
          <w:szCs w:val="24"/>
        </w:rPr>
        <w:t>2019 IL App (1st) 181900-U (Ill. App., 2019)</w:t>
      </w:r>
      <w:r>
        <w:rPr>
          <w:rFonts w:ascii="Times New Roman" w:hAnsi="Times New Roman"/>
          <w:sz w:val="24"/>
          <w:szCs w:val="24"/>
        </w:rPr>
        <w:t xml:space="preserve">.  </w:t>
      </w:r>
      <w:hyperlink r:id="rId1246" w:history="1">
        <w:r w:rsidRPr="00076FC1">
          <w:rPr>
            <w:rStyle w:val="Hyperlink"/>
            <w:rFonts w:ascii="Times New Roman" w:hAnsi="Times New Roman"/>
            <w:sz w:val="24"/>
            <w:szCs w:val="24"/>
          </w:rPr>
          <w:t>https://courts.illinois.gov/R23_Orders/AppellateCourt/2019/1stDistrict/1181900_R23.pdf</w:t>
        </w:r>
      </w:hyperlink>
    </w:p>
    <w:p w14:paraId="01B85A9D" w14:textId="77777777" w:rsidR="009F0F05" w:rsidRDefault="009F0F05" w:rsidP="009F0F05">
      <w:pPr>
        <w:rPr>
          <w:rFonts w:ascii="Times New Roman" w:hAnsi="Times New Roman"/>
          <w:sz w:val="24"/>
          <w:szCs w:val="24"/>
        </w:rPr>
      </w:pPr>
      <w:r>
        <w:rPr>
          <w:rFonts w:ascii="Times New Roman" w:hAnsi="Times New Roman"/>
          <w:sz w:val="24"/>
          <w:szCs w:val="24"/>
        </w:rPr>
        <w:t xml:space="preserve">Justice Harris wrote opinion, overturning the Administrative Board:  </w:t>
      </w:r>
    </w:p>
    <w:p w14:paraId="3899C6C0" w14:textId="70C74AF2" w:rsidR="009F0F05" w:rsidRDefault="009F0F05" w:rsidP="009F1927">
      <w:pPr>
        <w:ind w:left="720"/>
        <w:rPr>
          <w:rFonts w:ascii="Times New Roman" w:hAnsi="Times New Roman"/>
          <w:sz w:val="24"/>
          <w:szCs w:val="24"/>
        </w:rPr>
      </w:pPr>
      <w:r>
        <w:rPr>
          <w:rFonts w:ascii="Times New Roman" w:hAnsi="Times New Roman"/>
          <w:sz w:val="24"/>
          <w:szCs w:val="24"/>
        </w:rPr>
        <w:t>“</w:t>
      </w:r>
      <w:r w:rsidRPr="006C49C9">
        <w:rPr>
          <w:rFonts w:ascii="Times New Roman" w:hAnsi="Times New Roman"/>
          <w:sz w:val="24"/>
          <w:szCs w:val="24"/>
        </w:rPr>
        <w:t xml:space="preserve">Although the Board agreed with Dr. </w:t>
      </w:r>
      <w:proofErr w:type="spellStart"/>
      <w:r w:rsidRPr="006C49C9">
        <w:rPr>
          <w:rFonts w:ascii="Times New Roman" w:hAnsi="Times New Roman"/>
          <w:sz w:val="24"/>
          <w:szCs w:val="24"/>
        </w:rPr>
        <w:t>Pelinkovic</w:t>
      </w:r>
      <w:proofErr w:type="spellEnd"/>
      <w:r w:rsidRPr="006C49C9">
        <w:rPr>
          <w:rFonts w:ascii="Times New Roman" w:hAnsi="Times New Roman"/>
          <w:sz w:val="24"/>
          <w:szCs w:val="24"/>
        </w:rPr>
        <w:t xml:space="preserve"> and Dr. Gleason that plaintiff was permanently disabled, it disagreed with their determination that the October 21, 2015, incident, or the cumulative effects of acts of </w:t>
      </w:r>
      <w:proofErr w:type="spellStart"/>
      <w:r w:rsidRPr="006C49C9">
        <w:rPr>
          <w:rFonts w:ascii="Times New Roman" w:hAnsi="Times New Roman"/>
          <w:sz w:val="24"/>
          <w:szCs w:val="24"/>
        </w:rPr>
        <w:t>fire fighting</w:t>
      </w:r>
      <w:proofErr w:type="spellEnd"/>
      <w:r w:rsidRPr="006C49C9">
        <w:rPr>
          <w:rFonts w:ascii="Times New Roman" w:hAnsi="Times New Roman"/>
          <w:sz w:val="24"/>
          <w:szCs w:val="24"/>
        </w:rPr>
        <w:t>, contributed to his disability. Instead, they credited Dr. Graf’s opinion that plaintiff’s condition is solely the result of his preexisting lower back issues.</w:t>
      </w:r>
      <w:r>
        <w:rPr>
          <w:rFonts w:ascii="Times New Roman" w:hAnsi="Times New Roman"/>
          <w:sz w:val="24"/>
          <w:szCs w:val="24"/>
        </w:rPr>
        <w:t xml:space="preserve">  ***</w:t>
      </w:r>
      <w:r w:rsidR="009F1927">
        <w:rPr>
          <w:rFonts w:ascii="Times New Roman" w:hAnsi="Times New Roman"/>
          <w:sz w:val="24"/>
          <w:szCs w:val="24"/>
        </w:rPr>
        <w:t xml:space="preserve"> </w:t>
      </w:r>
      <w:r w:rsidRPr="004A2CCB">
        <w:rPr>
          <w:rFonts w:ascii="Times New Roman" w:hAnsi="Times New Roman"/>
          <w:sz w:val="24"/>
          <w:szCs w:val="24"/>
        </w:rPr>
        <w:t>Dr. Graf’s decision to place great weight on plaintiff’s MRIs, with no consideration of whether plaintiff’s extrication of a victim weighing over 300 pounds and another over 200 pounds could have aggravated his preexisting condition, renders his opinion unreliable.</w:t>
      </w:r>
      <w:r>
        <w:rPr>
          <w:rFonts w:ascii="Times New Roman" w:hAnsi="Times New Roman"/>
          <w:sz w:val="24"/>
          <w:szCs w:val="24"/>
        </w:rPr>
        <w:t>”</w:t>
      </w:r>
    </w:p>
    <w:p w14:paraId="56318945" w14:textId="77777777" w:rsidR="009F0F05" w:rsidRPr="00AD64CA" w:rsidRDefault="009F0F05" w:rsidP="009F0F05">
      <w:pPr>
        <w:pStyle w:val="NoSpacing"/>
        <w:rPr>
          <w:b/>
          <w:bCs/>
        </w:rPr>
      </w:pPr>
      <w:r w:rsidRPr="00AD64CA">
        <w:rPr>
          <w:rFonts w:ascii="Times New Roman" w:hAnsi="Times New Roman"/>
          <w:b/>
          <w:bCs/>
          <w:sz w:val="24"/>
          <w:szCs w:val="24"/>
        </w:rPr>
        <w:t xml:space="preserve">Legal Lessons Learned: </w:t>
      </w:r>
      <w:r>
        <w:rPr>
          <w:rFonts w:ascii="Times New Roman" w:hAnsi="Times New Roman"/>
          <w:b/>
          <w:bCs/>
          <w:sz w:val="24"/>
          <w:szCs w:val="24"/>
        </w:rPr>
        <w:t xml:space="preserve"> Overturning Administrative Board decision is rare; the firefighter made an excellent record with testimony of two treating physicians. </w:t>
      </w:r>
    </w:p>
    <w:p w14:paraId="6D256988" w14:textId="77777777" w:rsidR="00715CF2" w:rsidRDefault="00715CF2" w:rsidP="00715CF2">
      <w:pPr>
        <w:rPr>
          <w:rFonts w:ascii="Times New Roman" w:hAnsi="Times New Roman"/>
          <w:bCs/>
          <w:sz w:val="24"/>
          <w:szCs w:val="24"/>
        </w:rPr>
      </w:pPr>
    </w:p>
    <w:p w14:paraId="3A27B6C1" w14:textId="25E5382A"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2</w:t>
      </w:r>
      <w:r w:rsidR="005B0774">
        <w:rPr>
          <w:rFonts w:ascii="Arial Black" w:hAnsi="Arial Black"/>
          <w:b/>
          <w:sz w:val="24"/>
          <w:szCs w:val="24"/>
        </w:rPr>
        <w:t>2</w:t>
      </w:r>
    </w:p>
    <w:p w14:paraId="506BFCEA" w14:textId="7263A9C4" w:rsidR="00F326E5" w:rsidRDefault="00F326E5" w:rsidP="00F326E5">
      <w:pPr>
        <w:pStyle w:val="NoSpacing"/>
        <w:rPr>
          <w:rFonts w:ascii="Arial Black" w:hAnsi="Arial Black"/>
          <w:b/>
          <w:sz w:val="28"/>
          <w:szCs w:val="28"/>
        </w:rPr>
      </w:pPr>
      <w:bookmarkStart w:id="246" w:name="_Hlk7343020"/>
      <w:r w:rsidRPr="00680B03">
        <w:rPr>
          <w:rFonts w:ascii="Arial Black" w:hAnsi="Arial Black"/>
          <w:sz w:val="28"/>
          <w:szCs w:val="28"/>
        </w:rPr>
        <w:t xml:space="preserve">PA: </w:t>
      </w:r>
      <w:r>
        <w:rPr>
          <w:rFonts w:ascii="Arial Black" w:hAnsi="Arial Black"/>
          <w:sz w:val="28"/>
          <w:szCs w:val="28"/>
        </w:rPr>
        <w:t xml:space="preserve"> CAN’T RETIRE AT AGE 50 –CITY AND UNION IN CBA ESTABLISHED MINIMUM AGE AT 55 </w:t>
      </w:r>
    </w:p>
    <w:p w14:paraId="0F32058C" w14:textId="77777777" w:rsid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March 25, 2019, in </w:t>
      </w:r>
      <w:r w:rsidRPr="009F1927">
        <w:rPr>
          <w:rFonts w:ascii="Times New Roman" w:hAnsi="Times New Roman"/>
          <w:sz w:val="24"/>
          <w:szCs w:val="24"/>
          <w:u w:val="single"/>
        </w:rPr>
        <w:t>Joseph C. Bongivengo v. City of New Castle Pension Plan Board and The City of New Castle</w:t>
      </w:r>
      <w:r w:rsidRPr="009F1927">
        <w:rPr>
          <w:rFonts w:ascii="Times New Roman" w:hAnsi="Times New Roman"/>
          <w:sz w:val="24"/>
          <w:szCs w:val="24"/>
        </w:rPr>
        <w:t xml:space="preserve">, the Commonwealth Court of Pennsylvania held (3 to 0): </w:t>
      </w:r>
    </w:p>
    <w:p w14:paraId="0BB6A836" w14:textId="77777777" w:rsidR="009F1927" w:rsidRDefault="009F1927" w:rsidP="00F326E5">
      <w:pPr>
        <w:pStyle w:val="NoSpacing"/>
        <w:rPr>
          <w:rFonts w:ascii="Times New Roman" w:hAnsi="Times New Roman"/>
          <w:sz w:val="24"/>
          <w:szCs w:val="24"/>
        </w:rPr>
      </w:pPr>
    </w:p>
    <w:p w14:paraId="59D28EF9" w14:textId="795FE72C" w:rsidR="00F326E5" w:rsidRPr="009F1927" w:rsidRDefault="00F326E5" w:rsidP="009F1927">
      <w:pPr>
        <w:pStyle w:val="NoSpacing"/>
        <w:ind w:left="720" w:firstLine="60"/>
        <w:rPr>
          <w:rFonts w:ascii="Times New Roman" w:hAnsi="Times New Roman"/>
          <w:sz w:val="24"/>
          <w:szCs w:val="24"/>
        </w:rPr>
      </w:pPr>
      <w:r w:rsidRPr="009F1927">
        <w:rPr>
          <w:rFonts w:ascii="Times New Roman" w:hAnsi="Times New Roman"/>
          <w:sz w:val="24"/>
          <w:szCs w:val="24"/>
        </w:rPr>
        <w:t xml:space="preserve">“This ruling also disposes of Bongivengo’s argument that the </w:t>
      </w:r>
      <w:proofErr w:type="gramStart"/>
      <w:r w:rsidRPr="009F1927">
        <w:rPr>
          <w:rFonts w:ascii="Times New Roman" w:hAnsi="Times New Roman"/>
          <w:sz w:val="24"/>
          <w:szCs w:val="24"/>
        </w:rPr>
        <w:t>City</w:t>
      </w:r>
      <w:proofErr w:type="gramEnd"/>
      <w:r w:rsidRPr="009F1927">
        <w:rPr>
          <w:rFonts w:ascii="Times New Roman" w:hAnsi="Times New Roman"/>
          <w:sz w:val="24"/>
          <w:szCs w:val="24"/>
        </w:rPr>
        <w:t xml:space="preserve"> violated Section 607(e) of Act 205 because it did not engage in collective bargaining before it implemented the new age and years of service requirements. As noted above, the </w:t>
      </w:r>
      <w:proofErr w:type="gramStart"/>
      <w:r w:rsidRPr="009F1927">
        <w:rPr>
          <w:rFonts w:ascii="Times New Roman" w:hAnsi="Times New Roman"/>
          <w:sz w:val="24"/>
          <w:szCs w:val="24"/>
        </w:rPr>
        <w:t>City</w:t>
      </w:r>
      <w:proofErr w:type="gramEnd"/>
      <w:r w:rsidRPr="009F1927">
        <w:rPr>
          <w:rFonts w:ascii="Times New Roman" w:hAnsi="Times New Roman"/>
          <w:sz w:val="24"/>
          <w:szCs w:val="24"/>
        </w:rPr>
        <w:t xml:space="preserve"> and the Union did collectively bargain for the age and years of service requirement, as first reflected in the 1992 CBA and subsequently in every CBA </w:t>
      </w:r>
      <w:proofErr w:type="gramStart"/>
      <w:r w:rsidRPr="009F1927">
        <w:rPr>
          <w:rFonts w:ascii="Times New Roman" w:hAnsi="Times New Roman"/>
          <w:sz w:val="24"/>
          <w:szCs w:val="24"/>
        </w:rPr>
        <w:t>thereafter.”</w:t>
      </w:r>
      <w:proofErr w:type="gramEnd"/>
      <w:r w:rsidRPr="009F1927">
        <w:rPr>
          <w:rFonts w:ascii="Times New Roman" w:hAnsi="Times New Roman"/>
          <w:sz w:val="24"/>
          <w:szCs w:val="24"/>
        </w:rPr>
        <w:t xml:space="preserve"> </w:t>
      </w:r>
      <w:hyperlink r:id="rId1247" w:history="1">
        <w:r w:rsidRPr="009F1927">
          <w:rPr>
            <w:rStyle w:val="Hyperlink"/>
            <w:rFonts w:ascii="Times New Roman" w:hAnsi="Times New Roman"/>
            <w:sz w:val="24"/>
            <w:szCs w:val="24"/>
          </w:rPr>
          <w:t>http://www.pacourts.us/assets/opinions/Commonwealth/out/877CD18_3-25-19.pdf?cb=1</w:t>
        </w:r>
      </w:hyperlink>
      <w:r w:rsidRPr="009F1927">
        <w:rPr>
          <w:rFonts w:ascii="Times New Roman" w:hAnsi="Times New Roman"/>
          <w:sz w:val="24"/>
          <w:szCs w:val="24"/>
        </w:rPr>
        <w:t xml:space="preserve"> </w:t>
      </w:r>
    </w:p>
    <w:p w14:paraId="4CC2526E" w14:textId="77777777" w:rsidR="00E40E39" w:rsidRDefault="00E40E39" w:rsidP="00F326E5">
      <w:pPr>
        <w:pStyle w:val="NoSpacing"/>
        <w:rPr>
          <w:rFonts w:ascii="Times New Roman" w:hAnsi="Times New Roman"/>
          <w:b/>
          <w:sz w:val="24"/>
          <w:szCs w:val="24"/>
        </w:rPr>
      </w:pPr>
      <w:bookmarkStart w:id="247" w:name="_Hlk6755053"/>
    </w:p>
    <w:p w14:paraId="7DC3CADC" w14:textId="181084C6"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 xml:space="preserve">Legal Lessons Learned: City and Union agreement controls minimum retirement age. </w:t>
      </w:r>
      <w:bookmarkEnd w:id="247"/>
    </w:p>
    <w:bookmarkEnd w:id="246"/>
    <w:p w14:paraId="217F3DDB" w14:textId="6F346EBB" w:rsidR="00527EDF" w:rsidRDefault="00527EDF" w:rsidP="00F326E5">
      <w:pPr>
        <w:pStyle w:val="NoSpacing"/>
        <w:rPr>
          <w:b/>
          <w:sz w:val="24"/>
          <w:szCs w:val="24"/>
        </w:rPr>
      </w:pPr>
    </w:p>
    <w:p w14:paraId="4988DD91" w14:textId="22A8D13B" w:rsidR="009F1927" w:rsidRDefault="009F1927" w:rsidP="00F326E5">
      <w:pPr>
        <w:pStyle w:val="NoSpacing"/>
        <w:rPr>
          <w:b/>
          <w:sz w:val="24"/>
          <w:szCs w:val="24"/>
        </w:rPr>
      </w:pPr>
    </w:p>
    <w:p w14:paraId="416F77D6" w14:textId="77777777" w:rsidR="009F1927" w:rsidRDefault="009F1927" w:rsidP="00F326E5">
      <w:pPr>
        <w:pStyle w:val="NoSpacing"/>
        <w:rPr>
          <w:sz w:val="24"/>
          <w:szCs w:val="24"/>
        </w:rPr>
      </w:pPr>
    </w:p>
    <w:p w14:paraId="6E8B5245" w14:textId="7DCE07A4"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w:t>
      </w:r>
      <w:r w:rsidR="005F7D6B">
        <w:rPr>
          <w:rFonts w:ascii="Arial Black" w:hAnsi="Arial Black"/>
          <w:b/>
          <w:sz w:val="24"/>
          <w:szCs w:val="24"/>
        </w:rPr>
        <w:t>2</w:t>
      </w:r>
      <w:r w:rsidR="005B0774">
        <w:rPr>
          <w:rFonts w:ascii="Arial Black" w:hAnsi="Arial Black"/>
          <w:b/>
          <w:sz w:val="24"/>
          <w:szCs w:val="24"/>
        </w:rPr>
        <w:t>1</w:t>
      </w:r>
    </w:p>
    <w:p w14:paraId="5724CFAB" w14:textId="7474B963" w:rsidR="00527EDF" w:rsidRDefault="00527EDF" w:rsidP="00527EDF">
      <w:pPr>
        <w:pStyle w:val="NoSpacing"/>
        <w:rPr>
          <w:rFonts w:ascii="Arial Black" w:hAnsi="Arial Black"/>
          <w:sz w:val="28"/>
          <w:szCs w:val="28"/>
        </w:rPr>
      </w:pPr>
      <w:bookmarkStart w:id="248" w:name="_Hlk10126961"/>
      <w:r>
        <w:rPr>
          <w:rFonts w:ascii="Arial Black" w:hAnsi="Arial Black"/>
          <w:sz w:val="28"/>
          <w:szCs w:val="28"/>
        </w:rPr>
        <w:t xml:space="preserve">OH: FF CANCER - LUMBAR SPINE LYMPHOMA – CITY CONTESTED – FF FILED FOR COSTS / ATTY FEES, CITY LATE IN RESPONDING, MUST PAY </w:t>
      </w:r>
    </w:p>
    <w:p w14:paraId="3A3FAB1F" w14:textId="77777777" w:rsidR="00527EDF" w:rsidRDefault="00527EDF" w:rsidP="00527EDF">
      <w:pPr>
        <w:pStyle w:val="NoSpacing"/>
        <w:rPr>
          <w:rFonts w:ascii="Arial Black" w:hAnsi="Arial Black"/>
          <w:sz w:val="28"/>
          <w:szCs w:val="28"/>
        </w:rPr>
      </w:pPr>
    </w:p>
    <w:p w14:paraId="3794A73E" w14:textId="77777777" w:rsidR="00527EDF" w:rsidRPr="002F51DD" w:rsidRDefault="00527EDF" w:rsidP="00527EDF">
      <w:pPr>
        <w:pStyle w:val="NoSpacing"/>
        <w:rPr>
          <w:rFonts w:ascii="Times New Roman" w:hAnsi="Times New Roman"/>
          <w:sz w:val="24"/>
          <w:szCs w:val="24"/>
        </w:rPr>
      </w:pPr>
      <w:r w:rsidRPr="002F51DD">
        <w:rPr>
          <w:rFonts w:ascii="Times New Roman" w:hAnsi="Times New Roman"/>
          <w:sz w:val="24"/>
          <w:szCs w:val="24"/>
        </w:rPr>
        <w:t xml:space="preserve">On May 23, 2019, in </w:t>
      </w:r>
      <w:r w:rsidRPr="002F51DD">
        <w:rPr>
          <w:rFonts w:ascii="Times New Roman" w:hAnsi="Times New Roman"/>
          <w:sz w:val="24"/>
          <w:szCs w:val="24"/>
          <w:u w:val="single"/>
        </w:rPr>
        <w:t>Robert T. Rodgers v. City of Rocky River, et al</w:t>
      </w:r>
      <w:r>
        <w:rPr>
          <w:rFonts w:ascii="Times New Roman" w:hAnsi="Times New Roman"/>
          <w:sz w:val="24"/>
          <w:szCs w:val="24"/>
        </w:rPr>
        <w:t xml:space="preserve">., 2010 Ohio 2006 (Ohio App, 2019), the Ohio Court of Appeals for Cuyahoga County (3 to 0), upheld the trial court’s order that City reimburse the firefighter for his costs and attorney fees of $3,734.45. </w:t>
      </w:r>
    </w:p>
    <w:p w14:paraId="5CE0CD57" w14:textId="77777777" w:rsidR="00527EDF" w:rsidRDefault="00527EDF" w:rsidP="00527EDF">
      <w:pPr>
        <w:pStyle w:val="NoSpacing"/>
        <w:rPr>
          <w:rFonts w:ascii="Arial Black" w:hAnsi="Arial Black"/>
          <w:sz w:val="28"/>
          <w:szCs w:val="28"/>
        </w:rPr>
      </w:pPr>
    </w:p>
    <w:p w14:paraId="373257F3" w14:textId="77777777" w:rsidR="00527EDF" w:rsidRDefault="00527EDF" w:rsidP="00527EDF">
      <w:pPr>
        <w:pStyle w:val="NoSpacing"/>
        <w:ind w:left="720"/>
      </w:pPr>
      <w:r>
        <w:rPr>
          <w:rFonts w:ascii="Times New Roman" w:hAnsi="Times New Roman"/>
          <w:sz w:val="24"/>
          <w:szCs w:val="24"/>
        </w:rPr>
        <w:t>“[W]e</w:t>
      </w:r>
      <w:r w:rsidRPr="00D82AA5">
        <w:rPr>
          <w:rFonts w:ascii="Times New Roman" w:hAnsi="Times New Roman"/>
          <w:sz w:val="24"/>
          <w:szCs w:val="24"/>
        </w:rPr>
        <w:t xml:space="preserve"> note that the plain language of R.C. 4123.512(F) authorizes the award of attorney fees and costs against </w:t>
      </w:r>
      <w:r>
        <w:rPr>
          <w:rFonts w:ascii="Times New Roman" w:hAnsi="Times New Roman"/>
          <w:sz w:val="24"/>
          <w:szCs w:val="24"/>
        </w:rPr>
        <w:t>‘</w:t>
      </w:r>
      <w:r w:rsidRPr="00D82AA5">
        <w:rPr>
          <w:rFonts w:ascii="Times New Roman" w:hAnsi="Times New Roman"/>
          <w:sz w:val="24"/>
          <w:szCs w:val="24"/>
        </w:rPr>
        <w:t>the employer</w:t>
      </w:r>
      <w:r>
        <w:rPr>
          <w:rFonts w:ascii="Times New Roman" w:hAnsi="Times New Roman"/>
          <w:sz w:val="24"/>
          <w:szCs w:val="24"/>
        </w:rPr>
        <w:t xml:space="preserve">’ </w:t>
      </w:r>
      <w:r w:rsidRPr="00D82AA5">
        <w:rPr>
          <w:rFonts w:ascii="Times New Roman" w:hAnsi="Times New Roman"/>
          <w:sz w:val="24"/>
          <w:szCs w:val="24"/>
        </w:rPr>
        <w:t xml:space="preserve">who contests an injured worker’s right to participate in the workers’ compensation system after an injured worker’s right to participate is established. The statute does not differentiate between public and private employers, unlike in R.C. 4123.01(B) where the legislature provided different definitions of “employers” — public (political subdivisions) and private. This demonstrates that the legislature had the ability to establish immunity for political subdivisions or public employers from an award of attorney fees and </w:t>
      </w:r>
      <w:proofErr w:type="gramStart"/>
      <w:r w:rsidRPr="00D82AA5">
        <w:rPr>
          <w:rFonts w:ascii="Times New Roman" w:hAnsi="Times New Roman"/>
          <w:sz w:val="24"/>
          <w:szCs w:val="24"/>
        </w:rPr>
        <w:t>costs,</w:t>
      </w:r>
      <w:r>
        <w:rPr>
          <w:rFonts w:ascii="Times New Roman" w:hAnsi="Times New Roman"/>
          <w:sz w:val="24"/>
          <w:szCs w:val="24"/>
        </w:rPr>
        <w:t xml:space="preserve"> </w:t>
      </w:r>
      <w:r w:rsidRPr="00D82AA5">
        <w:rPr>
          <w:rFonts w:ascii="Times New Roman" w:hAnsi="Times New Roman"/>
          <w:sz w:val="24"/>
          <w:szCs w:val="24"/>
        </w:rPr>
        <w:t>but</w:t>
      </w:r>
      <w:proofErr w:type="gramEnd"/>
      <w:r w:rsidRPr="00D82AA5">
        <w:rPr>
          <w:rFonts w:ascii="Times New Roman" w:hAnsi="Times New Roman"/>
          <w:sz w:val="24"/>
          <w:szCs w:val="24"/>
        </w:rPr>
        <w:t xml:space="preserve"> elected not to do so. </w:t>
      </w:r>
    </w:p>
    <w:p w14:paraId="2164DAD9" w14:textId="77777777" w:rsidR="00527EDF" w:rsidRDefault="00527EDF" w:rsidP="00527EDF">
      <w:pPr>
        <w:pStyle w:val="NoSpacing"/>
        <w:ind w:firstLine="720"/>
      </w:pPr>
      <w:hyperlink r:id="rId1248" w:history="1">
        <w:r w:rsidRPr="00BA6FF6">
          <w:rPr>
            <w:rStyle w:val="Hyperlink"/>
          </w:rPr>
          <w:t>https://cases.justia.com/ohio/eighth-district-court-of-appeals/2019-108059.pdf?ts=1558624525</w:t>
        </w:r>
      </w:hyperlink>
      <w:r>
        <w:t xml:space="preserve"> </w:t>
      </w:r>
    </w:p>
    <w:p w14:paraId="42639428" w14:textId="77777777" w:rsidR="00527EDF" w:rsidRDefault="00527EDF" w:rsidP="00527EDF">
      <w:pPr>
        <w:pStyle w:val="NoSpacing"/>
        <w:rPr>
          <w:rFonts w:ascii="Times New Roman" w:hAnsi="Times New Roman"/>
          <w:b/>
          <w:sz w:val="24"/>
          <w:szCs w:val="24"/>
        </w:rPr>
      </w:pPr>
      <w:bookmarkStart w:id="249" w:name="_Hlk10127002"/>
      <w:bookmarkEnd w:id="248"/>
    </w:p>
    <w:p w14:paraId="06754DAA" w14:textId="5D312BA0" w:rsidR="00527EDF" w:rsidRPr="00135A21" w:rsidRDefault="00527EDF" w:rsidP="00527EDF">
      <w:pPr>
        <w:pStyle w:val="NoSpacing"/>
        <w:rPr>
          <w:rFonts w:ascii="Times New Roman" w:hAnsi="Times New Roman"/>
          <w:b/>
          <w:sz w:val="24"/>
          <w:szCs w:val="24"/>
        </w:rPr>
      </w:pPr>
      <w:r w:rsidRPr="00135A21">
        <w:rPr>
          <w:rFonts w:ascii="Times New Roman" w:hAnsi="Times New Roman"/>
          <w:b/>
          <w:sz w:val="24"/>
          <w:szCs w:val="24"/>
        </w:rPr>
        <w:t xml:space="preserve">Legal Lessons Learned: </w:t>
      </w:r>
      <w:r>
        <w:rPr>
          <w:rFonts w:ascii="Times New Roman" w:hAnsi="Times New Roman"/>
          <w:b/>
          <w:sz w:val="24"/>
          <w:szCs w:val="24"/>
        </w:rPr>
        <w:t xml:space="preserve"> City failed to timely appeal award of costs and attorney fees; no statute protects city from liability for court cost and attorney fees. </w:t>
      </w:r>
    </w:p>
    <w:bookmarkEnd w:id="249"/>
    <w:p w14:paraId="00B1EDFE" w14:textId="032C577C" w:rsidR="00527EDF" w:rsidRPr="00254438" w:rsidRDefault="00527EDF" w:rsidP="00F326E5">
      <w:pPr>
        <w:pStyle w:val="NoSpacing"/>
        <w:rPr>
          <w:sz w:val="24"/>
          <w:szCs w:val="24"/>
        </w:rPr>
      </w:pPr>
    </w:p>
    <w:p w14:paraId="4AFAF734" w14:textId="77777777" w:rsidR="00F326E5" w:rsidRDefault="00F326E5" w:rsidP="00F326E5">
      <w:pPr>
        <w:pStyle w:val="NoSpacing"/>
        <w:rPr>
          <w:b/>
          <w:sz w:val="24"/>
          <w:szCs w:val="24"/>
        </w:rPr>
      </w:pPr>
    </w:p>
    <w:p w14:paraId="5653F92F" w14:textId="77777777" w:rsidR="00EF1133" w:rsidRDefault="00EF1133" w:rsidP="00EF1133">
      <w:pPr>
        <w:rPr>
          <w:rFonts w:ascii="Arial Black" w:hAnsi="Arial Black"/>
          <w:b/>
          <w:sz w:val="24"/>
          <w:szCs w:val="24"/>
        </w:rPr>
      </w:pPr>
      <w:bookmarkStart w:id="250" w:name="_Hlk7343060"/>
    </w:p>
    <w:p w14:paraId="44FFF05F" w14:textId="71A89486"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w:t>
      </w:r>
      <w:r w:rsidR="005B0774">
        <w:rPr>
          <w:rFonts w:ascii="Arial Black" w:hAnsi="Arial Black"/>
          <w:b/>
          <w:sz w:val="24"/>
          <w:szCs w:val="24"/>
        </w:rPr>
        <w:t>20</w:t>
      </w:r>
    </w:p>
    <w:p w14:paraId="7C5CCD6C" w14:textId="675932CE" w:rsidR="00527EDF" w:rsidRDefault="00527EDF" w:rsidP="00527EDF">
      <w:pPr>
        <w:pStyle w:val="NoSpacing"/>
        <w:rPr>
          <w:rFonts w:ascii="Arial Black" w:hAnsi="Arial Black"/>
          <w:sz w:val="28"/>
          <w:szCs w:val="28"/>
        </w:rPr>
      </w:pPr>
      <w:r w:rsidRPr="008C7754">
        <w:rPr>
          <w:rFonts w:ascii="Arial Black" w:hAnsi="Arial Black"/>
          <w:sz w:val="28"/>
          <w:szCs w:val="28"/>
        </w:rPr>
        <w:t xml:space="preserve">IL: </w:t>
      </w:r>
      <w:r>
        <w:rPr>
          <w:rFonts w:ascii="Arial Black" w:hAnsi="Arial Black"/>
          <w:sz w:val="28"/>
          <w:szCs w:val="28"/>
        </w:rPr>
        <w:t xml:space="preserve">FF KIDNEY CANCER – WORK. COMP. GRANTED – EXPERT WITNESS CAUSED BY JOB, NOT OBESITY &amp; HYPERTENSION </w:t>
      </w:r>
    </w:p>
    <w:p w14:paraId="637A92C8" w14:textId="44A1892E" w:rsidR="00527EDF" w:rsidRPr="00114E9B" w:rsidRDefault="00527EDF" w:rsidP="00527EDF">
      <w:pPr>
        <w:rPr>
          <w:rFonts w:ascii="Times New Roman" w:hAnsi="Times New Roman"/>
          <w:sz w:val="24"/>
          <w:szCs w:val="24"/>
        </w:rPr>
      </w:pPr>
      <w:r w:rsidRPr="00114E9B">
        <w:rPr>
          <w:rFonts w:ascii="Times New Roman" w:hAnsi="Times New Roman"/>
          <w:sz w:val="24"/>
          <w:szCs w:val="24"/>
        </w:rPr>
        <w:t xml:space="preserve">On May 10, 2019, in </w:t>
      </w:r>
      <w:r w:rsidRPr="00114E9B">
        <w:rPr>
          <w:rFonts w:ascii="Times New Roman" w:hAnsi="Times New Roman"/>
          <w:sz w:val="24"/>
          <w:szCs w:val="24"/>
          <w:u w:val="single"/>
        </w:rPr>
        <w:t>City of Peoria v. Illinois Workers’ Compensation Commission (Bryan Grant</w:t>
      </w:r>
      <w:r w:rsidRPr="00114E9B">
        <w:rPr>
          <w:rFonts w:ascii="Times New Roman" w:hAnsi="Times New Roman"/>
          <w:sz w:val="24"/>
          <w:szCs w:val="24"/>
        </w:rPr>
        <w:t>), the Appellate Court of Illinois, Third District, Workers Comp Division, held (5 to 0) that the firefighter’s cancer was caused by the job.</w:t>
      </w:r>
    </w:p>
    <w:p w14:paraId="093AD023" w14:textId="77777777" w:rsidR="00527EDF" w:rsidRDefault="00527EDF" w:rsidP="00527EDF">
      <w:pPr>
        <w:pStyle w:val="NoSpacing"/>
        <w:ind w:left="720"/>
        <w:rPr>
          <w:rFonts w:ascii="Times New Roman" w:hAnsi="Times New Roman"/>
          <w:sz w:val="24"/>
          <w:szCs w:val="24"/>
        </w:rPr>
      </w:pPr>
      <w:r w:rsidRPr="00114E9B">
        <w:rPr>
          <w:rFonts w:ascii="Times New Roman" w:hAnsi="Times New Roman"/>
          <w:sz w:val="24"/>
          <w:szCs w:val="24"/>
        </w:rPr>
        <w:t>“By finding that the petitioner’s workplace exposures to carcinogenic gases caused his kidney cancer, the Illinois Workers’ Compensation Commission did not make a finding that was against the manifest weight of the evidence.”</w:t>
      </w:r>
    </w:p>
    <w:p w14:paraId="1F32BC66" w14:textId="304F7E4C" w:rsidR="00527EDF" w:rsidRDefault="00527EDF" w:rsidP="00527EDF">
      <w:pPr>
        <w:pStyle w:val="NoSpacing"/>
        <w:ind w:left="720"/>
        <w:rPr>
          <w:rStyle w:val="Hyperlink"/>
          <w:rFonts w:ascii="Times New Roman" w:hAnsi="Times New Roman"/>
          <w:sz w:val="24"/>
          <w:szCs w:val="24"/>
        </w:rPr>
      </w:pPr>
      <w:hyperlink r:id="rId1249" w:history="1">
        <w:r w:rsidRPr="00114E9B">
          <w:rPr>
            <w:rStyle w:val="Hyperlink"/>
            <w:rFonts w:ascii="Times New Roman" w:hAnsi="Times New Roman"/>
            <w:sz w:val="24"/>
            <w:szCs w:val="24"/>
          </w:rPr>
          <w:t>http://www.illinoiscourts.gov/R23_Orders/WorkersComp/2019/3180397WC_R23.pdf</w:t>
        </w:r>
      </w:hyperlink>
    </w:p>
    <w:p w14:paraId="23429176" w14:textId="4BD31590" w:rsidR="00527EDF" w:rsidRDefault="00527EDF" w:rsidP="00527EDF">
      <w:pPr>
        <w:pStyle w:val="NoSpacing"/>
        <w:rPr>
          <w:rStyle w:val="Hyperlink"/>
          <w:rFonts w:ascii="Times New Roman" w:hAnsi="Times New Roman"/>
          <w:sz w:val="24"/>
          <w:szCs w:val="24"/>
        </w:rPr>
      </w:pPr>
    </w:p>
    <w:p w14:paraId="6BA0AE4E" w14:textId="77777777" w:rsidR="00527EDF" w:rsidRDefault="00527EDF" w:rsidP="00527EDF">
      <w:pPr>
        <w:pStyle w:val="NoSpacing"/>
        <w:rPr>
          <w:rFonts w:ascii="Times New Roman" w:hAnsi="Times New Roman"/>
          <w:b/>
          <w:sz w:val="24"/>
          <w:szCs w:val="24"/>
        </w:rPr>
      </w:pPr>
      <w:bookmarkStart w:id="251" w:name="_Hlk10127098"/>
      <w:r w:rsidRPr="00A0664F">
        <w:rPr>
          <w:rFonts w:ascii="Times New Roman" w:hAnsi="Times New Roman"/>
          <w:b/>
          <w:sz w:val="24"/>
          <w:szCs w:val="24"/>
        </w:rPr>
        <w:t xml:space="preserve">Legal Lessons Learned: </w:t>
      </w:r>
      <w:r>
        <w:rPr>
          <w:rFonts w:ascii="Times New Roman" w:hAnsi="Times New Roman"/>
          <w:b/>
          <w:sz w:val="24"/>
          <w:szCs w:val="24"/>
        </w:rPr>
        <w:t xml:space="preserve"> Many states, including Illinois, have now enacted a statutory presumption on FF cancer.  But some employers are contesting claims, particularly if FF has poor health history.   </w:t>
      </w:r>
    </w:p>
    <w:p w14:paraId="0E4BD0D0" w14:textId="77777777" w:rsidR="00527EDF" w:rsidRDefault="00527EDF" w:rsidP="00527EDF">
      <w:pPr>
        <w:pStyle w:val="NoSpacing"/>
        <w:ind w:left="720"/>
        <w:rPr>
          <w:rFonts w:ascii="Times New Roman" w:hAnsi="Times New Roman"/>
          <w:sz w:val="24"/>
          <w:szCs w:val="24"/>
        </w:rPr>
      </w:pPr>
    </w:p>
    <w:p w14:paraId="0D967363" w14:textId="77777777" w:rsidR="00527EDF" w:rsidRPr="001922D5" w:rsidRDefault="00527EDF" w:rsidP="00527EDF">
      <w:pPr>
        <w:pStyle w:val="NoSpacing"/>
        <w:ind w:left="720"/>
        <w:rPr>
          <w:rFonts w:ascii="Times New Roman" w:hAnsi="Times New Roman"/>
          <w:sz w:val="24"/>
          <w:szCs w:val="24"/>
        </w:rPr>
      </w:pPr>
      <w:r>
        <w:rPr>
          <w:rFonts w:ascii="Times New Roman" w:hAnsi="Times New Roman"/>
          <w:sz w:val="24"/>
          <w:szCs w:val="24"/>
        </w:rPr>
        <w:t>S</w:t>
      </w:r>
      <w:r w:rsidRPr="00A0664F">
        <w:rPr>
          <w:rFonts w:ascii="Times New Roman" w:hAnsi="Times New Roman"/>
          <w:sz w:val="24"/>
          <w:szCs w:val="24"/>
        </w:rPr>
        <w:t xml:space="preserve">ee </w:t>
      </w:r>
      <w:r>
        <w:rPr>
          <w:rFonts w:ascii="Times New Roman" w:hAnsi="Times New Roman"/>
          <w:sz w:val="24"/>
          <w:szCs w:val="24"/>
        </w:rPr>
        <w:t xml:space="preserve">also </w:t>
      </w:r>
      <w:r w:rsidRPr="00A0664F">
        <w:rPr>
          <w:rFonts w:ascii="Times New Roman" w:hAnsi="Times New Roman"/>
          <w:sz w:val="24"/>
          <w:szCs w:val="24"/>
        </w:rPr>
        <w:t xml:space="preserve">this article on </w:t>
      </w:r>
      <w:r>
        <w:rPr>
          <w:rFonts w:ascii="Times New Roman" w:hAnsi="Times New Roman"/>
          <w:sz w:val="24"/>
          <w:szCs w:val="24"/>
        </w:rPr>
        <w:t xml:space="preserve">2017 </w:t>
      </w:r>
      <w:r w:rsidRPr="00A0664F">
        <w:rPr>
          <w:rFonts w:ascii="Times New Roman" w:hAnsi="Times New Roman"/>
          <w:sz w:val="24"/>
          <w:szCs w:val="24"/>
        </w:rPr>
        <w:t>case involving Illinois firefighter who suffered a heart attack</w:t>
      </w:r>
      <w:r>
        <w:rPr>
          <w:rFonts w:ascii="Times New Roman" w:hAnsi="Times New Roman"/>
          <w:sz w:val="24"/>
          <w:szCs w:val="24"/>
        </w:rPr>
        <w:t>. “</w:t>
      </w:r>
      <w:r w:rsidRPr="001922D5">
        <w:rPr>
          <w:rFonts w:ascii="Times New Roman" w:hAnsi="Times New Roman"/>
          <w:sz w:val="24"/>
          <w:szCs w:val="24"/>
        </w:rPr>
        <w:t>In this case, the petitioner was an obese smoker, mildly diabetic, and with a family history of heart disease.</w:t>
      </w:r>
      <w:r>
        <w:rPr>
          <w:rFonts w:ascii="Times New Roman" w:hAnsi="Times New Roman"/>
          <w:sz w:val="24"/>
          <w:szCs w:val="24"/>
        </w:rPr>
        <w:t>”</w:t>
      </w:r>
      <w:r w:rsidRPr="001922D5">
        <w:rPr>
          <w:rFonts w:ascii="Times New Roman" w:hAnsi="Times New Roman"/>
          <w:sz w:val="24"/>
          <w:szCs w:val="24"/>
        </w:rPr>
        <w:t xml:space="preserve"> </w:t>
      </w:r>
      <w:hyperlink r:id="rId1250" w:history="1">
        <w:r w:rsidRPr="001922D5">
          <w:rPr>
            <w:rStyle w:val="Hyperlink"/>
            <w:rFonts w:ascii="Times New Roman" w:hAnsi="Times New Roman"/>
            <w:sz w:val="24"/>
            <w:szCs w:val="24"/>
          </w:rPr>
          <w:t>http://inmanfitzgibbons.com/illinois-wc-alert-rebutting-the-6f-presumption/</w:t>
        </w:r>
      </w:hyperlink>
      <w:r w:rsidRPr="001922D5">
        <w:rPr>
          <w:rFonts w:ascii="Times New Roman" w:hAnsi="Times New Roman"/>
          <w:sz w:val="24"/>
          <w:szCs w:val="24"/>
        </w:rPr>
        <w:t xml:space="preserve"> </w:t>
      </w:r>
    </w:p>
    <w:p w14:paraId="5FD55CCD" w14:textId="77777777" w:rsidR="00527EDF" w:rsidRPr="006E0B93" w:rsidRDefault="00527EDF" w:rsidP="00527EDF">
      <w:pPr>
        <w:pStyle w:val="NoSpacing"/>
        <w:ind w:left="720"/>
        <w:rPr>
          <w:rFonts w:ascii="Times New Roman" w:hAnsi="Times New Roman"/>
          <w:sz w:val="24"/>
          <w:szCs w:val="24"/>
        </w:rPr>
      </w:pPr>
      <w:r w:rsidRPr="00A0664F">
        <w:rPr>
          <w:rFonts w:ascii="Times New Roman" w:hAnsi="Times New Roman"/>
          <w:sz w:val="24"/>
          <w:szCs w:val="24"/>
        </w:rPr>
        <w:t xml:space="preserve">The Court further quoted the bill sponsor as saying, “[s]o don’t think it’s conclusive that simply because you have lung cancer, you’re going to get compensation of the Worker’s Compensation Act. What we’re </w:t>
      </w:r>
      <w:r w:rsidRPr="00A0664F">
        <w:rPr>
          <w:rFonts w:ascii="Times New Roman" w:hAnsi="Times New Roman"/>
          <w:sz w:val="24"/>
          <w:szCs w:val="24"/>
        </w:rPr>
        <w:lastRenderedPageBreak/>
        <w:t>saying is, we’ll get you to the hearing. Then the other side can bring in evidence that you smoked for thirty (30) years and therefore, it wasn’t a result of the actions taken at work.” </w:t>
      </w:r>
      <w:r w:rsidRPr="00A0664F">
        <w:rPr>
          <w:rStyle w:val="Emphasis"/>
          <w:rFonts w:ascii="Times New Roman" w:hAnsi="Times New Roman"/>
          <w:sz w:val="24"/>
          <w:szCs w:val="24"/>
        </w:rPr>
        <w:t>Id.</w:t>
      </w:r>
      <w:r w:rsidRPr="00A0664F">
        <w:rPr>
          <w:rFonts w:ascii="Times New Roman" w:hAnsi="Times New Roman"/>
          <w:sz w:val="24"/>
          <w:szCs w:val="24"/>
        </w:rPr>
        <w:t> at 82.</w:t>
      </w:r>
      <w:r>
        <w:rPr>
          <w:rFonts w:ascii="Times New Roman" w:hAnsi="Times New Roman"/>
          <w:sz w:val="24"/>
          <w:szCs w:val="24"/>
        </w:rPr>
        <w:t xml:space="preserve"> </w:t>
      </w:r>
      <w:r w:rsidRPr="006E0B93">
        <w:rPr>
          <w:rStyle w:val="Emphasis"/>
          <w:rFonts w:ascii="Times New Roman" w:hAnsi="Times New Roman"/>
          <w:sz w:val="24"/>
          <w:szCs w:val="24"/>
        </w:rPr>
        <w:t>Johnston v. Illinois Workers’ Comp. Comm’n</w:t>
      </w:r>
      <w:r w:rsidRPr="006E0B93">
        <w:rPr>
          <w:rFonts w:ascii="Times New Roman" w:hAnsi="Times New Roman"/>
          <w:sz w:val="24"/>
          <w:szCs w:val="24"/>
        </w:rPr>
        <w:t>, 2017 IL App (2d) 160010WC.</w:t>
      </w:r>
    </w:p>
    <w:bookmarkEnd w:id="251"/>
    <w:p w14:paraId="7BEF09E7" w14:textId="1C5BE5E5" w:rsidR="00527EDF" w:rsidRDefault="00527EDF" w:rsidP="00527EDF">
      <w:pPr>
        <w:pStyle w:val="NoSpacing"/>
        <w:rPr>
          <w:rStyle w:val="Hyperlink"/>
          <w:rFonts w:ascii="Times New Roman" w:hAnsi="Times New Roman"/>
          <w:sz w:val="24"/>
          <w:szCs w:val="24"/>
        </w:rPr>
      </w:pPr>
    </w:p>
    <w:p w14:paraId="770C6CAF" w14:textId="77777777" w:rsidR="00EF1133" w:rsidRDefault="00EF1133" w:rsidP="00527EDF">
      <w:pPr>
        <w:pStyle w:val="NoSpacing"/>
        <w:rPr>
          <w:rFonts w:ascii="Arial Black" w:hAnsi="Arial Black"/>
          <w:sz w:val="28"/>
          <w:szCs w:val="28"/>
        </w:rPr>
      </w:pPr>
      <w:bookmarkStart w:id="252" w:name="_Hlk10127150"/>
    </w:p>
    <w:p w14:paraId="0057E7E8" w14:textId="3613A613" w:rsidR="00EF1133" w:rsidRDefault="00EF1133" w:rsidP="00EF1133">
      <w:pPr>
        <w:rPr>
          <w:rFonts w:ascii="Arial Black" w:hAnsi="Arial Black"/>
          <w:sz w:val="28"/>
          <w:szCs w:val="28"/>
        </w:rPr>
      </w:pPr>
      <w:r>
        <w:rPr>
          <w:rFonts w:ascii="Arial Black" w:hAnsi="Arial Black"/>
          <w:b/>
          <w:sz w:val="24"/>
          <w:szCs w:val="24"/>
        </w:rPr>
        <w:t>6</w:t>
      </w:r>
      <w:r w:rsidRPr="00EF1133">
        <w:rPr>
          <w:rFonts w:ascii="Arial Black" w:hAnsi="Arial Black"/>
          <w:b/>
          <w:sz w:val="24"/>
          <w:szCs w:val="24"/>
        </w:rPr>
        <w:t>-1</w:t>
      </w:r>
      <w:r w:rsidR="005B0774">
        <w:rPr>
          <w:rFonts w:ascii="Arial Black" w:hAnsi="Arial Black"/>
          <w:b/>
          <w:sz w:val="24"/>
          <w:szCs w:val="24"/>
        </w:rPr>
        <w:t>9</w:t>
      </w:r>
    </w:p>
    <w:p w14:paraId="0292BE1A" w14:textId="32B2619F" w:rsidR="00527EDF" w:rsidRDefault="00527EDF" w:rsidP="00527EDF">
      <w:pPr>
        <w:pStyle w:val="NoSpacing"/>
        <w:rPr>
          <w:rFonts w:ascii="Arial Black" w:hAnsi="Arial Black"/>
          <w:sz w:val="28"/>
          <w:szCs w:val="28"/>
        </w:rPr>
      </w:pPr>
      <w:r w:rsidRPr="005F044F">
        <w:rPr>
          <w:rFonts w:ascii="Arial Black" w:hAnsi="Arial Black"/>
          <w:sz w:val="28"/>
          <w:szCs w:val="28"/>
        </w:rPr>
        <w:t xml:space="preserve">NJ: </w:t>
      </w:r>
      <w:r>
        <w:rPr>
          <w:rFonts w:ascii="Arial Black" w:hAnsi="Arial Black"/>
          <w:sz w:val="28"/>
          <w:szCs w:val="28"/>
        </w:rPr>
        <w:t>FF’s BACK INJURY - PLASTIC CHAIR COLLAPSED - PRIOR BACK ISSUES – NOT “ACCIDENTAL” DISABILITY, ONLY “ORDINARY” DISAB.</w:t>
      </w:r>
    </w:p>
    <w:p w14:paraId="5293A597" w14:textId="77777777" w:rsidR="00527EDF" w:rsidRDefault="00527EDF" w:rsidP="00527EDF">
      <w:pPr>
        <w:pStyle w:val="NoSpacing"/>
        <w:rPr>
          <w:rFonts w:ascii="Arial Black" w:hAnsi="Arial Black"/>
          <w:sz w:val="28"/>
          <w:szCs w:val="28"/>
        </w:rPr>
      </w:pPr>
    </w:p>
    <w:p w14:paraId="054469E7" w14:textId="77777777" w:rsidR="00527EDF" w:rsidRPr="00BE460E" w:rsidRDefault="00527EDF" w:rsidP="00527EDF">
      <w:pPr>
        <w:pStyle w:val="NoSpacing"/>
        <w:rPr>
          <w:rFonts w:ascii="Times New Roman" w:hAnsi="Times New Roman"/>
          <w:sz w:val="24"/>
          <w:szCs w:val="24"/>
        </w:rPr>
      </w:pPr>
      <w:r>
        <w:rPr>
          <w:rFonts w:ascii="Times New Roman" w:hAnsi="Times New Roman"/>
          <w:sz w:val="24"/>
          <w:szCs w:val="24"/>
        </w:rPr>
        <w:t xml:space="preserve">On </w:t>
      </w:r>
      <w:bookmarkStart w:id="253" w:name="_Hlk39831259"/>
      <w:r>
        <w:rPr>
          <w:rFonts w:ascii="Times New Roman" w:hAnsi="Times New Roman"/>
          <w:sz w:val="24"/>
          <w:szCs w:val="24"/>
        </w:rPr>
        <w:t xml:space="preserve">May 10, 2019, in </w:t>
      </w:r>
      <w:r w:rsidRPr="00BE460E">
        <w:rPr>
          <w:rFonts w:ascii="Times New Roman" w:hAnsi="Times New Roman"/>
          <w:sz w:val="24"/>
          <w:szCs w:val="24"/>
          <w:u w:val="single"/>
        </w:rPr>
        <w:t>Terrence Crowder v. Board of Trustees, Police &amp; Firemen’s Retirement System</w:t>
      </w:r>
      <w:bookmarkEnd w:id="253"/>
      <w:r w:rsidRPr="00BE460E">
        <w:rPr>
          <w:rFonts w:ascii="Times New Roman" w:hAnsi="Times New Roman"/>
          <w:sz w:val="24"/>
          <w:szCs w:val="24"/>
        </w:rPr>
        <w:t>, the Superior Court of New Jersey, Appellate Division,</w:t>
      </w:r>
      <w:r>
        <w:rPr>
          <w:rFonts w:ascii="Times New Roman" w:hAnsi="Times New Roman"/>
          <w:sz w:val="24"/>
          <w:szCs w:val="24"/>
          <w:u w:val="single"/>
        </w:rPr>
        <w:t xml:space="preserve"> </w:t>
      </w:r>
      <w:r>
        <w:rPr>
          <w:rFonts w:ascii="Times New Roman" w:hAnsi="Times New Roman"/>
          <w:sz w:val="24"/>
          <w:szCs w:val="24"/>
        </w:rPr>
        <w:t>held (2 to 0) that Deputy Chief was not entitled to 72.7% accidental disability retirement, only “ordinary” disability retirement (43.6%).</w:t>
      </w:r>
    </w:p>
    <w:p w14:paraId="2C9F7772" w14:textId="77777777" w:rsidR="00527EDF" w:rsidRDefault="00527EDF" w:rsidP="00527EDF">
      <w:pPr>
        <w:pStyle w:val="NoSpacing"/>
        <w:rPr>
          <w:rFonts w:ascii="Times New Roman" w:hAnsi="Times New Roman"/>
          <w:sz w:val="24"/>
          <w:szCs w:val="24"/>
        </w:rPr>
      </w:pPr>
    </w:p>
    <w:p w14:paraId="7CB6108D"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CA7133">
        <w:rPr>
          <w:rFonts w:ascii="Times New Roman" w:hAnsi="Times New Roman"/>
          <w:sz w:val="24"/>
          <w:szCs w:val="24"/>
        </w:rPr>
        <w:t>The 2008 incident was not the direct cause of</w:t>
      </w:r>
      <w:r>
        <w:rPr>
          <w:rFonts w:ascii="Times New Roman" w:hAnsi="Times New Roman"/>
          <w:sz w:val="24"/>
          <w:szCs w:val="24"/>
        </w:rPr>
        <w:t xml:space="preserve"> </w:t>
      </w:r>
      <w:r w:rsidRPr="00CA7133">
        <w:rPr>
          <w:rFonts w:ascii="Times New Roman" w:hAnsi="Times New Roman"/>
          <w:sz w:val="24"/>
          <w:szCs w:val="24"/>
        </w:rPr>
        <w:t>Crowder's disability. Rather,</w:t>
      </w:r>
      <w:r>
        <w:rPr>
          <w:rFonts w:ascii="Times New Roman" w:hAnsi="Times New Roman"/>
          <w:sz w:val="24"/>
          <w:szCs w:val="24"/>
        </w:rPr>
        <w:t xml:space="preserve"> </w:t>
      </w:r>
      <w:r w:rsidRPr="00CA7133">
        <w:rPr>
          <w:rFonts w:ascii="Times New Roman" w:hAnsi="Times New Roman"/>
          <w:sz w:val="24"/>
          <w:szCs w:val="24"/>
        </w:rPr>
        <w:t>as the ALJ correctly found, Crowder's</w:t>
      </w:r>
      <w:r>
        <w:rPr>
          <w:rFonts w:ascii="Times New Roman" w:hAnsi="Times New Roman"/>
          <w:sz w:val="24"/>
          <w:szCs w:val="24"/>
        </w:rPr>
        <w:t xml:space="preserve"> </w:t>
      </w:r>
      <w:r w:rsidRPr="00CA7133">
        <w:rPr>
          <w:rFonts w:ascii="Times New Roman" w:hAnsi="Times New Roman"/>
          <w:sz w:val="24"/>
          <w:szCs w:val="24"/>
        </w:rPr>
        <w:t xml:space="preserve">preexisting degenerative condition, which was aggravated by the 2008 incident, was the essential significant or the substantial contributing cause of his </w:t>
      </w:r>
      <w:proofErr w:type="gramStart"/>
      <w:r w:rsidRPr="00CA7133">
        <w:rPr>
          <w:rFonts w:ascii="Times New Roman" w:hAnsi="Times New Roman"/>
          <w:sz w:val="24"/>
          <w:szCs w:val="24"/>
        </w:rPr>
        <w:t>disability.</w:t>
      </w:r>
      <w:r>
        <w:rPr>
          <w:rFonts w:ascii="Times New Roman" w:hAnsi="Times New Roman"/>
          <w:sz w:val="24"/>
          <w:szCs w:val="24"/>
        </w:rPr>
        <w:t>”</w:t>
      </w:r>
      <w:proofErr w:type="gramEnd"/>
    </w:p>
    <w:bookmarkStart w:id="254" w:name="_Hlk39831287"/>
    <w:p w14:paraId="6FA5DDA4" w14:textId="77777777" w:rsidR="00527EDF" w:rsidRPr="00CA7133" w:rsidRDefault="00374417" w:rsidP="00527EDF">
      <w:pPr>
        <w:pStyle w:val="NoSpacing"/>
        <w:ind w:left="720"/>
        <w:rPr>
          <w:rFonts w:ascii="Times New Roman" w:hAnsi="Times New Roman"/>
          <w:sz w:val="24"/>
          <w:szCs w:val="24"/>
        </w:rPr>
      </w:pPr>
      <w:r>
        <w:fldChar w:fldCharType="begin"/>
      </w:r>
      <w:r>
        <w:instrText xml:space="preserve"> HYPERLINK "https://njcourts.gov/attorneys/assets/opinions/appellate/unpublished/a0094-17.pdf" </w:instrText>
      </w:r>
      <w:r>
        <w:fldChar w:fldCharType="separate"/>
      </w:r>
      <w:r w:rsidR="00527EDF" w:rsidRPr="002620E3">
        <w:rPr>
          <w:rStyle w:val="Hyperlink"/>
          <w:rFonts w:ascii="Times New Roman" w:hAnsi="Times New Roman"/>
          <w:sz w:val="24"/>
          <w:szCs w:val="24"/>
        </w:rPr>
        <w:t>https://njcourts.gov/attorneys/assets/opinions/appellate/unpublished/a0094-17.pdf</w:t>
      </w:r>
      <w:r>
        <w:rPr>
          <w:rStyle w:val="Hyperlink"/>
          <w:rFonts w:ascii="Times New Roman" w:hAnsi="Times New Roman"/>
          <w:sz w:val="24"/>
          <w:szCs w:val="24"/>
        </w:rPr>
        <w:fldChar w:fldCharType="end"/>
      </w:r>
      <w:r w:rsidR="00527EDF">
        <w:rPr>
          <w:rFonts w:ascii="Times New Roman" w:hAnsi="Times New Roman"/>
          <w:sz w:val="24"/>
          <w:szCs w:val="24"/>
        </w:rPr>
        <w:t xml:space="preserve"> </w:t>
      </w:r>
    </w:p>
    <w:p w14:paraId="3EDAB032" w14:textId="77777777" w:rsidR="00527EDF" w:rsidRDefault="00527EDF" w:rsidP="00527EDF">
      <w:pPr>
        <w:pStyle w:val="NoSpacing"/>
        <w:rPr>
          <w:rFonts w:ascii="Times New Roman" w:hAnsi="Times New Roman"/>
          <w:b/>
          <w:sz w:val="24"/>
          <w:szCs w:val="24"/>
        </w:rPr>
      </w:pPr>
      <w:bookmarkStart w:id="255" w:name="_Hlk10127233"/>
      <w:bookmarkEnd w:id="252"/>
      <w:bookmarkEnd w:id="254"/>
    </w:p>
    <w:p w14:paraId="3CD6AB30" w14:textId="58AEA41C" w:rsidR="00527EDF" w:rsidRPr="00C8192B" w:rsidRDefault="00527EDF" w:rsidP="00527EDF">
      <w:pPr>
        <w:pStyle w:val="NoSpacing"/>
        <w:rPr>
          <w:rFonts w:ascii="Times New Roman" w:hAnsi="Times New Roman"/>
          <w:b/>
          <w:sz w:val="24"/>
          <w:szCs w:val="24"/>
        </w:rPr>
      </w:pPr>
      <w:r w:rsidRPr="00C8192B">
        <w:rPr>
          <w:rFonts w:ascii="Times New Roman" w:hAnsi="Times New Roman"/>
          <w:b/>
          <w:sz w:val="24"/>
          <w:szCs w:val="24"/>
        </w:rPr>
        <w:t xml:space="preserve">Legal Lessons Learned: </w:t>
      </w:r>
      <w:r>
        <w:rPr>
          <w:rFonts w:ascii="Times New Roman" w:hAnsi="Times New Roman"/>
          <w:b/>
          <w:sz w:val="24"/>
          <w:szCs w:val="24"/>
        </w:rPr>
        <w:t xml:space="preserve">Aggravating a pre-existing degenerative condition does not meet the requirements of the state statute. Suggestion - get rid of plastic chairs in the station. </w:t>
      </w:r>
    </w:p>
    <w:p w14:paraId="12721D64" w14:textId="77777777" w:rsidR="00527EDF" w:rsidRDefault="00527EDF" w:rsidP="00527EDF">
      <w:pPr>
        <w:pStyle w:val="NoSpacing"/>
        <w:ind w:firstLine="720"/>
        <w:rPr>
          <w:rFonts w:ascii="Times New Roman" w:hAnsi="Times New Roman"/>
          <w:sz w:val="24"/>
          <w:szCs w:val="24"/>
        </w:rPr>
      </w:pPr>
    </w:p>
    <w:p w14:paraId="3EDE4DB6" w14:textId="77777777" w:rsidR="00527EDF" w:rsidRPr="00DE64B9" w:rsidRDefault="00527EDF" w:rsidP="00527EDF">
      <w:pPr>
        <w:pStyle w:val="NoSpacing"/>
        <w:ind w:left="720"/>
        <w:rPr>
          <w:rFonts w:ascii="Times New Roman" w:hAnsi="Times New Roman"/>
          <w:b/>
          <w:sz w:val="24"/>
          <w:szCs w:val="24"/>
        </w:rPr>
      </w:pPr>
      <w:r w:rsidRPr="00DE64B9">
        <w:rPr>
          <w:rFonts w:ascii="Times New Roman" w:hAnsi="Times New Roman"/>
          <w:sz w:val="24"/>
          <w:szCs w:val="24"/>
        </w:rPr>
        <w:t xml:space="preserve">See this article on the case, </w:t>
      </w:r>
      <w:bookmarkStart w:id="256" w:name="_Hlk39831133"/>
      <w:r w:rsidRPr="00DE64B9">
        <w:rPr>
          <w:rFonts w:ascii="Times New Roman" w:hAnsi="Times New Roman"/>
          <w:sz w:val="24"/>
          <w:szCs w:val="24"/>
        </w:rPr>
        <w:t xml:space="preserve">“Former Camden firefighter loses court fight over disability retirement benefits.” (May 14, 2019). </w:t>
      </w:r>
      <w:hyperlink r:id="rId1251" w:history="1">
        <w:r w:rsidRPr="00DE64B9">
          <w:rPr>
            <w:rStyle w:val="Hyperlink"/>
            <w:rFonts w:ascii="Times New Roman" w:hAnsi="Times New Roman"/>
            <w:sz w:val="24"/>
            <w:szCs w:val="24"/>
          </w:rPr>
          <w:t>https://www.courierpostonline.com/story/news/2019/05/14/terremce-crowder-camden-fire-department-deputy-chief-loses-disability-benefits-dispute/1194598001/</w:t>
        </w:r>
      </w:hyperlink>
      <w:bookmarkEnd w:id="256"/>
      <w:r w:rsidRPr="00DE64B9">
        <w:rPr>
          <w:rFonts w:ascii="Times New Roman" w:hAnsi="Times New Roman"/>
          <w:sz w:val="24"/>
          <w:szCs w:val="24"/>
        </w:rPr>
        <w:t xml:space="preserve"> </w:t>
      </w:r>
    </w:p>
    <w:p w14:paraId="7158046C" w14:textId="77777777" w:rsidR="00527EDF" w:rsidRPr="00DE64B9" w:rsidRDefault="00527EDF" w:rsidP="00527EDF">
      <w:pPr>
        <w:pStyle w:val="NoSpacing"/>
        <w:ind w:left="720"/>
        <w:rPr>
          <w:rFonts w:ascii="Times New Roman" w:hAnsi="Times New Roman"/>
          <w:sz w:val="24"/>
          <w:szCs w:val="24"/>
        </w:rPr>
      </w:pPr>
      <w:r w:rsidRPr="00DE64B9">
        <w:rPr>
          <w:rFonts w:ascii="Times New Roman" w:hAnsi="Times New Roman"/>
          <w:sz w:val="24"/>
          <w:szCs w:val="24"/>
        </w:rPr>
        <w:t>“According to the state Treasury’s website, an ordinary disability retirement pays 43.6 percent of an employee’s salary averaged over his or her last three years of service. In contrast, an accidental disability retirement pays 72.7 percent of the base salary at the time of the ‘traumatic event.’”</w:t>
      </w:r>
    </w:p>
    <w:bookmarkEnd w:id="255"/>
    <w:p w14:paraId="0CD1D77B" w14:textId="77777777" w:rsidR="0097592D" w:rsidRDefault="0097592D" w:rsidP="0097592D">
      <w:pPr>
        <w:pStyle w:val="NoSpacing"/>
        <w:rPr>
          <w:rFonts w:ascii="Times New Roman" w:hAnsi="Times New Roman"/>
          <w:sz w:val="24"/>
          <w:szCs w:val="24"/>
        </w:rPr>
      </w:pPr>
    </w:p>
    <w:p w14:paraId="0B140BCA" w14:textId="28931B8E" w:rsidR="0097592D" w:rsidRDefault="0097592D" w:rsidP="0097592D">
      <w:pPr>
        <w:pStyle w:val="NoSpacing"/>
        <w:rPr>
          <w:rFonts w:ascii="Times New Roman" w:hAnsi="Times New Roman"/>
          <w:sz w:val="24"/>
          <w:szCs w:val="24"/>
        </w:rPr>
      </w:pPr>
    </w:p>
    <w:p w14:paraId="1F5AEF7C" w14:textId="77777777" w:rsidR="005F7D6B" w:rsidRDefault="005F7D6B" w:rsidP="00EF1133">
      <w:pPr>
        <w:rPr>
          <w:rFonts w:ascii="Arial Black" w:hAnsi="Arial Black"/>
          <w:b/>
          <w:sz w:val="24"/>
          <w:szCs w:val="24"/>
        </w:rPr>
      </w:pPr>
    </w:p>
    <w:p w14:paraId="083A518F" w14:textId="6768BE79" w:rsidR="00660046" w:rsidRDefault="00660046" w:rsidP="00EF1133">
      <w:pPr>
        <w:rPr>
          <w:rFonts w:ascii="Arial Black" w:hAnsi="Arial Black"/>
          <w:b/>
          <w:sz w:val="24"/>
          <w:szCs w:val="24"/>
        </w:rPr>
      </w:pPr>
      <w:r>
        <w:rPr>
          <w:rFonts w:ascii="Arial Black" w:hAnsi="Arial Black"/>
          <w:b/>
          <w:sz w:val="24"/>
          <w:szCs w:val="24"/>
        </w:rPr>
        <w:t>6-18</w:t>
      </w:r>
    </w:p>
    <w:p w14:paraId="5779DE15" w14:textId="77777777" w:rsidR="00660046" w:rsidRPr="00660046" w:rsidRDefault="00660046" w:rsidP="00EF1133">
      <w:pPr>
        <w:rPr>
          <w:rFonts w:ascii="Arial Black" w:hAnsi="Arial Black" w:cs="Arial"/>
          <w:sz w:val="28"/>
          <w:szCs w:val="28"/>
        </w:rPr>
      </w:pPr>
      <w:r w:rsidRPr="00660046">
        <w:rPr>
          <w:rFonts w:ascii="Arial Black" w:hAnsi="Arial Black" w:cs="Arial"/>
          <w:sz w:val="28"/>
          <w:szCs w:val="28"/>
        </w:rPr>
        <w:t>NY: FDNY APPLICANT - PLED GUILTY MJ – CIVIL SERVICE COMM. PUT HIM BACK ON ELIGIBILITY LIST – LIST NOW EXPIRED - NOT HIRED</w:t>
      </w:r>
    </w:p>
    <w:p w14:paraId="386005B1" w14:textId="21EF063F" w:rsidR="00660046" w:rsidRPr="0036327D" w:rsidRDefault="00660046" w:rsidP="00EF1133">
      <w:pPr>
        <w:rPr>
          <w:rFonts w:ascii="Times New Roman" w:hAnsi="Times New Roman"/>
          <w:sz w:val="24"/>
          <w:szCs w:val="24"/>
        </w:rPr>
      </w:pPr>
      <w:r w:rsidRPr="0036327D">
        <w:rPr>
          <w:rFonts w:ascii="Times New Roman" w:hAnsi="Times New Roman"/>
          <w:sz w:val="24"/>
          <w:szCs w:val="24"/>
        </w:rPr>
        <w:t xml:space="preserve">On April 18, 2019, In </w:t>
      </w:r>
      <w:proofErr w:type="gramStart"/>
      <w:r w:rsidRPr="0036327D">
        <w:rPr>
          <w:rFonts w:ascii="Times New Roman" w:hAnsi="Times New Roman"/>
          <w:sz w:val="24"/>
          <w:szCs w:val="24"/>
        </w:rPr>
        <w:t>The</w:t>
      </w:r>
      <w:proofErr w:type="gramEnd"/>
      <w:r w:rsidRPr="0036327D">
        <w:rPr>
          <w:rFonts w:ascii="Times New Roman" w:hAnsi="Times New Roman"/>
          <w:sz w:val="24"/>
          <w:szCs w:val="24"/>
        </w:rPr>
        <w:t xml:space="preserve"> Matter </w:t>
      </w:r>
      <w:proofErr w:type="gramStart"/>
      <w:r w:rsidRPr="0036327D">
        <w:rPr>
          <w:rFonts w:ascii="Times New Roman" w:hAnsi="Times New Roman"/>
          <w:sz w:val="24"/>
          <w:szCs w:val="24"/>
        </w:rPr>
        <w:t>Of</w:t>
      </w:r>
      <w:proofErr w:type="gramEnd"/>
      <w:r w:rsidRPr="0036327D">
        <w:rPr>
          <w:rFonts w:ascii="Times New Roman" w:hAnsi="Times New Roman"/>
          <w:sz w:val="24"/>
          <w:szCs w:val="24"/>
        </w:rPr>
        <w:t xml:space="preserve"> </w:t>
      </w:r>
      <w:proofErr w:type="gramStart"/>
      <w:r w:rsidRPr="0036327D">
        <w:rPr>
          <w:rFonts w:ascii="Times New Roman" w:hAnsi="Times New Roman"/>
          <w:sz w:val="24"/>
          <w:szCs w:val="24"/>
        </w:rPr>
        <w:t>The</w:t>
      </w:r>
      <w:proofErr w:type="gramEnd"/>
      <w:r w:rsidRPr="0036327D">
        <w:rPr>
          <w:rFonts w:ascii="Times New Roman" w:hAnsi="Times New Roman"/>
          <w:sz w:val="24"/>
          <w:szCs w:val="24"/>
        </w:rPr>
        <w:t xml:space="preserve"> Application </w:t>
      </w:r>
      <w:proofErr w:type="gramStart"/>
      <w:r w:rsidRPr="0036327D">
        <w:rPr>
          <w:rFonts w:ascii="Times New Roman" w:hAnsi="Times New Roman"/>
          <w:sz w:val="24"/>
          <w:szCs w:val="24"/>
        </w:rPr>
        <w:t>Of</w:t>
      </w:r>
      <w:proofErr w:type="gramEnd"/>
      <w:r w:rsidRPr="0036327D">
        <w:rPr>
          <w:rFonts w:ascii="Times New Roman" w:hAnsi="Times New Roman"/>
          <w:sz w:val="24"/>
          <w:szCs w:val="24"/>
        </w:rPr>
        <w:t xml:space="preserve"> Christopher Redden v. The City of New York, a judge on NY Supreme Court, Kings County, denied the applicant’s request to be placed on a “special eligible list.” Redden v. City of N.Y., 2019 NY Slip Op 50647(U) (N.Y. Sup. Ct., 2019). “Being named on an eligible list does not create any vested right to be appointed; at most it conveys the right to be considered and the possibility of an appointment. *** Thus, the FDNY, as a civil service department, has the discretion to disqualify a candidate on the eligible list who has been found guilty of a crime. </w:t>
      </w:r>
      <w:hyperlink r:id="rId1252" w:history="1">
        <w:r w:rsidRPr="0036327D">
          <w:rPr>
            <w:rStyle w:val="Hyperlink"/>
            <w:rFonts w:ascii="Times New Roman" w:hAnsi="Times New Roman"/>
            <w:sz w:val="24"/>
            <w:szCs w:val="24"/>
          </w:rPr>
          <w:t>https://law.justia.com/cases/new-york/other-courts/2019/2019-ny-slip-op-50647-u.html</w:t>
        </w:r>
      </w:hyperlink>
      <w:r w:rsidRPr="0036327D">
        <w:rPr>
          <w:rFonts w:ascii="Times New Roman" w:hAnsi="Times New Roman"/>
          <w:sz w:val="24"/>
          <w:szCs w:val="24"/>
        </w:rPr>
        <w:t xml:space="preserve"> </w:t>
      </w:r>
    </w:p>
    <w:p w14:paraId="69CF6E62" w14:textId="5FBD5542" w:rsidR="00660046" w:rsidRPr="0036327D" w:rsidRDefault="00660046" w:rsidP="00EF1133">
      <w:pPr>
        <w:rPr>
          <w:rFonts w:ascii="Times New Roman" w:hAnsi="Times New Roman"/>
          <w:b/>
          <w:bCs/>
          <w:sz w:val="24"/>
          <w:szCs w:val="24"/>
        </w:rPr>
      </w:pPr>
      <w:r w:rsidRPr="0036327D">
        <w:rPr>
          <w:rFonts w:ascii="Times New Roman" w:hAnsi="Times New Roman"/>
          <w:b/>
          <w:bCs/>
          <w:sz w:val="24"/>
          <w:szCs w:val="24"/>
        </w:rPr>
        <w:lastRenderedPageBreak/>
        <w:t xml:space="preserve">Legal Lessons Learned: After eligibility list expires, applicant must wait for next exam. If he </w:t>
      </w:r>
      <w:proofErr w:type="gramStart"/>
      <w:r w:rsidRPr="0036327D">
        <w:rPr>
          <w:rFonts w:ascii="Times New Roman" w:hAnsi="Times New Roman"/>
          <w:b/>
          <w:bCs/>
          <w:sz w:val="24"/>
          <w:szCs w:val="24"/>
        </w:rPr>
        <w:t>is then</w:t>
      </w:r>
      <w:proofErr w:type="gramEnd"/>
      <w:r w:rsidRPr="0036327D">
        <w:rPr>
          <w:rFonts w:ascii="Times New Roman" w:hAnsi="Times New Roman"/>
          <w:b/>
          <w:bCs/>
          <w:sz w:val="24"/>
          <w:szCs w:val="24"/>
        </w:rPr>
        <w:t xml:space="preserve"> too old to apply, then he is without a remedy. </w:t>
      </w:r>
    </w:p>
    <w:p w14:paraId="7B13B0DA" w14:textId="2E94D0F5" w:rsidR="00660046" w:rsidRPr="0036327D" w:rsidRDefault="00660046" w:rsidP="00EF1133">
      <w:pPr>
        <w:rPr>
          <w:rFonts w:ascii="Times New Roman" w:hAnsi="Times New Roman"/>
          <w:sz w:val="24"/>
          <w:szCs w:val="24"/>
        </w:rPr>
      </w:pPr>
    </w:p>
    <w:p w14:paraId="3B9D3F45" w14:textId="77777777" w:rsidR="00660046" w:rsidRPr="00660046" w:rsidRDefault="00660046" w:rsidP="00EF1133">
      <w:pPr>
        <w:rPr>
          <w:rFonts w:ascii="Arial Black" w:hAnsi="Arial Black"/>
          <w:b/>
          <w:bCs/>
          <w:sz w:val="24"/>
          <w:szCs w:val="24"/>
        </w:rPr>
      </w:pPr>
    </w:p>
    <w:p w14:paraId="2BE436E8" w14:textId="3D748EF6" w:rsidR="005F7D6B" w:rsidRDefault="005F7D6B" w:rsidP="00EF1133">
      <w:pPr>
        <w:rPr>
          <w:rFonts w:ascii="Arial Black" w:hAnsi="Arial Black"/>
          <w:b/>
          <w:sz w:val="24"/>
          <w:szCs w:val="24"/>
        </w:rPr>
      </w:pPr>
      <w:r>
        <w:rPr>
          <w:rFonts w:ascii="Arial Black" w:hAnsi="Arial Black"/>
          <w:b/>
          <w:sz w:val="24"/>
          <w:szCs w:val="24"/>
        </w:rPr>
        <w:t>6-17</w:t>
      </w:r>
    </w:p>
    <w:p w14:paraId="7817ECAB" w14:textId="77777777" w:rsidR="005F7D6B" w:rsidRDefault="005F7D6B" w:rsidP="00EF1133">
      <w:pPr>
        <w:rPr>
          <w:rFonts w:ascii="Arial Black" w:hAnsi="Arial Black" w:cs="Arial"/>
          <w:sz w:val="28"/>
          <w:szCs w:val="28"/>
        </w:rPr>
      </w:pPr>
      <w:r w:rsidRPr="005F7D6B">
        <w:rPr>
          <w:rFonts w:ascii="Arial Black" w:hAnsi="Arial Black" w:cs="Arial"/>
          <w:sz w:val="28"/>
          <w:szCs w:val="28"/>
        </w:rPr>
        <w:t>PA: FIREFIGHTER TRIED TO RETIRE AT AGE 50 – BUT CITY AND UNION IN CBA SET THE MINIMUM AGE AT 55 – STATE MIN. OF 50 NOT APPLY</w:t>
      </w:r>
    </w:p>
    <w:p w14:paraId="21EC1437" w14:textId="2788C3EC" w:rsidR="005F7D6B" w:rsidRPr="0036327D" w:rsidRDefault="005F7D6B" w:rsidP="00EF1133">
      <w:pPr>
        <w:rPr>
          <w:rFonts w:ascii="Times New Roman" w:hAnsi="Times New Roman"/>
          <w:b/>
          <w:sz w:val="24"/>
          <w:szCs w:val="24"/>
        </w:rPr>
      </w:pPr>
      <w:r w:rsidRPr="0036327D">
        <w:rPr>
          <w:rFonts w:ascii="Times New Roman" w:hAnsi="Times New Roman"/>
          <w:sz w:val="24"/>
          <w:szCs w:val="24"/>
        </w:rPr>
        <w:t xml:space="preserve">On March 25, 2019, in Joseph C. Bongivengo v. City of New Castle Pension Plan Board and The City of New Castle, the Commonwealth Court of Pennsylvania held (3 to 0): “This ruling also disposes of Bongivengo’s argument that the City violated Section 607(e) of Act 205 because it did not engage in collective bargaining before it implemented the new age and years of service requirements. As noted above, the </w:t>
      </w:r>
      <w:proofErr w:type="gramStart"/>
      <w:r w:rsidRPr="0036327D">
        <w:rPr>
          <w:rFonts w:ascii="Times New Roman" w:hAnsi="Times New Roman"/>
          <w:sz w:val="24"/>
          <w:szCs w:val="24"/>
        </w:rPr>
        <w:t>City</w:t>
      </w:r>
      <w:proofErr w:type="gramEnd"/>
      <w:r w:rsidRPr="0036327D">
        <w:rPr>
          <w:rFonts w:ascii="Times New Roman" w:hAnsi="Times New Roman"/>
          <w:sz w:val="24"/>
          <w:szCs w:val="24"/>
        </w:rPr>
        <w:t xml:space="preserve"> and the Union did collectively bargain for the age and years of service requirement, as first reflected in the 1992 CBA and subsequently in every CBA </w:t>
      </w:r>
      <w:proofErr w:type="gramStart"/>
      <w:r w:rsidRPr="0036327D">
        <w:rPr>
          <w:rFonts w:ascii="Times New Roman" w:hAnsi="Times New Roman"/>
          <w:sz w:val="24"/>
          <w:szCs w:val="24"/>
        </w:rPr>
        <w:t>thereafter.”</w:t>
      </w:r>
      <w:proofErr w:type="gramEnd"/>
      <w:r w:rsidRPr="0036327D">
        <w:rPr>
          <w:rFonts w:ascii="Times New Roman" w:hAnsi="Times New Roman"/>
          <w:sz w:val="24"/>
          <w:szCs w:val="24"/>
        </w:rPr>
        <w:t xml:space="preserve"> </w:t>
      </w:r>
      <w:hyperlink r:id="rId1253" w:history="1">
        <w:r w:rsidRPr="0036327D">
          <w:rPr>
            <w:rStyle w:val="Hyperlink"/>
            <w:rFonts w:ascii="Times New Roman" w:hAnsi="Times New Roman"/>
            <w:sz w:val="24"/>
            <w:szCs w:val="24"/>
          </w:rPr>
          <w:t>http://www.pacourts.us/assets/opinions/Commonwealth/out/877CD18_3-25-19.pdf?cb=1</w:t>
        </w:r>
      </w:hyperlink>
      <w:r w:rsidRPr="0036327D">
        <w:rPr>
          <w:rFonts w:ascii="Times New Roman" w:hAnsi="Times New Roman"/>
          <w:sz w:val="24"/>
          <w:szCs w:val="24"/>
        </w:rPr>
        <w:t xml:space="preserve"> </w:t>
      </w:r>
    </w:p>
    <w:p w14:paraId="44BC7287" w14:textId="5990DA7C" w:rsidR="005F7D6B" w:rsidRPr="0036327D" w:rsidRDefault="005F7D6B" w:rsidP="00EF1133">
      <w:pPr>
        <w:rPr>
          <w:rFonts w:ascii="Times New Roman" w:hAnsi="Times New Roman"/>
          <w:b/>
          <w:bCs/>
          <w:sz w:val="24"/>
          <w:szCs w:val="24"/>
        </w:rPr>
      </w:pPr>
      <w:r w:rsidRPr="0036327D">
        <w:rPr>
          <w:rFonts w:ascii="Times New Roman" w:hAnsi="Times New Roman"/>
          <w:b/>
          <w:bCs/>
          <w:sz w:val="24"/>
          <w:szCs w:val="24"/>
        </w:rPr>
        <w:t xml:space="preserve">Legal Lessons Learned: Firefighters represented by a union are bound to the terms of the CBA, including minimum age until eligible to retire. </w:t>
      </w:r>
    </w:p>
    <w:p w14:paraId="0F63D48B" w14:textId="1E210D97" w:rsidR="005F7D6B" w:rsidRPr="0036327D" w:rsidRDefault="005F7D6B" w:rsidP="00EF1133">
      <w:pPr>
        <w:rPr>
          <w:rFonts w:ascii="Times New Roman" w:hAnsi="Times New Roman"/>
          <w:bCs/>
          <w:sz w:val="24"/>
          <w:szCs w:val="24"/>
        </w:rPr>
      </w:pPr>
    </w:p>
    <w:p w14:paraId="77177B4A" w14:textId="77777777" w:rsidR="005F7D6B" w:rsidRDefault="005F7D6B" w:rsidP="00EF1133">
      <w:pPr>
        <w:rPr>
          <w:rFonts w:ascii="Arial Black" w:hAnsi="Arial Black"/>
          <w:b/>
          <w:sz w:val="24"/>
          <w:szCs w:val="24"/>
        </w:rPr>
      </w:pPr>
    </w:p>
    <w:p w14:paraId="6D7592A8" w14:textId="797818FF" w:rsidR="00527EDF" w:rsidRDefault="00EF1133" w:rsidP="00EF1133">
      <w:pPr>
        <w:rPr>
          <w:sz w:val="24"/>
          <w:szCs w:val="24"/>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6</w:t>
      </w:r>
    </w:p>
    <w:p w14:paraId="73DFE9A9" w14:textId="71E0331B" w:rsidR="00F326E5" w:rsidRDefault="00F326E5" w:rsidP="00F326E5">
      <w:pPr>
        <w:pStyle w:val="NoSpacing"/>
        <w:rPr>
          <w:rFonts w:ascii="Arial Black" w:hAnsi="Arial Black"/>
          <w:sz w:val="28"/>
          <w:szCs w:val="28"/>
        </w:rPr>
      </w:pPr>
      <w:r w:rsidRPr="009120E5">
        <w:rPr>
          <w:rFonts w:ascii="Arial Black" w:hAnsi="Arial Black"/>
          <w:sz w:val="28"/>
          <w:szCs w:val="28"/>
        </w:rPr>
        <w:t>MI</w:t>
      </w:r>
      <w:r>
        <w:rPr>
          <w:rFonts w:ascii="Arial Black" w:hAnsi="Arial Black"/>
          <w:sz w:val="28"/>
          <w:szCs w:val="28"/>
        </w:rPr>
        <w:t>:  FIRE CHIEF RESIGNED, TOWNSHIP ISSUED PRESS RELEASE - NOT DEFAMATION OR “FALSE LIGHT”</w:t>
      </w:r>
    </w:p>
    <w:p w14:paraId="7C49A7E3" w14:textId="77777777" w:rsid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Feb. 26, 2019, in </w:t>
      </w:r>
      <w:r w:rsidRPr="009F1927">
        <w:rPr>
          <w:rStyle w:val="highlight"/>
          <w:rFonts w:ascii="Times New Roman" w:hAnsi="Times New Roman"/>
          <w:sz w:val="24"/>
          <w:szCs w:val="24"/>
          <w:u w:val="single"/>
        </w:rPr>
        <w:t>Richard</w:t>
      </w:r>
      <w:r w:rsidRPr="009F1927">
        <w:rPr>
          <w:rFonts w:ascii="Times New Roman" w:hAnsi="Times New Roman"/>
          <w:sz w:val="24"/>
          <w:szCs w:val="24"/>
          <w:u w:val="single"/>
        </w:rPr>
        <w:t xml:space="preserve"> </w:t>
      </w:r>
      <w:r w:rsidRPr="009F1927">
        <w:rPr>
          <w:rStyle w:val="highlight"/>
          <w:rFonts w:ascii="Times New Roman" w:hAnsi="Times New Roman"/>
          <w:sz w:val="24"/>
          <w:szCs w:val="24"/>
          <w:u w:val="single"/>
        </w:rPr>
        <w:t>Marinucci</w:t>
      </w:r>
      <w:r w:rsidRPr="009F1927">
        <w:rPr>
          <w:rFonts w:ascii="Times New Roman" w:hAnsi="Times New Roman"/>
          <w:sz w:val="24"/>
          <w:szCs w:val="24"/>
          <w:u w:val="single"/>
        </w:rPr>
        <w:t xml:space="preserve"> v. Charter Township of Northville, et al.</w:t>
      </w:r>
      <w:r w:rsidRPr="009F1927">
        <w:rPr>
          <w:rFonts w:ascii="Times New Roman" w:hAnsi="Times New Roman"/>
          <w:sz w:val="24"/>
          <w:szCs w:val="24"/>
        </w:rPr>
        <w:t xml:space="preserve">, State of Michigan Court of Appeals, held (3 to 0) in an unpublished decision, </w:t>
      </w:r>
    </w:p>
    <w:p w14:paraId="02658227" w14:textId="77777777" w:rsidR="009F1927" w:rsidRDefault="009F1927" w:rsidP="00F326E5">
      <w:pPr>
        <w:pStyle w:val="NoSpacing"/>
        <w:rPr>
          <w:rFonts w:ascii="Times New Roman" w:hAnsi="Times New Roman"/>
          <w:sz w:val="24"/>
          <w:szCs w:val="24"/>
        </w:rPr>
      </w:pPr>
    </w:p>
    <w:p w14:paraId="7013F55F" w14:textId="30BA9EA9" w:rsidR="00F326E5" w:rsidRPr="009F1927" w:rsidRDefault="00F326E5" w:rsidP="009F1927">
      <w:pPr>
        <w:pStyle w:val="NoSpacing"/>
        <w:ind w:left="720"/>
        <w:rPr>
          <w:rFonts w:ascii="Times New Roman" w:hAnsi="Times New Roman"/>
          <w:sz w:val="24"/>
          <w:szCs w:val="24"/>
        </w:rPr>
      </w:pPr>
      <w:r w:rsidRPr="009F1927">
        <w:rPr>
          <w:rFonts w:ascii="Times New Roman" w:hAnsi="Times New Roman"/>
          <w:sz w:val="24"/>
          <w:szCs w:val="24"/>
        </w:rPr>
        <w:t xml:space="preserve">“Further, plaintiff offers no evidence to show that informing the public that he had resigned was unreasonable or highly objectionable. Although plaintiff contends that the statements made to the media placed him in a false light, plaintiff does not explain how the statements negatively affected him.” </w:t>
      </w:r>
      <w:hyperlink r:id="rId1254" w:anchor="search=%22RICHARD%20A.%20MARINUCCI%22" w:history="1">
        <w:r w:rsidRPr="009F1927">
          <w:rPr>
            <w:rStyle w:val="Hyperlink"/>
            <w:rFonts w:ascii="Times New Roman" w:hAnsi="Times New Roman"/>
            <w:sz w:val="24"/>
            <w:szCs w:val="24"/>
          </w:rPr>
          <w:t>http://publicdocs.courts.mi.gov/opinions/final/coa/20190226_c340579_35_340579.opn.pdf#search=%22RICHARD%20A.%20MARINUCCI%22</w:t>
        </w:r>
      </w:hyperlink>
    </w:p>
    <w:p w14:paraId="045623EB" w14:textId="77777777" w:rsidR="009F1927" w:rsidRDefault="009F1927" w:rsidP="00F326E5">
      <w:pPr>
        <w:pStyle w:val="NoSpacing"/>
        <w:rPr>
          <w:rFonts w:ascii="Times New Roman" w:hAnsi="Times New Roman"/>
          <w:b/>
          <w:sz w:val="24"/>
          <w:szCs w:val="24"/>
        </w:rPr>
      </w:pPr>
    </w:p>
    <w:p w14:paraId="48B93CD1" w14:textId="0B3ED3F5"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Legal Lessons Learned:  When a Fire Chief resigns, the employer may report this fact to the press.  Avoid financial situations where there may be an “appearance of impropriety.”</w:t>
      </w:r>
    </w:p>
    <w:p w14:paraId="4A1ED720" w14:textId="77777777" w:rsidR="00C17A9D" w:rsidRDefault="00C17A9D" w:rsidP="00F326E5">
      <w:pPr>
        <w:rPr>
          <w:bCs/>
          <w:sz w:val="24"/>
          <w:szCs w:val="24"/>
        </w:rPr>
      </w:pPr>
    </w:p>
    <w:bookmarkEnd w:id="250"/>
    <w:p w14:paraId="251505BE" w14:textId="77ACA488" w:rsidR="00F326E5" w:rsidRDefault="00F326E5" w:rsidP="00F326E5">
      <w:pPr>
        <w:pStyle w:val="NoSpacing"/>
        <w:rPr>
          <w:b/>
          <w:sz w:val="24"/>
          <w:szCs w:val="24"/>
        </w:rPr>
      </w:pPr>
    </w:p>
    <w:p w14:paraId="3530F2DE" w14:textId="52DC2559" w:rsidR="009F1927" w:rsidRDefault="009F1927" w:rsidP="00F326E5">
      <w:pPr>
        <w:pStyle w:val="NoSpacing"/>
        <w:rPr>
          <w:b/>
          <w:sz w:val="24"/>
          <w:szCs w:val="24"/>
        </w:rPr>
      </w:pPr>
    </w:p>
    <w:p w14:paraId="6291A165" w14:textId="77777777" w:rsidR="009F1927" w:rsidRDefault="009F1927" w:rsidP="00F326E5">
      <w:pPr>
        <w:pStyle w:val="NoSpacing"/>
        <w:rPr>
          <w:b/>
          <w:sz w:val="24"/>
          <w:szCs w:val="24"/>
        </w:rPr>
      </w:pPr>
    </w:p>
    <w:p w14:paraId="0B9D5D54" w14:textId="3F0AC817" w:rsidR="00EF1133" w:rsidRDefault="00EF1133" w:rsidP="00EF1133">
      <w:pPr>
        <w:rPr>
          <w:rFonts w:ascii="Arial Black" w:hAnsi="Arial Black"/>
          <w:bCs/>
          <w:sz w:val="28"/>
          <w:szCs w:val="28"/>
        </w:rPr>
      </w:pPr>
      <w:r>
        <w:rPr>
          <w:rFonts w:ascii="Arial Black" w:hAnsi="Arial Black"/>
          <w:b/>
          <w:sz w:val="24"/>
          <w:szCs w:val="24"/>
        </w:rPr>
        <w:lastRenderedPageBreak/>
        <w:t>6</w:t>
      </w:r>
      <w:r w:rsidRPr="00EF1133">
        <w:rPr>
          <w:rFonts w:ascii="Arial Black" w:hAnsi="Arial Black"/>
          <w:b/>
          <w:sz w:val="24"/>
          <w:szCs w:val="24"/>
        </w:rPr>
        <w:t>-1</w:t>
      </w:r>
      <w:r>
        <w:rPr>
          <w:rFonts w:ascii="Arial Black" w:hAnsi="Arial Black"/>
          <w:b/>
          <w:sz w:val="24"/>
          <w:szCs w:val="24"/>
        </w:rPr>
        <w:t>5</w:t>
      </w:r>
      <w:bookmarkStart w:id="257" w:name="_Hlk7343098"/>
    </w:p>
    <w:p w14:paraId="758689DF" w14:textId="5ECD78BA" w:rsidR="00F326E5" w:rsidRDefault="00F326E5" w:rsidP="00F326E5">
      <w:pPr>
        <w:pStyle w:val="NoSpacing"/>
        <w:rPr>
          <w:rFonts w:ascii="Arial Black" w:hAnsi="Arial Black"/>
          <w:b/>
          <w:bCs/>
          <w:sz w:val="28"/>
          <w:szCs w:val="28"/>
        </w:rPr>
      </w:pPr>
      <w:r w:rsidRPr="00B555E0">
        <w:rPr>
          <w:rFonts w:ascii="Arial Black" w:hAnsi="Arial Black"/>
          <w:bCs/>
          <w:sz w:val="28"/>
          <w:szCs w:val="28"/>
        </w:rPr>
        <w:t>KS: WORKERS COMP –</w:t>
      </w:r>
      <w:r>
        <w:rPr>
          <w:rFonts w:ascii="Arial Black" w:hAnsi="Arial Black"/>
          <w:bCs/>
          <w:sz w:val="28"/>
          <w:szCs w:val="28"/>
        </w:rPr>
        <w:t xml:space="preserve"> 2008 &amp; 2010 BACK INJURIES –COVERED SINCE FILED CLAIM 2 YEARS OF LAST PAYMENT </w:t>
      </w:r>
    </w:p>
    <w:p w14:paraId="13719D2B" w14:textId="77777777" w:rsidR="009F1927" w:rsidRDefault="009F1927" w:rsidP="00F326E5">
      <w:pPr>
        <w:pStyle w:val="NoSpacing"/>
        <w:rPr>
          <w:rFonts w:ascii="Times New Roman" w:hAnsi="Times New Roman"/>
          <w:sz w:val="24"/>
          <w:szCs w:val="24"/>
        </w:rPr>
      </w:pPr>
    </w:p>
    <w:p w14:paraId="0FF6AE63" w14:textId="77777777" w:rsid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Feb. 8, 2019, in </w:t>
      </w:r>
      <w:r w:rsidRPr="009F1927">
        <w:rPr>
          <w:rFonts w:ascii="Times New Roman" w:hAnsi="Times New Roman"/>
          <w:sz w:val="24"/>
          <w:szCs w:val="24"/>
          <w:u w:val="single"/>
        </w:rPr>
        <w:t>Paul H. Schneider v. City of Lawrence</w:t>
      </w:r>
      <w:r w:rsidRPr="009F1927">
        <w:rPr>
          <w:rFonts w:ascii="Times New Roman" w:hAnsi="Times New Roman"/>
          <w:sz w:val="24"/>
          <w:szCs w:val="24"/>
        </w:rPr>
        <w:t xml:space="preserve">, the Court of Appeals of State of Kansas (3 to 0), overturned the Workers Compensation Board, and granted the firefighter’s claim for coverage of two on-duty back injuries (2008; 2010). Kansas statute requires workers comp request for a hearing be filed within 3 years of the injury, or “within two years of the date of the last payment of compensation.” The Court held, </w:t>
      </w:r>
    </w:p>
    <w:p w14:paraId="05792E21" w14:textId="77777777" w:rsidR="009F1927" w:rsidRDefault="009F1927" w:rsidP="00F326E5">
      <w:pPr>
        <w:pStyle w:val="NoSpacing"/>
        <w:rPr>
          <w:rFonts w:ascii="Times New Roman" w:hAnsi="Times New Roman"/>
          <w:sz w:val="24"/>
          <w:szCs w:val="24"/>
        </w:rPr>
      </w:pPr>
    </w:p>
    <w:p w14:paraId="45642FEA" w14:textId="058CCBF5" w:rsidR="00F326E5" w:rsidRPr="009F1927" w:rsidRDefault="00F326E5" w:rsidP="009F1927">
      <w:pPr>
        <w:pStyle w:val="NoSpacing"/>
        <w:ind w:left="720"/>
        <w:rPr>
          <w:rFonts w:ascii="Times New Roman" w:hAnsi="Times New Roman"/>
          <w:sz w:val="24"/>
          <w:szCs w:val="24"/>
        </w:rPr>
      </w:pPr>
      <w:r w:rsidRPr="009F1927">
        <w:rPr>
          <w:rFonts w:ascii="Times New Roman" w:hAnsi="Times New Roman"/>
          <w:sz w:val="24"/>
          <w:szCs w:val="24"/>
        </w:rPr>
        <w:t xml:space="preserve">“Here, because Schneider received compensation from the City in December 2015 and in January 2016 and because he filed his applications for hearings in January 2016, his applications under the revived two-year statute of limitations were timely.” </w:t>
      </w:r>
      <w:hyperlink r:id="rId1255" w:history="1">
        <w:r w:rsidRPr="009F1927">
          <w:rPr>
            <w:rStyle w:val="Hyperlink"/>
            <w:rFonts w:ascii="Times New Roman" w:hAnsi="Times New Roman"/>
            <w:sz w:val="24"/>
            <w:szCs w:val="24"/>
          </w:rPr>
          <w:t>https://www.courtlistener.com/pdf/2019/02/08/schneider_v._city_of_lawrence.pdf</w:t>
        </w:r>
      </w:hyperlink>
      <w:r w:rsidRPr="009F1927">
        <w:rPr>
          <w:rFonts w:ascii="Times New Roman" w:hAnsi="Times New Roman"/>
          <w:sz w:val="24"/>
          <w:szCs w:val="24"/>
        </w:rPr>
        <w:t xml:space="preserve"> </w:t>
      </w:r>
    </w:p>
    <w:p w14:paraId="246892AC" w14:textId="77777777" w:rsidR="009F1927" w:rsidRDefault="009F1927" w:rsidP="00F326E5">
      <w:pPr>
        <w:pStyle w:val="NoSpacing"/>
        <w:rPr>
          <w:rFonts w:ascii="Times New Roman" w:hAnsi="Times New Roman"/>
          <w:b/>
          <w:sz w:val="24"/>
          <w:szCs w:val="24"/>
        </w:rPr>
      </w:pPr>
    </w:p>
    <w:p w14:paraId="2F8F003F" w14:textId="14EB5D57"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Legal Lesson Learned:  Workers comp statutes of limitation are designed to require prompt disclosure of workplace injuries.  The City may decide to appeal this decision to the Kansas Supreme Court.</w:t>
      </w:r>
    </w:p>
    <w:p w14:paraId="29374DC1" w14:textId="77777777" w:rsidR="00F326E5" w:rsidRPr="00BB2214" w:rsidRDefault="00F326E5" w:rsidP="00F326E5">
      <w:pPr>
        <w:pStyle w:val="NoSpacing"/>
        <w:rPr>
          <w:b/>
          <w:sz w:val="24"/>
          <w:szCs w:val="24"/>
        </w:rPr>
      </w:pPr>
    </w:p>
    <w:p w14:paraId="49AEBF54" w14:textId="77777777" w:rsidR="00F326E5" w:rsidRPr="009F1927" w:rsidRDefault="00F326E5" w:rsidP="00F326E5">
      <w:pPr>
        <w:pStyle w:val="NoSpacing"/>
        <w:ind w:left="720"/>
        <w:rPr>
          <w:rFonts w:ascii="Times New Roman" w:hAnsi="Times New Roman"/>
          <w:sz w:val="24"/>
          <w:szCs w:val="24"/>
        </w:rPr>
      </w:pPr>
      <w:r w:rsidRPr="009F1927">
        <w:rPr>
          <w:rFonts w:ascii="Times New Roman" w:hAnsi="Times New Roman"/>
          <w:sz w:val="24"/>
          <w:szCs w:val="24"/>
        </w:rPr>
        <w:t xml:space="preserve">Note:  See Aug. 4, </w:t>
      </w:r>
      <w:proofErr w:type="gramStart"/>
      <w:r w:rsidRPr="009F1927">
        <w:rPr>
          <w:rFonts w:ascii="Times New Roman" w:hAnsi="Times New Roman"/>
          <w:sz w:val="24"/>
          <w:szCs w:val="24"/>
        </w:rPr>
        <w:t>2017</w:t>
      </w:r>
      <w:proofErr w:type="gramEnd"/>
      <w:r w:rsidRPr="009F1927">
        <w:rPr>
          <w:rFonts w:ascii="Times New Roman" w:hAnsi="Times New Roman"/>
          <w:sz w:val="24"/>
          <w:szCs w:val="24"/>
        </w:rPr>
        <w:t xml:space="preserve"> article: “Ohio General Assembly Alters Statute of Limitation for Workers' Compensation Claims”</w:t>
      </w:r>
    </w:p>
    <w:p w14:paraId="4FEEC7AA" w14:textId="77777777" w:rsidR="00F326E5" w:rsidRPr="009F1927" w:rsidRDefault="00F326E5" w:rsidP="00F326E5">
      <w:pPr>
        <w:ind w:left="720"/>
        <w:rPr>
          <w:rFonts w:ascii="Times New Roman" w:hAnsi="Times New Roman"/>
          <w:sz w:val="24"/>
          <w:szCs w:val="24"/>
        </w:rPr>
      </w:pPr>
      <w:hyperlink r:id="rId1256" w:history="1">
        <w:r w:rsidRPr="009F1927">
          <w:rPr>
            <w:rStyle w:val="Hyperlink"/>
            <w:rFonts w:ascii="Times New Roman" w:hAnsi="Times New Roman"/>
            <w:sz w:val="24"/>
            <w:szCs w:val="24"/>
          </w:rPr>
          <w:t>http://www.kwgd.com/ohio-general-assembly-alters-statute-of-limitation-for-workers-compensation-claims</w:t>
        </w:r>
      </w:hyperlink>
      <w:r w:rsidRPr="009F1927">
        <w:rPr>
          <w:rStyle w:val="access"/>
          <w:rFonts w:ascii="Times New Roman" w:hAnsi="Times New Roman"/>
          <w:sz w:val="24"/>
          <w:szCs w:val="24"/>
        </w:rPr>
        <w:t xml:space="preserve"> </w:t>
      </w:r>
      <w:r w:rsidRPr="009F1927">
        <w:rPr>
          <w:rFonts w:ascii="Times New Roman" w:hAnsi="Times New Roman"/>
          <w:sz w:val="24"/>
          <w:szCs w:val="24"/>
        </w:rPr>
        <w:t xml:space="preserve"> </w:t>
      </w:r>
    </w:p>
    <w:p w14:paraId="166EAFE8" w14:textId="77777777" w:rsidR="00F326E5" w:rsidRPr="009F2867" w:rsidRDefault="00F326E5" w:rsidP="00F326E5">
      <w:pPr>
        <w:pStyle w:val="NormalWeb"/>
        <w:ind w:left="720"/>
      </w:pPr>
      <w:r w:rsidRPr="009F2867">
        <w:t xml:space="preserve">“As part of the biennial budget process the Ohio General Assembly passed House Bill 27 to create the workers compensation budget for 2018-2019. In addition to establishing the budget the bill also amended sections of the Ohio Revised Code that </w:t>
      </w:r>
      <w:proofErr w:type="gramStart"/>
      <w:r w:rsidRPr="009F2867">
        <w:t>relate</w:t>
      </w:r>
      <w:proofErr w:type="gramEnd"/>
      <w:r w:rsidRPr="009F2867">
        <w:t xml:space="preserve"> to workers compensation law. Mainly among the changes, the bill shortens the statute of limitations for an employee to file a workers compensation claim against Ohio Employers.</w:t>
      </w:r>
      <w:r w:rsidRPr="009F2867">
        <w:br/>
      </w:r>
      <w:r w:rsidRPr="009F2867">
        <w:br/>
        <w:t xml:space="preserve">Current law requires an employee to bring a workers’ compensation claim within two years from the date of injury or death.  Effective September 29, 2017, all workers compensation claims must be filed within one year from the date of injury or death. After that date, if new claims are not brought within the </w:t>
      </w:r>
      <w:proofErr w:type="gramStart"/>
      <w:r w:rsidRPr="009F2867">
        <w:t>one year</w:t>
      </w:r>
      <w:proofErr w:type="gramEnd"/>
      <w:r w:rsidRPr="009F2867">
        <w:t xml:space="preserve"> limitation the claim will be forever barred and there can be no recovery.  All claims with a date of injury after September 29, </w:t>
      </w:r>
      <w:proofErr w:type="gramStart"/>
      <w:r w:rsidRPr="009F2867">
        <w:t>2017</w:t>
      </w:r>
      <w:proofErr w:type="gramEnd"/>
      <w:r w:rsidRPr="009F2867">
        <w:t xml:space="preserve"> are subject to the new limitation.  The amendment attempts to strike a balance between allowing a sufficient time for a claim to be brought while not prejudicing employers by allowing claims to be filed long after any contemporaneous evidence has since vanished.”  </w:t>
      </w:r>
    </w:p>
    <w:bookmarkEnd w:id="257"/>
    <w:p w14:paraId="10353B6E" w14:textId="77777777" w:rsidR="00F326E5" w:rsidRDefault="00F326E5" w:rsidP="00F326E5">
      <w:pPr>
        <w:rPr>
          <w:sz w:val="24"/>
          <w:szCs w:val="24"/>
        </w:rPr>
      </w:pPr>
    </w:p>
    <w:p w14:paraId="1D407CE4" w14:textId="2EED406E" w:rsidR="00EF1133" w:rsidRDefault="00EF1133" w:rsidP="00F326E5">
      <w:pPr>
        <w:rPr>
          <w:rFonts w:ascii="Arial Black" w:hAnsi="Arial Black"/>
          <w:sz w:val="28"/>
          <w:szCs w:val="28"/>
        </w:rPr>
      </w:pPr>
      <w:bookmarkStart w:id="258" w:name="_Hlk7343175"/>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4</w:t>
      </w:r>
    </w:p>
    <w:p w14:paraId="6535AEEB" w14:textId="360C9F1A" w:rsidR="00F326E5" w:rsidRDefault="00F326E5" w:rsidP="00F326E5">
      <w:pPr>
        <w:rPr>
          <w:rFonts w:ascii="Arial Black" w:hAnsi="Arial Black"/>
          <w:sz w:val="28"/>
          <w:szCs w:val="28"/>
        </w:rPr>
      </w:pPr>
      <w:r w:rsidRPr="00C34523">
        <w:rPr>
          <w:rFonts w:ascii="Arial Black" w:hAnsi="Arial Black"/>
          <w:sz w:val="28"/>
          <w:szCs w:val="28"/>
        </w:rPr>
        <w:t xml:space="preserve">OH: </w:t>
      </w:r>
      <w:r>
        <w:rPr>
          <w:rFonts w:ascii="Arial Black" w:hAnsi="Arial Black"/>
          <w:sz w:val="28"/>
          <w:szCs w:val="28"/>
        </w:rPr>
        <w:t xml:space="preserve">FIRE CHIEF’S AGE / ADA LAWSUIT DISMISSED – DIDN’T FILE WITH EEOC – </w:t>
      </w:r>
      <w:r w:rsidR="005353F2">
        <w:rPr>
          <w:rFonts w:ascii="Arial Black" w:hAnsi="Arial Black"/>
          <w:sz w:val="28"/>
          <w:szCs w:val="28"/>
        </w:rPr>
        <w:t xml:space="preserve">MUST </w:t>
      </w:r>
      <w:r>
        <w:rPr>
          <w:rFonts w:ascii="Arial Black" w:hAnsi="Arial Black"/>
          <w:sz w:val="28"/>
          <w:szCs w:val="28"/>
        </w:rPr>
        <w:t>EXHAUST ADMIN</w:t>
      </w:r>
      <w:r w:rsidR="005353F2">
        <w:rPr>
          <w:rFonts w:ascii="Arial Black" w:hAnsi="Arial Black"/>
          <w:sz w:val="28"/>
          <w:szCs w:val="28"/>
        </w:rPr>
        <w:t xml:space="preserve">ISTRATIVE </w:t>
      </w:r>
      <w:r>
        <w:rPr>
          <w:rFonts w:ascii="Arial Black" w:hAnsi="Arial Black"/>
          <w:sz w:val="28"/>
          <w:szCs w:val="28"/>
        </w:rPr>
        <w:t>REMEDIES</w:t>
      </w:r>
    </w:p>
    <w:p w14:paraId="1E9F24DE" w14:textId="77777777" w:rsidR="009F1927" w:rsidRDefault="00F326E5" w:rsidP="00F326E5">
      <w:pPr>
        <w:rPr>
          <w:rFonts w:ascii="Times New Roman" w:hAnsi="Times New Roman"/>
          <w:bCs/>
          <w:sz w:val="24"/>
          <w:szCs w:val="24"/>
        </w:rPr>
      </w:pPr>
      <w:r w:rsidRPr="009F1927">
        <w:rPr>
          <w:rFonts w:ascii="Times New Roman" w:hAnsi="Times New Roman"/>
          <w:bCs/>
          <w:sz w:val="24"/>
          <w:szCs w:val="24"/>
        </w:rPr>
        <w:t xml:space="preserve">On Dec. 6, 2018, in </w:t>
      </w:r>
      <w:bookmarkStart w:id="259" w:name="_Hlk7178252"/>
      <w:r w:rsidRPr="009F1927">
        <w:rPr>
          <w:rFonts w:ascii="Times New Roman" w:hAnsi="Times New Roman"/>
          <w:bCs/>
          <w:sz w:val="24"/>
          <w:szCs w:val="24"/>
          <w:u w:val="single"/>
        </w:rPr>
        <w:t>Jay W. Keller v. City of Bucyrus</w:t>
      </w:r>
      <w:r w:rsidRPr="009F1927">
        <w:rPr>
          <w:rFonts w:ascii="Times New Roman" w:hAnsi="Times New Roman"/>
          <w:bCs/>
          <w:sz w:val="24"/>
          <w:szCs w:val="24"/>
        </w:rPr>
        <w:t>,</w:t>
      </w:r>
      <w:bookmarkEnd w:id="259"/>
      <w:r w:rsidRPr="009F1927">
        <w:rPr>
          <w:rFonts w:ascii="Times New Roman" w:hAnsi="Times New Roman"/>
          <w:bCs/>
          <w:sz w:val="24"/>
          <w:szCs w:val="24"/>
        </w:rPr>
        <w:t xml:space="preserve"> U.S. District Court Judge James S. Gwin, granted the City’s motion to dismiss. </w:t>
      </w:r>
    </w:p>
    <w:p w14:paraId="578463E8" w14:textId="5A560A06" w:rsidR="00F326E5" w:rsidRPr="009F1927" w:rsidRDefault="00F326E5" w:rsidP="009F1927">
      <w:pPr>
        <w:ind w:left="720"/>
        <w:rPr>
          <w:rFonts w:ascii="Times New Roman" w:hAnsi="Times New Roman"/>
          <w:sz w:val="24"/>
          <w:szCs w:val="24"/>
        </w:rPr>
      </w:pPr>
      <w:r w:rsidRPr="009F1927">
        <w:rPr>
          <w:rFonts w:ascii="Times New Roman" w:hAnsi="Times New Roman"/>
          <w:sz w:val="24"/>
          <w:szCs w:val="24"/>
        </w:rPr>
        <w:t xml:space="preserve">“Plaintiff Keller claims that Defendants discriminated against him because of his age and his disability in violation of federal law by requiring him to complete a physical examination. However, Plaintiff </w:t>
      </w:r>
      <w:r w:rsidRPr="009F1927">
        <w:rPr>
          <w:rFonts w:ascii="Times New Roman" w:hAnsi="Times New Roman"/>
          <w:sz w:val="24"/>
          <w:szCs w:val="24"/>
        </w:rPr>
        <w:lastRenderedPageBreak/>
        <w:t xml:space="preserve">needed to file his age and disability discrimination claims with the Equal Employment Opportunity </w:t>
      </w:r>
      <w:proofErr w:type="gramStart"/>
      <w:r w:rsidRPr="009F1927">
        <w:rPr>
          <w:rFonts w:ascii="Times New Roman" w:hAnsi="Times New Roman"/>
          <w:sz w:val="24"/>
          <w:szCs w:val="24"/>
        </w:rPr>
        <w:t>Commission (‘</w:t>
      </w:r>
      <w:proofErr w:type="gramEnd"/>
      <w:r w:rsidRPr="009F1927">
        <w:rPr>
          <w:rFonts w:ascii="Times New Roman" w:hAnsi="Times New Roman"/>
          <w:sz w:val="24"/>
          <w:szCs w:val="24"/>
        </w:rPr>
        <w:t xml:space="preserve">EEOC’) before bringing this lawsuit. Because Plaintiff has not exhausted his administrative remedies, the Court dismisses his federal discrimination claims without prejudice.”  </w:t>
      </w:r>
      <w:hyperlink r:id="rId1257" w:history="1">
        <w:r w:rsidRPr="009F1927">
          <w:rPr>
            <w:rStyle w:val="Hyperlink"/>
            <w:rFonts w:ascii="Times New Roman" w:hAnsi="Times New Roman"/>
            <w:sz w:val="24"/>
            <w:szCs w:val="24"/>
          </w:rPr>
          <w:t>https://cases.justia.com/federal/district-courts/ohio/ohndce/1:2018cv02242/247535/15/0.pdf?ts=1544190248</w:t>
        </w:r>
      </w:hyperlink>
      <w:r w:rsidRPr="009F1927">
        <w:rPr>
          <w:rFonts w:ascii="Times New Roman" w:hAnsi="Times New Roman"/>
          <w:sz w:val="24"/>
          <w:szCs w:val="24"/>
        </w:rPr>
        <w:t xml:space="preserve"> </w:t>
      </w:r>
    </w:p>
    <w:p w14:paraId="0CF9A2C3" w14:textId="77777777"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Legal Lessons Learned: (1) FDs should have written policy regarding when personnel on leave will be required to pass medical or physical fitness for duty testing, and any retraining of job skills; and (2) must timely file EEOC charge to pursue federal ADA case.</w:t>
      </w:r>
    </w:p>
    <w:p w14:paraId="66841D0F" w14:textId="77777777" w:rsidR="009F1927" w:rsidRDefault="00F326E5" w:rsidP="00F326E5">
      <w:pPr>
        <w:pStyle w:val="NoSpacing"/>
        <w:rPr>
          <w:rFonts w:ascii="Times New Roman" w:hAnsi="Times New Roman"/>
          <w:b/>
          <w:sz w:val="24"/>
          <w:szCs w:val="24"/>
        </w:rPr>
      </w:pPr>
      <w:r w:rsidRPr="009F1927">
        <w:rPr>
          <w:rFonts w:ascii="Times New Roman" w:hAnsi="Times New Roman"/>
          <w:b/>
          <w:sz w:val="24"/>
          <w:szCs w:val="24"/>
        </w:rPr>
        <w:t xml:space="preserve"> </w:t>
      </w:r>
      <w:r w:rsidRPr="009F1927">
        <w:rPr>
          <w:rFonts w:ascii="Times New Roman" w:hAnsi="Times New Roman"/>
          <w:b/>
          <w:sz w:val="24"/>
          <w:szCs w:val="24"/>
        </w:rPr>
        <w:tab/>
      </w:r>
    </w:p>
    <w:p w14:paraId="0C12CD51" w14:textId="31CB7CEB" w:rsidR="00F326E5" w:rsidRPr="009F1927" w:rsidRDefault="00F326E5" w:rsidP="009F1927">
      <w:pPr>
        <w:pStyle w:val="NoSpacing"/>
        <w:ind w:firstLine="720"/>
        <w:rPr>
          <w:rFonts w:ascii="Times New Roman" w:hAnsi="Times New Roman"/>
          <w:sz w:val="24"/>
          <w:szCs w:val="24"/>
        </w:rPr>
      </w:pPr>
      <w:r w:rsidRPr="009F1927">
        <w:rPr>
          <w:rFonts w:ascii="Times New Roman" w:hAnsi="Times New Roman"/>
          <w:sz w:val="24"/>
          <w:szCs w:val="24"/>
        </w:rPr>
        <w:t xml:space="preserve">See U.S. Department of Justice web: </w:t>
      </w:r>
    </w:p>
    <w:p w14:paraId="485B621C" w14:textId="77777777" w:rsidR="00F326E5" w:rsidRPr="009F1927" w:rsidRDefault="00F326E5" w:rsidP="00F326E5">
      <w:pPr>
        <w:pStyle w:val="NoSpacing"/>
        <w:ind w:firstLine="720"/>
        <w:rPr>
          <w:rFonts w:ascii="Times New Roman" w:eastAsia="Times New Roman" w:hAnsi="Times New Roman"/>
          <w:sz w:val="24"/>
          <w:szCs w:val="24"/>
        </w:rPr>
      </w:pPr>
      <w:r w:rsidRPr="009F1927">
        <w:rPr>
          <w:rFonts w:ascii="Times New Roman" w:hAnsi="Times New Roman"/>
          <w:sz w:val="24"/>
          <w:szCs w:val="24"/>
        </w:rPr>
        <w:t xml:space="preserve">“Filing a Complaint with the Equal Employment Opportunity Commission.  </w:t>
      </w:r>
    </w:p>
    <w:p w14:paraId="74CFA329" w14:textId="77777777" w:rsidR="00F326E5" w:rsidRPr="009F1927" w:rsidRDefault="00F326E5" w:rsidP="00F326E5">
      <w:pPr>
        <w:pStyle w:val="NoSpacing"/>
        <w:ind w:left="720"/>
        <w:rPr>
          <w:rFonts w:ascii="Times New Roman" w:eastAsia="Times New Roman" w:hAnsi="Times New Roman"/>
          <w:sz w:val="24"/>
          <w:szCs w:val="24"/>
        </w:rPr>
      </w:pPr>
      <w:r w:rsidRPr="009F1927">
        <w:rPr>
          <w:rFonts w:ascii="Times New Roman" w:eastAsia="Times New Roman" w:hAnsi="Times New Roman"/>
          <w:sz w:val="24"/>
          <w:szCs w:val="24"/>
        </w:rPr>
        <w:t xml:space="preserve">If you think you have been discriminated against in employment </w:t>
      </w:r>
      <w:proofErr w:type="gramStart"/>
      <w:r w:rsidRPr="009F1927">
        <w:rPr>
          <w:rFonts w:ascii="Times New Roman" w:eastAsia="Times New Roman" w:hAnsi="Times New Roman"/>
          <w:sz w:val="24"/>
          <w:szCs w:val="24"/>
        </w:rPr>
        <w:t>on the basis of</w:t>
      </w:r>
      <w:proofErr w:type="gramEnd"/>
      <w:r w:rsidRPr="009F1927">
        <w:rPr>
          <w:rFonts w:ascii="Times New Roman" w:eastAsia="Times New Roman" w:hAnsi="Times New Roman"/>
          <w:sz w:val="24"/>
          <w:szCs w:val="24"/>
        </w:rPr>
        <w:t xml:space="preserve"> disability, you should contact the </w:t>
      </w:r>
      <w:hyperlink r:id="rId1258" w:history="1">
        <w:r w:rsidRPr="009F1927">
          <w:rPr>
            <w:rFonts w:ascii="Times New Roman" w:eastAsia="Times New Roman" w:hAnsi="Times New Roman"/>
            <w:bCs/>
            <w:color w:val="0000FF"/>
            <w:sz w:val="24"/>
            <w:szCs w:val="24"/>
            <w:u w:val="single"/>
          </w:rPr>
          <w:t>U.S. Equal Employment Opportunity Commission</w:t>
        </w:r>
      </w:hyperlink>
      <w:r w:rsidRPr="009F1927">
        <w:rPr>
          <w:rFonts w:ascii="Times New Roman" w:eastAsia="Times New Roman" w:hAnsi="Times New Roman"/>
          <w:sz w:val="24"/>
          <w:szCs w:val="24"/>
        </w:rPr>
        <w:t xml:space="preserve"> (EEOC).  A charge of discrimination generally must be filed within 180 days of the alleged discrimination. You may have up to 300 days to file a charge if there is a State or local law that provides relief for discrimination </w:t>
      </w:r>
      <w:proofErr w:type="gramStart"/>
      <w:r w:rsidRPr="009F1927">
        <w:rPr>
          <w:rFonts w:ascii="Times New Roman" w:eastAsia="Times New Roman" w:hAnsi="Times New Roman"/>
          <w:sz w:val="24"/>
          <w:szCs w:val="24"/>
        </w:rPr>
        <w:t>on the basis of</w:t>
      </w:r>
      <w:proofErr w:type="gramEnd"/>
      <w:r w:rsidRPr="009F1927">
        <w:rPr>
          <w:rFonts w:ascii="Times New Roman" w:eastAsia="Times New Roman" w:hAnsi="Times New Roman"/>
          <w:sz w:val="24"/>
          <w:szCs w:val="24"/>
        </w:rPr>
        <w:t xml:space="preserve"> disability.  However, to protect your rights, it is best to </w:t>
      </w:r>
      <w:hyperlink r:id="rId1259" w:history="1">
        <w:r w:rsidRPr="009F1927">
          <w:rPr>
            <w:rFonts w:ascii="Times New Roman" w:eastAsia="Times New Roman" w:hAnsi="Times New Roman"/>
            <w:bCs/>
            <w:color w:val="0000FF"/>
            <w:sz w:val="24"/>
            <w:szCs w:val="24"/>
            <w:u w:val="single"/>
          </w:rPr>
          <w:t>contact the EEOC</w:t>
        </w:r>
      </w:hyperlink>
      <w:r w:rsidRPr="009F1927">
        <w:rPr>
          <w:rFonts w:ascii="Times New Roman" w:eastAsia="Times New Roman" w:hAnsi="Times New Roman"/>
          <w:sz w:val="24"/>
          <w:szCs w:val="24"/>
        </w:rPr>
        <w:t xml:space="preserve"> promptly if discrimination is suspected. After your complaint is filed with the EEOC, the EEOC investigates the charge.  If the EEOC determines that there is reasonable cause to believe that the charge is true, the EEOC attempts to conciliate or settle the charge.  If conciliation is unsuccessful, the EEOC refers charges against state and local government </w:t>
      </w:r>
      <w:proofErr w:type="gramStart"/>
      <w:r w:rsidRPr="009F1927">
        <w:rPr>
          <w:rFonts w:ascii="Times New Roman" w:eastAsia="Times New Roman" w:hAnsi="Times New Roman"/>
          <w:sz w:val="24"/>
          <w:szCs w:val="24"/>
        </w:rPr>
        <w:t>employers</w:t>
      </w:r>
      <w:proofErr w:type="gramEnd"/>
      <w:r w:rsidRPr="009F1927">
        <w:rPr>
          <w:rFonts w:ascii="Times New Roman" w:eastAsia="Times New Roman" w:hAnsi="Times New Roman"/>
          <w:sz w:val="24"/>
          <w:szCs w:val="24"/>
        </w:rPr>
        <w:t xml:space="preserve"> to the Department of Justice.  The Department of Justice </w:t>
      </w:r>
      <w:proofErr w:type="gramStart"/>
      <w:r w:rsidRPr="009F1927">
        <w:rPr>
          <w:rFonts w:ascii="Times New Roman" w:eastAsia="Times New Roman" w:hAnsi="Times New Roman"/>
          <w:sz w:val="24"/>
          <w:szCs w:val="24"/>
        </w:rPr>
        <w:t>makes a determination</w:t>
      </w:r>
      <w:proofErr w:type="gramEnd"/>
      <w:r w:rsidRPr="009F1927">
        <w:rPr>
          <w:rFonts w:ascii="Times New Roman" w:eastAsia="Times New Roman" w:hAnsi="Times New Roman"/>
          <w:sz w:val="24"/>
          <w:szCs w:val="24"/>
        </w:rPr>
        <w:t xml:space="preserve"> whether to bring a lawsuit based on the charge.  If it decides not to bring a lawsuit, the Department </w:t>
      </w:r>
      <w:proofErr w:type="gramStart"/>
      <w:r w:rsidRPr="009F1927">
        <w:rPr>
          <w:rFonts w:ascii="Times New Roman" w:eastAsia="Times New Roman" w:hAnsi="Times New Roman"/>
          <w:sz w:val="24"/>
          <w:szCs w:val="24"/>
        </w:rPr>
        <w:t>issues</w:t>
      </w:r>
      <w:proofErr w:type="gramEnd"/>
      <w:r w:rsidRPr="009F1927">
        <w:rPr>
          <w:rFonts w:ascii="Times New Roman" w:eastAsia="Times New Roman" w:hAnsi="Times New Roman"/>
          <w:sz w:val="24"/>
          <w:szCs w:val="24"/>
        </w:rPr>
        <w:t xml:space="preserve"> </w:t>
      </w:r>
      <w:proofErr w:type="gramStart"/>
      <w:r w:rsidRPr="009F1927">
        <w:rPr>
          <w:rFonts w:ascii="Times New Roman" w:eastAsia="Times New Roman" w:hAnsi="Times New Roman"/>
          <w:sz w:val="24"/>
          <w:szCs w:val="24"/>
        </w:rPr>
        <w:t>to the</w:t>
      </w:r>
      <w:proofErr w:type="gramEnd"/>
      <w:r w:rsidRPr="009F1927">
        <w:rPr>
          <w:rFonts w:ascii="Times New Roman" w:eastAsia="Times New Roman" w:hAnsi="Times New Roman"/>
          <w:sz w:val="24"/>
          <w:szCs w:val="24"/>
        </w:rPr>
        <w:t xml:space="preserve"> charging </w:t>
      </w:r>
      <w:proofErr w:type="gramStart"/>
      <w:r w:rsidRPr="009F1927">
        <w:rPr>
          <w:rFonts w:ascii="Times New Roman" w:eastAsia="Times New Roman" w:hAnsi="Times New Roman"/>
          <w:sz w:val="24"/>
          <w:szCs w:val="24"/>
        </w:rPr>
        <w:t>party</w:t>
      </w:r>
      <w:proofErr w:type="gramEnd"/>
      <w:r w:rsidRPr="009F1927">
        <w:rPr>
          <w:rFonts w:ascii="Times New Roman" w:eastAsia="Times New Roman" w:hAnsi="Times New Roman"/>
          <w:sz w:val="24"/>
          <w:szCs w:val="24"/>
        </w:rPr>
        <w:t xml:space="preserve"> </w:t>
      </w:r>
      <w:proofErr w:type="gramStart"/>
      <w:r w:rsidRPr="009F1927">
        <w:rPr>
          <w:rFonts w:ascii="Times New Roman" w:eastAsia="Times New Roman" w:hAnsi="Times New Roman"/>
          <w:sz w:val="24"/>
          <w:szCs w:val="24"/>
        </w:rPr>
        <w:t>a notice</w:t>
      </w:r>
      <w:proofErr w:type="gramEnd"/>
      <w:r w:rsidRPr="009F1927">
        <w:rPr>
          <w:rFonts w:ascii="Times New Roman" w:eastAsia="Times New Roman" w:hAnsi="Times New Roman"/>
          <w:sz w:val="24"/>
          <w:szCs w:val="24"/>
        </w:rPr>
        <w:t xml:space="preserve"> of right to sue.  Charges against private employers are retained by the EEOC for a determination of whether to bring a lawsuit based on the charge or issue a notice of right to sue.” </w:t>
      </w:r>
      <w:hyperlink r:id="rId1260" w:history="1">
        <w:r w:rsidRPr="009F1927">
          <w:rPr>
            <w:rStyle w:val="Hyperlink"/>
            <w:rFonts w:ascii="Times New Roman" w:hAnsi="Times New Roman"/>
            <w:sz w:val="24"/>
            <w:szCs w:val="24"/>
          </w:rPr>
          <w:t>https://www.ada.gov/filing_eeoc_complaint.htm</w:t>
        </w:r>
      </w:hyperlink>
      <w:r w:rsidRPr="009F1927">
        <w:rPr>
          <w:rFonts w:ascii="Times New Roman" w:eastAsia="Times New Roman" w:hAnsi="Times New Roman"/>
          <w:sz w:val="24"/>
          <w:szCs w:val="24"/>
        </w:rPr>
        <w:t xml:space="preserve"> </w:t>
      </w:r>
    </w:p>
    <w:bookmarkEnd w:id="258"/>
    <w:p w14:paraId="3D694FAE" w14:textId="77777777" w:rsidR="00FB71EA" w:rsidRPr="009F1927" w:rsidRDefault="00FB71EA" w:rsidP="00F326E5">
      <w:pPr>
        <w:rPr>
          <w:rFonts w:ascii="Times New Roman" w:hAnsi="Times New Roman"/>
          <w:sz w:val="24"/>
          <w:szCs w:val="24"/>
        </w:rPr>
      </w:pPr>
    </w:p>
    <w:p w14:paraId="67376462" w14:textId="77777777" w:rsidR="00F326E5" w:rsidRDefault="00F326E5" w:rsidP="00F326E5">
      <w:pPr>
        <w:pStyle w:val="NoSpacing"/>
        <w:rPr>
          <w:rStyle w:val="dfm-title"/>
          <w:sz w:val="24"/>
          <w:szCs w:val="24"/>
        </w:rPr>
      </w:pPr>
    </w:p>
    <w:p w14:paraId="5312E9F4" w14:textId="77777777" w:rsidR="00F326E5" w:rsidRDefault="00F326E5" w:rsidP="00F326E5">
      <w:pPr>
        <w:pStyle w:val="NoSpacing"/>
        <w:rPr>
          <w:rStyle w:val="dfm-title"/>
          <w:sz w:val="24"/>
          <w:szCs w:val="24"/>
        </w:rPr>
      </w:pPr>
    </w:p>
    <w:p w14:paraId="446BEABA" w14:textId="520572A9" w:rsidR="00EF1133" w:rsidRDefault="00EF1133" w:rsidP="00EF1133">
      <w:pPr>
        <w:rPr>
          <w:rStyle w:val="dfm-title"/>
          <w:rFonts w:ascii="Arial Black" w:hAnsi="Arial Black"/>
          <w:b/>
          <w:sz w:val="28"/>
          <w:szCs w:val="28"/>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3</w:t>
      </w:r>
      <w:bookmarkStart w:id="260" w:name="_Hlk7343200"/>
    </w:p>
    <w:p w14:paraId="595EEB56" w14:textId="57E69841" w:rsidR="00F326E5" w:rsidRPr="00CA3D6F" w:rsidRDefault="00F326E5" w:rsidP="00F326E5">
      <w:pPr>
        <w:pStyle w:val="NoSpacing"/>
        <w:rPr>
          <w:rStyle w:val="dfm-title"/>
          <w:b/>
          <w:sz w:val="24"/>
          <w:szCs w:val="24"/>
        </w:rPr>
      </w:pPr>
      <w:r w:rsidRPr="00732C84">
        <w:rPr>
          <w:rStyle w:val="dfm-title"/>
          <w:rFonts w:ascii="Arial Black" w:hAnsi="Arial Black"/>
          <w:b/>
          <w:sz w:val="28"/>
          <w:szCs w:val="28"/>
        </w:rPr>
        <w:t>PA: HOSPITAL EMPLOYEE RECORDS HACKED; EMPLOYEES MAY SUE HOSPITAL</w:t>
      </w:r>
      <w:r>
        <w:rPr>
          <w:rStyle w:val="dfm-title"/>
          <w:rFonts w:ascii="Arial Black" w:hAnsi="Arial Black"/>
          <w:b/>
          <w:sz w:val="24"/>
          <w:szCs w:val="24"/>
        </w:rPr>
        <w:t xml:space="preserve"> </w:t>
      </w:r>
      <w:r w:rsidRPr="00CA3D6F">
        <w:rPr>
          <w:rStyle w:val="dfm-title"/>
          <w:b/>
          <w:sz w:val="24"/>
          <w:szCs w:val="24"/>
        </w:rPr>
        <w:t>[also filed, Chap. 13]</w:t>
      </w:r>
    </w:p>
    <w:p w14:paraId="37C0205F" w14:textId="77777777" w:rsidR="009F1927" w:rsidRDefault="00F326E5" w:rsidP="00F326E5">
      <w:pPr>
        <w:rPr>
          <w:rFonts w:ascii="Times New Roman" w:eastAsia="Times New Roman" w:hAnsi="Times New Roman"/>
          <w:sz w:val="24"/>
          <w:szCs w:val="24"/>
        </w:rPr>
      </w:pPr>
      <w:r w:rsidRPr="009F1927">
        <w:rPr>
          <w:rFonts w:ascii="Times New Roman" w:hAnsi="Times New Roman"/>
          <w:sz w:val="24"/>
          <w:szCs w:val="24"/>
        </w:rPr>
        <w:t xml:space="preserve">On Nov. 21, 2018, in </w:t>
      </w:r>
      <w:r w:rsidRPr="009F1927">
        <w:rPr>
          <w:rFonts w:ascii="Times New Roman" w:hAnsi="Times New Roman"/>
          <w:sz w:val="24"/>
          <w:szCs w:val="24"/>
          <w:u w:val="single"/>
        </w:rPr>
        <w:t>Barbara A. Dittman, et al. v.</w:t>
      </w:r>
      <w:r w:rsidRPr="009F1927">
        <w:rPr>
          <w:rFonts w:ascii="Times New Roman" w:hAnsi="Times New Roman"/>
          <w:sz w:val="24"/>
          <w:szCs w:val="24"/>
        </w:rPr>
        <w:t xml:space="preserve"> </w:t>
      </w:r>
      <w:r w:rsidRPr="009F1927">
        <w:rPr>
          <w:rFonts w:ascii="Times New Roman" w:eastAsia="Times New Roman" w:hAnsi="Times New Roman"/>
          <w:sz w:val="24"/>
          <w:szCs w:val="24"/>
          <w:u w:val="single"/>
        </w:rPr>
        <w:t>UPMC d/b/a The University of Pittsburgh Medical Center, et al.</w:t>
      </w:r>
      <w:r w:rsidRPr="009F1927">
        <w:rPr>
          <w:rFonts w:ascii="Times New Roman" w:eastAsia="Times New Roman" w:hAnsi="Times New Roman"/>
          <w:sz w:val="24"/>
          <w:szCs w:val="24"/>
        </w:rPr>
        <w:t xml:space="preserve">, the PA Supreme Court ruled (4 to 3), the lawsuit was reinstated against the hospital. </w:t>
      </w:r>
    </w:p>
    <w:p w14:paraId="297728AC" w14:textId="0F187152" w:rsidR="00F326E5" w:rsidRPr="009F1927" w:rsidRDefault="00F326E5" w:rsidP="009F1927">
      <w:pPr>
        <w:ind w:left="720"/>
        <w:rPr>
          <w:rFonts w:ascii="Times New Roman" w:hAnsi="Times New Roman"/>
          <w:sz w:val="24"/>
          <w:szCs w:val="24"/>
        </w:rPr>
      </w:pPr>
      <w:r w:rsidRPr="009F1927">
        <w:rPr>
          <w:rFonts w:ascii="Times New Roman" w:eastAsia="Times New Roman" w:hAnsi="Times New Roman"/>
          <w:sz w:val="24"/>
          <w:szCs w:val="24"/>
        </w:rPr>
        <w:t>“We hold that an employer has a legal duty to exercise reasonable care to safeguard its employees’ sensitive personal information stored by the employer on an internet-</w:t>
      </w:r>
      <w:r w:rsidRPr="009F1927">
        <w:rPr>
          <w:rFonts w:ascii="Times New Roman" w:hAnsi="Times New Roman"/>
          <w:sz w:val="24"/>
          <w:szCs w:val="24"/>
        </w:rPr>
        <w:t xml:space="preserve">accessible computer system.” </w:t>
      </w:r>
      <w:bookmarkStart w:id="261" w:name="_Hlk39831698"/>
      <w:r w:rsidR="00374417">
        <w:fldChar w:fldCharType="begin"/>
      </w:r>
      <w:r w:rsidR="00374417">
        <w:instrText xml:space="preserve"> HYPERLINK "http://www.pacourts.us/assets/opinions/Supreme/out/Majority%20Opinion%20%20VacatedRemanded%20%2010378165044604409.pdf?cb=1" </w:instrText>
      </w:r>
      <w:r w:rsidR="00374417">
        <w:fldChar w:fldCharType="separate"/>
      </w:r>
      <w:r w:rsidRPr="009F1927">
        <w:rPr>
          <w:rStyle w:val="Hyperlink"/>
          <w:rFonts w:ascii="Times New Roman" w:hAnsi="Times New Roman"/>
          <w:sz w:val="24"/>
          <w:szCs w:val="24"/>
        </w:rPr>
        <w:t>http://www.pacourts.us/assets/opinions/Supreme/out/Majority%20Opinion%20%20VacatedRemanded%20%2010378165044604409.pdf?cb=1</w:t>
      </w:r>
      <w:r w:rsidR="00374417">
        <w:rPr>
          <w:rStyle w:val="Hyperlink"/>
          <w:rFonts w:ascii="Times New Roman" w:hAnsi="Times New Roman"/>
          <w:sz w:val="24"/>
          <w:szCs w:val="24"/>
        </w:rPr>
        <w:fldChar w:fldCharType="end"/>
      </w:r>
      <w:r w:rsidRPr="009F1927">
        <w:rPr>
          <w:rFonts w:ascii="Times New Roman" w:hAnsi="Times New Roman"/>
          <w:sz w:val="24"/>
          <w:szCs w:val="24"/>
        </w:rPr>
        <w:t xml:space="preserve"> </w:t>
      </w:r>
    </w:p>
    <w:bookmarkEnd w:id="261"/>
    <w:p w14:paraId="5B600D93" w14:textId="77777777" w:rsidR="00F326E5" w:rsidRPr="009F1927" w:rsidRDefault="00F326E5" w:rsidP="00F326E5">
      <w:pPr>
        <w:pStyle w:val="Heading1"/>
        <w:rPr>
          <w:b w:val="0"/>
          <w:sz w:val="24"/>
          <w:szCs w:val="24"/>
        </w:rPr>
      </w:pPr>
      <w:r w:rsidRPr="009F1927">
        <w:rPr>
          <w:sz w:val="24"/>
          <w:szCs w:val="24"/>
        </w:rPr>
        <w:t xml:space="preserve">Legal Lessons Learned:  This is an important decision that will now proceed to trial or settlement. Hopefully this decision will prompt employers in PA, and other states, including Fire &amp; EMS agencies, to review their electronic data safeguards with IT experts.  </w:t>
      </w:r>
    </w:p>
    <w:bookmarkEnd w:id="260"/>
    <w:p w14:paraId="676CE6FE" w14:textId="77777777" w:rsidR="00EF1133" w:rsidRDefault="00EF1133" w:rsidP="00EF1133">
      <w:pPr>
        <w:rPr>
          <w:rFonts w:ascii="Arial Black" w:hAnsi="Arial Black"/>
          <w:b/>
          <w:sz w:val="24"/>
          <w:szCs w:val="24"/>
        </w:rPr>
      </w:pPr>
    </w:p>
    <w:p w14:paraId="068610BE" w14:textId="1DB2978E"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2</w:t>
      </w:r>
    </w:p>
    <w:p w14:paraId="458C04D5" w14:textId="3E7F0DA6" w:rsidR="00F326E5" w:rsidRPr="00732C84" w:rsidRDefault="00F326E5" w:rsidP="00F326E5">
      <w:pPr>
        <w:pStyle w:val="NoSpacing"/>
        <w:rPr>
          <w:rStyle w:val="dfm-title"/>
          <w:rFonts w:ascii="Arial Black" w:hAnsi="Arial Black"/>
          <w:b/>
          <w:sz w:val="28"/>
          <w:szCs w:val="28"/>
        </w:rPr>
      </w:pPr>
      <w:bookmarkStart w:id="262" w:name="_Hlk7343236"/>
      <w:r>
        <w:rPr>
          <w:rStyle w:val="dfm-title"/>
          <w:rFonts w:ascii="Arial Black" w:hAnsi="Arial Black"/>
          <w:b/>
          <w:sz w:val="28"/>
          <w:szCs w:val="28"/>
        </w:rPr>
        <w:lastRenderedPageBreak/>
        <w:t xml:space="preserve">U.S. </w:t>
      </w:r>
      <w:r w:rsidRPr="00732C84">
        <w:rPr>
          <w:rStyle w:val="dfm-title"/>
          <w:rFonts w:ascii="Arial Black" w:hAnsi="Arial Black"/>
          <w:b/>
          <w:sz w:val="28"/>
          <w:szCs w:val="28"/>
        </w:rPr>
        <w:t>SUPREME COURT: AGE DISCRIMINATION ACT APPLIES PUBLIC AGENCIES</w:t>
      </w:r>
      <w:r>
        <w:rPr>
          <w:rStyle w:val="dfm-title"/>
          <w:rFonts w:ascii="Arial Black" w:hAnsi="Arial Black"/>
          <w:b/>
          <w:sz w:val="28"/>
          <w:szCs w:val="28"/>
        </w:rPr>
        <w:t xml:space="preserve"> – EVEN LESS 20 EMPLOYEES</w:t>
      </w:r>
    </w:p>
    <w:p w14:paraId="17BC8F00" w14:textId="77777777" w:rsidR="009F1927" w:rsidRDefault="00F326E5" w:rsidP="00F326E5">
      <w:pPr>
        <w:rPr>
          <w:rFonts w:ascii="Times New Roman" w:eastAsia="Times New Roman" w:hAnsi="Times New Roman"/>
          <w:sz w:val="24"/>
          <w:szCs w:val="24"/>
        </w:rPr>
      </w:pPr>
      <w:r w:rsidRPr="009F1927">
        <w:rPr>
          <w:rFonts w:ascii="Times New Roman" w:eastAsia="Times New Roman" w:hAnsi="Times New Roman"/>
          <w:sz w:val="24"/>
          <w:szCs w:val="24"/>
        </w:rPr>
        <w:t xml:space="preserve">On </w:t>
      </w:r>
      <w:bookmarkStart w:id="263" w:name="_Hlk39831926"/>
      <w:r w:rsidRPr="009F1927">
        <w:rPr>
          <w:rFonts w:ascii="Times New Roman" w:eastAsia="Times New Roman" w:hAnsi="Times New Roman"/>
          <w:sz w:val="24"/>
          <w:szCs w:val="24"/>
        </w:rPr>
        <w:t xml:space="preserve">Nov. 6, 2018, in </w:t>
      </w:r>
      <w:r w:rsidRPr="009F1927">
        <w:rPr>
          <w:rFonts w:ascii="Times New Roman" w:eastAsia="Times New Roman" w:hAnsi="Times New Roman"/>
          <w:sz w:val="24"/>
          <w:szCs w:val="24"/>
          <w:u w:val="single"/>
        </w:rPr>
        <w:t>Mount Lemmon Fire District v. Guido, et al.</w:t>
      </w:r>
      <w:r w:rsidRPr="009F1927">
        <w:rPr>
          <w:rFonts w:ascii="Times New Roman" w:eastAsia="Times New Roman" w:hAnsi="Times New Roman"/>
          <w:sz w:val="24"/>
          <w:szCs w:val="24"/>
        </w:rPr>
        <w:t xml:space="preserve">, </w:t>
      </w:r>
      <w:bookmarkEnd w:id="263"/>
      <w:r w:rsidRPr="009F1927">
        <w:rPr>
          <w:rFonts w:ascii="Times New Roman" w:eastAsia="Times New Roman" w:hAnsi="Times New Roman"/>
          <w:sz w:val="24"/>
          <w:szCs w:val="24"/>
        </w:rPr>
        <w:t xml:space="preserve">the U.S. Supreme Court (8 to 0) held: </w:t>
      </w:r>
    </w:p>
    <w:p w14:paraId="27A248CE" w14:textId="053D323A" w:rsidR="00F326E5" w:rsidRPr="009F1927" w:rsidRDefault="00F326E5" w:rsidP="009F1927">
      <w:pPr>
        <w:ind w:left="720"/>
        <w:rPr>
          <w:rFonts w:ascii="Times New Roman" w:eastAsia="Times New Roman" w:hAnsi="Times New Roman"/>
          <w:sz w:val="24"/>
          <w:szCs w:val="24"/>
        </w:rPr>
      </w:pPr>
      <w:r w:rsidRPr="009F1927">
        <w:rPr>
          <w:rFonts w:ascii="Times New Roman" w:eastAsia="Times New Roman" w:hAnsi="Times New Roman"/>
          <w:sz w:val="24"/>
          <w:szCs w:val="24"/>
        </w:rPr>
        <w:t>“</w:t>
      </w:r>
      <w:proofErr w:type="gramStart"/>
      <w:r w:rsidRPr="009F1927">
        <w:rPr>
          <w:rFonts w:ascii="Times New Roman" w:eastAsia="Times New Roman" w:hAnsi="Times New Roman"/>
          <w:sz w:val="24"/>
          <w:szCs w:val="24"/>
        </w:rPr>
        <w:t>that</w:t>
      </w:r>
      <w:proofErr w:type="gramEnd"/>
      <w:r w:rsidRPr="009F1927">
        <w:rPr>
          <w:rFonts w:ascii="Times New Roman" w:eastAsia="Times New Roman" w:hAnsi="Times New Roman"/>
          <w:sz w:val="24"/>
          <w:szCs w:val="24"/>
        </w:rPr>
        <w:t xml:space="preserve"> state and local governments are ‘employer[s]’ covered by the ADEA regardless of their size” [while private employers are only covered if have 20 or more employees]. </w:t>
      </w:r>
      <w:bookmarkStart w:id="264" w:name="_Hlk39831949"/>
      <w:r w:rsidR="00374417">
        <w:fldChar w:fldCharType="begin"/>
      </w:r>
      <w:r w:rsidR="00374417">
        <w:instrText xml:space="preserve"> HYPERLINK "https://www.supremecourt.gov/opinions/18pdf/17-587_n7ip.pdf" </w:instrText>
      </w:r>
      <w:r w:rsidR="00374417">
        <w:fldChar w:fldCharType="separate"/>
      </w:r>
      <w:r w:rsidRPr="009F1927">
        <w:rPr>
          <w:rStyle w:val="Hyperlink"/>
          <w:rFonts w:ascii="Times New Roman" w:hAnsi="Times New Roman"/>
          <w:sz w:val="24"/>
          <w:szCs w:val="24"/>
        </w:rPr>
        <w:t>https://www.supremecourt.gov/opinions/18pdf/17-587_n7ip.pdf</w:t>
      </w:r>
      <w:r w:rsidR="00374417">
        <w:rPr>
          <w:rStyle w:val="Hyperlink"/>
          <w:rFonts w:ascii="Times New Roman" w:hAnsi="Times New Roman"/>
          <w:sz w:val="24"/>
          <w:szCs w:val="24"/>
        </w:rPr>
        <w:fldChar w:fldCharType="end"/>
      </w:r>
      <w:r w:rsidRPr="009F1927">
        <w:rPr>
          <w:rFonts w:ascii="Times New Roman" w:eastAsia="Times New Roman" w:hAnsi="Times New Roman"/>
          <w:sz w:val="24"/>
          <w:szCs w:val="24"/>
        </w:rPr>
        <w:t xml:space="preserve"> </w:t>
      </w:r>
    </w:p>
    <w:bookmarkEnd w:id="264"/>
    <w:p w14:paraId="17CFD01E"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The two former Captains may now proceed with their lawsuit.  Fire &amp; EMS departments, when conducting layoffs, should carefully document their rational for any layoffs not involving the “last hired.”</w:t>
      </w:r>
    </w:p>
    <w:p w14:paraId="503543DE" w14:textId="37C6A1C2" w:rsidR="00F326E5" w:rsidRPr="009F1927" w:rsidRDefault="00F326E5" w:rsidP="009F1927">
      <w:pPr>
        <w:rPr>
          <w:rFonts w:ascii="Times New Roman" w:eastAsia="Times New Roman" w:hAnsi="Times New Roman"/>
          <w:sz w:val="24"/>
          <w:szCs w:val="24"/>
        </w:rPr>
      </w:pPr>
      <w:r w:rsidRPr="009F1927">
        <w:rPr>
          <w:rFonts w:ascii="Times New Roman" w:eastAsia="Times New Roman" w:hAnsi="Times New Roman"/>
          <w:sz w:val="24"/>
          <w:szCs w:val="24"/>
        </w:rPr>
        <w:t xml:space="preserve">   See 9</w:t>
      </w:r>
      <w:r w:rsidRPr="009F1927">
        <w:rPr>
          <w:rFonts w:ascii="Times New Roman" w:eastAsia="Times New Roman" w:hAnsi="Times New Roman"/>
          <w:sz w:val="24"/>
          <w:szCs w:val="24"/>
          <w:vertAlign w:val="superscript"/>
        </w:rPr>
        <w:t>th</w:t>
      </w:r>
      <w:r w:rsidRPr="009F1927">
        <w:rPr>
          <w:rFonts w:ascii="Times New Roman" w:eastAsia="Times New Roman" w:hAnsi="Times New Roman"/>
          <w:sz w:val="24"/>
          <w:szCs w:val="24"/>
        </w:rPr>
        <w:t xml:space="preserve"> Circuit decision:</w:t>
      </w:r>
    </w:p>
    <w:p w14:paraId="26798A2B" w14:textId="77777777" w:rsidR="00F326E5" w:rsidRPr="009F1927" w:rsidRDefault="00F326E5" w:rsidP="00F326E5">
      <w:pPr>
        <w:ind w:left="720"/>
        <w:rPr>
          <w:rFonts w:ascii="Times New Roman" w:eastAsia="Times New Roman" w:hAnsi="Times New Roman"/>
          <w:sz w:val="24"/>
          <w:szCs w:val="24"/>
        </w:rPr>
      </w:pPr>
      <w:r w:rsidRPr="009F1927">
        <w:rPr>
          <w:rFonts w:ascii="Times New Roman" w:hAnsi="Times New Roman"/>
          <w:sz w:val="24"/>
          <w:szCs w:val="24"/>
        </w:rPr>
        <w:t xml:space="preserve">“John Guido and Dennis Rankin were both hired in 2000 by Mount Lemmon Fire District, a political subdivision of the State of Arizona. Guido and Rankin served as full-time firefighter Captains. They were the two oldest full-time employees at the Fire District when they were terminated on June 15, 2009, Guido at forty-six years of age and Rankin at fifty-four.” </w:t>
      </w:r>
      <w:hyperlink r:id="rId1261" w:history="1">
        <w:r w:rsidRPr="009F1927">
          <w:rPr>
            <w:rStyle w:val="Hyperlink"/>
            <w:rFonts w:ascii="Times New Roman" w:hAnsi="Times New Roman"/>
            <w:sz w:val="24"/>
            <w:szCs w:val="24"/>
          </w:rPr>
          <w:t>https://caselaw.findlaw.com/us-9th-circuit/1864754.html</w:t>
        </w:r>
      </w:hyperlink>
      <w:r w:rsidRPr="009F1927">
        <w:rPr>
          <w:rFonts w:ascii="Times New Roman" w:hAnsi="Times New Roman"/>
          <w:sz w:val="24"/>
          <w:szCs w:val="24"/>
        </w:rPr>
        <w:t xml:space="preserve"> </w:t>
      </w:r>
    </w:p>
    <w:p w14:paraId="1FB66A64" w14:textId="77777777" w:rsidR="00F326E5" w:rsidRPr="009F1927" w:rsidRDefault="00F326E5" w:rsidP="00F326E5">
      <w:pPr>
        <w:pStyle w:val="NoSpacing"/>
        <w:ind w:left="720"/>
        <w:rPr>
          <w:rFonts w:ascii="Times New Roman" w:hAnsi="Times New Roman"/>
          <w:sz w:val="24"/>
          <w:szCs w:val="24"/>
        </w:rPr>
      </w:pPr>
      <w:r w:rsidRPr="009F1927">
        <w:rPr>
          <w:rFonts w:ascii="Times New Roman" w:hAnsi="Times New Roman"/>
          <w:sz w:val="24"/>
          <w:szCs w:val="24"/>
        </w:rPr>
        <w:t xml:space="preserve">Note:  Ohio has enacted the Ohio Data Protection Act, effective Nov. 2, 2018 (to be in Ohio Revised Code 1354.01-05), which provides companies with an affirmative defense to lawsuits involving release of personal information, if the company has a written cybersecurity program that conforms to the NIST Cybersecurity Framework. </w:t>
      </w:r>
      <w:hyperlink r:id="rId1262" w:history="1">
        <w:r w:rsidRPr="009F1927">
          <w:rPr>
            <w:rStyle w:val="Hyperlink"/>
            <w:rFonts w:ascii="Times New Roman" w:hAnsi="Times New Roman"/>
            <w:sz w:val="24"/>
            <w:szCs w:val="24"/>
          </w:rPr>
          <w:t>https://www.legislature.ohio.gov/legislation/legislation-summary?id=GA132-SB-220</w:t>
        </w:r>
      </w:hyperlink>
      <w:r w:rsidRPr="009F1927">
        <w:rPr>
          <w:rFonts w:ascii="Times New Roman" w:hAnsi="Times New Roman"/>
          <w:sz w:val="24"/>
          <w:szCs w:val="24"/>
        </w:rPr>
        <w:t xml:space="preserve">.  See Sept. 20, </w:t>
      </w:r>
      <w:proofErr w:type="gramStart"/>
      <w:r w:rsidRPr="009F1927">
        <w:rPr>
          <w:rFonts w:ascii="Times New Roman" w:hAnsi="Times New Roman"/>
          <w:sz w:val="24"/>
          <w:szCs w:val="24"/>
        </w:rPr>
        <w:t>2018</w:t>
      </w:r>
      <w:proofErr w:type="gramEnd"/>
      <w:r w:rsidRPr="009F1927">
        <w:rPr>
          <w:rFonts w:ascii="Times New Roman" w:hAnsi="Times New Roman"/>
          <w:sz w:val="24"/>
          <w:szCs w:val="24"/>
        </w:rPr>
        <w:t xml:space="preserve"> article, “New Ohio law incentivizes businesses that comply with cybersecurity programs,” </w:t>
      </w:r>
      <w:hyperlink r:id="rId1263" w:history="1">
        <w:r w:rsidRPr="009F1927">
          <w:rPr>
            <w:rStyle w:val="Hyperlink"/>
            <w:rFonts w:ascii="Times New Roman" w:hAnsi="Times New Roman"/>
            <w:sz w:val="24"/>
            <w:szCs w:val="24"/>
          </w:rPr>
          <w:t>https://www.bizjournals.com/columbus/news/2018/09/20/new-ohio-law-incentivizes-businesses-that-comply.html</w:t>
        </w:r>
      </w:hyperlink>
    </w:p>
    <w:p w14:paraId="341C3ED8" w14:textId="77777777" w:rsidR="00F326E5" w:rsidRPr="009F1927" w:rsidRDefault="00F326E5" w:rsidP="00F326E5">
      <w:pPr>
        <w:pStyle w:val="NoSpacing"/>
        <w:rPr>
          <w:rStyle w:val="dfm-title"/>
          <w:rFonts w:ascii="Times New Roman" w:hAnsi="Times New Roman"/>
          <w:sz w:val="24"/>
          <w:szCs w:val="24"/>
        </w:rPr>
      </w:pPr>
    </w:p>
    <w:bookmarkEnd w:id="262"/>
    <w:p w14:paraId="14C842DA" w14:textId="6DA8F9DA" w:rsidR="00EF1133" w:rsidRDefault="00EF1133" w:rsidP="00EF1133">
      <w:pPr>
        <w:rPr>
          <w:rFonts w:ascii="Arial Black" w:hAnsi="Arial Black"/>
          <w:sz w:val="28"/>
          <w:szCs w:val="28"/>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1</w:t>
      </w:r>
      <w:bookmarkStart w:id="265" w:name="_Hlk7343286"/>
    </w:p>
    <w:p w14:paraId="334AB698" w14:textId="12093068" w:rsidR="00F326E5" w:rsidRDefault="00F326E5" w:rsidP="00F326E5">
      <w:pPr>
        <w:pStyle w:val="NoSpacing"/>
        <w:rPr>
          <w:rFonts w:ascii="Arial Black" w:hAnsi="Arial Black"/>
          <w:sz w:val="28"/>
          <w:szCs w:val="28"/>
        </w:rPr>
      </w:pPr>
      <w:r w:rsidRPr="002C2C77">
        <w:rPr>
          <w:rFonts w:ascii="Arial Black" w:hAnsi="Arial Black"/>
          <w:sz w:val="28"/>
          <w:szCs w:val="28"/>
        </w:rPr>
        <w:t>TN</w:t>
      </w:r>
      <w:r>
        <w:rPr>
          <w:rFonts w:ascii="Arial Black" w:hAnsi="Arial Black"/>
          <w:sz w:val="28"/>
          <w:szCs w:val="28"/>
        </w:rPr>
        <w:t>:  FIRE CHIEF FIRED – AT-WILL EMPLOYEE –</w:t>
      </w:r>
      <w:r w:rsidR="009F1927">
        <w:rPr>
          <w:rFonts w:ascii="Arial Black" w:hAnsi="Arial Black"/>
          <w:sz w:val="28"/>
          <w:szCs w:val="28"/>
        </w:rPr>
        <w:t xml:space="preserve"> </w:t>
      </w:r>
      <w:r>
        <w:rPr>
          <w:rFonts w:ascii="Arial Black" w:hAnsi="Arial Black"/>
          <w:sz w:val="28"/>
          <w:szCs w:val="28"/>
        </w:rPr>
        <w:t>COUNTY CAN</w:t>
      </w:r>
      <w:r w:rsidR="005353F2">
        <w:rPr>
          <w:rFonts w:ascii="Arial Black" w:hAnsi="Arial Black"/>
          <w:sz w:val="28"/>
          <w:szCs w:val="28"/>
        </w:rPr>
        <w:t>’T</w:t>
      </w:r>
      <w:r>
        <w:rPr>
          <w:rFonts w:ascii="Arial Black" w:hAnsi="Arial Black"/>
          <w:sz w:val="28"/>
          <w:szCs w:val="28"/>
        </w:rPr>
        <w:t xml:space="preserve"> GRANT CIVIL SERVICE PROTECTION</w:t>
      </w:r>
    </w:p>
    <w:p w14:paraId="544BA7E7" w14:textId="77777777" w:rsidR="00F326E5" w:rsidRPr="009F1927" w:rsidRDefault="00F326E5" w:rsidP="00F326E5">
      <w:pPr>
        <w:rPr>
          <w:rFonts w:ascii="Times New Roman" w:eastAsia="Times New Roman" w:hAnsi="Times New Roman"/>
          <w:sz w:val="24"/>
          <w:szCs w:val="24"/>
        </w:rPr>
      </w:pPr>
      <w:r w:rsidRPr="009F1927">
        <w:rPr>
          <w:rFonts w:ascii="Times New Roman" w:hAnsi="Times New Roman"/>
          <w:sz w:val="24"/>
          <w:szCs w:val="24"/>
        </w:rPr>
        <w:t xml:space="preserve">On Oct. 19, 2018, in </w:t>
      </w:r>
      <w:r w:rsidRPr="009F1927">
        <w:rPr>
          <w:rFonts w:ascii="Times New Roman" w:hAnsi="Times New Roman"/>
          <w:sz w:val="24"/>
          <w:szCs w:val="24"/>
          <w:u w:val="single"/>
        </w:rPr>
        <w:t>William Smallwood v. Cocke County Government</w:t>
      </w:r>
      <w:r w:rsidRPr="009F1927">
        <w:rPr>
          <w:rFonts w:ascii="Times New Roman" w:hAnsi="Times New Roman"/>
          <w:sz w:val="24"/>
          <w:szCs w:val="24"/>
        </w:rPr>
        <w:t>, the U.S. Court of Appeals for 6</w:t>
      </w:r>
      <w:r w:rsidRPr="009F1927">
        <w:rPr>
          <w:rFonts w:ascii="Times New Roman" w:hAnsi="Times New Roman"/>
          <w:sz w:val="24"/>
          <w:szCs w:val="24"/>
          <w:vertAlign w:val="superscript"/>
        </w:rPr>
        <w:t>th</w:t>
      </w:r>
      <w:r w:rsidRPr="009F1927">
        <w:rPr>
          <w:rFonts w:ascii="Times New Roman" w:hAnsi="Times New Roman"/>
          <w:sz w:val="24"/>
          <w:szCs w:val="24"/>
        </w:rPr>
        <w:t xml:space="preserve"> Circuit (Cincinnati, OH), held (3 to 0) in an unpublished opinion, that the District Court properly granted summary judgment to the County. “</w:t>
      </w:r>
      <w:r w:rsidRPr="009F1927">
        <w:rPr>
          <w:rFonts w:ascii="Times New Roman" w:eastAsia="Times New Roman" w:hAnsi="Times New Roman"/>
          <w:sz w:val="24"/>
          <w:szCs w:val="24"/>
        </w:rPr>
        <w:t>Regardless of whether Smallwood’s termination was politically motivated, as Fire Chief, he could be terminated for political reasons.”</w:t>
      </w:r>
      <w:r w:rsidRPr="009F1927">
        <w:rPr>
          <w:rFonts w:ascii="Times New Roman" w:hAnsi="Times New Roman"/>
          <w:sz w:val="24"/>
          <w:szCs w:val="24"/>
        </w:rPr>
        <w:t xml:space="preserve"> </w:t>
      </w:r>
      <w:hyperlink r:id="rId1264" w:history="1">
        <w:r w:rsidRPr="009F1927">
          <w:rPr>
            <w:rStyle w:val="Hyperlink"/>
            <w:rFonts w:ascii="Times New Roman" w:hAnsi="Times New Roman"/>
            <w:sz w:val="24"/>
            <w:szCs w:val="24"/>
          </w:rPr>
          <w:t>http://www.opn.ca6.uscourts.gov/opinions.pdf/18a0522n-06.pdf</w:t>
        </w:r>
      </w:hyperlink>
      <w:r w:rsidRPr="009F1927">
        <w:rPr>
          <w:rFonts w:ascii="Times New Roman" w:eastAsia="Times New Roman" w:hAnsi="Times New Roman"/>
          <w:sz w:val="24"/>
          <w:szCs w:val="24"/>
        </w:rPr>
        <w:t xml:space="preserve"> </w:t>
      </w:r>
    </w:p>
    <w:p w14:paraId="75753C14" w14:textId="77777777"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 xml:space="preserve">Legal Lessons Learned:  At-will employees may be terminated without </w:t>
      </w:r>
      <w:proofErr w:type="gramStart"/>
      <w:r w:rsidRPr="009F1927">
        <w:rPr>
          <w:rFonts w:ascii="Times New Roman" w:hAnsi="Times New Roman"/>
          <w:b/>
          <w:sz w:val="24"/>
          <w:szCs w:val="24"/>
        </w:rPr>
        <w:t>a hearing</w:t>
      </w:r>
      <w:proofErr w:type="gramEnd"/>
      <w:r w:rsidRPr="009F1927">
        <w:rPr>
          <w:rFonts w:ascii="Times New Roman" w:hAnsi="Times New Roman"/>
          <w:b/>
          <w:sz w:val="24"/>
          <w:szCs w:val="24"/>
        </w:rPr>
        <w:t xml:space="preserve">.  </w:t>
      </w:r>
    </w:p>
    <w:bookmarkEnd w:id="265"/>
    <w:p w14:paraId="2D8ED270" w14:textId="77777777" w:rsidR="00F326E5" w:rsidRPr="009F1927" w:rsidRDefault="00F326E5" w:rsidP="00F326E5">
      <w:pPr>
        <w:ind w:left="720"/>
        <w:rPr>
          <w:rFonts w:ascii="Times New Roman" w:eastAsia="Times New Roman" w:hAnsi="Times New Roman"/>
          <w:sz w:val="24"/>
          <w:szCs w:val="24"/>
        </w:rPr>
      </w:pPr>
    </w:p>
    <w:p w14:paraId="6B119D7E" w14:textId="77777777" w:rsidR="009F1927" w:rsidRDefault="009F1927" w:rsidP="00EF1133">
      <w:pPr>
        <w:rPr>
          <w:rFonts w:ascii="Arial Black" w:hAnsi="Arial Black"/>
          <w:b/>
          <w:sz w:val="24"/>
          <w:szCs w:val="24"/>
        </w:rPr>
      </w:pPr>
    </w:p>
    <w:p w14:paraId="02A7C8E7" w14:textId="3C9995B9"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0</w:t>
      </w:r>
    </w:p>
    <w:p w14:paraId="3D465DED" w14:textId="20086348" w:rsidR="00F326E5" w:rsidRPr="00732C84" w:rsidRDefault="00F326E5" w:rsidP="00F326E5">
      <w:pPr>
        <w:rPr>
          <w:rFonts w:ascii="Times New Roman" w:hAnsi="Times New Roman"/>
          <w:sz w:val="24"/>
          <w:szCs w:val="24"/>
        </w:rPr>
      </w:pPr>
      <w:bookmarkStart w:id="266" w:name="_Hlk7343322"/>
      <w:r w:rsidRPr="00732C84">
        <w:rPr>
          <w:rFonts w:ascii="Arial Black" w:hAnsi="Arial Black"/>
          <w:sz w:val="28"/>
          <w:szCs w:val="28"/>
        </w:rPr>
        <w:t xml:space="preserve">NY: </w:t>
      </w:r>
      <w:r>
        <w:rPr>
          <w:rFonts w:ascii="Arial Black" w:hAnsi="Arial Black"/>
          <w:sz w:val="28"/>
          <w:szCs w:val="28"/>
        </w:rPr>
        <w:t xml:space="preserve">AMBULANCE BACK STEP NOT LOWERED - </w:t>
      </w:r>
      <w:r w:rsidRPr="00732C84">
        <w:rPr>
          <w:rFonts w:ascii="Arial Black" w:hAnsi="Arial Black"/>
          <w:sz w:val="28"/>
          <w:szCs w:val="28"/>
        </w:rPr>
        <w:t xml:space="preserve">FF </w:t>
      </w:r>
      <w:r>
        <w:rPr>
          <w:rFonts w:ascii="Arial Black" w:hAnsi="Arial Black"/>
          <w:sz w:val="28"/>
          <w:szCs w:val="28"/>
        </w:rPr>
        <w:t xml:space="preserve">ENTITLED TO ACCIDENTAL RETIREMENT BENEFITS </w:t>
      </w:r>
      <w:r w:rsidRPr="00732C84">
        <w:rPr>
          <w:rFonts w:ascii="Times New Roman" w:hAnsi="Times New Roman"/>
          <w:sz w:val="24"/>
          <w:szCs w:val="24"/>
        </w:rPr>
        <w:t xml:space="preserve">[also filed, Chap. 13] </w:t>
      </w:r>
    </w:p>
    <w:p w14:paraId="4F8E17CD" w14:textId="77777777" w:rsidR="00F326E5" w:rsidRPr="009F1927" w:rsidRDefault="00F326E5" w:rsidP="00F326E5">
      <w:pPr>
        <w:rPr>
          <w:rFonts w:ascii="Times New Roman" w:eastAsia="Times New Roman" w:hAnsi="Times New Roman"/>
          <w:sz w:val="24"/>
          <w:szCs w:val="24"/>
        </w:rPr>
      </w:pPr>
      <w:r w:rsidRPr="009F1927">
        <w:rPr>
          <w:rFonts w:ascii="Times New Roman" w:eastAsia="Times New Roman" w:hAnsi="Times New Roman"/>
          <w:sz w:val="24"/>
          <w:szCs w:val="24"/>
        </w:rPr>
        <w:lastRenderedPageBreak/>
        <w:t xml:space="preserve">On Sept. 6, 2018, </w:t>
      </w:r>
      <w:r w:rsidRPr="009F1927">
        <w:rPr>
          <w:rFonts w:ascii="Times New Roman" w:eastAsia="Times New Roman" w:hAnsi="Times New Roman"/>
          <w:sz w:val="24"/>
          <w:szCs w:val="24"/>
          <w:u w:val="single"/>
        </w:rPr>
        <w:t>In The Matter Of Gregg A. Loia v. Thomas P. Di Napoli, State Comptroller</w:t>
      </w:r>
      <w:r w:rsidRPr="009F1927">
        <w:rPr>
          <w:rFonts w:ascii="Times New Roman" w:eastAsia="Times New Roman" w:hAnsi="Times New Roman"/>
          <w:sz w:val="24"/>
          <w:szCs w:val="24"/>
        </w:rPr>
        <w:t xml:space="preserve">,  the NY Supreme Court, Appellate Division (Third Judicial Department) held (3 to 0) the injured firefighter is entitled to accidental retirement benefits since the back step of the ambulance had not been lowered by EMS personnel, and he suffered an “accident” on the “malfunctioning piece of equipment that was designed, under normal circumstances, to promote safety.” </w:t>
      </w:r>
      <w:hyperlink r:id="rId1265" w:history="1">
        <w:r w:rsidRPr="009F1927">
          <w:rPr>
            <w:rStyle w:val="Hyperlink"/>
            <w:rFonts w:ascii="Times New Roman" w:hAnsi="Times New Roman"/>
            <w:sz w:val="24"/>
            <w:szCs w:val="24"/>
          </w:rPr>
          <w:t>http://decisions.courts.state.ny.us/ad3/Decisions/2018/526165.pdf</w:t>
        </w:r>
      </w:hyperlink>
      <w:r w:rsidRPr="009F1927">
        <w:rPr>
          <w:rFonts w:ascii="Times New Roman" w:eastAsia="Times New Roman" w:hAnsi="Times New Roman"/>
          <w:sz w:val="24"/>
          <w:szCs w:val="24"/>
        </w:rPr>
        <w:t xml:space="preserve"> </w:t>
      </w:r>
    </w:p>
    <w:p w14:paraId="1933F0FC"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 xml:space="preserve">Legal Lessons Learned:  Fire &amp; EMS personnel should document any on the job injury (including, in this case, photos of the ambulance step) and obtain statements from others on the scene.  It is unfortunate that a dispute over disability retirement benefits has been in litigation since 2012.  </w:t>
      </w:r>
    </w:p>
    <w:bookmarkEnd w:id="266"/>
    <w:p w14:paraId="78B0C165" w14:textId="77777777" w:rsidR="00F326E5" w:rsidRDefault="00F326E5" w:rsidP="00F326E5">
      <w:pPr>
        <w:pStyle w:val="NoSpacing"/>
        <w:rPr>
          <w:rStyle w:val="dfm-title"/>
          <w:b/>
          <w:sz w:val="24"/>
          <w:szCs w:val="24"/>
        </w:rPr>
      </w:pPr>
    </w:p>
    <w:p w14:paraId="149F5F5A" w14:textId="77777777" w:rsidR="00F27CD5" w:rsidRDefault="00F27CD5" w:rsidP="00F326E5">
      <w:pPr>
        <w:rPr>
          <w:rFonts w:ascii="Arial Black" w:hAnsi="Arial Black"/>
          <w:b/>
          <w:sz w:val="24"/>
          <w:szCs w:val="24"/>
        </w:rPr>
      </w:pPr>
    </w:p>
    <w:p w14:paraId="1293C9CE" w14:textId="77777777" w:rsidR="00F27CD5" w:rsidRDefault="00F27CD5" w:rsidP="00F326E5">
      <w:pPr>
        <w:rPr>
          <w:rFonts w:ascii="Arial Black" w:hAnsi="Arial Black"/>
          <w:b/>
          <w:sz w:val="24"/>
          <w:szCs w:val="24"/>
        </w:rPr>
      </w:pPr>
    </w:p>
    <w:p w14:paraId="2FF83555" w14:textId="4119B724" w:rsidR="00F326E5" w:rsidRPr="009F2867" w:rsidRDefault="00EF1133" w:rsidP="00F326E5">
      <w:pPr>
        <w:rPr>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9</w:t>
      </w:r>
    </w:p>
    <w:p w14:paraId="29350A44" w14:textId="7CD59645" w:rsidR="00F326E5" w:rsidRPr="00732C84" w:rsidRDefault="00F326E5" w:rsidP="00F326E5">
      <w:pPr>
        <w:rPr>
          <w:rFonts w:ascii="Arial Black" w:hAnsi="Arial Black"/>
          <w:sz w:val="28"/>
          <w:szCs w:val="28"/>
        </w:rPr>
      </w:pPr>
      <w:bookmarkStart w:id="267" w:name="_Hlk7343376"/>
      <w:r w:rsidRPr="00732C84">
        <w:rPr>
          <w:rFonts w:ascii="Arial Black" w:hAnsi="Arial Black"/>
          <w:sz w:val="28"/>
          <w:szCs w:val="28"/>
        </w:rPr>
        <w:t>MD: P</w:t>
      </w:r>
      <w:r>
        <w:rPr>
          <w:rFonts w:ascii="Arial Black" w:hAnsi="Arial Black"/>
          <w:sz w:val="28"/>
          <w:szCs w:val="28"/>
        </w:rPr>
        <w:t xml:space="preserve">ARAMEDIC WTH DEGENERATIVE KNEE TEARS – JURY FOUND WORK RELATED – COURT UPHOLDS </w:t>
      </w:r>
    </w:p>
    <w:p w14:paraId="54012B00" w14:textId="77777777" w:rsidR="009F1927" w:rsidRDefault="00F326E5" w:rsidP="00F326E5">
      <w:pPr>
        <w:rPr>
          <w:rFonts w:ascii="Times New Roman" w:hAnsi="Times New Roman"/>
          <w:sz w:val="24"/>
          <w:szCs w:val="24"/>
        </w:rPr>
      </w:pPr>
      <w:r w:rsidRPr="009F1927">
        <w:rPr>
          <w:rFonts w:ascii="Times New Roman" w:hAnsi="Times New Roman"/>
          <w:sz w:val="24"/>
          <w:szCs w:val="24"/>
        </w:rPr>
        <w:t xml:space="preserve">On Aug. 30, 2018, in </w:t>
      </w:r>
      <w:r w:rsidRPr="009F1927">
        <w:rPr>
          <w:rFonts w:ascii="Times New Roman" w:hAnsi="Times New Roman"/>
          <w:sz w:val="24"/>
          <w:szCs w:val="24"/>
          <w:u w:val="single"/>
        </w:rPr>
        <w:t>Baltimore County v. Michael Quinlan</w:t>
      </w:r>
      <w:r w:rsidRPr="009F1927">
        <w:rPr>
          <w:rFonts w:ascii="Times New Roman" w:hAnsi="Times New Roman"/>
          <w:sz w:val="24"/>
          <w:szCs w:val="24"/>
        </w:rPr>
        <w:t xml:space="preserve">, the Court </w:t>
      </w:r>
      <w:proofErr w:type="gramStart"/>
      <w:r w:rsidRPr="009F1927">
        <w:rPr>
          <w:rFonts w:ascii="Times New Roman" w:hAnsi="Times New Roman"/>
          <w:sz w:val="24"/>
          <w:szCs w:val="24"/>
        </w:rPr>
        <w:t>Of</w:t>
      </w:r>
      <w:proofErr w:type="gramEnd"/>
      <w:r w:rsidRPr="009F1927">
        <w:rPr>
          <w:rFonts w:ascii="Times New Roman" w:hAnsi="Times New Roman"/>
          <w:sz w:val="24"/>
          <w:szCs w:val="24"/>
        </w:rPr>
        <w:t xml:space="preserve"> Special Appeals </w:t>
      </w:r>
      <w:proofErr w:type="gramStart"/>
      <w:r w:rsidRPr="009F1927">
        <w:rPr>
          <w:rFonts w:ascii="Times New Roman" w:hAnsi="Times New Roman"/>
          <w:sz w:val="24"/>
          <w:szCs w:val="24"/>
        </w:rPr>
        <w:t>Of</w:t>
      </w:r>
      <w:proofErr w:type="gramEnd"/>
      <w:r w:rsidRPr="009F1927">
        <w:rPr>
          <w:rFonts w:ascii="Times New Roman" w:hAnsi="Times New Roman"/>
          <w:sz w:val="24"/>
          <w:szCs w:val="24"/>
        </w:rPr>
        <w:t xml:space="preserve"> Maryland, held (3 to 0) that his menisci tears are work related.  The Court wrote:  </w:t>
      </w:r>
    </w:p>
    <w:p w14:paraId="54B01CF0" w14:textId="7D7386A4" w:rsidR="00F326E5" w:rsidRPr="009F1927" w:rsidRDefault="00F326E5" w:rsidP="009F1927">
      <w:pPr>
        <w:ind w:left="720"/>
        <w:rPr>
          <w:rFonts w:ascii="Times New Roman" w:eastAsia="Times New Roman" w:hAnsi="Times New Roman"/>
          <w:b/>
          <w:sz w:val="24"/>
          <w:szCs w:val="24"/>
        </w:rPr>
      </w:pPr>
      <w:r w:rsidRPr="009F1927">
        <w:rPr>
          <w:rFonts w:ascii="Times New Roman" w:hAnsi="Times New Roman"/>
          <w:sz w:val="24"/>
          <w:szCs w:val="24"/>
        </w:rPr>
        <w:t>“</w:t>
      </w:r>
      <w:r w:rsidRPr="009F1927">
        <w:rPr>
          <w:rFonts w:ascii="Times New Roman" w:eastAsia="Times New Roman" w:hAnsi="Times New Roman"/>
          <w:sz w:val="24"/>
          <w:szCs w:val="24"/>
        </w:rPr>
        <w:t>In sum, Mr. Quinlan met the statutory requirements of LE § 9-502(d)(1) by establishing at trial that the degenerative menisci tears were an occupational disease through testimony that showed That repetitive kneeling and squatting is (1) a regular part of a paramedic’s job and (2) a risk factor for developing menisci tears, which Dr. Cochran explained are ‘part of the continuum of osteoarthritis. ‘…. This was sufficient evidence for the jury to determine that, ‘but for the work-related activities[,]’ his condition would not have developed…. We will not second guess the jury’s fact finding on appeal.”</w:t>
      </w:r>
      <w:r w:rsidR="009F1927">
        <w:rPr>
          <w:rFonts w:ascii="Times New Roman" w:eastAsia="Times New Roman" w:hAnsi="Times New Roman"/>
          <w:sz w:val="24"/>
          <w:szCs w:val="24"/>
        </w:rPr>
        <w:t xml:space="preserve"> </w:t>
      </w:r>
      <w:hyperlink r:id="rId1266" w:history="1">
        <w:r w:rsidRPr="009F1927">
          <w:rPr>
            <w:rStyle w:val="Hyperlink"/>
            <w:rFonts w:ascii="Times New Roman" w:hAnsi="Times New Roman"/>
            <w:sz w:val="24"/>
            <w:szCs w:val="24"/>
          </w:rPr>
          <w:t>https://www.courts.state.md.us/data/opinions/cosa/2018/0319s17.pdf</w:t>
        </w:r>
      </w:hyperlink>
      <w:r w:rsidRPr="009F1927">
        <w:rPr>
          <w:rFonts w:ascii="Times New Roman" w:eastAsia="Times New Roman" w:hAnsi="Times New Roman"/>
          <w:b/>
          <w:sz w:val="24"/>
          <w:szCs w:val="24"/>
        </w:rPr>
        <w:t xml:space="preserve"> </w:t>
      </w:r>
    </w:p>
    <w:p w14:paraId="035305B9"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Expert testimony particularly critical for claims involving degenerative knee or other similar conditions.</w:t>
      </w:r>
    </w:p>
    <w:bookmarkEnd w:id="267"/>
    <w:p w14:paraId="230F3837" w14:textId="77777777" w:rsidR="00F326E5" w:rsidRPr="00FE294E" w:rsidRDefault="00F326E5" w:rsidP="00F326E5">
      <w:pPr>
        <w:rPr>
          <w:rFonts w:eastAsia="Times New Roman"/>
          <w:sz w:val="24"/>
          <w:szCs w:val="24"/>
        </w:rPr>
      </w:pPr>
    </w:p>
    <w:p w14:paraId="275477DC" w14:textId="62C07030" w:rsidR="005353F2" w:rsidRDefault="00EF1133" w:rsidP="00EF1133">
      <w:pPr>
        <w:rPr>
          <w:sz w:val="24"/>
          <w:szCs w:val="24"/>
        </w:rPr>
      </w:pPr>
      <w:bookmarkStart w:id="268" w:name="_Hlk7343415"/>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8</w:t>
      </w:r>
    </w:p>
    <w:p w14:paraId="19EC5DB1" w14:textId="28F2E275" w:rsidR="00F326E5" w:rsidRPr="008A5B80" w:rsidRDefault="00F326E5" w:rsidP="00F326E5">
      <w:pPr>
        <w:pStyle w:val="NoSpacing"/>
        <w:rPr>
          <w:rFonts w:ascii="Arial Black" w:hAnsi="Arial Black"/>
          <w:sz w:val="24"/>
          <w:szCs w:val="24"/>
        </w:rPr>
      </w:pPr>
      <w:r w:rsidRPr="00732C84">
        <w:rPr>
          <w:rFonts w:ascii="Arial Black" w:hAnsi="Arial Black"/>
          <w:b/>
          <w:sz w:val="28"/>
          <w:szCs w:val="28"/>
        </w:rPr>
        <w:t xml:space="preserve">LA: </w:t>
      </w:r>
      <w:r>
        <w:rPr>
          <w:rFonts w:ascii="Arial Black" w:hAnsi="Arial Black"/>
          <w:b/>
          <w:sz w:val="28"/>
          <w:szCs w:val="28"/>
        </w:rPr>
        <w:t xml:space="preserve">FREE SPEECH CASE </w:t>
      </w:r>
      <w:r w:rsidR="005353F2">
        <w:rPr>
          <w:rFonts w:ascii="Arial Black" w:hAnsi="Arial Black"/>
          <w:b/>
          <w:sz w:val="28"/>
          <w:szCs w:val="28"/>
        </w:rPr>
        <w:t xml:space="preserve">NOT DISMISSED </w:t>
      </w:r>
      <w:r>
        <w:rPr>
          <w:rFonts w:ascii="Arial Black" w:hAnsi="Arial Black"/>
          <w:b/>
          <w:sz w:val="28"/>
          <w:szCs w:val="28"/>
        </w:rPr>
        <w:t xml:space="preserve">- TWO PARAMEDICS FIRED AFTER LETTER TO BOARD ABOUT MGT </w:t>
      </w:r>
      <w:r w:rsidRPr="008A5B80">
        <w:rPr>
          <w:sz w:val="24"/>
          <w:szCs w:val="24"/>
        </w:rPr>
        <w:t>[also filed, Chap. 13]</w:t>
      </w:r>
    </w:p>
    <w:p w14:paraId="23B2BDC5" w14:textId="77777777" w:rsidR="009F1927" w:rsidRDefault="00F326E5" w:rsidP="00F326E5">
      <w:pPr>
        <w:rPr>
          <w:rFonts w:ascii="Times New Roman" w:hAnsi="Times New Roman"/>
          <w:sz w:val="24"/>
          <w:szCs w:val="24"/>
        </w:rPr>
      </w:pPr>
      <w:r w:rsidRPr="009F1927">
        <w:rPr>
          <w:rFonts w:ascii="Times New Roman" w:hAnsi="Times New Roman"/>
          <w:sz w:val="24"/>
          <w:szCs w:val="24"/>
        </w:rPr>
        <w:t xml:space="preserve">On July 18, 2018, in </w:t>
      </w:r>
      <w:r w:rsidRPr="009F1927">
        <w:rPr>
          <w:rFonts w:ascii="Times New Roman" w:hAnsi="Times New Roman"/>
          <w:sz w:val="24"/>
          <w:szCs w:val="24"/>
          <w:u w:val="single"/>
        </w:rPr>
        <w:t>Patrick Alan Benfield &amp; Brian Warren v. Joe Magee, et al</w:t>
      </w:r>
      <w:r w:rsidRPr="009F1927">
        <w:rPr>
          <w:rFonts w:ascii="Times New Roman" w:hAnsi="Times New Roman"/>
          <w:sz w:val="24"/>
          <w:szCs w:val="24"/>
        </w:rPr>
        <w:t xml:space="preserve">., U.S. District Court Judge Elizabeth Foote, Western District of Louisiana, held that a lawsuit by two paramedics fired by Desoto Parish EMS may proceed to trial.  They were fired after Warren wrote a letter to a member of the Desoto Parish Police Jury (they </w:t>
      </w:r>
      <w:proofErr w:type="gramStart"/>
      <w:r w:rsidRPr="009F1927">
        <w:rPr>
          <w:rFonts w:ascii="Times New Roman" w:hAnsi="Times New Roman"/>
          <w:sz w:val="24"/>
          <w:szCs w:val="24"/>
        </w:rPr>
        <w:t>appoint</w:t>
      </w:r>
      <w:proofErr w:type="gramEnd"/>
      <w:r w:rsidRPr="009F1927">
        <w:rPr>
          <w:rFonts w:ascii="Times New Roman" w:hAnsi="Times New Roman"/>
          <w:sz w:val="24"/>
          <w:szCs w:val="24"/>
        </w:rPr>
        <w:t xml:space="preserve"> the Board of Commissioners of the Desoto Parish EMS).   The Judge ruled:</w:t>
      </w:r>
    </w:p>
    <w:p w14:paraId="0B96C184" w14:textId="1B270064" w:rsidR="00F326E5" w:rsidRPr="009F1927" w:rsidRDefault="00F326E5" w:rsidP="009F1927">
      <w:pPr>
        <w:ind w:left="720"/>
        <w:rPr>
          <w:rFonts w:ascii="Times New Roman" w:hAnsi="Times New Roman"/>
          <w:sz w:val="24"/>
          <w:szCs w:val="24"/>
        </w:rPr>
      </w:pPr>
      <w:r w:rsidRPr="009F1927">
        <w:rPr>
          <w:rFonts w:ascii="Times New Roman" w:hAnsi="Times New Roman"/>
          <w:sz w:val="24"/>
          <w:szCs w:val="24"/>
        </w:rPr>
        <w:lastRenderedPageBreak/>
        <w:t xml:space="preserve">“The motion [to dismiss] is DENIED as to Warren’s free speech claim because the facts alleged establish that his letter was protected speech.”  </w:t>
      </w:r>
      <w:hyperlink r:id="rId1267" w:history="1">
        <w:r w:rsidRPr="009F1927">
          <w:rPr>
            <w:rStyle w:val="Hyperlink"/>
            <w:rFonts w:ascii="Times New Roman" w:hAnsi="Times New Roman"/>
            <w:sz w:val="24"/>
            <w:szCs w:val="24"/>
          </w:rPr>
          <w:t>https://cases.justia.com/federal/district-courts/louisiana/lawdce/5:2018cv00034/160852/18/0.pdf?ts=1532079100</w:t>
        </w:r>
      </w:hyperlink>
    </w:p>
    <w:p w14:paraId="318AA611" w14:textId="77777777" w:rsidR="00F326E5" w:rsidRPr="009F1927" w:rsidRDefault="00F326E5" w:rsidP="00F326E5">
      <w:pPr>
        <w:rPr>
          <w:rFonts w:ascii="Times New Roman" w:hAnsi="Times New Roman"/>
          <w:b/>
          <w:sz w:val="24"/>
          <w:szCs w:val="24"/>
        </w:rPr>
      </w:pPr>
      <w:r w:rsidRPr="009F1927">
        <w:rPr>
          <w:rFonts w:ascii="Times New Roman" w:hAnsi="Times New Roman"/>
          <w:b/>
          <w:sz w:val="24"/>
          <w:szCs w:val="24"/>
        </w:rPr>
        <w:t xml:space="preserve">Legal Lessons Learned: First Amendment free speech cases are </w:t>
      </w:r>
      <w:proofErr w:type="gramStart"/>
      <w:r w:rsidRPr="009F1927">
        <w:rPr>
          <w:rFonts w:ascii="Times New Roman" w:hAnsi="Times New Roman"/>
          <w:b/>
          <w:sz w:val="24"/>
          <w:szCs w:val="24"/>
        </w:rPr>
        <w:t>increasing</w:t>
      </w:r>
      <w:proofErr w:type="gramEnd"/>
      <w:r w:rsidRPr="009F1927">
        <w:rPr>
          <w:rFonts w:ascii="Times New Roman" w:hAnsi="Times New Roman"/>
          <w:b/>
          <w:sz w:val="24"/>
          <w:szCs w:val="24"/>
        </w:rPr>
        <w:t xml:space="preserve"> </w:t>
      </w:r>
      <w:proofErr w:type="gramStart"/>
      <w:r w:rsidRPr="009F1927">
        <w:rPr>
          <w:rFonts w:ascii="Times New Roman" w:hAnsi="Times New Roman"/>
          <w:b/>
          <w:sz w:val="24"/>
          <w:szCs w:val="24"/>
        </w:rPr>
        <w:t>being permitted</w:t>
      </w:r>
      <w:proofErr w:type="gramEnd"/>
      <w:r w:rsidRPr="009F1927">
        <w:rPr>
          <w:rFonts w:ascii="Times New Roman" w:hAnsi="Times New Roman"/>
          <w:b/>
          <w:sz w:val="24"/>
          <w:szCs w:val="24"/>
        </w:rPr>
        <w:t xml:space="preserve"> to go to the jury.  Fire &amp; EMS Departments should thoroughly document reasons for termination, including employees who serve “at will.”</w:t>
      </w:r>
    </w:p>
    <w:bookmarkEnd w:id="268"/>
    <w:p w14:paraId="2F11AE19" w14:textId="77777777" w:rsidR="00F326E5" w:rsidRPr="0002048B" w:rsidRDefault="00F326E5" w:rsidP="00F326E5">
      <w:pPr>
        <w:pStyle w:val="NoSpacing"/>
        <w:rPr>
          <w:b/>
          <w:sz w:val="24"/>
          <w:szCs w:val="24"/>
        </w:rPr>
      </w:pPr>
      <w:r>
        <w:rPr>
          <w:b/>
          <w:sz w:val="24"/>
          <w:szCs w:val="24"/>
        </w:rPr>
        <w:t xml:space="preserve"> </w:t>
      </w:r>
    </w:p>
    <w:p w14:paraId="27F63C96" w14:textId="5DB5F1BD" w:rsidR="00EF1133" w:rsidRDefault="00EF1133" w:rsidP="00EF1133">
      <w:pPr>
        <w:rPr>
          <w:rFonts w:ascii="Arial Black" w:hAnsi="Arial Black"/>
          <w:b/>
          <w:sz w:val="24"/>
          <w:szCs w:val="24"/>
        </w:rPr>
      </w:pPr>
      <w:r>
        <w:rPr>
          <w:rFonts w:ascii="Arial Black" w:hAnsi="Arial Black"/>
          <w:b/>
          <w:sz w:val="24"/>
          <w:szCs w:val="24"/>
        </w:rPr>
        <w:t>6-7</w:t>
      </w:r>
    </w:p>
    <w:p w14:paraId="37E32AA7" w14:textId="08E6730E" w:rsidR="00F326E5" w:rsidRPr="009F1927" w:rsidRDefault="00F326E5" w:rsidP="00F326E5">
      <w:pPr>
        <w:pStyle w:val="NoSpacing"/>
        <w:rPr>
          <w:rFonts w:ascii="Times New Roman" w:hAnsi="Times New Roman"/>
          <w:sz w:val="24"/>
          <w:szCs w:val="24"/>
        </w:rPr>
      </w:pPr>
      <w:bookmarkStart w:id="269" w:name="_Hlk7343500"/>
      <w:r w:rsidRPr="008A5B80">
        <w:rPr>
          <w:rFonts w:ascii="Arial Black" w:hAnsi="Arial Black"/>
          <w:b/>
          <w:sz w:val="28"/>
          <w:szCs w:val="28"/>
        </w:rPr>
        <w:t xml:space="preserve">WY:  </w:t>
      </w:r>
      <w:r>
        <w:rPr>
          <w:rFonts w:ascii="Arial Black" w:hAnsi="Arial Black"/>
          <w:b/>
          <w:sz w:val="28"/>
          <w:szCs w:val="28"/>
        </w:rPr>
        <w:t xml:space="preserve">VOLUNTEER FIREFIGHTERS MAY BE IN UNION – STATE STATUTE </w:t>
      </w:r>
      <w:r w:rsidRPr="009F1927">
        <w:rPr>
          <w:rFonts w:ascii="Times New Roman" w:hAnsi="Times New Roman"/>
          <w:sz w:val="24"/>
          <w:szCs w:val="24"/>
        </w:rPr>
        <w:t>[also filed, Chap. 18]</w:t>
      </w:r>
    </w:p>
    <w:p w14:paraId="20E81FA9" w14:textId="4876AB86" w:rsidR="00F326E5" w:rsidRDefault="00F326E5" w:rsidP="00F326E5">
      <w:pPr>
        <w:pStyle w:val="NoSpacing"/>
        <w:rPr>
          <w:rFonts w:ascii="Times New Roman" w:hAnsi="Times New Roman"/>
          <w:bCs/>
          <w:sz w:val="24"/>
          <w:szCs w:val="24"/>
        </w:rPr>
      </w:pPr>
      <w:r w:rsidRPr="009F1927">
        <w:rPr>
          <w:rFonts w:ascii="Times New Roman" w:hAnsi="Times New Roman"/>
          <w:bCs/>
          <w:sz w:val="24"/>
          <w:szCs w:val="24"/>
        </w:rPr>
        <w:t xml:space="preserve">On July 6, 2018, in </w:t>
      </w:r>
      <w:r w:rsidRPr="009F1927">
        <w:rPr>
          <w:rFonts w:ascii="Times New Roman" w:hAnsi="Times New Roman"/>
          <w:bCs/>
          <w:sz w:val="24"/>
          <w:szCs w:val="24"/>
          <w:u w:val="single"/>
        </w:rPr>
        <w:t>IAFF Local 5058 v. Gillette / Wright / Campbell County Fire Protection Joint Powers Board, and IAFF Local 5067 v. Teton County and Town of Jackson</w:t>
      </w:r>
      <w:r w:rsidRPr="009F1927">
        <w:rPr>
          <w:rFonts w:ascii="Times New Roman" w:hAnsi="Times New Roman"/>
          <w:bCs/>
          <w:sz w:val="24"/>
          <w:szCs w:val="24"/>
        </w:rPr>
        <w:t xml:space="preserve">, the Wyoming Supreme Court held (5 to 0) that the two new unions were not properly elected, and the Fire Districts did not need to negotiate collective bargaining agreements, because the “volunteer” and “pool” firefighters all receive pay for making runs.  </w:t>
      </w:r>
    </w:p>
    <w:p w14:paraId="0B9F17DD" w14:textId="77777777" w:rsidR="009F1927" w:rsidRPr="009F1927" w:rsidRDefault="009F1927" w:rsidP="00F326E5">
      <w:pPr>
        <w:pStyle w:val="NoSpacing"/>
        <w:rPr>
          <w:rFonts w:ascii="Times New Roman" w:hAnsi="Times New Roman"/>
          <w:bCs/>
          <w:sz w:val="24"/>
          <w:szCs w:val="24"/>
        </w:rPr>
      </w:pPr>
    </w:p>
    <w:p w14:paraId="04136BD1" w14:textId="77777777" w:rsidR="00F326E5" w:rsidRPr="009F1927" w:rsidRDefault="00F326E5" w:rsidP="00F326E5">
      <w:pPr>
        <w:ind w:left="720"/>
        <w:rPr>
          <w:rFonts w:ascii="Times New Roman" w:hAnsi="Times New Roman"/>
          <w:bCs/>
          <w:sz w:val="24"/>
          <w:szCs w:val="24"/>
        </w:rPr>
      </w:pPr>
      <w:r w:rsidRPr="009F1927">
        <w:rPr>
          <w:rFonts w:ascii="Times New Roman" w:eastAsia="Times New Roman" w:hAnsi="Times New Roman"/>
          <w:sz w:val="24"/>
          <w:szCs w:val="24"/>
        </w:rPr>
        <w:t xml:space="preserve">“The district courts in both cases held that the Wyoming Collective Bargaining for Fire Fighters Act’s definition of ‘fire fighters’ includes volunteers because they are ‘paid members of . . . regularly constituted fire department[s].’ Consequently, the district courts concluded that IAFF Local 5058 and IAFF Local 5067, which were formed by and consist of only full-time, career fire fighters, were not properly constituted bargaining units under the Act. We affirm. </w:t>
      </w:r>
      <w:hyperlink r:id="rId1268" w:history="1">
        <w:r w:rsidRPr="009F1927">
          <w:rPr>
            <w:rStyle w:val="Hyperlink"/>
            <w:rFonts w:ascii="Times New Roman" w:hAnsi="Times New Roman"/>
            <w:sz w:val="24"/>
            <w:szCs w:val="24"/>
          </w:rPr>
          <w:t>https://services.courts.state.wy.us/Documents/Opinions/2018WY75.pdf</w:t>
        </w:r>
      </w:hyperlink>
      <w:r w:rsidRPr="009F1927">
        <w:rPr>
          <w:rFonts w:ascii="Times New Roman" w:hAnsi="Times New Roman"/>
          <w:bCs/>
          <w:sz w:val="24"/>
          <w:szCs w:val="24"/>
        </w:rPr>
        <w:t xml:space="preserve"> </w:t>
      </w:r>
    </w:p>
    <w:p w14:paraId="781BE719" w14:textId="77777777" w:rsidR="00F326E5" w:rsidRPr="009F1927" w:rsidRDefault="00F326E5" w:rsidP="00F326E5">
      <w:pPr>
        <w:rPr>
          <w:rFonts w:ascii="Times New Roman" w:hAnsi="Times New Roman"/>
          <w:b/>
          <w:sz w:val="24"/>
          <w:szCs w:val="24"/>
        </w:rPr>
      </w:pPr>
      <w:r w:rsidRPr="009F1927">
        <w:rPr>
          <w:rFonts w:ascii="Times New Roman" w:hAnsi="Times New Roman"/>
          <w:b/>
          <w:sz w:val="24"/>
          <w:szCs w:val="24"/>
        </w:rPr>
        <w:t>Legal Lessons Learned:  Drafting of legislative language is very important, along with creating a clear “legislative history” to avoid any question about whether volunteer and part-time firefighters can be covered in a collective bargaining agreement.</w:t>
      </w:r>
    </w:p>
    <w:bookmarkEnd w:id="269"/>
    <w:p w14:paraId="617D906F" w14:textId="77777777" w:rsidR="00F326E5" w:rsidRDefault="00F326E5" w:rsidP="00F326E5">
      <w:pPr>
        <w:pStyle w:val="NoSpacing"/>
        <w:rPr>
          <w:rFonts w:eastAsia="Times New Roman"/>
          <w:sz w:val="24"/>
          <w:szCs w:val="24"/>
        </w:rPr>
      </w:pPr>
    </w:p>
    <w:p w14:paraId="291AD0F6" w14:textId="77777777" w:rsidR="00F326E5" w:rsidRDefault="00F326E5" w:rsidP="00F326E5">
      <w:pPr>
        <w:pStyle w:val="NoSpacing"/>
        <w:rPr>
          <w:rFonts w:eastAsia="Times New Roman"/>
          <w:sz w:val="24"/>
          <w:szCs w:val="24"/>
        </w:rPr>
      </w:pPr>
    </w:p>
    <w:p w14:paraId="75A9B025" w14:textId="77777777" w:rsidR="00EF1133" w:rsidRDefault="00EF1133" w:rsidP="00F326E5">
      <w:pPr>
        <w:pStyle w:val="NoSpacing"/>
        <w:rPr>
          <w:rFonts w:ascii="Arial Black" w:eastAsia="Times New Roman" w:hAnsi="Arial Black"/>
          <w:sz w:val="28"/>
          <w:szCs w:val="28"/>
        </w:rPr>
      </w:pPr>
      <w:bookmarkStart w:id="270" w:name="_Hlk7343549"/>
    </w:p>
    <w:p w14:paraId="50DA2D35" w14:textId="47C692B0" w:rsidR="00EF1133" w:rsidRDefault="00EF1133" w:rsidP="00EF1133">
      <w:pPr>
        <w:rPr>
          <w:rFonts w:ascii="Arial Black" w:eastAsia="Times New Roman" w:hAnsi="Arial Black"/>
          <w:sz w:val="28"/>
          <w:szCs w:val="28"/>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6</w:t>
      </w:r>
    </w:p>
    <w:p w14:paraId="04CF30A8" w14:textId="48932AB5" w:rsidR="00F326E5" w:rsidRPr="008A5B80" w:rsidRDefault="00F326E5" w:rsidP="00F326E5">
      <w:pPr>
        <w:pStyle w:val="NoSpacing"/>
        <w:rPr>
          <w:rFonts w:ascii="Arial Black" w:eastAsia="Times New Roman" w:hAnsi="Arial Black"/>
          <w:sz w:val="28"/>
          <w:szCs w:val="28"/>
        </w:rPr>
      </w:pPr>
      <w:r w:rsidRPr="008A5B80">
        <w:rPr>
          <w:rFonts w:ascii="Arial Black" w:eastAsia="Times New Roman" w:hAnsi="Arial Black"/>
          <w:sz w:val="28"/>
          <w:szCs w:val="28"/>
        </w:rPr>
        <w:t>NJ: BOROUGH CANNOT ENFORCE $5,000 PENALTY – PROB</w:t>
      </w:r>
      <w:r>
        <w:rPr>
          <w:rFonts w:ascii="Arial Black" w:eastAsia="Times New Roman" w:hAnsi="Arial Black"/>
          <w:sz w:val="28"/>
          <w:szCs w:val="28"/>
        </w:rPr>
        <w:t xml:space="preserve">. POLICE OFFICER </w:t>
      </w:r>
      <w:r w:rsidRPr="008A5B80">
        <w:rPr>
          <w:rFonts w:ascii="Arial Black" w:eastAsia="Times New Roman" w:hAnsi="Arial Black"/>
          <w:sz w:val="28"/>
          <w:szCs w:val="28"/>
        </w:rPr>
        <w:t xml:space="preserve">JOINS ANOTHER PD </w:t>
      </w:r>
    </w:p>
    <w:p w14:paraId="445E9BAE" w14:textId="77777777" w:rsidR="009F1927" w:rsidRDefault="00F326E5" w:rsidP="00F326E5">
      <w:pPr>
        <w:pStyle w:val="NoSpacing"/>
        <w:rPr>
          <w:rFonts w:ascii="Times New Roman" w:eastAsia="Times New Roman" w:hAnsi="Times New Roman"/>
          <w:sz w:val="24"/>
          <w:szCs w:val="24"/>
        </w:rPr>
      </w:pPr>
      <w:r w:rsidRPr="009F1927">
        <w:rPr>
          <w:rFonts w:ascii="Times New Roman" w:eastAsia="Times New Roman" w:hAnsi="Times New Roman"/>
          <w:sz w:val="24"/>
          <w:szCs w:val="24"/>
        </w:rPr>
        <w:t xml:space="preserve">On June 21, 2018, in </w:t>
      </w:r>
      <w:r w:rsidRPr="009F1927">
        <w:rPr>
          <w:rFonts w:ascii="Times New Roman" w:eastAsia="Times New Roman" w:hAnsi="Times New Roman"/>
          <w:sz w:val="24"/>
          <w:szCs w:val="24"/>
          <w:u w:val="single"/>
        </w:rPr>
        <w:t>Borough of Madison v. Kevin Marhefka</w:t>
      </w:r>
      <w:r w:rsidRPr="009F1927">
        <w:rPr>
          <w:rFonts w:ascii="Times New Roman" w:eastAsia="Times New Roman" w:hAnsi="Times New Roman"/>
          <w:sz w:val="24"/>
          <w:szCs w:val="24"/>
        </w:rPr>
        <w:t xml:space="preserve">, the Superior Court of New Jersey / Appellate Division (2 to 0) held </w:t>
      </w:r>
    </w:p>
    <w:p w14:paraId="1B8A54DB" w14:textId="545B0F16" w:rsidR="00F326E5" w:rsidRPr="009F1927" w:rsidRDefault="00F326E5" w:rsidP="009F1927">
      <w:pPr>
        <w:pStyle w:val="NoSpacing"/>
        <w:ind w:left="720"/>
        <w:rPr>
          <w:rFonts w:ascii="Times New Roman" w:eastAsia="Times New Roman" w:hAnsi="Times New Roman"/>
          <w:sz w:val="24"/>
          <w:szCs w:val="24"/>
        </w:rPr>
      </w:pPr>
      <w:r w:rsidRPr="009F1927">
        <w:rPr>
          <w:rFonts w:ascii="Times New Roman" w:eastAsia="Times New Roman" w:hAnsi="Times New Roman"/>
          <w:sz w:val="24"/>
          <w:szCs w:val="24"/>
        </w:rPr>
        <w:t xml:space="preserve">“As the Borough's complaint sought only to collect that unenforceable $5000 penalty, the complaint was properly dismissed with prejudice regardless of whether the penalty was negotiated with the PBA.” </w:t>
      </w:r>
      <w:hyperlink r:id="rId1269" w:history="1">
        <w:r w:rsidRPr="009F1927">
          <w:rPr>
            <w:rStyle w:val="Hyperlink"/>
            <w:rFonts w:ascii="Times New Roman" w:hAnsi="Times New Roman"/>
            <w:sz w:val="24"/>
            <w:szCs w:val="24"/>
          </w:rPr>
          <w:t>https://www.njcourts.gov/attorneys/assets/opinions/appellate/unpublished/a5206-15.pdf?cacheID=tO9Al6f</w:t>
        </w:r>
      </w:hyperlink>
      <w:r w:rsidRPr="009F1927">
        <w:rPr>
          <w:rFonts w:ascii="Times New Roman" w:eastAsia="Times New Roman" w:hAnsi="Times New Roman"/>
          <w:sz w:val="24"/>
          <w:szCs w:val="24"/>
        </w:rPr>
        <w:t xml:space="preserve"> </w:t>
      </w:r>
    </w:p>
    <w:p w14:paraId="4644B185" w14:textId="77777777" w:rsidR="009F1927" w:rsidRDefault="009F1927" w:rsidP="00F326E5">
      <w:pPr>
        <w:rPr>
          <w:rFonts w:ascii="Times New Roman" w:eastAsia="Times New Roman" w:hAnsi="Times New Roman"/>
          <w:b/>
          <w:sz w:val="24"/>
          <w:szCs w:val="24"/>
        </w:rPr>
      </w:pPr>
    </w:p>
    <w:p w14:paraId="24E61566" w14:textId="6426F9A9"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Penalties for resigning to take a new job are often challenged, and difficult to enforce, as compared to reimbursement for training costs and equipment. Some states impose training costs on the new public employer, such as NJ (2013 statute).</w:t>
      </w:r>
    </w:p>
    <w:p w14:paraId="29CFBA9B" w14:textId="77777777" w:rsidR="00F326E5" w:rsidRPr="00776A71" w:rsidRDefault="00F326E5" w:rsidP="00F326E5">
      <w:pPr>
        <w:pStyle w:val="NormalWeb"/>
        <w:ind w:firstLine="720"/>
        <w:rPr>
          <w:bCs/>
        </w:rPr>
      </w:pPr>
      <w:hyperlink r:id="rId1270" w:history="1">
        <w:r w:rsidRPr="00776A71">
          <w:rPr>
            <w:rStyle w:val="Hyperlink"/>
          </w:rPr>
          <w:t>https://law.justia.com/codes/new-jersey/2013/title-40a/section-40a-14-178/</w:t>
        </w:r>
      </w:hyperlink>
      <w:r w:rsidRPr="00776A71">
        <w:rPr>
          <w:bCs/>
        </w:rPr>
        <w:t xml:space="preserve"> </w:t>
      </w:r>
    </w:p>
    <w:p w14:paraId="213689E7" w14:textId="77777777" w:rsidR="00F326E5" w:rsidRPr="00776A71" w:rsidRDefault="00F326E5" w:rsidP="00F326E5">
      <w:pPr>
        <w:pStyle w:val="NormalWeb"/>
        <w:ind w:left="720"/>
        <w:rPr>
          <w:bCs/>
        </w:rPr>
      </w:pPr>
      <w:r w:rsidRPr="00776A71">
        <w:rPr>
          <w:bCs/>
        </w:rPr>
        <w:t>40A:14-178 Liability for training costs; terms defined.</w:t>
      </w:r>
      <w:r w:rsidRPr="00776A71">
        <w:br/>
      </w:r>
      <w:r w:rsidRPr="00776A71">
        <w:br/>
        <w:t>1. a. Whenever a person who resigned as a member of a county or municipal law enforcement agency is appointed to another county or municipal law enforcement agency, the police department of an educational institution pursuant to P.L.1970, c.211 (C.18A:6-4.2 et seq.), a State law enforcement agency or the New Jersey Transit Police Department pursuant to section 2 of P.L.1989, c.291 (C.27:25-15.1) within 120 days of resignation, and that person held a probationary appointment at the time of resignation or held a permanent appointment for 30 days or less prior to resignation, the county or municipal law enforcement agency, educational institution or State law enforcement agency appointing the person, or the New Jersey Transit Corporation, is liable to the former county or municipal employer, as appropriate, for the total certified costs incurred by the former employer in the examination, hiring, and training of the person.</w:t>
      </w:r>
    </w:p>
    <w:bookmarkEnd w:id="270"/>
    <w:p w14:paraId="00832108" w14:textId="77777777" w:rsidR="005353F2" w:rsidRDefault="005353F2" w:rsidP="00F326E5">
      <w:pPr>
        <w:pStyle w:val="NoSpacing"/>
        <w:rPr>
          <w:sz w:val="24"/>
          <w:szCs w:val="24"/>
        </w:rPr>
      </w:pPr>
    </w:p>
    <w:p w14:paraId="587B0A56" w14:textId="77777777" w:rsidR="00F27CD5" w:rsidRDefault="00F27CD5" w:rsidP="00EF1133">
      <w:pPr>
        <w:rPr>
          <w:rFonts w:ascii="Arial Black" w:hAnsi="Arial Black"/>
          <w:b/>
          <w:sz w:val="24"/>
          <w:szCs w:val="24"/>
        </w:rPr>
      </w:pPr>
    </w:p>
    <w:p w14:paraId="54B7D71C" w14:textId="36AAFB64" w:rsidR="005353F2" w:rsidRDefault="00EF1133" w:rsidP="00EF1133">
      <w:pPr>
        <w:rPr>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5</w:t>
      </w:r>
    </w:p>
    <w:p w14:paraId="20F0DA8E" w14:textId="77777777" w:rsidR="005353F2" w:rsidRDefault="005353F2" w:rsidP="00F326E5">
      <w:pPr>
        <w:pStyle w:val="NoSpacing"/>
        <w:rPr>
          <w:sz w:val="24"/>
          <w:szCs w:val="24"/>
        </w:rPr>
      </w:pPr>
    </w:p>
    <w:p w14:paraId="4455223C" w14:textId="1025DB87" w:rsidR="00F326E5" w:rsidRDefault="00F326E5" w:rsidP="00F326E5">
      <w:pPr>
        <w:pStyle w:val="NoSpacing"/>
        <w:rPr>
          <w:rFonts w:ascii="Arial Black" w:hAnsi="Arial Black"/>
          <w:b/>
          <w:sz w:val="28"/>
          <w:szCs w:val="28"/>
        </w:rPr>
      </w:pPr>
      <w:bookmarkStart w:id="271" w:name="_Hlk7343575"/>
      <w:r w:rsidRPr="009C2749">
        <w:rPr>
          <w:rFonts w:ascii="Arial Black" w:hAnsi="Arial Black"/>
          <w:b/>
          <w:sz w:val="28"/>
          <w:szCs w:val="28"/>
        </w:rPr>
        <w:t>VA</w:t>
      </w:r>
      <w:r>
        <w:rPr>
          <w:rFonts w:ascii="Arial Black" w:hAnsi="Arial Black"/>
          <w:b/>
          <w:sz w:val="28"/>
          <w:szCs w:val="28"/>
        </w:rPr>
        <w:t xml:space="preserve">: THROAT CANCER – RETIRED FF GETS WORKERS COMP – BUT NOT HEALTH INSURANCE </w:t>
      </w:r>
    </w:p>
    <w:p w14:paraId="0BFC0DE7" w14:textId="757E1C74" w:rsidR="00F326E5" w:rsidRPr="009F1927" w:rsidRDefault="00F326E5" w:rsidP="00F326E5">
      <w:pPr>
        <w:rPr>
          <w:rStyle w:val="Hyperlink"/>
          <w:rFonts w:ascii="Times New Roman" w:hAnsi="Times New Roman"/>
          <w:sz w:val="24"/>
          <w:szCs w:val="24"/>
        </w:rPr>
      </w:pPr>
      <w:r w:rsidRPr="009F1927">
        <w:rPr>
          <w:rFonts w:ascii="Times New Roman" w:eastAsia="Times New Roman" w:hAnsi="Times New Roman"/>
          <w:sz w:val="24"/>
          <w:szCs w:val="24"/>
        </w:rPr>
        <w:t xml:space="preserve">On June 7, 2018, in </w:t>
      </w:r>
      <w:r w:rsidRPr="009F1927">
        <w:rPr>
          <w:rFonts w:ascii="Times New Roman" w:eastAsia="Times New Roman" w:hAnsi="Times New Roman"/>
          <w:sz w:val="24"/>
          <w:szCs w:val="24"/>
          <w:u w:val="single"/>
        </w:rPr>
        <w:t>Eddie R. Jones, Sr. v. Commonwealth of Virginia</w:t>
      </w:r>
      <w:r w:rsidRPr="009F1927">
        <w:rPr>
          <w:rFonts w:ascii="Times New Roman" w:eastAsia="Times New Roman" w:hAnsi="Times New Roman"/>
          <w:sz w:val="24"/>
          <w:szCs w:val="24"/>
        </w:rPr>
        <w:t xml:space="preserve">, the VA Supreme Court (7 to 0) held: “Throat cancer is properly considered an occupational disease which arose out of Jones’s employment. He is entitled to and has been awarded benefits under the Workers’ Compensation Act. However, the occupational disease did not result in a disability while Jones was still carrying out his duties as a firefighter. Therefore, he is not entitled to insurance benefits under Code § 9.1-401(B), because he does not meet the definition of a ‘disabled person’ under the Act.”   </w:t>
      </w:r>
      <w:r w:rsidRPr="009F1927">
        <w:rPr>
          <w:rStyle w:val="Hyperlink"/>
          <w:rFonts w:ascii="Times New Roman" w:hAnsi="Times New Roman"/>
          <w:sz w:val="24"/>
          <w:szCs w:val="24"/>
        </w:rPr>
        <w:t>http://www.courts.state.va.us/opinions/opnscvwp/1170639.pdf</w:t>
      </w:r>
    </w:p>
    <w:p w14:paraId="5FAE139C"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 xml:space="preserve">Legal Lessons Learned: At least 34 states have now enacted statutory presumptions, with wide variety of coverages.  This case illustrates the importance of clear statutory language about disability benefits when cancer is detected after retirement. </w:t>
      </w:r>
    </w:p>
    <w:p w14:paraId="34332675" w14:textId="77777777" w:rsidR="00F326E5" w:rsidRPr="009F1927" w:rsidRDefault="00F326E5" w:rsidP="00F326E5">
      <w:pPr>
        <w:ind w:firstLine="720"/>
        <w:rPr>
          <w:rFonts w:ascii="Times New Roman" w:eastAsia="Times New Roman" w:hAnsi="Times New Roman"/>
          <w:sz w:val="24"/>
          <w:szCs w:val="24"/>
        </w:rPr>
      </w:pPr>
      <w:r w:rsidRPr="009F1927">
        <w:rPr>
          <w:rFonts w:ascii="Times New Roman" w:eastAsia="Times New Roman" w:hAnsi="Times New Roman"/>
          <w:sz w:val="24"/>
          <w:szCs w:val="24"/>
        </w:rPr>
        <w:t xml:space="preserve">See these resources: </w:t>
      </w:r>
    </w:p>
    <w:p w14:paraId="295727BA" w14:textId="77777777" w:rsidR="00F326E5" w:rsidRPr="009F1927" w:rsidRDefault="00F326E5" w:rsidP="00F326E5">
      <w:pPr>
        <w:ind w:firstLine="720"/>
        <w:rPr>
          <w:rStyle w:val="Hyperlink"/>
          <w:rFonts w:ascii="Times New Roman" w:hAnsi="Times New Roman"/>
          <w:sz w:val="24"/>
          <w:szCs w:val="24"/>
        </w:rPr>
      </w:pPr>
      <w:hyperlink r:id="rId1271" w:anchor="contentid=48598" w:history="1">
        <w:r w:rsidRPr="009F1927">
          <w:rPr>
            <w:rStyle w:val="Hyperlink"/>
            <w:rFonts w:ascii="Times New Roman" w:hAnsi="Times New Roman"/>
            <w:sz w:val="24"/>
            <w:szCs w:val="24"/>
          </w:rPr>
          <w:t>http://client.prod.iaff.org/#contentid=48598</w:t>
        </w:r>
      </w:hyperlink>
      <w:r w:rsidRPr="009F1927">
        <w:rPr>
          <w:rStyle w:val="Hyperlink"/>
          <w:rFonts w:ascii="Times New Roman" w:hAnsi="Times New Roman"/>
          <w:sz w:val="24"/>
          <w:szCs w:val="24"/>
        </w:rPr>
        <w:t>;</w:t>
      </w:r>
    </w:p>
    <w:p w14:paraId="0F9BE084" w14:textId="77777777" w:rsidR="00F326E5" w:rsidRPr="009F1927" w:rsidRDefault="00F326E5" w:rsidP="00F326E5">
      <w:pPr>
        <w:ind w:left="720"/>
        <w:rPr>
          <w:rFonts w:ascii="Times New Roman" w:eastAsia="Times New Roman" w:hAnsi="Times New Roman"/>
          <w:sz w:val="24"/>
          <w:szCs w:val="24"/>
        </w:rPr>
      </w:pPr>
      <w:hyperlink r:id="rId1272" w:history="1">
        <w:r w:rsidRPr="009F1927">
          <w:rPr>
            <w:rStyle w:val="Hyperlink"/>
            <w:rFonts w:ascii="Times New Roman" w:hAnsi="Times New Roman"/>
            <w:sz w:val="24"/>
            <w:szCs w:val="24"/>
          </w:rPr>
          <w:t>https://legislature.vermont.gov/assets/Documents/2018/WorkGroups/House%20Commerce/Bills/H.197/H.197~Laura%20Backus%20Hall~NCCI%20White%20Paper%20on%20Firefighter%20Presumptive%20Coverage~3-16-2017.pdf</w:t>
        </w:r>
      </w:hyperlink>
      <w:r w:rsidRPr="009F1927">
        <w:rPr>
          <w:rFonts w:ascii="Times New Roman" w:eastAsia="Times New Roman" w:hAnsi="Times New Roman"/>
          <w:sz w:val="24"/>
          <w:szCs w:val="24"/>
        </w:rPr>
        <w:t xml:space="preserve"> </w:t>
      </w:r>
    </w:p>
    <w:p w14:paraId="6A00E88A" w14:textId="77777777" w:rsidR="00F326E5" w:rsidRPr="009F1927" w:rsidRDefault="00F326E5" w:rsidP="00F326E5">
      <w:pPr>
        <w:ind w:firstLine="720"/>
        <w:rPr>
          <w:rFonts w:ascii="Times New Roman" w:eastAsia="Times New Roman" w:hAnsi="Times New Roman"/>
          <w:sz w:val="24"/>
          <w:szCs w:val="24"/>
        </w:rPr>
      </w:pPr>
      <w:hyperlink r:id="rId1273" w:history="1">
        <w:r w:rsidRPr="009F1927">
          <w:rPr>
            <w:rStyle w:val="Hyperlink"/>
            <w:rFonts w:ascii="Times New Roman" w:hAnsi="Times New Roman"/>
            <w:sz w:val="24"/>
            <w:szCs w:val="24"/>
          </w:rPr>
          <w:t>http://tkolb.net/firereports/presumptionreport2009.pdf</w:t>
        </w:r>
      </w:hyperlink>
      <w:r w:rsidRPr="009F1927">
        <w:rPr>
          <w:rFonts w:ascii="Times New Roman" w:eastAsia="Times New Roman" w:hAnsi="Times New Roman"/>
          <w:sz w:val="24"/>
          <w:szCs w:val="24"/>
        </w:rPr>
        <w:t xml:space="preserve"> </w:t>
      </w:r>
    </w:p>
    <w:p w14:paraId="3FE5E600" w14:textId="77777777" w:rsidR="00F326E5" w:rsidRPr="009F2867" w:rsidRDefault="00F326E5" w:rsidP="00F326E5">
      <w:pPr>
        <w:ind w:left="720"/>
        <w:rPr>
          <w:rFonts w:eastAsia="Times New Roman"/>
          <w:sz w:val="24"/>
          <w:szCs w:val="24"/>
        </w:rPr>
      </w:pPr>
      <w:hyperlink r:id="rId1274" w:history="1">
        <w:r w:rsidRPr="009F2867">
          <w:rPr>
            <w:rStyle w:val="Hyperlink"/>
            <w:sz w:val="24"/>
            <w:szCs w:val="24"/>
          </w:rPr>
          <w:t>https://www.firstrespondercenter.org/cancer/toolsresources/presumptive-legislation-firefighter-cancer-state/</w:t>
        </w:r>
      </w:hyperlink>
      <w:r w:rsidRPr="009F2867">
        <w:rPr>
          <w:rFonts w:eastAsia="Times New Roman"/>
          <w:sz w:val="24"/>
          <w:szCs w:val="24"/>
        </w:rPr>
        <w:t xml:space="preserve"> </w:t>
      </w:r>
    </w:p>
    <w:bookmarkEnd w:id="271"/>
    <w:p w14:paraId="5B39C82D" w14:textId="77777777" w:rsidR="00EF1133" w:rsidRDefault="00EF1133" w:rsidP="00F326E5">
      <w:pPr>
        <w:rPr>
          <w:rFonts w:ascii="Arial Black" w:hAnsi="Arial Black"/>
          <w:b/>
          <w:sz w:val="24"/>
          <w:szCs w:val="24"/>
        </w:rPr>
      </w:pPr>
    </w:p>
    <w:p w14:paraId="71B56F1B" w14:textId="2833831D" w:rsidR="00F326E5" w:rsidRPr="00145CFB" w:rsidRDefault="00EF1133" w:rsidP="00F326E5">
      <w:pPr>
        <w:rPr>
          <w:rFonts w:eastAsia="Times New Roman"/>
          <w:b/>
          <w:sz w:val="24"/>
          <w:szCs w:val="24"/>
        </w:rPr>
      </w:pPr>
      <w:r>
        <w:rPr>
          <w:rFonts w:ascii="Arial Black" w:hAnsi="Arial Black"/>
          <w:b/>
          <w:sz w:val="24"/>
          <w:szCs w:val="24"/>
        </w:rPr>
        <w:lastRenderedPageBreak/>
        <w:t>6</w:t>
      </w:r>
      <w:r w:rsidRPr="00EF1133">
        <w:rPr>
          <w:rFonts w:ascii="Arial Black" w:hAnsi="Arial Black"/>
          <w:b/>
          <w:sz w:val="24"/>
          <w:szCs w:val="24"/>
        </w:rPr>
        <w:t>-</w:t>
      </w:r>
      <w:r>
        <w:rPr>
          <w:rFonts w:ascii="Arial Black" w:hAnsi="Arial Black"/>
          <w:b/>
          <w:sz w:val="24"/>
          <w:szCs w:val="24"/>
        </w:rPr>
        <w:t>4</w:t>
      </w:r>
    </w:p>
    <w:p w14:paraId="5874483B" w14:textId="1763902E" w:rsidR="00F326E5" w:rsidRPr="00512C93" w:rsidRDefault="00F326E5" w:rsidP="00F326E5">
      <w:pPr>
        <w:pStyle w:val="NoSpacing"/>
        <w:rPr>
          <w:rFonts w:ascii="Arial Black" w:hAnsi="Arial Black"/>
          <w:b/>
          <w:sz w:val="28"/>
          <w:szCs w:val="28"/>
        </w:rPr>
      </w:pPr>
      <w:bookmarkStart w:id="272" w:name="_Hlk7343609"/>
      <w:r w:rsidRPr="00512C93">
        <w:rPr>
          <w:rFonts w:ascii="Arial Black" w:hAnsi="Arial Black"/>
          <w:b/>
          <w:sz w:val="28"/>
          <w:szCs w:val="28"/>
        </w:rPr>
        <w:t>PA</w:t>
      </w:r>
      <w:r>
        <w:rPr>
          <w:rFonts w:ascii="Arial Black" w:hAnsi="Arial Black"/>
          <w:b/>
          <w:sz w:val="28"/>
          <w:szCs w:val="28"/>
        </w:rPr>
        <w:t xml:space="preserve">: </w:t>
      </w:r>
      <w:r w:rsidR="005353F2">
        <w:rPr>
          <w:rFonts w:ascii="Arial Black" w:hAnsi="Arial Black"/>
          <w:b/>
          <w:sz w:val="28"/>
          <w:szCs w:val="28"/>
        </w:rPr>
        <w:t xml:space="preserve">BREAST </w:t>
      </w:r>
      <w:r w:rsidRPr="00512C93">
        <w:rPr>
          <w:rFonts w:ascii="Arial Black" w:hAnsi="Arial Black"/>
          <w:b/>
          <w:sz w:val="28"/>
          <w:szCs w:val="28"/>
        </w:rPr>
        <w:t>C</w:t>
      </w:r>
      <w:r>
        <w:rPr>
          <w:rFonts w:ascii="Arial Black" w:hAnsi="Arial Black"/>
          <w:b/>
          <w:sz w:val="28"/>
          <w:szCs w:val="28"/>
        </w:rPr>
        <w:t>ANCER – RETIRED FF GETS MEDICAL COVERAGE BACK TO DATE OF RETIREMENT</w:t>
      </w:r>
    </w:p>
    <w:p w14:paraId="48A8ED2A" w14:textId="77777777" w:rsidR="009F1927" w:rsidRDefault="00F326E5" w:rsidP="00F326E5">
      <w:pPr>
        <w:rPr>
          <w:rFonts w:ascii="Times New Roman" w:eastAsia="Times New Roman" w:hAnsi="Times New Roman"/>
          <w:sz w:val="24"/>
          <w:szCs w:val="24"/>
        </w:rPr>
      </w:pPr>
      <w:r w:rsidRPr="009F1927">
        <w:rPr>
          <w:rFonts w:ascii="Times New Roman" w:eastAsia="Times New Roman" w:hAnsi="Times New Roman"/>
          <w:sz w:val="24"/>
          <w:szCs w:val="24"/>
        </w:rPr>
        <w:t xml:space="preserve">On June 1, 2018, in </w:t>
      </w:r>
      <w:r w:rsidRPr="009F1927">
        <w:rPr>
          <w:rFonts w:ascii="Times New Roman" w:eastAsia="Times New Roman" w:hAnsi="Times New Roman"/>
          <w:sz w:val="24"/>
          <w:szCs w:val="24"/>
          <w:u w:val="single"/>
        </w:rPr>
        <w:t>City of Pittsburg and UPMC Benefit Management Systems, Inv. v. Workers Compensation Appeal Board (Flaherty</w:t>
      </w:r>
      <w:r w:rsidRPr="009F1927">
        <w:rPr>
          <w:rFonts w:ascii="Times New Roman" w:eastAsia="Times New Roman" w:hAnsi="Times New Roman"/>
          <w:sz w:val="24"/>
          <w:szCs w:val="24"/>
        </w:rPr>
        <w:t xml:space="preserve">), the Commonwealth Court of Pennsylvania upheld (3 to 0) the Board, </w:t>
      </w:r>
    </w:p>
    <w:p w14:paraId="0003EF28" w14:textId="6F23BA24" w:rsidR="00F326E5" w:rsidRPr="009F1927" w:rsidRDefault="00F326E5" w:rsidP="009F1927">
      <w:pPr>
        <w:ind w:left="720"/>
        <w:rPr>
          <w:rFonts w:ascii="Times New Roman" w:hAnsi="Times New Roman"/>
          <w:sz w:val="24"/>
          <w:szCs w:val="24"/>
        </w:rPr>
      </w:pPr>
      <w:r w:rsidRPr="009F1927">
        <w:rPr>
          <w:rFonts w:ascii="Times New Roman" w:eastAsia="Times New Roman" w:hAnsi="Times New Roman"/>
          <w:sz w:val="24"/>
          <w:szCs w:val="24"/>
        </w:rPr>
        <w:t>“</w:t>
      </w:r>
      <w:proofErr w:type="gramStart"/>
      <w:r w:rsidRPr="009F1927">
        <w:rPr>
          <w:rFonts w:ascii="Times New Roman" w:hAnsi="Times New Roman"/>
          <w:sz w:val="24"/>
          <w:szCs w:val="24"/>
        </w:rPr>
        <w:t>holding</w:t>
      </w:r>
      <w:proofErr w:type="gramEnd"/>
      <w:r w:rsidRPr="009F1927">
        <w:rPr>
          <w:rFonts w:ascii="Times New Roman" w:hAnsi="Times New Roman"/>
          <w:sz w:val="24"/>
          <w:szCs w:val="24"/>
        </w:rPr>
        <w:t xml:space="preserve"> that Anne Marie Flaherty (Claimant) gave notice to Employer within 21 days of when she knew or should have known that her cancer was work-related. Because Claimant gave notice within 21 days, she was entitled to benefits from September 10, 2004, the date she left </w:t>
      </w:r>
      <w:proofErr w:type="gramStart"/>
      <w:r w:rsidRPr="009F1927">
        <w:rPr>
          <w:rFonts w:ascii="Times New Roman" w:hAnsi="Times New Roman"/>
          <w:sz w:val="24"/>
          <w:szCs w:val="24"/>
        </w:rPr>
        <w:t>work</w:t>
      </w:r>
      <w:proofErr w:type="gramEnd"/>
      <w:r w:rsidRPr="009F1927">
        <w:rPr>
          <w:rFonts w:ascii="Times New Roman" w:hAnsi="Times New Roman"/>
          <w:sz w:val="24"/>
          <w:szCs w:val="24"/>
        </w:rPr>
        <w:t xml:space="preserve"> due to her injury, as opposed to September 23, 2011, the date she filed her claim petition.” </w:t>
      </w:r>
      <w:hyperlink r:id="rId1275" w:history="1">
        <w:r w:rsidRPr="009F1927">
          <w:rPr>
            <w:rStyle w:val="Hyperlink"/>
            <w:rFonts w:ascii="Times New Roman" w:hAnsi="Times New Roman"/>
            <w:sz w:val="24"/>
            <w:szCs w:val="24"/>
          </w:rPr>
          <w:t>https://caselaw.findlaw.com/pa-commonwealth-court/1897108.html</w:t>
        </w:r>
      </w:hyperlink>
      <w:r w:rsidRPr="009F1927">
        <w:rPr>
          <w:rFonts w:ascii="Times New Roman" w:hAnsi="Times New Roman"/>
          <w:sz w:val="24"/>
          <w:szCs w:val="24"/>
        </w:rPr>
        <w:t xml:space="preserve"> </w:t>
      </w:r>
    </w:p>
    <w:p w14:paraId="31FA7E57"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Timely notice of claim is important, even with statutory presumption.</w:t>
      </w:r>
    </w:p>
    <w:bookmarkEnd w:id="272"/>
    <w:p w14:paraId="71CD9AE8" w14:textId="77777777" w:rsidR="00F326E5" w:rsidRPr="009F2867" w:rsidRDefault="00F326E5" w:rsidP="00F326E5">
      <w:pPr>
        <w:pStyle w:val="NoSpacing"/>
        <w:rPr>
          <w:rFonts w:ascii="Arial Black" w:hAnsi="Arial Black"/>
          <w:b/>
          <w:sz w:val="24"/>
          <w:szCs w:val="24"/>
        </w:rPr>
      </w:pPr>
    </w:p>
    <w:p w14:paraId="77BCB2FF" w14:textId="77777777" w:rsidR="00F326E5" w:rsidRPr="009F2867" w:rsidRDefault="00F326E5" w:rsidP="00F326E5">
      <w:pPr>
        <w:pStyle w:val="NoSpacing"/>
        <w:rPr>
          <w:b/>
          <w:sz w:val="24"/>
          <w:szCs w:val="24"/>
        </w:rPr>
      </w:pPr>
    </w:p>
    <w:p w14:paraId="18635B1C" w14:textId="77777777" w:rsidR="00F27CD5" w:rsidRDefault="00F27CD5" w:rsidP="00F326E5">
      <w:pPr>
        <w:rPr>
          <w:rFonts w:ascii="Arial Black" w:hAnsi="Arial Black"/>
          <w:b/>
          <w:sz w:val="24"/>
          <w:szCs w:val="24"/>
        </w:rPr>
      </w:pPr>
    </w:p>
    <w:p w14:paraId="1D2BDAD9" w14:textId="7C95C2E9" w:rsidR="00F326E5" w:rsidRDefault="00EF1133" w:rsidP="00F326E5">
      <w:pPr>
        <w:rPr>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3</w:t>
      </w:r>
    </w:p>
    <w:p w14:paraId="36777433" w14:textId="619EE8C9" w:rsidR="00F326E5" w:rsidRPr="009F2867" w:rsidRDefault="00F326E5" w:rsidP="00F326E5">
      <w:pPr>
        <w:rPr>
          <w:sz w:val="24"/>
          <w:szCs w:val="24"/>
        </w:rPr>
      </w:pPr>
      <w:bookmarkStart w:id="273" w:name="_Hlk7343690"/>
      <w:r w:rsidRPr="00512C93">
        <w:rPr>
          <w:rFonts w:ascii="Arial Black" w:hAnsi="Arial Black"/>
          <w:b/>
          <w:sz w:val="28"/>
          <w:szCs w:val="28"/>
        </w:rPr>
        <w:t>U.S. S</w:t>
      </w:r>
      <w:r>
        <w:rPr>
          <w:rFonts w:ascii="Arial Black" w:hAnsi="Arial Black"/>
          <w:b/>
          <w:sz w:val="28"/>
          <w:szCs w:val="28"/>
        </w:rPr>
        <w:t xml:space="preserve">UP. COURT – ENFORCES ARBITRATION AGREEMENTS – EMPLOYEE CAN’T SUE </w:t>
      </w:r>
      <w:r w:rsidRPr="009F2867">
        <w:rPr>
          <w:sz w:val="24"/>
          <w:szCs w:val="24"/>
        </w:rPr>
        <w:t>[also filed, Chap. 17]</w:t>
      </w:r>
    </w:p>
    <w:p w14:paraId="1FB1994D" w14:textId="77777777" w:rsidR="00F326E5" w:rsidRP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May 21, 2018, in </w:t>
      </w:r>
      <w:r w:rsidRPr="009F1927">
        <w:rPr>
          <w:rFonts w:ascii="Times New Roman" w:hAnsi="Times New Roman"/>
          <w:sz w:val="24"/>
          <w:szCs w:val="24"/>
          <w:u w:val="single"/>
        </w:rPr>
        <w:t>Epic Systems Corp. v. Lewis</w:t>
      </w:r>
      <w:r w:rsidRPr="009F1927">
        <w:rPr>
          <w:rFonts w:ascii="Times New Roman" w:hAnsi="Times New Roman"/>
          <w:sz w:val="24"/>
          <w:szCs w:val="24"/>
        </w:rPr>
        <w:t>, the U.S. Supreme Court (5 to 4), 584 U.S. ___ (2018), in a decision written by newly appointed Justice Gorsuch, held:</w:t>
      </w:r>
    </w:p>
    <w:p w14:paraId="4405A5B4" w14:textId="77777777" w:rsidR="009F1927" w:rsidRDefault="009F1927" w:rsidP="00F326E5">
      <w:pPr>
        <w:pStyle w:val="NoSpacing"/>
        <w:ind w:left="720"/>
        <w:rPr>
          <w:rFonts w:ascii="Times New Roman" w:eastAsia="Times New Roman" w:hAnsi="Times New Roman"/>
          <w:sz w:val="24"/>
          <w:szCs w:val="24"/>
        </w:rPr>
      </w:pPr>
    </w:p>
    <w:p w14:paraId="7B52F177" w14:textId="2AEC3DA5" w:rsidR="00F326E5" w:rsidRPr="009F1927" w:rsidRDefault="00F326E5" w:rsidP="00F326E5">
      <w:pPr>
        <w:pStyle w:val="NoSpacing"/>
        <w:ind w:left="720"/>
        <w:rPr>
          <w:rFonts w:ascii="Times New Roman" w:hAnsi="Times New Roman"/>
          <w:sz w:val="24"/>
          <w:szCs w:val="24"/>
        </w:rPr>
      </w:pPr>
      <w:r w:rsidRPr="009F1927">
        <w:rPr>
          <w:rFonts w:ascii="Times New Roman" w:eastAsia="Times New Roman" w:hAnsi="Times New Roman"/>
          <w:sz w:val="24"/>
          <w:szCs w:val="24"/>
        </w:rPr>
        <w:t xml:space="preserve">“Should employees and employers be allowed to agree that any disputes between them will be resolved through one-on-one arbitration? Or should employees always be permitted to bring their claims in class or collective actions, no matter what they agreed with their employers?  As a matter of policy these questions are surely debatable. But as a matter of law the answer is clear. In the Federal Arbitration Act, Congress has instructed federal courts to enforce arbitration agreements according to their terms—including terms providing for individualized proceedings.” </w:t>
      </w:r>
      <w:hyperlink r:id="rId1276" w:history="1">
        <w:r w:rsidRPr="009F1927">
          <w:rPr>
            <w:rStyle w:val="Hyperlink"/>
            <w:rFonts w:ascii="Times New Roman" w:hAnsi="Times New Roman"/>
            <w:sz w:val="24"/>
            <w:szCs w:val="24"/>
          </w:rPr>
          <w:t>https://www.supremecourt.gov/opinions/17pdf/16-285_q8l1.pdf</w:t>
        </w:r>
      </w:hyperlink>
    </w:p>
    <w:p w14:paraId="380661E9" w14:textId="77777777" w:rsidR="00F326E5" w:rsidRPr="009F1927" w:rsidRDefault="00F326E5" w:rsidP="00F326E5">
      <w:pPr>
        <w:pStyle w:val="statutory-body-3em"/>
        <w:rPr>
          <w:b/>
        </w:rPr>
      </w:pPr>
      <w:r w:rsidRPr="009F1927">
        <w:rPr>
          <w:b/>
        </w:rPr>
        <w:t xml:space="preserve">Legal Lessons Learned:  This decision is one of the most important businesses cases before the Court.  Many employers, including private ambulance companies, will now be encouraged to have new hires sign an arbitration document.  </w:t>
      </w:r>
    </w:p>
    <w:p w14:paraId="67E6EEE6" w14:textId="77777777" w:rsidR="00F326E5" w:rsidRPr="00776A71" w:rsidRDefault="00F326E5" w:rsidP="00F326E5">
      <w:pPr>
        <w:pStyle w:val="statutory-body-3em"/>
        <w:ind w:left="720"/>
      </w:pPr>
      <w:r w:rsidRPr="00776A71">
        <w:t xml:space="preserve">AFL-CIO President Richard Trauma was quoted, “Five justices on the Supreme Court decided that it is acceptable for working people to have their legal rights taken away by corporations in order to keep their jobs.” </w:t>
      </w:r>
      <w:hyperlink r:id="rId1277" w:history="1">
        <w:r w:rsidRPr="00776A71">
          <w:rPr>
            <w:rStyle w:val="Hyperlink"/>
          </w:rPr>
          <w:t>https://www.sfgate.com/news/article/Supreme-Court-rules-that-companies-can-require-12931130.php</w:t>
        </w:r>
      </w:hyperlink>
      <w:r w:rsidRPr="00776A71">
        <w:t xml:space="preserve"> </w:t>
      </w:r>
    </w:p>
    <w:p w14:paraId="2167E3CB" w14:textId="77777777" w:rsidR="00F326E5" w:rsidRPr="009F2867" w:rsidRDefault="00F326E5" w:rsidP="00F326E5">
      <w:pPr>
        <w:pStyle w:val="NormalWeb"/>
        <w:ind w:left="720"/>
      </w:pPr>
      <w:r w:rsidRPr="009F1927">
        <w:t xml:space="preserve">Note:  see Jan. 15, 2019 U.S. Supreme Court decision in New Prime, Inc. v. Oliveira, </w:t>
      </w:r>
      <w:r w:rsidRPr="009F1927">
        <w:rPr>
          <w:rStyle w:val="Strong"/>
        </w:rPr>
        <w:t>Holding</w:t>
      </w:r>
      <w:r w:rsidRPr="009F1927">
        <w:t xml:space="preserve">: A court should determine whether the Federal Arbitration Act’s Section 1 exclusion for disputes involving the “contracts of employment” of certain transportation workers applies before ordering arbitration; here, truck driver Dominic Oliveira’s independent contractor operating agreement with New Prime Inc. falls within that exception. </w:t>
      </w:r>
      <w:r w:rsidRPr="009F1927">
        <w:rPr>
          <w:rStyle w:val="Strong"/>
        </w:rPr>
        <w:t>Judgment</w:t>
      </w:r>
      <w:r w:rsidRPr="009F1927">
        <w:t xml:space="preserve">: </w:t>
      </w:r>
      <w:hyperlink r:id="rId1278" w:tgtFrame="_blank" w:history="1">
        <w:r w:rsidRPr="009F1927">
          <w:rPr>
            <w:rStyle w:val="Hyperlink"/>
          </w:rPr>
          <w:t>Affirmed</w:t>
        </w:r>
      </w:hyperlink>
      <w:r w:rsidRPr="009F1927">
        <w:t xml:space="preserve">, 8-0, in an opinion by Justice Gorsuch on January 15, 2019. </w:t>
      </w:r>
      <w:r w:rsidRPr="009F1927">
        <w:lastRenderedPageBreak/>
        <w:t>Justice</w:t>
      </w:r>
      <w:r w:rsidRPr="009F2867">
        <w:t xml:space="preserve"> Ginsburg filed a concurring opinion. Justice Kavanaugh took no part in the consideration or decision of the case. </w:t>
      </w:r>
      <w:hyperlink r:id="rId1279" w:history="1">
        <w:r w:rsidRPr="009F2867">
          <w:rPr>
            <w:rStyle w:val="Hyperlink"/>
          </w:rPr>
          <w:t>https://www.scotusblog.com/case-files/cases/new-prime-inc-v-oliveira/</w:t>
        </w:r>
      </w:hyperlink>
      <w:r w:rsidRPr="009F2867">
        <w:t xml:space="preserve"> </w:t>
      </w:r>
    </w:p>
    <w:p w14:paraId="2CAA8189" w14:textId="77777777" w:rsidR="00EF1133" w:rsidRDefault="00EF1133" w:rsidP="00EF1133">
      <w:pPr>
        <w:rPr>
          <w:rFonts w:ascii="Arial Black" w:hAnsi="Arial Black"/>
          <w:b/>
          <w:sz w:val="24"/>
          <w:szCs w:val="24"/>
        </w:rPr>
      </w:pPr>
      <w:bookmarkStart w:id="274" w:name="_Hlk515004207"/>
      <w:bookmarkEnd w:id="273"/>
    </w:p>
    <w:p w14:paraId="2E1F70BD" w14:textId="3822DDFA" w:rsidR="00F326E5" w:rsidRDefault="00EF1133" w:rsidP="00EF1133">
      <w:pPr>
        <w:rPr>
          <w:b/>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2</w:t>
      </w:r>
    </w:p>
    <w:p w14:paraId="0734C56D" w14:textId="28554A14" w:rsidR="00F326E5" w:rsidRDefault="00F326E5" w:rsidP="00F326E5">
      <w:pPr>
        <w:pStyle w:val="NoSpacing"/>
        <w:rPr>
          <w:rFonts w:ascii="Arial Black" w:hAnsi="Arial Black"/>
          <w:sz w:val="28"/>
          <w:szCs w:val="28"/>
        </w:rPr>
      </w:pPr>
      <w:bookmarkStart w:id="275" w:name="_Hlk7343724"/>
      <w:r>
        <w:rPr>
          <w:rFonts w:ascii="Arial Black" w:hAnsi="Arial Black"/>
          <w:sz w:val="28"/>
          <w:szCs w:val="28"/>
        </w:rPr>
        <w:t>MD: COLLECTIVE BARGAINING – COUNTY MUST BARGAIN OVER CHANGE IN HEALTH INSURANCE BENEFITS</w:t>
      </w:r>
    </w:p>
    <w:bookmarkEnd w:id="274"/>
    <w:p w14:paraId="6588E62D" w14:textId="77777777" w:rsidR="009F1927" w:rsidRDefault="00F326E5" w:rsidP="00F326E5">
      <w:pPr>
        <w:rPr>
          <w:rFonts w:ascii="Times New Roman" w:hAnsi="Times New Roman"/>
          <w:sz w:val="24"/>
          <w:szCs w:val="24"/>
        </w:rPr>
      </w:pPr>
      <w:r w:rsidRPr="009F1927">
        <w:rPr>
          <w:rFonts w:ascii="Times New Roman" w:hAnsi="Times New Roman"/>
          <w:sz w:val="24"/>
          <w:szCs w:val="24"/>
        </w:rPr>
        <w:t xml:space="preserve">On March 28, 2018, in </w:t>
      </w:r>
      <w:r w:rsidRPr="009F1927">
        <w:rPr>
          <w:rFonts w:ascii="Times New Roman" w:hAnsi="Times New Roman"/>
          <w:sz w:val="24"/>
          <w:szCs w:val="24"/>
          <w:u w:val="single"/>
        </w:rPr>
        <w:t>O’Brien Atkinson, et al. v. Anne Arundel County</w:t>
      </w:r>
      <w:r w:rsidRPr="009F1927">
        <w:rPr>
          <w:rFonts w:ascii="Times New Roman" w:hAnsi="Times New Roman"/>
          <w:sz w:val="24"/>
          <w:szCs w:val="24"/>
        </w:rPr>
        <w:t xml:space="preserve">, the Court of Appeals of Maryland, held (3 to 0) that the County cannot unilaterally change health benefits; case is remanded to trial court. </w:t>
      </w:r>
    </w:p>
    <w:p w14:paraId="0E869402" w14:textId="1E029E8A" w:rsidR="00F326E5" w:rsidRPr="009F1927" w:rsidRDefault="00F326E5" w:rsidP="009F1927">
      <w:pPr>
        <w:ind w:left="720"/>
        <w:rPr>
          <w:rFonts w:ascii="Times New Roman" w:hAnsi="Times New Roman"/>
          <w:sz w:val="24"/>
          <w:szCs w:val="24"/>
        </w:rPr>
      </w:pPr>
      <w:r w:rsidRPr="009F1927">
        <w:rPr>
          <w:rFonts w:ascii="Times New Roman" w:hAnsi="Times New Roman"/>
          <w:sz w:val="24"/>
          <w:szCs w:val="24"/>
        </w:rPr>
        <w:t xml:space="preserve">“We leave it to the parties and trial court, applying the balancing test on remand, to ascertain the scope of collective bargaining rights over health insurance benefits as mandated under §§ 811 and 812 of the Charter.” </w:t>
      </w:r>
      <w:hyperlink r:id="rId1280" w:history="1">
        <w:r w:rsidRPr="009F1927">
          <w:rPr>
            <w:rStyle w:val="Hyperlink"/>
            <w:rFonts w:ascii="Times New Roman" w:hAnsi="Times New Roman"/>
            <w:sz w:val="24"/>
            <w:szCs w:val="24"/>
          </w:rPr>
          <w:t>file:///C:/Users/lawre/AppData/Local/Microsoft/Windows/INetCache/IE/CTCRXJ99/0788s16.pdf</w:t>
        </w:r>
      </w:hyperlink>
      <w:r w:rsidRPr="009F1927">
        <w:rPr>
          <w:rFonts w:ascii="Times New Roman" w:hAnsi="Times New Roman"/>
          <w:sz w:val="24"/>
          <w:szCs w:val="24"/>
        </w:rPr>
        <w:t xml:space="preserve"> </w:t>
      </w:r>
    </w:p>
    <w:p w14:paraId="5BE8C70C" w14:textId="77777777" w:rsidR="00F326E5" w:rsidRPr="009F1927" w:rsidRDefault="00F326E5" w:rsidP="00F326E5">
      <w:pPr>
        <w:rPr>
          <w:rFonts w:ascii="Times New Roman" w:hAnsi="Times New Roman"/>
          <w:b/>
          <w:sz w:val="24"/>
          <w:szCs w:val="24"/>
        </w:rPr>
      </w:pPr>
      <w:r w:rsidRPr="009F1927">
        <w:rPr>
          <w:rFonts w:ascii="Times New Roman" w:hAnsi="Times New Roman"/>
          <w:b/>
          <w:sz w:val="24"/>
          <w:szCs w:val="24"/>
        </w:rPr>
        <w:t xml:space="preserve">LEGAL LESSONS LEARNED: The County Charter mandated collective bargaining and arbitration. </w:t>
      </w:r>
    </w:p>
    <w:bookmarkEnd w:id="275"/>
    <w:p w14:paraId="0DFA70BF" w14:textId="77777777" w:rsidR="00EF1133" w:rsidRDefault="00EF1133" w:rsidP="00EF1133">
      <w:pPr>
        <w:rPr>
          <w:rFonts w:ascii="Arial Black" w:hAnsi="Arial Black"/>
          <w:b/>
          <w:sz w:val="24"/>
          <w:szCs w:val="24"/>
        </w:rPr>
      </w:pPr>
    </w:p>
    <w:p w14:paraId="297EB295" w14:textId="77777777" w:rsidR="00F27CD5" w:rsidRDefault="00F27CD5" w:rsidP="00EF1133">
      <w:pPr>
        <w:rPr>
          <w:rFonts w:ascii="Arial Black" w:hAnsi="Arial Black"/>
          <w:b/>
          <w:sz w:val="24"/>
          <w:szCs w:val="24"/>
        </w:rPr>
      </w:pPr>
    </w:p>
    <w:p w14:paraId="5A4F467D" w14:textId="13E09346"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-1</w:t>
      </w:r>
    </w:p>
    <w:p w14:paraId="6C6185C1" w14:textId="48D52178" w:rsidR="00255E41" w:rsidRPr="00255E41" w:rsidRDefault="00F326E5" w:rsidP="00255E41">
      <w:pPr>
        <w:pStyle w:val="NoSpacing"/>
        <w:rPr>
          <w:rFonts w:ascii="Times New Roman" w:hAnsi="Times New Roman"/>
          <w:b/>
          <w:sz w:val="24"/>
          <w:szCs w:val="24"/>
        </w:rPr>
      </w:pPr>
      <w:bookmarkStart w:id="276" w:name="_Hlk515004318"/>
      <w:bookmarkStart w:id="277" w:name="_Hlk7343765"/>
      <w:r>
        <w:rPr>
          <w:rFonts w:ascii="Arial Black" w:hAnsi="Arial Black"/>
          <w:sz w:val="28"/>
          <w:szCs w:val="28"/>
        </w:rPr>
        <w:t>RI: “DISABLED” FF IS VIDEOTAPED WEIGHTLIFTING – DISABILITY PENSION BENEFITS TERMINATED</w:t>
      </w:r>
      <w:r w:rsidR="00255E41">
        <w:rPr>
          <w:rFonts w:ascii="Arial Black" w:hAnsi="Arial Black"/>
          <w:sz w:val="28"/>
          <w:szCs w:val="28"/>
        </w:rPr>
        <w:t xml:space="preserve"> </w:t>
      </w:r>
      <w:r w:rsidR="00255E41" w:rsidRPr="00255E41">
        <w:rPr>
          <w:rFonts w:ascii="Times New Roman" w:hAnsi="Times New Roman"/>
          <w:sz w:val="24"/>
          <w:szCs w:val="24"/>
        </w:rPr>
        <w:t>[also filed, Chap. 16]</w:t>
      </w:r>
    </w:p>
    <w:p w14:paraId="1DB0B58D" w14:textId="299FA3F4" w:rsidR="00F326E5" w:rsidRDefault="00F326E5" w:rsidP="00F326E5">
      <w:pPr>
        <w:pStyle w:val="NoSpacing"/>
        <w:rPr>
          <w:b/>
          <w:sz w:val="24"/>
          <w:szCs w:val="24"/>
        </w:rPr>
      </w:pPr>
    </w:p>
    <w:bookmarkEnd w:id="276"/>
    <w:p w14:paraId="3A4BE366" w14:textId="1AB834EE" w:rsidR="009F1927" w:rsidRDefault="00F326E5" w:rsidP="00F326E5">
      <w:pPr>
        <w:pStyle w:val="NoSpacing"/>
        <w:rPr>
          <w:rFonts w:ascii="Times New Roman" w:hAnsi="Times New Roman"/>
          <w:color w:val="4A4A4A"/>
          <w:sz w:val="24"/>
          <w:szCs w:val="24"/>
          <w:lang w:val="en"/>
        </w:rPr>
      </w:pPr>
      <w:r w:rsidRPr="009F1927">
        <w:rPr>
          <w:rFonts w:ascii="Times New Roman" w:hAnsi="Times New Roman"/>
          <w:color w:val="4A4A4A"/>
          <w:sz w:val="24"/>
          <w:szCs w:val="24"/>
          <w:lang w:val="en"/>
        </w:rPr>
        <w:t xml:space="preserve">On </w:t>
      </w:r>
      <w:bookmarkStart w:id="278" w:name="_Hlk39832586"/>
      <w:r w:rsidRPr="009F1927">
        <w:rPr>
          <w:rFonts w:ascii="Times New Roman" w:hAnsi="Times New Roman"/>
          <w:color w:val="4A4A4A"/>
          <w:sz w:val="24"/>
          <w:szCs w:val="24"/>
          <w:lang w:val="en"/>
        </w:rPr>
        <w:t>Feb. 2</w:t>
      </w:r>
      <w:r w:rsidR="007E6FE3">
        <w:rPr>
          <w:rFonts w:ascii="Times New Roman" w:hAnsi="Times New Roman"/>
          <w:color w:val="4A4A4A"/>
          <w:sz w:val="24"/>
          <w:szCs w:val="24"/>
          <w:lang w:val="en"/>
        </w:rPr>
        <w:t>0</w:t>
      </w:r>
      <w:r w:rsidRPr="009F1927">
        <w:rPr>
          <w:rFonts w:ascii="Times New Roman" w:hAnsi="Times New Roman"/>
          <w:color w:val="4A4A4A"/>
          <w:sz w:val="24"/>
          <w:szCs w:val="24"/>
          <w:lang w:val="en"/>
        </w:rPr>
        <w:t xml:space="preserve">, 2018, in </w:t>
      </w:r>
      <w:r w:rsidRPr="009F1927">
        <w:rPr>
          <w:rFonts w:ascii="Times New Roman" w:hAnsi="Times New Roman"/>
          <w:color w:val="4A4A4A"/>
          <w:sz w:val="24"/>
          <w:szCs w:val="24"/>
          <w:u w:val="single"/>
          <w:lang w:val="en"/>
        </w:rPr>
        <w:t>John Sauro v. James Lombardi, in his capacity as Treasurer of the City of Providence, et al</w:t>
      </w:r>
      <w:bookmarkEnd w:id="278"/>
      <w:r w:rsidRPr="009F1927">
        <w:rPr>
          <w:rFonts w:ascii="Times New Roman" w:hAnsi="Times New Roman"/>
          <w:color w:val="4A4A4A"/>
          <w:sz w:val="24"/>
          <w:szCs w:val="24"/>
          <w:u w:val="single"/>
          <w:lang w:val="en"/>
        </w:rPr>
        <w:t>.</w:t>
      </w:r>
      <w:r w:rsidRPr="009F1927">
        <w:rPr>
          <w:rFonts w:ascii="Times New Roman" w:hAnsi="Times New Roman"/>
          <w:color w:val="4A4A4A"/>
          <w:sz w:val="24"/>
          <w:szCs w:val="24"/>
          <w:lang w:val="en"/>
        </w:rPr>
        <w:t>, the State Supreme Court held,</w:t>
      </w:r>
    </w:p>
    <w:p w14:paraId="49B40278" w14:textId="77777777" w:rsidR="009F1927" w:rsidRDefault="009F1927" w:rsidP="00F326E5">
      <w:pPr>
        <w:pStyle w:val="NoSpacing"/>
        <w:rPr>
          <w:rFonts w:ascii="Times New Roman" w:hAnsi="Times New Roman"/>
          <w:color w:val="4A4A4A"/>
          <w:sz w:val="24"/>
          <w:szCs w:val="24"/>
          <w:lang w:val="en"/>
        </w:rPr>
      </w:pPr>
    </w:p>
    <w:p w14:paraId="1F319853" w14:textId="09BAA657" w:rsidR="00F326E5" w:rsidRPr="009F1927" w:rsidRDefault="00F326E5" w:rsidP="009F1927">
      <w:pPr>
        <w:pStyle w:val="NoSpacing"/>
        <w:ind w:left="720" w:firstLine="60"/>
        <w:rPr>
          <w:rFonts w:ascii="Times New Roman" w:hAnsi="Times New Roman"/>
          <w:sz w:val="24"/>
          <w:szCs w:val="24"/>
        </w:rPr>
      </w:pPr>
      <w:r w:rsidRPr="009F1927">
        <w:rPr>
          <w:rFonts w:ascii="Times New Roman" w:hAnsi="Times New Roman"/>
          <w:color w:val="4A4A4A"/>
          <w:sz w:val="24"/>
          <w:szCs w:val="24"/>
          <w:lang w:val="en"/>
        </w:rPr>
        <w:t>“</w:t>
      </w:r>
      <w:proofErr w:type="gramStart"/>
      <w:r w:rsidRPr="009F1927">
        <w:rPr>
          <w:rFonts w:ascii="Times New Roman" w:hAnsi="Times New Roman"/>
          <w:color w:val="4A4A4A"/>
          <w:sz w:val="24"/>
          <w:szCs w:val="24"/>
          <w:lang w:val="en"/>
        </w:rPr>
        <w:t>we</w:t>
      </w:r>
      <w:proofErr w:type="gramEnd"/>
      <w:r w:rsidRPr="009F1927">
        <w:rPr>
          <w:rFonts w:ascii="Times New Roman" w:hAnsi="Times New Roman"/>
          <w:color w:val="4A4A4A"/>
          <w:sz w:val="24"/>
          <w:szCs w:val="24"/>
          <w:lang w:val="en"/>
        </w:rPr>
        <w:t xml:space="preserve"> conclude that the decision of the trial justice declaring that the plaintiff’s pension benefits should be reinstated and he should be placed on a waiting list to resume active service was erroneous, overlooked material evidence, and was clearly wrong</w:t>
      </w:r>
      <w:hyperlink r:id="rId1281" w:history="1">
        <w:r w:rsidR="007E6FE3" w:rsidRPr="00C200DE">
          <w:rPr>
            <w:rStyle w:val="Hyperlink"/>
            <w:rFonts w:ascii="Times New Roman" w:hAnsi="Times New Roman"/>
            <w:sz w:val="24"/>
            <w:szCs w:val="24"/>
            <w:lang w:val="en"/>
          </w:rPr>
          <w:t>https://www.courts.ri.gov/Courts/SupremeCourt/SupremeOpinions/16-170.pdf</w:t>
        </w:r>
      </w:hyperlink>
      <w:r w:rsidR="007E6FE3">
        <w:rPr>
          <w:rFonts w:ascii="Times New Roman" w:hAnsi="Times New Roman"/>
          <w:color w:val="4A4A4A"/>
          <w:sz w:val="24"/>
          <w:szCs w:val="24"/>
          <w:u w:val="single"/>
          <w:lang w:val="en"/>
        </w:rPr>
        <w:t xml:space="preserve"> </w:t>
      </w:r>
      <w:r w:rsidR="007E6FE3">
        <w:rPr>
          <w:rFonts w:ascii="Times New Roman" w:hAnsi="Times New Roman"/>
          <w:color w:val="4A4A4A"/>
          <w:sz w:val="24"/>
          <w:szCs w:val="24"/>
          <w:lang w:val="en"/>
        </w:rPr>
        <w:t xml:space="preserve"> </w:t>
      </w:r>
    </w:p>
    <w:p w14:paraId="682AC40C" w14:textId="77777777" w:rsidR="009F1927" w:rsidRDefault="009F1927" w:rsidP="00F326E5">
      <w:pPr>
        <w:rPr>
          <w:rFonts w:ascii="Times New Roman" w:hAnsi="Times New Roman"/>
          <w:b/>
          <w:color w:val="4A4A4A"/>
          <w:sz w:val="24"/>
          <w:szCs w:val="24"/>
          <w:lang w:val="en"/>
        </w:rPr>
      </w:pPr>
    </w:p>
    <w:p w14:paraId="4CAD612C" w14:textId="346A2C1A" w:rsidR="00F326E5" w:rsidRPr="009F1927" w:rsidRDefault="00F326E5" w:rsidP="00F326E5">
      <w:pPr>
        <w:rPr>
          <w:rFonts w:ascii="Times New Roman" w:hAnsi="Times New Roman"/>
          <w:b/>
          <w:color w:val="4A4A4A"/>
          <w:sz w:val="24"/>
          <w:szCs w:val="24"/>
          <w:lang w:val="en"/>
        </w:rPr>
      </w:pPr>
      <w:r w:rsidRPr="009F1927">
        <w:rPr>
          <w:rFonts w:ascii="Times New Roman" w:hAnsi="Times New Roman"/>
          <w:b/>
          <w:color w:val="4A4A4A"/>
          <w:sz w:val="24"/>
          <w:szCs w:val="24"/>
          <w:lang w:val="en"/>
        </w:rPr>
        <w:t>LEGAL LESSONS LEARNED:  Accidental disability pension benefits are for those with a continuing work-place injury; cases like this can lead to public perception of pension fraud.</w:t>
      </w:r>
    </w:p>
    <w:bookmarkEnd w:id="277"/>
    <w:p w14:paraId="40D82572" w14:textId="77777777" w:rsidR="00F326E5" w:rsidRPr="009F2867" w:rsidRDefault="00F326E5" w:rsidP="00F326E5">
      <w:pPr>
        <w:rPr>
          <w:rFonts w:ascii="Arial Black" w:hAnsi="Arial Black"/>
          <w:b/>
          <w:sz w:val="40"/>
          <w:szCs w:val="40"/>
        </w:rPr>
      </w:pPr>
    </w:p>
    <w:p w14:paraId="6C2FBDF2" w14:textId="77777777" w:rsidR="007C4C98" w:rsidRDefault="00F326E5" w:rsidP="009F1927">
      <w:pPr>
        <w:rPr>
          <w:rFonts w:ascii="Arial Black" w:hAnsi="Arial Black"/>
          <w:sz w:val="40"/>
          <w:szCs w:val="40"/>
        </w:rPr>
      </w:pPr>
      <w:r>
        <w:rPr>
          <w:rFonts w:ascii="Arial Black" w:hAnsi="Arial Black"/>
          <w:sz w:val="40"/>
          <w:szCs w:val="40"/>
        </w:rPr>
        <w:br w:type="page"/>
      </w:r>
    </w:p>
    <w:p w14:paraId="6B0FDAAC" w14:textId="3D9604EC" w:rsidR="0097062D" w:rsidRDefault="0097062D">
      <w:pPr>
        <w:spacing w:after="0" w:line="240" w:lineRule="auto"/>
        <w:rPr>
          <w:rFonts w:ascii="Arial Black" w:hAnsi="Arial Black"/>
          <w:sz w:val="40"/>
          <w:szCs w:val="40"/>
        </w:rPr>
      </w:pPr>
      <w:r>
        <w:rPr>
          <w:rFonts w:ascii="Arial Black" w:hAnsi="Arial Black"/>
          <w:sz w:val="40"/>
          <w:szCs w:val="40"/>
        </w:rPr>
        <w:lastRenderedPageBreak/>
        <w:br w:type="page"/>
      </w:r>
    </w:p>
    <w:p w14:paraId="6F775CEC" w14:textId="2A8A7ED3" w:rsidR="00F326E5" w:rsidRDefault="0097062D" w:rsidP="009F1927">
      <w:pPr>
        <w:rPr>
          <w:rFonts w:ascii="Arial Black" w:hAnsi="Arial Black"/>
          <w:sz w:val="40"/>
          <w:szCs w:val="40"/>
        </w:rPr>
      </w:pPr>
      <w:r>
        <w:rPr>
          <w:rFonts w:ascii="Arial Black" w:hAnsi="Arial Black"/>
          <w:sz w:val="40"/>
          <w:szCs w:val="40"/>
        </w:rPr>
        <w:lastRenderedPageBreak/>
        <w:t>C</w:t>
      </w:r>
      <w:r w:rsidR="00F326E5" w:rsidRPr="007732FA">
        <w:rPr>
          <w:rFonts w:ascii="Arial Black" w:hAnsi="Arial Black"/>
          <w:sz w:val="40"/>
          <w:szCs w:val="40"/>
        </w:rPr>
        <w:t>hap. 7</w:t>
      </w:r>
      <w:r w:rsidR="002B1283">
        <w:rPr>
          <w:rFonts w:ascii="Arial Black" w:hAnsi="Arial Black"/>
          <w:sz w:val="40"/>
          <w:szCs w:val="40"/>
        </w:rPr>
        <w:t xml:space="preserve">   </w:t>
      </w:r>
      <w:r w:rsidR="00F326E5" w:rsidRPr="007732FA">
        <w:rPr>
          <w:rFonts w:ascii="Arial Black" w:hAnsi="Arial Black"/>
          <w:sz w:val="40"/>
          <w:szCs w:val="40"/>
        </w:rPr>
        <w:t>Sexual Harassment</w:t>
      </w:r>
      <w:r w:rsidR="002147DA">
        <w:rPr>
          <w:rFonts w:ascii="Arial Black" w:hAnsi="Arial Black"/>
          <w:sz w:val="40"/>
          <w:szCs w:val="40"/>
        </w:rPr>
        <w:t>,</w:t>
      </w:r>
      <w:r w:rsidR="003F660F">
        <w:rPr>
          <w:rFonts w:ascii="Arial Black" w:hAnsi="Arial Black"/>
          <w:sz w:val="40"/>
          <w:szCs w:val="40"/>
        </w:rPr>
        <w:t xml:space="preserve"> including </w:t>
      </w:r>
      <w:r w:rsidR="00F326E5" w:rsidRPr="007732FA">
        <w:rPr>
          <w:rFonts w:ascii="Arial Black" w:hAnsi="Arial Black"/>
          <w:sz w:val="40"/>
          <w:szCs w:val="40"/>
        </w:rPr>
        <w:t>Pregnancy Discrimination</w:t>
      </w:r>
    </w:p>
    <w:p w14:paraId="67202560" w14:textId="7A2D7343" w:rsidR="002D45B5" w:rsidRDefault="002D45B5" w:rsidP="00C235E8">
      <w:pPr>
        <w:pStyle w:val="NoSpacing"/>
        <w:rPr>
          <w:rFonts w:ascii="Arial Black" w:hAnsi="Arial Black"/>
          <w:sz w:val="28"/>
          <w:szCs w:val="28"/>
        </w:rPr>
      </w:pPr>
      <w:r>
        <w:rPr>
          <w:rFonts w:ascii="Arial Black" w:hAnsi="Arial Black"/>
          <w:sz w:val="28"/>
          <w:szCs w:val="28"/>
        </w:rPr>
        <w:t>7-90</w:t>
      </w:r>
    </w:p>
    <w:p w14:paraId="4F82C022" w14:textId="77777777" w:rsidR="002D45B5" w:rsidRDefault="002D45B5" w:rsidP="00C235E8">
      <w:pPr>
        <w:pStyle w:val="NoSpacing"/>
        <w:rPr>
          <w:rFonts w:ascii="Arial Black" w:hAnsi="Arial Black"/>
          <w:sz w:val="28"/>
          <w:szCs w:val="28"/>
        </w:rPr>
      </w:pPr>
    </w:p>
    <w:p w14:paraId="2D3A39BE" w14:textId="5746BB0D" w:rsidR="00C235E8" w:rsidRPr="006D598E" w:rsidRDefault="00C235E8" w:rsidP="00C235E8">
      <w:pPr>
        <w:pStyle w:val="NoSpacing"/>
        <w:rPr>
          <w:rFonts w:ascii="Arial Black" w:hAnsi="Arial Black"/>
          <w:sz w:val="28"/>
          <w:szCs w:val="28"/>
        </w:rPr>
      </w:pPr>
      <w:r>
        <w:rPr>
          <w:rFonts w:ascii="Arial Black" w:hAnsi="Arial Black"/>
          <w:sz w:val="28"/>
          <w:szCs w:val="28"/>
        </w:rPr>
        <w:t>IL: CHICAGO - LACK FEMALE BATHROOMS – NO CASE</w:t>
      </w:r>
    </w:p>
    <w:p w14:paraId="2DC5FCC6" w14:textId="77777777" w:rsidR="00C235E8" w:rsidRDefault="00C235E8" w:rsidP="00C235E8">
      <w:pPr>
        <w:pStyle w:val="NoSpacing"/>
      </w:pPr>
    </w:p>
    <w:p w14:paraId="1F7F0E19" w14:textId="77777777" w:rsidR="00C235E8" w:rsidRPr="0005481A" w:rsidRDefault="00C235E8" w:rsidP="00C235E8">
      <w:pPr>
        <w:pStyle w:val="NoSpacing"/>
        <w:rPr>
          <w:bCs/>
        </w:rPr>
      </w:pPr>
      <w:r>
        <w:t xml:space="preserve">On April 23, 2026, in </w:t>
      </w:r>
      <w:r w:rsidRPr="00372C97">
        <w:rPr>
          <w:u w:val="single"/>
        </w:rPr>
        <w:t>Lee Ann McKay v. City of Chicago</w:t>
      </w:r>
      <w:r>
        <w:t xml:space="preserve">, U.S. District Court Judge Rebecca R. </w:t>
      </w:r>
      <w:proofErr w:type="spellStart"/>
      <w:r>
        <w:t>Pallmeyer</w:t>
      </w:r>
      <w:proofErr w:type="spellEnd"/>
      <w:r>
        <w:t xml:space="preserve">, United States District Court for Northern District, </w:t>
      </w:r>
      <w:r w:rsidRPr="0005481A">
        <w:t>Eastern Division</w:t>
      </w:r>
      <w:r>
        <w:t xml:space="preserve"> granted the City’s motion for summary judgment. The plaintiff Fire Engineer-EMT filed a lawsuit pro se [no attorney] referencing that </w:t>
      </w:r>
      <w:r w:rsidRPr="00FA5BCB">
        <w:t>only 32 out of 96 total firehouses in Chicago have dedicated women's facilities</w:t>
      </w:r>
      <w:r>
        <w:t>.  However, “</w:t>
      </w:r>
      <w:r w:rsidRPr="00FA5BCB">
        <w:t>McKay identifies no evidence of that, or anything else that could support a jury finding that her use of a bathroom that was also used by male firefighters created a hostile work environment.</w:t>
      </w:r>
      <w:r>
        <w:t xml:space="preserve">”  </w:t>
      </w:r>
      <w:hyperlink r:id="rId1282" w:history="1">
        <w:r w:rsidRPr="003C3573">
          <w:rPr>
            <w:rStyle w:val="Hyperlink"/>
          </w:rPr>
          <w:t>https://public.fastcase.com/Jhe1Qn%2BmJndQYQU6z%2FeNm28hiR351dlql3mVrX%2BsW%2FImhVx6LSAbrfZ7R6LP8TbVpSsTp59uwiaa1M%2BxYMu%2FQBeMVJpWoOyQUcFN4LagzoA%3D?utm_medium=email&amp;_hsenc=p2ANqtz-_AWahbnWxhCpMGQYhqfNcYdYivaiXkQGNq4hyWsJQjqDO6KUeS-ltttGyoOKYk2fjuNkb2NzSqvCRrJD1Iyf-ei7DoTw&amp;_hsmi=226712652&amp;utm_content=226712652&amp;utm_source=hs_email</w:t>
        </w:r>
      </w:hyperlink>
      <w:r>
        <w:t xml:space="preserve"> </w:t>
      </w:r>
    </w:p>
    <w:p w14:paraId="684CAA93" w14:textId="77777777" w:rsidR="00C235E8" w:rsidRDefault="00C235E8" w:rsidP="00C235E8">
      <w:pPr>
        <w:pStyle w:val="NoSpacing"/>
      </w:pPr>
    </w:p>
    <w:p w14:paraId="6038ACE8" w14:textId="77777777" w:rsidR="00C235E8" w:rsidRDefault="00C235E8" w:rsidP="00C235E8">
      <w:pPr>
        <w:pStyle w:val="NoSpacing"/>
      </w:pPr>
      <w:r w:rsidRPr="00CA2CA0">
        <w:t xml:space="preserve">  </w:t>
      </w:r>
      <w:r>
        <w:t>THE COURT HELD:</w:t>
      </w:r>
    </w:p>
    <w:p w14:paraId="794E2282" w14:textId="77777777" w:rsidR="00C235E8" w:rsidRDefault="00C235E8" w:rsidP="00C235E8">
      <w:pPr>
        <w:pStyle w:val="NoSpacing"/>
      </w:pPr>
    </w:p>
    <w:p w14:paraId="458EDA73" w14:textId="77777777" w:rsidR="00C235E8" w:rsidRDefault="00C235E8" w:rsidP="00C235E8">
      <w:pPr>
        <w:pStyle w:val="NoSpacing"/>
        <w:ind w:left="720"/>
      </w:pPr>
      <w:r>
        <w:t>“</w:t>
      </w:r>
      <w:r w:rsidRPr="00FA5BCB">
        <w:t>She first cites to an affidavit submitted by Marek Wisniewski, Deputy Commissioner of the City's Department of Fleet and Facility Management, who states as of January 9, 2026, only 32 out of 96 total firehouses in Chicago have dedicated women's facilities</w:t>
      </w:r>
      <w:r>
        <w:t>….</w:t>
      </w:r>
      <w:r w:rsidRPr="00FA5BCB">
        <w:t xml:space="preserve"> The court presumes Plaintiff contends that the lack of a bathroom available only to women is a violation of Title VII. But the lack of a gendered bathroom, without more, is not discriminatory. There is no indication that women were not allowed to use </w:t>
      </w:r>
      <w:r w:rsidRPr="00FA5BCB">
        <w:rPr>
          <w:i/>
          <w:iCs/>
        </w:rPr>
        <w:t>any</w:t>
      </w:r>
      <w:r w:rsidRPr="00FA5BCB">
        <w:t xml:space="preserve"> restroom, only that the firehouse did not have a women-only restroom on site. Ms. McKay was not being treated differently because of her sex simply because she was asked to share a gender-neutral restroom with her male colleagues. McKay might be able to proceed to trial on a hostile work environment theory if she could show that she was regularly forced to use the toilet or shower in view of her male colleagues, for example, or if the situation in the restrooms led to sexual harassment by coworkers. But McKay identifies no evidence of that, or anything else that could support a jury finding that her use of a bathroom that was also used by male firefighters created a hostile work environment. </w:t>
      </w:r>
      <w:r w:rsidRPr="00FA5BCB">
        <w:rPr>
          <w:i/>
          <w:iCs/>
        </w:rPr>
        <w:t xml:space="preserve">See </w:t>
      </w:r>
      <w:proofErr w:type="spellStart"/>
      <w:r w:rsidRPr="00FA5BCB">
        <w:rPr>
          <w:i/>
          <w:iCs/>
        </w:rPr>
        <w:t>Swyear</w:t>
      </w:r>
      <w:proofErr w:type="spellEnd"/>
      <w:r w:rsidRPr="00FA5BCB">
        <w:rPr>
          <w:i/>
          <w:iCs/>
        </w:rPr>
        <w:t xml:space="preserve"> v. Fare Foods Corp</w:t>
      </w:r>
      <w:r w:rsidRPr="00FA5BCB">
        <w:t xml:space="preserve">., 911 F.3d 874, 880 (7th Cir. 2018) (observing that a plaintiff asserting a hostile work environment claim must show the </w:t>
      </w:r>
      <w:r>
        <w:t>‘</w:t>
      </w:r>
      <w:r w:rsidRPr="00FA5BCB">
        <w:t xml:space="preserve">conduct was so severe or pervasive as to alter the conditions of employment and create a hostile or abusive working environment). </w:t>
      </w:r>
    </w:p>
    <w:p w14:paraId="145F461F" w14:textId="77777777" w:rsidR="00C235E8" w:rsidRDefault="00C235E8" w:rsidP="00C235E8">
      <w:pPr>
        <w:pStyle w:val="NoSpacing"/>
        <w:ind w:left="720"/>
      </w:pPr>
    </w:p>
    <w:p w14:paraId="2611CCA9" w14:textId="77777777" w:rsidR="00C235E8" w:rsidRDefault="00C235E8" w:rsidP="00C235E8">
      <w:pPr>
        <w:pStyle w:val="NoSpacing"/>
        <w:ind w:left="720"/>
      </w:pPr>
      <w:r>
        <w:t>***</w:t>
      </w:r>
    </w:p>
    <w:p w14:paraId="13E5281E" w14:textId="77777777" w:rsidR="00C235E8" w:rsidRDefault="00C235E8" w:rsidP="00C235E8">
      <w:pPr>
        <w:pStyle w:val="NoSpacing"/>
        <w:ind w:left="720"/>
      </w:pPr>
    </w:p>
    <w:p w14:paraId="5940CDA1" w14:textId="77777777" w:rsidR="00C235E8" w:rsidRDefault="00C235E8" w:rsidP="00C235E8">
      <w:pPr>
        <w:pStyle w:val="NoSpacing"/>
        <w:ind w:left="720"/>
      </w:pPr>
      <w:r>
        <w:t>M</w:t>
      </w:r>
      <w:r w:rsidRPr="00457FA7">
        <w:t xml:space="preserve">cKay appears to argue that the City's policy of advantaging members of minority races in making promotion decisions constitutes discrimination </w:t>
      </w:r>
      <w:proofErr w:type="gramStart"/>
      <w:r w:rsidRPr="00457FA7">
        <w:t>on the basis of</w:t>
      </w:r>
      <w:proofErr w:type="gramEnd"/>
      <w:r w:rsidRPr="00457FA7">
        <w:t xml:space="preserve"> race</w:t>
      </w:r>
      <w:r>
        <w:t>….</w:t>
      </w:r>
      <w:r w:rsidRPr="00457FA7">
        <w:t xml:space="preserve"> </w:t>
      </w:r>
    </w:p>
    <w:p w14:paraId="261D8550" w14:textId="77777777" w:rsidR="00C235E8" w:rsidRDefault="00C235E8" w:rsidP="00C235E8">
      <w:pPr>
        <w:pStyle w:val="NoSpacing"/>
        <w:ind w:left="720"/>
      </w:pPr>
    </w:p>
    <w:p w14:paraId="55901026" w14:textId="77777777" w:rsidR="00C235E8" w:rsidRDefault="00C235E8" w:rsidP="00C235E8">
      <w:pPr>
        <w:pStyle w:val="NoSpacing"/>
        <w:ind w:left="1440"/>
      </w:pPr>
      <w:r>
        <w:t xml:space="preserve">Footnote 8: </w:t>
      </w:r>
      <w:r w:rsidRPr="002A757E">
        <w:t xml:space="preserve">The court observes that McKay was eventually offered the promotion more than once, but the offers down out of fear of retaliation. </w:t>
      </w:r>
      <w:r>
        <w:t xml:space="preserve"> </w:t>
      </w:r>
    </w:p>
    <w:p w14:paraId="12C86397" w14:textId="77777777" w:rsidR="00C235E8" w:rsidRDefault="00C235E8" w:rsidP="00C235E8">
      <w:pPr>
        <w:pStyle w:val="NoSpacing"/>
        <w:ind w:left="720"/>
      </w:pPr>
    </w:p>
    <w:p w14:paraId="2CA14CE8" w14:textId="77777777" w:rsidR="00C235E8" w:rsidRDefault="00C235E8" w:rsidP="00C235E8">
      <w:pPr>
        <w:pStyle w:val="NoSpacing"/>
        <w:ind w:left="720"/>
      </w:pPr>
      <w:r w:rsidRPr="00457FA7">
        <w:t xml:space="preserve">The problem with this claim is that the city has offered a lawful justification for its actions: the </w:t>
      </w:r>
      <w:r w:rsidRPr="00457FA7">
        <w:rPr>
          <w:i/>
          <w:iCs/>
        </w:rPr>
        <w:t>Albrecht</w:t>
      </w:r>
      <w:r w:rsidRPr="00457FA7">
        <w:t xml:space="preserve"> consent decree. As the City explains, a consent decree </w:t>
      </w:r>
      <w:proofErr w:type="gramStart"/>
      <w:r w:rsidRPr="00457FA7">
        <w:t>entered into</w:t>
      </w:r>
      <w:proofErr w:type="gramEnd"/>
      <w:r w:rsidRPr="00457FA7">
        <w:t xml:space="preserve"> between the United States and the City of Chicago in the case </w:t>
      </w:r>
      <w:r w:rsidRPr="00457FA7">
        <w:rPr>
          <w:i/>
          <w:iCs/>
        </w:rPr>
        <w:t>United States v. Albrecht</w:t>
      </w:r>
      <w:r w:rsidRPr="00457FA7">
        <w:t>, 80 C 1590 (N.D. Ill. March 31, 1980), required the use of limited racial preferences in promotion decisions at the Chicago Fire Department. McKay does not dispute that the consent decree was in place at the time the promotion decisions at issue were made, or that those individuals promoted before her were promoted due to the consent decree</w:t>
      </w:r>
      <w:r>
        <w:t xml:space="preserve">…. </w:t>
      </w:r>
      <w:r w:rsidRPr="00457FA7">
        <w:t xml:space="preserve">Since she has offered no alternative basis to hold the </w:t>
      </w:r>
      <w:proofErr w:type="gramStart"/>
      <w:r w:rsidRPr="00457FA7">
        <w:lastRenderedPageBreak/>
        <w:t>City</w:t>
      </w:r>
      <w:proofErr w:type="gramEnd"/>
      <w:r w:rsidRPr="00457FA7">
        <w:t xml:space="preserve"> liable under Title VII for its compliance with </w:t>
      </w:r>
      <w:r w:rsidRPr="00457FA7">
        <w:rPr>
          <w:i/>
          <w:iCs/>
        </w:rPr>
        <w:t>Albrecht</w:t>
      </w:r>
      <w:r w:rsidRPr="00457FA7">
        <w:t>, summary judgment is warranted on her race discrimination claim</w:t>
      </w:r>
      <w:r>
        <w:t xml:space="preserve">…. </w:t>
      </w:r>
    </w:p>
    <w:p w14:paraId="43102AD6" w14:textId="77777777" w:rsidR="00C235E8" w:rsidRDefault="00C235E8" w:rsidP="00C235E8">
      <w:pPr>
        <w:pStyle w:val="NoSpacing"/>
        <w:ind w:left="720"/>
      </w:pPr>
    </w:p>
    <w:p w14:paraId="5E482351" w14:textId="77777777" w:rsidR="00C235E8" w:rsidRDefault="00C235E8" w:rsidP="00C235E8">
      <w:pPr>
        <w:pStyle w:val="NoSpacing"/>
        <w:ind w:left="1440"/>
      </w:pPr>
      <w:r>
        <w:t xml:space="preserve">Footnote 5: </w:t>
      </w:r>
      <w:r w:rsidRPr="00C05B5C">
        <w:t xml:space="preserve">The United States and the City of Chicago later jointly moved to terminate the </w:t>
      </w:r>
      <w:r w:rsidRPr="00C05B5C">
        <w:rPr>
          <w:i/>
          <w:iCs/>
        </w:rPr>
        <w:t>Albrecht</w:t>
      </w:r>
      <w:r w:rsidRPr="00C05B5C">
        <w:t xml:space="preserve"> consent decree. On June 16, 2022, this court granted that motion in a separate case. (</w:t>
      </w:r>
      <w:r w:rsidRPr="00C05B5C">
        <w:rPr>
          <w:i/>
          <w:iCs/>
        </w:rPr>
        <w:t>See</w:t>
      </w:r>
      <w:r w:rsidRPr="00C05B5C">
        <w:t xml:space="preserve"> Order Granting Joint Motion to Dissolve in </w:t>
      </w:r>
      <w:r w:rsidRPr="00C05B5C">
        <w:rPr>
          <w:i/>
          <w:iCs/>
        </w:rPr>
        <w:t>Albrecht</w:t>
      </w:r>
      <w:r w:rsidRPr="00C05B5C">
        <w:t>, 80 C 01590 (</w:t>
      </w:r>
      <w:proofErr w:type="spellStart"/>
      <w:r w:rsidRPr="00C05B5C">
        <w:t>Pallmeyer</w:t>
      </w:r>
      <w:proofErr w:type="spellEnd"/>
      <w:r w:rsidRPr="00C05B5C">
        <w:t>, C.J.).)</w:t>
      </w:r>
    </w:p>
    <w:p w14:paraId="107FB086" w14:textId="77777777" w:rsidR="00C235E8" w:rsidRDefault="00C235E8" w:rsidP="00C235E8">
      <w:pPr>
        <w:pStyle w:val="NoSpacing"/>
        <w:ind w:left="720"/>
      </w:pPr>
    </w:p>
    <w:p w14:paraId="0DA3ACD8" w14:textId="77777777" w:rsidR="00C235E8" w:rsidRPr="00A92326" w:rsidRDefault="00C235E8" w:rsidP="00C235E8">
      <w:pPr>
        <w:pStyle w:val="NoSpacing"/>
        <w:rPr>
          <w:b/>
          <w:bCs/>
        </w:rPr>
      </w:pPr>
      <w:r>
        <w:rPr>
          <w:b/>
        </w:rPr>
        <w:t xml:space="preserve">Legal lesson learned: The lack of a “gendered bathroom” without more is not discriminatory. </w:t>
      </w:r>
    </w:p>
    <w:p w14:paraId="5B2A9BBB" w14:textId="77777777" w:rsidR="00C235E8" w:rsidRDefault="00C235E8" w:rsidP="00C235E8">
      <w:pPr>
        <w:pStyle w:val="NoSpacing"/>
      </w:pPr>
    </w:p>
    <w:p w14:paraId="0CA536CB" w14:textId="77777777" w:rsidR="00C235E8" w:rsidRDefault="00C235E8" w:rsidP="00C235E8">
      <w:pPr>
        <w:pStyle w:val="NoSpacing"/>
        <w:rPr>
          <w:bCs/>
        </w:rPr>
      </w:pPr>
    </w:p>
    <w:p w14:paraId="4772163E" w14:textId="13D0174D" w:rsidR="002D45B5" w:rsidRDefault="002D45B5" w:rsidP="002D45B5">
      <w:pPr>
        <w:pStyle w:val="NoSpacing"/>
        <w:rPr>
          <w:rFonts w:ascii="Arial Black" w:hAnsi="Arial Black"/>
          <w:sz w:val="28"/>
          <w:szCs w:val="28"/>
        </w:rPr>
      </w:pPr>
      <w:r>
        <w:rPr>
          <w:rFonts w:ascii="Arial Black" w:hAnsi="Arial Black"/>
          <w:sz w:val="28"/>
          <w:szCs w:val="28"/>
        </w:rPr>
        <w:t>7-89</w:t>
      </w:r>
    </w:p>
    <w:p w14:paraId="3E4E7E33" w14:textId="77777777" w:rsidR="00C6586C" w:rsidRDefault="00C6586C" w:rsidP="00292E1C">
      <w:pPr>
        <w:pStyle w:val="NoSpacing"/>
        <w:rPr>
          <w:rFonts w:ascii="Arial Black" w:hAnsi="Arial Black"/>
          <w:sz w:val="28"/>
          <w:szCs w:val="28"/>
        </w:rPr>
      </w:pPr>
    </w:p>
    <w:p w14:paraId="46415F72" w14:textId="77777777" w:rsidR="002D45B5" w:rsidRDefault="002D45B5" w:rsidP="002D45B5">
      <w:pPr>
        <w:pStyle w:val="NoSpacing"/>
        <w:rPr>
          <w:rFonts w:ascii="Arial Black" w:hAnsi="Arial Black"/>
          <w:b/>
          <w:sz w:val="28"/>
          <w:szCs w:val="28"/>
        </w:rPr>
      </w:pPr>
      <w:r>
        <w:rPr>
          <w:rFonts w:ascii="Arial Black" w:hAnsi="Arial Black"/>
          <w:b/>
          <w:sz w:val="28"/>
          <w:szCs w:val="28"/>
        </w:rPr>
        <w:t>OH: FEMALE EMT – SHOWED PHOTOS NAKED MALE - FIRED</w:t>
      </w:r>
    </w:p>
    <w:p w14:paraId="54F76E95" w14:textId="77777777" w:rsidR="002D45B5" w:rsidRDefault="002D45B5" w:rsidP="002D45B5">
      <w:pPr>
        <w:pStyle w:val="NoSpacing"/>
        <w:rPr>
          <w:rFonts w:ascii="Arial Black" w:hAnsi="Arial Black"/>
          <w:b/>
          <w:sz w:val="28"/>
          <w:szCs w:val="28"/>
        </w:rPr>
      </w:pPr>
    </w:p>
    <w:p w14:paraId="335A1FA0" w14:textId="77777777" w:rsidR="002D45B5" w:rsidRDefault="002D45B5" w:rsidP="002D45B5">
      <w:pPr>
        <w:pStyle w:val="NoSpacing"/>
      </w:pPr>
      <w:r w:rsidRPr="004B4E00">
        <w:t xml:space="preserve">On September 30, 2026, in </w:t>
      </w:r>
      <w:r w:rsidRPr="00F74F59">
        <w:rPr>
          <w:u w:val="single"/>
        </w:rPr>
        <w:t>Gertrude Crisp v. Scioto Ambulance District</w:t>
      </w:r>
      <w:r>
        <w:t>, U.S. District Court Judge J</w:t>
      </w:r>
      <w:r w:rsidRPr="005C66FA">
        <w:t>effery P. Hopkins</w:t>
      </w:r>
      <w:r>
        <w:t xml:space="preserve">, United States District Court for Southern District of Ohio, Western Division, granted summary judgment to the Ambulance District.  The female paramedic, who has been harassed by </w:t>
      </w:r>
      <w:r w:rsidRPr="00367F97">
        <w:t>Joshua Gullett,</w:t>
      </w:r>
      <w:r>
        <w:t xml:space="preserve"> complained to management in Fall 2018, and the Board </w:t>
      </w:r>
      <w:r w:rsidRPr="001E1E28">
        <w:t>responded by directing that Crisp and Gullett would no longer be scheduled together</w:t>
      </w:r>
      <w:r>
        <w:t>.  Thereafter they had limited contact with one another.  But “o</w:t>
      </w:r>
      <w:r w:rsidRPr="00924D3B">
        <w:t>n</w:t>
      </w:r>
      <w:r>
        <w:t xml:space="preserve"> </w:t>
      </w:r>
      <w:r w:rsidRPr="00924D3B">
        <w:t>June 9, 2022, Crisp showed two new Scioto Ambulance District employees—Marissa</w:t>
      </w:r>
      <w:r>
        <w:t xml:space="preserve"> </w:t>
      </w:r>
      <w:r w:rsidRPr="00924D3B">
        <w:t>Campbell and Sandra Thacker—a profile that Gullet maintained on the website Fetlife.com,</w:t>
      </w:r>
      <w:r>
        <w:t xml:space="preserve"> </w:t>
      </w:r>
      <w:r w:rsidRPr="00924D3B">
        <w:t>a sex-solicitation site that Gullet and his wife, Crystal Gullet, used to seek sexual partners.</w:t>
      </w:r>
      <w:r>
        <w:t xml:space="preserve"> </w:t>
      </w:r>
      <w:r w:rsidRPr="00323558">
        <w:t>The profile included several pictures of himself, as well</w:t>
      </w:r>
      <w:r>
        <w:t xml:space="preserve"> </w:t>
      </w:r>
      <w:r w:rsidRPr="0093640C">
        <w:t>as pictures of his wife, and pictures of his erect penis.</w:t>
      </w:r>
      <w:r>
        <w:t xml:space="preserve">”  Gullett learned of this a complained to management. Eric Lutz, a Scioto Ambulance District board member, </w:t>
      </w:r>
      <w:proofErr w:type="gramStart"/>
      <w:r>
        <w:t>conducted an investigation</w:t>
      </w:r>
      <w:proofErr w:type="gramEnd"/>
      <w:r>
        <w:t xml:space="preserve"> that </w:t>
      </w:r>
      <w:proofErr w:type="gramStart"/>
      <w:r>
        <w:t>lead</w:t>
      </w:r>
      <w:proofErr w:type="gramEnd"/>
      <w:r>
        <w:t xml:space="preserve"> to her termination on July 3, 2022.   </w:t>
      </w:r>
    </w:p>
    <w:p w14:paraId="237BFA45" w14:textId="77777777" w:rsidR="002D45B5" w:rsidRDefault="002D45B5" w:rsidP="002D45B5">
      <w:pPr>
        <w:pStyle w:val="NoSpacing"/>
      </w:pPr>
      <w:hyperlink r:id="rId1283" w:history="1">
        <w:r w:rsidRPr="003A6F30">
          <w:rPr>
            <w:rStyle w:val="Hyperlink"/>
          </w:rPr>
          <w:t>https://cases.justia.com/federal/district-courts/ohio/ohsdce/1:2023cv00273/279746/32/0.pdf?ts=1759344788</w:t>
        </w:r>
      </w:hyperlink>
      <w:r>
        <w:t xml:space="preserve"> </w:t>
      </w:r>
    </w:p>
    <w:p w14:paraId="663CE4EF" w14:textId="77777777" w:rsidR="002D45B5" w:rsidRDefault="002D45B5" w:rsidP="002D45B5">
      <w:pPr>
        <w:pStyle w:val="NoSpacing"/>
      </w:pPr>
    </w:p>
    <w:p w14:paraId="492783AF" w14:textId="77777777" w:rsidR="002D45B5" w:rsidRDefault="002D45B5" w:rsidP="002D45B5">
      <w:pPr>
        <w:pStyle w:val="NoSpacing"/>
        <w:rPr>
          <w:bCs/>
        </w:rPr>
      </w:pPr>
      <w:r>
        <w:t xml:space="preserve">THE COURT HELD: </w:t>
      </w:r>
    </w:p>
    <w:p w14:paraId="0BF3A8C5" w14:textId="77777777" w:rsidR="002D45B5" w:rsidRDefault="002D45B5" w:rsidP="002D45B5">
      <w:pPr>
        <w:pStyle w:val="NoSpacing"/>
        <w:rPr>
          <w:bCs/>
        </w:rPr>
      </w:pPr>
    </w:p>
    <w:p w14:paraId="1D9E3907" w14:textId="77777777" w:rsidR="002D45B5" w:rsidRPr="00AA05E2" w:rsidRDefault="002D45B5" w:rsidP="002D45B5">
      <w:pPr>
        <w:pStyle w:val="NoSpacing"/>
        <w:ind w:firstLine="720"/>
        <w:rPr>
          <w:bCs/>
        </w:rPr>
      </w:pPr>
      <w:r>
        <w:t>“</w:t>
      </w:r>
      <w:r w:rsidRPr="00AA05E2">
        <w:t>The details—including that the photos were from Fetlife.com—came out in Lutz’s</w:t>
      </w:r>
    </w:p>
    <w:p w14:paraId="59FE8281" w14:textId="77777777" w:rsidR="002D45B5" w:rsidRPr="00AA05E2" w:rsidRDefault="002D45B5" w:rsidP="002D45B5">
      <w:pPr>
        <w:pStyle w:val="NoSpacing"/>
        <w:ind w:firstLine="720"/>
        <w:rPr>
          <w:bCs/>
        </w:rPr>
      </w:pPr>
      <w:r w:rsidRPr="00AA05E2">
        <w:t>investigation, which he undertook shortly after receiving the report. In his report, Lutz</w:t>
      </w:r>
    </w:p>
    <w:p w14:paraId="13E17B36" w14:textId="77777777" w:rsidR="002D45B5" w:rsidRPr="00AA05E2" w:rsidRDefault="002D45B5" w:rsidP="002D45B5">
      <w:pPr>
        <w:pStyle w:val="NoSpacing"/>
        <w:ind w:firstLine="720"/>
        <w:rPr>
          <w:bCs/>
        </w:rPr>
      </w:pPr>
      <w:r w:rsidRPr="00AA05E2">
        <w:t>summarized his interview with Crisp as follows:</w:t>
      </w:r>
    </w:p>
    <w:p w14:paraId="4C40931E" w14:textId="77777777" w:rsidR="002D45B5" w:rsidRDefault="002D45B5" w:rsidP="002D45B5">
      <w:pPr>
        <w:pStyle w:val="NoSpacing"/>
        <w:rPr>
          <w:bCs/>
        </w:rPr>
      </w:pPr>
    </w:p>
    <w:p w14:paraId="6458D132" w14:textId="77777777" w:rsidR="002D45B5" w:rsidRDefault="002D45B5" w:rsidP="002D45B5">
      <w:pPr>
        <w:pStyle w:val="NoSpacing"/>
        <w:ind w:left="1440"/>
        <w:rPr>
          <w:bCs/>
        </w:rPr>
      </w:pPr>
      <w:r w:rsidRPr="00AA05E2">
        <w:t>She [Crisp] stated without reservation and without apology that she had shown nude</w:t>
      </w:r>
      <w:r>
        <w:t xml:space="preserve"> </w:t>
      </w:r>
      <w:r w:rsidRPr="00AA05E2">
        <w:t>photos of co-worker Josh Gullett to other employees while on duty and while on</w:t>
      </w:r>
      <w:r>
        <w:t xml:space="preserve"> </w:t>
      </w:r>
      <w:r w:rsidRPr="00AA05E2">
        <w:t>premises. Her reported reason for doing so was that (paraphrased) She (Ms. Crisp) did</w:t>
      </w:r>
      <w:r>
        <w:t xml:space="preserve"> </w:t>
      </w:r>
      <w:r w:rsidRPr="00AA05E2">
        <w:t>show the nude photos of Mr. Gullett to the other employees to “warn” them about</w:t>
      </w:r>
      <w:r>
        <w:t xml:space="preserve"> </w:t>
      </w:r>
      <w:r w:rsidRPr="00AA05E2">
        <w:t>“perverted and predatory” men in EMS, that there is a “list” of males in EMS who act</w:t>
      </w:r>
      <w:r>
        <w:t xml:space="preserve"> </w:t>
      </w:r>
      <w:r w:rsidRPr="00166533">
        <w:t>inappropriately toward other women in EMS, that those men may make professionally</w:t>
      </w:r>
      <w:r>
        <w:t xml:space="preserve"> </w:t>
      </w:r>
      <w:r w:rsidRPr="00166533">
        <w:t>inappropriate statements or make inappropriate requests of them . . . . In short, it is</w:t>
      </w:r>
      <w:r>
        <w:t xml:space="preserve"> </w:t>
      </w:r>
      <w:r w:rsidRPr="00166533">
        <w:t>Ms. Crisp’s contention that she showed the photos with the legitimate intention of</w:t>
      </w:r>
      <w:r>
        <w:t xml:space="preserve"> </w:t>
      </w:r>
      <w:r w:rsidRPr="00166533">
        <w:t>“warning” the other employees about alleged and potential male behavior, and that</w:t>
      </w:r>
      <w:r>
        <w:t xml:space="preserve"> </w:t>
      </w:r>
      <w:r w:rsidRPr="00166533">
        <w:t>this nude photo somehow “showed a pattern of behavior,” justified, and verified her</w:t>
      </w:r>
      <w:r>
        <w:t xml:space="preserve"> </w:t>
      </w:r>
      <w:r w:rsidRPr="00166533">
        <w:t>allegations about the other employees.</w:t>
      </w:r>
    </w:p>
    <w:p w14:paraId="3E5E4933" w14:textId="77777777" w:rsidR="002D45B5" w:rsidRDefault="002D45B5" w:rsidP="002D45B5">
      <w:pPr>
        <w:pStyle w:val="NoSpacing"/>
        <w:ind w:left="1440"/>
        <w:rPr>
          <w:bCs/>
        </w:rPr>
      </w:pPr>
    </w:p>
    <w:p w14:paraId="422B01CB" w14:textId="77777777" w:rsidR="002D45B5" w:rsidRPr="001A795C" w:rsidRDefault="002D45B5" w:rsidP="002D45B5">
      <w:pPr>
        <w:pStyle w:val="NoSpacing"/>
        <w:rPr>
          <w:bCs/>
        </w:rPr>
      </w:pPr>
      <w:r>
        <w:tab/>
      </w:r>
      <w:r w:rsidRPr="001A795C">
        <w:t>Lutz concluded the report by</w:t>
      </w:r>
      <w:r>
        <w:t xml:space="preserve"> </w:t>
      </w:r>
      <w:r w:rsidRPr="001A795C">
        <w:t>stating:</w:t>
      </w:r>
    </w:p>
    <w:p w14:paraId="06F0A18A" w14:textId="77777777" w:rsidR="002D45B5" w:rsidRDefault="002D45B5" w:rsidP="002D45B5">
      <w:pPr>
        <w:pStyle w:val="NoSpacing"/>
        <w:rPr>
          <w:bCs/>
        </w:rPr>
      </w:pPr>
    </w:p>
    <w:p w14:paraId="5871E7F9" w14:textId="77777777" w:rsidR="002D45B5" w:rsidRPr="001A795C" w:rsidRDefault="002D45B5" w:rsidP="002D45B5">
      <w:pPr>
        <w:pStyle w:val="NoSpacing"/>
        <w:ind w:left="1440"/>
        <w:rPr>
          <w:bCs/>
        </w:rPr>
      </w:pPr>
      <w:r w:rsidRPr="001A795C">
        <w:t>Showing these photos while on duty, regardless of justification, is inappropriate and</w:t>
      </w:r>
      <w:r>
        <w:t xml:space="preserve"> </w:t>
      </w:r>
      <w:r w:rsidRPr="001A795C">
        <w:t>unprofessional. . . Her actions increase the potential for undesirable work</w:t>
      </w:r>
    </w:p>
    <w:p w14:paraId="24DD282E" w14:textId="77777777" w:rsidR="002D45B5" w:rsidRPr="001A795C" w:rsidRDefault="002D45B5" w:rsidP="002D45B5">
      <w:pPr>
        <w:pStyle w:val="NoSpacing"/>
        <w:ind w:left="720" w:firstLine="720"/>
        <w:rPr>
          <w:bCs/>
        </w:rPr>
      </w:pPr>
      <w:r w:rsidRPr="001A795C">
        <w:t>environments and disagreeable work relationships at [Scioto Ambulance District].</w:t>
      </w:r>
    </w:p>
    <w:p w14:paraId="535B35B1" w14:textId="77777777" w:rsidR="002D45B5" w:rsidRPr="001A795C" w:rsidRDefault="002D45B5" w:rsidP="002D45B5">
      <w:pPr>
        <w:pStyle w:val="NoSpacing"/>
        <w:ind w:left="720" w:firstLine="720"/>
        <w:rPr>
          <w:bCs/>
        </w:rPr>
      </w:pPr>
      <w:r w:rsidRPr="001A795C">
        <w:t>Further, spreading rumors among employees about another staff member being</w:t>
      </w:r>
    </w:p>
    <w:p w14:paraId="6D279DFE" w14:textId="77777777" w:rsidR="002D45B5" w:rsidRDefault="002D45B5" w:rsidP="002D45B5">
      <w:pPr>
        <w:pStyle w:val="NoSpacing"/>
        <w:ind w:left="1440"/>
        <w:rPr>
          <w:bCs/>
        </w:rPr>
      </w:pPr>
      <w:r w:rsidRPr="001A795C">
        <w:t>“perverted” or “being a predator” are inflammatory and unprofessional. Furthermore,</w:t>
      </w:r>
      <w:r>
        <w:t xml:space="preserve"> </w:t>
      </w:r>
      <w:r w:rsidRPr="001A795C">
        <w:t xml:space="preserve">there have been no reports or accusations of any employee </w:t>
      </w:r>
      <w:r w:rsidRPr="00392CE9">
        <w:t>engaging in this type of</w:t>
      </w:r>
      <w:r>
        <w:t xml:space="preserve"> </w:t>
      </w:r>
      <w:r w:rsidRPr="00392CE9">
        <w:t>behavior while on duty or with other employees at any time.</w:t>
      </w:r>
    </w:p>
    <w:p w14:paraId="23E4F92F" w14:textId="77777777" w:rsidR="002D45B5" w:rsidRDefault="002D45B5" w:rsidP="002D45B5">
      <w:pPr>
        <w:pStyle w:val="NoSpacing"/>
        <w:rPr>
          <w:bCs/>
        </w:rPr>
      </w:pPr>
    </w:p>
    <w:p w14:paraId="223846BC" w14:textId="77777777" w:rsidR="002D45B5" w:rsidRDefault="002D45B5" w:rsidP="002D45B5">
      <w:pPr>
        <w:pStyle w:val="NoSpacing"/>
        <w:rPr>
          <w:bCs/>
        </w:rPr>
      </w:pPr>
      <w:r>
        <w:tab/>
        <w:t>***</w:t>
      </w:r>
    </w:p>
    <w:p w14:paraId="63FE58C9" w14:textId="77777777" w:rsidR="002D45B5" w:rsidRDefault="002D45B5" w:rsidP="002D45B5">
      <w:pPr>
        <w:pStyle w:val="NoSpacing"/>
        <w:rPr>
          <w:bCs/>
        </w:rPr>
      </w:pPr>
    </w:p>
    <w:p w14:paraId="2FA10398" w14:textId="77777777" w:rsidR="002D45B5" w:rsidRDefault="002D45B5" w:rsidP="002D45B5">
      <w:pPr>
        <w:pStyle w:val="NoSpacing"/>
        <w:ind w:left="720"/>
        <w:rPr>
          <w:bCs/>
        </w:rPr>
      </w:pPr>
      <w:r w:rsidRPr="00DC4776">
        <w:t>Crisp’s statements to</w:t>
      </w:r>
      <w:r>
        <w:t xml:space="preserve"> </w:t>
      </w:r>
      <w:r w:rsidRPr="00DC4776">
        <w:t>Campbell and Thacker about Mr. Gullett did not, however, amount to reporting sexual</w:t>
      </w:r>
      <w:r>
        <w:t xml:space="preserve"> </w:t>
      </w:r>
      <w:r w:rsidRPr="00DC4776">
        <w:t>misconduct, as they were made to co-workers and did not advocate for any particular action</w:t>
      </w:r>
      <w:r>
        <w:t xml:space="preserve"> </w:t>
      </w:r>
      <w:r w:rsidRPr="00DC4776">
        <w:t>by Scioto Ambulance District. Instead, her reporting was intended to encourage her</w:t>
      </w:r>
      <w:r>
        <w:t xml:space="preserve"> </w:t>
      </w:r>
      <w:r w:rsidRPr="00DC4776">
        <w:t>coworkers—not Scioto Ambulance—to take particular action, such as avoiding Gullett and</w:t>
      </w:r>
      <w:r>
        <w:t xml:space="preserve"> </w:t>
      </w:r>
      <w:r w:rsidRPr="00DC4776">
        <w:t>being on-guard against his advances.</w:t>
      </w:r>
    </w:p>
    <w:p w14:paraId="4F139943" w14:textId="77777777" w:rsidR="002D45B5" w:rsidRDefault="002D45B5" w:rsidP="002D45B5">
      <w:pPr>
        <w:pStyle w:val="NoSpacing"/>
        <w:ind w:firstLine="720"/>
        <w:rPr>
          <w:bCs/>
        </w:rPr>
      </w:pPr>
      <w:r>
        <w:t>***</w:t>
      </w:r>
    </w:p>
    <w:p w14:paraId="3DEB7E46" w14:textId="77777777" w:rsidR="002D45B5" w:rsidRPr="00DF000D" w:rsidRDefault="002D45B5" w:rsidP="002D45B5">
      <w:pPr>
        <w:pStyle w:val="NoSpacing"/>
        <w:ind w:firstLine="720"/>
        <w:rPr>
          <w:bCs/>
        </w:rPr>
      </w:pPr>
      <w:r w:rsidRPr="00DF000D">
        <w:t>The Court further notes that while the category of protected activity for purposes of</w:t>
      </w:r>
    </w:p>
    <w:p w14:paraId="0E582298" w14:textId="77777777" w:rsidR="002D45B5" w:rsidRDefault="002D45B5" w:rsidP="002D45B5">
      <w:pPr>
        <w:pStyle w:val="NoSpacing"/>
        <w:ind w:left="720"/>
        <w:rPr>
          <w:bCs/>
        </w:rPr>
      </w:pPr>
      <w:r w:rsidRPr="00DF000D">
        <w:t xml:space="preserve">Title VII is not tightly </w:t>
      </w:r>
      <w:proofErr w:type="gramStart"/>
      <w:r w:rsidRPr="00DF000D">
        <w:t>constrained,</w:t>
      </w:r>
      <w:proofErr w:type="gramEnd"/>
      <w:r w:rsidRPr="00DF000D">
        <w:t xml:space="preserve"> it also is not unlimited</w:t>
      </w:r>
      <w:r>
        <w:t xml:space="preserve">…. </w:t>
      </w:r>
      <w:r w:rsidRPr="00F6713F">
        <w:t>To summarize, it would stretch the facts of this case too far to conclude that by</w:t>
      </w:r>
      <w:r>
        <w:t xml:space="preserve"> </w:t>
      </w:r>
      <w:r w:rsidRPr="00F6713F">
        <w:t xml:space="preserve">showing other employees Gullett’s Fetlife.com profile </w:t>
      </w:r>
      <w:proofErr w:type="gramStart"/>
      <w:r w:rsidRPr="00F6713F">
        <w:t>in the course of</w:t>
      </w:r>
      <w:proofErr w:type="gramEnd"/>
      <w:r w:rsidRPr="00F6713F">
        <w:t xml:space="preserve"> warning them about</w:t>
      </w:r>
      <w:r>
        <w:t xml:space="preserve"> </w:t>
      </w:r>
      <w:r w:rsidRPr="00AB4407">
        <w:t>possible sexual harassment by him,9 she was “opposing a[] practice,” 42 U.S.C. § 2000e-3(a),</w:t>
      </w:r>
      <w:r>
        <w:t xml:space="preserve"> </w:t>
      </w:r>
      <w:r w:rsidRPr="00AB4407">
        <w:t>of the Scioto County Ambulance District. Further, nothing in the record before the Court</w:t>
      </w:r>
      <w:r>
        <w:t xml:space="preserve"> </w:t>
      </w:r>
      <w:r w:rsidRPr="00AB4407">
        <w:t>suggests that Scioto Ambulance District ignored Crisp’s complaints about Gullet at the</w:t>
      </w:r>
      <w:r>
        <w:t xml:space="preserve"> </w:t>
      </w:r>
      <w:r w:rsidRPr="00AB4407">
        <w:t xml:space="preserve">relevant </w:t>
      </w:r>
      <w:proofErr w:type="gramStart"/>
      <w:r w:rsidRPr="00AB4407">
        <w:t>time period</w:t>
      </w:r>
      <w:proofErr w:type="gramEnd"/>
      <w:r w:rsidRPr="00AB4407">
        <w:t>, given that Crisp chose to make those complaints to coworkers, not to</w:t>
      </w:r>
      <w:r>
        <w:t xml:space="preserve"> </w:t>
      </w:r>
      <w:r w:rsidRPr="00AB4407">
        <w:t>their employer. For these reasons, Defendant is entitled to summary judgment on Crisp’s</w:t>
      </w:r>
      <w:r>
        <w:t xml:space="preserve"> </w:t>
      </w:r>
      <w:r w:rsidRPr="00AB4407">
        <w:t>retaliation claims (Counts II and IV).</w:t>
      </w:r>
      <w:r>
        <w:t>”</w:t>
      </w:r>
    </w:p>
    <w:p w14:paraId="6633C88E" w14:textId="77777777" w:rsidR="002D45B5" w:rsidRDefault="002D45B5" w:rsidP="002D45B5">
      <w:pPr>
        <w:pStyle w:val="NoSpacing"/>
        <w:ind w:left="720"/>
        <w:rPr>
          <w:bCs/>
        </w:rPr>
      </w:pPr>
    </w:p>
    <w:p w14:paraId="6BA1D749" w14:textId="77777777" w:rsidR="002D45B5" w:rsidRDefault="002D45B5" w:rsidP="002D45B5">
      <w:pPr>
        <w:pStyle w:val="NoSpacing"/>
        <w:rPr>
          <w:bCs/>
        </w:rPr>
      </w:pPr>
      <w:r>
        <w:rPr>
          <w:b/>
        </w:rPr>
        <w:t>Legal lesson learned:  The plaintiff may have been motivated to “warn” co-workers, but it was not a “protected activity” to show a web profile and nude photo of the male.</w:t>
      </w:r>
    </w:p>
    <w:p w14:paraId="1CAA245A" w14:textId="77777777" w:rsidR="002D45B5" w:rsidRDefault="002D45B5" w:rsidP="00292E1C">
      <w:pPr>
        <w:pStyle w:val="NoSpacing"/>
        <w:rPr>
          <w:rFonts w:ascii="Arial Black" w:hAnsi="Arial Black"/>
          <w:sz w:val="28"/>
          <w:szCs w:val="28"/>
        </w:rPr>
      </w:pPr>
    </w:p>
    <w:p w14:paraId="55F84FA4" w14:textId="77777777" w:rsidR="00C235E8" w:rsidRDefault="00C235E8" w:rsidP="00292E1C">
      <w:pPr>
        <w:pStyle w:val="NoSpacing"/>
        <w:rPr>
          <w:rFonts w:ascii="Arial Black" w:hAnsi="Arial Black"/>
          <w:sz w:val="28"/>
          <w:szCs w:val="28"/>
        </w:rPr>
      </w:pPr>
    </w:p>
    <w:p w14:paraId="4C543634" w14:textId="77777777" w:rsidR="00C235E8" w:rsidRDefault="00C235E8" w:rsidP="00292E1C">
      <w:pPr>
        <w:pStyle w:val="NoSpacing"/>
        <w:rPr>
          <w:rFonts w:ascii="Arial Black" w:hAnsi="Arial Black"/>
          <w:sz w:val="28"/>
          <w:szCs w:val="28"/>
        </w:rPr>
      </w:pPr>
    </w:p>
    <w:p w14:paraId="64DA7EAA" w14:textId="77777777" w:rsidR="00C235E8" w:rsidRDefault="00C235E8" w:rsidP="00292E1C">
      <w:pPr>
        <w:pStyle w:val="NoSpacing"/>
        <w:rPr>
          <w:rFonts w:ascii="Arial Black" w:hAnsi="Arial Black"/>
          <w:sz w:val="28"/>
          <w:szCs w:val="28"/>
        </w:rPr>
      </w:pPr>
    </w:p>
    <w:p w14:paraId="393A4E8B" w14:textId="55B03B29" w:rsidR="007B6232" w:rsidRDefault="007B6232" w:rsidP="00292E1C">
      <w:pPr>
        <w:pStyle w:val="NoSpacing"/>
        <w:rPr>
          <w:rFonts w:ascii="Arial Black" w:hAnsi="Arial Black"/>
          <w:sz w:val="28"/>
          <w:szCs w:val="28"/>
        </w:rPr>
      </w:pPr>
      <w:r>
        <w:rPr>
          <w:rFonts w:ascii="Arial Black" w:hAnsi="Arial Black"/>
          <w:sz w:val="28"/>
          <w:szCs w:val="28"/>
        </w:rPr>
        <w:t>7-88</w:t>
      </w:r>
    </w:p>
    <w:p w14:paraId="6033FD87" w14:textId="77777777" w:rsidR="007B6232" w:rsidRDefault="007B6232" w:rsidP="00292E1C">
      <w:pPr>
        <w:pStyle w:val="NoSpacing"/>
        <w:rPr>
          <w:rFonts w:ascii="Arial Black" w:hAnsi="Arial Black"/>
          <w:sz w:val="28"/>
          <w:szCs w:val="28"/>
        </w:rPr>
      </w:pPr>
    </w:p>
    <w:p w14:paraId="1A27B3E5" w14:textId="77777777" w:rsidR="00487B33" w:rsidRPr="00E50243" w:rsidRDefault="00487B33" w:rsidP="00487B33">
      <w:pPr>
        <w:pStyle w:val="NoSpacing"/>
        <w:rPr>
          <w:rFonts w:ascii="Arial Black" w:hAnsi="Arial Black"/>
          <w:b/>
          <w:sz w:val="28"/>
          <w:szCs w:val="28"/>
        </w:rPr>
      </w:pPr>
      <w:r>
        <w:rPr>
          <w:rFonts w:ascii="Arial Black" w:hAnsi="Arial Black"/>
          <w:b/>
          <w:sz w:val="28"/>
          <w:szCs w:val="28"/>
        </w:rPr>
        <w:t>CT: FEMALE CAPT – ORDER PORN REMOVED – RETALIATION</w:t>
      </w:r>
    </w:p>
    <w:p w14:paraId="002D0C45" w14:textId="77777777" w:rsidR="00487B33" w:rsidRDefault="00487B33" w:rsidP="00487B33">
      <w:pPr>
        <w:pStyle w:val="NoSpacing"/>
      </w:pPr>
    </w:p>
    <w:p w14:paraId="5B3C6FC2" w14:textId="77777777" w:rsidR="00487B33" w:rsidRDefault="00487B33" w:rsidP="00487B33">
      <w:pPr>
        <w:pStyle w:val="NoSpacing"/>
      </w:pPr>
      <w:r>
        <w:t xml:space="preserve">On March 10, 2026, in </w:t>
      </w:r>
      <w:r w:rsidRPr="00726ABA">
        <w:rPr>
          <w:u w:val="single"/>
        </w:rPr>
        <w:t>Melanie Depamphilis v. Town of Newington</w:t>
      </w:r>
      <w:r w:rsidRPr="00AC20D2">
        <w:t>, et al.,</w:t>
      </w:r>
      <w:r>
        <w:t xml:space="preserve"> U.S. District Court Judge Sarala v. </w:t>
      </w:r>
      <w:proofErr w:type="spellStart"/>
      <w:r>
        <w:t>Nagala</w:t>
      </w:r>
      <w:proofErr w:type="spellEnd"/>
      <w:r>
        <w:t xml:space="preserve">, United States District Court for the District of Connecticut, denied the municipal defendant’s motion to dismiss the hostile work environment claims, which will now proceed to pre-trial discovery.  Claims alleging a Town official policy or custom that led to the hostile work environment were dismissed.  The plaintiff was the </w:t>
      </w:r>
      <w:proofErr w:type="gramStart"/>
      <w:r>
        <w:t>Captain</w:t>
      </w:r>
      <w:proofErr w:type="gramEnd"/>
      <w:r>
        <w:t xml:space="preserve"> in charge of the Town’s Fire Company No. 2 (and a 2018 retired lieutenant from Hartford Fire Department). On July 10, </w:t>
      </w:r>
      <w:proofErr w:type="gramStart"/>
      <w:r>
        <w:t>2023</w:t>
      </w:r>
      <w:proofErr w:type="gramEnd"/>
      <w:r>
        <w:t xml:space="preserve"> she learned of a firefighter having pornography in his locker, and she ordered it removed; the firefighter did so but demanded to know who told her about the materials.  Based on other allegations, on August 17, </w:t>
      </w:r>
      <w:proofErr w:type="gramStart"/>
      <w:r>
        <w:t>2023</w:t>
      </w:r>
      <w:proofErr w:type="gramEnd"/>
      <w:r>
        <w:t xml:space="preserve"> she was placed on administrative leave; and restored to her position as Captain on November 6, </w:t>
      </w:r>
      <w:proofErr w:type="gramStart"/>
      <w:r>
        <w:t>2023</w:t>
      </w:r>
      <w:proofErr w:type="gramEnd"/>
      <w:r>
        <w:t xml:space="preserve"> </w:t>
      </w:r>
      <w:r w:rsidRPr="002A7501">
        <w:t>but also that she would be placed on a one-year probation based on her “actions and behaviors” and “issues related to the morale at Company 2</w:t>
      </w:r>
      <w:r>
        <w:t>.</w:t>
      </w:r>
      <w:r w:rsidRPr="002A7501">
        <w:t>”</w:t>
      </w:r>
      <w:r>
        <w:t xml:space="preserve"> </w:t>
      </w:r>
      <w:hyperlink r:id="rId1284" w:history="1">
        <w:r w:rsidRPr="00502BCE">
          <w:rPr>
            <w:rStyle w:val="Hyperlink"/>
          </w:rPr>
          <w:t>https://cases.justia.com/federal/district-courts/connecticut/ctdce/3:2025cv00524/164327/45/0.pdf?ts=1773222843</w:t>
        </w:r>
      </w:hyperlink>
      <w:r>
        <w:t xml:space="preserve"> </w:t>
      </w:r>
    </w:p>
    <w:p w14:paraId="38984443" w14:textId="77777777" w:rsidR="00487B33" w:rsidRDefault="00487B33" w:rsidP="00487B33">
      <w:pPr>
        <w:pStyle w:val="NoSpacing"/>
      </w:pPr>
    </w:p>
    <w:p w14:paraId="447F9DF3" w14:textId="77777777" w:rsidR="00487B33" w:rsidRDefault="00487B33" w:rsidP="00487B33">
      <w:pPr>
        <w:pStyle w:val="NoSpacing"/>
      </w:pPr>
      <w:r>
        <w:t>THE COURT HELD:  “</w:t>
      </w:r>
      <w:r w:rsidRPr="006764CD">
        <w:t>The Court concludes that Plaintiff has plausibly stated a claim that she was subjected to a hostile work environment under both Title VII and the CFEPA</w:t>
      </w:r>
      <w:r>
        <w:t xml:space="preserve">…. </w:t>
      </w:r>
      <w:r w:rsidRPr="00F562F1">
        <w:t>Examining the totality of the circumstances, Plaintiff's complaint alleges facts supporting a reasonable inference that the Municipal Defendants subjected Plaintiff to negative treatment because of her sex.</w:t>
      </w:r>
    </w:p>
    <w:p w14:paraId="6EDB446C" w14:textId="77777777" w:rsidR="00487B33" w:rsidRDefault="00487B33" w:rsidP="00487B33">
      <w:pPr>
        <w:pStyle w:val="NoSpacing"/>
      </w:pPr>
    </w:p>
    <w:p w14:paraId="6CDCD892" w14:textId="77777777" w:rsidR="00487B33" w:rsidRDefault="00487B33" w:rsidP="00487B33">
      <w:pPr>
        <w:pStyle w:val="NoSpacing"/>
      </w:pPr>
      <w:r>
        <w:t>***</w:t>
      </w:r>
    </w:p>
    <w:p w14:paraId="6F6D4442" w14:textId="77777777" w:rsidR="00487B33" w:rsidRDefault="00487B33" w:rsidP="00487B33">
      <w:pPr>
        <w:pStyle w:val="NoSpacing"/>
      </w:pPr>
    </w:p>
    <w:p w14:paraId="4DE0957B" w14:textId="77777777" w:rsidR="00487B33" w:rsidRPr="008655CD" w:rsidRDefault="00487B33" w:rsidP="00487B33">
      <w:pPr>
        <w:pStyle w:val="NoSpacing"/>
      </w:pPr>
      <w:r w:rsidRPr="008655CD">
        <w:t xml:space="preserve">First, the Second Circuit has noted that the mere presence of pornography in a workplace can alter a female plaintiff's </w:t>
      </w:r>
      <w:r>
        <w:t>‘</w:t>
      </w:r>
      <w:r w:rsidRPr="008655CD">
        <w:t xml:space="preserve">status in </w:t>
      </w:r>
      <w:proofErr w:type="spellStart"/>
      <w:r w:rsidRPr="008655CD">
        <w:t>th</w:t>
      </w:r>
      <w:proofErr w:type="spellEnd"/>
      <w:r w:rsidRPr="008655CD">
        <w:t>[at] workplace.</w:t>
      </w:r>
      <w:r>
        <w:t>’</w:t>
      </w:r>
      <w:r w:rsidRPr="008655CD">
        <w:t xml:space="preserve"> </w:t>
      </w:r>
      <w:r w:rsidRPr="008655CD">
        <w:rPr>
          <w:i/>
          <w:iCs/>
        </w:rPr>
        <w:t>Wolak v. Spucci</w:t>
      </w:r>
      <w:r w:rsidRPr="008655CD">
        <w:t xml:space="preserve">, 217 F.3d 157, 161 (2d Cir. 2000); </w:t>
      </w:r>
      <w:proofErr w:type="gramStart"/>
      <w:r w:rsidRPr="008655CD">
        <w:rPr>
          <w:i/>
          <w:iCs/>
        </w:rPr>
        <w:t>see also</w:t>
      </w:r>
      <w:proofErr w:type="gramEnd"/>
      <w:r w:rsidRPr="008655CD">
        <w:rPr>
          <w:i/>
          <w:iCs/>
        </w:rPr>
        <w:t xml:space="preserve"> Patane</w:t>
      </w:r>
      <w:r w:rsidRPr="008655CD">
        <w:t xml:space="preserve">, 508 F.3d at 114. Although Plaintiff does not allege she was directly exposed to these materials like the plaintiffs in </w:t>
      </w:r>
      <w:r w:rsidRPr="008655CD">
        <w:rPr>
          <w:i/>
          <w:iCs/>
        </w:rPr>
        <w:t>Wolak</w:t>
      </w:r>
      <w:r w:rsidRPr="008655CD">
        <w:t xml:space="preserve"> and </w:t>
      </w:r>
      <w:r w:rsidRPr="008655CD">
        <w:rPr>
          <w:i/>
          <w:iCs/>
        </w:rPr>
        <w:t>Patane</w:t>
      </w:r>
      <w:r w:rsidRPr="008655CD">
        <w:t xml:space="preserve">, the presence of </w:t>
      </w:r>
    </w:p>
    <w:p w14:paraId="3BD3731D" w14:textId="77777777" w:rsidR="00487B33" w:rsidRDefault="00487B33" w:rsidP="00487B33">
      <w:pPr>
        <w:pStyle w:val="NoSpacing"/>
      </w:pPr>
      <w:r w:rsidRPr="008655CD">
        <w:lastRenderedPageBreak/>
        <w:t xml:space="preserve">pornography in a male firefighter's locker can be considered </w:t>
      </w:r>
      <w:r>
        <w:t>‘</w:t>
      </w:r>
      <w:r w:rsidRPr="008655CD">
        <w:t>particularly offensive to women and intended to provoke Plaintiff's reaction as a woman,</w:t>
      </w:r>
      <w:r>
        <w:t>’</w:t>
      </w:r>
      <w:r w:rsidRPr="008655CD">
        <w:t xml:space="preserve"> for purposes of stating a plausible claim of a hostile work environment</w:t>
      </w:r>
      <w:r>
        <w:t xml:space="preserve">…. </w:t>
      </w:r>
    </w:p>
    <w:p w14:paraId="39F3FACC" w14:textId="77777777" w:rsidR="00487B33" w:rsidRDefault="00487B33" w:rsidP="00487B33">
      <w:pPr>
        <w:pStyle w:val="NoSpacing"/>
      </w:pPr>
    </w:p>
    <w:p w14:paraId="5FE94717" w14:textId="77777777" w:rsidR="00487B33" w:rsidRDefault="00487B33" w:rsidP="00487B33">
      <w:pPr>
        <w:pStyle w:val="NoSpacing"/>
      </w:pPr>
      <w:r w:rsidRPr="007478EC">
        <w:t>When considered in combination with the pornography incident, these allegations, taken as true, show that both the Individual and Municipal Defendants undermined, denigrated, and affirmatively sidelined Plaintiff—a decorated female leader in the NVPD. Thus, they state a plausible claim that the Municipal Defendants created hostile work environment for Plaintiff because of her sex.</w:t>
      </w:r>
      <w:r>
        <w:t>”</w:t>
      </w:r>
    </w:p>
    <w:p w14:paraId="1359152D" w14:textId="77777777" w:rsidR="00487B33" w:rsidRDefault="00487B33" w:rsidP="00487B33">
      <w:pPr>
        <w:pStyle w:val="NoSpacing"/>
      </w:pPr>
    </w:p>
    <w:p w14:paraId="5B8E0E54" w14:textId="77777777" w:rsidR="00487B33" w:rsidRPr="006A39CE" w:rsidRDefault="00487B33" w:rsidP="00487B33">
      <w:pPr>
        <w:pStyle w:val="NoSpacing"/>
        <w:rPr>
          <w:b/>
          <w:bCs/>
        </w:rPr>
      </w:pPr>
      <w:r w:rsidRPr="006A39CE">
        <w:rPr>
          <w:b/>
        </w:rPr>
        <w:t xml:space="preserve">Legal lesson learned: </w:t>
      </w:r>
      <w:r>
        <w:rPr>
          <w:b/>
        </w:rPr>
        <w:t xml:space="preserve">The presence of pornography can “alter a female’s status in the workplace. </w:t>
      </w:r>
    </w:p>
    <w:p w14:paraId="73C88215" w14:textId="77777777" w:rsidR="00487B33" w:rsidRDefault="00487B33" w:rsidP="00487B33">
      <w:pPr>
        <w:pStyle w:val="NoSpacing"/>
      </w:pPr>
    </w:p>
    <w:p w14:paraId="10F8A869" w14:textId="77777777" w:rsidR="007B6232" w:rsidRDefault="007B6232" w:rsidP="00292E1C">
      <w:pPr>
        <w:pStyle w:val="NoSpacing"/>
        <w:rPr>
          <w:rFonts w:ascii="Arial Black" w:hAnsi="Arial Black"/>
          <w:sz w:val="28"/>
          <w:szCs w:val="28"/>
        </w:rPr>
      </w:pPr>
    </w:p>
    <w:p w14:paraId="1F738C5A" w14:textId="77777777" w:rsidR="007B6232" w:rsidRDefault="007B6232" w:rsidP="00292E1C">
      <w:pPr>
        <w:pStyle w:val="NoSpacing"/>
        <w:rPr>
          <w:rFonts w:ascii="Arial Black" w:hAnsi="Arial Black"/>
          <w:sz w:val="28"/>
          <w:szCs w:val="28"/>
        </w:rPr>
      </w:pPr>
    </w:p>
    <w:p w14:paraId="55E7E88D" w14:textId="0CE3EFCF" w:rsidR="004578CE" w:rsidRDefault="00027641" w:rsidP="00292E1C">
      <w:pPr>
        <w:pStyle w:val="NoSpacing"/>
        <w:rPr>
          <w:rFonts w:ascii="Arial Black" w:hAnsi="Arial Black"/>
          <w:sz w:val="28"/>
          <w:szCs w:val="28"/>
        </w:rPr>
      </w:pPr>
      <w:r>
        <w:rPr>
          <w:rFonts w:ascii="Arial Black" w:hAnsi="Arial Black"/>
          <w:sz w:val="28"/>
          <w:szCs w:val="28"/>
        </w:rPr>
        <w:t>7-</w:t>
      </w:r>
      <w:r w:rsidR="001C06FF">
        <w:rPr>
          <w:rFonts w:ascii="Arial Black" w:hAnsi="Arial Black"/>
          <w:sz w:val="28"/>
          <w:szCs w:val="28"/>
        </w:rPr>
        <w:t>87</w:t>
      </w:r>
    </w:p>
    <w:p w14:paraId="78524C4A" w14:textId="77777777" w:rsidR="001C06FF" w:rsidRDefault="001C06FF" w:rsidP="00292E1C">
      <w:pPr>
        <w:pStyle w:val="NoSpacing"/>
        <w:rPr>
          <w:rFonts w:ascii="Arial Black" w:hAnsi="Arial Black"/>
          <w:sz w:val="28"/>
          <w:szCs w:val="28"/>
        </w:rPr>
      </w:pPr>
    </w:p>
    <w:p w14:paraId="12FE208E" w14:textId="77777777" w:rsidR="003F5F35" w:rsidRPr="00D6142A" w:rsidRDefault="003F5F35" w:rsidP="003F5F35">
      <w:pPr>
        <w:pStyle w:val="NoSpacing"/>
        <w:rPr>
          <w:rFonts w:ascii="Arial Black" w:hAnsi="Arial Black"/>
          <w:bCs/>
          <w:sz w:val="28"/>
          <w:szCs w:val="28"/>
        </w:rPr>
      </w:pPr>
      <w:r>
        <w:rPr>
          <w:rFonts w:ascii="Arial Black" w:hAnsi="Arial Black"/>
          <w:sz w:val="28"/>
          <w:szCs w:val="28"/>
        </w:rPr>
        <w:t>DC: HOSTILE WORK ENVIRON – BY SGT – CASE PROCEED</w:t>
      </w:r>
    </w:p>
    <w:p w14:paraId="3A33B01E" w14:textId="77777777" w:rsidR="003F5F35" w:rsidRDefault="003F5F35" w:rsidP="003F5F35">
      <w:pPr>
        <w:pStyle w:val="NoSpacing"/>
        <w:rPr>
          <w:bCs/>
        </w:rPr>
      </w:pPr>
    </w:p>
    <w:p w14:paraId="6BF84224" w14:textId="77777777" w:rsidR="003F5F35" w:rsidRDefault="003F5F35" w:rsidP="003F5F35">
      <w:pPr>
        <w:pStyle w:val="NoSpacing"/>
        <w:rPr>
          <w:bCs/>
        </w:rPr>
      </w:pPr>
      <w:r>
        <w:t xml:space="preserve">On February 12, 2026, in </w:t>
      </w:r>
      <w:r w:rsidRPr="00DD44A7">
        <w:rPr>
          <w:u w:val="single"/>
        </w:rPr>
        <w:t>Whitney Ward v. District of Columbia</w:t>
      </w:r>
      <w:r>
        <w:t xml:space="preserve">, U.S. District Court Judge Reggie B. Walton, </w:t>
      </w:r>
      <w:r w:rsidRPr="00A610BD">
        <w:t>United States District Court, District of Columbia</w:t>
      </w:r>
      <w:r>
        <w:t xml:space="preserve">, held that the hostile work atmosphere case may proceed based on her allegation [black female in Fire Investigations Unit] of conduct by her direct supervisor, but there was no evidence of retaliation by the fire department after filing an EEOC complaint (she was promoted to Sergeant in October 2024 and transferred to an Engine company).  THE COURT HELD: </w:t>
      </w:r>
      <w:r w:rsidRPr="003358D2">
        <w:t>The plaintiff alleges that Sgt. F</w:t>
      </w:r>
      <w:r>
        <w:t>ord  ‘</w:t>
      </w:r>
      <w:r w:rsidRPr="003358D2">
        <w:t>inappropriate and overly sexual conduct</w:t>
      </w:r>
      <w:r>
        <w:t>’</w:t>
      </w:r>
      <w:r w:rsidRPr="003358D2">
        <w:t xml:space="preserve"> continued </w:t>
      </w:r>
      <w:r>
        <w:t>‘</w:t>
      </w:r>
      <w:r w:rsidRPr="003358D2">
        <w:t>over the course of years,</w:t>
      </w:r>
      <w:r>
        <w:t xml:space="preserve">’ … </w:t>
      </w:r>
      <w:r w:rsidRPr="003358D2">
        <w:t xml:space="preserve">and that </w:t>
      </w:r>
      <w:r>
        <w:t>‘</w:t>
      </w:r>
      <w:r w:rsidRPr="003358D2">
        <w:t>Sgt. F</w:t>
      </w:r>
      <w:r>
        <w:t>ord</w:t>
      </w:r>
      <w:r w:rsidRPr="003358D2">
        <w:t xml:space="preserve"> </w:t>
      </w:r>
      <w:r>
        <w:t xml:space="preserve"> </w:t>
      </w:r>
      <w:r w:rsidRPr="003358D2">
        <w:t>comments were accompanied by lewd and suggestive non-verbal traits, such as tone of voice and facial expressions</w:t>
      </w:r>
      <w:r>
        <w:t xml:space="preserve">’ </w:t>
      </w:r>
      <w:r w:rsidRPr="003358D2">
        <w:t xml:space="preserve"> that the plaintiff represents </w:t>
      </w:r>
      <w:r>
        <w:t>‘</w:t>
      </w:r>
      <w:r w:rsidRPr="003358D2">
        <w:t>made clear that his comments were of a flirtatious or solicitous nature, which made [her] extremely uncomfortable[,]</w:t>
      </w:r>
      <w:r>
        <w:t xml:space="preserve">’ … </w:t>
      </w:r>
      <w:r w:rsidRPr="003358D2">
        <w:t xml:space="preserve">The plaintiff states that she was the only woman on her shift and </w:t>
      </w:r>
      <w:r>
        <w:t>‘</w:t>
      </w:r>
      <w:r w:rsidRPr="003358D2">
        <w:t>[Sgt.]</w:t>
      </w:r>
      <w:r>
        <w:t xml:space="preserve"> </w:t>
      </w:r>
      <w:r w:rsidRPr="003358D2">
        <w:t>F</w:t>
      </w:r>
      <w:r>
        <w:t xml:space="preserve">ord </w:t>
      </w:r>
      <w:r w:rsidRPr="003358D2">
        <w:t>repeated objectification and sexualization</w:t>
      </w:r>
      <w:r>
        <w:t>’</w:t>
      </w:r>
      <w:r w:rsidRPr="003358D2">
        <w:t xml:space="preserve"> made her </w:t>
      </w:r>
      <w:r>
        <w:t>‘</w:t>
      </w:r>
      <w:r w:rsidRPr="003358D2">
        <w:t>go [through] extra lengths and efforts to be taken seriously by her male colleagues.</w:t>
      </w:r>
      <w:r>
        <w:t xml:space="preserve">’ … </w:t>
      </w:r>
      <w:r w:rsidRPr="003358D2">
        <w:t xml:space="preserve"> </w:t>
      </w:r>
      <w:r w:rsidRPr="00AB090B">
        <w:t>Then, during a shift change on or about June 21, 2023, while the plaintiff was speaking with a friend and colleague about a new tattoo on her leg</w:t>
      </w:r>
      <w:r>
        <w:t xml:space="preserve"> … </w:t>
      </w:r>
      <w:r w:rsidRPr="00AB090B">
        <w:t>Sgt</w:t>
      </w:r>
      <w:r>
        <w:t xml:space="preserve">, </w:t>
      </w:r>
      <w:r w:rsidRPr="003358D2">
        <w:t>F</w:t>
      </w:r>
      <w:r>
        <w:t xml:space="preserve">ord </w:t>
      </w:r>
      <w:r w:rsidRPr="00AB090B">
        <w:t xml:space="preserve">approached the plaintiff </w:t>
      </w:r>
      <w:r>
        <w:t>‘</w:t>
      </w:r>
      <w:r w:rsidRPr="00AB090B">
        <w:t>in an aggressive manner and stated, ‘Is that flavored ink they used? What flavor is that?</w:t>
      </w:r>
      <w:r>
        <w:t xml:space="preserve">’ … </w:t>
      </w:r>
      <w:r w:rsidRPr="00AB090B">
        <w:t xml:space="preserve">with </w:t>
      </w:r>
      <w:r>
        <w:t>‘</w:t>
      </w:r>
      <w:r w:rsidRPr="00AB090B">
        <w:t>an expression on his face like he was salivating or hungry to taste something[,]</w:t>
      </w:r>
      <w:r>
        <w:t xml:space="preserve">’ …  </w:t>
      </w:r>
      <w:r w:rsidRPr="00AB090B">
        <w:t>Another colleague intervened, telling Sgt. F</w:t>
      </w:r>
      <w:r>
        <w:t xml:space="preserve"> </w:t>
      </w:r>
      <w:r w:rsidRPr="00AB090B">
        <w:t xml:space="preserve">that he </w:t>
      </w:r>
      <w:r>
        <w:t>‘</w:t>
      </w:r>
      <w:r w:rsidRPr="00AB090B">
        <w:t>better back up and leave her alone[.]</w:t>
      </w:r>
      <w:r>
        <w:t xml:space="preserve"> … </w:t>
      </w:r>
      <w:r w:rsidRPr="000215FD">
        <w:t>The plaintiff reported Sgt.</w:t>
      </w:r>
      <w:r>
        <w:t xml:space="preserve"> </w:t>
      </w:r>
      <w:r w:rsidRPr="003358D2">
        <w:t>F</w:t>
      </w:r>
      <w:r>
        <w:t xml:space="preserve">ord </w:t>
      </w:r>
      <w:r w:rsidRPr="000215FD">
        <w:t>to Capt. Brian Phillips</w:t>
      </w:r>
      <w:r>
        <w:t xml:space="preserve"> … </w:t>
      </w:r>
      <w:r w:rsidRPr="000215FD">
        <w:t xml:space="preserve">who </w:t>
      </w:r>
      <w:r>
        <w:t>‘</w:t>
      </w:r>
      <w:r w:rsidRPr="000215FD">
        <w:t>called Sgt. Ford into his office and told [him] that his conduct was unacceptable, especially given that Sgt. Ford was ostensibly an [Equal Employment Opportunity (‘EEO')] counselor for the department</w:t>
      </w:r>
      <w:r>
        <w:t xml:space="preserve">.’… </w:t>
      </w:r>
      <w:r w:rsidRPr="004A28FA">
        <w:t>In response to what had occurred, the plaintiff filed an EEO complaint on January 8, 2024</w:t>
      </w:r>
      <w:r>
        <w:t xml:space="preserve">. *** </w:t>
      </w:r>
      <w:r w:rsidRPr="00A07375">
        <w:t>As the Court has already concluded, the plaintiff alleges that Sgt.</w:t>
      </w:r>
      <w:r>
        <w:t xml:space="preserve"> </w:t>
      </w:r>
      <w:r w:rsidRPr="003358D2">
        <w:t>F</w:t>
      </w:r>
      <w:r>
        <w:t xml:space="preserve">ord </w:t>
      </w:r>
      <w:r w:rsidRPr="00A07375">
        <w:t>conduct was both frequent and lasted over the course of years, and that Sgt.</w:t>
      </w:r>
      <w:r w:rsidRPr="00FB3525">
        <w:t xml:space="preserve"> </w:t>
      </w:r>
      <w:r w:rsidRPr="003358D2">
        <w:t>F</w:t>
      </w:r>
      <w:r>
        <w:t>ord.</w:t>
      </w:r>
      <w:r w:rsidRPr="00A07375">
        <w:t xml:space="preserve"> comments and actions were sufficiently humiliating or degrading to support her Title VII hostile work environment claim at this stage of the case.</w:t>
      </w:r>
      <w:r>
        <w:t>”</w:t>
      </w:r>
    </w:p>
    <w:p w14:paraId="2E0E57B7" w14:textId="77777777" w:rsidR="003F5F35" w:rsidRDefault="003F5F35" w:rsidP="003F5F35">
      <w:pPr>
        <w:pStyle w:val="NoSpacing"/>
        <w:rPr>
          <w:bCs/>
        </w:rPr>
      </w:pPr>
    </w:p>
    <w:p w14:paraId="7747CC09" w14:textId="77777777" w:rsidR="003F5F35" w:rsidRPr="00704126" w:rsidRDefault="003F5F35" w:rsidP="003F5F35">
      <w:pPr>
        <w:pStyle w:val="NoSpacing"/>
        <w:rPr>
          <w:b/>
          <w:bCs/>
        </w:rPr>
      </w:pPr>
      <w:r>
        <w:rPr>
          <w:b/>
        </w:rPr>
        <w:t xml:space="preserve">Legal lesson learned: Comments by a Supervisor can lead to a hostile work environment lawsuit against the employer. </w:t>
      </w:r>
    </w:p>
    <w:p w14:paraId="186B7D31" w14:textId="77777777" w:rsidR="003F5F35" w:rsidRDefault="003F5F35" w:rsidP="003F5F35">
      <w:pPr>
        <w:pStyle w:val="NoSpacing"/>
      </w:pPr>
    </w:p>
    <w:p w14:paraId="721A1120" w14:textId="77777777" w:rsidR="001C06FF" w:rsidRDefault="001C06FF" w:rsidP="00292E1C">
      <w:pPr>
        <w:pStyle w:val="NoSpacing"/>
        <w:rPr>
          <w:rFonts w:ascii="Arial Black" w:hAnsi="Arial Black"/>
          <w:sz w:val="28"/>
          <w:szCs w:val="28"/>
        </w:rPr>
      </w:pPr>
    </w:p>
    <w:p w14:paraId="42B6121B" w14:textId="77777777" w:rsidR="004578CE" w:rsidRDefault="004578CE" w:rsidP="00292E1C">
      <w:pPr>
        <w:pStyle w:val="NoSpacing"/>
        <w:rPr>
          <w:rFonts w:ascii="Arial Black" w:hAnsi="Arial Black"/>
          <w:sz w:val="28"/>
          <w:szCs w:val="28"/>
        </w:rPr>
      </w:pPr>
    </w:p>
    <w:p w14:paraId="2C7F453D" w14:textId="77777777" w:rsidR="004578CE" w:rsidRDefault="004578CE" w:rsidP="00292E1C">
      <w:pPr>
        <w:pStyle w:val="NoSpacing"/>
        <w:rPr>
          <w:rFonts w:ascii="Arial Black" w:hAnsi="Arial Black"/>
          <w:sz w:val="28"/>
          <w:szCs w:val="28"/>
        </w:rPr>
      </w:pPr>
    </w:p>
    <w:p w14:paraId="59780365" w14:textId="5DE16F7F" w:rsidR="00C6586C" w:rsidRDefault="00C6586C" w:rsidP="00292E1C">
      <w:pPr>
        <w:pStyle w:val="NoSpacing"/>
        <w:rPr>
          <w:rFonts w:ascii="Arial Black" w:hAnsi="Arial Black"/>
          <w:sz w:val="28"/>
          <w:szCs w:val="28"/>
        </w:rPr>
      </w:pPr>
      <w:r>
        <w:rPr>
          <w:rFonts w:ascii="Arial Black" w:hAnsi="Arial Black"/>
          <w:sz w:val="28"/>
          <w:szCs w:val="28"/>
        </w:rPr>
        <w:t>7-86</w:t>
      </w:r>
    </w:p>
    <w:p w14:paraId="488FA2E9" w14:textId="77777777" w:rsidR="00C6586C" w:rsidRDefault="00C6586C" w:rsidP="00292E1C">
      <w:pPr>
        <w:pStyle w:val="NoSpacing"/>
        <w:rPr>
          <w:rFonts w:ascii="Arial Black" w:hAnsi="Arial Black"/>
          <w:sz w:val="28"/>
          <w:szCs w:val="28"/>
        </w:rPr>
      </w:pPr>
    </w:p>
    <w:p w14:paraId="27C9FC8E" w14:textId="345E2555" w:rsidR="00C6586C" w:rsidRPr="00111FFC" w:rsidRDefault="00C6586C" w:rsidP="00C6586C">
      <w:pPr>
        <w:rPr>
          <w:rFonts w:ascii="Arial Black" w:hAnsi="Arial Black"/>
          <w:b/>
          <w:sz w:val="28"/>
          <w:szCs w:val="28"/>
        </w:rPr>
      </w:pPr>
      <w:r>
        <w:rPr>
          <w:rFonts w:ascii="Arial Black" w:hAnsi="Arial Black"/>
          <w:b/>
          <w:sz w:val="28"/>
          <w:szCs w:val="28"/>
        </w:rPr>
        <w:t xml:space="preserve">VA: FEMALE EMT - FIRED WRONG DATE </w:t>
      </w:r>
      <w:r w:rsidR="007E7FBC">
        <w:rPr>
          <w:rFonts w:ascii="Arial Black" w:hAnsi="Arial Black"/>
          <w:b/>
          <w:sz w:val="28"/>
          <w:szCs w:val="28"/>
        </w:rPr>
        <w:t xml:space="preserve">ON </w:t>
      </w:r>
      <w:r>
        <w:rPr>
          <w:rFonts w:ascii="Arial Black" w:hAnsi="Arial Black"/>
          <w:b/>
          <w:sz w:val="28"/>
          <w:szCs w:val="28"/>
        </w:rPr>
        <w:t xml:space="preserve">RPT – </w:t>
      </w:r>
      <w:r w:rsidR="004035C1">
        <w:rPr>
          <w:rFonts w:ascii="Arial Black" w:hAnsi="Arial Black"/>
          <w:b/>
          <w:sz w:val="28"/>
          <w:szCs w:val="28"/>
        </w:rPr>
        <w:t xml:space="preserve">CASE </w:t>
      </w:r>
      <w:r>
        <w:rPr>
          <w:rFonts w:ascii="Arial Black" w:hAnsi="Arial Black"/>
          <w:b/>
          <w:sz w:val="28"/>
          <w:szCs w:val="28"/>
        </w:rPr>
        <w:t xml:space="preserve">PROCEED  </w:t>
      </w:r>
    </w:p>
    <w:p w14:paraId="0AEA9899" w14:textId="77777777" w:rsidR="00C6586C" w:rsidRPr="00A47355" w:rsidRDefault="00C6586C" w:rsidP="00C6586C">
      <w:pPr>
        <w:pStyle w:val="NoSpacing"/>
      </w:pPr>
      <w:r>
        <w:t xml:space="preserve">On January 22, 2026, in </w:t>
      </w:r>
      <w:r w:rsidRPr="00F05AFE">
        <w:rPr>
          <w:u w:val="single"/>
        </w:rPr>
        <w:t>Jada Marshall v. Accomack County Department of Public Safety</w:t>
      </w:r>
      <w:r>
        <w:t xml:space="preserve">, U.S. District Court Judge Raymond A. Jackson, United States District Court for Eastern District of Virginia,  Norfolk, denied defense motion to </w:t>
      </w:r>
      <w:r>
        <w:lastRenderedPageBreak/>
        <w:t>dismiss the lawsuit. “</w:t>
      </w:r>
      <w:r w:rsidRPr="000F0BD1">
        <w:t>When reviewed in totality, Plaintiffs workplace circumstances establish conditions sufficient for a sex-based hostile workplace claim to survive at this stage.</w:t>
      </w:r>
      <w:r>
        <w:t xml:space="preserve">” </w:t>
      </w:r>
      <w:hyperlink r:id="rId1285" w:history="1">
        <w:r w:rsidRPr="003F4532">
          <w:rPr>
            <w:rStyle w:val="Hyperlink"/>
          </w:rPr>
          <w:t>https://cases.justia.com/federal/district-courts/virginia/vaedce/2:2025cv00255/573201/8/0.pdf?ts=1769187301</w:t>
        </w:r>
      </w:hyperlink>
      <w:r>
        <w:t xml:space="preserve"> </w:t>
      </w:r>
    </w:p>
    <w:p w14:paraId="64ECE438" w14:textId="77777777" w:rsidR="00C6586C" w:rsidRDefault="00C6586C" w:rsidP="00C6586C">
      <w:pPr>
        <w:pStyle w:val="NoSpacing"/>
      </w:pPr>
    </w:p>
    <w:p w14:paraId="6EFC32D9" w14:textId="77777777" w:rsidR="00C6586C" w:rsidRDefault="00C6586C" w:rsidP="00C6586C">
      <w:pPr>
        <w:pStyle w:val="NoSpacing"/>
      </w:pPr>
      <w:r>
        <w:t xml:space="preserve">THE COURT HELD: </w:t>
      </w:r>
    </w:p>
    <w:p w14:paraId="5C37AE5C" w14:textId="77777777" w:rsidR="00C6586C" w:rsidRDefault="00C6586C" w:rsidP="00C6586C">
      <w:pPr>
        <w:pStyle w:val="NoSpacing"/>
      </w:pPr>
    </w:p>
    <w:p w14:paraId="5F28DF41" w14:textId="77777777" w:rsidR="00C6586C" w:rsidRDefault="00C6586C" w:rsidP="00C6586C">
      <w:pPr>
        <w:pStyle w:val="NoSpacing"/>
        <w:ind w:left="720"/>
      </w:pPr>
      <w:r>
        <w:t>“</w:t>
      </w:r>
      <w:r w:rsidRPr="00FD2B4B">
        <w:t>Plaintiff began employment on September 5, 2023</w:t>
      </w:r>
      <w:r>
        <w:t xml:space="preserve">…. </w:t>
      </w:r>
      <w:r w:rsidRPr="00FD2B4B">
        <w:t xml:space="preserve"> As a condition of her employment, Plaintiff was required to complete Advanced EMT and Firefighter training at the Fire Academy within 12 months of her date of hire</w:t>
      </w:r>
      <w:r>
        <w:t xml:space="preserve">… </w:t>
      </w:r>
      <w:r w:rsidRPr="00FD2B4B">
        <w:t xml:space="preserve"> On October 12, 2023, Plaintiffs Fire Academy instructor, Phillip </w:t>
      </w:r>
      <w:proofErr w:type="gramStart"/>
      <w:r w:rsidRPr="00FD2B4B">
        <w:t>Kelly (</w:t>
      </w:r>
      <w:r>
        <w:t>‘</w:t>
      </w:r>
      <w:proofErr w:type="gramEnd"/>
      <w:r w:rsidRPr="00FD2B4B">
        <w:t xml:space="preserve">Instructor </w:t>
      </w:r>
      <w:proofErr w:type="gramStart"/>
      <w:r w:rsidRPr="00FD2B4B">
        <w:t>Kelly</w:t>
      </w:r>
      <w:r>
        <w:t>’</w:t>
      </w:r>
      <w:r w:rsidRPr="00FD2B4B">
        <w:t>)</w:t>
      </w:r>
      <w:proofErr w:type="gramEnd"/>
      <w:r w:rsidRPr="00FD2B4B">
        <w:t xml:space="preserve">, sent Plaintiff a text message stating, </w:t>
      </w:r>
      <w:r>
        <w:t>‘</w:t>
      </w:r>
      <w:r w:rsidRPr="00FD2B4B">
        <w:t>I would ask you out if I was not married.</w:t>
      </w:r>
      <w:r>
        <w:t xml:space="preserve">’ … </w:t>
      </w:r>
      <w:r w:rsidRPr="006B05C1">
        <w:t>Plaintiff reported the perceived harassment to her supervisor, Captain Shawn Malone (</w:t>
      </w:r>
      <w:r>
        <w:t>‘</w:t>
      </w:r>
      <w:r w:rsidRPr="006B05C1">
        <w:t>Cpt. Malone</w:t>
      </w:r>
      <w:r>
        <w:t>’</w:t>
      </w:r>
      <w:r w:rsidRPr="006B05C1">
        <w:t>)</w:t>
      </w:r>
      <w:r>
        <w:t>…. P</w:t>
      </w:r>
      <w:r w:rsidRPr="006B05C1">
        <w:t xml:space="preserve">laintiff alleges that, following this report, Cpt. Malone </w:t>
      </w:r>
      <w:r>
        <w:t>‘</w:t>
      </w:r>
      <w:r w:rsidRPr="006B05C1">
        <w:t>blamed</w:t>
      </w:r>
      <w:r>
        <w:t>’</w:t>
      </w:r>
      <w:r w:rsidRPr="006B05C1">
        <w:t xml:space="preserve"> and </w:t>
      </w:r>
      <w:r>
        <w:t>‘</w:t>
      </w:r>
      <w:r w:rsidRPr="006B05C1">
        <w:t>belittled</w:t>
      </w:r>
      <w:r>
        <w:t>’</w:t>
      </w:r>
      <w:r w:rsidRPr="006B05C1">
        <w:t xml:space="preserve"> her, rather than disciplining Instructor Kelly or reporting her complaint to the County Administrator as required by DPS policy</w:t>
      </w:r>
      <w:r>
        <w:t xml:space="preserve">…. </w:t>
      </w:r>
      <w:r w:rsidRPr="006B05C1">
        <w:t xml:space="preserve">Cpt. Malone also told Plaintiff that </w:t>
      </w:r>
      <w:r>
        <w:t>‘</w:t>
      </w:r>
      <w:r w:rsidRPr="006B05C1">
        <w:t>she was not mature or mentally fit enough to work for DPS,</w:t>
      </w:r>
      <w:r>
        <w:t>’</w:t>
      </w:r>
      <w:r w:rsidRPr="006B05C1">
        <w:t xml:space="preserve"> </w:t>
      </w:r>
      <w:r>
        <w:t>‘</w:t>
      </w:r>
      <w:r w:rsidRPr="006B05C1">
        <w:t>she needed therapy</w:t>
      </w:r>
      <w:r>
        <w:t>’</w:t>
      </w:r>
      <w:r w:rsidRPr="006B05C1">
        <w:t xml:space="preserve"> and </w:t>
      </w:r>
      <w:r>
        <w:t>‘</w:t>
      </w:r>
      <w:r w:rsidRPr="006B05C1">
        <w:t>she should get her home life straight.</w:t>
      </w:r>
      <w:r>
        <w:t xml:space="preserve">’ … </w:t>
      </w:r>
      <w:r w:rsidRPr="006B05C1">
        <w:t xml:space="preserve">Cpt. Malone also spoke to coworkers about Plaintiff, allegedly saying Plaintiff had engaged in sexual relationships with other co-workers and that Plaintiff should </w:t>
      </w:r>
      <w:r>
        <w:t>‘</w:t>
      </w:r>
      <w:r w:rsidRPr="006B05C1">
        <w:t>close her legs and do her job.</w:t>
      </w:r>
      <w:r>
        <w:t xml:space="preserve">’ … </w:t>
      </w:r>
      <w:r w:rsidRPr="00A47355">
        <w:t>On March 1, 2024, HR sent Plaintiff a letter granting her thirty additional days to complete the required training shifts</w:t>
      </w:r>
      <w:r>
        <w:t xml:space="preserve">…. </w:t>
      </w:r>
      <w:r w:rsidRPr="00A47355">
        <w:t>Plaintiff subsequently completed all required clinical shifts during the granted extension and submitted documentation to Defendant to verify the completed shifts</w:t>
      </w:r>
      <w:r>
        <w:t xml:space="preserve">…. </w:t>
      </w:r>
      <w:r w:rsidRPr="00A47355">
        <w:t>However, Plaintiff realized she incorrectly entered a date on the paperwork</w:t>
      </w:r>
      <w:r>
        <w:t xml:space="preserve">…. </w:t>
      </w:r>
      <w:r w:rsidRPr="00A47355">
        <w:t>Plaintiff attempted to correct the documents, but Defendant did not accept her correction</w:t>
      </w:r>
      <w:r>
        <w:t xml:space="preserve">…. </w:t>
      </w:r>
      <w:r w:rsidRPr="00A47355">
        <w:t>Instead, Defendant informed Plaintiff that she was being terminated, and cited the filing error as the sole reason for her termination</w:t>
      </w:r>
      <w:r>
        <w:t xml:space="preserve">…. </w:t>
      </w:r>
      <w:r w:rsidRPr="00A47355">
        <w:t>On March 26, 2024, Plaintiff received a letter from Defendant formalizing her termination.</w:t>
      </w:r>
    </w:p>
    <w:p w14:paraId="3E09A6AB" w14:textId="77777777" w:rsidR="00C6586C" w:rsidRDefault="00C6586C" w:rsidP="00C6586C">
      <w:pPr>
        <w:pStyle w:val="NoSpacing"/>
        <w:ind w:left="720"/>
      </w:pPr>
    </w:p>
    <w:p w14:paraId="134BB0BC" w14:textId="77777777" w:rsidR="00C6586C" w:rsidRPr="00A47355" w:rsidRDefault="00C6586C" w:rsidP="00C6586C">
      <w:pPr>
        <w:pStyle w:val="NoSpacing"/>
        <w:ind w:left="720"/>
      </w:pPr>
      <w:r>
        <w:t xml:space="preserve">*** </w:t>
      </w:r>
      <w:r w:rsidRPr="00A47355">
        <w:t xml:space="preserve"> </w:t>
      </w:r>
    </w:p>
    <w:p w14:paraId="59C7E221" w14:textId="77777777" w:rsidR="00C6586C" w:rsidRDefault="00C6586C" w:rsidP="00C6586C">
      <w:pPr>
        <w:pStyle w:val="NoSpacing"/>
        <w:ind w:left="720"/>
        <w:rPr>
          <w:b/>
          <w:bCs/>
        </w:rPr>
      </w:pPr>
      <w:r w:rsidRPr="00962B39">
        <w:t xml:space="preserve">Instructor Kelly's implicit proposition, in addition to Cpt. Malone's disparaging comments about Plaintiff </w:t>
      </w:r>
      <w:r>
        <w:t>‘</w:t>
      </w:r>
      <w:r w:rsidRPr="00962B39">
        <w:t>keeping her legs closed,</w:t>
      </w:r>
      <w:r>
        <w:t>’</w:t>
      </w:r>
      <w:r w:rsidRPr="00962B39">
        <w:t xml:space="preserve"> indicate inappropriate sexual discussion by Plaintiffs superiors in her workplace. And, although a hostile workplace claim must meet a demanding standard, courts in this district have found that sexual harassment by one's supervisor is more likely to meet that standard because of the influence the supervisor may have on the workplace and </w:t>
      </w:r>
      <w:proofErr w:type="gramStart"/>
      <w:r w:rsidRPr="00962B39">
        <w:t>in light of</w:t>
      </w:r>
      <w:proofErr w:type="gramEnd"/>
      <w:r w:rsidRPr="00962B39">
        <w:t xml:space="preserve"> the inherent power imbalance</w:t>
      </w:r>
      <w:r>
        <w:t xml:space="preserve">.” </w:t>
      </w:r>
    </w:p>
    <w:p w14:paraId="643AF0EA" w14:textId="77777777" w:rsidR="00C6586C" w:rsidRDefault="00C6586C" w:rsidP="00C6586C">
      <w:pPr>
        <w:pStyle w:val="NoSpacing"/>
        <w:rPr>
          <w:b/>
          <w:bCs/>
        </w:rPr>
      </w:pPr>
    </w:p>
    <w:p w14:paraId="4439348C" w14:textId="77777777" w:rsidR="00C6586C" w:rsidRDefault="00C6586C" w:rsidP="00C6586C">
      <w:pPr>
        <w:pStyle w:val="NoSpacing"/>
        <w:rPr>
          <w:b/>
          <w:bCs/>
        </w:rPr>
      </w:pPr>
      <w:r>
        <w:rPr>
          <w:b/>
        </w:rPr>
        <w:t xml:space="preserve">Legal lesson learned: If an officer believes FF / EMT is not mentally “not fit for the job” then work with HR to get employee professionally evaluated. </w:t>
      </w:r>
    </w:p>
    <w:p w14:paraId="61A1BC25" w14:textId="77777777" w:rsidR="00C6586C" w:rsidRDefault="00C6586C" w:rsidP="00C6586C">
      <w:pPr>
        <w:pStyle w:val="NoSpacing"/>
        <w:rPr>
          <w:b/>
          <w:bCs/>
        </w:rPr>
      </w:pPr>
    </w:p>
    <w:p w14:paraId="75F73570" w14:textId="77777777" w:rsidR="00C6586C" w:rsidRDefault="00C6586C" w:rsidP="00292E1C">
      <w:pPr>
        <w:pStyle w:val="NoSpacing"/>
        <w:rPr>
          <w:rFonts w:ascii="Arial Black" w:hAnsi="Arial Black"/>
          <w:sz w:val="28"/>
          <w:szCs w:val="28"/>
        </w:rPr>
      </w:pPr>
    </w:p>
    <w:p w14:paraId="31562364" w14:textId="77777777" w:rsidR="00C6586C" w:rsidRDefault="00C6586C" w:rsidP="00292E1C">
      <w:pPr>
        <w:pStyle w:val="NoSpacing"/>
        <w:rPr>
          <w:rFonts w:ascii="Arial Black" w:hAnsi="Arial Black"/>
          <w:sz w:val="28"/>
          <w:szCs w:val="28"/>
        </w:rPr>
      </w:pPr>
    </w:p>
    <w:p w14:paraId="7E211B60" w14:textId="6C270E22" w:rsidR="007774D2" w:rsidRDefault="00215605" w:rsidP="00292E1C">
      <w:pPr>
        <w:pStyle w:val="NoSpacing"/>
        <w:rPr>
          <w:rFonts w:ascii="Arial Black" w:hAnsi="Arial Black"/>
          <w:sz w:val="28"/>
          <w:szCs w:val="28"/>
        </w:rPr>
      </w:pPr>
      <w:r>
        <w:rPr>
          <w:rFonts w:ascii="Arial Black" w:hAnsi="Arial Black"/>
          <w:sz w:val="28"/>
          <w:szCs w:val="28"/>
        </w:rPr>
        <w:t>7-85</w:t>
      </w:r>
    </w:p>
    <w:p w14:paraId="57612908" w14:textId="77777777" w:rsidR="00215605" w:rsidRDefault="00215605" w:rsidP="00292E1C">
      <w:pPr>
        <w:pStyle w:val="NoSpacing"/>
        <w:rPr>
          <w:rFonts w:ascii="Arial Black" w:hAnsi="Arial Black"/>
          <w:sz w:val="28"/>
          <w:szCs w:val="28"/>
        </w:rPr>
      </w:pPr>
    </w:p>
    <w:p w14:paraId="4365C3FE" w14:textId="77777777" w:rsidR="00215605" w:rsidRPr="00475917" w:rsidRDefault="00215605" w:rsidP="00215605">
      <w:pPr>
        <w:rPr>
          <w:rFonts w:ascii="Arial Black" w:hAnsi="Arial Black"/>
          <w:sz w:val="28"/>
          <w:szCs w:val="28"/>
        </w:rPr>
      </w:pPr>
      <w:r>
        <w:rPr>
          <w:rFonts w:ascii="Arial Black" w:hAnsi="Arial Black"/>
          <w:sz w:val="28"/>
          <w:szCs w:val="28"/>
        </w:rPr>
        <w:t xml:space="preserve">DE: EMT / VOL. FD – “OFFENSIVE JOKES” – FIRING UPHELD </w:t>
      </w:r>
    </w:p>
    <w:p w14:paraId="321CC0D0" w14:textId="77777777" w:rsidR="00215605" w:rsidRPr="00CC347E" w:rsidRDefault="00215605" w:rsidP="00215605">
      <w:r>
        <w:t xml:space="preserve">On November 25, 2025, in </w:t>
      </w:r>
      <w:r w:rsidRPr="00161B10">
        <w:rPr>
          <w:u w:val="single"/>
        </w:rPr>
        <w:t xml:space="preserve">Steven Germain v. Cara Viera, </w:t>
      </w:r>
      <w:r>
        <w:rPr>
          <w:u w:val="single"/>
        </w:rPr>
        <w:t xml:space="preserve">et al., </w:t>
      </w:r>
      <w:r w:rsidRPr="00161B10">
        <w:rPr>
          <w:u w:val="single"/>
        </w:rPr>
        <w:t xml:space="preserve">Mill Creek Board of Directors, </w:t>
      </w:r>
      <w:r>
        <w:t xml:space="preserve">Judge </w:t>
      </w:r>
      <w:r w:rsidRPr="00FE1B2D">
        <w:t>Sonia Augusthy</w:t>
      </w:r>
      <w:r>
        <w:t xml:space="preserve">, </w:t>
      </w:r>
      <w:r w:rsidRPr="00FE1B2D">
        <w:t>Superior Court of Delaware</w:t>
      </w:r>
      <w:r>
        <w:t>, granted the defendants’ motion to dismiss.  The Fire Department is a non-profit, non-governmental entity.  The plaintiff claimed [pro se – not represented by an attorney] was not granted due process; fired by the Board of Directors without a hearing five days after sending an e-mail to female that he claimed was merely an “offensive joke.” THE COURT WROTE: “</w:t>
      </w:r>
      <w:r w:rsidRPr="00706508">
        <w:t xml:space="preserve">Steven Germain, a longtime volunteer of a non-profit private entity, admittedly sent a text message to a female associate, indicating he </w:t>
      </w:r>
      <w:r>
        <w:t>‘</w:t>
      </w:r>
      <w:r w:rsidRPr="00706508">
        <w:t>had a mental thought of slapping her on the butt.</w:t>
      </w:r>
      <w:r>
        <w:t xml:space="preserve"> </w:t>
      </w:r>
      <w:r w:rsidRPr="00AD6501">
        <w:t>She responded that would be inappropriate. He acknowledged she was correct and apologized. This incident was reported.</w:t>
      </w:r>
      <w:r>
        <w:t xml:space="preserve">*** </w:t>
      </w:r>
      <w:r w:rsidRPr="006115E8">
        <w:t xml:space="preserve">Plaintiff was notified of the issue and given an opportunity to respond. In a written response he admitted to </w:t>
      </w:r>
      <w:r>
        <w:t>‘</w:t>
      </w:r>
      <w:r w:rsidRPr="006115E8">
        <w:t>offensive jokes,</w:t>
      </w:r>
      <w:r>
        <w:t>’</w:t>
      </w:r>
      <w:r w:rsidRPr="006115E8">
        <w:t xml:space="preserve"> which expressly violates the policy he cites. The </w:t>
      </w:r>
      <w:r>
        <w:t>‘</w:t>
      </w:r>
      <w:r w:rsidRPr="006115E8">
        <w:t>government</w:t>
      </w:r>
      <w:r>
        <w:t>’</w:t>
      </w:r>
      <w:r w:rsidRPr="006115E8">
        <w:t xml:space="preserve"> interest of Mill Creek is to ensure a safe and respectful environment for members and the community they serve. Even under the facts as alleged by </w:t>
      </w:r>
      <w:r w:rsidRPr="006115E8">
        <w:lastRenderedPageBreak/>
        <w:t>Plaintiff, he received sufficient due process</w:t>
      </w:r>
      <w:r>
        <w:t xml:space="preserve">…. </w:t>
      </w:r>
      <w:r w:rsidRPr="002724DC">
        <w:t>As for defamation, Defendants argue Plaintiff failed to identify a defamatory statement within the Complaint. Further, they argue because Plaintiff admitted making the comment, and acknowledged it as an offensive joke</w:t>
      </w:r>
      <w:r>
        <w:t xml:space="preserve">.” </w:t>
      </w:r>
      <w:hyperlink r:id="rId1286" w:history="1">
        <w:r w:rsidRPr="00CC347E">
          <w:rPr>
            <w:rStyle w:val="Hyperlink"/>
          </w:rPr>
          <w:t>https://cases.justia.com/delaware/superior-court/2025-n25c-08-098-ssa.pdf?ts=1764099129</w:t>
        </w:r>
      </w:hyperlink>
      <w:r w:rsidRPr="00CC347E">
        <w:t xml:space="preserve"> </w:t>
      </w:r>
    </w:p>
    <w:p w14:paraId="141DC7BA" w14:textId="77777777" w:rsidR="00215605" w:rsidRDefault="00215605" w:rsidP="00215605">
      <w:r>
        <w:t>THE COURT HELD:</w:t>
      </w:r>
    </w:p>
    <w:p w14:paraId="5583EE14" w14:textId="77777777" w:rsidR="00215605" w:rsidRDefault="00215605" w:rsidP="00215605">
      <w:pPr>
        <w:ind w:firstLine="720"/>
      </w:pPr>
      <w:r>
        <w:t>“</w:t>
      </w:r>
      <w:r w:rsidRPr="00B8450A">
        <w:t>Plaintiff was a volunteer with the Fire Department for over 14 years.</w:t>
      </w:r>
    </w:p>
    <w:p w14:paraId="4151685B" w14:textId="77777777" w:rsidR="00215605" w:rsidRDefault="00215605" w:rsidP="00215605">
      <w:pPr>
        <w:ind w:firstLine="720"/>
      </w:pPr>
      <w:r>
        <w:t>***</w:t>
      </w:r>
    </w:p>
    <w:p w14:paraId="6B1D44E5" w14:textId="77777777" w:rsidR="00215605" w:rsidRPr="00B73F86" w:rsidRDefault="00215605" w:rsidP="00215605">
      <w:pPr>
        <w:ind w:left="720"/>
      </w:pPr>
      <w:r w:rsidRPr="00B73F86">
        <w:t xml:space="preserve">After the text exchange outlined above, Plaintiff was notified by letter that Fire Department leadership received a formal complaint, alleging a violation of the sexual harassment and conduct policies. The letter notified </w:t>
      </w:r>
      <w:proofErr w:type="gramStart"/>
      <w:r w:rsidRPr="00B73F86">
        <w:t>Plaintiff</w:t>
      </w:r>
      <w:proofErr w:type="gramEnd"/>
      <w:r w:rsidRPr="00B73F86">
        <w:t xml:space="preserve"> an investigation had been initiated. He was suspended. He was instructed not to have contact with the Fire Department while the investigation was pending. The letter from leadership did not specify the conduct at issue. </w:t>
      </w:r>
    </w:p>
    <w:p w14:paraId="5CE8FD3A" w14:textId="77777777" w:rsidR="00215605" w:rsidRDefault="00215605" w:rsidP="00215605">
      <w:pPr>
        <w:ind w:left="720"/>
      </w:pPr>
      <w:r w:rsidRPr="00B73F86">
        <w:t xml:space="preserve">The same day, Plaintiff replied via email. Within, he provided the factual background for the incident outlined above and attached to the Complaint. Specifically, the email advised Plaintiff engaged a female colleague in a text exchange wherein he stated he had </w:t>
      </w:r>
      <w:r>
        <w:t>‘</w:t>
      </w:r>
      <w:r w:rsidRPr="00B73F86">
        <w:t>a funny thing to share, but don't get mad or something like that.</w:t>
      </w:r>
      <w:r>
        <w:t>’</w:t>
      </w:r>
      <w:r w:rsidRPr="00B73F86">
        <w:t xml:space="preserve"> This responsive email from Plaintiff went on to describe his next text to his female colleague as, </w:t>
      </w:r>
      <w:r>
        <w:t>‘</w:t>
      </w:r>
      <w:r w:rsidRPr="00B73F86">
        <w:t>I said it was funny when I was coming into the meeting hall, and everyone was there she was reaching over the table to Andrew, and I said it was funny because I had a mental thought of slapping her on the butt.</w:t>
      </w:r>
      <w:r>
        <w:t>’</w:t>
      </w:r>
      <w:r w:rsidRPr="00B73F86">
        <w:t xml:space="preserve"> This email from Plaintiff described the exchange as </w:t>
      </w:r>
      <w:r>
        <w:t>‘</w:t>
      </w:r>
      <w:r w:rsidRPr="00B73F86">
        <w:t>common silly banter.</w:t>
      </w:r>
      <w:r>
        <w:t>’</w:t>
      </w:r>
      <w:r w:rsidRPr="00B73F86">
        <w:t xml:space="preserve"> Plaintiff stated he </w:t>
      </w:r>
      <w:r>
        <w:t>‘</w:t>
      </w:r>
      <w:r w:rsidRPr="00B73F86">
        <w:t>will take 100% responsibility for my comment</w:t>
      </w:r>
      <w:r>
        <w:t>.’”</w:t>
      </w:r>
    </w:p>
    <w:p w14:paraId="7147739B" w14:textId="77777777" w:rsidR="00215605" w:rsidRDefault="00215605" w:rsidP="00215605">
      <w:pPr>
        <w:rPr>
          <w:b/>
          <w:bCs/>
        </w:rPr>
      </w:pPr>
      <w:r>
        <w:rPr>
          <w:b/>
        </w:rPr>
        <w:t xml:space="preserve">Legal lesson learned: Sexual comments are not “common silly banter.”  </w:t>
      </w:r>
    </w:p>
    <w:p w14:paraId="7662B279" w14:textId="77777777" w:rsidR="00215605" w:rsidRDefault="00215605" w:rsidP="00292E1C">
      <w:pPr>
        <w:pStyle w:val="NoSpacing"/>
        <w:rPr>
          <w:rFonts w:ascii="Arial Black" w:hAnsi="Arial Black"/>
          <w:sz w:val="28"/>
          <w:szCs w:val="28"/>
        </w:rPr>
      </w:pPr>
    </w:p>
    <w:p w14:paraId="5176852C" w14:textId="77777777" w:rsidR="00215605" w:rsidRDefault="00215605" w:rsidP="00292E1C">
      <w:pPr>
        <w:pStyle w:val="NoSpacing"/>
        <w:rPr>
          <w:rFonts w:ascii="Arial Black" w:hAnsi="Arial Black"/>
          <w:sz w:val="28"/>
          <w:szCs w:val="28"/>
        </w:rPr>
      </w:pPr>
    </w:p>
    <w:p w14:paraId="059B0652" w14:textId="335D0A1D" w:rsidR="00215605" w:rsidRDefault="00215605" w:rsidP="00292E1C">
      <w:pPr>
        <w:pStyle w:val="NoSpacing"/>
        <w:rPr>
          <w:rFonts w:ascii="Arial Black" w:hAnsi="Arial Black"/>
          <w:sz w:val="28"/>
          <w:szCs w:val="28"/>
        </w:rPr>
      </w:pPr>
      <w:r>
        <w:rPr>
          <w:rFonts w:ascii="Arial Black" w:hAnsi="Arial Black"/>
          <w:sz w:val="28"/>
          <w:szCs w:val="28"/>
        </w:rPr>
        <w:t>7-84</w:t>
      </w:r>
    </w:p>
    <w:p w14:paraId="318D1917" w14:textId="77777777" w:rsidR="00BC64C2" w:rsidRDefault="00BC64C2" w:rsidP="00292E1C">
      <w:pPr>
        <w:pStyle w:val="NoSpacing"/>
        <w:rPr>
          <w:rFonts w:ascii="Arial Black" w:hAnsi="Arial Black"/>
          <w:sz w:val="28"/>
          <w:szCs w:val="28"/>
        </w:rPr>
      </w:pPr>
    </w:p>
    <w:p w14:paraId="53B4D2D7" w14:textId="6AAD6556" w:rsidR="00BC64C2" w:rsidRPr="00D2161F" w:rsidRDefault="00BC64C2" w:rsidP="00BC64C2">
      <w:pPr>
        <w:pStyle w:val="NoSpacing"/>
        <w:rPr>
          <w:rFonts w:ascii="Arial Black" w:hAnsi="Arial Black"/>
          <w:sz w:val="28"/>
          <w:szCs w:val="28"/>
        </w:rPr>
      </w:pPr>
      <w:r>
        <w:rPr>
          <w:rFonts w:ascii="Arial Black" w:hAnsi="Arial Black"/>
          <w:sz w:val="28"/>
          <w:szCs w:val="28"/>
        </w:rPr>
        <w:t xml:space="preserve">TX: CHIEF 30 DAY SUSP – FEMALE B/C &amp; CAPT FIRED </w:t>
      </w:r>
    </w:p>
    <w:p w14:paraId="5B0956C6" w14:textId="77777777" w:rsidR="00BC64C2" w:rsidRDefault="00BC64C2" w:rsidP="00BC64C2">
      <w:pPr>
        <w:pStyle w:val="NoSpacing"/>
      </w:pPr>
    </w:p>
    <w:p w14:paraId="1052CD83" w14:textId="77777777" w:rsidR="00BC64C2" w:rsidRDefault="00BC64C2" w:rsidP="00BC64C2">
      <w:pPr>
        <w:pStyle w:val="NoSpacing"/>
      </w:pPr>
      <w:r>
        <w:t xml:space="preserve">On October 29, 2025, in </w:t>
      </w:r>
      <w:r w:rsidRPr="000D00D9">
        <w:rPr>
          <w:u w:val="single"/>
        </w:rPr>
        <w:t>Brittany Garner and David Daigle v. Travis County Emergency Services District No</w:t>
      </w:r>
      <w:r>
        <w:rPr>
          <w:u w:val="single"/>
        </w:rPr>
        <w:t>.</w:t>
      </w:r>
      <w:r w:rsidRPr="000D00D9">
        <w:rPr>
          <w:u w:val="single"/>
        </w:rPr>
        <w:t xml:space="preserve"> 1</w:t>
      </w:r>
      <w:r>
        <w:t xml:space="preserve">, U.S. District Court Judge Robert Pitman, </w:t>
      </w:r>
      <w:r w:rsidRPr="00234FD9">
        <w:t xml:space="preserve">United States District Court, </w:t>
      </w:r>
      <w:r>
        <w:t xml:space="preserve">Western District, </w:t>
      </w:r>
      <w:r w:rsidRPr="00234FD9">
        <w:t>Austin Division</w:t>
      </w:r>
      <w:r>
        <w:t xml:space="preserve">, held that Battalion Chief Brittany Garner (fired Dec. 23, 2023), and Captain David Daigle (fired Dec. 15, 2023) may proceed together in a joint trial for alleged retaliation.  The Fire Chief was suspended for one month in May 2023 after Brittany Garner made allegations sexual harassment by the Chief. She </w:t>
      </w:r>
      <w:r w:rsidRPr="00BE05C9">
        <w:t>is the only woman in upper management within TCESD1, and her EEOC charge alleges that Chief Norman criticized her for “mothering” her crew.</w:t>
      </w:r>
      <w:r>
        <w:t xml:space="preserve"> David made other complaints about the Fire Chief.  THE COURT WROTE: “</w:t>
      </w:r>
      <w:r w:rsidRPr="00B73C81">
        <w:t>Plaintiffs plead that they worked for the same entity at the same location, worked under the same chief, both reported th</w:t>
      </w:r>
      <w:r>
        <w:t>e</w:t>
      </w:r>
      <w:r w:rsidRPr="00B73C81">
        <w:t xml:space="preserve"> chief for sexual harassment, were both terminated within one week of each other in December 2023, and were terminated based upon fabricated allegations without the opportunity to meaningfully defend themselves</w:t>
      </w:r>
      <w:r>
        <w:t xml:space="preserve">. </w:t>
      </w:r>
      <w:r w:rsidRPr="005E3A18">
        <w:t xml:space="preserve">Their retaliation claims are therefore logically related and do arise out of the same series of transactions or </w:t>
      </w:r>
      <w:proofErr w:type="gramStart"/>
      <w:r w:rsidRPr="005E3A18">
        <w:t>occurrences</w:t>
      </w:r>
      <w:r>
        <w:t>.”</w:t>
      </w:r>
      <w:proofErr w:type="gramEnd"/>
      <w:r>
        <w:t xml:space="preserve"> </w:t>
      </w:r>
    </w:p>
    <w:p w14:paraId="53A2DD6D" w14:textId="77777777" w:rsidR="00BC64C2" w:rsidRDefault="00BC64C2" w:rsidP="00BC64C2">
      <w:pPr>
        <w:pStyle w:val="NoSpacing"/>
      </w:pPr>
    </w:p>
    <w:p w14:paraId="2A157956" w14:textId="77777777" w:rsidR="00BC64C2" w:rsidRDefault="00BC64C2" w:rsidP="00BC64C2">
      <w:pPr>
        <w:pStyle w:val="NoSpacing"/>
      </w:pPr>
      <w:r>
        <w:t>THE COURT HELD:</w:t>
      </w:r>
    </w:p>
    <w:p w14:paraId="14DCB0CF" w14:textId="77777777" w:rsidR="00BC64C2" w:rsidRDefault="00BC64C2" w:rsidP="00BC64C2">
      <w:pPr>
        <w:pStyle w:val="NoSpacing"/>
        <w:ind w:left="720"/>
      </w:pPr>
    </w:p>
    <w:p w14:paraId="7177C37F" w14:textId="77777777" w:rsidR="00BC64C2" w:rsidRDefault="00BC64C2" w:rsidP="00BC64C2">
      <w:pPr>
        <w:pStyle w:val="NoSpacing"/>
        <w:ind w:left="720"/>
      </w:pPr>
      <w:r>
        <w:lastRenderedPageBreak/>
        <w:t>“</w:t>
      </w:r>
      <w:r w:rsidRPr="00D55493">
        <w:t>Garner was employed as a Battalion Chief; she alleges that she was the highest-ranking woman within TCESD1 and the only woman in upper management</w:t>
      </w:r>
      <w:r>
        <w:t xml:space="preserve">…. </w:t>
      </w:r>
      <w:r w:rsidRPr="00D55493">
        <w:t>Daigle was employed as a Captain</w:t>
      </w:r>
      <w:r>
        <w:t xml:space="preserve">…. </w:t>
      </w:r>
      <w:r w:rsidRPr="00D55493">
        <w:t>Both had worked at TCESD1 since 2008.</w:t>
      </w:r>
    </w:p>
    <w:p w14:paraId="1A93D839" w14:textId="77777777" w:rsidR="00BC64C2" w:rsidRDefault="00BC64C2" w:rsidP="00BC64C2">
      <w:pPr>
        <w:pStyle w:val="NoSpacing"/>
        <w:ind w:left="720"/>
      </w:pPr>
    </w:p>
    <w:p w14:paraId="34DACA90" w14:textId="77777777" w:rsidR="00BC64C2" w:rsidRDefault="00BC64C2" w:rsidP="00BC64C2">
      <w:pPr>
        <w:pStyle w:val="NoSpacing"/>
        <w:ind w:left="720"/>
      </w:pPr>
      <w:r>
        <w:t>***</w:t>
      </w:r>
    </w:p>
    <w:p w14:paraId="4899D792" w14:textId="77777777" w:rsidR="00BC64C2" w:rsidRDefault="00BC64C2" w:rsidP="00BC64C2">
      <w:pPr>
        <w:pStyle w:val="NoSpacing"/>
        <w:ind w:left="720"/>
      </w:pPr>
      <w:r w:rsidRPr="00CD35A3">
        <w:t xml:space="preserve">The timeline of Garner's protected activities and the alleged adverse actions taken against  harassment and gender discrimination in February 2023; (2) she subsequently repeated these complaints to Borchardt, who was </w:t>
      </w:r>
      <w:r>
        <w:t>‘</w:t>
      </w:r>
      <w:r w:rsidRPr="00CD35A3">
        <w:t>a friend</w:t>
      </w:r>
      <w:r>
        <w:t>’</w:t>
      </w:r>
      <w:r w:rsidRPr="00CD35A3">
        <w:t xml:space="preserve"> of Chief Norman's and </w:t>
      </w:r>
      <w:r>
        <w:t>‘</w:t>
      </w:r>
      <w:r w:rsidRPr="00CD35A3">
        <w:t>re-surveyed</w:t>
      </w:r>
      <w:r>
        <w:t>’</w:t>
      </w:r>
      <w:r w:rsidRPr="00CD35A3">
        <w:t xml:space="preserve"> the TCESD1 employees in approximately April 2023; (3) in May 2023, which was approximately one month after she made complaints to Borchardt, Chief Norman </w:t>
      </w:r>
      <w:r>
        <w:t>‘</w:t>
      </w:r>
      <w:r w:rsidRPr="00CD35A3">
        <w:t>blamed</w:t>
      </w:r>
      <w:r>
        <w:t>’</w:t>
      </w:r>
      <w:r w:rsidRPr="00CD35A3">
        <w:t xml:space="preserve"> schedule changes on Garner, such that she was </w:t>
      </w:r>
      <w:r>
        <w:t>‘</w:t>
      </w:r>
      <w:r w:rsidRPr="00CD35A3">
        <w:t>ostracized . . . by the other male officers and firefighters,</w:t>
      </w:r>
      <w:r>
        <w:t>’</w:t>
      </w:r>
      <w:r w:rsidRPr="00CD35A3">
        <w:t xml:space="preserve"> and Chief Norman allegedly asked one of Garner's subordinates to report to him any information he could use to justify terminating Garner; (4) on October 4, 2023, Garner was placed on leave pending an investigation into her conversation with FF Colunga; (5) on October 26, 2023, Garner filed a written complaint of retaliation against ESD1 and Chief Norman; and (6) on December 23, 2023, Garner was terminated.</w:t>
      </w:r>
    </w:p>
    <w:p w14:paraId="50EFCD09" w14:textId="77777777" w:rsidR="00BC64C2" w:rsidRDefault="00BC64C2" w:rsidP="00BC64C2">
      <w:pPr>
        <w:pStyle w:val="NoSpacing"/>
        <w:ind w:left="720"/>
      </w:pPr>
    </w:p>
    <w:p w14:paraId="1A99B9AC" w14:textId="77777777" w:rsidR="00BC64C2" w:rsidRDefault="00BC64C2" w:rsidP="00BC64C2">
      <w:pPr>
        <w:pStyle w:val="NoSpacing"/>
        <w:ind w:left="720"/>
      </w:pPr>
      <w:r>
        <w:t>***</w:t>
      </w:r>
      <w:r w:rsidRPr="00CD35A3">
        <w:t xml:space="preserve"> </w:t>
      </w:r>
    </w:p>
    <w:p w14:paraId="1674C870" w14:textId="77777777" w:rsidR="00BC64C2" w:rsidRDefault="00BC64C2" w:rsidP="00BC64C2">
      <w:pPr>
        <w:pStyle w:val="NoSpacing"/>
      </w:pPr>
    </w:p>
    <w:p w14:paraId="193A3912" w14:textId="77777777" w:rsidR="00BC64C2" w:rsidRDefault="00BC64C2" w:rsidP="00BC64C2">
      <w:pPr>
        <w:pStyle w:val="NoSpacing"/>
        <w:ind w:left="720"/>
      </w:pPr>
      <w:r w:rsidRPr="00D73FD2">
        <w:t>Finally, many of the same witnesses would be expected to testify regarding each Plaintiffs' claims, and it would be burdensome for those witnesses to be required to testify on a similar issue- retaliation at TCESD1 for reporting sexual harassment-twice. This factor therefore weighs against severance. For the reasons stated above, the Court finds that Plaintiffs' claims should not be severed.</w:t>
      </w:r>
      <w:r>
        <w:t>”</w:t>
      </w:r>
    </w:p>
    <w:p w14:paraId="69AC2CD8" w14:textId="77777777" w:rsidR="00BC64C2" w:rsidRDefault="00BC64C2" w:rsidP="00BC64C2">
      <w:pPr>
        <w:pStyle w:val="NoSpacing"/>
        <w:ind w:left="720"/>
      </w:pPr>
    </w:p>
    <w:p w14:paraId="0D415B59" w14:textId="77777777" w:rsidR="00BC64C2" w:rsidRPr="00CD35A3" w:rsidRDefault="00BC64C2" w:rsidP="00BC64C2">
      <w:pPr>
        <w:pStyle w:val="NoSpacing"/>
        <w:rPr>
          <w:b/>
          <w:bCs/>
        </w:rPr>
      </w:pPr>
      <w:r>
        <w:rPr>
          <w:b/>
        </w:rPr>
        <w:t xml:space="preserve">Legal lesson learned: Case will now proceed to trial with both plaintiffs. </w:t>
      </w:r>
    </w:p>
    <w:p w14:paraId="1243F258" w14:textId="77777777" w:rsidR="00BC64C2" w:rsidRDefault="00BC64C2" w:rsidP="00292E1C">
      <w:pPr>
        <w:pStyle w:val="NoSpacing"/>
        <w:rPr>
          <w:rFonts w:ascii="Arial Black" w:hAnsi="Arial Black"/>
          <w:sz w:val="28"/>
          <w:szCs w:val="28"/>
        </w:rPr>
      </w:pPr>
    </w:p>
    <w:p w14:paraId="7AE79801" w14:textId="77777777" w:rsidR="00215605" w:rsidRDefault="00215605" w:rsidP="00292E1C">
      <w:pPr>
        <w:pStyle w:val="NoSpacing"/>
        <w:rPr>
          <w:rFonts w:ascii="Arial Black" w:hAnsi="Arial Black"/>
          <w:sz w:val="28"/>
          <w:szCs w:val="28"/>
        </w:rPr>
      </w:pPr>
    </w:p>
    <w:p w14:paraId="22FB1715" w14:textId="274E1E27" w:rsidR="007774D2" w:rsidRDefault="007774D2" w:rsidP="00292E1C">
      <w:pPr>
        <w:pStyle w:val="NoSpacing"/>
        <w:rPr>
          <w:rFonts w:ascii="Arial Black" w:hAnsi="Arial Black"/>
          <w:sz w:val="28"/>
          <w:szCs w:val="28"/>
        </w:rPr>
      </w:pPr>
      <w:r>
        <w:rPr>
          <w:rFonts w:ascii="Arial Black" w:hAnsi="Arial Black"/>
          <w:sz w:val="28"/>
          <w:szCs w:val="28"/>
        </w:rPr>
        <w:t>7-83</w:t>
      </w:r>
    </w:p>
    <w:p w14:paraId="4C0B4FCA" w14:textId="77777777" w:rsidR="009D5C36" w:rsidRDefault="009D5C36" w:rsidP="00292E1C">
      <w:pPr>
        <w:pStyle w:val="NoSpacing"/>
        <w:rPr>
          <w:rFonts w:ascii="Arial Black" w:hAnsi="Arial Black"/>
          <w:sz w:val="28"/>
          <w:szCs w:val="28"/>
        </w:rPr>
      </w:pPr>
    </w:p>
    <w:p w14:paraId="0FA5AE58" w14:textId="3B2221E3" w:rsidR="009D5C36" w:rsidRDefault="009D5C36" w:rsidP="009D5C36">
      <w:pPr>
        <w:pStyle w:val="NoSpacing"/>
        <w:rPr>
          <w:rFonts w:ascii="Arial Black" w:hAnsi="Arial Black"/>
          <w:sz w:val="28"/>
          <w:szCs w:val="28"/>
        </w:rPr>
      </w:pPr>
      <w:r w:rsidRPr="00ED6A85">
        <w:rPr>
          <w:rFonts w:ascii="Arial Black" w:hAnsi="Arial Black"/>
          <w:sz w:val="28"/>
          <w:szCs w:val="28"/>
        </w:rPr>
        <w:t xml:space="preserve">MT: </w:t>
      </w:r>
      <w:r>
        <w:rPr>
          <w:rFonts w:ascii="Arial Black" w:hAnsi="Arial Black"/>
          <w:sz w:val="28"/>
          <w:szCs w:val="28"/>
        </w:rPr>
        <w:t xml:space="preserve">EMT - NO RETALIATION </w:t>
      </w:r>
      <w:r w:rsidR="00CD4C27">
        <w:rPr>
          <w:rFonts w:ascii="Arial Black" w:hAnsi="Arial Black"/>
          <w:sz w:val="28"/>
          <w:szCs w:val="28"/>
        </w:rPr>
        <w:t>–</w:t>
      </w:r>
      <w:r>
        <w:rPr>
          <w:rFonts w:ascii="Arial Black" w:hAnsi="Arial Black"/>
          <w:sz w:val="28"/>
          <w:szCs w:val="28"/>
        </w:rPr>
        <w:t xml:space="preserve"> </w:t>
      </w:r>
      <w:r w:rsidR="00CD4C27">
        <w:rPr>
          <w:rFonts w:ascii="Arial Black" w:hAnsi="Arial Black"/>
          <w:sz w:val="28"/>
          <w:szCs w:val="28"/>
        </w:rPr>
        <w:t xml:space="preserve">DEPT. </w:t>
      </w:r>
      <w:r>
        <w:rPr>
          <w:rFonts w:ascii="Arial Black" w:hAnsi="Arial Black"/>
          <w:sz w:val="28"/>
          <w:szCs w:val="28"/>
        </w:rPr>
        <w:t>NARCAN TRAINING BY MD</w:t>
      </w:r>
    </w:p>
    <w:p w14:paraId="1CEC0E7B" w14:textId="77777777" w:rsidR="00AF2FA3" w:rsidRDefault="00AF2FA3" w:rsidP="009D5C36">
      <w:pPr>
        <w:pStyle w:val="NoSpacing"/>
      </w:pPr>
    </w:p>
    <w:p w14:paraId="386C9475" w14:textId="69C09A4B" w:rsidR="009D5C36" w:rsidRDefault="009D5C36" w:rsidP="009D5C36">
      <w:pPr>
        <w:pStyle w:val="NoSpacing"/>
        <w:rPr>
          <w:b/>
        </w:rPr>
      </w:pPr>
      <w:r>
        <w:t xml:space="preserve">On Oct. 7, 2025, in </w:t>
      </w:r>
      <w:r w:rsidRPr="00A50E57">
        <w:rPr>
          <w:u w:val="single"/>
        </w:rPr>
        <w:t>Daniela Vaccaro v. Three Forks Area Ambulance Service</w:t>
      </w:r>
      <w:r>
        <w:t xml:space="preserve">, the Supreme Court of Montana held (5 to 0; unpublished opinion) that District Court judge properly affirmed the Human Rights Commission investigators findings of no retaliation with her two complaints of retaliation.   The Plaintiff became a volunteer EMT in Feb. 2021, but was terminated in </w:t>
      </w:r>
      <w:proofErr w:type="gramStart"/>
      <w:r>
        <w:t>June,</w:t>
      </w:r>
      <w:proofErr w:type="gramEnd"/>
      <w:r>
        <w:t xml:space="preserve"> 2021 (court did not describe reason).  She filed a claim of “</w:t>
      </w:r>
      <w:r w:rsidRPr="00853552">
        <w:t>marital status discriminatio</w:t>
      </w:r>
      <w:r>
        <w:t xml:space="preserve">n” (her husband is on 5-member Board) with the Human Rights Commission and the Ambulance Service agreed to a “no fault” settlement and returned her to duty.  In the first Board meeting upon her return, she offered to teach a Narcan class, but instead the Board retained services of a well-known physician.  She filed a complaint of retaliation with the Commission.  When she returned from vacation, she was asked to pass a skills test on Narcan and filed another complaint with the Commission. </w:t>
      </w:r>
      <w:hyperlink r:id="rId1287" w:history="1">
        <w:r w:rsidRPr="006D5F93">
          <w:rPr>
            <w:rStyle w:val="Hyperlink"/>
            <w:b/>
          </w:rPr>
          <w:t>https://cases.justia.com/montana/supreme-court/2025-da-24-0672.pdf?ts=1759872027</w:t>
        </w:r>
      </w:hyperlink>
      <w:r>
        <w:rPr>
          <w:b/>
        </w:rPr>
        <w:t xml:space="preserve"> </w:t>
      </w:r>
    </w:p>
    <w:p w14:paraId="388818EE" w14:textId="77777777" w:rsidR="009D5C36" w:rsidRDefault="009D5C36" w:rsidP="009D5C36">
      <w:pPr>
        <w:pStyle w:val="NoSpacing"/>
        <w:rPr>
          <w:bCs/>
        </w:rPr>
      </w:pPr>
    </w:p>
    <w:p w14:paraId="583146CA" w14:textId="77777777" w:rsidR="009D5C36" w:rsidRDefault="009D5C36" w:rsidP="009D5C36">
      <w:pPr>
        <w:pStyle w:val="NoSpacing"/>
        <w:rPr>
          <w:bCs/>
        </w:rPr>
      </w:pPr>
      <w:r>
        <w:t>THE COURT HELD:</w:t>
      </w:r>
    </w:p>
    <w:p w14:paraId="75759589" w14:textId="77777777" w:rsidR="009D5C36" w:rsidRDefault="009D5C36" w:rsidP="009D5C36">
      <w:pPr>
        <w:pStyle w:val="NoSpacing"/>
        <w:rPr>
          <w:bCs/>
        </w:rPr>
      </w:pPr>
    </w:p>
    <w:p w14:paraId="3AF6A706" w14:textId="77777777" w:rsidR="009D5C36" w:rsidRPr="0044125F" w:rsidRDefault="009D5C36" w:rsidP="009D5C36">
      <w:pPr>
        <w:pStyle w:val="NoSpacing"/>
        <w:rPr>
          <w:bCs/>
        </w:rPr>
      </w:pPr>
      <w:r>
        <w:tab/>
        <w:t>“</w:t>
      </w:r>
      <w:r w:rsidRPr="0044125F">
        <w:t>Upon review of the administrative record, we agree with the District Court that the</w:t>
      </w:r>
    </w:p>
    <w:p w14:paraId="23726D91" w14:textId="77777777" w:rsidR="009D5C36" w:rsidRPr="0044125F" w:rsidRDefault="009D5C36" w:rsidP="009D5C36">
      <w:pPr>
        <w:pStyle w:val="NoSpacing"/>
        <w:ind w:firstLine="720"/>
        <w:rPr>
          <w:bCs/>
        </w:rPr>
      </w:pPr>
      <w:r w:rsidRPr="0044125F">
        <w:t>investigations into Vaccaro’s complaints were comprehensively conducted, an apparent</w:t>
      </w:r>
    </w:p>
    <w:p w14:paraId="77E22C17" w14:textId="77777777" w:rsidR="009D5C36" w:rsidRDefault="009D5C36" w:rsidP="009D5C36">
      <w:pPr>
        <w:pStyle w:val="NoSpacing"/>
        <w:ind w:firstLine="720"/>
        <w:rPr>
          <w:bCs/>
        </w:rPr>
      </w:pPr>
      <w:r w:rsidRPr="0044125F">
        <w:t>effort to leave no stone unturned to review her allegations.</w:t>
      </w:r>
    </w:p>
    <w:p w14:paraId="3AC25515" w14:textId="77777777" w:rsidR="009D5C36" w:rsidRDefault="009D5C36" w:rsidP="009D5C36">
      <w:pPr>
        <w:pStyle w:val="NoSpacing"/>
        <w:ind w:firstLine="720"/>
        <w:rPr>
          <w:bCs/>
        </w:rPr>
      </w:pPr>
    </w:p>
    <w:p w14:paraId="4C46E1AB" w14:textId="77777777" w:rsidR="009D5C36" w:rsidRDefault="009D5C36" w:rsidP="009D5C36">
      <w:pPr>
        <w:pStyle w:val="NoSpacing"/>
        <w:ind w:firstLine="720"/>
        <w:rPr>
          <w:bCs/>
        </w:rPr>
      </w:pPr>
      <w:r>
        <w:t>***</w:t>
      </w:r>
    </w:p>
    <w:p w14:paraId="564C2B32" w14:textId="77777777" w:rsidR="009D5C36" w:rsidRDefault="009D5C36" w:rsidP="009D5C36">
      <w:pPr>
        <w:pStyle w:val="NoSpacing"/>
        <w:ind w:firstLine="720"/>
        <w:rPr>
          <w:bCs/>
        </w:rPr>
      </w:pPr>
    </w:p>
    <w:p w14:paraId="43220158" w14:textId="77777777" w:rsidR="009D5C36" w:rsidRDefault="009D5C36" w:rsidP="009D5C36">
      <w:pPr>
        <w:pStyle w:val="NoSpacing"/>
        <w:ind w:left="720"/>
        <w:rPr>
          <w:bCs/>
        </w:rPr>
      </w:pPr>
      <w:r>
        <w:t>T</w:t>
      </w:r>
      <w:r w:rsidRPr="00915E7C">
        <w:t>urning to the evidence, the</w:t>
      </w:r>
      <w:r>
        <w:t xml:space="preserve"> </w:t>
      </w:r>
      <w:r w:rsidRPr="00915E7C">
        <w:t>investigator found that, although a formal process was not conducted for selection of a</w:t>
      </w:r>
      <w:r>
        <w:t xml:space="preserve"> </w:t>
      </w:r>
      <w:r w:rsidRPr="001B63BA">
        <w:t xml:space="preserve">trainer, the evidence showed that </w:t>
      </w:r>
      <w:r>
        <w:t>‘</w:t>
      </w:r>
      <w:r w:rsidRPr="001B63BA">
        <w:t>Dr. Andrews, a trainer well known to TFAAS, offered</w:t>
      </w:r>
      <w:r>
        <w:t xml:space="preserve"> </w:t>
      </w:r>
      <w:r w:rsidRPr="001B63BA">
        <w:t xml:space="preserve">extensive medical </w:t>
      </w:r>
      <w:r w:rsidRPr="001B63BA">
        <w:lastRenderedPageBreak/>
        <w:t>experience and hands on administration of Narcan in emergencies. In</w:t>
      </w:r>
      <w:r>
        <w:t xml:space="preserve"> </w:t>
      </w:r>
      <w:r w:rsidRPr="001B63BA">
        <w:t>contrast, Vaccaro offered limited EMT experience and no experience administering Narcan</w:t>
      </w:r>
      <w:r>
        <w:t xml:space="preserve"> </w:t>
      </w:r>
      <w:r w:rsidRPr="001B63BA">
        <w:t>outside of a classroom setting.</w:t>
      </w:r>
      <w:r>
        <w:t>’</w:t>
      </w:r>
    </w:p>
    <w:p w14:paraId="0A9A6131" w14:textId="77777777" w:rsidR="009D5C36" w:rsidRDefault="009D5C36" w:rsidP="009D5C36">
      <w:pPr>
        <w:pStyle w:val="NoSpacing"/>
        <w:ind w:left="720"/>
        <w:rPr>
          <w:bCs/>
        </w:rPr>
      </w:pPr>
    </w:p>
    <w:p w14:paraId="5F8F4E92" w14:textId="77777777" w:rsidR="009D5C36" w:rsidRDefault="009D5C36" w:rsidP="009D5C36">
      <w:pPr>
        <w:pStyle w:val="NoSpacing"/>
        <w:ind w:left="720"/>
        <w:rPr>
          <w:bCs/>
        </w:rPr>
      </w:pPr>
      <w:r>
        <w:t>***</w:t>
      </w:r>
    </w:p>
    <w:p w14:paraId="17C6129B" w14:textId="77777777" w:rsidR="009D5C36" w:rsidRDefault="009D5C36" w:rsidP="009D5C36">
      <w:pPr>
        <w:pStyle w:val="NoSpacing"/>
        <w:ind w:left="720"/>
        <w:rPr>
          <w:bCs/>
        </w:rPr>
      </w:pPr>
      <w:r w:rsidRPr="005363C9">
        <w:t>Shortly thereafter, Vaccaro filed the second discrimination by retaliation claim</w:t>
      </w:r>
      <w:r>
        <w:t xml:space="preserve"> [</w:t>
      </w:r>
      <w:proofErr w:type="gramStart"/>
      <w:r>
        <w:t>July,</w:t>
      </w:r>
      <w:proofErr w:type="gramEnd"/>
      <w:r>
        <w:t xml:space="preserve"> 2022]</w:t>
      </w:r>
      <w:r w:rsidRPr="005363C9">
        <w:t>,</w:t>
      </w:r>
      <w:r>
        <w:t xml:space="preserve"> </w:t>
      </w:r>
      <w:r w:rsidRPr="005363C9">
        <w:t>which was given claim number HRB Case No. 0230107 and assigned to a different</w:t>
      </w:r>
      <w:r>
        <w:t xml:space="preserve"> </w:t>
      </w:r>
      <w:r w:rsidRPr="005363C9">
        <w:t>investigator. Vaccaro alleged that the Board had required her to complete a skills test</w:t>
      </w:r>
      <w:r>
        <w:t xml:space="preserve"> [August 2022]… </w:t>
      </w:r>
      <w:r w:rsidRPr="007E487B">
        <w:t>Assessing the evidence,</w:t>
      </w:r>
      <w:r>
        <w:t xml:space="preserve"> </w:t>
      </w:r>
      <w:r w:rsidRPr="007E487B">
        <w:t>the investigator found that Vaccaro was not the only EMT who was asked to perform a</w:t>
      </w:r>
      <w:r>
        <w:t xml:space="preserve"> </w:t>
      </w:r>
      <w:r w:rsidRPr="007E487B">
        <w:t>skills test for administration of Narcan, and that other EMTs had completed the test.</w:t>
      </w:r>
      <w:r>
        <w:t>”</w:t>
      </w:r>
    </w:p>
    <w:p w14:paraId="24C47670" w14:textId="77777777" w:rsidR="009D5C36" w:rsidRDefault="009D5C36" w:rsidP="009D5C36">
      <w:pPr>
        <w:pStyle w:val="NoSpacing"/>
        <w:ind w:left="720"/>
        <w:rPr>
          <w:bCs/>
        </w:rPr>
      </w:pPr>
    </w:p>
    <w:p w14:paraId="20006E06" w14:textId="74E0775E" w:rsidR="009D5C36" w:rsidRPr="007E487B" w:rsidRDefault="009D5C36" w:rsidP="009D5C36">
      <w:pPr>
        <w:pStyle w:val="NoSpacing"/>
        <w:rPr>
          <w:b/>
        </w:rPr>
      </w:pPr>
      <w:r>
        <w:rPr>
          <w:b/>
        </w:rPr>
        <w:t xml:space="preserve">Lesson learned:  The Ambulance company provided HR Commission investigators with legitimate business reasons for its decisions. </w:t>
      </w:r>
    </w:p>
    <w:p w14:paraId="4B898CA8" w14:textId="77777777" w:rsidR="009D5C36" w:rsidRDefault="009D5C36" w:rsidP="009D5C36">
      <w:pPr>
        <w:pStyle w:val="NoSpacing"/>
        <w:rPr>
          <w:bCs/>
        </w:rPr>
      </w:pPr>
    </w:p>
    <w:p w14:paraId="5DBBFB54" w14:textId="77777777" w:rsidR="009D5C36" w:rsidRDefault="009D5C36" w:rsidP="00292E1C">
      <w:pPr>
        <w:pStyle w:val="NoSpacing"/>
        <w:rPr>
          <w:rFonts w:ascii="Arial Black" w:hAnsi="Arial Black"/>
          <w:sz w:val="28"/>
          <w:szCs w:val="28"/>
        </w:rPr>
      </w:pPr>
    </w:p>
    <w:p w14:paraId="4A48600F" w14:textId="77777777" w:rsidR="007774D2" w:rsidRDefault="007774D2" w:rsidP="00292E1C">
      <w:pPr>
        <w:pStyle w:val="NoSpacing"/>
        <w:rPr>
          <w:rFonts w:ascii="Arial Black" w:hAnsi="Arial Black"/>
          <w:sz w:val="28"/>
          <w:szCs w:val="28"/>
        </w:rPr>
      </w:pPr>
    </w:p>
    <w:p w14:paraId="0DE0CA5C" w14:textId="77777777" w:rsidR="007774D2" w:rsidRDefault="007774D2" w:rsidP="00292E1C">
      <w:pPr>
        <w:pStyle w:val="NoSpacing"/>
        <w:rPr>
          <w:rFonts w:ascii="Arial Black" w:hAnsi="Arial Black"/>
          <w:sz w:val="28"/>
          <w:szCs w:val="28"/>
        </w:rPr>
      </w:pPr>
    </w:p>
    <w:p w14:paraId="77AAB3B3" w14:textId="5599F1DF" w:rsidR="001567BB" w:rsidRDefault="001567BB" w:rsidP="00292E1C">
      <w:pPr>
        <w:pStyle w:val="NoSpacing"/>
        <w:rPr>
          <w:rFonts w:ascii="Arial Black" w:hAnsi="Arial Black"/>
          <w:sz w:val="28"/>
          <w:szCs w:val="28"/>
        </w:rPr>
      </w:pPr>
      <w:r>
        <w:rPr>
          <w:rFonts w:ascii="Arial Black" w:hAnsi="Arial Black"/>
          <w:sz w:val="28"/>
          <w:szCs w:val="28"/>
        </w:rPr>
        <w:t>7</w:t>
      </w:r>
      <w:r w:rsidR="00283EDF">
        <w:rPr>
          <w:rFonts w:ascii="Arial Black" w:hAnsi="Arial Black"/>
          <w:sz w:val="28"/>
          <w:szCs w:val="28"/>
        </w:rPr>
        <w:t>-</w:t>
      </w:r>
      <w:r>
        <w:rPr>
          <w:rFonts w:ascii="Arial Black" w:hAnsi="Arial Black"/>
          <w:sz w:val="28"/>
          <w:szCs w:val="28"/>
        </w:rPr>
        <w:t>82</w:t>
      </w:r>
    </w:p>
    <w:p w14:paraId="695D8324" w14:textId="77777777" w:rsidR="001567BB" w:rsidRDefault="001567BB" w:rsidP="00292E1C">
      <w:pPr>
        <w:pStyle w:val="NoSpacing"/>
        <w:rPr>
          <w:rFonts w:ascii="Arial Black" w:hAnsi="Arial Black"/>
          <w:sz w:val="28"/>
          <w:szCs w:val="28"/>
        </w:rPr>
      </w:pPr>
    </w:p>
    <w:p w14:paraId="3C8CB1D8" w14:textId="6ABCD5A8" w:rsidR="00292E1C" w:rsidRDefault="00292E1C" w:rsidP="00292E1C">
      <w:pPr>
        <w:pStyle w:val="NoSpacing"/>
        <w:rPr>
          <w:rFonts w:ascii="Arial Black" w:hAnsi="Arial Black"/>
          <w:bCs/>
          <w:sz w:val="28"/>
          <w:szCs w:val="28"/>
        </w:rPr>
      </w:pPr>
      <w:r>
        <w:rPr>
          <w:rFonts w:ascii="Arial Black" w:hAnsi="Arial Black"/>
          <w:sz w:val="28"/>
          <w:szCs w:val="28"/>
        </w:rPr>
        <w:t xml:space="preserve">NY: FD 20 YRS – NO FEMALE FF – CONSENT DECREE / CPAT </w:t>
      </w:r>
    </w:p>
    <w:p w14:paraId="7C8F7917" w14:textId="77777777" w:rsidR="00292E1C" w:rsidRDefault="00292E1C" w:rsidP="00292E1C">
      <w:pPr>
        <w:pStyle w:val="NoSpacing"/>
        <w:rPr>
          <w:bCs/>
        </w:rPr>
      </w:pPr>
    </w:p>
    <w:p w14:paraId="27256E74" w14:textId="3EABC648" w:rsidR="00292E1C" w:rsidRDefault="00292E1C" w:rsidP="00292E1C">
      <w:pPr>
        <w:pStyle w:val="NoSpacing"/>
      </w:pPr>
      <w:r>
        <w:t xml:space="preserve">On September 26, 2025, in </w:t>
      </w:r>
      <w:r w:rsidRPr="00D65A20">
        <w:rPr>
          <w:u w:val="single"/>
        </w:rPr>
        <w:t>Brittany Montana v. City of Mount Vernon</w:t>
      </w:r>
      <w:r>
        <w:t xml:space="preserve">, U.S. District Court Judge Kenneth M. Karas, United States District Court for Southern District of New York, denied Ms. Montana’s motion for summary judgment; must prove discrimination at trial using statistical evidence.  She took written exam on March 8, </w:t>
      </w:r>
      <w:proofErr w:type="gramStart"/>
      <w:r>
        <w:t>2014</w:t>
      </w:r>
      <w:proofErr w:type="gramEnd"/>
      <w:r>
        <w:t xml:space="preserve"> and scored the highest, but her times on physical fitness agility ranked her 119 on eligibility list (never hired during 2015 – 2019 list period).  After pre-trial discovery in this case, plaintiff sought summary judgment based on fact that Mount Vernon Fire Department has not hired any female firefighters in 25 years.  The Court “</w:t>
      </w:r>
      <w:r w:rsidRPr="00D675AA">
        <w:t>is certainly troubled by the lack of women hired by MVFD, this fact, alone, demonstrates nothing more than a “bottom line [gender] imbalance</w:t>
      </w:r>
      <w:r>
        <w:t>.</w:t>
      </w:r>
      <w:r w:rsidRPr="00D675AA">
        <w:t>”</w:t>
      </w:r>
      <w:r>
        <w:t xml:space="preserve">  On </w:t>
      </w:r>
      <w:proofErr w:type="gramStart"/>
      <w:r>
        <w:t>Dec,</w:t>
      </w:r>
      <w:proofErr w:type="gramEnd"/>
      <w:r>
        <w:t xml:space="preserve"> 23, 2024, the United States filed a motion to amend its two consent decrees (entered 1981) with the fire department, and on June 3, 2025, with concurrence of Vulcan Society of Westchester County, the consent decree now requires use of </w:t>
      </w:r>
      <w:r w:rsidRPr="0072608B">
        <w:t>Candidate Physical Ability Test (CPAT)</w:t>
      </w:r>
      <w:r>
        <w:t xml:space="preserve"> in future testing. </w:t>
      </w:r>
      <w:r w:rsidR="00416BB6">
        <w:t xml:space="preserve"> </w:t>
      </w:r>
      <w:hyperlink r:id="rId1288" w:history="1">
        <w:r w:rsidR="00416BB6" w:rsidRPr="00824C83">
          <w:rPr>
            <w:rStyle w:val="Hyperlink"/>
          </w:rPr>
          <w:t>https://cases.justia.com/federal/district-courts/new-york/nysdce/7:2021cv00260/552036/95/0.pdf?ts=1758978240</w:t>
        </w:r>
      </w:hyperlink>
    </w:p>
    <w:p w14:paraId="0510406D" w14:textId="77777777" w:rsidR="00416BB6" w:rsidRDefault="00416BB6" w:rsidP="00292E1C">
      <w:pPr>
        <w:pStyle w:val="NoSpacing"/>
      </w:pPr>
    </w:p>
    <w:p w14:paraId="620B1ECC" w14:textId="77777777" w:rsidR="00292E1C" w:rsidRDefault="00292E1C" w:rsidP="00292E1C">
      <w:pPr>
        <w:pStyle w:val="NoSpacing"/>
      </w:pPr>
    </w:p>
    <w:p w14:paraId="5FA95CF6" w14:textId="77777777" w:rsidR="00292E1C" w:rsidRPr="002F708D" w:rsidRDefault="00292E1C" w:rsidP="00292E1C">
      <w:pPr>
        <w:pStyle w:val="NoSpacing"/>
        <w:rPr>
          <w:b/>
          <w:bCs/>
        </w:rPr>
      </w:pPr>
      <w:r w:rsidRPr="002F708D">
        <w:rPr>
          <w:b/>
        </w:rPr>
        <w:t xml:space="preserve">THE COURT HELD: </w:t>
      </w:r>
    </w:p>
    <w:p w14:paraId="7F6035EF" w14:textId="77777777" w:rsidR="00292E1C" w:rsidRPr="002F708D" w:rsidRDefault="00292E1C" w:rsidP="00292E1C">
      <w:pPr>
        <w:pStyle w:val="NoSpacing"/>
        <w:rPr>
          <w:b/>
          <w:bCs/>
        </w:rPr>
      </w:pPr>
    </w:p>
    <w:p w14:paraId="29021999" w14:textId="77777777" w:rsidR="00292E1C" w:rsidRDefault="00292E1C" w:rsidP="00292E1C">
      <w:pPr>
        <w:pStyle w:val="NoSpacing"/>
        <w:ind w:left="720"/>
      </w:pPr>
      <w:r>
        <w:t>“</w:t>
      </w:r>
      <w:r w:rsidRPr="001A5D64">
        <w:t>Plaintiff, who is a woman</w:t>
      </w:r>
      <w:r>
        <w:t xml:space="preserve"> … </w:t>
      </w:r>
      <w:r w:rsidRPr="001A5D64">
        <w:t>took the written exam on or about March 8, 2014</w:t>
      </w:r>
      <w:r>
        <w:t xml:space="preserve">…. </w:t>
      </w:r>
      <w:r w:rsidRPr="001A5D64">
        <w:t xml:space="preserve"> She passed the written examination and then took the physical agility test</w:t>
      </w:r>
      <w:r>
        <w:t xml:space="preserve">…. </w:t>
      </w:r>
      <w:r w:rsidRPr="003876D4">
        <w:t>The physical agility test was composed of several tasks, some of which were pass/fail and some of which were timed</w:t>
      </w:r>
      <w:r>
        <w:t>….</w:t>
      </w:r>
      <w:r w:rsidRPr="003876D4">
        <w:t xml:space="preserve">Those with the highest scores (i.e., those who had the fastest times) on the agility test were ranked highest on an </w:t>
      </w:r>
      <w:r>
        <w:t>‘</w:t>
      </w:r>
      <w:r w:rsidRPr="003876D4">
        <w:t>eligibility list.</w:t>
      </w:r>
      <w:r>
        <w:t xml:space="preserve">’,,, </w:t>
      </w:r>
      <w:r w:rsidRPr="001A5D64">
        <w:t>Based on her performance in the agility test, Plaintiff ranked 119th on the “eligibility list</w:t>
      </w:r>
      <w:r>
        <w:t xml:space="preserve">….’ </w:t>
      </w:r>
      <w:r w:rsidRPr="001A5D64">
        <w:t>That performance made her the highest scoring female on the examination</w:t>
      </w:r>
      <w:r>
        <w:t xml:space="preserve"> ….</w:t>
      </w:r>
      <w:r w:rsidRPr="001A5D64">
        <w:t>, but because she was not a top ranked candidate on the eligibility list, she was not interviewed for a position at MVFD</w:t>
      </w:r>
      <w:r>
        <w:t xml:space="preserve">… </w:t>
      </w:r>
      <w:r w:rsidRPr="001A5D64">
        <w:t xml:space="preserve"> The eligibility list remained in use from 2015 to 2019</w:t>
      </w:r>
      <w:r>
        <w:t xml:space="preserve"> ….</w:t>
      </w:r>
      <w:r w:rsidRPr="001A5D64">
        <w:t>and no female firefighters were hired from that list</w:t>
      </w:r>
      <w:r>
        <w:t xml:space="preserve"> …. </w:t>
      </w:r>
      <w:r w:rsidRPr="001A5D64">
        <w:t xml:space="preserve">In fact, MVFD has not hired a female firefighter in 25 years. </w:t>
      </w:r>
    </w:p>
    <w:p w14:paraId="509CBB27" w14:textId="77777777" w:rsidR="00292E1C" w:rsidRDefault="00292E1C" w:rsidP="00292E1C">
      <w:pPr>
        <w:pStyle w:val="NoSpacing"/>
        <w:ind w:left="720"/>
      </w:pPr>
    </w:p>
    <w:p w14:paraId="27C4A654" w14:textId="77777777" w:rsidR="00292E1C" w:rsidRDefault="00292E1C" w:rsidP="00292E1C">
      <w:pPr>
        <w:pStyle w:val="NoSpacing"/>
        <w:ind w:left="720"/>
      </w:pPr>
      <w:r>
        <w:t>***</w:t>
      </w:r>
    </w:p>
    <w:p w14:paraId="3E2DB237" w14:textId="77777777" w:rsidR="00292E1C" w:rsidRDefault="00292E1C" w:rsidP="00292E1C">
      <w:pPr>
        <w:pStyle w:val="NoSpacing"/>
        <w:ind w:left="720"/>
      </w:pPr>
      <w:r w:rsidRPr="000A483E">
        <w:t xml:space="preserve">In the instant case, Plaintiff </w:t>
      </w:r>
      <w:r>
        <w:t>‘</w:t>
      </w:r>
      <w:r w:rsidRPr="000A483E">
        <w:t>has not come forward with a statistical analysis of any kind.</w:t>
      </w:r>
      <w:r>
        <w:t>’</w:t>
      </w:r>
      <w:r w:rsidRPr="000A483E">
        <w:t xml:space="preserve"> </w:t>
      </w:r>
      <w:r>
        <w:rPr>
          <w:i/>
          <w:iCs/>
        </w:rPr>
        <w:t xml:space="preserve">… </w:t>
      </w:r>
      <w:r w:rsidRPr="000A483E">
        <w:t>She has not demonstrated a statistically significant disparity in the hiring of women versus men based on the testing regime at issue.</w:t>
      </w:r>
      <w:r>
        <w:t xml:space="preserve"> </w:t>
      </w:r>
      <w:r w:rsidRPr="002F708D">
        <w:t xml:space="preserve">Instead, she contends that the fact that MVFD has not hired a single woman in nearly 25 years is </w:t>
      </w:r>
      <w:r>
        <w:t>‘</w:t>
      </w:r>
      <w:r w:rsidRPr="002F708D">
        <w:t>a fact that by itself is sufficient to support an inference of discrimination.</w:t>
      </w:r>
      <w:r>
        <w:t xml:space="preserve">’ … </w:t>
      </w:r>
      <w:r w:rsidRPr="002F708D">
        <w:t xml:space="preserve">Although the Court is certainly troubled by the lack of women hired by MVFD, this fact, alone, demonstrates nothing more than a </w:t>
      </w:r>
      <w:r>
        <w:t>‘</w:t>
      </w:r>
      <w:r w:rsidRPr="002F708D">
        <w:t xml:space="preserve">bottom line [gender] </w:t>
      </w:r>
      <w:r w:rsidRPr="002F708D">
        <w:lastRenderedPageBreak/>
        <w:t>imbalance,</w:t>
      </w:r>
      <w:r>
        <w:t>’</w:t>
      </w:r>
      <w:r w:rsidRPr="002F708D">
        <w:t xml:space="preserve"> </w:t>
      </w:r>
      <w:r w:rsidRPr="002F708D">
        <w:rPr>
          <w:i/>
          <w:iCs/>
        </w:rPr>
        <w:t xml:space="preserve">United Prob. Officers </w:t>
      </w:r>
      <w:proofErr w:type="spellStart"/>
      <w:r w:rsidRPr="002F708D">
        <w:rPr>
          <w:i/>
          <w:iCs/>
        </w:rPr>
        <w:t>Ass'n</w:t>
      </w:r>
      <w:proofErr w:type="spellEnd"/>
      <w:r w:rsidRPr="002F708D">
        <w:t xml:space="preserve">, 2022 WL 875864, at *6, and is therefore insufficient to allow the Court to conclude that Defendants' testing practices violate Title VII and the NYSHRL as a matter of law, </w:t>
      </w:r>
      <w:r w:rsidRPr="002F708D">
        <w:rPr>
          <w:i/>
          <w:iCs/>
        </w:rPr>
        <w:t>see Hopkins v. Bridgeport Bd. of Educ</w:t>
      </w:r>
      <w:r w:rsidRPr="002F708D">
        <w:t>., 834 F.Supp.2d 58, 69 (D. Conn. 2011) (</w:t>
      </w:r>
      <w:r>
        <w:t>‘</w:t>
      </w:r>
      <w:r w:rsidRPr="002F708D">
        <w:t>[The p]</w:t>
      </w:r>
      <w:proofErr w:type="spellStart"/>
      <w:r w:rsidRPr="002F708D">
        <w:t>laintiff</w:t>
      </w:r>
      <w:proofErr w:type="spellEnd"/>
      <w:r w:rsidRPr="002F708D">
        <w:t xml:space="preserve"> has only demonstrated that at the bottom line there is a [gender] imbalance in the workforce which could be the result of any number of factors. Plaintiff has failed to provide evidence that links this </w:t>
      </w:r>
      <w:proofErr w:type="gramStart"/>
      <w:r w:rsidRPr="002F708D">
        <w:t>bottom line</w:t>
      </w:r>
      <w:proofErr w:type="gramEnd"/>
      <w:r w:rsidRPr="002F708D">
        <w:t xml:space="preserve"> imbalance to Defendant's purported practice or policy ....</w:t>
      </w:r>
      <w:r>
        <w:t>’</w:t>
      </w:r>
      <w:r w:rsidRPr="002F708D">
        <w:t>).</w:t>
      </w:r>
      <w:r>
        <w:t>”</w:t>
      </w:r>
      <w:r w:rsidRPr="005A40A8">
        <w:t xml:space="preserve"> </w:t>
      </w:r>
      <w:hyperlink r:id="rId1289" w:history="1">
        <w:r w:rsidRPr="00586BA9">
          <w:rPr>
            <w:rStyle w:val="Hyperlink"/>
          </w:rPr>
          <w:t>https://public.fastcase.com/jaEE2PXzRXmZ99jOLMt1Iuq7qc0gfVcydq4UksJKYaPvhnQoV2Tur9kW43Sd%2BCHWkw1LFd5eYMpsqupxEAJwLBiVNyDEOcfOyFpt494LsV4%3D?utm_medium=email&amp;_hsenc=p2ANqtz-9JDPujkqcb7TpRksmi2p_USQgVGerxf-hzLRNOYIOWKeqjT-lj5XLhttLuYWUDIXmtoE1M_nS89zbeKXXmbJi1pvu4VQ&amp;_hsmi=226712652&amp;utm_content=226712652&amp;utm_source=hs_email</w:t>
        </w:r>
      </w:hyperlink>
      <w:r>
        <w:t xml:space="preserve"> </w:t>
      </w:r>
    </w:p>
    <w:p w14:paraId="7A1ACFAE" w14:textId="77777777" w:rsidR="00292E1C" w:rsidRDefault="00292E1C" w:rsidP="00292E1C">
      <w:pPr>
        <w:pStyle w:val="NoSpacing"/>
        <w:ind w:left="720"/>
      </w:pPr>
    </w:p>
    <w:p w14:paraId="719E2F08" w14:textId="77777777" w:rsidR="00292E1C" w:rsidRDefault="00292E1C" w:rsidP="00292E1C">
      <w:pPr>
        <w:pStyle w:val="NoSpacing"/>
      </w:pPr>
    </w:p>
    <w:p w14:paraId="5C7F4A9A" w14:textId="77777777" w:rsidR="00292E1C" w:rsidRDefault="00292E1C" w:rsidP="00292E1C">
      <w:pPr>
        <w:pStyle w:val="NoSpacing"/>
        <w:rPr>
          <w:b/>
          <w:bCs/>
        </w:rPr>
      </w:pPr>
      <w:r>
        <w:rPr>
          <w:b/>
        </w:rPr>
        <w:t>KEY FACTS:</w:t>
      </w:r>
    </w:p>
    <w:p w14:paraId="1A5DEA29" w14:textId="77777777" w:rsidR="00292E1C" w:rsidRDefault="00292E1C" w:rsidP="00292E1C">
      <w:pPr>
        <w:pStyle w:val="NoSpacing"/>
        <w:ind w:left="720"/>
      </w:pPr>
    </w:p>
    <w:p w14:paraId="1FECF62C" w14:textId="77777777" w:rsidR="00292E1C" w:rsidRDefault="00292E1C" w:rsidP="00292E1C">
      <w:pPr>
        <w:pStyle w:val="NoSpacing"/>
        <w:ind w:left="720"/>
      </w:pPr>
      <w:r>
        <w:t>“</w:t>
      </w:r>
      <w:r w:rsidRPr="00974082">
        <w:t>At the time of Plaintiff's application, applicants to MVFD were required to pass a written exam and a physical agility test before they could be considered for employment</w:t>
      </w:r>
      <w:r>
        <w:t xml:space="preserve">…. </w:t>
      </w:r>
      <w:r w:rsidRPr="00974082">
        <w:t>The written test was pass/fail</w:t>
      </w:r>
      <w:r>
        <w:t>….</w:t>
      </w:r>
      <w:r w:rsidRPr="00974082">
        <w:t>If an applicant passed the written test, they were permitted to take the physical agility test</w:t>
      </w:r>
      <w:r>
        <w:t>….</w:t>
      </w:r>
      <w:r w:rsidRPr="00974082">
        <w:t>The physical agility test was composed of several tasks, some of which were pass/fail and some of which were timed</w:t>
      </w:r>
      <w:r>
        <w:t>….</w:t>
      </w:r>
      <w:r w:rsidRPr="00974082">
        <w:t xml:space="preserve">Those with the highest scores (i.e., those who had the fastest times) on the agility test were ranked highest on an </w:t>
      </w:r>
      <w:r>
        <w:t>‘</w:t>
      </w:r>
      <w:r w:rsidRPr="00974082">
        <w:t>eligibility list</w:t>
      </w:r>
      <w:r>
        <w:t>….’</w:t>
      </w:r>
    </w:p>
    <w:p w14:paraId="60ACB034" w14:textId="77777777" w:rsidR="00292E1C" w:rsidRDefault="00292E1C" w:rsidP="00292E1C">
      <w:pPr>
        <w:pStyle w:val="NoSpacing"/>
        <w:ind w:left="720"/>
      </w:pPr>
    </w:p>
    <w:p w14:paraId="5BF099E6" w14:textId="77777777" w:rsidR="00292E1C" w:rsidRPr="00974082" w:rsidRDefault="00292E1C" w:rsidP="00292E1C">
      <w:pPr>
        <w:pStyle w:val="NoSpacing"/>
        <w:ind w:left="720"/>
      </w:pPr>
      <w:r w:rsidRPr="00974082">
        <w:t>The Civil Service Commission pulled its applicants to interview for open positions from the eligibility list in rank order</w:t>
      </w:r>
      <w:r>
        <w:t xml:space="preserve">…. </w:t>
      </w:r>
      <w:r w:rsidRPr="00974082">
        <w:t xml:space="preserve">Thus, the applicants who performed best on the agility test were most likely to be asked to interview for an open position. This testing structure was mandated by two consent decrees </w:t>
      </w:r>
      <w:proofErr w:type="gramStart"/>
      <w:r w:rsidRPr="00974082">
        <w:t>entered</w:t>
      </w:r>
      <w:r>
        <w:t xml:space="preserve"> </w:t>
      </w:r>
      <w:r w:rsidRPr="00974082">
        <w:t>into</w:t>
      </w:r>
      <w:proofErr w:type="gramEnd"/>
      <w:r w:rsidRPr="00974082">
        <w:t xml:space="preserve"> by Defendants with the Department of Justice in 1981. See generally Vulcan Soc. of Westchester </w:t>
      </w:r>
      <w:proofErr w:type="spellStart"/>
      <w:r w:rsidRPr="00974082">
        <w:t>Cnty</w:t>
      </w:r>
      <w:proofErr w:type="spellEnd"/>
      <w:r w:rsidRPr="00974082">
        <w:t xml:space="preserve">., Inc. v. Fire </w:t>
      </w:r>
      <w:proofErr w:type="spellStart"/>
      <w:r w:rsidRPr="00974082">
        <w:t>Dep't</w:t>
      </w:r>
      <w:proofErr w:type="spellEnd"/>
      <w:r w:rsidRPr="00974082">
        <w:t xml:space="preserve"> of City of White Plains, 505 </w:t>
      </w:r>
      <w:proofErr w:type="spellStart"/>
      <w:r w:rsidRPr="00974082">
        <w:t>F.Supp</w:t>
      </w:r>
      <w:proofErr w:type="spellEnd"/>
      <w:r w:rsidRPr="00974082">
        <w:t>. 955 (S.D.N.Y. 1981).</w:t>
      </w:r>
      <w:r>
        <w:t>”</w:t>
      </w:r>
      <w:r w:rsidRPr="00974082">
        <w:t xml:space="preserve"> </w:t>
      </w:r>
      <w:r>
        <w:t xml:space="preserve"> </w:t>
      </w:r>
      <w:r w:rsidRPr="00974082">
        <w:t>         </w:t>
      </w:r>
    </w:p>
    <w:p w14:paraId="384CF2AF" w14:textId="77777777" w:rsidR="00292E1C" w:rsidRPr="002F708D" w:rsidRDefault="00292E1C" w:rsidP="00292E1C">
      <w:pPr>
        <w:pStyle w:val="NoSpacing"/>
        <w:rPr>
          <w:b/>
          <w:bCs/>
        </w:rPr>
      </w:pPr>
    </w:p>
    <w:p w14:paraId="7B06ED27" w14:textId="77777777" w:rsidR="00292E1C" w:rsidRPr="00D4601C" w:rsidRDefault="00292E1C" w:rsidP="00292E1C">
      <w:pPr>
        <w:pStyle w:val="NoSpacing"/>
        <w:rPr>
          <w:b/>
          <w:bCs/>
        </w:rPr>
      </w:pPr>
      <w:r>
        <w:rPr>
          <w:b/>
        </w:rPr>
        <w:t xml:space="preserve">Legal lesson learned: The CPAT has been approved in numerous cases. </w:t>
      </w:r>
    </w:p>
    <w:p w14:paraId="53C4D93E" w14:textId="77777777" w:rsidR="00292E1C" w:rsidRDefault="00292E1C" w:rsidP="00292E1C">
      <w:pPr>
        <w:pStyle w:val="NoSpacing"/>
      </w:pPr>
    </w:p>
    <w:p w14:paraId="41CF04E7" w14:textId="77777777" w:rsidR="00292E1C" w:rsidRDefault="00292E1C" w:rsidP="00292E1C">
      <w:pPr>
        <w:pStyle w:val="NoSpacing"/>
        <w:ind w:left="720"/>
      </w:pPr>
      <w:r>
        <w:t>Note: “</w:t>
      </w:r>
      <w:r w:rsidRPr="00793F18">
        <w:t xml:space="preserve">The IAFF/IAFC Fire Service Joint Labor-Management Wellness-Fitness Task Force was established in 1997 to address the need for a holistic, non-punitive approach to wellness and fitness in the fire service. </w:t>
      </w:r>
      <w:r>
        <w:t xml:space="preserve"> </w:t>
      </w:r>
      <w:r w:rsidRPr="00793F18">
        <w:t>Recognizing that some municipalities were hiring candidates who lacked the physical capacity for a successful career, the Task Force unanimously agreed to create a standardized pre-employment test. This effort led to the development and validation of the Candidate Physical Ability Test (CPAT), now the industry standard for hiring fire fighters.</w:t>
      </w:r>
      <w:r>
        <w:t xml:space="preserve">” </w:t>
      </w:r>
      <w:hyperlink r:id="rId1290" w:history="1">
        <w:r w:rsidRPr="00586BA9">
          <w:rPr>
            <w:rStyle w:val="Hyperlink"/>
          </w:rPr>
          <w:t>https://www.iaff.org/cpat/</w:t>
        </w:r>
      </w:hyperlink>
    </w:p>
    <w:p w14:paraId="7210320E" w14:textId="77777777" w:rsidR="00292E1C" w:rsidRDefault="00292E1C" w:rsidP="00F326E5">
      <w:pPr>
        <w:pStyle w:val="NoSpacing"/>
        <w:rPr>
          <w:rFonts w:ascii="Arial Black" w:hAnsi="Arial Black"/>
          <w:b/>
          <w:bCs/>
          <w:sz w:val="24"/>
          <w:szCs w:val="24"/>
        </w:rPr>
      </w:pPr>
    </w:p>
    <w:p w14:paraId="7D810FEC" w14:textId="77777777" w:rsidR="00292E1C" w:rsidRDefault="00292E1C" w:rsidP="00F326E5">
      <w:pPr>
        <w:pStyle w:val="NoSpacing"/>
        <w:rPr>
          <w:rFonts w:ascii="Arial Black" w:hAnsi="Arial Black"/>
          <w:b/>
          <w:bCs/>
          <w:sz w:val="24"/>
          <w:szCs w:val="24"/>
        </w:rPr>
      </w:pPr>
    </w:p>
    <w:p w14:paraId="2B492C56" w14:textId="77777777" w:rsidR="00292E1C" w:rsidRDefault="00292E1C" w:rsidP="00F326E5">
      <w:pPr>
        <w:pStyle w:val="NoSpacing"/>
        <w:rPr>
          <w:rFonts w:ascii="Arial Black" w:hAnsi="Arial Black"/>
          <w:b/>
          <w:bCs/>
          <w:sz w:val="24"/>
          <w:szCs w:val="24"/>
        </w:rPr>
      </w:pPr>
    </w:p>
    <w:p w14:paraId="1294D04C" w14:textId="77777777" w:rsidR="00292E1C" w:rsidRDefault="00292E1C" w:rsidP="00F326E5">
      <w:pPr>
        <w:pStyle w:val="NoSpacing"/>
        <w:rPr>
          <w:rFonts w:ascii="Arial Black" w:hAnsi="Arial Black"/>
          <w:b/>
          <w:bCs/>
          <w:sz w:val="24"/>
          <w:szCs w:val="24"/>
        </w:rPr>
      </w:pPr>
    </w:p>
    <w:p w14:paraId="2DDAC38D" w14:textId="77777777" w:rsidR="00292E1C" w:rsidRDefault="00292E1C" w:rsidP="00F326E5">
      <w:pPr>
        <w:pStyle w:val="NoSpacing"/>
        <w:rPr>
          <w:rFonts w:ascii="Arial Black" w:hAnsi="Arial Black"/>
          <w:b/>
          <w:bCs/>
          <w:sz w:val="24"/>
          <w:szCs w:val="24"/>
        </w:rPr>
      </w:pPr>
    </w:p>
    <w:p w14:paraId="13C1DAF6" w14:textId="7207BC96" w:rsidR="00571037" w:rsidRDefault="000624FD" w:rsidP="00F326E5">
      <w:pPr>
        <w:pStyle w:val="NoSpacing"/>
        <w:rPr>
          <w:rFonts w:ascii="Arial Black" w:hAnsi="Arial Black"/>
          <w:b/>
          <w:bCs/>
          <w:sz w:val="24"/>
          <w:szCs w:val="24"/>
        </w:rPr>
      </w:pPr>
      <w:r>
        <w:rPr>
          <w:rFonts w:ascii="Arial Black" w:hAnsi="Arial Black"/>
          <w:b/>
          <w:bCs/>
          <w:sz w:val="24"/>
          <w:szCs w:val="24"/>
        </w:rPr>
        <w:t>7-81</w:t>
      </w:r>
    </w:p>
    <w:p w14:paraId="0B203811" w14:textId="77777777" w:rsidR="000624FD" w:rsidRDefault="000624FD" w:rsidP="00F326E5">
      <w:pPr>
        <w:pStyle w:val="NoSpacing"/>
        <w:rPr>
          <w:rFonts w:ascii="Arial Black" w:hAnsi="Arial Black"/>
          <w:b/>
          <w:bCs/>
          <w:sz w:val="24"/>
          <w:szCs w:val="24"/>
        </w:rPr>
      </w:pPr>
    </w:p>
    <w:p w14:paraId="7A93A472" w14:textId="0ADBE1E4" w:rsidR="001567BB" w:rsidRDefault="001567BB" w:rsidP="001567BB">
      <w:pPr>
        <w:rPr>
          <w:rFonts w:ascii="Arial Black" w:hAnsi="Arial Black"/>
          <w:b/>
          <w:sz w:val="28"/>
          <w:szCs w:val="28"/>
        </w:rPr>
      </w:pPr>
      <w:r>
        <w:rPr>
          <w:rFonts w:ascii="Arial Black" w:hAnsi="Arial Black"/>
          <w:b/>
          <w:sz w:val="28"/>
          <w:szCs w:val="28"/>
        </w:rPr>
        <w:t>NY: FEMALE COMPLAINT - B/C TRANSFER - NO</w:t>
      </w:r>
      <w:r w:rsidR="00830C38">
        <w:rPr>
          <w:rFonts w:ascii="Arial Black" w:hAnsi="Arial Black"/>
          <w:b/>
          <w:sz w:val="28"/>
          <w:szCs w:val="28"/>
        </w:rPr>
        <w:t>T</w:t>
      </w:r>
      <w:r>
        <w:rPr>
          <w:rFonts w:ascii="Arial Black" w:hAnsi="Arial Black"/>
          <w:b/>
          <w:sz w:val="28"/>
          <w:szCs w:val="28"/>
        </w:rPr>
        <w:t xml:space="preserve"> RETALIATION</w:t>
      </w:r>
    </w:p>
    <w:p w14:paraId="0D18AAE5" w14:textId="77777777" w:rsidR="001567BB" w:rsidRDefault="001567BB" w:rsidP="001567BB">
      <w:pPr>
        <w:rPr>
          <w:bCs/>
        </w:rPr>
      </w:pPr>
      <w:r w:rsidRPr="00242546">
        <w:t xml:space="preserve">On September 22, 2025, in </w:t>
      </w:r>
      <w:r w:rsidRPr="00242546">
        <w:rPr>
          <w:u w:val="single"/>
        </w:rPr>
        <w:t>Michael McGraff v. Fire Department of City of New York and the City of New York</w:t>
      </w:r>
      <w:r>
        <w:t xml:space="preserve">, U.S. District Court Judge Nicholas G. </w:t>
      </w:r>
      <w:proofErr w:type="spellStart"/>
      <w:r>
        <w:t>Garaufis</w:t>
      </w:r>
      <w:proofErr w:type="spellEnd"/>
      <w:r>
        <w:t xml:space="preserve">, United States District Court for Eastern District of New York, granted the City’s motion for summary judgment. Female medic filed complaint on April 3, </w:t>
      </w:r>
      <w:proofErr w:type="gramStart"/>
      <w:r>
        <w:t>2015</w:t>
      </w:r>
      <w:proofErr w:type="gramEnd"/>
      <w:r>
        <w:t xml:space="preserve"> with </w:t>
      </w:r>
      <w:r w:rsidRPr="00823799">
        <w:t>FDNY EEO</w:t>
      </w:r>
      <w:r>
        <w:t xml:space="preserve">.   Battalion Chief </w:t>
      </w:r>
      <w:r w:rsidRPr="00146805">
        <w:t xml:space="preserve">McGrath's </w:t>
      </w:r>
      <w:r>
        <w:t xml:space="preserve">was transferred from </w:t>
      </w:r>
      <w:r w:rsidRPr="0004737E">
        <w:t>Battalion 47 in Far Rockaway, Queens</w:t>
      </w:r>
      <w:r>
        <w:t xml:space="preserve"> to </w:t>
      </w:r>
      <w:r w:rsidRPr="00BB6518">
        <w:t>Queens Borough Command</w:t>
      </w:r>
      <w:r>
        <w:t xml:space="preserve">. </w:t>
      </w:r>
      <w:r w:rsidRPr="00823799">
        <w:t>On May 16, 2016, McGrath filed his own complaints with the FDNY EEO</w:t>
      </w:r>
      <w:r>
        <w:t xml:space="preserve">, </w:t>
      </w:r>
      <w:r w:rsidRPr="00146805">
        <w:t xml:space="preserve">alleged </w:t>
      </w:r>
      <w:r>
        <w:t>he</w:t>
      </w:r>
      <w:r w:rsidRPr="00146805">
        <w:t xml:space="preserve"> “was transferred and demoted due to his race </w:t>
      </w:r>
      <w:r w:rsidRPr="00146805">
        <w:lastRenderedPageBreak/>
        <w:t xml:space="preserve">(Caucasian) and gender (male), and that Arroyo received differential treatment because she is female and Hispanic.” </w:t>
      </w:r>
      <w:r>
        <w:t xml:space="preserve"> On</w:t>
      </w:r>
      <w:r w:rsidRPr="00002337">
        <w:t xml:space="preserve"> August 15, 2016, the FDNY EEO Office issued a memorandum to the Fire Commissioner Daniel A. Nigro substantiating Arroyo's sexual harassment complaint against McGrath</w:t>
      </w:r>
      <w:r>
        <w:t xml:space="preserve">.  November 10, 2016, McGrath’s complaint was dismissed with a </w:t>
      </w:r>
      <w:r w:rsidRPr="00B67D5B">
        <w:t>“no probable cause” determination</w:t>
      </w:r>
      <w:r>
        <w:t xml:space="preserve">.  He filed this lawsuit on March 15, 2017, against the female medic and the FD,  </w:t>
      </w:r>
      <w:r w:rsidRPr="00CC3044">
        <w:t xml:space="preserve">alleging </w:t>
      </w:r>
      <w:r>
        <w:t>“</w:t>
      </w:r>
      <w:r w:rsidRPr="00CC3044">
        <w:t>racial discrimination and retaliation under federal, state, and local laws, violation of his free speech rights, and several tort and contract claims</w:t>
      </w:r>
      <w:r>
        <w:t>.”</w:t>
      </w:r>
    </w:p>
    <w:p w14:paraId="0660C1E0" w14:textId="77777777" w:rsidR="001567BB" w:rsidRPr="004554EA" w:rsidRDefault="001567BB" w:rsidP="001567BB">
      <w:pPr>
        <w:rPr>
          <w:bCs/>
        </w:rPr>
      </w:pPr>
      <w:r w:rsidRPr="00EF6273">
        <w:rPr>
          <w:b/>
        </w:rPr>
        <w:t>THE COURT HELD</w:t>
      </w:r>
      <w:r>
        <w:t>: “</w:t>
      </w:r>
      <w:r w:rsidRPr="004554EA">
        <w:t xml:space="preserve">Based on this extensive investigation, the FDNY EEO Office determined as follows: </w:t>
      </w:r>
    </w:p>
    <w:p w14:paraId="48FA6812" w14:textId="77777777" w:rsidR="001567BB" w:rsidRPr="004554EA" w:rsidRDefault="001567BB" w:rsidP="001567BB">
      <w:pPr>
        <w:ind w:left="720"/>
        <w:rPr>
          <w:bCs/>
        </w:rPr>
      </w:pPr>
      <w:r w:rsidRPr="004554EA">
        <w:t xml:space="preserve">[T]he evidence shows that it is more likely than not that: McGrath and Arroyo spent time together after work hours in a non-platonic manner; Arroyo advised McGrath that she did not wish to purse a relationship; McGrath confronted Arroyo about unsubstantiated rumors of sexual misconduct in the workplace without addressing such alleged misconduct within his, and Arroyo's, chain of command; suggested and/or threatened Arroyo with a transfer to a different station; and recommended to Arroyo's supervisors that she be transferred to a different station. Viewing the totality of circumstances, such conduct constitutes sexual harassment in violation of the EEO Policy. </w:t>
      </w:r>
    </w:p>
    <w:p w14:paraId="49774F22" w14:textId="77777777" w:rsidR="001567BB" w:rsidRDefault="001567BB" w:rsidP="001567BB">
      <w:pPr>
        <w:rPr>
          <w:bCs/>
        </w:rPr>
      </w:pPr>
      <w:r>
        <w:t>***</w:t>
      </w:r>
    </w:p>
    <w:p w14:paraId="0123A7F8" w14:textId="77777777" w:rsidR="001567BB" w:rsidRPr="00705FAD" w:rsidRDefault="001567BB" w:rsidP="001567BB">
      <w:r w:rsidRPr="00284816">
        <w:t>The evidence shows that the FDNY</w:t>
      </w:r>
      <w:r>
        <w:t xml:space="preserve"> </w:t>
      </w:r>
      <w:r w:rsidRPr="00284816">
        <w:t xml:space="preserve">EEO Office substantiated Arroyo's complaint against McGrath and brought disciplinary charges against McGrath not </w:t>
      </w:r>
      <w:proofErr w:type="gramStart"/>
      <w:r w:rsidRPr="00284816">
        <w:t>as a result of</w:t>
      </w:r>
      <w:proofErr w:type="gramEnd"/>
      <w:r w:rsidRPr="00284816">
        <w:t xml:space="preserve"> McGrath's Agency Complaints, but because of the FDNY EEO Office's extensive fact-finding that validated Arroyo's sexual harassment allegations. McGrath's scant evidence showing a causal link between his protected activity and the alleged retaliatory actions is insufficient to defeat Defendants' motion for summary judgment.</w:t>
      </w:r>
      <w:r>
        <w:t xml:space="preserve">” </w:t>
      </w:r>
      <w:hyperlink r:id="rId1291" w:history="1">
        <w:r w:rsidRPr="00705FAD">
          <w:rPr>
            <w:rStyle w:val="Hyperlink"/>
          </w:rPr>
          <w:t>https://public.fastcase.com/jaEE2PXzRXmZ99jOLMt1Ith2qIaSeggCoLDpY1bED9tguFhWPV6Zo6qPtk3o63Z4?utm_medium=email&amp;_hsenc=p2ANqtz-_k3-Q52FXjJQN9NeOgWdHNDXhdU7FtsE1Qhtjng3_RTOztkpkvOWiDZxLNU-kndNaS-F1RaBe3KZirW8vwSyzK6BF9eQ&amp;_hsmi=226712652&amp;utm_content=226712652&amp;utm_source=hs_email</w:t>
        </w:r>
      </w:hyperlink>
    </w:p>
    <w:p w14:paraId="4FEF75B0" w14:textId="77777777" w:rsidR="001567BB" w:rsidRDefault="001567BB" w:rsidP="001567BB">
      <w:r w:rsidRPr="00EF6273">
        <w:rPr>
          <w:b/>
        </w:rPr>
        <w:t>KEY FACTS</w:t>
      </w:r>
      <w:r>
        <w:t xml:space="preserve">: </w:t>
      </w:r>
    </w:p>
    <w:p w14:paraId="3082BB4E" w14:textId="77777777" w:rsidR="001567BB" w:rsidRDefault="001567BB" w:rsidP="001567BB">
      <w:pPr>
        <w:ind w:left="720"/>
      </w:pPr>
      <w:r>
        <w:t>“</w:t>
      </w:r>
      <w:r w:rsidRPr="00A841D8">
        <w:t>Michael McGrath is a white, male, retired FDNY officer</w:t>
      </w:r>
      <w:r>
        <w:t xml:space="preserve">…. </w:t>
      </w:r>
      <w:r w:rsidRPr="00A841D8">
        <w:t>McGrath began his career as a fireman at the FDNY in 1979 and was employed by the FDNY until he retired on February 15, 2018</w:t>
      </w:r>
      <w:r>
        <w:t xml:space="preserve">…. </w:t>
      </w:r>
      <w:r w:rsidRPr="00A841D8">
        <w:t>Throughout his career at the FDNY, he was promoted several times, eventually becoming Battalion Commander for FDNY Battalion 47 in Far Rockaway, Queens in 2003</w:t>
      </w:r>
      <w:r>
        <w:t xml:space="preserve">…. </w:t>
      </w:r>
      <w:r w:rsidRPr="00A841D8">
        <w:t xml:space="preserve">Two years into his command of FNDY Battalion 47, Battalion 47 became a </w:t>
      </w:r>
      <w:r>
        <w:t>‘</w:t>
      </w:r>
      <w:r w:rsidRPr="00A841D8">
        <w:t xml:space="preserve">joint </w:t>
      </w:r>
      <w:proofErr w:type="spellStart"/>
      <w:r w:rsidRPr="00A841D8">
        <w:t>facilit</w:t>
      </w:r>
      <w:proofErr w:type="spellEnd"/>
      <w:r w:rsidRPr="00A841D8">
        <w:t>[y]</w:t>
      </w:r>
      <w:r>
        <w:t xml:space="preserve">’ </w:t>
      </w:r>
      <w:r w:rsidRPr="00A841D8">
        <w:t>housing both Fire Operations and EMS Operations</w:t>
      </w:r>
      <w:r>
        <w:t xml:space="preserve">…. </w:t>
      </w:r>
      <w:r w:rsidRPr="00A841D8">
        <w:t xml:space="preserve">The court refers to the joint facility where McGrath worked as the </w:t>
      </w:r>
      <w:r>
        <w:t>‘</w:t>
      </w:r>
      <w:r w:rsidRPr="00A841D8">
        <w:t>Firehouse.</w:t>
      </w:r>
      <w:r>
        <w:t>’</w:t>
      </w:r>
      <w:r w:rsidRPr="00A841D8">
        <w:t xml:space="preserve"> Both Fire Operations and EMS Operations housed in the Firehouse share common areas, including a gym, terrace, locker rooms, and bathrooms</w:t>
      </w:r>
      <w:r>
        <w:t xml:space="preserve">…. </w:t>
      </w:r>
    </w:p>
    <w:p w14:paraId="22586087" w14:textId="77777777" w:rsidR="001567BB" w:rsidRDefault="001567BB" w:rsidP="001567BB">
      <w:pPr>
        <w:ind w:left="720"/>
      </w:pPr>
      <w:r w:rsidRPr="00BC781F">
        <w:t>In January 2014, McGrath met Marilyn Arroyo, an EMS Paramedic, when Arroyo was involved in a motor vehicle accident to which McGrath responded</w:t>
      </w:r>
      <w:r>
        <w:t xml:space="preserve">…. </w:t>
      </w:r>
      <w:r w:rsidRPr="00BC781F">
        <w:t>It is undisputed that McGrath and Arroyo met several times after they first met</w:t>
      </w:r>
      <w:r>
        <w:t xml:space="preserve"> … </w:t>
      </w:r>
      <w:r w:rsidRPr="00BC781F">
        <w:t xml:space="preserve">but the parties dispute whether these meetings were dates or </w:t>
      </w:r>
      <w:r>
        <w:t>‘</w:t>
      </w:r>
      <w:r w:rsidRPr="00BC781F">
        <w:t>merely two co-workers getting together because Arroyo asked for job-related advice due to having family members interested in applying to the FDNY,</w:t>
      </w:r>
      <w:r>
        <w:t xml:space="preserve">’ …. </w:t>
      </w:r>
      <w:r w:rsidRPr="00BC781F">
        <w:t>McGrath claims that shortly after meeting Arroyo, he began hearing rumors that Arroyo was having sex with a firefighter inside of the Firehouse</w:t>
      </w:r>
      <w:r>
        <w:t xml:space="preserve">…. </w:t>
      </w:r>
      <w:r w:rsidRPr="00BC781F">
        <w:t>McGrath first approached Arroyo's supervisor Chief Steven Russo with the allegations; Russo told McGrath that he would speak with Arroyo and get back to McGrath by the end of the day</w:t>
      </w:r>
      <w:r>
        <w:t>….</w:t>
      </w:r>
      <w:r w:rsidRPr="00BC781F">
        <w:t xml:space="preserve"> Russo did not get back to McGrath that day</w:t>
      </w:r>
      <w:r>
        <w:t xml:space="preserve">…. </w:t>
      </w:r>
      <w:r w:rsidRPr="00BC781F">
        <w:t>On March 15, 2015, McGrath approached Arroyo and discussed the allegations with her</w:t>
      </w:r>
      <w:r>
        <w:t xml:space="preserve">…. </w:t>
      </w:r>
      <w:r w:rsidRPr="00BC781F">
        <w:t>McGrath then brought the allegations to Assistant Chief Edward Baggott and Division Commander James DiDomencio</w:t>
      </w:r>
      <w:r>
        <w:t xml:space="preserve">…. </w:t>
      </w:r>
      <w:r w:rsidRPr="00BC781F">
        <w:t>DiDomenico told McGrath that while the FDNY Bureau of Investigations and Trials (</w:t>
      </w:r>
      <w:r>
        <w:t>‘</w:t>
      </w:r>
      <w:proofErr w:type="spellStart"/>
      <w:r w:rsidRPr="00BC781F">
        <w:t>BITs</w:t>
      </w:r>
      <w:r>
        <w:t>’</w:t>
      </w:r>
      <w:proofErr w:type="spellEnd"/>
      <w:r w:rsidRPr="00BC781F">
        <w:t xml:space="preserve">) was not going to investigate the allegations, Arroyo's EMS </w:t>
      </w:r>
      <w:r w:rsidRPr="00BC781F">
        <w:lastRenderedPageBreak/>
        <w:t>supervisor would speak with her</w:t>
      </w:r>
      <w:r>
        <w:t xml:space="preserve">…. </w:t>
      </w:r>
      <w:r w:rsidRPr="00BC781F">
        <w:t xml:space="preserve">Shortly thereafter, DiDomenico instructed all Battalion Commanders (including McGrath) to give </w:t>
      </w:r>
      <w:r>
        <w:t>‘</w:t>
      </w:r>
      <w:r w:rsidRPr="00BC781F">
        <w:t>drills on inappropriate behavior.</w:t>
      </w:r>
      <w:r>
        <w:t>’</w:t>
      </w:r>
      <w:r w:rsidRPr="00BC781F">
        <w:t xml:space="preserve"> </w:t>
      </w:r>
    </w:p>
    <w:p w14:paraId="337BCF92" w14:textId="77777777" w:rsidR="001567BB" w:rsidRDefault="001567BB" w:rsidP="001567BB">
      <w:pPr>
        <w:ind w:left="720"/>
      </w:pPr>
      <w:r>
        <w:t>***</w:t>
      </w:r>
    </w:p>
    <w:p w14:paraId="2FD6D42E" w14:textId="77777777" w:rsidR="001567BB" w:rsidRPr="002C11C5" w:rsidRDefault="001567BB" w:rsidP="001567BB">
      <w:pPr>
        <w:ind w:left="720"/>
      </w:pPr>
      <w:r w:rsidRPr="002C11C5">
        <w:t xml:space="preserve"> 1. Arroyo FDNY EEO Complaint </w:t>
      </w:r>
    </w:p>
    <w:p w14:paraId="5F96AEC4" w14:textId="77777777" w:rsidR="001567BB" w:rsidRDefault="001567BB" w:rsidP="001567BB">
      <w:pPr>
        <w:ind w:left="720"/>
      </w:pPr>
      <w:r w:rsidRPr="002C11C5">
        <w:t> On April 3, 2015, Arroyo submitted a complaint to the FDNYs Equal Opportunity Employment (</w:t>
      </w:r>
      <w:r>
        <w:t>‘</w:t>
      </w:r>
      <w:r w:rsidRPr="002C11C5">
        <w:t>EEO</w:t>
      </w:r>
      <w:r>
        <w:t>’</w:t>
      </w:r>
      <w:r w:rsidRPr="002C11C5">
        <w:t>) Office alleging that McGrath sexually harassed her</w:t>
      </w:r>
      <w:r>
        <w:t xml:space="preserve">…. </w:t>
      </w:r>
      <w:r w:rsidRPr="002C11C5">
        <w:t xml:space="preserve">The Arroyo FDNY EEO Complaint alleged that on March 15, 2015, McGrath asked Arroyo to meet him in the Firehouse's mechanical room, where McGrath </w:t>
      </w:r>
      <w:r>
        <w:t>‘</w:t>
      </w:r>
      <w:r w:rsidRPr="002C11C5">
        <w:t>informed [Arroyo] that firemen's wives were making complaints about [Arroyo] with regard to rumors of inappropriate behavior with numerous firefighters from Battalion 47 as well as police officers from the local precincts.</w:t>
      </w:r>
      <w:r>
        <w:t>’ …</w:t>
      </w:r>
      <w:r w:rsidRPr="002C11C5">
        <w:t xml:space="preserve">Arroyo alleged further that McGrath </w:t>
      </w:r>
      <w:r>
        <w:t>‘</w:t>
      </w:r>
      <w:r w:rsidRPr="002C11C5">
        <w:t xml:space="preserve">claimed that the wives were unhappy with [Arroyo] having a personal relationship with a </w:t>
      </w:r>
      <w:proofErr w:type="gramStart"/>
      <w:r w:rsidRPr="002C11C5">
        <w:t>35 year old</w:t>
      </w:r>
      <w:proofErr w:type="gramEnd"/>
      <w:r w:rsidRPr="002C11C5">
        <w:t xml:space="preserve"> fireman from E268.” </w:t>
      </w:r>
      <w:r>
        <w:t xml:space="preserve">… </w:t>
      </w:r>
      <w:r w:rsidRPr="002C11C5">
        <w:t xml:space="preserve"> Arroyo claimed that McGrath said he could </w:t>
      </w:r>
      <w:r>
        <w:t>‘</w:t>
      </w:r>
      <w:r w:rsidRPr="002C11C5">
        <w:t>make this all go away</w:t>
      </w:r>
      <w:r>
        <w:t>’</w:t>
      </w:r>
      <w:r w:rsidRPr="002C11C5">
        <w:t xml:space="preserve"> if she agreed to transfer to another EMS Station and gave her until the following day to let him know her decision.</w:t>
      </w:r>
    </w:p>
    <w:p w14:paraId="32BB8F0A" w14:textId="77777777" w:rsidR="001567BB" w:rsidRPr="002C11C5" w:rsidRDefault="001567BB" w:rsidP="001567BB">
      <w:pPr>
        <w:ind w:left="720"/>
      </w:pPr>
      <w:r>
        <w:t>***</w:t>
      </w:r>
    </w:p>
    <w:p w14:paraId="606B3372" w14:textId="77777777" w:rsidR="001567BB" w:rsidRDefault="001567BB" w:rsidP="001567BB">
      <w:pPr>
        <w:ind w:left="720"/>
      </w:pPr>
      <w:r w:rsidRPr="00AC185E">
        <w:t> In March or April 2015, the FDNY reassigned McGrath to Queens Borough Command</w:t>
      </w:r>
      <w:proofErr w:type="gramStart"/>
      <w:r>
        <w:t>…..</w:t>
      </w:r>
      <w:proofErr w:type="gramEnd"/>
      <w:r>
        <w:t xml:space="preserve"> </w:t>
      </w:r>
      <w:r w:rsidRPr="00AC185E">
        <w:t xml:space="preserve">McGrath alleges that he was reassigned </w:t>
      </w:r>
      <w:r>
        <w:t>‘</w:t>
      </w:r>
      <w:r w:rsidRPr="00AC185E">
        <w:t>without warning</w:t>
      </w:r>
      <w:r>
        <w:t>’</w:t>
      </w:r>
      <w:r w:rsidRPr="00AC185E">
        <w:t xml:space="preserve"> and </w:t>
      </w:r>
      <w:r>
        <w:t>‘</w:t>
      </w:r>
      <w:r w:rsidRPr="00AC185E">
        <w:t xml:space="preserve">stripped </w:t>
      </w:r>
      <w:proofErr w:type="gramStart"/>
      <w:r w:rsidRPr="00AC185E">
        <w:t>of</w:t>
      </w:r>
      <w:proofErr w:type="gramEnd"/>
      <w:r w:rsidRPr="00AC185E">
        <w:t xml:space="preserve"> his duties.</w:t>
      </w:r>
      <w:r>
        <w:t>’</w:t>
      </w:r>
    </w:p>
    <w:p w14:paraId="0BA17AD4" w14:textId="77777777" w:rsidR="001567BB" w:rsidRDefault="001567BB" w:rsidP="001567BB">
      <w:pPr>
        <w:ind w:left="720"/>
      </w:pPr>
      <w:r>
        <w:t>***</w:t>
      </w:r>
    </w:p>
    <w:p w14:paraId="4CF1C565" w14:textId="77777777" w:rsidR="001567BB" w:rsidRDefault="001567BB" w:rsidP="001567BB">
      <w:pPr>
        <w:ind w:left="720"/>
      </w:pPr>
      <w:r w:rsidRPr="00B13F8B">
        <w:t>2. McGrath Agency Complaints</w:t>
      </w:r>
    </w:p>
    <w:p w14:paraId="722E9E3D" w14:textId="77777777" w:rsidR="001567BB" w:rsidRDefault="001567BB" w:rsidP="001567BB">
      <w:pPr>
        <w:ind w:left="720"/>
      </w:pPr>
      <w:r w:rsidRPr="0064124C">
        <w:t>On May 16, 2016, McGrath filed his own complaints with the FDNY EEO Office, the New York State Department of Human Rights (</w:t>
      </w:r>
      <w:r>
        <w:t>‘</w:t>
      </w:r>
      <w:r w:rsidRPr="0064124C">
        <w:t>NYSDHR</w:t>
      </w:r>
      <w:r>
        <w:t>’</w:t>
      </w:r>
      <w:r w:rsidRPr="0064124C">
        <w:t>), and the United States Equal Employment Opportunity Commission (</w:t>
      </w:r>
      <w:r>
        <w:t>‘</w:t>
      </w:r>
      <w:r w:rsidRPr="0064124C">
        <w:t>US EEOC</w:t>
      </w:r>
      <w:r>
        <w:t>’</w:t>
      </w:r>
      <w:r w:rsidRPr="0064124C">
        <w:t xml:space="preserve">) (collectively, </w:t>
      </w:r>
      <w:r>
        <w:t>‘</w:t>
      </w:r>
      <w:r w:rsidRPr="0064124C">
        <w:t>Agency Complaints</w:t>
      </w:r>
      <w:r>
        <w:t>’</w:t>
      </w:r>
      <w:r w:rsidRPr="0064124C">
        <w:t>)</w:t>
      </w:r>
      <w:r>
        <w:t xml:space="preserve">…. </w:t>
      </w:r>
      <w:r w:rsidRPr="0064124C">
        <w:t xml:space="preserve">According to an internal FDNY memorandum, McGrath's FDNY EEO complaint alleged that McGrath </w:t>
      </w:r>
      <w:r>
        <w:t>‘</w:t>
      </w:r>
      <w:r w:rsidRPr="0064124C">
        <w:t>was transferred and demoted due to his race (Caucasian) and gender (male), and that Arroyo received differential treatment because she is female and Hispanic.</w:t>
      </w:r>
      <w:r>
        <w:t>’</w:t>
      </w:r>
      <w:r w:rsidRPr="0064124C">
        <w:t xml:space="preserve"> (Nguyen Mem.)</w:t>
      </w:r>
    </w:p>
    <w:p w14:paraId="01796F3E" w14:textId="77777777" w:rsidR="001567BB" w:rsidRDefault="001567BB" w:rsidP="001567BB">
      <w:pPr>
        <w:ind w:left="720"/>
      </w:pPr>
      <w:r>
        <w:t>***</w:t>
      </w:r>
    </w:p>
    <w:p w14:paraId="2AAD5259" w14:textId="77777777" w:rsidR="001567BB" w:rsidRDefault="001567BB" w:rsidP="001567BB">
      <w:pPr>
        <w:ind w:left="720"/>
      </w:pPr>
      <w:r w:rsidRPr="00A8314F">
        <w:t>On September 9, 2016, BIT served McGrath with four charges under the FDNYs internal rules and regulations relating to sexual harassment, making false statements, and general conduct</w:t>
      </w:r>
      <w:r>
        <w:t>.”</w:t>
      </w:r>
    </w:p>
    <w:p w14:paraId="563CFC58" w14:textId="77777777" w:rsidR="001567BB" w:rsidRPr="00284816" w:rsidRDefault="001567BB" w:rsidP="001567BB">
      <w:pPr>
        <w:rPr>
          <w:b/>
          <w:bCs/>
        </w:rPr>
      </w:pPr>
      <w:r>
        <w:rPr>
          <w:b/>
        </w:rPr>
        <w:t>Legal lesson learned: FD conducted thorough investigation.</w:t>
      </w:r>
    </w:p>
    <w:p w14:paraId="7CA9A367" w14:textId="77777777" w:rsidR="001567BB" w:rsidRPr="00F05C98" w:rsidRDefault="001567BB" w:rsidP="001567BB">
      <w:pPr>
        <w:ind w:left="720"/>
      </w:pPr>
    </w:p>
    <w:p w14:paraId="6F1D9EFD" w14:textId="77777777" w:rsidR="000624FD" w:rsidRDefault="000624FD" w:rsidP="004C2EC5">
      <w:pPr>
        <w:pStyle w:val="NoSpacing"/>
        <w:rPr>
          <w:rFonts w:ascii="Arial Black" w:hAnsi="Arial Black"/>
          <w:b/>
          <w:bCs/>
          <w:sz w:val="24"/>
          <w:szCs w:val="24"/>
        </w:rPr>
      </w:pPr>
    </w:p>
    <w:p w14:paraId="4BF9CE48" w14:textId="19E4870C" w:rsidR="002F205D" w:rsidRDefault="002F205D" w:rsidP="004C2EC5">
      <w:pPr>
        <w:pStyle w:val="NoSpacing"/>
        <w:rPr>
          <w:rFonts w:ascii="Arial Black" w:hAnsi="Arial Black"/>
          <w:b/>
          <w:bCs/>
          <w:sz w:val="24"/>
          <w:szCs w:val="24"/>
        </w:rPr>
      </w:pPr>
      <w:r>
        <w:rPr>
          <w:rFonts w:ascii="Arial Black" w:hAnsi="Arial Black"/>
          <w:b/>
          <w:bCs/>
          <w:sz w:val="24"/>
          <w:szCs w:val="24"/>
        </w:rPr>
        <w:t>7-80</w:t>
      </w:r>
    </w:p>
    <w:p w14:paraId="2D439DEF" w14:textId="77777777" w:rsidR="002F205D" w:rsidRDefault="002F205D" w:rsidP="002F205D">
      <w:pPr>
        <w:pStyle w:val="NoSpacing"/>
        <w:rPr>
          <w:rFonts w:ascii="Arial Black" w:hAnsi="Arial Black"/>
          <w:sz w:val="28"/>
          <w:szCs w:val="28"/>
        </w:rPr>
      </w:pPr>
      <w:r>
        <w:rPr>
          <w:rFonts w:ascii="Arial Black" w:hAnsi="Arial Black"/>
          <w:sz w:val="28"/>
          <w:szCs w:val="28"/>
        </w:rPr>
        <w:t xml:space="preserve">IL: GENITALIA / HOMO / RACIST - TEXT MESSAGE GROUP </w:t>
      </w:r>
    </w:p>
    <w:p w14:paraId="160E9399" w14:textId="77777777" w:rsidR="002F205D" w:rsidRPr="006959F8" w:rsidRDefault="002F205D" w:rsidP="002F205D">
      <w:pPr>
        <w:pStyle w:val="NoSpacing"/>
        <w:rPr>
          <w:rFonts w:ascii="Times New Roman" w:hAnsi="Times New Roman"/>
          <w:sz w:val="24"/>
          <w:szCs w:val="24"/>
        </w:rPr>
      </w:pPr>
      <w:r w:rsidRPr="006959F8">
        <w:rPr>
          <w:rFonts w:ascii="Times New Roman" w:hAnsi="Times New Roman"/>
          <w:sz w:val="24"/>
          <w:szCs w:val="24"/>
        </w:rPr>
        <w:t xml:space="preserve"> </w:t>
      </w:r>
    </w:p>
    <w:p w14:paraId="0587292F" w14:textId="484109C8" w:rsidR="002F205D" w:rsidRPr="006959F8" w:rsidRDefault="002F205D" w:rsidP="002F205D">
      <w:pPr>
        <w:pStyle w:val="NoSpacing"/>
        <w:rPr>
          <w:rFonts w:ascii="Times New Roman" w:hAnsi="Times New Roman"/>
          <w:sz w:val="24"/>
          <w:szCs w:val="24"/>
        </w:rPr>
      </w:pPr>
      <w:r w:rsidRPr="006959F8">
        <w:rPr>
          <w:rFonts w:ascii="Times New Roman" w:hAnsi="Times New Roman"/>
          <w:sz w:val="24"/>
          <w:szCs w:val="24"/>
        </w:rPr>
        <w:t xml:space="preserve">On July 23, 2025, in </w:t>
      </w:r>
      <w:r w:rsidRPr="006959F8">
        <w:rPr>
          <w:rFonts w:ascii="Times New Roman" w:hAnsi="Times New Roman"/>
          <w:sz w:val="24"/>
          <w:szCs w:val="24"/>
          <w:u w:val="single"/>
        </w:rPr>
        <w:t>David Stieglitz v. City of Chicago, et al</w:t>
      </w:r>
      <w:r w:rsidRPr="006959F8">
        <w:rPr>
          <w:rFonts w:ascii="Times New Roman" w:hAnsi="Times New Roman"/>
          <w:sz w:val="24"/>
          <w:szCs w:val="24"/>
        </w:rPr>
        <w:t xml:space="preserve">., U.S. District Court Judge Franklin U. Valderrama, United States District Court for Northern District of Illinois (Eastern Division) denied the City’s motion to dismiss retaliation lawsuit; pre-trial discovery will now proceed for plaintiff (who is white).  The plaintiff has been a Chicago firefighter since 2005; in July 2000 he was added to a text message group from his firehouse; the chat excluded female firefighters, and included pictures of genitalia, homophobic and racist texts and inappropriate gifs.  He also complained about inappropriate conduct directed at his minor son during a visit to the firehouse, during which he was asked about his sexual orientation. He asked his Lieutenant and his </w:t>
      </w:r>
      <w:r w:rsidRPr="006959F8">
        <w:rPr>
          <w:rFonts w:ascii="Times New Roman" w:hAnsi="Times New Roman"/>
          <w:sz w:val="24"/>
          <w:szCs w:val="24"/>
        </w:rPr>
        <w:lastRenderedPageBreak/>
        <w:t xml:space="preserve">Battalion Chief to be removed from the text message group and stop the conduct, but they took no action. In 2021 and 2022 he filed complaints with City EEOC and OIG, and retaliation started. His lawsuit claims: “he was ostracized by his coworkers, threatened with discipline for reporting illegal behavior, brought up on false internal review charges, the station cook spit on his plate at dinner, he had doors slammed in his face, and he was transferred from his assigned house.”  THE COURT HELD: “The Supreme Court recently clarified that to establish an adverse employment action under Title VII, a plaintiff need only show ‘some harm’ respecting an identifiable term or condition of employment, rather than a ‘significant’ disadvantage. </w:t>
      </w:r>
      <w:r w:rsidRPr="006959F8">
        <w:rPr>
          <w:rFonts w:ascii="Times New Roman" w:hAnsi="Times New Roman"/>
          <w:i/>
          <w:iCs/>
          <w:sz w:val="24"/>
          <w:szCs w:val="24"/>
        </w:rPr>
        <w:t>Muldrow v. City of St. Louis</w:t>
      </w:r>
      <w:r w:rsidRPr="006959F8">
        <w:rPr>
          <w:rFonts w:ascii="Times New Roman" w:hAnsi="Times New Roman"/>
          <w:sz w:val="24"/>
          <w:szCs w:val="24"/>
        </w:rPr>
        <w:t xml:space="preserve">, Mo., 601 U.S. 346, 355 (2024). </w:t>
      </w:r>
      <w:hyperlink r:id="rId1292" w:history="1">
        <w:r w:rsidRPr="006959F8">
          <w:rPr>
            <w:rStyle w:val="Hyperlink"/>
            <w:rFonts w:ascii="Times New Roman" w:hAnsi="Times New Roman"/>
            <w:sz w:val="24"/>
            <w:szCs w:val="24"/>
          </w:rPr>
          <w:t>https://www.courthousenews.com/wp-content/uploads/2025/07/illinois-court-allows-firefighter-emt-to-sue-over-sexually-hostile-environment.pdf</w:t>
        </w:r>
      </w:hyperlink>
    </w:p>
    <w:p w14:paraId="68862B53" w14:textId="77777777" w:rsidR="00E73444" w:rsidRPr="006959F8" w:rsidRDefault="00E73444" w:rsidP="002F205D">
      <w:pPr>
        <w:pStyle w:val="NoSpacing"/>
        <w:rPr>
          <w:rFonts w:ascii="Times New Roman" w:hAnsi="Times New Roman"/>
          <w:b/>
          <w:bCs/>
          <w:sz w:val="24"/>
          <w:szCs w:val="24"/>
        </w:rPr>
      </w:pPr>
    </w:p>
    <w:p w14:paraId="2281D8AD" w14:textId="77777777" w:rsidR="0069598C" w:rsidRPr="006959F8" w:rsidRDefault="0069598C" w:rsidP="0069598C">
      <w:pPr>
        <w:pStyle w:val="NoSpacing"/>
        <w:rPr>
          <w:rFonts w:ascii="Times New Roman" w:hAnsi="Times New Roman"/>
          <w:b/>
          <w:bCs/>
          <w:sz w:val="24"/>
          <w:szCs w:val="24"/>
        </w:rPr>
      </w:pPr>
      <w:r w:rsidRPr="006959F8">
        <w:rPr>
          <w:rFonts w:ascii="Times New Roman" w:hAnsi="Times New Roman"/>
          <w:b/>
          <w:sz w:val="24"/>
          <w:szCs w:val="24"/>
        </w:rPr>
        <w:t xml:space="preserve">Legal lesson learned:   Fire Station text message groups, like other forms of communication, can lead to litigation.  Under the U.S. Supreme Court’s April 17, </w:t>
      </w:r>
      <w:proofErr w:type="gramStart"/>
      <w:r w:rsidRPr="006959F8">
        <w:rPr>
          <w:rFonts w:ascii="Times New Roman" w:hAnsi="Times New Roman"/>
          <w:b/>
          <w:sz w:val="24"/>
          <w:szCs w:val="24"/>
        </w:rPr>
        <w:t>2024</w:t>
      </w:r>
      <w:proofErr w:type="gramEnd"/>
      <w:r w:rsidRPr="006959F8">
        <w:rPr>
          <w:rFonts w:ascii="Times New Roman" w:hAnsi="Times New Roman"/>
          <w:b/>
          <w:sz w:val="24"/>
          <w:szCs w:val="24"/>
        </w:rPr>
        <w:t xml:space="preserve"> decision in </w:t>
      </w:r>
      <w:r w:rsidRPr="006959F8">
        <w:rPr>
          <w:rFonts w:ascii="Times New Roman" w:hAnsi="Times New Roman"/>
          <w:b/>
          <w:i/>
          <w:iCs/>
          <w:sz w:val="24"/>
          <w:szCs w:val="24"/>
        </w:rPr>
        <w:t xml:space="preserve">Muldrow v. City of St. Louis, </w:t>
      </w:r>
      <w:r w:rsidRPr="006959F8">
        <w:rPr>
          <w:rFonts w:ascii="Times New Roman" w:hAnsi="Times New Roman"/>
          <w:b/>
          <w:sz w:val="24"/>
          <w:szCs w:val="24"/>
        </w:rPr>
        <w:t xml:space="preserve">lawsuits claiming retaliation need only allege “some harms” to proceed with pre-trial discovery. </w:t>
      </w:r>
      <w:hyperlink r:id="rId1293" w:history="1">
        <w:r w:rsidRPr="006959F8">
          <w:rPr>
            <w:rStyle w:val="Hyperlink"/>
            <w:rFonts w:ascii="Times New Roman" w:hAnsi="Times New Roman"/>
            <w:b/>
            <w:sz w:val="24"/>
            <w:szCs w:val="24"/>
          </w:rPr>
          <w:t>https://www.supremecourt.gov/opinions/23pdf/22-193_q86b.pdf</w:t>
        </w:r>
      </w:hyperlink>
      <w:r w:rsidRPr="006959F8">
        <w:rPr>
          <w:rFonts w:ascii="Times New Roman" w:hAnsi="Times New Roman"/>
          <w:b/>
          <w:sz w:val="24"/>
          <w:szCs w:val="24"/>
        </w:rPr>
        <w:t xml:space="preserve"> </w:t>
      </w:r>
    </w:p>
    <w:p w14:paraId="6A62170C" w14:textId="77777777" w:rsidR="0069598C" w:rsidRPr="006959F8" w:rsidRDefault="0069598C" w:rsidP="0069598C">
      <w:pPr>
        <w:pStyle w:val="NoSpacing"/>
        <w:rPr>
          <w:rFonts w:ascii="Times New Roman" w:hAnsi="Times New Roman"/>
          <w:b/>
          <w:bCs/>
          <w:sz w:val="24"/>
          <w:szCs w:val="24"/>
        </w:rPr>
      </w:pPr>
    </w:p>
    <w:p w14:paraId="501B1C06" w14:textId="77777777" w:rsidR="0069598C" w:rsidRPr="006959F8" w:rsidRDefault="0069598C" w:rsidP="0069598C">
      <w:pPr>
        <w:pStyle w:val="NoSpacing"/>
        <w:ind w:left="720"/>
        <w:rPr>
          <w:rFonts w:ascii="Times New Roman" w:hAnsi="Times New Roman"/>
          <w:sz w:val="24"/>
          <w:szCs w:val="24"/>
        </w:rPr>
      </w:pPr>
      <w:r w:rsidRPr="006959F8">
        <w:rPr>
          <w:rFonts w:ascii="Times New Roman" w:hAnsi="Times New Roman"/>
          <w:sz w:val="24"/>
          <w:szCs w:val="24"/>
        </w:rPr>
        <w:t xml:space="preserve">Note:  Plaintiff in 2017 filed an EEOC complaint and then sued the </w:t>
      </w:r>
      <w:proofErr w:type="gramStart"/>
      <w:r w:rsidRPr="006959F8">
        <w:rPr>
          <w:rFonts w:ascii="Times New Roman" w:hAnsi="Times New Roman"/>
          <w:sz w:val="24"/>
          <w:szCs w:val="24"/>
        </w:rPr>
        <w:t>City</w:t>
      </w:r>
      <w:proofErr w:type="gramEnd"/>
      <w:r w:rsidRPr="006959F8">
        <w:rPr>
          <w:rFonts w:ascii="Times New Roman" w:hAnsi="Times New Roman"/>
          <w:sz w:val="24"/>
          <w:szCs w:val="24"/>
        </w:rPr>
        <w:t xml:space="preserve">, claiming racial discrimination (he is white) about his Black Captain assigning two additional firefighters to drive Truck 19. The trial court judge after pre-trial discovery granted summary judgement to the </w:t>
      </w:r>
      <w:proofErr w:type="gramStart"/>
      <w:r w:rsidRPr="006959F8">
        <w:rPr>
          <w:rFonts w:ascii="Times New Roman" w:hAnsi="Times New Roman"/>
          <w:sz w:val="24"/>
          <w:szCs w:val="24"/>
        </w:rPr>
        <w:t>City</w:t>
      </w:r>
      <w:proofErr w:type="gramEnd"/>
      <w:r w:rsidRPr="006959F8">
        <w:rPr>
          <w:rFonts w:ascii="Times New Roman" w:hAnsi="Times New Roman"/>
          <w:sz w:val="24"/>
          <w:szCs w:val="24"/>
        </w:rPr>
        <w:t>.  On July 12, 2022, the U.S. Court of Appeals for 7</w:t>
      </w:r>
      <w:r w:rsidRPr="006959F8">
        <w:rPr>
          <w:rFonts w:ascii="Times New Roman" w:hAnsi="Times New Roman"/>
          <w:sz w:val="24"/>
          <w:szCs w:val="24"/>
          <w:vertAlign w:val="superscript"/>
        </w:rPr>
        <w:t>th</w:t>
      </w:r>
      <w:r w:rsidRPr="006959F8">
        <w:rPr>
          <w:rFonts w:ascii="Times New Roman" w:hAnsi="Times New Roman"/>
          <w:sz w:val="24"/>
          <w:szCs w:val="24"/>
        </w:rPr>
        <w:t xml:space="preserve"> Circuit (Chicago) held that his race discrimination case was properly dismissed. </w:t>
      </w:r>
      <w:hyperlink r:id="rId1294" w:history="1">
        <w:r w:rsidRPr="006959F8">
          <w:rPr>
            <w:rStyle w:val="Hyperlink"/>
            <w:rFonts w:ascii="Times New Roman" w:hAnsi="Times New Roman"/>
            <w:sz w:val="24"/>
            <w:szCs w:val="24"/>
          </w:rPr>
          <w:t>https://media.ca7.uscourts.gov/cgi-bin/rssExec.pl?Submit=Display&amp;Path=Y2022/D07-12/C:21-2784:J:PerCuriam:aut:T:npDp:N:2902357:S:0</w:t>
        </w:r>
      </w:hyperlink>
      <w:r w:rsidRPr="006959F8">
        <w:rPr>
          <w:rFonts w:ascii="Times New Roman" w:hAnsi="Times New Roman"/>
          <w:sz w:val="24"/>
          <w:szCs w:val="24"/>
        </w:rPr>
        <w:t xml:space="preserve"> </w:t>
      </w:r>
    </w:p>
    <w:p w14:paraId="3B0EE4E7" w14:textId="77777777" w:rsidR="0069598C" w:rsidRPr="006959F8" w:rsidRDefault="0069598C" w:rsidP="0069598C">
      <w:pPr>
        <w:pStyle w:val="NoSpacing"/>
        <w:ind w:left="720"/>
        <w:rPr>
          <w:rFonts w:ascii="Times New Roman" w:hAnsi="Times New Roman"/>
          <w:sz w:val="24"/>
          <w:szCs w:val="24"/>
        </w:rPr>
      </w:pPr>
    </w:p>
    <w:p w14:paraId="457039C6" w14:textId="77777777" w:rsidR="0069598C" w:rsidRPr="006959F8" w:rsidRDefault="0069598C" w:rsidP="0069598C">
      <w:pPr>
        <w:pStyle w:val="NoSpacing"/>
        <w:ind w:left="1440"/>
        <w:rPr>
          <w:rFonts w:ascii="Times New Roman" w:hAnsi="Times New Roman"/>
          <w:sz w:val="24"/>
          <w:szCs w:val="24"/>
        </w:rPr>
      </w:pPr>
      <w:r w:rsidRPr="006959F8">
        <w:rPr>
          <w:rFonts w:ascii="Times New Roman" w:hAnsi="Times New Roman"/>
          <w:sz w:val="24"/>
          <w:szCs w:val="24"/>
        </w:rPr>
        <w:t>“David Stieglitz, a Chicago firefighter, sued the City of Chicago under Title VII of the Civil Rights Act of 1964 for race discrimination and retaliation. He alleged that his captain deprived him of lucrative opportunities to drive a fire truck because of his race (White) and that, after he protested, the Chicago Fire Department retaliated against him by briefly suspending him from driving. The district court granted the City’s motion for summary judgment, concluding that Stieglitz lacked evidence to dispute the City’s non-discriminatory reasons for scheduling multiple drivers and for the suspension. Because a jury could not reasonably infer from the evidence any intent to discriminate or retaliate, we affirm”</w:t>
      </w:r>
    </w:p>
    <w:p w14:paraId="4E3D58BB" w14:textId="77777777" w:rsidR="0069598C" w:rsidRDefault="0069598C" w:rsidP="002F205D">
      <w:pPr>
        <w:pStyle w:val="NoSpacing"/>
        <w:rPr>
          <w:rFonts w:ascii="Arial Black" w:hAnsi="Arial Black"/>
          <w:b/>
          <w:bCs/>
          <w:sz w:val="24"/>
          <w:szCs w:val="24"/>
        </w:rPr>
      </w:pPr>
    </w:p>
    <w:p w14:paraId="3CAC8C5E" w14:textId="77777777" w:rsidR="002F205D" w:rsidRDefault="002F205D" w:rsidP="004C2EC5">
      <w:pPr>
        <w:pStyle w:val="NoSpacing"/>
        <w:rPr>
          <w:rFonts w:ascii="Arial Black" w:hAnsi="Arial Black"/>
          <w:b/>
          <w:bCs/>
          <w:sz w:val="24"/>
          <w:szCs w:val="24"/>
        </w:rPr>
      </w:pPr>
    </w:p>
    <w:p w14:paraId="6DCFE024" w14:textId="77777777" w:rsidR="002F205D" w:rsidRDefault="002F205D" w:rsidP="004C2EC5">
      <w:pPr>
        <w:pStyle w:val="NoSpacing"/>
        <w:rPr>
          <w:rFonts w:ascii="Arial Black" w:hAnsi="Arial Black"/>
          <w:b/>
          <w:bCs/>
          <w:sz w:val="24"/>
          <w:szCs w:val="24"/>
        </w:rPr>
      </w:pPr>
    </w:p>
    <w:p w14:paraId="7A1966F8" w14:textId="77777777" w:rsidR="002F205D" w:rsidRDefault="002F205D" w:rsidP="004C2EC5">
      <w:pPr>
        <w:pStyle w:val="NoSpacing"/>
        <w:rPr>
          <w:rFonts w:ascii="Arial Black" w:hAnsi="Arial Black"/>
          <w:b/>
          <w:bCs/>
          <w:sz w:val="24"/>
          <w:szCs w:val="24"/>
        </w:rPr>
      </w:pPr>
    </w:p>
    <w:p w14:paraId="2679312F" w14:textId="77777777" w:rsidR="002F205D" w:rsidRDefault="002F205D" w:rsidP="004C2EC5">
      <w:pPr>
        <w:pStyle w:val="NoSpacing"/>
        <w:rPr>
          <w:rFonts w:ascii="Arial Black" w:hAnsi="Arial Black"/>
          <w:b/>
          <w:bCs/>
          <w:sz w:val="24"/>
          <w:szCs w:val="24"/>
        </w:rPr>
      </w:pPr>
    </w:p>
    <w:p w14:paraId="6F5FED96" w14:textId="3B903620" w:rsidR="004C2EC5" w:rsidRDefault="004C2EC5" w:rsidP="004C2EC5">
      <w:pPr>
        <w:pStyle w:val="NoSpacing"/>
        <w:rPr>
          <w:rFonts w:ascii="Arial Black" w:hAnsi="Arial Black"/>
          <w:b/>
          <w:bCs/>
          <w:sz w:val="24"/>
          <w:szCs w:val="24"/>
        </w:rPr>
      </w:pPr>
      <w:r>
        <w:rPr>
          <w:rFonts w:ascii="Arial Black" w:hAnsi="Arial Black"/>
          <w:b/>
          <w:bCs/>
          <w:sz w:val="24"/>
          <w:szCs w:val="24"/>
        </w:rPr>
        <w:t>7-7</w:t>
      </w:r>
      <w:r w:rsidR="00092DAC">
        <w:rPr>
          <w:rFonts w:ascii="Arial Black" w:hAnsi="Arial Black"/>
          <w:b/>
          <w:bCs/>
          <w:sz w:val="24"/>
          <w:szCs w:val="24"/>
        </w:rPr>
        <w:t>9</w:t>
      </w:r>
    </w:p>
    <w:p w14:paraId="6BAFD43F" w14:textId="77777777" w:rsidR="002F205D" w:rsidRDefault="002F205D" w:rsidP="00FB15FE">
      <w:pPr>
        <w:rPr>
          <w:rFonts w:ascii="Arial Black" w:hAnsi="Arial Black"/>
          <w:b/>
          <w:sz w:val="28"/>
          <w:szCs w:val="28"/>
        </w:rPr>
      </w:pPr>
    </w:p>
    <w:p w14:paraId="1F9489F4" w14:textId="65ECB607" w:rsidR="00FB15FE" w:rsidRPr="00221AA5" w:rsidRDefault="00FB15FE" w:rsidP="00FB15FE">
      <w:pPr>
        <w:rPr>
          <w:rFonts w:ascii="Arial Black" w:hAnsi="Arial Black"/>
          <w:b/>
          <w:sz w:val="28"/>
          <w:szCs w:val="28"/>
        </w:rPr>
      </w:pPr>
      <w:r>
        <w:rPr>
          <w:rFonts w:ascii="Arial Black" w:hAnsi="Arial Black"/>
          <w:b/>
          <w:sz w:val="28"/>
          <w:szCs w:val="28"/>
        </w:rPr>
        <w:t>U.S. SUP. CT: “STRAIGHT” FEMALE</w:t>
      </w:r>
      <w:r w:rsidR="00E6658C">
        <w:rPr>
          <w:rFonts w:ascii="Arial Black" w:hAnsi="Arial Black"/>
          <w:b/>
          <w:sz w:val="28"/>
          <w:szCs w:val="28"/>
        </w:rPr>
        <w:t xml:space="preserve"> RIGHTS</w:t>
      </w:r>
      <w:r>
        <w:rPr>
          <w:rFonts w:ascii="Arial Black" w:hAnsi="Arial Black"/>
          <w:b/>
          <w:sz w:val="28"/>
          <w:szCs w:val="28"/>
        </w:rPr>
        <w:t xml:space="preserve"> – MGT FAVORED GAYS</w:t>
      </w:r>
    </w:p>
    <w:p w14:paraId="207D15DB" w14:textId="77777777" w:rsidR="00FB15FE" w:rsidRPr="002A313D" w:rsidRDefault="00FB15FE" w:rsidP="00FB15FE">
      <w:pPr>
        <w:pStyle w:val="NoSpacing"/>
        <w:rPr>
          <w:rFonts w:ascii="Times New Roman" w:hAnsi="Times New Roman"/>
          <w:bCs/>
          <w:sz w:val="24"/>
          <w:szCs w:val="24"/>
        </w:rPr>
      </w:pPr>
      <w:r w:rsidRPr="002A313D">
        <w:rPr>
          <w:rFonts w:ascii="Times New Roman" w:hAnsi="Times New Roman"/>
          <w:sz w:val="24"/>
          <w:szCs w:val="24"/>
        </w:rPr>
        <w:t xml:space="preserve">On June 5, 2025, in </w:t>
      </w:r>
      <w:r w:rsidRPr="002A313D">
        <w:rPr>
          <w:rFonts w:ascii="Times New Roman" w:hAnsi="Times New Roman"/>
          <w:sz w:val="24"/>
          <w:szCs w:val="24"/>
          <w:u w:val="single"/>
        </w:rPr>
        <w:t>Marlean Ames v. Ohio Department of Youth Services</w:t>
      </w:r>
      <w:r w:rsidRPr="002A313D">
        <w:rPr>
          <w:rFonts w:ascii="Times New Roman" w:hAnsi="Times New Roman"/>
          <w:sz w:val="24"/>
          <w:szCs w:val="24"/>
        </w:rPr>
        <w:t>, the United States Supreme Court held (9 to 0) that heterosexual and other majority group employees may sue employers who they allege made promotion or other job assignments in favor of gay employees.  The Court rejected the requirement of the 6</w:t>
      </w:r>
      <w:r w:rsidRPr="002A313D">
        <w:rPr>
          <w:rFonts w:ascii="Times New Roman" w:hAnsi="Times New Roman"/>
          <w:sz w:val="24"/>
          <w:szCs w:val="24"/>
          <w:vertAlign w:val="superscript"/>
        </w:rPr>
        <w:t>th</w:t>
      </w:r>
      <w:r w:rsidRPr="002A313D">
        <w:rPr>
          <w:rFonts w:ascii="Times New Roman" w:hAnsi="Times New Roman"/>
          <w:sz w:val="24"/>
          <w:szCs w:val="24"/>
        </w:rPr>
        <w:t xml:space="preserve"> Circuit (Cincinnati) and some other Circuits that for lawsuit by majority employee making claim of discrimination to survive summary judgment, the majority plaintiff must include detailed facts showing the “background circumstances” of the workplace “rare” discriminatory practices.  THE COURT HELD: “Congress left no room for courts to impose special requirements on majority-group plaintiffs alone.”</w:t>
      </w:r>
    </w:p>
    <w:p w14:paraId="79BC3F95" w14:textId="77777777" w:rsidR="00FB15FE" w:rsidRPr="002A313D" w:rsidRDefault="00FB15FE" w:rsidP="00FB15FE">
      <w:pPr>
        <w:rPr>
          <w:rFonts w:ascii="Times New Roman" w:hAnsi="Times New Roman"/>
          <w:bCs/>
          <w:sz w:val="24"/>
          <w:szCs w:val="24"/>
        </w:rPr>
      </w:pPr>
      <w:hyperlink r:id="rId1295" w:history="1">
        <w:r w:rsidRPr="002A313D">
          <w:rPr>
            <w:rStyle w:val="Hyperlink"/>
            <w:rFonts w:ascii="Times New Roman" w:hAnsi="Times New Roman"/>
            <w:sz w:val="24"/>
            <w:szCs w:val="24"/>
          </w:rPr>
          <w:t>https://www.supremecourt.gov/opinions/24pdf/23-1039_c0n2.pdf</w:t>
        </w:r>
      </w:hyperlink>
      <w:r w:rsidRPr="002A313D">
        <w:rPr>
          <w:rFonts w:ascii="Times New Roman" w:hAnsi="Times New Roman"/>
          <w:sz w:val="24"/>
          <w:szCs w:val="24"/>
        </w:rPr>
        <w:t xml:space="preserve"> </w:t>
      </w:r>
    </w:p>
    <w:p w14:paraId="70F9452D" w14:textId="77777777" w:rsidR="002A313D" w:rsidRPr="002A313D" w:rsidRDefault="002A313D" w:rsidP="002A313D">
      <w:pPr>
        <w:pStyle w:val="NoSpacing"/>
        <w:rPr>
          <w:rFonts w:ascii="Times New Roman" w:hAnsi="Times New Roman"/>
          <w:b/>
          <w:sz w:val="24"/>
          <w:szCs w:val="24"/>
        </w:rPr>
      </w:pPr>
      <w:r w:rsidRPr="002A313D">
        <w:rPr>
          <w:rFonts w:ascii="Times New Roman" w:hAnsi="Times New Roman"/>
          <w:b/>
          <w:sz w:val="24"/>
          <w:szCs w:val="24"/>
        </w:rPr>
        <w:lastRenderedPageBreak/>
        <w:t xml:space="preserve">Legal lesson learned: Unanimous Court opinion – Title VII of the Civil Rights Act of 1964 does not impose a high standard of proof for majority-group plaintiffs. </w:t>
      </w:r>
    </w:p>
    <w:p w14:paraId="5A2822D8" w14:textId="77777777" w:rsidR="00F40B03" w:rsidRPr="002A313D" w:rsidRDefault="00F40B03" w:rsidP="00F326E5">
      <w:pPr>
        <w:pStyle w:val="NoSpacing"/>
        <w:rPr>
          <w:rFonts w:ascii="Times New Roman" w:hAnsi="Times New Roman"/>
          <w:b/>
          <w:bCs/>
          <w:sz w:val="24"/>
          <w:szCs w:val="24"/>
        </w:rPr>
      </w:pPr>
    </w:p>
    <w:p w14:paraId="7C5E10BE" w14:textId="77777777" w:rsidR="00F40B03" w:rsidRDefault="00F40B03" w:rsidP="00F326E5">
      <w:pPr>
        <w:pStyle w:val="NoSpacing"/>
        <w:rPr>
          <w:rFonts w:ascii="Arial Black" w:hAnsi="Arial Black"/>
          <w:b/>
          <w:bCs/>
          <w:sz w:val="24"/>
          <w:szCs w:val="24"/>
        </w:rPr>
      </w:pPr>
    </w:p>
    <w:p w14:paraId="12E4BEF7" w14:textId="77777777" w:rsidR="004C2EC5" w:rsidRDefault="004C2EC5" w:rsidP="00BD31D3">
      <w:pPr>
        <w:rPr>
          <w:rFonts w:ascii="Arial Black" w:hAnsi="Arial Black"/>
          <w:sz w:val="28"/>
          <w:szCs w:val="28"/>
        </w:rPr>
      </w:pPr>
    </w:p>
    <w:p w14:paraId="23FFF287" w14:textId="7C8074F8" w:rsidR="004C2EC5" w:rsidRDefault="004C2EC5" w:rsidP="004C2EC5">
      <w:pPr>
        <w:pStyle w:val="NoSpacing"/>
        <w:rPr>
          <w:rFonts w:ascii="Arial Black" w:hAnsi="Arial Black"/>
          <w:b/>
          <w:bCs/>
          <w:sz w:val="24"/>
          <w:szCs w:val="24"/>
        </w:rPr>
      </w:pPr>
      <w:r>
        <w:rPr>
          <w:rFonts w:ascii="Arial Black" w:hAnsi="Arial Black"/>
          <w:b/>
          <w:bCs/>
          <w:sz w:val="24"/>
          <w:szCs w:val="24"/>
        </w:rPr>
        <w:t>7-78</w:t>
      </w:r>
    </w:p>
    <w:p w14:paraId="26D823E5" w14:textId="77777777" w:rsidR="004C2EC5" w:rsidRDefault="004C2EC5" w:rsidP="00BD31D3">
      <w:pPr>
        <w:rPr>
          <w:rFonts w:ascii="Arial Black" w:hAnsi="Arial Black"/>
          <w:sz w:val="28"/>
          <w:szCs w:val="28"/>
        </w:rPr>
      </w:pPr>
    </w:p>
    <w:p w14:paraId="04FDF0FB" w14:textId="2F4C8D5E" w:rsidR="00BD31D3" w:rsidRPr="00427BC4" w:rsidRDefault="00BD31D3" w:rsidP="00BD31D3">
      <w:pPr>
        <w:rPr>
          <w:rFonts w:ascii="Arial Black" w:hAnsi="Arial Black"/>
          <w:sz w:val="28"/>
          <w:szCs w:val="28"/>
        </w:rPr>
      </w:pPr>
      <w:r>
        <w:rPr>
          <w:rFonts w:ascii="Arial Black" w:hAnsi="Arial Black"/>
          <w:sz w:val="28"/>
          <w:szCs w:val="28"/>
        </w:rPr>
        <w:t xml:space="preserve">OK: 2 FEMALES NOT PROMOTED – NO OUTSIDE PANEL USED </w:t>
      </w:r>
    </w:p>
    <w:p w14:paraId="1D128C33" w14:textId="77777777" w:rsidR="00BD31D3" w:rsidRPr="00DB7CAF" w:rsidRDefault="00BD31D3" w:rsidP="00BD31D3">
      <w:pPr>
        <w:pStyle w:val="NoSpacing"/>
        <w:rPr>
          <w:rFonts w:ascii="Times New Roman" w:hAnsi="Times New Roman"/>
          <w:sz w:val="24"/>
          <w:szCs w:val="24"/>
        </w:rPr>
      </w:pPr>
      <w:r w:rsidRPr="00DB7CAF">
        <w:rPr>
          <w:rFonts w:ascii="Times New Roman" w:hAnsi="Times New Roman"/>
          <w:sz w:val="24"/>
          <w:szCs w:val="24"/>
        </w:rPr>
        <w:t xml:space="preserve">On June 2, 2025, in </w:t>
      </w:r>
      <w:r w:rsidRPr="00DB7CAF">
        <w:rPr>
          <w:rFonts w:ascii="Times New Roman" w:hAnsi="Times New Roman"/>
          <w:sz w:val="24"/>
          <w:szCs w:val="24"/>
          <w:u w:val="single"/>
        </w:rPr>
        <w:t>Greta J. Hurt; Julie D, Lynn v. City of Tulsa, Oklahoma</w:t>
      </w:r>
      <w:r w:rsidRPr="00DB7CAF">
        <w:rPr>
          <w:rFonts w:ascii="Times New Roman" w:hAnsi="Times New Roman"/>
          <w:sz w:val="24"/>
          <w:szCs w:val="24"/>
        </w:rPr>
        <w:t xml:space="preserve">, U.S. District Court Judge John D. Russell, United States District Court for the Northern District of Oklahoma, denied the City’s motion for summary judgment on the “failure-to-promote” claim, after two male District Chiefs were selected by 3-person Panel (including Fire Chief and Deputy Chief, and a retired Fire Chief from Georgia), because “the evidence of record could permit a jury to find that the Department's stated reasons for promoting the [two males] are pretextual.”  Plaintiffs’ claims of retaliation after filing EEOC charge and hostile work atmosphere were dismissed.  In 2021, the Department announced two openings for Assistant Fire Chief – four applicants were all qualified.  In </w:t>
      </w:r>
      <w:proofErr w:type="gramStart"/>
      <w:r w:rsidRPr="00DB7CAF">
        <w:rPr>
          <w:rFonts w:ascii="Times New Roman" w:hAnsi="Times New Roman"/>
          <w:sz w:val="24"/>
          <w:szCs w:val="24"/>
        </w:rPr>
        <w:t>July,</w:t>
      </w:r>
      <w:proofErr w:type="gramEnd"/>
      <w:r w:rsidRPr="00DB7CAF">
        <w:rPr>
          <w:rFonts w:ascii="Times New Roman" w:hAnsi="Times New Roman"/>
          <w:sz w:val="24"/>
          <w:szCs w:val="24"/>
        </w:rPr>
        <w:t xml:space="preserve"> 2021 the Fire Chief changed process, with union permission – instead of an outside assessment panel, with rank order of best candidates, he established the internal panel.   THE COURT HELD: “Could a jury find that the Department's decision to forgo the established procedure was the product of a desire to save the city and the candidates the cost and burden of an assessment? The answer to that question is yes. Could a jury also find, based on Mr. Lay's testimony, that Chief Baker and Deputy Chief Goins departed from the AOP process because they wanted to pick their preferred candidates, regardless of how well they performed on an impartial assessment? The answer to that question is also yes.” </w:t>
      </w:r>
    </w:p>
    <w:p w14:paraId="1F497530" w14:textId="6B995126" w:rsidR="007426EF" w:rsidRPr="00DB7CAF" w:rsidRDefault="00BD31D3" w:rsidP="00BD31D3">
      <w:pPr>
        <w:pStyle w:val="NoSpacing"/>
        <w:rPr>
          <w:rFonts w:ascii="Times New Roman" w:hAnsi="Times New Roman"/>
          <w:sz w:val="24"/>
          <w:szCs w:val="24"/>
        </w:rPr>
      </w:pPr>
      <w:hyperlink r:id="rId1296" w:history="1">
        <w:r w:rsidRPr="00DB7CAF">
          <w:rPr>
            <w:rStyle w:val="Hyperlink"/>
            <w:rFonts w:ascii="Times New Roman" w:hAnsi="Times New Roman"/>
            <w:sz w:val="24"/>
            <w:szCs w:val="24"/>
          </w:rPr>
          <w:t>https://ktul.com/resources/pdf/dc103f10-071a-4876-bf70-774bb3ddb220-HurtLynnv.COTSummaryJudgmentDecision.pdf</w:t>
        </w:r>
      </w:hyperlink>
    </w:p>
    <w:p w14:paraId="4E2717BE" w14:textId="77777777" w:rsidR="00DB7CAF" w:rsidRPr="00DB7CAF" w:rsidRDefault="00DB7CAF" w:rsidP="00BD31D3">
      <w:pPr>
        <w:pStyle w:val="NoSpacing"/>
        <w:rPr>
          <w:rFonts w:ascii="Times New Roman" w:hAnsi="Times New Roman"/>
          <w:sz w:val="24"/>
          <w:szCs w:val="24"/>
        </w:rPr>
      </w:pPr>
    </w:p>
    <w:p w14:paraId="332898EB" w14:textId="77777777" w:rsidR="00DB7CAF" w:rsidRPr="00DB7CAF" w:rsidRDefault="00DB7CAF" w:rsidP="00DB7CAF">
      <w:pPr>
        <w:rPr>
          <w:rFonts w:ascii="Times New Roman" w:hAnsi="Times New Roman"/>
          <w:b/>
          <w:bCs/>
          <w:sz w:val="24"/>
          <w:szCs w:val="24"/>
        </w:rPr>
      </w:pPr>
      <w:r w:rsidRPr="00DB7CAF">
        <w:rPr>
          <w:rFonts w:ascii="Times New Roman" w:hAnsi="Times New Roman"/>
          <w:b/>
          <w:sz w:val="24"/>
          <w:szCs w:val="24"/>
        </w:rPr>
        <w:t xml:space="preserve">Legal lesson learned: Follow the </w:t>
      </w:r>
      <w:r w:rsidRPr="00DB7CAF">
        <w:rPr>
          <w:rFonts w:ascii="Times New Roman" w:hAnsi="Times New Roman"/>
          <w:b/>
          <w:bCs/>
          <w:sz w:val="24"/>
          <w:szCs w:val="24"/>
        </w:rPr>
        <w:t xml:space="preserve">normal </w:t>
      </w:r>
      <w:r w:rsidRPr="00DB7CAF">
        <w:rPr>
          <w:rFonts w:ascii="Times New Roman" w:hAnsi="Times New Roman"/>
          <w:b/>
          <w:sz w:val="24"/>
          <w:szCs w:val="24"/>
        </w:rPr>
        <w:t xml:space="preserve">promotion process, including </w:t>
      </w:r>
      <w:r w:rsidRPr="00DB7CAF">
        <w:rPr>
          <w:rFonts w:ascii="Times New Roman" w:hAnsi="Times New Roman"/>
          <w:b/>
          <w:bCs/>
          <w:sz w:val="24"/>
          <w:szCs w:val="24"/>
        </w:rPr>
        <w:t>use of an</w:t>
      </w:r>
      <w:r w:rsidRPr="00DB7CAF">
        <w:rPr>
          <w:rFonts w:ascii="Times New Roman" w:hAnsi="Times New Roman"/>
          <w:b/>
          <w:sz w:val="24"/>
          <w:szCs w:val="24"/>
        </w:rPr>
        <w:t xml:space="preserve"> outside Assessment Panel doing ranking order. unless all applicants </w:t>
      </w:r>
      <w:r w:rsidRPr="00DB7CAF">
        <w:rPr>
          <w:rFonts w:ascii="Times New Roman" w:hAnsi="Times New Roman"/>
          <w:b/>
          <w:bCs/>
          <w:sz w:val="24"/>
          <w:szCs w:val="24"/>
        </w:rPr>
        <w:t xml:space="preserve">voluntarily </w:t>
      </w:r>
      <w:r w:rsidRPr="00DB7CAF">
        <w:rPr>
          <w:rFonts w:ascii="Times New Roman" w:hAnsi="Times New Roman"/>
          <w:b/>
          <w:sz w:val="24"/>
          <w:szCs w:val="24"/>
        </w:rPr>
        <w:t xml:space="preserve">agree </w:t>
      </w:r>
      <w:r w:rsidRPr="00DB7CAF">
        <w:rPr>
          <w:rFonts w:ascii="Times New Roman" w:hAnsi="Times New Roman"/>
          <w:b/>
          <w:bCs/>
          <w:sz w:val="24"/>
          <w:szCs w:val="24"/>
        </w:rPr>
        <w:t xml:space="preserve">in writing </w:t>
      </w:r>
      <w:r w:rsidRPr="00DB7CAF">
        <w:rPr>
          <w:rFonts w:ascii="Times New Roman" w:hAnsi="Times New Roman"/>
          <w:b/>
          <w:sz w:val="24"/>
          <w:szCs w:val="24"/>
        </w:rPr>
        <w:t xml:space="preserve">to the change. </w:t>
      </w:r>
    </w:p>
    <w:p w14:paraId="1BCC75B2" w14:textId="77777777" w:rsidR="004C2EC5" w:rsidRDefault="004C2EC5" w:rsidP="004C2EC5">
      <w:pPr>
        <w:pStyle w:val="NoSpacing"/>
        <w:rPr>
          <w:rFonts w:ascii="Arial Black" w:hAnsi="Arial Black"/>
          <w:b/>
          <w:bCs/>
          <w:sz w:val="24"/>
          <w:szCs w:val="24"/>
        </w:rPr>
      </w:pPr>
    </w:p>
    <w:p w14:paraId="65D5E237" w14:textId="77777777" w:rsidR="004C2EC5" w:rsidRDefault="004C2EC5" w:rsidP="004C2EC5">
      <w:pPr>
        <w:pStyle w:val="NoSpacing"/>
        <w:rPr>
          <w:rFonts w:ascii="Arial Black" w:hAnsi="Arial Black"/>
          <w:b/>
          <w:bCs/>
          <w:sz w:val="24"/>
          <w:szCs w:val="24"/>
        </w:rPr>
      </w:pPr>
    </w:p>
    <w:p w14:paraId="090D1872" w14:textId="0DCBFDD7" w:rsidR="004C2EC5" w:rsidRDefault="004C2EC5" w:rsidP="004C2EC5">
      <w:pPr>
        <w:pStyle w:val="NoSpacing"/>
        <w:rPr>
          <w:rFonts w:ascii="Arial Black" w:hAnsi="Arial Black"/>
          <w:b/>
          <w:bCs/>
          <w:sz w:val="24"/>
          <w:szCs w:val="24"/>
        </w:rPr>
      </w:pPr>
      <w:r>
        <w:rPr>
          <w:rFonts w:ascii="Arial Black" w:hAnsi="Arial Black"/>
          <w:b/>
          <w:bCs/>
          <w:sz w:val="24"/>
          <w:szCs w:val="24"/>
        </w:rPr>
        <w:t>7-77</w:t>
      </w:r>
    </w:p>
    <w:p w14:paraId="7FA68AD2" w14:textId="77777777" w:rsidR="00DB7CAF" w:rsidRDefault="00DB7CAF" w:rsidP="00BD31D3">
      <w:pPr>
        <w:pStyle w:val="NoSpacing"/>
        <w:rPr>
          <w:rFonts w:ascii="Arial Black" w:hAnsi="Arial Black"/>
          <w:b/>
          <w:bCs/>
          <w:sz w:val="24"/>
          <w:szCs w:val="24"/>
        </w:rPr>
      </w:pPr>
    </w:p>
    <w:p w14:paraId="346B078A" w14:textId="77777777" w:rsidR="004C2EC5" w:rsidRDefault="004C2EC5" w:rsidP="00BD31D3">
      <w:pPr>
        <w:pStyle w:val="NoSpacing"/>
        <w:rPr>
          <w:rFonts w:ascii="Arial Black" w:hAnsi="Arial Black"/>
          <w:b/>
          <w:bCs/>
          <w:sz w:val="24"/>
          <w:szCs w:val="24"/>
        </w:rPr>
      </w:pPr>
    </w:p>
    <w:p w14:paraId="1C3EEDAA" w14:textId="77777777" w:rsidR="00A307BA" w:rsidRPr="00EB6137" w:rsidRDefault="00A307BA" w:rsidP="00A307BA">
      <w:pPr>
        <w:rPr>
          <w:rFonts w:ascii="Arial Black" w:hAnsi="Arial Black"/>
          <w:sz w:val="28"/>
          <w:szCs w:val="28"/>
        </w:rPr>
      </w:pPr>
      <w:r>
        <w:rPr>
          <w:rFonts w:ascii="Arial Black" w:hAnsi="Arial Black"/>
          <w:sz w:val="28"/>
          <w:szCs w:val="28"/>
        </w:rPr>
        <w:t>KS: FEMALE NOT PROMOTED - HR DIDN’T REVIEW SCORES</w:t>
      </w:r>
    </w:p>
    <w:p w14:paraId="291D43F0" w14:textId="35304A21" w:rsidR="00F40B03" w:rsidRPr="005A38AE" w:rsidRDefault="00A307BA" w:rsidP="00A307BA">
      <w:pPr>
        <w:pStyle w:val="NoSpacing"/>
        <w:rPr>
          <w:rFonts w:ascii="Times New Roman" w:hAnsi="Times New Roman"/>
          <w:b/>
          <w:bCs/>
          <w:sz w:val="24"/>
          <w:szCs w:val="24"/>
        </w:rPr>
      </w:pPr>
      <w:r w:rsidRPr="005A38AE">
        <w:rPr>
          <w:rFonts w:ascii="Times New Roman" w:hAnsi="Times New Roman"/>
          <w:sz w:val="24"/>
          <w:szCs w:val="24"/>
        </w:rPr>
        <w:t xml:space="preserve">On May 30, 2025, in </w:t>
      </w:r>
      <w:r w:rsidRPr="005A38AE">
        <w:rPr>
          <w:rFonts w:ascii="Times New Roman" w:hAnsi="Times New Roman"/>
          <w:sz w:val="24"/>
          <w:szCs w:val="24"/>
          <w:u w:val="single"/>
        </w:rPr>
        <w:t>Barbara Hack v. City of Topeka, Kansas</w:t>
      </w:r>
      <w:r w:rsidRPr="005A38AE">
        <w:rPr>
          <w:rFonts w:ascii="Times New Roman" w:hAnsi="Times New Roman"/>
          <w:sz w:val="24"/>
          <w:szCs w:val="24"/>
        </w:rPr>
        <w:t xml:space="preserve">, U.S. District Court Judge Julie A. Robinson, United States District Court for the District of Kansas, denied the City’s motion for summary judgment; retired Captain Hack can now proceed to jury trial.  “In sum, the Court finds that the City’s failure to utilize H.R. during the promotion process is the type of procedural irregularity that calls into question whether the City’s stated reason for failing to promote Plaintiff is a pretext for discrimination.”  In 2022, the Fire Department had several senior management positions open, including four District Chief positions.  </w:t>
      </w:r>
      <w:proofErr w:type="gramStart"/>
      <w:r w:rsidRPr="005A38AE">
        <w:rPr>
          <w:rFonts w:ascii="Times New Roman" w:hAnsi="Times New Roman"/>
          <w:sz w:val="24"/>
          <w:szCs w:val="24"/>
        </w:rPr>
        <w:t>So</w:t>
      </w:r>
      <w:proofErr w:type="gramEnd"/>
      <w:r w:rsidRPr="005A38AE">
        <w:rPr>
          <w:rFonts w:ascii="Times New Roman" w:hAnsi="Times New Roman"/>
          <w:sz w:val="24"/>
          <w:szCs w:val="24"/>
        </w:rPr>
        <w:t xml:space="preserve"> Fire Chief decided to “streamline” the process, where one Panel would consider all seven applicants for the four positions, instead holding four separate promotion Panel interviews. The Panel included one internal member (Deputy Fire Chief Antony Standifer) and three external </w:t>
      </w:r>
      <w:proofErr w:type="gramStart"/>
      <w:r w:rsidRPr="005A38AE">
        <w:rPr>
          <w:rFonts w:ascii="Times New Roman" w:hAnsi="Times New Roman"/>
          <w:sz w:val="24"/>
          <w:szCs w:val="24"/>
        </w:rPr>
        <w:t>member</w:t>
      </w:r>
      <w:proofErr w:type="gramEnd"/>
      <w:r w:rsidRPr="005A38AE">
        <w:rPr>
          <w:rFonts w:ascii="Times New Roman" w:hAnsi="Times New Roman"/>
          <w:sz w:val="24"/>
          <w:szCs w:val="24"/>
        </w:rPr>
        <w:t xml:space="preserve"> (an attorney / former counsel for union; retired Kansas City Fire Chief; Deputy Fire Chief of Olathe Fire Department) and they rated Plaintiff 6</w:t>
      </w:r>
      <w:r w:rsidRPr="005A38AE">
        <w:rPr>
          <w:rFonts w:ascii="Times New Roman" w:hAnsi="Times New Roman"/>
          <w:sz w:val="24"/>
          <w:szCs w:val="24"/>
          <w:vertAlign w:val="superscript"/>
        </w:rPr>
        <w:t>th</w:t>
      </w:r>
      <w:r w:rsidRPr="005A38AE">
        <w:rPr>
          <w:rFonts w:ascii="Times New Roman" w:hAnsi="Times New Roman"/>
          <w:sz w:val="24"/>
          <w:szCs w:val="24"/>
        </w:rPr>
        <w:t xml:space="preserve"> of the 7 candidates (score of 131; top four were 171, 168, 164, 161).  The Director of HR testified that scores by Deputy Fire Chief Standifer </w:t>
      </w:r>
      <w:r w:rsidRPr="005A38AE">
        <w:rPr>
          <w:rFonts w:ascii="Times New Roman" w:hAnsi="Times New Roman"/>
          <w:sz w:val="24"/>
          <w:szCs w:val="24"/>
        </w:rPr>
        <w:lastRenderedPageBreak/>
        <w:t xml:space="preserve">would be “outliers” had H.R. reviewed them before the offers were made; he scored plaintiff only 23, compared to her ratings by others of 41, 34. 34]. THE COURT HELD: “However, when the totality of the evidence is reviewed, including the minimal role played by the City’s H.R. department, a reasonable jury could determine that the City’s stated reason for not promoting Plaintiff is pretext for gender discrimination…. H.R. was not used to </w:t>
      </w:r>
      <w:proofErr w:type="gramStart"/>
      <w:r w:rsidRPr="005A38AE">
        <w:rPr>
          <w:rFonts w:ascii="Times New Roman" w:hAnsi="Times New Roman"/>
          <w:sz w:val="24"/>
          <w:szCs w:val="24"/>
        </w:rPr>
        <w:t>review</w:t>
      </w:r>
      <w:proofErr w:type="gramEnd"/>
      <w:r w:rsidRPr="005A38AE">
        <w:rPr>
          <w:rFonts w:ascii="Times New Roman" w:hAnsi="Times New Roman"/>
          <w:sz w:val="24"/>
          <w:szCs w:val="24"/>
        </w:rPr>
        <w:t xml:space="preserve"> the interview questions or interview packets. H.R. was not used to review or provide Phillips with the applicants’ disciplinary histories. H.R. was not used to review the selections before job offers were made.”  </w:t>
      </w:r>
      <w:hyperlink r:id="rId1297" w:history="1">
        <w:r w:rsidRPr="005A38AE">
          <w:rPr>
            <w:rStyle w:val="Hyperlink"/>
            <w:rFonts w:ascii="Times New Roman" w:hAnsi="Times New Roman"/>
            <w:sz w:val="24"/>
            <w:szCs w:val="24"/>
          </w:rPr>
          <w:t>https://cases.justia.com/federal/district-courts/kansas/ksdce/2:2023cv02410/149154/93/0.pdf?ts=1748685326</w:t>
        </w:r>
      </w:hyperlink>
    </w:p>
    <w:p w14:paraId="00B463A5" w14:textId="77777777" w:rsidR="00A307BA" w:rsidRPr="005A38AE" w:rsidRDefault="00A307BA" w:rsidP="00F326E5">
      <w:pPr>
        <w:pStyle w:val="NoSpacing"/>
        <w:rPr>
          <w:rFonts w:ascii="Times New Roman" w:hAnsi="Times New Roman"/>
          <w:b/>
          <w:bCs/>
          <w:sz w:val="24"/>
          <w:szCs w:val="24"/>
        </w:rPr>
      </w:pPr>
    </w:p>
    <w:p w14:paraId="6593B960" w14:textId="77777777" w:rsidR="005A38AE" w:rsidRPr="005A38AE" w:rsidRDefault="005A38AE" w:rsidP="005A38AE">
      <w:pPr>
        <w:pStyle w:val="NoSpacing"/>
        <w:rPr>
          <w:rFonts w:ascii="Times New Roman" w:hAnsi="Times New Roman"/>
          <w:b/>
          <w:bCs/>
          <w:sz w:val="24"/>
          <w:szCs w:val="24"/>
        </w:rPr>
      </w:pPr>
      <w:r w:rsidRPr="005A38AE">
        <w:rPr>
          <w:rFonts w:ascii="Times New Roman" w:hAnsi="Times New Roman"/>
          <w:b/>
          <w:sz w:val="24"/>
          <w:szCs w:val="24"/>
        </w:rPr>
        <w:t xml:space="preserve">Legal Lesson learned: </w:t>
      </w:r>
      <w:r w:rsidRPr="005A38AE">
        <w:rPr>
          <w:rFonts w:ascii="Times New Roman" w:hAnsi="Times New Roman"/>
          <w:b/>
          <w:bCs/>
          <w:sz w:val="24"/>
          <w:szCs w:val="24"/>
        </w:rPr>
        <w:t xml:space="preserve">Follow normal promotion process, including </w:t>
      </w:r>
      <w:r w:rsidRPr="005A38AE">
        <w:rPr>
          <w:rFonts w:ascii="Times New Roman" w:hAnsi="Times New Roman"/>
          <w:b/>
          <w:sz w:val="24"/>
          <w:szCs w:val="24"/>
        </w:rPr>
        <w:t xml:space="preserve">HR reviewing Panel scores and providing Fire Chief with disciplinary history of candidates prior to promotion decisions. </w:t>
      </w:r>
    </w:p>
    <w:p w14:paraId="1DBEACFF" w14:textId="77777777" w:rsidR="00A307BA" w:rsidRPr="005A38AE" w:rsidRDefault="00A307BA" w:rsidP="00F326E5">
      <w:pPr>
        <w:pStyle w:val="NoSpacing"/>
        <w:rPr>
          <w:rFonts w:ascii="Times New Roman" w:hAnsi="Times New Roman"/>
          <w:b/>
          <w:bCs/>
          <w:sz w:val="24"/>
          <w:szCs w:val="24"/>
        </w:rPr>
      </w:pPr>
    </w:p>
    <w:p w14:paraId="7EFBC845" w14:textId="77777777" w:rsidR="00A307BA" w:rsidRDefault="00A307BA" w:rsidP="00F326E5">
      <w:pPr>
        <w:pStyle w:val="NoSpacing"/>
        <w:rPr>
          <w:rFonts w:ascii="Arial Black" w:hAnsi="Arial Black"/>
          <w:b/>
          <w:bCs/>
          <w:sz w:val="24"/>
          <w:szCs w:val="24"/>
        </w:rPr>
      </w:pPr>
    </w:p>
    <w:p w14:paraId="19F2C9B6" w14:textId="77777777" w:rsidR="00F40B03" w:rsidRDefault="00F40B03" w:rsidP="00F326E5">
      <w:pPr>
        <w:pStyle w:val="NoSpacing"/>
        <w:rPr>
          <w:rFonts w:ascii="Arial Black" w:hAnsi="Arial Black"/>
          <w:b/>
          <w:bCs/>
          <w:sz w:val="24"/>
          <w:szCs w:val="24"/>
        </w:rPr>
      </w:pPr>
    </w:p>
    <w:p w14:paraId="21104EFC" w14:textId="62C42600" w:rsidR="00571037" w:rsidRDefault="00571037" w:rsidP="00F326E5">
      <w:pPr>
        <w:pStyle w:val="NoSpacing"/>
        <w:rPr>
          <w:rFonts w:ascii="Arial Black" w:hAnsi="Arial Black"/>
          <w:b/>
          <w:bCs/>
          <w:sz w:val="24"/>
          <w:szCs w:val="24"/>
        </w:rPr>
      </w:pPr>
      <w:r>
        <w:rPr>
          <w:rFonts w:ascii="Arial Black" w:hAnsi="Arial Black"/>
          <w:b/>
          <w:bCs/>
          <w:sz w:val="24"/>
          <w:szCs w:val="24"/>
        </w:rPr>
        <w:t>7-76</w:t>
      </w:r>
    </w:p>
    <w:p w14:paraId="4ECDB932" w14:textId="77777777" w:rsidR="00571037" w:rsidRDefault="00571037" w:rsidP="00F326E5">
      <w:pPr>
        <w:pStyle w:val="NoSpacing"/>
        <w:rPr>
          <w:rFonts w:ascii="Arial Black" w:hAnsi="Arial Black"/>
          <w:b/>
          <w:bCs/>
          <w:sz w:val="24"/>
          <w:szCs w:val="24"/>
        </w:rPr>
      </w:pPr>
    </w:p>
    <w:p w14:paraId="3240C7D4" w14:textId="5D0AD8CE" w:rsidR="00F366B5" w:rsidRDefault="00F366B5" w:rsidP="00F366B5">
      <w:pPr>
        <w:pStyle w:val="NoSpacing"/>
        <w:rPr>
          <w:rFonts w:ascii="Arial Black" w:hAnsi="Arial Black"/>
          <w:b/>
          <w:sz w:val="28"/>
          <w:szCs w:val="28"/>
        </w:rPr>
      </w:pPr>
      <w:r w:rsidRPr="006F2B87">
        <w:rPr>
          <w:rFonts w:ascii="Arial Black" w:hAnsi="Arial Black"/>
          <w:b/>
          <w:sz w:val="28"/>
          <w:szCs w:val="28"/>
        </w:rPr>
        <w:t xml:space="preserve">CA: TOPLESS PHOTO – </w:t>
      </w:r>
      <w:r w:rsidR="00D90945">
        <w:rPr>
          <w:rFonts w:ascii="Arial Black" w:hAnsi="Arial Black"/>
          <w:b/>
          <w:sz w:val="28"/>
          <w:szCs w:val="28"/>
        </w:rPr>
        <w:t xml:space="preserve">WAS </w:t>
      </w:r>
      <w:r w:rsidRPr="006F2B87">
        <w:rPr>
          <w:rFonts w:ascii="Arial Black" w:hAnsi="Arial Black"/>
          <w:b/>
          <w:sz w:val="28"/>
          <w:szCs w:val="28"/>
        </w:rPr>
        <w:t xml:space="preserve">NOT </w:t>
      </w:r>
      <w:r w:rsidR="00D90945">
        <w:rPr>
          <w:rFonts w:ascii="Arial Black" w:hAnsi="Arial Black"/>
          <w:b/>
          <w:sz w:val="28"/>
          <w:szCs w:val="28"/>
        </w:rPr>
        <w:t xml:space="preserve">FEMALE </w:t>
      </w:r>
      <w:r w:rsidRPr="006F2B87">
        <w:rPr>
          <w:rFonts w:ascii="Arial Black" w:hAnsi="Arial Black"/>
          <w:b/>
          <w:sz w:val="28"/>
          <w:szCs w:val="28"/>
        </w:rPr>
        <w:t>PD CAPT</w:t>
      </w:r>
      <w:r>
        <w:rPr>
          <w:rFonts w:ascii="Arial Black" w:hAnsi="Arial Black"/>
          <w:b/>
          <w:bCs/>
          <w:sz w:val="28"/>
          <w:szCs w:val="28"/>
        </w:rPr>
        <w:t xml:space="preserve"> – MGT. INACTION </w:t>
      </w:r>
      <w:r w:rsidR="00D90945">
        <w:rPr>
          <w:rFonts w:ascii="Arial Black" w:hAnsi="Arial Black"/>
          <w:b/>
          <w:bCs/>
          <w:sz w:val="28"/>
          <w:szCs w:val="28"/>
        </w:rPr>
        <w:t>–</w:t>
      </w:r>
      <w:r>
        <w:rPr>
          <w:rFonts w:ascii="Arial Black" w:hAnsi="Arial Black"/>
          <w:b/>
          <w:bCs/>
          <w:sz w:val="28"/>
          <w:szCs w:val="28"/>
        </w:rPr>
        <w:t xml:space="preserve"> </w:t>
      </w:r>
      <w:r w:rsidR="00D90945">
        <w:rPr>
          <w:rFonts w:ascii="Arial Black" w:hAnsi="Arial Black"/>
          <w:b/>
          <w:bCs/>
          <w:sz w:val="28"/>
          <w:szCs w:val="28"/>
        </w:rPr>
        <w:t xml:space="preserve">JURY </w:t>
      </w:r>
      <w:r w:rsidRPr="006F2B87">
        <w:rPr>
          <w:rFonts w:ascii="Arial Black" w:hAnsi="Arial Black"/>
          <w:b/>
          <w:sz w:val="28"/>
          <w:szCs w:val="28"/>
        </w:rPr>
        <w:t xml:space="preserve">$4M </w:t>
      </w:r>
    </w:p>
    <w:p w14:paraId="718305C4" w14:textId="77777777" w:rsidR="00300DA5" w:rsidRDefault="00300DA5" w:rsidP="00F366B5">
      <w:pPr>
        <w:pStyle w:val="NoSpacing"/>
        <w:rPr>
          <w:rFonts w:ascii="Times New Roman" w:hAnsi="Times New Roman"/>
          <w:sz w:val="24"/>
          <w:szCs w:val="24"/>
        </w:rPr>
      </w:pPr>
    </w:p>
    <w:p w14:paraId="5AEEC49C" w14:textId="403FFABD" w:rsidR="00F366B5" w:rsidRPr="00F366B5" w:rsidRDefault="00F366B5" w:rsidP="00F366B5">
      <w:pPr>
        <w:pStyle w:val="NoSpacing"/>
        <w:rPr>
          <w:rFonts w:ascii="Times New Roman" w:hAnsi="Times New Roman"/>
          <w:bCs/>
          <w:sz w:val="24"/>
          <w:szCs w:val="24"/>
        </w:rPr>
      </w:pPr>
      <w:r w:rsidRPr="00F366B5">
        <w:rPr>
          <w:rFonts w:ascii="Times New Roman" w:hAnsi="Times New Roman"/>
          <w:sz w:val="24"/>
          <w:szCs w:val="24"/>
        </w:rPr>
        <w:t xml:space="preserve">On May 23, 2025, in </w:t>
      </w:r>
      <w:r w:rsidRPr="00F366B5">
        <w:rPr>
          <w:rFonts w:ascii="Times New Roman" w:hAnsi="Times New Roman"/>
          <w:sz w:val="24"/>
          <w:szCs w:val="24"/>
          <w:u w:val="single"/>
        </w:rPr>
        <w:t>Lillian Carranza v. City of Los Angeles</w:t>
      </w:r>
      <w:r w:rsidRPr="00F366B5">
        <w:rPr>
          <w:rFonts w:ascii="Times New Roman" w:hAnsi="Times New Roman"/>
          <w:sz w:val="24"/>
          <w:szCs w:val="24"/>
        </w:rPr>
        <w:t xml:space="preserve">, the Court of Appeal of California, Second Appellate District (Division Seven) held (3 to 0) that jury properly awarded the LA PD Captain $4 million, plus attorney fees of $610,050.  While the photo was </w:t>
      </w:r>
      <w:proofErr w:type="gramStart"/>
      <w:r w:rsidRPr="00F366B5">
        <w:rPr>
          <w:rFonts w:ascii="Times New Roman" w:hAnsi="Times New Roman"/>
          <w:sz w:val="24"/>
          <w:szCs w:val="24"/>
        </w:rPr>
        <w:t>actually not</w:t>
      </w:r>
      <w:proofErr w:type="gramEnd"/>
      <w:r w:rsidRPr="00F366B5">
        <w:rPr>
          <w:rFonts w:ascii="Times New Roman" w:hAnsi="Times New Roman"/>
          <w:sz w:val="24"/>
          <w:szCs w:val="24"/>
        </w:rPr>
        <w:t xml:space="preserve"> of Captain Carranza, many officers shared the photo and believed it was her.  </w:t>
      </w:r>
    </w:p>
    <w:p w14:paraId="14F96DEA" w14:textId="77777777" w:rsidR="00F366B5" w:rsidRPr="00F366B5" w:rsidRDefault="00F366B5" w:rsidP="00F366B5">
      <w:pPr>
        <w:pStyle w:val="NoSpacing"/>
        <w:rPr>
          <w:rFonts w:ascii="Times New Roman" w:hAnsi="Times New Roman"/>
          <w:bCs/>
          <w:sz w:val="24"/>
          <w:szCs w:val="24"/>
        </w:rPr>
      </w:pPr>
    </w:p>
    <w:p w14:paraId="3FFA6A4C" w14:textId="77777777" w:rsidR="00F366B5" w:rsidRPr="00F366B5" w:rsidRDefault="00F366B5" w:rsidP="00F366B5">
      <w:pPr>
        <w:pStyle w:val="NoSpacing"/>
        <w:rPr>
          <w:rFonts w:ascii="Times New Roman" w:hAnsi="Times New Roman"/>
          <w:bCs/>
          <w:sz w:val="24"/>
          <w:szCs w:val="24"/>
        </w:rPr>
      </w:pPr>
      <w:r w:rsidRPr="00F366B5">
        <w:rPr>
          <w:rFonts w:ascii="Times New Roman" w:hAnsi="Times New Roman"/>
          <w:sz w:val="24"/>
          <w:szCs w:val="24"/>
        </w:rPr>
        <w:t xml:space="preserve">The Court wrote: “On appeal, the City does not challenge the jury’s findings that the challenged conduct was unwelcome, that it occurred because of Carranza’s sex, and that the City failed to take immediate corrective action after learning that on-duty LAPD officers were viewing, electronically sharing, and joking with colleagues about the degrading photo of Carranza. Instead, the City contends only that there was insubstantial evidence that the harassment was sufficiently severe or pervasive to alter the conditions of Carranza’s employment and create an abusive work environment. *** We conclude substantial evidence supported the jury’s determination that Carranza endured severe or pervasive harassment that altered the conditions of her workplace, based on her secondhand knowledge that the photo was widely circulating around the Department.” </w:t>
      </w:r>
    </w:p>
    <w:p w14:paraId="04CCB99C" w14:textId="77777777" w:rsidR="00F366B5" w:rsidRDefault="00F366B5" w:rsidP="00F366B5">
      <w:pPr>
        <w:pStyle w:val="NoSpacing"/>
        <w:rPr>
          <w:rFonts w:ascii="Times New Roman" w:hAnsi="Times New Roman"/>
          <w:sz w:val="24"/>
          <w:szCs w:val="24"/>
        </w:rPr>
      </w:pPr>
      <w:hyperlink r:id="rId1298" w:history="1">
        <w:r w:rsidRPr="00F366B5">
          <w:rPr>
            <w:rStyle w:val="Hyperlink"/>
            <w:rFonts w:ascii="Times New Roman" w:hAnsi="Times New Roman"/>
            <w:sz w:val="24"/>
            <w:szCs w:val="24"/>
          </w:rPr>
          <w:t>https://cases.justia.com/california/court-of-appeal/2025-b327196.pdf?ts=1748039442</w:t>
        </w:r>
      </w:hyperlink>
      <w:r w:rsidRPr="00F366B5">
        <w:rPr>
          <w:rFonts w:ascii="Times New Roman" w:hAnsi="Times New Roman"/>
          <w:sz w:val="24"/>
          <w:szCs w:val="24"/>
        </w:rPr>
        <w:t xml:space="preserve"> </w:t>
      </w:r>
    </w:p>
    <w:p w14:paraId="13E63EFE" w14:textId="77777777" w:rsidR="00F366B5" w:rsidRDefault="00F366B5" w:rsidP="00F366B5">
      <w:pPr>
        <w:pStyle w:val="NoSpacing"/>
        <w:rPr>
          <w:rFonts w:ascii="Times New Roman" w:hAnsi="Times New Roman"/>
          <w:sz w:val="24"/>
          <w:szCs w:val="24"/>
        </w:rPr>
      </w:pPr>
    </w:p>
    <w:p w14:paraId="4D06125C" w14:textId="77777777" w:rsidR="004B09B1" w:rsidRPr="004B09B1" w:rsidRDefault="004B09B1" w:rsidP="004B09B1">
      <w:pPr>
        <w:pStyle w:val="NoSpacing"/>
        <w:rPr>
          <w:rFonts w:ascii="Times New Roman" w:hAnsi="Times New Roman"/>
          <w:b/>
          <w:bCs/>
          <w:sz w:val="24"/>
          <w:szCs w:val="24"/>
        </w:rPr>
      </w:pPr>
      <w:r w:rsidRPr="004B09B1">
        <w:rPr>
          <w:rFonts w:ascii="Times New Roman" w:hAnsi="Times New Roman"/>
          <w:b/>
          <w:sz w:val="24"/>
          <w:szCs w:val="24"/>
        </w:rPr>
        <w:t xml:space="preserve">Legal Lesson Learned: Given the widespread sharing of the photo, LAPD management needed to take prompt corrective action. </w:t>
      </w:r>
    </w:p>
    <w:p w14:paraId="7CFB2B3C" w14:textId="77777777" w:rsidR="004B09B1" w:rsidRPr="006F2B87" w:rsidRDefault="004B09B1" w:rsidP="004B09B1">
      <w:pPr>
        <w:pStyle w:val="NoSpacing"/>
      </w:pPr>
    </w:p>
    <w:p w14:paraId="662F98DB" w14:textId="77777777" w:rsidR="00F366B5" w:rsidRPr="00F366B5" w:rsidRDefault="00F366B5" w:rsidP="00F366B5">
      <w:pPr>
        <w:pStyle w:val="NoSpacing"/>
        <w:rPr>
          <w:rFonts w:ascii="Times New Roman" w:hAnsi="Times New Roman"/>
          <w:sz w:val="24"/>
          <w:szCs w:val="24"/>
        </w:rPr>
      </w:pPr>
    </w:p>
    <w:p w14:paraId="505ED953" w14:textId="77777777" w:rsidR="00571037" w:rsidRDefault="00571037" w:rsidP="00F326E5">
      <w:pPr>
        <w:pStyle w:val="NoSpacing"/>
        <w:rPr>
          <w:rFonts w:ascii="Arial Black" w:hAnsi="Arial Black"/>
          <w:b/>
          <w:bCs/>
          <w:sz w:val="24"/>
          <w:szCs w:val="24"/>
        </w:rPr>
      </w:pPr>
    </w:p>
    <w:p w14:paraId="212EF325" w14:textId="4E91F488" w:rsidR="006D679A" w:rsidRDefault="001E56C7" w:rsidP="00F326E5">
      <w:pPr>
        <w:pStyle w:val="NoSpacing"/>
        <w:rPr>
          <w:rFonts w:ascii="Arial Black" w:hAnsi="Arial Black"/>
          <w:b/>
          <w:bCs/>
          <w:sz w:val="24"/>
          <w:szCs w:val="24"/>
        </w:rPr>
      </w:pPr>
      <w:r>
        <w:rPr>
          <w:rFonts w:ascii="Arial Black" w:hAnsi="Arial Black"/>
          <w:b/>
          <w:bCs/>
          <w:sz w:val="24"/>
          <w:szCs w:val="24"/>
        </w:rPr>
        <w:t>7-7</w:t>
      </w:r>
      <w:r w:rsidR="006A6ED6">
        <w:rPr>
          <w:rFonts w:ascii="Arial Black" w:hAnsi="Arial Black"/>
          <w:b/>
          <w:bCs/>
          <w:sz w:val="24"/>
          <w:szCs w:val="24"/>
        </w:rPr>
        <w:t>5</w:t>
      </w:r>
    </w:p>
    <w:p w14:paraId="3EBABEE4" w14:textId="77777777" w:rsidR="001E56C7" w:rsidRDefault="001E56C7" w:rsidP="00F326E5">
      <w:pPr>
        <w:pStyle w:val="NoSpacing"/>
        <w:rPr>
          <w:rFonts w:ascii="Arial Black" w:hAnsi="Arial Black"/>
          <w:b/>
          <w:bCs/>
          <w:sz w:val="24"/>
          <w:szCs w:val="24"/>
        </w:rPr>
      </w:pPr>
    </w:p>
    <w:p w14:paraId="457FA534" w14:textId="77777777" w:rsidR="00A25870" w:rsidRPr="002D3594" w:rsidRDefault="00A25870" w:rsidP="00A25870">
      <w:pPr>
        <w:pStyle w:val="NoSpacing"/>
        <w:rPr>
          <w:rFonts w:ascii="Arial Black" w:hAnsi="Arial Black"/>
          <w:sz w:val="28"/>
          <w:szCs w:val="28"/>
        </w:rPr>
      </w:pPr>
      <w:r>
        <w:rPr>
          <w:rFonts w:ascii="Arial Black" w:hAnsi="Arial Black"/>
          <w:sz w:val="28"/>
          <w:szCs w:val="28"/>
        </w:rPr>
        <w:t xml:space="preserve">OH: FD APPLICANT – ALLEGEDLY RAPED BY RECRUITING LT. </w:t>
      </w:r>
    </w:p>
    <w:p w14:paraId="4CF192BB" w14:textId="77777777" w:rsidR="00A25870" w:rsidRDefault="00A25870" w:rsidP="00A25870">
      <w:pPr>
        <w:pStyle w:val="NoSpacing"/>
      </w:pPr>
    </w:p>
    <w:p w14:paraId="744CE87B" w14:textId="6A96FDC7" w:rsidR="00A25870" w:rsidRPr="001E56C7" w:rsidRDefault="00A25870" w:rsidP="00A25870">
      <w:pPr>
        <w:pStyle w:val="NoSpacing"/>
        <w:rPr>
          <w:rFonts w:ascii="Times New Roman" w:hAnsi="Times New Roman"/>
          <w:b/>
          <w:bCs/>
          <w:sz w:val="24"/>
          <w:szCs w:val="24"/>
        </w:rPr>
      </w:pPr>
      <w:r w:rsidRPr="001E56C7">
        <w:rPr>
          <w:rFonts w:ascii="Times New Roman" w:hAnsi="Times New Roman"/>
          <w:sz w:val="24"/>
          <w:szCs w:val="24"/>
        </w:rPr>
        <w:t xml:space="preserve">On March 19, 2025, in </w:t>
      </w:r>
      <w:r w:rsidRPr="001E56C7">
        <w:rPr>
          <w:rFonts w:ascii="Times New Roman" w:hAnsi="Times New Roman"/>
          <w:sz w:val="24"/>
          <w:szCs w:val="24"/>
          <w:u w:val="single"/>
        </w:rPr>
        <w:t>Rebecca Bryant v. City of Cincinnati, et al</w:t>
      </w:r>
      <w:r w:rsidRPr="001E56C7">
        <w:rPr>
          <w:rFonts w:ascii="Times New Roman" w:hAnsi="Times New Roman"/>
          <w:sz w:val="24"/>
          <w:szCs w:val="24"/>
        </w:rPr>
        <w:t xml:space="preserve">., U.S. District Court Judge Douglas R. Cole. U.S. District Court for Southern District of Ohio, Western Division, denied the city’s motion to dismiss claims of hostile work atmosphere, based on her allegation that she was raped by a Lieutenant – FD recruiting officer. The Court rejected the city’s argument that the alleged rape occurred before she was hired, and therefore as a non-employee she cannot claim hostile work atmosphere.  “The </w:t>
      </w:r>
      <w:proofErr w:type="gramStart"/>
      <w:r w:rsidRPr="001E56C7">
        <w:rPr>
          <w:rFonts w:ascii="Times New Roman" w:hAnsi="Times New Roman"/>
          <w:sz w:val="24"/>
          <w:szCs w:val="24"/>
        </w:rPr>
        <w:t>City</w:t>
      </w:r>
      <w:proofErr w:type="gramEnd"/>
      <w:r w:rsidRPr="001E56C7">
        <w:rPr>
          <w:rFonts w:ascii="Times New Roman" w:hAnsi="Times New Roman"/>
          <w:sz w:val="24"/>
          <w:szCs w:val="24"/>
        </w:rPr>
        <w:t xml:space="preserve"> next argues that the Court should dismiss Bryant's hostile-work-environment claims because the principal conduct of which she complains occurred while </w:t>
      </w:r>
      <w:r w:rsidRPr="001E56C7">
        <w:rPr>
          <w:rFonts w:ascii="Times New Roman" w:hAnsi="Times New Roman"/>
          <w:sz w:val="24"/>
          <w:szCs w:val="24"/>
        </w:rPr>
        <w:lastRenderedPageBreak/>
        <w:t xml:space="preserve">she was an applicant, not an employee…. True, Title VII applies only to employers. And a hostile work environment refers to conditions that an employee experienced during his or her employment…. But here, Bryant </w:t>
      </w:r>
      <w:r w:rsidRPr="001E56C7">
        <w:rPr>
          <w:rFonts w:ascii="Times New Roman" w:hAnsi="Times New Roman"/>
          <w:i/>
          <w:iCs/>
          <w:sz w:val="24"/>
          <w:szCs w:val="24"/>
        </w:rPr>
        <w:t>is</w:t>
      </w:r>
      <w:r w:rsidRPr="001E56C7">
        <w:rPr>
          <w:rFonts w:ascii="Times New Roman" w:hAnsi="Times New Roman"/>
          <w:sz w:val="24"/>
          <w:szCs w:val="24"/>
        </w:rPr>
        <w:t xml:space="preserve"> complaining about her experience as an employee. As noted above, in her Amended Complaint, she points to a host of alleged wrongs that happened to her while she was employed at CFD. True, she also points to the rape, and that occurred while she was an applicant, but that is, at least in part, to provide context for why working with [the Lieutenant] (while she was employed) might constitute a hostile work environment.”  </w:t>
      </w:r>
      <w:hyperlink r:id="rId1299" w:history="1">
        <w:r w:rsidRPr="001E56C7">
          <w:rPr>
            <w:rStyle w:val="Hyperlink"/>
            <w:rFonts w:ascii="Times New Roman" w:hAnsi="Times New Roman"/>
            <w:sz w:val="24"/>
            <w:szCs w:val="24"/>
          </w:rPr>
          <w:t>https://public.fastcase.com/jaEE2PXzRXmZ99jOLMt1IsID3yHeWup657c7MnfFCGnetXQu%2F2QtQOpoVmwfdEc%2F?utm_medium=email&amp;_hsenc=p2ANqtz-_zTSxdS0F5WCwBxFxJfAdL2TYRGfHTDF8aVNcZ9gK5T6kDk6rrKhGST-fn4w1vDtBgvaoCFHlAWmUNSPCbepcJBy8zVw&amp;_hsmi=226712652&amp;utm_content=226712652&amp;utm_source=hs_email</w:t>
        </w:r>
      </w:hyperlink>
    </w:p>
    <w:p w14:paraId="00B8E806" w14:textId="77777777" w:rsidR="0052426F" w:rsidRPr="001E56C7" w:rsidRDefault="0052426F" w:rsidP="00F326E5">
      <w:pPr>
        <w:pStyle w:val="NoSpacing"/>
        <w:rPr>
          <w:rFonts w:ascii="Times New Roman" w:hAnsi="Times New Roman"/>
          <w:b/>
          <w:bCs/>
          <w:sz w:val="24"/>
          <w:szCs w:val="24"/>
        </w:rPr>
      </w:pPr>
    </w:p>
    <w:p w14:paraId="13EED63C" w14:textId="77777777" w:rsidR="006E0FA5" w:rsidRPr="002729C0" w:rsidRDefault="006E0FA5" w:rsidP="006E0FA5">
      <w:pPr>
        <w:pStyle w:val="NoSpacing"/>
        <w:rPr>
          <w:rFonts w:ascii="Times New Roman" w:hAnsi="Times New Roman"/>
          <w:b/>
          <w:bCs/>
          <w:sz w:val="24"/>
          <w:szCs w:val="24"/>
        </w:rPr>
      </w:pPr>
      <w:r w:rsidRPr="002729C0">
        <w:rPr>
          <w:rFonts w:ascii="Times New Roman" w:hAnsi="Times New Roman"/>
          <w:b/>
          <w:sz w:val="24"/>
          <w:szCs w:val="24"/>
        </w:rPr>
        <w:t xml:space="preserve">Legal Lesson Learned: The City promptly </w:t>
      </w:r>
      <w:proofErr w:type="gramStart"/>
      <w:r w:rsidRPr="002729C0">
        <w:rPr>
          <w:rFonts w:ascii="Times New Roman" w:hAnsi="Times New Roman"/>
          <w:b/>
          <w:sz w:val="24"/>
          <w:szCs w:val="24"/>
        </w:rPr>
        <w:t>conducted an investigation</w:t>
      </w:r>
      <w:proofErr w:type="gramEnd"/>
      <w:r w:rsidRPr="002729C0">
        <w:rPr>
          <w:rFonts w:ascii="Times New Roman" w:hAnsi="Times New Roman"/>
          <w:b/>
          <w:sz w:val="24"/>
          <w:szCs w:val="24"/>
        </w:rPr>
        <w:t xml:space="preserve">; the case will now proceed with pre-trial discovery, including a review of the adequacy of the investigation. </w:t>
      </w:r>
    </w:p>
    <w:p w14:paraId="1E65912D" w14:textId="77777777" w:rsidR="0052426F" w:rsidRDefault="0052426F" w:rsidP="00F326E5">
      <w:pPr>
        <w:pStyle w:val="NoSpacing"/>
        <w:rPr>
          <w:rFonts w:ascii="Arial Black" w:hAnsi="Arial Black"/>
          <w:b/>
          <w:bCs/>
          <w:sz w:val="24"/>
          <w:szCs w:val="24"/>
        </w:rPr>
      </w:pPr>
    </w:p>
    <w:p w14:paraId="50F5BC4A" w14:textId="77777777" w:rsidR="00320105" w:rsidRDefault="00320105" w:rsidP="00F326E5">
      <w:pPr>
        <w:pStyle w:val="NoSpacing"/>
        <w:rPr>
          <w:rFonts w:ascii="Arial Black" w:hAnsi="Arial Black"/>
          <w:b/>
          <w:bCs/>
          <w:sz w:val="24"/>
          <w:szCs w:val="24"/>
        </w:rPr>
      </w:pPr>
    </w:p>
    <w:p w14:paraId="5D7DAE6F" w14:textId="0CC08688" w:rsidR="0052426F" w:rsidRDefault="00642CE9" w:rsidP="00F326E5">
      <w:pPr>
        <w:pStyle w:val="NoSpacing"/>
        <w:rPr>
          <w:rFonts w:ascii="Arial Black" w:hAnsi="Arial Black"/>
          <w:b/>
          <w:bCs/>
          <w:sz w:val="24"/>
          <w:szCs w:val="24"/>
        </w:rPr>
      </w:pPr>
      <w:r>
        <w:rPr>
          <w:rFonts w:ascii="Arial Black" w:hAnsi="Arial Black"/>
          <w:b/>
          <w:bCs/>
          <w:sz w:val="24"/>
          <w:szCs w:val="24"/>
        </w:rPr>
        <w:t>7-74</w:t>
      </w:r>
    </w:p>
    <w:p w14:paraId="2628F80B" w14:textId="77777777" w:rsidR="00320105" w:rsidRDefault="00320105" w:rsidP="00642CE9">
      <w:pPr>
        <w:rPr>
          <w:rFonts w:ascii="Arial Black" w:hAnsi="Arial Black"/>
          <w:sz w:val="28"/>
          <w:szCs w:val="28"/>
        </w:rPr>
      </w:pPr>
    </w:p>
    <w:p w14:paraId="0E4714DF" w14:textId="0DB2F9E1" w:rsidR="00642CE9" w:rsidRPr="00D13FB9" w:rsidRDefault="00642CE9" w:rsidP="00642CE9">
      <w:r>
        <w:rPr>
          <w:rFonts w:ascii="Arial Black" w:hAnsi="Arial Black"/>
          <w:sz w:val="28"/>
          <w:szCs w:val="28"/>
        </w:rPr>
        <w:t xml:space="preserve">DE: D/C RAPED CADET – 35 YRS PRISON - FIRE CHIEF SUED </w:t>
      </w:r>
    </w:p>
    <w:p w14:paraId="57F86795" w14:textId="77777777" w:rsidR="00642CE9" w:rsidRPr="000B584F" w:rsidRDefault="00642CE9" w:rsidP="00642CE9">
      <w:pPr>
        <w:pStyle w:val="NoSpacing"/>
        <w:rPr>
          <w:rFonts w:ascii="Times New Roman" w:hAnsi="Times New Roman"/>
          <w:sz w:val="24"/>
          <w:szCs w:val="24"/>
        </w:rPr>
      </w:pPr>
      <w:r w:rsidRPr="000B584F">
        <w:rPr>
          <w:rFonts w:ascii="Times New Roman" w:hAnsi="Times New Roman"/>
          <w:sz w:val="24"/>
          <w:szCs w:val="24"/>
        </w:rPr>
        <w:t xml:space="preserve">On March 5, 2025, in </w:t>
      </w:r>
      <w:r w:rsidRPr="000B584F">
        <w:rPr>
          <w:rFonts w:ascii="Times New Roman" w:hAnsi="Times New Roman"/>
          <w:sz w:val="24"/>
          <w:szCs w:val="24"/>
          <w:u w:val="single"/>
        </w:rPr>
        <w:t>Laura Liebal, as next friend and guardian of M.M., a minor v. Belvedere Fire Company, et al.</w:t>
      </w:r>
      <w:r w:rsidRPr="000B584F">
        <w:rPr>
          <w:rFonts w:ascii="Times New Roman" w:hAnsi="Times New Roman"/>
          <w:sz w:val="24"/>
          <w:szCs w:val="24"/>
        </w:rPr>
        <w:t xml:space="preserve">, Judge Charkes Butler, Superior Court of Delaware, denied the motion to dismiss the Fire Chief and Board members from this lawsuit. “The Amended Complaint alleges that in 2022, M.M., a 15-year-old minor girl, (‘Plaintiff’), volunteered with the Mill Creek Fire Company. During a joint training exercise between the Mill Creek Fire Company and Defendant Belvedere Volunteer Fire </w:t>
      </w:r>
      <w:proofErr w:type="gramStart"/>
      <w:r w:rsidRPr="000B584F">
        <w:rPr>
          <w:rFonts w:ascii="Times New Roman" w:hAnsi="Times New Roman"/>
          <w:sz w:val="24"/>
          <w:szCs w:val="24"/>
        </w:rPr>
        <w:t>Company (‘</w:t>
      </w:r>
      <w:proofErr w:type="gramEnd"/>
      <w:r w:rsidRPr="000B584F">
        <w:rPr>
          <w:rFonts w:ascii="Times New Roman" w:hAnsi="Times New Roman"/>
          <w:sz w:val="24"/>
          <w:szCs w:val="24"/>
        </w:rPr>
        <w:t xml:space="preserve">Belvedere’), the Deputy Fire Chief for Belvedere Dwayne </w:t>
      </w:r>
      <w:proofErr w:type="gramStart"/>
      <w:r w:rsidRPr="000B584F">
        <w:rPr>
          <w:rFonts w:ascii="Times New Roman" w:hAnsi="Times New Roman"/>
          <w:sz w:val="24"/>
          <w:szCs w:val="24"/>
        </w:rPr>
        <w:t>Pearson (‘</w:t>
      </w:r>
      <w:proofErr w:type="gramEnd"/>
      <w:r w:rsidRPr="000B584F">
        <w:rPr>
          <w:rFonts w:ascii="Times New Roman" w:hAnsi="Times New Roman"/>
          <w:sz w:val="24"/>
          <w:szCs w:val="24"/>
        </w:rPr>
        <w:t xml:space="preserve">Pearson’), began ‘flirting’ with Plaintiff. The Belvedere Fire Chief, Robert </w:t>
      </w:r>
      <w:proofErr w:type="gramStart"/>
      <w:r w:rsidRPr="000B584F">
        <w:rPr>
          <w:rFonts w:ascii="Times New Roman" w:hAnsi="Times New Roman"/>
          <w:sz w:val="24"/>
          <w:szCs w:val="24"/>
        </w:rPr>
        <w:t>Johnson (‘</w:t>
      </w:r>
      <w:proofErr w:type="gramEnd"/>
      <w:r w:rsidRPr="000B584F">
        <w:rPr>
          <w:rFonts w:ascii="Times New Roman" w:hAnsi="Times New Roman"/>
          <w:sz w:val="24"/>
          <w:szCs w:val="24"/>
        </w:rPr>
        <w:t xml:space="preserve">Johnson’), observed Pearson’s behavior. Johnson contacted the Mill Creek Fire Company and learned that Plaintiff was 15 years old. Johnson warned Pearson to ‘stay away’ from Plaintiff. But Pearson did not. The Amended Complaint says that Pearson used one of Belvedere’s vehicles to pick up Plaintiff and commit sex crimes on two separate days in August 2022.”  The Court held that while volunteer fire departments and Board members  have immunity, the Fire Chief can be sued personally if they acted with “wanton negligence.” </w:t>
      </w:r>
      <w:hyperlink r:id="rId1300" w:history="1">
        <w:r w:rsidRPr="000B584F">
          <w:rPr>
            <w:rStyle w:val="Hyperlink"/>
            <w:rFonts w:ascii="Times New Roman" w:hAnsi="Times New Roman"/>
            <w:sz w:val="24"/>
            <w:szCs w:val="24"/>
          </w:rPr>
          <w:t>https://cases.justia.com/delaware/superior-court/2025-n24c-08-154-ceb.pdf?ts=1741208566</w:t>
        </w:r>
      </w:hyperlink>
      <w:r w:rsidRPr="000B584F">
        <w:rPr>
          <w:rFonts w:ascii="Times New Roman" w:hAnsi="Times New Roman"/>
          <w:sz w:val="24"/>
          <w:szCs w:val="24"/>
        </w:rPr>
        <w:t xml:space="preserve"> </w:t>
      </w:r>
    </w:p>
    <w:p w14:paraId="01D61DEF" w14:textId="77777777" w:rsidR="00642CE9" w:rsidRPr="000B584F" w:rsidRDefault="00642CE9" w:rsidP="00F326E5">
      <w:pPr>
        <w:pStyle w:val="NoSpacing"/>
        <w:rPr>
          <w:rFonts w:ascii="Times New Roman" w:hAnsi="Times New Roman"/>
          <w:b/>
          <w:bCs/>
          <w:sz w:val="24"/>
          <w:szCs w:val="24"/>
        </w:rPr>
      </w:pPr>
    </w:p>
    <w:p w14:paraId="1F2B39E9" w14:textId="77777777" w:rsidR="000B584F" w:rsidRPr="000B584F" w:rsidRDefault="000B584F" w:rsidP="000B584F">
      <w:pPr>
        <w:pStyle w:val="NoSpacing"/>
        <w:rPr>
          <w:rFonts w:ascii="Times New Roman" w:hAnsi="Times New Roman"/>
          <w:b/>
          <w:sz w:val="24"/>
          <w:szCs w:val="24"/>
        </w:rPr>
      </w:pPr>
      <w:r w:rsidRPr="000B584F">
        <w:rPr>
          <w:rFonts w:ascii="Times New Roman" w:hAnsi="Times New Roman"/>
          <w:b/>
          <w:sz w:val="24"/>
          <w:szCs w:val="24"/>
        </w:rPr>
        <w:t xml:space="preserve">Legal Lesson Learned: Fire Chiefs must be very aggressive in investigating allegations of sexual and other forms of misconduct, particularly involving minors. </w:t>
      </w:r>
    </w:p>
    <w:p w14:paraId="58596986" w14:textId="77777777" w:rsidR="000B584F" w:rsidRPr="000B584F" w:rsidRDefault="000B584F" w:rsidP="000B584F">
      <w:pPr>
        <w:pStyle w:val="NoSpacing"/>
        <w:rPr>
          <w:rFonts w:ascii="Times New Roman" w:hAnsi="Times New Roman"/>
          <w:bCs/>
          <w:sz w:val="24"/>
          <w:szCs w:val="24"/>
        </w:rPr>
      </w:pPr>
    </w:p>
    <w:p w14:paraId="79321743" w14:textId="77777777" w:rsidR="000B584F" w:rsidRPr="000B584F" w:rsidRDefault="000B584F" w:rsidP="000B584F">
      <w:pPr>
        <w:pStyle w:val="NoSpacing"/>
        <w:ind w:left="720"/>
        <w:rPr>
          <w:rFonts w:ascii="Times New Roman" w:hAnsi="Times New Roman"/>
          <w:bCs/>
          <w:sz w:val="24"/>
          <w:szCs w:val="24"/>
        </w:rPr>
      </w:pPr>
      <w:r w:rsidRPr="000B584F">
        <w:rPr>
          <w:rFonts w:ascii="Times New Roman" w:hAnsi="Times New Roman"/>
          <w:sz w:val="24"/>
          <w:szCs w:val="24"/>
        </w:rPr>
        <w:t xml:space="preserve">Note: See June 14, </w:t>
      </w:r>
      <w:proofErr w:type="gramStart"/>
      <w:r w:rsidRPr="000B584F">
        <w:rPr>
          <w:rFonts w:ascii="Times New Roman" w:hAnsi="Times New Roman"/>
          <w:sz w:val="24"/>
          <w:szCs w:val="24"/>
        </w:rPr>
        <w:t>2024</w:t>
      </w:r>
      <w:proofErr w:type="gramEnd"/>
      <w:r w:rsidRPr="000B584F">
        <w:rPr>
          <w:rFonts w:ascii="Times New Roman" w:hAnsi="Times New Roman"/>
          <w:sz w:val="24"/>
          <w:szCs w:val="24"/>
        </w:rPr>
        <w:t xml:space="preserve"> article, “'Tell the truth now': Girl addresses rapist, former deputy fire chief at sentencing.”</w:t>
      </w:r>
    </w:p>
    <w:p w14:paraId="11B36086" w14:textId="77777777" w:rsidR="000B584F" w:rsidRPr="000B584F" w:rsidRDefault="000B584F" w:rsidP="000B584F">
      <w:pPr>
        <w:pStyle w:val="NoSpacing"/>
        <w:ind w:left="720"/>
        <w:rPr>
          <w:rFonts w:ascii="Times New Roman" w:hAnsi="Times New Roman"/>
          <w:bCs/>
          <w:sz w:val="24"/>
          <w:szCs w:val="24"/>
        </w:rPr>
      </w:pPr>
    </w:p>
    <w:p w14:paraId="298ABFD6" w14:textId="77777777" w:rsidR="000B584F" w:rsidRPr="000B584F" w:rsidRDefault="000B584F" w:rsidP="000B584F">
      <w:pPr>
        <w:pStyle w:val="NoSpacing"/>
        <w:ind w:left="1440"/>
        <w:rPr>
          <w:rFonts w:ascii="Times New Roman" w:hAnsi="Times New Roman"/>
          <w:bCs/>
          <w:sz w:val="24"/>
          <w:szCs w:val="24"/>
        </w:rPr>
      </w:pPr>
      <w:r w:rsidRPr="000B584F">
        <w:rPr>
          <w:rFonts w:ascii="Times New Roman" w:hAnsi="Times New Roman"/>
          <w:sz w:val="24"/>
          <w:szCs w:val="24"/>
        </w:rPr>
        <w:t xml:space="preserve">A girl raped by a former Belvedere deputy fire chief asked him in a courtroom Friday to admit what he had done. Her request was made shortly before Dwayne L. Pearson Jr. was sentenced to 35 years in prison for raping the girl he met through his job in 2022. She was 15 at the time of the </w:t>
      </w:r>
      <w:proofErr w:type="gramStart"/>
      <w:r w:rsidRPr="000B584F">
        <w:rPr>
          <w:rFonts w:ascii="Times New Roman" w:hAnsi="Times New Roman"/>
          <w:sz w:val="24"/>
          <w:szCs w:val="24"/>
        </w:rPr>
        <w:t>incidents</w:t>
      </w:r>
      <w:proofErr w:type="gramEnd"/>
      <w:r w:rsidRPr="000B584F">
        <w:rPr>
          <w:rFonts w:ascii="Times New Roman" w:hAnsi="Times New Roman"/>
          <w:sz w:val="24"/>
          <w:szCs w:val="24"/>
        </w:rPr>
        <w:t xml:space="preserve">. ‘Tell the truth now,’ she told the 41-year-old man who did not look at her, "... so I can find peace in my heart.’” </w:t>
      </w:r>
      <w:hyperlink r:id="rId1301" w:history="1">
        <w:r w:rsidRPr="000B584F">
          <w:rPr>
            <w:rStyle w:val="Hyperlink"/>
            <w:rFonts w:ascii="Times New Roman" w:hAnsi="Times New Roman"/>
            <w:sz w:val="24"/>
            <w:szCs w:val="24"/>
          </w:rPr>
          <w:t>https://www.yahoo.com/news/tell-truth-now-girl-addresses-164857744.html</w:t>
        </w:r>
      </w:hyperlink>
      <w:r w:rsidRPr="000B584F">
        <w:rPr>
          <w:rFonts w:ascii="Times New Roman" w:hAnsi="Times New Roman"/>
          <w:sz w:val="24"/>
          <w:szCs w:val="24"/>
        </w:rPr>
        <w:t xml:space="preserve"> </w:t>
      </w:r>
    </w:p>
    <w:p w14:paraId="3996A09C" w14:textId="77777777" w:rsidR="00642CE9" w:rsidRPr="000B584F" w:rsidRDefault="00642CE9" w:rsidP="00F326E5">
      <w:pPr>
        <w:pStyle w:val="NoSpacing"/>
        <w:rPr>
          <w:rFonts w:ascii="Times New Roman" w:hAnsi="Times New Roman"/>
          <w:b/>
          <w:bCs/>
          <w:sz w:val="24"/>
          <w:szCs w:val="24"/>
        </w:rPr>
      </w:pPr>
    </w:p>
    <w:p w14:paraId="24997622" w14:textId="77777777" w:rsidR="00642CE9" w:rsidRDefault="00642CE9" w:rsidP="00F326E5">
      <w:pPr>
        <w:pStyle w:val="NoSpacing"/>
        <w:rPr>
          <w:rFonts w:ascii="Arial Black" w:hAnsi="Arial Black"/>
          <w:b/>
          <w:bCs/>
          <w:sz w:val="24"/>
          <w:szCs w:val="24"/>
        </w:rPr>
      </w:pPr>
    </w:p>
    <w:p w14:paraId="29CAFFE2" w14:textId="77777777" w:rsidR="00642CE9" w:rsidRDefault="00642CE9" w:rsidP="00F326E5">
      <w:pPr>
        <w:pStyle w:val="NoSpacing"/>
        <w:rPr>
          <w:rFonts w:ascii="Arial Black" w:hAnsi="Arial Black"/>
          <w:b/>
          <w:bCs/>
          <w:sz w:val="24"/>
          <w:szCs w:val="24"/>
        </w:rPr>
      </w:pPr>
    </w:p>
    <w:p w14:paraId="4F98C50D" w14:textId="2E55B9F0" w:rsidR="0089221B" w:rsidRDefault="0086464C" w:rsidP="00F326E5">
      <w:pPr>
        <w:pStyle w:val="NoSpacing"/>
        <w:rPr>
          <w:rFonts w:ascii="Arial Black" w:hAnsi="Arial Black"/>
          <w:b/>
          <w:bCs/>
          <w:sz w:val="24"/>
          <w:szCs w:val="24"/>
        </w:rPr>
      </w:pPr>
      <w:r>
        <w:rPr>
          <w:rFonts w:ascii="Arial Black" w:hAnsi="Arial Black"/>
          <w:b/>
          <w:bCs/>
          <w:sz w:val="24"/>
          <w:szCs w:val="24"/>
        </w:rPr>
        <w:t>7-73</w:t>
      </w:r>
    </w:p>
    <w:p w14:paraId="7B4C1105" w14:textId="77777777" w:rsidR="0086464C" w:rsidRDefault="0086464C" w:rsidP="00F326E5">
      <w:pPr>
        <w:pStyle w:val="NoSpacing"/>
        <w:rPr>
          <w:rFonts w:ascii="Arial Black" w:hAnsi="Arial Black"/>
          <w:b/>
          <w:bCs/>
          <w:sz w:val="24"/>
          <w:szCs w:val="24"/>
        </w:rPr>
      </w:pPr>
    </w:p>
    <w:p w14:paraId="3FB93016" w14:textId="77777777" w:rsidR="00785AA7" w:rsidRDefault="007C5936" w:rsidP="007C5936">
      <w:pPr>
        <w:rPr>
          <w:rFonts w:ascii="Arial Black" w:hAnsi="Arial Black"/>
          <w:sz w:val="28"/>
          <w:szCs w:val="28"/>
        </w:rPr>
      </w:pPr>
      <w:r w:rsidRPr="000B7F2C">
        <w:rPr>
          <w:rFonts w:ascii="Arial Black" w:hAnsi="Arial Black"/>
          <w:sz w:val="28"/>
          <w:szCs w:val="28"/>
        </w:rPr>
        <w:t>TX: FEM</w:t>
      </w:r>
      <w:r w:rsidR="00FD5150">
        <w:rPr>
          <w:rFonts w:ascii="Arial Black" w:hAnsi="Arial Black"/>
          <w:sz w:val="28"/>
          <w:szCs w:val="28"/>
        </w:rPr>
        <w:t xml:space="preserve">. </w:t>
      </w:r>
      <w:r w:rsidRPr="000B7F2C">
        <w:rPr>
          <w:rFonts w:ascii="Arial Black" w:hAnsi="Arial Black"/>
          <w:sz w:val="28"/>
          <w:szCs w:val="28"/>
        </w:rPr>
        <w:t>DIR. EMS FIRED</w:t>
      </w:r>
      <w:r w:rsidR="00785AA7">
        <w:rPr>
          <w:rFonts w:ascii="Arial Black" w:hAnsi="Arial Black"/>
          <w:sz w:val="28"/>
          <w:szCs w:val="28"/>
        </w:rPr>
        <w:t xml:space="preserve"> (60s)</w:t>
      </w:r>
      <w:r w:rsidRPr="000B7F2C">
        <w:rPr>
          <w:rFonts w:ascii="Arial Black" w:hAnsi="Arial Black"/>
          <w:sz w:val="28"/>
          <w:szCs w:val="28"/>
        </w:rPr>
        <w:t xml:space="preserve"> – MALE</w:t>
      </w:r>
      <w:r w:rsidR="00785AA7">
        <w:rPr>
          <w:rFonts w:ascii="Arial Black" w:hAnsi="Arial Black"/>
          <w:sz w:val="28"/>
          <w:szCs w:val="28"/>
        </w:rPr>
        <w:t xml:space="preserve"> (35) HIRED</w:t>
      </w:r>
      <w:r w:rsidRPr="000B7F2C">
        <w:rPr>
          <w:rFonts w:ascii="Arial Black" w:hAnsi="Arial Black"/>
          <w:sz w:val="28"/>
          <w:szCs w:val="28"/>
        </w:rPr>
        <w:t xml:space="preserve"> – </w:t>
      </w:r>
      <w:r w:rsidR="00FD5150">
        <w:rPr>
          <w:rFonts w:ascii="Arial Black" w:hAnsi="Arial Black"/>
          <w:sz w:val="28"/>
          <w:szCs w:val="28"/>
        </w:rPr>
        <w:t>CASE PROCEED</w:t>
      </w:r>
    </w:p>
    <w:p w14:paraId="6153AD38" w14:textId="7AC32483" w:rsidR="00785AA7" w:rsidRPr="000B7F2C" w:rsidRDefault="00785AA7" w:rsidP="007C5936">
      <w:pPr>
        <w:rPr>
          <w:rFonts w:ascii="Arial Black" w:hAnsi="Arial Black"/>
          <w:sz w:val="28"/>
          <w:szCs w:val="28"/>
        </w:rPr>
      </w:pPr>
      <w:hyperlink r:id="rId1302" w:history="1">
        <w:r w:rsidRPr="00004FA3">
          <w:rPr>
            <w:rStyle w:val="Hyperlink"/>
            <w:rFonts w:ascii="Times New Roman" w:hAnsi="Times New Roman"/>
            <w:bCs/>
            <w:sz w:val="24"/>
            <w:szCs w:val="24"/>
          </w:rPr>
          <w:t>https://cases.justia.com/federal/district-courts/texas/txsdce/6:2022cv00002/1858056/21/0.pdf?ts=1664555743</w:t>
        </w:r>
      </w:hyperlink>
    </w:p>
    <w:p w14:paraId="11BD5B26" w14:textId="63E583D3" w:rsidR="004C28EA" w:rsidRPr="004C28EA" w:rsidRDefault="007C5936" w:rsidP="007C5936">
      <w:pPr>
        <w:rPr>
          <w:rFonts w:ascii="Times New Roman" w:hAnsi="Times New Roman"/>
          <w:bCs/>
          <w:sz w:val="24"/>
          <w:szCs w:val="24"/>
        </w:rPr>
      </w:pPr>
      <w:r w:rsidRPr="007C5936">
        <w:rPr>
          <w:rFonts w:ascii="Times New Roman" w:hAnsi="Times New Roman"/>
          <w:sz w:val="24"/>
          <w:szCs w:val="24"/>
        </w:rPr>
        <w:t xml:space="preserve">On Feb. 28, 2025, in </w:t>
      </w:r>
      <w:r w:rsidRPr="007C5936">
        <w:rPr>
          <w:rFonts w:ascii="Times New Roman" w:hAnsi="Times New Roman"/>
          <w:sz w:val="24"/>
          <w:szCs w:val="24"/>
          <w:u w:val="single"/>
        </w:rPr>
        <w:t>Debra Fishbeck v. Lavaca County, Texas, et al</w:t>
      </w:r>
      <w:r w:rsidRPr="007C5936">
        <w:rPr>
          <w:rFonts w:ascii="Times New Roman" w:hAnsi="Times New Roman"/>
          <w:sz w:val="24"/>
          <w:szCs w:val="24"/>
        </w:rPr>
        <w:t xml:space="preserve">., United States District Court Judge Drew B. Tipton, U.S. District Court for Southern District of Texas,  Victoria Division, held that the sexual discrimination and age discrimination claims may proceed to trial.  She is in her 60s; her replacement, Michael Furrh, 35-year-old male, was given large salary increase </w:t>
      </w:r>
      <w:proofErr w:type="gramStart"/>
      <w:r w:rsidRPr="007C5936">
        <w:rPr>
          <w:rFonts w:ascii="Times New Roman" w:hAnsi="Times New Roman"/>
          <w:sz w:val="24"/>
          <w:szCs w:val="24"/>
        </w:rPr>
        <w:t>and also</w:t>
      </w:r>
      <w:proofErr w:type="gramEnd"/>
      <w:r w:rsidRPr="007C5936">
        <w:rPr>
          <w:rFonts w:ascii="Times New Roman" w:hAnsi="Times New Roman"/>
          <w:sz w:val="24"/>
          <w:szCs w:val="24"/>
        </w:rPr>
        <w:t xml:space="preserve"> was allowed to hire a Deputy Director with increased budge.  She, however, cannot sue Furrh for libel or slander; he told local newspaper (without naming her) and Board about missing DEA drug license and a problem with bed bugs at station; no proof false or malice on his part.  </w:t>
      </w:r>
      <w:hyperlink r:id="rId1303" w:history="1">
        <w:r w:rsidR="004C28EA" w:rsidRPr="004C28EA">
          <w:rPr>
            <w:rStyle w:val="Hyperlink"/>
            <w:rFonts w:ascii="Times New Roman" w:hAnsi="Times New Roman"/>
            <w:bCs/>
            <w:sz w:val="24"/>
            <w:szCs w:val="24"/>
          </w:rPr>
          <w:t>https://cases.justia.com/federal/district-courts/texas/txsdce/6:2022cv00002/1858056/21/0.pdf?ts=1664555743</w:t>
        </w:r>
      </w:hyperlink>
      <w:r w:rsidR="004C28EA" w:rsidRPr="004C28EA">
        <w:rPr>
          <w:rFonts w:ascii="Times New Roman" w:hAnsi="Times New Roman"/>
          <w:bCs/>
          <w:sz w:val="24"/>
          <w:szCs w:val="24"/>
        </w:rPr>
        <w:t xml:space="preserve"> </w:t>
      </w:r>
    </w:p>
    <w:p w14:paraId="38A41D60" w14:textId="77777777" w:rsidR="007C5936" w:rsidRPr="007C5936" w:rsidRDefault="007C5936" w:rsidP="007C5936">
      <w:pPr>
        <w:pStyle w:val="NoSpacing"/>
        <w:rPr>
          <w:rFonts w:ascii="Times New Roman" w:hAnsi="Times New Roman"/>
          <w:sz w:val="24"/>
          <w:szCs w:val="24"/>
        </w:rPr>
      </w:pPr>
      <w:r w:rsidRPr="007C5936">
        <w:rPr>
          <w:rFonts w:ascii="Times New Roman" w:hAnsi="Times New Roman"/>
          <w:sz w:val="24"/>
          <w:szCs w:val="24"/>
        </w:rPr>
        <w:t xml:space="preserve">The Court wrote: </w:t>
      </w:r>
    </w:p>
    <w:p w14:paraId="0B07BBFA" w14:textId="77777777" w:rsidR="007C5936" w:rsidRPr="007C5936" w:rsidRDefault="007C5936" w:rsidP="007C5936">
      <w:pPr>
        <w:pStyle w:val="NoSpacing"/>
        <w:rPr>
          <w:rFonts w:ascii="Times New Roman" w:hAnsi="Times New Roman"/>
          <w:sz w:val="24"/>
          <w:szCs w:val="24"/>
        </w:rPr>
      </w:pPr>
    </w:p>
    <w:p w14:paraId="42C31FF7"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 xml:space="preserve">“Defendants offer the following reasons for Fishbeck's termination, which they allege are legitimate and nondiscriminatory: (1) LCRS's operational revenue declined significantly for three years in a row; (2) LCRS received an unsatisfactory third-party audit of its bookkeeping; (3) an EMT resigned shortly after accepting a job with LCRS because of concerns with the department; (4) Fishbeck did not attend Lavaca County Medical Center meetings for several years; and (5) a lack of cleanliness at LCRS facilities. </w:t>
      </w:r>
    </w:p>
    <w:p w14:paraId="52AE1EC5" w14:textId="77777777" w:rsidR="007C5936" w:rsidRPr="007C5936" w:rsidRDefault="007C5936" w:rsidP="007C5936">
      <w:pPr>
        <w:pStyle w:val="NoSpacing"/>
        <w:rPr>
          <w:rFonts w:ascii="Times New Roman" w:hAnsi="Times New Roman"/>
          <w:sz w:val="24"/>
          <w:szCs w:val="24"/>
        </w:rPr>
      </w:pPr>
    </w:p>
    <w:p w14:paraId="7CDF55D0" w14:textId="77777777" w:rsidR="007C5936" w:rsidRPr="007C5936" w:rsidRDefault="007C5936" w:rsidP="007C5936">
      <w:pPr>
        <w:pStyle w:val="NoSpacing"/>
        <w:ind w:firstLine="720"/>
        <w:rPr>
          <w:rFonts w:ascii="Times New Roman" w:hAnsi="Times New Roman"/>
          <w:sz w:val="24"/>
          <w:szCs w:val="24"/>
        </w:rPr>
      </w:pPr>
      <w:r w:rsidRPr="007C5936">
        <w:rPr>
          <w:rFonts w:ascii="Times New Roman" w:hAnsi="Times New Roman"/>
          <w:sz w:val="24"/>
          <w:szCs w:val="24"/>
        </w:rPr>
        <w:t>***</w:t>
      </w:r>
    </w:p>
    <w:p w14:paraId="1EEBFC22" w14:textId="77777777" w:rsidR="007C5936" w:rsidRPr="007C5936" w:rsidRDefault="007C5936" w:rsidP="007C5936">
      <w:pPr>
        <w:pStyle w:val="NoSpacing"/>
        <w:rPr>
          <w:rFonts w:ascii="Times New Roman" w:hAnsi="Times New Roman"/>
          <w:sz w:val="24"/>
          <w:szCs w:val="24"/>
        </w:rPr>
      </w:pPr>
    </w:p>
    <w:p w14:paraId="5E3469A9"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Yet after they hired Furrh, he was given every resource (and more) that Fishbeck requested to fix those very deficiencies in the department. (</w:t>
      </w:r>
      <w:r w:rsidRPr="007C5936">
        <w:rPr>
          <w:rFonts w:ascii="Times New Roman" w:hAnsi="Times New Roman"/>
          <w:i/>
          <w:iCs/>
          <w:sz w:val="24"/>
          <w:szCs w:val="24"/>
        </w:rPr>
        <w:t>Id.</w:t>
      </w:r>
      <w:r w:rsidRPr="007C5936">
        <w:rPr>
          <w:rFonts w:ascii="Times New Roman" w:hAnsi="Times New Roman"/>
          <w:sz w:val="24"/>
          <w:szCs w:val="24"/>
        </w:rPr>
        <w:t xml:space="preserve"> at 4-5). In other words, Defendants knew about LCRS's problems, did not give Fishbeck the tools to succeed, and only considered the problems a terminable offense because they wanted to replace her with a man-one whom they equipped with the same resources they withheld from her…. Fishbeck's evidence, when viewed in the light most favorable to her, shows a genuine dispute about whether Defendants' proffered reasons are a pretext.</w:t>
      </w:r>
    </w:p>
    <w:p w14:paraId="1BC652E9" w14:textId="77777777" w:rsidR="007C5936" w:rsidRPr="007C5936" w:rsidRDefault="007C5936" w:rsidP="007C5936">
      <w:pPr>
        <w:pStyle w:val="NoSpacing"/>
        <w:rPr>
          <w:rFonts w:ascii="Times New Roman" w:hAnsi="Times New Roman"/>
          <w:sz w:val="24"/>
          <w:szCs w:val="24"/>
        </w:rPr>
      </w:pPr>
    </w:p>
    <w:p w14:paraId="2267784F" w14:textId="77777777" w:rsidR="007C5936" w:rsidRPr="007C5936" w:rsidRDefault="007C5936" w:rsidP="007C5936">
      <w:pPr>
        <w:pStyle w:val="NoSpacing"/>
        <w:ind w:firstLine="720"/>
        <w:rPr>
          <w:rFonts w:ascii="Times New Roman" w:hAnsi="Times New Roman"/>
          <w:sz w:val="24"/>
          <w:szCs w:val="24"/>
        </w:rPr>
      </w:pPr>
      <w:r w:rsidRPr="007C5936">
        <w:rPr>
          <w:rFonts w:ascii="Times New Roman" w:hAnsi="Times New Roman"/>
          <w:sz w:val="24"/>
          <w:szCs w:val="24"/>
        </w:rPr>
        <w:t>***</w:t>
      </w:r>
    </w:p>
    <w:p w14:paraId="767F22FF" w14:textId="77777777" w:rsidR="007C5936" w:rsidRPr="007C5936" w:rsidRDefault="007C5936" w:rsidP="007C5936">
      <w:pPr>
        <w:pStyle w:val="NoSpacing"/>
        <w:rPr>
          <w:rFonts w:ascii="Times New Roman" w:hAnsi="Times New Roman"/>
          <w:sz w:val="24"/>
          <w:szCs w:val="24"/>
        </w:rPr>
      </w:pPr>
    </w:p>
    <w:p w14:paraId="066E889A"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Fishbeck also offers the Lavaca County 2021 Fiscal Year Budget as evidence of disparate treatment between her and Furrh…. Among other things, the budget shows that the salary for the LCRS Director increased 27.73% after Fishbeck was fired. (</w:t>
      </w:r>
      <w:r w:rsidRPr="007C5936">
        <w:rPr>
          <w:rFonts w:ascii="Times New Roman" w:hAnsi="Times New Roman"/>
          <w:i/>
          <w:iCs/>
          <w:sz w:val="24"/>
          <w:szCs w:val="24"/>
        </w:rPr>
        <w:t>Id.</w:t>
      </w:r>
      <w:r w:rsidRPr="007C5936">
        <w:rPr>
          <w:rFonts w:ascii="Times New Roman" w:hAnsi="Times New Roman"/>
          <w:sz w:val="24"/>
          <w:szCs w:val="24"/>
        </w:rPr>
        <w:t xml:space="preserve"> at 3</w:t>
      </w:r>
      <w:proofErr w:type="gramStart"/>
      <w:r w:rsidRPr="007C5936">
        <w:rPr>
          <w:rFonts w:ascii="Times New Roman" w:hAnsi="Times New Roman"/>
          <w:sz w:val="24"/>
          <w:szCs w:val="24"/>
        </w:rPr>
        <w:t>);…</w:t>
      </w:r>
      <w:proofErr w:type="gramEnd"/>
      <w:r w:rsidRPr="007C5936">
        <w:rPr>
          <w:rFonts w:ascii="Times New Roman" w:hAnsi="Times New Roman"/>
          <w:sz w:val="24"/>
          <w:szCs w:val="24"/>
        </w:rPr>
        <w:t xml:space="preserve"> Fishbeck was paid $58,718 annually, while Furrh was paid $75,000….Fishbeck was not allotted a budget for an assistant; but in FY 2021, the Commissioners Court approved an allocation of $64,500 to hire an LCRS Assistant Director</w:t>
      </w:r>
      <w:proofErr w:type="gramStart"/>
      <w:r w:rsidRPr="007C5936">
        <w:rPr>
          <w:rFonts w:ascii="Times New Roman" w:hAnsi="Times New Roman"/>
          <w:sz w:val="24"/>
          <w:szCs w:val="24"/>
        </w:rPr>
        <w:t>…..</w:t>
      </w:r>
      <w:proofErr w:type="gramEnd"/>
      <w:r w:rsidRPr="007C5936">
        <w:rPr>
          <w:rFonts w:ascii="Times New Roman" w:hAnsi="Times New Roman"/>
          <w:sz w:val="24"/>
          <w:szCs w:val="24"/>
        </w:rPr>
        <w:t xml:space="preserve"> Fishbeck received no financial support from the County's General Fund to supplement LCRS's operations; but in 2021, the Commissioners Court approved a $1,000,000 transfer to supplement LCRS's revenue for Furrh.</w:t>
      </w:r>
    </w:p>
    <w:p w14:paraId="597B2814" w14:textId="77777777" w:rsidR="007C5936" w:rsidRPr="007C5936" w:rsidRDefault="007C5936" w:rsidP="007C5936">
      <w:pPr>
        <w:pStyle w:val="NoSpacing"/>
        <w:rPr>
          <w:rFonts w:ascii="Times New Roman" w:hAnsi="Times New Roman"/>
          <w:sz w:val="24"/>
          <w:szCs w:val="24"/>
        </w:rPr>
      </w:pPr>
    </w:p>
    <w:p w14:paraId="64BD6094" w14:textId="77777777" w:rsidR="007C5936" w:rsidRPr="007C5936" w:rsidRDefault="007C5936" w:rsidP="007C5936">
      <w:pPr>
        <w:pStyle w:val="NoSpacing"/>
        <w:ind w:firstLine="720"/>
        <w:rPr>
          <w:rFonts w:ascii="Times New Roman" w:hAnsi="Times New Roman"/>
          <w:sz w:val="24"/>
          <w:szCs w:val="24"/>
        </w:rPr>
      </w:pPr>
      <w:r w:rsidRPr="007C5936">
        <w:rPr>
          <w:rFonts w:ascii="Times New Roman" w:hAnsi="Times New Roman"/>
          <w:sz w:val="24"/>
          <w:szCs w:val="24"/>
        </w:rPr>
        <w:t>***</w:t>
      </w:r>
    </w:p>
    <w:p w14:paraId="502EFB63" w14:textId="77777777" w:rsidR="007C5936" w:rsidRPr="007C5936" w:rsidRDefault="007C5936" w:rsidP="007C5936">
      <w:pPr>
        <w:pStyle w:val="NoSpacing"/>
        <w:rPr>
          <w:rFonts w:ascii="Times New Roman" w:hAnsi="Times New Roman"/>
          <w:sz w:val="24"/>
          <w:szCs w:val="24"/>
        </w:rPr>
      </w:pPr>
    </w:p>
    <w:p w14:paraId="356ED4D7"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As discussed above, Fishbeck has made out her prima facie case of intentional sex discrimination under Title VII and satisfied her burden of disputing Defendants' reasons for firing her.”</w:t>
      </w:r>
    </w:p>
    <w:p w14:paraId="77E807B4" w14:textId="77777777" w:rsidR="007C5936" w:rsidRPr="007C5936" w:rsidRDefault="007C5936" w:rsidP="007C5936">
      <w:pPr>
        <w:pStyle w:val="NoSpacing"/>
        <w:rPr>
          <w:rFonts w:ascii="Times New Roman" w:hAnsi="Times New Roman"/>
          <w:sz w:val="24"/>
          <w:szCs w:val="24"/>
        </w:rPr>
      </w:pPr>
    </w:p>
    <w:p w14:paraId="1B7C8F29" w14:textId="77777777" w:rsidR="007C5936" w:rsidRPr="007C5936" w:rsidRDefault="007C5936" w:rsidP="007C5936">
      <w:pPr>
        <w:pStyle w:val="NoSpacing"/>
        <w:rPr>
          <w:rFonts w:ascii="Times New Roman" w:hAnsi="Times New Roman"/>
          <w:b/>
          <w:bCs/>
          <w:sz w:val="24"/>
          <w:szCs w:val="24"/>
        </w:rPr>
      </w:pPr>
      <w:r w:rsidRPr="007C5936">
        <w:rPr>
          <w:rFonts w:ascii="Times New Roman" w:hAnsi="Times New Roman"/>
          <w:b/>
          <w:sz w:val="24"/>
          <w:szCs w:val="24"/>
        </w:rPr>
        <w:t>Legal Lesson Learned:  Giving 27% increase in salary to younger new hire ($75,000 v. $58,718) is certainly a “red flag” for a jury.  The case will now proceed to trial</w:t>
      </w:r>
      <w:r w:rsidRPr="007C5936">
        <w:rPr>
          <w:rFonts w:ascii="Times New Roman" w:hAnsi="Times New Roman"/>
          <w:b/>
          <w:bCs/>
          <w:sz w:val="24"/>
          <w:szCs w:val="24"/>
        </w:rPr>
        <w:t>.</w:t>
      </w:r>
    </w:p>
    <w:p w14:paraId="1D3208D4" w14:textId="77777777" w:rsidR="0086464C" w:rsidRPr="007C5936" w:rsidRDefault="0086464C" w:rsidP="00F326E5">
      <w:pPr>
        <w:pStyle w:val="NoSpacing"/>
        <w:rPr>
          <w:rFonts w:ascii="Times New Roman" w:hAnsi="Times New Roman"/>
          <w:b/>
          <w:bCs/>
          <w:sz w:val="24"/>
          <w:szCs w:val="24"/>
        </w:rPr>
      </w:pPr>
    </w:p>
    <w:p w14:paraId="6533EEB9" w14:textId="77777777" w:rsidR="0089221B" w:rsidRPr="007C5936" w:rsidRDefault="0089221B" w:rsidP="00F326E5">
      <w:pPr>
        <w:pStyle w:val="NoSpacing"/>
        <w:rPr>
          <w:rFonts w:ascii="Times New Roman" w:hAnsi="Times New Roman"/>
          <w:b/>
          <w:bCs/>
          <w:sz w:val="24"/>
          <w:szCs w:val="24"/>
        </w:rPr>
      </w:pPr>
    </w:p>
    <w:p w14:paraId="618C2FD1" w14:textId="77777777" w:rsidR="0089221B" w:rsidRDefault="0089221B" w:rsidP="00F326E5">
      <w:pPr>
        <w:pStyle w:val="NoSpacing"/>
        <w:rPr>
          <w:rFonts w:ascii="Arial Black" w:hAnsi="Arial Black"/>
          <w:b/>
          <w:bCs/>
          <w:sz w:val="24"/>
          <w:szCs w:val="24"/>
        </w:rPr>
      </w:pPr>
    </w:p>
    <w:p w14:paraId="68FB15DE" w14:textId="145A26B8" w:rsidR="00A84216" w:rsidRDefault="00A84216" w:rsidP="00F326E5">
      <w:pPr>
        <w:pStyle w:val="NoSpacing"/>
        <w:rPr>
          <w:rFonts w:ascii="Arial Black" w:hAnsi="Arial Black"/>
          <w:b/>
          <w:bCs/>
          <w:sz w:val="24"/>
          <w:szCs w:val="24"/>
        </w:rPr>
      </w:pPr>
      <w:r>
        <w:rPr>
          <w:rFonts w:ascii="Arial Black" w:hAnsi="Arial Black"/>
          <w:b/>
          <w:bCs/>
          <w:sz w:val="24"/>
          <w:szCs w:val="24"/>
        </w:rPr>
        <w:t>7-72</w:t>
      </w:r>
    </w:p>
    <w:p w14:paraId="51D6BECF" w14:textId="77777777" w:rsidR="00A84216" w:rsidRDefault="00A84216" w:rsidP="00F326E5">
      <w:pPr>
        <w:pStyle w:val="NoSpacing"/>
        <w:rPr>
          <w:rFonts w:ascii="Arial Black" w:hAnsi="Arial Black"/>
          <w:b/>
          <w:bCs/>
          <w:sz w:val="24"/>
          <w:szCs w:val="24"/>
        </w:rPr>
      </w:pPr>
    </w:p>
    <w:p w14:paraId="522704EB" w14:textId="77777777" w:rsidR="0089221B" w:rsidRPr="000B7F2C" w:rsidRDefault="0089221B" w:rsidP="0089221B">
      <w:pPr>
        <w:rPr>
          <w:rFonts w:ascii="Arial Black" w:hAnsi="Arial Black"/>
          <w:sz w:val="28"/>
          <w:szCs w:val="28"/>
        </w:rPr>
      </w:pPr>
      <w:r w:rsidRPr="000B7F2C">
        <w:rPr>
          <w:rFonts w:ascii="Arial Black" w:hAnsi="Arial Black"/>
          <w:sz w:val="28"/>
          <w:szCs w:val="28"/>
        </w:rPr>
        <w:t>NY: FIRED</w:t>
      </w:r>
      <w:r>
        <w:rPr>
          <w:rFonts w:ascii="Arial Black" w:hAnsi="Arial Black"/>
          <w:sz w:val="28"/>
          <w:szCs w:val="28"/>
        </w:rPr>
        <w:t xml:space="preserve"> - </w:t>
      </w:r>
      <w:r w:rsidRPr="000B7F2C">
        <w:rPr>
          <w:rFonts w:ascii="Arial Black" w:hAnsi="Arial Black"/>
          <w:sz w:val="28"/>
          <w:szCs w:val="28"/>
        </w:rPr>
        <w:t>PROTOCOL C</w:t>
      </w:r>
      <w:r>
        <w:rPr>
          <w:rFonts w:ascii="Arial Black" w:hAnsi="Arial Black"/>
          <w:sz w:val="28"/>
          <w:szCs w:val="28"/>
        </w:rPr>
        <w:t xml:space="preserve">OURSE </w:t>
      </w:r>
      <w:r w:rsidRPr="000B7F2C">
        <w:rPr>
          <w:rFonts w:ascii="Arial Black" w:hAnsi="Arial Black"/>
          <w:sz w:val="28"/>
          <w:szCs w:val="28"/>
        </w:rPr>
        <w:t xml:space="preserve"> - </w:t>
      </w:r>
      <w:r>
        <w:rPr>
          <w:rFonts w:ascii="Arial Black" w:hAnsi="Arial Black"/>
          <w:sz w:val="28"/>
          <w:szCs w:val="28"/>
        </w:rPr>
        <w:t>NOT HOSTILE WORK</w:t>
      </w:r>
    </w:p>
    <w:p w14:paraId="3DF47C12" w14:textId="77777777" w:rsidR="0089221B" w:rsidRPr="0089221B" w:rsidRDefault="0089221B" w:rsidP="0089221B">
      <w:pPr>
        <w:rPr>
          <w:rFonts w:ascii="Times New Roman" w:hAnsi="Times New Roman"/>
          <w:sz w:val="24"/>
          <w:szCs w:val="24"/>
        </w:rPr>
      </w:pPr>
      <w:r w:rsidRPr="0089221B">
        <w:rPr>
          <w:rFonts w:ascii="Times New Roman" w:hAnsi="Times New Roman"/>
          <w:sz w:val="24"/>
          <w:szCs w:val="24"/>
        </w:rPr>
        <w:t xml:space="preserve">On Feb. 17, 2025, in </w:t>
      </w:r>
      <w:r w:rsidRPr="0089221B">
        <w:rPr>
          <w:rFonts w:ascii="Times New Roman" w:hAnsi="Times New Roman"/>
          <w:sz w:val="24"/>
          <w:szCs w:val="24"/>
          <w:u w:val="single"/>
        </w:rPr>
        <w:t>Marcia Parke v. Assist Ambulance</w:t>
      </w:r>
      <w:r w:rsidRPr="0089221B">
        <w:rPr>
          <w:rFonts w:ascii="Times New Roman" w:hAnsi="Times New Roman"/>
          <w:sz w:val="24"/>
          <w:szCs w:val="24"/>
        </w:rPr>
        <w:t xml:space="preserve">, United States District Court Judge Orelia E. Merchant, U.S. District Court for Eastern District of New York, granted the defense motion to dismiss; she was fired for not completing protocol updated course by Dec. 29, 2020.  Her claims of gender and racial discrimination, retaliation, and hostile work environment dismissed – including  claim that there was a hostile workplace when her Supervisor on December 23, </w:t>
      </w:r>
      <w:proofErr w:type="gramStart"/>
      <w:r w:rsidRPr="0089221B">
        <w:rPr>
          <w:rFonts w:ascii="Times New Roman" w:hAnsi="Times New Roman"/>
          <w:sz w:val="24"/>
          <w:szCs w:val="24"/>
        </w:rPr>
        <w:t>2020</w:t>
      </w:r>
      <w:proofErr w:type="gramEnd"/>
      <w:r w:rsidRPr="0089221B">
        <w:rPr>
          <w:rFonts w:ascii="Times New Roman" w:hAnsi="Times New Roman"/>
          <w:sz w:val="24"/>
          <w:szCs w:val="24"/>
        </w:rPr>
        <w:t xml:space="preserve"> ordered to take off her work jacket to confirm she was not wearing uniform shirt.  She had on “low cut” tee shirt.  </w:t>
      </w:r>
      <w:hyperlink r:id="rId1304" w:history="1">
        <w:r w:rsidRPr="0089221B">
          <w:rPr>
            <w:rStyle w:val="Hyperlink"/>
            <w:rFonts w:ascii="Times New Roman" w:hAnsi="Times New Roman"/>
            <w:sz w:val="24"/>
            <w:szCs w:val="24"/>
          </w:rPr>
          <w:t>https://cases.justia.com/federal/district-courts/new-york/nyedce/1:2023cv09066/507538/25/0.pdf?ts=1739862975%20https://media.cadc.uscourts.gov/orders/docs/2025/02/25-5028LDSD.pdf</w:t>
        </w:r>
      </w:hyperlink>
      <w:r w:rsidRPr="0089221B">
        <w:rPr>
          <w:rFonts w:ascii="Times New Roman" w:hAnsi="Times New Roman"/>
          <w:sz w:val="24"/>
          <w:szCs w:val="24"/>
        </w:rPr>
        <w:t xml:space="preserve"> </w:t>
      </w:r>
    </w:p>
    <w:p w14:paraId="67488A11" w14:textId="77777777" w:rsidR="0089221B" w:rsidRPr="0089221B" w:rsidRDefault="0089221B" w:rsidP="0089221B">
      <w:pPr>
        <w:rPr>
          <w:rFonts w:ascii="Times New Roman" w:hAnsi="Times New Roman"/>
          <w:sz w:val="24"/>
          <w:szCs w:val="24"/>
        </w:rPr>
      </w:pPr>
      <w:r w:rsidRPr="0089221B">
        <w:rPr>
          <w:rFonts w:ascii="Times New Roman" w:hAnsi="Times New Roman"/>
          <w:sz w:val="24"/>
          <w:szCs w:val="24"/>
        </w:rPr>
        <w:t>The Court wrote:</w:t>
      </w:r>
    </w:p>
    <w:p w14:paraId="64E58B9C" w14:textId="77777777" w:rsidR="0089221B" w:rsidRPr="0089221B" w:rsidRDefault="0089221B" w:rsidP="0089221B">
      <w:pPr>
        <w:pStyle w:val="NoSpacing"/>
        <w:ind w:firstLine="720"/>
        <w:rPr>
          <w:rFonts w:ascii="Times New Roman" w:hAnsi="Times New Roman"/>
          <w:sz w:val="24"/>
          <w:szCs w:val="24"/>
        </w:rPr>
      </w:pPr>
      <w:r w:rsidRPr="0089221B">
        <w:rPr>
          <w:rFonts w:ascii="Times New Roman" w:hAnsi="Times New Roman"/>
          <w:sz w:val="24"/>
          <w:szCs w:val="24"/>
        </w:rPr>
        <w:t>“Plaintiff alleges that, on or about December 23, 2020, she had spilled coffee on her shirt</w:t>
      </w:r>
    </w:p>
    <w:p w14:paraId="5529CCEB" w14:textId="77777777" w:rsidR="0089221B" w:rsidRPr="0089221B" w:rsidRDefault="0089221B" w:rsidP="0089221B">
      <w:pPr>
        <w:pStyle w:val="NoSpacing"/>
        <w:ind w:left="720"/>
        <w:rPr>
          <w:rFonts w:ascii="Times New Roman" w:hAnsi="Times New Roman"/>
          <w:sz w:val="24"/>
          <w:szCs w:val="24"/>
        </w:rPr>
      </w:pPr>
      <w:r w:rsidRPr="0089221B">
        <w:rPr>
          <w:rFonts w:ascii="Times New Roman" w:hAnsi="Times New Roman"/>
          <w:sz w:val="24"/>
          <w:szCs w:val="24"/>
        </w:rPr>
        <w:t>on her way to work and that because the shirt was soaked, she removed it…. While Plaintiff was at work, her supervisor Jason Cohen (“Cohen”) asked her whether she was wearing a work uniform shirt under her jacket….Plaintiff was wearing a ‘low-cut’ t-shirt under her jacket, and she responded that she was not wearing a uniform shirt…. She states that Cohen could have seen that she was not wearing her work uniform, but Cohen nonetheless asked that she unzip her jacket so that he could confirm Plaintiff was not wearing a work uniform shirt and ‘insisted [that] she unzip her jacket more so he could see more.… Plaintiff alleges that Cohen asked her to unzip her jacket a ‘third time’ thereby ‘exposing part of her [upper] breast.’ … Later that day, Plaintiff met with Cohen, Assistant Ambulance employees Carey Peguese [and another]…where she was informed that she would be suspended.</w:t>
      </w:r>
    </w:p>
    <w:p w14:paraId="3FA726C4" w14:textId="77777777" w:rsidR="0089221B" w:rsidRPr="0089221B" w:rsidRDefault="0089221B" w:rsidP="0089221B">
      <w:pPr>
        <w:pStyle w:val="NoSpacing"/>
        <w:rPr>
          <w:rFonts w:ascii="Times New Roman" w:hAnsi="Times New Roman"/>
          <w:sz w:val="24"/>
          <w:szCs w:val="24"/>
        </w:rPr>
      </w:pPr>
    </w:p>
    <w:p w14:paraId="0A870D6A" w14:textId="77777777" w:rsidR="0089221B" w:rsidRPr="0089221B" w:rsidRDefault="0089221B" w:rsidP="0089221B">
      <w:pPr>
        <w:pStyle w:val="NoSpacing"/>
        <w:ind w:firstLine="720"/>
        <w:rPr>
          <w:rFonts w:ascii="Times New Roman" w:hAnsi="Times New Roman"/>
          <w:sz w:val="24"/>
          <w:szCs w:val="24"/>
        </w:rPr>
      </w:pPr>
      <w:r w:rsidRPr="0089221B">
        <w:rPr>
          <w:rFonts w:ascii="Times New Roman" w:hAnsi="Times New Roman"/>
          <w:sz w:val="24"/>
          <w:szCs w:val="24"/>
        </w:rPr>
        <w:t>***</w:t>
      </w:r>
    </w:p>
    <w:p w14:paraId="7A1A57AC" w14:textId="77777777" w:rsidR="0089221B" w:rsidRPr="0089221B" w:rsidRDefault="0089221B" w:rsidP="0089221B">
      <w:pPr>
        <w:pStyle w:val="NoSpacing"/>
        <w:rPr>
          <w:rFonts w:ascii="Times New Roman" w:hAnsi="Times New Roman"/>
          <w:sz w:val="24"/>
          <w:szCs w:val="24"/>
        </w:rPr>
      </w:pPr>
    </w:p>
    <w:p w14:paraId="5FA25C37" w14:textId="77777777" w:rsidR="0089221B" w:rsidRPr="0089221B" w:rsidRDefault="0089221B" w:rsidP="0089221B">
      <w:pPr>
        <w:pStyle w:val="NoSpacing"/>
        <w:ind w:left="720"/>
        <w:rPr>
          <w:rFonts w:ascii="Times New Roman" w:hAnsi="Times New Roman"/>
          <w:sz w:val="24"/>
          <w:szCs w:val="24"/>
        </w:rPr>
      </w:pPr>
      <w:r w:rsidRPr="0089221B">
        <w:rPr>
          <w:rFonts w:ascii="Times New Roman" w:hAnsi="Times New Roman"/>
          <w:sz w:val="24"/>
          <w:szCs w:val="24"/>
        </w:rPr>
        <w:t>Plaintiff asserts a Title VII sex discrimination claim for harassment on numerous occasions, including the December 23, 2020 incident involving Cohen….to state a claim for hostile work environment, a plaintiff must plead facts that would tend to show the complained of conduct: (1) “is objectively severe or pervasive—that it creates an environment that a reasonable person would find hostile or abusive”; (2) creates an</w:t>
      </w:r>
    </w:p>
    <w:p w14:paraId="72B89832" w14:textId="77777777" w:rsidR="0089221B" w:rsidRPr="0089221B" w:rsidRDefault="0089221B" w:rsidP="0089221B">
      <w:pPr>
        <w:pStyle w:val="NoSpacing"/>
        <w:ind w:left="720"/>
        <w:rPr>
          <w:rFonts w:ascii="Times New Roman" w:hAnsi="Times New Roman"/>
          <w:sz w:val="24"/>
          <w:szCs w:val="24"/>
        </w:rPr>
      </w:pPr>
      <w:r w:rsidRPr="0089221B">
        <w:rPr>
          <w:rFonts w:ascii="Times New Roman" w:hAnsi="Times New Roman"/>
          <w:sz w:val="24"/>
          <w:szCs w:val="24"/>
        </w:rPr>
        <w:t>environment “that the plaintiff subjectively perceives as hostile or abusive”; and (3) ‘creates such an environment because of the plaintiff’s sex.’ Patane v. Clark, 508 F.3d 106, 113 (2d Cir. 2007) (citing Gregory v. Daly, 243 F.3d 687, 691–92 (2d Cir. 2001)) (cleaned up).”</w:t>
      </w:r>
    </w:p>
    <w:p w14:paraId="2EB3BDC9" w14:textId="77777777" w:rsidR="0089221B" w:rsidRPr="0089221B" w:rsidRDefault="0089221B" w:rsidP="0089221B">
      <w:pPr>
        <w:pStyle w:val="NoSpacing"/>
        <w:rPr>
          <w:rFonts w:ascii="Times New Roman" w:hAnsi="Times New Roman"/>
          <w:sz w:val="24"/>
          <w:szCs w:val="24"/>
        </w:rPr>
      </w:pPr>
    </w:p>
    <w:p w14:paraId="4084992B" w14:textId="77777777" w:rsidR="0089221B" w:rsidRPr="0089221B" w:rsidRDefault="0089221B" w:rsidP="0089221B">
      <w:pPr>
        <w:pStyle w:val="NoSpacing"/>
        <w:rPr>
          <w:rFonts w:ascii="Times New Roman" w:hAnsi="Times New Roman"/>
          <w:b/>
          <w:bCs/>
          <w:sz w:val="24"/>
          <w:szCs w:val="24"/>
        </w:rPr>
      </w:pPr>
      <w:r w:rsidRPr="0089221B">
        <w:rPr>
          <w:rFonts w:ascii="Times New Roman" w:hAnsi="Times New Roman"/>
          <w:b/>
          <w:sz w:val="24"/>
          <w:szCs w:val="24"/>
        </w:rPr>
        <w:t xml:space="preserve">Legal Lesson Learned: Hostile work environment claim based on her wearing tee shirt in place of her work shirt properly dismissed. </w:t>
      </w:r>
    </w:p>
    <w:p w14:paraId="39F4D599" w14:textId="77777777" w:rsidR="0089221B" w:rsidRPr="0089221B" w:rsidRDefault="0089221B" w:rsidP="0089221B">
      <w:pPr>
        <w:pStyle w:val="NoSpacing"/>
        <w:rPr>
          <w:rFonts w:ascii="Times New Roman" w:hAnsi="Times New Roman"/>
          <w:sz w:val="24"/>
          <w:szCs w:val="24"/>
        </w:rPr>
      </w:pPr>
    </w:p>
    <w:p w14:paraId="0C413F07" w14:textId="77777777" w:rsidR="00A84216" w:rsidRPr="0089221B" w:rsidRDefault="00A84216" w:rsidP="00F326E5">
      <w:pPr>
        <w:pStyle w:val="NoSpacing"/>
        <w:rPr>
          <w:rFonts w:ascii="Times New Roman" w:hAnsi="Times New Roman"/>
          <w:b/>
          <w:bCs/>
          <w:sz w:val="24"/>
          <w:szCs w:val="24"/>
        </w:rPr>
      </w:pPr>
    </w:p>
    <w:p w14:paraId="4CAAD10B" w14:textId="77777777" w:rsidR="00A84216" w:rsidRPr="0089221B" w:rsidRDefault="00A84216" w:rsidP="00F326E5">
      <w:pPr>
        <w:pStyle w:val="NoSpacing"/>
        <w:rPr>
          <w:rFonts w:ascii="Times New Roman" w:hAnsi="Times New Roman"/>
          <w:b/>
          <w:bCs/>
          <w:sz w:val="24"/>
          <w:szCs w:val="24"/>
        </w:rPr>
      </w:pPr>
    </w:p>
    <w:p w14:paraId="54E6D1B4" w14:textId="77777777" w:rsidR="00A84216" w:rsidRDefault="00A84216" w:rsidP="00F326E5">
      <w:pPr>
        <w:pStyle w:val="NoSpacing"/>
        <w:rPr>
          <w:rFonts w:ascii="Arial Black" w:hAnsi="Arial Black"/>
          <w:b/>
          <w:bCs/>
          <w:sz w:val="24"/>
          <w:szCs w:val="24"/>
        </w:rPr>
      </w:pPr>
    </w:p>
    <w:p w14:paraId="6455727A" w14:textId="502274C7" w:rsidR="000A5F54" w:rsidRDefault="000A5F54" w:rsidP="00F326E5">
      <w:pPr>
        <w:pStyle w:val="NoSpacing"/>
        <w:rPr>
          <w:rFonts w:ascii="Arial Black" w:hAnsi="Arial Black"/>
          <w:b/>
          <w:bCs/>
          <w:sz w:val="24"/>
          <w:szCs w:val="24"/>
        </w:rPr>
      </w:pPr>
      <w:r>
        <w:rPr>
          <w:rFonts w:ascii="Arial Black" w:hAnsi="Arial Black"/>
          <w:b/>
          <w:bCs/>
          <w:sz w:val="24"/>
          <w:szCs w:val="24"/>
        </w:rPr>
        <w:t>7-71</w:t>
      </w:r>
    </w:p>
    <w:p w14:paraId="697340CA" w14:textId="77777777" w:rsidR="00A84216" w:rsidRDefault="00A84216" w:rsidP="00F326E5">
      <w:pPr>
        <w:pStyle w:val="NoSpacing"/>
        <w:rPr>
          <w:rFonts w:ascii="Arial Black" w:hAnsi="Arial Black"/>
          <w:b/>
          <w:bCs/>
          <w:sz w:val="24"/>
          <w:szCs w:val="24"/>
        </w:rPr>
      </w:pPr>
    </w:p>
    <w:p w14:paraId="0B51A222" w14:textId="77777777" w:rsidR="00A84216" w:rsidRPr="000B7F2C" w:rsidRDefault="00A84216" w:rsidP="00A84216">
      <w:pPr>
        <w:rPr>
          <w:rFonts w:ascii="Arial Black" w:hAnsi="Arial Black"/>
          <w:b/>
          <w:sz w:val="28"/>
          <w:szCs w:val="28"/>
        </w:rPr>
      </w:pPr>
      <w:r w:rsidRPr="000B7F2C">
        <w:rPr>
          <w:rFonts w:ascii="Arial Black" w:hAnsi="Arial Black"/>
          <w:b/>
          <w:sz w:val="28"/>
          <w:szCs w:val="28"/>
        </w:rPr>
        <w:t>VA: NEG JOB REFERENCES – SHE “SWINGER” - NO CASE</w:t>
      </w:r>
    </w:p>
    <w:p w14:paraId="55C5A634" w14:textId="77777777" w:rsidR="00A84216" w:rsidRPr="00A84216" w:rsidRDefault="00A84216" w:rsidP="00A84216">
      <w:pPr>
        <w:rPr>
          <w:rFonts w:ascii="Times New Roman" w:hAnsi="Times New Roman"/>
          <w:sz w:val="24"/>
          <w:szCs w:val="24"/>
        </w:rPr>
      </w:pPr>
      <w:r w:rsidRPr="00A84216">
        <w:rPr>
          <w:rFonts w:ascii="Times New Roman" w:hAnsi="Times New Roman"/>
          <w:sz w:val="24"/>
          <w:szCs w:val="24"/>
        </w:rPr>
        <w:lastRenderedPageBreak/>
        <w:t xml:space="preserve">On Jan. 31, 2025, in </w:t>
      </w:r>
      <w:r w:rsidRPr="00A84216">
        <w:rPr>
          <w:rFonts w:ascii="Times New Roman" w:hAnsi="Times New Roman"/>
          <w:sz w:val="24"/>
          <w:szCs w:val="24"/>
          <w:u w:val="single"/>
        </w:rPr>
        <w:t>Natalie Lundberg v. Delta Response Team, LLC and Thomas Walton</w:t>
      </w:r>
      <w:r w:rsidRPr="00A84216">
        <w:rPr>
          <w:rFonts w:ascii="Times New Roman" w:hAnsi="Times New Roman"/>
          <w:sz w:val="24"/>
          <w:szCs w:val="24"/>
        </w:rPr>
        <w:t xml:space="preserve">, United States District Court Judge Jasmine H. Yoon, U.S. District Court for Western District of Virginia, Charlottesville Division, granted defense motion for summary judgment.  The plaintiff applied to two different municipal fire departments; DRT Vice President Tom Walton told the prospective employers she was a “swinger.” He claimed Lundberg had “a very different view on her private life” and that “her and her fiancé are open swingers and partiers and so forth.” </w:t>
      </w:r>
      <w:hyperlink r:id="rId1305" w:history="1">
        <w:r w:rsidRPr="00A84216">
          <w:rPr>
            <w:rStyle w:val="Hyperlink"/>
            <w:rFonts w:ascii="Times New Roman" w:hAnsi="Times New Roman"/>
            <w:sz w:val="24"/>
            <w:szCs w:val="24"/>
          </w:rPr>
          <w:t>https://casetext.com/case/lundberg-v-delta-response-team-llc-1</w:t>
        </w:r>
      </w:hyperlink>
      <w:r w:rsidRPr="00A84216">
        <w:rPr>
          <w:rFonts w:ascii="Times New Roman" w:hAnsi="Times New Roman"/>
          <w:sz w:val="24"/>
          <w:szCs w:val="24"/>
        </w:rPr>
        <w:t xml:space="preserve"> </w:t>
      </w:r>
    </w:p>
    <w:p w14:paraId="1A85FE09" w14:textId="77777777" w:rsidR="00A84216" w:rsidRPr="00A84216" w:rsidRDefault="00A84216" w:rsidP="00A84216">
      <w:pPr>
        <w:rPr>
          <w:rFonts w:ascii="Times New Roman" w:hAnsi="Times New Roman"/>
          <w:sz w:val="24"/>
          <w:szCs w:val="24"/>
        </w:rPr>
      </w:pPr>
      <w:r w:rsidRPr="00A84216">
        <w:rPr>
          <w:rFonts w:ascii="Times New Roman" w:hAnsi="Times New Roman"/>
          <w:sz w:val="24"/>
          <w:szCs w:val="24"/>
        </w:rPr>
        <w:t>The Court wrote:</w:t>
      </w:r>
    </w:p>
    <w:p w14:paraId="216F7211"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“Lundberg applied to two positions with municipal fire departments in late 2021 and early 2022. In November 2021, she applied to work as a firefighter for the City of Lynchburg Fire Department (‘City of Lynchburg’)…. Following the background check, the City of Lynchburg informed Lundberg that she had not been selected for the position. </w:t>
      </w:r>
    </w:p>
    <w:p w14:paraId="4B77C500" w14:textId="77777777" w:rsidR="00A84216" w:rsidRPr="00A84216" w:rsidRDefault="00A84216" w:rsidP="00A84216">
      <w:pPr>
        <w:ind w:firstLine="720"/>
        <w:rPr>
          <w:rFonts w:ascii="Times New Roman" w:hAnsi="Times New Roman"/>
          <w:sz w:val="24"/>
          <w:szCs w:val="24"/>
        </w:rPr>
      </w:pPr>
      <w:r w:rsidRPr="00A84216">
        <w:rPr>
          <w:rFonts w:ascii="Times New Roman" w:hAnsi="Times New Roman"/>
          <w:sz w:val="24"/>
          <w:szCs w:val="24"/>
        </w:rPr>
        <w:t>***</w:t>
      </w:r>
    </w:p>
    <w:p w14:paraId="4CCD6E23"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Lundberg next applied for a position with Bedford County Fire and Rescue (“Bedford County”)…. On February 16, 2022, she received and accepted a conditional offer of employment, which was contingent on a background investigation and physical and psychological examinations…. Bedford County's background investigator spoke to Lundberg, Walton, and a couple personal references…. On March 7, 2022, Bedford County informed Lundberg that it was rescinding her conditional offer of employment…. The official who made the decision, Bedford County Fire and Rescue Chief Janet Blankenship, affirmatively states that it was not based on the background investigation report or the information Walton provided to the investigator….Instead, Blankenship explains that her decision was based on the results of Lundberg's psychological health evaluation.</w:t>
      </w:r>
    </w:p>
    <w:p w14:paraId="00070617" w14:textId="77777777" w:rsidR="00A84216" w:rsidRPr="00A84216" w:rsidRDefault="00A84216" w:rsidP="00A84216">
      <w:pPr>
        <w:rPr>
          <w:rFonts w:ascii="Times New Roman" w:hAnsi="Times New Roman"/>
          <w:sz w:val="24"/>
          <w:szCs w:val="24"/>
        </w:rPr>
      </w:pPr>
      <w:r w:rsidRPr="00A84216">
        <w:rPr>
          <w:rFonts w:ascii="Times New Roman" w:hAnsi="Times New Roman"/>
          <w:sz w:val="24"/>
          <w:szCs w:val="24"/>
        </w:rPr>
        <w:tab/>
        <w:t>***</w:t>
      </w:r>
    </w:p>
    <w:p w14:paraId="28815DE0"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With four independent references outright recommending against hiring Lundberg for the position, and one (Millner) sharing even more detailed allegations about her sex life, the record does not support a finding that Walton's comments made the City of Lynchburg less likely to hire her. While Lundberg suggests that Walton is well-known in the first-responder community, that fact does not create a jury question on this issue, particularly when all four references who </w:t>
      </w:r>
      <w:proofErr w:type="gramStart"/>
      <w:r w:rsidRPr="00A84216">
        <w:rPr>
          <w:rFonts w:ascii="Times New Roman" w:hAnsi="Times New Roman"/>
          <w:sz w:val="24"/>
          <w:szCs w:val="24"/>
        </w:rPr>
        <w:t>recommended against</w:t>
      </w:r>
      <w:proofErr w:type="gramEnd"/>
      <w:r w:rsidRPr="00A84216">
        <w:rPr>
          <w:rFonts w:ascii="Times New Roman" w:hAnsi="Times New Roman"/>
          <w:sz w:val="24"/>
          <w:szCs w:val="24"/>
        </w:rPr>
        <w:t xml:space="preserve"> hiring her worked as firefighters for the City of Lynchburg at the time she applied.</w:t>
      </w:r>
    </w:p>
    <w:p w14:paraId="05FB12BA" w14:textId="77777777" w:rsidR="00A84216" w:rsidRPr="00A84216" w:rsidRDefault="00A84216" w:rsidP="00A84216">
      <w:pPr>
        <w:ind w:firstLine="720"/>
        <w:rPr>
          <w:rFonts w:ascii="Times New Roman" w:hAnsi="Times New Roman"/>
          <w:sz w:val="24"/>
          <w:szCs w:val="24"/>
        </w:rPr>
      </w:pPr>
      <w:r w:rsidRPr="00A84216">
        <w:rPr>
          <w:rFonts w:ascii="Times New Roman" w:hAnsi="Times New Roman"/>
          <w:sz w:val="24"/>
          <w:szCs w:val="24"/>
        </w:rPr>
        <w:t>***</w:t>
      </w:r>
    </w:p>
    <w:p w14:paraId="0C0A1B1A"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In sum, even if an employment reference can support a Title VII discrimination claim when it negatively impacts a job application, there is insufficient evidence that Walton's references had such an impact here. For that reason, the court concludes that Lundberg's disparate-</w:t>
      </w:r>
      <w:proofErr w:type="gramStart"/>
      <w:r w:rsidRPr="00A84216">
        <w:rPr>
          <w:rFonts w:ascii="Times New Roman" w:hAnsi="Times New Roman"/>
          <w:sz w:val="24"/>
          <w:szCs w:val="24"/>
        </w:rPr>
        <w:t>treatment discrimination</w:t>
      </w:r>
      <w:proofErr w:type="gramEnd"/>
      <w:r w:rsidRPr="00A84216">
        <w:rPr>
          <w:rFonts w:ascii="Times New Roman" w:hAnsi="Times New Roman"/>
          <w:sz w:val="24"/>
          <w:szCs w:val="24"/>
        </w:rPr>
        <w:t xml:space="preserve"> claims fail as a matter of </w:t>
      </w:r>
      <w:proofErr w:type="gramStart"/>
      <w:r w:rsidRPr="00A84216">
        <w:rPr>
          <w:rFonts w:ascii="Times New Roman" w:hAnsi="Times New Roman"/>
          <w:sz w:val="24"/>
          <w:szCs w:val="24"/>
        </w:rPr>
        <w:t>law.”</w:t>
      </w:r>
      <w:proofErr w:type="gramEnd"/>
    </w:p>
    <w:p w14:paraId="7ABE6A64" w14:textId="77777777" w:rsidR="00A84216" w:rsidRPr="00A84216" w:rsidRDefault="00A84216" w:rsidP="00A84216">
      <w:pPr>
        <w:rPr>
          <w:rFonts w:ascii="Times New Roman" w:hAnsi="Times New Roman"/>
          <w:b/>
          <w:bCs/>
          <w:sz w:val="24"/>
          <w:szCs w:val="24"/>
        </w:rPr>
      </w:pPr>
      <w:r w:rsidRPr="00A84216">
        <w:rPr>
          <w:rFonts w:ascii="Times New Roman" w:hAnsi="Times New Roman"/>
          <w:b/>
          <w:sz w:val="24"/>
          <w:szCs w:val="24"/>
        </w:rPr>
        <w:t>Legal Lesson Learned: Negative job references were from several individuals.</w:t>
      </w:r>
    </w:p>
    <w:p w14:paraId="76047623"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Note: See Ohio Revised Code: “Section 4113.71 | Immunity of employer as to job performance information disclosures. (B) An employer who is requested by an employee or a prospective employer of an employee to disclose to a prospective employer of that employee information pertaining to the job performance of that employee for the employer and who discloses the requested information to the prospective employer is not liable in damages in a civil action to that employee, the prospective </w:t>
      </w:r>
      <w:r w:rsidRPr="00A84216">
        <w:rPr>
          <w:rFonts w:ascii="Times New Roman" w:hAnsi="Times New Roman"/>
          <w:sz w:val="24"/>
          <w:szCs w:val="24"/>
        </w:rPr>
        <w:lastRenderedPageBreak/>
        <w:t>employer, or any other person for any harm sustained as a proximate result of making the disclosure or of any information disclosed, unless the plaintiff in a civil action establishes, either or both of the following:</w:t>
      </w:r>
    </w:p>
    <w:p w14:paraId="243507A4"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(1) By a preponderance of the evidence that the employer disclosed </w:t>
      </w:r>
      <w:proofErr w:type="gramStart"/>
      <w:r w:rsidRPr="00A84216">
        <w:rPr>
          <w:rFonts w:ascii="Times New Roman" w:hAnsi="Times New Roman"/>
          <w:sz w:val="24"/>
          <w:szCs w:val="24"/>
        </w:rPr>
        <w:t>particular information</w:t>
      </w:r>
      <w:proofErr w:type="gramEnd"/>
      <w:r w:rsidRPr="00A84216">
        <w:rPr>
          <w:rFonts w:ascii="Times New Roman" w:hAnsi="Times New Roman"/>
          <w:sz w:val="24"/>
          <w:szCs w:val="24"/>
        </w:rPr>
        <w:t xml:space="preserve"> with the knowledge that it was false, with the deliberate intent to mislead the prospective employer or another person, in bad faith, or with malicious purpose;</w:t>
      </w:r>
    </w:p>
    <w:p w14:paraId="2172D9D9"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(2) By a preponderance of the evidence that the disclosure of particular information by the employer constitutes an unlawful discriminatory practice described in section </w:t>
      </w:r>
      <w:hyperlink r:id="rId1306" w:history="1">
        <w:r w:rsidRPr="00A84216">
          <w:rPr>
            <w:rStyle w:val="Hyperlink"/>
            <w:rFonts w:ascii="Times New Roman" w:hAnsi="Times New Roman"/>
            <w:sz w:val="24"/>
            <w:szCs w:val="24"/>
          </w:rPr>
          <w:t>4112.02</w:t>
        </w:r>
      </w:hyperlink>
      <w:r w:rsidRPr="00A84216">
        <w:rPr>
          <w:rFonts w:ascii="Times New Roman" w:hAnsi="Times New Roman"/>
          <w:sz w:val="24"/>
          <w:szCs w:val="24"/>
        </w:rPr>
        <w:t xml:space="preserve">, </w:t>
      </w:r>
      <w:hyperlink r:id="rId1307" w:history="1">
        <w:r w:rsidRPr="00A84216">
          <w:rPr>
            <w:rStyle w:val="Hyperlink"/>
            <w:rFonts w:ascii="Times New Roman" w:hAnsi="Times New Roman"/>
            <w:sz w:val="24"/>
            <w:szCs w:val="24"/>
          </w:rPr>
          <w:t>4112.021</w:t>
        </w:r>
      </w:hyperlink>
      <w:r w:rsidRPr="00A84216">
        <w:rPr>
          <w:rFonts w:ascii="Times New Roman" w:hAnsi="Times New Roman"/>
          <w:sz w:val="24"/>
          <w:szCs w:val="24"/>
        </w:rPr>
        <w:t xml:space="preserve">, or </w:t>
      </w:r>
      <w:hyperlink r:id="rId1308" w:history="1">
        <w:r w:rsidRPr="00A84216">
          <w:rPr>
            <w:rStyle w:val="Hyperlink"/>
            <w:rFonts w:ascii="Times New Roman" w:hAnsi="Times New Roman"/>
            <w:sz w:val="24"/>
            <w:szCs w:val="24"/>
          </w:rPr>
          <w:t>4112.022</w:t>
        </w:r>
      </w:hyperlink>
      <w:r w:rsidRPr="00A84216">
        <w:rPr>
          <w:rFonts w:ascii="Times New Roman" w:hAnsi="Times New Roman"/>
          <w:sz w:val="24"/>
          <w:szCs w:val="24"/>
        </w:rPr>
        <w:t xml:space="preserve"> of the Revised Code.” </w:t>
      </w:r>
      <w:hyperlink r:id="rId1309" w:history="1">
        <w:r w:rsidRPr="00A84216">
          <w:rPr>
            <w:rStyle w:val="Hyperlink"/>
            <w:rFonts w:ascii="Times New Roman" w:hAnsi="Times New Roman"/>
            <w:sz w:val="24"/>
            <w:szCs w:val="24"/>
          </w:rPr>
          <w:t>https://codes.ohio.gov/ohio-revised-code/section-4113.71</w:t>
        </w:r>
      </w:hyperlink>
      <w:r w:rsidRPr="00A84216">
        <w:rPr>
          <w:rFonts w:ascii="Times New Roman" w:hAnsi="Times New Roman"/>
          <w:sz w:val="24"/>
          <w:szCs w:val="24"/>
        </w:rPr>
        <w:t xml:space="preserve"> </w:t>
      </w:r>
    </w:p>
    <w:p w14:paraId="0272DB3F" w14:textId="77777777" w:rsidR="00A84216" w:rsidRPr="00A84216" w:rsidRDefault="00A84216" w:rsidP="00F326E5">
      <w:pPr>
        <w:pStyle w:val="NoSpacing"/>
        <w:rPr>
          <w:rFonts w:ascii="Times New Roman" w:hAnsi="Times New Roman"/>
          <w:b/>
          <w:bCs/>
          <w:sz w:val="24"/>
          <w:szCs w:val="24"/>
        </w:rPr>
      </w:pPr>
    </w:p>
    <w:p w14:paraId="01D0CE7D" w14:textId="77777777" w:rsidR="000A5F54" w:rsidRDefault="000A5F54" w:rsidP="00F326E5">
      <w:pPr>
        <w:pStyle w:val="NoSpacing"/>
        <w:rPr>
          <w:rFonts w:ascii="Arial Black" w:hAnsi="Arial Black"/>
          <w:b/>
          <w:bCs/>
          <w:sz w:val="24"/>
          <w:szCs w:val="24"/>
        </w:rPr>
      </w:pPr>
    </w:p>
    <w:p w14:paraId="670F68F9" w14:textId="77777777" w:rsidR="000A5F54" w:rsidRDefault="000A5F54" w:rsidP="00F326E5">
      <w:pPr>
        <w:pStyle w:val="NoSpacing"/>
        <w:rPr>
          <w:rFonts w:ascii="Arial Black" w:hAnsi="Arial Black"/>
          <w:b/>
          <w:bCs/>
          <w:sz w:val="24"/>
          <w:szCs w:val="24"/>
        </w:rPr>
      </w:pPr>
    </w:p>
    <w:p w14:paraId="1B3A9AC6" w14:textId="428E458F" w:rsidR="00B83DEF" w:rsidRDefault="006905F6" w:rsidP="00F326E5">
      <w:pPr>
        <w:pStyle w:val="NoSpacing"/>
        <w:rPr>
          <w:rFonts w:ascii="Arial Black" w:hAnsi="Arial Black"/>
          <w:b/>
          <w:bCs/>
          <w:sz w:val="24"/>
          <w:szCs w:val="24"/>
        </w:rPr>
      </w:pPr>
      <w:r>
        <w:rPr>
          <w:rFonts w:ascii="Arial Black" w:hAnsi="Arial Black"/>
          <w:b/>
          <w:bCs/>
          <w:sz w:val="24"/>
          <w:szCs w:val="24"/>
        </w:rPr>
        <w:t>7-70</w:t>
      </w:r>
    </w:p>
    <w:p w14:paraId="7D7EBA32" w14:textId="77777777" w:rsidR="006905F6" w:rsidRDefault="006905F6" w:rsidP="00F326E5">
      <w:pPr>
        <w:pStyle w:val="NoSpacing"/>
        <w:rPr>
          <w:rFonts w:ascii="Arial Black" w:hAnsi="Arial Black"/>
          <w:b/>
          <w:bCs/>
          <w:sz w:val="24"/>
          <w:szCs w:val="24"/>
        </w:rPr>
      </w:pPr>
    </w:p>
    <w:p w14:paraId="782EF4C2" w14:textId="77777777" w:rsidR="006905F6" w:rsidRPr="00A55556" w:rsidRDefault="006905F6" w:rsidP="006905F6">
      <w:pPr>
        <w:pStyle w:val="NoSpacing"/>
        <w:rPr>
          <w:rFonts w:ascii="Arial Black" w:hAnsi="Arial Black"/>
          <w:sz w:val="28"/>
          <w:szCs w:val="28"/>
        </w:rPr>
      </w:pPr>
      <w:r>
        <w:rPr>
          <w:rFonts w:ascii="Arial Black" w:hAnsi="Arial Black"/>
          <w:sz w:val="28"/>
          <w:szCs w:val="28"/>
        </w:rPr>
        <w:t>DC: GENDER IDENTITY – TRUMP EXEC ORDER – US SUP CT</w:t>
      </w:r>
    </w:p>
    <w:p w14:paraId="3C70AA04" w14:textId="77777777" w:rsidR="006905F6" w:rsidRDefault="006905F6" w:rsidP="006905F6">
      <w:pPr>
        <w:pStyle w:val="NoSpacing"/>
      </w:pPr>
    </w:p>
    <w:p w14:paraId="493738E3"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Jan. 20, 2025: President Trump’s Executive Order - DEFENDING WOMEN FROM GENDER IDEOLOGY EXTREMISM AND RESTORING BIOLOGICAL TRUTH TO THE FEDERAL GOVERNMENT – can modify federal advice to schools and employers on “single-sex spaces” such as bathrooms.   However,  employers must still follow U.S. Supreme Court’s 2020 decision “making it illegal for an employer to rely on an employee’s sex [gay; trans] when deciding to fire that employee.” </w:t>
      </w:r>
      <w:hyperlink r:id="rId1310" w:history="1">
        <w:r w:rsidRPr="006905F6">
          <w:rPr>
            <w:rStyle w:val="Hyperlink"/>
            <w:rFonts w:ascii="Times New Roman" w:hAnsi="Times New Roman"/>
            <w:sz w:val="24"/>
            <w:szCs w:val="24"/>
          </w:rPr>
          <w:t>uch https://www.whitehouse.gov/presidential-actions/2025/01/defending-women-from-gender-ideology-extremism-and-restoring-biological-truth-to-the-federal-government/?utm_medium=email&amp;utm_source=web_app&amp;utm_campaign=digest</w:t>
        </w:r>
      </w:hyperlink>
    </w:p>
    <w:p w14:paraId="668E49B5" w14:textId="77777777" w:rsidR="006905F6" w:rsidRPr="006905F6" w:rsidRDefault="006905F6" w:rsidP="006905F6">
      <w:pPr>
        <w:pStyle w:val="NoSpacing"/>
        <w:rPr>
          <w:rFonts w:ascii="Times New Roman" w:hAnsi="Times New Roman"/>
          <w:sz w:val="24"/>
          <w:szCs w:val="24"/>
        </w:rPr>
      </w:pPr>
    </w:p>
    <w:p w14:paraId="7BAE9E82"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Executive Order includes the following: </w:t>
      </w:r>
    </w:p>
    <w:p w14:paraId="7503E7CB" w14:textId="77777777" w:rsidR="006905F6" w:rsidRPr="006905F6" w:rsidRDefault="006905F6" w:rsidP="006905F6">
      <w:pPr>
        <w:pStyle w:val="NoSpacing"/>
        <w:rPr>
          <w:rFonts w:ascii="Times New Roman" w:hAnsi="Times New Roman"/>
          <w:sz w:val="24"/>
          <w:szCs w:val="24"/>
        </w:rPr>
      </w:pPr>
    </w:p>
    <w:p w14:paraId="31E05FA4"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“The prior Administration argued that the Supreme Court’s decision in </w:t>
      </w:r>
      <w:r w:rsidRPr="006905F6">
        <w:rPr>
          <w:rFonts w:ascii="Times New Roman" w:hAnsi="Times New Roman"/>
          <w:i/>
          <w:iCs/>
          <w:sz w:val="24"/>
          <w:szCs w:val="24"/>
        </w:rPr>
        <w:t>Bostock v. Clayton County</w:t>
      </w:r>
      <w:r w:rsidRPr="006905F6">
        <w:rPr>
          <w:rFonts w:ascii="Times New Roman" w:hAnsi="Times New Roman"/>
          <w:sz w:val="24"/>
          <w:szCs w:val="24"/>
        </w:rPr>
        <w:t> (2020), which addressed Title VII of the Civil Rights Act of 1964, requires gender identity-based access to single-sex spaces under, for example, Title IX of the Educational Amendments Act.  This position is legally untenable and has harmed women.  The Attorney General shall therefore immediately issue guidance to agencies to correct the misapplication of the Supreme Court’s decision in </w:t>
      </w:r>
      <w:r w:rsidRPr="006905F6">
        <w:rPr>
          <w:rFonts w:ascii="Times New Roman" w:hAnsi="Times New Roman"/>
          <w:i/>
          <w:iCs/>
          <w:sz w:val="24"/>
          <w:szCs w:val="24"/>
        </w:rPr>
        <w:t>Bostock v. Clayton County</w:t>
      </w:r>
      <w:r w:rsidRPr="006905F6">
        <w:rPr>
          <w:rFonts w:ascii="Times New Roman" w:hAnsi="Times New Roman"/>
          <w:sz w:val="24"/>
          <w:szCs w:val="24"/>
        </w:rPr>
        <w:t xml:space="preserve"> (2020) to sex-based distinctions in agency activities.  In addition, the Attorney General shall issue guidance and assist agencies in protecting sex-based distinctions, which are explicitly permitted under Constitutional and statutory precedent. </w:t>
      </w:r>
    </w:p>
    <w:p w14:paraId="07C1EB07" w14:textId="77777777" w:rsidR="006905F6" w:rsidRPr="006905F6" w:rsidRDefault="006905F6" w:rsidP="006905F6">
      <w:pPr>
        <w:pStyle w:val="NoSpacing"/>
        <w:rPr>
          <w:rFonts w:ascii="Times New Roman" w:hAnsi="Times New Roman"/>
          <w:sz w:val="24"/>
          <w:szCs w:val="24"/>
        </w:rPr>
      </w:pPr>
    </w:p>
    <w:p w14:paraId="356213DB"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The U.S. Supreme Court in </w:t>
      </w:r>
      <w:r w:rsidRPr="006905F6">
        <w:rPr>
          <w:rFonts w:ascii="Times New Roman" w:hAnsi="Times New Roman"/>
          <w:sz w:val="24"/>
          <w:szCs w:val="24"/>
          <w:u w:val="single"/>
        </w:rPr>
        <w:t>Bostock v. Clayton County</w:t>
      </w:r>
      <w:r w:rsidRPr="006905F6">
        <w:rPr>
          <w:rFonts w:ascii="Times New Roman" w:hAnsi="Times New Roman"/>
          <w:sz w:val="24"/>
          <w:szCs w:val="24"/>
        </w:rPr>
        <w:t xml:space="preserve">, on June 15, </w:t>
      </w:r>
      <w:proofErr w:type="gramStart"/>
      <w:r w:rsidRPr="006905F6">
        <w:rPr>
          <w:rFonts w:ascii="Times New Roman" w:hAnsi="Times New Roman"/>
          <w:sz w:val="24"/>
          <w:szCs w:val="24"/>
        </w:rPr>
        <w:t>2020</w:t>
      </w:r>
      <w:proofErr w:type="gramEnd"/>
      <w:r w:rsidRPr="006905F6">
        <w:rPr>
          <w:rFonts w:ascii="Times New Roman" w:hAnsi="Times New Roman"/>
          <w:sz w:val="24"/>
          <w:szCs w:val="24"/>
        </w:rPr>
        <w:t xml:space="preserve"> held (6 to 3; majority opinion by Justice Neil Gorsuch):  </w:t>
      </w:r>
    </w:p>
    <w:p w14:paraId="0EA087C3" w14:textId="77777777" w:rsidR="006905F6" w:rsidRPr="006905F6" w:rsidRDefault="006905F6" w:rsidP="006905F6">
      <w:pPr>
        <w:pStyle w:val="NoSpacing"/>
        <w:rPr>
          <w:rFonts w:ascii="Times New Roman" w:hAnsi="Times New Roman"/>
          <w:sz w:val="24"/>
          <w:szCs w:val="24"/>
        </w:rPr>
      </w:pPr>
    </w:p>
    <w:p w14:paraId="3F84F717"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 xml:space="preserve">“Today, we must decide whether an employer can fire someone simply for being homosexual or transgender. The answer is clear. An employer who fires an individual for being homosexual or transgender fires that person for traits or actions it would not have questioned in members of a different sex. Sex plays a necessary and undisguisable role in the decision, exactly what Title VII forbids.” </w:t>
      </w:r>
      <w:hyperlink r:id="rId1311" w:history="1">
        <w:r w:rsidRPr="006905F6">
          <w:rPr>
            <w:rStyle w:val="Hyperlink"/>
            <w:rFonts w:ascii="Times New Roman" w:hAnsi="Times New Roman"/>
            <w:sz w:val="24"/>
            <w:szCs w:val="24"/>
          </w:rPr>
          <w:t>https://www.supremecourt.gov/opinions/19pdf/17-1618_hfci.pdf</w:t>
        </w:r>
      </w:hyperlink>
      <w:r w:rsidRPr="006905F6">
        <w:rPr>
          <w:rFonts w:ascii="Times New Roman" w:hAnsi="Times New Roman"/>
          <w:sz w:val="24"/>
          <w:szCs w:val="24"/>
        </w:rPr>
        <w:t xml:space="preserve"> </w:t>
      </w:r>
    </w:p>
    <w:p w14:paraId="6B08107C" w14:textId="77777777" w:rsidR="006905F6" w:rsidRPr="006905F6" w:rsidRDefault="006905F6" w:rsidP="006905F6">
      <w:pPr>
        <w:pStyle w:val="NoSpacing"/>
        <w:rPr>
          <w:rFonts w:ascii="Times New Roman" w:hAnsi="Times New Roman"/>
          <w:sz w:val="24"/>
          <w:szCs w:val="24"/>
        </w:rPr>
      </w:pPr>
    </w:p>
    <w:p w14:paraId="2F6D4ACD"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Justice Gorsuch reviewed three cases where employees were fired: </w:t>
      </w:r>
    </w:p>
    <w:p w14:paraId="0EDB67BA" w14:textId="77777777" w:rsidR="006905F6" w:rsidRPr="006905F6" w:rsidRDefault="006905F6" w:rsidP="006905F6">
      <w:pPr>
        <w:pStyle w:val="NoSpacing"/>
        <w:rPr>
          <w:rFonts w:ascii="Times New Roman" w:hAnsi="Times New Roman"/>
          <w:sz w:val="24"/>
          <w:szCs w:val="24"/>
        </w:rPr>
      </w:pPr>
    </w:p>
    <w:p w14:paraId="12270877"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lastRenderedPageBreak/>
        <w:t>“Few facts are needed to appreciate the legal question we face. Each of the three cases before us started the same way: An employer fired a long-time employee shortly after</w:t>
      </w:r>
    </w:p>
    <w:p w14:paraId="7E7C720D"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the employee revealed that he or she is homosexual or transgender—and allegedly for no reason other than the employee’s homosexuality or transgender status.</w:t>
      </w:r>
    </w:p>
    <w:p w14:paraId="07305F1A" w14:textId="77777777" w:rsidR="006905F6" w:rsidRPr="006905F6" w:rsidRDefault="006905F6" w:rsidP="006905F6">
      <w:pPr>
        <w:pStyle w:val="NoSpacing"/>
        <w:ind w:left="720"/>
        <w:rPr>
          <w:rFonts w:ascii="Times New Roman" w:hAnsi="Times New Roman"/>
          <w:sz w:val="24"/>
          <w:szCs w:val="24"/>
        </w:rPr>
      </w:pPr>
    </w:p>
    <w:p w14:paraId="65BD1E04"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[1] Gerald Bostock worked for Clayton County, Georgia, as a child welfare advocate. Under his leadership, the county won national awards for its work. After a decade with the county, Mr. Bostock began participating in a gay recreational softball league. Not long after that, influential members of the community allegedly made disparaging comments about Mr. Bostock’s sexual orientation and participation in the league. Soon, he was fired for conduct ‘unbecoming’ a county employee.</w:t>
      </w:r>
    </w:p>
    <w:p w14:paraId="23357ACA" w14:textId="77777777" w:rsidR="006905F6" w:rsidRPr="006905F6" w:rsidRDefault="006905F6" w:rsidP="006905F6">
      <w:pPr>
        <w:pStyle w:val="NoSpacing"/>
        <w:ind w:left="720"/>
        <w:rPr>
          <w:rFonts w:ascii="Times New Roman" w:hAnsi="Times New Roman"/>
          <w:sz w:val="24"/>
          <w:szCs w:val="24"/>
        </w:rPr>
      </w:pPr>
    </w:p>
    <w:p w14:paraId="55B44A1C"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[2] Donald Zarda worked as a skydiving instructor at Altitude Express in New York. After several seasons with the company, Mr. Zarda mentioned that he was gay and, days later, was fired.</w:t>
      </w:r>
    </w:p>
    <w:p w14:paraId="008BECE4" w14:textId="77777777" w:rsidR="006905F6" w:rsidRPr="006905F6" w:rsidRDefault="006905F6" w:rsidP="006905F6">
      <w:pPr>
        <w:pStyle w:val="NoSpacing"/>
        <w:ind w:left="720"/>
        <w:rPr>
          <w:rFonts w:ascii="Times New Roman" w:hAnsi="Times New Roman"/>
          <w:sz w:val="24"/>
          <w:szCs w:val="24"/>
        </w:rPr>
      </w:pPr>
    </w:p>
    <w:p w14:paraId="130B9CB4"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 xml:space="preserve">[3] Aimee Stephens worked at R. G. &amp; G. R. Harris Funeral Homes in Garden City, Michigan. When she got the job, Ms. Stephens presented as a male. </w:t>
      </w:r>
      <w:proofErr w:type="gramStart"/>
      <w:r w:rsidRPr="006905F6">
        <w:rPr>
          <w:rFonts w:ascii="Times New Roman" w:hAnsi="Times New Roman"/>
          <w:sz w:val="24"/>
          <w:szCs w:val="24"/>
        </w:rPr>
        <w:t>But</w:t>
      </w:r>
      <w:proofErr w:type="gramEnd"/>
      <w:r w:rsidRPr="006905F6">
        <w:rPr>
          <w:rFonts w:ascii="Times New Roman" w:hAnsi="Times New Roman"/>
          <w:sz w:val="24"/>
          <w:szCs w:val="24"/>
        </w:rPr>
        <w:t xml:space="preserve"> two years </w:t>
      </w:r>
      <w:proofErr w:type="gramStart"/>
      <w:r w:rsidRPr="006905F6">
        <w:rPr>
          <w:rFonts w:ascii="Times New Roman" w:hAnsi="Times New Roman"/>
          <w:sz w:val="24"/>
          <w:szCs w:val="24"/>
        </w:rPr>
        <w:t>into</w:t>
      </w:r>
      <w:proofErr w:type="gramEnd"/>
      <w:r w:rsidRPr="006905F6">
        <w:rPr>
          <w:rFonts w:ascii="Times New Roman" w:hAnsi="Times New Roman"/>
          <w:sz w:val="24"/>
          <w:szCs w:val="24"/>
        </w:rPr>
        <w:t xml:space="preserve"> her service with the company, she began treatment for despair and loneliness. Ultimately, clinicians diagnosed her with gender dysphoria and recommended that she begin living</w:t>
      </w:r>
    </w:p>
    <w:p w14:paraId="3F876FDF"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as a woman. In her sixth year with the company, Ms. Stephens wrote a letter to her employer explaining that she planned to ‘live and work full-time as a woman’ after she</w:t>
      </w:r>
    </w:p>
    <w:p w14:paraId="49DB921E"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 xml:space="preserve">returned from an upcoming vacation. The funeral home fired her before she left, telling her </w:t>
      </w:r>
      <w:proofErr w:type="gramStart"/>
      <w:r w:rsidRPr="006905F6">
        <w:rPr>
          <w:rFonts w:ascii="Times New Roman" w:hAnsi="Times New Roman"/>
          <w:sz w:val="24"/>
          <w:szCs w:val="24"/>
        </w:rPr>
        <w:t>‘this</w:t>
      </w:r>
      <w:proofErr w:type="gramEnd"/>
      <w:r w:rsidRPr="006905F6">
        <w:rPr>
          <w:rFonts w:ascii="Times New Roman" w:hAnsi="Times New Roman"/>
          <w:sz w:val="24"/>
          <w:szCs w:val="24"/>
        </w:rPr>
        <w:t xml:space="preserve"> is not going to work out.’”</w:t>
      </w:r>
    </w:p>
    <w:p w14:paraId="078171CD" w14:textId="77777777" w:rsidR="006905F6" w:rsidRPr="006905F6" w:rsidRDefault="006905F6" w:rsidP="006905F6">
      <w:pPr>
        <w:pStyle w:val="NoSpacing"/>
        <w:ind w:left="720"/>
        <w:rPr>
          <w:rFonts w:ascii="Times New Roman" w:hAnsi="Times New Roman"/>
          <w:sz w:val="24"/>
          <w:szCs w:val="24"/>
        </w:rPr>
      </w:pPr>
    </w:p>
    <w:p w14:paraId="0BF78457" w14:textId="77777777" w:rsidR="006905F6" w:rsidRPr="006905F6" w:rsidRDefault="006905F6" w:rsidP="006905F6">
      <w:pPr>
        <w:pStyle w:val="NoSpacing"/>
        <w:rPr>
          <w:rFonts w:ascii="Times New Roman" w:hAnsi="Times New Roman"/>
          <w:b/>
          <w:bCs/>
          <w:sz w:val="24"/>
          <w:szCs w:val="24"/>
        </w:rPr>
      </w:pPr>
      <w:r w:rsidRPr="006905F6">
        <w:rPr>
          <w:rFonts w:ascii="Times New Roman" w:hAnsi="Times New Roman"/>
          <w:b/>
          <w:sz w:val="24"/>
          <w:szCs w:val="24"/>
        </w:rPr>
        <w:t xml:space="preserve">Legal Lesson Learned:  The U.S. Supreme Court decision in </w:t>
      </w:r>
      <w:r w:rsidRPr="006905F6">
        <w:rPr>
          <w:rFonts w:ascii="Times New Roman" w:hAnsi="Times New Roman"/>
          <w:b/>
          <w:sz w:val="24"/>
          <w:szCs w:val="24"/>
          <w:u w:val="single"/>
        </w:rPr>
        <w:t>Bostock</w:t>
      </w:r>
      <w:r w:rsidRPr="006905F6">
        <w:rPr>
          <w:rFonts w:ascii="Times New Roman" w:hAnsi="Times New Roman"/>
          <w:b/>
          <w:sz w:val="24"/>
          <w:szCs w:val="24"/>
        </w:rPr>
        <w:t xml:space="preserve"> still applies to all employers, including Fire &amp; EMS.  As the Court wrote: “An employer who fires an individual merely for being gay or transgender defies the law.”</w:t>
      </w:r>
    </w:p>
    <w:p w14:paraId="572D1943" w14:textId="77777777" w:rsidR="006905F6" w:rsidRPr="006905F6" w:rsidRDefault="006905F6" w:rsidP="00F326E5">
      <w:pPr>
        <w:pStyle w:val="NoSpacing"/>
        <w:rPr>
          <w:rFonts w:ascii="Times New Roman" w:hAnsi="Times New Roman"/>
          <w:b/>
          <w:bCs/>
          <w:sz w:val="24"/>
          <w:szCs w:val="24"/>
        </w:rPr>
      </w:pPr>
    </w:p>
    <w:p w14:paraId="5074DBC0" w14:textId="77777777" w:rsidR="00B83DEF" w:rsidRDefault="00B83DEF" w:rsidP="00F326E5">
      <w:pPr>
        <w:pStyle w:val="NoSpacing"/>
        <w:rPr>
          <w:rFonts w:ascii="Arial Black" w:hAnsi="Arial Black"/>
          <w:b/>
          <w:bCs/>
          <w:sz w:val="24"/>
          <w:szCs w:val="24"/>
        </w:rPr>
      </w:pPr>
    </w:p>
    <w:p w14:paraId="7FFFE95B" w14:textId="77777777" w:rsidR="00B83DEF" w:rsidRDefault="00B83DEF" w:rsidP="00F326E5">
      <w:pPr>
        <w:pStyle w:val="NoSpacing"/>
        <w:rPr>
          <w:rFonts w:ascii="Arial Black" w:hAnsi="Arial Black"/>
          <w:b/>
          <w:bCs/>
          <w:sz w:val="24"/>
          <w:szCs w:val="24"/>
        </w:rPr>
      </w:pPr>
    </w:p>
    <w:p w14:paraId="477961CE" w14:textId="2E1F40A6" w:rsidR="00AE2F67" w:rsidRDefault="00AB6ADC" w:rsidP="00F326E5">
      <w:pPr>
        <w:pStyle w:val="NoSpacing"/>
        <w:rPr>
          <w:rFonts w:ascii="Arial Black" w:hAnsi="Arial Black"/>
          <w:b/>
          <w:bCs/>
          <w:sz w:val="24"/>
          <w:szCs w:val="24"/>
        </w:rPr>
      </w:pPr>
      <w:r>
        <w:rPr>
          <w:rFonts w:ascii="Arial Black" w:hAnsi="Arial Black"/>
          <w:b/>
          <w:bCs/>
          <w:sz w:val="24"/>
          <w:szCs w:val="24"/>
        </w:rPr>
        <w:t>7-69</w:t>
      </w:r>
    </w:p>
    <w:p w14:paraId="3FA53D05" w14:textId="77777777" w:rsidR="00AB6ADC" w:rsidRDefault="00AB6ADC" w:rsidP="00F326E5">
      <w:pPr>
        <w:pStyle w:val="NoSpacing"/>
        <w:rPr>
          <w:rFonts w:ascii="Arial Black" w:hAnsi="Arial Black"/>
          <w:b/>
          <w:bCs/>
          <w:sz w:val="24"/>
          <w:szCs w:val="24"/>
        </w:rPr>
      </w:pPr>
    </w:p>
    <w:p w14:paraId="67065B1E" w14:textId="77777777" w:rsidR="00562ACD" w:rsidRDefault="00562ACD" w:rsidP="00562ACD">
      <w:pPr>
        <w:pStyle w:val="NoSpacing"/>
        <w:rPr>
          <w:rFonts w:ascii="Arial Black" w:hAnsi="Arial Black"/>
          <w:bCs/>
          <w:sz w:val="28"/>
          <w:szCs w:val="28"/>
        </w:rPr>
      </w:pPr>
      <w:r>
        <w:rPr>
          <w:rFonts w:ascii="Arial Black" w:hAnsi="Arial Black"/>
          <w:sz w:val="28"/>
          <w:szCs w:val="28"/>
        </w:rPr>
        <w:t xml:space="preserve">MD: FIRED – </w:t>
      </w:r>
      <w:r>
        <w:rPr>
          <w:rFonts w:ascii="Arial Black" w:hAnsi="Arial Black"/>
          <w:bCs/>
          <w:sz w:val="28"/>
          <w:szCs w:val="28"/>
        </w:rPr>
        <w:t xml:space="preserve">VOTE </w:t>
      </w:r>
      <w:r>
        <w:rPr>
          <w:rFonts w:ascii="Arial Black" w:hAnsi="Arial Black"/>
          <w:sz w:val="28"/>
          <w:szCs w:val="28"/>
        </w:rPr>
        <w:t>2</w:t>
      </w:r>
      <w:r>
        <w:rPr>
          <w:rFonts w:ascii="Arial Black" w:hAnsi="Arial Black"/>
          <w:bCs/>
          <w:sz w:val="28"/>
          <w:szCs w:val="28"/>
        </w:rPr>
        <w:t xml:space="preserve">-2, NEW HEARING – NO PENSION </w:t>
      </w:r>
    </w:p>
    <w:p w14:paraId="5E94E49A" w14:textId="77777777" w:rsidR="002C54F5" w:rsidRDefault="002C54F5" w:rsidP="002C54F5">
      <w:pPr>
        <w:pStyle w:val="NoSpacing"/>
        <w:rPr>
          <w:bCs/>
        </w:rPr>
      </w:pPr>
    </w:p>
    <w:p w14:paraId="1C191A39" w14:textId="453AC8AE" w:rsidR="002C54F5" w:rsidRPr="008E38FF" w:rsidRDefault="008E38FF" w:rsidP="002C54F5">
      <w:pPr>
        <w:pStyle w:val="NoSpacing"/>
        <w:rPr>
          <w:rFonts w:ascii="Times New Roman" w:hAnsi="Times New Roman"/>
          <w:bCs/>
          <w:sz w:val="24"/>
          <w:szCs w:val="24"/>
        </w:rPr>
      </w:pPr>
      <w:r w:rsidRPr="008E38FF">
        <w:rPr>
          <w:rFonts w:ascii="Times New Roman" w:hAnsi="Times New Roman"/>
          <w:sz w:val="24"/>
          <w:szCs w:val="24"/>
        </w:rPr>
        <w:t xml:space="preserve">On Dec. 17, 2024, in </w:t>
      </w:r>
      <w:r w:rsidRPr="008E38FF">
        <w:rPr>
          <w:rFonts w:ascii="Times New Roman" w:hAnsi="Times New Roman"/>
          <w:sz w:val="24"/>
          <w:szCs w:val="24"/>
          <w:u w:val="single"/>
        </w:rPr>
        <w:t>Baltimore County, Maryland v. Theodore C. Priester, Jr.</w:t>
      </w:r>
      <w:r w:rsidRPr="008E38FF">
        <w:rPr>
          <w:rFonts w:ascii="Times New Roman" w:hAnsi="Times New Roman"/>
          <w:sz w:val="24"/>
          <w:szCs w:val="24"/>
        </w:rPr>
        <w:t xml:space="preserve">, the Appellate Court of Maryland held (3 to 0; unreported decision) that the now retired Captain is entitled to a new decision (instead of a tie vote of 2 to 2) before the Baltimore County Personnel and Salary Advisory Board  (“PSAB”).  While he is no longer entitled to reinstatement, the Board could decide to award him back pay for time from his termination (May 16, 2013) until he applied for retirement (July 31, 2014).  The case has been through numerous appeals and </w:t>
      </w:r>
      <w:proofErr w:type="gramStart"/>
      <w:r w:rsidRPr="008E38FF">
        <w:rPr>
          <w:rFonts w:ascii="Times New Roman" w:hAnsi="Times New Roman"/>
          <w:sz w:val="24"/>
          <w:szCs w:val="24"/>
        </w:rPr>
        <w:t>remands</w:t>
      </w:r>
      <w:proofErr w:type="gramEnd"/>
      <w:r w:rsidRPr="008E38FF">
        <w:rPr>
          <w:rFonts w:ascii="Times New Roman" w:hAnsi="Times New Roman"/>
          <w:sz w:val="24"/>
          <w:szCs w:val="24"/>
        </w:rPr>
        <w:t xml:space="preserve">, including prior decision </w:t>
      </w:r>
      <w:proofErr w:type="gramStart"/>
      <w:r w:rsidRPr="008E38FF">
        <w:rPr>
          <w:rFonts w:ascii="Times New Roman" w:hAnsi="Times New Roman"/>
          <w:sz w:val="24"/>
          <w:szCs w:val="24"/>
        </w:rPr>
        <w:t>denying</w:t>
      </w:r>
      <w:proofErr w:type="gramEnd"/>
      <w:r w:rsidRPr="008E38FF">
        <w:rPr>
          <w:rFonts w:ascii="Times New Roman" w:hAnsi="Times New Roman"/>
          <w:sz w:val="24"/>
          <w:szCs w:val="24"/>
        </w:rPr>
        <w:t xml:space="preserve"> him a pension.  </w:t>
      </w:r>
      <w:hyperlink r:id="rId1312" w:history="1">
        <w:r w:rsidRPr="008E38FF">
          <w:rPr>
            <w:rStyle w:val="Hyperlink"/>
            <w:rFonts w:ascii="Times New Roman" w:hAnsi="Times New Roman"/>
            <w:sz w:val="24"/>
            <w:szCs w:val="24"/>
          </w:rPr>
          <w:t>https://www.mdcourts.gov/sites/default/files/unreported-opinions/1316s22.pdf</w:t>
        </w:r>
      </w:hyperlink>
    </w:p>
    <w:p w14:paraId="4CDCB126" w14:textId="77777777" w:rsidR="008E38FF" w:rsidRPr="008E38FF" w:rsidRDefault="008E38FF" w:rsidP="002C54F5">
      <w:pPr>
        <w:pStyle w:val="NoSpacing"/>
        <w:rPr>
          <w:rFonts w:ascii="Times New Roman" w:hAnsi="Times New Roman"/>
          <w:sz w:val="24"/>
          <w:szCs w:val="24"/>
        </w:rPr>
      </w:pPr>
    </w:p>
    <w:p w14:paraId="0A0FB92E" w14:textId="4BF9E540" w:rsidR="002C54F5" w:rsidRPr="000A21C0" w:rsidRDefault="002C54F5" w:rsidP="002C54F5">
      <w:pPr>
        <w:pStyle w:val="NoSpacing"/>
        <w:rPr>
          <w:rFonts w:ascii="Times New Roman" w:hAnsi="Times New Roman"/>
          <w:bCs/>
          <w:sz w:val="24"/>
          <w:szCs w:val="24"/>
        </w:rPr>
      </w:pPr>
      <w:r w:rsidRPr="000A21C0">
        <w:rPr>
          <w:rFonts w:ascii="Times New Roman" w:hAnsi="Times New Roman"/>
          <w:sz w:val="24"/>
          <w:szCs w:val="24"/>
        </w:rPr>
        <w:t>The Court wrote:</w:t>
      </w:r>
    </w:p>
    <w:p w14:paraId="183FBD3B" w14:textId="77777777" w:rsidR="002C54F5" w:rsidRPr="000A21C0" w:rsidRDefault="002C54F5" w:rsidP="002C54F5">
      <w:pPr>
        <w:pStyle w:val="NoSpacing"/>
        <w:rPr>
          <w:rFonts w:ascii="Times New Roman" w:hAnsi="Times New Roman"/>
          <w:bCs/>
          <w:sz w:val="24"/>
          <w:szCs w:val="24"/>
        </w:rPr>
      </w:pPr>
    </w:p>
    <w:p w14:paraId="604B37A7" w14:textId="77777777" w:rsidR="002C54F5" w:rsidRPr="000A21C0" w:rsidRDefault="002C54F5" w:rsidP="002C54F5">
      <w:pPr>
        <w:pStyle w:val="NoSpacing"/>
        <w:ind w:firstLine="720"/>
        <w:rPr>
          <w:rFonts w:ascii="Times New Roman" w:hAnsi="Times New Roman"/>
          <w:bCs/>
          <w:sz w:val="24"/>
          <w:szCs w:val="24"/>
        </w:rPr>
      </w:pPr>
      <w:r w:rsidRPr="000A21C0">
        <w:rPr>
          <w:rFonts w:ascii="Times New Roman" w:hAnsi="Times New Roman"/>
          <w:sz w:val="24"/>
          <w:szCs w:val="24"/>
        </w:rPr>
        <w:t>“Returning to the appeal before us, we conclude that the circuit court correctly</w:t>
      </w:r>
    </w:p>
    <w:p w14:paraId="40A2FCDA" w14:textId="77777777" w:rsidR="002C54F5" w:rsidRPr="000A21C0" w:rsidRDefault="002C54F5" w:rsidP="002C54F5">
      <w:pPr>
        <w:pStyle w:val="NoSpacing"/>
        <w:ind w:firstLine="720"/>
        <w:rPr>
          <w:rFonts w:ascii="Times New Roman" w:hAnsi="Times New Roman"/>
          <w:bCs/>
          <w:sz w:val="24"/>
          <w:szCs w:val="24"/>
        </w:rPr>
      </w:pPr>
      <w:r w:rsidRPr="000A21C0">
        <w:rPr>
          <w:rFonts w:ascii="Times New Roman" w:hAnsi="Times New Roman"/>
          <w:sz w:val="24"/>
          <w:szCs w:val="24"/>
        </w:rPr>
        <w:t>determined that the PSAB erred in denying Priester’s grievance appeal as moot. Priester’s</w:t>
      </w:r>
    </w:p>
    <w:p w14:paraId="47CB0259" w14:textId="77777777" w:rsidR="002C54F5" w:rsidRPr="000A21C0" w:rsidRDefault="002C54F5" w:rsidP="002C54F5">
      <w:pPr>
        <w:pStyle w:val="NoSpacing"/>
        <w:ind w:firstLine="720"/>
        <w:rPr>
          <w:rFonts w:ascii="Times New Roman" w:hAnsi="Times New Roman"/>
          <w:bCs/>
          <w:sz w:val="24"/>
          <w:szCs w:val="24"/>
        </w:rPr>
      </w:pPr>
      <w:r w:rsidRPr="000A21C0">
        <w:rPr>
          <w:rFonts w:ascii="Times New Roman" w:hAnsi="Times New Roman"/>
          <w:sz w:val="24"/>
          <w:szCs w:val="24"/>
        </w:rPr>
        <w:t>resignation from employment does not preclude him from pursuing a grievance that was</w:t>
      </w:r>
    </w:p>
    <w:p w14:paraId="5225F14A" w14:textId="77777777" w:rsidR="002C54F5" w:rsidRPr="000A21C0" w:rsidRDefault="002C54F5" w:rsidP="002C54F5">
      <w:pPr>
        <w:pStyle w:val="NoSpacing"/>
        <w:ind w:left="720"/>
        <w:rPr>
          <w:rFonts w:ascii="Times New Roman" w:hAnsi="Times New Roman"/>
          <w:bCs/>
          <w:sz w:val="24"/>
          <w:szCs w:val="24"/>
        </w:rPr>
      </w:pPr>
      <w:r w:rsidRPr="000A21C0">
        <w:rPr>
          <w:rFonts w:ascii="Times New Roman" w:hAnsi="Times New Roman"/>
          <w:sz w:val="24"/>
          <w:szCs w:val="24"/>
        </w:rPr>
        <w:t xml:space="preserve">properly filed while he was still employed. Neither the plain language of the County Code nor the MOU supports the County’s claim that an employee’s resignation automatically terminates an ongoing grievance process. *** Therefore, even if PSAB could no longer “reinstate” Priester back to his original position under the MOU should it determine that the termination was not justified, it could still award </w:t>
      </w:r>
      <w:r w:rsidRPr="000A21C0">
        <w:rPr>
          <w:rFonts w:ascii="Times New Roman" w:hAnsi="Times New Roman"/>
          <w:sz w:val="24"/>
          <w:szCs w:val="24"/>
        </w:rPr>
        <w:lastRenderedPageBreak/>
        <w:t xml:space="preserve">Priester backpay for the period of time between May 16, 2013 (the date of his effective termination) and July 31, 2014 (when Priester filed for retirement)…. On remand, the PSAB may give the parties an opportunity to submit additional evidence for its consideration. Whether this requires </w:t>
      </w:r>
      <w:proofErr w:type="gramStart"/>
      <w:r w:rsidRPr="000A21C0">
        <w:rPr>
          <w:rFonts w:ascii="Times New Roman" w:hAnsi="Times New Roman"/>
          <w:sz w:val="24"/>
          <w:szCs w:val="24"/>
        </w:rPr>
        <w:t>a full</w:t>
      </w:r>
      <w:proofErr w:type="gramEnd"/>
      <w:r w:rsidRPr="000A21C0">
        <w:rPr>
          <w:rFonts w:ascii="Times New Roman" w:hAnsi="Times New Roman"/>
          <w:sz w:val="24"/>
          <w:szCs w:val="24"/>
        </w:rPr>
        <w:t xml:space="preserve"> evidentiary rehearing is left to the PSAB’s discretion.</w:t>
      </w:r>
    </w:p>
    <w:p w14:paraId="14A67F60" w14:textId="77777777" w:rsidR="002C54F5" w:rsidRPr="000A21C0" w:rsidRDefault="002C54F5" w:rsidP="002C54F5">
      <w:pPr>
        <w:pStyle w:val="NoSpacing"/>
        <w:ind w:left="720"/>
        <w:rPr>
          <w:rFonts w:ascii="Times New Roman" w:hAnsi="Times New Roman"/>
          <w:bCs/>
          <w:sz w:val="24"/>
          <w:szCs w:val="24"/>
        </w:rPr>
      </w:pPr>
    </w:p>
    <w:p w14:paraId="52713108" w14:textId="77777777" w:rsidR="002C54F5" w:rsidRPr="000A21C0" w:rsidRDefault="002C54F5" w:rsidP="002C54F5">
      <w:pPr>
        <w:pStyle w:val="NoSpacing"/>
        <w:ind w:left="720"/>
        <w:rPr>
          <w:rFonts w:ascii="Times New Roman" w:hAnsi="Times New Roman"/>
          <w:bCs/>
          <w:sz w:val="24"/>
          <w:szCs w:val="24"/>
        </w:rPr>
      </w:pPr>
      <w:r w:rsidRPr="000A21C0">
        <w:rPr>
          <w:rFonts w:ascii="Times New Roman" w:hAnsi="Times New Roman"/>
          <w:sz w:val="24"/>
          <w:szCs w:val="24"/>
        </w:rPr>
        <w:t>***</w:t>
      </w:r>
    </w:p>
    <w:p w14:paraId="472122B6" w14:textId="21CC2032" w:rsidR="002C54F5" w:rsidRDefault="002C54F5" w:rsidP="002C54F5">
      <w:pPr>
        <w:pStyle w:val="NoSpacing"/>
        <w:ind w:left="720"/>
        <w:rPr>
          <w:rFonts w:ascii="Times New Roman" w:hAnsi="Times New Roman"/>
          <w:sz w:val="24"/>
          <w:szCs w:val="24"/>
        </w:rPr>
      </w:pPr>
      <w:r w:rsidRPr="000A21C0">
        <w:rPr>
          <w:rFonts w:ascii="Times New Roman" w:hAnsi="Times New Roman"/>
          <w:sz w:val="24"/>
          <w:szCs w:val="24"/>
        </w:rPr>
        <w:t>In Priester II, we reviewed and affirmed the Board’s decision to deny Priester’s</w:t>
      </w:r>
      <w:r w:rsidR="000A21C0">
        <w:rPr>
          <w:rFonts w:ascii="Times New Roman" w:hAnsi="Times New Roman"/>
          <w:sz w:val="24"/>
          <w:szCs w:val="24"/>
        </w:rPr>
        <w:t xml:space="preserve"> </w:t>
      </w:r>
      <w:r w:rsidRPr="000A21C0">
        <w:rPr>
          <w:rFonts w:ascii="Times New Roman" w:hAnsi="Times New Roman"/>
          <w:sz w:val="24"/>
          <w:szCs w:val="24"/>
        </w:rPr>
        <w:t>entire claim for pension benefits. In reaching that conclusion, we recounted the extensive</w:t>
      </w:r>
      <w:r w:rsidR="000A21C0">
        <w:rPr>
          <w:rFonts w:ascii="Times New Roman" w:hAnsi="Times New Roman"/>
          <w:sz w:val="24"/>
          <w:szCs w:val="24"/>
        </w:rPr>
        <w:t xml:space="preserve"> </w:t>
      </w:r>
      <w:r w:rsidRPr="000A21C0">
        <w:rPr>
          <w:rFonts w:ascii="Times New Roman" w:hAnsi="Times New Roman"/>
          <w:sz w:val="24"/>
          <w:szCs w:val="24"/>
        </w:rPr>
        <w:t>testimony offered by Priester’s former colleagues and subordinates regarding his pattern</w:t>
      </w:r>
      <w:r w:rsidR="000A21C0">
        <w:rPr>
          <w:rFonts w:ascii="Times New Roman" w:hAnsi="Times New Roman"/>
          <w:sz w:val="24"/>
          <w:szCs w:val="24"/>
        </w:rPr>
        <w:t xml:space="preserve"> </w:t>
      </w:r>
      <w:r w:rsidRPr="000A21C0">
        <w:rPr>
          <w:rFonts w:ascii="Times New Roman" w:hAnsi="Times New Roman"/>
          <w:sz w:val="24"/>
          <w:szCs w:val="24"/>
        </w:rPr>
        <w:t>of sexually harassing behaviors. Rather, we agreed with the Board that any ‘average adult citizen’ would have known the potential sanctions that might follow from Priester’s behavior, noting that Captain Priester abused his status as a captain by creating a hostile and predatory environment, in which he exhibited a pattern of sexually harassing</w:t>
      </w:r>
      <w:r w:rsidR="000A21C0">
        <w:rPr>
          <w:rFonts w:ascii="Times New Roman" w:hAnsi="Times New Roman"/>
          <w:sz w:val="24"/>
          <w:szCs w:val="24"/>
        </w:rPr>
        <w:t xml:space="preserve"> </w:t>
      </w:r>
      <w:r w:rsidRPr="000A21C0">
        <w:rPr>
          <w:rFonts w:ascii="Times New Roman" w:hAnsi="Times New Roman"/>
          <w:sz w:val="24"/>
          <w:szCs w:val="24"/>
        </w:rPr>
        <w:t>women for his amusement and the amusement of his minions. . . . He was responsible, as captain, for enforcing the very rules that he flagrantly violated.”</w:t>
      </w:r>
    </w:p>
    <w:p w14:paraId="6F8A0645" w14:textId="77777777" w:rsidR="000630E9" w:rsidRDefault="000630E9" w:rsidP="002C54F5">
      <w:pPr>
        <w:pStyle w:val="NoSpacing"/>
        <w:ind w:left="720"/>
        <w:rPr>
          <w:rFonts w:ascii="Times New Roman" w:hAnsi="Times New Roman"/>
          <w:sz w:val="24"/>
          <w:szCs w:val="24"/>
        </w:rPr>
      </w:pPr>
    </w:p>
    <w:p w14:paraId="5A48FC44" w14:textId="77777777" w:rsidR="000630E9" w:rsidRDefault="000630E9" w:rsidP="002C54F5">
      <w:pPr>
        <w:pStyle w:val="NoSpacing"/>
        <w:ind w:left="720"/>
        <w:rPr>
          <w:rFonts w:ascii="Times New Roman" w:hAnsi="Times New Roman"/>
          <w:sz w:val="24"/>
          <w:szCs w:val="24"/>
        </w:rPr>
      </w:pPr>
    </w:p>
    <w:p w14:paraId="6F0E3F81" w14:textId="77777777" w:rsidR="000630E9" w:rsidRPr="000630E9" w:rsidRDefault="000630E9" w:rsidP="000630E9">
      <w:pPr>
        <w:pStyle w:val="NoSpacing"/>
        <w:rPr>
          <w:rFonts w:ascii="Times New Roman" w:hAnsi="Times New Roman"/>
          <w:bCs/>
          <w:sz w:val="24"/>
          <w:szCs w:val="24"/>
        </w:rPr>
      </w:pPr>
      <w:r w:rsidRPr="000630E9">
        <w:rPr>
          <w:rFonts w:ascii="Times New Roman" w:hAnsi="Times New Roman"/>
          <w:sz w:val="24"/>
          <w:szCs w:val="24"/>
        </w:rPr>
        <w:t>HOLDING:</w:t>
      </w:r>
    </w:p>
    <w:p w14:paraId="10A739DE" w14:textId="77777777" w:rsidR="000630E9" w:rsidRPr="000630E9" w:rsidRDefault="000630E9" w:rsidP="000630E9">
      <w:pPr>
        <w:pStyle w:val="NoSpacing"/>
        <w:rPr>
          <w:rFonts w:ascii="Times New Roman" w:hAnsi="Times New Roman"/>
          <w:bCs/>
          <w:sz w:val="24"/>
          <w:szCs w:val="24"/>
        </w:rPr>
      </w:pPr>
    </w:p>
    <w:p w14:paraId="7A63B2D1" w14:textId="77777777" w:rsidR="000630E9" w:rsidRPr="000630E9" w:rsidRDefault="000630E9" w:rsidP="000630E9">
      <w:pPr>
        <w:pStyle w:val="NoSpacing"/>
        <w:ind w:left="720"/>
        <w:rPr>
          <w:rFonts w:ascii="Times New Roman" w:hAnsi="Times New Roman"/>
          <w:bCs/>
          <w:sz w:val="24"/>
          <w:szCs w:val="24"/>
        </w:rPr>
      </w:pPr>
      <w:r w:rsidRPr="000630E9">
        <w:rPr>
          <w:rFonts w:ascii="Times New Roman" w:hAnsi="Times New Roman"/>
          <w:sz w:val="24"/>
          <w:szCs w:val="24"/>
        </w:rPr>
        <w:t>“Without articulating the relevant findings, the PSAB properly apply the relevant law to decide on Priester’s termination. This deficiency—compounded by the reliance on a ‘prior decision’ that does not exist— warrants a remand for the PSAB to make additional factual findings that would enable meaningful judicial review.”</w:t>
      </w:r>
    </w:p>
    <w:p w14:paraId="5DCFEC77" w14:textId="77777777" w:rsidR="000630E9" w:rsidRPr="000630E9" w:rsidRDefault="000630E9" w:rsidP="000630E9">
      <w:pPr>
        <w:pStyle w:val="NoSpacing"/>
        <w:ind w:left="720"/>
        <w:rPr>
          <w:rFonts w:ascii="Times New Roman" w:hAnsi="Times New Roman"/>
          <w:bCs/>
          <w:sz w:val="24"/>
          <w:szCs w:val="24"/>
        </w:rPr>
      </w:pPr>
    </w:p>
    <w:p w14:paraId="0CAF8AD8" w14:textId="77777777" w:rsidR="000630E9" w:rsidRPr="000630E9" w:rsidRDefault="000630E9" w:rsidP="000630E9">
      <w:pPr>
        <w:pStyle w:val="NoSpacing"/>
        <w:rPr>
          <w:rFonts w:ascii="Times New Roman" w:hAnsi="Times New Roman"/>
          <w:b/>
          <w:sz w:val="24"/>
          <w:szCs w:val="24"/>
        </w:rPr>
      </w:pPr>
      <w:r w:rsidRPr="000630E9">
        <w:rPr>
          <w:rFonts w:ascii="Times New Roman" w:hAnsi="Times New Roman"/>
          <w:b/>
          <w:sz w:val="24"/>
          <w:szCs w:val="24"/>
        </w:rPr>
        <w:t>Legal Lesson Learned: This case illustrates the importance of Civil Service Boards making final decisions, supported by findings of fact.   In the event of a tie vote, rehear the case.</w:t>
      </w:r>
    </w:p>
    <w:p w14:paraId="456E2C60" w14:textId="77777777" w:rsidR="000630E9" w:rsidRPr="000630E9" w:rsidRDefault="000630E9" w:rsidP="000630E9">
      <w:pPr>
        <w:pStyle w:val="NoSpacing"/>
        <w:rPr>
          <w:rFonts w:ascii="Times New Roman" w:hAnsi="Times New Roman"/>
          <w:b/>
          <w:sz w:val="24"/>
          <w:szCs w:val="24"/>
        </w:rPr>
      </w:pPr>
    </w:p>
    <w:p w14:paraId="2EA949A6" w14:textId="77777777" w:rsidR="000630E9" w:rsidRDefault="000630E9" w:rsidP="000630E9">
      <w:pPr>
        <w:rPr>
          <w:bCs/>
        </w:rPr>
      </w:pPr>
    </w:p>
    <w:p w14:paraId="2B3017D0" w14:textId="77777777" w:rsidR="000630E9" w:rsidRPr="000A21C0" w:rsidRDefault="000630E9" w:rsidP="002C54F5">
      <w:pPr>
        <w:pStyle w:val="NoSpacing"/>
        <w:ind w:left="720"/>
        <w:rPr>
          <w:rFonts w:ascii="Times New Roman" w:hAnsi="Times New Roman"/>
          <w:bCs/>
          <w:sz w:val="24"/>
          <w:szCs w:val="24"/>
        </w:rPr>
      </w:pPr>
    </w:p>
    <w:p w14:paraId="11238DFE" w14:textId="77777777" w:rsidR="00AE2F67" w:rsidRDefault="00AE2F67" w:rsidP="00F326E5">
      <w:pPr>
        <w:pStyle w:val="NoSpacing"/>
        <w:rPr>
          <w:rFonts w:ascii="Arial Black" w:hAnsi="Arial Black"/>
          <w:b/>
          <w:bCs/>
          <w:sz w:val="24"/>
          <w:szCs w:val="24"/>
        </w:rPr>
      </w:pPr>
    </w:p>
    <w:p w14:paraId="6DFFD68C" w14:textId="096F6287" w:rsidR="00922A0A" w:rsidRDefault="00922A0A" w:rsidP="00F326E5">
      <w:pPr>
        <w:pStyle w:val="NoSpacing"/>
        <w:rPr>
          <w:rFonts w:ascii="Arial Black" w:hAnsi="Arial Black"/>
          <w:b/>
          <w:bCs/>
          <w:sz w:val="24"/>
          <w:szCs w:val="24"/>
        </w:rPr>
      </w:pPr>
      <w:r>
        <w:rPr>
          <w:rFonts w:ascii="Arial Black" w:hAnsi="Arial Black"/>
          <w:b/>
          <w:bCs/>
          <w:sz w:val="24"/>
          <w:szCs w:val="24"/>
        </w:rPr>
        <w:t>7-</w:t>
      </w:r>
      <w:r w:rsidR="00534272">
        <w:rPr>
          <w:rFonts w:ascii="Arial Black" w:hAnsi="Arial Black"/>
          <w:b/>
          <w:bCs/>
          <w:sz w:val="24"/>
          <w:szCs w:val="24"/>
        </w:rPr>
        <w:t>68</w:t>
      </w:r>
    </w:p>
    <w:p w14:paraId="007E59A2" w14:textId="77777777" w:rsidR="00087209" w:rsidRDefault="00087209" w:rsidP="00F326E5">
      <w:pPr>
        <w:pStyle w:val="NoSpacing"/>
        <w:rPr>
          <w:rFonts w:ascii="Arial Black" w:hAnsi="Arial Black"/>
          <w:b/>
          <w:bCs/>
          <w:sz w:val="24"/>
          <w:szCs w:val="24"/>
        </w:rPr>
      </w:pPr>
    </w:p>
    <w:p w14:paraId="21608962" w14:textId="77777777" w:rsidR="00087209" w:rsidRPr="00A54508" w:rsidRDefault="00087209" w:rsidP="00087209">
      <w:pPr>
        <w:rPr>
          <w:rFonts w:ascii="Arial Black" w:hAnsi="Arial Black"/>
          <w:b/>
          <w:sz w:val="28"/>
          <w:szCs w:val="28"/>
        </w:rPr>
      </w:pPr>
      <w:r w:rsidRPr="00A54508">
        <w:rPr>
          <w:rFonts w:ascii="Arial Black" w:hAnsi="Arial Black"/>
          <w:b/>
          <w:sz w:val="28"/>
          <w:szCs w:val="28"/>
        </w:rPr>
        <w:t>US S</w:t>
      </w:r>
      <w:r>
        <w:rPr>
          <w:rFonts w:ascii="Arial Black" w:hAnsi="Arial Black"/>
          <w:b/>
          <w:sz w:val="28"/>
          <w:szCs w:val="28"/>
        </w:rPr>
        <w:t xml:space="preserve">UP CT: “STRAIGHT” CLAIMS DISC BY GAY MGR </w:t>
      </w:r>
    </w:p>
    <w:p w14:paraId="4DFE54B9" w14:textId="77777777" w:rsidR="007F5FF3" w:rsidRPr="007F5FF3" w:rsidRDefault="007F5FF3" w:rsidP="007F5FF3">
      <w:pPr>
        <w:rPr>
          <w:rStyle w:val="Hyperlink"/>
          <w:rFonts w:ascii="Times New Roman" w:hAnsi="Times New Roman"/>
          <w:sz w:val="24"/>
          <w:szCs w:val="24"/>
        </w:rPr>
      </w:pPr>
      <w:r w:rsidRPr="007F5FF3">
        <w:rPr>
          <w:rFonts w:ascii="Times New Roman" w:hAnsi="Times New Roman"/>
          <w:sz w:val="24"/>
          <w:szCs w:val="24"/>
        </w:rPr>
        <w:t xml:space="preserve">On Dec. 16, 2024, in </w:t>
      </w:r>
      <w:r w:rsidRPr="007F5FF3">
        <w:rPr>
          <w:rFonts w:ascii="Times New Roman" w:hAnsi="Times New Roman"/>
          <w:sz w:val="24"/>
          <w:szCs w:val="24"/>
          <w:u w:val="single"/>
        </w:rPr>
        <w:t>Marlean A. Ames, Petitioner v. Ohio Department of Youth Services</w:t>
      </w:r>
      <w:r w:rsidRPr="007F5FF3">
        <w:rPr>
          <w:rFonts w:ascii="Times New Roman" w:hAnsi="Times New Roman"/>
          <w:sz w:val="24"/>
          <w:szCs w:val="24"/>
        </w:rPr>
        <w:t>, the U.S. Department of Justice, Solicitor General, filed an amicus brief with the U.S. Supreme Court that Title VII prohibits racial discrimination against both minorities and those who are in majority (including white and heterosexual plaintiffs), with same standards of proof.  The  6</w:t>
      </w:r>
      <w:r w:rsidRPr="007F5FF3">
        <w:rPr>
          <w:rFonts w:ascii="Times New Roman" w:hAnsi="Times New Roman"/>
          <w:sz w:val="24"/>
          <w:szCs w:val="24"/>
          <w:vertAlign w:val="superscript"/>
        </w:rPr>
        <w:t>th</w:t>
      </w:r>
      <w:r w:rsidRPr="007F5FF3">
        <w:rPr>
          <w:rFonts w:ascii="Times New Roman" w:hAnsi="Times New Roman"/>
          <w:sz w:val="24"/>
          <w:szCs w:val="24"/>
        </w:rPr>
        <w:t xml:space="preserve"> Circuit had upheld the dismissal of the lawsuit by Ms. Ames (heterosexual) since she did show “background circumstances” to support her claim; such as statistical evidence showing a pattern of discrimination at her workplace in favor of gays.  The U.S. Supreme Court on Oct. 4, </w:t>
      </w:r>
      <w:proofErr w:type="gramStart"/>
      <w:r w:rsidRPr="007F5FF3">
        <w:rPr>
          <w:rFonts w:ascii="Times New Roman" w:hAnsi="Times New Roman"/>
          <w:sz w:val="24"/>
          <w:szCs w:val="24"/>
        </w:rPr>
        <w:t>2024</w:t>
      </w:r>
      <w:proofErr w:type="gramEnd"/>
      <w:r w:rsidRPr="007F5FF3">
        <w:rPr>
          <w:rFonts w:ascii="Times New Roman" w:hAnsi="Times New Roman"/>
          <w:sz w:val="24"/>
          <w:szCs w:val="24"/>
        </w:rPr>
        <w:t xml:space="preserve"> agreed to hear Ms. Ames’ appeal; a decision in this case could have significant impact on “reverse discrimination” cases, including fire &amp; EMS. </w:t>
      </w:r>
      <w:hyperlink r:id="rId1313" w:history="1">
        <w:r w:rsidRPr="007F5FF3">
          <w:rPr>
            <w:rStyle w:val="Hyperlink"/>
            <w:rFonts w:ascii="Times New Roman" w:hAnsi="Times New Roman"/>
            <w:sz w:val="24"/>
            <w:szCs w:val="24"/>
          </w:rPr>
          <w:t>https://www.supremecourt.gov/DocketPDF/23/23-1039/335322/20241216192608136_23-1039_Ames_Amicus_Brief_iso_Vacatur.pdf</w:t>
        </w:r>
      </w:hyperlink>
    </w:p>
    <w:p w14:paraId="3575EB13" w14:textId="77777777" w:rsidR="00087209" w:rsidRPr="00087209" w:rsidRDefault="00087209" w:rsidP="00087209">
      <w:pPr>
        <w:pStyle w:val="NoSpacing"/>
        <w:rPr>
          <w:rFonts w:ascii="Times New Roman" w:hAnsi="Times New Roman"/>
          <w:sz w:val="24"/>
          <w:szCs w:val="24"/>
        </w:rPr>
      </w:pPr>
    </w:p>
    <w:p w14:paraId="07C7F563" w14:textId="77777777" w:rsidR="00087209" w:rsidRPr="00087209" w:rsidRDefault="00087209" w:rsidP="00087209">
      <w:pPr>
        <w:pStyle w:val="NoSpacing"/>
        <w:rPr>
          <w:rFonts w:ascii="Times New Roman" w:hAnsi="Times New Roman"/>
          <w:sz w:val="24"/>
          <w:szCs w:val="24"/>
        </w:rPr>
      </w:pPr>
      <w:r w:rsidRPr="00087209">
        <w:rPr>
          <w:rFonts w:ascii="Times New Roman" w:hAnsi="Times New Roman"/>
          <w:sz w:val="24"/>
          <w:szCs w:val="24"/>
        </w:rPr>
        <w:t>The Solicitor General brief included:</w:t>
      </w:r>
    </w:p>
    <w:p w14:paraId="1D1D78AF" w14:textId="77777777" w:rsidR="00087209" w:rsidRPr="00087209" w:rsidRDefault="00087209" w:rsidP="00087209">
      <w:pPr>
        <w:pStyle w:val="NoSpacing"/>
        <w:rPr>
          <w:rFonts w:ascii="Times New Roman" w:hAnsi="Times New Roman"/>
          <w:sz w:val="24"/>
          <w:szCs w:val="24"/>
        </w:rPr>
      </w:pPr>
    </w:p>
    <w:p w14:paraId="0EABA160"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“She [Ms. Ames] alleged, as relevant here, that the denial of a promotion</w:t>
      </w:r>
    </w:p>
    <w:p w14:paraId="695AA482"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 xml:space="preserve">to Bureau Chief in favor of Frierson, a gay woman, was discrimination based </w:t>
      </w:r>
    </w:p>
    <w:p w14:paraId="5565F7C0"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 xml:space="preserve">on sexual orientation and that her demotion in favor of Stojsavljevic, a gay man, </w:t>
      </w:r>
    </w:p>
    <w:p w14:paraId="43DE6980"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lastRenderedPageBreak/>
        <w:t xml:space="preserve">was discrimination based on sexual orientation and sex. *** The requirements of a </w:t>
      </w:r>
    </w:p>
    <w:p w14:paraId="0AB078AE" w14:textId="6895CCDF" w:rsidR="00087209" w:rsidRDefault="00087209" w:rsidP="005A5089">
      <w:pPr>
        <w:pStyle w:val="NoSpacing"/>
        <w:ind w:left="720"/>
      </w:pPr>
      <w:proofErr w:type="gramStart"/>
      <w:r w:rsidRPr="00087209">
        <w:rPr>
          <w:rFonts w:ascii="Times New Roman" w:hAnsi="Times New Roman"/>
          <w:sz w:val="24"/>
          <w:szCs w:val="24"/>
        </w:rPr>
        <w:t>prima</w:t>
      </w:r>
      <w:proofErr w:type="gramEnd"/>
      <w:r w:rsidRPr="00087209">
        <w:rPr>
          <w:rFonts w:ascii="Times New Roman" w:hAnsi="Times New Roman"/>
          <w:sz w:val="24"/>
          <w:szCs w:val="24"/>
        </w:rPr>
        <w:t xml:space="preserve"> facie case </w:t>
      </w:r>
      <w:proofErr w:type="gramStart"/>
      <w:r w:rsidRPr="00087209">
        <w:rPr>
          <w:rFonts w:ascii="Times New Roman" w:hAnsi="Times New Roman"/>
          <w:sz w:val="24"/>
          <w:szCs w:val="24"/>
        </w:rPr>
        <w:t>do</w:t>
      </w:r>
      <w:proofErr w:type="gramEnd"/>
      <w:r w:rsidRPr="00087209">
        <w:rPr>
          <w:rFonts w:ascii="Times New Roman" w:hAnsi="Times New Roman"/>
          <w:sz w:val="24"/>
          <w:szCs w:val="24"/>
        </w:rPr>
        <w:t xml:space="preserve"> not vary depending on the plaintiff ’s protected characteristics. To the contrary, this Court has squarely held that Title VII ‘prohibits racial discrimination against * * * white [plaintiffs] upon the same standards as would be applicable’ if they were Black. </w:t>
      </w:r>
      <w:r w:rsidRPr="00087209">
        <w:rPr>
          <w:rFonts w:ascii="Times New Roman" w:hAnsi="Times New Roman"/>
          <w:sz w:val="24"/>
          <w:szCs w:val="24"/>
          <w:u w:val="single"/>
        </w:rPr>
        <w:t>McDonald</w:t>
      </w:r>
      <w:r w:rsidRPr="00087209">
        <w:rPr>
          <w:rFonts w:ascii="Times New Roman" w:hAnsi="Times New Roman"/>
          <w:sz w:val="24"/>
          <w:szCs w:val="24"/>
        </w:rPr>
        <w:t xml:space="preserve">, 427 U.S. at 280. The EEOC, too, has long understood Title VII to require that the claims of minority- and majority-group plaintiffs be assessed in the same fashion.”   </w:t>
      </w:r>
    </w:p>
    <w:p w14:paraId="0792AF6C" w14:textId="77777777" w:rsidR="00087209" w:rsidRDefault="00087209" w:rsidP="00F326E5">
      <w:pPr>
        <w:pStyle w:val="NoSpacing"/>
        <w:rPr>
          <w:rFonts w:ascii="Arial Black" w:hAnsi="Arial Black"/>
          <w:b/>
          <w:bCs/>
          <w:sz w:val="24"/>
          <w:szCs w:val="24"/>
        </w:rPr>
      </w:pPr>
    </w:p>
    <w:p w14:paraId="37B649D1" w14:textId="77777777" w:rsidR="00AE2F67" w:rsidRPr="00AE2F67" w:rsidRDefault="00AE2F67" w:rsidP="00AE2F67">
      <w:pPr>
        <w:pStyle w:val="NoSpacing"/>
        <w:rPr>
          <w:rFonts w:ascii="Times New Roman" w:hAnsi="Times New Roman"/>
          <w:sz w:val="24"/>
          <w:szCs w:val="24"/>
        </w:rPr>
      </w:pPr>
      <w:r w:rsidRPr="00AE2F67">
        <w:rPr>
          <w:rFonts w:ascii="Times New Roman" w:hAnsi="Times New Roman"/>
          <w:sz w:val="24"/>
          <w:szCs w:val="24"/>
        </w:rPr>
        <w:t>HOLDING: [Note: We must now wait for the U.S. Supreme Court to hear oral argument, and decide the appeal, or remand it to the 6</w:t>
      </w:r>
      <w:r w:rsidRPr="00AE2F67">
        <w:rPr>
          <w:rFonts w:ascii="Times New Roman" w:hAnsi="Times New Roman"/>
          <w:sz w:val="24"/>
          <w:szCs w:val="24"/>
          <w:vertAlign w:val="superscript"/>
        </w:rPr>
        <w:t>th</w:t>
      </w:r>
      <w:r w:rsidRPr="00AE2F67">
        <w:rPr>
          <w:rFonts w:ascii="Times New Roman" w:hAnsi="Times New Roman"/>
          <w:sz w:val="24"/>
          <w:szCs w:val="24"/>
        </w:rPr>
        <w:t xml:space="preserve"> Circuit.]</w:t>
      </w:r>
    </w:p>
    <w:p w14:paraId="673AAD3E" w14:textId="77777777" w:rsidR="00AE2F67" w:rsidRPr="00AE2F67" w:rsidRDefault="00AE2F67" w:rsidP="00AE2F67">
      <w:pPr>
        <w:pStyle w:val="NoSpacing"/>
        <w:rPr>
          <w:rFonts w:ascii="Times New Roman" w:hAnsi="Times New Roman"/>
          <w:sz w:val="24"/>
          <w:szCs w:val="24"/>
        </w:rPr>
      </w:pPr>
    </w:p>
    <w:p w14:paraId="511506F4" w14:textId="77777777" w:rsidR="00AE2F67" w:rsidRPr="00AE2F67" w:rsidRDefault="00AE2F67" w:rsidP="00AE2F67">
      <w:pPr>
        <w:pStyle w:val="NoSpacing"/>
        <w:rPr>
          <w:rFonts w:ascii="Times New Roman" w:hAnsi="Times New Roman"/>
          <w:sz w:val="24"/>
          <w:szCs w:val="24"/>
        </w:rPr>
      </w:pPr>
      <w:r w:rsidRPr="00AE2F67">
        <w:rPr>
          <w:rFonts w:ascii="Times New Roman" w:hAnsi="Times New Roman"/>
          <w:sz w:val="24"/>
          <w:szCs w:val="24"/>
        </w:rPr>
        <w:t>See the 6</w:t>
      </w:r>
      <w:r w:rsidRPr="00AE2F67">
        <w:rPr>
          <w:rFonts w:ascii="Times New Roman" w:hAnsi="Times New Roman"/>
          <w:sz w:val="24"/>
          <w:szCs w:val="24"/>
          <w:vertAlign w:val="superscript"/>
        </w:rPr>
        <w:t>th</w:t>
      </w:r>
      <w:r w:rsidRPr="00AE2F67">
        <w:rPr>
          <w:rFonts w:ascii="Times New Roman" w:hAnsi="Times New Roman"/>
          <w:sz w:val="24"/>
          <w:szCs w:val="24"/>
        </w:rPr>
        <w:t xml:space="preserve"> Circuit decision, Dec. 4, 2023:</w:t>
      </w:r>
    </w:p>
    <w:p w14:paraId="2EB899E8" w14:textId="77777777" w:rsidR="00AE2F67" w:rsidRPr="00AE2F67" w:rsidRDefault="00AE2F67" w:rsidP="00AE2F67">
      <w:pPr>
        <w:pStyle w:val="NoSpacing"/>
        <w:rPr>
          <w:rFonts w:ascii="Times New Roman" w:hAnsi="Times New Roman"/>
          <w:sz w:val="24"/>
          <w:szCs w:val="24"/>
        </w:rPr>
      </w:pPr>
    </w:p>
    <w:p w14:paraId="7AF515E5" w14:textId="77777777" w:rsidR="00AE2F67" w:rsidRPr="00AE2F67" w:rsidRDefault="00AE2F67" w:rsidP="00AE2F67">
      <w:pPr>
        <w:pStyle w:val="NoSpacing"/>
        <w:ind w:left="720"/>
        <w:rPr>
          <w:rFonts w:ascii="Times New Roman" w:hAnsi="Times New Roman"/>
          <w:sz w:val="24"/>
          <w:szCs w:val="24"/>
        </w:rPr>
      </w:pPr>
      <w:r w:rsidRPr="00AE2F67">
        <w:rPr>
          <w:rFonts w:ascii="Times New Roman" w:hAnsi="Times New Roman"/>
          <w:sz w:val="24"/>
          <w:szCs w:val="24"/>
        </w:rPr>
        <w:t xml:space="preserve">“In January 2019, Ohio’s governor appointed Ryan Gies to be the Department’s Director. Walburn [Assistant Director Julie Walburn] and Gies are both heterosexual. *** First, Ames was terminated as PREA Administrator by Walburn and Gies, who are both heterosexual. *** Second, Ames’s only evidence of a pattern of discrimination against heterosexuals is her own demotion and the denial of the Bureau Chief position. Under our caselaw, however, a plaintiff cannot point to her own experience to establish a pattern of discrimination. *** Ames therefore has not made the necessary showing of “background circumstances.” For that </w:t>
      </w:r>
      <w:proofErr w:type="gramStart"/>
      <w:r w:rsidRPr="00AE2F67">
        <w:rPr>
          <w:rFonts w:ascii="Times New Roman" w:hAnsi="Times New Roman"/>
          <w:sz w:val="24"/>
          <w:szCs w:val="24"/>
        </w:rPr>
        <w:t>reason</w:t>
      </w:r>
      <w:proofErr w:type="gramEnd"/>
      <w:r w:rsidRPr="00AE2F67">
        <w:rPr>
          <w:rFonts w:ascii="Times New Roman" w:hAnsi="Times New Roman"/>
          <w:sz w:val="24"/>
          <w:szCs w:val="24"/>
        </w:rPr>
        <w:t xml:space="preserve"> her claim of sexual-orientation discrimination fails.”  </w:t>
      </w:r>
      <w:hyperlink r:id="rId1314" w:history="1">
        <w:r w:rsidRPr="00AE2F67">
          <w:rPr>
            <w:rStyle w:val="Hyperlink"/>
            <w:rFonts w:ascii="Times New Roman" w:hAnsi="Times New Roman"/>
            <w:sz w:val="24"/>
            <w:szCs w:val="24"/>
          </w:rPr>
          <w:t>https://www.opn.ca6.uscourts.gov/opinions.pdf/23a0264p-06.pdf</w:t>
        </w:r>
      </w:hyperlink>
      <w:r w:rsidRPr="00AE2F67">
        <w:rPr>
          <w:rFonts w:ascii="Times New Roman" w:hAnsi="Times New Roman"/>
          <w:sz w:val="24"/>
          <w:szCs w:val="24"/>
        </w:rPr>
        <w:t xml:space="preserve"> </w:t>
      </w:r>
    </w:p>
    <w:p w14:paraId="2755F05F" w14:textId="77777777" w:rsidR="00AE2F67" w:rsidRPr="00AE2F67" w:rsidRDefault="00AE2F67" w:rsidP="00AE2F67">
      <w:pPr>
        <w:pStyle w:val="NoSpacing"/>
        <w:ind w:left="720"/>
        <w:rPr>
          <w:rFonts w:ascii="Times New Roman" w:hAnsi="Times New Roman"/>
          <w:sz w:val="24"/>
          <w:szCs w:val="24"/>
        </w:rPr>
      </w:pPr>
    </w:p>
    <w:p w14:paraId="26F341DB" w14:textId="77777777" w:rsidR="00AE2F67" w:rsidRPr="00AE2F67" w:rsidRDefault="00AE2F67" w:rsidP="00AE2F67">
      <w:pPr>
        <w:pStyle w:val="NoSpacing"/>
        <w:rPr>
          <w:rFonts w:ascii="Times New Roman" w:hAnsi="Times New Roman"/>
          <w:b/>
          <w:bCs/>
          <w:sz w:val="24"/>
          <w:szCs w:val="24"/>
        </w:rPr>
      </w:pPr>
      <w:r w:rsidRPr="00AE2F67">
        <w:rPr>
          <w:rFonts w:ascii="Times New Roman" w:hAnsi="Times New Roman"/>
          <w:b/>
          <w:sz w:val="24"/>
          <w:szCs w:val="24"/>
        </w:rPr>
        <w:t xml:space="preserve">Legal Lesson Learned:  Important case to clarify that Title VII rights are not just for minority employees. </w:t>
      </w:r>
    </w:p>
    <w:p w14:paraId="5D324420" w14:textId="77777777" w:rsidR="00AE2F67" w:rsidRPr="00AE2F67" w:rsidRDefault="00AE2F67" w:rsidP="00AE2F67">
      <w:pPr>
        <w:pStyle w:val="NoSpacing"/>
        <w:rPr>
          <w:rFonts w:ascii="Times New Roman" w:hAnsi="Times New Roman"/>
          <w:sz w:val="24"/>
          <w:szCs w:val="24"/>
        </w:rPr>
      </w:pPr>
    </w:p>
    <w:p w14:paraId="6B1BE5D5" w14:textId="77777777" w:rsidR="00922A0A" w:rsidRDefault="00922A0A" w:rsidP="00F326E5">
      <w:pPr>
        <w:pStyle w:val="NoSpacing"/>
        <w:rPr>
          <w:rFonts w:ascii="Arial Black" w:hAnsi="Arial Black"/>
          <w:b/>
          <w:bCs/>
          <w:sz w:val="24"/>
          <w:szCs w:val="24"/>
        </w:rPr>
      </w:pPr>
    </w:p>
    <w:p w14:paraId="2EEA0D80" w14:textId="77777777" w:rsidR="00922A0A" w:rsidRDefault="00922A0A" w:rsidP="00F326E5">
      <w:pPr>
        <w:pStyle w:val="NoSpacing"/>
        <w:rPr>
          <w:rFonts w:ascii="Arial Black" w:hAnsi="Arial Black"/>
          <w:b/>
          <w:bCs/>
          <w:sz w:val="24"/>
          <w:szCs w:val="24"/>
        </w:rPr>
      </w:pPr>
    </w:p>
    <w:p w14:paraId="2D5636DE" w14:textId="284D0CA0" w:rsidR="006D679A" w:rsidRDefault="006D679A" w:rsidP="00F326E5">
      <w:pPr>
        <w:pStyle w:val="NoSpacing"/>
        <w:rPr>
          <w:rFonts w:ascii="Arial Black" w:hAnsi="Arial Black"/>
          <w:b/>
          <w:bCs/>
          <w:sz w:val="24"/>
          <w:szCs w:val="24"/>
        </w:rPr>
      </w:pPr>
      <w:r>
        <w:rPr>
          <w:rFonts w:ascii="Arial Black" w:hAnsi="Arial Black"/>
          <w:b/>
          <w:bCs/>
          <w:sz w:val="24"/>
          <w:szCs w:val="24"/>
        </w:rPr>
        <w:t>7-67</w:t>
      </w:r>
    </w:p>
    <w:p w14:paraId="012F81BD" w14:textId="77777777" w:rsidR="006D679A" w:rsidRDefault="006D679A" w:rsidP="00F326E5">
      <w:pPr>
        <w:pStyle w:val="NoSpacing"/>
        <w:rPr>
          <w:rFonts w:ascii="Arial Black" w:hAnsi="Arial Black"/>
          <w:b/>
          <w:bCs/>
          <w:sz w:val="24"/>
          <w:szCs w:val="24"/>
        </w:rPr>
      </w:pPr>
    </w:p>
    <w:p w14:paraId="1E9B3EBF" w14:textId="77777777" w:rsidR="005904B5" w:rsidRPr="00D0761D" w:rsidRDefault="005904B5" w:rsidP="005904B5">
      <w:pPr>
        <w:pStyle w:val="NoSpacing"/>
        <w:rPr>
          <w:rFonts w:ascii="Arial Black" w:hAnsi="Arial Black"/>
          <w:sz w:val="28"/>
        </w:rPr>
      </w:pPr>
      <w:r>
        <w:rPr>
          <w:rFonts w:ascii="Arial Black" w:hAnsi="Arial Black"/>
          <w:sz w:val="28"/>
        </w:rPr>
        <w:t>NM: DEPUTY CHIEF FIRED – OFFENSIVE COMMENTS FEMALE CADET: “BEAUTIFUL WOMAN IN HER UNDERWEAR”</w:t>
      </w:r>
    </w:p>
    <w:p w14:paraId="44C2D604" w14:textId="77777777" w:rsidR="005904B5" w:rsidRPr="005904B5" w:rsidRDefault="005904B5" w:rsidP="005904B5">
      <w:pPr>
        <w:pStyle w:val="NoSpacing"/>
        <w:rPr>
          <w:rFonts w:ascii="Times New Roman" w:hAnsi="Times New Roman"/>
          <w:sz w:val="24"/>
          <w:szCs w:val="24"/>
        </w:rPr>
      </w:pPr>
    </w:p>
    <w:p w14:paraId="01992CE0" w14:textId="77777777" w:rsidR="005904B5" w:rsidRPr="005904B5" w:rsidRDefault="005904B5" w:rsidP="005904B5">
      <w:pPr>
        <w:pStyle w:val="NoSpacing"/>
        <w:rPr>
          <w:rFonts w:ascii="Times New Roman" w:hAnsi="Times New Roman"/>
          <w:sz w:val="24"/>
          <w:szCs w:val="24"/>
        </w:rPr>
      </w:pPr>
      <w:r w:rsidRPr="005904B5">
        <w:rPr>
          <w:rFonts w:ascii="Times New Roman" w:hAnsi="Times New Roman"/>
          <w:sz w:val="24"/>
          <w:szCs w:val="24"/>
        </w:rPr>
        <w:t xml:space="preserve">On September 30, 2024, in </w:t>
      </w:r>
      <w:r w:rsidRPr="005904B5">
        <w:rPr>
          <w:rFonts w:ascii="Times New Roman" w:hAnsi="Times New Roman"/>
          <w:sz w:val="24"/>
          <w:szCs w:val="24"/>
          <w:u w:val="single"/>
        </w:rPr>
        <w:t xml:space="preserve">Eric Tafoya v. City of </w:t>
      </w:r>
      <w:proofErr w:type="spellStart"/>
      <w:r w:rsidRPr="005904B5">
        <w:rPr>
          <w:rFonts w:ascii="Times New Roman" w:hAnsi="Times New Roman"/>
          <w:sz w:val="24"/>
          <w:szCs w:val="24"/>
          <w:u w:val="single"/>
        </w:rPr>
        <w:t>Espaaola</w:t>
      </w:r>
      <w:proofErr w:type="spellEnd"/>
      <w:r w:rsidRPr="005904B5">
        <w:rPr>
          <w:rFonts w:ascii="Times New Roman" w:hAnsi="Times New Roman"/>
          <w:sz w:val="24"/>
          <w:szCs w:val="24"/>
        </w:rPr>
        <w:t xml:space="preserve">, the Court of Appeals of New Mexico (3 to 0; unpublished decision) upheld the City’s termination of the Deputy Fire Chief; he made comments to female Cadet who needed smaller fire boots (in front of her female Lieutenant), about his liking her small feet and male firefighters will not complain about working with her -  “I don’t know why they’d complain about seeing a beautiful woman in her underwear.” The City’s Civil Service Commission hearing officer reversed the termination because the inappropriate comments did not create a “hostile work environment.”   The City appealed to state District Court judge, who upheld the termination; the Court of Appeals agreed.  The Court wrote: “[T]he hearing officer appears to have relied on cases involving claims of sexual harassment under the New Mexico Human Rights Act, NMSA 1978, §§ 28-1-1 to -14 (1969, as amended through 2024), when reaching its decision that Tafoya did not violate the City’s sexual harassment policy. Using those cases, Tafoya argued that New Mexico only recognizes ‘hostile work environment’ and ‘quid pro quo’ sexual harassment claims. *** In that regard, we note that the City’s policy is much broader than Tafoya argues. It provides discipline for sexually harassing conduct that had ‘the effect of creating an offensive, intimidating, degrading or hostile work environment.’ Personnel Policy § 1.4.1(B) at 5 (emphasis added).” </w:t>
      </w:r>
      <w:hyperlink r:id="rId1315" w:history="1">
        <w:r w:rsidRPr="005904B5">
          <w:rPr>
            <w:rStyle w:val="Hyperlink"/>
            <w:rFonts w:ascii="Times New Roman" w:hAnsi="Times New Roman"/>
            <w:sz w:val="24"/>
            <w:szCs w:val="24"/>
          </w:rPr>
          <w:t>https://coa.nmcourts.gov/wp-content/uploads/sites/43/2024/09/September-30-2024-Eric-Tafoya-v.-City-of-Espanola-No.-A-1-CA-40276.pdf</w:t>
        </w:r>
      </w:hyperlink>
      <w:r w:rsidRPr="005904B5">
        <w:rPr>
          <w:rFonts w:ascii="Times New Roman" w:hAnsi="Times New Roman"/>
          <w:sz w:val="24"/>
          <w:szCs w:val="24"/>
        </w:rPr>
        <w:t xml:space="preserve"> </w:t>
      </w:r>
    </w:p>
    <w:p w14:paraId="6C5B438C" w14:textId="77777777" w:rsidR="005904B5" w:rsidRPr="005904B5" w:rsidRDefault="005904B5" w:rsidP="005904B5">
      <w:pPr>
        <w:pStyle w:val="NoSpacing"/>
        <w:rPr>
          <w:rFonts w:ascii="Times New Roman" w:hAnsi="Times New Roman"/>
          <w:sz w:val="24"/>
          <w:szCs w:val="24"/>
        </w:rPr>
      </w:pPr>
    </w:p>
    <w:p w14:paraId="043B3837" w14:textId="77777777" w:rsidR="005904B5" w:rsidRPr="005904B5" w:rsidRDefault="005904B5" w:rsidP="005904B5">
      <w:pPr>
        <w:pStyle w:val="NoSpacing"/>
        <w:rPr>
          <w:rFonts w:ascii="Times New Roman" w:hAnsi="Times New Roman"/>
          <w:sz w:val="24"/>
          <w:szCs w:val="24"/>
        </w:rPr>
      </w:pPr>
    </w:p>
    <w:p w14:paraId="6EE859A3" w14:textId="77777777" w:rsidR="005904B5" w:rsidRPr="005904B5" w:rsidRDefault="005904B5" w:rsidP="005904B5">
      <w:pPr>
        <w:pStyle w:val="NoSpacing"/>
        <w:rPr>
          <w:rFonts w:ascii="Times New Roman" w:hAnsi="Times New Roman"/>
          <w:sz w:val="24"/>
          <w:szCs w:val="24"/>
        </w:rPr>
      </w:pPr>
      <w:r w:rsidRPr="005904B5">
        <w:rPr>
          <w:rFonts w:ascii="Times New Roman" w:hAnsi="Times New Roman"/>
          <w:sz w:val="24"/>
          <w:szCs w:val="24"/>
        </w:rPr>
        <w:t>THE COURT HELD:</w:t>
      </w:r>
    </w:p>
    <w:p w14:paraId="62C3C33D" w14:textId="77777777" w:rsidR="005904B5" w:rsidRPr="005904B5" w:rsidRDefault="005904B5" w:rsidP="005904B5">
      <w:pPr>
        <w:pStyle w:val="NoSpacing"/>
        <w:rPr>
          <w:rFonts w:ascii="Times New Roman" w:hAnsi="Times New Roman"/>
          <w:sz w:val="24"/>
          <w:szCs w:val="24"/>
        </w:rPr>
      </w:pPr>
    </w:p>
    <w:p w14:paraId="0B25F346" w14:textId="77777777" w:rsidR="005904B5" w:rsidRPr="005904B5" w:rsidRDefault="005904B5" w:rsidP="005904B5">
      <w:pPr>
        <w:pStyle w:val="NoSpacing"/>
        <w:ind w:left="720"/>
        <w:rPr>
          <w:rFonts w:ascii="Times New Roman" w:hAnsi="Times New Roman"/>
          <w:sz w:val="24"/>
          <w:szCs w:val="24"/>
        </w:rPr>
      </w:pPr>
      <w:r w:rsidRPr="005904B5">
        <w:rPr>
          <w:rFonts w:ascii="Times New Roman" w:hAnsi="Times New Roman"/>
          <w:sz w:val="24"/>
          <w:szCs w:val="24"/>
        </w:rPr>
        <w:lastRenderedPageBreak/>
        <w:t>“The record supports the district court’s determination that Tafoya’s comments, detailed above, constitute sexual flirtation, verbal comments of a sexual nature, or suggestive comments about Cadet Hart’s body, in violation of the City’s sexual harassment policy.</w:t>
      </w:r>
    </w:p>
    <w:p w14:paraId="49F27E6D" w14:textId="77777777" w:rsidR="005904B5" w:rsidRPr="005904B5" w:rsidRDefault="005904B5" w:rsidP="005904B5">
      <w:pPr>
        <w:pStyle w:val="NoSpacing"/>
        <w:ind w:left="720"/>
        <w:rPr>
          <w:rFonts w:ascii="Times New Roman" w:hAnsi="Times New Roman"/>
          <w:sz w:val="24"/>
          <w:szCs w:val="24"/>
        </w:rPr>
      </w:pPr>
    </w:p>
    <w:p w14:paraId="76E8E5B3" w14:textId="77777777" w:rsidR="005904B5" w:rsidRPr="005904B5" w:rsidRDefault="005904B5" w:rsidP="005904B5">
      <w:pPr>
        <w:pStyle w:val="NoSpacing"/>
        <w:ind w:left="720"/>
        <w:rPr>
          <w:rFonts w:ascii="Times New Roman" w:hAnsi="Times New Roman"/>
          <w:sz w:val="24"/>
          <w:szCs w:val="24"/>
        </w:rPr>
      </w:pPr>
      <w:r w:rsidRPr="005904B5">
        <w:rPr>
          <w:rFonts w:ascii="Times New Roman" w:hAnsi="Times New Roman"/>
          <w:sz w:val="24"/>
          <w:szCs w:val="24"/>
        </w:rPr>
        <w:t>***</w:t>
      </w:r>
    </w:p>
    <w:p w14:paraId="5FC0F684" w14:textId="77777777" w:rsidR="005904B5" w:rsidRPr="005904B5" w:rsidRDefault="005904B5" w:rsidP="005904B5">
      <w:pPr>
        <w:pStyle w:val="NoSpacing"/>
        <w:rPr>
          <w:rFonts w:ascii="Times New Roman" w:hAnsi="Times New Roman"/>
          <w:sz w:val="24"/>
          <w:szCs w:val="24"/>
        </w:rPr>
      </w:pPr>
    </w:p>
    <w:p w14:paraId="08BE14C7" w14:textId="77777777" w:rsidR="005904B5" w:rsidRPr="005904B5" w:rsidRDefault="005904B5" w:rsidP="005904B5">
      <w:pPr>
        <w:pStyle w:val="NoSpacing"/>
        <w:ind w:left="720"/>
        <w:rPr>
          <w:rFonts w:ascii="Times New Roman" w:hAnsi="Times New Roman"/>
          <w:sz w:val="24"/>
          <w:szCs w:val="24"/>
        </w:rPr>
      </w:pPr>
      <w:r w:rsidRPr="005904B5">
        <w:rPr>
          <w:rFonts w:ascii="Times New Roman" w:hAnsi="Times New Roman"/>
          <w:sz w:val="24"/>
          <w:szCs w:val="24"/>
        </w:rPr>
        <w:t>The hearing officer made the following findings, which were adopted by the district court: (1) in response to Lieutenant Martinez’s statement that Tafoya’s boots would not fit Cadet Hart because she has ‘tiny feet,’ Tafoya stated that he ‘loves tiny feet’; (2) in response to Cadet Hart’s statement that ‘my feet are tiny because I have high arches,’ Tafoya stated that he ‘loves high arches and flat feet were ugly’; (3) Tafoya instructed Cadet Hart to try on his turnout gear, and Lieutenant Martinez stated it was okay to do so; (4) Tafoya stated, ‘Oh, good, now we get to see her feet’; and (5) when male firefighters were questioning sharing space with a female and seeing her in her underwear, Tafoya interjected, ‘I don’t know why they’d complain about seeing a beautiful woman in her underwear,’ which Cadet Hart perceived as having sexual connotations and made her feel uncomfortable. These findings are supported by the affidavits of both Lieutenant Martinez and Cadet Hart.”</w:t>
      </w:r>
    </w:p>
    <w:p w14:paraId="7F2FBC34" w14:textId="77777777" w:rsidR="005904B5" w:rsidRPr="005904B5" w:rsidRDefault="005904B5" w:rsidP="005904B5">
      <w:pPr>
        <w:pStyle w:val="NoSpacing"/>
        <w:ind w:left="720"/>
        <w:rPr>
          <w:rFonts w:ascii="Times New Roman" w:hAnsi="Times New Roman"/>
          <w:sz w:val="24"/>
          <w:szCs w:val="24"/>
        </w:rPr>
      </w:pPr>
    </w:p>
    <w:p w14:paraId="30AB6E86" w14:textId="77777777" w:rsidR="005904B5" w:rsidRPr="005904B5" w:rsidRDefault="005904B5" w:rsidP="005904B5">
      <w:pPr>
        <w:pStyle w:val="NoSpacing"/>
        <w:rPr>
          <w:rFonts w:ascii="Times New Roman" w:hAnsi="Times New Roman"/>
          <w:b/>
          <w:bCs/>
          <w:sz w:val="24"/>
          <w:szCs w:val="24"/>
        </w:rPr>
      </w:pPr>
      <w:r w:rsidRPr="005904B5">
        <w:rPr>
          <w:rFonts w:ascii="Times New Roman" w:hAnsi="Times New Roman"/>
          <w:b/>
          <w:bCs/>
          <w:sz w:val="24"/>
          <w:szCs w:val="24"/>
        </w:rPr>
        <w:t xml:space="preserve">Legal Lesson Learned: Avoid offensive or degrading comments. </w:t>
      </w:r>
    </w:p>
    <w:p w14:paraId="4E2A559D" w14:textId="77777777" w:rsidR="006D679A" w:rsidRDefault="006D679A" w:rsidP="00F326E5">
      <w:pPr>
        <w:pStyle w:val="NoSpacing"/>
        <w:rPr>
          <w:rFonts w:ascii="Arial Black" w:hAnsi="Arial Black"/>
          <w:b/>
          <w:bCs/>
          <w:sz w:val="24"/>
          <w:szCs w:val="24"/>
        </w:rPr>
      </w:pPr>
    </w:p>
    <w:p w14:paraId="5A8FA857" w14:textId="77777777" w:rsidR="006D679A" w:rsidRDefault="006D679A" w:rsidP="00F326E5">
      <w:pPr>
        <w:pStyle w:val="NoSpacing"/>
        <w:rPr>
          <w:rFonts w:ascii="Arial Black" w:hAnsi="Arial Black"/>
          <w:b/>
          <w:bCs/>
          <w:sz w:val="24"/>
          <w:szCs w:val="24"/>
        </w:rPr>
      </w:pPr>
    </w:p>
    <w:p w14:paraId="1C9CBF3E" w14:textId="5F83B3A5" w:rsidR="00E04891" w:rsidRDefault="00E04891" w:rsidP="00F326E5">
      <w:pPr>
        <w:pStyle w:val="NoSpacing"/>
        <w:rPr>
          <w:rFonts w:ascii="Arial Black" w:hAnsi="Arial Black"/>
          <w:b/>
          <w:bCs/>
          <w:sz w:val="24"/>
          <w:szCs w:val="24"/>
        </w:rPr>
      </w:pPr>
      <w:r>
        <w:rPr>
          <w:rFonts w:ascii="Arial Black" w:hAnsi="Arial Black"/>
          <w:b/>
          <w:bCs/>
          <w:sz w:val="24"/>
          <w:szCs w:val="24"/>
        </w:rPr>
        <w:t>7-66</w:t>
      </w:r>
    </w:p>
    <w:p w14:paraId="5FE19DEC" w14:textId="77777777" w:rsidR="00235836" w:rsidRDefault="00235836" w:rsidP="00F326E5">
      <w:pPr>
        <w:pStyle w:val="NoSpacing"/>
        <w:rPr>
          <w:rFonts w:ascii="Arial Black" w:hAnsi="Arial Black"/>
          <w:b/>
          <w:bCs/>
          <w:sz w:val="24"/>
          <w:szCs w:val="24"/>
        </w:rPr>
      </w:pPr>
    </w:p>
    <w:p w14:paraId="54F3F4A6" w14:textId="77777777" w:rsidR="00235836" w:rsidRDefault="00235836" w:rsidP="00235836">
      <w:pPr>
        <w:pStyle w:val="NoSpacing"/>
        <w:rPr>
          <w:rFonts w:ascii="Arial Black" w:hAnsi="Arial Black"/>
          <w:sz w:val="28"/>
        </w:rPr>
      </w:pPr>
      <w:r>
        <w:rPr>
          <w:rFonts w:ascii="Arial Black" w:hAnsi="Arial Black"/>
          <w:sz w:val="28"/>
        </w:rPr>
        <w:t xml:space="preserve">LA: OFFICE ROMANCE – ADMIN. AIDE FIRED – TROUBLE IN WORKPLACE - DIVORCED A/C, MARRIED FORMER D/C </w:t>
      </w:r>
    </w:p>
    <w:p w14:paraId="2DFD5946" w14:textId="77777777" w:rsidR="00235836" w:rsidRDefault="00235836" w:rsidP="00235836">
      <w:pPr>
        <w:pStyle w:val="NoSpacing"/>
        <w:rPr>
          <w:rFonts w:ascii="Arial Black" w:hAnsi="Arial Black"/>
          <w:sz w:val="28"/>
        </w:rPr>
      </w:pPr>
    </w:p>
    <w:p w14:paraId="6B56AB84" w14:textId="77777777" w:rsidR="00235836" w:rsidRPr="00235836" w:rsidRDefault="00235836" w:rsidP="00235836">
      <w:pPr>
        <w:pStyle w:val="NoSpacing"/>
        <w:rPr>
          <w:rFonts w:ascii="Times New Roman" w:hAnsi="Times New Roman"/>
          <w:sz w:val="24"/>
          <w:szCs w:val="24"/>
        </w:rPr>
      </w:pPr>
      <w:r w:rsidRPr="00235836">
        <w:rPr>
          <w:rFonts w:ascii="Times New Roman" w:hAnsi="Times New Roman"/>
          <w:sz w:val="24"/>
          <w:szCs w:val="24"/>
        </w:rPr>
        <w:t xml:space="preserve">On August 7, 2024, in Stacie </w:t>
      </w:r>
      <w:proofErr w:type="spellStart"/>
      <w:r w:rsidRPr="00235836">
        <w:rPr>
          <w:rFonts w:ascii="Times New Roman" w:hAnsi="Times New Roman"/>
          <w:sz w:val="24"/>
          <w:szCs w:val="24"/>
        </w:rPr>
        <w:t>Dellucky</w:t>
      </w:r>
      <w:proofErr w:type="spellEnd"/>
      <w:r w:rsidRPr="00235836">
        <w:rPr>
          <w:rFonts w:ascii="Times New Roman" w:hAnsi="Times New Roman"/>
          <w:sz w:val="24"/>
          <w:szCs w:val="24"/>
        </w:rPr>
        <w:t xml:space="preserve"> and Frank Dellucky v, St. George Fire Protection District, et al., U.S. Court of Appeals for 5</w:t>
      </w:r>
      <w:r w:rsidRPr="00235836">
        <w:rPr>
          <w:rFonts w:ascii="Times New Roman" w:hAnsi="Times New Roman"/>
          <w:sz w:val="24"/>
          <w:szCs w:val="24"/>
          <w:vertAlign w:val="superscript"/>
        </w:rPr>
        <w:t>th</w:t>
      </w:r>
      <w:r w:rsidRPr="00235836">
        <w:rPr>
          <w:rFonts w:ascii="Times New Roman" w:hAnsi="Times New Roman"/>
          <w:sz w:val="24"/>
          <w:szCs w:val="24"/>
        </w:rPr>
        <w:t xml:space="preserve"> Circuit (New Orleans) held (3 to 0) that trial court properly summary judgment to the FD and fire chief.   The Court wrote: “Here, the challenged government action-the Chief's termination of Stacie-did not prohibit whole classes of people from marrying. Appellants adduced no evidence of a St. George policy barring co-workers from marrying or banning marriages between members of management and their subordinates. The evidence shows that the Chief's decision was motivated by the fact that </w:t>
      </w:r>
      <w:r w:rsidRPr="00235836">
        <w:rPr>
          <w:rFonts w:ascii="Times New Roman" w:hAnsi="Times New Roman"/>
          <w:i/>
          <w:iCs/>
          <w:sz w:val="24"/>
          <w:szCs w:val="24"/>
        </w:rPr>
        <w:t>Stacie</w:t>
      </w:r>
      <w:r w:rsidRPr="00235836">
        <w:rPr>
          <w:rFonts w:ascii="Times New Roman" w:hAnsi="Times New Roman"/>
          <w:sz w:val="24"/>
          <w:szCs w:val="24"/>
        </w:rPr>
        <w:t xml:space="preserve"> [who divorced  Assistant Fire Chief Chad Roberson] married </w:t>
      </w:r>
      <w:r w:rsidRPr="00235836">
        <w:rPr>
          <w:rFonts w:ascii="Times New Roman" w:hAnsi="Times New Roman"/>
          <w:i/>
          <w:iCs/>
          <w:sz w:val="24"/>
          <w:szCs w:val="24"/>
        </w:rPr>
        <w:t xml:space="preserve">Frank </w:t>
      </w:r>
      <w:r w:rsidRPr="00235836">
        <w:rPr>
          <w:rFonts w:ascii="Times New Roman" w:hAnsi="Times New Roman"/>
          <w:sz w:val="24"/>
          <w:szCs w:val="24"/>
        </w:rPr>
        <w:t xml:space="preserve">[Dellucky, now former District Chief]; there is no evidence that the outcome would have been the same if the marriage had been between two other employees. Moreover, Stacie's termination clearly did not discourage or render practically impossible her marriage to Frank: the record indicates that they remain married today. The challenged government action did not directly and substantially interfere with Stacie's or Frank's right to marry. The district court correctly determined that the appropriate standard of review, therefore, is rational basis review. *** Here, the Chief justified terminating Stacie in their conversation in July 2020: Stacie's and Frank's relationship had caused trouble in the workplace in the past, and the Chief had warned them that if their relationship became permanent, they would not be able to work at St. George. Maintaining workplace order and morale and ensuring that the chain-of-command operates effectively is a legitimate objective.” </w:t>
      </w:r>
      <w:hyperlink r:id="rId1316" w:history="1">
        <w:r w:rsidRPr="00235836">
          <w:rPr>
            <w:rStyle w:val="Hyperlink"/>
            <w:rFonts w:ascii="Times New Roman" w:hAnsi="Times New Roman"/>
            <w:sz w:val="24"/>
            <w:szCs w:val="24"/>
          </w:rPr>
          <w:t>https://www.ca5.uscourts.gov/opinions/unpub/23/23-30810.0.pdf</w:t>
        </w:r>
      </w:hyperlink>
      <w:r w:rsidRPr="00235836">
        <w:rPr>
          <w:rFonts w:ascii="Times New Roman" w:hAnsi="Times New Roman"/>
          <w:sz w:val="24"/>
          <w:szCs w:val="24"/>
        </w:rPr>
        <w:t xml:space="preserve"> </w:t>
      </w:r>
    </w:p>
    <w:p w14:paraId="76FEE607" w14:textId="77777777" w:rsidR="00235836" w:rsidRPr="00235836" w:rsidRDefault="00235836" w:rsidP="00235836">
      <w:pPr>
        <w:pStyle w:val="NoSpacing"/>
        <w:rPr>
          <w:rFonts w:ascii="Times New Roman" w:hAnsi="Times New Roman"/>
          <w:sz w:val="24"/>
          <w:szCs w:val="24"/>
        </w:rPr>
      </w:pPr>
    </w:p>
    <w:p w14:paraId="2BCB9D25" w14:textId="77777777" w:rsidR="00235836" w:rsidRPr="00235836" w:rsidRDefault="00235836" w:rsidP="00235836">
      <w:pPr>
        <w:pStyle w:val="NoSpacing"/>
        <w:rPr>
          <w:rFonts w:ascii="Times New Roman" w:hAnsi="Times New Roman"/>
          <w:sz w:val="24"/>
          <w:szCs w:val="24"/>
        </w:rPr>
      </w:pPr>
      <w:r w:rsidRPr="00235836">
        <w:rPr>
          <w:rFonts w:ascii="Times New Roman" w:hAnsi="Times New Roman"/>
          <w:sz w:val="24"/>
          <w:szCs w:val="24"/>
        </w:rPr>
        <w:t>THE COURT HELD:</w:t>
      </w:r>
    </w:p>
    <w:p w14:paraId="3D585EFF" w14:textId="77777777" w:rsidR="00235836" w:rsidRPr="00235836" w:rsidRDefault="00235836" w:rsidP="00235836">
      <w:pPr>
        <w:pStyle w:val="NoSpacing"/>
        <w:ind w:left="720"/>
        <w:rPr>
          <w:rFonts w:ascii="Times New Roman" w:hAnsi="Times New Roman"/>
          <w:sz w:val="24"/>
          <w:szCs w:val="24"/>
        </w:rPr>
      </w:pPr>
    </w:p>
    <w:p w14:paraId="02412C37" w14:textId="77777777" w:rsidR="00235836" w:rsidRPr="00235836" w:rsidRDefault="00235836" w:rsidP="00235836">
      <w:pPr>
        <w:pStyle w:val="NoSpacing"/>
        <w:ind w:left="720"/>
        <w:rPr>
          <w:rFonts w:ascii="Times New Roman" w:hAnsi="Times New Roman"/>
          <w:sz w:val="24"/>
          <w:szCs w:val="24"/>
        </w:rPr>
      </w:pPr>
      <w:r w:rsidRPr="00235836">
        <w:rPr>
          <w:rFonts w:ascii="Times New Roman" w:hAnsi="Times New Roman"/>
          <w:sz w:val="24"/>
          <w:szCs w:val="24"/>
        </w:rPr>
        <w:t xml:space="preserve">”And Appellants' unsupported assertions notwithstanding, the summary judgment record suggests that Stacie's and Frank's relationship threatened the Chief's ability to accomplish that objective. Appellees have proffered summary judgment evidence showing that the Chief's decision to terminate Stacie bore a ‘rational relationship’ to a legitimate objective. </w:t>
      </w:r>
      <w:r w:rsidRPr="00235836">
        <w:rPr>
          <w:rFonts w:ascii="Times New Roman" w:hAnsi="Times New Roman"/>
          <w:i/>
          <w:iCs/>
          <w:sz w:val="24"/>
          <w:szCs w:val="24"/>
        </w:rPr>
        <w:t>Lewis</w:t>
      </w:r>
      <w:r w:rsidRPr="00235836">
        <w:rPr>
          <w:rFonts w:ascii="Times New Roman" w:hAnsi="Times New Roman"/>
          <w:sz w:val="24"/>
          <w:szCs w:val="24"/>
        </w:rPr>
        <w:t>, 2022 WL 10965839, at *3. Accordingly, the Chief's decision to terminate Stacie's employment passes the rational basis test.”</w:t>
      </w:r>
    </w:p>
    <w:p w14:paraId="1949E9B6" w14:textId="77777777" w:rsidR="00235836" w:rsidRPr="00235836" w:rsidRDefault="00235836" w:rsidP="00235836">
      <w:pPr>
        <w:pStyle w:val="NoSpacing"/>
        <w:ind w:left="720"/>
        <w:rPr>
          <w:rFonts w:ascii="Times New Roman" w:hAnsi="Times New Roman"/>
          <w:sz w:val="24"/>
          <w:szCs w:val="24"/>
        </w:rPr>
      </w:pPr>
    </w:p>
    <w:p w14:paraId="06D5F80A" w14:textId="77777777" w:rsidR="00235836" w:rsidRPr="00235836" w:rsidRDefault="00235836" w:rsidP="00235836">
      <w:pPr>
        <w:pStyle w:val="NoSpacing"/>
        <w:rPr>
          <w:rFonts w:ascii="Times New Roman" w:hAnsi="Times New Roman"/>
          <w:b/>
          <w:bCs/>
          <w:sz w:val="24"/>
          <w:szCs w:val="24"/>
        </w:rPr>
      </w:pPr>
      <w:r w:rsidRPr="00235836">
        <w:rPr>
          <w:rFonts w:ascii="Times New Roman" w:hAnsi="Times New Roman"/>
          <w:b/>
          <w:bCs/>
          <w:sz w:val="24"/>
          <w:szCs w:val="24"/>
        </w:rPr>
        <w:t>Legal Lesson Learned:  As the Court wrote: “Maintaining workplace order and morale and ensuring that the chain-of-command operates effectively is a legitimate objective.”</w:t>
      </w:r>
    </w:p>
    <w:p w14:paraId="59993FB8" w14:textId="77777777" w:rsidR="00235836" w:rsidRDefault="00235836" w:rsidP="00235836">
      <w:pPr>
        <w:pStyle w:val="NoSpacing"/>
        <w:jc w:val="center"/>
        <w:rPr>
          <w:szCs w:val="24"/>
        </w:rPr>
      </w:pPr>
    </w:p>
    <w:p w14:paraId="672E5680" w14:textId="77777777" w:rsidR="00235836" w:rsidRDefault="00235836" w:rsidP="00235836">
      <w:pPr>
        <w:pStyle w:val="NoSpacing"/>
        <w:rPr>
          <w:szCs w:val="24"/>
        </w:rPr>
      </w:pPr>
    </w:p>
    <w:p w14:paraId="07309D66" w14:textId="77777777" w:rsidR="00E04891" w:rsidRDefault="00E04891" w:rsidP="00F326E5">
      <w:pPr>
        <w:pStyle w:val="NoSpacing"/>
        <w:rPr>
          <w:rFonts w:ascii="Arial Black" w:hAnsi="Arial Black"/>
          <w:b/>
          <w:bCs/>
          <w:sz w:val="24"/>
          <w:szCs w:val="24"/>
        </w:rPr>
      </w:pPr>
    </w:p>
    <w:p w14:paraId="0395F36F" w14:textId="74F57258" w:rsidR="005D56E5" w:rsidRDefault="00DD6FAF" w:rsidP="00F326E5">
      <w:pPr>
        <w:pStyle w:val="NoSpacing"/>
        <w:rPr>
          <w:rFonts w:ascii="Arial Black" w:hAnsi="Arial Black"/>
          <w:b/>
          <w:bCs/>
          <w:sz w:val="24"/>
          <w:szCs w:val="24"/>
        </w:rPr>
      </w:pPr>
      <w:r>
        <w:rPr>
          <w:rFonts w:ascii="Arial Black" w:hAnsi="Arial Black"/>
          <w:b/>
          <w:bCs/>
          <w:sz w:val="24"/>
          <w:szCs w:val="24"/>
        </w:rPr>
        <w:t>7-65</w:t>
      </w:r>
    </w:p>
    <w:p w14:paraId="74C84B6B" w14:textId="77777777" w:rsidR="00D6205D" w:rsidRDefault="00D6205D" w:rsidP="00F326E5">
      <w:pPr>
        <w:pStyle w:val="NoSpacing"/>
        <w:rPr>
          <w:rFonts w:ascii="Arial Black" w:hAnsi="Arial Black"/>
          <w:b/>
          <w:bCs/>
          <w:sz w:val="24"/>
          <w:szCs w:val="24"/>
        </w:rPr>
      </w:pPr>
    </w:p>
    <w:p w14:paraId="41CF91FD" w14:textId="36FEA821" w:rsidR="00E04891" w:rsidRPr="003E239A" w:rsidRDefault="00E04891" w:rsidP="00E04891">
      <w:pPr>
        <w:pStyle w:val="NoSpacing"/>
        <w:rPr>
          <w:rFonts w:ascii="Arial Black" w:hAnsi="Arial Black"/>
          <w:sz w:val="28"/>
        </w:rPr>
      </w:pPr>
      <w:r>
        <w:rPr>
          <w:rFonts w:ascii="Arial Black" w:hAnsi="Arial Black"/>
          <w:sz w:val="28"/>
        </w:rPr>
        <w:t>VI: SHE WOKE UP FF “SUCKING ON HER BREAST” - CONT. VIOL. - PRIOR CLAIMS ALSO ADMISSIBLE</w:t>
      </w:r>
    </w:p>
    <w:p w14:paraId="28C50595" w14:textId="77777777" w:rsidR="00EA6854" w:rsidRPr="00EA6854" w:rsidRDefault="00EA6854" w:rsidP="00EA6854">
      <w:pPr>
        <w:pStyle w:val="NoSpacing"/>
        <w:rPr>
          <w:rFonts w:ascii="Times New Roman" w:hAnsi="Times New Roman"/>
          <w:sz w:val="24"/>
          <w:szCs w:val="24"/>
        </w:rPr>
      </w:pPr>
    </w:p>
    <w:p w14:paraId="2973F873" w14:textId="77777777" w:rsidR="00EA6854" w:rsidRPr="00EA6854" w:rsidRDefault="00EA6854" w:rsidP="00EA6854">
      <w:pPr>
        <w:pStyle w:val="NoSpacing"/>
        <w:rPr>
          <w:rFonts w:ascii="Times New Roman" w:hAnsi="Times New Roman"/>
          <w:sz w:val="24"/>
          <w:szCs w:val="24"/>
        </w:rPr>
      </w:pPr>
      <w:r w:rsidRPr="00EA6854">
        <w:rPr>
          <w:rFonts w:ascii="Times New Roman" w:hAnsi="Times New Roman"/>
          <w:sz w:val="24"/>
          <w:szCs w:val="24"/>
        </w:rPr>
        <w:t xml:space="preserve">On Aug. 6, 2024, </w:t>
      </w:r>
      <w:r w:rsidRPr="00EA6854">
        <w:rPr>
          <w:rFonts w:ascii="Times New Roman" w:hAnsi="Times New Roman"/>
          <w:sz w:val="24"/>
          <w:szCs w:val="24"/>
          <w:u w:val="single"/>
        </w:rPr>
        <w:t>in Syreeta Gumbs v. Government of the Virgin Island and Association of Firefighters Local 2125</w:t>
      </w:r>
      <w:r w:rsidRPr="00EA6854">
        <w:rPr>
          <w:rFonts w:ascii="Times New Roman" w:hAnsi="Times New Roman"/>
          <w:sz w:val="24"/>
          <w:szCs w:val="24"/>
        </w:rPr>
        <w:t xml:space="preserve">, Judge Denise M. Francois, Superior Court of the Virgin Island, denied the defense motion for summary judgment, finding that the FD failed to adequately investigate complaints of harassment. Her 2017 complaint about “breast sucking” was timely, however under the “continuing violation doctrine” prior incidents can also go to jury. The Court wrote: “It is reasonable to expect that when faced with a sexual harassment complaint, an employer is not relieved of its duty to ensure the work environment is free from sexual harassment once a complaint is made, regardless of whether the alleged victim cooperates or not. *** November 6, 2017, is the date of the last alleged injury…. by fellow firefighter Lionel Warrell while they were both stationed in St. John. After Hurricanes Irma and Maria destroyed the Cruz Bay fire stations' lodging quarters, firefighters working 24-hour shifts were housed at the St. John Westin, and Gumbs was given her own room within a suite. During the early morning on November 6, Gumbs was asleep in her suite when she was ‘woke up to her shirt lifted above her breast and Warrell sucking on her breast without her consent.’ Gumbs screamed and immediately told Worrell to get out of her room; she later confronted him about the incident. Warrell subsequently admitted to Gumbs' allegations.” </w:t>
      </w:r>
      <w:hyperlink r:id="rId1317" w:history="1">
        <w:r w:rsidRPr="00EA6854">
          <w:rPr>
            <w:rStyle w:val="Hyperlink"/>
            <w:rFonts w:ascii="Times New Roman" w:hAnsi="Times New Roman"/>
            <w:sz w:val="24"/>
            <w:szCs w:val="24"/>
          </w:rPr>
          <w:t>https://cdnsm5-hosted.civiclive.com/UserFiles/Servers/Server_12810747/File/Opinions/2024/st2020cv00154%2029U.pdf</w:t>
        </w:r>
      </w:hyperlink>
      <w:r w:rsidRPr="00EA6854">
        <w:rPr>
          <w:rFonts w:ascii="Times New Roman" w:hAnsi="Times New Roman"/>
          <w:sz w:val="24"/>
          <w:szCs w:val="24"/>
        </w:rPr>
        <w:t xml:space="preserve"> </w:t>
      </w:r>
    </w:p>
    <w:p w14:paraId="610F2D04" w14:textId="77777777" w:rsidR="00EA6854" w:rsidRPr="00EA6854" w:rsidRDefault="00EA6854" w:rsidP="00EA6854">
      <w:pPr>
        <w:pStyle w:val="NoSpacing"/>
        <w:rPr>
          <w:rFonts w:ascii="Times New Roman" w:hAnsi="Times New Roman"/>
          <w:sz w:val="24"/>
          <w:szCs w:val="24"/>
        </w:rPr>
      </w:pPr>
    </w:p>
    <w:p w14:paraId="1E3ED91B" w14:textId="77777777" w:rsidR="00EA6854" w:rsidRPr="00EA6854" w:rsidRDefault="00EA6854" w:rsidP="00EA6854">
      <w:pPr>
        <w:pStyle w:val="NoSpacing"/>
        <w:rPr>
          <w:rFonts w:ascii="Times New Roman" w:hAnsi="Times New Roman"/>
          <w:sz w:val="24"/>
          <w:szCs w:val="24"/>
        </w:rPr>
      </w:pPr>
      <w:r w:rsidRPr="00EA6854">
        <w:rPr>
          <w:rFonts w:ascii="Times New Roman" w:hAnsi="Times New Roman"/>
          <w:sz w:val="24"/>
          <w:szCs w:val="24"/>
        </w:rPr>
        <w:t>THE COURT HELD:</w:t>
      </w:r>
    </w:p>
    <w:p w14:paraId="6C1BB4CD" w14:textId="77777777" w:rsidR="00EA6854" w:rsidRPr="00EA6854" w:rsidRDefault="00EA6854" w:rsidP="00EA6854">
      <w:pPr>
        <w:pStyle w:val="NoSpacing"/>
        <w:rPr>
          <w:rFonts w:ascii="Times New Roman" w:hAnsi="Times New Roman"/>
          <w:sz w:val="24"/>
          <w:szCs w:val="24"/>
        </w:rPr>
      </w:pPr>
    </w:p>
    <w:p w14:paraId="7DF40E0F"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“Because Gumbs' most recent claimed injury occurred within the limitations period, the continuing violation doctrine renders Gumbs' 2009 and 2013 claims timely. The Court concludes that a reasonable jury could enter judgment in favor of Gumbs and consider the 2009, 2013, and 2017 incidents of alleged sexual harassment and the </w:t>
      </w:r>
      <w:proofErr w:type="gramStart"/>
      <w:r w:rsidRPr="00EA6854">
        <w:rPr>
          <w:rFonts w:ascii="Times New Roman" w:hAnsi="Times New Roman"/>
          <w:sz w:val="24"/>
          <w:szCs w:val="24"/>
        </w:rPr>
        <w:t>manner in which</w:t>
      </w:r>
      <w:proofErr w:type="gramEnd"/>
      <w:r w:rsidRPr="00EA6854">
        <w:rPr>
          <w:rFonts w:ascii="Times New Roman" w:hAnsi="Times New Roman"/>
          <w:sz w:val="24"/>
          <w:szCs w:val="24"/>
        </w:rPr>
        <w:t xml:space="preserve"> GVI handled those complaints as ongoing, discriminatory practice that created a hostile work environment. Accordingly, summary judgment is denied.</w:t>
      </w:r>
    </w:p>
    <w:p w14:paraId="16CC63BE" w14:textId="77777777" w:rsidR="00EA6854" w:rsidRPr="00EA6854" w:rsidRDefault="00EA6854" w:rsidP="00EA6854">
      <w:pPr>
        <w:pStyle w:val="NoSpacing"/>
        <w:ind w:left="720"/>
        <w:rPr>
          <w:rFonts w:ascii="Times New Roman" w:hAnsi="Times New Roman"/>
          <w:sz w:val="24"/>
          <w:szCs w:val="24"/>
        </w:rPr>
      </w:pPr>
    </w:p>
    <w:p w14:paraId="3A1B211A"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w:t>
      </w:r>
    </w:p>
    <w:p w14:paraId="3DD1BB50" w14:textId="77777777" w:rsidR="00EA6854" w:rsidRPr="00EA6854" w:rsidRDefault="00EA6854" w:rsidP="00EA6854">
      <w:pPr>
        <w:pStyle w:val="NoSpacing"/>
        <w:ind w:left="720"/>
        <w:rPr>
          <w:rFonts w:ascii="Times New Roman" w:hAnsi="Times New Roman"/>
          <w:sz w:val="24"/>
          <w:szCs w:val="24"/>
        </w:rPr>
      </w:pPr>
    </w:p>
    <w:p w14:paraId="320BAFE0"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Drawing all reasonable inferences in favor of Gumbs as the nonmoving party, a trier of fact could find that the incidents reported were not discrete and unrelated but were part of an ongoing discriminatory pattern or practice of sexual based harassment. Although several years lapsed between the alleged conduct, Andre Smith was the same superior to whom Gumbs reported her harassment claims to in both 2009 and 2013. Furthermore, Chief Smith acknowledged that at the time of Gumbs' initial complaint, female fire fighters were relatively new to VIFS. In addition, the agency had not dealt with sexual harassment complaints before </w:t>
      </w:r>
      <w:proofErr w:type="gramStart"/>
      <w:r w:rsidRPr="00EA6854">
        <w:rPr>
          <w:rFonts w:ascii="Times New Roman" w:hAnsi="Times New Roman"/>
          <w:sz w:val="24"/>
          <w:szCs w:val="24"/>
        </w:rPr>
        <w:t>Gumbs</w:t>
      </w:r>
      <w:proofErr w:type="gramEnd"/>
      <w:r w:rsidRPr="00EA6854">
        <w:rPr>
          <w:rFonts w:ascii="Times New Roman" w:hAnsi="Times New Roman"/>
          <w:sz w:val="24"/>
          <w:szCs w:val="24"/>
        </w:rPr>
        <w:t xml:space="preserve"> and the record demonstrates a lack of consistency in the protocol followed in response to each of her complaints.”</w:t>
      </w:r>
    </w:p>
    <w:p w14:paraId="0566E69E" w14:textId="77777777" w:rsidR="00EA6854" w:rsidRPr="00EA6854" w:rsidRDefault="00EA6854" w:rsidP="00EA6854">
      <w:pPr>
        <w:pStyle w:val="NoSpacing"/>
        <w:ind w:left="720"/>
        <w:rPr>
          <w:rFonts w:ascii="Times New Roman" w:hAnsi="Times New Roman"/>
          <w:sz w:val="24"/>
          <w:szCs w:val="24"/>
        </w:rPr>
      </w:pPr>
    </w:p>
    <w:p w14:paraId="57A9DE64" w14:textId="77777777" w:rsidR="00EA6854" w:rsidRPr="00EA6854" w:rsidRDefault="00EA6854" w:rsidP="00EA6854">
      <w:pPr>
        <w:pStyle w:val="NoSpacing"/>
        <w:rPr>
          <w:rFonts w:ascii="Times New Roman" w:hAnsi="Times New Roman"/>
          <w:sz w:val="24"/>
          <w:szCs w:val="24"/>
        </w:rPr>
      </w:pPr>
      <w:r w:rsidRPr="00EA6854">
        <w:rPr>
          <w:rFonts w:ascii="Times New Roman" w:hAnsi="Times New Roman"/>
          <w:sz w:val="24"/>
          <w:szCs w:val="24"/>
        </w:rPr>
        <w:t>FACTS:</w:t>
      </w:r>
    </w:p>
    <w:p w14:paraId="2AC57580" w14:textId="77777777" w:rsidR="00EA6854" w:rsidRPr="00EA6854" w:rsidRDefault="00EA6854" w:rsidP="00EA6854">
      <w:pPr>
        <w:pStyle w:val="NoSpacing"/>
        <w:rPr>
          <w:rFonts w:ascii="Times New Roman" w:hAnsi="Times New Roman"/>
          <w:sz w:val="24"/>
          <w:szCs w:val="24"/>
        </w:rPr>
      </w:pPr>
    </w:p>
    <w:p w14:paraId="74397ACD"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lastRenderedPageBreak/>
        <w:t xml:space="preserve">“Gumbs began working as a firefighter with the Virgin Islands Fire Service ("VIFS") in 2007 and alleges that she encountered sexual harassment and sexual assault at the hands of her employer. Gumbs was also a member of VIFS' associated union, the Association of Firefighters Local </w:t>
      </w:r>
      <w:proofErr w:type="gramStart"/>
      <w:r w:rsidRPr="00EA6854">
        <w:rPr>
          <w:rFonts w:ascii="Times New Roman" w:hAnsi="Times New Roman"/>
          <w:sz w:val="24"/>
          <w:szCs w:val="24"/>
        </w:rPr>
        <w:t>2125 (‘</w:t>
      </w:r>
      <w:proofErr w:type="gramEnd"/>
      <w:r w:rsidRPr="00EA6854">
        <w:rPr>
          <w:rFonts w:ascii="Times New Roman" w:hAnsi="Times New Roman"/>
          <w:sz w:val="24"/>
          <w:szCs w:val="24"/>
        </w:rPr>
        <w:t>the Union’).</w:t>
      </w:r>
    </w:p>
    <w:p w14:paraId="5C28F95D" w14:textId="77777777" w:rsidR="00EA6854" w:rsidRPr="00EA6854" w:rsidRDefault="00EA6854" w:rsidP="00EA6854">
      <w:pPr>
        <w:pStyle w:val="NoSpacing"/>
        <w:ind w:left="720"/>
        <w:rPr>
          <w:rFonts w:ascii="Times New Roman" w:hAnsi="Times New Roman"/>
          <w:sz w:val="24"/>
          <w:szCs w:val="24"/>
        </w:rPr>
      </w:pPr>
    </w:p>
    <w:p w14:paraId="2AF35E65"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w:t>
      </w:r>
    </w:p>
    <w:p w14:paraId="55791AF6"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First, in 2009, Gumbs alleges she was groped by her supervisor [Captain] that she asked to be moved to St. John as a result, and that it took a full month before action was taken on her behalf.</w:t>
      </w:r>
    </w:p>
    <w:p w14:paraId="220C3A24" w14:textId="77777777" w:rsidR="00EA6854" w:rsidRPr="00EA6854" w:rsidRDefault="00EA6854" w:rsidP="00EA6854">
      <w:pPr>
        <w:pStyle w:val="NoSpacing"/>
        <w:ind w:left="720"/>
        <w:rPr>
          <w:rFonts w:ascii="Times New Roman" w:hAnsi="Times New Roman"/>
          <w:sz w:val="24"/>
          <w:szCs w:val="24"/>
        </w:rPr>
      </w:pPr>
    </w:p>
    <w:p w14:paraId="4A1F4AB3"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w:t>
      </w:r>
    </w:p>
    <w:p w14:paraId="2D8183C7"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Looking next to the 2013 complaint, all parties agree that Gumbs reported that Sargeant </w:t>
      </w:r>
      <w:proofErr w:type="spellStart"/>
      <w:r w:rsidRPr="00EA6854">
        <w:rPr>
          <w:rFonts w:ascii="Times New Roman" w:hAnsi="Times New Roman"/>
          <w:sz w:val="24"/>
          <w:szCs w:val="24"/>
        </w:rPr>
        <w:t>Chazmal</w:t>
      </w:r>
      <w:proofErr w:type="spellEnd"/>
      <w:r w:rsidRPr="00EA6854">
        <w:rPr>
          <w:rFonts w:ascii="Times New Roman" w:hAnsi="Times New Roman"/>
          <w:sz w:val="24"/>
          <w:szCs w:val="24"/>
        </w:rPr>
        <w:t xml:space="preserve"> Miller - a fellow firefighter who later became Gumbs' supervisor -showed her sex acts on his phone.”</w:t>
      </w:r>
    </w:p>
    <w:p w14:paraId="5CA93F76" w14:textId="77777777" w:rsidR="00EA6854" w:rsidRPr="00EA6854" w:rsidRDefault="00EA6854" w:rsidP="00EA6854">
      <w:pPr>
        <w:pStyle w:val="NoSpacing"/>
        <w:ind w:left="720"/>
        <w:rPr>
          <w:rFonts w:ascii="Times New Roman" w:hAnsi="Times New Roman"/>
          <w:sz w:val="24"/>
          <w:szCs w:val="24"/>
        </w:rPr>
      </w:pPr>
    </w:p>
    <w:p w14:paraId="63F4675C" w14:textId="77777777" w:rsidR="00EA6854" w:rsidRPr="00EA6854" w:rsidRDefault="00EA6854" w:rsidP="00EA6854">
      <w:pPr>
        <w:pStyle w:val="NoSpacing"/>
        <w:rPr>
          <w:rFonts w:ascii="Times New Roman" w:hAnsi="Times New Roman"/>
          <w:b/>
          <w:bCs/>
          <w:sz w:val="24"/>
          <w:szCs w:val="24"/>
        </w:rPr>
      </w:pPr>
      <w:r w:rsidRPr="00EA6854">
        <w:rPr>
          <w:rFonts w:ascii="Times New Roman" w:hAnsi="Times New Roman"/>
          <w:b/>
          <w:bCs/>
          <w:sz w:val="24"/>
          <w:szCs w:val="24"/>
        </w:rPr>
        <w:t>Legal Lesson Learned: Thoroughly investigate and document correct actions taken for each complaint received, including when complainant does not wish to further proceed.</w:t>
      </w:r>
    </w:p>
    <w:p w14:paraId="322E17EE" w14:textId="77777777" w:rsidR="00EA6854" w:rsidRDefault="00EA6854" w:rsidP="00EA6854">
      <w:pPr>
        <w:pStyle w:val="NoSpacing"/>
        <w:ind w:left="720"/>
        <w:rPr>
          <w:szCs w:val="24"/>
        </w:rPr>
      </w:pPr>
    </w:p>
    <w:p w14:paraId="2D58C155" w14:textId="77777777" w:rsidR="00EA6854" w:rsidRDefault="00EA6854" w:rsidP="00EA6854">
      <w:pPr>
        <w:jc w:val="center"/>
        <w:rPr>
          <w:b/>
          <w:bCs/>
          <w:szCs w:val="24"/>
        </w:rPr>
      </w:pPr>
    </w:p>
    <w:p w14:paraId="52C37CF5" w14:textId="77777777" w:rsidR="00EA6854" w:rsidRDefault="00EA6854" w:rsidP="00F326E5">
      <w:pPr>
        <w:pStyle w:val="NoSpacing"/>
        <w:rPr>
          <w:rFonts w:ascii="Arial Black" w:hAnsi="Arial Black"/>
          <w:b/>
          <w:bCs/>
          <w:sz w:val="24"/>
          <w:szCs w:val="24"/>
        </w:rPr>
      </w:pPr>
    </w:p>
    <w:p w14:paraId="02683A45" w14:textId="77777777" w:rsidR="00DD6FAF" w:rsidRDefault="00DD6FAF" w:rsidP="00F326E5">
      <w:pPr>
        <w:pStyle w:val="NoSpacing"/>
        <w:rPr>
          <w:rFonts w:ascii="Arial Black" w:hAnsi="Arial Black"/>
          <w:b/>
          <w:bCs/>
          <w:sz w:val="24"/>
          <w:szCs w:val="24"/>
        </w:rPr>
      </w:pPr>
    </w:p>
    <w:p w14:paraId="796A8043" w14:textId="77777777" w:rsidR="00DD6FAF" w:rsidRDefault="00DD6FAF" w:rsidP="00F326E5">
      <w:pPr>
        <w:pStyle w:val="NoSpacing"/>
        <w:rPr>
          <w:rFonts w:ascii="Arial Black" w:hAnsi="Arial Black"/>
          <w:b/>
          <w:bCs/>
          <w:sz w:val="24"/>
          <w:szCs w:val="24"/>
        </w:rPr>
      </w:pPr>
    </w:p>
    <w:p w14:paraId="21F311E1" w14:textId="7390145F" w:rsidR="005D56E5" w:rsidRDefault="005D56E5" w:rsidP="00F326E5">
      <w:pPr>
        <w:pStyle w:val="NoSpacing"/>
        <w:rPr>
          <w:rFonts w:ascii="Arial Black" w:hAnsi="Arial Black"/>
          <w:b/>
          <w:bCs/>
          <w:sz w:val="24"/>
          <w:szCs w:val="24"/>
        </w:rPr>
      </w:pPr>
      <w:r>
        <w:rPr>
          <w:rFonts w:ascii="Arial Black" w:hAnsi="Arial Black"/>
          <w:b/>
          <w:bCs/>
          <w:sz w:val="24"/>
          <w:szCs w:val="24"/>
        </w:rPr>
        <w:t>7-64</w:t>
      </w:r>
    </w:p>
    <w:p w14:paraId="3E499C97" w14:textId="77777777" w:rsidR="005D56E5" w:rsidRDefault="005D56E5" w:rsidP="00F326E5">
      <w:pPr>
        <w:pStyle w:val="NoSpacing"/>
        <w:rPr>
          <w:rFonts w:ascii="Arial Black" w:hAnsi="Arial Black"/>
          <w:b/>
          <w:bCs/>
          <w:sz w:val="24"/>
          <w:szCs w:val="24"/>
        </w:rPr>
      </w:pPr>
    </w:p>
    <w:p w14:paraId="6DCAEB3F" w14:textId="77777777" w:rsidR="00257D9A" w:rsidRDefault="00257D9A" w:rsidP="00257D9A">
      <w:pPr>
        <w:pStyle w:val="NormalWeb"/>
        <w:spacing w:before="0" w:beforeAutospacing="0"/>
      </w:pPr>
      <w:r>
        <w:rPr>
          <w:rFonts w:ascii="Arial Black" w:hAnsi="Arial Black"/>
          <w:sz w:val="28"/>
          <w:szCs w:val="28"/>
        </w:rPr>
        <w:t>NB: FEMALE FF FIRED – INVEST. CAPT.  WAREHOUSE FIRE – WON ARBITRATION - CITY SETTLES $650K / ATTY FEES</w:t>
      </w:r>
    </w:p>
    <w:p w14:paraId="1CAFC6BA" w14:textId="77777777" w:rsidR="00257D9A" w:rsidRDefault="00257D9A" w:rsidP="00257D9A">
      <w:pPr>
        <w:rPr>
          <w:rFonts w:ascii="Times New Roman" w:hAnsi="Times New Roman"/>
          <w:sz w:val="24"/>
          <w:szCs w:val="24"/>
        </w:rPr>
      </w:pPr>
      <w:r w:rsidRPr="00A73A7C">
        <w:rPr>
          <w:rFonts w:ascii="Times New Roman" w:hAnsi="Times New Roman"/>
          <w:sz w:val="24"/>
          <w:szCs w:val="24"/>
        </w:rPr>
        <w:t xml:space="preserve">On May 13, 2024, in </w:t>
      </w:r>
      <w:r w:rsidRPr="00A73A7C">
        <w:rPr>
          <w:rFonts w:ascii="Times New Roman" w:hAnsi="Times New Roman"/>
          <w:sz w:val="24"/>
          <w:szCs w:val="24"/>
          <w:u w:val="single"/>
        </w:rPr>
        <w:t>Amanda Benson v. City of Lincoln, et al</w:t>
      </w:r>
      <w:r w:rsidRPr="00A73A7C">
        <w:rPr>
          <w:rFonts w:ascii="Times New Roman" w:hAnsi="Times New Roman"/>
          <w:sz w:val="24"/>
          <w:szCs w:val="24"/>
        </w:rPr>
        <w:t>., United States District Court Judge Brian C. Buescher</w:t>
      </w:r>
      <w:r>
        <w:rPr>
          <w:rFonts w:ascii="Times New Roman" w:hAnsi="Times New Roman"/>
          <w:sz w:val="24"/>
          <w:szCs w:val="24"/>
        </w:rPr>
        <w:t xml:space="preserve"> greatly reduced attorney fees to be award to the plaintiff’s attorneys for “over litigation” of the case [claim. $1,666,600, but court awarded only $638,156].   The judge first described how litigation arose.</w:t>
      </w:r>
    </w:p>
    <w:p w14:paraId="1E678458" w14:textId="77777777" w:rsidR="00257D9A" w:rsidRDefault="00257D9A" w:rsidP="00257D9A">
      <w:pPr>
        <w:pStyle w:val="NormalWeb"/>
        <w:ind w:left="720"/>
      </w:pPr>
      <w:r>
        <w:t xml:space="preserve">“Matters between Benson and Mahler came to a head on April 26, 2021, when LFR was called to a cardboard fire within a warehouse. </w:t>
      </w:r>
      <w:r>
        <w:rPr>
          <w:rStyle w:val="Emphasis"/>
          <w:rFonts w:eastAsiaTheme="majorEastAsia"/>
        </w:rPr>
        <w:t>Filing 378 at 43</w:t>
      </w:r>
      <w:r>
        <w:t xml:space="preserve"> (¶ 224). Benson and T1 arrived at the scene before Mahler and T8. </w:t>
      </w:r>
      <w:r>
        <w:rPr>
          <w:rStyle w:val="Emphasis"/>
          <w:rFonts w:eastAsiaTheme="majorEastAsia"/>
        </w:rPr>
        <w:t>Filing 378 at 44</w:t>
      </w:r>
      <w:r>
        <w:t xml:space="preserve"> (¶ 233). Mahler and his crew were called to the warehouse fire mid-morning. </w:t>
      </w:r>
      <w:proofErr w:type="gramStart"/>
      <w:r>
        <w:rPr>
          <w:rStyle w:val="Emphasis"/>
          <w:rFonts w:eastAsiaTheme="majorEastAsia"/>
        </w:rPr>
        <w:t>Filing</w:t>
      </w:r>
      <w:proofErr w:type="gramEnd"/>
      <w:r>
        <w:rPr>
          <w:rStyle w:val="Emphasis"/>
          <w:rFonts w:eastAsiaTheme="majorEastAsia"/>
        </w:rPr>
        <w:t xml:space="preserve"> 378 at 44</w:t>
      </w:r>
      <w:r>
        <w:t xml:space="preserve"> (¶ 230). The parties disputed several circumstances about that fire and the interaction between Benson and Mahler during that fire. When Benson spoke to and submitted a complaint to her superiors at LFR on May 5, 2021, Benson alleged Mahler had abandoned her during the fire, and that she and her crew could have been killed or injured. </w:t>
      </w:r>
      <w:r>
        <w:rPr>
          <w:rStyle w:val="Emphasis"/>
          <w:rFonts w:eastAsiaTheme="majorEastAsia"/>
        </w:rPr>
        <w:t>Filing 397 at 59</w:t>
      </w:r>
      <w:r>
        <w:t xml:space="preserve"> (¶ 290) (admitting this much of ¶ 290). The LFR </w:t>
      </w:r>
      <w:proofErr w:type="gramStart"/>
      <w:r>
        <w:t>conducted an investigation</w:t>
      </w:r>
      <w:proofErr w:type="gramEnd"/>
      <w:r>
        <w:t xml:space="preserve"> that found no rules violations, although Benson disputed its adequacy. </w:t>
      </w:r>
      <w:proofErr w:type="gramStart"/>
      <w:r>
        <w:rPr>
          <w:rStyle w:val="Emphasis"/>
          <w:rFonts w:eastAsiaTheme="majorEastAsia"/>
        </w:rPr>
        <w:t>Filing</w:t>
      </w:r>
      <w:proofErr w:type="gramEnd"/>
      <w:r>
        <w:rPr>
          <w:rStyle w:val="Emphasis"/>
          <w:rFonts w:eastAsiaTheme="majorEastAsia"/>
        </w:rPr>
        <w:t xml:space="preserve"> 397 at</w:t>
      </w:r>
      <w:r>
        <w:t xml:space="preserve"> </w:t>
      </w:r>
      <w:r>
        <w:rPr>
          <w:rStyle w:val="Emphasis"/>
          <w:rFonts w:eastAsiaTheme="majorEastAsia"/>
        </w:rPr>
        <w:t>60</w:t>
      </w:r>
      <w:r>
        <w:t xml:space="preserve"> (¶ 292). </w:t>
      </w:r>
    </w:p>
    <w:p w14:paraId="044CF558" w14:textId="77777777" w:rsidR="00257D9A" w:rsidRDefault="00257D9A" w:rsidP="00257D9A">
      <w:pPr>
        <w:pStyle w:val="NormalWeb"/>
        <w:ind w:left="720"/>
      </w:pPr>
      <w:r>
        <w:t>***</w:t>
      </w:r>
    </w:p>
    <w:p w14:paraId="176CEE7D" w14:textId="77777777" w:rsidR="00257D9A" w:rsidRDefault="00257D9A" w:rsidP="00257D9A">
      <w:pPr>
        <w:pStyle w:val="NormalWeb"/>
        <w:ind w:left="720"/>
      </w:pPr>
      <w:r>
        <w:t xml:space="preserve">After pre-disciplinary investigations and proceedings, Benson was terminated effective November 2, 2021. </w:t>
      </w:r>
      <w:r>
        <w:rPr>
          <w:rStyle w:val="Emphasis"/>
          <w:rFonts w:eastAsiaTheme="majorEastAsia"/>
        </w:rPr>
        <w:t>Filing 394 at 1</w:t>
      </w:r>
      <w:r>
        <w:t xml:space="preserve"> (¶ 1); </w:t>
      </w:r>
      <w:r>
        <w:rPr>
          <w:rStyle w:val="Emphasis"/>
          <w:rFonts w:eastAsiaTheme="majorEastAsia"/>
        </w:rPr>
        <w:t>see also</w:t>
      </w:r>
      <w:r>
        <w:t xml:space="preserve"> </w:t>
      </w:r>
      <w:r>
        <w:rPr>
          <w:rStyle w:val="Emphasis"/>
          <w:rFonts w:eastAsiaTheme="majorEastAsia"/>
        </w:rPr>
        <w:t>Filing 380</w:t>
      </w:r>
      <w:r>
        <w:t xml:space="preserve">-83 at 4 (dismissal letter). Fire Chief David Engler, who is not a party to this litigation, determined that Benson had made false allegations against Mahler and that her actions were ‘a direct hindrance to the effective performance of LFR's functions and reflect[ed] undue discredit upon the department,’ establishing ‘good cause’ for dismissal. </w:t>
      </w:r>
      <w:r>
        <w:rPr>
          <w:rStyle w:val="Emphasis"/>
          <w:rFonts w:eastAsiaTheme="majorEastAsia"/>
        </w:rPr>
        <w:t>Filing 380 at 3</w:t>
      </w:r>
      <w:r>
        <w:t xml:space="preserve"> (dismissal letter). </w:t>
      </w:r>
    </w:p>
    <w:p w14:paraId="4905E9C2" w14:textId="77777777" w:rsidR="00257D9A" w:rsidRDefault="00257D9A" w:rsidP="00257D9A">
      <w:pPr>
        <w:pStyle w:val="NormalWeb"/>
        <w:ind w:left="720"/>
      </w:pPr>
      <w:r>
        <w:t>***</w:t>
      </w:r>
    </w:p>
    <w:p w14:paraId="02E581BC" w14:textId="77777777" w:rsidR="00257D9A" w:rsidRDefault="00257D9A" w:rsidP="00257D9A">
      <w:pPr>
        <w:pStyle w:val="NormalWeb"/>
        <w:ind w:left="720"/>
      </w:pPr>
      <w:r>
        <w:lastRenderedPageBreak/>
        <w:t xml:space="preserve">Plaintiff's Motion for Approval of Application for Attorney Fees, Expenses, and Costs, </w:t>
      </w:r>
      <w:proofErr w:type="gramStart"/>
      <w:r>
        <w:rPr>
          <w:rStyle w:val="Emphasis"/>
          <w:rFonts w:eastAsiaTheme="majorEastAsia"/>
        </w:rPr>
        <w:t>Filing</w:t>
      </w:r>
      <w:proofErr w:type="gramEnd"/>
      <w:r>
        <w:rPr>
          <w:rStyle w:val="Emphasis"/>
          <w:rFonts w:eastAsiaTheme="majorEastAsia"/>
        </w:rPr>
        <w:t xml:space="preserve"> 502,</w:t>
      </w:r>
      <w:r>
        <w:t xml:space="preserve"> and Plaintiff's Supplemental Motion for Approval of Supplemental Application for Attorney Fees, Expenses, and Costs, </w:t>
      </w:r>
      <w:proofErr w:type="gramStart"/>
      <w:r>
        <w:rPr>
          <w:rStyle w:val="Emphasis"/>
          <w:rFonts w:eastAsiaTheme="majorEastAsia"/>
        </w:rPr>
        <w:t>Filing</w:t>
      </w:r>
      <w:proofErr w:type="gramEnd"/>
      <w:r>
        <w:rPr>
          <w:rStyle w:val="Emphasis"/>
          <w:rFonts w:eastAsiaTheme="majorEastAsia"/>
        </w:rPr>
        <w:t xml:space="preserve"> 513,</w:t>
      </w:r>
      <w:r>
        <w:t xml:space="preserve"> are granted in part and denied in part as follows: </w:t>
      </w:r>
    </w:p>
    <w:p w14:paraId="39AEBD00" w14:textId="77777777" w:rsidR="00257D9A" w:rsidRPr="00F81F98" w:rsidRDefault="00257D9A" w:rsidP="00257D9A">
      <w:pPr>
        <w:ind w:left="720" w:firstLine="720"/>
        <w:rPr>
          <w:rFonts w:ascii="Times New Roman" w:hAnsi="Times New Roman"/>
          <w:sz w:val="24"/>
          <w:szCs w:val="24"/>
        </w:rPr>
      </w:pPr>
      <w:r w:rsidRPr="00F81F98">
        <w:rPr>
          <w:rFonts w:ascii="Times New Roman" w:hAnsi="Times New Roman"/>
          <w:sz w:val="24"/>
          <w:szCs w:val="24"/>
        </w:rPr>
        <w:t xml:space="preserve">a. Plaintiff is awarded $638,156.07 in attorney fees; and </w:t>
      </w:r>
    </w:p>
    <w:p w14:paraId="7F956936" w14:textId="77777777" w:rsidR="00257D9A" w:rsidRPr="00F81F98" w:rsidRDefault="00257D9A" w:rsidP="00257D9A">
      <w:pPr>
        <w:ind w:left="720" w:firstLine="720"/>
        <w:rPr>
          <w:rFonts w:ascii="Times New Roman" w:hAnsi="Times New Roman"/>
          <w:sz w:val="24"/>
          <w:szCs w:val="24"/>
        </w:rPr>
      </w:pPr>
      <w:r w:rsidRPr="00F81F98">
        <w:rPr>
          <w:rFonts w:ascii="Times New Roman" w:hAnsi="Times New Roman"/>
          <w:sz w:val="24"/>
          <w:szCs w:val="24"/>
        </w:rPr>
        <w:t xml:space="preserve">b. Plaintiff is awarded $88,719.97 in expenses and costs. </w:t>
      </w:r>
    </w:p>
    <w:p w14:paraId="6A983F8D" w14:textId="21F24703" w:rsidR="00257D9A" w:rsidRDefault="00257D9A" w:rsidP="00257D9A">
      <w:pPr>
        <w:pStyle w:val="NoSpacing"/>
        <w:rPr>
          <w:rStyle w:val="Hyperlink"/>
          <w:rFonts w:ascii="Times New Roman" w:hAnsi="Times New Roman"/>
          <w:sz w:val="24"/>
          <w:szCs w:val="24"/>
        </w:rPr>
      </w:pPr>
      <w:hyperlink r:id="rId1318" w:history="1">
        <w:r w:rsidRPr="008C767B">
          <w:rPr>
            <w:rStyle w:val="Hyperlink"/>
            <w:rFonts w:ascii="Times New Roman" w:hAnsi="Times New Roman"/>
            <w:sz w:val="24"/>
            <w:szCs w:val="24"/>
          </w:rPr>
          <w:t>https://public.fastcase.com/H1P9uiW3J20SFp%2BGCG%2BxLdAy%2Fo69TrR1K6MVQcVakXAVjkfoheCj%2FALYO7mhCcaM?utm_medium=email&amp;_hsenc=p2ANqtz-_QVKpYjRM7B2Q5-sqKd1q9ccEl8nSIxeJoGOvaUfjL9Y5LBcGC98GOiGM8SvSGdTXKNaMFLIGTEL-_cGBVPHnVUR_G4Q&amp;_hsmi=226712652&amp;utm_content=226712652&amp;utm_source=hs_email</w:t>
        </w:r>
      </w:hyperlink>
    </w:p>
    <w:p w14:paraId="275B6416" w14:textId="77777777" w:rsidR="00DD0039" w:rsidRPr="00F81F98" w:rsidRDefault="00DD0039" w:rsidP="00DD0039">
      <w:pPr>
        <w:rPr>
          <w:rFonts w:ascii="Times New Roman" w:hAnsi="Times New Roman"/>
          <w:b/>
          <w:bCs/>
          <w:sz w:val="24"/>
          <w:szCs w:val="24"/>
        </w:rPr>
      </w:pPr>
      <w:r w:rsidRPr="00F81F98">
        <w:rPr>
          <w:rFonts w:ascii="Times New Roman" w:hAnsi="Times New Roman"/>
          <w:b/>
          <w:bCs/>
          <w:sz w:val="24"/>
          <w:szCs w:val="24"/>
        </w:rPr>
        <w:t xml:space="preserve">Legal Lesson Learned: </w:t>
      </w:r>
      <w:r>
        <w:rPr>
          <w:rFonts w:ascii="Times New Roman" w:hAnsi="Times New Roman"/>
          <w:b/>
          <w:bCs/>
          <w:sz w:val="24"/>
          <w:szCs w:val="24"/>
        </w:rPr>
        <w:t xml:space="preserve">Case wisely settled; along with another case by female FF – see below.   </w:t>
      </w:r>
    </w:p>
    <w:p w14:paraId="781B5C9B" w14:textId="77777777" w:rsidR="00DD0039" w:rsidRPr="00C4461F" w:rsidRDefault="00DD0039" w:rsidP="00DD0039">
      <w:pPr>
        <w:ind w:left="720"/>
        <w:rPr>
          <w:rFonts w:ascii="Times New Roman" w:hAnsi="Times New Roman"/>
          <w:sz w:val="24"/>
          <w:szCs w:val="24"/>
        </w:rPr>
      </w:pPr>
      <w:r>
        <w:rPr>
          <w:rFonts w:ascii="Times New Roman" w:hAnsi="Times New Roman"/>
          <w:sz w:val="24"/>
          <w:szCs w:val="24"/>
        </w:rPr>
        <w:t xml:space="preserve">Note:  Feb. 5, </w:t>
      </w:r>
      <w:proofErr w:type="gramStart"/>
      <w:r>
        <w:rPr>
          <w:rFonts w:ascii="Times New Roman" w:hAnsi="Times New Roman"/>
          <w:sz w:val="24"/>
          <w:szCs w:val="24"/>
        </w:rPr>
        <w:t>2024</w:t>
      </w:r>
      <w:proofErr w:type="gramEnd"/>
      <w:r>
        <w:rPr>
          <w:rFonts w:ascii="Times New Roman" w:hAnsi="Times New Roman"/>
          <w:sz w:val="24"/>
          <w:szCs w:val="24"/>
        </w:rPr>
        <w:t xml:space="preserve"> article. “</w:t>
      </w:r>
      <w:r w:rsidRPr="00C4461F">
        <w:rPr>
          <w:rFonts w:ascii="Times New Roman" w:hAnsi="Times New Roman"/>
          <w:sz w:val="24"/>
          <w:szCs w:val="24"/>
        </w:rPr>
        <w:t>City of Lincoln settles LFR sexual discrimination lawsuits for $900,000</w:t>
      </w:r>
      <w:r>
        <w:rPr>
          <w:rFonts w:ascii="Times New Roman" w:hAnsi="Times New Roman"/>
          <w:sz w:val="24"/>
          <w:szCs w:val="24"/>
        </w:rPr>
        <w:t xml:space="preserve">.” </w:t>
      </w:r>
      <w:hyperlink r:id="rId1319" w:history="1">
        <w:r w:rsidRPr="008C767B">
          <w:rPr>
            <w:rStyle w:val="Hyperlink"/>
            <w:rFonts w:ascii="Times New Roman" w:hAnsi="Times New Roman"/>
            <w:sz w:val="24"/>
            <w:szCs w:val="24"/>
          </w:rPr>
          <w:t>https://www.1011now.com/2024/02/05/city-lincoln-settles-lfr-sexual-discrimination-lawsuits-900000/</w:t>
        </w:r>
      </w:hyperlink>
      <w:r>
        <w:rPr>
          <w:rFonts w:ascii="Times New Roman" w:hAnsi="Times New Roman"/>
          <w:sz w:val="24"/>
          <w:szCs w:val="24"/>
        </w:rPr>
        <w:t xml:space="preserve"> </w:t>
      </w:r>
    </w:p>
    <w:p w14:paraId="4CBCA47D" w14:textId="77777777" w:rsidR="00DD0039" w:rsidRDefault="00DD0039" w:rsidP="00DD0039">
      <w:pPr>
        <w:pStyle w:val="text"/>
        <w:ind w:left="1440"/>
      </w:pPr>
      <w:r>
        <w:t>“The city of Lincoln has settled two lawsuits which alleged sexual discrimination against two former firefighters. City officials released settlement agreements for Jessie Lundvall and Amanda Benson, both of whom had been fired following their lawsuits. Lundvall and Benson will be paid $250,000 and $650,000, respectively. The agreements also ensure city officials and the former firefighters won’t defame one another. In the settlement, the city denied any wrongdoing. Notably, Benson’s agreement allows her to continue pursuing a separate claim against the city as well as her disability pension. Lundvall’s agreement also acknowledges her good standing within Lincoln Fire and Rescue. Benson’s agreement, however, prevents her ability to be reemployed by the city at any time.”</w:t>
      </w:r>
    </w:p>
    <w:p w14:paraId="69D83AF9" w14:textId="77777777" w:rsidR="00DD0039" w:rsidRDefault="00DD0039" w:rsidP="00257D9A">
      <w:pPr>
        <w:pStyle w:val="NoSpacing"/>
        <w:rPr>
          <w:rFonts w:ascii="Arial Black" w:hAnsi="Arial Black"/>
          <w:b/>
          <w:bCs/>
          <w:sz w:val="24"/>
          <w:szCs w:val="24"/>
        </w:rPr>
      </w:pPr>
    </w:p>
    <w:p w14:paraId="2BC5CA4C" w14:textId="77777777" w:rsidR="005D56E5" w:rsidRDefault="005D56E5" w:rsidP="00F326E5">
      <w:pPr>
        <w:pStyle w:val="NoSpacing"/>
        <w:rPr>
          <w:rFonts w:ascii="Arial Black" w:hAnsi="Arial Black"/>
          <w:b/>
          <w:bCs/>
          <w:sz w:val="24"/>
          <w:szCs w:val="24"/>
        </w:rPr>
      </w:pPr>
    </w:p>
    <w:p w14:paraId="24204AB4" w14:textId="77777777" w:rsidR="005D56E5" w:rsidRDefault="005D56E5" w:rsidP="00F326E5">
      <w:pPr>
        <w:pStyle w:val="NoSpacing"/>
        <w:rPr>
          <w:rFonts w:ascii="Arial Black" w:hAnsi="Arial Black"/>
          <w:b/>
          <w:bCs/>
          <w:sz w:val="24"/>
          <w:szCs w:val="24"/>
        </w:rPr>
      </w:pPr>
    </w:p>
    <w:p w14:paraId="4AAD97AF" w14:textId="77777777" w:rsidR="005D56E5" w:rsidRDefault="005D56E5" w:rsidP="00F326E5">
      <w:pPr>
        <w:pStyle w:val="NoSpacing"/>
        <w:rPr>
          <w:rFonts w:ascii="Arial Black" w:hAnsi="Arial Black"/>
          <w:b/>
          <w:bCs/>
          <w:sz w:val="24"/>
          <w:szCs w:val="24"/>
        </w:rPr>
      </w:pPr>
    </w:p>
    <w:p w14:paraId="6741A460" w14:textId="05DEAD5E" w:rsidR="00B52921" w:rsidRDefault="009C6DC9" w:rsidP="00F326E5">
      <w:pPr>
        <w:pStyle w:val="NoSpacing"/>
        <w:rPr>
          <w:rFonts w:ascii="Arial Black" w:hAnsi="Arial Black"/>
          <w:b/>
          <w:bCs/>
          <w:sz w:val="24"/>
          <w:szCs w:val="24"/>
        </w:rPr>
      </w:pPr>
      <w:r>
        <w:rPr>
          <w:rFonts w:ascii="Arial Black" w:hAnsi="Arial Black"/>
          <w:b/>
          <w:bCs/>
          <w:sz w:val="24"/>
          <w:szCs w:val="24"/>
        </w:rPr>
        <w:t>7-63</w:t>
      </w:r>
    </w:p>
    <w:p w14:paraId="5CF10875" w14:textId="77777777" w:rsidR="009C6DC9" w:rsidRDefault="009C6DC9" w:rsidP="00F326E5">
      <w:pPr>
        <w:pStyle w:val="NoSpacing"/>
        <w:rPr>
          <w:rFonts w:ascii="Arial Black" w:hAnsi="Arial Black"/>
          <w:b/>
          <w:bCs/>
          <w:sz w:val="24"/>
          <w:szCs w:val="24"/>
        </w:rPr>
      </w:pPr>
    </w:p>
    <w:p w14:paraId="572EC960" w14:textId="77777777" w:rsidR="0038653D" w:rsidRDefault="0038653D" w:rsidP="0038653D">
      <w:pPr>
        <w:pStyle w:val="NoSpacing"/>
        <w:rPr>
          <w:rFonts w:ascii="Arial Black" w:hAnsi="Arial Black"/>
          <w:sz w:val="28"/>
          <w:szCs w:val="28"/>
          <w:shd w:val="clear" w:color="auto" w:fill="FFFFFF"/>
        </w:rPr>
      </w:pPr>
      <w:r>
        <w:rPr>
          <w:rFonts w:ascii="Arial Black" w:hAnsi="Arial Black"/>
          <w:sz w:val="28"/>
          <w:szCs w:val="28"/>
          <w:shd w:val="clear" w:color="auto" w:fill="FFFFFF"/>
        </w:rPr>
        <w:t>U.S. SUP. CT: FEMALE POLICE OFFICER - JOB TRANSFER WITH NO LOSS OF PAY – LAWSUIT PROCEED “SOME HARM”</w:t>
      </w:r>
    </w:p>
    <w:p w14:paraId="38F059B1" w14:textId="77777777" w:rsidR="0038653D" w:rsidRDefault="0038653D" w:rsidP="0038653D">
      <w:pPr>
        <w:pStyle w:val="NoSpacing"/>
        <w:rPr>
          <w:rFonts w:ascii="Arial Black" w:hAnsi="Arial Black"/>
          <w:sz w:val="28"/>
          <w:szCs w:val="28"/>
          <w:shd w:val="clear" w:color="auto" w:fill="FFFFFF"/>
        </w:rPr>
      </w:pPr>
    </w:p>
    <w:p w14:paraId="77ADB1C4" w14:textId="77777777" w:rsidR="0038653D" w:rsidRDefault="0038653D" w:rsidP="0038653D">
      <w:pPr>
        <w:pStyle w:val="NoSpacing"/>
        <w:rPr>
          <w:rFonts w:ascii="Times New Roman" w:hAnsi="Times New Roman"/>
          <w:sz w:val="24"/>
          <w:szCs w:val="24"/>
        </w:rPr>
      </w:pPr>
      <w:r>
        <w:rPr>
          <w:rFonts w:ascii="Times New Roman" w:hAnsi="Times New Roman"/>
          <w:sz w:val="24"/>
          <w:szCs w:val="24"/>
          <w:shd w:val="clear" w:color="auto" w:fill="FFFFFF"/>
        </w:rPr>
        <w:t xml:space="preserve">On April 17, 2024, in </w:t>
      </w:r>
      <w:r w:rsidRPr="00512F10">
        <w:rPr>
          <w:rFonts w:ascii="Times New Roman" w:hAnsi="Times New Roman"/>
          <w:sz w:val="24"/>
          <w:szCs w:val="24"/>
          <w:u w:val="single"/>
          <w:shd w:val="clear" w:color="auto" w:fill="FFFFFF"/>
        </w:rPr>
        <w:t>Jatonya Clayborn Muldrow v. City of St. Louis, Missouri, et al</w:t>
      </w:r>
      <w:r>
        <w:rPr>
          <w:rFonts w:ascii="Times New Roman" w:hAnsi="Times New Roman"/>
          <w:sz w:val="24"/>
          <w:szCs w:val="24"/>
          <w:shd w:val="clear" w:color="auto" w:fill="FFFFFF"/>
        </w:rPr>
        <w:t>., the United States Supreme Court held (9 to 0) that Police Sergeant Muldrow’s lawsuit may proceed with pre-trial discovery; the case had been dismissed by a U.S. District Court judge, and the dismissal upheld by three-judge panel of U.S. Court of Appeals for 8</w:t>
      </w:r>
      <w:r w:rsidRPr="003A2084">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T</w:t>
      </w:r>
      <w:r w:rsidRPr="00AD5F6F">
        <w:rPr>
          <w:rFonts w:ascii="Times New Roman" w:hAnsi="Times New Roman"/>
          <w:sz w:val="24"/>
          <w:szCs w:val="24"/>
          <w:shd w:val="clear" w:color="auto" w:fill="FFFFFF"/>
        </w:rPr>
        <w:t xml:space="preserve">he </w:t>
      </w:r>
      <w:r>
        <w:rPr>
          <w:rFonts w:ascii="Times New Roman" w:hAnsi="Times New Roman"/>
          <w:sz w:val="24"/>
          <w:szCs w:val="24"/>
          <w:shd w:val="clear" w:color="auto" w:fill="FFFFFF"/>
        </w:rPr>
        <w:t xml:space="preserve">U.S. Supreme </w:t>
      </w:r>
      <w:r w:rsidRPr="00AD5F6F">
        <w:rPr>
          <w:rFonts w:ascii="Times New Roman" w:hAnsi="Times New Roman"/>
          <w:sz w:val="24"/>
          <w:szCs w:val="24"/>
          <w:shd w:val="clear" w:color="auto" w:fill="FFFFFF"/>
        </w:rPr>
        <w:t xml:space="preserve">Court held (opinion by Justice </w:t>
      </w:r>
      <w:r w:rsidRPr="00AD5F6F">
        <w:rPr>
          <w:rFonts w:ascii="Times New Roman" w:hAnsi="Times New Roman"/>
          <w:sz w:val="24"/>
          <w:szCs w:val="24"/>
        </w:rPr>
        <w:t>Elena Kagan) held:</w:t>
      </w:r>
    </w:p>
    <w:p w14:paraId="5D899D91" w14:textId="77777777" w:rsidR="0038653D" w:rsidRDefault="0038653D" w:rsidP="0038653D">
      <w:pPr>
        <w:pStyle w:val="NoSpacing"/>
        <w:rPr>
          <w:rFonts w:ascii="Times New Roman" w:hAnsi="Times New Roman"/>
          <w:sz w:val="24"/>
          <w:szCs w:val="24"/>
        </w:rPr>
      </w:pPr>
    </w:p>
    <w:p w14:paraId="036EBD23" w14:textId="77777777" w:rsidR="0038653D" w:rsidRDefault="0038653D" w:rsidP="0038653D">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1855A6">
        <w:rPr>
          <w:rFonts w:ascii="Times New Roman" w:hAnsi="Times New Roman"/>
          <w:sz w:val="24"/>
          <w:szCs w:val="24"/>
          <w:shd w:val="clear" w:color="auto" w:fill="FFFFFF"/>
        </w:rPr>
        <w:t>The courts below rejected the claim on the ground that the</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 xml:space="preserve">transfer did not cause Muldrow a </w:t>
      </w:r>
      <w:r>
        <w:rPr>
          <w:rFonts w:ascii="Times New Roman" w:hAnsi="Times New Roman"/>
          <w:sz w:val="24"/>
          <w:szCs w:val="24"/>
          <w:shd w:val="clear" w:color="auto" w:fill="FFFFFF"/>
        </w:rPr>
        <w:t>‘</w:t>
      </w:r>
      <w:r w:rsidRPr="001855A6">
        <w:rPr>
          <w:rFonts w:ascii="Times New Roman" w:hAnsi="Times New Roman"/>
          <w:sz w:val="24"/>
          <w:szCs w:val="24"/>
          <w:shd w:val="clear" w:color="auto" w:fill="FFFFFF"/>
        </w:rPr>
        <w:t>significant</w:t>
      </w:r>
      <w:r>
        <w:rPr>
          <w:rFonts w:ascii="Times New Roman" w:hAnsi="Times New Roman"/>
          <w:sz w:val="24"/>
          <w:szCs w:val="24"/>
          <w:shd w:val="clear" w:color="auto" w:fill="FFFFFF"/>
        </w:rPr>
        <w:t>’</w:t>
      </w:r>
      <w:r w:rsidRPr="001855A6">
        <w:rPr>
          <w:rFonts w:ascii="Times New Roman" w:hAnsi="Times New Roman"/>
          <w:sz w:val="24"/>
          <w:szCs w:val="24"/>
          <w:shd w:val="clear" w:color="auto" w:fill="FFFFFF"/>
        </w:rPr>
        <w:t xml:space="preserve"> employment</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disadvantage. Other courts have used similar standards in</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addressing Title VII suits arising from job transfers.</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 xml:space="preserve">Today, we </w:t>
      </w:r>
      <w:proofErr w:type="gramStart"/>
      <w:r w:rsidRPr="001855A6">
        <w:rPr>
          <w:rFonts w:ascii="Times New Roman" w:hAnsi="Times New Roman"/>
          <w:sz w:val="24"/>
          <w:szCs w:val="24"/>
          <w:shd w:val="clear" w:color="auto" w:fill="FFFFFF"/>
        </w:rPr>
        <w:t>disapprove</w:t>
      </w:r>
      <w:proofErr w:type="gramEnd"/>
      <w:r w:rsidRPr="001855A6">
        <w:rPr>
          <w:rFonts w:ascii="Times New Roman" w:hAnsi="Times New Roman"/>
          <w:sz w:val="24"/>
          <w:szCs w:val="24"/>
          <w:shd w:val="clear" w:color="auto" w:fill="FFFFFF"/>
        </w:rPr>
        <w:t xml:space="preserve"> that approach. Although an employee must show some harm from a forced transfer to prevail in a Title VII suit, she need not show that the injury</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satisfies a significance test. Title VII’s text nowhere establishes that high bar.</w:t>
      </w:r>
      <w:r>
        <w:rPr>
          <w:rFonts w:ascii="Times New Roman" w:hAnsi="Times New Roman"/>
          <w:sz w:val="24"/>
          <w:szCs w:val="24"/>
          <w:shd w:val="clear" w:color="auto" w:fill="FFFFFF"/>
        </w:rPr>
        <w:t xml:space="preserve">”  </w:t>
      </w:r>
      <w:hyperlink r:id="rId1320" w:history="1">
        <w:r w:rsidRPr="0018507D">
          <w:rPr>
            <w:rStyle w:val="Hyperlink"/>
            <w:rFonts w:ascii="Times New Roman" w:hAnsi="Times New Roman"/>
            <w:sz w:val="24"/>
            <w:szCs w:val="24"/>
            <w:shd w:val="clear" w:color="auto" w:fill="FFFFFF"/>
          </w:rPr>
          <w:t>https://www.supremecourt.gov/opinions/23pdf/22-193_q86b.pdf</w:t>
        </w:r>
      </w:hyperlink>
      <w:r>
        <w:rPr>
          <w:rFonts w:ascii="Times New Roman" w:hAnsi="Times New Roman"/>
          <w:sz w:val="24"/>
          <w:szCs w:val="24"/>
          <w:shd w:val="clear" w:color="auto" w:fill="FFFFFF"/>
        </w:rPr>
        <w:t xml:space="preserve"> </w:t>
      </w:r>
    </w:p>
    <w:p w14:paraId="4A5AAC0D" w14:textId="77777777" w:rsidR="0038653D" w:rsidRDefault="0038653D" w:rsidP="0038653D">
      <w:pPr>
        <w:pStyle w:val="NoSpacing"/>
        <w:ind w:left="720"/>
        <w:rPr>
          <w:rFonts w:ascii="Times New Roman" w:hAnsi="Times New Roman"/>
          <w:sz w:val="24"/>
          <w:szCs w:val="24"/>
          <w:shd w:val="clear" w:color="auto" w:fill="FFFFFF"/>
        </w:rPr>
      </w:pPr>
    </w:p>
    <w:p w14:paraId="71F58FE7" w14:textId="77777777" w:rsidR="005D56E5" w:rsidRPr="00F0094C" w:rsidRDefault="005D56E5" w:rsidP="005D56E5">
      <w:pPr>
        <w:pStyle w:val="NoSpacing"/>
        <w:rPr>
          <w:rFonts w:ascii="Times New Roman" w:hAnsi="Times New Roman"/>
          <w:b/>
          <w:bCs/>
          <w:sz w:val="24"/>
          <w:szCs w:val="24"/>
          <w:shd w:val="clear" w:color="auto" w:fill="FFFFFF"/>
        </w:rPr>
      </w:pPr>
      <w:r w:rsidRPr="00F0094C">
        <w:rPr>
          <w:rFonts w:ascii="Times New Roman" w:hAnsi="Times New Roman"/>
          <w:b/>
          <w:bCs/>
          <w:sz w:val="24"/>
          <w:szCs w:val="24"/>
          <w:shd w:val="clear" w:color="auto" w:fill="FFFFFF"/>
        </w:rPr>
        <w:lastRenderedPageBreak/>
        <w:t>Legal Lesson Learned:</w:t>
      </w:r>
      <w:r>
        <w:rPr>
          <w:rFonts w:ascii="Times New Roman" w:hAnsi="Times New Roman"/>
          <w:b/>
          <w:bCs/>
          <w:sz w:val="24"/>
          <w:szCs w:val="24"/>
          <w:shd w:val="clear" w:color="auto" w:fill="FFFFFF"/>
        </w:rPr>
        <w:t xml:space="preserve"> This unanimous decision sends a clear message that job transfers can be basis of Title VII litigation. </w:t>
      </w:r>
    </w:p>
    <w:p w14:paraId="749E92FE" w14:textId="77777777" w:rsidR="005D56E5" w:rsidRDefault="005D56E5" w:rsidP="005D56E5">
      <w:pPr>
        <w:pStyle w:val="NoSpacing"/>
        <w:rPr>
          <w:shd w:val="clear" w:color="auto" w:fill="FFFFFF"/>
        </w:rPr>
      </w:pPr>
    </w:p>
    <w:p w14:paraId="5D04B60F" w14:textId="77777777" w:rsidR="009C6DC9" w:rsidRDefault="009C6DC9" w:rsidP="00F326E5">
      <w:pPr>
        <w:pStyle w:val="NoSpacing"/>
        <w:rPr>
          <w:rFonts w:ascii="Arial Black" w:hAnsi="Arial Black"/>
          <w:b/>
          <w:bCs/>
          <w:sz w:val="24"/>
          <w:szCs w:val="24"/>
        </w:rPr>
      </w:pPr>
    </w:p>
    <w:p w14:paraId="6764222E" w14:textId="77777777" w:rsidR="00B52921" w:rsidRDefault="00B52921" w:rsidP="00F326E5">
      <w:pPr>
        <w:pStyle w:val="NoSpacing"/>
        <w:rPr>
          <w:rFonts w:ascii="Arial Black" w:hAnsi="Arial Black"/>
          <w:b/>
          <w:bCs/>
          <w:sz w:val="24"/>
          <w:szCs w:val="24"/>
        </w:rPr>
      </w:pPr>
    </w:p>
    <w:p w14:paraId="78056E9C" w14:textId="73785EF4" w:rsidR="00B52921" w:rsidRDefault="00480F72" w:rsidP="00F326E5">
      <w:pPr>
        <w:pStyle w:val="NoSpacing"/>
        <w:rPr>
          <w:rFonts w:ascii="Arial Black" w:hAnsi="Arial Black"/>
          <w:b/>
          <w:bCs/>
          <w:sz w:val="24"/>
          <w:szCs w:val="24"/>
        </w:rPr>
      </w:pPr>
      <w:r>
        <w:rPr>
          <w:rFonts w:ascii="Arial Black" w:hAnsi="Arial Black"/>
          <w:b/>
          <w:bCs/>
          <w:sz w:val="24"/>
          <w:szCs w:val="24"/>
        </w:rPr>
        <w:t>7-62</w:t>
      </w:r>
    </w:p>
    <w:p w14:paraId="2B560460" w14:textId="77777777" w:rsidR="00B52921" w:rsidRDefault="00B52921" w:rsidP="00B52921">
      <w:pPr>
        <w:pStyle w:val="NormalWeb"/>
        <w:rPr>
          <w:rFonts w:ascii="Arial Black" w:hAnsi="Arial Black"/>
          <w:sz w:val="28"/>
          <w:szCs w:val="28"/>
        </w:rPr>
      </w:pPr>
      <w:r>
        <w:rPr>
          <w:rFonts w:ascii="Arial Black" w:hAnsi="Arial Black"/>
          <w:sz w:val="28"/>
          <w:szCs w:val="28"/>
        </w:rPr>
        <w:t>FL:  DELAY REINSTATING FEMALE RECRUIT - TRIAL COURT $150 / DAY FINE FD SET ASIDE - $750K JURY VERDICT 2021</w:t>
      </w:r>
    </w:p>
    <w:p w14:paraId="1DF29837" w14:textId="77777777" w:rsidR="00B52921" w:rsidRDefault="00B52921" w:rsidP="00B52921">
      <w:pPr>
        <w:pStyle w:val="NormalWeb"/>
      </w:pPr>
      <w:r>
        <w:t xml:space="preserve">On April 24, 2024, in </w:t>
      </w:r>
      <w:r w:rsidRPr="00E7263C">
        <w:rPr>
          <w:u w:val="single"/>
        </w:rPr>
        <w:t>Palm Beach County v. Sharon Wilson</w:t>
      </w:r>
      <w:r>
        <w:t xml:space="preserve">, the </w:t>
      </w:r>
      <w:r w:rsidRPr="004979C1">
        <w:t>District Court of Appeal of Florida, Fourth District</w:t>
      </w:r>
      <w:r>
        <w:t xml:space="preserve">, held that trial court improperly imposed a $150 / day fine on the FD for any delay in reinstating her to the next training academy.  Wilson was hired in April 2015 and fractured her wrist in recruit school; written up for violations and resigned.  In Dec. 2021 Jury awarded her $750,000 and Court ordered her reinstated.  The Court of Appeals held that trial court judge violated FD’s due process rights when the judge proposed sanctioning the County if the County failed to reinstate Wilson by the specified reinstatement date. The trial court stated, “if I just ordered [Wilson] to be reinstated, you know what, [the County] could just sit on [its] hands and wait years and years and years to reinstate her. So, there </w:t>
      </w:r>
      <w:proofErr w:type="gramStart"/>
      <w:r>
        <w:t>has to</w:t>
      </w:r>
      <w:proofErr w:type="gramEnd"/>
      <w:r>
        <w:t xml:space="preserve"> be a monetary sanction, so to speak, for [the County] to act in a timely manner on the Court's directives that [the County] hire[s] her.” </w:t>
      </w:r>
      <w:hyperlink r:id="rId1321" w:history="1">
        <w:r w:rsidRPr="00E2199F">
          <w:rPr>
            <w:rStyle w:val="Hyperlink"/>
          </w:rPr>
          <w:t>https://caselaw.findlaw.com/court/fl-district-court-of-appeal/116085347.html</w:t>
        </w:r>
      </w:hyperlink>
      <w:r>
        <w:t xml:space="preserve"> </w:t>
      </w:r>
    </w:p>
    <w:p w14:paraId="7EC63870" w14:textId="77777777" w:rsidR="00B52921" w:rsidRDefault="00B52921" w:rsidP="00B52921">
      <w:pPr>
        <w:pStyle w:val="NormalWeb"/>
      </w:pPr>
      <w:r>
        <w:t>COURT HELD:</w:t>
      </w:r>
    </w:p>
    <w:p w14:paraId="15702550" w14:textId="77777777" w:rsidR="00B52921" w:rsidRDefault="00B52921" w:rsidP="00B52921">
      <w:pPr>
        <w:pStyle w:val="NormalWeb"/>
        <w:ind w:left="720"/>
      </w:pPr>
      <w:r>
        <w:t xml:space="preserve">“As discussed below, we reverse the trial court's premature and speculative imposition of a daily fine…. The County argues that the trial court denied the County due process when, during the hearing on Wilson's motion, it </w:t>
      </w:r>
      <w:proofErr w:type="spellStart"/>
      <w:r>
        <w:t>sua</w:t>
      </w:r>
      <w:proofErr w:type="spellEnd"/>
      <w:r>
        <w:t xml:space="preserve"> sponte proposed a monetary sanction if the County failed to timely reinstate Wilson. We agree with the County.”</w:t>
      </w:r>
    </w:p>
    <w:p w14:paraId="0A1CF24E" w14:textId="77777777" w:rsidR="00B52921" w:rsidRPr="00B06CBE" w:rsidRDefault="00B52921" w:rsidP="00B52921">
      <w:pPr>
        <w:pStyle w:val="NormalWeb"/>
        <w:rPr>
          <w:b/>
          <w:bCs/>
        </w:rPr>
      </w:pPr>
      <w:r w:rsidRPr="00B06CBE">
        <w:rPr>
          <w:b/>
          <w:bCs/>
        </w:rPr>
        <w:t>Legal Lesson Learned:</w:t>
      </w:r>
      <w:r>
        <w:rPr>
          <w:b/>
          <w:bCs/>
        </w:rPr>
        <w:t xml:space="preserve"> Monetary sanction on employer cannot be imposed without evidence of breach of a court order.  </w:t>
      </w:r>
    </w:p>
    <w:p w14:paraId="62A99C01" w14:textId="77777777" w:rsidR="00480F72" w:rsidRDefault="00480F72" w:rsidP="00B52921">
      <w:pPr>
        <w:rPr>
          <w:rFonts w:ascii="Arial Black" w:hAnsi="Arial Black"/>
          <w:sz w:val="28"/>
          <w:szCs w:val="28"/>
        </w:rPr>
      </w:pPr>
    </w:p>
    <w:p w14:paraId="13884D71" w14:textId="72B9F2EE" w:rsidR="00B52921" w:rsidRDefault="00480F72" w:rsidP="00B52921">
      <w:pPr>
        <w:rPr>
          <w:rFonts w:ascii="Arial Black" w:hAnsi="Arial Black"/>
          <w:sz w:val="28"/>
          <w:szCs w:val="28"/>
        </w:rPr>
      </w:pPr>
      <w:r>
        <w:rPr>
          <w:rFonts w:ascii="Arial Black" w:hAnsi="Arial Black"/>
          <w:sz w:val="28"/>
          <w:szCs w:val="28"/>
        </w:rPr>
        <w:t>7-61</w:t>
      </w:r>
    </w:p>
    <w:p w14:paraId="441C23BC" w14:textId="77777777" w:rsidR="00B52921" w:rsidRPr="0041351C" w:rsidRDefault="00B52921" w:rsidP="00B52921">
      <w:pPr>
        <w:pStyle w:val="NormalWeb"/>
        <w:spacing w:before="0" w:beforeAutospacing="0"/>
        <w:rPr>
          <w:rFonts w:ascii="Arial Black" w:hAnsi="Arial Black"/>
          <w:sz w:val="28"/>
          <w:szCs w:val="28"/>
        </w:rPr>
      </w:pPr>
      <w:r>
        <w:rPr>
          <w:rFonts w:ascii="Arial Black" w:hAnsi="Arial Black"/>
          <w:sz w:val="28"/>
          <w:szCs w:val="28"/>
        </w:rPr>
        <w:t>VA: “OPENLY BISEXUAL” EMT – NEG. JOB REFERENCES - VP AMBUL. CO. TOLD OTHERS “ODD DUCK” – CASE PROCEED</w:t>
      </w:r>
    </w:p>
    <w:p w14:paraId="0693AFA7" w14:textId="77777777" w:rsidR="00B52921" w:rsidRDefault="00B52921" w:rsidP="00B52921">
      <w:pPr>
        <w:pStyle w:val="NormalWeb"/>
      </w:pPr>
      <w:r w:rsidRPr="00480F72">
        <w:rPr>
          <w:rStyle w:val="Strong"/>
          <w:rFonts w:eastAsiaTheme="majorEastAsia"/>
          <w:b w:val="0"/>
          <w:bCs w:val="0"/>
        </w:rPr>
        <w:t xml:space="preserve">On April 18, 2024, in </w:t>
      </w:r>
      <w:r w:rsidRPr="00480F72">
        <w:rPr>
          <w:rStyle w:val="Strong"/>
          <w:rFonts w:eastAsiaTheme="majorEastAsia"/>
          <w:b w:val="0"/>
          <w:bCs w:val="0"/>
          <w:u w:val="single"/>
        </w:rPr>
        <w:t>Natalie Lundberg v, Delta Response Team, LLC and Thomas Walton</w:t>
      </w:r>
      <w:r w:rsidRPr="00480F72">
        <w:rPr>
          <w:rStyle w:val="Strong"/>
          <w:rFonts w:eastAsiaTheme="majorEastAsia"/>
          <w:b w:val="0"/>
          <w:bCs w:val="0"/>
        </w:rPr>
        <w:t xml:space="preserve">, United States District Court Judge Robert S. Ballo, U.S. District Court for Western District of Virginia (Charlottesville Division) held that defense motion to dismiss claims is denied regarding her claim of “sexual orientation discrimination / disparate treatment theory.” </w:t>
      </w:r>
      <w:r>
        <w:t xml:space="preserve">Lundberg </w:t>
      </w:r>
      <w:proofErr w:type="gramStart"/>
      <w:r>
        <w:t>interviewed with</w:t>
      </w:r>
      <w:proofErr w:type="gramEnd"/>
      <w:r>
        <w:t xml:space="preserve"> both the City of Lynchburg Fire Department and Bedford County Fire and Rescue and accepted a conditional offer of employment from Bedford on February 16, 2022. Both FDs withdrew their interest after speaking with Walton. The Court dismissed other claims, including the claim for intentional infliction of emotional distress.  </w:t>
      </w:r>
      <w:hyperlink r:id="rId1322" w:history="1">
        <w:r w:rsidRPr="00E2199F">
          <w:rPr>
            <w:rStyle w:val="Hyperlink"/>
          </w:rPr>
          <w:t>https://casetext.com/case/lundberg-v-delta-response-team-llc</w:t>
        </w:r>
      </w:hyperlink>
      <w:r>
        <w:t xml:space="preserve"> </w:t>
      </w:r>
    </w:p>
    <w:p w14:paraId="6AC650AA" w14:textId="77777777" w:rsidR="00B52921" w:rsidRDefault="00B52921" w:rsidP="00B52921">
      <w:pPr>
        <w:pStyle w:val="NormalWeb"/>
      </w:pPr>
      <w:r>
        <w:t xml:space="preserve">COURT HELD: </w:t>
      </w:r>
    </w:p>
    <w:p w14:paraId="55117009" w14:textId="77777777" w:rsidR="00B52921" w:rsidRDefault="00B52921" w:rsidP="00B52921">
      <w:pPr>
        <w:pStyle w:val="NormalWeb"/>
        <w:ind w:left="720"/>
      </w:pPr>
      <w:r>
        <w:lastRenderedPageBreak/>
        <w:t>“Lundberg states a plausible claim for sexual orientation discrimination against Delta Response based on her allegations of disparate treatment in the workplace. Lundberg alleges discrimination based on her sexual orientation when Walton provided a negative job reference, which for purposes of the motion to dismiss, I consider an adverse employment action. Absent direct evidence</w:t>
      </w:r>
      <w:r>
        <w:rPr>
          <w:vertAlign w:val="superscript"/>
        </w:rPr>
        <w:t>[</w:t>
      </w:r>
      <w:bookmarkStart w:id="279" w:name="FN12"/>
      <w:r>
        <w:rPr>
          <w:vertAlign w:val="superscript"/>
        </w:rPr>
        <w:fldChar w:fldCharType="begin"/>
      </w:r>
      <w:r>
        <w:rPr>
          <w:vertAlign w:val="superscript"/>
        </w:rPr>
        <w:instrText>HYPERLINK "https://public.fastcase.com/" \l "ftn.FN12"</w:instrText>
      </w:r>
      <w:r>
        <w:rPr>
          <w:vertAlign w:val="superscript"/>
        </w:rPr>
      </w:r>
      <w:r>
        <w:rPr>
          <w:vertAlign w:val="superscript"/>
        </w:rPr>
        <w:fldChar w:fldCharType="separate"/>
      </w:r>
      <w:r>
        <w:rPr>
          <w:rStyle w:val="Hyperlink"/>
          <w:rFonts w:eastAsiaTheme="majorEastAsia"/>
          <w:vertAlign w:val="superscript"/>
        </w:rPr>
        <w:t>12</w:t>
      </w:r>
      <w:r>
        <w:rPr>
          <w:vertAlign w:val="superscript"/>
        </w:rPr>
        <w:fldChar w:fldCharType="end"/>
      </w:r>
      <w:bookmarkEnd w:id="279"/>
      <w:r>
        <w:rPr>
          <w:vertAlign w:val="superscript"/>
        </w:rPr>
        <w:t>]</w:t>
      </w:r>
      <w:r>
        <w:t xml:space="preserve">, the elements of a </w:t>
      </w:r>
      <w:r>
        <w:rPr>
          <w:rStyle w:val="Emphasis"/>
          <w:rFonts w:eastAsiaTheme="majorEastAsia"/>
        </w:rPr>
        <w:t>prima facie</w:t>
      </w:r>
      <w:r>
        <w:t xml:space="preserve"> case of disparate treatment under Title VII are (1) membership in a protected class; (2) satisfactory job performance; (3) an adverse employment action; and (4) similarly situated employees outside the protected class who received more favorable treatment. </w:t>
      </w:r>
      <w:r>
        <w:rPr>
          <w:rStyle w:val="Emphasis"/>
          <w:rFonts w:eastAsiaTheme="majorEastAsia"/>
        </w:rPr>
        <w:t xml:space="preserve">Tabb v. Bd. Of Educ. Of Durham Pub. </w:t>
      </w:r>
      <w:proofErr w:type="spellStart"/>
      <w:r>
        <w:rPr>
          <w:rStyle w:val="Emphasis"/>
          <w:rFonts w:eastAsiaTheme="majorEastAsia"/>
        </w:rPr>
        <w:t>Scs</w:t>
      </w:r>
      <w:proofErr w:type="spellEnd"/>
      <w:r>
        <w:t xml:space="preserve">. 29 F.4th 148, 157 (4th Cir. 2022); </w:t>
      </w:r>
      <w:r>
        <w:rPr>
          <w:rStyle w:val="Emphasis"/>
          <w:rFonts w:eastAsiaTheme="majorEastAsia"/>
        </w:rPr>
        <w:t>Coleman</w:t>
      </w:r>
      <w:r>
        <w:t xml:space="preserve">, 626 F.3d at 190. Disparate treatment requires proof of discriminatory motive ‘although [that motive] can in some situations be inferred from the mere fact of differences in treatment.’ </w:t>
      </w:r>
      <w:r>
        <w:rPr>
          <w:rStyle w:val="Emphasis"/>
          <w:rFonts w:eastAsiaTheme="majorEastAsia"/>
        </w:rPr>
        <w:t>Int'l Bhd. of Teamsters v. United States</w:t>
      </w:r>
      <w:r>
        <w:t>, 431 U.S. 324, 335 n.15 (1977).”</w:t>
      </w:r>
    </w:p>
    <w:p w14:paraId="5DC9EECF" w14:textId="77777777" w:rsidR="00B52921" w:rsidRPr="002C51E2" w:rsidRDefault="00B52921" w:rsidP="00B52921">
      <w:pPr>
        <w:pStyle w:val="NormalWeb"/>
        <w:rPr>
          <w:b/>
          <w:bCs/>
        </w:rPr>
      </w:pPr>
      <w:r w:rsidRPr="002C51E2">
        <w:rPr>
          <w:b/>
          <w:bCs/>
        </w:rPr>
        <w:t>Legal Lesson Learned:</w:t>
      </w:r>
      <w:r>
        <w:rPr>
          <w:b/>
          <w:bCs/>
        </w:rPr>
        <w:t xml:space="preserve"> If an employee requests a job reference, consider declining the request if this </w:t>
      </w:r>
      <w:proofErr w:type="gramStart"/>
      <w:r>
        <w:rPr>
          <w:b/>
          <w:bCs/>
        </w:rPr>
        <w:t>would not all be</w:t>
      </w:r>
      <w:proofErr w:type="gramEnd"/>
      <w:r>
        <w:rPr>
          <w:b/>
          <w:bCs/>
        </w:rPr>
        <w:t xml:space="preserve"> positive. Some employers direct Managers to not give job references, positive or negative. </w:t>
      </w:r>
    </w:p>
    <w:p w14:paraId="26DB5138" w14:textId="77777777" w:rsidR="00B52921" w:rsidRDefault="00B52921" w:rsidP="00B52921">
      <w:pPr>
        <w:pStyle w:val="Heading1"/>
        <w:ind w:left="720"/>
        <w:rPr>
          <w:color w:val="000000" w:themeColor="text1"/>
          <w:sz w:val="24"/>
          <w:szCs w:val="24"/>
        </w:rPr>
      </w:pPr>
      <w:r w:rsidRPr="001C276F">
        <w:rPr>
          <w:color w:val="000000" w:themeColor="text1"/>
          <w:sz w:val="24"/>
          <w:szCs w:val="24"/>
        </w:rPr>
        <w:t xml:space="preserve">Note: See Ohio Revised Code Section 4113.71 </w:t>
      </w:r>
      <w:r w:rsidRPr="001C276F">
        <w:rPr>
          <w:rStyle w:val="codes-separator"/>
          <w:color w:val="000000" w:themeColor="text1"/>
          <w:sz w:val="24"/>
          <w:szCs w:val="24"/>
        </w:rPr>
        <w:t>|</w:t>
      </w:r>
      <w:r w:rsidRPr="001C276F">
        <w:rPr>
          <w:color w:val="000000" w:themeColor="text1"/>
          <w:sz w:val="24"/>
          <w:szCs w:val="24"/>
        </w:rPr>
        <w:t xml:space="preserve"> Immunity of employer as to job performance information disclosures.</w:t>
      </w:r>
      <w:r>
        <w:rPr>
          <w:color w:val="000000" w:themeColor="text1"/>
          <w:sz w:val="24"/>
          <w:szCs w:val="24"/>
        </w:rPr>
        <w:t xml:space="preserve"> </w:t>
      </w:r>
      <w:hyperlink r:id="rId1323" w:history="1">
        <w:r w:rsidRPr="00E2199F">
          <w:rPr>
            <w:rStyle w:val="Hyperlink"/>
            <w:sz w:val="24"/>
            <w:szCs w:val="24"/>
          </w:rPr>
          <w:t>https://codes.ohio.gov/ohio-revised-code/section-4113.71</w:t>
        </w:r>
      </w:hyperlink>
      <w:r>
        <w:rPr>
          <w:color w:val="000000" w:themeColor="text1"/>
          <w:sz w:val="24"/>
          <w:szCs w:val="24"/>
        </w:rPr>
        <w:t xml:space="preserve"> </w:t>
      </w:r>
    </w:p>
    <w:p w14:paraId="46C798E6" w14:textId="77777777" w:rsidR="00B52921" w:rsidRDefault="00B52921" w:rsidP="00B52921">
      <w:pPr>
        <w:pStyle w:val="NormalWeb"/>
        <w:ind w:left="720"/>
      </w:pPr>
      <w:r>
        <w:t>(B) An employer who is requested by an employee or a prospective employer of an employee to disclose to a prospective employer of that employee information pertaining to the job performance of that employee for the employer and who discloses the requested information to the prospective employer is not liable in damages in a civil action to that employee, the prospective employer, or any other person for any harm sustained as a proximate result of making the disclosure or of any information disclosed, unless the plaintiff in a civil action establishes, either or both of the following:</w:t>
      </w:r>
    </w:p>
    <w:p w14:paraId="72419B4C" w14:textId="77777777" w:rsidR="00B52921" w:rsidRDefault="00B52921" w:rsidP="00B52921">
      <w:pPr>
        <w:pStyle w:val="NormalWeb"/>
        <w:ind w:left="720"/>
      </w:pPr>
      <w:r>
        <w:t xml:space="preserve">(1) By a preponderance of the evidence that the employer disclosed </w:t>
      </w:r>
      <w:proofErr w:type="gramStart"/>
      <w:r>
        <w:t>particular information</w:t>
      </w:r>
      <w:proofErr w:type="gramEnd"/>
      <w:r>
        <w:t xml:space="preserve"> with the knowledge that it was false, with the deliberate intent to mislead the prospective employer or another person, in bad faith, or with malicious purpose;</w:t>
      </w:r>
    </w:p>
    <w:p w14:paraId="59EFBA74" w14:textId="77777777" w:rsidR="00B52921" w:rsidRDefault="00B52921" w:rsidP="00B52921">
      <w:pPr>
        <w:pStyle w:val="NormalWeb"/>
        <w:ind w:left="720"/>
      </w:pPr>
      <w:r>
        <w:t xml:space="preserve">(2) By a preponderance of the evidence that the disclosure of </w:t>
      </w:r>
      <w:proofErr w:type="gramStart"/>
      <w:r>
        <w:t>particular information</w:t>
      </w:r>
      <w:proofErr w:type="gramEnd"/>
      <w:r>
        <w:t xml:space="preserve"> by the employer constitutes an unlawful discriminatory practice described in section </w:t>
      </w:r>
      <w:hyperlink r:id="rId1324" w:history="1">
        <w:r>
          <w:rPr>
            <w:rStyle w:val="Hyperlink"/>
            <w:rFonts w:eastAsiaTheme="majorEastAsia"/>
          </w:rPr>
          <w:t>4112.02</w:t>
        </w:r>
      </w:hyperlink>
      <w:r>
        <w:t xml:space="preserve">, </w:t>
      </w:r>
      <w:hyperlink r:id="rId1325" w:history="1">
        <w:r>
          <w:rPr>
            <w:rStyle w:val="Hyperlink"/>
            <w:rFonts w:eastAsiaTheme="majorEastAsia"/>
          </w:rPr>
          <w:t>4112.021</w:t>
        </w:r>
      </w:hyperlink>
      <w:r>
        <w:t xml:space="preserve">, or </w:t>
      </w:r>
      <w:hyperlink r:id="rId1326" w:history="1">
        <w:r>
          <w:rPr>
            <w:rStyle w:val="Hyperlink"/>
            <w:rFonts w:eastAsiaTheme="majorEastAsia"/>
          </w:rPr>
          <w:t>4112.022</w:t>
        </w:r>
      </w:hyperlink>
      <w:r>
        <w:t xml:space="preserve"> of the Revised Code.</w:t>
      </w:r>
    </w:p>
    <w:p w14:paraId="71517D17" w14:textId="77777777" w:rsidR="00B52921" w:rsidRDefault="00B52921" w:rsidP="00B52921">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7-60</w:t>
      </w:r>
    </w:p>
    <w:p w14:paraId="3BAC983C" w14:textId="2EC25C08" w:rsidR="00B52921" w:rsidRDefault="00B52921" w:rsidP="00B52921">
      <w:pPr>
        <w:pStyle w:val="NormalWeb"/>
        <w:spacing w:before="0" w:beforeAutospacing="0"/>
        <w:rPr>
          <w:b/>
          <w:bCs/>
          <w:color w:val="454545"/>
          <w:shd w:val="clear" w:color="auto" w:fill="FFFFFF"/>
        </w:rPr>
      </w:pPr>
      <w:r>
        <w:rPr>
          <w:rFonts w:ascii="Arial Black" w:hAnsi="Arial Black"/>
          <w:b/>
          <w:bCs/>
          <w:color w:val="454545"/>
          <w:sz w:val="28"/>
          <w:szCs w:val="28"/>
          <w:shd w:val="clear" w:color="auto" w:fill="FFFFFF"/>
        </w:rPr>
        <w:t xml:space="preserve">U.S. SUP. CT. – LANDMARK CASE: JOB TRANSFER / SEXUAL HAR. – FEMALE SGT. MUST ONLY SHOW “SOME HARM” </w:t>
      </w:r>
    </w:p>
    <w:p w14:paraId="67591A59" w14:textId="77777777" w:rsidR="00B52921" w:rsidRPr="00EB06FE" w:rsidRDefault="00B52921" w:rsidP="00B52921">
      <w:pPr>
        <w:pStyle w:val="NoSpacing"/>
        <w:rPr>
          <w:rFonts w:ascii="Times New Roman" w:hAnsi="Times New Roman"/>
          <w:color w:val="454545"/>
          <w:sz w:val="24"/>
          <w:szCs w:val="24"/>
          <w:shd w:val="clear" w:color="auto" w:fill="FFFFFF"/>
        </w:rPr>
      </w:pPr>
      <w:r w:rsidRPr="00EB06FE">
        <w:rPr>
          <w:rFonts w:ascii="Times New Roman" w:hAnsi="Times New Roman"/>
          <w:color w:val="454545"/>
          <w:sz w:val="24"/>
          <w:szCs w:val="24"/>
          <w:shd w:val="clear" w:color="auto" w:fill="FFFFFF"/>
        </w:rPr>
        <w:t xml:space="preserve">On April 17, 2024, in </w:t>
      </w:r>
      <w:r w:rsidRPr="00EB06FE">
        <w:rPr>
          <w:rFonts w:ascii="Times New Roman" w:hAnsi="Times New Roman"/>
          <w:color w:val="454545"/>
          <w:sz w:val="24"/>
          <w:szCs w:val="24"/>
          <w:u w:val="single"/>
          <w:shd w:val="clear" w:color="auto" w:fill="FFFFFF"/>
        </w:rPr>
        <w:t>Jatonya Clayborn Muldrow v. City of St. Louis, Missouri, et al.,</w:t>
      </w:r>
      <w:r w:rsidRPr="00EB06FE">
        <w:rPr>
          <w:rFonts w:ascii="Times New Roman" w:hAnsi="Times New Roman"/>
          <w:color w:val="454545"/>
          <w:sz w:val="24"/>
          <w:szCs w:val="24"/>
          <w:shd w:val="clear" w:color="auto" w:fill="FFFFFF"/>
        </w:rPr>
        <w:t xml:space="preserve"> the United States Supreme Court held (9 to 0) that trial court should not have granted summary judgment to the city, and 8</w:t>
      </w:r>
      <w:r w:rsidRPr="00EB06FE">
        <w:rPr>
          <w:rFonts w:ascii="Times New Roman" w:hAnsi="Times New Roman"/>
          <w:color w:val="454545"/>
          <w:sz w:val="24"/>
          <w:szCs w:val="24"/>
          <w:shd w:val="clear" w:color="auto" w:fill="FFFFFF"/>
          <w:vertAlign w:val="superscript"/>
        </w:rPr>
        <w:t>th</w:t>
      </w:r>
      <w:r w:rsidRPr="00EB06FE">
        <w:rPr>
          <w:rFonts w:ascii="Times New Roman" w:hAnsi="Times New Roman"/>
          <w:color w:val="454545"/>
          <w:sz w:val="24"/>
          <w:szCs w:val="24"/>
          <w:shd w:val="clear" w:color="auto" w:fill="FFFFFF"/>
        </w:rPr>
        <w:t xml:space="preserve"> Circuit Court of Appeals had applied too tough a standard for employees claiming job transfer was because of sexual harassment (“materially significant disadvantage”).  </w:t>
      </w:r>
      <w:r w:rsidRPr="00EB06FE">
        <w:rPr>
          <w:rFonts w:ascii="Times New Roman" w:hAnsi="Times New Roman"/>
          <w:sz w:val="24"/>
          <w:szCs w:val="24"/>
        </w:rPr>
        <w:t xml:space="preserve">Sergeant Jatonya Clayborn Muldrow maintains that her employer, the St. Louis Police Department, transferred her from one job to another because she is a woman. </w:t>
      </w:r>
      <w:r w:rsidRPr="00EB06FE">
        <w:rPr>
          <w:rFonts w:ascii="Times New Roman" w:hAnsi="Times New Roman"/>
          <w:color w:val="454545"/>
          <w:sz w:val="24"/>
          <w:szCs w:val="24"/>
          <w:shd w:val="clear" w:color="auto" w:fill="FFFFFF"/>
        </w:rPr>
        <w:t xml:space="preserve">Sergeant Muldrow was in Intelligence Division, worked M-F, vehicle, FBI cases, and her new male boss moved her out (back to street patrol) because wanted male sergeant.  Under new </w:t>
      </w:r>
      <w:proofErr w:type="gramStart"/>
      <w:r w:rsidRPr="00EB06FE">
        <w:rPr>
          <w:rFonts w:ascii="Times New Roman" w:hAnsi="Times New Roman"/>
          <w:color w:val="454545"/>
          <w:sz w:val="24"/>
          <w:szCs w:val="24"/>
          <w:shd w:val="clear" w:color="auto" w:fill="FFFFFF"/>
        </w:rPr>
        <w:t>standard</w:t>
      </w:r>
      <w:proofErr w:type="gramEnd"/>
      <w:r w:rsidRPr="00EB06FE">
        <w:rPr>
          <w:rFonts w:ascii="Times New Roman" w:hAnsi="Times New Roman"/>
          <w:color w:val="454545"/>
          <w:sz w:val="24"/>
          <w:szCs w:val="24"/>
          <w:shd w:val="clear" w:color="auto" w:fill="FFFFFF"/>
        </w:rPr>
        <w:t xml:space="preserve">, she must only that that the job transfer brought about some harm with respect to an identifiable term or condition of employment, but that harm need not be significant. </w:t>
      </w:r>
      <w:hyperlink r:id="rId1327" w:history="1">
        <w:r w:rsidRPr="00EB06FE">
          <w:rPr>
            <w:rStyle w:val="Hyperlink"/>
            <w:rFonts w:ascii="Times New Roman" w:hAnsi="Times New Roman"/>
            <w:sz w:val="24"/>
            <w:szCs w:val="24"/>
            <w:shd w:val="clear" w:color="auto" w:fill="FFFFFF"/>
          </w:rPr>
          <w:t>https://www.supremecourt.gov/opinions/23pdf/22-193_q86b.pdf</w:t>
        </w:r>
      </w:hyperlink>
      <w:r w:rsidRPr="00EB06FE">
        <w:rPr>
          <w:rFonts w:ascii="Times New Roman" w:hAnsi="Times New Roman"/>
          <w:color w:val="454545"/>
          <w:sz w:val="24"/>
          <w:szCs w:val="24"/>
          <w:shd w:val="clear" w:color="auto" w:fill="FFFFFF"/>
        </w:rPr>
        <w:t xml:space="preserve"> </w:t>
      </w:r>
    </w:p>
    <w:p w14:paraId="6054BF64" w14:textId="77777777" w:rsidR="00B52921" w:rsidRDefault="00B52921" w:rsidP="00B52921">
      <w:pPr>
        <w:pStyle w:val="NormalWeb"/>
        <w:spacing w:before="0" w:beforeAutospacing="0"/>
        <w:rPr>
          <w:color w:val="454545"/>
          <w:shd w:val="clear" w:color="auto" w:fill="FFFFFF"/>
        </w:rPr>
      </w:pPr>
    </w:p>
    <w:p w14:paraId="2E3F5138" w14:textId="77777777" w:rsidR="00B52921" w:rsidRPr="00A0436B" w:rsidRDefault="00B52921" w:rsidP="00B52921">
      <w:pPr>
        <w:pStyle w:val="NormalWeb"/>
        <w:spacing w:before="0" w:beforeAutospacing="0"/>
        <w:rPr>
          <w:color w:val="454545"/>
          <w:shd w:val="clear" w:color="auto" w:fill="FFFFFF"/>
        </w:rPr>
      </w:pPr>
      <w:r>
        <w:rPr>
          <w:color w:val="454545"/>
          <w:shd w:val="clear" w:color="auto" w:fill="FFFFFF"/>
        </w:rPr>
        <w:t xml:space="preserve">COURT HELD (opinion by Justice Elena Kagan): </w:t>
      </w:r>
    </w:p>
    <w:p w14:paraId="4E1BAEC7" w14:textId="77777777" w:rsidR="00B52921" w:rsidRDefault="00B52921" w:rsidP="00B52921">
      <w:pPr>
        <w:pStyle w:val="NoSpacing"/>
        <w:ind w:left="720"/>
        <w:rPr>
          <w:rFonts w:ascii="Times New Roman" w:hAnsi="Times New Roman"/>
          <w:sz w:val="24"/>
          <w:szCs w:val="24"/>
          <w:shd w:val="clear" w:color="auto" w:fill="FFFFFF"/>
        </w:rPr>
      </w:pPr>
      <w:r>
        <w:rPr>
          <w:shd w:val="clear" w:color="auto" w:fill="FFFFFF"/>
        </w:rPr>
        <w:lastRenderedPageBreak/>
        <w:t>“</w:t>
      </w:r>
      <w:r w:rsidRPr="00EB06FE">
        <w:rPr>
          <w:rFonts w:ascii="Times New Roman" w:hAnsi="Times New Roman"/>
          <w:sz w:val="24"/>
          <w:szCs w:val="24"/>
          <w:shd w:val="clear" w:color="auto" w:fill="FFFFFF"/>
        </w:rPr>
        <w:t>The courts below rejected the claim on the ground that the</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 xml:space="preserve">transfer did not cause Muldrow a </w:t>
      </w:r>
      <w:r>
        <w:rPr>
          <w:rFonts w:ascii="Times New Roman" w:hAnsi="Times New Roman"/>
          <w:sz w:val="24"/>
          <w:szCs w:val="24"/>
          <w:shd w:val="clear" w:color="auto" w:fill="FFFFFF"/>
        </w:rPr>
        <w:t>‘</w:t>
      </w:r>
      <w:r w:rsidRPr="00EB06FE">
        <w:rPr>
          <w:rFonts w:ascii="Times New Roman" w:hAnsi="Times New Roman"/>
          <w:sz w:val="24"/>
          <w:szCs w:val="24"/>
          <w:shd w:val="clear" w:color="auto" w:fill="FFFFFF"/>
        </w:rPr>
        <w:t>significant</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employment</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disadvantage. Other courts have used similar standards in</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addressing Title VII suits arising from job transfers.</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 xml:space="preserve">Today, we </w:t>
      </w:r>
      <w:proofErr w:type="gramStart"/>
      <w:r w:rsidRPr="00EB06FE">
        <w:rPr>
          <w:rFonts w:ascii="Times New Roman" w:hAnsi="Times New Roman"/>
          <w:sz w:val="24"/>
          <w:szCs w:val="24"/>
          <w:shd w:val="clear" w:color="auto" w:fill="FFFFFF"/>
        </w:rPr>
        <w:t>disapprove</w:t>
      </w:r>
      <w:proofErr w:type="gramEnd"/>
      <w:r w:rsidRPr="00EB06FE">
        <w:rPr>
          <w:rFonts w:ascii="Times New Roman" w:hAnsi="Times New Roman"/>
          <w:sz w:val="24"/>
          <w:szCs w:val="24"/>
          <w:shd w:val="clear" w:color="auto" w:fill="FFFFFF"/>
        </w:rPr>
        <w:t xml:space="preserve"> that approach. Although an employee must show some harm from a forced transfer to prevail in a Title VII suit, she need not show that the injury</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satisfies a significance test. Title VII’s text nowhere establishes that high bar.</w:t>
      </w:r>
    </w:p>
    <w:p w14:paraId="170CF58B" w14:textId="77777777" w:rsidR="00B52921" w:rsidRPr="00EB06FE" w:rsidRDefault="00B52921" w:rsidP="00B52921">
      <w:pPr>
        <w:pStyle w:val="NoSpacing"/>
        <w:ind w:left="720"/>
        <w:rPr>
          <w:rFonts w:ascii="Times New Roman" w:hAnsi="Times New Roman"/>
          <w:sz w:val="24"/>
          <w:szCs w:val="24"/>
          <w:shd w:val="clear" w:color="auto" w:fill="FFFFFF"/>
        </w:rPr>
      </w:pPr>
    </w:p>
    <w:p w14:paraId="67348287" w14:textId="77777777" w:rsidR="00B52921" w:rsidRDefault="00B52921" w:rsidP="00B52921">
      <w:pPr>
        <w:pStyle w:val="NoSpacing"/>
        <w:ind w:left="720"/>
        <w:rPr>
          <w:rFonts w:ascii="Times New Roman" w:hAnsi="Times New Roman"/>
          <w:sz w:val="24"/>
          <w:szCs w:val="24"/>
        </w:rPr>
      </w:pPr>
      <w:r w:rsidRPr="00EB06FE">
        <w:rPr>
          <w:rFonts w:ascii="Times New Roman" w:hAnsi="Times New Roman"/>
          <w:sz w:val="24"/>
          <w:szCs w:val="24"/>
        </w:rPr>
        <w:t xml:space="preserve">The District Court, viewing the matter differently, granted the </w:t>
      </w:r>
      <w:proofErr w:type="gramStart"/>
      <w:r w:rsidRPr="00EB06FE">
        <w:rPr>
          <w:rFonts w:ascii="Times New Roman" w:hAnsi="Times New Roman"/>
          <w:sz w:val="24"/>
          <w:szCs w:val="24"/>
        </w:rPr>
        <w:t>City</w:t>
      </w:r>
      <w:proofErr w:type="gramEnd"/>
      <w:r w:rsidRPr="00EB06FE">
        <w:rPr>
          <w:rFonts w:ascii="Times New Roman" w:hAnsi="Times New Roman"/>
          <w:sz w:val="24"/>
          <w:szCs w:val="24"/>
        </w:rPr>
        <w:t xml:space="preserve"> summary judgment. Under Circuit precedent, the court explained, Muldrow needed to show that her transfer effected a ‘significant’ change in working</w:t>
      </w:r>
      <w:r w:rsidRPr="00356E5C">
        <w:rPr>
          <w:rFonts w:ascii="Times New Roman" w:hAnsi="Times New Roman"/>
          <w:sz w:val="24"/>
          <w:szCs w:val="24"/>
        </w:rPr>
        <w:t xml:space="preserve"> conditions producing </w:t>
      </w:r>
      <w:r>
        <w:rPr>
          <w:rFonts w:ascii="Times New Roman" w:hAnsi="Times New Roman"/>
          <w:sz w:val="24"/>
          <w:szCs w:val="24"/>
        </w:rPr>
        <w:t>‘</w:t>
      </w:r>
      <w:r w:rsidRPr="00356E5C">
        <w:rPr>
          <w:rFonts w:ascii="Times New Roman" w:hAnsi="Times New Roman"/>
          <w:sz w:val="24"/>
          <w:szCs w:val="24"/>
        </w:rPr>
        <w:t>material employment disadvantage.</w:t>
      </w:r>
      <w:r>
        <w:rPr>
          <w:rFonts w:ascii="Times New Roman" w:hAnsi="Times New Roman"/>
          <w:sz w:val="24"/>
          <w:szCs w:val="24"/>
        </w:rPr>
        <w:t xml:space="preserve">’ </w:t>
      </w:r>
      <w:r w:rsidRPr="00356E5C">
        <w:rPr>
          <w:rFonts w:ascii="Times New Roman" w:hAnsi="Times New Roman"/>
          <w:sz w:val="24"/>
          <w:szCs w:val="24"/>
        </w:rPr>
        <w:t>2020 WL 5505113, *8–*9. And Muldrow, the court held,</w:t>
      </w:r>
      <w:r>
        <w:rPr>
          <w:rFonts w:ascii="Times New Roman" w:hAnsi="Times New Roman"/>
          <w:sz w:val="24"/>
          <w:szCs w:val="24"/>
        </w:rPr>
        <w:t xml:space="preserve"> </w:t>
      </w:r>
      <w:r w:rsidRPr="00356E5C">
        <w:rPr>
          <w:rFonts w:ascii="Times New Roman" w:hAnsi="Times New Roman"/>
          <w:sz w:val="24"/>
          <w:szCs w:val="24"/>
        </w:rPr>
        <w:t xml:space="preserve">could not meet that </w:t>
      </w:r>
      <w:proofErr w:type="gramStart"/>
      <w:r w:rsidRPr="00356E5C">
        <w:rPr>
          <w:rFonts w:ascii="Times New Roman" w:hAnsi="Times New Roman"/>
          <w:sz w:val="24"/>
          <w:szCs w:val="24"/>
        </w:rPr>
        <w:t>heightened-injury</w:t>
      </w:r>
      <w:proofErr w:type="gramEnd"/>
      <w:r w:rsidRPr="00356E5C">
        <w:rPr>
          <w:rFonts w:ascii="Times New Roman" w:hAnsi="Times New Roman"/>
          <w:sz w:val="24"/>
          <w:szCs w:val="24"/>
        </w:rPr>
        <w:t xml:space="preserve"> standard. </w:t>
      </w:r>
      <w:r>
        <w:rPr>
          <w:rFonts w:ascii="Times New Roman" w:hAnsi="Times New Roman"/>
          <w:sz w:val="24"/>
          <w:szCs w:val="24"/>
        </w:rPr>
        <w:t>‘</w:t>
      </w:r>
      <w:r w:rsidRPr="00356E5C">
        <w:rPr>
          <w:rFonts w:ascii="Times New Roman" w:hAnsi="Times New Roman"/>
          <w:sz w:val="24"/>
          <w:szCs w:val="24"/>
        </w:rPr>
        <w:t>[S]he experienced no change in salary or rank.</w:t>
      </w:r>
      <w:r>
        <w:rPr>
          <w:rFonts w:ascii="Times New Roman" w:hAnsi="Times New Roman"/>
          <w:sz w:val="24"/>
          <w:szCs w:val="24"/>
        </w:rPr>
        <w:t xml:space="preserve">’ </w:t>
      </w:r>
      <w:r w:rsidRPr="00356E5C">
        <w:rPr>
          <w:rFonts w:ascii="Times New Roman" w:hAnsi="Times New Roman"/>
          <w:sz w:val="24"/>
          <w:szCs w:val="24"/>
        </w:rPr>
        <w:t>Id., at *9. Her loss</w:t>
      </w:r>
      <w:r>
        <w:rPr>
          <w:rFonts w:ascii="Times New Roman" w:hAnsi="Times New Roman"/>
          <w:sz w:val="24"/>
          <w:szCs w:val="24"/>
        </w:rPr>
        <w:t xml:space="preserve"> </w:t>
      </w:r>
      <w:r w:rsidRPr="00356E5C">
        <w:rPr>
          <w:rFonts w:ascii="Times New Roman" w:hAnsi="Times New Roman"/>
          <w:sz w:val="24"/>
          <w:szCs w:val="24"/>
        </w:rPr>
        <w:t xml:space="preserve">of </w:t>
      </w:r>
      <w:r>
        <w:rPr>
          <w:rFonts w:ascii="Times New Roman" w:hAnsi="Times New Roman"/>
          <w:sz w:val="24"/>
          <w:szCs w:val="24"/>
        </w:rPr>
        <w:t>‘</w:t>
      </w:r>
      <w:r w:rsidRPr="00356E5C">
        <w:rPr>
          <w:rFonts w:ascii="Times New Roman" w:hAnsi="Times New Roman"/>
          <w:sz w:val="24"/>
          <w:szCs w:val="24"/>
        </w:rPr>
        <w:t>the networking [opportunities] available in Intelligence</w:t>
      </w:r>
      <w:r>
        <w:rPr>
          <w:rFonts w:ascii="Times New Roman" w:hAnsi="Times New Roman"/>
          <w:sz w:val="24"/>
          <w:szCs w:val="24"/>
        </w:rPr>
        <w:t xml:space="preserve"> </w:t>
      </w:r>
      <w:r w:rsidRPr="00356E5C">
        <w:rPr>
          <w:rFonts w:ascii="Times New Roman" w:hAnsi="Times New Roman"/>
          <w:sz w:val="24"/>
          <w:szCs w:val="24"/>
        </w:rPr>
        <w:t>was immaterial because she had not provided evidence that</w:t>
      </w:r>
      <w:r>
        <w:rPr>
          <w:rFonts w:ascii="Times New Roman" w:hAnsi="Times New Roman"/>
          <w:sz w:val="24"/>
          <w:szCs w:val="24"/>
        </w:rPr>
        <w:t xml:space="preserve"> </w:t>
      </w:r>
      <w:r w:rsidRPr="00356E5C">
        <w:rPr>
          <w:rFonts w:ascii="Times New Roman" w:hAnsi="Times New Roman"/>
          <w:sz w:val="24"/>
          <w:szCs w:val="24"/>
        </w:rPr>
        <w:t xml:space="preserve">it had harmed her </w:t>
      </w:r>
      <w:r>
        <w:rPr>
          <w:rFonts w:ascii="Times New Roman" w:hAnsi="Times New Roman"/>
          <w:sz w:val="24"/>
          <w:szCs w:val="24"/>
        </w:rPr>
        <w:t>‘</w:t>
      </w:r>
      <w:r w:rsidRPr="00356E5C">
        <w:rPr>
          <w:rFonts w:ascii="Times New Roman" w:hAnsi="Times New Roman"/>
          <w:sz w:val="24"/>
          <w:szCs w:val="24"/>
        </w:rPr>
        <w:t>career prospects.</w:t>
      </w:r>
      <w:r>
        <w:rPr>
          <w:rFonts w:ascii="Times New Roman" w:hAnsi="Times New Roman"/>
          <w:sz w:val="24"/>
          <w:szCs w:val="24"/>
        </w:rPr>
        <w:t>’</w:t>
      </w:r>
      <w:r w:rsidRPr="00356E5C">
        <w:rPr>
          <w:rFonts w:ascii="Times New Roman" w:hAnsi="Times New Roman"/>
          <w:sz w:val="24"/>
          <w:szCs w:val="24"/>
        </w:rPr>
        <w:t xml:space="preserve"> Id., at *8. And given</w:t>
      </w:r>
      <w:r>
        <w:rPr>
          <w:rFonts w:ascii="Times New Roman" w:hAnsi="Times New Roman"/>
          <w:sz w:val="24"/>
          <w:szCs w:val="24"/>
        </w:rPr>
        <w:t xml:space="preserve"> </w:t>
      </w:r>
      <w:r w:rsidRPr="00356E5C">
        <w:rPr>
          <w:rFonts w:ascii="Times New Roman" w:hAnsi="Times New Roman"/>
          <w:sz w:val="24"/>
          <w:szCs w:val="24"/>
        </w:rPr>
        <w:t xml:space="preserve">her continued </w:t>
      </w:r>
      <w:r>
        <w:rPr>
          <w:rFonts w:ascii="Times New Roman" w:hAnsi="Times New Roman"/>
          <w:sz w:val="24"/>
          <w:szCs w:val="24"/>
        </w:rPr>
        <w:t>‘</w:t>
      </w:r>
      <w:r w:rsidRPr="00356E5C">
        <w:rPr>
          <w:rFonts w:ascii="Times New Roman" w:hAnsi="Times New Roman"/>
          <w:sz w:val="24"/>
          <w:szCs w:val="24"/>
        </w:rPr>
        <w:t>supervisory role,</w:t>
      </w:r>
      <w:r>
        <w:rPr>
          <w:rFonts w:ascii="Times New Roman" w:hAnsi="Times New Roman"/>
          <w:sz w:val="24"/>
          <w:szCs w:val="24"/>
        </w:rPr>
        <w:t>’</w:t>
      </w:r>
      <w:r w:rsidRPr="00356E5C">
        <w:rPr>
          <w:rFonts w:ascii="Times New Roman" w:hAnsi="Times New Roman"/>
          <w:sz w:val="24"/>
          <w:szCs w:val="24"/>
        </w:rPr>
        <w:t xml:space="preserve"> she had not </w:t>
      </w:r>
      <w:r>
        <w:rPr>
          <w:rFonts w:ascii="Times New Roman" w:hAnsi="Times New Roman"/>
          <w:sz w:val="24"/>
          <w:szCs w:val="24"/>
        </w:rPr>
        <w:t>‘</w:t>
      </w:r>
      <w:r w:rsidRPr="00356E5C">
        <w:rPr>
          <w:rFonts w:ascii="Times New Roman" w:hAnsi="Times New Roman"/>
          <w:sz w:val="24"/>
          <w:szCs w:val="24"/>
        </w:rPr>
        <w:t>suffered a</w:t>
      </w:r>
      <w:r>
        <w:rPr>
          <w:rFonts w:ascii="Times New Roman" w:hAnsi="Times New Roman"/>
          <w:sz w:val="24"/>
          <w:szCs w:val="24"/>
        </w:rPr>
        <w:t xml:space="preserve"> </w:t>
      </w:r>
      <w:r w:rsidRPr="00356E5C">
        <w:rPr>
          <w:rFonts w:ascii="Times New Roman" w:hAnsi="Times New Roman"/>
          <w:sz w:val="24"/>
          <w:szCs w:val="24"/>
        </w:rPr>
        <w:t xml:space="preserve">significant alteration to her work </w:t>
      </w:r>
      <w:proofErr w:type="gramStart"/>
      <w:r w:rsidRPr="00356E5C">
        <w:rPr>
          <w:rFonts w:ascii="Times New Roman" w:hAnsi="Times New Roman"/>
          <w:sz w:val="24"/>
          <w:szCs w:val="24"/>
        </w:rPr>
        <w:t>responsibilities.”</w:t>
      </w:r>
      <w:proofErr w:type="gramEnd"/>
    </w:p>
    <w:p w14:paraId="64805540" w14:textId="77777777" w:rsidR="00B52921" w:rsidRDefault="00B52921" w:rsidP="00B52921">
      <w:pPr>
        <w:pStyle w:val="NoSpacing"/>
        <w:ind w:left="720"/>
        <w:rPr>
          <w:rFonts w:ascii="Times New Roman" w:hAnsi="Times New Roman"/>
          <w:sz w:val="24"/>
          <w:szCs w:val="24"/>
        </w:rPr>
      </w:pPr>
    </w:p>
    <w:p w14:paraId="3A183DA4" w14:textId="77777777" w:rsidR="00B52921" w:rsidRDefault="00B52921" w:rsidP="00B52921">
      <w:pPr>
        <w:pStyle w:val="NoSpacing"/>
        <w:ind w:left="720"/>
        <w:rPr>
          <w:rFonts w:ascii="Times New Roman" w:hAnsi="Times New Roman"/>
          <w:sz w:val="24"/>
          <w:szCs w:val="24"/>
        </w:rPr>
      </w:pPr>
    </w:p>
    <w:p w14:paraId="4F01906C" w14:textId="77777777" w:rsidR="00B52921" w:rsidRPr="002E281A" w:rsidRDefault="00B52921" w:rsidP="00B52921">
      <w:pPr>
        <w:pStyle w:val="NoSpacing"/>
        <w:rPr>
          <w:rFonts w:ascii="Times New Roman" w:hAnsi="Times New Roman"/>
          <w:b/>
          <w:bCs/>
          <w:sz w:val="24"/>
          <w:szCs w:val="24"/>
        </w:rPr>
      </w:pPr>
      <w:r w:rsidRPr="002E281A">
        <w:rPr>
          <w:rFonts w:ascii="Times New Roman" w:hAnsi="Times New Roman"/>
          <w:b/>
          <w:bCs/>
          <w:sz w:val="24"/>
          <w:szCs w:val="24"/>
        </w:rPr>
        <w:t>Legal Lesson Learned:</w:t>
      </w:r>
      <w:r>
        <w:rPr>
          <w:rFonts w:ascii="Times New Roman" w:hAnsi="Times New Roman"/>
          <w:b/>
          <w:bCs/>
          <w:sz w:val="24"/>
          <w:szCs w:val="24"/>
        </w:rPr>
        <w:t xml:space="preserve"> This is a “landmark” decision; the new “some harm” standard will be widely applied not only in job transfer cases but also a wide variety of other employment decisions. </w:t>
      </w:r>
    </w:p>
    <w:p w14:paraId="0A0E62E5" w14:textId="77777777" w:rsidR="00B52921" w:rsidRDefault="00B52921" w:rsidP="00B52921">
      <w:pPr>
        <w:pStyle w:val="NoSpacing"/>
        <w:rPr>
          <w:rFonts w:ascii="Times New Roman" w:hAnsi="Times New Roman"/>
          <w:sz w:val="24"/>
          <w:szCs w:val="24"/>
        </w:rPr>
      </w:pPr>
    </w:p>
    <w:p w14:paraId="64F48EA1" w14:textId="77777777" w:rsidR="00B52921" w:rsidRPr="00CD1C63" w:rsidRDefault="00B52921" w:rsidP="00B52921">
      <w:pPr>
        <w:pStyle w:val="NoSpacing"/>
        <w:ind w:left="720"/>
        <w:rPr>
          <w:rFonts w:ascii="Times New Roman" w:hAnsi="Times New Roman"/>
          <w:sz w:val="24"/>
          <w:szCs w:val="24"/>
        </w:rPr>
      </w:pPr>
      <w:r w:rsidRPr="00CD1C63">
        <w:rPr>
          <w:rFonts w:ascii="Times New Roman" w:hAnsi="Times New Roman"/>
          <w:sz w:val="24"/>
          <w:szCs w:val="24"/>
        </w:rPr>
        <w:t>Note: Justice</w:t>
      </w:r>
      <w:r>
        <w:rPr>
          <w:rFonts w:ascii="Times New Roman" w:hAnsi="Times New Roman"/>
          <w:sz w:val="24"/>
          <w:szCs w:val="24"/>
        </w:rPr>
        <w:t xml:space="preserve"> Michael</w:t>
      </w:r>
      <w:r w:rsidRPr="00CD1C63">
        <w:rPr>
          <w:rFonts w:ascii="Times New Roman" w:hAnsi="Times New Roman"/>
          <w:sz w:val="24"/>
          <w:szCs w:val="24"/>
        </w:rPr>
        <w:t xml:space="preserve"> Kavanaugh in his concurring decision focused on impact of this decision</w:t>
      </w:r>
    </w:p>
    <w:p w14:paraId="1510B379" w14:textId="77777777" w:rsidR="00B52921" w:rsidRDefault="00B52921" w:rsidP="00B52921">
      <w:pPr>
        <w:pStyle w:val="NoSpacing"/>
        <w:ind w:left="720"/>
        <w:rPr>
          <w:rFonts w:ascii="Times New Roman" w:hAnsi="Times New Roman"/>
          <w:sz w:val="24"/>
          <w:szCs w:val="24"/>
        </w:rPr>
      </w:pPr>
    </w:p>
    <w:p w14:paraId="3CC1DB89" w14:textId="77777777" w:rsidR="00B52921" w:rsidRPr="00CD1C63" w:rsidRDefault="00B52921" w:rsidP="00B52921">
      <w:pPr>
        <w:pStyle w:val="NoSpacing"/>
        <w:ind w:left="720"/>
        <w:rPr>
          <w:rFonts w:ascii="Times New Roman" w:hAnsi="Times New Roman"/>
          <w:sz w:val="24"/>
          <w:szCs w:val="24"/>
        </w:rPr>
      </w:pPr>
      <w:r>
        <w:rPr>
          <w:rFonts w:ascii="Times New Roman" w:hAnsi="Times New Roman"/>
          <w:sz w:val="24"/>
          <w:szCs w:val="24"/>
        </w:rPr>
        <w:t>“</w:t>
      </w:r>
      <w:r w:rsidRPr="00CD1C63">
        <w:rPr>
          <w:rFonts w:ascii="Times New Roman" w:hAnsi="Times New Roman"/>
          <w:sz w:val="24"/>
          <w:szCs w:val="24"/>
        </w:rPr>
        <w:t>All of that said, the Court’s new some-harm requirement</w:t>
      </w:r>
      <w:r>
        <w:rPr>
          <w:rFonts w:ascii="Times New Roman" w:hAnsi="Times New Roman"/>
          <w:sz w:val="24"/>
          <w:szCs w:val="24"/>
        </w:rPr>
        <w:t xml:space="preserve"> </w:t>
      </w:r>
      <w:r w:rsidRPr="00CD1C63">
        <w:rPr>
          <w:rFonts w:ascii="Times New Roman" w:hAnsi="Times New Roman"/>
          <w:sz w:val="24"/>
          <w:szCs w:val="24"/>
        </w:rPr>
        <w:t>appears to be a relatively low bar. Importantly, the Court</w:t>
      </w:r>
      <w:r>
        <w:rPr>
          <w:rFonts w:ascii="Times New Roman" w:hAnsi="Times New Roman"/>
          <w:sz w:val="24"/>
          <w:szCs w:val="24"/>
        </w:rPr>
        <w:t xml:space="preserve"> </w:t>
      </w:r>
      <w:r w:rsidRPr="00CD1C63">
        <w:rPr>
          <w:rFonts w:ascii="Times New Roman" w:hAnsi="Times New Roman"/>
          <w:sz w:val="24"/>
          <w:szCs w:val="24"/>
        </w:rPr>
        <w:t xml:space="preserve">emphasizes that </w:t>
      </w:r>
      <w:r>
        <w:rPr>
          <w:rFonts w:ascii="Times New Roman" w:hAnsi="Times New Roman"/>
          <w:sz w:val="24"/>
          <w:szCs w:val="24"/>
        </w:rPr>
        <w:t>‘</w:t>
      </w:r>
      <w:r w:rsidRPr="00CD1C63">
        <w:rPr>
          <w:rFonts w:ascii="Times New Roman" w:hAnsi="Times New Roman"/>
          <w:sz w:val="24"/>
          <w:szCs w:val="24"/>
        </w:rPr>
        <w:t>some harm</w:t>
      </w:r>
      <w:r>
        <w:rPr>
          <w:rFonts w:ascii="Times New Roman" w:hAnsi="Times New Roman"/>
          <w:sz w:val="24"/>
          <w:szCs w:val="24"/>
        </w:rPr>
        <w:t>’</w:t>
      </w:r>
      <w:r w:rsidRPr="00CD1C63">
        <w:rPr>
          <w:rFonts w:ascii="Times New Roman" w:hAnsi="Times New Roman"/>
          <w:sz w:val="24"/>
          <w:szCs w:val="24"/>
        </w:rPr>
        <w:t xml:space="preserve"> is less than significant harm,</w:t>
      </w:r>
    </w:p>
    <w:p w14:paraId="740FE18C" w14:textId="77777777" w:rsidR="00B52921" w:rsidRPr="00CD1C63" w:rsidRDefault="00B52921" w:rsidP="00B52921">
      <w:pPr>
        <w:pStyle w:val="NoSpacing"/>
        <w:ind w:left="720"/>
        <w:rPr>
          <w:rFonts w:ascii="Times New Roman" w:hAnsi="Times New Roman"/>
          <w:sz w:val="24"/>
          <w:szCs w:val="24"/>
        </w:rPr>
      </w:pPr>
      <w:r w:rsidRPr="00CD1C63">
        <w:rPr>
          <w:rFonts w:ascii="Times New Roman" w:hAnsi="Times New Roman"/>
          <w:sz w:val="24"/>
          <w:szCs w:val="24"/>
        </w:rPr>
        <w:t>serious harm, or substantial harm. Ante, at 6. Therefore,</w:t>
      </w:r>
      <w:r>
        <w:rPr>
          <w:rFonts w:ascii="Times New Roman" w:hAnsi="Times New Roman"/>
          <w:sz w:val="24"/>
          <w:szCs w:val="24"/>
        </w:rPr>
        <w:t xml:space="preserve"> </w:t>
      </w:r>
      <w:r w:rsidRPr="00CD1C63">
        <w:rPr>
          <w:rFonts w:ascii="Times New Roman" w:hAnsi="Times New Roman"/>
          <w:sz w:val="24"/>
          <w:szCs w:val="24"/>
        </w:rPr>
        <w:t>anyone who has been transferred because of race, color,</w:t>
      </w:r>
      <w:r>
        <w:rPr>
          <w:rFonts w:ascii="Times New Roman" w:hAnsi="Times New Roman"/>
          <w:sz w:val="24"/>
          <w:szCs w:val="24"/>
        </w:rPr>
        <w:t xml:space="preserve"> </w:t>
      </w:r>
      <w:r w:rsidRPr="00CD1C63">
        <w:rPr>
          <w:rFonts w:ascii="Times New Roman" w:hAnsi="Times New Roman"/>
          <w:sz w:val="24"/>
          <w:szCs w:val="24"/>
        </w:rPr>
        <w:t>religion, sex, or national origin should easily be able to show</w:t>
      </w:r>
    </w:p>
    <w:p w14:paraId="204C9C57" w14:textId="77777777" w:rsidR="00B52921" w:rsidRPr="00CD1C63" w:rsidRDefault="00B52921" w:rsidP="00B52921">
      <w:pPr>
        <w:pStyle w:val="NoSpacing"/>
        <w:ind w:left="720"/>
        <w:rPr>
          <w:rFonts w:ascii="Times New Roman" w:hAnsi="Times New Roman"/>
          <w:sz w:val="24"/>
          <w:szCs w:val="24"/>
        </w:rPr>
      </w:pPr>
      <w:r w:rsidRPr="00CD1C63">
        <w:rPr>
          <w:rFonts w:ascii="Times New Roman" w:hAnsi="Times New Roman"/>
          <w:sz w:val="24"/>
          <w:szCs w:val="24"/>
        </w:rPr>
        <w:t>some additional harm—whether in money, time,</w:t>
      </w:r>
      <w:r>
        <w:rPr>
          <w:rFonts w:ascii="Times New Roman" w:hAnsi="Times New Roman"/>
          <w:sz w:val="24"/>
          <w:szCs w:val="24"/>
        </w:rPr>
        <w:t xml:space="preserve"> </w:t>
      </w:r>
      <w:r w:rsidRPr="00CD1C63">
        <w:rPr>
          <w:rFonts w:ascii="Times New Roman" w:hAnsi="Times New Roman"/>
          <w:sz w:val="24"/>
          <w:szCs w:val="24"/>
        </w:rPr>
        <w:t>satisfaction, schedule, convenience, commuting costs or</w:t>
      </w:r>
      <w:r>
        <w:rPr>
          <w:rFonts w:ascii="Times New Roman" w:hAnsi="Times New Roman"/>
          <w:sz w:val="24"/>
          <w:szCs w:val="24"/>
        </w:rPr>
        <w:t xml:space="preserve"> </w:t>
      </w:r>
      <w:r w:rsidRPr="00CD1C63">
        <w:rPr>
          <w:rFonts w:ascii="Times New Roman" w:hAnsi="Times New Roman"/>
          <w:sz w:val="24"/>
          <w:szCs w:val="24"/>
        </w:rPr>
        <w:t>time, prestige, status, career prospects, interest level,</w:t>
      </w:r>
      <w:r>
        <w:rPr>
          <w:rFonts w:ascii="Times New Roman" w:hAnsi="Times New Roman"/>
          <w:sz w:val="24"/>
          <w:szCs w:val="24"/>
        </w:rPr>
        <w:t xml:space="preserve"> </w:t>
      </w:r>
      <w:r w:rsidRPr="00CD1C63">
        <w:rPr>
          <w:rFonts w:ascii="Times New Roman" w:hAnsi="Times New Roman"/>
          <w:sz w:val="24"/>
          <w:szCs w:val="24"/>
        </w:rPr>
        <w:t>perks, professional relationships, networking</w:t>
      </w:r>
      <w:r>
        <w:rPr>
          <w:rFonts w:ascii="Times New Roman" w:hAnsi="Times New Roman"/>
          <w:sz w:val="24"/>
          <w:szCs w:val="24"/>
        </w:rPr>
        <w:t xml:space="preserve"> </w:t>
      </w:r>
      <w:r w:rsidRPr="00CD1C63">
        <w:rPr>
          <w:rFonts w:ascii="Times New Roman" w:hAnsi="Times New Roman"/>
          <w:sz w:val="24"/>
          <w:szCs w:val="24"/>
        </w:rPr>
        <w:t>opportunities, effects on family obligations, or the like.</w:t>
      </w:r>
      <w:r>
        <w:rPr>
          <w:rFonts w:ascii="Times New Roman" w:hAnsi="Times New Roman"/>
          <w:sz w:val="24"/>
          <w:szCs w:val="24"/>
        </w:rPr>
        <w:t>”</w:t>
      </w:r>
    </w:p>
    <w:p w14:paraId="36167F69" w14:textId="77777777" w:rsidR="00B52921" w:rsidRDefault="00B52921" w:rsidP="00B52921">
      <w:pPr>
        <w:rPr>
          <w:rFonts w:ascii="Arial Black" w:hAnsi="Arial Black"/>
          <w:sz w:val="28"/>
          <w:szCs w:val="28"/>
        </w:rPr>
      </w:pPr>
    </w:p>
    <w:p w14:paraId="2CE26F59" w14:textId="77777777" w:rsidR="00B52921" w:rsidRDefault="00B52921" w:rsidP="00F326E5">
      <w:pPr>
        <w:pStyle w:val="NoSpacing"/>
        <w:rPr>
          <w:rFonts w:ascii="Arial Black" w:hAnsi="Arial Black"/>
          <w:b/>
          <w:bCs/>
          <w:sz w:val="24"/>
          <w:szCs w:val="24"/>
        </w:rPr>
      </w:pPr>
    </w:p>
    <w:p w14:paraId="115EE191" w14:textId="77777777" w:rsidR="00B52921" w:rsidRDefault="00B52921" w:rsidP="00F326E5">
      <w:pPr>
        <w:pStyle w:val="NoSpacing"/>
        <w:rPr>
          <w:rFonts w:ascii="Arial Black" w:hAnsi="Arial Black"/>
          <w:b/>
          <w:bCs/>
          <w:sz w:val="24"/>
          <w:szCs w:val="24"/>
        </w:rPr>
      </w:pPr>
    </w:p>
    <w:p w14:paraId="2005FA0B" w14:textId="77777777" w:rsidR="00B52921" w:rsidRDefault="00B52921" w:rsidP="00F326E5">
      <w:pPr>
        <w:pStyle w:val="NoSpacing"/>
        <w:rPr>
          <w:rFonts w:ascii="Arial Black" w:hAnsi="Arial Black"/>
          <w:b/>
          <w:bCs/>
          <w:sz w:val="24"/>
          <w:szCs w:val="24"/>
        </w:rPr>
      </w:pPr>
    </w:p>
    <w:p w14:paraId="2663EE2F" w14:textId="77777777" w:rsidR="00B52921" w:rsidRDefault="00B52921" w:rsidP="00F326E5">
      <w:pPr>
        <w:pStyle w:val="NoSpacing"/>
        <w:rPr>
          <w:rFonts w:ascii="Arial Black" w:hAnsi="Arial Black"/>
          <w:b/>
          <w:bCs/>
          <w:sz w:val="24"/>
          <w:szCs w:val="24"/>
        </w:rPr>
      </w:pPr>
    </w:p>
    <w:p w14:paraId="5E31E56F" w14:textId="77777777" w:rsidR="00B52921" w:rsidRDefault="00B52921" w:rsidP="00F326E5">
      <w:pPr>
        <w:pStyle w:val="NoSpacing"/>
        <w:rPr>
          <w:rFonts w:ascii="Arial Black" w:hAnsi="Arial Black"/>
          <w:b/>
          <w:bCs/>
          <w:sz w:val="24"/>
          <w:szCs w:val="24"/>
        </w:rPr>
      </w:pPr>
    </w:p>
    <w:p w14:paraId="7E3AB5B9" w14:textId="77777777" w:rsidR="00B52921" w:rsidRDefault="00B52921" w:rsidP="00F326E5">
      <w:pPr>
        <w:pStyle w:val="NoSpacing"/>
        <w:rPr>
          <w:rFonts w:ascii="Arial Black" w:hAnsi="Arial Black"/>
          <w:b/>
          <w:bCs/>
          <w:sz w:val="24"/>
          <w:szCs w:val="24"/>
        </w:rPr>
      </w:pPr>
    </w:p>
    <w:p w14:paraId="04787010" w14:textId="77777777" w:rsidR="00B52921" w:rsidRDefault="00B52921" w:rsidP="00F326E5">
      <w:pPr>
        <w:pStyle w:val="NoSpacing"/>
        <w:rPr>
          <w:rFonts w:ascii="Arial Black" w:hAnsi="Arial Black"/>
          <w:b/>
          <w:bCs/>
          <w:sz w:val="24"/>
          <w:szCs w:val="24"/>
        </w:rPr>
      </w:pPr>
    </w:p>
    <w:p w14:paraId="2D864645" w14:textId="2D5A83A1" w:rsidR="00820998" w:rsidRDefault="00772D62" w:rsidP="00F326E5">
      <w:pPr>
        <w:pStyle w:val="NoSpacing"/>
        <w:rPr>
          <w:rFonts w:ascii="Arial Black" w:hAnsi="Arial Black"/>
          <w:b/>
          <w:bCs/>
          <w:sz w:val="24"/>
          <w:szCs w:val="24"/>
        </w:rPr>
      </w:pPr>
      <w:r>
        <w:rPr>
          <w:rFonts w:ascii="Arial Black" w:hAnsi="Arial Black"/>
          <w:b/>
          <w:bCs/>
          <w:sz w:val="24"/>
          <w:szCs w:val="24"/>
        </w:rPr>
        <w:t>7-59</w:t>
      </w:r>
    </w:p>
    <w:p w14:paraId="5F3343AD" w14:textId="77777777" w:rsidR="005251B2" w:rsidRPr="001E7114" w:rsidRDefault="005251B2" w:rsidP="005251B2">
      <w:pPr>
        <w:pStyle w:val="NormalWeb"/>
        <w:rPr>
          <w:rFonts w:ascii="Arial Black" w:hAnsi="Arial Black"/>
          <w:b/>
          <w:bCs/>
          <w:sz w:val="28"/>
          <w:szCs w:val="28"/>
        </w:rPr>
      </w:pPr>
      <w:r w:rsidRPr="001E7114">
        <w:rPr>
          <w:rFonts w:ascii="Arial Black" w:hAnsi="Arial Black"/>
          <w:b/>
          <w:bCs/>
          <w:sz w:val="28"/>
          <w:szCs w:val="28"/>
        </w:rPr>
        <w:t xml:space="preserve">NV: FD VISITOR – KISSING </w:t>
      </w:r>
      <w:r>
        <w:rPr>
          <w:rFonts w:ascii="Arial Black" w:hAnsi="Arial Black"/>
          <w:b/>
          <w:bCs/>
          <w:sz w:val="28"/>
          <w:szCs w:val="28"/>
        </w:rPr>
        <w:t xml:space="preserve">IN </w:t>
      </w:r>
      <w:r w:rsidRPr="001E7114">
        <w:rPr>
          <w:rFonts w:ascii="Arial Black" w:hAnsi="Arial Black"/>
          <w:b/>
          <w:bCs/>
          <w:sz w:val="28"/>
          <w:szCs w:val="28"/>
        </w:rPr>
        <w:t xml:space="preserve">BUNK ROOM - FF REPORTED </w:t>
      </w:r>
      <w:r>
        <w:rPr>
          <w:rFonts w:ascii="Arial Black" w:hAnsi="Arial Black"/>
          <w:b/>
          <w:bCs/>
          <w:sz w:val="28"/>
          <w:szCs w:val="28"/>
        </w:rPr>
        <w:t>TO MGT</w:t>
      </w:r>
      <w:r w:rsidRPr="001E7114">
        <w:rPr>
          <w:rFonts w:ascii="Arial Black" w:hAnsi="Arial Black"/>
          <w:b/>
          <w:bCs/>
          <w:sz w:val="28"/>
          <w:szCs w:val="28"/>
        </w:rPr>
        <w:t>, NEWSPAPER</w:t>
      </w:r>
      <w:r>
        <w:rPr>
          <w:rFonts w:ascii="Arial Black" w:hAnsi="Arial Black"/>
          <w:b/>
          <w:bCs/>
          <w:sz w:val="28"/>
          <w:szCs w:val="28"/>
        </w:rPr>
        <w:t xml:space="preserve"> ARTICLE</w:t>
      </w:r>
      <w:r w:rsidRPr="001E7114">
        <w:rPr>
          <w:rFonts w:ascii="Arial Black" w:hAnsi="Arial Black"/>
          <w:b/>
          <w:bCs/>
          <w:sz w:val="28"/>
          <w:szCs w:val="28"/>
        </w:rPr>
        <w:t xml:space="preserve"> – CASE DISMISSED</w:t>
      </w:r>
    </w:p>
    <w:p w14:paraId="4CB827A7" w14:textId="77777777" w:rsidR="005251B2" w:rsidRPr="005535D1" w:rsidRDefault="005251B2" w:rsidP="005251B2">
      <w:pPr>
        <w:pStyle w:val="NoSpacing"/>
        <w:rPr>
          <w:rFonts w:ascii="Times New Roman" w:hAnsi="Times New Roman"/>
          <w:sz w:val="24"/>
          <w:szCs w:val="24"/>
        </w:rPr>
      </w:pPr>
      <w:r w:rsidRPr="005535D1">
        <w:rPr>
          <w:rFonts w:ascii="Times New Roman" w:hAnsi="Times New Roman"/>
          <w:sz w:val="24"/>
          <w:szCs w:val="24"/>
        </w:rPr>
        <w:t xml:space="preserve">On Feb. 29, </w:t>
      </w:r>
      <w:proofErr w:type="gramStart"/>
      <w:r w:rsidRPr="005535D1">
        <w:rPr>
          <w:rFonts w:ascii="Times New Roman" w:hAnsi="Times New Roman"/>
          <w:sz w:val="24"/>
          <w:szCs w:val="24"/>
        </w:rPr>
        <w:t>2024</w:t>
      </w:r>
      <w:proofErr w:type="gramEnd"/>
      <w:r w:rsidRPr="005535D1">
        <w:rPr>
          <w:rFonts w:ascii="Times New Roman" w:hAnsi="Times New Roman"/>
          <w:sz w:val="24"/>
          <w:szCs w:val="24"/>
        </w:rPr>
        <w:t xml:space="preserve"> in </w:t>
      </w:r>
      <w:r w:rsidRPr="005535D1">
        <w:rPr>
          <w:rFonts w:ascii="Times New Roman" w:hAnsi="Times New Roman"/>
          <w:sz w:val="24"/>
          <w:szCs w:val="24"/>
          <w:u w:val="single"/>
        </w:rPr>
        <w:t>Eric Scheumann v. City of Las Vegas, Las Vegas Fire &amp; Rescue</w:t>
      </w:r>
      <w:r w:rsidRPr="005535D1">
        <w:rPr>
          <w:rFonts w:ascii="Times New Roman" w:hAnsi="Times New Roman"/>
          <w:sz w:val="24"/>
          <w:szCs w:val="24"/>
        </w:rPr>
        <w:t>, U.S. District Court Judge Jennifer A. Dorsey granted the defense motion for summary judgment. “Eric Scheumann brings this employment action against City of Las Vegas Fire &amp; Rescue for events arising from an August 2017 visit to his fire station by guests of a coworker. Scheumann claims that he overheard kissing noises coming from his coworker’s dorm, the same coworker showed him and the visiting guests a 15-second pornographic video of ‘a man’s genitalia eclipsing the sun’ later that same day, and Scheumann suffered retaliation because he reported the incidents and his superiors’ inadequate handling of them.”</w:t>
      </w:r>
    </w:p>
    <w:p w14:paraId="4FD60969" w14:textId="77777777" w:rsidR="005251B2" w:rsidRDefault="005251B2" w:rsidP="005251B2">
      <w:pPr>
        <w:pStyle w:val="NormalWeb"/>
      </w:pPr>
      <w:r>
        <w:lastRenderedPageBreak/>
        <w:t>Court held:</w:t>
      </w:r>
    </w:p>
    <w:p w14:paraId="6133CF85" w14:textId="77777777" w:rsidR="005251B2" w:rsidRPr="00C676FC" w:rsidRDefault="005251B2" w:rsidP="005251B2">
      <w:pPr>
        <w:pStyle w:val="NoSpacing"/>
        <w:ind w:firstLine="720"/>
        <w:rPr>
          <w:rFonts w:ascii="Times New Roman" w:hAnsi="Times New Roman"/>
          <w:sz w:val="24"/>
          <w:szCs w:val="24"/>
        </w:rPr>
      </w:pPr>
      <w:r>
        <w:rPr>
          <w:rFonts w:ascii="Times New Roman" w:hAnsi="Times New Roman"/>
          <w:sz w:val="24"/>
          <w:szCs w:val="24"/>
        </w:rPr>
        <w:t>“</w:t>
      </w:r>
      <w:proofErr w:type="gramStart"/>
      <w:r w:rsidRPr="00C676FC">
        <w:rPr>
          <w:rFonts w:ascii="Times New Roman" w:hAnsi="Times New Roman"/>
          <w:sz w:val="24"/>
          <w:szCs w:val="24"/>
        </w:rPr>
        <w:t>So</w:t>
      </w:r>
      <w:proofErr w:type="gramEnd"/>
      <w:r w:rsidRPr="00C676FC">
        <w:rPr>
          <w:rFonts w:ascii="Times New Roman" w:hAnsi="Times New Roman"/>
          <w:sz w:val="24"/>
          <w:szCs w:val="24"/>
        </w:rPr>
        <w:t xml:space="preserve"> there is no evidence to support Scheumann’s negligent-retention theory, and his</w:t>
      </w:r>
    </w:p>
    <w:p w14:paraId="1BACFB02" w14:textId="77777777" w:rsidR="005251B2" w:rsidRDefault="005251B2" w:rsidP="005251B2">
      <w:pPr>
        <w:pStyle w:val="NoSpacing"/>
        <w:ind w:left="720"/>
      </w:pPr>
      <w:r w:rsidRPr="00C676FC">
        <w:rPr>
          <w:rFonts w:ascii="Times New Roman" w:hAnsi="Times New Roman"/>
          <w:sz w:val="24"/>
          <w:szCs w:val="24"/>
        </w:rPr>
        <w:t>negligent-training and negligent-supervision theories suffer from breach and causation voids.</w:t>
      </w:r>
      <w:r>
        <w:rPr>
          <w:rFonts w:ascii="Times New Roman" w:hAnsi="Times New Roman"/>
          <w:sz w:val="24"/>
          <w:szCs w:val="24"/>
        </w:rPr>
        <w:t xml:space="preserve"> </w:t>
      </w:r>
      <w:r w:rsidRPr="00C676FC">
        <w:rPr>
          <w:rFonts w:ascii="Times New Roman" w:hAnsi="Times New Roman"/>
          <w:sz w:val="24"/>
          <w:szCs w:val="24"/>
        </w:rPr>
        <w:t>This leaves no genuine disputes of fact as to Scheumann’s negligent training, supervision, and</w:t>
      </w:r>
      <w:r>
        <w:rPr>
          <w:rFonts w:ascii="Times New Roman" w:hAnsi="Times New Roman"/>
          <w:sz w:val="24"/>
          <w:szCs w:val="24"/>
        </w:rPr>
        <w:t xml:space="preserve"> </w:t>
      </w:r>
      <w:r w:rsidRPr="00C676FC">
        <w:rPr>
          <w:rFonts w:ascii="Times New Roman" w:hAnsi="Times New Roman"/>
          <w:sz w:val="24"/>
          <w:szCs w:val="24"/>
        </w:rPr>
        <w:t xml:space="preserve">retention claim because he hasn’t shown that Fire &amp; Rescue </w:t>
      </w:r>
      <w:r>
        <w:rPr>
          <w:rFonts w:ascii="Times New Roman" w:hAnsi="Times New Roman"/>
          <w:sz w:val="24"/>
          <w:szCs w:val="24"/>
        </w:rPr>
        <w:t>‘</w:t>
      </w:r>
      <w:r w:rsidRPr="00C676FC">
        <w:rPr>
          <w:rFonts w:ascii="Times New Roman" w:hAnsi="Times New Roman"/>
          <w:sz w:val="24"/>
          <w:szCs w:val="24"/>
        </w:rPr>
        <w:t>failed to use reasonable care in the</w:t>
      </w:r>
      <w:r>
        <w:rPr>
          <w:rFonts w:ascii="Times New Roman" w:hAnsi="Times New Roman"/>
          <w:sz w:val="24"/>
          <w:szCs w:val="24"/>
        </w:rPr>
        <w:t xml:space="preserve"> </w:t>
      </w:r>
      <w:r w:rsidRPr="00C676FC">
        <w:rPr>
          <w:rFonts w:ascii="Times New Roman" w:hAnsi="Times New Roman"/>
          <w:sz w:val="24"/>
          <w:szCs w:val="24"/>
        </w:rPr>
        <w:t>training, supervision, and retention of its employees to ensure their fitness for their respective</w:t>
      </w:r>
      <w:r>
        <w:rPr>
          <w:rFonts w:ascii="Times New Roman" w:hAnsi="Times New Roman"/>
          <w:sz w:val="24"/>
          <w:szCs w:val="24"/>
        </w:rPr>
        <w:t xml:space="preserve"> </w:t>
      </w:r>
      <w:r w:rsidRPr="00C676FC">
        <w:rPr>
          <w:rFonts w:ascii="Times New Roman" w:hAnsi="Times New Roman"/>
          <w:sz w:val="24"/>
          <w:szCs w:val="24"/>
        </w:rPr>
        <w:t>positions.”145 So I grant summary judgment in Fire &amp; Rescue’s favor on these remaining</w:t>
      </w:r>
      <w:r>
        <w:rPr>
          <w:rFonts w:ascii="Times New Roman" w:hAnsi="Times New Roman"/>
          <w:sz w:val="24"/>
          <w:szCs w:val="24"/>
        </w:rPr>
        <w:t xml:space="preserve"> </w:t>
      </w:r>
      <w:r w:rsidRPr="00C676FC">
        <w:rPr>
          <w:rFonts w:ascii="Times New Roman" w:hAnsi="Times New Roman"/>
          <w:sz w:val="24"/>
          <w:szCs w:val="24"/>
        </w:rPr>
        <w:t>negligence-based claims, too</w:t>
      </w:r>
      <w:r>
        <w:rPr>
          <w:rFonts w:ascii="Times New Roman" w:hAnsi="Times New Roman"/>
          <w:sz w:val="24"/>
          <w:szCs w:val="24"/>
        </w:rPr>
        <w:t xml:space="preserve">.” </w:t>
      </w:r>
      <w:hyperlink r:id="rId1328" w:history="1">
        <w:r w:rsidRPr="00644350">
          <w:rPr>
            <w:rStyle w:val="Hyperlink"/>
          </w:rPr>
          <w:t>https://cases.justia.com/federal/district-courts/nevada/nvdce/2:2021cv01405/151510/46/0.pdf</w:t>
        </w:r>
      </w:hyperlink>
      <w:r>
        <w:t xml:space="preserve"> </w:t>
      </w:r>
    </w:p>
    <w:p w14:paraId="6024C2F9" w14:textId="77777777" w:rsidR="005251B2" w:rsidRPr="00A932F2" w:rsidRDefault="005251B2" w:rsidP="005251B2">
      <w:pPr>
        <w:pStyle w:val="NormalWeb"/>
        <w:rPr>
          <w:b/>
          <w:bCs/>
        </w:rPr>
      </w:pPr>
      <w:r w:rsidRPr="00A932F2">
        <w:rPr>
          <w:b/>
          <w:bCs/>
        </w:rPr>
        <w:t xml:space="preserve">Legal Lesson Learned: Have a clear visitor policy that </w:t>
      </w:r>
      <w:r>
        <w:rPr>
          <w:b/>
          <w:bCs/>
        </w:rPr>
        <w:t xml:space="preserve">prohibits </w:t>
      </w:r>
      <w:r w:rsidRPr="00A932F2">
        <w:rPr>
          <w:b/>
          <w:bCs/>
        </w:rPr>
        <w:t xml:space="preserve">visitors </w:t>
      </w:r>
      <w:r>
        <w:rPr>
          <w:b/>
          <w:bCs/>
        </w:rPr>
        <w:t xml:space="preserve">in bunk </w:t>
      </w:r>
      <w:proofErr w:type="gramStart"/>
      <w:r>
        <w:rPr>
          <w:b/>
          <w:bCs/>
        </w:rPr>
        <w:t>room</w:t>
      </w:r>
      <w:proofErr w:type="gramEnd"/>
      <w:r>
        <w:rPr>
          <w:b/>
          <w:bCs/>
        </w:rPr>
        <w:t xml:space="preserve">. </w:t>
      </w:r>
    </w:p>
    <w:p w14:paraId="7D58C39D" w14:textId="77777777" w:rsidR="005251B2" w:rsidRDefault="005251B2" w:rsidP="005251B2">
      <w:pPr>
        <w:pStyle w:val="Heading1"/>
        <w:ind w:left="720"/>
        <w:rPr>
          <w:b w:val="0"/>
          <w:bCs w:val="0"/>
          <w:sz w:val="24"/>
          <w:szCs w:val="24"/>
        </w:rPr>
      </w:pPr>
      <w:r w:rsidRPr="000542CC">
        <w:rPr>
          <w:b w:val="0"/>
          <w:bCs w:val="0"/>
          <w:sz w:val="24"/>
          <w:szCs w:val="24"/>
        </w:rPr>
        <w:t xml:space="preserve">Note: See Sept. 21, </w:t>
      </w:r>
      <w:proofErr w:type="gramStart"/>
      <w:r w:rsidRPr="000542CC">
        <w:rPr>
          <w:b w:val="0"/>
          <w:bCs w:val="0"/>
          <w:sz w:val="24"/>
          <w:szCs w:val="24"/>
        </w:rPr>
        <w:t>2017</w:t>
      </w:r>
      <w:proofErr w:type="gramEnd"/>
      <w:r w:rsidRPr="000542CC">
        <w:rPr>
          <w:b w:val="0"/>
          <w:bCs w:val="0"/>
          <w:sz w:val="24"/>
          <w:szCs w:val="24"/>
        </w:rPr>
        <w:t xml:space="preserve"> article: “Sex, cover-up at Las Vegas fire station alleged in document.” </w:t>
      </w:r>
      <w:hyperlink r:id="rId1329" w:history="1">
        <w:r w:rsidRPr="000542CC">
          <w:rPr>
            <w:rStyle w:val="Hyperlink"/>
            <w:b w:val="0"/>
            <w:bCs w:val="0"/>
            <w:sz w:val="24"/>
            <w:szCs w:val="24"/>
          </w:rPr>
          <w:t>https://www.reviewjournal.com/local/sex-cover-up-at-las-vegas-fire-station-alleged-in-document/</w:t>
        </w:r>
      </w:hyperlink>
      <w:r w:rsidRPr="000542CC">
        <w:rPr>
          <w:b w:val="0"/>
          <w:bCs w:val="0"/>
          <w:sz w:val="24"/>
          <w:szCs w:val="24"/>
        </w:rPr>
        <w:t xml:space="preserve"> </w:t>
      </w:r>
    </w:p>
    <w:p w14:paraId="51555339" w14:textId="77777777" w:rsidR="005251B2" w:rsidRDefault="005251B2" w:rsidP="005251B2">
      <w:pPr>
        <w:pStyle w:val="NormalWeb"/>
      </w:pPr>
    </w:p>
    <w:p w14:paraId="06DCC9B8" w14:textId="77777777" w:rsidR="005251B2" w:rsidRDefault="005251B2" w:rsidP="00F326E5">
      <w:pPr>
        <w:pStyle w:val="NoSpacing"/>
        <w:rPr>
          <w:rFonts w:ascii="Arial Black" w:hAnsi="Arial Black"/>
          <w:b/>
          <w:bCs/>
          <w:sz w:val="24"/>
          <w:szCs w:val="24"/>
        </w:rPr>
      </w:pPr>
    </w:p>
    <w:p w14:paraId="23B63846" w14:textId="77777777" w:rsidR="00772D62" w:rsidRDefault="00772D62" w:rsidP="00F326E5">
      <w:pPr>
        <w:pStyle w:val="NoSpacing"/>
        <w:rPr>
          <w:rFonts w:ascii="Arial Black" w:hAnsi="Arial Black"/>
          <w:b/>
          <w:bCs/>
          <w:sz w:val="24"/>
          <w:szCs w:val="24"/>
        </w:rPr>
      </w:pPr>
    </w:p>
    <w:p w14:paraId="40F1923E" w14:textId="77777777" w:rsidR="00772D62" w:rsidRDefault="00772D62" w:rsidP="00F326E5">
      <w:pPr>
        <w:pStyle w:val="NoSpacing"/>
        <w:rPr>
          <w:rFonts w:ascii="Arial Black" w:hAnsi="Arial Black"/>
          <w:b/>
          <w:bCs/>
          <w:sz w:val="24"/>
          <w:szCs w:val="24"/>
        </w:rPr>
      </w:pPr>
    </w:p>
    <w:p w14:paraId="1CFEF835" w14:textId="2099A23C" w:rsidR="0061488E" w:rsidRDefault="0061488E" w:rsidP="00F326E5">
      <w:pPr>
        <w:pStyle w:val="NoSpacing"/>
        <w:rPr>
          <w:rFonts w:ascii="Arial Black" w:hAnsi="Arial Black"/>
          <w:b/>
          <w:bCs/>
          <w:sz w:val="24"/>
          <w:szCs w:val="24"/>
        </w:rPr>
      </w:pPr>
      <w:r>
        <w:rPr>
          <w:rFonts w:ascii="Arial Black" w:hAnsi="Arial Black"/>
          <w:b/>
          <w:bCs/>
          <w:sz w:val="24"/>
          <w:szCs w:val="24"/>
        </w:rPr>
        <w:t>7-58</w:t>
      </w:r>
    </w:p>
    <w:p w14:paraId="605B9E92" w14:textId="77777777" w:rsidR="00451608" w:rsidRPr="004A5B4B" w:rsidRDefault="00451608" w:rsidP="00451608">
      <w:pPr>
        <w:pStyle w:val="NormalWeb"/>
        <w:rPr>
          <w:rFonts w:ascii="Arial Black" w:hAnsi="Arial Black"/>
          <w:b/>
          <w:bCs/>
          <w:sz w:val="28"/>
          <w:szCs w:val="28"/>
        </w:rPr>
      </w:pPr>
      <w:r>
        <w:rPr>
          <w:rFonts w:ascii="Arial Black" w:hAnsi="Arial Black"/>
          <w:b/>
          <w:bCs/>
          <w:sz w:val="28"/>
          <w:szCs w:val="28"/>
        </w:rPr>
        <w:t>DC: LT. ON DUTY GRABBED BREASTS FEMALE FF – CONV. –HOSTILE WORKPLACE CASE PROCEED - NOT RETALIATION</w:t>
      </w:r>
    </w:p>
    <w:p w14:paraId="35DF2F57" w14:textId="77777777" w:rsidR="00451608" w:rsidRPr="005235E2" w:rsidRDefault="00451608" w:rsidP="00451608">
      <w:pPr>
        <w:pStyle w:val="NormalWeb"/>
      </w:pPr>
      <w:r w:rsidRPr="005235E2">
        <w:t xml:space="preserve">On Jan. 29, 2024, in </w:t>
      </w:r>
      <w:r w:rsidRPr="005235E2">
        <w:rPr>
          <w:u w:val="single"/>
        </w:rPr>
        <w:t>Anaje Boyd v. District of Columbia</w:t>
      </w:r>
      <w:r w:rsidRPr="005235E2">
        <w:t>, U.S. District Court Judge Rudolph Contreras, U.S. District Court for District of Columbia, held that the plaintiffs claim for hostile work environment may proceed with pre-trial discovery, but the claim of retaliation for FD delay in conducting are internal investigation is dismissed.  When she filed a complaint with the Police Department, the FD’s EEO officer (Amy Mauro) and Internal Affairs Captain Melonie Barnes told her to hold off filing EEOC charge while criminal case was proceeding.</w:t>
      </w:r>
    </w:p>
    <w:p w14:paraId="169C4CE5" w14:textId="4E27F073" w:rsidR="0061488E" w:rsidRPr="005235E2" w:rsidRDefault="00451608" w:rsidP="00451608">
      <w:pPr>
        <w:pStyle w:val="NoSpacing"/>
        <w:rPr>
          <w:rStyle w:val="Hyperlink"/>
          <w:rFonts w:ascii="Times New Roman" w:hAnsi="Times New Roman"/>
          <w:sz w:val="24"/>
          <w:szCs w:val="24"/>
        </w:rPr>
      </w:pPr>
      <w:r w:rsidRPr="005235E2">
        <w:rPr>
          <w:rFonts w:ascii="Times New Roman" w:hAnsi="Times New Roman"/>
          <w:sz w:val="24"/>
          <w:szCs w:val="24"/>
        </w:rPr>
        <w:t xml:space="preserve">“Although Boyd's written narrative does mention that Mauro and Cpt. Barnes instructed her that she could not file an EEO complaint until the criminal proceedings against Lt. Jordan had concluded, </w:t>
      </w:r>
      <w:r w:rsidRPr="005235E2">
        <w:rPr>
          <w:rStyle w:val="Emphasis"/>
          <w:rFonts w:ascii="Times New Roman" w:hAnsi="Times New Roman"/>
          <w:sz w:val="24"/>
          <w:szCs w:val="24"/>
        </w:rPr>
        <w:t>see</w:t>
      </w:r>
      <w:r w:rsidRPr="005235E2">
        <w:rPr>
          <w:rFonts w:ascii="Times New Roman" w:hAnsi="Times New Roman"/>
          <w:sz w:val="24"/>
          <w:szCs w:val="24"/>
        </w:rPr>
        <w:t xml:space="preserve"> EEOC Charge at 5; </w:t>
      </w:r>
      <w:r w:rsidRPr="005235E2">
        <w:rPr>
          <w:rStyle w:val="Emphasis"/>
          <w:rFonts w:ascii="Times New Roman" w:hAnsi="Times New Roman"/>
          <w:sz w:val="24"/>
          <w:szCs w:val="24"/>
        </w:rPr>
        <w:t>see also</w:t>
      </w:r>
      <w:r w:rsidRPr="005235E2">
        <w:rPr>
          <w:rFonts w:ascii="Times New Roman" w:hAnsi="Times New Roman"/>
          <w:sz w:val="24"/>
          <w:szCs w:val="24"/>
        </w:rPr>
        <w:t xml:space="preserve"> Pl.'s </w:t>
      </w:r>
      <w:proofErr w:type="spellStart"/>
      <w:r w:rsidRPr="005235E2">
        <w:rPr>
          <w:rFonts w:ascii="Times New Roman" w:hAnsi="Times New Roman"/>
          <w:sz w:val="24"/>
          <w:szCs w:val="24"/>
        </w:rPr>
        <w:t>Opp'n</w:t>
      </w:r>
      <w:proofErr w:type="spellEnd"/>
      <w:r w:rsidRPr="005235E2">
        <w:rPr>
          <w:rFonts w:ascii="Times New Roman" w:hAnsi="Times New Roman"/>
          <w:sz w:val="24"/>
          <w:szCs w:val="24"/>
        </w:rPr>
        <w:t xml:space="preserve"> at 9 (arguing that the inclusion of these facts satisfies the exhaustion requirement), there is nothing in that narrative that suggests-in any way-that Boyd viewed Mauro's or Cpt. Barnes's instructions to be retaliatory…. Rather, Boyd's description of Mauro's and Cpt. Barnes's acts is best (and most reasonably) understood as providing support for why she delayed in filing her formal discrimination complaint. That being so-and given the absence of any other factual allegations that suggest Boyd was describing a retaliation claim-the Court cannot conclude that Boyd's complaint would have ‘reasonably give[n] rise to an investigation’ into retaliation (as opposed to an investigation solely focused on sex discrimination and sexual harassment).” </w:t>
      </w:r>
      <w:hyperlink r:id="rId1330" w:history="1">
        <w:r w:rsidRPr="005235E2">
          <w:rPr>
            <w:rStyle w:val="Hyperlink"/>
            <w:rFonts w:ascii="Times New Roman" w:hAnsi="Times New Roman"/>
            <w:sz w:val="24"/>
            <w:szCs w:val="24"/>
          </w:rPr>
          <w:t>https://public.fastcase.com/ZZhmr5v9wN%2FXOe5IsQ%2FqD6jMQR25voU2zetCo1HgS1zBk8tCI%2FmKZ0pb%2BYQBY4PYbj2YxbwIVSZ2pGprXwG4UQ35c6nwrJlu7u4tvaka%2BGk%3D?utm_medium=email&amp;_hsmi=226712652&amp;_hsenc=p2ANqtz-8k0z7Ow52c-ClX2b2IdaHNx0isoBG6vg98c6p6ibbt9CVV8mr3zs9YYXJjoYif24S7rYOdhr1XcCDTZ_K6Y2uCJJR3PQ&amp;utm_content=226712652&amp;utm_source=hs_email</w:t>
        </w:r>
      </w:hyperlink>
    </w:p>
    <w:p w14:paraId="51C14711" w14:textId="77777777" w:rsidR="005235E2" w:rsidRPr="005235E2" w:rsidRDefault="005235E2" w:rsidP="00451608">
      <w:pPr>
        <w:pStyle w:val="NoSpacing"/>
        <w:rPr>
          <w:rStyle w:val="Hyperlink"/>
          <w:rFonts w:ascii="Times New Roman" w:hAnsi="Times New Roman"/>
          <w:sz w:val="24"/>
          <w:szCs w:val="24"/>
        </w:rPr>
      </w:pPr>
    </w:p>
    <w:p w14:paraId="1FAC7ACC" w14:textId="77777777" w:rsidR="005235E2" w:rsidRPr="005235E2" w:rsidRDefault="005235E2" w:rsidP="005235E2">
      <w:pPr>
        <w:rPr>
          <w:rFonts w:ascii="Times New Roman" w:hAnsi="Times New Roman"/>
          <w:b/>
          <w:bCs/>
          <w:sz w:val="24"/>
          <w:szCs w:val="24"/>
        </w:rPr>
      </w:pPr>
      <w:r w:rsidRPr="005235E2">
        <w:rPr>
          <w:rFonts w:ascii="Times New Roman" w:hAnsi="Times New Roman"/>
          <w:b/>
          <w:bCs/>
          <w:sz w:val="24"/>
          <w:szCs w:val="24"/>
        </w:rPr>
        <w:t xml:space="preserve">Legal Lesson Learned:  An on-duty assault is shocking. The court opinion does not mention whether the Lt. Antwan Jordan was fired, or whether he received jail time.  </w:t>
      </w:r>
    </w:p>
    <w:p w14:paraId="36EFB27C" w14:textId="77777777" w:rsidR="005235E2" w:rsidRPr="005235E2" w:rsidRDefault="005235E2" w:rsidP="005235E2">
      <w:pPr>
        <w:pStyle w:val="Heading1"/>
        <w:ind w:left="720"/>
        <w:rPr>
          <w:b w:val="0"/>
          <w:bCs w:val="0"/>
          <w:sz w:val="24"/>
          <w:szCs w:val="24"/>
        </w:rPr>
      </w:pPr>
      <w:r w:rsidRPr="005235E2">
        <w:rPr>
          <w:b w:val="0"/>
          <w:bCs w:val="0"/>
          <w:sz w:val="24"/>
          <w:szCs w:val="24"/>
        </w:rPr>
        <w:lastRenderedPageBreak/>
        <w:t xml:space="preserve">Note:  A Google search reveals a prior incident on March 7, </w:t>
      </w:r>
      <w:proofErr w:type="gramStart"/>
      <w:r w:rsidRPr="005235E2">
        <w:rPr>
          <w:b w:val="0"/>
          <w:bCs w:val="0"/>
          <w:sz w:val="24"/>
          <w:szCs w:val="24"/>
        </w:rPr>
        <w:t>2014</w:t>
      </w:r>
      <w:proofErr w:type="gramEnd"/>
      <w:r w:rsidRPr="005235E2">
        <w:rPr>
          <w:b w:val="0"/>
          <w:bCs w:val="0"/>
          <w:sz w:val="24"/>
          <w:szCs w:val="24"/>
        </w:rPr>
        <w:t xml:space="preserve"> that appears to be same individual. “Wednesday, firefighter Antwan Jordon was arrested outside of firehouse Engine 15 and charged with misdemeanor sex abuse. Surveillance video shows Jordan, in uniform, slapping a woman’s buttocks at a Southeast D.C. elementary school, according to Fox 5.  A fire department spokesman says … Jordan [has] been placed on administrative leave.” </w:t>
      </w:r>
      <w:hyperlink r:id="rId1331" w:history="1">
        <w:r w:rsidRPr="005235E2">
          <w:rPr>
            <w:rStyle w:val="Hyperlink"/>
            <w:b w:val="0"/>
            <w:bCs w:val="0"/>
            <w:sz w:val="24"/>
            <w:szCs w:val="24"/>
          </w:rPr>
          <w:t>https://wtop.com/news/2014/03/dc-firefighter-charged-with-filling-fake-prescriptions/</w:t>
        </w:r>
      </w:hyperlink>
    </w:p>
    <w:p w14:paraId="15D82267" w14:textId="77777777" w:rsidR="005235E2" w:rsidRDefault="005235E2" w:rsidP="00451608">
      <w:pPr>
        <w:pStyle w:val="NoSpacing"/>
        <w:rPr>
          <w:rFonts w:ascii="Arial Black" w:hAnsi="Arial Black"/>
          <w:b/>
          <w:bCs/>
          <w:sz w:val="24"/>
          <w:szCs w:val="24"/>
        </w:rPr>
      </w:pPr>
    </w:p>
    <w:p w14:paraId="4FB4C5A3" w14:textId="77777777" w:rsidR="0061488E" w:rsidRDefault="0061488E" w:rsidP="00F326E5">
      <w:pPr>
        <w:pStyle w:val="NoSpacing"/>
        <w:rPr>
          <w:rFonts w:ascii="Arial Black" w:hAnsi="Arial Black"/>
          <w:b/>
          <w:bCs/>
          <w:sz w:val="24"/>
          <w:szCs w:val="24"/>
        </w:rPr>
      </w:pPr>
    </w:p>
    <w:p w14:paraId="0FA1918F" w14:textId="77777777" w:rsidR="0061488E" w:rsidRDefault="0061488E" w:rsidP="00F326E5">
      <w:pPr>
        <w:pStyle w:val="NoSpacing"/>
        <w:rPr>
          <w:rFonts w:ascii="Arial Black" w:hAnsi="Arial Black"/>
          <w:b/>
          <w:bCs/>
          <w:sz w:val="24"/>
          <w:szCs w:val="24"/>
        </w:rPr>
      </w:pPr>
    </w:p>
    <w:p w14:paraId="471C94E6" w14:textId="7C84D9B9" w:rsidR="002C6181" w:rsidRDefault="002C6181" w:rsidP="00F326E5">
      <w:pPr>
        <w:pStyle w:val="NoSpacing"/>
        <w:rPr>
          <w:rFonts w:ascii="Arial Black" w:hAnsi="Arial Black"/>
          <w:b/>
          <w:bCs/>
          <w:sz w:val="24"/>
          <w:szCs w:val="24"/>
        </w:rPr>
      </w:pPr>
      <w:r>
        <w:rPr>
          <w:rFonts w:ascii="Arial Black" w:hAnsi="Arial Black"/>
          <w:b/>
          <w:bCs/>
          <w:sz w:val="24"/>
          <w:szCs w:val="24"/>
        </w:rPr>
        <w:t>7-</w:t>
      </w:r>
      <w:r w:rsidR="006164CF">
        <w:rPr>
          <w:rFonts w:ascii="Arial Black" w:hAnsi="Arial Black"/>
          <w:b/>
          <w:bCs/>
          <w:sz w:val="24"/>
          <w:szCs w:val="24"/>
        </w:rPr>
        <w:t>57</w:t>
      </w:r>
    </w:p>
    <w:p w14:paraId="59C00EAC" w14:textId="77777777" w:rsidR="006164CF" w:rsidRDefault="006164CF" w:rsidP="00F326E5">
      <w:pPr>
        <w:pStyle w:val="NoSpacing"/>
        <w:rPr>
          <w:rFonts w:ascii="Arial Black" w:hAnsi="Arial Black"/>
          <w:b/>
          <w:bCs/>
          <w:sz w:val="24"/>
          <w:szCs w:val="24"/>
        </w:rPr>
      </w:pPr>
    </w:p>
    <w:p w14:paraId="69E1F1F5" w14:textId="77777777" w:rsidR="00B1569B" w:rsidRDefault="00B1569B" w:rsidP="00B1569B">
      <w:pPr>
        <w:pStyle w:val="NoSpacing"/>
        <w:rPr>
          <w:rFonts w:ascii="Arial Black" w:hAnsi="Arial Black"/>
          <w:sz w:val="28"/>
          <w:szCs w:val="28"/>
        </w:rPr>
      </w:pPr>
      <w:r>
        <w:rPr>
          <w:rFonts w:ascii="Arial Black" w:hAnsi="Arial Black"/>
          <w:sz w:val="28"/>
          <w:szCs w:val="28"/>
        </w:rPr>
        <w:t>IL: CHICAGO FD – FEMALES FAILED PHYSICAL FITNESS – SETTLEMENT / REHIRED – CAN NOW SEEK DAMAGES</w:t>
      </w:r>
    </w:p>
    <w:p w14:paraId="1C0C342D" w14:textId="77777777" w:rsidR="00B1569B" w:rsidRDefault="00B1569B" w:rsidP="00B1569B">
      <w:pPr>
        <w:pStyle w:val="NoSpacing"/>
        <w:rPr>
          <w:rFonts w:ascii="Times New Roman" w:hAnsi="Times New Roman"/>
          <w:sz w:val="24"/>
          <w:szCs w:val="24"/>
        </w:rPr>
      </w:pPr>
    </w:p>
    <w:p w14:paraId="1B3A529B" w14:textId="77777777" w:rsidR="00B1569B" w:rsidRDefault="00B1569B" w:rsidP="00B1569B">
      <w:pPr>
        <w:pStyle w:val="NoSpacing"/>
        <w:rPr>
          <w:rFonts w:ascii="Times New Roman" w:hAnsi="Times New Roman"/>
          <w:sz w:val="24"/>
          <w:szCs w:val="24"/>
        </w:rPr>
      </w:pPr>
      <w:r>
        <w:rPr>
          <w:rFonts w:ascii="Times New Roman" w:hAnsi="Times New Roman"/>
          <w:sz w:val="24"/>
          <w:szCs w:val="24"/>
        </w:rPr>
        <w:t xml:space="preserve">On Jan. 7, 2024, in </w:t>
      </w:r>
      <w:r w:rsidRPr="00D351A0">
        <w:rPr>
          <w:rFonts w:ascii="Times New Roman" w:hAnsi="Times New Roman"/>
          <w:sz w:val="24"/>
          <w:szCs w:val="24"/>
          <w:u w:val="single"/>
        </w:rPr>
        <w:t>Jennifer Livingston, et al. v. City of Chicago</w:t>
      </w:r>
      <w:r>
        <w:rPr>
          <w:rFonts w:ascii="Times New Roman" w:hAnsi="Times New Roman"/>
          <w:sz w:val="24"/>
          <w:szCs w:val="24"/>
        </w:rPr>
        <w:t xml:space="preserve">, U.S. District Court Judge Sara L. Ellis, U.S. District Court for Northern District of Illinois (Eastern Division) held that while most of the five female paramedics (fired 2014 – 2016) have been re-hired under a 2019 settlement agreement, an amended complaint may now be filed to seek uncapped damages. One of the </w:t>
      </w:r>
      <w:proofErr w:type="gramStart"/>
      <w:r>
        <w:rPr>
          <w:rFonts w:ascii="Times New Roman" w:hAnsi="Times New Roman"/>
          <w:sz w:val="24"/>
          <w:szCs w:val="24"/>
        </w:rPr>
        <w:t>medic</w:t>
      </w:r>
      <w:proofErr w:type="gramEnd"/>
      <w:r>
        <w:rPr>
          <w:rFonts w:ascii="Times New Roman" w:hAnsi="Times New Roman"/>
          <w:sz w:val="24"/>
          <w:szCs w:val="24"/>
        </w:rPr>
        <w:t xml:space="preserve"> failed her medical - i</w:t>
      </w:r>
      <w:r w:rsidRPr="00C405EC">
        <w:rPr>
          <w:rFonts w:ascii="Times New Roman" w:hAnsi="Times New Roman"/>
          <w:sz w:val="24"/>
          <w:szCs w:val="24"/>
        </w:rPr>
        <w:t>n March 2019, Dr. William Wong, CFD’s medical director, indicated that he would not</w:t>
      </w:r>
      <w:r>
        <w:rPr>
          <w:rFonts w:ascii="Times New Roman" w:hAnsi="Times New Roman"/>
          <w:sz w:val="24"/>
          <w:szCs w:val="24"/>
        </w:rPr>
        <w:t xml:space="preserve"> c</w:t>
      </w:r>
      <w:r w:rsidRPr="00C405EC">
        <w:rPr>
          <w:rFonts w:ascii="Times New Roman" w:hAnsi="Times New Roman"/>
          <w:sz w:val="24"/>
          <w:szCs w:val="24"/>
        </w:rPr>
        <w:t>lear</w:t>
      </w:r>
      <w:r>
        <w:rPr>
          <w:rFonts w:ascii="Times New Roman" w:hAnsi="Times New Roman"/>
          <w:sz w:val="24"/>
          <w:szCs w:val="24"/>
        </w:rPr>
        <w:t xml:space="preserve"> Donna</w:t>
      </w:r>
      <w:r w:rsidRPr="00C405EC">
        <w:rPr>
          <w:rFonts w:ascii="Times New Roman" w:hAnsi="Times New Roman"/>
          <w:sz w:val="24"/>
          <w:szCs w:val="24"/>
        </w:rPr>
        <w:t xml:space="preserve"> Griffin for reinstatement because she used </w:t>
      </w:r>
      <w:r>
        <w:rPr>
          <w:rFonts w:ascii="Times New Roman" w:hAnsi="Times New Roman"/>
          <w:sz w:val="24"/>
          <w:szCs w:val="24"/>
        </w:rPr>
        <w:t xml:space="preserve">prescription </w:t>
      </w:r>
      <w:r w:rsidRPr="00C405EC">
        <w:rPr>
          <w:rFonts w:ascii="Times New Roman" w:hAnsi="Times New Roman"/>
          <w:sz w:val="24"/>
          <w:szCs w:val="24"/>
        </w:rPr>
        <w:t>alprazolam and trazadone</w:t>
      </w:r>
      <w:r>
        <w:rPr>
          <w:rFonts w:ascii="Times New Roman" w:hAnsi="Times New Roman"/>
          <w:sz w:val="24"/>
          <w:szCs w:val="24"/>
        </w:rPr>
        <w:t xml:space="preserve"> for “</w:t>
      </w:r>
      <w:r w:rsidRPr="0010197C">
        <w:rPr>
          <w:rFonts w:ascii="Times New Roman" w:hAnsi="Times New Roman"/>
          <w:sz w:val="24"/>
          <w:szCs w:val="24"/>
        </w:rPr>
        <w:t xml:space="preserve">adjustment disorder with anxious mood and secondary insomnia.”  </w:t>
      </w:r>
      <w:r>
        <w:rPr>
          <w:rFonts w:ascii="Times New Roman" w:hAnsi="Times New Roman"/>
          <w:sz w:val="24"/>
          <w:szCs w:val="24"/>
        </w:rPr>
        <w:t xml:space="preserve">Ms. Griffin has filed a separate lawsuit, and Judge Ellis declined to combine it with this case.  [See note below for information in </w:t>
      </w:r>
      <w:r w:rsidRPr="00E96729">
        <w:rPr>
          <w:rFonts w:ascii="Times New Roman" w:hAnsi="Times New Roman"/>
          <w:sz w:val="24"/>
          <w:szCs w:val="24"/>
          <w:u w:val="single"/>
        </w:rPr>
        <w:t>Griffin v. City of Chicago</w:t>
      </w:r>
      <w:r>
        <w:rPr>
          <w:rFonts w:ascii="Times New Roman" w:hAnsi="Times New Roman"/>
          <w:sz w:val="24"/>
          <w:szCs w:val="24"/>
        </w:rPr>
        <w:t xml:space="preserve"> case.] </w:t>
      </w:r>
    </w:p>
    <w:p w14:paraId="277FB6E3" w14:textId="77777777" w:rsidR="00B1569B" w:rsidRDefault="00B1569B" w:rsidP="00B1569B">
      <w:pPr>
        <w:pStyle w:val="NoSpacing"/>
        <w:rPr>
          <w:rFonts w:ascii="Times New Roman" w:hAnsi="Times New Roman"/>
          <w:sz w:val="24"/>
          <w:szCs w:val="24"/>
        </w:rPr>
      </w:pPr>
    </w:p>
    <w:p w14:paraId="6997ED3E" w14:textId="77777777" w:rsidR="00B1569B" w:rsidRDefault="00B1569B" w:rsidP="00B1569B">
      <w:pPr>
        <w:pStyle w:val="NoSpacing"/>
        <w:ind w:left="720"/>
        <w:rPr>
          <w:rFonts w:ascii="Times New Roman" w:hAnsi="Times New Roman"/>
          <w:sz w:val="24"/>
          <w:szCs w:val="24"/>
        </w:rPr>
      </w:pPr>
      <w:r>
        <w:rPr>
          <w:rFonts w:ascii="Times New Roman" w:hAnsi="Times New Roman"/>
          <w:sz w:val="24"/>
          <w:szCs w:val="24"/>
        </w:rPr>
        <w:t>“T</w:t>
      </w:r>
      <w:r w:rsidRPr="00D32039">
        <w:rPr>
          <w:rFonts w:ascii="Times New Roman" w:hAnsi="Times New Roman"/>
          <w:sz w:val="24"/>
          <w:szCs w:val="24"/>
        </w:rPr>
        <w:t xml:space="preserve">he </w:t>
      </w:r>
      <w:r>
        <w:rPr>
          <w:rFonts w:ascii="Times New Roman" w:hAnsi="Times New Roman"/>
          <w:sz w:val="24"/>
          <w:szCs w:val="24"/>
        </w:rPr>
        <w:t xml:space="preserve">(Oct. 2016) </w:t>
      </w:r>
      <w:r w:rsidRPr="00D32039">
        <w:rPr>
          <w:rFonts w:ascii="Times New Roman" w:hAnsi="Times New Roman"/>
          <w:sz w:val="24"/>
          <w:szCs w:val="24"/>
        </w:rPr>
        <w:t>complaint alleges that this hostility manifests itself in a</w:t>
      </w:r>
      <w:r>
        <w:rPr>
          <w:rFonts w:ascii="Times New Roman" w:hAnsi="Times New Roman"/>
          <w:sz w:val="24"/>
          <w:szCs w:val="24"/>
        </w:rPr>
        <w:t xml:space="preserve"> </w:t>
      </w:r>
      <w:r w:rsidRPr="00D32039">
        <w:rPr>
          <w:rFonts w:ascii="Times New Roman" w:hAnsi="Times New Roman"/>
          <w:sz w:val="24"/>
          <w:szCs w:val="24"/>
        </w:rPr>
        <w:t>number of other contexts,</w:t>
      </w:r>
      <w:r>
        <w:rPr>
          <w:rFonts w:ascii="Times New Roman" w:hAnsi="Times New Roman"/>
          <w:sz w:val="24"/>
          <w:szCs w:val="24"/>
        </w:rPr>
        <w:t xml:space="preserve"> </w:t>
      </w:r>
      <w:r w:rsidRPr="00D32039">
        <w:rPr>
          <w:rFonts w:ascii="Times New Roman" w:hAnsi="Times New Roman"/>
          <w:sz w:val="24"/>
          <w:szCs w:val="24"/>
        </w:rPr>
        <w:t>including: 1) the City’s failure to properly accommodate nursing mothers; 2) the City’s failure to</w:t>
      </w:r>
      <w:r>
        <w:rPr>
          <w:rFonts w:ascii="Times New Roman" w:hAnsi="Times New Roman"/>
          <w:sz w:val="24"/>
          <w:szCs w:val="24"/>
        </w:rPr>
        <w:t xml:space="preserve"> </w:t>
      </w:r>
      <w:r w:rsidRPr="00D32039">
        <w:rPr>
          <w:rFonts w:ascii="Times New Roman" w:hAnsi="Times New Roman"/>
          <w:sz w:val="24"/>
          <w:szCs w:val="24"/>
        </w:rPr>
        <w:t>provide adequate bathrooms, locker facilities, and sleeping quarters; 3) episodes of verbal and</w:t>
      </w:r>
      <w:r>
        <w:rPr>
          <w:rFonts w:ascii="Times New Roman" w:hAnsi="Times New Roman"/>
          <w:sz w:val="24"/>
          <w:szCs w:val="24"/>
        </w:rPr>
        <w:t xml:space="preserve"> </w:t>
      </w:r>
      <w:r w:rsidRPr="00D32039">
        <w:rPr>
          <w:rFonts w:ascii="Times New Roman" w:hAnsi="Times New Roman"/>
          <w:sz w:val="24"/>
          <w:szCs w:val="24"/>
        </w:rPr>
        <w:t>physical harassment and intimidation; and 4) sexually discriminatory treatment by the CFD’s</w:t>
      </w:r>
      <w:r>
        <w:rPr>
          <w:rFonts w:ascii="Times New Roman" w:hAnsi="Times New Roman"/>
          <w:sz w:val="24"/>
          <w:szCs w:val="24"/>
        </w:rPr>
        <w:t xml:space="preserve"> </w:t>
      </w:r>
      <w:r w:rsidRPr="00D32039">
        <w:rPr>
          <w:rFonts w:ascii="Times New Roman" w:hAnsi="Times New Roman"/>
          <w:sz w:val="24"/>
          <w:szCs w:val="24"/>
        </w:rPr>
        <w:t>Medical Division.</w:t>
      </w:r>
      <w:r>
        <w:rPr>
          <w:rFonts w:ascii="Times New Roman" w:hAnsi="Times New Roman"/>
          <w:sz w:val="24"/>
          <w:szCs w:val="24"/>
        </w:rPr>
        <w:t xml:space="preserve">  </w:t>
      </w:r>
    </w:p>
    <w:p w14:paraId="04754802" w14:textId="77777777" w:rsidR="00B1569B" w:rsidRDefault="00B1569B" w:rsidP="00B1569B">
      <w:pPr>
        <w:pStyle w:val="NoSpacing"/>
        <w:ind w:left="720"/>
        <w:rPr>
          <w:rFonts w:ascii="Times New Roman" w:hAnsi="Times New Roman"/>
          <w:sz w:val="24"/>
          <w:szCs w:val="24"/>
        </w:rPr>
      </w:pPr>
    </w:p>
    <w:p w14:paraId="22581818" w14:textId="77777777" w:rsidR="00B1569B" w:rsidRDefault="00B1569B" w:rsidP="00B1569B">
      <w:pPr>
        <w:pStyle w:val="NoSpacing"/>
        <w:ind w:left="720"/>
        <w:rPr>
          <w:rFonts w:ascii="Times New Roman" w:hAnsi="Times New Roman"/>
          <w:sz w:val="24"/>
          <w:szCs w:val="24"/>
        </w:rPr>
      </w:pPr>
      <w:r>
        <w:rPr>
          <w:rFonts w:ascii="Times New Roman" w:hAnsi="Times New Roman"/>
          <w:sz w:val="24"/>
          <w:szCs w:val="24"/>
        </w:rPr>
        <w:t>***</w:t>
      </w:r>
    </w:p>
    <w:p w14:paraId="28A1205F" w14:textId="77777777" w:rsidR="00B1569B" w:rsidRDefault="00B1569B" w:rsidP="00B1569B">
      <w:pPr>
        <w:pStyle w:val="NoSpacing"/>
        <w:rPr>
          <w:rFonts w:ascii="Times New Roman" w:hAnsi="Times New Roman"/>
          <w:sz w:val="24"/>
          <w:szCs w:val="24"/>
        </w:rPr>
      </w:pPr>
    </w:p>
    <w:p w14:paraId="48639336" w14:textId="77777777" w:rsidR="00B1569B" w:rsidRDefault="00B1569B" w:rsidP="00B1569B">
      <w:pPr>
        <w:pStyle w:val="NoSpacing"/>
        <w:ind w:left="720"/>
        <w:rPr>
          <w:rFonts w:ascii="Times New Roman" w:hAnsi="Times New Roman"/>
          <w:sz w:val="24"/>
          <w:szCs w:val="24"/>
        </w:rPr>
      </w:pPr>
      <w:r w:rsidRPr="00F6220F">
        <w:rPr>
          <w:rFonts w:ascii="Times New Roman" w:hAnsi="Times New Roman"/>
          <w:sz w:val="24"/>
          <w:szCs w:val="24"/>
        </w:rPr>
        <w:t xml:space="preserve">Plaintiffs seek to add new theories of recovery under § 1983 </w:t>
      </w:r>
      <w:r>
        <w:rPr>
          <w:rFonts w:ascii="Times New Roman" w:hAnsi="Times New Roman"/>
          <w:sz w:val="24"/>
          <w:szCs w:val="24"/>
        </w:rPr>
        <w:t xml:space="preserve">[violation of Constitutional rights under 42 USC 1983] </w:t>
      </w:r>
      <w:r w:rsidRPr="00F6220F">
        <w:rPr>
          <w:rFonts w:ascii="Times New Roman" w:hAnsi="Times New Roman"/>
          <w:sz w:val="24"/>
          <w:szCs w:val="24"/>
        </w:rPr>
        <w:t xml:space="preserve">and ICRA </w:t>
      </w:r>
      <w:r>
        <w:rPr>
          <w:rFonts w:ascii="Times New Roman" w:hAnsi="Times New Roman"/>
          <w:sz w:val="24"/>
          <w:szCs w:val="24"/>
        </w:rPr>
        <w:t>[</w:t>
      </w:r>
      <w:r w:rsidRPr="004167DE">
        <w:rPr>
          <w:rFonts w:ascii="Times New Roman" w:hAnsi="Times New Roman"/>
          <w:sz w:val="24"/>
          <w:szCs w:val="24"/>
        </w:rPr>
        <w:t>Illinois Civil</w:t>
      </w:r>
      <w:r>
        <w:rPr>
          <w:rFonts w:ascii="Times New Roman" w:hAnsi="Times New Roman"/>
          <w:sz w:val="24"/>
          <w:szCs w:val="24"/>
        </w:rPr>
        <w:t xml:space="preserve"> </w:t>
      </w:r>
      <w:r w:rsidRPr="004167DE">
        <w:rPr>
          <w:rFonts w:ascii="Times New Roman" w:hAnsi="Times New Roman"/>
          <w:sz w:val="24"/>
          <w:szCs w:val="24"/>
        </w:rPr>
        <w:t>Rights Act of 200</w:t>
      </w:r>
      <w:r>
        <w:rPr>
          <w:rFonts w:ascii="Times New Roman" w:hAnsi="Times New Roman"/>
          <w:sz w:val="24"/>
          <w:szCs w:val="24"/>
        </w:rPr>
        <w:t xml:space="preserve">3] </w:t>
      </w:r>
      <w:r w:rsidRPr="00F6220F">
        <w:rPr>
          <w:rFonts w:ascii="Times New Roman" w:hAnsi="Times New Roman"/>
          <w:sz w:val="24"/>
          <w:szCs w:val="24"/>
        </w:rPr>
        <w:t>based on the same</w:t>
      </w:r>
      <w:r>
        <w:rPr>
          <w:rFonts w:ascii="Times New Roman" w:hAnsi="Times New Roman"/>
          <w:sz w:val="24"/>
          <w:szCs w:val="24"/>
        </w:rPr>
        <w:t xml:space="preserve"> </w:t>
      </w:r>
      <w:r w:rsidRPr="00F6220F">
        <w:rPr>
          <w:rFonts w:ascii="Times New Roman" w:hAnsi="Times New Roman"/>
          <w:sz w:val="24"/>
          <w:szCs w:val="24"/>
        </w:rPr>
        <w:t>factual allegations laid out in the original complaint. Plaintiffs argue this is because § 1983 and</w:t>
      </w:r>
      <w:r>
        <w:rPr>
          <w:rFonts w:ascii="Times New Roman" w:hAnsi="Times New Roman"/>
          <w:sz w:val="24"/>
          <w:szCs w:val="24"/>
        </w:rPr>
        <w:t xml:space="preserve"> </w:t>
      </w:r>
      <w:r w:rsidRPr="00F6220F">
        <w:rPr>
          <w:rFonts w:ascii="Times New Roman" w:hAnsi="Times New Roman"/>
          <w:sz w:val="24"/>
          <w:szCs w:val="24"/>
        </w:rPr>
        <w:t>ICRA do not carry a statutory cap on economic damages as Title VII does</w:t>
      </w:r>
      <w:r>
        <w:rPr>
          <w:rFonts w:ascii="Times New Roman" w:hAnsi="Times New Roman"/>
          <w:sz w:val="24"/>
          <w:szCs w:val="24"/>
        </w:rPr>
        <w:t xml:space="preserve">…. </w:t>
      </w:r>
      <w:r w:rsidRPr="0041110B">
        <w:rPr>
          <w:rFonts w:ascii="Times New Roman" w:hAnsi="Times New Roman"/>
          <w:sz w:val="24"/>
          <w:szCs w:val="24"/>
        </w:rPr>
        <w:t>As such, Plaintiffs</w:t>
      </w:r>
      <w:r>
        <w:rPr>
          <w:rFonts w:ascii="Times New Roman" w:hAnsi="Times New Roman"/>
          <w:sz w:val="24"/>
          <w:szCs w:val="24"/>
        </w:rPr>
        <w:t xml:space="preserve"> </w:t>
      </w:r>
      <w:r w:rsidRPr="0041110B">
        <w:rPr>
          <w:rFonts w:ascii="Times New Roman" w:hAnsi="Times New Roman"/>
          <w:sz w:val="24"/>
          <w:szCs w:val="24"/>
        </w:rPr>
        <w:t>may amend their complaint to include their proposed § 1983 and ICRA claims.</w:t>
      </w:r>
    </w:p>
    <w:p w14:paraId="2F134906" w14:textId="77777777" w:rsidR="00B1569B" w:rsidRDefault="00B1569B" w:rsidP="00B1569B">
      <w:pPr>
        <w:pStyle w:val="NoSpacing"/>
        <w:ind w:left="720"/>
        <w:rPr>
          <w:rFonts w:ascii="Times New Roman" w:hAnsi="Times New Roman"/>
          <w:sz w:val="24"/>
          <w:szCs w:val="24"/>
        </w:rPr>
      </w:pPr>
    </w:p>
    <w:p w14:paraId="11E52CD2" w14:textId="77777777" w:rsidR="00B1569B" w:rsidRDefault="00B1569B" w:rsidP="00B1569B">
      <w:pPr>
        <w:pStyle w:val="NoSpacing"/>
        <w:ind w:left="720"/>
        <w:rPr>
          <w:rFonts w:ascii="Times New Roman" w:hAnsi="Times New Roman"/>
          <w:sz w:val="24"/>
          <w:szCs w:val="24"/>
        </w:rPr>
      </w:pPr>
      <w:r>
        <w:rPr>
          <w:rFonts w:ascii="Times New Roman" w:hAnsi="Times New Roman"/>
          <w:sz w:val="24"/>
          <w:szCs w:val="24"/>
        </w:rPr>
        <w:t>***</w:t>
      </w:r>
    </w:p>
    <w:p w14:paraId="1FF52C43" w14:textId="77777777" w:rsidR="00B1569B" w:rsidRDefault="00B1569B" w:rsidP="00B1569B">
      <w:pPr>
        <w:pStyle w:val="NoSpacing"/>
        <w:ind w:left="720"/>
        <w:rPr>
          <w:rFonts w:ascii="Times New Roman" w:hAnsi="Times New Roman"/>
          <w:sz w:val="24"/>
          <w:szCs w:val="24"/>
        </w:rPr>
      </w:pPr>
    </w:p>
    <w:p w14:paraId="1BAFD41E" w14:textId="77777777" w:rsidR="00B1569B" w:rsidRDefault="00B1569B" w:rsidP="00B1569B">
      <w:pPr>
        <w:pStyle w:val="NoSpacing"/>
        <w:ind w:left="720"/>
        <w:rPr>
          <w:rFonts w:ascii="Times New Roman" w:hAnsi="Times New Roman"/>
          <w:sz w:val="24"/>
          <w:szCs w:val="24"/>
        </w:rPr>
      </w:pPr>
      <w:r w:rsidRPr="009B574D">
        <w:rPr>
          <w:rFonts w:ascii="Times New Roman" w:hAnsi="Times New Roman"/>
          <w:sz w:val="24"/>
          <w:szCs w:val="24"/>
        </w:rPr>
        <w:t xml:space="preserve">Plaintiffs may file a first amended complaint to add these theories of liability. </w:t>
      </w:r>
    </w:p>
    <w:p w14:paraId="43694B34" w14:textId="77777777" w:rsidR="00B1569B" w:rsidRDefault="00B1569B" w:rsidP="00B1569B">
      <w:pPr>
        <w:pStyle w:val="NoSpacing"/>
        <w:ind w:left="720"/>
        <w:rPr>
          <w:rFonts w:ascii="Times New Roman" w:hAnsi="Times New Roman"/>
          <w:sz w:val="24"/>
          <w:szCs w:val="24"/>
        </w:rPr>
      </w:pPr>
      <w:r w:rsidRPr="009B574D">
        <w:rPr>
          <w:rFonts w:ascii="Times New Roman" w:hAnsi="Times New Roman"/>
          <w:sz w:val="24"/>
          <w:szCs w:val="24"/>
        </w:rPr>
        <w:t>But because</w:t>
      </w:r>
      <w:r>
        <w:rPr>
          <w:rFonts w:ascii="Times New Roman" w:hAnsi="Times New Roman"/>
          <w:sz w:val="24"/>
          <w:szCs w:val="24"/>
        </w:rPr>
        <w:t xml:space="preserve"> </w:t>
      </w:r>
      <w:r w:rsidRPr="009B574D">
        <w:rPr>
          <w:rFonts w:ascii="Times New Roman" w:hAnsi="Times New Roman"/>
          <w:sz w:val="24"/>
          <w:szCs w:val="24"/>
        </w:rPr>
        <w:t>Griffin’s additional claims</w:t>
      </w:r>
      <w:r>
        <w:rPr>
          <w:rFonts w:ascii="Times New Roman" w:hAnsi="Times New Roman"/>
          <w:sz w:val="24"/>
          <w:szCs w:val="24"/>
        </w:rPr>
        <w:t xml:space="preserve"> </w:t>
      </w:r>
      <w:r w:rsidRPr="009B574D">
        <w:rPr>
          <w:rFonts w:ascii="Times New Roman" w:hAnsi="Times New Roman"/>
          <w:sz w:val="24"/>
          <w:szCs w:val="24"/>
        </w:rPr>
        <w:t>and the allegations regarding the veteran’s preference are either</w:t>
      </w:r>
      <w:r>
        <w:rPr>
          <w:rFonts w:ascii="Times New Roman" w:hAnsi="Times New Roman"/>
          <w:sz w:val="24"/>
          <w:szCs w:val="24"/>
        </w:rPr>
        <w:t xml:space="preserve"> </w:t>
      </w:r>
      <w:r w:rsidRPr="009B574D">
        <w:rPr>
          <w:rFonts w:ascii="Times New Roman" w:hAnsi="Times New Roman"/>
          <w:sz w:val="24"/>
          <w:szCs w:val="24"/>
        </w:rPr>
        <w:t>unnecessary or depend on new factual allegations, Plaintiffs may not include these claims or</w:t>
      </w:r>
      <w:r>
        <w:rPr>
          <w:rFonts w:ascii="Times New Roman" w:hAnsi="Times New Roman"/>
          <w:sz w:val="24"/>
          <w:szCs w:val="24"/>
        </w:rPr>
        <w:t xml:space="preserve"> </w:t>
      </w:r>
      <w:r w:rsidRPr="009B574D">
        <w:rPr>
          <w:rFonts w:ascii="Times New Roman" w:hAnsi="Times New Roman"/>
          <w:sz w:val="24"/>
          <w:szCs w:val="24"/>
        </w:rPr>
        <w:t xml:space="preserve">allegations in their first amended </w:t>
      </w:r>
      <w:proofErr w:type="gramStart"/>
      <w:r w:rsidRPr="009B574D">
        <w:rPr>
          <w:rFonts w:ascii="Times New Roman" w:hAnsi="Times New Roman"/>
          <w:sz w:val="24"/>
          <w:szCs w:val="24"/>
        </w:rPr>
        <w:t>complaint.</w:t>
      </w:r>
      <w:r>
        <w:rPr>
          <w:rFonts w:ascii="Times New Roman" w:hAnsi="Times New Roman"/>
          <w:sz w:val="24"/>
          <w:szCs w:val="24"/>
        </w:rPr>
        <w:t>”</w:t>
      </w:r>
      <w:proofErr w:type="gramEnd"/>
      <w:r>
        <w:rPr>
          <w:rFonts w:ascii="Times New Roman" w:hAnsi="Times New Roman"/>
          <w:sz w:val="24"/>
          <w:szCs w:val="24"/>
        </w:rPr>
        <w:t xml:space="preserve">  </w:t>
      </w:r>
      <w:hyperlink r:id="rId1332" w:history="1">
        <w:r w:rsidRPr="008E4998">
          <w:rPr>
            <w:rStyle w:val="Hyperlink"/>
            <w:rFonts w:ascii="Times New Roman" w:hAnsi="Times New Roman"/>
            <w:sz w:val="24"/>
            <w:szCs w:val="24"/>
          </w:rPr>
          <w:t>https://cases.justia.com/federal/district-courts/illinois/ilndce/1:2016cv10156/332956/258/0.pdf?ts=1582820345</w:t>
        </w:r>
      </w:hyperlink>
      <w:r>
        <w:rPr>
          <w:rFonts w:ascii="Times New Roman" w:hAnsi="Times New Roman"/>
          <w:sz w:val="24"/>
          <w:szCs w:val="24"/>
        </w:rPr>
        <w:t xml:space="preserve"> </w:t>
      </w:r>
    </w:p>
    <w:p w14:paraId="3976EE98" w14:textId="77777777" w:rsidR="00B1569B" w:rsidRDefault="00B1569B" w:rsidP="00B1569B">
      <w:pPr>
        <w:pStyle w:val="NoSpacing"/>
        <w:rPr>
          <w:rFonts w:ascii="Times New Roman" w:hAnsi="Times New Roman"/>
          <w:sz w:val="24"/>
          <w:szCs w:val="24"/>
        </w:rPr>
      </w:pPr>
    </w:p>
    <w:p w14:paraId="3C4E74F6" w14:textId="77777777" w:rsidR="0061488E" w:rsidRPr="007F42F0" w:rsidRDefault="0061488E" w:rsidP="0061488E">
      <w:pPr>
        <w:pStyle w:val="NoSpacing"/>
        <w:rPr>
          <w:rFonts w:ascii="Times New Roman" w:hAnsi="Times New Roman"/>
          <w:b/>
          <w:bCs/>
          <w:sz w:val="24"/>
          <w:szCs w:val="24"/>
        </w:rPr>
      </w:pPr>
      <w:r w:rsidRPr="007F42F0">
        <w:rPr>
          <w:rFonts w:ascii="Times New Roman" w:hAnsi="Times New Roman"/>
          <w:b/>
          <w:bCs/>
          <w:sz w:val="24"/>
          <w:szCs w:val="24"/>
        </w:rPr>
        <w:t xml:space="preserve">Legal Lesson Learned: </w:t>
      </w:r>
      <w:r>
        <w:rPr>
          <w:rFonts w:ascii="Times New Roman" w:hAnsi="Times New Roman"/>
          <w:b/>
          <w:bCs/>
          <w:sz w:val="24"/>
          <w:szCs w:val="24"/>
        </w:rPr>
        <w:t xml:space="preserve">The pre-trial discovery may now proceed in this case seeking uncapped damages.  </w:t>
      </w:r>
    </w:p>
    <w:p w14:paraId="28E9CB40" w14:textId="77777777" w:rsidR="0061488E" w:rsidRDefault="0061488E" w:rsidP="0061488E">
      <w:pPr>
        <w:spacing w:before="100" w:beforeAutospacing="1" w:after="100" w:afterAutospacing="1" w:line="240" w:lineRule="auto"/>
        <w:ind w:left="360"/>
        <w:rPr>
          <w:rFonts w:ascii="Times New Roman" w:eastAsia="Times New Roman" w:hAnsi="Times New Roman"/>
          <w:sz w:val="24"/>
          <w:szCs w:val="24"/>
        </w:rPr>
      </w:pPr>
      <w:r>
        <w:rPr>
          <w:rFonts w:ascii="Times New Roman" w:eastAsia="Times New Roman" w:hAnsi="Times New Roman"/>
          <w:sz w:val="24"/>
          <w:szCs w:val="24"/>
        </w:rPr>
        <w:t>Note: Title VII of the Civil Right Act i</w:t>
      </w:r>
      <w:r w:rsidRPr="00253890">
        <w:rPr>
          <w:rFonts w:ascii="Times New Roman" w:eastAsia="Times New Roman" w:hAnsi="Times New Roman"/>
          <w:sz w:val="24"/>
          <w:szCs w:val="24"/>
        </w:rPr>
        <w:t xml:space="preserve">s subject to the following </w:t>
      </w:r>
      <w:r>
        <w:rPr>
          <w:rFonts w:ascii="Times New Roman" w:eastAsia="Times New Roman" w:hAnsi="Times New Roman"/>
          <w:sz w:val="24"/>
          <w:szCs w:val="24"/>
        </w:rPr>
        <w:t xml:space="preserve">statutory </w:t>
      </w:r>
      <w:r w:rsidRPr="00253890">
        <w:rPr>
          <w:rFonts w:ascii="Times New Roman" w:eastAsia="Times New Roman" w:hAnsi="Times New Roman"/>
          <w:sz w:val="24"/>
          <w:szCs w:val="24"/>
        </w:rPr>
        <w:t>caps</w:t>
      </w:r>
      <w:r>
        <w:rPr>
          <w:rFonts w:ascii="Times New Roman" w:eastAsia="Times New Roman" w:hAnsi="Times New Roman"/>
          <w:sz w:val="24"/>
          <w:szCs w:val="24"/>
        </w:rPr>
        <w:t>.</w:t>
      </w:r>
    </w:p>
    <w:p w14:paraId="2C270D79" w14:textId="77777777" w:rsidR="0061488E" w:rsidRDefault="0061488E" w:rsidP="0061488E">
      <w:pPr>
        <w:pStyle w:val="NormalWeb"/>
        <w:ind w:left="360"/>
      </w:pPr>
      <w:r>
        <w:rPr>
          <w:b/>
          <w:bCs/>
        </w:rPr>
        <w:lastRenderedPageBreak/>
        <w:t>“</w:t>
      </w:r>
      <w:r>
        <w:t xml:space="preserve">Statutory caps limits </w:t>
      </w:r>
      <w:proofErr w:type="gramStart"/>
      <w:r>
        <w:t>exists</w:t>
      </w:r>
      <w:proofErr w:type="gramEnd"/>
      <w:r>
        <w:t xml:space="preserve"> for combined awards of front pay, punitive damages, and compensatory damages. The </w:t>
      </w:r>
      <w:hyperlink r:id="rId1333" w:tgtFrame="_blank" w:tooltip="Title VII Damage Caps: Calculating Your Maximum Exposure" w:history="1">
        <w:r>
          <w:rPr>
            <w:rStyle w:val="Hyperlink"/>
          </w:rPr>
          <w:t>caps</w:t>
        </w:r>
      </w:hyperlink>
      <w:r>
        <w:t xml:space="preserve"> are based upon the number of employees employed by the employer against whom the charge of discrimination has been made. The caps are as follows:</w:t>
      </w:r>
    </w:p>
    <w:p w14:paraId="713CAFC6" w14:textId="77777777" w:rsidR="0061488E" w:rsidRPr="009244F8"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more than fourteen (14) and less than one hundred and one (101) employees in each of twenty (20) or more calendar weeks in the current or preceding year the cap is $50,000;</w:t>
      </w:r>
    </w:p>
    <w:p w14:paraId="40303072" w14:textId="77777777" w:rsidR="0061488E" w:rsidRPr="009244F8"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more than one hundred (100) but fewer than two hundred and one (201) employees, the cap is $100,000;</w:t>
      </w:r>
    </w:p>
    <w:p w14:paraId="13BF6673" w14:textId="77777777" w:rsidR="0061488E" w:rsidRPr="009244F8"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more than two hundred (200) employees but fewer than five hundred and one (501) employees, the cap is $200,000; and</w:t>
      </w:r>
    </w:p>
    <w:p w14:paraId="30CA05DF" w14:textId="77777777" w:rsidR="0061488E"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an employer with more than five hundred (500) employees, the cap is $300,000.</w:t>
      </w:r>
      <w:r>
        <w:rPr>
          <w:rFonts w:ascii="Times New Roman" w:hAnsi="Times New Roman"/>
          <w:sz w:val="24"/>
          <w:szCs w:val="24"/>
        </w:rPr>
        <w:t>”</w:t>
      </w:r>
    </w:p>
    <w:p w14:paraId="51500969" w14:textId="77777777" w:rsidR="0061488E" w:rsidRDefault="0061488E" w:rsidP="0061488E">
      <w:pPr>
        <w:spacing w:before="100" w:beforeAutospacing="1" w:after="100" w:afterAutospacing="1"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Note:  Judge Ellis is also assigned to the separate lawsuit by Donna Griffin.  On Jan. 22, 2024, the Judge ruled: </w:t>
      </w:r>
    </w:p>
    <w:p w14:paraId="0685F357" w14:textId="77777777" w:rsidR="0061488E" w:rsidRDefault="0061488E" w:rsidP="0061488E">
      <w:pPr>
        <w:pStyle w:val="NormalWeb"/>
        <w:ind w:left="720"/>
        <w:rPr>
          <w:b/>
          <w:bCs/>
          <w:sz w:val="40"/>
          <w:szCs w:val="40"/>
        </w:rPr>
      </w:pPr>
      <w:r w:rsidRPr="000F0881">
        <w:t>“Because Griffin presents sufficient evidence to establish a dispute of fact as to whether she was a qualified individual and whether her disability caused her termination from the Academy, the Court denies the City's motion as to Griffin's discrimination claim under the ADA and IHRA. However, because Griffin cannot present admissible evidence that she made a request for accommodation, the Court grants the City's motion as to Griffin's reasonable accommodation claim under the ADA and IHRA.”</w:t>
      </w:r>
      <w:r>
        <w:t xml:space="preserve"> </w:t>
      </w:r>
      <w:hyperlink r:id="rId1334" w:history="1">
        <w:r w:rsidRPr="00663E4B">
          <w:rPr>
            <w:rStyle w:val="Hyperlink"/>
          </w:rPr>
          <w:t>https://public.fastcase.com/ZZhmr5v9wN%2FXOe5IsQ%2FqD6X8aBICmIyWVJScKPpCyRhR7mDWsTx8EU8Grq%2B%2B4ZtL7A%2BZetNPKoBujU7we%2BcNkmURNKpv4aGWRHQtd1T1moA%3D?utm_medium=email&amp;_hsmi=226712652&amp;_hsenc=p2ANqtz-9OBKIBZDi8r8oE28UFobupYGxopyoQah8HvX1c9zj34g5f00t_mZAGDNIEFbeFR3R6TbvecwhsL2yyD5Q92lFJJe2-2g&amp;utm_content=226712652&amp;utm_source=hs_email</w:t>
        </w:r>
      </w:hyperlink>
    </w:p>
    <w:p w14:paraId="3BCE06A6" w14:textId="77777777" w:rsidR="00B1569B" w:rsidRDefault="00B1569B" w:rsidP="00F326E5">
      <w:pPr>
        <w:pStyle w:val="NoSpacing"/>
        <w:rPr>
          <w:rFonts w:ascii="Arial Black" w:hAnsi="Arial Black"/>
          <w:b/>
          <w:bCs/>
          <w:sz w:val="24"/>
          <w:szCs w:val="24"/>
        </w:rPr>
      </w:pPr>
    </w:p>
    <w:p w14:paraId="5E091E36" w14:textId="77777777" w:rsidR="002C6181" w:rsidRDefault="002C6181" w:rsidP="00F326E5">
      <w:pPr>
        <w:pStyle w:val="NoSpacing"/>
        <w:rPr>
          <w:rFonts w:ascii="Arial Black" w:hAnsi="Arial Black"/>
          <w:b/>
          <w:bCs/>
          <w:sz w:val="24"/>
          <w:szCs w:val="24"/>
        </w:rPr>
      </w:pPr>
    </w:p>
    <w:p w14:paraId="042CA2DF" w14:textId="77777777" w:rsidR="002C6181" w:rsidRDefault="002C6181" w:rsidP="00F326E5">
      <w:pPr>
        <w:pStyle w:val="NoSpacing"/>
        <w:rPr>
          <w:rFonts w:ascii="Arial Black" w:hAnsi="Arial Black"/>
          <w:b/>
          <w:bCs/>
          <w:sz w:val="24"/>
          <w:szCs w:val="24"/>
        </w:rPr>
      </w:pPr>
    </w:p>
    <w:p w14:paraId="7D2D6394" w14:textId="1ED8F49B" w:rsidR="00820998" w:rsidRDefault="00820998" w:rsidP="00F326E5">
      <w:pPr>
        <w:pStyle w:val="NoSpacing"/>
        <w:rPr>
          <w:rFonts w:ascii="Arial Black" w:hAnsi="Arial Black"/>
          <w:b/>
          <w:bCs/>
          <w:sz w:val="24"/>
          <w:szCs w:val="24"/>
        </w:rPr>
      </w:pPr>
      <w:r>
        <w:rPr>
          <w:rFonts w:ascii="Arial Black" w:hAnsi="Arial Black"/>
          <w:b/>
          <w:bCs/>
          <w:sz w:val="24"/>
          <w:szCs w:val="24"/>
        </w:rPr>
        <w:t>7-56</w:t>
      </w:r>
    </w:p>
    <w:p w14:paraId="354578E4" w14:textId="77777777" w:rsidR="00C37775" w:rsidRDefault="00C37775" w:rsidP="00C37775">
      <w:pPr>
        <w:pStyle w:val="NormalWeb"/>
        <w:rPr>
          <w:rFonts w:ascii="Arial Black" w:hAnsi="Arial Black"/>
          <w:b/>
          <w:bCs/>
          <w:sz w:val="28"/>
          <w:szCs w:val="28"/>
        </w:rPr>
      </w:pPr>
      <w:r>
        <w:rPr>
          <w:rFonts w:ascii="Arial Black" w:hAnsi="Arial Black"/>
          <w:b/>
          <w:bCs/>
          <w:sz w:val="28"/>
          <w:szCs w:val="28"/>
        </w:rPr>
        <w:t>OH: TRANSGENDER WOMAN / EMT – FIRED FOR SOCIAL MEDIA POSTS / OUTBURST HOSP - CASE DISMISSED</w:t>
      </w:r>
    </w:p>
    <w:p w14:paraId="453B8271" w14:textId="77777777" w:rsidR="00C37775" w:rsidRDefault="00C37775" w:rsidP="00C37775">
      <w:pPr>
        <w:pStyle w:val="NormalWeb"/>
      </w:pPr>
      <w:r w:rsidRPr="00DA2452">
        <w:t>On Dec. 28, 2023</w:t>
      </w:r>
      <w:r>
        <w:t xml:space="preserve">, </w:t>
      </w:r>
      <w:r w:rsidRPr="00DA2452">
        <w:t xml:space="preserve">in </w:t>
      </w:r>
      <w:r w:rsidRPr="00DA2452">
        <w:rPr>
          <w:u w:val="single"/>
        </w:rPr>
        <w:t>Rayne Fedder v. Ohio Medical Transportation, Inc</w:t>
      </w:r>
      <w:r>
        <w:t xml:space="preserve">., U.S. District Court Judge Sarah D. Morrison, U.S. District Court for Southern District of Ohio, Eastern Division, granted the employer’s motion to dismiss; judge overturned recommendation by U.S. Magistrate judge that her ADA claim that she “appeared” as disabled.   </w:t>
      </w:r>
      <w:hyperlink r:id="rId1335" w:history="1">
        <w:r w:rsidRPr="003C00DD">
          <w:rPr>
            <w:rStyle w:val="Hyperlink"/>
          </w:rPr>
          <w:t>https://public.fastcase.com/ZZhmr5v9wN%2FXOe5IsQ%2FqD9BUVBv1kUZp9ZGh4udwVOZOikyKuqCQ4FBlGwYEPhOQ?utm_medium=email&amp;_hsmi=226712652&amp;_hsenc=p2ANqtz-8T0ew8oNT-12TbgKrs2ORAj7WbRAGASG77xIYUvebbTcAbFOuK4r9xkTZLpSPqAw77_8KgP47FqlehaZADxsQlpR3k0g&amp;utm_content=226712652&amp;utm_source=hs_email</w:t>
        </w:r>
      </w:hyperlink>
      <w:r>
        <w:t xml:space="preserve"> </w:t>
      </w:r>
    </w:p>
    <w:p w14:paraId="689DA17C" w14:textId="77777777" w:rsidR="007F6B94" w:rsidRPr="00D6645E" w:rsidRDefault="007F6B94" w:rsidP="007F6B94">
      <w:pPr>
        <w:pStyle w:val="NormalWeb"/>
        <w:rPr>
          <w:b/>
          <w:bCs/>
        </w:rPr>
      </w:pPr>
      <w:r w:rsidRPr="00D6645E">
        <w:rPr>
          <w:b/>
          <w:bCs/>
        </w:rPr>
        <w:t xml:space="preserve">Legal Lesson Learned: </w:t>
      </w:r>
      <w:r>
        <w:rPr>
          <w:b/>
          <w:bCs/>
        </w:rPr>
        <w:t xml:space="preserve">The Supervisor wisely told co-workers to keep am “open mind.” </w:t>
      </w:r>
    </w:p>
    <w:p w14:paraId="606F9F77" w14:textId="77777777" w:rsidR="00C37775" w:rsidRDefault="00C37775" w:rsidP="00F326E5">
      <w:pPr>
        <w:pStyle w:val="NoSpacing"/>
        <w:rPr>
          <w:rFonts w:ascii="Arial Black" w:hAnsi="Arial Black"/>
          <w:b/>
          <w:bCs/>
          <w:sz w:val="24"/>
          <w:szCs w:val="24"/>
        </w:rPr>
      </w:pPr>
    </w:p>
    <w:p w14:paraId="59411A51" w14:textId="77777777" w:rsidR="00820998" w:rsidRDefault="00820998" w:rsidP="00F326E5">
      <w:pPr>
        <w:pStyle w:val="NoSpacing"/>
        <w:rPr>
          <w:rFonts w:ascii="Arial Black" w:hAnsi="Arial Black"/>
          <w:b/>
          <w:bCs/>
          <w:sz w:val="24"/>
          <w:szCs w:val="24"/>
        </w:rPr>
      </w:pPr>
    </w:p>
    <w:p w14:paraId="4467A0D5" w14:textId="5152317B" w:rsidR="00AC3E10" w:rsidRDefault="00AC3E10" w:rsidP="00F326E5">
      <w:pPr>
        <w:pStyle w:val="NoSpacing"/>
        <w:rPr>
          <w:rFonts w:ascii="Arial Black" w:hAnsi="Arial Black"/>
          <w:b/>
          <w:bCs/>
          <w:sz w:val="24"/>
          <w:szCs w:val="24"/>
        </w:rPr>
      </w:pPr>
      <w:r>
        <w:rPr>
          <w:rFonts w:ascii="Arial Black" w:hAnsi="Arial Black"/>
          <w:b/>
          <w:bCs/>
          <w:sz w:val="24"/>
          <w:szCs w:val="24"/>
        </w:rPr>
        <w:t>7-55</w:t>
      </w:r>
    </w:p>
    <w:p w14:paraId="03CF5697" w14:textId="77777777" w:rsidR="00AC3E10" w:rsidRPr="00A151D3" w:rsidRDefault="00AC3E10" w:rsidP="00AC3E10">
      <w:pPr>
        <w:pStyle w:val="NormalWeb"/>
        <w:rPr>
          <w:rFonts w:ascii="Arial Black" w:hAnsi="Arial Black"/>
          <w:sz w:val="28"/>
          <w:szCs w:val="28"/>
        </w:rPr>
      </w:pPr>
      <w:r>
        <w:rPr>
          <w:rFonts w:ascii="Arial Black" w:hAnsi="Arial Black"/>
          <w:sz w:val="28"/>
          <w:szCs w:val="28"/>
        </w:rPr>
        <w:lastRenderedPageBreak/>
        <w:t>CT: FEMALE BAT. CHIEF NOT PROMOTED A/C – JOB DESC. CHANGED - WRITTEN EXAM DROPPED – CASE PROCEED</w:t>
      </w:r>
    </w:p>
    <w:p w14:paraId="443983CC" w14:textId="77777777" w:rsidR="00AC3E10" w:rsidRDefault="00AC3E10" w:rsidP="00AC3E10">
      <w:pPr>
        <w:pStyle w:val="NormalWeb"/>
      </w:pPr>
      <w:r>
        <w:rPr>
          <w:rFonts w:eastAsiaTheme="minorHAnsi"/>
          <w:kern w:val="2"/>
          <w14:ligatures w14:val="standardContextual"/>
        </w:rPr>
        <w:t xml:space="preserve">On Aug. 14, 2023, in </w:t>
      </w:r>
      <w:r w:rsidRPr="00C14243">
        <w:rPr>
          <w:rFonts w:eastAsiaTheme="minorHAnsi"/>
          <w:kern w:val="2"/>
          <w:u w:val="single"/>
          <w14:ligatures w14:val="standardContextual"/>
        </w:rPr>
        <w:t>Eileen Parlato v. Town of East Haven and East Haven Fire Department</w:t>
      </w:r>
      <w:r>
        <w:rPr>
          <w:rFonts w:eastAsiaTheme="minorHAnsi"/>
          <w:kern w:val="2"/>
          <w14:ligatures w14:val="standardContextual"/>
        </w:rPr>
        <w:t xml:space="preserve">, U.S. District Court Judge </w:t>
      </w:r>
      <w:r>
        <w:t xml:space="preserve">Sarala V. </w:t>
      </w:r>
      <w:proofErr w:type="spellStart"/>
      <w:r>
        <w:t>Nagala</w:t>
      </w:r>
      <w:proofErr w:type="spellEnd"/>
      <w:r>
        <w:t xml:space="preserve"> denied in part the Town’s motion to dismiss, holding that the now-retired Battalion Chief, with 29 years on the Fire Department, may proceed with her equal protection / gender discrimination claim that she was not promoted to Assistant Fire Chief in November 2021 because the Fire Chief changed promotion process (including no written exam), she was never presented to the Board of Fire Commissioners, which selected another Battalion Chief with much less experience. </w:t>
      </w:r>
    </w:p>
    <w:p w14:paraId="6D81F1A3" w14:textId="77777777" w:rsidR="00AC3E10" w:rsidRDefault="00AC3E10" w:rsidP="00AC3E10">
      <w:pPr>
        <w:pStyle w:val="NormalWeb"/>
      </w:pPr>
      <w:r>
        <w:tab/>
        <w:t>The Judge held that the complaint identifies specific changes made by the Fire Chief.</w:t>
      </w:r>
    </w:p>
    <w:p w14:paraId="2D1FF3D3" w14:textId="77777777" w:rsidR="00AC3E10" w:rsidRDefault="00AC3E10" w:rsidP="00AC3E10">
      <w:pPr>
        <w:pStyle w:val="NormalWeb"/>
        <w:ind w:left="720"/>
        <w:rPr>
          <w:rFonts w:eastAsiaTheme="minorHAnsi"/>
          <w:kern w:val="2"/>
          <w14:ligatures w14:val="standardContextual"/>
        </w:rPr>
      </w:pPr>
      <w:r>
        <w:rPr>
          <w:rFonts w:eastAsiaTheme="minorHAnsi"/>
          <w:kern w:val="2"/>
          <w14:ligatures w14:val="standardContextual"/>
        </w:rPr>
        <w:t>“</w:t>
      </w:r>
      <w:r w:rsidRPr="00353B08">
        <w:rPr>
          <w:rFonts w:eastAsiaTheme="minorHAnsi"/>
          <w:kern w:val="2"/>
          <w14:ligatures w14:val="standardContextual"/>
        </w:rPr>
        <w:t xml:space="preserve">The Court next concludes, however, that Plaintiff has plausibly alleged a </w:t>
      </w:r>
      <w:r w:rsidRPr="00353B08">
        <w:rPr>
          <w:rFonts w:eastAsiaTheme="minorHAnsi"/>
          <w:i/>
          <w:iCs/>
          <w:kern w:val="2"/>
          <w14:ligatures w14:val="standardContextual"/>
        </w:rPr>
        <w:t>Monell</w:t>
      </w:r>
      <w:r w:rsidRPr="00353B08">
        <w:rPr>
          <w:rFonts w:eastAsiaTheme="minorHAnsi"/>
          <w:kern w:val="2"/>
          <w14:ligatures w14:val="standardContextual"/>
        </w:rPr>
        <w:t xml:space="preserve"> claim for gender discrimination under the theory that Marcarelli was a final policymaker with respect to the decisions he made that prevented Plaintiff from being considered by the Board of Fire Commissioners for the Assistant Chief position. </w:t>
      </w:r>
      <w:proofErr w:type="spellStart"/>
      <w:r w:rsidRPr="00353B08">
        <w:rPr>
          <w:rFonts w:eastAsiaTheme="minorHAnsi"/>
          <w:kern w:val="2"/>
          <w14:ligatures w14:val="standardContextual"/>
        </w:rPr>
        <w:t>Compl</w:t>
      </w:r>
      <w:proofErr w:type="spellEnd"/>
      <w:r w:rsidRPr="00353B08">
        <w:rPr>
          <w:rFonts w:eastAsiaTheme="minorHAnsi"/>
          <w:kern w:val="2"/>
          <w14:ligatures w14:val="standardContextual"/>
        </w:rPr>
        <w:t>. ¶ 116.</w:t>
      </w:r>
    </w:p>
    <w:p w14:paraId="3DD9B800" w14:textId="77777777" w:rsidR="00AC3E10" w:rsidRDefault="00AC3E10" w:rsidP="00AC3E10">
      <w:pPr>
        <w:pStyle w:val="NormalWeb"/>
        <w:ind w:left="720"/>
      </w:pPr>
      <w:r>
        <w:rPr>
          <w:rFonts w:eastAsiaTheme="minorHAnsi"/>
          <w:kern w:val="2"/>
          <w14:ligatures w14:val="standardContextual"/>
        </w:rPr>
        <w:t>***</w:t>
      </w:r>
    </w:p>
    <w:p w14:paraId="6474A360" w14:textId="77777777" w:rsidR="00AC3E10" w:rsidRDefault="00AC3E10" w:rsidP="00AC3E10">
      <w:pPr>
        <w:spacing w:before="100" w:beforeAutospacing="1" w:after="100" w:afterAutospacing="1" w:line="240" w:lineRule="auto"/>
        <w:ind w:left="720"/>
        <w:rPr>
          <w:rFonts w:ascii="Times New Roman" w:hAnsi="Times New Roman"/>
          <w:sz w:val="24"/>
          <w:szCs w:val="24"/>
        </w:rPr>
      </w:pPr>
      <w:r w:rsidRPr="00C14243">
        <w:rPr>
          <w:rFonts w:ascii="Times New Roman" w:hAnsi="Times New Roman"/>
          <w:sz w:val="24"/>
          <w:szCs w:val="24"/>
        </w:rPr>
        <w:t xml:space="preserve">Specifically, the Assistant Chief job posting stated that an external candidate required ten years of supervisory experience, but that an internal candidate required only ten years with the EHFD, regardless of whether the candidate had any supervisory experience during that time. </w:t>
      </w:r>
      <w:r w:rsidRPr="00C14243">
        <w:rPr>
          <w:rFonts w:ascii="Times New Roman" w:hAnsi="Times New Roman"/>
          <w:i/>
          <w:iCs/>
          <w:sz w:val="24"/>
          <w:szCs w:val="24"/>
        </w:rPr>
        <w:t>Id.</w:t>
      </w:r>
      <w:r w:rsidRPr="00C14243">
        <w:rPr>
          <w:rFonts w:ascii="Times New Roman" w:hAnsi="Times New Roman"/>
          <w:sz w:val="24"/>
          <w:szCs w:val="24"/>
        </w:rPr>
        <w:t xml:space="preserve"> In addition, </w:t>
      </w:r>
      <w:r>
        <w:rPr>
          <w:rFonts w:ascii="Times New Roman" w:hAnsi="Times New Roman"/>
          <w:sz w:val="24"/>
          <w:szCs w:val="24"/>
        </w:rPr>
        <w:t xml:space="preserve">[Fire Chief] </w:t>
      </w:r>
      <w:r w:rsidRPr="00C14243">
        <w:rPr>
          <w:rFonts w:ascii="Times New Roman" w:hAnsi="Times New Roman"/>
          <w:sz w:val="24"/>
          <w:szCs w:val="24"/>
        </w:rPr>
        <w:t xml:space="preserve">Marcarelli changed the format of the Assistant Chief hiring process by setting only an oral exam and eliminating the typical written exam requirement, despite that Plaintiff had historically performed well on written exams. </w:t>
      </w:r>
      <w:r w:rsidRPr="00C14243">
        <w:rPr>
          <w:rFonts w:ascii="Times New Roman" w:hAnsi="Times New Roman"/>
          <w:i/>
          <w:iCs/>
          <w:sz w:val="24"/>
          <w:szCs w:val="24"/>
        </w:rPr>
        <w:t>Id.</w:t>
      </w:r>
      <w:r w:rsidRPr="00C14243">
        <w:rPr>
          <w:rFonts w:ascii="Times New Roman" w:hAnsi="Times New Roman"/>
          <w:sz w:val="24"/>
          <w:szCs w:val="24"/>
        </w:rPr>
        <w:t xml:space="preserve"> ¶ 53. Marcarelli also selected the individuals who would comprise the panel of interviewers for the oral exam. </w:t>
      </w:r>
      <w:r w:rsidRPr="00C14243">
        <w:rPr>
          <w:rFonts w:ascii="Times New Roman" w:hAnsi="Times New Roman"/>
          <w:i/>
          <w:iCs/>
          <w:sz w:val="24"/>
          <w:szCs w:val="24"/>
        </w:rPr>
        <w:t>Id.</w:t>
      </w:r>
      <w:r w:rsidRPr="00C14243">
        <w:rPr>
          <w:rFonts w:ascii="Times New Roman" w:hAnsi="Times New Roman"/>
          <w:sz w:val="24"/>
          <w:szCs w:val="24"/>
        </w:rPr>
        <w:t xml:space="preserve"> ¶ 54.</w:t>
      </w:r>
    </w:p>
    <w:p w14:paraId="69AC8FBC" w14:textId="77777777" w:rsidR="00AC3E10" w:rsidRDefault="00AC3E10" w:rsidP="00AC3E10">
      <w:pPr>
        <w:spacing w:before="100" w:beforeAutospacing="1" w:after="100" w:afterAutospacing="1" w:line="240" w:lineRule="auto"/>
        <w:ind w:left="720"/>
      </w:pPr>
      <w:r>
        <w:rPr>
          <w:rFonts w:ascii="Times New Roman" w:hAnsi="Times New Roman"/>
          <w:sz w:val="24"/>
          <w:szCs w:val="24"/>
        </w:rPr>
        <w:t>***</w:t>
      </w:r>
    </w:p>
    <w:p w14:paraId="0BC44673" w14:textId="1C1314C9" w:rsidR="00AC3E10" w:rsidRPr="00AC3E10" w:rsidRDefault="00AC3E10" w:rsidP="00AC3E10">
      <w:pPr>
        <w:pStyle w:val="NoSpacing"/>
        <w:ind w:left="720"/>
        <w:rPr>
          <w:rFonts w:ascii="Times New Roman" w:hAnsi="Times New Roman"/>
          <w:b/>
          <w:bCs/>
          <w:sz w:val="24"/>
          <w:szCs w:val="24"/>
        </w:rPr>
      </w:pPr>
      <w:r w:rsidRPr="00AC3E10">
        <w:rPr>
          <w:rFonts w:ascii="Times New Roman" w:hAnsi="Times New Roman"/>
          <w:sz w:val="24"/>
          <w:szCs w:val="24"/>
        </w:rPr>
        <w:t xml:space="preserve">Importantly, the complaint alleges that Marcarelli </w:t>
      </w:r>
      <w:r w:rsidRPr="00AC3E10">
        <w:rPr>
          <w:rStyle w:val="Emphasis"/>
          <w:rFonts w:ascii="Times New Roman" w:eastAsiaTheme="majorEastAsia" w:hAnsi="Times New Roman"/>
          <w:sz w:val="24"/>
          <w:szCs w:val="24"/>
        </w:rPr>
        <w:t>drafted</w:t>
      </w:r>
      <w:r w:rsidRPr="00AC3E10">
        <w:rPr>
          <w:rFonts w:ascii="Times New Roman" w:hAnsi="Times New Roman"/>
          <w:sz w:val="24"/>
          <w:szCs w:val="24"/>
        </w:rPr>
        <w:t xml:space="preserve"> the job description, </w:t>
      </w:r>
      <w:r w:rsidRPr="00AC3E10">
        <w:rPr>
          <w:rStyle w:val="Emphasis"/>
          <w:rFonts w:ascii="Times New Roman" w:eastAsiaTheme="majorEastAsia" w:hAnsi="Times New Roman"/>
          <w:sz w:val="24"/>
          <w:szCs w:val="24"/>
        </w:rPr>
        <w:t>eliminated</w:t>
      </w:r>
      <w:r w:rsidRPr="00AC3E10">
        <w:rPr>
          <w:rFonts w:ascii="Times New Roman" w:hAnsi="Times New Roman"/>
          <w:sz w:val="24"/>
          <w:szCs w:val="24"/>
        </w:rPr>
        <w:t xml:space="preserve"> the written exam requirement, and </w:t>
      </w:r>
      <w:r w:rsidRPr="00AC3E10">
        <w:rPr>
          <w:rStyle w:val="Emphasis"/>
          <w:rFonts w:ascii="Times New Roman" w:eastAsiaTheme="majorEastAsia" w:hAnsi="Times New Roman"/>
          <w:sz w:val="24"/>
          <w:szCs w:val="24"/>
        </w:rPr>
        <w:t>hand-picked</w:t>
      </w:r>
      <w:r w:rsidRPr="00AC3E10">
        <w:rPr>
          <w:rFonts w:ascii="Times New Roman" w:hAnsi="Times New Roman"/>
          <w:sz w:val="24"/>
          <w:szCs w:val="24"/>
        </w:rPr>
        <w:t xml:space="preserve"> the interviewers. </w:t>
      </w:r>
      <w:proofErr w:type="spellStart"/>
      <w:r w:rsidRPr="00AC3E10">
        <w:rPr>
          <w:rFonts w:ascii="Times New Roman" w:hAnsi="Times New Roman"/>
          <w:sz w:val="24"/>
          <w:szCs w:val="24"/>
        </w:rPr>
        <w:t>Compl</w:t>
      </w:r>
      <w:proofErr w:type="spellEnd"/>
      <w:r w:rsidRPr="00AC3E10">
        <w:rPr>
          <w:rFonts w:ascii="Times New Roman" w:hAnsi="Times New Roman"/>
          <w:sz w:val="24"/>
          <w:szCs w:val="24"/>
        </w:rPr>
        <w:t>. ¶¶ 48, 53-54.</w:t>
      </w:r>
      <w:r w:rsidRPr="00AC3E10">
        <w:rPr>
          <w:rFonts w:ascii="Times New Roman" w:hAnsi="Times New Roman"/>
          <w:sz w:val="24"/>
          <w:szCs w:val="24"/>
          <w:vertAlign w:val="superscript"/>
        </w:rPr>
        <w:t>[</w:t>
      </w:r>
      <w:hyperlink r:id="rId1336" w:anchor="ftn.FN8" w:history="1">
        <w:r w:rsidRPr="00AC3E10">
          <w:rPr>
            <w:rStyle w:val="Hyperlink"/>
            <w:rFonts w:ascii="Times New Roman" w:eastAsiaTheme="majorEastAsia" w:hAnsi="Times New Roman"/>
            <w:sz w:val="24"/>
            <w:szCs w:val="24"/>
            <w:vertAlign w:val="superscript"/>
          </w:rPr>
          <w:t>8</w:t>
        </w:r>
      </w:hyperlink>
      <w:r w:rsidRPr="00AC3E10">
        <w:rPr>
          <w:rFonts w:ascii="Times New Roman" w:hAnsi="Times New Roman"/>
          <w:sz w:val="24"/>
          <w:szCs w:val="24"/>
          <w:vertAlign w:val="superscript"/>
        </w:rPr>
        <w:t>]</w:t>
      </w:r>
      <w:r w:rsidRPr="00AC3E10">
        <w:rPr>
          <w:rFonts w:ascii="Times New Roman" w:hAnsi="Times New Roman"/>
          <w:sz w:val="24"/>
          <w:szCs w:val="24"/>
        </w:rPr>
        <w:t xml:space="preserve"> To the extent further discovery reveals that those decisions were reviewable by the Board of Fire Commissioners, or to the extent that further research demonstrates that the authority to make those decisions was vested in the Board or some other person or entity, Plaintiff may not ultimately prevail on this theory of her </w:t>
      </w:r>
      <w:r w:rsidRPr="00AC3E10">
        <w:rPr>
          <w:rStyle w:val="Emphasis"/>
          <w:rFonts w:ascii="Times New Roman" w:eastAsiaTheme="majorEastAsia" w:hAnsi="Times New Roman"/>
          <w:sz w:val="24"/>
          <w:szCs w:val="24"/>
        </w:rPr>
        <w:t>Monell</w:t>
      </w:r>
      <w:r w:rsidRPr="00AC3E10">
        <w:rPr>
          <w:rFonts w:ascii="Times New Roman" w:hAnsi="Times New Roman"/>
          <w:sz w:val="24"/>
          <w:szCs w:val="24"/>
        </w:rPr>
        <w:t xml:space="preserve"> claim.” </w:t>
      </w:r>
      <w:hyperlink r:id="rId1337" w:history="1">
        <w:r w:rsidRPr="00AC3E10">
          <w:rPr>
            <w:rStyle w:val="Hyperlink"/>
            <w:rFonts w:ascii="Times New Roman" w:eastAsiaTheme="majorEastAsia" w:hAnsi="Times New Roman"/>
            <w:sz w:val="24"/>
            <w:szCs w:val="24"/>
          </w:rPr>
          <w:t>https://public.fastcase.com/ZZhmr5v9wN%2FXOe5IsQ%2FqD%2FNGb7gFooJuC7EPCkPbb8zYGJ%2BdPMtTRazA4SgxbA0Hq%2Bqtj6iK5eurCbJj4Cn6ySK1qzuHHpkHA9cN2Vx6eWo%3D?utm_medium=email&amp;_hsmi=226712652&amp;_hsenc=p2ANqtz-_M4ZQ75NqvFrlpX3gz1MCu7xTgTM0sg-yZbWDDZft-2cApXVRPMU-C3jBD2GmP4Ff9YuyLw19xTYwQuDOoCvQcSGp93w&amp;utm_content=226712652&amp;utm_source=hs_email</w:t>
        </w:r>
      </w:hyperlink>
    </w:p>
    <w:p w14:paraId="36EDDD30" w14:textId="77777777" w:rsidR="00AC3E10" w:rsidRDefault="00AC3E10" w:rsidP="00F326E5">
      <w:pPr>
        <w:pStyle w:val="NoSpacing"/>
        <w:rPr>
          <w:rFonts w:ascii="Arial Black" w:hAnsi="Arial Black"/>
          <w:b/>
          <w:bCs/>
          <w:sz w:val="24"/>
          <w:szCs w:val="24"/>
        </w:rPr>
      </w:pPr>
    </w:p>
    <w:p w14:paraId="0F8D2805" w14:textId="77777777" w:rsidR="00AC3E10" w:rsidRPr="00353B08" w:rsidRDefault="00AC3E10" w:rsidP="00AC3E10">
      <w:pPr>
        <w:pStyle w:val="NormalWeb"/>
        <w:rPr>
          <w:b/>
          <w:bCs/>
        </w:rPr>
      </w:pPr>
      <w:r w:rsidRPr="00353B08">
        <w:rPr>
          <w:rFonts w:eastAsiaTheme="minorHAnsi"/>
          <w:b/>
          <w:bCs/>
          <w:kern w:val="2"/>
          <w14:ligatures w14:val="standardContextual"/>
        </w:rPr>
        <w:t xml:space="preserve">Legal Lesson Learned: </w:t>
      </w:r>
      <w:r>
        <w:rPr>
          <w:rFonts w:eastAsiaTheme="minorHAnsi"/>
          <w:b/>
          <w:bCs/>
          <w:kern w:val="2"/>
          <w14:ligatures w14:val="standardContextual"/>
        </w:rPr>
        <w:t xml:space="preserve">Lawsuit will now proceed with pre-trial discovery.  Be very cautious in changing the promotion process. </w:t>
      </w:r>
    </w:p>
    <w:p w14:paraId="09EA451C" w14:textId="77777777" w:rsidR="00AC3E10" w:rsidRDefault="00AC3E10" w:rsidP="00F326E5">
      <w:pPr>
        <w:pStyle w:val="NoSpacing"/>
        <w:rPr>
          <w:rFonts w:ascii="Arial Black" w:hAnsi="Arial Black"/>
          <w:b/>
          <w:bCs/>
          <w:sz w:val="24"/>
          <w:szCs w:val="24"/>
        </w:rPr>
      </w:pPr>
    </w:p>
    <w:p w14:paraId="1A2EC069" w14:textId="5E4B4D88" w:rsidR="00664ABE" w:rsidRPr="000644B6" w:rsidRDefault="00664ABE" w:rsidP="00F326E5">
      <w:pPr>
        <w:pStyle w:val="NoSpacing"/>
        <w:rPr>
          <w:rFonts w:ascii="Arial Black" w:hAnsi="Arial Black"/>
          <w:b/>
          <w:bCs/>
          <w:sz w:val="24"/>
          <w:szCs w:val="24"/>
        </w:rPr>
      </w:pPr>
      <w:r w:rsidRPr="000644B6">
        <w:rPr>
          <w:rFonts w:ascii="Arial Black" w:hAnsi="Arial Black"/>
          <w:b/>
          <w:bCs/>
          <w:sz w:val="24"/>
          <w:szCs w:val="24"/>
        </w:rPr>
        <w:t>7-54</w:t>
      </w:r>
    </w:p>
    <w:p w14:paraId="16C6CF28" w14:textId="77777777" w:rsidR="000644B6" w:rsidRPr="000644B6" w:rsidRDefault="000644B6" w:rsidP="000644B6">
      <w:pPr>
        <w:pStyle w:val="NormalWeb"/>
        <w:rPr>
          <w:rFonts w:ascii="Arial Black" w:hAnsi="Arial Black"/>
          <w:sz w:val="28"/>
          <w:szCs w:val="28"/>
        </w:rPr>
      </w:pPr>
      <w:r w:rsidRPr="000644B6">
        <w:rPr>
          <w:rFonts w:ascii="Arial Black" w:hAnsi="Arial Black"/>
          <w:sz w:val="28"/>
          <w:szCs w:val="28"/>
        </w:rPr>
        <w:lastRenderedPageBreak/>
        <w:t xml:space="preserve">KY: FF HAD SEX 17-YR-OLD – HE IS IN PRISON 35 YEARS – NO CASE AGAINST CITY / FD FOR “FAILURE TO SUPERVISE” </w:t>
      </w:r>
    </w:p>
    <w:p w14:paraId="6405F185" w14:textId="77777777" w:rsidR="000644B6" w:rsidRPr="000644B6" w:rsidRDefault="000644B6" w:rsidP="000644B6">
      <w:pPr>
        <w:pStyle w:val="NormalWeb"/>
      </w:pPr>
      <w:r w:rsidRPr="000644B6">
        <w:t xml:space="preserve">On July 25, 2023, in </w:t>
      </w:r>
      <w:r w:rsidRPr="000644B6">
        <w:rPr>
          <w:u w:val="single"/>
        </w:rPr>
        <w:t>Emmalee Young v. City of Paris, et al.</w:t>
      </w:r>
      <w:r w:rsidRPr="000644B6">
        <w:t xml:space="preserve">, U.S. District Court Judge Karen K. Caldwell, U.S. District Court for Eastern District of Kentucky, Central Division (Lexington), granted motion for summary judgment on behalf of the </w:t>
      </w:r>
      <w:proofErr w:type="gramStart"/>
      <w:r w:rsidRPr="000644B6">
        <w:t>City</w:t>
      </w:r>
      <w:proofErr w:type="gramEnd"/>
      <w:r w:rsidRPr="000644B6">
        <w:t xml:space="preserve">, Fire Chief, Battalion Chief and police officials. The only remaining defendant is former firefighter William Michael Fields, Jr., now serving 35 years in federal prison. A failure-to-supervise claim is a “rare” claim.  </w:t>
      </w:r>
    </w:p>
    <w:p w14:paraId="13BB30E2" w14:textId="530F59CD" w:rsidR="00664ABE" w:rsidRPr="000644B6" w:rsidRDefault="000644B6" w:rsidP="000644B6">
      <w:pPr>
        <w:pStyle w:val="NoSpacing"/>
        <w:rPr>
          <w:rFonts w:ascii="Times New Roman" w:hAnsi="Times New Roman"/>
          <w:sz w:val="24"/>
          <w:szCs w:val="24"/>
        </w:rPr>
      </w:pPr>
      <w:r w:rsidRPr="000644B6">
        <w:rPr>
          <w:rFonts w:ascii="Times New Roman" w:hAnsi="Times New Roman"/>
          <w:sz w:val="24"/>
          <w:szCs w:val="24"/>
        </w:rPr>
        <w:t xml:space="preserve">The Court held: “As to a failure-to-supervise claim, this is a ‘rare’ claim. *** Young could show the city was deliberately indifferent to the risk that its employees would have sexual intercourse with minors or other nonconsenting individuals with evidence of a pattern of similar constitutional violations, with a record of city employees ‘going unpunished’ for similar constitutional violations or other circumstances tending to show that the city was aware or could have been aware that Fields was prone to have sexual intercourse with minors or other nonconsenting individuals. </w:t>
      </w:r>
      <w:r w:rsidRPr="000644B6">
        <w:rPr>
          <w:rStyle w:val="Emphasis"/>
          <w:rFonts w:ascii="Times New Roman" w:hAnsi="Times New Roman"/>
          <w:sz w:val="24"/>
          <w:szCs w:val="24"/>
        </w:rPr>
        <w:t>Id</w:t>
      </w:r>
      <w:r w:rsidRPr="000644B6">
        <w:rPr>
          <w:rFonts w:ascii="Times New Roman" w:hAnsi="Times New Roman"/>
          <w:sz w:val="24"/>
          <w:szCs w:val="24"/>
        </w:rPr>
        <w:t xml:space="preserve">. Young presents no such evidence. Accordingly, the Court will enter summary judgment in favor of the city of Paris, Kentucky on Young's constitutional claims. *** The issue on this motion is whether Young has presented sufficient facts to lead a reasonable juror to find that the city of Paris, Fields' supervisors at the fire department, or Paris law enforcement officers Royse and Boyer should also be liable for Fields' wrongful conduct. *** Young does not allege, however, that any of the individual defendants other than Fields personally sexually harassed her or violated her bodily integrity. She does not allege that any of the other defendants even had substantial direct interactions with her. She asserts, however, that the other defendants should be held liable for Fields' actions. *** As to Chief Duffy and Battalion Chief Hensley, Young asserts that both are liable for Fields' conduct because they were his supervisors at the Paris Fire Department. *** Young has produced no evidence that Duffy or Hensley was aware that Fields had sexually harassed or violated the bodily integrity of Young or anyone else or that he intended to. Though the deposition testimony established that other members of the Fire Department were aware that Fields had engaged in multiple sexual encounters outside of his marriage, </w:t>
      </w:r>
      <w:proofErr w:type="gramStart"/>
      <w:r w:rsidRPr="000644B6">
        <w:rPr>
          <w:rFonts w:ascii="Times New Roman" w:hAnsi="Times New Roman"/>
          <w:sz w:val="24"/>
          <w:szCs w:val="24"/>
        </w:rPr>
        <w:t>Young</w:t>
      </w:r>
      <w:proofErr w:type="gramEnd"/>
      <w:r w:rsidRPr="000644B6">
        <w:rPr>
          <w:rFonts w:ascii="Times New Roman" w:hAnsi="Times New Roman"/>
          <w:sz w:val="24"/>
          <w:szCs w:val="24"/>
        </w:rPr>
        <w:t xml:space="preserve"> points to no evidence that any other employee was aware that any of Fields' sexual encounters involved nonconsenting women or minors or otherwise constituted sexual harassment or violations of bodily integrity. *** She presents evidence that fire department employees discussed sexual activities and shared nude images of females while on duty. She has also produced evidence that at least some fire department employees engaged in sexual activities with nonemployees at facilities used by the Paris Fire Department like Safety City. Young has pointed to no evidence, however, that any fire department employee other than Fields engaged in sexual behavior with an underage or otherwise nonconsenting individual, which is the kind of constitutional violation suffered by Young.” </w:t>
      </w:r>
      <w:hyperlink r:id="rId1338" w:history="1">
        <w:r w:rsidRPr="000644B6">
          <w:rPr>
            <w:rStyle w:val="Hyperlink"/>
            <w:rFonts w:ascii="Times New Roman" w:eastAsiaTheme="majorEastAsia" w:hAnsi="Times New Roman"/>
            <w:sz w:val="24"/>
            <w:szCs w:val="24"/>
          </w:rPr>
          <w:t>https://public.fastcase.com/ZZhmr5v9wN%2FXOe5IsQ%2FqD4teBhUqY7wvbGAswNzyBMaksiAAx9CoK%2F0glr7LeyIGy7%2BIvTMMfnsD4C1w01llLSbg%2FSmkDMg22UrZNbleClI%3D?utm_medium=email&amp;_hsmi=226712652&amp;_hsenc=p2ANqtz--0kKIYBqY11A1vHL3K3LnOM9OT3ZDxvHId5EPEJRai0C-xgNPiCQqUNedXVxiPbPjxDggmQ5V534mtY9qGSRF7_b-8gg&amp;utm_content=226712652&amp;utm_source=hs_email</w:t>
        </w:r>
      </w:hyperlink>
    </w:p>
    <w:p w14:paraId="7F031CF5" w14:textId="77777777" w:rsidR="00664ABE" w:rsidRDefault="00664ABE" w:rsidP="00F326E5">
      <w:pPr>
        <w:pStyle w:val="NoSpacing"/>
        <w:rPr>
          <w:rFonts w:ascii="Arial Black" w:hAnsi="Arial Black"/>
          <w:sz w:val="24"/>
          <w:szCs w:val="24"/>
        </w:rPr>
      </w:pPr>
    </w:p>
    <w:p w14:paraId="537B694A" w14:textId="77777777" w:rsidR="000644B6" w:rsidRPr="008B55B1" w:rsidRDefault="000644B6" w:rsidP="000644B6">
      <w:pPr>
        <w:pStyle w:val="NormalWeb"/>
        <w:rPr>
          <w:b/>
          <w:bCs/>
        </w:rPr>
      </w:pPr>
      <w:r w:rsidRPr="008B55B1">
        <w:rPr>
          <w:b/>
          <w:bCs/>
        </w:rPr>
        <w:t xml:space="preserve">Legal Lesson Learned: </w:t>
      </w:r>
      <w:r>
        <w:rPr>
          <w:b/>
          <w:bCs/>
        </w:rPr>
        <w:t xml:space="preserve">A “failure to supervise” claim must be backed up with facts showing management knowledge of improper conduct. </w:t>
      </w:r>
    </w:p>
    <w:p w14:paraId="1F89B981" w14:textId="77777777" w:rsidR="000644B6" w:rsidRDefault="000644B6" w:rsidP="00F326E5">
      <w:pPr>
        <w:pStyle w:val="NoSpacing"/>
        <w:rPr>
          <w:rFonts w:ascii="Arial Black" w:hAnsi="Arial Black"/>
          <w:sz w:val="24"/>
          <w:szCs w:val="24"/>
        </w:rPr>
      </w:pPr>
    </w:p>
    <w:p w14:paraId="32610B35" w14:textId="77777777" w:rsidR="000644B6" w:rsidRDefault="000644B6" w:rsidP="00F326E5">
      <w:pPr>
        <w:pStyle w:val="NoSpacing"/>
        <w:rPr>
          <w:rFonts w:ascii="Arial Black" w:hAnsi="Arial Black"/>
          <w:sz w:val="24"/>
          <w:szCs w:val="24"/>
        </w:rPr>
      </w:pPr>
    </w:p>
    <w:p w14:paraId="6E47CC74" w14:textId="77777777" w:rsidR="000644B6" w:rsidRDefault="000644B6" w:rsidP="00F326E5">
      <w:pPr>
        <w:pStyle w:val="NoSpacing"/>
        <w:rPr>
          <w:rFonts w:ascii="Arial Black" w:hAnsi="Arial Black"/>
          <w:sz w:val="24"/>
          <w:szCs w:val="24"/>
        </w:rPr>
      </w:pPr>
    </w:p>
    <w:p w14:paraId="0D4D71D9" w14:textId="4FF7BE2E" w:rsidR="00227BDE" w:rsidRDefault="00411936" w:rsidP="00F326E5">
      <w:pPr>
        <w:pStyle w:val="NoSpacing"/>
        <w:rPr>
          <w:rFonts w:ascii="Arial Black" w:hAnsi="Arial Black"/>
          <w:sz w:val="24"/>
          <w:szCs w:val="24"/>
        </w:rPr>
      </w:pPr>
      <w:r>
        <w:rPr>
          <w:rFonts w:ascii="Arial Black" w:hAnsi="Arial Black"/>
          <w:sz w:val="24"/>
          <w:szCs w:val="24"/>
        </w:rPr>
        <w:t>7-53</w:t>
      </w:r>
    </w:p>
    <w:p w14:paraId="0AD9E391" w14:textId="77777777" w:rsidR="00664ABE" w:rsidRPr="001C1F46" w:rsidRDefault="00664ABE" w:rsidP="00664ABE">
      <w:pPr>
        <w:pStyle w:val="NormalWeb"/>
        <w:rPr>
          <w:rFonts w:ascii="Arial Black" w:hAnsi="Arial Black"/>
          <w:sz w:val="28"/>
          <w:szCs w:val="28"/>
        </w:rPr>
      </w:pPr>
      <w:r>
        <w:rPr>
          <w:rFonts w:ascii="Arial Black" w:hAnsi="Arial Black"/>
          <w:sz w:val="28"/>
          <w:szCs w:val="28"/>
        </w:rPr>
        <w:lastRenderedPageBreak/>
        <w:t>CA: SAN FRAN. FF – HARASSMENT, NASTY COMMENTS BY SUPERVISOR TO FF HUSBAND – LACTATION NOT PRIVATE</w:t>
      </w:r>
    </w:p>
    <w:p w14:paraId="63FBDA5C" w14:textId="77777777" w:rsidR="00664ABE" w:rsidRDefault="00664ABE" w:rsidP="00664ABE">
      <w:pPr>
        <w:pStyle w:val="NormalWeb"/>
      </w:pPr>
      <w:r>
        <w:t xml:space="preserve">On July 13, 2023, in </w:t>
      </w:r>
      <w:r w:rsidRPr="001C1F46">
        <w:rPr>
          <w:u w:val="single"/>
        </w:rPr>
        <w:t>Sarah Perata v. City and County of San Francisco</w:t>
      </w:r>
      <w:r>
        <w:t xml:space="preserve">, U.S. Magistrate Judge Thomas S. Hixson, denied the City’s motion for summary judgment on claims of gender discrimination, including lack of location with a lock for lactation.  She was hired in 2018 as EMT and was a training instructor at Treasure Island.  In 2020 she received a promotion to Captain, subject to six-month probationary period and transferred to Station 49.  Unfortunately, on Dec. 7, 2020, Fire Chief Janine Nicholson sent Plaintiff a letter revoking the promotion based on two investigations - text message incident and training binder incident.  Text Message Incident – proposed 7-day suspension.  Plaintiff's new supervisor at Station 49, Chief Niels Tangherlini, received a message from what appeared to be Plaintiff's phone number stating, “I fucking hate this place.” Multiple other coworkers received texts from what appeared to be Plaintiff's phone number stating, “I hate you,” or “Fuck you.”   Training Binder Incident – proposed 3-day suspension. On February 13, 2020, she and her husband went to Tresure Island to gather her belongings for transfer to Station </w:t>
      </w:r>
      <w:proofErr w:type="gramStart"/>
      <w:r>
        <w:t>49, and</w:t>
      </w:r>
      <w:proofErr w:type="gramEnd"/>
      <w:r>
        <w:t xml:space="preserve"> apparently took training materials. That suspension was withdrawn when Plaintiff provided SFFD relevant materials. </w:t>
      </w:r>
    </w:p>
    <w:p w14:paraId="4FF4ED76" w14:textId="77777777" w:rsidR="00664ABE" w:rsidRDefault="00664ABE" w:rsidP="00664ABE">
      <w:pPr>
        <w:pStyle w:val="NormalWeb"/>
      </w:pPr>
      <w:r>
        <w:t>The Magistrate Judge held:</w:t>
      </w:r>
    </w:p>
    <w:p w14:paraId="0246B33E" w14:textId="77777777" w:rsidR="00664ABE" w:rsidRDefault="00664ABE" w:rsidP="00664ABE">
      <w:pPr>
        <w:pStyle w:val="NormalWeb"/>
      </w:pPr>
      <w:r>
        <w:t xml:space="preserve">HARASSMENT: “Although a close call, the Court finds Plaintiff has established material facts to preclude summary judgment on her harassment claims. Plaintiff testified that her supervisor, Payne [Nicholas Payne, Emergency Medical Services Training section chief for Treasure Island] and his supervisor, ‘constantly’ called Plaintiff and her fellow female coworkers ‘minions,’ and asked them to do the office administrative work. *** Defendant argues that many of the comments are not references to gender, but the Court finds there is sufficient evidence to infer gender bias. For example, Plaintiff's husband testified that Payne said Plaintiff “must give great head because I don't know why you are with </w:t>
      </w:r>
      <w:proofErr w:type="gramStart"/>
      <w:r>
        <w:t>her.”</w:t>
      </w:r>
      <w:proofErr w:type="gramEnd"/>
      <w:r>
        <w:t xml:space="preserve"> *** There is also evidence that Payne and Tibbits [Zachary Tibbits, co-worker] would put Plaintiff's desk figurines in sexual positions.”</w:t>
      </w:r>
    </w:p>
    <w:p w14:paraId="6D571029" w14:textId="77777777" w:rsidR="00664ABE" w:rsidRDefault="00664ABE" w:rsidP="00664ABE">
      <w:pPr>
        <w:pStyle w:val="NormalWeb"/>
      </w:pPr>
      <w:r>
        <w:t>LACTATION: “Plaintiff testified that after she was walked in on while using the captain's room she would occasionally go downstairs and ask to use another officer's room…. Drawing all inferences in Plaintiff's favor, it is reasonable to infer that if Plaintiff had access to a classroom that reasonably accommodated her lactation, she would not have sought out the officer's room and asked the officer to stand outside. In sum, the Court finds a sufficient factual dispute as to the reasonableness of the accommodations…. Cal. Code Regs. tit. 2, § 11035. ‘An employer shall provide an employee with the use of a room or other location for the employee to express milk in private.... A lactation room or location shall not be a bathroom and shall be . . . shielded from view, and free from intrusion while the employee is expressing milk.’ Cal. Lab. Code § 1031(a)-(b).”</w:t>
      </w:r>
    </w:p>
    <w:p w14:paraId="75B89A7E" w14:textId="4013EF68" w:rsidR="00411936" w:rsidRDefault="00664ABE" w:rsidP="00664ABE">
      <w:pPr>
        <w:pStyle w:val="NoSpacing"/>
        <w:rPr>
          <w:rStyle w:val="Hyperlink"/>
          <w:rFonts w:eastAsiaTheme="majorEastAsia"/>
        </w:rPr>
      </w:pPr>
      <w:hyperlink r:id="rId1339" w:history="1">
        <w:r w:rsidRPr="00AD70CC">
          <w:rPr>
            <w:rStyle w:val="Hyperlink"/>
            <w:rFonts w:eastAsiaTheme="majorEastAsia"/>
          </w:rPr>
          <w:t>https://public.fastcase.com/ZZhmr5v9wN%2FXOe5IsQ%2FqDyz5rhb%2FyBrIG8Au%2Ft3V919eqRG814zcJAmxY3jo6zPUS7MBeKfAuG868JSXjuCSoaubFv3fklmg5wPl%2B%2FhuGG8%3D?utm_medium=email&amp;_hsmi=226712652&amp;_hsenc=p2ANqtz-_V_ICNjbd2RZxHYCrc4la9bLeUstsyddFe2y3dzHQoT8LejGxKFn7KSEl6HhmqEbKKnasxkhMyKJsJTXSn_Oay7PK5pg&amp;utm_content=226712652&amp;utm_source=hs_email</w:t>
        </w:r>
      </w:hyperlink>
    </w:p>
    <w:p w14:paraId="1224AAC8" w14:textId="77777777" w:rsidR="00664ABE" w:rsidRPr="00F266A7" w:rsidRDefault="00664ABE" w:rsidP="00664ABE">
      <w:pPr>
        <w:pStyle w:val="NormalWeb"/>
        <w:rPr>
          <w:b/>
          <w:bCs/>
        </w:rPr>
      </w:pPr>
      <w:r w:rsidRPr="00F266A7">
        <w:rPr>
          <w:b/>
          <w:bCs/>
        </w:rPr>
        <w:t xml:space="preserve">Legal Lesson Learned: Inappropriate comments by a supervisor to </w:t>
      </w:r>
      <w:r>
        <w:rPr>
          <w:b/>
          <w:bCs/>
        </w:rPr>
        <w:t>an e</w:t>
      </w:r>
      <w:r w:rsidRPr="00F266A7">
        <w:rPr>
          <w:b/>
          <w:bCs/>
        </w:rPr>
        <w:t xml:space="preserve">mployee, or to the employee’s spouse, can be used as evidence in a harassment case. </w:t>
      </w:r>
      <w:r>
        <w:rPr>
          <w:b/>
          <w:bCs/>
        </w:rPr>
        <w:t xml:space="preserve"> For </w:t>
      </w:r>
      <w:proofErr w:type="gramStart"/>
      <w:r>
        <w:rPr>
          <w:b/>
          <w:bCs/>
        </w:rPr>
        <w:t>lactating</w:t>
      </w:r>
      <w:proofErr w:type="gramEnd"/>
      <w:r>
        <w:rPr>
          <w:b/>
          <w:bCs/>
        </w:rPr>
        <w:t xml:space="preserve"> employees, provide a location with a lock on the door. </w:t>
      </w:r>
    </w:p>
    <w:p w14:paraId="23B8660B" w14:textId="77777777" w:rsidR="00664ABE" w:rsidRPr="0073072D" w:rsidRDefault="00664ABE" w:rsidP="00664ABE">
      <w:pPr>
        <w:pStyle w:val="Heading1"/>
        <w:ind w:left="720"/>
        <w:rPr>
          <w:b w:val="0"/>
          <w:bCs w:val="0"/>
          <w:sz w:val="24"/>
          <w:szCs w:val="24"/>
        </w:rPr>
      </w:pPr>
      <w:r w:rsidRPr="0073072D">
        <w:rPr>
          <w:b w:val="0"/>
          <w:bCs w:val="0"/>
          <w:sz w:val="24"/>
          <w:szCs w:val="24"/>
        </w:rPr>
        <w:t xml:space="preserve">Note: See U.S. Department of Labor - Fact Sheet #73: FLSA Protections for Employees to Pump Breast Milk at Work, </w:t>
      </w:r>
      <w:hyperlink r:id="rId1340" w:history="1">
        <w:r w:rsidRPr="0073072D">
          <w:rPr>
            <w:rStyle w:val="Hyperlink"/>
            <w:b w:val="0"/>
            <w:bCs w:val="0"/>
            <w:sz w:val="24"/>
            <w:szCs w:val="24"/>
          </w:rPr>
          <w:t>https://www.dol.gov/agencies/whd/fact-sheets/73-flsa-break-time-nursing-mothers</w:t>
        </w:r>
      </w:hyperlink>
      <w:r>
        <w:rPr>
          <w:b w:val="0"/>
          <w:bCs w:val="0"/>
          <w:sz w:val="24"/>
          <w:szCs w:val="24"/>
        </w:rPr>
        <w:t xml:space="preserve">. </w:t>
      </w:r>
      <w:r w:rsidRPr="0073072D">
        <w:rPr>
          <w:b w:val="0"/>
          <w:bCs w:val="0"/>
          <w:sz w:val="24"/>
          <w:szCs w:val="24"/>
        </w:rPr>
        <w:t xml:space="preserve">As of December 29, 2022, nearly all FLSA-covered employees have the right to take needed time and to access an appropriate space to express breast milk for a nursing child for up to one year after the child’s birth. </w:t>
      </w:r>
    </w:p>
    <w:p w14:paraId="742F6DFD" w14:textId="77777777" w:rsidR="00664ABE" w:rsidRPr="0073072D" w:rsidRDefault="00664ABE" w:rsidP="00664ABE">
      <w:pPr>
        <w:pStyle w:val="NormalWeb"/>
        <w:ind w:left="720"/>
      </w:pPr>
      <w:r>
        <w:lastRenderedPageBreak/>
        <w:t xml:space="preserve">PUMP FOR NURSING MOTHERS ACT. </w:t>
      </w:r>
      <w:hyperlink r:id="rId1341" w:history="1">
        <w:r w:rsidRPr="00907E23">
          <w:rPr>
            <w:rStyle w:val="Hyperlink"/>
          </w:rPr>
          <w:t>https://www.dol.gov/sites/dolgov/files/WHD/flsa/PUMP-act_hr2617.pdf</w:t>
        </w:r>
      </w:hyperlink>
      <w:r>
        <w:t xml:space="preserve"> </w:t>
      </w:r>
      <w:r w:rsidRPr="0073072D">
        <w:t>‘(a) IN GENERAL .—An employer shall provide—‘‘(1) a reasonable break time for an employee to express</w:t>
      </w:r>
      <w:r>
        <w:t xml:space="preserve"> </w:t>
      </w:r>
      <w:r w:rsidRPr="0073072D">
        <w:t>breast milk for such employee’s nursing child for 1 year after</w:t>
      </w:r>
      <w:r>
        <w:t xml:space="preserve"> </w:t>
      </w:r>
      <w:r w:rsidRPr="0073072D">
        <w:t>the child’s birth each time such employee has need to express</w:t>
      </w:r>
      <w:r>
        <w:t xml:space="preserve"> </w:t>
      </w:r>
      <w:r w:rsidRPr="0073072D">
        <w:t>the milk; and</w:t>
      </w:r>
      <w:r>
        <w:t xml:space="preserve"> </w:t>
      </w:r>
      <w:r w:rsidRPr="0073072D">
        <w:t>‘‘(2) a place, other than a bathroom, that is shielded from</w:t>
      </w:r>
      <w:r>
        <w:t xml:space="preserve"> </w:t>
      </w:r>
      <w:r w:rsidRPr="0073072D">
        <w:t>view and free from intrusion from coworkers and the public,</w:t>
      </w:r>
      <w:r>
        <w:t xml:space="preserve"> </w:t>
      </w:r>
      <w:r w:rsidRPr="0073072D">
        <w:t>which may be used by an employee to express breast milk.</w:t>
      </w:r>
    </w:p>
    <w:p w14:paraId="7C1A25AF" w14:textId="77777777" w:rsidR="00664ABE" w:rsidRDefault="00664ABE" w:rsidP="00664ABE">
      <w:pPr>
        <w:pStyle w:val="NoSpacing"/>
        <w:rPr>
          <w:rFonts w:ascii="Arial Black" w:hAnsi="Arial Black"/>
          <w:sz w:val="24"/>
          <w:szCs w:val="24"/>
        </w:rPr>
      </w:pPr>
    </w:p>
    <w:p w14:paraId="41538E71" w14:textId="6BFAD39F" w:rsidR="00BC4628" w:rsidRDefault="00BC4628" w:rsidP="00F326E5">
      <w:pPr>
        <w:pStyle w:val="NoSpacing"/>
        <w:rPr>
          <w:rFonts w:ascii="Arial Black" w:hAnsi="Arial Black"/>
          <w:sz w:val="24"/>
          <w:szCs w:val="24"/>
        </w:rPr>
      </w:pPr>
      <w:r>
        <w:rPr>
          <w:rFonts w:ascii="Arial Black" w:hAnsi="Arial Black"/>
          <w:sz w:val="24"/>
          <w:szCs w:val="24"/>
        </w:rPr>
        <w:t>7-52</w:t>
      </w:r>
    </w:p>
    <w:p w14:paraId="365DCC1E" w14:textId="77777777" w:rsidR="00BC4628" w:rsidRPr="00913BD5" w:rsidRDefault="00BC4628" w:rsidP="00BC4628">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NY: FF STALKING – FEMALE FF STOPPED DATING HIM – U.S. DEPT. JUSTICE SUES – RETALIATION - CONSENT DECREE </w:t>
      </w:r>
    </w:p>
    <w:p w14:paraId="476C7723" w14:textId="77777777" w:rsidR="00BC4628" w:rsidRDefault="00BC4628" w:rsidP="00BC4628">
      <w:pPr>
        <w:rPr>
          <w:rFonts w:ascii="Times New Roman" w:hAnsi="Times New Roman"/>
          <w:sz w:val="24"/>
          <w:szCs w:val="24"/>
        </w:rPr>
      </w:pPr>
      <w:r>
        <w:rPr>
          <w:rFonts w:ascii="Times New Roman" w:hAnsi="Times New Roman"/>
          <w:sz w:val="24"/>
          <w:szCs w:val="24"/>
        </w:rPr>
        <w:t xml:space="preserve">On June 21, 2023, in </w:t>
      </w:r>
      <w:r w:rsidRPr="002549D5">
        <w:rPr>
          <w:rFonts w:ascii="Times New Roman" w:hAnsi="Times New Roman"/>
          <w:sz w:val="24"/>
          <w:szCs w:val="24"/>
          <w:u w:val="single"/>
        </w:rPr>
        <w:t>United States of America v. Town / Village of Harrison, New York; Fire District Two of Harrison, New York; Harrison Volunteer No. 1 of Harrison, New York</w:t>
      </w:r>
      <w:r>
        <w:rPr>
          <w:rFonts w:ascii="Times New Roman" w:hAnsi="Times New Roman"/>
          <w:sz w:val="24"/>
          <w:szCs w:val="24"/>
        </w:rPr>
        <w:t xml:space="preserve">,  U.S. District Court Judge Cathy Seibel, U.S. District Court for Southern District of New York, published the Consent Decree agreed to by all parties, including $425,000 up front payment, new Town policy, annual training.  Volunteer firefighter </w:t>
      </w:r>
      <w:r w:rsidRPr="002549D5">
        <w:rPr>
          <w:rFonts w:ascii="Times New Roman" w:hAnsi="Times New Roman"/>
          <w:sz w:val="24"/>
          <w:szCs w:val="24"/>
        </w:rPr>
        <w:t>Angela Bommarito</w:t>
      </w:r>
      <w:r>
        <w:rPr>
          <w:rFonts w:ascii="Times New Roman" w:hAnsi="Times New Roman"/>
          <w:sz w:val="24"/>
          <w:szCs w:val="24"/>
        </w:rPr>
        <w:t xml:space="preserve">, complained to FD after ending her dating relationship with </w:t>
      </w:r>
      <w:r w:rsidRPr="002549D5">
        <w:rPr>
          <w:rFonts w:ascii="Times New Roman" w:hAnsi="Times New Roman"/>
          <w:sz w:val="24"/>
          <w:szCs w:val="24"/>
        </w:rPr>
        <w:t>Henry Mohr, a senior firefighter</w:t>
      </w:r>
      <w:r>
        <w:rPr>
          <w:rFonts w:ascii="Times New Roman" w:hAnsi="Times New Roman"/>
          <w:sz w:val="24"/>
          <w:szCs w:val="24"/>
        </w:rPr>
        <w:t xml:space="preserve">.  When FD took no action, she filed a police report.  The Police Chief not only took no </w:t>
      </w:r>
      <w:proofErr w:type="gramStart"/>
      <w:r>
        <w:rPr>
          <w:rFonts w:ascii="Times New Roman" w:hAnsi="Times New Roman"/>
          <w:sz w:val="24"/>
          <w:szCs w:val="24"/>
        </w:rPr>
        <w:t>action, but</w:t>
      </w:r>
      <w:proofErr w:type="gramEnd"/>
      <w:r>
        <w:rPr>
          <w:rFonts w:ascii="Times New Roman" w:hAnsi="Times New Roman"/>
          <w:sz w:val="24"/>
          <w:szCs w:val="24"/>
        </w:rPr>
        <w:t xml:space="preserve"> threatened to charge her with filing a false report and prepared a resignation letter which she signed.  Mr. Mohr continued to stalk her even after her resignation, and was arrested May 3, </w:t>
      </w:r>
      <w:proofErr w:type="gramStart"/>
      <w:r>
        <w:rPr>
          <w:rFonts w:ascii="Times New Roman" w:hAnsi="Times New Roman"/>
          <w:sz w:val="24"/>
          <w:szCs w:val="24"/>
        </w:rPr>
        <w:t>2016</w:t>
      </w:r>
      <w:proofErr w:type="gramEnd"/>
      <w:r>
        <w:rPr>
          <w:rFonts w:ascii="Times New Roman" w:hAnsi="Times New Roman"/>
          <w:sz w:val="24"/>
          <w:szCs w:val="24"/>
        </w:rPr>
        <w:t xml:space="preserve"> and </w:t>
      </w:r>
      <w:proofErr w:type="gramStart"/>
      <w:r>
        <w:rPr>
          <w:rFonts w:ascii="Times New Roman" w:hAnsi="Times New Roman"/>
          <w:sz w:val="24"/>
          <w:szCs w:val="24"/>
        </w:rPr>
        <w:t>in</w:t>
      </w:r>
      <w:proofErr w:type="gramEnd"/>
      <w:r>
        <w:rPr>
          <w:rFonts w:ascii="Times New Roman" w:hAnsi="Times New Roman"/>
          <w:sz w:val="24"/>
          <w:szCs w:val="24"/>
        </w:rPr>
        <w:t xml:space="preserve"> July 19, </w:t>
      </w:r>
      <w:proofErr w:type="gramStart"/>
      <w:r>
        <w:rPr>
          <w:rFonts w:ascii="Times New Roman" w:hAnsi="Times New Roman"/>
          <w:sz w:val="24"/>
          <w:szCs w:val="24"/>
        </w:rPr>
        <w:t>2016</w:t>
      </w:r>
      <w:proofErr w:type="gramEnd"/>
      <w:r>
        <w:rPr>
          <w:rFonts w:ascii="Times New Roman" w:hAnsi="Times New Roman"/>
          <w:sz w:val="24"/>
          <w:szCs w:val="24"/>
        </w:rPr>
        <w:t xml:space="preserve"> pled guilty, with protective order.  </w:t>
      </w:r>
    </w:p>
    <w:p w14:paraId="27234432" w14:textId="77777777" w:rsidR="00BC4628" w:rsidRDefault="00BC4628" w:rsidP="00BC4628">
      <w:pPr>
        <w:rPr>
          <w:rFonts w:ascii="Times New Roman" w:hAnsi="Times New Roman"/>
          <w:sz w:val="24"/>
          <w:szCs w:val="24"/>
        </w:rPr>
      </w:pPr>
      <w:r>
        <w:rPr>
          <w:rFonts w:ascii="Times New Roman" w:hAnsi="Times New Roman"/>
          <w:sz w:val="24"/>
          <w:szCs w:val="24"/>
        </w:rPr>
        <w:t>The Consent Decree details the retaliation by Police Chief:</w:t>
      </w:r>
    </w:p>
    <w:p w14:paraId="0EFBFAC6" w14:textId="77777777" w:rsidR="00BC4628" w:rsidRDefault="00BC4628" w:rsidP="00BC4628">
      <w:pPr>
        <w:ind w:left="720"/>
        <w:rPr>
          <w:rFonts w:ascii="Times New Roman" w:hAnsi="Times New Roman"/>
          <w:sz w:val="24"/>
          <w:szCs w:val="24"/>
        </w:rPr>
      </w:pPr>
      <w:r>
        <w:rPr>
          <w:rFonts w:ascii="Times New Roman" w:hAnsi="Times New Roman"/>
          <w:sz w:val="24"/>
          <w:szCs w:val="24"/>
        </w:rPr>
        <w:t>“</w:t>
      </w:r>
      <w:r w:rsidRPr="00FB79A6">
        <w:rPr>
          <w:rFonts w:ascii="Times New Roman" w:hAnsi="Times New Roman"/>
          <w:sz w:val="24"/>
          <w:szCs w:val="24"/>
        </w:rPr>
        <w:t xml:space="preserve">On January 22, 2016, </w:t>
      </w:r>
      <w:r>
        <w:rPr>
          <w:rFonts w:ascii="Times New Roman" w:hAnsi="Times New Roman"/>
          <w:sz w:val="24"/>
          <w:szCs w:val="24"/>
        </w:rPr>
        <w:t xml:space="preserve">[Harrison Police Chief Anthony] </w:t>
      </w:r>
      <w:r w:rsidRPr="00FB79A6">
        <w:rPr>
          <w:rFonts w:ascii="Times New Roman" w:hAnsi="Times New Roman"/>
          <w:sz w:val="24"/>
          <w:szCs w:val="24"/>
        </w:rPr>
        <w:t>Marraccini met with Bommarito. During their meeting, Marraccini suggested that he could arrest Bommarito for her presentation of what Marraccini claimed was incomplete and false information to the Police Department regarding her relationship with Mohr. Marraccini also noted Bommarito's sexual relationships with other Harrison employees. Marraccini told Bommarito that he had to report this information to the Fire Commissioners unless Bommarito resigned. Marraccini prepared a resignation letter for Bommarito, which stated that she would resign from the Fire Department. Bommarito signed the resignation letter.</w:t>
      </w:r>
      <w:r>
        <w:rPr>
          <w:rFonts w:ascii="Times New Roman" w:hAnsi="Times New Roman"/>
          <w:sz w:val="24"/>
          <w:szCs w:val="24"/>
        </w:rPr>
        <w:t xml:space="preserve">” </w:t>
      </w:r>
      <w:hyperlink r:id="rId1342" w:history="1">
        <w:r w:rsidRPr="00812663">
          <w:rPr>
            <w:rStyle w:val="Hyperlink"/>
            <w:sz w:val="24"/>
            <w:szCs w:val="24"/>
          </w:rPr>
          <w:t>https://casetext.com/case/united-states-v-townvill-of-harrison</w:t>
        </w:r>
      </w:hyperlink>
      <w:r>
        <w:rPr>
          <w:rFonts w:ascii="Times New Roman" w:hAnsi="Times New Roman"/>
          <w:sz w:val="24"/>
          <w:szCs w:val="24"/>
        </w:rPr>
        <w:t xml:space="preserve"> </w:t>
      </w:r>
    </w:p>
    <w:p w14:paraId="73925511" w14:textId="77777777" w:rsidR="00BC4628" w:rsidRPr="00133A61" w:rsidRDefault="00BC4628" w:rsidP="00BC4628">
      <w:pPr>
        <w:spacing w:before="100" w:beforeAutospacing="1" w:after="100" w:afterAutospacing="1" w:line="240" w:lineRule="auto"/>
        <w:rPr>
          <w:rFonts w:ascii="Times New Roman" w:eastAsia="Times New Roman" w:hAnsi="Times New Roman"/>
          <w:b/>
          <w:bCs/>
          <w:sz w:val="24"/>
          <w:szCs w:val="24"/>
        </w:rPr>
      </w:pPr>
      <w:r w:rsidRPr="00133A61">
        <w:rPr>
          <w:rFonts w:ascii="Times New Roman" w:hAnsi="Times New Roman"/>
          <w:b/>
          <w:bCs/>
          <w:sz w:val="24"/>
          <w:szCs w:val="24"/>
        </w:rPr>
        <w:t>Legal Lesson Learned:</w:t>
      </w:r>
      <w:r>
        <w:rPr>
          <w:rFonts w:ascii="Times New Roman" w:hAnsi="Times New Roman"/>
          <w:b/>
          <w:bCs/>
          <w:sz w:val="24"/>
          <w:szCs w:val="24"/>
        </w:rPr>
        <w:t xml:space="preserve"> Complaints </w:t>
      </w:r>
      <w:proofErr w:type="gramStart"/>
      <w:r>
        <w:rPr>
          <w:rFonts w:ascii="Times New Roman" w:hAnsi="Times New Roman"/>
          <w:b/>
          <w:bCs/>
          <w:sz w:val="24"/>
          <w:szCs w:val="24"/>
        </w:rPr>
        <w:t>of</w:t>
      </w:r>
      <w:proofErr w:type="gramEnd"/>
      <w:r>
        <w:rPr>
          <w:rFonts w:ascii="Times New Roman" w:hAnsi="Times New Roman"/>
          <w:b/>
          <w:bCs/>
          <w:sz w:val="24"/>
          <w:szCs w:val="24"/>
        </w:rPr>
        <w:t xml:space="preserve"> stalking must be promptly investigated either by FD or the Police Department. </w:t>
      </w:r>
    </w:p>
    <w:p w14:paraId="591FDC93" w14:textId="4FD6509B" w:rsidR="00BC4628" w:rsidRDefault="00BC4628" w:rsidP="00BC4628">
      <w:pPr>
        <w:pStyle w:val="NoSpacing"/>
        <w:rPr>
          <w:rFonts w:ascii="Arial Black" w:hAnsi="Arial Black"/>
          <w:sz w:val="24"/>
          <w:szCs w:val="24"/>
        </w:rPr>
      </w:pPr>
      <w:r w:rsidRPr="0003518A">
        <w:rPr>
          <w:rFonts w:ascii="Times New Roman" w:eastAsia="Times New Roman" w:hAnsi="Times New Roman"/>
          <w:sz w:val="24"/>
          <w:szCs w:val="24"/>
        </w:rPr>
        <w:t xml:space="preserve">Note: See June 8, </w:t>
      </w:r>
      <w:proofErr w:type="gramStart"/>
      <w:r w:rsidRPr="0003518A">
        <w:rPr>
          <w:rFonts w:ascii="Times New Roman" w:eastAsia="Times New Roman" w:hAnsi="Times New Roman"/>
          <w:sz w:val="24"/>
          <w:szCs w:val="24"/>
        </w:rPr>
        <w:t>2023</w:t>
      </w:r>
      <w:proofErr w:type="gramEnd"/>
      <w:r w:rsidRPr="0003518A">
        <w:rPr>
          <w:rFonts w:ascii="Times New Roman" w:eastAsia="Times New Roman" w:hAnsi="Times New Roman"/>
          <w:sz w:val="24"/>
          <w:szCs w:val="24"/>
        </w:rPr>
        <w:t xml:space="preserve"> U.S. Department of Justice Press Release: </w:t>
      </w:r>
      <w:hyperlink r:id="rId1343" w:history="1">
        <w:r w:rsidRPr="00812663">
          <w:rPr>
            <w:rStyle w:val="Hyperlink"/>
            <w:sz w:val="24"/>
            <w:szCs w:val="24"/>
          </w:rPr>
          <w:t>https://www.justice.gov/usao-sdny/pr/united-states-sues-townvillage-harrison-new-york-and-its-fire-department-discrimination</w:t>
        </w:r>
      </w:hyperlink>
    </w:p>
    <w:p w14:paraId="4EAAF0C8" w14:textId="77777777" w:rsidR="00BC4628" w:rsidRDefault="00BC4628" w:rsidP="00F326E5">
      <w:pPr>
        <w:pStyle w:val="NoSpacing"/>
        <w:rPr>
          <w:rFonts w:ascii="Arial Black" w:hAnsi="Arial Black"/>
          <w:sz w:val="24"/>
          <w:szCs w:val="24"/>
        </w:rPr>
      </w:pPr>
    </w:p>
    <w:p w14:paraId="4D8F73B9" w14:textId="3D8C6928" w:rsidR="00477016" w:rsidRDefault="00477016" w:rsidP="00F326E5">
      <w:pPr>
        <w:pStyle w:val="NoSpacing"/>
        <w:rPr>
          <w:rFonts w:ascii="Arial Black" w:hAnsi="Arial Black"/>
          <w:sz w:val="24"/>
          <w:szCs w:val="24"/>
        </w:rPr>
      </w:pPr>
      <w:r>
        <w:rPr>
          <w:rFonts w:ascii="Arial Black" w:hAnsi="Arial Black"/>
          <w:sz w:val="24"/>
          <w:szCs w:val="24"/>
        </w:rPr>
        <w:t>7-51</w:t>
      </w:r>
    </w:p>
    <w:p w14:paraId="6D9DDA1C" w14:textId="77777777" w:rsidR="00477016" w:rsidRPr="00E836C6" w:rsidRDefault="00477016" w:rsidP="00477016">
      <w:pPr>
        <w:pStyle w:val="NormalWeb"/>
        <w:rPr>
          <w:rFonts w:ascii="Arial Black" w:hAnsi="Arial Black"/>
          <w:sz w:val="28"/>
          <w:szCs w:val="28"/>
        </w:rPr>
      </w:pPr>
      <w:bookmarkStart w:id="280" w:name="_Hlk136859646"/>
      <w:r>
        <w:rPr>
          <w:rFonts w:ascii="Arial Black" w:hAnsi="Arial Black"/>
          <w:sz w:val="28"/>
          <w:szCs w:val="28"/>
        </w:rPr>
        <w:t>NY: “CALENDAR GIRL” – FDNY CALENDAR - CASE PROCEED “DISPARATE TREAMENT” AGAINST HER FEMALE CAPTAIN</w:t>
      </w:r>
    </w:p>
    <w:bookmarkEnd w:id="280"/>
    <w:p w14:paraId="5BC54A73" w14:textId="77777777" w:rsidR="00477016" w:rsidRPr="00477016" w:rsidRDefault="00477016" w:rsidP="00477016">
      <w:pPr>
        <w:pStyle w:val="NormalWeb"/>
      </w:pPr>
      <w:r w:rsidRPr="00477016">
        <w:t xml:space="preserve">On May 15, 2023, in </w:t>
      </w:r>
      <w:r w:rsidRPr="00477016">
        <w:rPr>
          <w:u w:val="single"/>
        </w:rPr>
        <w:t>Margot Loth v. City of New York</w:t>
      </w:r>
      <w:r w:rsidRPr="00477016">
        <w:t xml:space="preserve">, Judge Nicholas W. Moyne, Superior Court, New York County, denied the City’s motion to dismiss the lawsuit (unpublished decision).  In this early stage of litigation, </w:t>
      </w:r>
      <w:r w:rsidRPr="00477016">
        <w:lastRenderedPageBreak/>
        <w:t xml:space="preserve">the specific allegations support a claim of disparate treatment by female Captain against females.  The Court described allegations. </w:t>
      </w:r>
    </w:p>
    <w:p w14:paraId="13B3A3C1" w14:textId="3AC5F55F" w:rsidR="00477016" w:rsidRPr="00477016" w:rsidRDefault="00477016" w:rsidP="00477016">
      <w:pPr>
        <w:pStyle w:val="NoSpacing"/>
        <w:ind w:left="720"/>
        <w:rPr>
          <w:rFonts w:ascii="Times New Roman" w:hAnsi="Times New Roman"/>
          <w:sz w:val="24"/>
          <w:szCs w:val="24"/>
        </w:rPr>
      </w:pPr>
      <w:r w:rsidRPr="00477016">
        <w:rPr>
          <w:rFonts w:ascii="Times New Roman" w:hAnsi="Times New Roman"/>
          <w:sz w:val="24"/>
          <w:szCs w:val="24"/>
        </w:rPr>
        <w:t xml:space="preserve">“Plaintiff began working for Defendant as a FDNY Haz-Tac Emergency Medical Technician on February 14, 2011. In July 2018, Plaintiff was featured in the FDNY's 2019 Calendar of Heroes. Thereafter, on multiple occasions, Captain Donna Lynn Hannon Tiberi (‘Tiberi’) allegedly referred to Complainant as a ‘calendar girl’ to other FDNY members in a disparaging manner. In November 2018, Plaintiff agreed to participate as a witness in connection with a gender discrimination complaint filed with the FDNY's Equal Employment Opportunity (‘EEO’) office by female Paramedic Carin Rosado (‘Rosado’) against Tiberi. Both Plaintiff and Rosado claimed that they regularly observed Tiberi subjecting female employees to disparate treatment as compared to similarly situated male employees. ***At this early stage of the litigation, dismissal would be inappropriate as the plaintiff has sufficiently pled claims for gender discrimination pursuant to the SHRL {New York State Human Rights Law] and CHR [New York City Human Rights Law]. </w:t>
      </w:r>
      <w:hyperlink r:id="rId1344" w:history="1">
        <w:r w:rsidRPr="00477016">
          <w:rPr>
            <w:rStyle w:val="Hyperlink"/>
            <w:rFonts w:ascii="Times New Roman" w:eastAsiaTheme="majorEastAsia" w:hAnsi="Times New Roman"/>
            <w:sz w:val="24"/>
            <w:szCs w:val="24"/>
          </w:rPr>
          <w:t>https://public.fastcase.com/ZZhmr5v9wN%2FXOe5IsQ%2FqD5GEiR8JSLFSN2NHQUjL%2BLjuVtwCOTZwj5nD2zQQ%2BwtpHt7pljoilZmodoPEUPL5r9NdmF5u2B1LY%2FXPhwSo6GU%3D?utm_medium=email&amp;_hsmi=226712652&amp;_hsenc=p2ANqtz-8SXYDP1HnWQE4kbMGe0V_9TllXrxMri8_HVcmLnhw39Rwsl622P5fZw6IGKcYm90xDZflJsj-2gnz1pneYjju0n1QAHw&amp;utm_content=226712652&amp;utm_source=hs_email</w:t>
        </w:r>
      </w:hyperlink>
    </w:p>
    <w:p w14:paraId="3E5AE0A8" w14:textId="77777777" w:rsidR="00477016" w:rsidRDefault="00477016" w:rsidP="00477016">
      <w:pPr>
        <w:pStyle w:val="NormalWeb"/>
        <w:rPr>
          <w:b/>
          <w:bCs/>
        </w:rPr>
      </w:pPr>
      <w:r>
        <w:rPr>
          <w:b/>
          <w:bCs/>
        </w:rPr>
        <w:t xml:space="preserve">Legal Lesson Learned: Supervisor’s negative comments such as “Calendar girl” can be basis of disparate treatment litigation. </w:t>
      </w:r>
    </w:p>
    <w:p w14:paraId="1AAD3E72" w14:textId="77777777" w:rsidR="00477016" w:rsidRPr="00477016" w:rsidRDefault="00477016" w:rsidP="00F326E5">
      <w:pPr>
        <w:pStyle w:val="NoSpacing"/>
        <w:rPr>
          <w:rFonts w:ascii="Arial Black" w:hAnsi="Arial Black"/>
          <w:b/>
          <w:bCs/>
          <w:sz w:val="24"/>
          <w:szCs w:val="24"/>
        </w:rPr>
      </w:pPr>
    </w:p>
    <w:p w14:paraId="7DA9F968" w14:textId="77777777" w:rsidR="00477016" w:rsidRDefault="00477016" w:rsidP="00F326E5">
      <w:pPr>
        <w:pStyle w:val="NoSpacing"/>
        <w:rPr>
          <w:rFonts w:ascii="Arial Black" w:hAnsi="Arial Black"/>
          <w:sz w:val="24"/>
          <w:szCs w:val="24"/>
        </w:rPr>
      </w:pPr>
    </w:p>
    <w:p w14:paraId="1DA93E07" w14:textId="03415D6E" w:rsidR="00227BDE" w:rsidRDefault="00227BDE" w:rsidP="00F326E5">
      <w:pPr>
        <w:pStyle w:val="NoSpacing"/>
        <w:rPr>
          <w:rFonts w:ascii="Arial Black" w:hAnsi="Arial Black"/>
          <w:sz w:val="24"/>
          <w:szCs w:val="24"/>
        </w:rPr>
      </w:pPr>
      <w:r>
        <w:rPr>
          <w:rFonts w:ascii="Arial Black" w:hAnsi="Arial Black"/>
          <w:sz w:val="24"/>
          <w:szCs w:val="24"/>
        </w:rPr>
        <w:t>7-50</w:t>
      </w:r>
    </w:p>
    <w:p w14:paraId="27E6132D" w14:textId="77777777" w:rsidR="00227BDE" w:rsidRDefault="00227BDE" w:rsidP="00F326E5">
      <w:pPr>
        <w:pStyle w:val="NoSpacing"/>
        <w:rPr>
          <w:rFonts w:ascii="Arial Black" w:hAnsi="Arial Black"/>
          <w:sz w:val="24"/>
          <w:szCs w:val="24"/>
        </w:rPr>
      </w:pPr>
    </w:p>
    <w:p w14:paraId="26CAF472" w14:textId="77777777" w:rsidR="00227BDE" w:rsidRPr="003D49D7" w:rsidRDefault="00227BDE" w:rsidP="00227BDE">
      <w:pPr>
        <w:pStyle w:val="NoSpacing"/>
        <w:rPr>
          <w:rFonts w:ascii="Arial Black" w:hAnsi="Arial Black"/>
          <w:sz w:val="28"/>
          <w:szCs w:val="28"/>
        </w:rPr>
      </w:pPr>
      <w:r w:rsidRPr="003D49D7">
        <w:rPr>
          <w:rFonts w:ascii="Arial Black" w:hAnsi="Arial Black"/>
          <w:sz w:val="28"/>
          <w:szCs w:val="28"/>
        </w:rPr>
        <w:t xml:space="preserve">OH (4/19/2023): EMT </w:t>
      </w:r>
      <w:r>
        <w:rPr>
          <w:rFonts w:ascii="Arial Black" w:hAnsi="Arial Black"/>
          <w:sz w:val="28"/>
          <w:szCs w:val="28"/>
        </w:rPr>
        <w:t xml:space="preserve">IS </w:t>
      </w:r>
      <w:r w:rsidRPr="003D49D7">
        <w:rPr>
          <w:rFonts w:ascii="Arial Black" w:hAnsi="Arial Black"/>
          <w:sz w:val="28"/>
          <w:szCs w:val="28"/>
        </w:rPr>
        <w:t xml:space="preserve">TRANSGENDER WOMAN – FIRED FOR </w:t>
      </w:r>
      <w:r>
        <w:rPr>
          <w:rFonts w:ascii="Arial Black" w:hAnsi="Arial Black"/>
          <w:sz w:val="28"/>
          <w:szCs w:val="28"/>
        </w:rPr>
        <w:t xml:space="preserve">NEG. </w:t>
      </w:r>
      <w:r w:rsidRPr="003D49D7">
        <w:rPr>
          <w:rFonts w:ascii="Arial Black" w:hAnsi="Arial Black"/>
          <w:sz w:val="28"/>
          <w:szCs w:val="28"/>
        </w:rPr>
        <w:t>COMMENTS HOSPITAL STAFF –</w:t>
      </w:r>
      <w:r>
        <w:rPr>
          <w:rFonts w:ascii="Arial Black" w:hAnsi="Arial Black"/>
          <w:sz w:val="28"/>
          <w:szCs w:val="28"/>
        </w:rPr>
        <w:t xml:space="preserve"> CASE BE </w:t>
      </w:r>
      <w:r w:rsidRPr="003D49D7">
        <w:rPr>
          <w:rFonts w:ascii="Arial Black" w:hAnsi="Arial Black"/>
          <w:sz w:val="28"/>
          <w:szCs w:val="28"/>
        </w:rPr>
        <w:t>DISMISSED</w:t>
      </w:r>
    </w:p>
    <w:p w14:paraId="531073EF" w14:textId="77777777" w:rsidR="00227BDE" w:rsidRDefault="00227BDE" w:rsidP="00227BDE">
      <w:pPr>
        <w:pStyle w:val="NoSpacing"/>
      </w:pPr>
    </w:p>
    <w:p w14:paraId="393C6C58"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Rayne S. Fedder v. Ohio Medical Transportation, Inc</w:t>
      </w:r>
      <w:r w:rsidRPr="003C1643">
        <w:rPr>
          <w:rFonts w:ascii="Times New Roman" w:hAnsi="Times New Roman"/>
          <w:sz w:val="24"/>
          <w:szCs w:val="24"/>
        </w:rPr>
        <w:t xml:space="preserve">., U. S. Magistrate Judge Chelsey M. </w:t>
      </w:r>
      <w:proofErr w:type="spellStart"/>
      <w:r w:rsidRPr="003C1643">
        <w:rPr>
          <w:rFonts w:ascii="Times New Roman" w:hAnsi="Times New Roman"/>
          <w:sz w:val="24"/>
          <w:szCs w:val="24"/>
        </w:rPr>
        <w:t>Vascura</w:t>
      </w:r>
      <w:proofErr w:type="spellEnd"/>
      <w:r w:rsidRPr="003C1643">
        <w:rPr>
          <w:rFonts w:ascii="Times New Roman" w:hAnsi="Times New Roman"/>
          <w:sz w:val="24"/>
          <w:szCs w:val="24"/>
        </w:rPr>
        <w:t xml:space="preserve">, U.S. District Court for Southern District of Ohio, Eastern Division. </w:t>
      </w:r>
    </w:p>
    <w:p w14:paraId="412D34B6" w14:textId="77777777" w:rsidR="00227BDE" w:rsidRPr="003C1643" w:rsidRDefault="00227BDE" w:rsidP="00227BDE">
      <w:pPr>
        <w:pStyle w:val="NoSpacing"/>
        <w:rPr>
          <w:rFonts w:ascii="Times New Roman" w:hAnsi="Times New Roman"/>
          <w:sz w:val="24"/>
          <w:szCs w:val="24"/>
        </w:rPr>
      </w:pPr>
      <w:hyperlink r:id="rId1345" w:history="1">
        <w:r w:rsidRPr="003C1643">
          <w:rPr>
            <w:rStyle w:val="Hyperlink"/>
            <w:rFonts w:ascii="Times New Roman" w:hAnsi="Times New Roman"/>
            <w:sz w:val="24"/>
            <w:szCs w:val="24"/>
          </w:rPr>
          <w:t>https://public.fastcase.com/ZZhmr5v9wN%2FXOe5IsQ%2FqD%2Bhqb5sNCIqd5RJe%2FxM2hjFRyaJ31hb16ZTOa0HcnlDHTYd64r6bH4XUHVSC8TORCsm2%2BcMn7uR9MfnM7VfyK9g%3D?utm_medium=email&amp;_hsmi=226712652&amp;_hsenc=p2ANqtz-9j81kRsw27tcbjTzGhgoW98dbte_kRv0VGtzskzMbh4aiP0Af373qngGXkbsJh41xl15DsBfvJ97QkgeVHOPx0003AwA&amp;utm_content=226712652&amp;utm_source=hs_email</w:t>
        </w:r>
      </w:hyperlink>
      <w:r w:rsidRPr="003C1643">
        <w:rPr>
          <w:rFonts w:ascii="Times New Roman" w:hAnsi="Times New Roman"/>
          <w:sz w:val="24"/>
          <w:szCs w:val="24"/>
        </w:rPr>
        <w:t xml:space="preserve"> </w:t>
      </w:r>
    </w:p>
    <w:p w14:paraId="7E4BEF92"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rPr>
        <w:t xml:space="preserve"> </w:t>
      </w:r>
    </w:p>
    <w:p w14:paraId="4232C2DA" w14:textId="77777777" w:rsidR="00227BDE" w:rsidRPr="00A5293B" w:rsidRDefault="00227BDE" w:rsidP="00227BDE">
      <w:pPr>
        <w:pStyle w:val="NoSpacing"/>
        <w:rPr>
          <w:b/>
          <w:bCs/>
        </w:rPr>
      </w:pPr>
      <w:r w:rsidRPr="003C1643">
        <w:rPr>
          <w:rFonts w:ascii="Times New Roman" w:hAnsi="Times New Roman"/>
          <w:b/>
          <w:bCs/>
          <w:sz w:val="24"/>
          <w:szCs w:val="24"/>
        </w:rPr>
        <w:t>Legal Lesson Learned: EMS must act professionally, not only with patients but also with hospital staff</w:t>
      </w:r>
      <w:r>
        <w:rPr>
          <w:b/>
          <w:bCs/>
        </w:rPr>
        <w:t xml:space="preserve">. </w:t>
      </w:r>
    </w:p>
    <w:p w14:paraId="0B8274E4" w14:textId="77777777" w:rsidR="00227BDE" w:rsidRDefault="00227BDE" w:rsidP="00F326E5">
      <w:pPr>
        <w:pStyle w:val="NoSpacing"/>
        <w:rPr>
          <w:rFonts w:ascii="Arial Black" w:hAnsi="Arial Black"/>
          <w:sz w:val="24"/>
          <w:szCs w:val="24"/>
        </w:rPr>
      </w:pPr>
    </w:p>
    <w:p w14:paraId="7D24C695" w14:textId="77777777" w:rsidR="00227BDE" w:rsidRDefault="00227BDE" w:rsidP="00F326E5">
      <w:pPr>
        <w:pStyle w:val="NoSpacing"/>
        <w:rPr>
          <w:rFonts w:ascii="Arial Black" w:hAnsi="Arial Black"/>
          <w:sz w:val="24"/>
          <w:szCs w:val="24"/>
        </w:rPr>
      </w:pPr>
    </w:p>
    <w:p w14:paraId="3CFF1B6C" w14:textId="00BD66FE" w:rsidR="00104A4C" w:rsidRDefault="003F788B" w:rsidP="00F326E5">
      <w:pPr>
        <w:pStyle w:val="NoSpacing"/>
        <w:rPr>
          <w:rFonts w:ascii="Arial Black" w:hAnsi="Arial Black"/>
          <w:sz w:val="24"/>
          <w:szCs w:val="24"/>
        </w:rPr>
      </w:pPr>
      <w:r>
        <w:rPr>
          <w:rFonts w:ascii="Arial Black" w:hAnsi="Arial Black"/>
          <w:sz w:val="24"/>
          <w:szCs w:val="24"/>
        </w:rPr>
        <w:t>7-49</w:t>
      </w:r>
    </w:p>
    <w:p w14:paraId="5EA3B7A5" w14:textId="49C91F1D" w:rsidR="003F788B" w:rsidRDefault="003F788B" w:rsidP="00F326E5">
      <w:pPr>
        <w:pStyle w:val="NoSpacing"/>
        <w:rPr>
          <w:rFonts w:ascii="Arial Black" w:hAnsi="Arial Black"/>
          <w:sz w:val="24"/>
          <w:szCs w:val="24"/>
        </w:rPr>
      </w:pPr>
    </w:p>
    <w:p w14:paraId="5FD56BF8" w14:textId="77777777" w:rsidR="003F788B" w:rsidRDefault="003F788B" w:rsidP="003F788B">
      <w:pPr>
        <w:pStyle w:val="NormalWeb"/>
        <w:rPr>
          <w:rFonts w:ascii="Arial Black" w:hAnsi="Arial Black"/>
          <w:b/>
          <w:bCs/>
          <w:sz w:val="28"/>
          <w:szCs w:val="28"/>
        </w:rPr>
      </w:pPr>
      <w:r>
        <w:rPr>
          <w:rFonts w:ascii="Arial Black" w:hAnsi="Arial Black"/>
          <w:b/>
          <w:bCs/>
          <w:sz w:val="28"/>
          <w:szCs w:val="28"/>
        </w:rPr>
        <w:t>PA: CRUDE COMMENTS BY MALE SENIOR EMS TO FEMALE EMT – ONE INCIDENT - NOT “HOSTILE WORKPLACE”</w:t>
      </w:r>
    </w:p>
    <w:p w14:paraId="199BFE36" w14:textId="77777777" w:rsidR="003F788B" w:rsidRDefault="003F788B" w:rsidP="003F788B">
      <w:pPr>
        <w:pStyle w:val="NormalWeb"/>
      </w:pPr>
      <w:r>
        <w:lastRenderedPageBreak/>
        <w:t xml:space="preserve">On March 22, 2023, in </w:t>
      </w:r>
      <w:r>
        <w:rPr>
          <w:u w:val="single"/>
        </w:rPr>
        <w:t>Tracy Szyper v. American Medical Response Mid-Atlantic, Inc., et al</w:t>
      </w:r>
      <w:r>
        <w:t>., the U.S. Court of Appeals for Third Circuit (Philadelphia), held (3 to 0; “</w:t>
      </w:r>
      <w:proofErr w:type="gramStart"/>
      <w:r>
        <w:t>Non Precedential</w:t>
      </w:r>
      <w:proofErr w:type="gramEnd"/>
      <w:r>
        <w:t xml:space="preserve">” decision) upheld the dismissal of the lawsuit by U.S. District Court judge Chad F. Kenney.  The plaintiff had only been on the job for one month, when a senior EMS person made crude remarks to her.  When the company did not fire the employee, she resigned and sued.  </w:t>
      </w:r>
    </w:p>
    <w:p w14:paraId="10740D6D" w14:textId="77777777" w:rsidR="003F788B" w:rsidRDefault="003F788B" w:rsidP="003F788B">
      <w:pPr>
        <w:pStyle w:val="NormalWeb"/>
        <w:ind w:left="720"/>
      </w:pPr>
      <w:r>
        <w:t>The 3</w:t>
      </w:r>
      <w:r>
        <w:rPr>
          <w:vertAlign w:val="superscript"/>
        </w:rPr>
        <w:t>rd</w:t>
      </w:r>
      <w:r>
        <w:t xml:space="preserve"> Circuit held: “District Court granted the Defendants' motions for summary judgment on all claims "because the record evidence, even when viewed in the light most favorable to Plaintiff, does not establish that the alleged harassment was sufficiently 'severe or pervasive' to rise to the level of a Title VII or PHRA violation. *** We agree with the District Court that Szyper did not show that Brock's conduct was sufficiently ‘severe or pervasive’ as to ‘alter the conditions of [her] employment and create an abusive working environment.’ </w:t>
      </w:r>
      <w:r>
        <w:rPr>
          <w:rStyle w:val="Emphasis"/>
        </w:rPr>
        <w:t>Meritor Sav. Bank, FSB</w:t>
      </w:r>
      <w:r>
        <w:t xml:space="preserve">, 477 U.S. at 67 (citation and quotation marks omitted). When assessing hostility or abusiveness, courts must look ‘at all the </w:t>
      </w:r>
      <w:proofErr w:type="gramStart"/>
      <w:r>
        <w:t>circumstances,’</w:t>
      </w:r>
      <w:proofErr w:type="gramEnd"/>
      <w:r>
        <w:t xml:space="preserve"> such as the ‘frequency of </w:t>
      </w:r>
      <w:proofErr w:type="gramStart"/>
      <w:r>
        <w:t>the discriminatory</w:t>
      </w:r>
      <w:proofErr w:type="gramEnd"/>
      <w:r>
        <w:t xml:space="preserve"> conduct; its severity; whether it is physically threatening or humiliating, or a mere offensive utterance; and whether it unreasonably interferes with an employee's work performance.’ </w:t>
      </w:r>
      <w:r>
        <w:rPr>
          <w:rStyle w:val="Emphasis"/>
        </w:rPr>
        <w:t>Faragher v. City of Boca Raton,</w:t>
      </w:r>
      <w:r>
        <w:t xml:space="preserve"> 524 U.S. 775, 787-88 (1998) (citation omitted). ‘[O]</w:t>
      </w:r>
      <w:proofErr w:type="spellStart"/>
      <w:r>
        <w:t>ffhand</w:t>
      </w:r>
      <w:proofErr w:type="spellEnd"/>
      <w:r>
        <w:t xml:space="preserve"> comments[ ] and isolated incidents (unless extremely serious) will not amount to discriminatory changes in the 'terms and conditions of employment.'’ </w:t>
      </w:r>
      <w:r>
        <w:rPr>
          <w:rStyle w:val="Emphasis"/>
        </w:rPr>
        <w:t>Id.</w:t>
      </w:r>
      <w:r>
        <w:t xml:space="preserve"> at 788.” </w:t>
      </w:r>
      <w:hyperlink r:id="rId1346" w:history="1">
        <w:r>
          <w:rPr>
            <w:rStyle w:val="Hyperlink"/>
          </w:rPr>
          <w:t>https://www2.ca3.uscourts.gov/opinarch/213272np.pdf</w:t>
        </w:r>
      </w:hyperlink>
      <w:r>
        <w:t xml:space="preserve"> </w:t>
      </w:r>
    </w:p>
    <w:p w14:paraId="4F33BDBA" w14:textId="77777777" w:rsidR="003F788B" w:rsidRDefault="003F788B" w:rsidP="003F788B">
      <w:pPr>
        <w:pStyle w:val="NormalWeb"/>
        <w:ind w:left="720" w:firstLine="60"/>
      </w:pPr>
      <w:r>
        <w:t>“AMR hired Szyper to work as an emergency medical technician…. About a month after Szyper started, [Mr.] Leslie Brock, a more senior employee, grabbed Szyper's wrist and made two crude and offensive sexual comments.</w:t>
      </w:r>
      <w:r>
        <w:rPr>
          <w:vertAlign w:val="superscript"/>
        </w:rPr>
        <w:t xml:space="preserve">  1 </w:t>
      </w:r>
      <w:r>
        <w:t xml:space="preserve"> </w:t>
      </w:r>
    </w:p>
    <w:p w14:paraId="0F026C14" w14:textId="77777777" w:rsidR="003F788B" w:rsidRDefault="003F788B" w:rsidP="003F788B">
      <w:pPr>
        <w:pStyle w:val="NormalWeb"/>
        <w:ind w:left="1440"/>
      </w:pPr>
      <w:r>
        <w:t xml:space="preserve">[Footnote 1] Szyper documented the incident in a report recounting that ‘Brock had told me to cover my ears. I looked at him &amp; said </w:t>
      </w:r>
      <w:proofErr w:type="gramStart"/>
      <w:r>
        <w:t>jokingly</w:t>
      </w:r>
      <w:proofErr w:type="gramEnd"/>
      <w:r>
        <w:t xml:space="preserve"> 'I'm not listening to you anyway.' He asked me again to cover my ears. I cupped my hands over my ears but could still hear what was said. Brock said to [two other employees], 'that made my dick hard.' I </w:t>
      </w:r>
      <w:proofErr w:type="spellStart"/>
      <w:r>
        <w:t>uncupped</w:t>
      </w:r>
      <w:proofErr w:type="spellEnd"/>
      <w:r>
        <w:t xml:space="preserve"> my hands and told him I heard what he said. Brock then proceeded to grab me </w:t>
      </w:r>
      <w:proofErr w:type="gramStart"/>
      <w:r>
        <w:t>by</w:t>
      </w:r>
      <w:proofErr w:type="gramEnd"/>
      <w:r>
        <w:t xml:space="preserve"> my wrist and say something along the lines of 'Help me fix my problem.' I told him to 'get the fuck off me.' I proceeded to put my cigarette out and go back inside. This incident made me feel extremely uncomfortable." </w:t>
      </w:r>
    </w:p>
    <w:p w14:paraId="6AF8F722" w14:textId="77777777" w:rsidR="003F788B" w:rsidRDefault="003F788B" w:rsidP="003F788B">
      <w:pPr>
        <w:pStyle w:val="NormalWeb"/>
        <w:ind w:left="720"/>
      </w:pPr>
      <w:r>
        <w:t xml:space="preserve">Szyper filed a complaint and was interviewed by Daniel Brown, AMR's operations manager in charge of AMR's Essington Avenue location, and </w:t>
      </w:r>
      <w:proofErr w:type="spellStart"/>
      <w:r>
        <w:t>Sonsaraye</w:t>
      </w:r>
      <w:proofErr w:type="spellEnd"/>
      <w:r>
        <w:t xml:space="preserve"> Byers, an AMR human resources generalist…. Szyper alleged no other incidents of harassment by Brock or any other AMR employees. Byers recommended Brock's termination…. Brown preferred sanctions short of firing, a conclusion shared by Edward Powers, the AMR regional director responsible for Brock's discipline…. AMR issued Brock a ‘Final Written Warning’ for inappropriate behavior, punishment just short of termination…. Szyper resigned from AMR as a result, stating she could not continue working with Brock.’”</w:t>
      </w:r>
    </w:p>
    <w:p w14:paraId="6C2DB235" w14:textId="77777777" w:rsidR="003F788B" w:rsidRDefault="003F788B" w:rsidP="003F788B">
      <w:pPr>
        <w:pStyle w:val="NormalWeb"/>
        <w:rPr>
          <w:b/>
          <w:bCs/>
        </w:rPr>
      </w:pPr>
      <w:r>
        <w:rPr>
          <w:b/>
          <w:bCs/>
        </w:rPr>
        <w:t>Legal Lesson Learned: Inappropriate comments, worthy of discipline; but hard to understand how this resulted in a lawsuit and an appeal to 3</w:t>
      </w:r>
      <w:r>
        <w:rPr>
          <w:b/>
          <w:bCs/>
          <w:vertAlign w:val="superscript"/>
        </w:rPr>
        <w:t>rd</w:t>
      </w:r>
      <w:r>
        <w:rPr>
          <w:b/>
          <w:bCs/>
        </w:rPr>
        <w:t xml:space="preserve"> Circuit. </w:t>
      </w:r>
    </w:p>
    <w:p w14:paraId="43BB8423" w14:textId="77777777" w:rsidR="003F788B" w:rsidRDefault="003F788B" w:rsidP="00F326E5">
      <w:pPr>
        <w:pStyle w:val="NoSpacing"/>
        <w:rPr>
          <w:rFonts w:ascii="Arial Black" w:hAnsi="Arial Black"/>
          <w:sz w:val="24"/>
          <w:szCs w:val="24"/>
        </w:rPr>
      </w:pPr>
    </w:p>
    <w:p w14:paraId="5725F227" w14:textId="77777777" w:rsidR="003F788B" w:rsidRDefault="003F788B" w:rsidP="00F326E5">
      <w:pPr>
        <w:pStyle w:val="NoSpacing"/>
        <w:rPr>
          <w:rFonts w:ascii="Arial Black" w:hAnsi="Arial Black"/>
          <w:sz w:val="24"/>
          <w:szCs w:val="24"/>
        </w:rPr>
      </w:pPr>
    </w:p>
    <w:p w14:paraId="364E43AD" w14:textId="77777777" w:rsidR="003F788B" w:rsidRDefault="003F788B" w:rsidP="00F326E5">
      <w:pPr>
        <w:pStyle w:val="NoSpacing"/>
        <w:rPr>
          <w:rFonts w:ascii="Arial Black" w:hAnsi="Arial Black"/>
          <w:sz w:val="24"/>
          <w:szCs w:val="24"/>
        </w:rPr>
      </w:pPr>
    </w:p>
    <w:p w14:paraId="2380AA56" w14:textId="65C79FE7" w:rsidR="00104A4C" w:rsidRDefault="00104A4C" w:rsidP="00F326E5">
      <w:pPr>
        <w:pStyle w:val="NoSpacing"/>
        <w:rPr>
          <w:rFonts w:ascii="Arial Black" w:hAnsi="Arial Black"/>
          <w:sz w:val="24"/>
          <w:szCs w:val="24"/>
        </w:rPr>
      </w:pPr>
      <w:r>
        <w:rPr>
          <w:rFonts w:ascii="Arial Black" w:hAnsi="Arial Black"/>
          <w:sz w:val="24"/>
          <w:szCs w:val="24"/>
        </w:rPr>
        <w:t>7-48</w:t>
      </w:r>
    </w:p>
    <w:p w14:paraId="2485684A" w14:textId="77777777" w:rsidR="00104A4C" w:rsidRPr="00DF5D1F" w:rsidRDefault="00104A4C" w:rsidP="00104A4C">
      <w:pPr>
        <w:pStyle w:val="Heading1"/>
        <w:rPr>
          <w:rFonts w:ascii="Arial Black" w:hAnsi="Arial Black"/>
          <w:sz w:val="28"/>
          <w:szCs w:val="28"/>
        </w:rPr>
      </w:pPr>
      <w:r>
        <w:rPr>
          <w:rFonts w:ascii="Arial Black" w:hAnsi="Arial Black"/>
          <w:sz w:val="28"/>
          <w:szCs w:val="28"/>
        </w:rPr>
        <w:t xml:space="preserve">DOL: NURSING MOTHERS – FEDERAL “PUMP ACT” – REQUIRES EMPLOYER PROVIDE PRIVATE PLACE TO PUMP </w:t>
      </w:r>
    </w:p>
    <w:p w14:paraId="2CFEA864" w14:textId="77777777" w:rsidR="00104A4C" w:rsidRPr="00DF5D1F" w:rsidRDefault="00104A4C" w:rsidP="00104A4C">
      <w:pPr>
        <w:pStyle w:val="Heading1"/>
        <w:rPr>
          <w:sz w:val="24"/>
          <w:szCs w:val="24"/>
        </w:rPr>
      </w:pPr>
      <w:r>
        <w:rPr>
          <w:b w:val="0"/>
          <w:bCs w:val="0"/>
          <w:sz w:val="24"/>
          <w:szCs w:val="24"/>
        </w:rPr>
        <w:lastRenderedPageBreak/>
        <w:t xml:space="preserve">The U.S. Department of Labor, Wage &amp; Hour Division, has published guidance that Fire &amp; EMS department may find helpful.  All </w:t>
      </w:r>
      <w:proofErr w:type="gramStart"/>
      <w:r>
        <w:rPr>
          <w:b w:val="0"/>
          <w:bCs w:val="0"/>
          <w:sz w:val="24"/>
          <w:szCs w:val="24"/>
        </w:rPr>
        <w:t>employers</w:t>
      </w:r>
      <w:proofErr w:type="gramEnd"/>
      <w:r>
        <w:rPr>
          <w:b w:val="0"/>
          <w:bCs w:val="0"/>
          <w:sz w:val="24"/>
          <w:szCs w:val="24"/>
        </w:rPr>
        <w:t xml:space="preserve"> covered by Fair Labor Standards Act, including Fire &amp; EMS departments, must comply with the new law.  </w:t>
      </w:r>
      <w:r w:rsidRPr="00DF5D1F">
        <w:rPr>
          <w:b w:val="0"/>
          <w:bCs w:val="0"/>
          <w:sz w:val="24"/>
          <w:szCs w:val="24"/>
        </w:rPr>
        <w:t xml:space="preserve">“Frequently Asked Questions – Break Time for Nursing Mothers.” </w:t>
      </w:r>
      <w:hyperlink r:id="rId1347" w:history="1">
        <w:r w:rsidRPr="00DF5D1F">
          <w:rPr>
            <w:rStyle w:val="Hyperlink"/>
            <w:rFonts w:eastAsiaTheme="majorEastAsia"/>
            <w:b w:val="0"/>
            <w:bCs w:val="0"/>
            <w:sz w:val="24"/>
            <w:szCs w:val="24"/>
          </w:rPr>
          <w:t>https://www.dol.gov/agencies/whd/nursing-mothers/faq</w:t>
        </w:r>
      </w:hyperlink>
      <w:r>
        <w:rPr>
          <w:sz w:val="24"/>
          <w:szCs w:val="24"/>
        </w:rPr>
        <w:t xml:space="preserve"> </w:t>
      </w:r>
    </w:p>
    <w:p w14:paraId="408EBF12" w14:textId="77777777" w:rsidR="00104A4C" w:rsidRDefault="00104A4C" w:rsidP="00104A4C">
      <w:pPr>
        <w:pStyle w:val="Heading1"/>
        <w:ind w:left="720"/>
        <w:rPr>
          <w:b w:val="0"/>
          <w:bCs w:val="0"/>
          <w:sz w:val="24"/>
          <w:szCs w:val="24"/>
        </w:rPr>
      </w:pPr>
      <w:r>
        <w:rPr>
          <w:b w:val="0"/>
          <w:bCs w:val="0"/>
          <w:sz w:val="24"/>
          <w:szCs w:val="24"/>
        </w:rPr>
        <w:t>“</w:t>
      </w:r>
      <w:r w:rsidRPr="00C83B69">
        <w:rPr>
          <w:b w:val="0"/>
          <w:bCs w:val="0"/>
          <w:sz w:val="24"/>
          <w:szCs w:val="24"/>
        </w:rPr>
        <w:t>On December 29, 2022, President Biden signed the Consolidated Appropriations Act, 2023, into law. The law includes the PUMP for Nursing Mothers Act (“PUMP Act”), which extends to more nursing employees the rights to receive break time to pump and a private place to pump at work and may impact some of the other information provided below. Under the PUMP Act, most nursing employees have the right to reasonable break time and a place, other than a bathroom, that is shielded from view to express breast milk while at work. This right is available for up to one year after the child’s birth.</w:t>
      </w:r>
    </w:p>
    <w:p w14:paraId="3F44FEF7" w14:textId="77777777" w:rsidR="00104A4C" w:rsidRDefault="00104A4C" w:rsidP="00104A4C">
      <w:pPr>
        <w:pStyle w:val="Heading1"/>
        <w:ind w:left="720"/>
        <w:rPr>
          <w:b w:val="0"/>
          <w:bCs w:val="0"/>
          <w:sz w:val="24"/>
          <w:szCs w:val="24"/>
        </w:rPr>
      </w:pPr>
      <w:r>
        <w:rPr>
          <w:b w:val="0"/>
          <w:bCs w:val="0"/>
          <w:sz w:val="24"/>
          <w:szCs w:val="24"/>
        </w:rPr>
        <w:t>***</w:t>
      </w:r>
    </w:p>
    <w:p w14:paraId="54F61302" w14:textId="77777777" w:rsidR="00104A4C" w:rsidRPr="00CA5605" w:rsidRDefault="00104A4C" w:rsidP="00104A4C">
      <w:pPr>
        <w:pStyle w:val="Heading3"/>
        <w:ind w:left="720"/>
        <w:rPr>
          <w:rFonts w:ascii="Times New Roman" w:hAnsi="Times New Roman" w:cs="Times New Roman"/>
          <w:color w:val="auto"/>
        </w:rPr>
      </w:pPr>
      <w:r w:rsidRPr="00CA5605">
        <w:rPr>
          <w:rFonts w:ascii="Times New Roman" w:hAnsi="Times New Roman" w:cs="Times New Roman"/>
          <w:color w:val="auto"/>
        </w:rPr>
        <w:t>What must an employer provide to workers who need to express breast milk in the workplace?</w:t>
      </w:r>
    </w:p>
    <w:p w14:paraId="7F44264A" w14:textId="77777777" w:rsidR="00104A4C" w:rsidRDefault="00104A4C" w:rsidP="00104A4C">
      <w:pPr>
        <w:pStyle w:val="NormalWeb"/>
        <w:ind w:left="720"/>
      </w:pPr>
      <w:r>
        <w:t>Employers are required to provide a reasonable amount of break time and a space to express milk as frequently as needed by the nursing mother, for up to one year following the birth of the employee’s child. The frequency of breaks needed to express breast milk as well as the duration of each break will likely vary. The space provided by the employer cannot be a bathroom and it must be shielded from view and free from intrusion by coworkers or the public.</w:t>
      </w:r>
    </w:p>
    <w:p w14:paraId="747DDAAB" w14:textId="77777777" w:rsidR="00104A4C" w:rsidRDefault="00104A4C" w:rsidP="00104A4C">
      <w:pPr>
        <w:pStyle w:val="NormalWeb"/>
        <w:ind w:left="720"/>
      </w:pPr>
      <w:r>
        <w:t>***</w:t>
      </w:r>
    </w:p>
    <w:p w14:paraId="1B3AC0A5" w14:textId="77777777" w:rsidR="00104A4C" w:rsidRPr="00CA5605" w:rsidRDefault="00104A4C" w:rsidP="00104A4C">
      <w:pPr>
        <w:pStyle w:val="Heading3"/>
        <w:ind w:left="720"/>
        <w:rPr>
          <w:rFonts w:ascii="Times New Roman" w:hAnsi="Times New Roman" w:cs="Times New Roman"/>
          <w:color w:val="auto"/>
        </w:rPr>
      </w:pPr>
      <w:r w:rsidRPr="00CA5605">
        <w:rPr>
          <w:rFonts w:ascii="Times New Roman" w:hAnsi="Times New Roman" w:cs="Times New Roman"/>
          <w:color w:val="auto"/>
        </w:rPr>
        <w:t>Do employers need to create a permanent, dedicated space for use by nursing mother employees?</w:t>
      </w:r>
    </w:p>
    <w:p w14:paraId="37FD2A6C" w14:textId="77777777" w:rsidR="00104A4C" w:rsidRDefault="00104A4C" w:rsidP="00104A4C">
      <w:pPr>
        <w:pStyle w:val="NormalWeb"/>
        <w:ind w:left="720"/>
      </w:pPr>
      <w:r>
        <w:t xml:space="preserve">No. A space temporarily created or converted into a space for expressing milk or made available when needed by the nursing mother is sufficient provided that the space is shielded from view, and free from any intrusion from co-workers and the public. The location provided must be functional as a space for expressing breast milk. If the space is not dedicated to </w:t>
      </w:r>
      <w:proofErr w:type="gramStart"/>
      <w:r>
        <w:t>the nursing</w:t>
      </w:r>
      <w:proofErr w:type="gramEnd"/>
      <w:r>
        <w:t xml:space="preserve"> mothers’ use, it must be available when needed </w:t>
      </w:r>
      <w:proofErr w:type="gramStart"/>
      <w:r>
        <w:t>in order to</w:t>
      </w:r>
      <w:proofErr w:type="gramEnd"/>
      <w:r>
        <w:t xml:space="preserve"> meet the statutory requirement. Of course, employers may choose to create permanent, dedicated space if they determine that is the best way to meet their obligations under the law.”</w:t>
      </w:r>
    </w:p>
    <w:p w14:paraId="065138B8" w14:textId="77777777" w:rsidR="00104A4C" w:rsidRPr="00CA5605" w:rsidRDefault="00104A4C" w:rsidP="00104A4C">
      <w:pPr>
        <w:pStyle w:val="NormalWeb"/>
        <w:rPr>
          <w:b/>
          <w:bCs/>
        </w:rPr>
      </w:pPr>
      <w:r w:rsidRPr="00CA5605">
        <w:rPr>
          <w:b/>
          <w:bCs/>
        </w:rPr>
        <w:t>Legal Lesson Learned:</w:t>
      </w:r>
      <w:r>
        <w:rPr>
          <w:b/>
          <w:bCs/>
        </w:rPr>
        <w:t xml:space="preserve"> Fire &amp; EMS departments must comply with this new federal law if they have nursing mothers. </w:t>
      </w:r>
    </w:p>
    <w:p w14:paraId="2691054F" w14:textId="77777777" w:rsidR="00104A4C" w:rsidRDefault="00104A4C" w:rsidP="00F326E5">
      <w:pPr>
        <w:pStyle w:val="NoSpacing"/>
        <w:rPr>
          <w:rFonts w:ascii="Arial Black" w:hAnsi="Arial Black"/>
          <w:sz w:val="24"/>
          <w:szCs w:val="24"/>
        </w:rPr>
      </w:pPr>
    </w:p>
    <w:p w14:paraId="75BD7FCD" w14:textId="77777777" w:rsidR="00104A4C" w:rsidRDefault="00104A4C" w:rsidP="00F326E5">
      <w:pPr>
        <w:pStyle w:val="NoSpacing"/>
        <w:rPr>
          <w:rFonts w:ascii="Arial Black" w:hAnsi="Arial Black"/>
          <w:sz w:val="24"/>
          <w:szCs w:val="24"/>
        </w:rPr>
      </w:pPr>
    </w:p>
    <w:p w14:paraId="0B227DBC" w14:textId="1A13695B" w:rsidR="00BA3CDE" w:rsidRDefault="00BA3CDE" w:rsidP="00F326E5">
      <w:pPr>
        <w:pStyle w:val="NoSpacing"/>
        <w:rPr>
          <w:rFonts w:ascii="Arial Black" w:hAnsi="Arial Black"/>
          <w:sz w:val="24"/>
          <w:szCs w:val="24"/>
        </w:rPr>
      </w:pPr>
      <w:r>
        <w:rPr>
          <w:rFonts w:ascii="Arial Black" w:hAnsi="Arial Black"/>
          <w:sz w:val="24"/>
          <w:szCs w:val="24"/>
        </w:rPr>
        <w:t>7-47</w:t>
      </w:r>
    </w:p>
    <w:p w14:paraId="410E1011" w14:textId="77777777" w:rsidR="00BA3CDE" w:rsidRPr="00EB0580" w:rsidRDefault="00BA3CDE" w:rsidP="00BA3CDE">
      <w:pPr>
        <w:rPr>
          <w:rFonts w:ascii="Arial Black" w:hAnsi="Arial Black"/>
          <w:sz w:val="28"/>
          <w:szCs w:val="28"/>
        </w:rPr>
      </w:pPr>
      <w:r>
        <w:rPr>
          <w:rFonts w:ascii="Arial Black" w:hAnsi="Arial Black"/>
          <w:sz w:val="28"/>
          <w:szCs w:val="28"/>
        </w:rPr>
        <w:t>NB: MEDIC 90 DAYS IN JAIL - PRECEPTOR KISSED STUDENT RIDE-ALONG 3 RUNS – WARNED HER NOT TELL - $1000 FINE</w:t>
      </w:r>
    </w:p>
    <w:p w14:paraId="538B3364" w14:textId="77777777" w:rsidR="00BA3CDE" w:rsidRDefault="00BA3CDE" w:rsidP="00BA3CDE">
      <w:pPr>
        <w:pStyle w:val="NormalWeb"/>
      </w:pPr>
      <w:r>
        <w:t xml:space="preserve">On Dec. 20, 2022, in </w:t>
      </w:r>
      <w:r w:rsidRPr="00FA60DB">
        <w:rPr>
          <w:u w:val="single"/>
        </w:rPr>
        <w:t>State of Nebraska v. Monty Betancur</w:t>
      </w:r>
      <w:r>
        <w:t xml:space="preserve">, the Court of Appeals of Nebraska, held (3 to 0; unpublished decision) affirmed the convictions by a jury of for two counts of </w:t>
      </w:r>
      <w:proofErr w:type="gramStart"/>
      <w:r>
        <w:t>third degree</w:t>
      </w:r>
      <w:proofErr w:type="gramEnd"/>
      <w:r>
        <w:t xml:space="preserve"> sexual assault, one count of </w:t>
      </w:r>
      <w:proofErr w:type="gramStart"/>
      <w:r>
        <w:t>first degree</w:t>
      </w:r>
      <w:proofErr w:type="gramEnd"/>
      <w:r>
        <w:t xml:space="preserve"> false imprisonment, and one count of tampering. On Oct. 11, 2020, </w:t>
      </w:r>
      <w:r>
        <w:rPr>
          <w:rStyle w:val="markedcontent"/>
        </w:rPr>
        <w:t xml:space="preserve">22-year-old Ashley M. _____an EMT (and volunteer FF for 3 years), enrolled in paramedic program at </w:t>
      </w:r>
      <w:r>
        <w:t xml:space="preserve">Western Nebraska Community College, did a ride-along shift from 7 am – 7 pm at Valley Ambulance.   </w:t>
      </w:r>
      <w:proofErr w:type="spellStart"/>
      <w:r>
        <w:t>Betanbcur</w:t>
      </w:r>
      <w:proofErr w:type="spellEnd"/>
      <w:r>
        <w:t xml:space="preserve"> was a preceptor for the paramedic program. The Court described the three runs where he kissed her without consent.</w:t>
      </w:r>
    </w:p>
    <w:p w14:paraId="1E3F6DA7" w14:textId="77777777" w:rsidR="00BA3CDE" w:rsidRDefault="00BA3CDE" w:rsidP="00BA3CDE">
      <w:pPr>
        <w:pStyle w:val="NormalWeb"/>
      </w:pPr>
      <w:r>
        <w:lastRenderedPageBreak/>
        <w:t xml:space="preserve">Run No. 1: </w:t>
      </w:r>
    </w:p>
    <w:p w14:paraId="025E6FD8" w14:textId="77777777" w:rsidR="00BA3CDE" w:rsidRDefault="00BA3CDE" w:rsidP="00BA3CDE">
      <w:pPr>
        <w:pStyle w:val="NormalWeb"/>
      </w:pPr>
      <w:r>
        <w:t xml:space="preserve">“After unloading the patient at the hospital, [EMT Taylor] Severyn reported to the ER nurses while Ashley and Betancur walked back to the ambulance bay to clean the ambulance. Ashley </w:t>
      </w:r>
      <w:proofErr w:type="gramStart"/>
      <w:r>
        <w:t>stated, ‘[</w:t>
      </w:r>
      <w:proofErr w:type="gramEnd"/>
      <w:r>
        <w:t xml:space="preserve">Betancur] pulled me to the backside of the ambulance and kind of [grabbed my arm and] pulled me into him, and then through our facemasks, kissed me on the </w:t>
      </w:r>
      <w:proofErr w:type="gramStart"/>
      <w:r>
        <w:t>lips.’”</w:t>
      </w:r>
      <w:proofErr w:type="gramEnd"/>
    </w:p>
    <w:p w14:paraId="7BF57294" w14:textId="77777777" w:rsidR="00BA3CDE" w:rsidRDefault="00BA3CDE" w:rsidP="00BA3CDE">
      <w:pPr>
        <w:pStyle w:val="NormalWeb"/>
      </w:pPr>
      <w:r>
        <w:t>Run No. 2:</w:t>
      </w:r>
    </w:p>
    <w:p w14:paraId="1239920E" w14:textId="77777777" w:rsidR="00BA3CDE" w:rsidRDefault="00BA3CDE" w:rsidP="00BA3CDE">
      <w:pPr>
        <w:pStyle w:val="NormalWeb"/>
      </w:pPr>
      <w:r>
        <w:t>“According to Ashley, when the signal for the second call went off later that morning, the crew was working on stretcher lifting techniques in the ambulance bay at the station. Ashley testified that Severyn went inside the living quarters ‘and at that time [Betancur] came back over to me and [grabbed my arm and] pulled me back in towards him and kissed me for the second time’ while both were wearing masks.”</w:t>
      </w:r>
    </w:p>
    <w:p w14:paraId="45A4D80F" w14:textId="77777777" w:rsidR="00BA3CDE" w:rsidRDefault="00BA3CDE" w:rsidP="00BA3CDE">
      <w:pPr>
        <w:pStyle w:val="NormalWeb"/>
      </w:pPr>
      <w:r>
        <w:t>Run No. 3:</w:t>
      </w:r>
    </w:p>
    <w:p w14:paraId="6001A165" w14:textId="77777777" w:rsidR="00BA3CDE" w:rsidRDefault="00BA3CDE" w:rsidP="00BA3CDE">
      <w:pPr>
        <w:pStyle w:val="NormalWeb"/>
      </w:pPr>
      <w:r>
        <w:t>“Ashley said she was inserting an IV into the patient's wrist and had the patient's wrist ‘on my right leg and was kind of stabilizing it to insert the IV,’ and ‘[Betancur] had one of his hands helping me stabilize it and the other hand was squeezing the inside of my left thigh the whole time.’</w:t>
      </w:r>
    </w:p>
    <w:p w14:paraId="399999C0" w14:textId="77777777" w:rsidR="00BA3CDE" w:rsidRDefault="00BA3CDE" w:rsidP="00BA3CDE">
      <w:pPr>
        <w:pStyle w:val="NormalWeb"/>
      </w:pPr>
      <w:r>
        <w:t>***</w:t>
      </w:r>
    </w:p>
    <w:p w14:paraId="54AC3078" w14:textId="77777777" w:rsidR="00BA3CDE" w:rsidRDefault="00BA3CDE" w:rsidP="00BA3CDE">
      <w:pPr>
        <w:pStyle w:val="NormalWeb"/>
      </w:pPr>
      <w:r>
        <w:t xml:space="preserve">Ashley stated that when the crew arrived back </w:t>
      </w:r>
      <w:proofErr w:type="gramStart"/>
      <w:r>
        <w:t>to</w:t>
      </w:r>
      <w:proofErr w:type="gramEnd"/>
      <w:r>
        <w:t xml:space="preserve"> the Valley Ambulance station, they got out of the ambulance. She </w:t>
      </w:r>
      <w:proofErr w:type="gramStart"/>
      <w:r>
        <w:t>said, ‘</w:t>
      </w:r>
      <w:proofErr w:type="gramEnd"/>
      <w:r>
        <w:t xml:space="preserve">as I got out of the side door, [Betancur] got </w:t>
      </w:r>
      <w:proofErr w:type="gramStart"/>
      <w:r>
        <w:t>of</w:t>
      </w:r>
      <w:proofErr w:type="gramEnd"/>
      <w:r>
        <w:t xml:space="preserve"> [sic] the passenger door and he, again, pulled me to him and kissed me for the third time’; both were still wearing masks. Neither one of them said anything, but Ashley pulled her body back away from him.”</w:t>
      </w:r>
    </w:p>
    <w:p w14:paraId="6CCC3DA3" w14:textId="77777777" w:rsidR="00BA3CDE" w:rsidRDefault="00BA3CDE" w:rsidP="00BA3CDE">
      <w:pPr>
        <w:pStyle w:val="NormalWeb"/>
      </w:pPr>
      <w:r>
        <w:t>End Of Shift Threat / Facebook Messenger</w:t>
      </w:r>
    </w:p>
    <w:p w14:paraId="72659271" w14:textId="77777777" w:rsidR="00BA3CDE" w:rsidRDefault="00BA3CDE" w:rsidP="00BA3CDE">
      <w:pPr>
        <w:pStyle w:val="NormalWeb"/>
      </w:pPr>
      <w:r>
        <w:t xml:space="preserve">“[At end of her shift at 7 pm] as Ashley was getting ready to leave Betancur said, ’If you say anything, I will make your life hell.’” </w:t>
      </w:r>
    </w:p>
    <w:p w14:paraId="3DAFFF8C" w14:textId="77777777" w:rsidR="00BA3CDE" w:rsidRDefault="00BA3CDE" w:rsidP="00BA3CDE">
      <w:pPr>
        <w:pStyle w:val="NormalWeb"/>
      </w:pPr>
      <w:r>
        <w:t>***</w:t>
      </w:r>
    </w:p>
    <w:p w14:paraId="23EB7980" w14:textId="77777777" w:rsidR="00BA3CDE" w:rsidRDefault="00BA3CDE" w:rsidP="00BA3CDE">
      <w:pPr>
        <w:pStyle w:val="NormalWeb"/>
        <w:rPr>
          <w:rStyle w:val="markedcontent"/>
        </w:rPr>
      </w:pPr>
      <w:r w:rsidRPr="009973A1">
        <w:rPr>
          <w:rStyle w:val="markedcontent"/>
        </w:rPr>
        <w:t>At 9:42 p.m. on October 11, 2020, Betancur reached out to Ashley via Facebook</w:t>
      </w:r>
      <w:r w:rsidRPr="009973A1">
        <w:br/>
      </w:r>
      <w:r w:rsidRPr="009973A1">
        <w:rPr>
          <w:rStyle w:val="markedcontent"/>
        </w:rPr>
        <w:t xml:space="preserve">Messenger. Ashley said that she did not open the message </w:t>
      </w:r>
      <w:r>
        <w:rPr>
          <w:rStyle w:val="markedcontent"/>
        </w:rPr>
        <w:t>‘</w:t>
      </w:r>
      <w:r w:rsidRPr="009973A1">
        <w:rPr>
          <w:rStyle w:val="markedcontent"/>
        </w:rPr>
        <w:t>because I didn’t want him to see that I</w:t>
      </w:r>
      <w:r>
        <w:rPr>
          <w:rStyle w:val="markedcontent"/>
        </w:rPr>
        <w:t xml:space="preserve"> </w:t>
      </w:r>
      <w:r w:rsidRPr="009973A1">
        <w:rPr>
          <w:rStyle w:val="markedcontent"/>
        </w:rPr>
        <w:t>had read the message, but I had seen the message</w:t>
      </w:r>
      <w:r>
        <w:rPr>
          <w:rStyle w:val="markedcontent"/>
        </w:rPr>
        <w:t>’</w:t>
      </w:r>
      <w:r w:rsidRPr="009973A1">
        <w:rPr>
          <w:rStyle w:val="markedcontent"/>
        </w:rPr>
        <w:t xml:space="preserve"> on the screen saver. The message, which was</w:t>
      </w:r>
      <w:r>
        <w:rPr>
          <w:rStyle w:val="markedcontent"/>
        </w:rPr>
        <w:t xml:space="preserve"> </w:t>
      </w:r>
      <w:r w:rsidRPr="009973A1">
        <w:rPr>
          <w:rStyle w:val="markedcontent"/>
        </w:rPr>
        <w:t xml:space="preserve">received into evidence, stated, </w:t>
      </w:r>
      <w:r>
        <w:rPr>
          <w:rStyle w:val="markedcontent"/>
        </w:rPr>
        <w:t>‘</w:t>
      </w:r>
      <w:r w:rsidRPr="009973A1">
        <w:rPr>
          <w:rStyle w:val="markedcontent"/>
        </w:rPr>
        <w:t>I want you to be completely honest</w:t>
      </w:r>
      <w:proofErr w:type="gramStart"/>
      <w:r w:rsidRPr="009973A1">
        <w:rPr>
          <w:rStyle w:val="markedcontent"/>
        </w:rPr>
        <w:t>.</w:t>
      </w:r>
      <w:proofErr w:type="gramEnd"/>
      <w:r w:rsidRPr="009973A1">
        <w:rPr>
          <w:rStyle w:val="markedcontent"/>
        </w:rPr>
        <w:t xml:space="preserve"> Were you </w:t>
      </w:r>
      <w:proofErr w:type="gramStart"/>
      <w:r w:rsidRPr="009973A1">
        <w:rPr>
          <w:rStyle w:val="markedcontent"/>
        </w:rPr>
        <w:t xml:space="preserve">at </w:t>
      </w:r>
      <w:proofErr w:type="spellStart"/>
      <w:r w:rsidRPr="009973A1">
        <w:rPr>
          <w:rStyle w:val="markedcontent"/>
        </w:rPr>
        <w:t>anytime</w:t>
      </w:r>
      <w:proofErr w:type="spellEnd"/>
      <w:r w:rsidRPr="009973A1">
        <w:rPr>
          <w:rStyle w:val="markedcontent"/>
        </w:rPr>
        <w:t xml:space="preserve"> today</w:t>
      </w:r>
      <w:r>
        <w:rPr>
          <w:rStyle w:val="markedcontent"/>
        </w:rPr>
        <w:t xml:space="preserve"> </w:t>
      </w:r>
      <w:r w:rsidRPr="009973A1">
        <w:rPr>
          <w:rStyle w:val="markedcontent"/>
        </w:rPr>
        <w:t>uncomfortable</w:t>
      </w:r>
      <w:proofErr w:type="gramEnd"/>
      <w:r w:rsidRPr="009973A1">
        <w:rPr>
          <w:rStyle w:val="markedcontent"/>
        </w:rPr>
        <w:t>??</w:t>
      </w:r>
      <w:r>
        <w:rPr>
          <w:rStyle w:val="markedcontent"/>
        </w:rPr>
        <w:t>’</w:t>
      </w:r>
      <w:r w:rsidRPr="009973A1">
        <w:rPr>
          <w:rStyle w:val="markedcontent"/>
        </w:rPr>
        <w:t xml:space="preserve"> Ashley did not respond to Betancur’s message.</w:t>
      </w:r>
      <w:r>
        <w:rPr>
          <w:rStyle w:val="markedcontent"/>
        </w:rPr>
        <w:t>”</w:t>
      </w:r>
    </w:p>
    <w:p w14:paraId="1BA0DC99" w14:textId="77777777" w:rsidR="00BA3CDE" w:rsidRDefault="00BA3CDE" w:rsidP="00BA3CDE">
      <w:pPr>
        <w:pStyle w:val="NormalWeb"/>
        <w:ind w:left="720"/>
      </w:pPr>
      <w:r>
        <w:rPr>
          <w:rStyle w:val="markedcontent"/>
        </w:rPr>
        <w:t>“</w:t>
      </w:r>
      <w:r w:rsidRPr="009973A1">
        <w:rPr>
          <w:rStyle w:val="markedcontent"/>
        </w:rPr>
        <w:t xml:space="preserve">We disagree with Betancur’s contention that </w:t>
      </w:r>
      <w:r>
        <w:rPr>
          <w:rStyle w:val="markedcontent"/>
        </w:rPr>
        <w:t>‘</w:t>
      </w:r>
      <w:r w:rsidRPr="009973A1">
        <w:rPr>
          <w:rStyle w:val="markedcontent"/>
        </w:rPr>
        <w:t>an unwanted kiss on the victim’s lips by an</w:t>
      </w:r>
      <w:r>
        <w:rPr>
          <w:rStyle w:val="markedcontent"/>
        </w:rPr>
        <w:t xml:space="preserve"> </w:t>
      </w:r>
      <w:r w:rsidRPr="009973A1">
        <w:rPr>
          <w:rStyle w:val="markedcontent"/>
        </w:rPr>
        <w:t>actor using his own lips</w:t>
      </w:r>
      <w:r>
        <w:rPr>
          <w:rStyle w:val="markedcontent"/>
        </w:rPr>
        <w:t>’</w:t>
      </w:r>
      <w:r w:rsidRPr="009973A1">
        <w:rPr>
          <w:rStyle w:val="markedcontent"/>
        </w:rPr>
        <w:t xml:space="preserve"> does not satisfy the requirements for third degree sexua</w:t>
      </w:r>
      <w:r>
        <w:rPr>
          <w:rStyle w:val="markedcontent"/>
        </w:rPr>
        <w:t>l</w:t>
      </w:r>
      <w:r w:rsidRPr="009973A1">
        <w:rPr>
          <w:rStyle w:val="markedcontent"/>
        </w:rPr>
        <w:t xml:space="preserve"> assault in</w:t>
      </w:r>
      <w:r>
        <w:rPr>
          <w:rStyle w:val="markedcontent"/>
        </w:rPr>
        <w:t xml:space="preserve"> </w:t>
      </w:r>
      <w:r w:rsidRPr="009973A1">
        <w:rPr>
          <w:rStyle w:val="markedcontent"/>
        </w:rPr>
        <w:t xml:space="preserve">§ 28-320(1) and (3) because it does not meet the definition of </w:t>
      </w:r>
      <w:r>
        <w:rPr>
          <w:rStyle w:val="markedcontent"/>
        </w:rPr>
        <w:t>‘</w:t>
      </w:r>
      <w:r w:rsidRPr="009973A1">
        <w:rPr>
          <w:rStyle w:val="markedcontent"/>
        </w:rPr>
        <w:t>sexual contact</w:t>
      </w:r>
      <w:r>
        <w:rPr>
          <w:rStyle w:val="markedcontent"/>
        </w:rPr>
        <w:t>’</w:t>
      </w:r>
      <w:r w:rsidRPr="009973A1">
        <w:rPr>
          <w:rStyle w:val="markedcontent"/>
        </w:rPr>
        <w:t xml:space="preserve"> set forth in</w:t>
      </w:r>
      <w:r>
        <w:rPr>
          <w:rStyle w:val="markedcontent"/>
        </w:rPr>
        <w:t xml:space="preserve"> </w:t>
      </w:r>
      <w:r w:rsidRPr="009973A1">
        <w:rPr>
          <w:rStyle w:val="markedcontent"/>
        </w:rPr>
        <w:t xml:space="preserve">§ 28-318(5). As noted by the State, </w:t>
      </w:r>
      <w:r>
        <w:rPr>
          <w:rStyle w:val="markedcontent"/>
        </w:rPr>
        <w:t>‘</w:t>
      </w:r>
      <w:r w:rsidRPr="009973A1">
        <w:rPr>
          <w:rStyle w:val="markedcontent"/>
        </w:rPr>
        <w:t>[§ 28-318(5)] defines sexual contact as the touching of the</w:t>
      </w:r>
      <w:r>
        <w:rPr>
          <w:rStyle w:val="markedcontent"/>
        </w:rPr>
        <w:t xml:space="preserve"> </w:t>
      </w:r>
      <w:r w:rsidRPr="009973A1">
        <w:rPr>
          <w:rStyle w:val="markedcontent"/>
        </w:rPr>
        <w:t xml:space="preserve">victim’s sexual or intimate </w:t>
      </w:r>
      <w:proofErr w:type="spellStart"/>
      <w:r w:rsidRPr="009973A1">
        <w:rPr>
          <w:rStyle w:val="markedcontent"/>
        </w:rPr>
        <w:t>parts”</w:t>
      </w:r>
      <w:r>
        <w:rPr>
          <w:rStyle w:val="markedcontent"/>
        </w:rPr>
        <w:t>’</w:t>
      </w:r>
      <w:r w:rsidRPr="009973A1">
        <w:rPr>
          <w:rStyle w:val="markedcontent"/>
        </w:rPr>
        <w:t>and</w:t>
      </w:r>
      <w:proofErr w:type="spellEnd"/>
      <w:r w:rsidRPr="009973A1">
        <w:rPr>
          <w:rStyle w:val="markedcontent"/>
        </w:rPr>
        <w:t xml:space="preserve"> </w:t>
      </w:r>
      <w:r>
        <w:rPr>
          <w:rStyle w:val="markedcontent"/>
        </w:rPr>
        <w:t>‘</w:t>
      </w:r>
      <w:r w:rsidRPr="009973A1">
        <w:rPr>
          <w:rStyle w:val="markedcontent"/>
        </w:rPr>
        <w:t>in order to give effect to all words of the statute, ‘sexual’</w:t>
      </w:r>
      <w:r>
        <w:rPr>
          <w:rStyle w:val="markedcontent"/>
        </w:rPr>
        <w:t xml:space="preserve"> </w:t>
      </w:r>
      <w:r w:rsidRPr="009973A1">
        <w:rPr>
          <w:rStyle w:val="markedcontent"/>
        </w:rPr>
        <w:t>parts must be something different from ‘intimate’ parts.</w:t>
      </w:r>
      <w:r>
        <w:rPr>
          <w:rStyle w:val="markedcontent"/>
        </w:rPr>
        <w:t>”</w:t>
      </w:r>
      <w:hyperlink r:id="rId1348" w:history="1">
        <w:r w:rsidRPr="007E32CA">
          <w:rPr>
            <w:rStyle w:val="Hyperlink"/>
            <w:rFonts w:eastAsiaTheme="majorEastAsia"/>
          </w:rPr>
          <w:t>https://supremecourt.nebraska.gov/sites/default/files/a21-954m.pdf</w:t>
        </w:r>
      </w:hyperlink>
      <w:r>
        <w:t xml:space="preserve"> </w:t>
      </w:r>
    </w:p>
    <w:p w14:paraId="053B9CCC" w14:textId="77777777" w:rsidR="00BA3CDE" w:rsidRPr="005376D6" w:rsidRDefault="00BA3CDE" w:rsidP="00BA3CDE">
      <w:pPr>
        <w:pStyle w:val="NormalWeb"/>
        <w:rPr>
          <w:b/>
          <w:bCs/>
        </w:rPr>
      </w:pPr>
      <w:r w:rsidRPr="005376D6">
        <w:rPr>
          <w:b/>
          <w:bCs/>
        </w:rPr>
        <w:t xml:space="preserve">Legal Lesson Learned:  The </w:t>
      </w:r>
      <w:r>
        <w:rPr>
          <w:b/>
          <w:bCs/>
        </w:rPr>
        <w:t xml:space="preserve">EMT </w:t>
      </w:r>
      <w:r w:rsidRPr="005376D6">
        <w:rPr>
          <w:b/>
          <w:bCs/>
        </w:rPr>
        <w:t>victim promptly reported the assaults to the Fire Chief, and to the Scottsbluff Police Department</w:t>
      </w:r>
    </w:p>
    <w:p w14:paraId="0C129C97" w14:textId="77777777" w:rsidR="00BA3CDE" w:rsidRDefault="00BA3CDE" w:rsidP="00F326E5">
      <w:pPr>
        <w:pStyle w:val="NoSpacing"/>
        <w:rPr>
          <w:rFonts w:ascii="Arial Black" w:hAnsi="Arial Black"/>
          <w:sz w:val="24"/>
          <w:szCs w:val="24"/>
        </w:rPr>
      </w:pPr>
    </w:p>
    <w:p w14:paraId="023E1CD0" w14:textId="77777777" w:rsidR="00BA3CDE" w:rsidRDefault="00BA3CDE" w:rsidP="00F326E5">
      <w:pPr>
        <w:pStyle w:val="NoSpacing"/>
        <w:rPr>
          <w:rFonts w:ascii="Arial Black" w:hAnsi="Arial Black"/>
          <w:sz w:val="24"/>
          <w:szCs w:val="24"/>
        </w:rPr>
      </w:pPr>
    </w:p>
    <w:p w14:paraId="7CB6A541" w14:textId="77777777" w:rsidR="00BA3CDE" w:rsidRDefault="00BA3CDE" w:rsidP="00F326E5">
      <w:pPr>
        <w:pStyle w:val="NoSpacing"/>
        <w:rPr>
          <w:rFonts w:ascii="Arial Black" w:hAnsi="Arial Black"/>
          <w:sz w:val="24"/>
          <w:szCs w:val="24"/>
        </w:rPr>
      </w:pPr>
    </w:p>
    <w:p w14:paraId="4E1B0688" w14:textId="23E3FEE7" w:rsidR="00727951" w:rsidRDefault="00E8117B" w:rsidP="00F326E5">
      <w:pPr>
        <w:pStyle w:val="NoSpacing"/>
        <w:rPr>
          <w:rFonts w:ascii="Arial Black" w:hAnsi="Arial Black"/>
          <w:sz w:val="24"/>
          <w:szCs w:val="24"/>
        </w:rPr>
      </w:pPr>
      <w:r>
        <w:rPr>
          <w:rFonts w:ascii="Arial Black" w:hAnsi="Arial Black"/>
          <w:sz w:val="24"/>
          <w:szCs w:val="24"/>
        </w:rPr>
        <w:t>7-46</w:t>
      </w:r>
    </w:p>
    <w:p w14:paraId="65415E1E" w14:textId="77777777" w:rsidR="00AC5FED" w:rsidRPr="00921E8A" w:rsidRDefault="00AC5FED" w:rsidP="00AC5FED">
      <w:pPr>
        <w:pStyle w:val="NormalWeb"/>
        <w:rPr>
          <w:rFonts w:ascii="Arial Black" w:hAnsi="Arial Black"/>
          <w:sz w:val="28"/>
          <w:szCs w:val="28"/>
        </w:rPr>
      </w:pPr>
      <w:r>
        <w:rPr>
          <w:rFonts w:ascii="Arial Black" w:hAnsi="Arial Black"/>
          <w:sz w:val="28"/>
          <w:szCs w:val="28"/>
        </w:rPr>
        <w:t xml:space="preserve">NY: EMT WITH ANXIETY – CLAIMED 98% MALES HOSTILE – RETALIATION PROCEED - FIRED 1 MO. SHE FILED EEOC </w:t>
      </w:r>
    </w:p>
    <w:p w14:paraId="17C48D20" w14:textId="77777777" w:rsidR="00AC5FED" w:rsidRDefault="00AC5FED" w:rsidP="00AC5FED">
      <w:pPr>
        <w:pStyle w:val="NormalWeb"/>
      </w:pPr>
      <w:r>
        <w:t xml:space="preserve">On Sept. 30, 2022, in </w:t>
      </w:r>
      <w:r w:rsidRPr="00921E8A">
        <w:rPr>
          <w:u w:val="single"/>
        </w:rPr>
        <w:t xml:space="preserve">Malva M. Freckleton v. </w:t>
      </w:r>
      <w:proofErr w:type="spellStart"/>
      <w:r w:rsidRPr="00921E8A">
        <w:rPr>
          <w:u w:val="single"/>
        </w:rPr>
        <w:t>Ambulnz</w:t>
      </w:r>
      <w:proofErr w:type="spellEnd"/>
      <w:r w:rsidRPr="00921E8A">
        <w:rPr>
          <w:u w:val="single"/>
        </w:rPr>
        <w:t xml:space="preserve"> LLC</w:t>
      </w:r>
      <w:r>
        <w:t xml:space="preserve">, U.S. District Court Judge Ann M. Donnelly, U.S. District Court for Eastern District of New York, granted defense motion to dismiss most of the EMT’s charges (race, age, disability)), but recognizing the plaintiff is proceeding pro se (no attorney), held that her “retaliation” claim may proceed to pre-trial discovery since she was fired within one month of her filing a complaint of discrimination with New York State Division of Human Rights and the federal EEOC.  </w:t>
      </w:r>
    </w:p>
    <w:p w14:paraId="6A66D180" w14:textId="77777777" w:rsidR="00AC5FED" w:rsidRDefault="00AC5FED" w:rsidP="00AC5FED">
      <w:pPr>
        <w:pStyle w:val="NormalWeb"/>
        <w:ind w:left="720"/>
      </w:pPr>
      <w:r>
        <w:t xml:space="preserve">“The plaintiff alleges that “98% [of] male employees harassed [her]…’and ‘there is a conduct of hostility towards a gender which demonstrate the plaintiff is a female’ and ‘male co-workers treated [her] differently by bullying, intimidating, and sabotaging’ her …  and the defendant's adverse actions against are ‘because of sex (male coworkers)….’ These allegations are conclusory and insufficient, even giving the plaintiff the special solicitude that is due </w:t>
      </w:r>
      <w:r>
        <w:rPr>
          <w:rStyle w:val="Emphasis"/>
          <w:rFonts w:eastAsiaTheme="majorEastAsia"/>
        </w:rPr>
        <w:t>pro se</w:t>
      </w:r>
      <w:r>
        <w:t xml:space="preserve"> litigants.</w:t>
      </w:r>
    </w:p>
    <w:p w14:paraId="05800348" w14:textId="77777777" w:rsidR="00AC5FED" w:rsidRDefault="00AC5FED" w:rsidP="00AC5FED">
      <w:pPr>
        <w:pStyle w:val="NormalWeb"/>
        <w:ind w:left="720"/>
      </w:pPr>
      <w:r>
        <w:t>***</w:t>
      </w:r>
    </w:p>
    <w:p w14:paraId="1C8B647A" w14:textId="1B0A843A" w:rsidR="00AC5FED" w:rsidRDefault="00AC5FED" w:rsidP="00AC5FED">
      <w:pPr>
        <w:pStyle w:val="NoSpacing"/>
        <w:rPr>
          <w:rFonts w:ascii="Arial Black" w:hAnsi="Arial Black"/>
          <w:sz w:val="24"/>
          <w:szCs w:val="24"/>
        </w:rPr>
      </w:pPr>
      <w:r>
        <w:t xml:space="preserve">The plaintiff filed her NYSDHR complaint on August 16, 2019, and was fired in September 2019. Recognizing that it is appropriate to take a ‘generous view of retaliatory acts at the motion to dismiss stage,’ </w:t>
      </w:r>
      <w:r>
        <w:rPr>
          <w:rStyle w:val="Emphasis"/>
          <w:rFonts w:eastAsiaTheme="majorEastAsia"/>
        </w:rPr>
        <w:t>Ingrassia</w:t>
      </w:r>
      <w:r>
        <w:t xml:space="preserve">, 130 F.Supp.3d at 723-24 (citing </w:t>
      </w:r>
      <w:r>
        <w:rPr>
          <w:rStyle w:val="Emphasis"/>
          <w:rFonts w:eastAsiaTheme="majorEastAsia"/>
        </w:rPr>
        <w:t>Kelly v. Howard I. Shapiro &amp; Assocs. Consulting Engineers, P.C.</w:t>
      </w:r>
      <w:r>
        <w:t xml:space="preserve">, 716 F.3d 10, 17 (2d Cir. 2013)), and drawing all reasonable inferences in the plaintiff's favor, I conclude that she has adequately alleged causation based on temporal proximity…. Accordingly, the plaintiff sufficiently alleges a retaliation claim based on the filing of her NYSDHR complaint and her subsequent termination.”  </w:t>
      </w:r>
      <w:hyperlink r:id="rId1349" w:history="1">
        <w:r w:rsidRPr="00E7591A">
          <w:rPr>
            <w:rStyle w:val="Hyperlink"/>
          </w:rPr>
          <w:t>https://public.fastcase.com/J%2FJP6pdidelsXxEE4k%2BLMhHGbq56VzoTk1JFKDMbyAsW64naZ9EKqTmGK9O1R3Wr9GeihMDs1Zh2VHQfJhn6l7jf8Y6MJiDUL4WQvVsRKlE%3D?utm_medium=email&amp;_hsmi=226712652&amp;_hsenc=p2ANqtz-8S41Im3p2bNEgWstI4h7IIgl63Egh37Z-OzcnjQev0mJue-BzqLfMZTGtGKB_KMNSyA32EmSFNwIWzkboUxTkEerO4Tg&amp;utm_content=226712652&amp;utm_source=hs_email</w:t>
        </w:r>
      </w:hyperlink>
    </w:p>
    <w:p w14:paraId="7C925B2D" w14:textId="15C0BFC4" w:rsidR="00AC5FED" w:rsidRDefault="00AC5FED" w:rsidP="00F326E5">
      <w:pPr>
        <w:pStyle w:val="NoSpacing"/>
        <w:rPr>
          <w:rFonts w:ascii="Arial Black" w:hAnsi="Arial Black"/>
          <w:sz w:val="24"/>
          <w:szCs w:val="24"/>
        </w:rPr>
      </w:pPr>
    </w:p>
    <w:p w14:paraId="196FCA53" w14:textId="77777777" w:rsidR="00AC5FED" w:rsidRPr="003E1C8A" w:rsidRDefault="00AC5FED" w:rsidP="00AC5FED">
      <w:pPr>
        <w:pStyle w:val="NormalWeb"/>
        <w:rPr>
          <w:b/>
          <w:bCs/>
        </w:rPr>
      </w:pPr>
      <w:r w:rsidRPr="003E1C8A">
        <w:rPr>
          <w:b/>
          <w:bCs/>
        </w:rPr>
        <w:t>Legal Lesson Learned:</w:t>
      </w:r>
      <w:r>
        <w:rPr>
          <w:b/>
          <w:bCs/>
        </w:rPr>
        <w:t xml:space="preserve"> Pro se [no attorney] plaintiff was given opportunity to try to prove retaliation in pre-trial discovery. </w:t>
      </w:r>
    </w:p>
    <w:p w14:paraId="1E8983C5" w14:textId="1C90CD92" w:rsidR="00AC5FED" w:rsidRDefault="00AC5FED" w:rsidP="00F326E5">
      <w:pPr>
        <w:pStyle w:val="NoSpacing"/>
        <w:rPr>
          <w:rFonts w:ascii="Arial Black" w:hAnsi="Arial Black"/>
          <w:sz w:val="24"/>
          <w:szCs w:val="24"/>
        </w:rPr>
      </w:pPr>
    </w:p>
    <w:p w14:paraId="7A2B2BEF" w14:textId="77777777" w:rsidR="00AC5FED" w:rsidRDefault="00AC5FED" w:rsidP="00F326E5">
      <w:pPr>
        <w:pStyle w:val="NoSpacing"/>
        <w:rPr>
          <w:rFonts w:ascii="Arial Black" w:hAnsi="Arial Black"/>
          <w:sz w:val="24"/>
          <w:szCs w:val="24"/>
        </w:rPr>
      </w:pPr>
    </w:p>
    <w:p w14:paraId="44D85E54" w14:textId="37E95864" w:rsidR="00D5141D" w:rsidRDefault="00D5141D" w:rsidP="00F326E5">
      <w:pPr>
        <w:pStyle w:val="NoSpacing"/>
        <w:rPr>
          <w:rFonts w:ascii="Arial Black" w:hAnsi="Arial Black"/>
          <w:sz w:val="24"/>
          <w:szCs w:val="24"/>
        </w:rPr>
      </w:pPr>
      <w:r>
        <w:rPr>
          <w:rFonts w:ascii="Arial Black" w:hAnsi="Arial Black"/>
          <w:sz w:val="24"/>
          <w:szCs w:val="24"/>
        </w:rPr>
        <w:t>7-45</w:t>
      </w:r>
    </w:p>
    <w:p w14:paraId="5AD43885" w14:textId="1A892C5F" w:rsidR="00D5141D" w:rsidRDefault="00D5141D" w:rsidP="00F326E5">
      <w:pPr>
        <w:pStyle w:val="NoSpacing"/>
        <w:rPr>
          <w:rFonts w:ascii="Arial Black" w:hAnsi="Arial Black"/>
          <w:sz w:val="24"/>
          <w:szCs w:val="24"/>
        </w:rPr>
      </w:pPr>
    </w:p>
    <w:p w14:paraId="64E9C075" w14:textId="77777777" w:rsidR="00D5141D" w:rsidRPr="00A81005" w:rsidRDefault="00D5141D" w:rsidP="00D5141D">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OR: FF TERMINATED SEXUAL HARASSMENT – TEXT MESSAGES, THEFT OF FEMALE UNDERWEAR, ON DUTY SEX </w:t>
      </w:r>
    </w:p>
    <w:p w14:paraId="76892D6E" w14:textId="77777777" w:rsidR="00D5141D" w:rsidRPr="009C2A06" w:rsidRDefault="00D5141D" w:rsidP="00D5141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July 19, 2022, in </w:t>
      </w:r>
      <w:r w:rsidRPr="00A81005">
        <w:rPr>
          <w:rFonts w:ascii="Times New Roman" w:eastAsia="Times New Roman" w:hAnsi="Times New Roman"/>
          <w:sz w:val="24"/>
          <w:szCs w:val="24"/>
          <w:u w:val="single"/>
        </w:rPr>
        <w:t>Larry W. Merrill v. Lane Fire Authority</w:t>
      </w:r>
      <w:r>
        <w:rPr>
          <w:rFonts w:ascii="Times New Roman" w:eastAsia="Times New Roman" w:hAnsi="Times New Roman"/>
          <w:sz w:val="24"/>
          <w:szCs w:val="24"/>
          <w:u w:val="single"/>
        </w:rPr>
        <w:t xml:space="preserve"> </w:t>
      </w:r>
      <w:r w:rsidRPr="001331F1">
        <w:rPr>
          <w:rFonts w:ascii="Times New Roman" w:eastAsia="Times New Roman" w:hAnsi="Times New Roman"/>
          <w:sz w:val="24"/>
          <w:szCs w:val="24"/>
          <w:u w:val="single"/>
        </w:rPr>
        <w:t xml:space="preserve">and </w:t>
      </w:r>
      <w:proofErr w:type="spellStart"/>
      <w:r w:rsidRPr="001331F1">
        <w:rPr>
          <w:rFonts w:ascii="Times New Roman" w:hAnsi="Times New Roman"/>
          <w:sz w:val="24"/>
          <w:szCs w:val="24"/>
          <w:u w:val="single"/>
        </w:rPr>
        <w:t>Stoelk</w:t>
      </w:r>
      <w:proofErr w:type="spellEnd"/>
      <w:r w:rsidRPr="001331F1">
        <w:rPr>
          <w:rFonts w:ascii="Times New Roman" w:hAnsi="Times New Roman"/>
          <w:sz w:val="24"/>
          <w:szCs w:val="24"/>
          <w:u w:val="single"/>
        </w:rPr>
        <w:t xml:space="preserve"> Investigation </w:t>
      </w:r>
      <w:proofErr w:type="gramStart"/>
      <w:r w:rsidRPr="001331F1">
        <w:rPr>
          <w:rFonts w:ascii="Times New Roman" w:hAnsi="Times New Roman"/>
          <w:sz w:val="24"/>
          <w:szCs w:val="24"/>
          <w:u w:val="single"/>
        </w:rPr>
        <w:t>And</w:t>
      </w:r>
      <w:proofErr w:type="gramEnd"/>
      <w:r w:rsidRPr="001331F1">
        <w:rPr>
          <w:rFonts w:ascii="Times New Roman" w:hAnsi="Times New Roman"/>
          <w:sz w:val="24"/>
          <w:szCs w:val="24"/>
          <w:u w:val="single"/>
        </w:rPr>
        <w:t xml:space="preserve"> Consultation, LLC</w:t>
      </w:r>
      <w:r>
        <w:rPr>
          <w:rFonts w:ascii="Times New Roman" w:hAnsi="Times New Roman"/>
          <w:sz w:val="24"/>
          <w:szCs w:val="24"/>
        </w:rPr>
        <w:t xml:space="preserve">, </w:t>
      </w:r>
      <w:r>
        <w:rPr>
          <w:rFonts w:ascii="Times New Roman" w:eastAsia="Times New Roman" w:hAnsi="Times New Roman"/>
          <w:sz w:val="24"/>
          <w:szCs w:val="24"/>
        </w:rPr>
        <w:t xml:space="preserve">U.S. Magistrate Judge Mustafa T. </w:t>
      </w:r>
      <w:proofErr w:type="spellStart"/>
      <w:r>
        <w:rPr>
          <w:rFonts w:ascii="Times New Roman" w:eastAsia="Times New Roman" w:hAnsi="Times New Roman"/>
          <w:sz w:val="24"/>
          <w:szCs w:val="24"/>
        </w:rPr>
        <w:t>Kasubhai</w:t>
      </w:r>
      <w:proofErr w:type="spellEnd"/>
      <w:r>
        <w:rPr>
          <w:rFonts w:ascii="Times New Roman" w:eastAsia="Times New Roman" w:hAnsi="Times New Roman"/>
          <w:sz w:val="24"/>
          <w:szCs w:val="24"/>
        </w:rPr>
        <w:t xml:space="preserve">, U.S. District Court of Oregon (Eugene Division) issued Findings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Recommendations that the defense motion for summary judgment be granted. </w:t>
      </w:r>
      <w:r w:rsidRPr="00AA6F0A">
        <w:rPr>
          <w:rFonts w:ascii="Times New Roman" w:eastAsia="Times New Roman" w:hAnsi="Times New Roman"/>
          <w:sz w:val="24"/>
          <w:szCs w:val="24"/>
        </w:rPr>
        <w:t>“</w:t>
      </w:r>
      <w:r w:rsidRPr="00AA6F0A">
        <w:rPr>
          <w:rFonts w:ascii="Times New Roman" w:hAnsi="Times New Roman"/>
          <w:sz w:val="24"/>
          <w:szCs w:val="24"/>
        </w:rPr>
        <w:t xml:space="preserve">At bottom, Ms. Hutcheson-Warren reported an inappropriate text message that resulted in an investigation into Plaintiff for sexual </w:t>
      </w:r>
      <w:r w:rsidRPr="00AA6F0A">
        <w:rPr>
          <w:rFonts w:ascii="Times New Roman" w:hAnsi="Times New Roman"/>
          <w:sz w:val="24"/>
          <w:szCs w:val="24"/>
        </w:rPr>
        <w:lastRenderedPageBreak/>
        <w:t>harassment. Plaintiff received notice of the investigation. The investigation found serious allegations of misconduct. Plaintiff received detailed notice of the allegations-including allegations unrelated to the text message that served as the investigation's genesis-well in advance of his pre-disciplinary hearing and Plaintiff had ample time to prepare written or verbal responses to those allegations. A hearing was held at which Plaintiff had the right to present his side of the story. At the conclusion of the hearing, Chief Ney determined that termination of Plaintiff was appropriate. On this record, the Court concludes Plaintiff received all the process he was due.</w:t>
      </w:r>
      <w:r>
        <w:rPr>
          <w:rFonts w:ascii="Times New Roman" w:hAnsi="Times New Roman"/>
          <w:sz w:val="24"/>
          <w:szCs w:val="24"/>
        </w:rPr>
        <w:t xml:space="preserve">” </w:t>
      </w:r>
      <w:hyperlink r:id="rId1350" w:history="1">
        <w:r w:rsidRPr="00696C47">
          <w:rPr>
            <w:rStyle w:val="Hyperlink"/>
            <w:rFonts w:ascii="Times New Roman" w:hAnsi="Times New Roman"/>
          </w:rPr>
          <w:t>https://casetext.com/case/merrill-v-lane-fire-auth-1</w:t>
        </w:r>
      </w:hyperlink>
      <w:r>
        <w:rPr>
          <w:rFonts w:ascii="Times New Roman" w:hAnsi="Times New Roman"/>
          <w:sz w:val="24"/>
          <w:szCs w:val="24"/>
        </w:rPr>
        <w:t xml:space="preserve"> </w:t>
      </w:r>
    </w:p>
    <w:p w14:paraId="35C7B1B4" w14:textId="77777777" w:rsidR="00D5141D" w:rsidRPr="00AA6F0A" w:rsidRDefault="00D5141D" w:rsidP="00D5141D">
      <w:pPr>
        <w:spacing w:before="100" w:beforeAutospacing="1" w:after="100" w:afterAutospacing="1" w:line="240" w:lineRule="auto"/>
        <w:rPr>
          <w:rFonts w:ascii="Times New Roman" w:eastAsia="Times New Roman" w:hAnsi="Times New Roman"/>
          <w:b/>
          <w:bCs/>
          <w:sz w:val="24"/>
          <w:szCs w:val="24"/>
        </w:rPr>
      </w:pPr>
      <w:r w:rsidRPr="00C358F9">
        <w:rPr>
          <w:rFonts w:ascii="Times New Roman" w:eastAsia="Times New Roman" w:hAnsi="Times New Roman"/>
          <w:b/>
          <w:bCs/>
          <w:sz w:val="24"/>
          <w:szCs w:val="24"/>
        </w:rPr>
        <w:t>Legal Lesson Learned:</w:t>
      </w:r>
      <w:r w:rsidRPr="00AA6F0A">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It was a wise move by the FD’s Legal Counsel to bring in an outside, professional investigator. </w:t>
      </w:r>
    </w:p>
    <w:p w14:paraId="1B77FB20" w14:textId="77777777" w:rsidR="00D5141D" w:rsidRDefault="00D5141D" w:rsidP="00F326E5">
      <w:pPr>
        <w:pStyle w:val="NoSpacing"/>
        <w:rPr>
          <w:rFonts w:ascii="Arial Black" w:hAnsi="Arial Black"/>
          <w:sz w:val="24"/>
          <w:szCs w:val="24"/>
        </w:rPr>
      </w:pPr>
    </w:p>
    <w:p w14:paraId="24B64FF6" w14:textId="77777777" w:rsidR="00D5141D" w:rsidRDefault="00D5141D" w:rsidP="00F326E5">
      <w:pPr>
        <w:pStyle w:val="NoSpacing"/>
        <w:rPr>
          <w:rFonts w:ascii="Arial Black" w:hAnsi="Arial Black"/>
          <w:sz w:val="24"/>
          <w:szCs w:val="24"/>
        </w:rPr>
      </w:pPr>
    </w:p>
    <w:p w14:paraId="402357A4" w14:textId="3BA7856C" w:rsidR="006C4BDE" w:rsidRDefault="006C4BDE" w:rsidP="00F326E5">
      <w:pPr>
        <w:pStyle w:val="NoSpacing"/>
        <w:rPr>
          <w:rFonts w:ascii="Arial Black" w:hAnsi="Arial Black"/>
          <w:sz w:val="24"/>
          <w:szCs w:val="24"/>
        </w:rPr>
      </w:pPr>
      <w:r>
        <w:rPr>
          <w:rFonts w:ascii="Arial Black" w:hAnsi="Arial Black"/>
          <w:sz w:val="24"/>
          <w:szCs w:val="24"/>
        </w:rPr>
        <w:t>7-44 [Also filed, Chap. 14]</w:t>
      </w:r>
    </w:p>
    <w:p w14:paraId="615B8934" w14:textId="77777777" w:rsidR="006C4BDE" w:rsidRPr="00F315B4"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WI: FEMALE FAILS APPLICANT PHYSICAL FITNESS TEST –NOT CPAT, BUT MEETS EEOC GUIDELINES – TEST UPHELD</w:t>
      </w:r>
    </w:p>
    <w:p w14:paraId="0FAB85C2" w14:textId="77777777" w:rsidR="006C4BDE" w:rsidRPr="005403E6" w:rsidRDefault="006C4BDE" w:rsidP="006C4BDE">
      <w:pPr>
        <w:spacing w:before="100" w:beforeAutospacing="1" w:after="100" w:afterAutospacing="1" w:line="240" w:lineRule="auto"/>
        <w:rPr>
          <w:rFonts w:ascii="Times New Roman" w:eastAsia="Times New Roman" w:hAnsi="Times New Roman"/>
          <w:sz w:val="24"/>
          <w:szCs w:val="24"/>
        </w:rPr>
      </w:pPr>
      <w:r w:rsidRPr="00A4532F">
        <w:rPr>
          <w:rFonts w:ascii="Times New Roman" w:hAnsi="Times New Roman"/>
          <w:sz w:val="24"/>
          <w:szCs w:val="24"/>
        </w:rPr>
        <w:t xml:space="preserve">On July 20, 2022, in </w:t>
      </w:r>
      <w:r w:rsidRPr="00A4532F">
        <w:rPr>
          <w:rFonts w:ascii="Times New Roman" w:hAnsi="Times New Roman"/>
          <w:sz w:val="24"/>
          <w:szCs w:val="24"/>
          <w:u w:val="single"/>
        </w:rPr>
        <w:t>Catherine Erdman v. City of Madison</w:t>
      </w:r>
      <w:r>
        <w:rPr>
          <w:rFonts w:ascii="Times New Roman" w:hAnsi="Times New Roman"/>
          <w:sz w:val="24"/>
          <w:szCs w:val="24"/>
        </w:rPr>
        <w:t xml:space="preserve">, U.S. District Court Judge William M. Conley dismissed the lawsuit, findings that the Madison Fire Department in their 2014 applicant testing did not violate Title VII of the Civil Rights Act of 1964, even if more female failed compared to fire departments using the CPAT, since the tests were developed by consultants to assess actual job duties and meet the EEOC’s </w:t>
      </w:r>
      <w:r w:rsidRPr="005403E6">
        <w:rPr>
          <w:rFonts w:ascii="Times New Roman" w:eastAsia="Times New Roman" w:hAnsi="Times New Roman"/>
          <w:sz w:val="24"/>
          <w:szCs w:val="24"/>
        </w:rPr>
        <w:t>Uniform Guidelines on Employee Selection Procedures</w:t>
      </w:r>
      <w:r>
        <w:rPr>
          <w:rFonts w:ascii="Times New Roman" w:eastAsia="Times New Roman" w:hAnsi="Times New Roman"/>
          <w:sz w:val="24"/>
          <w:szCs w:val="24"/>
        </w:rPr>
        <w:t xml:space="preserve">. Plaintiff’s lawsuit claimed that she would have passed CPAT [Madison FD’s pass rate for women was 14%; the pass rate for women taking CPAT at Austin, Teas FD was 48%].  </w:t>
      </w:r>
      <w:r>
        <w:rPr>
          <w:rFonts w:ascii="Times New Roman" w:hAnsi="Times New Roman"/>
          <w:sz w:val="24"/>
          <w:szCs w:val="24"/>
        </w:rPr>
        <w:t xml:space="preserve">Plaintiff failed the “pike pole” which required </w:t>
      </w:r>
      <w:r w:rsidRPr="005403E6">
        <w:rPr>
          <w:rFonts w:ascii="Times New Roman" w:eastAsia="Times New Roman" w:hAnsi="Times New Roman"/>
          <w:sz w:val="24"/>
          <w:szCs w:val="24"/>
        </w:rPr>
        <w:t>applicants to stand at least 18 inches back from the ceiling being pulled down with a pike pole to account for safety concerns with</w:t>
      </w:r>
      <w:r>
        <w:rPr>
          <w:rFonts w:ascii="Times New Roman" w:eastAsia="Times New Roman" w:hAnsi="Times New Roman"/>
          <w:sz w:val="24"/>
          <w:szCs w:val="24"/>
        </w:rPr>
        <w:t xml:space="preserve"> test takers </w:t>
      </w:r>
      <w:r w:rsidRPr="005403E6">
        <w:rPr>
          <w:rFonts w:ascii="Times New Roman" w:eastAsia="Times New Roman" w:hAnsi="Times New Roman"/>
          <w:sz w:val="24"/>
          <w:szCs w:val="24"/>
        </w:rPr>
        <w:t>standing directly under the ceiling</w:t>
      </w:r>
      <w:r>
        <w:rPr>
          <w:rFonts w:ascii="Times New Roman" w:eastAsia="Times New Roman" w:hAnsi="Times New Roman"/>
          <w:sz w:val="24"/>
          <w:szCs w:val="24"/>
        </w:rPr>
        <w:t xml:space="preserve">; </w:t>
      </w:r>
      <w:r w:rsidRPr="005403E6">
        <w:rPr>
          <w:rFonts w:ascii="Times New Roman" w:eastAsia="Times New Roman" w:hAnsi="Times New Roman"/>
          <w:sz w:val="24"/>
          <w:szCs w:val="24"/>
        </w:rPr>
        <w:t>the pole was long enough to allow applicants of different heights to adjust the hold to account for that differential.</w:t>
      </w:r>
      <w:r>
        <w:rPr>
          <w:rFonts w:ascii="Times New Roman" w:eastAsia="Times New Roman" w:hAnsi="Times New Roman"/>
          <w:sz w:val="24"/>
          <w:szCs w:val="24"/>
        </w:rPr>
        <w:t xml:space="preserve"> </w:t>
      </w:r>
      <w:hyperlink r:id="rId1351" w:history="1">
        <w:r w:rsidRPr="00355029">
          <w:rPr>
            <w:rStyle w:val="Hyperlink"/>
            <w:rFonts w:ascii="Times New Roman" w:hAnsi="Times New Roman"/>
            <w:sz w:val="24"/>
            <w:szCs w:val="24"/>
          </w:rPr>
          <w:t>https://public.fastcase.com/J%2FJP6pdidelsXxEE4k%2BLMiptlpkB0gZD0zq9ZoOKNJuhacmaRfGRvhQDw8Dzjp093sUgUkI4CwYYkhqoix%2B0P6g4YOgoDnx2kMnRYwj%2FWdA%3D</w:t>
        </w:r>
      </w:hyperlink>
      <w:r>
        <w:rPr>
          <w:rFonts w:ascii="Times New Roman" w:hAnsi="Times New Roman"/>
          <w:sz w:val="24"/>
          <w:szCs w:val="24"/>
        </w:rPr>
        <w:t xml:space="preserve"> </w:t>
      </w:r>
    </w:p>
    <w:p w14:paraId="6149F00D" w14:textId="77777777" w:rsidR="006C4BDE" w:rsidRPr="006E479D" w:rsidRDefault="006C4BDE" w:rsidP="006C4BDE">
      <w:pPr>
        <w:spacing w:before="100" w:beforeAutospacing="1" w:after="100" w:afterAutospacing="1" w:line="240" w:lineRule="auto"/>
        <w:rPr>
          <w:rFonts w:ascii="Times New Roman" w:hAnsi="Times New Roman"/>
          <w:b/>
          <w:bCs/>
          <w:sz w:val="24"/>
          <w:szCs w:val="24"/>
        </w:rPr>
      </w:pPr>
      <w:r w:rsidRPr="00604285">
        <w:rPr>
          <w:rFonts w:ascii="Times New Roman" w:hAnsi="Times New Roman"/>
          <w:b/>
          <w:bCs/>
          <w:sz w:val="24"/>
          <w:szCs w:val="24"/>
        </w:rPr>
        <w:t>Legal Lesson Learned:</w:t>
      </w:r>
      <w:r>
        <w:rPr>
          <w:rFonts w:ascii="Times New Roman" w:hAnsi="Times New Roman"/>
          <w:b/>
          <w:bCs/>
          <w:sz w:val="24"/>
          <w:szCs w:val="24"/>
        </w:rPr>
        <w:t xml:space="preserve"> </w:t>
      </w:r>
      <w:r w:rsidRPr="006E479D">
        <w:rPr>
          <w:rFonts w:ascii="Times New Roman" w:hAnsi="Times New Roman"/>
          <w:b/>
          <w:bCs/>
          <w:sz w:val="24"/>
          <w:szCs w:val="24"/>
        </w:rPr>
        <w:t xml:space="preserve">This alternative test passed EEOC “Uniform Guidelines </w:t>
      </w:r>
      <w:r w:rsidRPr="006E479D">
        <w:rPr>
          <w:rFonts w:ascii="Times New Roman" w:eastAsia="Times New Roman" w:hAnsi="Times New Roman"/>
          <w:b/>
          <w:bCs/>
          <w:sz w:val="24"/>
          <w:szCs w:val="24"/>
        </w:rPr>
        <w:t xml:space="preserve">on Employee Selection Procedures (1978), 29 C.F.R. § 1607, </w:t>
      </w:r>
      <w:r w:rsidRPr="006E479D">
        <w:rPr>
          <w:rFonts w:ascii="Times New Roman" w:eastAsia="Times New Roman" w:hAnsi="Times New Roman"/>
          <w:b/>
          <w:bCs/>
          <w:i/>
          <w:iCs/>
          <w:sz w:val="24"/>
          <w:szCs w:val="24"/>
        </w:rPr>
        <w:t xml:space="preserve">et seq.” </w:t>
      </w:r>
      <w:r w:rsidRPr="006E479D">
        <w:rPr>
          <w:rFonts w:ascii="Times New Roman" w:hAnsi="Times New Roman"/>
          <w:b/>
          <w:bCs/>
          <w:sz w:val="24"/>
          <w:szCs w:val="24"/>
        </w:rPr>
        <w:t xml:space="preserve">  </w:t>
      </w:r>
    </w:p>
    <w:p w14:paraId="568FAFE3" w14:textId="77777777" w:rsidR="006C4BDE" w:rsidRDefault="006C4BDE" w:rsidP="00F326E5">
      <w:pPr>
        <w:pStyle w:val="NoSpacing"/>
        <w:rPr>
          <w:rFonts w:ascii="Arial Black" w:hAnsi="Arial Black"/>
          <w:sz w:val="24"/>
          <w:szCs w:val="24"/>
        </w:rPr>
      </w:pPr>
    </w:p>
    <w:p w14:paraId="5D05D398" w14:textId="77777777" w:rsidR="006C4BDE" w:rsidRDefault="006C4BDE" w:rsidP="00F326E5">
      <w:pPr>
        <w:pStyle w:val="NoSpacing"/>
        <w:rPr>
          <w:rFonts w:ascii="Arial Black" w:hAnsi="Arial Black"/>
          <w:sz w:val="24"/>
          <w:szCs w:val="24"/>
        </w:rPr>
      </w:pPr>
    </w:p>
    <w:p w14:paraId="632853AB" w14:textId="77777777" w:rsidR="006C4BDE" w:rsidRDefault="006C4BDE" w:rsidP="00F326E5">
      <w:pPr>
        <w:pStyle w:val="NoSpacing"/>
        <w:rPr>
          <w:rFonts w:ascii="Arial Black" w:hAnsi="Arial Black"/>
          <w:sz w:val="24"/>
          <w:szCs w:val="24"/>
        </w:rPr>
      </w:pPr>
    </w:p>
    <w:p w14:paraId="19DCDD72" w14:textId="26E61109" w:rsidR="0002742E" w:rsidRDefault="0002742E" w:rsidP="00F326E5">
      <w:pPr>
        <w:pStyle w:val="NoSpacing"/>
        <w:rPr>
          <w:rFonts w:ascii="Arial Black" w:hAnsi="Arial Black"/>
          <w:sz w:val="24"/>
          <w:szCs w:val="24"/>
        </w:rPr>
      </w:pPr>
      <w:r>
        <w:rPr>
          <w:rFonts w:ascii="Arial Black" w:hAnsi="Arial Black"/>
          <w:sz w:val="24"/>
          <w:szCs w:val="24"/>
        </w:rPr>
        <w:t>7-43</w:t>
      </w:r>
    </w:p>
    <w:p w14:paraId="4574BFBB" w14:textId="0AEF07FA" w:rsidR="0002742E" w:rsidRPr="008D7229" w:rsidRDefault="0002742E" w:rsidP="0002742E">
      <w:pPr>
        <w:pStyle w:val="NormalWeb"/>
        <w:rPr>
          <w:rFonts w:ascii="Arial Black" w:hAnsi="Arial Black"/>
          <w:sz w:val="28"/>
          <w:szCs w:val="28"/>
        </w:rPr>
      </w:pPr>
      <w:r>
        <w:rPr>
          <w:rFonts w:ascii="Arial Black" w:hAnsi="Arial Black"/>
          <w:sz w:val="28"/>
          <w:szCs w:val="28"/>
        </w:rPr>
        <w:t xml:space="preserve">GA: TRANSGENDER FIRE CHIEF – FIRED 18 MONTHS AFTER CHANGE - “AT WILL” - NO PROPERTY INTEREST IN JOB </w:t>
      </w:r>
    </w:p>
    <w:p w14:paraId="2AEC4698" w14:textId="77777777" w:rsidR="0002742E" w:rsidRDefault="0002742E" w:rsidP="0002742E">
      <w:pPr>
        <w:pStyle w:val="NormalWeb"/>
      </w:pPr>
      <w:r>
        <w:t xml:space="preserve">On April 18, 2022, in </w:t>
      </w:r>
      <w:r w:rsidRPr="008D7229">
        <w:rPr>
          <w:u w:val="single"/>
        </w:rPr>
        <w:t>Rachel Mosby v. City of Bryson, Georgia</w:t>
      </w:r>
      <w:r>
        <w:t>, the U.S. Court of Appeals for the 11</w:t>
      </w:r>
      <w:r w:rsidRPr="008D7229">
        <w:rPr>
          <w:vertAlign w:val="superscript"/>
        </w:rPr>
        <w:t>th</w:t>
      </w:r>
      <w:r>
        <w:t xml:space="preserve"> Circuit (Atlanta) held (3 to 0; unpublished decision) that the U.S. District Court properly granted summary judgment to the City on her claim of violation of Title VII and ADA [she alleged the City fired her for be transgender; fired 18 months after coming to work dressed as a female].  Mosby was the City of Byron's fire chief for eleven years before being terminated in 2019.  Her initial complaint to EEOC on June 28, </w:t>
      </w:r>
      <w:proofErr w:type="gramStart"/>
      <w:r>
        <w:t>2019</w:t>
      </w:r>
      <w:proofErr w:type="gramEnd"/>
      <w:r>
        <w:t xml:space="preserve"> failed include a sworn statement or notarized affirmation, and U.S. District Court Judge Tilman E. Self III dismissed the lawsuit on </w:t>
      </w:r>
      <w:r>
        <w:lastRenderedPageBreak/>
        <w:t xml:space="preserve">that basis. On appeal the 11 Circuit also rejected her claim that Mosby had a property interest in continued employment as the City's fire chief based on a "long-standing personnel policy" allowing department heads to appeal adverse employment actions. </w:t>
      </w:r>
      <w:hyperlink r:id="rId1352" w:history="1">
        <w:r w:rsidRPr="00463170">
          <w:rPr>
            <w:rStyle w:val="Hyperlink"/>
          </w:rPr>
          <w:t>https://media.ca11.uscourts.gov/opinions/unpub/files/202110377.pdf</w:t>
        </w:r>
      </w:hyperlink>
      <w:r>
        <w:t xml:space="preserve"> </w:t>
      </w:r>
    </w:p>
    <w:p w14:paraId="396D1ECD" w14:textId="77777777" w:rsidR="0002742E" w:rsidRPr="0079197C" w:rsidRDefault="0002742E" w:rsidP="0002742E">
      <w:pPr>
        <w:spacing w:before="100" w:beforeAutospacing="1" w:after="100" w:afterAutospacing="1" w:line="240" w:lineRule="auto"/>
        <w:rPr>
          <w:rFonts w:ascii="Times New Roman" w:eastAsia="Times New Roman" w:hAnsi="Times New Roman"/>
          <w:b/>
          <w:bCs/>
          <w:sz w:val="24"/>
          <w:szCs w:val="24"/>
        </w:rPr>
      </w:pPr>
      <w:r w:rsidRPr="009D459E">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“At will” employee, unless protected by “whistleblower” or other statute. </w:t>
      </w:r>
    </w:p>
    <w:p w14:paraId="2A437E9B" w14:textId="77777777" w:rsidR="0002742E" w:rsidRPr="00810D4A" w:rsidRDefault="0002742E" w:rsidP="0002742E">
      <w:pPr>
        <w:spacing w:before="100" w:beforeAutospacing="1" w:after="100" w:afterAutospacing="1" w:line="240" w:lineRule="auto"/>
        <w:ind w:left="720"/>
        <w:rPr>
          <w:rFonts w:ascii="Times New Roman" w:eastAsia="Times New Roman" w:hAnsi="Times New Roman"/>
          <w:b/>
          <w:bCs/>
          <w:sz w:val="24"/>
          <w:szCs w:val="24"/>
        </w:rPr>
      </w:pPr>
      <w:r w:rsidRPr="00810D4A">
        <w:rPr>
          <w:rFonts w:ascii="Times New Roman" w:eastAsia="Times New Roman" w:hAnsi="Times New Roman"/>
          <w:sz w:val="24"/>
          <w:szCs w:val="24"/>
        </w:rPr>
        <w:t>Note: See this article:</w:t>
      </w:r>
      <w:r w:rsidRPr="00810D4A">
        <w:rPr>
          <w:rFonts w:ascii="Times New Roman" w:eastAsia="Times New Roman" w:hAnsi="Times New Roman"/>
          <w:b/>
          <w:bCs/>
          <w:sz w:val="24"/>
          <w:szCs w:val="24"/>
        </w:rPr>
        <w:t xml:space="preserve"> </w:t>
      </w:r>
      <w:r w:rsidRPr="00810D4A">
        <w:rPr>
          <w:rFonts w:ascii="Times New Roman" w:hAnsi="Times New Roman"/>
          <w:sz w:val="24"/>
          <w:szCs w:val="24"/>
        </w:rPr>
        <w:t xml:space="preserve">See this article (Feb. 18, 2021): “Judge dismisses Georgia lawsuit by transgender fire chief.” </w:t>
      </w:r>
      <w:hyperlink r:id="rId1353" w:history="1">
        <w:r w:rsidRPr="00C37F44">
          <w:rPr>
            <w:rStyle w:val="Hyperlink"/>
            <w:rFonts w:ascii="Times New Roman" w:hAnsi="Times New Roman"/>
            <w:sz w:val="24"/>
            <w:szCs w:val="24"/>
          </w:rPr>
          <w:t>https://apnews.com/article/savannah-discrimination-lawsuits-georgia-courts-181c735cb3d5f318ea6a76e14d237b4a</w:t>
        </w:r>
      </w:hyperlink>
      <w:r>
        <w:rPr>
          <w:rFonts w:ascii="Times New Roman" w:hAnsi="Times New Roman"/>
          <w:sz w:val="24"/>
          <w:szCs w:val="24"/>
        </w:rPr>
        <w:t xml:space="preserve"> </w:t>
      </w:r>
    </w:p>
    <w:p w14:paraId="571FC5CA" w14:textId="77777777" w:rsidR="0002742E" w:rsidRDefault="0002742E" w:rsidP="00F326E5">
      <w:pPr>
        <w:pStyle w:val="NoSpacing"/>
        <w:rPr>
          <w:rFonts w:ascii="Arial Black" w:hAnsi="Arial Black"/>
          <w:sz w:val="24"/>
          <w:szCs w:val="24"/>
        </w:rPr>
      </w:pPr>
    </w:p>
    <w:p w14:paraId="23A48E16" w14:textId="77777777" w:rsidR="0002742E" w:rsidRDefault="0002742E" w:rsidP="00F326E5">
      <w:pPr>
        <w:pStyle w:val="NoSpacing"/>
        <w:rPr>
          <w:rFonts w:ascii="Arial Black" w:hAnsi="Arial Black"/>
          <w:sz w:val="24"/>
          <w:szCs w:val="24"/>
        </w:rPr>
      </w:pPr>
    </w:p>
    <w:p w14:paraId="23ECBA71" w14:textId="492821C6" w:rsidR="00727951" w:rsidRDefault="00727951" w:rsidP="00F326E5">
      <w:pPr>
        <w:pStyle w:val="NoSpacing"/>
        <w:rPr>
          <w:rFonts w:ascii="Arial Black" w:hAnsi="Arial Black"/>
          <w:sz w:val="24"/>
          <w:szCs w:val="24"/>
        </w:rPr>
      </w:pPr>
      <w:r>
        <w:rPr>
          <w:rFonts w:ascii="Arial Black" w:hAnsi="Arial Black"/>
          <w:sz w:val="24"/>
          <w:szCs w:val="24"/>
        </w:rPr>
        <w:t>7-42</w:t>
      </w:r>
    </w:p>
    <w:p w14:paraId="4D05FF46" w14:textId="77777777" w:rsidR="00727951" w:rsidRDefault="00727951" w:rsidP="0072795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VA: FEMALE FIRE INSPECTOR – MADE COMPLAINT PASSED OVER PROMOTIONS – RETALIATION – CASE TO PROCEED</w:t>
      </w:r>
    </w:p>
    <w:p w14:paraId="7A1EECA1" w14:textId="77777777" w:rsidR="00727951" w:rsidRDefault="00727951" w:rsidP="00727951">
      <w:pPr>
        <w:spacing w:before="100" w:beforeAutospacing="1" w:after="100" w:afterAutospacing="1" w:line="240" w:lineRule="auto"/>
        <w:rPr>
          <w:rStyle w:val="Hyperlink"/>
          <w:rFonts w:ascii="Times New Roman" w:hAnsi="Times New Roman"/>
          <w:sz w:val="24"/>
          <w:szCs w:val="24"/>
        </w:rPr>
      </w:pPr>
      <w:r w:rsidRPr="00447DAF">
        <w:rPr>
          <w:rFonts w:ascii="Times New Roman" w:eastAsia="Times New Roman" w:hAnsi="Times New Roman"/>
          <w:sz w:val="24"/>
          <w:szCs w:val="24"/>
        </w:rPr>
        <w:t xml:space="preserve">On </w:t>
      </w:r>
      <w:r>
        <w:rPr>
          <w:rFonts w:ascii="Times New Roman" w:eastAsia="Times New Roman" w:hAnsi="Times New Roman"/>
          <w:sz w:val="24"/>
          <w:szCs w:val="24"/>
        </w:rPr>
        <w:t xml:space="preserve">March 11, 2022, in </w:t>
      </w:r>
      <w:r w:rsidRPr="00447DAF">
        <w:rPr>
          <w:rFonts w:ascii="Times New Roman" w:eastAsia="Times New Roman" w:hAnsi="Times New Roman"/>
          <w:sz w:val="24"/>
          <w:szCs w:val="24"/>
          <w:u w:val="single"/>
        </w:rPr>
        <w:t>Karen Baka v, City of Norfolk, Virginia</w:t>
      </w:r>
      <w:r>
        <w:rPr>
          <w:rFonts w:ascii="Times New Roman" w:eastAsia="Times New Roman" w:hAnsi="Times New Roman"/>
          <w:sz w:val="24"/>
          <w:szCs w:val="24"/>
        </w:rPr>
        <w:t xml:space="preserve">, U.S. District Court Judge Raymond A. Jackson, U.S. District Court for Eastern District of Virginia (Norfolk Division) denied the City’s motion to dismiss this lawsuit by the plaintiff, who is a Fire Investigator in the Norfolk Fire Marshal’s Office and complained about being passed over for several promotions in retaliation for filing internal complaints with the City.  Another female Fire Investigator, who retired after 30 years, has filed a similar lawsuit. The Court referenced in  Footnote 1 a TV story about the alleged hostile workplace experience by the two Investigators. </w:t>
      </w:r>
      <w:hyperlink r:id="rId1354" w:history="1">
        <w:r w:rsidRPr="000247F2">
          <w:rPr>
            <w:rStyle w:val="Hyperlink"/>
            <w:rFonts w:ascii="Times New Roman" w:hAnsi="Times New Roman"/>
            <w:sz w:val="24"/>
            <w:szCs w:val="24"/>
          </w:rPr>
          <w:t>https://public.fastcase.com/waZtJvSA54UAurM2rmIZzzCYJhAha3GGo3AEN0d5yD5AXzBU0GIzy8sJKIx0m%2BEEHwIyJuWgbxH4Xd2BL4DW9aTliyBT6bOFBbV5rp7%2BS3s%3D</w:t>
        </w:r>
      </w:hyperlink>
    </w:p>
    <w:p w14:paraId="0F68D247" w14:textId="77777777" w:rsidR="00727951" w:rsidRDefault="00727951" w:rsidP="00727951">
      <w:pPr>
        <w:spacing w:before="100" w:beforeAutospacing="1" w:after="100" w:afterAutospacing="1" w:line="240" w:lineRule="auto"/>
        <w:ind w:left="720"/>
        <w:rPr>
          <w:rFonts w:ascii="Times New Roman" w:hAnsi="Times New Roman"/>
          <w:sz w:val="24"/>
          <w:szCs w:val="24"/>
        </w:rPr>
      </w:pPr>
      <w:r>
        <w:t>“</w:t>
      </w:r>
      <w:r w:rsidRPr="006539C7">
        <w:rPr>
          <w:rFonts w:ascii="Times New Roman" w:hAnsi="Times New Roman"/>
          <w:sz w:val="24"/>
          <w:szCs w:val="24"/>
        </w:rPr>
        <w:t xml:space="preserve">Defendant also claims that it is "immune from tort liability for governmental functions, absent an express waiver of such immunity." </w:t>
      </w:r>
      <w:proofErr w:type="spellStart"/>
      <w:r w:rsidRPr="006539C7">
        <w:rPr>
          <w:rFonts w:ascii="Times New Roman" w:hAnsi="Times New Roman"/>
          <w:sz w:val="24"/>
          <w:szCs w:val="24"/>
        </w:rPr>
        <w:t>Def.'s</w:t>
      </w:r>
      <w:proofErr w:type="spellEnd"/>
      <w:r w:rsidRPr="006539C7">
        <w:rPr>
          <w:rFonts w:ascii="Times New Roman" w:hAnsi="Times New Roman"/>
          <w:sz w:val="24"/>
          <w:szCs w:val="24"/>
        </w:rPr>
        <w:t xml:space="preserve"> Mem. Supp. at 4. Yet, the Supreme Court of Virginia in </w:t>
      </w:r>
      <w:r w:rsidRPr="006539C7">
        <w:rPr>
          <w:rStyle w:val="Emphasis"/>
          <w:rFonts w:ascii="Times New Roman" w:hAnsi="Times New Roman"/>
          <w:sz w:val="24"/>
          <w:szCs w:val="24"/>
        </w:rPr>
        <w:t>Massenburg -</w:t>
      </w:r>
      <w:r w:rsidRPr="006539C7">
        <w:rPr>
          <w:rFonts w:ascii="Times New Roman" w:hAnsi="Times New Roman"/>
          <w:sz w:val="24"/>
          <w:szCs w:val="24"/>
        </w:rPr>
        <w:t xml:space="preserve"> a case upon which Defendant relies - explicitly stated: </w:t>
      </w:r>
      <w:r>
        <w:rPr>
          <w:rFonts w:ascii="Times New Roman" w:hAnsi="Times New Roman"/>
          <w:sz w:val="24"/>
          <w:szCs w:val="24"/>
        </w:rPr>
        <w:t>‘</w:t>
      </w:r>
      <w:r w:rsidRPr="006539C7">
        <w:rPr>
          <w:rFonts w:ascii="Times New Roman" w:hAnsi="Times New Roman"/>
          <w:sz w:val="24"/>
          <w:szCs w:val="24"/>
        </w:rPr>
        <w:t>Unlike counties, which share fully in the sovereign's immunity from tort, whether a municipal corporation is entitled to sovereign immunity protection depends on the type of function it exercises when liability arises.</w:t>
      </w:r>
      <w:r>
        <w:rPr>
          <w:rFonts w:ascii="Times New Roman" w:hAnsi="Times New Roman"/>
          <w:sz w:val="24"/>
          <w:szCs w:val="24"/>
        </w:rPr>
        <w:t>’</w:t>
      </w:r>
      <w:r w:rsidRPr="006539C7">
        <w:rPr>
          <w:rFonts w:ascii="Times New Roman" w:hAnsi="Times New Roman"/>
          <w:sz w:val="24"/>
          <w:szCs w:val="24"/>
        </w:rPr>
        <w:t xml:space="preserve"> 298 Va. at 218 (2019). Indeed, Defendant's reliance on </w:t>
      </w:r>
      <w:r w:rsidRPr="006539C7">
        <w:rPr>
          <w:rStyle w:val="Emphasis"/>
          <w:rFonts w:ascii="Times New Roman" w:hAnsi="Times New Roman"/>
          <w:sz w:val="24"/>
          <w:szCs w:val="24"/>
        </w:rPr>
        <w:t>Ligon</w:t>
      </w:r>
      <w:r w:rsidRPr="006539C7">
        <w:rPr>
          <w:rFonts w:ascii="Times New Roman" w:hAnsi="Times New Roman"/>
          <w:sz w:val="24"/>
          <w:szCs w:val="24"/>
        </w:rPr>
        <w:t xml:space="preserve"> is misplaced because that case dealt specifically with a county employee who </w:t>
      </w:r>
      <w:proofErr w:type="gramStart"/>
      <w:r w:rsidRPr="006539C7">
        <w:rPr>
          <w:rFonts w:ascii="Times New Roman" w:hAnsi="Times New Roman"/>
          <w:sz w:val="24"/>
          <w:szCs w:val="24"/>
        </w:rPr>
        <w:t>brought suit against</w:t>
      </w:r>
      <w:proofErr w:type="gramEnd"/>
      <w:r w:rsidRPr="006539C7">
        <w:rPr>
          <w:rFonts w:ascii="Times New Roman" w:hAnsi="Times New Roman"/>
          <w:sz w:val="24"/>
          <w:szCs w:val="24"/>
        </w:rPr>
        <w:t xml:space="preserve"> the county for which he worked. </w:t>
      </w:r>
      <w:r w:rsidRPr="006539C7">
        <w:rPr>
          <w:rStyle w:val="Emphasis"/>
          <w:rFonts w:ascii="Times New Roman" w:hAnsi="Times New Roman"/>
          <w:sz w:val="24"/>
          <w:szCs w:val="24"/>
        </w:rPr>
        <w:t xml:space="preserve">See Ligon v. </w:t>
      </w:r>
      <w:proofErr w:type="spellStart"/>
      <w:r w:rsidRPr="006539C7">
        <w:rPr>
          <w:rStyle w:val="Emphasis"/>
          <w:rFonts w:ascii="Times New Roman" w:hAnsi="Times New Roman"/>
          <w:sz w:val="24"/>
          <w:szCs w:val="24"/>
        </w:rPr>
        <w:t>Cnty</w:t>
      </w:r>
      <w:proofErr w:type="spellEnd"/>
      <w:r w:rsidRPr="006539C7">
        <w:rPr>
          <w:rStyle w:val="Emphasis"/>
          <w:rFonts w:ascii="Times New Roman" w:hAnsi="Times New Roman"/>
          <w:sz w:val="24"/>
          <w:szCs w:val="24"/>
        </w:rPr>
        <w:t>. of Goochland,</w:t>
      </w:r>
      <w:r w:rsidRPr="006539C7">
        <w:rPr>
          <w:rFonts w:ascii="Times New Roman" w:hAnsi="Times New Roman"/>
          <w:sz w:val="24"/>
          <w:szCs w:val="24"/>
        </w:rPr>
        <w:t xml:space="preserve"> 279 Va. 312, 314 (2010). The </w:t>
      </w:r>
      <w:r w:rsidRPr="006539C7">
        <w:rPr>
          <w:rStyle w:val="Emphasis"/>
          <w:rFonts w:ascii="Times New Roman" w:hAnsi="Times New Roman"/>
          <w:sz w:val="24"/>
          <w:szCs w:val="24"/>
        </w:rPr>
        <w:t>Massenburg</w:t>
      </w:r>
      <w:r w:rsidRPr="006539C7">
        <w:rPr>
          <w:rFonts w:ascii="Times New Roman" w:hAnsi="Times New Roman"/>
          <w:sz w:val="24"/>
          <w:szCs w:val="24"/>
        </w:rPr>
        <w:t xml:space="preserve"> court made clear that counties enjoy immunity protections distinct from those enjoyed by municipalities. Defendant is a municipality, not the Commonwealth or one of its counties.</w:t>
      </w:r>
      <w:r>
        <w:rPr>
          <w:rFonts w:ascii="Times New Roman" w:hAnsi="Times New Roman"/>
          <w:sz w:val="24"/>
          <w:szCs w:val="24"/>
        </w:rPr>
        <w:t xml:space="preserve">’ </w:t>
      </w:r>
      <w:hyperlink r:id="rId1355" w:history="1">
        <w:r w:rsidRPr="000247F2">
          <w:rPr>
            <w:rStyle w:val="Hyperlink"/>
            <w:rFonts w:ascii="Times New Roman" w:hAnsi="Times New Roman"/>
            <w:sz w:val="24"/>
            <w:szCs w:val="24"/>
          </w:rPr>
          <w:t>https://public.fastcase.com/waZtJvSA54UAurM2rmIZzzCYJhAha3GGo3AEN0d5yD5AXzBU0GIzy8sJKIx0m%2BEEHwIyJuWgbxH4Xd2BL4DW9aTliyBT6bOFBbV5rp7%2BS3s%3D</w:t>
        </w:r>
      </w:hyperlink>
    </w:p>
    <w:p w14:paraId="0CF40B0E" w14:textId="77777777" w:rsidR="00727951" w:rsidRDefault="00727951" w:rsidP="00727951">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Footnote 1: </w:t>
      </w:r>
      <w:r w:rsidRPr="003342D2">
        <w:rPr>
          <w:rStyle w:val="Emphasis"/>
          <w:rFonts w:ascii="Times New Roman" w:hAnsi="Times New Roman"/>
          <w:sz w:val="24"/>
          <w:szCs w:val="24"/>
        </w:rPr>
        <w:t>See</w:t>
      </w:r>
      <w:r w:rsidRPr="003342D2">
        <w:rPr>
          <w:rFonts w:ascii="Times New Roman" w:hAnsi="Times New Roman"/>
          <w:sz w:val="24"/>
          <w:szCs w:val="24"/>
        </w:rPr>
        <w:t xml:space="preserve"> Jason Marks, </w:t>
      </w:r>
      <w:r w:rsidRPr="003342D2">
        <w:rPr>
          <w:rStyle w:val="Emphasis"/>
          <w:rFonts w:ascii="Times New Roman" w:hAnsi="Times New Roman"/>
          <w:sz w:val="24"/>
          <w:szCs w:val="24"/>
        </w:rPr>
        <w:t>Special Report: Norfolk Under Fire for Treatment of Female Employees, WAVY.com</w:t>
      </w:r>
      <w:r w:rsidRPr="003342D2">
        <w:rPr>
          <w:rFonts w:ascii="Times New Roman" w:hAnsi="Times New Roman"/>
          <w:sz w:val="24"/>
          <w:szCs w:val="24"/>
        </w:rPr>
        <w:t xml:space="preserve"> (Oct. 24, 2019, 4:11 PM)</w:t>
      </w:r>
      <w:r>
        <w:rPr>
          <w:rFonts w:ascii="Times New Roman" w:hAnsi="Times New Roman"/>
          <w:sz w:val="24"/>
          <w:szCs w:val="24"/>
        </w:rPr>
        <w:t>….</w:t>
      </w:r>
      <w:r w:rsidRPr="003342D2">
        <w:rPr>
          <w:rFonts w:ascii="Times New Roman" w:hAnsi="Times New Roman"/>
          <w:sz w:val="24"/>
          <w:szCs w:val="24"/>
        </w:rPr>
        <w:t xml:space="preserve"> </w:t>
      </w:r>
    </w:p>
    <w:p w14:paraId="0958D754" w14:textId="77777777" w:rsidR="00727951" w:rsidRDefault="00727951" w:rsidP="0072795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 xml:space="preserve">[Watch the video and read the article.] </w:t>
      </w:r>
      <w:hyperlink r:id="rId1356" w:history="1">
        <w:r w:rsidRPr="00BA2523">
          <w:rPr>
            <w:rStyle w:val="Hyperlink"/>
            <w:rFonts w:ascii="Times New Roman" w:eastAsia="Times New Roman" w:hAnsi="Times New Roman"/>
            <w:sz w:val="24"/>
            <w:szCs w:val="24"/>
          </w:rPr>
          <w:t>https://www.wavy.com/news/local-news/norfolk/special-report-norfolk-under-fire-for-treatment-of-female-employees/</w:t>
        </w:r>
      </w:hyperlink>
      <w:r w:rsidRPr="003342D2">
        <w:rPr>
          <w:rFonts w:ascii="Times New Roman" w:eastAsia="Times New Roman" w:hAnsi="Times New Roman"/>
          <w:sz w:val="24"/>
          <w:szCs w:val="24"/>
        </w:rPr>
        <w:t xml:space="preserve"> </w:t>
      </w:r>
    </w:p>
    <w:p w14:paraId="304970AE" w14:textId="77777777" w:rsidR="00727951" w:rsidRDefault="00727951" w:rsidP="00727951">
      <w:pPr>
        <w:spacing w:before="100" w:beforeAutospacing="1" w:after="100" w:afterAutospacing="1" w:line="240" w:lineRule="auto"/>
        <w:ind w:left="720"/>
        <w:rPr>
          <w:rFonts w:ascii="Times New Roman" w:hAnsi="Times New Roman"/>
          <w:sz w:val="24"/>
          <w:szCs w:val="24"/>
        </w:rPr>
      </w:pPr>
      <w:r w:rsidRPr="003342D2">
        <w:rPr>
          <w:rFonts w:ascii="Times New Roman" w:hAnsi="Times New Roman"/>
          <w:sz w:val="24"/>
          <w:szCs w:val="24"/>
        </w:rPr>
        <w:t>NORFOLK, Va. (WAVY) – Humiliation and hostility.  That’s what two women claim happened to them in the Norfolk Fire Marshal’s Office.  The women feel they are treated differently than their male co-workers and are taking the city to court.</w:t>
      </w:r>
    </w:p>
    <w:p w14:paraId="0C74A1C6" w14:textId="77777777" w:rsidR="00727951" w:rsidRPr="007D487F" w:rsidRDefault="00727951" w:rsidP="00727951">
      <w:pPr>
        <w:spacing w:before="100" w:beforeAutospacing="1" w:after="100" w:afterAutospacing="1" w:line="240" w:lineRule="auto"/>
        <w:ind w:left="720"/>
        <w:rPr>
          <w:rFonts w:ascii="Times New Roman" w:eastAsia="Times New Roman" w:hAnsi="Times New Roman"/>
          <w:sz w:val="24"/>
          <w:szCs w:val="24"/>
        </w:rPr>
      </w:pPr>
      <w:r w:rsidRPr="007D487F">
        <w:rPr>
          <w:rFonts w:ascii="Times New Roman" w:eastAsia="Times New Roman" w:hAnsi="Times New Roman"/>
          <w:sz w:val="24"/>
          <w:szCs w:val="24"/>
        </w:rPr>
        <w:lastRenderedPageBreak/>
        <w:t>“Changes tend to happen when people pay attention to the problems,” said attorney Barry Montgomery.</w:t>
      </w:r>
      <w:r>
        <w:rPr>
          <w:rFonts w:ascii="Times New Roman" w:eastAsia="Times New Roman" w:hAnsi="Times New Roman"/>
          <w:sz w:val="24"/>
          <w:szCs w:val="24"/>
        </w:rPr>
        <w:t xml:space="preserve"> </w:t>
      </w:r>
      <w:r w:rsidRPr="007D487F">
        <w:rPr>
          <w:rFonts w:ascii="Times New Roman" w:eastAsia="Times New Roman" w:hAnsi="Times New Roman"/>
          <w:sz w:val="24"/>
          <w:szCs w:val="24"/>
        </w:rPr>
        <w:t>Montgomery is the attorney for the two women: Karen Baka, a current Norfolk Fire Marshal, and Karen Barnes, who retired from the Fire Marshal’s Office after 30 years of service.</w:t>
      </w:r>
      <w:r>
        <w:rPr>
          <w:rFonts w:ascii="Times New Roman" w:eastAsia="Times New Roman" w:hAnsi="Times New Roman"/>
          <w:sz w:val="24"/>
          <w:szCs w:val="24"/>
        </w:rPr>
        <w:t xml:space="preserve"> </w:t>
      </w:r>
      <w:r w:rsidRPr="007D487F">
        <w:rPr>
          <w:rFonts w:ascii="Times New Roman" w:eastAsia="Times New Roman" w:hAnsi="Times New Roman"/>
          <w:sz w:val="24"/>
          <w:szCs w:val="24"/>
        </w:rPr>
        <w:t>Baka, who has been with Norfolk Fire since 1985, says she has been overlooked on purpose for promotions.</w:t>
      </w:r>
      <w:r>
        <w:rPr>
          <w:rFonts w:ascii="Times New Roman" w:eastAsia="Times New Roman" w:hAnsi="Times New Roman"/>
          <w:sz w:val="24"/>
          <w:szCs w:val="24"/>
        </w:rPr>
        <w:t xml:space="preserve"> ‘</w:t>
      </w:r>
      <w:r w:rsidRPr="007D487F">
        <w:rPr>
          <w:rFonts w:ascii="Times New Roman" w:eastAsia="Times New Roman" w:hAnsi="Times New Roman"/>
          <w:sz w:val="24"/>
          <w:szCs w:val="24"/>
        </w:rPr>
        <w:t>One of her major complaints is failure to not get promoted,</w:t>
      </w:r>
      <w:r>
        <w:rPr>
          <w:rFonts w:ascii="Times New Roman" w:eastAsia="Times New Roman" w:hAnsi="Times New Roman"/>
          <w:sz w:val="24"/>
          <w:szCs w:val="24"/>
        </w:rPr>
        <w:t>’</w:t>
      </w:r>
      <w:r w:rsidRPr="007D487F">
        <w:rPr>
          <w:rFonts w:ascii="Times New Roman" w:eastAsia="Times New Roman" w:hAnsi="Times New Roman"/>
          <w:sz w:val="24"/>
          <w:szCs w:val="24"/>
        </w:rPr>
        <w:t xml:space="preserve"> Montgomery said.  “She filed for promotion three separate times for lieutenant and was denied each time.  The job went to male firefighters who did not have as much experience as she did.  She noticed that happened after she made her complaints.”</w:t>
      </w:r>
      <w:r>
        <w:rPr>
          <w:rFonts w:ascii="Times New Roman" w:eastAsia="Times New Roman" w:hAnsi="Times New Roman"/>
          <w:sz w:val="24"/>
          <w:szCs w:val="24"/>
        </w:rPr>
        <w:t xml:space="preserve"> </w:t>
      </w:r>
      <w:r w:rsidRPr="007D487F">
        <w:rPr>
          <w:rFonts w:ascii="Times New Roman" w:eastAsia="Times New Roman" w:hAnsi="Times New Roman"/>
          <w:sz w:val="24"/>
          <w:szCs w:val="24"/>
        </w:rPr>
        <w:t xml:space="preserve">Barnes, who retired as a lieutenant, says she felt threatened, humiliated and picked on by her boss.  She was told at times that if she went behind his </w:t>
      </w:r>
      <w:proofErr w:type="gramStart"/>
      <w:r w:rsidRPr="007D487F">
        <w:rPr>
          <w:rFonts w:ascii="Times New Roman" w:eastAsia="Times New Roman" w:hAnsi="Times New Roman"/>
          <w:sz w:val="24"/>
          <w:szCs w:val="24"/>
        </w:rPr>
        <w:t>back</w:t>
      </w:r>
      <w:proofErr w:type="gramEnd"/>
      <w:r w:rsidRPr="007D487F">
        <w:rPr>
          <w:rFonts w:ascii="Times New Roman" w:eastAsia="Times New Roman" w:hAnsi="Times New Roman"/>
          <w:sz w:val="24"/>
          <w:szCs w:val="24"/>
        </w:rPr>
        <w:t xml:space="preserve"> she would feel his wrath.</w:t>
      </w:r>
      <w:r>
        <w:rPr>
          <w:rFonts w:ascii="Times New Roman" w:eastAsia="Times New Roman" w:hAnsi="Times New Roman"/>
          <w:sz w:val="24"/>
          <w:szCs w:val="24"/>
        </w:rPr>
        <w:t>”</w:t>
      </w:r>
    </w:p>
    <w:p w14:paraId="37C43A5F" w14:textId="77777777" w:rsidR="00727951" w:rsidRPr="006539C7" w:rsidRDefault="00727951" w:rsidP="00727951">
      <w:pPr>
        <w:spacing w:before="100" w:beforeAutospacing="1" w:after="100" w:afterAutospacing="1" w:line="240" w:lineRule="auto"/>
        <w:rPr>
          <w:rFonts w:ascii="Times New Roman" w:eastAsia="Times New Roman" w:hAnsi="Times New Roman"/>
          <w:b/>
          <w:bCs/>
          <w:sz w:val="24"/>
          <w:szCs w:val="24"/>
        </w:rPr>
      </w:pPr>
      <w:r w:rsidRPr="006539C7">
        <w:rPr>
          <w:rFonts w:ascii="Times New Roman" w:hAnsi="Times New Roman"/>
          <w:b/>
          <w:bCs/>
          <w:sz w:val="24"/>
          <w:szCs w:val="24"/>
        </w:rPr>
        <w:t>Legal Lesson Learned:</w:t>
      </w:r>
      <w:r>
        <w:rPr>
          <w:rFonts w:ascii="Times New Roman" w:hAnsi="Times New Roman"/>
          <w:b/>
          <w:bCs/>
          <w:sz w:val="24"/>
          <w:szCs w:val="24"/>
        </w:rPr>
        <w:t xml:space="preserve"> Claims of retaliation, particularly after an internal complaint of hostile workplace has been submitted to the employer, can be difficult to defend before a jury. </w:t>
      </w:r>
    </w:p>
    <w:p w14:paraId="7E001876" w14:textId="77777777" w:rsidR="00727951" w:rsidRDefault="00727951" w:rsidP="00727951">
      <w:pPr>
        <w:pStyle w:val="Heading1"/>
        <w:ind w:left="720"/>
        <w:rPr>
          <w:b w:val="0"/>
          <w:bCs w:val="0"/>
          <w:sz w:val="24"/>
          <w:szCs w:val="24"/>
        </w:rPr>
      </w:pPr>
      <w:r w:rsidRPr="00FF3DE1">
        <w:rPr>
          <w:b w:val="0"/>
          <w:bCs w:val="0"/>
          <w:sz w:val="24"/>
          <w:szCs w:val="24"/>
        </w:rPr>
        <w:t xml:space="preserve">Note: </w:t>
      </w:r>
      <w:r>
        <w:rPr>
          <w:b w:val="0"/>
          <w:bCs w:val="0"/>
          <w:sz w:val="24"/>
          <w:szCs w:val="24"/>
        </w:rPr>
        <w:t xml:space="preserve">Reportedly, plaintiff settled a prior lawsuit against the </w:t>
      </w:r>
      <w:proofErr w:type="gramStart"/>
      <w:r>
        <w:rPr>
          <w:b w:val="0"/>
          <w:bCs w:val="0"/>
          <w:sz w:val="24"/>
          <w:szCs w:val="24"/>
        </w:rPr>
        <w:t>City</w:t>
      </w:r>
      <w:proofErr w:type="gramEnd"/>
      <w:r>
        <w:rPr>
          <w:b w:val="0"/>
          <w:bCs w:val="0"/>
          <w:sz w:val="24"/>
          <w:szCs w:val="24"/>
        </w:rPr>
        <w:t xml:space="preserve"> for $87,000. </w:t>
      </w:r>
    </w:p>
    <w:p w14:paraId="64B771C8" w14:textId="77777777" w:rsidR="00727951" w:rsidRPr="00FF3DE1" w:rsidRDefault="00727951" w:rsidP="00727951">
      <w:pPr>
        <w:pStyle w:val="Heading1"/>
        <w:ind w:left="720"/>
        <w:rPr>
          <w:b w:val="0"/>
          <w:bCs w:val="0"/>
          <w:sz w:val="24"/>
          <w:szCs w:val="24"/>
        </w:rPr>
      </w:pPr>
      <w:r>
        <w:rPr>
          <w:b w:val="0"/>
          <w:bCs w:val="0"/>
          <w:sz w:val="24"/>
          <w:szCs w:val="24"/>
        </w:rPr>
        <w:t xml:space="preserve">See </w:t>
      </w:r>
      <w:r w:rsidRPr="00FF3DE1">
        <w:rPr>
          <w:b w:val="0"/>
          <w:bCs w:val="0"/>
          <w:sz w:val="24"/>
          <w:szCs w:val="24"/>
        </w:rPr>
        <w:t xml:space="preserve">March 13, </w:t>
      </w:r>
      <w:proofErr w:type="gramStart"/>
      <w:r w:rsidRPr="00FF3DE1">
        <w:rPr>
          <w:b w:val="0"/>
          <w:bCs w:val="0"/>
          <w:sz w:val="24"/>
          <w:szCs w:val="24"/>
        </w:rPr>
        <w:t>2022</w:t>
      </w:r>
      <w:proofErr w:type="gramEnd"/>
      <w:r>
        <w:rPr>
          <w:b w:val="0"/>
          <w:bCs w:val="0"/>
          <w:sz w:val="24"/>
          <w:szCs w:val="24"/>
        </w:rPr>
        <w:t xml:space="preserve"> article</w:t>
      </w:r>
      <w:r w:rsidRPr="00FF3DE1">
        <w:rPr>
          <w:b w:val="0"/>
          <w:bCs w:val="0"/>
          <w:sz w:val="24"/>
          <w:szCs w:val="24"/>
        </w:rPr>
        <w:t>.</w:t>
      </w:r>
      <w:r>
        <w:rPr>
          <w:sz w:val="24"/>
          <w:szCs w:val="24"/>
        </w:rPr>
        <w:t xml:space="preserve"> “</w:t>
      </w:r>
      <w:r w:rsidRPr="00FF3DE1">
        <w:rPr>
          <w:b w:val="0"/>
          <w:bCs w:val="0"/>
          <w:sz w:val="24"/>
          <w:szCs w:val="24"/>
        </w:rPr>
        <w:t xml:space="preserve">Court Refuses to Dismiss State Law Claims in Norfolk Retaliation Suit.” </w:t>
      </w:r>
      <w:hyperlink r:id="rId1357" w:history="1">
        <w:r w:rsidRPr="000247F2">
          <w:rPr>
            <w:rStyle w:val="Hyperlink"/>
            <w:rFonts w:eastAsiaTheme="majorEastAsia"/>
            <w:b w:val="0"/>
            <w:bCs w:val="0"/>
            <w:sz w:val="24"/>
            <w:szCs w:val="24"/>
          </w:rPr>
          <w:t>https://www.firelawblog.com/2022/03/13/court-refuses-to-dismiss-state-law-claims-in-norfolk-retaliation-suit/</w:t>
        </w:r>
      </w:hyperlink>
      <w:r>
        <w:rPr>
          <w:b w:val="0"/>
          <w:bCs w:val="0"/>
          <w:sz w:val="24"/>
          <w:szCs w:val="24"/>
        </w:rPr>
        <w:t xml:space="preserve"> </w:t>
      </w:r>
    </w:p>
    <w:p w14:paraId="6C94FCDD" w14:textId="77777777" w:rsidR="00727951" w:rsidRDefault="00727951" w:rsidP="00727951">
      <w:pPr>
        <w:pStyle w:val="NormalWeb"/>
        <w:ind w:left="1440"/>
      </w:pPr>
      <w:r>
        <w:t>The US District Court for the Eastern District of Virginia has refused to dismiss the state law claims of a fire investigator with Norfolk Fire-Rescue who alleges sexual harassment, discrimination, retaliation, and violation of Virginia’s Whistleblower Protection Act.</w:t>
      </w:r>
    </w:p>
    <w:p w14:paraId="2AB5AA1D" w14:textId="77777777" w:rsidR="00727951" w:rsidRDefault="00727951" w:rsidP="00727951">
      <w:pPr>
        <w:pStyle w:val="NormalWeb"/>
        <w:ind w:left="1440"/>
      </w:pPr>
      <w:r>
        <w:t xml:space="preserve">Karen Baka filed the suit last year. It was her second suit against the city. Baka had previously filed a gender discrimination suit in 2019. That suit ultimately settled for $87,000. </w:t>
      </w:r>
    </w:p>
    <w:p w14:paraId="68768599" w14:textId="77777777" w:rsidR="00E3473F" w:rsidRDefault="00E3473F" w:rsidP="00F326E5">
      <w:pPr>
        <w:pStyle w:val="NoSpacing"/>
        <w:rPr>
          <w:rFonts w:ascii="Arial Black" w:hAnsi="Arial Black"/>
          <w:sz w:val="24"/>
          <w:szCs w:val="24"/>
        </w:rPr>
      </w:pPr>
    </w:p>
    <w:p w14:paraId="24BCAEE5" w14:textId="4D704E3E" w:rsidR="00727951" w:rsidRDefault="00727951" w:rsidP="00F326E5">
      <w:pPr>
        <w:pStyle w:val="NoSpacing"/>
        <w:rPr>
          <w:rFonts w:ascii="Arial Black" w:hAnsi="Arial Black"/>
          <w:sz w:val="24"/>
          <w:szCs w:val="24"/>
        </w:rPr>
      </w:pPr>
      <w:r>
        <w:rPr>
          <w:rFonts w:ascii="Arial Black" w:hAnsi="Arial Black"/>
          <w:sz w:val="24"/>
          <w:szCs w:val="24"/>
        </w:rPr>
        <w:t xml:space="preserve">7-41 </w:t>
      </w:r>
      <w:r w:rsidRPr="00E3473F">
        <w:rPr>
          <w:rFonts w:ascii="Times New Roman" w:hAnsi="Times New Roman"/>
          <w:sz w:val="24"/>
          <w:szCs w:val="24"/>
        </w:rPr>
        <w:t>[also filed, Chap. 18]</w:t>
      </w:r>
    </w:p>
    <w:p w14:paraId="5155AF29" w14:textId="5F2DA151" w:rsidR="00727951" w:rsidRDefault="00727951" w:rsidP="00F326E5">
      <w:pPr>
        <w:pStyle w:val="NoSpacing"/>
        <w:rPr>
          <w:rFonts w:ascii="Arial Black" w:hAnsi="Arial Black"/>
          <w:sz w:val="24"/>
          <w:szCs w:val="24"/>
        </w:rPr>
      </w:pPr>
    </w:p>
    <w:p w14:paraId="35ADCEBE" w14:textId="77777777" w:rsidR="00727951" w:rsidRPr="00D61E07" w:rsidRDefault="00727951" w:rsidP="00727951">
      <w:pPr>
        <w:pStyle w:val="Heading1"/>
        <w:rPr>
          <w:rFonts w:ascii="Arial Black" w:hAnsi="Arial Black"/>
          <w:sz w:val="28"/>
          <w:szCs w:val="28"/>
        </w:rPr>
      </w:pPr>
      <w:r>
        <w:rPr>
          <w:rFonts w:ascii="Arial Black" w:hAnsi="Arial Black"/>
          <w:sz w:val="28"/>
          <w:szCs w:val="28"/>
        </w:rPr>
        <w:t>DC: SEXUAL HARASSMENT OR ASSAULT – NEW FEDERAL LAW - INVALID EMPLOYEE MANDATORY ARBITRATIONS</w:t>
      </w:r>
    </w:p>
    <w:p w14:paraId="67E11E85" w14:textId="77777777" w:rsidR="00727951" w:rsidRPr="00D61E07" w:rsidRDefault="00727951" w:rsidP="0072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On March 3, 2022, President Biden signed into law the “</w:t>
      </w:r>
      <w:r w:rsidRPr="00D61E07">
        <w:rPr>
          <w:rFonts w:ascii="Times New Roman" w:hAnsi="Times New Roman"/>
          <w:sz w:val="24"/>
          <w:szCs w:val="24"/>
        </w:rPr>
        <w:t>Ending Forced Arbitration of Sexual Assault and Sexual Harassment Act</w:t>
      </w:r>
      <w:r>
        <w:rPr>
          <w:rFonts w:ascii="Times New Roman" w:hAnsi="Times New Roman"/>
          <w:sz w:val="24"/>
          <w:szCs w:val="24"/>
        </w:rPr>
        <w:t xml:space="preserve">.”  The law amends the Federal Arbitration Act to prohibit mandatory arbitration of sexual harassment and sexual assault claims in arbitration agreements. </w:t>
      </w:r>
      <w:hyperlink r:id="rId1358" w:history="1">
        <w:r w:rsidRPr="005A2A16">
          <w:rPr>
            <w:rStyle w:val="Hyperlink"/>
            <w:rFonts w:ascii="Times New Roman" w:eastAsia="Times New Roman" w:hAnsi="Times New Roman"/>
            <w:sz w:val="24"/>
            <w:szCs w:val="24"/>
          </w:rPr>
          <w:t>https://www.congress.gov/bill/117th-congress/house-bill/4445/text</w:t>
        </w:r>
      </w:hyperlink>
    </w:p>
    <w:p w14:paraId="425CC9CE" w14:textId="77777777" w:rsidR="00727951" w:rsidRPr="00AD3667" w:rsidRDefault="00727951" w:rsidP="0072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rPr>
      </w:pPr>
    </w:p>
    <w:p w14:paraId="7CB6B67A" w14:textId="77777777" w:rsidR="00727951" w:rsidRPr="00BC5C71" w:rsidRDefault="00727951" w:rsidP="00727951">
      <w:pPr>
        <w:pStyle w:val="ListParagraph"/>
        <w:numPr>
          <w:ilvl w:val="0"/>
          <w:numId w:val="14"/>
        </w:numPr>
        <w:tabs>
          <w:tab w:val="left" w:pos="916"/>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5C71">
        <w:rPr>
          <w:rFonts w:ascii="Times New Roman" w:eastAsia="Times New Roman" w:hAnsi="Times New Roman" w:cs="Times New Roman"/>
          <w:sz w:val="24"/>
          <w:szCs w:val="24"/>
        </w:rPr>
        <w:t xml:space="preserve">In General - Notwithstanding any other provision of this title, at the election of the person alleging conduct constituting a sexual harassment dispute or sexual assault dispute, or the named representative of a class or in a collective action alleging such conduct, no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arbitration agreement or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joint-action waiver shall be valid or enforceable with respect to a case which is filed under Federal, Tribal, or State law and relates to the sexual assault dispute or the sexual harassment dispute.</w:t>
      </w:r>
    </w:p>
    <w:p w14:paraId="088373F0" w14:textId="77777777" w:rsidR="00727951" w:rsidRDefault="00727951" w:rsidP="00727951">
      <w:pPr>
        <w:pStyle w:val="HTMLPreformatted"/>
        <w:jc w:val="both"/>
        <w:rPr>
          <w:rFonts w:ascii="Times New Roman" w:hAnsi="Times New Roman" w:cs="Times New Roman"/>
          <w:sz w:val="24"/>
          <w:szCs w:val="24"/>
        </w:rPr>
      </w:pPr>
    </w:p>
    <w:p w14:paraId="36037D5A" w14:textId="77777777" w:rsidR="00727951" w:rsidRPr="002D6970" w:rsidRDefault="00727951" w:rsidP="00727951">
      <w:pPr>
        <w:pStyle w:val="HTMLPreformatted"/>
        <w:numPr>
          <w:ilvl w:val="0"/>
          <w:numId w:val="14"/>
        </w:numPr>
        <w:jc w:val="both"/>
        <w:rPr>
          <w:rFonts w:ascii="Times New Roman" w:hAnsi="Times New Roman" w:cs="Times New Roman"/>
          <w:sz w:val="24"/>
          <w:szCs w:val="24"/>
        </w:rPr>
      </w:pPr>
      <w:r w:rsidRPr="002D6970">
        <w:rPr>
          <w:rFonts w:ascii="Times New Roman" w:hAnsi="Times New Roman" w:cs="Times New Roman"/>
          <w:sz w:val="24"/>
          <w:szCs w:val="24"/>
        </w:rPr>
        <w:t>Determination of Applicability. An issue as to whether this chapter applies with respect to a dispute shall be determined under Federal law. The applicability of this chapter to an agreement to arbitrate and the validity and enforceability of an agreement to which this chapter applies shall be determined by a court, rather than an arbitrator, irrespective of whether the party resisting arbitration challenges the arbitration agreement specifically or in conjunction with other terms of the contract containing such agreement, and irrespective of whether the agreement purports to delegate such determinations to an arbitrator.''</w:t>
      </w:r>
    </w:p>
    <w:p w14:paraId="3EECC441" w14:textId="77777777" w:rsidR="00727951" w:rsidRPr="00D61E07" w:rsidRDefault="00727951" w:rsidP="0072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sz w:val="24"/>
          <w:szCs w:val="24"/>
        </w:rPr>
      </w:pPr>
      <w:hyperlink r:id="rId1359" w:history="1">
        <w:r w:rsidRPr="005A2A16">
          <w:rPr>
            <w:rStyle w:val="Hyperlink"/>
            <w:rFonts w:ascii="Times New Roman" w:eastAsia="Times New Roman" w:hAnsi="Times New Roman"/>
            <w:sz w:val="24"/>
            <w:szCs w:val="24"/>
          </w:rPr>
          <w:t>https://www.congress.gov/bill/117th-congress/house-bill/4445/text</w:t>
        </w:r>
      </w:hyperlink>
    </w:p>
    <w:p w14:paraId="1C31D44C" w14:textId="77777777" w:rsidR="00727951" w:rsidRDefault="00727951" w:rsidP="00727951">
      <w:pPr>
        <w:pStyle w:val="Heading1"/>
        <w:rPr>
          <w:sz w:val="24"/>
          <w:szCs w:val="24"/>
        </w:rPr>
      </w:pPr>
      <w:r w:rsidRPr="002D6970">
        <w:rPr>
          <w:sz w:val="24"/>
          <w:szCs w:val="24"/>
        </w:rPr>
        <w:t xml:space="preserve">Legal Lesson Learned: </w:t>
      </w:r>
      <w:r>
        <w:rPr>
          <w:sz w:val="24"/>
          <w:szCs w:val="24"/>
        </w:rPr>
        <w:t xml:space="preserve">Fire &amp; EMS departments should review their Employee Handbooks and other documents and remove any provision requiring arbitration for claims of sexual harassment or sexual assault. </w:t>
      </w:r>
    </w:p>
    <w:p w14:paraId="3EAA238D" w14:textId="77777777" w:rsidR="00727951" w:rsidRDefault="00727951" w:rsidP="00727951">
      <w:pPr>
        <w:pStyle w:val="Heading1"/>
        <w:ind w:left="720"/>
        <w:rPr>
          <w:b w:val="0"/>
          <w:bCs w:val="0"/>
          <w:sz w:val="24"/>
          <w:szCs w:val="24"/>
        </w:rPr>
      </w:pPr>
      <w:r>
        <w:rPr>
          <w:b w:val="0"/>
          <w:bCs w:val="0"/>
          <w:sz w:val="24"/>
          <w:szCs w:val="24"/>
        </w:rPr>
        <w:t xml:space="preserve">Note:  </w:t>
      </w:r>
    </w:p>
    <w:p w14:paraId="2022BE0D" w14:textId="77777777" w:rsidR="00727951" w:rsidRPr="00AD3667" w:rsidRDefault="00727951" w:rsidP="00727951">
      <w:pPr>
        <w:pStyle w:val="Heading2"/>
        <w:ind w:left="720"/>
        <w:rPr>
          <w:rFonts w:ascii="Times New Roman" w:hAnsi="Times New Roman"/>
          <w:sz w:val="24"/>
          <w:szCs w:val="24"/>
        </w:rPr>
      </w:pPr>
      <w:r w:rsidRPr="00AD3667">
        <w:rPr>
          <w:rFonts w:ascii="Times New Roman" w:hAnsi="Times New Roman"/>
          <w:sz w:val="24"/>
          <w:szCs w:val="24"/>
        </w:rPr>
        <w:t xml:space="preserve">March 28, 2022: </w:t>
      </w:r>
      <w:r>
        <w:rPr>
          <w:rFonts w:ascii="Times New Roman" w:hAnsi="Times New Roman"/>
          <w:sz w:val="24"/>
          <w:szCs w:val="24"/>
        </w:rPr>
        <w:t>“</w:t>
      </w:r>
      <w:r w:rsidRPr="00AD3667">
        <w:rPr>
          <w:rFonts w:ascii="Times New Roman" w:hAnsi="Times New Roman"/>
          <w:sz w:val="24"/>
          <w:szCs w:val="24"/>
        </w:rPr>
        <w:t>Moving Away from Mandatory Arbitration Over Sexual Assault and Harassment Claims</w:t>
      </w:r>
      <w:r>
        <w:rPr>
          <w:rFonts w:ascii="Times New Roman" w:hAnsi="Times New Roman"/>
          <w:sz w:val="24"/>
          <w:szCs w:val="24"/>
        </w:rPr>
        <w:t xml:space="preserve">.” </w:t>
      </w:r>
      <w:hyperlink r:id="rId1360" w:history="1">
        <w:r w:rsidRPr="007C2998">
          <w:rPr>
            <w:rStyle w:val="Hyperlink"/>
            <w:rFonts w:ascii="Times New Roman" w:hAnsi="Times New Roman"/>
            <w:sz w:val="24"/>
            <w:szCs w:val="24"/>
          </w:rPr>
          <w:t>https://fisheldowney.com/moving-away-mandatory-arbitration-sexual-assault-harassment-claims/</w:t>
        </w:r>
      </w:hyperlink>
      <w:r>
        <w:rPr>
          <w:rFonts w:ascii="Times New Roman" w:hAnsi="Times New Roman"/>
          <w:sz w:val="24"/>
          <w:szCs w:val="24"/>
        </w:rPr>
        <w:t xml:space="preserve"> </w:t>
      </w:r>
    </w:p>
    <w:p w14:paraId="6FE1CCCA" w14:textId="77777777" w:rsidR="00727951" w:rsidRPr="00AD3667" w:rsidRDefault="00727951" w:rsidP="00727951">
      <w:pPr>
        <w:pStyle w:val="Heading1"/>
        <w:ind w:left="1440"/>
        <w:rPr>
          <w:b w:val="0"/>
          <w:bCs w:val="0"/>
          <w:sz w:val="24"/>
          <w:szCs w:val="24"/>
        </w:rPr>
      </w:pPr>
      <w:r>
        <w:rPr>
          <w:b w:val="0"/>
          <w:bCs w:val="0"/>
          <w:sz w:val="24"/>
          <w:szCs w:val="24"/>
        </w:rPr>
        <w:t>“</w:t>
      </w:r>
      <w:r w:rsidRPr="00AD3667">
        <w:rPr>
          <w:b w:val="0"/>
          <w:bCs w:val="0"/>
          <w:sz w:val="24"/>
          <w:szCs w:val="24"/>
        </w:rPr>
        <w:t xml:space="preserve">Given these changes to the FAA, it is critical for employers to review their arbitration agreements and remove any language indicating sexual assault or harassment claims must be arbitrated. The existence of such provisions could invalidate the agreement </w:t>
      </w:r>
      <w:proofErr w:type="gramStart"/>
      <w:r w:rsidRPr="00AD3667">
        <w:rPr>
          <w:b w:val="0"/>
          <w:bCs w:val="0"/>
          <w:sz w:val="24"/>
          <w:szCs w:val="24"/>
        </w:rPr>
        <w:t>in whole</w:t>
      </w:r>
      <w:proofErr w:type="gramEnd"/>
      <w:r w:rsidRPr="00AD3667">
        <w:rPr>
          <w:b w:val="0"/>
          <w:bCs w:val="0"/>
          <w:sz w:val="24"/>
          <w:szCs w:val="24"/>
        </w:rPr>
        <w:t xml:space="preserve"> or in part. In addition to revising the arbitration agreement provisions in the employee handbook or collective bargaining agreement, employers should also tighten their procedures and requirements for investigating and reporting sexual harassment and assault to avoid liability. In terms of reporting procedures, employers should have clearly defined persons of contact for reporting.</w:t>
      </w:r>
      <w:r>
        <w:rPr>
          <w:b w:val="0"/>
          <w:bCs w:val="0"/>
          <w:sz w:val="24"/>
          <w:szCs w:val="24"/>
        </w:rPr>
        <w:t>”</w:t>
      </w:r>
    </w:p>
    <w:p w14:paraId="447A59F1" w14:textId="77777777" w:rsidR="00727951" w:rsidRDefault="00727951" w:rsidP="00727951">
      <w:pPr>
        <w:pStyle w:val="Heading1"/>
        <w:ind w:left="720"/>
        <w:rPr>
          <w:b w:val="0"/>
          <w:bCs w:val="0"/>
          <w:sz w:val="24"/>
          <w:szCs w:val="24"/>
        </w:rPr>
      </w:pPr>
      <w:r w:rsidRPr="002D6970">
        <w:rPr>
          <w:b w:val="0"/>
          <w:bCs w:val="0"/>
          <w:sz w:val="24"/>
          <w:szCs w:val="24"/>
        </w:rPr>
        <w:t xml:space="preserve">March 3, 2022: “Biden signs bill to end forced arbitration in sexual harassment, assault cases.” </w:t>
      </w:r>
      <w:hyperlink r:id="rId1361" w:history="1">
        <w:r w:rsidRPr="005A2A16">
          <w:rPr>
            <w:rStyle w:val="Hyperlink"/>
            <w:rFonts w:eastAsiaTheme="majorEastAsia"/>
            <w:b w:val="0"/>
            <w:bCs w:val="0"/>
            <w:sz w:val="24"/>
            <w:szCs w:val="24"/>
          </w:rPr>
          <w:t>https://www.kktv.com/2022/03/03/biden-sign-bill-ending-forced-arbitration-sexual-harassment-assault-cases/</w:t>
        </w:r>
      </w:hyperlink>
    </w:p>
    <w:p w14:paraId="24D9566F" w14:textId="77777777" w:rsidR="00727951" w:rsidRPr="002D6970" w:rsidRDefault="00727951" w:rsidP="00727951">
      <w:pPr>
        <w:pStyle w:val="Heading1"/>
        <w:ind w:left="1440"/>
        <w:rPr>
          <w:b w:val="0"/>
          <w:bCs w:val="0"/>
          <w:sz w:val="24"/>
          <w:szCs w:val="24"/>
        </w:rPr>
      </w:pPr>
      <w:r w:rsidRPr="00E42A32">
        <w:rPr>
          <w:b w:val="0"/>
          <w:bCs w:val="0"/>
          <w:sz w:val="24"/>
          <w:szCs w:val="24"/>
        </w:rPr>
        <w:t xml:space="preserve">The law is retroactive, freeing individuals who have been bound by </w:t>
      </w:r>
      <w:proofErr w:type="gramStart"/>
      <w:r w:rsidRPr="00E42A32">
        <w:rPr>
          <w:b w:val="0"/>
          <w:bCs w:val="0"/>
          <w:sz w:val="24"/>
          <w:szCs w:val="24"/>
        </w:rPr>
        <w:t>arbitration language</w:t>
      </w:r>
      <w:proofErr w:type="gramEnd"/>
      <w:r w:rsidRPr="00E42A32">
        <w:rPr>
          <w:b w:val="0"/>
          <w:bCs w:val="0"/>
          <w:sz w:val="24"/>
          <w:szCs w:val="24"/>
        </w:rPr>
        <w:t xml:space="preserve"> to pursue legal action against their harassers.</w:t>
      </w:r>
      <w:r>
        <w:rPr>
          <w:b w:val="0"/>
          <w:bCs w:val="0"/>
          <w:sz w:val="24"/>
          <w:szCs w:val="24"/>
        </w:rPr>
        <w:t xml:space="preserve"> </w:t>
      </w:r>
    </w:p>
    <w:p w14:paraId="40D598AC" w14:textId="77777777" w:rsidR="00727951" w:rsidRPr="00E42A32" w:rsidRDefault="00727951" w:rsidP="00727951">
      <w:pPr>
        <w:pStyle w:val="Heading1"/>
        <w:ind w:left="720"/>
        <w:rPr>
          <w:b w:val="0"/>
          <w:bCs w:val="0"/>
          <w:sz w:val="24"/>
          <w:szCs w:val="24"/>
        </w:rPr>
      </w:pPr>
      <w:r>
        <w:rPr>
          <w:b w:val="0"/>
          <w:bCs w:val="0"/>
          <w:sz w:val="24"/>
          <w:szCs w:val="24"/>
        </w:rPr>
        <w:t>March 1, 2022: “</w:t>
      </w:r>
      <w:r w:rsidRPr="00E42A32">
        <w:rPr>
          <w:b w:val="0"/>
          <w:bCs w:val="0"/>
          <w:sz w:val="24"/>
          <w:szCs w:val="24"/>
        </w:rPr>
        <w:t xml:space="preserve">Congress Votes </w:t>
      </w:r>
      <w:proofErr w:type="gramStart"/>
      <w:r w:rsidRPr="00E42A32">
        <w:rPr>
          <w:b w:val="0"/>
          <w:bCs w:val="0"/>
          <w:sz w:val="24"/>
          <w:szCs w:val="24"/>
        </w:rPr>
        <w:t>To</w:t>
      </w:r>
      <w:proofErr w:type="gramEnd"/>
      <w:r w:rsidRPr="00E42A32">
        <w:rPr>
          <w:b w:val="0"/>
          <w:bCs w:val="0"/>
          <w:sz w:val="24"/>
          <w:szCs w:val="24"/>
        </w:rPr>
        <w:t xml:space="preserve"> End Mandatory Arbitration </w:t>
      </w:r>
      <w:proofErr w:type="gramStart"/>
      <w:r w:rsidRPr="00E42A32">
        <w:rPr>
          <w:b w:val="0"/>
          <w:bCs w:val="0"/>
          <w:sz w:val="24"/>
          <w:szCs w:val="24"/>
        </w:rPr>
        <w:t>Of</w:t>
      </w:r>
      <w:proofErr w:type="gramEnd"/>
      <w:r w:rsidRPr="00E42A32">
        <w:rPr>
          <w:b w:val="0"/>
          <w:bCs w:val="0"/>
          <w:sz w:val="24"/>
          <w:szCs w:val="24"/>
        </w:rPr>
        <w:t xml:space="preserve"> Sexual Assault </w:t>
      </w:r>
      <w:proofErr w:type="gramStart"/>
      <w:r w:rsidRPr="00E42A32">
        <w:rPr>
          <w:b w:val="0"/>
          <w:bCs w:val="0"/>
          <w:sz w:val="24"/>
          <w:szCs w:val="24"/>
        </w:rPr>
        <w:t>And</w:t>
      </w:r>
      <w:proofErr w:type="gramEnd"/>
      <w:r w:rsidRPr="00E42A32">
        <w:rPr>
          <w:b w:val="0"/>
          <w:bCs w:val="0"/>
          <w:sz w:val="24"/>
          <w:szCs w:val="24"/>
        </w:rPr>
        <w:t xml:space="preserve"> Sexual Harassment Claims</w:t>
      </w:r>
      <w:r>
        <w:rPr>
          <w:b w:val="0"/>
          <w:bCs w:val="0"/>
          <w:sz w:val="24"/>
          <w:szCs w:val="24"/>
        </w:rPr>
        <w:t xml:space="preserve">.: </w:t>
      </w:r>
      <w:hyperlink r:id="rId1362" w:history="1">
        <w:r w:rsidRPr="005A2A16">
          <w:rPr>
            <w:rStyle w:val="Hyperlink"/>
            <w:rFonts w:eastAsiaTheme="majorEastAsia"/>
            <w:b w:val="0"/>
            <w:bCs w:val="0"/>
            <w:sz w:val="24"/>
            <w:szCs w:val="24"/>
          </w:rPr>
          <w:t>https://www.natlawreview.com/article/congress-votes-to-end-mandatory-arbitration-sexual-assault-and-sexual-harassment</w:t>
        </w:r>
      </w:hyperlink>
      <w:r>
        <w:rPr>
          <w:b w:val="0"/>
          <w:bCs w:val="0"/>
          <w:sz w:val="24"/>
          <w:szCs w:val="24"/>
        </w:rPr>
        <w:t xml:space="preserve"> </w:t>
      </w:r>
    </w:p>
    <w:p w14:paraId="74929011" w14:textId="77777777" w:rsidR="00727951" w:rsidRDefault="00727951" w:rsidP="00F326E5">
      <w:pPr>
        <w:pStyle w:val="NoSpacing"/>
        <w:rPr>
          <w:rFonts w:ascii="Arial Black" w:hAnsi="Arial Black"/>
          <w:sz w:val="24"/>
          <w:szCs w:val="24"/>
        </w:rPr>
      </w:pPr>
    </w:p>
    <w:p w14:paraId="1EFDC43B" w14:textId="77777777" w:rsidR="00727951" w:rsidRDefault="00727951" w:rsidP="00F326E5">
      <w:pPr>
        <w:pStyle w:val="NoSpacing"/>
        <w:rPr>
          <w:rFonts w:ascii="Arial Black" w:hAnsi="Arial Black"/>
          <w:sz w:val="24"/>
          <w:szCs w:val="24"/>
        </w:rPr>
      </w:pPr>
    </w:p>
    <w:p w14:paraId="2037CC9C" w14:textId="4BB94E4D" w:rsidR="00255E41" w:rsidRPr="005644A4" w:rsidRDefault="005644A4" w:rsidP="00F326E5">
      <w:pPr>
        <w:pStyle w:val="NoSpacing"/>
        <w:rPr>
          <w:rFonts w:ascii="Arial Black" w:hAnsi="Arial Black"/>
          <w:sz w:val="24"/>
          <w:szCs w:val="24"/>
        </w:rPr>
      </w:pPr>
      <w:r w:rsidRPr="005644A4">
        <w:rPr>
          <w:rFonts w:ascii="Arial Black" w:hAnsi="Arial Black"/>
          <w:sz w:val="24"/>
          <w:szCs w:val="24"/>
        </w:rPr>
        <w:t>7-40</w:t>
      </w:r>
    </w:p>
    <w:p w14:paraId="20065990" w14:textId="77777777" w:rsidR="00727951" w:rsidRDefault="00727951" w:rsidP="005644A4">
      <w:pPr>
        <w:rPr>
          <w:rFonts w:ascii="Arial Black" w:hAnsi="Arial Black" w:cs="Arial"/>
          <w:sz w:val="28"/>
          <w:szCs w:val="28"/>
        </w:rPr>
      </w:pPr>
      <w:bookmarkStart w:id="281" w:name="_Hlk92114256"/>
      <w:bookmarkStart w:id="282" w:name="_Hlk7344031"/>
    </w:p>
    <w:p w14:paraId="3D8D325B" w14:textId="50491DBA" w:rsidR="005644A4" w:rsidRPr="00DB2B5C" w:rsidRDefault="005644A4" w:rsidP="005644A4">
      <w:pPr>
        <w:rPr>
          <w:rFonts w:ascii="Arial Black" w:hAnsi="Arial Black" w:cs="Arial"/>
          <w:sz w:val="28"/>
          <w:szCs w:val="28"/>
        </w:rPr>
      </w:pPr>
      <w:r>
        <w:rPr>
          <w:rFonts w:ascii="Arial Black" w:hAnsi="Arial Black" w:cs="Arial"/>
          <w:sz w:val="28"/>
          <w:szCs w:val="28"/>
        </w:rPr>
        <w:t>DE: FEMALE FF LAWSUIT TO PROCEED – “ME TOO” EVIDENCE BY OTHER FF OF HOSTILE WORKPLACE</w:t>
      </w:r>
    </w:p>
    <w:p w14:paraId="6CD1B0C9" w14:textId="77777777" w:rsidR="005644A4" w:rsidRDefault="005644A4" w:rsidP="005644A4">
      <w:pPr>
        <w:rPr>
          <w:rFonts w:ascii="Times New Roman" w:eastAsia="Times New Roman" w:hAnsi="Times New Roman"/>
          <w:sz w:val="24"/>
          <w:szCs w:val="24"/>
        </w:rPr>
      </w:pPr>
      <w:r w:rsidRPr="00835368">
        <w:rPr>
          <w:rFonts w:ascii="Times New Roman" w:hAnsi="Times New Roman"/>
          <w:sz w:val="24"/>
          <w:szCs w:val="24"/>
        </w:rPr>
        <w:t xml:space="preserve">On </w:t>
      </w:r>
      <w:r>
        <w:rPr>
          <w:rFonts w:ascii="Times New Roman" w:hAnsi="Times New Roman"/>
          <w:sz w:val="24"/>
          <w:szCs w:val="24"/>
        </w:rPr>
        <w:t xml:space="preserve">Dec. 3, 2021, in </w:t>
      </w:r>
      <w:r w:rsidRPr="00835368">
        <w:rPr>
          <w:rFonts w:ascii="Times New Roman" w:hAnsi="Times New Roman"/>
          <w:sz w:val="24"/>
          <w:szCs w:val="24"/>
          <w:u w:val="single"/>
        </w:rPr>
        <w:t>April D. Molchan v. Delmar Fire Department, Inc.</w:t>
      </w:r>
      <w:r>
        <w:rPr>
          <w:rFonts w:ascii="Times New Roman" w:hAnsi="Times New Roman"/>
          <w:sz w:val="24"/>
          <w:szCs w:val="24"/>
        </w:rPr>
        <w:t>, U.S. District Court Judge Maryellen Noreika, U.S. District Court for District of Delaware, denied in part the FD’s motion for summary judgment.  The Judge ruled there is sufficient evidence misconduct by former Fire Chief “</w:t>
      </w:r>
      <w:r w:rsidRPr="0082464F">
        <w:rPr>
          <w:rFonts w:ascii="Times New Roman" w:eastAsia="Times New Roman" w:hAnsi="Times New Roman"/>
          <w:sz w:val="24"/>
          <w:szCs w:val="24"/>
        </w:rPr>
        <w:t>because several declarants appear to have experienced or witnessed</w:t>
      </w:r>
      <w:r>
        <w:rPr>
          <w:rFonts w:ascii="Times New Roman" w:eastAsia="Times New Roman" w:hAnsi="Times New Roman"/>
          <w:sz w:val="24"/>
          <w:szCs w:val="24"/>
        </w:rPr>
        <w:t xml:space="preserve">” conduct.”  The Judge dismissed the plaintiff’s retaliation claim; she was removed from paid position, along with two other paid firefighters, based on bylaw changing requiring all personnel to either be paid or volunteer members.  </w:t>
      </w:r>
    </w:p>
    <w:p w14:paraId="43780628" w14:textId="77777777" w:rsidR="005644A4" w:rsidRPr="0082464F" w:rsidRDefault="005644A4" w:rsidP="005644A4">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w:t>
      </w:r>
      <w:r w:rsidRPr="00F02628">
        <w:rPr>
          <w:rFonts w:ascii="Times New Roman" w:eastAsia="Times New Roman" w:hAnsi="Times New Roman"/>
          <w:sz w:val="24"/>
          <w:szCs w:val="24"/>
        </w:rPr>
        <w:t xml:space="preserve">According to the Supreme Court,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w:t>
      </w:r>
      <w:r w:rsidRPr="00F02628">
        <w:rPr>
          <w:rFonts w:ascii="Times New Roman" w:eastAsia="Times New Roman" w:hAnsi="Times New Roman"/>
          <w:sz w:val="24"/>
          <w:szCs w:val="24"/>
        </w:rPr>
        <w:t xml:space="preserve"> evidence is neither </w:t>
      </w:r>
      <w:r>
        <w:rPr>
          <w:rFonts w:ascii="Times New Roman" w:eastAsia="Times New Roman" w:hAnsi="Times New Roman"/>
          <w:sz w:val="24"/>
          <w:szCs w:val="24"/>
        </w:rPr>
        <w:t>‘</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admissible or </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inadmissible.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Sprint/United Mgmt. Co. v. Mendelsohn</w:t>
      </w:r>
      <w:r w:rsidRPr="00F02628">
        <w:rPr>
          <w:rFonts w:ascii="Times New Roman" w:eastAsia="Times New Roman" w:hAnsi="Times New Roman"/>
          <w:sz w:val="24"/>
          <w:szCs w:val="24"/>
        </w:rPr>
        <w:t xml:space="preserve">, 552 U.S. 379, 388 (2008). The determination of </w:t>
      </w:r>
      <w:r w:rsidRPr="00F02628">
        <w:rPr>
          <w:rFonts w:ascii="Times New Roman" w:eastAsia="Times New Roman" w:hAnsi="Times New Roman"/>
          <w:sz w:val="24"/>
          <w:szCs w:val="24"/>
        </w:rPr>
        <w:lastRenderedPageBreak/>
        <w:t xml:space="preserve">the relevance of this evidence </w:t>
      </w:r>
      <w:r>
        <w:rPr>
          <w:rFonts w:ascii="Times New Roman" w:eastAsia="Times New Roman" w:hAnsi="Times New Roman"/>
          <w:sz w:val="24"/>
          <w:szCs w:val="24"/>
        </w:rPr>
        <w:t>‘</w:t>
      </w:r>
      <w:r w:rsidRPr="00F02628">
        <w:rPr>
          <w:rFonts w:ascii="Times New Roman" w:eastAsia="Times New Roman" w:hAnsi="Times New Roman"/>
          <w:sz w:val="24"/>
          <w:szCs w:val="24"/>
        </w:rPr>
        <w:t>is fact based and depends on several factors, including how closely related the evidence is to the plaintiff's circumstances and theory of the case.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Mandel</w:t>
      </w:r>
      <w:r w:rsidRPr="00F02628">
        <w:rPr>
          <w:rFonts w:ascii="Times New Roman" w:eastAsia="Times New Roman" w:hAnsi="Times New Roman"/>
          <w:sz w:val="24"/>
          <w:szCs w:val="24"/>
        </w:rPr>
        <w:t xml:space="preserve">, 706 F.3d at 167. Here, the Court is persuaded that at least some of the offered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 xml:space="preserve">’ </w:t>
      </w:r>
      <w:r w:rsidRPr="00F02628">
        <w:rPr>
          <w:rFonts w:ascii="Times New Roman" w:eastAsia="Times New Roman" w:hAnsi="Times New Roman"/>
          <w:sz w:val="24"/>
          <w:szCs w:val="24"/>
        </w:rPr>
        <w:t xml:space="preserve">evidence is relevant, at least because several declarants appear to have experienced or witnessed Rementer's harassment and suggest that Delmar FD was aware of repeated instances of it. Some of the evidence also suggests that </w:t>
      </w:r>
      <w:r>
        <w:rPr>
          <w:rFonts w:ascii="Times New Roman" w:eastAsia="Times New Roman" w:hAnsi="Times New Roman"/>
          <w:sz w:val="24"/>
          <w:szCs w:val="24"/>
        </w:rPr>
        <w:t xml:space="preserve">[former Fire Chief Andrew] </w:t>
      </w:r>
      <w:r w:rsidRPr="00F02628">
        <w:rPr>
          <w:rFonts w:ascii="Times New Roman" w:eastAsia="Times New Roman" w:hAnsi="Times New Roman"/>
          <w:sz w:val="24"/>
          <w:szCs w:val="24"/>
        </w:rPr>
        <w:t xml:space="preserve">Rementer's conduct was well-known within the fire department and thus may bear on whether Plaintiff subjectively perceived the environment to be abusive. And finding that, the Court is persuaded that genuine issues of material fact exist that preclude summary judgment of Plaintiff's hostile work environment </w:t>
      </w:r>
      <w:proofErr w:type="gramStart"/>
      <w:r w:rsidRPr="00F02628">
        <w:rPr>
          <w:rFonts w:ascii="Times New Roman" w:eastAsia="Times New Roman" w:hAnsi="Times New Roman"/>
          <w:sz w:val="24"/>
          <w:szCs w:val="24"/>
        </w:rPr>
        <w:t>claim.</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1363" w:history="1">
        <w:r w:rsidRPr="004065C6">
          <w:rPr>
            <w:rStyle w:val="Hyperlink"/>
            <w:rFonts w:ascii="Times New Roman" w:eastAsia="Times New Roman" w:hAnsi="Times New Roman"/>
            <w:sz w:val="24"/>
            <w:szCs w:val="24"/>
          </w:rPr>
          <w:t>https://casetext.com/case/molchan-v-delmar-fire-dept-1</w:t>
        </w:r>
      </w:hyperlink>
      <w:r>
        <w:rPr>
          <w:rFonts w:ascii="Times New Roman" w:eastAsia="Times New Roman" w:hAnsi="Times New Roman"/>
          <w:sz w:val="24"/>
          <w:szCs w:val="24"/>
        </w:rPr>
        <w:t xml:space="preserve"> </w:t>
      </w:r>
    </w:p>
    <w:p w14:paraId="43B13FBB" w14:textId="77777777" w:rsidR="005644A4" w:rsidRPr="00FA336A" w:rsidRDefault="005644A4" w:rsidP="005644A4">
      <w:pPr>
        <w:spacing w:before="100" w:beforeAutospacing="1" w:after="100" w:afterAutospacing="1" w:line="240" w:lineRule="auto"/>
        <w:rPr>
          <w:rFonts w:ascii="Times New Roman" w:eastAsia="Times New Roman" w:hAnsi="Times New Roman"/>
          <w:b/>
          <w:bCs/>
          <w:sz w:val="24"/>
          <w:szCs w:val="24"/>
        </w:rPr>
      </w:pPr>
      <w:bookmarkStart w:id="283" w:name="_Hlk92114275"/>
      <w:bookmarkEnd w:id="281"/>
      <w:r w:rsidRPr="00F02628">
        <w:rPr>
          <w:rFonts w:ascii="Times New Roman" w:hAnsi="Times New Roman"/>
          <w:b/>
          <w:bCs/>
          <w:sz w:val="24"/>
          <w:szCs w:val="24"/>
        </w:rPr>
        <w:t>Legal Lesson Learned:</w:t>
      </w:r>
      <w:r>
        <w:rPr>
          <w:rFonts w:ascii="Times New Roman" w:hAnsi="Times New Roman"/>
          <w:b/>
          <w:bCs/>
          <w:sz w:val="24"/>
          <w:szCs w:val="24"/>
        </w:rPr>
        <w:t xml:space="preserve"> “Me too” evidence can be very damaging when presented by numerous witnesses to the jury.  </w:t>
      </w:r>
    </w:p>
    <w:bookmarkEnd w:id="283"/>
    <w:p w14:paraId="003EDB04" w14:textId="77777777" w:rsidR="005644A4" w:rsidRDefault="005644A4" w:rsidP="002B1283">
      <w:pPr>
        <w:rPr>
          <w:rFonts w:ascii="Arial Black" w:hAnsi="Arial Black"/>
          <w:b/>
          <w:sz w:val="24"/>
          <w:szCs w:val="24"/>
        </w:rPr>
      </w:pPr>
    </w:p>
    <w:p w14:paraId="09F88003" w14:textId="77777777" w:rsidR="005644A4" w:rsidRDefault="005644A4" w:rsidP="002B1283">
      <w:pPr>
        <w:rPr>
          <w:rFonts w:ascii="Arial Black" w:hAnsi="Arial Black"/>
          <w:b/>
          <w:sz w:val="24"/>
          <w:szCs w:val="24"/>
        </w:rPr>
      </w:pPr>
    </w:p>
    <w:p w14:paraId="6BC7995B" w14:textId="751D8EB4" w:rsidR="00433119" w:rsidRDefault="00433119" w:rsidP="002B1283">
      <w:pPr>
        <w:rPr>
          <w:rFonts w:ascii="Arial Black" w:hAnsi="Arial Black"/>
          <w:b/>
          <w:sz w:val="24"/>
          <w:szCs w:val="24"/>
        </w:rPr>
      </w:pPr>
      <w:r>
        <w:rPr>
          <w:rFonts w:ascii="Arial Black" w:hAnsi="Arial Black"/>
          <w:b/>
          <w:sz w:val="24"/>
          <w:szCs w:val="24"/>
        </w:rPr>
        <w:t>7-39</w:t>
      </w:r>
    </w:p>
    <w:p w14:paraId="144195DC" w14:textId="77777777" w:rsidR="005644A4" w:rsidRPr="00DB2B5C" w:rsidRDefault="005644A4" w:rsidP="005644A4">
      <w:pPr>
        <w:rPr>
          <w:rFonts w:ascii="Arial Black" w:hAnsi="Arial Black" w:cs="Arial"/>
          <w:sz w:val="28"/>
          <w:szCs w:val="28"/>
        </w:rPr>
      </w:pPr>
      <w:r>
        <w:rPr>
          <w:rFonts w:ascii="Arial Black" w:hAnsi="Arial Black" w:cs="Arial"/>
          <w:sz w:val="28"/>
          <w:szCs w:val="28"/>
        </w:rPr>
        <w:t>DE: FEMALE FF LAWSUIT TO PROCEED – “ME TOO” EVIDENCE BY OTHER FF OF HOSTILE WORKPLACE</w:t>
      </w:r>
    </w:p>
    <w:p w14:paraId="331EC595" w14:textId="77777777" w:rsidR="005644A4" w:rsidRDefault="005644A4" w:rsidP="005644A4">
      <w:pPr>
        <w:rPr>
          <w:rFonts w:ascii="Times New Roman" w:eastAsia="Times New Roman" w:hAnsi="Times New Roman"/>
          <w:sz w:val="24"/>
          <w:szCs w:val="24"/>
        </w:rPr>
      </w:pPr>
      <w:r w:rsidRPr="00835368">
        <w:rPr>
          <w:rFonts w:ascii="Times New Roman" w:hAnsi="Times New Roman"/>
          <w:sz w:val="24"/>
          <w:szCs w:val="24"/>
        </w:rPr>
        <w:t xml:space="preserve">On </w:t>
      </w:r>
      <w:r>
        <w:rPr>
          <w:rFonts w:ascii="Times New Roman" w:hAnsi="Times New Roman"/>
          <w:sz w:val="24"/>
          <w:szCs w:val="24"/>
        </w:rPr>
        <w:t xml:space="preserve">Dec. 3, 2021, in </w:t>
      </w:r>
      <w:r w:rsidRPr="00835368">
        <w:rPr>
          <w:rFonts w:ascii="Times New Roman" w:hAnsi="Times New Roman"/>
          <w:sz w:val="24"/>
          <w:szCs w:val="24"/>
          <w:u w:val="single"/>
        </w:rPr>
        <w:t>April D. Molchan v. Delmar Fire Department, Inc.</w:t>
      </w:r>
      <w:r>
        <w:rPr>
          <w:rFonts w:ascii="Times New Roman" w:hAnsi="Times New Roman"/>
          <w:sz w:val="24"/>
          <w:szCs w:val="24"/>
        </w:rPr>
        <w:t>, U.S. District Court Judge Maryellen Noreika, U.S. District Court for District of Delaware, denied in part the FD’s motion for summary judgment.  The Judge ruled there is sufficient evidence misconduct by former Fire Chief “</w:t>
      </w:r>
      <w:r w:rsidRPr="0082464F">
        <w:rPr>
          <w:rFonts w:ascii="Times New Roman" w:eastAsia="Times New Roman" w:hAnsi="Times New Roman"/>
          <w:sz w:val="24"/>
          <w:szCs w:val="24"/>
        </w:rPr>
        <w:t>because several declarants appear to have experienced or witnessed</w:t>
      </w:r>
      <w:r>
        <w:rPr>
          <w:rFonts w:ascii="Times New Roman" w:eastAsia="Times New Roman" w:hAnsi="Times New Roman"/>
          <w:sz w:val="24"/>
          <w:szCs w:val="24"/>
        </w:rPr>
        <w:t xml:space="preserve">” conduct.”  The Judge dismissed the plaintiff’s retaliation claim; she was removed from paid position, along with two other paid firefighters, based on bylaw changing requiring all personnel to either be paid or volunteer members.  </w:t>
      </w:r>
    </w:p>
    <w:p w14:paraId="3E8EA27F" w14:textId="77777777" w:rsidR="005644A4" w:rsidRPr="0082464F" w:rsidRDefault="005644A4" w:rsidP="005644A4">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w:t>
      </w:r>
      <w:r w:rsidRPr="00F02628">
        <w:rPr>
          <w:rFonts w:ascii="Times New Roman" w:eastAsia="Times New Roman" w:hAnsi="Times New Roman"/>
          <w:sz w:val="24"/>
          <w:szCs w:val="24"/>
        </w:rPr>
        <w:t xml:space="preserve">According to the Supreme Court,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w:t>
      </w:r>
      <w:r w:rsidRPr="00F02628">
        <w:rPr>
          <w:rFonts w:ascii="Times New Roman" w:eastAsia="Times New Roman" w:hAnsi="Times New Roman"/>
          <w:sz w:val="24"/>
          <w:szCs w:val="24"/>
        </w:rPr>
        <w:t xml:space="preserve"> evidence is neither </w:t>
      </w:r>
      <w:r>
        <w:rPr>
          <w:rFonts w:ascii="Times New Roman" w:eastAsia="Times New Roman" w:hAnsi="Times New Roman"/>
          <w:sz w:val="24"/>
          <w:szCs w:val="24"/>
        </w:rPr>
        <w:t>‘</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admissible or </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inadmissible.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Sprint/United Mgmt. Co. v. Mendelsohn</w:t>
      </w:r>
      <w:r w:rsidRPr="00F02628">
        <w:rPr>
          <w:rFonts w:ascii="Times New Roman" w:eastAsia="Times New Roman" w:hAnsi="Times New Roman"/>
          <w:sz w:val="24"/>
          <w:szCs w:val="24"/>
        </w:rPr>
        <w:t xml:space="preserve">, 552 U.S. 379, 388 (2008). The determination of the relevance of this evidence </w:t>
      </w:r>
      <w:r>
        <w:rPr>
          <w:rFonts w:ascii="Times New Roman" w:eastAsia="Times New Roman" w:hAnsi="Times New Roman"/>
          <w:sz w:val="24"/>
          <w:szCs w:val="24"/>
        </w:rPr>
        <w:t>‘</w:t>
      </w:r>
      <w:r w:rsidRPr="00F02628">
        <w:rPr>
          <w:rFonts w:ascii="Times New Roman" w:eastAsia="Times New Roman" w:hAnsi="Times New Roman"/>
          <w:sz w:val="24"/>
          <w:szCs w:val="24"/>
        </w:rPr>
        <w:t>is fact based and depends on several factors, including how closely related the evidence is to the plaintiff's circumstances and theory of the case.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Mandel</w:t>
      </w:r>
      <w:r w:rsidRPr="00F02628">
        <w:rPr>
          <w:rFonts w:ascii="Times New Roman" w:eastAsia="Times New Roman" w:hAnsi="Times New Roman"/>
          <w:sz w:val="24"/>
          <w:szCs w:val="24"/>
        </w:rPr>
        <w:t xml:space="preserve">, 706 F.3d at 167. Here, the Court is persuaded that at least some of the offered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 xml:space="preserve">’ </w:t>
      </w:r>
      <w:r w:rsidRPr="00F02628">
        <w:rPr>
          <w:rFonts w:ascii="Times New Roman" w:eastAsia="Times New Roman" w:hAnsi="Times New Roman"/>
          <w:sz w:val="24"/>
          <w:szCs w:val="24"/>
        </w:rPr>
        <w:t xml:space="preserve">evidence is relevant, at least because several declarants appear to have experienced or witnessed Rementer's harassment and suggest that Delmar FD was aware of repeated instances of it. Some of the evidence also suggests that </w:t>
      </w:r>
      <w:r>
        <w:rPr>
          <w:rFonts w:ascii="Times New Roman" w:eastAsia="Times New Roman" w:hAnsi="Times New Roman"/>
          <w:sz w:val="24"/>
          <w:szCs w:val="24"/>
        </w:rPr>
        <w:t xml:space="preserve">[former Fire Chief Andrew] </w:t>
      </w:r>
      <w:r w:rsidRPr="00F02628">
        <w:rPr>
          <w:rFonts w:ascii="Times New Roman" w:eastAsia="Times New Roman" w:hAnsi="Times New Roman"/>
          <w:sz w:val="24"/>
          <w:szCs w:val="24"/>
        </w:rPr>
        <w:t xml:space="preserve">Rementer's conduct was well-known within the fire department and thus may bear on whether Plaintiff subjectively perceived the environment to be abusive. And finding that, the Court is persuaded that genuine issues of material fact exist that preclude summary judgment of Plaintiff's hostile work environment </w:t>
      </w:r>
      <w:proofErr w:type="gramStart"/>
      <w:r w:rsidRPr="00F02628">
        <w:rPr>
          <w:rFonts w:ascii="Times New Roman" w:eastAsia="Times New Roman" w:hAnsi="Times New Roman"/>
          <w:sz w:val="24"/>
          <w:szCs w:val="24"/>
        </w:rPr>
        <w:t>claim.</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1364" w:history="1">
        <w:r w:rsidRPr="004065C6">
          <w:rPr>
            <w:rStyle w:val="Hyperlink"/>
            <w:rFonts w:ascii="Times New Roman" w:eastAsia="Times New Roman" w:hAnsi="Times New Roman"/>
            <w:sz w:val="24"/>
            <w:szCs w:val="24"/>
          </w:rPr>
          <w:t>https://casetext.com/case/molchan-v-delmar-fire-dept-1</w:t>
        </w:r>
      </w:hyperlink>
      <w:r>
        <w:rPr>
          <w:rFonts w:ascii="Times New Roman" w:eastAsia="Times New Roman" w:hAnsi="Times New Roman"/>
          <w:sz w:val="24"/>
          <w:szCs w:val="24"/>
        </w:rPr>
        <w:t xml:space="preserve"> </w:t>
      </w:r>
    </w:p>
    <w:p w14:paraId="65F45A7C" w14:textId="77777777" w:rsidR="005644A4" w:rsidRPr="00FA336A" w:rsidRDefault="005644A4" w:rsidP="005644A4">
      <w:pPr>
        <w:spacing w:before="100" w:beforeAutospacing="1" w:after="100" w:afterAutospacing="1" w:line="240" w:lineRule="auto"/>
        <w:rPr>
          <w:rFonts w:ascii="Times New Roman" w:eastAsia="Times New Roman" w:hAnsi="Times New Roman"/>
          <w:b/>
          <w:bCs/>
          <w:sz w:val="24"/>
          <w:szCs w:val="24"/>
        </w:rPr>
      </w:pPr>
      <w:r w:rsidRPr="00F02628">
        <w:rPr>
          <w:rFonts w:ascii="Times New Roman" w:hAnsi="Times New Roman"/>
          <w:b/>
          <w:bCs/>
          <w:sz w:val="24"/>
          <w:szCs w:val="24"/>
        </w:rPr>
        <w:t>Legal Lesson Learned:</w:t>
      </w:r>
      <w:r>
        <w:rPr>
          <w:rFonts w:ascii="Times New Roman" w:hAnsi="Times New Roman"/>
          <w:b/>
          <w:bCs/>
          <w:sz w:val="24"/>
          <w:szCs w:val="24"/>
        </w:rPr>
        <w:t xml:space="preserve"> “Me too” evidence can be very damaging when presented by numerous witnesses to the jury.  </w:t>
      </w:r>
    </w:p>
    <w:p w14:paraId="1822C4D3" w14:textId="77777777" w:rsidR="00433119" w:rsidRDefault="00433119" w:rsidP="002B1283">
      <w:pPr>
        <w:rPr>
          <w:rFonts w:ascii="Arial Black" w:hAnsi="Arial Black"/>
          <w:b/>
          <w:sz w:val="24"/>
          <w:szCs w:val="24"/>
        </w:rPr>
      </w:pPr>
    </w:p>
    <w:p w14:paraId="08E4A810" w14:textId="77777777" w:rsidR="00433119" w:rsidRDefault="00433119" w:rsidP="002B1283">
      <w:pPr>
        <w:rPr>
          <w:rFonts w:ascii="Arial Black" w:hAnsi="Arial Black"/>
          <w:b/>
          <w:sz w:val="24"/>
          <w:szCs w:val="24"/>
        </w:rPr>
      </w:pPr>
    </w:p>
    <w:p w14:paraId="3D21A657" w14:textId="63532CA5" w:rsidR="00D43015" w:rsidRDefault="00D43015" w:rsidP="002B1283">
      <w:pPr>
        <w:rPr>
          <w:rFonts w:ascii="Arial Black" w:hAnsi="Arial Black"/>
          <w:b/>
          <w:sz w:val="24"/>
          <w:szCs w:val="24"/>
        </w:rPr>
      </w:pPr>
      <w:r>
        <w:rPr>
          <w:rFonts w:ascii="Arial Black" w:hAnsi="Arial Black"/>
          <w:b/>
          <w:sz w:val="24"/>
          <w:szCs w:val="24"/>
        </w:rPr>
        <w:t>7-38</w:t>
      </w:r>
    </w:p>
    <w:p w14:paraId="7A877E36" w14:textId="77777777" w:rsidR="00D43015" w:rsidRDefault="00D43015" w:rsidP="00D43015">
      <w:pPr>
        <w:spacing w:before="100" w:beforeAutospacing="1" w:after="100" w:afterAutospacing="1" w:line="240" w:lineRule="auto"/>
        <w:rPr>
          <w:rStyle w:val="markedcontent"/>
          <w:rFonts w:ascii="Arial" w:hAnsi="Arial" w:cs="Arial"/>
          <w:sz w:val="30"/>
          <w:szCs w:val="30"/>
        </w:rPr>
      </w:pPr>
      <w:r>
        <w:rPr>
          <w:rStyle w:val="markedcontent"/>
          <w:rFonts w:ascii="Arial Black" w:hAnsi="Arial Black" w:cs="Arial"/>
          <w:sz w:val="28"/>
          <w:szCs w:val="28"/>
        </w:rPr>
        <w:lastRenderedPageBreak/>
        <w:t>MA: FEMALE PROMOTED TO CAPT – NO. 2 ASSESSMENT CENTER – THEN “DEEPLY FLAWED” INTERVIEW FIRE CHIEF / CITY OFFICIALS</w:t>
      </w:r>
    </w:p>
    <w:p w14:paraId="3B01E3F7" w14:textId="77777777" w:rsidR="00D43015" w:rsidRDefault="00D43015" w:rsidP="00D43015">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Nov. 18, 2021, in </w:t>
      </w:r>
      <w:r w:rsidRPr="009658E4">
        <w:rPr>
          <w:rStyle w:val="markedcontent"/>
          <w:rFonts w:ascii="Times New Roman" w:hAnsi="Times New Roman"/>
          <w:sz w:val="24"/>
          <w:szCs w:val="24"/>
          <w:u w:val="single"/>
        </w:rPr>
        <w:t>Tracy Blanchette v. City of Methuen</w:t>
      </w:r>
      <w:r>
        <w:rPr>
          <w:rStyle w:val="markedcontent"/>
          <w:rFonts w:ascii="Times New Roman" w:hAnsi="Times New Roman"/>
          <w:sz w:val="24"/>
          <w:szCs w:val="24"/>
          <w:u w:val="single"/>
        </w:rPr>
        <w:t xml:space="preserve"> and Matthew Tulley, </w:t>
      </w:r>
      <w:r>
        <w:rPr>
          <w:rStyle w:val="markedcontent"/>
          <w:rFonts w:ascii="Times New Roman" w:hAnsi="Times New Roman"/>
          <w:sz w:val="24"/>
          <w:szCs w:val="24"/>
        </w:rPr>
        <w:t xml:space="preserve">the Commonwealth of Massachusetts Civil Service Commission held (5 to 0) that firefighter Tracy Blanchette should have been promoted when a second Captain position came open, instead of firefighter Matthew Tulley, and rejected the City’s argument that she was not promoted because of a poor interview 14 months earlier during first Captain opening.  During that first promotion opportunity, a comprehensive Assessment Center ranked </w:t>
      </w:r>
      <w:proofErr w:type="spellStart"/>
      <w:r>
        <w:rPr>
          <w:rStyle w:val="markedcontent"/>
          <w:rFonts w:ascii="Times New Roman" w:hAnsi="Times New Roman"/>
          <w:sz w:val="24"/>
          <w:szCs w:val="24"/>
        </w:rPr>
        <w:t>Blanchtte</w:t>
      </w:r>
      <w:proofErr w:type="spellEnd"/>
      <w:r>
        <w:rPr>
          <w:rStyle w:val="markedcontent"/>
          <w:rFonts w:ascii="Times New Roman" w:hAnsi="Times New Roman"/>
          <w:sz w:val="24"/>
          <w:szCs w:val="24"/>
        </w:rPr>
        <w:t xml:space="preserve"> No. 2, but during the post-Assessment interviews of the four finalists by Fire Chief, Assistant Fire Chief, HR and Mayor’s Chief of Staff, she was ranked No. 4.  Civil Service Commissioner Cynthia A. </w:t>
      </w:r>
      <w:proofErr w:type="spellStart"/>
      <w:r>
        <w:rPr>
          <w:rStyle w:val="markedcontent"/>
          <w:rFonts w:ascii="Times New Roman" w:hAnsi="Times New Roman"/>
          <w:sz w:val="24"/>
          <w:szCs w:val="24"/>
        </w:rPr>
        <w:t>Ittleman</w:t>
      </w:r>
      <w:proofErr w:type="spellEnd"/>
      <w:r>
        <w:rPr>
          <w:rStyle w:val="markedcontent"/>
          <w:rFonts w:ascii="Times New Roman" w:hAnsi="Times New Roman"/>
          <w:sz w:val="24"/>
          <w:szCs w:val="24"/>
        </w:rPr>
        <w:t xml:space="preserve"> wrote a lengthy scathing decision, focusing on (1) Fire Chiefs prior friendship and 8-10 years working </w:t>
      </w:r>
      <w:proofErr w:type="gramStart"/>
      <w:r>
        <w:rPr>
          <w:rStyle w:val="markedcontent"/>
          <w:rFonts w:ascii="Times New Roman" w:hAnsi="Times New Roman"/>
          <w:sz w:val="24"/>
          <w:szCs w:val="24"/>
        </w:rPr>
        <w:t>off-duty</w:t>
      </w:r>
      <w:proofErr w:type="gramEnd"/>
      <w:r>
        <w:rPr>
          <w:rStyle w:val="markedcontent"/>
          <w:rFonts w:ascii="Times New Roman" w:hAnsi="Times New Roman"/>
          <w:sz w:val="24"/>
          <w:szCs w:val="24"/>
        </w:rPr>
        <w:t xml:space="preserve"> in Matthew Tully’s electrical business, and (2) the post-Assessment Center interviews were never recorded by video or audio (at HR’s recommendation). </w:t>
      </w:r>
    </w:p>
    <w:p w14:paraId="5293486E" w14:textId="77777777" w:rsidR="00D43015" w:rsidRPr="00356803" w:rsidRDefault="00D43015" w:rsidP="00D43015">
      <w:pPr>
        <w:spacing w:after="0" w:line="240" w:lineRule="auto"/>
        <w:ind w:left="720"/>
        <w:rPr>
          <w:rStyle w:val="markedcontent"/>
          <w:rFonts w:ascii="Times New Roman" w:hAnsi="Times New Roman"/>
          <w:sz w:val="24"/>
          <w:szCs w:val="24"/>
        </w:rPr>
      </w:pPr>
      <w:r>
        <w:rPr>
          <w:rFonts w:ascii="Times New Roman" w:eastAsia="Times New Roman" w:hAnsi="Times New Roman"/>
          <w:sz w:val="24"/>
          <w:szCs w:val="24"/>
        </w:rPr>
        <w:t xml:space="preserve">“[The City of] </w:t>
      </w:r>
      <w:r w:rsidRPr="001A7900">
        <w:rPr>
          <w:rFonts w:ascii="Times New Roman" w:eastAsia="Times New Roman" w:hAnsi="Times New Roman"/>
          <w:sz w:val="24"/>
          <w:szCs w:val="24"/>
        </w:rPr>
        <w:t>Methuen has failed to establish by a preponderance of credible evidence that it had reasonable justification to promote a male MFD firefighter to Fire Captain from an eligible list created after a comprehensive Assessment Center in which he ranked below the Appellant, a female firefighter with greater experience. Rather, the evidence shows that Methuen’s decision</w:t>
      </w:r>
      <w:r>
        <w:rPr>
          <w:rFonts w:ascii="Times New Roman" w:eastAsia="Times New Roman" w:hAnsi="Times New Roman"/>
          <w:sz w:val="24"/>
          <w:szCs w:val="24"/>
        </w:rPr>
        <w:t xml:space="preserve"> </w:t>
      </w:r>
      <w:r w:rsidRPr="001A7900">
        <w:rPr>
          <w:rFonts w:ascii="Times New Roman" w:eastAsia="Times New Roman" w:hAnsi="Times New Roman"/>
          <w:sz w:val="24"/>
          <w:szCs w:val="24"/>
        </w:rPr>
        <w:t>was based on the use of a highly subjective and flawed interview process intended to nullify the results of the Assessment Center in order to effectuate a predetermined decision to select a candidate favored by the Fire Chief as a matter of personal, not professional, preference, as well as to not disturb the MFD’s male-dominated culture. This selection process was not conducted on a level playing field and violates basic merit principles of civil service law.</w:t>
      </w:r>
      <w:r>
        <w:rPr>
          <w:rFonts w:ascii="Times New Roman" w:eastAsia="Times New Roman" w:hAnsi="Times New Roman"/>
          <w:sz w:val="24"/>
          <w:szCs w:val="24"/>
        </w:rPr>
        <w:t>”</w:t>
      </w:r>
      <w:r w:rsidRPr="00034238">
        <w:t xml:space="preserve"> </w:t>
      </w:r>
      <w:hyperlink r:id="rId1365" w:history="1">
        <w:r w:rsidRPr="0085682C">
          <w:rPr>
            <w:rStyle w:val="Hyperlink"/>
            <w:rFonts w:ascii="Times New Roman" w:hAnsi="Times New Roman"/>
            <w:sz w:val="24"/>
            <w:szCs w:val="24"/>
          </w:rPr>
          <w:t>https://www.mass.gov/doc/blanchette-tracy-v-city-of-methuen-111821/download</w:t>
        </w:r>
      </w:hyperlink>
      <w:r>
        <w:rPr>
          <w:rStyle w:val="markedcontent"/>
          <w:rFonts w:ascii="Times New Roman" w:hAnsi="Times New Roman"/>
          <w:sz w:val="24"/>
          <w:szCs w:val="24"/>
        </w:rPr>
        <w:t xml:space="preserve"> </w:t>
      </w:r>
    </w:p>
    <w:p w14:paraId="1329700B" w14:textId="383CB01A" w:rsidR="00D43015" w:rsidRDefault="00D43015" w:rsidP="002B1283">
      <w:pPr>
        <w:rPr>
          <w:rFonts w:ascii="Arial Black" w:hAnsi="Arial Black"/>
          <w:b/>
          <w:sz w:val="24"/>
          <w:szCs w:val="24"/>
        </w:rPr>
      </w:pPr>
    </w:p>
    <w:p w14:paraId="3062A91C" w14:textId="77777777" w:rsidR="00D43015" w:rsidRPr="007E2D4F" w:rsidRDefault="00D43015" w:rsidP="00D43015">
      <w:pPr>
        <w:spacing w:before="100" w:beforeAutospacing="1" w:after="100" w:afterAutospacing="1" w:line="240" w:lineRule="auto"/>
        <w:rPr>
          <w:rStyle w:val="markedcontent"/>
          <w:rFonts w:ascii="Times New Roman" w:hAnsi="Times New Roman"/>
          <w:b/>
          <w:bCs/>
          <w:sz w:val="24"/>
          <w:szCs w:val="24"/>
        </w:rPr>
      </w:pPr>
      <w:r w:rsidRPr="007E2D4F">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Video or audio record the post Assessment Center interviews.  The City may now appeal this decision to a court of law. </w:t>
      </w:r>
    </w:p>
    <w:p w14:paraId="53FE5F07" w14:textId="77777777" w:rsidR="00D43015" w:rsidRPr="005450F9" w:rsidRDefault="00D43015" w:rsidP="00D43015">
      <w:pPr>
        <w:spacing w:before="100" w:beforeAutospacing="1" w:after="100" w:afterAutospacing="1" w:line="240" w:lineRule="auto"/>
        <w:ind w:left="720"/>
        <w:rPr>
          <w:rFonts w:ascii="Times New Roman" w:eastAsia="Times New Roman" w:hAnsi="Times New Roman"/>
          <w:sz w:val="24"/>
          <w:szCs w:val="24"/>
        </w:rPr>
      </w:pPr>
      <w:r w:rsidRPr="005450F9">
        <w:rPr>
          <w:rStyle w:val="markedcontent"/>
          <w:rFonts w:ascii="Times New Roman" w:hAnsi="Times New Roman"/>
          <w:sz w:val="24"/>
          <w:szCs w:val="24"/>
        </w:rPr>
        <w:t>Note: See article on the decision:</w:t>
      </w:r>
      <w:r>
        <w:rPr>
          <w:rStyle w:val="markedcontent"/>
          <w:rFonts w:ascii="Times New Roman" w:hAnsi="Times New Roman"/>
          <w:sz w:val="24"/>
          <w:szCs w:val="24"/>
        </w:rPr>
        <w:t xml:space="preserve"> Nov. 24, 2021: </w:t>
      </w:r>
      <w:r w:rsidRPr="005450F9">
        <w:rPr>
          <w:rStyle w:val="markedcontent"/>
          <w:rFonts w:ascii="Times New Roman" w:hAnsi="Times New Roman"/>
          <w:sz w:val="24"/>
          <w:szCs w:val="24"/>
        </w:rPr>
        <w:t>“</w:t>
      </w:r>
      <w:r w:rsidRPr="005450F9">
        <w:rPr>
          <w:rFonts w:ascii="Times New Roman" w:hAnsi="Times New Roman"/>
          <w:sz w:val="24"/>
          <w:szCs w:val="24"/>
        </w:rPr>
        <w:t xml:space="preserve">Civil Service Commission sides with Mass. female FF-EMT passed over for promotion.” </w:t>
      </w:r>
      <w:hyperlink r:id="rId1366" w:history="1">
        <w:r w:rsidRPr="005450F9">
          <w:rPr>
            <w:rStyle w:val="Hyperlink"/>
            <w:rFonts w:ascii="Times New Roman" w:eastAsia="Times New Roman" w:hAnsi="Times New Roman"/>
            <w:sz w:val="24"/>
            <w:szCs w:val="24"/>
          </w:rPr>
          <w:t>https://www.firerescue1.com/discrimination/articles/civil-service-commission-sides-with-mass-female-ff-emt-passed-over-for-promotion-OvMbsXKeZfDYHswZ/?utm_source=twitter&amp;utm_medium=social&amp;utm_campaign=dlvrit</w:t>
        </w:r>
      </w:hyperlink>
      <w:r w:rsidRPr="005450F9">
        <w:rPr>
          <w:rFonts w:ascii="Times New Roman" w:eastAsia="Times New Roman" w:hAnsi="Times New Roman"/>
          <w:sz w:val="24"/>
          <w:szCs w:val="24"/>
        </w:rPr>
        <w:t xml:space="preserve"> </w:t>
      </w:r>
    </w:p>
    <w:p w14:paraId="0B3CA3C0" w14:textId="609070CC" w:rsidR="00D43015" w:rsidRPr="00D43015" w:rsidRDefault="00D43015" w:rsidP="00D43015">
      <w:pPr>
        <w:ind w:left="720"/>
        <w:rPr>
          <w:rFonts w:ascii="Times New Roman" w:hAnsi="Times New Roman"/>
          <w:b/>
          <w:sz w:val="24"/>
          <w:szCs w:val="24"/>
        </w:rPr>
      </w:pPr>
      <w:r w:rsidRPr="00D43015">
        <w:rPr>
          <w:rFonts w:ascii="Times New Roman" w:hAnsi="Times New Roman"/>
          <w:sz w:val="24"/>
          <w:szCs w:val="24"/>
        </w:rPr>
        <w:t xml:space="preserve">See also lawsuit: Nov. 11, 2020: “Mass. FF-EMT files gender discrimination lawsuit, says she was passed over for promotion.”  </w:t>
      </w:r>
      <w:hyperlink r:id="rId1367" w:history="1">
        <w:r w:rsidRPr="00D43015">
          <w:rPr>
            <w:rStyle w:val="Hyperlink"/>
            <w:rFonts w:ascii="Times New Roman" w:hAnsi="Times New Roman"/>
            <w:sz w:val="24"/>
            <w:szCs w:val="24"/>
          </w:rPr>
          <w:t>https://www.firerescue1.com/lawsuit/articles/mass-ff-emt-files-gender-discrimination-lawsuit-says-she-was-passed-over-for-promotion-k1Q0mMWcivLWcHoy/</w:t>
        </w:r>
      </w:hyperlink>
    </w:p>
    <w:p w14:paraId="797353A3" w14:textId="77777777" w:rsidR="00D43015" w:rsidRDefault="00D43015" w:rsidP="002B1283">
      <w:pPr>
        <w:rPr>
          <w:rFonts w:ascii="Arial Black" w:hAnsi="Arial Black"/>
          <w:b/>
          <w:sz w:val="24"/>
          <w:szCs w:val="24"/>
        </w:rPr>
      </w:pPr>
    </w:p>
    <w:p w14:paraId="6884500F" w14:textId="4EF71F29" w:rsidR="00C67B2A" w:rsidRDefault="00C67B2A" w:rsidP="002B1283">
      <w:pPr>
        <w:rPr>
          <w:rFonts w:ascii="Arial Black" w:hAnsi="Arial Black"/>
          <w:b/>
          <w:sz w:val="24"/>
          <w:szCs w:val="24"/>
        </w:rPr>
      </w:pPr>
      <w:r>
        <w:rPr>
          <w:rFonts w:ascii="Arial Black" w:hAnsi="Arial Black"/>
          <w:b/>
          <w:sz w:val="24"/>
          <w:szCs w:val="24"/>
        </w:rPr>
        <w:t>7-37</w:t>
      </w:r>
    </w:p>
    <w:p w14:paraId="176EE1F8" w14:textId="77777777" w:rsidR="00C67B2A" w:rsidRPr="00212250" w:rsidRDefault="00C67B2A" w:rsidP="00C67B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LA: FIRE CHIEF (Ret) – “AT WILL” JOB – CONFRONTED BY FEMALE HE HAD DISCIPLINED - HE’S FIRED, NO CASE </w:t>
      </w:r>
    </w:p>
    <w:p w14:paraId="13DFA49D" w14:textId="77777777" w:rsidR="00C67B2A" w:rsidRDefault="00C67B2A" w:rsidP="00C67B2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28, 2021, in </w:t>
      </w:r>
      <w:r w:rsidRPr="00212250">
        <w:rPr>
          <w:rFonts w:ascii="Times New Roman" w:eastAsia="Times New Roman" w:hAnsi="Times New Roman"/>
          <w:sz w:val="24"/>
          <w:szCs w:val="24"/>
          <w:u w:val="single"/>
        </w:rPr>
        <w:t>Paul Smith v. City of Alexandria</w:t>
      </w:r>
      <w:r>
        <w:rPr>
          <w:rFonts w:ascii="Times New Roman" w:eastAsia="Times New Roman" w:hAnsi="Times New Roman"/>
          <w:sz w:val="24"/>
          <w:szCs w:val="24"/>
        </w:rPr>
        <w:t xml:space="preserve">, U.S. District Court Judge David C. Joseph, U.S. District Court for Western District of Louisiana (Alexandria Division) granted the City’s motion for summary judgment.  The retired Fire Chief was hired as an “at will” city employee to install smoke detectors in the community and was confronted at a retirement reception for Assistant Chief. The woman who then worked for </w:t>
      </w:r>
      <w:r>
        <w:rPr>
          <w:rFonts w:ascii="Times New Roman" w:eastAsia="Times New Roman" w:hAnsi="Times New Roman"/>
          <w:sz w:val="24"/>
          <w:szCs w:val="24"/>
        </w:rPr>
        <w:lastRenderedPageBreak/>
        <w:t>current Fire Chief confronted him about being at the reception. City said he was fired on the basis that his report to HR falsely stated he had been invited to the retirement reception.</w:t>
      </w:r>
    </w:p>
    <w:p w14:paraId="05BAD363" w14:textId="77777777" w:rsidR="00C67B2A" w:rsidRDefault="00C67B2A" w:rsidP="00C67B2A">
      <w:pPr>
        <w:pStyle w:val="NormalWeb"/>
        <w:ind w:left="720"/>
      </w:pPr>
      <w:r>
        <w:t>“</w:t>
      </w:r>
      <w:r w:rsidRPr="00C522AD">
        <w:t>On May 22, 2019, Plaintiff attended a retirement reception for an Assistant Fire Chief</w:t>
      </w:r>
      <w:r>
        <w:t>….</w:t>
      </w:r>
      <w:r w:rsidRPr="00C522AD">
        <w:t xml:space="preserve"> While at the reception, Fire Department employee Debbye Johnson (</w:t>
      </w:r>
      <w:r>
        <w:t>‘</w:t>
      </w:r>
      <w:r w:rsidRPr="00C522AD">
        <w:t>Johnson</w:t>
      </w:r>
      <w:r>
        <w:t>’</w:t>
      </w:r>
      <w:r w:rsidRPr="00C522AD">
        <w:t xml:space="preserve">) allegedly approached Plaintiff, stuck her finger in his face </w:t>
      </w:r>
      <w:r>
        <w:t>‘</w:t>
      </w:r>
      <w:r w:rsidRPr="00C522AD">
        <w:t>in a hostile manner,</w:t>
      </w:r>
      <w:r>
        <w:t>’</w:t>
      </w:r>
      <w:r w:rsidRPr="00C522AD">
        <w:t xml:space="preserve"> and </w:t>
      </w:r>
      <w:r>
        <w:t>‘</w:t>
      </w:r>
      <w:r w:rsidRPr="00C522AD">
        <w:t>loudly shouted</w:t>
      </w:r>
      <w:r>
        <w:t>’</w:t>
      </w:r>
      <w:r w:rsidRPr="00C522AD">
        <w:t xml:space="preserve"> at Plaintiff, stating, </w:t>
      </w:r>
      <w:r>
        <w:t>‘</w:t>
      </w:r>
      <w:r w:rsidRPr="00C522AD">
        <w:t>your balls must be as big as they ever were for you to come up in here you mother fucker</w:t>
      </w:r>
      <w:r>
        <w:t>….</w:t>
      </w:r>
      <w:r w:rsidRPr="00C522AD">
        <w:t xml:space="preserve">” </w:t>
      </w:r>
    </w:p>
    <w:p w14:paraId="6B4C20DA" w14:textId="77777777" w:rsidR="00C67B2A" w:rsidRDefault="00C67B2A" w:rsidP="00C67B2A">
      <w:pPr>
        <w:pStyle w:val="NormalWeb"/>
        <w:ind w:left="720"/>
      </w:pPr>
      <w:r>
        <w:t xml:space="preserve">As one might expect given the nature of this interaction, Plaintiff and Johnson knew each other and, in fact, had a personal history encompassing several decades. Debbye Johnson was hired by the City in August of 1983 as a Secretary or a ‘Fire Records Clerk…’ On August 18, 1997, Plaintiff, who was then Chief of the Alexandria Fire Department, terminated Johnson's employment for allegedly requesting additional time off after exhausting </w:t>
      </w:r>
      <w:proofErr w:type="gramStart"/>
      <w:r>
        <w:t>all of</w:t>
      </w:r>
      <w:proofErr w:type="gramEnd"/>
      <w:r>
        <w:t xml:space="preserve"> her sick leave, annual leave, and vacation days…. Johnson was then re-hired as a Fire Records Clerk for the City after Plaintiff left the Fire Department and remained in that position from September of 2007 until May of 2014, at which time she became the Fire Chief's Secretary…. Although she was still serving as the Fire Chief's Secretary when she interacted with Plaintiff at the May 22</w:t>
      </w:r>
      <w:r>
        <w:rPr>
          <w:vertAlign w:val="superscript"/>
        </w:rPr>
        <w:t>nd</w:t>
      </w:r>
      <w:r>
        <w:t xml:space="preserve"> reception, she was then suffering from Stage IV cancer. She died approximately four and a half months later. </w:t>
      </w:r>
    </w:p>
    <w:p w14:paraId="62954B9F" w14:textId="77777777" w:rsidR="00C67B2A" w:rsidRDefault="00C67B2A" w:rsidP="00C67B2A">
      <w:pPr>
        <w:pStyle w:val="NormalWeb"/>
        <w:ind w:left="720"/>
      </w:pPr>
      <w:r>
        <w:t>***</w:t>
      </w:r>
    </w:p>
    <w:p w14:paraId="1482F97E" w14:textId="77777777" w:rsidR="00C67B2A" w:rsidRPr="00C522AD" w:rsidRDefault="00C67B2A" w:rsidP="00C67B2A">
      <w:pPr>
        <w:pStyle w:val="NormalWeb"/>
        <w:ind w:left="720"/>
      </w:pPr>
      <w:r>
        <w:t>Plaintiff was, in fact, terminated two weeks after his protected activity. Importantly, however, his June 6, 2019, termination date was also two weeks after: (</w:t>
      </w:r>
      <w:proofErr w:type="spellStart"/>
      <w:r>
        <w:t>i</w:t>
      </w:r>
      <w:proofErr w:type="spellEnd"/>
      <w:r>
        <w:t>) Plaintiff's involvement in a public altercation with another City employee at an official retirement reception; and (ii) his alleged untruthfulness about having been invited to the retirement reception, which was the reason proffered by the City as its legitimate non-retaliatory reason for Plaintiff's termination. Plaintiff has not provided evidence to show that his complaint of sexual harassment, as opposed to his involvement in the events at the May 22</w:t>
      </w:r>
      <w:r>
        <w:rPr>
          <w:vertAlign w:val="superscript"/>
        </w:rPr>
        <w:t>nd</w:t>
      </w:r>
      <w:r>
        <w:t xml:space="preserve"> retirement reception or his supervisor's belief that he had lied, was the but-for </w:t>
      </w:r>
      <w:proofErr w:type="gramStart"/>
      <w:r>
        <w:t>cause</w:t>
      </w:r>
      <w:proofErr w:type="gramEnd"/>
      <w:r>
        <w:t xml:space="preserve"> of his termination.” </w:t>
      </w:r>
      <w:hyperlink r:id="rId1368" w:history="1">
        <w:r w:rsidRPr="00410682">
          <w:rPr>
            <w:rStyle w:val="Hyperlink"/>
          </w:rPr>
          <w:t>https://public.fastcase.com/9SKwsfNqTc6OieYDhNMyM7EtuTmvkEcI7U0T89k%2BFJTh0eKfnpK7LfgjErs00V3IPt4y6nTMDAAfexS5sEGnBSDT8xghzv1Bl3HZnDYTQZc%3D</w:t>
        </w:r>
      </w:hyperlink>
      <w:r>
        <w:t xml:space="preserve"> </w:t>
      </w:r>
    </w:p>
    <w:p w14:paraId="50BD01C3" w14:textId="77777777" w:rsidR="00C67B2A" w:rsidRPr="008120B4" w:rsidRDefault="00C67B2A" w:rsidP="00C67B2A">
      <w:pPr>
        <w:spacing w:before="100" w:beforeAutospacing="1" w:after="100" w:afterAutospacing="1" w:line="240" w:lineRule="auto"/>
        <w:rPr>
          <w:rFonts w:ascii="Times New Roman" w:eastAsia="Times New Roman" w:hAnsi="Times New Roman"/>
          <w:b/>
          <w:bCs/>
          <w:sz w:val="24"/>
          <w:szCs w:val="24"/>
        </w:rPr>
      </w:pPr>
      <w:r w:rsidRPr="008120B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“At will” employees can be fired “with or without notice or cause.”</w:t>
      </w:r>
    </w:p>
    <w:p w14:paraId="20337FE8" w14:textId="77777777" w:rsidR="00C67B2A" w:rsidRDefault="00C67B2A" w:rsidP="002B1283">
      <w:pPr>
        <w:rPr>
          <w:rFonts w:ascii="Arial Black" w:hAnsi="Arial Black"/>
          <w:b/>
          <w:sz w:val="24"/>
          <w:szCs w:val="24"/>
        </w:rPr>
      </w:pPr>
    </w:p>
    <w:p w14:paraId="0332904E" w14:textId="370043BD" w:rsidR="00BD1702" w:rsidRDefault="00BD1702" w:rsidP="002B1283">
      <w:pPr>
        <w:rPr>
          <w:rFonts w:ascii="Arial Black" w:hAnsi="Arial Black"/>
          <w:b/>
          <w:sz w:val="24"/>
          <w:szCs w:val="24"/>
        </w:rPr>
      </w:pPr>
      <w:r>
        <w:rPr>
          <w:rFonts w:ascii="Arial Black" w:hAnsi="Arial Black"/>
          <w:b/>
          <w:sz w:val="24"/>
          <w:szCs w:val="24"/>
        </w:rPr>
        <w:t>7-36</w:t>
      </w:r>
    </w:p>
    <w:p w14:paraId="02EF9286" w14:textId="77777777" w:rsidR="00BD1702" w:rsidRDefault="00BD1702" w:rsidP="00BD1702">
      <w:pPr>
        <w:pStyle w:val="Heading1"/>
        <w:rPr>
          <w:rFonts w:ascii="Arial Black" w:hAnsi="Arial Black"/>
          <w:b w:val="0"/>
          <w:bCs w:val="0"/>
          <w:sz w:val="28"/>
          <w:szCs w:val="28"/>
        </w:rPr>
      </w:pPr>
      <w:r>
        <w:rPr>
          <w:rFonts w:ascii="Arial Black" w:hAnsi="Arial Black"/>
          <w:b w:val="0"/>
          <w:bCs w:val="0"/>
          <w:sz w:val="28"/>
          <w:szCs w:val="28"/>
        </w:rPr>
        <w:t>NY: FDNY “CALENDAR GIRL” – LAWSUIT DISMISSED – NO PROOF OF DISCRIMINATION BY HER FEMALE SUPERVISOR</w:t>
      </w:r>
    </w:p>
    <w:p w14:paraId="3BD4D860" w14:textId="77777777" w:rsidR="00BD1702" w:rsidRDefault="00BD1702" w:rsidP="00BD1702">
      <w:pPr>
        <w:pStyle w:val="Heading1"/>
        <w:rPr>
          <w:noProof/>
          <w:sz w:val="22"/>
          <w:szCs w:val="22"/>
        </w:rPr>
      </w:pPr>
      <w:r>
        <w:rPr>
          <w:b w:val="0"/>
          <w:bCs w:val="0"/>
          <w:sz w:val="22"/>
          <w:szCs w:val="22"/>
        </w:rPr>
        <w:t xml:space="preserve">On September 21, 2021, in </w:t>
      </w:r>
      <w:r>
        <w:rPr>
          <w:b w:val="0"/>
          <w:bCs w:val="0"/>
          <w:sz w:val="22"/>
          <w:szCs w:val="22"/>
          <w:u w:val="single"/>
        </w:rPr>
        <w:t>Margot Loth v. City of New York,</w:t>
      </w:r>
      <w:r>
        <w:rPr>
          <w:b w:val="0"/>
          <w:bCs w:val="0"/>
          <w:sz w:val="22"/>
          <w:szCs w:val="22"/>
        </w:rPr>
        <w:t xml:space="preserve"> U.S. District Court Judge George B. Daniels granted the City’s motion for summary judgment.  In 2019, plaintiff was featured in the NYFD’s “Calendar of Heroes.”   </w:t>
      </w:r>
    </w:p>
    <w:p w14:paraId="6F7DAF78" w14:textId="77777777" w:rsidR="00BD1702" w:rsidRDefault="00BD1702" w:rsidP="00BD1702">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“With regards to the ‘calendar girl’ moniker, Plaintiff [EMT] argues that Tiberi's [Captain Donna Lynn Hannon Tiberi] ‘inherent reference to [</w:t>
      </w:r>
      <w:proofErr w:type="gramStart"/>
      <w:r>
        <w:rPr>
          <w:rFonts w:ascii="Times New Roman" w:hAnsi="Times New Roman"/>
          <w:sz w:val="24"/>
          <w:szCs w:val="24"/>
        </w:rPr>
        <w:t>Plaintiffs</w:t>
      </w:r>
      <w:proofErr w:type="gramEnd"/>
      <w:r>
        <w:rPr>
          <w:rFonts w:ascii="Times New Roman" w:hAnsi="Times New Roman"/>
          <w:sz w:val="24"/>
          <w:szCs w:val="24"/>
        </w:rPr>
        <w:t xml:space="preserve">] gender’ and the fact that the comment was used in a ‘disparaging’ manner, is sufficient to give rise to an inference of discrimination. (Pl.'s Opp. 19.) However, the mere fact that Plaintiffs gender was mentioned is insufficient to establish an inference of discrimination…. Therefore, Plaintiff has failed to plausibly allege that Tiberi's reference to Plaintiff as ‘calendar girl’ supports an inference of discriminatory animus.” </w:t>
      </w:r>
      <w:hyperlink r:id="rId1369" w:history="1">
        <w:r>
          <w:rPr>
            <w:rStyle w:val="Hyperlink"/>
            <w:sz w:val="24"/>
            <w:szCs w:val="24"/>
          </w:rPr>
          <w:t>https://www.leagle.com/decision/infdco20210924575</w:t>
        </w:r>
      </w:hyperlink>
      <w:r>
        <w:rPr>
          <w:rFonts w:ascii="Times New Roman" w:hAnsi="Times New Roman"/>
          <w:sz w:val="24"/>
          <w:szCs w:val="24"/>
        </w:rPr>
        <w:t xml:space="preserve"> </w:t>
      </w:r>
    </w:p>
    <w:p w14:paraId="5B12B132" w14:textId="77777777" w:rsidR="00BD1702" w:rsidRDefault="00BD1702" w:rsidP="00BD1702">
      <w:pPr>
        <w:pStyle w:val="Heading1"/>
        <w:rPr>
          <w:sz w:val="24"/>
          <w:szCs w:val="24"/>
        </w:rPr>
      </w:pPr>
      <w:r>
        <w:rPr>
          <w:sz w:val="24"/>
          <w:szCs w:val="24"/>
        </w:rPr>
        <w:lastRenderedPageBreak/>
        <w:t xml:space="preserve">Legal Lesson Learned: Plaintiff failed to prove her employment was “materially </w:t>
      </w:r>
      <w:proofErr w:type="gramStart"/>
      <w:r>
        <w:rPr>
          <w:sz w:val="24"/>
          <w:szCs w:val="24"/>
        </w:rPr>
        <w:t>change:</w:t>
      </w:r>
      <w:proofErr w:type="gramEnd"/>
      <w:r>
        <w:rPr>
          <w:sz w:val="24"/>
          <w:szCs w:val="24"/>
        </w:rPr>
        <w:t xml:space="preserve"> based on discipline imposed by her Supervisor. </w:t>
      </w:r>
    </w:p>
    <w:p w14:paraId="3FCBA7C2" w14:textId="7724BABB" w:rsidR="00BD1702" w:rsidRPr="00D43015" w:rsidRDefault="00BD1702" w:rsidP="00D43015">
      <w:pPr>
        <w:ind w:left="720"/>
        <w:rPr>
          <w:rFonts w:ascii="Times New Roman" w:hAnsi="Times New Roman"/>
          <w:b/>
          <w:sz w:val="24"/>
          <w:szCs w:val="24"/>
        </w:rPr>
      </w:pPr>
      <w:r w:rsidRPr="00D43015">
        <w:rPr>
          <w:rFonts w:ascii="Times New Roman" w:hAnsi="Times New Roman"/>
          <w:sz w:val="24"/>
          <w:szCs w:val="24"/>
        </w:rPr>
        <w:t xml:space="preserve">Note: See the Oct. 4, </w:t>
      </w:r>
      <w:proofErr w:type="gramStart"/>
      <w:r w:rsidRPr="00D43015">
        <w:rPr>
          <w:rFonts w:ascii="Times New Roman" w:hAnsi="Times New Roman"/>
          <w:sz w:val="24"/>
          <w:szCs w:val="24"/>
        </w:rPr>
        <w:t>2021</w:t>
      </w:r>
      <w:proofErr w:type="gramEnd"/>
      <w:r w:rsidRPr="00D43015">
        <w:rPr>
          <w:rFonts w:ascii="Times New Roman" w:hAnsi="Times New Roman"/>
          <w:sz w:val="24"/>
          <w:szCs w:val="24"/>
        </w:rPr>
        <w:t xml:space="preserve"> article, “Judge dismisses federal gender discrimination suit of FDNY EMT who posed for calendar.”</w:t>
      </w:r>
      <w:r w:rsidRPr="00D43015">
        <w:rPr>
          <w:rFonts w:ascii="Times New Roman" w:hAnsi="Times New Roman"/>
          <w:b/>
          <w:bCs/>
          <w:sz w:val="24"/>
          <w:szCs w:val="24"/>
        </w:rPr>
        <w:t xml:space="preserve">  </w:t>
      </w:r>
      <w:r w:rsidRPr="00D43015">
        <w:rPr>
          <w:rFonts w:ascii="Times New Roman" w:hAnsi="Times New Roman"/>
          <w:sz w:val="24"/>
          <w:szCs w:val="24"/>
        </w:rPr>
        <w:t xml:space="preserve">In a prior posting on the FDNY Foundation's Facebook page, Loth spoke about her reasons for posing for the calendar. ‘I know some very strong and beautiful women from the previous calendars, and they were such an inspiration to me,’ she said. ‘We are a force to be reckoned with in this department. We are comfortable with our skills, strong, confident, and we look out for each other. We are opening doors and breaking glass ceilings, and I am proud to be a part of it.’ </w:t>
      </w:r>
      <w:hyperlink r:id="rId1370" w:history="1">
        <w:r w:rsidRPr="00D43015">
          <w:rPr>
            <w:rStyle w:val="Hyperlink"/>
            <w:rFonts w:ascii="Times New Roman" w:hAnsi="Times New Roman"/>
            <w:sz w:val="24"/>
            <w:szCs w:val="24"/>
          </w:rPr>
          <w:t>https://www.firerescue1.com/lawsuit/articles/judge-dismisses-federal-gender-discrimination-suit-of-fdny-emt-who-posed-for-calendar-v4FDLqPObm3t3BSV/?utm_source=FireRescue1&amp;utm_campaign=dfa53e36a0-EMAIL_CAMPAIGN_2021_10_08_06_27&amp;utm_medium=email&amp;utm_term=0_1d76c7ca1b-dfa53e36a0-91025172</w:t>
        </w:r>
      </w:hyperlink>
    </w:p>
    <w:p w14:paraId="5A71F094" w14:textId="77777777" w:rsidR="00BD1702" w:rsidRDefault="00BD1702" w:rsidP="002B1283">
      <w:pPr>
        <w:rPr>
          <w:rFonts w:ascii="Arial Black" w:hAnsi="Arial Black"/>
          <w:b/>
          <w:sz w:val="24"/>
          <w:szCs w:val="24"/>
        </w:rPr>
      </w:pPr>
    </w:p>
    <w:p w14:paraId="62DC0B26" w14:textId="45D6BF33" w:rsidR="00BD263B" w:rsidRDefault="00BD263B" w:rsidP="002B1283">
      <w:pPr>
        <w:rPr>
          <w:rFonts w:ascii="Arial Black" w:hAnsi="Arial Black"/>
          <w:b/>
          <w:sz w:val="24"/>
          <w:szCs w:val="24"/>
        </w:rPr>
      </w:pPr>
      <w:r>
        <w:rPr>
          <w:rFonts w:ascii="Arial Black" w:hAnsi="Arial Black"/>
          <w:b/>
          <w:sz w:val="24"/>
          <w:szCs w:val="24"/>
        </w:rPr>
        <w:t>7-35</w:t>
      </w:r>
    </w:p>
    <w:p w14:paraId="5C49381F" w14:textId="77777777" w:rsidR="00BD263B" w:rsidRDefault="00BD263B" w:rsidP="00BD263B">
      <w:pPr>
        <w:pStyle w:val="Heading1"/>
        <w:rPr>
          <w:b w:val="0"/>
          <w:bCs w:val="0"/>
          <w:sz w:val="24"/>
          <w:szCs w:val="24"/>
        </w:rPr>
      </w:pPr>
      <w:bookmarkStart w:id="284" w:name="_Hlk81842187"/>
      <w:r>
        <w:rPr>
          <w:rFonts w:ascii="Arial Black" w:hAnsi="Arial Black"/>
          <w:sz w:val="28"/>
          <w:szCs w:val="28"/>
        </w:rPr>
        <w:t xml:space="preserve">NB: FEMALE FF - DENIED “OUTSIDE” INVESTIGATION BY COURT - CAPTAIN NEVER ABANDONED CREW </w:t>
      </w:r>
    </w:p>
    <w:bookmarkEnd w:id="284"/>
    <w:p w14:paraId="7FFAEE1A" w14:textId="77777777" w:rsidR="00BD263B" w:rsidRPr="002F0EFC" w:rsidRDefault="00BD263B" w:rsidP="00BD263B">
      <w:pPr>
        <w:pStyle w:val="Heading1"/>
        <w:rPr>
          <w:b w:val="0"/>
          <w:bCs w:val="0"/>
          <w:sz w:val="24"/>
          <w:szCs w:val="24"/>
        </w:rPr>
      </w:pPr>
      <w:r>
        <w:rPr>
          <w:b w:val="0"/>
          <w:bCs w:val="0"/>
          <w:sz w:val="24"/>
          <w:szCs w:val="24"/>
        </w:rPr>
        <w:t xml:space="preserve">On Aug. 16, 2021, in </w:t>
      </w:r>
      <w:r w:rsidRPr="002F0EFC">
        <w:rPr>
          <w:b w:val="0"/>
          <w:bCs w:val="0"/>
          <w:sz w:val="24"/>
          <w:szCs w:val="24"/>
          <w:u w:val="single"/>
        </w:rPr>
        <w:t>Amanda Benson v. City of Lincoln, Shawn Mahler, et al</w:t>
      </w:r>
      <w:r>
        <w:rPr>
          <w:b w:val="0"/>
          <w:bCs w:val="0"/>
          <w:sz w:val="24"/>
          <w:szCs w:val="24"/>
        </w:rPr>
        <w:t>., Senior District Judge Richard G. Kopf, U.S. District Court for District of Nebraska, who is presiding over plaintiff’s pending lawsuit claiming sexual harassment over the years by Captain Shawn Mahler denied the plaintiff’s request for a preliminary injunction and hearing.  The judge denied her three requests: “(</w:t>
      </w:r>
      <w:r w:rsidRPr="002F0EFC">
        <w:rPr>
          <w:b w:val="0"/>
          <w:bCs w:val="0"/>
          <w:sz w:val="24"/>
          <w:szCs w:val="24"/>
        </w:rPr>
        <w:t xml:space="preserve">1) order the City of Lincoln to immediately initiate disciplinary proceedings against Mahler; </w:t>
      </w:r>
      <w:r>
        <w:rPr>
          <w:b w:val="0"/>
          <w:bCs w:val="0"/>
          <w:sz w:val="24"/>
          <w:szCs w:val="24"/>
        </w:rPr>
        <w:t>(</w:t>
      </w:r>
      <w:r w:rsidRPr="002F0EFC">
        <w:rPr>
          <w:b w:val="0"/>
          <w:bCs w:val="0"/>
          <w:sz w:val="24"/>
          <w:szCs w:val="24"/>
        </w:rPr>
        <w:t xml:space="preserve">2) enjoin Mahler from assignment/dispatch to any fire scene during the pendency of disciplinary proceedings; and </w:t>
      </w:r>
      <w:r>
        <w:rPr>
          <w:b w:val="0"/>
          <w:bCs w:val="0"/>
          <w:sz w:val="24"/>
          <w:szCs w:val="24"/>
        </w:rPr>
        <w:t>(</w:t>
      </w:r>
      <w:r w:rsidRPr="002F0EFC">
        <w:rPr>
          <w:b w:val="0"/>
          <w:bCs w:val="0"/>
          <w:sz w:val="24"/>
          <w:szCs w:val="24"/>
        </w:rPr>
        <w:t>3) appoint an independent, third-party investigator to investigate Plaintiff's complaint about Mahler's actions at the recent warehouse fire."</w:t>
      </w:r>
      <w:r>
        <w:rPr>
          <w:b w:val="0"/>
          <w:bCs w:val="0"/>
          <w:sz w:val="24"/>
          <w:szCs w:val="24"/>
        </w:rPr>
        <w:t xml:space="preserve">  The judge found that no firefighter or officer at that scene of the warehouse fire confirmed her allegation that Captain Mahler had “abandoned” her and no one reported any safety concerns to the Safety Officer.  Federal courts are not “super-personnel departments.” </w:t>
      </w:r>
    </w:p>
    <w:p w14:paraId="588D4A6A" w14:textId="77777777" w:rsidR="00BD263B" w:rsidRDefault="00BD263B" w:rsidP="00BD263B">
      <w:pPr>
        <w:pStyle w:val="Heading1"/>
        <w:ind w:left="720"/>
        <w:rPr>
          <w:b w:val="0"/>
          <w:bCs w:val="0"/>
          <w:sz w:val="24"/>
          <w:szCs w:val="24"/>
        </w:rPr>
      </w:pPr>
      <w:r>
        <w:rPr>
          <w:b w:val="0"/>
          <w:bCs w:val="0"/>
          <w:sz w:val="24"/>
          <w:szCs w:val="24"/>
        </w:rPr>
        <w:t>“</w:t>
      </w:r>
      <w:r w:rsidRPr="00EA597C">
        <w:rPr>
          <w:b w:val="0"/>
          <w:bCs w:val="0"/>
          <w:sz w:val="24"/>
          <w:szCs w:val="24"/>
        </w:rPr>
        <w:t>The relief requested in Plaintiff's Motion is not to remedy discriminatory employment practices, but to impose directives upon LFR regarding whom it should discipline, whom it should send to fire scenes, and whom to investigate—issues in which federal courts should not be involved</w:t>
      </w:r>
      <w:r>
        <w:rPr>
          <w:b w:val="0"/>
          <w:bCs w:val="0"/>
          <w:sz w:val="24"/>
          <w:szCs w:val="24"/>
        </w:rPr>
        <w:t xml:space="preserve">….  </w:t>
      </w:r>
      <w:r w:rsidRPr="002F0EFC">
        <w:rPr>
          <w:b w:val="0"/>
          <w:bCs w:val="0"/>
          <w:i/>
          <w:iCs/>
          <w:sz w:val="24"/>
          <w:szCs w:val="24"/>
        </w:rPr>
        <w:t>See Gardner v. Wal-Mart Stores, Inc.,</w:t>
      </w:r>
      <w:r w:rsidRPr="002F0EFC">
        <w:rPr>
          <w:b w:val="0"/>
          <w:bCs w:val="0"/>
          <w:sz w:val="24"/>
          <w:szCs w:val="24"/>
        </w:rPr>
        <w:t xml:space="preserve"> 2 F.4th 745, 748-49 (8th Cir. 2021) (federal courts are not super-personnel departments who reexamine an employer's business decisions)</w:t>
      </w:r>
      <w:r>
        <w:rPr>
          <w:b w:val="0"/>
          <w:bCs w:val="0"/>
          <w:sz w:val="24"/>
          <w:szCs w:val="24"/>
        </w:rPr>
        <w:t xml:space="preserve">. </w:t>
      </w:r>
    </w:p>
    <w:p w14:paraId="3F6C9ECC" w14:textId="77777777" w:rsidR="00BD263B" w:rsidRDefault="00BD263B" w:rsidP="00BD263B">
      <w:pPr>
        <w:pStyle w:val="Heading1"/>
        <w:ind w:firstLine="720"/>
        <w:rPr>
          <w:b w:val="0"/>
          <w:bCs w:val="0"/>
          <w:sz w:val="24"/>
          <w:szCs w:val="24"/>
        </w:rPr>
      </w:pPr>
      <w:r>
        <w:rPr>
          <w:b w:val="0"/>
          <w:bCs w:val="0"/>
          <w:sz w:val="24"/>
          <w:szCs w:val="24"/>
        </w:rPr>
        <w:t>***</w:t>
      </w:r>
    </w:p>
    <w:p w14:paraId="4514CD3A" w14:textId="77777777" w:rsidR="00BD263B" w:rsidRDefault="00BD263B" w:rsidP="00BD263B">
      <w:pPr>
        <w:pStyle w:val="Heading1"/>
        <w:ind w:left="720"/>
        <w:rPr>
          <w:b w:val="0"/>
          <w:bCs w:val="0"/>
          <w:sz w:val="24"/>
          <w:szCs w:val="24"/>
          <w:vertAlign w:val="superscript"/>
        </w:rPr>
      </w:pPr>
      <w:r w:rsidRPr="002F0EFC">
        <w:rPr>
          <w:b w:val="0"/>
          <w:bCs w:val="0"/>
          <w:sz w:val="24"/>
          <w:szCs w:val="24"/>
        </w:rPr>
        <w:t xml:space="preserve">The evidence shows that, with the exception of Plaintiff, no person on Mahler's and Plaintiff's crew, nor the Incident Commander or the Safety Officer, believed that Mahler was a Ventilation Group Supervisor, that Mahler abandoned Plaintiff and her crew in a dangerous situation, or that Mahler was duty-bound to direct or supervise Plaintiff and her crew. In short, there is no evidence that Plaintiff and Mahler were anything more than peers in the incident at issue. The court declines to grant an injunction against Mahler for failing to direct, supervise, and protect when he was under no duty to do so. The equities of this situation simply do not warrant preliminary injunctive </w:t>
      </w:r>
      <w:proofErr w:type="gramStart"/>
      <w:r w:rsidRPr="002F0EFC">
        <w:rPr>
          <w:b w:val="0"/>
          <w:bCs w:val="0"/>
          <w:sz w:val="24"/>
          <w:szCs w:val="24"/>
        </w:rPr>
        <w:t>relief</w:t>
      </w:r>
      <w:r>
        <w:rPr>
          <w:b w:val="0"/>
          <w:bCs w:val="0"/>
          <w:sz w:val="24"/>
          <w:szCs w:val="24"/>
        </w:rPr>
        <w:t>.”</w:t>
      </w:r>
      <w:proofErr w:type="gramEnd"/>
      <w:r>
        <w:rPr>
          <w:b w:val="0"/>
          <w:bCs w:val="0"/>
          <w:sz w:val="24"/>
          <w:szCs w:val="24"/>
        </w:rPr>
        <w:t xml:space="preserve"> </w:t>
      </w:r>
      <w:hyperlink r:id="rId1371" w:history="1">
        <w:r w:rsidRPr="00EE73D5">
          <w:rPr>
            <w:rStyle w:val="Hyperlink"/>
            <w:sz w:val="24"/>
            <w:szCs w:val="24"/>
          </w:rPr>
          <w:t>https://scholar.google.com/scholar_case?case=18355840808386135290&amp;hl=en&amp;as_sdt=6&amp;as_vis=1&amp;oi=scholarr</w:t>
        </w:r>
      </w:hyperlink>
      <w:r>
        <w:rPr>
          <w:b w:val="0"/>
          <w:bCs w:val="0"/>
          <w:sz w:val="24"/>
          <w:szCs w:val="24"/>
        </w:rPr>
        <w:t xml:space="preserve"> </w:t>
      </w:r>
    </w:p>
    <w:p w14:paraId="311505C4" w14:textId="77777777" w:rsidR="00BD263B" w:rsidRPr="007C2273" w:rsidRDefault="00BD263B" w:rsidP="00BD263B">
      <w:pPr>
        <w:tabs>
          <w:tab w:val="left" w:pos="3090"/>
        </w:tabs>
        <w:spacing w:after="100" w:line="240" w:lineRule="auto"/>
        <w:rPr>
          <w:rFonts w:ascii="Times New Roman" w:eastAsia="Times New Roman" w:hAnsi="Times New Roman"/>
          <w:b/>
          <w:bCs/>
          <w:sz w:val="24"/>
          <w:szCs w:val="24"/>
        </w:rPr>
      </w:pPr>
      <w:r w:rsidRPr="007C2273">
        <w:rPr>
          <w:rFonts w:ascii="Times New Roman" w:hAnsi="Times New Roman"/>
          <w:b/>
          <w:bCs/>
          <w:sz w:val="24"/>
          <w:szCs w:val="24"/>
        </w:rPr>
        <w:t>Legal Lesson Learned</w:t>
      </w:r>
      <w:r>
        <w:rPr>
          <w:rFonts w:ascii="Times New Roman" w:hAnsi="Times New Roman"/>
          <w:b/>
          <w:bCs/>
          <w:sz w:val="24"/>
          <w:szCs w:val="24"/>
        </w:rPr>
        <w:t xml:space="preserve">:  Federal courts will issue injunctions only when there is a threat of “irreparable harm.” </w:t>
      </w:r>
    </w:p>
    <w:p w14:paraId="0E8AF3B8" w14:textId="77777777" w:rsidR="00BD263B" w:rsidRPr="007A4A18" w:rsidRDefault="00BD263B" w:rsidP="00BD263B">
      <w:pPr>
        <w:pStyle w:val="Heading1"/>
        <w:ind w:left="720"/>
        <w:rPr>
          <w:b w:val="0"/>
          <w:bCs w:val="0"/>
          <w:sz w:val="24"/>
          <w:szCs w:val="24"/>
        </w:rPr>
      </w:pPr>
      <w:r w:rsidRPr="007A4A18">
        <w:rPr>
          <w:b w:val="0"/>
          <w:bCs w:val="0"/>
          <w:sz w:val="24"/>
          <w:szCs w:val="24"/>
        </w:rPr>
        <w:t xml:space="preserve">Note: See Aug. 20, </w:t>
      </w:r>
      <w:proofErr w:type="gramStart"/>
      <w:r w:rsidRPr="007A4A18">
        <w:rPr>
          <w:b w:val="0"/>
          <w:bCs w:val="0"/>
          <w:sz w:val="24"/>
          <w:szCs w:val="24"/>
        </w:rPr>
        <w:t>2021</w:t>
      </w:r>
      <w:proofErr w:type="gramEnd"/>
      <w:r w:rsidRPr="007A4A18">
        <w:rPr>
          <w:b w:val="0"/>
          <w:bCs w:val="0"/>
          <w:sz w:val="24"/>
          <w:szCs w:val="24"/>
        </w:rPr>
        <w:t xml:space="preserve"> article:</w:t>
      </w:r>
      <w:r>
        <w:rPr>
          <w:sz w:val="24"/>
          <w:szCs w:val="24"/>
        </w:rPr>
        <w:t xml:space="preserve"> </w:t>
      </w:r>
      <w:r w:rsidRPr="007A4A18">
        <w:rPr>
          <w:b w:val="0"/>
          <w:bCs w:val="0"/>
          <w:sz w:val="24"/>
          <w:szCs w:val="24"/>
        </w:rPr>
        <w:t xml:space="preserve">“Federal judge denies request for injunction, independent review in firefighter's lawsuit.” </w:t>
      </w:r>
      <w:hyperlink r:id="rId1372" w:history="1">
        <w:r w:rsidRPr="00EE73D5">
          <w:rPr>
            <w:rStyle w:val="Hyperlink"/>
            <w:sz w:val="24"/>
            <w:szCs w:val="24"/>
          </w:rPr>
          <w:t>https://journalstar.com/news/local/crime-and-courts/federal-judge-denies-request-for-injunction-independent-review-in-firefights-lawsuit/article_57be96fb-75f1-5b57-90b3-87e7c60cfb50.html</w:t>
        </w:r>
      </w:hyperlink>
      <w:r>
        <w:rPr>
          <w:b w:val="0"/>
          <w:bCs w:val="0"/>
          <w:sz w:val="24"/>
          <w:szCs w:val="24"/>
        </w:rPr>
        <w:t xml:space="preserve"> </w:t>
      </w:r>
    </w:p>
    <w:p w14:paraId="03B48036" w14:textId="77777777" w:rsidR="00BD263B" w:rsidRPr="007A4A18" w:rsidRDefault="00BD263B" w:rsidP="00BD263B">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7A4A18">
        <w:rPr>
          <w:rFonts w:ascii="Times New Roman" w:eastAsia="Times New Roman" w:hAnsi="Times New Roman"/>
          <w:sz w:val="24"/>
          <w:szCs w:val="24"/>
        </w:rPr>
        <w:t>In 2018, Benson sued, alleging that the city turned a blind eye to complaints about a hostile work environment, exonerated employees who contributed to it and failed to take steps to fix it.</w:t>
      </w:r>
      <w:r>
        <w:rPr>
          <w:rFonts w:ascii="Times New Roman" w:eastAsia="Times New Roman" w:hAnsi="Times New Roman"/>
          <w:sz w:val="24"/>
          <w:szCs w:val="24"/>
        </w:rPr>
        <w:t xml:space="preserve"> </w:t>
      </w:r>
      <w:r w:rsidRPr="007A4A18">
        <w:rPr>
          <w:rFonts w:ascii="Times New Roman" w:eastAsia="Times New Roman" w:hAnsi="Times New Roman"/>
          <w:sz w:val="24"/>
          <w:szCs w:val="24"/>
        </w:rPr>
        <w:t>The lawsuit followed two others by then-</w:t>
      </w:r>
      <w:proofErr w:type="spellStart"/>
      <w:r w:rsidRPr="007A4A18">
        <w:rPr>
          <w:rFonts w:ascii="Times New Roman" w:eastAsia="Times New Roman" w:hAnsi="Times New Roman"/>
          <w:sz w:val="24"/>
          <w:szCs w:val="24"/>
        </w:rPr>
        <w:t>Capts</w:t>
      </w:r>
      <w:proofErr w:type="spellEnd"/>
      <w:r w:rsidRPr="007A4A18">
        <w:rPr>
          <w:rFonts w:ascii="Times New Roman" w:eastAsia="Times New Roman" w:hAnsi="Times New Roman"/>
          <w:sz w:val="24"/>
          <w:szCs w:val="24"/>
        </w:rPr>
        <w:t>. Brian Giles and Troy Hurd, alleging they faced retaliation for reporting harassment of female firefighters.</w:t>
      </w:r>
      <w:r>
        <w:rPr>
          <w:rFonts w:ascii="Times New Roman" w:eastAsia="Times New Roman" w:hAnsi="Times New Roman"/>
          <w:sz w:val="24"/>
          <w:szCs w:val="24"/>
        </w:rPr>
        <w:t xml:space="preserve"> </w:t>
      </w:r>
      <w:r w:rsidRPr="007A4A18">
        <w:rPr>
          <w:rFonts w:ascii="Times New Roman" w:eastAsia="Times New Roman" w:hAnsi="Times New Roman"/>
          <w:sz w:val="24"/>
          <w:szCs w:val="24"/>
        </w:rPr>
        <w:t>In 2019, a federal jury awarded Hurd $1.1 million. The judgment later was reduced by a judge, and the city agreed to pay Hurd $600,000 to avoid a second trial.</w:t>
      </w:r>
      <w:r>
        <w:rPr>
          <w:rFonts w:ascii="Times New Roman" w:eastAsia="Times New Roman" w:hAnsi="Times New Roman"/>
          <w:sz w:val="24"/>
          <w:szCs w:val="24"/>
        </w:rPr>
        <w:t>”</w:t>
      </w:r>
    </w:p>
    <w:p w14:paraId="6E35847B" w14:textId="77777777" w:rsidR="00BD263B" w:rsidRDefault="00BD263B" w:rsidP="002B1283">
      <w:pPr>
        <w:rPr>
          <w:rFonts w:ascii="Arial Black" w:hAnsi="Arial Black"/>
          <w:b/>
          <w:sz w:val="24"/>
          <w:szCs w:val="24"/>
        </w:rPr>
      </w:pPr>
    </w:p>
    <w:p w14:paraId="7B4A97E2" w14:textId="77777777" w:rsidR="00BD263B" w:rsidRDefault="00BD263B" w:rsidP="002B1283">
      <w:pPr>
        <w:rPr>
          <w:rFonts w:ascii="Arial Black" w:hAnsi="Arial Black"/>
          <w:b/>
          <w:sz w:val="24"/>
          <w:szCs w:val="24"/>
        </w:rPr>
      </w:pPr>
    </w:p>
    <w:p w14:paraId="2D7B7107" w14:textId="2EA4973C" w:rsidR="00BD263B" w:rsidRDefault="00BD263B" w:rsidP="002B1283">
      <w:pPr>
        <w:rPr>
          <w:rFonts w:ascii="Arial Black" w:hAnsi="Arial Black"/>
          <w:b/>
          <w:sz w:val="24"/>
          <w:szCs w:val="24"/>
        </w:rPr>
      </w:pPr>
      <w:r>
        <w:rPr>
          <w:rFonts w:ascii="Arial Black" w:hAnsi="Arial Black"/>
          <w:b/>
          <w:sz w:val="24"/>
          <w:szCs w:val="24"/>
        </w:rPr>
        <w:t>7-34</w:t>
      </w:r>
    </w:p>
    <w:p w14:paraId="3DBF6150" w14:textId="77777777" w:rsidR="00BD263B" w:rsidRPr="0013564B" w:rsidRDefault="00BD263B" w:rsidP="00BD263B">
      <w:pPr>
        <w:pStyle w:val="NormalWeb"/>
        <w:rPr>
          <w:rFonts w:ascii="Arial Black" w:hAnsi="Arial Black"/>
          <w:sz w:val="28"/>
          <w:szCs w:val="28"/>
        </w:rPr>
      </w:pPr>
      <w:bookmarkStart w:id="285" w:name="_Hlk81842244"/>
      <w:r>
        <w:rPr>
          <w:rFonts w:ascii="Arial Black" w:hAnsi="Arial Black"/>
          <w:sz w:val="28"/>
          <w:szCs w:val="28"/>
        </w:rPr>
        <w:t xml:space="preserve">UT: FEMALE BATTALION CHIEF – DEMOTED, TERMINATED –SEXIST COMMENTS SUPERIORS - LAWSUIT MAY PROCEED </w:t>
      </w:r>
    </w:p>
    <w:bookmarkEnd w:id="285"/>
    <w:p w14:paraId="7205176C" w14:textId="77777777" w:rsidR="00BD263B" w:rsidRDefault="00BD263B" w:rsidP="00BD263B">
      <w:pPr>
        <w:pStyle w:val="NormalWeb"/>
        <w:tabs>
          <w:tab w:val="left" w:pos="6730"/>
        </w:tabs>
      </w:pPr>
      <w:r>
        <w:t xml:space="preserve">On Aug. 10, 2021, in </w:t>
      </w:r>
      <w:r w:rsidRPr="0013564B">
        <w:rPr>
          <w:u w:val="single"/>
        </w:rPr>
        <w:t>Martha Ellis v. Salt Lake City Corp, et al</w:t>
      </w:r>
      <w:r>
        <w:t>., U.S. District Court judge Jill N. Parrish granted plaintiff’s motion to reinstate her Equal Protection claim based on her 2016 demotion from Battalion Chief / Fire Marshal to Captain, and termination on March 17, 2017.  The judge referenced her 22-year career with Salt Lake City Fire Department, the first and only female to hold rank of chief officer, and cited numerous offensive comments, including her immediate Supervisor [Deputy Chief] who allegedly “suggested that Ellis ‘throw tampons’ at her employees if they got ‘whiney’ and referred to other women in the Fire Department as ‘bitches’ and called them ‘bitchy.’”</w:t>
      </w:r>
    </w:p>
    <w:p w14:paraId="48607083" w14:textId="77777777" w:rsidR="00BD263B" w:rsidRDefault="00BD263B" w:rsidP="00BD263B">
      <w:pPr>
        <w:pStyle w:val="NormalWeb"/>
        <w:ind w:left="720"/>
      </w:pPr>
      <w:r>
        <w:t xml:space="preserve">“Here, Ellis has included sufficient factual allegations in her Complaint to state a plausible prima facie case of discriminatory demotion. First, she is a woman and is therefore within a protected group. Second, she alleges that she was adversely affected by the demotion because she lost rank and her pay was reduced. </w:t>
      </w:r>
      <w:r>
        <w:rPr>
          <w:rStyle w:val="Emphasis"/>
        </w:rPr>
        <w:t>See</w:t>
      </w:r>
      <w:r>
        <w:t xml:space="preserve"> ECF No. 54 at ¶131. Third, she alleges that she was qualified for the position from which she was demoted because she had held the position for seven years, had obtained postgraduate education, and had an exemplary employment record, including having won various awards. </w:t>
      </w:r>
      <w:r>
        <w:rPr>
          <w:rStyle w:val="Emphasis"/>
        </w:rPr>
        <w:t>See id.</w:t>
      </w:r>
      <w:r>
        <w:t xml:space="preserve"> </w:t>
      </w:r>
      <w:proofErr w:type="gramStart"/>
      <w:r>
        <w:t>at ¶¶</w:t>
      </w:r>
      <w:proofErr w:type="gramEnd"/>
      <w:r>
        <w:t xml:space="preserve"> 20-26. Finally, it can be reasonably inferred from the Complaint that the </w:t>
      </w:r>
      <w:proofErr w:type="gramStart"/>
      <w:r>
        <w:t>City</w:t>
      </w:r>
      <w:proofErr w:type="gramEnd"/>
      <w:r>
        <w:t xml:space="preserve"> did not eliminate the position after Ellis was demoted from it. This is because Ellis alleges that the city improperly failed to reinstate her to her former position even after the Civil Service Commission overturned her demotion. </w:t>
      </w:r>
      <w:r>
        <w:rPr>
          <w:rStyle w:val="Emphasis"/>
        </w:rPr>
        <w:t>See id.</w:t>
      </w:r>
      <w:r>
        <w:t xml:space="preserve"> at ¶¶ 176-178. Accordingly, the court reinstates Ellis's Section 1983 claim for discriminatory </w:t>
      </w:r>
      <w:proofErr w:type="gramStart"/>
      <w:r>
        <w:t>demotion.”</w:t>
      </w:r>
      <w:proofErr w:type="gramEnd"/>
      <w:r>
        <w:t xml:space="preserve"> </w:t>
      </w:r>
      <w:hyperlink r:id="rId1373" w:history="1">
        <w:r w:rsidRPr="00472D9E">
          <w:rPr>
            <w:rStyle w:val="Hyperlink"/>
          </w:rPr>
          <w:t>https://www.leagle.com/decision/infdco20210812991</w:t>
        </w:r>
      </w:hyperlink>
      <w:r>
        <w:t xml:space="preserve"> </w:t>
      </w:r>
    </w:p>
    <w:p w14:paraId="07A6BCD5" w14:textId="77777777" w:rsidR="00BD263B" w:rsidRPr="008729DF" w:rsidRDefault="00BD263B" w:rsidP="00BD263B">
      <w:pPr>
        <w:pStyle w:val="NormalWeb"/>
        <w:rPr>
          <w:b/>
          <w:bCs/>
        </w:rPr>
      </w:pPr>
      <w:r w:rsidRPr="008729DF">
        <w:rPr>
          <w:b/>
          <w:bCs/>
        </w:rPr>
        <w:t>Legal Lesson Learned:</w:t>
      </w:r>
      <w:r>
        <w:rPr>
          <w:b/>
          <w:bCs/>
        </w:rPr>
        <w:t xml:space="preserve"> Inappropriate, sexist comments can lead to EEOC charges and litigation. </w:t>
      </w:r>
    </w:p>
    <w:p w14:paraId="0DB6ED6F" w14:textId="77777777" w:rsidR="00BD263B" w:rsidRDefault="00BD263B" w:rsidP="002B1283">
      <w:pPr>
        <w:rPr>
          <w:rFonts w:ascii="Arial Black" w:hAnsi="Arial Black"/>
          <w:b/>
          <w:sz w:val="24"/>
          <w:szCs w:val="24"/>
        </w:rPr>
      </w:pPr>
    </w:p>
    <w:p w14:paraId="232280B1" w14:textId="77777777" w:rsidR="00BD263B" w:rsidRDefault="00BD263B" w:rsidP="002B1283">
      <w:pPr>
        <w:rPr>
          <w:rFonts w:ascii="Arial Black" w:hAnsi="Arial Black"/>
          <w:b/>
          <w:sz w:val="24"/>
          <w:szCs w:val="24"/>
        </w:rPr>
      </w:pPr>
    </w:p>
    <w:p w14:paraId="3130A682" w14:textId="73ABDBF7" w:rsidR="005217D5" w:rsidRDefault="005217D5" w:rsidP="002B1283">
      <w:pPr>
        <w:rPr>
          <w:rFonts w:ascii="Arial Black" w:hAnsi="Arial Black"/>
          <w:b/>
          <w:sz w:val="24"/>
          <w:szCs w:val="24"/>
        </w:rPr>
      </w:pPr>
      <w:r>
        <w:rPr>
          <w:rFonts w:ascii="Arial Black" w:hAnsi="Arial Black"/>
          <w:b/>
          <w:sz w:val="24"/>
          <w:szCs w:val="24"/>
        </w:rPr>
        <w:t>7-33</w:t>
      </w:r>
    </w:p>
    <w:p w14:paraId="112BE40C" w14:textId="77777777" w:rsidR="005217D5" w:rsidRPr="00827F2A" w:rsidRDefault="005217D5" w:rsidP="005217D5">
      <w:pPr>
        <w:rPr>
          <w:rStyle w:val="markedcontent"/>
          <w:rFonts w:ascii="Arial Black" w:hAnsi="Arial Black"/>
          <w:sz w:val="28"/>
          <w:szCs w:val="28"/>
        </w:rPr>
      </w:pPr>
      <w:r w:rsidRPr="00827F2A">
        <w:rPr>
          <w:rStyle w:val="markedcontent"/>
          <w:rFonts w:ascii="Arial Black" w:hAnsi="Arial Black"/>
          <w:sz w:val="28"/>
          <w:szCs w:val="28"/>
        </w:rPr>
        <w:t>MA:</w:t>
      </w:r>
      <w:r>
        <w:rPr>
          <w:rStyle w:val="markedcontent"/>
          <w:rFonts w:ascii="Arial Black" w:hAnsi="Arial Black"/>
          <w:sz w:val="28"/>
          <w:szCs w:val="28"/>
        </w:rPr>
        <w:t xml:space="preserve">  STATE CIVIL SERVICE COMMISSION ORDERS 3 FF REHIRED – FIRE CHIEF TO BE DISCIPLINED 2016 INCIDENT</w:t>
      </w:r>
    </w:p>
    <w:p w14:paraId="5BD85CAD" w14:textId="77777777" w:rsidR="005217D5" w:rsidRDefault="005217D5" w:rsidP="005217D5">
      <w:pPr>
        <w:rPr>
          <w:rStyle w:val="markedcontent"/>
          <w:rFonts w:ascii="Times New Roman" w:hAnsi="Times New Roman"/>
          <w:sz w:val="24"/>
          <w:szCs w:val="24"/>
        </w:rPr>
      </w:pPr>
      <w:r>
        <w:rPr>
          <w:rStyle w:val="markedcontent"/>
          <w:rFonts w:ascii="Times New Roman" w:hAnsi="Times New Roman"/>
          <w:sz w:val="24"/>
          <w:szCs w:val="24"/>
        </w:rPr>
        <w:t xml:space="preserve">On May 21, 2021, in </w:t>
      </w:r>
      <w:r w:rsidRPr="00827F2A">
        <w:rPr>
          <w:rStyle w:val="markedcontent"/>
          <w:rFonts w:ascii="Times New Roman" w:hAnsi="Times New Roman"/>
          <w:sz w:val="24"/>
          <w:szCs w:val="24"/>
          <w:u w:val="single"/>
        </w:rPr>
        <w:t>Kyle Miltimore, Rebecca Boutin, David Kennedy v. Westfield Fire Commission,</w:t>
      </w:r>
      <w:r>
        <w:rPr>
          <w:rStyle w:val="markedcontent"/>
          <w:rFonts w:ascii="Times New Roman" w:hAnsi="Times New Roman"/>
          <w:sz w:val="24"/>
          <w:szCs w:val="24"/>
        </w:rPr>
        <w:t xml:space="preserve"> the state Civil Service Commission held (5 to 0) that “</w:t>
      </w:r>
      <w:r w:rsidRPr="00827F2A">
        <w:rPr>
          <w:rStyle w:val="markedcontent"/>
          <w:rFonts w:ascii="Times New Roman" w:hAnsi="Times New Roman"/>
          <w:sz w:val="24"/>
          <w:szCs w:val="24"/>
        </w:rPr>
        <w:t>Westfield Fire Commission has not shown, by a preponderance of the evidence, that there was just cause for terminating the Appellants from their employment</w:t>
      </w:r>
      <w:r>
        <w:rPr>
          <w:rStyle w:val="markedcontent"/>
          <w:rFonts w:ascii="Times New Roman" w:hAnsi="Times New Roman"/>
          <w:sz w:val="24"/>
          <w:szCs w:val="24"/>
        </w:rPr>
        <w:t xml:space="preserve">.”  The two male firefighters and female Captain Rebecca Boutin were terminated in December 2019 upon recommendation of outside lawyer hired by the City. Female Captain to serve 30-day suspension, however, for incorrectly telling others that the then-Deputy Chief (now Fire Chief) was going to be arrested for rape.  All to be put back on </w:t>
      </w:r>
      <w:proofErr w:type="gramStart"/>
      <w:r>
        <w:rPr>
          <w:rStyle w:val="markedcontent"/>
          <w:rFonts w:ascii="Times New Roman" w:hAnsi="Times New Roman"/>
          <w:sz w:val="24"/>
          <w:szCs w:val="24"/>
        </w:rPr>
        <w:t>payroll, but</w:t>
      </w:r>
      <w:proofErr w:type="gramEnd"/>
      <w:r>
        <w:rPr>
          <w:rStyle w:val="markedcontent"/>
          <w:rFonts w:ascii="Times New Roman" w:hAnsi="Times New Roman"/>
          <w:sz w:val="24"/>
          <w:szCs w:val="24"/>
        </w:rPr>
        <w:t xml:space="preserve"> not return to work until Fire Chief is disciplined for admittedly grouping a female nurse off duty after a 2016 St. Patrick’s Day parade and the Commission’s other requirements for a “safe work environment” are in place. </w:t>
      </w:r>
    </w:p>
    <w:p w14:paraId="16683B28" w14:textId="77777777" w:rsidR="005217D5"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r w:rsidRPr="00E004CD">
        <w:rPr>
          <w:rStyle w:val="markedcontent"/>
          <w:rFonts w:ascii="Times New Roman" w:hAnsi="Times New Roman"/>
          <w:sz w:val="24"/>
          <w:szCs w:val="24"/>
        </w:rPr>
        <w:t xml:space="preserve">McDonald’s </w:t>
      </w:r>
      <w:r>
        <w:rPr>
          <w:rStyle w:val="markedcontent"/>
          <w:rFonts w:ascii="Times New Roman" w:hAnsi="Times New Roman"/>
          <w:sz w:val="24"/>
          <w:szCs w:val="24"/>
        </w:rPr>
        <w:t xml:space="preserve">[Investigating attorney Dawn McDonald, Esq.] </w:t>
      </w:r>
      <w:r w:rsidRPr="00E004CD">
        <w:rPr>
          <w:rStyle w:val="markedcontent"/>
          <w:rFonts w:ascii="Times New Roman" w:hAnsi="Times New Roman"/>
          <w:sz w:val="24"/>
          <w:szCs w:val="24"/>
        </w:rPr>
        <w:t>conclusion that the Appellants damaged the morale of the Westfield Fire Department is without merit and can be addressed summarily. As discussed in more detail below regarding disparate treatment, any purported poor morale in the Department cannot be traced back exclusively to the Appellants, but, rather, was attributable to many factors, including, in substantial part, the conduct of the individual who the Westfield Fire Commission has now chosen to lead the Department – Patrick Egloff.</w:t>
      </w:r>
    </w:p>
    <w:p w14:paraId="37B22CFF" w14:textId="77777777" w:rsidR="005217D5"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p>
    <w:p w14:paraId="497506B5" w14:textId="77777777" w:rsidR="005217D5" w:rsidRPr="005309C0" w:rsidRDefault="005217D5" w:rsidP="005217D5">
      <w:pPr>
        <w:ind w:left="720"/>
        <w:rPr>
          <w:rStyle w:val="markedcontent"/>
          <w:rFonts w:ascii="Times New Roman" w:hAnsi="Times New Roman"/>
          <w:sz w:val="24"/>
          <w:szCs w:val="24"/>
        </w:rPr>
      </w:pPr>
      <w:r w:rsidRPr="005309C0">
        <w:rPr>
          <w:rStyle w:val="markedcontent"/>
          <w:rFonts w:ascii="Times New Roman" w:hAnsi="Times New Roman"/>
          <w:sz w:val="24"/>
          <w:szCs w:val="24"/>
        </w:rPr>
        <w:t>McDonald reports that Egloff admitted to the assault on Ms. N (</w:t>
      </w:r>
      <w:r>
        <w:rPr>
          <w:rStyle w:val="markedcontent"/>
          <w:rFonts w:ascii="Times New Roman" w:hAnsi="Times New Roman"/>
          <w:sz w:val="24"/>
          <w:szCs w:val="24"/>
        </w:rPr>
        <w:t>‘</w:t>
      </w:r>
      <w:r w:rsidRPr="005309C0">
        <w:rPr>
          <w:rStyle w:val="markedcontent"/>
          <w:rFonts w:ascii="Times New Roman" w:hAnsi="Times New Roman"/>
          <w:sz w:val="24"/>
          <w:szCs w:val="24"/>
        </w:rPr>
        <w:t>grabbed her by the vagina</w:t>
      </w:r>
      <w:r>
        <w:rPr>
          <w:rStyle w:val="markedcontent"/>
          <w:rFonts w:ascii="Times New Roman" w:hAnsi="Times New Roman"/>
          <w:sz w:val="24"/>
          <w:szCs w:val="24"/>
        </w:rPr>
        <w:t>’</w:t>
      </w:r>
      <w:r w:rsidRPr="005309C0">
        <w:rPr>
          <w:rStyle w:val="markedcontent"/>
          <w:rFonts w:ascii="Times New Roman" w:hAnsi="Times New Roman"/>
          <w:sz w:val="24"/>
          <w:szCs w:val="24"/>
        </w:rPr>
        <w:t xml:space="preserve">). Specifically, McDonald’s report states: </w:t>
      </w:r>
      <w:r w:rsidRPr="005309C0">
        <w:rPr>
          <w:rFonts w:ascii="Times New Roman" w:hAnsi="Times New Roman"/>
          <w:sz w:val="24"/>
          <w:szCs w:val="24"/>
        </w:rPr>
        <w:br/>
      </w:r>
      <w:r w:rsidRPr="005309C0">
        <w:rPr>
          <w:rFonts w:ascii="Times New Roman" w:hAnsi="Times New Roman"/>
          <w:sz w:val="24"/>
          <w:szCs w:val="24"/>
        </w:rPr>
        <w:br/>
      </w:r>
      <w:r w:rsidRPr="005309C0">
        <w:rPr>
          <w:rStyle w:val="markedcontent"/>
          <w:rFonts w:ascii="Times New Roman" w:hAnsi="Times New Roman"/>
          <w:sz w:val="24"/>
          <w:szCs w:val="24"/>
        </w:rPr>
        <w:t>“At some point during the day</w:t>
      </w:r>
      <w:r>
        <w:rPr>
          <w:rStyle w:val="markedcontent"/>
          <w:rFonts w:ascii="Times New Roman" w:hAnsi="Times New Roman"/>
          <w:sz w:val="24"/>
          <w:szCs w:val="24"/>
        </w:rPr>
        <w:t xml:space="preserve"> [out drinking after </w:t>
      </w:r>
      <w:r w:rsidRPr="006A5F67">
        <w:rPr>
          <w:rStyle w:val="markedcontent"/>
          <w:rFonts w:ascii="Times New Roman" w:hAnsi="Times New Roman"/>
          <w:sz w:val="24"/>
          <w:szCs w:val="24"/>
        </w:rPr>
        <w:t>2016 St. Patrick’s Day Parade</w:t>
      </w:r>
      <w:r>
        <w:rPr>
          <w:rStyle w:val="markedcontent"/>
          <w:rFonts w:ascii="Times New Roman" w:hAnsi="Times New Roman"/>
          <w:sz w:val="24"/>
          <w:szCs w:val="24"/>
        </w:rPr>
        <w:t>]</w:t>
      </w:r>
      <w:r w:rsidRPr="005309C0">
        <w:rPr>
          <w:rStyle w:val="markedcontent"/>
          <w:rFonts w:ascii="Times New Roman" w:hAnsi="Times New Roman"/>
          <w:sz w:val="24"/>
          <w:szCs w:val="24"/>
        </w:rPr>
        <w:t xml:space="preserve"> Deputy Egloff went up to [Ms. N] and grabbed her by the vagina. [Ms. N] immediately shoved him off and yelled at him, words to the effect that if he ever laid hands on her again, she would knock him out. He apologized, [Ms. N] accepted his </w:t>
      </w:r>
      <w:proofErr w:type="gramStart"/>
      <w:r w:rsidRPr="005309C0">
        <w:rPr>
          <w:rStyle w:val="markedcontent"/>
          <w:rFonts w:ascii="Times New Roman" w:hAnsi="Times New Roman"/>
          <w:sz w:val="24"/>
          <w:szCs w:val="24"/>
        </w:rPr>
        <w:t>apology</w:t>
      </w:r>
      <w:proofErr w:type="gramEnd"/>
      <w:r w:rsidRPr="005309C0">
        <w:rPr>
          <w:rStyle w:val="markedcontent"/>
          <w:rFonts w:ascii="Times New Roman" w:hAnsi="Times New Roman"/>
          <w:sz w:val="24"/>
          <w:szCs w:val="24"/>
        </w:rPr>
        <w:t xml:space="preserve"> and everyone continued with the festivities and </w:t>
      </w:r>
      <w:proofErr w:type="gramStart"/>
      <w:r w:rsidRPr="005309C0">
        <w:rPr>
          <w:rStyle w:val="markedcontent"/>
          <w:rFonts w:ascii="Times New Roman" w:hAnsi="Times New Roman"/>
          <w:sz w:val="24"/>
          <w:szCs w:val="24"/>
        </w:rPr>
        <w:t>having</w:t>
      </w:r>
      <w:proofErr w:type="gramEnd"/>
      <w:r w:rsidRPr="005309C0">
        <w:rPr>
          <w:rStyle w:val="markedcontent"/>
          <w:rFonts w:ascii="Times New Roman" w:hAnsi="Times New Roman"/>
          <w:sz w:val="24"/>
          <w:szCs w:val="24"/>
        </w:rPr>
        <w:t xml:space="preserve"> a good time. Egloff admits to this incident and further states that a few days later he again called [Ms. N] to profusely apologize for his conduct. He is embarrassed, ashamed and full of remorse at his behavior. [Ms. N] verifies this account and states that as far as she was concerned, it was one drunken incident, it was dealt with and over that day, and there was nothing further to apologize for.” </w:t>
      </w:r>
      <w:r>
        <w:rPr>
          <w:rStyle w:val="markedcontent"/>
          <w:rFonts w:ascii="Times New Roman" w:hAnsi="Times New Roman"/>
          <w:sz w:val="24"/>
          <w:szCs w:val="24"/>
        </w:rPr>
        <w:t>[See page 30 of the opinion.]</w:t>
      </w:r>
    </w:p>
    <w:p w14:paraId="298F1FF4" w14:textId="77777777" w:rsidR="005217D5" w:rsidRPr="00E004CD" w:rsidRDefault="005217D5" w:rsidP="005217D5">
      <w:pPr>
        <w:ind w:left="720"/>
        <w:rPr>
          <w:rStyle w:val="markedcontent"/>
          <w:rFonts w:ascii="Times New Roman" w:hAnsi="Times New Roman"/>
          <w:sz w:val="24"/>
          <w:szCs w:val="24"/>
        </w:rPr>
      </w:pPr>
      <w:hyperlink r:id="rId1374" w:history="1">
        <w:r w:rsidRPr="004A379F">
          <w:rPr>
            <w:rStyle w:val="Hyperlink"/>
            <w:sz w:val="24"/>
            <w:szCs w:val="24"/>
          </w:rPr>
          <w:t>https://www.mass.gov/doc/miltimore-boutin-and-kennedy-v-westfield-fire-commission-52121/download</w:t>
        </w:r>
      </w:hyperlink>
      <w:r>
        <w:rPr>
          <w:rStyle w:val="markedcontent"/>
          <w:rFonts w:ascii="Times New Roman" w:hAnsi="Times New Roman"/>
          <w:sz w:val="24"/>
          <w:szCs w:val="24"/>
        </w:rPr>
        <w:t xml:space="preserve"> </w:t>
      </w:r>
    </w:p>
    <w:p w14:paraId="23C0B740" w14:textId="77777777" w:rsidR="005217D5" w:rsidRPr="00474F9A" w:rsidRDefault="005217D5" w:rsidP="005217D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w:t>
      </w:r>
      <w:r w:rsidRPr="00474F9A">
        <w:rPr>
          <w:rFonts w:ascii="Times New Roman" w:hAnsi="Times New Roman"/>
          <w:b/>
          <w:bCs/>
          <w:sz w:val="24"/>
          <w:szCs w:val="24"/>
        </w:rPr>
        <w:t xml:space="preserve">egal Lesson Learned: </w:t>
      </w:r>
      <w:r>
        <w:rPr>
          <w:rFonts w:ascii="Times New Roman" w:hAnsi="Times New Roman"/>
          <w:b/>
          <w:bCs/>
          <w:sz w:val="24"/>
          <w:szCs w:val="24"/>
        </w:rPr>
        <w:t>Admitted s</w:t>
      </w:r>
      <w:r w:rsidRPr="00474F9A">
        <w:rPr>
          <w:rFonts w:ascii="Times New Roman" w:hAnsi="Times New Roman"/>
          <w:b/>
          <w:bCs/>
          <w:sz w:val="24"/>
          <w:szCs w:val="24"/>
        </w:rPr>
        <w:t xml:space="preserve">exual misconduct by </w:t>
      </w:r>
      <w:r>
        <w:rPr>
          <w:rFonts w:ascii="Times New Roman" w:hAnsi="Times New Roman"/>
          <w:b/>
          <w:bCs/>
          <w:sz w:val="24"/>
          <w:szCs w:val="24"/>
        </w:rPr>
        <w:t>a senior fire officer is particularly shocking, and discipline must now be imposed.</w:t>
      </w:r>
    </w:p>
    <w:p w14:paraId="3342DCBB" w14:textId="77777777" w:rsidR="005217D5" w:rsidRPr="00474F9A" w:rsidRDefault="005217D5" w:rsidP="005217D5">
      <w:pPr>
        <w:pStyle w:val="NormalWeb"/>
        <w:ind w:left="720"/>
      </w:pPr>
      <w:r w:rsidRPr="00474F9A">
        <w:t xml:space="preserve">Note: See May 24, </w:t>
      </w:r>
      <w:proofErr w:type="gramStart"/>
      <w:r w:rsidRPr="00474F9A">
        <w:t>2021</w:t>
      </w:r>
      <w:proofErr w:type="gramEnd"/>
      <w:r w:rsidRPr="00474F9A">
        <w:t xml:space="preserve"> article, “Termination of 3 Westfield firefighters vacated, commission orders investigation of chief.” </w:t>
      </w:r>
    </w:p>
    <w:p w14:paraId="59684BAC" w14:textId="271ABA8A" w:rsidR="005217D5" w:rsidRPr="005217D5" w:rsidRDefault="005217D5" w:rsidP="005217D5">
      <w:pPr>
        <w:ind w:left="720"/>
        <w:rPr>
          <w:rFonts w:ascii="Times New Roman" w:hAnsi="Times New Roman"/>
          <w:b/>
          <w:sz w:val="24"/>
          <w:szCs w:val="24"/>
        </w:rPr>
      </w:pPr>
      <w:r w:rsidRPr="005217D5">
        <w:rPr>
          <w:rFonts w:ascii="Times New Roman" w:hAnsi="Times New Roman"/>
          <w:sz w:val="24"/>
          <w:szCs w:val="24"/>
        </w:rPr>
        <w:lastRenderedPageBreak/>
        <w:t xml:space="preserve">“The three firefighters were fired back in December 2019 by the Westfield Fire Commission, following an independent report conducted by Attorney Dawn McDonald into the sexual harassment allegations. McDonald’s report also recommended that Egloff should not be promoted to the chief for other reasons.” </w:t>
      </w:r>
      <w:hyperlink r:id="rId1375" w:history="1">
        <w:r w:rsidRPr="005217D5">
          <w:rPr>
            <w:rStyle w:val="Hyperlink"/>
            <w:rFonts w:ascii="Times New Roman" w:hAnsi="Times New Roman"/>
            <w:sz w:val="24"/>
            <w:szCs w:val="24"/>
          </w:rPr>
          <w:t>https://www.wwlp.com/news/local-news/hampden-county/termination-of-3-westfield-firefighters-vacated-commission-orders-investigation-of-chief/</w:t>
        </w:r>
      </w:hyperlink>
    </w:p>
    <w:p w14:paraId="23583571" w14:textId="77777777" w:rsidR="005217D5" w:rsidRDefault="005217D5" w:rsidP="002B1283">
      <w:pPr>
        <w:rPr>
          <w:rFonts w:ascii="Arial Black" w:hAnsi="Arial Black"/>
          <w:b/>
          <w:sz w:val="24"/>
          <w:szCs w:val="24"/>
        </w:rPr>
      </w:pPr>
    </w:p>
    <w:p w14:paraId="45A9BFD6" w14:textId="77777777" w:rsidR="005217D5" w:rsidRDefault="005217D5" w:rsidP="002B1283">
      <w:pPr>
        <w:rPr>
          <w:rFonts w:ascii="Arial Black" w:hAnsi="Arial Black"/>
          <w:b/>
          <w:sz w:val="24"/>
          <w:szCs w:val="24"/>
        </w:rPr>
      </w:pPr>
    </w:p>
    <w:p w14:paraId="2778C74D" w14:textId="0A06E5C7" w:rsidR="00B03268" w:rsidRDefault="00B03268" w:rsidP="002B1283">
      <w:pPr>
        <w:rPr>
          <w:rFonts w:ascii="Arial Black" w:hAnsi="Arial Black"/>
          <w:b/>
          <w:sz w:val="24"/>
          <w:szCs w:val="24"/>
        </w:rPr>
      </w:pPr>
      <w:r>
        <w:rPr>
          <w:rFonts w:ascii="Arial Black" w:hAnsi="Arial Black"/>
          <w:b/>
          <w:sz w:val="24"/>
          <w:szCs w:val="24"/>
        </w:rPr>
        <w:t>7-32</w:t>
      </w:r>
    </w:p>
    <w:p w14:paraId="0879EBB3" w14:textId="77777777" w:rsidR="00B03268" w:rsidRDefault="00B03268" w:rsidP="00B03268">
      <w:pPr>
        <w:pStyle w:val="NoSpacing"/>
        <w:rPr>
          <w:rFonts w:ascii="Arial Black" w:hAnsi="Arial Black"/>
          <w:sz w:val="28"/>
          <w:szCs w:val="28"/>
        </w:rPr>
      </w:pPr>
      <w:r>
        <w:rPr>
          <w:rFonts w:ascii="Arial Black" w:hAnsi="Arial Black"/>
          <w:sz w:val="28"/>
          <w:szCs w:val="28"/>
        </w:rPr>
        <w:t>PA: FEMALE FF TERMINATED BY VOLUNTEER FD – FED. CASE DISMISSED – VOL. FD NOT SEC. 1983 “STATE ACTOR”</w:t>
      </w:r>
    </w:p>
    <w:p w14:paraId="4853E4E7" w14:textId="77777777" w:rsidR="00B03268" w:rsidRDefault="00B03268" w:rsidP="00B03268">
      <w:pPr>
        <w:pStyle w:val="NoSpacing"/>
        <w:rPr>
          <w:rFonts w:ascii="Arial Black" w:hAnsi="Arial Black"/>
          <w:sz w:val="28"/>
          <w:szCs w:val="28"/>
        </w:rPr>
      </w:pPr>
    </w:p>
    <w:p w14:paraId="55815892" w14:textId="77777777" w:rsidR="00B03268" w:rsidRDefault="00B03268" w:rsidP="00B03268">
      <w:pPr>
        <w:pStyle w:val="NoSpacing"/>
        <w:rPr>
          <w:rFonts w:ascii="Times New Roman" w:hAnsi="Times New Roman"/>
          <w:sz w:val="24"/>
          <w:szCs w:val="24"/>
        </w:rPr>
      </w:pPr>
      <w:r>
        <w:rPr>
          <w:rFonts w:ascii="Times New Roman" w:hAnsi="Times New Roman"/>
          <w:sz w:val="24"/>
          <w:szCs w:val="24"/>
        </w:rPr>
        <w:t xml:space="preserve">On May 18, 2021, in </w:t>
      </w:r>
      <w:r w:rsidRPr="00151CAC">
        <w:rPr>
          <w:rFonts w:ascii="Times New Roman" w:hAnsi="Times New Roman"/>
          <w:sz w:val="24"/>
          <w:szCs w:val="24"/>
          <w:u w:val="single"/>
        </w:rPr>
        <w:t>Annie M. Papa v. Neshannock VFD, et al</w:t>
      </w:r>
      <w:r>
        <w:rPr>
          <w:rFonts w:ascii="Times New Roman" w:hAnsi="Times New Roman"/>
          <w:sz w:val="24"/>
          <w:szCs w:val="24"/>
        </w:rPr>
        <w:t xml:space="preserve">., U.S. Senior District Court Judge </w:t>
      </w:r>
    </w:p>
    <w:p w14:paraId="5E2FAD08" w14:textId="77777777" w:rsidR="00B03268" w:rsidRDefault="00B03268" w:rsidP="00B03268">
      <w:pPr>
        <w:pStyle w:val="NoSpacing"/>
        <w:rPr>
          <w:rFonts w:ascii="Times New Roman" w:hAnsi="Times New Roman"/>
          <w:sz w:val="24"/>
          <w:szCs w:val="24"/>
        </w:rPr>
      </w:pPr>
      <w:r w:rsidRPr="00151CAC">
        <w:rPr>
          <w:rFonts w:ascii="Times New Roman" w:hAnsi="Times New Roman"/>
          <w:sz w:val="24"/>
          <w:szCs w:val="24"/>
        </w:rPr>
        <w:t>Joy Flowers Conti</w:t>
      </w:r>
      <w:r>
        <w:rPr>
          <w:rFonts w:ascii="Times New Roman" w:hAnsi="Times New Roman"/>
          <w:sz w:val="24"/>
          <w:szCs w:val="24"/>
        </w:rPr>
        <w:t xml:space="preserve">, U.S. District Court for Western District of Pennsylvania, granted the Volunteer Fire Department’s motion to dismiss the federal lawsuit, since this is a private fire company and not involved in “state action” when terminating a volunteer firefighter; her claims are remanded to state court. </w:t>
      </w:r>
    </w:p>
    <w:p w14:paraId="73D333DF" w14:textId="660DFD7F" w:rsidR="00B03268" w:rsidRDefault="00B03268" w:rsidP="00B03268">
      <w:pPr>
        <w:rPr>
          <w:rFonts w:ascii="Arial Black" w:hAnsi="Arial Black"/>
          <w:b/>
          <w:sz w:val="24"/>
          <w:szCs w:val="24"/>
        </w:rPr>
      </w:pPr>
      <w:r>
        <w:t>“</w:t>
      </w:r>
      <w:r w:rsidRPr="00151CAC">
        <w:t xml:space="preserve">In this case, Papa failed to allege any plausible basis for </w:t>
      </w:r>
      <w:r>
        <w:t>‘</w:t>
      </w:r>
      <w:r w:rsidRPr="00151CAC">
        <w:t>state action</w:t>
      </w:r>
      <w:r>
        <w:t>’</w:t>
      </w:r>
      <w:r w:rsidRPr="00151CAC">
        <w:t xml:space="preserve"> with respect to the conduct at issue in the amended complaint. The actions of which she complains occurred within the scope of her membership obligations in the Neshannock VFD. The crux of her § 1983 claims is that </w:t>
      </w:r>
      <w:proofErr w:type="gramStart"/>
      <w:r w:rsidRPr="00151CAC">
        <w:t>the Neshannock</w:t>
      </w:r>
      <w:proofErr w:type="gramEnd"/>
      <w:r w:rsidRPr="00151CAC">
        <w:t xml:space="preserve"> VFD's internal disciplinary procedures were improper. As the Supreme Court made clear in </w:t>
      </w:r>
      <w:r w:rsidRPr="00151CAC">
        <w:rPr>
          <w:i/>
          <w:iCs/>
        </w:rPr>
        <w:t>Rendell-Baker</w:t>
      </w:r>
      <w:r w:rsidRPr="00151CAC">
        <w:t>, internal disciplinary decisions of a private volunteer organization do not become state action -- even if the organization itself is heavily involved in a state function.</w:t>
      </w:r>
      <w:r>
        <w:t xml:space="preserve"> </w:t>
      </w:r>
      <w:r w:rsidRPr="00151CAC">
        <w:t>The court concludes that the § 1983 claims are subject to dismissal at this stage of the case.</w:t>
      </w:r>
      <w:r>
        <w:t xml:space="preserve">” </w:t>
      </w:r>
      <w:hyperlink r:id="rId1376" w:history="1">
        <w:r w:rsidRPr="007344F4">
          <w:rPr>
            <w:rStyle w:val="Hyperlink"/>
          </w:rPr>
          <w:t>https://public.fastcase.com/9SKwsfNqTc6OieYDhNMyMx8HeCj7%2FDJBNdWBqE3NyzJHPN6vSl1mv%2F8RhqlJqRKR</w:t>
        </w:r>
      </w:hyperlink>
    </w:p>
    <w:p w14:paraId="41D98BB6" w14:textId="77777777" w:rsidR="00B03268" w:rsidRPr="00C35A71" w:rsidRDefault="00B03268" w:rsidP="00B03268">
      <w:pPr>
        <w:pStyle w:val="NormalWeb"/>
        <w:rPr>
          <w:b/>
          <w:bCs/>
        </w:rPr>
      </w:pPr>
      <w:r w:rsidRPr="00C35A71">
        <w:rPr>
          <w:b/>
          <w:bCs/>
        </w:rPr>
        <w:t>Legal Lesson Learned:</w:t>
      </w:r>
      <w:r>
        <w:rPr>
          <w:b/>
          <w:bCs/>
        </w:rPr>
        <w:t xml:space="preserve"> Vol. fire departments are not generally considered “state actors” under 42 U.S.C. 1983 in federal lawsuits; they may be sued in State courts.</w:t>
      </w:r>
    </w:p>
    <w:p w14:paraId="32EC5993" w14:textId="77777777" w:rsidR="00B03268" w:rsidRDefault="00B03268" w:rsidP="002B1283">
      <w:pPr>
        <w:rPr>
          <w:rFonts w:ascii="Arial Black" w:hAnsi="Arial Black"/>
          <w:b/>
          <w:sz w:val="24"/>
          <w:szCs w:val="24"/>
        </w:rPr>
      </w:pPr>
    </w:p>
    <w:p w14:paraId="0021CBBB" w14:textId="77777777" w:rsidR="00B03268" w:rsidRDefault="00B03268" w:rsidP="002B1283">
      <w:pPr>
        <w:rPr>
          <w:rFonts w:ascii="Arial Black" w:hAnsi="Arial Black"/>
          <w:b/>
          <w:sz w:val="24"/>
          <w:szCs w:val="24"/>
        </w:rPr>
      </w:pPr>
    </w:p>
    <w:p w14:paraId="5C1BD0E8" w14:textId="3035198C" w:rsidR="00274525" w:rsidRDefault="00274525" w:rsidP="002B1283">
      <w:pPr>
        <w:rPr>
          <w:rFonts w:ascii="Arial Black" w:hAnsi="Arial Black"/>
          <w:b/>
          <w:sz w:val="24"/>
          <w:szCs w:val="24"/>
        </w:rPr>
      </w:pPr>
      <w:r>
        <w:rPr>
          <w:rFonts w:ascii="Arial Black" w:hAnsi="Arial Black"/>
          <w:b/>
          <w:sz w:val="24"/>
          <w:szCs w:val="24"/>
        </w:rPr>
        <w:t>7-31</w:t>
      </w:r>
    </w:p>
    <w:p w14:paraId="73A4A721" w14:textId="77777777" w:rsidR="00274525" w:rsidRPr="00421215" w:rsidRDefault="00274525" w:rsidP="00274525">
      <w:pPr>
        <w:pStyle w:val="NormalWeb"/>
        <w:rPr>
          <w:rFonts w:ascii="Arial Black" w:hAnsi="Arial Black"/>
          <w:sz w:val="28"/>
          <w:szCs w:val="28"/>
        </w:rPr>
      </w:pPr>
      <w:bookmarkStart w:id="286" w:name="_Hlk68351408"/>
      <w:r>
        <w:rPr>
          <w:rFonts w:ascii="Arial Black" w:hAnsi="Arial Black"/>
          <w:sz w:val="28"/>
          <w:szCs w:val="28"/>
        </w:rPr>
        <w:t>NJ: FEMALE FF ALLEGED ACADEMY INSTRUCTOR “RAPED AND TORTURED” HER – ACADEMY DISMISSED FROM CASE</w:t>
      </w:r>
    </w:p>
    <w:p w14:paraId="0EAC7F99" w14:textId="77777777" w:rsidR="00274525" w:rsidRDefault="00274525" w:rsidP="00274525">
      <w:pPr>
        <w:pStyle w:val="NormalWeb"/>
      </w:pPr>
      <w:r>
        <w:t xml:space="preserve">On March 26, 2021, in </w:t>
      </w:r>
      <w:r w:rsidRPr="00045581">
        <w:rPr>
          <w:u w:val="single"/>
        </w:rPr>
        <w:t>A.S. v. Ocean County Fire Academy, et al</w:t>
      </w:r>
      <w:r>
        <w:t xml:space="preserve">., U.S. District Court Judge Michael A. Shipp, U.S. District Court of New Jersey (decision Not </w:t>
      </w:r>
      <w:proofErr w:type="gramStart"/>
      <w:r>
        <w:t>For</w:t>
      </w:r>
      <w:proofErr w:type="gramEnd"/>
      <w:r>
        <w:t xml:space="preserve"> Publication) granted the Fire Academy’s motion to </w:t>
      </w:r>
      <w:proofErr w:type="gramStart"/>
      <w:r>
        <w:t>dismiss, and</w:t>
      </w:r>
      <w:proofErr w:type="gramEnd"/>
      <w:r>
        <w:t xml:space="preserve"> declined to keep jurisdiction over state law claims (lawsuit against Instructor can proceed in state court). Plaintiff completed her required hours at the Training Center in April 2018 and became an active firefighter with the Seaside Heights Fire Department. According to the Plaintiff, she and the </w:t>
      </w:r>
      <w:proofErr w:type="gramStart"/>
      <w:r>
        <w:t>Instructor</w:t>
      </w:r>
      <w:proofErr w:type="gramEnd"/>
      <w:r>
        <w:t xml:space="preserve"> [John Syers] had a “brief romantic encounter” in April, "had on again/off again conversations" until September 26, 2018, when she alleges that she was "rape[d], torture[d,] and sexually abuse[d].”  </w:t>
      </w:r>
    </w:p>
    <w:p w14:paraId="0AA7C58F" w14:textId="77777777" w:rsidR="00274525" w:rsidRDefault="00274525" w:rsidP="00274525">
      <w:pPr>
        <w:pStyle w:val="NormalWeb"/>
        <w:ind w:left="720"/>
      </w:pPr>
      <w:r>
        <w:lastRenderedPageBreak/>
        <w:t>“As the Ocean County Defendants correctly observe, however, the Complaint fails to allege any facts that would support Plaintiff's assertions that a custom or policy deprived her of a constitutional right. (</w:t>
      </w:r>
      <w:proofErr w:type="spellStart"/>
      <w:r>
        <w:t>Defs</w:t>
      </w:r>
      <w:proofErr w:type="spellEnd"/>
      <w:r>
        <w:t>.' Moving Br. 11.) Aside from one conclusory allegation that Fire Academy and Training Center employees ‘</w:t>
      </w:r>
      <w:proofErr w:type="spellStart"/>
      <w:r>
        <w:t>refus</w:t>
      </w:r>
      <w:proofErr w:type="spellEnd"/>
      <w:r>
        <w:t>[ed] to respond to Plaintiff's sexual assault on academy premises[,]’ (</w:t>
      </w:r>
      <w:proofErr w:type="spellStart"/>
      <w:r>
        <w:t>Compl</w:t>
      </w:r>
      <w:proofErr w:type="spellEnd"/>
      <w:r>
        <w:t>. 32, ¶ 47), Plaintiff fails to provide any facts demonstrating that the Ocean County Defendants were aware of the rape, (</w:t>
      </w:r>
      <w:r>
        <w:rPr>
          <w:i/>
          <w:iCs/>
        </w:rPr>
        <w:t>see generally id</w:t>
      </w:r>
      <w:r>
        <w:t xml:space="preserve">.; </w:t>
      </w:r>
      <w:r>
        <w:rPr>
          <w:i/>
          <w:iCs/>
        </w:rPr>
        <w:t>see also</w:t>
      </w:r>
      <w:r>
        <w:t xml:space="preserve"> </w:t>
      </w:r>
      <w:proofErr w:type="spellStart"/>
      <w:r>
        <w:t>Defs</w:t>
      </w:r>
      <w:proofErr w:type="spellEnd"/>
      <w:r>
        <w:t>.' Moving Br. 11 (‘The [C]</w:t>
      </w:r>
      <w:proofErr w:type="spellStart"/>
      <w:r>
        <w:t>omplaint</w:t>
      </w:r>
      <w:proofErr w:type="spellEnd"/>
      <w:r>
        <w:t xml:space="preserve"> does not assert that Plaintiff filed any type of grievance or report of alleged harassment, discrimination[,] or 'hostile work environment' during her tenure . . . . Moreover, the voluminous [C]</w:t>
      </w:r>
      <w:proofErr w:type="spellStart"/>
      <w:r>
        <w:t>omplaint</w:t>
      </w:r>
      <w:proofErr w:type="spellEnd"/>
      <w:r>
        <w:t xml:space="preserve"> is devoid of any allegations stating that Plaintiff provided notification . . . </w:t>
      </w:r>
      <w:proofErr w:type="gramStart"/>
      <w:r>
        <w:t>with regard to</w:t>
      </w:r>
      <w:proofErr w:type="gramEnd"/>
      <w:r>
        <w:t xml:space="preserve"> any issues concerning . . . employees or volunteer instructors[.]")). Without such factual allegations, the Court cannot find that Plaintiff has a plausible claim for relief stemming from the Ocean County Defendants' alleged failure to investigate and respond to Sayer’s conduct or train its employees to respond to sexual discrimination, harassment, or violence.</w:t>
      </w:r>
    </w:p>
    <w:p w14:paraId="6152C288" w14:textId="77777777" w:rsidR="00274525" w:rsidRDefault="00274525" w:rsidP="00274525">
      <w:pPr>
        <w:pStyle w:val="NormalWeb"/>
        <w:ind w:left="720"/>
      </w:pPr>
      <w:r>
        <w:t>***</w:t>
      </w:r>
    </w:p>
    <w:p w14:paraId="3EFDD577" w14:textId="77777777" w:rsidR="00274525" w:rsidRDefault="00274525" w:rsidP="00274525">
      <w:pPr>
        <w:pStyle w:val="NormalWeb"/>
        <w:ind w:left="720"/>
      </w:pPr>
      <w:r>
        <w:t xml:space="preserve">The Court, therefore, will decline to exercise supplemental jurisdiction over the state law claims of the Complaint.”  </w:t>
      </w:r>
      <w:hyperlink r:id="rId1377" w:history="1">
        <w:r w:rsidRPr="00B568EC">
          <w:rPr>
            <w:rStyle w:val="Hyperlink"/>
          </w:rPr>
          <w:t>https://casetext.com/case/as-v-ocean-cnty-fire-acad-2</w:t>
        </w:r>
      </w:hyperlink>
      <w:r>
        <w:t xml:space="preserve"> </w:t>
      </w:r>
    </w:p>
    <w:bookmarkEnd w:id="286"/>
    <w:p w14:paraId="2BAB00AB" w14:textId="77777777" w:rsidR="00274525" w:rsidRPr="00101EB6" w:rsidRDefault="00274525" w:rsidP="00274525">
      <w:pPr>
        <w:pStyle w:val="NormalWeb"/>
        <w:rPr>
          <w:b/>
          <w:bCs/>
        </w:rPr>
      </w:pPr>
      <w:r w:rsidRPr="00101EB6">
        <w:rPr>
          <w:b/>
          <w:bCs/>
        </w:rPr>
        <w:t>Legal Lesson Learned:</w:t>
      </w:r>
      <w:r>
        <w:rPr>
          <w:b/>
          <w:bCs/>
        </w:rPr>
        <w:t xml:space="preserve">  Plaintiff failed to provide any proof she informed the Training Academy of being raped.  It is a “best practice” for Training Academies and Fire &amp; EMS Departments to provide all recruits with written procedure on how to file a complaint.  </w:t>
      </w:r>
    </w:p>
    <w:p w14:paraId="0945F8CC" w14:textId="77777777" w:rsidR="00274525" w:rsidRDefault="00274525" w:rsidP="002B1283">
      <w:pPr>
        <w:rPr>
          <w:rFonts w:ascii="Arial Black" w:hAnsi="Arial Black"/>
          <w:b/>
          <w:sz w:val="24"/>
          <w:szCs w:val="24"/>
        </w:rPr>
      </w:pPr>
    </w:p>
    <w:p w14:paraId="16831515" w14:textId="77777777" w:rsidR="00274525" w:rsidRDefault="00274525" w:rsidP="002B1283">
      <w:pPr>
        <w:rPr>
          <w:rFonts w:ascii="Arial Black" w:hAnsi="Arial Black"/>
          <w:b/>
          <w:sz w:val="24"/>
          <w:szCs w:val="24"/>
        </w:rPr>
      </w:pPr>
    </w:p>
    <w:p w14:paraId="18C69C60" w14:textId="322A2967" w:rsidR="00831847" w:rsidRDefault="00831847" w:rsidP="002B1283">
      <w:pPr>
        <w:rPr>
          <w:rFonts w:ascii="Arial Black" w:hAnsi="Arial Black"/>
          <w:b/>
          <w:sz w:val="24"/>
          <w:szCs w:val="24"/>
        </w:rPr>
      </w:pPr>
      <w:r>
        <w:rPr>
          <w:rFonts w:ascii="Arial Black" w:hAnsi="Arial Black"/>
          <w:b/>
          <w:sz w:val="24"/>
          <w:szCs w:val="24"/>
        </w:rPr>
        <w:t>7-30</w:t>
      </w:r>
    </w:p>
    <w:p w14:paraId="6DBCD745" w14:textId="77777777" w:rsidR="00274525" w:rsidRPr="00BD5B0D" w:rsidRDefault="00274525" w:rsidP="00274525">
      <w:pPr>
        <w:pStyle w:val="NoSpacing"/>
        <w:rPr>
          <w:rFonts w:ascii="Arial Black" w:hAnsi="Arial Black"/>
          <w:sz w:val="28"/>
          <w:szCs w:val="28"/>
        </w:rPr>
      </w:pPr>
      <w:bookmarkStart w:id="287" w:name="_Hlk68350680"/>
      <w:r>
        <w:rPr>
          <w:rFonts w:ascii="Arial Black" w:hAnsi="Arial Black"/>
          <w:sz w:val="28"/>
          <w:szCs w:val="28"/>
        </w:rPr>
        <w:t>AR: FEMALE FF ALLEGEDLY RAPED TWICE BY BATTALION CHIEF - MALE HIT ANTENNA – CASE PROCEED FD &amp; CHIEF</w:t>
      </w:r>
    </w:p>
    <w:p w14:paraId="009B71F9" w14:textId="77777777" w:rsidR="00274525" w:rsidRPr="001707D0" w:rsidRDefault="00274525" w:rsidP="00274525">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March 17, 2021, in </w:t>
      </w:r>
      <w:r w:rsidRPr="00055F09">
        <w:rPr>
          <w:rFonts w:ascii="Times New Roman" w:eastAsia="Times New Roman" w:hAnsi="Times New Roman"/>
          <w:sz w:val="24"/>
          <w:szCs w:val="24"/>
          <w:u w:val="single"/>
        </w:rPr>
        <w:t xml:space="preserve">Rene Mendoza &amp; </w:t>
      </w:r>
      <w:r w:rsidRPr="00055F09">
        <w:rPr>
          <w:rFonts w:ascii="Times New Roman" w:hAnsi="Times New Roman"/>
          <w:sz w:val="24"/>
          <w:szCs w:val="24"/>
          <w:u w:val="single"/>
        </w:rPr>
        <w:t xml:space="preserve">Lani Salazar, </w:t>
      </w:r>
      <w:r w:rsidRPr="00055F09">
        <w:rPr>
          <w:rFonts w:ascii="Times New Roman" w:eastAsia="Times New Roman" w:hAnsi="Times New Roman"/>
          <w:sz w:val="24"/>
          <w:szCs w:val="24"/>
          <w:u w:val="single"/>
        </w:rPr>
        <w:t>et al. v. Rio</w:t>
      </w:r>
      <w:r w:rsidRPr="00BD5B0D">
        <w:rPr>
          <w:rFonts w:ascii="Times New Roman" w:eastAsia="Times New Roman" w:hAnsi="Times New Roman"/>
          <w:sz w:val="24"/>
          <w:szCs w:val="24"/>
          <w:u w:val="single"/>
        </w:rPr>
        <w:t xml:space="preserve"> Rico Medical &amp; Fire District, et al</w:t>
      </w:r>
      <w:r>
        <w:rPr>
          <w:rFonts w:ascii="Times New Roman" w:eastAsia="Times New Roman" w:hAnsi="Times New Roman"/>
          <w:sz w:val="24"/>
          <w:szCs w:val="24"/>
        </w:rPr>
        <w:t xml:space="preserve">., U.S. District Court Judge Cindy K. Jorgenson, U.S. District Court for the District of Arizona, issued a pre-trial order; lawsuit against FD and the Battalion Chief will proceed to trial. The trial judge issued her order with this understatement. </w:t>
      </w:r>
      <w:r>
        <w:rPr>
          <w:rFonts w:ascii="Times New Roman" w:hAnsi="Times New Roman"/>
          <w:sz w:val="24"/>
          <w:szCs w:val="24"/>
        </w:rPr>
        <w:t>“</w:t>
      </w:r>
      <w:r w:rsidRPr="001F0A7D">
        <w:rPr>
          <w:rFonts w:ascii="Times New Roman" w:hAnsi="Times New Roman"/>
          <w:sz w:val="24"/>
          <w:szCs w:val="24"/>
        </w:rPr>
        <w:t>In 2016 and 2017, there was a fair amount of questionable activity unrelated to firefighting happening at the Rio Rico Medical &amp; Fire District (</w:t>
      </w:r>
      <w:r>
        <w:rPr>
          <w:rFonts w:ascii="Times New Roman" w:hAnsi="Times New Roman"/>
          <w:sz w:val="24"/>
          <w:szCs w:val="24"/>
        </w:rPr>
        <w:t>‘</w:t>
      </w:r>
      <w:r w:rsidRPr="001F0A7D">
        <w:rPr>
          <w:rFonts w:ascii="Times New Roman" w:hAnsi="Times New Roman"/>
          <w:sz w:val="24"/>
          <w:szCs w:val="24"/>
        </w:rPr>
        <w:t>District</w:t>
      </w:r>
      <w:r>
        <w:rPr>
          <w:rFonts w:ascii="Times New Roman" w:hAnsi="Times New Roman"/>
          <w:sz w:val="24"/>
          <w:szCs w:val="24"/>
        </w:rPr>
        <w:t>’</w:t>
      </w:r>
      <w:r w:rsidRPr="001F0A7D">
        <w:rPr>
          <w:rFonts w:ascii="Times New Roman" w:hAnsi="Times New Roman"/>
          <w:sz w:val="24"/>
          <w:szCs w:val="24"/>
        </w:rPr>
        <w:t>).</w:t>
      </w:r>
      <w:r>
        <w:rPr>
          <w:rFonts w:ascii="Times New Roman" w:hAnsi="Times New Roman"/>
          <w:sz w:val="24"/>
          <w:szCs w:val="24"/>
        </w:rPr>
        <w:t>”</w:t>
      </w:r>
    </w:p>
    <w:p w14:paraId="66701354" w14:textId="77777777" w:rsidR="00274525" w:rsidRDefault="00274525" w:rsidP="00274525">
      <w:pPr>
        <w:pStyle w:val="NoSpacing"/>
        <w:ind w:left="480"/>
        <w:rPr>
          <w:rFonts w:ascii="Times New Roman" w:hAnsi="Times New Roman"/>
          <w:sz w:val="24"/>
          <w:szCs w:val="24"/>
        </w:rPr>
      </w:pPr>
      <w:r>
        <w:rPr>
          <w:rFonts w:ascii="Times New Roman" w:hAnsi="Times New Roman"/>
          <w:sz w:val="24"/>
          <w:szCs w:val="24"/>
        </w:rPr>
        <w:t>“</w:t>
      </w:r>
      <w:r w:rsidRPr="00D46F33">
        <w:rPr>
          <w:rFonts w:ascii="Times New Roman" w:hAnsi="Times New Roman"/>
          <w:sz w:val="24"/>
          <w:szCs w:val="24"/>
        </w:rPr>
        <w:t xml:space="preserve">Beginning in July 2016, Flores began sexually harassing </w:t>
      </w:r>
      <w:r>
        <w:rPr>
          <w:rFonts w:ascii="Times New Roman" w:hAnsi="Times New Roman"/>
          <w:sz w:val="24"/>
          <w:szCs w:val="24"/>
        </w:rPr>
        <w:t xml:space="preserve">[Mrs. Lani] </w:t>
      </w:r>
      <w:r w:rsidRPr="00D46F33">
        <w:rPr>
          <w:rFonts w:ascii="Times New Roman" w:hAnsi="Times New Roman"/>
          <w:sz w:val="24"/>
          <w:szCs w:val="24"/>
        </w:rPr>
        <w:t xml:space="preserve">Salazar, whose promotion he had recently recommended. What started out as unwelcomed sexual advances soon escalated to alleged incidents of rape, the last of which occurred around the 2017 holiday season. A month earlier, Ibarra had struck rookie firefighter </w:t>
      </w:r>
      <w:r>
        <w:rPr>
          <w:rFonts w:ascii="Times New Roman" w:hAnsi="Times New Roman"/>
          <w:sz w:val="24"/>
          <w:szCs w:val="24"/>
        </w:rPr>
        <w:t xml:space="preserve">[Mr. Rene] </w:t>
      </w:r>
      <w:r w:rsidRPr="00D46F33">
        <w:rPr>
          <w:rFonts w:ascii="Times New Roman" w:hAnsi="Times New Roman"/>
          <w:sz w:val="24"/>
          <w:szCs w:val="24"/>
        </w:rPr>
        <w:t xml:space="preserve">Mendoza in the testicles with a radio antenna, laughed, and ran away. Mendoza was also inundated with countless sexually suggestive images sent to him by a fellow firefighter, who frequently referred to Mendoza using sexually offensive slang terms. Two other firefighters exposed themselves to Mendoza, and when he complained of </w:t>
      </w:r>
      <w:proofErr w:type="gramStart"/>
      <w:r w:rsidRPr="00D46F33">
        <w:rPr>
          <w:rFonts w:ascii="Times New Roman" w:hAnsi="Times New Roman"/>
          <w:sz w:val="24"/>
          <w:szCs w:val="24"/>
        </w:rPr>
        <w:t>the harassing</w:t>
      </w:r>
      <w:proofErr w:type="gramEnd"/>
      <w:r w:rsidRPr="00D46F33">
        <w:rPr>
          <w:rFonts w:ascii="Times New Roman" w:hAnsi="Times New Roman"/>
          <w:sz w:val="24"/>
          <w:szCs w:val="24"/>
        </w:rPr>
        <w:t xml:space="preserve"> behavior to a superior, he was half-heartedly instructed to </w:t>
      </w:r>
      <w:r>
        <w:rPr>
          <w:rFonts w:ascii="Times New Roman" w:hAnsi="Times New Roman"/>
          <w:sz w:val="24"/>
          <w:szCs w:val="24"/>
        </w:rPr>
        <w:t>‘</w:t>
      </w:r>
      <w:r w:rsidRPr="00D46F33">
        <w:rPr>
          <w:rFonts w:ascii="Times New Roman" w:hAnsi="Times New Roman"/>
          <w:sz w:val="24"/>
          <w:szCs w:val="24"/>
        </w:rPr>
        <w:t>write an email about it.</w:t>
      </w:r>
      <w:r>
        <w:rPr>
          <w:rFonts w:ascii="Times New Roman" w:hAnsi="Times New Roman"/>
          <w:sz w:val="24"/>
          <w:szCs w:val="24"/>
        </w:rPr>
        <w:t>’</w:t>
      </w:r>
    </w:p>
    <w:p w14:paraId="74A26E5B" w14:textId="77777777" w:rsidR="00274525" w:rsidRDefault="00274525" w:rsidP="00274525">
      <w:pPr>
        <w:pStyle w:val="NoSpacing"/>
        <w:ind w:left="480"/>
        <w:rPr>
          <w:rFonts w:ascii="Times New Roman" w:hAnsi="Times New Roman"/>
          <w:sz w:val="24"/>
          <w:szCs w:val="24"/>
        </w:rPr>
      </w:pPr>
    </w:p>
    <w:p w14:paraId="1670937F" w14:textId="77777777" w:rsidR="00274525" w:rsidRDefault="00274525" w:rsidP="00274525">
      <w:pPr>
        <w:pStyle w:val="NoSpacing"/>
        <w:ind w:left="480"/>
        <w:rPr>
          <w:rFonts w:ascii="Times New Roman" w:hAnsi="Times New Roman"/>
          <w:sz w:val="24"/>
          <w:szCs w:val="24"/>
        </w:rPr>
      </w:pPr>
      <w:r>
        <w:rPr>
          <w:rFonts w:ascii="Times New Roman" w:hAnsi="Times New Roman"/>
          <w:sz w:val="24"/>
          <w:szCs w:val="24"/>
        </w:rPr>
        <w:t>***</w:t>
      </w:r>
    </w:p>
    <w:p w14:paraId="77D71B1E" w14:textId="77777777" w:rsidR="00274525" w:rsidRDefault="00274525" w:rsidP="00274525">
      <w:pPr>
        <w:pStyle w:val="NoSpacing"/>
        <w:ind w:left="480"/>
        <w:rPr>
          <w:rFonts w:ascii="Times New Roman" w:hAnsi="Times New Roman"/>
          <w:sz w:val="24"/>
          <w:szCs w:val="24"/>
        </w:rPr>
      </w:pPr>
    </w:p>
    <w:p w14:paraId="12383FA5" w14:textId="77777777" w:rsidR="00274525" w:rsidRPr="00D46F33" w:rsidRDefault="00274525" w:rsidP="00274525">
      <w:pPr>
        <w:pStyle w:val="NoSpacing"/>
        <w:ind w:left="480"/>
        <w:rPr>
          <w:rFonts w:ascii="Times New Roman" w:hAnsi="Times New Roman"/>
          <w:sz w:val="24"/>
          <w:szCs w:val="24"/>
        </w:rPr>
      </w:pPr>
      <w:r w:rsidRPr="00072BE7">
        <w:rPr>
          <w:rFonts w:ascii="Times New Roman" w:hAnsi="Times New Roman"/>
          <w:sz w:val="24"/>
          <w:szCs w:val="24"/>
        </w:rPr>
        <w:lastRenderedPageBreak/>
        <w:t>Mendoza's Title VII hostile work environment claim against the District, Salazar's Title VII hostile work environment claim against the District, Salazar's Title VII retaliation claim against the District, Mendoza's common law battery claim against Ibarra and the District, Salazar's common law battery claim against Flores and the District, Mendoza's common law assault claim against Ibarra and the District, Salazar's common law assault claim against Flores and the District, Salazar's IIED claim against Flores and the District, and Mr. Salazar's loss of consortium claim against Flores and the District will proceed to trial.</w:t>
      </w:r>
      <w:r>
        <w:rPr>
          <w:rFonts w:ascii="Times New Roman" w:hAnsi="Times New Roman"/>
          <w:sz w:val="24"/>
          <w:szCs w:val="24"/>
        </w:rPr>
        <w:t xml:space="preserve">” </w:t>
      </w:r>
      <w:hyperlink r:id="rId1378" w:history="1">
        <w:r w:rsidRPr="008F3FAE">
          <w:rPr>
            <w:rStyle w:val="Hyperlink"/>
            <w:sz w:val="24"/>
            <w:szCs w:val="24"/>
          </w:rPr>
          <w:t>https://casetext.com/case/mendoza-v-rio-rico-med-1</w:t>
        </w:r>
      </w:hyperlink>
    </w:p>
    <w:p w14:paraId="6BD36D56" w14:textId="77777777" w:rsidR="00274525" w:rsidRDefault="00274525" w:rsidP="00274525">
      <w:pPr>
        <w:pStyle w:val="NoSpacing"/>
        <w:rPr>
          <w:rFonts w:ascii="Times New Roman" w:hAnsi="Times New Roman"/>
          <w:b/>
          <w:bCs/>
          <w:sz w:val="24"/>
          <w:szCs w:val="24"/>
        </w:rPr>
      </w:pPr>
      <w:bookmarkStart w:id="288" w:name="_Hlk68350713"/>
      <w:bookmarkEnd w:id="287"/>
    </w:p>
    <w:p w14:paraId="452E7DF1" w14:textId="400DC88C" w:rsidR="00274525" w:rsidRPr="007D401D" w:rsidRDefault="00274525" w:rsidP="00274525">
      <w:pPr>
        <w:pStyle w:val="NoSpacing"/>
        <w:rPr>
          <w:rFonts w:ascii="Times New Roman" w:hAnsi="Times New Roman"/>
          <w:b/>
          <w:bCs/>
          <w:sz w:val="24"/>
          <w:szCs w:val="24"/>
        </w:rPr>
      </w:pPr>
      <w:r w:rsidRPr="007D401D">
        <w:rPr>
          <w:rFonts w:ascii="Times New Roman" w:hAnsi="Times New Roman"/>
          <w:b/>
          <w:bCs/>
          <w:sz w:val="24"/>
          <w:szCs w:val="24"/>
        </w:rPr>
        <w:t xml:space="preserve">Legal Lessons Learned: </w:t>
      </w:r>
      <w:r>
        <w:rPr>
          <w:rFonts w:ascii="Times New Roman" w:hAnsi="Times New Roman"/>
          <w:b/>
          <w:bCs/>
          <w:sz w:val="24"/>
          <w:szCs w:val="24"/>
        </w:rPr>
        <w:t>Judge’s comment about FD’s “questionable activity” is an understatement; t</w:t>
      </w:r>
      <w:r w:rsidRPr="007D401D">
        <w:rPr>
          <w:rFonts w:ascii="Times New Roman" w:hAnsi="Times New Roman"/>
          <w:b/>
          <w:bCs/>
          <w:sz w:val="24"/>
          <w:szCs w:val="24"/>
        </w:rPr>
        <w:t xml:space="preserve">errible alleged facts will now go before a jury; FDs must promptly investigate claims of workplace harassment. </w:t>
      </w:r>
    </w:p>
    <w:bookmarkEnd w:id="288"/>
    <w:p w14:paraId="6A3E1FE8" w14:textId="77777777" w:rsidR="00274525" w:rsidRDefault="00274525" w:rsidP="002B1283">
      <w:pPr>
        <w:rPr>
          <w:rFonts w:ascii="Arial Black" w:hAnsi="Arial Black"/>
          <w:b/>
          <w:sz w:val="24"/>
          <w:szCs w:val="24"/>
        </w:rPr>
      </w:pPr>
    </w:p>
    <w:p w14:paraId="7265E776" w14:textId="77777777" w:rsidR="00831847" w:rsidRDefault="00831847" w:rsidP="002B1283">
      <w:pPr>
        <w:rPr>
          <w:rFonts w:ascii="Arial Black" w:hAnsi="Arial Black"/>
          <w:b/>
          <w:sz w:val="24"/>
          <w:szCs w:val="24"/>
        </w:rPr>
      </w:pPr>
    </w:p>
    <w:p w14:paraId="3FD0FFCC" w14:textId="1669C2E1" w:rsidR="00831847" w:rsidRDefault="00831847" w:rsidP="002B1283">
      <w:pPr>
        <w:rPr>
          <w:rFonts w:ascii="Arial Black" w:hAnsi="Arial Black"/>
          <w:b/>
          <w:sz w:val="24"/>
          <w:szCs w:val="24"/>
        </w:rPr>
      </w:pPr>
      <w:r>
        <w:rPr>
          <w:rFonts w:ascii="Arial Black" w:hAnsi="Arial Black"/>
          <w:b/>
          <w:sz w:val="24"/>
          <w:szCs w:val="24"/>
        </w:rPr>
        <w:t>7-29</w:t>
      </w:r>
    </w:p>
    <w:p w14:paraId="08085F32" w14:textId="77777777" w:rsidR="00831847" w:rsidRPr="00BD5B0D" w:rsidRDefault="00831847" w:rsidP="00831847">
      <w:pPr>
        <w:pStyle w:val="NoSpacing"/>
        <w:rPr>
          <w:rFonts w:ascii="Arial Black" w:hAnsi="Arial Black"/>
          <w:sz w:val="28"/>
          <w:szCs w:val="28"/>
        </w:rPr>
      </w:pPr>
      <w:r>
        <w:rPr>
          <w:rFonts w:ascii="Arial Black" w:hAnsi="Arial Black"/>
          <w:sz w:val="28"/>
          <w:szCs w:val="28"/>
        </w:rPr>
        <w:t>AR: FEMALE FF ALLEGEDLY RAPED TWICE BY BATTALION CHIEF - MALE HIT ANTENNA – CASE PROCEED FD &amp; CHIEF</w:t>
      </w:r>
    </w:p>
    <w:p w14:paraId="4438B637" w14:textId="77777777" w:rsidR="00831847" w:rsidRPr="001707D0" w:rsidRDefault="00831847" w:rsidP="00831847">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March 17, 2021, in </w:t>
      </w:r>
      <w:r w:rsidRPr="00055F09">
        <w:rPr>
          <w:rFonts w:ascii="Times New Roman" w:eastAsia="Times New Roman" w:hAnsi="Times New Roman"/>
          <w:sz w:val="24"/>
          <w:szCs w:val="24"/>
          <w:u w:val="single"/>
        </w:rPr>
        <w:t xml:space="preserve">Rene Mendoza &amp; </w:t>
      </w:r>
      <w:r w:rsidRPr="00055F09">
        <w:rPr>
          <w:rFonts w:ascii="Times New Roman" w:hAnsi="Times New Roman"/>
          <w:sz w:val="24"/>
          <w:szCs w:val="24"/>
          <w:u w:val="single"/>
        </w:rPr>
        <w:t xml:space="preserve">Lani Salazar, </w:t>
      </w:r>
      <w:r w:rsidRPr="00055F09">
        <w:rPr>
          <w:rFonts w:ascii="Times New Roman" w:eastAsia="Times New Roman" w:hAnsi="Times New Roman"/>
          <w:sz w:val="24"/>
          <w:szCs w:val="24"/>
          <w:u w:val="single"/>
        </w:rPr>
        <w:t>et al. v. Rio</w:t>
      </w:r>
      <w:r w:rsidRPr="00BD5B0D">
        <w:rPr>
          <w:rFonts w:ascii="Times New Roman" w:eastAsia="Times New Roman" w:hAnsi="Times New Roman"/>
          <w:sz w:val="24"/>
          <w:szCs w:val="24"/>
          <w:u w:val="single"/>
        </w:rPr>
        <w:t xml:space="preserve"> Rico Medical &amp; Fire District, et al</w:t>
      </w:r>
      <w:r>
        <w:rPr>
          <w:rFonts w:ascii="Times New Roman" w:eastAsia="Times New Roman" w:hAnsi="Times New Roman"/>
          <w:sz w:val="24"/>
          <w:szCs w:val="24"/>
        </w:rPr>
        <w:t xml:space="preserve">., U.S. District Court Judge Cindy K. Jorgenson, U.S. District Court for the District of Arizona, issued a pre-trial order; lawsuit against FD and the Battalion Chief will proceed to trial. The trial judge issued her order with this understatement. </w:t>
      </w:r>
      <w:r>
        <w:rPr>
          <w:rFonts w:ascii="Times New Roman" w:hAnsi="Times New Roman"/>
          <w:sz w:val="24"/>
          <w:szCs w:val="24"/>
        </w:rPr>
        <w:t>“</w:t>
      </w:r>
      <w:r w:rsidRPr="001F0A7D">
        <w:rPr>
          <w:rFonts w:ascii="Times New Roman" w:hAnsi="Times New Roman"/>
          <w:sz w:val="24"/>
          <w:szCs w:val="24"/>
        </w:rPr>
        <w:t>In 2016 and 2017, there was a fair amount of questionable activity unrelated to firefighting happening at the Rio Rico Medical &amp; Fire District (</w:t>
      </w:r>
      <w:r>
        <w:rPr>
          <w:rFonts w:ascii="Times New Roman" w:hAnsi="Times New Roman"/>
          <w:sz w:val="24"/>
          <w:szCs w:val="24"/>
        </w:rPr>
        <w:t>‘</w:t>
      </w:r>
      <w:r w:rsidRPr="001F0A7D">
        <w:rPr>
          <w:rFonts w:ascii="Times New Roman" w:hAnsi="Times New Roman"/>
          <w:sz w:val="24"/>
          <w:szCs w:val="24"/>
        </w:rPr>
        <w:t>District</w:t>
      </w:r>
      <w:r>
        <w:rPr>
          <w:rFonts w:ascii="Times New Roman" w:hAnsi="Times New Roman"/>
          <w:sz w:val="24"/>
          <w:szCs w:val="24"/>
        </w:rPr>
        <w:t>’</w:t>
      </w:r>
      <w:r w:rsidRPr="001F0A7D">
        <w:rPr>
          <w:rFonts w:ascii="Times New Roman" w:hAnsi="Times New Roman"/>
          <w:sz w:val="24"/>
          <w:szCs w:val="24"/>
        </w:rPr>
        <w:t>).</w:t>
      </w:r>
      <w:r>
        <w:rPr>
          <w:rFonts w:ascii="Times New Roman" w:hAnsi="Times New Roman"/>
          <w:sz w:val="24"/>
          <w:szCs w:val="24"/>
        </w:rPr>
        <w:t>”</w:t>
      </w:r>
    </w:p>
    <w:p w14:paraId="4EB32689" w14:textId="77777777" w:rsidR="00831847" w:rsidRDefault="00831847" w:rsidP="00831847">
      <w:pPr>
        <w:pStyle w:val="NoSpacing"/>
        <w:ind w:left="480"/>
        <w:rPr>
          <w:rFonts w:ascii="Times New Roman" w:hAnsi="Times New Roman"/>
          <w:sz w:val="24"/>
          <w:szCs w:val="24"/>
        </w:rPr>
      </w:pPr>
      <w:r>
        <w:rPr>
          <w:rFonts w:ascii="Times New Roman" w:hAnsi="Times New Roman"/>
          <w:sz w:val="24"/>
          <w:szCs w:val="24"/>
        </w:rPr>
        <w:t>“</w:t>
      </w:r>
      <w:r w:rsidRPr="00D46F33">
        <w:rPr>
          <w:rFonts w:ascii="Times New Roman" w:hAnsi="Times New Roman"/>
          <w:sz w:val="24"/>
          <w:szCs w:val="24"/>
        </w:rPr>
        <w:t xml:space="preserve">Beginning in July 2016, Flores began sexually harassing </w:t>
      </w:r>
      <w:r>
        <w:rPr>
          <w:rFonts w:ascii="Times New Roman" w:hAnsi="Times New Roman"/>
          <w:sz w:val="24"/>
          <w:szCs w:val="24"/>
        </w:rPr>
        <w:t xml:space="preserve">[Mrs. Lani] </w:t>
      </w:r>
      <w:r w:rsidRPr="00D46F33">
        <w:rPr>
          <w:rFonts w:ascii="Times New Roman" w:hAnsi="Times New Roman"/>
          <w:sz w:val="24"/>
          <w:szCs w:val="24"/>
        </w:rPr>
        <w:t xml:space="preserve">Salazar, whose promotion he had recently recommended. What started out as unwelcomed sexual advances soon escalated to alleged incidents of rape, the last of which occurred around the 2017 holiday season. A month earlier, Ibarra had struck rookie firefighter </w:t>
      </w:r>
      <w:r>
        <w:rPr>
          <w:rFonts w:ascii="Times New Roman" w:hAnsi="Times New Roman"/>
          <w:sz w:val="24"/>
          <w:szCs w:val="24"/>
        </w:rPr>
        <w:t xml:space="preserve">[Mr. Rene] </w:t>
      </w:r>
      <w:r w:rsidRPr="00D46F33">
        <w:rPr>
          <w:rFonts w:ascii="Times New Roman" w:hAnsi="Times New Roman"/>
          <w:sz w:val="24"/>
          <w:szCs w:val="24"/>
        </w:rPr>
        <w:t xml:space="preserve">Mendoza in the testicles with a radio antenna, laughed, and ran away. Mendoza was also inundated with countless sexually suggestive images sent to him by a fellow firefighter, who frequently referred to Mendoza using sexually offensive slang terms. Two other firefighters exposed themselves to Mendoza, and when he complained of </w:t>
      </w:r>
      <w:proofErr w:type="gramStart"/>
      <w:r w:rsidRPr="00D46F33">
        <w:rPr>
          <w:rFonts w:ascii="Times New Roman" w:hAnsi="Times New Roman"/>
          <w:sz w:val="24"/>
          <w:szCs w:val="24"/>
        </w:rPr>
        <w:t>the harassing</w:t>
      </w:r>
      <w:proofErr w:type="gramEnd"/>
      <w:r w:rsidRPr="00D46F33">
        <w:rPr>
          <w:rFonts w:ascii="Times New Roman" w:hAnsi="Times New Roman"/>
          <w:sz w:val="24"/>
          <w:szCs w:val="24"/>
        </w:rPr>
        <w:t xml:space="preserve"> behavior to a superior, he was half-heartedly instructed to </w:t>
      </w:r>
      <w:r>
        <w:rPr>
          <w:rFonts w:ascii="Times New Roman" w:hAnsi="Times New Roman"/>
          <w:sz w:val="24"/>
          <w:szCs w:val="24"/>
        </w:rPr>
        <w:t>‘</w:t>
      </w:r>
      <w:r w:rsidRPr="00D46F33">
        <w:rPr>
          <w:rFonts w:ascii="Times New Roman" w:hAnsi="Times New Roman"/>
          <w:sz w:val="24"/>
          <w:szCs w:val="24"/>
        </w:rPr>
        <w:t>write an email about it.</w:t>
      </w:r>
      <w:r>
        <w:rPr>
          <w:rFonts w:ascii="Times New Roman" w:hAnsi="Times New Roman"/>
          <w:sz w:val="24"/>
          <w:szCs w:val="24"/>
        </w:rPr>
        <w:t>’</w:t>
      </w:r>
    </w:p>
    <w:p w14:paraId="49DA2558" w14:textId="77777777" w:rsidR="00831847" w:rsidRDefault="00831847" w:rsidP="00831847">
      <w:pPr>
        <w:pStyle w:val="NoSpacing"/>
        <w:ind w:left="480"/>
        <w:rPr>
          <w:rFonts w:ascii="Times New Roman" w:hAnsi="Times New Roman"/>
          <w:sz w:val="24"/>
          <w:szCs w:val="24"/>
        </w:rPr>
      </w:pPr>
    </w:p>
    <w:p w14:paraId="50D77710" w14:textId="77777777" w:rsidR="00831847" w:rsidRDefault="00831847" w:rsidP="00831847">
      <w:pPr>
        <w:pStyle w:val="NoSpacing"/>
        <w:ind w:left="480"/>
        <w:rPr>
          <w:rFonts w:ascii="Times New Roman" w:hAnsi="Times New Roman"/>
          <w:sz w:val="24"/>
          <w:szCs w:val="24"/>
        </w:rPr>
      </w:pPr>
      <w:r>
        <w:rPr>
          <w:rFonts w:ascii="Times New Roman" w:hAnsi="Times New Roman"/>
          <w:sz w:val="24"/>
          <w:szCs w:val="24"/>
        </w:rPr>
        <w:t>***</w:t>
      </w:r>
    </w:p>
    <w:p w14:paraId="74FF6F56" w14:textId="77777777" w:rsidR="00831847" w:rsidRDefault="00831847" w:rsidP="00831847">
      <w:pPr>
        <w:pStyle w:val="NoSpacing"/>
        <w:ind w:left="480"/>
        <w:rPr>
          <w:rFonts w:ascii="Times New Roman" w:hAnsi="Times New Roman"/>
          <w:sz w:val="24"/>
          <w:szCs w:val="24"/>
        </w:rPr>
      </w:pPr>
    </w:p>
    <w:p w14:paraId="065F1DDF" w14:textId="77777777" w:rsidR="00831847" w:rsidRPr="00D46F33" w:rsidRDefault="00831847" w:rsidP="00831847">
      <w:pPr>
        <w:pStyle w:val="NoSpacing"/>
        <w:ind w:left="480"/>
        <w:rPr>
          <w:rFonts w:ascii="Times New Roman" w:hAnsi="Times New Roman"/>
          <w:sz w:val="24"/>
          <w:szCs w:val="24"/>
        </w:rPr>
      </w:pPr>
      <w:r w:rsidRPr="00072BE7">
        <w:rPr>
          <w:rFonts w:ascii="Times New Roman" w:hAnsi="Times New Roman"/>
          <w:sz w:val="24"/>
          <w:szCs w:val="24"/>
        </w:rPr>
        <w:t>Mendoza's Title VII hostile work environment claim against the District, Salazar's Title VII hostile work environment claim against the District, Salazar's Title VII retaliation claim against the District, Mendoza's common law battery claim against Ibarra and the District, Salazar's common law battery claim against Flores and the District, Mendoza's common law assault claim against Ibarra and the District, Salazar's common law assault claim against Flores and the District, Salazar's IIED claim against Flores and the District, and Mr. Salazar's loss of consortium claim against Flores and the District will proceed to trial.</w:t>
      </w:r>
      <w:r>
        <w:rPr>
          <w:rFonts w:ascii="Times New Roman" w:hAnsi="Times New Roman"/>
          <w:sz w:val="24"/>
          <w:szCs w:val="24"/>
        </w:rPr>
        <w:t xml:space="preserve">” </w:t>
      </w:r>
      <w:hyperlink r:id="rId1379" w:history="1">
        <w:r w:rsidRPr="008F3FAE">
          <w:rPr>
            <w:rStyle w:val="Hyperlink"/>
            <w:sz w:val="24"/>
            <w:szCs w:val="24"/>
          </w:rPr>
          <w:t>https://casetext.com/case/mendoza-v-rio-rico-med-1</w:t>
        </w:r>
      </w:hyperlink>
    </w:p>
    <w:p w14:paraId="2C3BAA7E" w14:textId="59DA664B" w:rsidR="00831847" w:rsidRDefault="00831847" w:rsidP="002B1283">
      <w:pPr>
        <w:rPr>
          <w:rFonts w:ascii="Arial Black" w:hAnsi="Arial Black"/>
          <w:b/>
          <w:sz w:val="24"/>
          <w:szCs w:val="24"/>
        </w:rPr>
      </w:pPr>
    </w:p>
    <w:p w14:paraId="6B897D13" w14:textId="77777777" w:rsidR="00831847" w:rsidRPr="007D401D" w:rsidRDefault="00831847" w:rsidP="00831847">
      <w:pPr>
        <w:pStyle w:val="NoSpacing"/>
        <w:rPr>
          <w:rFonts w:ascii="Times New Roman" w:hAnsi="Times New Roman"/>
          <w:b/>
          <w:bCs/>
          <w:sz w:val="24"/>
          <w:szCs w:val="24"/>
        </w:rPr>
      </w:pPr>
      <w:r w:rsidRPr="007D401D">
        <w:rPr>
          <w:rFonts w:ascii="Times New Roman" w:hAnsi="Times New Roman"/>
          <w:b/>
          <w:bCs/>
          <w:sz w:val="24"/>
          <w:szCs w:val="24"/>
        </w:rPr>
        <w:t xml:space="preserve">Legal Lessons Learned: </w:t>
      </w:r>
      <w:r>
        <w:rPr>
          <w:rFonts w:ascii="Times New Roman" w:hAnsi="Times New Roman"/>
          <w:b/>
          <w:bCs/>
          <w:sz w:val="24"/>
          <w:szCs w:val="24"/>
        </w:rPr>
        <w:t>Judge’s comment about FD’s “questionable activity” is an understatement; t</w:t>
      </w:r>
      <w:r w:rsidRPr="007D401D">
        <w:rPr>
          <w:rFonts w:ascii="Times New Roman" w:hAnsi="Times New Roman"/>
          <w:b/>
          <w:bCs/>
          <w:sz w:val="24"/>
          <w:szCs w:val="24"/>
        </w:rPr>
        <w:t xml:space="preserve">errible alleged facts will now go before a jury; FDs must promptly investigate claims of workplace harassment. </w:t>
      </w:r>
    </w:p>
    <w:p w14:paraId="2A932F47" w14:textId="77777777" w:rsidR="00831847" w:rsidRDefault="00831847" w:rsidP="002B1283">
      <w:pPr>
        <w:rPr>
          <w:rFonts w:ascii="Arial Black" w:hAnsi="Arial Black"/>
          <w:b/>
          <w:sz w:val="24"/>
          <w:szCs w:val="24"/>
        </w:rPr>
      </w:pPr>
    </w:p>
    <w:p w14:paraId="126E2663" w14:textId="77777777" w:rsidR="00831847" w:rsidRDefault="00831847" w:rsidP="002B1283">
      <w:pPr>
        <w:rPr>
          <w:rFonts w:ascii="Arial Black" w:hAnsi="Arial Black"/>
          <w:b/>
          <w:sz w:val="24"/>
          <w:szCs w:val="24"/>
        </w:rPr>
      </w:pPr>
    </w:p>
    <w:p w14:paraId="33181834" w14:textId="4FF2031C" w:rsidR="00EB2493" w:rsidRDefault="00EB2493" w:rsidP="002B1283">
      <w:pPr>
        <w:rPr>
          <w:rFonts w:ascii="Arial Black" w:hAnsi="Arial Black"/>
          <w:b/>
          <w:sz w:val="24"/>
          <w:szCs w:val="24"/>
        </w:rPr>
      </w:pPr>
      <w:r>
        <w:rPr>
          <w:rFonts w:ascii="Arial Black" w:hAnsi="Arial Black"/>
          <w:b/>
          <w:sz w:val="24"/>
          <w:szCs w:val="24"/>
        </w:rPr>
        <w:t>7-28</w:t>
      </w:r>
    </w:p>
    <w:p w14:paraId="3EA7A1E0" w14:textId="77777777" w:rsidR="00EB2493" w:rsidRPr="001074C7" w:rsidRDefault="00EB2493" w:rsidP="00EB2493">
      <w:pPr>
        <w:pStyle w:val="NoSpacing"/>
        <w:rPr>
          <w:rFonts w:ascii="Arial Black" w:hAnsi="Arial Black"/>
          <w:sz w:val="28"/>
          <w:szCs w:val="28"/>
        </w:rPr>
      </w:pPr>
      <w:r>
        <w:rPr>
          <w:rFonts w:ascii="Arial Black" w:hAnsi="Arial Black"/>
          <w:sz w:val="28"/>
          <w:szCs w:val="28"/>
        </w:rPr>
        <w:t>GA: TRANSGENDER FIRE CHIEF – LAWSUIT DISMISSED – EEOC CHARGE NOT SUBMITTED UNDER OATH – “AT WILL” EMPLOYEE</w:t>
      </w:r>
    </w:p>
    <w:p w14:paraId="3FF9DBA0" w14:textId="77777777" w:rsidR="00EB2493" w:rsidRDefault="00EB2493" w:rsidP="00EB2493">
      <w:pPr>
        <w:pStyle w:val="NoSpacing"/>
      </w:pPr>
    </w:p>
    <w:p w14:paraId="6F6B6D60" w14:textId="77777777" w:rsidR="00EB2493" w:rsidRDefault="00EB2493" w:rsidP="00EB2493">
      <w:pPr>
        <w:pStyle w:val="NoSpacing"/>
        <w:rPr>
          <w:rFonts w:ascii="Times New Roman" w:hAnsi="Times New Roman"/>
          <w:sz w:val="24"/>
          <w:szCs w:val="24"/>
        </w:rPr>
      </w:pPr>
      <w:r>
        <w:rPr>
          <w:rFonts w:ascii="Times New Roman" w:hAnsi="Times New Roman"/>
          <w:sz w:val="24"/>
          <w:szCs w:val="24"/>
        </w:rPr>
        <w:t xml:space="preserve">On Jan. 28, 2021 in </w:t>
      </w:r>
      <w:r w:rsidRPr="001074C7">
        <w:rPr>
          <w:rFonts w:ascii="Times New Roman" w:hAnsi="Times New Roman"/>
          <w:sz w:val="24"/>
          <w:szCs w:val="24"/>
          <w:u w:val="single"/>
        </w:rPr>
        <w:t>Rachel Mosby v. City of Byron, Georgia</w:t>
      </w:r>
      <w:r>
        <w:rPr>
          <w:rFonts w:ascii="Times New Roman" w:hAnsi="Times New Roman"/>
          <w:sz w:val="24"/>
          <w:szCs w:val="24"/>
        </w:rPr>
        <w:t xml:space="preserve">, U.S. District Court Judge Clay D. Land granted the City’s motion to dismiss; plaintiff’s EEOC Charge was never signed under oath (not “Verified” as required by federal law); also Judge held that the plaintiff is an “at will” employee not protected by a civil service commission.  Chief Mosby was fired 18 months after first coming to work for her rural fire department as a woman. </w:t>
      </w:r>
    </w:p>
    <w:p w14:paraId="074FFD6E" w14:textId="77777777" w:rsidR="00EB2493" w:rsidRDefault="00EB2493" w:rsidP="00EB2493">
      <w:pPr>
        <w:pStyle w:val="NoSpacing"/>
        <w:rPr>
          <w:rFonts w:ascii="Times New Roman" w:hAnsi="Times New Roman"/>
          <w:sz w:val="24"/>
          <w:szCs w:val="24"/>
        </w:rPr>
      </w:pPr>
    </w:p>
    <w:p w14:paraId="22BA1AB0" w14:textId="77777777" w:rsidR="00EB2493" w:rsidRDefault="00EB2493" w:rsidP="00EB2493">
      <w:pPr>
        <w:ind w:left="720"/>
        <w:rPr>
          <w:rFonts w:ascii="Times New Roman" w:hAnsi="Times New Roman"/>
          <w:sz w:val="24"/>
          <w:szCs w:val="24"/>
        </w:rPr>
      </w:pPr>
      <w:r>
        <w:rPr>
          <w:rFonts w:ascii="Times New Roman" w:hAnsi="Times New Roman"/>
          <w:sz w:val="24"/>
          <w:szCs w:val="24"/>
        </w:rPr>
        <w:t>“</w:t>
      </w:r>
      <w:r w:rsidRPr="004254B6">
        <w:rPr>
          <w:rFonts w:ascii="Times New Roman" w:hAnsi="Times New Roman"/>
          <w:sz w:val="24"/>
          <w:szCs w:val="24"/>
        </w:rPr>
        <w:t xml:space="preserve">This record, as it stands today, does not contain a verified charge, and </w:t>
      </w:r>
      <w:r>
        <w:rPr>
          <w:rFonts w:ascii="Times New Roman" w:hAnsi="Times New Roman"/>
          <w:sz w:val="24"/>
          <w:szCs w:val="24"/>
        </w:rPr>
        <w:t>‘</w:t>
      </w:r>
      <w:r w:rsidRPr="004254B6">
        <w:rPr>
          <w:rFonts w:ascii="Times New Roman" w:hAnsi="Times New Roman"/>
          <w:sz w:val="24"/>
          <w:szCs w:val="24"/>
        </w:rPr>
        <w:t>the statute mandates that charges be made under oath or affirmation.</w:t>
      </w:r>
      <w:r>
        <w:rPr>
          <w:rFonts w:ascii="Times New Roman" w:hAnsi="Times New Roman"/>
          <w:sz w:val="24"/>
          <w:szCs w:val="24"/>
        </w:rPr>
        <w:t xml:space="preserve">’ </w:t>
      </w:r>
      <w:hyperlink r:id="rId1380" w:history="1">
        <w:r w:rsidRPr="004254B6">
          <w:rPr>
            <w:rStyle w:val="Hyperlink"/>
            <w:rFonts w:ascii="Times New Roman" w:hAnsi="Times New Roman"/>
            <w:i/>
            <w:iCs/>
            <w:sz w:val="24"/>
            <w:szCs w:val="24"/>
          </w:rPr>
          <w:t>Vason,</w:t>
        </w:r>
        <w:r w:rsidRPr="004254B6">
          <w:rPr>
            <w:rStyle w:val="Hyperlink"/>
            <w:rFonts w:ascii="Times New Roman" w:hAnsi="Times New Roman"/>
            <w:sz w:val="24"/>
            <w:szCs w:val="24"/>
          </w:rPr>
          <w:t xml:space="preserve"> 240 F.3d at 907</w:t>
        </w:r>
      </w:hyperlink>
      <w:r w:rsidRPr="004254B6">
        <w:rPr>
          <w:rFonts w:ascii="Times New Roman" w:hAnsi="Times New Roman"/>
          <w:sz w:val="24"/>
          <w:szCs w:val="24"/>
        </w:rPr>
        <w:t xml:space="preserve">. Since </w:t>
      </w:r>
      <w:r>
        <w:rPr>
          <w:rFonts w:ascii="Times New Roman" w:hAnsi="Times New Roman"/>
          <w:sz w:val="24"/>
          <w:szCs w:val="24"/>
        </w:rPr>
        <w:t>‘</w:t>
      </w:r>
      <w:r w:rsidRPr="004254B6">
        <w:rPr>
          <w:rFonts w:ascii="Times New Roman" w:hAnsi="Times New Roman"/>
          <w:sz w:val="24"/>
          <w:szCs w:val="24"/>
        </w:rPr>
        <w:t>verification is an absolute condition precedent to suit</w:t>
      </w:r>
      <w:r>
        <w:rPr>
          <w:rFonts w:ascii="Times New Roman" w:hAnsi="Times New Roman"/>
          <w:sz w:val="24"/>
          <w:szCs w:val="24"/>
        </w:rPr>
        <w:t>’</w:t>
      </w:r>
      <w:r w:rsidRPr="004254B6">
        <w:rPr>
          <w:rFonts w:ascii="Times New Roman" w:hAnsi="Times New Roman"/>
          <w:sz w:val="24"/>
          <w:szCs w:val="24"/>
        </w:rPr>
        <w:t xml:space="preserve"> under Title VII (and the ADA) in this circuit, Mosby's lack of verification demands one simple ruling—she did not satisfy an absolute condition precedent before filing her lawsuit. </w:t>
      </w:r>
      <w:r w:rsidRPr="004254B6">
        <w:rPr>
          <w:rFonts w:ascii="Times New Roman" w:hAnsi="Times New Roman"/>
          <w:i/>
          <w:iCs/>
          <w:sz w:val="24"/>
          <w:szCs w:val="24"/>
        </w:rPr>
        <w:t xml:space="preserve">See </w:t>
      </w:r>
      <w:hyperlink r:id="rId1381" w:history="1">
        <w:r w:rsidRPr="004254B6">
          <w:rPr>
            <w:rStyle w:val="Hyperlink"/>
            <w:rFonts w:ascii="Times New Roman" w:hAnsi="Times New Roman"/>
            <w:i/>
            <w:iCs/>
            <w:sz w:val="24"/>
            <w:szCs w:val="24"/>
          </w:rPr>
          <w:t>Vason v. City of Montgomery,</w:t>
        </w:r>
        <w:r w:rsidRPr="004254B6">
          <w:rPr>
            <w:rStyle w:val="Hyperlink"/>
            <w:rFonts w:ascii="Times New Roman" w:hAnsi="Times New Roman"/>
            <w:sz w:val="24"/>
            <w:szCs w:val="24"/>
          </w:rPr>
          <w:t xml:space="preserve"> 86 F. Supp. 2d 1130, 1133 (M.D. Ala. 2000),</w:t>
        </w:r>
      </w:hyperlink>
      <w:r w:rsidRPr="004254B6">
        <w:rPr>
          <w:rFonts w:ascii="Times New Roman" w:hAnsi="Times New Roman"/>
          <w:sz w:val="24"/>
          <w:szCs w:val="24"/>
        </w:rPr>
        <w:t xml:space="preserve"> </w:t>
      </w:r>
      <w:r w:rsidRPr="004254B6">
        <w:rPr>
          <w:rFonts w:ascii="Times New Roman" w:hAnsi="Times New Roman"/>
          <w:i/>
          <w:iCs/>
          <w:sz w:val="24"/>
          <w:szCs w:val="24"/>
        </w:rPr>
        <w:t>aff'd,</w:t>
      </w:r>
      <w:r w:rsidRPr="004254B6">
        <w:rPr>
          <w:rFonts w:ascii="Times New Roman" w:hAnsi="Times New Roman"/>
          <w:sz w:val="24"/>
          <w:szCs w:val="24"/>
        </w:rPr>
        <w:t xml:space="preserve"> </w:t>
      </w:r>
      <w:hyperlink r:id="rId1382" w:history="1">
        <w:r w:rsidRPr="004254B6">
          <w:rPr>
            <w:rStyle w:val="Hyperlink"/>
            <w:rFonts w:ascii="Times New Roman" w:hAnsi="Times New Roman"/>
            <w:sz w:val="24"/>
            <w:szCs w:val="24"/>
          </w:rPr>
          <w:t>240 F.3d 905</w:t>
        </w:r>
      </w:hyperlink>
      <w:r w:rsidRPr="004254B6">
        <w:rPr>
          <w:rFonts w:ascii="Times New Roman" w:hAnsi="Times New Roman"/>
          <w:sz w:val="24"/>
          <w:szCs w:val="24"/>
        </w:rPr>
        <w:t xml:space="preserve"> (alteration adopted). Consequently, Mosby's Title VII and ADA claims are barred as a matter of law.</w:t>
      </w:r>
      <w:r>
        <w:rPr>
          <w:rFonts w:ascii="Times New Roman" w:hAnsi="Times New Roman"/>
          <w:sz w:val="24"/>
          <w:szCs w:val="24"/>
        </w:rPr>
        <w:t>”</w:t>
      </w:r>
    </w:p>
    <w:p w14:paraId="520FAE89" w14:textId="589E8E7A" w:rsidR="00EB2493" w:rsidRDefault="00EB2493" w:rsidP="00EB2493">
      <w:pPr>
        <w:rPr>
          <w:rFonts w:ascii="Arial Black" w:hAnsi="Arial Black"/>
          <w:b/>
          <w:sz w:val="24"/>
          <w:szCs w:val="24"/>
        </w:rPr>
      </w:pPr>
      <w:hyperlink r:id="rId1383" w:history="1">
        <w:r w:rsidRPr="002013DF">
          <w:rPr>
            <w:rStyle w:val="Hyperlink"/>
            <w:rFonts w:ascii="Times New Roman" w:hAnsi="Times New Roman"/>
            <w:sz w:val="24"/>
            <w:szCs w:val="24"/>
          </w:rPr>
          <w:t>https://scholar.google.com/scholar_case?case=1979118509333189928&amp;q=Rachel+MOSBY+v.+CITY+OF+BYRON,+GEORGIA,&amp;hl=en&amp;as_sdt=6,36</w:t>
        </w:r>
      </w:hyperlink>
    </w:p>
    <w:p w14:paraId="338590CC" w14:textId="6C2767B5" w:rsidR="00EB2493" w:rsidRPr="00321109" w:rsidRDefault="00EB2493" w:rsidP="00EB2493">
      <w:pPr>
        <w:tabs>
          <w:tab w:val="left" w:pos="2830"/>
        </w:tabs>
        <w:rPr>
          <w:rFonts w:ascii="Times New Roman" w:hAnsi="Times New Roman"/>
          <w:b/>
          <w:bCs/>
          <w:sz w:val="24"/>
          <w:szCs w:val="24"/>
        </w:rPr>
      </w:pPr>
      <w:r w:rsidRPr="00321109">
        <w:rPr>
          <w:rFonts w:ascii="Times New Roman" w:hAnsi="Times New Roman"/>
          <w:b/>
          <w:bCs/>
          <w:sz w:val="24"/>
          <w:szCs w:val="24"/>
        </w:rPr>
        <w:t>Legal Lesson Learned</w:t>
      </w:r>
      <w:r>
        <w:rPr>
          <w:rFonts w:ascii="Times New Roman" w:hAnsi="Times New Roman"/>
          <w:b/>
          <w:bCs/>
          <w:sz w:val="24"/>
          <w:szCs w:val="24"/>
        </w:rPr>
        <w:t xml:space="preserve">:  EEOC charges must be “verified” (signed under oath); “at will” employees may be terminated without cause; public officials cannot sue for defamation without proof of “malice.”  </w:t>
      </w:r>
      <w:bookmarkStart w:id="289" w:name="_Hlk65911361"/>
      <w:r>
        <w:rPr>
          <w:rFonts w:ascii="Times New Roman" w:hAnsi="Times New Roman"/>
          <w:b/>
          <w:bCs/>
          <w:sz w:val="24"/>
          <w:szCs w:val="24"/>
        </w:rPr>
        <w:t xml:space="preserve">If this case had gone to trial, the jury might have seriously questioned the actions of the employer. </w:t>
      </w:r>
    </w:p>
    <w:bookmarkEnd w:id="289"/>
    <w:p w14:paraId="2610B9A1" w14:textId="77777777" w:rsidR="00EB2493" w:rsidRPr="00321109" w:rsidRDefault="00EB2493" w:rsidP="00EB2493">
      <w:pPr>
        <w:pStyle w:val="Heading1"/>
        <w:ind w:left="720"/>
        <w:rPr>
          <w:b w:val="0"/>
          <w:bCs w:val="0"/>
          <w:sz w:val="24"/>
          <w:szCs w:val="24"/>
        </w:rPr>
      </w:pPr>
      <w:r w:rsidRPr="00321109">
        <w:rPr>
          <w:b w:val="0"/>
          <w:bCs w:val="0"/>
          <w:sz w:val="24"/>
          <w:szCs w:val="24"/>
        </w:rPr>
        <w:t xml:space="preserve">Note:  </w:t>
      </w:r>
      <w:r>
        <w:rPr>
          <w:b w:val="0"/>
          <w:bCs w:val="0"/>
          <w:sz w:val="24"/>
          <w:szCs w:val="24"/>
        </w:rPr>
        <w:t>See:  Feb. 19, 2021: “</w:t>
      </w:r>
      <w:r w:rsidRPr="004254B6">
        <w:rPr>
          <w:b w:val="0"/>
          <w:bCs w:val="0"/>
          <w:sz w:val="24"/>
          <w:szCs w:val="24"/>
        </w:rPr>
        <w:t>Judge dismisses discrimination lawsuit by transgender fire chief</w:t>
      </w:r>
      <w:r>
        <w:rPr>
          <w:b w:val="0"/>
          <w:bCs w:val="0"/>
          <w:sz w:val="24"/>
          <w:szCs w:val="24"/>
        </w:rPr>
        <w:t xml:space="preserve">.” </w:t>
      </w:r>
      <w:r w:rsidRPr="004254B6">
        <w:rPr>
          <w:b w:val="0"/>
          <w:bCs w:val="0"/>
          <w:sz w:val="24"/>
          <w:szCs w:val="24"/>
        </w:rPr>
        <w:t>SAVANNAH, Ga. — A federal judge has dismissed a discrimination lawsuit by a transgender fire chief who led a rural Georgia city's fire department for more than a decade, then got fired 18 months after first coming to work as a woman</w:t>
      </w:r>
      <w:r>
        <w:rPr>
          <w:b w:val="0"/>
          <w:bCs w:val="0"/>
          <w:sz w:val="24"/>
          <w:szCs w:val="24"/>
        </w:rPr>
        <w:t xml:space="preserve">.” </w:t>
      </w:r>
      <w:hyperlink r:id="rId1384" w:history="1">
        <w:r w:rsidRPr="00D403AF">
          <w:rPr>
            <w:rStyle w:val="Hyperlink"/>
            <w:b w:val="0"/>
            <w:bCs w:val="0"/>
            <w:sz w:val="24"/>
            <w:szCs w:val="24"/>
          </w:rPr>
          <w:t>https://www.firerescue1.com/discrimination/articles/judge-dismisses-discrimination-lawsuit-by-transgender-fire-chief-c9ZJzz1mhPH97dsL/?utm_source=FireRescue1+Daily&amp;utm_campaign=34323ded4f-EMAIL_CAMPAIGN_2021_02_19_07_52&amp;utm_medium=email&amp;utm_term=0_758bdbeffe-34323ded4f-41607823</w:t>
        </w:r>
      </w:hyperlink>
      <w:r>
        <w:rPr>
          <w:b w:val="0"/>
          <w:bCs w:val="0"/>
          <w:sz w:val="24"/>
          <w:szCs w:val="24"/>
        </w:rPr>
        <w:t xml:space="preserve"> </w:t>
      </w:r>
    </w:p>
    <w:p w14:paraId="6AAE0EF5" w14:textId="77777777" w:rsidR="00EB2493" w:rsidRPr="004254B6" w:rsidRDefault="00EB2493" w:rsidP="00EB2493">
      <w:pPr>
        <w:pStyle w:val="NoSpacing"/>
        <w:ind w:left="720"/>
        <w:rPr>
          <w:rFonts w:ascii="Times New Roman" w:hAnsi="Times New Roman"/>
          <w:sz w:val="24"/>
          <w:szCs w:val="24"/>
        </w:rPr>
      </w:pPr>
      <w:r w:rsidRPr="004254B6">
        <w:rPr>
          <w:rFonts w:ascii="Times New Roman" w:hAnsi="Times New Roman"/>
          <w:sz w:val="24"/>
          <w:szCs w:val="24"/>
        </w:rPr>
        <w:t xml:space="preserve">See also: “Federal judge dismisses discrimination lawsuit by transgender fire chief in Georgia.” </w:t>
      </w:r>
      <w:hyperlink r:id="rId1385" w:history="1">
        <w:r w:rsidRPr="004254B6">
          <w:rPr>
            <w:rStyle w:val="Hyperlink"/>
            <w:rFonts w:ascii="Times New Roman" w:hAnsi="Times New Roman"/>
            <w:sz w:val="24"/>
            <w:szCs w:val="24"/>
          </w:rPr>
          <w:t>https://www.nbcnews.com/news/us-news/federal-judge-dismisses-discrimination-lawsuit-transgender-fire-chief-georgia-n1258452</w:t>
        </w:r>
      </w:hyperlink>
    </w:p>
    <w:p w14:paraId="5183A507" w14:textId="77777777" w:rsidR="00EB2493" w:rsidRDefault="00EB2493" w:rsidP="002B1283">
      <w:pPr>
        <w:rPr>
          <w:rFonts w:ascii="Arial Black" w:hAnsi="Arial Black"/>
          <w:b/>
          <w:sz w:val="24"/>
          <w:szCs w:val="24"/>
        </w:rPr>
      </w:pPr>
    </w:p>
    <w:p w14:paraId="4C73B106" w14:textId="77777777" w:rsidR="00EB2493" w:rsidRDefault="00EB2493" w:rsidP="002B1283">
      <w:pPr>
        <w:rPr>
          <w:rFonts w:ascii="Arial Black" w:hAnsi="Arial Black"/>
          <w:b/>
          <w:sz w:val="24"/>
          <w:szCs w:val="24"/>
        </w:rPr>
      </w:pPr>
    </w:p>
    <w:p w14:paraId="1E51D146" w14:textId="425EDDE7" w:rsidR="00737B49" w:rsidRDefault="00737B49" w:rsidP="002B1283">
      <w:pPr>
        <w:rPr>
          <w:rFonts w:ascii="Arial Black" w:hAnsi="Arial Black"/>
          <w:b/>
          <w:sz w:val="24"/>
          <w:szCs w:val="24"/>
        </w:rPr>
      </w:pPr>
      <w:r>
        <w:rPr>
          <w:rFonts w:ascii="Arial Black" w:hAnsi="Arial Black"/>
          <w:b/>
          <w:sz w:val="24"/>
          <w:szCs w:val="24"/>
        </w:rPr>
        <w:t>7-27</w:t>
      </w:r>
    </w:p>
    <w:p w14:paraId="7CD45694" w14:textId="2EF41928" w:rsidR="00863F9E" w:rsidRDefault="00863F9E" w:rsidP="00863F9E">
      <w:pPr>
        <w:spacing w:before="100" w:beforeAutospacing="1" w:after="100" w:afterAutospacing="1" w:line="240" w:lineRule="auto"/>
        <w:rPr>
          <w:rFonts w:ascii="Arial Black" w:hAnsi="Arial Black" w:cstheme="minorBidi"/>
          <w:sz w:val="28"/>
          <w:szCs w:val="28"/>
        </w:rPr>
      </w:pPr>
      <w:bookmarkStart w:id="290" w:name="_Hlk66947567"/>
      <w:r>
        <w:rPr>
          <w:rFonts w:ascii="Arial Black" w:hAnsi="Arial Black"/>
          <w:sz w:val="28"/>
          <w:szCs w:val="28"/>
        </w:rPr>
        <w:t xml:space="preserve">MI: JURY FINDS NO SEX HARASSMENT, NO RETALIATION – FF 29-DAY SUSP - POSTED CELL PHONE PHOTO OF HOUSE FIRE </w:t>
      </w:r>
    </w:p>
    <w:p w14:paraId="790A66CB" w14:textId="77777777" w:rsidR="00863F9E" w:rsidRDefault="00863F9E" w:rsidP="00863F9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On Dec. 29, 2020, in </w:t>
      </w:r>
      <w:r>
        <w:rPr>
          <w:rFonts w:ascii="Times New Roman" w:hAnsi="Times New Roman"/>
          <w:sz w:val="24"/>
          <w:szCs w:val="24"/>
          <w:u w:val="single"/>
        </w:rPr>
        <w:t>Amy Rygwelski v. City of Flint, et al</w:t>
      </w:r>
      <w:r>
        <w:rPr>
          <w:rFonts w:ascii="Times New Roman" w:hAnsi="Times New Roman"/>
          <w:sz w:val="24"/>
          <w:szCs w:val="24"/>
        </w:rPr>
        <w:t>., the State of Michigan Court of Appeals, held (3 to 0) that the trial court properly upheld the jury decision of no harassment or retaliation.  She filed complaint of sexual harassment after one minor incident with fellow firefighter; was reassigned to another station, and later received a 29-day suspension after the department learned that, while on a fire run, she used her cell phone to take a picture of the rising sun while a house burned in the foreground, posted on social media.</w:t>
      </w:r>
    </w:p>
    <w:bookmarkEnd w:id="290"/>
    <w:p w14:paraId="1F1683D7" w14:textId="77777777" w:rsidR="00863F9E" w:rsidRDefault="00863F9E" w:rsidP="00863F9E">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 xml:space="preserve">“If the jury were to believe that plaintiff fabricated her claim of sexual harassment, then plaintiff was not engaged in a protected activity. Reporting a fabricated account of harassment would not be an activity protected by the act, because a plaintiff could not possibly be acting upon </w:t>
      </w:r>
      <w:proofErr w:type="gramStart"/>
      <w:r>
        <w:rPr>
          <w:rFonts w:ascii="Times New Roman" w:hAnsi="Times New Roman"/>
          <w:sz w:val="24"/>
          <w:szCs w:val="24"/>
        </w:rPr>
        <w:t>a good</w:t>
      </w:r>
      <w:proofErr w:type="gramEnd"/>
      <w:r>
        <w:rPr>
          <w:rFonts w:ascii="Times New Roman" w:hAnsi="Times New Roman"/>
          <w:sz w:val="24"/>
          <w:szCs w:val="24"/>
        </w:rPr>
        <w:t xml:space="preserve">-faith or reasonable belief of unlawful activity. And because a question of fact existed with respect to whether the sexual harassment </w:t>
      </w:r>
      <w:proofErr w:type="gramStart"/>
      <w:r>
        <w:rPr>
          <w:rFonts w:ascii="Times New Roman" w:hAnsi="Times New Roman"/>
          <w:sz w:val="24"/>
          <w:szCs w:val="24"/>
        </w:rPr>
        <w:t>actually occurred</w:t>
      </w:r>
      <w:proofErr w:type="gramEnd"/>
      <w:r>
        <w:rPr>
          <w:rFonts w:ascii="Times New Roman" w:hAnsi="Times New Roman"/>
          <w:sz w:val="24"/>
          <w:szCs w:val="24"/>
        </w:rPr>
        <w:t xml:space="preserve">, reasonable jurors could have differed with respect to whether plaintiff engaged in protected activity. Accordingly, the trial court did not err when it denied plaintiff’s motion for a directed verdict.” </w:t>
      </w:r>
      <w:bookmarkStart w:id="291" w:name="_Hlk66947588"/>
      <w:r w:rsidR="00F00958">
        <w:fldChar w:fldCharType="begin"/>
      </w:r>
      <w:r w:rsidR="00F00958">
        <w:instrText xml:space="preserve"> HYPERLINK "https://public.fastcase.com/Wl%2B2t%2BeVuI35%2FN70vAMFZhNKndYLJrOSR04H32IgTwa9kDAt3i1qzZBjDxGzNoxz" </w:instrText>
      </w:r>
      <w:r w:rsidR="00F00958">
        <w:fldChar w:fldCharType="separate"/>
      </w:r>
      <w:r>
        <w:rPr>
          <w:rStyle w:val="Hyperlink"/>
        </w:rPr>
        <w:t>https://public.fastcase.com/Wl%2B2t%2BeVuI35%2FN70vAMFZhNKndYLJrOSR04H32IgTwa9kDAt3i1qzZBjDxGzNoxz</w:t>
      </w:r>
      <w:r w:rsidR="00F00958">
        <w:rPr>
          <w:rStyle w:val="Hyperlink"/>
        </w:rPr>
        <w:fldChar w:fldCharType="end"/>
      </w:r>
      <w:r>
        <w:rPr>
          <w:rFonts w:ascii="Times New Roman" w:hAnsi="Times New Roman"/>
          <w:sz w:val="24"/>
          <w:szCs w:val="24"/>
        </w:rPr>
        <w:t xml:space="preserve">  </w:t>
      </w:r>
    </w:p>
    <w:p w14:paraId="42CE8AC4" w14:textId="77777777" w:rsidR="00863F9E" w:rsidRDefault="00863F9E" w:rsidP="00863F9E">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Plaintiff failed to prove her allegations to the jury.</w:t>
      </w:r>
    </w:p>
    <w:bookmarkEnd w:id="291"/>
    <w:p w14:paraId="06260D2E" w14:textId="77777777" w:rsidR="00863F9E" w:rsidRDefault="00863F9E" w:rsidP="002B1283">
      <w:pPr>
        <w:rPr>
          <w:rFonts w:ascii="Arial Black" w:hAnsi="Arial Black"/>
          <w:b/>
          <w:sz w:val="24"/>
          <w:szCs w:val="24"/>
        </w:rPr>
      </w:pPr>
    </w:p>
    <w:p w14:paraId="330F4090" w14:textId="6B2CA801" w:rsidR="00737B49" w:rsidRDefault="00737B49" w:rsidP="002B1283">
      <w:pPr>
        <w:rPr>
          <w:rFonts w:ascii="Arial Black" w:hAnsi="Arial Black"/>
          <w:b/>
          <w:sz w:val="24"/>
          <w:szCs w:val="24"/>
        </w:rPr>
      </w:pPr>
    </w:p>
    <w:p w14:paraId="25CE69BD" w14:textId="35D31BFD" w:rsidR="00737B49" w:rsidRDefault="00737B49" w:rsidP="002B1283">
      <w:pPr>
        <w:rPr>
          <w:rFonts w:ascii="Arial Black" w:hAnsi="Arial Black"/>
          <w:b/>
          <w:sz w:val="24"/>
          <w:szCs w:val="24"/>
        </w:rPr>
      </w:pPr>
      <w:r>
        <w:rPr>
          <w:rFonts w:ascii="Arial Black" w:hAnsi="Arial Black"/>
          <w:b/>
          <w:sz w:val="24"/>
          <w:szCs w:val="24"/>
        </w:rPr>
        <w:t>7-26</w:t>
      </w:r>
    </w:p>
    <w:p w14:paraId="136021BB" w14:textId="77777777" w:rsidR="00863F9E" w:rsidRDefault="00863F9E" w:rsidP="00863F9E">
      <w:pPr>
        <w:rPr>
          <w:rFonts w:ascii="Arial Black" w:eastAsiaTheme="minorHAnsi" w:hAnsi="Arial Black" w:cstheme="minorBidi"/>
          <w:sz w:val="28"/>
          <w:szCs w:val="28"/>
        </w:rPr>
      </w:pPr>
      <w:bookmarkStart w:id="292" w:name="_Hlk66947667"/>
      <w:r>
        <w:rPr>
          <w:rFonts w:ascii="Arial Black" w:hAnsi="Arial Black"/>
          <w:sz w:val="28"/>
          <w:szCs w:val="28"/>
        </w:rPr>
        <w:t>NY: FF FIRED – SEMEN INSIDE PANTS BELONGING TO FEMALE FF – ARBITRATOR, COURTS UPHOLD FIRING</w:t>
      </w:r>
    </w:p>
    <w:p w14:paraId="69FAAE9D" w14:textId="1B9BAC19" w:rsidR="00863F9E" w:rsidRDefault="00863F9E" w:rsidP="00863F9E">
      <w:pPr>
        <w:rPr>
          <w:rFonts w:ascii="Times New Roman" w:hAnsi="Times New Roman"/>
          <w:sz w:val="24"/>
          <w:szCs w:val="24"/>
        </w:rPr>
      </w:pPr>
      <w:r>
        <w:rPr>
          <w:rFonts w:ascii="Times New Roman" w:hAnsi="Times New Roman"/>
          <w:sz w:val="24"/>
          <w:szCs w:val="24"/>
        </w:rPr>
        <w:t xml:space="preserve">On Dec. 23, 2020, </w:t>
      </w:r>
      <w:r>
        <w:rPr>
          <w:rFonts w:ascii="Times New Roman" w:hAnsi="Times New Roman"/>
          <w:sz w:val="24"/>
          <w:szCs w:val="24"/>
          <w:u w:val="single"/>
        </w:rPr>
        <w:t>In The Matter Of Arbitration Between City of Utica, and Local 32, IAFF (on Behalf of Richard J. Forte)</w:t>
      </w:r>
      <w:r>
        <w:rPr>
          <w:rFonts w:ascii="Times New Roman" w:hAnsi="Times New Roman"/>
          <w:sz w:val="24"/>
          <w:szCs w:val="24"/>
        </w:rPr>
        <w:t xml:space="preserve">, the Supreme Court of the State of New York, Appellate Division (Fourth Judicial District), 2020 NY Slip Op 07783, held (5 to 0) that trial court properly denied his motion to vacate arbitration award in favor of the City. </w:t>
      </w:r>
    </w:p>
    <w:bookmarkEnd w:id="292"/>
    <w:p w14:paraId="5109B944" w14:textId="77777777" w:rsidR="00863F9E" w:rsidRDefault="00863F9E" w:rsidP="00863F9E">
      <w:pPr>
        <w:ind w:left="720"/>
        <w:rPr>
          <w:rFonts w:asciiTheme="minorHAnsi" w:hAnsiTheme="minorHAnsi" w:cstheme="minorBidi"/>
        </w:rPr>
      </w:pPr>
      <w:r>
        <w:rPr>
          <w:rFonts w:ascii="Times New Roman" w:hAnsi="Times New Roman"/>
          <w:sz w:val="24"/>
          <w:szCs w:val="24"/>
        </w:rPr>
        <w:t>“Respondent contends that the arbitrator improperly found him guilty of committing uncharged conduct, i.e., sexual harassment, and determined that termination was the appropriate penalty for that uncharged conduct. We reject that contention.</w:t>
      </w:r>
    </w:p>
    <w:p w14:paraId="7D1545AF" w14:textId="77777777" w:rsidR="00863F9E" w:rsidRDefault="00863F9E" w:rsidP="00863F9E">
      <w:pPr>
        <w:ind w:left="720"/>
        <w:rPr>
          <w:rFonts w:ascii="Times New Roman" w:hAnsi="Times New Roman"/>
          <w:sz w:val="24"/>
          <w:szCs w:val="24"/>
        </w:rPr>
      </w:pPr>
      <w:r>
        <w:rPr>
          <w:rFonts w:ascii="Times New Roman" w:hAnsi="Times New Roman"/>
          <w:sz w:val="24"/>
          <w:szCs w:val="24"/>
        </w:rPr>
        <w:t>Respondent was charged in the notice of disciplinary charges with, inter alia, conduct unbecoming a member of the Utica Fire Department ‘insofar as [he] knowingly and intentionally damage[d] property belonging to a fellow firefighter’ by ‘intentionally, knowingly, and unlawfully, with the intent to damage property, deposit[</w:t>
      </w:r>
      <w:proofErr w:type="spellStart"/>
      <w:r>
        <w:rPr>
          <w:rFonts w:ascii="Times New Roman" w:hAnsi="Times New Roman"/>
          <w:sz w:val="24"/>
          <w:szCs w:val="24"/>
        </w:rPr>
        <w:t>ing</w:t>
      </w:r>
      <w:proofErr w:type="spellEnd"/>
      <w:r>
        <w:rPr>
          <w:rFonts w:ascii="Times New Roman" w:hAnsi="Times New Roman"/>
          <w:sz w:val="24"/>
          <w:szCs w:val="24"/>
        </w:rPr>
        <w:t xml:space="preserve">] [his] semen onto the inside crotch area of a pair of pants belonging to’ a fellow firefighter.” </w:t>
      </w:r>
      <w:bookmarkStart w:id="293" w:name="_Hlk66947690"/>
      <w:r w:rsidR="00F00958">
        <w:fldChar w:fldCharType="begin"/>
      </w:r>
      <w:r w:rsidR="00F00958">
        <w:instrText xml:space="preserve"> HYPERLINK "https://public.fastcase.com/Wl%2B2t%2BeVuI35%2FN70vAMFZp6hsxXEFbDsO880xeA992QVSgi2XCJKDe%2BRTn9MNoHg" </w:instrText>
      </w:r>
      <w:r w:rsidR="00F00958">
        <w:fldChar w:fldCharType="separate"/>
      </w:r>
      <w:r>
        <w:rPr>
          <w:rStyle w:val="Hyperlink"/>
        </w:rPr>
        <w:t>https://public.fastcase.com/Wl%2B2t%2BeVuI35%2FN70vAMFZp6hsxXEFbDsO880xeA992QVSgi2XCJKDe%2BRTn9MNoHg</w:t>
      </w:r>
      <w:r w:rsidR="00F00958">
        <w:rPr>
          <w:rStyle w:val="Hyperlink"/>
        </w:rPr>
        <w:fldChar w:fldCharType="end"/>
      </w:r>
      <w:r>
        <w:rPr>
          <w:rFonts w:ascii="Times New Roman" w:hAnsi="Times New Roman"/>
          <w:sz w:val="24"/>
          <w:szCs w:val="24"/>
        </w:rPr>
        <w:t xml:space="preserve"> </w:t>
      </w:r>
    </w:p>
    <w:p w14:paraId="0F67507F" w14:textId="77777777" w:rsidR="00863F9E" w:rsidRDefault="00863F9E" w:rsidP="00863F9E">
      <w:pPr>
        <w:spacing w:before="100" w:beforeAutospacing="1" w:after="100" w:afterAutospacing="1" w:line="240" w:lineRule="auto"/>
        <w:rPr>
          <w:rFonts w:ascii="Times New Roman" w:eastAsia="Times New Roman" w:hAnsi="Times New Roman"/>
          <w:b/>
          <w:bCs/>
          <w:sz w:val="24"/>
          <w:szCs w:val="24"/>
        </w:rPr>
      </w:pPr>
      <w:r w:rsidRPr="004D6DF3">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Terrible set of facts.</w:t>
      </w:r>
    </w:p>
    <w:p w14:paraId="0987C420" w14:textId="77777777" w:rsidR="00863F9E" w:rsidRPr="004D6DF3" w:rsidRDefault="00863F9E" w:rsidP="00863F9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sz w:val="24"/>
          <w:szCs w:val="24"/>
        </w:rPr>
        <w:tab/>
      </w:r>
      <w:r>
        <w:rPr>
          <w:rFonts w:ascii="Times New Roman" w:eastAsia="Times New Roman" w:hAnsi="Times New Roman"/>
          <w:sz w:val="24"/>
          <w:szCs w:val="24"/>
        </w:rPr>
        <w:t xml:space="preserve">Note: This case has been subject of lots of negative Press. </w:t>
      </w:r>
    </w:p>
    <w:bookmarkEnd w:id="293"/>
    <w:p w14:paraId="387BA4A4" w14:textId="77777777" w:rsidR="00863F9E" w:rsidRPr="004D6DF3" w:rsidRDefault="00863F9E" w:rsidP="00863F9E">
      <w:pPr>
        <w:ind w:left="720"/>
        <w:rPr>
          <w:sz w:val="24"/>
          <w:szCs w:val="24"/>
        </w:rPr>
      </w:pPr>
      <w:r>
        <w:rPr>
          <w:rFonts w:ascii="Times New Roman" w:hAnsi="Times New Roman"/>
          <w:sz w:val="24"/>
          <w:szCs w:val="24"/>
        </w:rPr>
        <w:lastRenderedPageBreak/>
        <w:t xml:space="preserve">July 21, 2020: </w:t>
      </w:r>
      <w:r w:rsidRPr="004D6DF3">
        <w:rPr>
          <w:rFonts w:ascii="Times New Roman" w:hAnsi="Times New Roman"/>
          <w:sz w:val="24"/>
          <w:szCs w:val="24"/>
        </w:rPr>
        <w:t>“Court: Former Utica firefighter not entitled to payment.”</w:t>
      </w:r>
      <w:r>
        <w:rPr>
          <w:rFonts w:ascii="Times New Roman" w:hAnsi="Times New Roman"/>
          <w:sz w:val="24"/>
          <w:szCs w:val="24"/>
        </w:rPr>
        <w:t xml:space="preserve"> “</w:t>
      </w:r>
      <w:r w:rsidRPr="004D6DF3">
        <w:rPr>
          <w:rFonts w:ascii="Times New Roman" w:hAnsi="Times New Roman"/>
          <w:sz w:val="24"/>
          <w:szCs w:val="24"/>
        </w:rPr>
        <w:t>Richard Forte was found guilty last September of charges related to a January 2018 incident, during which he ejaculated on a pair of pants owned by a female firefighter. He was sentenced last December to 60 days in the county jail.</w:t>
      </w:r>
      <w:r>
        <w:rPr>
          <w:rFonts w:ascii="Times New Roman" w:hAnsi="Times New Roman"/>
          <w:sz w:val="24"/>
          <w:szCs w:val="24"/>
        </w:rPr>
        <w:t xml:space="preserve">” </w:t>
      </w:r>
      <w:hyperlink r:id="rId1386" w:history="1">
        <w:r w:rsidRPr="008335C2">
          <w:rPr>
            <w:rStyle w:val="Hyperlink"/>
            <w:sz w:val="24"/>
            <w:szCs w:val="24"/>
          </w:rPr>
          <w:t>https://www.uticaod.com/story/news/2020/07/21/court-former-utica-firefighter-not-entitled-to-payment/42260661/</w:t>
        </w:r>
      </w:hyperlink>
      <w:r w:rsidRPr="004D6DF3">
        <w:rPr>
          <w:sz w:val="24"/>
          <w:szCs w:val="24"/>
        </w:rPr>
        <w:t xml:space="preserve"> </w:t>
      </w:r>
    </w:p>
    <w:p w14:paraId="7A67F713" w14:textId="77777777" w:rsidR="00863F9E" w:rsidRPr="004D6DF3" w:rsidRDefault="00863F9E" w:rsidP="00863F9E">
      <w:pPr>
        <w:pStyle w:val="Heading1"/>
        <w:ind w:left="720"/>
        <w:rPr>
          <w:b w:val="0"/>
          <w:bCs w:val="0"/>
          <w:sz w:val="24"/>
          <w:szCs w:val="24"/>
        </w:rPr>
      </w:pPr>
      <w:r w:rsidRPr="004D6DF3">
        <w:rPr>
          <w:b w:val="0"/>
          <w:bCs w:val="0"/>
          <w:sz w:val="24"/>
          <w:szCs w:val="24"/>
        </w:rPr>
        <w:t xml:space="preserve">Sept. 25, 2019: “Ex-Utica firefighter found guilty on all charges.” </w:t>
      </w:r>
      <w:hyperlink r:id="rId1387" w:history="1">
        <w:r w:rsidRPr="008335C2">
          <w:rPr>
            <w:rStyle w:val="Hyperlink"/>
            <w:b w:val="0"/>
            <w:bCs w:val="0"/>
            <w:sz w:val="24"/>
            <w:szCs w:val="24"/>
          </w:rPr>
          <w:t>https://www.uticaod.com/news/20190925/ex-utica-firefighter-found-guilty-on-all-charges</w:t>
        </w:r>
      </w:hyperlink>
      <w:r w:rsidRPr="004D6DF3">
        <w:rPr>
          <w:b w:val="0"/>
          <w:bCs w:val="0"/>
          <w:sz w:val="24"/>
          <w:szCs w:val="24"/>
        </w:rPr>
        <w:t xml:space="preserve"> </w:t>
      </w:r>
    </w:p>
    <w:p w14:paraId="017E8965" w14:textId="77777777" w:rsidR="00863F9E" w:rsidRPr="004D6DF3" w:rsidRDefault="00863F9E" w:rsidP="00863F9E">
      <w:pPr>
        <w:ind w:left="720"/>
        <w:rPr>
          <w:rFonts w:ascii="Times New Roman" w:hAnsi="Times New Roman"/>
          <w:sz w:val="24"/>
          <w:szCs w:val="24"/>
        </w:rPr>
      </w:pPr>
      <w:r>
        <w:rPr>
          <w:rFonts w:ascii="Times New Roman" w:hAnsi="Times New Roman"/>
          <w:sz w:val="24"/>
          <w:szCs w:val="24"/>
        </w:rPr>
        <w:t xml:space="preserve">April 4, 2019: “Utica firefighter fired after sexual harassment claim.” </w:t>
      </w:r>
      <w:hyperlink r:id="rId1388" w:history="1">
        <w:r w:rsidRPr="008335C2">
          <w:rPr>
            <w:rStyle w:val="Hyperlink"/>
            <w:rFonts w:ascii="Times New Roman" w:hAnsi="Times New Roman"/>
            <w:sz w:val="24"/>
            <w:szCs w:val="24"/>
          </w:rPr>
          <w:t>https://www.uticaod.com/news/20190404/utica-firefighter-fired-after-sexual-harassment-claim</w:t>
        </w:r>
      </w:hyperlink>
      <w:r>
        <w:rPr>
          <w:rFonts w:ascii="Times New Roman" w:hAnsi="Times New Roman"/>
          <w:sz w:val="24"/>
          <w:szCs w:val="24"/>
        </w:rPr>
        <w:t xml:space="preserve"> </w:t>
      </w:r>
    </w:p>
    <w:p w14:paraId="07C7A4A6" w14:textId="77777777" w:rsidR="00737B49" w:rsidRDefault="00737B49" w:rsidP="002B1283">
      <w:pPr>
        <w:rPr>
          <w:rFonts w:ascii="Arial Black" w:hAnsi="Arial Black"/>
          <w:b/>
          <w:sz w:val="24"/>
          <w:szCs w:val="24"/>
        </w:rPr>
      </w:pPr>
    </w:p>
    <w:p w14:paraId="08007798" w14:textId="43D61A9C" w:rsidR="00DD03E3" w:rsidRDefault="00DD03E3" w:rsidP="002B1283">
      <w:pPr>
        <w:rPr>
          <w:rFonts w:ascii="Arial Black" w:hAnsi="Arial Black"/>
          <w:b/>
          <w:sz w:val="24"/>
          <w:szCs w:val="24"/>
        </w:rPr>
      </w:pPr>
      <w:r>
        <w:rPr>
          <w:rFonts w:ascii="Arial Black" w:hAnsi="Arial Black"/>
          <w:b/>
          <w:sz w:val="24"/>
          <w:szCs w:val="24"/>
        </w:rPr>
        <w:t>7-25</w:t>
      </w:r>
    </w:p>
    <w:p w14:paraId="2DCB1B6C" w14:textId="77777777" w:rsidR="00DD03E3" w:rsidRPr="00CB26F0" w:rsidRDefault="00DD03E3" w:rsidP="00DD03E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FEMALE IN CHICAGO FD’s PARAMEDIC ACADEMY – INJURED “LIFTING &amp; MOVING SEQUENCE” – REFUSED RE-HIRE - CASE PROCEED</w:t>
      </w:r>
    </w:p>
    <w:p w14:paraId="63E7D3F3" w14:textId="77777777" w:rsidR="00DD03E3" w:rsidRDefault="00DD03E3" w:rsidP="00DD03E3">
      <w:pPr>
        <w:spacing w:before="100" w:beforeAutospacing="1" w:after="100" w:afterAutospacing="1" w:line="240" w:lineRule="auto"/>
        <w:rPr>
          <w:rFonts w:ascii="Times New Roman" w:hAnsi="Times New Roman"/>
          <w:sz w:val="24"/>
          <w:szCs w:val="24"/>
        </w:rPr>
      </w:pPr>
      <w:r w:rsidRPr="009A19BE">
        <w:rPr>
          <w:rFonts w:ascii="Times New Roman" w:eastAsia="Times New Roman" w:hAnsi="Times New Roman"/>
          <w:sz w:val="24"/>
          <w:szCs w:val="24"/>
        </w:rPr>
        <w:t>On Act. 27, 2020, in</w:t>
      </w:r>
      <w:r>
        <w:rPr>
          <w:rFonts w:ascii="Times New Roman" w:eastAsia="Times New Roman" w:hAnsi="Times New Roman"/>
          <w:sz w:val="24"/>
          <w:szCs w:val="24"/>
        </w:rPr>
        <w:t xml:space="preserve"> </w:t>
      </w:r>
      <w:r w:rsidRPr="009A19BE">
        <w:rPr>
          <w:rFonts w:ascii="Times New Roman" w:eastAsia="Times New Roman" w:hAnsi="Times New Roman"/>
          <w:sz w:val="24"/>
          <w:szCs w:val="24"/>
          <w:u w:val="single"/>
        </w:rPr>
        <w:t>Donna Griffin v. City of Chicago</w:t>
      </w:r>
      <w:r>
        <w:rPr>
          <w:rFonts w:ascii="Times New Roman" w:eastAsia="Times New Roman" w:hAnsi="Times New Roman"/>
          <w:sz w:val="24"/>
          <w:szCs w:val="24"/>
        </w:rPr>
        <w:t xml:space="preserve">, U.S. District Court Judge Sara L. Ellis, Northern District of Illinois, denied City’s motion to dismiss the lawsuit; plaintiff may pursue claim that the CFD administered physical fitness tests solely to eliminate women from the Academy, leading to her injury and termination April 11, 2019, and the City’s refusal to allow her to re-apply after she failed a return-to-work Independent Medical Exam in June 2019 (she was prescribed medications for </w:t>
      </w:r>
      <w:r w:rsidRPr="00D272C9">
        <w:rPr>
          <w:rFonts w:ascii="Times New Roman" w:hAnsi="Times New Roman"/>
          <w:sz w:val="24"/>
          <w:szCs w:val="24"/>
        </w:rPr>
        <w:t>insomnia and adjustment disorder</w:t>
      </w:r>
      <w:r>
        <w:rPr>
          <w:rFonts w:ascii="Times New Roman" w:hAnsi="Times New Roman"/>
          <w:sz w:val="24"/>
          <w:szCs w:val="24"/>
        </w:rPr>
        <w:t>).</w:t>
      </w:r>
    </w:p>
    <w:p w14:paraId="4FBB09B0" w14:textId="77777777" w:rsidR="00DD03E3" w:rsidRDefault="00DD03E3" w:rsidP="00DD03E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272C9">
        <w:rPr>
          <w:rFonts w:ascii="Times New Roman" w:hAnsi="Times New Roman"/>
          <w:sz w:val="24"/>
          <w:szCs w:val="24"/>
        </w:rPr>
        <w:t>In October 2016, Griffin (who was known as Donna Ruch at the time</w:t>
      </w:r>
      <w:proofErr w:type="gramStart"/>
      <w:r w:rsidRPr="00D272C9">
        <w:rPr>
          <w:rFonts w:ascii="Times New Roman" w:hAnsi="Times New Roman"/>
          <w:sz w:val="24"/>
          <w:szCs w:val="24"/>
        </w:rPr>
        <w:t>)</w:t>
      </w:r>
      <w:proofErr w:type="gramEnd"/>
      <w:r w:rsidRPr="00D272C9">
        <w:rPr>
          <w:rFonts w:ascii="Times New Roman" w:hAnsi="Times New Roman"/>
          <w:sz w:val="24"/>
          <w:szCs w:val="24"/>
        </w:rPr>
        <w:t xml:space="preserve"> and several other female paramedics filed the </w:t>
      </w:r>
      <w:r w:rsidRPr="00D272C9">
        <w:rPr>
          <w:rFonts w:ascii="Times New Roman" w:hAnsi="Times New Roman"/>
          <w:i/>
          <w:iCs/>
          <w:sz w:val="24"/>
          <w:szCs w:val="24"/>
        </w:rPr>
        <w:t>Livingston</w:t>
      </w:r>
      <w:r w:rsidRPr="00D272C9">
        <w:rPr>
          <w:rFonts w:ascii="Times New Roman" w:hAnsi="Times New Roman"/>
          <w:sz w:val="24"/>
          <w:szCs w:val="24"/>
        </w:rPr>
        <w:t xml:space="preserve"> lawsuit, alleging that the </w:t>
      </w:r>
      <w:proofErr w:type="gramStart"/>
      <w:r w:rsidRPr="00D272C9">
        <w:rPr>
          <w:rFonts w:ascii="Times New Roman" w:hAnsi="Times New Roman"/>
          <w:sz w:val="24"/>
          <w:szCs w:val="24"/>
        </w:rPr>
        <w:t>City</w:t>
      </w:r>
      <w:proofErr w:type="gramEnd"/>
      <w:r w:rsidRPr="00D272C9">
        <w:rPr>
          <w:rFonts w:ascii="Times New Roman" w:hAnsi="Times New Roman"/>
          <w:sz w:val="24"/>
          <w:szCs w:val="24"/>
        </w:rPr>
        <w:t xml:space="preserve"> discriminated against them based on their sex. In connection with the parties' attempts to make progress in settling </w:t>
      </w:r>
      <w:r w:rsidRPr="00D272C9">
        <w:rPr>
          <w:rFonts w:ascii="Times New Roman" w:hAnsi="Times New Roman"/>
          <w:i/>
          <w:iCs/>
          <w:sz w:val="24"/>
          <w:szCs w:val="24"/>
        </w:rPr>
        <w:t>Livingston</w:t>
      </w:r>
      <w:r w:rsidRPr="00D272C9">
        <w:rPr>
          <w:rFonts w:ascii="Times New Roman" w:hAnsi="Times New Roman"/>
          <w:sz w:val="24"/>
          <w:szCs w:val="24"/>
        </w:rPr>
        <w:t>, the City agreed to conditionally hire Griffin as a CFD Fire Paramedic candidate pending medical processing.</w:t>
      </w:r>
    </w:p>
    <w:p w14:paraId="556F7ACE" w14:textId="77777777" w:rsidR="00DD03E3" w:rsidRDefault="00DD03E3" w:rsidP="00DD03E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30C710D2" w14:textId="77777777" w:rsidR="00DD03E3" w:rsidRPr="00D272C9" w:rsidRDefault="00DD03E3" w:rsidP="00DD03E3">
      <w:pPr>
        <w:spacing w:before="100" w:beforeAutospacing="1" w:after="100" w:afterAutospacing="1" w:line="240" w:lineRule="auto"/>
        <w:ind w:left="720"/>
        <w:rPr>
          <w:rFonts w:ascii="Times New Roman" w:eastAsia="Times New Roman" w:hAnsi="Times New Roman"/>
          <w:sz w:val="24"/>
          <w:szCs w:val="24"/>
        </w:rPr>
      </w:pPr>
      <w:r w:rsidRPr="00375B7C">
        <w:rPr>
          <w:rFonts w:ascii="Times New Roman" w:hAnsi="Times New Roman"/>
          <w:sz w:val="24"/>
          <w:szCs w:val="24"/>
        </w:rPr>
        <w:t xml:space="preserve">The relevant question is whether Griffin has plausibly alleged that discriminatory and retaliatory motives were the bases underlying the City's June 2019 denial of her application. She has. Griffin alleges that the </w:t>
      </w:r>
      <w:proofErr w:type="gramStart"/>
      <w:r w:rsidRPr="00375B7C">
        <w:rPr>
          <w:rFonts w:ascii="Times New Roman" w:hAnsi="Times New Roman"/>
          <w:sz w:val="24"/>
          <w:szCs w:val="24"/>
        </w:rPr>
        <w:t>City</w:t>
      </w:r>
      <w:proofErr w:type="gramEnd"/>
      <w:r w:rsidRPr="00375B7C">
        <w:rPr>
          <w:rFonts w:ascii="Times New Roman" w:hAnsi="Times New Roman"/>
          <w:sz w:val="24"/>
          <w:szCs w:val="24"/>
        </w:rPr>
        <w:t xml:space="preserve"> </w:t>
      </w:r>
      <w:r>
        <w:rPr>
          <w:rFonts w:ascii="Times New Roman" w:hAnsi="Times New Roman"/>
          <w:sz w:val="24"/>
          <w:szCs w:val="24"/>
        </w:rPr>
        <w:t>‘</w:t>
      </w:r>
      <w:r w:rsidRPr="00375B7C">
        <w:rPr>
          <w:rFonts w:ascii="Times New Roman" w:hAnsi="Times New Roman"/>
          <w:sz w:val="24"/>
          <w:szCs w:val="24"/>
        </w:rPr>
        <w:t>refused to allow her to enter a subsequent training academy</w:t>
      </w:r>
      <w:r>
        <w:rPr>
          <w:rFonts w:ascii="Times New Roman" w:hAnsi="Times New Roman"/>
          <w:sz w:val="24"/>
          <w:szCs w:val="24"/>
        </w:rPr>
        <w:t>’</w:t>
      </w:r>
      <w:r w:rsidRPr="00375B7C">
        <w:rPr>
          <w:rFonts w:ascii="Times New Roman" w:hAnsi="Times New Roman"/>
          <w:sz w:val="24"/>
          <w:szCs w:val="24"/>
        </w:rPr>
        <w:t xml:space="preserve"> class because of her gender, her complaints about illegal sex discrimination, and her disability. </w:t>
      </w:r>
      <w:r w:rsidRPr="00375B7C">
        <w:rPr>
          <w:rFonts w:ascii="Times New Roman" w:hAnsi="Times New Roman"/>
          <w:i/>
          <w:iCs/>
          <w:sz w:val="24"/>
          <w:szCs w:val="24"/>
        </w:rPr>
        <w:t>Griffin</w:t>
      </w:r>
      <w:r w:rsidRPr="00375B7C">
        <w:rPr>
          <w:rFonts w:ascii="Times New Roman" w:hAnsi="Times New Roman"/>
          <w:sz w:val="24"/>
          <w:szCs w:val="24"/>
        </w:rPr>
        <w:t>, Doc. 1 ¶¶ 17, 18, 21, 24-26. She further alleges that the City has allowed men who use alprazolam or trazodone—the medications that Griffin had taken or was taking when she went through the medical evaluation process in March and April 2019—to train and work as Fire Paramedics and that the City has also allowed individuals who have not complained of discrimination to use these medications while training or working as Fire Paramedics. These allegations plausibly state claims for relief based upon the City's June 2019 denial of Griffin's application.</w:t>
      </w:r>
      <w:r>
        <w:rPr>
          <w:rFonts w:ascii="Times New Roman" w:hAnsi="Times New Roman"/>
          <w:sz w:val="24"/>
          <w:szCs w:val="24"/>
        </w:rPr>
        <w:t xml:space="preserve">”  </w:t>
      </w:r>
      <w:hyperlink r:id="rId1389" w:history="1">
        <w:r w:rsidRPr="00EF3739">
          <w:rPr>
            <w:rStyle w:val="Hyperlink"/>
            <w:rFonts w:ascii="Times New Roman" w:hAnsi="Times New Roman"/>
            <w:sz w:val="24"/>
            <w:szCs w:val="24"/>
          </w:rPr>
          <w:t>https://public.fastcase.com/Wl%2B2t%2BeVuI35%2FN70vAMFZs1o8oz3pWgS38oNkfNQDzkHmIv0WM8cJL2w%2BtvmrMCm</w:t>
        </w:r>
      </w:hyperlink>
      <w:r>
        <w:rPr>
          <w:rFonts w:ascii="Times New Roman" w:hAnsi="Times New Roman"/>
          <w:sz w:val="24"/>
          <w:szCs w:val="24"/>
        </w:rPr>
        <w:t xml:space="preserve"> </w:t>
      </w:r>
    </w:p>
    <w:p w14:paraId="0BC49D32" w14:textId="77777777" w:rsidR="00DD03E3" w:rsidRPr="009A19BE" w:rsidRDefault="00DD03E3" w:rsidP="00DD03E3">
      <w:pPr>
        <w:spacing w:before="100" w:beforeAutospacing="1" w:after="100" w:afterAutospacing="1" w:line="240" w:lineRule="auto"/>
        <w:rPr>
          <w:rFonts w:ascii="Times New Roman" w:eastAsia="Times New Roman" w:hAnsi="Times New Roman"/>
          <w:b/>
          <w:bCs/>
          <w:sz w:val="24"/>
          <w:szCs w:val="24"/>
        </w:rPr>
      </w:pPr>
      <w:r w:rsidRPr="00375B7C">
        <w:rPr>
          <w:rFonts w:ascii="Times New Roman" w:hAnsi="Times New Roman"/>
          <w:b/>
          <w:bCs/>
          <w:sz w:val="24"/>
          <w:szCs w:val="24"/>
        </w:rPr>
        <w:t>Legal Lesson Learned:</w:t>
      </w:r>
      <w:r>
        <w:rPr>
          <w:rFonts w:ascii="Times New Roman" w:hAnsi="Times New Roman"/>
          <w:b/>
          <w:bCs/>
          <w:sz w:val="24"/>
          <w:szCs w:val="24"/>
        </w:rPr>
        <w:t xml:space="preserve">  Plaintiff may now proceed with pre-trial discovery, including how the FD has medically dealt with male firefighters using the same medications. </w:t>
      </w:r>
    </w:p>
    <w:p w14:paraId="0C803703" w14:textId="77777777" w:rsidR="00DD03E3" w:rsidRDefault="00DD03E3" w:rsidP="002B1283">
      <w:pPr>
        <w:rPr>
          <w:rFonts w:ascii="Arial Black" w:hAnsi="Arial Black"/>
          <w:b/>
          <w:sz w:val="24"/>
          <w:szCs w:val="24"/>
        </w:rPr>
      </w:pPr>
    </w:p>
    <w:p w14:paraId="27619CAE" w14:textId="77777777" w:rsidR="00DD03E3" w:rsidRDefault="00DD03E3" w:rsidP="002B1283">
      <w:pPr>
        <w:rPr>
          <w:rFonts w:ascii="Arial Black" w:hAnsi="Arial Black"/>
          <w:b/>
          <w:sz w:val="24"/>
          <w:szCs w:val="24"/>
        </w:rPr>
      </w:pPr>
    </w:p>
    <w:p w14:paraId="1A95CE6C" w14:textId="77777777" w:rsidR="00DD03E3" w:rsidRDefault="00DD03E3" w:rsidP="002B1283">
      <w:pPr>
        <w:rPr>
          <w:rFonts w:ascii="Arial Black" w:hAnsi="Arial Black"/>
          <w:b/>
          <w:sz w:val="24"/>
          <w:szCs w:val="24"/>
        </w:rPr>
      </w:pPr>
    </w:p>
    <w:p w14:paraId="008056E8" w14:textId="66C47A54" w:rsidR="006B2083" w:rsidRDefault="006B2083" w:rsidP="002B1283">
      <w:pPr>
        <w:rPr>
          <w:rFonts w:ascii="Arial Black" w:hAnsi="Arial Black"/>
          <w:b/>
          <w:sz w:val="24"/>
          <w:szCs w:val="24"/>
        </w:rPr>
      </w:pPr>
      <w:r>
        <w:rPr>
          <w:rFonts w:ascii="Arial Black" w:hAnsi="Arial Black"/>
          <w:b/>
          <w:sz w:val="24"/>
          <w:szCs w:val="24"/>
        </w:rPr>
        <w:t>7-2</w:t>
      </w:r>
      <w:r w:rsidR="001A653A">
        <w:rPr>
          <w:rFonts w:ascii="Arial Black" w:hAnsi="Arial Black"/>
          <w:b/>
          <w:sz w:val="24"/>
          <w:szCs w:val="24"/>
        </w:rPr>
        <w:t>4</w:t>
      </w:r>
    </w:p>
    <w:p w14:paraId="4D84FD34" w14:textId="77777777" w:rsidR="006B2083" w:rsidRDefault="006B2083" w:rsidP="006B2083">
      <w:pPr>
        <w:pStyle w:val="NoSpacing"/>
        <w:rPr>
          <w:rFonts w:ascii="Arial Black" w:hAnsi="Arial Black"/>
          <w:sz w:val="28"/>
          <w:szCs w:val="28"/>
        </w:rPr>
      </w:pPr>
      <w:r w:rsidRPr="00A5652A">
        <w:rPr>
          <w:rFonts w:ascii="Arial Black" w:hAnsi="Arial Black"/>
          <w:sz w:val="28"/>
          <w:szCs w:val="28"/>
        </w:rPr>
        <w:t xml:space="preserve">NY: </w:t>
      </w:r>
      <w:r>
        <w:rPr>
          <w:rFonts w:ascii="Arial Black" w:hAnsi="Arial Black"/>
          <w:sz w:val="28"/>
          <w:szCs w:val="28"/>
        </w:rPr>
        <w:t xml:space="preserve"> FEMALE FF ON RUN – MALE FF MASTERBATED INTO PANTS SHE HAD LEFT AT STATION – NO PAY AWAITING ARBITRATION</w:t>
      </w:r>
    </w:p>
    <w:p w14:paraId="01F287BD" w14:textId="77777777" w:rsidR="006B2083" w:rsidRDefault="006B2083" w:rsidP="006B2083">
      <w:pPr>
        <w:pStyle w:val="NoSpacing"/>
        <w:ind w:left="720"/>
        <w:rPr>
          <w:rFonts w:ascii="Arial Black" w:hAnsi="Arial Black"/>
          <w:sz w:val="28"/>
          <w:szCs w:val="28"/>
        </w:rPr>
      </w:pPr>
    </w:p>
    <w:p w14:paraId="504E1AF3" w14:textId="77777777" w:rsidR="006B2083" w:rsidRPr="00E16775" w:rsidRDefault="006B2083" w:rsidP="006B2083">
      <w:pPr>
        <w:pStyle w:val="NoSpacing"/>
        <w:rPr>
          <w:rFonts w:ascii="Times New Roman" w:hAnsi="Times New Roman"/>
          <w:sz w:val="24"/>
          <w:szCs w:val="24"/>
        </w:rPr>
      </w:pPr>
      <w:r w:rsidRPr="00BE7A38">
        <w:rPr>
          <w:rFonts w:ascii="Times New Roman" w:hAnsi="Times New Roman"/>
          <w:sz w:val="24"/>
          <w:szCs w:val="24"/>
        </w:rPr>
        <w:t xml:space="preserve">On July 17, 2020, in the case </w:t>
      </w:r>
      <w:r w:rsidRPr="00BE7A38">
        <w:rPr>
          <w:rFonts w:ascii="Times New Roman" w:hAnsi="Times New Roman"/>
          <w:sz w:val="24"/>
          <w:szCs w:val="24"/>
          <w:u w:val="single"/>
        </w:rPr>
        <w:t>In The Matter Of Thomas Cacone v. City of Utica</w:t>
      </w:r>
      <w:r w:rsidRPr="00BE7A38">
        <w:rPr>
          <w:rFonts w:ascii="Times New Roman" w:hAnsi="Times New Roman"/>
          <w:sz w:val="24"/>
          <w:szCs w:val="24"/>
        </w:rPr>
        <w:t xml:space="preserve">, </w:t>
      </w:r>
      <w:r>
        <w:rPr>
          <w:rFonts w:ascii="Times New Roman" w:hAnsi="Times New Roman"/>
          <w:sz w:val="24"/>
          <w:szCs w:val="24"/>
        </w:rPr>
        <w:t xml:space="preserve">the Supreme Court of State of New York, Appellate Division, Judicial Department, held  (5 to 0) that trial court improperly ordered the FD to put the firefighter on paid leave awaiting the arbitration more than 30 days; the arbitration was delayed because the firefighter sought disciplinary records of another firefighter who apparently did similar misconduct. Court wrote: </w:t>
      </w:r>
      <w:r w:rsidRPr="00B67C49">
        <w:rPr>
          <w:rFonts w:ascii="Times New Roman" w:hAnsi="Times New Roman"/>
          <w:sz w:val="24"/>
          <w:szCs w:val="24"/>
        </w:rPr>
        <w:t xml:space="preserve">We agree with respondents that petitioner is not entitled to reinstatement or back pay because petitioner was solely responsible for the </w:t>
      </w:r>
      <w:proofErr w:type="gramStart"/>
      <w:r w:rsidRPr="00B67C49">
        <w:rPr>
          <w:rFonts w:ascii="Times New Roman" w:hAnsi="Times New Roman"/>
          <w:sz w:val="24"/>
          <w:szCs w:val="24"/>
        </w:rPr>
        <w:t>delay.</w:t>
      </w:r>
      <w:r>
        <w:rPr>
          <w:rFonts w:ascii="Times New Roman" w:hAnsi="Times New Roman"/>
          <w:sz w:val="24"/>
          <w:szCs w:val="24"/>
        </w:rPr>
        <w:t>”</w:t>
      </w:r>
      <w:proofErr w:type="gramEnd"/>
      <w:r>
        <w:rPr>
          <w:rFonts w:ascii="Times New Roman" w:hAnsi="Times New Roman"/>
          <w:sz w:val="24"/>
          <w:szCs w:val="24"/>
        </w:rPr>
        <w:t xml:space="preserve"> </w:t>
      </w:r>
      <w:hyperlink r:id="rId1390" w:history="1">
        <w:r w:rsidRPr="00E16775">
          <w:rPr>
            <w:rStyle w:val="Hyperlink"/>
            <w:rFonts w:ascii="Times New Roman" w:hAnsi="Times New Roman"/>
            <w:sz w:val="24"/>
            <w:szCs w:val="24"/>
          </w:rPr>
          <w:t>https://public.fastcase.com/Wl%2B2t%2BeVuI35%2FN70vAMFZvXmXpQwu2GjLh16DzgzKzYNu%2FX9mokAK5AXod7BJ9cF</w:t>
        </w:r>
      </w:hyperlink>
      <w:r w:rsidRPr="00E16775">
        <w:rPr>
          <w:rFonts w:ascii="Times New Roman" w:hAnsi="Times New Roman"/>
          <w:sz w:val="24"/>
          <w:szCs w:val="24"/>
        </w:rPr>
        <w:t xml:space="preserve"> </w:t>
      </w:r>
    </w:p>
    <w:p w14:paraId="558F0B1C" w14:textId="77777777" w:rsidR="006B2083" w:rsidRDefault="006B2083" w:rsidP="006B2083">
      <w:pPr>
        <w:pStyle w:val="NoSpacing"/>
        <w:rPr>
          <w:rFonts w:ascii="Times New Roman" w:hAnsi="Times New Roman"/>
          <w:b/>
          <w:bCs/>
          <w:sz w:val="24"/>
          <w:szCs w:val="24"/>
        </w:rPr>
      </w:pPr>
    </w:p>
    <w:p w14:paraId="079B92F7" w14:textId="0E3D0254" w:rsidR="006B2083" w:rsidRDefault="006B2083" w:rsidP="006B2083">
      <w:pPr>
        <w:pStyle w:val="NoSpacing"/>
        <w:rPr>
          <w:rFonts w:ascii="Times New Roman" w:hAnsi="Times New Roman"/>
          <w:b/>
          <w:bCs/>
          <w:sz w:val="24"/>
          <w:szCs w:val="24"/>
        </w:rPr>
      </w:pPr>
      <w:r w:rsidRPr="00BE7A38">
        <w:rPr>
          <w:rFonts w:ascii="Times New Roman" w:hAnsi="Times New Roman"/>
          <w:b/>
          <w:bCs/>
          <w:sz w:val="24"/>
          <w:szCs w:val="24"/>
        </w:rPr>
        <w:t xml:space="preserve">Legal Lessons Learned: </w:t>
      </w:r>
      <w:r>
        <w:rPr>
          <w:rFonts w:ascii="Times New Roman" w:hAnsi="Times New Roman"/>
          <w:b/>
          <w:bCs/>
          <w:sz w:val="24"/>
          <w:szCs w:val="24"/>
        </w:rPr>
        <w:t>The conduct described is totally unacceptable.</w:t>
      </w:r>
    </w:p>
    <w:p w14:paraId="13DFB125" w14:textId="77777777" w:rsidR="006B2083" w:rsidRDefault="006B2083" w:rsidP="002B1283">
      <w:pPr>
        <w:rPr>
          <w:rFonts w:ascii="Arial Black" w:hAnsi="Arial Black"/>
          <w:b/>
          <w:sz w:val="24"/>
          <w:szCs w:val="24"/>
        </w:rPr>
      </w:pPr>
    </w:p>
    <w:p w14:paraId="528AC539" w14:textId="72825A95" w:rsidR="006B2083" w:rsidRPr="001A653A" w:rsidRDefault="001A653A" w:rsidP="002B1283">
      <w:pPr>
        <w:rPr>
          <w:rFonts w:ascii="Times New Roman" w:hAnsi="Times New Roman"/>
          <w:bCs/>
          <w:sz w:val="24"/>
          <w:szCs w:val="24"/>
        </w:rPr>
      </w:pPr>
      <w:r>
        <w:rPr>
          <w:rFonts w:ascii="Arial Black" w:hAnsi="Arial Black"/>
          <w:b/>
          <w:sz w:val="24"/>
          <w:szCs w:val="24"/>
        </w:rPr>
        <w:t xml:space="preserve">7-23 </w:t>
      </w:r>
      <w:r w:rsidRPr="001A653A">
        <w:rPr>
          <w:rFonts w:ascii="Times New Roman" w:hAnsi="Times New Roman"/>
          <w:bCs/>
          <w:sz w:val="24"/>
          <w:szCs w:val="24"/>
        </w:rPr>
        <w:t xml:space="preserve">[also filed, Chap. 16] </w:t>
      </w:r>
    </w:p>
    <w:p w14:paraId="089C12D3" w14:textId="77777777" w:rsidR="001A653A" w:rsidRDefault="001A653A" w:rsidP="001A653A">
      <w:pPr>
        <w:pStyle w:val="NoSpacing"/>
        <w:rPr>
          <w:rFonts w:ascii="Arial Black" w:hAnsi="Arial Black"/>
          <w:sz w:val="28"/>
          <w:szCs w:val="28"/>
        </w:rPr>
      </w:pPr>
      <w:r w:rsidRPr="007B1E77">
        <w:rPr>
          <w:rFonts w:ascii="Arial Black" w:hAnsi="Arial Black"/>
          <w:sz w:val="28"/>
          <w:szCs w:val="28"/>
        </w:rPr>
        <w:t xml:space="preserve">KY: </w:t>
      </w:r>
      <w:r>
        <w:rPr>
          <w:rFonts w:ascii="Arial Black" w:hAnsi="Arial Black"/>
          <w:sz w:val="28"/>
          <w:szCs w:val="28"/>
        </w:rPr>
        <w:t>FF MET 17-YEAR-OLD AT FIRE STATION – CONVICTED HAVING SEX WITH MINOR - TOOK VIDEOS AND PHOTOS</w:t>
      </w:r>
    </w:p>
    <w:p w14:paraId="668AD7EE"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 xml:space="preserve">On July 7, 2020, in </w:t>
      </w:r>
      <w:r w:rsidRPr="007B1E77">
        <w:rPr>
          <w:rFonts w:ascii="Times New Roman" w:hAnsi="Times New Roman"/>
          <w:sz w:val="24"/>
          <w:szCs w:val="24"/>
          <w:u w:val="single"/>
        </w:rPr>
        <w:t>United States of America v. William Michael Fields</w:t>
      </w:r>
      <w:r w:rsidRPr="007B1E77">
        <w:rPr>
          <w:rFonts w:ascii="Times New Roman" w:hAnsi="Times New Roman"/>
          <w:sz w:val="24"/>
          <w:szCs w:val="24"/>
        </w:rPr>
        <w:t xml:space="preserve">, </w:t>
      </w:r>
      <w:r>
        <w:rPr>
          <w:rFonts w:ascii="Times New Roman" w:hAnsi="Times New Roman"/>
          <w:sz w:val="24"/>
          <w:szCs w:val="24"/>
        </w:rPr>
        <w:t xml:space="preserve">U.S. District Court Chief Judge Danny C. Reeves, Eastern District of Kentucky, denied the defendant’s motion for judgment of acquittal, or a new trial. The Court wrote: </w:t>
      </w:r>
      <w:r w:rsidRPr="007B1E77">
        <w:rPr>
          <w:rFonts w:ascii="Times New Roman" w:hAnsi="Times New Roman"/>
          <w:sz w:val="24"/>
          <w:szCs w:val="24"/>
        </w:rPr>
        <w:t xml:space="preserve">“Based on the foregoing, there was ample evidence from which the jury could have concluded that, on March 17 and 23, 2019, Fields employed, used, persuaded, induced, or coerced the minor victim to engage in </w:t>
      </w:r>
    </w:p>
    <w:p w14:paraId="778AB6E6" w14:textId="77777777" w:rsidR="001A653A" w:rsidRDefault="001A653A" w:rsidP="001A653A">
      <w:pPr>
        <w:pStyle w:val="NoSpacing"/>
        <w:rPr>
          <w:rFonts w:ascii="Times New Roman" w:hAnsi="Times New Roman"/>
          <w:sz w:val="24"/>
          <w:szCs w:val="24"/>
        </w:rPr>
      </w:pPr>
    </w:p>
    <w:p w14:paraId="1F9795E9"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sexually explicit conduct for the purpose of producing a visual depiction of that conduct and that the visual depiction was produced or transmitted using materials that were mailed, shipped, or transported in or affecting interstate commerce by any means, including computer.</w:t>
      </w:r>
      <w:r>
        <w:rPr>
          <w:rFonts w:ascii="Times New Roman" w:hAnsi="Times New Roman"/>
          <w:sz w:val="24"/>
          <w:szCs w:val="24"/>
        </w:rPr>
        <w:t xml:space="preserve">” </w:t>
      </w:r>
      <w:hyperlink r:id="rId1391" w:history="1">
        <w:r w:rsidRPr="00FE7BCF">
          <w:rPr>
            <w:rStyle w:val="Hyperlink"/>
            <w:rFonts w:ascii="Times New Roman" w:hAnsi="Times New Roman"/>
            <w:sz w:val="24"/>
            <w:szCs w:val="24"/>
          </w:rPr>
          <w:t>https://casetext.com/case/united-states-v-fields-198</w:t>
        </w:r>
      </w:hyperlink>
      <w:r>
        <w:rPr>
          <w:rFonts w:ascii="Times New Roman" w:hAnsi="Times New Roman"/>
          <w:sz w:val="24"/>
          <w:szCs w:val="24"/>
        </w:rPr>
        <w:t xml:space="preserve"> </w:t>
      </w:r>
    </w:p>
    <w:p w14:paraId="155EC4F8" w14:textId="77777777" w:rsidR="001A653A" w:rsidRDefault="001A653A" w:rsidP="001A653A">
      <w:pPr>
        <w:pStyle w:val="NoSpacing"/>
        <w:rPr>
          <w:rFonts w:ascii="Arial Black" w:hAnsi="Arial Black"/>
          <w:sz w:val="24"/>
          <w:szCs w:val="24"/>
        </w:rPr>
      </w:pPr>
    </w:p>
    <w:p w14:paraId="6FB70FD8" w14:textId="77777777" w:rsidR="001A653A" w:rsidRDefault="001A653A" w:rsidP="001A653A">
      <w:pPr>
        <w:pStyle w:val="NoSpacing"/>
        <w:tabs>
          <w:tab w:val="left" w:pos="2780"/>
        </w:tabs>
        <w:rPr>
          <w:rFonts w:ascii="Times New Roman" w:hAnsi="Times New Roman"/>
          <w:b/>
          <w:bCs/>
          <w:sz w:val="24"/>
          <w:szCs w:val="24"/>
        </w:rPr>
      </w:pPr>
      <w:r w:rsidRPr="00602C23">
        <w:rPr>
          <w:rFonts w:ascii="Times New Roman" w:hAnsi="Times New Roman"/>
          <w:b/>
          <w:bCs/>
          <w:sz w:val="24"/>
          <w:szCs w:val="24"/>
        </w:rPr>
        <w:t>Legal Lesson Learned</w:t>
      </w:r>
      <w:r>
        <w:rPr>
          <w:rFonts w:ascii="Times New Roman" w:hAnsi="Times New Roman"/>
          <w:b/>
          <w:bCs/>
          <w:sz w:val="24"/>
          <w:szCs w:val="24"/>
        </w:rPr>
        <w:t xml:space="preserve">: A firefighter having sex with a minor can be convicted of a federal offense if a video or photos is posted on Internet. </w:t>
      </w:r>
    </w:p>
    <w:p w14:paraId="753836D2" w14:textId="77777777" w:rsidR="001A653A" w:rsidRDefault="001A653A" w:rsidP="002B1283">
      <w:pPr>
        <w:rPr>
          <w:rFonts w:ascii="Arial Black" w:hAnsi="Arial Black"/>
          <w:b/>
          <w:sz w:val="24"/>
          <w:szCs w:val="24"/>
        </w:rPr>
      </w:pPr>
    </w:p>
    <w:p w14:paraId="1B5FACB6" w14:textId="5692A32C" w:rsidR="007105B3" w:rsidRDefault="007105B3" w:rsidP="002B1283">
      <w:pPr>
        <w:rPr>
          <w:rFonts w:ascii="Arial Black" w:hAnsi="Arial Black"/>
          <w:b/>
          <w:sz w:val="24"/>
          <w:szCs w:val="24"/>
        </w:rPr>
      </w:pPr>
      <w:r>
        <w:rPr>
          <w:rFonts w:ascii="Arial Black" w:hAnsi="Arial Black"/>
          <w:b/>
          <w:sz w:val="24"/>
          <w:szCs w:val="24"/>
        </w:rPr>
        <w:t>7-22</w:t>
      </w:r>
    </w:p>
    <w:p w14:paraId="6539743E" w14:textId="77777777" w:rsidR="007105B3" w:rsidRPr="00A71A05" w:rsidRDefault="007105B3" w:rsidP="007105B3">
      <w:pPr>
        <w:spacing w:before="100" w:beforeAutospacing="1" w:after="100" w:afterAutospacing="1" w:line="240" w:lineRule="auto"/>
        <w:rPr>
          <w:rFonts w:ascii="Arial Black" w:hAnsi="Arial Black"/>
          <w:sz w:val="28"/>
          <w:szCs w:val="28"/>
        </w:rPr>
      </w:pPr>
      <w:r w:rsidRPr="00A71A05">
        <w:rPr>
          <w:rFonts w:ascii="Arial Black" w:hAnsi="Arial Black"/>
          <w:sz w:val="28"/>
          <w:szCs w:val="28"/>
        </w:rPr>
        <w:t xml:space="preserve">U.S. SUPREME COURT: </w:t>
      </w:r>
      <w:r>
        <w:rPr>
          <w:rFonts w:ascii="Arial Black" w:hAnsi="Arial Black"/>
          <w:sz w:val="28"/>
          <w:szCs w:val="28"/>
        </w:rPr>
        <w:t xml:space="preserve">HOMESEXUAL AND TRANSGENDER EMPLOYEES COVERED BY TITLE VII </w:t>
      </w:r>
    </w:p>
    <w:p w14:paraId="682D6D86" w14:textId="77777777" w:rsidR="007105B3" w:rsidRDefault="007105B3" w:rsidP="007105B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On June 15, 2020, in </w:t>
      </w:r>
      <w:r w:rsidRPr="00A71A05">
        <w:rPr>
          <w:rFonts w:ascii="Times New Roman" w:hAnsi="Times New Roman"/>
          <w:sz w:val="24"/>
          <w:szCs w:val="24"/>
          <w:u w:val="single"/>
        </w:rPr>
        <w:t>Gerald Lynn Bostoc v. Clayton County, Georgia</w:t>
      </w:r>
      <w:r>
        <w:rPr>
          <w:rFonts w:ascii="Times New Roman" w:hAnsi="Times New Roman"/>
          <w:sz w:val="24"/>
          <w:szCs w:val="24"/>
        </w:rPr>
        <w:t>, (plus two other combined cases), held (6 to 3) that an employer cannot fire or otherwise discriminate against someone simply for being a homosexual or transgender.  Justice Neil Gorsuch wrote: “</w:t>
      </w:r>
      <w:r w:rsidRPr="00572796">
        <w:rPr>
          <w:rFonts w:ascii="Times New Roman" w:hAnsi="Times New Roman"/>
          <w:sz w:val="24"/>
          <w:szCs w:val="24"/>
        </w:rPr>
        <w:t xml:space="preserve">Sometimes small gestures can have unexpected consequences. Major initiatives practically guarantee them. In our time, few pieces of federal legislation rank in significance with the Civil Rights Act of 1964. There, in Title VII, Congress outlawed discrimination in the workplace </w:t>
      </w:r>
      <w:proofErr w:type="gramStart"/>
      <w:r w:rsidRPr="00572796">
        <w:rPr>
          <w:rFonts w:ascii="Times New Roman" w:hAnsi="Times New Roman"/>
          <w:sz w:val="24"/>
          <w:szCs w:val="24"/>
        </w:rPr>
        <w:t>on the</w:t>
      </w:r>
      <w:r>
        <w:rPr>
          <w:rFonts w:ascii="Times New Roman" w:hAnsi="Times New Roman"/>
          <w:sz w:val="24"/>
          <w:szCs w:val="24"/>
        </w:rPr>
        <w:t xml:space="preserve"> </w:t>
      </w:r>
      <w:r w:rsidRPr="00572796">
        <w:rPr>
          <w:rFonts w:ascii="Times New Roman" w:hAnsi="Times New Roman"/>
          <w:sz w:val="24"/>
          <w:szCs w:val="24"/>
        </w:rPr>
        <w:t>basis of</w:t>
      </w:r>
      <w:proofErr w:type="gramEnd"/>
      <w:r w:rsidRPr="00572796">
        <w:rPr>
          <w:rFonts w:ascii="Times New Roman" w:hAnsi="Times New Roman"/>
          <w:sz w:val="24"/>
          <w:szCs w:val="24"/>
        </w:rPr>
        <w:t xml:space="preserve"> race, color, religion, sex, or national origin. Today,</w:t>
      </w:r>
      <w:r>
        <w:rPr>
          <w:rFonts w:ascii="Times New Roman" w:hAnsi="Times New Roman"/>
          <w:sz w:val="24"/>
          <w:szCs w:val="24"/>
        </w:rPr>
        <w:t xml:space="preserve"> </w:t>
      </w:r>
      <w:r w:rsidRPr="00572796">
        <w:rPr>
          <w:rFonts w:ascii="Times New Roman" w:hAnsi="Times New Roman"/>
          <w:sz w:val="24"/>
          <w:szCs w:val="24"/>
        </w:rPr>
        <w:t>we must decide whether an employer can fire someone</w:t>
      </w:r>
      <w:r>
        <w:rPr>
          <w:rFonts w:ascii="Times New Roman" w:hAnsi="Times New Roman"/>
          <w:sz w:val="24"/>
          <w:szCs w:val="24"/>
        </w:rPr>
        <w:t xml:space="preserve"> </w:t>
      </w:r>
      <w:r w:rsidRPr="00572796">
        <w:rPr>
          <w:rFonts w:ascii="Times New Roman" w:hAnsi="Times New Roman"/>
          <w:sz w:val="24"/>
          <w:szCs w:val="24"/>
        </w:rPr>
        <w:t>simply for being homosexual or transgender. The answer is clear. An employer who fires an individual for being homosexual or transgender fires that person for traits or actions it would not have questioned in members of a different sex. Sex plays a necessary and undisguisable role in the decision, exactly what Title VII forbids.</w:t>
      </w:r>
      <w:r>
        <w:rPr>
          <w:rFonts w:ascii="Times New Roman" w:hAnsi="Times New Roman"/>
          <w:sz w:val="24"/>
          <w:szCs w:val="24"/>
        </w:rPr>
        <w:t xml:space="preserve">” </w:t>
      </w:r>
      <w:hyperlink r:id="rId1392" w:history="1">
        <w:r w:rsidRPr="0037669D">
          <w:rPr>
            <w:rStyle w:val="Hyperlink"/>
            <w:rFonts w:ascii="Times New Roman" w:hAnsi="Times New Roman"/>
            <w:sz w:val="24"/>
            <w:szCs w:val="24"/>
          </w:rPr>
          <w:t>https://www.supremecourt.gov/opinions/19pdf/17-1618_hfci.pdf</w:t>
        </w:r>
      </w:hyperlink>
      <w:r>
        <w:rPr>
          <w:rFonts w:ascii="Times New Roman" w:hAnsi="Times New Roman"/>
          <w:sz w:val="24"/>
          <w:szCs w:val="24"/>
        </w:rPr>
        <w:t xml:space="preserve"> </w:t>
      </w:r>
    </w:p>
    <w:p w14:paraId="22C3E0B3" w14:textId="77777777" w:rsidR="007105B3" w:rsidRDefault="007105B3" w:rsidP="007105B3">
      <w:pPr>
        <w:pStyle w:val="NoSpacing"/>
        <w:rPr>
          <w:rFonts w:ascii="Times New Roman" w:hAnsi="Times New Roman"/>
          <w:b/>
          <w:bCs/>
          <w:sz w:val="24"/>
          <w:szCs w:val="24"/>
        </w:rPr>
      </w:pPr>
      <w:r w:rsidRPr="002A3AF8">
        <w:rPr>
          <w:rFonts w:ascii="Times New Roman" w:hAnsi="Times New Roman"/>
          <w:b/>
          <w:bCs/>
          <w:sz w:val="24"/>
          <w:szCs w:val="24"/>
        </w:rPr>
        <w:t>Legal Lessons Learned:</w:t>
      </w:r>
      <w:r>
        <w:rPr>
          <w:rFonts w:ascii="Times New Roman" w:hAnsi="Times New Roman"/>
          <w:b/>
          <w:bCs/>
          <w:sz w:val="24"/>
          <w:szCs w:val="24"/>
        </w:rPr>
        <w:t xml:space="preserve"> This is a “landmark” decision.  Fire &amp; EMS Departments should review their non-discrimination policies to include sexual orientation and gender identity. </w:t>
      </w:r>
    </w:p>
    <w:p w14:paraId="4F8FF5F0" w14:textId="77777777" w:rsidR="007105B3" w:rsidRDefault="007105B3" w:rsidP="007105B3">
      <w:pPr>
        <w:rPr>
          <w:rFonts w:ascii="Arial Black" w:hAnsi="Arial Black"/>
          <w:sz w:val="27"/>
          <w:szCs w:val="27"/>
        </w:rPr>
      </w:pPr>
    </w:p>
    <w:p w14:paraId="063CD165" w14:textId="2F73E14B" w:rsidR="006744D3" w:rsidRDefault="006744D3" w:rsidP="002B1283">
      <w:pPr>
        <w:rPr>
          <w:rFonts w:ascii="Arial Black" w:hAnsi="Arial Black"/>
          <w:b/>
          <w:sz w:val="24"/>
          <w:szCs w:val="24"/>
        </w:rPr>
      </w:pPr>
      <w:r>
        <w:rPr>
          <w:rFonts w:ascii="Arial Black" w:hAnsi="Arial Black"/>
          <w:b/>
          <w:sz w:val="24"/>
          <w:szCs w:val="24"/>
        </w:rPr>
        <w:t>7-21</w:t>
      </w:r>
    </w:p>
    <w:p w14:paraId="48277EC7" w14:textId="77777777" w:rsidR="006744D3" w:rsidRDefault="006744D3" w:rsidP="006744D3">
      <w:pPr>
        <w:spacing w:before="100" w:beforeAutospacing="1" w:after="100" w:afterAutospacing="1" w:line="240" w:lineRule="auto"/>
        <w:rPr>
          <w:rFonts w:ascii="Arial Black" w:eastAsia="Times New Roman" w:hAnsi="Arial Black"/>
          <w:sz w:val="28"/>
          <w:szCs w:val="28"/>
        </w:rPr>
      </w:pPr>
      <w:r w:rsidRPr="00DC60E5">
        <w:rPr>
          <w:rFonts w:ascii="Arial Black" w:eastAsia="Times New Roman" w:hAnsi="Arial Black"/>
          <w:sz w:val="28"/>
          <w:szCs w:val="28"/>
        </w:rPr>
        <w:t xml:space="preserve">TX: </w:t>
      </w:r>
      <w:r>
        <w:rPr>
          <w:rFonts w:ascii="Arial Black" w:eastAsia="Times New Roman" w:hAnsi="Arial Black"/>
          <w:sz w:val="28"/>
          <w:szCs w:val="28"/>
        </w:rPr>
        <w:t>HOUSTON FD – U.S. DEPT. JUSTICE LAWSUIT – MALES URINATING WALLS, FLOORS, SINKS WOMENS’ BATHROOM – COLD WATER SHOWERS DISCONNECTED / SPEAKERS</w:t>
      </w:r>
    </w:p>
    <w:p w14:paraId="2E377475" w14:textId="77777777" w:rsidR="006744D3" w:rsidRDefault="006744D3" w:rsidP="006744D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15, 2020, </w:t>
      </w:r>
      <w:r w:rsidRPr="00626E79">
        <w:rPr>
          <w:rFonts w:ascii="Times New Roman" w:eastAsia="Times New Roman" w:hAnsi="Times New Roman"/>
          <w:sz w:val="24"/>
          <w:szCs w:val="24"/>
          <w:u w:val="single"/>
        </w:rPr>
        <w:t xml:space="preserve">in United States of America, Jane </w:t>
      </w:r>
      <w:proofErr w:type="spellStart"/>
      <w:r w:rsidRPr="00626E79">
        <w:rPr>
          <w:rFonts w:ascii="Times New Roman" w:eastAsia="Times New Roman" w:hAnsi="Times New Roman"/>
          <w:sz w:val="24"/>
          <w:szCs w:val="24"/>
          <w:u w:val="single"/>
        </w:rPr>
        <w:t>Draycott</w:t>
      </w:r>
      <w:proofErr w:type="spellEnd"/>
      <w:r w:rsidRPr="00626E79">
        <w:rPr>
          <w:rFonts w:ascii="Times New Roman" w:eastAsia="Times New Roman" w:hAnsi="Times New Roman"/>
          <w:sz w:val="24"/>
          <w:szCs w:val="24"/>
          <w:u w:val="single"/>
        </w:rPr>
        <w:t xml:space="preserve"> and Paula Keyes v. The City of Houston, Texas</w:t>
      </w:r>
      <w:r>
        <w:rPr>
          <w:rFonts w:ascii="Times New Roman" w:eastAsia="Times New Roman" w:hAnsi="Times New Roman"/>
          <w:sz w:val="24"/>
          <w:szCs w:val="24"/>
        </w:rPr>
        <w:t xml:space="preserve">, Senior U.S. District Judge Sim Lake, Southern District of Texas (Houston Division) issued a lengthy opinion denying the City’s motion to dismiss case.  U.S. Department of Justice Press Release of Feb. 28, </w:t>
      </w:r>
      <w:proofErr w:type="gramStart"/>
      <w:r>
        <w:rPr>
          <w:rFonts w:ascii="Times New Roman" w:eastAsia="Times New Roman" w:hAnsi="Times New Roman"/>
          <w:sz w:val="24"/>
          <w:szCs w:val="24"/>
        </w:rPr>
        <w:t>2018</w:t>
      </w:r>
      <w:proofErr w:type="gramEnd"/>
      <w:r>
        <w:rPr>
          <w:rFonts w:ascii="Times New Roman" w:eastAsia="Times New Roman" w:hAnsi="Times New Roman"/>
          <w:sz w:val="24"/>
          <w:szCs w:val="24"/>
        </w:rPr>
        <w:t xml:space="preserve"> is eye opening. “</w:t>
      </w:r>
      <w:r w:rsidRPr="009C6CB0">
        <w:rPr>
          <w:rFonts w:ascii="Times New Roman" w:hAnsi="Times New Roman"/>
          <w:sz w:val="24"/>
          <w:szCs w:val="24"/>
        </w:rPr>
        <w:t xml:space="preserve">The lawsuit, filed in the Southern District of Texas, alleges that Jane </w:t>
      </w:r>
      <w:proofErr w:type="spellStart"/>
      <w:r w:rsidRPr="009C6CB0">
        <w:rPr>
          <w:rFonts w:ascii="Times New Roman" w:hAnsi="Times New Roman"/>
          <w:sz w:val="24"/>
          <w:szCs w:val="24"/>
        </w:rPr>
        <w:t>Draycott</w:t>
      </w:r>
      <w:proofErr w:type="spellEnd"/>
      <w:r w:rsidRPr="009C6CB0">
        <w:rPr>
          <w:rFonts w:ascii="Times New Roman" w:hAnsi="Times New Roman"/>
          <w:sz w:val="24"/>
          <w:szCs w:val="24"/>
        </w:rPr>
        <w:t xml:space="preserve"> and Paula Keyes were subjected to a hostile work environment based on sex when they were employed as firefighters at HFD’s Station 54.  According to the complaint, HFD’s hostile work environment included males urinating on the walls, floors and sinks of the women’s bathroom and dormitory, disconnecting the cold water to scald the women while they were showering, and deactivating the female dormitory’s announcement speakers so the women could not respond to emergency calls.  The complaint further alleges that the conduct culminated in death threats and vulgar slurs written on the walls of their work and living spaces at Station 54 and on their personal possessions.  This conduct continued despite at least nine complaints made to management, according to the allegations.”</w:t>
      </w:r>
      <w:r>
        <w:rPr>
          <w:rFonts w:ascii="Times New Roman" w:hAnsi="Times New Roman"/>
          <w:sz w:val="24"/>
          <w:szCs w:val="24"/>
        </w:rPr>
        <w:t xml:space="preserve"> </w:t>
      </w:r>
      <w:hyperlink r:id="rId1393" w:history="1">
        <w:r w:rsidRPr="00931365">
          <w:rPr>
            <w:rStyle w:val="Hyperlink"/>
            <w:sz w:val="24"/>
            <w:szCs w:val="24"/>
          </w:rPr>
          <w:t>https://www.justice.gov/opa/pr/justice-department-files-lawsuit-against-city-houston-sex-discrimination-and-retaliation</w:t>
        </w:r>
      </w:hyperlink>
      <w:r>
        <w:rPr>
          <w:rFonts w:ascii="Times New Roman" w:hAnsi="Times New Roman"/>
          <w:sz w:val="24"/>
          <w:szCs w:val="24"/>
        </w:rPr>
        <w:t xml:space="preserve"> </w:t>
      </w:r>
      <w:r>
        <w:rPr>
          <w:rFonts w:ascii="Times New Roman" w:eastAsia="Times New Roman" w:hAnsi="Times New Roman"/>
          <w:sz w:val="24"/>
          <w:szCs w:val="24"/>
        </w:rPr>
        <w:t xml:space="preserve"> [Jane </w:t>
      </w:r>
      <w:proofErr w:type="spellStart"/>
      <w:r>
        <w:rPr>
          <w:rFonts w:ascii="Times New Roman" w:eastAsia="Times New Roman" w:hAnsi="Times New Roman"/>
          <w:sz w:val="24"/>
          <w:szCs w:val="24"/>
        </w:rPr>
        <w:t>Draycott</w:t>
      </w:r>
      <w:proofErr w:type="spellEnd"/>
      <w:r>
        <w:rPr>
          <w:rFonts w:ascii="Times New Roman" w:eastAsia="Times New Roman" w:hAnsi="Times New Roman"/>
          <w:sz w:val="24"/>
          <w:szCs w:val="24"/>
        </w:rPr>
        <w:t xml:space="preserve"> later resigned from FD; Paula Keyes is now a Captain.] </w:t>
      </w:r>
      <w:hyperlink r:id="rId1394" w:history="1">
        <w:r w:rsidRPr="00931365">
          <w:rPr>
            <w:rStyle w:val="Hyperlink"/>
            <w:sz w:val="24"/>
            <w:szCs w:val="24"/>
          </w:rPr>
          <w:t>https://public.fastcase.com/Wl%2B2t%2BeVuI35%2FN70vAMFZkY2nPlYZ3wtvIBy3YjdhH4Hysc14LIFQvAQrJXSfUWa</w:t>
        </w:r>
      </w:hyperlink>
      <w:r>
        <w:rPr>
          <w:rFonts w:ascii="Times New Roman" w:eastAsia="Times New Roman" w:hAnsi="Times New Roman"/>
          <w:sz w:val="24"/>
          <w:szCs w:val="24"/>
        </w:rPr>
        <w:t xml:space="preserve"> </w:t>
      </w:r>
    </w:p>
    <w:p w14:paraId="11170939" w14:textId="77777777" w:rsidR="00FA7B26" w:rsidRPr="00542658" w:rsidRDefault="00FA7B26" w:rsidP="00FA7B26">
      <w:pPr>
        <w:rPr>
          <w:rFonts w:ascii="Times New Roman" w:hAnsi="Times New Roman"/>
          <w:b/>
          <w:bCs/>
          <w:sz w:val="24"/>
          <w:szCs w:val="24"/>
        </w:rPr>
      </w:pPr>
      <w:r w:rsidRPr="00542658">
        <w:rPr>
          <w:rFonts w:ascii="Times New Roman" w:hAnsi="Times New Roman"/>
          <w:b/>
          <w:bCs/>
          <w:sz w:val="24"/>
          <w:szCs w:val="24"/>
        </w:rPr>
        <w:t>Legal Lessons Learned:</w:t>
      </w:r>
      <w:r>
        <w:rPr>
          <w:rFonts w:ascii="Times New Roman" w:hAnsi="Times New Roman"/>
          <w:b/>
          <w:bCs/>
          <w:sz w:val="24"/>
          <w:szCs w:val="24"/>
        </w:rPr>
        <w:t xml:space="preserve"> Case is now scheduled for trial; serious allegations. </w:t>
      </w:r>
    </w:p>
    <w:p w14:paraId="7FD84642" w14:textId="77777777" w:rsidR="006744D3" w:rsidRDefault="006744D3" w:rsidP="002B1283">
      <w:pPr>
        <w:rPr>
          <w:rFonts w:ascii="Arial Black" w:hAnsi="Arial Black"/>
          <w:b/>
          <w:sz w:val="24"/>
          <w:szCs w:val="24"/>
        </w:rPr>
      </w:pPr>
    </w:p>
    <w:p w14:paraId="6AE2549F" w14:textId="3279A5BE" w:rsidR="002147DA" w:rsidRDefault="002147DA" w:rsidP="002B1283">
      <w:pPr>
        <w:rPr>
          <w:rFonts w:ascii="Arial Black" w:hAnsi="Arial Black"/>
          <w:b/>
          <w:sz w:val="24"/>
          <w:szCs w:val="24"/>
        </w:rPr>
      </w:pPr>
      <w:r>
        <w:rPr>
          <w:rFonts w:ascii="Arial Black" w:hAnsi="Arial Black"/>
          <w:b/>
          <w:sz w:val="24"/>
          <w:szCs w:val="24"/>
        </w:rPr>
        <w:t>7-20 [Also posted, Chap. 14]</w:t>
      </w:r>
    </w:p>
    <w:p w14:paraId="6CCFE8A7" w14:textId="77777777" w:rsidR="002147DA" w:rsidRDefault="002147DA" w:rsidP="002147DA">
      <w:pPr>
        <w:pStyle w:val="NoSpacing"/>
        <w:rPr>
          <w:rFonts w:ascii="Arial Black" w:hAnsi="Arial Black"/>
          <w:sz w:val="28"/>
          <w:szCs w:val="28"/>
        </w:rPr>
      </w:pPr>
      <w:bookmarkStart w:id="294" w:name="_Hlk39764591"/>
      <w:bookmarkStart w:id="295" w:name="_Hlk41155392"/>
      <w:r>
        <w:rPr>
          <w:rFonts w:ascii="Arial Black" w:hAnsi="Arial Black"/>
          <w:sz w:val="28"/>
          <w:szCs w:val="28"/>
        </w:rPr>
        <w:t xml:space="preserve">AL:  PREGNANT EMT – DENIED LIGHT DUTY – AMR CO. PROVIDES ONLY INJURED ON JOB - LAWSUIT REINSTATED </w:t>
      </w:r>
    </w:p>
    <w:p w14:paraId="7F1D3B63" w14:textId="77777777" w:rsidR="002147DA" w:rsidRDefault="002147DA" w:rsidP="002147DA">
      <w:pPr>
        <w:pStyle w:val="NoSpacing"/>
        <w:rPr>
          <w:b/>
          <w:bCs/>
          <w:sz w:val="24"/>
          <w:szCs w:val="24"/>
        </w:rPr>
      </w:pPr>
    </w:p>
    <w:p w14:paraId="1F7C3463"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lastRenderedPageBreak/>
        <w:t xml:space="preserve">On April 17, 2020, in </w:t>
      </w:r>
      <w:r w:rsidRPr="00AE3A49">
        <w:rPr>
          <w:rFonts w:ascii="Times New Roman" w:hAnsi="Times New Roman"/>
          <w:bCs/>
          <w:sz w:val="24"/>
          <w:szCs w:val="24"/>
          <w:u w:val="single"/>
        </w:rPr>
        <w:t>Kimberlie Michelle Durham v. Rural/Metro Corporation</w:t>
      </w:r>
      <w:r w:rsidRPr="00AE3A49">
        <w:rPr>
          <w:rFonts w:ascii="Times New Roman" w:hAnsi="Times New Roman"/>
          <w:bCs/>
          <w:sz w:val="24"/>
          <w:szCs w:val="24"/>
        </w:rPr>
        <w:t>, the U.S. Court of Appeals for the 11</w:t>
      </w:r>
      <w:r w:rsidRPr="00AE3A49">
        <w:rPr>
          <w:rFonts w:ascii="Times New Roman" w:hAnsi="Times New Roman"/>
          <w:bCs/>
          <w:sz w:val="24"/>
          <w:szCs w:val="24"/>
          <w:vertAlign w:val="superscript"/>
        </w:rPr>
        <w:t>th</w:t>
      </w:r>
      <w:r w:rsidRPr="00AE3A49">
        <w:rPr>
          <w:rFonts w:ascii="Times New Roman" w:hAnsi="Times New Roman"/>
          <w:bCs/>
          <w:sz w:val="24"/>
          <w:szCs w:val="24"/>
        </w:rPr>
        <w:t xml:space="preserve"> Circuit (Atlanta) held (3 to 0) that the U.S. District Court judge had improperly granted summary judgment to AMR.  </w:t>
      </w:r>
    </w:p>
    <w:p w14:paraId="41F2D2FF" w14:textId="77777777" w:rsidR="002147DA" w:rsidRDefault="002147DA" w:rsidP="002147DA">
      <w:pPr>
        <w:pStyle w:val="NoSpacing"/>
        <w:ind w:left="720"/>
        <w:rPr>
          <w:rFonts w:ascii="Times New Roman" w:hAnsi="Times New Roman"/>
          <w:bCs/>
          <w:sz w:val="24"/>
          <w:szCs w:val="24"/>
        </w:rPr>
      </w:pPr>
    </w:p>
    <w:p w14:paraId="1B956A10" w14:textId="77777777" w:rsidR="002147DA" w:rsidRPr="00AE3A49" w:rsidRDefault="002147DA" w:rsidP="002147DA">
      <w:pPr>
        <w:pStyle w:val="NoSpacing"/>
        <w:ind w:left="720"/>
        <w:rPr>
          <w:rFonts w:ascii="Times New Roman" w:hAnsi="Times New Roman"/>
          <w:sz w:val="24"/>
          <w:szCs w:val="24"/>
        </w:rPr>
      </w:pPr>
      <w:r w:rsidRPr="00AE3A49">
        <w:rPr>
          <w:rFonts w:ascii="Times New Roman" w:hAnsi="Times New Roman"/>
          <w:bCs/>
          <w:sz w:val="24"/>
          <w:szCs w:val="24"/>
        </w:rPr>
        <w:t>“We therefore vacate the grant of summary judgment. Neither a non-pregnant EMT who is limited to lifting 10 or 20 pounds nor a pregnant EMT who is restricted to lifting 50 pounds or less can lift the required 100 pounds to serve as an EMT. Since neither can meet the lifting requirement, they are the same in their ‘inability to work’ as an EMT. And that satisfies the plaintiff’s prima facie requirement to establish that she was ‘similar [to other employees] in their ability or inability to work.’</w:t>
      </w:r>
      <w:r w:rsidRPr="00AE3A49">
        <w:rPr>
          <w:rFonts w:ascii="Times New Roman" w:hAnsi="Times New Roman"/>
          <w:sz w:val="24"/>
          <w:szCs w:val="24"/>
        </w:rPr>
        <w:t xml:space="preserve">” </w:t>
      </w:r>
      <w:hyperlink r:id="rId1395" w:history="1">
        <w:r w:rsidRPr="00AE3A49">
          <w:rPr>
            <w:rStyle w:val="Hyperlink"/>
            <w:rFonts w:ascii="Times New Roman" w:hAnsi="Times New Roman"/>
            <w:b/>
            <w:sz w:val="24"/>
            <w:szCs w:val="24"/>
          </w:rPr>
          <w:t>http://media.ca11.uscourts.gov/opinions/pub/files/201814687.pdf</w:t>
        </w:r>
      </w:hyperlink>
      <w:r w:rsidRPr="00AE3A49">
        <w:rPr>
          <w:rFonts w:ascii="Times New Roman" w:hAnsi="Times New Roman"/>
          <w:sz w:val="24"/>
          <w:szCs w:val="24"/>
        </w:rPr>
        <w:t xml:space="preserve"> </w:t>
      </w:r>
    </w:p>
    <w:bookmarkEnd w:id="294"/>
    <w:p w14:paraId="1B993F0E" w14:textId="77777777" w:rsidR="002147DA" w:rsidRDefault="002147DA" w:rsidP="002147DA">
      <w:pPr>
        <w:pStyle w:val="NoSpacing"/>
        <w:rPr>
          <w:rFonts w:ascii="Times New Roman" w:hAnsi="Times New Roman"/>
          <w:b/>
          <w:bCs/>
          <w:sz w:val="24"/>
          <w:szCs w:val="24"/>
        </w:rPr>
      </w:pPr>
    </w:p>
    <w:p w14:paraId="3E20B1EC" w14:textId="2E5E36CD" w:rsidR="002147DA" w:rsidRPr="00AE3A49" w:rsidRDefault="002147DA" w:rsidP="002147DA">
      <w:pPr>
        <w:pStyle w:val="NoSpacing"/>
        <w:rPr>
          <w:rFonts w:ascii="Times New Roman" w:hAnsi="Times New Roman"/>
          <w:b/>
          <w:bCs/>
          <w:sz w:val="24"/>
          <w:szCs w:val="24"/>
        </w:rPr>
      </w:pPr>
      <w:bookmarkStart w:id="296" w:name="_Hlk40510709"/>
      <w:r w:rsidRPr="00AE3A49">
        <w:rPr>
          <w:rFonts w:ascii="Times New Roman" w:hAnsi="Times New Roman"/>
          <w:b/>
          <w:bCs/>
          <w:sz w:val="24"/>
          <w:szCs w:val="24"/>
        </w:rPr>
        <w:t>Legal Lessons Learned: Congress in enacting the Pregnancy Discrimination Act did not specifically address the issue of light-duty; hopefully</w:t>
      </w:r>
      <w:r w:rsidR="00C4249D">
        <w:rPr>
          <w:rFonts w:ascii="Times New Roman" w:hAnsi="Times New Roman"/>
          <w:b/>
          <w:bCs/>
          <w:sz w:val="24"/>
          <w:szCs w:val="24"/>
        </w:rPr>
        <w:t xml:space="preserve"> </w:t>
      </w:r>
      <w:r w:rsidRPr="00AE3A49">
        <w:rPr>
          <w:rFonts w:ascii="Times New Roman" w:hAnsi="Times New Roman"/>
          <w:b/>
          <w:bCs/>
          <w:sz w:val="24"/>
          <w:szCs w:val="24"/>
        </w:rPr>
        <w:t xml:space="preserve">the U.S. Supreme Court </w:t>
      </w:r>
      <w:r w:rsidR="00C4249D">
        <w:rPr>
          <w:rFonts w:ascii="Times New Roman" w:hAnsi="Times New Roman"/>
          <w:b/>
          <w:bCs/>
          <w:sz w:val="24"/>
          <w:szCs w:val="24"/>
        </w:rPr>
        <w:t xml:space="preserve">in a future case </w:t>
      </w:r>
      <w:r w:rsidRPr="00AE3A49">
        <w:rPr>
          <w:rFonts w:ascii="Times New Roman" w:hAnsi="Times New Roman"/>
          <w:b/>
          <w:bCs/>
          <w:sz w:val="24"/>
          <w:szCs w:val="24"/>
        </w:rPr>
        <w:t xml:space="preserve">will give clear direction on this issue.  </w:t>
      </w:r>
    </w:p>
    <w:bookmarkEnd w:id="296"/>
    <w:p w14:paraId="3B9D1BF8" w14:textId="77777777" w:rsidR="002147DA" w:rsidRDefault="002147DA" w:rsidP="002B1283">
      <w:pPr>
        <w:rPr>
          <w:rFonts w:ascii="Arial Black" w:hAnsi="Arial Black"/>
          <w:b/>
          <w:sz w:val="24"/>
          <w:szCs w:val="24"/>
        </w:rPr>
      </w:pPr>
    </w:p>
    <w:bookmarkEnd w:id="295"/>
    <w:p w14:paraId="1CB0E685" w14:textId="77777777" w:rsidR="002147DA" w:rsidRDefault="002147DA" w:rsidP="002B1283">
      <w:pPr>
        <w:rPr>
          <w:rFonts w:ascii="Arial Black" w:hAnsi="Arial Black"/>
          <w:b/>
          <w:sz w:val="24"/>
          <w:szCs w:val="24"/>
        </w:rPr>
      </w:pPr>
    </w:p>
    <w:p w14:paraId="5B89BE14" w14:textId="07D54B28" w:rsidR="002147DA" w:rsidRDefault="002147DA" w:rsidP="002B1283">
      <w:pPr>
        <w:rPr>
          <w:rFonts w:ascii="Arial Black" w:hAnsi="Arial Black"/>
          <w:b/>
          <w:sz w:val="24"/>
          <w:szCs w:val="24"/>
        </w:rPr>
      </w:pPr>
      <w:r>
        <w:rPr>
          <w:rFonts w:ascii="Arial Black" w:hAnsi="Arial Black"/>
          <w:b/>
          <w:sz w:val="24"/>
          <w:szCs w:val="24"/>
        </w:rPr>
        <w:t>7-19</w:t>
      </w:r>
    </w:p>
    <w:p w14:paraId="693A7B14" w14:textId="77777777" w:rsidR="002147DA" w:rsidRPr="005F2F43" w:rsidRDefault="002147DA" w:rsidP="002147DA">
      <w:pPr>
        <w:pStyle w:val="NoSpacing"/>
        <w:rPr>
          <w:rFonts w:ascii="Arial Black" w:hAnsi="Arial Black"/>
          <w:sz w:val="28"/>
          <w:szCs w:val="28"/>
        </w:rPr>
      </w:pPr>
      <w:bookmarkStart w:id="297" w:name="_Hlk39764654"/>
      <w:r w:rsidRPr="005F2F43">
        <w:rPr>
          <w:rFonts w:ascii="Arial Black" w:hAnsi="Arial Black"/>
          <w:sz w:val="28"/>
          <w:szCs w:val="28"/>
        </w:rPr>
        <w:t>FL:</w:t>
      </w:r>
      <w:r>
        <w:rPr>
          <w:rFonts w:ascii="Arial Black" w:hAnsi="Arial Black"/>
          <w:sz w:val="28"/>
          <w:szCs w:val="28"/>
        </w:rPr>
        <w:t xml:space="preserve"> FEMALE FF RESIGNS, 20 YRS ON FD – CLAIMS HOSTILE WORK ATMOSPHERE, FEW SPECIFICS – CASE DISMISSED</w:t>
      </w:r>
      <w:r w:rsidRPr="005F2F43">
        <w:rPr>
          <w:rFonts w:ascii="Arial Black" w:hAnsi="Arial Black"/>
          <w:sz w:val="28"/>
          <w:szCs w:val="28"/>
        </w:rPr>
        <w:t xml:space="preserve"> </w:t>
      </w:r>
    </w:p>
    <w:p w14:paraId="03909706" w14:textId="77777777" w:rsidR="002147DA" w:rsidRDefault="002147DA" w:rsidP="002147DA">
      <w:pPr>
        <w:pStyle w:val="NoSpacing"/>
        <w:rPr>
          <w:b/>
          <w:bCs/>
          <w:sz w:val="24"/>
          <w:szCs w:val="24"/>
        </w:rPr>
      </w:pPr>
    </w:p>
    <w:p w14:paraId="5CFE62BF"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w:t>
      </w:r>
      <w:bookmarkStart w:id="298" w:name="_Hlk39833074"/>
      <w:r w:rsidRPr="00AE3A49">
        <w:rPr>
          <w:rFonts w:ascii="Times New Roman" w:hAnsi="Times New Roman"/>
          <w:bCs/>
          <w:sz w:val="24"/>
          <w:szCs w:val="24"/>
        </w:rPr>
        <w:t xml:space="preserve">April 1, 2020, in </w:t>
      </w:r>
      <w:r w:rsidRPr="00AE3A49">
        <w:rPr>
          <w:rFonts w:ascii="Times New Roman" w:hAnsi="Times New Roman"/>
          <w:bCs/>
          <w:sz w:val="24"/>
          <w:szCs w:val="24"/>
          <w:u w:val="single"/>
        </w:rPr>
        <w:t>Colleen Moore v. San Carlos Park Fire Protection &amp; Rescue</w:t>
      </w:r>
      <w:r w:rsidRPr="00AE3A49">
        <w:rPr>
          <w:rFonts w:ascii="Times New Roman" w:hAnsi="Times New Roman"/>
          <w:bCs/>
          <w:sz w:val="24"/>
          <w:szCs w:val="24"/>
        </w:rPr>
        <w:t xml:space="preserve">, </w:t>
      </w:r>
      <w:bookmarkEnd w:id="298"/>
      <w:r w:rsidRPr="00AE3A49">
        <w:rPr>
          <w:rFonts w:ascii="Times New Roman" w:hAnsi="Times New Roman"/>
          <w:bCs/>
          <w:sz w:val="24"/>
          <w:szCs w:val="24"/>
        </w:rPr>
        <w:t>the U.S. Court of Appeals for the 11</w:t>
      </w:r>
      <w:r w:rsidRPr="00AE3A49">
        <w:rPr>
          <w:rFonts w:ascii="Times New Roman" w:hAnsi="Times New Roman"/>
          <w:bCs/>
          <w:sz w:val="24"/>
          <w:szCs w:val="24"/>
          <w:vertAlign w:val="superscript"/>
        </w:rPr>
        <w:t>th</w:t>
      </w:r>
      <w:r w:rsidRPr="00AE3A49">
        <w:rPr>
          <w:rFonts w:ascii="Times New Roman" w:hAnsi="Times New Roman"/>
          <w:bCs/>
          <w:sz w:val="24"/>
          <w:szCs w:val="24"/>
        </w:rPr>
        <w:t xml:space="preserve"> District (Atlanta) held (3 to 0) in unpublished opinion that the trial court properly granted the FD’s motion to dismiss.  Moore resigned on November 5, 2013, after more than 20 years of service. </w:t>
      </w:r>
    </w:p>
    <w:p w14:paraId="261F219D" w14:textId="77777777" w:rsidR="002147DA" w:rsidRPr="00AE3A49" w:rsidRDefault="002147DA" w:rsidP="002147DA">
      <w:pPr>
        <w:pStyle w:val="NoSpacing"/>
        <w:rPr>
          <w:rFonts w:ascii="Times New Roman" w:hAnsi="Times New Roman"/>
          <w:b/>
          <w:bCs/>
          <w:sz w:val="24"/>
          <w:szCs w:val="24"/>
        </w:rPr>
      </w:pPr>
    </w:p>
    <w:p w14:paraId="135950EA" w14:textId="77777777" w:rsidR="002147DA" w:rsidRPr="00AE3A49" w:rsidRDefault="002147DA" w:rsidP="002147DA">
      <w:pPr>
        <w:pStyle w:val="NoSpacing"/>
        <w:ind w:left="720"/>
        <w:rPr>
          <w:rFonts w:ascii="Times New Roman" w:eastAsia="Times New Roman" w:hAnsi="Times New Roman"/>
          <w:b/>
          <w:bCs/>
          <w:sz w:val="24"/>
          <w:szCs w:val="24"/>
        </w:rPr>
      </w:pPr>
      <w:r w:rsidRPr="00AE3A49">
        <w:rPr>
          <w:rFonts w:ascii="Times New Roman" w:hAnsi="Times New Roman"/>
          <w:bCs/>
          <w:sz w:val="24"/>
          <w:szCs w:val="24"/>
        </w:rPr>
        <w:t xml:space="preserve">“While the complaint lists a series of discrete acts, it does not provide the dates of those acts or mention the supervisor responsible for any alleged acts. Similarly, her EEOC charge alleges Moore was harassed, called ‘the girl,’ and disciplined more severely than men, but does not provide any details supporting those allegations. Without connecting names or dates to each incident, we cannot determine who committed the acts or when they were committed. See Morgan, 536 U.S. at 120. Thus, Moore has not established that the three timely adverse acts are sufficiently related to any of the other </w:t>
      </w:r>
      <w:proofErr w:type="gramStart"/>
      <w:r w:rsidRPr="00AE3A49">
        <w:rPr>
          <w:rFonts w:ascii="Times New Roman" w:hAnsi="Times New Roman"/>
          <w:bCs/>
          <w:sz w:val="24"/>
          <w:szCs w:val="24"/>
        </w:rPr>
        <w:t>complained</w:t>
      </w:r>
      <w:proofErr w:type="gramEnd"/>
      <w:r w:rsidRPr="00AE3A49">
        <w:rPr>
          <w:rFonts w:ascii="Times New Roman" w:hAnsi="Times New Roman"/>
          <w:bCs/>
          <w:sz w:val="24"/>
          <w:szCs w:val="24"/>
        </w:rPr>
        <w:t xml:space="preserve"> of acts, such that they support the same hostile work environment claim. </w:t>
      </w:r>
      <w:bookmarkStart w:id="299" w:name="_Hlk39833092"/>
      <w:r w:rsidR="00374417">
        <w:fldChar w:fldCharType="begin"/>
      </w:r>
      <w:r w:rsidR="00374417">
        <w:instrText xml:space="preserve"> HYPERLINK "http://media.ca11.uscourts.gov/opinions/unpub/files/201910263.pdf" </w:instrText>
      </w:r>
      <w:r w:rsidR="00374417">
        <w:fldChar w:fldCharType="separate"/>
      </w:r>
      <w:r w:rsidRPr="00AE3A49">
        <w:rPr>
          <w:rStyle w:val="Hyperlink"/>
          <w:rFonts w:ascii="Times New Roman" w:hAnsi="Times New Roman"/>
          <w:b/>
          <w:sz w:val="24"/>
          <w:szCs w:val="24"/>
        </w:rPr>
        <w:t>http://media.ca11.uscourts.gov/opinions/unpub/files/201910263.pdf</w:t>
      </w:r>
      <w:r w:rsidR="00374417">
        <w:rPr>
          <w:rStyle w:val="Hyperlink"/>
          <w:rFonts w:ascii="Times New Roman" w:hAnsi="Times New Roman"/>
          <w:b/>
          <w:sz w:val="24"/>
          <w:szCs w:val="24"/>
        </w:rPr>
        <w:fldChar w:fldCharType="end"/>
      </w:r>
      <w:bookmarkEnd w:id="297"/>
      <w:r w:rsidRPr="00AE3A49">
        <w:rPr>
          <w:rFonts w:ascii="Times New Roman" w:hAnsi="Times New Roman"/>
          <w:bCs/>
          <w:sz w:val="24"/>
          <w:szCs w:val="24"/>
        </w:rPr>
        <w:t xml:space="preserve"> </w:t>
      </w:r>
    </w:p>
    <w:bookmarkEnd w:id="299"/>
    <w:p w14:paraId="2AEF925C" w14:textId="77777777" w:rsidR="002147DA" w:rsidRDefault="002147DA" w:rsidP="002147DA">
      <w:pPr>
        <w:pStyle w:val="NoSpacing"/>
        <w:rPr>
          <w:rFonts w:ascii="Times New Roman" w:hAnsi="Times New Roman"/>
          <w:b/>
          <w:bCs/>
          <w:sz w:val="24"/>
          <w:szCs w:val="24"/>
        </w:rPr>
      </w:pPr>
    </w:p>
    <w:p w14:paraId="1AA52516" w14:textId="1B83D0D7" w:rsidR="002147DA" w:rsidRPr="00AE3A49" w:rsidRDefault="002147DA" w:rsidP="002147DA">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Fire &amp; EMS departments should have Employee Handbooks requiring employees to promptly file complaints in writing. </w:t>
      </w:r>
    </w:p>
    <w:p w14:paraId="4C8C8346" w14:textId="77777777" w:rsidR="002147DA" w:rsidRPr="00AE3A49" w:rsidRDefault="002147DA" w:rsidP="002147DA">
      <w:pPr>
        <w:pStyle w:val="NoSpacing"/>
        <w:rPr>
          <w:rFonts w:ascii="Times New Roman" w:hAnsi="Times New Roman"/>
          <w:b/>
          <w:bCs/>
          <w:sz w:val="24"/>
          <w:szCs w:val="24"/>
        </w:rPr>
      </w:pPr>
    </w:p>
    <w:p w14:paraId="4594FCCE" w14:textId="77777777" w:rsidR="002147DA" w:rsidRDefault="002147DA" w:rsidP="002147DA">
      <w:pPr>
        <w:pStyle w:val="NoSpacing"/>
        <w:rPr>
          <w:b/>
          <w:bCs/>
          <w:sz w:val="24"/>
          <w:szCs w:val="24"/>
        </w:rPr>
      </w:pPr>
    </w:p>
    <w:p w14:paraId="7FB345A5" w14:textId="77777777" w:rsidR="002147DA" w:rsidRDefault="002147DA" w:rsidP="002147DA">
      <w:pPr>
        <w:pStyle w:val="NoSpacing"/>
        <w:rPr>
          <w:b/>
          <w:bCs/>
          <w:sz w:val="24"/>
          <w:szCs w:val="24"/>
        </w:rPr>
      </w:pPr>
    </w:p>
    <w:p w14:paraId="442D5866" w14:textId="77777777" w:rsidR="002147DA" w:rsidRDefault="002147DA" w:rsidP="002B1283">
      <w:pPr>
        <w:rPr>
          <w:rFonts w:ascii="Arial Black" w:hAnsi="Arial Black"/>
          <w:b/>
          <w:sz w:val="24"/>
          <w:szCs w:val="24"/>
        </w:rPr>
      </w:pPr>
    </w:p>
    <w:p w14:paraId="1E8E684D" w14:textId="77777777" w:rsidR="002147DA" w:rsidRDefault="002147DA" w:rsidP="002B1283">
      <w:pPr>
        <w:rPr>
          <w:rFonts w:ascii="Arial Black" w:hAnsi="Arial Black"/>
          <w:b/>
          <w:sz w:val="24"/>
          <w:szCs w:val="24"/>
        </w:rPr>
      </w:pPr>
    </w:p>
    <w:p w14:paraId="775FA55D" w14:textId="4E4DED1E" w:rsidR="007540BD" w:rsidRDefault="007540BD" w:rsidP="002B1283">
      <w:pPr>
        <w:rPr>
          <w:rFonts w:ascii="Arial Black" w:hAnsi="Arial Black"/>
          <w:b/>
          <w:sz w:val="24"/>
          <w:szCs w:val="24"/>
        </w:rPr>
      </w:pPr>
      <w:r>
        <w:rPr>
          <w:rFonts w:ascii="Arial Black" w:hAnsi="Arial Black"/>
          <w:b/>
          <w:sz w:val="24"/>
          <w:szCs w:val="24"/>
        </w:rPr>
        <w:t>7-18</w:t>
      </w:r>
    </w:p>
    <w:p w14:paraId="1D8E021C" w14:textId="77777777" w:rsidR="007540BD" w:rsidRDefault="007540BD" w:rsidP="007540BD">
      <w:pPr>
        <w:pStyle w:val="NoSpacing"/>
        <w:rPr>
          <w:rFonts w:ascii="Arial Black" w:hAnsi="Arial Black"/>
          <w:sz w:val="28"/>
          <w:szCs w:val="28"/>
        </w:rPr>
      </w:pPr>
      <w:bookmarkStart w:id="300" w:name="_Hlk40510796"/>
      <w:r>
        <w:rPr>
          <w:rFonts w:ascii="Arial Black" w:hAnsi="Arial Black"/>
          <w:sz w:val="28"/>
          <w:szCs w:val="28"/>
        </w:rPr>
        <w:lastRenderedPageBreak/>
        <w:t>TX: “JANE DOE” LAWSUIT DISMISSED - FEMALE FF MUST IDENTIFY HERSELF IN NEW LAWSUIT – CITY, SEVERAL FF DROPPED FROM CASE</w:t>
      </w:r>
    </w:p>
    <w:p w14:paraId="6BF39C46" w14:textId="77777777" w:rsidR="007540BD" w:rsidRPr="00934109" w:rsidRDefault="007540BD" w:rsidP="007540BD">
      <w:pPr>
        <w:pStyle w:val="NoSpacing"/>
        <w:rPr>
          <w:rFonts w:ascii="Arial Black" w:hAnsi="Arial Black"/>
          <w:b/>
          <w:bCs/>
          <w:sz w:val="28"/>
          <w:szCs w:val="28"/>
        </w:rPr>
      </w:pPr>
    </w:p>
    <w:p w14:paraId="7BBF1ACB"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Cs/>
          <w:sz w:val="24"/>
          <w:szCs w:val="24"/>
        </w:rPr>
        <w:t xml:space="preserve">On March 10, 2020, in </w:t>
      </w:r>
      <w:r w:rsidRPr="007C7258">
        <w:rPr>
          <w:rFonts w:ascii="Times New Roman" w:hAnsi="Times New Roman"/>
          <w:bCs/>
          <w:sz w:val="24"/>
          <w:szCs w:val="24"/>
          <w:u w:val="single"/>
        </w:rPr>
        <w:t>Female Firefighter Jane Doe v. Fort Worth, Texas, et al.</w:t>
      </w:r>
      <w:r w:rsidRPr="007C7258">
        <w:rPr>
          <w:rFonts w:ascii="Times New Roman" w:hAnsi="Times New Roman"/>
          <w:bCs/>
          <w:sz w:val="24"/>
          <w:szCs w:val="24"/>
        </w:rPr>
        <w:t xml:space="preserve">, U.S. District Court Judge John McBryde, U.S. District Court for Northern District of Texas, Fort Worth Division, ordered that Plaintiff re-file her lawsuit and identify herself.  Only one firefighter remains in the case, since 2-year statute of limitations has run on all her other claims.  The </w:t>
      </w:r>
      <w:proofErr w:type="gramStart"/>
      <w:r w:rsidRPr="007C7258">
        <w:rPr>
          <w:rFonts w:ascii="Times New Roman" w:hAnsi="Times New Roman"/>
          <w:bCs/>
          <w:sz w:val="24"/>
          <w:szCs w:val="24"/>
        </w:rPr>
        <w:t>City</w:t>
      </w:r>
      <w:proofErr w:type="gramEnd"/>
      <w:r w:rsidRPr="007C7258">
        <w:rPr>
          <w:rFonts w:ascii="Times New Roman" w:hAnsi="Times New Roman"/>
          <w:bCs/>
          <w:sz w:val="24"/>
          <w:szCs w:val="24"/>
        </w:rPr>
        <w:t xml:space="preserve"> is also dismissed from the case. </w:t>
      </w:r>
    </w:p>
    <w:bookmarkEnd w:id="300"/>
    <w:p w14:paraId="6D73D734" w14:textId="77777777" w:rsidR="007540BD" w:rsidRPr="007C7258" w:rsidRDefault="007540BD" w:rsidP="007540BD">
      <w:pPr>
        <w:pStyle w:val="NoSpacing"/>
        <w:rPr>
          <w:rFonts w:ascii="Times New Roman" w:hAnsi="Times New Roman"/>
          <w:b/>
          <w:bCs/>
          <w:sz w:val="24"/>
          <w:szCs w:val="24"/>
        </w:rPr>
      </w:pPr>
    </w:p>
    <w:p w14:paraId="1013D0AB"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“The law is clear that a plaintiff should only be allowed to proceed anonymously in rare and exceptional cases. Doe v. Stegall, </w:t>
      </w:r>
      <w:hyperlink r:id="rId1396" w:history="1">
        <w:r w:rsidRPr="007C7258">
          <w:rPr>
            <w:rStyle w:val="Hyperlink"/>
            <w:rFonts w:ascii="Times New Roman" w:hAnsi="Times New Roman"/>
            <w:b/>
            <w:sz w:val="24"/>
            <w:szCs w:val="24"/>
          </w:rPr>
          <w:t>653 F.2d 180</w:t>
        </w:r>
      </w:hyperlink>
      <w:r w:rsidRPr="007C7258">
        <w:rPr>
          <w:rFonts w:ascii="Times New Roman" w:hAnsi="Times New Roman"/>
          <w:bCs/>
          <w:sz w:val="24"/>
          <w:szCs w:val="24"/>
        </w:rPr>
        <w:t xml:space="preserve"> (5th Cir. Unit A 1981); Southern Methodist Univ. v. Wynn &amp; Jaffe, </w:t>
      </w:r>
      <w:hyperlink r:id="rId1397" w:history="1">
        <w:r w:rsidRPr="007C7258">
          <w:rPr>
            <w:rStyle w:val="Hyperlink"/>
            <w:rFonts w:ascii="Times New Roman" w:hAnsi="Times New Roman"/>
            <w:b/>
            <w:sz w:val="24"/>
            <w:szCs w:val="24"/>
          </w:rPr>
          <w:t>599 F.2d 707</w:t>
        </w:r>
      </w:hyperlink>
      <w:r w:rsidRPr="007C7258">
        <w:rPr>
          <w:rFonts w:ascii="Times New Roman" w:hAnsi="Times New Roman"/>
          <w:bCs/>
          <w:sz w:val="24"/>
          <w:szCs w:val="24"/>
        </w:rPr>
        <w:t xml:space="preserve"> (5th Cir. 1979). Plaintiff has made no attempt to show that this is such a case, probably because she cannot make the required showing. That plaintiff might suffer personal embarrassment is not enough. Doe v. Frank, </w:t>
      </w:r>
      <w:hyperlink r:id="rId1398" w:history="1">
        <w:r w:rsidRPr="007C7258">
          <w:rPr>
            <w:rStyle w:val="Hyperlink"/>
            <w:rFonts w:ascii="Times New Roman" w:hAnsi="Times New Roman"/>
            <w:b/>
            <w:sz w:val="24"/>
            <w:szCs w:val="24"/>
          </w:rPr>
          <w:t>951 F.2d 320</w:t>
        </w:r>
      </w:hyperlink>
      <w:r w:rsidRPr="007C7258">
        <w:rPr>
          <w:rFonts w:ascii="Times New Roman" w:hAnsi="Times New Roman"/>
          <w:bCs/>
          <w:sz w:val="24"/>
          <w:szCs w:val="24"/>
        </w:rPr>
        <w:t>, 324 (11th Cir. 1992). "Indeed, many courts faced with a request by a victim of sexual assault or harassment seeking to pursue a civil action for monetary damages under a pseudonym have concluded that the plaintiff was not entitled to proceed anonymously." Doe ex rel. Doe v. Harris, No. 14-0802, 2014 WL 4207599, at *2 W.D. La. Aug. 25, 2014) (citing cases). Accordingly, the court will require plaintiff to identify herself. Fed. R. Civ. P. 10(a).</w:t>
      </w:r>
    </w:p>
    <w:p w14:paraId="6338DD73" w14:textId="77777777" w:rsidR="007540BD" w:rsidRPr="007C7258" w:rsidRDefault="007540BD" w:rsidP="007540BD">
      <w:pPr>
        <w:pStyle w:val="NoSpacing"/>
        <w:ind w:left="720"/>
        <w:rPr>
          <w:rFonts w:ascii="Times New Roman" w:hAnsi="Times New Roman"/>
          <w:b/>
          <w:bCs/>
          <w:sz w:val="24"/>
          <w:szCs w:val="24"/>
        </w:rPr>
      </w:pPr>
    </w:p>
    <w:p w14:paraId="179480DD"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w:t>
      </w:r>
    </w:p>
    <w:p w14:paraId="372049F8" w14:textId="77777777" w:rsidR="007540BD" w:rsidRPr="007C7258" w:rsidRDefault="007540BD" w:rsidP="007540BD">
      <w:pPr>
        <w:ind w:left="720"/>
        <w:rPr>
          <w:rFonts w:ascii="Times New Roman" w:hAnsi="Times New Roman"/>
          <w:b/>
          <w:bCs/>
          <w:sz w:val="24"/>
          <w:szCs w:val="24"/>
        </w:rPr>
      </w:pPr>
      <w:r w:rsidRPr="007C7258">
        <w:rPr>
          <w:rFonts w:ascii="Times New Roman" w:hAnsi="Times New Roman"/>
          <w:bCs/>
          <w:sz w:val="24"/>
          <w:szCs w:val="24"/>
        </w:rPr>
        <w:t xml:space="preserve">If, as plaintiff contends, she was raped by her co-workers, that was not the result of an intentional choice of City not to provide proper training, especially where plaintiff does not allege that City was ever informed that lack of training was causing its male firefighters to engage in criminal conduct.” </w:t>
      </w:r>
      <w:bookmarkStart w:id="301" w:name="_Hlk40510857"/>
      <w:r w:rsidR="009B50E8">
        <w:fldChar w:fldCharType="begin"/>
      </w:r>
      <w:r w:rsidR="009B50E8">
        <w:instrText xml:space="preserve"> HYPERLINK "https://www.leagle.com/decision/infdco20200316488" </w:instrText>
      </w:r>
      <w:r w:rsidR="009B50E8">
        <w:fldChar w:fldCharType="separate"/>
      </w:r>
      <w:r w:rsidRPr="007C7258">
        <w:rPr>
          <w:rStyle w:val="Hyperlink"/>
          <w:rFonts w:ascii="Times New Roman" w:hAnsi="Times New Roman"/>
          <w:sz w:val="24"/>
          <w:szCs w:val="24"/>
        </w:rPr>
        <w:t>https://www.leagle.com/decision/infdco20200316488</w:t>
      </w:r>
      <w:r w:rsidR="009B50E8">
        <w:rPr>
          <w:rStyle w:val="Hyperlink"/>
          <w:rFonts w:ascii="Times New Roman" w:hAnsi="Times New Roman"/>
          <w:sz w:val="24"/>
          <w:szCs w:val="24"/>
        </w:rPr>
        <w:fldChar w:fldCharType="end"/>
      </w:r>
      <w:r w:rsidRPr="007C7258">
        <w:rPr>
          <w:rFonts w:ascii="Times New Roman" w:hAnsi="Times New Roman"/>
          <w:bCs/>
          <w:sz w:val="24"/>
          <w:szCs w:val="24"/>
        </w:rPr>
        <w:t xml:space="preserve"> </w:t>
      </w:r>
    </w:p>
    <w:p w14:paraId="7D73B159" w14:textId="77777777" w:rsidR="007540BD" w:rsidRPr="007C7258" w:rsidRDefault="007540BD" w:rsidP="007540BD">
      <w:pPr>
        <w:spacing w:before="100" w:beforeAutospacing="1" w:after="100" w:afterAutospacing="1" w:line="240" w:lineRule="auto"/>
        <w:rPr>
          <w:rFonts w:ascii="Times New Roman" w:hAnsi="Times New Roman"/>
          <w:b/>
          <w:bCs/>
          <w:sz w:val="24"/>
          <w:szCs w:val="24"/>
        </w:rPr>
      </w:pPr>
      <w:bookmarkStart w:id="302" w:name="_Hlk40510884"/>
      <w:bookmarkEnd w:id="301"/>
      <w:r w:rsidRPr="007C7258">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A </w:t>
      </w:r>
      <w:r w:rsidRPr="007C7258">
        <w:rPr>
          <w:rFonts w:ascii="Times New Roman" w:hAnsi="Times New Roman"/>
          <w:b/>
          <w:bCs/>
          <w:sz w:val="24"/>
          <w:szCs w:val="24"/>
        </w:rPr>
        <w:t xml:space="preserve">plaintiff should only be allowed to proceed anonymously in rare and exceptional cases.  </w:t>
      </w:r>
      <w:bookmarkEnd w:id="302"/>
      <w:r w:rsidRPr="007C7258">
        <w:rPr>
          <w:rFonts w:ascii="Times New Roman" w:hAnsi="Times New Roman"/>
          <w:b/>
          <w:bCs/>
          <w:sz w:val="24"/>
          <w:szCs w:val="24"/>
        </w:rPr>
        <w:t>[I have deleted names of the defendants in this case, since Plaintiff hasn’t identified herself.]</w:t>
      </w:r>
    </w:p>
    <w:p w14:paraId="1F9E78D3" w14:textId="204C1D1C" w:rsidR="007540BD" w:rsidRDefault="007540BD" w:rsidP="002B1283">
      <w:pPr>
        <w:rPr>
          <w:rFonts w:ascii="Arial Black" w:hAnsi="Arial Black"/>
          <w:b/>
          <w:sz w:val="24"/>
          <w:szCs w:val="24"/>
        </w:rPr>
      </w:pPr>
    </w:p>
    <w:p w14:paraId="23058EB8" w14:textId="2C71341B" w:rsidR="007540BD" w:rsidRDefault="007540BD" w:rsidP="002B1283">
      <w:pPr>
        <w:rPr>
          <w:rFonts w:ascii="Arial Black" w:hAnsi="Arial Black"/>
          <w:b/>
          <w:sz w:val="24"/>
          <w:szCs w:val="24"/>
        </w:rPr>
      </w:pPr>
      <w:r>
        <w:rPr>
          <w:rFonts w:ascii="Arial Black" w:hAnsi="Arial Black"/>
          <w:b/>
          <w:sz w:val="24"/>
          <w:szCs w:val="24"/>
        </w:rPr>
        <w:t>7-17</w:t>
      </w:r>
    </w:p>
    <w:p w14:paraId="35D1DF62" w14:textId="77777777" w:rsidR="007540BD" w:rsidRPr="00BA763B" w:rsidRDefault="007540BD" w:rsidP="007540BD">
      <w:pPr>
        <w:pStyle w:val="NoSpacing"/>
        <w:rPr>
          <w:rFonts w:ascii="Arial Black" w:hAnsi="Arial Black"/>
          <w:sz w:val="28"/>
          <w:szCs w:val="28"/>
        </w:rPr>
      </w:pPr>
      <w:r>
        <w:rPr>
          <w:rFonts w:ascii="Arial Black" w:hAnsi="Arial Black"/>
          <w:sz w:val="28"/>
          <w:szCs w:val="28"/>
        </w:rPr>
        <w:t xml:space="preserve">IL:  JOKES ABOUT FF BEING “GAY” [HE IS NOT] – CASE DISMISSED – 3 OCCASIONS - NOT AN “OBJECTIVELY” HOSTILE WORK ENVIRONMENT </w:t>
      </w:r>
    </w:p>
    <w:p w14:paraId="4F738B51" w14:textId="77777777" w:rsidR="007540BD" w:rsidRDefault="007540BD" w:rsidP="007540BD">
      <w:pPr>
        <w:pStyle w:val="NoSpacing"/>
      </w:pPr>
    </w:p>
    <w:p w14:paraId="1EB47EAA"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Cs/>
          <w:sz w:val="24"/>
          <w:szCs w:val="24"/>
        </w:rPr>
        <w:t xml:space="preserve">On March 9, 2020, in </w:t>
      </w:r>
      <w:r w:rsidRPr="007C7258">
        <w:rPr>
          <w:rFonts w:ascii="Times New Roman" w:hAnsi="Times New Roman"/>
          <w:bCs/>
          <w:sz w:val="24"/>
          <w:szCs w:val="24"/>
          <w:u w:val="single"/>
        </w:rPr>
        <w:t>Justine Bakker v. Mokena Fire Protection District</w:t>
      </w:r>
      <w:r w:rsidRPr="007C7258">
        <w:rPr>
          <w:rFonts w:ascii="Times New Roman" w:hAnsi="Times New Roman"/>
          <w:bCs/>
          <w:sz w:val="24"/>
          <w:szCs w:val="24"/>
        </w:rPr>
        <w:t xml:space="preserve">, U.S. District Court Judge Harry D. </w:t>
      </w:r>
      <w:proofErr w:type="spellStart"/>
      <w:r w:rsidRPr="007C7258">
        <w:rPr>
          <w:rFonts w:ascii="Times New Roman" w:hAnsi="Times New Roman"/>
          <w:bCs/>
          <w:sz w:val="24"/>
          <w:szCs w:val="24"/>
        </w:rPr>
        <w:t>Leinenweber</w:t>
      </w:r>
      <w:proofErr w:type="spellEnd"/>
      <w:r w:rsidRPr="007C7258">
        <w:rPr>
          <w:rFonts w:ascii="Times New Roman" w:hAnsi="Times New Roman"/>
          <w:bCs/>
          <w:sz w:val="24"/>
          <w:szCs w:val="24"/>
        </w:rPr>
        <w:t xml:space="preserve">, U.S. District Court for Northern District of Illinois, Eastern Division, granted the FD’s motion to dismiss. </w:t>
      </w:r>
    </w:p>
    <w:p w14:paraId="0D6C0A3D" w14:textId="77777777" w:rsidR="007540BD" w:rsidRPr="007C7258" w:rsidRDefault="007540BD" w:rsidP="007540BD">
      <w:pPr>
        <w:pStyle w:val="NoSpacing"/>
        <w:rPr>
          <w:rFonts w:ascii="Times New Roman" w:hAnsi="Times New Roman"/>
          <w:b/>
          <w:bCs/>
          <w:sz w:val="24"/>
          <w:szCs w:val="24"/>
        </w:rPr>
      </w:pPr>
    </w:p>
    <w:p w14:paraId="765ECF6A" w14:textId="082D58B0"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The Seventh Circuit set a high bar to establish an objectively hostile work environment. Courts ‘assume employees are generally mature individuals with the thick skin that comes from living in the modern world.’ </w:t>
      </w:r>
    </w:p>
    <w:p w14:paraId="2E480A06" w14:textId="77777777" w:rsidR="007540BD" w:rsidRPr="007C7258" w:rsidRDefault="007540BD" w:rsidP="007540BD">
      <w:pPr>
        <w:pStyle w:val="NoSpacing"/>
        <w:ind w:left="720"/>
        <w:rPr>
          <w:rFonts w:ascii="Times New Roman" w:hAnsi="Times New Roman"/>
          <w:b/>
          <w:bCs/>
          <w:i/>
          <w:iCs/>
          <w:sz w:val="24"/>
          <w:szCs w:val="24"/>
        </w:rPr>
      </w:pPr>
      <w:proofErr w:type="spellStart"/>
      <w:proofErr w:type="gramStart"/>
      <w:r w:rsidRPr="007C7258">
        <w:rPr>
          <w:rFonts w:ascii="Times New Roman" w:hAnsi="Times New Roman"/>
          <w:bCs/>
          <w:i/>
          <w:iCs/>
          <w:sz w:val="24"/>
          <w:szCs w:val="24"/>
        </w:rPr>
        <w:t>Swyear</w:t>
      </w:r>
      <w:proofErr w:type="spellEnd"/>
      <w:proofErr w:type="gramEnd"/>
      <w:r w:rsidRPr="007C7258">
        <w:rPr>
          <w:rFonts w:ascii="Times New Roman" w:hAnsi="Times New Roman"/>
          <w:bCs/>
          <w:sz w:val="24"/>
          <w:szCs w:val="24"/>
        </w:rPr>
        <w:t xml:space="preserve">, 911 F.3d at 881. Employers ‘generally do not face liability for off-color comments, isolated incidents, teasing, and other unpleasantries that are, unfortunately, not uncommon in the workplace.’ </w:t>
      </w:r>
      <w:r w:rsidRPr="007C7258">
        <w:rPr>
          <w:rFonts w:ascii="Times New Roman" w:hAnsi="Times New Roman"/>
          <w:bCs/>
          <w:i/>
          <w:iCs/>
          <w:sz w:val="24"/>
          <w:szCs w:val="24"/>
        </w:rPr>
        <w:t>Id</w:t>
      </w:r>
      <w:r w:rsidRPr="007C7258">
        <w:rPr>
          <w:rFonts w:ascii="Times New Roman" w:hAnsi="Times New Roman"/>
          <w:bCs/>
          <w:sz w:val="24"/>
          <w:szCs w:val="24"/>
        </w:rPr>
        <w:t xml:space="preserve">. </w:t>
      </w:r>
      <w:r w:rsidRPr="007C7258">
        <w:rPr>
          <w:rFonts w:ascii="Times New Roman" w:hAnsi="Times New Roman"/>
          <w:bCs/>
          <w:sz w:val="24"/>
          <w:szCs w:val="24"/>
        </w:rPr>
        <w:lastRenderedPageBreak/>
        <w:t xml:space="preserve">Jokes that are ‘crude’ and ‘immature’ do not create employer liability, even though the jokes are ‘boorish,’ inappropriate, and in poor taste. </w:t>
      </w:r>
    </w:p>
    <w:p w14:paraId="1CB54D0B" w14:textId="77777777" w:rsidR="007540BD" w:rsidRPr="007C7258" w:rsidRDefault="007540BD" w:rsidP="007540BD">
      <w:pPr>
        <w:pStyle w:val="NoSpacing"/>
        <w:ind w:left="720"/>
        <w:rPr>
          <w:rFonts w:ascii="Times New Roman" w:hAnsi="Times New Roman"/>
          <w:b/>
          <w:bCs/>
          <w:sz w:val="24"/>
          <w:szCs w:val="24"/>
        </w:rPr>
      </w:pPr>
    </w:p>
    <w:p w14:paraId="72594FB2" w14:textId="77777777" w:rsidR="007540BD" w:rsidRPr="007C7258" w:rsidRDefault="007540BD" w:rsidP="007540BD">
      <w:pPr>
        <w:pStyle w:val="NoSpacing"/>
        <w:ind w:firstLine="720"/>
        <w:rPr>
          <w:rFonts w:ascii="Times New Roman" w:hAnsi="Times New Roman"/>
          <w:b/>
          <w:bCs/>
          <w:sz w:val="24"/>
          <w:szCs w:val="24"/>
        </w:rPr>
      </w:pPr>
      <w:r w:rsidRPr="007C7258">
        <w:rPr>
          <w:rFonts w:ascii="Times New Roman" w:hAnsi="Times New Roman"/>
          <w:bCs/>
          <w:sz w:val="24"/>
          <w:szCs w:val="24"/>
        </w:rPr>
        <w:t>***</w:t>
      </w:r>
    </w:p>
    <w:p w14:paraId="67536269"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The set of facts stated in Bakker's Complaint provides no possible path to employer liability. Accordingly, </w:t>
      </w:r>
      <w:proofErr w:type="gramStart"/>
      <w:r w:rsidRPr="007C7258">
        <w:rPr>
          <w:rFonts w:ascii="Times New Roman" w:hAnsi="Times New Roman"/>
          <w:bCs/>
          <w:sz w:val="24"/>
          <w:szCs w:val="24"/>
        </w:rPr>
        <w:t>the Title</w:t>
      </w:r>
      <w:proofErr w:type="gramEnd"/>
      <w:r w:rsidRPr="007C7258">
        <w:rPr>
          <w:rFonts w:ascii="Times New Roman" w:hAnsi="Times New Roman"/>
          <w:bCs/>
          <w:sz w:val="24"/>
          <w:szCs w:val="24"/>
        </w:rPr>
        <w:t xml:space="preserve"> VII claim must fail. Further, because the December 2015 and July 2018 incidents are time-barred and because the August 2018 incident alone cannot establish liability, the Title VII claims must be dismissed with prejudice.”</w:t>
      </w:r>
    </w:p>
    <w:p w14:paraId="04F35501" w14:textId="77777777" w:rsidR="007540BD" w:rsidRPr="007C7258" w:rsidRDefault="007540BD" w:rsidP="007540BD">
      <w:pPr>
        <w:pStyle w:val="NoSpacing"/>
        <w:ind w:left="720"/>
        <w:rPr>
          <w:rFonts w:ascii="Times New Roman" w:hAnsi="Times New Roman"/>
          <w:b/>
          <w:bCs/>
          <w:sz w:val="24"/>
          <w:szCs w:val="24"/>
        </w:rPr>
      </w:pPr>
      <w:hyperlink r:id="rId1399" w:history="1">
        <w:r w:rsidRPr="007C7258">
          <w:rPr>
            <w:rStyle w:val="Hyperlink"/>
            <w:rFonts w:ascii="Times New Roman" w:hAnsi="Times New Roman"/>
            <w:b/>
            <w:sz w:val="24"/>
            <w:szCs w:val="24"/>
          </w:rPr>
          <w:t>https://public.fastcase.com/Wl%2B2t%2BeVuI35%2FN70vAMFZpwObr9UCo7RpBGKfgPOWwVQBI%2BjVLV%2FylH6ScWLGBY%2F</w:t>
        </w:r>
      </w:hyperlink>
      <w:r w:rsidRPr="007C7258">
        <w:rPr>
          <w:rFonts w:ascii="Times New Roman" w:hAnsi="Times New Roman"/>
          <w:bCs/>
          <w:sz w:val="24"/>
          <w:szCs w:val="24"/>
        </w:rPr>
        <w:t xml:space="preserve"> </w:t>
      </w:r>
    </w:p>
    <w:p w14:paraId="0610A856" w14:textId="77777777" w:rsidR="007540BD" w:rsidRPr="007C7258" w:rsidRDefault="007540BD" w:rsidP="007540BD">
      <w:pPr>
        <w:pStyle w:val="NoSpacing"/>
        <w:ind w:left="720"/>
        <w:rPr>
          <w:rFonts w:ascii="Times New Roman" w:hAnsi="Times New Roman"/>
          <w:b/>
          <w:bCs/>
          <w:sz w:val="24"/>
          <w:szCs w:val="24"/>
        </w:rPr>
      </w:pPr>
    </w:p>
    <w:p w14:paraId="6B0C77B7" w14:textId="77777777" w:rsidR="007540BD" w:rsidRPr="007C7258" w:rsidRDefault="007540BD" w:rsidP="007540BD">
      <w:pPr>
        <w:pStyle w:val="NoSpacing"/>
        <w:tabs>
          <w:tab w:val="left" w:pos="3010"/>
        </w:tabs>
        <w:rPr>
          <w:rFonts w:ascii="Times New Roman" w:eastAsia="Times New Roman" w:hAnsi="Times New Roman"/>
          <w:b/>
          <w:bCs/>
          <w:sz w:val="24"/>
          <w:szCs w:val="24"/>
        </w:rPr>
      </w:pPr>
      <w:r w:rsidRPr="007C7258">
        <w:rPr>
          <w:rFonts w:ascii="Times New Roman" w:hAnsi="Times New Roman"/>
          <w:b/>
          <w:bCs/>
          <w:sz w:val="24"/>
          <w:szCs w:val="24"/>
        </w:rPr>
        <w:t xml:space="preserve">Legal Lessons Learned: It’s great to have fun on duty; </w:t>
      </w:r>
      <w:r>
        <w:rPr>
          <w:rFonts w:ascii="Times New Roman" w:hAnsi="Times New Roman"/>
          <w:b/>
          <w:bCs/>
          <w:sz w:val="24"/>
          <w:szCs w:val="24"/>
        </w:rPr>
        <w:t xml:space="preserve">but jokes about sexual orientation are not appropriate. </w:t>
      </w:r>
      <w:r w:rsidRPr="007C7258">
        <w:rPr>
          <w:rFonts w:ascii="Times New Roman" w:hAnsi="Times New Roman"/>
          <w:b/>
          <w:bCs/>
          <w:sz w:val="24"/>
          <w:szCs w:val="24"/>
        </w:rPr>
        <w:t xml:space="preserve">  </w:t>
      </w:r>
    </w:p>
    <w:p w14:paraId="58598D15" w14:textId="77777777" w:rsidR="007540BD" w:rsidRPr="007C7258" w:rsidRDefault="007540BD" w:rsidP="007540BD">
      <w:pPr>
        <w:spacing w:before="100" w:beforeAutospacing="1" w:after="100" w:afterAutospacing="1" w:line="240" w:lineRule="auto"/>
        <w:ind w:left="720"/>
        <w:rPr>
          <w:rFonts w:ascii="Times New Roman" w:eastAsia="Times New Roman" w:hAnsi="Times New Roman"/>
          <w:sz w:val="24"/>
          <w:szCs w:val="24"/>
        </w:rPr>
      </w:pPr>
    </w:p>
    <w:p w14:paraId="0DE8C4C8" w14:textId="77777777" w:rsidR="007540BD" w:rsidRDefault="007540BD" w:rsidP="002B1283">
      <w:pPr>
        <w:rPr>
          <w:rFonts w:ascii="Arial Black" w:hAnsi="Arial Black"/>
          <w:b/>
          <w:sz w:val="24"/>
          <w:szCs w:val="24"/>
        </w:rPr>
      </w:pPr>
    </w:p>
    <w:p w14:paraId="63C40E13" w14:textId="77777777" w:rsidR="007540BD" w:rsidRDefault="007540BD" w:rsidP="002B1283">
      <w:pPr>
        <w:rPr>
          <w:rFonts w:ascii="Arial Black" w:hAnsi="Arial Black"/>
          <w:b/>
          <w:sz w:val="24"/>
          <w:szCs w:val="24"/>
        </w:rPr>
      </w:pPr>
    </w:p>
    <w:p w14:paraId="298F5E61" w14:textId="2B57D646" w:rsidR="00997329" w:rsidRDefault="00997329" w:rsidP="002B1283">
      <w:pPr>
        <w:rPr>
          <w:rFonts w:ascii="Arial Black" w:hAnsi="Arial Black"/>
          <w:b/>
          <w:sz w:val="24"/>
          <w:szCs w:val="24"/>
        </w:rPr>
      </w:pPr>
      <w:r>
        <w:rPr>
          <w:rFonts w:ascii="Arial Black" w:hAnsi="Arial Black"/>
          <w:b/>
          <w:sz w:val="24"/>
          <w:szCs w:val="24"/>
        </w:rPr>
        <w:t>7-16</w:t>
      </w:r>
    </w:p>
    <w:p w14:paraId="0329E2ED" w14:textId="77777777" w:rsidR="00997329" w:rsidRDefault="00997329" w:rsidP="00997329">
      <w:pPr>
        <w:pStyle w:val="NoSpacing"/>
        <w:rPr>
          <w:rFonts w:ascii="Arial Black" w:hAnsi="Arial Black"/>
          <w:sz w:val="28"/>
          <w:szCs w:val="28"/>
        </w:rPr>
      </w:pPr>
      <w:r w:rsidRPr="00855FB3">
        <w:rPr>
          <w:rFonts w:ascii="Arial Black" w:hAnsi="Arial Black"/>
          <w:sz w:val="28"/>
          <w:szCs w:val="28"/>
        </w:rPr>
        <w:t xml:space="preserve">PA: </w:t>
      </w:r>
      <w:r>
        <w:rPr>
          <w:rFonts w:ascii="Arial Black" w:hAnsi="Arial Black"/>
          <w:sz w:val="28"/>
          <w:szCs w:val="28"/>
        </w:rPr>
        <w:t xml:space="preserve">PREGNANT MEDIC – SUPERVISOR COMMENTS – MAY SOON “HATCH” - NOT HOSTILE WORKPLACE – SHE WAS SUSPENDED FOR CAUSE </w:t>
      </w:r>
    </w:p>
    <w:p w14:paraId="33762621" w14:textId="77777777" w:rsidR="00BF4DDE" w:rsidRDefault="00BF4DDE" w:rsidP="00997329">
      <w:pPr>
        <w:pStyle w:val="NoSpacing"/>
        <w:rPr>
          <w:rFonts w:ascii="Arial Black" w:hAnsi="Arial Black"/>
          <w:sz w:val="28"/>
          <w:szCs w:val="28"/>
        </w:rPr>
      </w:pPr>
    </w:p>
    <w:p w14:paraId="267F6941" w14:textId="055BF296" w:rsidR="00997329" w:rsidRPr="00465FB3" w:rsidRDefault="00997329" w:rsidP="00997329">
      <w:pPr>
        <w:pStyle w:val="NoSpacing"/>
        <w:rPr>
          <w:rFonts w:ascii="Times New Roman" w:hAnsi="Times New Roman"/>
          <w:b/>
          <w:bCs/>
          <w:sz w:val="24"/>
          <w:szCs w:val="24"/>
        </w:rPr>
      </w:pPr>
      <w:r w:rsidRPr="00465FB3">
        <w:rPr>
          <w:rFonts w:ascii="Times New Roman" w:hAnsi="Times New Roman"/>
          <w:bCs/>
          <w:sz w:val="24"/>
          <w:szCs w:val="24"/>
        </w:rPr>
        <w:t xml:space="preserve">On March 4, 2020, in </w:t>
      </w:r>
      <w:r w:rsidRPr="00465FB3">
        <w:rPr>
          <w:rFonts w:ascii="Times New Roman" w:hAnsi="Times New Roman"/>
          <w:bCs/>
          <w:sz w:val="24"/>
          <w:szCs w:val="24"/>
          <w:u w:val="single"/>
        </w:rPr>
        <w:t xml:space="preserve">Janel Fritz v. </w:t>
      </w:r>
      <w:proofErr w:type="spellStart"/>
      <w:r w:rsidRPr="00465FB3">
        <w:rPr>
          <w:rFonts w:ascii="Times New Roman" w:hAnsi="Times New Roman"/>
          <w:bCs/>
          <w:sz w:val="24"/>
          <w:szCs w:val="24"/>
          <w:u w:val="single"/>
        </w:rPr>
        <w:t>Uwchlan</w:t>
      </w:r>
      <w:proofErr w:type="spellEnd"/>
      <w:r w:rsidRPr="00465FB3">
        <w:rPr>
          <w:rFonts w:ascii="Times New Roman" w:hAnsi="Times New Roman"/>
          <w:bCs/>
          <w:sz w:val="24"/>
          <w:szCs w:val="24"/>
          <w:u w:val="single"/>
        </w:rPr>
        <w:t xml:space="preserve"> Ambulance Corps, Inc</w:t>
      </w:r>
      <w:r w:rsidRPr="00465FB3">
        <w:rPr>
          <w:rFonts w:ascii="Times New Roman" w:hAnsi="Times New Roman"/>
          <w:bCs/>
          <w:sz w:val="24"/>
          <w:szCs w:val="24"/>
        </w:rPr>
        <w:t xml:space="preserve">., U.S. District Court Judge Nitza I. Alejandro, Eastern District of Pennsylvania, granted defense motion for summary judgment, finding no pregnancy or gender discrimination. </w:t>
      </w:r>
    </w:p>
    <w:p w14:paraId="00F5B51D" w14:textId="77777777" w:rsidR="00997329" w:rsidRPr="00465FB3" w:rsidRDefault="00997329" w:rsidP="00997329">
      <w:pPr>
        <w:pStyle w:val="NoSpacing"/>
        <w:rPr>
          <w:rFonts w:ascii="Times New Roman" w:hAnsi="Times New Roman"/>
          <w:b/>
          <w:bCs/>
          <w:sz w:val="24"/>
          <w:szCs w:val="24"/>
        </w:rPr>
      </w:pPr>
    </w:p>
    <w:p w14:paraId="6D31CC7C" w14:textId="77777777" w:rsidR="00997329" w:rsidRPr="00465FB3" w:rsidRDefault="00997329" w:rsidP="00997329">
      <w:pPr>
        <w:pStyle w:val="NoSpacing"/>
        <w:ind w:left="720"/>
        <w:rPr>
          <w:rFonts w:ascii="Times New Roman" w:hAnsi="Times New Roman"/>
          <w:b/>
          <w:bCs/>
          <w:sz w:val="24"/>
          <w:szCs w:val="24"/>
        </w:rPr>
      </w:pPr>
      <w:r w:rsidRPr="00465FB3">
        <w:rPr>
          <w:rFonts w:ascii="Times New Roman" w:hAnsi="Times New Roman"/>
          <w:bCs/>
          <w:sz w:val="24"/>
          <w:szCs w:val="24"/>
        </w:rPr>
        <w:t xml:space="preserve">“Plaintiff also contends that Defendant's employees repeatedly urged her to begin maternity leave prior to the birth of her child, and prior to the date required and directed by her doctor. When Supervisor John </w:t>
      </w:r>
      <w:proofErr w:type="gramStart"/>
      <w:r w:rsidRPr="00465FB3">
        <w:rPr>
          <w:rFonts w:ascii="Times New Roman" w:hAnsi="Times New Roman"/>
          <w:bCs/>
          <w:sz w:val="24"/>
          <w:szCs w:val="24"/>
        </w:rPr>
        <w:t>Applegate (‘</w:t>
      </w:r>
      <w:proofErr w:type="gramEnd"/>
      <w:r w:rsidRPr="00465FB3">
        <w:rPr>
          <w:rFonts w:ascii="Times New Roman" w:hAnsi="Times New Roman"/>
          <w:bCs/>
          <w:sz w:val="24"/>
          <w:szCs w:val="24"/>
        </w:rPr>
        <w:t xml:space="preserve">Supervisor Applegate’) encouraged Plaintiff to go out on leave earlier than Plaintiff had planned, he told her that he would ‘save her spot’ for twelve weeks. Supervisor Applegate made the following comments to Plaintiff while she was pregnant: 1) Plaintiff's shirt looked like ‘a tent,’ 2) Plaintiff looked like she was ‘ready to pop,’ 3) Plaintiff should not work too hard because she may ‘hatch,’ and 4) Plaintiff should let him know ‘if [she] hatch[es].’ *** “[T]his Court finds that the record does not contain any evidence to support a nexus between Plaintiff's pregnancy and her suspension. The record clearly reflects, and Plaintiff repeatedly acknowledges, that she was suspended for accusing a coworker of benefiting from nepotism. Although Plaintiff baldly contended in her complaint that the proffered reason for her suspension was pretextual and baseless, she continually acknowledges that she was suspended because of her statements about Matthew not being subject to discipline due to his familial relationship with a supervisor. Because there is no nexus between Plaintiff's pregnancy and her suspension, she cannot satisfy the fourth element of her pregnancy discrimination claim. Therefore, summary judgment is granted in favor of Defendant with respect to Plaintiff's pregnancy discrimination </w:t>
      </w:r>
      <w:proofErr w:type="gramStart"/>
      <w:r w:rsidRPr="00465FB3">
        <w:rPr>
          <w:rFonts w:ascii="Times New Roman" w:hAnsi="Times New Roman"/>
          <w:bCs/>
          <w:sz w:val="24"/>
          <w:szCs w:val="24"/>
        </w:rPr>
        <w:t>claim.”</w:t>
      </w:r>
      <w:proofErr w:type="gramEnd"/>
      <w:r w:rsidRPr="00465FB3">
        <w:rPr>
          <w:rFonts w:ascii="Times New Roman" w:hAnsi="Times New Roman"/>
          <w:bCs/>
          <w:sz w:val="24"/>
          <w:szCs w:val="24"/>
        </w:rPr>
        <w:t xml:space="preserve"> </w:t>
      </w:r>
      <w:hyperlink r:id="rId1400" w:history="1">
        <w:r w:rsidRPr="00465FB3">
          <w:rPr>
            <w:rStyle w:val="Hyperlink"/>
            <w:rFonts w:ascii="Times New Roman" w:hAnsi="Times New Roman"/>
            <w:bCs/>
            <w:sz w:val="24"/>
            <w:szCs w:val="24"/>
          </w:rPr>
          <w:t>https://public.fastcase.com/Wl%2B2t%2BeVuI35%2FN70vAMFZsLQ8Zjgb2jk542DjlxpVQs5PCG3jEwwTTQV0VgsrBHY</w:t>
        </w:r>
      </w:hyperlink>
    </w:p>
    <w:p w14:paraId="2A7E9EAB" w14:textId="77777777" w:rsidR="00997329" w:rsidRPr="00465FB3" w:rsidRDefault="00997329" w:rsidP="00997329">
      <w:pPr>
        <w:pStyle w:val="NoSpacing"/>
        <w:ind w:left="720"/>
        <w:rPr>
          <w:rFonts w:ascii="Times New Roman" w:hAnsi="Times New Roman"/>
          <w:b/>
          <w:bCs/>
          <w:sz w:val="24"/>
          <w:szCs w:val="24"/>
        </w:rPr>
      </w:pPr>
    </w:p>
    <w:p w14:paraId="6870EF31" w14:textId="77777777" w:rsidR="00997329" w:rsidRPr="00465FB3" w:rsidRDefault="00997329" w:rsidP="00997329">
      <w:pPr>
        <w:pStyle w:val="NoSpacing"/>
        <w:rPr>
          <w:rFonts w:ascii="Times New Roman" w:hAnsi="Times New Roman"/>
          <w:b/>
          <w:bCs/>
          <w:sz w:val="24"/>
          <w:szCs w:val="24"/>
        </w:rPr>
      </w:pPr>
      <w:r w:rsidRPr="00465FB3">
        <w:rPr>
          <w:rFonts w:ascii="Times New Roman" w:hAnsi="Times New Roman"/>
          <w:b/>
          <w:bCs/>
          <w:sz w:val="24"/>
          <w:szCs w:val="24"/>
        </w:rPr>
        <w:lastRenderedPageBreak/>
        <w:t>Legal Lessons Learned:  Great quote by Court: “As the United States Supreme Court has continuously held, Title VII ‘does not set forth a general civility code for the American workplace.’ Burlington Northern &amp; Santa Fe Ry. v. White, 548 U.S. 53, 68 (2006).”</w:t>
      </w:r>
    </w:p>
    <w:p w14:paraId="1BB8AC47" w14:textId="77777777" w:rsidR="00997329" w:rsidRDefault="00997329" w:rsidP="002B1283">
      <w:pPr>
        <w:rPr>
          <w:rFonts w:ascii="Arial Black" w:hAnsi="Arial Black"/>
          <w:b/>
          <w:sz w:val="24"/>
          <w:szCs w:val="24"/>
        </w:rPr>
      </w:pPr>
    </w:p>
    <w:p w14:paraId="3F7AFB65" w14:textId="123F269A" w:rsidR="00997329" w:rsidRDefault="00997329" w:rsidP="002B1283">
      <w:pPr>
        <w:rPr>
          <w:rFonts w:ascii="Arial Black" w:hAnsi="Arial Black"/>
          <w:b/>
          <w:sz w:val="24"/>
          <w:szCs w:val="24"/>
        </w:rPr>
      </w:pPr>
      <w:r>
        <w:rPr>
          <w:rFonts w:ascii="Arial Black" w:hAnsi="Arial Black"/>
          <w:b/>
          <w:sz w:val="24"/>
          <w:szCs w:val="24"/>
        </w:rPr>
        <w:t>7-15</w:t>
      </w:r>
    </w:p>
    <w:p w14:paraId="50E4C7AE" w14:textId="77777777" w:rsidR="00997329" w:rsidRPr="00AD65BD" w:rsidRDefault="00997329" w:rsidP="00997329">
      <w:pPr>
        <w:pStyle w:val="NoSpacing"/>
        <w:rPr>
          <w:rFonts w:ascii="Arial Black" w:hAnsi="Arial Black"/>
          <w:sz w:val="28"/>
          <w:szCs w:val="28"/>
        </w:rPr>
      </w:pPr>
      <w:r w:rsidRPr="00AD65BD">
        <w:rPr>
          <w:rFonts w:ascii="Arial Black" w:hAnsi="Arial Black"/>
          <w:sz w:val="28"/>
          <w:szCs w:val="28"/>
        </w:rPr>
        <w:t xml:space="preserve">PA:  </w:t>
      </w:r>
      <w:r>
        <w:rPr>
          <w:rFonts w:ascii="Arial Black" w:hAnsi="Arial Black"/>
          <w:sz w:val="28"/>
          <w:szCs w:val="28"/>
        </w:rPr>
        <w:t xml:space="preserve">FEMALE </w:t>
      </w:r>
      <w:r w:rsidRPr="00AD65BD">
        <w:rPr>
          <w:rFonts w:ascii="Arial Black" w:hAnsi="Arial Black"/>
          <w:sz w:val="28"/>
          <w:szCs w:val="28"/>
        </w:rPr>
        <w:t xml:space="preserve">EMS INSTRUCTOR FIRED </w:t>
      </w:r>
      <w:r>
        <w:rPr>
          <w:rFonts w:ascii="Arial Black" w:hAnsi="Arial Black"/>
          <w:sz w:val="28"/>
          <w:szCs w:val="28"/>
        </w:rPr>
        <w:t xml:space="preserve">– RUDE TO </w:t>
      </w:r>
      <w:r w:rsidRPr="00AD65BD">
        <w:rPr>
          <w:rFonts w:ascii="Arial Black" w:hAnsi="Arial Black"/>
          <w:sz w:val="28"/>
          <w:szCs w:val="28"/>
        </w:rPr>
        <w:t>STUDENTS</w:t>
      </w:r>
      <w:r>
        <w:rPr>
          <w:rFonts w:ascii="Arial Black" w:hAnsi="Arial Black"/>
          <w:sz w:val="28"/>
          <w:szCs w:val="28"/>
        </w:rPr>
        <w:t xml:space="preserve"> &amp; STAFF – NOT GENDER DISCRIMINATION </w:t>
      </w:r>
    </w:p>
    <w:p w14:paraId="73CD2DDB" w14:textId="77777777" w:rsidR="00997329" w:rsidRDefault="00997329" w:rsidP="00997329">
      <w:pPr>
        <w:pStyle w:val="NoSpacing"/>
        <w:rPr>
          <w:rFonts w:ascii="EArial Black" w:hAnsi="EArial Black"/>
          <w:sz w:val="28"/>
          <w:szCs w:val="28"/>
        </w:rPr>
      </w:pPr>
    </w:p>
    <w:p w14:paraId="21652DFC" w14:textId="37ED45BA" w:rsidR="00997329" w:rsidRDefault="00997329" w:rsidP="00997329">
      <w:pPr>
        <w:pStyle w:val="NoSpacing"/>
        <w:rPr>
          <w:rFonts w:ascii="Times New Roman" w:hAnsi="Times New Roman"/>
          <w:bCs/>
          <w:sz w:val="24"/>
          <w:szCs w:val="24"/>
        </w:rPr>
      </w:pPr>
      <w:r w:rsidRPr="00465FB3">
        <w:rPr>
          <w:rFonts w:ascii="Times New Roman" w:hAnsi="Times New Roman"/>
          <w:bCs/>
          <w:sz w:val="24"/>
          <w:szCs w:val="24"/>
        </w:rPr>
        <w:t xml:space="preserve">On Feb. 26, 2020, in </w:t>
      </w:r>
      <w:r w:rsidRPr="00465FB3">
        <w:rPr>
          <w:rFonts w:ascii="Times New Roman" w:hAnsi="Times New Roman"/>
          <w:bCs/>
          <w:sz w:val="24"/>
          <w:szCs w:val="24"/>
          <w:u w:val="single"/>
        </w:rPr>
        <w:t>Kimberly Brandt v. Thomas Jefferson University Hospitals, Inc</w:t>
      </w:r>
      <w:r w:rsidRPr="00465FB3">
        <w:rPr>
          <w:rFonts w:ascii="Times New Roman" w:hAnsi="Times New Roman"/>
          <w:bCs/>
          <w:sz w:val="24"/>
          <w:szCs w:val="24"/>
        </w:rPr>
        <w:t xml:space="preserve">., U.S. District Court Judge Harvey Bartle, III, Eastern District of Pennsylvania, granted the Hospital’s motion for summary judgment.  </w:t>
      </w:r>
    </w:p>
    <w:p w14:paraId="2498BE33" w14:textId="77777777" w:rsidR="00997329" w:rsidRPr="00465FB3" w:rsidRDefault="00997329" w:rsidP="00997329">
      <w:pPr>
        <w:pStyle w:val="NoSpacing"/>
        <w:rPr>
          <w:rFonts w:ascii="Times New Roman" w:hAnsi="Times New Roman"/>
          <w:sz w:val="24"/>
          <w:szCs w:val="24"/>
        </w:rPr>
      </w:pPr>
    </w:p>
    <w:p w14:paraId="41A1E71A" w14:textId="77777777" w:rsidR="00997329" w:rsidRPr="00465FB3" w:rsidRDefault="00997329" w:rsidP="00997329">
      <w:pPr>
        <w:ind w:left="720"/>
        <w:rPr>
          <w:rFonts w:ascii="Times New Roman" w:hAnsi="Times New Roman"/>
          <w:sz w:val="24"/>
          <w:szCs w:val="24"/>
        </w:rPr>
      </w:pPr>
      <w:r w:rsidRPr="00465FB3">
        <w:rPr>
          <w:rFonts w:ascii="Times New Roman" w:eastAsia="Times New Roman" w:hAnsi="Times New Roman"/>
          <w:sz w:val="24"/>
          <w:szCs w:val="24"/>
        </w:rPr>
        <w:t xml:space="preserve">“Simply put, the undisputed facts do not suggest that Brandt's employment was terminated due to discrimination in which she was less favored than her male colleagues. By contrast, the record is filled with evidence that suggests her termination was due to her mistreatment of students and unprofessional behavior toward staff. Accordingly, the court will grant the motion of defendant for summary judgment as to Brandt's claims for gender discrimination under Title VII.” </w:t>
      </w:r>
      <w:hyperlink r:id="rId1401" w:history="1">
        <w:r w:rsidRPr="00465FB3">
          <w:rPr>
            <w:rStyle w:val="Hyperlink"/>
            <w:rFonts w:ascii="Times New Roman" w:eastAsia="Times New Roman" w:hAnsi="Times New Roman"/>
            <w:sz w:val="24"/>
            <w:szCs w:val="24"/>
          </w:rPr>
          <w:t>https://public.fastcase.com/Wl%2B2t%2BeVuI35%2FN70vAMFZlbQ%2BrzY3OsVa9hMy3HWGsXkXncgvfLlObTaYTDVckkj</w:t>
        </w:r>
      </w:hyperlink>
    </w:p>
    <w:p w14:paraId="609464D6" w14:textId="77777777" w:rsidR="00997329" w:rsidRPr="00465FB3" w:rsidRDefault="00997329" w:rsidP="00997329">
      <w:pPr>
        <w:spacing w:before="100" w:beforeAutospacing="1" w:after="100" w:afterAutospacing="1"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Legal Lessons Learned: Prompt and thorough investigation by employer established breach of Code of Conduct.</w:t>
      </w:r>
    </w:p>
    <w:p w14:paraId="7983D08E" w14:textId="77777777" w:rsidR="00997329" w:rsidRDefault="00997329" w:rsidP="002B1283">
      <w:pPr>
        <w:rPr>
          <w:rFonts w:ascii="Arial Black" w:hAnsi="Arial Black"/>
          <w:b/>
          <w:sz w:val="24"/>
          <w:szCs w:val="24"/>
        </w:rPr>
      </w:pPr>
    </w:p>
    <w:p w14:paraId="1BE30D08" w14:textId="25E7A07E" w:rsidR="00997329" w:rsidRDefault="00997329" w:rsidP="002B1283">
      <w:pPr>
        <w:rPr>
          <w:rFonts w:ascii="Arial Black" w:hAnsi="Arial Black"/>
          <w:b/>
          <w:sz w:val="24"/>
          <w:szCs w:val="24"/>
        </w:rPr>
      </w:pPr>
      <w:r>
        <w:rPr>
          <w:rFonts w:ascii="Arial Black" w:hAnsi="Arial Black"/>
          <w:b/>
          <w:sz w:val="24"/>
          <w:szCs w:val="24"/>
        </w:rPr>
        <w:t>7-14</w:t>
      </w:r>
    </w:p>
    <w:p w14:paraId="32260AA4" w14:textId="77777777" w:rsidR="00997329" w:rsidRPr="009D2D96" w:rsidRDefault="00997329" w:rsidP="0099732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AR: PUMP BREAST MILK WHILE ON DUTY – FD SPACE “FREE FROM INTRUSION” – $3.8M JURY SET ASIDE / $250K TO SETTLE</w:t>
      </w:r>
    </w:p>
    <w:p w14:paraId="7872FDA8" w14:textId="77777777" w:rsidR="00997329" w:rsidRPr="00465FB3" w:rsidRDefault="00997329" w:rsidP="00997329">
      <w:pPr>
        <w:spacing w:before="100" w:beforeAutospacing="1" w:after="100" w:afterAutospacing="1" w:line="240" w:lineRule="auto"/>
        <w:rPr>
          <w:rFonts w:ascii="Times New Roman" w:hAnsi="Times New Roman"/>
          <w:sz w:val="24"/>
          <w:szCs w:val="24"/>
        </w:rPr>
      </w:pPr>
      <w:r w:rsidRPr="00465FB3">
        <w:rPr>
          <w:rFonts w:ascii="Times New Roman" w:eastAsia="Times New Roman" w:hAnsi="Times New Roman"/>
          <w:sz w:val="24"/>
          <w:szCs w:val="24"/>
        </w:rPr>
        <w:t xml:space="preserve">On </w:t>
      </w:r>
      <w:bookmarkStart w:id="303" w:name="_Hlk39833340"/>
      <w:r w:rsidRPr="00465FB3">
        <w:rPr>
          <w:rFonts w:ascii="Times New Roman" w:eastAsia="Times New Roman" w:hAnsi="Times New Roman"/>
          <w:sz w:val="24"/>
          <w:szCs w:val="24"/>
        </w:rPr>
        <w:t xml:space="preserve">Feb. 24, 2020, in </w:t>
      </w:r>
      <w:r w:rsidRPr="00465FB3">
        <w:rPr>
          <w:rFonts w:ascii="Times New Roman" w:eastAsia="Times New Roman" w:hAnsi="Times New Roman"/>
          <w:sz w:val="24"/>
          <w:szCs w:val="24"/>
          <w:u w:val="single"/>
        </w:rPr>
        <w:t>Carrie Ferrara Clark v. City of Tucson</w:t>
      </w:r>
      <w:bookmarkEnd w:id="303"/>
      <w:r w:rsidRPr="00465FB3">
        <w:rPr>
          <w:rFonts w:ascii="Times New Roman" w:eastAsia="Times New Roman" w:hAnsi="Times New Roman"/>
          <w:sz w:val="24"/>
          <w:szCs w:val="24"/>
        </w:rPr>
        <w:t xml:space="preserve">, U.S. District Court Judge </w:t>
      </w:r>
      <w:r w:rsidRPr="00465FB3">
        <w:rPr>
          <w:rFonts w:ascii="Times New Roman" w:hAnsi="Times New Roman"/>
          <w:sz w:val="24"/>
          <w:szCs w:val="24"/>
        </w:rPr>
        <w:t xml:space="preserve">Cindy K. Jorgenson, District Court for District of Arizona, has given plaintiff thirty days to accept $250,000, or the case must be retried to another jury. The first jury, after 10 days of trial, awarded her $3,800,000. </w:t>
      </w:r>
    </w:p>
    <w:p w14:paraId="6E7A0C31" w14:textId="77777777" w:rsidR="00997329" w:rsidRPr="00465FB3" w:rsidRDefault="00997329" w:rsidP="00997329">
      <w:pPr>
        <w:pStyle w:val="NoSpacing"/>
        <w:ind w:left="810"/>
        <w:rPr>
          <w:rFonts w:ascii="Times New Roman" w:eastAsia="Times New Roman" w:hAnsi="Times New Roman"/>
          <w:b/>
          <w:bCs/>
          <w:sz w:val="24"/>
          <w:szCs w:val="24"/>
        </w:rPr>
      </w:pPr>
      <w:r w:rsidRPr="00465FB3">
        <w:rPr>
          <w:rFonts w:ascii="Times New Roman" w:eastAsia="Times New Roman" w:hAnsi="Times New Roman"/>
          <w:bCs/>
          <w:sz w:val="24"/>
          <w:szCs w:val="24"/>
        </w:rPr>
        <w:t xml:space="preserve">“Plaintiff has been an employee of the City of Tucson Fire Department (‘TFD’) since 2007. In July 2012, Plaintiff gave birth to her first son, Austin Clark, and decided to breast feed while on maternity leave and to pump breast milk when she returned to work. Plaintiff breast fed Austin while on maternity leave and contacted her superiors at TFD to ensure she would have a proper place to pump and express breastmilk when she returned to work. Upon her return to work, Plaintiff believed that the lactation spaces she was being provided were not legally compliant and initiated the underlying lawsuit in 2014. *** </w:t>
      </w:r>
      <w:r w:rsidRPr="00465FB3">
        <w:rPr>
          <w:rFonts w:ascii="Times New Roman" w:hAnsi="Times New Roman"/>
          <w:bCs/>
          <w:sz w:val="24"/>
          <w:szCs w:val="24"/>
        </w:rPr>
        <w:t xml:space="preserve">“The Court finds Defendant's first issue regarding a grossly excessive jury verdict to be sufficient and will not address, in detail, the merits of the remaining issues…. </w:t>
      </w:r>
      <w:r w:rsidRPr="00465FB3">
        <w:rPr>
          <w:rFonts w:ascii="Times New Roman" w:eastAsia="Times New Roman" w:hAnsi="Times New Roman"/>
          <w:bCs/>
          <w:sz w:val="24"/>
          <w:szCs w:val="24"/>
        </w:rPr>
        <w:t xml:space="preserve">Defendant's Motion for Remittitur is granted in the amounts provided above [$250,000]. Plaintiff has thirty (30) days with which to accept or decline the Remittitur. </w:t>
      </w:r>
      <w:bookmarkStart w:id="304" w:name="_Hlk39833376"/>
      <w:r w:rsidR="00374417">
        <w:fldChar w:fldCharType="begin"/>
      </w:r>
      <w:r w:rsidR="00374417">
        <w:instrText xml:space="preserve"> HYPERLINK "https://public.fastcase.com/Wl%2B2t%2BeVuI35%2FN70vAMFZlyCVXNUkgR2hAftJ4kpomV7SzY2G5n3EuslwwvZyCdR" </w:instrText>
      </w:r>
      <w:r w:rsidR="00374417">
        <w:fldChar w:fldCharType="separate"/>
      </w:r>
      <w:r w:rsidRPr="00465FB3">
        <w:rPr>
          <w:rStyle w:val="Hyperlink"/>
          <w:rFonts w:ascii="Times New Roman" w:eastAsia="Times New Roman" w:hAnsi="Times New Roman"/>
          <w:bCs/>
          <w:sz w:val="24"/>
          <w:szCs w:val="24"/>
        </w:rPr>
        <w:t>https://public.fastcase.com/Wl%2B2t%2BeVuI35%2FN70vAMFZlyCVXNUkgR2hAftJ4kpomV7SzY2G5n3EuslwwvZyCdR</w:t>
      </w:r>
      <w:r w:rsidR="00374417">
        <w:rPr>
          <w:rStyle w:val="Hyperlink"/>
          <w:rFonts w:ascii="Times New Roman" w:eastAsia="Times New Roman" w:hAnsi="Times New Roman"/>
          <w:bCs/>
          <w:sz w:val="24"/>
          <w:szCs w:val="24"/>
        </w:rPr>
        <w:fldChar w:fldCharType="end"/>
      </w:r>
      <w:r w:rsidRPr="00465FB3">
        <w:rPr>
          <w:rFonts w:ascii="Times New Roman" w:eastAsia="Times New Roman" w:hAnsi="Times New Roman"/>
          <w:bCs/>
          <w:sz w:val="24"/>
          <w:szCs w:val="24"/>
        </w:rPr>
        <w:t xml:space="preserve"> </w:t>
      </w:r>
    </w:p>
    <w:bookmarkEnd w:id="304"/>
    <w:p w14:paraId="4A1CC36F" w14:textId="77777777" w:rsidR="00997329" w:rsidRDefault="00997329" w:rsidP="00997329">
      <w:pPr>
        <w:spacing w:after="100" w:line="240" w:lineRule="auto"/>
        <w:rPr>
          <w:rFonts w:ascii="Times New Roman" w:eastAsia="Times New Roman" w:hAnsi="Times New Roman"/>
          <w:b/>
          <w:bCs/>
          <w:sz w:val="24"/>
          <w:szCs w:val="24"/>
        </w:rPr>
      </w:pPr>
    </w:p>
    <w:p w14:paraId="6FD49854" w14:textId="672679D5" w:rsidR="00997329" w:rsidRPr="00465FB3" w:rsidRDefault="00997329" w:rsidP="00997329">
      <w:pPr>
        <w:spacing w:after="100"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lastRenderedPageBreak/>
        <w:t>Legal Lessons Learned: Plaintiff must now either accept the lower amount or have new trial.  Employers, including fire &amp; EMS departments must provide “a place, other than a bathroom, that is shielded from view and free from intrusion from coworkers and the public, which may be used by an employee to express breast milk.”</w:t>
      </w:r>
      <w:r w:rsidRPr="00465FB3">
        <w:rPr>
          <w:rFonts w:ascii="Times New Roman" w:eastAsia="Times New Roman" w:hAnsi="Times New Roman"/>
          <w:sz w:val="24"/>
          <w:szCs w:val="24"/>
        </w:rPr>
        <w:t xml:space="preserve"> </w:t>
      </w:r>
      <w:hyperlink r:id="rId1402" w:history="1">
        <w:r w:rsidRPr="00465FB3">
          <w:rPr>
            <w:rStyle w:val="Hyperlink"/>
            <w:rFonts w:ascii="Times New Roman" w:eastAsia="Times New Roman" w:hAnsi="Times New Roman"/>
            <w:b/>
            <w:bCs/>
            <w:sz w:val="24"/>
            <w:szCs w:val="24"/>
          </w:rPr>
          <w:t>https://www.law.cornell.edu/uscode/text/29/207</w:t>
        </w:r>
      </w:hyperlink>
      <w:r w:rsidRPr="00465FB3">
        <w:rPr>
          <w:rFonts w:ascii="Times New Roman" w:eastAsia="Times New Roman" w:hAnsi="Times New Roman"/>
          <w:b/>
          <w:bCs/>
          <w:sz w:val="24"/>
          <w:szCs w:val="24"/>
        </w:rPr>
        <w:t xml:space="preserve"> </w:t>
      </w:r>
    </w:p>
    <w:p w14:paraId="49E4BCA9" w14:textId="77777777" w:rsidR="00997329" w:rsidRDefault="00997329" w:rsidP="00997329">
      <w:pPr>
        <w:spacing w:before="100" w:beforeAutospacing="1" w:after="100" w:afterAutospacing="1" w:line="240" w:lineRule="auto"/>
        <w:rPr>
          <w:rFonts w:ascii="Times New Roman" w:eastAsia="Times New Roman" w:hAnsi="Times New Roman"/>
          <w:sz w:val="24"/>
          <w:szCs w:val="24"/>
        </w:rPr>
      </w:pPr>
      <w:r w:rsidRPr="009D2D96">
        <w:rPr>
          <w:rFonts w:ascii="Times New Roman" w:eastAsia="Times New Roman" w:hAnsi="Times New Roman"/>
          <w:sz w:val="24"/>
          <w:szCs w:val="24"/>
        </w:rPr>
        <w:t xml:space="preserve">         </w:t>
      </w:r>
    </w:p>
    <w:p w14:paraId="5B329EDF" w14:textId="77777777" w:rsidR="00997329" w:rsidRPr="00465FB3" w:rsidRDefault="00997329" w:rsidP="00997329">
      <w:pPr>
        <w:spacing w:before="100" w:beforeAutospacing="1" w:after="100" w:afterAutospacing="1" w:line="240" w:lineRule="auto"/>
        <w:ind w:left="720"/>
        <w:rPr>
          <w:rFonts w:ascii="Times New Roman" w:eastAsia="Times New Roman" w:hAnsi="Times New Roman"/>
          <w:sz w:val="24"/>
          <w:szCs w:val="24"/>
        </w:rPr>
      </w:pPr>
    </w:p>
    <w:p w14:paraId="093F66BC" w14:textId="77777777" w:rsidR="00997329" w:rsidRDefault="00997329" w:rsidP="002B1283">
      <w:pPr>
        <w:rPr>
          <w:rFonts w:ascii="Arial Black" w:hAnsi="Arial Black"/>
          <w:b/>
          <w:sz w:val="24"/>
          <w:szCs w:val="24"/>
        </w:rPr>
      </w:pPr>
    </w:p>
    <w:p w14:paraId="3C7A129D" w14:textId="77777777" w:rsidR="00997329" w:rsidRDefault="00997329" w:rsidP="002B1283">
      <w:pPr>
        <w:rPr>
          <w:rFonts w:ascii="Arial Black" w:hAnsi="Arial Black"/>
          <w:b/>
          <w:sz w:val="24"/>
          <w:szCs w:val="24"/>
        </w:rPr>
      </w:pPr>
    </w:p>
    <w:p w14:paraId="71AD3712" w14:textId="7077BC27" w:rsidR="00177094" w:rsidRDefault="00177094" w:rsidP="002B1283">
      <w:pPr>
        <w:rPr>
          <w:rFonts w:ascii="Arial Black" w:hAnsi="Arial Black"/>
          <w:b/>
          <w:sz w:val="24"/>
          <w:szCs w:val="24"/>
        </w:rPr>
      </w:pPr>
      <w:r>
        <w:rPr>
          <w:rFonts w:ascii="Arial Black" w:hAnsi="Arial Black"/>
          <w:b/>
          <w:sz w:val="24"/>
          <w:szCs w:val="24"/>
        </w:rPr>
        <w:t>7-13</w:t>
      </w:r>
    </w:p>
    <w:p w14:paraId="5D1D0499" w14:textId="77777777" w:rsidR="00177094" w:rsidRDefault="00177094" w:rsidP="00177094">
      <w:pPr>
        <w:pStyle w:val="NoSpacing"/>
        <w:rPr>
          <w:rFonts w:ascii="Arial Black" w:hAnsi="Arial Black"/>
          <w:b/>
          <w:bCs/>
          <w:sz w:val="28"/>
          <w:szCs w:val="28"/>
        </w:rPr>
      </w:pPr>
      <w:bookmarkStart w:id="305" w:name="_Hlk39764858"/>
      <w:r w:rsidRPr="00DE67AC">
        <w:rPr>
          <w:rFonts w:ascii="Arial Black" w:hAnsi="Arial Black"/>
          <w:bCs/>
          <w:sz w:val="28"/>
          <w:szCs w:val="28"/>
        </w:rPr>
        <w:t>GA:</w:t>
      </w:r>
      <w:r>
        <w:rPr>
          <w:rFonts w:ascii="Arial Black" w:hAnsi="Arial Black"/>
          <w:bCs/>
          <w:sz w:val="28"/>
          <w:szCs w:val="28"/>
        </w:rPr>
        <w:t xml:space="preserve"> PRIVATE AMBULANCE – MGR’S OCCASIONAL SEXUAL COMMENTS EMT - WORKED OUT TOGETHER – LAWSUIT DISMISSED</w:t>
      </w:r>
    </w:p>
    <w:p w14:paraId="3D46519A" w14:textId="77777777" w:rsidR="00177094" w:rsidRDefault="00177094" w:rsidP="00177094">
      <w:pPr>
        <w:pStyle w:val="NoSpacing"/>
        <w:rPr>
          <w:rFonts w:ascii="Arial Black" w:hAnsi="Arial Black"/>
          <w:b/>
          <w:bCs/>
          <w:sz w:val="28"/>
          <w:szCs w:val="28"/>
        </w:rPr>
      </w:pPr>
    </w:p>
    <w:p w14:paraId="4DB549A0" w14:textId="6267FF80"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Jan. 16, 2020, in </w:t>
      </w:r>
      <w:proofErr w:type="spellStart"/>
      <w:r w:rsidRPr="004236BE">
        <w:rPr>
          <w:rFonts w:ascii="Times New Roman" w:hAnsi="Times New Roman"/>
          <w:bCs/>
          <w:sz w:val="24"/>
          <w:szCs w:val="24"/>
          <w:u w:val="single"/>
        </w:rPr>
        <w:t>D’Marius</w:t>
      </w:r>
      <w:proofErr w:type="spellEnd"/>
      <w:r w:rsidRPr="004236BE">
        <w:rPr>
          <w:rFonts w:ascii="Times New Roman" w:hAnsi="Times New Roman"/>
          <w:bCs/>
          <w:sz w:val="24"/>
          <w:szCs w:val="24"/>
          <w:u w:val="single"/>
        </w:rPr>
        <w:t xml:space="preserve"> Allen v. </w:t>
      </w:r>
      <w:proofErr w:type="spellStart"/>
      <w:r w:rsidRPr="004236BE">
        <w:rPr>
          <w:rFonts w:ascii="Times New Roman" w:hAnsi="Times New Roman"/>
          <w:bCs/>
          <w:sz w:val="24"/>
          <w:szCs w:val="24"/>
          <w:u w:val="single"/>
        </w:rPr>
        <w:t>AmbuiStat</w:t>
      </w:r>
      <w:proofErr w:type="spellEnd"/>
      <w:r w:rsidRPr="004236BE">
        <w:rPr>
          <w:rFonts w:ascii="Times New Roman" w:hAnsi="Times New Roman"/>
          <w:bCs/>
          <w:sz w:val="24"/>
          <w:szCs w:val="24"/>
          <w:u w:val="single"/>
        </w:rPr>
        <w:t>, LLC</w:t>
      </w:r>
      <w:r w:rsidRPr="004236BE">
        <w:rPr>
          <w:rFonts w:ascii="Times New Roman" w:hAnsi="Times New Roman"/>
          <w:bCs/>
          <w:sz w:val="24"/>
          <w:szCs w:val="24"/>
        </w:rPr>
        <w:t>, the U.S. Court of Appeals for the 11</w:t>
      </w:r>
      <w:r w:rsidRPr="004236BE">
        <w:rPr>
          <w:rFonts w:ascii="Times New Roman" w:hAnsi="Times New Roman"/>
          <w:bCs/>
          <w:sz w:val="24"/>
          <w:szCs w:val="24"/>
          <w:vertAlign w:val="superscript"/>
        </w:rPr>
        <w:t>th</w:t>
      </w:r>
      <w:r w:rsidRPr="004236BE">
        <w:rPr>
          <w:rFonts w:ascii="Times New Roman" w:hAnsi="Times New Roman"/>
          <w:bCs/>
          <w:sz w:val="24"/>
          <w:szCs w:val="24"/>
        </w:rPr>
        <w:t xml:space="preserve"> Circuit (Atlanta)</w:t>
      </w:r>
      <w:r w:rsidR="00A84C9A">
        <w:rPr>
          <w:rFonts w:ascii="Times New Roman" w:hAnsi="Times New Roman"/>
          <w:bCs/>
          <w:sz w:val="24"/>
          <w:szCs w:val="24"/>
        </w:rPr>
        <w:t xml:space="preserve">, in unpublished decision, </w:t>
      </w:r>
      <w:r w:rsidRPr="004236BE">
        <w:rPr>
          <w:rFonts w:ascii="Times New Roman" w:hAnsi="Times New Roman"/>
          <w:bCs/>
          <w:sz w:val="24"/>
          <w:szCs w:val="24"/>
        </w:rPr>
        <w:t xml:space="preserve">upheld the U.S. District Court’s grant of summary judgment for the private ambulance company. </w:t>
      </w:r>
    </w:p>
    <w:p w14:paraId="3ED6604F" w14:textId="77777777" w:rsidR="00177094" w:rsidRPr="004236BE" w:rsidRDefault="00177094" w:rsidP="00177094">
      <w:pPr>
        <w:pStyle w:val="NoSpacing"/>
        <w:rPr>
          <w:rFonts w:ascii="Times New Roman" w:hAnsi="Times New Roman"/>
          <w:b/>
          <w:bCs/>
          <w:sz w:val="24"/>
          <w:szCs w:val="24"/>
        </w:rPr>
      </w:pPr>
    </w:p>
    <w:p w14:paraId="6D79E521" w14:textId="09BBAA13" w:rsidR="00177094" w:rsidRPr="004236BE" w:rsidRDefault="00177094" w:rsidP="00177094">
      <w:pPr>
        <w:pStyle w:val="NoSpacing"/>
        <w:ind w:left="720"/>
        <w:rPr>
          <w:rFonts w:ascii="Times New Roman" w:eastAsia="Times New Roman" w:hAnsi="Times New Roman"/>
          <w:b/>
          <w:bCs/>
          <w:sz w:val="24"/>
          <w:szCs w:val="24"/>
        </w:rPr>
      </w:pPr>
      <w:r w:rsidRPr="004236BE">
        <w:rPr>
          <w:rFonts w:ascii="Times New Roman" w:hAnsi="Times New Roman"/>
          <w:bCs/>
          <w:sz w:val="24"/>
          <w:szCs w:val="24"/>
        </w:rPr>
        <w:t xml:space="preserve">“At issue in this case is the fourth element -- whether the harassment was severe or pervasive. As we have </w:t>
      </w:r>
      <w:proofErr w:type="gramStart"/>
      <w:r w:rsidRPr="004236BE">
        <w:rPr>
          <w:rFonts w:ascii="Times New Roman" w:hAnsi="Times New Roman"/>
          <w:bCs/>
          <w:sz w:val="24"/>
          <w:szCs w:val="24"/>
        </w:rPr>
        <w:t>explained, ‘</w:t>
      </w:r>
      <w:proofErr w:type="gramEnd"/>
      <w:r w:rsidRPr="004236BE">
        <w:rPr>
          <w:rFonts w:ascii="Times New Roman" w:hAnsi="Times New Roman"/>
          <w:bCs/>
          <w:sz w:val="24"/>
          <w:szCs w:val="24"/>
        </w:rPr>
        <w:t xml:space="preserve">Title VII is not a civility code, and not all profane or sexual language or conduct will constitute discrimination in the terms and conditions of employment.’ *** Here, Allen points to five isolated comments. These sporadic comments, spread over four months, can hardly be described as </w:t>
      </w:r>
      <w:proofErr w:type="gramStart"/>
      <w:r w:rsidRPr="004236BE">
        <w:rPr>
          <w:rFonts w:ascii="Times New Roman" w:hAnsi="Times New Roman"/>
          <w:bCs/>
          <w:sz w:val="24"/>
          <w:szCs w:val="24"/>
        </w:rPr>
        <w:t>frequent</w:t>
      </w:r>
      <w:proofErr w:type="gramEnd"/>
      <w:r w:rsidRPr="004236BE">
        <w:rPr>
          <w:rFonts w:ascii="Times New Roman" w:hAnsi="Times New Roman"/>
          <w:bCs/>
          <w:sz w:val="24"/>
          <w:szCs w:val="24"/>
        </w:rPr>
        <w:t xml:space="preserve">. Further, the comments appear to have been said in a joking manner, and in the overarching context of Allen being friendly with Santos (or working out together in a gym). Indeed, Allen admitted she was ‘friends outside of work’ with Santos and Rita. </w:t>
      </w:r>
      <w:r w:rsidR="00DB482B">
        <w:rPr>
          <w:rFonts w:ascii="Times New Roman" w:hAnsi="Times New Roman"/>
          <w:bCs/>
          <w:sz w:val="24"/>
          <w:szCs w:val="24"/>
        </w:rPr>
        <w:t xml:space="preserve">*** </w:t>
      </w:r>
      <w:r>
        <w:rPr>
          <w:rFonts w:ascii="Times New Roman" w:hAnsi="Times New Roman"/>
          <w:bCs/>
          <w:sz w:val="24"/>
          <w:szCs w:val="24"/>
        </w:rPr>
        <w:t>I</w:t>
      </w:r>
      <w:r w:rsidRPr="004236BE">
        <w:rPr>
          <w:rFonts w:ascii="Times New Roman" w:hAnsi="Times New Roman"/>
          <w:bCs/>
          <w:sz w:val="24"/>
          <w:szCs w:val="24"/>
        </w:rPr>
        <w:t xml:space="preserve">n short, </w:t>
      </w:r>
      <w:proofErr w:type="gramStart"/>
      <w:r w:rsidRPr="004236BE">
        <w:rPr>
          <w:rFonts w:ascii="Times New Roman" w:hAnsi="Times New Roman"/>
          <w:bCs/>
          <w:sz w:val="24"/>
          <w:szCs w:val="24"/>
        </w:rPr>
        <w:t>Allen’s pervasiveness</w:t>
      </w:r>
      <w:proofErr w:type="gramEnd"/>
      <w:r w:rsidRPr="004236BE">
        <w:rPr>
          <w:rFonts w:ascii="Times New Roman" w:hAnsi="Times New Roman"/>
          <w:bCs/>
          <w:sz w:val="24"/>
          <w:szCs w:val="24"/>
        </w:rPr>
        <w:t xml:space="preserve"> argument fails to </w:t>
      </w:r>
      <w:proofErr w:type="gramStart"/>
      <w:r w:rsidRPr="004236BE">
        <w:rPr>
          <w:rFonts w:ascii="Times New Roman" w:hAnsi="Times New Roman"/>
          <w:bCs/>
          <w:sz w:val="24"/>
          <w:szCs w:val="24"/>
        </w:rPr>
        <w:t>pass</w:t>
      </w:r>
      <w:proofErr w:type="gramEnd"/>
      <w:r w:rsidRPr="004236BE">
        <w:rPr>
          <w:rFonts w:ascii="Times New Roman" w:hAnsi="Times New Roman"/>
          <w:bCs/>
          <w:sz w:val="24"/>
          <w:szCs w:val="24"/>
        </w:rPr>
        <w:t xml:space="preserve"> muster. Plainly, Santos engaged in unsavory and unpleasant conduct. However, as we have emphasized, this type of boorish behavior, with this kind of frequency, is insufficient to constitute pervasiveness for a sexual harassment action under Title VII. After reviewing Allen’s </w:t>
      </w:r>
      <w:proofErr w:type="gramStart"/>
      <w:r w:rsidRPr="004236BE">
        <w:rPr>
          <w:rFonts w:ascii="Times New Roman" w:hAnsi="Times New Roman"/>
          <w:bCs/>
          <w:sz w:val="24"/>
          <w:szCs w:val="24"/>
        </w:rPr>
        <w:t>claims, and</w:t>
      </w:r>
      <w:proofErr w:type="gramEnd"/>
      <w:r w:rsidRPr="004236BE">
        <w:rPr>
          <w:rFonts w:ascii="Times New Roman" w:hAnsi="Times New Roman"/>
          <w:bCs/>
          <w:sz w:val="24"/>
          <w:szCs w:val="24"/>
        </w:rPr>
        <w:t xml:space="preserve"> comparing them against those in which this Court has rejected claims of pervasive harassment, we are required to come to the same </w:t>
      </w:r>
      <w:proofErr w:type="gramStart"/>
      <w:r w:rsidRPr="004236BE">
        <w:rPr>
          <w:rFonts w:ascii="Times New Roman" w:hAnsi="Times New Roman"/>
          <w:bCs/>
          <w:sz w:val="24"/>
          <w:szCs w:val="24"/>
        </w:rPr>
        <w:t>conclusion.</w:t>
      </w:r>
      <w:r w:rsidRPr="004236BE">
        <w:rPr>
          <w:rFonts w:ascii="Times New Roman" w:eastAsia="Times New Roman" w:hAnsi="Times New Roman"/>
          <w:bCs/>
          <w:sz w:val="24"/>
          <w:szCs w:val="24"/>
        </w:rPr>
        <w:t>”</w:t>
      </w:r>
      <w:proofErr w:type="gramEnd"/>
      <w:r w:rsidR="00DB482B">
        <w:rPr>
          <w:rFonts w:ascii="Times New Roman" w:eastAsia="Times New Roman" w:hAnsi="Times New Roman"/>
          <w:bCs/>
          <w:sz w:val="24"/>
          <w:szCs w:val="24"/>
        </w:rPr>
        <w:t xml:space="preserve"> </w:t>
      </w:r>
      <w:hyperlink r:id="rId1403" w:history="1">
        <w:r w:rsidR="00DB482B" w:rsidRPr="007B75B7">
          <w:rPr>
            <w:rStyle w:val="Hyperlink"/>
            <w:rFonts w:ascii="Times New Roman" w:eastAsia="Times New Roman" w:hAnsi="Times New Roman"/>
            <w:bCs/>
            <w:sz w:val="24"/>
            <w:szCs w:val="24"/>
          </w:rPr>
          <w:t>http://media.ca11.uscourts.gov/opinions/unpub/files/201810640.pdf</w:t>
        </w:r>
      </w:hyperlink>
      <w:r w:rsidR="00DB482B">
        <w:rPr>
          <w:rFonts w:ascii="Times New Roman" w:eastAsia="Times New Roman" w:hAnsi="Times New Roman"/>
          <w:bCs/>
          <w:sz w:val="24"/>
          <w:szCs w:val="24"/>
        </w:rPr>
        <w:t xml:space="preserve"> </w:t>
      </w:r>
    </w:p>
    <w:bookmarkEnd w:id="305"/>
    <w:p w14:paraId="7B1C78F8" w14:textId="77777777" w:rsidR="00177094" w:rsidRDefault="00177094" w:rsidP="00177094">
      <w:pPr>
        <w:pStyle w:val="NoSpacing"/>
        <w:tabs>
          <w:tab w:val="left" w:pos="2860"/>
        </w:tabs>
        <w:rPr>
          <w:rFonts w:ascii="Times New Roman" w:hAnsi="Times New Roman"/>
          <w:b/>
          <w:bCs/>
          <w:sz w:val="24"/>
          <w:szCs w:val="24"/>
        </w:rPr>
      </w:pPr>
    </w:p>
    <w:p w14:paraId="669BB3F2" w14:textId="7C664971" w:rsidR="00177094" w:rsidRPr="004236BE" w:rsidRDefault="00177094" w:rsidP="00177094">
      <w:pPr>
        <w:pStyle w:val="NoSpacing"/>
        <w:tabs>
          <w:tab w:val="left" w:pos="2860"/>
        </w:tabs>
        <w:rPr>
          <w:rFonts w:ascii="Times New Roman" w:hAnsi="Times New Roman"/>
          <w:b/>
          <w:bCs/>
          <w:sz w:val="24"/>
          <w:szCs w:val="24"/>
        </w:rPr>
      </w:pPr>
      <w:bookmarkStart w:id="306" w:name="_Hlk40511078"/>
      <w:r w:rsidRPr="004236BE">
        <w:rPr>
          <w:rFonts w:ascii="Times New Roman" w:hAnsi="Times New Roman"/>
          <w:b/>
          <w:bCs/>
          <w:sz w:val="24"/>
          <w:szCs w:val="24"/>
        </w:rPr>
        <w:t xml:space="preserve">Legal Lessons Learned: The manager’s comments to the EMT were clearly inappropriate; if the EMT did not admit to being “friends” and working out together, this lawsuit might have proceeded to trial. </w:t>
      </w:r>
    </w:p>
    <w:bookmarkEnd w:id="306"/>
    <w:p w14:paraId="4A3E8FBC" w14:textId="77777777" w:rsidR="00177094" w:rsidRDefault="00177094" w:rsidP="002B1283">
      <w:pPr>
        <w:rPr>
          <w:rFonts w:ascii="Arial Black" w:hAnsi="Arial Black"/>
          <w:b/>
          <w:sz w:val="24"/>
          <w:szCs w:val="24"/>
        </w:rPr>
      </w:pPr>
    </w:p>
    <w:p w14:paraId="6CB0E8B3" w14:textId="3B86463F" w:rsidR="00177094" w:rsidRDefault="00177094" w:rsidP="002B1283">
      <w:pPr>
        <w:rPr>
          <w:rFonts w:ascii="Arial Black" w:hAnsi="Arial Black"/>
          <w:b/>
          <w:sz w:val="24"/>
          <w:szCs w:val="24"/>
        </w:rPr>
      </w:pPr>
      <w:r>
        <w:rPr>
          <w:rFonts w:ascii="Arial Black" w:hAnsi="Arial Black"/>
          <w:b/>
          <w:sz w:val="24"/>
          <w:szCs w:val="24"/>
        </w:rPr>
        <w:t>7-12</w:t>
      </w:r>
    </w:p>
    <w:p w14:paraId="47E5C330" w14:textId="77777777" w:rsidR="00177094" w:rsidRPr="0066064E" w:rsidRDefault="00177094" w:rsidP="00177094">
      <w:pPr>
        <w:pStyle w:val="NoSpacing"/>
        <w:rPr>
          <w:rFonts w:ascii="Arial Black" w:hAnsi="Arial Black" w:cs="Arial"/>
          <w:sz w:val="28"/>
          <w:szCs w:val="28"/>
        </w:rPr>
      </w:pPr>
      <w:r w:rsidRPr="0066064E">
        <w:rPr>
          <w:rFonts w:ascii="Arial Black" w:hAnsi="Arial Black" w:cs="Arial"/>
          <w:sz w:val="28"/>
          <w:szCs w:val="28"/>
        </w:rPr>
        <w:t xml:space="preserve">KS: </w:t>
      </w:r>
      <w:r>
        <w:rPr>
          <w:rFonts w:ascii="Arial Black" w:hAnsi="Arial Black" w:cs="Arial"/>
          <w:sz w:val="28"/>
          <w:szCs w:val="28"/>
        </w:rPr>
        <w:t xml:space="preserve">FEMALE </w:t>
      </w:r>
      <w:r w:rsidRPr="0066064E">
        <w:rPr>
          <w:rFonts w:ascii="Arial Black" w:hAnsi="Arial Black" w:cs="Arial"/>
          <w:sz w:val="28"/>
          <w:szCs w:val="28"/>
        </w:rPr>
        <w:t>FIRE INSPECTOR</w:t>
      </w:r>
      <w:r>
        <w:rPr>
          <w:rFonts w:ascii="Arial Black" w:hAnsi="Arial Black" w:cs="Arial"/>
          <w:sz w:val="28"/>
          <w:szCs w:val="28"/>
        </w:rPr>
        <w:t xml:space="preserve"> - NEW SCBAs / EXCUSED FROM SCBA TRAINING – RESIGNED - NOT HOSTILE WORKPLACE</w:t>
      </w:r>
    </w:p>
    <w:p w14:paraId="547DF083" w14:textId="77777777" w:rsidR="00177094" w:rsidRPr="0066064E" w:rsidRDefault="00177094" w:rsidP="00177094">
      <w:pPr>
        <w:pStyle w:val="NoSpacing"/>
        <w:rPr>
          <w:b/>
          <w:bCs/>
          <w:sz w:val="24"/>
          <w:szCs w:val="24"/>
        </w:rPr>
      </w:pPr>
    </w:p>
    <w:p w14:paraId="7E80B6E4" w14:textId="77777777"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w:t>
      </w:r>
      <w:bookmarkStart w:id="307" w:name="_Hlk39833617"/>
      <w:r w:rsidRPr="004236BE">
        <w:rPr>
          <w:rFonts w:ascii="Times New Roman" w:hAnsi="Times New Roman"/>
          <w:bCs/>
          <w:sz w:val="24"/>
          <w:szCs w:val="24"/>
        </w:rPr>
        <w:t xml:space="preserve">Jan. 14, 2020, in </w:t>
      </w:r>
      <w:r w:rsidRPr="004236BE">
        <w:rPr>
          <w:rFonts w:ascii="Times New Roman" w:hAnsi="Times New Roman"/>
          <w:bCs/>
          <w:sz w:val="24"/>
          <w:szCs w:val="24"/>
          <w:u w:val="single"/>
        </w:rPr>
        <w:t>Amy Bermudez v. City of Topeka, Kansas</w:t>
      </w:r>
      <w:bookmarkEnd w:id="307"/>
      <w:r w:rsidRPr="004236BE">
        <w:rPr>
          <w:rFonts w:ascii="Times New Roman" w:hAnsi="Times New Roman"/>
          <w:bCs/>
          <w:sz w:val="24"/>
          <w:szCs w:val="24"/>
        </w:rPr>
        <w:t xml:space="preserve">, U.S. District Court Judge Holly L. Teeter, U.S. District Court for the District of Kansas, granted the City’s motion for summary judgment and dismissed the lawsuit. </w:t>
      </w:r>
    </w:p>
    <w:p w14:paraId="2AF538D9" w14:textId="77777777" w:rsidR="00177094" w:rsidRPr="004236BE" w:rsidRDefault="00177094" w:rsidP="00177094">
      <w:pPr>
        <w:pStyle w:val="NoSpacing"/>
        <w:rPr>
          <w:rFonts w:ascii="Times New Roman" w:hAnsi="Times New Roman"/>
          <w:b/>
          <w:bCs/>
          <w:sz w:val="24"/>
          <w:szCs w:val="24"/>
        </w:rPr>
      </w:pPr>
    </w:p>
    <w:p w14:paraId="1C92A597"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lastRenderedPageBreak/>
        <w:t xml:space="preserve">“The Airpack training incident involved Bermudez asking to be excused from the confidence course, the training chief excusing her, and someone else then making some mild comments to Conway [another female Inspector who didn’t take curse].  Within a week or two, the TFD Twitter account posted a picture of Martin [Fire Marshal; plaintiff’s supervisor] with the caption, ‘No one is immune from training.’ But the tweet featured Martin and did not mention Bermudez. The Court finds that this conduct, even when considered collectively, is not sufficiently severe or pervasive that it would dissuade a reasonable worker from engaging in protected activity…. Both incidents were very </w:t>
      </w:r>
      <w:proofErr w:type="gramStart"/>
      <w:r w:rsidRPr="004236BE">
        <w:rPr>
          <w:rFonts w:ascii="Times New Roman" w:hAnsi="Times New Roman"/>
          <w:bCs/>
          <w:sz w:val="24"/>
          <w:szCs w:val="24"/>
        </w:rPr>
        <w:t>tame</w:t>
      </w:r>
      <w:proofErr w:type="gramEnd"/>
      <w:r w:rsidRPr="004236BE">
        <w:rPr>
          <w:rFonts w:ascii="Times New Roman" w:hAnsi="Times New Roman"/>
          <w:bCs/>
          <w:sz w:val="24"/>
          <w:szCs w:val="24"/>
        </w:rPr>
        <w:t xml:space="preserve"> and neither </w:t>
      </w:r>
      <w:proofErr w:type="gramStart"/>
      <w:r w:rsidRPr="004236BE">
        <w:rPr>
          <w:rFonts w:ascii="Times New Roman" w:hAnsi="Times New Roman"/>
          <w:bCs/>
          <w:sz w:val="24"/>
          <w:szCs w:val="24"/>
        </w:rPr>
        <w:t>was even</w:t>
      </w:r>
      <w:proofErr w:type="gramEnd"/>
      <w:r w:rsidRPr="004236BE">
        <w:rPr>
          <w:rFonts w:ascii="Times New Roman" w:hAnsi="Times New Roman"/>
          <w:bCs/>
          <w:sz w:val="24"/>
          <w:szCs w:val="24"/>
        </w:rPr>
        <w:t xml:space="preserve"> outwardly directed at Bermudez. A remark that someone should do firefighter training to consider themselves a fire inspector and then tweeting that no one is immune from training is, at worst, rude or mildly passive aggressive. But it does not objectively rise to the level of conduct that would dissuade a reasonable employee from engaging in protected conduct….   It is well established that Title VII is not ‘a general civility code for the American workplace.’ Burlington N. &amp; Santa Fe Ry. Co. v. White, 548 U.S. 53, 68 (2006) (quoting Oncale v. Sundowner Offshore Servs., Inc., 523 U.S. 75, 80 (1998)). Nor is it the Court’s role ‘to mandate </w:t>
      </w:r>
      <w:proofErr w:type="gramStart"/>
      <w:r w:rsidRPr="004236BE">
        <w:rPr>
          <w:rFonts w:ascii="Times New Roman" w:hAnsi="Times New Roman"/>
          <w:bCs/>
          <w:sz w:val="24"/>
          <w:szCs w:val="24"/>
        </w:rPr>
        <w:t>that certain</w:t>
      </w:r>
      <w:proofErr w:type="gramEnd"/>
      <w:r w:rsidRPr="004236BE">
        <w:rPr>
          <w:rFonts w:ascii="Times New Roman" w:hAnsi="Times New Roman"/>
          <w:bCs/>
          <w:sz w:val="24"/>
          <w:szCs w:val="24"/>
        </w:rPr>
        <w:t xml:space="preserve"> individuals work on their interpersonal skills and cease engaging in inter-departmental personality conflicts.’ Somoza v. Univ. of Denver, 513 F.3d 1206, 1218 (10th Cir. 2008). </w:t>
      </w:r>
      <w:bookmarkStart w:id="308" w:name="_Hlk39833594"/>
      <w:r w:rsidR="00374417">
        <w:fldChar w:fldCharType="begin"/>
      </w:r>
      <w:r w:rsidR="00374417">
        <w:instrText xml:space="preserve"> HYPERLINK "https://ecf.ksd.uscourts.gov/cgi-bin/show_public_doc?2018cv4141-61" </w:instrText>
      </w:r>
      <w:r w:rsidR="00374417">
        <w:fldChar w:fldCharType="separate"/>
      </w:r>
      <w:r w:rsidRPr="004236BE">
        <w:rPr>
          <w:rStyle w:val="Hyperlink"/>
          <w:rFonts w:ascii="Times New Roman" w:hAnsi="Times New Roman"/>
          <w:b/>
          <w:sz w:val="24"/>
          <w:szCs w:val="24"/>
        </w:rPr>
        <w:t>https://ecf.ksd.uscourts.gov/cgi-bin/show_public_doc?2018cv4141-61</w:t>
      </w:r>
      <w:r w:rsidR="00374417">
        <w:rPr>
          <w:rStyle w:val="Hyperlink"/>
          <w:rFonts w:ascii="Times New Roman" w:hAnsi="Times New Roman"/>
          <w:b/>
          <w:sz w:val="24"/>
          <w:szCs w:val="24"/>
        </w:rPr>
        <w:fldChar w:fldCharType="end"/>
      </w:r>
      <w:r w:rsidRPr="004236BE">
        <w:rPr>
          <w:rFonts w:ascii="Times New Roman" w:hAnsi="Times New Roman"/>
          <w:bCs/>
          <w:sz w:val="24"/>
          <w:szCs w:val="24"/>
        </w:rPr>
        <w:t xml:space="preserve"> </w:t>
      </w:r>
    </w:p>
    <w:bookmarkEnd w:id="308"/>
    <w:p w14:paraId="635CF095" w14:textId="00623B0D" w:rsidR="00177094" w:rsidRDefault="00177094" w:rsidP="002B1283">
      <w:pPr>
        <w:rPr>
          <w:rFonts w:ascii="Arial Black" w:hAnsi="Arial Black"/>
          <w:b/>
          <w:sz w:val="24"/>
          <w:szCs w:val="24"/>
        </w:rPr>
      </w:pPr>
    </w:p>
    <w:p w14:paraId="53801CB1" w14:textId="74D98A44" w:rsidR="00177094" w:rsidRDefault="00177094" w:rsidP="002B1283">
      <w:pPr>
        <w:rPr>
          <w:rFonts w:ascii="Arial Black" w:hAnsi="Arial Black"/>
          <w:b/>
          <w:sz w:val="24"/>
          <w:szCs w:val="24"/>
        </w:rPr>
      </w:pPr>
      <w:r w:rsidRPr="004236BE">
        <w:rPr>
          <w:rFonts w:ascii="Times New Roman" w:hAnsi="Times New Roman"/>
          <w:b/>
          <w:bCs/>
          <w:sz w:val="24"/>
          <w:szCs w:val="24"/>
        </w:rPr>
        <w:t>Legal Lessons Learned:  Plaintiff failed to prove that no “reasonable person” in her position would have felt compelled to resign.</w:t>
      </w:r>
      <w:r w:rsidRPr="004236BE">
        <w:rPr>
          <w:rFonts w:ascii="Times New Roman" w:hAnsi="Times New Roman"/>
          <w:sz w:val="24"/>
          <w:szCs w:val="24"/>
        </w:rPr>
        <w:t xml:space="preserve">  See article on this decision: </w:t>
      </w:r>
      <w:bookmarkStart w:id="309" w:name="_Hlk39833529"/>
      <w:r w:rsidRPr="004236BE">
        <w:rPr>
          <w:rFonts w:ascii="Times New Roman" w:hAnsi="Times New Roman"/>
          <w:sz w:val="24"/>
          <w:szCs w:val="24"/>
        </w:rPr>
        <w:t>“Former Kan. fire inspector loses discrimination lawsuit,” Jan. 21, 2020,</w:t>
      </w:r>
      <w:r w:rsidRPr="004236BE">
        <w:rPr>
          <w:rFonts w:ascii="Times New Roman" w:hAnsi="Times New Roman"/>
          <w:bCs/>
          <w:sz w:val="24"/>
          <w:szCs w:val="24"/>
        </w:rPr>
        <w:t xml:space="preserve"> </w:t>
      </w:r>
      <w:hyperlink r:id="rId1404" w:history="1">
        <w:r w:rsidRPr="004236BE">
          <w:rPr>
            <w:rStyle w:val="Hyperlink"/>
            <w:rFonts w:ascii="Times New Roman" w:hAnsi="Times New Roman"/>
            <w:sz w:val="24"/>
            <w:szCs w:val="24"/>
          </w:rPr>
          <w:t>https://www.firerescue1.com/lawsuit/articles/former-kan-fire-inspector-loses-discrimination-lawsuit-7znPnJr96hoozkWc/?utm_source=FireRescue1+Member+Newsletter&amp;utm_campaign=c8726896e1-EMAIL_CAMPAIGN_2020_01_21_07_39&amp;utm_medium=email&amp;utm_term=0_758bdbeffe-c8726896e1-41607823</w:t>
        </w:r>
      </w:hyperlink>
      <w:bookmarkEnd w:id="309"/>
    </w:p>
    <w:p w14:paraId="313DB91E" w14:textId="77777777" w:rsidR="00177094" w:rsidRDefault="00177094" w:rsidP="002B1283">
      <w:pPr>
        <w:rPr>
          <w:rFonts w:ascii="Arial Black" w:hAnsi="Arial Black"/>
          <w:b/>
          <w:sz w:val="24"/>
          <w:szCs w:val="24"/>
        </w:rPr>
      </w:pPr>
    </w:p>
    <w:p w14:paraId="459FBCAF" w14:textId="647681AC" w:rsidR="00177094" w:rsidRDefault="00177094" w:rsidP="002B1283">
      <w:pPr>
        <w:rPr>
          <w:rFonts w:ascii="Arial Black" w:hAnsi="Arial Black"/>
          <w:b/>
          <w:sz w:val="24"/>
          <w:szCs w:val="24"/>
        </w:rPr>
      </w:pPr>
      <w:r>
        <w:rPr>
          <w:rFonts w:ascii="Arial Black" w:hAnsi="Arial Black"/>
          <w:b/>
          <w:sz w:val="24"/>
          <w:szCs w:val="24"/>
        </w:rPr>
        <w:t>7-11</w:t>
      </w:r>
    </w:p>
    <w:p w14:paraId="4112A0BA" w14:textId="77777777" w:rsidR="00177094" w:rsidRPr="005E0291" w:rsidRDefault="00177094" w:rsidP="00177094">
      <w:pPr>
        <w:spacing w:before="100" w:beforeAutospacing="1" w:after="100" w:afterAutospacing="1"/>
        <w:rPr>
          <w:rFonts w:ascii="Arial Black" w:eastAsia="Times New Roman" w:hAnsi="Arial Black"/>
          <w:bCs/>
          <w:sz w:val="28"/>
          <w:szCs w:val="28"/>
        </w:rPr>
      </w:pPr>
      <w:r w:rsidRPr="005E0291">
        <w:rPr>
          <w:rFonts w:ascii="Arial Black" w:eastAsia="Times New Roman" w:hAnsi="Arial Black"/>
          <w:bCs/>
          <w:sz w:val="28"/>
          <w:szCs w:val="28"/>
        </w:rPr>
        <w:t xml:space="preserve">IL: </w:t>
      </w:r>
      <w:r>
        <w:rPr>
          <w:rFonts w:ascii="Arial Black" w:eastAsia="Times New Roman" w:hAnsi="Arial Black"/>
          <w:bCs/>
          <w:sz w:val="28"/>
          <w:szCs w:val="28"/>
        </w:rPr>
        <w:t>CHICAGO FD – PARAMEDIC PHYSICAL FITNESS TESTS – 100% MALES, ONLY 79% FEMALES – LAWSUIT TO PROCEED</w:t>
      </w:r>
    </w:p>
    <w:p w14:paraId="02ACDCA3" w14:textId="77777777" w:rsidR="00177094" w:rsidRPr="004236BE" w:rsidRDefault="00177094" w:rsidP="00177094">
      <w:pPr>
        <w:pStyle w:val="NormalWeb"/>
        <w:rPr>
          <w:b/>
          <w:bCs/>
        </w:rPr>
      </w:pPr>
      <w:r w:rsidRPr="004236BE">
        <w:rPr>
          <w:bCs/>
        </w:rPr>
        <w:t xml:space="preserve">On Jan. 14, 2020, in </w:t>
      </w:r>
      <w:r w:rsidRPr="004236BE">
        <w:rPr>
          <w:bCs/>
          <w:u w:val="single"/>
        </w:rPr>
        <w:t>Jennifer Livingston, et al. v. City of Chicago</w:t>
      </w:r>
      <w:r w:rsidRPr="004236BE">
        <w:rPr>
          <w:bCs/>
        </w:rPr>
        <w:t xml:space="preserve">, U.S. District Court Judge Sara L. Ellis, U.S. District Court, Northern District of Illinois, Eastern Division, denied the City’s motion to dismiss.  Twelve (12) female candidates for Firefighter Paramedic positions filed the lawsuit; 8 had timely filed EEOC charges within 300 days and received “Right </w:t>
      </w:r>
      <w:proofErr w:type="gramStart"/>
      <w:r w:rsidRPr="004236BE">
        <w:rPr>
          <w:bCs/>
        </w:rPr>
        <w:t>To</w:t>
      </w:r>
      <w:proofErr w:type="gramEnd"/>
      <w:r w:rsidRPr="004236BE">
        <w:rPr>
          <w:bCs/>
        </w:rPr>
        <w:t xml:space="preserve"> Sue” letters. </w:t>
      </w:r>
    </w:p>
    <w:p w14:paraId="3C98FD42" w14:textId="77777777" w:rsidR="00177094" w:rsidRPr="004236BE" w:rsidRDefault="00177094" w:rsidP="00177094">
      <w:pPr>
        <w:pStyle w:val="NormalWeb"/>
        <w:ind w:left="720"/>
        <w:rPr>
          <w:b/>
          <w:bCs/>
        </w:rPr>
      </w:pPr>
      <w:r w:rsidRPr="004236BE">
        <w:rPr>
          <w:bCs/>
        </w:rPr>
        <w:t xml:space="preserve">“The </w:t>
      </w:r>
      <w:proofErr w:type="gramStart"/>
      <w:r w:rsidRPr="004236BE">
        <w:rPr>
          <w:bCs/>
        </w:rPr>
        <w:t>City</w:t>
      </w:r>
      <w:proofErr w:type="gramEnd"/>
      <w:r w:rsidRPr="004236BE">
        <w:rPr>
          <w:bCs/>
        </w:rPr>
        <w:t xml:space="preserve"> moves to dismiss Bain, Ruch, Youngren, and Venegas (the ‘Non-Filing Plaintiffs’) because they have not exhausted their administrative remedies, as required by Title VII. Because the Non-Filing Plaintiffs can rely on the single-filing rule to bring their claims based on the charges filed by other plaintiffs in this case, the Court denies the City’s motion to dismiss.</w:t>
      </w:r>
    </w:p>
    <w:p w14:paraId="54388E9D" w14:textId="77777777" w:rsidR="00177094" w:rsidRPr="004236BE" w:rsidRDefault="00177094" w:rsidP="00177094">
      <w:pPr>
        <w:pStyle w:val="NormalWeb"/>
        <w:ind w:left="720"/>
        <w:rPr>
          <w:b/>
          <w:bCs/>
        </w:rPr>
      </w:pPr>
      <w:r w:rsidRPr="004236BE">
        <w:rPr>
          <w:bCs/>
        </w:rPr>
        <w:t>***</w:t>
      </w:r>
    </w:p>
    <w:p w14:paraId="18C41260"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To bring a Title VII suit, a plaintiff must have exhausted her administrative remedies by filing a timely EEOC charge and receiving a right to sue letter. Allen v. City of Chicago, 828 F. Supp. 543, 555 (N.D. Ill. 1993). Certain exceptions to this rule exist: under the single-filing rule or “piggybacking” doctrine, “an individual who has not exhausted his administrative options may join a lawsuit filed by another </w:t>
      </w:r>
      <w:r w:rsidRPr="004236BE">
        <w:rPr>
          <w:rFonts w:ascii="Times New Roman" w:hAnsi="Times New Roman"/>
          <w:bCs/>
          <w:sz w:val="24"/>
          <w:szCs w:val="24"/>
        </w:rPr>
        <w:lastRenderedPageBreak/>
        <w:t xml:space="preserve">individual who has administratively exhausted.” Simpson v. Cook County Sheriff’s Office, No. 18-cv -553, 2018 WL 3753362, at *2 (N.D. Ill. Aug. 8, 2018); see also Anderson v. Montgomery Ward &amp; Co., 852 F.2d 1008, 1017–18 (7th Cir. 1988).” </w:t>
      </w:r>
      <w:hyperlink r:id="rId1405" w:history="1">
        <w:r w:rsidRPr="004236BE">
          <w:rPr>
            <w:rStyle w:val="Hyperlink"/>
            <w:rFonts w:ascii="Times New Roman" w:hAnsi="Times New Roman"/>
            <w:b/>
            <w:sz w:val="24"/>
            <w:szCs w:val="24"/>
          </w:rPr>
          <w:t>https://cases.justia.com/federal/district-courts/illinois/ilndce/1:2016cv10156/332956/114/0.pdf?ts=1547636381</w:t>
        </w:r>
      </w:hyperlink>
      <w:r w:rsidRPr="004236BE">
        <w:rPr>
          <w:rFonts w:ascii="Times New Roman" w:hAnsi="Times New Roman"/>
          <w:bCs/>
          <w:sz w:val="24"/>
          <w:szCs w:val="24"/>
        </w:rPr>
        <w:t xml:space="preserve"> </w:t>
      </w:r>
    </w:p>
    <w:p w14:paraId="0389B6BA" w14:textId="77777777" w:rsidR="00177094" w:rsidRDefault="00177094" w:rsidP="00177094">
      <w:pPr>
        <w:pStyle w:val="NoSpacing"/>
        <w:rPr>
          <w:rFonts w:ascii="Times New Roman" w:hAnsi="Times New Roman"/>
          <w:b/>
          <w:bCs/>
          <w:sz w:val="24"/>
          <w:szCs w:val="24"/>
        </w:rPr>
      </w:pPr>
    </w:p>
    <w:p w14:paraId="2F6952BB" w14:textId="40BBE695" w:rsidR="00177094" w:rsidRPr="004236BE" w:rsidRDefault="00177094" w:rsidP="00177094">
      <w:pPr>
        <w:pStyle w:val="NoSpacing"/>
        <w:rPr>
          <w:rFonts w:ascii="Times New Roman" w:hAnsi="Times New Roman"/>
          <w:sz w:val="24"/>
          <w:szCs w:val="24"/>
        </w:rPr>
      </w:pPr>
      <w:r w:rsidRPr="004236BE">
        <w:rPr>
          <w:rFonts w:ascii="Times New Roman" w:hAnsi="Times New Roman"/>
          <w:b/>
          <w:bCs/>
          <w:sz w:val="24"/>
          <w:szCs w:val="24"/>
        </w:rPr>
        <w:t>Legal Lessons Learned: Lawsuit may proceed; physical ability tests that have an “adverse impact” on female applicants have been subject of litigation, including U.S. Department of Justice cases.</w:t>
      </w:r>
      <w:r w:rsidRPr="004236BE">
        <w:rPr>
          <w:rFonts w:ascii="Times New Roman" w:hAnsi="Times New Roman"/>
          <w:sz w:val="24"/>
          <w:szCs w:val="24"/>
        </w:rPr>
        <w:t xml:space="preserve">  See EEOC review of litigation involving physical agility tests: “Recruitment &amp; Hiring Gender Disparities in Public Safety Occupations” (June 2018): </w:t>
      </w:r>
      <w:hyperlink r:id="rId1406" w:history="1">
        <w:r w:rsidRPr="004236BE">
          <w:rPr>
            <w:rStyle w:val="Hyperlink"/>
            <w:rFonts w:ascii="Times New Roman" w:hAnsi="Times New Roman"/>
            <w:sz w:val="24"/>
            <w:szCs w:val="24"/>
          </w:rPr>
          <w:t>https://www.eeoc.gov/federal/reports/upload/pspe.pdf</w:t>
        </w:r>
      </w:hyperlink>
      <w:r w:rsidRPr="004236BE">
        <w:rPr>
          <w:rFonts w:ascii="Times New Roman" w:hAnsi="Times New Roman"/>
          <w:sz w:val="24"/>
          <w:szCs w:val="24"/>
        </w:rPr>
        <w:t xml:space="preserve"> [pages 12-13].</w:t>
      </w:r>
    </w:p>
    <w:p w14:paraId="76979D55" w14:textId="77777777" w:rsidR="00177094" w:rsidRPr="004236BE" w:rsidRDefault="00177094" w:rsidP="00177094">
      <w:pPr>
        <w:pStyle w:val="NoSpacing"/>
        <w:ind w:left="720"/>
        <w:rPr>
          <w:rFonts w:ascii="Times New Roman" w:hAnsi="Times New Roman"/>
          <w:b/>
          <w:bCs/>
          <w:sz w:val="24"/>
          <w:szCs w:val="24"/>
        </w:rPr>
      </w:pPr>
    </w:p>
    <w:p w14:paraId="317BB812"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“Once employers could no longer segregate women into peripheral jobs, they began using screening tests for public safety occupations. Initially, height and weight restrictions were used in some public safety jobs to screen applicants, because it was thought that taller and heavier people were more able to perform the presumed physically demanding duties</w:t>
      </w:r>
      <w:r>
        <w:rPr>
          <w:rFonts w:ascii="Times New Roman" w:hAnsi="Times New Roman"/>
          <w:bCs/>
          <w:sz w:val="24"/>
          <w:szCs w:val="24"/>
        </w:rPr>
        <w:t xml:space="preserve"> </w:t>
      </w:r>
      <w:r w:rsidRPr="004236BE">
        <w:rPr>
          <w:rFonts w:ascii="Times New Roman" w:hAnsi="Times New Roman"/>
          <w:bCs/>
          <w:sz w:val="24"/>
          <w:szCs w:val="24"/>
        </w:rPr>
        <w:t>of these jobs. In 1977, the Supreme Court addressed this issue when it rejected an Alabama prison facility’s height and weight restriction because it led to an unjustified disproportionate exclusion, or a ‘disparate impact’, on women. [Dothard v. Rawlinson, 433 U.S.321(1977).]</w:t>
      </w:r>
      <w:r w:rsidRPr="004236BE">
        <w:rPr>
          <w:rFonts w:ascii="Times New Roman" w:hAnsi="Times New Roman"/>
          <w:sz w:val="24"/>
          <w:szCs w:val="24"/>
        </w:rPr>
        <w:t xml:space="preserve"> </w:t>
      </w:r>
      <w:r w:rsidRPr="004236BE">
        <w:rPr>
          <w:rFonts w:ascii="Times New Roman" w:hAnsi="Times New Roman"/>
          <w:bCs/>
          <w:sz w:val="24"/>
          <w:szCs w:val="24"/>
        </w:rPr>
        <w:t xml:space="preserve">When height and weight restrictions thus fell by the wayside, they were replaced by physical ability tests (PATs) to qualify applicants for public safety positions…. PATs were gender‐neutral, requiring the same performance for men and women. This still led to a disparate impact on women who had comparable physical fitness levels as qualified </w:t>
      </w:r>
      <w:proofErr w:type="gramStart"/>
      <w:r w:rsidRPr="004236BE">
        <w:rPr>
          <w:rFonts w:ascii="Times New Roman" w:hAnsi="Times New Roman"/>
          <w:bCs/>
          <w:sz w:val="24"/>
          <w:szCs w:val="24"/>
        </w:rPr>
        <w:t>men, but</w:t>
      </w:r>
      <w:proofErr w:type="gramEnd"/>
      <w:r w:rsidRPr="004236BE">
        <w:rPr>
          <w:rFonts w:ascii="Times New Roman" w:hAnsi="Times New Roman"/>
          <w:bCs/>
          <w:sz w:val="24"/>
          <w:szCs w:val="24"/>
        </w:rPr>
        <w:t xml:space="preserve"> could not reach the required threshold of agender‐neutral test. </w:t>
      </w:r>
    </w:p>
    <w:p w14:paraId="72515D7B" w14:textId="77777777" w:rsidR="00177094" w:rsidRPr="004236BE" w:rsidRDefault="00177094" w:rsidP="00177094">
      <w:pPr>
        <w:pStyle w:val="NoSpacing"/>
        <w:ind w:left="720"/>
        <w:rPr>
          <w:rFonts w:ascii="Times New Roman" w:hAnsi="Times New Roman"/>
          <w:b/>
          <w:bCs/>
          <w:sz w:val="24"/>
          <w:szCs w:val="24"/>
        </w:rPr>
      </w:pPr>
    </w:p>
    <w:p w14:paraId="367C3ACF"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[Footnote 17]: In cases involving a state or local government’s use of PATs to screen law enforcement applicants, the Department of Justice (DOJ), not the EEOC, has authority to bring any lawsuit on behalf of the government…. The DOJ has challenged PATs as discriminatory against women. See ,e.g., Lanning v. Southeastern Penn. Transp. Auth.,181 F.3d 478 (3dCir.1999); United States v. Massachusetts, 781 F.Supp.2d 1(D.Mass.2011) (challenging PAT that has disparate impact against women for prison guard jobs); United States v. City of Erie, 411F.Supp.2d 524 (W.D.Pa.2005)(finding for plaintiff DOJ that unitary PAT for police officers created a disparate impact and the defendant failed to prove that requiring a unitary test time was sufficiently job‐related.”</w:t>
      </w:r>
    </w:p>
    <w:p w14:paraId="56E8EC3E" w14:textId="77777777" w:rsidR="00177094" w:rsidRPr="004236BE" w:rsidRDefault="00177094" w:rsidP="00177094">
      <w:pPr>
        <w:pStyle w:val="NoSpacing"/>
        <w:rPr>
          <w:rFonts w:ascii="Times New Roman" w:hAnsi="Times New Roman"/>
          <w:b/>
          <w:bCs/>
          <w:sz w:val="24"/>
          <w:szCs w:val="24"/>
        </w:rPr>
      </w:pPr>
    </w:p>
    <w:p w14:paraId="28E9E0FF" w14:textId="77777777" w:rsidR="00177094" w:rsidRDefault="00177094" w:rsidP="002B1283">
      <w:pPr>
        <w:rPr>
          <w:rFonts w:ascii="Arial Black" w:hAnsi="Arial Black"/>
          <w:b/>
          <w:sz w:val="24"/>
          <w:szCs w:val="24"/>
        </w:rPr>
      </w:pPr>
    </w:p>
    <w:p w14:paraId="337AF670" w14:textId="1C1670B9" w:rsidR="00DE0F03" w:rsidRDefault="00DE0F03" w:rsidP="002B1283">
      <w:pPr>
        <w:rPr>
          <w:rFonts w:ascii="Arial Black" w:hAnsi="Arial Black"/>
          <w:sz w:val="32"/>
          <w:szCs w:val="32"/>
        </w:rPr>
      </w:pPr>
      <w:r>
        <w:rPr>
          <w:rFonts w:ascii="Arial Black" w:hAnsi="Arial Black"/>
          <w:b/>
          <w:sz w:val="24"/>
          <w:szCs w:val="24"/>
        </w:rPr>
        <w:t>7</w:t>
      </w:r>
      <w:r w:rsidRPr="00EF1133">
        <w:rPr>
          <w:rFonts w:ascii="Arial Black" w:hAnsi="Arial Black"/>
          <w:b/>
          <w:sz w:val="24"/>
          <w:szCs w:val="24"/>
        </w:rPr>
        <w:t>-</w:t>
      </w:r>
      <w:r w:rsidR="005B0774">
        <w:rPr>
          <w:rFonts w:ascii="Arial Black" w:hAnsi="Arial Black"/>
          <w:b/>
          <w:sz w:val="24"/>
          <w:szCs w:val="24"/>
        </w:rPr>
        <w:t>1</w:t>
      </w:r>
      <w:r w:rsidR="00AE0ACC">
        <w:rPr>
          <w:rFonts w:ascii="Arial Black" w:hAnsi="Arial Black"/>
          <w:b/>
          <w:sz w:val="24"/>
          <w:szCs w:val="24"/>
        </w:rPr>
        <w:t>0</w:t>
      </w:r>
    </w:p>
    <w:p w14:paraId="47EF7F9B" w14:textId="6029825C" w:rsidR="002B1283" w:rsidRPr="00DB1DCD" w:rsidRDefault="002B1283" w:rsidP="002B1283">
      <w:pPr>
        <w:rPr>
          <w:rFonts w:ascii="Arial Black" w:hAnsi="Arial Black"/>
          <w:sz w:val="32"/>
          <w:szCs w:val="32"/>
        </w:rPr>
      </w:pPr>
      <w:r>
        <w:rPr>
          <w:rFonts w:ascii="Arial Black" w:hAnsi="Arial Black"/>
          <w:sz w:val="32"/>
          <w:szCs w:val="32"/>
        </w:rPr>
        <w:t xml:space="preserve">TX:  DEP. FIRE CHIEF RESIGNED AFTER HE FACED TWO SEXUAL </w:t>
      </w:r>
      <w:proofErr w:type="gramStart"/>
      <w:r>
        <w:rPr>
          <w:rFonts w:ascii="Arial Black" w:hAnsi="Arial Black"/>
          <w:sz w:val="32"/>
          <w:szCs w:val="32"/>
        </w:rPr>
        <w:t>HARASSMENT</w:t>
      </w:r>
      <w:proofErr w:type="gramEnd"/>
      <w:r>
        <w:rPr>
          <w:rFonts w:ascii="Arial Black" w:hAnsi="Arial Black"/>
          <w:sz w:val="32"/>
          <w:szCs w:val="32"/>
        </w:rPr>
        <w:t xml:space="preserve"> INVEST – LAWSUIT DISMISSAL UPHELD </w:t>
      </w:r>
    </w:p>
    <w:p w14:paraId="49FF3114" w14:textId="4AF790DE" w:rsidR="002B1283" w:rsidRDefault="002B1283" w:rsidP="002B1283">
      <w:pPr>
        <w:rPr>
          <w:rFonts w:ascii="Times New Roman" w:hAnsi="Times New Roman"/>
          <w:sz w:val="24"/>
          <w:szCs w:val="24"/>
        </w:rPr>
      </w:pPr>
      <w:r w:rsidRPr="00DB1DCD">
        <w:rPr>
          <w:rFonts w:ascii="Times New Roman" w:hAnsi="Times New Roman"/>
          <w:sz w:val="24"/>
          <w:szCs w:val="24"/>
        </w:rPr>
        <w:t xml:space="preserve">On July 10, 2019, in </w:t>
      </w:r>
      <w:r w:rsidRPr="00DB1DCD">
        <w:rPr>
          <w:rFonts w:ascii="Times New Roman" w:hAnsi="Times New Roman"/>
          <w:sz w:val="24"/>
          <w:szCs w:val="24"/>
          <w:u w:val="single"/>
        </w:rPr>
        <w:t>Carlos Mandujano v. City of Pharr, Texas</w:t>
      </w:r>
      <w:r w:rsidRPr="00DB1DCD">
        <w:rPr>
          <w:rFonts w:ascii="Times New Roman" w:hAnsi="Times New Roman"/>
          <w:sz w:val="24"/>
          <w:szCs w:val="24"/>
        </w:rPr>
        <w:t xml:space="preserve">, </w:t>
      </w:r>
      <w:r>
        <w:rPr>
          <w:rFonts w:ascii="Times New Roman" w:hAnsi="Times New Roman"/>
          <w:sz w:val="24"/>
          <w:szCs w:val="24"/>
        </w:rPr>
        <w:t xml:space="preserve">the U.S. Court of Appeals for the Fifth Circuit held (3 to 0; unpublished opinion ) that the U.S. District Court judge had properly dismissed his lawsuit claiming the City’s investigations created a hostile work environment and resulted in his “constructive discharge.” </w:t>
      </w:r>
    </w:p>
    <w:p w14:paraId="5E0AA8F3"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AC2240">
        <w:rPr>
          <w:rFonts w:ascii="Times New Roman" w:hAnsi="Times New Roman"/>
          <w:sz w:val="24"/>
          <w:szCs w:val="24"/>
        </w:rPr>
        <w:t xml:space="preserve">Mandujano’s sex-discrimination claim rests on a theory that the City’s investigations into him created a hostile work environment and resulted in his constructive discharge. To state a claim of constructive discharge, a plaintiff must allege that working conditions became </w:t>
      </w:r>
      <w:r>
        <w:rPr>
          <w:rFonts w:ascii="Times New Roman" w:hAnsi="Times New Roman"/>
          <w:sz w:val="24"/>
          <w:szCs w:val="24"/>
        </w:rPr>
        <w:t>‘</w:t>
      </w:r>
      <w:r w:rsidRPr="00AC2240">
        <w:rPr>
          <w:rFonts w:ascii="Times New Roman" w:hAnsi="Times New Roman"/>
          <w:sz w:val="24"/>
          <w:szCs w:val="24"/>
        </w:rPr>
        <w:t>so intolerable that a reasonable person would have felt compelled to resign.</w:t>
      </w:r>
      <w:r>
        <w:rPr>
          <w:rFonts w:ascii="Times New Roman" w:hAnsi="Times New Roman"/>
          <w:sz w:val="24"/>
          <w:szCs w:val="24"/>
        </w:rPr>
        <w:t>’</w:t>
      </w:r>
      <w:r w:rsidRPr="00AC2240">
        <w:rPr>
          <w:rFonts w:ascii="Times New Roman" w:hAnsi="Times New Roman"/>
          <w:sz w:val="24"/>
          <w:szCs w:val="24"/>
        </w:rPr>
        <w:t xml:space="preserve"> Pa. State Police v. Suders, 542 U.S. 129, 147 (2004). Mandujano’s initial complaint did not plausibly allege that this occurred</w:t>
      </w:r>
      <w:r>
        <w:rPr>
          <w:rFonts w:ascii="Times New Roman" w:hAnsi="Times New Roman"/>
          <w:sz w:val="24"/>
          <w:szCs w:val="24"/>
        </w:rPr>
        <w:t>.”</w:t>
      </w:r>
    </w:p>
    <w:p w14:paraId="5A006691" w14:textId="77777777" w:rsidR="002B1283" w:rsidRDefault="002B1283" w:rsidP="002B1283">
      <w:pPr>
        <w:ind w:left="720"/>
        <w:rPr>
          <w:rFonts w:ascii="Times New Roman" w:hAnsi="Times New Roman"/>
          <w:sz w:val="24"/>
          <w:szCs w:val="24"/>
        </w:rPr>
      </w:pPr>
      <w:hyperlink r:id="rId1407" w:history="1">
        <w:r w:rsidRPr="00455844">
          <w:rPr>
            <w:rStyle w:val="Hyperlink"/>
            <w:rFonts w:ascii="Times New Roman" w:hAnsi="Times New Roman"/>
            <w:sz w:val="24"/>
            <w:szCs w:val="24"/>
          </w:rPr>
          <w:t>https://cases.justia.com/federal/appellate-courts/ca5/18-40561/18-40561-2019-07-10.pdf?ts=1562779857</w:t>
        </w:r>
      </w:hyperlink>
      <w:r>
        <w:rPr>
          <w:rFonts w:ascii="Times New Roman" w:hAnsi="Times New Roman"/>
          <w:sz w:val="24"/>
          <w:szCs w:val="24"/>
        </w:rPr>
        <w:t xml:space="preserve"> </w:t>
      </w:r>
    </w:p>
    <w:p w14:paraId="7DD8EB69" w14:textId="003E4D2B" w:rsidR="00AE0ACC" w:rsidRDefault="002B1283" w:rsidP="00AE0ACC">
      <w:pPr>
        <w:rPr>
          <w:rFonts w:ascii="Times New Roman" w:hAnsi="Times New Roman"/>
          <w:sz w:val="24"/>
          <w:szCs w:val="24"/>
        </w:rPr>
      </w:pPr>
      <w:r w:rsidRPr="002A20ED">
        <w:rPr>
          <w:rFonts w:ascii="Times New Roman" w:hAnsi="Times New Roman"/>
          <w:b/>
          <w:bCs/>
          <w:sz w:val="24"/>
          <w:szCs w:val="24"/>
        </w:rPr>
        <w:t xml:space="preserve">Legal Lessons Learned: </w:t>
      </w:r>
      <w:r>
        <w:rPr>
          <w:rFonts w:ascii="Times New Roman" w:hAnsi="Times New Roman"/>
          <w:b/>
          <w:bCs/>
          <w:sz w:val="24"/>
          <w:szCs w:val="24"/>
        </w:rPr>
        <w:t xml:space="preserve"> Fire &amp; EMS departments, like other employers, have an obligation to investigate claims of sexual harassment; individuals being investigated may obviously feel uncomfortable, but that does not support a claim of hostile workplace.</w:t>
      </w:r>
      <w:r w:rsidR="00AE0ACC">
        <w:rPr>
          <w:rFonts w:ascii="Times New Roman" w:hAnsi="Times New Roman"/>
          <w:b/>
          <w:bCs/>
          <w:sz w:val="24"/>
          <w:szCs w:val="24"/>
        </w:rPr>
        <w:t xml:space="preserve">  </w:t>
      </w:r>
      <w:r w:rsidR="00AE0ACC">
        <w:rPr>
          <w:rFonts w:ascii="Times New Roman" w:hAnsi="Times New Roman"/>
          <w:sz w:val="24"/>
          <w:szCs w:val="24"/>
        </w:rPr>
        <w:t xml:space="preserve">Note:  On Sept. 4, </w:t>
      </w:r>
      <w:proofErr w:type="gramStart"/>
      <w:r w:rsidR="00AE0ACC">
        <w:rPr>
          <w:rFonts w:ascii="Times New Roman" w:hAnsi="Times New Roman"/>
          <w:sz w:val="24"/>
          <w:szCs w:val="24"/>
        </w:rPr>
        <w:t>2019</w:t>
      </w:r>
      <w:proofErr w:type="gramEnd"/>
      <w:r w:rsidR="00AE0ACC">
        <w:rPr>
          <w:rFonts w:ascii="Times New Roman" w:hAnsi="Times New Roman"/>
          <w:sz w:val="24"/>
          <w:szCs w:val="24"/>
        </w:rPr>
        <w:t xml:space="preserve"> the 5</w:t>
      </w:r>
      <w:r w:rsidR="00AE0ACC" w:rsidRPr="00D773BE">
        <w:rPr>
          <w:rFonts w:ascii="Times New Roman" w:hAnsi="Times New Roman"/>
          <w:sz w:val="24"/>
          <w:szCs w:val="24"/>
          <w:vertAlign w:val="superscript"/>
        </w:rPr>
        <w:t>th</w:t>
      </w:r>
      <w:r w:rsidR="00AE0ACC">
        <w:rPr>
          <w:rFonts w:ascii="Times New Roman" w:hAnsi="Times New Roman"/>
          <w:sz w:val="24"/>
          <w:szCs w:val="24"/>
        </w:rPr>
        <w:t xml:space="preserve"> Circuit filed replacement opinion, but with same conclusion – lawsuit properly dismissed: </w:t>
      </w:r>
      <w:hyperlink r:id="rId1408" w:history="1">
        <w:r w:rsidR="00AE0ACC" w:rsidRPr="000D05D3">
          <w:rPr>
            <w:rStyle w:val="Hyperlink"/>
            <w:rFonts w:ascii="Times New Roman" w:hAnsi="Times New Roman"/>
            <w:sz w:val="24"/>
            <w:szCs w:val="24"/>
          </w:rPr>
          <w:t>http://www.ca5.uscourts.gov/opinions/unpub/18/18-40561.1.pdf</w:t>
        </w:r>
      </w:hyperlink>
    </w:p>
    <w:p w14:paraId="00F957E0" w14:textId="56A19E52" w:rsidR="00AE0ACC" w:rsidRDefault="00AE0ACC" w:rsidP="002B1283">
      <w:pPr>
        <w:pStyle w:val="NoSpacing"/>
        <w:rPr>
          <w:rFonts w:ascii="Times New Roman" w:hAnsi="Times New Roman"/>
          <w:sz w:val="24"/>
          <w:szCs w:val="24"/>
        </w:rPr>
      </w:pPr>
    </w:p>
    <w:p w14:paraId="1143A3EE" w14:textId="77777777" w:rsidR="00BF4DDE" w:rsidRPr="00AE0ACC" w:rsidRDefault="00BF4DDE" w:rsidP="002B1283">
      <w:pPr>
        <w:pStyle w:val="NoSpacing"/>
        <w:rPr>
          <w:rFonts w:ascii="Times New Roman" w:hAnsi="Times New Roman"/>
          <w:sz w:val="24"/>
          <w:szCs w:val="24"/>
        </w:rPr>
      </w:pPr>
    </w:p>
    <w:p w14:paraId="76CAA9EE" w14:textId="77777777" w:rsidR="00AE0ACC" w:rsidRDefault="00AE0ACC" w:rsidP="00DE0F03">
      <w:pPr>
        <w:rPr>
          <w:rFonts w:ascii="Arial Black" w:hAnsi="Arial Black"/>
          <w:b/>
          <w:sz w:val="24"/>
          <w:szCs w:val="24"/>
        </w:rPr>
      </w:pPr>
    </w:p>
    <w:p w14:paraId="33DD32B8" w14:textId="376347EA" w:rsidR="002B1283" w:rsidRDefault="00DE0F03" w:rsidP="00DE0F03">
      <w:pPr>
        <w:rPr>
          <w:rFonts w:ascii="Arial Black" w:hAnsi="Arial Black"/>
          <w:sz w:val="28"/>
          <w:szCs w:val="28"/>
        </w:rPr>
      </w:pPr>
      <w:r>
        <w:rPr>
          <w:rFonts w:ascii="Arial Black" w:hAnsi="Arial Black"/>
          <w:b/>
          <w:sz w:val="24"/>
          <w:szCs w:val="24"/>
        </w:rPr>
        <w:t>7</w:t>
      </w:r>
      <w:r w:rsidRPr="00EF1133">
        <w:rPr>
          <w:rFonts w:ascii="Arial Black" w:hAnsi="Arial Black"/>
          <w:b/>
          <w:sz w:val="24"/>
          <w:szCs w:val="24"/>
        </w:rPr>
        <w:t>-</w:t>
      </w:r>
      <w:r w:rsidR="005B0774">
        <w:rPr>
          <w:rFonts w:ascii="Arial Black" w:hAnsi="Arial Black"/>
          <w:b/>
          <w:sz w:val="24"/>
          <w:szCs w:val="24"/>
        </w:rPr>
        <w:t>9</w:t>
      </w:r>
    </w:p>
    <w:p w14:paraId="0D9A3912" w14:textId="57460290" w:rsidR="002B1283" w:rsidRPr="00E232C6" w:rsidRDefault="002B1283" w:rsidP="002B1283">
      <w:pPr>
        <w:pStyle w:val="NoSpacing"/>
        <w:rPr>
          <w:rFonts w:ascii="Arial Black" w:hAnsi="Arial Black"/>
          <w:sz w:val="28"/>
          <w:szCs w:val="28"/>
        </w:rPr>
      </w:pPr>
      <w:r w:rsidRPr="00E232C6">
        <w:rPr>
          <w:rFonts w:ascii="Arial Black" w:hAnsi="Arial Black"/>
          <w:sz w:val="28"/>
          <w:szCs w:val="28"/>
        </w:rPr>
        <w:t xml:space="preserve">PA: </w:t>
      </w:r>
      <w:r>
        <w:rPr>
          <w:rFonts w:ascii="Arial Black" w:hAnsi="Arial Black"/>
          <w:sz w:val="28"/>
          <w:szCs w:val="28"/>
        </w:rPr>
        <w:t>PHILADELPHIA FD – FIRST FEMALE DEPUTY COMM. – LAWSUIT FOR HOSTILE WORKPLACE DISMISSED</w:t>
      </w:r>
    </w:p>
    <w:p w14:paraId="708C26B3" w14:textId="77777777" w:rsidR="002B1283" w:rsidRDefault="002B1283" w:rsidP="002B1283">
      <w:pPr>
        <w:pStyle w:val="NoSpacing"/>
        <w:rPr>
          <w:rFonts w:ascii="Times New Roman" w:hAnsi="Times New Roman"/>
          <w:sz w:val="24"/>
          <w:szCs w:val="24"/>
        </w:rPr>
      </w:pPr>
    </w:p>
    <w:p w14:paraId="4BB5A5F3" w14:textId="77777777" w:rsidR="002B1283" w:rsidRDefault="002B1283" w:rsidP="002B1283">
      <w:pPr>
        <w:pStyle w:val="NoSpacing"/>
        <w:rPr>
          <w:rFonts w:ascii="Times New Roman" w:hAnsi="Times New Roman"/>
          <w:sz w:val="24"/>
          <w:szCs w:val="24"/>
        </w:rPr>
      </w:pPr>
      <w:r w:rsidRPr="008522B7">
        <w:rPr>
          <w:rFonts w:ascii="Times New Roman" w:hAnsi="Times New Roman"/>
          <w:sz w:val="24"/>
          <w:szCs w:val="24"/>
        </w:rPr>
        <w:t xml:space="preserve">On July 9, 2019, in </w:t>
      </w:r>
      <w:r w:rsidRPr="008522B7">
        <w:rPr>
          <w:rFonts w:ascii="Times New Roman" w:hAnsi="Times New Roman"/>
          <w:sz w:val="24"/>
          <w:szCs w:val="24"/>
          <w:u w:val="single"/>
        </w:rPr>
        <w:t>Diane M. Schweizer v. City of Philadelphia</w:t>
      </w:r>
      <w:r w:rsidRPr="008522B7">
        <w:rPr>
          <w:rFonts w:ascii="Times New Roman" w:hAnsi="Times New Roman"/>
          <w:sz w:val="24"/>
          <w:szCs w:val="24"/>
        </w:rPr>
        <w:t xml:space="preserve">, U.S. Magistrate Judge Jacob P. Hart granted the City’s motion for summary judgment. </w:t>
      </w:r>
    </w:p>
    <w:p w14:paraId="12AC3E1C" w14:textId="77777777" w:rsidR="002B1283" w:rsidRDefault="002B1283" w:rsidP="002B1283">
      <w:pPr>
        <w:pStyle w:val="NoSpacing"/>
        <w:rPr>
          <w:rFonts w:ascii="Times New Roman" w:hAnsi="Times New Roman"/>
          <w:sz w:val="24"/>
          <w:szCs w:val="24"/>
        </w:rPr>
      </w:pPr>
    </w:p>
    <w:p w14:paraId="74D7820C"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3660EC">
        <w:rPr>
          <w:rFonts w:ascii="Times New Roman" w:hAnsi="Times New Roman"/>
          <w:sz w:val="24"/>
          <w:szCs w:val="24"/>
        </w:rPr>
        <w:t>At her deposition, Schweizer admitted time and time again that she had no facts to support her belief that her gender underlay the treatment of which she complained. She may indeed have developed a hunch that she would have been treated better if she had been a man, but this is not enough to survive summary judgment</w:t>
      </w:r>
      <w:r>
        <w:rPr>
          <w:rFonts w:ascii="Times New Roman" w:hAnsi="Times New Roman"/>
          <w:sz w:val="24"/>
          <w:szCs w:val="24"/>
        </w:rPr>
        <w:t>.”</w:t>
      </w:r>
    </w:p>
    <w:p w14:paraId="0AA50A50" w14:textId="77777777" w:rsidR="002B1283" w:rsidRDefault="002B1283" w:rsidP="002B1283">
      <w:pPr>
        <w:pStyle w:val="NoSpacing"/>
        <w:ind w:left="720"/>
        <w:rPr>
          <w:rFonts w:ascii="Times New Roman" w:hAnsi="Times New Roman"/>
          <w:sz w:val="24"/>
          <w:szCs w:val="24"/>
        </w:rPr>
      </w:pPr>
      <w:hyperlink r:id="rId1409" w:history="1">
        <w:r w:rsidRPr="00455844">
          <w:rPr>
            <w:rStyle w:val="Hyperlink"/>
            <w:rFonts w:ascii="Times New Roman" w:hAnsi="Times New Roman"/>
            <w:sz w:val="24"/>
            <w:szCs w:val="24"/>
          </w:rPr>
          <w:t>https://cases.justia.com/federal/district-courts/pennsylvania/paedce/2:2017cv05388/537208/50/0.pdf?ts=1562761562</w:t>
        </w:r>
      </w:hyperlink>
      <w:r w:rsidRPr="008522B7">
        <w:rPr>
          <w:rFonts w:ascii="Times New Roman" w:hAnsi="Times New Roman"/>
          <w:sz w:val="24"/>
          <w:szCs w:val="24"/>
        </w:rPr>
        <w:t xml:space="preserve"> </w:t>
      </w:r>
    </w:p>
    <w:p w14:paraId="78894D97" w14:textId="77777777" w:rsidR="002B1283" w:rsidRDefault="002B1283" w:rsidP="002B1283">
      <w:pPr>
        <w:pStyle w:val="NoSpacing"/>
        <w:rPr>
          <w:rFonts w:ascii="Times New Roman" w:hAnsi="Times New Roman"/>
          <w:sz w:val="24"/>
          <w:szCs w:val="24"/>
        </w:rPr>
      </w:pPr>
    </w:p>
    <w:p w14:paraId="63EF3A89" w14:textId="77777777" w:rsidR="002B1283" w:rsidRPr="003660EC" w:rsidRDefault="002B1283" w:rsidP="002B1283">
      <w:pPr>
        <w:pStyle w:val="NoSpacing"/>
        <w:rPr>
          <w:rFonts w:ascii="Times New Roman" w:hAnsi="Times New Roman"/>
          <w:sz w:val="24"/>
          <w:szCs w:val="24"/>
        </w:rPr>
      </w:pPr>
    </w:p>
    <w:p w14:paraId="6BA57AE0" w14:textId="77777777" w:rsidR="002B1283" w:rsidRPr="00491621" w:rsidRDefault="002B1283" w:rsidP="002B1283">
      <w:pPr>
        <w:pStyle w:val="NoSpacing"/>
        <w:rPr>
          <w:rFonts w:ascii="Times New Roman" w:hAnsi="Times New Roman"/>
          <w:b/>
          <w:bCs/>
          <w:sz w:val="24"/>
          <w:szCs w:val="24"/>
        </w:rPr>
      </w:pPr>
      <w:r w:rsidRPr="00491621">
        <w:rPr>
          <w:rFonts w:ascii="Times New Roman" w:hAnsi="Times New Roman"/>
          <w:b/>
          <w:bCs/>
          <w:sz w:val="24"/>
          <w:szCs w:val="24"/>
        </w:rPr>
        <w:t xml:space="preserve">Legal Lessons Learned: The EEOC’s description of workplace harassment includes following: “Petty slights, annoyances, and isolated incidents (unless extremely serious) will not rise to the level of illegality. To be unlawful, the conduct must create a work environment that would be intimidating, hostile, or offensive to reasonable people.”  </w:t>
      </w:r>
      <w:hyperlink r:id="rId1410" w:history="1">
        <w:r w:rsidRPr="00491621">
          <w:rPr>
            <w:rStyle w:val="Hyperlink"/>
            <w:rFonts w:ascii="Times New Roman" w:hAnsi="Times New Roman"/>
            <w:b/>
            <w:bCs/>
            <w:sz w:val="24"/>
            <w:szCs w:val="24"/>
          </w:rPr>
          <w:t>https://www.eeoc.gov/laws/types/harassment.cfm</w:t>
        </w:r>
      </w:hyperlink>
      <w:r w:rsidRPr="00491621">
        <w:rPr>
          <w:rFonts w:ascii="Times New Roman" w:hAnsi="Times New Roman"/>
          <w:b/>
          <w:bCs/>
          <w:sz w:val="24"/>
          <w:szCs w:val="24"/>
        </w:rPr>
        <w:t xml:space="preserve"> </w:t>
      </w:r>
    </w:p>
    <w:p w14:paraId="4667CCCD" w14:textId="77777777" w:rsidR="002B1283" w:rsidRDefault="002B1283" w:rsidP="002B1283">
      <w:pPr>
        <w:pStyle w:val="NoSpacing"/>
        <w:ind w:left="1440"/>
        <w:rPr>
          <w:rFonts w:ascii="Times New Roman" w:hAnsi="Times New Roman"/>
          <w:sz w:val="24"/>
          <w:szCs w:val="24"/>
        </w:rPr>
      </w:pPr>
    </w:p>
    <w:p w14:paraId="4079436D" w14:textId="05677F3F" w:rsidR="002B1283" w:rsidRDefault="002B1283" w:rsidP="00F326E5">
      <w:pPr>
        <w:pStyle w:val="NoSpacing"/>
        <w:rPr>
          <w:sz w:val="24"/>
          <w:szCs w:val="24"/>
        </w:rPr>
      </w:pPr>
    </w:p>
    <w:p w14:paraId="6E927A73" w14:textId="5C6E2D04" w:rsidR="00DE0F03" w:rsidRDefault="00DE0F03" w:rsidP="002B1283">
      <w:pPr>
        <w:rPr>
          <w:rFonts w:ascii="Arial Black" w:hAnsi="Arial Black"/>
          <w:sz w:val="28"/>
          <w:szCs w:val="28"/>
        </w:rPr>
      </w:pPr>
      <w:r>
        <w:rPr>
          <w:rFonts w:ascii="Arial Black" w:hAnsi="Arial Black"/>
          <w:b/>
          <w:sz w:val="24"/>
          <w:szCs w:val="24"/>
        </w:rPr>
        <w:t>7</w:t>
      </w:r>
      <w:r w:rsidRPr="00EF1133">
        <w:rPr>
          <w:rFonts w:ascii="Arial Black" w:hAnsi="Arial Black"/>
          <w:b/>
          <w:sz w:val="24"/>
          <w:szCs w:val="24"/>
        </w:rPr>
        <w:t>-</w:t>
      </w:r>
      <w:r w:rsidR="005B0774">
        <w:rPr>
          <w:rFonts w:ascii="Arial Black" w:hAnsi="Arial Black"/>
          <w:b/>
          <w:sz w:val="24"/>
          <w:szCs w:val="24"/>
        </w:rPr>
        <w:t>8</w:t>
      </w:r>
    </w:p>
    <w:p w14:paraId="2504BB21" w14:textId="6C575CDD" w:rsidR="002B1283" w:rsidRDefault="002B1283" w:rsidP="002B1283">
      <w:pPr>
        <w:rPr>
          <w:rFonts w:ascii="Arial Black" w:hAnsi="Arial Black"/>
          <w:sz w:val="28"/>
          <w:szCs w:val="28"/>
        </w:rPr>
      </w:pPr>
      <w:r w:rsidRPr="00ED0F44">
        <w:rPr>
          <w:rFonts w:ascii="Arial Black" w:hAnsi="Arial Black"/>
          <w:sz w:val="28"/>
          <w:szCs w:val="28"/>
        </w:rPr>
        <w:t xml:space="preserve">IL: </w:t>
      </w:r>
      <w:r>
        <w:rPr>
          <w:rFonts w:ascii="Arial Black" w:hAnsi="Arial Black"/>
          <w:sz w:val="28"/>
          <w:szCs w:val="28"/>
        </w:rPr>
        <w:t xml:space="preserve">CHICAGO FEMALE MEDICS (5) SUE FOR INADEQUATE INVEST – MAY SEE COMPLAINT / INVESTIGATION FILE OF MALE RIDE-ALONG </w:t>
      </w:r>
    </w:p>
    <w:p w14:paraId="418BAB3E" w14:textId="77777777" w:rsidR="002B1283" w:rsidRDefault="002B1283" w:rsidP="002B1283">
      <w:pPr>
        <w:pStyle w:val="NoSpacing"/>
        <w:rPr>
          <w:rFonts w:ascii="Times New Roman" w:hAnsi="Times New Roman"/>
          <w:sz w:val="24"/>
          <w:szCs w:val="24"/>
        </w:rPr>
      </w:pPr>
      <w:r w:rsidRPr="000F4C26">
        <w:rPr>
          <w:rFonts w:ascii="Times New Roman" w:hAnsi="Times New Roman"/>
          <w:sz w:val="24"/>
          <w:szCs w:val="24"/>
        </w:rPr>
        <w:t xml:space="preserve">On July 9, 2019, in </w:t>
      </w:r>
      <w:r w:rsidRPr="000F4C26">
        <w:rPr>
          <w:rFonts w:ascii="Times New Roman" w:hAnsi="Times New Roman"/>
          <w:sz w:val="24"/>
          <w:szCs w:val="24"/>
          <w:u w:val="single"/>
        </w:rPr>
        <w:t>Jane Does 1-5 v. City of Chicago</w:t>
      </w:r>
      <w:r w:rsidRPr="000F4C26">
        <w:rPr>
          <w:rFonts w:ascii="Times New Roman" w:hAnsi="Times New Roman"/>
          <w:sz w:val="24"/>
          <w:szCs w:val="24"/>
        </w:rPr>
        <w:t xml:space="preserve">, U.S. District Court Magistrate Judge Sunil R. Harjani granted the plaintiffs’ motion to compel the </w:t>
      </w:r>
      <w:proofErr w:type="gramStart"/>
      <w:r w:rsidRPr="000F4C26">
        <w:rPr>
          <w:rFonts w:ascii="Times New Roman" w:hAnsi="Times New Roman"/>
          <w:sz w:val="24"/>
          <w:szCs w:val="24"/>
        </w:rPr>
        <w:t>City</w:t>
      </w:r>
      <w:proofErr w:type="gramEnd"/>
      <w:r w:rsidRPr="000F4C26">
        <w:rPr>
          <w:rFonts w:ascii="Times New Roman" w:hAnsi="Times New Roman"/>
          <w:sz w:val="24"/>
          <w:szCs w:val="24"/>
        </w:rPr>
        <w:t xml:space="preserve"> to produce a male student’s allegation that the City’s fire department’s employee sexual assaulted and harassed him during an observational ride-along.</w:t>
      </w:r>
      <w:r>
        <w:rPr>
          <w:rFonts w:ascii="Times New Roman" w:hAnsi="Times New Roman"/>
          <w:sz w:val="24"/>
          <w:szCs w:val="24"/>
        </w:rPr>
        <w:t xml:space="preserve"> </w:t>
      </w:r>
    </w:p>
    <w:p w14:paraId="26354397" w14:textId="77777777" w:rsidR="002B1283" w:rsidRDefault="002B1283" w:rsidP="002B1283">
      <w:pPr>
        <w:pStyle w:val="NoSpacing"/>
        <w:rPr>
          <w:rFonts w:ascii="Times New Roman" w:hAnsi="Times New Roman"/>
          <w:sz w:val="24"/>
          <w:szCs w:val="24"/>
        </w:rPr>
      </w:pPr>
    </w:p>
    <w:p w14:paraId="2345FE8B" w14:textId="2C3035EA" w:rsidR="00BF4DDE" w:rsidRPr="00BF4DDE" w:rsidRDefault="002B1283" w:rsidP="00BF4DDE">
      <w:pPr>
        <w:pStyle w:val="NoSpacing"/>
        <w:ind w:left="720"/>
        <w:rPr>
          <w:rFonts w:ascii="Times New Roman" w:hAnsi="Times New Roman"/>
          <w:sz w:val="24"/>
          <w:szCs w:val="24"/>
        </w:rPr>
      </w:pPr>
      <w:r>
        <w:rPr>
          <w:rFonts w:ascii="Times New Roman" w:hAnsi="Times New Roman"/>
          <w:sz w:val="24"/>
          <w:szCs w:val="24"/>
        </w:rPr>
        <w:t>“</w:t>
      </w:r>
      <w:r w:rsidRPr="000F4C26">
        <w:rPr>
          <w:rFonts w:ascii="Times New Roman" w:hAnsi="Times New Roman"/>
          <w:sz w:val="24"/>
          <w:szCs w:val="24"/>
        </w:rPr>
        <w:t xml:space="preserve">Differing treatment of one gender’s sexual misconduct allegations, compared to the other gender’s treatment, has been found to indicate </w:t>
      </w:r>
      <w:r>
        <w:rPr>
          <w:rFonts w:ascii="Times New Roman" w:hAnsi="Times New Roman"/>
          <w:sz w:val="24"/>
          <w:szCs w:val="24"/>
        </w:rPr>
        <w:t>‘</w:t>
      </w:r>
      <w:r w:rsidRPr="000F4C26">
        <w:rPr>
          <w:rFonts w:ascii="Times New Roman" w:hAnsi="Times New Roman"/>
          <w:sz w:val="24"/>
          <w:szCs w:val="24"/>
        </w:rPr>
        <w:t>an informal yet established custom or policy of discrimination</w:t>
      </w:r>
      <w:r>
        <w:rPr>
          <w:rFonts w:ascii="Times New Roman" w:hAnsi="Times New Roman"/>
          <w:sz w:val="24"/>
          <w:szCs w:val="24"/>
        </w:rPr>
        <w:t>’</w:t>
      </w:r>
      <w:r w:rsidRPr="000F4C26">
        <w:rPr>
          <w:rFonts w:ascii="Times New Roman" w:hAnsi="Times New Roman"/>
          <w:sz w:val="24"/>
          <w:szCs w:val="24"/>
        </w:rPr>
        <w:t xml:space="preserve"> against one gender while treating the other gender’s complaints more seriously. Hicks v. Sheahan, No. 03 C 0327, 2004 WL 3119016, at *18 (N.D. Ill. 2004).</w:t>
      </w:r>
      <w:r w:rsidR="00BF4DDE">
        <w:rPr>
          <w:rFonts w:ascii="Times New Roman" w:hAnsi="Times New Roman"/>
          <w:sz w:val="24"/>
          <w:szCs w:val="24"/>
        </w:rPr>
        <w:t xml:space="preserve"> *** </w:t>
      </w:r>
      <w:r w:rsidRPr="000F4C26">
        <w:rPr>
          <w:rFonts w:ascii="Times New Roman" w:hAnsi="Times New Roman"/>
          <w:sz w:val="24"/>
          <w:szCs w:val="24"/>
        </w:rPr>
        <w:t xml:space="preserve">Specifically, Plaintiffs’ motion seeks the student’s complaint, the OIG Report, witness statements, documents detailing the allegations, and </w:t>
      </w:r>
      <w:r w:rsidRPr="000F4C26">
        <w:rPr>
          <w:rFonts w:ascii="Times New Roman" w:hAnsi="Times New Roman"/>
          <w:sz w:val="24"/>
          <w:szCs w:val="24"/>
        </w:rPr>
        <w:lastRenderedPageBreak/>
        <w:t>documents that reflect the outcome of the investigation into the student’s allegation.</w:t>
      </w:r>
      <w:r w:rsidR="00BF4DDE">
        <w:rPr>
          <w:rFonts w:ascii="Times New Roman" w:hAnsi="Times New Roman"/>
          <w:sz w:val="24"/>
          <w:szCs w:val="24"/>
        </w:rPr>
        <w:t xml:space="preserve"> *** </w:t>
      </w:r>
      <w:r w:rsidRPr="000F4C26">
        <w:rPr>
          <w:rFonts w:ascii="Times New Roman" w:hAnsi="Times New Roman"/>
          <w:sz w:val="24"/>
          <w:szCs w:val="24"/>
        </w:rPr>
        <w:t xml:space="preserve">Plaintiffs argue that these documents are relevant to compare how Defendant treats male versus female sexual misconduct complainants. *** Here, the Complaint’s </w:t>
      </w:r>
      <w:r w:rsidRPr="000F4C26">
        <w:rPr>
          <w:rFonts w:ascii="Times New Roman" w:hAnsi="Times New Roman"/>
          <w:sz w:val="24"/>
          <w:szCs w:val="24"/>
          <w:u w:val="single"/>
        </w:rPr>
        <w:t xml:space="preserve">Monell [Monell v. </w:t>
      </w:r>
      <w:proofErr w:type="spellStart"/>
      <w:r w:rsidRPr="000F4C26">
        <w:rPr>
          <w:rFonts w:ascii="Times New Roman" w:hAnsi="Times New Roman"/>
          <w:sz w:val="24"/>
          <w:szCs w:val="24"/>
          <w:u w:val="single"/>
        </w:rPr>
        <w:t>Dep’t</w:t>
      </w:r>
      <w:proofErr w:type="spellEnd"/>
      <w:r w:rsidRPr="000F4C26">
        <w:rPr>
          <w:rFonts w:ascii="Times New Roman" w:hAnsi="Times New Roman"/>
          <w:sz w:val="24"/>
          <w:szCs w:val="24"/>
          <w:u w:val="single"/>
        </w:rPr>
        <w:t xml:space="preserve"> of Social Services</w:t>
      </w:r>
      <w:r w:rsidRPr="000F4C26">
        <w:rPr>
          <w:rFonts w:ascii="Times New Roman" w:hAnsi="Times New Roman"/>
          <w:sz w:val="24"/>
          <w:szCs w:val="24"/>
        </w:rPr>
        <w:t>, 436 U.S. 658 (1978)]</w:t>
      </w:r>
      <w:r>
        <w:rPr>
          <w:sz w:val="27"/>
          <w:szCs w:val="27"/>
        </w:rPr>
        <w:t xml:space="preserve"> </w:t>
      </w:r>
      <w:r w:rsidRPr="000F4C26">
        <w:rPr>
          <w:rFonts w:ascii="Times New Roman" w:hAnsi="Times New Roman"/>
          <w:sz w:val="24"/>
          <w:szCs w:val="24"/>
        </w:rPr>
        <w:t>claim alleges, in part, that Defendant had a discriminatory policy or practice of failing to adequately investigate and discipline its employees accused of sexual misconduct.</w:t>
      </w:r>
      <w:r w:rsidR="00BF4DDE">
        <w:rPr>
          <w:rFonts w:ascii="Times New Roman" w:hAnsi="Times New Roman"/>
          <w:sz w:val="24"/>
          <w:szCs w:val="24"/>
        </w:rPr>
        <w:t>”</w:t>
      </w:r>
      <w:hyperlink r:id="rId1411" w:history="1">
        <w:r w:rsidR="00BF4DDE" w:rsidRPr="002F304C">
          <w:rPr>
            <w:rStyle w:val="Hyperlink"/>
            <w:rFonts w:ascii="Times New Roman" w:hAnsi="Times New Roman"/>
            <w:sz w:val="24"/>
            <w:szCs w:val="24"/>
          </w:rPr>
          <w:t>https://law.justia.com/cases/federal/district-courts/illinois/ilndce/1:2018cv03054/351942/211/</w:t>
        </w:r>
      </w:hyperlink>
      <w:r w:rsidR="00BF4DDE" w:rsidRPr="00BF4DDE">
        <w:rPr>
          <w:rFonts w:ascii="Times New Roman" w:hAnsi="Times New Roman"/>
          <w:sz w:val="24"/>
          <w:szCs w:val="24"/>
        </w:rPr>
        <w:t xml:space="preserve"> </w:t>
      </w:r>
    </w:p>
    <w:p w14:paraId="073F3E01" w14:textId="4F42E546" w:rsidR="002B1283" w:rsidRDefault="002B1283" w:rsidP="002B1283">
      <w:pPr>
        <w:pStyle w:val="NoSpacing"/>
        <w:ind w:left="720"/>
        <w:rPr>
          <w:rFonts w:ascii="Times New Roman" w:hAnsi="Times New Roman"/>
          <w:sz w:val="24"/>
          <w:szCs w:val="24"/>
        </w:rPr>
      </w:pPr>
    </w:p>
    <w:p w14:paraId="79B82112" w14:textId="77777777" w:rsidR="002B1283" w:rsidRPr="00A217F1" w:rsidRDefault="002B1283" w:rsidP="002B1283">
      <w:pPr>
        <w:pStyle w:val="NoSpacing"/>
        <w:ind w:firstLine="720"/>
        <w:rPr>
          <w:rFonts w:ascii="Times New Roman" w:hAnsi="Times New Roman"/>
          <w:b/>
          <w:bCs/>
          <w:sz w:val="24"/>
          <w:szCs w:val="24"/>
        </w:rPr>
      </w:pPr>
    </w:p>
    <w:p w14:paraId="309B8F63" w14:textId="1B76C354" w:rsidR="002B1283" w:rsidRDefault="002B1283" w:rsidP="002B1283">
      <w:pPr>
        <w:pStyle w:val="NoSpacing"/>
        <w:rPr>
          <w:rFonts w:ascii="Times New Roman" w:hAnsi="Times New Roman"/>
          <w:b/>
          <w:bCs/>
          <w:sz w:val="24"/>
          <w:szCs w:val="24"/>
        </w:rPr>
      </w:pPr>
      <w:r w:rsidRPr="00A217F1">
        <w:rPr>
          <w:rFonts w:ascii="Times New Roman" w:hAnsi="Times New Roman"/>
          <w:b/>
          <w:bCs/>
          <w:sz w:val="24"/>
          <w:szCs w:val="24"/>
        </w:rPr>
        <w:t xml:space="preserve">Legal Lessons Learned:  Courts favor pre-trial discovery.  The U.S. Supreme Court in Monell held that municipalities can be liable under § 1983 for deprivations pursuant to official policy or entrenched practices. </w:t>
      </w:r>
    </w:p>
    <w:p w14:paraId="5AD8A041" w14:textId="77777777" w:rsidR="002B1283" w:rsidRPr="00A217F1" w:rsidRDefault="002B1283" w:rsidP="002B1283">
      <w:pPr>
        <w:pStyle w:val="NoSpacing"/>
        <w:rPr>
          <w:rFonts w:ascii="Times New Roman" w:hAnsi="Times New Roman"/>
          <w:b/>
          <w:bCs/>
          <w:sz w:val="24"/>
          <w:szCs w:val="24"/>
        </w:rPr>
      </w:pPr>
      <w:r w:rsidRPr="00A217F1">
        <w:rPr>
          <w:rFonts w:ascii="Times New Roman" w:hAnsi="Times New Roman"/>
          <w:b/>
          <w:bCs/>
          <w:sz w:val="24"/>
          <w:szCs w:val="24"/>
        </w:rPr>
        <w:t xml:space="preserve">Monell v. Department of Social Services, 436 U.S. 658 (1978). </w:t>
      </w:r>
      <w:hyperlink r:id="rId1412" w:history="1">
        <w:r w:rsidRPr="00455844">
          <w:rPr>
            <w:rStyle w:val="Hyperlink"/>
            <w:rFonts w:ascii="Times New Roman" w:hAnsi="Times New Roman"/>
            <w:b/>
            <w:bCs/>
            <w:sz w:val="24"/>
            <w:szCs w:val="24"/>
          </w:rPr>
          <w:t>https://caselaw.findlaw.com/us-supreme-court/436/658.html</w:t>
        </w:r>
      </w:hyperlink>
      <w:r>
        <w:rPr>
          <w:rFonts w:ascii="Times New Roman" w:hAnsi="Times New Roman"/>
          <w:b/>
          <w:bCs/>
          <w:sz w:val="24"/>
          <w:szCs w:val="24"/>
        </w:rPr>
        <w:t xml:space="preserve"> </w:t>
      </w:r>
    </w:p>
    <w:p w14:paraId="4388CEE8" w14:textId="77777777" w:rsidR="002B1283" w:rsidRDefault="002B1283" w:rsidP="002B1283">
      <w:pPr>
        <w:pStyle w:val="NoSpacing"/>
        <w:ind w:left="720"/>
        <w:rPr>
          <w:rFonts w:ascii="Times New Roman" w:hAnsi="Times New Roman"/>
          <w:sz w:val="24"/>
          <w:szCs w:val="24"/>
        </w:rPr>
      </w:pPr>
    </w:p>
    <w:p w14:paraId="72766655" w14:textId="77777777" w:rsidR="002B1283" w:rsidRPr="00E232C6"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E232C6">
        <w:rPr>
          <w:rFonts w:ascii="Times New Roman" w:hAnsi="Times New Roman"/>
          <w:sz w:val="24"/>
          <w:szCs w:val="24"/>
        </w:rPr>
        <w:t xml:space="preserve">To prevail on a Monell claim, a plaintiff must show that: </w:t>
      </w:r>
      <w:r>
        <w:rPr>
          <w:rFonts w:ascii="Times New Roman" w:hAnsi="Times New Roman"/>
          <w:sz w:val="24"/>
          <w:szCs w:val="24"/>
        </w:rPr>
        <w:t>‘</w:t>
      </w:r>
      <w:r w:rsidRPr="00E232C6">
        <w:rPr>
          <w:rFonts w:ascii="Times New Roman" w:hAnsi="Times New Roman"/>
          <w:sz w:val="24"/>
          <w:szCs w:val="24"/>
        </w:rPr>
        <w:t>(1) the City had an express policy that, when enforced, causes a constitutional deprivation; (2) the City had a widespread practice that, although not authorized by written law or express municipal policy, is so permanent and well settled as to constitute a custom or usage within the force of law; or (3) plaintiff's constitutional injury was caused by a person with final policymaking authority.</w:t>
      </w:r>
      <w:r>
        <w:rPr>
          <w:rFonts w:ascii="Times New Roman" w:hAnsi="Times New Roman"/>
          <w:sz w:val="24"/>
          <w:szCs w:val="24"/>
        </w:rPr>
        <w:t>’”</w:t>
      </w:r>
      <w:r w:rsidRPr="00E232C6">
        <w:t xml:space="preserve"> </w:t>
      </w:r>
      <w:hyperlink r:id="rId1413" w:history="1">
        <w:r w:rsidRPr="0028432B">
          <w:rPr>
            <w:rStyle w:val="Hyperlink"/>
            <w:rFonts w:ascii="Times New Roman" w:hAnsi="Times New Roman"/>
            <w:sz w:val="24"/>
            <w:szCs w:val="24"/>
          </w:rPr>
          <w:t>https://cases.justia.com/federal/district-courts/illinois/ilndce/1:2018cv03054/351942/211/0.pdf?ts=1558430418</w:t>
        </w:r>
      </w:hyperlink>
      <w:r>
        <w:rPr>
          <w:rFonts w:ascii="Times New Roman" w:hAnsi="Times New Roman"/>
          <w:sz w:val="24"/>
          <w:szCs w:val="24"/>
        </w:rPr>
        <w:t xml:space="preserve"> </w:t>
      </w:r>
    </w:p>
    <w:p w14:paraId="4340B2BB" w14:textId="77777777" w:rsidR="002B1283" w:rsidRDefault="002B1283" w:rsidP="002B1283">
      <w:pPr>
        <w:rPr>
          <w:rFonts w:ascii="Times New Roman" w:hAnsi="Times New Roman"/>
          <w:sz w:val="24"/>
          <w:szCs w:val="24"/>
        </w:rPr>
      </w:pPr>
    </w:p>
    <w:p w14:paraId="15D2623A" w14:textId="77777777" w:rsidR="0097592D" w:rsidRDefault="0097592D" w:rsidP="00F326E5">
      <w:pPr>
        <w:pStyle w:val="NoSpacing"/>
        <w:rPr>
          <w:rFonts w:ascii="Arial Black" w:hAnsi="Arial Black"/>
          <w:sz w:val="24"/>
          <w:szCs w:val="24"/>
        </w:rPr>
      </w:pPr>
    </w:p>
    <w:p w14:paraId="6E895166" w14:textId="1D425C0F" w:rsidR="002B1283" w:rsidRPr="005B0774" w:rsidRDefault="005B0774" w:rsidP="00F326E5">
      <w:pPr>
        <w:pStyle w:val="NoSpacing"/>
        <w:rPr>
          <w:rFonts w:ascii="Arial Black" w:hAnsi="Arial Black"/>
          <w:sz w:val="24"/>
          <w:szCs w:val="24"/>
        </w:rPr>
      </w:pPr>
      <w:r w:rsidRPr="005B0774">
        <w:rPr>
          <w:rFonts w:ascii="Arial Black" w:hAnsi="Arial Black"/>
          <w:sz w:val="24"/>
          <w:szCs w:val="24"/>
        </w:rPr>
        <w:t>7-7</w:t>
      </w:r>
    </w:p>
    <w:p w14:paraId="383E120A" w14:textId="0FE04715" w:rsidR="005B0774" w:rsidRDefault="005B0774" w:rsidP="00DE0F03">
      <w:pPr>
        <w:rPr>
          <w:rFonts w:ascii="Arial Black" w:hAnsi="Arial Black"/>
          <w:b/>
          <w:sz w:val="24"/>
          <w:szCs w:val="24"/>
        </w:rPr>
      </w:pPr>
    </w:p>
    <w:p w14:paraId="6AF499DB" w14:textId="77777777" w:rsidR="005B0774" w:rsidRPr="005B0774" w:rsidRDefault="005B0774" w:rsidP="00DE0F03">
      <w:pPr>
        <w:rPr>
          <w:rFonts w:ascii="Arial Black" w:hAnsi="Arial Black" w:cs="Arial"/>
          <w:sz w:val="28"/>
          <w:szCs w:val="28"/>
        </w:rPr>
      </w:pPr>
      <w:r w:rsidRPr="005B0774">
        <w:rPr>
          <w:rFonts w:ascii="Arial Black" w:hAnsi="Arial Black" w:cs="Arial"/>
          <w:sz w:val="28"/>
          <w:szCs w:val="28"/>
        </w:rPr>
        <w:t xml:space="preserve">NE: FEMALE FF “HOSTILE WORKPLACE” LAWSUIT MAY PROCEED – JUDGE REF. MALE CAPTAIN’S $1.1M JURY VERDICT AGAINST FD </w:t>
      </w:r>
    </w:p>
    <w:p w14:paraId="682D04F7" w14:textId="77777777" w:rsidR="00BF4DDE" w:rsidRDefault="005B0774" w:rsidP="00DE0F03">
      <w:pPr>
        <w:rPr>
          <w:rFonts w:ascii="Times New Roman" w:hAnsi="Times New Roman"/>
          <w:sz w:val="24"/>
          <w:szCs w:val="24"/>
        </w:rPr>
      </w:pPr>
      <w:r w:rsidRPr="0036327D">
        <w:rPr>
          <w:rFonts w:ascii="Times New Roman" w:hAnsi="Times New Roman"/>
          <w:sz w:val="24"/>
          <w:szCs w:val="24"/>
        </w:rPr>
        <w:t>On April 22, 2019, in Manda Benson v. City of Lincoln, Senior U.S. District Court judge Richard G. Kopf, denied the City’s motion to dismiss:</w:t>
      </w:r>
    </w:p>
    <w:p w14:paraId="2A13AB13" w14:textId="2E70E1EC" w:rsidR="005B0774" w:rsidRPr="0036327D" w:rsidRDefault="005B0774" w:rsidP="00BF4DDE">
      <w:pPr>
        <w:ind w:left="720"/>
        <w:rPr>
          <w:rFonts w:ascii="Times New Roman" w:hAnsi="Times New Roman"/>
          <w:sz w:val="24"/>
          <w:szCs w:val="24"/>
        </w:rPr>
      </w:pPr>
      <w:r w:rsidRPr="0036327D">
        <w:rPr>
          <w:rFonts w:ascii="Times New Roman" w:hAnsi="Times New Roman"/>
          <w:sz w:val="24"/>
          <w:szCs w:val="24"/>
        </w:rPr>
        <w:t xml:space="preserve">“In yet another lawsuit[Footnote 1] alleging that employees of the City of Lincoln and Lincoln Fire and Rescue ... discriminated against, retaliated against, and created a hostile work environment for female firefighters on the basis of sex and/or national origin, Plaintiff Amanda Benson asserts in her Second Amended Complaint (Filing No. 18) the following causes of action (‘COA’) against the City of Lincoln and eight other Defendants in their individual and official capacities... Footnote 1: See Hurd v. City of Lincoln (No. 4:16CV3029) (D. Neb. 2016) and Giles v. City of Lincoln (No. 4:17CV3050) (D. Neb. 2017). *** Footnote 9: The court takes judicial notice of the jury verdict in the amount of $1,177,815.43 in Hurd v. City of Lincoln, No. 4:16CV3029, Filing No. 250 (D. Neb. Feb. 26, 2019), in favor of Troy Hurd and against the City of Lincoln on Hurd's Title VII and NFEPA claim that he was retaliated against after complaining about sexual and national-origin discrimination of a fellow female LF&amp;R firefighter and the resulting hostile work environment. Hurd had complained about the discrimination and hostile work environment to LF&amp;R personnel, City management, and the NEOC/EEOC.” </w:t>
      </w:r>
      <w:r w:rsidR="00BF4DDE">
        <w:rPr>
          <w:rFonts w:ascii="Times New Roman" w:hAnsi="Times New Roman"/>
          <w:sz w:val="24"/>
          <w:szCs w:val="24"/>
        </w:rPr>
        <w:t xml:space="preserve"> </w:t>
      </w:r>
      <w:hyperlink r:id="rId1414" w:history="1">
        <w:r w:rsidR="00BF4DDE" w:rsidRPr="002F304C">
          <w:rPr>
            <w:rStyle w:val="Hyperlink"/>
            <w:rFonts w:ascii="Times New Roman" w:hAnsi="Times New Roman"/>
            <w:sz w:val="24"/>
            <w:szCs w:val="24"/>
          </w:rPr>
          <w:t>https://casetext.com/case/benson-v-city-of-lincoln</w:t>
        </w:r>
      </w:hyperlink>
      <w:r w:rsidR="00BF4DDE">
        <w:rPr>
          <w:rFonts w:ascii="Times New Roman" w:hAnsi="Times New Roman"/>
          <w:sz w:val="24"/>
          <w:szCs w:val="24"/>
        </w:rPr>
        <w:t xml:space="preserve"> </w:t>
      </w:r>
    </w:p>
    <w:p w14:paraId="7A0E731C" w14:textId="77777777" w:rsidR="00BF4DDE" w:rsidRDefault="005B0774" w:rsidP="00DE0F03">
      <w:pPr>
        <w:rPr>
          <w:rFonts w:ascii="Times New Roman" w:hAnsi="Times New Roman"/>
          <w:b/>
          <w:bCs/>
          <w:sz w:val="24"/>
          <w:szCs w:val="24"/>
        </w:rPr>
      </w:pPr>
      <w:r w:rsidRPr="0036327D">
        <w:rPr>
          <w:rFonts w:ascii="Times New Roman" w:hAnsi="Times New Roman"/>
          <w:b/>
          <w:bCs/>
          <w:sz w:val="24"/>
          <w:szCs w:val="24"/>
        </w:rPr>
        <w:lastRenderedPageBreak/>
        <w:t xml:space="preserve">Legal Lessons Learned: The lawsuit will now proceed to trial; Federal juries have returned some very large verdicts.  </w:t>
      </w:r>
    </w:p>
    <w:p w14:paraId="40092AA7" w14:textId="3AB62DF9" w:rsidR="00BF4DDE" w:rsidRDefault="005B0774" w:rsidP="00DE0F03">
      <w:pPr>
        <w:rPr>
          <w:rFonts w:ascii="Times New Roman" w:hAnsi="Times New Roman"/>
          <w:sz w:val="24"/>
          <w:szCs w:val="24"/>
        </w:rPr>
      </w:pPr>
      <w:r w:rsidRPr="00BF4DDE">
        <w:rPr>
          <w:rFonts w:ascii="Times New Roman" w:hAnsi="Times New Roman"/>
          <w:sz w:val="24"/>
          <w:szCs w:val="24"/>
        </w:rPr>
        <w:t xml:space="preserve">See complaint: </w:t>
      </w:r>
      <w:hyperlink r:id="rId1415" w:history="1">
        <w:r w:rsidRPr="00BF4DDE">
          <w:rPr>
            <w:rStyle w:val="Hyperlink"/>
            <w:rFonts w:ascii="Times New Roman" w:hAnsi="Times New Roman"/>
            <w:sz w:val="24"/>
            <w:szCs w:val="24"/>
          </w:rPr>
          <w:t>http://41af3k34gprx4f6bg12df75i.wpengine.netdna-cdn.com/wp-content/uploads/sites/19/2016/03/Hurd-v-Lincoln.pdf</w:t>
        </w:r>
      </w:hyperlink>
      <w:r w:rsidRPr="00BF4DDE">
        <w:rPr>
          <w:rFonts w:ascii="Times New Roman" w:hAnsi="Times New Roman"/>
          <w:sz w:val="24"/>
          <w:szCs w:val="24"/>
        </w:rPr>
        <w:t xml:space="preserve"> </w:t>
      </w:r>
    </w:p>
    <w:p w14:paraId="36463C6C" w14:textId="2AF97BA5" w:rsidR="005B0774" w:rsidRPr="00BF4DDE" w:rsidRDefault="005B0774" w:rsidP="00DE0F03">
      <w:pPr>
        <w:rPr>
          <w:rFonts w:ascii="Times New Roman" w:hAnsi="Times New Roman"/>
          <w:sz w:val="24"/>
          <w:szCs w:val="24"/>
        </w:rPr>
      </w:pPr>
      <w:r w:rsidRPr="00BF4DDE">
        <w:rPr>
          <w:rFonts w:ascii="Times New Roman" w:hAnsi="Times New Roman"/>
          <w:sz w:val="24"/>
          <w:szCs w:val="24"/>
        </w:rPr>
        <w:t xml:space="preserve">See article about the case: </w:t>
      </w:r>
      <w:hyperlink r:id="rId1416" w:history="1">
        <w:r w:rsidRPr="00BF4DDE">
          <w:rPr>
            <w:rStyle w:val="Hyperlink"/>
            <w:rFonts w:ascii="Times New Roman" w:hAnsi="Times New Roman"/>
            <w:sz w:val="24"/>
            <w:szCs w:val="24"/>
          </w:rPr>
          <w:t>https://journalstar.com/news/local/crime-and-courts/female-firefighter-s-discrimination-case-against-the-city-of-lincoln/article_97cf8ac8-bb20-5343-8e10-3faf315b0dd8.html</w:t>
        </w:r>
      </w:hyperlink>
      <w:r w:rsidRPr="00BF4DDE">
        <w:rPr>
          <w:rFonts w:ascii="Times New Roman" w:hAnsi="Times New Roman"/>
          <w:sz w:val="24"/>
          <w:szCs w:val="24"/>
        </w:rPr>
        <w:t xml:space="preserve"> </w:t>
      </w:r>
    </w:p>
    <w:p w14:paraId="7A3B2E81" w14:textId="22246162" w:rsidR="005B0774" w:rsidRPr="005B0774" w:rsidRDefault="005B0774" w:rsidP="00DE0F03">
      <w:pPr>
        <w:rPr>
          <w:rFonts w:ascii="Times New Roman" w:hAnsi="Times New Roman"/>
          <w:bCs/>
          <w:sz w:val="24"/>
          <w:szCs w:val="24"/>
        </w:rPr>
      </w:pPr>
    </w:p>
    <w:p w14:paraId="00169B06" w14:textId="77777777" w:rsidR="005B0774" w:rsidRDefault="005B0774" w:rsidP="00DE0F03">
      <w:pPr>
        <w:rPr>
          <w:rFonts w:ascii="Arial Black" w:hAnsi="Arial Black"/>
          <w:b/>
          <w:sz w:val="24"/>
          <w:szCs w:val="24"/>
        </w:rPr>
      </w:pPr>
    </w:p>
    <w:p w14:paraId="4B360F1F" w14:textId="77777777" w:rsidR="00BF4DDE" w:rsidRDefault="00BF4DDE" w:rsidP="00DE0F03">
      <w:pPr>
        <w:rPr>
          <w:rFonts w:ascii="Arial Black" w:hAnsi="Arial Black"/>
          <w:b/>
          <w:sz w:val="24"/>
          <w:szCs w:val="24"/>
        </w:rPr>
      </w:pPr>
    </w:p>
    <w:p w14:paraId="34039C00" w14:textId="77777777" w:rsidR="00BF4DDE" w:rsidRDefault="00BF4DDE" w:rsidP="00DE0F03">
      <w:pPr>
        <w:rPr>
          <w:rFonts w:ascii="Arial Black" w:hAnsi="Arial Black"/>
          <w:b/>
          <w:sz w:val="24"/>
          <w:szCs w:val="24"/>
        </w:rPr>
      </w:pPr>
    </w:p>
    <w:p w14:paraId="72D9EE62" w14:textId="73EF079A" w:rsidR="002B1283" w:rsidRDefault="00EF1133" w:rsidP="00DE0F03">
      <w:pPr>
        <w:rPr>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6</w:t>
      </w:r>
    </w:p>
    <w:p w14:paraId="6C658549" w14:textId="6FBBAAF4" w:rsidR="00F326E5" w:rsidRDefault="00F326E5" w:rsidP="00F326E5">
      <w:pPr>
        <w:pStyle w:val="NoSpacing"/>
        <w:rPr>
          <w:rFonts w:ascii="Arial Black" w:hAnsi="Arial Black"/>
          <w:sz w:val="28"/>
          <w:szCs w:val="28"/>
        </w:rPr>
      </w:pPr>
      <w:r w:rsidRPr="00284D6A">
        <w:rPr>
          <w:rFonts w:ascii="Arial Black" w:hAnsi="Arial Black"/>
          <w:sz w:val="28"/>
          <w:szCs w:val="28"/>
        </w:rPr>
        <w:t>AL:  PREGNANT EMT</w:t>
      </w:r>
      <w:r>
        <w:rPr>
          <w:rFonts w:ascii="Arial Black" w:hAnsi="Arial Black"/>
          <w:sz w:val="28"/>
          <w:szCs w:val="28"/>
        </w:rPr>
        <w:t>– SEEKS “LIGHT DUTY” - EEOC SUPPORTING HER APPEAL TO 11</w:t>
      </w:r>
      <w:r w:rsidRPr="00642DD2">
        <w:rPr>
          <w:rFonts w:ascii="Arial Black" w:hAnsi="Arial Black"/>
          <w:sz w:val="28"/>
          <w:szCs w:val="28"/>
          <w:vertAlign w:val="superscript"/>
        </w:rPr>
        <w:t>TH</w:t>
      </w:r>
      <w:r>
        <w:rPr>
          <w:rFonts w:ascii="Arial Black" w:hAnsi="Arial Black"/>
          <w:sz w:val="28"/>
          <w:szCs w:val="28"/>
        </w:rPr>
        <w:t xml:space="preserve"> CIRCUIT </w:t>
      </w:r>
    </w:p>
    <w:p w14:paraId="0DB720FB" w14:textId="77777777" w:rsidR="00F326E5" w:rsidRP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Feb. 11, 2019, in </w:t>
      </w:r>
      <w:r w:rsidRPr="00BF4DDE">
        <w:rPr>
          <w:rFonts w:ascii="Times New Roman" w:hAnsi="Times New Roman"/>
          <w:sz w:val="24"/>
          <w:szCs w:val="24"/>
          <w:u w:val="single"/>
        </w:rPr>
        <w:t>Kimberly Michell Durham v. Rural / Metro Corporation</w:t>
      </w:r>
      <w:r w:rsidRPr="00BF4DDE">
        <w:rPr>
          <w:rFonts w:ascii="Times New Roman" w:hAnsi="Times New Roman"/>
          <w:sz w:val="24"/>
          <w:szCs w:val="24"/>
        </w:rPr>
        <w:t>, the Equal Employment Opportunity Commission has filed an amicus brief with the 11</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(Atlanta), arguing: </w:t>
      </w:r>
    </w:p>
    <w:p w14:paraId="4579008B" w14:textId="77777777" w:rsidR="00F326E5" w:rsidRPr="00BF4DDE" w:rsidRDefault="00F326E5" w:rsidP="00F326E5">
      <w:pPr>
        <w:pStyle w:val="NormalWeb"/>
        <w:ind w:left="720"/>
      </w:pPr>
      <w:r w:rsidRPr="00BF4DDE">
        <w:t xml:space="preserve">“The PDA [Pregnancy Discrimination Act] does not categorically bar employers from maintaining a policy of accommodating only a subset of employees, including those employees with on-the-job injuries. See [U.S. Supreme Court’s 2015 decision in </w:t>
      </w:r>
      <w:proofErr w:type="gramStart"/>
      <w:r w:rsidRPr="00BF4DDE">
        <w:rPr>
          <w:i/>
        </w:rPr>
        <w:t>Young</w:t>
      </w:r>
      <w:proofErr w:type="gramEnd"/>
      <w:r w:rsidRPr="00BF4DDE">
        <w:rPr>
          <w:i/>
        </w:rPr>
        <w:t xml:space="preserve"> v. UPS</w:t>
      </w:r>
      <w:r w:rsidRPr="00BF4DDE">
        <w:t xml:space="preserve">] 135 S. Ct. at 1349-51. However, </w:t>
      </w:r>
      <w:r w:rsidRPr="00BF4DDE">
        <w:rPr>
          <w:i/>
        </w:rPr>
        <w:t>Young</w:t>
      </w:r>
      <w:r w:rsidRPr="00BF4DDE">
        <w:t xml:space="preserve"> allows that a jury may find that an employer’s policy of accommodating only some employees is a pretext for pregnancy </w:t>
      </w:r>
      <w:proofErr w:type="gramStart"/>
      <w:r w:rsidRPr="00BF4DDE">
        <w:t>discrimination.”</w:t>
      </w:r>
      <w:proofErr w:type="gramEnd"/>
      <w:r w:rsidRPr="00BF4DDE">
        <w:t xml:space="preserve"> </w:t>
      </w:r>
      <w:hyperlink r:id="rId1417" w:history="1">
        <w:r w:rsidRPr="00BF4DDE">
          <w:rPr>
            <w:rStyle w:val="Hyperlink"/>
          </w:rPr>
          <w:t>https://assets.documentcloud.org/documents/5745041/Eeoc.pdf</w:t>
        </w:r>
      </w:hyperlink>
      <w:r w:rsidRPr="00BF4DDE">
        <w:t xml:space="preserve"> [Page 31]</w:t>
      </w:r>
    </w:p>
    <w:p w14:paraId="4E16B9A6" w14:textId="5711C36B"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This is an important case for the fire </w:t>
      </w:r>
      <w:proofErr w:type="gramStart"/>
      <w:r w:rsidRPr="00BF4DDE">
        <w:rPr>
          <w:rFonts w:ascii="Times New Roman" w:hAnsi="Times New Roman"/>
          <w:b/>
          <w:sz w:val="24"/>
          <w:szCs w:val="24"/>
        </w:rPr>
        <w:t>service, and</w:t>
      </w:r>
      <w:proofErr w:type="gramEnd"/>
      <w:r w:rsidRPr="00BF4DDE">
        <w:rPr>
          <w:rFonts w:ascii="Times New Roman" w:hAnsi="Times New Roman"/>
          <w:b/>
          <w:sz w:val="24"/>
          <w:szCs w:val="24"/>
        </w:rPr>
        <w:t xml:space="preserve"> may eventually reach the U.S. Supreme Court.  </w:t>
      </w:r>
    </w:p>
    <w:p w14:paraId="5F82BB95" w14:textId="77777777" w:rsidR="005B0774" w:rsidRDefault="005B0774" w:rsidP="00F326E5">
      <w:pPr>
        <w:pStyle w:val="NoSpacing"/>
        <w:rPr>
          <w:b/>
          <w:sz w:val="24"/>
          <w:szCs w:val="24"/>
        </w:rPr>
      </w:pPr>
    </w:p>
    <w:p w14:paraId="3FB721E6" w14:textId="77777777" w:rsidR="00F326E5" w:rsidRPr="00BF4DDE" w:rsidRDefault="00F326E5" w:rsidP="00F326E5">
      <w:pPr>
        <w:pStyle w:val="NoSpacing"/>
        <w:ind w:left="720"/>
        <w:rPr>
          <w:rStyle w:val="Hyperlink"/>
          <w:rFonts w:ascii="Times New Roman" w:hAnsi="Times New Roman"/>
          <w:sz w:val="24"/>
          <w:szCs w:val="24"/>
        </w:rPr>
      </w:pPr>
      <w:r w:rsidRPr="00BF4DDE">
        <w:rPr>
          <w:rFonts w:ascii="Times New Roman" w:hAnsi="Times New Roman"/>
          <w:sz w:val="24"/>
          <w:szCs w:val="24"/>
        </w:rPr>
        <w:t>Note:  Numerous civil rights groups, including a Better Balance, The National Women’s Law Center and the National Employment Law Project, have filed amicus briefs urging the 11</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to reverse the Federal District court’s decision. </w:t>
      </w:r>
      <w:hyperlink r:id="rId1418" w:history="1">
        <w:r w:rsidRPr="00BF4DDE">
          <w:rPr>
            <w:rStyle w:val="Hyperlink"/>
            <w:rFonts w:ascii="Times New Roman" w:hAnsi="Times New Roman"/>
            <w:sz w:val="24"/>
            <w:szCs w:val="24"/>
          </w:rPr>
          <w:t>https://assets.documentcloud.org/documents/5745040/Better-Balance.pdf</w:t>
        </w:r>
      </w:hyperlink>
      <w:r w:rsidRPr="00BF4DDE">
        <w:rPr>
          <w:rFonts w:ascii="Times New Roman" w:hAnsi="Times New Roman"/>
          <w:sz w:val="24"/>
          <w:szCs w:val="24"/>
        </w:rPr>
        <w:t xml:space="preserve"> .</w:t>
      </w:r>
      <w:r w:rsidRPr="00BF4DDE">
        <w:rPr>
          <w:rFonts w:ascii="Times New Roman" w:hAnsi="Times New Roman"/>
          <w:bCs/>
          <w:kern w:val="36"/>
          <w:sz w:val="24"/>
          <w:szCs w:val="24"/>
        </w:rPr>
        <w:t xml:space="preserve"> See also Feb. 22, </w:t>
      </w:r>
      <w:proofErr w:type="gramStart"/>
      <w:r w:rsidRPr="00BF4DDE">
        <w:rPr>
          <w:rFonts w:ascii="Times New Roman" w:hAnsi="Times New Roman"/>
          <w:bCs/>
          <w:kern w:val="36"/>
          <w:sz w:val="24"/>
          <w:szCs w:val="24"/>
        </w:rPr>
        <w:t>2019</w:t>
      </w:r>
      <w:proofErr w:type="gramEnd"/>
      <w:r w:rsidRPr="00BF4DDE">
        <w:rPr>
          <w:rFonts w:ascii="Times New Roman" w:hAnsi="Times New Roman"/>
          <w:bCs/>
          <w:kern w:val="36"/>
          <w:sz w:val="24"/>
          <w:szCs w:val="24"/>
        </w:rPr>
        <w:t xml:space="preserve"> article, “11th Circuit Pregnancy Bias Case Tests 2015 Supreme Court Ruling,” </w:t>
      </w:r>
      <w:hyperlink r:id="rId1419" w:history="1">
        <w:r w:rsidRPr="00BF4DDE">
          <w:rPr>
            <w:rStyle w:val="Hyperlink"/>
            <w:rFonts w:ascii="Times New Roman" w:hAnsi="Times New Roman"/>
            <w:sz w:val="24"/>
            <w:szCs w:val="24"/>
          </w:rPr>
          <w:t>https://www.law.com/nationallawjournal/2019/02/22/11th-circuit-pregnancy-bias-case-tests-2015-supreme-court-ruling/</w:t>
        </w:r>
      </w:hyperlink>
      <w:r w:rsidRPr="00BF4DDE">
        <w:rPr>
          <w:rStyle w:val="Hyperlink"/>
          <w:rFonts w:ascii="Times New Roman" w:hAnsi="Times New Roman"/>
          <w:sz w:val="24"/>
          <w:szCs w:val="24"/>
        </w:rPr>
        <w:t xml:space="preserve">  </w:t>
      </w:r>
    </w:p>
    <w:p w14:paraId="3CE90402" w14:textId="77777777" w:rsidR="00EF1133" w:rsidRDefault="00EF1133" w:rsidP="00EF1133">
      <w:pPr>
        <w:rPr>
          <w:rFonts w:ascii="Arial Black" w:hAnsi="Arial Black"/>
          <w:b/>
          <w:sz w:val="24"/>
          <w:szCs w:val="24"/>
        </w:rPr>
      </w:pPr>
    </w:p>
    <w:p w14:paraId="64B17E0B" w14:textId="524B8A4E"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5</w:t>
      </w:r>
    </w:p>
    <w:p w14:paraId="6D9B460A" w14:textId="363DE123" w:rsidR="00F326E5" w:rsidRDefault="00F326E5" w:rsidP="00F326E5">
      <w:pPr>
        <w:pStyle w:val="NoSpacing"/>
        <w:rPr>
          <w:rFonts w:ascii="Arial Black" w:hAnsi="Arial Black"/>
          <w:b/>
          <w:sz w:val="28"/>
          <w:szCs w:val="28"/>
        </w:rPr>
      </w:pPr>
      <w:bookmarkStart w:id="310" w:name="_Hlk7344079"/>
      <w:bookmarkEnd w:id="282"/>
      <w:r>
        <w:rPr>
          <w:rFonts w:ascii="Arial Black" w:hAnsi="Arial Black"/>
          <w:b/>
          <w:sz w:val="28"/>
          <w:szCs w:val="28"/>
        </w:rPr>
        <w:t>IL</w:t>
      </w:r>
      <w:r w:rsidR="00BF4DDE">
        <w:rPr>
          <w:rFonts w:ascii="Arial Black" w:hAnsi="Arial Black"/>
          <w:b/>
          <w:sz w:val="28"/>
          <w:szCs w:val="28"/>
        </w:rPr>
        <w:t xml:space="preserve">: </w:t>
      </w:r>
      <w:r>
        <w:rPr>
          <w:rFonts w:ascii="Arial Black" w:hAnsi="Arial Black"/>
          <w:b/>
          <w:sz w:val="28"/>
          <w:szCs w:val="28"/>
        </w:rPr>
        <w:t>1</w:t>
      </w:r>
      <w:r w:rsidRPr="006A0855">
        <w:rPr>
          <w:rFonts w:ascii="Arial Black" w:hAnsi="Arial Black"/>
          <w:b/>
          <w:sz w:val="28"/>
          <w:szCs w:val="28"/>
        </w:rPr>
        <w:t xml:space="preserve">2 FEMALES FAILED FITNESS TESTING IN CHICAGO FD PARAMEDIC </w:t>
      </w:r>
      <w:r>
        <w:rPr>
          <w:rFonts w:ascii="Arial Black" w:hAnsi="Arial Black"/>
          <w:b/>
          <w:sz w:val="28"/>
          <w:szCs w:val="28"/>
        </w:rPr>
        <w:t xml:space="preserve">RECRUIT SCHOOL </w:t>
      </w:r>
      <w:r w:rsidRPr="006A0855">
        <w:rPr>
          <w:rFonts w:ascii="Arial Black" w:hAnsi="Arial Black"/>
          <w:b/>
          <w:sz w:val="28"/>
          <w:szCs w:val="28"/>
        </w:rPr>
        <w:t xml:space="preserve">MAY SUE  </w:t>
      </w:r>
    </w:p>
    <w:p w14:paraId="6126DD58" w14:textId="77777777" w:rsidR="00BF4DDE" w:rsidRDefault="00BF4DDE" w:rsidP="00F326E5">
      <w:pPr>
        <w:pStyle w:val="NoSpacing"/>
        <w:rPr>
          <w:rFonts w:ascii="Times New Roman" w:hAnsi="Times New Roman"/>
          <w:sz w:val="24"/>
          <w:szCs w:val="24"/>
        </w:rPr>
      </w:pPr>
    </w:p>
    <w:p w14:paraId="6A5ABC8D" w14:textId="6A6FE165" w:rsid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Jan. 14, 2019, in </w:t>
      </w:r>
      <w:r w:rsidRPr="00BF4DDE">
        <w:rPr>
          <w:rFonts w:ascii="Times New Roman" w:hAnsi="Times New Roman"/>
          <w:sz w:val="24"/>
          <w:szCs w:val="24"/>
          <w:u w:val="single"/>
        </w:rPr>
        <w:t>Jennifer Livingston, et al. v. City of Chicago</w:t>
      </w:r>
      <w:r w:rsidRPr="00BF4DDE">
        <w:rPr>
          <w:rFonts w:ascii="Times New Roman" w:hAnsi="Times New Roman"/>
          <w:sz w:val="24"/>
          <w:szCs w:val="24"/>
        </w:rPr>
        <w:t xml:space="preserve">, U.S. District Court Judge Sara L. Ellis, held: </w:t>
      </w:r>
    </w:p>
    <w:p w14:paraId="78DAE3B7" w14:textId="539731B5" w:rsidR="00F326E5" w:rsidRPr="00BF4DDE" w:rsidRDefault="00F326E5" w:rsidP="00BF4DDE">
      <w:pPr>
        <w:pStyle w:val="NoSpacing"/>
        <w:ind w:left="720"/>
        <w:rPr>
          <w:rFonts w:ascii="Times New Roman" w:hAnsi="Times New Roman"/>
          <w:sz w:val="24"/>
          <w:szCs w:val="24"/>
        </w:rPr>
      </w:pPr>
      <w:r w:rsidRPr="00BF4DDE">
        <w:rPr>
          <w:rFonts w:ascii="Times New Roman" w:hAnsi="Times New Roman"/>
          <w:sz w:val="24"/>
          <w:szCs w:val="24"/>
        </w:rPr>
        <w:lastRenderedPageBreak/>
        <w:t>“B</w:t>
      </w:r>
      <w:r w:rsidRPr="00BF4DDE">
        <w:rPr>
          <w:rFonts w:ascii="Times New Roman" w:eastAsia="Times New Roman" w:hAnsi="Times New Roman"/>
          <w:sz w:val="24"/>
          <w:szCs w:val="24"/>
        </w:rPr>
        <w:t>ecause the Non-Filing Plaintiffs can rely on the single-filing rule to bring their claims based on the charges filed by other plaintiffs in this case, the Court denies the City’s motion to dismiss.”</w:t>
      </w:r>
      <w:hyperlink r:id="rId1420" w:history="1">
        <w:r w:rsidRPr="00BF4DDE">
          <w:rPr>
            <w:rStyle w:val="Hyperlink"/>
            <w:rFonts w:ascii="Times New Roman" w:hAnsi="Times New Roman"/>
            <w:sz w:val="24"/>
            <w:szCs w:val="24"/>
          </w:rPr>
          <w:t>https://cases.justia.com/federal/district-courts/illinois/ilndce/1:2016cv10156/332956/114/0.pdf?ts=1547630986</w:t>
        </w:r>
      </w:hyperlink>
    </w:p>
    <w:p w14:paraId="464544DE" w14:textId="77777777" w:rsidR="00BF4DDE" w:rsidRDefault="00BF4DDE" w:rsidP="00F326E5">
      <w:pPr>
        <w:pStyle w:val="NoSpacing"/>
        <w:rPr>
          <w:rFonts w:ascii="Times New Roman" w:hAnsi="Times New Roman"/>
          <w:b/>
          <w:sz w:val="24"/>
          <w:szCs w:val="24"/>
        </w:rPr>
      </w:pPr>
    </w:p>
    <w:p w14:paraId="005EEDE1" w14:textId="36005839"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Physical fitness tests, whether during Recruit School or prior to hiring, that have an adverse impact on females, should be validated by an expert.   </w:t>
      </w:r>
    </w:p>
    <w:p w14:paraId="54D870BB" w14:textId="77777777" w:rsidR="00F326E5" w:rsidRPr="00BF4DDE" w:rsidRDefault="00F326E5" w:rsidP="00F326E5">
      <w:pPr>
        <w:pStyle w:val="NoSpacing"/>
        <w:ind w:left="720"/>
        <w:rPr>
          <w:rFonts w:ascii="Times New Roman" w:hAnsi="Times New Roman"/>
          <w:sz w:val="24"/>
          <w:szCs w:val="24"/>
        </w:rPr>
      </w:pPr>
      <w:r w:rsidRPr="00BF4DDE">
        <w:rPr>
          <w:rFonts w:ascii="Times New Roman" w:hAnsi="Times New Roman"/>
          <w:sz w:val="24"/>
          <w:szCs w:val="24"/>
        </w:rPr>
        <w:t xml:space="preserve">See EEOC guidance, “Use of tests and other selection procedures can also violate the federal anti-discrimination laws if they disproportionately exclude people in a particular group by race, sex, or another covered basis, unless the employer can justify the test or procedure under the law.” </w:t>
      </w:r>
      <w:hyperlink r:id="rId1421" w:history="1">
        <w:r w:rsidRPr="00BF4DDE">
          <w:rPr>
            <w:rStyle w:val="Hyperlink"/>
            <w:rFonts w:ascii="Times New Roman" w:hAnsi="Times New Roman"/>
            <w:sz w:val="24"/>
            <w:szCs w:val="24"/>
          </w:rPr>
          <w:t>https://www.eeoc.gov/policy/docs/factemployment_procedures.html</w:t>
        </w:r>
      </w:hyperlink>
      <w:r w:rsidRPr="00BF4DDE">
        <w:rPr>
          <w:rFonts w:ascii="Times New Roman" w:hAnsi="Times New Roman"/>
          <w:sz w:val="24"/>
          <w:szCs w:val="24"/>
        </w:rPr>
        <w:t xml:space="preserve">  </w:t>
      </w:r>
    </w:p>
    <w:p w14:paraId="0E69A548" w14:textId="77777777" w:rsidR="00F326E5" w:rsidRPr="00BF4DDE" w:rsidRDefault="00F326E5" w:rsidP="00F326E5">
      <w:pPr>
        <w:pStyle w:val="NoSpacing"/>
        <w:ind w:left="720"/>
        <w:rPr>
          <w:rFonts w:ascii="Times New Roman" w:hAnsi="Times New Roman"/>
          <w:sz w:val="24"/>
          <w:szCs w:val="24"/>
        </w:rPr>
      </w:pPr>
      <w:r w:rsidRPr="00BF4DDE">
        <w:rPr>
          <w:rFonts w:ascii="Times New Roman" w:hAnsi="Times New Roman"/>
          <w:sz w:val="24"/>
          <w:szCs w:val="24"/>
        </w:rPr>
        <w:t xml:space="preserve">See EEOC June 13, </w:t>
      </w:r>
      <w:proofErr w:type="gramStart"/>
      <w:r w:rsidRPr="00BF4DDE">
        <w:rPr>
          <w:rFonts w:ascii="Times New Roman" w:hAnsi="Times New Roman"/>
          <w:sz w:val="24"/>
          <w:szCs w:val="24"/>
        </w:rPr>
        <w:t>2018</w:t>
      </w:r>
      <w:proofErr w:type="gramEnd"/>
      <w:r w:rsidRPr="00BF4DDE">
        <w:rPr>
          <w:rFonts w:ascii="Times New Roman" w:hAnsi="Times New Roman"/>
          <w:sz w:val="24"/>
          <w:szCs w:val="24"/>
        </w:rPr>
        <w:t xml:space="preserve"> press release: “CSX Transportation to Pay $3.2 Million To Settle EEOC Disparate Impact Sex Discrimination Case… According to the EEOC's lawsuit, CSXT conducted isokinetic strength testing as a requirement for workers to be hired for various jobs. The EEOC said that the strength test used by CSXT, known as the ‘IPCS </w:t>
      </w:r>
      <w:proofErr w:type="spellStart"/>
      <w:r w:rsidRPr="00BF4DDE">
        <w:rPr>
          <w:rFonts w:ascii="Times New Roman" w:hAnsi="Times New Roman"/>
          <w:sz w:val="24"/>
          <w:szCs w:val="24"/>
        </w:rPr>
        <w:t>Biodex</w:t>
      </w:r>
      <w:proofErr w:type="spellEnd"/>
      <w:r w:rsidRPr="00BF4DDE">
        <w:rPr>
          <w:rFonts w:ascii="Times New Roman" w:hAnsi="Times New Roman"/>
          <w:sz w:val="24"/>
          <w:szCs w:val="24"/>
        </w:rPr>
        <w:t xml:space="preserve">’ test, caused an unlawful discriminatory impact on female workers seeking jobs as conductors, material handler/clerks, and </w:t>
      </w:r>
      <w:proofErr w:type="gramStart"/>
      <w:r w:rsidRPr="00BF4DDE">
        <w:rPr>
          <w:rFonts w:ascii="Times New Roman" w:hAnsi="Times New Roman"/>
          <w:sz w:val="24"/>
          <w:szCs w:val="24"/>
        </w:rPr>
        <w:t>a number of</w:t>
      </w:r>
      <w:proofErr w:type="gramEnd"/>
      <w:r w:rsidRPr="00BF4DDE">
        <w:rPr>
          <w:rFonts w:ascii="Times New Roman" w:hAnsi="Times New Roman"/>
          <w:sz w:val="24"/>
          <w:szCs w:val="24"/>
        </w:rPr>
        <w:t xml:space="preserve"> other job categories. The EEOC also charged that CSXT used two other employment tests, a three-minute step test seeking to measure aerobic capacity and a discontinued arm endurance test, as a requirement for selection into certain jobs, and that those tests also caused an unlawful discriminatory effect on female workers.” </w:t>
      </w:r>
      <w:hyperlink r:id="rId1422" w:history="1">
        <w:r w:rsidRPr="00BF4DDE">
          <w:rPr>
            <w:rStyle w:val="Hyperlink"/>
            <w:rFonts w:ascii="Times New Roman" w:hAnsi="Times New Roman"/>
            <w:sz w:val="24"/>
            <w:szCs w:val="24"/>
          </w:rPr>
          <w:t>https://www.eeoc.gov/eeoc/newsroom/release/6-13-18.cfm</w:t>
        </w:r>
      </w:hyperlink>
      <w:r w:rsidRPr="00BF4DDE">
        <w:rPr>
          <w:rFonts w:ascii="Times New Roman" w:hAnsi="Times New Roman"/>
          <w:sz w:val="24"/>
          <w:szCs w:val="24"/>
        </w:rPr>
        <w:t xml:space="preserve"> </w:t>
      </w:r>
    </w:p>
    <w:p w14:paraId="05F679E0" w14:textId="50CBF9F3" w:rsidR="00F326E5" w:rsidRPr="00BF4DDE" w:rsidRDefault="00F326E5" w:rsidP="00F326E5">
      <w:pPr>
        <w:pStyle w:val="NoSpacing"/>
        <w:ind w:left="720"/>
        <w:rPr>
          <w:rFonts w:ascii="Times New Roman" w:hAnsi="Times New Roman"/>
          <w:sz w:val="24"/>
          <w:szCs w:val="24"/>
        </w:rPr>
      </w:pPr>
    </w:p>
    <w:bookmarkEnd w:id="310"/>
    <w:p w14:paraId="4F5CAF60" w14:textId="77777777" w:rsidR="00BF4DDE" w:rsidRDefault="00BF4DDE" w:rsidP="00EF1133">
      <w:pPr>
        <w:rPr>
          <w:rFonts w:ascii="Arial Black" w:hAnsi="Arial Black"/>
          <w:b/>
          <w:sz w:val="24"/>
          <w:szCs w:val="24"/>
        </w:rPr>
      </w:pPr>
    </w:p>
    <w:p w14:paraId="4F46361F" w14:textId="77777777" w:rsidR="00BF4DDE" w:rsidRDefault="00BF4DDE" w:rsidP="00EF1133">
      <w:pPr>
        <w:rPr>
          <w:rFonts w:ascii="Arial Black" w:hAnsi="Arial Black"/>
          <w:b/>
          <w:sz w:val="24"/>
          <w:szCs w:val="24"/>
        </w:rPr>
      </w:pPr>
    </w:p>
    <w:p w14:paraId="6108A106" w14:textId="31C0DF60"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4</w:t>
      </w:r>
    </w:p>
    <w:p w14:paraId="461F0FAB" w14:textId="0A94B62C" w:rsidR="00F326E5" w:rsidRDefault="00F326E5" w:rsidP="00F326E5">
      <w:pPr>
        <w:pStyle w:val="NoSpacing"/>
        <w:rPr>
          <w:rFonts w:ascii="Arial Black" w:hAnsi="Arial Black"/>
          <w:sz w:val="28"/>
          <w:szCs w:val="28"/>
        </w:rPr>
      </w:pPr>
      <w:bookmarkStart w:id="311" w:name="_Hlk7344131"/>
      <w:r>
        <w:rPr>
          <w:rFonts w:ascii="Arial Black" w:hAnsi="Arial Black"/>
          <w:sz w:val="28"/>
          <w:szCs w:val="28"/>
        </w:rPr>
        <w:t xml:space="preserve">AL:  PREGNANT EMS – NOT ENTITLED TO LIGHT DUTY, COMPANY POLICY ONLY IF INJURED ON THE JOB </w:t>
      </w:r>
    </w:p>
    <w:p w14:paraId="1FE747EC" w14:textId="77777777" w:rsidR="00BF4DDE" w:rsidRDefault="00F326E5" w:rsidP="00F326E5">
      <w:pPr>
        <w:rPr>
          <w:rFonts w:ascii="Times New Roman" w:hAnsi="Times New Roman"/>
          <w:sz w:val="24"/>
          <w:szCs w:val="24"/>
        </w:rPr>
      </w:pPr>
      <w:r w:rsidRPr="00BF4DDE">
        <w:rPr>
          <w:rFonts w:ascii="Times New Roman" w:hAnsi="Times New Roman"/>
          <w:sz w:val="24"/>
          <w:szCs w:val="24"/>
        </w:rPr>
        <w:t xml:space="preserve">On Oct. 9, 2018, in </w:t>
      </w:r>
      <w:r w:rsidRPr="00BF4DDE">
        <w:rPr>
          <w:rFonts w:ascii="Times New Roman" w:hAnsi="Times New Roman"/>
          <w:sz w:val="24"/>
          <w:szCs w:val="24"/>
          <w:u w:val="single"/>
        </w:rPr>
        <w:t>Kimberly Michelle Durham v. Rural/Metro Corporation</w:t>
      </w:r>
      <w:r w:rsidRPr="00BF4DDE">
        <w:rPr>
          <w:rFonts w:ascii="Times New Roman" w:hAnsi="Times New Roman"/>
          <w:sz w:val="24"/>
          <w:szCs w:val="24"/>
        </w:rPr>
        <w:t xml:space="preserve">, Case No. 4:16-CV-01604-ACA, U.S. District Court Judge granted summary judgment to the employer. Three male EMTs had been granted light duty for injuries to their backs while lifting patients.  The court held, </w:t>
      </w:r>
    </w:p>
    <w:p w14:paraId="30A8F32E" w14:textId="566FF3C2" w:rsidR="00F326E5" w:rsidRPr="00BF4DDE" w:rsidRDefault="00F326E5" w:rsidP="00BF4DDE">
      <w:pPr>
        <w:ind w:left="720"/>
        <w:rPr>
          <w:rFonts w:ascii="Times New Roman" w:hAnsi="Times New Roman"/>
          <w:sz w:val="24"/>
          <w:szCs w:val="24"/>
        </w:rPr>
      </w:pPr>
      <w:r w:rsidRPr="00BF4DDE">
        <w:rPr>
          <w:rFonts w:ascii="Times New Roman" w:hAnsi="Times New Roman"/>
          <w:sz w:val="24"/>
          <w:szCs w:val="24"/>
        </w:rPr>
        <w:t>“</w:t>
      </w:r>
      <w:r w:rsidRPr="00BF4DDE">
        <w:rPr>
          <w:rFonts w:ascii="Times New Roman" w:eastAsia="Times New Roman" w:hAnsi="Times New Roman"/>
          <w:sz w:val="24"/>
          <w:szCs w:val="24"/>
        </w:rPr>
        <w:t xml:space="preserve">Rural/Metro contends that Ms. Durham must offer substantial evidence of employees placed on light duty assignment who were injured off the job </w:t>
      </w:r>
      <w:proofErr w:type="gramStart"/>
      <w:r w:rsidRPr="00BF4DDE">
        <w:rPr>
          <w:rFonts w:ascii="Times New Roman" w:eastAsia="Times New Roman" w:hAnsi="Times New Roman"/>
          <w:sz w:val="24"/>
          <w:szCs w:val="24"/>
        </w:rPr>
        <w:t>in order to</w:t>
      </w:r>
      <w:proofErr w:type="gramEnd"/>
      <w:r w:rsidRPr="00BF4DDE">
        <w:rPr>
          <w:rFonts w:ascii="Times New Roman" w:eastAsia="Times New Roman" w:hAnsi="Times New Roman"/>
          <w:sz w:val="24"/>
          <w:szCs w:val="24"/>
        </w:rPr>
        <w:t xml:space="preserve"> survive summary judgment. This court agrees.”  </w:t>
      </w:r>
      <w:hyperlink r:id="rId1423" w:history="1">
        <w:r w:rsidRPr="00BF4DDE">
          <w:rPr>
            <w:rStyle w:val="Hyperlink"/>
            <w:rFonts w:ascii="Times New Roman" w:hAnsi="Times New Roman"/>
            <w:sz w:val="24"/>
            <w:szCs w:val="24"/>
          </w:rPr>
          <w:t>https://law.justia.com/cases/federal/district-courts/alabama/alndce/4:2016cv01604/160190/55/</w:t>
        </w:r>
      </w:hyperlink>
      <w:r w:rsidRPr="00BF4DDE">
        <w:rPr>
          <w:rFonts w:ascii="Times New Roman" w:hAnsi="Times New Roman"/>
          <w:sz w:val="24"/>
          <w:szCs w:val="24"/>
        </w:rPr>
        <w:t xml:space="preserve"> </w:t>
      </w:r>
    </w:p>
    <w:p w14:paraId="5C86004E" w14:textId="77777777"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Some are urging Congress to broaden the Pregnancy Discrimination Act; see also EEOC Enforcement Guidance </w:t>
      </w:r>
      <w:proofErr w:type="gramStart"/>
      <w:r w:rsidRPr="00BF4DDE">
        <w:rPr>
          <w:rFonts w:ascii="Times New Roman" w:hAnsi="Times New Roman"/>
          <w:b/>
          <w:sz w:val="24"/>
          <w:szCs w:val="24"/>
        </w:rPr>
        <w:t>On</w:t>
      </w:r>
      <w:proofErr w:type="gramEnd"/>
      <w:r w:rsidRPr="00BF4DDE">
        <w:rPr>
          <w:rFonts w:ascii="Times New Roman" w:hAnsi="Times New Roman"/>
          <w:b/>
          <w:sz w:val="24"/>
          <w:szCs w:val="24"/>
        </w:rPr>
        <w:t xml:space="preserve"> Pregnancy Discrimination: </w:t>
      </w:r>
      <w:hyperlink r:id="rId1424" w:history="1">
        <w:r w:rsidRPr="00BF4DDE">
          <w:rPr>
            <w:rStyle w:val="Hyperlink"/>
            <w:rFonts w:ascii="Times New Roman" w:hAnsi="Times New Roman"/>
            <w:sz w:val="24"/>
            <w:szCs w:val="24"/>
          </w:rPr>
          <w:t>https://www.eeoc.gov/laws/guidance/pregnancy_guidance.cfm</w:t>
        </w:r>
      </w:hyperlink>
      <w:r w:rsidRPr="00BF4DDE">
        <w:rPr>
          <w:rFonts w:ascii="Times New Roman" w:hAnsi="Times New Roman"/>
          <w:b/>
          <w:sz w:val="24"/>
          <w:szCs w:val="24"/>
        </w:rPr>
        <w:t xml:space="preserve"> .</w:t>
      </w:r>
    </w:p>
    <w:bookmarkEnd w:id="311"/>
    <w:p w14:paraId="1BC68CF3" w14:textId="77777777" w:rsidR="00F326E5" w:rsidRPr="00BF4DDE" w:rsidRDefault="00F326E5" w:rsidP="00F326E5">
      <w:pPr>
        <w:pStyle w:val="NoSpacing"/>
        <w:rPr>
          <w:rFonts w:ascii="Times New Roman" w:hAnsi="Times New Roman"/>
          <w:b/>
          <w:sz w:val="24"/>
          <w:szCs w:val="24"/>
        </w:rPr>
      </w:pPr>
    </w:p>
    <w:p w14:paraId="2B1A0D3C" w14:textId="77777777" w:rsidR="00F326E5" w:rsidRDefault="00F326E5" w:rsidP="00F326E5">
      <w:pPr>
        <w:pStyle w:val="NoSpacing"/>
        <w:rPr>
          <w:b/>
          <w:sz w:val="24"/>
          <w:szCs w:val="24"/>
        </w:rPr>
      </w:pPr>
    </w:p>
    <w:p w14:paraId="67516467" w14:textId="77777777" w:rsidR="00BF4DDE" w:rsidRDefault="00BF4DDE" w:rsidP="00F326E5">
      <w:pPr>
        <w:rPr>
          <w:rFonts w:ascii="Arial Black" w:hAnsi="Arial Black"/>
          <w:b/>
          <w:sz w:val="24"/>
          <w:szCs w:val="24"/>
        </w:rPr>
      </w:pPr>
    </w:p>
    <w:p w14:paraId="217A912A" w14:textId="06BEF889" w:rsidR="00F326E5" w:rsidRDefault="00EF1133" w:rsidP="00F326E5">
      <w:pPr>
        <w:rPr>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3</w:t>
      </w:r>
    </w:p>
    <w:p w14:paraId="30009834" w14:textId="061D70BB" w:rsidR="00F326E5" w:rsidRPr="00746228" w:rsidRDefault="00F326E5" w:rsidP="00F326E5">
      <w:pPr>
        <w:rPr>
          <w:rFonts w:ascii="Arial Black" w:hAnsi="Arial Black"/>
          <w:sz w:val="28"/>
          <w:szCs w:val="28"/>
        </w:rPr>
      </w:pPr>
      <w:bookmarkStart w:id="312" w:name="_Hlk7344170"/>
      <w:r w:rsidRPr="00746228">
        <w:rPr>
          <w:rFonts w:ascii="Arial Black" w:hAnsi="Arial Black"/>
          <w:sz w:val="28"/>
          <w:szCs w:val="28"/>
        </w:rPr>
        <w:t>MI: F</w:t>
      </w:r>
      <w:r>
        <w:rPr>
          <w:rFonts w:ascii="Arial Black" w:hAnsi="Arial Black"/>
          <w:sz w:val="28"/>
          <w:szCs w:val="28"/>
        </w:rPr>
        <w:t>EMALE CAPTAIN NOT SELECTED AS FIRE CHIEF – LACK OF INCIDENT COMMAND</w:t>
      </w:r>
    </w:p>
    <w:p w14:paraId="079BE56B" w14:textId="77777777" w:rsidR="00BF4DDE" w:rsidRDefault="00F326E5" w:rsidP="00F326E5">
      <w:pPr>
        <w:rPr>
          <w:rFonts w:ascii="Times New Roman" w:hAnsi="Times New Roman"/>
          <w:bCs/>
          <w:sz w:val="24"/>
          <w:szCs w:val="24"/>
        </w:rPr>
      </w:pPr>
      <w:r w:rsidRPr="00BF4DDE">
        <w:rPr>
          <w:rFonts w:ascii="Times New Roman" w:hAnsi="Times New Roman"/>
          <w:bCs/>
          <w:sz w:val="24"/>
          <w:szCs w:val="24"/>
        </w:rPr>
        <w:lastRenderedPageBreak/>
        <w:t xml:space="preserve">On Aug. 30, 2018, in </w:t>
      </w:r>
      <w:r w:rsidRPr="00BF4DDE">
        <w:rPr>
          <w:rFonts w:ascii="Times New Roman" w:hAnsi="Times New Roman"/>
          <w:bCs/>
          <w:sz w:val="24"/>
          <w:szCs w:val="24"/>
          <w:u w:val="single"/>
        </w:rPr>
        <w:t>Ona Lee Aguilar v. City of Saginaw and IAFF Local 102</w:t>
      </w:r>
      <w:r w:rsidRPr="00BF4DDE">
        <w:rPr>
          <w:rFonts w:ascii="Times New Roman" w:hAnsi="Times New Roman"/>
          <w:bCs/>
          <w:sz w:val="24"/>
          <w:szCs w:val="24"/>
        </w:rPr>
        <w:t>, the State of Michigan Court of Appeals held 3 to 0 (in unpublished opinion) upheld the dismissal of her lawsuit by trial court.</w:t>
      </w:r>
    </w:p>
    <w:p w14:paraId="0AA16441" w14:textId="228BA869" w:rsidR="00F326E5" w:rsidRPr="00BF4DDE" w:rsidRDefault="00F326E5" w:rsidP="00BF4DDE">
      <w:pPr>
        <w:ind w:left="720"/>
        <w:rPr>
          <w:rFonts w:ascii="Times New Roman" w:hAnsi="Times New Roman"/>
          <w:b/>
          <w:sz w:val="24"/>
          <w:szCs w:val="24"/>
        </w:rPr>
      </w:pPr>
      <w:r w:rsidRPr="00BF4DDE">
        <w:rPr>
          <w:rFonts w:ascii="Times New Roman" w:hAnsi="Times New Roman"/>
          <w:bCs/>
          <w:sz w:val="24"/>
          <w:szCs w:val="24"/>
        </w:rPr>
        <w:t>“</w:t>
      </w:r>
      <w:r w:rsidRPr="00BF4DDE">
        <w:rPr>
          <w:rFonts w:ascii="Times New Roman" w:hAnsi="Times New Roman"/>
          <w:sz w:val="24"/>
          <w:szCs w:val="24"/>
        </w:rPr>
        <w:t>Aguilar is one of a small number of female employees of the Saginaw Fire Department (SFD) and has dealt with harassment and hostility over the years as she worked her way up the ranks in a male-dominated field. Aguilar’s suit, however, was based solely on the city’s 2013 failure to name her as acting or interim fire chief and its 2014 failure to hire her as the city’s permanent fire chief.  The evidence supports that Aguilar’s union discriminated against her and those parties reached a settlement. Although the evidence also supports that Aguilar continues to work in a hostile environment, Aguilar has not created a triable question of fact on her discrimination claims. Accordingly, we are bound to affirm.”</w:t>
      </w:r>
      <w:r w:rsidR="00BF4DDE">
        <w:rPr>
          <w:rFonts w:ascii="Times New Roman" w:hAnsi="Times New Roman"/>
          <w:sz w:val="24"/>
          <w:szCs w:val="24"/>
        </w:rPr>
        <w:t xml:space="preserve"> </w:t>
      </w:r>
      <w:hyperlink r:id="rId1425" w:history="1">
        <w:r w:rsidRPr="00BF4DDE">
          <w:rPr>
            <w:rStyle w:val="Hyperlink"/>
            <w:rFonts w:ascii="Times New Roman" w:hAnsi="Times New Roman"/>
            <w:sz w:val="24"/>
            <w:szCs w:val="24"/>
          </w:rPr>
          <w:t>https://cases.justia.com/michigan/court-of-appeals-unpublished/2018-339016.pdf?ts=1535720483</w:t>
        </w:r>
      </w:hyperlink>
      <w:r w:rsidRPr="00BF4DDE">
        <w:rPr>
          <w:rFonts w:ascii="Times New Roman" w:hAnsi="Times New Roman"/>
          <w:b/>
          <w:sz w:val="24"/>
          <w:szCs w:val="24"/>
        </w:rPr>
        <w:t xml:space="preserve"> </w:t>
      </w:r>
    </w:p>
    <w:p w14:paraId="6C8FD93E" w14:textId="77777777" w:rsidR="00F326E5" w:rsidRPr="00BF4DDE" w:rsidRDefault="00F326E5" w:rsidP="00F326E5">
      <w:pPr>
        <w:rPr>
          <w:rFonts w:ascii="Times New Roman" w:eastAsia="Times New Roman" w:hAnsi="Times New Roman"/>
          <w:b/>
          <w:sz w:val="24"/>
          <w:szCs w:val="24"/>
        </w:rPr>
      </w:pPr>
      <w:r w:rsidRPr="00BF4DDE">
        <w:rPr>
          <w:rFonts w:ascii="Times New Roman" w:eastAsia="Times New Roman" w:hAnsi="Times New Roman"/>
          <w:b/>
          <w:sz w:val="24"/>
          <w:szCs w:val="24"/>
        </w:rPr>
        <w:t xml:space="preserve">Legal Lessons Learned:  Lack of experience in Incident Command is a legitimate, nondiscriminatory reason for not selecting an applicant for Fire Chief. </w:t>
      </w:r>
    </w:p>
    <w:p w14:paraId="0E976592" w14:textId="77777777" w:rsidR="00EF1133" w:rsidRDefault="00EF1133" w:rsidP="00EF1133">
      <w:pPr>
        <w:rPr>
          <w:rFonts w:ascii="Arial Black" w:hAnsi="Arial Black"/>
          <w:b/>
          <w:sz w:val="24"/>
          <w:szCs w:val="24"/>
        </w:rPr>
      </w:pPr>
    </w:p>
    <w:p w14:paraId="108C7FF7" w14:textId="27875A13"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2</w:t>
      </w:r>
    </w:p>
    <w:p w14:paraId="165E8B99" w14:textId="327A78FF" w:rsidR="00F326E5" w:rsidRPr="00255E41" w:rsidRDefault="00F326E5" w:rsidP="00F326E5">
      <w:pPr>
        <w:pStyle w:val="NoSpacing"/>
        <w:rPr>
          <w:rFonts w:ascii="Arial Black" w:hAnsi="Arial Black"/>
          <w:b/>
          <w:sz w:val="28"/>
          <w:szCs w:val="28"/>
        </w:rPr>
      </w:pPr>
      <w:bookmarkStart w:id="313" w:name="_Hlk7344305"/>
      <w:bookmarkEnd w:id="312"/>
      <w:r w:rsidRPr="00255E41">
        <w:rPr>
          <w:rFonts w:ascii="Arial Black" w:hAnsi="Arial Black"/>
          <w:b/>
          <w:sz w:val="28"/>
          <w:szCs w:val="28"/>
        </w:rPr>
        <w:t>LA: S</w:t>
      </w:r>
      <w:r w:rsidR="00255E41">
        <w:rPr>
          <w:rFonts w:ascii="Arial Black" w:hAnsi="Arial Black"/>
          <w:b/>
          <w:sz w:val="28"/>
          <w:szCs w:val="28"/>
        </w:rPr>
        <w:t xml:space="preserve">EXUAL HARASSMENT COMLAINT PROMPTLY INVESTIGATED – OFFENDER WARNED </w:t>
      </w:r>
    </w:p>
    <w:p w14:paraId="441E3377" w14:textId="77777777" w:rsidR="00F326E5" w:rsidRPr="00BF4DDE" w:rsidRDefault="00F326E5" w:rsidP="00F326E5">
      <w:pPr>
        <w:rPr>
          <w:rFonts w:ascii="Times New Roman" w:hAnsi="Times New Roman"/>
          <w:sz w:val="24"/>
          <w:szCs w:val="24"/>
        </w:rPr>
      </w:pPr>
      <w:r w:rsidRPr="00BF4DDE">
        <w:rPr>
          <w:rFonts w:ascii="Times New Roman" w:hAnsi="Times New Roman"/>
          <w:sz w:val="24"/>
          <w:szCs w:val="24"/>
        </w:rPr>
        <w:t xml:space="preserve">On June 5, 2018, in </w:t>
      </w:r>
      <w:r w:rsidRPr="00BF4DDE">
        <w:rPr>
          <w:rFonts w:ascii="Times New Roman" w:hAnsi="Times New Roman"/>
          <w:sz w:val="24"/>
          <w:szCs w:val="24"/>
          <w:u w:val="single"/>
        </w:rPr>
        <w:t>Shelita Tucker v. United Parcel Service, Inc</w:t>
      </w:r>
      <w:r w:rsidRPr="00BF4DDE">
        <w:rPr>
          <w:rFonts w:ascii="Times New Roman" w:hAnsi="Times New Roman"/>
          <w:sz w:val="24"/>
          <w:szCs w:val="24"/>
        </w:rPr>
        <w:t>., the U.S. Court of Appeals for the 5</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held (3 to 0) in an unpublished opinion that the federal district judge properly granted summary judgment to UPS: </w:t>
      </w:r>
    </w:p>
    <w:p w14:paraId="5694ED55" w14:textId="2453BC40" w:rsidR="00F326E5" w:rsidRPr="00BF4DDE" w:rsidRDefault="00F326E5" w:rsidP="00F326E5">
      <w:pPr>
        <w:ind w:left="720"/>
        <w:rPr>
          <w:rFonts w:ascii="Times New Roman" w:eastAsia="Times New Roman" w:hAnsi="Times New Roman"/>
          <w:sz w:val="24"/>
          <w:szCs w:val="24"/>
        </w:rPr>
      </w:pPr>
      <w:r w:rsidRPr="00BF4DDE">
        <w:rPr>
          <w:rFonts w:ascii="Times New Roman" w:hAnsi="Times New Roman"/>
          <w:sz w:val="24"/>
          <w:szCs w:val="24"/>
        </w:rPr>
        <w:t>“We agree with the district court that Tucker failed to discharge her burden to raise a fact issue in this regard. UPS's remedial actions stopped the sexual harassment, and McCaleb neither spoke to nor touched Tucker again. Although McCaleb's presence at</w:t>
      </w:r>
      <w:r w:rsidRPr="00BF4DDE">
        <w:rPr>
          <w:rFonts w:ascii="Times New Roman" w:hAnsi="Times New Roman"/>
          <w:b/>
          <w:sz w:val="24"/>
          <w:szCs w:val="24"/>
        </w:rPr>
        <w:t xml:space="preserve"> </w:t>
      </w:r>
      <w:r w:rsidRPr="00BF4DDE">
        <w:rPr>
          <w:rFonts w:ascii="Times New Roman" w:hAnsi="Times New Roman"/>
          <w:sz w:val="24"/>
          <w:szCs w:val="24"/>
        </w:rPr>
        <w:t>work made her feel uncomfortable, Tucker said she was still able to perform her duties.”</w:t>
      </w:r>
      <w:hyperlink r:id="rId1426" w:history="1">
        <w:r w:rsidRPr="00BF4DDE">
          <w:rPr>
            <w:rStyle w:val="Hyperlink"/>
            <w:rFonts w:ascii="Times New Roman" w:hAnsi="Times New Roman"/>
            <w:sz w:val="24"/>
            <w:szCs w:val="24"/>
          </w:rPr>
          <w:t>http://www.ca5.uscourts.gov/opinions/unpub/17/17-30574.0.pdf</w:t>
        </w:r>
      </w:hyperlink>
      <w:r w:rsidRPr="00BF4DDE">
        <w:rPr>
          <w:rFonts w:ascii="Times New Roman" w:eastAsia="Times New Roman" w:hAnsi="Times New Roman"/>
          <w:sz w:val="24"/>
          <w:szCs w:val="24"/>
        </w:rPr>
        <w:t xml:space="preserve"> </w:t>
      </w:r>
    </w:p>
    <w:p w14:paraId="2A61B869" w14:textId="77777777" w:rsidR="00F326E5" w:rsidRPr="00BF4DDE" w:rsidRDefault="00F326E5" w:rsidP="00F326E5">
      <w:pPr>
        <w:rPr>
          <w:rFonts w:ascii="Times New Roman" w:eastAsia="Times New Roman" w:hAnsi="Times New Roman"/>
          <w:b/>
          <w:sz w:val="24"/>
          <w:szCs w:val="24"/>
        </w:rPr>
      </w:pPr>
      <w:r w:rsidRPr="00BF4DDE">
        <w:rPr>
          <w:rFonts w:ascii="Times New Roman" w:eastAsia="Times New Roman" w:hAnsi="Times New Roman"/>
          <w:b/>
          <w:sz w:val="24"/>
          <w:szCs w:val="24"/>
        </w:rPr>
        <w:t xml:space="preserve">Legal Lessons Learned: Fire &amp; EMS employers should likewise get statements, investigate and take prompt corrective action. </w:t>
      </w:r>
    </w:p>
    <w:p w14:paraId="01EC6885" w14:textId="77777777" w:rsidR="00F326E5" w:rsidRDefault="00F326E5" w:rsidP="00F326E5">
      <w:pPr>
        <w:rPr>
          <w:rFonts w:eastAsia="Times New Roman"/>
          <w:b/>
          <w:sz w:val="24"/>
          <w:szCs w:val="24"/>
        </w:rPr>
      </w:pPr>
    </w:p>
    <w:p w14:paraId="00E7C3E1" w14:textId="77777777" w:rsidR="00EF1133" w:rsidRDefault="00EF1133" w:rsidP="00F326E5">
      <w:pPr>
        <w:pStyle w:val="NoSpacing"/>
        <w:rPr>
          <w:rFonts w:ascii="Arial Black" w:hAnsi="Arial Black"/>
          <w:sz w:val="28"/>
          <w:szCs w:val="28"/>
        </w:rPr>
      </w:pPr>
      <w:bookmarkStart w:id="314" w:name="_Hlk515006402"/>
      <w:bookmarkStart w:id="315" w:name="_Hlk7344381"/>
      <w:bookmarkEnd w:id="313"/>
    </w:p>
    <w:p w14:paraId="637BCB5E" w14:textId="699B10AD"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-1</w:t>
      </w:r>
    </w:p>
    <w:p w14:paraId="657257A8" w14:textId="5B743660" w:rsidR="00F326E5" w:rsidRDefault="00F326E5" w:rsidP="00F326E5">
      <w:pPr>
        <w:pStyle w:val="NoSpacing"/>
        <w:rPr>
          <w:rFonts w:ascii="Arial Black" w:hAnsi="Arial Black"/>
          <w:b/>
          <w:sz w:val="24"/>
          <w:szCs w:val="24"/>
        </w:rPr>
      </w:pPr>
      <w:r w:rsidRPr="004D7942">
        <w:rPr>
          <w:rFonts w:ascii="Arial Black" w:hAnsi="Arial Black"/>
          <w:sz w:val="28"/>
          <w:szCs w:val="28"/>
        </w:rPr>
        <w:t>FL</w:t>
      </w:r>
      <w:r>
        <w:rPr>
          <w:rFonts w:ascii="Arial Black" w:hAnsi="Arial Black"/>
          <w:sz w:val="28"/>
          <w:szCs w:val="28"/>
        </w:rPr>
        <w:t xml:space="preserve">: </w:t>
      </w:r>
      <w:r w:rsidRPr="004D7942">
        <w:rPr>
          <w:rFonts w:ascii="Arial Black" w:hAnsi="Arial Black"/>
          <w:sz w:val="28"/>
          <w:szCs w:val="28"/>
        </w:rPr>
        <w:t>FEMALE CANDIDATE FOR FIRE CHIEF NOT SELECTED – NOT GENDER DISCRIMINATION, BOTH CANDIDATES HIGHLY QUALIFIED</w:t>
      </w:r>
      <w:r>
        <w:rPr>
          <w:rFonts w:ascii="Arial Black" w:hAnsi="Arial Black"/>
          <w:sz w:val="28"/>
          <w:szCs w:val="28"/>
        </w:rPr>
        <w:t xml:space="preserve"> </w:t>
      </w:r>
      <w:bookmarkEnd w:id="314"/>
    </w:p>
    <w:p w14:paraId="293BC67A" w14:textId="77777777" w:rsid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Jan. 19, 2018, in </w:t>
      </w:r>
      <w:r w:rsidRPr="00BF4DDE">
        <w:rPr>
          <w:rFonts w:ascii="Times New Roman" w:hAnsi="Times New Roman"/>
          <w:sz w:val="24"/>
          <w:szCs w:val="24"/>
          <w:u w:val="single"/>
        </w:rPr>
        <w:t>Shari Hall v. Marion County Board of County Commissioners</w:t>
      </w:r>
      <w:r w:rsidRPr="00BF4DDE">
        <w:rPr>
          <w:rFonts w:ascii="Times New Roman" w:hAnsi="Times New Roman"/>
          <w:sz w:val="24"/>
          <w:szCs w:val="24"/>
        </w:rPr>
        <w:t xml:space="preserve">, the District Court of Appeal of State of Florida, 5th District, held that: </w:t>
      </w:r>
    </w:p>
    <w:p w14:paraId="4F3A4A30" w14:textId="77777777" w:rsidR="00BF4DDE" w:rsidRDefault="00BF4DDE" w:rsidP="00F326E5">
      <w:pPr>
        <w:pStyle w:val="NoSpacing"/>
        <w:rPr>
          <w:rFonts w:ascii="Times New Roman" w:hAnsi="Times New Roman"/>
          <w:sz w:val="24"/>
          <w:szCs w:val="24"/>
        </w:rPr>
      </w:pPr>
    </w:p>
    <w:p w14:paraId="6E99C1B7" w14:textId="753A0E0F" w:rsidR="00F326E5" w:rsidRPr="00BF4DDE" w:rsidRDefault="00F326E5" w:rsidP="00BF4DDE">
      <w:pPr>
        <w:pStyle w:val="NoSpacing"/>
        <w:ind w:left="720"/>
        <w:rPr>
          <w:rFonts w:ascii="Times New Roman" w:hAnsi="Times New Roman"/>
          <w:sz w:val="24"/>
          <w:szCs w:val="24"/>
        </w:rPr>
      </w:pPr>
      <w:r w:rsidRPr="00BF4DDE">
        <w:rPr>
          <w:rFonts w:ascii="Times New Roman" w:hAnsi="Times New Roman"/>
          <w:sz w:val="24"/>
          <w:szCs w:val="24"/>
        </w:rPr>
        <w:t xml:space="preserve">“Appellant failed in her burden of proving the county offered pretextual </w:t>
      </w:r>
      <w:proofErr w:type="gramStart"/>
      <w:r w:rsidRPr="00BF4DDE">
        <w:rPr>
          <w:rFonts w:ascii="Times New Roman" w:hAnsi="Times New Roman"/>
          <w:sz w:val="24"/>
          <w:szCs w:val="24"/>
        </w:rPr>
        <w:t>reasons, and</w:t>
      </w:r>
      <w:proofErr w:type="gramEnd"/>
      <w:r w:rsidRPr="00BF4DDE">
        <w:rPr>
          <w:rFonts w:ascii="Times New Roman" w:hAnsi="Times New Roman"/>
          <w:sz w:val="24"/>
          <w:szCs w:val="24"/>
        </w:rPr>
        <w:t xml:space="preserve"> thus failed to establish a case of gender discrimination using circumstantial evidence.” Case was remanded so Court can next dispose of retaliation claim. </w:t>
      </w:r>
      <w:hyperlink r:id="rId1427" w:history="1">
        <w:r w:rsidRPr="00BF4DDE">
          <w:rPr>
            <w:rStyle w:val="Hyperlink"/>
            <w:rFonts w:ascii="Times New Roman" w:hAnsi="Times New Roman"/>
            <w:sz w:val="24"/>
            <w:szCs w:val="24"/>
          </w:rPr>
          <w:t>http://www.5dca.org/Opinions/Opin2018/011518/5D17-1183.op.pdf</w:t>
        </w:r>
      </w:hyperlink>
    </w:p>
    <w:p w14:paraId="5E678E77" w14:textId="77777777" w:rsidR="00BF4DDE" w:rsidRDefault="00BF4DDE" w:rsidP="00F326E5">
      <w:pPr>
        <w:pStyle w:val="NoSpacing"/>
        <w:rPr>
          <w:rFonts w:ascii="Times New Roman" w:hAnsi="Times New Roman"/>
          <w:b/>
          <w:sz w:val="24"/>
          <w:szCs w:val="24"/>
        </w:rPr>
      </w:pPr>
    </w:p>
    <w:p w14:paraId="2158BC9D" w14:textId="78E20393" w:rsidR="00F326E5" w:rsidRDefault="00F326E5" w:rsidP="00F824FE">
      <w:pPr>
        <w:pStyle w:val="NoSpacing"/>
        <w:rPr>
          <w:rFonts w:ascii="Arial Black" w:hAnsi="Arial Black"/>
          <w:sz w:val="40"/>
          <w:szCs w:val="40"/>
        </w:rPr>
      </w:pPr>
      <w:r w:rsidRPr="00BF4DDE">
        <w:rPr>
          <w:rFonts w:ascii="Times New Roman" w:hAnsi="Times New Roman"/>
          <w:b/>
          <w:sz w:val="24"/>
          <w:szCs w:val="24"/>
        </w:rPr>
        <w:t xml:space="preserve">Legal Lessons Learned: Two well-qualified qualified candidates for Fire Chief; no proof of gender discrimination. Caution when current Chief tells </w:t>
      </w:r>
      <w:proofErr w:type="gramStart"/>
      <w:r w:rsidRPr="00BF4DDE">
        <w:rPr>
          <w:rFonts w:ascii="Times New Roman" w:hAnsi="Times New Roman"/>
          <w:b/>
          <w:sz w:val="24"/>
          <w:szCs w:val="24"/>
        </w:rPr>
        <w:t>subordinate</w:t>
      </w:r>
      <w:proofErr w:type="gramEnd"/>
      <w:r w:rsidRPr="00BF4DDE">
        <w:rPr>
          <w:rFonts w:ascii="Times New Roman" w:hAnsi="Times New Roman"/>
          <w:b/>
          <w:sz w:val="24"/>
          <w:szCs w:val="24"/>
        </w:rPr>
        <w:t xml:space="preserve"> that they are likely the next Chief.  </w:t>
      </w:r>
      <w:bookmarkEnd w:id="315"/>
    </w:p>
    <w:p w14:paraId="2B95FD70" w14:textId="77777777" w:rsidR="00F824FE" w:rsidRDefault="00F824FE" w:rsidP="00F326E5">
      <w:pPr>
        <w:pStyle w:val="NoSpacing"/>
        <w:rPr>
          <w:rFonts w:ascii="Arial Black" w:hAnsi="Arial Black"/>
          <w:sz w:val="40"/>
          <w:szCs w:val="40"/>
        </w:rPr>
      </w:pPr>
    </w:p>
    <w:p w14:paraId="1052C4AE" w14:textId="013AA8C9" w:rsidR="00DD03E3" w:rsidRDefault="00DD03E3">
      <w:pPr>
        <w:spacing w:after="0" w:line="240" w:lineRule="auto"/>
        <w:rPr>
          <w:rFonts w:ascii="Arial Black" w:hAnsi="Arial Black"/>
          <w:sz w:val="40"/>
          <w:szCs w:val="40"/>
        </w:rPr>
      </w:pPr>
      <w:r>
        <w:rPr>
          <w:rFonts w:ascii="Arial Black" w:hAnsi="Arial Black"/>
          <w:sz w:val="40"/>
          <w:szCs w:val="40"/>
        </w:rPr>
        <w:br w:type="page"/>
      </w:r>
    </w:p>
    <w:p w14:paraId="4269C571" w14:textId="77777777" w:rsidR="00F824FE" w:rsidRDefault="00F824FE" w:rsidP="00F326E5">
      <w:pPr>
        <w:pStyle w:val="NoSpacing"/>
        <w:rPr>
          <w:rFonts w:ascii="Arial Black" w:hAnsi="Arial Black"/>
          <w:sz w:val="40"/>
          <w:szCs w:val="40"/>
        </w:rPr>
      </w:pPr>
    </w:p>
    <w:p w14:paraId="132C1B48" w14:textId="77777777" w:rsidR="00092DAC" w:rsidRDefault="00092DAC" w:rsidP="00F326E5">
      <w:pPr>
        <w:pStyle w:val="NoSpacing"/>
        <w:rPr>
          <w:rFonts w:ascii="Arial Black" w:hAnsi="Arial Black"/>
          <w:sz w:val="40"/>
          <w:szCs w:val="40"/>
        </w:rPr>
      </w:pPr>
    </w:p>
    <w:p w14:paraId="3089C302" w14:textId="77777777" w:rsidR="00092DAC" w:rsidRDefault="00092DAC" w:rsidP="00F326E5">
      <w:pPr>
        <w:pStyle w:val="NoSpacing"/>
        <w:rPr>
          <w:rFonts w:ascii="Arial Black" w:hAnsi="Arial Black"/>
          <w:sz w:val="40"/>
          <w:szCs w:val="40"/>
        </w:rPr>
      </w:pPr>
    </w:p>
    <w:p w14:paraId="30CB340E" w14:textId="77777777" w:rsidR="00092DAC" w:rsidRDefault="00092DAC" w:rsidP="00F326E5">
      <w:pPr>
        <w:pStyle w:val="NoSpacing"/>
        <w:rPr>
          <w:rFonts w:ascii="Arial Black" w:hAnsi="Arial Black"/>
          <w:sz w:val="40"/>
          <w:szCs w:val="40"/>
        </w:rPr>
      </w:pPr>
    </w:p>
    <w:p w14:paraId="47FB9976" w14:textId="77777777" w:rsidR="00092DAC" w:rsidRDefault="00092DAC" w:rsidP="00F326E5">
      <w:pPr>
        <w:pStyle w:val="NoSpacing"/>
        <w:rPr>
          <w:rFonts w:ascii="Arial Black" w:hAnsi="Arial Black"/>
          <w:sz w:val="40"/>
          <w:szCs w:val="40"/>
        </w:rPr>
      </w:pPr>
    </w:p>
    <w:p w14:paraId="67518D0C" w14:textId="77777777" w:rsidR="00092DAC" w:rsidRDefault="00092DAC" w:rsidP="00F326E5">
      <w:pPr>
        <w:pStyle w:val="NoSpacing"/>
        <w:rPr>
          <w:rFonts w:ascii="Arial Black" w:hAnsi="Arial Black"/>
          <w:sz w:val="40"/>
          <w:szCs w:val="40"/>
        </w:rPr>
      </w:pPr>
    </w:p>
    <w:p w14:paraId="25CC1AF0" w14:textId="77777777" w:rsidR="00092DAC" w:rsidRDefault="00092DAC" w:rsidP="00F326E5">
      <w:pPr>
        <w:pStyle w:val="NoSpacing"/>
        <w:rPr>
          <w:rFonts w:ascii="Arial Black" w:hAnsi="Arial Black"/>
          <w:sz w:val="40"/>
          <w:szCs w:val="40"/>
        </w:rPr>
      </w:pPr>
    </w:p>
    <w:p w14:paraId="7C67BF0A" w14:textId="77777777" w:rsidR="00092DAC" w:rsidRDefault="00092DAC" w:rsidP="00F326E5">
      <w:pPr>
        <w:pStyle w:val="NoSpacing"/>
        <w:rPr>
          <w:rFonts w:ascii="Arial Black" w:hAnsi="Arial Black"/>
          <w:sz w:val="40"/>
          <w:szCs w:val="40"/>
        </w:rPr>
      </w:pPr>
    </w:p>
    <w:p w14:paraId="5DA33366" w14:textId="77777777" w:rsidR="00092DAC" w:rsidRDefault="00092DAC" w:rsidP="00F326E5">
      <w:pPr>
        <w:pStyle w:val="NoSpacing"/>
        <w:rPr>
          <w:rFonts w:ascii="Arial Black" w:hAnsi="Arial Black"/>
          <w:sz w:val="40"/>
          <w:szCs w:val="40"/>
        </w:rPr>
      </w:pPr>
    </w:p>
    <w:p w14:paraId="34C9B37D" w14:textId="77777777" w:rsidR="00092DAC" w:rsidRDefault="00092DAC" w:rsidP="00F326E5">
      <w:pPr>
        <w:pStyle w:val="NoSpacing"/>
        <w:rPr>
          <w:rFonts w:ascii="Arial Black" w:hAnsi="Arial Black"/>
          <w:sz w:val="40"/>
          <w:szCs w:val="40"/>
        </w:rPr>
      </w:pPr>
    </w:p>
    <w:p w14:paraId="0B385732" w14:textId="77777777" w:rsidR="00092DAC" w:rsidRDefault="00092DAC" w:rsidP="00F326E5">
      <w:pPr>
        <w:pStyle w:val="NoSpacing"/>
        <w:rPr>
          <w:rFonts w:ascii="Arial Black" w:hAnsi="Arial Black"/>
          <w:sz w:val="40"/>
          <w:szCs w:val="40"/>
        </w:rPr>
      </w:pPr>
    </w:p>
    <w:p w14:paraId="43D6431E" w14:textId="77777777" w:rsidR="00092DAC" w:rsidRDefault="00092DAC" w:rsidP="00F326E5">
      <w:pPr>
        <w:pStyle w:val="NoSpacing"/>
        <w:rPr>
          <w:rFonts w:ascii="Arial Black" w:hAnsi="Arial Black"/>
          <w:sz w:val="40"/>
          <w:szCs w:val="40"/>
        </w:rPr>
      </w:pPr>
    </w:p>
    <w:p w14:paraId="72FB5A0C" w14:textId="77777777" w:rsidR="00092DAC" w:rsidRDefault="00092DAC" w:rsidP="00F326E5">
      <w:pPr>
        <w:pStyle w:val="NoSpacing"/>
        <w:rPr>
          <w:rFonts w:ascii="Arial Black" w:hAnsi="Arial Black"/>
          <w:sz w:val="40"/>
          <w:szCs w:val="40"/>
        </w:rPr>
      </w:pPr>
    </w:p>
    <w:p w14:paraId="1C3DBE09" w14:textId="77777777" w:rsidR="00092DAC" w:rsidRDefault="00092DAC" w:rsidP="00F326E5">
      <w:pPr>
        <w:pStyle w:val="NoSpacing"/>
        <w:rPr>
          <w:rFonts w:ascii="Arial Black" w:hAnsi="Arial Black"/>
          <w:sz w:val="40"/>
          <w:szCs w:val="40"/>
        </w:rPr>
      </w:pPr>
    </w:p>
    <w:p w14:paraId="0C04F5F2" w14:textId="77777777" w:rsidR="00092DAC" w:rsidRDefault="00092DAC" w:rsidP="00F326E5">
      <w:pPr>
        <w:pStyle w:val="NoSpacing"/>
        <w:rPr>
          <w:rFonts w:ascii="Arial Black" w:hAnsi="Arial Black"/>
          <w:sz w:val="40"/>
          <w:szCs w:val="40"/>
        </w:rPr>
      </w:pPr>
    </w:p>
    <w:p w14:paraId="253DBB87" w14:textId="77777777" w:rsidR="00092DAC" w:rsidRDefault="00092DAC" w:rsidP="00F326E5">
      <w:pPr>
        <w:pStyle w:val="NoSpacing"/>
        <w:rPr>
          <w:rFonts w:ascii="Arial Black" w:hAnsi="Arial Black"/>
          <w:sz w:val="40"/>
          <w:szCs w:val="40"/>
        </w:rPr>
      </w:pPr>
    </w:p>
    <w:p w14:paraId="309895FB" w14:textId="77777777" w:rsidR="00092DAC" w:rsidRDefault="00092DAC" w:rsidP="00F326E5">
      <w:pPr>
        <w:pStyle w:val="NoSpacing"/>
        <w:rPr>
          <w:rFonts w:ascii="Arial Black" w:hAnsi="Arial Black"/>
          <w:sz w:val="40"/>
          <w:szCs w:val="40"/>
        </w:rPr>
      </w:pPr>
    </w:p>
    <w:p w14:paraId="6E3D8501" w14:textId="77777777" w:rsidR="00092DAC" w:rsidRDefault="00092DAC" w:rsidP="00F326E5">
      <w:pPr>
        <w:pStyle w:val="NoSpacing"/>
        <w:rPr>
          <w:rFonts w:ascii="Arial Black" w:hAnsi="Arial Black"/>
          <w:sz w:val="40"/>
          <w:szCs w:val="40"/>
        </w:rPr>
      </w:pPr>
    </w:p>
    <w:p w14:paraId="12182089" w14:textId="77777777" w:rsidR="00092DAC" w:rsidRDefault="00092DAC" w:rsidP="00F326E5">
      <w:pPr>
        <w:pStyle w:val="NoSpacing"/>
        <w:rPr>
          <w:rFonts w:ascii="Arial Black" w:hAnsi="Arial Black"/>
          <w:sz w:val="40"/>
          <w:szCs w:val="40"/>
        </w:rPr>
      </w:pPr>
    </w:p>
    <w:p w14:paraId="47E683CB" w14:textId="77777777" w:rsidR="00092DAC" w:rsidRDefault="00092DAC" w:rsidP="00F326E5">
      <w:pPr>
        <w:pStyle w:val="NoSpacing"/>
        <w:rPr>
          <w:rFonts w:ascii="Arial Black" w:hAnsi="Arial Black"/>
          <w:sz w:val="40"/>
          <w:szCs w:val="40"/>
        </w:rPr>
      </w:pPr>
    </w:p>
    <w:p w14:paraId="46938F3E" w14:textId="77777777" w:rsidR="00092DAC" w:rsidRDefault="00092DAC" w:rsidP="00F326E5">
      <w:pPr>
        <w:pStyle w:val="NoSpacing"/>
        <w:rPr>
          <w:rFonts w:ascii="Arial Black" w:hAnsi="Arial Black"/>
          <w:sz w:val="40"/>
          <w:szCs w:val="40"/>
        </w:rPr>
      </w:pPr>
    </w:p>
    <w:p w14:paraId="447F3864" w14:textId="77777777" w:rsidR="00092DAC" w:rsidRDefault="00092DAC" w:rsidP="00F326E5">
      <w:pPr>
        <w:pStyle w:val="NoSpacing"/>
        <w:rPr>
          <w:rFonts w:ascii="Arial Black" w:hAnsi="Arial Black"/>
          <w:sz w:val="40"/>
          <w:szCs w:val="40"/>
        </w:rPr>
      </w:pPr>
    </w:p>
    <w:p w14:paraId="1348AC9F" w14:textId="77777777" w:rsidR="00092DAC" w:rsidRDefault="00092DAC" w:rsidP="00F326E5">
      <w:pPr>
        <w:pStyle w:val="NoSpacing"/>
        <w:rPr>
          <w:rFonts w:ascii="Arial Black" w:hAnsi="Arial Black"/>
          <w:sz w:val="40"/>
          <w:szCs w:val="40"/>
        </w:rPr>
      </w:pPr>
    </w:p>
    <w:p w14:paraId="05166E51" w14:textId="77777777" w:rsidR="00092DAC" w:rsidRDefault="00092DAC" w:rsidP="00F326E5">
      <w:pPr>
        <w:pStyle w:val="NoSpacing"/>
        <w:rPr>
          <w:rFonts w:ascii="Arial Black" w:hAnsi="Arial Black"/>
          <w:sz w:val="40"/>
          <w:szCs w:val="40"/>
        </w:rPr>
      </w:pPr>
    </w:p>
    <w:p w14:paraId="40B4E3A5" w14:textId="77777777" w:rsidR="00092DAC" w:rsidRDefault="00092DAC" w:rsidP="00F326E5">
      <w:pPr>
        <w:pStyle w:val="NoSpacing"/>
        <w:rPr>
          <w:rFonts w:ascii="Arial Black" w:hAnsi="Arial Black"/>
          <w:sz w:val="40"/>
          <w:szCs w:val="40"/>
        </w:rPr>
      </w:pPr>
    </w:p>
    <w:p w14:paraId="64488E60" w14:textId="4892BEF7"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8</w:t>
      </w:r>
      <w:r w:rsidR="002B1283">
        <w:rPr>
          <w:rFonts w:ascii="Arial Black" w:hAnsi="Arial Black"/>
          <w:sz w:val="40"/>
          <w:szCs w:val="40"/>
        </w:rPr>
        <w:t xml:space="preserve"> </w:t>
      </w:r>
      <w:r w:rsidRPr="007732FA">
        <w:rPr>
          <w:rFonts w:ascii="Arial Black" w:hAnsi="Arial Black"/>
          <w:sz w:val="40"/>
          <w:szCs w:val="40"/>
        </w:rPr>
        <w:t>Race Discrimination</w:t>
      </w:r>
    </w:p>
    <w:p w14:paraId="20B09CCF" w14:textId="77777777" w:rsidR="0002742E" w:rsidRDefault="0002742E" w:rsidP="00BC70A3">
      <w:pPr>
        <w:rPr>
          <w:rFonts w:ascii="Arial Black" w:hAnsi="Arial Black"/>
          <w:b/>
          <w:sz w:val="24"/>
          <w:szCs w:val="24"/>
        </w:rPr>
      </w:pPr>
    </w:p>
    <w:p w14:paraId="03A2A792" w14:textId="6555654D" w:rsidR="009B3A7B" w:rsidRDefault="009B3A7B" w:rsidP="009B3A7B">
      <w:pPr>
        <w:rPr>
          <w:rFonts w:ascii="Arial Black" w:hAnsi="Arial Black"/>
          <w:sz w:val="28"/>
          <w:szCs w:val="28"/>
        </w:rPr>
      </w:pPr>
      <w:r>
        <w:rPr>
          <w:rFonts w:ascii="Arial Black" w:hAnsi="Arial Black"/>
          <w:b/>
          <w:sz w:val="24"/>
          <w:szCs w:val="24"/>
        </w:rPr>
        <w:t>8-89</w:t>
      </w:r>
    </w:p>
    <w:p w14:paraId="67201691" w14:textId="5C99641E" w:rsidR="00EA21DB" w:rsidRPr="001A4A62" w:rsidRDefault="00EA21DB" w:rsidP="00EA21DB">
      <w:pPr>
        <w:pStyle w:val="NoSpacing"/>
        <w:rPr>
          <w:rFonts w:ascii="Arial Black" w:hAnsi="Arial Black"/>
          <w:sz w:val="28"/>
          <w:szCs w:val="28"/>
        </w:rPr>
      </w:pPr>
      <w:r>
        <w:rPr>
          <w:rFonts w:ascii="Arial Black" w:hAnsi="Arial Black"/>
          <w:sz w:val="28"/>
          <w:szCs w:val="28"/>
        </w:rPr>
        <w:t xml:space="preserve">U.S. SUP. CT: VOTING - “RACIAL GERRYMANDERING” </w:t>
      </w:r>
    </w:p>
    <w:p w14:paraId="550E9DD4" w14:textId="77777777" w:rsidR="00EA21DB" w:rsidRDefault="00EA21DB" w:rsidP="00EA21DB">
      <w:pPr>
        <w:pStyle w:val="NoSpacing"/>
      </w:pPr>
    </w:p>
    <w:p w14:paraId="2CC9B019" w14:textId="77777777" w:rsidR="00EA21DB" w:rsidRDefault="00EA21DB" w:rsidP="00EA21DB">
      <w:pPr>
        <w:pStyle w:val="NoSpacing"/>
      </w:pPr>
      <w:r>
        <w:t xml:space="preserve">On April 29, 2026, in </w:t>
      </w:r>
      <w:r w:rsidRPr="004E1D28">
        <w:rPr>
          <w:u w:val="single"/>
        </w:rPr>
        <w:t xml:space="preserve">Louisiana v. </w:t>
      </w:r>
      <w:r>
        <w:rPr>
          <w:u w:val="single"/>
        </w:rPr>
        <w:t xml:space="preserve">Phillip </w:t>
      </w:r>
      <w:r w:rsidRPr="004E1D28">
        <w:rPr>
          <w:u w:val="single"/>
        </w:rPr>
        <w:t>Callais, et al</w:t>
      </w:r>
      <w:r>
        <w:t xml:space="preserve">., the U.S. Supreme Court held (6 to 3) that the Louisiana Legislature improperly created a second majority-black congressional voting district. It is predicted that the decision will result in a new map that likely will cost </w:t>
      </w:r>
      <w:r w:rsidRPr="00AC6148">
        <w:t>Democrats at least one seat in Congress. </w:t>
      </w:r>
    </w:p>
    <w:p w14:paraId="50758001" w14:textId="77777777" w:rsidR="00EA21DB" w:rsidRDefault="00EA21DB" w:rsidP="00EA21DB">
      <w:pPr>
        <w:pStyle w:val="NoSpacing"/>
      </w:pPr>
    </w:p>
    <w:p w14:paraId="46BC86CC" w14:textId="77777777" w:rsidR="00EA21DB" w:rsidRDefault="00EA21DB" w:rsidP="00EA21DB">
      <w:pPr>
        <w:pStyle w:val="NoSpacing"/>
      </w:pPr>
      <w:r>
        <w:t xml:space="preserve">In 2022, a federal judge in Louisiana held 5-days of hearing on a new congressional map written </w:t>
      </w:r>
    </w:p>
    <w:p w14:paraId="498C112E" w14:textId="77777777" w:rsidR="00EA21DB" w:rsidRDefault="00EA21DB" w:rsidP="00EA21DB">
      <w:pPr>
        <w:pStyle w:val="NoSpacing"/>
      </w:pPr>
      <w:r>
        <w:t xml:space="preserve">after the 2020 census.  He determined that the new map improperly kept in place only the one majority-black district [created in 1983], and ordered a new map be drawn </w:t>
      </w:r>
      <w:proofErr w:type="gramStart"/>
      <w:r>
        <w:t>per</w:t>
      </w:r>
      <w:proofErr w:type="gramEnd"/>
      <w:r>
        <w:t xml:space="preserve"> the Voting Rights Act of 1965.  The second map created a second majority-black district, which stretches “some 250 miles from Shreveport in the northwest corner of the state to Baton Rouge in southeast Louisiana, slicing through metropolitan areas to scoop up pockets of predominantly Black populations from Shreveport, Alexandria, Lafayette, and Baton Rouge.”   A three-judge court found the second map was unconstitutional “racial gerrymander.”  The U.S. Supreme Court’s six majority Justices agreed with three-judge court.  </w:t>
      </w:r>
      <w:hyperlink r:id="rId1428" w:history="1">
        <w:r w:rsidRPr="00A02756">
          <w:rPr>
            <w:rStyle w:val="Hyperlink"/>
          </w:rPr>
          <w:t>https://www.supremecourt.gov/opinions/25pdf/24-109_21o3.pdf</w:t>
        </w:r>
      </w:hyperlink>
      <w:r>
        <w:t xml:space="preserve"> </w:t>
      </w:r>
    </w:p>
    <w:p w14:paraId="1D7C0015" w14:textId="77777777" w:rsidR="00EA21DB" w:rsidRDefault="00EA21DB" w:rsidP="00EA21DB">
      <w:pPr>
        <w:pStyle w:val="NoSpacing"/>
      </w:pPr>
    </w:p>
    <w:p w14:paraId="391BEE76" w14:textId="77777777" w:rsidR="00EA21DB" w:rsidRDefault="00EA21DB" w:rsidP="00EA21DB">
      <w:pPr>
        <w:pStyle w:val="NoSpacing"/>
      </w:pPr>
    </w:p>
    <w:p w14:paraId="7F97ED9E" w14:textId="77777777" w:rsidR="00EA21DB" w:rsidRDefault="00EA21DB" w:rsidP="00EA21DB">
      <w:pPr>
        <w:pStyle w:val="NoSpacing"/>
      </w:pPr>
      <w:r>
        <w:t>THE COURT HELD: (opinion by Justice Samuel Alito):</w:t>
      </w:r>
    </w:p>
    <w:p w14:paraId="0283D4EB" w14:textId="77777777" w:rsidR="00EA21DB" w:rsidRDefault="00EA21DB" w:rsidP="00EA21DB">
      <w:pPr>
        <w:pStyle w:val="NoSpacing"/>
      </w:pPr>
    </w:p>
    <w:p w14:paraId="168BDB12" w14:textId="77777777" w:rsidR="00EA21DB" w:rsidRDefault="00EA21DB" w:rsidP="00EA21DB">
      <w:pPr>
        <w:pStyle w:val="NoSpacing"/>
        <w:ind w:left="720"/>
      </w:pPr>
      <w:r>
        <w:t xml:space="preserve">“Section 2 of the Voting Rights Act of 1965, 52 U. S. C. §10301 et seq., was designed to enforce the Constitution— not collide with it. Unfortunately, lower courts have </w:t>
      </w:r>
    </w:p>
    <w:p w14:paraId="0E5FEEA7" w14:textId="77777777" w:rsidR="00EA21DB" w:rsidRDefault="00EA21DB" w:rsidP="00EA21DB">
      <w:pPr>
        <w:pStyle w:val="NoSpacing"/>
        <w:ind w:left="720"/>
      </w:pPr>
      <w:r>
        <w:t>sometimes applied this Court’s §2 precedents in a way that forces States to engage in the very race-based discrimination that the Constitution forbids…. {A]</w:t>
      </w:r>
      <w:proofErr w:type="spellStart"/>
      <w:r>
        <w:t>llowing</w:t>
      </w:r>
      <w:proofErr w:type="spellEnd"/>
      <w:r>
        <w:t xml:space="preserve"> race to play any part in government decision making represents a departure from the constitutional rule that applies in almost every other context…. Compliance with §2 [of Voting Rights Act] thus could not justify the State’s use of race-based redistricting here. The State’s attempt to satisfy the [federal judge’s] ruling, although understandable, was an unconstitutional racial gerrymander….” </w:t>
      </w:r>
      <w:hyperlink r:id="rId1429" w:history="1">
        <w:r w:rsidRPr="00A02756">
          <w:rPr>
            <w:rStyle w:val="Hyperlink"/>
          </w:rPr>
          <w:t>https://www.supremecourt.gov/opinions/25pdf/24-109_21o3.pdf</w:t>
        </w:r>
      </w:hyperlink>
      <w:r>
        <w:t xml:space="preserve"> </w:t>
      </w:r>
    </w:p>
    <w:p w14:paraId="11532E20" w14:textId="77777777" w:rsidR="00EA21DB" w:rsidRDefault="00EA21DB" w:rsidP="00EA21DB">
      <w:pPr>
        <w:pStyle w:val="NoSpacing"/>
      </w:pPr>
    </w:p>
    <w:p w14:paraId="3F1D309B" w14:textId="77777777" w:rsidR="00EA21DB" w:rsidRDefault="00EA21DB" w:rsidP="00EA21DB">
      <w:pPr>
        <w:pStyle w:val="NoSpacing"/>
      </w:pPr>
    </w:p>
    <w:p w14:paraId="5DDE7FE0" w14:textId="77777777" w:rsidR="00EA21DB" w:rsidRDefault="00EA21DB" w:rsidP="00EA21DB">
      <w:pPr>
        <w:pStyle w:val="NoSpacing"/>
      </w:pPr>
      <w:r>
        <w:t xml:space="preserve">JUSTICE THOMAS [Concurring opinion]: </w:t>
      </w:r>
    </w:p>
    <w:p w14:paraId="3BDC9ED9" w14:textId="77777777" w:rsidR="00EA21DB" w:rsidRDefault="00EA21DB" w:rsidP="00EA21DB">
      <w:pPr>
        <w:pStyle w:val="NoSpacing"/>
        <w:ind w:left="720"/>
      </w:pPr>
    </w:p>
    <w:p w14:paraId="19C6C8F2" w14:textId="77777777" w:rsidR="00EA21DB" w:rsidRDefault="00EA21DB" w:rsidP="00EA21DB">
      <w:pPr>
        <w:pStyle w:val="NoSpacing"/>
        <w:ind w:left="720"/>
      </w:pPr>
      <w:r>
        <w:t xml:space="preserve">“I join the Court’s opinion in full. This Court should never have interpreted §2 of the Voting Rights Act of 1965 to effectively give racial groups ‘an entitlement to roughly proportional representation.’….   Today’s decision </w:t>
      </w:r>
      <w:proofErr w:type="gramStart"/>
      <w:r>
        <w:t>should largely</w:t>
      </w:r>
      <w:proofErr w:type="gramEnd"/>
      <w:r>
        <w:t xml:space="preserve"> put an end to this</w:t>
      </w:r>
    </w:p>
    <w:p w14:paraId="7A17A4C8" w14:textId="77777777" w:rsidR="00EA21DB" w:rsidRDefault="00EA21DB" w:rsidP="00EA21DB">
      <w:pPr>
        <w:pStyle w:val="NoSpacing"/>
        <w:ind w:left="720"/>
      </w:pPr>
      <w:r>
        <w:t>“</w:t>
      </w:r>
      <w:proofErr w:type="gramStart"/>
      <w:r>
        <w:t>disastrous</w:t>
      </w:r>
      <w:proofErr w:type="gramEnd"/>
      <w:r>
        <w:t xml:space="preserve"> misadventure” in voting-rights jurisprudence…. As I explained more than 30 years ago, I would go further and hold that §2 of the Voting Rights Act does not regulate districting at all.”</w:t>
      </w:r>
    </w:p>
    <w:p w14:paraId="781987AF" w14:textId="77777777" w:rsidR="00EA21DB" w:rsidRDefault="00EA21DB" w:rsidP="00EA21DB">
      <w:pPr>
        <w:pStyle w:val="NoSpacing"/>
      </w:pPr>
    </w:p>
    <w:p w14:paraId="06774EAC" w14:textId="77777777" w:rsidR="00EA21DB" w:rsidRDefault="00EA21DB" w:rsidP="00EA21DB">
      <w:pPr>
        <w:pStyle w:val="NoSpacing"/>
      </w:pPr>
      <w:r>
        <w:t xml:space="preserve">DISSENT [opinion by Justice Elena Kagan]:  </w:t>
      </w:r>
    </w:p>
    <w:p w14:paraId="2A11C6F8" w14:textId="77777777" w:rsidR="00EA21DB" w:rsidRDefault="00EA21DB" w:rsidP="00EA21DB">
      <w:pPr>
        <w:pStyle w:val="NoSpacing"/>
      </w:pPr>
    </w:p>
    <w:p w14:paraId="070AF190" w14:textId="77777777" w:rsidR="00EA21DB" w:rsidRDefault="00EA21DB" w:rsidP="00EA21DB">
      <w:pPr>
        <w:pStyle w:val="NoSpacing"/>
        <w:ind w:left="720"/>
      </w:pPr>
      <w:r>
        <w:t xml:space="preserve">“The State’s District 2 has had a Black majority since 1983, when a vote-dilution suit forced its creation. If Louisiana were tomorrow to slice up District 2, dispersing its Black residents among the rest, it is hard to see how the now judicially amended Section 2 could stand in the way. The State presumably would assert as its ‘political goal’ an </w:t>
      </w:r>
    </w:p>
    <w:p w14:paraId="49E1D024" w14:textId="77777777" w:rsidR="00EA21DB" w:rsidRDefault="00EA21DB" w:rsidP="00EA21DB">
      <w:pPr>
        <w:pStyle w:val="NoSpacing"/>
        <w:ind w:left="720"/>
      </w:pPr>
      <w:r>
        <w:t>all-Republican congressional delegation; in other words, it would announce a partisan gerrymander….  And because of the severe racial polarization in the State, that</w:t>
      </w:r>
    </w:p>
    <w:p w14:paraId="76FAE312" w14:textId="77777777" w:rsidR="00EA21DB" w:rsidRDefault="00EA21DB" w:rsidP="00EA21DB">
      <w:pPr>
        <w:pStyle w:val="NoSpacing"/>
        <w:ind w:left="720"/>
      </w:pPr>
      <w:r>
        <w:t xml:space="preserve">goal would be incompatible with maintaining District 2 as is. So those advocating for its majority-minority composition would almost surely lose at the first </w:t>
      </w:r>
      <w:r w:rsidRPr="00F729DF">
        <w:rPr>
          <w:i/>
          <w:iCs/>
        </w:rPr>
        <w:t>Callais</w:t>
      </w:r>
      <w:r>
        <w:t xml:space="preserve"> requirement (and, as above, at the others as well). </w:t>
      </w:r>
      <w:r>
        <w:lastRenderedPageBreak/>
        <w:t>Repeated often enough across the country, the same districting practice— really, hinging only on the partisan ambitions (or restraint) of state legislatures—could destroy most of the majority- minority districts that in the past 40 years the Voting Rights Act created.”</w:t>
      </w:r>
    </w:p>
    <w:p w14:paraId="11E61C42" w14:textId="77777777" w:rsidR="00EA21DB" w:rsidRDefault="00EA21DB" w:rsidP="00EA21DB">
      <w:pPr>
        <w:pStyle w:val="NoSpacing"/>
        <w:ind w:left="720"/>
      </w:pPr>
    </w:p>
    <w:p w14:paraId="43D6C70D" w14:textId="77777777" w:rsidR="00EA21DB" w:rsidRPr="00E04FBC" w:rsidRDefault="00EA21DB" w:rsidP="00EA21DB">
      <w:pPr>
        <w:rPr>
          <w:b/>
          <w:bCs/>
        </w:rPr>
      </w:pPr>
      <w:r w:rsidRPr="001C33AB">
        <w:rPr>
          <w:b/>
        </w:rPr>
        <w:t xml:space="preserve">Legal lesson learned: </w:t>
      </w:r>
      <w:r>
        <w:rPr>
          <w:b/>
        </w:rPr>
        <w:t xml:space="preserve"> This is a “landmark” decision, with lots of potential political impact.  </w:t>
      </w:r>
    </w:p>
    <w:p w14:paraId="4DE862B8" w14:textId="77777777" w:rsidR="00EA21DB" w:rsidRDefault="00EA21DB" w:rsidP="00BC70A3">
      <w:pPr>
        <w:rPr>
          <w:rFonts w:ascii="Arial Black" w:hAnsi="Arial Black"/>
          <w:b/>
          <w:sz w:val="24"/>
          <w:szCs w:val="24"/>
        </w:rPr>
      </w:pPr>
    </w:p>
    <w:p w14:paraId="2AD73CEC" w14:textId="726098F9" w:rsidR="007A3239" w:rsidRDefault="007A3239" w:rsidP="00456C91">
      <w:pPr>
        <w:rPr>
          <w:rFonts w:ascii="Arial Black" w:hAnsi="Arial Black"/>
          <w:b/>
          <w:sz w:val="24"/>
          <w:szCs w:val="24"/>
        </w:rPr>
      </w:pPr>
      <w:r>
        <w:rPr>
          <w:rFonts w:ascii="Arial Black" w:hAnsi="Arial Black"/>
          <w:b/>
          <w:sz w:val="24"/>
          <w:szCs w:val="24"/>
        </w:rPr>
        <w:t>8-88</w:t>
      </w:r>
    </w:p>
    <w:p w14:paraId="4ACD4B84" w14:textId="77777777" w:rsidR="008626B6" w:rsidRPr="000A0D97" w:rsidRDefault="008626B6" w:rsidP="008626B6">
      <w:pPr>
        <w:pStyle w:val="NoSpacing"/>
        <w:rPr>
          <w:rFonts w:ascii="Arial Black" w:hAnsi="Arial Black"/>
          <w:sz w:val="28"/>
          <w:szCs w:val="28"/>
        </w:rPr>
      </w:pPr>
      <w:r>
        <w:rPr>
          <w:rFonts w:ascii="Arial Black" w:hAnsi="Arial Black"/>
          <w:sz w:val="28"/>
          <w:szCs w:val="28"/>
        </w:rPr>
        <w:t>OH: WHITE CAPT – No.1 LIST - NOT PROMOTED D/C TWICE</w:t>
      </w:r>
    </w:p>
    <w:p w14:paraId="40D6E9B5" w14:textId="77777777" w:rsidR="008626B6" w:rsidRDefault="008626B6" w:rsidP="008626B6">
      <w:pPr>
        <w:pStyle w:val="NoSpacing"/>
      </w:pPr>
    </w:p>
    <w:p w14:paraId="0FD0AE08" w14:textId="77777777" w:rsidR="008626B6" w:rsidRDefault="008626B6" w:rsidP="008626B6">
      <w:pPr>
        <w:pStyle w:val="NoSpacing"/>
      </w:pPr>
      <w:r>
        <w:t xml:space="preserve">On December 29, 2025, in </w:t>
      </w:r>
      <w:r w:rsidRPr="00B92028">
        <w:rPr>
          <w:u w:val="single"/>
        </w:rPr>
        <w:t>Michael Haas v. City of Akron, et al</w:t>
      </w:r>
      <w:r>
        <w:t xml:space="preserve">., U.S. District Court Judge . Philip Calabrese, United States District Court for the Northern District of Ohio, Eastern Division, held that individual defendants, including the Fire Chief cannot be individually sued for </w:t>
      </w:r>
      <w:r w:rsidRPr="009806C0">
        <w:t xml:space="preserve">conspiracy </w:t>
      </w:r>
      <w:r>
        <w:t xml:space="preserve">to deny him promotion.  Case may now proceed </w:t>
      </w:r>
      <w:proofErr w:type="gramStart"/>
      <w:r>
        <w:t>to</w:t>
      </w:r>
      <w:proofErr w:type="gramEnd"/>
      <w:r>
        <w:t xml:space="preserve"> pretrial discovery against the </w:t>
      </w:r>
      <w:proofErr w:type="gramStart"/>
      <w:r>
        <w:t>City</w:t>
      </w:r>
      <w:proofErr w:type="gramEnd"/>
      <w:r>
        <w:t xml:space="preserve">. In April 2024, he was ranked first of six candidates for District Chief.  </w:t>
      </w:r>
      <w:proofErr w:type="gramStart"/>
      <w:r>
        <w:t>August,</w:t>
      </w:r>
      <w:proofErr w:type="gramEnd"/>
      <w:r>
        <w:t xml:space="preserve"> 2024 a black female (ranked No. 5 on list) was promoted (using the “Rule of five) to District Chief; and in </w:t>
      </w:r>
      <w:r w:rsidRPr="00C159C1">
        <w:t>September 2024, Haas filed a charge of discrimination with the Equal Employment Opportunity Commission</w:t>
      </w:r>
      <w:r>
        <w:t>.  I</w:t>
      </w:r>
      <w:r w:rsidRPr="004D6CA4">
        <w:t xml:space="preserve">n March 2025, another District Chief retired, and the position was left vacant. The next month, Local 330 urged </w:t>
      </w:r>
      <w:r>
        <w:t xml:space="preserve">the Fire Chief </w:t>
      </w:r>
      <w:r w:rsidRPr="004D6CA4">
        <w:t>to fill the position using the 2024 promotional list, which ranked</w:t>
      </w:r>
      <w:r>
        <w:t xml:space="preserve"> </w:t>
      </w:r>
      <w:r w:rsidRPr="004D6CA4">
        <w:t>Haas as the top candidate</w:t>
      </w:r>
      <w:r>
        <w:t xml:space="preserve">, but the Chief </w:t>
      </w:r>
      <w:r w:rsidRPr="004D6CA4">
        <w:t xml:space="preserve">denied Local 330's grievance and refused to promote Mr. Haas to the open position. </w:t>
      </w:r>
      <w:hyperlink r:id="rId1430" w:history="1">
        <w:r w:rsidRPr="00091B3B">
          <w:rPr>
            <w:rStyle w:val="Hyperlink"/>
          </w:rPr>
          <w:t>https://cases.justia.com/federal/district-courts/ohio/ohndce/5:2025cv00885/316724/27/0.pdf?ts=1767103886</w:t>
        </w:r>
      </w:hyperlink>
      <w:r>
        <w:t xml:space="preserve"> </w:t>
      </w:r>
    </w:p>
    <w:p w14:paraId="53B12440" w14:textId="77777777" w:rsidR="008626B6" w:rsidRDefault="008626B6" w:rsidP="008626B6">
      <w:pPr>
        <w:pStyle w:val="NoSpacing"/>
      </w:pPr>
    </w:p>
    <w:p w14:paraId="4DC87FB2" w14:textId="77777777" w:rsidR="008626B6" w:rsidRDefault="008626B6" w:rsidP="008626B6">
      <w:pPr>
        <w:pStyle w:val="NoSpacing"/>
        <w:rPr>
          <w:b/>
        </w:rPr>
      </w:pPr>
      <w:r>
        <w:t>THE COURT HELD:</w:t>
      </w:r>
    </w:p>
    <w:p w14:paraId="1FD79E57" w14:textId="77777777" w:rsidR="008626B6" w:rsidRDefault="008626B6" w:rsidP="008626B6">
      <w:pPr>
        <w:pStyle w:val="NoSpacing"/>
      </w:pPr>
    </w:p>
    <w:p w14:paraId="2DE23ECE" w14:textId="77777777" w:rsidR="008626B6" w:rsidRDefault="008626B6" w:rsidP="008626B6">
      <w:pPr>
        <w:pStyle w:val="NoSpacing"/>
        <w:ind w:left="720"/>
      </w:pPr>
      <w:r>
        <w:t>“</w:t>
      </w:r>
      <w:r w:rsidRPr="00BE7DD9">
        <w:t>Plaintiff Michael Haas is a white male who became a firefighter for the City of Akron, Ohio in July 1997</w:t>
      </w:r>
      <w:r>
        <w:t xml:space="preserve">…. </w:t>
      </w:r>
      <w:r w:rsidRPr="00BE7DD9">
        <w:t>From 2017 to 2024, Mr. Haas served as Akron's Captain of Fire Prevention and Fire Training and Safety Officer</w:t>
      </w:r>
      <w:r>
        <w:t>….</w:t>
      </w:r>
      <w:r w:rsidRPr="00BE7DD9">
        <w:t>From 2021 to 2023, Mr. Haas also served as Provisional Chief in Fire Training and in Fire Prevention</w:t>
      </w:r>
      <w:r>
        <w:t>….</w:t>
      </w:r>
      <w:r w:rsidRPr="00BE7DD9">
        <w:t>In 2024, at the age of 57, Mr. Haas participated in Akron's promotional process for consideration for a recently opened District Chief position</w:t>
      </w:r>
      <w:r>
        <w:t>….</w:t>
      </w:r>
      <w:r w:rsidRPr="00BE7DD9">
        <w:t>In April 2024, Mr. Haas was ranked first of six potential candidates for the position</w:t>
      </w:r>
      <w:r>
        <w:t>….</w:t>
      </w:r>
      <w:r w:rsidRPr="00BE7DD9">
        <w:t xml:space="preserve"> Before this ranking, Mr. Haas had no disciplinary history.</w:t>
      </w:r>
    </w:p>
    <w:p w14:paraId="5B903E73" w14:textId="77777777" w:rsidR="008626B6" w:rsidRDefault="008626B6" w:rsidP="008626B6">
      <w:pPr>
        <w:pStyle w:val="NoSpacing"/>
        <w:ind w:left="720"/>
      </w:pPr>
    </w:p>
    <w:p w14:paraId="47B8A4E8" w14:textId="77777777" w:rsidR="008626B6" w:rsidRDefault="008626B6" w:rsidP="008626B6">
      <w:pPr>
        <w:pStyle w:val="NoSpacing"/>
        <w:ind w:left="720"/>
      </w:pPr>
      <w:r>
        <w:t>***</w:t>
      </w:r>
    </w:p>
    <w:p w14:paraId="119B3E09" w14:textId="77777777" w:rsidR="008626B6" w:rsidRDefault="008626B6" w:rsidP="008626B6">
      <w:pPr>
        <w:ind w:left="720"/>
        <w:rPr>
          <w:bCs/>
        </w:rPr>
      </w:pPr>
      <w:r w:rsidRPr="00951C21">
        <w:t xml:space="preserve">At all relevant times, Defendant Leon Henderson, an African American man, served as the acting Fire Chief for the City of Akron. </w:t>
      </w:r>
    </w:p>
    <w:p w14:paraId="0BA7AC60" w14:textId="77777777" w:rsidR="008626B6" w:rsidRDefault="008626B6" w:rsidP="008626B6">
      <w:pPr>
        <w:ind w:left="720"/>
        <w:rPr>
          <w:bCs/>
        </w:rPr>
      </w:pPr>
      <w:r>
        <w:t>***</w:t>
      </w:r>
    </w:p>
    <w:p w14:paraId="3A8C8ED4" w14:textId="77777777" w:rsidR="008626B6" w:rsidRPr="00BA60D7" w:rsidRDefault="008626B6" w:rsidP="008626B6">
      <w:pPr>
        <w:pStyle w:val="NoSpacing"/>
        <w:ind w:left="720"/>
        <w:rPr>
          <w:bCs/>
        </w:rPr>
      </w:pPr>
      <w:r w:rsidRPr="00BA60D7">
        <w:t xml:space="preserve">Following the promotion of </w:t>
      </w:r>
      <w:r>
        <w:t>[</w:t>
      </w:r>
      <w:proofErr w:type="spellStart"/>
      <w:r w:rsidRPr="003B5000">
        <w:t>Sierjie</w:t>
      </w:r>
      <w:proofErr w:type="spellEnd"/>
      <w:r>
        <w:t xml:space="preserve">] </w:t>
      </w:r>
      <w:r w:rsidRPr="00BA60D7">
        <w:t>Lash</w:t>
      </w:r>
      <w:r>
        <w:t xml:space="preserve"> [ranked 5</w:t>
      </w:r>
      <w:r w:rsidRPr="00296663">
        <w:rPr>
          <w:vertAlign w:val="superscript"/>
        </w:rPr>
        <w:t>th</w:t>
      </w:r>
      <w:r>
        <w:t xml:space="preserve"> on list]</w:t>
      </w:r>
      <w:r w:rsidRPr="00BA60D7">
        <w:t xml:space="preserve"> to District Chief in August 2024, retaliatory</w:t>
      </w:r>
      <w:r>
        <w:t xml:space="preserve"> </w:t>
      </w:r>
      <w:r w:rsidRPr="00BA60D7">
        <w:t>actions were taken against Mr. Haas</w:t>
      </w:r>
      <w:r>
        <w:t>….</w:t>
      </w:r>
      <w:r w:rsidRPr="00BA60D7">
        <w:t>When he learned</w:t>
      </w:r>
    </w:p>
    <w:p w14:paraId="3D503E72" w14:textId="77777777" w:rsidR="008626B6" w:rsidRPr="00BA60D7" w:rsidRDefault="008626B6" w:rsidP="008626B6">
      <w:pPr>
        <w:pStyle w:val="NoSpacing"/>
        <w:ind w:firstLine="720"/>
        <w:rPr>
          <w:bCs/>
        </w:rPr>
      </w:pPr>
      <w:r w:rsidRPr="00BA60D7">
        <w:t xml:space="preserve">about Lash’s promotion, Mr. Haas complained to </w:t>
      </w:r>
      <w:r>
        <w:t xml:space="preserve">[Chief] </w:t>
      </w:r>
      <w:r w:rsidRPr="00BA60D7">
        <w:t>Henderson that the promotion</w:t>
      </w:r>
    </w:p>
    <w:p w14:paraId="4A7876AD" w14:textId="77777777" w:rsidR="008626B6" w:rsidRPr="00BA60D7" w:rsidRDefault="008626B6" w:rsidP="008626B6">
      <w:pPr>
        <w:pStyle w:val="NoSpacing"/>
        <w:ind w:left="720"/>
        <w:rPr>
          <w:bCs/>
        </w:rPr>
      </w:pPr>
      <w:r w:rsidRPr="00BA60D7">
        <w:t>was discriminatory</w:t>
      </w:r>
      <w:r>
        <w:t>….</w:t>
      </w:r>
      <w:r w:rsidRPr="00BA60D7">
        <w:t xml:space="preserve"> </w:t>
      </w:r>
      <w:r>
        <w:t xml:space="preserve">[Plaintiff alleged that Chief] </w:t>
      </w:r>
      <w:r w:rsidRPr="00BA60D7">
        <w:t>Henderson failed to document,</w:t>
      </w:r>
      <w:r>
        <w:t xml:space="preserve"> </w:t>
      </w:r>
      <w:r w:rsidRPr="00BA60D7">
        <w:t>investigate, and report this complaint to upper management or human resources, in</w:t>
      </w:r>
    </w:p>
    <w:p w14:paraId="0A6DADD5" w14:textId="77777777" w:rsidR="008626B6" w:rsidRDefault="008626B6" w:rsidP="008626B6">
      <w:pPr>
        <w:pStyle w:val="NoSpacing"/>
        <w:ind w:firstLine="720"/>
        <w:rPr>
          <w:bCs/>
        </w:rPr>
      </w:pPr>
      <w:r w:rsidRPr="00BA60D7">
        <w:t>violation of Akron’s policies</w:t>
      </w:r>
      <w:r>
        <w:t xml:space="preserve">…. </w:t>
      </w:r>
    </w:p>
    <w:p w14:paraId="2CB275D5" w14:textId="77777777" w:rsidR="008626B6" w:rsidRDefault="008626B6" w:rsidP="008626B6">
      <w:pPr>
        <w:pStyle w:val="NoSpacing"/>
        <w:ind w:firstLine="720"/>
        <w:rPr>
          <w:bCs/>
        </w:rPr>
      </w:pPr>
    </w:p>
    <w:p w14:paraId="555F41B9" w14:textId="77777777" w:rsidR="008626B6" w:rsidRDefault="008626B6" w:rsidP="008626B6">
      <w:pPr>
        <w:pStyle w:val="NoSpacing"/>
        <w:ind w:firstLine="720"/>
        <w:rPr>
          <w:bCs/>
        </w:rPr>
      </w:pPr>
      <w:r>
        <w:t>***</w:t>
      </w:r>
    </w:p>
    <w:p w14:paraId="42692BC6" w14:textId="77777777" w:rsidR="008626B6" w:rsidRDefault="008626B6" w:rsidP="008626B6">
      <w:pPr>
        <w:ind w:left="720"/>
        <w:rPr>
          <w:bCs/>
        </w:rPr>
      </w:pPr>
      <w:r w:rsidRPr="00C159C1">
        <w:t>The next month in September 2024, Mr. Haas filed a charge of discrimination with the Equal Employment Opportunity Commission and sent a second complaint of discrimination to Mr. Henderson</w:t>
      </w:r>
      <w:r>
        <w:t>….</w:t>
      </w:r>
      <w:r w:rsidRPr="00C159C1">
        <w:t>Later that same day, Mr. Henderson added Mr. Haas to the August 2024 transfer list</w:t>
      </w:r>
      <w:r>
        <w:t>….</w:t>
      </w:r>
      <w:r w:rsidRPr="00C159C1">
        <w:t xml:space="preserve"> Mr. Haas was transferred </w:t>
      </w:r>
      <w:r>
        <w:t xml:space="preserve">[from </w:t>
      </w:r>
      <w:r w:rsidRPr="00BE7DD9">
        <w:t>Captain of Fire Prevention and Fire Training and Safety Officer</w:t>
      </w:r>
      <w:r>
        <w:t xml:space="preserve">] </w:t>
      </w:r>
      <w:r w:rsidRPr="00C159C1">
        <w:t xml:space="preserve">to a </w:t>
      </w:r>
      <w:r>
        <w:t>‘</w:t>
      </w:r>
      <w:r w:rsidRPr="00C159C1">
        <w:t>48-hour position on the line</w:t>
      </w:r>
      <w:r>
        <w:t>’</w:t>
      </w:r>
      <w:r w:rsidRPr="00C159C1">
        <w:t xml:space="preserve"> which required him to work 24-hour shifts</w:t>
      </w:r>
      <w:r>
        <w:t>….</w:t>
      </w:r>
      <w:r w:rsidRPr="00C159C1">
        <w:t xml:space="preserve">According to Mr. Haas, </w:t>
      </w:r>
      <w:r>
        <w:t>‘</w:t>
      </w:r>
      <w:r w:rsidRPr="00C159C1">
        <w:t>[n]o other Captain . . . has been transferred to a 48-hour position without first either requesting it or as a result of discipline.</w:t>
      </w:r>
      <w:r>
        <w:t>’</w:t>
      </w:r>
    </w:p>
    <w:p w14:paraId="57C13567" w14:textId="77777777" w:rsidR="008626B6" w:rsidRDefault="008626B6" w:rsidP="008626B6">
      <w:pPr>
        <w:ind w:left="720"/>
        <w:rPr>
          <w:bCs/>
        </w:rPr>
      </w:pPr>
      <w:r>
        <w:lastRenderedPageBreak/>
        <w:t>***</w:t>
      </w:r>
    </w:p>
    <w:p w14:paraId="2A2A8E88" w14:textId="77777777" w:rsidR="008626B6" w:rsidRDefault="008626B6" w:rsidP="008626B6">
      <w:pPr>
        <w:pStyle w:val="NoSpacing"/>
        <w:ind w:left="720"/>
        <w:rPr>
          <w:bCs/>
        </w:rPr>
      </w:pPr>
      <w:r w:rsidRPr="00606539">
        <w:t xml:space="preserve">Under the law of this Circuit, </w:t>
      </w:r>
      <w:proofErr w:type="spellStart"/>
      <w:r w:rsidRPr="00606539">
        <w:t>intracorporate</w:t>
      </w:r>
      <w:proofErr w:type="spellEnd"/>
      <w:r w:rsidRPr="00606539">
        <w:t xml:space="preserve"> conspiracy doctrine applies</w:t>
      </w:r>
      <w:r>
        <w:t xml:space="preserve"> </w:t>
      </w:r>
      <w:r w:rsidRPr="00606539">
        <w:t>where individuals were employed in different departments. Hull, 926 F.2d at 510</w:t>
      </w:r>
      <w:r>
        <w:t xml:space="preserve"> </w:t>
      </w:r>
      <w:r w:rsidRPr="00606539">
        <w:t>(holding that a school’s superintendent, executive director, and administrator could</w:t>
      </w:r>
      <w:r>
        <w:t xml:space="preserve"> </w:t>
      </w:r>
      <w:r w:rsidRPr="00606539">
        <w:t xml:space="preserve">not conspire because they were all </w:t>
      </w:r>
      <w:r>
        <w:t>‘</w:t>
      </w:r>
      <w:r w:rsidRPr="00606539">
        <w:t>employees or agents of the [school] Board</w:t>
      </w:r>
      <w:r>
        <w:t>’</w:t>
      </w:r>
      <w:r w:rsidRPr="00606539">
        <w:t>); Upton</w:t>
      </w:r>
      <w:r>
        <w:t xml:space="preserve"> </w:t>
      </w:r>
      <w:r w:rsidRPr="00606539">
        <w:t xml:space="preserve">v. City of Royal Oak, 492 F. </w:t>
      </w:r>
      <w:proofErr w:type="spellStart"/>
      <w:r w:rsidRPr="00606539">
        <w:t>App'x</w:t>
      </w:r>
      <w:proofErr w:type="spellEnd"/>
      <w:r w:rsidRPr="00606539">
        <w:t xml:space="preserve"> 492, 493 n.1 (6th Cir. 2012) (holding that the</w:t>
      </w:r>
      <w:r>
        <w:t xml:space="preserve"> </w:t>
      </w:r>
      <w:proofErr w:type="spellStart"/>
      <w:r w:rsidRPr="00606539">
        <w:t>intracorporate</w:t>
      </w:r>
      <w:proofErr w:type="spellEnd"/>
      <w:r w:rsidRPr="00606539">
        <w:t xml:space="preserve"> conspiracy doctrine prevented a firefighter from bringing Section</w:t>
      </w:r>
      <w:r>
        <w:t xml:space="preserve"> </w:t>
      </w:r>
      <w:r w:rsidRPr="00606539">
        <w:t>1985(3) action against the mayor, city manager, assistant city attorney, and director</w:t>
      </w:r>
      <w:r>
        <w:t xml:space="preserve"> </w:t>
      </w:r>
      <w:r w:rsidRPr="00606539">
        <w:t>of human resources). What matters is that the individual Defendants are “members</w:t>
      </w:r>
      <w:r>
        <w:t xml:space="preserve"> </w:t>
      </w:r>
      <w:r w:rsidRPr="00606539">
        <w:t>of the same collective entity.” Hull, 926 F.2d at 510. Such is the case here, and each</w:t>
      </w:r>
      <w:r>
        <w:t xml:space="preserve"> </w:t>
      </w:r>
      <w:r w:rsidRPr="00606539">
        <w:t>participated in the promotional process about which Plaintiff complains as employees</w:t>
      </w:r>
      <w:r>
        <w:t xml:space="preserve"> </w:t>
      </w:r>
      <w:r w:rsidRPr="00606539">
        <w:t>or agents of the City of Akron</w:t>
      </w:r>
      <w:r>
        <w:t xml:space="preserve">…. </w:t>
      </w:r>
      <w:r w:rsidRPr="001C0C11">
        <w:t xml:space="preserve">For these reasons, the </w:t>
      </w:r>
      <w:proofErr w:type="spellStart"/>
      <w:r w:rsidRPr="001C0C11">
        <w:t>intracorporate</w:t>
      </w:r>
      <w:proofErr w:type="spellEnd"/>
      <w:r w:rsidRPr="001C0C11">
        <w:t xml:space="preserve"> conspiracy doctrine bars Mr. Hass’s civil</w:t>
      </w:r>
      <w:r>
        <w:t xml:space="preserve"> </w:t>
      </w:r>
      <w:r w:rsidRPr="001C0C11">
        <w:t>conspiracy claim under Section 1985(3) against the individual Defendants.</w:t>
      </w:r>
      <w:r>
        <w:t>”</w:t>
      </w:r>
    </w:p>
    <w:p w14:paraId="3DAAB047" w14:textId="77777777" w:rsidR="008626B6" w:rsidRDefault="008626B6" w:rsidP="008626B6">
      <w:pPr>
        <w:pStyle w:val="NoSpacing"/>
        <w:ind w:left="720"/>
        <w:rPr>
          <w:bCs/>
        </w:rPr>
      </w:pPr>
    </w:p>
    <w:p w14:paraId="58396876" w14:textId="77777777" w:rsidR="008626B6" w:rsidRPr="0092040A" w:rsidRDefault="008626B6" w:rsidP="008626B6">
      <w:pPr>
        <w:pStyle w:val="NoSpacing"/>
        <w:rPr>
          <w:b/>
        </w:rPr>
      </w:pPr>
      <w:r>
        <w:rPr>
          <w:b/>
        </w:rPr>
        <w:t>Legal lesson learned:  Race discrimination case by white officer may now proceed to pre-trial discovery.</w:t>
      </w:r>
    </w:p>
    <w:p w14:paraId="2D695A73" w14:textId="77777777" w:rsidR="008626B6" w:rsidRPr="00951C21" w:rsidRDefault="008626B6" w:rsidP="008626B6">
      <w:pPr>
        <w:ind w:left="720"/>
        <w:rPr>
          <w:bCs/>
        </w:rPr>
      </w:pPr>
    </w:p>
    <w:p w14:paraId="3DBFB09D" w14:textId="77777777" w:rsidR="008626B6" w:rsidRDefault="008626B6" w:rsidP="008626B6">
      <w:pPr>
        <w:pStyle w:val="NoSpacing"/>
        <w:rPr>
          <w:b/>
          <w:bCs/>
        </w:rPr>
      </w:pPr>
    </w:p>
    <w:p w14:paraId="6F1B729A" w14:textId="77777777" w:rsidR="007A3239" w:rsidRDefault="007A3239" w:rsidP="00456C91">
      <w:pPr>
        <w:rPr>
          <w:rFonts w:ascii="Arial Black" w:hAnsi="Arial Black"/>
          <w:b/>
          <w:sz w:val="24"/>
          <w:szCs w:val="24"/>
        </w:rPr>
      </w:pPr>
    </w:p>
    <w:p w14:paraId="5DF67F7B" w14:textId="77777777" w:rsidR="007A3239" w:rsidRDefault="007A3239" w:rsidP="00456C91">
      <w:pPr>
        <w:rPr>
          <w:rFonts w:ascii="Arial Black" w:hAnsi="Arial Black"/>
          <w:b/>
          <w:sz w:val="24"/>
          <w:szCs w:val="24"/>
        </w:rPr>
      </w:pPr>
    </w:p>
    <w:p w14:paraId="36E52733" w14:textId="0B08717D" w:rsidR="00EC0328" w:rsidRDefault="00EC0328" w:rsidP="00456C91">
      <w:pPr>
        <w:rPr>
          <w:rFonts w:ascii="Arial Black" w:hAnsi="Arial Black"/>
          <w:b/>
          <w:sz w:val="24"/>
          <w:szCs w:val="24"/>
        </w:rPr>
      </w:pPr>
      <w:r>
        <w:rPr>
          <w:rFonts w:ascii="Arial Black" w:hAnsi="Arial Black"/>
          <w:b/>
          <w:sz w:val="24"/>
          <w:szCs w:val="24"/>
        </w:rPr>
        <w:t>8-87</w:t>
      </w:r>
    </w:p>
    <w:p w14:paraId="2A1336CA" w14:textId="77777777" w:rsidR="00FA2E76" w:rsidRPr="007B049A" w:rsidRDefault="00FA2E76" w:rsidP="00FA2E76">
      <w:pPr>
        <w:rPr>
          <w:rFonts w:ascii="Arial Black" w:hAnsi="Arial Black"/>
          <w:sz w:val="28"/>
          <w:szCs w:val="28"/>
        </w:rPr>
      </w:pPr>
      <w:r>
        <w:rPr>
          <w:rFonts w:ascii="Arial Black" w:hAnsi="Arial Black"/>
          <w:sz w:val="28"/>
          <w:szCs w:val="28"/>
        </w:rPr>
        <w:t>OH: 47-YR BLACK - RESIGNED – DEFAMATION / FILED LATE</w:t>
      </w:r>
    </w:p>
    <w:p w14:paraId="3E29BC19" w14:textId="77777777" w:rsidR="00FA2E76" w:rsidRPr="0024556B" w:rsidRDefault="00FA2E76" w:rsidP="00FA2E76">
      <w:pPr>
        <w:rPr>
          <w:b/>
        </w:rPr>
      </w:pPr>
      <w:r>
        <w:t xml:space="preserve">On December 15, 2025, in </w:t>
      </w:r>
      <w:r w:rsidRPr="00C02EC5">
        <w:rPr>
          <w:u w:val="single"/>
        </w:rPr>
        <w:t>Christian Baccus v. City of Columbus Division of Fire</w:t>
      </w:r>
      <w:r>
        <w:t xml:space="preserve">, U.S. District Court Judge </w:t>
      </w:r>
      <w:r w:rsidRPr="00C02EC5">
        <w:t xml:space="preserve">Edmund A. </w:t>
      </w:r>
      <w:proofErr w:type="spellStart"/>
      <w:r w:rsidRPr="00C02EC5">
        <w:t>Sargus</w:t>
      </w:r>
      <w:proofErr w:type="spellEnd"/>
      <w:r>
        <w:t xml:space="preserve">, </w:t>
      </w:r>
      <w:r w:rsidRPr="00C02EC5">
        <w:t>United States District Court, S.D. Ohio, Eastern Division</w:t>
      </w:r>
      <w:r>
        <w:t xml:space="preserve">, as recommended in a Report and Recommendation by U.S. Magistrate Judge Kimberly A. Jolson,  granted the City’s partial motion to dismiss his claims of defamation by training officers. </w:t>
      </w:r>
      <w:r w:rsidRPr="000172AE">
        <w:t>Under Ohio law, an action for libel and slander must be brought “within one year after the cause of action accrued.” Ohio Revised Code § 2305.11(A).</w:t>
      </w:r>
      <w:r>
        <w:t xml:space="preserve">  He resigned on March 14, 2024, and his pro se [no attorney] lawsuit was not filed until </w:t>
      </w:r>
      <w:r w:rsidRPr="0014146E">
        <w:t>June 30, 2025</w:t>
      </w:r>
      <w:r>
        <w:t xml:space="preserve">.  </w:t>
      </w:r>
      <w:hyperlink r:id="rId1431" w:history="1">
        <w:r w:rsidRPr="00B346EB">
          <w:rPr>
            <w:rStyle w:val="Hyperlink"/>
          </w:rPr>
          <w:t>https://public.fastcase.com/Jhe1Qn%2BmJndQYQU6z%2FeNm77nYWugAlzsBoxNmmqkM3E6Q88Vkqy0VZ5SiNrQruK%2B?utm_medium=email&amp;_hsenc=p2ANqtz-9AvFND94NtmZ3W9IwgKnyu4_gZwqiYmIH5_4QpXW_NHE8WVWhb5SJK4Whyo4GFBslMpA9EnrqLvXRYy-</w:t>
        </w:r>
      </w:hyperlink>
      <w:r>
        <w:t xml:space="preserve"> </w:t>
      </w:r>
    </w:p>
    <w:p w14:paraId="6221E751" w14:textId="77777777" w:rsidR="00FA2E76" w:rsidRDefault="00FA2E76" w:rsidP="00FA2E76">
      <w:r>
        <w:t>THE COURT HELD:</w:t>
      </w:r>
    </w:p>
    <w:p w14:paraId="49B3FF44" w14:textId="77777777" w:rsidR="00FA2E76" w:rsidRDefault="00FA2E76" w:rsidP="00FA2E76">
      <w:pPr>
        <w:ind w:left="720"/>
      </w:pPr>
      <w:r>
        <w:t>“</w:t>
      </w:r>
      <w:r w:rsidRPr="001F3E66">
        <w:t xml:space="preserve">This case is about discrimination Plaintiff Christian Baccus allegedly experienced at the hands of the City of Columbus, Division of Fire (the “City”). As told by his </w:t>
      </w:r>
      <w:r w:rsidRPr="001F3E66">
        <w:rPr>
          <w:i/>
          <w:iCs/>
        </w:rPr>
        <w:t>pro se</w:t>
      </w:r>
      <w:r w:rsidRPr="001F3E66">
        <w:t xml:space="preserve"> Amended Complaint, Plaintiff-a Black, 47-year-old man-was employed by the </w:t>
      </w:r>
      <w:proofErr w:type="gramStart"/>
      <w:r w:rsidRPr="001F3E66">
        <w:t>City</w:t>
      </w:r>
      <w:proofErr w:type="gramEnd"/>
      <w:r w:rsidRPr="001F3E66">
        <w:t xml:space="preserve"> as a firefighter in </w:t>
      </w:r>
      <w:r>
        <w:t>‘</w:t>
      </w:r>
      <w:r w:rsidRPr="001F3E66">
        <w:t>Recruit Class #119.</w:t>
      </w:r>
      <w:r>
        <w:t>’</w:t>
      </w:r>
    </w:p>
    <w:p w14:paraId="1954C2AD" w14:textId="77777777" w:rsidR="00FA2E76" w:rsidRDefault="00FA2E76" w:rsidP="00FA2E76">
      <w:pPr>
        <w:ind w:left="720"/>
      </w:pPr>
      <w:r>
        <w:t>***</w:t>
      </w:r>
    </w:p>
    <w:p w14:paraId="63BD1AB2" w14:textId="77777777" w:rsidR="00FA2E76" w:rsidRDefault="00FA2E76" w:rsidP="00FA2E76">
      <w:pPr>
        <w:ind w:left="720"/>
      </w:pPr>
      <w:r w:rsidRPr="00531DA3">
        <w:t>Though not completely clear, it seems that during Fire Assignments, Plaintiff was disciplined by his superiors for aspects of his practical performance</w:t>
      </w:r>
      <w:r>
        <w:t xml:space="preserve">…. </w:t>
      </w:r>
      <w:r w:rsidRPr="00531DA3">
        <w:t xml:space="preserve">He also experienced </w:t>
      </w:r>
      <w:r>
        <w:t>‘</w:t>
      </w:r>
      <w:r w:rsidRPr="00531DA3">
        <w:t>ridicule</w:t>
      </w:r>
      <w:r>
        <w:t>’</w:t>
      </w:r>
      <w:r w:rsidRPr="00531DA3">
        <w:t xml:space="preserve"> at the hands of one of his instructors, and he alleges his superiors </w:t>
      </w:r>
      <w:r>
        <w:t>‘</w:t>
      </w:r>
      <w:r w:rsidRPr="00531DA3">
        <w:t>lied</w:t>
      </w:r>
      <w:r>
        <w:t>’</w:t>
      </w:r>
      <w:r w:rsidRPr="00531DA3">
        <w:t xml:space="preserve"> about him on evaluations and elsewhere</w:t>
      </w:r>
      <w:r>
        <w:t xml:space="preserve">…. </w:t>
      </w:r>
      <w:r w:rsidRPr="00531DA3">
        <w:t xml:space="preserve">Then on March 14, 2024, the </w:t>
      </w:r>
      <w:proofErr w:type="gramStart"/>
      <w:r w:rsidRPr="00531DA3">
        <w:t>City</w:t>
      </w:r>
      <w:proofErr w:type="gramEnd"/>
      <w:r w:rsidRPr="00531DA3">
        <w:t xml:space="preserve"> gave Plaintiff the </w:t>
      </w:r>
      <w:r>
        <w:t>‘</w:t>
      </w:r>
      <w:r w:rsidRPr="00531DA3">
        <w:t>option to resign or be terminated.</w:t>
      </w:r>
      <w:r>
        <w:t xml:space="preserve">’ … </w:t>
      </w:r>
      <w:r w:rsidRPr="00531DA3">
        <w:t xml:space="preserve">Initially Plaintiff opted for termination, but he later </w:t>
      </w:r>
      <w:r>
        <w:t>‘</w:t>
      </w:r>
      <w:r w:rsidRPr="00531DA3">
        <w:t>changed [his] decision to resign.</w:t>
      </w:r>
      <w:r>
        <w:t xml:space="preserve">’ … </w:t>
      </w:r>
      <w:r w:rsidRPr="00531DA3">
        <w:t>Plaintiff further claims that other recruits who were white or women were not treated similarly</w:t>
      </w:r>
      <w:proofErr w:type="gramStart"/>
      <w:r>
        <w:t>…..</w:t>
      </w:r>
      <w:proofErr w:type="gramEnd"/>
      <w:r>
        <w:t xml:space="preserve"> </w:t>
      </w:r>
      <w:r w:rsidRPr="00531DA3">
        <w:t xml:space="preserve">For some, the </w:t>
      </w:r>
      <w:proofErr w:type="gramStart"/>
      <w:r w:rsidRPr="00531DA3">
        <w:t>City</w:t>
      </w:r>
      <w:proofErr w:type="gramEnd"/>
      <w:r w:rsidRPr="00531DA3">
        <w:t xml:space="preserve"> authorized additional training; and for others, the </w:t>
      </w:r>
      <w:proofErr w:type="gramStart"/>
      <w:r w:rsidRPr="00531DA3">
        <w:t>City</w:t>
      </w:r>
      <w:proofErr w:type="gramEnd"/>
      <w:r w:rsidRPr="00531DA3">
        <w:t xml:space="preserve"> allowed enrollment in other recruit classes</w:t>
      </w:r>
      <w:r>
        <w:t xml:space="preserve">…. </w:t>
      </w:r>
      <w:r w:rsidRPr="00531DA3">
        <w:t xml:space="preserve">Plaintiff also says he was </w:t>
      </w:r>
      <w:r>
        <w:t>‘</w:t>
      </w:r>
      <w:r w:rsidRPr="00531DA3">
        <w:t>treated differently</w:t>
      </w:r>
      <w:r>
        <w:t>’</w:t>
      </w:r>
      <w:r w:rsidRPr="00531DA3">
        <w:t xml:space="preserve"> because of his age</w:t>
      </w:r>
      <w:r>
        <w:t xml:space="preserve">…. </w:t>
      </w:r>
      <w:r w:rsidRPr="00531DA3">
        <w:t xml:space="preserve">Finally, Plaintiff </w:t>
      </w:r>
      <w:r w:rsidRPr="00531DA3">
        <w:lastRenderedPageBreak/>
        <w:t>alleges that the City's firefighter recruit evaluation methods are subjective and result in Black male recruits being dismissed at a higher rate than white or female recruits.</w:t>
      </w:r>
    </w:p>
    <w:p w14:paraId="68B6132D" w14:textId="77777777" w:rsidR="00FA2E76" w:rsidRDefault="00FA2E76" w:rsidP="00FA2E76">
      <w:pPr>
        <w:ind w:left="720"/>
      </w:pPr>
      <w:r>
        <w:t>***</w:t>
      </w:r>
    </w:p>
    <w:p w14:paraId="2C0A907F" w14:textId="77777777" w:rsidR="00FA2E76" w:rsidRDefault="00FA2E76" w:rsidP="00FA2E76">
      <w:pPr>
        <w:ind w:left="720"/>
      </w:pPr>
      <w:r w:rsidRPr="00F94BBA">
        <w:t xml:space="preserve">Ultimately, though, the Undersigned need not designate the exact day any of the allegedly defamatory statements happened. As stated, Ohio law is clear that an action for defamation must be brought within one year after the cause of action accrued, and the general rule is the statute of limitations begins to run when the defendant first speaks or publishes the allegedly defamatory words. </w:t>
      </w:r>
      <w:r w:rsidRPr="00F94BBA">
        <w:rPr>
          <w:i/>
          <w:iCs/>
        </w:rPr>
        <w:t>See</w:t>
      </w:r>
      <w:r w:rsidRPr="00F94BBA">
        <w:t xml:space="preserve"> Ohio Revised Code § 2305.11(A); </w:t>
      </w:r>
      <w:r w:rsidRPr="00F94BBA">
        <w:rPr>
          <w:i/>
          <w:iCs/>
        </w:rPr>
        <w:t>Haas</w:t>
      </w:r>
      <w:r w:rsidRPr="00F94BBA">
        <w:t>, 2024 WL 3925724, at *3</w:t>
      </w:r>
      <w:r>
        <w:t>.</w:t>
      </w:r>
    </w:p>
    <w:p w14:paraId="2C56283D" w14:textId="77777777" w:rsidR="00FA2E76" w:rsidRDefault="00FA2E76" w:rsidP="00FA2E76">
      <w:pPr>
        <w:ind w:left="720"/>
      </w:pPr>
      <w:r>
        <w:t>***</w:t>
      </w:r>
    </w:p>
    <w:p w14:paraId="0052664F" w14:textId="77777777" w:rsidR="00FA2E76" w:rsidRDefault="00FA2E76" w:rsidP="00FA2E76">
      <w:pPr>
        <w:ind w:left="720"/>
      </w:pPr>
      <w:r w:rsidRPr="000214B3">
        <w:t>Taken together, this means that Plaintiff's Amended Complaint may assert defamation claims only for statements spoken or published on or after June 30, 2024-within one year of when he initiated this action. Any prior claims are time-barred.</w:t>
      </w:r>
      <w:r>
        <w:t>”</w:t>
      </w:r>
    </w:p>
    <w:p w14:paraId="742B9660" w14:textId="77777777" w:rsidR="00FA2E76" w:rsidRPr="00F94BBA" w:rsidRDefault="00FA2E76" w:rsidP="00FA2E76">
      <w:pPr>
        <w:rPr>
          <w:b/>
          <w:bCs/>
        </w:rPr>
      </w:pPr>
      <w:r>
        <w:rPr>
          <w:b/>
        </w:rPr>
        <w:t xml:space="preserve">Legal lesson learned:  The defamation claims are dismissed; pretrial discovery may now proceed on the race and age claims. </w:t>
      </w:r>
    </w:p>
    <w:p w14:paraId="5B7BDDE4" w14:textId="77777777" w:rsidR="00EC0328" w:rsidRDefault="00EC0328" w:rsidP="00456C91">
      <w:pPr>
        <w:rPr>
          <w:rFonts w:ascii="Arial Black" w:hAnsi="Arial Black"/>
          <w:b/>
          <w:sz w:val="24"/>
          <w:szCs w:val="24"/>
        </w:rPr>
      </w:pPr>
    </w:p>
    <w:p w14:paraId="375F1D20" w14:textId="101D9F7B" w:rsidR="005D6817" w:rsidRDefault="005D6817" w:rsidP="00456C91">
      <w:pPr>
        <w:rPr>
          <w:rFonts w:ascii="Arial Black" w:hAnsi="Arial Black"/>
          <w:b/>
          <w:sz w:val="24"/>
          <w:szCs w:val="24"/>
        </w:rPr>
      </w:pPr>
      <w:r>
        <w:rPr>
          <w:rFonts w:ascii="Arial Black" w:hAnsi="Arial Black"/>
          <w:b/>
          <w:sz w:val="24"/>
          <w:szCs w:val="24"/>
        </w:rPr>
        <w:t>8-86</w:t>
      </w:r>
    </w:p>
    <w:p w14:paraId="45AA0B71" w14:textId="046811E4" w:rsidR="005D6817" w:rsidRDefault="005D6817" w:rsidP="005D6817">
      <w:pPr>
        <w:pStyle w:val="NoSpacing"/>
        <w:rPr>
          <w:rFonts w:ascii="Arial Black" w:hAnsi="Arial Black"/>
          <w:sz w:val="28"/>
          <w:szCs w:val="28"/>
        </w:rPr>
      </w:pPr>
      <w:r>
        <w:rPr>
          <w:rFonts w:ascii="Arial Black" w:hAnsi="Arial Black"/>
          <w:sz w:val="28"/>
          <w:szCs w:val="28"/>
        </w:rPr>
        <w:t>MD: BLACK FF – NO PROMOTION</w:t>
      </w:r>
      <w:r w:rsidR="00F70392">
        <w:rPr>
          <w:rFonts w:ascii="Arial Black" w:hAnsi="Arial Black"/>
          <w:sz w:val="28"/>
          <w:szCs w:val="28"/>
        </w:rPr>
        <w:t xml:space="preserve"> / RETALIATION</w:t>
      </w:r>
      <w:r>
        <w:rPr>
          <w:rFonts w:ascii="Arial Black" w:hAnsi="Arial Black"/>
          <w:sz w:val="28"/>
          <w:szCs w:val="28"/>
        </w:rPr>
        <w:t xml:space="preserve"> – JURY $311K </w:t>
      </w:r>
    </w:p>
    <w:p w14:paraId="5F1ED2D5" w14:textId="77777777" w:rsidR="00E024F9" w:rsidRDefault="00E024F9" w:rsidP="005D6817">
      <w:pPr>
        <w:pStyle w:val="NoSpacing"/>
      </w:pPr>
    </w:p>
    <w:p w14:paraId="53469C82" w14:textId="150E42A1" w:rsidR="005D6817" w:rsidRPr="00F2752F" w:rsidRDefault="005D6817" w:rsidP="005D6817">
      <w:pPr>
        <w:pStyle w:val="NoSpacing"/>
        <w:rPr>
          <w:bCs/>
        </w:rPr>
      </w:pPr>
      <w:r>
        <w:t xml:space="preserve">On November 4, 2025, in </w:t>
      </w:r>
      <w:r w:rsidRPr="0049359A">
        <w:rPr>
          <w:u w:val="single"/>
        </w:rPr>
        <w:t>Anne Arundel County, Maryland v. Bradley Willis</w:t>
      </w:r>
      <w:r>
        <w:t xml:space="preserve">, the </w:t>
      </w:r>
      <w:r w:rsidRPr="0049359A">
        <w:t>Court of Special Appeals of Maryland</w:t>
      </w:r>
      <w:r>
        <w:t xml:space="preserve">, held (3 to 0) that trial court </w:t>
      </w:r>
      <w:r w:rsidRPr="003B7259">
        <w:t>was well within its discretion to find a reasonable jury intended to award Willis $173,000.00</w:t>
      </w:r>
      <w:r>
        <w:t xml:space="preserve"> </w:t>
      </w:r>
      <w:r w:rsidRPr="003B7259">
        <w:t>in backpay.</w:t>
      </w:r>
      <w:r>
        <w:t xml:space="preserve">  THE COURT WROTE: “</w:t>
      </w:r>
      <w:r w:rsidRPr="00F2752F">
        <w:t>Bradley Willis was a Captain in the Anne Arundel County Fire Department until he</w:t>
      </w:r>
    </w:p>
    <w:p w14:paraId="39E0BE34" w14:textId="09870186" w:rsidR="005D6817" w:rsidRDefault="005D6817" w:rsidP="005D6817">
      <w:pPr>
        <w:pStyle w:val="NoSpacing"/>
        <w:rPr>
          <w:bCs/>
        </w:rPr>
      </w:pPr>
      <w:r w:rsidRPr="00F2752F">
        <w:t>was demoted to Firefighter II, suspended temporarily, and prohibited from a promotion for</w:t>
      </w:r>
      <w:r w:rsidR="00C62C35">
        <w:t xml:space="preserve"> </w:t>
      </w:r>
      <w:r w:rsidRPr="00F2752F">
        <w:t>three years after he was found guilty of misconduct. Willis unsuccessfully sued the County</w:t>
      </w:r>
      <w:r w:rsidR="00C62C35">
        <w:t xml:space="preserve"> </w:t>
      </w:r>
      <w:r w:rsidRPr="00F2752F">
        <w:t>claiming his demotion was racially motivated</w:t>
      </w:r>
      <w:r>
        <w:t xml:space="preserve">…. </w:t>
      </w:r>
      <w:r w:rsidRPr="0081665D">
        <w:t>Allan Graves (“Chief Graves”) was the Fire Chief of Anne Arundel County when</w:t>
      </w:r>
      <w:r>
        <w:t xml:space="preserve"> </w:t>
      </w:r>
      <w:r w:rsidRPr="0081665D">
        <w:t xml:space="preserve">Willis sued. </w:t>
      </w:r>
      <w:proofErr w:type="spellStart"/>
      <w:r w:rsidRPr="0081665D">
        <w:t>Some time</w:t>
      </w:r>
      <w:proofErr w:type="spellEnd"/>
      <w:r w:rsidRPr="0081665D">
        <w:t xml:space="preserve"> after his unsuccessful lawsuit, Willis became eligible for a</w:t>
      </w:r>
      <w:r>
        <w:t xml:space="preserve"> </w:t>
      </w:r>
      <w:r w:rsidRPr="0081665D">
        <w:t>promotion to the rank of Lieutenant. Willis scored second out of 100 candidates on the</w:t>
      </w:r>
      <w:r>
        <w:t xml:space="preserve"> </w:t>
      </w:r>
      <w:r w:rsidRPr="0081665D">
        <w:t>Lieutenant’s examination. When a vacancy became available, Chief Graves appointed the</w:t>
      </w:r>
      <w:r>
        <w:t xml:space="preserve"> </w:t>
      </w:r>
      <w:r w:rsidRPr="0081665D">
        <w:t>first ranked candidate; however, when a second vacancy opened, Chief Graves passed over</w:t>
      </w:r>
      <w:r>
        <w:t xml:space="preserve"> </w:t>
      </w:r>
      <w:r w:rsidRPr="0081665D">
        <w:t xml:space="preserve">Willis </w:t>
      </w:r>
      <w:r>
        <w:t xml:space="preserve">[on </w:t>
      </w:r>
      <w:r w:rsidRPr="009159FB">
        <w:t>September 20, 2018</w:t>
      </w:r>
      <w:r>
        <w:t xml:space="preserve">] </w:t>
      </w:r>
      <w:r w:rsidRPr="0081665D">
        <w:t>and promoted the third ranked candidate. Willis became a Lieutenant</w:t>
      </w:r>
      <w:r>
        <w:t xml:space="preserve"> [on </w:t>
      </w:r>
      <w:r w:rsidRPr="001C3EBB">
        <w:t>September 5, 2019</w:t>
      </w:r>
      <w:r>
        <w:t>]</w:t>
      </w:r>
      <w:r w:rsidRPr="0081665D">
        <w:t xml:space="preserve"> only after</w:t>
      </w:r>
      <w:r>
        <w:t xml:space="preserve"> </w:t>
      </w:r>
      <w:r w:rsidRPr="0081665D">
        <w:t>Chief Trisha Wolford succeeded Chief Graves</w:t>
      </w:r>
      <w:r>
        <w:t xml:space="preserve">…. </w:t>
      </w:r>
      <w:r w:rsidRPr="00A50C52">
        <w:t>The trial</w:t>
      </w:r>
      <w:r>
        <w:t xml:space="preserve"> </w:t>
      </w:r>
      <w:r w:rsidRPr="00A50C52">
        <w:t>eventually took place over four days in April 2024</w:t>
      </w:r>
      <w:r>
        <w:t xml:space="preserve">…. </w:t>
      </w:r>
      <w:r w:rsidRPr="007A44FF">
        <w:t>The jury ultimately ruled in Willis’ favor, finding that Chief’s Graves’ decision not</w:t>
      </w:r>
      <w:r>
        <w:t xml:space="preserve"> </w:t>
      </w:r>
      <w:r w:rsidRPr="007A44FF">
        <w:t>to promote Willis was retaliatory. After reaching that conclusion, the jury calculated</w:t>
      </w:r>
      <w:r>
        <w:t xml:space="preserve"> </w:t>
      </w:r>
      <w:r w:rsidRPr="007A44FF">
        <w:t>Willis’ damages</w:t>
      </w:r>
      <w:r>
        <w:t xml:space="preserve">…. </w:t>
      </w:r>
      <w:r w:rsidRPr="00074004">
        <w:t>The jury awarded Willis $311,000.00 in total, with the verdict sheet detailing their award</w:t>
      </w:r>
      <w:r>
        <w:t xml:space="preserve"> </w:t>
      </w:r>
      <w:r w:rsidRPr="00074004">
        <w:t xml:space="preserve">of $173,000.00 for </w:t>
      </w:r>
      <w:r>
        <w:t>‘</w:t>
      </w:r>
      <w:r w:rsidRPr="00074004">
        <w:t>Back Pay</w:t>
      </w:r>
      <w:r>
        <w:t>’</w:t>
      </w:r>
      <w:r w:rsidRPr="00074004">
        <w:t xml:space="preserve"> and $138,000.00 for </w:t>
      </w:r>
      <w:r>
        <w:t>‘</w:t>
      </w:r>
      <w:r w:rsidRPr="00074004">
        <w:t>Other Damages.</w:t>
      </w:r>
      <w:r>
        <w:t xml:space="preserve">’ </w:t>
      </w:r>
      <w:r w:rsidRPr="005069C2">
        <w:t>Following the</w:t>
      </w:r>
      <w:r>
        <w:t xml:space="preserve"> </w:t>
      </w:r>
      <w:r w:rsidRPr="005069C2">
        <w:t>court’s entry of final judgment, the County filed a Motion for Judgment Notwithstanding</w:t>
      </w:r>
      <w:r>
        <w:t xml:space="preserve"> </w:t>
      </w:r>
      <w:r w:rsidRPr="005069C2">
        <w:t>the Verdict, which the court denied.</w:t>
      </w:r>
      <w:r>
        <w:t>”</w:t>
      </w:r>
    </w:p>
    <w:p w14:paraId="7DEDAA20" w14:textId="77777777" w:rsidR="005D6817" w:rsidRDefault="005D6817" w:rsidP="005D6817">
      <w:pPr>
        <w:pStyle w:val="NoSpacing"/>
        <w:rPr>
          <w:bCs/>
        </w:rPr>
      </w:pPr>
      <w:hyperlink r:id="rId1432" w:history="1">
        <w:r w:rsidRPr="005B3B90">
          <w:rPr>
            <w:rStyle w:val="Hyperlink"/>
          </w:rPr>
          <w:t>https://www.mdcourts.gov/sites/default/files/unreported-opinions/1234s24.pdf</w:t>
        </w:r>
      </w:hyperlink>
      <w:r>
        <w:t xml:space="preserve"> </w:t>
      </w:r>
    </w:p>
    <w:p w14:paraId="21A49AA4" w14:textId="77777777" w:rsidR="005D6817" w:rsidRDefault="005D6817" w:rsidP="005D6817">
      <w:pPr>
        <w:pStyle w:val="NoSpacing"/>
        <w:rPr>
          <w:bCs/>
        </w:rPr>
      </w:pPr>
    </w:p>
    <w:p w14:paraId="42CD59B9" w14:textId="77777777" w:rsidR="005D6817" w:rsidRDefault="005D6817" w:rsidP="005D6817">
      <w:pPr>
        <w:pStyle w:val="NoSpacing"/>
        <w:rPr>
          <w:bCs/>
        </w:rPr>
      </w:pPr>
      <w:r>
        <w:t>THE COURT HELD:</w:t>
      </w:r>
    </w:p>
    <w:p w14:paraId="5AF7E75F" w14:textId="77777777" w:rsidR="005D6817" w:rsidRDefault="005D6817" w:rsidP="005D6817">
      <w:pPr>
        <w:pStyle w:val="NoSpacing"/>
        <w:rPr>
          <w:bCs/>
        </w:rPr>
      </w:pPr>
    </w:p>
    <w:p w14:paraId="73740731" w14:textId="77777777" w:rsidR="005D6817" w:rsidRDefault="005D6817" w:rsidP="005D6817">
      <w:pPr>
        <w:pStyle w:val="NoSpacing"/>
        <w:ind w:firstLine="720"/>
      </w:pPr>
      <w:r>
        <w:t>“Willis contends the jury’s verdict was supported by ample facts and expert opinion</w:t>
      </w:r>
    </w:p>
    <w:p w14:paraId="4544E148" w14:textId="77777777" w:rsidR="005D6817" w:rsidRDefault="005D6817" w:rsidP="005D6817">
      <w:pPr>
        <w:pStyle w:val="NoSpacing"/>
        <w:ind w:firstLine="720"/>
      </w:pPr>
      <w:r>
        <w:t>evidence. Specifically, he argues his expert economist, Rosenberg, provided several</w:t>
      </w:r>
    </w:p>
    <w:p w14:paraId="7E835202" w14:textId="77777777" w:rsidR="005D6817" w:rsidRDefault="005D6817" w:rsidP="005D6817">
      <w:pPr>
        <w:pStyle w:val="NoSpacing"/>
        <w:ind w:firstLine="720"/>
      </w:pPr>
      <w:r>
        <w:t>scenarios to guide the jury’s assessment of a damages award. Willis further maintains the</w:t>
      </w:r>
    </w:p>
    <w:p w14:paraId="0EEE022D" w14:textId="77777777" w:rsidR="005D6817" w:rsidRDefault="005D6817" w:rsidP="005D6817">
      <w:pPr>
        <w:pStyle w:val="NoSpacing"/>
        <w:ind w:firstLine="720"/>
      </w:pPr>
      <w:r>
        <w:t>County did not rebut Rosenberg’s calculations with its own economist’s opinion or other</w:t>
      </w:r>
    </w:p>
    <w:p w14:paraId="5BD63E1B" w14:textId="77777777" w:rsidR="005D6817" w:rsidRDefault="005D6817" w:rsidP="005D6817">
      <w:pPr>
        <w:pStyle w:val="NoSpacing"/>
        <w:ind w:firstLine="720"/>
      </w:pPr>
      <w:r>
        <w:t>contrary evidence. Willis argues his being passed over for the promotion had a cascading</w:t>
      </w:r>
    </w:p>
    <w:p w14:paraId="45196FC5" w14:textId="77777777" w:rsidR="005D6817" w:rsidRDefault="005D6817" w:rsidP="005D6817">
      <w:pPr>
        <w:pStyle w:val="NoSpacing"/>
        <w:ind w:firstLine="720"/>
      </w:pPr>
      <w:r>
        <w:t>effect on his career because it caused him to not be able to apply for further promotions,</w:t>
      </w:r>
    </w:p>
    <w:p w14:paraId="7BE1A9DC" w14:textId="77777777" w:rsidR="005D6817" w:rsidRDefault="005D6817" w:rsidP="005D6817">
      <w:pPr>
        <w:pStyle w:val="NoSpacing"/>
        <w:ind w:firstLine="720"/>
      </w:pPr>
      <w:r>
        <w:t>such as to Captain, for several years. Finally, Willis contends the jury’s verdict was not</w:t>
      </w:r>
    </w:p>
    <w:p w14:paraId="1B3E6033" w14:textId="77777777" w:rsidR="005D6817" w:rsidRDefault="005D6817" w:rsidP="005D6817">
      <w:pPr>
        <w:pStyle w:val="NoSpacing"/>
        <w:ind w:firstLine="720"/>
      </w:pPr>
      <w:r>
        <w:lastRenderedPageBreak/>
        <w:t>based on speculation. Indeed, the jury’s award of $173,000.00 reflected almost precisely</w:t>
      </w:r>
    </w:p>
    <w:p w14:paraId="42FD40FF" w14:textId="77777777" w:rsidR="005D6817" w:rsidRDefault="005D6817" w:rsidP="005D6817">
      <w:pPr>
        <w:pStyle w:val="NoSpacing"/>
        <w:ind w:firstLine="720"/>
      </w:pPr>
      <w:r>
        <w:t>the amount of total economic damages Rosenberg projected, assuming Willis would have</w:t>
      </w:r>
    </w:p>
    <w:p w14:paraId="08B34085" w14:textId="77777777" w:rsidR="005D6817" w:rsidRDefault="005D6817" w:rsidP="005D6817">
      <w:pPr>
        <w:pStyle w:val="NoSpacing"/>
        <w:ind w:firstLine="720"/>
      </w:pPr>
      <w:r>
        <w:t>re-obtained rank of Captain during the remainder of his career.</w:t>
      </w:r>
    </w:p>
    <w:p w14:paraId="5FBEE589" w14:textId="77777777" w:rsidR="005D6817" w:rsidRDefault="005D6817" w:rsidP="005D6817">
      <w:pPr>
        <w:pStyle w:val="NoSpacing"/>
        <w:ind w:firstLine="720"/>
      </w:pPr>
    </w:p>
    <w:p w14:paraId="3978B3F4" w14:textId="77777777" w:rsidR="005D6817" w:rsidRDefault="005D6817" w:rsidP="005D6817">
      <w:pPr>
        <w:pStyle w:val="NoSpacing"/>
        <w:ind w:firstLine="720"/>
      </w:pPr>
      <w:r>
        <w:t>***</w:t>
      </w:r>
    </w:p>
    <w:p w14:paraId="669C62CB" w14:textId="77777777" w:rsidR="005D6817" w:rsidRDefault="005D6817" w:rsidP="005D6817">
      <w:pPr>
        <w:pStyle w:val="NoSpacing"/>
        <w:ind w:left="720"/>
      </w:pPr>
      <w:r>
        <w:t xml:space="preserve">Here, as discussed, Rosenberg [Joseph Rosenberg, a forensic economist] went further than flatly saying what he believed the </w:t>
      </w:r>
      <w:proofErr w:type="gramStart"/>
      <w:r>
        <w:t>damages were</w:t>
      </w:r>
      <w:proofErr w:type="gramEnd"/>
      <w:r>
        <w:t>. He presented the jury with four possible scenarios to guide their calculations. These scenarios were backed with data such as salary projections and excerpts from the firefighter’s handbook. The four forecasts were adjusted for multiple factors such as taxes, mortality rates over the years, and cost of living.</w:t>
      </w:r>
    </w:p>
    <w:p w14:paraId="1886E6B5" w14:textId="77777777" w:rsidR="005D6817" w:rsidRDefault="005D6817" w:rsidP="005D6817">
      <w:pPr>
        <w:pStyle w:val="NoSpacing"/>
        <w:ind w:left="720"/>
      </w:pPr>
    </w:p>
    <w:p w14:paraId="0A4D62E2" w14:textId="77777777" w:rsidR="005D6817" w:rsidRDefault="005D6817" w:rsidP="005D6817">
      <w:pPr>
        <w:pStyle w:val="NoSpacing"/>
        <w:ind w:left="720"/>
      </w:pPr>
      <w:r w:rsidRPr="00E328A8">
        <w:t>What is telling, however, is that the</w:t>
      </w:r>
      <w:r>
        <w:t xml:space="preserve"> jury’s award for backpay of $173,000.00 matched, almost precisely, the total award suggested by Rosenberg ($173,077.00) in one of his four possible scenarios. This suggests the jury </w:t>
      </w:r>
      <w:proofErr w:type="gramStart"/>
      <w:r>
        <w:t>considered</w:t>
      </w:r>
      <w:proofErr w:type="gramEnd"/>
      <w:r>
        <w:t xml:space="preserve"> the evidence and testimony presented, and their verdict reflected their understanding and intent to award Willis total economic damages. Thus, the evidence produced at trial rose above speculation, hypothesis, or conjecture, and it supported the jury’s verdict with reasonable certainty. Therefore, we affirm”</w:t>
      </w:r>
    </w:p>
    <w:p w14:paraId="55D72342" w14:textId="77777777" w:rsidR="005D6817" w:rsidRDefault="005D6817" w:rsidP="005D6817">
      <w:pPr>
        <w:pStyle w:val="NoSpacing"/>
        <w:ind w:left="720"/>
      </w:pPr>
    </w:p>
    <w:p w14:paraId="39708CCB" w14:textId="0C3240A5" w:rsidR="005D6817" w:rsidRDefault="005D6817" w:rsidP="005D6817">
      <w:pPr>
        <w:pStyle w:val="NoSpacing"/>
        <w:rPr>
          <w:b/>
          <w:bCs/>
        </w:rPr>
      </w:pPr>
      <w:r>
        <w:rPr>
          <w:b/>
        </w:rPr>
        <w:t>Legal lesson learned: The plaintiff won back pay</w:t>
      </w:r>
      <w:r w:rsidR="00C14B11">
        <w:rPr>
          <w:b/>
        </w:rPr>
        <w:t xml:space="preserve"> from the jury</w:t>
      </w:r>
      <w:r>
        <w:rPr>
          <w:b/>
        </w:rPr>
        <w:t xml:space="preserve">, </w:t>
      </w:r>
      <w:r w:rsidR="008F4842">
        <w:rPr>
          <w:b/>
        </w:rPr>
        <w:t xml:space="preserve">and </w:t>
      </w:r>
      <w:r>
        <w:rPr>
          <w:b/>
        </w:rPr>
        <w:t>the trial c</w:t>
      </w:r>
      <w:r w:rsidRPr="003E385E">
        <w:rPr>
          <w:b/>
        </w:rPr>
        <w:t xml:space="preserve">ourt </w:t>
      </w:r>
      <w:r>
        <w:rPr>
          <w:b/>
        </w:rPr>
        <w:t xml:space="preserve">judge </w:t>
      </w:r>
      <w:r w:rsidRPr="003E385E">
        <w:rPr>
          <w:b/>
        </w:rPr>
        <w:t>awarded $317,016.28 in attorneys’ fees and costs</w:t>
      </w:r>
      <w:r>
        <w:rPr>
          <w:b/>
        </w:rPr>
        <w:t xml:space="preserve"> </w:t>
      </w:r>
      <w:r w:rsidRPr="003E385E">
        <w:rPr>
          <w:b/>
        </w:rPr>
        <w:t>of $19,942.84.</w:t>
      </w:r>
    </w:p>
    <w:p w14:paraId="2DD61E37" w14:textId="77777777" w:rsidR="005D6817" w:rsidRDefault="005D6817" w:rsidP="005D6817">
      <w:pPr>
        <w:pStyle w:val="NoSpacing"/>
        <w:rPr>
          <w:b/>
          <w:bCs/>
        </w:rPr>
      </w:pPr>
    </w:p>
    <w:p w14:paraId="2864FF7C" w14:textId="77777777" w:rsidR="005D6817" w:rsidRDefault="005D6817" w:rsidP="00456C91">
      <w:pPr>
        <w:rPr>
          <w:rFonts w:ascii="Arial Black" w:hAnsi="Arial Black"/>
          <w:b/>
          <w:sz w:val="24"/>
          <w:szCs w:val="24"/>
        </w:rPr>
      </w:pPr>
    </w:p>
    <w:p w14:paraId="62928E9E" w14:textId="77777777" w:rsidR="005D6817" w:rsidRDefault="005D6817" w:rsidP="00456C91">
      <w:pPr>
        <w:rPr>
          <w:rFonts w:ascii="Arial Black" w:hAnsi="Arial Black"/>
          <w:b/>
          <w:sz w:val="24"/>
          <w:szCs w:val="24"/>
        </w:rPr>
      </w:pPr>
    </w:p>
    <w:p w14:paraId="08DBF633" w14:textId="56ED2433" w:rsidR="009D5C36" w:rsidRDefault="009D5C36" w:rsidP="00456C91">
      <w:pPr>
        <w:rPr>
          <w:rFonts w:ascii="Arial Black" w:hAnsi="Arial Black"/>
          <w:b/>
          <w:sz w:val="24"/>
          <w:szCs w:val="24"/>
        </w:rPr>
      </w:pPr>
      <w:r>
        <w:rPr>
          <w:rFonts w:ascii="Arial Black" w:hAnsi="Arial Black"/>
          <w:b/>
          <w:sz w:val="24"/>
          <w:szCs w:val="24"/>
        </w:rPr>
        <w:t>8-85</w:t>
      </w:r>
    </w:p>
    <w:p w14:paraId="567E36C3" w14:textId="77777777" w:rsidR="00E22376" w:rsidRPr="00586222" w:rsidRDefault="00E22376" w:rsidP="00E22376">
      <w:pPr>
        <w:pStyle w:val="NoSpacing"/>
        <w:rPr>
          <w:rFonts w:ascii="Arial Black" w:hAnsi="Arial Black"/>
          <w:sz w:val="28"/>
          <w:szCs w:val="28"/>
        </w:rPr>
      </w:pPr>
      <w:r>
        <w:rPr>
          <w:rFonts w:ascii="Arial Black" w:hAnsi="Arial Black"/>
          <w:sz w:val="28"/>
          <w:szCs w:val="28"/>
        </w:rPr>
        <w:t>CA: CAPT PROMOTION – PAPERWORK ERROR / NOT RACE</w:t>
      </w:r>
    </w:p>
    <w:p w14:paraId="4307C9EE" w14:textId="77777777" w:rsidR="00E22376" w:rsidRDefault="00E22376" w:rsidP="00E22376">
      <w:pPr>
        <w:pStyle w:val="NoSpacing"/>
      </w:pPr>
    </w:p>
    <w:p w14:paraId="1CDA894D" w14:textId="77777777" w:rsidR="00E22376" w:rsidRDefault="00E22376" w:rsidP="00E22376">
      <w:pPr>
        <w:pStyle w:val="NoSpacing"/>
        <w:rPr>
          <w:b/>
        </w:rPr>
      </w:pPr>
      <w:r>
        <w:t xml:space="preserve">On Oct. 21, 2025, in </w:t>
      </w:r>
      <w:r w:rsidRPr="00032EE9">
        <w:rPr>
          <w:u w:val="single"/>
        </w:rPr>
        <w:t>Christopher Davis v. County of Los Angeles</w:t>
      </w:r>
      <w:r>
        <w:t xml:space="preserve">, the </w:t>
      </w:r>
      <w:r w:rsidRPr="00032EE9">
        <w:t xml:space="preserve">California Court of </w:t>
      </w:r>
      <w:proofErr w:type="gramStart"/>
      <w:r w:rsidRPr="00032EE9">
        <w:t>Appeals</w:t>
      </w:r>
      <w:proofErr w:type="gramEnd"/>
      <w:r w:rsidRPr="00032EE9">
        <w:t>, Second District, Second Division</w:t>
      </w:r>
      <w:r>
        <w:t xml:space="preserve"> held (3 to 0) that trial court granted summary judgment to the County. He was not promoted to Captain in 2018; his Captain (also </w:t>
      </w:r>
      <w:proofErr w:type="gramStart"/>
      <w:r>
        <w:t>African-American</w:t>
      </w:r>
      <w:proofErr w:type="gramEnd"/>
      <w:r>
        <w:t xml:space="preserve">) prepared a memo updating plaintiff’s work activities (7 “Emergency Action Plan” activities, instead of 2 ) but memo never made it into FF’s personnel file. Six other candidates had similar issues with lack of records in their personnel file.   He was promoted in 2021 with corrected paperwork in his file.  </w:t>
      </w:r>
      <w:hyperlink r:id="rId1433" w:history="1">
        <w:r w:rsidRPr="00222699">
          <w:rPr>
            <w:rStyle w:val="Hyperlink"/>
            <w:b/>
          </w:rPr>
          <w:t>https://www4.courts.ca.gov/opinions/nonpub/B332575.PDF</w:t>
        </w:r>
      </w:hyperlink>
      <w:r>
        <w:rPr>
          <w:b/>
        </w:rPr>
        <w:t xml:space="preserve"> </w:t>
      </w:r>
    </w:p>
    <w:p w14:paraId="06D220A6" w14:textId="77777777" w:rsidR="00E22376" w:rsidRDefault="00E22376" w:rsidP="00E22376">
      <w:pPr>
        <w:pStyle w:val="NoSpacing"/>
        <w:rPr>
          <w:bCs/>
        </w:rPr>
      </w:pPr>
    </w:p>
    <w:p w14:paraId="463B3355" w14:textId="77777777" w:rsidR="00E22376" w:rsidRDefault="00E22376" w:rsidP="00E22376">
      <w:pPr>
        <w:pStyle w:val="NoSpacing"/>
        <w:rPr>
          <w:bCs/>
        </w:rPr>
      </w:pPr>
      <w:r>
        <w:t xml:space="preserve">THE COURT HELD:  </w:t>
      </w:r>
    </w:p>
    <w:p w14:paraId="682D121A" w14:textId="77777777" w:rsidR="00E22376" w:rsidRDefault="00E22376" w:rsidP="00E22376">
      <w:pPr>
        <w:pStyle w:val="NoSpacing"/>
        <w:rPr>
          <w:bCs/>
        </w:rPr>
      </w:pPr>
    </w:p>
    <w:p w14:paraId="241C6190" w14:textId="77777777" w:rsidR="00E22376" w:rsidRDefault="00E22376" w:rsidP="00E22376">
      <w:pPr>
        <w:pStyle w:val="NoSpacing"/>
        <w:ind w:left="720"/>
      </w:pPr>
      <w:r>
        <w:t xml:space="preserve">“First, there is no evidence the fire department—led by an </w:t>
      </w:r>
      <w:proofErr w:type="gramStart"/>
      <w:r>
        <w:t>African-American</w:t>
      </w:r>
      <w:proofErr w:type="gramEnd"/>
      <w:r>
        <w:t xml:space="preserve"> fire chief—harbored discriminatory intent. Davis’s direct supervisor, Captain Williams, is </w:t>
      </w:r>
      <w:proofErr w:type="gramStart"/>
      <w:r>
        <w:t>African-American</w:t>
      </w:r>
      <w:proofErr w:type="gramEnd"/>
      <w:r>
        <w:t xml:space="preserve">. Eleven </w:t>
      </w:r>
      <w:proofErr w:type="gramStart"/>
      <w:r>
        <w:t>African-Americans</w:t>
      </w:r>
      <w:proofErr w:type="gramEnd"/>
      <w:r>
        <w:t xml:space="preserve"> applied for a captainship, and 10 of them were promoted. Davis himself was promoted to captain the next year when he reapplied using improved paperwork.</w:t>
      </w:r>
    </w:p>
    <w:p w14:paraId="6FD79D4A" w14:textId="77777777" w:rsidR="00E22376" w:rsidRDefault="00E22376" w:rsidP="00E22376">
      <w:pPr>
        <w:pStyle w:val="NoSpacing"/>
        <w:ind w:left="720"/>
      </w:pPr>
    </w:p>
    <w:p w14:paraId="3DBA00C4" w14:textId="77777777" w:rsidR="00E22376" w:rsidRDefault="00E22376" w:rsidP="00E22376">
      <w:pPr>
        <w:pStyle w:val="NoSpacing"/>
        <w:ind w:left="720"/>
      </w:pPr>
      <w:r>
        <w:t>***</w:t>
      </w:r>
    </w:p>
    <w:p w14:paraId="23BC33CD" w14:textId="77777777" w:rsidR="00E22376" w:rsidRPr="004A682C" w:rsidRDefault="00E22376" w:rsidP="00E22376">
      <w:pPr>
        <w:pStyle w:val="NoSpacing"/>
        <w:ind w:left="720"/>
        <w:rPr>
          <w:bCs/>
        </w:rPr>
      </w:pPr>
    </w:p>
    <w:p w14:paraId="061BF5B9" w14:textId="77777777" w:rsidR="00E22376" w:rsidRDefault="00E22376" w:rsidP="00E22376">
      <w:pPr>
        <w:pStyle w:val="NoSpacing"/>
        <w:ind w:left="720"/>
      </w:pPr>
      <w:r>
        <w:t xml:space="preserve">Davis’s description of events in his brief shows his promotion was delayed by administrative error. He writes that his supervisor, Captain </w:t>
      </w:r>
      <w:proofErr w:type="gramStart"/>
      <w:r>
        <w:t>Williams, ‘</w:t>
      </w:r>
      <w:proofErr w:type="gramEnd"/>
      <w:r>
        <w:t xml:space="preserve">originally failed to include a list of [Davis’s] EAP’s in </w:t>
      </w:r>
      <w:proofErr w:type="spellStart"/>
      <w:r>
        <w:t>Davis’</w:t>
      </w:r>
      <w:proofErr w:type="spellEnd"/>
      <w:r>
        <w:t xml:space="preserve"> Performance Evaluation.’ Davis does not claim Williams, who is </w:t>
      </w:r>
      <w:proofErr w:type="gramStart"/>
      <w:r>
        <w:t>African-American</w:t>
      </w:r>
      <w:proofErr w:type="gramEnd"/>
      <w:r>
        <w:t xml:space="preserve">, was motivated by racism. Davis further writes that Williams agreed to amend the evaluation, and ‘was expected to send the amended page to the appropriate person or department such that the Performance Evaluation could be officially amended and an amended copy placed in </w:t>
      </w:r>
      <w:proofErr w:type="spellStart"/>
      <w:r>
        <w:t>Davis’</w:t>
      </w:r>
      <w:proofErr w:type="spellEnd"/>
      <w:r>
        <w:t xml:space="preserve"> personnel file. . . . While Williams intended to send the amendment page of the performance evaluation up through channels, Davis later discovered his performance evaluation that should have contained the amendment was not back in his personnel file. He surmises, ‘it is highly likely that the amended performance evaluation got lost in the chain.’</w:t>
      </w:r>
    </w:p>
    <w:p w14:paraId="79AE8129" w14:textId="77777777" w:rsidR="00E22376" w:rsidRDefault="00E22376" w:rsidP="00E22376">
      <w:pPr>
        <w:pStyle w:val="NoSpacing"/>
        <w:ind w:left="720"/>
      </w:pPr>
    </w:p>
    <w:p w14:paraId="369E029F" w14:textId="77777777" w:rsidR="00E22376" w:rsidRDefault="00E22376" w:rsidP="00E22376">
      <w:pPr>
        <w:pStyle w:val="NoSpacing"/>
        <w:ind w:left="720"/>
      </w:pPr>
      <w:r>
        <w:t>***</w:t>
      </w:r>
    </w:p>
    <w:p w14:paraId="66D769FF" w14:textId="77777777" w:rsidR="00E22376" w:rsidRDefault="00E22376" w:rsidP="00E22376">
      <w:pPr>
        <w:pStyle w:val="NoSpacing"/>
        <w:ind w:left="720"/>
      </w:pPr>
      <w:r>
        <w:t>County offered evidence that six candidates of various races (Latino, White, and Filipino) were denied points for insufficiently documented work activities; Davis was not treated differently.”</w:t>
      </w:r>
    </w:p>
    <w:p w14:paraId="710A4C7A" w14:textId="77777777" w:rsidR="00E22376" w:rsidRDefault="00E22376" w:rsidP="00E22376">
      <w:pPr>
        <w:pStyle w:val="NoSpacing"/>
        <w:ind w:left="720"/>
      </w:pPr>
    </w:p>
    <w:p w14:paraId="3324D34A" w14:textId="7F8AA682" w:rsidR="00E22376" w:rsidRDefault="00E22376" w:rsidP="00E22376">
      <w:pPr>
        <w:pStyle w:val="NoSpacing"/>
        <w:rPr>
          <w:b/>
          <w:bCs/>
        </w:rPr>
      </w:pPr>
      <w:r>
        <w:rPr>
          <w:b/>
        </w:rPr>
        <w:t xml:space="preserve">Lesson learned: The County proved that there was a paperwork issue, </w:t>
      </w:r>
      <w:proofErr w:type="gramStart"/>
      <w:r>
        <w:rPr>
          <w:b/>
        </w:rPr>
        <w:t>similar to</w:t>
      </w:r>
      <w:proofErr w:type="gramEnd"/>
      <w:r>
        <w:rPr>
          <w:b/>
        </w:rPr>
        <w:t xml:space="preserve"> six other candidates, not race.  </w:t>
      </w:r>
    </w:p>
    <w:p w14:paraId="0CF017CB" w14:textId="77777777" w:rsidR="009D5C36" w:rsidRDefault="009D5C36" w:rsidP="00456C91">
      <w:pPr>
        <w:rPr>
          <w:rFonts w:ascii="Arial Black" w:hAnsi="Arial Black"/>
          <w:b/>
          <w:sz w:val="24"/>
          <w:szCs w:val="24"/>
        </w:rPr>
      </w:pPr>
    </w:p>
    <w:p w14:paraId="1D8FC3DD" w14:textId="77777777" w:rsidR="001B367D" w:rsidRDefault="001B367D" w:rsidP="00456C91">
      <w:pPr>
        <w:rPr>
          <w:rFonts w:ascii="Arial Black" w:hAnsi="Arial Black"/>
          <w:b/>
          <w:sz w:val="24"/>
          <w:szCs w:val="24"/>
        </w:rPr>
      </w:pPr>
    </w:p>
    <w:p w14:paraId="1E6F89B8" w14:textId="7E002B3E" w:rsidR="001B367D" w:rsidRDefault="001B367D" w:rsidP="00456C91">
      <w:pPr>
        <w:rPr>
          <w:rFonts w:ascii="Arial Black" w:hAnsi="Arial Black"/>
          <w:b/>
          <w:sz w:val="24"/>
          <w:szCs w:val="24"/>
        </w:rPr>
      </w:pPr>
      <w:r>
        <w:rPr>
          <w:rFonts w:ascii="Arial Black" w:hAnsi="Arial Black"/>
          <w:b/>
          <w:sz w:val="24"/>
          <w:szCs w:val="24"/>
        </w:rPr>
        <w:t>8-84</w:t>
      </w:r>
    </w:p>
    <w:p w14:paraId="4805D631" w14:textId="1703EA61" w:rsidR="00BE5492" w:rsidRDefault="00BE5492" w:rsidP="00BE5492">
      <w:pPr>
        <w:pStyle w:val="NoSpacing"/>
        <w:rPr>
          <w:rFonts w:ascii="Arial Black" w:hAnsi="Arial Black"/>
          <w:sz w:val="28"/>
          <w:szCs w:val="28"/>
        </w:rPr>
      </w:pPr>
      <w:r>
        <w:rPr>
          <w:rFonts w:ascii="Arial Black" w:hAnsi="Arial Black"/>
          <w:sz w:val="28"/>
          <w:szCs w:val="28"/>
        </w:rPr>
        <w:t>LA: NOT RACE  – COMPETENCY EXAM</w:t>
      </w:r>
      <w:r w:rsidR="0012290C">
        <w:rPr>
          <w:rFonts w:ascii="Arial Black" w:hAnsi="Arial Black"/>
          <w:sz w:val="28"/>
          <w:szCs w:val="28"/>
        </w:rPr>
        <w:t xml:space="preserve"> IN</w:t>
      </w:r>
      <w:r>
        <w:rPr>
          <w:rFonts w:ascii="Arial Black" w:hAnsi="Arial Black"/>
          <w:sz w:val="28"/>
          <w:szCs w:val="28"/>
        </w:rPr>
        <w:t xml:space="preserve"> PRE-PLANS JOB REQ. </w:t>
      </w:r>
    </w:p>
    <w:p w14:paraId="22F6F27D" w14:textId="77777777" w:rsidR="00BE5492" w:rsidRDefault="00BE5492" w:rsidP="00BE5492">
      <w:pPr>
        <w:pStyle w:val="NoSpacing"/>
      </w:pPr>
    </w:p>
    <w:p w14:paraId="76C17355" w14:textId="77777777" w:rsidR="00BE5492" w:rsidRPr="005D412D" w:rsidRDefault="00BE5492" w:rsidP="00BE5492">
      <w:pPr>
        <w:pStyle w:val="NoSpacing"/>
        <w:rPr>
          <w:bCs/>
        </w:rPr>
      </w:pPr>
      <w:r>
        <w:t xml:space="preserve">On Oct. 17, 2025, in </w:t>
      </w:r>
      <w:r w:rsidRPr="005D412D">
        <w:rPr>
          <w:u w:val="single"/>
        </w:rPr>
        <w:t>Felicia Scroggins v. City of Shreveport</w:t>
      </w:r>
      <w:r w:rsidRPr="005D412D">
        <w:t xml:space="preserve">, </w:t>
      </w:r>
      <w:r>
        <w:t>the U.S. Court of Appeals for 5</w:t>
      </w:r>
      <w:r w:rsidRPr="005D412D">
        <w:rPr>
          <w:vertAlign w:val="superscript"/>
        </w:rPr>
        <w:t>th</w:t>
      </w:r>
      <w:r>
        <w:t xml:space="preserve"> Circuit (New Orleans) upheld (3 to 0) the dismissal of her race and sex discrimination lawsuit. In her pro se appeal brief “</w:t>
      </w:r>
      <w:r w:rsidRPr="00012AD3">
        <w:t>of the ten cases Scroggins cites, four appear to be fake</w:t>
      </w:r>
      <w:r>
        <w:t>.”  The fire department conducted a competency exam for personnel seeking to join the pre-plan review unit;   she didn’t even take the exam for the second bid process. Court held that the U.S. District Court judge granted summary judgment to the city, and “</w:t>
      </w:r>
      <w:r w:rsidRPr="00AE3FCF">
        <w:t xml:space="preserve">explained that she had failed to </w:t>
      </w:r>
      <w:r>
        <w:t>‘</w:t>
      </w:r>
      <w:r w:rsidRPr="00AE3FCF">
        <w:t>produce[] . . .</w:t>
      </w:r>
      <w:r>
        <w:t xml:space="preserve"> </w:t>
      </w:r>
      <w:r w:rsidRPr="00AE3FCF">
        <w:t>competent summary judgment evidence</w:t>
      </w:r>
      <w:r>
        <w:t>’</w:t>
      </w:r>
      <w:r w:rsidRPr="00AE3FCF">
        <w:t xml:space="preserve"> of pretext necessary to survive</w:t>
      </w:r>
      <w:r>
        <w:t xml:space="preserve"> </w:t>
      </w:r>
      <w:r w:rsidRPr="00AE3FCF">
        <w:t>summary judgment on any theory of retaliation</w:t>
      </w:r>
      <w:r>
        <w:t xml:space="preserve">… </w:t>
      </w:r>
      <w:r w:rsidRPr="00AE3FCF">
        <w:t>She points us to no part of</w:t>
      </w:r>
      <w:r>
        <w:t xml:space="preserve"> </w:t>
      </w:r>
      <w:r w:rsidRPr="00AE3FCF">
        <w:t>the record showing otherwise and has accordingly forfeited her challenge.</w:t>
      </w:r>
      <w:r>
        <w:t xml:space="preserve">” </w:t>
      </w:r>
      <w:r w:rsidRPr="00226503">
        <w:t>Scroggins ceased employment with the SFD in January 2023.</w:t>
      </w:r>
    </w:p>
    <w:p w14:paraId="7672807B" w14:textId="77777777" w:rsidR="00BE5492" w:rsidRDefault="00BE5492" w:rsidP="00BE5492">
      <w:pPr>
        <w:pStyle w:val="NoSpacing"/>
        <w:rPr>
          <w:bCs/>
        </w:rPr>
      </w:pPr>
      <w:hyperlink r:id="rId1434" w:history="1">
        <w:r w:rsidRPr="00D86B5D">
          <w:rPr>
            <w:rStyle w:val="Hyperlink"/>
          </w:rPr>
          <w:t>https://www.ca5.uscourts.gov/opinions/pub/24/24-30777-CV0.pdf</w:t>
        </w:r>
      </w:hyperlink>
      <w:r>
        <w:t xml:space="preserve"> </w:t>
      </w:r>
    </w:p>
    <w:p w14:paraId="21B7F196" w14:textId="77777777" w:rsidR="00BE5492" w:rsidRDefault="00BE5492" w:rsidP="00BE5492">
      <w:pPr>
        <w:pStyle w:val="NoSpacing"/>
        <w:rPr>
          <w:bCs/>
        </w:rPr>
      </w:pPr>
    </w:p>
    <w:p w14:paraId="28BBC78F" w14:textId="77777777" w:rsidR="00BE5492" w:rsidRDefault="00BE5492" w:rsidP="00BE5492">
      <w:pPr>
        <w:pStyle w:val="NoSpacing"/>
        <w:rPr>
          <w:bCs/>
        </w:rPr>
      </w:pPr>
      <w:r>
        <w:t xml:space="preserve">THE DISRICT COURT HOLDING: </w:t>
      </w:r>
    </w:p>
    <w:p w14:paraId="46E3780A" w14:textId="77777777" w:rsidR="00BE5492" w:rsidRDefault="00BE5492" w:rsidP="00BE5492">
      <w:pPr>
        <w:pStyle w:val="NoSpacing"/>
        <w:rPr>
          <w:bCs/>
        </w:rPr>
      </w:pPr>
    </w:p>
    <w:p w14:paraId="1F80EF3A" w14:textId="77777777" w:rsidR="00BE5492" w:rsidRDefault="00BE5492" w:rsidP="00BE5492">
      <w:pPr>
        <w:pStyle w:val="NoSpacing"/>
        <w:rPr>
          <w:bCs/>
        </w:rPr>
      </w:pPr>
      <w:r>
        <w:t xml:space="preserve">On Nov. 13, 2024, United States District Court Judge S. Maurica Hicks, Jr. granted summary judgment to the </w:t>
      </w:r>
      <w:proofErr w:type="gramStart"/>
      <w:r>
        <w:t>City</w:t>
      </w:r>
      <w:proofErr w:type="gramEnd"/>
      <w:r>
        <w:t xml:space="preserve">. </w:t>
      </w:r>
      <w:hyperlink r:id="rId1435" w:history="1">
        <w:r w:rsidRPr="00D86B5D">
          <w:rPr>
            <w:rStyle w:val="Hyperlink"/>
          </w:rPr>
          <w:t>https://www.casemine.com/judgement/us/6736ce6c5891a561b0d805aa</w:t>
        </w:r>
      </w:hyperlink>
      <w:r>
        <w:t xml:space="preserve"> </w:t>
      </w:r>
    </w:p>
    <w:p w14:paraId="30664483" w14:textId="77777777" w:rsidR="00BE5492" w:rsidRDefault="00BE5492" w:rsidP="00BE5492">
      <w:pPr>
        <w:pStyle w:val="NoSpacing"/>
      </w:pPr>
    </w:p>
    <w:p w14:paraId="5E5F1128" w14:textId="77777777" w:rsidR="00BE5492" w:rsidRPr="000E3394" w:rsidRDefault="00BE5492" w:rsidP="00BE5492">
      <w:pPr>
        <w:pStyle w:val="NoSpacing"/>
      </w:pPr>
      <w:r>
        <w:tab/>
        <w:t>“</w:t>
      </w:r>
      <w:r w:rsidRPr="000E3394">
        <w:t>In his sworn declaration, Chief Scott Wolverton (</w:t>
      </w:r>
      <w:r>
        <w:t>‘</w:t>
      </w:r>
      <w:r w:rsidRPr="000E3394">
        <w:t>Chief Wolverton</w:t>
      </w:r>
      <w:r>
        <w:t>’</w:t>
      </w:r>
      <w:r w:rsidRPr="000E3394">
        <w:t xml:space="preserve">) stated: </w:t>
      </w:r>
    </w:p>
    <w:p w14:paraId="002214E2" w14:textId="77777777" w:rsidR="00BE5492" w:rsidRDefault="00BE5492" w:rsidP="00BE5492">
      <w:pPr>
        <w:pStyle w:val="NoSpacing"/>
        <w:ind w:left="1440"/>
      </w:pPr>
      <w:r w:rsidRPr="000E3394">
        <w:t xml:space="preserve">After I became Chief in February 2015, I decided to implement a competency test on pre-plans for all SFD personnel bidding for as assignment at Station 22. I did so to ensure that Station 22 would be staffed </w:t>
      </w:r>
      <w:r>
        <w:t xml:space="preserve"> </w:t>
      </w:r>
      <w:r w:rsidRPr="000E3394">
        <w:t>by individuals that were the most knowledgeable on pre-</w:t>
      </w:r>
      <w:proofErr w:type="gramStart"/>
      <w:r w:rsidRPr="000E3394">
        <w:t>plans</w:t>
      </w:r>
      <w:proofErr w:type="gramEnd"/>
      <w:r w:rsidRPr="000E3394">
        <w:t xml:space="preserve">, because they are vitally important to the SFD's mission and operations. </w:t>
      </w:r>
    </w:p>
    <w:p w14:paraId="3687E46A" w14:textId="77777777" w:rsidR="00BE5492" w:rsidRDefault="00BE5492" w:rsidP="00BE5492">
      <w:pPr>
        <w:pStyle w:val="NoSpacing"/>
      </w:pPr>
      <w:r>
        <w:tab/>
        <w:t>***</w:t>
      </w:r>
    </w:p>
    <w:p w14:paraId="165286D6" w14:textId="77777777" w:rsidR="00BE5492" w:rsidRDefault="00BE5492" w:rsidP="00BE5492">
      <w:pPr>
        <w:pStyle w:val="NoSpacing"/>
      </w:pPr>
    </w:p>
    <w:p w14:paraId="770B76D0" w14:textId="77777777" w:rsidR="00BE5492" w:rsidRDefault="00BE5492" w:rsidP="00BE5492">
      <w:pPr>
        <w:pStyle w:val="NoSpacing"/>
        <w:ind w:left="720"/>
      </w:pPr>
      <w:r w:rsidRPr="007805E1">
        <w:t>On August 10, 2015, Deputy Chief Jones issued an Inter-Office Memorandum to all SFD personnel advising that all personnel - regardless of rank - bidding for a position at Station 22 would be required to complete a competency test to ensure they have the necessary skills for the assignment</w:t>
      </w:r>
      <w:r>
        <w:t>….</w:t>
      </w:r>
      <w:r w:rsidRPr="005C5356">
        <w:t>The competency test was administered between September 10-16, 2015</w:t>
      </w:r>
      <w:r>
        <w:t xml:space="preserve">…. </w:t>
      </w:r>
      <w:r w:rsidRPr="007D1E86">
        <w:t>Scroggins admits that she “chose not to even begin the test.”</w:t>
      </w:r>
    </w:p>
    <w:p w14:paraId="0DD9F6D0" w14:textId="77777777" w:rsidR="00BE5492" w:rsidRDefault="00BE5492" w:rsidP="00BE5492">
      <w:pPr>
        <w:pStyle w:val="NoSpacing"/>
        <w:ind w:left="720"/>
      </w:pPr>
    </w:p>
    <w:p w14:paraId="7DDE36BE" w14:textId="04273A6C" w:rsidR="00BE5492" w:rsidRPr="008D55C4" w:rsidRDefault="00BE5492" w:rsidP="00BE5492">
      <w:pPr>
        <w:pStyle w:val="NoSpacing"/>
        <w:rPr>
          <w:b/>
          <w:bCs/>
        </w:rPr>
      </w:pPr>
      <w:r>
        <w:rPr>
          <w:b/>
        </w:rPr>
        <w:t>Lesson learned: Competency exam is excellent way to fill a pre-plan review position.</w:t>
      </w:r>
    </w:p>
    <w:p w14:paraId="50E7052B" w14:textId="77777777" w:rsidR="00BE5492" w:rsidRDefault="00BE5492" w:rsidP="00BE5492">
      <w:pPr>
        <w:pStyle w:val="NoSpacing"/>
        <w:ind w:left="720"/>
      </w:pPr>
    </w:p>
    <w:p w14:paraId="03710A78" w14:textId="77777777" w:rsidR="009D5C36" w:rsidRDefault="009D5C36" w:rsidP="00456C91">
      <w:pPr>
        <w:rPr>
          <w:rFonts w:ascii="Arial Black" w:hAnsi="Arial Black"/>
          <w:b/>
          <w:sz w:val="24"/>
          <w:szCs w:val="24"/>
        </w:rPr>
      </w:pPr>
    </w:p>
    <w:p w14:paraId="22A92447" w14:textId="5560F3AD" w:rsidR="000F3890" w:rsidRDefault="000F3890" w:rsidP="00456C91">
      <w:pPr>
        <w:rPr>
          <w:rFonts w:ascii="Arial Black" w:hAnsi="Arial Black"/>
          <w:b/>
          <w:sz w:val="24"/>
          <w:szCs w:val="24"/>
        </w:rPr>
      </w:pPr>
      <w:r>
        <w:rPr>
          <w:rFonts w:ascii="Arial Black" w:hAnsi="Arial Black"/>
          <w:b/>
          <w:sz w:val="24"/>
          <w:szCs w:val="24"/>
        </w:rPr>
        <w:t>8-83</w:t>
      </w:r>
    </w:p>
    <w:p w14:paraId="6E4CA291" w14:textId="77777777" w:rsidR="000F3890" w:rsidRDefault="000F3890" w:rsidP="000F3890">
      <w:pPr>
        <w:rPr>
          <w:rFonts w:ascii="Arial Black" w:hAnsi="Arial Black"/>
          <w:b/>
          <w:sz w:val="28"/>
          <w:szCs w:val="28"/>
        </w:rPr>
      </w:pPr>
      <w:r>
        <w:rPr>
          <w:rFonts w:ascii="Arial Black" w:hAnsi="Arial Black"/>
          <w:b/>
          <w:sz w:val="28"/>
          <w:szCs w:val="28"/>
        </w:rPr>
        <w:t xml:space="preserve">KS: PROMOTION 4 D/C – PANEL RATED BLACK LOWEST </w:t>
      </w:r>
    </w:p>
    <w:p w14:paraId="0D05824D" w14:textId="77777777" w:rsidR="000F3890" w:rsidRDefault="000F3890" w:rsidP="000F3890">
      <w:pPr>
        <w:rPr>
          <w:bCs/>
        </w:rPr>
      </w:pPr>
      <w:r w:rsidRPr="00291724">
        <w:t xml:space="preserve">On Sept. 3, 2025, in </w:t>
      </w:r>
      <w:r w:rsidRPr="00291724">
        <w:rPr>
          <w:u w:val="single"/>
        </w:rPr>
        <w:t>Brently Dorsey v. City of Topeka, Kansas</w:t>
      </w:r>
      <w:r w:rsidRPr="00291724">
        <w:t xml:space="preserve">, </w:t>
      </w:r>
      <w:r>
        <w:t xml:space="preserve">U.S. District Court Judge Holly L. Teeter, United States District Court for District of Kansas, granted defense motion for summary judgment after close of discovery concerning </w:t>
      </w:r>
      <w:r>
        <w:lastRenderedPageBreak/>
        <w:t xml:space="preserve">Black Captain’s allegations of race discrimination and violation of Americans with Disabilities Act.  He had been on light duty for </w:t>
      </w:r>
      <w:r w:rsidRPr="00F54F8D">
        <w:t>leukemia</w:t>
      </w:r>
      <w:r>
        <w:t xml:space="preserve">. Seven candidates were interviewed for the four open District Chief positions.  They were interviewed by panel of four (3 outside the FD ).  Plaintiff scored lowest (117 points); four highest were promoted (174; 168; 164; 161).  </w:t>
      </w:r>
    </w:p>
    <w:p w14:paraId="27646D8F" w14:textId="77777777" w:rsidR="000F3890" w:rsidRDefault="000F3890" w:rsidP="000F3890">
      <w:r w:rsidRPr="0028702B">
        <w:rPr>
          <w:b/>
        </w:rPr>
        <w:t xml:space="preserve">THE COURT HELD: </w:t>
      </w:r>
      <w:r>
        <w:t>“</w:t>
      </w:r>
      <w:r w:rsidRPr="00404A20">
        <w:t xml:space="preserve">He scored seventh out of seven and there were only four open Division Chief positions. The promotions went to the top four scorers…. </w:t>
      </w:r>
      <w:r w:rsidRPr="003C5836">
        <w:t>In sum, Dorsey points to almost nothing that would allow a factfinder to believe that the stated, non-discriminatory reason for the promotions was unworthy of belief</w:t>
      </w:r>
      <w:r>
        <w:t xml:space="preserve">…. </w:t>
      </w:r>
      <w:r w:rsidRPr="000F378A">
        <w:t xml:space="preserve">But there is nothing in the record that </w:t>
      </w:r>
      <w:r>
        <w:t xml:space="preserve">[Fire Chief Randy] </w:t>
      </w:r>
      <w:r w:rsidRPr="000F378A">
        <w:t>Phillips</w:t>
      </w:r>
      <w:r>
        <w:t xml:space="preserve"> (white male)</w:t>
      </w:r>
      <w:r w:rsidRPr="000F378A">
        <w:t xml:space="preserve"> or </w:t>
      </w:r>
      <w:r>
        <w:t xml:space="preserve">[Deputy </w:t>
      </w:r>
      <w:r w:rsidRPr="004D25A2">
        <w:t>Antony</w:t>
      </w:r>
      <w:r>
        <w:t xml:space="preserve">] </w:t>
      </w:r>
      <w:r w:rsidRPr="000F378A">
        <w:t xml:space="preserve">Standifer </w:t>
      </w:r>
      <w:r>
        <w:t xml:space="preserve">(Hispanic male) </w:t>
      </w:r>
      <w:r w:rsidRPr="000F378A">
        <w:t>have any racial animus toward Dorsey or anyone else. Dorsey is not entitled to a trial for race discrimination simply because there have been historical issues or because other firefighters have brought claims of race discrimination unrelated to this case. Mere conjecture that race discrimination is afoot is not enough to defeat summary judgment.</w:t>
      </w:r>
      <w:r>
        <w:t xml:space="preserve">” </w:t>
      </w:r>
      <w:hyperlink r:id="rId1436" w:history="1">
        <w:r w:rsidRPr="00204094">
          <w:rPr>
            <w:rStyle w:val="Hyperlink"/>
          </w:rPr>
          <w:t>https://cases.justia.com/federal/district-courts/kansas/ksdce/2:2023cv02422/149254/113/0.pdf?ts=1756979784</w:t>
        </w:r>
      </w:hyperlink>
      <w:r>
        <w:t xml:space="preserve"> </w:t>
      </w:r>
    </w:p>
    <w:p w14:paraId="52CBD985" w14:textId="77777777" w:rsidR="000F3890" w:rsidRPr="008A2BFE" w:rsidRDefault="000F3890" w:rsidP="000F3890">
      <w:pPr>
        <w:rPr>
          <w:b/>
          <w:bCs/>
        </w:rPr>
      </w:pPr>
      <w:r w:rsidRPr="008A2BFE">
        <w:rPr>
          <w:b/>
        </w:rPr>
        <w:t xml:space="preserve">KEY FACTS: </w:t>
      </w:r>
    </w:p>
    <w:p w14:paraId="7164A399" w14:textId="77777777" w:rsidR="000F3890" w:rsidRDefault="000F3890" w:rsidP="000F3890">
      <w:pPr>
        <w:pStyle w:val="NoSpacing"/>
        <w:ind w:left="720"/>
      </w:pPr>
      <w:r>
        <w:t xml:space="preserve">“Dorsey was not promoted to Division Chief in 2022 and contends the decision not to promote him was discrimination based on race and disability. The </w:t>
      </w:r>
      <w:proofErr w:type="gramStart"/>
      <w:r>
        <w:t>City</w:t>
      </w:r>
      <w:proofErr w:type="gramEnd"/>
      <w:r>
        <w:t xml:space="preserve"> contends it did not promote Dorsey because he received the lowest scores. The </w:t>
      </w:r>
      <w:proofErr w:type="gramStart"/>
      <w:r>
        <w:t>City</w:t>
      </w:r>
      <w:proofErr w:type="gramEnd"/>
      <w:r>
        <w:t xml:space="preserve"> notes that Dorsey and six others interviewed for four open positions. Dorsey scored the lowest; the top four scorers were promoted into the four open positions. The </w:t>
      </w:r>
      <w:proofErr w:type="gramStart"/>
      <w:r>
        <w:t>City</w:t>
      </w:r>
      <w:proofErr w:type="gramEnd"/>
      <w:r>
        <w:t xml:space="preserve"> moves for summary judgment on all claims. Doc. 97.</w:t>
      </w:r>
    </w:p>
    <w:p w14:paraId="3CE50E15" w14:textId="77777777" w:rsidR="000F3890" w:rsidRDefault="000F3890" w:rsidP="000F3890">
      <w:pPr>
        <w:pStyle w:val="NoSpacing"/>
        <w:ind w:left="720"/>
      </w:pPr>
    </w:p>
    <w:p w14:paraId="3A5A0BE1" w14:textId="77777777" w:rsidR="000F3890" w:rsidRDefault="000F3890" w:rsidP="000F3890">
      <w:pPr>
        <w:pStyle w:val="NoSpacing"/>
        <w:ind w:left="720"/>
      </w:pPr>
      <w:r>
        <w:t xml:space="preserve">The Court grants the motion and enters judgment in favor of the </w:t>
      </w:r>
      <w:proofErr w:type="gramStart"/>
      <w:r>
        <w:t>City</w:t>
      </w:r>
      <w:proofErr w:type="gramEnd"/>
      <w:r>
        <w:t>. Dorsey’s claim for</w:t>
      </w:r>
    </w:p>
    <w:p w14:paraId="2B867ED2" w14:textId="77777777" w:rsidR="000F3890" w:rsidRDefault="000F3890" w:rsidP="000F3890">
      <w:pPr>
        <w:pStyle w:val="NoSpacing"/>
        <w:ind w:left="720"/>
      </w:pPr>
      <w:r>
        <w:t xml:space="preserve">race discrimination fails because he has not come forward with evidence of pretext. Dorsey’s claim for disability discrimination fails because he can’t show discrimination or pretext. Dorsey’s claim for constructive discharge fails because he voluntarily retired. And Dorsey’s failure-to-accommodate claim fails because a promotion is not a reasonable accommodation and because </w:t>
      </w:r>
      <w:proofErr w:type="spellStart"/>
      <w:r>
        <w:t>hewas</w:t>
      </w:r>
      <w:proofErr w:type="spellEnd"/>
      <w:r>
        <w:t xml:space="preserve"> otherwise accommodated until he voluntarily retired.”</w:t>
      </w:r>
    </w:p>
    <w:p w14:paraId="61BC0E16" w14:textId="77777777" w:rsidR="000F3890" w:rsidRDefault="000F3890" w:rsidP="000F3890"/>
    <w:p w14:paraId="06754CFE" w14:textId="77777777" w:rsidR="000F3890" w:rsidRPr="00272DFC" w:rsidRDefault="000F3890" w:rsidP="000F3890">
      <w:pPr>
        <w:rPr>
          <w:b/>
          <w:bCs/>
        </w:rPr>
      </w:pPr>
      <w:r>
        <w:t>“</w:t>
      </w:r>
      <w:r w:rsidRPr="00272DFC">
        <w:rPr>
          <w:b/>
        </w:rPr>
        <w:t>Legal lesson learned: The promotion process was fair; plaintiff had no evidence of race discrimination or disability discrimination.</w:t>
      </w:r>
    </w:p>
    <w:p w14:paraId="30DFE481" w14:textId="77777777" w:rsidR="000F3890" w:rsidRDefault="000F3890" w:rsidP="00456C91">
      <w:pPr>
        <w:rPr>
          <w:rFonts w:ascii="Arial Black" w:hAnsi="Arial Black"/>
          <w:b/>
          <w:sz w:val="24"/>
          <w:szCs w:val="24"/>
        </w:rPr>
      </w:pPr>
    </w:p>
    <w:p w14:paraId="2AB86CF2" w14:textId="7081712E" w:rsidR="006959F8" w:rsidRDefault="006959F8" w:rsidP="00456C91">
      <w:pPr>
        <w:rPr>
          <w:rFonts w:ascii="Arial Black" w:hAnsi="Arial Black"/>
          <w:b/>
          <w:sz w:val="24"/>
          <w:szCs w:val="24"/>
        </w:rPr>
      </w:pPr>
      <w:r>
        <w:rPr>
          <w:rFonts w:ascii="Arial Black" w:hAnsi="Arial Black"/>
          <w:b/>
          <w:sz w:val="24"/>
          <w:szCs w:val="24"/>
        </w:rPr>
        <w:t>8-</w:t>
      </w:r>
      <w:r w:rsidR="008409F5">
        <w:rPr>
          <w:rFonts w:ascii="Arial Black" w:hAnsi="Arial Black"/>
          <w:b/>
          <w:sz w:val="24"/>
          <w:szCs w:val="24"/>
        </w:rPr>
        <w:t>8</w:t>
      </w:r>
      <w:r w:rsidR="00113A3A">
        <w:rPr>
          <w:rFonts w:ascii="Arial Black" w:hAnsi="Arial Black"/>
          <w:b/>
          <w:sz w:val="24"/>
          <w:szCs w:val="24"/>
        </w:rPr>
        <w:t>2</w:t>
      </w:r>
    </w:p>
    <w:p w14:paraId="3CA66241" w14:textId="77777777" w:rsidR="00FD4027" w:rsidRDefault="00F779AB" w:rsidP="00F779AB">
      <w:pPr>
        <w:rPr>
          <w:rFonts w:ascii="Arial Black" w:hAnsi="Arial Black"/>
          <w:b/>
          <w:sz w:val="28"/>
          <w:szCs w:val="28"/>
        </w:rPr>
      </w:pPr>
      <w:r>
        <w:rPr>
          <w:rFonts w:ascii="Arial Black" w:hAnsi="Arial Black"/>
          <w:b/>
          <w:sz w:val="28"/>
          <w:szCs w:val="28"/>
        </w:rPr>
        <w:t xml:space="preserve">CA: </w:t>
      </w:r>
      <w:r w:rsidR="005779CA">
        <w:rPr>
          <w:rFonts w:ascii="Arial Black" w:hAnsi="Arial Black"/>
          <w:b/>
          <w:sz w:val="28"/>
          <w:szCs w:val="28"/>
        </w:rPr>
        <w:t xml:space="preserve">REPRIMANDS </w:t>
      </w:r>
      <w:r w:rsidR="00C4400E">
        <w:rPr>
          <w:rFonts w:ascii="Arial Black" w:hAnsi="Arial Black"/>
          <w:b/>
          <w:sz w:val="28"/>
          <w:szCs w:val="28"/>
        </w:rPr>
        <w:t xml:space="preserve">/ </w:t>
      </w:r>
      <w:r>
        <w:rPr>
          <w:rFonts w:ascii="Arial Black" w:hAnsi="Arial Black"/>
          <w:b/>
          <w:sz w:val="28"/>
          <w:szCs w:val="28"/>
        </w:rPr>
        <w:t xml:space="preserve">NEG. PERFORM. REVIEWS </w:t>
      </w:r>
      <w:r w:rsidR="00075181">
        <w:rPr>
          <w:rFonts w:ascii="Arial Black" w:hAnsi="Arial Black"/>
          <w:b/>
          <w:sz w:val="28"/>
          <w:szCs w:val="28"/>
        </w:rPr>
        <w:t>–</w:t>
      </w:r>
      <w:r>
        <w:rPr>
          <w:rFonts w:ascii="Arial Black" w:hAnsi="Arial Black"/>
          <w:b/>
          <w:sz w:val="28"/>
          <w:szCs w:val="28"/>
        </w:rPr>
        <w:t xml:space="preserve"> </w:t>
      </w:r>
      <w:r w:rsidR="00D262D0">
        <w:rPr>
          <w:rFonts w:ascii="Arial Black" w:hAnsi="Arial Black"/>
          <w:b/>
          <w:sz w:val="28"/>
          <w:szCs w:val="28"/>
        </w:rPr>
        <w:t xml:space="preserve">BLACK </w:t>
      </w:r>
      <w:r w:rsidR="005779CA">
        <w:rPr>
          <w:rFonts w:ascii="Arial Black" w:hAnsi="Arial Black"/>
          <w:b/>
          <w:sz w:val="28"/>
          <w:szCs w:val="28"/>
        </w:rPr>
        <w:t xml:space="preserve">PROB FF - </w:t>
      </w:r>
      <w:r w:rsidR="00075181">
        <w:rPr>
          <w:rFonts w:ascii="Arial Black" w:hAnsi="Arial Black"/>
          <w:b/>
          <w:sz w:val="28"/>
          <w:szCs w:val="28"/>
        </w:rPr>
        <w:t xml:space="preserve">NO CASE </w:t>
      </w:r>
    </w:p>
    <w:p w14:paraId="4EBC2363" w14:textId="3227D1BF" w:rsidR="00910090" w:rsidRPr="007E74FE" w:rsidRDefault="00F779AB" w:rsidP="00F779AB">
      <w:pPr>
        <w:rPr>
          <w:rFonts w:ascii="Times New Roman" w:hAnsi="Times New Roman"/>
          <w:sz w:val="24"/>
          <w:szCs w:val="24"/>
        </w:rPr>
      </w:pPr>
      <w:r w:rsidRPr="007E74FE">
        <w:rPr>
          <w:rFonts w:ascii="Times New Roman" w:hAnsi="Times New Roman"/>
          <w:sz w:val="24"/>
          <w:szCs w:val="24"/>
        </w:rPr>
        <w:t xml:space="preserve">On July 28, 2025, in </w:t>
      </w:r>
      <w:r w:rsidRPr="007E74FE">
        <w:rPr>
          <w:rFonts w:ascii="Times New Roman" w:hAnsi="Times New Roman"/>
          <w:sz w:val="24"/>
          <w:szCs w:val="24"/>
          <w:u w:val="single"/>
        </w:rPr>
        <w:t>Waris Gildersleeve v. City of Sacramento, Grian Brust, David Lauchner, et al.</w:t>
      </w:r>
      <w:r w:rsidRPr="007E74FE">
        <w:rPr>
          <w:rFonts w:ascii="Times New Roman" w:hAnsi="Times New Roman"/>
          <w:sz w:val="24"/>
          <w:szCs w:val="24"/>
        </w:rPr>
        <w:t xml:space="preserve">, Senior U.S. District Court Judge John A. Mendez, granted summary judgment to the two officers.  Gildersleeve is a firefighter with the City of Sacramento and has been an employee since 2005. During his probationary </w:t>
      </w:r>
      <w:proofErr w:type="gramStart"/>
      <w:r w:rsidRPr="007E74FE">
        <w:rPr>
          <w:rFonts w:ascii="Times New Roman" w:hAnsi="Times New Roman"/>
          <w:sz w:val="24"/>
          <w:szCs w:val="24"/>
        </w:rPr>
        <w:t>period</w:t>
      </w:r>
      <w:proofErr w:type="gramEnd"/>
      <w:r w:rsidRPr="007E74FE">
        <w:rPr>
          <w:rFonts w:ascii="Times New Roman" w:hAnsi="Times New Roman"/>
          <w:sz w:val="24"/>
          <w:szCs w:val="24"/>
        </w:rPr>
        <w:t xml:space="preserve"> he rotated through several fire stations, and when at  Station No. 6 he was supervised by Brust and </w:t>
      </w:r>
      <w:proofErr w:type="gramStart"/>
      <w:r w:rsidRPr="007E74FE">
        <w:rPr>
          <w:rFonts w:ascii="Times New Roman" w:hAnsi="Times New Roman"/>
          <w:sz w:val="24"/>
          <w:szCs w:val="24"/>
        </w:rPr>
        <w:t>Laucher, and</w:t>
      </w:r>
      <w:proofErr w:type="gramEnd"/>
      <w:r w:rsidRPr="007E74FE">
        <w:rPr>
          <w:rFonts w:ascii="Times New Roman" w:hAnsi="Times New Roman"/>
          <w:sz w:val="24"/>
          <w:szCs w:val="24"/>
        </w:rPr>
        <w:t xml:space="preserve"> received some negative performance reviews.   He got through probation, and he ultimately was promoted to a senior fire prevention officer in 2023.  THE COURT HELD: “Thus, the reprimands or negative reviews Gildersleeve received during his temporary probationary period did not ultimately impact his ‘compensation, terms, conditions, or privileges of employment.’ </w:t>
      </w:r>
      <w:r w:rsidRPr="007E74FE">
        <w:rPr>
          <w:rFonts w:ascii="Times New Roman" w:hAnsi="Times New Roman"/>
          <w:i/>
          <w:iCs/>
          <w:sz w:val="24"/>
          <w:szCs w:val="24"/>
        </w:rPr>
        <w:t>Spokoiny</w:t>
      </w:r>
      <w:r w:rsidRPr="007E74FE">
        <w:rPr>
          <w:rFonts w:ascii="Times New Roman" w:hAnsi="Times New Roman"/>
          <w:sz w:val="24"/>
          <w:szCs w:val="24"/>
        </w:rPr>
        <w:t xml:space="preserve">, 2025 WL 752492 at *1. *** Based on </w:t>
      </w:r>
      <w:proofErr w:type="gramStart"/>
      <w:r w:rsidRPr="007E74FE">
        <w:rPr>
          <w:rFonts w:ascii="Times New Roman" w:hAnsi="Times New Roman"/>
          <w:sz w:val="24"/>
          <w:szCs w:val="24"/>
        </w:rPr>
        <w:t>all of</w:t>
      </w:r>
      <w:proofErr w:type="gramEnd"/>
      <w:r w:rsidRPr="007E74FE">
        <w:rPr>
          <w:rFonts w:ascii="Times New Roman" w:hAnsi="Times New Roman"/>
          <w:sz w:val="24"/>
          <w:szCs w:val="24"/>
        </w:rPr>
        <w:t xml:space="preserve"> this evidence, Plaintiff cannot demonstrate a material adverse employment action and therefore cannot establish a prima facie case of racial discrimination. *** Plaintiff does not put forth any evidence that Brust or Lauchner </w:t>
      </w:r>
      <w:r w:rsidRPr="007E74FE">
        <w:rPr>
          <w:rFonts w:ascii="Times New Roman" w:hAnsi="Times New Roman"/>
          <w:sz w:val="24"/>
          <w:szCs w:val="24"/>
        </w:rPr>
        <w:lastRenderedPageBreak/>
        <w:t xml:space="preserve">physically threatened him or that their actions unreasonably interfered with his work performance. At best, the record pertaining to Brust and Lauchner demonstrates that they were indifferent to comments by others and engaged in race-neutral scolding, but not that they affirmatively aided or abetted any racial harassment on their own.” </w:t>
      </w:r>
      <w:hyperlink r:id="rId1437" w:history="1">
        <w:r w:rsidR="00022E5C" w:rsidRPr="00004FA3">
          <w:rPr>
            <w:rStyle w:val="Hyperlink"/>
            <w:rFonts w:ascii="Times New Roman" w:hAnsi="Times New Roman"/>
            <w:sz w:val="24"/>
            <w:szCs w:val="24"/>
          </w:rPr>
          <w:t>https://public.fastcase.com/jaEE2PXzRXmZ99jOLMt1IuS%2F9HpBr5oZUxWDfnHZUAClV0FMS0FkyPj2D073HVCd?utm_medium=email&amp;_hsenc=p2ANqtz-8Af1EW_JVwBhx0UDxsfrXH8_2s6MlC6Pm7CWzCebAgUkWejdyZMRNp9kjbmr3YiOjRBOAIc4DZsyAhk1nZpl--uaoeAg&amp;_hsmi=226712652&amp;utm_content=226712652&amp;utm_source=hs_email</w:t>
        </w:r>
      </w:hyperlink>
      <w:r w:rsidR="00022E5C">
        <w:rPr>
          <w:rFonts w:ascii="Times New Roman" w:hAnsi="Times New Roman"/>
          <w:sz w:val="24"/>
          <w:szCs w:val="24"/>
        </w:rPr>
        <w:t xml:space="preserve"> </w:t>
      </w:r>
    </w:p>
    <w:p w14:paraId="03BB67BD" w14:textId="77777777" w:rsidR="007E74FE" w:rsidRDefault="007E74FE" w:rsidP="007E74FE">
      <w:pPr>
        <w:rPr>
          <w:rFonts w:ascii="Times New Roman" w:hAnsi="Times New Roman"/>
          <w:b/>
          <w:sz w:val="24"/>
          <w:szCs w:val="24"/>
        </w:rPr>
      </w:pPr>
      <w:r w:rsidRPr="007E74FE">
        <w:rPr>
          <w:rFonts w:ascii="Times New Roman" w:hAnsi="Times New Roman"/>
          <w:b/>
          <w:sz w:val="24"/>
          <w:szCs w:val="24"/>
        </w:rPr>
        <w:t>Legal lesson learned:   Plaintiff failed to prove any material adverse employment action by his two supervisors.  The case against the city will proceed on “a failure to prevent racial harassment theory.”</w:t>
      </w:r>
    </w:p>
    <w:p w14:paraId="058C54C0" w14:textId="77777777" w:rsidR="00113A3A" w:rsidRDefault="00113A3A" w:rsidP="007E74FE">
      <w:pPr>
        <w:rPr>
          <w:rFonts w:ascii="Times New Roman" w:hAnsi="Times New Roman"/>
          <w:b/>
          <w:sz w:val="24"/>
          <w:szCs w:val="24"/>
        </w:rPr>
      </w:pPr>
    </w:p>
    <w:p w14:paraId="3F886BB0" w14:textId="68840207" w:rsidR="00113A3A" w:rsidRPr="00C37677" w:rsidRDefault="00C37677" w:rsidP="007E74FE">
      <w:pPr>
        <w:rPr>
          <w:rFonts w:ascii="Arial Black" w:hAnsi="Arial Black"/>
          <w:b/>
          <w:sz w:val="24"/>
          <w:szCs w:val="24"/>
        </w:rPr>
      </w:pPr>
      <w:r w:rsidRPr="00C37677">
        <w:rPr>
          <w:rFonts w:ascii="Arial Black" w:hAnsi="Arial Black"/>
          <w:b/>
          <w:sz w:val="24"/>
          <w:szCs w:val="24"/>
        </w:rPr>
        <w:t>8-81</w:t>
      </w:r>
    </w:p>
    <w:p w14:paraId="7F033586" w14:textId="77777777" w:rsidR="00C37677" w:rsidRDefault="00C37677" w:rsidP="00C37677">
      <w:pPr>
        <w:rPr>
          <w:rFonts w:ascii="Arial Black" w:hAnsi="Arial Black"/>
          <w:b/>
          <w:sz w:val="28"/>
          <w:szCs w:val="28"/>
        </w:rPr>
      </w:pPr>
      <w:r>
        <w:rPr>
          <w:rFonts w:ascii="Arial Black" w:hAnsi="Arial Black"/>
          <w:b/>
          <w:sz w:val="28"/>
          <w:szCs w:val="28"/>
        </w:rPr>
        <w:t>MO: CITY 2022 RETIRED 2013 PROM. LIST B/C AND CAPT</w:t>
      </w:r>
    </w:p>
    <w:p w14:paraId="363DFB85" w14:textId="392955E2" w:rsidR="00113A3A" w:rsidRPr="008B5C50" w:rsidRDefault="00C37677" w:rsidP="00C37677">
      <w:pPr>
        <w:rPr>
          <w:rFonts w:ascii="Times New Roman" w:hAnsi="Times New Roman"/>
          <w:sz w:val="24"/>
          <w:szCs w:val="24"/>
        </w:rPr>
      </w:pPr>
      <w:r w:rsidRPr="008B5C50">
        <w:rPr>
          <w:rFonts w:ascii="Times New Roman" w:hAnsi="Times New Roman"/>
          <w:sz w:val="24"/>
          <w:szCs w:val="24"/>
        </w:rPr>
        <w:t xml:space="preserve">On July 8, 2025, in </w:t>
      </w:r>
      <w:r w:rsidRPr="008B5C50">
        <w:rPr>
          <w:rFonts w:ascii="Times New Roman" w:hAnsi="Times New Roman"/>
          <w:sz w:val="24"/>
          <w:szCs w:val="24"/>
          <w:u w:val="single"/>
        </w:rPr>
        <w:t>Robert Eveland, et al. v. City of St. Louis; Firefighters' Institute for Racial Equality, Inc.; Charles Coyle, Director of the St. Louis Department of Public Safety</w:t>
      </w:r>
      <w:r w:rsidRPr="008B5C50">
        <w:rPr>
          <w:rFonts w:ascii="Times New Roman" w:hAnsi="Times New Roman"/>
          <w:sz w:val="24"/>
          <w:szCs w:val="24"/>
        </w:rPr>
        <w:t xml:space="preserve">, the United States Court of Appeals, Eighth Circuit (St. Louis) held (3 to 0) that the trial court properly granted defense motion to dismiss because the Battalion Chiefs and Captains lacked sufficient property interests in their desired promotions off of the 2013 lists, which were cancelled by Public Safety Director in 2022. The </w:t>
      </w:r>
      <w:proofErr w:type="gramStart"/>
      <w:r w:rsidRPr="008B5C50">
        <w:rPr>
          <w:rFonts w:ascii="Times New Roman" w:hAnsi="Times New Roman"/>
          <w:sz w:val="24"/>
          <w:szCs w:val="24"/>
        </w:rPr>
        <w:t>City</w:t>
      </w:r>
      <w:proofErr w:type="gramEnd"/>
      <w:r w:rsidRPr="008B5C50">
        <w:rPr>
          <w:rFonts w:ascii="Times New Roman" w:hAnsi="Times New Roman"/>
          <w:sz w:val="24"/>
          <w:szCs w:val="24"/>
        </w:rPr>
        <w:t xml:space="preserve"> had previously entered into a settlement agreement concerning the 2013 promotional exams, “to ensure that future promotional examinations are valid and fair and do not unlawfully discriminate against any promotional candidate on the basis of race.”  New exams were supposed to be held in December 2018 (and every three years thereafter) but due to budget cuts the 2013 lists were used until early 2022 when then-Director of Public Safety Dan Isom decided to stop using 10-year-old lists. “[The] current Director of Public Safety Charles Coyle concurred with this decision because in his opinion, using 10-year-old lists to make promotions is problematic because the individuals being promoted did not score as highly on the test and therefore are potentially not the best-qualified candidates.” See Jan. 1, 2024, DEFENDANTS’ MEMORANDUM OF LAW IN SUPPORT OF MOTION FOR SUMMARY JUDGMENT.  </w:t>
      </w:r>
      <w:hyperlink r:id="rId1438" w:history="1">
        <w:r w:rsidRPr="008B5C50">
          <w:rPr>
            <w:rStyle w:val="Hyperlink"/>
            <w:rFonts w:ascii="Times New Roman" w:hAnsi="Times New Roman"/>
            <w:sz w:val="24"/>
            <w:szCs w:val="24"/>
          </w:rPr>
          <w:t>https://storage.courtlistener.com/recap/gov.uscourts.moed.198347/gov.uscourts.moed.198347.70.0.pdf</w:t>
        </w:r>
      </w:hyperlink>
      <w:r w:rsidRPr="008B5C50">
        <w:rPr>
          <w:rFonts w:ascii="Times New Roman" w:hAnsi="Times New Roman"/>
          <w:sz w:val="24"/>
          <w:szCs w:val="24"/>
        </w:rPr>
        <w:t xml:space="preserve">   THE COURT HELD: “The usual promotional process broke down when the fire chief’s former supervisor, purportedly without authority, halted promotions due to the age of qualifying exam scores, which were about nine years old when the freeze began…. [Fire Chief has always promoted the top candidate on list, even though Civil Service rules allow him to select from top 6 on list.] Even assuming all of this is true, the firefighters had no property interests in their desired promotions that the due process clause protected. They just anticipated receiving them…. So, no matter how regular the fire chief’s practice of promoting high scorers was, it could not give any of the firefighters a property interest in a promotion on </w:t>
      </w:r>
      <w:proofErr w:type="gramStart"/>
      <w:r w:rsidRPr="008B5C50">
        <w:rPr>
          <w:rFonts w:ascii="Times New Roman" w:hAnsi="Times New Roman"/>
          <w:sz w:val="24"/>
          <w:szCs w:val="24"/>
        </w:rPr>
        <w:t>its</w:t>
      </w:r>
      <w:proofErr w:type="gramEnd"/>
      <w:r w:rsidRPr="008B5C50">
        <w:rPr>
          <w:rFonts w:ascii="Times New Roman" w:hAnsi="Times New Roman"/>
          <w:sz w:val="24"/>
          <w:szCs w:val="24"/>
        </w:rPr>
        <w:t xml:space="preserve"> own. What is missing is evidence that the city bound itself in some fashion to adhere to that practice. It makes no difference that the fire chief testified to his intention to promote  the firefighters in accordance with his custom. That intention, however firm, did not limit his discretion to promote different candidates or no </w:t>
      </w:r>
      <w:proofErr w:type="gramStart"/>
      <w:r w:rsidRPr="008B5C50">
        <w:rPr>
          <w:rFonts w:ascii="Times New Roman" w:hAnsi="Times New Roman"/>
          <w:sz w:val="24"/>
          <w:szCs w:val="24"/>
        </w:rPr>
        <w:t>candidates.”</w:t>
      </w:r>
      <w:proofErr w:type="gramEnd"/>
      <w:r w:rsidRPr="008B5C50">
        <w:rPr>
          <w:rFonts w:ascii="Times New Roman" w:hAnsi="Times New Roman"/>
          <w:sz w:val="24"/>
          <w:szCs w:val="24"/>
        </w:rPr>
        <w:t xml:space="preserve"> </w:t>
      </w:r>
      <w:hyperlink r:id="rId1439" w:history="1">
        <w:r w:rsidRPr="008B5C50">
          <w:rPr>
            <w:rStyle w:val="Hyperlink"/>
            <w:rFonts w:ascii="Times New Roman" w:hAnsi="Times New Roman"/>
            <w:sz w:val="24"/>
            <w:szCs w:val="24"/>
          </w:rPr>
          <w:t>https://cases.justia.com/federal/appellate-courts/ca8/24-2646/24-2646-2025-07-08.pdf?ts=1751988624</w:t>
        </w:r>
      </w:hyperlink>
    </w:p>
    <w:p w14:paraId="580DE426" w14:textId="77777777" w:rsidR="008B5C50" w:rsidRPr="008B5C50" w:rsidRDefault="008B5C50" w:rsidP="008B5C50">
      <w:pPr>
        <w:pStyle w:val="NoSpacing"/>
        <w:rPr>
          <w:rFonts w:ascii="Times New Roman" w:hAnsi="Times New Roman"/>
          <w:b/>
          <w:bCs/>
          <w:sz w:val="24"/>
          <w:szCs w:val="24"/>
        </w:rPr>
      </w:pPr>
      <w:r w:rsidRPr="008B5C50">
        <w:rPr>
          <w:rFonts w:ascii="Times New Roman" w:hAnsi="Times New Roman"/>
          <w:b/>
          <w:sz w:val="24"/>
          <w:szCs w:val="24"/>
        </w:rPr>
        <w:t>Legal lesson learned: No Constitutionally protected property interests in desired promotions.</w:t>
      </w:r>
    </w:p>
    <w:p w14:paraId="27F675D3" w14:textId="77777777" w:rsidR="008B5C50" w:rsidRPr="008B5C50" w:rsidRDefault="008B5C50" w:rsidP="008B5C50">
      <w:pPr>
        <w:pStyle w:val="NoSpacing"/>
        <w:rPr>
          <w:rFonts w:ascii="Times New Roman" w:hAnsi="Times New Roman"/>
          <w:b/>
          <w:bCs/>
          <w:sz w:val="24"/>
          <w:szCs w:val="24"/>
        </w:rPr>
      </w:pPr>
    </w:p>
    <w:p w14:paraId="3512E855" w14:textId="77777777" w:rsidR="008B5C50" w:rsidRPr="008B5C50" w:rsidRDefault="008B5C50" w:rsidP="008B5C50">
      <w:pPr>
        <w:pStyle w:val="NoSpacing"/>
        <w:ind w:left="720"/>
        <w:rPr>
          <w:rFonts w:ascii="Times New Roman" w:hAnsi="Times New Roman"/>
          <w:sz w:val="24"/>
          <w:szCs w:val="24"/>
        </w:rPr>
      </w:pPr>
      <w:r w:rsidRPr="008B5C50">
        <w:rPr>
          <w:rFonts w:ascii="Times New Roman" w:hAnsi="Times New Roman"/>
          <w:sz w:val="24"/>
          <w:szCs w:val="24"/>
        </w:rPr>
        <w:lastRenderedPageBreak/>
        <w:t xml:space="preserve">Note: See City of Cincinnati 6/15/2023 list for Lieutenants.  “List may be used on or before two years from first hire date.” </w:t>
      </w:r>
      <w:hyperlink r:id="rId1440" w:history="1">
        <w:r w:rsidRPr="008B5C50">
          <w:rPr>
            <w:rStyle w:val="Hyperlink"/>
            <w:rFonts w:ascii="Times New Roman" w:hAnsi="Times New Roman"/>
            <w:sz w:val="24"/>
            <w:szCs w:val="24"/>
          </w:rPr>
          <w:t>https://www.cincinnati-oh.gov/hr/eligible-lists1/promotional/fire-lieutenant/</w:t>
        </w:r>
      </w:hyperlink>
      <w:r w:rsidRPr="008B5C50">
        <w:rPr>
          <w:rFonts w:ascii="Times New Roman" w:hAnsi="Times New Roman"/>
          <w:sz w:val="24"/>
          <w:szCs w:val="24"/>
        </w:rPr>
        <w:t xml:space="preserve"> </w:t>
      </w:r>
    </w:p>
    <w:p w14:paraId="3167E610" w14:textId="77777777" w:rsidR="008B5C50" w:rsidRPr="008B5C50" w:rsidRDefault="008B5C50" w:rsidP="008B5C50">
      <w:pPr>
        <w:rPr>
          <w:rFonts w:ascii="Times New Roman" w:hAnsi="Times New Roman"/>
          <w:sz w:val="24"/>
          <w:szCs w:val="24"/>
        </w:rPr>
      </w:pPr>
      <w:r w:rsidRPr="008B5C50">
        <w:rPr>
          <w:rFonts w:ascii="Times New Roman" w:hAnsi="Times New Roman"/>
          <w:sz w:val="24"/>
          <w:szCs w:val="24"/>
        </w:rPr>
        <w:t xml:space="preserve"> </w:t>
      </w:r>
    </w:p>
    <w:p w14:paraId="728449BE" w14:textId="77777777" w:rsidR="008B5C50" w:rsidRPr="007E74FE" w:rsidRDefault="008B5C50" w:rsidP="00C37677">
      <w:pPr>
        <w:rPr>
          <w:rFonts w:ascii="Times New Roman" w:hAnsi="Times New Roman"/>
          <w:b/>
          <w:bCs/>
          <w:sz w:val="24"/>
          <w:szCs w:val="24"/>
        </w:rPr>
      </w:pPr>
    </w:p>
    <w:p w14:paraId="61C363AF" w14:textId="77777777" w:rsidR="006959F8" w:rsidRDefault="006959F8" w:rsidP="00456C91">
      <w:pPr>
        <w:rPr>
          <w:rFonts w:ascii="Arial Black" w:hAnsi="Arial Black"/>
          <w:b/>
          <w:sz w:val="24"/>
          <w:szCs w:val="24"/>
        </w:rPr>
      </w:pPr>
    </w:p>
    <w:p w14:paraId="3477A4B9" w14:textId="60CADE6A" w:rsidR="00456C91" w:rsidRDefault="00456C91" w:rsidP="00456C91">
      <w:pPr>
        <w:rPr>
          <w:rFonts w:ascii="Arial Black" w:hAnsi="Arial Black"/>
          <w:b/>
          <w:sz w:val="24"/>
          <w:szCs w:val="24"/>
        </w:rPr>
      </w:pPr>
      <w:r>
        <w:rPr>
          <w:rFonts w:ascii="Arial Black" w:hAnsi="Arial Black"/>
          <w:b/>
          <w:sz w:val="24"/>
          <w:szCs w:val="24"/>
        </w:rPr>
        <w:t>8-</w:t>
      </w:r>
      <w:r w:rsidR="0021158A">
        <w:rPr>
          <w:rFonts w:ascii="Arial Black" w:hAnsi="Arial Black"/>
          <w:b/>
          <w:sz w:val="24"/>
          <w:szCs w:val="24"/>
        </w:rPr>
        <w:t>80</w:t>
      </w:r>
    </w:p>
    <w:p w14:paraId="3FC045B1" w14:textId="4CE410BA" w:rsidR="00A17EA1" w:rsidRDefault="00A17EA1" w:rsidP="00A17EA1">
      <w:pPr>
        <w:pStyle w:val="NoSpacing"/>
        <w:rPr>
          <w:rFonts w:ascii="Arial Black" w:hAnsi="Arial Black"/>
          <w:sz w:val="28"/>
          <w:szCs w:val="28"/>
        </w:rPr>
      </w:pPr>
      <w:r>
        <w:rPr>
          <w:rFonts w:ascii="Arial Black" w:hAnsi="Arial Black"/>
          <w:sz w:val="28"/>
          <w:szCs w:val="28"/>
        </w:rPr>
        <w:t>VA: BLACK FF - STATION OIC - LOSS “ACTING OFFICER” PAY</w:t>
      </w:r>
    </w:p>
    <w:p w14:paraId="4E3E7184" w14:textId="77777777" w:rsidR="00A17EA1" w:rsidRDefault="00A17EA1" w:rsidP="00A17EA1">
      <w:pPr>
        <w:pStyle w:val="NoSpacing"/>
        <w:rPr>
          <w:rFonts w:ascii="Arial Black" w:hAnsi="Arial Black"/>
          <w:sz w:val="28"/>
          <w:szCs w:val="28"/>
        </w:rPr>
      </w:pPr>
    </w:p>
    <w:p w14:paraId="4C95A31A" w14:textId="77777777" w:rsidR="00A17EA1" w:rsidRPr="00997E2F" w:rsidRDefault="00A17EA1" w:rsidP="00A17EA1">
      <w:pPr>
        <w:pStyle w:val="NoSpacing"/>
        <w:rPr>
          <w:rFonts w:ascii="Times New Roman" w:hAnsi="Times New Roman"/>
          <w:sz w:val="24"/>
          <w:szCs w:val="24"/>
        </w:rPr>
      </w:pPr>
      <w:r w:rsidRPr="00997E2F">
        <w:rPr>
          <w:rFonts w:ascii="Times New Roman" w:hAnsi="Times New Roman"/>
          <w:sz w:val="24"/>
          <w:szCs w:val="24"/>
        </w:rPr>
        <w:t xml:space="preserve">On June 13, 2025, in </w:t>
      </w:r>
      <w:r w:rsidRPr="00997E2F">
        <w:rPr>
          <w:rFonts w:ascii="Times New Roman" w:hAnsi="Times New Roman"/>
          <w:sz w:val="24"/>
          <w:szCs w:val="24"/>
          <w:u w:val="single"/>
        </w:rPr>
        <w:t>Michael T. Blagmon v. Hanover County</w:t>
      </w:r>
      <w:r w:rsidRPr="00997E2F">
        <w:rPr>
          <w:rFonts w:ascii="Times New Roman" w:hAnsi="Times New Roman"/>
          <w:sz w:val="24"/>
          <w:szCs w:val="24"/>
        </w:rPr>
        <w:t xml:space="preserve">, U.S. District Court Judge Roderick C. Young, United States District Court, E.D. Virginia, Richmond Division, held that the plaintiff’s lawsuit for race discrimination in violation of Title VII will proceed to a jury trial. Plaintiff worked in Station 4 (one engine, one ambulance) and when the Lieutenant position was vacant or absent due to injury, the plaintiff was frequently not allowed to ride as OIC on the engine to avoid paying him “Acting Officer” pay.  The Court held that a jury should decide whether the County has offered a legitimate defense; in its November 22, 2022 response to the plaintiff’s EEOC charge, the County explained that prior to April 2022, it rotated OIC assignments to avoid pay Acting Officer pay and to rotate as many firefighters as feasible to serve as OIC to provide widespread opportunities for growth and development.”   THE COURT HELD [case proceed to trial] “In his deposition in connection with this case, Assistant Chief Buchanan testified that Blagman was pulled from the OIC role before he could qualify for acting pay as a result of a ‘business practice that started back around 2008, . . . when the economy was really </w:t>
      </w:r>
      <w:proofErr w:type="spellStart"/>
      <w:r w:rsidRPr="00997E2F">
        <w:rPr>
          <w:rFonts w:ascii="Times New Roman" w:hAnsi="Times New Roman"/>
          <w:sz w:val="24"/>
          <w:szCs w:val="24"/>
        </w:rPr>
        <w:t>really</w:t>
      </w:r>
      <w:proofErr w:type="spellEnd"/>
      <w:r w:rsidRPr="00997E2F">
        <w:rPr>
          <w:rFonts w:ascii="Times New Roman" w:hAnsi="Times New Roman"/>
          <w:sz w:val="24"/>
          <w:szCs w:val="24"/>
        </w:rPr>
        <w:t xml:space="preserve"> bad, . . . and the County Administrator . . . would tell us to . . . move [people otherwise serving as acting officers] because we literally didn't have the money.... and that became the practice for a while . . . .’ Buchanan Dep. 35:3-25.” </w:t>
      </w:r>
    </w:p>
    <w:p w14:paraId="239F0798" w14:textId="77777777" w:rsidR="00A17EA1" w:rsidRPr="00997E2F" w:rsidRDefault="00A17EA1" w:rsidP="00A17EA1">
      <w:pPr>
        <w:pStyle w:val="NoSpacing"/>
        <w:rPr>
          <w:rFonts w:ascii="Times New Roman" w:hAnsi="Times New Roman"/>
          <w:bCs/>
          <w:sz w:val="24"/>
          <w:szCs w:val="24"/>
        </w:rPr>
      </w:pPr>
      <w:hyperlink r:id="rId1441" w:history="1">
        <w:r w:rsidRPr="00997E2F">
          <w:rPr>
            <w:rStyle w:val="Hyperlink"/>
            <w:rFonts w:ascii="Times New Roman" w:hAnsi="Times New Roman"/>
            <w:sz w:val="24"/>
            <w:szCs w:val="24"/>
          </w:rPr>
          <w:t>https://cases.justia.com/federal/district-courts/virginia/vaedce/3:2024cv00108/549376/71/0.pdf?ts=1749905770</w:t>
        </w:r>
      </w:hyperlink>
    </w:p>
    <w:p w14:paraId="26F32252" w14:textId="77777777" w:rsidR="00A17EA1" w:rsidRPr="00997E2F" w:rsidRDefault="00A17EA1" w:rsidP="00A17EA1">
      <w:pPr>
        <w:pStyle w:val="NoSpacing"/>
        <w:rPr>
          <w:rFonts w:ascii="Times New Roman" w:hAnsi="Times New Roman"/>
          <w:bCs/>
          <w:sz w:val="24"/>
          <w:szCs w:val="24"/>
        </w:rPr>
      </w:pPr>
    </w:p>
    <w:p w14:paraId="63997CF7" w14:textId="1243A868" w:rsidR="00A17EA1" w:rsidRPr="00997E2F" w:rsidRDefault="006764DB" w:rsidP="00BC70A3">
      <w:pPr>
        <w:rPr>
          <w:rFonts w:ascii="Times New Roman" w:hAnsi="Times New Roman"/>
          <w:b/>
          <w:sz w:val="24"/>
          <w:szCs w:val="24"/>
        </w:rPr>
      </w:pPr>
      <w:r w:rsidRPr="00997E2F">
        <w:rPr>
          <w:rFonts w:ascii="Times New Roman" w:hAnsi="Times New Roman"/>
          <w:b/>
          <w:sz w:val="24"/>
          <w:szCs w:val="24"/>
        </w:rPr>
        <w:t>Legal lesson learned:  FD should have a clear “Acting Officer” pay policy</w:t>
      </w:r>
      <w:r w:rsidRPr="00997E2F">
        <w:rPr>
          <w:rFonts w:ascii="Times New Roman" w:hAnsi="Times New Roman"/>
          <w:b/>
          <w:bCs/>
          <w:sz w:val="24"/>
          <w:szCs w:val="24"/>
        </w:rPr>
        <w:t xml:space="preserve"> </w:t>
      </w:r>
      <w:r w:rsidRPr="00997E2F">
        <w:rPr>
          <w:rFonts w:ascii="Times New Roman" w:hAnsi="Times New Roman"/>
          <w:b/>
          <w:sz w:val="24"/>
          <w:szCs w:val="24"/>
        </w:rPr>
        <w:t>and strictly follow it</w:t>
      </w:r>
      <w:r w:rsidR="00997E2F" w:rsidRPr="00997E2F">
        <w:rPr>
          <w:rFonts w:ascii="Times New Roman" w:hAnsi="Times New Roman"/>
          <w:b/>
          <w:sz w:val="24"/>
          <w:szCs w:val="24"/>
        </w:rPr>
        <w:t>.</w:t>
      </w:r>
    </w:p>
    <w:p w14:paraId="6DBFD951" w14:textId="77777777" w:rsidR="00A17EA1" w:rsidRPr="00997E2F" w:rsidRDefault="00A17EA1" w:rsidP="00BC70A3">
      <w:pPr>
        <w:rPr>
          <w:rFonts w:ascii="Times New Roman" w:hAnsi="Times New Roman"/>
          <w:b/>
          <w:sz w:val="24"/>
          <w:szCs w:val="24"/>
        </w:rPr>
      </w:pPr>
    </w:p>
    <w:p w14:paraId="3E584867" w14:textId="7E2F5982" w:rsidR="0069023D" w:rsidRDefault="0069023D" w:rsidP="0069023D">
      <w:pPr>
        <w:rPr>
          <w:rFonts w:ascii="Arial Black" w:hAnsi="Arial Black"/>
          <w:b/>
          <w:sz w:val="24"/>
          <w:szCs w:val="24"/>
        </w:rPr>
      </w:pPr>
      <w:r>
        <w:rPr>
          <w:rFonts w:ascii="Arial Black" w:hAnsi="Arial Black"/>
          <w:b/>
          <w:sz w:val="24"/>
          <w:szCs w:val="24"/>
        </w:rPr>
        <w:t>8-7</w:t>
      </w:r>
      <w:r w:rsidR="0021158A">
        <w:rPr>
          <w:rFonts w:ascii="Arial Black" w:hAnsi="Arial Black"/>
          <w:b/>
          <w:sz w:val="24"/>
          <w:szCs w:val="24"/>
        </w:rPr>
        <w:t>9</w:t>
      </w:r>
    </w:p>
    <w:p w14:paraId="1A37F091" w14:textId="285FF072" w:rsidR="00C16DC8" w:rsidRDefault="00C16DC8" w:rsidP="00C16DC8">
      <w:pPr>
        <w:rPr>
          <w:rFonts w:ascii="Arial Black" w:hAnsi="Arial Black"/>
          <w:b/>
          <w:sz w:val="28"/>
          <w:szCs w:val="28"/>
        </w:rPr>
      </w:pPr>
      <w:r>
        <w:rPr>
          <w:rFonts w:ascii="Arial Black" w:hAnsi="Arial Black"/>
          <w:b/>
          <w:sz w:val="28"/>
          <w:szCs w:val="28"/>
        </w:rPr>
        <w:t>FL: ASIAN RECRUIT – FIRED – CAPT’S RACIAL COMMENTS</w:t>
      </w:r>
      <w:r w:rsidR="000D1CC1">
        <w:rPr>
          <w:rFonts w:ascii="Arial Black" w:hAnsi="Arial Black"/>
          <w:b/>
          <w:sz w:val="28"/>
          <w:szCs w:val="28"/>
        </w:rPr>
        <w:t xml:space="preserve"> – CASE PROCEED</w:t>
      </w:r>
      <w:r>
        <w:rPr>
          <w:rFonts w:ascii="Arial Black" w:hAnsi="Arial Black"/>
          <w:b/>
          <w:sz w:val="28"/>
          <w:szCs w:val="28"/>
        </w:rPr>
        <w:t xml:space="preserve"> </w:t>
      </w:r>
    </w:p>
    <w:p w14:paraId="6F14B873" w14:textId="77777777" w:rsidR="00C16DC8" w:rsidRPr="0069023D" w:rsidRDefault="00C16DC8" w:rsidP="00C16DC8">
      <w:pPr>
        <w:rPr>
          <w:rFonts w:ascii="Times New Roman" w:hAnsi="Times New Roman"/>
          <w:bCs/>
          <w:sz w:val="24"/>
          <w:szCs w:val="24"/>
        </w:rPr>
      </w:pPr>
      <w:r w:rsidRPr="0069023D">
        <w:rPr>
          <w:rFonts w:ascii="Times New Roman" w:hAnsi="Times New Roman"/>
          <w:sz w:val="24"/>
          <w:szCs w:val="24"/>
        </w:rPr>
        <w:t xml:space="preserve">On May 16, 2025, in </w:t>
      </w:r>
      <w:r w:rsidRPr="0069023D">
        <w:rPr>
          <w:rFonts w:ascii="Times New Roman" w:hAnsi="Times New Roman"/>
          <w:sz w:val="24"/>
          <w:szCs w:val="24"/>
          <w:u w:val="single"/>
        </w:rPr>
        <w:t>Saeed Azam v. Palm Beach County</w:t>
      </w:r>
      <w:r w:rsidRPr="0069023D">
        <w:rPr>
          <w:rFonts w:ascii="Times New Roman" w:hAnsi="Times New Roman"/>
          <w:sz w:val="24"/>
          <w:szCs w:val="24"/>
        </w:rPr>
        <w:t xml:space="preserve">, U.S Magistrate Judge Ryon M. McCabe, United States District Court for the Southern District of Florida, issued a Report &amp; Recommendation to United States District Judge Aileen M. Cannon, that plaintiff be allowed to proceed with pre-trial discovery in his civil rights case, but claims of “hostile workplace” should be dismissed.  The plaintiff started recruit training on Jan. 2, 2023, but after failing a “search-and-rescue” task he was terminated on Feb. 13, 2023.  The Court referenced alleged racial and anti-Muslim comments by his Training Captain.    THE COURT HELD: “When combined with Plaintiff's allegations of unfavorable workplace treatment, the Court finds these comments sufficient to give rise to a plausible inference of discriminatory animus. The Court acknowledges that these comments could also be interpreted as non-discriminatory expressions of curiosity regarding a new trainee and the trainee's background. At this stage of the case, however, the Court must construe these allegations in the light most favorable to Plaintiff's claims. The Court therefore finds that Counts 1, 2, and 3 state plausible claims of </w:t>
      </w:r>
      <w:r w:rsidRPr="0069023D">
        <w:rPr>
          <w:rFonts w:ascii="Times New Roman" w:hAnsi="Times New Roman"/>
          <w:sz w:val="24"/>
          <w:szCs w:val="24"/>
        </w:rPr>
        <w:lastRenderedPageBreak/>
        <w:t xml:space="preserve">discrimination. As such, the motion should be denied as to these counts.” </w:t>
      </w:r>
      <w:hyperlink r:id="rId1442" w:history="1">
        <w:r w:rsidRPr="0069023D">
          <w:rPr>
            <w:rStyle w:val="Hyperlink"/>
            <w:rFonts w:ascii="Times New Roman" w:hAnsi="Times New Roman"/>
            <w:sz w:val="24"/>
            <w:szCs w:val="24"/>
          </w:rPr>
          <w:t>https://public.fastcase.com/jaEE2PXzRXmZ99jOLMt1Ijy4owdgN11%2FWJRcUJbHoDpxB70E2t6SZ0qkojT0B8Qp?utm_medium=email&amp;_hsenc=p2ANqtz-9VaXpB4njMDCq0a3A4ziHdpnkkhT3_X-uHzr6ZxpzUXb9np6U8cLB4p1ctiAJNyopvqJJhsHP0CMdXEdLkgd2zGecgDw&amp;_hsmi=226712652&amp;utm_content=226712652&amp;utm_source=hs_email</w:t>
        </w:r>
      </w:hyperlink>
      <w:r w:rsidRPr="0069023D">
        <w:rPr>
          <w:rFonts w:ascii="Times New Roman" w:hAnsi="Times New Roman"/>
          <w:sz w:val="24"/>
          <w:szCs w:val="24"/>
        </w:rPr>
        <w:t xml:space="preserve"> </w:t>
      </w:r>
    </w:p>
    <w:p w14:paraId="4501DCCB" w14:textId="77777777" w:rsidR="0069023D" w:rsidRPr="0069023D" w:rsidRDefault="0069023D" w:rsidP="0069023D">
      <w:pPr>
        <w:rPr>
          <w:rFonts w:ascii="Times New Roman" w:hAnsi="Times New Roman"/>
          <w:b/>
          <w:bCs/>
          <w:sz w:val="24"/>
          <w:szCs w:val="24"/>
        </w:rPr>
      </w:pPr>
      <w:r w:rsidRPr="0069023D">
        <w:rPr>
          <w:rFonts w:ascii="Times New Roman" w:hAnsi="Times New Roman"/>
          <w:b/>
          <w:sz w:val="24"/>
          <w:szCs w:val="24"/>
        </w:rPr>
        <w:t xml:space="preserve">Legal lesson learned: Thoroughly document a recruit’s training issues and avoid racially hostile comments.  </w:t>
      </w:r>
    </w:p>
    <w:p w14:paraId="62D67B1A" w14:textId="77777777" w:rsidR="00A17EA1" w:rsidRDefault="00A17EA1" w:rsidP="00BC70A3">
      <w:pPr>
        <w:rPr>
          <w:rFonts w:ascii="Arial Black" w:hAnsi="Arial Black"/>
          <w:b/>
          <w:sz w:val="24"/>
          <w:szCs w:val="24"/>
        </w:rPr>
      </w:pPr>
    </w:p>
    <w:p w14:paraId="365A04FC" w14:textId="6A496EAE" w:rsidR="0021158A" w:rsidRDefault="0021158A" w:rsidP="0021158A">
      <w:pPr>
        <w:rPr>
          <w:rFonts w:ascii="Arial Black" w:hAnsi="Arial Black"/>
          <w:b/>
          <w:sz w:val="24"/>
          <w:szCs w:val="24"/>
        </w:rPr>
      </w:pPr>
      <w:r>
        <w:rPr>
          <w:rFonts w:ascii="Arial Black" w:hAnsi="Arial Black"/>
          <w:b/>
          <w:sz w:val="24"/>
          <w:szCs w:val="24"/>
        </w:rPr>
        <w:t>8-78</w:t>
      </w:r>
    </w:p>
    <w:p w14:paraId="31A529DB" w14:textId="77777777" w:rsidR="00A45D5D" w:rsidRDefault="00A45D5D" w:rsidP="00BC70A3">
      <w:pPr>
        <w:rPr>
          <w:rFonts w:ascii="Arial Black" w:hAnsi="Arial Black"/>
          <w:b/>
          <w:sz w:val="24"/>
          <w:szCs w:val="24"/>
        </w:rPr>
      </w:pPr>
    </w:p>
    <w:p w14:paraId="1AD95F18" w14:textId="48DD9946" w:rsidR="00A45D5D" w:rsidRPr="00430A69" w:rsidRDefault="00A45D5D" w:rsidP="00A45D5D">
      <w:pPr>
        <w:pStyle w:val="NoSpacing"/>
        <w:rPr>
          <w:rFonts w:ascii="Arial Black" w:hAnsi="Arial Black"/>
          <w:sz w:val="28"/>
          <w:szCs w:val="28"/>
        </w:rPr>
      </w:pPr>
      <w:r>
        <w:rPr>
          <w:rFonts w:ascii="Arial Black" w:hAnsi="Arial Black"/>
          <w:sz w:val="28"/>
          <w:szCs w:val="28"/>
        </w:rPr>
        <w:t xml:space="preserve">NY: RECRUIT HISPANICS / WOMEN – </w:t>
      </w:r>
      <w:r w:rsidR="00080178">
        <w:rPr>
          <w:rFonts w:ascii="Arial Black" w:hAnsi="Arial Black"/>
          <w:sz w:val="28"/>
          <w:szCs w:val="28"/>
        </w:rPr>
        <w:t xml:space="preserve">REV. </w:t>
      </w:r>
      <w:r>
        <w:rPr>
          <w:rFonts w:ascii="Arial Black" w:hAnsi="Arial Black"/>
          <w:sz w:val="28"/>
          <w:szCs w:val="28"/>
        </w:rPr>
        <w:t>CONSENT DECREE</w:t>
      </w:r>
    </w:p>
    <w:p w14:paraId="2021DD22" w14:textId="77777777" w:rsidR="00A45D5D" w:rsidRDefault="00A45D5D" w:rsidP="00A45D5D">
      <w:pPr>
        <w:pStyle w:val="NoSpacing"/>
      </w:pPr>
    </w:p>
    <w:p w14:paraId="405869A3" w14:textId="4E2D2AC8" w:rsidR="00A45D5D" w:rsidRPr="00080178" w:rsidRDefault="00A45D5D" w:rsidP="00A45D5D">
      <w:pPr>
        <w:rPr>
          <w:rFonts w:ascii="Times New Roman" w:hAnsi="Times New Roman"/>
          <w:sz w:val="24"/>
          <w:szCs w:val="24"/>
        </w:rPr>
      </w:pPr>
      <w:r w:rsidRPr="00080178">
        <w:rPr>
          <w:rFonts w:ascii="Times New Roman" w:hAnsi="Times New Roman"/>
          <w:sz w:val="24"/>
          <w:szCs w:val="24"/>
        </w:rPr>
        <w:t xml:space="preserve">On June 3, 2025, in </w:t>
      </w:r>
      <w:r w:rsidRPr="00080178">
        <w:rPr>
          <w:rFonts w:ascii="Times New Roman" w:hAnsi="Times New Roman"/>
          <w:sz w:val="24"/>
          <w:szCs w:val="24"/>
          <w:u w:val="single"/>
        </w:rPr>
        <w:t>United States of America v. New York State Department of Civil Service; City of Mount Vernon; Fire Department of the City of Mount Vernon</w:t>
      </w:r>
      <w:r w:rsidRPr="00080178">
        <w:rPr>
          <w:rFonts w:ascii="Times New Roman" w:hAnsi="Times New Roman"/>
          <w:sz w:val="24"/>
          <w:szCs w:val="24"/>
        </w:rPr>
        <w:t xml:space="preserve">,  U.S. District Court Judge Jessica G. L. Clarke, United States District Court for Southern District of New York, published the proposed “2024 Revised Consent Judgment,” which modified the 40-year old Consent Decree of Jan. 19, 1981.  The fire department has made great progress hiring black firefighters (62% of current firefighters), but not Hispanics (only 2%), or women (currently only one; only been one at any time).  THE CONSENT DECREE: Requires the department to “develop and implement an active and continuing recruitment program to attract and increase Hispanic and women applicants for the position of firefighter.” </w:t>
      </w:r>
      <w:hyperlink r:id="rId1443" w:history="1">
        <w:r w:rsidRPr="00080178">
          <w:rPr>
            <w:rStyle w:val="Hyperlink"/>
            <w:rFonts w:ascii="Times New Roman" w:hAnsi="Times New Roman"/>
            <w:sz w:val="24"/>
            <w:szCs w:val="24"/>
          </w:rPr>
          <w:t>https://public.fastcase.com/jaEE2PXzRXmZ99jOLMt1Ih1bY1MIzDyw1U7nvkn0d%2B%2FaFhZR3Gd%2F7kjzaTYbL26VJTUSjJADCaSru%2Bl5NmbtQ7Cz5zh1NuQxuUkDcSWUI8U%3D?utm_medium=email&amp;_hsenc=p2ANqtz-_CCOzgPs_whfplvulLfr2w4HcJ6-0Ih3t3c1pVqqN-_dVSpVNg1X0G63L7_Ww7LMQiA0kuqw-PCcDfPecmXjX4Ld1uNw&amp;_hsmi=226712652&amp;utm_content=226712652&amp;utm_source=hs_email</w:t>
        </w:r>
      </w:hyperlink>
    </w:p>
    <w:p w14:paraId="779BD134" w14:textId="77777777" w:rsidR="00080178" w:rsidRPr="00080178" w:rsidRDefault="00080178" w:rsidP="00080178">
      <w:pPr>
        <w:pStyle w:val="NoSpacing"/>
        <w:rPr>
          <w:rFonts w:ascii="Times New Roman" w:hAnsi="Times New Roman"/>
          <w:b/>
          <w:bCs/>
          <w:sz w:val="24"/>
          <w:szCs w:val="24"/>
        </w:rPr>
      </w:pPr>
      <w:r w:rsidRPr="00080178">
        <w:rPr>
          <w:rFonts w:ascii="Times New Roman" w:hAnsi="Times New Roman"/>
          <w:b/>
          <w:sz w:val="24"/>
          <w:szCs w:val="24"/>
        </w:rPr>
        <w:t xml:space="preserve">Legal Lesson Learned: This </w:t>
      </w:r>
      <w:r w:rsidRPr="00080178">
        <w:rPr>
          <w:rFonts w:ascii="Times New Roman" w:hAnsi="Times New Roman"/>
          <w:b/>
          <w:bCs/>
          <w:sz w:val="24"/>
          <w:szCs w:val="24"/>
        </w:rPr>
        <w:t>revised</w:t>
      </w:r>
      <w:r w:rsidRPr="00080178">
        <w:rPr>
          <w:rFonts w:ascii="Times New Roman" w:hAnsi="Times New Roman"/>
          <w:b/>
          <w:sz w:val="24"/>
          <w:szCs w:val="24"/>
        </w:rPr>
        <w:t xml:space="preserve"> Consent Decree has some innovative recruiting requirements. </w:t>
      </w:r>
    </w:p>
    <w:p w14:paraId="2FB5A8F5" w14:textId="77777777" w:rsidR="00080178" w:rsidRPr="00080178" w:rsidRDefault="00080178" w:rsidP="00080178">
      <w:pPr>
        <w:pStyle w:val="NoSpacing"/>
        <w:rPr>
          <w:rFonts w:ascii="Times New Roman" w:hAnsi="Times New Roman"/>
          <w:b/>
          <w:bCs/>
          <w:sz w:val="24"/>
          <w:szCs w:val="24"/>
        </w:rPr>
      </w:pPr>
    </w:p>
    <w:p w14:paraId="671F9C96" w14:textId="77777777" w:rsidR="00080178" w:rsidRPr="00080178" w:rsidRDefault="00080178" w:rsidP="00080178">
      <w:pPr>
        <w:pStyle w:val="NoSpacing"/>
        <w:ind w:left="720"/>
        <w:rPr>
          <w:rFonts w:ascii="Times New Roman" w:hAnsi="Times New Roman"/>
          <w:sz w:val="24"/>
          <w:szCs w:val="24"/>
        </w:rPr>
      </w:pPr>
      <w:r w:rsidRPr="00080178">
        <w:rPr>
          <w:rFonts w:ascii="Times New Roman" w:hAnsi="Times New Roman"/>
          <w:sz w:val="24"/>
          <w:szCs w:val="24"/>
        </w:rPr>
        <w:t>Note: The Consent Decree reflect 40 years progress with hiring Black male firefighters, but Consent Decree recognizes lack of females.  “THAT, despite the efforts of the parties, there are currently one female firefighter of any rank in the Fire Department of Mount Vernon, and there has only been one female firefighter at any time.”</w:t>
      </w:r>
    </w:p>
    <w:p w14:paraId="42C721AD" w14:textId="77777777" w:rsidR="00080178" w:rsidRPr="00080178" w:rsidRDefault="00080178" w:rsidP="00080178">
      <w:pPr>
        <w:pStyle w:val="NoSpacing"/>
        <w:rPr>
          <w:rFonts w:ascii="Times New Roman" w:hAnsi="Times New Roman"/>
          <w:b/>
          <w:bCs/>
          <w:sz w:val="24"/>
          <w:szCs w:val="24"/>
        </w:rPr>
      </w:pPr>
    </w:p>
    <w:p w14:paraId="6C63B500" w14:textId="77777777" w:rsidR="00080178" w:rsidRPr="00080178" w:rsidRDefault="00080178" w:rsidP="00080178">
      <w:pPr>
        <w:pStyle w:val="NoSpacing"/>
        <w:ind w:left="720"/>
        <w:rPr>
          <w:rFonts w:ascii="Times New Roman" w:hAnsi="Times New Roman"/>
          <w:sz w:val="24"/>
          <w:szCs w:val="24"/>
        </w:rPr>
      </w:pPr>
      <w:r w:rsidRPr="00080178">
        <w:rPr>
          <w:rFonts w:ascii="Times New Roman" w:hAnsi="Times New Roman"/>
          <w:sz w:val="24"/>
          <w:szCs w:val="24"/>
        </w:rPr>
        <w:t xml:space="preserve">See these statistics in the 2024 Consent Decree.   </w:t>
      </w:r>
    </w:p>
    <w:p w14:paraId="4823A1F5" w14:textId="77777777" w:rsidR="00080178" w:rsidRPr="00080178" w:rsidRDefault="00080178" w:rsidP="00080178">
      <w:pPr>
        <w:pStyle w:val="NoSpacing"/>
        <w:ind w:left="720"/>
        <w:rPr>
          <w:rFonts w:ascii="Times New Roman" w:hAnsi="Times New Roman"/>
          <w:sz w:val="24"/>
          <w:szCs w:val="24"/>
        </w:rPr>
      </w:pPr>
    </w:p>
    <w:p w14:paraId="1A090FA5" w14:textId="77777777" w:rsidR="00080178" w:rsidRPr="00080178" w:rsidRDefault="00080178" w:rsidP="00080178">
      <w:pPr>
        <w:pStyle w:val="NoSpacing"/>
        <w:ind w:left="720"/>
        <w:rPr>
          <w:rFonts w:ascii="Times New Roman" w:hAnsi="Times New Roman"/>
          <w:sz w:val="24"/>
          <w:szCs w:val="24"/>
        </w:rPr>
      </w:pPr>
      <w:r w:rsidRPr="00080178">
        <w:rPr>
          <w:rFonts w:ascii="Times New Roman" w:hAnsi="Times New Roman"/>
          <w:sz w:val="24"/>
          <w:szCs w:val="24"/>
        </w:rPr>
        <w:t xml:space="preserve">According to the 2020 Census, the </w:t>
      </w:r>
      <w:proofErr w:type="gramStart"/>
      <w:r w:rsidRPr="00080178">
        <w:rPr>
          <w:rFonts w:ascii="Times New Roman" w:hAnsi="Times New Roman"/>
          <w:sz w:val="24"/>
          <w:szCs w:val="24"/>
        </w:rPr>
        <w:t>African-American</w:t>
      </w:r>
      <w:proofErr w:type="gramEnd"/>
      <w:r w:rsidRPr="00080178">
        <w:rPr>
          <w:rFonts w:ascii="Times New Roman" w:hAnsi="Times New Roman"/>
          <w:sz w:val="24"/>
          <w:szCs w:val="24"/>
        </w:rPr>
        <w:t xml:space="preserve"> and/or Hispanic population of Mount Vernon between the ages of 18 and 44 was approximately 66% and 7%, respectively. According to Mount Vernon counsel, the demographics of the fire department were: </w:t>
      </w:r>
    </w:p>
    <w:p w14:paraId="68A9E609" w14:textId="77777777" w:rsidR="00080178" w:rsidRPr="00080178" w:rsidRDefault="00080178" w:rsidP="00080178">
      <w:pPr>
        <w:pStyle w:val="NoSpacing"/>
        <w:ind w:left="720"/>
        <w:rPr>
          <w:rFonts w:ascii="Times New Roman" w:hAnsi="Times New Roman"/>
          <w:sz w:val="24"/>
          <w:szCs w:val="24"/>
        </w:rPr>
      </w:pPr>
    </w:p>
    <w:tbl>
      <w:tblPr>
        <w:tblW w:w="0" w:type="auto"/>
        <w:tblCellSpacing w:w="15" w:type="dxa"/>
        <w:tblInd w:w="1395" w:type="dxa"/>
        <w:tblCellMar>
          <w:top w:w="15" w:type="dxa"/>
          <w:left w:w="15" w:type="dxa"/>
          <w:bottom w:w="15" w:type="dxa"/>
          <w:right w:w="15" w:type="dxa"/>
        </w:tblCellMar>
        <w:tblLook w:val="04A0" w:firstRow="1" w:lastRow="0" w:firstColumn="1" w:lastColumn="0" w:noHBand="0" w:noVBand="1"/>
      </w:tblPr>
      <w:tblGrid>
        <w:gridCol w:w="1642"/>
        <w:gridCol w:w="647"/>
        <w:gridCol w:w="1819"/>
        <w:gridCol w:w="929"/>
      </w:tblGrid>
      <w:tr w:rsidR="00080178" w:rsidRPr="00080178" w14:paraId="6D1EE60B" w14:textId="77777777" w:rsidTr="007E6314">
        <w:trPr>
          <w:tblCellSpacing w:w="15" w:type="dxa"/>
        </w:trPr>
        <w:tc>
          <w:tcPr>
            <w:tcW w:w="0" w:type="auto"/>
            <w:vAlign w:val="center"/>
            <w:hideMark/>
          </w:tcPr>
          <w:p w14:paraId="58EAD0D8" w14:textId="77777777" w:rsidR="00080178" w:rsidRPr="00080178" w:rsidRDefault="00080178" w:rsidP="007E6314">
            <w:pPr>
              <w:pStyle w:val="NoSpacing"/>
              <w:rPr>
                <w:rFonts w:ascii="Times New Roman" w:hAnsi="Times New Roman"/>
                <w:sz w:val="24"/>
                <w:szCs w:val="24"/>
              </w:rPr>
            </w:pPr>
          </w:p>
        </w:tc>
        <w:tc>
          <w:tcPr>
            <w:tcW w:w="0" w:type="auto"/>
            <w:vAlign w:val="center"/>
            <w:hideMark/>
          </w:tcPr>
          <w:p w14:paraId="435AC5AF"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White </w:t>
            </w:r>
          </w:p>
        </w:tc>
        <w:tc>
          <w:tcPr>
            <w:tcW w:w="0" w:type="auto"/>
            <w:vAlign w:val="center"/>
            <w:hideMark/>
          </w:tcPr>
          <w:p w14:paraId="0C5EB4E7" w14:textId="77777777" w:rsidR="00080178" w:rsidRPr="00080178" w:rsidRDefault="00080178" w:rsidP="007E6314">
            <w:pPr>
              <w:pStyle w:val="NoSpacing"/>
              <w:rPr>
                <w:rFonts w:ascii="Times New Roman" w:hAnsi="Times New Roman"/>
                <w:sz w:val="24"/>
                <w:szCs w:val="24"/>
              </w:rPr>
            </w:pPr>
            <w:proofErr w:type="gramStart"/>
            <w:r w:rsidRPr="00080178">
              <w:rPr>
                <w:rFonts w:ascii="Times New Roman" w:hAnsi="Times New Roman"/>
                <w:sz w:val="24"/>
                <w:szCs w:val="24"/>
              </w:rPr>
              <w:t>African-American</w:t>
            </w:r>
            <w:proofErr w:type="gramEnd"/>
            <w:r w:rsidRPr="00080178">
              <w:rPr>
                <w:rFonts w:ascii="Times New Roman" w:hAnsi="Times New Roman"/>
                <w:sz w:val="24"/>
                <w:szCs w:val="24"/>
              </w:rPr>
              <w:t xml:space="preserve"> </w:t>
            </w:r>
          </w:p>
        </w:tc>
        <w:tc>
          <w:tcPr>
            <w:tcW w:w="0" w:type="auto"/>
            <w:vAlign w:val="center"/>
            <w:hideMark/>
          </w:tcPr>
          <w:p w14:paraId="284EABBB"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Hispanic </w:t>
            </w:r>
          </w:p>
        </w:tc>
      </w:tr>
      <w:tr w:rsidR="00080178" w:rsidRPr="00080178" w14:paraId="42E8FB2F" w14:textId="77777777" w:rsidTr="007E6314">
        <w:trPr>
          <w:tblCellSpacing w:w="15" w:type="dxa"/>
        </w:trPr>
        <w:tc>
          <w:tcPr>
            <w:tcW w:w="0" w:type="auto"/>
            <w:vAlign w:val="center"/>
            <w:hideMark/>
          </w:tcPr>
          <w:p w14:paraId="556C2E47"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Commissioners </w:t>
            </w:r>
          </w:p>
        </w:tc>
        <w:tc>
          <w:tcPr>
            <w:tcW w:w="0" w:type="auto"/>
            <w:vAlign w:val="center"/>
            <w:hideMark/>
          </w:tcPr>
          <w:p w14:paraId="3238446B"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33A5828E"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6F8E5893"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r w:rsidR="00080178" w:rsidRPr="00080178" w14:paraId="2E1BD3CE" w14:textId="77777777" w:rsidTr="007E6314">
        <w:trPr>
          <w:tblCellSpacing w:w="15" w:type="dxa"/>
        </w:trPr>
        <w:tc>
          <w:tcPr>
            <w:tcW w:w="0" w:type="auto"/>
            <w:vAlign w:val="center"/>
            <w:hideMark/>
          </w:tcPr>
          <w:p w14:paraId="7EF9169B"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Deputy Chiefs </w:t>
            </w:r>
          </w:p>
        </w:tc>
        <w:tc>
          <w:tcPr>
            <w:tcW w:w="0" w:type="auto"/>
            <w:vAlign w:val="center"/>
            <w:hideMark/>
          </w:tcPr>
          <w:p w14:paraId="34E5450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5A95D5D0"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4138763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r w:rsidR="00080178" w:rsidRPr="00080178" w14:paraId="056C82CA" w14:textId="77777777" w:rsidTr="007E6314">
        <w:trPr>
          <w:tblCellSpacing w:w="15" w:type="dxa"/>
        </w:trPr>
        <w:tc>
          <w:tcPr>
            <w:tcW w:w="0" w:type="auto"/>
            <w:vAlign w:val="center"/>
            <w:hideMark/>
          </w:tcPr>
          <w:p w14:paraId="7C9945AC"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Fire Captains </w:t>
            </w:r>
          </w:p>
        </w:tc>
        <w:tc>
          <w:tcPr>
            <w:tcW w:w="0" w:type="auto"/>
            <w:vAlign w:val="center"/>
            <w:hideMark/>
          </w:tcPr>
          <w:p w14:paraId="1F12CE6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33% </w:t>
            </w:r>
          </w:p>
        </w:tc>
        <w:tc>
          <w:tcPr>
            <w:tcW w:w="0" w:type="auto"/>
            <w:vAlign w:val="center"/>
            <w:hideMark/>
          </w:tcPr>
          <w:p w14:paraId="2F84DCB9"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17146B7E"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17% </w:t>
            </w:r>
          </w:p>
        </w:tc>
      </w:tr>
      <w:tr w:rsidR="00080178" w:rsidRPr="00080178" w14:paraId="2921482E" w14:textId="77777777" w:rsidTr="007E6314">
        <w:trPr>
          <w:tblCellSpacing w:w="15" w:type="dxa"/>
        </w:trPr>
        <w:tc>
          <w:tcPr>
            <w:tcW w:w="0" w:type="auto"/>
            <w:vAlign w:val="center"/>
            <w:hideMark/>
          </w:tcPr>
          <w:p w14:paraId="2EE233D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Fire Lieutenants </w:t>
            </w:r>
          </w:p>
        </w:tc>
        <w:tc>
          <w:tcPr>
            <w:tcW w:w="0" w:type="auto"/>
            <w:vAlign w:val="center"/>
            <w:hideMark/>
          </w:tcPr>
          <w:p w14:paraId="36EB51EA"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48% </w:t>
            </w:r>
          </w:p>
        </w:tc>
        <w:tc>
          <w:tcPr>
            <w:tcW w:w="0" w:type="auto"/>
            <w:vAlign w:val="center"/>
            <w:hideMark/>
          </w:tcPr>
          <w:p w14:paraId="7CB2482F"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52% </w:t>
            </w:r>
          </w:p>
        </w:tc>
        <w:tc>
          <w:tcPr>
            <w:tcW w:w="0" w:type="auto"/>
            <w:vAlign w:val="center"/>
            <w:hideMark/>
          </w:tcPr>
          <w:p w14:paraId="5E882C88"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r w:rsidR="00080178" w:rsidRPr="00080178" w14:paraId="3A10B905" w14:textId="77777777" w:rsidTr="007E6314">
        <w:trPr>
          <w:tblCellSpacing w:w="15" w:type="dxa"/>
        </w:trPr>
        <w:tc>
          <w:tcPr>
            <w:tcW w:w="0" w:type="auto"/>
            <w:vAlign w:val="center"/>
            <w:hideMark/>
          </w:tcPr>
          <w:p w14:paraId="7CDAE054"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lastRenderedPageBreak/>
              <w:t xml:space="preserve">Firefighters </w:t>
            </w:r>
          </w:p>
        </w:tc>
        <w:tc>
          <w:tcPr>
            <w:tcW w:w="0" w:type="auto"/>
            <w:vAlign w:val="center"/>
            <w:hideMark/>
          </w:tcPr>
          <w:p w14:paraId="73DCEBA0"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36% </w:t>
            </w:r>
          </w:p>
        </w:tc>
        <w:tc>
          <w:tcPr>
            <w:tcW w:w="0" w:type="auto"/>
            <w:vAlign w:val="center"/>
            <w:hideMark/>
          </w:tcPr>
          <w:p w14:paraId="7D4855BA"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62% </w:t>
            </w:r>
          </w:p>
        </w:tc>
        <w:tc>
          <w:tcPr>
            <w:tcW w:w="0" w:type="auto"/>
            <w:vAlign w:val="center"/>
            <w:hideMark/>
          </w:tcPr>
          <w:p w14:paraId="5B0DC378"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2% </w:t>
            </w:r>
          </w:p>
        </w:tc>
      </w:tr>
      <w:tr w:rsidR="00080178" w:rsidRPr="00080178" w14:paraId="42FB0420" w14:textId="77777777" w:rsidTr="007E6314">
        <w:trPr>
          <w:tblCellSpacing w:w="15" w:type="dxa"/>
        </w:trPr>
        <w:tc>
          <w:tcPr>
            <w:tcW w:w="0" w:type="auto"/>
            <w:vAlign w:val="center"/>
            <w:hideMark/>
          </w:tcPr>
          <w:p w14:paraId="2E96DA45"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Inspectors </w:t>
            </w:r>
          </w:p>
        </w:tc>
        <w:tc>
          <w:tcPr>
            <w:tcW w:w="0" w:type="auto"/>
            <w:vAlign w:val="center"/>
            <w:hideMark/>
          </w:tcPr>
          <w:p w14:paraId="6C4060A8"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7CC8F3D4"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443F144F"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bl>
    <w:p w14:paraId="32DA08E8" w14:textId="77777777" w:rsidR="00080178" w:rsidRPr="00080178" w:rsidRDefault="00080178" w:rsidP="00080178">
      <w:pPr>
        <w:pStyle w:val="NoSpacing"/>
        <w:ind w:left="1395"/>
        <w:rPr>
          <w:rFonts w:ascii="Times New Roman" w:hAnsi="Times New Roman"/>
          <w:sz w:val="24"/>
          <w:szCs w:val="24"/>
        </w:rPr>
      </w:pPr>
      <w:r w:rsidRPr="00080178">
        <w:rPr>
          <w:rFonts w:ascii="Times New Roman" w:hAnsi="Times New Roman"/>
          <w:sz w:val="24"/>
          <w:szCs w:val="24"/>
        </w:rPr>
        <w:t xml:space="preserve"> Dispatchers </w:t>
      </w:r>
      <w:r w:rsidRPr="00080178">
        <w:rPr>
          <w:rFonts w:ascii="Times New Roman" w:hAnsi="Times New Roman"/>
          <w:sz w:val="24"/>
          <w:szCs w:val="24"/>
        </w:rPr>
        <w:tab/>
        <w:t xml:space="preserve">    30%   50%                       20%</w:t>
      </w:r>
    </w:p>
    <w:p w14:paraId="7194787B" w14:textId="77777777" w:rsidR="00080178" w:rsidRPr="00080178" w:rsidRDefault="00080178" w:rsidP="00080178">
      <w:pPr>
        <w:pStyle w:val="NoSpacing"/>
        <w:rPr>
          <w:rFonts w:ascii="Times New Roman" w:hAnsi="Times New Roman"/>
          <w:b/>
          <w:bCs/>
          <w:sz w:val="24"/>
          <w:szCs w:val="24"/>
        </w:rPr>
      </w:pPr>
    </w:p>
    <w:p w14:paraId="271BFE65" w14:textId="77777777" w:rsidR="00080178" w:rsidRPr="00080178" w:rsidRDefault="00080178" w:rsidP="00A45D5D">
      <w:pPr>
        <w:rPr>
          <w:rFonts w:ascii="Times New Roman" w:hAnsi="Times New Roman"/>
          <w:b/>
          <w:sz w:val="24"/>
          <w:szCs w:val="24"/>
        </w:rPr>
      </w:pPr>
    </w:p>
    <w:p w14:paraId="2518B40E" w14:textId="77777777" w:rsidR="00A17EA1" w:rsidRDefault="00A17EA1" w:rsidP="00BC70A3">
      <w:pPr>
        <w:rPr>
          <w:rFonts w:ascii="Arial Black" w:hAnsi="Arial Black"/>
          <w:b/>
          <w:sz w:val="24"/>
          <w:szCs w:val="24"/>
        </w:rPr>
      </w:pPr>
    </w:p>
    <w:p w14:paraId="39FC01FF" w14:textId="593D70AE" w:rsidR="00B92F73" w:rsidRDefault="00B92F73" w:rsidP="00BC70A3">
      <w:pPr>
        <w:rPr>
          <w:rFonts w:ascii="Arial Black" w:hAnsi="Arial Black"/>
          <w:b/>
          <w:sz w:val="24"/>
          <w:szCs w:val="24"/>
        </w:rPr>
      </w:pPr>
      <w:r>
        <w:rPr>
          <w:rFonts w:ascii="Arial Black" w:hAnsi="Arial Black"/>
          <w:b/>
          <w:sz w:val="24"/>
          <w:szCs w:val="24"/>
        </w:rPr>
        <w:t>8-77</w:t>
      </w:r>
    </w:p>
    <w:p w14:paraId="1387E50A" w14:textId="77777777" w:rsidR="00C6187D" w:rsidRPr="006F2B87" w:rsidRDefault="00C6187D" w:rsidP="00C6187D">
      <w:pPr>
        <w:pStyle w:val="NoSpacing"/>
        <w:rPr>
          <w:rFonts w:ascii="Arial Black" w:hAnsi="Arial Black"/>
          <w:bCs/>
          <w:sz w:val="28"/>
          <w:szCs w:val="28"/>
        </w:rPr>
      </w:pPr>
      <w:r w:rsidRPr="006F2B87">
        <w:rPr>
          <w:rFonts w:ascii="Arial Black" w:hAnsi="Arial Black"/>
          <w:sz w:val="28"/>
          <w:szCs w:val="28"/>
        </w:rPr>
        <w:t>U.S. SUP. CT: MINORITY CONT</w:t>
      </w:r>
      <w:r>
        <w:rPr>
          <w:rFonts w:ascii="Arial Black" w:hAnsi="Arial Black"/>
          <w:sz w:val="28"/>
          <w:szCs w:val="28"/>
        </w:rPr>
        <w:t>RACT</w:t>
      </w:r>
      <w:r w:rsidRPr="006F2B87">
        <w:rPr>
          <w:rFonts w:ascii="Arial Black" w:hAnsi="Arial Black"/>
          <w:sz w:val="28"/>
          <w:szCs w:val="28"/>
        </w:rPr>
        <w:t xml:space="preserve"> FRAUD - NO $ LOSS </w:t>
      </w:r>
    </w:p>
    <w:p w14:paraId="5F6A7C89" w14:textId="77777777" w:rsidR="00C6187D" w:rsidRPr="006F2B87" w:rsidRDefault="00C6187D" w:rsidP="00C6187D">
      <w:pPr>
        <w:pStyle w:val="NoSpacing"/>
        <w:rPr>
          <w:bCs/>
        </w:rPr>
      </w:pPr>
    </w:p>
    <w:p w14:paraId="13386DB0" w14:textId="77777777" w:rsidR="00C6187D" w:rsidRPr="00C6187D" w:rsidRDefault="00C6187D" w:rsidP="00C6187D">
      <w:pPr>
        <w:pStyle w:val="NoSpacing"/>
        <w:rPr>
          <w:rFonts w:ascii="Times New Roman" w:hAnsi="Times New Roman"/>
          <w:bCs/>
          <w:sz w:val="24"/>
          <w:szCs w:val="24"/>
        </w:rPr>
      </w:pPr>
      <w:r w:rsidRPr="00C6187D">
        <w:rPr>
          <w:rFonts w:ascii="Times New Roman" w:hAnsi="Times New Roman"/>
          <w:sz w:val="24"/>
          <w:szCs w:val="24"/>
        </w:rPr>
        <w:t xml:space="preserve">On May 22, 2025, in </w:t>
      </w:r>
      <w:r w:rsidRPr="00C6187D">
        <w:rPr>
          <w:rFonts w:ascii="Times New Roman" w:hAnsi="Times New Roman"/>
          <w:sz w:val="24"/>
          <w:szCs w:val="24"/>
          <w:u w:val="single"/>
        </w:rPr>
        <w:t xml:space="preserve">Stamatios </w:t>
      </w:r>
      <w:proofErr w:type="spellStart"/>
      <w:r w:rsidRPr="00C6187D">
        <w:rPr>
          <w:rFonts w:ascii="Times New Roman" w:hAnsi="Times New Roman"/>
          <w:sz w:val="24"/>
          <w:szCs w:val="24"/>
          <w:u w:val="single"/>
        </w:rPr>
        <w:t>Kousisis</w:t>
      </w:r>
      <w:proofErr w:type="spellEnd"/>
      <w:r w:rsidRPr="00C6187D">
        <w:rPr>
          <w:rFonts w:ascii="Times New Roman" w:hAnsi="Times New Roman"/>
          <w:sz w:val="24"/>
          <w:szCs w:val="24"/>
          <w:u w:val="single"/>
        </w:rPr>
        <w:t>, et al. v. United States</w:t>
      </w:r>
      <w:r w:rsidRPr="00C6187D">
        <w:rPr>
          <w:rFonts w:ascii="Times New Roman" w:hAnsi="Times New Roman"/>
          <w:sz w:val="24"/>
          <w:szCs w:val="24"/>
        </w:rPr>
        <w:t xml:space="preserve">, the United States Supreme Court held (9 to 0) that the jury properly convicted Stamatios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and the industrial-painting company he helped manage, Alpha Painting and Construction Co., of wire fraud and conspiracy in two bridge painting projects in Philadelphia where he certified he was doing business with a Disadvantaged Business Enterprise [DBE]. He was sentenced to six years in prison, and the Third Circuit [Philadelphia] and the U.S. Supreme Court </w:t>
      </w:r>
      <w:proofErr w:type="spellStart"/>
      <w:r w:rsidRPr="00C6187D">
        <w:rPr>
          <w:rFonts w:ascii="Times New Roman" w:hAnsi="Times New Roman"/>
          <w:sz w:val="24"/>
          <w:szCs w:val="24"/>
        </w:rPr>
        <w:t>Court</w:t>
      </w:r>
      <w:proofErr w:type="spellEnd"/>
      <w:r w:rsidRPr="00C6187D">
        <w:rPr>
          <w:rFonts w:ascii="Times New Roman" w:hAnsi="Times New Roman"/>
          <w:sz w:val="24"/>
          <w:szCs w:val="24"/>
        </w:rPr>
        <w:t xml:space="preserve"> rejected his argument that government had to prove defendant caused his victim a “net pecuniary loss.”</w:t>
      </w:r>
    </w:p>
    <w:p w14:paraId="76D4AB36" w14:textId="77777777" w:rsidR="00C6187D" w:rsidRPr="00C6187D" w:rsidRDefault="00C6187D" w:rsidP="00C6187D">
      <w:pPr>
        <w:pStyle w:val="NoSpacing"/>
        <w:rPr>
          <w:rFonts w:ascii="Times New Roman" w:hAnsi="Times New Roman"/>
          <w:bCs/>
          <w:sz w:val="24"/>
          <w:szCs w:val="24"/>
        </w:rPr>
      </w:pPr>
    </w:p>
    <w:p w14:paraId="57B9323F" w14:textId="77777777" w:rsidR="00C6187D" w:rsidRPr="00C6187D" w:rsidRDefault="00C6187D" w:rsidP="00C6187D">
      <w:pPr>
        <w:pStyle w:val="NoSpacing"/>
        <w:rPr>
          <w:rFonts w:ascii="Times New Roman" w:hAnsi="Times New Roman"/>
          <w:bCs/>
          <w:sz w:val="24"/>
          <w:szCs w:val="24"/>
        </w:rPr>
      </w:pPr>
      <w:r w:rsidRPr="00C6187D">
        <w:rPr>
          <w:rFonts w:ascii="Times New Roman" w:hAnsi="Times New Roman"/>
          <w:sz w:val="24"/>
          <w:szCs w:val="24"/>
        </w:rPr>
        <w:t xml:space="preserve">Justice Amy Coney Barrett wrote the Court’s opinion, and explained how the scheme worked: </w:t>
      </w:r>
    </w:p>
    <w:p w14:paraId="76C98FFF" w14:textId="77777777" w:rsidR="00C6187D" w:rsidRPr="00C6187D" w:rsidRDefault="00C6187D" w:rsidP="00C6187D">
      <w:pPr>
        <w:pStyle w:val="NoSpacing"/>
        <w:rPr>
          <w:rFonts w:ascii="Times New Roman" w:hAnsi="Times New Roman"/>
          <w:bCs/>
          <w:sz w:val="24"/>
          <w:szCs w:val="24"/>
        </w:rPr>
      </w:pPr>
      <w:r w:rsidRPr="00C6187D">
        <w:rPr>
          <w:rFonts w:ascii="Times New Roman" w:hAnsi="Times New Roman"/>
          <w:sz w:val="24"/>
          <w:szCs w:val="24"/>
        </w:rPr>
        <w:t xml:space="preserve">“Accordingly, as part of the bidding process,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represented that Alpha would acquire approximately $6.4 million in painting supplies from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Inc., a prequalified disadvantaged business. *** This was a lie.  As later memorialized in a commitment letter, Alpha and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concocted a scheme in which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would function as a mere ‘pass-through’ entity. The scheme operated as follows: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arranged for Alpha’s actual paint suppliers, with whom he negotiated  directly, to “generate purchase orders . . . billed to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Id., at 193. When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received an invoice, it tacked on a few-percent fee and then forwarded the inflated invoice to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He, in turn, issued two checks: one paid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for its mark up, and the other covered the actual cost of the supplies. In short,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was no more than a paper pusher, funneling checks and invoices to and from Alpha’s actual suppliers.” </w:t>
      </w:r>
    </w:p>
    <w:p w14:paraId="2DA6262B" w14:textId="77777777" w:rsidR="00C6187D" w:rsidRDefault="00C6187D" w:rsidP="00C6187D">
      <w:pPr>
        <w:pStyle w:val="NoSpacing"/>
        <w:rPr>
          <w:rFonts w:ascii="Times New Roman" w:hAnsi="Times New Roman"/>
          <w:sz w:val="24"/>
          <w:szCs w:val="24"/>
        </w:rPr>
      </w:pPr>
      <w:hyperlink r:id="rId1444" w:history="1">
        <w:r w:rsidRPr="00C6187D">
          <w:rPr>
            <w:rStyle w:val="Hyperlink"/>
            <w:rFonts w:ascii="Times New Roman" w:hAnsi="Times New Roman"/>
            <w:b/>
            <w:sz w:val="24"/>
            <w:szCs w:val="24"/>
          </w:rPr>
          <w:t>https://www.supremecourt.gov/opinions/24pdf/23-909_f2q3.pdf</w:t>
        </w:r>
      </w:hyperlink>
      <w:r w:rsidRPr="00C6187D">
        <w:rPr>
          <w:rFonts w:ascii="Times New Roman" w:hAnsi="Times New Roman"/>
          <w:sz w:val="24"/>
          <w:szCs w:val="24"/>
        </w:rPr>
        <w:t xml:space="preserve"> </w:t>
      </w:r>
    </w:p>
    <w:p w14:paraId="7586C31D" w14:textId="77777777" w:rsidR="0035274D" w:rsidRDefault="0035274D" w:rsidP="00C6187D">
      <w:pPr>
        <w:pStyle w:val="NoSpacing"/>
        <w:rPr>
          <w:rFonts w:ascii="Times New Roman" w:hAnsi="Times New Roman"/>
          <w:sz w:val="24"/>
          <w:szCs w:val="24"/>
        </w:rPr>
      </w:pPr>
    </w:p>
    <w:p w14:paraId="76A86332" w14:textId="77777777" w:rsidR="0035274D" w:rsidRPr="006F2B87" w:rsidRDefault="0035274D" w:rsidP="0035274D">
      <w:pPr>
        <w:pStyle w:val="NoSpacing"/>
        <w:rPr>
          <w:b/>
          <w:bCs/>
        </w:rPr>
      </w:pPr>
      <w:r w:rsidRPr="006F2B87">
        <w:rPr>
          <w:b/>
        </w:rPr>
        <w:t xml:space="preserve">Legal Lesson Learned: Fraud involving a “disadvantaged business enterprise” can be prosecuted even if the government was not financially injured. </w:t>
      </w:r>
    </w:p>
    <w:p w14:paraId="34F26987" w14:textId="77777777" w:rsidR="0035274D" w:rsidRPr="006F2B87" w:rsidRDefault="0035274D" w:rsidP="0035274D">
      <w:pPr>
        <w:pStyle w:val="NoSpacing"/>
        <w:rPr>
          <w:bCs/>
        </w:rPr>
      </w:pPr>
    </w:p>
    <w:p w14:paraId="52C73D54"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Note:  See concurring opinion by Justice Sonia Maria Sotomayor where she commented on baseball tickets– METS v. YANKEE </w:t>
      </w:r>
      <w:proofErr w:type="gramStart"/>
      <w:r w:rsidRPr="0035274D">
        <w:rPr>
          <w:rFonts w:ascii="Times New Roman" w:hAnsi="Times New Roman"/>
          <w:sz w:val="24"/>
          <w:szCs w:val="24"/>
        </w:rPr>
        <w:t>TICKETS:.</w:t>
      </w:r>
      <w:proofErr w:type="gramEnd"/>
    </w:p>
    <w:p w14:paraId="40889ED3"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“The Court today rightly rejects petitioners’ request to graft an economic-loss requirement onto the federal wire fraud statute. When a defendant tricks a victim out of their money by promising one thing and delivering something materially different, it is no defense to say that the delivered items are of equal economic value. Statutory text,</w:t>
      </w:r>
    </w:p>
    <w:p w14:paraId="5441E04A"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precedent, and history mandate that conclusion, as the majority explains. See ante, at 7–16. Common sense, unsurprisingly, points in the same direction. A Yankees fan deceived into buying Mets tickets is no less defrauded simply because the Mets tickets happen to be worth the same amount as the promised Yankees ones. That straightforward conclusion is all that is necessary to resolve this case, and I would go no further.” </w:t>
      </w:r>
    </w:p>
    <w:p w14:paraId="7E465657" w14:textId="77777777" w:rsidR="0035274D" w:rsidRPr="0035274D" w:rsidRDefault="0035274D" w:rsidP="0035274D">
      <w:pPr>
        <w:pStyle w:val="NoSpacing"/>
        <w:rPr>
          <w:rFonts w:ascii="Times New Roman" w:hAnsi="Times New Roman"/>
          <w:bCs/>
          <w:sz w:val="24"/>
          <w:szCs w:val="24"/>
        </w:rPr>
      </w:pPr>
    </w:p>
    <w:p w14:paraId="6B6B312D" w14:textId="77777777" w:rsidR="0035274D" w:rsidRPr="0035274D" w:rsidRDefault="0035274D" w:rsidP="0035274D">
      <w:pPr>
        <w:pStyle w:val="NoSpacing"/>
        <w:rPr>
          <w:rFonts w:ascii="Times New Roman" w:hAnsi="Times New Roman"/>
          <w:bCs/>
          <w:sz w:val="24"/>
          <w:szCs w:val="24"/>
        </w:rPr>
      </w:pPr>
      <w:r w:rsidRPr="0035274D">
        <w:rPr>
          <w:rFonts w:ascii="Times New Roman" w:hAnsi="Times New Roman"/>
          <w:sz w:val="24"/>
          <w:szCs w:val="24"/>
        </w:rPr>
        <w:t>See concurring opinion by Jstice Clearance Thomas:</w:t>
      </w:r>
    </w:p>
    <w:p w14:paraId="0A4A8902" w14:textId="77777777" w:rsidR="0035274D" w:rsidRPr="0035274D" w:rsidRDefault="0035274D" w:rsidP="0035274D">
      <w:pPr>
        <w:pStyle w:val="NoSpacing"/>
        <w:rPr>
          <w:rFonts w:ascii="Times New Roman" w:hAnsi="Times New Roman"/>
          <w:bCs/>
          <w:sz w:val="24"/>
          <w:szCs w:val="24"/>
        </w:rPr>
      </w:pPr>
    </w:p>
    <w:p w14:paraId="6876B65D"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“The DBE program is the Government’s ‘most far-reaching federal status-based contracting program.” D. Bernstein, The Modern American Law of Race, 94 S. Cal. L.</w:t>
      </w:r>
    </w:p>
    <w:p w14:paraId="2D3F072C"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lastRenderedPageBreak/>
        <w:t>Rev. 171, 208 (2021) (Bernstein). Established in 1983, it sets a goal that at least 10 percent of federal funds authorized for any highway and transit program ‘be expended</w:t>
      </w:r>
    </w:p>
    <w:p w14:paraId="6602E059"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with small business concerns owned and controlled by socially and economically disadvantaged individuals.’ … Among the groups presumptively eligible for DBE benefits are  ‘Black Americans,’ ‘Hispanic Americans,’ ‘Native Americans,’ </w:t>
      </w:r>
      <w:r w:rsidRPr="0035274D">
        <w:rPr>
          <w:rFonts w:ascii="Times New Roman" w:hAnsi="Times New Roman"/>
          <w:sz w:val="24"/>
          <w:szCs w:val="24"/>
        </w:rPr>
        <w:tab/>
        <w:t>‘Asian-Pacific Americans,’ and ‘Subcontinent Asian Americans.’ ”</w:t>
      </w:r>
    </w:p>
    <w:p w14:paraId="1765AD79" w14:textId="77777777" w:rsidR="0035274D" w:rsidRPr="0035274D" w:rsidRDefault="0035274D" w:rsidP="0035274D">
      <w:pPr>
        <w:pStyle w:val="NoSpacing"/>
        <w:rPr>
          <w:rFonts w:ascii="Times New Roman" w:hAnsi="Times New Roman"/>
          <w:bCs/>
          <w:sz w:val="24"/>
          <w:szCs w:val="24"/>
        </w:rPr>
      </w:pPr>
    </w:p>
    <w:p w14:paraId="32BCA717" w14:textId="77777777" w:rsidR="0035274D" w:rsidRPr="0035274D" w:rsidRDefault="0035274D" w:rsidP="0035274D">
      <w:pPr>
        <w:pStyle w:val="NoSpacing"/>
        <w:rPr>
          <w:rFonts w:ascii="Times New Roman" w:hAnsi="Times New Roman"/>
          <w:bCs/>
          <w:sz w:val="24"/>
          <w:szCs w:val="24"/>
        </w:rPr>
      </w:pPr>
    </w:p>
    <w:p w14:paraId="0A62F6AC"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See also: U.S. Department of Justice Press Release of Aug. 30, 2028.  “Downingtown Man Convicted of Exploiting USDOT Disadvantaged Business Program.” </w:t>
      </w:r>
    </w:p>
    <w:p w14:paraId="119DEBBF"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“Joyce Abrams, the owner of </w:t>
      </w:r>
      <w:proofErr w:type="spellStart"/>
      <w:r w:rsidRPr="0035274D">
        <w:rPr>
          <w:rFonts w:ascii="Times New Roman" w:hAnsi="Times New Roman"/>
          <w:sz w:val="24"/>
          <w:szCs w:val="24"/>
        </w:rPr>
        <w:t>Markias</w:t>
      </w:r>
      <w:proofErr w:type="spellEnd"/>
      <w:r w:rsidRPr="0035274D">
        <w:rPr>
          <w:rFonts w:ascii="Times New Roman" w:hAnsi="Times New Roman"/>
          <w:sz w:val="24"/>
          <w:szCs w:val="24"/>
        </w:rPr>
        <w:t xml:space="preserve">, has previously pleaded guilty to conspiring to defraud PennDOT and the U.S. Department of Transportation with respect to this scheme. </w:t>
      </w:r>
      <w:hyperlink r:id="rId1445" w:history="1">
        <w:r w:rsidRPr="0035274D">
          <w:rPr>
            <w:rStyle w:val="Hyperlink"/>
            <w:rFonts w:ascii="Times New Roman" w:hAnsi="Times New Roman"/>
            <w:sz w:val="24"/>
            <w:szCs w:val="24"/>
          </w:rPr>
          <w:t>https://www.justice.gov/usao-edpa/pr/downingtown-man-convicted-exploiting-usdot-disadvantaged-business-program</w:t>
        </w:r>
      </w:hyperlink>
    </w:p>
    <w:p w14:paraId="7269A7E5" w14:textId="77777777" w:rsidR="0035274D" w:rsidRPr="006F2B87" w:rsidRDefault="0035274D" w:rsidP="0035274D">
      <w:pPr>
        <w:pStyle w:val="NoSpacing"/>
        <w:rPr>
          <w:bCs/>
        </w:rPr>
      </w:pPr>
    </w:p>
    <w:p w14:paraId="4443C34E" w14:textId="77777777" w:rsidR="0035274D" w:rsidRPr="00C6187D" w:rsidRDefault="0035274D" w:rsidP="00C6187D">
      <w:pPr>
        <w:pStyle w:val="NoSpacing"/>
        <w:rPr>
          <w:rFonts w:ascii="Times New Roman" w:hAnsi="Times New Roman"/>
          <w:sz w:val="24"/>
          <w:szCs w:val="24"/>
        </w:rPr>
      </w:pPr>
    </w:p>
    <w:p w14:paraId="1860BCEE" w14:textId="77777777" w:rsidR="003E03D6" w:rsidRDefault="003E03D6" w:rsidP="00BC70A3">
      <w:pPr>
        <w:rPr>
          <w:rFonts w:ascii="Arial Black" w:hAnsi="Arial Black"/>
          <w:b/>
          <w:sz w:val="24"/>
          <w:szCs w:val="24"/>
        </w:rPr>
      </w:pPr>
    </w:p>
    <w:p w14:paraId="7EA612F5" w14:textId="7F45ADF1" w:rsidR="003E03D6" w:rsidRDefault="00B92F73" w:rsidP="00BC70A3">
      <w:pPr>
        <w:rPr>
          <w:rFonts w:ascii="Arial Black" w:hAnsi="Arial Black"/>
          <w:b/>
          <w:sz w:val="24"/>
          <w:szCs w:val="24"/>
        </w:rPr>
      </w:pPr>
      <w:r>
        <w:rPr>
          <w:rFonts w:ascii="Arial Black" w:hAnsi="Arial Black"/>
          <w:b/>
          <w:sz w:val="24"/>
          <w:szCs w:val="24"/>
        </w:rPr>
        <w:t>8-76</w:t>
      </w:r>
    </w:p>
    <w:p w14:paraId="5E3AC5FE" w14:textId="722F44DE" w:rsidR="008D618F" w:rsidRPr="006F2B87" w:rsidRDefault="008D618F" w:rsidP="008D618F">
      <w:pPr>
        <w:pStyle w:val="NoSpacing"/>
        <w:rPr>
          <w:rFonts w:ascii="Arial Black" w:hAnsi="Arial Black"/>
          <w:sz w:val="28"/>
          <w:szCs w:val="28"/>
        </w:rPr>
      </w:pPr>
      <w:r w:rsidRPr="006F2B87">
        <w:rPr>
          <w:rFonts w:ascii="Arial Black" w:hAnsi="Arial Black"/>
          <w:sz w:val="28"/>
          <w:szCs w:val="28"/>
        </w:rPr>
        <w:t xml:space="preserve">MS:  FAILED </w:t>
      </w:r>
      <w:r>
        <w:rPr>
          <w:rFonts w:ascii="Arial Black" w:hAnsi="Arial Black"/>
          <w:sz w:val="28"/>
          <w:szCs w:val="28"/>
        </w:rPr>
        <w:t xml:space="preserve">FD “DRIVER” TESTS - </w:t>
      </w:r>
      <w:r w:rsidRPr="006F2B87">
        <w:rPr>
          <w:rFonts w:ascii="Arial Black" w:hAnsi="Arial Black"/>
          <w:sz w:val="28"/>
          <w:szCs w:val="28"/>
        </w:rPr>
        <w:t xml:space="preserve">3 TIMES – </w:t>
      </w:r>
      <w:r w:rsidR="008954B6">
        <w:rPr>
          <w:rFonts w:ascii="Arial Black" w:hAnsi="Arial Black"/>
          <w:sz w:val="28"/>
          <w:szCs w:val="28"/>
        </w:rPr>
        <w:t xml:space="preserve">FIRED - </w:t>
      </w:r>
      <w:r w:rsidRPr="006F2B87">
        <w:rPr>
          <w:rFonts w:ascii="Arial Black" w:hAnsi="Arial Black"/>
          <w:sz w:val="28"/>
          <w:szCs w:val="28"/>
        </w:rPr>
        <w:t>NOT RACE</w:t>
      </w:r>
    </w:p>
    <w:p w14:paraId="0FCA94E4" w14:textId="77777777" w:rsidR="008D618F" w:rsidRPr="006F2B87" w:rsidRDefault="008D618F" w:rsidP="008D618F">
      <w:pPr>
        <w:pStyle w:val="NoSpacing"/>
      </w:pPr>
    </w:p>
    <w:p w14:paraId="7CB7882D" w14:textId="77777777" w:rsidR="00BE2264" w:rsidRPr="008D618F" w:rsidRDefault="008D618F" w:rsidP="00BE2264">
      <w:pPr>
        <w:pStyle w:val="NoSpacing"/>
        <w:rPr>
          <w:rFonts w:ascii="Times New Roman" w:hAnsi="Times New Roman"/>
          <w:bCs/>
          <w:sz w:val="24"/>
          <w:szCs w:val="24"/>
        </w:rPr>
      </w:pPr>
      <w:r w:rsidRPr="008D618F">
        <w:rPr>
          <w:rFonts w:ascii="Times New Roman" w:hAnsi="Times New Roman"/>
          <w:sz w:val="24"/>
          <w:szCs w:val="24"/>
        </w:rPr>
        <w:t>On May 13, 202</w:t>
      </w:r>
      <w:r w:rsidR="00ED64DA">
        <w:rPr>
          <w:rFonts w:ascii="Times New Roman" w:hAnsi="Times New Roman"/>
          <w:sz w:val="24"/>
          <w:szCs w:val="24"/>
        </w:rPr>
        <w:t>5</w:t>
      </w:r>
      <w:r w:rsidRPr="008D618F">
        <w:rPr>
          <w:rFonts w:ascii="Times New Roman" w:hAnsi="Times New Roman"/>
          <w:sz w:val="24"/>
          <w:szCs w:val="24"/>
        </w:rPr>
        <w:t xml:space="preserve">, in </w:t>
      </w:r>
      <w:r w:rsidRPr="008D618F">
        <w:rPr>
          <w:rFonts w:ascii="Times New Roman" w:hAnsi="Times New Roman"/>
          <w:sz w:val="24"/>
          <w:szCs w:val="24"/>
          <w:u w:val="single"/>
        </w:rPr>
        <w:t>Willie Fry v. City of Hernando, Mississippi</w:t>
      </w:r>
      <w:r w:rsidRPr="008D618F">
        <w:rPr>
          <w:rFonts w:ascii="Times New Roman" w:hAnsi="Times New Roman"/>
          <w:sz w:val="24"/>
          <w:szCs w:val="24"/>
        </w:rPr>
        <w:t>,</w:t>
      </w:r>
      <w:r w:rsidRPr="008D618F">
        <w:rPr>
          <w:rFonts w:ascii="Times New Roman" w:hAnsi="Times New Roman"/>
          <w:b/>
          <w:sz w:val="24"/>
          <w:szCs w:val="24"/>
        </w:rPr>
        <w:t xml:space="preserve"> </w:t>
      </w:r>
      <w:r w:rsidRPr="008D618F">
        <w:rPr>
          <w:rFonts w:ascii="Times New Roman" w:hAnsi="Times New Roman"/>
          <w:sz w:val="24"/>
          <w:szCs w:val="24"/>
        </w:rPr>
        <w:t xml:space="preserve">the U.S. Court of Appeals for Fifth Circuit (New Orleans) held (3 to 0) that trial court properly granted summary judgment to the defense, after close of pre-trial discovery.  The former firefighter failed “driver” testing three times. </w:t>
      </w:r>
      <w:hyperlink r:id="rId1446" w:history="1">
        <w:r w:rsidR="00BE2264" w:rsidRPr="008D618F">
          <w:rPr>
            <w:rStyle w:val="Hyperlink"/>
            <w:rFonts w:ascii="Times New Roman" w:hAnsi="Times New Roman"/>
            <w:sz w:val="24"/>
            <w:szCs w:val="24"/>
          </w:rPr>
          <w:t>https://www.ca5.uscourts.gov/opinions/unpub/24/24-60532.0.pdf</w:t>
        </w:r>
      </w:hyperlink>
      <w:r w:rsidR="00BE2264" w:rsidRPr="008D618F">
        <w:rPr>
          <w:rFonts w:ascii="Times New Roman" w:hAnsi="Times New Roman"/>
          <w:sz w:val="24"/>
          <w:szCs w:val="24"/>
        </w:rPr>
        <w:t xml:space="preserve"> </w:t>
      </w:r>
    </w:p>
    <w:p w14:paraId="69BEACB7" w14:textId="27F028CD" w:rsidR="008D618F" w:rsidRPr="008D618F" w:rsidRDefault="008D618F" w:rsidP="008D618F">
      <w:pPr>
        <w:pStyle w:val="NoSpacing"/>
        <w:rPr>
          <w:rFonts w:ascii="Times New Roman" w:hAnsi="Times New Roman"/>
          <w:bCs/>
          <w:sz w:val="24"/>
          <w:szCs w:val="24"/>
        </w:rPr>
      </w:pPr>
    </w:p>
    <w:p w14:paraId="52F4EA08" w14:textId="77777777" w:rsidR="008D618F" w:rsidRPr="008D618F" w:rsidRDefault="008D618F" w:rsidP="008D618F">
      <w:pPr>
        <w:pStyle w:val="NoSpacing"/>
        <w:rPr>
          <w:rFonts w:ascii="Times New Roman" w:hAnsi="Times New Roman"/>
          <w:bCs/>
          <w:sz w:val="24"/>
          <w:szCs w:val="24"/>
        </w:rPr>
      </w:pPr>
    </w:p>
    <w:p w14:paraId="18C310EC" w14:textId="5816C605" w:rsidR="008D618F" w:rsidRPr="008D618F" w:rsidRDefault="008D618F" w:rsidP="008D618F">
      <w:pPr>
        <w:pStyle w:val="NoSpacing"/>
        <w:rPr>
          <w:rFonts w:ascii="Times New Roman" w:hAnsi="Times New Roman"/>
          <w:bCs/>
          <w:sz w:val="24"/>
          <w:szCs w:val="24"/>
        </w:rPr>
      </w:pPr>
      <w:r w:rsidRPr="008D618F">
        <w:rPr>
          <w:rFonts w:ascii="Times New Roman" w:hAnsi="Times New Roman"/>
          <w:sz w:val="24"/>
          <w:szCs w:val="24"/>
        </w:rPr>
        <w:t xml:space="preserve">The Court wrote: “Fry worked as a Hernando firefighter for about six years. While in that post, he applied to be promoted to driver. The Hernando Fire Department requires firefighters applying </w:t>
      </w:r>
      <w:proofErr w:type="gramStart"/>
      <w:r w:rsidRPr="008D618F">
        <w:rPr>
          <w:rFonts w:ascii="Times New Roman" w:hAnsi="Times New Roman"/>
          <w:sz w:val="24"/>
          <w:szCs w:val="24"/>
        </w:rPr>
        <w:t>to</w:t>
      </w:r>
      <w:proofErr w:type="gramEnd"/>
      <w:r w:rsidRPr="008D618F">
        <w:rPr>
          <w:rFonts w:ascii="Times New Roman" w:hAnsi="Times New Roman"/>
          <w:sz w:val="24"/>
          <w:szCs w:val="24"/>
        </w:rPr>
        <w:t xml:space="preserve"> that position to pass a promotional exam.  The exam is comprised of a few tests—each of which an applicant must pass, in sequential order, to be eligible for promotion…. Fry failed the driver promotional exam three times—in 2018, 2020, and 2021. On his first attempt, he failed the pump test. On his second and third attempts, Fry failed the street test. In 2021, the year of Fry’s third attempt, the exam had been reduced from five tests to three. But the pump test remained a part of each exam. Fry did not take the pump test in either his second or third attempt because he failed the street test, which was the first round of the exam. *** The record lacks evidence that he was “qualified for” the position of driver in 2018, 2020, or 2021—an essential element of his prima facie case. The Hernando Fire Department requires firefighters to pass a promotional exam to be eligible for the </w:t>
      </w:r>
      <w:proofErr w:type="gramStart"/>
      <w:r w:rsidRPr="008D618F">
        <w:rPr>
          <w:rFonts w:ascii="Times New Roman" w:hAnsi="Times New Roman"/>
          <w:sz w:val="24"/>
          <w:szCs w:val="24"/>
        </w:rPr>
        <w:t>driver</w:t>
      </w:r>
      <w:proofErr w:type="gramEnd"/>
      <w:r w:rsidRPr="008D618F">
        <w:rPr>
          <w:rFonts w:ascii="Times New Roman" w:hAnsi="Times New Roman"/>
          <w:sz w:val="24"/>
          <w:szCs w:val="24"/>
        </w:rPr>
        <w:t xml:space="preserve"> position. After searching the record and liberally construing his arguments on appeal, we find no competent summary-judgment evidence from which a trier of fact could infer that Fry passed that exam. Because Fry failed to demonstrate through competent summary-judgment evidence the existence of a genuine dispute on an essential element of his claims, summary judgment was proper as to </w:t>
      </w:r>
      <w:proofErr w:type="gramStart"/>
      <w:r w:rsidRPr="008D618F">
        <w:rPr>
          <w:rFonts w:ascii="Times New Roman" w:hAnsi="Times New Roman"/>
          <w:sz w:val="24"/>
          <w:szCs w:val="24"/>
        </w:rPr>
        <w:t>them.”</w:t>
      </w:r>
      <w:proofErr w:type="gramEnd"/>
      <w:r w:rsidRPr="008D618F">
        <w:rPr>
          <w:rFonts w:ascii="Times New Roman" w:hAnsi="Times New Roman"/>
          <w:sz w:val="24"/>
          <w:szCs w:val="24"/>
        </w:rPr>
        <w:t xml:space="preserve"> </w:t>
      </w:r>
    </w:p>
    <w:p w14:paraId="54F13789" w14:textId="77777777" w:rsidR="003E03D6" w:rsidRDefault="003E03D6" w:rsidP="00BC70A3">
      <w:pPr>
        <w:rPr>
          <w:rFonts w:ascii="Arial Black" w:hAnsi="Arial Black"/>
          <w:b/>
          <w:sz w:val="24"/>
          <w:szCs w:val="24"/>
        </w:rPr>
      </w:pPr>
    </w:p>
    <w:p w14:paraId="000F7884" w14:textId="77777777" w:rsidR="002F7A23" w:rsidRPr="00B92F73" w:rsidRDefault="002F7A23" w:rsidP="002F7A23">
      <w:pPr>
        <w:pStyle w:val="NoSpacing"/>
        <w:rPr>
          <w:rFonts w:ascii="Times New Roman" w:hAnsi="Times New Roman"/>
          <w:b/>
          <w:bCs/>
          <w:sz w:val="24"/>
          <w:szCs w:val="24"/>
        </w:rPr>
      </w:pPr>
      <w:r w:rsidRPr="00B92F73">
        <w:rPr>
          <w:rFonts w:ascii="Times New Roman" w:hAnsi="Times New Roman"/>
          <w:b/>
          <w:sz w:val="24"/>
          <w:szCs w:val="24"/>
        </w:rPr>
        <w:t xml:space="preserve">Legal Lesson Learned: The former firefighter failed the </w:t>
      </w:r>
      <w:r w:rsidRPr="00B92F73">
        <w:rPr>
          <w:rFonts w:ascii="Times New Roman" w:hAnsi="Times New Roman"/>
          <w:b/>
          <w:bCs/>
          <w:sz w:val="24"/>
          <w:szCs w:val="24"/>
        </w:rPr>
        <w:t>driver’s</w:t>
      </w:r>
      <w:r w:rsidRPr="00B92F73">
        <w:rPr>
          <w:rFonts w:ascii="Times New Roman" w:hAnsi="Times New Roman"/>
          <w:b/>
          <w:sz w:val="24"/>
          <w:szCs w:val="24"/>
        </w:rPr>
        <w:t xml:space="preserve"> test three times; </w:t>
      </w:r>
      <w:r w:rsidRPr="00B92F73">
        <w:rPr>
          <w:rFonts w:ascii="Times New Roman" w:hAnsi="Times New Roman"/>
          <w:b/>
          <w:bCs/>
          <w:sz w:val="24"/>
          <w:szCs w:val="24"/>
        </w:rPr>
        <w:t xml:space="preserve">Court held </w:t>
      </w:r>
      <w:r w:rsidRPr="00B92F73">
        <w:rPr>
          <w:rFonts w:ascii="Times New Roman" w:hAnsi="Times New Roman"/>
          <w:b/>
          <w:sz w:val="24"/>
          <w:szCs w:val="24"/>
        </w:rPr>
        <w:t>race was not a factor.</w:t>
      </w:r>
    </w:p>
    <w:p w14:paraId="6C8F1E97" w14:textId="77777777" w:rsidR="002F7A23" w:rsidRPr="006F2B87" w:rsidRDefault="002F7A23" w:rsidP="002F7A23">
      <w:pPr>
        <w:pStyle w:val="NoSpacing"/>
      </w:pPr>
    </w:p>
    <w:p w14:paraId="17ED2775" w14:textId="77777777" w:rsidR="002F7A23" w:rsidRDefault="002F7A23" w:rsidP="00BC70A3">
      <w:pPr>
        <w:rPr>
          <w:rFonts w:ascii="Arial Black" w:hAnsi="Arial Black"/>
          <w:b/>
          <w:sz w:val="24"/>
          <w:szCs w:val="24"/>
        </w:rPr>
      </w:pPr>
    </w:p>
    <w:p w14:paraId="3ECE4E9F" w14:textId="77777777" w:rsidR="003E03D6" w:rsidRDefault="003E03D6" w:rsidP="00BC70A3">
      <w:pPr>
        <w:rPr>
          <w:rFonts w:ascii="Arial Black" w:hAnsi="Arial Black"/>
          <w:b/>
          <w:sz w:val="24"/>
          <w:szCs w:val="24"/>
        </w:rPr>
      </w:pPr>
    </w:p>
    <w:p w14:paraId="0469024C" w14:textId="44EC7842" w:rsidR="0062764C" w:rsidRDefault="0062764C" w:rsidP="00BC70A3">
      <w:pPr>
        <w:rPr>
          <w:rFonts w:ascii="Arial Black" w:hAnsi="Arial Black"/>
          <w:b/>
          <w:sz w:val="24"/>
          <w:szCs w:val="24"/>
        </w:rPr>
      </w:pPr>
      <w:r>
        <w:rPr>
          <w:rFonts w:ascii="Arial Black" w:hAnsi="Arial Black"/>
          <w:b/>
          <w:sz w:val="24"/>
          <w:szCs w:val="24"/>
        </w:rPr>
        <w:lastRenderedPageBreak/>
        <w:t>8-75</w:t>
      </w:r>
    </w:p>
    <w:p w14:paraId="0D53978D" w14:textId="77777777" w:rsidR="0060197A" w:rsidRPr="00067B0D" w:rsidRDefault="0060197A" w:rsidP="0060197A">
      <w:pPr>
        <w:rPr>
          <w:rFonts w:ascii="Arial Black" w:hAnsi="Arial Black"/>
          <w:bCs/>
          <w:sz w:val="28"/>
          <w:szCs w:val="28"/>
        </w:rPr>
      </w:pPr>
      <w:r>
        <w:rPr>
          <w:rFonts w:ascii="Arial Black" w:hAnsi="Arial Black"/>
          <w:sz w:val="28"/>
          <w:szCs w:val="28"/>
        </w:rPr>
        <w:t xml:space="preserve">TX: FF FIRED / IRAQI / 3 DOC. “PERFORMANCE NOTES” </w:t>
      </w:r>
    </w:p>
    <w:p w14:paraId="5AE9B1CC" w14:textId="0850A4DF" w:rsidR="0060197A" w:rsidRPr="0060197A" w:rsidRDefault="0060197A" w:rsidP="0060197A">
      <w:pPr>
        <w:rPr>
          <w:rFonts w:ascii="Times New Roman" w:hAnsi="Times New Roman"/>
          <w:bCs/>
          <w:sz w:val="24"/>
          <w:szCs w:val="24"/>
        </w:rPr>
      </w:pPr>
      <w:r>
        <w:t xml:space="preserve"> </w:t>
      </w:r>
      <w:r w:rsidRPr="0060197A">
        <w:rPr>
          <w:rFonts w:ascii="Times New Roman" w:hAnsi="Times New Roman"/>
          <w:sz w:val="24"/>
          <w:szCs w:val="24"/>
        </w:rPr>
        <w:t xml:space="preserve">On May 1, 2025, in </w:t>
      </w:r>
      <w:proofErr w:type="spellStart"/>
      <w:r w:rsidRPr="0060197A">
        <w:rPr>
          <w:rFonts w:ascii="Times New Roman" w:hAnsi="Times New Roman"/>
          <w:sz w:val="24"/>
          <w:szCs w:val="24"/>
          <w:u w:val="single"/>
        </w:rPr>
        <w:t>Safealdean</w:t>
      </w:r>
      <w:proofErr w:type="spellEnd"/>
      <w:r w:rsidRPr="0060197A">
        <w:rPr>
          <w:rFonts w:ascii="Times New Roman" w:hAnsi="Times New Roman"/>
          <w:sz w:val="24"/>
          <w:szCs w:val="24"/>
          <w:u w:val="single"/>
        </w:rPr>
        <w:t xml:space="preserve"> </w:t>
      </w:r>
      <w:proofErr w:type="spellStart"/>
      <w:r w:rsidRPr="0060197A">
        <w:rPr>
          <w:rFonts w:ascii="Times New Roman" w:hAnsi="Times New Roman"/>
          <w:sz w:val="24"/>
          <w:szCs w:val="24"/>
          <w:u w:val="single"/>
        </w:rPr>
        <w:t>Alusi</w:t>
      </w:r>
      <w:proofErr w:type="spellEnd"/>
      <w:r w:rsidRPr="0060197A">
        <w:rPr>
          <w:rFonts w:ascii="Times New Roman" w:hAnsi="Times New Roman"/>
          <w:sz w:val="24"/>
          <w:szCs w:val="24"/>
          <w:u w:val="single"/>
        </w:rPr>
        <w:t xml:space="preserve"> v. City of Frisco, Texas</w:t>
      </w:r>
      <w:r w:rsidRPr="0060197A">
        <w:rPr>
          <w:rFonts w:ascii="Times New Roman" w:hAnsi="Times New Roman"/>
          <w:sz w:val="24"/>
          <w:szCs w:val="24"/>
        </w:rPr>
        <w:t xml:space="preserve">, the U.S. Court of Appeals held (3 to 0; unpublished decision) that the trial court properly granted the City’s motion for summary judgment after pre-trial discovery was completed in claims of hostile work atmosphere and national origin discrimination. The FF was fired on May 6, 2020; he had completed his one year probationary period on December 2018, but by July 11, 2029 he had received three “performance note[s]” in response to various instances of alleged deficient performance, was shortly thereafter moved to a new station, and required to restart a training program “to improve his paramedic skills.’” </w:t>
      </w:r>
      <w:hyperlink r:id="rId1447" w:history="1">
        <w:r w:rsidRPr="0060197A">
          <w:rPr>
            <w:rStyle w:val="Hyperlink"/>
            <w:rFonts w:ascii="Times New Roman" w:hAnsi="Times New Roman"/>
            <w:sz w:val="24"/>
            <w:szCs w:val="24"/>
          </w:rPr>
          <w:t>https://cases.justia.com/federal/appellate-courts/ca5/24-40626/24-40626-2025-05-01.pdf?ts=1746120629</w:t>
        </w:r>
      </w:hyperlink>
    </w:p>
    <w:p w14:paraId="0C0B97CA" w14:textId="77777777" w:rsidR="00CB5E21" w:rsidRPr="00CB5E21" w:rsidRDefault="00CB5E21" w:rsidP="00CB5E21">
      <w:pPr>
        <w:pStyle w:val="NoSpacing"/>
        <w:rPr>
          <w:rFonts w:ascii="Times New Roman" w:hAnsi="Times New Roman"/>
          <w:b/>
          <w:bCs/>
          <w:sz w:val="24"/>
          <w:szCs w:val="24"/>
        </w:rPr>
      </w:pPr>
      <w:r w:rsidRPr="00CB5E21">
        <w:rPr>
          <w:rFonts w:ascii="Times New Roman" w:hAnsi="Times New Roman"/>
          <w:b/>
          <w:sz w:val="24"/>
          <w:szCs w:val="24"/>
        </w:rPr>
        <w:t>Legal Lesson Learned: The FD documented performance deficiencies prior to termination.</w:t>
      </w:r>
    </w:p>
    <w:p w14:paraId="7C4B711C" w14:textId="77777777" w:rsidR="0062764C" w:rsidRPr="00CB5E21" w:rsidRDefault="0062764C" w:rsidP="00BC70A3">
      <w:pPr>
        <w:rPr>
          <w:rFonts w:ascii="Times New Roman" w:hAnsi="Times New Roman"/>
          <w:b/>
          <w:sz w:val="24"/>
          <w:szCs w:val="24"/>
        </w:rPr>
      </w:pPr>
    </w:p>
    <w:p w14:paraId="0077B28F" w14:textId="77777777" w:rsidR="0062764C" w:rsidRDefault="0062764C" w:rsidP="00BC70A3">
      <w:pPr>
        <w:rPr>
          <w:rFonts w:ascii="Arial Black" w:hAnsi="Arial Black"/>
          <w:b/>
          <w:sz w:val="24"/>
          <w:szCs w:val="24"/>
        </w:rPr>
      </w:pPr>
    </w:p>
    <w:p w14:paraId="153E21F5" w14:textId="4B89CC84" w:rsidR="000B584F" w:rsidRDefault="009353BA" w:rsidP="00BC70A3">
      <w:pPr>
        <w:rPr>
          <w:rFonts w:ascii="Arial Black" w:hAnsi="Arial Black"/>
          <w:b/>
          <w:sz w:val="24"/>
          <w:szCs w:val="24"/>
        </w:rPr>
      </w:pPr>
      <w:r>
        <w:rPr>
          <w:rFonts w:ascii="Arial Black" w:hAnsi="Arial Black"/>
          <w:b/>
          <w:sz w:val="24"/>
          <w:szCs w:val="24"/>
        </w:rPr>
        <w:t>8-74</w:t>
      </w:r>
    </w:p>
    <w:p w14:paraId="575C3370" w14:textId="54D0FB2A" w:rsidR="00BD3AC0" w:rsidRPr="00A12DBD" w:rsidRDefault="00BD3AC0" w:rsidP="00BD3AC0">
      <w:pPr>
        <w:pStyle w:val="NoSpacing"/>
        <w:rPr>
          <w:rFonts w:ascii="Arial Black" w:hAnsi="Arial Black"/>
          <w:bCs/>
          <w:sz w:val="28"/>
          <w:szCs w:val="28"/>
        </w:rPr>
      </w:pPr>
      <w:r>
        <w:rPr>
          <w:rFonts w:ascii="Arial Black" w:hAnsi="Arial Black"/>
          <w:sz w:val="28"/>
          <w:szCs w:val="28"/>
        </w:rPr>
        <w:t xml:space="preserve">MS: EMS SCHOLARSHIPS FOR </w:t>
      </w:r>
      <w:r w:rsidR="0052716C">
        <w:rPr>
          <w:rFonts w:ascii="Arial Black" w:hAnsi="Arial Black"/>
          <w:sz w:val="28"/>
          <w:szCs w:val="28"/>
        </w:rPr>
        <w:t xml:space="preserve">EMS </w:t>
      </w:r>
      <w:r>
        <w:rPr>
          <w:rFonts w:ascii="Arial Black" w:hAnsi="Arial Black"/>
          <w:sz w:val="28"/>
          <w:szCs w:val="28"/>
        </w:rPr>
        <w:t>“OF COLOR” - CASE PROCEED</w:t>
      </w:r>
    </w:p>
    <w:p w14:paraId="072E2B41" w14:textId="77777777" w:rsidR="00BD3AC0" w:rsidRDefault="00BD3AC0" w:rsidP="00BD3AC0">
      <w:pPr>
        <w:pStyle w:val="NoSpacing"/>
      </w:pPr>
    </w:p>
    <w:p w14:paraId="113E0EBE" w14:textId="77777777" w:rsidR="00BD3AC0" w:rsidRPr="00E55966" w:rsidRDefault="00BD3AC0" w:rsidP="00BD3AC0">
      <w:pPr>
        <w:pStyle w:val="NoSpacing"/>
        <w:rPr>
          <w:rFonts w:ascii="Times New Roman" w:hAnsi="Times New Roman"/>
          <w:sz w:val="24"/>
          <w:szCs w:val="24"/>
        </w:rPr>
      </w:pPr>
      <w:r w:rsidRPr="00E55966">
        <w:rPr>
          <w:rFonts w:ascii="Times New Roman" w:hAnsi="Times New Roman"/>
          <w:sz w:val="24"/>
          <w:szCs w:val="24"/>
        </w:rPr>
        <w:t xml:space="preserve">On March 31, 2025, in </w:t>
      </w:r>
      <w:r w:rsidRPr="00E55966">
        <w:rPr>
          <w:rFonts w:ascii="Times New Roman" w:hAnsi="Times New Roman"/>
          <w:sz w:val="24"/>
          <w:szCs w:val="24"/>
          <w:u w:val="single"/>
        </w:rPr>
        <w:t>Do No Harm v. National Association of Emergency Medical Technicians</w:t>
      </w:r>
      <w:r w:rsidRPr="00E55966">
        <w:rPr>
          <w:rFonts w:ascii="Times New Roman" w:hAnsi="Times New Roman"/>
          <w:sz w:val="24"/>
          <w:szCs w:val="24"/>
        </w:rPr>
        <w:t xml:space="preserve">, </w:t>
      </w:r>
    </w:p>
    <w:p w14:paraId="789CCDC2" w14:textId="589405C2" w:rsidR="00BC5DCB" w:rsidRPr="00E55966" w:rsidRDefault="00BD3AC0" w:rsidP="00BD3AC0">
      <w:pPr>
        <w:rPr>
          <w:rFonts w:ascii="Times New Roman" w:hAnsi="Times New Roman"/>
          <w:sz w:val="24"/>
          <w:szCs w:val="24"/>
        </w:rPr>
      </w:pPr>
      <w:r w:rsidRPr="00E55966">
        <w:rPr>
          <w:rFonts w:ascii="Times New Roman" w:hAnsi="Times New Roman"/>
          <w:sz w:val="24"/>
          <w:szCs w:val="24"/>
        </w:rPr>
        <w:t xml:space="preserve">U.S. District Court Judge Carlton W. Reeves, U.S. District Court for the Southern District of Mississippi (Northern Division) denied NAEMT’s motion to dismiss.  “Since 2021, this program has awarded up to four scholarships of $1,250 each, which recipients may use towards tuition, fees, and books…. The scholarship's guidelines do not list race as a factor; however, the selection process states that NAEMT ‘will’ award the scholarship to students of color. ***  [Plaintiff organization include white female seeking one of the scholarships.] “Member A alleges that she was denied the opportunity to compete on equal footing with applicants of color because of her race. If proven to be true-and the applicable standard requires us to presume its truth today- NAEMT's diversity scholarship would pose a race-based barrier to Member A that may violate § 1981.” </w:t>
      </w:r>
      <w:r w:rsidR="00741F62">
        <w:rPr>
          <w:rFonts w:ascii="Times New Roman" w:hAnsi="Times New Roman"/>
          <w:sz w:val="24"/>
          <w:szCs w:val="24"/>
        </w:rPr>
        <w:t xml:space="preserve"> </w:t>
      </w:r>
      <w:hyperlink r:id="rId1448" w:history="1">
        <w:r w:rsidR="00741F62" w:rsidRPr="00F82255">
          <w:rPr>
            <w:rStyle w:val="Hyperlink"/>
            <w:rFonts w:ascii="Times New Roman" w:hAnsi="Times New Roman"/>
            <w:sz w:val="24"/>
            <w:szCs w:val="24"/>
          </w:rPr>
          <w:t>https://public.fastcase.com/jaEE2PXzRXmZ99jOLMt1IpDp0JnVzptdty762p2WdacpKzYcIiQ8l1TBeuMep1jV?utm_medium=email&amp;_hsenc=p2ANqtz-9L1bPrfxst6esq_7Z5KFo1lHVisT0fYVrJpGE-zmUOoXZMhssxRXtfaqB6NAX5aJI_oGim2Kqhabp0MlaGnIdzwB2f4A&amp;_hsmi=226712652&amp;utm_content=226712652&amp;utm_source=hs_email</w:t>
        </w:r>
      </w:hyperlink>
      <w:r w:rsidR="00741F62">
        <w:rPr>
          <w:rFonts w:ascii="Times New Roman" w:hAnsi="Times New Roman"/>
          <w:sz w:val="24"/>
          <w:szCs w:val="24"/>
        </w:rPr>
        <w:t xml:space="preserve"> </w:t>
      </w:r>
    </w:p>
    <w:p w14:paraId="006202BE" w14:textId="77777777" w:rsidR="008A0A0B" w:rsidRDefault="008A0A0B" w:rsidP="008A0A0B">
      <w:pPr>
        <w:pStyle w:val="NoSpacing"/>
        <w:rPr>
          <w:rFonts w:ascii="Times New Roman" w:hAnsi="Times New Roman"/>
          <w:b/>
          <w:sz w:val="24"/>
          <w:szCs w:val="24"/>
        </w:rPr>
      </w:pPr>
      <w:r w:rsidRPr="001C2A03">
        <w:rPr>
          <w:rFonts w:ascii="Times New Roman" w:hAnsi="Times New Roman"/>
          <w:b/>
          <w:sz w:val="24"/>
          <w:szCs w:val="24"/>
        </w:rPr>
        <w:t>Legal Lesson Learned:  The case will now proceed to pre-trial discovery; scholarships for minority students by universities and other organizations have also been challenged.</w:t>
      </w:r>
    </w:p>
    <w:p w14:paraId="073BA680" w14:textId="77777777" w:rsidR="00282976" w:rsidRDefault="00282976" w:rsidP="008A0A0B">
      <w:pPr>
        <w:pStyle w:val="NoSpacing"/>
        <w:rPr>
          <w:rFonts w:ascii="Times New Roman" w:hAnsi="Times New Roman"/>
          <w:b/>
          <w:sz w:val="24"/>
          <w:szCs w:val="24"/>
        </w:rPr>
      </w:pPr>
    </w:p>
    <w:p w14:paraId="24FC34D6" w14:textId="77777777" w:rsidR="00E55966" w:rsidRPr="00E55966" w:rsidRDefault="00E55966" w:rsidP="00E55966">
      <w:pPr>
        <w:pStyle w:val="NoSpacing"/>
        <w:ind w:left="720"/>
        <w:rPr>
          <w:rFonts w:ascii="Times New Roman" w:hAnsi="Times New Roman"/>
          <w:bCs/>
          <w:sz w:val="24"/>
          <w:szCs w:val="24"/>
        </w:rPr>
      </w:pPr>
      <w:r w:rsidRPr="00E55966">
        <w:rPr>
          <w:rFonts w:ascii="Times New Roman" w:hAnsi="Times New Roman"/>
          <w:sz w:val="24"/>
          <w:szCs w:val="24"/>
        </w:rPr>
        <w:t xml:space="preserve">Note:  </w:t>
      </w:r>
    </w:p>
    <w:p w14:paraId="7A83B162" w14:textId="77777777" w:rsidR="00E55966" w:rsidRPr="00E55966" w:rsidRDefault="00E55966" w:rsidP="00E55966">
      <w:pPr>
        <w:pStyle w:val="NoSpacing"/>
        <w:ind w:left="720"/>
        <w:rPr>
          <w:rFonts w:ascii="Times New Roman" w:hAnsi="Times New Roman"/>
          <w:bCs/>
          <w:sz w:val="24"/>
          <w:szCs w:val="24"/>
        </w:rPr>
      </w:pPr>
    </w:p>
    <w:p w14:paraId="2938ECEC" w14:textId="77777777" w:rsidR="00E55966" w:rsidRPr="00E55966" w:rsidRDefault="00E55966" w:rsidP="00E55966">
      <w:pPr>
        <w:pStyle w:val="NoSpacing"/>
        <w:ind w:left="720"/>
        <w:rPr>
          <w:rFonts w:ascii="Times New Roman" w:hAnsi="Times New Roman"/>
          <w:bCs/>
          <w:sz w:val="24"/>
          <w:szCs w:val="24"/>
        </w:rPr>
      </w:pPr>
      <w:r w:rsidRPr="00E55966">
        <w:rPr>
          <w:rFonts w:ascii="Times New Roman" w:hAnsi="Times New Roman"/>
          <w:sz w:val="24"/>
          <w:szCs w:val="24"/>
        </w:rPr>
        <w:t xml:space="preserve">See March 13, </w:t>
      </w:r>
      <w:proofErr w:type="gramStart"/>
      <w:r w:rsidRPr="00E55966">
        <w:rPr>
          <w:rFonts w:ascii="Times New Roman" w:hAnsi="Times New Roman"/>
          <w:sz w:val="24"/>
          <w:szCs w:val="24"/>
        </w:rPr>
        <w:t>2025</w:t>
      </w:r>
      <w:proofErr w:type="gramEnd"/>
      <w:r w:rsidRPr="00E55966">
        <w:rPr>
          <w:rFonts w:ascii="Times New Roman" w:hAnsi="Times New Roman"/>
          <w:sz w:val="24"/>
          <w:szCs w:val="24"/>
        </w:rPr>
        <w:t xml:space="preserve"> article and TV Video: “Cincinnati Children's Hospital under investigation over scholarships for minorities. A Wisconsin law firm brought the complaint to the federal government, alleging the programs violate the Civil Rights Act. Cincinnati Children's Hospital is being investigated by the federal government for scholarships aimed at helping minority students. The Department of Health and Human Services Office of Civil Rights is looking into whether those programs break the law.” </w:t>
      </w:r>
      <w:hyperlink r:id="rId1449" w:history="1">
        <w:r w:rsidRPr="00E55966">
          <w:rPr>
            <w:rStyle w:val="Hyperlink"/>
            <w:rFonts w:ascii="Times New Roman" w:hAnsi="Times New Roman"/>
            <w:sz w:val="24"/>
            <w:szCs w:val="24"/>
          </w:rPr>
          <w:t>https://www.wlwt.com/article/cincinnati-childrens-investigation-scholarships-minorities/64180173</w:t>
        </w:r>
      </w:hyperlink>
      <w:r w:rsidRPr="00E55966">
        <w:rPr>
          <w:rFonts w:ascii="Times New Roman" w:hAnsi="Times New Roman"/>
          <w:sz w:val="24"/>
          <w:szCs w:val="24"/>
        </w:rPr>
        <w:t xml:space="preserve"> </w:t>
      </w:r>
    </w:p>
    <w:p w14:paraId="07E5D801" w14:textId="77777777" w:rsidR="00E55966" w:rsidRPr="00E55966" w:rsidRDefault="00E55966" w:rsidP="00E55966">
      <w:pPr>
        <w:pStyle w:val="NoSpacing"/>
        <w:ind w:left="720"/>
        <w:rPr>
          <w:rFonts w:ascii="Times New Roman" w:hAnsi="Times New Roman"/>
          <w:bCs/>
          <w:sz w:val="24"/>
          <w:szCs w:val="24"/>
        </w:rPr>
      </w:pPr>
    </w:p>
    <w:p w14:paraId="179C4FAB" w14:textId="77777777" w:rsidR="00E55966" w:rsidRPr="00E55966" w:rsidRDefault="00E55966" w:rsidP="00E55966">
      <w:pPr>
        <w:pStyle w:val="NoSpacing"/>
        <w:ind w:left="720"/>
        <w:rPr>
          <w:rFonts w:ascii="Times New Roman" w:hAnsi="Times New Roman"/>
          <w:bCs/>
          <w:sz w:val="24"/>
          <w:szCs w:val="24"/>
        </w:rPr>
      </w:pPr>
      <w:r w:rsidRPr="00E55966">
        <w:rPr>
          <w:rFonts w:ascii="Times New Roman" w:hAnsi="Times New Roman"/>
          <w:sz w:val="24"/>
          <w:szCs w:val="24"/>
        </w:rPr>
        <w:t xml:space="preserve">See American Bar Association scholarships. “The American Bar Association (ABA) awards an annual Legal Opportunity Scholarship to first-year law students. The program's mission is to encourage racial and ethnic minority students to apply to law school and to provide financial assistance for them to attend and complete their legal education. The ABA Legal Opportunity Scholarship grants $15,000 of financial aid to 20 - 25 incoming diverse law students over their three years in law school. Since its inception, the ABA Legal Opportunity Scholarship has benefitted more than 400 students from across the country.”  </w:t>
      </w:r>
      <w:hyperlink r:id="rId1450" w:history="1">
        <w:r w:rsidRPr="00E55966">
          <w:rPr>
            <w:rStyle w:val="Hyperlink"/>
            <w:rFonts w:ascii="Times New Roman" w:hAnsi="Times New Roman"/>
            <w:sz w:val="24"/>
            <w:szCs w:val="24"/>
          </w:rPr>
          <w:t>https://www.americanbar.org/groups/diversity/diversity_pipeline/projects_initiatives/legal_opportunity_scholarship/</w:t>
        </w:r>
      </w:hyperlink>
    </w:p>
    <w:p w14:paraId="6C406882" w14:textId="77777777" w:rsidR="00E55966" w:rsidRDefault="00E55966" w:rsidP="00BD3AC0">
      <w:pPr>
        <w:rPr>
          <w:rFonts w:ascii="Arial Black" w:hAnsi="Arial Black"/>
          <w:b/>
          <w:sz w:val="24"/>
          <w:szCs w:val="24"/>
        </w:rPr>
      </w:pPr>
    </w:p>
    <w:p w14:paraId="14380081" w14:textId="77777777" w:rsidR="009353BA" w:rsidRDefault="009353BA" w:rsidP="00BC70A3">
      <w:pPr>
        <w:rPr>
          <w:rFonts w:ascii="Arial Black" w:hAnsi="Arial Black"/>
          <w:b/>
          <w:sz w:val="24"/>
          <w:szCs w:val="24"/>
        </w:rPr>
      </w:pPr>
    </w:p>
    <w:p w14:paraId="7023D4EB" w14:textId="77777777" w:rsidR="009353BA" w:rsidRDefault="009353BA" w:rsidP="00BC70A3">
      <w:pPr>
        <w:rPr>
          <w:rFonts w:ascii="Arial Black" w:hAnsi="Arial Black"/>
          <w:b/>
          <w:sz w:val="24"/>
          <w:szCs w:val="24"/>
        </w:rPr>
      </w:pPr>
    </w:p>
    <w:p w14:paraId="7F8E8D59" w14:textId="437810A8" w:rsidR="000B584F" w:rsidRDefault="000B584F" w:rsidP="00BC70A3">
      <w:pPr>
        <w:rPr>
          <w:rFonts w:ascii="Arial Black" w:hAnsi="Arial Black"/>
          <w:b/>
          <w:sz w:val="24"/>
          <w:szCs w:val="24"/>
        </w:rPr>
      </w:pPr>
      <w:r>
        <w:rPr>
          <w:rFonts w:ascii="Arial Black" w:hAnsi="Arial Black"/>
          <w:b/>
          <w:sz w:val="24"/>
          <w:szCs w:val="24"/>
        </w:rPr>
        <w:t>8-7</w:t>
      </w:r>
      <w:r w:rsidR="00375DDB">
        <w:rPr>
          <w:rFonts w:ascii="Arial Black" w:hAnsi="Arial Black"/>
          <w:b/>
          <w:sz w:val="24"/>
          <w:szCs w:val="24"/>
        </w:rPr>
        <w:t>3</w:t>
      </w:r>
    </w:p>
    <w:p w14:paraId="45B22002" w14:textId="1A8B2187" w:rsidR="00A110F1" w:rsidRPr="00E11E20" w:rsidRDefault="00A110F1" w:rsidP="00A110F1">
      <w:pPr>
        <w:pStyle w:val="NoSpacing"/>
        <w:rPr>
          <w:rFonts w:ascii="Arial Black" w:hAnsi="Arial Black"/>
          <w:bCs/>
          <w:sz w:val="28"/>
          <w:szCs w:val="28"/>
        </w:rPr>
      </w:pPr>
      <w:r>
        <w:rPr>
          <w:rFonts w:ascii="Arial Black" w:hAnsi="Arial Black"/>
          <w:sz w:val="28"/>
          <w:szCs w:val="28"/>
        </w:rPr>
        <w:t xml:space="preserve">MD: NOT RACE DISC – FIRED </w:t>
      </w:r>
      <w:r w:rsidR="0068464C">
        <w:rPr>
          <w:rFonts w:ascii="Arial Black" w:hAnsi="Arial Black"/>
          <w:sz w:val="28"/>
          <w:szCs w:val="28"/>
        </w:rPr>
        <w:t xml:space="preserve">- </w:t>
      </w:r>
      <w:r>
        <w:rPr>
          <w:rFonts w:ascii="Arial Black" w:hAnsi="Arial Black"/>
          <w:sz w:val="28"/>
          <w:szCs w:val="28"/>
        </w:rPr>
        <w:t>DIDN’T RETURN MED. LEAVE</w:t>
      </w:r>
    </w:p>
    <w:p w14:paraId="5D82B45B" w14:textId="77777777" w:rsidR="00A110F1" w:rsidRDefault="00A110F1" w:rsidP="00A110F1">
      <w:pPr>
        <w:pStyle w:val="NoSpacing"/>
        <w:rPr>
          <w:bCs/>
        </w:rPr>
      </w:pPr>
    </w:p>
    <w:p w14:paraId="7A4DF9C5" w14:textId="77777777" w:rsidR="00A110F1" w:rsidRPr="00375DDB" w:rsidRDefault="00A110F1" w:rsidP="00A110F1">
      <w:pPr>
        <w:pStyle w:val="NoSpacing"/>
        <w:rPr>
          <w:rFonts w:ascii="Times New Roman" w:hAnsi="Times New Roman"/>
          <w:sz w:val="24"/>
          <w:szCs w:val="24"/>
        </w:rPr>
      </w:pPr>
      <w:r w:rsidRPr="00375DDB">
        <w:rPr>
          <w:rFonts w:ascii="Times New Roman" w:hAnsi="Times New Roman"/>
          <w:sz w:val="24"/>
          <w:szCs w:val="24"/>
        </w:rPr>
        <w:t xml:space="preserve">On March 31, 2025, in </w:t>
      </w:r>
      <w:r w:rsidRPr="00375DDB">
        <w:rPr>
          <w:rFonts w:ascii="Times New Roman" w:hAnsi="Times New Roman"/>
          <w:sz w:val="24"/>
          <w:szCs w:val="24"/>
          <w:u w:val="single"/>
        </w:rPr>
        <w:t>Nicole Tynes v. Mayor and City Council of Baltimore</w:t>
      </w:r>
      <w:r w:rsidRPr="00375DDB">
        <w:rPr>
          <w:rFonts w:ascii="Times New Roman" w:hAnsi="Times New Roman"/>
          <w:sz w:val="24"/>
          <w:szCs w:val="24"/>
        </w:rPr>
        <w:t xml:space="preserve">, U.S. District Court Judge Matthew J. Maddox, U.S. District Court for District of Maryland, granted the City’s motion for summary judgment in this lawsuit by black, female alleging retaliation after she filed EEOC complaint.  “On January 12, 2021, PSI placed Plaintiff off-duty through August 31, 2021, due to a non-line-of-duty surgery…. Plaintiff experienced post-op complications…. Because she was out for more than six months, Plaintiff was required to take an RTD [return to duty] exam. Plaintiff was unable to pass the RTD, and she was emotional and appeared distraught…. As a result of being placed back </w:t>
      </w:r>
      <w:proofErr w:type="gramStart"/>
      <w:r w:rsidRPr="00375DDB">
        <w:rPr>
          <w:rFonts w:ascii="Times New Roman" w:hAnsi="Times New Roman"/>
          <w:sz w:val="24"/>
          <w:szCs w:val="24"/>
        </w:rPr>
        <w:t>off-duty</w:t>
      </w:r>
      <w:proofErr w:type="gramEnd"/>
      <w:r w:rsidRPr="00375DDB">
        <w:rPr>
          <w:rFonts w:ascii="Times New Roman" w:hAnsi="Times New Roman"/>
          <w:sz w:val="24"/>
          <w:szCs w:val="24"/>
        </w:rPr>
        <w:t xml:space="preserve"> by PSI [Mercy Hospital Public Safety Infirmary]. Plaintiff was sent an updated Expiration of Medical (“EOM”) Notification dated September 2, 2021…. </w:t>
      </w:r>
    </w:p>
    <w:p w14:paraId="32962910" w14:textId="1C73FE4B" w:rsidR="00A110F1" w:rsidRPr="00375DDB" w:rsidRDefault="00A110F1" w:rsidP="00A110F1">
      <w:pPr>
        <w:rPr>
          <w:rFonts w:ascii="Times New Roman" w:hAnsi="Times New Roman"/>
          <w:sz w:val="24"/>
          <w:szCs w:val="24"/>
        </w:rPr>
      </w:pPr>
      <w:r w:rsidRPr="00375DDB">
        <w:rPr>
          <w:rFonts w:ascii="Times New Roman" w:hAnsi="Times New Roman"/>
          <w:sz w:val="24"/>
          <w:szCs w:val="24"/>
        </w:rPr>
        <w:t>Plaintiff's remaining retaliation claim is based on her termination from the Fire Department after she failed to return to work on September 8, 2021…</w:t>
      </w:r>
      <w:r w:rsidRPr="00375DDB">
        <w:rPr>
          <w:rFonts w:ascii="Times New Roman" w:hAnsi="Times New Roman"/>
          <w:sz w:val="24"/>
          <w:szCs w:val="24"/>
          <w:vertAlign w:val="superscript"/>
        </w:rPr>
        <w:t xml:space="preserve">. </w:t>
      </w:r>
      <w:r w:rsidRPr="00375DDB">
        <w:rPr>
          <w:rFonts w:ascii="Times New Roman" w:hAnsi="Times New Roman"/>
          <w:sz w:val="24"/>
          <w:szCs w:val="24"/>
        </w:rPr>
        <w:t>Defendant has produced a legitimate, non-retaliatory reason for terminating Plaintiff: that her medical leave expired, and she did not return to work.</w:t>
      </w:r>
      <w:r w:rsidRPr="00375DDB">
        <w:rPr>
          <w:rFonts w:ascii="Times New Roman" w:hAnsi="Times New Roman"/>
          <w:sz w:val="24"/>
          <w:szCs w:val="24"/>
          <w:vertAlign w:val="superscript"/>
        </w:rPr>
        <w:t xml:space="preserve">” </w:t>
      </w:r>
      <w:hyperlink r:id="rId1451" w:history="1">
        <w:r w:rsidRPr="00375DDB">
          <w:rPr>
            <w:rStyle w:val="Hyperlink"/>
            <w:rFonts w:ascii="Times New Roman" w:hAnsi="Times New Roman"/>
            <w:sz w:val="24"/>
            <w:szCs w:val="24"/>
          </w:rPr>
          <w:t>https://public.fastcase.com/jaEE2PXzRXmZ99jOLMt1IvrAn%2Bvx0cgAdRJLFzEVE5rZOK58n0UQBGfcsDJAKHyq3V35FHlAbNqGcC8r8dPNnejcnyefccFrDQkDZXnULhU%3D?utm_medium=email&amp;_hsenc=p2ANqtz-8kewSXPlrcM1MOnAYiHvCPklkrBuM3zyFieXeXxpBY7QJCt7ROBRst2YRlv6uOnNoYQgLAyEZN4abHQWMttR1q6BIDag&amp;_hsmi=226712652&amp;utm_content=226712652&amp;utm_source=hs_email</w:t>
        </w:r>
      </w:hyperlink>
    </w:p>
    <w:p w14:paraId="77DE6A92" w14:textId="77777777" w:rsidR="00375DDB" w:rsidRPr="00375DDB" w:rsidRDefault="00375DDB" w:rsidP="00375DDB">
      <w:pPr>
        <w:pStyle w:val="NoSpacing"/>
        <w:rPr>
          <w:rFonts w:ascii="Times New Roman" w:hAnsi="Times New Roman"/>
          <w:b/>
          <w:sz w:val="24"/>
          <w:szCs w:val="24"/>
        </w:rPr>
      </w:pPr>
      <w:r w:rsidRPr="00375DDB">
        <w:rPr>
          <w:rFonts w:ascii="Times New Roman" w:hAnsi="Times New Roman"/>
          <w:b/>
          <w:sz w:val="24"/>
          <w:szCs w:val="24"/>
        </w:rPr>
        <w:t>Legal Lesson Learned:  FD produced legitimate reason for terminating the firefighter, and plaintiff failed to show pretext.</w:t>
      </w:r>
    </w:p>
    <w:p w14:paraId="2AAB5B86" w14:textId="77777777" w:rsidR="00375DDB" w:rsidRDefault="00375DDB" w:rsidP="00375DDB">
      <w:pPr>
        <w:pStyle w:val="NoSpacing"/>
        <w:rPr>
          <w:bCs/>
        </w:rPr>
      </w:pPr>
    </w:p>
    <w:p w14:paraId="48A6D0C9" w14:textId="77777777" w:rsidR="00375DDB" w:rsidRDefault="00375DDB" w:rsidP="00A110F1">
      <w:pPr>
        <w:rPr>
          <w:rFonts w:ascii="Arial Black" w:hAnsi="Arial Black"/>
          <w:b/>
          <w:sz w:val="24"/>
          <w:szCs w:val="24"/>
        </w:rPr>
      </w:pPr>
    </w:p>
    <w:p w14:paraId="3AB97586" w14:textId="2FAE3152" w:rsidR="00375DDB" w:rsidRDefault="00375DDB" w:rsidP="00A110F1">
      <w:pPr>
        <w:rPr>
          <w:rFonts w:ascii="Arial Black" w:hAnsi="Arial Black"/>
          <w:b/>
          <w:sz w:val="24"/>
          <w:szCs w:val="24"/>
        </w:rPr>
      </w:pPr>
      <w:r>
        <w:rPr>
          <w:rFonts w:ascii="Arial Black" w:hAnsi="Arial Black"/>
          <w:b/>
          <w:sz w:val="24"/>
          <w:szCs w:val="24"/>
        </w:rPr>
        <w:t>8-72</w:t>
      </w:r>
    </w:p>
    <w:p w14:paraId="677527B3" w14:textId="77777777" w:rsidR="001F52D2" w:rsidRPr="00A158C4" w:rsidRDefault="001F52D2" w:rsidP="001F52D2">
      <w:pPr>
        <w:pStyle w:val="NoSpacing"/>
        <w:rPr>
          <w:rFonts w:ascii="Arial Black" w:hAnsi="Arial Black"/>
          <w:b/>
          <w:sz w:val="28"/>
          <w:szCs w:val="28"/>
        </w:rPr>
      </w:pPr>
      <w:r>
        <w:rPr>
          <w:rFonts w:ascii="Arial Black" w:hAnsi="Arial Black"/>
          <w:b/>
          <w:sz w:val="28"/>
          <w:szCs w:val="28"/>
        </w:rPr>
        <w:t>PA: REVERSE DISC ALLEGED – WHITE NOT PROMOTED</w:t>
      </w:r>
    </w:p>
    <w:p w14:paraId="1480FE28" w14:textId="77777777" w:rsidR="001F52D2" w:rsidRDefault="001F52D2" w:rsidP="001F52D2">
      <w:pPr>
        <w:pStyle w:val="NoSpacing"/>
      </w:pPr>
    </w:p>
    <w:p w14:paraId="460EB872" w14:textId="77777777" w:rsidR="00EA4EB5" w:rsidRPr="00A158C4" w:rsidRDefault="001F52D2" w:rsidP="00EA4EB5">
      <w:pPr>
        <w:pStyle w:val="NoSpacing"/>
      </w:pPr>
      <w:r w:rsidRPr="009353BA">
        <w:rPr>
          <w:rFonts w:ascii="Times New Roman" w:hAnsi="Times New Roman"/>
          <w:sz w:val="24"/>
          <w:szCs w:val="24"/>
        </w:rPr>
        <w:t xml:space="preserve">On March 19, 2025, in </w:t>
      </w:r>
      <w:r w:rsidRPr="009353BA">
        <w:rPr>
          <w:rFonts w:ascii="Times New Roman" w:hAnsi="Times New Roman"/>
          <w:sz w:val="24"/>
          <w:szCs w:val="24"/>
          <w:u w:val="single"/>
        </w:rPr>
        <w:t>Jared Jacobson v. City of Philadelphia</w:t>
      </w:r>
      <w:r w:rsidRPr="009353BA">
        <w:rPr>
          <w:rFonts w:ascii="Times New Roman" w:hAnsi="Times New Roman"/>
          <w:sz w:val="24"/>
          <w:szCs w:val="24"/>
        </w:rPr>
        <w:t xml:space="preserve">, U.S. District Court Judge R. Barclay Surrick, U.S. District Court for Eastern District of Pennsylvania, denied the City’s motion for summary judgment.  In </w:t>
      </w:r>
      <w:proofErr w:type="gramStart"/>
      <w:r w:rsidRPr="009353BA">
        <w:rPr>
          <w:rFonts w:ascii="Times New Roman" w:hAnsi="Times New Roman"/>
          <w:sz w:val="24"/>
          <w:szCs w:val="24"/>
        </w:rPr>
        <w:t>April,</w:t>
      </w:r>
      <w:proofErr w:type="gramEnd"/>
      <w:r w:rsidRPr="009353BA">
        <w:rPr>
          <w:rFonts w:ascii="Times New Roman" w:hAnsi="Times New Roman"/>
          <w:sz w:val="24"/>
          <w:szCs w:val="24"/>
        </w:rPr>
        <w:t xml:space="preserve"> 2021, two chief officers (one black, one white) applied for promotion Assistant Deputy Commissioner of Emergency Medical Services. The position was not posted until April 28, 2021, the day after Martin McCall </w:t>
      </w:r>
      <w:r w:rsidRPr="009353BA">
        <w:rPr>
          <w:rFonts w:ascii="Times New Roman" w:hAnsi="Times New Roman"/>
          <w:sz w:val="24"/>
          <w:szCs w:val="24"/>
        </w:rPr>
        <w:lastRenderedPageBreak/>
        <w:t xml:space="preserve">(black) was promoted to </w:t>
      </w:r>
      <w:proofErr w:type="gramStart"/>
      <w:r w:rsidRPr="009353BA">
        <w:rPr>
          <w:rFonts w:ascii="Times New Roman" w:hAnsi="Times New Roman"/>
          <w:sz w:val="24"/>
          <w:szCs w:val="24"/>
        </w:rPr>
        <w:t>a</w:t>
      </w:r>
      <w:r w:rsidR="009353BA">
        <w:rPr>
          <w:rFonts w:ascii="Times New Roman" w:hAnsi="Times New Roman"/>
          <w:sz w:val="24"/>
          <w:szCs w:val="24"/>
        </w:rPr>
        <w:t xml:space="preserve"> </w:t>
      </w:r>
      <w:r w:rsidRPr="009353BA">
        <w:rPr>
          <w:rFonts w:ascii="Times New Roman" w:hAnsi="Times New Roman"/>
          <w:sz w:val="24"/>
          <w:szCs w:val="24"/>
        </w:rPr>
        <w:t>chief</w:t>
      </w:r>
      <w:proofErr w:type="gramEnd"/>
      <w:r w:rsidRPr="009353BA">
        <w:rPr>
          <w:rFonts w:ascii="Times New Roman" w:hAnsi="Times New Roman"/>
          <w:sz w:val="24"/>
          <w:szCs w:val="24"/>
        </w:rPr>
        <w:t xml:space="preserve"> officer and then eligible for the position.  They were interviewed by a three-member panel appointed by Fire Commissioner Adam Thiel:  Crystal Yates, who was retiring from the position; Deputy Commissioner Craig Murphy, and Deputy Commissioner Tara Mohr.  After the interviews, the panel members submitted their lists of pros and cons to Murphy and Yates, but   “the record is unclear regarding what role various members of the Executive Team played in making a final recommendation to Thiel… Yates testified that she did not know why McCall was selected and that she ‘wasn't a part of the selection[.]' (Yates Dep. at 41, 44-45.) … The panel recommended did not record, score, and rank the answers…. Although Defendant's motion for summary judgment presents a close call, contradictions regarding who was involved in decision-making coupled with the timing of interviews the day after McCall became chief could permit a reasonable factfinder to doubt Defendant's proffered rationale and infer discrimination. Defendant's motion will therefore be denied.” </w:t>
      </w:r>
      <w:hyperlink r:id="rId1452" w:history="1">
        <w:r w:rsidR="00EA4EB5" w:rsidRPr="00961C46">
          <w:rPr>
            <w:rStyle w:val="Hyperlink"/>
          </w:rPr>
          <w:t>https://public.fastcase.com/jaEE2PXzRXmZ99jOLMt1Ig73AWbHngoMRgpe4nLWTO53aGFBbi44KCyxbclUQNrRtdkO5InHzTjZEyqBZ0TTu4M3XLXcJtKtBwk6Y3SN%2BfM%3D?utm_medium=email&amp;_hsenc=p2ANqtz--YVrLxgHNVQCg2RIMQiS4XSu1REbqHDD3q7IV_og8sZIryoVLFG1HLWpJaCKB-X4Qy5JqtbBdGIwkTCURiibvlDX5J7A&amp;_hsmi=226712652&amp;utm_content=226712652&amp;utm_source=hs_email</w:t>
        </w:r>
      </w:hyperlink>
      <w:r w:rsidR="00EA4EB5">
        <w:t xml:space="preserve"> </w:t>
      </w:r>
    </w:p>
    <w:p w14:paraId="3DC6D03F" w14:textId="77777777" w:rsidR="00EA4EB5" w:rsidRDefault="00EA4EB5" w:rsidP="00EA4EB5">
      <w:pPr>
        <w:pStyle w:val="NoSpacing"/>
      </w:pPr>
    </w:p>
    <w:p w14:paraId="50475A87" w14:textId="77777777" w:rsidR="00761812" w:rsidRPr="00761812" w:rsidRDefault="00761812" w:rsidP="00761812">
      <w:pPr>
        <w:pStyle w:val="NoSpacing"/>
        <w:rPr>
          <w:rFonts w:ascii="Times New Roman" w:hAnsi="Times New Roman"/>
          <w:b/>
          <w:bCs/>
          <w:sz w:val="24"/>
          <w:szCs w:val="24"/>
        </w:rPr>
      </w:pPr>
      <w:r w:rsidRPr="00761812">
        <w:rPr>
          <w:rFonts w:ascii="Times New Roman" w:hAnsi="Times New Roman"/>
          <w:b/>
          <w:sz w:val="24"/>
          <w:szCs w:val="24"/>
        </w:rPr>
        <w:t>Legal Lesson Learned:  When conducting panel interviews, it is good practice for panel members to keep scores and notes.</w:t>
      </w:r>
    </w:p>
    <w:p w14:paraId="634380B9" w14:textId="77777777" w:rsidR="00375DDB" w:rsidRPr="00761812" w:rsidRDefault="00375DDB" w:rsidP="00A110F1">
      <w:pPr>
        <w:rPr>
          <w:rFonts w:ascii="Times New Roman" w:hAnsi="Times New Roman"/>
          <w:b/>
          <w:sz w:val="24"/>
          <w:szCs w:val="24"/>
        </w:rPr>
      </w:pPr>
    </w:p>
    <w:p w14:paraId="74DE081E" w14:textId="77777777" w:rsidR="000B584F" w:rsidRDefault="000B584F" w:rsidP="00BC70A3">
      <w:pPr>
        <w:rPr>
          <w:rFonts w:ascii="Arial Black" w:hAnsi="Arial Black"/>
          <w:b/>
          <w:sz w:val="24"/>
          <w:szCs w:val="24"/>
        </w:rPr>
      </w:pPr>
    </w:p>
    <w:p w14:paraId="48A6A3CE" w14:textId="1AD19216" w:rsidR="005D5BAD" w:rsidRDefault="005D5BAD" w:rsidP="00BC70A3">
      <w:pPr>
        <w:rPr>
          <w:rFonts w:ascii="Arial Black" w:hAnsi="Arial Black"/>
          <w:b/>
          <w:sz w:val="24"/>
          <w:szCs w:val="24"/>
        </w:rPr>
      </w:pPr>
      <w:r>
        <w:rPr>
          <w:rFonts w:ascii="Arial Black" w:hAnsi="Arial Black"/>
          <w:b/>
          <w:sz w:val="24"/>
          <w:szCs w:val="24"/>
        </w:rPr>
        <w:t>8-71</w:t>
      </w:r>
    </w:p>
    <w:p w14:paraId="2F5AE05D" w14:textId="77777777" w:rsidR="005D5BAD" w:rsidRPr="000B7F2C" w:rsidRDefault="005D5BAD" w:rsidP="005D5BAD">
      <w:pPr>
        <w:rPr>
          <w:rFonts w:ascii="Arial Black" w:hAnsi="Arial Black"/>
          <w:sz w:val="28"/>
          <w:szCs w:val="28"/>
        </w:rPr>
      </w:pPr>
      <w:r w:rsidRPr="000B7F2C">
        <w:rPr>
          <w:rFonts w:ascii="Arial Black" w:hAnsi="Arial Black"/>
          <w:sz w:val="28"/>
          <w:szCs w:val="28"/>
        </w:rPr>
        <w:t>MD:  TRUMP DEI PROGRAMS - PREL. INJUC</w:t>
      </w:r>
      <w:r>
        <w:rPr>
          <w:rFonts w:ascii="Arial Black" w:hAnsi="Arial Black"/>
          <w:sz w:val="28"/>
          <w:szCs w:val="28"/>
        </w:rPr>
        <w:t>TION</w:t>
      </w:r>
      <w:r w:rsidRPr="000B7F2C">
        <w:rPr>
          <w:rFonts w:ascii="Arial Black" w:hAnsi="Arial Black"/>
          <w:sz w:val="28"/>
          <w:szCs w:val="28"/>
        </w:rPr>
        <w:t xml:space="preserve"> </w:t>
      </w:r>
      <w:r>
        <w:rPr>
          <w:rFonts w:ascii="Arial Black" w:hAnsi="Arial Black"/>
          <w:sz w:val="28"/>
          <w:szCs w:val="28"/>
        </w:rPr>
        <w:t>– DOJ FDs</w:t>
      </w:r>
    </w:p>
    <w:p w14:paraId="4C5E1744" w14:textId="77777777" w:rsidR="005D5BAD" w:rsidRPr="005D5BAD" w:rsidRDefault="005D5BAD" w:rsidP="005D5BAD">
      <w:pPr>
        <w:rPr>
          <w:rFonts w:ascii="Times New Roman" w:hAnsi="Times New Roman"/>
          <w:sz w:val="24"/>
          <w:szCs w:val="24"/>
        </w:rPr>
      </w:pPr>
      <w:r w:rsidRPr="005D5BAD">
        <w:rPr>
          <w:rFonts w:ascii="Times New Roman" w:hAnsi="Times New Roman"/>
          <w:sz w:val="24"/>
          <w:szCs w:val="24"/>
        </w:rPr>
        <w:t xml:space="preserve">On Feb. 21, 2025, in </w:t>
      </w:r>
      <w:r w:rsidRPr="005D5BAD">
        <w:rPr>
          <w:rFonts w:ascii="Times New Roman" w:hAnsi="Times New Roman"/>
          <w:sz w:val="24"/>
          <w:szCs w:val="24"/>
          <w:u w:val="single"/>
        </w:rPr>
        <w:t>National Association of Diversity Officers in Higher Education, and American Association of University Professors v. Donald J. Trump, et al</w:t>
      </w:r>
      <w:r w:rsidRPr="005D5BAD">
        <w:rPr>
          <w:rFonts w:ascii="Times New Roman" w:hAnsi="Times New Roman"/>
          <w:sz w:val="24"/>
          <w:szCs w:val="24"/>
        </w:rPr>
        <w:t>., United States District Court Judge Adam B. Abelson in Baltimore issued a nationwide preliminary injunction against the Termination, Certification and Enforcement Threat Provisions of President Trump’s Executive Order of January 20, 2025. However, an appeal is likely to 4</w:t>
      </w:r>
      <w:r w:rsidRPr="005D5BAD">
        <w:rPr>
          <w:rFonts w:ascii="Times New Roman" w:hAnsi="Times New Roman"/>
          <w:sz w:val="24"/>
          <w:szCs w:val="24"/>
          <w:vertAlign w:val="superscript"/>
        </w:rPr>
        <w:t>th</w:t>
      </w:r>
      <w:r w:rsidRPr="005D5BAD">
        <w:rPr>
          <w:rFonts w:ascii="Times New Roman" w:hAnsi="Times New Roman"/>
          <w:sz w:val="24"/>
          <w:szCs w:val="24"/>
        </w:rPr>
        <w:t xml:space="preserve"> Circuit (Richmond) and possibly request to U.S. Supreme Court. [See Note at end of this case review. Feb. 26, 2025, “Attorney General Pam Bondi Dismisses DEI Lawsuits Involving Police Officers and Firefighters, Advances President Trump’s Mandate to End Illegal DEI Policies.”] On Feb. 26, 2024, Attorney General announced </w:t>
      </w:r>
      <w:hyperlink r:id="rId1453" w:history="1">
        <w:r w:rsidRPr="005D5BAD">
          <w:rPr>
            <w:rStyle w:val="Hyperlink"/>
            <w:rFonts w:ascii="Times New Roman" w:hAnsi="Times New Roman"/>
            <w:sz w:val="24"/>
            <w:szCs w:val="24"/>
          </w:rPr>
          <w:t>https://www.justsecurity.org/wp-content/uploads/2025/02/National-Association-of-Diversity-Officers-in-Higher-Education-v.-Trump-feb-21-2025.pdf</w:t>
        </w:r>
      </w:hyperlink>
      <w:r w:rsidRPr="005D5BAD">
        <w:rPr>
          <w:rFonts w:ascii="Times New Roman" w:hAnsi="Times New Roman"/>
          <w:sz w:val="24"/>
          <w:szCs w:val="24"/>
        </w:rPr>
        <w:t xml:space="preserve">. </w:t>
      </w:r>
    </w:p>
    <w:p w14:paraId="50AF707B" w14:textId="77777777" w:rsidR="005D5BAD" w:rsidRPr="005D5BAD" w:rsidRDefault="005D5BAD" w:rsidP="005D5BAD">
      <w:pPr>
        <w:rPr>
          <w:rFonts w:ascii="Times New Roman" w:hAnsi="Times New Roman"/>
          <w:sz w:val="24"/>
          <w:szCs w:val="24"/>
        </w:rPr>
      </w:pPr>
      <w:r w:rsidRPr="005D5BAD">
        <w:rPr>
          <w:rFonts w:ascii="Times New Roman" w:hAnsi="Times New Roman"/>
          <w:sz w:val="24"/>
          <w:szCs w:val="24"/>
        </w:rPr>
        <w:t>Judge Abelson wrote:</w:t>
      </w:r>
    </w:p>
    <w:p w14:paraId="757B0449" w14:textId="77777777" w:rsidR="005D5BAD" w:rsidRPr="005D5BAD" w:rsidRDefault="005D5BAD" w:rsidP="005D5BAD">
      <w:pPr>
        <w:pStyle w:val="NoSpacing"/>
        <w:ind w:left="720"/>
        <w:rPr>
          <w:rFonts w:ascii="Times New Roman" w:hAnsi="Times New Roman"/>
          <w:sz w:val="24"/>
          <w:szCs w:val="24"/>
        </w:rPr>
      </w:pPr>
      <w:r w:rsidRPr="005D5BAD">
        <w:rPr>
          <w:rFonts w:ascii="Times New Roman" w:hAnsi="Times New Roman"/>
          <w:sz w:val="24"/>
          <w:szCs w:val="24"/>
        </w:rPr>
        <w:t>“Plaintiffs are likely to succeed on their claim that the Enforcement Threat Provision, § 4(b)(iii) of the J21 Order, violates the First Amendment, because it threatens to initiate enforcement actions against Plaintiffs (in the form of civil compliance investigations) for engaging in protected speech…. The Enforcement Threat Provision applies broadly to the private sector; therefore, unlike with the other provisions, the analysis is based on pure private speech regulated by the First Amendment as opposed to the speech of federal contractors or grantees.</w:t>
      </w:r>
    </w:p>
    <w:p w14:paraId="0B604A0D" w14:textId="77777777" w:rsidR="005D5BAD" w:rsidRPr="005D5BAD" w:rsidRDefault="005D5BAD" w:rsidP="005D5BAD">
      <w:pPr>
        <w:pStyle w:val="NoSpacing"/>
        <w:rPr>
          <w:rFonts w:ascii="Times New Roman" w:hAnsi="Times New Roman"/>
          <w:sz w:val="24"/>
          <w:szCs w:val="24"/>
        </w:rPr>
      </w:pPr>
      <w:r w:rsidRPr="005D5BAD">
        <w:rPr>
          <w:rFonts w:ascii="Times New Roman" w:hAnsi="Times New Roman"/>
          <w:sz w:val="24"/>
          <w:szCs w:val="24"/>
        </w:rPr>
        <w:tab/>
      </w:r>
    </w:p>
    <w:p w14:paraId="08058CFF" w14:textId="77777777" w:rsidR="005D5BAD" w:rsidRPr="005D5BAD" w:rsidRDefault="005D5BAD" w:rsidP="005D5BAD">
      <w:pPr>
        <w:pStyle w:val="NoSpacing"/>
        <w:ind w:firstLine="720"/>
        <w:rPr>
          <w:rFonts w:ascii="Times New Roman" w:hAnsi="Times New Roman"/>
          <w:sz w:val="24"/>
          <w:szCs w:val="24"/>
        </w:rPr>
      </w:pPr>
      <w:r w:rsidRPr="005D5BAD">
        <w:rPr>
          <w:rFonts w:ascii="Times New Roman" w:hAnsi="Times New Roman"/>
          <w:sz w:val="24"/>
          <w:szCs w:val="24"/>
        </w:rPr>
        <w:t>***</w:t>
      </w:r>
    </w:p>
    <w:p w14:paraId="57FED5EC" w14:textId="77777777" w:rsidR="005D5BAD" w:rsidRPr="005D5BAD" w:rsidRDefault="005D5BAD" w:rsidP="005D5BAD">
      <w:pPr>
        <w:pStyle w:val="NoSpacing"/>
        <w:ind w:left="720"/>
        <w:rPr>
          <w:rFonts w:ascii="Times New Roman" w:hAnsi="Times New Roman"/>
          <w:sz w:val="24"/>
          <w:szCs w:val="24"/>
        </w:rPr>
      </w:pPr>
      <w:r w:rsidRPr="005D5BAD">
        <w:rPr>
          <w:rFonts w:ascii="Times New Roman" w:hAnsi="Times New Roman"/>
          <w:sz w:val="24"/>
          <w:szCs w:val="24"/>
        </w:rPr>
        <w:t xml:space="preserve">The White House and Attorney General have made clear, through their ongoing implementation of various aspects of the J21 Order, that viewpoints and speech considered to be in favor of or supportive of DEI or DEIA are viewpoints the government wishes to punish and, apparently, attempt to </w:t>
      </w:r>
      <w:proofErr w:type="gramStart"/>
      <w:r w:rsidRPr="005D5BAD">
        <w:rPr>
          <w:rFonts w:ascii="Times New Roman" w:hAnsi="Times New Roman"/>
          <w:sz w:val="24"/>
          <w:szCs w:val="24"/>
        </w:rPr>
        <w:t>extinguish.”</w:t>
      </w:r>
      <w:proofErr w:type="gramEnd"/>
    </w:p>
    <w:p w14:paraId="66619CEB" w14:textId="77777777" w:rsidR="005D5BAD" w:rsidRPr="005D5BAD" w:rsidRDefault="005D5BAD" w:rsidP="005D5BAD">
      <w:pPr>
        <w:pStyle w:val="NoSpacing"/>
        <w:rPr>
          <w:rFonts w:ascii="Times New Roman" w:hAnsi="Times New Roman"/>
          <w:sz w:val="24"/>
          <w:szCs w:val="24"/>
        </w:rPr>
      </w:pPr>
    </w:p>
    <w:p w14:paraId="49CDC993" w14:textId="77777777" w:rsidR="005D5BAD" w:rsidRPr="005D5BAD" w:rsidRDefault="005D5BAD" w:rsidP="005D5BAD">
      <w:pPr>
        <w:pStyle w:val="NoSpacing"/>
        <w:rPr>
          <w:rFonts w:ascii="Times New Roman" w:hAnsi="Times New Roman"/>
          <w:b/>
          <w:bCs/>
          <w:sz w:val="24"/>
          <w:szCs w:val="24"/>
        </w:rPr>
      </w:pPr>
      <w:r w:rsidRPr="005D5BAD">
        <w:rPr>
          <w:rFonts w:ascii="Times New Roman" w:hAnsi="Times New Roman"/>
          <w:b/>
          <w:sz w:val="24"/>
          <w:szCs w:val="24"/>
        </w:rPr>
        <w:t>Legal Lesson Learned: Fire &amp; EMS departments with federal grants or contracts may be required to certify that they are complying with DEI Executive Order. Consult with your legal counsel.</w:t>
      </w:r>
    </w:p>
    <w:p w14:paraId="636198FE" w14:textId="77777777" w:rsidR="00C16DE2" w:rsidRDefault="00C16DE2" w:rsidP="005D5BAD">
      <w:pPr>
        <w:ind w:firstLine="720"/>
        <w:rPr>
          <w:rFonts w:ascii="Times New Roman" w:hAnsi="Times New Roman"/>
          <w:sz w:val="24"/>
          <w:szCs w:val="24"/>
        </w:rPr>
      </w:pPr>
    </w:p>
    <w:p w14:paraId="79BB3A3A" w14:textId="43565E04" w:rsidR="005D5BAD" w:rsidRPr="005D5BAD" w:rsidRDefault="005D5BAD" w:rsidP="005D5BAD">
      <w:pPr>
        <w:ind w:firstLine="720"/>
        <w:rPr>
          <w:rFonts w:ascii="Times New Roman" w:hAnsi="Times New Roman"/>
          <w:sz w:val="24"/>
          <w:szCs w:val="24"/>
        </w:rPr>
      </w:pPr>
      <w:r w:rsidRPr="005D5BAD">
        <w:rPr>
          <w:rFonts w:ascii="Times New Roman" w:hAnsi="Times New Roman"/>
          <w:sz w:val="24"/>
          <w:szCs w:val="24"/>
        </w:rPr>
        <w:t>Note:</w:t>
      </w:r>
    </w:p>
    <w:p w14:paraId="1EB5CF43" w14:textId="77777777" w:rsidR="005D5BAD" w:rsidRPr="005D5BAD" w:rsidRDefault="005D5BAD" w:rsidP="005D5BAD">
      <w:pPr>
        <w:ind w:left="720"/>
        <w:rPr>
          <w:rFonts w:ascii="Times New Roman" w:hAnsi="Times New Roman"/>
          <w:bCs/>
          <w:sz w:val="24"/>
          <w:szCs w:val="24"/>
        </w:rPr>
      </w:pPr>
      <w:r w:rsidRPr="005D5BAD">
        <w:rPr>
          <w:rFonts w:ascii="Times New Roman" w:hAnsi="Times New Roman"/>
          <w:sz w:val="24"/>
          <w:szCs w:val="24"/>
        </w:rPr>
        <w:t xml:space="preserve">On Feb. 26, 2025, Press Release: “Attorney General Pam Bondi Dismisses DEI Lawsuits Involving Police Officers and Firefighters, Advances President Trump’s Mandate to End Illegal DEI Policies.” </w:t>
      </w:r>
      <w:hyperlink r:id="rId1454" w:history="1">
        <w:r w:rsidRPr="005D5BAD">
          <w:rPr>
            <w:rStyle w:val="Hyperlink"/>
            <w:rFonts w:ascii="Times New Roman" w:hAnsi="Times New Roman"/>
            <w:sz w:val="24"/>
            <w:szCs w:val="24"/>
          </w:rPr>
          <w:t>https://www.justice.gov/opa/pr/attorney-general-pam-bondi-dismisses-dei-lawsuits-involving-police-officers-and-firefighters</w:t>
        </w:r>
      </w:hyperlink>
      <w:r w:rsidRPr="005D5BAD">
        <w:rPr>
          <w:rFonts w:ascii="Times New Roman" w:hAnsi="Times New Roman"/>
          <w:sz w:val="24"/>
          <w:szCs w:val="24"/>
        </w:rPr>
        <w:t xml:space="preserve"> </w:t>
      </w:r>
    </w:p>
    <w:p w14:paraId="3FDD117C" w14:textId="77777777" w:rsidR="005D5BAD" w:rsidRPr="005D5BAD" w:rsidRDefault="005D5BAD" w:rsidP="005D5BAD">
      <w:pPr>
        <w:ind w:left="720"/>
        <w:rPr>
          <w:rFonts w:ascii="Times New Roman" w:hAnsi="Times New Roman"/>
          <w:sz w:val="24"/>
          <w:szCs w:val="24"/>
        </w:rPr>
      </w:pPr>
      <w:r w:rsidRPr="005D5BAD">
        <w:rPr>
          <w:rFonts w:ascii="Times New Roman" w:hAnsi="Times New Roman"/>
          <w:sz w:val="24"/>
          <w:szCs w:val="24"/>
        </w:rPr>
        <w:t>See 2/27/2025 article:</w:t>
      </w:r>
      <w:r w:rsidRPr="005D5BAD">
        <w:rPr>
          <w:rFonts w:ascii="Times New Roman" w:hAnsi="Times New Roman"/>
          <w:b/>
          <w:sz w:val="24"/>
          <w:szCs w:val="24"/>
        </w:rPr>
        <w:t xml:space="preserve"> “</w:t>
      </w:r>
      <w:hyperlink r:id="rId1455" w:tgtFrame="_blank" w:history="1">
        <w:r w:rsidRPr="005D5BAD">
          <w:rPr>
            <w:rStyle w:val="Hyperlink"/>
            <w:rFonts w:ascii="Times New Roman" w:hAnsi="Times New Roman"/>
            <w:sz w:val="24"/>
            <w:szCs w:val="24"/>
          </w:rPr>
          <w:t>Justice Department Drops Alleged Discriminatory First Responder Hiring Cases In DEI Rollback</w:t>
        </w:r>
      </w:hyperlink>
      <w:r w:rsidRPr="005D5BAD">
        <w:rPr>
          <w:rFonts w:ascii="Times New Roman" w:hAnsi="Times New Roman"/>
          <w:sz w:val="24"/>
          <w:szCs w:val="24"/>
        </w:rPr>
        <w:t>…. A Justice Department official said the administration is walking away from four cases, including one that led to a settlement agreement resolving an </w:t>
      </w:r>
      <w:hyperlink r:id="rId1456" w:tgtFrame="_blank" w:history="1">
        <w:r w:rsidRPr="005D5BAD">
          <w:rPr>
            <w:rStyle w:val="Hyperlink"/>
            <w:rFonts w:ascii="Times New Roman" w:hAnsi="Times New Roman"/>
            <w:sz w:val="24"/>
            <w:szCs w:val="24"/>
          </w:rPr>
          <w:t>investigation</w:t>
        </w:r>
      </w:hyperlink>
      <w:r w:rsidRPr="005D5BAD">
        <w:rPr>
          <w:rFonts w:ascii="Times New Roman" w:hAnsi="Times New Roman"/>
          <w:sz w:val="24"/>
          <w:szCs w:val="24"/>
        </w:rPr>
        <w:t> into discriminatory hiring practices affecting Black and female applicants to the Maryland State Police. It’s part of a broader effort by President Donald Trump’s administration to roll back initiatives and programs promoting </w:t>
      </w:r>
      <w:hyperlink r:id="rId1457" w:tgtFrame="_blank" w:history="1">
        <w:r w:rsidRPr="005D5BAD">
          <w:rPr>
            <w:rStyle w:val="Hyperlink"/>
            <w:rFonts w:ascii="Times New Roman" w:hAnsi="Times New Roman"/>
            <w:sz w:val="24"/>
            <w:szCs w:val="24"/>
          </w:rPr>
          <w:t>diversity, equity and inclusion</w:t>
        </w:r>
      </w:hyperlink>
      <w:r w:rsidRPr="005D5BAD">
        <w:rPr>
          <w:rFonts w:ascii="Times New Roman" w:hAnsi="Times New Roman"/>
          <w:sz w:val="24"/>
          <w:szCs w:val="24"/>
        </w:rPr>
        <w:t>, which Republicans contend threaten </w:t>
      </w:r>
      <w:hyperlink r:id="rId1458" w:tgtFrame="_blank" w:history="1">
        <w:r w:rsidRPr="005D5BAD">
          <w:rPr>
            <w:rStyle w:val="Hyperlink"/>
            <w:rFonts w:ascii="Times New Roman" w:hAnsi="Times New Roman"/>
            <w:sz w:val="24"/>
            <w:szCs w:val="24"/>
          </w:rPr>
          <w:t>merit-based hiring</w:t>
        </w:r>
      </w:hyperlink>
      <w:r w:rsidRPr="005D5BAD">
        <w:rPr>
          <w:rFonts w:ascii="Times New Roman" w:hAnsi="Times New Roman"/>
          <w:sz w:val="24"/>
          <w:szCs w:val="24"/>
        </w:rPr>
        <w:t xml:space="preserve">…. Other cases were related to fire or police departments in North Carolina, Georgia, and Indiana, Mizelle said.” </w:t>
      </w:r>
      <w:hyperlink r:id="rId1459" w:history="1">
        <w:r w:rsidRPr="005D5BAD">
          <w:rPr>
            <w:rStyle w:val="Hyperlink"/>
            <w:rFonts w:ascii="Times New Roman" w:hAnsi="Times New Roman"/>
            <w:sz w:val="24"/>
            <w:szCs w:val="24"/>
          </w:rPr>
          <w:t>https://www.firerescue1.com/legal/justice-department-drops-alleged-discriminatory-ff-hiring-cases-in-dei-rollback?utm_source=delivra&amp;utm_medium=email&amp;utm_campaign=FR1-Daily-2-27-25&amp;utm_id=8566464&amp;dlv-emuid=fed355b8-46a2-4fa4-b55c-4d602dde33c4&amp;dlv-mlid=8566464</w:t>
        </w:r>
      </w:hyperlink>
      <w:r w:rsidRPr="005D5BAD">
        <w:rPr>
          <w:rFonts w:ascii="Times New Roman" w:hAnsi="Times New Roman"/>
          <w:sz w:val="24"/>
          <w:szCs w:val="24"/>
        </w:rPr>
        <w:t xml:space="preserve"> </w:t>
      </w:r>
    </w:p>
    <w:p w14:paraId="1EF49B37" w14:textId="77777777" w:rsidR="005D5BAD" w:rsidRPr="005D5BAD" w:rsidRDefault="005D5BAD" w:rsidP="005D5BAD">
      <w:pPr>
        <w:rPr>
          <w:rFonts w:ascii="Times New Roman" w:hAnsi="Times New Roman"/>
          <w:sz w:val="24"/>
          <w:szCs w:val="24"/>
        </w:rPr>
      </w:pPr>
    </w:p>
    <w:p w14:paraId="32C3451D" w14:textId="76B8313B" w:rsidR="00384B2F" w:rsidRDefault="00384B2F" w:rsidP="00BC70A3">
      <w:pPr>
        <w:rPr>
          <w:rFonts w:ascii="Arial Black" w:hAnsi="Arial Black"/>
          <w:b/>
          <w:sz w:val="24"/>
          <w:szCs w:val="24"/>
        </w:rPr>
      </w:pPr>
      <w:r>
        <w:rPr>
          <w:rFonts w:ascii="Arial Black" w:hAnsi="Arial Black"/>
          <w:b/>
          <w:sz w:val="24"/>
          <w:szCs w:val="24"/>
        </w:rPr>
        <w:t>8-70</w:t>
      </w:r>
    </w:p>
    <w:p w14:paraId="7DCD2B9E" w14:textId="77777777" w:rsidR="00384B2F" w:rsidRDefault="00384B2F" w:rsidP="00384B2F">
      <w:pPr>
        <w:pStyle w:val="NoSpacing"/>
        <w:rPr>
          <w:rFonts w:ascii="Arial Black" w:hAnsi="Arial Black"/>
          <w:sz w:val="28"/>
          <w:szCs w:val="28"/>
        </w:rPr>
      </w:pPr>
      <w:r>
        <w:rPr>
          <w:rFonts w:ascii="Arial Black" w:hAnsi="Arial Black"/>
          <w:sz w:val="28"/>
          <w:szCs w:val="28"/>
        </w:rPr>
        <w:t>AL: BLACK CAPT – NOT PROM. BC – FD DOC. INCOMPLETE</w:t>
      </w:r>
    </w:p>
    <w:p w14:paraId="430F45B5" w14:textId="77777777" w:rsidR="00384B2F" w:rsidRDefault="00384B2F" w:rsidP="00384B2F">
      <w:pPr>
        <w:pStyle w:val="NoSpacing"/>
      </w:pPr>
    </w:p>
    <w:p w14:paraId="3BF20D97" w14:textId="77777777" w:rsidR="00384B2F" w:rsidRPr="00457441" w:rsidRDefault="00384B2F" w:rsidP="00384B2F">
      <w:pPr>
        <w:pStyle w:val="NoSpacing"/>
        <w:rPr>
          <w:rFonts w:ascii="Times New Roman" w:hAnsi="Times New Roman"/>
          <w:sz w:val="24"/>
          <w:szCs w:val="24"/>
        </w:rPr>
      </w:pPr>
      <w:r w:rsidRPr="00457441">
        <w:rPr>
          <w:rFonts w:ascii="Times New Roman" w:hAnsi="Times New Roman"/>
          <w:sz w:val="24"/>
          <w:szCs w:val="24"/>
        </w:rPr>
        <w:t xml:space="preserve">On Jan. 24, 2025, in </w:t>
      </w:r>
      <w:r w:rsidRPr="00457441">
        <w:rPr>
          <w:rFonts w:ascii="Times New Roman" w:hAnsi="Times New Roman"/>
          <w:sz w:val="24"/>
          <w:szCs w:val="24"/>
          <w:u w:val="single"/>
        </w:rPr>
        <w:t>Demetrius Webb v. City of Homewood, Alabama, et al.</w:t>
      </w:r>
      <w:r w:rsidRPr="00457441">
        <w:rPr>
          <w:rFonts w:ascii="Times New Roman" w:hAnsi="Times New Roman"/>
          <w:sz w:val="24"/>
          <w:szCs w:val="24"/>
        </w:rPr>
        <w:t xml:space="preserve">, U.S. District Court Chief Judge R. David Proctor, Northern District of Alabama, Southern Division, denied the City’s motion for summary judgment.  Retired Captain Webb’s racial discrimination lawsuit will proceed to trial.  In September and October 2020, two Battalion Chief positions became available (4 BC positions on FD); two whites were promoted under Fire Chiefs’ new process - no outside interviews, only Fire Chief’s matrix of skills (plaintiff scored lowest of 8 applicants; all other BC were medics).  The city submitted a matrix showing all scores by the Fire Chief, EXCEPT the matrix did not include scores of the two promoted.  </w:t>
      </w:r>
      <w:hyperlink r:id="rId1460" w:history="1">
        <w:r w:rsidRPr="00457441">
          <w:rPr>
            <w:rStyle w:val="Hyperlink"/>
            <w:rFonts w:ascii="Times New Roman" w:hAnsi="Times New Roman"/>
            <w:sz w:val="24"/>
            <w:szCs w:val="24"/>
          </w:rPr>
          <w:t>https://cases.justia.com/federal/district-courts/alabama/alndce/2:2023cv01098/186589/44/0.pdf?ts=1737802006</w:t>
        </w:r>
      </w:hyperlink>
      <w:r w:rsidRPr="00457441">
        <w:rPr>
          <w:rFonts w:ascii="Times New Roman" w:hAnsi="Times New Roman"/>
          <w:sz w:val="24"/>
          <w:szCs w:val="24"/>
        </w:rPr>
        <w:t xml:space="preserve"> </w:t>
      </w:r>
    </w:p>
    <w:p w14:paraId="500035B8" w14:textId="77777777" w:rsidR="00384B2F" w:rsidRPr="00457441" w:rsidRDefault="00384B2F" w:rsidP="00384B2F">
      <w:pPr>
        <w:pStyle w:val="NoSpacing"/>
        <w:rPr>
          <w:rFonts w:ascii="Times New Roman" w:hAnsi="Times New Roman"/>
          <w:sz w:val="24"/>
          <w:szCs w:val="24"/>
        </w:rPr>
      </w:pPr>
    </w:p>
    <w:p w14:paraId="3319A1D8" w14:textId="77777777" w:rsidR="00384B2F" w:rsidRPr="00457441" w:rsidRDefault="00384B2F" w:rsidP="00384B2F">
      <w:pPr>
        <w:pStyle w:val="NoSpacing"/>
        <w:rPr>
          <w:rFonts w:ascii="Times New Roman" w:hAnsi="Times New Roman"/>
          <w:sz w:val="24"/>
          <w:szCs w:val="24"/>
        </w:rPr>
      </w:pPr>
      <w:r w:rsidRPr="00457441">
        <w:rPr>
          <w:rFonts w:ascii="Times New Roman" w:hAnsi="Times New Roman"/>
          <w:sz w:val="24"/>
          <w:szCs w:val="24"/>
        </w:rPr>
        <w:t>The Court wrote:</w:t>
      </w:r>
    </w:p>
    <w:p w14:paraId="7962B8AD" w14:textId="77777777" w:rsidR="00384B2F" w:rsidRPr="00457441" w:rsidRDefault="00384B2F" w:rsidP="00384B2F">
      <w:pPr>
        <w:pStyle w:val="NoSpacing"/>
        <w:rPr>
          <w:rFonts w:ascii="Times New Roman" w:hAnsi="Times New Roman"/>
          <w:sz w:val="24"/>
          <w:szCs w:val="24"/>
        </w:rPr>
      </w:pPr>
    </w:p>
    <w:p w14:paraId="5B53C38D"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“The Battalion Chief position was previously selected by a panel of individuals who interviewed the candidates and evaluated their mission statements….However, when Chief Hill became the Fire Chief in 2020, he decided to do away with the old method because he was concerned that the process of selecting a Battalion Chief was too subjective…. Chief Hill devised his new method for selecting the Battalion Chief position sometime in or around September or October 2020….The new method consisted of an interview by him (as opposed to an interview by a panel) …, a review of the applicants’ resumes … and the creation of a matrix where the applicants’ qualifications were assigned a number value for various levels of qualifications….Regarding the new method, Chief Hill testified that he primarily looked at the applicants’ scores in the matrix and secondarily looked at their resumes….Chief Hill acknowledged that although he interviewed the candidates, the interviews were ‘not really’ a factor in the selection process.</w:t>
      </w:r>
    </w:p>
    <w:p w14:paraId="3781D80F" w14:textId="77777777" w:rsidR="00384B2F" w:rsidRPr="00457441" w:rsidRDefault="00384B2F" w:rsidP="00384B2F">
      <w:pPr>
        <w:pStyle w:val="NoSpacing"/>
        <w:ind w:left="720"/>
        <w:rPr>
          <w:rFonts w:ascii="Times New Roman" w:hAnsi="Times New Roman"/>
          <w:sz w:val="24"/>
          <w:szCs w:val="24"/>
        </w:rPr>
      </w:pPr>
    </w:p>
    <w:p w14:paraId="0B4A7724"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w:t>
      </w:r>
    </w:p>
    <w:p w14:paraId="42C962B1" w14:textId="77777777" w:rsidR="00384B2F" w:rsidRPr="00457441" w:rsidRDefault="00384B2F" w:rsidP="00384B2F">
      <w:pPr>
        <w:pStyle w:val="NoSpacing"/>
        <w:rPr>
          <w:rFonts w:ascii="Times New Roman" w:hAnsi="Times New Roman"/>
          <w:sz w:val="24"/>
          <w:szCs w:val="24"/>
        </w:rPr>
      </w:pPr>
    </w:p>
    <w:p w14:paraId="42DBE622"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In his deposition, Chief Hill testified that he conducted only one interview and considered</w:t>
      </w:r>
    </w:p>
    <w:p w14:paraId="09188B49"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the candidates for both positions instead of creating two separate applicant pools…. A</w:t>
      </w:r>
    </w:p>
    <w:p w14:paraId="0DA41656"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Homewood FD document shows the matrix scores of the Battalion Chief candidates as follows: Adam Ashworth, 27; Alexander Glover, 28; Robert Harris, 22; Keith Headrick, 23; Mark Shannon, 29; and Demetrius Webb, 18.</w:t>
      </w:r>
    </w:p>
    <w:p w14:paraId="6AF9982A" w14:textId="77777777" w:rsidR="00384B2F" w:rsidRPr="00457441" w:rsidRDefault="00384B2F" w:rsidP="00384B2F">
      <w:pPr>
        <w:pStyle w:val="NoSpacing"/>
        <w:ind w:left="720"/>
        <w:rPr>
          <w:rFonts w:ascii="Times New Roman" w:hAnsi="Times New Roman"/>
          <w:sz w:val="24"/>
          <w:szCs w:val="24"/>
        </w:rPr>
      </w:pPr>
    </w:p>
    <w:p w14:paraId="044F6292"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w:t>
      </w:r>
    </w:p>
    <w:p w14:paraId="7485304F"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However, despite Chief Hill’s testimony and Homewood’s summary judgment argument, the matrix that Homewood submitted into evidence does not include Broadhead and Everson or their scores…. When asked in his deposition, Chief Hill testified that he thought Everson ‘was close to’ the score of 29 …, which is the highest score recorded in the matrix. However, Homewood has not provided any Rule 56 evidence to confirm this. Further, while Everson’s matrix score was discussed briefly, Chief Hill did not provide any information regarding Broadhead’s matrix score or why he was not included on the matrix Homewood submitted into evidence. So, while the matrix indicates that Plaintiff received a score of 18 …, which is the lowest score among the other candidates on the matrix, there is no way to compare Plaintiff’s score to those of Broadhead or Everson. Plaintiff raised these discrepancies in his Response to Defendants’ Motion for Summary Judgment. (</w:t>
      </w:r>
      <w:proofErr w:type="gramStart"/>
      <w:r w:rsidRPr="00457441">
        <w:rPr>
          <w:rFonts w:ascii="Times New Roman" w:hAnsi="Times New Roman"/>
          <w:sz w:val="24"/>
          <w:szCs w:val="24"/>
        </w:rPr>
        <w:t>Doc. #</w:t>
      </w:r>
      <w:proofErr w:type="gramEnd"/>
      <w:r w:rsidRPr="00457441">
        <w:rPr>
          <w:rFonts w:ascii="Times New Roman" w:hAnsi="Times New Roman"/>
          <w:sz w:val="24"/>
          <w:szCs w:val="24"/>
        </w:rPr>
        <w:t xml:space="preserve"> 39 at 17). Homewood made no effort to refute or even respond to this argument. (See </w:t>
      </w:r>
      <w:proofErr w:type="gramStart"/>
      <w:r w:rsidRPr="00457441">
        <w:rPr>
          <w:rFonts w:ascii="Times New Roman" w:hAnsi="Times New Roman"/>
          <w:sz w:val="24"/>
          <w:szCs w:val="24"/>
        </w:rPr>
        <w:t>Doc. #</w:t>
      </w:r>
      <w:proofErr w:type="gramEnd"/>
      <w:r w:rsidRPr="00457441">
        <w:rPr>
          <w:rFonts w:ascii="Times New Roman" w:hAnsi="Times New Roman"/>
          <w:sz w:val="24"/>
          <w:szCs w:val="24"/>
        </w:rPr>
        <w:t xml:space="preserve"> 41).</w:t>
      </w:r>
    </w:p>
    <w:p w14:paraId="349B4C86" w14:textId="77777777" w:rsidR="00384B2F" w:rsidRPr="00457441" w:rsidRDefault="00384B2F" w:rsidP="00384B2F">
      <w:pPr>
        <w:pStyle w:val="NoSpacing"/>
        <w:ind w:left="720"/>
        <w:rPr>
          <w:rFonts w:ascii="Times New Roman" w:hAnsi="Times New Roman"/>
          <w:sz w:val="24"/>
          <w:szCs w:val="24"/>
        </w:rPr>
      </w:pPr>
    </w:p>
    <w:p w14:paraId="44D3740A"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w:t>
      </w:r>
    </w:p>
    <w:p w14:paraId="7F1788C8"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Moreover, although Chief Hill testified that he primarily relied on the matrix scores, when asked in his deposition why Broadhead and Everson were promoted over Plaintiff to the position of Battalion Chief, he discussed Broadhead and Everson’s leadership skills (</w:t>
      </w:r>
      <w:proofErr w:type="gramStart"/>
      <w:r w:rsidRPr="00457441">
        <w:rPr>
          <w:rFonts w:ascii="Times New Roman" w:hAnsi="Times New Roman"/>
          <w:sz w:val="24"/>
          <w:szCs w:val="24"/>
        </w:rPr>
        <w:t>Doc. #</w:t>
      </w:r>
      <w:proofErr w:type="gramEnd"/>
      <w:r w:rsidRPr="00457441">
        <w:rPr>
          <w:rFonts w:ascii="Times New Roman" w:hAnsi="Times New Roman"/>
          <w:sz w:val="24"/>
          <w:szCs w:val="24"/>
        </w:rPr>
        <w:t xml:space="preserve"> 32-2 at 51, 54) and made no mention of their matrix scores. If Chief Hill had not testified that he looked primarily at the matrix scores when selecting the Battalion Chief position, there may be an argument that the court could overlook the issue that a matrix that did not reference the scores of the incumbents was submitted into evidence. However, Homewood has provided both incomplete (and potentially contradictory) evidence. </w:t>
      </w:r>
      <w:proofErr w:type="gramStart"/>
      <w:r w:rsidRPr="00457441">
        <w:rPr>
          <w:rFonts w:ascii="Times New Roman" w:hAnsi="Times New Roman"/>
          <w:sz w:val="24"/>
          <w:szCs w:val="24"/>
        </w:rPr>
        <w:t>Despite the fact that</w:t>
      </w:r>
      <w:proofErr w:type="gramEnd"/>
      <w:r w:rsidRPr="00457441">
        <w:rPr>
          <w:rFonts w:ascii="Times New Roman" w:hAnsi="Times New Roman"/>
          <w:sz w:val="24"/>
          <w:szCs w:val="24"/>
        </w:rPr>
        <w:t xml:space="preserve"> Chief Hill testified that promotion decisions for the</w:t>
      </w:r>
    </w:p>
    <w:p w14:paraId="44E7691A"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 xml:space="preserve">Battalion Chief </w:t>
      </w:r>
      <w:proofErr w:type="gramStart"/>
      <w:r w:rsidRPr="00457441">
        <w:rPr>
          <w:rFonts w:ascii="Times New Roman" w:hAnsi="Times New Roman"/>
          <w:sz w:val="24"/>
          <w:szCs w:val="24"/>
        </w:rPr>
        <w:t>position</w:t>
      </w:r>
      <w:proofErr w:type="gramEnd"/>
      <w:r w:rsidRPr="00457441">
        <w:rPr>
          <w:rFonts w:ascii="Times New Roman" w:hAnsi="Times New Roman"/>
          <w:sz w:val="24"/>
          <w:szCs w:val="24"/>
        </w:rPr>
        <w:t xml:space="preserve"> </w:t>
      </w:r>
      <w:proofErr w:type="gramStart"/>
      <w:r w:rsidRPr="00457441">
        <w:rPr>
          <w:rFonts w:ascii="Times New Roman" w:hAnsi="Times New Roman"/>
          <w:sz w:val="24"/>
          <w:szCs w:val="24"/>
        </w:rPr>
        <w:t>are</w:t>
      </w:r>
      <w:proofErr w:type="gramEnd"/>
      <w:r w:rsidRPr="00457441">
        <w:rPr>
          <w:rFonts w:ascii="Times New Roman" w:hAnsi="Times New Roman"/>
          <w:sz w:val="24"/>
          <w:szCs w:val="24"/>
        </w:rPr>
        <w:t xml:space="preserve"> primarily based on the internal matrix system, neither of the two white candidates selected were included on the internal matrix system sheet that Homewood provided in its evidentiary submissions. Further, when asked why he selected them for the Battalion Chief positions, Chief Hill did not indicate Broadhead or Everson’s scores.”</w:t>
      </w:r>
    </w:p>
    <w:p w14:paraId="7CB7DB70" w14:textId="77777777" w:rsidR="00384B2F" w:rsidRPr="00457441" w:rsidRDefault="00384B2F" w:rsidP="00384B2F">
      <w:pPr>
        <w:pStyle w:val="NoSpacing"/>
        <w:ind w:left="720"/>
        <w:rPr>
          <w:rFonts w:ascii="Times New Roman" w:hAnsi="Times New Roman"/>
          <w:sz w:val="24"/>
          <w:szCs w:val="24"/>
        </w:rPr>
      </w:pPr>
    </w:p>
    <w:p w14:paraId="346A6574" w14:textId="77777777" w:rsidR="00384B2F" w:rsidRPr="00457441" w:rsidRDefault="00384B2F" w:rsidP="00384B2F">
      <w:pPr>
        <w:pStyle w:val="NoSpacing"/>
        <w:rPr>
          <w:rFonts w:ascii="Times New Roman" w:hAnsi="Times New Roman"/>
          <w:b/>
          <w:bCs/>
          <w:sz w:val="24"/>
          <w:szCs w:val="24"/>
        </w:rPr>
      </w:pPr>
      <w:r w:rsidRPr="00457441">
        <w:rPr>
          <w:rFonts w:ascii="Times New Roman" w:hAnsi="Times New Roman"/>
          <w:b/>
          <w:sz w:val="24"/>
          <w:szCs w:val="24"/>
        </w:rPr>
        <w:t xml:space="preserve">Legal Lesson Learned:  </w:t>
      </w:r>
      <w:r w:rsidRPr="00457441">
        <w:rPr>
          <w:rFonts w:ascii="Times New Roman" w:hAnsi="Times New Roman"/>
          <w:b/>
          <w:bCs/>
          <w:sz w:val="24"/>
          <w:szCs w:val="24"/>
        </w:rPr>
        <w:t xml:space="preserve">FD relying </w:t>
      </w:r>
      <w:r w:rsidRPr="00457441">
        <w:rPr>
          <w:rFonts w:ascii="Times New Roman" w:hAnsi="Times New Roman"/>
          <w:b/>
          <w:sz w:val="24"/>
          <w:szCs w:val="24"/>
        </w:rPr>
        <w:t xml:space="preserve">on a matrix to justify promotion decision, must include all candidates on the matrix document. </w:t>
      </w:r>
    </w:p>
    <w:p w14:paraId="277A3C05" w14:textId="77777777" w:rsidR="00384B2F" w:rsidRDefault="00384B2F" w:rsidP="00BC70A3">
      <w:pPr>
        <w:rPr>
          <w:rFonts w:ascii="Arial Black" w:hAnsi="Arial Black"/>
          <w:b/>
          <w:sz w:val="24"/>
          <w:szCs w:val="24"/>
        </w:rPr>
      </w:pPr>
    </w:p>
    <w:p w14:paraId="7E8425FB" w14:textId="77777777" w:rsidR="00384B2F" w:rsidRDefault="00384B2F" w:rsidP="00BC70A3">
      <w:pPr>
        <w:rPr>
          <w:rFonts w:ascii="Arial Black" w:hAnsi="Arial Black"/>
          <w:b/>
          <w:sz w:val="24"/>
          <w:szCs w:val="24"/>
        </w:rPr>
      </w:pPr>
    </w:p>
    <w:p w14:paraId="2BF230B3" w14:textId="083F469A" w:rsidR="004864A1" w:rsidRDefault="004864A1" w:rsidP="00BC70A3">
      <w:pPr>
        <w:rPr>
          <w:rFonts w:ascii="Arial Black" w:hAnsi="Arial Black"/>
          <w:b/>
          <w:sz w:val="24"/>
          <w:szCs w:val="24"/>
        </w:rPr>
      </w:pPr>
      <w:r>
        <w:rPr>
          <w:rFonts w:ascii="Arial Black" w:hAnsi="Arial Black"/>
          <w:b/>
          <w:sz w:val="24"/>
          <w:szCs w:val="24"/>
        </w:rPr>
        <w:t>8-69</w:t>
      </w:r>
    </w:p>
    <w:p w14:paraId="53FCF72B" w14:textId="77777777" w:rsidR="002C25D5" w:rsidRPr="00193FDB" w:rsidRDefault="002C25D5" w:rsidP="002C25D5">
      <w:pPr>
        <w:pStyle w:val="NoSpacing"/>
        <w:rPr>
          <w:rFonts w:ascii="Arial Black" w:hAnsi="Arial Black"/>
          <w:b/>
          <w:bCs/>
          <w:sz w:val="28"/>
          <w:szCs w:val="28"/>
        </w:rPr>
      </w:pPr>
      <w:r w:rsidRPr="00193FDB">
        <w:rPr>
          <w:rFonts w:ascii="Arial Black" w:hAnsi="Arial Black"/>
          <w:b/>
          <w:sz w:val="28"/>
          <w:szCs w:val="28"/>
        </w:rPr>
        <w:t xml:space="preserve">LA: </w:t>
      </w:r>
      <w:r>
        <w:rPr>
          <w:rFonts w:ascii="Arial Black" w:hAnsi="Arial Black"/>
          <w:b/>
          <w:sz w:val="28"/>
          <w:szCs w:val="28"/>
        </w:rPr>
        <w:t xml:space="preserve">TWO CAPTS DISCIP. – CLAIM DISPARATE TREAT </w:t>
      </w:r>
    </w:p>
    <w:p w14:paraId="2AA31885" w14:textId="77777777" w:rsidR="002C25D5" w:rsidRDefault="002C25D5" w:rsidP="002C25D5">
      <w:pPr>
        <w:pStyle w:val="NoSpacing"/>
      </w:pPr>
    </w:p>
    <w:p w14:paraId="6EE11AFC" w14:textId="77777777" w:rsidR="00D45282" w:rsidRPr="00D45282" w:rsidRDefault="00D45282" w:rsidP="00D45282">
      <w:pPr>
        <w:rPr>
          <w:rFonts w:ascii="Times New Roman" w:hAnsi="Times New Roman"/>
          <w:sz w:val="24"/>
          <w:szCs w:val="24"/>
        </w:rPr>
      </w:pPr>
      <w:r w:rsidRPr="00D45282">
        <w:rPr>
          <w:rFonts w:ascii="Times New Roman" w:hAnsi="Times New Roman"/>
          <w:sz w:val="24"/>
          <w:szCs w:val="24"/>
        </w:rPr>
        <w:t xml:space="preserve">On Dec. 20, </w:t>
      </w:r>
      <w:proofErr w:type="gramStart"/>
      <w:r w:rsidRPr="00D45282">
        <w:rPr>
          <w:rFonts w:ascii="Times New Roman" w:hAnsi="Times New Roman"/>
          <w:sz w:val="24"/>
          <w:szCs w:val="24"/>
        </w:rPr>
        <w:t>2024</w:t>
      </w:r>
      <w:proofErr w:type="gramEnd"/>
      <w:r w:rsidRPr="00D45282">
        <w:rPr>
          <w:rFonts w:ascii="Times New Roman" w:hAnsi="Times New Roman"/>
          <w:sz w:val="24"/>
          <w:szCs w:val="24"/>
        </w:rPr>
        <w:t xml:space="preserve"> in </w:t>
      </w:r>
      <w:r w:rsidRPr="00D45282">
        <w:rPr>
          <w:rFonts w:ascii="Times New Roman" w:hAnsi="Times New Roman"/>
          <w:sz w:val="24"/>
          <w:szCs w:val="24"/>
          <w:u w:val="single"/>
        </w:rPr>
        <w:t>Varrick Dyer v. City of New Orleans, et al</w:t>
      </w:r>
      <w:r w:rsidRPr="00D45282">
        <w:rPr>
          <w:rFonts w:ascii="Times New Roman" w:hAnsi="Times New Roman"/>
          <w:sz w:val="24"/>
          <w:szCs w:val="24"/>
        </w:rPr>
        <w:t>., United States Magistrate Judge Janis Van Meerveld, U.S. District Court for Eastern District of Louisiana, held that city’s motion for summary judgment will be denied in part.  Black Captain was on the 4</w:t>
      </w:r>
      <w:r w:rsidRPr="00D45282">
        <w:rPr>
          <w:rFonts w:ascii="Times New Roman" w:hAnsi="Times New Roman"/>
          <w:sz w:val="24"/>
          <w:szCs w:val="24"/>
          <w:vertAlign w:val="superscript"/>
        </w:rPr>
        <w:t>th</w:t>
      </w:r>
      <w:r w:rsidRPr="00D45282">
        <w:rPr>
          <w:rFonts w:ascii="Times New Roman" w:hAnsi="Times New Roman"/>
          <w:sz w:val="24"/>
          <w:szCs w:val="24"/>
        </w:rPr>
        <w:t xml:space="preserve"> engine to fire – later had verbal dispute with white Captain who criticized him for not getting off engine with his crew.  The lawsuit will </w:t>
      </w:r>
      <w:proofErr w:type="gramStart"/>
      <w:r w:rsidRPr="00D45282">
        <w:rPr>
          <w:rFonts w:ascii="Times New Roman" w:hAnsi="Times New Roman"/>
          <w:sz w:val="24"/>
          <w:szCs w:val="24"/>
        </w:rPr>
        <w:t>continue on</w:t>
      </w:r>
      <w:proofErr w:type="gramEnd"/>
      <w:r w:rsidRPr="00D45282">
        <w:rPr>
          <w:rFonts w:ascii="Times New Roman" w:hAnsi="Times New Roman"/>
          <w:sz w:val="24"/>
          <w:szCs w:val="24"/>
        </w:rPr>
        <w:t xml:space="preserve"> two claims -  </w:t>
      </w:r>
      <w:r w:rsidRPr="00D45282">
        <w:rPr>
          <w:rFonts w:ascii="Times New Roman" w:hAnsi="Times New Roman"/>
          <w:sz w:val="24"/>
          <w:szCs w:val="24"/>
        </w:rPr>
        <w:lastRenderedPageBreak/>
        <w:t xml:space="preserve">“disparate treatment” (white charged with “hazing” – letter of reprimand;  black charged with “threats” – possible suspension or termination) and subsequent failure to be promoted. </w:t>
      </w:r>
      <w:hyperlink r:id="rId1461" w:history="1">
        <w:r w:rsidRPr="00D45282">
          <w:rPr>
            <w:rStyle w:val="Hyperlink"/>
            <w:rFonts w:ascii="Times New Roman" w:hAnsi="Times New Roman"/>
            <w:sz w:val="24"/>
            <w:szCs w:val="24"/>
          </w:rPr>
          <w:t>https://casetext.com/case/dyer-v-city-of-new-orleans-2</w:t>
        </w:r>
      </w:hyperlink>
      <w:r w:rsidRPr="00D45282">
        <w:rPr>
          <w:rFonts w:ascii="Times New Roman" w:hAnsi="Times New Roman"/>
          <w:sz w:val="24"/>
          <w:szCs w:val="24"/>
        </w:rPr>
        <w:t xml:space="preserve"> </w:t>
      </w:r>
    </w:p>
    <w:p w14:paraId="472844B8" w14:textId="77777777" w:rsidR="00D45282" w:rsidRDefault="00D45282" w:rsidP="002C25D5">
      <w:pPr>
        <w:pStyle w:val="NoSpacing"/>
        <w:rPr>
          <w:rFonts w:ascii="Times New Roman" w:hAnsi="Times New Roman"/>
          <w:sz w:val="24"/>
          <w:szCs w:val="24"/>
        </w:rPr>
      </w:pPr>
    </w:p>
    <w:p w14:paraId="4DF06F5F" w14:textId="4CAA9523" w:rsidR="002C25D5" w:rsidRPr="002C25D5" w:rsidRDefault="002C25D5" w:rsidP="002C25D5">
      <w:pPr>
        <w:pStyle w:val="NoSpacing"/>
        <w:rPr>
          <w:rFonts w:ascii="Times New Roman" w:hAnsi="Times New Roman"/>
          <w:sz w:val="24"/>
          <w:szCs w:val="24"/>
        </w:rPr>
      </w:pPr>
      <w:r w:rsidRPr="002C25D5">
        <w:rPr>
          <w:rFonts w:ascii="Times New Roman" w:hAnsi="Times New Roman"/>
          <w:sz w:val="24"/>
          <w:szCs w:val="24"/>
        </w:rPr>
        <w:t>The Magistrate wrote:</w:t>
      </w:r>
    </w:p>
    <w:p w14:paraId="1BED6D2D" w14:textId="77777777" w:rsidR="002C25D5" w:rsidRPr="002C25D5" w:rsidRDefault="002C25D5" w:rsidP="002C25D5">
      <w:pPr>
        <w:pStyle w:val="NoSpacing"/>
        <w:rPr>
          <w:rFonts w:ascii="Times New Roman" w:hAnsi="Times New Roman"/>
          <w:sz w:val="24"/>
          <w:szCs w:val="24"/>
        </w:rPr>
      </w:pPr>
    </w:p>
    <w:p w14:paraId="6FFDB331" w14:textId="542FD0E8" w:rsidR="00B9560C" w:rsidRPr="002C25D5" w:rsidRDefault="002C25D5" w:rsidP="002C25D5">
      <w:pPr>
        <w:ind w:left="720"/>
        <w:rPr>
          <w:rFonts w:ascii="Times New Roman" w:hAnsi="Times New Roman"/>
          <w:b/>
          <w:sz w:val="24"/>
          <w:szCs w:val="24"/>
        </w:rPr>
      </w:pPr>
      <w:r w:rsidRPr="002C25D5">
        <w:rPr>
          <w:rFonts w:ascii="Times New Roman" w:hAnsi="Times New Roman"/>
          <w:sz w:val="24"/>
          <w:szCs w:val="24"/>
        </w:rPr>
        <w:t xml:space="preserve">“The Court finds that Dyer has stated a plausible claim for race-based disparate treatment as to two incidents. He alleges that he was charged with a more severe rule violation than Martin arising out of the February 2022 incident they were both involved in. Of course there may be legitimate explanations for this difference in treatment. But at this stage, the Court finds Dyer has plausibly alleged that this difference was race based because their conduct appears to have been </w:t>
      </w:r>
      <w:proofErr w:type="gramStart"/>
      <w:r w:rsidRPr="002C25D5">
        <w:rPr>
          <w:rFonts w:ascii="Times New Roman" w:hAnsi="Times New Roman"/>
          <w:sz w:val="24"/>
          <w:szCs w:val="24"/>
        </w:rPr>
        <w:t>similar</w:t>
      </w:r>
      <w:proofErr w:type="gramEnd"/>
      <w:r w:rsidRPr="002C25D5">
        <w:rPr>
          <w:rFonts w:ascii="Times New Roman" w:hAnsi="Times New Roman"/>
          <w:sz w:val="24"/>
          <w:szCs w:val="24"/>
        </w:rPr>
        <w:t xml:space="preserve"> but the black firefighter was charged with a more severe rule violation than the white firefighter. Additionally, Dyer has stated a plausible claim arising out of the denied promotion that was allegedly given to a less qualified white male.”  </w:t>
      </w:r>
    </w:p>
    <w:p w14:paraId="7C775D97" w14:textId="77777777" w:rsidR="00A76F8F" w:rsidRPr="00A76F8F" w:rsidRDefault="00A76F8F" w:rsidP="00A76F8F">
      <w:pPr>
        <w:pStyle w:val="NoSpacing"/>
        <w:rPr>
          <w:rFonts w:ascii="Times New Roman" w:hAnsi="Times New Roman"/>
          <w:sz w:val="24"/>
          <w:szCs w:val="24"/>
        </w:rPr>
      </w:pPr>
      <w:r w:rsidRPr="00A76F8F">
        <w:rPr>
          <w:rFonts w:ascii="Times New Roman" w:hAnsi="Times New Roman"/>
          <w:sz w:val="24"/>
          <w:szCs w:val="24"/>
        </w:rPr>
        <w:t>HOLDING:</w:t>
      </w:r>
    </w:p>
    <w:p w14:paraId="61F513FF" w14:textId="77777777" w:rsidR="00893FEB" w:rsidRDefault="00893FEB" w:rsidP="00A76F8F">
      <w:pPr>
        <w:pStyle w:val="NoSpacing"/>
        <w:ind w:left="720"/>
        <w:rPr>
          <w:rFonts w:ascii="Times New Roman" w:hAnsi="Times New Roman"/>
          <w:sz w:val="24"/>
          <w:szCs w:val="24"/>
        </w:rPr>
      </w:pPr>
    </w:p>
    <w:p w14:paraId="0A4E6FFB" w14:textId="20F13E70" w:rsidR="00A76F8F" w:rsidRPr="00A76F8F" w:rsidRDefault="00A76F8F" w:rsidP="00A76F8F">
      <w:pPr>
        <w:pStyle w:val="NoSpacing"/>
        <w:ind w:left="720"/>
        <w:rPr>
          <w:rFonts w:ascii="Times New Roman" w:hAnsi="Times New Roman"/>
          <w:sz w:val="24"/>
          <w:szCs w:val="24"/>
        </w:rPr>
      </w:pPr>
      <w:r w:rsidRPr="00A76F8F">
        <w:rPr>
          <w:rFonts w:ascii="Times New Roman" w:hAnsi="Times New Roman"/>
          <w:sz w:val="24"/>
          <w:szCs w:val="24"/>
        </w:rPr>
        <w:t>“The Court finds that Dyer has stated a claim under Title VII, the LEDL, and § 1981 for race-based disparate treatment arising out of the charge related to the February 2022 incident and arising out of the denied promotion. As to these claims, the Motion to Dismiss is DENIED.”</w:t>
      </w:r>
    </w:p>
    <w:p w14:paraId="7E2AA90D" w14:textId="77777777" w:rsidR="00A76F8F" w:rsidRPr="00A76F8F" w:rsidRDefault="00A76F8F" w:rsidP="00A76F8F">
      <w:pPr>
        <w:pStyle w:val="NoSpacing"/>
        <w:ind w:left="720"/>
        <w:rPr>
          <w:rFonts w:ascii="Times New Roman" w:hAnsi="Times New Roman"/>
          <w:sz w:val="24"/>
          <w:szCs w:val="24"/>
        </w:rPr>
      </w:pPr>
    </w:p>
    <w:p w14:paraId="45A452C1" w14:textId="77777777" w:rsidR="00A76F8F" w:rsidRPr="00A76F8F" w:rsidRDefault="00A76F8F" w:rsidP="00A76F8F">
      <w:pPr>
        <w:pStyle w:val="NoSpacing"/>
        <w:rPr>
          <w:rFonts w:ascii="Times New Roman" w:hAnsi="Times New Roman"/>
          <w:b/>
          <w:bCs/>
          <w:sz w:val="24"/>
          <w:szCs w:val="24"/>
        </w:rPr>
      </w:pPr>
      <w:r w:rsidRPr="00A76F8F">
        <w:rPr>
          <w:rFonts w:ascii="Times New Roman" w:hAnsi="Times New Roman"/>
          <w:b/>
          <w:sz w:val="24"/>
          <w:szCs w:val="24"/>
        </w:rPr>
        <w:t>Legal Lesson Learned: When imposing discipline involving a white FF and a black FF, management must document specific reasons for different discipline.</w:t>
      </w:r>
    </w:p>
    <w:p w14:paraId="4C0799D8" w14:textId="77777777" w:rsidR="00A76F8F" w:rsidRPr="00A76F8F" w:rsidRDefault="00A76F8F" w:rsidP="00A76F8F">
      <w:pPr>
        <w:pStyle w:val="NoSpacing"/>
        <w:ind w:left="720"/>
        <w:rPr>
          <w:rFonts w:ascii="Times New Roman" w:hAnsi="Times New Roman"/>
          <w:sz w:val="24"/>
          <w:szCs w:val="24"/>
        </w:rPr>
      </w:pPr>
    </w:p>
    <w:p w14:paraId="24665106" w14:textId="29DD1166" w:rsidR="00A76F8F" w:rsidRPr="00A76F8F" w:rsidRDefault="00A76F8F" w:rsidP="00A76F8F">
      <w:pPr>
        <w:pStyle w:val="NoSpacing"/>
        <w:ind w:left="720"/>
        <w:rPr>
          <w:rFonts w:ascii="Times New Roman" w:hAnsi="Times New Roman"/>
          <w:b/>
          <w:sz w:val="24"/>
          <w:szCs w:val="24"/>
        </w:rPr>
      </w:pPr>
      <w:r w:rsidRPr="00A76F8F">
        <w:rPr>
          <w:rFonts w:ascii="Times New Roman" w:hAnsi="Times New Roman"/>
          <w:sz w:val="24"/>
          <w:szCs w:val="24"/>
        </w:rPr>
        <w:t>Note:  See also City’s Civil Service Commission (vote 2 to 1) on Dec. 14, 2023, reversing 36-hour suspension for bringing a “gate valve” from a fire engine to a Rock of Ages</w:t>
      </w:r>
      <w:r w:rsidR="00893FEB">
        <w:rPr>
          <w:rFonts w:ascii="Times New Roman" w:hAnsi="Times New Roman"/>
          <w:sz w:val="24"/>
          <w:szCs w:val="24"/>
        </w:rPr>
        <w:t xml:space="preserve"> </w:t>
      </w:r>
      <w:r w:rsidRPr="00A76F8F">
        <w:rPr>
          <w:rFonts w:ascii="Times New Roman" w:hAnsi="Times New Roman"/>
          <w:sz w:val="24"/>
          <w:szCs w:val="24"/>
        </w:rPr>
        <w:t xml:space="preserve">Church event provided showers and laundry facilities to homeless and mentally ill individuals. </w:t>
      </w:r>
    </w:p>
    <w:p w14:paraId="043F0623" w14:textId="77777777" w:rsidR="00A76F8F" w:rsidRPr="00A76F8F" w:rsidRDefault="00A76F8F" w:rsidP="00A76F8F">
      <w:pPr>
        <w:pStyle w:val="NoSpacing"/>
        <w:ind w:left="720"/>
        <w:rPr>
          <w:rFonts w:ascii="Times New Roman" w:hAnsi="Times New Roman"/>
          <w:b/>
          <w:sz w:val="24"/>
          <w:szCs w:val="24"/>
        </w:rPr>
      </w:pPr>
      <w:hyperlink r:id="rId1462" w:history="1">
        <w:r w:rsidRPr="00A76F8F">
          <w:rPr>
            <w:rStyle w:val="Hyperlink"/>
            <w:rFonts w:ascii="Times New Roman" w:hAnsi="Times New Roman"/>
            <w:b/>
            <w:sz w:val="24"/>
            <w:szCs w:val="24"/>
          </w:rPr>
          <w:t>https://nola.gov/getattachment/e3454bbc-a629-43a1-b296-8d99f21a3e04/Dyer,-Varrick-9485/</w:t>
        </w:r>
      </w:hyperlink>
      <w:r w:rsidRPr="00A76F8F">
        <w:rPr>
          <w:rFonts w:ascii="Times New Roman" w:hAnsi="Times New Roman"/>
          <w:b/>
          <w:sz w:val="24"/>
          <w:szCs w:val="24"/>
        </w:rPr>
        <w:t xml:space="preserve"> </w:t>
      </w:r>
    </w:p>
    <w:p w14:paraId="5C25F61A" w14:textId="77777777" w:rsidR="003B2850" w:rsidRPr="00A76F8F" w:rsidRDefault="003B2850" w:rsidP="00BC70A3">
      <w:pPr>
        <w:rPr>
          <w:rFonts w:ascii="Times New Roman" w:hAnsi="Times New Roman"/>
          <w:b/>
          <w:sz w:val="24"/>
          <w:szCs w:val="24"/>
        </w:rPr>
      </w:pPr>
    </w:p>
    <w:p w14:paraId="42601585" w14:textId="77777777" w:rsidR="003B2850" w:rsidRDefault="003B2850" w:rsidP="00BC70A3">
      <w:pPr>
        <w:rPr>
          <w:rFonts w:ascii="Arial Black" w:hAnsi="Arial Black"/>
          <w:b/>
          <w:sz w:val="24"/>
          <w:szCs w:val="24"/>
        </w:rPr>
      </w:pPr>
    </w:p>
    <w:p w14:paraId="3C279A26" w14:textId="03DFF900" w:rsidR="00B9560C" w:rsidRDefault="00B9560C" w:rsidP="00BC70A3">
      <w:pPr>
        <w:rPr>
          <w:rFonts w:ascii="Arial Black" w:hAnsi="Arial Black"/>
          <w:b/>
          <w:sz w:val="24"/>
          <w:szCs w:val="24"/>
        </w:rPr>
      </w:pPr>
      <w:r>
        <w:rPr>
          <w:rFonts w:ascii="Arial Black" w:hAnsi="Arial Black"/>
          <w:b/>
          <w:sz w:val="24"/>
          <w:szCs w:val="24"/>
        </w:rPr>
        <w:t>8-68</w:t>
      </w:r>
    </w:p>
    <w:p w14:paraId="09837F54" w14:textId="77777777" w:rsidR="009E2FA4" w:rsidRDefault="009E2FA4" w:rsidP="009E2FA4">
      <w:pPr>
        <w:pStyle w:val="NoSpacing"/>
        <w:rPr>
          <w:rFonts w:ascii="Arial Black" w:hAnsi="Arial Black"/>
          <w:b/>
          <w:sz w:val="28"/>
          <w:szCs w:val="28"/>
        </w:rPr>
      </w:pPr>
      <w:r>
        <w:rPr>
          <w:rFonts w:ascii="Arial Black" w:hAnsi="Arial Black"/>
          <w:b/>
          <w:sz w:val="28"/>
          <w:szCs w:val="28"/>
        </w:rPr>
        <w:t xml:space="preserve">MO: CHIEF FIRED – SECRET CAMERA – BD ANIMUS </w:t>
      </w:r>
    </w:p>
    <w:p w14:paraId="5E9C0CE1" w14:textId="77777777" w:rsidR="009E2FA4" w:rsidRDefault="009E2FA4" w:rsidP="00AB0466">
      <w:pPr>
        <w:pStyle w:val="NoSpacing"/>
        <w:rPr>
          <w:rFonts w:ascii="Arial Black" w:hAnsi="Arial Black"/>
          <w:b/>
          <w:sz w:val="28"/>
          <w:szCs w:val="28"/>
        </w:rPr>
      </w:pPr>
    </w:p>
    <w:p w14:paraId="2490AEC9" w14:textId="77777777" w:rsidR="003D707F" w:rsidRPr="003D707F" w:rsidRDefault="003D707F" w:rsidP="003D707F">
      <w:pPr>
        <w:rPr>
          <w:rFonts w:ascii="Times New Roman" w:hAnsi="Times New Roman"/>
          <w:bCs/>
          <w:sz w:val="24"/>
          <w:szCs w:val="24"/>
        </w:rPr>
      </w:pPr>
      <w:r w:rsidRPr="003D707F">
        <w:rPr>
          <w:rFonts w:ascii="Times New Roman" w:hAnsi="Times New Roman"/>
          <w:sz w:val="24"/>
          <w:szCs w:val="24"/>
        </w:rPr>
        <w:t xml:space="preserve">On Dec. 18, 2024, in </w:t>
      </w:r>
      <w:proofErr w:type="spellStart"/>
      <w:r w:rsidRPr="003D707F">
        <w:rPr>
          <w:rFonts w:ascii="Times New Roman" w:hAnsi="Times New Roman"/>
          <w:sz w:val="24"/>
          <w:szCs w:val="24"/>
          <w:u w:val="single"/>
        </w:rPr>
        <w:t>Ankeneth</w:t>
      </w:r>
      <w:proofErr w:type="spellEnd"/>
      <w:r w:rsidRPr="003D707F">
        <w:rPr>
          <w:rFonts w:ascii="Times New Roman" w:hAnsi="Times New Roman"/>
          <w:sz w:val="24"/>
          <w:szCs w:val="24"/>
          <w:u w:val="single"/>
        </w:rPr>
        <w:t xml:space="preserve"> Corbin v. Black Jack Fire Protection District, et al.,</w:t>
      </w:r>
      <w:r w:rsidRPr="003D707F">
        <w:rPr>
          <w:rFonts w:ascii="Times New Roman" w:hAnsi="Times New Roman"/>
          <w:sz w:val="24"/>
          <w:szCs w:val="24"/>
        </w:rPr>
        <w:t xml:space="preserve"> United States District Court Judge John A. Ross, U.S. District Court for Eastern District of Missouri, held that the former Fire Chief (African American), who was fired on Jan. 17, 2023 for secretly installing a camera and a sound recording device in his office, may proceed with his lawsuit for retaliation. </w:t>
      </w:r>
      <w:hyperlink r:id="rId1463" w:history="1">
        <w:r w:rsidRPr="003D707F">
          <w:rPr>
            <w:rStyle w:val="Hyperlink"/>
            <w:rFonts w:ascii="Times New Roman" w:hAnsi="Times New Roman"/>
            <w:sz w:val="24"/>
            <w:szCs w:val="24"/>
          </w:rPr>
          <w:t>https://casetext.com/case/corbin-v-black-jack-fire-prot-dist</w:t>
        </w:r>
      </w:hyperlink>
      <w:r w:rsidRPr="003D707F">
        <w:rPr>
          <w:rFonts w:ascii="Times New Roman" w:hAnsi="Times New Roman"/>
          <w:sz w:val="24"/>
          <w:szCs w:val="24"/>
        </w:rPr>
        <w:t xml:space="preserve"> </w:t>
      </w:r>
    </w:p>
    <w:p w14:paraId="7547A7FC" w14:textId="77777777" w:rsidR="003D707F" w:rsidRDefault="003D707F" w:rsidP="00AB0466">
      <w:pPr>
        <w:pStyle w:val="NoSpacing"/>
        <w:rPr>
          <w:rFonts w:ascii="Times New Roman" w:hAnsi="Times New Roman"/>
          <w:sz w:val="24"/>
          <w:szCs w:val="24"/>
        </w:rPr>
      </w:pPr>
    </w:p>
    <w:p w14:paraId="35844308" w14:textId="3A65FA7F" w:rsidR="00AB0466" w:rsidRPr="00AB0466" w:rsidRDefault="00AB0466" w:rsidP="00AB0466">
      <w:pPr>
        <w:pStyle w:val="NoSpacing"/>
        <w:rPr>
          <w:rFonts w:ascii="Times New Roman" w:hAnsi="Times New Roman"/>
          <w:sz w:val="24"/>
          <w:szCs w:val="24"/>
        </w:rPr>
      </w:pPr>
      <w:r w:rsidRPr="00AB0466">
        <w:rPr>
          <w:rFonts w:ascii="Times New Roman" w:hAnsi="Times New Roman"/>
          <w:sz w:val="24"/>
          <w:szCs w:val="24"/>
        </w:rPr>
        <w:t>The Court wrote:</w:t>
      </w:r>
    </w:p>
    <w:p w14:paraId="4B022E4D" w14:textId="77777777" w:rsidR="00B2318F" w:rsidRDefault="00B2318F" w:rsidP="00AB0466">
      <w:pPr>
        <w:ind w:left="720"/>
        <w:rPr>
          <w:rFonts w:ascii="Times New Roman" w:hAnsi="Times New Roman"/>
          <w:sz w:val="24"/>
          <w:szCs w:val="24"/>
        </w:rPr>
      </w:pPr>
    </w:p>
    <w:p w14:paraId="14680168" w14:textId="62244C3A" w:rsidR="00AB0466" w:rsidRDefault="00AB0466" w:rsidP="00AB0466">
      <w:pPr>
        <w:ind w:left="720"/>
        <w:rPr>
          <w:bCs/>
        </w:rPr>
      </w:pPr>
      <w:r w:rsidRPr="00AB0466">
        <w:rPr>
          <w:rFonts w:ascii="Times New Roman" w:hAnsi="Times New Roman"/>
          <w:sz w:val="24"/>
          <w:szCs w:val="24"/>
        </w:rPr>
        <w:t xml:space="preserve">“The </w:t>
      </w:r>
      <w:proofErr w:type="gramStart"/>
      <w:r w:rsidRPr="00AB0466">
        <w:rPr>
          <w:rFonts w:ascii="Times New Roman" w:hAnsi="Times New Roman"/>
          <w:sz w:val="24"/>
          <w:szCs w:val="24"/>
        </w:rPr>
        <w:t>District</w:t>
      </w:r>
      <w:proofErr w:type="gramEnd"/>
      <w:r w:rsidRPr="00AB0466">
        <w:rPr>
          <w:rFonts w:ascii="Times New Roman" w:hAnsi="Times New Roman"/>
          <w:sz w:val="24"/>
          <w:szCs w:val="24"/>
        </w:rPr>
        <w:t xml:space="preserve"> argues that the EEOC charges were too remote in time to show causation, and the actual reason for Corbin's termination was his use of the hidden camera and failure to return all electronic </w:t>
      </w:r>
      <w:r w:rsidRPr="00AB0466">
        <w:rPr>
          <w:rFonts w:ascii="Times New Roman" w:hAnsi="Times New Roman"/>
          <w:sz w:val="24"/>
          <w:szCs w:val="24"/>
        </w:rPr>
        <w:lastRenderedPageBreak/>
        <w:t xml:space="preserve">devices. In response, Corbin contends that the evidence gives rise to jury questions. The Court agrees [with Corbin]. [Board Chairman David] Calhoun admitted he said to Corbin in March 2022, ‘You can't do nothing to me’ and ‘[g]o </w:t>
      </w:r>
      <w:proofErr w:type="gramStart"/>
      <w:r w:rsidRPr="00AB0466">
        <w:rPr>
          <w:rFonts w:ascii="Times New Roman" w:hAnsi="Times New Roman"/>
          <w:sz w:val="24"/>
          <w:szCs w:val="24"/>
        </w:rPr>
        <w:t>write</w:t>
      </w:r>
      <w:proofErr w:type="gramEnd"/>
      <w:r w:rsidRPr="00AB0466">
        <w:rPr>
          <w:rFonts w:ascii="Times New Roman" w:hAnsi="Times New Roman"/>
          <w:sz w:val="24"/>
          <w:szCs w:val="24"/>
        </w:rPr>
        <w:t xml:space="preserve"> your letter’ as he thought Corbin ‘was trying to get me ran out of the place.”’  Corbin filed EEOC charges in July and late August 2022, claiming retaliation for reporting alleged ‘conflicts of interest, fiscal irregularities and wasteful spending’ by the Board and other specific retaliatory actions by Calhoun. Calhoun admitted stating that Corbin was going to ‘destroy the department’ because of ‘harassment like the charges.’ Calhoun further admitted that he believed Corbin was going to alert the media about allegations against the Board. Tensions escalated into the fall of 2022 and Corbin recorded Calhoun in his office via video and their arguments via audio. Corbin was suspended that December and terminated the following month. This timeline is not so remote as to remove the question of causation from the province of the jury. Rather, the timeline and conflicting evidence give rise to a genuine material dispute as to whether the Board cited Corbin's recordings and alleged failure to return devices as a pretext to fire a troublesome whistleblower. These are fact questions for a jury to resolve. Accordingly, the Court will deny the </w:t>
      </w:r>
      <w:proofErr w:type="gramStart"/>
      <w:r w:rsidRPr="00AB0466">
        <w:rPr>
          <w:rFonts w:ascii="Times New Roman" w:hAnsi="Times New Roman"/>
          <w:sz w:val="24"/>
          <w:szCs w:val="24"/>
        </w:rPr>
        <w:t>District's</w:t>
      </w:r>
      <w:proofErr w:type="gramEnd"/>
      <w:r w:rsidRPr="00AB0466">
        <w:rPr>
          <w:rFonts w:ascii="Times New Roman" w:hAnsi="Times New Roman"/>
          <w:sz w:val="24"/>
          <w:szCs w:val="24"/>
        </w:rPr>
        <w:t xml:space="preserve"> motion for summary judgment as to Count I.”  </w:t>
      </w:r>
    </w:p>
    <w:p w14:paraId="4A26B82A" w14:textId="77777777" w:rsidR="005F5492" w:rsidRPr="005F5492" w:rsidRDefault="005F5492" w:rsidP="005F5492">
      <w:pPr>
        <w:rPr>
          <w:rFonts w:ascii="Times New Roman" w:hAnsi="Times New Roman"/>
          <w:bCs/>
          <w:sz w:val="24"/>
          <w:szCs w:val="24"/>
        </w:rPr>
      </w:pPr>
      <w:r w:rsidRPr="005F5492">
        <w:rPr>
          <w:rFonts w:ascii="Times New Roman" w:hAnsi="Times New Roman"/>
          <w:sz w:val="24"/>
          <w:szCs w:val="24"/>
        </w:rPr>
        <w:t>HOLDING:</w:t>
      </w:r>
    </w:p>
    <w:p w14:paraId="4A740C4F" w14:textId="77777777" w:rsidR="005F5492" w:rsidRPr="005F5492" w:rsidRDefault="005F5492" w:rsidP="005F5492">
      <w:pPr>
        <w:ind w:left="720"/>
        <w:rPr>
          <w:rFonts w:ascii="Times New Roman" w:hAnsi="Times New Roman"/>
          <w:sz w:val="24"/>
          <w:szCs w:val="24"/>
        </w:rPr>
      </w:pPr>
      <w:r w:rsidRPr="005F5492">
        <w:rPr>
          <w:rFonts w:ascii="Times New Roman" w:hAnsi="Times New Roman"/>
          <w:sz w:val="24"/>
          <w:szCs w:val="24"/>
        </w:rPr>
        <w:t xml:space="preserve">“Here, the record arguably contains direct evidence showing a discriminatory animus behind the Board's decision to suspend and then terminate Corbin's employment. As discussed above, Calhoun admitted in the summer of 2022 that he was concerned that Corbin would alert the press of alleged misconduct by Board members and that he considered Corbin's EEOC charges to be a form of harassment that would destroy the department. Although Corbin was not suspended until some months later, and purportedly for other reasons, a jury could interpret Calhoun's statements as direct evidence of a discriminatory animus that ultimately prompted the Board's action. Alternatively, even accepting that developments in the fall of 2022, specifically Corbin's recordings and alleged failure to return devices, could be viewed to interrupt any direct link between Calhoun's animus and Corbin's termination, the evidence gives rise to genuine factual dispute under the </w:t>
      </w:r>
      <w:r w:rsidRPr="005F5492">
        <w:rPr>
          <w:rFonts w:ascii="Times New Roman" w:hAnsi="Times New Roman"/>
          <w:i/>
          <w:iCs/>
          <w:sz w:val="24"/>
          <w:szCs w:val="24"/>
        </w:rPr>
        <w:t>McDonnell Douglas</w:t>
      </w:r>
      <w:r w:rsidRPr="005F5492">
        <w:rPr>
          <w:rFonts w:ascii="Times New Roman" w:hAnsi="Times New Roman"/>
          <w:sz w:val="24"/>
          <w:szCs w:val="24"/>
        </w:rPr>
        <w:t xml:space="preserve"> burden-shifting framework.”</w:t>
      </w:r>
    </w:p>
    <w:p w14:paraId="6108FF80" w14:textId="77777777" w:rsidR="005F5492" w:rsidRPr="005F5492" w:rsidRDefault="005F5492" w:rsidP="005F5492">
      <w:pPr>
        <w:rPr>
          <w:rFonts w:ascii="Times New Roman" w:hAnsi="Times New Roman"/>
          <w:b/>
          <w:bCs/>
          <w:sz w:val="24"/>
          <w:szCs w:val="24"/>
        </w:rPr>
      </w:pPr>
      <w:r w:rsidRPr="005F5492">
        <w:rPr>
          <w:rFonts w:ascii="Times New Roman" w:hAnsi="Times New Roman"/>
          <w:b/>
          <w:sz w:val="24"/>
          <w:szCs w:val="24"/>
        </w:rPr>
        <w:t xml:space="preserve">Legal Lessons Learned:  </w:t>
      </w:r>
      <w:r w:rsidRPr="005F5492">
        <w:rPr>
          <w:rFonts w:ascii="Times New Roman" w:hAnsi="Times New Roman"/>
          <w:b/>
          <w:bCs/>
          <w:sz w:val="24"/>
          <w:szCs w:val="24"/>
        </w:rPr>
        <w:t>Court found direct evidence of “discriminatory animus” behind the Board’s decision to suspend and then terminate.</w:t>
      </w:r>
      <w:r w:rsidRPr="005F5492">
        <w:rPr>
          <w:rFonts w:ascii="Times New Roman" w:hAnsi="Times New Roman"/>
          <w:b/>
          <w:sz w:val="24"/>
          <w:szCs w:val="24"/>
        </w:rPr>
        <w:t xml:space="preserve">  </w:t>
      </w:r>
    </w:p>
    <w:p w14:paraId="313EB24F" w14:textId="77777777" w:rsidR="005F5492" w:rsidRPr="00081E51" w:rsidRDefault="005F5492" w:rsidP="005F5492">
      <w:pPr>
        <w:ind w:left="720"/>
        <w:rPr>
          <w:bCs/>
        </w:rPr>
      </w:pPr>
    </w:p>
    <w:p w14:paraId="4A6D30C9" w14:textId="77777777" w:rsidR="00B9560C" w:rsidRDefault="00B9560C" w:rsidP="00BC70A3">
      <w:pPr>
        <w:rPr>
          <w:rFonts w:ascii="Arial Black" w:hAnsi="Arial Black"/>
          <w:b/>
          <w:sz w:val="24"/>
          <w:szCs w:val="24"/>
        </w:rPr>
      </w:pPr>
    </w:p>
    <w:p w14:paraId="0F08F7B8" w14:textId="77777777" w:rsidR="00B9560C" w:rsidRDefault="00B9560C" w:rsidP="00BC70A3">
      <w:pPr>
        <w:rPr>
          <w:rFonts w:ascii="Arial Black" w:hAnsi="Arial Black"/>
          <w:b/>
          <w:sz w:val="24"/>
          <w:szCs w:val="24"/>
        </w:rPr>
      </w:pPr>
    </w:p>
    <w:p w14:paraId="7ED97145" w14:textId="56517BD8" w:rsidR="004529D8" w:rsidRDefault="004529D8" w:rsidP="00BC70A3">
      <w:pPr>
        <w:rPr>
          <w:rFonts w:ascii="Arial Black" w:hAnsi="Arial Black"/>
          <w:b/>
          <w:sz w:val="24"/>
          <w:szCs w:val="24"/>
        </w:rPr>
      </w:pPr>
      <w:r>
        <w:rPr>
          <w:rFonts w:ascii="Arial Black" w:hAnsi="Arial Black"/>
          <w:b/>
          <w:sz w:val="24"/>
          <w:szCs w:val="24"/>
        </w:rPr>
        <w:t>8-6</w:t>
      </w:r>
      <w:r w:rsidR="00AE05CE">
        <w:rPr>
          <w:rFonts w:ascii="Arial Black" w:hAnsi="Arial Black"/>
          <w:b/>
          <w:sz w:val="24"/>
          <w:szCs w:val="24"/>
        </w:rPr>
        <w:t>7</w:t>
      </w:r>
    </w:p>
    <w:p w14:paraId="07F41B5A" w14:textId="77777777" w:rsidR="004529D8" w:rsidRPr="00A85574" w:rsidRDefault="004529D8" w:rsidP="004529D8">
      <w:pPr>
        <w:pStyle w:val="NoSpacing"/>
        <w:rPr>
          <w:rFonts w:ascii="Arial Black" w:hAnsi="Arial Black"/>
          <w:b/>
          <w:sz w:val="28"/>
          <w:szCs w:val="28"/>
        </w:rPr>
      </w:pPr>
      <w:r>
        <w:rPr>
          <w:rFonts w:ascii="Arial Black" w:hAnsi="Arial Black"/>
          <w:b/>
          <w:sz w:val="28"/>
          <w:szCs w:val="28"/>
        </w:rPr>
        <w:t xml:space="preserve">IL: BLACK FF – FIRED - NO FED. CASE – RETALIATION CLAIM FOR TALKING TO EEOC – HAD DUE PROCESS STATE COURT </w:t>
      </w:r>
    </w:p>
    <w:p w14:paraId="3AC9F774" w14:textId="77777777" w:rsidR="004529D8" w:rsidRDefault="004529D8" w:rsidP="004529D8">
      <w:pPr>
        <w:pStyle w:val="NoSpacing"/>
        <w:ind w:firstLine="720"/>
        <w:rPr>
          <w:b/>
        </w:rPr>
      </w:pPr>
    </w:p>
    <w:p w14:paraId="7126F9F9"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 xml:space="preserve">On Nov. 18, 2024, in </w:t>
      </w:r>
      <w:proofErr w:type="spellStart"/>
      <w:r w:rsidRPr="00D86881">
        <w:rPr>
          <w:rFonts w:ascii="Times New Roman" w:hAnsi="Times New Roman"/>
          <w:sz w:val="24"/>
          <w:szCs w:val="24"/>
          <w:u w:val="single"/>
        </w:rPr>
        <w:t>Vairrun</w:t>
      </w:r>
      <w:proofErr w:type="spellEnd"/>
      <w:r w:rsidRPr="00D86881">
        <w:rPr>
          <w:rFonts w:ascii="Times New Roman" w:hAnsi="Times New Roman"/>
          <w:sz w:val="24"/>
          <w:szCs w:val="24"/>
          <w:u w:val="single"/>
        </w:rPr>
        <w:t xml:space="preserve"> Strictland v. City of Markham</w:t>
      </w:r>
      <w:r w:rsidRPr="00D86881">
        <w:rPr>
          <w:rFonts w:ascii="Times New Roman" w:hAnsi="Times New Roman"/>
          <w:sz w:val="24"/>
          <w:szCs w:val="24"/>
        </w:rPr>
        <w:t xml:space="preserve">, United States District Court Judge John J. Tharp, Jr., U.S. District Court for Northern District of Illinois, Eastern Division, granted summary judgment to the </w:t>
      </w:r>
      <w:proofErr w:type="gramStart"/>
      <w:r w:rsidRPr="00D86881">
        <w:rPr>
          <w:rFonts w:ascii="Times New Roman" w:hAnsi="Times New Roman"/>
          <w:sz w:val="24"/>
          <w:szCs w:val="24"/>
        </w:rPr>
        <w:t>City</w:t>
      </w:r>
      <w:proofErr w:type="gramEnd"/>
      <w:r w:rsidRPr="00D86881">
        <w:rPr>
          <w:rFonts w:ascii="Times New Roman" w:hAnsi="Times New Roman"/>
          <w:sz w:val="24"/>
          <w:szCs w:val="24"/>
        </w:rPr>
        <w:t xml:space="preserve">.  The Court wrote: “In October 2021, the circuit court entered an agreed order retaining jurisdiction but </w:t>
      </w:r>
      <w:r w:rsidRPr="00D86881">
        <w:rPr>
          <w:rFonts w:ascii="Times New Roman" w:hAnsi="Times New Roman"/>
          <w:sz w:val="24"/>
          <w:szCs w:val="24"/>
        </w:rPr>
        <w:lastRenderedPageBreak/>
        <w:t>remanding the case to the Board; the court instructed the Board, on remand, to enter an amended decision containing additional information ‘as to the</w:t>
      </w:r>
    </w:p>
    <w:p w14:paraId="7F50C7AE"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facts, laws, and basis for the [outcome] and discipline issued.’ Agreed Order 1, ECF No. 23-2.</w:t>
      </w:r>
    </w:p>
    <w:p w14:paraId="590952B9"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The Board did so in April 2022, again terminating Strickland, and Strickland ‘determined not to</w:t>
      </w:r>
    </w:p>
    <w:p w14:paraId="55B76E6E"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 xml:space="preserve">pursue [further] action’ regarding the amended decision…. Strickland thus had a full and fair opportunity to litigate the claims presented here in state court…. This suit is therefore barred in its entirety by Illinois and federal law.” </w:t>
      </w:r>
      <w:hyperlink r:id="rId1464" w:history="1">
        <w:r w:rsidRPr="00D86881">
          <w:rPr>
            <w:rStyle w:val="Hyperlink"/>
            <w:rFonts w:ascii="Times New Roman" w:hAnsi="Times New Roman"/>
            <w:sz w:val="24"/>
            <w:szCs w:val="24"/>
          </w:rPr>
          <w:t>https://cases.justia.com/federal/district-courts/illinois/ilndce/1:2022cv01419/413396/37/0.pdf?ts=1732013718</w:t>
        </w:r>
      </w:hyperlink>
      <w:r w:rsidRPr="00D86881">
        <w:rPr>
          <w:rFonts w:ascii="Times New Roman" w:hAnsi="Times New Roman"/>
          <w:sz w:val="24"/>
          <w:szCs w:val="24"/>
        </w:rPr>
        <w:t xml:space="preserve"> </w:t>
      </w:r>
    </w:p>
    <w:p w14:paraId="57857CFE" w14:textId="77777777" w:rsidR="00D86881" w:rsidRPr="00D86881" w:rsidRDefault="00D86881" w:rsidP="004529D8">
      <w:pPr>
        <w:pStyle w:val="NoSpacing"/>
        <w:rPr>
          <w:rFonts w:ascii="Times New Roman" w:hAnsi="Times New Roman"/>
          <w:sz w:val="24"/>
          <w:szCs w:val="24"/>
        </w:rPr>
      </w:pPr>
    </w:p>
    <w:p w14:paraId="4658AA7A" w14:textId="77777777" w:rsidR="00D86881" w:rsidRPr="00D86881" w:rsidRDefault="00D86881" w:rsidP="00D86881">
      <w:pPr>
        <w:pStyle w:val="NoSpacing"/>
        <w:rPr>
          <w:rFonts w:ascii="Times New Roman" w:hAnsi="Times New Roman"/>
          <w:b/>
          <w:bCs/>
          <w:sz w:val="24"/>
          <w:szCs w:val="24"/>
        </w:rPr>
      </w:pPr>
      <w:r w:rsidRPr="00D86881">
        <w:rPr>
          <w:rFonts w:ascii="Times New Roman" w:hAnsi="Times New Roman"/>
          <w:b/>
          <w:sz w:val="24"/>
          <w:szCs w:val="24"/>
        </w:rPr>
        <w:t xml:space="preserve">Legal Lesson Learned:  If you are claiming retaliation, and appealing the Board’s termination to a state court, then do not voluntarily </w:t>
      </w:r>
      <w:proofErr w:type="gramStart"/>
      <w:r w:rsidRPr="00D86881">
        <w:rPr>
          <w:rFonts w:ascii="Times New Roman" w:hAnsi="Times New Roman"/>
          <w:b/>
          <w:sz w:val="24"/>
          <w:szCs w:val="24"/>
        </w:rPr>
        <w:t>dismissed</w:t>
      </w:r>
      <w:proofErr w:type="gramEnd"/>
      <w:r w:rsidRPr="00D86881">
        <w:rPr>
          <w:rFonts w:ascii="Times New Roman" w:hAnsi="Times New Roman"/>
          <w:b/>
          <w:sz w:val="24"/>
          <w:szCs w:val="24"/>
        </w:rPr>
        <w:t xml:space="preserve"> the state court case. </w:t>
      </w:r>
    </w:p>
    <w:p w14:paraId="5290D506" w14:textId="77777777" w:rsidR="00D86881" w:rsidRPr="00D86881" w:rsidRDefault="00D86881" w:rsidP="00D86881">
      <w:pPr>
        <w:pStyle w:val="NoSpacing"/>
        <w:rPr>
          <w:rFonts w:ascii="Times New Roman" w:hAnsi="Times New Roman"/>
          <w:sz w:val="24"/>
          <w:szCs w:val="24"/>
        </w:rPr>
      </w:pPr>
    </w:p>
    <w:p w14:paraId="194924B1" w14:textId="77777777" w:rsidR="00D86881" w:rsidRPr="00D86881" w:rsidRDefault="00D86881" w:rsidP="00D86881">
      <w:pPr>
        <w:pStyle w:val="NoSpacing"/>
        <w:ind w:left="720"/>
        <w:rPr>
          <w:rFonts w:ascii="Times New Roman" w:hAnsi="Times New Roman"/>
          <w:b/>
          <w:sz w:val="24"/>
          <w:szCs w:val="24"/>
        </w:rPr>
      </w:pPr>
      <w:r w:rsidRPr="00D86881">
        <w:rPr>
          <w:rFonts w:ascii="Times New Roman" w:hAnsi="Times New Roman"/>
          <w:sz w:val="24"/>
          <w:szCs w:val="24"/>
        </w:rPr>
        <w:t xml:space="preserve">Note: See article on this case, Nov. 19, 2024; </w:t>
      </w:r>
      <w:r w:rsidRPr="00D86881">
        <w:rPr>
          <w:rFonts w:ascii="Times New Roman" w:hAnsi="Times New Roman"/>
          <w:bCs/>
          <w:sz w:val="24"/>
          <w:szCs w:val="24"/>
        </w:rPr>
        <w:t xml:space="preserve">“Black Ex-Firefighter Barred </w:t>
      </w:r>
      <w:proofErr w:type="gramStart"/>
      <w:r w:rsidRPr="00D86881">
        <w:rPr>
          <w:rFonts w:ascii="Times New Roman" w:hAnsi="Times New Roman"/>
          <w:bCs/>
          <w:sz w:val="24"/>
          <w:szCs w:val="24"/>
        </w:rPr>
        <w:t>From</w:t>
      </w:r>
      <w:proofErr w:type="gramEnd"/>
      <w:r w:rsidRPr="00D86881">
        <w:rPr>
          <w:rFonts w:ascii="Times New Roman" w:hAnsi="Times New Roman"/>
          <w:bCs/>
          <w:sz w:val="24"/>
          <w:szCs w:val="24"/>
        </w:rPr>
        <w:t xml:space="preserve"> Bringing Racial Bias Lawsuit.” “</w:t>
      </w:r>
      <w:r w:rsidRPr="00D86881">
        <w:rPr>
          <w:rFonts w:ascii="Times New Roman" w:hAnsi="Times New Roman"/>
          <w:sz w:val="24"/>
          <w:szCs w:val="24"/>
        </w:rPr>
        <w:t>A Black firefighter fired from an Illinois city is legally barred from pursuing a federal discrimination and retaliation suit because had had already brought these claims in state court, a judge ruled.”</w:t>
      </w:r>
    </w:p>
    <w:p w14:paraId="26116827" w14:textId="77777777" w:rsidR="00D86881" w:rsidRPr="00E71CE2" w:rsidRDefault="00D86881" w:rsidP="00D86881">
      <w:pPr>
        <w:pStyle w:val="NoSpacing"/>
        <w:ind w:left="720"/>
        <w:rPr>
          <w:bCs/>
        </w:rPr>
      </w:pPr>
      <w:hyperlink r:id="rId1465" w:history="1">
        <w:r w:rsidRPr="00D86881">
          <w:rPr>
            <w:rStyle w:val="Hyperlink"/>
            <w:rFonts w:ascii="Times New Roman" w:hAnsi="Times New Roman"/>
            <w:sz w:val="24"/>
            <w:szCs w:val="24"/>
          </w:rPr>
          <w:t>https://news.bloomberglaw.com/us-law-week/black-ex-firefighter-barred-from-bringing-racial-bias-lawsuit</w:t>
        </w:r>
      </w:hyperlink>
      <w:r>
        <w:t xml:space="preserve"> </w:t>
      </w:r>
    </w:p>
    <w:p w14:paraId="54B1DC2E" w14:textId="77777777" w:rsidR="00D86881" w:rsidRDefault="00D86881" w:rsidP="004529D8">
      <w:pPr>
        <w:pStyle w:val="NoSpacing"/>
      </w:pPr>
    </w:p>
    <w:p w14:paraId="691C9103" w14:textId="77777777" w:rsidR="004529D8" w:rsidRDefault="004529D8" w:rsidP="00BC70A3">
      <w:pPr>
        <w:rPr>
          <w:rFonts w:ascii="Arial Black" w:hAnsi="Arial Black"/>
          <w:b/>
          <w:sz w:val="24"/>
          <w:szCs w:val="24"/>
        </w:rPr>
      </w:pPr>
    </w:p>
    <w:p w14:paraId="611BEE99" w14:textId="6E4DC8F6" w:rsidR="00D86881" w:rsidRDefault="00D86881" w:rsidP="00D86881">
      <w:pPr>
        <w:rPr>
          <w:rFonts w:ascii="Arial Black" w:hAnsi="Arial Black"/>
          <w:b/>
          <w:sz w:val="24"/>
          <w:szCs w:val="24"/>
        </w:rPr>
      </w:pPr>
      <w:r>
        <w:rPr>
          <w:rFonts w:ascii="Arial Black" w:hAnsi="Arial Black"/>
          <w:b/>
          <w:sz w:val="24"/>
          <w:szCs w:val="24"/>
        </w:rPr>
        <w:t>8-6</w:t>
      </w:r>
      <w:r w:rsidR="00AE05CE">
        <w:rPr>
          <w:rFonts w:ascii="Arial Black" w:hAnsi="Arial Black"/>
          <w:b/>
          <w:sz w:val="24"/>
          <w:szCs w:val="24"/>
        </w:rPr>
        <w:t>6</w:t>
      </w:r>
    </w:p>
    <w:p w14:paraId="0C0D370C" w14:textId="77777777" w:rsidR="009525F2" w:rsidRPr="00EC35DF" w:rsidRDefault="009525F2" w:rsidP="009525F2">
      <w:pPr>
        <w:rPr>
          <w:rFonts w:ascii="Times New Roman" w:hAnsi="Times New Roman"/>
          <w:b/>
          <w:sz w:val="24"/>
          <w:szCs w:val="24"/>
        </w:rPr>
      </w:pPr>
      <w:r>
        <w:rPr>
          <w:rFonts w:ascii="Arial Black" w:hAnsi="Arial Black"/>
          <w:b/>
          <w:sz w:val="28"/>
          <w:szCs w:val="28"/>
        </w:rPr>
        <w:t xml:space="preserve">WA: NOOSE OVER BLACK FF NECK –  FELLOW RECRUIT - NO HOSTILE </w:t>
      </w:r>
      <w:r w:rsidRPr="00EC35DF">
        <w:rPr>
          <w:rFonts w:ascii="Times New Roman" w:hAnsi="Times New Roman"/>
          <w:b/>
          <w:sz w:val="24"/>
          <w:szCs w:val="24"/>
        </w:rPr>
        <w:t>WORK ENVIRONMENT OR FAILURE TO SUPERVISE</w:t>
      </w:r>
    </w:p>
    <w:p w14:paraId="72057F1A" w14:textId="77777777" w:rsidR="009525F2" w:rsidRPr="00EC35DF" w:rsidRDefault="009525F2" w:rsidP="009525F2">
      <w:pPr>
        <w:pStyle w:val="NoSpacing"/>
        <w:rPr>
          <w:rFonts w:ascii="Times New Roman" w:hAnsi="Times New Roman"/>
          <w:sz w:val="24"/>
          <w:szCs w:val="24"/>
        </w:rPr>
      </w:pPr>
      <w:r w:rsidRPr="00EC35DF">
        <w:rPr>
          <w:rFonts w:ascii="Times New Roman" w:hAnsi="Times New Roman"/>
          <w:sz w:val="24"/>
          <w:szCs w:val="24"/>
        </w:rPr>
        <w:t xml:space="preserve">On Nov. 4, 2024, in </w:t>
      </w:r>
      <w:r w:rsidRPr="00EC35DF">
        <w:rPr>
          <w:rFonts w:ascii="Times New Roman" w:hAnsi="Times New Roman"/>
          <w:sz w:val="24"/>
          <w:szCs w:val="24"/>
          <w:u w:val="single"/>
        </w:rPr>
        <w:t>Elijah Page v. Clark County Fire District 6, et al</w:t>
      </w:r>
      <w:r w:rsidRPr="00EC35DF">
        <w:rPr>
          <w:rFonts w:ascii="Times New Roman" w:hAnsi="Times New Roman"/>
          <w:sz w:val="24"/>
          <w:szCs w:val="24"/>
        </w:rPr>
        <w:t xml:space="preserve">., United States District Court Judge David G. Estudillo. U.S. District Court, Western District of Washington, granted summary judgment to the Fire Chief and others. The Court wrote: “The Court cannot objectively conclude Page's work environment could be perceived as abusive because of Erickson's onetime misconduct.  Page's hostile work environment claim fails as a matter of law. *** And the examples of horseplay provided by the various witnesses did not resemble Erickson's conduct toward Page. Accordingly, Page's negligent supervision claim fails as a matter of law.” </w:t>
      </w:r>
      <w:hyperlink r:id="rId1466" w:history="1">
        <w:r w:rsidRPr="00EC35DF">
          <w:rPr>
            <w:rStyle w:val="Hyperlink"/>
            <w:rFonts w:ascii="Times New Roman" w:hAnsi="Times New Roman"/>
            <w:sz w:val="24"/>
            <w:szCs w:val="24"/>
          </w:rPr>
          <w:t>https://casetext.com/case/page-v-clark-cnty-fire-dist-5</w:t>
        </w:r>
      </w:hyperlink>
    </w:p>
    <w:p w14:paraId="2E0AF572" w14:textId="77777777" w:rsidR="00EC35DF" w:rsidRPr="00EC35DF" w:rsidRDefault="00EC35DF" w:rsidP="00EC35DF">
      <w:pPr>
        <w:pStyle w:val="NoSpacing"/>
        <w:rPr>
          <w:rFonts w:ascii="Times New Roman" w:hAnsi="Times New Roman"/>
          <w:b/>
          <w:sz w:val="24"/>
          <w:szCs w:val="24"/>
        </w:rPr>
      </w:pPr>
    </w:p>
    <w:p w14:paraId="19D0F430" w14:textId="1D5A58BC" w:rsidR="00EC35DF" w:rsidRPr="00EC35DF" w:rsidRDefault="00EC35DF" w:rsidP="00EC35DF">
      <w:pPr>
        <w:pStyle w:val="NoSpacing"/>
        <w:rPr>
          <w:rFonts w:ascii="Times New Roman" w:hAnsi="Times New Roman"/>
          <w:b/>
          <w:bCs/>
          <w:sz w:val="24"/>
          <w:szCs w:val="24"/>
        </w:rPr>
      </w:pPr>
      <w:r w:rsidRPr="00EC35DF">
        <w:rPr>
          <w:rFonts w:ascii="Times New Roman" w:hAnsi="Times New Roman"/>
          <w:b/>
          <w:sz w:val="24"/>
          <w:szCs w:val="24"/>
        </w:rPr>
        <w:t>Legal Lesson Learned: Stupid act</w:t>
      </w:r>
      <w:r w:rsidRPr="00EC35DF">
        <w:rPr>
          <w:rFonts w:ascii="Times New Roman" w:hAnsi="Times New Roman"/>
          <w:b/>
          <w:bCs/>
          <w:sz w:val="24"/>
          <w:szCs w:val="24"/>
        </w:rPr>
        <w:t xml:space="preserve"> by a fellow recruit</w:t>
      </w:r>
      <w:r w:rsidRPr="00EC35DF">
        <w:rPr>
          <w:rFonts w:ascii="Times New Roman" w:hAnsi="Times New Roman"/>
          <w:b/>
          <w:sz w:val="24"/>
          <w:szCs w:val="24"/>
        </w:rPr>
        <w:t xml:space="preserve">; not basis for lawsuit against the fire department or its officers. </w:t>
      </w:r>
    </w:p>
    <w:p w14:paraId="00349DF9" w14:textId="77777777" w:rsidR="00EC35DF" w:rsidRPr="00EC35DF" w:rsidRDefault="00EC35DF" w:rsidP="00EC35DF">
      <w:pPr>
        <w:pStyle w:val="NoSpacing"/>
        <w:rPr>
          <w:rFonts w:ascii="Times New Roman" w:hAnsi="Times New Roman"/>
          <w:sz w:val="24"/>
          <w:szCs w:val="24"/>
        </w:rPr>
      </w:pPr>
    </w:p>
    <w:p w14:paraId="44C28054" w14:textId="77777777" w:rsidR="00AE05CE" w:rsidRDefault="00AE05CE" w:rsidP="00AE05CE">
      <w:pPr>
        <w:rPr>
          <w:rFonts w:ascii="Arial Black" w:hAnsi="Arial Black"/>
          <w:b/>
          <w:sz w:val="24"/>
          <w:szCs w:val="24"/>
        </w:rPr>
      </w:pPr>
      <w:r>
        <w:rPr>
          <w:rFonts w:ascii="Arial Black" w:hAnsi="Arial Black"/>
          <w:b/>
          <w:sz w:val="24"/>
          <w:szCs w:val="24"/>
        </w:rPr>
        <w:t>8-65</w:t>
      </w:r>
    </w:p>
    <w:p w14:paraId="036842BE" w14:textId="2003BC0D" w:rsidR="00AE05CE" w:rsidRPr="00B93F18" w:rsidRDefault="00AE05CE" w:rsidP="00AE05CE">
      <w:pPr>
        <w:pStyle w:val="NoSpacing"/>
        <w:rPr>
          <w:rFonts w:ascii="Arial Black" w:hAnsi="Arial Black"/>
          <w:b/>
          <w:sz w:val="28"/>
          <w:szCs w:val="28"/>
        </w:rPr>
      </w:pPr>
      <w:r>
        <w:rPr>
          <w:rFonts w:ascii="Arial Black" w:hAnsi="Arial Black"/>
          <w:b/>
          <w:sz w:val="28"/>
          <w:szCs w:val="28"/>
        </w:rPr>
        <w:t xml:space="preserve">NJ: COVID-19 TRAINING – DEPUTY CHIEF MOCKED FF - ASIAN– PROMTLY INVESTIGATED - DC RETIRED - NO CASE </w:t>
      </w:r>
    </w:p>
    <w:p w14:paraId="51D533FC" w14:textId="77777777" w:rsidR="00AE05CE" w:rsidRDefault="00AE05CE" w:rsidP="00AE05CE">
      <w:pPr>
        <w:pStyle w:val="NoSpacing"/>
        <w:ind w:firstLine="720"/>
        <w:rPr>
          <w:b/>
        </w:rPr>
      </w:pPr>
    </w:p>
    <w:p w14:paraId="57217994" w14:textId="7B3836E4" w:rsidR="004529D8" w:rsidRPr="005F76D4" w:rsidRDefault="00AE05CE" w:rsidP="00AE05CE">
      <w:pPr>
        <w:rPr>
          <w:rFonts w:ascii="Times New Roman" w:hAnsi="Times New Roman"/>
          <w:b/>
          <w:sz w:val="24"/>
          <w:szCs w:val="24"/>
        </w:rPr>
      </w:pPr>
      <w:r w:rsidRPr="005F76D4">
        <w:rPr>
          <w:rFonts w:ascii="Times New Roman" w:hAnsi="Times New Roman"/>
          <w:sz w:val="24"/>
          <w:szCs w:val="24"/>
        </w:rPr>
        <w:t xml:space="preserve">On Nov. 1, 2024, in </w:t>
      </w:r>
      <w:r w:rsidRPr="005F76D4">
        <w:rPr>
          <w:rFonts w:ascii="Times New Roman" w:hAnsi="Times New Roman"/>
          <w:sz w:val="24"/>
          <w:szCs w:val="24"/>
          <w:u w:val="single"/>
        </w:rPr>
        <w:t>Timothy Burkhard v. City of Plainfield, et al</w:t>
      </w:r>
      <w:r w:rsidRPr="005F76D4">
        <w:rPr>
          <w:rFonts w:ascii="Times New Roman" w:hAnsi="Times New Roman"/>
          <w:sz w:val="24"/>
          <w:szCs w:val="24"/>
        </w:rPr>
        <w:t>., Superior Court of New Jersey, Appellate Division, the Court held (3 to 0; unpublished decision) that the trial court properly granted summary judgment to the defense.  The Court wrote: “Importantly, the record clearly shows plaintiff was not subjected to discrimination before or after the COVID-19 training incident.  [P]</w:t>
      </w:r>
      <w:proofErr w:type="spellStart"/>
      <w:r w:rsidRPr="005F76D4">
        <w:rPr>
          <w:rFonts w:ascii="Times New Roman" w:hAnsi="Times New Roman"/>
          <w:sz w:val="24"/>
          <w:szCs w:val="24"/>
        </w:rPr>
        <w:t>laintiff</w:t>
      </w:r>
      <w:proofErr w:type="spellEnd"/>
      <w:r w:rsidRPr="005F76D4">
        <w:rPr>
          <w:rFonts w:ascii="Times New Roman" w:hAnsi="Times New Roman"/>
          <w:sz w:val="24"/>
          <w:szCs w:val="24"/>
        </w:rPr>
        <w:t xml:space="preserve"> did not suffer any tangible change in his position, duties, or compensation. Indeed, the record shows the fire department supported him. In these circumstances, we do not believe that the failure to deliver the written reprimand renders defendant's overall </w:t>
      </w:r>
      <w:r w:rsidRPr="005F76D4">
        <w:rPr>
          <w:rFonts w:ascii="Times New Roman" w:hAnsi="Times New Roman"/>
          <w:sz w:val="24"/>
          <w:szCs w:val="24"/>
        </w:rPr>
        <w:lastRenderedPageBreak/>
        <w:t xml:space="preserve">response ineffective for purposes of the affirmative defense.”  </w:t>
      </w:r>
      <w:hyperlink r:id="rId1467" w:history="1">
        <w:r w:rsidRPr="005F76D4">
          <w:rPr>
            <w:rStyle w:val="Hyperlink"/>
            <w:rFonts w:ascii="Times New Roman" w:hAnsi="Times New Roman"/>
            <w:sz w:val="24"/>
            <w:szCs w:val="24"/>
          </w:rPr>
          <w:t>https://www.njcourts.gov/system/files/court-opinions/2024/a3173-22.pdf</w:t>
        </w:r>
      </w:hyperlink>
    </w:p>
    <w:p w14:paraId="5940EA97" w14:textId="077F5B18" w:rsidR="005F76D4" w:rsidRPr="005F76D4" w:rsidRDefault="005F76D4" w:rsidP="005F76D4">
      <w:pPr>
        <w:pStyle w:val="NoSpacing"/>
        <w:rPr>
          <w:rFonts w:ascii="Times New Roman" w:hAnsi="Times New Roman"/>
          <w:b/>
          <w:sz w:val="24"/>
          <w:szCs w:val="24"/>
        </w:rPr>
      </w:pPr>
      <w:r w:rsidRPr="005F76D4">
        <w:rPr>
          <w:rFonts w:ascii="Times New Roman" w:hAnsi="Times New Roman"/>
          <w:b/>
          <w:sz w:val="24"/>
          <w:szCs w:val="24"/>
        </w:rPr>
        <w:t xml:space="preserve">Legal Lesson Learned: The incident was promptly investigated, and </w:t>
      </w:r>
      <w:r w:rsidR="009652EC">
        <w:rPr>
          <w:rFonts w:ascii="Times New Roman" w:hAnsi="Times New Roman"/>
          <w:b/>
          <w:sz w:val="24"/>
          <w:szCs w:val="24"/>
        </w:rPr>
        <w:t xml:space="preserve">the </w:t>
      </w:r>
      <w:r w:rsidRPr="005F76D4">
        <w:rPr>
          <w:rFonts w:ascii="Times New Roman" w:hAnsi="Times New Roman"/>
          <w:b/>
          <w:sz w:val="24"/>
          <w:szCs w:val="24"/>
        </w:rPr>
        <w:t>plaintiff did not suffer any tangible change in his position, duties, or compensation.</w:t>
      </w:r>
    </w:p>
    <w:p w14:paraId="2A747E45" w14:textId="77777777" w:rsidR="005F76D4" w:rsidRDefault="005F76D4" w:rsidP="005F76D4">
      <w:pPr>
        <w:pStyle w:val="NoSpacing"/>
        <w:ind w:firstLine="720"/>
        <w:rPr>
          <w:bCs/>
        </w:rPr>
      </w:pPr>
    </w:p>
    <w:p w14:paraId="10341B9B" w14:textId="77777777" w:rsidR="004529D8" w:rsidRDefault="004529D8" w:rsidP="00BC70A3">
      <w:pPr>
        <w:rPr>
          <w:rFonts w:ascii="Arial Black" w:hAnsi="Arial Black"/>
          <w:b/>
          <w:sz w:val="24"/>
          <w:szCs w:val="24"/>
        </w:rPr>
      </w:pPr>
    </w:p>
    <w:p w14:paraId="0E57D29B" w14:textId="3A41FA82" w:rsidR="00742F52" w:rsidRDefault="00742F52" w:rsidP="00BC70A3">
      <w:pPr>
        <w:rPr>
          <w:rFonts w:ascii="Arial Black" w:hAnsi="Arial Black"/>
          <w:b/>
          <w:sz w:val="24"/>
          <w:szCs w:val="24"/>
        </w:rPr>
      </w:pPr>
      <w:r>
        <w:rPr>
          <w:rFonts w:ascii="Arial Black" w:hAnsi="Arial Black"/>
          <w:b/>
          <w:sz w:val="24"/>
          <w:szCs w:val="24"/>
        </w:rPr>
        <w:t>8-64</w:t>
      </w:r>
    </w:p>
    <w:p w14:paraId="032C9F82" w14:textId="77777777" w:rsidR="00742F52" w:rsidRPr="00E33095" w:rsidRDefault="00742F52" w:rsidP="00742F52">
      <w:pPr>
        <w:rPr>
          <w:rFonts w:ascii="Times New Roman" w:hAnsi="Times New Roman"/>
          <w:b/>
          <w:bCs/>
          <w:sz w:val="24"/>
          <w:szCs w:val="24"/>
        </w:rPr>
      </w:pPr>
      <w:r w:rsidRPr="00E33095">
        <w:rPr>
          <w:rFonts w:ascii="Times New Roman" w:hAnsi="Times New Roman"/>
          <w:b/>
          <w:bCs/>
          <w:sz w:val="24"/>
          <w:szCs w:val="24"/>
        </w:rPr>
        <w:t>IL: CHICAFO FF – FACEBOOK POSTS RACIST – CITIZEN COMPLAINTS - TERMINATION UPHELD</w:t>
      </w:r>
    </w:p>
    <w:p w14:paraId="61EFEA82" w14:textId="77777777" w:rsidR="00742F52" w:rsidRPr="00E33095" w:rsidRDefault="00742F52" w:rsidP="00742F52">
      <w:pPr>
        <w:pStyle w:val="NoSpacing"/>
        <w:rPr>
          <w:rFonts w:ascii="Times New Roman" w:hAnsi="Times New Roman"/>
          <w:sz w:val="24"/>
          <w:szCs w:val="24"/>
        </w:rPr>
      </w:pPr>
      <w:r w:rsidRPr="00E33095">
        <w:rPr>
          <w:rFonts w:ascii="Times New Roman" w:hAnsi="Times New Roman"/>
          <w:sz w:val="24"/>
          <w:szCs w:val="24"/>
        </w:rPr>
        <w:t xml:space="preserve">On Oct. 7, 2024, </w:t>
      </w:r>
      <w:r w:rsidRPr="00E33095">
        <w:rPr>
          <w:rFonts w:ascii="Times New Roman" w:hAnsi="Times New Roman"/>
          <w:sz w:val="24"/>
          <w:szCs w:val="24"/>
          <w:u w:val="single"/>
        </w:rPr>
        <w:t>in Sam Inendino v. Annette Nancy-Holt, Brian Casey, and the City of Chicago</w:t>
      </w:r>
      <w:r w:rsidRPr="00E33095">
        <w:rPr>
          <w:rFonts w:ascii="Times New Roman" w:hAnsi="Times New Roman"/>
          <w:sz w:val="24"/>
          <w:szCs w:val="24"/>
        </w:rPr>
        <w:t xml:space="preserve">, U.S. District Court Judge Matthew F. Kennelly, U.S. District Court for the Northern District of Illinois, held: “Sam Inendino alleges that Annette Nance-Holt, Brian Casey, and the </w:t>
      </w:r>
      <w:proofErr w:type="gramStart"/>
      <w:r w:rsidRPr="00E33095">
        <w:rPr>
          <w:rFonts w:ascii="Times New Roman" w:hAnsi="Times New Roman"/>
          <w:sz w:val="24"/>
          <w:szCs w:val="24"/>
        </w:rPr>
        <w:t>City</w:t>
      </w:r>
      <w:proofErr w:type="gramEnd"/>
      <w:r w:rsidRPr="00E33095">
        <w:rPr>
          <w:rFonts w:ascii="Times New Roman" w:hAnsi="Times New Roman"/>
          <w:sz w:val="24"/>
          <w:szCs w:val="24"/>
        </w:rPr>
        <w:t xml:space="preserve"> of</w:t>
      </w:r>
    </w:p>
    <w:p w14:paraId="4C04647B" w14:textId="77777777" w:rsidR="00742F52" w:rsidRPr="00E33095" w:rsidRDefault="00742F52" w:rsidP="00742F52">
      <w:pPr>
        <w:pStyle w:val="NoSpacing"/>
        <w:rPr>
          <w:rFonts w:ascii="Times New Roman" w:hAnsi="Times New Roman"/>
          <w:sz w:val="24"/>
          <w:szCs w:val="24"/>
        </w:rPr>
      </w:pPr>
      <w:r w:rsidRPr="00E33095">
        <w:rPr>
          <w:rFonts w:ascii="Times New Roman" w:hAnsi="Times New Roman"/>
          <w:sz w:val="24"/>
          <w:szCs w:val="24"/>
        </w:rPr>
        <w:t>Chicago violated his First Amendment rights when he was terminated from the Chicago</w:t>
      </w:r>
    </w:p>
    <w:p w14:paraId="5F8F98B3" w14:textId="77777777" w:rsidR="00742F52" w:rsidRPr="00E33095" w:rsidRDefault="00742F52" w:rsidP="00742F52">
      <w:pPr>
        <w:pStyle w:val="NoSpacing"/>
        <w:rPr>
          <w:rFonts w:ascii="Times New Roman" w:hAnsi="Times New Roman"/>
          <w:sz w:val="24"/>
          <w:szCs w:val="24"/>
        </w:rPr>
      </w:pPr>
      <w:r w:rsidRPr="00E33095">
        <w:rPr>
          <w:rFonts w:ascii="Times New Roman" w:hAnsi="Times New Roman"/>
          <w:sz w:val="24"/>
          <w:szCs w:val="24"/>
        </w:rPr>
        <w:t xml:space="preserve">Fire Department (CFD) for offensive public statements he made on Facebook. The parties have filed cross-motions for summary judgment. For the following reasons, the Court grants summary judgment in favor of defendants Nance-Holt, Casey, and the City of Chicago.” </w:t>
      </w:r>
    </w:p>
    <w:p w14:paraId="22E1F8F3" w14:textId="77777777" w:rsidR="00742F52" w:rsidRPr="00E33095" w:rsidRDefault="00742F52" w:rsidP="00742F52">
      <w:pPr>
        <w:pStyle w:val="NoSpacing"/>
        <w:rPr>
          <w:rFonts w:ascii="Times New Roman" w:hAnsi="Times New Roman"/>
          <w:sz w:val="24"/>
          <w:szCs w:val="24"/>
        </w:rPr>
      </w:pPr>
      <w:hyperlink r:id="rId1468" w:history="1">
        <w:r w:rsidRPr="00E33095">
          <w:rPr>
            <w:rStyle w:val="Hyperlink"/>
            <w:rFonts w:ascii="Times New Roman" w:hAnsi="Times New Roman"/>
            <w:sz w:val="24"/>
            <w:szCs w:val="24"/>
          </w:rPr>
          <w:t>https://cases.justia.com/federal/district-courts/illinois/ilndce/1:2022cv04982/419212/136/0.pdf?ts=1728381206</w:t>
        </w:r>
      </w:hyperlink>
      <w:r w:rsidRPr="00E33095">
        <w:rPr>
          <w:rFonts w:ascii="Times New Roman" w:hAnsi="Times New Roman"/>
          <w:sz w:val="24"/>
          <w:szCs w:val="24"/>
        </w:rPr>
        <w:t xml:space="preserve"> </w:t>
      </w:r>
    </w:p>
    <w:p w14:paraId="359729D5" w14:textId="77777777" w:rsidR="00742F52" w:rsidRPr="00E33095" w:rsidRDefault="00742F52" w:rsidP="00BC70A3">
      <w:pPr>
        <w:rPr>
          <w:rFonts w:ascii="Times New Roman" w:hAnsi="Times New Roman"/>
          <w:b/>
          <w:sz w:val="24"/>
          <w:szCs w:val="24"/>
        </w:rPr>
      </w:pPr>
    </w:p>
    <w:p w14:paraId="526D0989" w14:textId="77777777" w:rsidR="00E33095" w:rsidRPr="00E33095" w:rsidRDefault="00E33095" w:rsidP="00E33095">
      <w:pPr>
        <w:pStyle w:val="NoSpacing"/>
        <w:rPr>
          <w:rFonts w:ascii="Times New Roman" w:hAnsi="Times New Roman"/>
          <w:b/>
          <w:bCs/>
          <w:sz w:val="24"/>
          <w:szCs w:val="24"/>
        </w:rPr>
      </w:pPr>
      <w:r w:rsidRPr="00E33095">
        <w:rPr>
          <w:rFonts w:ascii="Times New Roman" w:hAnsi="Times New Roman"/>
          <w:b/>
          <w:sz w:val="24"/>
          <w:szCs w:val="24"/>
        </w:rPr>
        <w:t xml:space="preserve">Legal Lesson Learned: Race-based comments on Facebook or other social media can result in termination. </w:t>
      </w:r>
    </w:p>
    <w:p w14:paraId="61CEB7C6" w14:textId="77777777" w:rsidR="00E33095" w:rsidRPr="00E33095" w:rsidRDefault="00E33095" w:rsidP="00BC70A3">
      <w:pPr>
        <w:rPr>
          <w:rFonts w:ascii="Times New Roman" w:hAnsi="Times New Roman"/>
          <w:b/>
          <w:sz w:val="24"/>
          <w:szCs w:val="24"/>
        </w:rPr>
      </w:pPr>
    </w:p>
    <w:p w14:paraId="1419038C" w14:textId="77777777" w:rsidR="00742F52" w:rsidRDefault="00742F52" w:rsidP="00BC70A3">
      <w:pPr>
        <w:rPr>
          <w:rFonts w:ascii="Arial Black" w:hAnsi="Arial Black"/>
          <w:b/>
          <w:sz w:val="24"/>
          <w:szCs w:val="24"/>
        </w:rPr>
      </w:pPr>
    </w:p>
    <w:p w14:paraId="2BEFB9D0" w14:textId="5A373C81" w:rsidR="005904B5" w:rsidRDefault="005904B5" w:rsidP="00BC70A3">
      <w:pPr>
        <w:rPr>
          <w:rFonts w:ascii="Arial Black" w:hAnsi="Arial Black"/>
          <w:b/>
          <w:sz w:val="24"/>
          <w:szCs w:val="24"/>
        </w:rPr>
      </w:pPr>
      <w:r>
        <w:rPr>
          <w:rFonts w:ascii="Arial Black" w:hAnsi="Arial Black"/>
          <w:b/>
          <w:sz w:val="24"/>
          <w:szCs w:val="24"/>
        </w:rPr>
        <w:t>8-63</w:t>
      </w:r>
    </w:p>
    <w:p w14:paraId="76867384" w14:textId="77777777" w:rsidR="005E497B" w:rsidRDefault="005E497B" w:rsidP="005E497B">
      <w:pPr>
        <w:rPr>
          <w:rFonts w:ascii="Arial Black" w:hAnsi="Arial Black"/>
          <w:b/>
          <w:bCs/>
          <w:sz w:val="28"/>
        </w:rPr>
      </w:pPr>
      <w:r>
        <w:rPr>
          <w:rFonts w:ascii="Arial Black" w:hAnsi="Arial Black"/>
          <w:b/>
          <w:bCs/>
          <w:sz w:val="28"/>
        </w:rPr>
        <w:t>NY:  FDNY - CLASS ACTION APPROVED IN LAWSUIT BY 4,500 – 5,000 EMS -  55% NON-WHITE, 24% FEMALE</w:t>
      </w:r>
    </w:p>
    <w:p w14:paraId="1F0A741C" w14:textId="77777777" w:rsidR="005E497B" w:rsidRPr="005E497B" w:rsidRDefault="005E497B" w:rsidP="005E497B">
      <w:pPr>
        <w:pStyle w:val="NoSpacing"/>
        <w:rPr>
          <w:rFonts w:ascii="Times New Roman" w:hAnsi="Times New Roman"/>
          <w:sz w:val="24"/>
          <w:szCs w:val="24"/>
        </w:rPr>
      </w:pPr>
      <w:r w:rsidRPr="005E497B">
        <w:rPr>
          <w:rFonts w:ascii="Times New Roman" w:hAnsi="Times New Roman"/>
          <w:sz w:val="24"/>
          <w:szCs w:val="24"/>
        </w:rPr>
        <w:t xml:space="preserve">On September 24, 2024, in </w:t>
      </w:r>
      <w:r w:rsidRPr="005E497B">
        <w:rPr>
          <w:rFonts w:ascii="Times New Roman" w:hAnsi="Times New Roman"/>
          <w:sz w:val="24"/>
          <w:szCs w:val="24"/>
          <w:u w:val="single"/>
        </w:rPr>
        <w:t>Local 2507, Uniformed EMTs, Paramedics &amp; Fire Inspectors, et al. v. City of New York</w:t>
      </w:r>
      <w:r w:rsidRPr="005E497B">
        <w:rPr>
          <w:rFonts w:ascii="Times New Roman" w:hAnsi="Times New Roman"/>
          <w:sz w:val="24"/>
          <w:szCs w:val="24"/>
        </w:rPr>
        <w:t xml:space="preserve">, United States District Court Judge Analisa Torrres, U..S. District Court for the Southern District of New York, granted the plaintiffs’ motion for class certification and legal counsel for the class.  The lawsuit was filed in 2022, and pre-trial discovery has produced sufficient evidence for case to proceed as a class action.  The Court wrote: “Plaintiffs claim that the differences in compensation result from ‘the pronounced difference in demographics’ between EMS and Fire First Responders: While EMS First Responders are ‘at least 55% non-white and approximately 24% female,’ only ‘14% of Fire First Responders are non-white’ and ‘less than 1%’ are female. Id. ¶¶ 56, 99.”  </w:t>
      </w:r>
      <w:hyperlink r:id="rId1469" w:history="1">
        <w:r w:rsidRPr="005E497B">
          <w:rPr>
            <w:rStyle w:val="Hyperlink"/>
            <w:rFonts w:ascii="Times New Roman" w:hAnsi="Times New Roman"/>
            <w:sz w:val="24"/>
            <w:szCs w:val="24"/>
          </w:rPr>
          <w:t>https://local2507.com/wp-content/uploads/2024/09/Decision-on-Class-Action.pdf</w:t>
        </w:r>
      </w:hyperlink>
      <w:r w:rsidRPr="005E497B">
        <w:rPr>
          <w:rFonts w:ascii="Times New Roman" w:hAnsi="Times New Roman"/>
          <w:sz w:val="24"/>
          <w:szCs w:val="24"/>
        </w:rPr>
        <w:t xml:space="preserve"> </w:t>
      </w:r>
    </w:p>
    <w:p w14:paraId="07E017FE" w14:textId="77777777" w:rsidR="005E497B" w:rsidRDefault="005E497B" w:rsidP="005E497B">
      <w:pPr>
        <w:rPr>
          <w:rFonts w:ascii="Times New Roman" w:hAnsi="Times New Roman"/>
          <w:sz w:val="24"/>
          <w:szCs w:val="24"/>
        </w:rPr>
      </w:pPr>
    </w:p>
    <w:p w14:paraId="1661E87F" w14:textId="65EE73DF" w:rsidR="005E497B" w:rsidRPr="005E497B" w:rsidRDefault="005E497B" w:rsidP="005E497B">
      <w:pPr>
        <w:rPr>
          <w:rFonts w:ascii="Times New Roman" w:hAnsi="Times New Roman"/>
          <w:sz w:val="24"/>
          <w:szCs w:val="24"/>
        </w:rPr>
      </w:pPr>
      <w:r w:rsidRPr="005E497B">
        <w:rPr>
          <w:rFonts w:ascii="Times New Roman" w:hAnsi="Times New Roman"/>
          <w:sz w:val="24"/>
          <w:szCs w:val="24"/>
        </w:rPr>
        <w:t>THE COURT HELD:</w:t>
      </w:r>
    </w:p>
    <w:p w14:paraId="4521021D" w14:textId="77777777" w:rsidR="005E497B" w:rsidRPr="005E497B" w:rsidRDefault="005E497B" w:rsidP="005E497B">
      <w:pPr>
        <w:pStyle w:val="NoSpacing"/>
        <w:ind w:firstLine="720"/>
        <w:rPr>
          <w:rFonts w:ascii="Times New Roman" w:hAnsi="Times New Roman"/>
          <w:sz w:val="24"/>
          <w:szCs w:val="24"/>
        </w:rPr>
      </w:pPr>
      <w:r w:rsidRPr="005E497B">
        <w:rPr>
          <w:rFonts w:ascii="Times New Roman" w:hAnsi="Times New Roman"/>
          <w:sz w:val="24"/>
          <w:szCs w:val="24"/>
        </w:rPr>
        <w:t>“In support of their disparate impact claims, Plaintiffs offer statistical evidence of</w:t>
      </w:r>
    </w:p>
    <w:p w14:paraId="1E5AF24C"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 xml:space="preserve">racial, sex/gender, and compensation disparities among EMS and Fire First Responders. See Landis Report at 3. The </w:t>
      </w:r>
      <w:proofErr w:type="gramStart"/>
      <w:r w:rsidRPr="005E497B">
        <w:rPr>
          <w:rFonts w:ascii="Times New Roman" w:hAnsi="Times New Roman"/>
          <w:sz w:val="24"/>
          <w:szCs w:val="24"/>
        </w:rPr>
        <w:t>City</w:t>
      </w:r>
      <w:proofErr w:type="gramEnd"/>
      <w:r w:rsidRPr="005E497B">
        <w:rPr>
          <w:rFonts w:ascii="Times New Roman" w:hAnsi="Times New Roman"/>
          <w:sz w:val="24"/>
          <w:szCs w:val="24"/>
        </w:rPr>
        <w:t xml:space="preserve"> does not dispute </w:t>
      </w:r>
      <w:proofErr w:type="gramStart"/>
      <w:r w:rsidRPr="005E497B">
        <w:rPr>
          <w:rFonts w:ascii="Times New Roman" w:hAnsi="Times New Roman"/>
          <w:sz w:val="24"/>
          <w:szCs w:val="24"/>
        </w:rPr>
        <w:t>the statistical</w:t>
      </w:r>
      <w:proofErr w:type="gramEnd"/>
      <w:r w:rsidRPr="005E497B">
        <w:rPr>
          <w:rFonts w:ascii="Times New Roman" w:hAnsi="Times New Roman"/>
          <w:sz w:val="24"/>
          <w:szCs w:val="24"/>
        </w:rPr>
        <w:t xml:space="preserve"> evidence.</w:t>
      </w:r>
    </w:p>
    <w:p w14:paraId="220E0655" w14:textId="77777777" w:rsidR="005E497B" w:rsidRPr="005E497B" w:rsidRDefault="005E497B" w:rsidP="005E497B">
      <w:pPr>
        <w:pStyle w:val="NoSpacing"/>
        <w:ind w:left="720"/>
        <w:rPr>
          <w:rFonts w:ascii="Times New Roman" w:hAnsi="Times New Roman"/>
          <w:sz w:val="24"/>
          <w:szCs w:val="24"/>
        </w:rPr>
      </w:pPr>
    </w:p>
    <w:p w14:paraId="0F15B19D"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w:t>
      </w:r>
    </w:p>
    <w:p w14:paraId="4E4B997E" w14:textId="77777777" w:rsidR="005E497B" w:rsidRPr="005E497B" w:rsidRDefault="005E497B" w:rsidP="005E497B">
      <w:pPr>
        <w:pStyle w:val="NoSpacing"/>
        <w:ind w:firstLine="720"/>
        <w:rPr>
          <w:rFonts w:ascii="Times New Roman" w:hAnsi="Times New Roman"/>
          <w:sz w:val="24"/>
          <w:szCs w:val="24"/>
        </w:rPr>
      </w:pPr>
      <w:r w:rsidRPr="005E497B">
        <w:rPr>
          <w:rFonts w:ascii="Times New Roman" w:hAnsi="Times New Roman"/>
          <w:sz w:val="24"/>
          <w:szCs w:val="24"/>
        </w:rPr>
        <w:lastRenderedPageBreak/>
        <w:t>Plaintiffs have also offered substantial proof that the significantly less diverse Fire</w:t>
      </w:r>
    </w:p>
    <w:p w14:paraId="454C5F39" w14:textId="77777777" w:rsidR="005E497B" w:rsidRPr="005E497B" w:rsidRDefault="005E497B" w:rsidP="005E497B">
      <w:pPr>
        <w:pStyle w:val="NoSpacing"/>
        <w:ind w:left="720"/>
        <w:rPr>
          <w:rFonts w:ascii="Times New Roman" w:hAnsi="Times New Roman"/>
          <w:sz w:val="24"/>
          <w:szCs w:val="24"/>
        </w:rPr>
      </w:pPr>
      <w:proofErr w:type="gramStart"/>
      <w:r w:rsidRPr="005E497B">
        <w:rPr>
          <w:rFonts w:ascii="Times New Roman" w:hAnsi="Times New Roman"/>
          <w:sz w:val="24"/>
          <w:szCs w:val="24"/>
        </w:rPr>
        <w:t>First</w:t>
      </w:r>
      <w:proofErr w:type="gramEnd"/>
      <w:r w:rsidRPr="005E497B">
        <w:rPr>
          <w:rFonts w:ascii="Times New Roman" w:hAnsi="Times New Roman"/>
          <w:sz w:val="24"/>
          <w:szCs w:val="24"/>
        </w:rPr>
        <w:t xml:space="preserve"> Responders are the appropriate comparator to substantiate an inference of discriminatory intent.</w:t>
      </w:r>
    </w:p>
    <w:p w14:paraId="1DEDEF7E" w14:textId="77777777" w:rsidR="005E497B" w:rsidRPr="005E497B" w:rsidRDefault="005E497B" w:rsidP="005E497B">
      <w:pPr>
        <w:pStyle w:val="NoSpacing"/>
        <w:ind w:left="720"/>
        <w:rPr>
          <w:rFonts w:ascii="Times New Roman" w:hAnsi="Times New Roman"/>
          <w:sz w:val="24"/>
          <w:szCs w:val="24"/>
        </w:rPr>
      </w:pPr>
    </w:p>
    <w:p w14:paraId="4C0969D2"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w:t>
      </w:r>
    </w:p>
    <w:p w14:paraId="202D8E35" w14:textId="77777777" w:rsidR="005E497B" w:rsidRPr="005E497B" w:rsidRDefault="005E497B" w:rsidP="005E497B">
      <w:pPr>
        <w:pStyle w:val="NoSpacing"/>
        <w:rPr>
          <w:rFonts w:ascii="Times New Roman" w:hAnsi="Times New Roman"/>
          <w:sz w:val="24"/>
          <w:szCs w:val="24"/>
        </w:rPr>
      </w:pPr>
    </w:p>
    <w:p w14:paraId="0EB556D5" w14:textId="77777777" w:rsidR="005E497B" w:rsidRPr="005E497B" w:rsidRDefault="005E497B" w:rsidP="005E497B">
      <w:pPr>
        <w:pStyle w:val="NoSpacing"/>
        <w:ind w:firstLine="720"/>
        <w:rPr>
          <w:rFonts w:ascii="Times New Roman" w:hAnsi="Times New Roman"/>
          <w:sz w:val="24"/>
          <w:szCs w:val="24"/>
        </w:rPr>
      </w:pPr>
      <w:r w:rsidRPr="005E497B">
        <w:rPr>
          <w:rFonts w:ascii="Times New Roman" w:hAnsi="Times New Roman"/>
          <w:sz w:val="24"/>
          <w:szCs w:val="24"/>
        </w:rPr>
        <w:t xml:space="preserve">In short, Plaintiffs offer significant proof that the </w:t>
      </w:r>
      <w:proofErr w:type="gramStart"/>
      <w:r w:rsidRPr="005E497B">
        <w:rPr>
          <w:rFonts w:ascii="Times New Roman" w:hAnsi="Times New Roman"/>
          <w:sz w:val="24"/>
          <w:szCs w:val="24"/>
        </w:rPr>
        <w:t>City</w:t>
      </w:r>
      <w:proofErr w:type="gramEnd"/>
      <w:r w:rsidRPr="005E497B">
        <w:rPr>
          <w:rFonts w:ascii="Times New Roman" w:hAnsi="Times New Roman"/>
          <w:sz w:val="24"/>
          <w:szCs w:val="24"/>
        </w:rPr>
        <w:t xml:space="preserve"> has ‘operated under a general</w:t>
      </w:r>
    </w:p>
    <w:p w14:paraId="5DD0D91B"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 xml:space="preserve">policy of discrimination.’ Dukes, 564 U.S. at 353 [Wal-Mart Stores, Inc. v. Dukes, 564 U.S. 338 (2011); </w:t>
      </w:r>
      <w:hyperlink r:id="rId1470" w:history="1">
        <w:r w:rsidRPr="005E497B">
          <w:rPr>
            <w:rStyle w:val="Hyperlink"/>
            <w:rFonts w:ascii="Times New Roman" w:hAnsi="Times New Roman"/>
            <w:sz w:val="24"/>
            <w:szCs w:val="24"/>
          </w:rPr>
          <w:t>https://supreme.justia.com/cases/federal/us/564/338/</w:t>
        </w:r>
      </w:hyperlink>
      <w:r w:rsidRPr="005E497B">
        <w:rPr>
          <w:rFonts w:ascii="Times New Roman" w:hAnsi="Times New Roman"/>
          <w:sz w:val="24"/>
          <w:szCs w:val="24"/>
        </w:rPr>
        <w:t xml:space="preserve"> ].  That includes substantial (and in some cases unrebutted) evidence of common policies that disparately impact the Class and Subclasses; statistical analyses showing that the EMS First Responders are more diverse by race and sex/gender than Fire First Responders and are paid significantly less; and expert analyses showing that EMS and Fire First Responders perform similar jobs and that no job-relevant rationale explains the difference in compensation. Such ‘generalized proof,’ Moore, 306 F.3d at 1252, is more than ‘capable of generating common answers’ to issues ‘central’ to the parties’ dispute, Dukes, 564 U.S. at 350.”</w:t>
      </w:r>
    </w:p>
    <w:p w14:paraId="3025D5B3" w14:textId="77777777" w:rsidR="005E497B" w:rsidRPr="005E497B" w:rsidRDefault="005E497B" w:rsidP="005E497B">
      <w:pPr>
        <w:pStyle w:val="NoSpacing"/>
        <w:rPr>
          <w:rFonts w:ascii="Times New Roman" w:hAnsi="Times New Roman"/>
          <w:sz w:val="24"/>
          <w:szCs w:val="24"/>
        </w:rPr>
      </w:pPr>
    </w:p>
    <w:p w14:paraId="45F0841B" w14:textId="77777777" w:rsidR="005E497B" w:rsidRPr="005E497B" w:rsidRDefault="005E497B" w:rsidP="005E497B">
      <w:pPr>
        <w:pStyle w:val="NoSpacing"/>
        <w:rPr>
          <w:rFonts w:ascii="Times New Roman" w:hAnsi="Times New Roman"/>
          <w:b/>
          <w:bCs/>
          <w:sz w:val="24"/>
          <w:szCs w:val="24"/>
        </w:rPr>
      </w:pPr>
      <w:r w:rsidRPr="005E497B">
        <w:rPr>
          <w:rFonts w:ascii="Times New Roman" w:hAnsi="Times New Roman"/>
          <w:b/>
          <w:bCs/>
          <w:sz w:val="24"/>
          <w:szCs w:val="24"/>
        </w:rPr>
        <w:t xml:space="preserve">Legal Lesson Learned: This is a massive class action lawsuit that could result in significant </w:t>
      </w:r>
      <w:proofErr w:type="gramStart"/>
      <w:r w:rsidRPr="005E497B">
        <w:rPr>
          <w:rFonts w:ascii="Times New Roman" w:hAnsi="Times New Roman"/>
          <w:b/>
          <w:bCs/>
          <w:sz w:val="24"/>
          <w:szCs w:val="24"/>
        </w:rPr>
        <w:t>damages</w:t>
      </w:r>
      <w:proofErr w:type="gramEnd"/>
      <w:r w:rsidRPr="005E497B">
        <w:rPr>
          <w:rFonts w:ascii="Times New Roman" w:hAnsi="Times New Roman"/>
          <w:b/>
          <w:bCs/>
          <w:sz w:val="24"/>
          <w:szCs w:val="24"/>
        </w:rPr>
        <w:t xml:space="preserve">. </w:t>
      </w:r>
    </w:p>
    <w:p w14:paraId="3708E078" w14:textId="77777777" w:rsidR="005E497B" w:rsidRPr="005E32B9" w:rsidRDefault="005E497B" w:rsidP="005E497B">
      <w:pPr>
        <w:pStyle w:val="NoSpacing"/>
      </w:pPr>
    </w:p>
    <w:p w14:paraId="6A981B35" w14:textId="77777777" w:rsidR="005E497B" w:rsidRDefault="005E497B" w:rsidP="005E497B">
      <w:pPr>
        <w:pStyle w:val="NoSpacing"/>
      </w:pPr>
    </w:p>
    <w:p w14:paraId="181202DB" w14:textId="77777777" w:rsidR="005904B5" w:rsidRDefault="005904B5" w:rsidP="00BC70A3">
      <w:pPr>
        <w:rPr>
          <w:rFonts w:ascii="Arial Black" w:hAnsi="Arial Black"/>
          <w:b/>
          <w:sz w:val="24"/>
          <w:szCs w:val="24"/>
        </w:rPr>
      </w:pPr>
    </w:p>
    <w:p w14:paraId="001C0757" w14:textId="77777777" w:rsidR="005904B5" w:rsidRDefault="005904B5" w:rsidP="00BC70A3">
      <w:pPr>
        <w:rPr>
          <w:rFonts w:ascii="Arial Black" w:hAnsi="Arial Black"/>
          <w:b/>
          <w:sz w:val="24"/>
          <w:szCs w:val="24"/>
        </w:rPr>
      </w:pPr>
    </w:p>
    <w:p w14:paraId="2640CF54" w14:textId="26B81C22" w:rsidR="00907CBF" w:rsidRDefault="00907CBF" w:rsidP="00BC70A3">
      <w:pPr>
        <w:rPr>
          <w:rFonts w:ascii="Arial Black" w:hAnsi="Arial Black"/>
          <w:b/>
          <w:sz w:val="24"/>
          <w:szCs w:val="24"/>
        </w:rPr>
      </w:pPr>
      <w:r>
        <w:rPr>
          <w:rFonts w:ascii="Arial Black" w:hAnsi="Arial Black"/>
          <w:b/>
          <w:sz w:val="24"/>
          <w:szCs w:val="24"/>
        </w:rPr>
        <w:t>8-62</w:t>
      </w:r>
    </w:p>
    <w:p w14:paraId="36D587EF" w14:textId="77777777" w:rsidR="00907CBF" w:rsidRPr="00C022E6" w:rsidRDefault="00907CBF" w:rsidP="00907CBF">
      <w:pPr>
        <w:pStyle w:val="NoSpacing"/>
        <w:rPr>
          <w:rFonts w:ascii="Aptos Black" w:hAnsi="Aptos Black"/>
          <w:sz w:val="28"/>
        </w:rPr>
      </w:pPr>
      <w:r>
        <w:rPr>
          <w:rFonts w:ascii="Aptos Black" w:hAnsi="Aptos Black"/>
          <w:sz w:val="28"/>
        </w:rPr>
        <w:t xml:space="preserve">TN:  BLACK FF FIRED – FACEBOOK POST –  CIVIL SERVICE COMMISSION MUST COMPARE TO PRIOR DISCIPLINE WHITE FFs </w:t>
      </w:r>
    </w:p>
    <w:p w14:paraId="38CCAC86" w14:textId="77777777" w:rsidR="00907CBF" w:rsidRPr="00907CBF" w:rsidRDefault="00907CBF" w:rsidP="00907CBF">
      <w:pPr>
        <w:pStyle w:val="NoSpacing"/>
        <w:rPr>
          <w:rFonts w:ascii="Times New Roman" w:hAnsi="Times New Roman"/>
          <w:sz w:val="24"/>
          <w:szCs w:val="24"/>
        </w:rPr>
      </w:pPr>
    </w:p>
    <w:p w14:paraId="1F035C36" w14:textId="77777777" w:rsidR="00907CBF" w:rsidRPr="00907CBF" w:rsidRDefault="00907CBF" w:rsidP="00907CBF">
      <w:pPr>
        <w:pStyle w:val="NoSpacing"/>
        <w:rPr>
          <w:rFonts w:ascii="Times New Roman" w:hAnsi="Times New Roman"/>
          <w:sz w:val="24"/>
          <w:szCs w:val="24"/>
        </w:rPr>
      </w:pPr>
      <w:r w:rsidRPr="00907CBF">
        <w:rPr>
          <w:rFonts w:ascii="Times New Roman" w:hAnsi="Times New Roman"/>
          <w:sz w:val="24"/>
          <w:szCs w:val="24"/>
        </w:rPr>
        <w:t xml:space="preserve">On Aug. 29, 2024, in </w:t>
      </w:r>
      <w:proofErr w:type="spellStart"/>
      <w:r w:rsidRPr="00907CBF">
        <w:rPr>
          <w:rFonts w:ascii="Times New Roman" w:hAnsi="Times New Roman"/>
          <w:sz w:val="24"/>
          <w:szCs w:val="24"/>
          <w:u w:val="single"/>
        </w:rPr>
        <w:t>Taurick</w:t>
      </w:r>
      <w:proofErr w:type="spellEnd"/>
      <w:r w:rsidRPr="00907CBF">
        <w:rPr>
          <w:rFonts w:ascii="Times New Roman" w:hAnsi="Times New Roman"/>
          <w:sz w:val="24"/>
          <w:szCs w:val="24"/>
          <w:u w:val="single"/>
        </w:rPr>
        <w:t xml:space="preserve"> Boyd v. City of Memphis</w:t>
      </w:r>
      <w:r w:rsidRPr="00907CBF">
        <w:rPr>
          <w:rFonts w:ascii="Times New Roman" w:hAnsi="Times New Roman"/>
          <w:sz w:val="24"/>
          <w:szCs w:val="24"/>
        </w:rPr>
        <w:t xml:space="preserve">, the Court of Appeals of Tennessee held (5 to 0) that the Civil Service Commission must examine whether the discipline is not in line with three white firefighters for inappropriate Facebook posts.  The Court wrote: “We do not go so far as the trial court to definitively conclude that termination of Private Boyd’s employment was unwarranted. Rather, based on our determination that the Commissioner failed to consider all relevant requirements of MFD 103.01, we vacate its order and remand for reconsideration.” </w:t>
      </w:r>
      <w:hyperlink r:id="rId1471" w:history="1">
        <w:r w:rsidRPr="00907CBF">
          <w:rPr>
            <w:rStyle w:val="Hyperlink"/>
            <w:rFonts w:ascii="Times New Roman" w:hAnsi="Times New Roman"/>
            <w:sz w:val="24"/>
            <w:szCs w:val="24"/>
          </w:rPr>
          <w:t>https://www.tncourts.gov/sites/default/files/OpinionsPDFVersion/BoydTaurickOPN.pdf</w:t>
        </w:r>
      </w:hyperlink>
      <w:r w:rsidRPr="00907CBF">
        <w:rPr>
          <w:rFonts w:ascii="Times New Roman" w:hAnsi="Times New Roman"/>
          <w:sz w:val="24"/>
          <w:szCs w:val="24"/>
        </w:rPr>
        <w:t xml:space="preserve"> </w:t>
      </w:r>
    </w:p>
    <w:p w14:paraId="5EF53AB0" w14:textId="77777777" w:rsidR="00907CBF" w:rsidRPr="00907CBF" w:rsidRDefault="00907CBF" w:rsidP="00907CBF">
      <w:pPr>
        <w:pStyle w:val="NoSpacing"/>
        <w:rPr>
          <w:rFonts w:ascii="Times New Roman" w:hAnsi="Times New Roman"/>
          <w:sz w:val="24"/>
          <w:szCs w:val="24"/>
        </w:rPr>
      </w:pPr>
    </w:p>
    <w:p w14:paraId="00D95F30" w14:textId="77777777" w:rsidR="00907CBF" w:rsidRPr="00907CBF" w:rsidRDefault="00907CBF" w:rsidP="00907CBF">
      <w:pPr>
        <w:pStyle w:val="NoSpacing"/>
        <w:rPr>
          <w:rFonts w:ascii="Times New Roman" w:hAnsi="Times New Roman"/>
          <w:sz w:val="24"/>
          <w:szCs w:val="24"/>
        </w:rPr>
      </w:pPr>
      <w:r w:rsidRPr="00907CBF">
        <w:rPr>
          <w:rFonts w:ascii="Times New Roman" w:hAnsi="Times New Roman"/>
          <w:sz w:val="24"/>
          <w:szCs w:val="24"/>
        </w:rPr>
        <w:t>THE COURT HELD:</w:t>
      </w:r>
    </w:p>
    <w:p w14:paraId="2E256179" w14:textId="77777777" w:rsidR="00907CBF" w:rsidRPr="00907CBF" w:rsidRDefault="00907CBF" w:rsidP="00907CBF">
      <w:pPr>
        <w:pStyle w:val="NoSpacing"/>
        <w:rPr>
          <w:rFonts w:ascii="Times New Roman" w:hAnsi="Times New Roman"/>
          <w:sz w:val="24"/>
          <w:szCs w:val="24"/>
        </w:rPr>
      </w:pPr>
    </w:p>
    <w:p w14:paraId="6B1918CD" w14:textId="77777777" w:rsidR="00907CBF" w:rsidRPr="00907CBF" w:rsidRDefault="00907CBF" w:rsidP="00907CBF">
      <w:pPr>
        <w:pStyle w:val="NoSpacing"/>
        <w:ind w:left="720"/>
        <w:rPr>
          <w:rFonts w:ascii="Times New Roman" w:hAnsi="Times New Roman"/>
          <w:sz w:val="24"/>
          <w:szCs w:val="24"/>
        </w:rPr>
      </w:pPr>
      <w:r w:rsidRPr="00907CBF">
        <w:rPr>
          <w:rFonts w:ascii="Times New Roman" w:hAnsi="Times New Roman"/>
          <w:sz w:val="24"/>
          <w:szCs w:val="24"/>
        </w:rPr>
        <w:t xml:space="preserve">“In truth, each of these firefighters, Lieutenant Kramer, Lieutenant Tolliver, Private Luhrs, and Private Boyd posted photos, statements, or memes that were offensive and in clear violation of MFD’s policies. These postings caused uproar in the community and resulted in negative press against the MFD. Like Private Boyd, Lieutenant Kramer had numerous previous policy violations. Like Private Boyd, Lieutenant Tolliver’s offensive photo was published to Facebook by a third-party. Like Private Boyd, Lieutenant Kramer, Lieutenant Tolliver, and Private Luhrs cooperated in their respective investigations, acknowledged that their respective actions were inappropriate, and issued apologies. </w:t>
      </w:r>
      <w:proofErr w:type="gramStart"/>
      <w:r w:rsidRPr="00907CBF">
        <w:rPr>
          <w:rFonts w:ascii="Times New Roman" w:hAnsi="Times New Roman"/>
          <w:sz w:val="24"/>
          <w:szCs w:val="24"/>
        </w:rPr>
        <w:t>Yet,</w:t>
      </w:r>
      <w:proofErr w:type="gramEnd"/>
      <w:r w:rsidRPr="00907CBF">
        <w:rPr>
          <w:rFonts w:ascii="Times New Roman" w:hAnsi="Times New Roman"/>
          <w:sz w:val="24"/>
          <w:szCs w:val="24"/>
        </w:rPr>
        <w:t xml:space="preserve"> only Private Boyd’s employment was terminated.”</w:t>
      </w:r>
    </w:p>
    <w:p w14:paraId="3CD95E81" w14:textId="77777777" w:rsidR="00907CBF" w:rsidRPr="00907CBF" w:rsidRDefault="00907CBF" w:rsidP="00907CBF">
      <w:pPr>
        <w:pStyle w:val="NoSpacing"/>
        <w:ind w:left="720"/>
        <w:rPr>
          <w:rFonts w:ascii="Times New Roman" w:hAnsi="Times New Roman"/>
          <w:sz w:val="24"/>
          <w:szCs w:val="24"/>
        </w:rPr>
      </w:pPr>
    </w:p>
    <w:p w14:paraId="43AC0912" w14:textId="77777777" w:rsidR="00907CBF" w:rsidRPr="00907CBF" w:rsidRDefault="00907CBF" w:rsidP="00907CBF">
      <w:pPr>
        <w:pStyle w:val="NoSpacing"/>
        <w:rPr>
          <w:rFonts w:ascii="Times New Roman" w:hAnsi="Times New Roman"/>
          <w:sz w:val="24"/>
          <w:szCs w:val="24"/>
        </w:rPr>
      </w:pPr>
    </w:p>
    <w:p w14:paraId="39E4CCBC" w14:textId="77777777" w:rsidR="00907CBF" w:rsidRPr="00907CBF" w:rsidRDefault="00907CBF" w:rsidP="00907CBF">
      <w:pPr>
        <w:pStyle w:val="NoSpacing"/>
        <w:rPr>
          <w:rFonts w:ascii="Times New Roman" w:hAnsi="Times New Roman"/>
          <w:b/>
          <w:bCs/>
          <w:sz w:val="24"/>
          <w:szCs w:val="24"/>
        </w:rPr>
      </w:pPr>
      <w:r w:rsidRPr="00907CBF">
        <w:rPr>
          <w:rFonts w:ascii="Times New Roman" w:hAnsi="Times New Roman"/>
          <w:b/>
          <w:bCs/>
          <w:sz w:val="24"/>
          <w:szCs w:val="24"/>
        </w:rPr>
        <w:t xml:space="preserve">Legal Lesson Learned: Facebook and other social media posts can result in discipline,  but the level of discipline must </w:t>
      </w:r>
      <w:proofErr w:type="gramStart"/>
      <w:r w:rsidRPr="00907CBF">
        <w:rPr>
          <w:rFonts w:ascii="Times New Roman" w:hAnsi="Times New Roman"/>
          <w:b/>
          <w:bCs/>
          <w:sz w:val="24"/>
          <w:szCs w:val="24"/>
        </w:rPr>
        <w:t>appropriate</w:t>
      </w:r>
      <w:proofErr w:type="gramEnd"/>
      <w:r w:rsidRPr="00907CBF">
        <w:rPr>
          <w:rFonts w:ascii="Times New Roman" w:hAnsi="Times New Roman"/>
          <w:b/>
          <w:bCs/>
          <w:sz w:val="24"/>
          <w:szCs w:val="24"/>
        </w:rPr>
        <w:t xml:space="preserve"> in comparison </w:t>
      </w:r>
      <w:proofErr w:type="gramStart"/>
      <w:r w:rsidRPr="00907CBF">
        <w:rPr>
          <w:rFonts w:ascii="Times New Roman" w:hAnsi="Times New Roman"/>
          <w:b/>
          <w:bCs/>
          <w:sz w:val="24"/>
          <w:szCs w:val="24"/>
        </w:rPr>
        <w:t>of</w:t>
      </w:r>
      <w:proofErr w:type="gramEnd"/>
      <w:r w:rsidRPr="00907CBF">
        <w:rPr>
          <w:rFonts w:ascii="Times New Roman" w:hAnsi="Times New Roman"/>
          <w:b/>
          <w:bCs/>
          <w:sz w:val="24"/>
          <w:szCs w:val="24"/>
        </w:rPr>
        <w:t xml:space="preserve"> others with similar violations. </w:t>
      </w:r>
    </w:p>
    <w:p w14:paraId="5ABC4F06" w14:textId="77777777" w:rsidR="007B5945" w:rsidRDefault="007B5945" w:rsidP="00BC70A3">
      <w:pPr>
        <w:rPr>
          <w:rFonts w:ascii="Arial Black" w:hAnsi="Arial Black"/>
          <w:b/>
          <w:sz w:val="24"/>
          <w:szCs w:val="24"/>
        </w:rPr>
      </w:pPr>
    </w:p>
    <w:p w14:paraId="3227A9D0" w14:textId="63A6506E" w:rsidR="007B5945" w:rsidRDefault="00B22623" w:rsidP="00BC70A3">
      <w:pPr>
        <w:rPr>
          <w:rFonts w:ascii="Arial Black" w:hAnsi="Arial Black"/>
          <w:b/>
          <w:sz w:val="24"/>
          <w:szCs w:val="24"/>
        </w:rPr>
      </w:pPr>
      <w:r>
        <w:rPr>
          <w:rFonts w:ascii="Arial Black" w:hAnsi="Arial Black"/>
          <w:b/>
          <w:sz w:val="24"/>
          <w:szCs w:val="24"/>
        </w:rPr>
        <w:lastRenderedPageBreak/>
        <w:t>8-61</w:t>
      </w:r>
    </w:p>
    <w:p w14:paraId="58E85F9B" w14:textId="77777777" w:rsidR="00B22623" w:rsidRPr="002A36CD" w:rsidRDefault="00B22623" w:rsidP="00B22623">
      <w:pPr>
        <w:pStyle w:val="NoSpacing"/>
        <w:rPr>
          <w:rFonts w:ascii="Arial Black" w:hAnsi="Arial Black"/>
          <w:sz w:val="28"/>
        </w:rPr>
      </w:pPr>
      <w:r>
        <w:rPr>
          <w:rFonts w:ascii="Arial Black" w:hAnsi="Arial Black"/>
          <w:sz w:val="28"/>
        </w:rPr>
        <w:t xml:space="preserve">TX: FF (IRAQ ORIGIN) FIRED - THREATS CITY ANIMAL SERVICE OFFICER – HAD SIDE DOG RESCUE BUSINESS </w:t>
      </w:r>
    </w:p>
    <w:p w14:paraId="65A8A874" w14:textId="77777777" w:rsidR="00B22623" w:rsidRDefault="00B22623" w:rsidP="00B22623">
      <w:pPr>
        <w:pStyle w:val="NoSpacing"/>
        <w:rPr>
          <w:szCs w:val="24"/>
        </w:rPr>
      </w:pPr>
    </w:p>
    <w:p w14:paraId="1253609B" w14:textId="77777777" w:rsidR="00B22623" w:rsidRPr="00B22623" w:rsidRDefault="00B22623" w:rsidP="00B22623">
      <w:pPr>
        <w:pStyle w:val="NoSpacing"/>
        <w:rPr>
          <w:rFonts w:ascii="Times New Roman" w:hAnsi="Times New Roman"/>
          <w:sz w:val="24"/>
          <w:szCs w:val="24"/>
        </w:rPr>
      </w:pPr>
      <w:r w:rsidRPr="00B22623">
        <w:rPr>
          <w:rFonts w:ascii="Times New Roman" w:hAnsi="Times New Roman"/>
          <w:sz w:val="24"/>
          <w:szCs w:val="24"/>
        </w:rPr>
        <w:t xml:space="preserve">On Aug. 27, 2024, in </w:t>
      </w:r>
      <w:proofErr w:type="spellStart"/>
      <w:r w:rsidRPr="00B22623">
        <w:rPr>
          <w:rFonts w:ascii="Times New Roman" w:hAnsi="Times New Roman"/>
          <w:sz w:val="24"/>
          <w:szCs w:val="24"/>
          <w:u w:val="single"/>
        </w:rPr>
        <w:t>Safealdean</w:t>
      </w:r>
      <w:proofErr w:type="spellEnd"/>
      <w:r w:rsidRPr="00B22623">
        <w:rPr>
          <w:rFonts w:ascii="Times New Roman" w:hAnsi="Times New Roman"/>
          <w:sz w:val="24"/>
          <w:szCs w:val="24"/>
          <w:u w:val="single"/>
        </w:rPr>
        <w:t xml:space="preserve"> </w:t>
      </w:r>
      <w:proofErr w:type="spellStart"/>
      <w:r w:rsidRPr="00B22623">
        <w:rPr>
          <w:rFonts w:ascii="Times New Roman" w:hAnsi="Times New Roman"/>
          <w:sz w:val="24"/>
          <w:szCs w:val="24"/>
          <w:u w:val="single"/>
        </w:rPr>
        <w:t>Alusi</w:t>
      </w:r>
      <w:proofErr w:type="spellEnd"/>
      <w:r w:rsidRPr="00B22623">
        <w:rPr>
          <w:rFonts w:ascii="Times New Roman" w:hAnsi="Times New Roman"/>
          <w:sz w:val="24"/>
          <w:szCs w:val="24"/>
          <w:u w:val="single"/>
        </w:rPr>
        <w:t xml:space="preserve"> v. City of Fresno, Texas</w:t>
      </w:r>
      <w:r w:rsidRPr="00B22623">
        <w:rPr>
          <w:rFonts w:ascii="Times New Roman" w:hAnsi="Times New Roman"/>
          <w:sz w:val="24"/>
          <w:szCs w:val="24"/>
        </w:rPr>
        <w:t xml:space="preserve">, United States District Court Judge Sean D. Jordan, U.S. District Court for Eastern District of Texas, Sherman Division, affirmed the prior decision to grant summary judgement to the </w:t>
      </w:r>
      <w:proofErr w:type="gramStart"/>
      <w:r w:rsidRPr="00B22623">
        <w:rPr>
          <w:rFonts w:ascii="Times New Roman" w:hAnsi="Times New Roman"/>
          <w:sz w:val="24"/>
          <w:szCs w:val="24"/>
        </w:rPr>
        <w:t>City</w:t>
      </w:r>
      <w:proofErr w:type="gramEnd"/>
      <w:r w:rsidRPr="00B22623">
        <w:rPr>
          <w:rFonts w:ascii="Times New Roman" w:hAnsi="Times New Roman"/>
          <w:sz w:val="24"/>
          <w:szCs w:val="24"/>
        </w:rPr>
        <w:t xml:space="preserve">.  The Court wrote: “After working for the FFD for nearly two-and-a-half years,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was terminated after the FFD discovered that he had engaged in off-duty misconduct while operating his dog rescue side-business-including by threatening a City of Temple Animal Services Officer - and that he had misrepresented his physical limitations and his inability to return to work. In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termination notice, FFD Chief Mark Piland noted a number of City of Frisco (the ‘City’) policies that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violated, which boil down to (1) engaging in unethical and dishonest conduct unbecoming of a member of the FFD, (2) lying about physical capabilities while on restricted work duty, and (3) failing to cooperate and being dishonest during the investigation. *** Notwithstanding the fact that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colleagues knew he was Iraqi, none of the allegedly disparaging comments concerned his Iraqi national origin-or any national origin, for that matter.” </w:t>
      </w:r>
      <w:hyperlink r:id="rId1472" w:history="1">
        <w:r w:rsidRPr="00B22623">
          <w:rPr>
            <w:rStyle w:val="Hyperlink"/>
            <w:rFonts w:ascii="Times New Roman" w:hAnsi="Times New Roman"/>
            <w:sz w:val="24"/>
            <w:szCs w:val="24"/>
          </w:rPr>
          <w:t>https://cases.justia.com/federal/district-courts/texas/txedce/4:2022cv00397/214410/28/0.pdf?ts=1692978420</w:t>
        </w:r>
      </w:hyperlink>
      <w:r w:rsidRPr="00B22623">
        <w:rPr>
          <w:rFonts w:ascii="Times New Roman" w:hAnsi="Times New Roman"/>
          <w:sz w:val="24"/>
          <w:szCs w:val="24"/>
        </w:rPr>
        <w:t xml:space="preserve"> </w:t>
      </w:r>
    </w:p>
    <w:p w14:paraId="23ADD474" w14:textId="77777777" w:rsidR="00B22623" w:rsidRPr="00B22623" w:rsidRDefault="00B22623" w:rsidP="00B22623">
      <w:pPr>
        <w:pStyle w:val="NoSpacing"/>
        <w:rPr>
          <w:rFonts w:ascii="Times New Roman" w:hAnsi="Times New Roman"/>
          <w:sz w:val="24"/>
          <w:szCs w:val="24"/>
        </w:rPr>
      </w:pPr>
      <w:r w:rsidRPr="00B22623">
        <w:rPr>
          <w:rFonts w:ascii="Times New Roman" w:hAnsi="Times New Roman"/>
          <w:sz w:val="24"/>
          <w:szCs w:val="24"/>
        </w:rPr>
        <w:t xml:space="preserve"> </w:t>
      </w:r>
    </w:p>
    <w:p w14:paraId="5EBC3E2E" w14:textId="77777777" w:rsidR="00B22623" w:rsidRPr="00B22623" w:rsidRDefault="00B22623" w:rsidP="00B22623">
      <w:pPr>
        <w:pStyle w:val="NoSpacing"/>
        <w:rPr>
          <w:rFonts w:ascii="Times New Roman" w:hAnsi="Times New Roman"/>
          <w:sz w:val="24"/>
          <w:szCs w:val="24"/>
        </w:rPr>
      </w:pPr>
      <w:r w:rsidRPr="00B22623">
        <w:rPr>
          <w:rFonts w:ascii="Times New Roman" w:hAnsi="Times New Roman"/>
          <w:sz w:val="24"/>
          <w:szCs w:val="24"/>
        </w:rPr>
        <w:t xml:space="preserve">THE COURT HELD: </w:t>
      </w:r>
    </w:p>
    <w:p w14:paraId="76AA54F5" w14:textId="77777777" w:rsidR="00B22623" w:rsidRPr="00B22623" w:rsidRDefault="00B22623" w:rsidP="00B22623">
      <w:pPr>
        <w:pStyle w:val="NoSpacing"/>
        <w:jc w:val="center"/>
        <w:rPr>
          <w:rFonts w:ascii="Times New Roman" w:hAnsi="Times New Roman"/>
          <w:sz w:val="24"/>
          <w:szCs w:val="24"/>
        </w:rPr>
      </w:pPr>
    </w:p>
    <w:p w14:paraId="7F8A2A92" w14:textId="77777777" w:rsidR="00B22623" w:rsidRPr="00B22623" w:rsidRDefault="00B22623" w:rsidP="00B22623">
      <w:pPr>
        <w:pStyle w:val="NoSpacing"/>
        <w:ind w:left="720"/>
        <w:rPr>
          <w:rFonts w:ascii="Times New Roman" w:hAnsi="Times New Roman"/>
          <w:sz w:val="24"/>
          <w:szCs w:val="24"/>
        </w:rPr>
      </w:pPr>
      <w:r w:rsidRPr="00B22623">
        <w:rPr>
          <w:rFonts w:ascii="Times New Roman" w:hAnsi="Times New Roman"/>
          <w:sz w:val="24"/>
          <w:szCs w:val="24"/>
        </w:rPr>
        <w:t xml:space="preserve">“[A]s the Court explained in its order granting summary judgment, the allegedly discriminatory comments included remarks about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skin color and his religion. Race and religion are distinct protected classes under Title VII, but they are not the bases of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alleged discrimination. Neither those comments nor the additional comments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complains </w:t>
      </w:r>
      <w:proofErr w:type="gramStart"/>
      <w:r w:rsidRPr="00B22623">
        <w:rPr>
          <w:rFonts w:ascii="Times New Roman" w:hAnsi="Times New Roman"/>
          <w:sz w:val="24"/>
          <w:szCs w:val="24"/>
        </w:rPr>
        <w:t>of-</w:t>
      </w:r>
      <w:proofErr w:type="gramEnd"/>
      <w:r w:rsidRPr="00B22623">
        <w:rPr>
          <w:rFonts w:ascii="Times New Roman" w:hAnsi="Times New Roman"/>
          <w:sz w:val="24"/>
          <w:szCs w:val="24"/>
        </w:rPr>
        <w:t xml:space="preserve">i.e., the comment concerning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fit within the FFD, a colleague's question about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lack of involvement in the Gulf War, and one colleague's use of </w:t>
      </w:r>
      <w:proofErr w:type="gramStart"/>
      <w:r w:rsidRPr="00B22623">
        <w:rPr>
          <w:rFonts w:ascii="Times New Roman" w:hAnsi="Times New Roman"/>
          <w:sz w:val="24"/>
          <w:szCs w:val="24"/>
        </w:rPr>
        <w:t>Arabic-</w:t>
      </w:r>
      <w:proofErr w:type="gramEnd"/>
      <w:r w:rsidRPr="00B22623">
        <w:rPr>
          <w:rFonts w:ascii="Times New Roman" w:hAnsi="Times New Roman"/>
          <w:sz w:val="24"/>
          <w:szCs w:val="24"/>
        </w:rPr>
        <w:t xml:space="preserve">refer to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national origin. </w:t>
      </w:r>
    </w:p>
    <w:p w14:paraId="72900EB5" w14:textId="77777777" w:rsidR="00B22623" w:rsidRPr="00B22623" w:rsidRDefault="00B22623" w:rsidP="00B22623">
      <w:pPr>
        <w:pStyle w:val="NoSpacing"/>
        <w:rPr>
          <w:rFonts w:ascii="Times New Roman" w:hAnsi="Times New Roman"/>
          <w:sz w:val="24"/>
          <w:szCs w:val="24"/>
        </w:rPr>
      </w:pPr>
    </w:p>
    <w:p w14:paraId="1B9136B5" w14:textId="77777777" w:rsidR="00B22623" w:rsidRPr="00B22623" w:rsidRDefault="00B22623" w:rsidP="00B22623">
      <w:pPr>
        <w:pStyle w:val="NoSpacing"/>
        <w:ind w:firstLine="720"/>
        <w:rPr>
          <w:rFonts w:ascii="Times New Roman" w:hAnsi="Times New Roman"/>
          <w:sz w:val="24"/>
          <w:szCs w:val="24"/>
        </w:rPr>
      </w:pPr>
      <w:r w:rsidRPr="00B22623">
        <w:rPr>
          <w:rFonts w:ascii="Times New Roman" w:hAnsi="Times New Roman"/>
          <w:sz w:val="24"/>
          <w:szCs w:val="24"/>
        </w:rPr>
        <w:t>***</w:t>
      </w:r>
    </w:p>
    <w:p w14:paraId="2CEC8875" w14:textId="77777777" w:rsidR="00B22623" w:rsidRPr="00B22623" w:rsidRDefault="00B22623" w:rsidP="00B22623">
      <w:pPr>
        <w:pStyle w:val="NoSpacing"/>
        <w:ind w:left="720"/>
        <w:rPr>
          <w:rFonts w:ascii="Times New Roman" w:hAnsi="Times New Roman"/>
          <w:sz w:val="24"/>
          <w:szCs w:val="24"/>
        </w:rPr>
      </w:pPr>
      <w:r w:rsidRPr="00B22623">
        <w:rPr>
          <w:rFonts w:ascii="Times New Roman" w:hAnsi="Times New Roman"/>
          <w:sz w:val="24"/>
          <w:szCs w:val="24"/>
        </w:rPr>
        <w:t xml:space="preserve">The comments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points to were not frequent, threatening, or severe. </w:t>
      </w:r>
      <w:r w:rsidRPr="00B22623">
        <w:rPr>
          <w:rFonts w:ascii="Times New Roman" w:hAnsi="Times New Roman"/>
          <w:i/>
          <w:iCs/>
          <w:sz w:val="24"/>
          <w:szCs w:val="24"/>
        </w:rPr>
        <w:t>Harris v. Forklift Sys., Inc.</w:t>
      </w:r>
      <w:r w:rsidRPr="00B22623">
        <w:rPr>
          <w:rFonts w:ascii="Times New Roman" w:hAnsi="Times New Roman"/>
          <w:sz w:val="24"/>
          <w:szCs w:val="24"/>
        </w:rPr>
        <w:t xml:space="preserve">, 510 U.S. 17, 23, 114 </w:t>
      </w:r>
      <w:proofErr w:type="spellStart"/>
      <w:r w:rsidRPr="00B22623">
        <w:rPr>
          <w:rFonts w:ascii="Times New Roman" w:hAnsi="Times New Roman"/>
          <w:sz w:val="24"/>
          <w:szCs w:val="24"/>
        </w:rPr>
        <w:t>S.Ct</w:t>
      </w:r>
      <w:proofErr w:type="spellEnd"/>
      <w:r w:rsidRPr="00B22623">
        <w:rPr>
          <w:rFonts w:ascii="Times New Roman" w:hAnsi="Times New Roman"/>
          <w:sz w:val="24"/>
          <w:szCs w:val="24"/>
        </w:rPr>
        <w:t>. 367, 126 L.Ed.2d 295 (1993) (explaining that courts must consider the “frequency of the discriminatory conduct; its severity; whether it is physically threatening or humiliating, or a mere offensive utterance; and whether it unreasonably interferes with an employee's work performance”). Thus, the comments are insufficient to mount a claim for discrimination.</w:t>
      </w:r>
    </w:p>
    <w:p w14:paraId="093BCE05" w14:textId="77777777" w:rsidR="00B22623" w:rsidRPr="00B22623" w:rsidRDefault="00B22623" w:rsidP="00B22623">
      <w:pPr>
        <w:pStyle w:val="NoSpacing"/>
        <w:rPr>
          <w:rFonts w:ascii="Times New Roman" w:hAnsi="Times New Roman"/>
          <w:sz w:val="24"/>
          <w:szCs w:val="24"/>
        </w:rPr>
      </w:pPr>
    </w:p>
    <w:p w14:paraId="565B3D4D" w14:textId="77777777" w:rsidR="00B22623" w:rsidRPr="00B22623" w:rsidRDefault="00B22623" w:rsidP="00B22623">
      <w:pPr>
        <w:pStyle w:val="NoSpacing"/>
        <w:ind w:firstLine="720"/>
        <w:rPr>
          <w:rFonts w:ascii="Times New Roman" w:hAnsi="Times New Roman"/>
          <w:sz w:val="24"/>
          <w:szCs w:val="24"/>
        </w:rPr>
      </w:pPr>
      <w:r w:rsidRPr="00B22623">
        <w:rPr>
          <w:rFonts w:ascii="Times New Roman" w:hAnsi="Times New Roman"/>
          <w:sz w:val="24"/>
          <w:szCs w:val="24"/>
        </w:rPr>
        <w:t>***</w:t>
      </w:r>
    </w:p>
    <w:p w14:paraId="054BA89D" w14:textId="77777777" w:rsidR="00B22623" w:rsidRPr="00B22623" w:rsidRDefault="00B22623" w:rsidP="00B22623">
      <w:pPr>
        <w:pStyle w:val="NoSpacing"/>
        <w:ind w:left="720"/>
        <w:rPr>
          <w:rFonts w:ascii="Times New Roman" w:hAnsi="Times New Roman"/>
          <w:sz w:val="24"/>
          <w:szCs w:val="24"/>
        </w:rPr>
      </w:pP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concedes that he did not allege national origin discrimination until </w:t>
      </w:r>
      <w:r w:rsidRPr="00B22623">
        <w:rPr>
          <w:rFonts w:ascii="Times New Roman" w:hAnsi="Times New Roman"/>
          <w:i/>
          <w:iCs/>
          <w:sz w:val="24"/>
          <w:szCs w:val="24"/>
        </w:rPr>
        <w:t>after</w:t>
      </w:r>
      <w:r w:rsidRPr="00B22623">
        <w:rPr>
          <w:rFonts w:ascii="Times New Roman" w:hAnsi="Times New Roman"/>
          <w:sz w:val="24"/>
          <w:szCs w:val="24"/>
        </w:rPr>
        <w:t xml:space="preserve"> he was terminated. Thus, the </w:t>
      </w:r>
      <w:proofErr w:type="gramStart"/>
      <w:r w:rsidRPr="00B22623">
        <w:rPr>
          <w:rFonts w:ascii="Times New Roman" w:hAnsi="Times New Roman"/>
          <w:sz w:val="24"/>
          <w:szCs w:val="24"/>
        </w:rPr>
        <w:t>City</w:t>
      </w:r>
      <w:proofErr w:type="gramEnd"/>
      <w:r w:rsidRPr="00B22623">
        <w:rPr>
          <w:rFonts w:ascii="Times New Roman" w:hAnsi="Times New Roman"/>
          <w:sz w:val="24"/>
          <w:szCs w:val="24"/>
        </w:rPr>
        <w:t xml:space="preserve"> was not put on notice of any alleged discriminatory practices. Therefore,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did not engage in a protected activity. And since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did not engage in a protected activity, he could not have been retaliated against for engaging in a protected activity. Accordingly, the Court correctly concluded that the </w:t>
      </w:r>
      <w:proofErr w:type="gramStart"/>
      <w:r w:rsidRPr="00B22623">
        <w:rPr>
          <w:rFonts w:ascii="Times New Roman" w:hAnsi="Times New Roman"/>
          <w:sz w:val="24"/>
          <w:szCs w:val="24"/>
        </w:rPr>
        <w:t>City</w:t>
      </w:r>
      <w:proofErr w:type="gramEnd"/>
      <w:r w:rsidRPr="00B22623">
        <w:rPr>
          <w:rFonts w:ascii="Times New Roman" w:hAnsi="Times New Roman"/>
          <w:sz w:val="24"/>
          <w:szCs w:val="24"/>
        </w:rPr>
        <w:t xml:space="preserve"> was entitled to summary judgment on this claim.”</w:t>
      </w:r>
    </w:p>
    <w:p w14:paraId="42904941" w14:textId="77777777" w:rsidR="00B22623" w:rsidRPr="00B22623" w:rsidRDefault="00B22623" w:rsidP="00B22623">
      <w:pPr>
        <w:pStyle w:val="NoSpacing"/>
        <w:ind w:left="720"/>
        <w:rPr>
          <w:rFonts w:ascii="Times New Roman" w:hAnsi="Times New Roman"/>
          <w:sz w:val="24"/>
          <w:szCs w:val="24"/>
        </w:rPr>
      </w:pPr>
    </w:p>
    <w:p w14:paraId="13633AD2" w14:textId="77777777" w:rsidR="00B22623" w:rsidRPr="00B22623" w:rsidRDefault="00B22623" w:rsidP="00B22623">
      <w:pPr>
        <w:pStyle w:val="NoSpacing"/>
        <w:ind w:left="720"/>
        <w:rPr>
          <w:rFonts w:ascii="Times New Roman" w:hAnsi="Times New Roman"/>
          <w:sz w:val="24"/>
          <w:szCs w:val="24"/>
        </w:rPr>
      </w:pPr>
    </w:p>
    <w:p w14:paraId="60D450CB" w14:textId="77777777" w:rsidR="00B22623" w:rsidRPr="00B22623" w:rsidRDefault="00B22623" w:rsidP="00B22623">
      <w:pPr>
        <w:pStyle w:val="NoSpacing"/>
        <w:rPr>
          <w:rFonts w:ascii="Times New Roman" w:hAnsi="Times New Roman"/>
          <w:b/>
          <w:bCs/>
          <w:sz w:val="24"/>
          <w:szCs w:val="24"/>
        </w:rPr>
      </w:pPr>
      <w:r w:rsidRPr="00B22623">
        <w:rPr>
          <w:rFonts w:ascii="Times New Roman" w:hAnsi="Times New Roman"/>
          <w:b/>
          <w:bCs/>
          <w:sz w:val="24"/>
          <w:szCs w:val="24"/>
        </w:rPr>
        <w:t xml:space="preserve">Legal Lesson Learned: Comments by fellow firefighters were not “frequent, threatening, or severe.” </w:t>
      </w:r>
    </w:p>
    <w:p w14:paraId="4C2C7907" w14:textId="77777777" w:rsidR="00B22623" w:rsidRDefault="00B22623" w:rsidP="00B22623">
      <w:pPr>
        <w:pStyle w:val="NoSpacing"/>
        <w:ind w:firstLine="720"/>
        <w:rPr>
          <w:szCs w:val="24"/>
        </w:rPr>
      </w:pPr>
    </w:p>
    <w:p w14:paraId="068935FA" w14:textId="77777777" w:rsidR="00B22623" w:rsidRDefault="00B22623" w:rsidP="00BC70A3">
      <w:pPr>
        <w:rPr>
          <w:rFonts w:ascii="Arial Black" w:hAnsi="Arial Black"/>
          <w:b/>
          <w:sz w:val="24"/>
          <w:szCs w:val="24"/>
        </w:rPr>
      </w:pPr>
    </w:p>
    <w:p w14:paraId="531BBCFC" w14:textId="741058B2" w:rsidR="005E60AF" w:rsidRDefault="005E60AF" w:rsidP="00BC70A3">
      <w:pPr>
        <w:rPr>
          <w:rFonts w:ascii="Arial Black" w:hAnsi="Arial Black"/>
          <w:b/>
          <w:sz w:val="24"/>
          <w:szCs w:val="24"/>
        </w:rPr>
      </w:pPr>
      <w:r>
        <w:rPr>
          <w:rFonts w:ascii="Arial Black" w:hAnsi="Arial Black"/>
          <w:b/>
          <w:sz w:val="24"/>
          <w:szCs w:val="24"/>
        </w:rPr>
        <w:t>8-60</w:t>
      </w:r>
    </w:p>
    <w:p w14:paraId="62F4E436" w14:textId="77777777" w:rsidR="007B5945" w:rsidRPr="0074339E" w:rsidRDefault="007B5945" w:rsidP="007B5945">
      <w:pPr>
        <w:rPr>
          <w:rFonts w:ascii="Arial Black" w:hAnsi="Arial Black"/>
          <w:b/>
          <w:bCs/>
          <w:sz w:val="28"/>
        </w:rPr>
      </w:pPr>
      <w:r>
        <w:rPr>
          <w:rFonts w:ascii="Arial Black" w:hAnsi="Arial Black"/>
          <w:b/>
          <w:bCs/>
          <w:sz w:val="28"/>
        </w:rPr>
        <w:lastRenderedPageBreak/>
        <w:t xml:space="preserve">TX: BLACK FF – STOP SHAVING / RELIGION – FD CHAPLAIN MEMO - BELIEFS “INSINCERE” – IMMUNITY   </w:t>
      </w:r>
    </w:p>
    <w:p w14:paraId="67E3C6E1" w14:textId="77777777" w:rsidR="007B5945" w:rsidRPr="007B5945" w:rsidRDefault="007B5945" w:rsidP="007B5945">
      <w:pPr>
        <w:pStyle w:val="NoSpacing"/>
        <w:rPr>
          <w:rFonts w:ascii="Times New Roman" w:hAnsi="Times New Roman"/>
          <w:sz w:val="24"/>
          <w:szCs w:val="24"/>
        </w:rPr>
      </w:pPr>
      <w:r w:rsidRPr="007B5945">
        <w:rPr>
          <w:rFonts w:ascii="Times New Roman" w:hAnsi="Times New Roman"/>
          <w:sz w:val="24"/>
          <w:szCs w:val="24"/>
        </w:rPr>
        <w:t xml:space="preserve">On Aug. 8, 2024, in </w:t>
      </w:r>
      <w:r w:rsidRPr="007B5945">
        <w:rPr>
          <w:rFonts w:ascii="Times New Roman" w:hAnsi="Times New Roman"/>
          <w:sz w:val="24"/>
          <w:szCs w:val="24"/>
          <w:u w:val="single"/>
        </w:rPr>
        <w:t>Brandon E. O’Neal v. City of Houston</w:t>
      </w:r>
      <w:r w:rsidRPr="007B5945">
        <w:rPr>
          <w:rFonts w:ascii="Times New Roman" w:hAnsi="Times New Roman"/>
          <w:sz w:val="24"/>
          <w:szCs w:val="24"/>
        </w:rPr>
        <w:t xml:space="preserve">, United States District Court Judge Keith P. Ellison, U.S. District Court, Southern District of Texas, Houston Division, granted the motion to dismiss the libel lawsuit against Chaplain Richard Raymond Ponce II, who enjoys immunity under Texas Tort Claims Act for official actions.  The Court wrote: “After serving his [2 shift; 24 hours] suspension, O’Neal was required to meet with HFD Chaplain Richard Raymond Ponce II… Following the meeting, Ponce wrote a memorandum to Fire Chief Samuel Peña describing O’Neal’s religious beliefs as ‘insincere.’ … O’Neal believes that Ponce’s memorandum formed the basis of HFD’s denial of his accommodation request…. O’Neal later asked Ponce to retract the statements in his “defamatory letter to Chief Peña,” but Ponce declined to do so. *** A defendant is entitled to dismissal under section 101.106(f) upon proof that the plaintiff’s suit (1) was based on conduct within the scope of the defendant’s employment with a governmental unit and (2) could have been brought against the government unit under the Tort Claims Act.” </w:t>
      </w:r>
      <w:hyperlink r:id="rId1473" w:history="1">
        <w:r w:rsidRPr="007B5945">
          <w:rPr>
            <w:rStyle w:val="Hyperlink"/>
            <w:rFonts w:ascii="Times New Roman" w:hAnsi="Times New Roman"/>
            <w:sz w:val="24"/>
            <w:szCs w:val="24"/>
          </w:rPr>
          <w:t>https://cases.justia.com/federal/district-courts/texas/txsdce/4:2023cv04777/1945442/28/0.pdf?ts=1723207973</w:t>
        </w:r>
      </w:hyperlink>
      <w:r w:rsidRPr="007B5945">
        <w:rPr>
          <w:rFonts w:ascii="Times New Roman" w:hAnsi="Times New Roman"/>
          <w:sz w:val="24"/>
          <w:szCs w:val="24"/>
        </w:rPr>
        <w:t xml:space="preserve"> </w:t>
      </w:r>
    </w:p>
    <w:p w14:paraId="285188B8" w14:textId="77777777" w:rsidR="007B5945" w:rsidRPr="007B5945" w:rsidRDefault="007B5945" w:rsidP="007B5945">
      <w:pPr>
        <w:rPr>
          <w:rFonts w:ascii="Times New Roman" w:hAnsi="Times New Roman"/>
          <w:sz w:val="24"/>
          <w:szCs w:val="24"/>
        </w:rPr>
      </w:pPr>
    </w:p>
    <w:p w14:paraId="5AF6D2A9" w14:textId="77777777" w:rsidR="007B5945" w:rsidRPr="007B5945" w:rsidRDefault="007B5945" w:rsidP="007B5945">
      <w:pPr>
        <w:pStyle w:val="NoSpacing"/>
        <w:rPr>
          <w:rFonts w:ascii="Times New Roman" w:hAnsi="Times New Roman"/>
          <w:sz w:val="24"/>
          <w:szCs w:val="24"/>
        </w:rPr>
      </w:pPr>
      <w:r w:rsidRPr="007B5945">
        <w:rPr>
          <w:rFonts w:ascii="Times New Roman" w:hAnsi="Times New Roman"/>
          <w:sz w:val="24"/>
          <w:szCs w:val="24"/>
        </w:rPr>
        <w:t>THE COURT HELD:</w:t>
      </w:r>
    </w:p>
    <w:p w14:paraId="49FC72BD" w14:textId="77777777" w:rsidR="007B5945" w:rsidRPr="007B5945" w:rsidRDefault="007B5945" w:rsidP="007B5945">
      <w:pPr>
        <w:pStyle w:val="NoSpacing"/>
        <w:rPr>
          <w:rFonts w:ascii="Times New Roman" w:hAnsi="Times New Roman"/>
          <w:sz w:val="24"/>
          <w:szCs w:val="24"/>
        </w:rPr>
      </w:pPr>
    </w:p>
    <w:p w14:paraId="74CA923A" w14:textId="77777777" w:rsidR="007B5945" w:rsidRPr="007B5945" w:rsidRDefault="007B5945" w:rsidP="007B5945">
      <w:pPr>
        <w:ind w:left="720"/>
        <w:rPr>
          <w:rFonts w:ascii="Times New Roman" w:hAnsi="Times New Roman"/>
          <w:sz w:val="24"/>
          <w:szCs w:val="24"/>
        </w:rPr>
      </w:pPr>
      <w:r w:rsidRPr="007B5945">
        <w:rPr>
          <w:rFonts w:ascii="Times New Roman" w:hAnsi="Times New Roman"/>
          <w:sz w:val="24"/>
          <w:szCs w:val="24"/>
        </w:rPr>
        <w:t xml:space="preserve">“Plaintiff does not-and cannot-argue that drafting the memorandum at Chief Pena's direction was outside the scope of Ponce's role as HFP Chaplain. Instead, he argues that Ponce's ‘choice to libel Capt. O'Neal in the memorandum,’ i.e., the choice to label O'Neal's beliefs as ‘insincere’ in the memorandum, was outside of the scope of his employment. ECF No. 27 at 6. Plaintiff's argument misses the mark. Ponce's ‘ulterior motives or personal animus is irrelevant so long as a connection exists between the employee's lawful job duties and the alleged misconduct.’ *** Here, there is plainly a connection between Ponce's duties (drafting a memorandum on O'Neal's religious beliefs) and the alleged misconduct (including allegedly libelous statements in the memorandum). Thus, Ponce acted within the scope of his employment when he committed the allegedly tortious </w:t>
      </w:r>
      <w:proofErr w:type="gramStart"/>
      <w:r w:rsidRPr="007B5945">
        <w:rPr>
          <w:rFonts w:ascii="Times New Roman" w:hAnsi="Times New Roman"/>
          <w:sz w:val="24"/>
          <w:szCs w:val="24"/>
        </w:rPr>
        <w:t>acts.”</w:t>
      </w:r>
      <w:proofErr w:type="gramEnd"/>
      <w:r w:rsidRPr="007B5945">
        <w:rPr>
          <w:rFonts w:ascii="Times New Roman" w:hAnsi="Times New Roman"/>
          <w:sz w:val="24"/>
          <w:szCs w:val="24"/>
        </w:rPr>
        <w:t xml:space="preserve"> </w:t>
      </w:r>
    </w:p>
    <w:p w14:paraId="44E8D3CF" w14:textId="77777777" w:rsidR="007B5945" w:rsidRPr="007B5945" w:rsidRDefault="007B5945" w:rsidP="007B5945">
      <w:pPr>
        <w:jc w:val="both"/>
        <w:rPr>
          <w:rFonts w:ascii="Times New Roman" w:hAnsi="Times New Roman"/>
          <w:b/>
          <w:bCs/>
          <w:sz w:val="24"/>
          <w:szCs w:val="24"/>
        </w:rPr>
      </w:pPr>
      <w:r w:rsidRPr="007B5945">
        <w:rPr>
          <w:rFonts w:ascii="Times New Roman" w:hAnsi="Times New Roman"/>
          <w:b/>
          <w:bCs/>
          <w:sz w:val="24"/>
          <w:szCs w:val="24"/>
        </w:rPr>
        <w:t xml:space="preserve">Legal Lesson Learned: The Chaplain enjoys immunity from personal liability for performing duties in scope of his employment. </w:t>
      </w:r>
    </w:p>
    <w:p w14:paraId="2972795D" w14:textId="77777777" w:rsidR="005E60AF" w:rsidRDefault="005E60AF" w:rsidP="00BC70A3">
      <w:pPr>
        <w:rPr>
          <w:rFonts w:ascii="Arial Black" w:hAnsi="Arial Black"/>
          <w:b/>
          <w:sz w:val="24"/>
          <w:szCs w:val="24"/>
        </w:rPr>
      </w:pPr>
    </w:p>
    <w:p w14:paraId="7FC3BC99" w14:textId="77777777" w:rsidR="005E60AF" w:rsidRDefault="005E60AF" w:rsidP="00BC70A3">
      <w:pPr>
        <w:rPr>
          <w:rFonts w:ascii="Arial Black" w:hAnsi="Arial Black"/>
          <w:b/>
          <w:sz w:val="24"/>
          <w:szCs w:val="24"/>
        </w:rPr>
      </w:pPr>
    </w:p>
    <w:p w14:paraId="3AA07917" w14:textId="6A2DF2AD" w:rsidR="007C55A4" w:rsidRDefault="007C55A4" w:rsidP="00BC70A3">
      <w:pPr>
        <w:rPr>
          <w:rFonts w:ascii="Arial Black" w:hAnsi="Arial Black"/>
          <w:b/>
          <w:sz w:val="24"/>
          <w:szCs w:val="24"/>
        </w:rPr>
      </w:pPr>
      <w:r>
        <w:rPr>
          <w:rFonts w:ascii="Arial Black" w:hAnsi="Arial Black"/>
          <w:b/>
          <w:sz w:val="24"/>
          <w:szCs w:val="24"/>
        </w:rPr>
        <w:t>8-59</w:t>
      </w:r>
    </w:p>
    <w:p w14:paraId="77B76C7B" w14:textId="77777777" w:rsidR="006D6CFA" w:rsidRDefault="006D6CFA" w:rsidP="006D6CFA">
      <w:pPr>
        <w:spacing w:before="100" w:beforeAutospacing="1" w:after="100" w:afterAutospacing="1" w:line="240" w:lineRule="auto"/>
        <w:outlineLvl w:val="0"/>
        <w:rPr>
          <w:rFonts w:ascii="Arial Black" w:hAnsi="Arial Black"/>
          <w:sz w:val="28"/>
          <w:szCs w:val="28"/>
        </w:rPr>
      </w:pPr>
      <w:r>
        <w:rPr>
          <w:rFonts w:ascii="Arial Black" w:hAnsi="Arial Black"/>
          <w:sz w:val="28"/>
          <w:szCs w:val="28"/>
        </w:rPr>
        <w:t>NY: CAPT SOON TO BE PROMOTED BC - RESCINDED – DRUNK  PUBLIC / PANTS DOWN - NO RACE DISCRIMINATION</w:t>
      </w:r>
    </w:p>
    <w:p w14:paraId="52C9AACF" w14:textId="77777777" w:rsidR="006D6CFA" w:rsidRDefault="006D6CFA" w:rsidP="006D6CFA">
      <w:pPr>
        <w:spacing w:before="100" w:beforeAutospacing="1" w:after="100" w:afterAutospacing="1" w:line="240" w:lineRule="auto"/>
        <w:outlineLvl w:val="0"/>
        <w:rPr>
          <w:rFonts w:ascii="Times New Roman" w:hAnsi="Times New Roman"/>
          <w:sz w:val="24"/>
          <w:szCs w:val="24"/>
        </w:rPr>
      </w:pPr>
      <w:r>
        <w:rPr>
          <w:rFonts w:ascii="Times New Roman" w:hAnsi="Times New Roman"/>
          <w:sz w:val="24"/>
          <w:szCs w:val="24"/>
        </w:rPr>
        <w:t xml:space="preserve">On March 11, 2024, </w:t>
      </w:r>
      <w:r w:rsidRPr="00B36B60">
        <w:rPr>
          <w:rFonts w:ascii="Times New Roman" w:hAnsi="Times New Roman"/>
          <w:sz w:val="24"/>
          <w:szCs w:val="24"/>
          <w:u w:val="single"/>
        </w:rPr>
        <w:t>Jeremy Clawson v. The City of Albany Department of Fire &amp; Emergency</w:t>
      </w:r>
      <w:r>
        <w:rPr>
          <w:rFonts w:ascii="Times New Roman" w:hAnsi="Times New Roman"/>
          <w:sz w:val="24"/>
          <w:szCs w:val="24"/>
        </w:rPr>
        <w:t xml:space="preserve">, the U.S. Court of Appeals for Second Circuit (New York City), in a Summary Order upheld the grant of summary judgment for the city, dismissing the race discrimination lawsuit by Black Captain. </w:t>
      </w:r>
    </w:p>
    <w:p w14:paraId="3E0C4379"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335311D" w14:textId="77777777" w:rsidR="003956F7" w:rsidRDefault="003956F7" w:rsidP="006D6CFA">
      <w:pPr>
        <w:pStyle w:val="NoSpacing"/>
        <w:ind w:left="720"/>
        <w:rPr>
          <w:rFonts w:ascii="Times New Roman" w:hAnsi="Times New Roman"/>
          <w:sz w:val="24"/>
          <w:szCs w:val="24"/>
        </w:rPr>
      </w:pPr>
    </w:p>
    <w:p w14:paraId="1DAAB86B" w14:textId="6EE3C623" w:rsidR="006D6CFA" w:rsidRPr="001434C8" w:rsidRDefault="006D6CFA" w:rsidP="006D6CFA">
      <w:pPr>
        <w:pStyle w:val="NoSpacing"/>
        <w:ind w:left="720"/>
        <w:rPr>
          <w:rFonts w:ascii="Times New Roman" w:eastAsia="Times New Roman" w:hAnsi="Times New Roman"/>
          <w:kern w:val="36"/>
          <w:sz w:val="24"/>
          <w:szCs w:val="24"/>
        </w:rPr>
      </w:pPr>
      <w:r>
        <w:rPr>
          <w:rFonts w:ascii="Times New Roman" w:hAnsi="Times New Roman"/>
          <w:sz w:val="24"/>
          <w:szCs w:val="24"/>
        </w:rPr>
        <w:lastRenderedPageBreak/>
        <w:t>“</w:t>
      </w:r>
      <w:r w:rsidRPr="001434C8">
        <w:rPr>
          <w:rFonts w:ascii="Times New Roman" w:eastAsia="Times New Roman" w:hAnsi="Times New Roman"/>
          <w:kern w:val="36"/>
          <w:sz w:val="24"/>
          <w:szCs w:val="24"/>
        </w:rPr>
        <w:t>The AFD, however, has articulated a legitimate, non-discriminatory rationale for</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rescinding Clawson’s promotion offer. Before he was slated to become battalion chief, Clawson</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 xml:space="preserve">consumed at least seven pints of beer, and proceeded to </w:t>
      </w:r>
      <w:r>
        <w:rPr>
          <w:rFonts w:ascii="Times New Roman" w:eastAsia="Times New Roman" w:hAnsi="Times New Roman"/>
          <w:kern w:val="36"/>
          <w:sz w:val="24"/>
          <w:szCs w:val="24"/>
        </w:rPr>
        <w:t>‘</w:t>
      </w:r>
      <w:r w:rsidRPr="001434C8">
        <w:rPr>
          <w:rFonts w:ascii="Times New Roman" w:eastAsia="Times New Roman" w:hAnsi="Times New Roman"/>
          <w:kern w:val="36"/>
          <w:sz w:val="24"/>
          <w:szCs w:val="24"/>
        </w:rPr>
        <w:t>expos[e] himself</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outsi</w:t>
      </w:r>
      <w:r>
        <w:rPr>
          <w:rFonts w:ascii="Times New Roman" w:eastAsia="Times New Roman" w:hAnsi="Times New Roman"/>
          <w:kern w:val="36"/>
          <w:sz w:val="24"/>
          <w:szCs w:val="24"/>
        </w:rPr>
        <w:t xml:space="preserve">de </w:t>
      </w:r>
      <w:r w:rsidRPr="001434C8">
        <w:rPr>
          <w:rFonts w:ascii="Times New Roman" w:eastAsia="Times New Roman" w:hAnsi="Times New Roman"/>
          <w:kern w:val="36"/>
          <w:sz w:val="24"/>
          <w:szCs w:val="24"/>
        </w:rPr>
        <w:t xml:space="preserve">of a Dunkin’ Donuts, prompting first responders to call an ambulance for </w:t>
      </w:r>
      <w:r>
        <w:rPr>
          <w:rFonts w:ascii="Times New Roman" w:eastAsia="Times New Roman" w:hAnsi="Times New Roman"/>
          <w:kern w:val="36"/>
          <w:sz w:val="24"/>
          <w:szCs w:val="24"/>
        </w:rPr>
        <w:t>‘</w:t>
      </w:r>
      <w:r w:rsidRPr="001434C8">
        <w:rPr>
          <w:rFonts w:ascii="Times New Roman" w:eastAsia="Times New Roman" w:hAnsi="Times New Roman"/>
          <w:kern w:val="36"/>
          <w:sz w:val="24"/>
          <w:szCs w:val="24"/>
        </w:rPr>
        <w:t>a very</w:t>
      </w:r>
    </w:p>
    <w:p w14:paraId="3971A5F5" w14:textId="77777777" w:rsidR="006D6CFA" w:rsidRPr="001434C8" w:rsidRDefault="006D6CFA" w:rsidP="006D6CFA">
      <w:pPr>
        <w:pStyle w:val="NoSpacing"/>
        <w:ind w:firstLine="720"/>
        <w:rPr>
          <w:rFonts w:ascii="Times New Roman" w:eastAsia="Times New Roman" w:hAnsi="Times New Roman"/>
          <w:kern w:val="36"/>
          <w:sz w:val="24"/>
          <w:szCs w:val="24"/>
        </w:rPr>
      </w:pPr>
      <w:r w:rsidRPr="001434C8">
        <w:rPr>
          <w:rFonts w:ascii="Times New Roman" w:eastAsia="Times New Roman" w:hAnsi="Times New Roman"/>
          <w:kern w:val="36"/>
          <w:sz w:val="24"/>
          <w:szCs w:val="24"/>
        </w:rPr>
        <w:t>old male who [was] highly intoxicated and . . . pooped on himself,</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and who was</w:t>
      </w:r>
    </w:p>
    <w:p w14:paraId="57F86D9C" w14:textId="77777777" w:rsidR="006D6CFA" w:rsidRPr="001434C8" w:rsidRDefault="006D6CFA" w:rsidP="006D6CFA">
      <w:pPr>
        <w:pStyle w:val="NoSpacing"/>
        <w:ind w:firstLine="720"/>
        <w:rPr>
          <w:rFonts w:ascii="Times New Roman" w:eastAsia="Times New Roman" w:hAnsi="Times New Roman"/>
          <w:kern w:val="36"/>
          <w:sz w:val="24"/>
          <w:szCs w:val="24"/>
        </w:rPr>
      </w:pPr>
      <w:r>
        <w:rPr>
          <w:rFonts w:ascii="Times New Roman" w:eastAsia="Times New Roman" w:hAnsi="Times New Roman"/>
          <w:kern w:val="36"/>
          <w:sz w:val="24"/>
          <w:szCs w:val="24"/>
        </w:rPr>
        <w:t>‘</w:t>
      </w:r>
      <w:proofErr w:type="gramStart"/>
      <w:r w:rsidRPr="001434C8">
        <w:rPr>
          <w:rFonts w:ascii="Times New Roman" w:eastAsia="Times New Roman" w:hAnsi="Times New Roman"/>
          <w:kern w:val="36"/>
          <w:sz w:val="24"/>
          <w:szCs w:val="24"/>
        </w:rPr>
        <w:t>incoherent</w:t>
      </w:r>
      <w:proofErr w:type="gramEnd"/>
      <w:r w:rsidRPr="001434C8">
        <w:rPr>
          <w:rFonts w:ascii="Times New Roman" w:eastAsia="Times New Roman" w:hAnsi="Times New Roman"/>
          <w:kern w:val="36"/>
          <w:sz w:val="24"/>
          <w:szCs w:val="24"/>
        </w:rPr>
        <w:t xml:space="preserve"> with his pants down around his ankles</w:t>
      </w:r>
      <w:r>
        <w:rPr>
          <w:rFonts w:ascii="Times New Roman" w:eastAsia="Times New Roman" w:hAnsi="Times New Roman"/>
          <w:kern w:val="36"/>
          <w:sz w:val="24"/>
          <w:szCs w:val="24"/>
        </w:rPr>
        <w:t>.’</w:t>
      </w:r>
      <w:r w:rsidRPr="001434C8">
        <w:rPr>
          <w:rFonts w:ascii="Times New Roman" w:eastAsia="Times New Roman" w:hAnsi="Times New Roman"/>
          <w:kern w:val="36"/>
          <w:sz w:val="24"/>
          <w:szCs w:val="24"/>
        </w:rPr>
        <w:t xml:space="preserve"> Following that incident, the</w:t>
      </w:r>
    </w:p>
    <w:p w14:paraId="7091F00E" w14:textId="77777777" w:rsidR="006D6CFA" w:rsidRDefault="006D6CFA" w:rsidP="006D6CFA">
      <w:pPr>
        <w:pStyle w:val="NoSpacing"/>
        <w:ind w:left="720"/>
        <w:rPr>
          <w:rFonts w:ascii="Times New Roman" w:hAnsi="Times New Roman"/>
          <w:sz w:val="24"/>
          <w:szCs w:val="24"/>
        </w:rPr>
      </w:pPr>
      <w:r w:rsidRPr="001434C8">
        <w:rPr>
          <w:rFonts w:ascii="Times New Roman" w:eastAsia="Times New Roman" w:hAnsi="Times New Roman"/>
          <w:kern w:val="36"/>
          <w:sz w:val="24"/>
          <w:szCs w:val="24"/>
        </w:rPr>
        <w:t>AFD determined that Clawson’s promotion to battalion chief would undermine the AFD’s internal</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morale and its public perception, as well as Clawson’s effectiveness as a leader. In these</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circumstances, the AFD has stated a sufficient, non-discriminatory rationale for the adverse</w:t>
      </w:r>
      <w:r>
        <w:rPr>
          <w:rFonts w:ascii="Times New Roman" w:eastAsia="Times New Roman" w:hAnsi="Times New Roman"/>
          <w:kern w:val="36"/>
          <w:sz w:val="24"/>
          <w:szCs w:val="24"/>
        </w:rPr>
        <w:t xml:space="preserve"> </w:t>
      </w:r>
      <w:r w:rsidRPr="005612B3">
        <w:rPr>
          <w:rFonts w:ascii="Times New Roman" w:hAnsi="Times New Roman"/>
          <w:sz w:val="24"/>
          <w:szCs w:val="24"/>
        </w:rPr>
        <w:t>employment action.</w:t>
      </w:r>
    </w:p>
    <w:p w14:paraId="29B348FD" w14:textId="77777777" w:rsidR="006D6CFA" w:rsidRDefault="006D6CFA" w:rsidP="006D6CFA">
      <w:pPr>
        <w:pStyle w:val="NoSpacing"/>
        <w:ind w:left="720"/>
        <w:rPr>
          <w:rFonts w:ascii="Times New Roman" w:hAnsi="Times New Roman"/>
          <w:sz w:val="24"/>
          <w:szCs w:val="24"/>
        </w:rPr>
      </w:pPr>
    </w:p>
    <w:p w14:paraId="5E03EE25" w14:textId="77777777" w:rsidR="006D6CFA" w:rsidRDefault="006D6CFA" w:rsidP="006D6CFA">
      <w:pPr>
        <w:pStyle w:val="NoSpacing"/>
        <w:ind w:left="720"/>
        <w:rPr>
          <w:rFonts w:ascii="Times New Roman" w:hAnsi="Times New Roman"/>
          <w:sz w:val="24"/>
          <w:szCs w:val="24"/>
        </w:rPr>
      </w:pPr>
      <w:r>
        <w:rPr>
          <w:rFonts w:ascii="Times New Roman" w:hAnsi="Times New Roman"/>
          <w:sz w:val="24"/>
          <w:szCs w:val="24"/>
        </w:rPr>
        <w:t>***</w:t>
      </w:r>
    </w:p>
    <w:p w14:paraId="57D3F248" w14:textId="77777777" w:rsidR="006D6CFA" w:rsidRPr="005612B3" w:rsidRDefault="006D6CFA" w:rsidP="006D6CFA">
      <w:pPr>
        <w:pStyle w:val="NoSpacing"/>
        <w:ind w:firstLine="720"/>
        <w:rPr>
          <w:rFonts w:ascii="Times New Roman" w:hAnsi="Times New Roman"/>
          <w:sz w:val="24"/>
          <w:szCs w:val="24"/>
        </w:rPr>
      </w:pPr>
      <w:r w:rsidRPr="005612B3">
        <w:rPr>
          <w:rFonts w:ascii="Times New Roman" w:hAnsi="Times New Roman"/>
          <w:sz w:val="24"/>
          <w:szCs w:val="24"/>
        </w:rPr>
        <w:t>First, Clawson argues that the circumstances of his meeting with the AFD, in which his</w:t>
      </w:r>
    </w:p>
    <w:p w14:paraId="7902A31F" w14:textId="77777777" w:rsidR="006D6CFA" w:rsidRDefault="006D6CFA" w:rsidP="006D6CFA">
      <w:pPr>
        <w:pStyle w:val="NoSpacing"/>
        <w:ind w:left="720"/>
        <w:rPr>
          <w:rFonts w:ascii="Times New Roman" w:hAnsi="Times New Roman"/>
          <w:sz w:val="24"/>
          <w:szCs w:val="24"/>
        </w:rPr>
      </w:pPr>
      <w:r w:rsidRPr="005612B3">
        <w:rPr>
          <w:rFonts w:ascii="Times New Roman" w:hAnsi="Times New Roman"/>
          <w:sz w:val="24"/>
          <w:szCs w:val="24"/>
        </w:rPr>
        <w:t>promotion offer was rescinded, are indicative of discriminatory animus. Specifically, Clawson</w:t>
      </w:r>
      <w:r>
        <w:rPr>
          <w:rFonts w:ascii="Times New Roman" w:hAnsi="Times New Roman"/>
          <w:sz w:val="24"/>
          <w:szCs w:val="24"/>
        </w:rPr>
        <w:t xml:space="preserve"> </w:t>
      </w:r>
      <w:r w:rsidRPr="005612B3">
        <w:rPr>
          <w:rFonts w:ascii="Times New Roman" w:hAnsi="Times New Roman"/>
          <w:sz w:val="24"/>
          <w:szCs w:val="24"/>
        </w:rPr>
        <w:t>points to evidence in the record that the chief of the AFD, Joseph Gregory, requested the presence</w:t>
      </w:r>
      <w:r>
        <w:rPr>
          <w:rFonts w:ascii="Times New Roman" w:hAnsi="Times New Roman"/>
          <w:sz w:val="24"/>
          <w:szCs w:val="24"/>
        </w:rPr>
        <w:t xml:space="preserve"> </w:t>
      </w:r>
      <w:r w:rsidRPr="005612B3">
        <w:rPr>
          <w:rFonts w:ascii="Times New Roman" w:hAnsi="Times New Roman"/>
          <w:sz w:val="24"/>
          <w:szCs w:val="24"/>
        </w:rPr>
        <w:t>of a police officer at the meeting and then explained that the police officer was there because</w:t>
      </w:r>
      <w:r>
        <w:rPr>
          <w:rFonts w:ascii="Times New Roman" w:hAnsi="Times New Roman"/>
          <w:sz w:val="24"/>
          <w:szCs w:val="24"/>
        </w:rPr>
        <w:t xml:space="preserve"> ‘</w:t>
      </w:r>
      <w:r w:rsidRPr="005612B3">
        <w:rPr>
          <w:rFonts w:ascii="Times New Roman" w:hAnsi="Times New Roman"/>
          <w:sz w:val="24"/>
          <w:szCs w:val="24"/>
        </w:rPr>
        <w:t>[y]</w:t>
      </w:r>
      <w:proofErr w:type="spellStart"/>
      <w:r w:rsidRPr="005612B3">
        <w:rPr>
          <w:rFonts w:ascii="Times New Roman" w:hAnsi="Times New Roman"/>
          <w:sz w:val="24"/>
          <w:szCs w:val="24"/>
        </w:rPr>
        <w:t>ou</w:t>
      </w:r>
      <w:proofErr w:type="spellEnd"/>
      <w:r w:rsidRPr="005612B3">
        <w:rPr>
          <w:rFonts w:ascii="Times New Roman" w:hAnsi="Times New Roman"/>
          <w:sz w:val="24"/>
          <w:szCs w:val="24"/>
        </w:rPr>
        <w:t xml:space="preserve"> never know how people are going to react to bad news.</w:t>
      </w:r>
      <w:r>
        <w:rPr>
          <w:rFonts w:ascii="Times New Roman" w:hAnsi="Times New Roman"/>
          <w:sz w:val="24"/>
          <w:szCs w:val="24"/>
        </w:rPr>
        <w:t xml:space="preserve">’ </w:t>
      </w:r>
      <w:r w:rsidRPr="005612B3">
        <w:rPr>
          <w:rFonts w:ascii="Times New Roman" w:hAnsi="Times New Roman"/>
          <w:sz w:val="24"/>
          <w:szCs w:val="24"/>
        </w:rPr>
        <w:t xml:space="preserve"> Clawson</w:t>
      </w:r>
      <w:r>
        <w:rPr>
          <w:rFonts w:ascii="Times New Roman" w:hAnsi="Times New Roman"/>
          <w:sz w:val="24"/>
          <w:szCs w:val="24"/>
        </w:rPr>
        <w:t xml:space="preserve"> </w:t>
      </w:r>
      <w:r w:rsidRPr="005612B3">
        <w:rPr>
          <w:rFonts w:ascii="Times New Roman" w:hAnsi="Times New Roman"/>
          <w:sz w:val="24"/>
          <w:szCs w:val="24"/>
        </w:rPr>
        <w:t>contends that Gregory’s request for a police officer to be present at the meeting—and his</w:t>
      </w:r>
      <w:r>
        <w:rPr>
          <w:rFonts w:ascii="Times New Roman" w:hAnsi="Times New Roman"/>
          <w:sz w:val="24"/>
          <w:szCs w:val="24"/>
        </w:rPr>
        <w:t xml:space="preserve"> </w:t>
      </w:r>
      <w:r w:rsidRPr="005612B3">
        <w:rPr>
          <w:rFonts w:ascii="Times New Roman" w:hAnsi="Times New Roman"/>
          <w:sz w:val="24"/>
          <w:szCs w:val="24"/>
        </w:rPr>
        <w:t xml:space="preserve">explanation for the request—reflects the AFD’s stereotypical and discriminatory view that </w:t>
      </w:r>
      <w:r>
        <w:rPr>
          <w:rFonts w:ascii="Times New Roman" w:hAnsi="Times New Roman"/>
          <w:sz w:val="24"/>
          <w:szCs w:val="24"/>
        </w:rPr>
        <w:t>‘</w:t>
      </w:r>
      <w:r w:rsidRPr="005612B3">
        <w:rPr>
          <w:rFonts w:ascii="Times New Roman" w:hAnsi="Times New Roman"/>
          <w:sz w:val="24"/>
          <w:szCs w:val="24"/>
        </w:rPr>
        <w:t>black</w:t>
      </w:r>
      <w:r>
        <w:rPr>
          <w:rFonts w:ascii="Times New Roman" w:hAnsi="Times New Roman"/>
          <w:sz w:val="24"/>
          <w:szCs w:val="24"/>
        </w:rPr>
        <w:t xml:space="preserve"> </w:t>
      </w:r>
      <w:r w:rsidRPr="005612B3">
        <w:rPr>
          <w:rFonts w:ascii="Times New Roman" w:hAnsi="Times New Roman"/>
          <w:sz w:val="24"/>
          <w:szCs w:val="24"/>
        </w:rPr>
        <w:t>men are dangerous.</w:t>
      </w:r>
      <w:r>
        <w:rPr>
          <w:rFonts w:ascii="Times New Roman" w:hAnsi="Times New Roman"/>
          <w:sz w:val="24"/>
          <w:szCs w:val="24"/>
        </w:rPr>
        <w:t>’</w:t>
      </w:r>
      <w:r w:rsidRPr="005612B3">
        <w:rPr>
          <w:rFonts w:ascii="Times New Roman" w:hAnsi="Times New Roman"/>
          <w:sz w:val="24"/>
          <w:szCs w:val="24"/>
        </w:rPr>
        <w:t xml:space="preserve">  Under the circumstances here, a reasonable jury</w:t>
      </w:r>
      <w:r>
        <w:rPr>
          <w:rFonts w:ascii="Times New Roman" w:hAnsi="Times New Roman"/>
          <w:sz w:val="24"/>
          <w:szCs w:val="24"/>
        </w:rPr>
        <w:t xml:space="preserve"> </w:t>
      </w:r>
      <w:r w:rsidRPr="005612B3">
        <w:rPr>
          <w:rFonts w:ascii="Times New Roman" w:hAnsi="Times New Roman"/>
          <w:sz w:val="24"/>
          <w:szCs w:val="24"/>
        </w:rPr>
        <w:t>could not infer from this evidence that Gregory’s actions were related to Clawson’s race.</w:t>
      </w:r>
    </w:p>
    <w:p w14:paraId="7538DCD6" w14:textId="77777777" w:rsidR="006D6CFA" w:rsidRDefault="006D6CFA" w:rsidP="006D6CFA">
      <w:pPr>
        <w:pStyle w:val="NoSpacing"/>
        <w:ind w:left="720"/>
        <w:rPr>
          <w:rFonts w:ascii="Times New Roman" w:hAnsi="Times New Roman"/>
          <w:sz w:val="24"/>
          <w:szCs w:val="24"/>
        </w:rPr>
      </w:pPr>
    </w:p>
    <w:p w14:paraId="217CF242" w14:textId="77777777" w:rsidR="006D6CFA" w:rsidRDefault="006D6CFA" w:rsidP="006D6CFA">
      <w:pPr>
        <w:pStyle w:val="NoSpacing"/>
        <w:ind w:left="720"/>
        <w:rPr>
          <w:rFonts w:ascii="Times New Roman" w:hAnsi="Times New Roman"/>
          <w:sz w:val="24"/>
          <w:szCs w:val="24"/>
        </w:rPr>
      </w:pPr>
      <w:r>
        <w:rPr>
          <w:rFonts w:ascii="Times New Roman" w:hAnsi="Times New Roman"/>
          <w:sz w:val="24"/>
          <w:szCs w:val="24"/>
        </w:rPr>
        <w:t>***</w:t>
      </w:r>
    </w:p>
    <w:p w14:paraId="516692D6" w14:textId="77777777" w:rsidR="006D6CFA" w:rsidRPr="005612B3" w:rsidRDefault="006D6CFA" w:rsidP="006D6CFA">
      <w:pPr>
        <w:pStyle w:val="NoSpacing"/>
        <w:ind w:left="720"/>
        <w:rPr>
          <w:rFonts w:ascii="Times New Roman" w:hAnsi="Times New Roman"/>
          <w:sz w:val="24"/>
          <w:szCs w:val="24"/>
        </w:rPr>
      </w:pPr>
    </w:p>
    <w:p w14:paraId="671BF2CF" w14:textId="77777777" w:rsidR="006D6CFA" w:rsidRDefault="006D6CFA" w:rsidP="006D6CFA">
      <w:pPr>
        <w:pStyle w:val="NoSpacing"/>
        <w:ind w:left="720"/>
        <w:rPr>
          <w:rFonts w:ascii="Times New Roman" w:hAnsi="Times New Roman"/>
          <w:sz w:val="24"/>
          <w:szCs w:val="24"/>
        </w:rPr>
      </w:pPr>
      <w:r w:rsidRPr="00997C49">
        <w:rPr>
          <w:rFonts w:ascii="Times New Roman" w:hAnsi="Times New Roman"/>
          <w:sz w:val="24"/>
          <w:szCs w:val="24"/>
        </w:rPr>
        <w:t>As evidence of his allegedly superior qualifications, Clawson points only to the fact that the person</w:t>
      </w:r>
      <w:r>
        <w:rPr>
          <w:rFonts w:ascii="Times New Roman" w:hAnsi="Times New Roman"/>
          <w:sz w:val="24"/>
          <w:szCs w:val="24"/>
        </w:rPr>
        <w:t xml:space="preserve"> </w:t>
      </w:r>
      <w:r w:rsidRPr="00997C49">
        <w:rPr>
          <w:rFonts w:ascii="Times New Roman" w:hAnsi="Times New Roman"/>
          <w:sz w:val="24"/>
          <w:szCs w:val="24"/>
        </w:rPr>
        <w:t>ultimately selected to be battalion chief, Captain Kowalski, scored second on the civil service exam</w:t>
      </w:r>
      <w:r>
        <w:rPr>
          <w:rFonts w:ascii="Times New Roman" w:hAnsi="Times New Roman"/>
          <w:sz w:val="24"/>
          <w:szCs w:val="24"/>
        </w:rPr>
        <w:t xml:space="preserve"> </w:t>
      </w:r>
      <w:r w:rsidRPr="00997C49">
        <w:rPr>
          <w:rFonts w:ascii="Times New Roman" w:hAnsi="Times New Roman"/>
          <w:sz w:val="24"/>
          <w:szCs w:val="24"/>
        </w:rPr>
        <w:t>after Clawson. Clawson thus ignores the undisputed record evidence that he engaged in an act</w:t>
      </w:r>
      <w:r>
        <w:rPr>
          <w:rFonts w:ascii="Times New Roman" w:hAnsi="Times New Roman"/>
          <w:sz w:val="24"/>
          <w:szCs w:val="24"/>
        </w:rPr>
        <w:t xml:space="preserve"> </w:t>
      </w:r>
      <w:r w:rsidRPr="00997C49">
        <w:rPr>
          <w:rFonts w:ascii="Times New Roman" w:hAnsi="Times New Roman"/>
          <w:sz w:val="24"/>
          <w:szCs w:val="24"/>
        </w:rPr>
        <w:t>of misconduct only days before his planned promotion. And Clawson does not even contend—</w:t>
      </w:r>
      <w:r>
        <w:rPr>
          <w:rFonts w:ascii="Times New Roman" w:hAnsi="Times New Roman"/>
          <w:sz w:val="24"/>
          <w:szCs w:val="24"/>
        </w:rPr>
        <w:t xml:space="preserve"> </w:t>
      </w:r>
      <w:r w:rsidRPr="00997C49">
        <w:rPr>
          <w:rFonts w:ascii="Times New Roman" w:hAnsi="Times New Roman"/>
          <w:sz w:val="24"/>
          <w:szCs w:val="24"/>
        </w:rPr>
        <w:t>nor could he, on the record before us—that Kowalski committed acts of misconduct or otherwise</w:t>
      </w:r>
      <w:r>
        <w:rPr>
          <w:rFonts w:ascii="Times New Roman" w:hAnsi="Times New Roman"/>
          <w:sz w:val="24"/>
          <w:szCs w:val="24"/>
        </w:rPr>
        <w:t xml:space="preserve"> </w:t>
      </w:r>
      <w:r w:rsidRPr="00997C49">
        <w:rPr>
          <w:rFonts w:ascii="Times New Roman" w:hAnsi="Times New Roman"/>
          <w:sz w:val="24"/>
          <w:szCs w:val="24"/>
        </w:rPr>
        <w:t>misbehaved during his tenure at the AFD. Therefore, Clawson has failed to present sufficient</w:t>
      </w:r>
      <w:r>
        <w:rPr>
          <w:rFonts w:ascii="Times New Roman" w:hAnsi="Times New Roman"/>
          <w:sz w:val="24"/>
          <w:szCs w:val="24"/>
        </w:rPr>
        <w:t xml:space="preserve"> </w:t>
      </w:r>
      <w:r w:rsidRPr="00997C49">
        <w:rPr>
          <w:rFonts w:ascii="Times New Roman" w:hAnsi="Times New Roman"/>
          <w:sz w:val="24"/>
          <w:szCs w:val="24"/>
        </w:rPr>
        <w:t>evidence that the AFD’s decision to promote Kowalski, whose score on the civil service exam</w:t>
      </w:r>
      <w:r>
        <w:rPr>
          <w:rFonts w:ascii="Times New Roman" w:hAnsi="Times New Roman"/>
          <w:sz w:val="24"/>
          <w:szCs w:val="24"/>
        </w:rPr>
        <w:t xml:space="preserve"> </w:t>
      </w:r>
      <w:r w:rsidRPr="00997C49">
        <w:rPr>
          <w:rFonts w:ascii="Times New Roman" w:hAnsi="Times New Roman"/>
          <w:sz w:val="24"/>
          <w:szCs w:val="24"/>
        </w:rPr>
        <w:t xml:space="preserve">placed him next in line for the battalion chief position, was motivated by race </w:t>
      </w:r>
      <w:proofErr w:type="gramStart"/>
      <w:r w:rsidRPr="00997C49">
        <w:rPr>
          <w:rFonts w:ascii="Times New Roman" w:hAnsi="Times New Roman"/>
          <w:sz w:val="24"/>
          <w:szCs w:val="24"/>
        </w:rPr>
        <w:t>discrimination.</w:t>
      </w:r>
      <w:r>
        <w:rPr>
          <w:rFonts w:ascii="Times New Roman" w:hAnsi="Times New Roman"/>
          <w:sz w:val="24"/>
          <w:szCs w:val="24"/>
        </w:rPr>
        <w:t>”</w:t>
      </w:r>
      <w:proofErr w:type="gramEnd"/>
    </w:p>
    <w:p w14:paraId="363ECB96" w14:textId="77777777" w:rsidR="006D6CFA" w:rsidRPr="005612B3" w:rsidRDefault="006D6CFA" w:rsidP="006D6CFA">
      <w:pPr>
        <w:pStyle w:val="NoSpacing"/>
        <w:ind w:left="720"/>
        <w:rPr>
          <w:rFonts w:ascii="Times New Roman" w:hAnsi="Times New Roman"/>
          <w:sz w:val="24"/>
          <w:szCs w:val="24"/>
        </w:rPr>
      </w:pPr>
      <w:r>
        <w:rPr>
          <w:rFonts w:ascii="Times New Roman" w:hAnsi="Times New Roman"/>
          <w:sz w:val="24"/>
          <w:szCs w:val="24"/>
        </w:rPr>
        <w:t xml:space="preserve"> </w:t>
      </w:r>
      <w:hyperlink r:id="rId1474" w:anchor="xml=https://ww3.ca2.uscourts.gov/decisions/isysquery/16788bba-62d9-413f-95b7-7dccd6899f82/2/hilite/" w:history="1">
        <w:r w:rsidRPr="0090149E">
          <w:rPr>
            <w:rStyle w:val="Hyperlink"/>
            <w:rFonts w:ascii="Times New Roman" w:hAnsi="Times New Roman"/>
            <w:sz w:val="24"/>
            <w:szCs w:val="24"/>
          </w:rPr>
          <w:t>https://ww3.ca2.uscourts.gov/decisions/isysquery/16788bba-62d9-413f-95b7-7dccd6899f82/2/doc/23-482_so.pdf#xml=https://ww3.ca2.uscourts.gov/decisions/isysquery/16788bba-62d9-413f-95b7-7dccd6899f82/2/hilite/</w:t>
        </w:r>
      </w:hyperlink>
      <w:r>
        <w:rPr>
          <w:rFonts w:ascii="Times New Roman" w:hAnsi="Times New Roman"/>
          <w:sz w:val="24"/>
          <w:szCs w:val="24"/>
        </w:rPr>
        <w:t xml:space="preserve"> </w:t>
      </w:r>
    </w:p>
    <w:p w14:paraId="7D804E14" w14:textId="77777777" w:rsidR="006D6CFA" w:rsidRPr="001434C8" w:rsidRDefault="006D6CFA" w:rsidP="006D6CFA">
      <w:pPr>
        <w:pStyle w:val="NoSpacing"/>
        <w:rPr>
          <w:rFonts w:ascii="Times New Roman" w:eastAsia="Times New Roman" w:hAnsi="Times New Roman"/>
          <w:kern w:val="36"/>
          <w:sz w:val="24"/>
          <w:szCs w:val="24"/>
        </w:rPr>
      </w:pPr>
    </w:p>
    <w:p w14:paraId="3E404F79" w14:textId="77777777" w:rsidR="006D6CFA" w:rsidRPr="00FE64F6" w:rsidRDefault="006D6CFA" w:rsidP="006D6CFA">
      <w:pPr>
        <w:pStyle w:val="NoSpacing"/>
        <w:rPr>
          <w:rFonts w:ascii="Times New Roman" w:hAnsi="Times New Roman"/>
          <w:b/>
          <w:bCs/>
          <w:sz w:val="24"/>
          <w:szCs w:val="24"/>
        </w:rPr>
      </w:pPr>
      <w:r w:rsidRPr="00FE64F6">
        <w:rPr>
          <w:rFonts w:ascii="Times New Roman" w:hAnsi="Times New Roman"/>
          <w:b/>
          <w:bCs/>
          <w:sz w:val="24"/>
          <w:szCs w:val="24"/>
        </w:rPr>
        <w:t xml:space="preserve">Legal Lesson Learned: </w:t>
      </w:r>
      <w:r>
        <w:rPr>
          <w:rFonts w:ascii="Times New Roman" w:hAnsi="Times New Roman"/>
          <w:b/>
          <w:bCs/>
          <w:sz w:val="24"/>
          <w:szCs w:val="24"/>
        </w:rPr>
        <w:t xml:space="preserve">The FD had a legitimate reason to rescind the promotion. </w:t>
      </w:r>
    </w:p>
    <w:p w14:paraId="4435B8B0" w14:textId="77777777" w:rsidR="006D6CFA" w:rsidRDefault="006D6CFA" w:rsidP="006D6CFA">
      <w:pPr>
        <w:pStyle w:val="NormalWeb"/>
        <w:spacing w:before="0" w:beforeAutospacing="0"/>
      </w:pPr>
    </w:p>
    <w:p w14:paraId="5BFB08B5" w14:textId="77777777" w:rsidR="006D6CFA" w:rsidRDefault="006D6CFA" w:rsidP="006D6CFA">
      <w:pPr>
        <w:pStyle w:val="NormalWeb"/>
        <w:spacing w:before="0" w:beforeAutospacing="0"/>
      </w:pPr>
    </w:p>
    <w:p w14:paraId="5702278F" w14:textId="2C0BDF01" w:rsidR="005251B2" w:rsidRDefault="005251B2" w:rsidP="00BC70A3">
      <w:pPr>
        <w:rPr>
          <w:rFonts w:ascii="Arial Black" w:hAnsi="Arial Black"/>
          <w:b/>
          <w:sz w:val="24"/>
          <w:szCs w:val="24"/>
        </w:rPr>
      </w:pPr>
      <w:r>
        <w:rPr>
          <w:rFonts w:ascii="Arial Black" w:hAnsi="Arial Black"/>
          <w:b/>
          <w:sz w:val="24"/>
          <w:szCs w:val="24"/>
        </w:rPr>
        <w:t>8-58</w:t>
      </w:r>
    </w:p>
    <w:p w14:paraId="2B8448C9" w14:textId="77777777" w:rsidR="00267A43" w:rsidRDefault="00267A43" w:rsidP="00267A43">
      <w:pPr>
        <w:pStyle w:val="NormalWeb"/>
        <w:rPr>
          <w:rFonts w:ascii="Arial Black" w:hAnsi="Arial Black"/>
          <w:sz w:val="28"/>
          <w:szCs w:val="28"/>
        </w:rPr>
      </w:pPr>
      <w:r w:rsidRPr="00674E4D">
        <w:rPr>
          <w:rFonts w:ascii="Arial Black" w:hAnsi="Arial Black"/>
          <w:sz w:val="28"/>
          <w:szCs w:val="28"/>
        </w:rPr>
        <w:t xml:space="preserve">OH: </w:t>
      </w:r>
      <w:r>
        <w:rPr>
          <w:rFonts w:ascii="Arial Black" w:hAnsi="Arial Black"/>
          <w:sz w:val="28"/>
          <w:szCs w:val="28"/>
        </w:rPr>
        <w:t>SCBAs – OSHA REQUIRES CLEAN SHAVEN – BLACK FF RETIRED INSTEAD OF SHAVING – NO ADA / RACE DISCRIM.</w:t>
      </w:r>
    </w:p>
    <w:p w14:paraId="0CE91A91" w14:textId="77777777" w:rsidR="00267A43" w:rsidRPr="00CC55BD" w:rsidRDefault="00267A43" w:rsidP="00267A43">
      <w:pPr>
        <w:pStyle w:val="NormalWeb"/>
      </w:pPr>
      <w:r>
        <w:t xml:space="preserve">On Feb. 28, 2024, in </w:t>
      </w:r>
      <w:r w:rsidRPr="00293519">
        <w:rPr>
          <w:u w:val="single"/>
        </w:rPr>
        <w:t>Anthony Davis c. City of Cleveland, et al</w:t>
      </w:r>
      <w:r>
        <w:t xml:space="preserve">., U.S. District Court Judge Solomon Oliver, Jr., U.S. District Court for Northern District of Ohio (Eastern District) granted the city’s motion for judgment on the pleadings.  </w:t>
      </w:r>
    </w:p>
    <w:p w14:paraId="65ACF475" w14:textId="77777777" w:rsidR="00267A43" w:rsidRDefault="00267A43" w:rsidP="00267A43">
      <w:pPr>
        <w:pStyle w:val="NormalWeb"/>
      </w:pPr>
      <w:r>
        <w:t xml:space="preserve">The Court held:  </w:t>
      </w:r>
    </w:p>
    <w:p w14:paraId="372B06CB" w14:textId="77777777" w:rsidR="00267A43" w:rsidRDefault="00267A43" w:rsidP="00267A43">
      <w:pPr>
        <w:pStyle w:val="NormalWeb"/>
        <w:ind w:left="720"/>
      </w:pPr>
      <w:r>
        <w:lastRenderedPageBreak/>
        <w:t>“</w:t>
      </w:r>
      <w:r w:rsidRPr="002C1351">
        <w:t>In sum, Ohio law requires Cleveland to follow OSHA regulations. And those regulations make clear that firefighters with beards may not wear SCBAs. *** And in any event, the court finds that Cleveland's policy is in fact based on business necessity. Accordingly, the court grants</w:t>
      </w:r>
      <w:r>
        <w:t xml:space="preserve"> judgment on the pleadings to Cleveland on Davis's race-discrimination claims. *** Cleveland argues that Davis's requested accommodation-that he be permitted to maintain a short beard-was </w:t>
      </w:r>
      <w:r>
        <w:rPr>
          <w:rStyle w:val="Emphasis"/>
        </w:rPr>
        <w:t>per se</w:t>
      </w:r>
      <w:r>
        <w:t xml:space="preserve"> unreasonable because providing it would have required Cleveland to contravene binding OSHA regulations. The court agrees. *** Davis brings a sympathetic case. He allegedly suffers from a skin condition that afflicts Black men only and was forced to leave the firefighting force-his career of nearly two decades-through no fault of his own. Nevertheless, the court is constrained by the law with respect to the claims he pled.” </w:t>
      </w:r>
      <w:hyperlink r:id="rId1475" w:history="1">
        <w:r w:rsidRPr="00050BB1">
          <w:rPr>
            <w:rStyle w:val="Hyperlink"/>
          </w:rPr>
          <w:t>https://public.fastcase.com/H1P9uiW3J20SFp%2BGCG%2BxLZkQf01yoKKyjTHIQ3i58nX%2B%2FAIlJ7l43hvEF8qKhahXQJQ44fkPKDzD6joZ4LsI7iTOFXPdH5%2Fv%2FKD427ldKjE%3D?utm_medium=email&amp;_hsmi=226712652&amp;_hsenc=p2ANqtz-_U89LkNl4P4fsnOucPHRbeGtR2XeKR1phEbD7-UuIt_KCX3oxL0CAr1yX56v7BapUY4ITdG8_rGIJJyhgPBOVmvvkgdg&amp;utm_content=226712652&amp;utm_source=hs_email</w:t>
        </w:r>
      </w:hyperlink>
      <w:r>
        <w:t xml:space="preserve"> </w:t>
      </w:r>
    </w:p>
    <w:p w14:paraId="6314C5BA" w14:textId="77777777" w:rsidR="00267A43" w:rsidRPr="006A2CE2" w:rsidRDefault="00267A43" w:rsidP="00267A43">
      <w:pPr>
        <w:pStyle w:val="NormalWeb"/>
        <w:rPr>
          <w:b/>
          <w:bCs/>
        </w:rPr>
      </w:pPr>
      <w:r w:rsidRPr="006A2CE2">
        <w:rPr>
          <w:b/>
          <w:bCs/>
        </w:rPr>
        <w:t>Legal Lesson Learned:</w:t>
      </w:r>
      <w:r>
        <w:rPr>
          <w:b/>
          <w:bCs/>
        </w:rPr>
        <w:t xml:space="preserve"> Numerous courts have upheld the OSHA regulations. </w:t>
      </w:r>
    </w:p>
    <w:p w14:paraId="2EF25B6B" w14:textId="77777777" w:rsidR="00267A43" w:rsidRDefault="00267A43" w:rsidP="00267A43">
      <w:pPr>
        <w:pStyle w:val="NormalWeb"/>
        <w:ind w:left="720"/>
      </w:pPr>
      <w:r w:rsidRPr="008E69EB">
        <w:t xml:space="preserve">Note: See these cases. </w:t>
      </w:r>
      <w:r w:rsidRPr="008E69EB">
        <w:rPr>
          <w:rStyle w:val="Emphasis"/>
        </w:rPr>
        <w:t>See, e.g.</w:t>
      </w:r>
      <w:r w:rsidRPr="008E69EB">
        <w:t xml:space="preserve">, </w:t>
      </w:r>
      <w:r w:rsidRPr="008E69EB">
        <w:rPr>
          <w:rStyle w:val="Emphasis"/>
        </w:rPr>
        <w:t>Bey</w:t>
      </w:r>
      <w:r w:rsidRPr="008E69EB">
        <w:t xml:space="preserve">, 999 F.3d at 170 (“Title VII cannot be used to require employers to depart from binding federal regulations.”); </w:t>
      </w:r>
      <w:r w:rsidRPr="008E69EB">
        <w:rPr>
          <w:rStyle w:val="Emphasis"/>
        </w:rPr>
        <w:t>Jones v. City of Jacksonville</w:t>
      </w:r>
      <w:r w:rsidRPr="008E69EB">
        <w:t xml:space="preserve">, 2023 WL 3595154, at *6 (M.D. Fla. Jan. 13, 2023) (“Legally binding federal regulations present a complete defense [to Title VII claims].”); </w:t>
      </w:r>
      <w:r w:rsidRPr="008E69EB">
        <w:rPr>
          <w:rStyle w:val="Emphasis"/>
        </w:rPr>
        <w:t>see also Fitzpatrick v. City of Atlanta</w:t>
      </w:r>
      <w:r w:rsidRPr="008E69EB">
        <w:t>, 2 F.3d 1112, 1119-21 (11th Cir. 1993) (holding that safety concerns made defendant city's “ban on shadow beards” a business necessity, even though the city was “not required by law to comply with OSHA standards”).</w:t>
      </w:r>
    </w:p>
    <w:p w14:paraId="22A9F276" w14:textId="77777777" w:rsidR="00267A43" w:rsidRDefault="00267A43" w:rsidP="00267A43">
      <w:pPr>
        <w:pStyle w:val="byline"/>
        <w:ind w:left="720"/>
      </w:pPr>
      <w:r>
        <w:t xml:space="preserve">In 2008, however, Washington. D.C. Fire Department lost at trial court level on summary judgment without a trial.  The U.S. Court of Appeals for the D.C. Circuit upheld, with strong concurring opinion.  WILLIAMS, Senior Circuit Judge, concurring: </w:t>
      </w:r>
    </w:p>
    <w:p w14:paraId="6CC7637E" w14:textId="77777777" w:rsidR="00267A43" w:rsidRPr="008E69EB" w:rsidRDefault="00267A43" w:rsidP="00267A43">
      <w:pPr>
        <w:pStyle w:val="paragraph"/>
        <w:ind w:left="1440"/>
      </w:pPr>
      <w:r>
        <w:t xml:space="preserve">“The record here unequivocally discloses a disputed issue of material fact. Yet the district court granted summary judgment. If the sole aim of the law were an open search for truth, we would plainly reverse.”  </w:t>
      </w:r>
      <w:r w:rsidRPr="00B75B81">
        <w:rPr>
          <w:u w:val="single"/>
        </w:rPr>
        <w:t>Potter v. District of Columbia</w:t>
      </w:r>
      <w:r>
        <w:t xml:space="preserve">, </w:t>
      </w:r>
      <w:hyperlink r:id="rId1476" w:history="1">
        <w:r w:rsidRPr="00050BB1">
          <w:rPr>
            <w:rStyle w:val="Hyperlink"/>
          </w:rPr>
          <w:t>https://casetext.com/case/potter-v-district-of-columbia-2</w:t>
        </w:r>
      </w:hyperlink>
      <w:r>
        <w:t xml:space="preserve"> </w:t>
      </w:r>
    </w:p>
    <w:p w14:paraId="7E8ABD12" w14:textId="77777777" w:rsidR="00267A43" w:rsidRDefault="00267A43" w:rsidP="00BC70A3">
      <w:pPr>
        <w:rPr>
          <w:rFonts w:ascii="Arial Black" w:hAnsi="Arial Black"/>
          <w:b/>
          <w:sz w:val="24"/>
          <w:szCs w:val="24"/>
        </w:rPr>
      </w:pPr>
    </w:p>
    <w:p w14:paraId="11BAD1FC" w14:textId="77777777" w:rsidR="005251B2" w:rsidRDefault="005251B2" w:rsidP="00BC70A3">
      <w:pPr>
        <w:rPr>
          <w:rFonts w:ascii="Arial Black" w:hAnsi="Arial Black"/>
          <w:b/>
          <w:sz w:val="24"/>
          <w:szCs w:val="24"/>
        </w:rPr>
      </w:pPr>
    </w:p>
    <w:p w14:paraId="34C20508" w14:textId="08B48E11" w:rsidR="00E47A1F" w:rsidRDefault="00E47A1F" w:rsidP="00BC70A3">
      <w:pPr>
        <w:rPr>
          <w:rFonts w:ascii="Arial Black" w:hAnsi="Arial Black"/>
          <w:b/>
          <w:sz w:val="24"/>
          <w:szCs w:val="24"/>
        </w:rPr>
      </w:pPr>
      <w:r>
        <w:rPr>
          <w:rFonts w:ascii="Arial Black" w:hAnsi="Arial Black"/>
          <w:b/>
          <w:sz w:val="24"/>
          <w:szCs w:val="24"/>
        </w:rPr>
        <w:t>8-57</w:t>
      </w:r>
    </w:p>
    <w:p w14:paraId="01EC4513" w14:textId="2576FA2B" w:rsidR="00D96E5D" w:rsidRDefault="00D96E5D" w:rsidP="00D96E5D">
      <w:pPr>
        <w:pStyle w:val="Heading1"/>
        <w:rPr>
          <w:rFonts w:ascii="Arial Black" w:hAnsi="Arial Black"/>
          <w:sz w:val="28"/>
          <w:szCs w:val="28"/>
        </w:rPr>
      </w:pPr>
      <w:r w:rsidRPr="00950088">
        <w:rPr>
          <w:rFonts w:ascii="Arial Black" w:hAnsi="Arial Black"/>
          <w:sz w:val="28"/>
          <w:szCs w:val="28"/>
        </w:rPr>
        <w:t>MS:</w:t>
      </w:r>
      <w:r>
        <w:rPr>
          <w:rFonts w:ascii="Arial Black" w:hAnsi="Arial Black"/>
          <w:sz w:val="28"/>
          <w:szCs w:val="28"/>
        </w:rPr>
        <w:t xml:space="preserve"> DIVERSITY SCHOLARSHIPS – NAT. ASSOC. OF EMERG. TECHNICIANS –</w:t>
      </w:r>
      <w:r w:rsidR="00A34572">
        <w:rPr>
          <w:rFonts w:ascii="Arial Black" w:hAnsi="Arial Black"/>
          <w:sz w:val="28"/>
          <w:szCs w:val="28"/>
        </w:rPr>
        <w:t xml:space="preserve"> </w:t>
      </w:r>
      <w:r>
        <w:rPr>
          <w:rFonts w:ascii="Arial Black" w:hAnsi="Arial Black"/>
          <w:sz w:val="28"/>
          <w:szCs w:val="28"/>
        </w:rPr>
        <w:t>PLAINTIFF GROUP DENIED TRO</w:t>
      </w:r>
    </w:p>
    <w:p w14:paraId="60229882" w14:textId="77777777" w:rsidR="00D96E5D" w:rsidRDefault="00D96E5D" w:rsidP="00D96E5D">
      <w:pPr>
        <w:pStyle w:val="Heading1"/>
        <w:rPr>
          <w:b w:val="0"/>
          <w:bCs w:val="0"/>
          <w:sz w:val="24"/>
          <w:szCs w:val="24"/>
        </w:rPr>
      </w:pPr>
      <w:r w:rsidRPr="00F27874">
        <w:rPr>
          <w:b w:val="0"/>
          <w:bCs w:val="0"/>
          <w:sz w:val="24"/>
          <w:szCs w:val="24"/>
        </w:rPr>
        <w:t xml:space="preserve">On </w:t>
      </w:r>
      <w:r>
        <w:rPr>
          <w:b w:val="0"/>
          <w:bCs w:val="0"/>
          <w:sz w:val="24"/>
          <w:szCs w:val="24"/>
        </w:rPr>
        <w:t xml:space="preserve">Jan. 23, 2024, in </w:t>
      </w:r>
      <w:r w:rsidRPr="00A7776E">
        <w:rPr>
          <w:b w:val="0"/>
          <w:bCs w:val="0"/>
          <w:sz w:val="24"/>
          <w:szCs w:val="24"/>
          <w:u w:val="single"/>
        </w:rPr>
        <w:t>Do No Harm v. National Association of Emergency Medical Technicians</w:t>
      </w:r>
      <w:r>
        <w:rPr>
          <w:b w:val="0"/>
          <w:bCs w:val="0"/>
          <w:sz w:val="24"/>
          <w:szCs w:val="24"/>
        </w:rPr>
        <w:t>, U.S. District Court Judge Carlton W. Reeves, U.S. District Court for the Southern District of Mississippi (Northern Division) denied the Plaintiff group’s motion for Temporary Restraining Order since no White member of the group has applied or been denied the scholarships. The NAEMT may therefore proceed with its application process for four $1,250 “diversity” scholarships to attend EMT school (applications due F</w:t>
      </w:r>
      <w:r w:rsidRPr="001F447E">
        <w:rPr>
          <w:b w:val="0"/>
          <w:bCs w:val="0"/>
          <w:sz w:val="24"/>
          <w:szCs w:val="24"/>
        </w:rPr>
        <w:t xml:space="preserve">ebruary 1, 2024 </w:t>
      </w:r>
      <w:r>
        <w:rPr>
          <w:b w:val="0"/>
          <w:bCs w:val="0"/>
          <w:sz w:val="24"/>
          <w:szCs w:val="24"/>
        </w:rPr>
        <w:t xml:space="preserve">- </w:t>
      </w:r>
      <w:r w:rsidRPr="001F447E">
        <w:rPr>
          <w:b w:val="0"/>
          <w:bCs w:val="0"/>
          <w:sz w:val="24"/>
          <w:szCs w:val="24"/>
        </w:rPr>
        <w:t>March 31, 2024</w:t>
      </w:r>
      <w:r>
        <w:rPr>
          <w:b w:val="0"/>
          <w:bCs w:val="0"/>
          <w:sz w:val="24"/>
          <w:szCs w:val="24"/>
        </w:rPr>
        <w:t xml:space="preserve">); </w:t>
      </w:r>
      <w:proofErr w:type="gramStart"/>
      <w:r>
        <w:rPr>
          <w:b w:val="0"/>
          <w:bCs w:val="0"/>
          <w:sz w:val="24"/>
          <w:szCs w:val="24"/>
        </w:rPr>
        <w:t>however</w:t>
      </w:r>
      <w:proofErr w:type="gramEnd"/>
      <w:r>
        <w:rPr>
          <w:b w:val="0"/>
          <w:bCs w:val="0"/>
          <w:sz w:val="24"/>
          <w:szCs w:val="24"/>
        </w:rPr>
        <w:t xml:space="preserve"> the Court notes they have taken down the scholarship from their web page. </w:t>
      </w:r>
    </w:p>
    <w:p w14:paraId="2A418C52" w14:textId="77777777" w:rsidR="00D96E5D" w:rsidRPr="001B6242" w:rsidRDefault="00D96E5D" w:rsidP="00D96E5D">
      <w:pPr>
        <w:pStyle w:val="NoSpacing"/>
        <w:ind w:firstLine="720"/>
        <w:rPr>
          <w:rFonts w:ascii="Times New Roman" w:hAnsi="Times New Roman"/>
          <w:sz w:val="24"/>
          <w:szCs w:val="24"/>
        </w:rPr>
      </w:pPr>
      <w:r>
        <w:rPr>
          <w:rFonts w:ascii="Times New Roman" w:hAnsi="Times New Roman"/>
          <w:sz w:val="24"/>
          <w:szCs w:val="24"/>
        </w:rPr>
        <w:t>“</w:t>
      </w:r>
      <w:r w:rsidRPr="001B6242">
        <w:rPr>
          <w:rFonts w:ascii="Times New Roman" w:hAnsi="Times New Roman"/>
          <w:sz w:val="24"/>
          <w:szCs w:val="24"/>
        </w:rPr>
        <w:t>Applied here, the caselaw suggests infirmities in Do No Harm’s standing to bring this</w:t>
      </w:r>
    </w:p>
    <w:p w14:paraId="2FB0EF25" w14:textId="77777777" w:rsidR="00D96E5D" w:rsidRPr="001B6242" w:rsidRDefault="00D96E5D" w:rsidP="00D96E5D">
      <w:pPr>
        <w:pStyle w:val="NoSpacing"/>
        <w:ind w:firstLine="720"/>
        <w:rPr>
          <w:rFonts w:ascii="Times New Roman" w:hAnsi="Times New Roman"/>
          <w:sz w:val="24"/>
          <w:szCs w:val="24"/>
        </w:rPr>
      </w:pPr>
      <w:r w:rsidRPr="001B6242">
        <w:rPr>
          <w:rFonts w:ascii="Times New Roman" w:hAnsi="Times New Roman"/>
          <w:sz w:val="24"/>
          <w:szCs w:val="24"/>
        </w:rPr>
        <w:lastRenderedPageBreak/>
        <w:t>§ 1981 claim. Its member has apparently only been deterred from applying, rather than</w:t>
      </w:r>
    </w:p>
    <w:p w14:paraId="31D3319D" w14:textId="77777777" w:rsidR="00D96E5D" w:rsidRDefault="00D96E5D" w:rsidP="00D96E5D">
      <w:pPr>
        <w:pStyle w:val="NoSpacing"/>
        <w:ind w:left="720"/>
        <w:rPr>
          <w:rFonts w:ascii="Times New Roman" w:hAnsi="Times New Roman"/>
          <w:sz w:val="24"/>
          <w:szCs w:val="24"/>
        </w:rPr>
      </w:pPr>
      <w:r w:rsidRPr="001B6242">
        <w:rPr>
          <w:rFonts w:ascii="Times New Roman" w:hAnsi="Times New Roman"/>
          <w:sz w:val="24"/>
          <w:szCs w:val="24"/>
        </w:rPr>
        <w:t>refused a contract. See Arguello, 330 F.3d at 358-59. And in the absence of a racial requirement</w:t>
      </w:r>
      <w:r>
        <w:rPr>
          <w:rFonts w:ascii="Times New Roman" w:hAnsi="Times New Roman"/>
          <w:sz w:val="24"/>
          <w:szCs w:val="24"/>
        </w:rPr>
        <w:t xml:space="preserve"> </w:t>
      </w:r>
      <w:r w:rsidRPr="001B6242">
        <w:rPr>
          <w:rFonts w:ascii="Times New Roman" w:hAnsi="Times New Roman"/>
          <w:sz w:val="24"/>
          <w:szCs w:val="24"/>
        </w:rPr>
        <w:t>in the scholarship’s eligibility requirements or an explicit bar against white applicants, we</w:t>
      </w:r>
      <w:r w:rsidRPr="001B6242">
        <w:rPr>
          <w:rFonts w:ascii="Times New Roman" w:hAnsi="Times New Roman"/>
          <w:b/>
          <w:bCs/>
          <w:sz w:val="24"/>
          <w:szCs w:val="24"/>
        </w:rPr>
        <w:t xml:space="preserve"> </w:t>
      </w:r>
      <w:r w:rsidRPr="001B6242">
        <w:rPr>
          <w:rFonts w:ascii="Times New Roman" w:hAnsi="Times New Roman"/>
          <w:sz w:val="24"/>
          <w:szCs w:val="24"/>
        </w:rPr>
        <w:t xml:space="preserve">are all forced to </w:t>
      </w:r>
      <w:r>
        <w:rPr>
          <w:rFonts w:ascii="Times New Roman" w:hAnsi="Times New Roman"/>
          <w:sz w:val="24"/>
          <w:szCs w:val="24"/>
        </w:rPr>
        <w:t>‘</w:t>
      </w:r>
      <w:r w:rsidRPr="001B6242">
        <w:rPr>
          <w:rFonts w:ascii="Times New Roman" w:hAnsi="Times New Roman"/>
          <w:sz w:val="24"/>
          <w:szCs w:val="24"/>
        </w:rPr>
        <w:t>speculate as to the injuries [Member A] might suffer. That we cannot do.</w:t>
      </w:r>
      <w:r>
        <w:rPr>
          <w:rFonts w:ascii="Times New Roman" w:hAnsi="Times New Roman"/>
          <w:sz w:val="24"/>
          <w:szCs w:val="24"/>
        </w:rPr>
        <w:t xml:space="preserve">’ </w:t>
      </w:r>
      <w:r w:rsidRPr="001B6242">
        <w:rPr>
          <w:rFonts w:ascii="Times New Roman" w:hAnsi="Times New Roman"/>
          <w:sz w:val="24"/>
          <w:szCs w:val="24"/>
        </w:rPr>
        <w:t>Barber, 860 F.3d at 357.</w:t>
      </w:r>
    </w:p>
    <w:p w14:paraId="0E231F57" w14:textId="77777777" w:rsidR="00D96E5D" w:rsidRDefault="00D96E5D" w:rsidP="00D96E5D">
      <w:pPr>
        <w:pStyle w:val="NoSpacing"/>
        <w:ind w:left="720"/>
        <w:rPr>
          <w:rFonts w:ascii="Times New Roman" w:hAnsi="Times New Roman"/>
          <w:sz w:val="24"/>
          <w:szCs w:val="24"/>
        </w:rPr>
      </w:pPr>
    </w:p>
    <w:p w14:paraId="74761522" w14:textId="77777777" w:rsidR="00D96E5D" w:rsidRDefault="00D96E5D" w:rsidP="00D96E5D">
      <w:pPr>
        <w:pStyle w:val="NoSpacing"/>
        <w:ind w:left="720"/>
        <w:rPr>
          <w:rFonts w:ascii="Times New Roman" w:hAnsi="Times New Roman"/>
          <w:sz w:val="24"/>
          <w:szCs w:val="24"/>
        </w:rPr>
      </w:pPr>
      <w:r>
        <w:rPr>
          <w:rFonts w:ascii="Times New Roman" w:hAnsi="Times New Roman"/>
          <w:sz w:val="24"/>
          <w:szCs w:val="24"/>
        </w:rPr>
        <w:t>***</w:t>
      </w:r>
    </w:p>
    <w:p w14:paraId="7115B2F5" w14:textId="77777777" w:rsidR="00D96E5D" w:rsidRDefault="00D96E5D" w:rsidP="00D96E5D">
      <w:pPr>
        <w:pStyle w:val="NoSpacing"/>
        <w:ind w:firstLine="720"/>
        <w:rPr>
          <w:rFonts w:ascii="Times New Roman" w:hAnsi="Times New Roman"/>
          <w:b/>
          <w:bCs/>
          <w:sz w:val="24"/>
          <w:szCs w:val="24"/>
        </w:rPr>
      </w:pPr>
    </w:p>
    <w:p w14:paraId="687F59B6" w14:textId="77777777" w:rsidR="00D96E5D" w:rsidRPr="001178AA" w:rsidRDefault="00D96E5D" w:rsidP="00D96E5D">
      <w:pPr>
        <w:pStyle w:val="NoSpacing"/>
        <w:ind w:firstLine="720"/>
        <w:rPr>
          <w:rFonts w:ascii="Times New Roman" w:hAnsi="Times New Roman"/>
          <w:sz w:val="24"/>
          <w:szCs w:val="24"/>
        </w:rPr>
      </w:pPr>
      <w:r w:rsidRPr="001178AA">
        <w:rPr>
          <w:rFonts w:ascii="Times New Roman" w:hAnsi="Times New Roman"/>
          <w:sz w:val="24"/>
          <w:szCs w:val="24"/>
        </w:rPr>
        <w:t>Lastly, the Court observes that as of today, NAEMT has removed its diversity</w:t>
      </w:r>
    </w:p>
    <w:p w14:paraId="78A18CEE" w14:textId="77777777" w:rsidR="00D96E5D" w:rsidRPr="001178AA" w:rsidRDefault="00D96E5D" w:rsidP="00D96E5D">
      <w:pPr>
        <w:pStyle w:val="NoSpacing"/>
        <w:ind w:left="720"/>
        <w:rPr>
          <w:rFonts w:ascii="Times New Roman" w:hAnsi="Times New Roman"/>
          <w:sz w:val="24"/>
          <w:szCs w:val="24"/>
        </w:rPr>
      </w:pPr>
      <w:r w:rsidRPr="001178AA">
        <w:rPr>
          <w:rFonts w:ascii="Times New Roman" w:hAnsi="Times New Roman"/>
          <w:sz w:val="24"/>
          <w:szCs w:val="24"/>
        </w:rPr>
        <w:t>scholarship from public display on its website. If the parties’ differences have been resolved,</w:t>
      </w:r>
      <w:r>
        <w:rPr>
          <w:rFonts w:ascii="Times New Roman" w:hAnsi="Times New Roman"/>
          <w:sz w:val="24"/>
          <w:szCs w:val="24"/>
        </w:rPr>
        <w:t xml:space="preserve"> </w:t>
      </w:r>
      <w:r w:rsidRPr="001178AA">
        <w:rPr>
          <w:rFonts w:ascii="Times New Roman" w:hAnsi="Times New Roman"/>
          <w:sz w:val="24"/>
          <w:szCs w:val="24"/>
        </w:rPr>
        <w:t>they shall promptly notify the Court.</w:t>
      </w:r>
      <w:r>
        <w:rPr>
          <w:rFonts w:ascii="Times New Roman" w:hAnsi="Times New Roman"/>
          <w:sz w:val="24"/>
          <w:szCs w:val="24"/>
        </w:rPr>
        <w:t xml:space="preserve">” </w:t>
      </w:r>
      <w:hyperlink r:id="rId1477" w:history="1">
        <w:r w:rsidRPr="00663E4B">
          <w:rPr>
            <w:rStyle w:val="Hyperlink"/>
            <w:rFonts w:ascii="Times New Roman" w:hAnsi="Times New Roman"/>
            <w:sz w:val="24"/>
            <w:szCs w:val="24"/>
          </w:rPr>
          <w:t>https://cases.justia.com/federal/district-courts/mississippi/mssdce/3:2024cv00011/123477/12/0.pdf?ts=1706115384</w:t>
        </w:r>
      </w:hyperlink>
      <w:r>
        <w:rPr>
          <w:rFonts w:ascii="Times New Roman" w:hAnsi="Times New Roman"/>
          <w:sz w:val="24"/>
          <w:szCs w:val="24"/>
        </w:rPr>
        <w:t xml:space="preserve"> </w:t>
      </w:r>
    </w:p>
    <w:p w14:paraId="3EC71BF7" w14:textId="77777777" w:rsidR="00643222" w:rsidRDefault="00643222" w:rsidP="00643222">
      <w:pPr>
        <w:pStyle w:val="NoSpacing"/>
        <w:rPr>
          <w:rFonts w:ascii="Times New Roman" w:hAnsi="Times New Roman"/>
          <w:b/>
          <w:bCs/>
          <w:sz w:val="24"/>
          <w:szCs w:val="24"/>
        </w:rPr>
      </w:pPr>
    </w:p>
    <w:p w14:paraId="084F58B6" w14:textId="58D6AD67" w:rsidR="00643222" w:rsidRDefault="00643222" w:rsidP="00643222">
      <w:pPr>
        <w:pStyle w:val="NoSpacing"/>
        <w:rPr>
          <w:rFonts w:ascii="Times New Roman" w:hAnsi="Times New Roman"/>
          <w:b/>
          <w:bCs/>
          <w:sz w:val="24"/>
          <w:szCs w:val="24"/>
        </w:rPr>
      </w:pPr>
      <w:r w:rsidRPr="001065A9">
        <w:rPr>
          <w:rFonts w:ascii="Times New Roman" w:hAnsi="Times New Roman"/>
          <w:b/>
          <w:bCs/>
          <w:sz w:val="24"/>
          <w:szCs w:val="24"/>
        </w:rPr>
        <w:t xml:space="preserve">Legal Lesson Learned: </w:t>
      </w:r>
      <w:r>
        <w:rPr>
          <w:rFonts w:ascii="Times New Roman" w:hAnsi="Times New Roman"/>
          <w:b/>
          <w:bCs/>
          <w:sz w:val="24"/>
          <w:szCs w:val="24"/>
        </w:rPr>
        <w:t xml:space="preserve">Lawsuit may now proceed with pre-trial discovery unless it has been mooted by NAEMT dropping their diversity scholarships. </w:t>
      </w:r>
    </w:p>
    <w:p w14:paraId="670AF7A9" w14:textId="77777777" w:rsidR="00643222" w:rsidRDefault="00643222" w:rsidP="00643222">
      <w:pPr>
        <w:pStyle w:val="NoSpacing"/>
        <w:rPr>
          <w:rFonts w:ascii="Times New Roman" w:hAnsi="Times New Roman"/>
          <w:b/>
          <w:bCs/>
          <w:sz w:val="24"/>
          <w:szCs w:val="24"/>
        </w:rPr>
      </w:pPr>
    </w:p>
    <w:p w14:paraId="2ACBFB6B" w14:textId="32A92EA7" w:rsidR="00643222" w:rsidRDefault="00643222" w:rsidP="00643222">
      <w:pPr>
        <w:pStyle w:val="NoSpacing"/>
        <w:ind w:left="720"/>
        <w:rPr>
          <w:rFonts w:ascii="Times New Roman" w:hAnsi="Times New Roman"/>
          <w:sz w:val="24"/>
          <w:szCs w:val="24"/>
        </w:rPr>
      </w:pPr>
      <w:r w:rsidRPr="0082425E">
        <w:rPr>
          <w:rFonts w:ascii="Times New Roman" w:hAnsi="Times New Roman"/>
          <w:sz w:val="24"/>
          <w:szCs w:val="24"/>
        </w:rPr>
        <w:t>Note:</w:t>
      </w:r>
      <w:r>
        <w:rPr>
          <w:rFonts w:ascii="Times New Roman" w:hAnsi="Times New Roman"/>
          <w:sz w:val="24"/>
          <w:szCs w:val="24"/>
        </w:rPr>
        <w:t xml:space="preserve"> This case is another example of lawsuits being filed challenging diversity programs s</w:t>
      </w:r>
      <w:r w:rsidRPr="0082425E">
        <w:rPr>
          <w:rFonts w:ascii="Times New Roman" w:hAnsi="Times New Roman"/>
          <w:sz w:val="24"/>
          <w:szCs w:val="24"/>
        </w:rPr>
        <w:t xml:space="preserve">ince the U.S. Supreme Court’s June 29, </w:t>
      </w:r>
      <w:proofErr w:type="gramStart"/>
      <w:r w:rsidRPr="0082425E">
        <w:rPr>
          <w:rFonts w:ascii="Times New Roman" w:hAnsi="Times New Roman"/>
          <w:sz w:val="24"/>
          <w:szCs w:val="24"/>
        </w:rPr>
        <w:t>2023</w:t>
      </w:r>
      <w:proofErr w:type="gramEnd"/>
      <w:r w:rsidRPr="0082425E">
        <w:rPr>
          <w:rFonts w:ascii="Times New Roman" w:hAnsi="Times New Roman"/>
          <w:sz w:val="24"/>
          <w:szCs w:val="24"/>
        </w:rPr>
        <w:t xml:space="preserve"> decision holding that Harvard University and University of North Carolina’s admissions programs accounting for race of applicants violated the Equal Protection Clause of 14</w:t>
      </w:r>
      <w:r w:rsidRPr="0082425E">
        <w:rPr>
          <w:rFonts w:ascii="Times New Roman" w:hAnsi="Times New Roman"/>
          <w:sz w:val="24"/>
          <w:szCs w:val="24"/>
          <w:vertAlign w:val="superscript"/>
        </w:rPr>
        <w:t>th</w:t>
      </w:r>
      <w:r w:rsidRPr="0082425E">
        <w:rPr>
          <w:rFonts w:ascii="Times New Roman" w:hAnsi="Times New Roman"/>
          <w:sz w:val="24"/>
          <w:szCs w:val="24"/>
        </w:rPr>
        <w:t xml:space="preserve"> Amendment</w:t>
      </w:r>
      <w:r>
        <w:rPr>
          <w:rFonts w:ascii="Times New Roman" w:hAnsi="Times New Roman"/>
          <w:sz w:val="24"/>
          <w:szCs w:val="24"/>
        </w:rPr>
        <w:t xml:space="preserve">. </w:t>
      </w:r>
      <w:r w:rsidRPr="00C13969">
        <w:rPr>
          <w:rFonts w:ascii="Times New Roman" w:hAnsi="Times New Roman"/>
          <w:sz w:val="24"/>
          <w:szCs w:val="24"/>
        </w:rPr>
        <w:t>STUDENTS FOR FAIR ADMISSIONS, INC. v.</w:t>
      </w:r>
      <w:r>
        <w:rPr>
          <w:rFonts w:ascii="Times New Roman" w:hAnsi="Times New Roman"/>
          <w:sz w:val="24"/>
          <w:szCs w:val="24"/>
        </w:rPr>
        <w:t xml:space="preserve"> </w:t>
      </w:r>
      <w:r w:rsidRPr="00C13969">
        <w:rPr>
          <w:rFonts w:ascii="Times New Roman" w:hAnsi="Times New Roman"/>
          <w:sz w:val="24"/>
          <w:szCs w:val="24"/>
        </w:rPr>
        <w:t>PRESIDENT AND FELLOWS OF</w:t>
      </w:r>
      <w:r>
        <w:rPr>
          <w:rFonts w:ascii="Times New Roman" w:hAnsi="Times New Roman"/>
          <w:sz w:val="24"/>
          <w:szCs w:val="24"/>
        </w:rPr>
        <w:t xml:space="preserve"> </w:t>
      </w:r>
      <w:r w:rsidRPr="00C13969">
        <w:rPr>
          <w:rFonts w:ascii="Times New Roman" w:hAnsi="Times New Roman"/>
          <w:sz w:val="24"/>
          <w:szCs w:val="24"/>
        </w:rPr>
        <w:t>HARVARD COLLEGE</w:t>
      </w:r>
      <w:r>
        <w:rPr>
          <w:rFonts w:ascii="Times New Roman" w:hAnsi="Times New Roman"/>
          <w:sz w:val="24"/>
          <w:szCs w:val="24"/>
        </w:rPr>
        <w:t xml:space="preserve"> (6 to 2; Justice </w:t>
      </w:r>
      <w:r w:rsidR="00394037">
        <w:rPr>
          <w:rFonts w:ascii="Times New Roman" w:hAnsi="Times New Roman"/>
          <w:sz w:val="24"/>
          <w:szCs w:val="24"/>
        </w:rPr>
        <w:t>Ketanji</w:t>
      </w:r>
      <w:r>
        <w:rPr>
          <w:rFonts w:ascii="Times New Roman" w:hAnsi="Times New Roman"/>
          <w:sz w:val="24"/>
          <w:szCs w:val="24"/>
        </w:rPr>
        <w:t xml:space="preserve"> Brown Jackson recused herself), and STUDENTS FOR ADMISSION v. UNIVERSITY OF NORTH CARLINA (6 to 3). </w:t>
      </w:r>
      <w:hyperlink r:id="rId1478" w:history="1">
        <w:r w:rsidRPr="00663E4B">
          <w:rPr>
            <w:rStyle w:val="Hyperlink"/>
            <w:rFonts w:ascii="Times New Roman" w:hAnsi="Times New Roman"/>
            <w:sz w:val="24"/>
            <w:szCs w:val="24"/>
          </w:rPr>
          <w:t>https://www.supremecourt.gov/opinions/22pdf/600us1r53_4g15.pdf</w:t>
        </w:r>
      </w:hyperlink>
      <w:r>
        <w:rPr>
          <w:rFonts w:ascii="Times New Roman" w:hAnsi="Times New Roman"/>
          <w:sz w:val="24"/>
          <w:szCs w:val="24"/>
        </w:rPr>
        <w:t xml:space="preserve"> </w:t>
      </w:r>
    </w:p>
    <w:p w14:paraId="6E78F65C" w14:textId="77777777" w:rsidR="00643222" w:rsidRDefault="00643222" w:rsidP="00643222">
      <w:pPr>
        <w:pStyle w:val="NoSpacing"/>
        <w:ind w:left="720"/>
        <w:rPr>
          <w:rFonts w:ascii="Times New Roman" w:hAnsi="Times New Roman"/>
          <w:sz w:val="24"/>
          <w:szCs w:val="24"/>
        </w:rPr>
      </w:pPr>
    </w:p>
    <w:p w14:paraId="319013FF" w14:textId="77777777" w:rsidR="00643222" w:rsidRPr="003906A9" w:rsidRDefault="00643222" w:rsidP="00643222">
      <w:pPr>
        <w:pStyle w:val="NoSpacing"/>
        <w:ind w:left="720"/>
        <w:rPr>
          <w:rFonts w:ascii="Times New Roman" w:hAnsi="Times New Roman"/>
          <w:sz w:val="24"/>
          <w:szCs w:val="24"/>
        </w:rPr>
      </w:pPr>
      <w:r w:rsidRPr="003906A9">
        <w:rPr>
          <w:rFonts w:ascii="Times New Roman" w:hAnsi="Times New Roman"/>
          <w:sz w:val="24"/>
          <w:szCs w:val="24"/>
        </w:rPr>
        <w:t xml:space="preserve">See: </w:t>
      </w:r>
      <w:r>
        <w:rPr>
          <w:rFonts w:ascii="Times New Roman" w:hAnsi="Times New Roman"/>
          <w:sz w:val="24"/>
          <w:szCs w:val="24"/>
        </w:rPr>
        <w:t>“</w:t>
      </w:r>
      <w:r w:rsidRPr="003906A9">
        <w:rPr>
          <w:rFonts w:ascii="Times New Roman" w:hAnsi="Times New Roman"/>
          <w:sz w:val="24"/>
          <w:szCs w:val="24"/>
        </w:rPr>
        <w:t>As Legal Challenges Mount, Some Companies Retool Diversity and Inclusion Programs</w:t>
      </w:r>
      <w:r>
        <w:rPr>
          <w:rFonts w:ascii="Times New Roman" w:hAnsi="Times New Roman"/>
          <w:sz w:val="24"/>
          <w:szCs w:val="24"/>
        </w:rPr>
        <w:t>”</w:t>
      </w:r>
      <w:r w:rsidRPr="003906A9">
        <w:rPr>
          <w:rFonts w:ascii="Times New Roman" w:hAnsi="Times New Roman"/>
          <w:sz w:val="24"/>
          <w:szCs w:val="24"/>
        </w:rPr>
        <w:t xml:space="preserve"> (Jan. 12, 2024). </w:t>
      </w:r>
      <w:hyperlink r:id="rId1479" w:history="1">
        <w:r w:rsidRPr="003906A9">
          <w:rPr>
            <w:rStyle w:val="Hyperlink"/>
            <w:rFonts w:ascii="Times New Roman" w:hAnsi="Times New Roman"/>
            <w:sz w:val="24"/>
            <w:szCs w:val="24"/>
          </w:rPr>
          <w:t>https://www.usnews.com/news/us/articles/2024-01-14/as-legal-challenges-mount-some-companies-retool-diversity-and-inclusion-programs</w:t>
        </w:r>
      </w:hyperlink>
      <w:r w:rsidRPr="003906A9">
        <w:rPr>
          <w:rFonts w:ascii="Times New Roman" w:hAnsi="Times New Roman"/>
          <w:sz w:val="24"/>
          <w:szCs w:val="24"/>
        </w:rPr>
        <w:t xml:space="preserve"> </w:t>
      </w:r>
    </w:p>
    <w:p w14:paraId="7F5BD8C0" w14:textId="77777777" w:rsidR="00643222" w:rsidRDefault="00643222" w:rsidP="00643222">
      <w:pPr>
        <w:pStyle w:val="Heading1"/>
        <w:ind w:left="720"/>
        <w:rPr>
          <w:b w:val="0"/>
          <w:bCs w:val="0"/>
          <w:sz w:val="24"/>
          <w:szCs w:val="24"/>
        </w:rPr>
      </w:pPr>
      <w:r w:rsidRPr="009C4E23">
        <w:rPr>
          <w:b w:val="0"/>
          <w:bCs w:val="0"/>
          <w:sz w:val="24"/>
          <w:szCs w:val="24"/>
        </w:rPr>
        <w:t>See</w:t>
      </w:r>
      <w:r>
        <w:rPr>
          <w:b w:val="0"/>
          <w:bCs w:val="0"/>
          <w:sz w:val="24"/>
          <w:szCs w:val="24"/>
        </w:rPr>
        <w:t xml:space="preserve"> also:</w:t>
      </w:r>
      <w:r w:rsidRPr="009C4E23">
        <w:rPr>
          <w:b w:val="0"/>
          <w:bCs w:val="0"/>
          <w:sz w:val="24"/>
          <w:szCs w:val="24"/>
        </w:rPr>
        <w:t xml:space="preserve"> “Lawsuits Challenge Law Firm Diversity Programs as Racially Discriminatory” (Oct. 6, 2023). </w:t>
      </w:r>
      <w:hyperlink r:id="rId1480" w:history="1">
        <w:r w:rsidRPr="009C4E23">
          <w:rPr>
            <w:rStyle w:val="Hyperlink"/>
            <w:b w:val="0"/>
            <w:bCs w:val="0"/>
            <w:sz w:val="24"/>
            <w:szCs w:val="24"/>
          </w:rPr>
          <w:t>https://fedsoc.org/commentary/fedsoc-blog/lawsuits-challenge-law-firm-diversity-programs-as-racially-discriminatory</w:t>
        </w:r>
      </w:hyperlink>
      <w:r w:rsidRPr="009C4E23">
        <w:rPr>
          <w:b w:val="0"/>
          <w:bCs w:val="0"/>
          <w:sz w:val="24"/>
          <w:szCs w:val="24"/>
        </w:rPr>
        <w:t xml:space="preserve"> </w:t>
      </w:r>
    </w:p>
    <w:p w14:paraId="0C67E1D5" w14:textId="77777777" w:rsidR="00643222" w:rsidRDefault="00643222" w:rsidP="00BC70A3">
      <w:pPr>
        <w:rPr>
          <w:rFonts w:ascii="Arial Black" w:hAnsi="Arial Black"/>
          <w:b/>
          <w:sz w:val="24"/>
          <w:szCs w:val="24"/>
        </w:rPr>
      </w:pPr>
    </w:p>
    <w:p w14:paraId="6B578B71" w14:textId="77777777" w:rsidR="00E47A1F" w:rsidRDefault="00E47A1F" w:rsidP="00BC70A3">
      <w:pPr>
        <w:rPr>
          <w:rFonts w:ascii="Arial Black" w:hAnsi="Arial Black"/>
          <w:b/>
          <w:sz w:val="24"/>
          <w:szCs w:val="24"/>
        </w:rPr>
      </w:pPr>
    </w:p>
    <w:p w14:paraId="03EE2F66" w14:textId="77777777" w:rsidR="00E47A1F" w:rsidRDefault="00E47A1F" w:rsidP="00BC70A3">
      <w:pPr>
        <w:rPr>
          <w:rFonts w:ascii="Arial Black" w:hAnsi="Arial Black"/>
          <w:b/>
          <w:sz w:val="24"/>
          <w:szCs w:val="24"/>
        </w:rPr>
      </w:pPr>
    </w:p>
    <w:p w14:paraId="02E49FA9" w14:textId="188D687D" w:rsidR="007F6B94" w:rsidRDefault="007F6B94" w:rsidP="00BC70A3">
      <w:pPr>
        <w:rPr>
          <w:rFonts w:ascii="Arial Black" w:hAnsi="Arial Black"/>
          <w:b/>
          <w:sz w:val="24"/>
          <w:szCs w:val="24"/>
        </w:rPr>
      </w:pPr>
      <w:r>
        <w:rPr>
          <w:rFonts w:ascii="Arial Black" w:hAnsi="Arial Black"/>
          <w:b/>
          <w:sz w:val="24"/>
          <w:szCs w:val="24"/>
        </w:rPr>
        <w:t>8-56</w:t>
      </w:r>
    </w:p>
    <w:p w14:paraId="5986DF1F" w14:textId="77777777" w:rsidR="0051041F" w:rsidRPr="00D437F9" w:rsidRDefault="0051041F" w:rsidP="0051041F">
      <w:pPr>
        <w:pStyle w:val="NoSpacing"/>
        <w:rPr>
          <w:rFonts w:ascii="Arial Black" w:hAnsi="Arial Black"/>
          <w:sz w:val="28"/>
          <w:szCs w:val="28"/>
        </w:rPr>
      </w:pPr>
      <w:r>
        <w:rPr>
          <w:rFonts w:ascii="Arial Black" w:hAnsi="Arial Black"/>
          <w:sz w:val="28"/>
          <w:szCs w:val="28"/>
        </w:rPr>
        <w:t xml:space="preserve">DE: BLACK LT. – 2020 “BAND ONE” FOR CAPTAIN – 5 WHITES PROMOTED – 2022 LOWERED “BAND TWO” - CASE PROCEED </w:t>
      </w:r>
    </w:p>
    <w:p w14:paraId="262A9489" w14:textId="77777777" w:rsidR="0051041F" w:rsidRDefault="0051041F" w:rsidP="0051041F">
      <w:pPr>
        <w:pStyle w:val="NoSpacing"/>
        <w:rPr>
          <w:rFonts w:ascii="Times New Roman" w:hAnsi="Times New Roman"/>
          <w:sz w:val="24"/>
          <w:szCs w:val="24"/>
        </w:rPr>
      </w:pPr>
    </w:p>
    <w:p w14:paraId="4A91114D" w14:textId="77777777" w:rsidR="0051041F" w:rsidRDefault="0051041F" w:rsidP="0051041F">
      <w:pPr>
        <w:pStyle w:val="NoSpacing"/>
        <w:rPr>
          <w:rFonts w:ascii="Times New Roman" w:hAnsi="Times New Roman"/>
          <w:sz w:val="24"/>
          <w:szCs w:val="24"/>
        </w:rPr>
      </w:pPr>
      <w:r>
        <w:rPr>
          <w:rFonts w:ascii="Times New Roman" w:hAnsi="Times New Roman"/>
          <w:sz w:val="24"/>
          <w:szCs w:val="24"/>
        </w:rPr>
        <w:t xml:space="preserve">On Dec. 15, 2023, in </w:t>
      </w:r>
      <w:r w:rsidRPr="00AC0301">
        <w:rPr>
          <w:rFonts w:ascii="Times New Roman" w:hAnsi="Times New Roman"/>
          <w:sz w:val="24"/>
          <w:szCs w:val="24"/>
          <w:u w:val="single"/>
        </w:rPr>
        <w:t>Craig Black v. City of Wilmington</w:t>
      </w:r>
      <w:r>
        <w:rPr>
          <w:rFonts w:ascii="Times New Roman" w:hAnsi="Times New Roman"/>
          <w:sz w:val="24"/>
          <w:szCs w:val="24"/>
        </w:rPr>
        <w:t>, U.S. District Court Judge Gregory B. William, U.S. District Court for District of Delaware, denied most of the City’s motion to dismiss; the complaint alleges sufficient facts to permit pre-trial discovery.  The Court wrote: “H</w:t>
      </w:r>
      <w:r w:rsidRPr="00355BA0">
        <w:rPr>
          <w:rFonts w:ascii="Times New Roman" w:hAnsi="Times New Roman"/>
          <w:sz w:val="24"/>
          <w:szCs w:val="24"/>
        </w:rPr>
        <w:t>ere, Black has alleged numerous acts of</w:t>
      </w:r>
      <w:r>
        <w:rPr>
          <w:rFonts w:ascii="Times New Roman" w:hAnsi="Times New Roman"/>
          <w:sz w:val="24"/>
          <w:szCs w:val="24"/>
        </w:rPr>
        <w:t xml:space="preserve"> </w:t>
      </w:r>
      <w:r w:rsidRPr="00355BA0">
        <w:rPr>
          <w:rFonts w:ascii="Times New Roman" w:hAnsi="Times New Roman"/>
          <w:sz w:val="24"/>
          <w:szCs w:val="24"/>
        </w:rPr>
        <w:t>retaliation by Defendants over a thirteen-month timeframe, which include denying Black</w:t>
      </w:r>
      <w:r>
        <w:rPr>
          <w:rFonts w:ascii="Times New Roman" w:hAnsi="Times New Roman"/>
          <w:sz w:val="24"/>
          <w:szCs w:val="24"/>
        </w:rPr>
        <w:t xml:space="preserve"> </w:t>
      </w:r>
      <w:r w:rsidRPr="00355BA0">
        <w:rPr>
          <w:rFonts w:ascii="Times New Roman" w:hAnsi="Times New Roman"/>
          <w:sz w:val="24"/>
          <w:szCs w:val="24"/>
        </w:rPr>
        <w:t>promotions to the rank of Captain on several occasions; dispersing General Order 2022-15 that</w:t>
      </w:r>
      <w:r>
        <w:rPr>
          <w:rFonts w:ascii="Times New Roman" w:hAnsi="Times New Roman"/>
          <w:sz w:val="24"/>
          <w:szCs w:val="24"/>
        </w:rPr>
        <w:t xml:space="preserve"> </w:t>
      </w:r>
      <w:r w:rsidRPr="00355BA0">
        <w:rPr>
          <w:rFonts w:ascii="Times New Roman" w:hAnsi="Times New Roman"/>
          <w:sz w:val="24"/>
          <w:szCs w:val="24"/>
        </w:rPr>
        <w:t>altered the City's procedures for promotions by requiring that promotions to Captain be made</w:t>
      </w:r>
      <w:r>
        <w:rPr>
          <w:rFonts w:ascii="Times New Roman" w:hAnsi="Times New Roman"/>
          <w:sz w:val="24"/>
          <w:szCs w:val="24"/>
        </w:rPr>
        <w:t xml:space="preserve"> </w:t>
      </w:r>
      <w:r w:rsidRPr="00355BA0">
        <w:rPr>
          <w:rFonts w:ascii="Times New Roman" w:hAnsi="Times New Roman"/>
          <w:sz w:val="24"/>
          <w:szCs w:val="24"/>
        </w:rPr>
        <w:t>only from Band One; and ultimately demoting Black to Band Two despite the fact he was</w:t>
      </w:r>
      <w:r>
        <w:rPr>
          <w:rFonts w:ascii="Times New Roman" w:hAnsi="Times New Roman"/>
          <w:sz w:val="24"/>
          <w:szCs w:val="24"/>
        </w:rPr>
        <w:t xml:space="preserve"> </w:t>
      </w:r>
      <w:r w:rsidRPr="00355BA0">
        <w:rPr>
          <w:rFonts w:ascii="Times New Roman" w:hAnsi="Times New Roman"/>
          <w:sz w:val="24"/>
          <w:szCs w:val="24"/>
        </w:rPr>
        <w:t>previously placed on Band One</w:t>
      </w:r>
      <w:r>
        <w:rPr>
          <w:rFonts w:ascii="Times New Roman" w:hAnsi="Times New Roman"/>
          <w:sz w:val="24"/>
          <w:szCs w:val="24"/>
        </w:rPr>
        <w:t xml:space="preserve">. ***  </w:t>
      </w:r>
      <w:r w:rsidRPr="007404E7">
        <w:rPr>
          <w:rFonts w:ascii="Times New Roman" w:hAnsi="Times New Roman"/>
          <w:sz w:val="24"/>
          <w:szCs w:val="24"/>
        </w:rPr>
        <w:t>Additionally, while Defendants stress that Black was found guilty of a disciplinary action in an</w:t>
      </w:r>
      <w:r>
        <w:rPr>
          <w:rFonts w:ascii="Times New Roman" w:hAnsi="Times New Roman"/>
          <w:sz w:val="24"/>
          <w:szCs w:val="24"/>
        </w:rPr>
        <w:t xml:space="preserve"> </w:t>
      </w:r>
      <w:r w:rsidRPr="007404E7">
        <w:rPr>
          <w:rFonts w:ascii="Times New Roman" w:hAnsi="Times New Roman"/>
          <w:sz w:val="24"/>
          <w:szCs w:val="24"/>
        </w:rPr>
        <w:t xml:space="preserve">attempt to further distinguish him </w:t>
      </w:r>
      <w:r w:rsidRPr="007404E7">
        <w:rPr>
          <w:rFonts w:ascii="Times New Roman" w:hAnsi="Times New Roman"/>
          <w:sz w:val="24"/>
          <w:szCs w:val="24"/>
        </w:rPr>
        <w:lastRenderedPageBreak/>
        <w:t>from the five comparators</w:t>
      </w:r>
      <w:r>
        <w:rPr>
          <w:rFonts w:ascii="Times New Roman" w:hAnsi="Times New Roman"/>
          <w:sz w:val="24"/>
          <w:szCs w:val="24"/>
        </w:rPr>
        <w:t xml:space="preserve"> … </w:t>
      </w:r>
      <w:r w:rsidRPr="007404E7">
        <w:rPr>
          <w:rFonts w:ascii="Times New Roman" w:hAnsi="Times New Roman"/>
          <w:sz w:val="24"/>
          <w:szCs w:val="24"/>
        </w:rPr>
        <w:t>the Court notes again</w:t>
      </w:r>
      <w:r>
        <w:rPr>
          <w:rFonts w:ascii="Times New Roman" w:hAnsi="Times New Roman"/>
          <w:sz w:val="24"/>
          <w:szCs w:val="24"/>
        </w:rPr>
        <w:t xml:space="preserve"> </w:t>
      </w:r>
      <w:r w:rsidRPr="007404E7">
        <w:rPr>
          <w:rFonts w:ascii="Times New Roman" w:hAnsi="Times New Roman"/>
          <w:sz w:val="24"/>
          <w:szCs w:val="24"/>
        </w:rPr>
        <w:t>that it cannot consider new evidence that was not alleged in Black' s pleadings, including the status</w:t>
      </w:r>
      <w:r>
        <w:rPr>
          <w:rFonts w:ascii="Times New Roman" w:hAnsi="Times New Roman"/>
          <w:sz w:val="24"/>
          <w:szCs w:val="24"/>
        </w:rPr>
        <w:t xml:space="preserve"> </w:t>
      </w:r>
      <w:r w:rsidRPr="007404E7">
        <w:rPr>
          <w:rFonts w:ascii="Times New Roman" w:hAnsi="Times New Roman"/>
          <w:sz w:val="24"/>
          <w:szCs w:val="24"/>
        </w:rPr>
        <w:t>of his disciplinary action and the disciplinary records of the five comparators.</w:t>
      </w:r>
      <w:r>
        <w:rPr>
          <w:rFonts w:ascii="Times New Roman" w:hAnsi="Times New Roman"/>
          <w:sz w:val="24"/>
          <w:szCs w:val="24"/>
        </w:rPr>
        <w:t>”</w:t>
      </w:r>
    </w:p>
    <w:p w14:paraId="3A51A664" w14:textId="77777777" w:rsidR="0051041F" w:rsidRDefault="0051041F" w:rsidP="0051041F">
      <w:pPr>
        <w:pStyle w:val="NoSpacing"/>
        <w:rPr>
          <w:rFonts w:ascii="Times New Roman" w:hAnsi="Times New Roman"/>
          <w:sz w:val="24"/>
          <w:szCs w:val="24"/>
        </w:rPr>
      </w:pPr>
      <w:hyperlink r:id="rId1481" w:history="1">
        <w:r w:rsidRPr="00E359E2">
          <w:rPr>
            <w:rStyle w:val="Hyperlink"/>
            <w:rFonts w:ascii="Times New Roman" w:hAnsi="Times New Roman"/>
            <w:sz w:val="24"/>
            <w:szCs w:val="24"/>
          </w:rPr>
          <w:t>https://storage.courtlistener.com/recap/gov.uscourts.ded.79218/gov.uscourts.ded.79218.29.0.pdf</w:t>
        </w:r>
      </w:hyperlink>
      <w:r>
        <w:rPr>
          <w:rFonts w:ascii="Times New Roman" w:hAnsi="Times New Roman"/>
          <w:sz w:val="24"/>
          <w:szCs w:val="24"/>
        </w:rPr>
        <w:t xml:space="preserve"> </w:t>
      </w:r>
    </w:p>
    <w:p w14:paraId="696927FC" w14:textId="77777777" w:rsidR="0051041F" w:rsidRDefault="0051041F" w:rsidP="0051041F">
      <w:pPr>
        <w:pStyle w:val="NoSpacing"/>
        <w:rPr>
          <w:rFonts w:ascii="Times New Roman" w:hAnsi="Times New Roman"/>
          <w:sz w:val="24"/>
          <w:szCs w:val="24"/>
        </w:rPr>
      </w:pPr>
    </w:p>
    <w:p w14:paraId="4FD703AA" w14:textId="77777777" w:rsidR="00231A5A" w:rsidRPr="00361309" w:rsidRDefault="00231A5A" w:rsidP="00231A5A">
      <w:pPr>
        <w:pStyle w:val="NoSpacing"/>
        <w:rPr>
          <w:rFonts w:ascii="Times New Roman" w:hAnsi="Times New Roman"/>
          <w:b/>
          <w:bCs/>
          <w:sz w:val="24"/>
          <w:szCs w:val="24"/>
        </w:rPr>
      </w:pPr>
      <w:r w:rsidRPr="00361309">
        <w:rPr>
          <w:rFonts w:ascii="Times New Roman" w:hAnsi="Times New Roman"/>
          <w:b/>
          <w:bCs/>
          <w:sz w:val="24"/>
          <w:szCs w:val="24"/>
        </w:rPr>
        <w:t>Legal Lesson Learned:</w:t>
      </w:r>
      <w:r>
        <w:rPr>
          <w:rFonts w:ascii="Times New Roman" w:hAnsi="Times New Roman"/>
          <w:b/>
          <w:bCs/>
          <w:sz w:val="24"/>
          <w:szCs w:val="24"/>
        </w:rPr>
        <w:t xml:space="preserve"> Pre-trial discovery will now proceed. </w:t>
      </w:r>
    </w:p>
    <w:p w14:paraId="44B35763" w14:textId="77777777" w:rsidR="007F6B94" w:rsidRDefault="007F6B94" w:rsidP="00BC70A3">
      <w:pPr>
        <w:rPr>
          <w:rFonts w:ascii="Arial Black" w:hAnsi="Arial Black"/>
          <w:b/>
          <w:sz w:val="24"/>
          <w:szCs w:val="24"/>
        </w:rPr>
      </w:pPr>
    </w:p>
    <w:p w14:paraId="4BC66D32" w14:textId="77777777" w:rsidR="007F6B94" w:rsidRDefault="007F6B94" w:rsidP="00BC70A3">
      <w:pPr>
        <w:rPr>
          <w:rFonts w:ascii="Arial Black" w:hAnsi="Arial Black"/>
          <w:b/>
          <w:sz w:val="24"/>
          <w:szCs w:val="24"/>
        </w:rPr>
      </w:pPr>
    </w:p>
    <w:p w14:paraId="479FFB35" w14:textId="77777777" w:rsidR="007F6B94" w:rsidRDefault="007F6B94" w:rsidP="00BC70A3">
      <w:pPr>
        <w:rPr>
          <w:rFonts w:ascii="Arial Black" w:hAnsi="Arial Black"/>
          <w:b/>
          <w:sz w:val="24"/>
          <w:szCs w:val="24"/>
        </w:rPr>
      </w:pPr>
    </w:p>
    <w:p w14:paraId="081DEDFD" w14:textId="1657F6B3" w:rsidR="00832745" w:rsidRDefault="00832745" w:rsidP="00BC70A3">
      <w:pPr>
        <w:rPr>
          <w:rFonts w:ascii="Arial Black" w:hAnsi="Arial Black"/>
          <w:b/>
          <w:sz w:val="24"/>
          <w:szCs w:val="24"/>
        </w:rPr>
      </w:pPr>
      <w:r>
        <w:rPr>
          <w:rFonts w:ascii="Arial Black" w:hAnsi="Arial Black"/>
          <w:b/>
          <w:sz w:val="24"/>
          <w:szCs w:val="24"/>
        </w:rPr>
        <w:t>8-55</w:t>
      </w:r>
    </w:p>
    <w:p w14:paraId="2A0E49E0" w14:textId="77777777" w:rsidR="00832745" w:rsidRDefault="00832745" w:rsidP="00832745">
      <w:pPr>
        <w:pStyle w:val="NormalWeb"/>
        <w:rPr>
          <w:rFonts w:ascii="Arial Black" w:hAnsi="Arial Black"/>
          <w:b/>
          <w:bCs/>
          <w:sz w:val="28"/>
          <w:szCs w:val="28"/>
        </w:rPr>
      </w:pPr>
      <w:r>
        <w:rPr>
          <w:rFonts w:ascii="Arial Black" w:hAnsi="Arial Black"/>
          <w:b/>
          <w:bCs/>
          <w:sz w:val="28"/>
          <w:szCs w:val="28"/>
        </w:rPr>
        <w:t>FL: BLACK FF FIRED – 2</w:t>
      </w:r>
      <w:r w:rsidRPr="00670C68">
        <w:rPr>
          <w:rFonts w:ascii="Arial Black" w:hAnsi="Arial Black"/>
          <w:b/>
          <w:bCs/>
          <w:sz w:val="28"/>
          <w:szCs w:val="28"/>
          <w:vertAlign w:val="superscript"/>
        </w:rPr>
        <w:t>nd</w:t>
      </w:r>
      <w:r>
        <w:rPr>
          <w:rFonts w:ascii="Arial Black" w:hAnsi="Arial Black"/>
          <w:b/>
          <w:bCs/>
          <w:sz w:val="28"/>
          <w:szCs w:val="28"/>
        </w:rPr>
        <w:t xml:space="preserve"> POSITIVE DRUG TEST – WHITE CAPTAIN NOT FIRED 1</w:t>
      </w:r>
      <w:r w:rsidRPr="00670C68">
        <w:rPr>
          <w:rFonts w:ascii="Arial Black" w:hAnsi="Arial Black"/>
          <w:b/>
          <w:bCs/>
          <w:sz w:val="28"/>
          <w:szCs w:val="28"/>
          <w:vertAlign w:val="superscript"/>
        </w:rPr>
        <w:t>st</w:t>
      </w:r>
      <w:r>
        <w:rPr>
          <w:rFonts w:ascii="Arial Black" w:hAnsi="Arial Black"/>
          <w:b/>
          <w:bCs/>
          <w:sz w:val="28"/>
          <w:szCs w:val="28"/>
        </w:rPr>
        <w:t xml:space="preserve"> POSITIVE – CASE DISMISSED</w:t>
      </w:r>
    </w:p>
    <w:p w14:paraId="0134DCD0" w14:textId="77777777" w:rsidR="00832745" w:rsidRDefault="00832745" w:rsidP="00832745">
      <w:pPr>
        <w:pStyle w:val="NormalWeb"/>
      </w:pPr>
      <w:r w:rsidRPr="00F632F5">
        <w:t xml:space="preserve">On </w:t>
      </w:r>
      <w:r>
        <w:t xml:space="preserve">Oct. 10, 2023, in </w:t>
      </w:r>
      <w:r w:rsidRPr="00F632F5">
        <w:rPr>
          <w:u w:val="single"/>
        </w:rPr>
        <w:t>Robert Hodges v. Miami-Dade County</w:t>
      </w:r>
      <w:r>
        <w:t xml:space="preserve">, U.S. District Court Judge Beth Bloom, U.S. District Court for Southern District of Florida, granted the defense motion for summary judgment.  The Court held: “Unlike Captain Brunetti, however, Plaintiff tested positive </w:t>
      </w:r>
      <w:r>
        <w:rPr>
          <w:rStyle w:val="Emphasis"/>
          <w:rFonts w:eastAsiaTheme="majorEastAsia"/>
        </w:rPr>
        <w:t>again</w:t>
      </w:r>
      <w:r>
        <w:t xml:space="preserve"> in January 2020, violating the terms of his 2019 Agreement. SMF ¶¶ 17-18; SAMF ¶¶ 17-18. As such, the undisputed evidence establishes that Defendant did not treat Captain Brunetti more favorably. The undisputed evidence supports the conclusion that Defendant treated both employees the same, only electing to terminate Plaintiff after his second violation of Defendant's policies </w:t>
      </w:r>
      <w:r>
        <w:rPr>
          <w:rStyle w:val="Emphasis"/>
          <w:rFonts w:eastAsiaTheme="majorEastAsia"/>
        </w:rPr>
        <w:t>after</w:t>
      </w:r>
      <w:r>
        <w:t xml:space="preserve"> signing his 2019 Agreement. The record demonstrates that Plaintiff and Defendant Brunetti do not share the same disciplinary history. *** Accordingly, Plaintiff fails to show that Defendant's proffered reason for his termination was pretextual. Plaintiff has also failed to point to any evidence supporting an inference that racial discrimination was the real reason. Those deficiencies are fatal to Plaintiff's discrimination claim under </w:t>
      </w:r>
      <w:r>
        <w:rPr>
          <w:rStyle w:val="Emphasis"/>
          <w:rFonts w:eastAsiaTheme="majorEastAsia"/>
        </w:rPr>
        <w:t>McDonnell Douglas</w:t>
      </w:r>
      <w:r>
        <w:rPr>
          <w:rStyle w:val="Emphasis"/>
        </w:rPr>
        <w:t xml:space="preserve">” </w:t>
      </w:r>
      <w:hyperlink r:id="rId1482" w:history="1">
        <w:r w:rsidRPr="00317BBB">
          <w:rPr>
            <w:rStyle w:val="Hyperlink"/>
            <w:rFonts w:eastAsiaTheme="majorEastAsia"/>
          </w:rPr>
          <w:t>https://www.casemine.com/judgement/us/6527768e0e33307ee3c25e6b</w:t>
        </w:r>
      </w:hyperlink>
      <w:r>
        <w:rPr>
          <w:rStyle w:val="Emphasis"/>
        </w:rPr>
        <w:t xml:space="preserve"> </w:t>
      </w:r>
    </w:p>
    <w:p w14:paraId="2E680A62" w14:textId="77777777" w:rsidR="00832745" w:rsidRPr="00867C5C" w:rsidRDefault="00832745" w:rsidP="00832745">
      <w:pPr>
        <w:pStyle w:val="NormalWeb"/>
        <w:rPr>
          <w:b/>
          <w:bCs/>
        </w:rPr>
      </w:pPr>
      <w:r w:rsidRPr="00867C5C">
        <w:rPr>
          <w:b/>
          <w:bCs/>
        </w:rPr>
        <w:t>Legal Lesson Learned:</w:t>
      </w:r>
      <w:r>
        <w:rPr>
          <w:b/>
          <w:bCs/>
        </w:rPr>
        <w:t xml:space="preserve"> Second violation of the “last chance” agreement was legitimate basis for termination. </w:t>
      </w:r>
    </w:p>
    <w:p w14:paraId="4A19A794" w14:textId="77777777" w:rsidR="00832745" w:rsidRDefault="00832745" w:rsidP="00BC70A3">
      <w:pPr>
        <w:rPr>
          <w:rFonts w:ascii="Arial Black" w:hAnsi="Arial Black"/>
          <w:b/>
          <w:sz w:val="24"/>
          <w:szCs w:val="24"/>
        </w:rPr>
      </w:pPr>
    </w:p>
    <w:p w14:paraId="12176806" w14:textId="7F3FB542" w:rsidR="00AC3E10" w:rsidRDefault="00AC3E10" w:rsidP="00BC70A3">
      <w:pPr>
        <w:rPr>
          <w:rFonts w:ascii="Arial Black" w:hAnsi="Arial Black"/>
          <w:b/>
          <w:sz w:val="24"/>
          <w:szCs w:val="24"/>
        </w:rPr>
      </w:pPr>
      <w:r>
        <w:rPr>
          <w:rFonts w:ascii="Arial Black" w:hAnsi="Arial Black"/>
          <w:b/>
          <w:sz w:val="24"/>
          <w:szCs w:val="24"/>
        </w:rPr>
        <w:t>8-54</w:t>
      </w:r>
    </w:p>
    <w:p w14:paraId="14BE0E5B" w14:textId="77777777" w:rsidR="00AC3E10" w:rsidRDefault="00AC3E10" w:rsidP="00AC3E10">
      <w:pPr>
        <w:pStyle w:val="NoSpacing"/>
        <w:rPr>
          <w:rFonts w:ascii="Arial Black" w:hAnsi="Arial Black"/>
          <w:sz w:val="28"/>
          <w:szCs w:val="28"/>
        </w:rPr>
      </w:pPr>
      <w:r>
        <w:rPr>
          <w:rFonts w:ascii="Arial Black" w:hAnsi="Arial Black"/>
          <w:sz w:val="28"/>
          <w:szCs w:val="28"/>
        </w:rPr>
        <w:t xml:space="preserve">KS: BLACK CAPTAIN – IC AT STRIP MALL FIRE – “SHIT SHOW” – CHIEF DOC. IN PERF. REVIEW - NO DISCRIM. </w:t>
      </w:r>
    </w:p>
    <w:p w14:paraId="5A396C02" w14:textId="77777777" w:rsidR="00AC3E10" w:rsidRPr="005B52AD" w:rsidRDefault="00AC3E10" w:rsidP="00AC3E10">
      <w:pPr>
        <w:pStyle w:val="NoSpacing"/>
        <w:rPr>
          <w:rFonts w:ascii="Times New Roman" w:hAnsi="Times New Roman"/>
          <w:sz w:val="24"/>
          <w:szCs w:val="24"/>
        </w:rPr>
      </w:pPr>
      <w:r w:rsidRPr="005B52AD">
        <w:rPr>
          <w:rFonts w:ascii="Times New Roman" w:hAnsi="Times New Roman"/>
          <w:sz w:val="24"/>
          <w:szCs w:val="24"/>
        </w:rPr>
        <w:t>[also Chap. 4]</w:t>
      </w:r>
    </w:p>
    <w:p w14:paraId="67F17658" w14:textId="77777777" w:rsidR="00AC3E10" w:rsidRDefault="00AC3E10" w:rsidP="00AC3E10">
      <w:pPr>
        <w:pStyle w:val="NoSpacing"/>
        <w:rPr>
          <w:rFonts w:ascii="Times New Roman" w:hAnsi="Times New Roman"/>
          <w:sz w:val="24"/>
          <w:szCs w:val="24"/>
        </w:rPr>
      </w:pPr>
    </w:p>
    <w:p w14:paraId="35560435" w14:textId="77777777" w:rsidR="00AC3E10" w:rsidRDefault="00AC3E10" w:rsidP="00AC3E10">
      <w:pPr>
        <w:pStyle w:val="NoSpacing"/>
        <w:rPr>
          <w:rFonts w:ascii="Times New Roman" w:hAnsi="Times New Roman"/>
          <w:sz w:val="24"/>
          <w:szCs w:val="24"/>
        </w:rPr>
      </w:pPr>
      <w:r>
        <w:rPr>
          <w:rFonts w:ascii="Times New Roman" w:hAnsi="Times New Roman"/>
          <w:sz w:val="24"/>
          <w:szCs w:val="24"/>
        </w:rPr>
        <w:t xml:space="preserve">On Sept. 8, 2023, in </w:t>
      </w:r>
      <w:r w:rsidRPr="009108A0">
        <w:rPr>
          <w:rFonts w:ascii="Times New Roman" w:hAnsi="Times New Roman"/>
          <w:sz w:val="24"/>
          <w:szCs w:val="24"/>
          <w:u w:val="single"/>
        </w:rPr>
        <w:t>Mark Jordan v. City of Wichita, Kansas, et al.</w:t>
      </w:r>
      <w:r>
        <w:rPr>
          <w:rFonts w:ascii="Times New Roman" w:hAnsi="Times New Roman"/>
          <w:sz w:val="24"/>
          <w:szCs w:val="24"/>
        </w:rPr>
        <w:t xml:space="preserve">, U.S. District Court Judge Daniel D. Crabtree, U.S. District Court for the District of Kansas, granted the City’s motion for summary judgment.  The August 2019 strip mall fire went to two alarms; plaintiff arrived on seventh unit and took command because no one has yet become IC. Plaintiff admitted it didn’t go well and in his </w:t>
      </w:r>
      <w:proofErr w:type="gramStart"/>
      <w:r>
        <w:rPr>
          <w:rFonts w:ascii="Times New Roman" w:hAnsi="Times New Roman"/>
          <w:sz w:val="24"/>
          <w:szCs w:val="24"/>
        </w:rPr>
        <w:t>words</w:t>
      </w:r>
      <w:proofErr w:type="gramEnd"/>
      <w:r>
        <w:rPr>
          <w:rFonts w:ascii="Times New Roman" w:hAnsi="Times New Roman"/>
          <w:sz w:val="24"/>
          <w:szCs w:val="24"/>
        </w:rPr>
        <w:t xml:space="preserve"> it was a “shit show.” Fire Chief Tammy Snow arrived at scene and criticized the Acting Battalion Chief, who was on the second arriving unit, for not taking command.  The Fire Chief ordered that the annual performance review of both the plaintiff and the Acting Battalion Chief document performance concerns at that strip mall fire. </w:t>
      </w:r>
    </w:p>
    <w:p w14:paraId="3FEC30DB" w14:textId="77777777" w:rsidR="00AC3E10" w:rsidRDefault="00AC3E10" w:rsidP="00AC3E10">
      <w:pPr>
        <w:pStyle w:val="NoSpacing"/>
        <w:rPr>
          <w:rFonts w:ascii="Times New Roman" w:hAnsi="Times New Roman"/>
          <w:sz w:val="24"/>
          <w:szCs w:val="24"/>
        </w:rPr>
      </w:pPr>
    </w:p>
    <w:p w14:paraId="631B25F6" w14:textId="77777777" w:rsidR="00AC3E10" w:rsidRPr="00497B07" w:rsidRDefault="00AC3E10" w:rsidP="00AC3E10">
      <w:pPr>
        <w:pStyle w:val="NoSpacing"/>
        <w:ind w:firstLine="720"/>
        <w:rPr>
          <w:rFonts w:ascii="Times New Roman" w:hAnsi="Times New Roman"/>
          <w:sz w:val="24"/>
          <w:szCs w:val="24"/>
        </w:rPr>
      </w:pPr>
      <w:r>
        <w:rPr>
          <w:rFonts w:ascii="Times New Roman" w:hAnsi="Times New Roman"/>
          <w:sz w:val="24"/>
          <w:szCs w:val="24"/>
        </w:rPr>
        <w:lastRenderedPageBreak/>
        <w:t>“</w:t>
      </w:r>
      <w:r w:rsidRPr="00497B07">
        <w:rPr>
          <w:rFonts w:ascii="Times New Roman" w:hAnsi="Times New Roman"/>
          <w:sz w:val="24"/>
          <w:szCs w:val="24"/>
        </w:rPr>
        <w:t>In August 2019—before the Acting Battalion Chief debacle—a strip mall on south</w:t>
      </w:r>
    </w:p>
    <w:p w14:paraId="238C377E" w14:textId="77777777" w:rsidR="00AC3E10" w:rsidRDefault="00AC3E10" w:rsidP="00AC3E10">
      <w:pPr>
        <w:pStyle w:val="NoSpacing"/>
        <w:ind w:left="720"/>
        <w:rPr>
          <w:rFonts w:ascii="Times New Roman" w:hAnsi="Times New Roman"/>
          <w:sz w:val="24"/>
          <w:szCs w:val="24"/>
        </w:rPr>
      </w:pPr>
      <w:r w:rsidRPr="00497B07">
        <w:rPr>
          <w:rFonts w:ascii="Times New Roman" w:hAnsi="Times New Roman"/>
          <w:sz w:val="24"/>
          <w:szCs w:val="24"/>
        </w:rPr>
        <w:t>Seneca Street caught fire. Doc. 81 at 3 (Pretrial Order ¶ 2.a.x.). WFD Policy provides that the</w:t>
      </w:r>
      <w:r>
        <w:rPr>
          <w:rFonts w:ascii="Times New Roman" w:hAnsi="Times New Roman"/>
          <w:sz w:val="24"/>
          <w:szCs w:val="24"/>
        </w:rPr>
        <w:t xml:space="preserve"> </w:t>
      </w:r>
      <w:r w:rsidRPr="00497B07">
        <w:rPr>
          <w:rFonts w:ascii="Times New Roman" w:hAnsi="Times New Roman"/>
          <w:sz w:val="24"/>
          <w:szCs w:val="24"/>
        </w:rPr>
        <w:t>second fire engine to arrive at a scene should assume command</w:t>
      </w:r>
      <w:r>
        <w:rPr>
          <w:rFonts w:ascii="Times New Roman" w:hAnsi="Times New Roman"/>
          <w:sz w:val="24"/>
          <w:szCs w:val="24"/>
        </w:rPr>
        <w:t xml:space="preserve">…. </w:t>
      </w:r>
      <w:r w:rsidRPr="00497B07">
        <w:rPr>
          <w:rFonts w:ascii="Times New Roman" w:hAnsi="Times New Roman"/>
          <w:sz w:val="24"/>
          <w:szCs w:val="24"/>
        </w:rPr>
        <w:t>Plaintiff was on the seventh unit to arrive at the fire, but no one had assumed command. Id.</w:t>
      </w:r>
      <w:r>
        <w:rPr>
          <w:rFonts w:ascii="Times New Roman" w:hAnsi="Times New Roman"/>
          <w:sz w:val="24"/>
          <w:szCs w:val="24"/>
        </w:rPr>
        <w:t xml:space="preserve"> </w:t>
      </w:r>
      <w:r w:rsidRPr="00497B07">
        <w:rPr>
          <w:rFonts w:ascii="Times New Roman" w:hAnsi="Times New Roman"/>
          <w:sz w:val="24"/>
          <w:szCs w:val="24"/>
        </w:rPr>
        <w:t>So, plaintiff assumed command of the Seneca Street fire</w:t>
      </w:r>
      <w:r>
        <w:rPr>
          <w:rFonts w:ascii="Times New Roman" w:hAnsi="Times New Roman"/>
          <w:sz w:val="24"/>
          <w:szCs w:val="24"/>
        </w:rPr>
        <w:t>….</w:t>
      </w:r>
      <w:r w:rsidRPr="00497B07">
        <w:rPr>
          <w:rFonts w:ascii="Times New Roman" w:hAnsi="Times New Roman"/>
          <w:sz w:val="24"/>
          <w:szCs w:val="24"/>
        </w:rPr>
        <w:t xml:space="preserve"> With seven units already at the scene and assigned, plaintiff, as incident commander, had a</w:t>
      </w:r>
      <w:r>
        <w:rPr>
          <w:rFonts w:ascii="Times New Roman" w:hAnsi="Times New Roman"/>
          <w:sz w:val="24"/>
          <w:szCs w:val="24"/>
        </w:rPr>
        <w:t xml:space="preserve"> </w:t>
      </w:r>
      <w:r w:rsidRPr="00497B07">
        <w:rPr>
          <w:rFonts w:ascii="Times New Roman" w:hAnsi="Times New Roman"/>
          <w:sz w:val="24"/>
          <w:szCs w:val="24"/>
        </w:rPr>
        <w:t>lot of catching up to do</w:t>
      </w:r>
      <w:r>
        <w:rPr>
          <w:rFonts w:ascii="Times New Roman" w:hAnsi="Times New Roman"/>
          <w:sz w:val="24"/>
          <w:szCs w:val="24"/>
        </w:rPr>
        <w:t>….</w:t>
      </w:r>
      <w:r w:rsidRPr="00497B07">
        <w:rPr>
          <w:rFonts w:ascii="Times New Roman" w:hAnsi="Times New Roman"/>
          <w:sz w:val="24"/>
          <w:szCs w:val="24"/>
        </w:rPr>
        <w:t>(After Action Report Tr.). Plaintiff described the scene</w:t>
      </w:r>
      <w:r>
        <w:rPr>
          <w:rFonts w:ascii="Times New Roman" w:hAnsi="Times New Roman"/>
          <w:sz w:val="24"/>
          <w:szCs w:val="24"/>
        </w:rPr>
        <w:t xml:space="preserve"> </w:t>
      </w:r>
      <w:r w:rsidRPr="00497B07">
        <w:rPr>
          <w:rFonts w:ascii="Times New Roman" w:hAnsi="Times New Roman"/>
          <w:sz w:val="24"/>
          <w:szCs w:val="24"/>
        </w:rPr>
        <w:t xml:space="preserve">as a </w:t>
      </w:r>
      <w:r>
        <w:rPr>
          <w:rFonts w:ascii="Times New Roman" w:hAnsi="Times New Roman"/>
          <w:sz w:val="24"/>
          <w:szCs w:val="24"/>
        </w:rPr>
        <w:t>‘</w:t>
      </w:r>
      <w:r w:rsidRPr="00497B07">
        <w:rPr>
          <w:rFonts w:ascii="Times New Roman" w:hAnsi="Times New Roman"/>
          <w:sz w:val="24"/>
          <w:szCs w:val="24"/>
        </w:rPr>
        <w:t>shit show.</w:t>
      </w:r>
      <w:r>
        <w:rPr>
          <w:rFonts w:ascii="Times New Roman" w:hAnsi="Times New Roman"/>
          <w:sz w:val="24"/>
          <w:szCs w:val="24"/>
        </w:rPr>
        <w:t>’</w:t>
      </w:r>
      <w:r w:rsidRPr="00497B07">
        <w:rPr>
          <w:rFonts w:ascii="Times New Roman" w:hAnsi="Times New Roman"/>
          <w:sz w:val="24"/>
          <w:szCs w:val="24"/>
        </w:rPr>
        <w:t xml:space="preserve"> Doc. 86-7 at 49 (Pl. Dep. 200:6–13). Plaintiff acknowledged that he struggled</w:t>
      </w:r>
      <w:r>
        <w:rPr>
          <w:rFonts w:ascii="Times New Roman" w:hAnsi="Times New Roman"/>
          <w:sz w:val="24"/>
          <w:szCs w:val="24"/>
        </w:rPr>
        <w:t xml:space="preserve"> </w:t>
      </w:r>
      <w:r w:rsidRPr="00497B07">
        <w:rPr>
          <w:rFonts w:ascii="Times New Roman" w:hAnsi="Times New Roman"/>
          <w:sz w:val="24"/>
          <w:szCs w:val="24"/>
        </w:rPr>
        <w:t xml:space="preserve">at the scene but </w:t>
      </w:r>
      <w:proofErr w:type="gramStart"/>
      <w:r w:rsidRPr="00497B07">
        <w:rPr>
          <w:rFonts w:ascii="Times New Roman" w:hAnsi="Times New Roman"/>
          <w:sz w:val="24"/>
          <w:szCs w:val="24"/>
        </w:rPr>
        <w:t>believes</w:t>
      </w:r>
      <w:proofErr w:type="gramEnd"/>
      <w:r w:rsidRPr="00497B07">
        <w:rPr>
          <w:rFonts w:ascii="Times New Roman" w:hAnsi="Times New Roman"/>
          <w:sz w:val="24"/>
          <w:szCs w:val="24"/>
        </w:rPr>
        <w:t xml:space="preserve"> that anyone in the same situation would have struggled. </w:t>
      </w:r>
    </w:p>
    <w:p w14:paraId="5539B08B" w14:textId="77777777" w:rsidR="00AC3E10" w:rsidRDefault="00AC3E10" w:rsidP="00AC3E10">
      <w:pPr>
        <w:pStyle w:val="NoSpacing"/>
        <w:ind w:left="720"/>
        <w:rPr>
          <w:rFonts w:ascii="Times New Roman" w:hAnsi="Times New Roman"/>
          <w:sz w:val="24"/>
          <w:szCs w:val="24"/>
        </w:rPr>
      </w:pPr>
    </w:p>
    <w:p w14:paraId="2136A12F"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p>
    <w:p w14:paraId="47D25600" w14:textId="77777777" w:rsidR="00AC3E10" w:rsidRDefault="00AC3E10" w:rsidP="00AC3E10">
      <w:pPr>
        <w:pStyle w:val="NoSpacing"/>
        <w:ind w:left="720"/>
        <w:rPr>
          <w:rFonts w:ascii="Times New Roman" w:hAnsi="Times New Roman"/>
          <w:sz w:val="24"/>
          <w:szCs w:val="24"/>
        </w:rPr>
      </w:pPr>
    </w:p>
    <w:p w14:paraId="6B3A143D" w14:textId="77777777" w:rsidR="00AC3E10" w:rsidRPr="00C20869" w:rsidRDefault="00AC3E10" w:rsidP="00AC3E10">
      <w:pPr>
        <w:pStyle w:val="NoSpacing"/>
        <w:ind w:firstLine="720"/>
        <w:rPr>
          <w:rFonts w:ascii="Times New Roman" w:hAnsi="Times New Roman"/>
          <w:sz w:val="24"/>
          <w:szCs w:val="24"/>
        </w:rPr>
      </w:pPr>
      <w:r w:rsidRPr="00C20869">
        <w:rPr>
          <w:rFonts w:ascii="Times New Roman" w:hAnsi="Times New Roman"/>
          <w:sz w:val="24"/>
          <w:szCs w:val="24"/>
        </w:rPr>
        <w:t xml:space="preserve">Here, Chief Snow asked Pavelski to review plaintiff’s second evaluation </w:t>
      </w:r>
      <w:r>
        <w:rPr>
          <w:rFonts w:ascii="Times New Roman" w:hAnsi="Times New Roman"/>
          <w:sz w:val="24"/>
          <w:szCs w:val="24"/>
        </w:rPr>
        <w:t>‘</w:t>
      </w:r>
      <w:r w:rsidRPr="00C20869">
        <w:rPr>
          <w:rFonts w:ascii="Times New Roman" w:hAnsi="Times New Roman"/>
          <w:sz w:val="24"/>
          <w:szCs w:val="24"/>
        </w:rPr>
        <w:t>for accuracy</w:t>
      </w:r>
      <w:r>
        <w:rPr>
          <w:rFonts w:ascii="Times New Roman" w:hAnsi="Times New Roman"/>
          <w:sz w:val="24"/>
          <w:szCs w:val="24"/>
        </w:rPr>
        <w:t>.’</w:t>
      </w:r>
    </w:p>
    <w:p w14:paraId="2E276AFD" w14:textId="77777777" w:rsidR="00AC3E10" w:rsidRPr="00C20869" w:rsidRDefault="00AC3E10" w:rsidP="00AC3E10">
      <w:pPr>
        <w:pStyle w:val="NoSpacing"/>
        <w:ind w:firstLine="720"/>
        <w:rPr>
          <w:rFonts w:ascii="Times New Roman" w:hAnsi="Times New Roman"/>
          <w:sz w:val="24"/>
          <w:szCs w:val="24"/>
        </w:rPr>
      </w:pPr>
      <w:r w:rsidRPr="00C20869">
        <w:rPr>
          <w:rFonts w:ascii="Times New Roman" w:hAnsi="Times New Roman"/>
          <w:sz w:val="24"/>
          <w:szCs w:val="24"/>
        </w:rPr>
        <w:t xml:space="preserve">Doc. 86-19 (Snow, Aug. 11, </w:t>
      </w:r>
      <w:proofErr w:type="gramStart"/>
      <w:r w:rsidRPr="00C20869">
        <w:rPr>
          <w:rFonts w:ascii="Times New Roman" w:hAnsi="Times New Roman"/>
          <w:sz w:val="24"/>
          <w:szCs w:val="24"/>
        </w:rPr>
        <w:t>2020</w:t>
      </w:r>
      <w:proofErr w:type="gramEnd"/>
      <w:r w:rsidRPr="00C20869">
        <w:rPr>
          <w:rFonts w:ascii="Times New Roman" w:hAnsi="Times New Roman"/>
          <w:sz w:val="24"/>
          <w:szCs w:val="24"/>
        </w:rPr>
        <w:t xml:space="preserve"> Email). Chief Snow wanted Pavelski to add a </w:t>
      </w:r>
      <w:r>
        <w:rPr>
          <w:rFonts w:ascii="Times New Roman" w:hAnsi="Times New Roman"/>
          <w:sz w:val="24"/>
          <w:szCs w:val="24"/>
        </w:rPr>
        <w:t>‘</w:t>
      </w:r>
      <w:r w:rsidRPr="00C20869">
        <w:rPr>
          <w:rFonts w:ascii="Times New Roman" w:hAnsi="Times New Roman"/>
          <w:sz w:val="24"/>
          <w:szCs w:val="24"/>
        </w:rPr>
        <w:t>note of</w:t>
      </w:r>
    </w:p>
    <w:p w14:paraId="39402515" w14:textId="77777777" w:rsidR="00AC3E10" w:rsidRDefault="00AC3E10" w:rsidP="00AC3E10">
      <w:pPr>
        <w:pStyle w:val="NoSpacing"/>
        <w:ind w:left="720"/>
        <w:rPr>
          <w:rFonts w:ascii="Times New Roman" w:hAnsi="Times New Roman"/>
          <w:sz w:val="24"/>
          <w:szCs w:val="24"/>
        </w:rPr>
      </w:pPr>
      <w:r w:rsidRPr="00C20869">
        <w:rPr>
          <w:rFonts w:ascii="Times New Roman" w:hAnsi="Times New Roman"/>
          <w:sz w:val="24"/>
          <w:szCs w:val="24"/>
        </w:rPr>
        <w:t>Accountability</w:t>
      </w:r>
      <w:r>
        <w:rPr>
          <w:rFonts w:ascii="Times New Roman" w:hAnsi="Times New Roman"/>
          <w:sz w:val="24"/>
          <w:szCs w:val="24"/>
        </w:rPr>
        <w:t>’</w:t>
      </w:r>
      <w:r w:rsidRPr="00C20869">
        <w:rPr>
          <w:rFonts w:ascii="Times New Roman" w:hAnsi="Times New Roman"/>
          <w:sz w:val="24"/>
          <w:szCs w:val="24"/>
        </w:rPr>
        <w:t xml:space="preserve"> about plaintiff’s performance at the Seneca Street Fire. Doc. 86-3 at 19 (Snow</w:t>
      </w:r>
      <w:r>
        <w:rPr>
          <w:rFonts w:ascii="Times New Roman" w:hAnsi="Times New Roman"/>
          <w:sz w:val="24"/>
          <w:szCs w:val="24"/>
        </w:rPr>
        <w:t xml:space="preserve"> </w:t>
      </w:r>
      <w:r w:rsidRPr="00C20869">
        <w:rPr>
          <w:rFonts w:ascii="Times New Roman" w:hAnsi="Times New Roman"/>
          <w:sz w:val="24"/>
          <w:szCs w:val="24"/>
        </w:rPr>
        <w:t>Dep. 58:4–11).</w:t>
      </w:r>
    </w:p>
    <w:p w14:paraId="6CDB60CE" w14:textId="77777777" w:rsidR="00AC3E10" w:rsidRDefault="00AC3E10" w:rsidP="00AC3E10">
      <w:pPr>
        <w:pStyle w:val="NoSpacing"/>
        <w:ind w:left="720"/>
        <w:rPr>
          <w:rFonts w:ascii="Times New Roman" w:hAnsi="Times New Roman"/>
          <w:sz w:val="24"/>
          <w:szCs w:val="24"/>
        </w:rPr>
      </w:pPr>
    </w:p>
    <w:p w14:paraId="371DB84C"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p>
    <w:p w14:paraId="0A340006" w14:textId="77777777" w:rsidR="00AC3E10" w:rsidRDefault="00AC3E10" w:rsidP="00AC3E10">
      <w:pPr>
        <w:pStyle w:val="NoSpacing"/>
        <w:ind w:left="720"/>
        <w:rPr>
          <w:rFonts w:ascii="Times New Roman" w:hAnsi="Times New Roman"/>
          <w:sz w:val="24"/>
          <w:szCs w:val="24"/>
        </w:rPr>
      </w:pPr>
    </w:p>
    <w:p w14:paraId="07F19371" w14:textId="77777777" w:rsidR="00AC3E10" w:rsidRPr="00C20869" w:rsidRDefault="00AC3E10" w:rsidP="00AC3E10">
      <w:pPr>
        <w:pStyle w:val="NoSpacing"/>
        <w:ind w:firstLine="720"/>
        <w:rPr>
          <w:rFonts w:ascii="Times New Roman" w:hAnsi="Times New Roman"/>
          <w:sz w:val="24"/>
          <w:szCs w:val="24"/>
        </w:rPr>
      </w:pPr>
      <w:r w:rsidRPr="00C20869">
        <w:rPr>
          <w:rFonts w:ascii="Times New Roman" w:hAnsi="Times New Roman"/>
          <w:sz w:val="24"/>
          <w:szCs w:val="24"/>
        </w:rPr>
        <w:t xml:space="preserve">And plaintiff acknowledged that the Seneca Street Fire was a </w:t>
      </w:r>
      <w:r>
        <w:rPr>
          <w:rFonts w:ascii="Times New Roman" w:hAnsi="Times New Roman"/>
          <w:sz w:val="24"/>
          <w:szCs w:val="24"/>
        </w:rPr>
        <w:t>‘</w:t>
      </w:r>
      <w:r w:rsidRPr="00C20869">
        <w:rPr>
          <w:rFonts w:ascii="Times New Roman" w:hAnsi="Times New Roman"/>
          <w:sz w:val="24"/>
          <w:szCs w:val="24"/>
        </w:rPr>
        <w:t>shit show,</w:t>
      </w:r>
      <w:r>
        <w:rPr>
          <w:rFonts w:ascii="Times New Roman" w:hAnsi="Times New Roman"/>
          <w:sz w:val="24"/>
          <w:szCs w:val="24"/>
        </w:rPr>
        <w:t xml:space="preserve">’ </w:t>
      </w:r>
      <w:r w:rsidRPr="00C20869">
        <w:rPr>
          <w:rFonts w:ascii="Times New Roman" w:hAnsi="Times New Roman"/>
          <w:sz w:val="24"/>
          <w:szCs w:val="24"/>
        </w:rPr>
        <w:t>Doc.</w:t>
      </w:r>
    </w:p>
    <w:p w14:paraId="59B1FE70" w14:textId="77777777" w:rsidR="00AC3E10" w:rsidRDefault="00AC3E10" w:rsidP="00AC3E10">
      <w:pPr>
        <w:pStyle w:val="NoSpacing"/>
        <w:ind w:left="720"/>
        <w:rPr>
          <w:rFonts w:ascii="Times New Roman" w:hAnsi="Times New Roman"/>
          <w:sz w:val="24"/>
          <w:szCs w:val="24"/>
        </w:rPr>
      </w:pPr>
      <w:r w:rsidRPr="00C20869">
        <w:rPr>
          <w:rFonts w:ascii="Times New Roman" w:hAnsi="Times New Roman"/>
          <w:sz w:val="24"/>
          <w:szCs w:val="24"/>
        </w:rPr>
        <w:t>86-7 at 49 (Pl. Dep. 200:6–13), and that he struggled at the scene, id. at 50 (Pl. Dep. 202:4–13).</w:t>
      </w:r>
      <w:r>
        <w:rPr>
          <w:rFonts w:ascii="Times New Roman" w:hAnsi="Times New Roman"/>
          <w:sz w:val="24"/>
          <w:szCs w:val="24"/>
        </w:rPr>
        <w:t xml:space="preserve"> </w:t>
      </w:r>
      <w:r w:rsidRPr="00C20869">
        <w:rPr>
          <w:rFonts w:ascii="Times New Roman" w:hAnsi="Times New Roman"/>
          <w:sz w:val="24"/>
          <w:szCs w:val="24"/>
        </w:rPr>
        <w:t>Defendants’ reason for altering plaintiff’s review is not facially prohibited—</w:t>
      </w:r>
      <w:proofErr w:type="gramStart"/>
      <w:r w:rsidRPr="00C20869">
        <w:rPr>
          <w:rFonts w:ascii="Times New Roman" w:hAnsi="Times New Roman"/>
          <w:sz w:val="24"/>
          <w:szCs w:val="24"/>
        </w:rPr>
        <w:t>so,</w:t>
      </w:r>
      <w:proofErr w:type="gramEnd"/>
      <w:r w:rsidRPr="00C20869">
        <w:rPr>
          <w:rFonts w:ascii="Times New Roman" w:hAnsi="Times New Roman"/>
          <w:sz w:val="24"/>
          <w:szCs w:val="24"/>
        </w:rPr>
        <w:t xml:space="preserve"> defendants have</w:t>
      </w:r>
      <w:r>
        <w:rPr>
          <w:rFonts w:ascii="Times New Roman" w:hAnsi="Times New Roman"/>
          <w:sz w:val="24"/>
          <w:szCs w:val="24"/>
        </w:rPr>
        <w:t xml:space="preserve"> </w:t>
      </w:r>
      <w:r w:rsidRPr="00C20869">
        <w:rPr>
          <w:rFonts w:ascii="Times New Roman" w:hAnsi="Times New Roman"/>
          <w:sz w:val="24"/>
          <w:szCs w:val="24"/>
        </w:rPr>
        <w:t>satisfied their burden at this step. Also, plaintiff doesn’t argue that defendants have failed to</w:t>
      </w:r>
      <w:r>
        <w:rPr>
          <w:rFonts w:ascii="Times New Roman" w:hAnsi="Times New Roman"/>
          <w:sz w:val="24"/>
          <w:szCs w:val="24"/>
        </w:rPr>
        <w:t xml:space="preserve"> </w:t>
      </w:r>
      <w:r w:rsidRPr="00C20869">
        <w:rPr>
          <w:rFonts w:ascii="Times New Roman" w:hAnsi="Times New Roman"/>
          <w:sz w:val="24"/>
          <w:szCs w:val="24"/>
        </w:rPr>
        <w:t>proffer a legitimate, non-discriminatory reason for modifying his performance evaluation. See</w:t>
      </w:r>
      <w:r>
        <w:rPr>
          <w:rFonts w:ascii="Times New Roman" w:hAnsi="Times New Roman"/>
          <w:sz w:val="24"/>
          <w:szCs w:val="24"/>
        </w:rPr>
        <w:t xml:space="preserve"> </w:t>
      </w:r>
      <w:r w:rsidRPr="00C20869">
        <w:rPr>
          <w:rFonts w:ascii="Times New Roman" w:hAnsi="Times New Roman"/>
          <w:sz w:val="24"/>
          <w:szCs w:val="24"/>
        </w:rPr>
        <w:t>generally Doc. 91. Defendants simply wanted plaintiff’s performance evaluation to include</w:t>
      </w:r>
      <w:r>
        <w:rPr>
          <w:rFonts w:ascii="Times New Roman" w:hAnsi="Times New Roman"/>
          <w:sz w:val="24"/>
          <w:szCs w:val="24"/>
        </w:rPr>
        <w:t xml:space="preserve"> </w:t>
      </w:r>
      <w:r w:rsidRPr="00C20869">
        <w:rPr>
          <w:rFonts w:ascii="Times New Roman" w:hAnsi="Times New Roman"/>
          <w:sz w:val="24"/>
          <w:szCs w:val="24"/>
        </w:rPr>
        <w:t>information about the Seneca Street Fire. This showing qualifies as a legitimate,</w:t>
      </w:r>
      <w:r>
        <w:rPr>
          <w:rFonts w:ascii="Times New Roman" w:hAnsi="Times New Roman"/>
          <w:sz w:val="24"/>
          <w:szCs w:val="24"/>
        </w:rPr>
        <w:t xml:space="preserve"> </w:t>
      </w:r>
      <w:r w:rsidRPr="00C20869">
        <w:rPr>
          <w:rFonts w:ascii="Times New Roman" w:hAnsi="Times New Roman"/>
          <w:sz w:val="24"/>
          <w:szCs w:val="24"/>
        </w:rPr>
        <w:t>nondiscriminatory reason satisfactory to discharge the City’s burden at step two.</w:t>
      </w:r>
    </w:p>
    <w:p w14:paraId="1C7AE4DC" w14:textId="77777777" w:rsidR="00AC3E10" w:rsidRDefault="00AC3E10" w:rsidP="00AC3E10">
      <w:pPr>
        <w:pStyle w:val="NoSpacing"/>
        <w:ind w:left="720"/>
        <w:rPr>
          <w:rFonts w:ascii="Times New Roman" w:hAnsi="Times New Roman"/>
          <w:sz w:val="24"/>
          <w:szCs w:val="24"/>
        </w:rPr>
      </w:pPr>
    </w:p>
    <w:p w14:paraId="31AA7B0E"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p>
    <w:p w14:paraId="743F8539" w14:textId="77777777" w:rsidR="00AC3E10" w:rsidRDefault="00AC3E10" w:rsidP="00AC3E10">
      <w:pPr>
        <w:pStyle w:val="NoSpacing"/>
        <w:ind w:firstLine="720"/>
        <w:rPr>
          <w:rFonts w:ascii="Times New Roman" w:hAnsi="Times New Roman"/>
          <w:sz w:val="24"/>
          <w:szCs w:val="24"/>
        </w:rPr>
      </w:pPr>
      <w:r>
        <w:rPr>
          <w:rFonts w:ascii="Times New Roman" w:hAnsi="Times New Roman"/>
          <w:sz w:val="24"/>
          <w:szCs w:val="24"/>
        </w:rPr>
        <w:t>T</w:t>
      </w:r>
      <w:r w:rsidRPr="00C20869">
        <w:rPr>
          <w:rFonts w:ascii="Times New Roman" w:hAnsi="Times New Roman"/>
          <w:sz w:val="24"/>
          <w:szCs w:val="24"/>
        </w:rPr>
        <w:t>he court concludes, instead, that plaintiff has failed to present triable issues of race</w:t>
      </w:r>
    </w:p>
    <w:p w14:paraId="43E6E44D" w14:textId="77777777" w:rsidR="00AC3E10" w:rsidRDefault="00AC3E10" w:rsidP="00AC3E10">
      <w:pPr>
        <w:pStyle w:val="NoSpacing"/>
        <w:ind w:left="720"/>
        <w:rPr>
          <w:rFonts w:ascii="Times New Roman" w:hAnsi="Times New Roman"/>
          <w:sz w:val="24"/>
          <w:szCs w:val="24"/>
        </w:rPr>
      </w:pPr>
      <w:r w:rsidRPr="00C20869">
        <w:rPr>
          <w:rFonts w:ascii="Times New Roman" w:hAnsi="Times New Roman"/>
          <w:sz w:val="24"/>
          <w:szCs w:val="24"/>
        </w:rPr>
        <w:t>discrimination and retaliation, so it declines to invoke its supplemental jurisdiction over the state</w:t>
      </w:r>
      <w:r>
        <w:rPr>
          <w:rFonts w:ascii="Times New Roman" w:hAnsi="Times New Roman"/>
          <w:sz w:val="24"/>
          <w:szCs w:val="24"/>
        </w:rPr>
        <w:t xml:space="preserve"> </w:t>
      </w:r>
      <w:r w:rsidRPr="00C20869">
        <w:rPr>
          <w:rFonts w:ascii="Times New Roman" w:hAnsi="Times New Roman"/>
          <w:sz w:val="24"/>
          <w:szCs w:val="24"/>
        </w:rPr>
        <w:t>law claims under 28 U.S.C.§ 1367(c)(3).</w:t>
      </w:r>
      <w:r>
        <w:rPr>
          <w:rFonts w:ascii="Times New Roman" w:hAnsi="Times New Roman"/>
          <w:sz w:val="24"/>
          <w:szCs w:val="24"/>
        </w:rPr>
        <w:t xml:space="preserve">”  </w:t>
      </w:r>
      <w:hyperlink r:id="rId1483" w:history="1">
        <w:r w:rsidRPr="002833D6">
          <w:rPr>
            <w:rStyle w:val="Hyperlink"/>
            <w:rFonts w:ascii="Times New Roman" w:hAnsi="Times New Roman"/>
            <w:sz w:val="24"/>
            <w:szCs w:val="24"/>
          </w:rPr>
          <w:t>https://cases.justia.com/federal/district-courts/kansas/ksdce/6:2022cv01032/140026/96/0.pdf?ts=1694273736</w:t>
        </w:r>
      </w:hyperlink>
      <w:r>
        <w:rPr>
          <w:rFonts w:ascii="Times New Roman" w:hAnsi="Times New Roman"/>
          <w:sz w:val="24"/>
          <w:szCs w:val="24"/>
        </w:rPr>
        <w:t xml:space="preserve"> </w:t>
      </w:r>
    </w:p>
    <w:p w14:paraId="0BD13CE9" w14:textId="77777777" w:rsidR="00AC3E10" w:rsidRDefault="00AC3E10" w:rsidP="00AC3E10">
      <w:pPr>
        <w:pStyle w:val="NoSpacing"/>
        <w:rPr>
          <w:rFonts w:ascii="Times New Roman" w:hAnsi="Times New Roman"/>
          <w:b/>
          <w:bCs/>
          <w:sz w:val="24"/>
          <w:szCs w:val="24"/>
        </w:rPr>
      </w:pPr>
    </w:p>
    <w:p w14:paraId="751A6F70" w14:textId="77777777" w:rsidR="00AC3E10" w:rsidRPr="0000521D" w:rsidRDefault="00AC3E10" w:rsidP="00AC3E10">
      <w:pPr>
        <w:pStyle w:val="NoSpacing"/>
        <w:rPr>
          <w:rFonts w:ascii="Times New Roman" w:hAnsi="Times New Roman"/>
          <w:b/>
          <w:bCs/>
          <w:sz w:val="24"/>
          <w:szCs w:val="24"/>
        </w:rPr>
      </w:pPr>
      <w:r w:rsidRPr="0000521D">
        <w:rPr>
          <w:rFonts w:ascii="Times New Roman" w:hAnsi="Times New Roman"/>
          <w:b/>
          <w:bCs/>
          <w:sz w:val="24"/>
          <w:szCs w:val="24"/>
        </w:rPr>
        <w:t>Legal Lesson Learned:</w:t>
      </w:r>
      <w:r>
        <w:rPr>
          <w:rFonts w:ascii="Times New Roman" w:hAnsi="Times New Roman"/>
          <w:b/>
          <w:bCs/>
          <w:sz w:val="24"/>
          <w:szCs w:val="24"/>
        </w:rPr>
        <w:t xml:space="preserve"> Fire Chief properly ordered the annual performance review </w:t>
      </w:r>
      <w:proofErr w:type="gramStart"/>
      <w:r>
        <w:rPr>
          <w:rFonts w:ascii="Times New Roman" w:hAnsi="Times New Roman"/>
          <w:b/>
          <w:bCs/>
          <w:sz w:val="24"/>
          <w:szCs w:val="24"/>
        </w:rPr>
        <w:t>include</w:t>
      </w:r>
      <w:proofErr w:type="gramEnd"/>
      <w:r>
        <w:rPr>
          <w:rFonts w:ascii="Times New Roman" w:hAnsi="Times New Roman"/>
          <w:b/>
          <w:bCs/>
          <w:sz w:val="24"/>
          <w:szCs w:val="24"/>
        </w:rPr>
        <w:t xml:space="preserve"> reference to IC issues at strip mall fire.  </w:t>
      </w:r>
    </w:p>
    <w:p w14:paraId="12320FC1" w14:textId="77777777" w:rsidR="00AC3E10" w:rsidRDefault="00AC3E10" w:rsidP="00AC3E10">
      <w:pPr>
        <w:rPr>
          <w:rStyle w:val="Hyperlink"/>
          <w:rFonts w:ascii="Arial Black" w:hAnsi="Arial Black"/>
          <w:b/>
          <w:color w:val="auto"/>
          <w:sz w:val="24"/>
          <w:szCs w:val="24"/>
          <w:u w:val="none"/>
        </w:rPr>
      </w:pPr>
    </w:p>
    <w:p w14:paraId="13C55798" w14:textId="77777777" w:rsidR="00AC3E10" w:rsidRDefault="00AC3E10" w:rsidP="00BC70A3">
      <w:pPr>
        <w:rPr>
          <w:rFonts w:ascii="Arial Black" w:hAnsi="Arial Black"/>
          <w:b/>
          <w:sz w:val="24"/>
          <w:szCs w:val="24"/>
        </w:rPr>
      </w:pPr>
    </w:p>
    <w:p w14:paraId="0665ADAF" w14:textId="77777777" w:rsidR="00AC3E10" w:rsidRDefault="00AC3E10" w:rsidP="00BC70A3">
      <w:pPr>
        <w:rPr>
          <w:rFonts w:ascii="Arial Black" w:hAnsi="Arial Black"/>
          <w:b/>
          <w:sz w:val="24"/>
          <w:szCs w:val="24"/>
        </w:rPr>
      </w:pPr>
    </w:p>
    <w:p w14:paraId="6878D7B2" w14:textId="77777777" w:rsidR="00AC3E10" w:rsidRDefault="00AC3E10" w:rsidP="00BC70A3">
      <w:pPr>
        <w:rPr>
          <w:rFonts w:ascii="Arial Black" w:hAnsi="Arial Black"/>
          <w:b/>
          <w:sz w:val="24"/>
          <w:szCs w:val="24"/>
        </w:rPr>
      </w:pPr>
    </w:p>
    <w:p w14:paraId="16605AFA" w14:textId="05C4C2FB" w:rsidR="000644B6" w:rsidRDefault="000644B6" w:rsidP="00BC70A3">
      <w:pPr>
        <w:rPr>
          <w:rFonts w:ascii="Arial Black" w:hAnsi="Arial Black"/>
          <w:b/>
          <w:sz w:val="24"/>
          <w:szCs w:val="24"/>
        </w:rPr>
      </w:pPr>
      <w:r>
        <w:rPr>
          <w:rFonts w:ascii="Arial Black" w:hAnsi="Arial Black"/>
          <w:b/>
          <w:sz w:val="24"/>
          <w:szCs w:val="24"/>
        </w:rPr>
        <w:t>8-53</w:t>
      </w:r>
    </w:p>
    <w:p w14:paraId="17D2FFCE" w14:textId="77777777" w:rsidR="000644B6" w:rsidRDefault="000644B6" w:rsidP="000644B6">
      <w:pPr>
        <w:pStyle w:val="NormalWeb"/>
        <w:rPr>
          <w:rFonts w:ascii="Arial Black" w:hAnsi="Arial Black"/>
          <w:sz w:val="28"/>
          <w:szCs w:val="28"/>
        </w:rPr>
      </w:pPr>
      <w:r>
        <w:rPr>
          <w:rFonts w:ascii="Arial Black" w:hAnsi="Arial Black"/>
          <w:sz w:val="28"/>
          <w:szCs w:val="28"/>
        </w:rPr>
        <w:t xml:space="preserve">OH: CINCINNATI CAPTAIN – ASIAN / BLACK – PROMOTION TEST IRREGULARITIES - DISCRIMINATION CLAIM PROCEED </w:t>
      </w:r>
    </w:p>
    <w:p w14:paraId="14AC487F" w14:textId="77777777" w:rsidR="000644B6" w:rsidRDefault="000644B6" w:rsidP="000644B6">
      <w:pPr>
        <w:pStyle w:val="NormalWeb"/>
      </w:pPr>
      <w:r>
        <w:t xml:space="preserve">On July 11, 2023, in </w:t>
      </w:r>
      <w:r w:rsidRPr="008D0D1D">
        <w:rPr>
          <w:u w:val="single"/>
        </w:rPr>
        <w:t>Janos Roper v. City of Cincinnati</w:t>
      </w:r>
      <w:r>
        <w:t xml:space="preserve">, U.S. District Court Judge Mathew W. McFarland, U.S. District Court for Southern District of Ohio, Western Division, denied in part the City’s motion to dismiss.  His </w:t>
      </w:r>
      <w:r>
        <w:lastRenderedPageBreak/>
        <w:t>racial discrimination claim concerning testing irregularities may proceed; but his Ohio Whistleblower claim that he was ordered to speed is dismissed since he didn’t orally report this.   In 2019, he took a promotion test, and alleged technical issues with test caused him to lose points (ranked 16</w:t>
      </w:r>
      <w:r w:rsidRPr="000506A2">
        <w:rPr>
          <w:vertAlign w:val="superscript"/>
        </w:rPr>
        <w:t>th</w:t>
      </w:r>
      <w:r>
        <w:t xml:space="preserve"> on list; 11 promoted during the two years list was effective).  He reported the issues by email to Erica Burks, a human resources employee, and addressed concerns about his income, falsely graded questions, and racial discrimination around the testing itself.  </w:t>
      </w:r>
    </w:p>
    <w:p w14:paraId="3065EEA1" w14:textId="77777777" w:rsidR="000644B6" w:rsidRDefault="000644B6" w:rsidP="000644B6">
      <w:pPr>
        <w:pStyle w:val="NormalWeb"/>
      </w:pPr>
      <w:r>
        <w:t xml:space="preserve">The Court held: </w:t>
      </w:r>
    </w:p>
    <w:p w14:paraId="51805CB2" w14:textId="77777777" w:rsidR="000644B6" w:rsidRDefault="000644B6" w:rsidP="000644B6">
      <w:pPr>
        <w:pStyle w:val="NormalWeb"/>
        <w:numPr>
          <w:ilvl w:val="0"/>
          <w:numId w:val="17"/>
        </w:numPr>
      </w:pPr>
      <w:r>
        <w:t xml:space="preserve">His racial discrimination claim may proceed. “The </w:t>
      </w:r>
      <w:proofErr w:type="gramStart"/>
      <w:r>
        <w:t>City</w:t>
      </w:r>
      <w:proofErr w:type="gramEnd"/>
      <w:r>
        <w:t xml:space="preserve"> claims that Roper has not laid out a prima facie case [of race discrimination]. This argument is premature. An ‘employment discrimination plaintiff need not plead a prima facie case of discrimination’ to survive a motion to dismiss. *** The second problem with the City's argument is that it fails to address the fact that Roper attacks the integrity of the test itself. If the test was flawed, then so were the results of the eligible list. </w:t>
      </w:r>
      <w:proofErr w:type="gramStart"/>
      <w:r>
        <w:t>So</w:t>
      </w:r>
      <w:proofErr w:type="gramEnd"/>
      <w:r>
        <w:t xml:space="preserve"> the fact that he appears sixteenth on the list does not, at the Rule 12(b)(6) stage, absolve the City of liability.”</w:t>
      </w:r>
      <w:r w:rsidRPr="000506A2">
        <w:t xml:space="preserve"> </w:t>
      </w:r>
    </w:p>
    <w:p w14:paraId="0DF5804E" w14:textId="77777777" w:rsidR="000644B6" w:rsidRDefault="000644B6" w:rsidP="000644B6">
      <w:pPr>
        <w:pStyle w:val="NormalWeb"/>
        <w:ind w:left="720"/>
      </w:pPr>
    </w:p>
    <w:p w14:paraId="3D366379" w14:textId="77777777" w:rsidR="000644B6" w:rsidRDefault="000644B6" w:rsidP="000644B6">
      <w:pPr>
        <w:pStyle w:val="NormalWeb"/>
        <w:numPr>
          <w:ilvl w:val="0"/>
          <w:numId w:val="17"/>
        </w:numPr>
      </w:pPr>
      <w:r>
        <w:t xml:space="preserve">Whistleblower </w:t>
      </w:r>
      <w:proofErr w:type="gramStart"/>
      <w:r>
        <w:t>claim</w:t>
      </w:r>
      <w:proofErr w:type="gramEnd"/>
      <w:r>
        <w:t xml:space="preserve"> dismissed.  “He also made whistleblower complaints about [Battalion Chief Jason] Vollmer's instructions for him to break traffic laws and falsify government records. Not much came </w:t>
      </w:r>
      <w:proofErr w:type="gramStart"/>
      <w:r>
        <w:t>of</w:t>
      </w:r>
      <w:proofErr w:type="gramEnd"/>
      <w:r>
        <w:t xml:space="preserve"> these complaints. And, after he came back from a period of sick leave in September 2020, Vollmer treated him worse than before.*** [N]</w:t>
      </w:r>
      <w:proofErr w:type="spellStart"/>
      <w:r>
        <w:t>owhere</w:t>
      </w:r>
      <w:proofErr w:type="spellEnd"/>
      <w:r>
        <w:t xml:space="preserve"> nowhere does he allege any oral communication. He contacted Burks, once, through email. But the whistleblower statute requires him to first orally report a violation, then file a written report. </w:t>
      </w:r>
      <w:hyperlink r:id="rId1484" w:history="1">
        <w:r>
          <w:rPr>
            <w:rStyle w:val="Hyperlink"/>
            <w:rFonts w:eastAsiaTheme="majorEastAsia"/>
          </w:rPr>
          <w:t>R.C. § 4113.52(A)(1)(a)</w:t>
        </w:r>
      </w:hyperlink>
      <w:r>
        <w:t>.”</w:t>
      </w:r>
    </w:p>
    <w:p w14:paraId="6A92F81D" w14:textId="77777777" w:rsidR="000644B6" w:rsidRDefault="000644B6" w:rsidP="000644B6">
      <w:pPr>
        <w:pStyle w:val="NormalWeb"/>
      </w:pPr>
      <w:hyperlink r:id="rId1485" w:history="1">
        <w:r w:rsidRPr="000D7596">
          <w:rPr>
            <w:rStyle w:val="Hyperlink"/>
            <w:rFonts w:eastAsiaTheme="majorEastAsia"/>
          </w:rPr>
          <w:t>https://casetext.com/case/roper-v-city-of-cincinnati</w:t>
        </w:r>
      </w:hyperlink>
      <w:r>
        <w:t xml:space="preserve"> </w:t>
      </w:r>
    </w:p>
    <w:p w14:paraId="48D2305B" w14:textId="77777777" w:rsidR="000644B6" w:rsidRPr="00030503" w:rsidRDefault="000644B6" w:rsidP="000644B6">
      <w:pPr>
        <w:pStyle w:val="NormalWeb"/>
        <w:rPr>
          <w:b/>
          <w:bCs/>
        </w:rPr>
      </w:pPr>
      <w:r w:rsidRPr="00030503">
        <w:rPr>
          <w:b/>
          <w:bCs/>
        </w:rPr>
        <w:t>Legal Lesson Learned:</w:t>
      </w:r>
      <w:r>
        <w:rPr>
          <w:b/>
          <w:bCs/>
        </w:rPr>
        <w:t xml:space="preserve"> Race discrimination lawsuits will generally not be subject to dismissal until all </w:t>
      </w:r>
      <w:proofErr w:type="gramStart"/>
      <w:r>
        <w:rPr>
          <w:b/>
          <w:bCs/>
        </w:rPr>
        <w:t>discovery has</w:t>
      </w:r>
      <w:proofErr w:type="gramEnd"/>
      <w:r>
        <w:rPr>
          <w:b/>
          <w:bCs/>
        </w:rPr>
        <w:t xml:space="preserve"> been completed.</w:t>
      </w:r>
    </w:p>
    <w:p w14:paraId="4295EB19" w14:textId="77777777" w:rsidR="000644B6" w:rsidRPr="00942B34" w:rsidRDefault="000644B6" w:rsidP="000644B6">
      <w:pPr>
        <w:pStyle w:val="gntarbp"/>
        <w:ind w:left="720"/>
      </w:pPr>
      <w:r w:rsidRPr="00942B34">
        <w:t xml:space="preserve">Note: See Dec. 21, </w:t>
      </w:r>
      <w:proofErr w:type="gramStart"/>
      <w:r w:rsidRPr="00942B34">
        <w:t>2018</w:t>
      </w:r>
      <w:proofErr w:type="gramEnd"/>
      <w:r w:rsidRPr="00942B34">
        <w:t xml:space="preserve"> article, “Cincinnati Fire captain alleges sexual harassment after R-rated movie plays at station.” A captain with the Cincinnati Fire Department claims in a lawsuit he was subjected to sexual harassment when an R-rated movie played on a station television last year. Capt. Janos Roper, an 18-year veteran of the Fire Department, filed the suit Friday in federal court. The suit alleges Roper's colleagues ignored his request to stop watching "Any Given Sunday," a sports film that includes nudity and profanity, in a shared eating area. </w:t>
      </w:r>
      <w:hyperlink r:id="rId1486" w:history="1">
        <w:r w:rsidRPr="00942B34">
          <w:rPr>
            <w:rStyle w:val="Hyperlink"/>
            <w:rFonts w:eastAsiaTheme="majorEastAsia"/>
          </w:rPr>
          <w:t>https://www.cincinnati.com/story/news/2018/12/21/fire-captain-alleges-sexual-harassment-after-any-given-sunday-shown-station/2393196002/</w:t>
        </w:r>
      </w:hyperlink>
      <w:r w:rsidRPr="00942B34">
        <w:t xml:space="preserve"> </w:t>
      </w:r>
    </w:p>
    <w:p w14:paraId="1B8C4583" w14:textId="77777777" w:rsidR="000644B6" w:rsidRDefault="000644B6" w:rsidP="00BC70A3">
      <w:pPr>
        <w:rPr>
          <w:rFonts w:ascii="Arial Black" w:hAnsi="Arial Black"/>
          <w:b/>
          <w:sz w:val="24"/>
          <w:szCs w:val="24"/>
        </w:rPr>
      </w:pPr>
    </w:p>
    <w:p w14:paraId="165F5087" w14:textId="064EE3F8" w:rsidR="00477016" w:rsidRDefault="00C032D6" w:rsidP="00BC70A3">
      <w:pPr>
        <w:rPr>
          <w:rFonts w:ascii="Arial Black" w:hAnsi="Arial Black"/>
          <w:b/>
          <w:sz w:val="24"/>
          <w:szCs w:val="24"/>
        </w:rPr>
      </w:pPr>
      <w:r>
        <w:rPr>
          <w:rFonts w:ascii="Arial Black" w:hAnsi="Arial Black"/>
          <w:b/>
          <w:sz w:val="24"/>
          <w:szCs w:val="24"/>
        </w:rPr>
        <w:t>8-52</w:t>
      </w:r>
    </w:p>
    <w:p w14:paraId="327F22E5" w14:textId="77777777" w:rsidR="00C032D6" w:rsidRDefault="00C032D6" w:rsidP="00C032D6">
      <w:pPr>
        <w:spacing w:before="100" w:beforeAutospacing="1" w:after="100" w:afterAutospacing="1" w:line="240" w:lineRule="auto"/>
        <w:rPr>
          <w:rFonts w:ascii="Arial Black" w:hAnsi="Arial Black"/>
          <w:color w:val="343332"/>
          <w:sz w:val="28"/>
          <w:szCs w:val="28"/>
        </w:rPr>
      </w:pPr>
      <w:r>
        <w:rPr>
          <w:rFonts w:ascii="Arial Black" w:hAnsi="Arial Black"/>
          <w:color w:val="343332"/>
          <w:sz w:val="28"/>
          <w:szCs w:val="28"/>
        </w:rPr>
        <w:t xml:space="preserve">U.S. SUP. CT: HARVARD / UNC ADMISSIONS – RACIAL STEREOTYPING, LACK MEANINGFUL END POINTS </w:t>
      </w:r>
    </w:p>
    <w:p w14:paraId="526A72E6" w14:textId="77777777" w:rsidR="00C032D6" w:rsidRDefault="00C032D6" w:rsidP="00C032D6">
      <w:pPr>
        <w:pStyle w:val="NormalWeb"/>
        <w:rPr>
          <w:color w:val="343332"/>
        </w:rPr>
      </w:pPr>
      <w:r>
        <w:rPr>
          <w:color w:val="343332"/>
        </w:rPr>
        <w:t xml:space="preserve">On June 29, 2023, in </w:t>
      </w:r>
      <w:r>
        <w:rPr>
          <w:color w:val="343332"/>
          <w:u w:val="single"/>
        </w:rPr>
        <w:t xml:space="preserve">Students </w:t>
      </w:r>
      <w:proofErr w:type="gramStart"/>
      <w:r>
        <w:rPr>
          <w:color w:val="343332"/>
          <w:u w:val="single"/>
        </w:rPr>
        <w:t>For</w:t>
      </w:r>
      <w:proofErr w:type="gramEnd"/>
      <w:r>
        <w:rPr>
          <w:color w:val="343332"/>
          <w:u w:val="single"/>
        </w:rPr>
        <w:t xml:space="preserve"> Fair Admissions. Inc. v. Harvard College, and Students </w:t>
      </w:r>
      <w:proofErr w:type="gramStart"/>
      <w:r>
        <w:rPr>
          <w:color w:val="343332"/>
          <w:u w:val="single"/>
        </w:rPr>
        <w:t>For</w:t>
      </w:r>
      <w:proofErr w:type="gramEnd"/>
      <w:r>
        <w:rPr>
          <w:color w:val="343332"/>
          <w:u w:val="single"/>
        </w:rPr>
        <w:t xml:space="preserve"> Fair Admissions. Inc. v. University of North Carolina</w:t>
      </w:r>
      <w:r>
        <w:rPr>
          <w:color w:val="343332"/>
        </w:rPr>
        <w:t xml:space="preserve">, the U.S. Supreme Court held (6 to 3), in opinion by Chief Justice John G. Roberts, Jr., the current admissions processes where race is a </w:t>
      </w:r>
      <w:r>
        <w:t xml:space="preserve">“plus factor” </w:t>
      </w:r>
      <w:r>
        <w:rPr>
          <w:color w:val="343332"/>
        </w:rPr>
        <w:t>violates the 14</w:t>
      </w:r>
      <w:r>
        <w:rPr>
          <w:color w:val="343332"/>
          <w:vertAlign w:val="superscript"/>
        </w:rPr>
        <w:t>th</w:t>
      </w:r>
      <w:r>
        <w:rPr>
          <w:color w:val="343332"/>
        </w:rPr>
        <w:t xml:space="preserve"> Amendment’s Equal Protection clause (ratified in 1868 in the wake of the Civil War). “For the reasons provided above, the Harvard and UNC admissions programs cannot be reconciled with the guarantees of the Equal Protection Clause. Both </w:t>
      </w:r>
      <w:r>
        <w:rPr>
          <w:color w:val="343332"/>
        </w:rPr>
        <w:lastRenderedPageBreak/>
        <w:t xml:space="preserve">programs lack sufficiently focused and measurable objectives warranting the use of race, unavoidably employ race in a negative manner, involve racial stereotyping, and lack meaningful end points. We have never permitted admissions programs to work in that way, and we will not do so today. At the same time, as all parties agree, nothing in this opinion should be construed as prohibiting universities from considering an applicant’s discussion of how race affected his or her life, be it through discrimination, inspiration, or otherwise.” </w:t>
      </w:r>
      <w:hyperlink r:id="rId1487" w:history="1">
        <w:r>
          <w:rPr>
            <w:rStyle w:val="Hyperlink"/>
          </w:rPr>
          <w:t>https://www.supremecourt.gov/opinions/22pdf/20-1199_hgdj.pdf</w:t>
        </w:r>
      </w:hyperlink>
      <w:r>
        <w:rPr>
          <w:color w:val="343332"/>
        </w:rPr>
        <w:t xml:space="preserve"> </w:t>
      </w:r>
    </w:p>
    <w:p w14:paraId="01569BD9" w14:textId="77777777" w:rsidR="00C032D6" w:rsidRDefault="00C032D6" w:rsidP="00C032D6">
      <w:pPr>
        <w:pStyle w:val="NormalWeb"/>
        <w:rPr>
          <w:b/>
          <w:bCs/>
          <w:color w:val="343332"/>
        </w:rPr>
      </w:pPr>
      <w:r>
        <w:rPr>
          <w:b/>
          <w:bCs/>
          <w:color w:val="343332"/>
        </w:rPr>
        <w:t xml:space="preserve">Legal Lesson Learned: Employers, including Fire &amp; EMS Departments, may still have racial and gender diversity goals; if your </w:t>
      </w:r>
      <w:proofErr w:type="gramStart"/>
      <w:r>
        <w:rPr>
          <w:b/>
          <w:bCs/>
          <w:color w:val="343332"/>
        </w:rPr>
        <w:t>Department</w:t>
      </w:r>
      <w:proofErr w:type="gramEnd"/>
      <w:r>
        <w:rPr>
          <w:b/>
          <w:bCs/>
          <w:color w:val="343332"/>
        </w:rPr>
        <w:t xml:space="preserve"> still has a </w:t>
      </w:r>
      <w:proofErr w:type="gramStart"/>
      <w:r>
        <w:rPr>
          <w:b/>
          <w:bCs/>
          <w:color w:val="343332"/>
        </w:rPr>
        <w:t>Federal</w:t>
      </w:r>
      <w:proofErr w:type="gramEnd"/>
      <w:r>
        <w:rPr>
          <w:b/>
          <w:bCs/>
          <w:color w:val="343332"/>
        </w:rPr>
        <w:t xml:space="preserve"> consent decree where goals have been met, consult with legal counsel about filing motion to dissolve the decree.</w:t>
      </w:r>
    </w:p>
    <w:p w14:paraId="72A57AB8" w14:textId="77777777" w:rsidR="00C032D6" w:rsidRPr="00BA078F" w:rsidRDefault="00C032D6" w:rsidP="00C032D6">
      <w:pPr>
        <w:pStyle w:val="Heading1"/>
        <w:ind w:left="720"/>
        <w:rPr>
          <w:b w:val="0"/>
          <w:bCs w:val="0"/>
          <w:sz w:val="24"/>
          <w:szCs w:val="24"/>
        </w:rPr>
      </w:pPr>
      <w:r w:rsidRPr="00BA078F">
        <w:rPr>
          <w:b w:val="0"/>
          <w:bCs w:val="0"/>
          <w:color w:val="000000" w:themeColor="text1"/>
          <w:sz w:val="24"/>
          <w:szCs w:val="24"/>
        </w:rPr>
        <w:t>Note: See article, June 24, 2020:  ’</w:t>
      </w:r>
      <w:r w:rsidRPr="00BA078F">
        <w:rPr>
          <w:b w:val="0"/>
          <w:bCs w:val="0"/>
          <w:sz w:val="24"/>
          <w:szCs w:val="24"/>
        </w:rPr>
        <w:t>City of Buffalo updating training procedures: rolling out diversity training for every department.´</w:t>
      </w:r>
      <w:r w:rsidRPr="00BA078F">
        <w:rPr>
          <w:b w:val="0"/>
          <w:bCs w:val="0"/>
        </w:rPr>
        <w:t xml:space="preserve"> </w:t>
      </w:r>
      <w:hyperlink r:id="rId1488" w:history="1">
        <w:r w:rsidRPr="00BA078F">
          <w:rPr>
            <w:rStyle w:val="Hyperlink"/>
            <w:b w:val="0"/>
            <w:bCs w:val="0"/>
            <w:sz w:val="24"/>
            <w:szCs w:val="24"/>
          </w:rPr>
          <w:t>https://www.wkbw.com/news/local-news/city-of-buffalo-updating-training-procedures-rolling-out-diversity-training-for-every-department</w:t>
        </w:r>
      </w:hyperlink>
      <w:r w:rsidRPr="00BA078F">
        <w:rPr>
          <w:b w:val="0"/>
          <w:bCs w:val="0"/>
          <w:sz w:val="24"/>
          <w:szCs w:val="24"/>
        </w:rPr>
        <w:t xml:space="preserve"> </w:t>
      </w:r>
    </w:p>
    <w:p w14:paraId="5161C919" w14:textId="77777777" w:rsidR="00C032D6" w:rsidRPr="00BA078F" w:rsidRDefault="00C032D6" w:rsidP="00C032D6">
      <w:pPr>
        <w:pStyle w:val="Heading1"/>
        <w:ind w:left="720"/>
        <w:rPr>
          <w:b w:val="0"/>
          <w:bCs w:val="0"/>
          <w:sz w:val="24"/>
          <w:szCs w:val="24"/>
        </w:rPr>
      </w:pPr>
      <w:r w:rsidRPr="00BA078F">
        <w:rPr>
          <w:b w:val="0"/>
          <w:bCs w:val="0"/>
          <w:sz w:val="24"/>
          <w:szCs w:val="24"/>
        </w:rPr>
        <w:t>S</w:t>
      </w:r>
      <w:r w:rsidRPr="00BA078F">
        <w:rPr>
          <w:b w:val="0"/>
          <w:bCs w:val="0"/>
          <w:color w:val="000000" w:themeColor="text1"/>
          <w:sz w:val="24"/>
          <w:szCs w:val="24"/>
        </w:rPr>
        <w:t xml:space="preserve">ee IAFC article (March 16, 2015): “Department of Justice, Consent Decrees and the Fire Service.” </w:t>
      </w:r>
      <w:hyperlink r:id="rId1489" w:history="1">
        <w:r w:rsidRPr="00BA078F">
          <w:rPr>
            <w:rStyle w:val="Hyperlink"/>
            <w:b w:val="0"/>
            <w:bCs w:val="0"/>
            <w:sz w:val="24"/>
            <w:szCs w:val="24"/>
          </w:rPr>
          <w:t>https://www.iafc.org/membership/iCHIEFS/iCHIEFS-article/department-of-justice-consent-decrees-and-the-fire-service</w:t>
        </w:r>
      </w:hyperlink>
      <w:r w:rsidRPr="00BA078F">
        <w:rPr>
          <w:b w:val="0"/>
          <w:bCs w:val="0"/>
          <w:color w:val="000000" w:themeColor="text1"/>
          <w:sz w:val="24"/>
          <w:szCs w:val="24"/>
        </w:rPr>
        <w:t xml:space="preserve"> </w:t>
      </w:r>
    </w:p>
    <w:p w14:paraId="2F6CAACF" w14:textId="77777777" w:rsidR="00C032D6" w:rsidRDefault="00C032D6" w:rsidP="00C032D6">
      <w:pPr>
        <w:pStyle w:val="NormalWeb"/>
        <w:ind w:left="720"/>
        <w:rPr>
          <w:color w:val="000000"/>
        </w:rPr>
      </w:pPr>
      <w:r>
        <w:t xml:space="preserve">“There are many consent decrees affecting fire departments across the country related to hiring practices, affecting several fire departments, including FDNY, Baltimore, Austin and San Francisco. </w:t>
      </w:r>
      <w:hyperlink r:id="rId1490" w:tgtFrame="_blank" w:history="1">
        <w:r>
          <w:rPr>
            <w:rStyle w:val="Hyperlink"/>
          </w:rPr>
          <w:t>A consent decree affected Leesville, La.</w:t>
        </w:r>
      </w:hyperlink>
      <w:r>
        <w:t>, which had gone on over 32 years for hiring practices violating Title VII of the Civil Rights Act of 1964. Probably the longest is a forty-year consent decree involving the city of Buffalo, N.Y. The city is requesting a 1974 DOJ consent decree be set aside after complying with the consent decree related to mandated hiring quotas overseen by a U.S. District Court judge.”</w:t>
      </w:r>
    </w:p>
    <w:p w14:paraId="428D926B" w14:textId="77777777" w:rsidR="00C032D6" w:rsidRDefault="00C032D6" w:rsidP="00BC70A3">
      <w:pPr>
        <w:rPr>
          <w:rFonts w:ascii="Arial Black" w:hAnsi="Arial Black"/>
          <w:b/>
          <w:sz w:val="24"/>
          <w:szCs w:val="24"/>
        </w:rPr>
      </w:pPr>
    </w:p>
    <w:p w14:paraId="70CAE34E" w14:textId="77777777" w:rsidR="00C032D6" w:rsidRDefault="00C032D6" w:rsidP="00BC70A3">
      <w:pPr>
        <w:rPr>
          <w:rFonts w:ascii="Arial Black" w:hAnsi="Arial Black"/>
          <w:b/>
          <w:sz w:val="24"/>
          <w:szCs w:val="24"/>
        </w:rPr>
      </w:pPr>
    </w:p>
    <w:p w14:paraId="7B1FA5A7" w14:textId="6E1FCF75" w:rsidR="00477016" w:rsidRDefault="00477016" w:rsidP="00BC70A3">
      <w:pPr>
        <w:rPr>
          <w:rFonts w:ascii="Arial Black" w:hAnsi="Arial Black"/>
          <w:b/>
          <w:sz w:val="24"/>
          <w:szCs w:val="24"/>
        </w:rPr>
      </w:pPr>
      <w:r>
        <w:rPr>
          <w:rFonts w:ascii="Arial Black" w:hAnsi="Arial Black"/>
          <w:b/>
          <w:sz w:val="24"/>
          <w:szCs w:val="24"/>
        </w:rPr>
        <w:t>8-51</w:t>
      </w:r>
    </w:p>
    <w:p w14:paraId="6CB9D09B" w14:textId="77777777" w:rsidR="00477016" w:rsidRDefault="00477016" w:rsidP="00477016">
      <w:pPr>
        <w:pStyle w:val="NormalWeb"/>
      </w:pPr>
      <w:bookmarkStart w:id="316" w:name="_Hlk136859714"/>
      <w:r>
        <w:rPr>
          <w:rFonts w:ascii="Arial Black" w:hAnsi="Arial Black"/>
          <w:sz w:val="28"/>
          <w:szCs w:val="28"/>
        </w:rPr>
        <w:t>MO: ST. LOUIS FD – 17 “ACTING” OFFICERS – CITY NOT PROMOTING UNTIL NEW EXAM - RACE CASE SETTLEMENT</w:t>
      </w:r>
    </w:p>
    <w:bookmarkEnd w:id="316"/>
    <w:p w14:paraId="2F84B4C8" w14:textId="77777777" w:rsidR="00477016" w:rsidRDefault="00477016" w:rsidP="00477016">
      <w:pPr>
        <w:pStyle w:val="NormalWeb"/>
      </w:pPr>
      <w:r>
        <w:t xml:space="preserve">On May 19, 2023, in </w:t>
      </w:r>
      <w:r w:rsidRPr="00E724BE">
        <w:rPr>
          <w:u w:val="single"/>
        </w:rPr>
        <w:t>Robert Eveland, et al. v. City of St. Louis, et al</w:t>
      </w:r>
      <w:r>
        <w:t>., U.S. District Court Judge Catherine D. Parry, U.S. District Court for Eastern District of Missouri, Eastern Division, declined to issue a preliminary injunction ordering the City to promote the 17 “acting” Battalion Chiefs and Captains.  Judge Parry wrote:</w:t>
      </w:r>
    </w:p>
    <w:p w14:paraId="11183AD8" w14:textId="77777777" w:rsidR="00477016" w:rsidRDefault="00477016" w:rsidP="00477016">
      <w:pPr>
        <w:pStyle w:val="NormalWeb"/>
        <w:ind w:left="720"/>
      </w:pPr>
      <w:r>
        <w:t xml:space="preserve">“This is a legally complicated case. There is a possibility that plaintiffs may prevail </w:t>
      </w:r>
      <w:proofErr w:type="gramStart"/>
      <w:r>
        <w:t>on</w:t>
      </w:r>
      <w:proofErr w:type="gramEnd"/>
      <w:r>
        <w:t xml:space="preserve"> the merits of their claim, but they face many legal obstacles that they may not be able to overcome. In any event, I will deny the motion for a preliminary injunction because plaintiffs have not shown that they are threatened with immediate and irreparable harm or that any harm to them outweighs the harm that will result to the </w:t>
      </w:r>
      <w:proofErr w:type="gramStart"/>
      <w:r>
        <w:t>City</w:t>
      </w:r>
      <w:proofErr w:type="gramEnd"/>
      <w:r>
        <w:t xml:space="preserve"> if I were to grant the preliminary injunction. *** At the hearing, plaintiffs' counsel argued that because the Civil Service Rules provide that the ‘appointing authority’ is the Fire Chief and not the Director of Public Safety, plaintiffs' right to due process was violated when the Director effectively vetoed their promotions. Rather than arguing that they were entitled to some pre-deprivation process (such as a hearing), they argue that this alleged violation of due process simply entitles them to be promoted. But Missouri case law recognizes that the Fire Chief's decision-making power is subject to oversight by the Director of Public </w:t>
      </w:r>
      <w:proofErr w:type="gramStart"/>
      <w:r>
        <w:t>Safety.”</w:t>
      </w:r>
      <w:proofErr w:type="gramEnd"/>
      <w:r>
        <w:t xml:space="preserve"> </w:t>
      </w:r>
      <w:hyperlink r:id="rId1491" w:history="1">
        <w:r w:rsidRPr="00B43223">
          <w:rPr>
            <w:rStyle w:val="Hyperlink"/>
            <w:rFonts w:eastAsiaTheme="majorEastAsia"/>
          </w:rPr>
          <w:t>https://public.fastcase.com/ZZhmr5v9wN%2FXOe5IsQ%2FqDz1M0c7XntbkBFAKdHDge9e%2F8CSFXEi88W%2FVfdIRS4Pi97nH6Fo0Jpcpv2L%2BsFvZPbsE0qA7KMgQlRndt4L6foA%3D?utm_medium=email&amp;_hsmi=226712652&amp;_hsenc=p2ANqtz--PxjvF13xKDxQ7J7F-ifitmDmVZpuVXf36_4emKUQzFhwmn1WPofSx1ry4m9mCDedrl6XMHnLVa4UU0oKcRVjso9raZQ&amp;utm_content=226712652&amp;utm_source=hs_email</w:t>
        </w:r>
      </w:hyperlink>
      <w:r>
        <w:t xml:space="preserve"> </w:t>
      </w:r>
    </w:p>
    <w:p w14:paraId="596FDC8B" w14:textId="77777777" w:rsidR="00477016" w:rsidRDefault="00477016" w:rsidP="00477016">
      <w:pPr>
        <w:pStyle w:val="NormalWeb"/>
        <w:rPr>
          <w:b/>
          <w:bCs/>
        </w:rPr>
      </w:pPr>
      <w:r w:rsidRPr="00073DEB">
        <w:rPr>
          <w:b/>
          <w:bCs/>
        </w:rPr>
        <w:t>Legal Lesson Learned:</w:t>
      </w:r>
      <w:r>
        <w:rPr>
          <w:b/>
          <w:bCs/>
        </w:rPr>
        <w:t xml:space="preserve">  Preliminary injunctions are an “extraordinary remedy” that requires proof of “irreparable harm” to the plaintiffs. </w:t>
      </w:r>
    </w:p>
    <w:p w14:paraId="610DE291" w14:textId="77777777" w:rsidR="00477016" w:rsidRDefault="00477016" w:rsidP="00BC70A3">
      <w:pPr>
        <w:rPr>
          <w:rFonts w:ascii="Arial Black" w:hAnsi="Arial Black"/>
          <w:b/>
          <w:sz w:val="24"/>
          <w:szCs w:val="24"/>
        </w:rPr>
      </w:pPr>
    </w:p>
    <w:p w14:paraId="414F6EF7" w14:textId="77777777" w:rsidR="00477016" w:rsidRDefault="00477016" w:rsidP="00BC70A3">
      <w:pPr>
        <w:rPr>
          <w:rFonts w:ascii="Arial Black" w:hAnsi="Arial Black"/>
          <w:b/>
          <w:sz w:val="24"/>
          <w:szCs w:val="24"/>
        </w:rPr>
      </w:pPr>
    </w:p>
    <w:p w14:paraId="3EFA346A" w14:textId="0822FCF8" w:rsidR="00227BDE" w:rsidRDefault="00227BDE" w:rsidP="00BC70A3">
      <w:pPr>
        <w:rPr>
          <w:rFonts w:ascii="Arial Black" w:hAnsi="Arial Black"/>
          <w:b/>
          <w:sz w:val="24"/>
          <w:szCs w:val="24"/>
        </w:rPr>
      </w:pPr>
      <w:r>
        <w:rPr>
          <w:rFonts w:ascii="Arial Black" w:hAnsi="Arial Black"/>
          <w:b/>
          <w:sz w:val="24"/>
          <w:szCs w:val="24"/>
        </w:rPr>
        <w:t>8-50</w:t>
      </w:r>
    </w:p>
    <w:p w14:paraId="0A2AF175" w14:textId="77777777" w:rsidR="00227BDE" w:rsidRPr="006A5BAB" w:rsidRDefault="00227BDE" w:rsidP="00227BDE">
      <w:pPr>
        <w:pStyle w:val="NoSpacing"/>
        <w:rPr>
          <w:rFonts w:ascii="Arial Black" w:hAnsi="Arial Black"/>
          <w:sz w:val="28"/>
          <w:szCs w:val="28"/>
        </w:rPr>
      </w:pPr>
      <w:r w:rsidRPr="006A5BAB">
        <w:rPr>
          <w:rFonts w:ascii="Arial Black" w:hAnsi="Arial Black"/>
          <w:sz w:val="28"/>
          <w:szCs w:val="28"/>
        </w:rPr>
        <w:t>NY (3/31/2023) – FDNY –</w:t>
      </w:r>
      <w:r>
        <w:rPr>
          <w:rFonts w:ascii="Arial Black" w:hAnsi="Arial Black"/>
          <w:sz w:val="28"/>
          <w:szCs w:val="28"/>
        </w:rPr>
        <w:t xml:space="preserve"> </w:t>
      </w:r>
      <w:r w:rsidRPr="006A5BAB">
        <w:rPr>
          <w:rFonts w:ascii="Arial Black" w:hAnsi="Arial Black"/>
          <w:sz w:val="28"/>
          <w:szCs w:val="28"/>
        </w:rPr>
        <w:t>PROB. FF FROM PERU –</w:t>
      </w:r>
      <w:r>
        <w:rPr>
          <w:rFonts w:ascii="Arial Black" w:hAnsi="Arial Black"/>
          <w:sz w:val="28"/>
          <w:szCs w:val="28"/>
        </w:rPr>
        <w:t xml:space="preserve"> HAZING, ONLINE HARASSMENT, PTSD, SUSP. - CASE </w:t>
      </w:r>
      <w:r w:rsidRPr="006A5BAB">
        <w:rPr>
          <w:rFonts w:ascii="Arial Black" w:hAnsi="Arial Black"/>
          <w:sz w:val="28"/>
          <w:szCs w:val="28"/>
        </w:rPr>
        <w:t>PROCEED</w:t>
      </w:r>
    </w:p>
    <w:p w14:paraId="2C7DCA68" w14:textId="77777777" w:rsidR="00227BDE" w:rsidRDefault="00227BDE" w:rsidP="00227BDE">
      <w:pPr>
        <w:pStyle w:val="NoSpacing"/>
      </w:pPr>
    </w:p>
    <w:p w14:paraId="70CAB465"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Joseph Mendoza v. The City of New York, et al</w:t>
      </w:r>
      <w:r w:rsidRPr="003C1643">
        <w:rPr>
          <w:rFonts w:ascii="Times New Roman" w:hAnsi="Times New Roman"/>
          <w:sz w:val="24"/>
          <w:szCs w:val="24"/>
        </w:rPr>
        <w:t xml:space="preserve">., U.S. District Court Judge Lashann Dearcy Hall, U.S. District Court for Eastern District of New York. </w:t>
      </w:r>
      <w:hyperlink r:id="rId1492" w:history="1">
        <w:r w:rsidRPr="003C1643">
          <w:rPr>
            <w:rStyle w:val="Hyperlink"/>
            <w:rFonts w:ascii="Times New Roman" w:hAnsi="Times New Roman"/>
            <w:sz w:val="24"/>
            <w:szCs w:val="24"/>
          </w:rPr>
          <w:t>https://casetext.com/case/mendoza-v-the-city-of-new-york-3</w:t>
        </w:r>
      </w:hyperlink>
      <w:r w:rsidRPr="003C1643">
        <w:rPr>
          <w:rFonts w:ascii="Times New Roman" w:hAnsi="Times New Roman"/>
          <w:sz w:val="24"/>
          <w:szCs w:val="24"/>
        </w:rPr>
        <w:t xml:space="preserve"> </w:t>
      </w:r>
    </w:p>
    <w:p w14:paraId="4B58745F" w14:textId="77777777" w:rsidR="00227BDE" w:rsidRPr="003C1643" w:rsidRDefault="00227BDE" w:rsidP="00227BDE">
      <w:pPr>
        <w:pStyle w:val="NormalWeb"/>
        <w:rPr>
          <w:b/>
          <w:bCs/>
        </w:rPr>
      </w:pPr>
      <w:r w:rsidRPr="003C1643">
        <w:rPr>
          <w:b/>
          <w:bCs/>
        </w:rPr>
        <w:t>Legal Lesson Learned:</w:t>
      </w:r>
      <w:r>
        <w:rPr>
          <w:b/>
          <w:bCs/>
        </w:rPr>
        <w:t xml:space="preserve"> Allegations are far more than just hazing</w:t>
      </w:r>
      <w:r w:rsidRPr="003C1643">
        <w:rPr>
          <w:b/>
          <w:bCs/>
        </w:rPr>
        <w:t xml:space="preserve">. </w:t>
      </w:r>
    </w:p>
    <w:p w14:paraId="0F2499BF" w14:textId="77777777" w:rsidR="00227BDE" w:rsidRDefault="00227BDE" w:rsidP="00BC70A3">
      <w:pPr>
        <w:rPr>
          <w:rFonts w:ascii="Arial Black" w:hAnsi="Arial Black"/>
          <w:b/>
          <w:sz w:val="24"/>
          <w:szCs w:val="24"/>
        </w:rPr>
      </w:pPr>
    </w:p>
    <w:p w14:paraId="391457F2" w14:textId="20E4D19F" w:rsidR="00227BDE" w:rsidRDefault="00227BDE" w:rsidP="00BC70A3">
      <w:pPr>
        <w:rPr>
          <w:rFonts w:ascii="Arial Black" w:hAnsi="Arial Black"/>
          <w:b/>
          <w:sz w:val="24"/>
          <w:szCs w:val="24"/>
        </w:rPr>
      </w:pPr>
      <w:r>
        <w:rPr>
          <w:rFonts w:ascii="Arial Black" w:hAnsi="Arial Black"/>
          <w:b/>
          <w:sz w:val="24"/>
          <w:szCs w:val="24"/>
        </w:rPr>
        <w:t>8-49</w:t>
      </w:r>
    </w:p>
    <w:p w14:paraId="2B0205B4" w14:textId="77777777" w:rsidR="00227BDE" w:rsidRPr="00016E2B" w:rsidRDefault="00227BDE" w:rsidP="00227BDE">
      <w:pPr>
        <w:pStyle w:val="NoSpacing"/>
        <w:rPr>
          <w:rFonts w:ascii="Arial Black" w:hAnsi="Arial Black"/>
          <w:sz w:val="28"/>
          <w:szCs w:val="28"/>
        </w:rPr>
      </w:pPr>
      <w:r w:rsidRPr="00016E2B">
        <w:rPr>
          <w:rFonts w:ascii="Arial Black" w:hAnsi="Arial Black"/>
          <w:sz w:val="28"/>
          <w:szCs w:val="28"/>
        </w:rPr>
        <w:t>NB (3/31/2023) – BLACK FEMALE FF – GEAR ON FLAGPOLE</w:t>
      </w:r>
      <w:r>
        <w:rPr>
          <w:rFonts w:ascii="Arial Black" w:hAnsi="Arial Black"/>
          <w:sz w:val="28"/>
          <w:szCs w:val="28"/>
        </w:rPr>
        <w:t xml:space="preserve"> WHEN LEFT IT BEHIND - RESIGNED - </w:t>
      </w:r>
      <w:r w:rsidRPr="00016E2B">
        <w:rPr>
          <w:rFonts w:ascii="Arial Black" w:hAnsi="Arial Black"/>
          <w:sz w:val="28"/>
          <w:szCs w:val="28"/>
        </w:rPr>
        <w:t xml:space="preserve">LAWSUIT PROCEED </w:t>
      </w:r>
    </w:p>
    <w:p w14:paraId="07A18F8E" w14:textId="77777777" w:rsidR="00227BDE" w:rsidRDefault="00227BDE" w:rsidP="00227BDE">
      <w:pPr>
        <w:pStyle w:val="NoSpacing"/>
      </w:pPr>
    </w:p>
    <w:p w14:paraId="167C4143" w14:textId="5C0CE0CC" w:rsidR="00227BDE" w:rsidRDefault="00227BDE" w:rsidP="00227BDE">
      <w:pPr>
        <w:rPr>
          <w:rFonts w:ascii="Arial Black" w:hAnsi="Arial Black"/>
          <w:b/>
          <w:sz w:val="24"/>
          <w:szCs w:val="24"/>
        </w:rPr>
      </w:pPr>
      <w:r w:rsidRPr="003C1643">
        <w:rPr>
          <w:rFonts w:ascii="Times New Roman" w:hAnsi="Times New Roman"/>
          <w:sz w:val="24"/>
          <w:szCs w:val="24"/>
          <w:u w:val="single"/>
        </w:rPr>
        <w:t>Jane Crudup v. City of Omaha</w:t>
      </w:r>
      <w:r w:rsidRPr="003C1643">
        <w:rPr>
          <w:rFonts w:ascii="Times New Roman" w:hAnsi="Times New Roman"/>
          <w:sz w:val="24"/>
          <w:szCs w:val="24"/>
        </w:rPr>
        <w:t xml:space="preserve">, Senior U.S. District Court Judge Joseph H. </w:t>
      </w:r>
      <w:proofErr w:type="spellStart"/>
      <w:r w:rsidRPr="003C1643">
        <w:rPr>
          <w:rFonts w:ascii="Times New Roman" w:hAnsi="Times New Roman"/>
          <w:sz w:val="24"/>
          <w:szCs w:val="24"/>
        </w:rPr>
        <w:t>Bataillon</w:t>
      </w:r>
      <w:proofErr w:type="spellEnd"/>
      <w:r w:rsidRPr="003C1643">
        <w:rPr>
          <w:rFonts w:ascii="Times New Roman" w:hAnsi="Times New Roman"/>
          <w:sz w:val="24"/>
          <w:szCs w:val="24"/>
        </w:rPr>
        <w:t xml:space="preserve">, U.S. District Court of District of Nebraska. </w:t>
      </w:r>
      <w:hyperlink r:id="rId1493" w:history="1">
        <w:r w:rsidRPr="003C1643">
          <w:rPr>
            <w:rStyle w:val="Hyperlink"/>
            <w:rFonts w:ascii="Times New Roman" w:hAnsi="Times New Roman"/>
            <w:sz w:val="24"/>
            <w:szCs w:val="24"/>
          </w:rPr>
          <w:t>https://casetext.com/case/crudup-v-city-of-omaha-4</w:t>
        </w:r>
      </w:hyperlink>
    </w:p>
    <w:p w14:paraId="31CAEA8B" w14:textId="77777777" w:rsidR="00227BDE" w:rsidRPr="003C1643" w:rsidRDefault="00227BDE" w:rsidP="00227BDE">
      <w:pPr>
        <w:pStyle w:val="NormalWeb"/>
        <w:rPr>
          <w:b/>
          <w:bCs/>
        </w:rPr>
      </w:pPr>
      <w:r w:rsidRPr="003C1643">
        <w:rPr>
          <w:b/>
          <w:bCs/>
        </w:rPr>
        <w:t xml:space="preserve">Legal Lessons Learned: </w:t>
      </w:r>
      <w:proofErr w:type="gramStart"/>
      <w:r w:rsidRPr="003C1643">
        <w:rPr>
          <w:b/>
          <w:bCs/>
        </w:rPr>
        <w:t>Flag pole</w:t>
      </w:r>
      <w:proofErr w:type="gramEnd"/>
      <w:r w:rsidRPr="003C1643">
        <w:rPr>
          <w:b/>
          <w:bCs/>
        </w:rPr>
        <w:t xml:space="preserve"> incidents and similar practices can lead to litigation. </w:t>
      </w:r>
    </w:p>
    <w:p w14:paraId="2E2F94AE" w14:textId="77777777" w:rsidR="00227BDE" w:rsidRDefault="00227BDE" w:rsidP="00BC70A3">
      <w:pPr>
        <w:rPr>
          <w:rFonts w:ascii="Arial Black" w:hAnsi="Arial Black"/>
          <w:b/>
          <w:sz w:val="24"/>
          <w:szCs w:val="24"/>
        </w:rPr>
      </w:pPr>
    </w:p>
    <w:p w14:paraId="0C373179" w14:textId="77777777" w:rsidR="00227BDE" w:rsidRDefault="00227BDE" w:rsidP="00BC70A3">
      <w:pPr>
        <w:rPr>
          <w:rFonts w:ascii="Arial Black" w:hAnsi="Arial Black"/>
          <w:b/>
          <w:sz w:val="24"/>
          <w:szCs w:val="24"/>
        </w:rPr>
      </w:pPr>
    </w:p>
    <w:p w14:paraId="3BC13FAF" w14:textId="72679E77" w:rsidR="00104A4C" w:rsidRDefault="00104A4C" w:rsidP="00BC70A3">
      <w:pPr>
        <w:rPr>
          <w:rFonts w:ascii="Arial Black" w:hAnsi="Arial Black"/>
          <w:b/>
          <w:sz w:val="24"/>
          <w:szCs w:val="24"/>
        </w:rPr>
      </w:pPr>
      <w:r>
        <w:rPr>
          <w:rFonts w:ascii="Arial Black" w:hAnsi="Arial Black"/>
          <w:b/>
          <w:sz w:val="24"/>
          <w:szCs w:val="24"/>
        </w:rPr>
        <w:t>8-48</w:t>
      </w:r>
    </w:p>
    <w:p w14:paraId="1500CF26" w14:textId="77777777" w:rsidR="00104A4C" w:rsidRPr="005F4D8C" w:rsidRDefault="00104A4C" w:rsidP="00104A4C">
      <w:pPr>
        <w:pStyle w:val="NormalWeb"/>
        <w:rPr>
          <w:rFonts w:ascii="Arial Black" w:hAnsi="Arial Black"/>
          <w:sz w:val="28"/>
          <w:szCs w:val="28"/>
        </w:rPr>
      </w:pPr>
      <w:r>
        <w:rPr>
          <w:rFonts w:ascii="Arial Black" w:hAnsi="Arial Black"/>
          <w:sz w:val="28"/>
          <w:szCs w:val="28"/>
        </w:rPr>
        <w:t xml:space="preserve">NY: BLACK FD CAPTAIN – GOT DRUNK, DEFICATED IN PANTS - PROMOTION BAT. CHIEF PROPERLY RESCINDED </w:t>
      </w:r>
    </w:p>
    <w:p w14:paraId="5B179CA0" w14:textId="77777777" w:rsidR="00104A4C" w:rsidRDefault="00104A4C" w:rsidP="00104A4C">
      <w:pPr>
        <w:pStyle w:val="NormalWeb"/>
      </w:pPr>
      <w:r>
        <w:t xml:space="preserve">On March 9, 2023, in </w:t>
      </w:r>
      <w:r w:rsidRPr="005F4D8C">
        <w:rPr>
          <w:u w:val="single"/>
        </w:rPr>
        <w:t xml:space="preserve">Jeremy Clawson v. The City of Albany Department of Fire </w:t>
      </w:r>
      <w:proofErr w:type="gramStart"/>
      <w:r w:rsidRPr="005F4D8C">
        <w:rPr>
          <w:u w:val="single"/>
        </w:rPr>
        <w:t>And</w:t>
      </w:r>
      <w:proofErr w:type="gramEnd"/>
      <w:r w:rsidRPr="005F4D8C">
        <w:rPr>
          <w:u w:val="single"/>
        </w:rPr>
        <w:t xml:space="preserve"> Emergency</w:t>
      </w:r>
      <w:r>
        <w:t xml:space="preserve">, U.S. District Court Judge Mae A. D’Agostino, North District of New York, granted the City’s motion for summary judgment.  His promotion was rescinded based on Jan. 31, </w:t>
      </w:r>
      <w:proofErr w:type="gramStart"/>
      <w:r>
        <w:t>2019</w:t>
      </w:r>
      <w:proofErr w:type="gramEnd"/>
      <w:r>
        <w:t xml:space="preserve"> incident. </w:t>
      </w:r>
    </w:p>
    <w:p w14:paraId="33E08C54" w14:textId="77777777" w:rsidR="00104A4C" w:rsidRDefault="00104A4C" w:rsidP="00104A4C">
      <w:pPr>
        <w:pStyle w:val="NormalWeb"/>
        <w:ind w:left="720"/>
      </w:pPr>
      <w:r>
        <w:lastRenderedPageBreak/>
        <w:t xml:space="preserve">“On January 31, 2019, at 10:00 p.m., Plaintiff, ‘while off duty,’ went to more than one business, and drank multiple drinks over the course of three to four hours…. At approximately 5:00 a.m., the Albany Police Department (‘APD’) received a call about ‘a person exposing himself’ in a Dunkin Donuts…. According to Defendant, at 5:10 a.m. police arrived at the scene…. At this point Plaintiff was outside of the Dunkin Donuts, with his ‘pants pulled down’ and wearing ‘boxer shorts"…. Defendant states that Plaintiff was ‘covered in feces’ when he was discovered…. APD officers called emergency medical services…. An ambulance took Plaintiff to Albany Medical Center at approximately 5:45 a.m. on February 1, 2019….Plaintiff left the hospital at around 10:00 a.m. </w:t>
      </w:r>
    </w:p>
    <w:p w14:paraId="48744310" w14:textId="77777777" w:rsidR="00104A4C" w:rsidRDefault="00104A4C" w:rsidP="00104A4C">
      <w:pPr>
        <w:pStyle w:val="NormalWeb"/>
        <w:ind w:left="720"/>
      </w:pPr>
      <w:r>
        <w:t xml:space="preserve">*** </w:t>
      </w:r>
    </w:p>
    <w:p w14:paraId="2F3DA0C5" w14:textId="77777777" w:rsidR="00104A4C" w:rsidRDefault="00104A4C" w:rsidP="00104A4C">
      <w:pPr>
        <w:pStyle w:val="NormalWeb"/>
        <w:ind w:left="720"/>
        <w:rPr>
          <w:rStyle w:val="Emphasis"/>
        </w:rPr>
      </w:pPr>
      <w:r>
        <w:t>Five months after the rescission of promotion, Plaintiff was offered to apply for a Deputy Chief position, a higher position than Battalion Chief, which Plaintiff declined to do because that position did not offer civil service protection.”</w:t>
      </w:r>
    </w:p>
    <w:p w14:paraId="6A4D64E1" w14:textId="77777777" w:rsidR="00104A4C" w:rsidRDefault="00104A4C" w:rsidP="00104A4C">
      <w:pPr>
        <w:pStyle w:val="NormalWeb"/>
      </w:pPr>
      <w:r>
        <w:t>Judge ruled:</w:t>
      </w:r>
    </w:p>
    <w:p w14:paraId="3623F83C" w14:textId="77777777" w:rsidR="00104A4C" w:rsidRDefault="00104A4C" w:rsidP="00104A4C">
      <w:pPr>
        <w:pStyle w:val="NormalWeb"/>
        <w:ind w:left="720"/>
      </w:pPr>
      <w:r>
        <w:t xml:space="preserve">“In sum, ample and uncontroverted evidence establishes that Plaintiff's promotion was rescinded because of his conduct on the night of January 31, 2019, and that his race played no role in the decision…. Stated another way, the promotion was rescinded after Plaintiff became so intoxicated in public that he defecated on his pants and had to be brought to a local hospital for observation by the APD.” </w:t>
      </w:r>
    </w:p>
    <w:p w14:paraId="1CF6F03D" w14:textId="77777777" w:rsidR="00104A4C" w:rsidRDefault="00104A4C" w:rsidP="00104A4C">
      <w:pPr>
        <w:pStyle w:val="NormalWeb"/>
      </w:pPr>
      <w:r>
        <w:t xml:space="preserve">Court also found no violation of Americans </w:t>
      </w:r>
      <w:proofErr w:type="gramStart"/>
      <w:r>
        <w:t>With</w:t>
      </w:r>
      <w:proofErr w:type="gramEnd"/>
      <w:r>
        <w:t xml:space="preserve"> Disabilities Act; he was not perceived to be disabled, just because they suggested he might benefit from EAP counseling. </w:t>
      </w:r>
    </w:p>
    <w:p w14:paraId="486B10DA" w14:textId="77777777" w:rsidR="00104A4C" w:rsidRDefault="00104A4C" w:rsidP="00104A4C">
      <w:pPr>
        <w:pStyle w:val="NormalWeb"/>
        <w:ind w:left="720"/>
      </w:pPr>
      <w:r>
        <w:t xml:space="preserve">“Even if he was regarded as ‘having a problem with alcohol,’ that does not sufficiently allege disability under the ADA, as it does not allege that this was more than ‘transitory or minor.’ As such, rescinding a promotion based on one public night of intoxication does not require a finding that an employer was on notice of a disability or regarded someone as having a disability.” </w:t>
      </w:r>
      <w:hyperlink r:id="rId1494" w:history="1">
        <w:r w:rsidRPr="00317BE5">
          <w:rPr>
            <w:rStyle w:val="Hyperlink"/>
            <w:rFonts w:eastAsiaTheme="majorEastAsia"/>
          </w:rPr>
          <w:t>https://public.fastcase.com/J%2FJP6pdidelsXxEE4k%2BLMgHzbJp7ohVf6eJnqqVRZsR3ljYGLWqzA%2BaNrEJEjuoSNSzJxXmSxLQZTPvgqQmcEiF1aE%2BspvM2CCoAx4ikJzY%3D?utm_medium=email&amp;_hsmi=226712652&amp;_hsenc=p2ANqtz-8P0uzvemqlc89p8NGs_MEabF92WO0Yw0J6IjilR3LUZDOGdMMkuiwHYzQhEyPy65nnWBVskQbx-uRxwGqC5jWNg9aYuA&amp;utm_content=226712652&amp;utm_source=hs_email</w:t>
        </w:r>
      </w:hyperlink>
      <w:r>
        <w:t xml:space="preserve"> </w:t>
      </w:r>
    </w:p>
    <w:p w14:paraId="4E7259FB" w14:textId="77777777" w:rsidR="00104A4C" w:rsidRPr="006D07F7" w:rsidRDefault="00104A4C" w:rsidP="00104A4C">
      <w:pPr>
        <w:pStyle w:val="NormalWeb"/>
        <w:rPr>
          <w:b/>
          <w:bCs/>
        </w:rPr>
      </w:pPr>
      <w:r w:rsidRPr="006D07F7">
        <w:rPr>
          <w:b/>
          <w:bCs/>
        </w:rPr>
        <w:t xml:space="preserve">Legal Lesson Learned: </w:t>
      </w:r>
      <w:r>
        <w:rPr>
          <w:b/>
          <w:bCs/>
        </w:rPr>
        <w:t xml:space="preserve">The facts supported the decision.  </w:t>
      </w:r>
    </w:p>
    <w:p w14:paraId="2528458C" w14:textId="2EDAAE74" w:rsidR="00104A4C" w:rsidRPr="00104A4C" w:rsidRDefault="00104A4C" w:rsidP="00104A4C">
      <w:pPr>
        <w:ind w:left="720"/>
        <w:rPr>
          <w:rFonts w:ascii="Times New Roman" w:hAnsi="Times New Roman"/>
          <w:b/>
          <w:sz w:val="24"/>
          <w:szCs w:val="24"/>
        </w:rPr>
      </w:pPr>
      <w:r w:rsidRPr="00104A4C">
        <w:rPr>
          <w:rFonts w:ascii="Times New Roman" w:hAnsi="Times New Roman"/>
          <w:sz w:val="24"/>
          <w:szCs w:val="24"/>
        </w:rPr>
        <w:t>Note: See article: “Black captain sues Albany Fire Department for rescinding his promotion.” Dec. 9, 2020. “ALBANY — Jeremy E. Clawson, a captain and the only minority supervising officer in the Albany Fire Department, has filed a federal civil rights lawsuit accusing city leaders of rescinding his promotion to the position of battalion chief.</w:t>
      </w:r>
    </w:p>
    <w:p w14:paraId="58E01A66" w14:textId="77777777" w:rsidR="00104A4C" w:rsidRDefault="00104A4C" w:rsidP="00BC70A3">
      <w:pPr>
        <w:rPr>
          <w:rFonts w:ascii="Arial Black" w:hAnsi="Arial Black"/>
          <w:b/>
          <w:sz w:val="24"/>
          <w:szCs w:val="24"/>
        </w:rPr>
      </w:pPr>
    </w:p>
    <w:p w14:paraId="05FF87C3" w14:textId="7FB4DF1B" w:rsidR="00B87D79" w:rsidRDefault="008A4533" w:rsidP="00BC70A3">
      <w:pPr>
        <w:rPr>
          <w:rFonts w:ascii="Arial Black" w:hAnsi="Arial Black"/>
          <w:b/>
          <w:sz w:val="24"/>
          <w:szCs w:val="24"/>
        </w:rPr>
      </w:pPr>
      <w:r>
        <w:rPr>
          <w:rFonts w:ascii="Arial Black" w:hAnsi="Arial Black"/>
          <w:b/>
          <w:sz w:val="24"/>
          <w:szCs w:val="24"/>
        </w:rPr>
        <w:t>8-47</w:t>
      </w:r>
    </w:p>
    <w:p w14:paraId="681959A6" w14:textId="77777777" w:rsidR="008A4533" w:rsidRPr="00EA11E9" w:rsidRDefault="008A4533" w:rsidP="008A4533">
      <w:pPr>
        <w:pStyle w:val="NormalWeb"/>
        <w:rPr>
          <w:rFonts w:ascii="Arial Black" w:hAnsi="Arial Black"/>
          <w:sz w:val="28"/>
          <w:szCs w:val="28"/>
        </w:rPr>
      </w:pPr>
      <w:r>
        <w:rPr>
          <w:rFonts w:ascii="Arial Black" w:hAnsi="Arial Black"/>
          <w:sz w:val="28"/>
          <w:szCs w:val="28"/>
        </w:rPr>
        <w:t>IN: CAPTAIN [BLACK] DEMOTED FOR BREACH ORDER NOT DISCUSS VIDEO TWO MEN HAVING SEX – CASE DISMISSED</w:t>
      </w:r>
    </w:p>
    <w:p w14:paraId="2F911271" w14:textId="77777777" w:rsidR="008A4533" w:rsidRDefault="008A4533" w:rsidP="008A4533">
      <w:pPr>
        <w:pStyle w:val="NormalWeb"/>
      </w:pPr>
      <w:r w:rsidRPr="00514A35">
        <w:lastRenderedPageBreak/>
        <w:t xml:space="preserve">On Jan. 24, 2023, in </w:t>
      </w:r>
      <w:r w:rsidRPr="00514A35">
        <w:rPr>
          <w:u w:val="single"/>
        </w:rPr>
        <w:t>Brad M. Collier v. City of New Albany</w:t>
      </w:r>
      <w:r>
        <w:t xml:space="preserve">, U.S. District Court Judge Robert L. Miller, U.S. District Court for Southern District of Indiana (New Albany Division) granted the City’s motion for summary judgment, dismissing his claims of race discrimination, ADA, FMLA.  The plaintiff (African American) was a firefighter for over 20 years, and retired May 4, 2022; he was demoted for breach of a direct order on Nov. 1, 2019.  A firefighter on his crew showed the </w:t>
      </w:r>
      <w:proofErr w:type="gramStart"/>
      <w:r>
        <w:t>Captain</w:t>
      </w:r>
      <w:proofErr w:type="gramEnd"/>
      <w:r>
        <w:t xml:space="preserve"> and another firefighter a video – another firefighter [“Mr. Doe”] having sex with two other males [not firefighters]. The Fire Chief ordered video destroyed, and the three firefighters to not discuss with others.  For beach of that order, Captain was demoted to Sergeant and suspended for 5 days without pay; the firefighter who brought in the video was suspended for 10 days [Fire Chief first recommended he be fired for bringing the video to fire station], and the other firefighter was suspended for 1.5 days.  Court dismissed the lawsuit, holding: “None of this would allow a reasonable factfinder to find race discrimination.” </w:t>
      </w:r>
      <w:hyperlink r:id="rId1495" w:history="1">
        <w:r w:rsidRPr="006E56EF">
          <w:rPr>
            <w:rStyle w:val="Hyperlink"/>
          </w:rPr>
          <w:t>https://public.fastcase.com/J%2FJP6pdidelsXxEE4k%2BLMrA34GsTt5B2s5lqbdzOSKO6ds2%2FFXzTZCAcVKPc5nYGkDv4uUicwcEOayTnLM9q%2BLkNSr7W2Myomwq976TWq68%3D?utm_medium=email&amp;_hsmi=226712652&amp;_hsenc=p2ANqtz--xrBYm_8SOoB1x8n_lzDvQY_7J4w6TZmgBXNCiTskMckRZL1pW5pA7jfVkIgH5lYseuktBIikSAYCDqwL7O8hlSm6fMw&amp;utm_content=226712652&amp;utm_source=hs_email</w:t>
        </w:r>
      </w:hyperlink>
      <w:r>
        <w:t xml:space="preserve"> </w:t>
      </w:r>
    </w:p>
    <w:p w14:paraId="6B7D4A6C" w14:textId="77777777" w:rsidR="008A4533" w:rsidRDefault="008A4533" w:rsidP="008A4533">
      <w:pPr>
        <w:pStyle w:val="NormalWeb"/>
        <w:ind w:left="720"/>
      </w:pPr>
      <w:r>
        <w:t>“On the morning of November 1 [2019, Captain] Collier was doing chores at the firehouse. [Firefighter] Sullivan approached [Captain] Collier and told him that [</w:t>
      </w:r>
      <w:proofErr w:type="gramStart"/>
      <w:r>
        <w:t>firefighter] ‘</w:t>
      </w:r>
      <w:proofErr w:type="gramEnd"/>
      <w:r>
        <w:t xml:space="preserve">John Doe’ wasn't ‘the guy you think he is.’ [Firefighter] Sullivan showed Mr. Collier a video of Mr. Doe having sex with two other adult men and suggested that if Mr. Doe would have sex with men, he was capable of ‘messing around with’ children. Mr. Sullivan then showed a report from Child Protective Services involving Mr. Doe, suggesting he might be a child abuser. </w:t>
      </w:r>
    </w:p>
    <w:p w14:paraId="409CF51D" w14:textId="77777777" w:rsidR="008A4533" w:rsidRDefault="008A4533" w:rsidP="008A4533">
      <w:pPr>
        <w:pStyle w:val="NormalWeb"/>
        <w:ind w:left="720"/>
      </w:pPr>
      <w:r>
        <w:t xml:space="preserve">[Firefighter] Peters then entered the room and viewed the video. The three men called Battalion Chief Bowyer to the station and saved the materials to a thumb drive. After Chief Bowyer arrived, they shared the information with him, and he summoned Deputy Chief Gadd to the station. They described the information to Deputy Chief Gadd, who in turn called Fire Chief Matt Juliot and the New Albany Police Chief to the station. </w:t>
      </w:r>
    </w:p>
    <w:p w14:paraId="60743851" w14:textId="77777777" w:rsidR="008A4533" w:rsidRDefault="008A4533" w:rsidP="008A4533">
      <w:pPr>
        <w:pStyle w:val="NormalWeb"/>
        <w:ind w:left="720"/>
      </w:pPr>
      <w:r>
        <w:t xml:space="preserve">When the fire chief and police chief arrived, the three men admitted the flash drive contained no material involving children but demanded that Mr. Doe be disciplined and that they not work with him anymore. The police chief checked into the Child Protective Services allegations and learned that they had been investigated and deemed unfounded. Battalion Chief Bowyer explained that Mr. Doe was ‘macho’ and might kill himself if this information got out, though Fire Chief Juliot understand the statement to be more hyperbole than literal. </w:t>
      </w:r>
    </w:p>
    <w:p w14:paraId="65A17302" w14:textId="77777777" w:rsidR="008A4533" w:rsidRDefault="008A4533" w:rsidP="008A4533">
      <w:pPr>
        <w:pStyle w:val="NormalWeb"/>
        <w:ind w:left="720"/>
      </w:pPr>
      <w:r>
        <w:t xml:space="preserve">The police chief ordered the men to destroy the thumb drive and not to discuss the materials. Chief Juliot and Deputy Chief Gadd reiterated that the command was a formal order. Deputy Chief Gadd called the station later that day to reiterate the order not to discuss the material. </w:t>
      </w:r>
    </w:p>
    <w:p w14:paraId="7DC61007" w14:textId="77777777" w:rsidR="008A4533" w:rsidRDefault="008A4533" w:rsidP="008A4533">
      <w:pPr>
        <w:pStyle w:val="NormalWeb"/>
        <w:ind w:left="720" w:firstLine="60"/>
      </w:pPr>
      <w:r>
        <w:t>Mr. Collier and his crew continued to talk about John Doe. Mr. Collier told some colleagues on another crew about the incident. He described in some detail the video of Mr. Doe being intimate with two men and implied there was material relating to minors.</w:t>
      </w:r>
    </w:p>
    <w:p w14:paraId="3261E9DC" w14:textId="77777777" w:rsidR="008A4533" w:rsidRDefault="008A4533" w:rsidP="008A4533">
      <w:pPr>
        <w:pStyle w:val="NormalWeb"/>
        <w:ind w:left="720" w:firstLine="60"/>
      </w:pPr>
      <w:r>
        <w:t>***</w:t>
      </w:r>
    </w:p>
    <w:p w14:paraId="71556693" w14:textId="77777777" w:rsidR="008A4533" w:rsidRDefault="008A4533" w:rsidP="008A4533">
      <w:pPr>
        <w:pStyle w:val="NormalWeb"/>
        <w:ind w:left="720"/>
      </w:pPr>
      <w:r>
        <w:t>Mr. Collier first admitted that he violated rules and regulations by disobeying direct orders and agreed that as a captain, he was held to a higher standard than many other firefighters.</w:t>
      </w:r>
    </w:p>
    <w:p w14:paraId="744D0471" w14:textId="77777777" w:rsidR="008A4533" w:rsidRDefault="008A4533" w:rsidP="008A4533">
      <w:pPr>
        <w:pStyle w:val="NormalWeb"/>
        <w:ind w:left="720"/>
      </w:pPr>
      <w:r>
        <w:t>***</w:t>
      </w:r>
    </w:p>
    <w:p w14:paraId="49B06ABF" w14:textId="77777777" w:rsidR="008A4533" w:rsidRDefault="008A4533" w:rsidP="008A4533">
      <w:pPr>
        <w:pStyle w:val="NormalWeb"/>
        <w:ind w:left="720"/>
      </w:pPr>
      <w:r>
        <w:lastRenderedPageBreak/>
        <w:t xml:space="preserve">New Albany contends that Mr. Collier violated fire department rules and regulations by continuing to discuss the Doe incident with others despite being ordered not to do so. New Albany cites its disciplinary notice to Mr. Collier, which explained the violations and cited to department rules against disobeying orders, acting in a manner unbecoming of a firefighter, and disseminating false reports about others. New Albany uses Deputy Chief Gadd and Chief Juliot's testimony to show that Mr. Collier was held to a higher standard and should have led by example rather than aggravating the situation. Mr. Collier conceded the same points in his deposition, testifying that department practice was to treat captains' violations as more serious than firefighters' violations. According to New Albany, Mr. Collier's conduct around the Doe defeats the prima facie case and </w:t>
      </w:r>
    </w:p>
    <w:p w14:paraId="0FFBF96E" w14:textId="77777777" w:rsidR="008A4533" w:rsidRPr="00D3794E" w:rsidRDefault="008A4533" w:rsidP="008A4533">
      <w:pPr>
        <w:pStyle w:val="NormalWeb"/>
        <w:rPr>
          <w:b/>
          <w:bCs/>
        </w:rPr>
      </w:pPr>
      <w:r w:rsidRPr="00D3794E">
        <w:rPr>
          <w:b/>
          <w:bCs/>
        </w:rPr>
        <w:t>Legal Lesson Learned:</w:t>
      </w:r>
      <w:r>
        <w:rPr>
          <w:b/>
          <w:bCs/>
        </w:rPr>
        <w:t xml:space="preserve"> Captain’s acknowledged breach of a direct order resulted in his demotion. </w:t>
      </w:r>
    </w:p>
    <w:p w14:paraId="509CB4D8" w14:textId="77777777" w:rsidR="008A4533" w:rsidRDefault="008A4533" w:rsidP="008A4533">
      <w:pPr>
        <w:pStyle w:val="NormalWeb"/>
        <w:ind w:left="720"/>
      </w:pPr>
    </w:p>
    <w:p w14:paraId="20E79512" w14:textId="2FB072FA" w:rsidR="008A4533" w:rsidRDefault="008A4533" w:rsidP="00BC70A3">
      <w:pPr>
        <w:rPr>
          <w:rFonts w:ascii="Arial Black" w:hAnsi="Arial Black"/>
          <w:b/>
          <w:sz w:val="24"/>
          <w:szCs w:val="24"/>
        </w:rPr>
      </w:pPr>
    </w:p>
    <w:p w14:paraId="1F37BA83" w14:textId="7D4C02EE" w:rsidR="008A4533" w:rsidRDefault="008A4533" w:rsidP="00BC70A3">
      <w:pPr>
        <w:rPr>
          <w:rFonts w:ascii="Arial Black" w:hAnsi="Arial Black"/>
          <w:b/>
          <w:sz w:val="24"/>
          <w:szCs w:val="24"/>
        </w:rPr>
      </w:pPr>
      <w:r>
        <w:rPr>
          <w:rFonts w:ascii="Arial Black" w:hAnsi="Arial Black"/>
          <w:b/>
          <w:sz w:val="24"/>
          <w:szCs w:val="24"/>
        </w:rPr>
        <w:t>8-46</w:t>
      </w:r>
    </w:p>
    <w:p w14:paraId="7953BB02" w14:textId="77777777" w:rsidR="008A4533" w:rsidRPr="00E61C73" w:rsidRDefault="008A4533" w:rsidP="008A4533">
      <w:pPr>
        <w:pStyle w:val="ekqk"/>
        <w:rPr>
          <w:rFonts w:ascii="Arial Black" w:hAnsi="Arial Black"/>
          <w:sz w:val="28"/>
          <w:szCs w:val="28"/>
        </w:rPr>
      </w:pPr>
      <w:r>
        <w:rPr>
          <w:rFonts w:ascii="Arial Black" w:hAnsi="Arial Black"/>
          <w:sz w:val="28"/>
          <w:szCs w:val="28"/>
        </w:rPr>
        <w:t>MN:  HOSPITAL – FIRED MEDIC, IN BLACKFACE AT HALLOWEEN PARTY 15-YRS PRIOR – NEWSPAPER ARTICLE</w:t>
      </w:r>
    </w:p>
    <w:p w14:paraId="1C3A2EF8" w14:textId="77777777" w:rsidR="008A4533" w:rsidRDefault="008A4533" w:rsidP="008A4533">
      <w:pPr>
        <w:pStyle w:val="ekqk"/>
      </w:pPr>
      <w:r>
        <w:t xml:space="preserve">On Jan. 9, 2023, in </w:t>
      </w:r>
      <w:r w:rsidRPr="00E61C73">
        <w:rPr>
          <w:u w:val="single"/>
        </w:rPr>
        <w:t>Amber Brown v. Hennepin Healthcare Systems</w:t>
      </w:r>
      <w:r>
        <w:t xml:space="preserve">, the Court of Appeals of Minnesota held (3 to 0) that the Hospital had lawful right to terminate the paramedic without cause per Employee Handbook.  She has worked at the hospital since 2002, and promoted Deputy Chief of Emergency Medical Services, managing the Community Paramedic Program. On February 15, 2022, the Hospital [HHS] received an unsigned email with an attached photo depicting Brown in blackface. Brown admitted that she was in the photo and said that it had been taken 15-17 years earlier at a private Halloween party. The photo was of Brown and two others dressed up as the musical group, The Supremes. The photo had been posted on someone else's Facebook page.  On March 3, </w:t>
      </w:r>
      <w:proofErr w:type="gramStart"/>
      <w:r>
        <w:t>2022</w:t>
      </w:r>
      <w:proofErr w:type="gramEnd"/>
      <w:r>
        <w:t xml:space="preserve"> the Hospital fired Ms. Brown.</w:t>
      </w:r>
      <w:r>
        <w:rPr>
          <w:b/>
          <w:bCs/>
        </w:rPr>
        <w:t xml:space="preserve">  </w:t>
      </w:r>
      <w:r w:rsidRPr="00F3148C">
        <w:t>The Court of Appeals wrote:</w:t>
      </w:r>
      <w:r>
        <w:rPr>
          <w:b/>
          <w:bCs/>
        </w:rPr>
        <w:t xml:space="preserve"> </w:t>
      </w:r>
      <w:r>
        <w:t xml:space="preserve">Following an internal investigation, HHS decided to discharge Brown. But before HHS could inform Brown of its decision, the Star Tribune published an article about the photo titled "Hennepin Healthcare promised to address 'systemic racism.' Then came the blackface photos." The Court held that under Minnesota statute only requires HHS to create “a procedure for employees to appeal discharge decisions” and HHS did so by giving her an opportunity to appear before their Board of Directors (which she declined). “The statute does not require HHS to provide what Brown advocates-a just-cause hearing before discharge.” </w:t>
      </w:r>
      <w:hyperlink r:id="rId1496" w:history="1">
        <w:r w:rsidRPr="00346E6A">
          <w:rPr>
            <w:rStyle w:val="Hyperlink"/>
          </w:rPr>
          <w:t>https://casetext.com/case/brown-v-hennepin-healthcare-sys</w:t>
        </w:r>
      </w:hyperlink>
      <w:r>
        <w:t xml:space="preserve"> </w:t>
      </w:r>
    </w:p>
    <w:p w14:paraId="7F28A1A7" w14:textId="77777777" w:rsidR="008A4533" w:rsidRDefault="008A4533" w:rsidP="008A4533">
      <w:pPr>
        <w:pStyle w:val="NormalWeb"/>
        <w:ind w:left="720"/>
      </w:pPr>
      <w:r>
        <w:t xml:space="preserve">“It is undisputed that Brown was hired for an indefinite term. And, like the contract in </w:t>
      </w:r>
      <w:r>
        <w:rPr>
          <w:rStyle w:val="Emphasis"/>
        </w:rPr>
        <w:t>Reierson</w:t>
      </w:r>
      <w:r>
        <w:t xml:space="preserve">, the employee handbook states that ‘Employees may resign their employment with HCMC </w:t>
      </w:r>
      <w:r>
        <w:rPr>
          <w:rStyle w:val="Emphasis"/>
        </w:rPr>
        <w:t>at any time for any reason</w:t>
      </w:r>
      <w:r>
        <w:t>, and HCMC reserves the same right regarding the discontinuation of an individual's employment.’ (Emphasis added.) This record supports the determination that Brown was an at-will employee, and HHS's decision to end her employment could not be arbitrary, unreasonable, or unsupported by the evidence.”</w:t>
      </w:r>
    </w:p>
    <w:p w14:paraId="54CE8166" w14:textId="77777777" w:rsidR="008A4533" w:rsidRDefault="008A4533" w:rsidP="008A4533">
      <w:pPr>
        <w:pStyle w:val="NormalWeb"/>
        <w:rPr>
          <w:b/>
          <w:bCs/>
        </w:rPr>
      </w:pPr>
      <w:r w:rsidRPr="00C13BF4">
        <w:rPr>
          <w:b/>
          <w:bCs/>
        </w:rPr>
        <w:t xml:space="preserve">Legal Lesson Learned: </w:t>
      </w:r>
      <w:r>
        <w:rPr>
          <w:b/>
          <w:bCs/>
        </w:rPr>
        <w:t xml:space="preserve">An “at will” employee has no right in Minnesota to a </w:t>
      </w:r>
      <w:proofErr w:type="gramStart"/>
      <w:r>
        <w:rPr>
          <w:b/>
          <w:bCs/>
        </w:rPr>
        <w:t>fact finding</w:t>
      </w:r>
      <w:proofErr w:type="gramEnd"/>
      <w:r>
        <w:rPr>
          <w:b/>
          <w:bCs/>
        </w:rPr>
        <w:t xml:space="preserve"> hearing.  </w:t>
      </w:r>
    </w:p>
    <w:p w14:paraId="1146F81B" w14:textId="77777777" w:rsidR="008A4533" w:rsidRPr="00C13BF4" w:rsidRDefault="008A4533" w:rsidP="008A4533">
      <w:pPr>
        <w:pStyle w:val="NormalWeb"/>
      </w:pPr>
      <w:r>
        <w:rPr>
          <w:b/>
          <w:bCs/>
        </w:rPr>
        <w:tab/>
      </w:r>
      <w:r w:rsidRPr="00C13BF4">
        <w:t xml:space="preserve">Note: Perhaps this is the “rest of the story” </w:t>
      </w:r>
      <w:r>
        <w:t xml:space="preserve">when Court wrote: </w:t>
      </w:r>
    </w:p>
    <w:p w14:paraId="6AA8D350" w14:textId="77777777" w:rsidR="008A4533" w:rsidRDefault="008A4533" w:rsidP="008A4533">
      <w:pPr>
        <w:pStyle w:val="NormalWeb"/>
        <w:ind w:left="1440"/>
      </w:pPr>
      <w:r w:rsidRPr="00C13BF4">
        <w:t>“Following an internal investigation, HHS decided to discharge Brown. But before HHS could inform Brown of its decision, the Star Tribune published an article about the photo titled "Hennepin Healthcare promised to address 'systemic racism.' Then came the blackface photos."</w:t>
      </w:r>
    </w:p>
    <w:p w14:paraId="69BF840B" w14:textId="77777777" w:rsidR="008A4533" w:rsidRPr="00CF7C67" w:rsidRDefault="008A4533" w:rsidP="008A4533">
      <w:pPr>
        <w:pStyle w:val="Heading1"/>
        <w:ind w:left="720"/>
        <w:rPr>
          <w:b w:val="0"/>
          <w:bCs w:val="0"/>
          <w:sz w:val="24"/>
          <w:szCs w:val="24"/>
        </w:rPr>
      </w:pPr>
      <w:r>
        <w:rPr>
          <w:b w:val="0"/>
          <w:bCs w:val="0"/>
          <w:sz w:val="24"/>
          <w:szCs w:val="24"/>
        </w:rPr>
        <w:lastRenderedPageBreak/>
        <w:t>See this article: “</w:t>
      </w:r>
      <w:r w:rsidRPr="00CF7C67">
        <w:rPr>
          <w:b w:val="0"/>
          <w:bCs w:val="0"/>
          <w:sz w:val="24"/>
          <w:szCs w:val="24"/>
        </w:rPr>
        <w:t>Hennepin Health accused of 'deeply rooted' racism following blackface, 'excited delirium' incidents</w:t>
      </w:r>
      <w:r>
        <w:rPr>
          <w:b w:val="0"/>
          <w:bCs w:val="0"/>
          <w:sz w:val="24"/>
          <w:szCs w:val="24"/>
        </w:rPr>
        <w:t xml:space="preserve">.” </w:t>
      </w:r>
      <w:r w:rsidRPr="00CF7C67">
        <w:rPr>
          <w:b w:val="0"/>
          <w:bCs w:val="0"/>
          <w:sz w:val="24"/>
          <w:szCs w:val="24"/>
        </w:rPr>
        <w:t xml:space="preserve"> (March 4, 2022): </w:t>
      </w:r>
      <w:hyperlink r:id="rId1497" w:history="1">
        <w:r w:rsidRPr="00CF7C67">
          <w:rPr>
            <w:rStyle w:val="Hyperlink"/>
            <w:sz w:val="24"/>
            <w:szCs w:val="24"/>
          </w:rPr>
          <w:t>https://www.fiercehealthcare.com/providers/hennepin-health-accused-deeply-rooted-racism-following-blackface-excited-delirium</w:t>
        </w:r>
      </w:hyperlink>
      <w:r w:rsidRPr="00CF7C67">
        <w:rPr>
          <w:b w:val="0"/>
          <w:bCs w:val="0"/>
          <w:sz w:val="24"/>
          <w:szCs w:val="24"/>
        </w:rPr>
        <w:t xml:space="preserve"> </w:t>
      </w:r>
    </w:p>
    <w:p w14:paraId="34EE9B7C" w14:textId="40CFB87E" w:rsidR="008A4533" w:rsidRDefault="008A4533" w:rsidP="00BC70A3">
      <w:pPr>
        <w:rPr>
          <w:rFonts w:ascii="Arial Black" w:hAnsi="Arial Black"/>
          <w:b/>
          <w:sz w:val="24"/>
          <w:szCs w:val="24"/>
        </w:rPr>
      </w:pPr>
    </w:p>
    <w:p w14:paraId="7BE58872" w14:textId="77777777" w:rsidR="008A4533" w:rsidRDefault="008A4533" w:rsidP="00BC70A3">
      <w:pPr>
        <w:rPr>
          <w:rFonts w:ascii="Arial Black" w:hAnsi="Arial Black"/>
          <w:b/>
          <w:sz w:val="24"/>
          <w:szCs w:val="24"/>
        </w:rPr>
      </w:pPr>
    </w:p>
    <w:p w14:paraId="474E941B" w14:textId="19A2D2A3" w:rsidR="00B87D79" w:rsidRDefault="00B87D79" w:rsidP="00BC70A3">
      <w:pPr>
        <w:rPr>
          <w:rFonts w:ascii="Arial Black" w:hAnsi="Arial Black"/>
          <w:b/>
          <w:sz w:val="24"/>
          <w:szCs w:val="24"/>
        </w:rPr>
      </w:pPr>
      <w:r>
        <w:rPr>
          <w:rFonts w:ascii="Arial Black" w:hAnsi="Arial Black"/>
          <w:b/>
          <w:sz w:val="24"/>
          <w:szCs w:val="24"/>
        </w:rPr>
        <w:t>8-45</w:t>
      </w:r>
    </w:p>
    <w:p w14:paraId="7E89D6DE" w14:textId="77777777" w:rsidR="00B87D79" w:rsidRPr="00086749" w:rsidRDefault="00B87D79" w:rsidP="00B87D79">
      <w:pPr>
        <w:pStyle w:val="NormalWeb"/>
        <w:rPr>
          <w:rFonts w:ascii="Arial Black" w:hAnsi="Arial Black"/>
          <w:sz w:val="28"/>
          <w:szCs w:val="28"/>
        </w:rPr>
      </w:pPr>
      <w:r w:rsidRPr="00086749">
        <w:rPr>
          <w:rFonts w:ascii="Arial Black" w:hAnsi="Arial Black"/>
          <w:sz w:val="28"/>
          <w:szCs w:val="28"/>
        </w:rPr>
        <w:t>NY: FDNY EMS OFFICERS – NON-WHITE – CLAIM RACE / SEX DISCRIMINATION IN PROMOTIONS –</w:t>
      </w:r>
      <w:r>
        <w:rPr>
          <w:rFonts w:ascii="Arial Black" w:hAnsi="Arial Black"/>
          <w:sz w:val="28"/>
          <w:szCs w:val="28"/>
        </w:rPr>
        <w:t xml:space="preserve"> NO </w:t>
      </w:r>
      <w:r w:rsidRPr="00086749">
        <w:rPr>
          <w:rFonts w:ascii="Arial Black" w:hAnsi="Arial Black"/>
          <w:sz w:val="28"/>
          <w:szCs w:val="28"/>
        </w:rPr>
        <w:t xml:space="preserve">CLASS </w:t>
      </w:r>
      <w:r>
        <w:rPr>
          <w:rFonts w:ascii="Arial Black" w:hAnsi="Arial Black"/>
          <w:sz w:val="28"/>
          <w:szCs w:val="28"/>
        </w:rPr>
        <w:t>ACTION</w:t>
      </w:r>
    </w:p>
    <w:p w14:paraId="0904EC3A" w14:textId="77777777" w:rsidR="00B87D79" w:rsidRDefault="00B87D79" w:rsidP="00B87D79">
      <w:pPr>
        <w:pStyle w:val="NormalWeb"/>
      </w:pPr>
      <w:r>
        <w:t xml:space="preserve">On Nov. 22, 2022, in </w:t>
      </w:r>
      <w:r w:rsidRPr="0077015D">
        <w:rPr>
          <w:u w:val="single"/>
        </w:rPr>
        <w:t>Local 3621, EMS Officers Union, et al. v. City of New York</w:t>
      </w:r>
      <w:r>
        <w:t xml:space="preserve">, U.S. District Court Judge Lewis J. Liman, U.S. District Court, Southern District of New York, denied the plaintiffs motion in this 2018 lawsuit for class certification, since plaintiffs have failed to show a “specific employment practice” in the promotion process that is discriminatory.  “In other words, the proposed class members do not appear to have “common answer to the crucial question </w:t>
      </w:r>
      <w:r>
        <w:rPr>
          <w:rStyle w:val="Emphasis"/>
        </w:rPr>
        <w:t>why was I disfavored</w:t>
      </w:r>
      <w:r>
        <w:t xml:space="preserve">.” </w:t>
      </w:r>
    </w:p>
    <w:p w14:paraId="16776C7E" w14:textId="1CE71E00" w:rsidR="00B87D79" w:rsidRPr="00B87D79" w:rsidRDefault="00B87D79" w:rsidP="00B87D79">
      <w:pPr>
        <w:ind w:left="720"/>
        <w:rPr>
          <w:rFonts w:ascii="Times New Roman" w:hAnsi="Times New Roman"/>
          <w:b/>
          <w:sz w:val="24"/>
          <w:szCs w:val="24"/>
        </w:rPr>
      </w:pPr>
      <w:r w:rsidRPr="00B87D79">
        <w:rPr>
          <w:rFonts w:ascii="Times New Roman" w:hAnsi="Times New Roman"/>
          <w:sz w:val="24"/>
          <w:szCs w:val="24"/>
        </w:rPr>
        <w:t xml:space="preserve">“In the case at bar, Plaintiffs, however, fail to demonstrate that these specific employment practices have a discriminatory impact on a class wide basis. Instead, the evidence supports that the question of which of these specific employment practices has a discriminatory impact on an applicant is largely an individualized inquiry. As summarized in Background Section I.B.1, each of Plaintiffs' declarants submitted their own unique story, highlighting a different part of the promotional process that disfavored them: Boyd alleges that she was discriminatorily given a lower grade on her annual performance evaluation, which in turn hurt her chances for promotion…. </w:t>
      </w:r>
      <w:proofErr w:type="spellStart"/>
      <w:r w:rsidRPr="00B87D79">
        <w:rPr>
          <w:rFonts w:ascii="Times New Roman" w:hAnsi="Times New Roman"/>
          <w:sz w:val="24"/>
          <w:szCs w:val="24"/>
        </w:rPr>
        <w:t>Mascol</w:t>
      </w:r>
      <w:proofErr w:type="spellEnd"/>
      <w:r w:rsidRPr="00B87D79">
        <w:rPr>
          <w:rFonts w:ascii="Times New Roman" w:hAnsi="Times New Roman"/>
          <w:sz w:val="24"/>
          <w:szCs w:val="24"/>
        </w:rPr>
        <w:t xml:space="preserve">, on the other hand, alleges that ‘notwithstanding her credentials, she has been passed over after completing the promotion process five times before she became Captain’ as she was told during her interview that ‘she did well, but not well enough’ and ‘had been secretly removed from the list of potential candidates’ due to a disciplinary action….  </w:t>
      </w:r>
      <w:proofErr w:type="gramStart"/>
      <w:r w:rsidRPr="00B87D79">
        <w:rPr>
          <w:rFonts w:ascii="Times New Roman" w:hAnsi="Times New Roman"/>
          <w:sz w:val="24"/>
          <w:szCs w:val="24"/>
        </w:rPr>
        <w:t>And,</w:t>
      </w:r>
      <w:proofErr w:type="gramEnd"/>
      <w:r w:rsidRPr="00B87D79">
        <w:rPr>
          <w:rFonts w:ascii="Times New Roman" w:hAnsi="Times New Roman"/>
          <w:sz w:val="24"/>
          <w:szCs w:val="24"/>
        </w:rPr>
        <w:t xml:space="preserve"> Rodriguez alleges that he was unlawfully denied a promotion as he was told he </w:t>
      </w:r>
      <w:proofErr w:type="gramStart"/>
      <w:r w:rsidRPr="00B87D79">
        <w:rPr>
          <w:rFonts w:ascii="Times New Roman" w:hAnsi="Times New Roman"/>
          <w:sz w:val="24"/>
          <w:szCs w:val="24"/>
        </w:rPr>
        <w:t>‘had</w:t>
      </w:r>
      <w:proofErr w:type="gramEnd"/>
      <w:r w:rsidRPr="00B87D79">
        <w:rPr>
          <w:rFonts w:ascii="Times New Roman" w:hAnsi="Times New Roman"/>
          <w:sz w:val="24"/>
          <w:szCs w:val="24"/>
        </w:rPr>
        <w:t xml:space="preserve"> taken ‘too much' leave for a line of duty injury….” </w:t>
      </w:r>
      <w:hyperlink r:id="rId1498" w:history="1">
        <w:r w:rsidRPr="00B87D79">
          <w:rPr>
            <w:rStyle w:val="Hyperlink"/>
            <w:rFonts w:ascii="Times New Roman" w:eastAsiaTheme="majorEastAsia" w:hAnsi="Times New Roman"/>
            <w:sz w:val="24"/>
            <w:szCs w:val="24"/>
          </w:rPr>
          <w:t>https://public.fastcase.com/J%2FJP6pdidelsXxEE4k%2BLMlZWglMtowNFAELJodU5Ey8OhOeImHtUqedyG3gviX1KHWia8kZp1W6BpRYSHWWuxJPhh3XCqhBA0xYwY8ImSqA%3D?utm_medium=email&amp;_hsmi=226712652&amp;_hsenc=p2ANqtz-8Opm8993SGrvNEYVYffjIdnWwQ_39Y6IGa88rGJPHsNdF2T_bOfK_XBqNF_9dQMkZM8ini867XF3tJMXcIH4Ec_0OJdg&amp;utm_content=226712652&amp;utm_source=hs_email</w:t>
        </w:r>
      </w:hyperlink>
    </w:p>
    <w:p w14:paraId="31864655" w14:textId="77777777" w:rsidR="00B87D79" w:rsidRPr="0096016B" w:rsidRDefault="00B87D79" w:rsidP="00B87D79">
      <w:pPr>
        <w:pStyle w:val="NormalWeb"/>
        <w:rPr>
          <w:b/>
          <w:bCs/>
        </w:rPr>
      </w:pPr>
      <w:r w:rsidRPr="0096016B">
        <w:rPr>
          <w:b/>
          <w:bCs/>
        </w:rPr>
        <w:t>Legal Lesson Learned:</w:t>
      </w:r>
      <w:r>
        <w:rPr>
          <w:b/>
          <w:bCs/>
        </w:rPr>
        <w:t xml:space="preserve"> </w:t>
      </w:r>
      <w:r w:rsidRPr="0096016B">
        <w:rPr>
          <w:b/>
          <w:bCs/>
        </w:rPr>
        <w:t>Class certification requires a showing that there are questions of law or fact common to the class.</w:t>
      </w:r>
    </w:p>
    <w:p w14:paraId="6011A1E5" w14:textId="77777777" w:rsidR="00B87D79" w:rsidRDefault="00B87D79" w:rsidP="00BC70A3">
      <w:pPr>
        <w:rPr>
          <w:rFonts w:ascii="Arial Black" w:hAnsi="Arial Black"/>
          <w:b/>
          <w:sz w:val="24"/>
          <w:szCs w:val="24"/>
        </w:rPr>
      </w:pPr>
    </w:p>
    <w:p w14:paraId="74303606" w14:textId="2C94B5DD" w:rsidR="00D5141D" w:rsidRDefault="008B64DA" w:rsidP="00BC70A3">
      <w:pPr>
        <w:rPr>
          <w:rFonts w:ascii="Arial Black" w:hAnsi="Arial Black"/>
          <w:b/>
          <w:sz w:val="24"/>
          <w:szCs w:val="24"/>
        </w:rPr>
      </w:pPr>
      <w:r>
        <w:rPr>
          <w:rFonts w:ascii="Arial Black" w:hAnsi="Arial Black"/>
          <w:b/>
          <w:sz w:val="24"/>
          <w:szCs w:val="24"/>
        </w:rPr>
        <w:t>8-44</w:t>
      </w:r>
    </w:p>
    <w:p w14:paraId="2BD1256E" w14:textId="77777777" w:rsidR="008B64DA" w:rsidRPr="006E5A3A" w:rsidRDefault="008B64DA" w:rsidP="008B64D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FL: BLACK LT’s FAMILY PHOTOS DEFACED – CAPT, LT, 4 FF FIRED – FIRE CHIEF PRESS CONFERENCE – NO DEFAMATION </w:t>
      </w:r>
    </w:p>
    <w:p w14:paraId="1195A7C9" w14:textId="77777777" w:rsidR="008B64DA" w:rsidRPr="00F25F90" w:rsidRDefault="008B64DA" w:rsidP="008B64DA">
      <w:pPr>
        <w:pStyle w:val="NormalWeb"/>
      </w:pPr>
      <w:r>
        <w:lastRenderedPageBreak/>
        <w:t xml:space="preserve">On April 24, 2022, </w:t>
      </w:r>
      <w:r w:rsidRPr="00F25F90">
        <w:t xml:space="preserve">in </w:t>
      </w:r>
      <w:r w:rsidRPr="006E5A3A">
        <w:rPr>
          <w:u w:val="single"/>
        </w:rPr>
        <w:t>City of Miami, et al. v. David Rivera, et al.</w:t>
      </w:r>
      <w:r>
        <w:t>, the Florida Court of Appeals, Third District, held (3 to 0) that trial judge improperly denied the defense motion to dismiss the lawsuit.  “</w:t>
      </w:r>
      <w:r w:rsidRPr="00F25F90">
        <w:t xml:space="preserve">Chief </w:t>
      </w:r>
      <w:proofErr w:type="spellStart"/>
      <w:r w:rsidRPr="00F25F90">
        <w:t>Zahralban</w:t>
      </w:r>
      <w:proofErr w:type="spellEnd"/>
      <w:r w:rsidRPr="00F25F90">
        <w:t xml:space="preserve"> and the City are </w:t>
      </w:r>
      <w:proofErr w:type="gramStart"/>
      <w:r w:rsidRPr="00F25F90">
        <w:t>absolutely immune</w:t>
      </w:r>
      <w:proofErr w:type="gramEnd"/>
      <w:r w:rsidRPr="00F25F90">
        <w:t xml:space="preserve"> from suit for Chief Zahralban's written and oral statements relating to the City's termination of the Respondents as the statements were made within the scope of Chief Zahralban's duties as the director of the City's fire-rescue department. As such, the trial court departed from the essential requirements of law by denying Chief </w:t>
      </w:r>
      <w:proofErr w:type="spellStart"/>
      <w:r w:rsidRPr="00F25F90">
        <w:t>Zahralban's</w:t>
      </w:r>
      <w:proofErr w:type="spellEnd"/>
      <w:r w:rsidRPr="00F25F90">
        <w:t xml:space="preserve"> and the City's motion to dismiss on absolute immunity grounds. Accordingly, we grant the petition and quash the portion of the order denying the Petitioners' motion to dismiss the defamation counts as they are barred by absolute immunity.</w:t>
      </w:r>
      <w:r>
        <w:t xml:space="preserve">” </w:t>
      </w:r>
      <w:hyperlink r:id="rId1499" w:history="1">
        <w:r w:rsidRPr="00301464">
          <w:rPr>
            <w:rStyle w:val="Hyperlink"/>
            <w:rFonts w:eastAsiaTheme="majorEastAsia"/>
          </w:rPr>
          <w:t>https://www.courtlistener.com/opinion/7859269/city-of-miami-v-david-rivera/</w:t>
        </w:r>
      </w:hyperlink>
      <w:r>
        <w:t xml:space="preserve"> </w:t>
      </w:r>
    </w:p>
    <w:p w14:paraId="6FFF8708" w14:textId="77777777" w:rsidR="008B64DA" w:rsidRPr="00756225" w:rsidRDefault="008B64DA" w:rsidP="008B64DA">
      <w:pPr>
        <w:spacing w:before="100" w:beforeAutospacing="1" w:after="100" w:afterAutospacing="1" w:line="240" w:lineRule="auto"/>
        <w:rPr>
          <w:rFonts w:ascii="Times New Roman" w:eastAsia="Times New Roman" w:hAnsi="Times New Roman"/>
          <w:b/>
          <w:bCs/>
          <w:sz w:val="24"/>
          <w:szCs w:val="24"/>
        </w:rPr>
      </w:pPr>
      <w:r w:rsidRPr="00756225">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 conduct defacing family photos is completely unacceptable. </w:t>
      </w:r>
    </w:p>
    <w:p w14:paraId="38EC357E" w14:textId="77777777" w:rsidR="008B64DA" w:rsidRDefault="008B64DA" w:rsidP="008B64D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these press reports: </w:t>
      </w:r>
    </w:p>
    <w:p w14:paraId="58CCF8B7" w14:textId="77777777" w:rsidR="008B64DA" w:rsidRPr="00214856" w:rsidRDefault="008B64DA" w:rsidP="008B64DA">
      <w:pPr>
        <w:pStyle w:val="Heading1"/>
        <w:ind w:left="720"/>
        <w:rPr>
          <w:b w:val="0"/>
          <w:bCs w:val="0"/>
          <w:sz w:val="24"/>
          <w:szCs w:val="24"/>
        </w:rPr>
      </w:pPr>
      <w:r w:rsidRPr="00214856">
        <w:rPr>
          <w:b w:val="0"/>
          <w:bCs w:val="0"/>
          <w:sz w:val="24"/>
          <w:szCs w:val="24"/>
        </w:rPr>
        <w:t xml:space="preserve">Nov. 3, 2017: “More Miami firefighters may be fired in hanging of noose over black colleague’s family photo, officials say.” </w:t>
      </w:r>
      <w:hyperlink r:id="rId1500" w:history="1">
        <w:r w:rsidRPr="00214856">
          <w:rPr>
            <w:rStyle w:val="Hyperlink"/>
            <w:rFonts w:eastAsiaTheme="majorEastAsia"/>
            <w:b w:val="0"/>
            <w:bCs w:val="0"/>
            <w:sz w:val="24"/>
            <w:szCs w:val="24"/>
          </w:rPr>
          <w:t>https://abcnews.go.com/US/miami-firefighters-fired-hanging-noose-black-colleagues-family/story?id=50884714</w:t>
        </w:r>
      </w:hyperlink>
      <w:r w:rsidRPr="00214856">
        <w:rPr>
          <w:b w:val="0"/>
          <w:bCs w:val="0"/>
          <w:sz w:val="24"/>
          <w:szCs w:val="24"/>
        </w:rPr>
        <w:t xml:space="preserve"> </w:t>
      </w:r>
    </w:p>
    <w:p w14:paraId="6981648E" w14:textId="4A6E6B6E" w:rsidR="008B64DA" w:rsidRDefault="008B64DA" w:rsidP="008B64DA">
      <w:pPr>
        <w:rPr>
          <w:rFonts w:ascii="Arial Black" w:hAnsi="Arial Black"/>
          <w:b/>
          <w:sz w:val="24"/>
          <w:szCs w:val="24"/>
        </w:rPr>
      </w:pPr>
      <w:r w:rsidRPr="00214856">
        <w:rPr>
          <w:sz w:val="24"/>
          <w:szCs w:val="24"/>
        </w:rPr>
        <w:t xml:space="preserve">Nov. 6, 2017: “City of Miami demands media stop showing photos of 6 officers fired in racist incident.” </w:t>
      </w:r>
      <w:hyperlink r:id="rId1501" w:history="1">
        <w:r w:rsidRPr="00214856">
          <w:rPr>
            <w:rStyle w:val="Hyperlink"/>
            <w:rFonts w:eastAsiaTheme="majorEastAsia"/>
            <w:sz w:val="24"/>
            <w:szCs w:val="24"/>
          </w:rPr>
          <w:t>https://boingboing.net/2017/11/06/city-of-miami-demands-media-st.html</w:t>
        </w:r>
      </w:hyperlink>
    </w:p>
    <w:p w14:paraId="020B1A4E" w14:textId="77777777" w:rsidR="008B64DA" w:rsidRDefault="008B64DA" w:rsidP="00BC70A3">
      <w:pPr>
        <w:rPr>
          <w:rFonts w:ascii="Arial Black" w:hAnsi="Arial Black"/>
          <w:b/>
          <w:sz w:val="24"/>
          <w:szCs w:val="24"/>
        </w:rPr>
      </w:pPr>
    </w:p>
    <w:p w14:paraId="5128F2BF" w14:textId="23FB7D85" w:rsidR="00D5141D" w:rsidRDefault="00D5141D" w:rsidP="00BC70A3">
      <w:pPr>
        <w:rPr>
          <w:rFonts w:ascii="Arial Black" w:hAnsi="Arial Black"/>
          <w:b/>
          <w:sz w:val="24"/>
          <w:szCs w:val="24"/>
        </w:rPr>
      </w:pPr>
      <w:r>
        <w:rPr>
          <w:rFonts w:ascii="Arial Black" w:hAnsi="Arial Black"/>
          <w:b/>
          <w:sz w:val="24"/>
          <w:szCs w:val="24"/>
        </w:rPr>
        <w:t>8-43</w:t>
      </w:r>
    </w:p>
    <w:p w14:paraId="1211C0EC" w14:textId="77777777" w:rsidR="008B64DA" w:rsidRPr="009973F5" w:rsidRDefault="008B64DA" w:rsidP="008B64D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FL: BLACK PROBIE FF – FIRED - MET WITH CITY MANAGER WITHOUT CHAIN OF COMMAND – CASE DISMISSED</w:t>
      </w:r>
    </w:p>
    <w:p w14:paraId="78D23B4D" w14:textId="4E22D422" w:rsidR="00D5141D" w:rsidRDefault="008B64DA" w:rsidP="008B64DA">
      <w:pPr>
        <w:rPr>
          <w:rFonts w:ascii="Arial Black" w:hAnsi="Arial Black"/>
          <w:b/>
          <w:sz w:val="24"/>
          <w:szCs w:val="24"/>
        </w:rPr>
      </w:pPr>
      <w:r>
        <w:rPr>
          <w:rFonts w:ascii="Times New Roman" w:eastAsia="Times New Roman" w:hAnsi="Times New Roman"/>
          <w:sz w:val="24"/>
          <w:szCs w:val="24"/>
        </w:rPr>
        <w:t xml:space="preserve">On Aug. 18, 2022, in </w:t>
      </w:r>
      <w:r w:rsidRPr="00704447">
        <w:rPr>
          <w:rFonts w:ascii="Times New Roman" w:eastAsia="Times New Roman" w:hAnsi="Times New Roman"/>
          <w:sz w:val="24"/>
          <w:szCs w:val="24"/>
          <w:u w:val="single"/>
        </w:rPr>
        <w:t>Cindy Naraine v. City of Hollywood</w:t>
      </w:r>
      <w:r>
        <w:rPr>
          <w:rFonts w:ascii="Times New Roman" w:eastAsia="Times New Roman" w:hAnsi="Times New Roman"/>
          <w:sz w:val="24"/>
          <w:szCs w:val="24"/>
        </w:rPr>
        <w:t xml:space="preserve">, U.S. District Court Judge Rodolfo R. Ruiz II, U.S. District Court for Southern District of Florida, granted the City’s motion for summary judgment. </w:t>
      </w:r>
      <w:r w:rsidRPr="00704447">
        <w:rPr>
          <w:rFonts w:ascii="Times New Roman" w:eastAsia="Times New Roman" w:hAnsi="Times New Roman"/>
          <w:sz w:val="24"/>
          <w:szCs w:val="24"/>
        </w:rPr>
        <w:t>“</w:t>
      </w:r>
      <w:r w:rsidRPr="00704447">
        <w:rPr>
          <w:rFonts w:ascii="Times New Roman" w:hAnsi="Times New Roman"/>
          <w:sz w:val="24"/>
          <w:szCs w:val="24"/>
        </w:rPr>
        <w:t> Importantly, the Court notes the following undisputed facts. Plaintiff never witnessed any act of discrimination against any employee of the Fire Department</w:t>
      </w:r>
      <w:r>
        <w:rPr>
          <w:rFonts w:ascii="Times New Roman" w:hAnsi="Times New Roman"/>
          <w:sz w:val="24"/>
          <w:szCs w:val="24"/>
        </w:rPr>
        <w:t xml:space="preserve">…. </w:t>
      </w:r>
      <w:r w:rsidRPr="00704447">
        <w:rPr>
          <w:rFonts w:ascii="Times New Roman" w:hAnsi="Times New Roman"/>
          <w:sz w:val="24"/>
          <w:szCs w:val="24"/>
        </w:rPr>
        <w:t>Plaintiff was never subject to a racist remark while working at the Fire Department</w:t>
      </w:r>
      <w:r>
        <w:rPr>
          <w:rFonts w:ascii="Times New Roman" w:hAnsi="Times New Roman"/>
          <w:sz w:val="24"/>
          <w:szCs w:val="24"/>
        </w:rPr>
        <w:t>….</w:t>
      </w:r>
      <w:r w:rsidRPr="00704447">
        <w:rPr>
          <w:rFonts w:ascii="Times New Roman" w:hAnsi="Times New Roman"/>
          <w:sz w:val="24"/>
          <w:szCs w:val="24"/>
        </w:rPr>
        <w:t xml:space="preserve"> Nobody ever said anything disparaging to Plaintiff based on her race</w:t>
      </w:r>
      <w:r>
        <w:rPr>
          <w:rFonts w:ascii="Times New Roman" w:hAnsi="Times New Roman"/>
          <w:sz w:val="24"/>
          <w:szCs w:val="24"/>
        </w:rPr>
        <w:t xml:space="preserve">…. </w:t>
      </w:r>
      <w:r w:rsidRPr="00704447">
        <w:rPr>
          <w:rFonts w:ascii="Times New Roman" w:hAnsi="Times New Roman"/>
          <w:sz w:val="24"/>
          <w:szCs w:val="24"/>
        </w:rPr>
        <w:t>Plaintiff was never the subject of a sexist comment while working at the Fire Department</w:t>
      </w:r>
      <w:r>
        <w:rPr>
          <w:rFonts w:ascii="Times New Roman" w:hAnsi="Times New Roman"/>
          <w:sz w:val="24"/>
          <w:szCs w:val="24"/>
        </w:rPr>
        <w:t xml:space="preserve">…. </w:t>
      </w:r>
      <w:r w:rsidRPr="00704447">
        <w:rPr>
          <w:rFonts w:ascii="Times New Roman" w:hAnsi="Times New Roman"/>
          <w:sz w:val="24"/>
          <w:szCs w:val="24"/>
        </w:rPr>
        <w:t>Neither Chief Jurado nor Deputy Chief Garcia ever made a disparaging comment about Plaintiff</w:t>
      </w:r>
      <w:r>
        <w:rPr>
          <w:rFonts w:ascii="Times New Roman" w:hAnsi="Times New Roman"/>
          <w:sz w:val="24"/>
          <w:szCs w:val="24"/>
        </w:rPr>
        <w:t xml:space="preserve">…. </w:t>
      </w:r>
      <w:r w:rsidRPr="00704447">
        <w:rPr>
          <w:rFonts w:ascii="Times New Roman" w:hAnsi="Times New Roman"/>
          <w:sz w:val="24"/>
          <w:szCs w:val="24"/>
        </w:rPr>
        <w:t>Neither Chief Jurado or Deputy Chief Garcia ever discussed disciplining an employee for racial reasons</w:t>
      </w:r>
      <w:r>
        <w:rPr>
          <w:rFonts w:ascii="Times New Roman" w:hAnsi="Times New Roman"/>
          <w:sz w:val="24"/>
          <w:szCs w:val="24"/>
        </w:rPr>
        <w:t>….</w:t>
      </w:r>
      <w:r w:rsidRPr="00704447">
        <w:rPr>
          <w:rFonts w:ascii="Times New Roman" w:hAnsi="Times New Roman"/>
          <w:sz w:val="24"/>
          <w:szCs w:val="24"/>
        </w:rPr>
        <w:t xml:space="preserve"> In sum, the undisputed facts sharply undermine any notion that the </w:t>
      </w:r>
      <w:r>
        <w:rPr>
          <w:rFonts w:ascii="Times New Roman" w:hAnsi="Times New Roman"/>
          <w:sz w:val="24"/>
          <w:szCs w:val="24"/>
        </w:rPr>
        <w:t>‘</w:t>
      </w:r>
      <w:r w:rsidRPr="00704447">
        <w:rPr>
          <w:rFonts w:ascii="Times New Roman" w:hAnsi="Times New Roman"/>
          <w:sz w:val="24"/>
          <w:szCs w:val="24"/>
        </w:rPr>
        <w:t>real</w:t>
      </w:r>
      <w:r>
        <w:rPr>
          <w:rFonts w:ascii="Times New Roman" w:hAnsi="Times New Roman"/>
          <w:sz w:val="24"/>
          <w:szCs w:val="24"/>
        </w:rPr>
        <w:t>’</w:t>
      </w:r>
      <w:r w:rsidRPr="00704447">
        <w:rPr>
          <w:rFonts w:ascii="Times New Roman" w:hAnsi="Times New Roman"/>
          <w:sz w:val="24"/>
          <w:szCs w:val="24"/>
        </w:rPr>
        <w:t xml:space="preserve"> reason Plaintiff was fired was discriminatory in </w:t>
      </w:r>
      <w:proofErr w:type="gramStart"/>
      <w:r w:rsidRPr="00704447">
        <w:rPr>
          <w:rFonts w:ascii="Times New Roman" w:hAnsi="Times New Roman"/>
          <w:sz w:val="24"/>
          <w:szCs w:val="24"/>
        </w:rPr>
        <w:t>nature.</w:t>
      </w:r>
      <w:r>
        <w:rPr>
          <w:rFonts w:ascii="Times New Roman" w:hAnsi="Times New Roman"/>
          <w:sz w:val="24"/>
          <w:szCs w:val="24"/>
        </w:rPr>
        <w:t>”</w:t>
      </w:r>
      <w:proofErr w:type="gramEnd"/>
      <w:r>
        <w:rPr>
          <w:rFonts w:ascii="Times New Roman" w:hAnsi="Times New Roman"/>
          <w:sz w:val="24"/>
          <w:szCs w:val="24"/>
        </w:rPr>
        <w:t xml:space="preserve"> </w:t>
      </w:r>
      <w:hyperlink r:id="rId1502" w:history="1">
        <w:r w:rsidRPr="005E2F1B">
          <w:rPr>
            <w:rStyle w:val="Hyperlink"/>
            <w:rFonts w:ascii="Times New Roman" w:hAnsi="Times New Roman"/>
          </w:rPr>
          <w:t>https://public.fastcase.com/J%2FJP6pdidelsXxEE4k%2BLMvlYUX0ZAhRbseqqFnL4gi3bRwNf0Z9RCieiQ7wPaXcpaaE7aExMc6ouwIyWJC8qizoR4DyeCOueQnsNxsVE1Ec%3D</w:t>
        </w:r>
      </w:hyperlink>
    </w:p>
    <w:p w14:paraId="19BA0D4F" w14:textId="77777777" w:rsidR="008B64DA" w:rsidRPr="00B06F8C" w:rsidRDefault="008B64DA" w:rsidP="008B64DA">
      <w:pPr>
        <w:spacing w:before="100" w:beforeAutospacing="1" w:after="100" w:afterAutospacing="1" w:line="240" w:lineRule="auto"/>
        <w:rPr>
          <w:rFonts w:ascii="Times New Roman" w:eastAsia="Times New Roman" w:hAnsi="Times New Roman"/>
          <w:b/>
          <w:bCs/>
          <w:sz w:val="24"/>
          <w:szCs w:val="24"/>
        </w:rPr>
      </w:pPr>
      <w:r w:rsidRPr="00B06F8C">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Chain of command is important concept in a paramilitary organization. </w:t>
      </w:r>
    </w:p>
    <w:p w14:paraId="24E3831D" w14:textId="77777777" w:rsidR="00D5141D" w:rsidRDefault="00D5141D" w:rsidP="00BC70A3">
      <w:pPr>
        <w:rPr>
          <w:rFonts w:ascii="Arial Black" w:hAnsi="Arial Black"/>
          <w:b/>
          <w:sz w:val="24"/>
          <w:szCs w:val="24"/>
        </w:rPr>
      </w:pPr>
    </w:p>
    <w:p w14:paraId="24764F38" w14:textId="77777777" w:rsidR="00D5141D" w:rsidRDefault="00D5141D" w:rsidP="00BC70A3">
      <w:pPr>
        <w:rPr>
          <w:rFonts w:ascii="Arial Black" w:hAnsi="Arial Black"/>
          <w:b/>
          <w:sz w:val="24"/>
          <w:szCs w:val="24"/>
        </w:rPr>
      </w:pPr>
    </w:p>
    <w:p w14:paraId="19A00563" w14:textId="4729AA47" w:rsidR="00D5141D" w:rsidRDefault="00D5141D" w:rsidP="00BC70A3">
      <w:pPr>
        <w:rPr>
          <w:rFonts w:ascii="Arial Black" w:hAnsi="Arial Black"/>
          <w:b/>
          <w:sz w:val="24"/>
          <w:szCs w:val="24"/>
        </w:rPr>
      </w:pPr>
      <w:r>
        <w:rPr>
          <w:rFonts w:ascii="Arial Black" w:hAnsi="Arial Black"/>
          <w:b/>
          <w:sz w:val="24"/>
          <w:szCs w:val="24"/>
        </w:rPr>
        <w:t>8-42</w:t>
      </w:r>
    </w:p>
    <w:p w14:paraId="02B60654" w14:textId="77777777" w:rsidR="00D5141D" w:rsidRPr="00614CE9" w:rsidRDefault="00D5141D" w:rsidP="00D5141D">
      <w:pPr>
        <w:spacing w:before="100" w:beforeAutospacing="1" w:after="100" w:afterAutospacing="1" w:line="240" w:lineRule="auto"/>
        <w:rPr>
          <w:rFonts w:ascii="Arial Black" w:hAnsi="Arial Black"/>
          <w:sz w:val="28"/>
          <w:szCs w:val="28"/>
        </w:rPr>
      </w:pPr>
      <w:r>
        <w:rPr>
          <w:rFonts w:ascii="Arial Black" w:hAnsi="Arial Black"/>
          <w:sz w:val="28"/>
          <w:szCs w:val="28"/>
        </w:rPr>
        <w:lastRenderedPageBreak/>
        <w:t xml:space="preserve">CT: BLACK FF – ANONYMOUS CALLS, LOCKER BROKEN INTO - ISOLATED INCIDENTS - NOT HOSTILE WORKPLACE  </w:t>
      </w:r>
    </w:p>
    <w:p w14:paraId="1C1D7E10" w14:textId="77777777" w:rsidR="00D5141D" w:rsidRPr="00BF45A4" w:rsidRDefault="00D5141D" w:rsidP="00D5141D">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Aug. 16, 2022, in </w:t>
      </w:r>
      <w:r w:rsidRPr="00A06B91">
        <w:rPr>
          <w:rFonts w:ascii="Times New Roman" w:hAnsi="Times New Roman"/>
          <w:sz w:val="24"/>
          <w:szCs w:val="24"/>
          <w:u w:val="single"/>
        </w:rPr>
        <w:t>Tony Milledge v. City of Hartford</w:t>
      </w:r>
      <w:r>
        <w:rPr>
          <w:rFonts w:ascii="Times New Roman" w:hAnsi="Times New Roman"/>
          <w:sz w:val="24"/>
          <w:szCs w:val="24"/>
        </w:rPr>
        <w:t>, U.S. District Court Judge Jeffrey A. Meyer, U.S. District Court for District of Connecticut granted the City’s motion for summary judgement.  The Court wrote: “</w:t>
      </w:r>
      <w:r w:rsidRPr="00614CE9">
        <w:rPr>
          <w:rFonts w:ascii="Times New Roman" w:eastAsia="Times New Roman" w:hAnsi="Times New Roman"/>
          <w:sz w:val="24"/>
          <w:szCs w:val="24"/>
        </w:rPr>
        <w:t xml:space="preserve">The problem for Milledge is that the only evidence of racial animus he has offered is the string of racist anonymous calls he received. But Milledge has not shown that </w:t>
      </w:r>
      <w:r>
        <w:rPr>
          <w:rFonts w:ascii="Times New Roman" w:eastAsia="Times New Roman" w:hAnsi="Times New Roman"/>
          <w:sz w:val="24"/>
          <w:szCs w:val="24"/>
        </w:rPr>
        <w:t>‘</w:t>
      </w:r>
      <w:r w:rsidRPr="00614CE9">
        <w:rPr>
          <w:rFonts w:ascii="Times New Roman" w:eastAsia="Times New Roman" w:hAnsi="Times New Roman"/>
          <w:sz w:val="24"/>
          <w:szCs w:val="24"/>
        </w:rPr>
        <w:t xml:space="preserve">a specific basis exists for </w:t>
      </w:r>
      <w:proofErr w:type="gramStart"/>
      <w:r w:rsidRPr="00614CE9">
        <w:rPr>
          <w:rFonts w:ascii="Times New Roman" w:eastAsia="Times New Roman" w:hAnsi="Times New Roman"/>
          <w:sz w:val="24"/>
          <w:szCs w:val="24"/>
        </w:rPr>
        <w:t>imputing</w:t>
      </w:r>
      <w:proofErr w:type="gramEnd"/>
      <w:r w:rsidRPr="00614CE9">
        <w:rPr>
          <w:rFonts w:ascii="Times New Roman" w:eastAsia="Times New Roman" w:hAnsi="Times New Roman"/>
          <w:sz w:val="24"/>
          <w:szCs w:val="24"/>
        </w:rPr>
        <w:t xml:space="preserve"> the conduct that created the hostile environment to the employer.</w:t>
      </w:r>
      <w:r>
        <w:rPr>
          <w:rFonts w:ascii="Times New Roman" w:eastAsia="Times New Roman" w:hAnsi="Times New Roman"/>
          <w:sz w:val="24"/>
          <w:szCs w:val="24"/>
        </w:rPr>
        <w:t>’</w:t>
      </w:r>
      <w:r w:rsidRPr="00614CE9">
        <w:rPr>
          <w:rFonts w:ascii="Times New Roman" w:eastAsia="Times New Roman" w:hAnsi="Times New Roman"/>
          <w:sz w:val="24"/>
          <w:szCs w:val="24"/>
        </w:rPr>
        <w:t xml:space="preserve"> </w:t>
      </w:r>
      <w:r w:rsidRPr="00614CE9">
        <w:rPr>
          <w:rFonts w:ascii="Times New Roman" w:eastAsia="Times New Roman" w:hAnsi="Times New Roman"/>
          <w:i/>
          <w:iCs/>
          <w:sz w:val="24"/>
          <w:szCs w:val="24"/>
        </w:rPr>
        <w:t>Schaper v. Bronx Lebanon Hosp. Ctr.</w:t>
      </w:r>
      <w:r w:rsidRPr="00614CE9">
        <w:rPr>
          <w:rFonts w:ascii="Times New Roman" w:eastAsia="Times New Roman" w:hAnsi="Times New Roman"/>
          <w:sz w:val="24"/>
          <w:szCs w:val="24"/>
        </w:rPr>
        <w:t xml:space="preserve">, 408 F.Supp.3d 379, 397 (S.D.N.Y. 2019) (quoting </w:t>
      </w:r>
      <w:r w:rsidRPr="00614CE9">
        <w:rPr>
          <w:rFonts w:ascii="Times New Roman" w:eastAsia="Times New Roman" w:hAnsi="Times New Roman"/>
          <w:i/>
          <w:iCs/>
          <w:sz w:val="24"/>
          <w:szCs w:val="24"/>
        </w:rPr>
        <w:t>Schwapp v. Town of Avon</w:t>
      </w:r>
      <w:r w:rsidRPr="00614CE9">
        <w:rPr>
          <w:rFonts w:ascii="Times New Roman" w:eastAsia="Times New Roman" w:hAnsi="Times New Roman"/>
          <w:sz w:val="24"/>
          <w:szCs w:val="24"/>
        </w:rPr>
        <w:t xml:space="preserve">, 118 F.3d 106, 110 (2d Cir. 1997)). Because Milledge has not offered any evidence to show that these anonymous calls were made by or at the behest of his fellow firefighters, there is simply “no evidence that [Hartford] had any control over or permitted the anonymous caller[s] to make such calls.” </w:t>
      </w:r>
      <w:proofErr w:type="spellStart"/>
      <w:r w:rsidRPr="00614CE9">
        <w:rPr>
          <w:rFonts w:ascii="Times New Roman" w:eastAsia="Times New Roman" w:hAnsi="Times New Roman"/>
          <w:i/>
          <w:iCs/>
          <w:sz w:val="24"/>
          <w:szCs w:val="24"/>
        </w:rPr>
        <w:t>Katzev</w:t>
      </w:r>
      <w:proofErr w:type="spellEnd"/>
      <w:r w:rsidRPr="00614CE9">
        <w:rPr>
          <w:rFonts w:ascii="Times New Roman" w:eastAsia="Times New Roman" w:hAnsi="Times New Roman"/>
          <w:i/>
          <w:iCs/>
          <w:sz w:val="24"/>
          <w:szCs w:val="24"/>
        </w:rPr>
        <w:t xml:space="preserve"> v. Retail Brand All., Inc.</w:t>
      </w:r>
      <w:r w:rsidRPr="00614CE9">
        <w:rPr>
          <w:rFonts w:ascii="Times New Roman" w:eastAsia="Times New Roman" w:hAnsi="Times New Roman"/>
          <w:sz w:val="24"/>
          <w:szCs w:val="24"/>
        </w:rPr>
        <w:t xml:space="preserve">, 2010 WL 2836159, at *4 (S.D.N.Y. 2010); </w:t>
      </w:r>
      <w:r w:rsidRPr="00614CE9">
        <w:rPr>
          <w:rFonts w:ascii="Times New Roman" w:eastAsia="Times New Roman" w:hAnsi="Times New Roman"/>
          <w:i/>
          <w:iCs/>
          <w:sz w:val="24"/>
          <w:szCs w:val="24"/>
        </w:rPr>
        <w:t xml:space="preserve">see also Tyson v. </w:t>
      </w:r>
      <w:proofErr w:type="spellStart"/>
      <w:r w:rsidRPr="00614CE9">
        <w:rPr>
          <w:rFonts w:ascii="Times New Roman" w:eastAsia="Times New Roman" w:hAnsi="Times New Roman"/>
          <w:i/>
          <w:iCs/>
          <w:sz w:val="24"/>
          <w:szCs w:val="24"/>
        </w:rPr>
        <w:t>Dep't</w:t>
      </w:r>
      <w:proofErr w:type="spellEnd"/>
      <w:r w:rsidRPr="00614CE9">
        <w:rPr>
          <w:rFonts w:ascii="Times New Roman" w:eastAsia="Times New Roman" w:hAnsi="Times New Roman"/>
          <w:i/>
          <w:iCs/>
          <w:sz w:val="24"/>
          <w:szCs w:val="24"/>
        </w:rPr>
        <w:t xml:space="preserve"> of Energy &amp; Env't Prot.</w:t>
      </w:r>
      <w:r w:rsidRPr="00614CE9">
        <w:rPr>
          <w:rFonts w:ascii="Times New Roman" w:eastAsia="Times New Roman" w:hAnsi="Times New Roman"/>
          <w:sz w:val="24"/>
          <w:szCs w:val="24"/>
        </w:rPr>
        <w:t xml:space="preserve">, 2021 WL 4895898, at *1 (D. Conn. 2021) (dismissing hostile work environment claim involving allegations that someone put a hangman's noose by plaintiff's workspace where there was no allegation that the employer knew or was responsible). </w:t>
      </w:r>
      <w:r>
        <w:rPr>
          <w:rFonts w:ascii="Times New Roman" w:eastAsia="Times New Roman" w:hAnsi="Times New Roman"/>
          <w:sz w:val="24"/>
          <w:szCs w:val="24"/>
        </w:rPr>
        <w:t xml:space="preserve"> *** </w:t>
      </w:r>
      <w:r w:rsidRPr="00BF45A4">
        <w:rPr>
          <w:rFonts w:ascii="Times New Roman" w:hAnsi="Times New Roman"/>
          <w:sz w:val="24"/>
          <w:szCs w:val="24"/>
        </w:rPr>
        <w:t>Nor does Milledge claim to have reported other anonymous misconduct such as his 2019 locker break-in to his supervisors or human resources. Consequently, even assuming that Milledge was subject to a racially hostile work environment, there is no genuine fact issue to show that the City was aware of, yet negligent in failing to remedy, the misconduct of its employees.</w:t>
      </w:r>
      <w:r>
        <w:rPr>
          <w:rFonts w:ascii="Times New Roman" w:hAnsi="Times New Roman"/>
          <w:sz w:val="24"/>
          <w:szCs w:val="24"/>
        </w:rPr>
        <w:t xml:space="preserve">” </w:t>
      </w:r>
      <w:hyperlink r:id="rId1503" w:history="1">
        <w:r w:rsidRPr="00696C47">
          <w:rPr>
            <w:rStyle w:val="Hyperlink"/>
            <w:rFonts w:ascii="Times New Roman" w:hAnsi="Times New Roman"/>
          </w:rPr>
          <w:t>https://public.fastcase.com/J%2FJP6pdidelsXxEE4k%2BLMk9lGZyD2KG1SaKKnXCNSDrJ6FT2zCg0RErRpvbDUp%2FnT1MfNEdoSlzLl4b4xQ1JtBz9n9NoggrYwpv0z6IMwm8%3D</w:t>
        </w:r>
      </w:hyperlink>
      <w:r>
        <w:rPr>
          <w:rFonts w:ascii="Times New Roman" w:hAnsi="Times New Roman"/>
          <w:sz w:val="24"/>
          <w:szCs w:val="24"/>
        </w:rPr>
        <w:t xml:space="preserve"> </w:t>
      </w:r>
    </w:p>
    <w:p w14:paraId="617885C7" w14:textId="77777777" w:rsidR="00D5141D" w:rsidRPr="00AD7FAD" w:rsidRDefault="00D5141D" w:rsidP="00D5141D">
      <w:pPr>
        <w:pStyle w:val="NormalWeb"/>
        <w:rPr>
          <w:b/>
          <w:bCs/>
        </w:rPr>
      </w:pPr>
      <w:r w:rsidRPr="00AD7FAD">
        <w:rPr>
          <w:b/>
          <w:bCs/>
        </w:rPr>
        <w:t xml:space="preserve">Legal Lesson Learned: “Isolated incidents” </w:t>
      </w:r>
      <w:r>
        <w:rPr>
          <w:b/>
          <w:bCs/>
        </w:rPr>
        <w:t xml:space="preserve">generally will </w:t>
      </w:r>
      <w:r w:rsidRPr="00AD7FAD">
        <w:rPr>
          <w:b/>
          <w:bCs/>
        </w:rPr>
        <w:t xml:space="preserve">not establish hostile work atmosphere. </w:t>
      </w:r>
    </w:p>
    <w:p w14:paraId="266B700A" w14:textId="77777777" w:rsidR="00D5141D" w:rsidRDefault="00D5141D" w:rsidP="00BC70A3">
      <w:pPr>
        <w:rPr>
          <w:rFonts w:ascii="Arial Black" w:hAnsi="Arial Black"/>
          <w:b/>
          <w:sz w:val="24"/>
          <w:szCs w:val="24"/>
        </w:rPr>
      </w:pPr>
    </w:p>
    <w:p w14:paraId="0A9DD223" w14:textId="77777777" w:rsidR="00D5141D" w:rsidRDefault="00D5141D" w:rsidP="00BC70A3">
      <w:pPr>
        <w:rPr>
          <w:rFonts w:ascii="Arial Black" w:hAnsi="Arial Black"/>
          <w:b/>
          <w:sz w:val="24"/>
          <w:szCs w:val="24"/>
        </w:rPr>
      </w:pPr>
    </w:p>
    <w:p w14:paraId="41506294" w14:textId="2AFB6D53" w:rsidR="006C4BDE" w:rsidRDefault="00240D3F" w:rsidP="00BC70A3">
      <w:pPr>
        <w:rPr>
          <w:rFonts w:ascii="Arial Black" w:hAnsi="Arial Black"/>
          <w:b/>
          <w:sz w:val="24"/>
          <w:szCs w:val="24"/>
        </w:rPr>
      </w:pPr>
      <w:r>
        <w:rPr>
          <w:rFonts w:ascii="Arial Black" w:hAnsi="Arial Black"/>
          <w:b/>
          <w:sz w:val="24"/>
          <w:szCs w:val="24"/>
        </w:rPr>
        <w:t>8-41</w:t>
      </w:r>
    </w:p>
    <w:p w14:paraId="51D75F8B" w14:textId="77777777" w:rsidR="00240D3F" w:rsidRPr="00231752" w:rsidRDefault="00240D3F" w:rsidP="00240D3F">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MA: RESIDENCY ORDINANCE NOT ENFORCED – 2 BLACK OFFICERS LIVE CITY – CASE PROCEED, NOT CLASS ACTION </w:t>
      </w:r>
    </w:p>
    <w:p w14:paraId="4E793BD3" w14:textId="77777777" w:rsidR="00240D3F"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14, 2022, in </w:t>
      </w:r>
      <w:r w:rsidRPr="00231752">
        <w:rPr>
          <w:rFonts w:ascii="Times New Roman" w:hAnsi="Times New Roman"/>
          <w:sz w:val="24"/>
          <w:szCs w:val="24"/>
          <w:u w:val="single"/>
        </w:rPr>
        <w:t>Marc Savage and Randolph Blake v. The City of Springfield, et al.</w:t>
      </w:r>
      <w:r>
        <w:rPr>
          <w:rFonts w:ascii="Times New Roman" w:hAnsi="Times New Roman"/>
          <w:sz w:val="24"/>
          <w:szCs w:val="24"/>
        </w:rPr>
        <w:t>, U.S. Magistrate Judge Katherine A. Robertson denied plaintiffs’ motion for class action, but their individual lawsuit claims will now procced to pre-trial discovery</w:t>
      </w:r>
      <w:r w:rsidRPr="00805B29">
        <w:rPr>
          <w:rFonts w:ascii="Times New Roman" w:hAnsi="Times New Roman"/>
          <w:sz w:val="24"/>
          <w:szCs w:val="24"/>
        </w:rPr>
        <w:t xml:space="preserve">.  </w:t>
      </w:r>
      <w:r>
        <w:rPr>
          <w:rFonts w:ascii="Times New Roman" w:hAnsi="Times New Roman"/>
          <w:sz w:val="24"/>
          <w:szCs w:val="24"/>
        </w:rPr>
        <w:t xml:space="preserve">Marc Savage [now retired District Chief} had been on FD for 39 years, and lifelong resident of the city; Randolph Blake [now Captain] has been on FD for 30 years and a life-long resident of the city. The U.S. Magistrate Judge declined to certify class action. “[T]he </w:t>
      </w:r>
      <w:r w:rsidRPr="00C727F0">
        <w:rPr>
          <w:rFonts w:ascii="Times New Roman" w:hAnsi="Times New Roman"/>
          <w:sz w:val="24"/>
          <w:szCs w:val="24"/>
        </w:rPr>
        <w:t>court finds that Plaintiffs' calculation of fifty putative class members is insufficiently supported.</w:t>
      </w:r>
      <w:r>
        <w:rPr>
          <w:rFonts w:ascii="Times New Roman" w:hAnsi="Times New Roman"/>
          <w:sz w:val="24"/>
          <w:szCs w:val="24"/>
        </w:rPr>
        <w:t>”  U.S. Magistrate Judge also referenced the Massachusetts Superior Court decision in denying the class action: “G</w:t>
      </w:r>
      <w:r w:rsidRPr="00464C1C">
        <w:rPr>
          <w:rFonts w:ascii="Times New Roman" w:hAnsi="Times New Roman"/>
          <w:sz w:val="24"/>
          <w:szCs w:val="24"/>
        </w:rPr>
        <w:t>iving these rulings the preclusive effect to which they are entitled, this court cannot strike any Fire Department employee from the City's payroll and there is no basis for freezing promotion eligibility lists until the time that such a purge has taken place.</w:t>
      </w:r>
      <w:r>
        <w:rPr>
          <w:rFonts w:ascii="Times New Roman" w:hAnsi="Times New Roman"/>
          <w:sz w:val="24"/>
          <w:szCs w:val="24"/>
        </w:rPr>
        <w:t xml:space="preserve">” </w:t>
      </w:r>
      <w:hyperlink r:id="rId1504" w:history="1">
        <w:r w:rsidRPr="00CA2357">
          <w:rPr>
            <w:rStyle w:val="Hyperlink"/>
            <w:rFonts w:ascii="Times New Roman" w:hAnsi="Times New Roman"/>
            <w:sz w:val="24"/>
            <w:szCs w:val="24"/>
          </w:rPr>
          <w:t>https://public.fastcase.com/J%2FJP6pdidelsXxEE4k%2BLMkGcJRI5fEIWTRrrr5g307eiV2fonCWWxfQ8%2FgFOC0SXeLTzITpIpaPKGCBs2ZuJTAu1fIsNckzREaOIJEOyjuU%3D</w:t>
        </w:r>
      </w:hyperlink>
      <w:r>
        <w:rPr>
          <w:rFonts w:ascii="Times New Roman" w:hAnsi="Times New Roman"/>
          <w:sz w:val="24"/>
          <w:szCs w:val="24"/>
        </w:rPr>
        <w:t xml:space="preserve"> </w:t>
      </w:r>
    </w:p>
    <w:p w14:paraId="76B324A8" w14:textId="77777777" w:rsidR="00240D3F" w:rsidRDefault="00240D3F" w:rsidP="00240D3F">
      <w:pPr>
        <w:pStyle w:val="Heading1"/>
        <w:rPr>
          <w:sz w:val="24"/>
          <w:szCs w:val="24"/>
        </w:rPr>
      </w:pPr>
      <w:r w:rsidRPr="007B199E">
        <w:rPr>
          <w:sz w:val="24"/>
          <w:szCs w:val="24"/>
        </w:rPr>
        <w:t xml:space="preserve">Legal Lesson Learned: </w:t>
      </w:r>
      <w:r>
        <w:rPr>
          <w:sz w:val="24"/>
          <w:szCs w:val="24"/>
        </w:rPr>
        <w:t xml:space="preserve">Residency ordinances can be difficult to enforce, particularly when Collective Bargaining Agreements have different provisions. </w:t>
      </w:r>
    </w:p>
    <w:p w14:paraId="51924AC0" w14:textId="77777777" w:rsidR="00240D3F" w:rsidRDefault="00240D3F" w:rsidP="00240D3F">
      <w:pPr>
        <w:pStyle w:val="Heading1"/>
        <w:ind w:left="720"/>
        <w:rPr>
          <w:b w:val="0"/>
          <w:bCs w:val="0"/>
          <w:sz w:val="24"/>
          <w:szCs w:val="24"/>
        </w:rPr>
      </w:pPr>
      <w:r w:rsidRPr="00C84BEA">
        <w:rPr>
          <w:b w:val="0"/>
          <w:bCs w:val="0"/>
          <w:sz w:val="24"/>
          <w:szCs w:val="24"/>
        </w:rPr>
        <w:lastRenderedPageBreak/>
        <w:t xml:space="preserve">Note: </w:t>
      </w:r>
      <w:r>
        <w:rPr>
          <w:b w:val="0"/>
          <w:bCs w:val="0"/>
          <w:sz w:val="24"/>
          <w:szCs w:val="24"/>
        </w:rPr>
        <w:t xml:space="preserve"> </w:t>
      </w:r>
      <w:r w:rsidRPr="00C84BEA">
        <w:rPr>
          <w:b w:val="0"/>
          <w:bCs w:val="0"/>
          <w:sz w:val="24"/>
          <w:szCs w:val="24"/>
        </w:rPr>
        <w:t xml:space="preserve">For example, in 2018 the District Fire Chiefs union agreed that newly promoted District Chief must move into the city within one year of promotion. See also May 15, </w:t>
      </w:r>
      <w:proofErr w:type="gramStart"/>
      <w:r w:rsidRPr="00C84BEA">
        <w:rPr>
          <w:b w:val="0"/>
          <w:bCs w:val="0"/>
          <w:sz w:val="24"/>
          <w:szCs w:val="24"/>
        </w:rPr>
        <w:t>2018</w:t>
      </w:r>
      <w:proofErr w:type="gramEnd"/>
      <w:r w:rsidRPr="00C84BEA">
        <w:rPr>
          <w:b w:val="0"/>
          <w:bCs w:val="0"/>
          <w:sz w:val="24"/>
          <w:szCs w:val="24"/>
        </w:rPr>
        <w:t xml:space="preserve"> article, “Divided Springfield City Council approves long-contested district fire </w:t>
      </w:r>
      <w:proofErr w:type="gramStart"/>
      <w:r w:rsidRPr="00C84BEA">
        <w:rPr>
          <w:b w:val="0"/>
          <w:bCs w:val="0"/>
          <w:sz w:val="24"/>
          <w:szCs w:val="24"/>
        </w:rPr>
        <w:t>chiefs</w:t>
      </w:r>
      <w:proofErr w:type="gramEnd"/>
      <w:r w:rsidRPr="00C84BEA">
        <w:rPr>
          <w:b w:val="0"/>
          <w:bCs w:val="0"/>
          <w:sz w:val="24"/>
          <w:szCs w:val="24"/>
        </w:rPr>
        <w:t xml:space="preserve"> contract with residency clause.” </w:t>
      </w:r>
      <w:hyperlink r:id="rId1505" w:history="1">
        <w:r w:rsidRPr="00C84BEA">
          <w:rPr>
            <w:rStyle w:val="Hyperlink"/>
            <w:rFonts w:eastAsiaTheme="majorEastAsia"/>
            <w:b w:val="0"/>
            <w:bCs w:val="0"/>
            <w:sz w:val="24"/>
            <w:szCs w:val="24"/>
          </w:rPr>
          <w:t>https://www.masslive.com/news/2018/05/springfield_city_council_appro_79.html</w:t>
        </w:r>
      </w:hyperlink>
      <w:r w:rsidRPr="00C84BEA">
        <w:rPr>
          <w:rStyle w:val="Hyperlink"/>
          <w:rFonts w:eastAsiaTheme="majorEastAsia"/>
          <w:b w:val="0"/>
          <w:bCs w:val="0"/>
          <w:sz w:val="24"/>
          <w:szCs w:val="24"/>
        </w:rPr>
        <w:t xml:space="preserve">. </w:t>
      </w:r>
      <w:r w:rsidRPr="00C84BEA">
        <w:rPr>
          <w:b w:val="0"/>
          <w:bCs w:val="0"/>
          <w:sz w:val="24"/>
          <w:szCs w:val="24"/>
        </w:rPr>
        <w:t xml:space="preserve">See </w:t>
      </w:r>
    </w:p>
    <w:p w14:paraId="744A7C31" w14:textId="77777777" w:rsidR="00240D3F" w:rsidRPr="00C84BEA" w:rsidRDefault="00240D3F" w:rsidP="00240D3F">
      <w:pPr>
        <w:pStyle w:val="Heading1"/>
        <w:ind w:left="720"/>
        <w:rPr>
          <w:b w:val="0"/>
          <w:bCs w:val="0"/>
          <w:color w:val="0563C1" w:themeColor="hyperlink"/>
          <w:sz w:val="24"/>
          <w:szCs w:val="24"/>
          <w:u w:val="single"/>
        </w:rPr>
      </w:pPr>
      <w:r>
        <w:rPr>
          <w:b w:val="0"/>
          <w:bCs w:val="0"/>
          <w:sz w:val="24"/>
          <w:szCs w:val="24"/>
        </w:rPr>
        <w:t>Also see M</w:t>
      </w:r>
      <w:r w:rsidRPr="00C84BEA">
        <w:rPr>
          <w:b w:val="0"/>
          <w:bCs w:val="0"/>
          <w:sz w:val="24"/>
          <w:szCs w:val="24"/>
        </w:rPr>
        <w:t xml:space="preserve">ay 14, </w:t>
      </w:r>
      <w:proofErr w:type="gramStart"/>
      <w:r w:rsidRPr="00C84BEA">
        <w:rPr>
          <w:b w:val="0"/>
          <w:bCs w:val="0"/>
          <w:sz w:val="24"/>
          <w:szCs w:val="24"/>
        </w:rPr>
        <w:t>2018</w:t>
      </w:r>
      <w:proofErr w:type="gramEnd"/>
      <w:r w:rsidRPr="00C84BEA">
        <w:rPr>
          <w:b w:val="0"/>
          <w:bCs w:val="0"/>
          <w:sz w:val="24"/>
          <w:szCs w:val="24"/>
        </w:rPr>
        <w:t xml:space="preserve"> </w:t>
      </w:r>
      <w:r>
        <w:rPr>
          <w:b w:val="0"/>
          <w:bCs w:val="0"/>
          <w:sz w:val="24"/>
          <w:szCs w:val="24"/>
        </w:rPr>
        <w:t xml:space="preserve">Press Article from </w:t>
      </w:r>
      <w:r w:rsidRPr="00C84BEA">
        <w:rPr>
          <w:b w:val="0"/>
          <w:bCs w:val="0"/>
          <w:sz w:val="24"/>
          <w:szCs w:val="24"/>
        </w:rPr>
        <w:t xml:space="preserve">District Chief Vince Neffinger, President of the Springfield Fire Chiefs Association. “Time is now to approve contract for Springfield district fire chiefs (Guest viewpoint).”  </w:t>
      </w:r>
      <w:hyperlink r:id="rId1506" w:history="1">
        <w:r w:rsidRPr="00C84BEA">
          <w:rPr>
            <w:rStyle w:val="Hyperlink"/>
            <w:rFonts w:eastAsiaTheme="majorEastAsia"/>
            <w:b w:val="0"/>
            <w:bCs w:val="0"/>
            <w:sz w:val="24"/>
            <w:szCs w:val="24"/>
          </w:rPr>
          <w:t>https://www.masslive.com/opinion/2018/05/time_is_now_to_approve_contrac.html</w:t>
        </w:r>
      </w:hyperlink>
    </w:p>
    <w:p w14:paraId="688B58D6" w14:textId="77777777" w:rsidR="00240D3F" w:rsidRDefault="00240D3F" w:rsidP="00240D3F">
      <w:pPr>
        <w:spacing w:before="100" w:beforeAutospacing="1" w:after="100" w:afterAutospacing="1" w:line="240" w:lineRule="auto"/>
        <w:ind w:left="720"/>
        <w:rPr>
          <w:rStyle w:val="Hyperlink"/>
          <w:rFonts w:ascii="Times New Roman" w:hAnsi="Times New Roman"/>
          <w:sz w:val="24"/>
          <w:szCs w:val="24"/>
        </w:rPr>
      </w:pPr>
      <w:r>
        <w:rPr>
          <w:rFonts w:ascii="Times New Roman" w:hAnsi="Times New Roman"/>
          <w:sz w:val="24"/>
          <w:szCs w:val="24"/>
        </w:rPr>
        <w:t xml:space="preserve">Note:  </w:t>
      </w:r>
      <w:r w:rsidRPr="00491E8D">
        <w:rPr>
          <w:rFonts w:ascii="Times New Roman" w:hAnsi="Times New Roman"/>
          <w:sz w:val="24"/>
          <w:szCs w:val="24"/>
        </w:rPr>
        <w:t xml:space="preserve">In Ohio, </w:t>
      </w:r>
      <w:r>
        <w:rPr>
          <w:rFonts w:ascii="Times New Roman" w:hAnsi="Times New Roman"/>
          <w:sz w:val="24"/>
          <w:szCs w:val="24"/>
        </w:rPr>
        <w:t xml:space="preserve">the </w:t>
      </w:r>
      <w:r w:rsidRPr="00491E8D">
        <w:rPr>
          <w:rFonts w:ascii="Times New Roman" w:hAnsi="Times New Roman"/>
          <w:sz w:val="24"/>
          <w:szCs w:val="24"/>
        </w:rPr>
        <w:t xml:space="preserve">Ohio General Assembly in 2016 enacted a statute that set aside all city residency requirements. In 2019, it was upheld by Ohio Supreme Court. </w:t>
      </w:r>
      <w:r w:rsidRPr="00605F1D">
        <w:rPr>
          <w:rFonts w:ascii="Times New Roman" w:hAnsi="Times New Roman"/>
          <w:sz w:val="24"/>
          <w:szCs w:val="24"/>
          <w:u w:val="single"/>
        </w:rPr>
        <w:t>Lima v. State</w:t>
      </w:r>
      <w:r>
        <w:rPr>
          <w:rFonts w:ascii="Times New Roman" w:hAnsi="Times New Roman"/>
          <w:sz w:val="24"/>
          <w:szCs w:val="24"/>
        </w:rPr>
        <w:t xml:space="preserve">, </w:t>
      </w:r>
      <w:hyperlink r:id="rId1507" w:history="1">
        <w:r w:rsidRPr="00507312">
          <w:rPr>
            <w:rStyle w:val="Hyperlink"/>
            <w:rFonts w:ascii="Times New Roman" w:hAnsi="Times New Roman"/>
            <w:sz w:val="24"/>
            <w:szCs w:val="24"/>
          </w:rPr>
          <w:t>https://www.supremecourt.ohio.gov/rod/docs/pdf/0/2009/2009-ohio-2597.pdf</w:t>
        </w:r>
      </w:hyperlink>
      <w:r>
        <w:rPr>
          <w:rFonts w:ascii="Times New Roman" w:hAnsi="Times New Roman"/>
          <w:sz w:val="24"/>
          <w:szCs w:val="24"/>
        </w:rPr>
        <w:t xml:space="preserve">. Firefighters and police can be required to reside in the county or the adjoining county. Ohio Revised Code, </w:t>
      </w:r>
      <w:r w:rsidRPr="00491E8D">
        <w:rPr>
          <w:rFonts w:ascii="Times New Roman" w:hAnsi="Times New Roman"/>
          <w:sz w:val="24"/>
          <w:szCs w:val="24"/>
        </w:rPr>
        <w:t xml:space="preserve">Section 9.481 </w:t>
      </w:r>
      <w:r w:rsidRPr="00491E8D">
        <w:rPr>
          <w:rStyle w:val="codes-separator"/>
          <w:rFonts w:ascii="Times New Roman" w:hAnsi="Times New Roman"/>
          <w:sz w:val="24"/>
          <w:szCs w:val="24"/>
        </w:rPr>
        <w:t>|</w:t>
      </w:r>
      <w:r w:rsidRPr="00491E8D">
        <w:rPr>
          <w:rFonts w:ascii="Times New Roman" w:hAnsi="Times New Roman"/>
          <w:sz w:val="24"/>
          <w:szCs w:val="24"/>
        </w:rPr>
        <w:t xml:space="preserve"> Residency requirements prohibited for certain employees: </w:t>
      </w:r>
      <w:hyperlink r:id="rId1508" w:history="1">
        <w:r w:rsidRPr="00491E8D">
          <w:rPr>
            <w:rStyle w:val="Hyperlink"/>
            <w:rFonts w:ascii="Times New Roman" w:hAnsi="Times New Roman"/>
            <w:sz w:val="24"/>
            <w:szCs w:val="24"/>
          </w:rPr>
          <w:t>https://codes.ohio.gov/ohio-revised-code/section-9.481</w:t>
        </w:r>
      </w:hyperlink>
    </w:p>
    <w:p w14:paraId="583DB1B5" w14:textId="77777777" w:rsidR="00240D3F" w:rsidRDefault="00240D3F" w:rsidP="00BC70A3">
      <w:pPr>
        <w:rPr>
          <w:rFonts w:ascii="Arial Black" w:hAnsi="Arial Black"/>
          <w:b/>
          <w:sz w:val="24"/>
          <w:szCs w:val="24"/>
        </w:rPr>
      </w:pPr>
    </w:p>
    <w:p w14:paraId="5C689C35" w14:textId="074479C2" w:rsidR="006C4BDE" w:rsidRDefault="006C4BDE" w:rsidP="00BC70A3">
      <w:pPr>
        <w:rPr>
          <w:rFonts w:ascii="Arial Black" w:hAnsi="Arial Black"/>
          <w:b/>
          <w:sz w:val="24"/>
          <w:szCs w:val="24"/>
        </w:rPr>
      </w:pPr>
      <w:r>
        <w:rPr>
          <w:rFonts w:ascii="Arial Black" w:hAnsi="Arial Black"/>
          <w:b/>
          <w:sz w:val="24"/>
          <w:szCs w:val="24"/>
        </w:rPr>
        <w:t>8-40</w:t>
      </w:r>
    </w:p>
    <w:p w14:paraId="720190C9" w14:textId="77777777" w:rsidR="006C4BDE" w:rsidRDefault="006C4BDE" w:rsidP="006C4BDE">
      <w:pPr>
        <w:spacing w:before="100" w:beforeAutospacing="1" w:after="100" w:afterAutospacing="1" w:line="240" w:lineRule="auto"/>
        <w:rPr>
          <w:rFonts w:ascii="Arial Black" w:hAnsi="Arial Black"/>
          <w:sz w:val="28"/>
          <w:szCs w:val="28"/>
        </w:rPr>
      </w:pPr>
      <w:r w:rsidRPr="008532E8">
        <w:rPr>
          <w:rFonts w:ascii="Arial Black" w:hAnsi="Arial Black"/>
          <w:sz w:val="28"/>
          <w:szCs w:val="28"/>
        </w:rPr>
        <w:t>IL:</w:t>
      </w:r>
      <w:r>
        <w:rPr>
          <w:rFonts w:ascii="Arial Black" w:hAnsi="Arial Black"/>
          <w:sz w:val="28"/>
          <w:szCs w:val="28"/>
        </w:rPr>
        <w:t xml:space="preserve"> WHITE FF “REVERSE DISCRIMINATION” CASE DISMISSED – 3</w:t>
      </w:r>
      <w:r w:rsidRPr="00A16CE4">
        <w:rPr>
          <w:rFonts w:ascii="Arial Black" w:hAnsi="Arial Black"/>
          <w:sz w:val="28"/>
          <w:szCs w:val="28"/>
          <w:vertAlign w:val="superscript"/>
        </w:rPr>
        <w:t>rd</w:t>
      </w:r>
      <w:r>
        <w:rPr>
          <w:rFonts w:ascii="Arial Black" w:hAnsi="Arial Black"/>
          <w:sz w:val="28"/>
          <w:szCs w:val="28"/>
        </w:rPr>
        <w:t xml:space="preserve"> SHIFT CAPTAIN ROTATED 2 MORE DRIVERS TRUCK 19</w:t>
      </w:r>
    </w:p>
    <w:p w14:paraId="411C6688" w14:textId="77777777" w:rsidR="006C4BDE" w:rsidRDefault="006C4BDE" w:rsidP="006C4BD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12, 2022, in </w:t>
      </w:r>
      <w:r w:rsidRPr="00BD5375">
        <w:rPr>
          <w:rFonts w:ascii="Times New Roman" w:hAnsi="Times New Roman"/>
          <w:sz w:val="24"/>
          <w:szCs w:val="24"/>
          <w:u w:val="single"/>
        </w:rPr>
        <w:t>David Stieglitz v. City of Chicago</w:t>
      </w:r>
      <w:r>
        <w:rPr>
          <w:rFonts w:ascii="Times New Roman" w:hAnsi="Times New Roman"/>
          <w:sz w:val="24"/>
          <w:szCs w:val="24"/>
        </w:rPr>
        <w:t xml:space="preserve">, the U.S. Court of Appeals for Seventh Circuit (located in Chicago) held (3 to 0) that trial court properly dismissed his lawsuit; his Captain (Black) wanted two additional drivers (Black) rotating on Truck 19 during his third shift. Plaintiff was the only white firefighter on his shift; firefighters paid </w:t>
      </w:r>
      <w:r w:rsidRPr="00420051">
        <w:rPr>
          <w:rFonts w:ascii="Times New Roman" w:hAnsi="Times New Roman"/>
          <w:sz w:val="24"/>
          <w:szCs w:val="24"/>
        </w:rPr>
        <w:t xml:space="preserve">$2.18 per hour </w:t>
      </w:r>
      <w:r>
        <w:rPr>
          <w:rFonts w:ascii="Times New Roman" w:hAnsi="Times New Roman"/>
          <w:sz w:val="24"/>
          <w:szCs w:val="24"/>
        </w:rPr>
        <w:t xml:space="preserve">bonus </w:t>
      </w:r>
      <w:r w:rsidRPr="00420051">
        <w:rPr>
          <w:rFonts w:ascii="Times New Roman" w:hAnsi="Times New Roman"/>
          <w:sz w:val="24"/>
          <w:szCs w:val="24"/>
        </w:rPr>
        <w:t>on shifts when they are assigned as drivers.</w:t>
      </w:r>
      <w:r>
        <w:rPr>
          <w:rFonts w:ascii="Times New Roman" w:hAnsi="Times New Roman"/>
          <w:sz w:val="24"/>
          <w:szCs w:val="24"/>
        </w:rPr>
        <w:t xml:space="preserve"> Plaintiff filed an internal complaint, and Internal Affairs determined that 35 Chicago firefighters, including plaintiff, lacked required training certification to drive this truck per new General Order, and FD ordered that he not drive without the certification. He was suspended for only seven shifts (he only lost $350 in driver bonuses) when FD later decided he was “grandfathered” and didn’t need the certification.  </w:t>
      </w:r>
      <w:hyperlink r:id="rId1509" w:history="1">
        <w:r w:rsidRPr="008E101B">
          <w:rPr>
            <w:rStyle w:val="Hyperlink"/>
            <w:rFonts w:ascii="Times New Roman" w:hAnsi="Times New Roman"/>
            <w:sz w:val="24"/>
            <w:szCs w:val="24"/>
          </w:rPr>
          <w:t>http://media.ca7.uscourts.gov/cgi-bin/rssExec.pl?Submit=Display&amp;Path=Y2022/D07-12/C:21-2784:J:PerCuriam:aut:T:npDp:N:2902357:S:0</w:t>
        </w:r>
      </w:hyperlink>
    </w:p>
    <w:p w14:paraId="489A0091" w14:textId="77777777" w:rsidR="006C4BDE" w:rsidRPr="0048357F" w:rsidRDefault="006C4BDE" w:rsidP="006C4BDE">
      <w:pPr>
        <w:spacing w:before="100" w:beforeAutospacing="1" w:after="100" w:afterAutospacing="1" w:line="240" w:lineRule="auto"/>
        <w:rPr>
          <w:rFonts w:ascii="Times New Roman" w:eastAsia="Times New Roman" w:hAnsi="Times New Roman"/>
          <w:b/>
          <w:bCs/>
          <w:sz w:val="24"/>
          <w:szCs w:val="24"/>
        </w:rPr>
      </w:pPr>
      <w:r w:rsidRPr="00D0339D">
        <w:rPr>
          <w:rFonts w:ascii="Times New Roman" w:hAnsi="Times New Roman"/>
          <w:b/>
          <w:bCs/>
          <w:sz w:val="24"/>
          <w:szCs w:val="24"/>
        </w:rPr>
        <w:t>Legal Lesson Learned:</w:t>
      </w:r>
      <w:r>
        <w:rPr>
          <w:rFonts w:ascii="Times New Roman" w:hAnsi="Times New Roman"/>
          <w:b/>
          <w:bCs/>
          <w:sz w:val="24"/>
          <w:szCs w:val="24"/>
        </w:rPr>
        <w:t xml:space="preserve"> To prove race discrimination, a white firefighter needs more than mere “inference” that Captain favored Black firefighters as drivers.   It is, frankly, hard to believe this lawsuit was ever filed, </w:t>
      </w:r>
    </w:p>
    <w:p w14:paraId="571495DD" w14:textId="77777777" w:rsidR="006C4BDE" w:rsidRDefault="006C4BDE" w:rsidP="006C4BD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Note: Listen to Oral Argument before 7</w:t>
      </w:r>
      <w:r w:rsidRPr="00036CDB">
        <w:rPr>
          <w:rFonts w:ascii="Times New Roman" w:hAnsi="Times New Roman"/>
          <w:sz w:val="24"/>
          <w:szCs w:val="24"/>
          <w:vertAlign w:val="superscript"/>
        </w:rPr>
        <w:t>th</w:t>
      </w:r>
      <w:r>
        <w:rPr>
          <w:rFonts w:ascii="Times New Roman" w:hAnsi="Times New Roman"/>
          <w:sz w:val="24"/>
          <w:szCs w:val="24"/>
        </w:rPr>
        <w:t xml:space="preserve"> Circuit – the judges were particularly questionable of plaintiff’s claim. </w:t>
      </w:r>
      <w:hyperlink r:id="rId1510" w:history="1">
        <w:r w:rsidRPr="00AB6D79">
          <w:rPr>
            <w:rStyle w:val="Hyperlink"/>
            <w:rFonts w:ascii="Times New Roman" w:hAnsi="Times New Roman"/>
            <w:sz w:val="24"/>
            <w:szCs w:val="24"/>
          </w:rPr>
          <w:t>http://media.ca7.uscourts.gov/sound/external/mm.21-2784.21-2784_07_07_2022.mp3</w:t>
        </w:r>
      </w:hyperlink>
      <w:r>
        <w:rPr>
          <w:rFonts w:ascii="Times New Roman" w:hAnsi="Times New Roman"/>
          <w:sz w:val="24"/>
          <w:szCs w:val="24"/>
        </w:rPr>
        <w:t xml:space="preserve"> </w:t>
      </w:r>
    </w:p>
    <w:p w14:paraId="384D6004" w14:textId="77777777" w:rsidR="006C4BDE" w:rsidRDefault="006C4BDE" w:rsidP="00BC70A3">
      <w:pPr>
        <w:rPr>
          <w:rFonts w:ascii="Arial Black" w:hAnsi="Arial Black"/>
          <w:b/>
          <w:sz w:val="24"/>
          <w:szCs w:val="24"/>
        </w:rPr>
      </w:pPr>
    </w:p>
    <w:p w14:paraId="69A055D1" w14:textId="43E2A055" w:rsidR="006C4BDE" w:rsidRDefault="006C4BDE" w:rsidP="00BC70A3">
      <w:pPr>
        <w:rPr>
          <w:rFonts w:ascii="Arial Black" w:hAnsi="Arial Black"/>
          <w:b/>
          <w:sz w:val="24"/>
          <w:szCs w:val="24"/>
        </w:rPr>
      </w:pPr>
      <w:r>
        <w:rPr>
          <w:rFonts w:ascii="Arial Black" w:hAnsi="Arial Black"/>
          <w:b/>
          <w:sz w:val="24"/>
          <w:szCs w:val="24"/>
        </w:rPr>
        <w:t>8-39</w:t>
      </w:r>
    </w:p>
    <w:p w14:paraId="3937E996" w14:textId="77777777" w:rsidR="006C4BDE"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TX: PROBATIONARY FF FIRED – FAILED TESTING AT STATION 8 – NO PROOF WHITE TREATED MORE FAVORABLY</w:t>
      </w:r>
    </w:p>
    <w:p w14:paraId="3108F476" w14:textId="77777777" w:rsidR="006C4BDE" w:rsidRPr="005E294B" w:rsidRDefault="006C4BDE" w:rsidP="006C4BDE">
      <w:pPr>
        <w:spacing w:before="100" w:beforeAutospacing="1" w:after="100" w:afterAutospacing="1" w:line="240" w:lineRule="auto"/>
        <w:rPr>
          <w:rFonts w:ascii="Times New Roman" w:hAnsi="Times New Roman"/>
          <w:sz w:val="24"/>
          <w:szCs w:val="24"/>
        </w:rPr>
      </w:pPr>
      <w:r w:rsidRPr="00A448A7">
        <w:rPr>
          <w:rFonts w:ascii="Times New Roman" w:hAnsi="Times New Roman"/>
          <w:sz w:val="24"/>
          <w:szCs w:val="24"/>
        </w:rPr>
        <w:t xml:space="preserve">On July 12, 2022, in </w:t>
      </w:r>
      <w:r w:rsidRPr="00A448A7">
        <w:rPr>
          <w:rFonts w:ascii="Times New Roman" w:hAnsi="Times New Roman"/>
          <w:sz w:val="24"/>
          <w:szCs w:val="24"/>
          <w:u w:val="single"/>
        </w:rPr>
        <w:t>The City of Houston v. Madison T. Garner</w:t>
      </w:r>
      <w:r w:rsidRPr="00A448A7">
        <w:rPr>
          <w:rFonts w:ascii="Times New Roman" w:hAnsi="Times New Roman"/>
          <w:sz w:val="24"/>
          <w:szCs w:val="24"/>
        </w:rPr>
        <w:t>, the City took an immediate appeal, and the Court of Appeals</w:t>
      </w:r>
      <w:r>
        <w:rPr>
          <w:rFonts w:ascii="Times New Roman" w:hAnsi="Times New Roman"/>
          <w:sz w:val="24"/>
          <w:szCs w:val="24"/>
        </w:rPr>
        <w:t xml:space="preserve"> of Texas, Fourteenth District, held (3 to 0) t</w:t>
      </w:r>
      <w:r w:rsidRPr="00A448A7">
        <w:rPr>
          <w:rFonts w:ascii="Times New Roman" w:hAnsi="Times New Roman"/>
          <w:sz w:val="24"/>
          <w:szCs w:val="24"/>
        </w:rPr>
        <w:t xml:space="preserve">hat trial court should have granted defense motion </w:t>
      </w:r>
      <w:r w:rsidRPr="00A448A7">
        <w:rPr>
          <w:rFonts w:ascii="Times New Roman" w:hAnsi="Times New Roman"/>
          <w:sz w:val="24"/>
          <w:szCs w:val="24"/>
        </w:rPr>
        <w:lastRenderedPageBreak/>
        <w:t>for summary judgment.  Plaintiff</w:t>
      </w:r>
      <w:r>
        <w:rPr>
          <w:rFonts w:ascii="Times New Roman" w:hAnsi="Times New Roman"/>
          <w:sz w:val="24"/>
          <w:szCs w:val="24"/>
        </w:rPr>
        <w:t xml:space="preserve"> graduated from the Training Academy, and while at Station 8 he had another year as probationary firefighter and </w:t>
      </w:r>
      <w:r w:rsidRPr="00D55070">
        <w:rPr>
          <w:rFonts w:ascii="Times New Roman" w:hAnsi="Times New Roman"/>
          <w:sz w:val="24"/>
          <w:szCs w:val="24"/>
        </w:rPr>
        <w:t>failed the Turnout Performance Standard.</w:t>
      </w:r>
      <w:r>
        <w:rPr>
          <w:rFonts w:ascii="Times New Roman" w:hAnsi="Times New Roman"/>
          <w:sz w:val="24"/>
          <w:szCs w:val="24"/>
        </w:rPr>
        <w:t xml:space="preserve"> He </w:t>
      </w:r>
      <w:r w:rsidRPr="00A448A7">
        <w:rPr>
          <w:rFonts w:ascii="Times New Roman" w:hAnsi="Times New Roman"/>
          <w:sz w:val="24"/>
          <w:szCs w:val="24"/>
        </w:rPr>
        <w:t>claim</w:t>
      </w:r>
      <w:r>
        <w:rPr>
          <w:rFonts w:ascii="Times New Roman" w:hAnsi="Times New Roman"/>
          <w:sz w:val="24"/>
          <w:szCs w:val="24"/>
        </w:rPr>
        <w:t>ed</w:t>
      </w:r>
      <w:r w:rsidRPr="00A448A7">
        <w:rPr>
          <w:rFonts w:ascii="Times New Roman" w:hAnsi="Times New Roman"/>
          <w:sz w:val="24"/>
          <w:szCs w:val="24"/>
        </w:rPr>
        <w:t xml:space="preserve"> there were about five other probationary FF at Station </w:t>
      </w:r>
      <w:proofErr w:type="gramStart"/>
      <w:r w:rsidRPr="00A448A7">
        <w:rPr>
          <w:rFonts w:ascii="Times New Roman" w:hAnsi="Times New Roman"/>
          <w:sz w:val="24"/>
          <w:szCs w:val="24"/>
        </w:rPr>
        <w:t>8, but</w:t>
      </w:r>
      <w:proofErr w:type="gramEnd"/>
      <w:r w:rsidRPr="00A448A7">
        <w:rPr>
          <w:rFonts w:ascii="Times New Roman" w:hAnsi="Times New Roman"/>
          <w:sz w:val="24"/>
          <w:szCs w:val="24"/>
        </w:rPr>
        <w:t xml:space="preserve"> </w:t>
      </w:r>
      <w:r>
        <w:rPr>
          <w:rFonts w:ascii="Times New Roman" w:hAnsi="Times New Roman"/>
          <w:sz w:val="24"/>
          <w:szCs w:val="24"/>
        </w:rPr>
        <w:t>failed to provide any evidence that “</w:t>
      </w:r>
      <w:r w:rsidRPr="00A448A7">
        <w:rPr>
          <w:rFonts w:ascii="Times New Roman" w:hAnsi="Times New Roman"/>
          <w:sz w:val="24"/>
          <w:szCs w:val="24"/>
        </w:rPr>
        <w:t xml:space="preserve">those outside his protected class </w:t>
      </w:r>
      <w:r>
        <w:rPr>
          <w:rFonts w:ascii="Times New Roman" w:hAnsi="Times New Roman"/>
          <w:sz w:val="24"/>
          <w:szCs w:val="24"/>
        </w:rPr>
        <w:t xml:space="preserve">[white FF] </w:t>
      </w:r>
      <w:r w:rsidRPr="00A448A7">
        <w:rPr>
          <w:rFonts w:ascii="Times New Roman" w:hAnsi="Times New Roman"/>
          <w:sz w:val="24"/>
          <w:szCs w:val="24"/>
        </w:rPr>
        <w:t>were treated more favorably</w:t>
      </w:r>
      <w:r>
        <w:rPr>
          <w:rFonts w:ascii="Times New Roman" w:hAnsi="Times New Roman"/>
          <w:sz w:val="24"/>
          <w:szCs w:val="24"/>
        </w:rPr>
        <w:t xml:space="preserve">.” He also complained of various incidents at Training Academy and at Station 8 that create a hostile work atmosphere, but taking all into consideration, he has </w:t>
      </w:r>
      <w:r w:rsidRPr="005E294B">
        <w:rPr>
          <w:rFonts w:ascii="Times New Roman" w:hAnsi="Times New Roman"/>
          <w:sz w:val="24"/>
          <w:szCs w:val="24"/>
        </w:rPr>
        <w:t xml:space="preserve">not shown that the acts were </w:t>
      </w:r>
      <w:r>
        <w:rPr>
          <w:rFonts w:ascii="Times New Roman" w:hAnsi="Times New Roman"/>
          <w:sz w:val="24"/>
          <w:szCs w:val="24"/>
        </w:rPr>
        <w:t>“</w:t>
      </w:r>
      <w:r w:rsidRPr="005E294B">
        <w:rPr>
          <w:rFonts w:ascii="Times New Roman" w:hAnsi="Times New Roman"/>
          <w:sz w:val="24"/>
          <w:szCs w:val="24"/>
        </w:rPr>
        <w:t>sufficiently severe or pervasive to alter the conditions of [his] employment and create an abusive working environment.</w:t>
      </w:r>
      <w:r>
        <w:rPr>
          <w:rFonts w:ascii="Times New Roman" w:hAnsi="Times New Roman"/>
          <w:sz w:val="24"/>
          <w:szCs w:val="24"/>
        </w:rPr>
        <w:t>” For example, while at the Training Academy his training Captain had him move a pallet of bricks about 40 feet for punishment for not having shaved close enough; but “</w:t>
      </w:r>
      <w:r w:rsidRPr="00721939">
        <w:rPr>
          <w:rFonts w:ascii="Times New Roman" w:hAnsi="Times New Roman"/>
          <w:sz w:val="24"/>
          <w:szCs w:val="24"/>
        </w:rPr>
        <w:t>another individual who was not African American was also told to move bricks at the same time as Garner for not shaving as well.</w:t>
      </w:r>
      <w:r>
        <w:rPr>
          <w:rFonts w:ascii="Times New Roman" w:hAnsi="Times New Roman"/>
          <w:sz w:val="24"/>
          <w:szCs w:val="24"/>
        </w:rPr>
        <w:t xml:space="preserve">” </w:t>
      </w:r>
      <w:hyperlink r:id="rId1511" w:history="1">
        <w:r w:rsidRPr="0019682E">
          <w:rPr>
            <w:rStyle w:val="Hyperlink"/>
            <w:rFonts w:ascii="Times New Roman" w:hAnsi="Times New Roman"/>
            <w:sz w:val="24"/>
            <w:szCs w:val="24"/>
          </w:rPr>
          <w:t>https://law.justia.com/cases/texas/fourteenth-court-of-appeals/2022/14-20-00688-cv.html</w:t>
        </w:r>
      </w:hyperlink>
      <w:r>
        <w:rPr>
          <w:rFonts w:ascii="Times New Roman" w:hAnsi="Times New Roman"/>
          <w:sz w:val="24"/>
          <w:szCs w:val="24"/>
        </w:rPr>
        <w:t xml:space="preserve"> </w:t>
      </w:r>
    </w:p>
    <w:p w14:paraId="512DD48F" w14:textId="2B036F38" w:rsidR="006C4BDE" w:rsidRPr="00E815F4" w:rsidRDefault="00A40065" w:rsidP="006C4BDE">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w:t>
      </w:r>
      <w:r w:rsidR="006C4BDE" w:rsidRPr="00D55070">
        <w:rPr>
          <w:rFonts w:ascii="Times New Roman" w:eastAsia="Times New Roman" w:hAnsi="Times New Roman"/>
          <w:b/>
          <w:bCs/>
          <w:sz w:val="24"/>
          <w:szCs w:val="24"/>
        </w:rPr>
        <w:t xml:space="preserve">egal Lesson Learned: </w:t>
      </w:r>
      <w:r w:rsidR="006C4BDE">
        <w:rPr>
          <w:rFonts w:ascii="Times New Roman" w:eastAsia="Times New Roman" w:hAnsi="Times New Roman"/>
          <w:b/>
          <w:bCs/>
          <w:sz w:val="24"/>
          <w:szCs w:val="24"/>
        </w:rPr>
        <w:t xml:space="preserve">No proof that White probationary FF treated more fairly. </w:t>
      </w:r>
    </w:p>
    <w:p w14:paraId="0AFDD894" w14:textId="77777777" w:rsidR="006C4BDE" w:rsidRDefault="006C4BDE" w:rsidP="00BC70A3">
      <w:pPr>
        <w:rPr>
          <w:rFonts w:ascii="Arial Black" w:hAnsi="Arial Black"/>
          <w:b/>
          <w:sz w:val="24"/>
          <w:szCs w:val="24"/>
        </w:rPr>
      </w:pPr>
    </w:p>
    <w:p w14:paraId="475A2664" w14:textId="77777777" w:rsidR="006C4BDE" w:rsidRDefault="006C4BDE" w:rsidP="00BC70A3">
      <w:pPr>
        <w:rPr>
          <w:rFonts w:ascii="Arial Black" w:hAnsi="Arial Black"/>
          <w:b/>
          <w:sz w:val="24"/>
          <w:szCs w:val="24"/>
        </w:rPr>
      </w:pPr>
    </w:p>
    <w:p w14:paraId="6BE3D359" w14:textId="4709359A" w:rsidR="0002742E" w:rsidRDefault="0002742E" w:rsidP="00BC70A3">
      <w:pPr>
        <w:rPr>
          <w:rFonts w:ascii="Arial Black" w:hAnsi="Arial Black"/>
          <w:b/>
          <w:sz w:val="24"/>
          <w:szCs w:val="24"/>
        </w:rPr>
      </w:pPr>
      <w:r>
        <w:rPr>
          <w:rFonts w:ascii="Arial Black" w:hAnsi="Arial Black"/>
          <w:b/>
          <w:sz w:val="24"/>
          <w:szCs w:val="24"/>
        </w:rPr>
        <w:t>8-38</w:t>
      </w:r>
    </w:p>
    <w:p w14:paraId="5B45A74A" w14:textId="77777777" w:rsidR="0002742E" w:rsidRPr="00FE1E86" w:rsidRDefault="0002742E" w:rsidP="0002742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OH: AFRICAN AMERICAN NOT HIRED CINCINNATI FD – FELON - 2005 WHEN FF/EMT CONV.  DRUG TRAFFICKING  </w:t>
      </w:r>
    </w:p>
    <w:p w14:paraId="1A2FB859" w14:textId="77777777" w:rsidR="0002742E" w:rsidRPr="00D52001" w:rsidRDefault="0002742E" w:rsidP="0002742E">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May 7, 2022, in </w:t>
      </w:r>
      <w:r w:rsidRPr="00FE1E86">
        <w:rPr>
          <w:rFonts w:ascii="Times New Roman" w:eastAsia="Times New Roman" w:hAnsi="Times New Roman"/>
          <w:sz w:val="24"/>
          <w:szCs w:val="24"/>
          <w:u w:val="single"/>
        </w:rPr>
        <w:t>Layne Rice v. City of Cincinnati</w:t>
      </w:r>
      <w:r>
        <w:rPr>
          <w:rFonts w:ascii="Times New Roman" w:eastAsia="Times New Roman" w:hAnsi="Times New Roman"/>
          <w:sz w:val="24"/>
          <w:szCs w:val="24"/>
        </w:rPr>
        <w:t xml:space="preserve">, 538 F. Supp.3d 800, U.S. District Court Judge William O. Bertelsmann, U.S. District Court for Southern District of Ohio (Western Division) granted the City’s motion for summary judgment. </w:t>
      </w:r>
      <w:r w:rsidRPr="009E0FDF">
        <w:rPr>
          <w:rFonts w:ascii="Times New Roman" w:hAnsi="Times New Roman"/>
          <w:sz w:val="24"/>
          <w:szCs w:val="24"/>
        </w:rPr>
        <w:t xml:space="preserve">Rice only challenges the </w:t>
      </w:r>
      <w:r>
        <w:rPr>
          <w:rFonts w:ascii="Times New Roman" w:hAnsi="Times New Roman"/>
          <w:sz w:val="24"/>
          <w:szCs w:val="24"/>
        </w:rPr>
        <w:t>felony-no-hire-</w:t>
      </w:r>
      <w:r w:rsidRPr="009E0FDF">
        <w:rPr>
          <w:rFonts w:ascii="Times New Roman" w:hAnsi="Times New Roman"/>
          <w:sz w:val="24"/>
          <w:szCs w:val="24"/>
        </w:rPr>
        <w:t>policy for the 2015 and 2018 application periods because that is when he passed all portions of the exam to qualify as a candidate and had his felony conviction. In 1999, Rice was not hired, even before his felony conviction. Rice also concedes that he did not pass all portions of the exam in 2012.</w:t>
      </w:r>
      <w:r>
        <w:rPr>
          <w:rFonts w:ascii="Times New Roman" w:hAnsi="Times New Roman"/>
          <w:sz w:val="24"/>
          <w:szCs w:val="24"/>
        </w:rPr>
        <w:t xml:space="preserve"> </w:t>
      </w:r>
      <w:r>
        <w:rPr>
          <w:rFonts w:ascii="Times New Roman" w:eastAsia="Times New Roman" w:hAnsi="Times New Roman"/>
          <w:sz w:val="24"/>
          <w:szCs w:val="24"/>
        </w:rPr>
        <w:t>The Court held that “</w:t>
      </w:r>
      <w:r w:rsidRPr="00FE1E86">
        <w:rPr>
          <w:rFonts w:ascii="Times New Roman" w:hAnsi="Times New Roman"/>
          <w:sz w:val="24"/>
          <w:szCs w:val="24"/>
        </w:rPr>
        <w:t>Rice cannot establish a prima facie case of disparate impact</w:t>
      </w:r>
      <w:r>
        <w:rPr>
          <w:rFonts w:ascii="Times New Roman" w:hAnsi="Times New Roman"/>
          <w:sz w:val="24"/>
          <w:szCs w:val="24"/>
        </w:rPr>
        <w:t xml:space="preserve">…. </w:t>
      </w:r>
      <w:r w:rsidRPr="00D52001">
        <w:rPr>
          <w:rFonts w:ascii="Times New Roman" w:hAnsi="Times New Roman"/>
          <w:sz w:val="24"/>
          <w:szCs w:val="24"/>
        </w:rPr>
        <w:t>In sum, Rice has not presented a statistical analysis regarding the racial impact of the City's felony disqualification policy. The Court thus concludes that Rice has failed to establish a prima facie case of disparate impact discrimination.</w:t>
      </w:r>
      <w:r>
        <w:rPr>
          <w:rFonts w:ascii="Times New Roman" w:hAnsi="Times New Roman"/>
          <w:sz w:val="24"/>
          <w:szCs w:val="24"/>
        </w:rPr>
        <w:t xml:space="preserve">” </w:t>
      </w:r>
      <w:hyperlink r:id="rId1512" w:history="1">
        <w:r w:rsidRPr="006C608A">
          <w:rPr>
            <w:rStyle w:val="Hyperlink"/>
            <w:rFonts w:ascii="Times New Roman" w:hAnsi="Times New Roman"/>
            <w:sz w:val="24"/>
            <w:szCs w:val="24"/>
          </w:rPr>
          <w:t>https://casetext.com/case/rice-v-city-of-cincinnati</w:t>
        </w:r>
      </w:hyperlink>
      <w:r>
        <w:rPr>
          <w:rFonts w:ascii="Times New Roman" w:hAnsi="Times New Roman"/>
          <w:sz w:val="24"/>
          <w:szCs w:val="24"/>
        </w:rPr>
        <w:t xml:space="preserve"> </w:t>
      </w:r>
    </w:p>
    <w:p w14:paraId="068614ED" w14:textId="77777777" w:rsidR="0002742E" w:rsidRPr="00432417" w:rsidRDefault="0002742E" w:rsidP="0002742E">
      <w:pPr>
        <w:spacing w:before="100" w:beforeAutospacing="1" w:after="100" w:afterAutospacing="1" w:line="240" w:lineRule="auto"/>
        <w:rPr>
          <w:rFonts w:ascii="Times New Roman" w:hAnsi="Times New Roman"/>
          <w:b/>
          <w:bCs/>
          <w:sz w:val="24"/>
          <w:szCs w:val="24"/>
        </w:rPr>
      </w:pPr>
      <w:r w:rsidRPr="00432417">
        <w:rPr>
          <w:rFonts w:ascii="Times New Roman" w:hAnsi="Times New Roman"/>
          <w:b/>
          <w:bCs/>
          <w:sz w:val="24"/>
          <w:szCs w:val="24"/>
        </w:rPr>
        <w:t xml:space="preserve">Legal Lesson Learned: Plaintiff failed to hire an expert to prove disparate impact. </w:t>
      </w:r>
    </w:p>
    <w:p w14:paraId="60DD792D" w14:textId="77777777" w:rsidR="0002742E" w:rsidRPr="009E0FDF" w:rsidRDefault="0002742E" w:rsidP="0002742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w:t>
      </w:r>
      <w:r w:rsidRPr="009E0FDF">
        <w:rPr>
          <w:rFonts w:ascii="Times New Roman" w:hAnsi="Times New Roman"/>
          <w:sz w:val="24"/>
          <w:szCs w:val="24"/>
        </w:rPr>
        <w:t>ORC § 737.081 was promulgated in 2003. ORC § 737.081(C)(1)(a) provides that a person with a felony is not permitted to be appointed as a permanent, full-time freighter or volunteer firefighter</w:t>
      </w:r>
      <w:r>
        <w:rPr>
          <w:rFonts w:ascii="Times New Roman" w:hAnsi="Times New Roman"/>
          <w:sz w:val="24"/>
          <w:szCs w:val="24"/>
        </w:rPr>
        <w:t xml:space="preserve">…. </w:t>
      </w:r>
      <w:r w:rsidRPr="009E0FDF">
        <w:rPr>
          <w:rFonts w:ascii="Times New Roman" w:hAnsi="Times New Roman"/>
          <w:sz w:val="24"/>
          <w:szCs w:val="24"/>
        </w:rPr>
        <w:t xml:space="preserve">However, ORC § 737.081(C)(2) provides that </w:t>
      </w:r>
      <w:r>
        <w:rPr>
          <w:rFonts w:ascii="Times New Roman" w:hAnsi="Times New Roman"/>
          <w:sz w:val="24"/>
          <w:szCs w:val="24"/>
        </w:rPr>
        <w:t>‘</w:t>
      </w:r>
      <w:r w:rsidRPr="009E0FDF">
        <w:rPr>
          <w:rFonts w:ascii="Times New Roman" w:hAnsi="Times New Roman"/>
          <w:sz w:val="24"/>
          <w:szCs w:val="24"/>
        </w:rPr>
        <w:t>an appointing authority may appoint or employ a person as a permanent, full-time paid firefighter or a volunteer firefighter if</w:t>
      </w:r>
      <w:r>
        <w:rPr>
          <w:rFonts w:ascii="Times New Roman" w:hAnsi="Times New Roman"/>
          <w:sz w:val="24"/>
          <w:szCs w:val="24"/>
        </w:rPr>
        <w:t>’</w:t>
      </w:r>
      <w:r w:rsidRPr="009E0FDF">
        <w:rPr>
          <w:rFonts w:ascii="Times New Roman" w:hAnsi="Times New Roman"/>
          <w:sz w:val="24"/>
          <w:szCs w:val="24"/>
        </w:rPr>
        <w:t xml:space="preserve"> (1) the fire chief requests a criminal record check; (2) the records show the candidate is guilty of an offense in (C)(1); and (3) the person meets the rehabilitation standards in ORC § 737.081(E).</w:t>
      </w:r>
    </w:p>
    <w:p w14:paraId="32B0DBFF" w14:textId="77777777" w:rsidR="0002742E" w:rsidRDefault="0002742E" w:rsidP="00BC70A3">
      <w:pPr>
        <w:rPr>
          <w:rFonts w:ascii="Arial Black" w:hAnsi="Arial Black"/>
          <w:b/>
          <w:sz w:val="24"/>
          <w:szCs w:val="24"/>
        </w:rPr>
      </w:pPr>
    </w:p>
    <w:p w14:paraId="0CD6547F" w14:textId="1E30015C" w:rsidR="00E3473F" w:rsidRDefault="00E3473F" w:rsidP="00BC70A3">
      <w:pPr>
        <w:rPr>
          <w:rFonts w:ascii="Arial Black" w:hAnsi="Arial Black"/>
          <w:b/>
          <w:sz w:val="24"/>
          <w:szCs w:val="24"/>
        </w:rPr>
      </w:pPr>
      <w:r>
        <w:rPr>
          <w:rFonts w:ascii="Arial Black" w:hAnsi="Arial Black"/>
          <w:b/>
          <w:sz w:val="24"/>
          <w:szCs w:val="24"/>
        </w:rPr>
        <w:t>8-37</w:t>
      </w:r>
    </w:p>
    <w:p w14:paraId="6C4317B7" w14:textId="77777777" w:rsidR="00E3473F" w:rsidRPr="00A07E45" w:rsidRDefault="00E3473F" w:rsidP="00E3473F">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CA: AFRICAN AMERICAN FF FIRED - MEDICAL INFO IN HIS PERSONNEL FILE ON PUBLIC LINK - LAWSUIT PROCEED </w:t>
      </w:r>
    </w:p>
    <w:p w14:paraId="64F1B313" w14:textId="77777777" w:rsidR="00E3473F" w:rsidRDefault="00E3473F" w:rsidP="00E3473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On March 17, 2022, in </w:t>
      </w:r>
      <w:r w:rsidRPr="00A07E45">
        <w:rPr>
          <w:rFonts w:ascii="Times New Roman" w:eastAsia="Times New Roman" w:hAnsi="Times New Roman"/>
          <w:sz w:val="24"/>
          <w:szCs w:val="24"/>
          <w:u w:val="single"/>
        </w:rPr>
        <w:t>Vernon Franklin v. City of Kingsburg, et al</w:t>
      </w:r>
      <w:r>
        <w:rPr>
          <w:rFonts w:ascii="Times New Roman" w:eastAsia="Times New Roman" w:hAnsi="Times New Roman"/>
          <w:sz w:val="24"/>
          <w:szCs w:val="24"/>
        </w:rPr>
        <w:t xml:space="preserve">., U.S. District Court Judge Anthony W. Ishii, U.S. District Court for Eastern District of California, in a lawsuit a firefighter / medic alleging his was fired because of his race (African American), denied in part defense motion for summary judgment, holding that his claim of “invasion of privacy” will not be dismissed, since disclosure of the firefighter’s psychiatric and other medical records in his personnel file alleges a viable cause of action under CA law.  His claim of “retaliation” will also not be dismissed. </w:t>
      </w:r>
      <w:hyperlink r:id="rId1513" w:history="1">
        <w:r w:rsidRPr="008956D3">
          <w:rPr>
            <w:rStyle w:val="Hyperlink"/>
            <w:rFonts w:ascii="Times New Roman" w:eastAsia="Times New Roman" w:hAnsi="Times New Roman"/>
            <w:sz w:val="24"/>
            <w:szCs w:val="24"/>
          </w:rPr>
          <w:t>https://law.justia.com/cases/federal/district-courts/california/caedce/1:2018cv00824/337796/49/</w:t>
        </w:r>
      </w:hyperlink>
      <w:r>
        <w:rPr>
          <w:rFonts w:ascii="Times New Roman" w:eastAsia="Times New Roman" w:hAnsi="Times New Roman"/>
          <w:sz w:val="24"/>
          <w:szCs w:val="24"/>
        </w:rPr>
        <w:t xml:space="preserve"> </w:t>
      </w:r>
      <w:r w:rsidRPr="00A07E45">
        <w:rPr>
          <w:rFonts w:ascii="Times New Roman" w:eastAsia="Times New Roman" w:hAnsi="Times New Roman"/>
          <w:sz w:val="24"/>
          <w:szCs w:val="24"/>
        </w:rPr>
        <w:t>       </w:t>
      </w:r>
    </w:p>
    <w:p w14:paraId="276FD9D0" w14:textId="77777777" w:rsidR="00E3473F" w:rsidRPr="00A07E45" w:rsidRDefault="00E3473F" w:rsidP="00E3473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A07E45">
        <w:rPr>
          <w:rFonts w:ascii="Times New Roman" w:eastAsia="Times New Roman" w:hAnsi="Times New Roman"/>
          <w:sz w:val="24"/>
          <w:szCs w:val="24"/>
        </w:rPr>
        <w:t xml:space="preserve">Additionally, Franklin argues that release of his medical information is a violation of the California Confidentiality of Medical Information Act. Doc. 45, 18:14-21. That law states in relevant part: </w:t>
      </w:r>
    </w:p>
    <w:p w14:paraId="0903C859" w14:textId="77777777" w:rsidR="00E3473F" w:rsidRPr="00A07E45" w:rsidRDefault="00E3473F" w:rsidP="00E3473F">
      <w:pPr>
        <w:spacing w:after="100" w:line="240" w:lineRule="auto"/>
        <w:ind w:left="1440"/>
        <w:rPr>
          <w:rFonts w:ascii="Times New Roman" w:eastAsia="Times New Roman" w:hAnsi="Times New Roman"/>
          <w:sz w:val="24"/>
          <w:szCs w:val="24"/>
        </w:rPr>
      </w:pPr>
      <w:r w:rsidRPr="00A07E45">
        <w:rPr>
          <w:rFonts w:ascii="Times New Roman" w:eastAsia="Times New Roman" w:hAnsi="Times New Roman"/>
          <w:sz w:val="24"/>
          <w:szCs w:val="24"/>
        </w:rPr>
        <w:t xml:space="preserve">No employer shall use, disclose, or knowingly permit its employees or agents to use or disclose medical information which the employer possesses pertaining to its employees without the patient </w:t>
      </w:r>
      <w:proofErr w:type="gramStart"/>
      <w:r w:rsidRPr="00A07E45">
        <w:rPr>
          <w:rFonts w:ascii="Times New Roman" w:eastAsia="Times New Roman" w:hAnsi="Times New Roman"/>
          <w:sz w:val="24"/>
          <w:szCs w:val="24"/>
        </w:rPr>
        <w:t>having first</w:t>
      </w:r>
      <w:proofErr w:type="gramEnd"/>
      <w:r w:rsidRPr="00A07E45">
        <w:rPr>
          <w:rFonts w:ascii="Times New Roman" w:eastAsia="Times New Roman" w:hAnsi="Times New Roman"/>
          <w:sz w:val="24"/>
          <w:szCs w:val="24"/>
        </w:rPr>
        <w:t xml:space="preserve"> signed an authorization under Section 56.11 or Section 56.21 permitting such use or disclosure, except as follows: </w:t>
      </w:r>
    </w:p>
    <w:p w14:paraId="7129B241" w14:textId="77777777" w:rsidR="00E3473F" w:rsidRPr="00A07E45" w:rsidRDefault="00E3473F" w:rsidP="00E3473F">
      <w:pPr>
        <w:spacing w:after="100" w:line="240" w:lineRule="auto"/>
        <w:ind w:left="1440"/>
        <w:rPr>
          <w:rFonts w:ascii="Times New Roman" w:eastAsia="Times New Roman" w:hAnsi="Times New Roman"/>
          <w:sz w:val="24"/>
          <w:szCs w:val="24"/>
        </w:rPr>
      </w:pPr>
      <w:r w:rsidRPr="00A07E45">
        <w:rPr>
          <w:rFonts w:ascii="Times New Roman" w:eastAsia="Times New Roman" w:hAnsi="Times New Roman"/>
          <w:sz w:val="24"/>
          <w:szCs w:val="24"/>
        </w:rPr>
        <w:t xml:space="preserve">(1) The information may be disclosed if the disclosure is compelled by judicial or administrative process or by any other specific provision of law. </w:t>
      </w:r>
    </w:p>
    <w:p w14:paraId="67A86318" w14:textId="77777777" w:rsidR="00E3473F" w:rsidRPr="00A07E45" w:rsidRDefault="00E3473F" w:rsidP="00E3473F">
      <w:pPr>
        <w:spacing w:after="100" w:line="240" w:lineRule="auto"/>
        <w:ind w:left="1440"/>
        <w:rPr>
          <w:rFonts w:ascii="Times New Roman" w:eastAsia="Times New Roman" w:hAnsi="Times New Roman"/>
          <w:sz w:val="24"/>
          <w:szCs w:val="24"/>
        </w:rPr>
      </w:pPr>
      <w:r w:rsidRPr="00A07E45">
        <w:rPr>
          <w:rFonts w:ascii="Times New Roman" w:eastAsia="Times New Roman" w:hAnsi="Times New Roman"/>
          <w:sz w:val="24"/>
          <w:szCs w:val="24"/>
        </w:rPr>
        <w:t xml:space="preserve">(2) That part of the information which is relevant in a lawsuit, arbitration, grievance, or other claim or challenge to which the employer and employee are parties and in which the patient has placed in issue his or her medical history, mental or physical condition, or treatment may be used or disclosed in connection with that proceeding. </w:t>
      </w:r>
    </w:p>
    <w:p w14:paraId="41EE76BF" w14:textId="77777777" w:rsidR="00E3473F" w:rsidRDefault="00E3473F" w:rsidP="00E3473F">
      <w:pPr>
        <w:spacing w:before="100" w:beforeAutospacing="1" w:after="100" w:afterAutospacing="1" w:line="240" w:lineRule="auto"/>
        <w:ind w:left="720"/>
        <w:rPr>
          <w:rFonts w:ascii="Times New Roman" w:eastAsia="Times New Roman" w:hAnsi="Times New Roman"/>
          <w:sz w:val="24"/>
          <w:szCs w:val="24"/>
        </w:rPr>
      </w:pPr>
      <w:r w:rsidRPr="00A07E45">
        <w:rPr>
          <w:rFonts w:ascii="Times New Roman" w:eastAsia="Times New Roman" w:hAnsi="Times New Roman"/>
          <w:sz w:val="24"/>
          <w:szCs w:val="24"/>
        </w:rPr>
        <w:t xml:space="preserve">Cal. Civ. Code § 56.20(c). Monetary damages are available for violations of Section 56.20. Cal. Civ. Code § 56.35. This law also appears to apply to public entities. See </w:t>
      </w:r>
      <w:r w:rsidRPr="00A07E45">
        <w:rPr>
          <w:rFonts w:ascii="Times New Roman" w:eastAsia="Times New Roman" w:hAnsi="Times New Roman"/>
          <w:i/>
          <w:iCs/>
          <w:sz w:val="24"/>
          <w:szCs w:val="24"/>
        </w:rPr>
        <w:t>Loder v. City of Glendale</w:t>
      </w:r>
      <w:r w:rsidRPr="00A07E45">
        <w:rPr>
          <w:rFonts w:ascii="Times New Roman" w:eastAsia="Times New Roman" w:hAnsi="Times New Roman"/>
          <w:sz w:val="24"/>
          <w:szCs w:val="24"/>
        </w:rPr>
        <w:t>, 14 Cal.4th 846, 859-62 (Cal. 1997) (analyzed the claim without directly addressing whether suit could be brought against public entity City of Glendale).</w:t>
      </w:r>
      <w:r>
        <w:rPr>
          <w:rFonts w:ascii="Times New Roman" w:eastAsia="Times New Roman" w:hAnsi="Times New Roman"/>
          <w:sz w:val="24"/>
          <w:szCs w:val="24"/>
        </w:rPr>
        <w:t xml:space="preserve">” </w:t>
      </w:r>
      <w:hyperlink r:id="rId1514" w:history="1">
        <w:r w:rsidRPr="008956D3">
          <w:rPr>
            <w:rStyle w:val="Hyperlink"/>
            <w:rFonts w:ascii="Times New Roman" w:eastAsia="Times New Roman" w:hAnsi="Times New Roman"/>
            <w:sz w:val="24"/>
            <w:szCs w:val="24"/>
          </w:rPr>
          <w:t>https://law.justia.com/cases/federal/district-courts/california/caedce/1:2018cv00824/337796/49/</w:t>
        </w:r>
      </w:hyperlink>
      <w:r>
        <w:rPr>
          <w:rFonts w:ascii="Times New Roman" w:eastAsia="Times New Roman" w:hAnsi="Times New Roman"/>
          <w:sz w:val="24"/>
          <w:szCs w:val="24"/>
        </w:rPr>
        <w:t xml:space="preserve"> </w:t>
      </w:r>
      <w:r w:rsidRPr="00A07E45">
        <w:rPr>
          <w:rFonts w:ascii="Times New Roman" w:eastAsia="Times New Roman" w:hAnsi="Times New Roman"/>
          <w:sz w:val="24"/>
          <w:szCs w:val="24"/>
        </w:rPr>
        <w:t>       </w:t>
      </w:r>
    </w:p>
    <w:p w14:paraId="2C6925B2" w14:textId="77777777" w:rsidR="00E3473F" w:rsidRPr="000D5242" w:rsidRDefault="00E3473F" w:rsidP="00E3473F">
      <w:pPr>
        <w:spacing w:before="100" w:beforeAutospacing="1" w:after="100" w:afterAutospacing="1" w:line="240" w:lineRule="auto"/>
        <w:rPr>
          <w:rFonts w:ascii="Times New Roman" w:eastAsia="Times New Roman" w:hAnsi="Times New Roman"/>
          <w:b/>
          <w:bCs/>
          <w:sz w:val="24"/>
          <w:szCs w:val="24"/>
        </w:rPr>
      </w:pPr>
      <w:r w:rsidRPr="000D5242">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While in many states a firefighter’s personnel records are “public records,” personnel files should not include confidential medical documents. </w:t>
      </w:r>
    </w:p>
    <w:p w14:paraId="14E33A5F" w14:textId="77777777" w:rsidR="00E3473F" w:rsidRDefault="00E3473F" w:rsidP="00BC70A3">
      <w:pPr>
        <w:rPr>
          <w:rFonts w:ascii="Arial Black" w:hAnsi="Arial Black"/>
          <w:b/>
          <w:sz w:val="24"/>
          <w:szCs w:val="24"/>
        </w:rPr>
      </w:pPr>
    </w:p>
    <w:p w14:paraId="28A7D0FA" w14:textId="77777777" w:rsidR="00E3473F" w:rsidRDefault="00E3473F" w:rsidP="00BC70A3">
      <w:pPr>
        <w:rPr>
          <w:rFonts w:ascii="Arial Black" w:hAnsi="Arial Black"/>
          <w:b/>
          <w:sz w:val="24"/>
          <w:szCs w:val="24"/>
        </w:rPr>
      </w:pPr>
    </w:p>
    <w:p w14:paraId="04D168CE" w14:textId="157445D6" w:rsidR="005644A4" w:rsidRDefault="005644A4" w:rsidP="00BC70A3">
      <w:pPr>
        <w:rPr>
          <w:rFonts w:ascii="Arial Black" w:hAnsi="Arial Black"/>
          <w:b/>
          <w:sz w:val="24"/>
          <w:szCs w:val="24"/>
        </w:rPr>
      </w:pPr>
      <w:r>
        <w:rPr>
          <w:rFonts w:ascii="Arial Black" w:hAnsi="Arial Black"/>
          <w:b/>
          <w:sz w:val="24"/>
          <w:szCs w:val="24"/>
        </w:rPr>
        <w:t>8-3</w:t>
      </w:r>
      <w:r w:rsidR="009A3D9F">
        <w:rPr>
          <w:rFonts w:ascii="Arial Black" w:hAnsi="Arial Black"/>
          <w:b/>
          <w:sz w:val="24"/>
          <w:szCs w:val="24"/>
        </w:rPr>
        <w:t>6</w:t>
      </w:r>
    </w:p>
    <w:p w14:paraId="3303CF62" w14:textId="77777777" w:rsidR="005644A4" w:rsidRDefault="005644A4" w:rsidP="005644A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KY: REVERSE DISCRIM. NOT PROVED - WHITE POLICE MAJOR DEMOTED LT. – USED “N” WORD IN RECRUIT CLASS</w:t>
      </w:r>
    </w:p>
    <w:p w14:paraId="3437A6B6" w14:textId="77777777" w:rsidR="005644A4" w:rsidRPr="0037054D" w:rsidRDefault="005644A4" w:rsidP="005644A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29, 2021, in </w:t>
      </w:r>
      <w:r w:rsidRPr="0037054D">
        <w:rPr>
          <w:rFonts w:ascii="Times New Roman" w:eastAsia="Times New Roman" w:hAnsi="Times New Roman"/>
          <w:sz w:val="24"/>
          <w:szCs w:val="24"/>
          <w:u w:val="single"/>
        </w:rPr>
        <w:t>Aubrey E. Gregory, Jr. v. Louisville / Jefferson County Metro Government</w:t>
      </w:r>
      <w:r>
        <w:rPr>
          <w:rFonts w:ascii="Times New Roman" w:eastAsia="Times New Roman" w:hAnsi="Times New Roman"/>
          <w:sz w:val="24"/>
          <w:szCs w:val="24"/>
        </w:rPr>
        <w:t xml:space="preserve">, U.S. District Court Judge Claria Horn Boom granted the City’s motion to dismiss; Major Gregory (Caucasia) was Director of the Training Academy for the Louisville Metro Police Department, and during a classroom discussion on cultural diversity with Recruit Class 48 on May 20, 2021, he and African-American retired firefighter, and black man from Africa, discussed use of the “N” word.  The next day, Police </w:t>
      </w:r>
      <w:r w:rsidRPr="00B52A46">
        <w:rPr>
          <w:rFonts w:ascii="Times New Roman" w:eastAsia="Times New Roman" w:hAnsi="Times New Roman"/>
          <w:sz w:val="24"/>
          <w:szCs w:val="24"/>
        </w:rPr>
        <w:t>Chief</w:t>
      </w:r>
      <w:r w:rsidRPr="00B52A46">
        <w:rPr>
          <w:rFonts w:ascii="Times New Roman" w:hAnsi="Times New Roman"/>
          <w:sz w:val="24"/>
          <w:szCs w:val="24"/>
        </w:rPr>
        <w:t xml:space="preserve"> Erika </w:t>
      </w:r>
      <w:proofErr w:type="gramStart"/>
      <w:r w:rsidRPr="00B52A46">
        <w:rPr>
          <w:rFonts w:ascii="Times New Roman" w:hAnsi="Times New Roman"/>
          <w:sz w:val="24"/>
          <w:szCs w:val="24"/>
        </w:rPr>
        <w:t>Shields,</w:t>
      </w:r>
      <w:proofErr w:type="gramEnd"/>
      <w:r>
        <w:rPr>
          <w:rFonts w:ascii="Times New Roman" w:hAnsi="Times New Roman"/>
          <w:sz w:val="24"/>
          <w:szCs w:val="24"/>
        </w:rPr>
        <w:t xml:space="preserve"> called him and suspended him. </w:t>
      </w:r>
      <w:r>
        <w:rPr>
          <w:rFonts w:ascii="Times New Roman" w:eastAsia="Times New Roman" w:hAnsi="Times New Roman"/>
          <w:sz w:val="24"/>
          <w:szCs w:val="24"/>
        </w:rPr>
        <w:t xml:space="preserve">On June 4, after </w:t>
      </w:r>
      <w:proofErr w:type="gramStart"/>
      <w:r>
        <w:rPr>
          <w:rFonts w:ascii="Times New Roman" w:eastAsia="Times New Roman" w:hAnsi="Times New Roman"/>
          <w:sz w:val="24"/>
          <w:szCs w:val="24"/>
        </w:rPr>
        <w:t>interview</w:t>
      </w:r>
      <w:proofErr w:type="gramEnd"/>
      <w:r>
        <w:rPr>
          <w:rFonts w:ascii="Times New Roman" w:eastAsia="Times New Roman" w:hAnsi="Times New Roman"/>
          <w:sz w:val="24"/>
          <w:szCs w:val="24"/>
        </w:rPr>
        <w:t xml:space="preserve"> with County HR and another with Police Chief, he was demoted to Lieutenant (and retired Aug. 1, 2021).  The Judge held that plaintiff “</w:t>
      </w:r>
      <w:r w:rsidRPr="0037054D">
        <w:rPr>
          <w:rFonts w:ascii="Times New Roman" w:hAnsi="Times New Roman"/>
          <w:sz w:val="24"/>
          <w:szCs w:val="24"/>
        </w:rPr>
        <w:t xml:space="preserve">utterly fails to allege any facts that even hint at Defendants being </w:t>
      </w:r>
      <w:r>
        <w:rPr>
          <w:rFonts w:ascii="Times New Roman" w:hAnsi="Times New Roman"/>
          <w:sz w:val="24"/>
          <w:szCs w:val="24"/>
        </w:rPr>
        <w:t>‘</w:t>
      </w:r>
      <w:r w:rsidRPr="0037054D">
        <w:rPr>
          <w:rFonts w:ascii="Times New Roman" w:hAnsi="Times New Roman"/>
          <w:sz w:val="24"/>
          <w:szCs w:val="24"/>
        </w:rPr>
        <w:t>that unusual employer who discriminates against the majority</w:t>
      </w:r>
      <w:r>
        <w:rPr>
          <w:rFonts w:ascii="Times New Roman" w:hAnsi="Times New Roman"/>
          <w:sz w:val="24"/>
          <w:szCs w:val="24"/>
        </w:rPr>
        <w:t>.’”</w:t>
      </w:r>
    </w:p>
    <w:p w14:paraId="4BA6D258" w14:textId="5603723A" w:rsidR="005644A4" w:rsidRDefault="005644A4" w:rsidP="005644A4">
      <w:pPr>
        <w:ind w:left="720"/>
        <w:rPr>
          <w:rFonts w:ascii="Arial Black" w:hAnsi="Arial Black"/>
          <w:b/>
          <w:sz w:val="24"/>
          <w:szCs w:val="24"/>
        </w:rPr>
      </w:pPr>
      <w:r>
        <w:rPr>
          <w:rFonts w:ascii="Times New Roman" w:hAnsi="Times New Roman"/>
          <w:sz w:val="24"/>
          <w:szCs w:val="24"/>
        </w:rPr>
        <w:lastRenderedPageBreak/>
        <w:t>“</w:t>
      </w:r>
      <w:r w:rsidRPr="0037054D">
        <w:rPr>
          <w:rFonts w:ascii="Times New Roman" w:hAnsi="Times New Roman"/>
          <w:sz w:val="24"/>
          <w:szCs w:val="24"/>
        </w:rPr>
        <w:t>The only two individuals mentioned in the Complaint are the two African American men also involved in the May 19, 2021, incident. While Gregory alleges he and the two African American individuals engaged in the same conduct (i.e., used the same racial epithet in a LMPD classroom setting), he wholly fails to allege how these individuals are similarly situated in any other relevant respect. The Complaint contains no factual allegations that both Gregory and the African American individuals dealt with the same supervisor, were subject to the same standards, or had similar job responsibilities.</w:t>
      </w:r>
      <w:r>
        <w:rPr>
          <w:rFonts w:ascii="Times New Roman" w:hAnsi="Times New Roman"/>
          <w:sz w:val="24"/>
          <w:szCs w:val="24"/>
        </w:rPr>
        <w:t xml:space="preserve">” </w:t>
      </w:r>
      <w:hyperlink r:id="rId1515" w:history="1">
        <w:r w:rsidRPr="00EC5853">
          <w:rPr>
            <w:rStyle w:val="Hyperlink"/>
            <w:rFonts w:ascii="Times New Roman" w:hAnsi="Times New Roman"/>
            <w:sz w:val="24"/>
            <w:szCs w:val="24"/>
          </w:rPr>
          <w:t>https://public.fastcase.com/9SKwsfNqTc6OieYDhNMyM%2FTSgbZsxamnZMkEnGgxxe%2FrqLPFRApIhr2w3nhFxBI%2F%2BQAM0CcvCjVB30L3LI5a7qA0dv8E2KAwnqlsNAe5EaM%3D</w:t>
        </w:r>
      </w:hyperlink>
    </w:p>
    <w:p w14:paraId="1393927E" w14:textId="77777777" w:rsidR="005644A4" w:rsidRPr="00521C71" w:rsidRDefault="005644A4" w:rsidP="005644A4">
      <w:pPr>
        <w:spacing w:before="100" w:beforeAutospacing="1" w:after="100" w:afterAutospacing="1" w:line="240" w:lineRule="auto"/>
        <w:rPr>
          <w:rFonts w:ascii="Times New Roman" w:eastAsia="Times New Roman" w:hAnsi="Times New Roman"/>
          <w:b/>
          <w:bCs/>
          <w:sz w:val="24"/>
          <w:szCs w:val="24"/>
        </w:rPr>
      </w:pPr>
      <w:r w:rsidRPr="00521C71">
        <w:rPr>
          <w:rFonts w:ascii="Times New Roman" w:hAnsi="Times New Roman"/>
          <w:b/>
          <w:bCs/>
          <w:sz w:val="24"/>
          <w:szCs w:val="24"/>
        </w:rPr>
        <w:t>Legal Lesson Learned:</w:t>
      </w:r>
      <w:r>
        <w:rPr>
          <w:rFonts w:ascii="Times New Roman" w:hAnsi="Times New Roman"/>
          <w:b/>
          <w:bCs/>
          <w:sz w:val="24"/>
          <w:szCs w:val="24"/>
        </w:rPr>
        <w:t xml:space="preserve"> Even when conducting cultural sensitivity training, avoid the use of the “N word” and other highly sensitive terms. </w:t>
      </w:r>
    </w:p>
    <w:p w14:paraId="6DFC0783" w14:textId="77777777" w:rsidR="005644A4" w:rsidRDefault="005644A4" w:rsidP="00BC70A3">
      <w:pPr>
        <w:rPr>
          <w:rFonts w:ascii="Arial Black" w:hAnsi="Arial Black"/>
          <w:b/>
          <w:sz w:val="24"/>
          <w:szCs w:val="24"/>
        </w:rPr>
      </w:pPr>
    </w:p>
    <w:p w14:paraId="3C72FCB0" w14:textId="16A203DA" w:rsidR="00C67B2A" w:rsidRDefault="00C67B2A" w:rsidP="00BC70A3">
      <w:pPr>
        <w:rPr>
          <w:rFonts w:ascii="Arial Black" w:hAnsi="Arial Black"/>
          <w:b/>
          <w:sz w:val="24"/>
          <w:szCs w:val="24"/>
        </w:rPr>
      </w:pPr>
      <w:r>
        <w:rPr>
          <w:rFonts w:ascii="Arial Black" w:hAnsi="Arial Black"/>
          <w:b/>
          <w:sz w:val="24"/>
          <w:szCs w:val="24"/>
        </w:rPr>
        <w:t>8-3</w:t>
      </w:r>
      <w:r w:rsidR="009A3D9F">
        <w:rPr>
          <w:rFonts w:ascii="Arial Black" w:hAnsi="Arial Black"/>
          <w:b/>
          <w:sz w:val="24"/>
          <w:szCs w:val="24"/>
        </w:rPr>
        <w:t>5</w:t>
      </w:r>
    </w:p>
    <w:p w14:paraId="594B487B" w14:textId="77777777" w:rsidR="00C67B2A" w:rsidRPr="000F4113" w:rsidRDefault="00C67B2A" w:rsidP="00C67B2A">
      <w:pPr>
        <w:pStyle w:val="Heading1"/>
        <w:rPr>
          <w:rFonts w:ascii="Arial Black" w:hAnsi="Arial Black"/>
          <w:b w:val="0"/>
          <w:bCs w:val="0"/>
          <w:sz w:val="28"/>
          <w:szCs w:val="28"/>
        </w:rPr>
      </w:pPr>
      <w:r>
        <w:rPr>
          <w:rFonts w:ascii="Arial Black" w:hAnsi="Arial Black"/>
          <w:b w:val="0"/>
          <w:bCs w:val="0"/>
          <w:sz w:val="28"/>
          <w:szCs w:val="28"/>
        </w:rPr>
        <w:t>NY: FDNY - HISPANIC “PRIORITY HIRE” – INJURED AT ACADEMY, 2 LIGHT DUTIES – FIRED FOR MEDICAL REASONS</w:t>
      </w:r>
    </w:p>
    <w:p w14:paraId="38288F65" w14:textId="77777777" w:rsidR="00C67B2A" w:rsidRDefault="00C67B2A" w:rsidP="00C67B2A">
      <w:pPr>
        <w:pStyle w:val="Heading1"/>
        <w:rPr>
          <w:b w:val="0"/>
          <w:bCs w:val="0"/>
          <w:sz w:val="24"/>
          <w:szCs w:val="24"/>
        </w:rPr>
      </w:pPr>
      <w:r>
        <w:rPr>
          <w:b w:val="0"/>
          <w:bCs w:val="0"/>
          <w:sz w:val="24"/>
          <w:szCs w:val="24"/>
        </w:rPr>
        <w:t xml:space="preserve">On Oct. 20, 2021, in </w:t>
      </w:r>
      <w:r w:rsidRPr="000F4113">
        <w:rPr>
          <w:b w:val="0"/>
          <w:bCs w:val="0"/>
          <w:sz w:val="24"/>
          <w:szCs w:val="24"/>
          <w:u w:val="single"/>
        </w:rPr>
        <w:t>Xavier Lopez v. City of New York</w:t>
      </w:r>
      <w:r>
        <w:rPr>
          <w:b w:val="0"/>
          <w:bCs w:val="0"/>
          <w:sz w:val="24"/>
          <w:szCs w:val="24"/>
        </w:rPr>
        <w:t xml:space="preserve">, U.S. District Judge Nina Gershon granted the City’s motion for summary judgment.  Plaintiff was a “priority hire” on Jan. 27, </w:t>
      </w:r>
      <w:proofErr w:type="gramStart"/>
      <w:r>
        <w:rPr>
          <w:b w:val="0"/>
          <w:bCs w:val="0"/>
          <w:sz w:val="24"/>
          <w:szCs w:val="24"/>
        </w:rPr>
        <w:t>2014</w:t>
      </w:r>
      <w:proofErr w:type="gramEnd"/>
      <w:r>
        <w:rPr>
          <w:b w:val="0"/>
          <w:bCs w:val="0"/>
          <w:sz w:val="24"/>
          <w:szCs w:val="24"/>
        </w:rPr>
        <w:t xml:space="preserve"> as part of the Vulcan Society [</w:t>
      </w:r>
      <w:proofErr w:type="gramStart"/>
      <w:r>
        <w:rPr>
          <w:b w:val="0"/>
          <w:bCs w:val="0"/>
          <w:sz w:val="24"/>
          <w:szCs w:val="24"/>
        </w:rPr>
        <w:t>African-American</w:t>
      </w:r>
      <w:proofErr w:type="gramEnd"/>
      <w:r>
        <w:rPr>
          <w:b w:val="0"/>
          <w:bCs w:val="0"/>
          <w:sz w:val="24"/>
          <w:szCs w:val="24"/>
        </w:rPr>
        <w:t xml:space="preserve"> firefighters] settlement; during his second week, he injured his ankle while jogging; after light duty, he returned to Fire Academy on July 7, 2014, and in August injured his left knee.  He returned to Academy on Aug. 28, 2014, and then re-injured his left knee and toe and was again placed on light duty.  He was terminated on Jan. 14, </w:t>
      </w:r>
      <w:proofErr w:type="gramStart"/>
      <w:r>
        <w:rPr>
          <w:b w:val="0"/>
          <w:bCs w:val="0"/>
          <w:sz w:val="24"/>
          <w:szCs w:val="24"/>
        </w:rPr>
        <w:t>2015</w:t>
      </w:r>
      <w:proofErr w:type="gramEnd"/>
      <w:r>
        <w:rPr>
          <w:b w:val="0"/>
          <w:bCs w:val="0"/>
          <w:sz w:val="24"/>
          <w:szCs w:val="24"/>
        </w:rPr>
        <w:t xml:space="preserve"> after numerous medical reviews.</w:t>
      </w:r>
    </w:p>
    <w:p w14:paraId="0711E113" w14:textId="77777777" w:rsidR="00C67B2A" w:rsidRDefault="00C67B2A" w:rsidP="00C67B2A">
      <w:pPr>
        <w:pStyle w:val="Heading1"/>
        <w:ind w:left="720"/>
        <w:rPr>
          <w:b w:val="0"/>
          <w:bCs w:val="0"/>
          <w:sz w:val="24"/>
          <w:szCs w:val="24"/>
        </w:rPr>
      </w:pPr>
      <w:r>
        <w:rPr>
          <w:b w:val="0"/>
          <w:bCs w:val="0"/>
          <w:sz w:val="24"/>
          <w:szCs w:val="24"/>
        </w:rPr>
        <w:t>“</w:t>
      </w:r>
      <w:r w:rsidRPr="00DA27A9">
        <w:rPr>
          <w:b w:val="0"/>
          <w:bCs w:val="0"/>
          <w:sz w:val="24"/>
          <w:szCs w:val="24"/>
        </w:rPr>
        <w:t xml:space="preserve">Defendant's position is that plaintiff was terminated based on his inability to return to a third firefighter academy </w:t>
      </w:r>
      <w:proofErr w:type="gramStart"/>
      <w:r w:rsidRPr="00DA27A9">
        <w:rPr>
          <w:b w:val="0"/>
          <w:bCs w:val="0"/>
          <w:sz w:val="24"/>
          <w:szCs w:val="24"/>
        </w:rPr>
        <w:t>as a result of</w:t>
      </w:r>
      <w:proofErr w:type="gramEnd"/>
      <w:r w:rsidRPr="00DA27A9">
        <w:rPr>
          <w:b w:val="0"/>
          <w:bCs w:val="0"/>
          <w:sz w:val="24"/>
          <w:szCs w:val="24"/>
        </w:rPr>
        <w:t xml:space="preserve"> his subjective complaints of pain, which were unsupported by medical evidence. Specifically, according to Dr. Kelly, plaintiff was</w:t>
      </w:r>
      <w:r>
        <w:rPr>
          <w:b w:val="0"/>
          <w:bCs w:val="0"/>
          <w:sz w:val="24"/>
          <w:szCs w:val="24"/>
        </w:rPr>
        <w:t xml:space="preserve"> </w:t>
      </w:r>
      <w:r w:rsidRPr="00DA27A9">
        <w:rPr>
          <w:b w:val="0"/>
          <w:bCs w:val="0"/>
          <w:sz w:val="24"/>
          <w:szCs w:val="24"/>
        </w:rPr>
        <w:t>not capable of working as a firefighter based on his continued symptomology, in light of, essentially, a negative work up, an opportunity to [complete] physical therapy, [plaintiff's] failure to pursue outside orthopedic consultations when [BHS] gave him the authorization, and his evaluation by [BHS] medical team, who saw no physical disability [despite his] persistent subjective complaints</w:t>
      </w:r>
      <w:r>
        <w:rPr>
          <w:b w:val="0"/>
          <w:bCs w:val="0"/>
          <w:sz w:val="24"/>
          <w:szCs w:val="24"/>
        </w:rPr>
        <w:t xml:space="preserve">…. </w:t>
      </w:r>
      <w:r w:rsidRPr="000F4113">
        <w:rPr>
          <w:b w:val="0"/>
          <w:bCs w:val="0"/>
          <w:sz w:val="24"/>
          <w:szCs w:val="24"/>
        </w:rPr>
        <w:t>Defendant has presented evidence that plaintiff's inability to return to a third firefighter academy based on subjective complaints of pain, unsupported by medical evidence, supplied a legitimate non-discriminatory reason for his termination</w:t>
      </w:r>
      <w:r>
        <w:rPr>
          <w:b w:val="0"/>
          <w:bCs w:val="0"/>
          <w:sz w:val="24"/>
          <w:szCs w:val="24"/>
        </w:rPr>
        <w:t>.</w:t>
      </w:r>
    </w:p>
    <w:p w14:paraId="53F43F09" w14:textId="77777777" w:rsidR="00C67B2A" w:rsidRDefault="00C67B2A" w:rsidP="00C67B2A">
      <w:pPr>
        <w:pStyle w:val="Heading1"/>
        <w:ind w:left="720"/>
        <w:rPr>
          <w:b w:val="0"/>
          <w:bCs w:val="0"/>
          <w:sz w:val="24"/>
          <w:szCs w:val="24"/>
        </w:rPr>
      </w:pPr>
      <w:r>
        <w:rPr>
          <w:b w:val="0"/>
          <w:bCs w:val="0"/>
          <w:sz w:val="24"/>
          <w:szCs w:val="24"/>
        </w:rPr>
        <w:t>***</w:t>
      </w:r>
    </w:p>
    <w:p w14:paraId="5C2331C1" w14:textId="77777777" w:rsidR="00C67B2A" w:rsidRPr="000F4113" w:rsidRDefault="00C67B2A" w:rsidP="00C67B2A">
      <w:pPr>
        <w:pStyle w:val="Heading1"/>
        <w:ind w:left="720"/>
        <w:rPr>
          <w:b w:val="0"/>
          <w:bCs w:val="0"/>
          <w:sz w:val="24"/>
          <w:szCs w:val="24"/>
        </w:rPr>
      </w:pPr>
      <w:r w:rsidRPr="000F4113">
        <w:rPr>
          <w:b w:val="0"/>
          <w:bCs w:val="0"/>
          <w:sz w:val="24"/>
          <w:szCs w:val="24"/>
        </w:rPr>
        <w:t>In support of his theory that he was treated differently because of his race or national origin, plaintiff points to six other firefighters who were given more than two opportunities to complete the fire academy. But, of the six, four were priority hires like plaintiff, one was a Hispanic man like plaintiff, and plaintiff has not presented any evidence indicating that the injuries or situations of the two white firefighters who were given three opportunities were comparable to his.</w:t>
      </w:r>
      <w:r>
        <w:rPr>
          <w:b w:val="0"/>
          <w:bCs w:val="0"/>
          <w:sz w:val="24"/>
          <w:szCs w:val="24"/>
        </w:rPr>
        <w:t xml:space="preserve">” </w:t>
      </w:r>
      <w:hyperlink r:id="rId1516" w:history="1">
        <w:r w:rsidRPr="00764F47">
          <w:rPr>
            <w:rStyle w:val="Hyperlink"/>
            <w:sz w:val="24"/>
            <w:szCs w:val="24"/>
          </w:rPr>
          <w:t>https://public.fastcase.com/9SKwsfNqTc6OieYDhNMyMxPWhQYM2NMtpEG66qqzAJJdyGEqs31WbWeslV8WX8U%2F%2BJtRUyjyQVulPfpekvhmAP57MQmPUZf7QhfjsZd5wHk%3D</w:t>
        </w:r>
      </w:hyperlink>
      <w:r>
        <w:rPr>
          <w:b w:val="0"/>
          <w:bCs w:val="0"/>
          <w:sz w:val="24"/>
          <w:szCs w:val="24"/>
        </w:rPr>
        <w:t xml:space="preserve"> </w:t>
      </w:r>
    </w:p>
    <w:p w14:paraId="76350EB7" w14:textId="77777777" w:rsidR="00C67B2A" w:rsidRPr="00574B79" w:rsidRDefault="00C67B2A" w:rsidP="00C67B2A">
      <w:pPr>
        <w:spacing w:before="100" w:beforeAutospacing="1" w:after="100" w:afterAutospacing="1" w:line="240" w:lineRule="auto"/>
        <w:rPr>
          <w:rFonts w:ascii="Times New Roman" w:eastAsia="Times New Roman" w:hAnsi="Times New Roman"/>
          <w:b/>
          <w:bCs/>
          <w:sz w:val="24"/>
          <w:szCs w:val="24"/>
        </w:rPr>
      </w:pPr>
      <w:r w:rsidRPr="00574B79">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Recruits must be physically capable of performing the job.  </w:t>
      </w:r>
    </w:p>
    <w:p w14:paraId="71C2CD4F" w14:textId="77777777" w:rsidR="00C67B2A" w:rsidRDefault="00C67B2A" w:rsidP="00BC70A3">
      <w:pPr>
        <w:rPr>
          <w:rFonts w:ascii="Arial Black" w:hAnsi="Arial Black"/>
          <w:b/>
          <w:sz w:val="24"/>
          <w:szCs w:val="24"/>
        </w:rPr>
      </w:pPr>
    </w:p>
    <w:p w14:paraId="28AA3B2D" w14:textId="77777777" w:rsidR="00C67B2A" w:rsidRDefault="00C67B2A" w:rsidP="00BC70A3">
      <w:pPr>
        <w:rPr>
          <w:rFonts w:ascii="Arial Black" w:hAnsi="Arial Black"/>
          <w:b/>
          <w:sz w:val="24"/>
          <w:szCs w:val="24"/>
        </w:rPr>
      </w:pPr>
    </w:p>
    <w:p w14:paraId="53933A9D" w14:textId="6205BDB3" w:rsidR="00C67B2A" w:rsidRDefault="00C67B2A" w:rsidP="00BC70A3">
      <w:pPr>
        <w:rPr>
          <w:rFonts w:ascii="Arial Black" w:hAnsi="Arial Black"/>
          <w:b/>
          <w:sz w:val="24"/>
          <w:szCs w:val="24"/>
        </w:rPr>
      </w:pPr>
      <w:r>
        <w:rPr>
          <w:rFonts w:ascii="Arial Black" w:hAnsi="Arial Black"/>
          <w:b/>
          <w:sz w:val="24"/>
          <w:szCs w:val="24"/>
        </w:rPr>
        <w:t>8-3</w:t>
      </w:r>
      <w:r w:rsidR="009A3D9F">
        <w:rPr>
          <w:rFonts w:ascii="Arial Black" w:hAnsi="Arial Black"/>
          <w:b/>
          <w:sz w:val="24"/>
          <w:szCs w:val="24"/>
        </w:rPr>
        <w:t>4</w:t>
      </w:r>
    </w:p>
    <w:p w14:paraId="27EC8F4E" w14:textId="77777777" w:rsidR="00C67B2A" w:rsidRPr="001325E8" w:rsidRDefault="00C67B2A" w:rsidP="00C67B2A">
      <w:pPr>
        <w:tabs>
          <w:tab w:val="left" w:pos="3280"/>
        </w:tabs>
        <w:spacing w:before="100" w:beforeAutospacing="1" w:after="100" w:afterAutospacing="1" w:line="240" w:lineRule="auto"/>
        <w:rPr>
          <w:rFonts w:ascii="Arial Black" w:hAnsi="Arial Black"/>
          <w:sz w:val="28"/>
          <w:szCs w:val="28"/>
        </w:rPr>
      </w:pPr>
      <w:r>
        <w:rPr>
          <w:rFonts w:ascii="Arial Black" w:hAnsi="Arial Black"/>
          <w:sz w:val="28"/>
          <w:szCs w:val="28"/>
        </w:rPr>
        <w:t>WI: POLICE CHIEF WANTED CIVILIAN TO RUN 911 – PRIOR COMMENTS ON MINORITIES – BLACK CAPT. CASE PROCEED</w:t>
      </w:r>
    </w:p>
    <w:p w14:paraId="39427562" w14:textId="77777777" w:rsidR="00C67B2A" w:rsidRDefault="00C67B2A" w:rsidP="00C67B2A">
      <w:pPr>
        <w:tabs>
          <w:tab w:val="left" w:pos="3280"/>
        </w:tabs>
        <w:spacing w:before="100" w:beforeAutospacing="1" w:after="100" w:afterAutospacing="1" w:line="240" w:lineRule="auto"/>
        <w:rPr>
          <w:rFonts w:ascii="Times New Roman" w:hAnsi="Times New Roman"/>
          <w:sz w:val="24"/>
          <w:szCs w:val="24"/>
        </w:rPr>
      </w:pPr>
      <w:r w:rsidRPr="00CE1834">
        <w:rPr>
          <w:rFonts w:ascii="Times New Roman" w:hAnsi="Times New Roman"/>
          <w:sz w:val="24"/>
          <w:szCs w:val="24"/>
        </w:rPr>
        <w:t xml:space="preserve">On Oct. 20, 2021, </w:t>
      </w:r>
      <w:r>
        <w:rPr>
          <w:rFonts w:ascii="Times New Roman" w:hAnsi="Times New Roman"/>
          <w:sz w:val="24"/>
          <w:szCs w:val="24"/>
        </w:rPr>
        <w:t xml:space="preserve">in </w:t>
      </w:r>
      <w:r w:rsidRPr="00CE1834">
        <w:rPr>
          <w:rFonts w:ascii="Times New Roman" w:hAnsi="Times New Roman"/>
          <w:sz w:val="24"/>
          <w:szCs w:val="24"/>
          <w:u w:val="single"/>
        </w:rPr>
        <w:t>Andra Williams v. City of Milwaukee, et al.</w:t>
      </w:r>
      <w:r>
        <w:rPr>
          <w:rFonts w:ascii="Times New Roman" w:hAnsi="Times New Roman"/>
          <w:sz w:val="24"/>
          <w:szCs w:val="24"/>
        </w:rPr>
        <w:t xml:space="preserve">, U.S. District Court Judge Brett H. Ludwig, U.S. District Court for Eastern District of Wisconsin, denied the City’s motion for summary judgment, citing comments that Police Chief made to the Executive Director of the Police and Fire Commission, and to the Mayor after a “Advancement in Management” (AIM) meeting in Fall 2015 [a year prior to June 2016 panel rated applicants for Director of 911], where they were reviewing police department hiring of minorities and lesbians. </w:t>
      </w:r>
    </w:p>
    <w:p w14:paraId="459E0678" w14:textId="77777777" w:rsidR="00C67B2A" w:rsidRPr="00CE1834" w:rsidRDefault="00C67B2A" w:rsidP="00C67B2A">
      <w:pPr>
        <w:pStyle w:val="NormalWeb"/>
        <w:ind w:left="720"/>
      </w:pPr>
      <w:r>
        <w:t>“</w:t>
      </w:r>
      <w:r w:rsidRPr="00CE1834">
        <w:t xml:space="preserve">Williams relies on a web of interrelated incidents to support his allegations of discrimination, but the most important is </w:t>
      </w:r>
      <w:r>
        <w:t xml:space="preserve">[Police Chief Edward] </w:t>
      </w:r>
      <w:r w:rsidRPr="00CE1834">
        <w:t>Flynn's tirade following an Advanced in Management (AIM) meeting in the Fall of 2015</w:t>
      </w:r>
      <w:r>
        <w:t xml:space="preserve">…. </w:t>
      </w:r>
      <w:r w:rsidRPr="00CE1834">
        <w:t>Mary</w:t>
      </w:r>
      <w:r>
        <w:t xml:space="preserve"> </w:t>
      </w:r>
      <w:r w:rsidRPr="00CE1834">
        <w:t>Nell Regan (Regan), then Executive Director to the City of Milwaukee Fire and Police Commission, was present after the AIM meeting along with Mayor Tom Barrett, Barrett's chief of staff Patrick Curley, Flynn, and Flynn's chief of staff Joel Plant</w:t>
      </w:r>
      <w:r>
        <w:t xml:space="preserve">…. </w:t>
      </w:r>
      <w:r w:rsidRPr="00CE1834">
        <w:t xml:space="preserve">Regan testified: </w:t>
      </w:r>
    </w:p>
    <w:p w14:paraId="5A6B0993" w14:textId="77777777" w:rsidR="00C67B2A" w:rsidRDefault="00C67B2A" w:rsidP="00C67B2A">
      <w:pPr>
        <w:ind w:left="1440"/>
        <w:rPr>
          <w:rFonts w:ascii="Times New Roman" w:hAnsi="Times New Roman"/>
          <w:sz w:val="24"/>
          <w:szCs w:val="24"/>
        </w:rPr>
      </w:pPr>
      <w:r>
        <w:rPr>
          <w:rFonts w:ascii="Times New Roman" w:hAnsi="Times New Roman"/>
          <w:sz w:val="24"/>
          <w:szCs w:val="24"/>
        </w:rPr>
        <w:t>‘</w:t>
      </w:r>
      <w:r w:rsidRPr="00CE1834">
        <w:rPr>
          <w:rFonts w:ascii="Times New Roman" w:hAnsi="Times New Roman"/>
          <w:sz w:val="24"/>
          <w:szCs w:val="24"/>
        </w:rPr>
        <w:t>Chief Flynn got very upset, real red in the face, upset about-I think even slammed his hands down a couple times-very upset about minorities and lesbians that were coming after him. And he saw in the future that he would go down like Chief Jones, and he wasn't going to let that happen, and he was outraged because he had promoted many of those same people, and then he rattled off the list of names.</w:t>
      </w:r>
      <w:r>
        <w:rPr>
          <w:rFonts w:ascii="Times New Roman" w:hAnsi="Times New Roman"/>
          <w:sz w:val="24"/>
          <w:szCs w:val="24"/>
        </w:rPr>
        <w:t>’</w:t>
      </w:r>
      <w:r w:rsidRPr="00CE1834">
        <w:rPr>
          <w:rFonts w:ascii="Times New Roman" w:hAnsi="Times New Roman"/>
          <w:sz w:val="24"/>
          <w:szCs w:val="24"/>
        </w:rPr>
        <w:t xml:space="preserve"> </w:t>
      </w:r>
    </w:p>
    <w:p w14:paraId="575B4064" w14:textId="77777777" w:rsidR="00C67B2A" w:rsidRDefault="00C67B2A" w:rsidP="00C67B2A">
      <w:pPr>
        <w:rPr>
          <w:rFonts w:ascii="Times New Roman" w:hAnsi="Times New Roman"/>
          <w:sz w:val="24"/>
          <w:szCs w:val="24"/>
        </w:rPr>
      </w:pPr>
      <w:r>
        <w:rPr>
          <w:rFonts w:ascii="Times New Roman" w:hAnsi="Times New Roman"/>
          <w:sz w:val="24"/>
          <w:szCs w:val="24"/>
        </w:rPr>
        <w:tab/>
        <w:t>***</w:t>
      </w:r>
    </w:p>
    <w:p w14:paraId="6DD538AF" w14:textId="62C21D0F" w:rsidR="00C67B2A" w:rsidRDefault="00C67B2A" w:rsidP="00C67B2A">
      <w:pPr>
        <w:rPr>
          <w:rFonts w:ascii="Arial Black" w:hAnsi="Arial Black"/>
          <w:b/>
          <w:sz w:val="24"/>
          <w:szCs w:val="24"/>
        </w:rPr>
      </w:pPr>
      <w:r w:rsidRPr="00B86ECC">
        <w:rPr>
          <w:rFonts w:ascii="Times New Roman" w:eastAsia="Times New Roman" w:hAnsi="Times New Roman"/>
          <w:sz w:val="24"/>
          <w:szCs w:val="24"/>
        </w:rPr>
        <w:t>Examining the record, Flynn's 2015 AIM comments emerge as Williams' most consequential allegation, but the defense has asked the Court to tare the weight of those comments</w:t>
      </w:r>
      <w:r>
        <w:rPr>
          <w:rFonts w:ascii="Times New Roman" w:eastAsia="Times New Roman" w:hAnsi="Times New Roman"/>
          <w:sz w:val="24"/>
          <w:szCs w:val="24"/>
        </w:rPr>
        <w:t xml:space="preserve">…. </w:t>
      </w:r>
      <w:r w:rsidRPr="00B86ECC">
        <w:rPr>
          <w:rFonts w:ascii="Times New Roman" w:hAnsi="Times New Roman"/>
          <w:sz w:val="24"/>
          <w:szCs w:val="24"/>
        </w:rPr>
        <w:t xml:space="preserve">Defendants are off base in arguing that Flynn's stray remarks should count for nothing at all. The Seventh Circuit has reminded courts, however, that its cases “should not be overread to mean that ‘stray remarks' of a derogatory character are never evidence of discrimination. What our cases hold . . . is that if someone not involved in the decision making in a plaintiff's case </w:t>
      </w:r>
      <w:r w:rsidRPr="00B86ECC">
        <w:rPr>
          <w:rFonts w:ascii="Times New Roman" w:eastAsia="Times New Roman" w:hAnsi="Times New Roman"/>
          <w:sz w:val="24"/>
          <w:szCs w:val="24"/>
        </w:rPr>
        <w:t xml:space="preserve">expressed discriminatory feelings, that is not evidence that the decision was discriminatory.” </w:t>
      </w:r>
      <w:r w:rsidRPr="00B86ECC">
        <w:rPr>
          <w:rFonts w:ascii="Times New Roman" w:eastAsia="Times New Roman" w:hAnsi="Times New Roman"/>
          <w:i/>
          <w:iCs/>
          <w:sz w:val="24"/>
          <w:szCs w:val="24"/>
        </w:rPr>
        <w:t>Gorence v. Eagle Food Centers, Inc.</w:t>
      </w:r>
      <w:r w:rsidRPr="00B86ECC">
        <w:rPr>
          <w:rFonts w:ascii="Times New Roman" w:eastAsia="Times New Roman" w:hAnsi="Times New Roman"/>
          <w:sz w:val="24"/>
          <w:szCs w:val="24"/>
        </w:rPr>
        <w:t>, 242 F.3d 759, 762 (7th Cir. 2001). Here, Flynn was the decisionmaker in this case, so his derogatory remarks, even if unrelated to an employment decision, can support Williams' case.</w:t>
      </w:r>
      <w:r w:rsidRPr="00B86ECC">
        <w:rPr>
          <w:rFonts w:ascii="Times New Roman" w:hAnsi="Times New Roman"/>
          <w:sz w:val="24"/>
          <w:szCs w:val="24"/>
        </w:rPr>
        <w:t>”</w:t>
      </w:r>
      <w:r>
        <w:t xml:space="preserve"> </w:t>
      </w:r>
      <w:hyperlink r:id="rId1517" w:history="1">
        <w:r w:rsidRPr="00075C00">
          <w:rPr>
            <w:rStyle w:val="Hyperlink"/>
          </w:rPr>
          <w:t>https://public.fastcase.com/9SKwsfNqTc6OieYDhNMyM2CFW33xyjvV9V9tDamXdBOoRSeaTiz5NEXWtNHJhMGDLmAvOr1CXJk0EV3MUdbM2l1WIYIXZemQzLeI%2BSSBPyk%3D</w:t>
        </w:r>
      </w:hyperlink>
    </w:p>
    <w:p w14:paraId="544C1A34" w14:textId="77777777" w:rsidR="00C67B2A" w:rsidRPr="00EF65E0" w:rsidRDefault="00C67B2A" w:rsidP="00C67B2A">
      <w:pPr>
        <w:tabs>
          <w:tab w:val="left" w:pos="3280"/>
        </w:tabs>
        <w:spacing w:before="100" w:beforeAutospacing="1" w:after="100" w:afterAutospacing="1" w:line="240" w:lineRule="auto"/>
        <w:rPr>
          <w:rFonts w:ascii="Times New Roman" w:hAnsi="Times New Roman"/>
          <w:b/>
          <w:bCs/>
          <w:sz w:val="24"/>
          <w:szCs w:val="24"/>
        </w:rPr>
      </w:pPr>
      <w:r w:rsidRPr="00EF65E0">
        <w:rPr>
          <w:rFonts w:ascii="Times New Roman" w:hAnsi="Times New Roman"/>
          <w:b/>
          <w:bCs/>
          <w:sz w:val="24"/>
          <w:szCs w:val="24"/>
        </w:rPr>
        <w:t>Legal Lesson Learned:</w:t>
      </w:r>
      <w:r>
        <w:rPr>
          <w:rFonts w:ascii="Times New Roman" w:hAnsi="Times New Roman"/>
          <w:b/>
          <w:bCs/>
          <w:sz w:val="24"/>
          <w:szCs w:val="24"/>
        </w:rPr>
        <w:t xml:space="preserve"> “Stray remarks” by police or fire chiefs, and other executives in hiring and promotion process, can come back to “bite” in employment litigation. </w:t>
      </w:r>
    </w:p>
    <w:p w14:paraId="7551BE8F" w14:textId="77777777" w:rsidR="00C67B2A" w:rsidRDefault="00C67B2A" w:rsidP="00BC70A3">
      <w:pPr>
        <w:rPr>
          <w:rFonts w:ascii="Arial Black" w:hAnsi="Arial Black"/>
          <w:b/>
          <w:sz w:val="24"/>
          <w:szCs w:val="24"/>
        </w:rPr>
      </w:pPr>
    </w:p>
    <w:p w14:paraId="30422B31" w14:textId="45BD2C23" w:rsidR="009A3D9F" w:rsidRDefault="009A3D9F" w:rsidP="00BC70A3">
      <w:pPr>
        <w:rPr>
          <w:rFonts w:ascii="Arial Black" w:hAnsi="Arial Black"/>
          <w:b/>
          <w:sz w:val="24"/>
          <w:szCs w:val="24"/>
        </w:rPr>
      </w:pPr>
      <w:r>
        <w:rPr>
          <w:rFonts w:ascii="Arial Black" w:hAnsi="Arial Black"/>
          <w:b/>
          <w:sz w:val="24"/>
          <w:szCs w:val="24"/>
        </w:rPr>
        <w:t>8-33</w:t>
      </w:r>
    </w:p>
    <w:p w14:paraId="50D0EC29" w14:textId="77777777" w:rsidR="009A3D9F" w:rsidRPr="00A14A14" w:rsidRDefault="009A3D9F" w:rsidP="009A3D9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OH: RECRUIT FAILED VERTICAL VENTILTION TESTS 9 TIMES - TERMINATED – NOT RACE DISCRIMINATION</w:t>
      </w:r>
    </w:p>
    <w:p w14:paraId="536124E3" w14:textId="73026742" w:rsidR="009A3D9F" w:rsidRDefault="009A3D9F" w:rsidP="009A3D9F">
      <w:pPr>
        <w:rPr>
          <w:rStyle w:val="Hyperlink"/>
          <w:rFonts w:ascii="Times New Roman" w:hAnsi="Times New Roman"/>
          <w:sz w:val="24"/>
          <w:szCs w:val="24"/>
        </w:rPr>
      </w:pPr>
      <w:r>
        <w:rPr>
          <w:rFonts w:ascii="Times New Roman" w:hAnsi="Times New Roman"/>
          <w:sz w:val="24"/>
          <w:szCs w:val="24"/>
        </w:rPr>
        <w:t xml:space="preserve">On Sept. 7, 2021, in </w:t>
      </w:r>
      <w:r w:rsidRPr="00D11452">
        <w:rPr>
          <w:rFonts w:ascii="Times New Roman" w:hAnsi="Times New Roman"/>
          <w:sz w:val="24"/>
          <w:szCs w:val="24"/>
          <w:u w:val="single"/>
        </w:rPr>
        <w:t>Major Smith, III v. City of Toledo, et al</w:t>
      </w:r>
      <w:r>
        <w:rPr>
          <w:rFonts w:ascii="Times New Roman" w:hAnsi="Times New Roman"/>
          <w:sz w:val="24"/>
          <w:szCs w:val="24"/>
        </w:rPr>
        <w:t xml:space="preserve">., </w:t>
      </w:r>
      <w:r w:rsidRPr="0080716B">
        <w:rPr>
          <w:rFonts w:ascii="Times New Roman" w:eastAsia="Times New Roman" w:hAnsi="Times New Roman"/>
          <w:sz w:val="24"/>
          <w:szCs w:val="24"/>
        </w:rPr>
        <w:t>13 F.4th 508</w:t>
      </w:r>
      <w:r>
        <w:rPr>
          <w:rFonts w:ascii="Times New Roman" w:eastAsia="Times New Roman" w:hAnsi="Times New Roman"/>
          <w:sz w:val="24"/>
          <w:szCs w:val="24"/>
        </w:rPr>
        <w:t xml:space="preserve">, </w:t>
      </w:r>
      <w:r>
        <w:rPr>
          <w:rFonts w:ascii="Times New Roman" w:hAnsi="Times New Roman"/>
          <w:sz w:val="24"/>
          <w:szCs w:val="24"/>
        </w:rPr>
        <w:t>the U.S. Court of Appeals for the 6</w:t>
      </w:r>
      <w:r w:rsidRPr="00D11452">
        <w:rPr>
          <w:rFonts w:ascii="Times New Roman" w:hAnsi="Times New Roman"/>
          <w:sz w:val="24"/>
          <w:szCs w:val="24"/>
          <w:vertAlign w:val="superscript"/>
        </w:rPr>
        <w:t>th</w:t>
      </w:r>
      <w:r>
        <w:rPr>
          <w:rFonts w:ascii="Times New Roman" w:hAnsi="Times New Roman"/>
          <w:sz w:val="24"/>
          <w:szCs w:val="24"/>
        </w:rPr>
        <w:t xml:space="preserve"> Circuit (Cincinnati) held (2 to 1) that trial court judge properly granted summary judgment to the City of Toledo. The recruit class of 29 recruits, including three </w:t>
      </w:r>
      <w:proofErr w:type="gramStart"/>
      <w:r>
        <w:rPr>
          <w:rFonts w:ascii="Times New Roman" w:hAnsi="Times New Roman"/>
          <w:sz w:val="24"/>
          <w:szCs w:val="24"/>
        </w:rPr>
        <w:t>African-Americans</w:t>
      </w:r>
      <w:proofErr w:type="gramEnd"/>
      <w:r>
        <w:rPr>
          <w:rFonts w:ascii="Times New Roman" w:hAnsi="Times New Roman"/>
          <w:sz w:val="24"/>
          <w:szCs w:val="24"/>
        </w:rPr>
        <w:t xml:space="preserve"> and two Hispanics, “</w:t>
      </w:r>
      <w:r w:rsidRPr="00D25789">
        <w:rPr>
          <w:rFonts w:ascii="Times New Roman" w:hAnsi="Times New Roman"/>
          <w:sz w:val="24"/>
          <w:szCs w:val="24"/>
        </w:rPr>
        <w:t>twenty-seven passed the vertical ventilation test on the first try; the twenty-eighth passed on his second try; Smith never passed, despite nine attempts.</w:t>
      </w:r>
      <w:r>
        <w:rPr>
          <w:rFonts w:ascii="Times New Roman" w:hAnsi="Times New Roman"/>
          <w:sz w:val="24"/>
          <w:szCs w:val="24"/>
        </w:rPr>
        <w:t xml:space="preserve">”  </w:t>
      </w:r>
      <w:hyperlink r:id="rId1518" w:history="1">
        <w:r w:rsidRPr="00A83547">
          <w:rPr>
            <w:rStyle w:val="Hyperlink"/>
            <w:rFonts w:ascii="Times New Roman" w:hAnsi="Times New Roman"/>
            <w:sz w:val="24"/>
            <w:szCs w:val="24"/>
          </w:rPr>
          <w:t>https://casetext.com/case/smith-v-city-of-toledo</w:t>
        </w:r>
      </w:hyperlink>
    </w:p>
    <w:p w14:paraId="41CEC49E" w14:textId="77777777" w:rsidR="009A3D9F" w:rsidRPr="00D91B7C" w:rsidRDefault="009A3D9F" w:rsidP="009A3D9F">
      <w:pPr>
        <w:spacing w:before="100" w:beforeAutospacing="1" w:after="100" w:afterAutospacing="1" w:line="240" w:lineRule="auto"/>
        <w:rPr>
          <w:rFonts w:ascii="Times New Roman" w:eastAsia="Times New Roman" w:hAnsi="Times New Roman"/>
          <w:b/>
          <w:bCs/>
          <w:sz w:val="24"/>
          <w:szCs w:val="24"/>
        </w:rPr>
      </w:pPr>
      <w:r w:rsidRPr="00D91B7C">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Race discrimination not proved; the FD gave him additional </w:t>
      </w:r>
      <w:proofErr w:type="gramStart"/>
      <w:r>
        <w:rPr>
          <w:rFonts w:ascii="Times New Roman" w:eastAsia="Times New Roman" w:hAnsi="Times New Roman"/>
          <w:b/>
          <w:bCs/>
          <w:sz w:val="24"/>
          <w:szCs w:val="24"/>
        </w:rPr>
        <w:t>opportunities</w:t>
      </w:r>
      <w:proofErr w:type="gramEnd"/>
      <w:r>
        <w:rPr>
          <w:rFonts w:ascii="Times New Roman" w:eastAsia="Times New Roman" w:hAnsi="Times New Roman"/>
          <w:b/>
          <w:bCs/>
          <w:sz w:val="24"/>
          <w:szCs w:val="24"/>
        </w:rPr>
        <w:t xml:space="preserve"> but he still couldn’t pass the vertical ventilation.  </w:t>
      </w:r>
    </w:p>
    <w:p w14:paraId="3459B0D3" w14:textId="77777777" w:rsidR="009A3D9F" w:rsidRPr="00552E8D" w:rsidRDefault="009A3D9F" w:rsidP="009A3D9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w:t>
      </w:r>
      <w:r w:rsidRPr="00142F8E">
        <w:rPr>
          <w:rFonts w:ascii="Times New Roman" w:eastAsia="Times New Roman" w:hAnsi="Times New Roman"/>
          <w:sz w:val="24"/>
          <w:szCs w:val="24"/>
        </w:rPr>
        <w:t xml:space="preserve">Judge </w:t>
      </w:r>
      <w:r w:rsidRPr="00142F8E">
        <w:rPr>
          <w:rFonts w:ascii="Times New Roman" w:hAnsi="Times New Roman"/>
          <w:sz w:val="24"/>
          <w:szCs w:val="24"/>
        </w:rPr>
        <w:t>HELENE N. WHITE, Circuit Judge, concurring in part and dissenting in part.</w:t>
      </w:r>
      <w:r>
        <w:rPr>
          <w:rFonts w:ascii="Times New Roman" w:hAnsi="Times New Roman"/>
          <w:sz w:val="24"/>
          <w:szCs w:val="24"/>
        </w:rPr>
        <w:t xml:space="preserve"> “</w:t>
      </w:r>
      <w:r w:rsidRPr="00142F8E">
        <w:rPr>
          <w:rFonts w:ascii="Times New Roman" w:hAnsi="Times New Roman"/>
          <w:sz w:val="24"/>
          <w:szCs w:val="24"/>
        </w:rPr>
        <w:t>I agree that the district court properly granted summary judgment to the City of Toledo on Smith's § 1983 and intentional-infliction-of-emotional-distress claims and properly denied Smith's motion for additional discovery. However, because there is a genuine dispute of material fact about whether the City dismissed Smith from the academy because of his race, I would reverse the grant of summary judgment on Smith's discrimination and conspiracy claims.</w:t>
      </w:r>
      <w:r>
        <w:rPr>
          <w:rFonts w:ascii="Times New Roman" w:hAnsi="Times New Roman"/>
          <w:sz w:val="24"/>
          <w:szCs w:val="24"/>
        </w:rPr>
        <w:t xml:space="preserve">*** </w:t>
      </w:r>
      <w:r w:rsidRPr="00142F8E">
        <w:rPr>
          <w:rFonts w:ascii="Times New Roman" w:hAnsi="Times New Roman"/>
          <w:sz w:val="24"/>
          <w:szCs w:val="24"/>
        </w:rPr>
        <w:t>And, since 2014, 80% of the recruits who were dismissed from the Academy were African American, and the remaining 20% were Hispanic, despite African Americans making up a minority of the class. This further supports an inference of discrimination.</w:t>
      </w:r>
      <w:r>
        <w:rPr>
          <w:rFonts w:ascii="Times New Roman" w:hAnsi="Times New Roman"/>
          <w:sz w:val="24"/>
          <w:szCs w:val="24"/>
        </w:rPr>
        <w:t>”</w:t>
      </w:r>
    </w:p>
    <w:p w14:paraId="3E403F72" w14:textId="77777777" w:rsidR="009A3D9F" w:rsidRDefault="009A3D9F" w:rsidP="009A3D9F">
      <w:pPr>
        <w:rPr>
          <w:rFonts w:ascii="Arial Black" w:hAnsi="Arial Black"/>
          <w:b/>
          <w:sz w:val="24"/>
          <w:szCs w:val="24"/>
        </w:rPr>
      </w:pPr>
    </w:p>
    <w:p w14:paraId="44206D7E" w14:textId="77777777" w:rsidR="009A3D9F" w:rsidRDefault="009A3D9F" w:rsidP="00BC70A3">
      <w:pPr>
        <w:rPr>
          <w:rFonts w:ascii="Arial Black" w:hAnsi="Arial Black"/>
          <w:b/>
          <w:sz w:val="24"/>
          <w:szCs w:val="24"/>
        </w:rPr>
      </w:pPr>
    </w:p>
    <w:p w14:paraId="69C0FAB5" w14:textId="77777777" w:rsidR="009A3D9F" w:rsidRDefault="009A3D9F" w:rsidP="00BC70A3">
      <w:pPr>
        <w:rPr>
          <w:rFonts w:ascii="Arial Black" w:hAnsi="Arial Black"/>
          <w:b/>
          <w:sz w:val="24"/>
          <w:szCs w:val="24"/>
        </w:rPr>
      </w:pPr>
    </w:p>
    <w:p w14:paraId="5E7664AC" w14:textId="2B15433B" w:rsidR="00BD1702" w:rsidRDefault="00BD1702" w:rsidP="00BC70A3">
      <w:pPr>
        <w:rPr>
          <w:rFonts w:ascii="Arial Black" w:hAnsi="Arial Black"/>
          <w:b/>
          <w:sz w:val="24"/>
          <w:szCs w:val="24"/>
        </w:rPr>
      </w:pPr>
      <w:r>
        <w:rPr>
          <w:rFonts w:ascii="Arial Black" w:hAnsi="Arial Black"/>
          <w:b/>
          <w:sz w:val="24"/>
          <w:szCs w:val="24"/>
        </w:rPr>
        <w:t>8-32</w:t>
      </w:r>
    </w:p>
    <w:p w14:paraId="1CEE932C" w14:textId="77777777" w:rsidR="00BD1702" w:rsidRDefault="00BD1702" w:rsidP="00BD170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MI: FF OF ARAB DISSENT – IMAGES OF CAMEL / SLURS - HOSTILE WORK ATMOSPHERE – LAWSUIT REINSTATED</w:t>
      </w:r>
    </w:p>
    <w:p w14:paraId="0790AF18" w14:textId="77777777" w:rsidR="00BD1702" w:rsidRDefault="00BD1702" w:rsidP="00BD1702">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Sept. 16, 2021, in </w:t>
      </w:r>
      <w:r>
        <w:rPr>
          <w:rStyle w:val="markedcontent"/>
          <w:rFonts w:ascii="Times New Roman" w:hAnsi="Times New Roman"/>
          <w:sz w:val="24"/>
          <w:szCs w:val="24"/>
          <w:u w:val="single"/>
        </w:rPr>
        <w:t>Richard Cadoura v. Flat Rock Fire Department, et al</w:t>
      </w:r>
      <w:r>
        <w:rPr>
          <w:rStyle w:val="markedcontent"/>
          <w:rFonts w:ascii="Times New Roman" w:hAnsi="Times New Roman"/>
          <w:sz w:val="24"/>
          <w:szCs w:val="24"/>
        </w:rPr>
        <w:t xml:space="preserve">., the State of Michigan Court of Appeals, held (3 to 0), in an unpublished decision, that trial court judge improperly dismissed the lawsuit because of “simple teasing” during the firefighter’s 15 months of probation with the fire department.  The Court of Appeals strongly disagreed. </w:t>
      </w:r>
    </w:p>
    <w:p w14:paraId="5499D05C" w14:textId="77777777" w:rsidR="00BD1702" w:rsidRDefault="00BD1702" w:rsidP="00BD1702">
      <w:pPr>
        <w:spacing w:before="100" w:beforeAutospacing="1" w:after="100" w:afterAutospacing="1" w:line="240" w:lineRule="auto"/>
        <w:ind w:left="720"/>
        <w:rPr>
          <w:rStyle w:val="markedcontent"/>
          <w:rFonts w:ascii="Times New Roman" w:hAnsi="Times New Roman"/>
          <w:sz w:val="24"/>
          <w:szCs w:val="24"/>
        </w:rPr>
      </w:pPr>
      <w:r w:rsidRPr="000A41C2">
        <w:rPr>
          <w:rStyle w:val="markedcontent"/>
          <w:rFonts w:ascii="Times New Roman" w:hAnsi="Times New Roman"/>
          <w:sz w:val="24"/>
          <w:szCs w:val="24"/>
        </w:rPr>
        <w:t xml:space="preserve">“In this case, plaintiff presented evidence sufficient to create a genuine issue of material fact regarding whether there was </w:t>
      </w:r>
      <w:r w:rsidRPr="000A41C2">
        <w:rPr>
          <w:rFonts w:ascii="Times New Roman" w:hAnsi="Times New Roman"/>
          <w:sz w:val="24"/>
          <w:szCs w:val="24"/>
        </w:rPr>
        <w:t xml:space="preserve">an intimidating, hostile, and offensive work environment. There was documentary evidence of the text message with an image of a camel, the questioning of plaintiff’s parentage in regard to his son, the ‘sand n****r’ slur, the playing of Arabic music over the firetruck’s PA system on multiple occasions, the beheaded camel figurine with an American flag stuck in it, and the references to towels being used for cleaning and not to wear on one’s head. In conjunction with that evidence, there was plaintiff’s testimony regarding his work conditions and his claimed mistreatment and harassment by full-timers and by Sergeant Rose, as well as his testimony that AFC Hammond and Fire Chief </w:t>
      </w:r>
      <w:proofErr w:type="spellStart"/>
      <w:r w:rsidRPr="000A41C2">
        <w:rPr>
          <w:rFonts w:ascii="Times New Roman" w:hAnsi="Times New Roman"/>
          <w:sz w:val="24"/>
          <w:szCs w:val="24"/>
        </w:rPr>
        <w:t>Vack</w:t>
      </w:r>
      <w:proofErr w:type="spellEnd"/>
      <w:r w:rsidRPr="000A41C2">
        <w:rPr>
          <w:rFonts w:ascii="Times New Roman" w:hAnsi="Times New Roman"/>
          <w:sz w:val="24"/>
          <w:szCs w:val="24"/>
        </w:rPr>
        <w:t xml:space="preserve"> did nothing to address or alleviate the toxic environment. We conclude that the trial court erred by determining </w:t>
      </w:r>
      <w:r w:rsidRPr="000A41C2">
        <w:rPr>
          <w:rFonts w:ascii="Times New Roman" w:hAnsi="Times New Roman"/>
          <w:sz w:val="24"/>
          <w:szCs w:val="24"/>
        </w:rPr>
        <w:br/>
      </w:r>
      <w:r w:rsidRPr="000A41C2">
        <w:rPr>
          <w:rStyle w:val="markedcontent"/>
          <w:rFonts w:ascii="Times New Roman" w:hAnsi="Times New Roman"/>
          <w:sz w:val="24"/>
          <w:szCs w:val="24"/>
        </w:rPr>
        <w:lastRenderedPageBreak/>
        <w:t>as a matter of law that there was no hostile work environment.”</w:t>
      </w:r>
      <w:r>
        <w:rPr>
          <w:rFonts w:ascii="Times New Roman" w:hAnsi="Times New Roman"/>
          <w:sz w:val="24"/>
          <w:szCs w:val="24"/>
        </w:rPr>
        <w:t xml:space="preserve"> </w:t>
      </w:r>
      <w:hyperlink r:id="rId1519" w:history="1">
        <w:r>
          <w:rPr>
            <w:rStyle w:val="Hyperlink"/>
            <w:sz w:val="24"/>
            <w:szCs w:val="24"/>
          </w:rPr>
          <w:t>https://www.courts.mi.gov/4a7f39/siteassets/case-documents/uploads/opinions/final/coa/20210916_c353618_41_353618.opn.pdf</w:t>
        </w:r>
      </w:hyperlink>
      <w:r>
        <w:rPr>
          <w:rStyle w:val="markedcontent"/>
          <w:rFonts w:ascii="Times New Roman" w:hAnsi="Times New Roman"/>
          <w:sz w:val="24"/>
          <w:szCs w:val="24"/>
        </w:rPr>
        <w:t xml:space="preserve"> </w:t>
      </w:r>
    </w:p>
    <w:p w14:paraId="299A1175" w14:textId="77777777" w:rsidR="00BD1702" w:rsidRDefault="00BD1702" w:rsidP="00BD1702">
      <w:pPr>
        <w:pStyle w:val="docdate"/>
        <w:rPr>
          <w:rStyle w:val="markedcontent"/>
          <w:rFonts w:eastAsiaTheme="majorEastAsia"/>
          <w:b/>
          <w:bCs/>
        </w:rPr>
      </w:pPr>
      <w:r>
        <w:rPr>
          <w:rStyle w:val="markedcontent"/>
          <w:rFonts w:eastAsiaTheme="majorEastAsia"/>
          <w:b/>
          <w:bCs/>
        </w:rPr>
        <w:t>Legal Lesson Learned:  Firefighters must understand that their acts of “simple teasing” can be very harmful, and officers have an obligation to prevent a hostile work atmosphere.</w:t>
      </w:r>
    </w:p>
    <w:p w14:paraId="640B75EA" w14:textId="77777777" w:rsidR="00BD1702" w:rsidRDefault="00BD1702" w:rsidP="00BC70A3">
      <w:pPr>
        <w:rPr>
          <w:rFonts w:ascii="Arial Black" w:hAnsi="Arial Black"/>
          <w:b/>
          <w:sz w:val="24"/>
          <w:szCs w:val="24"/>
        </w:rPr>
      </w:pPr>
    </w:p>
    <w:p w14:paraId="6A09C869" w14:textId="7F00FD89" w:rsidR="00BD263B" w:rsidRDefault="00BD263B" w:rsidP="00BC70A3">
      <w:pPr>
        <w:rPr>
          <w:rFonts w:ascii="Arial Black" w:hAnsi="Arial Black"/>
          <w:b/>
          <w:sz w:val="24"/>
          <w:szCs w:val="24"/>
        </w:rPr>
      </w:pPr>
      <w:r>
        <w:rPr>
          <w:rFonts w:ascii="Arial Black" w:hAnsi="Arial Black"/>
          <w:b/>
          <w:sz w:val="24"/>
          <w:szCs w:val="24"/>
        </w:rPr>
        <w:t>8-31</w:t>
      </w:r>
    </w:p>
    <w:p w14:paraId="60AEBF23" w14:textId="77777777" w:rsidR="00BD263B" w:rsidRDefault="00BD263B" w:rsidP="00BD263B">
      <w:pPr>
        <w:pStyle w:val="NoSpacing"/>
        <w:rPr>
          <w:rFonts w:ascii="Arial Black" w:hAnsi="Arial Black"/>
          <w:sz w:val="28"/>
          <w:szCs w:val="28"/>
        </w:rPr>
      </w:pPr>
      <w:bookmarkStart w:id="317" w:name="_Hlk81842350"/>
      <w:r>
        <w:rPr>
          <w:rFonts w:ascii="Arial Black" w:hAnsi="Arial Black"/>
          <w:sz w:val="28"/>
          <w:szCs w:val="28"/>
        </w:rPr>
        <w:t>NY:  FDNY – SCBAs – FD NOW FOLLOWING OSHA NO BEARD REQUIREMENT – ADA LAWSUIT BY BLACK FF DISMISSED</w:t>
      </w:r>
    </w:p>
    <w:bookmarkEnd w:id="317"/>
    <w:p w14:paraId="2AE784D9" w14:textId="77777777" w:rsidR="00BD263B" w:rsidRDefault="00BD263B" w:rsidP="00BD263B">
      <w:pPr>
        <w:pStyle w:val="NoSpacing"/>
        <w:rPr>
          <w:rFonts w:ascii="Arial Black" w:hAnsi="Arial Black"/>
          <w:sz w:val="28"/>
          <w:szCs w:val="28"/>
        </w:rPr>
      </w:pPr>
    </w:p>
    <w:p w14:paraId="0EE0383A" w14:textId="77777777" w:rsidR="00BD263B" w:rsidRDefault="00BD263B" w:rsidP="00BD263B">
      <w:pPr>
        <w:pStyle w:val="NoSpacing"/>
        <w:rPr>
          <w:rFonts w:ascii="Times New Roman" w:hAnsi="Times New Roman"/>
          <w:sz w:val="24"/>
          <w:szCs w:val="24"/>
        </w:rPr>
      </w:pPr>
      <w:r>
        <w:rPr>
          <w:rFonts w:ascii="Times New Roman" w:hAnsi="Times New Roman"/>
          <w:sz w:val="24"/>
          <w:szCs w:val="24"/>
        </w:rPr>
        <w:t xml:space="preserve">On June 9, 2021, in </w:t>
      </w:r>
      <w:r>
        <w:rPr>
          <w:rFonts w:ascii="Times New Roman" w:hAnsi="Times New Roman"/>
          <w:sz w:val="24"/>
          <w:szCs w:val="24"/>
          <w:u w:val="single"/>
        </w:rPr>
        <w:t>Sa</w:t>
      </w:r>
      <w:r w:rsidRPr="00730B7F">
        <w:rPr>
          <w:rFonts w:ascii="Times New Roman" w:hAnsi="Times New Roman"/>
          <w:sz w:val="24"/>
          <w:szCs w:val="24"/>
          <w:u w:val="single"/>
        </w:rPr>
        <w:t>lik Bey, Terrel Joseph, Steven Seymour, Clyde Phillips v. City of New York</w:t>
      </w:r>
      <w:r>
        <w:rPr>
          <w:rFonts w:ascii="Times New Roman" w:hAnsi="Times New Roman"/>
          <w:sz w:val="24"/>
          <w:szCs w:val="24"/>
        </w:rPr>
        <w:t xml:space="preserve">, the U.S. Court of Appeals for the Second District (New York City), held (3 to 0) that the U.S. District Court incorrectly found a violation of the ADA for enforcing a strict grooming policy. </w:t>
      </w:r>
    </w:p>
    <w:p w14:paraId="4AD9AFCF" w14:textId="77777777" w:rsidR="00BD263B" w:rsidRDefault="00BD263B" w:rsidP="00BD263B">
      <w:pPr>
        <w:pStyle w:val="NoSpacing"/>
        <w:rPr>
          <w:rFonts w:ascii="Times New Roman" w:hAnsi="Times New Roman"/>
          <w:sz w:val="24"/>
          <w:szCs w:val="24"/>
        </w:rPr>
      </w:pPr>
    </w:p>
    <w:p w14:paraId="1C3A6E85" w14:textId="77777777" w:rsidR="00BD263B" w:rsidRPr="00264EF8" w:rsidRDefault="00BD263B" w:rsidP="00BD263B">
      <w:pPr>
        <w:pStyle w:val="NoSpacing"/>
        <w:ind w:left="720"/>
        <w:rPr>
          <w:rFonts w:ascii="Times New Roman" w:hAnsi="Times New Roman"/>
          <w:sz w:val="24"/>
          <w:szCs w:val="24"/>
        </w:rPr>
      </w:pPr>
      <w:r>
        <w:rPr>
          <w:rFonts w:ascii="Times New Roman" w:hAnsi="Times New Roman"/>
          <w:sz w:val="24"/>
          <w:szCs w:val="24"/>
        </w:rPr>
        <w:t>“</w:t>
      </w:r>
      <w:r w:rsidRPr="00264EF8">
        <w:rPr>
          <w:rFonts w:ascii="Times New Roman" w:hAnsi="Times New Roman"/>
          <w:sz w:val="24"/>
          <w:szCs w:val="24"/>
        </w:rPr>
        <w:t xml:space="preserve">The fact that no adverse safety events were reported during the period when the FDNY permitted the Firefighters to avoid shaving does not now preclude the FDNY from enforcing the respiratory-protection standard as written. Nor does the fact that the FDNY previously permitted the Firefighters to maintain short beards. The regulation at issue is of OSHA’s devising, not the FDNY’s. </w:t>
      </w:r>
    </w:p>
    <w:p w14:paraId="08AEA163" w14:textId="77777777" w:rsidR="00BD263B" w:rsidRDefault="00BD263B" w:rsidP="00BD263B">
      <w:pPr>
        <w:pStyle w:val="NoSpacing"/>
        <w:rPr>
          <w:rFonts w:ascii="Times New Roman" w:hAnsi="Times New Roman"/>
          <w:sz w:val="24"/>
          <w:szCs w:val="24"/>
        </w:rPr>
      </w:pPr>
      <w:r>
        <w:rPr>
          <w:rFonts w:ascii="Times New Roman" w:hAnsi="Times New Roman"/>
          <w:sz w:val="24"/>
          <w:szCs w:val="24"/>
        </w:rPr>
        <w:tab/>
        <w:t>***</w:t>
      </w:r>
    </w:p>
    <w:p w14:paraId="2E7207DE" w14:textId="77777777" w:rsidR="00BD263B" w:rsidRDefault="00BD263B" w:rsidP="00BD263B">
      <w:pPr>
        <w:pStyle w:val="NoSpacing"/>
        <w:rPr>
          <w:rFonts w:ascii="Times New Roman" w:hAnsi="Times New Roman"/>
          <w:sz w:val="24"/>
          <w:szCs w:val="24"/>
        </w:rPr>
      </w:pPr>
    </w:p>
    <w:p w14:paraId="70B1664E" w14:textId="67A48C43" w:rsidR="00BD263B" w:rsidRDefault="00BD263B" w:rsidP="00BD263B">
      <w:pPr>
        <w:rPr>
          <w:rFonts w:ascii="Arial Black" w:hAnsi="Arial Black"/>
          <w:b/>
          <w:sz w:val="24"/>
          <w:szCs w:val="24"/>
        </w:rPr>
      </w:pPr>
      <w:r w:rsidRPr="00730B7F">
        <w:rPr>
          <w:rFonts w:ascii="Times New Roman" w:hAnsi="Times New Roman"/>
          <w:sz w:val="24"/>
          <w:szCs w:val="24"/>
        </w:rPr>
        <w:t>At bottom, OSHA’s regulations are binding on the FDNY and prohibit the accommodation that the Firefighters seek</w:t>
      </w:r>
      <w:r>
        <w:rPr>
          <w:rFonts w:ascii="Times New Roman" w:hAnsi="Times New Roman"/>
          <w:sz w:val="24"/>
          <w:szCs w:val="24"/>
        </w:rPr>
        <w:t>.</w:t>
      </w:r>
      <w:r w:rsidRPr="00730B7F">
        <w:rPr>
          <w:rFonts w:ascii="Times New Roman" w:hAnsi="Times New Roman"/>
          <w:sz w:val="24"/>
          <w:szCs w:val="24"/>
        </w:rPr>
        <w:t xml:space="preserve"> </w:t>
      </w:r>
      <w:r>
        <w:rPr>
          <w:rFonts w:ascii="Times New Roman" w:hAnsi="Times New Roman"/>
          <w:sz w:val="24"/>
          <w:szCs w:val="24"/>
        </w:rPr>
        <w:t xml:space="preserve"> </w:t>
      </w:r>
      <w:r w:rsidRPr="00730B7F">
        <w:rPr>
          <w:rFonts w:ascii="Times New Roman" w:hAnsi="Times New Roman"/>
          <w:sz w:val="24"/>
          <w:szCs w:val="24"/>
        </w:rPr>
        <w:t>That ends the matter. Of course, the Firefighters retain the ability to present their evidence to OSHA if they continue to believe that the respiratory-protection standard is unduly restrictive; but it is OSHA to which such a challenge should be directed, not the FDNY, and not the courts.</w:t>
      </w:r>
      <w:r>
        <w:rPr>
          <w:rFonts w:ascii="Times New Roman" w:hAnsi="Times New Roman"/>
          <w:sz w:val="24"/>
          <w:szCs w:val="24"/>
        </w:rPr>
        <w:t xml:space="preserve">” </w:t>
      </w:r>
      <w:hyperlink r:id="rId1520" w:history="1">
        <w:r w:rsidRPr="00C10414">
          <w:rPr>
            <w:rStyle w:val="Hyperlink"/>
            <w:sz w:val="24"/>
            <w:szCs w:val="24"/>
          </w:rPr>
          <w:t>https://law.justia.com/cases/federal/appellate-courts/ca2/20-456/20-456-2021-06-09.html</w:t>
        </w:r>
      </w:hyperlink>
    </w:p>
    <w:p w14:paraId="73CB2904" w14:textId="77777777" w:rsidR="00BD263B" w:rsidRPr="00D648D1" w:rsidRDefault="00BD263B" w:rsidP="00BD263B">
      <w:pPr>
        <w:spacing w:after="0" w:line="240" w:lineRule="auto"/>
        <w:rPr>
          <w:rFonts w:ascii="Times New Roman" w:eastAsia="Times New Roman" w:hAnsi="Times New Roman"/>
          <w:b/>
          <w:bCs/>
          <w:sz w:val="24"/>
          <w:szCs w:val="24"/>
        </w:rPr>
      </w:pPr>
      <w:r w:rsidRPr="00264EF8">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OSHA regulations are being enforced by FDNY and the Court.</w:t>
      </w:r>
    </w:p>
    <w:p w14:paraId="53F18540" w14:textId="77777777" w:rsidR="00BD263B" w:rsidRDefault="00BD263B" w:rsidP="00BD263B">
      <w:pPr>
        <w:pStyle w:val="NormalWeb"/>
        <w:ind w:left="720"/>
      </w:pPr>
      <w:r w:rsidRPr="00264EF8">
        <w:t xml:space="preserve">Note:  The Court recognized prior decisions may have required </w:t>
      </w:r>
      <w:proofErr w:type="gramStart"/>
      <w:r w:rsidRPr="00264EF8">
        <w:t>accommodations</w:t>
      </w:r>
      <w:proofErr w:type="gramEnd"/>
      <w:r w:rsidRPr="00264EF8">
        <w:t>. “Footnote 7. The Firefighters identify several cases involving similar disputes between firefighters and fire departments that they see as supporting an alternative outcome. But those cases are distinguishable as they either stated that OSHA regulations were not binding on the defendant fire department, see Potter v. District of Columbia, 558 F.3d 542, 553 (D.C. Cir. 2009) (Williams, J., concurring); Fitzpatrick v. City of Atlanta, 2 F.3d 1112, 1121 (11th Cir. 1993), or failed to mention OSHA regulations altogether, see generally Kennedy v. District of Columbia, 654 A.2d 847 (D.C. 1994).</w:t>
      </w:r>
      <w:r>
        <w:t>”</w:t>
      </w:r>
    </w:p>
    <w:p w14:paraId="673C24DE" w14:textId="77777777" w:rsidR="00BD263B" w:rsidRDefault="00BD263B" w:rsidP="00BC70A3">
      <w:pPr>
        <w:rPr>
          <w:rFonts w:ascii="Arial Black" w:hAnsi="Arial Black"/>
          <w:b/>
          <w:sz w:val="24"/>
          <w:szCs w:val="24"/>
        </w:rPr>
      </w:pPr>
    </w:p>
    <w:p w14:paraId="297EB944" w14:textId="77777777" w:rsidR="00BD263B" w:rsidRDefault="00BD263B" w:rsidP="00BC70A3">
      <w:pPr>
        <w:rPr>
          <w:rFonts w:ascii="Arial Black" w:hAnsi="Arial Black"/>
          <w:b/>
          <w:sz w:val="24"/>
          <w:szCs w:val="24"/>
        </w:rPr>
      </w:pPr>
    </w:p>
    <w:p w14:paraId="2B335A1C" w14:textId="095F564F" w:rsidR="005217D5" w:rsidRDefault="005217D5" w:rsidP="00BC70A3">
      <w:pPr>
        <w:rPr>
          <w:rFonts w:ascii="Arial Black" w:hAnsi="Arial Black"/>
          <w:b/>
          <w:sz w:val="24"/>
          <w:szCs w:val="24"/>
        </w:rPr>
      </w:pPr>
      <w:r>
        <w:rPr>
          <w:rFonts w:ascii="Arial Black" w:hAnsi="Arial Black"/>
          <w:b/>
          <w:sz w:val="24"/>
          <w:szCs w:val="24"/>
        </w:rPr>
        <w:t>8-30</w:t>
      </w:r>
    </w:p>
    <w:p w14:paraId="2E9D4824" w14:textId="77777777" w:rsidR="005217D5" w:rsidRDefault="005217D5" w:rsidP="005217D5">
      <w:pPr>
        <w:spacing w:before="100" w:beforeAutospacing="1" w:after="100" w:afterAutospacing="1" w:line="240" w:lineRule="auto"/>
        <w:rPr>
          <w:rFonts w:ascii="Arial Black" w:eastAsia="Times New Roman" w:hAnsi="Arial Black"/>
          <w:b/>
          <w:bCs/>
          <w:sz w:val="28"/>
          <w:szCs w:val="28"/>
        </w:rPr>
      </w:pPr>
      <w:r w:rsidRPr="002C3E25">
        <w:rPr>
          <w:rFonts w:ascii="Arial Black" w:eastAsia="Times New Roman" w:hAnsi="Arial Black"/>
          <w:b/>
          <w:bCs/>
          <w:sz w:val="28"/>
          <w:szCs w:val="28"/>
        </w:rPr>
        <w:t>OH</w:t>
      </w:r>
      <w:r>
        <w:rPr>
          <w:rFonts w:ascii="Arial Black" w:eastAsia="Times New Roman" w:hAnsi="Arial Black"/>
          <w:b/>
          <w:bCs/>
          <w:sz w:val="28"/>
          <w:szCs w:val="28"/>
        </w:rPr>
        <w:t xml:space="preserve">: SHIFT CHANGE TO HAVE ONE “WHITE” OFFICER ON DUTY – LAWSUIT BY 5 BLACK EMS CAPTAINS REINSTATED </w:t>
      </w:r>
    </w:p>
    <w:p w14:paraId="62E55010" w14:textId="77777777" w:rsidR="005217D5" w:rsidRPr="00F82822" w:rsidRDefault="005217D5" w:rsidP="005217D5">
      <w:pPr>
        <w:spacing w:before="100" w:beforeAutospacing="1" w:after="100" w:afterAutospacing="1" w:line="240" w:lineRule="auto"/>
        <w:rPr>
          <w:rFonts w:ascii="Times New Roman" w:eastAsia="Times New Roman" w:hAnsi="Times New Roman"/>
          <w:sz w:val="24"/>
          <w:szCs w:val="24"/>
        </w:rPr>
      </w:pPr>
      <w:r w:rsidRPr="00002E7A">
        <w:rPr>
          <w:rFonts w:ascii="Times New Roman" w:eastAsia="Times New Roman" w:hAnsi="Times New Roman"/>
          <w:sz w:val="24"/>
          <w:szCs w:val="24"/>
        </w:rPr>
        <w:lastRenderedPageBreak/>
        <w:t xml:space="preserve">On July 26, 2021, in </w:t>
      </w:r>
      <w:r w:rsidRPr="00002E7A">
        <w:rPr>
          <w:rFonts w:ascii="Times New Roman" w:eastAsia="Times New Roman" w:hAnsi="Times New Roman"/>
          <w:sz w:val="24"/>
          <w:szCs w:val="24"/>
          <w:u w:val="single"/>
        </w:rPr>
        <w:t>Michael Threat; Margarita Noland-Moore; Pamela Beavers; Lawrence Walker; Reginald Anderson v. City of Cleveland, Ohio; Nicole Carlton, Personally and in her official capacity as Commissioner</w:t>
      </w:r>
      <w:r w:rsidRPr="00002E7A">
        <w:rPr>
          <w:rFonts w:ascii="Times New Roman" w:eastAsia="Times New Roman" w:hAnsi="Times New Roman"/>
          <w:sz w:val="24"/>
          <w:szCs w:val="24"/>
        </w:rPr>
        <w:t xml:space="preserve">, </w:t>
      </w:r>
      <w:r>
        <w:rPr>
          <w:rFonts w:ascii="Times New Roman" w:eastAsia="Times New Roman" w:hAnsi="Times New Roman"/>
          <w:sz w:val="24"/>
          <w:szCs w:val="24"/>
        </w:rPr>
        <w:t>the U.S. Court of Appeals for 6</w:t>
      </w:r>
      <w:r w:rsidRPr="00002E7A">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(Cincinnati) held (3 to 0) that trial court improperly held shift change was not a </w:t>
      </w:r>
      <w:r w:rsidRPr="00F82822">
        <w:rPr>
          <w:rFonts w:ascii="Times New Roman" w:hAnsi="Times New Roman"/>
          <w:sz w:val="24"/>
          <w:szCs w:val="24"/>
        </w:rPr>
        <w:t>"materially adverse employment action"</w:t>
      </w:r>
      <w:r>
        <w:rPr>
          <w:rFonts w:ascii="Times New Roman" w:hAnsi="Times New Roman"/>
          <w:sz w:val="24"/>
          <w:szCs w:val="24"/>
        </w:rPr>
        <w:t xml:space="preserve"> since Captain Reginald Anderson he was only transferred to nights for five months. The 6</w:t>
      </w:r>
      <w:r w:rsidRPr="00F82822">
        <w:rPr>
          <w:rFonts w:ascii="Times New Roman" w:hAnsi="Times New Roman"/>
          <w:sz w:val="24"/>
          <w:szCs w:val="24"/>
          <w:vertAlign w:val="superscript"/>
        </w:rPr>
        <w:t>th</w:t>
      </w:r>
      <w:r>
        <w:rPr>
          <w:rFonts w:ascii="Times New Roman" w:hAnsi="Times New Roman"/>
          <w:sz w:val="24"/>
          <w:szCs w:val="24"/>
        </w:rPr>
        <w:t xml:space="preserve"> Circuit </w:t>
      </w:r>
      <w:r>
        <w:rPr>
          <w:rFonts w:ascii="Times New Roman" w:eastAsia="Times New Roman" w:hAnsi="Times New Roman"/>
          <w:sz w:val="24"/>
          <w:szCs w:val="24"/>
        </w:rPr>
        <w:t xml:space="preserve">disagreed and reinstated his lawsuit; it also ordered the trial judge to reconsider the claims by the other 4 Captains </w:t>
      </w:r>
      <w:r w:rsidRPr="00F82822">
        <w:rPr>
          <w:rFonts w:ascii="Times New Roman" w:hAnsi="Times New Roman"/>
          <w:sz w:val="24"/>
          <w:szCs w:val="24"/>
        </w:rPr>
        <w:t>that the city's race-based assignment policy</w:t>
      </w:r>
      <w:r>
        <w:rPr>
          <w:rFonts w:ascii="Times New Roman" w:hAnsi="Times New Roman"/>
          <w:sz w:val="24"/>
          <w:szCs w:val="24"/>
        </w:rPr>
        <w:t xml:space="preserve"> adversely affected them.</w:t>
      </w:r>
      <w:r w:rsidRPr="00F82822">
        <w:rPr>
          <w:rFonts w:ascii="Times New Roman" w:hAnsi="Times New Roman"/>
          <w:sz w:val="24"/>
          <w:szCs w:val="24"/>
        </w:rPr>
        <w:t xml:space="preserve"> </w:t>
      </w:r>
    </w:p>
    <w:p w14:paraId="123D5E7E"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2C1532">
        <w:rPr>
          <w:rFonts w:ascii="Times New Roman" w:hAnsi="Times New Roman"/>
          <w:sz w:val="24"/>
          <w:szCs w:val="24"/>
        </w:rPr>
        <w:t>“Do discriminatory shift changes based on race violate Title VII of the Civil Rights Act of 1964? We think so.</w:t>
      </w:r>
    </w:p>
    <w:p w14:paraId="575EB1BB"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66D54858"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0D43D9">
        <w:rPr>
          <w:rFonts w:ascii="Times New Roman" w:hAnsi="Times New Roman"/>
          <w:sz w:val="24"/>
          <w:szCs w:val="24"/>
        </w:rPr>
        <w:t xml:space="preserve">There also is little room for debate that the city treated the black captains differently </w:t>
      </w:r>
      <w:r>
        <w:rPr>
          <w:rFonts w:ascii="Times New Roman" w:hAnsi="Times New Roman"/>
          <w:sz w:val="24"/>
          <w:szCs w:val="24"/>
        </w:rPr>
        <w:t>‘</w:t>
      </w:r>
      <w:r w:rsidRPr="000D43D9">
        <w:rPr>
          <w:rFonts w:ascii="Times New Roman" w:hAnsi="Times New Roman"/>
          <w:sz w:val="24"/>
          <w:szCs w:val="24"/>
        </w:rPr>
        <w:t>because of</w:t>
      </w:r>
      <w:r>
        <w:rPr>
          <w:rFonts w:ascii="Times New Roman" w:hAnsi="Times New Roman"/>
          <w:sz w:val="24"/>
          <w:szCs w:val="24"/>
        </w:rPr>
        <w:t>’</w:t>
      </w:r>
      <w:r w:rsidRPr="000D43D9">
        <w:rPr>
          <w:rFonts w:ascii="Times New Roman" w:hAnsi="Times New Roman"/>
          <w:sz w:val="24"/>
          <w:szCs w:val="24"/>
        </w:rPr>
        <w:t xml:space="preserve"> their </w:t>
      </w:r>
      <w:r>
        <w:rPr>
          <w:rFonts w:ascii="Times New Roman" w:hAnsi="Times New Roman"/>
          <w:sz w:val="24"/>
          <w:szCs w:val="24"/>
        </w:rPr>
        <w:t>‘</w:t>
      </w:r>
      <w:r w:rsidRPr="000D43D9">
        <w:rPr>
          <w:rFonts w:ascii="Times New Roman" w:hAnsi="Times New Roman"/>
          <w:sz w:val="24"/>
          <w:szCs w:val="24"/>
        </w:rPr>
        <w:t>race.</w:t>
      </w:r>
      <w:r>
        <w:rPr>
          <w:rFonts w:ascii="Times New Roman" w:hAnsi="Times New Roman"/>
          <w:sz w:val="24"/>
          <w:szCs w:val="24"/>
        </w:rPr>
        <w:t>’</w:t>
      </w:r>
      <w:r w:rsidRPr="000D43D9">
        <w:rPr>
          <w:rFonts w:ascii="Times New Roman" w:hAnsi="Times New Roman"/>
          <w:sz w:val="24"/>
          <w:szCs w:val="24"/>
        </w:rPr>
        <w:t xml:space="preserve"> </w:t>
      </w:r>
      <w:r>
        <w:rPr>
          <w:rFonts w:ascii="Times New Roman" w:hAnsi="Times New Roman"/>
          <w:sz w:val="24"/>
          <w:szCs w:val="24"/>
        </w:rPr>
        <w:t xml:space="preserve"> [Cleveland EMS Commission Nicole] </w:t>
      </w:r>
      <w:r w:rsidRPr="000D43D9">
        <w:rPr>
          <w:rFonts w:ascii="Times New Roman" w:hAnsi="Times New Roman"/>
          <w:sz w:val="24"/>
          <w:szCs w:val="24"/>
        </w:rPr>
        <w:t>Carlton admitted that she switched out a black captain for a white one to adjust the shift's racial makeup. That counts as direct evidence of discrimination based on race.</w:t>
      </w:r>
    </w:p>
    <w:p w14:paraId="1F454A03"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0351A19" w14:textId="77777777" w:rsidR="005217D5" w:rsidRPr="000D43D9" w:rsidRDefault="005217D5" w:rsidP="005217D5">
      <w:pPr>
        <w:spacing w:before="100" w:beforeAutospacing="1" w:after="100" w:afterAutospacing="1" w:line="240" w:lineRule="auto"/>
        <w:ind w:left="720"/>
        <w:rPr>
          <w:rFonts w:ascii="Times New Roman" w:eastAsia="Times New Roman" w:hAnsi="Times New Roman"/>
          <w:sz w:val="24"/>
          <w:szCs w:val="24"/>
        </w:rPr>
      </w:pPr>
      <w:r w:rsidRPr="000D43D9">
        <w:rPr>
          <w:rFonts w:ascii="Times New Roman" w:hAnsi="Times New Roman"/>
          <w:sz w:val="24"/>
          <w:szCs w:val="24"/>
        </w:rPr>
        <w:t xml:space="preserve">In this instance, employer-required shift changes from </w:t>
      </w:r>
      <w:proofErr w:type="gramStart"/>
      <w:r w:rsidRPr="000D43D9">
        <w:rPr>
          <w:rFonts w:ascii="Times New Roman" w:hAnsi="Times New Roman"/>
          <w:sz w:val="24"/>
          <w:szCs w:val="24"/>
        </w:rPr>
        <w:t>a preferred</w:t>
      </w:r>
      <w:proofErr w:type="gramEnd"/>
      <w:r w:rsidRPr="000D43D9">
        <w:rPr>
          <w:rFonts w:ascii="Times New Roman" w:hAnsi="Times New Roman"/>
          <w:sz w:val="24"/>
          <w:szCs w:val="24"/>
        </w:rPr>
        <w:t xml:space="preserve"> day to another day or from day shifts to night shifts exceed any de minimis exception, any fair construction of the anchoring words of Title VII, and for that matter any Article III injury requirement. Whether we refer to claims of discrimination based on race in </w:t>
      </w:r>
      <w:r>
        <w:rPr>
          <w:rFonts w:ascii="Times New Roman" w:hAnsi="Times New Roman"/>
          <w:sz w:val="24"/>
          <w:szCs w:val="24"/>
        </w:rPr>
        <w:t>‘</w:t>
      </w:r>
      <w:r w:rsidRPr="000D43D9">
        <w:rPr>
          <w:rFonts w:ascii="Times New Roman" w:hAnsi="Times New Roman"/>
          <w:sz w:val="24"/>
          <w:szCs w:val="24"/>
        </w:rPr>
        <w:t>terms</w:t>
      </w:r>
      <w:r>
        <w:rPr>
          <w:rFonts w:ascii="Times New Roman" w:hAnsi="Times New Roman"/>
          <w:sz w:val="24"/>
          <w:szCs w:val="24"/>
        </w:rPr>
        <w:t>’</w:t>
      </w:r>
      <w:r w:rsidRPr="000D43D9">
        <w:rPr>
          <w:rFonts w:ascii="Times New Roman" w:hAnsi="Times New Roman"/>
          <w:sz w:val="24"/>
          <w:szCs w:val="24"/>
        </w:rPr>
        <w:t xml:space="preserve"> or </w:t>
      </w:r>
      <w:r>
        <w:rPr>
          <w:rFonts w:ascii="Times New Roman" w:hAnsi="Times New Roman"/>
          <w:sz w:val="24"/>
          <w:szCs w:val="24"/>
        </w:rPr>
        <w:t>‘</w:t>
      </w:r>
      <w:r w:rsidRPr="000D43D9">
        <w:rPr>
          <w:rFonts w:ascii="Times New Roman" w:hAnsi="Times New Roman"/>
          <w:sz w:val="24"/>
          <w:szCs w:val="24"/>
        </w:rPr>
        <w:t>privileges</w:t>
      </w:r>
      <w:r>
        <w:rPr>
          <w:rFonts w:ascii="Times New Roman" w:hAnsi="Times New Roman"/>
          <w:sz w:val="24"/>
          <w:szCs w:val="24"/>
        </w:rPr>
        <w:t>’</w:t>
      </w:r>
      <w:r w:rsidRPr="000D43D9">
        <w:rPr>
          <w:rFonts w:ascii="Times New Roman" w:hAnsi="Times New Roman"/>
          <w:sz w:val="24"/>
          <w:szCs w:val="24"/>
        </w:rPr>
        <w:t xml:space="preserve"> of employment or to claims of discrimination based on race in </w:t>
      </w:r>
      <w:r>
        <w:rPr>
          <w:rFonts w:ascii="Times New Roman" w:hAnsi="Times New Roman"/>
          <w:sz w:val="24"/>
          <w:szCs w:val="24"/>
        </w:rPr>
        <w:t>‘</w:t>
      </w:r>
      <w:r w:rsidRPr="000D43D9">
        <w:rPr>
          <w:rFonts w:ascii="Times New Roman" w:hAnsi="Times New Roman"/>
          <w:sz w:val="24"/>
          <w:szCs w:val="24"/>
        </w:rPr>
        <w:t>materially adverse</w:t>
      </w:r>
      <w:r>
        <w:rPr>
          <w:rFonts w:ascii="Times New Roman" w:hAnsi="Times New Roman"/>
          <w:sz w:val="24"/>
          <w:szCs w:val="24"/>
        </w:rPr>
        <w:t>’</w:t>
      </w:r>
      <w:r w:rsidRPr="000D43D9">
        <w:rPr>
          <w:rFonts w:ascii="Times New Roman" w:hAnsi="Times New Roman"/>
          <w:sz w:val="24"/>
          <w:szCs w:val="24"/>
        </w:rPr>
        <w:t xml:space="preserve"> terms of employment, the conclusion is the same: They state a cognizable claim under Title VII when they refer to shift changes of this sort and under these circumstances.</w:t>
      </w:r>
      <w:r>
        <w:rPr>
          <w:rFonts w:ascii="Times New Roman" w:hAnsi="Times New Roman"/>
          <w:sz w:val="24"/>
          <w:szCs w:val="24"/>
        </w:rPr>
        <w:t xml:space="preserve">” </w:t>
      </w:r>
      <w:hyperlink r:id="rId1521" w:history="1">
        <w:r w:rsidRPr="00814A02">
          <w:rPr>
            <w:rStyle w:val="Hyperlink"/>
            <w:sz w:val="24"/>
            <w:szCs w:val="24"/>
          </w:rPr>
          <w:t>https://www.justice.gov/crt/case-document/file/1419071/download</w:t>
        </w:r>
      </w:hyperlink>
      <w:r>
        <w:rPr>
          <w:rFonts w:ascii="Times New Roman" w:hAnsi="Times New Roman"/>
          <w:sz w:val="24"/>
          <w:szCs w:val="24"/>
        </w:rPr>
        <w:t xml:space="preserve"> </w:t>
      </w:r>
    </w:p>
    <w:p w14:paraId="6A343B0B" w14:textId="77777777" w:rsidR="005217D5" w:rsidRDefault="005217D5" w:rsidP="005217D5">
      <w:pPr>
        <w:pStyle w:val="Heading1"/>
        <w:rPr>
          <w:b w:val="0"/>
          <w:bCs w:val="0"/>
          <w:sz w:val="24"/>
          <w:szCs w:val="24"/>
        </w:rPr>
      </w:pPr>
      <w:r w:rsidRPr="00DB6861">
        <w:rPr>
          <w:sz w:val="24"/>
          <w:szCs w:val="24"/>
        </w:rPr>
        <w:t>Legal Lesson Learned: Using race to “balance a shift” is an invitation to a lawsuit</w:t>
      </w:r>
      <w:r>
        <w:rPr>
          <w:sz w:val="24"/>
          <w:szCs w:val="24"/>
        </w:rPr>
        <w:t xml:space="preserve">; this case needs to be settled. </w:t>
      </w:r>
    </w:p>
    <w:p w14:paraId="70CA0888" w14:textId="77777777" w:rsidR="005217D5" w:rsidRPr="00DB6861" w:rsidRDefault="005217D5" w:rsidP="005217D5">
      <w:pPr>
        <w:pStyle w:val="Heading1"/>
        <w:ind w:left="720"/>
        <w:rPr>
          <w:b w:val="0"/>
          <w:bCs w:val="0"/>
          <w:sz w:val="24"/>
          <w:szCs w:val="24"/>
        </w:rPr>
      </w:pPr>
      <w:r w:rsidRPr="00311032">
        <w:rPr>
          <w:b w:val="0"/>
          <w:bCs w:val="0"/>
          <w:sz w:val="24"/>
          <w:szCs w:val="24"/>
        </w:rPr>
        <w:t>See also Ohio Civil Rights Commission ruling</w:t>
      </w:r>
      <w:r>
        <w:rPr>
          <w:sz w:val="24"/>
          <w:szCs w:val="24"/>
        </w:rPr>
        <w:t>.</w:t>
      </w:r>
      <w:r>
        <w:rPr>
          <w:b w:val="0"/>
          <w:bCs w:val="0"/>
          <w:sz w:val="24"/>
          <w:szCs w:val="24"/>
        </w:rPr>
        <w:t xml:space="preserve"> “</w:t>
      </w:r>
      <w:r w:rsidRPr="00DB6861">
        <w:rPr>
          <w:b w:val="0"/>
          <w:bCs w:val="0"/>
          <w:sz w:val="24"/>
          <w:szCs w:val="24"/>
        </w:rPr>
        <w:t>I-Team: Race and sex used to schedule EMS bosses</w:t>
      </w:r>
      <w:r>
        <w:rPr>
          <w:b w:val="0"/>
          <w:bCs w:val="0"/>
          <w:sz w:val="24"/>
          <w:szCs w:val="24"/>
        </w:rPr>
        <w:t xml:space="preserve">.” (Aug. 3, 2018). </w:t>
      </w:r>
      <w:r w:rsidRPr="00DB6861">
        <w:rPr>
          <w:b w:val="0"/>
          <w:bCs w:val="0"/>
          <w:sz w:val="24"/>
          <w:szCs w:val="24"/>
        </w:rPr>
        <w:t xml:space="preserve">CLEVELAND — The FOX 8 I-Team has uncovered an explosive ruling by the Ohio Civil Rights Commission finding that </w:t>
      </w:r>
      <w:hyperlink r:id="rId1522" w:history="1">
        <w:r w:rsidRPr="00DB6861">
          <w:rPr>
            <w:rStyle w:val="Hyperlink"/>
            <w:sz w:val="24"/>
            <w:szCs w:val="24"/>
          </w:rPr>
          <w:t>Cleveland EMS</w:t>
        </w:r>
      </w:hyperlink>
      <w:r w:rsidRPr="00DB6861">
        <w:rPr>
          <w:b w:val="0"/>
          <w:bCs w:val="0"/>
          <w:sz w:val="24"/>
          <w:szCs w:val="24"/>
        </w:rPr>
        <w:t xml:space="preserve"> “more likely than not” assigned work shifts to Captains on the “basis of race and sex.” The Commission found it “PROBABLE” the city “has engaged in an unlawful discriminatory practice.” </w:t>
      </w:r>
      <w:hyperlink r:id="rId1523" w:history="1">
        <w:r w:rsidRPr="00DB6861">
          <w:rPr>
            <w:rStyle w:val="Hyperlink"/>
            <w:sz w:val="24"/>
            <w:szCs w:val="24"/>
          </w:rPr>
          <w:t>https://fox8.com/news/i-team-race-and-sex-used-to-schedule-ems-bosses/</w:t>
        </w:r>
      </w:hyperlink>
      <w:r>
        <w:rPr>
          <w:b w:val="0"/>
          <w:bCs w:val="0"/>
          <w:sz w:val="24"/>
          <w:szCs w:val="24"/>
        </w:rPr>
        <w:t xml:space="preserve"> </w:t>
      </w:r>
    </w:p>
    <w:p w14:paraId="11B64D0F" w14:textId="77777777" w:rsidR="005217D5" w:rsidRPr="00780B1D" w:rsidRDefault="005217D5" w:rsidP="005217D5">
      <w:pPr>
        <w:pStyle w:val="Heading1"/>
        <w:ind w:left="720"/>
        <w:rPr>
          <w:b w:val="0"/>
          <w:bCs w:val="0"/>
          <w:sz w:val="24"/>
          <w:szCs w:val="24"/>
        </w:rPr>
      </w:pPr>
      <w:r w:rsidRPr="001D5CFD">
        <w:rPr>
          <w:b w:val="0"/>
          <w:bCs w:val="0"/>
          <w:sz w:val="24"/>
          <w:szCs w:val="24"/>
        </w:rPr>
        <w:t>Note: See article on the</w:t>
      </w:r>
      <w:r>
        <w:rPr>
          <w:b w:val="0"/>
          <w:bCs w:val="0"/>
          <w:sz w:val="24"/>
          <w:szCs w:val="24"/>
        </w:rPr>
        <w:t xml:space="preserve"> 6th Cir. </w:t>
      </w:r>
      <w:r w:rsidRPr="001D5CFD">
        <w:rPr>
          <w:b w:val="0"/>
          <w:bCs w:val="0"/>
          <w:sz w:val="24"/>
          <w:szCs w:val="24"/>
        </w:rPr>
        <w:t xml:space="preserve"> decision.</w:t>
      </w:r>
      <w:r>
        <w:rPr>
          <w:sz w:val="24"/>
          <w:szCs w:val="24"/>
        </w:rPr>
        <w:t xml:space="preserve">  “</w:t>
      </w:r>
      <w:r w:rsidRPr="001D5CFD">
        <w:rPr>
          <w:b w:val="0"/>
          <w:bCs w:val="0"/>
          <w:sz w:val="24"/>
          <w:szCs w:val="24"/>
        </w:rPr>
        <w:t>Court rules in favor of five Cleveland EMS Captains who claimed discrimination against their boss</w:t>
      </w:r>
      <w:r>
        <w:rPr>
          <w:b w:val="0"/>
          <w:bCs w:val="0"/>
          <w:sz w:val="24"/>
          <w:szCs w:val="24"/>
        </w:rPr>
        <w:t>.” (July 27, 2021.) “</w:t>
      </w:r>
      <w:r w:rsidRPr="001D5CFD">
        <w:rPr>
          <w:b w:val="0"/>
          <w:bCs w:val="0"/>
          <w:sz w:val="24"/>
          <w:szCs w:val="24"/>
        </w:rPr>
        <w:t xml:space="preserve">Carlton admitted under oath that she required Black Captains to face a shift change when the shift was all Black when “there’s never been a change made when there’s </w:t>
      </w:r>
      <w:proofErr w:type="gramStart"/>
      <w:r w:rsidRPr="001D5CFD">
        <w:rPr>
          <w:b w:val="0"/>
          <w:bCs w:val="0"/>
          <w:sz w:val="24"/>
          <w:szCs w:val="24"/>
        </w:rPr>
        <w:t>an</w:t>
      </w:r>
      <w:proofErr w:type="gramEnd"/>
      <w:r w:rsidRPr="001D5CFD">
        <w:rPr>
          <w:b w:val="0"/>
          <w:bCs w:val="0"/>
          <w:sz w:val="24"/>
          <w:szCs w:val="24"/>
        </w:rPr>
        <w:t xml:space="preserve"> all Caucasian shift, to make it a not all Caucasian </w:t>
      </w:r>
      <w:proofErr w:type="gramStart"/>
      <w:r w:rsidRPr="001D5CFD">
        <w:rPr>
          <w:b w:val="0"/>
          <w:bCs w:val="0"/>
          <w:sz w:val="24"/>
          <w:szCs w:val="24"/>
        </w:rPr>
        <w:t>shift</w:t>
      </w:r>
      <w:proofErr w:type="gramEnd"/>
      <w:r w:rsidRPr="001D5CFD">
        <w:rPr>
          <w:b w:val="0"/>
          <w:bCs w:val="0"/>
          <w:sz w:val="24"/>
          <w:szCs w:val="24"/>
        </w:rPr>
        <w:t>.</w:t>
      </w:r>
      <w:r>
        <w:rPr>
          <w:b w:val="0"/>
          <w:bCs w:val="0"/>
          <w:sz w:val="24"/>
          <w:szCs w:val="24"/>
        </w:rPr>
        <w:t>”</w:t>
      </w:r>
      <w:r>
        <w:t xml:space="preserve"> </w:t>
      </w:r>
      <w:hyperlink r:id="rId1524" w:history="1">
        <w:r w:rsidRPr="00780B1D">
          <w:rPr>
            <w:rStyle w:val="Hyperlink"/>
            <w:sz w:val="24"/>
            <w:szCs w:val="24"/>
          </w:rPr>
          <w:t>https://www.cleveland19.com/2021/07/27/court-rules-favor-five-cleveland-ems-captains-who-claimed-discrimination-against-their-boss/</w:t>
        </w:r>
      </w:hyperlink>
      <w:r w:rsidRPr="00780B1D">
        <w:rPr>
          <w:b w:val="0"/>
          <w:bCs w:val="0"/>
          <w:sz w:val="24"/>
          <w:szCs w:val="24"/>
        </w:rPr>
        <w:t xml:space="preserve"> </w:t>
      </w:r>
    </w:p>
    <w:p w14:paraId="19B6F179" w14:textId="77777777" w:rsidR="005217D5" w:rsidRDefault="005217D5" w:rsidP="005217D5">
      <w:pPr>
        <w:pStyle w:val="Heading1"/>
        <w:ind w:left="720"/>
        <w:rPr>
          <w:b w:val="0"/>
          <w:bCs w:val="0"/>
          <w:sz w:val="24"/>
          <w:szCs w:val="24"/>
        </w:rPr>
      </w:pPr>
      <w:r>
        <w:rPr>
          <w:b w:val="0"/>
          <w:bCs w:val="0"/>
          <w:sz w:val="24"/>
          <w:szCs w:val="24"/>
        </w:rPr>
        <w:t>See also: “</w:t>
      </w:r>
      <w:r w:rsidRPr="002C1532">
        <w:rPr>
          <w:b w:val="0"/>
          <w:bCs w:val="0"/>
          <w:sz w:val="24"/>
          <w:szCs w:val="24"/>
        </w:rPr>
        <w:t>DOJ Says Black EMS Captains Can Prove Bias Without Material Harm</w:t>
      </w:r>
      <w:r>
        <w:rPr>
          <w:b w:val="0"/>
          <w:bCs w:val="0"/>
          <w:sz w:val="24"/>
          <w:szCs w:val="24"/>
        </w:rPr>
        <w:t xml:space="preserve">.” (July 13, 2021.) </w:t>
      </w:r>
      <w:hyperlink r:id="rId1525" w:history="1">
        <w:r w:rsidRPr="00814A02">
          <w:rPr>
            <w:rStyle w:val="Hyperlink"/>
            <w:sz w:val="24"/>
            <w:szCs w:val="24"/>
          </w:rPr>
          <w:t>https://news.bloomberglaw.com/daily-labor-report/doj-says-black-ems-captains-can-prove-bias-without-material-harm</w:t>
        </w:r>
      </w:hyperlink>
      <w:r>
        <w:rPr>
          <w:b w:val="0"/>
          <w:bCs w:val="0"/>
          <w:sz w:val="24"/>
          <w:szCs w:val="24"/>
        </w:rPr>
        <w:t xml:space="preserve"> </w:t>
      </w:r>
    </w:p>
    <w:p w14:paraId="1A5A6B34" w14:textId="77777777" w:rsidR="005217D5" w:rsidRDefault="005217D5" w:rsidP="005217D5">
      <w:pPr>
        <w:pStyle w:val="Heading1"/>
        <w:ind w:left="720"/>
        <w:rPr>
          <w:b w:val="0"/>
          <w:bCs w:val="0"/>
          <w:sz w:val="24"/>
          <w:szCs w:val="24"/>
        </w:rPr>
      </w:pPr>
    </w:p>
    <w:p w14:paraId="650291B9" w14:textId="77777777" w:rsidR="005217D5" w:rsidRDefault="005217D5" w:rsidP="00BC70A3">
      <w:pPr>
        <w:rPr>
          <w:rFonts w:ascii="Arial Black" w:hAnsi="Arial Black"/>
          <w:b/>
          <w:sz w:val="24"/>
          <w:szCs w:val="24"/>
        </w:rPr>
      </w:pPr>
    </w:p>
    <w:p w14:paraId="707FE524" w14:textId="77777777" w:rsidR="005217D5" w:rsidRDefault="005217D5" w:rsidP="00BC70A3">
      <w:pPr>
        <w:rPr>
          <w:rFonts w:ascii="Arial Black" w:hAnsi="Arial Black"/>
          <w:b/>
          <w:sz w:val="24"/>
          <w:szCs w:val="24"/>
        </w:rPr>
      </w:pPr>
    </w:p>
    <w:p w14:paraId="348674BE" w14:textId="6C14AEB9" w:rsidR="0077274E" w:rsidRDefault="0077274E" w:rsidP="00BC70A3">
      <w:pPr>
        <w:rPr>
          <w:rFonts w:ascii="Arial Black" w:hAnsi="Arial Black"/>
          <w:b/>
          <w:sz w:val="24"/>
          <w:szCs w:val="24"/>
        </w:rPr>
      </w:pPr>
      <w:r>
        <w:rPr>
          <w:rFonts w:ascii="Arial Black" w:hAnsi="Arial Black"/>
          <w:b/>
          <w:sz w:val="24"/>
          <w:szCs w:val="24"/>
        </w:rPr>
        <w:t>8-29</w:t>
      </w:r>
    </w:p>
    <w:p w14:paraId="18B376EC" w14:textId="77777777" w:rsidR="00EA7C42" w:rsidRPr="00EA7C42" w:rsidRDefault="00EA7C42" w:rsidP="00EA7C42">
      <w:pPr>
        <w:rPr>
          <w:rFonts w:ascii="Arial Black" w:hAnsi="Arial Black"/>
          <w:b/>
          <w:bCs/>
          <w:sz w:val="28"/>
          <w:szCs w:val="28"/>
        </w:rPr>
      </w:pPr>
      <w:r w:rsidRPr="00EA7C42">
        <w:rPr>
          <w:rFonts w:ascii="Arial Black" w:hAnsi="Arial Black"/>
          <w:b/>
          <w:bCs/>
          <w:sz w:val="28"/>
          <w:szCs w:val="28"/>
        </w:rPr>
        <w:t>MA: LT. MISTAKENLY LEFT “N” WORD VOICEMAIL - RACE COMPLAINT - THREATS “GO POSTAL” – FF REINSTATED</w:t>
      </w:r>
    </w:p>
    <w:p w14:paraId="51C70952" w14:textId="77777777" w:rsidR="0077274E" w:rsidRDefault="0077274E" w:rsidP="0077274E">
      <w:pPr>
        <w:spacing w:before="100" w:beforeAutospacing="1" w:after="100" w:afterAutospacing="1" w:line="240" w:lineRule="auto"/>
        <w:rPr>
          <w:rFonts w:ascii="Times New Roman" w:eastAsia="Times New Roman" w:hAnsi="Times New Roman"/>
          <w:sz w:val="24"/>
          <w:szCs w:val="24"/>
        </w:rPr>
      </w:pPr>
      <w:r w:rsidRPr="00FE7451">
        <w:rPr>
          <w:rFonts w:ascii="Times New Roman" w:eastAsia="Times New Roman" w:hAnsi="Times New Roman"/>
          <w:sz w:val="24"/>
          <w:szCs w:val="24"/>
        </w:rPr>
        <w:t> </w:t>
      </w:r>
      <w:r>
        <w:rPr>
          <w:rFonts w:ascii="Times New Roman" w:eastAsia="Times New Roman" w:hAnsi="Times New Roman"/>
          <w:sz w:val="24"/>
          <w:szCs w:val="24"/>
        </w:rPr>
        <w:t xml:space="preserve">On April 27, 2021, in </w:t>
      </w:r>
      <w:r w:rsidRPr="00FE7451">
        <w:rPr>
          <w:rFonts w:ascii="Times New Roman" w:eastAsia="Times New Roman" w:hAnsi="Times New Roman"/>
          <w:sz w:val="24"/>
          <w:szCs w:val="24"/>
          <w:u w:val="single"/>
        </w:rPr>
        <w:t>Town of Brookline v. Gerald Alston, et al</w:t>
      </w:r>
      <w:r>
        <w:rPr>
          <w:rFonts w:ascii="Times New Roman" w:eastAsia="Times New Roman" w:hAnsi="Times New Roman"/>
          <w:sz w:val="24"/>
          <w:szCs w:val="24"/>
        </w:rPr>
        <w:t xml:space="preserve">., the Supreme Judicial Court of Massachusetts (Chief Justice Scott L. </w:t>
      </w:r>
      <w:proofErr w:type="spellStart"/>
      <w:r>
        <w:rPr>
          <w:rFonts w:ascii="Times New Roman" w:eastAsia="Times New Roman" w:hAnsi="Times New Roman"/>
          <w:sz w:val="24"/>
          <w:szCs w:val="24"/>
        </w:rPr>
        <w:t>Kafker</w:t>
      </w:r>
      <w:proofErr w:type="spellEnd"/>
      <w:r>
        <w:rPr>
          <w:rFonts w:ascii="Times New Roman" w:eastAsia="Times New Roman" w:hAnsi="Times New Roman"/>
          <w:sz w:val="24"/>
          <w:szCs w:val="24"/>
        </w:rPr>
        <w:t>), after 6 years of litigation, upheld the Civil Service Commission and a trial court’s decision to reinstate the firefighter.  The Civil Service Commission, after a 10-day evidentiary hearing (14 witnesses; 280 exhibits) ordered him reinstated; the Town appealed to a Superior Court judge, who held for the firefighter; the Town then filed this appeal and lost again. In 2016, plaintiff was fired for refusing to comply with three (3) return to work conditions as recommended by psychiatrist retained by Town: “</w:t>
      </w:r>
      <w:r w:rsidRPr="00784C0E">
        <w:rPr>
          <w:rFonts w:ascii="Times New Roman" w:eastAsia="Times New Roman" w:hAnsi="Times New Roman"/>
          <w:sz w:val="24"/>
          <w:szCs w:val="24"/>
        </w:rPr>
        <w:t>First, Alston would have to receive monthly treatment from a psychiatrist and weekly treatment with a therapist. Second, there would have to be reasonable</w:t>
      </w:r>
      <w:r>
        <w:rPr>
          <w:rFonts w:ascii="Times New Roman" w:eastAsia="Times New Roman" w:hAnsi="Times New Roman"/>
          <w:sz w:val="24"/>
          <w:szCs w:val="24"/>
        </w:rPr>
        <w:t xml:space="preserve"> </w:t>
      </w:r>
      <w:r w:rsidRPr="00784C0E">
        <w:rPr>
          <w:rFonts w:ascii="Times New Roman" w:eastAsia="Times New Roman" w:hAnsi="Times New Roman"/>
          <w:sz w:val="24"/>
          <w:szCs w:val="24"/>
        </w:rPr>
        <w:t xml:space="preserve">workplace </w:t>
      </w:r>
      <w:proofErr w:type="gramStart"/>
      <w:r w:rsidRPr="00784C0E">
        <w:rPr>
          <w:rFonts w:ascii="Times New Roman" w:eastAsia="Times New Roman" w:hAnsi="Times New Roman"/>
          <w:sz w:val="24"/>
          <w:szCs w:val="24"/>
        </w:rPr>
        <w:t>accommodations</w:t>
      </w:r>
      <w:proofErr w:type="gramEnd"/>
      <w:r w:rsidRPr="00784C0E">
        <w:rPr>
          <w:rFonts w:ascii="Times New Roman" w:eastAsia="Times New Roman" w:hAnsi="Times New Roman"/>
          <w:sz w:val="24"/>
          <w:szCs w:val="24"/>
        </w:rPr>
        <w:t xml:space="preserve"> that reduced the level of stress for Alston. Third, Alston would have to undergo random drug screening for two years after he returned to work.</w:t>
      </w:r>
      <w:r>
        <w:rPr>
          <w:rFonts w:ascii="Times New Roman" w:eastAsia="Times New Roman" w:hAnsi="Times New Roman"/>
          <w:sz w:val="24"/>
          <w:szCs w:val="24"/>
        </w:rPr>
        <w:t xml:space="preserve">”  </w:t>
      </w:r>
    </w:p>
    <w:p w14:paraId="5BBD6914" w14:textId="77777777" w:rsidR="0077274E" w:rsidRDefault="0077274E" w:rsidP="0077274E">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963D04">
        <w:rPr>
          <w:rFonts w:ascii="Times New Roman" w:hAnsi="Times New Roman"/>
          <w:sz w:val="24"/>
          <w:szCs w:val="24"/>
        </w:rPr>
        <w:t xml:space="preserve">The underlying dispute in this case began with a racist comment, apparently on a misplaced telephone call. As Lieutenant Paul Pender was in a car driven by his son, he was cut off by a stranger. Pender referred to the person as a "fucking n----r." Unbeknownst to him, Pender had not properly hung up from a previous call, and he left a record of what he said on the voicemail of fellow firefighter Gerald Alston. Alston is </w:t>
      </w:r>
      <w:proofErr w:type="gramStart"/>
      <w:r w:rsidRPr="00963D04">
        <w:rPr>
          <w:rFonts w:ascii="Times New Roman" w:hAnsi="Times New Roman"/>
          <w:sz w:val="24"/>
          <w:szCs w:val="24"/>
        </w:rPr>
        <w:t>African-American</w:t>
      </w:r>
      <w:proofErr w:type="gramEnd"/>
      <w:r w:rsidRPr="00963D04">
        <w:rPr>
          <w:rFonts w:ascii="Times New Roman" w:hAnsi="Times New Roman"/>
          <w:sz w:val="24"/>
          <w:szCs w:val="24"/>
        </w:rPr>
        <w:t>; Pender, his supervisor at the time, is Caucasian. A tumultuous six years of litigation and acrimony ensued, culminating in 2016 with Pender receiving his third promotion since leaving the voicemail and Alston being fired by the town of Brookline (town).</w:t>
      </w:r>
    </w:p>
    <w:p w14:paraId="0C751064" w14:textId="77777777" w:rsidR="0077274E" w:rsidRDefault="0077274E" w:rsidP="0077274E">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020283EE" w14:textId="77777777" w:rsidR="0077274E" w:rsidRPr="00A30885" w:rsidRDefault="0077274E" w:rsidP="0077274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w:t>
      </w:r>
      <w:r w:rsidRPr="002C4711">
        <w:rPr>
          <w:rFonts w:ascii="Times New Roman" w:eastAsia="Times New Roman" w:hAnsi="Times New Roman"/>
          <w:sz w:val="24"/>
          <w:szCs w:val="24"/>
        </w:rPr>
        <w:t xml:space="preserve">e </w:t>
      </w:r>
      <w:proofErr w:type="gramStart"/>
      <w:r w:rsidRPr="002C4711">
        <w:rPr>
          <w:rFonts w:ascii="Times New Roman" w:eastAsia="Times New Roman" w:hAnsi="Times New Roman"/>
          <w:sz w:val="24"/>
          <w:szCs w:val="24"/>
        </w:rPr>
        <w:t>conclude</w:t>
      </w:r>
      <w:proofErr w:type="gramEnd"/>
      <w:r w:rsidRPr="002C4711">
        <w:rPr>
          <w:rFonts w:ascii="Times New Roman" w:eastAsia="Times New Roman" w:hAnsi="Times New Roman"/>
          <w:sz w:val="24"/>
          <w:szCs w:val="24"/>
        </w:rPr>
        <w:t xml:space="preserve"> that there is substantial evidence to support the commission's determination that the town acted arbitrarily and capriciously and in violation of </w:t>
      </w:r>
      <w:r>
        <w:rPr>
          <w:rFonts w:ascii="Times New Roman" w:eastAsia="Times New Roman" w:hAnsi="Times New Roman"/>
          <w:sz w:val="24"/>
          <w:szCs w:val="24"/>
        </w:rPr>
        <w:t>‘</w:t>
      </w:r>
      <w:r w:rsidRPr="002C4711">
        <w:rPr>
          <w:rFonts w:ascii="Times New Roman" w:eastAsia="Times New Roman" w:hAnsi="Times New Roman"/>
          <w:sz w:val="24"/>
          <w:szCs w:val="24"/>
        </w:rPr>
        <w:t>Alston's rights under the civil service law to be treated fairly 'without regard to . . . race.' Considering Pender's racist comment, the retaliatory actions, and the town's continuously insensitive and inappropriate, if not outright</w:t>
      </w:r>
      <w:r>
        <w:rPr>
          <w:rFonts w:ascii="Times New Roman" w:eastAsia="Times New Roman" w:hAnsi="Times New Roman"/>
          <w:sz w:val="24"/>
          <w:szCs w:val="24"/>
        </w:rPr>
        <w:t xml:space="preserve"> </w:t>
      </w:r>
      <w:r w:rsidRPr="002C4711">
        <w:rPr>
          <w:rFonts w:ascii="Times New Roman" w:eastAsia="Times New Roman" w:hAnsi="Times New Roman"/>
          <w:sz w:val="24"/>
          <w:szCs w:val="24"/>
        </w:rPr>
        <w:t xml:space="preserve">discriminatory, responses, the commission's findings constitute </w:t>
      </w:r>
      <w:r>
        <w:rPr>
          <w:rFonts w:ascii="Times New Roman" w:eastAsia="Times New Roman" w:hAnsi="Times New Roman"/>
          <w:sz w:val="24"/>
          <w:szCs w:val="24"/>
        </w:rPr>
        <w:t>‘</w:t>
      </w:r>
      <w:r w:rsidRPr="002C4711">
        <w:rPr>
          <w:rFonts w:ascii="Times New Roman" w:eastAsia="Times New Roman" w:hAnsi="Times New Roman"/>
          <w:sz w:val="24"/>
          <w:szCs w:val="24"/>
        </w:rPr>
        <w:t>such evidence as a reasonable mind might accept as adequate to support</w:t>
      </w:r>
      <w:r>
        <w:rPr>
          <w:rFonts w:ascii="Times New Roman" w:eastAsia="Times New Roman" w:hAnsi="Times New Roman"/>
          <w:sz w:val="24"/>
          <w:szCs w:val="24"/>
        </w:rPr>
        <w:t>’</w:t>
      </w:r>
      <w:r w:rsidRPr="002C4711">
        <w:rPr>
          <w:rFonts w:ascii="Times New Roman" w:eastAsia="Times New Roman" w:hAnsi="Times New Roman"/>
          <w:sz w:val="24"/>
          <w:szCs w:val="24"/>
        </w:rPr>
        <w:t xml:space="preserve"> the conclusion that the town caused Alston's unfitness preventing his return to work.</w:t>
      </w:r>
      <w:r>
        <w:rPr>
          <w:rFonts w:ascii="Times New Roman" w:eastAsia="Times New Roman" w:hAnsi="Times New Roman"/>
          <w:sz w:val="24"/>
          <w:szCs w:val="24"/>
        </w:rPr>
        <w:t xml:space="preserve">” </w:t>
      </w:r>
      <w:hyperlink r:id="rId1526" w:history="1">
        <w:r w:rsidRPr="0041276B">
          <w:rPr>
            <w:rStyle w:val="Hyperlink"/>
            <w:rFonts w:ascii="Times New Roman" w:hAnsi="Times New Roman"/>
            <w:sz w:val="24"/>
            <w:szCs w:val="24"/>
          </w:rPr>
          <w:t>https://public.fastcase.com/9SKwsfNqTc6OieYDhNMyM6Hs9QyuQxgDWvshWHam%2BmmecJULtiEuwgF0cJ0eF8SA</w:t>
        </w:r>
      </w:hyperlink>
      <w:r w:rsidRPr="00A30885">
        <w:rPr>
          <w:rFonts w:ascii="Times New Roman" w:eastAsia="Times New Roman" w:hAnsi="Times New Roman"/>
          <w:sz w:val="24"/>
          <w:szCs w:val="24"/>
        </w:rPr>
        <w:t xml:space="preserve"> </w:t>
      </w:r>
    </w:p>
    <w:p w14:paraId="7907E375" w14:textId="77777777" w:rsidR="003E0A22" w:rsidRDefault="003E0A22" w:rsidP="003E0A22">
      <w:pPr>
        <w:pStyle w:val="NormalWeb"/>
        <w:rPr>
          <w:b/>
          <w:bCs/>
        </w:rPr>
      </w:pPr>
      <w:r w:rsidRPr="005542D3">
        <w:rPr>
          <w:b/>
          <w:bCs/>
        </w:rPr>
        <w:t xml:space="preserve">Legal Lesson Learned: </w:t>
      </w:r>
      <w:r>
        <w:rPr>
          <w:b/>
          <w:bCs/>
        </w:rPr>
        <w:t xml:space="preserve"> Words matter; most unfortunate set of facts. </w:t>
      </w:r>
    </w:p>
    <w:p w14:paraId="3EADF105" w14:textId="77777777" w:rsidR="003E0A22" w:rsidRPr="002C4711" w:rsidRDefault="003E0A22" w:rsidP="003E0A22">
      <w:pPr>
        <w:pStyle w:val="NormalWeb"/>
        <w:ind w:left="720"/>
      </w:pPr>
      <w:r w:rsidRPr="002C4711">
        <w:t xml:space="preserve">Note: The Court in </w:t>
      </w:r>
      <w:r>
        <w:t>F</w:t>
      </w:r>
      <w:r w:rsidRPr="002C4711">
        <w:t>ootnote 23 wrote: “We emphasize today what should no longer need to be said in 2021 -- the use of "n----r" has absolutely no place in any workplace environment in the Commonwealth, including among those subject to the civil service laws.”</w:t>
      </w:r>
    </w:p>
    <w:p w14:paraId="32042DDA" w14:textId="77777777" w:rsidR="003E0A22" w:rsidRPr="00E07F70" w:rsidRDefault="003E0A22" w:rsidP="003E0A22">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See also this article on the case: “</w:t>
      </w:r>
      <w:r w:rsidRPr="00E07F70">
        <w:rPr>
          <w:rFonts w:ascii="Times New Roman" w:hAnsi="Times New Roman"/>
          <w:sz w:val="24"/>
          <w:szCs w:val="24"/>
        </w:rPr>
        <w:t xml:space="preserve">Brookline Appeals Superior Court Ruling </w:t>
      </w:r>
      <w:proofErr w:type="gramStart"/>
      <w:r w:rsidRPr="00E07F70">
        <w:rPr>
          <w:rFonts w:ascii="Times New Roman" w:hAnsi="Times New Roman"/>
          <w:sz w:val="24"/>
          <w:szCs w:val="24"/>
        </w:rPr>
        <w:t>On</w:t>
      </w:r>
      <w:proofErr w:type="gramEnd"/>
      <w:r w:rsidRPr="00E07F70">
        <w:rPr>
          <w:rFonts w:ascii="Times New Roman" w:hAnsi="Times New Roman"/>
          <w:sz w:val="24"/>
          <w:szCs w:val="24"/>
        </w:rPr>
        <w:t xml:space="preserve"> Firefighter Alston</w:t>
      </w:r>
      <w:r>
        <w:rPr>
          <w:rFonts w:ascii="Times New Roman" w:hAnsi="Times New Roman"/>
          <w:sz w:val="24"/>
          <w:szCs w:val="24"/>
        </w:rPr>
        <w:t>”</w:t>
      </w:r>
      <w:r w:rsidRPr="00E07F70">
        <w:rPr>
          <w:rFonts w:ascii="Times New Roman" w:hAnsi="Times New Roman"/>
          <w:sz w:val="24"/>
          <w:szCs w:val="24"/>
        </w:rPr>
        <w:t xml:space="preserve"> (Oct. 3, 2019): </w:t>
      </w:r>
      <w:hyperlink r:id="rId1527" w:history="1">
        <w:r w:rsidRPr="0041276B">
          <w:rPr>
            <w:rStyle w:val="Hyperlink"/>
            <w:rFonts w:ascii="Times New Roman" w:hAnsi="Times New Roman"/>
            <w:sz w:val="24"/>
            <w:szCs w:val="24"/>
          </w:rPr>
          <w:t>https://patch.com/massachusetts/brookline/brookline-select-board-votes-appeal-gerald-alston-case</w:t>
        </w:r>
      </w:hyperlink>
      <w:r w:rsidRPr="00E07F70">
        <w:rPr>
          <w:rFonts w:ascii="Times New Roman" w:hAnsi="Times New Roman"/>
          <w:sz w:val="24"/>
          <w:szCs w:val="24"/>
        </w:rPr>
        <w:t xml:space="preserve"> </w:t>
      </w:r>
    </w:p>
    <w:p w14:paraId="655FC049" w14:textId="77777777" w:rsidR="003E0A22" w:rsidRPr="0041276B" w:rsidRDefault="003E0A22" w:rsidP="003E0A22">
      <w:pPr>
        <w:ind w:left="720"/>
        <w:rPr>
          <w:rFonts w:ascii="Times New Roman" w:hAnsi="Times New Roman"/>
          <w:color w:val="1F497D"/>
          <w:sz w:val="24"/>
          <w:szCs w:val="24"/>
        </w:rPr>
      </w:pPr>
      <w:r w:rsidRPr="00F4718C">
        <w:rPr>
          <w:rFonts w:ascii="Times New Roman" w:hAnsi="Times New Roman"/>
          <w:sz w:val="24"/>
          <w:szCs w:val="24"/>
        </w:rPr>
        <w:t xml:space="preserve">See also this NASCAR article: </w:t>
      </w:r>
      <w:hyperlink r:id="rId1528" w:history="1">
        <w:r w:rsidRPr="0041276B">
          <w:rPr>
            <w:rStyle w:val="Hyperlink"/>
            <w:rFonts w:ascii="Times New Roman" w:hAnsi="Times New Roman"/>
            <w:sz w:val="24"/>
            <w:szCs w:val="24"/>
          </w:rPr>
          <w:t>https://www.charlotteobserver.com/sports/nascar-auto-racing/article241998186.html</w:t>
        </w:r>
      </w:hyperlink>
    </w:p>
    <w:p w14:paraId="3885E13E" w14:textId="77777777" w:rsidR="0077274E" w:rsidRDefault="0077274E" w:rsidP="00BC70A3">
      <w:pPr>
        <w:rPr>
          <w:rFonts w:ascii="Arial Black" w:hAnsi="Arial Black"/>
          <w:b/>
          <w:sz w:val="24"/>
          <w:szCs w:val="24"/>
        </w:rPr>
      </w:pPr>
    </w:p>
    <w:p w14:paraId="25FCABB4" w14:textId="77777777" w:rsidR="0077274E" w:rsidRDefault="0077274E" w:rsidP="00BC70A3">
      <w:pPr>
        <w:rPr>
          <w:rFonts w:ascii="Arial Black" w:hAnsi="Arial Black"/>
          <w:b/>
          <w:sz w:val="24"/>
          <w:szCs w:val="24"/>
        </w:rPr>
      </w:pPr>
    </w:p>
    <w:p w14:paraId="52C02748" w14:textId="77777777" w:rsidR="0077274E" w:rsidRDefault="0077274E" w:rsidP="00BC70A3">
      <w:pPr>
        <w:rPr>
          <w:rFonts w:ascii="Arial Black" w:hAnsi="Arial Black"/>
          <w:b/>
          <w:sz w:val="24"/>
          <w:szCs w:val="24"/>
        </w:rPr>
      </w:pPr>
    </w:p>
    <w:p w14:paraId="31D2CD6A" w14:textId="6953E68A" w:rsidR="00EB2493" w:rsidRDefault="00EB2493" w:rsidP="00BC70A3">
      <w:pPr>
        <w:rPr>
          <w:rFonts w:ascii="Arial Black" w:hAnsi="Arial Black"/>
          <w:b/>
          <w:sz w:val="24"/>
          <w:szCs w:val="24"/>
        </w:rPr>
      </w:pPr>
      <w:r>
        <w:rPr>
          <w:rFonts w:ascii="Arial Black" w:hAnsi="Arial Black"/>
          <w:b/>
          <w:sz w:val="24"/>
          <w:szCs w:val="24"/>
        </w:rPr>
        <w:t>8-28</w:t>
      </w:r>
    </w:p>
    <w:p w14:paraId="6F577F09" w14:textId="77777777" w:rsidR="00EB2493" w:rsidRPr="002D7177" w:rsidRDefault="00EB2493" w:rsidP="00EB2493">
      <w:pPr>
        <w:pStyle w:val="NoSpacing"/>
        <w:rPr>
          <w:rFonts w:ascii="Arial Black" w:hAnsi="Arial Black"/>
          <w:sz w:val="28"/>
          <w:szCs w:val="28"/>
        </w:rPr>
      </w:pPr>
      <w:r>
        <w:rPr>
          <w:rFonts w:ascii="Arial Black" w:hAnsi="Arial Black"/>
          <w:sz w:val="28"/>
          <w:szCs w:val="28"/>
        </w:rPr>
        <w:t>MA: AFRICAN AMERICAN FF – FIRED “UNFIT FOR DUTY” – LAWSUIT DISMISSED AGAINST CITIZEN NOT ON TOWN BOARD OF SELECTMEN</w:t>
      </w:r>
    </w:p>
    <w:p w14:paraId="48E667E4" w14:textId="3D6832F9" w:rsidR="00EB2493" w:rsidRDefault="00EB2493" w:rsidP="00EB249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Feb. 19, 2021, in </w:t>
      </w:r>
      <w:r w:rsidRPr="002D7177">
        <w:rPr>
          <w:rFonts w:ascii="Times New Roman" w:eastAsia="Times New Roman" w:hAnsi="Times New Roman"/>
          <w:sz w:val="24"/>
          <w:szCs w:val="24"/>
          <w:u w:val="single"/>
        </w:rPr>
        <w:t>Gerald Alston v. Stanley Spiegel</w:t>
      </w:r>
      <w:r>
        <w:rPr>
          <w:rFonts w:ascii="Times New Roman" w:eastAsia="Times New Roman" w:hAnsi="Times New Roman"/>
          <w:sz w:val="24"/>
          <w:szCs w:val="24"/>
        </w:rPr>
        <w:t xml:space="preserve">, the U.S. Court of Appeals for the First Circuit (Boston), held (3 to 0) that the U.S. District Court properly dismissed Alston’s race discrimination, retaliation case against a non-member of the Town of </w:t>
      </w:r>
      <w:r w:rsidRPr="00214DCF">
        <w:rPr>
          <w:rFonts w:ascii="Times New Roman" w:eastAsia="Times New Roman" w:hAnsi="Times New Roman"/>
          <w:sz w:val="24"/>
          <w:szCs w:val="24"/>
        </w:rPr>
        <w:t xml:space="preserve">Brookline </w:t>
      </w:r>
      <w:r>
        <w:rPr>
          <w:rFonts w:ascii="Times New Roman" w:eastAsia="Times New Roman" w:hAnsi="Times New Roman"/>
          <w:sz w:val="24"/>
          <w:szCs w:val="24"/>
        </w:rPr>
        <w:t xml:space="preserve">Board of Selectmen who fired him from the Brookline </w:t>
      </w:r>
      <w:r w:rsidRPr="00214DCF">
        <w:rPr>
          <w:rFonts w:ascii="Times New Roman" w:eastAsia="Times New Roman" w:hAnsi="Times New Roman"/>
          <w:sz w:val="24"/>
          <w:szCs w:val="24"/>
        </w:rPr>
        <w:t>Fire Department</w:t>
      </w:r>
      <w:r>
        <w:rPr>
          <w:rFonts w:ascii="Times New Roman" w:eastAsia="Times New Roman" w:hAnsi="Times New Roman"/>
          <w:sz w:val="24"/>
          <w:szCs w:val="24"/>
        </w:rPr>
        <w:t xml:space="preserve">.  Stanley Spiegel is not on the Board, but is a citizen elected as a member of the 240 member “Town Meeting.” </w:t>
      </w:r>
    </w:p>
    <w:p w14:paraId="4A2C7343" w14:textId="77777777" w:rsidR="00EB2493" w:rsidRDefault="00EB2493" w:rsidP="00EB249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214DCF">
        <w:rPr>
          <w:rFonts w:ascii="Times New Roman" w:eastAsia="Times New Roman" w:hAnsi="Times New Roman"/>
          <w:sz w:val="24"/>
          <w:szCs w:val="24"/>
        </w:rPr>
        <w:t xml:space="preserve">On February 13, 2015, Alston was placed on paid administrative leave. He asserts that despite the Selectmen's publicly conciliatory stance toward </w:t>
      </w:r>
      <w:proofErr w:type="gramStart"/>
      <w:r w:rsidRPr="00214DCF">
        <w:rPr>
          <w:rFonts w:ascii="Times New Roman" w:eastAsia="Times New Roman" w:hAnsi="Times New Roman"/>
          <w:sz w:val="24"/>
          <w:szCs w:val="24"/>
        </w:rPr>
        <w:t xml:space="preserve">him, </w:t>
      </w:r>
      <w:r>
        <w:rPr>
          <w:rFonts w:ascii="Times New Roman" w:eastAsia="Times New Roman" w:hAnsi="Times New Roman"/>
          <w:sz w:val="24"/>
          <w:szCs w:val="24"/>
        </w:rPr>
        <w:t>‘</w:t>
      </w:r>
      <w:proofErr w:type="gramEnd"/>
      <w:r w:rsidRPr="00214DCF">
        <w:rPr>
          <w:rFonts w:ascii="Times New Roman" w:eastAsia="Times New Roman" w:hAnsi="Times New Roman"/>
          <w:sz w:val="24"/>
          <w:szCs w:val="24"/>
        </w:rPr>
        <w:t xml:space="preserve">they tacitly encouraged their unofficial surrogates, including advisory committee member and town meeting member, Stanley </w:t>
      </w:r>
      <w:proofErr w:type="gramStart"/>
      <w:r w:rsidRPr="00214DCF">
        <w:rPr>
          <w:rFonts w:ascii="Times New Roman" w:eastAsia="Times New Roman" w:hAnsi="Times New Roman"/>
          <w:sz w:val="24"/>
          <w:szCs w:val="24"/>
        </w:rPr>
        <w:t>Spiegel</w:t>
      </w:r>
      <w:proofErr w:type="gramEnd"/>
      <w:r w:rsidRPr="00214DCF">
        <w:rPr>
          <w:rFonts w:ascii="Times New Roman" w:eastAsia="Times New Roman" w:hAnsi="Times New Roman"/>
          <w:sz w:val="24"/>
          <w:szCs w:val="24"/>
        </w:rPr>
        <w:t xml:space="preserve"> to smear Mr. Alston and undermine public support for </w:t>
      </w:r>
      <w:proofErr w:type="gramStart"/>
      <w:r w:rsidRPr="00214DCF">
        <w:rPr>
          <w:rFonts w:ascii="Times New Roman" w:eastAsia="Times New Roman" w:hAnsi="Times New Roman"/>
          <w:sz w:val="24"/>
          <w:szCs w:val="24"/>
        </w:rPr>
        <w:t>him.</w:t>
      </w:r>
      <w:r>
        <w:rPr>
          <w:rFonts w:ascii="Times New Roman" w:eastAsia="Times New Roman" w:hAnsi="Times New Roman"/>
          <w:sz w:val="24"/>
          <w:szCs w:val="24"/>
        </w:rPr>
        <w:t>’</w:t>
      </w:r>
      <w:proofErr w:type="gramEnd"/>
      <w:r w:rsidRPr="00214DCF">
        <w:rPr>
          <w:rFonts w:ascii="Times New Roman" w:eastAsia="Times New Roman" w:hAnsi="Times New Roman"/>
          <w:sz w:val="24"/>
          <w:szCs w:val="24"/>
        </w:rPr>
        <w:t xml:space="preserve"> Just over a year later — on February 16, 2016 — the Board terminated Alston's paid administrative leave. Alston was formally dismissed from his</w:t>
      </w:r>
      <w:r>
        <w:rPr>
          <w:rFonts w:ascii="Times New Roman" w:eastAsia="Times New Roman" w:hAnsi="Times New Roman"/>
          <w:sz w:val="24"/>
          <w:szCs w:val="24"/>
        </w:rPr>
        <w:t xml:space="preserve"> </w:t>
      </w:r>
      <w:r w:rsidRPr="00214DCF">
        <w:rPr>
          <w:rFonts w:ascii="Times New Roman" w:eastAsia="Times New Roman" w:hAnsi="Times New Roman"/>
          <w:sz w:val="24"/>
          <w:szCs w:val="24"/>
        </w:rPr>
        <w:t>firefighter position by unanimous vote of the Board on October 5, 2016.</w:t>
      </w:r>
    </w:p>
    <w:p w14:paraId="264EBE96" w14:textId="77777777" w:rsidR="00EB2493" w:rsidRDefault="00EB2493" w:rsidP="00EB249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5F253E3" w14:textId="77777777" w:rsidR="00EB2493" w:rsidRPr="003E5782" w:rsidRDefault="00EB2493" w:rsidP="00EB2493">
      <w:pPr>
        <w:pStyle w:val="NormalWeb"/>
        <w:ind w:left="720"/>
      </w:pPr>
      <w:r w:rsidRPr="003E5782">
        <w:t>We need go no further. For aught that appears, Spiegel was at most a peripheral player in the evolving saga of Alston's difficulties with the Town, the Board, and the Department. Alston has had three opportunities to plead his claims against Spiegel, and he has come up empty. There simply are no facts pleaded in the SAC sufficient to ground a reasonable inference that Spiegel</w:t>
      </w:r>
      <w:r>
        <w:t xml:space="preserve"> </w:t>
      </w:r>
      <w:r w:rsidRPr="003E5782">
        <w:t xml:space="preserve">is liable to Alston for any of the wrongs alleged. Put bluntly, the facts set forth are too meager to lift Alston's claims over the threshold of conjecture. We therefore </w:t>
      </w:r>
      <w:r w:rsidRPr="003E5782">
        <w:rPr>
          <w:u w:val="single"/>
        </w:rPr>
        <w:t>affirm</w:t>
      </w:r>
      <w:r w:rsidRPr="003E5782">
        <w:t xml:space="preserve"> the judgment of the district court dismissing Alston's claims. We </w:t>
      </w:r>
      <w:r w:rsidRPr="003E5782">
        <w:rPr>
          <w:u w:val="single"/>
        </w:rPr>
        <w:t>retain</w:t>
      </w:r>
      <w:r w:rsidRPr="003E5782">
        <w:t xml:space="preserve"> appellate jurisdiction over Alston's appeal insofar as it relates to his claims against other defendants.</w:t>
      </w:r>
      <w:r>
        <w:t xml:space="preserve">” </w:t>
      </w:r>
      <w:hyperlink r:id="rId1529" w:history="1">
        <w:r w:rsidRPr="008561DB">
          <w:rPr>
            <w:rStyle w:val="Hyperlink"/>
          </w:rPr>
          <w:t>https://casetext.com/case/alston-v-spiegel</w:t>
        </w:r>
      </w:hyperlink>
      <w:r>
        <w:t xml:space="preserve"> </w:t>
      </w:r>
    </w:p>
    <w:p w14:paraId="609FE75B" w14:textId="77777777" w:rsidR="00EB2493" w:rsidRPr="003E5782" w:rsidRDefault="00EB2493" w:rsidP="00EB2493">
      <w:pPr>
        <w:spacing w:before="100" w:beforeAutospacing="1" w:after="100" w:afterAutospacing="1" w:line="240" w:lineRule="auto"/>
        <w:rPr>
          <w:rFonts w:ascii="Times New Roman" w:eastAsia="Times New Roman" w:hAnsi="Times New Roman"/>
          <w:b/>
          <w:bCs/>
          <w:sz w:val="24"/>
          <w:szCs w:val="24"/>
        </w:rPr>
      </w:pPr>
      <w:r w:rsidRPr="00670C0A">
        <w:rPr>
          <w:rFonts w:ascii="Times New Roman" w:hAnsi="Times New Roman"/>
          <w:b/>
          <w:bCs/>
          <w:sz w:val="24"/>
          <w:szCs w:val="24"/>
        </w:rPr>
        <w:t>Legal Lesson Learned:</w:t>
      </w:r>
      <w:r>
        <w:rPr>
          <w:rFonts w:ascii="Times New Roman" w:hAnsi="Times New Roman"/>
          <w:b/>
          <w:bCs/>
          <w:sz w:val="24"/>
          <w:szCs w:val="24"/>
        </w:rPr>
        <w:t xml:space="preserve">  There was no proof of racial discrimination, retaliation, or conspiracy by this elected member of the Town Meeting.  </w:t>
      </w:r>
    </w:p>
    <w:p w14:paraId="2314C85E" w14:textId="04D2ECAA" w:rsidR="00EB2493" w:rsidRDefault="00EB2493" w:rsidP="00BC70A3">
      <w:pPr>
        <w:rPr>
          <w:rFonts w:ascii="Arial Black" w:hAnsi="Arial Black"/>
          <w:b/>
          <w:sz w:val="24"/>
          <w:szCs w:val="24"/>
        </w:rPr>
      </w:pPr>
    </w:p>
    <w:p w14:paraId="2ACDEBA2" w14:textId="551AE366" w:rsidR="00EB2493" w:rsidRDefault="00EB2493" w:rsidP="00BC70A3">
      <w:pPr>
        <w:rPr>
          <w:rFonts w:ascii="Arial Black" w:hAnsi="Arial Black"/>
          <w:b/>
          <w:sz w:val="24"/>
          <w:szCs w:val="24"/>
        </w:rPr>
      </w:pPr>
      <w:r>
        <w:rPr>
          <w:rFonts w:ascii="Arial Black" w:hAnsi="Arial Black"/>
          <w:b/>
          <w:sz w:val="24"/>
          <w:szCs w:val="24"/>
        </w:rPr>
        <w:t>8-27</w:t>
      </w:r>
    </w:p>
    <w:p w14:paraId="2B320BD6" w14:textId="77777777" w:rsidR="00EB2493" w:rsidRPr="007C11FC" w:rsidRDefault="00EB2493" w:rsidP="00EB2493">
      <w:pPr>
        <w:pStyle w:val="NoSpacing"/>
        <w:rPr>
          <w:rFonts w:ascii="Arial Black" w:hAnsi="Arial Black"/>
          <w:sz w:val="28"/>
          <w:szCs w:val="28"/>
        </w:rPr>
      </w:pPr>
      <w:r>
        <w:rPr>
          <w:rFonts w:ascii="Arial Black" w:hAnsi="Arial Black"/>
          <w:sz w:val="28"/>
          <w:szCs w:val="28"/>
        </w:rPr>
        <w:t xml:space="preserve">IL: CHICAGO FF / PUERTO RICO - “HOSTILE WORK ENVIRONMENT” PROCEED– MADE INTERNAL COMPLAINTS </w:t>
      </w:r>
    </w:p>
    <w:p w14:paraId="39FCEA82" w14:textId="77777777" w:rsidR="00EB2493" w:rsidRDefault="00EB2493" w:rsidP="00EB2493">
      <w:pPr>
        <w:pStyle w:val="NoSpacing"/>
      </w:pPr>
    </w:p>
    <w:p w14:paraId="36BD47EE" w14:textId="77777777" w:rsidR="00EB2493" w:rsidRDefault="00EB2493" w:rsidP="00EB2493">
      <w:pPr>
        <w:pStyle w:val="NoSpacing"/>
        <w:rPr>
          <w:rFonts w:ascii="Times New Roman" w:hAnsi="Times New Roman"/>
          <w:sz w:val="24"/>
          <w:szCs w:val="24"/>
        </w:rPr>
      </w:pPr>
      <w:r>
        <w:rPr>
          <w:rFonts w:ascii="Times New Roman" w:hAnsi="Times New Roman"/>
          <w:sz w:val="24"/>
          <w:szCs w:val="24"/>
        </w:rPr>
        <w:t xml:space="preserve">On Feb. 18, 2021, in </w:t>
      </w:r>
      <w:r w:rsidRPr="007C11FC">
        <w:rPr>
          <w:rFonts w:ascii="Times New Roman" w:hAnsi="Times New Roman"/>
          <w:sz w:val="24"/>
          <w:szCs w:val="24"/>
          <w:u w:val="single"/>
        </w:rPr>
        <w:t>Robert G. Alamo v. The City of Chicago, et al</w:t>
      </w:r>
      <w:r>
        <w:rPr>
          <w:rFonts w:ascii="Times New Roman" w:hAnsi="Times New Roman"/>
          <w:sz w:val="24"/>
          <w:szCs w:val="24"/>
        </w:rPr>
        <w:t xml:space="preserve">., U.S. District Court Judge Sharon Johnson Coleman, U.S. District Court for the Northern District of Illinois (Eastern Division) held that the lawsuit by the former fighter, may proceed against the </w:t>
      </w:r>
      <w:proofErr w:type="gramStart"/>
      <w:r>
        <w:rPr>
          <w:rFonts w:ascii="Times New Roman" w:hAnsi="Times New Roman"/>
          <w:sz w:val="24"/>
          <w:szCs w:val="24"/>
        </w:rPr>
        <w:t>City</w:t>
      </w:r>
      <w:proofErr w:type="gramEnd"/>
      <w:r>
        <w:rPr>
          <w:rFonts w:ascii="Times New Roman" w:hAnsi="Times New Roman"/>
          <w:sz w:val="24"/>
          <w:szCs w:val="24"/>
        </w:rPr>
        <w:t xml:space="preserve"> on his claim of “hostile workplace environment” since he made </w:t>
      </w:r>
      <w:r>
        <w:rPr>
          <w:rFonts w:ascii="Times New Roman" w:hAnsi="Times New Roman"/>
          <w:sz w:val="24"/>
          <w:szCs w:val="24"/>
        </w:rPr>
        <w:lastRenderedPageBreak/>
        <w:t xml:space="preserve">complaints to Supervisors and to Internal Affairs.  His other claims in the lawsuit of national origin, race and disabilities discrimination were dismissed; he was fired after being diagnosed as “unfit for duty” (PTSD). </w:t>
      </w:r>
    </w:p>
    <w:p w14:paraId="167D52F9"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305556">
        <w:rPr>
          <w:rFonts w:ascii="Times New Roman" w:hAnsi="Times New Roman"/>
          <w:sz w:val="24"/>
          <w:szCs w:val="24"/>
        </w:rPr>
        <w:t xml:space="preserve">On September 13, 2011, Alamo reported for duty at Engine 55. He was not feeling well, so he decided to go to the bunkroom to lie down, at which time he told a coworker to come get him if a call came in. Later that day, Captain Pat Stefan awakened Alamo by pushing and shaking him, and shouting </w:t>
      </w:r>
      <w:r>
        <w:rPr>
          <w:rFonts w:ascii="Times New Roman" w:hAnsi="Times New Roman"/>
          <w:sz w:val="24"/>
          <w:szCs w:val="24"/>
        </w:rPr>
        <w:t>‘</w:t>
      </w:r>
      <w:r w:rsidRPr="00305556">
        <w:rPr>
          <w:rFonts w:ascii="Times New Roman" w:hAnsi="Times New Roman"/>
          <w:sz w:val="24"/>
          <w:szCs w:val="24"/>
        </w:rPr>
        <w:t>Mother</w:t>
      </w:r>
      <w:r>
        <w:rPr>
          <w:rFonts w:ascii="Times New Roman" w:hAnsi="Times New Roman"/>
          <w:sz w:val="24"/>
          <w:szCs w:val="24"/>
        </w:rPr>
        <w:t xml:space="preserve"> </w:t>
      </w:r>
      <w:r w:rsidRPr="00305556">
        <w:rPr>
          <w:rFonts w:ascii="Times New Roman" w:hAnsi="Times New Roman"/>
          <w:sz w:val="24"/>
          <w:szCs w:val="24"/>
        </w:rPr>
        <w:t xml:space="preserve">fucker </w:t>
      </w:r>
      <w:proofErr w:type="gramStart"/>
      <w:r w:rsidRPr="00305556">
        <w:rPr>
          <w:rFonts w:ascii="Times New Roman" w:hAnsi="Times New Roman"/>
          <w:sz w:val="24"/>
          <w:szCs w:val="24"/>
        </w:rPr>
        <w:t>get</w:t>
      </w:r>
      <w:proofErr w:type="gramEnd"/>
      <w:r w:rsidRPr="00305556">
        <w:rPr>
          <w:rFonts w:ascii="Times New Roman" w:hAnsi="Times New Roman"/>
          <w:sz w:val="24"/>
          <w:szCs w:val="24"/>
        </w:rPr>
        <w:t xml:space="preserve"> up. You missed the run. You motherfucker. You lazy mother</w:t>
      </w:r>
      <w:r>
        <w:rPr>
          <w:rFonts w:ascii="Times New Roman" w:hAnsi="Times New Roman"/>
          <w:sz w:val="24"/>
          <w:szCs w:val="24"/>
        </w:rPr>
        <w:t xml:space="preserve"> </w:t>
      </w:r>
      <w:r w:rsidRPr="00305556">
        <w:rPr>
          <w:rFonts w:ascii="Times New Roman" w:hAnsi="Times New Roman"/>
          <w:sz w:val="24"/>
          <w:szCs w:val="24"/>
        </w:rPr>
        <w:t>fucker. You piece of shit.</w:t>
      </w:r>
      <w:r>
        <w:rPr>
          <w:rFonts w:ascii="Times New Roman" w:hAnsi="Times New Roman"/>
          <w:sz w:val="24"/>
          <w:szCs w:val="24"/>
        </w:rPr>
        <w:t>’</w:t>
      </w:r>
      <w:r w:rsidRPr="00305556">
        <w:rPr>
          <w:rFonts w:ascii="Times New Roman" w:hAnsi="Times New Roman"/>
          <w:sz w:val="24"/>
          <w:szCs w:val="24"/>
        </w:rPr>
        <w:t xml:space="preserve"> Alamo testified that during this altercation, Captain Stefan told him he did not like </w:t>
      </w:r>
      <w:r>
        <w:rPr>
          <w:rFonts w:ascii="Times New Roman" w:hAnsi="Times New Roman"/>
          <w:sz w:val="24"/>
          <w:szCs w:val="24"/>
        </w:rPr>
        <w:t>‘</w:t>
      </w:r>
      <w:r w:rsidRPr="00305556">
        <w:rPr>
          <w:rFonts w:ascii="Times New Roman" w:hAnsi="Times New Roman"/>
          <w:sz w:val="24"/>
          <w:szCs w:val="24"/>
        </w:rPr>
        <w:t>his kind.</w:t>
      </w:r>
      <w:r>
        <w:rPr>
          <w:rFonts w:ascii="Times New Roman" w:hAnsi="Times New Roman"/>
          <w:sz w:val="24"/>
          <w:szCs w:val="24"/>
        </w:rPr>
        <w:t>’</w:t>
      </w:r>
      <w:r w:rsidRPr="00305556">
        <w:rPr>
          <w:rFonts w:ascii="Times New Roman" w:hAnsi="Times New Roman"/>
          <w:sz w:val="24"/>
          <w:szCs w:val="24"/>
        </w:rPr>
        <w:t xml:space="preserve"> He also testified that </w:t>
      </w:r>
      <w:r>
        <w:rPr>
          <w:rFonts w:ascii="Times New Roman" w:hAnsi="Times New Roman"/>
          <w:sz w:val="24"/>
          <w:szCs w:val="24"/>
        </w:rPr>
        <w:t>‘</w:t>
      </w:r>
      <w:r w:rsidRPr="00305556">
        <w:rPr>
          <w:rFonts w:ascii="Times New Roman" w:hAnsi="Times New Roman"/>
          <w:sz w:val="24"/>
          <w:szCs w:val="24"/>
        </w:rPr>
        <w:t>I believe Captain Stefan called me a spic.</w:t>
      </w:r>
      <w:r>
        <w:rPr>
          <w:rFonts w:ascii="Times New Roman" w:hAnsi="Times New Roman"/>
          <w:sz w:val="24"/>
          <w:szCs w:val="24"/>
        </w:rPr>
        <w:t>’</w:t>
      </w:r>
      <w:r w:rsidRPr="00305556">
        <w:rPr>
          <w:rFonts w:ascii="Times New Roman" w:hAnsi="Times New Roman"/>
          <w:sz w:val="24"/>
          <w:szCs w:val="24"/>
        </w:rPr>
        <w:t xml:space="preserve"> During this incident, Captain Stefan chest bumped Alamo resulting in a contusion.</w:t>
      </w:r>
      <w:r>
        <w:rPr>
          <w:rFonts w:ascii="Times New Roman" w:hAnsi="Times New Roman"/>
          <w:sz w:val="24"/>
          <w:szCs w:val="24"/>
        </w:rPr>
        <w:t xml:space="preserve"> </w:t>
      </w:r>
      <w:r w:rsidRPr="00305556">
        <w:rPr>
          <w:rFonts w:ascii="Times New Roman" w:hAnsi="Times New Roman"/>
          <w:sz w:val="24"/>
          <w:szCs w:val="24"/>
        </w:rPr>
        <w:t xml:space="preserve">After this incident, Alamo called the police department and filed a report. Two days after the incident with Captain Stefan, Alamo went on a medical </w:t>
      </w:r>
      <w:r>
        <w:rPr>
          <w:rFonts w:ascii="Times New Roman" w:hAnsi="Times New Roman"/>
          <w:sz w:val="24"/>
          <w:szCs w:val="24"/>
        </w:rPr>
        <w:t>‘l</w:t>
      </w:r>
      <w:r w:rsidRPr="00305556">
        <w:rPr>
          <w:rFonts w:ascii="Times New Roman" w:hAnsi="Times New Roman"/>
          <w:sz w:val="24"/>
          <w:szCs w:val="24"/>
        </w:rPr>
        <w:t>ay-up</w:t>
      </w:r>
      <w:r>
        <w:rPr>
          <w:rFonts w:ascii="Times New Roman" w:hAnsi="Times New Roman"/>
          <w:sz w:val="24"/>
          <w:szCs w:val="24"/>
        </w:rPr>
        <w:t>’</w:t>
      </w:r>
      <w:r w:rsidRPr="00305556">
        <w:rPr>
          <w:rFonts w:ascii="Times New Roman" w:hAnsi="Times New Roman"/>
          <w:sz w:val="24"/>
          <w:szCs w:val="24"/>
        </w:rPr>
        <w:t xml:space="preserve"> for what Alamo described as chest pains, stress, and anxiety. Alamo testified that while he was on lay-up, other firefighters harassed him at his home during </w:t>
      </w:r>
      <w:r>
        <w:rPr>
          <w:rFonts w:ascii="Times New Roman" w:hAnsi="Times New Roman"/>
          <w:sz w:val="24"/>
          <w:szCs w:val="24"/>
        </w:rPr>
        <w:t>‘</w:t>
      </w:r>
      <w:r w:rsidRPr="00305556">
        <w:rPr>
          <w:rFonts w:ascii="Times New Roman" w:hAnsi="Times New Roman"/>
          <w:sz w:val="24"/>
          <w:szCs w:val="24"/>
        </w:rPr>
        <w:t>wellness checks.</w:t>
      </w:r>
      <w:r>
        <w:rPr>
          <w:rFonts w:ascii="Times New Roman" w:hAnsi="Times New Roman"/>
          <w:sz w:val="24"/>
          <w:szCs w:val="24"/>
        </w:rPr>
        <w:t>’</w:t>
      </w:r>
    </w:p>
    <w:p w14:paraId="60E4E84E"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8B0EDF9" w14:textId="77777777" w:rsidR="00EB2493" w:rsidRPr="00E61BCF" w:rsidRDefault="00EB2493" w:rsidP="00EB2493">
      <w:pPr>
        <w:spacing w:before="100" w:beforeAutospacing="1" w:after="100" w:afterAutospacing="1" w:line="240" w:lineRule="auto"/>
        <w:ind w:left="720"/>
        <w:rPr>
          <w:sz w:val="24"/>
          <w:szCs w:val="24"/>
        </w:rPr>
      </w:pPr>
      <w:r w:rsidRPr="000B20EC">
        <w:rPr>
          <w:rFonts w:ascii="Times New Roman" w:eastAsia="Times New Roman" w:hAnsi="Times New Roman"/>
          <w:sz w:val="24"/>
          <w:szCs w:val="24"/>
        </w:rPr>
        <w:t>Alamo</w:t>
      </w:r>
      <w:r>
        <w:rPr>
          <w:rFonts w:ascii="Times New Roman" w:eastAsia="Times New Roman" w:hAnsi="Times New Roman"/>
          <w:sz w:val="24"/>
          <w:szCs w:val="24"/>
        </w:rPr>
        <w:t xml:space="preserve"> </w:t>
      </w:r>
      <w:r w:rsidRPr="000B20EC">
        <w:rPr>
          <w:rFonts w:ascii="Times New Roman" w:eastAsia="Times New Roman" w:hAnsi="Times New Roman"/>
          <w:sz w:val="24"/>
          <w:szCs w:val="24"/>
        </w:rPr>
        <w:t xml:space="preserve">has presented evidence that he complained to his supervisors of the harassment. For example, on a form in evidence dated January 2, 2012, Alamo explains why he believes he was subjected to a hostile work environment based on the September 2011 events with Captain Stefan and that he had also submitted </w:t>
      </w:r>
      <w:proofErr w:type="gramStart"/>
      <w:r w:rsidRPr="000B20EC">
        <w:rPr>
          <w:rFonts w:ascii="Times New Roman" w:eastAsia="Times New Roman" w:hAnsi="Times New Roman"/>
          <w:sz w:val="24"/>
          <w:szCs w:val="24"/>
        </w:rPr>
        <w:t>a Form</w:t>
      </w:r>
      <w:proofErr w:type="gramEnd"/>
      <w:r w:rsidRPr="000B20EC">
        <w:rPr>
          <w:rFonts w:ascii="Times New Roman" w:eastAsia="Times New Roman" w:hAnsi="Times New Roman"/>
          <w:sz w:val="24"/>
          <w:szCs w:val="24"/>
        </w:rPr>
        <w:t xml:space="preserve"> 2 to the Internal Affairs </w:t>
      </w:r>
      <w:proofErr w:type="gramStart"/>
      <w:r w:rsidRPr="000B20EC">
        <w:rPr>
          <w:rFonts w:ascii="Times New Roman" w:eastAsia="Times New Roman" w:hAnsi="Times New Roman"/>
          <w:sz w:val="24"/>
          <w:szCs w:val="24"/>
        </w:rPr>
        <w:t>Division (</w:t>
      </w:r>
      <w:r>
        <w:rPr>
          <w:rFonts w:ascii="Times New Roman" w:eastAsia="Times New Roman" w:hAnsi="Times New Roman"/>
          <w:sz w:val="24"/>
          <w:szCs w:val="24"/>
        </w:rPr>
        <w:t>‘</w:t>
      </w:r>
      <w:proofErr w:type="gramEnd"/>
      <w:r w:rsidRPr="000B20EC">
        <w:rPr>
          <w:rFonts w:ascii="Times New Roman" w:eastAsia="Times New Roman" w:hAnsi="Times New Roman"/>
          <w:sz w:val="24"/>
          <w:szCs w:val="24"/>
        </w:rPr>
        <w:t>IAD</w:t>
      </w:r>
      <w:r>
        <w:rPr>
          <w:rFonts w:ascii="Times New Roman" w:eastAsia="Times New Roman" w:hAnsi="Times New Roman"/>
          <w:sz w:val="24"/>
          <w:szCs w:val="24"/>
        </w:rPr>
        <w:t>’</w:t>
      </w:r>
      <w:r w:rsidRPr="000B20EC">
        <w:rPr>
          <w:rFonts w:ascii="Times New Roman" w:eastAsia="Times New Roman" w:hAnsi="Times New Roman"/>
          <w:sz w:val="24"/>
          <w:szCs w:val="24"/>
        </w:rPr>
        <w:t xml:space="preserve">). Alamo also filed a Form 2 to the IAD dated February 22, </w:t>
      </w:r>
      <w:proofErr w:type="gramStart"/>
      <w:r w:rsidRPr="000B20EC">
        <w:rPr>
          <w:rFonts w:ascii="Times New Roman" w:eastAsia="Times New Roman" w:hAnsi="Times New Roman"/>
          <w:sz w:val="24"/>
          <w:szCs w:val="24"/>
        </w:rPr>
        <w:t>2013</w:t>
      </w:r>
      <w:proofErr w:type="gramEnd"/>
      <w:r w:rsidRPr="000B20EC">
        <w:rPr>
          <w:rFonts w:ascii="Times New Roman" w:eastAsia="Times New Roman" w:hAnsi="Times New Roman"/>
          <w:sz w:val="24"/>
          <w:szCs w:val="24"/>
        </w:rPr>
        <w:t xml:space="preserve"> explaining that Captain Stefan stated he didn't like Alamo's </w:t>
      </w:r>
      <w:r>
        <w:rPr>
          <w:rFonts w:ascii="Times New Roman" w:eastAsia="Times New Roman" w:hAnsi="Times New Roman"/>
          <w:sz w:val="24"/>
          <w:szCs w:val="24"/>
        </w:rPr>
        <w:t>‘</w:t>
      </w:r>
      <w:r w:rsidRPr="000B20EC">
        <w:rPr>
          <w:rFonts w:ascii="Times New Roman" w:eastAsia="Times New Roman" w:hAnsi="Times New Roman"/>
          <w:sz w:val="24"/>
          <w:szCs w:val="24"/>
        </w:rPr>
        <w:t>kind.</w:t>
      </w:r>
      <w:r>
        <w:rPr>
          <w:rFonts w:ascii="Times New Roman" w:eastAsia="Times New Roman" w:hAnsi="Times New Roman"/>
          <w:sz w:val="24"/>
          <w:szCs w:val="24"/>
        </w:rPr>
        <w:t>’</w:t>
      </w:r>
      <w:r w:rsidRPr="000B20EC">
        <w:rPr>
          <w:rFonts w:ascii="Times New Roman" w:eastAsia="Times New Roman" w:hAnsi="Times New Roman"/>
          <w:sz w:val="24"/>
          <w:szCs w:val="24"/>
        </w:rPr>
        <w:t xml:space="preserve"> Other evidence of notice includes Lieutenant Bliss' testimony that after Alamo informed him of the incident with Captain Stefan, Bliss called Chief Steven </w:t>
      </w:r>
      <w:proofErr w:type="spellStart"/>
      <w:r w:rsidRPr="000B20EC">
        <w:rPr>
          <w:rFonts w:ascii="Times New Roman" w:eastAsia="Times New Roman" w:hAnsi="Times New Roman"/>
          <w:sz w:val="24"/>
          <w:szCs w:val="24"/>
        </w:rPr>
        <w:t>Chikerotis</w:t>
      </w:r>
      <w:proofErr w:type="spellEnd"/>
      <w:r w:rsidRPr="000B20EC">
        <w:rPr>
          <w:rFonts w:ascii="Times New Roman" w:eastAsia="Times New Roman" w:hAnsi="Times New Roman"/>
          <w:sz w:val="24"/>
          <w:szCs w:val="24"/>
        </w:rPr>
        <w:t xml:space="preserve"> to review the incident. Further, Alamo testified at his deposition that he turned in numerous Form 2s to his chain of command</w:t>
      </w:r>
      <w:r>
        <w:rPr>
          <w:rFonts w:ascii="Times New Roman" w:eastAsia="Times New Roman" w:hAnsi="Times New Roman"/>
          <w:sz w:val="24"/>
          <w:szCs w:val="24"/>
        </w:rPr>
        <w:t xml:space="preserve"> </w:t>
      </w:r>
      <w:r w:rsidRPr="000B20EC">
        <w:rPr>
          <w:rFonts w:ascii="Times New Roman" w:eastAsia="Times New Roman" w:hAnsi="Times New Roman"/>
          <w:sz w:val="24"/>
          <w:szCs w:val="24"/>
        </w:rPr>
        <w:t>about the harassment and that he reported the racial slurs and that other firefighters were throwing away his food to his supervisor Lieutenant Bliss.</w:t>
      </w:r>
      <w:r>
        <w:rPr>
          <w:rFonts w:ascii="Times New Roman" w:eastAsia="Times New Roman" w:hAnsi="Times New Roman"/>
          <w:sz w:val="24"/>
          <w:szCs w:val="24"/>
        </w:rPr>
        <w:t>”</w:t>
      </w:r>
    </w:p>
    <w:p w14:paraId="46A64A0A"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747340A4" w14:textId="77777777" w:rsidR="00EB2493" w:rsidRDefault="00EB2493" w:rsidP="00EB2493">
      <w:pPr>
        <w:spacing w:before="100" w:beforeAutospacing="1" w:after="100" w:afterAutospacing="1" w:line="240" w:lineRule="auto"/>
        <w:ind w:left="720"/>
        <w:rPr>
          <w:rFonts w:ascii="Times New Roman" w:hAnsi="Times New Roman"/>
          <w:sz w:val="24"/>
          <w:szCs w:val="24"/>
        </w:rPr>
      </w:pPr>
      <w:r w:rsidRPr="00305556">
        <w:rPr>
          <w:rFonts w:ascii="Times New Roman" w:hAnsi="Times New Roman"/>
          <w:sz w:val="24"/>
          <w:szCs w:val="24"/>
        </w:rPr>
        <w:t xml:space="preserve">Looking at the totality of the evidence, it is </w:t>
      </w:r>
      <w:r>
        <w:rPr>
          <w:rFonts w:ascii="Times New Roman" w:hAnsi="Times New Roman"/>
          <w:sz w:val="24"/>
          <w:szCs w:val="24"/>
        </w:rPr>
        <w:t>‘</w:t>
      </w:r>
      <w:r w:rsidRPr="00305556">
        <w:rPr>
          <w:rFonts w:ascii="Times New Roman" w:hAnsi="Times New Roman"/>
          <w:sz w:val="24"/>
          <w:szCs w:val="24"/>
        </w:rPr>
        <w:t xml:space="preserve">significant that </w:t>
      </w:r>
      <w:proofErr w:type="gramStart"/>
      <w:r w:rsidRPr="00305556">
        <w:rPr>
          <w:rFonts w:ascii="Times New Roman" w:hAnsi="Times New Roman"/>
          <w:sz w:val="24"/>
          <w:szCs w:val="24"/>
        </w:rPr>
        <w:t>the harassment</w:t>
      </w:r>
      <w:proofErr w:type="gramEnd"/>
      <w:r w:rsidRPr="00305556">
        <w:rPr>
          <w:rFonts w:ascii="Times New Roman" w:hAnsi="Times New Roman"/>
          <w:sz w:val="24"/>
          <w:szCs w:val="24"/>
        </w:rPr>
        <w:t xml:space="preserve"> occurred in an atmosphere where firefighters live and serve together and in which mutual interdependence is an essential factor in effectiveness and, at times, survival.</w:t>
      </w:r>
      <w:r>
        <w:rPr>
          <w:rFonts w:ascii="Times New Roman" w:hAnsi="Times New Roman"/>
          <w:sz w:val="24"/>
          <w:szCs w:val="24"/>
        </w:rPr>
        <w:t>’</w:t>
      </w:r>
      <w:r w:rsidRPr="00305556">
        <w:rPr>
          <w:rFonts w:ascii="Times New Roman" w:hAnsi="Times New Roman"/>
          <w:sz w:val="24"/>
          <w:szCs w:val="24"/>
        </w:rPr>
        <w:t xml:space="preserve"> </w:t>
      </w:r>
      <w:r w:rsidRPr="00305556">
        <w:rPr>
          <w:rFonts w:ascii="Times New Roman" w:hAnsi="Times New Roman"/>
          <w:i/>
          <w:iCs/>
          <w:sz w:val="24"/>
          <w:szCs w:val="24"/>
        </w:rPr>
        <w:t>Alamo</w:t>
      </w:r>
      <w:r w:rsidRPr="00305556">
        <w:rPr>
          <w:rFonts w:ascii="Times New Roman" w:hAnsi="Times New Roman"/>
          <w:sz w:val="24"/>
          <w:szCs w:val="24"/>
        </w:rPr>
        <w:t>, 864 F.3d at 551.</w:t>
      </w:r>
      <w:r>
        <w:rPr>
          <w:rFonts w:ascii="Times New Roman" w:hAnsi="Times New Roman"/>
          <w:sz w:val="24"/>
          <w:szCs w:val="24"/>
        </w:rPr>
        <w:t xml:space="preserve">” </w:t>
      </w:r>
      <w:hyperlink r:id="rId1530" w:history="1">
        <w:r w:rsidRPr="00023471">
          <w:rPr>
            <w:rStyle w:val="Hyperlink"/>
            <w:rFonts w:ascii="Times New Roman" w:hAnsi="Times New Roman"/>
            <w:sz w:val="24"/>
            <w:szCs w:val="24"/>
          </w:rPr>
          <w:t>https://casetext.com/case/alamo-v-city-of-chi-2</w:t>
        </w:r>
      </w:hyperlink>
      <w:r>
        <w:rPr>
          <w:rFonts w:ascii="Times New Roman" w:hAnsi="Times New Roman"/>
          <w:sz w:val="24"/>
          <w:szCs w:val="24"/>
        </w:rPr>
        <w:t xml:space="preserve"> </w:t>
      </w:r>
    </w:p>
    <w:p w14:paraId="259761E5" w14:textId="77777777" w:rsidR="00EB2493" w:rsidRDefault="00EB2493" w:rsidP="00EB2493">
      <w:pPr>
        <w:spacing w:before="100" w:beforeAutospacing="1" w:after="100" w:afterAutospacing="1" w:line="240" w:lineRule="auto"/>
        <w:rPr>
          <w:rFonts w:ascii="Times New Roman" w:hAnsi="Times New Roman"/>
          <w:b/>
          <w:bCs/>
          <w:sz w:val="24"/>
          <w:szCs w:val="24"/>
        </w:rPr>
      </w:pPr>
      <w:r w:rsidRPr="000E79A2">
        <w:rPr>
          <w:rFonts w:ascii="Times New Roman" w:hAnsi="Times New Roman"/>
          <w:b/>
          <w:bCs/>
          <w:sz w:val="24"/>
          <w:szCs w:val="24"/>
        </w:rPr>
        <w:t>Legal Lesson Learned:</w:t>
      </w:r>
      <w:r>
        <w:rPr>
          <w:rFonts w:ascii="Times New Roman" w:hAnsi="Times New Roman"/>
          <w:b/>
          <w:bCs/>
          <w:sz w:val="24"/>
          <w:szCs w:val="24"/>
        </w:rPr>
        <w:t xml:space="preserve">  Internal complaints of hostile work environment, whether complaints about Supervisors or about fellow firefighters, should be promptly investigated and corrective action documented. </w:t>
      </w:r>
    </w:p>
    <w:p w14:paraId="0392A0DE" w14:textId="3AC07CD1" w:rsidR="00EB2493" w:rsidRDefault="00EB2493" w:rsidP="00BC70A3">
      <w:pPr>
        <w:rPr>
          <w:rFonts w:ascii="Arial Black" w:hAnsi="Arial Black"/>
          <w:b/>
          <w:sz w:val="24"/>
          <w:szCs w:val="24"/>
        </w:rPr>
      </w:pPr>
    </w:p>
    <w:p w14:paraId="05814076" w14:textId="547ED69B" w:rsidR="00EB2493" w:rsidRDefault="00EB2493" w:rsidP="00BC70A3">
      <w:pPr>
        <w:rPr>
          <w:rFonts w:ascii="Arial Black" w:hAnsi="Arial Black"/>
          <w:b/>
          <w:sz w:val="24"/>
          <w:szCs w:val="24"/>
        </w:rPr>
      </w:pPr>
      <w:r>
        <w:rPr>
          <w:rFonts w:ascii="Arial Black" w:hAnsi="Arial Black"/>
          <w:b/>
          <w:sz w:val="24"/>
          <w:szCs w:val="24"/>
        </w:rPr>
        <w:t>8-26</w:t>
      </w:r>
    </w:p>
    <w:p w14:paraId="369DD68E" w14:textId="77777777" w:rsidR="00EB2493" w:rsidRDefault="00EB2493" w:rsidP="00EB2493">
      <w:pPr>
        <w:spacing w:before="100" w:beforeAutospacing="1" w:after="100" w:afterAutospacing="1" w:line="240" w:lineRule="auto"/>
        <w:rPr>
          <w:rFonts w:ascii="Arial Black" w:hAnsi="Arial Black"/>
          <w:sz w:val="28"/>
          <w:szCs w:val="28"/>
        </w:rPr>
      </w:pPr>
      <w:r>
        <w:rPr>
          <w:rFonts w:ascii="Arial Black" w:hAnsi="Arial Black"/>
          <w:sz w:val="28"/>
          <w:szCs w:val="28"/>
        </w:rPr>
        <w:t>MI: PALESTINIAN FF – NATIONAL ORIGIN CLAIMS UNPROVEN – ALLOWED BEARD, AND TO WORK NIGHTS DURING RAMADAN</w:t>
      </w:r>
    </w:p>
    <w:p w14:paraId="603CE591" w14:textId="77777777" w:rsidR="00EB2493" w:rsidRDefault="00EB2493" w:rsidP="00EB2493">
      <w:pPr>
        <w:pStyle w:val="NormalWeb"/>
      </w:pPr>
      <w:r>
        <w:t xml:space="preserve">On Feb. 4, 2021, in </w:t>
      </w:r>
      <w:r w:rsidRPr="001E13BD">
        <w:rPr>
          <w:u w:val="single"/>
        </w:rPr>
        <w:t>Alaa Saade v. City of Detroit,</w:t>
      </w:r>
      <w:r>
        <w:rPr>
          <w:u w:val="single"/>
        </w:rPr>
        <w:t xml:space="preserve"> </w:t>
      </w:r>
      <w:r w:rsidRPr="001E13BD">
        <w:rPr>
          <w:u w:val="single"/>
        </w:rPr>
        <w:t>et al.</w:t>
      </w:r>
      <w:r>
        <w:t xml:space="preserve">  U.S. District Judge Judith E. Levy granted the defendants motion for summary judgment.  His claims of national origin discrimination, including not being promoted and disciplined for delaying ambulance response, dismissed for lack of proof.  He was allowed when hired to wear a beard, and his claim of not being accommodated during Ramadan was proven false – he was allowed to work Night Shift. </w:t>
      </w:r>
      <w:hyperlink r:id="rId1531" w:history="1">
        <w:r w:rsidRPr="005D199E">
          <w:rPr>
            <w:rStyle w:val="Hyperlink"/>
          </w:rPr>
          <w:t>https://casetext.com/case/saade-v-city-of-detroit-1</w:t>
        </w:r>
      </w:hyperlink>
      <w:r>
        <w:t xml:space="preserve">  </w:t>
      </w:r>
    </w:p>
    <w:p w14:paraId="1B3FDFAB" w14:textId="77777777" w:rsidR="00EB2493" w:rsidRDefault="00EB2493" w:rsidP="00EB2493">
      <w:pPr>
        <w:pStyle w:val="NormalWeb"/>
        <w:ind w:left="720"/>
        <w:rPr>
          <w:b/>
          <w:bCs/>
          <w:i/>
          <w:iCs/>
        </w:rPr>
      </w:pPr>
      <w:r>
        <w:rPr>
          <w:b/>
          <w:bCs/>
          <w:i/>
          <w:iCs/>
        </w:rPr>
        <w:lastRenderedPageBreak/>
        <w:t>“Failure to Promote</w:t>
      </w:r>
    </w:p>
    <w:p w14:paraId="7C745D7D" w14:textId="77777777" w:rsidR="00EB2493" w:rsidRDefault="00EB2493" w:rsidP="00EB2493">
      <w:pPr>
        <w:pStyle w:val="NormalWeb"/>
        <w:ind w:left="720"/>
      </w:pPr>
      <w:r>
        <w:t>In 2016, Plaintiff applied for job that would have led to a promotion to the rank of Shift Supervisor Grade II. (ECF No. 31, PageID.224.) He states that he was selected from many other candidates to take a written test and participate in an oral interview. Plaintiff states that he was the only candidate with a college degree, which was listed as one of the preferred job requirements.</w:t>
      </w:r>
    </w:p>
    <w:p w14:paraId="1733715C" w14:textId="77777777" w:rsidR="00EB2493" w:rsidRDefault="00EB2493" w:rsidP="00EB2493">
      <w:pPr>
        <w:pStyle w:val="NormalWeb"/>
        <w:ind w:left="720"/>
      </w:pPr>
      <w:r>
        <w:t>[Court]:  Plaintiff admitted in his deposition that he was unsuccessful at the oral interview portion of the selection process…. Specifically, when asked if it was possible another candidate got the position because they outscored Plaintiff in other categories of the application, Plaintiff admitted, "I have no idea. Anything is possible…." Plaintiff was asked what evidence he had to support his claim of discrimination and he stated, "I don't have any evidence of that. Just what I feel happened because of the way it happened, so." (</w:t>
      </w:r>
      <w:r>
        <w:rPr>
          <w:i/>
          <w:iCs/>
        </w:rPr>
        <w:t>Id</w:t>
      </w:r>
      <w:r>
        <w:t>.) This is not enough to sustain a claim of discrimination.</w:t>
      </w:r>
    </w:p>
    <w:p w14:paraId="2B908E18" w14:textId="77777777" w:rsidR="00EB2493" w:rsidRDefault="00EB2493" w:rsidP="00EB2493">
      <w:pPr>
        <w:pStyle w:val="NormalWeb"/>
        <w:ind w:left="720"/>
      </w:pPr>
      <w:r>
        <w:t>***</w:t>
      </w:r>
    </w:p>
    <w:p w14:paraId="63A806FC" w14:textId="77777777" w:rsidR="00EB2493" w:rsidRDefault="00EB2493" w:rsidP="00EB2493">
      <w:pPr>
        <w:pStyle w:val="paragraph"/>
        <w:ind w:firstLine="720"/>
      </w:pPr>
      <w:r>
        <w:rPr>
          <w:b/>
          <w:bCs/>
          <w:i/>
          <w:iCs/>
        </w:rPr>
        <w:t>March 27</w:t>
      </w:r>
      <w:r>
        <w:t xml:space="preserve">, </w:t>
      </w:r>
      <w:proofErr w:type="gramStart"/>
      <w:r>
        <w:rPr>
          <w:b/>
          <w:bCs/>
          <w:i/>
          <w:iCs/>
        </w:rPr>
        <w:t>2017</w:t>
      </w:r>
      <w:proofErr w:type="gramEnd"/>
      <w:r>
        <w:rPr>
          <w:b/>
          <w:bCs/>
          <w:i/>
          <w:iCs/>
        </w:rPr>
        <w:t xml:space="preserve"> Discipline</w:t>
      </w:r>
      <w:r>
        <w:rPr>
          <w:b/>
          <w:bCs/>
        </w:rPr>
        <w:t xml:space="preserve"> </w:t>
      </w:r>
    </w:p>
    <w:p w14:paraId="4020CA56" w14:textId="77777777" w:rsidR="00EB2493" w:rsidRDefault="00EB2493" w:rsidP="00EB2493">
      <w:pPr>
        <w:pStyle w:val="NormalWeb"/>
        <w:ind w:left="720"/>
      </w:pPr>
      <w:r>
        <w:t xml:space="preserve">On March 27, 2017, Plaintiff received a charge of discipline for delaying a run. During that </w:t>
      </w:r>
      <w:proofErr w:type="gramStart"/>
      <w:r>
        <w:t>time period</w:t>
      </w:r>
      <w:proofErr w:type="gramEnd"/>
      <w:r>
        <w:t xml:space="preserve">, the City of Detroit's EMS response times were an ongoing issue within the department….When response times exceeded eight minutes, the run would be flagged and reviewed for compliance with EMS's policy to have an ambulance in motion within one minute of a call…. </w:t>
      </w:r>
    </w:p>
    <w:p w14:paraId="44FF2873" w14:textId="77777777" w:rsidR="00EB2493" w:rsidRDefault="00EB2493" w:rsidP="00EB2493">
      <w:pPr>
        <w:pStyle w:val="NormalWeb"/>
        <w:ind w:left="720"/>
      </w:pPr>
      <w:r>
        <w:t xml:space="preserve">At 6:42 am that morning while Plaintiff was on duty, a run came in for an attempted suicide. Before the paramedics were notified of the run, another employee, Jeff Gaglio, arrived early for work on his shift and relieved Plaintiff's partner Nataki Vickers. As Gaglio and Plaintiff (who was driving the ambulance) began pulling out into the driveway for the run, Plaintiff saw his shift relief, Chris Photiades, arrive at work. Plaintiff turned the ambulance around to switch with </w:t>
      </w:r>
      <w:proofErr w:type="spellStart"/>
      <w:r>
        <w:t>Phiotades</w:t>
      </w:r>
      <w:proofErr w:type="spellEnd"/>
      <w:r>
        <w:t xml:space="preserve">. </w:t>
      </w:r>
      <w:proofErr w:type="spellStart"/>
      <w:r>
        <w:t>Phiotades</w:t>
      </w:r>
      <w:proofErr w:type="spellEnd"/>
      <w:r>
        <w:t xml:space="preserve"> and Gaglio then took the run, and arrived on the scene at 6:51 am—nine minutes after the run came in.</w:t>
      </w:r>
    </w:p>
    <w:p w14:paraId="0BBF8A23" w14:textId="77777777" w:rsidR="00EB2493" w:rsidRDefault="00EB2493" w:rsidP="00EB2493">
      <w:pPr>
        <w:pStyle w:val="NormalWeb"/>
        <w:ind w:left="720"/>
      </w:pPr>
      <w:r>
        <w:t xml:space="preserve">[Court]: Accordingly, an unserved six-hour suspension and discipline letter are not sufficient to establish a materially adverse employment action. Therefore, Plaintiff has not established a prima facie case of discrimination </w:t>
      </w:r>
      <w:proofErr w:type="gramStart"/>
      <w:r>
        <w:t>for</w:t>
      </w:r>
      <w:proofErr w:type="gramEnd"/>
      <w:r>
        <w:t xml:space="preserve"> this claim.</w:t>
      </w:r>
    </w:p>
    <w:p w14:paraId="4E2329B2" w14:textId="77777777" w:rsidR="00EB2493" w:rsidRDefault="00EB2493" w:rsidP="00EB2493">
      <w:pPr>
        <w:pStyle w:val="NormalWeb"/>
        <w:ind w:left="720"/>
        <w:rPr>
          <w:b/>
          <w:bCs/>
          <w:i/>
          <w:iCs/>
        </w:rPr>
      </w:pPr>
    </w:p>
    <w:p w14:paraId="3603685B" w14:textId="77777777" w:rsidR="00EB2493" w:rsidRDefault="00EB2493" w:rsidP="00EB2493">
      <w:pPr>
        <w:pStyle w:val="NormalWeb"/>
        <w:ind w:left="720"/>
      </w:pPr>
      <w:r>
        <w:rPr>
          <w:b/>
          <w:bCs/>
          <w:i/>
          <w:iCs/>
        </w:rPr>
        <w:t>April 2017 Ramadan Accommodation Request</w:t>
      </w:r>
    </w:p>
    <w:p w14:paraId="3BC74AF8" w14:textId="77777777" w:rsidR="00EB2493" w:rsidRDefault="00EB2493" w:rsidP="00EB2493">
      <w:pPr>
        <w:pStyle w:val="NormalWeb"/>
        <w:ind w:left="720"/>
      </w:pPr>
      <w:r>
        <w:t xml:space="preserve">[Court]: Defendants' motion for summary judgment contains e-mail exhibits indicating that Plaintiff was granted accommodations during Ramadan in 2017. For example, on Wednesday May 17, 2017, Jason Bestard, the Administrative Lieutenant for the City of Detroit Fire Department EMS Division wrote to </w:t>
      </w:r>
      <w:proofErr w:type="gramStart"/>
      <w:r>
        <w:t>Plaintiff: ‘</w:t>
      </w:r>
      <w:proofErr w:type="gramEnd"/>
      <w:r>
        <w:t xml:space="preserve">In order to accommodate your request, you will be moved to the NIGHTS 1 shift as a FLOAT PARAMEDIC for the dates, May 28 through June 20th. You will return to your regular shift Sunday, June 25th…. These dates covered the entire period for which Plaintiff sought an accommodation in his initial email to his supervisors.” </w:t>
      </w:r>
      <w:hyperlink r:id="rId1532" w:history="1">
        <w:r w:rsidRPr="005D199E">
          <w:rPr>
            <w:rStyle w:val="Hyperlink"/>
          </w:rPr>
          <w:t>https://casetext.com/case/saade-v-city-of-detroit-1</w:t>
        </w:r>
      </w:hyperlink>
      <w:r>
        <w:t xml:space="preserve">  </w:t>
      </w:r>
    </w:p>
    <w:p w14:paraId="0220A169" w14:textId="77777777" w:rsidR="00EB2493" w:rsidRDefault="00EB2493" w:rsidP="00EB2493">
      <w:pPr>
        <w:spacing w:before="100" w:beforeAutospacing="1" w:after="100" w:afterAutospacing="1" w:line="240" w:lineRule="auto"/>
        <w:rPr>
          <w:rFonts w:ascii="Times New Roman" w:hAnsi="Times New Roman"/>
          <w:b/>
          <w:bCs/>
          <w:sz w:val="24"/>
          <w:szCs w:val="24"/>
        </w:rPr>
      </w:pPr>
      <w:r w:rsidRPr="00FA450C">
        <w:rPr>
          <w:rFonts w:ascii="Times New Roman" w:hAnsi="Times New Roman"/>
          <w:b/>
          <w:bCs/>
          <w:sz w:val="24"/>
          <w:szCs w:val="24"/>
        </w:rPr>
        <w:t>Legal Lesson Learned:</w:t>
      </w:r>
      <w:r>
        <w:rPr>
          <w:rFonts w:ascii="Times New Roman" w:hAnsi="Times New Roman"/>
          <w:b/>
          <w:bCs/>
          <w:sz w:val="24"/>
          <w:szCs w:val="24"/>
        </w:rPr>
        <w:t xml:space="preserve">  Plaintiffs in establishing a “prima facie” case of discrimination has the burden of proof to demonstrate a material adverse change in the terms of his employment.</w:t>
      </w:r>
    </w:p>
    <w:p w14:paraId="20FBCC4E" w14:textId="77777777" w:rsidR="00EB2493" w:rsidRDefault="00EB2493" w:rsidP="00BC70A3">
      <w:pPr>
        <w:rPr>
          <w:rFonts w:ascii="Arial Black" w:hAnsi="Arial Black"/>
          <w:b/>
          <w:sz w:val="24"/>
          <w:szCs w:val="24"/>
        </w:rPr>
      </w:pPr>
    </w:p>
    <w:p w14:paraId="6C25FF4D" w14:textId="77777777" w:rsidR="00EB2493" w:rsidRDefault="00EB2493" w:rsidP="00BC70A3">
      <w:pPr>
        <w:rPr>
          <w:rFonts w:ascii="Arial Black" w:hAnsi="Arial Black"/>
          <w:b/>
          <w:sz w:val="24"/>
          <w:szCs w:val="24"/>
        </w:rPr>
      </w:pPr>
    </w:p>
    <w:p w14:paraId="51A776D8" w14:textId="7F1F3AF7" w:rsidR="007F3C7D" w:rsidRDefault="007F3C7D" w:rsidP="00BC70A3">
      <w:pPr>
        <w:rPr>
          <w:rFonts w:ascii="Arial Black" w:hAnsi="Arial Black"/>
          <w:b/>
          <w:sz w:val="24"/>
          <w:szCs w:val="24"/>
        </w:rPr>
      </w:pPr>
      <w:r>
        <w:rPr>
          <w:rFonts w:ascii="Arial Black" w:hAnsi="Arial Black"/>
          <w:b/>
          <w:sz w:val="24"/>
          <w:szCs w:val="24"/>
        </w:rPr>
        <w:t>8-25</w:t>
      </w:r>
    </w:p>
    <w:p w14:paraId="5C643133" w14:textId="77777777" w:rsidR="007F3C7D" w:rsidRPr="00890EBF" w:rsidRDefault="007F3C7D" w:rsidP="007F3C7D">
      <w:pPr>
        <w:pStyle w:val="NoSpacing"/>
        <w:rPr>
          <w:rFonts w:ascii="Arial Black" w:hAnsi="Arial Black"/>
          <w:sz w:val="28"/>
          <w:szCs w:val="28"/>
        </w:rPr>
      </w:pPr>
      <w:bookmarkStart w:id="318" w:name="_Hlk66947802"/>
      <w:r>
        <w:rPr>
          <w:rFonts w:ascii="Arial Black" w:hAnsi="Arial Black"/>
          <w:sz w:val="28"/>
          <w:szCs w:val="28"/>
        </w:rPr>
        <w:t xml:space="preserve">NY: SYRACUSE 1980 CONSENT DECREE – FED. JUDGE WON’T DISSOLVE – BUT DROP SEPARATE HIRING LISTS </w:t>
      </w:r>
    </w:p>
    <w:p w14:paraId="0AC04779" w14:textId="77777777" w:rsidR="007F3C7D" w:rsidRDefault="007F3C7D" w:rsidP="007F3C7D">
      <w:pPr>
        <w:pStyle w:val="NoSpacing"/>
      </w:pPr>
    </w:p>
    <w:p w14:paraId="0D82AD8C" w14:textId="77777777" w:rsidR="007F3C7D" w:rsidRPr="00890EBF" w:rsidRDefault="007F3C7D" w:rsidP="007F3C7D">
      <w:pPr>
        <w:pStyle w:val="NoSpacing"/>
        <w:rPr>
          <w:rFonts w:ascii="Times New Roman" w:hAnsi="Times New Roman"/>
          <w:sz w:val="24"/>
          <w:szCs w:val="24"/>
        </w:rPr>
      </w:pPr>
      <w:r w:rsidRPr="00890EBF">
        <w:rPr>
          <w:rFonts w:ascii="Times New Roman" w:hAnsi="Times New Roman"/>
          <w:sz w:val="24"/>
          <w:szCs w:val="24"/>
        </w:rPr>
        <w:t xml:space="preserve">On Jan. 12, 2021, in </w:t>
      </w:r>
      <w:r w:rsidRPr="00890EBF">
        <w:rPr>
          <w:rFonts w:ascii="Times New Roman" w:hAnsi="Times New Roman"/>
          <w:sz w:val="24"/>
          <w:szCs w:val="24"/>
          <w:u w:val="single"/>
        </w:rPr>
        <w:t>Lee Alexander, Mayor of Syracuse, et al. v. Victor S. Bahou, as President of the Civil Service Commission of the State of New York, et al</w:t>
      </w:r>
      <w:r w:rsidRPr="00890EBF">
        <w:rPr>
          <w:rFonts w:ascii="Times New Roman" w:hAnsi="Times New Roman"/>
          <w:sz w:val="24"/>
          <w:szCs w:val="24"/>
        </w:rPr>
        <w:t xml:space="preserve">., </w:t>
      </w:r>
      <w:r>
        <w:rPr>
          <w:rFonts w:ascii="Times New Roman" w:hAnsi="Times New Roman"/>
          <w:sz w:val="24"/>
          <w:szCs w:val="24"/>
        </w:rPr>
        <w:t xml:space="preserve">U.S. District Court Judge David, U.S. District Court for Northern District of New York, denied the U.S. Government’s motion to dissolve the 1980 Consent Decree, but did amend the Decree that had allowed the City for past 40 years to hire police and fire applicants off of separate hiring lists for minority and female applicants, instead of hiring by the State of New York “rule of three” from one list.  Instead of separate hiring lists, the </w:t>
      </w:r>
      <w:proofErr w:type="gramStart"/>
      <w:r>
        <w:rPr>
          <w:rFonts w:ascii="Times New Roman" w:hAnsi="Times New Roman"/>
          <w:sz w:val="24"/>
          <w:szCs w:val="24"/>
        </w:rPr>
        <w:t>City</w:t>
      </w:r>
      <w:proofErr w:type="gramEnd"/>
      <w:r>
        <w:rPr>
          <w:rFonts w:ascii="Times New Roman" w:hAnsi="Times New Roman"/>
          <w:sz w:val="24"/>
          <w:szCs w:val="24"/>
        </w:rPr>
        <w:t xml:space="preserve"> can give added points to minority and female applicants </w:t>
      </w:r>
      <w:proofErr w:type="gramStart"/>
      <w:r>
        <w:rPr>
          <w:rFonts w:ascii="Times New Roman" w:hAnsi="Times New Roman"/>
          <w:sz w:val="24"/>
          <w:szCs w:val="24"/>
        </w:rPr>
        <w:t>similar to</w:t>
      </w:r>
      <w:proofErr w:type="gramEnd"/>
      <w:r>
        <w:rPr>
          <w:rFonts w:ascii="Times New Roman" w:hAnsi="Times New Roman"/>
          <w:sz w:val="24"/>
          <w:szCs w:val="24"/>
        </w:rPr>
        <w:t xml:space="preserve"> points they award for residents. </w:t>
      </w:r>
    </w:p>
    <w:bookmarkEnd w:id="318"/>
    <w:p w14:paraId="69489D5D" w14:textId="77777777" w:rsidR="007F3C7D" w:rsidRDefault="007F3C7D" w:rsidP="007F3C7D">
      <w:pPr>
        <w:pStyle w:val="NoSpacing"/>
      </w:pPr>
    </w:p>
    <w:p w14:paraId="21C9D9E5" w14:textId="77777777" w:rsidR="007F3C7D" w:rsidRDefault="007F3C7D" w:rsidP="007F3C7D">
      <w:pPr>
        <w:pStyle w:val="NoSpacing"/>
        <w:ind w:left="720"/>
        <w:rPr>
          <w:rFonts w:ascii="Times New Roman" w:hAnsi="Times New Roman"/>
          <w:sz w:val="24"/>
          <w:szCs w:val="24"/>
        </w:rPr>
      </w:pPr>
      <w:r>
        <w:rPr>
          <w:rFonts w:ascii="Times New Roman" w:hAnsi="Times New Roman"/>
          <w:sz w:val="24"/>
          <w:szCs w:val="24"/>
        </w:rPr>
        <w:t>“</w:t>
      </w:r>
      <w:r w:rsidRPr="00B16549">
        <w:rPr>
          <w:rFonts w:ascii="Times New Roman" w:hAnsi="Times New Roman"/>
          <w:sz w:val="24"/>
          <w:szCs w:val="24"/>
        </w:rPr>
        <w:t>Syracuse's goal throughout this litigation is an admirable one. Its dedication to combating racial and sex discrimination within its police and fire departments even after forty years of effort is worthy of commendation. The work of remedying the city's past discriminatory hiring practices is far from over, and contrary to the government's arguments, the Court will not deprive the city of its tools for continuing in its labors. However, the government has made an adequate showing that the city's practice of using separate eligibility lists for women and African American candidates for police and fire work, a practice empowered by the consent decree, violates Title VII. The Court cannot allow its authority to be used to circumvent federal law, and accordingly the government's motion to modify the consent decree must be granted in part</w:t>
      </w:r>
      <w:r>
        <w:rPr>
          <w:rFonts w:ascii="Times New Roman" w:hAnsi="Times New Roman"/>
          <w:sz w:val="24"/>
          <w:szCs w:val="24"/>
        </w:rPr>
        <w:t>.</w:t>
      </w:r>
    </w:p>
    <w:p w14:paraId="57B8E940" w14:textId="77777777" w:rsidR="007F3C7D" w:rsidRDefault="007F3C7D" w:rsidP="007F3C7D">
      <w:pPr>
        <w:pStyle w:val="NoSpacing"/>
        <w:ind w:left="720"/>
        <w:rPr>
          <w:rFonts w:ascii="Times New Roman" w:hAnsi="Times New Roman"/>
          <w:sz w:val="24"/>
          <w:szCs w:val="24"/>
        </w:rPr>
      </w:pPr>
    </w:p>
    <w:p w14:paraId="6BD92BE4" w14:textId="77777777" w:rsidR="007F3C7D" w:rsidRDefault="007F3C7D" w:rsidP="007F3C7D">
      <w:pPr>
        <w:pStyle w:val="NoSpacing"/>
        <w:ind w:left="720"/>
        <w:rPr>
          <w:rFonts w:ascii="Times New Roman" w:hAnsi="Times New Roman"/>
          <w:sz w:val="24"/>
          <w:szCs w:val="24"/>
        </w:rPr>
      </w:pPr>
      <w:r>
        <w:rPr>
          <w:rFonts w:ascii="Times New Roman" w:hAnsi="Times New Roman"/>
          <w:sz w:val="24"/>
          <w:szCs w:val="24"/>
        </w:rPr>
        <w:t>***</w:t>
      </w:r>
    </w:p>
    <w:p w14:paraId="0575BC66" w14:textId="77777777" w:rsidR="007F3C7D" w:rsidRDefault="007F3C7D" w:rsidP="007F3C7D">
      <w:pPr>
        <w:pStyle w:val="paragraph"/>
        <w:ind w:left="720"/>
      </w:pPr>
      <w:r>
        <w:t xml:space="preserve">It can hardly be disputed that the separate eligibility lists use different cutoff scores, and therefore violate the 1991 amendment, because their purpose is to ensure that an African American or female candidate who would not otherwise have scored within the top three eligible applicants for a position would still be hirable. In other words, a non-African American male's score for consideration needs to fall within the top three, but an African American or female's score need not. </w:t>
      </w:r>
      <w:bookmarkStart w:id="319" w:name="_Hlk66947841"/>
      <w:r w:rsidR="00F00958">
        <w:fldChar w:fldCharType="begin"/>
      </w:r>
      <w:r w:rsidR="00F00958">
        <w:instrText xml:space="preserve"> HYPERLINK "https://casetext.com/statute/united-states-code/title-42-the-public-health-and-welfare/chapter-21-civil-rights/subchapter-vi-equal-employment-opportunities/section-2000e-2-unlawful-employment-practices" </w:instrText>
      </w:r>
      <w:r w:rsidR="00F00958">
        <w:fldChar w:fldCharType="separate"/>
      </w:r>
      <w:r>
        <w:rPr>
          <w:rStyle w:val="Hyperlink"/>
        </w:rPr>
        <w:t>42 U.S.C. § 2000e-2(</w:t>
      </w:r>
      <w:r>
        <w:rPr>
          <w:rStyle w:val="Hyperlink"/>
          <w:i/>
          <w:iCs/>
        </w:rPr>
        <w:t>l</w:t>
      </w:r>
      <w:r>
        <w:rPr>
          <w:rStyle w:val="Hyperlink"/>
        </w:rPr>
        <w:t>)</w:t>
      </w:r>
      <w:r w:rsidR="00F00958">
        <w:rPr>
          <w:rStyle w:val="Hyperlink"/>
        </w:rPr>
        <w:fldChar w:fldCharType="end"/>
      </w:r>
      <w:r>
        <w:t xml:space="preserve">. </w:t>
      </w:r>
      <w:hyperlink r:id="rId1533" w:history="1">
        <w:r w:rsidRPr="00E05602">
          <w:rPr>
            <w:rStyle w:val="Hyperlink"/>
          </w:rPr>
          <w:t>https://casetext.com/case/alexander-v-bahou/?PHONE_NUMBER_GROUP=P</w:t>
        </w:r>
      </w:hyperlink>
      <w:r>
        <w:t xml:space="preserve"> </w:t>
      </w:r>
    </w:p>
    <w:p w14:paraId="71A6F29D" w14:textId="77777777" w:rsidR="007F3C7D" w:rsidRDefault="007F3C7D" w:rsidP="007F3C7D">
      <w:pPr>
        <w:pStyle w:val="paragraph"/>
        <w:rPr>
          <w:b/>
          <w:bCs/>
        </w:rPr>
      </w:pPr>
      <w:r w:rsidRPr="009C106D">
        <w:rPr>
          <w:b/>
          <w:bCs/>
        </w:rPr>
        <w:t>Legal Lesson Learned:</w:t>
      </w:r>
      <w:r>
        <w:rPr>
          <w:b/>
          <w:bCs/>
        </w:rPr>
        <w:t xml:space="preserve">  Congress in 1991 amended Title VII of the Civil Rights Act to prohibit use of different cut off scores based on race or gender.</w:t>
      </w:r>
    </w:p>
    <w:p w14:paraId="2CB66DA4" w14:textId="77777777" w:rsidR="007F3C7D" w:rsidRPr="009E0EBC" w:rsidRDefault="007F3C7D" w:rsidP="007F3C7D">
      <w:pPr>
        <w:pStyle w:val="paragraph"/>
      </w:pPr>
      <w:r>
        <w:rPr>
          <w:b/>
          <w:bCs/>
        </w:rPr>
        <w:tab/>
      </w:r>
      <w:r w:rsidRPr="009E0EBC">
        <w:t xml:space="preserve">Note: </w:t>
      </w:r>
      <w:r>
        <w:t>The Federal judge in this case commented:</w:t>
      </w:r>
    </w:p>
    <w:p w14:paraId="6D99091D" w14:textId="77777777" w:rsidR="007F3C7D" w:rsidRDefault="007F3C7D" w:rsidP="007F3C7D">
      <w:pPr>
        <w:pStyle w:val="paragraph"/>
        <w:ind w:left="1440"/>
      </w:pPr>
      <w:r>
        <w:t xml:space="preserve">“In 1991, Congress made it unlawful under Title VII for employers ‘in connection with the selection or referral of applicants or candidates for employment[,] . . . to adjust the scores of, use different cutoff scores for, or otherwise alter the results of, employment[-]related tests on the basis of race, color, religion, sex, or national origin.’ </w:t>
      </w:r>
      <w:hyperlink r:id="rId1534" w:history="1">
        <w:r>
          <w:rPr>
            <w:rStyle w:val="Hyperlink"/>
          </w:rPr>
          <w:t>42 U.S.C. § 2000e-2(</w:t>
        </w:r>
        <w:r>
          <w:rPr>
            <w:rStyle w:val="Hyperlink"/>
            <w:i/>
            <w:iCs/>
          </w:rPr>
          <w:t>l</w:t>
        </w:r>
        <w:r>
          <w:rPr>
            <w:rStyle w:val="Hyperlink"/>
          </w:rPr>
          <w:t>)</w:t>
        </w:r>
      </w:hyperlink>
      <w:r>
        <w:t>.”</w:t>
      </w:r>
    </w:p>
    <w:p w14:paraId="22FF83E4" w14:textId="77777777" w:rsidR="007F3C7D" w:rsidRDefault="007F3C7D" w:rsidP="007F3C7D">
      <w:pPr>
        <w:pStyle w:val="paragraph"/>
        <w:ind w:left="720"/>
      </w:pPr>
      <w:r>
        <w:t xml:space="preserve">See also law review article by former General Counsel of EEOC: </w:t>
      </w:r>
    </w:p>
    <w:p w14:paraId="3F737A1A" w14:textId="77777777" w:rsidR="007F3C7D" w:rsidRPr="00FA716B" w:rsidRDefault="007F3C7D" w:rsidP="007F3C7D">
      <w:pPr>
        <w:pStyle w:val="paragraph"/>
        <w:ind w:left="720" w:firstLine="720"/>
      </w:pPr>
      <w:r w:rsidRPr="00FA716B">
        <w:t>THE CIVIL RIGHTS ACT OF 1991 AND EEOC ENFORCEMENT</w:t>
      </w:r>
    </w:p>
    <w:p w14:paraId="4C1FFABB" w14:textId="77777777" w:rsidR="007F3C7D" w:rsidRPr="009E0EBC" w:rsidRDefault="007F3C7D" w:rsidP="007F3C7D">
      <w:pPr>
        <w:pStyle w:val="NoSpacing"/>
        <w:ind w:left="1440"/>
        <w:rPr>
          <w:rFonts w:ascii="Times New Roman" w:hAnsi="Times New Roman"/>
          <w:sz w:val="24"/>
          <w:szCs w:val="24"/>
        </w:rPr>
      </w:pPr>
      <w:r w:rsidRPr="009E0EBC">
        <w:rPr>
          <w:rFonts w:ascii="Times New Roman" w:hAnsi="Times New Roman"/>
          <w:sz w:val="24"/>
          <w:szCs w:val="24"/>
        </w:rPr>
        <w:t>“On November 21, 1991, a new era of aggressive civil rights enforcement was introduced when President Bush signed the Civil Rights Act of 1991 (the Act) into law.</w:t>
      </w:r>
    </w:p>
    <w:p w14:paraId="01E2B61F" w14:textId="77777777" w:rsidR="007F3C7D" w:rsidRDefault="007F3C7D" w:rsidP="007F3C7D">
      <w:pPr>
        <w:pStyle w:val="paragraph"/>
        <w:ind w:left="720" w:firstLine="720"/>
      </w:pPr>
      <w:r>
        <w:rPr>
          <w:sz w:val="28"/>
          <w:szCs w:val="28"/>
        </w:rPr>
        <w:lastRenderedPageBreak/>
        <w:t>***</w:t>
      </w:r>
    </w:p>
    <w:p w14:paraId="5F33AC41" w14:textId="71718319" w:rsidR="007F3C7D" w:rsidRPr="007F3C7D" w:rsidRDefault="007F3C7D" w:rsidP="007F3C7D">
      <w:pPr>
        <w:ind w:left="720"/>
        <w:rPr>
          <w:rFonts w:ascii="Times New Roman" w:hAnsi="Times New Roman"/>
          <w:b/>
          <w:sz w:val="24"/>
          <w:szCs w:val="24"/>
        </w:rPr>
      </w:pPr>
      <w:r w:rsidRPr="007F3C7D">
        <w:rPr>
          <w:rFonts w:ascii="Times New Roman" w:hAnsi="Times New Roman"/>
          <w:sz w:val="24"/>
          <w:szCs w:val="24"/>
        </w:rPr>
        <w:t xml:space="preserve">Section 106 of the Civil Rights Act of 1991 prohibits practices often referred to as ‘within group scoring’ or ‘race norming.’ The Act makes it unlawful to adjust scores, to use different cutoff scores, or to alter the results of ‘employment related’ tests </w:t>
      </w:r>
      <w:proofErr w:type="gramStart"/>
      <w:r w:rsidRPr="007F3C7D">
        <w:rPr>
          <w:rFonts w:ascii="Times New Roman" w:hAnsi="Times New Roman"/>
          <w:sz w:val="24"/>
          <w:szCs w:val="24"/>
        </w:rPr>
        <w:t>on the basis of</w:t>
      </w:r>
      <w:proofErr w:type="gramEnd"/>
      <w:r w:rsidRPr="007F3C7D">
        <w:rPr>
          <w:rFonts w:ascii="Times New Roman" w:hAnsi="Times New Roman"/>
          <w:sz w:val="24"/>
          <w:szCs w:val="24"/>
        </w:rPr>
        <w:t xml:space="preserve"> race, color, religion, sex or national origin.144 The practice of score adjustment arose as a means of alleviating the disparate impact of certain selection tests. It had been adopted by some employers and test developers in lieu of the more difficult task of developing valid, non-discriminatory selection procedures.145” </w:t>
      </w:r>
      <w:hyperlink r:id="rId1535" w:history="1">
        <w:r w:rsidRPr="007F3C7D">
          <w:rPr>
            <w:rStyle w:val="Hyperlink"/>
            <w:rFonts w:ascii="Times New Roman" w:hAnsi="Times New Roman"/>
            <w:sz w:val="24"/>
            <w:szCs w:val="24"/>
          </w:rPr>
          <w:t>https://www.stetson.edu/law/lawreview/media/the-civil-rights-act-of-1991-and-eeoc-enforcement.pdf</w:t>
        </w:r>
      </w:hyperlink>
    </w:p>
    <w:p w14:paraId="7980E598" w14:textId="77777777" w:rsidR="007F3C7D" w:rsidRDefault="007F3C7D" w:rsidP="00BC70A3">
      <w:pPr>
        <w:rPr>
          <w:rFonts w:ascii="Arial Black" w:hAnsi="Arial Black"/>
          <w:b/>
          <w:sz w:val="24"/>
          <w:szCs w:val="24"/>
        </w:rPr>
      </w:pPr>
    </w:p>
    <w:p w14:paraId="2D254470" w14:textId="77777777" w:rsidR="007F3C7D" w:rsidRDefault="007F3C7D" w:rsidP="00BC70A3">
      <w:pPr>
        <w:rPr>
          <w:rFonts w:ascii="Arial Black" w:hAnsi="Arial Black"/>
          <w:b/>
          <w:sz w:val="24"/>
          <w:szCs w:val="24"/>
        </w:rPr>
      </w:pPr>
    </w:p>
    <w:bookmarkEnd w:id="319"/>
    <w:p w14:paraId="457D317C" w14:textId="60F4DF3E" w:rsidR="00BC70A3" w:rsidRPr="00BC70A3" w:rsidRDefault="00BC70A3" w:rsidP="00BC70A3">
      <w:pPr>
        <w:rPr>
          <w:rFonts w:ascii="Arial Black" w:hAnsi="Arial Black"/>
          <w:b/>
          <w:sz w:val="24"/>
          <w:szCs w:val="24"/>
        </w:rPr>
      </w:pPr>
      <w:r>
        <w:rPr>
          <w:rFonts w:ascii="Arial Black" w:hAnsi="Arial Black"/>
          <w:b/>
          <w:sz w:val="24"/>
          <w:szCs w:val="24"/>
        </w:rPr>
        <w:t xml:space="preserve">8-24 </w:t>
      </w:r>
      <w:r>
        <w:rPr>
          <w:rFonts w:ascii="Times New Roman" w:hAnsi="Times New Roman"/>
          <w:bCs/>
          <w:sz w:val="24"/>
          <w:szCs w:val="24"/>
        </w:rPr>
        <w:t xml:space="preserve">[Also filed, Chap. 9 -17] </w:t>
      </w:r>
    </w:p>
    <w:p w14:paraId="6EE04254" w14:textId="77777777" w:rsidR="00BC70A3" w:rsidRPr="00C03B09" w:rsidRDefault="00BC70A3" w:rsidP="00BC70A3">
      <w:pPr>
        <w:pStyle w:val="NoSpacing"/>
        <w:rPr>
          <w:rFonts w:ascii="Arial Black" w:hAnsi="Arial Black"/>
          <w:sz w:val="28"/>
          <w:szCs w:val="28"/>
        </w:rPr>
      </w:pPr>
      <w:r>
        <w:rPr>
          <w:rFonts w:ascii="Arial Black" w:hAnsi="Arial Black"/>
          <w:sz w:val="28"/>
          <w:szCs w:val="28"/>
        </w:rPr>
        <w:t xml:space="preserve">FL:  FDNY CHANGED GROOMING POLICY – REQUIRES CLEAN SHAVE – NOW ON APPEAL – JACKSONVILLE FF LAWSUIT </w:t>
      </w:r>
    </w:p>
    <w:p w14:paraId="2C5D7A04" w14:textId="77777777" w:rsidR="00BC70A3" w:rsidRPr="00473C64" w:rsidRDefault="00BC70A3" w:rsidP="00BC70A3">
      <w:pPr>
        <w:spacing w:before="100" w:beforeAutospacing="1" w:after="100" w:afterAutospacing="1" w:line="240" w:lineRule="auto"/>
        <w:rPr>
          <w:rFonts w:ascii="Times New Roman" w:hAnsi="Times New Roman"/>
          <w:sz w:val="24"/>
          <w:szCs w:val="24"/>
        </w:rPr>
      </w:pPr>
      <w:r w:rsidRPr="00473C64">
        <w:rPr>
          <w:rFonts w:ascii="Times New Roman" w:hAnsi="Times New Roman"/>
          <w:sz w:val="24"/>
          <w:szCs w:val="24"/>
        </w:rPr>
        <w:t xml:space="preserve">Nov. 25, 2020, “Black firefighters sue over Jacksonville policy requiring crews to be cleanshaven.”  It </w:t>
      </w:r>
      <w:proofErr w:type="gramStart"/>
      <w:r w:rsidRPr="00473C64">
        <w:rPr>
          <w:rFonts w:ascii="Times New Roman" w:hAnsi="Times New Roman"/>
          <w:sz w:val="24"/>
          <w:szCs w:val="24"/>
        </w:rPr>
        <w:t>referenced</w:t>
      </w:r>
      <w:proofErr w:type="gramEnd"/>
      <w:r w:rsidRPr="00473C64">
        <w:rPr>
          <w:rFonts w:ascii="Times New Roman" w:hAnsi="Times New Roman"/>
          <w:sz w:val="24"/>
          <w:szCs w:val="24"/>
        </w:rPr>
        <w:t xml:space="preserve"> a lawsuit by FDNY firefighters. </w:t>
      </w:r>
      <w:hyperlink r:id="rId1536" w:history="1">
        <w:r w:rsidRPr="00473C64">
          <w:rPr>
            <w:rStyle w:val="Hyperlink"/>
            <w:rFonts w:ascii="Times New Roman" w:hAnsi="Times New Roman"/>
            <w:sz w:val="24"/>
            <w:szCs w:val="24"/>
          </w:rPr>
          <w:t>https://www.jacksonville.com/story/news/courts/2020/11/25/jacksonville-lawsuit-cleanshaven-rule-unfair-black-firefighters/6406374002/</w:t>
        </w:r>
      </w:hyperlink>
    </w:p>
    <w:p w14:paraId="191EBBB4" w14:textId="77777777" w:rsidR="00BC70A3" w:rsidRDefault="00BC70A3" w:rsidP="00BC70A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City of New York lost their case on Jan. 29, 2020, and has filed an appeal to the U.S. Court of Appeals for Second District. </w:t>
      </w:r>
      <w:r>
        <w:rPr>
          <w:rFonts w:ascii="Times New Roman" w:hAnsi="Times New Roman"/>
          <w:sz w:val="24"/>
          <w:szCs w:val="24"/>
        </w:rPr>
        <w:t xml:space="preserve">On July 2, 2020, the plaintiff firefighters filed their reply brief in the U.S. Court of Appeals for Second Circuit. </w:t>
      </w:r>
      <w:hyperlink r:id="rId1537" w:history="1">
        <w:r w:rsidRPr="007578D7">
          <w:rPr>
            <w:rStyle w:val="Hyperlink"/>
            <w:rFonts w:ascii="Times New Roman" w:hAnsi="Times New Roman"/>
            <w:sz w:val="24"/>
            <w:szCs w:val="24"/>
          </w:rPr>
          <w:t>https://www.law.georgetown.edu/icap/wp-content/uploads/sites/32/2020/07/Bey-2d-Cir.-Opening-Brief-FINAL-7-7-2020.pdf</w:t>
        </w:r>
      </w:hyperlink>
      <w:r>
        <w:rPr>
          <w:rFonts w:ascii="Times New Roman" w:hAnsi="Times New Roman"/>
          <w:sz w:val="24"/>
          <w:szCs w:val="24"/>
        </w:rPr>
        <w:t xml:space="preserve"> </w:t>
      </w:r>
    </w:p>
    <w:p w14:paraId="4B13B079" w14:textId="77777777" w:rsidR="00BC70A3" w:rsidRDefault="00BC70A3" w:rsidP="00BC70A3">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29, 2020, in </w:t>
      </w:r>
      <w:r w:rsidRPr="00D115C7">
        <w:rPr>
          <w:rFonts w:ascii="Times New Roman" w:eastAsia="Times New Roman" w:hAnsi="Times New Roman"/>
          <w:sz w:val="24"/>
          <w:szCs w:val="24"/>
          <w:u w:val="single"/>
        </w:rPr>
        <w:t>Salik Bey, et al. v. City of New York, Daniel Nigro, et al</w:t>
      </w:r>
      <w:r>
        <w:rPr>
          <w:rFonts w:ascii="Times New Roman" w:eastAsia="Times New Roman" w:hAnsi="Times New Roman"/>
          <w:sz w:val="24"/>
          <w:szCs w:val="24"/>
        </w:rPr>
        <w:t>., 437 F. Supp. 3</w:t>
      </w:r>
      <w:r w:rsidRPr="009562EF">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2222, Senior U.S. District Court Judge Jack B. Weinstein, U.S. District Court for Eastern District of New York ordered FDNY to return to their former grooming policy (Aug. 2015 – Dec. 2017) which allowed </w:t>
      </w:r>
      <w:r w:rsidRPr="00CB7445">
        <w:rPr>
          <w:rFonts w:ascii="Times New Roman" w:eastAsia="Times New Roman" w:hAnsi="Times New Roman"/>
          <w:sz w:val="24"/>
          <w:szCs w:val="24"/>
        </w:rPr>
        <w:t>facial hair in the chin, cheek and neck area if it did not cause leakage around the mask's seal</w:t>
      </w:r>
      <w:r>
        <w:rPr>
          <w:rFonts w:ascii="Times New Roman" w:eastAsia="Times New Roman" w:hAnsi="Times New Roman"/>
          <w:sz w:val="24"/>
          <w:szCs w:val="24"/>
        </w:rPr>
        <w:t>.   Under the new policy: “</w:t>
      </w:r>
      <w:r w:rsidRPr="00313B2C">
        <w:rPr>
          <w:rFonts w:ascii="Times New Roman" w:hAnsi="Times New Roman"/>
          <w:sz w:val="24"/>
          <w:szCs w:val="24"/>
        </w:rPr>
        <w:t>If Plaintiffs shaved all facial hair in the chin area, they would maintain their status as full duty firefighters; otherwise, they would be placed on light duty.</w:t>
      </w:r>
      <w:r>
        <w:rPr>
          <w:rFonts w:ascii="Times New Roman" w:hAnsi="Times New Roman"/>
          <w:sz w:val="24"/>
          <w:szCs w:val="24"/>
        </w:rPr>
        <w:t xml:space="preserve">” </w:t>
      </w:r>
    </w:p>
    <w:p w14:paraId="4D65E1C1" w14:textId="77777777" w:rsidR="00BC70A3" w:rsidRDefault="00BC70A3" w:rsidP="00BC70A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Judge Weinstein’s decision: </w:t>
      </w:r>
    </w:p>
    <w:p w14:paraId="5892941C" w14:textId="77777777" w:rsidR="00BC70A3" w:rsidRDefault="00BC70A3" w:rsidP="00BC70A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C3A40">
        <w:rPr>
          <w:rFonts w:ascii="Times New Roman" w:hAnsi="Times New Roman"/>
          <w:sz w:val="24"/>
          <w:szCs w:val="24"/>
        </w:rPr>
        <w:t xml:space="preserve">Defendants admit that no heightened safety risk to firefighters or the public was presented by the accommodation previously in effect. Two and a half years passed without incident, and Plaintiffs continued to perform their jobs satisfactorily. </w:t>
      </w:r>
      <w:proofErr w:type="gramStart"/>
      <w:r w:rsidRPr="00FC3A40">
        <w:rPr>
          <w:rFonts w:ascii="Times New Roman" w:hAnsi="Times New Roman"/>
          <w:sz w:val="24"/>
          <w:szCs w:val="24"/>
        </w:rPr>
        <w:t>The FDNY's</w:t>
      </w:r>
      <w:proofErr w:type="gramEnd"/>
      <w:r w:rsidRPr="00FC3A40">
        <w:rPr>
          <w:rFonts w:ascii="Times New Roman" w:hAnsi="Times New Roman"/>
          <w:sz w:val="24"/>
          <w:szCs w:val="24"/>
        </w:rPr>
        <w:t xml:space="preserve"> decision to abandon the prior accommodation was not based on any actual safety risks to firefighters or the public. Rather, driving the calculus was bureaucracy. Defendants cite no case law indicating that such bureaucratic considerations are a viable undue hardship defense; the court declines </w:t>
      </w:r>
      <w:proofErr w:type="gramStart"/>
      <w:r w:rsidRPr="00FC3A40">
        <w:rPr>
          <w:rFonts w:ascii="Times New Roman" w:hAnsi="Times New Roman"/>
          <w:sz w:val="24"/>
          <w:szCs w:val="24"/>
        </w:rPr>
        <w:t>to so</w:t>
      </w:r>
      <w:proofErr w:type="gramEnd"/>
      <w:r w:rsidRPr="00FC3A40">
        <w:rPr>
          <w:rFonts w:ascii="Times New Roman" w:hAnsi="Times New Roman"/>
          <w:sz w:val="24"/>
          <w:szCs w:val="24"/>
        </w:rPr>
        <w:t xml:space="preserve"> find</w:t>
      </w:r>
      <w:proofErr w:type="gramStart"/>
      <w:r>
        <w:rPr>
          <w:rFonts w:ascii="Times New Roman" w:hAnsi="Times New Roman"/>
          <w:sz w:val="24"/>
          <w:szCs w:val="24"/>
        </w:rPr>
        <w:t>.”</w:t>
      </w:r>
      <w:proofErr w:type="gramEnd"/>
      <w:r>
        <w:rPr>
          <w:rFonts w:ascii="Times New Roman" w:hAnsi="Times New Roman"/>
          <w:sz w:val="24"/>
          <w:szCs w:val="24"/>
        </w:rPr>
        <w:t xml:space="preserve"> </w:t>
      </w:r>
      <w:hyperlink r:id="rId1538" w:history="1">
        <w:r w:rsidRPr="007578D7">
          <w:rPr>
            <w:rStyle w:val="Hyperlink"/>
            <w:rFonts w:ascii="Times New Roman" w:hAnsi="Times New Roman"/>
            <w:sz w:val="24"/>
            <w:szCs w:val="24"/>
          </w:rPr>
          <w:t>https://casetext.com/case/bey-v-city-of-ny-7</w:t>
        </w:r>
      </w:hyperlink>
    </w:p>
    <w:p w14:paraId="0A48DEB3" w14:textId="77777777" w:rsidR="00BC70A3" w:rsidRPr="00FC3A40" w:rsidRDefault="00BC70A3" w:rsidP="00BC70A3">
      <w:pPr>
        <w:tabs>
          <w:tab w:val="left" w:pos="2810"/>
        </w:tabs>
        <w:spacing w:before="100" w:beforeAutospacing="1" w:after="100" w:afterAutospacing="1" w:line="240" w:lineRule="auto"/>
        <w:rPr>
          <w:rFonts w:ascii="Times New Roman" w:hAnsi="Times New Roman"/>
          <w:b/>
          <w:bCs/>
          <w:sz w:val="24"/>
          <w:szCs w:val="24"/>
        </w:rPr>
      </w:pPr>
      <w:r w:rsidRPr="00FC3A40">
        <w:rPr>
          <w:rFonts w:ascii="Times New Roman" w:hAnsi="Times New Roman"/>
          <w:b/>
          <w:bCs/>
          <w:sz w:val="24"/>
          <w:szCs w:val="24"/>
        </w:rPr>
        <w:t>Legal Lesson Learned</w:t>
      </w:r>
      <w:r>
        <w:rPr>
          <w:rFonts w:ascii="Times New Roman" w:hAnsi="Times New Roman"/>
          <w:b/>
          <w:bCs/>
          <w:sz w:val="24"/>
          <w:szCs w:val="24"/>
        </w:rPr>
        <w:t xml:space="preserve">: The FDNY case will now be decided by the U.S. Court of Appeals for the Second Circuit.  The Jacksonville FD case will proceed </w:t>
      </w:r>
      <w:proofErr w:type="gramStart"/>
      <w:r>
        <w:rPr>
          <w:rFonts w:ascii="Times New Roman" w:hAnsi="Times New Roman"/>
          <w:b/>
          <w:bCs/>
          <w:sz w:val="24"/>
          <w:szCs w:val="24"/>
        </w:rPr>
        <w:t>to</w:t>
      </w:r>
      <w:proofErr w:type="gramEnd"/>
      <w:r>
        <w:rPr>
          <w:rFonts w:ascii="Times New Roman" w:hAnsi="Times New Roman"/>
          <w:b/>
          <w:bCs/>
          <w:sz w:val="24"/>
          <w:szCs w:val="24"/>
        </w:rPr>
        <w:t xml:space="preserve"> pre-trial discovery.   </w:t>
      </w:r>
    </w:p>
    <w:p w14:paraId="6924D7F1" w14:textId="77777777" w:rsidR="00BC70A3" w:rsidRDefault="00BC70A3" w:rsidP="00DE0F03">
      <w:pPr>
        <w:rPr>
          <w:rFonts w:ascii="Arial Black" w:hAnsi="Arial Black"/>
          <w:b/>
          <w:sz w:val="24"/>
          <w:szCs w:val="24"/>
        </w:rPr>
      </w:pPr>
    </w:p>
    <w:p w14:paraId="755D19AE" w14:textId="77777777" w:rsidR="00BC70A3" w:rsidRDefault="00BC70A3" w:rsidP="00DE0F03">
      <w:pPr>
        <w:rPr>
          <w:rFonts w:ascii="Arial Black" w:hAnsi="Arial Black"/>
          <w:b/>
          <w:sz w:val="24"/>
          <w:szCs w:val="24"/>
        </w:rPr>
      </w:pPr>
    </w:p>
    <w:p w14:paraId="4C440C8D" w14:textId="77777777" w:rsidR="00BC70A3" w:rsidRDefault="00BC70A3" w:rsidP="00DE0F03">
      <w:pPr>
        <w:rPr>
          <w:rFonts w:ascii="Arial Black" w:hAnsi="Arial Black"/>
          <w:b/>
          <w:sz w:val="24"/>
          <w:szCs w:val="24"/>
        </w:rPr>
      </w:pPr>
    </w:p>
    <w:p w14:paraId="7C42C8B2" w14:textId="0FAF1EFA" w:rsidR="009E093C" w:rsidRDefault="009E093C" w:rsidP="00DE0F03">
      <w:pPr>
        <w:rPr>
          <w:rFonts w:ascii="Arial Black" w:hAnsi="Arial Black"/>
          <w:b/>
          <w:sz w:val="24"/>
          <w:szCs w:val="24"/>
        </w:rPr>
      </w:pPr>
      <w:r>
        <w:rPr>
          <w:rFonts w:ascii="Arial Black" w:hAnsi="Arial Black"/>
          <w:b/>
          <w:sz w:val="24"/>
          <w:szCs w:val="24"/>
        </w:rPr>
        <w:t>8-23</w:t>
      </w:r>
    </w:p>
    <w:p w14:paraId="7799276E" w14:textId="77777777" w:rsidR="009E093C" w:rsidRPr="001B0505" w:rsidRDefault="009E093C" w:rsidP="009E093C">
      <w:pPr>
        <w:pStyle w:val="NoSpacing"/>
        <w:rPr>
          <w:rFonts w:ascii="Arial Black" w:hAnsi="Arial Black"/>
          <w:sz w:val="28"/>
          <w:szCs w:val="28"/>
        </w:rPr>
      </w:pPr>
      <w:r>
        <w:rPr>
          <w:rFonts w:ascii="Arial Black" w:hAnsi="Arial Black"/>
          <w:sz w:val="28"/>
          <w:szCs w:val="28"/>
        </w:rPr>
        <w:t xml:space="preserve">AL:  AFRICAN AMERICAN FF – CUT LOCK OFF ANOTHER SHIFT’S CABINET, THREATENED FF – SUSP / NO PROMOTION – NO CASE </w:t>
      </w:r>
    </w:p>
    <w:p w14:paraId="498AA8A9" w14:textId="77777777" w:rsidR="009E093C" w:rsidRDefault="009E093C" w:rsidP="009E093C">
      <w:pPr>
        <w:tabs>
          <w:tab w:val="left" w:pos="6860"/>
        </w:tabs>
        <w:spacing w:before="100" w:beforeAutospacing="1" w:after="100" w:afterAutospacing="1" w:line="240" w:lineRule="auto"/>
        <w:rPr>
          <w:rFonts w:ascii="Times New Roman" w:eastAsia="Times New Roman" w:hAnsi="Times New Roman"/>
          <w:sz w:val="24"/>
          <w:szCs w:val="24"/>
        </w:rPr>
      </w:pPr>
      <w:r w:rsidRPr="001B0505">
        <w:rPr>
          <w:rFonts w:ascii="Times New Roman" w:eastAsia="Times New Roman" w:hAnsi="Times New Roman"/>
          <w:sz w:val="24"/>
          <w:szCs w:val="24"/>
        </w:rPr>
        <w:t> </w:t>
      </w:r>
      <w:r>
        <w:rPr>
          <w:rFonts w:ascii="Times New Roman" w:eastAsia="Times New Roman" w:hAnsi="Times New Roman"/>
          <w:sz w:val="24"/>
          <w:szCs w:val="24"/>
        </w:rPr>
        <w:t xml:space="preserve">On Nov. 23, 2020, in </w:t>
      </w:r>
      <w:r w:rsidRPr="00A0255E">
        <w:rPr>
          <w:rFonts w:ascii="Times New Roman" w:eastAsia="Times New Roman" w:hAnsi="Times New Roman"/>
          <w:sz w:val="24"/>
          <w:szCs w:val="24"/>
          <w:u w:val="single"/>
        </w:rPr>
        <w:t>Aaron Mitchell v. City of Newport, et al</w:t>
      </w:r>
      <w:r>
        <w:rPr>
          <w:rFonts w:ascii="Times New Roman" w:eastAsia="Times New Roman" w:hAnsi="Times New Roman"/>
          <w:sz w:val="24"/>
          <w:szCs w:val="24"/>
        </w:rPr>
        <w:t xml:space="preserve">., U.S. District Court Judge L. Scott Coogler, U.S. District Court for Northern District of Alabama (Western Division), granted the City’s motion for summary judgment, finding the Fire Department offered nondiscriminatory explanations for suspending him.   He was suspended in 2017, and later failed promotion exam for Sergeant, and in 2018 he was not permitted to apply for promotion to Lieutenant. </w:t>
      </w:r>
    </w:p>
    <w:p w14:paraId="6775456A" w14:textId="77777777" w:rsidR="009E093C" w:rsidRPr="006A3453" w:rsidRDefault="009E093C" w:rsidP="009E093C">
      <w:pPr>
        <w:pStyle w:val="NoSpacing"/>
        <w:ind w:left="720"/>
        <w:rPr>
          <w:rFonts w:ascii="Times New Roman" w:eastAsia="Times New Roman" w:hAnsi="Times New Roman"/>
          <w:sz w:val="24"/>
          <w:szCs w:val="24"/>
        </w:rPr>
      </w:pPr>
      <w:r>
        <w:rPr>
          <w:rFonts w:ascii="Times New Roman" w:eastAsia="Times New Roman" w:hAnsi="Times New Roman"/>
          <w:sz w:val="24"/>
          <w:szCs w:val="24"/>
        </w:rPr>
        <w:t>“</w:t>
      </w:r>
      <w:r w:rsidRPr="006A3453">
        <w:rPr>
          <w:rFonts w:ascii="Times New Roman" w:hAnsi="Times New Roman"/>
          <w:sz w:val="24"/>
          <w:szCs w:val="24"/>
        </w:rPr>
        <w:t>Even if Mitchell had established a prima facie case, Defendants again offered nondiscriminatory explanations for suspending him: he threatened a colleague, he cursed a colleague, and he destroyed a colleague</w:t>
      </w:r>
      <w:r>
        <w:rPr>
          <w:rFonts w:ascii="Times New Roman" w:hAnsi="Times New Roman"/>
          <w:sz w:val="24"/>
          <w:szCs w:val="24"/>
        </w:rPr>
        <w:t>’</w:t>
      </w:r>
      <w:r w:rsidRPr="006A3453">
        <w:rPr>
          <w:rFonts w:ascii="Times New Roman" w:hAnsi="Times New Roman"/>
          <w:sz w:val="24"/>
          <w:szCs w:val="24"/>
        </w:rPr>
        <w:t>s property. (Doc. 57 at 46.) Because Mitchell offered no new evidence or arguments suggesting these explanations are pretext for retaliation, summary judgment is due to be granted.</w:t>
      </w:r>
      <w:r>
        <w:rPr>
          <w:rFonts w:ascii="Times New Roman" w:hAnsi="Times New Roman"/>
          <w:sz w:val="24"/>
          <w:szCs w:val="24"/>
        </w:rPr>
        <w:t xml:space="preserve">”  </w:t>
      </w:r>
      <w:hyperlink r:id="rId1539" w:history="1">
        <w:r w:rsidRPr="00AA126E">
          <w:rPr>
            <w:rStyle w:val="Hyperlink"/>
            <w:rFonts w:ascii="Times New Roman" w:hAnsi="Times New Roman"/>
            <w:sz w:val="24"/>
            <w:szCs w:val="24"/>
          </w:rPr>
          <w:t>https://public.fastcase.com/Wl%2B2t%2BeVuI35%2FN70vAMFZkzhJOnk32e7%2BdWn1xTx2jApuUgRdcLBLFJLG9W4RHCQ</w:t>
        </w:r>
      </w:hyperlink>
      <w:r>
        <w:rPr>
          <w:rFonts w:ascii="Times New Roman" w:hAnsi="Times New Roman"/>
          <w:sz w:val="24"/>
          <w:szCs w:val="24"/>
        </w:rPr>
        <w:t xml:space="preserve"> </w:t>
      </w:r>
    </w:p>
    <w:p w14:paraId="3CA48BAC" w14:textId="77777777" w:rsidR="009E093C" w:rsidRPr="001B0505" w:rsidRDefault="009E093C" w:rsidP="009E093C">
      <w:pPr>
        <w:spacing w:before="100" w:beforeAutospacing="1" w:after="100" w:afterAutospacing="1" w:line="240" w:lineRule="auto"/>
        <w:rPr>
          <w:rFonts w:ascii="Times New Roman" w:eastAsia="Times New Roman" w:hAnsi="Times New Roman"/>
          <w:b/>
          <w:bCs/>
          <w:sz w:val="24"/>
          <w:szCs w:val="24"/>
        </w:rPr>
      </w:pPr>
      <w:r w:rsidRPr="006A3453">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FD investigated and documented their findings, as well as prior discipline. </w:t>
      </w:r>
    </w:p>
    <w:p w14:paraId="7159446D" w14:textId="77777777" w:rsidR="009E093C" w:rsidRDefault="009E093C" w:rsidP="00DE0F03">
      <w:pPr>
        <w:rPr>
          <w:rFonts w:ascii="Arial Black" w:hAnsi="Arial Black"/>
          <w:b/>
          <w:sz w:val="24"/>
          <w:szCs w:val="24"/>
        </w:rPr>
      </w:pPr>
    </w:p>
    <w:p w14:paraId="6F910840" w14:textId="77777777" w:rsidR="009E093C" w:rsidRDefault="009E093C" w:rsidP="00DE0F03">
      <w:pPr>
        <w:rPr>
          <w:rFonts w:ascii="Arial Black" w:hAnsi="Arial Black"/>
          <w:b/>
          <w:sz w:val="24"/>
          <w:szCs w:val="24"/>
        </w:rPr>
      </w:pPr>
    </w:p>
    <w:p w14:paraId="15B7ADC7" w14:textId="08A2FB58" w:rsidR="00DD03E3" w:rsidRDefault="00DD03E3" w:rsidP="00DE0F03">
      <w:pPr>
        <w:rPr>
          <w:rFonts w:ascii="Arial Black" w:hAnsi="Arial Black"/>
          <w:b/>
          <w:sz w:val="24"/>
          <w:szCs w:val="24"/>
        </w:rPr>
      </w:pPr>
      <w:r>
        <w:rPr>
          <w:rFonts w:ascii="Arial Black" w:hAnsi="Arial Black"/>
          <w:b/>
          <w:sz w:val="24"/>
          <w:szCs w:val="24"/>
        </w:rPr>
        <w:t>8-22</w:t>
      </w:r>
    </w:p>
    <w:p w14:paraId="22CD9306" w14:textId="77777777" w:rsidR="00DD03E3" w:rsidRPr="004E7805" w:rsidRDefault="00DD03E3" w:rsidP="00DD03E3">
      <w:pPr>
        <w:spacing w:before="100" w:beforeAutospacing="1" w:after="100" w:afterAutospacing="1" w:line="240" w:lineRule="auto"/>
        <w:rPr>
          <w:rFonts w:ascii="Arial Black" w:eastAsia="Times New Roman" w:hAnsi="Arial Black"/>
          <w:b/>
          <w:bCs/>
          <w:sz w:val="28"/>
          <w:szCs w:val="28"/>
        </w:rPr>
      </w:pPr>
      <w:r w:rsidRPr="004E7805">
        <w:rPr>
          <w:rFonts w:ascii="Arial Black" w:eastAsia="Times New Roman" w:hAnsi="Arial Black"/>
          <w:b/>
          <w:bCs/>
          <w:sz w:val="28"/>
          <w:szCs w:val="28"/>
        </w:rPr>
        <w:t>MI:</w:t>
      </w:r>
      <w:r>
        <w:rPr>
          <w:rFonts w:ascii="Arial Black" w:eastAsia="Times New Roman" w:hAnsi="Arial Black"/>
          <w:b/>
          <w:bCs/>
          <w:sz w:val="28"/>
          <w:szCs w:val="28"/>
        </w:rPr>
        <w:t xml:space="preserve"> PROB. FF (WHITE) - WATERMELLON WITH PINK RIBBON TO FIRE STATION WHERE HE WAS JUST ASSIGNED – FIRED – CASE PROCEED</w:t>
      </w:r>
    </w:p>
    <w:p w14:paraId="438E1D5A" w14:textId="77777777" w:rsidR="00DD03E3" w:rsidRDefault="00DD03E3" w:rsidP="00DD03E3">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On Oct. 22, 2020, in </w:t>
      </w:r>
      <w:r w:rsidRPr="004E7805">
        <w:rPr>
          <w:rFonts w:ascii="Times New Roman" w:eastAsia="Times New Roman" w:hAnsi="Times New Roman"/>
          <w:sz w:val="24"/>
          <w:szCs w:val="24"/>
          <w:u w:val="single"/>
        </w:rPr>
        <w:t>Robert Patterson v. City of Detroit, et al</w:t>
      </w:r>
      <w:r>
        <w:rPr>
          <w:rFonts w:ascii="Times New Roman" w:eastAsia="Times New Roman" w:hAnsi="Times New Roman"/>
          <w:sz w:val="24"/>
          <w:szCs w:val="24"/>
        </w:rPr>
        <w:t xml:space="preserve">., the State of Michigan Court of Appeals held (3 to 0) in an unpublished decision, that the trial court judge properly denied the City’s motion for summary judgment concerning race discrimination allegations in the complaint.  The probationary firefighter’s internal investigation was shoddy, and he was treated much more harshly than a non-probationary African American firefighter who had posted a racially insensitive item.  </w:t>
      </w:r>
    </w:p>
    <w:p w14:paraId="777F84E7" w14:textId="77777777" w:rsidR="00DD03E3" w:rsidRPr="004E7805" w:rsidRDefault="00DD03E3" w:rsidP="00DD03E3">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5D19EF">
        <w:rPr>
          <w:rFonts w:ascii="Times New Roman" w:hAnsi="Times New Roman"/>
          <w:sz w:val="24"/>
          <w:szCs w:val="24"/>
        </w:rPr>
        <w:t xml:space="preserve">The evidence indicates that both plaintiff and Bragg should have received substantially the same kind and intensity of investigation, impartiality, and benefit of any doubt. Because a violation of the zero-tolerance policy would seem to constitute </w:t>
      </w:r>
      <w:proofErr w:type="spellStart"/>
      <w:r>
        <w:rPr>
          <w:rFonts w:ascii="Times New Roman" w:hAnsi="Times New Roman"/>
          <w:sz w:val="24"/>
          <w:szCs w:val="24"/>
        </w:rPr>
        <w:t>‘</w:t>
      </w:r>
      <w:r w:rsidRPr="005D19EF">
        <w:rPr>
          <w:rFonts w:ascii="Times New Roman" w:hAnsi="Times New Roman"/>
          <w:sz w:val="24"/>
          <w:szCs w:val="24"/>
        </w:rPr>
        <w:t>cause</w:t>
      </w:r>
      <w:proofErr w:type="spellEnd"/>
      <w:r w:rsidRPr="005D19EF">
        <w:rPr>
          <w:rFonts w:ascii="Times New Roman" w:hAnsi="Times New Roman"/>
          <w:sz w:val="24"/>
          <w:szCs w:val="24"/>
        </w:rPr>
        <w:t>,</w:t>
      </w:r>
      <w:r>
        <w:rPr>
          <w:rFonts w:ascii="Times New Roman" w:hAnsi="Times New Roman"/>
          <w:sz w:val="24"/>
          <w:szCs w:val="24"/>
        </w:rPr>
        <w:t>’</w:t>
      </w:r>
      <w:r w:rsidRPr="005D19EF">
        <w:rPr>
          <w:rFonts w:ascii="Times New Roman" w:hAnsi="Times New Roman"/>
          <w:sz w:val="24"/>
          <w:szCs w:val="24"/>
        </w:rPr>
        <w:t xml:space="preserve"> it is irrelevant that plaintiff was at-will and Bragg was not. Because the real-world effect of both plaintiff's conduct and Bragg's conduct dramatically affected working conditions, the fact that one occurred on City premises and the other occurred on social media does not seem relevant. *** The trial court correctly denied summary disposition as to Counts I and III, being plaintiff's claims for race-based discrimination under the ELCRA and 42 USC § 1981</w:t>
      </w:r>
      <w:r>
        <w:rPr>
          <w:rFonts w:ascii="Times New Roman" w:hAnsi="Times New Roman"/>
          <w:sz w:val="24"/>
          <w:szCs w:val="24"/>
        </w:rPr>
        <w:t>.”</w:t>
      </w:r>
      <w:hyperlink r:id="rId1540" w:history="1">
        <w:r w:rsidRPr="003B2E68">
          <w:rPr>
            <w:rStyle w:val="Hyperlink"/>
            <w:rFonts w:ascii="Times New Roman" w:eastAsia="Times New Roman" w:hAnsi="Times New Roman"/>
            <w:sz w:val="24"/>
            <w:szCs w:val="24"/>
          </w:rPr>
          <w:t>https://law.justia.com/cases/michigan/court-of-appeals-unpublished/2020/350474.html</w:t>
        </w:r>
      </w:hyperlink>
      <w:r>
        <w:rPr>
          <w:rFonts w:ascii="Times New Roman" w:eastAsia="Times New Roman" w:hAnsi="Times New Roman"/>
          <w:sz w:val="24"/>
          <w:szCs w:val="24"/>
        </w:rPr>
        <w:t xml:space="preserve"> </w:t>
      </w:r>
    </w:p>
    <w:p w14:paraId="05EC0E83" w14:textId="77777777" w:rsidR="00DD03E3" w:rsidRDefault="00DD03E3" w:rsidP="00DD03E3">
      <w:pPr>
        <w:pStyle w:val="NormalWeb"/>
        <w:rPr>
          <w:b/>
          <w:bCs/>
        </w:rPr>
      </w:pPr>
      <w:r w:rsidRPr="0007304E">
        <w:rPr>
          <w:b/>
          <w:bCs/>
        </w:rPr>
        <w:lastRenderedPageBreak/>
        <w:t>Legal Lesson Learned:</w:t>
      </w:r>
      <w:r>
        <w:rPr>
          <w:b/>
          <w:bCs/>
        </w:rPr>
        <w:t xml:space="preserve"> Even an “at will” probationary firefighter is entitled to a thorough investigation prior to making a termination decision. </w:t>
      </w:r>
    </w:p>
    <w:p w14:paraId="0D932215" w14:textId="77777777" w:rsidR="00DD03E3" w:rsidRPr="00EB337A" w:rsidRDefault="00DD03E3" w:rsidP="00DD03E3">
      <w:pPr>
        <w:spacing w:before="100" w:beforeAutospacing="1" w:after="100" w:afterAutospacing="1" w:line="240" w:lineRule="auto"/>
        <w:ind w:left="720"/>
        <w:rPr>
          <w:rFonts w:ascii="Times New Roman" w:eastAsia="Times New Roman" w:hAnsi="Times New Roman"/>
          <w:sz w:val="24"/>
          <w:szCs w:val="24"/>
        </w:rPr>
      </w:pPr>
      <w:r w:rsidRPr="00EB337A">
        <w:rPr>
          <w:rFonts w:ascii="Times New Roman" w:hAnsi="Times New Roman"/>
          <w:sz w:val="24"/>
          <w:szCs w:val="24"/>
        </w:rPr>
        <w:t xml:space="preserve">Note: The Court </w:t>
      </w:r>
      <w:r>
        <w:rPr>
          <w:rFonts w:ascii="Times New Roman" w:hAnsi="Times New Roman"/>
          <w:sz w:val="24"/>
          <w:szCs w:val="24"/>
        </w:rPr>
        <w:t xml:space="preserve">of Appeals </w:t>
      </w:r>
      <w:r w:rsidRPr="00EB337A">
        <w:rPr>
          <w:rFonts w:ascii="Times New Roman" w:hAnsi="Times New Roman"/>
          <w:sz w:val="24"/>
          <w:szCs w:val="24"/>
        </w:rPr>
        <w:t xml:space="preserve">also held trial court judge properly dismissed </w:t>
      </w:r>
      <w:r>
        <w:rPr>
          <w:rFonts w:ascii="Times New Roman" w:hAnsi="Times New Roman"/>
          <w:sz w:val="24"/>
          <w:szCs w:val="24"/>
        </w:rPr>
        <w:t xml:space="preserve">plaintiff’s </w:t>
      </w:r>
      <w:r w:rsidRPr="00EB337A">
        <w:rPr>
          <w:rFonts w:ascii="Times New Roman" w:hAnsi="Times New Roman"/>
          <w:sz w:val="24"/>
          <w:szCs w:val="24"/>
        </w:rPr>
        <w:t xml:space="preserve">defamation claim against the Fire Commissioner for issuing a Press Release after plaintiff was terminated. </w:t>
      </w:r>
      <w:r>
        <w:rPr>
          <w:rFonts w:ascii="Times New Roman" w:hAnsi="Times New Roman"/>
          <w:sz w:val="24"/>
          <w:szCs w:val="24"/>
        </w:rPr>
        <w:t>“[T]</w:t>
      </w:r>
      <w:r w:rsidRPr="00EB337A">
        <w:rPr>
          <w:rFonts w:ascii="Times New Roman" w:hAnsi="Times New Roman"/>
          <w:sz w:val="24"/>
          <w:szCs w:val="24"/>
        </w:rPr>
        <w:t>he evidence indicates that Jones's issuance of the press release was within the scope of his authority as Fire Commissioner. Therefore, he is entitled to absolute immunity for any defamatory (or false light invasion of privacy) content within that press release.</w:t>
      </w:r>
      <w:r>
        <w:rPr>
          <w:rFonts w:ascii="Times New Roman" w:hAnsi="Times New Roman"/>
          <w:sz w:val="24"/>
          <w:szCs w:val="24"/>
        </w:rPr>
        <w:t>”</w:t>
      </w:r>
    </w:p>
    <w:p w14:paraId="608F477C" w14:textId="77777777" w:rsidR="00DD03E3" w:rsidRPr="00C17950" w:rsidRDefault="00DD03E3" w:rsidP="00DD03E3">
      <w:pPr>
        <w:pStyle w:val="NormalWeb"/>
        <w:ind w:left="720"/>
      </w:pPr>
      <w:r w:rsidRPr="00EB337A">
        <w:t xml:space="preserve">The </w:t>
      </w:r>
      <w:r w:rsidRPr="00C17950">
        <w:t xml:space="preserve">October 6, </w:t>
      </w:r>
      <w:proofErr w:type="gramStart"/>
      <w:r w:rsidRPr="00C17950">
        <w:t>201</w:t>
      </w:r>
      <w:r w:rsidRPr="00EB337A">
        <w:t>7</w:t>
      </w:r>
      <w:proofErr w:type="gramEnd"/>
      <w:r w:rsidRPr="00C17950">
        <w:t xml:space="preserve"> </w:t>
      </w:r>
      <w:r w:rsidRPr="00EB337A">
        <w:t xml:space="preserve">Press Release </w:t>
      </w:r>
      <w:r w:rsidRPr="00C17950">
        <w:t>read:</w:t>
      </w:r>
    </w:p>
    <w:p w14:paraId="73B6414D" w14:textId="78695253" w:rsidR="00DD03E3" w:rsidRDefault="00DD03E3" w:rsidP="00DD03E3">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C17950">
        <w:rPr>
          <w:rFonts w:ascii="Times New Roman" w:eastAsia="Times New Roman" w:hAnsi="Times New Roman"/>
          <w:sz w:val="24"/>
          <w:szCs w:val="24"/>
        </w:rPr>
        <w:t>There is zero tolerance for discriminatory behavior inside the Detroit Fire Department. On Saturday, Sept. 30, 2017, at Engine 55, a trial firefighter (probationary employee) engaged in unsatisfactory work behavior which was deemed offensive and racially insensitive to members of the Detroit Fire Department. After a thorough investigation, it was determined that the best course of action was to terminate the employment of this probationary employee.</w:t>
      </w:r>
      <w:r>
        <w:rPr>
          <w:rFonts w:ascii="Times New Roman" w:eastAsia="Times New Roman" w:hAnsi="Times New Roman"/>
          <w:sz w:val="24"/>
          <w:szCs w:val="24"/>
        </w:rPr>
        <w:t>”</w:t>
      </w:r>
    </w:p>
    <w:p w14:paraId="1DE5F9AF" w14:textId="1AA87ADB" w:rsidR="00DD03E3" w:rsidRDefault="00DD03E3" w:rsidP="00DD03E3">
      <w:pPr>
        <w:spacing w:after="100" w:line="240" w:lineRule="auto"/>
        <w:ind w:left="1440"/>
        <w:rPr>
          <w:rFonts w:ascii="Times New Roman" w:eastAsia="Times New Roman" w:hAnsi="Times New Roman"/>
          <w:sz w:val="24"/>
          <w:szCs w:val="24"/>
        </w:rPr>
      </w:pPr>
    </w:p>
    <w:p w14:paraId="4C7DD396" w14:textId="77777777" w:rsidR="00DD03E3" w:rsidRPr="00C17950" w:rsidRDefault="00DD03E3" w:rsidP="00DD03E3">
      <w:pPr>
        <w:spacing w:after="100" w:line="240" w:lineRule="auto"/>
        <w:ind w:left="1440"/>
        <w:rPr>
          <w:rFonts w:ascii="Times New Roman" w:eastAsia="Times New Roman" w:hAnsi="Times New Roman"/>
          <w:sz w:val="24"/>
          <w:szCs w:val="24"/>
        </w:rPr>
      </w:pPr>
    </w:p>
    <w:p w14:paraId="0B56FA50" w14:textId="77777777" w:rsidR="00DD03E3" w:rsidRDefault="00DD03E3" w:rsidP="00DE0F03">
      <w:pPr>
        <w:rPr>
          <w:rFonts w:ascii="Arial Black" w:hAnsi="Arial Black"/>
          <w:b/>
          <w:sz w:val="24"/>
          <w:szCs w:val="24"/>
        </w:rPr>
      </w:pPr>
    </w:p>
    <w:p w14:paraId="08948BD7" w14:textId="77777777" w:rsidR="00DD03E3" w:rsidRDefault="00DD03E3" w:rsidP="00DE0F03">
      <w:pPr>
        <w:rPr>
          <w:rFonts w:ascii="Arial Black" w:hAnsi="Arial Black"/>
          <w:b/>
          <w:sz w:val="24"/>
          <w:szCs w:val="24"/>
        </w:rPr>
      </w:pPr>
    </w:p>
    <w:p w14:paraId="4151AAE8" w14:textId="06849EA5" w:rsidR="00DD03E3" w:rsidRDefault="00DD03E3" w:rsidP="00DE0F03">
      <w:pPr>
        <w:rPr>
          <w:rFonts w:ascii="Arial Black" w:hAnsi="Arial Black"/>
          <w:b/>
          <w:sz w:val="24"/>
          <w:szCs w:val="24"/>
        </w:rPr>
      </w:pPr>
      <w:r>
        <w:rPr>
          <w:rFonts w:ascii="Arial Black" w:hAnsi="Arial Black"/>
          <w:b/>
          <w:sz w:val="24"/>
          <w:szCs w:val="24"/>
        </w:rPr>
        <w:t>8-21</w:t>
      </w:r>
    </w:p>
    <w:p w14:paraId="52E1EE47" w14:textId="77777777" w:rsidR="00DD03E3" w:rsidRPr="002C741B" w:rsidRDefault="00DD03E3" w:rsidP="00DD03E3">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OH: EMS CAPTAIN (BLACK) SHIFT CHANGED – SO WHITE CAPTAIN ON EACH SHIFT – UNFAIR, INCONVENIENT - BUT NOT TITLE VII VIOL. </w:t>
      </w:r>
    </w:p>
    <w:p w14:paraId="407EEA1E" w14:textId="77777777" w:rsidR="00DD03E3" w:rsidRDefault="00DD03E3" w:rsidP="00DD03E3">
      <w:pPr>
        <w:spacing w:before="100" w:beforeAutospacing="1" w:after="100" w:afterAutospacing="1" w:line="240" w:lineRule="auto"/>
        <w:rPr>
          <w:rFonts w:ascii="Times New Roman" w:eastAsia="Times New Roman" w:hAnsi="Times New Roman"/>
          <w:b/>
          <w:bCs/>
          <w:sz w:val="24"/>
          <w:szCs w:val="24"/>
        </w:rPr>
      </w:pPr>
      <w:r w:rsidRPr="002C741B">
        <w:rPr>
          <w:rFonts w:ascii="Times New Roman" w:hAnsi="Times New Roman"/>
          <w:sz w:val="24"/>
          <w:szCs w:val="24"/>
        </w:rPr>
        <w:t xml:space="preserve">On Oct. 8, 2020, in </w:t>
      </w:r>
      <w:r w:rsidRPr="00633F0B">
        <w:rPr>
          <w:rFonts w:ascii="Times New Roman" w:hAnsi="Times New Roman"/>
          <w:sz w:val="24"/>
          <w:szCs w:val="24"/>
          <w:u w:val="single"/>
        </w:rPr>
        <w:t>Michael Threat, et al. v. City of Cleveland</w:t>
      </w:r>
      <w:r w:rsidRPr="002C741B">
        <w:rPr>
          <w:rFonts w:ascii="Times New Roman" w:hAnsi="Times New Roman"/>
          <w:sz w:val="24"/>
          <w:szCs w:val="24"/>
        </w:rPr>
        <w:t xml:space="preserve">, </w:t>
      </w:r>
      <w:r>
        <w:rPr>
          <w:rFonts w:ascii="Times New Roman" w:hAnsi="Times New Roman"/>
          <w:sz w:val="24"/>
          <w:szCs w:val="24"/>
        </w:rPr>
        <w:t xml:space="preserve">U.S. District Court Judge James S. Gwin, Northern District of Ohio, granted the City’s motion for summary judgment. Five </w:t>
      </w:r>
      <w:proofErr w:type="gramStart"/>
      <w:r>
        <w:rPr>
          <w:rFonts w:ascii="Times New Roman" w:hAnsi="Times New Roman"/>
          <w:sz w:val="24"/>
          <w:szCs w:val="24"/>
        </w:rPr>
        <w:t>African-American</w:t>
      </w:r>
      <w:proofErr w:type="gramEnd"/>
      <w:r>
        <w:rPr>
          <w:rFonts w:ascii="Times New Roman" w:hAnsi="Times New Roman"/>
          <w:sz w:val="24"/>
          <w:szCs w:val="24"/>
        </w:rPr>
        <w:t xml:space="preserve"> Captains sued, after the EMS Commissioner changed the shift of Captain Reginal Anderson from his requested day shift to night shift; the Commissioner wanted at least one Caucasian Captain with more seniority on duty.  </w:t>
      </w:r>
    </w:p>
    <w:p w14:paraId="5FE84FF2" w14:textId="77777777" w:rsidR="00DD03E3" w:rsidRDefault="00DD03E3" w:rsidP="00DD03E3">
      <w:pPr>
        <w:pStyle w:val="NormalWeb"/>
        <w:ind w:left="720"/>
      </w:pPr>
      <w:r>
        <w:t>“Not all undesirable or unfair work conditions that employees face are material for purposes of Title VII.  ‘Reassignments without changes in salary, benefits, title, or work hours usually do not constitute adverse employment actions.’    Plaintiff Anderson's shift change, while unfair and inconvenient, does not rise to the level of a materially adverse employment action. A change to night shift ‘is not materially adverse without some reduction in pay, prestige, or responsibility.’ Anderson's shift change did not affect the basic terms of his employment; it merely temporarily affected when he worked and who he worked with. Anderson's family life preference for day shift does not change things.</w:t>
      </w:r>
      <w:bookmarkStart w:id="320" w:name="fn44"/>
      <w:r>
        <w:rPr>
          <w:sz w:val="20"/>
          <w:szCs w:val="20"/>
          <w:vertAlign w:val="superscript"/>
        </w:rPr>
        <w:fldChar w:fldCharType="begin"/>
      </w:r>
      <w:r>
        <w:rPr>
          <w:sz w:val="20"/>
          <w:szCs w:val="20"/>
          <w:vertAlign w:val="superscript"/>
        </w:rPr>
        <w:instrText xml:space="preserve"> HYPERLINK "https://public.fastcase.com/" \l "fr44" </w:instrText>
      </w:r>
      <w:r>
        <w:rPr>
          <w:sz w:val="20"/>
          <w:szCs w:val="20"/>
          <w:vertAlign w:val="superscript"/>
        </w:rPr>
      </w:r>
      <w:r>
        <w:rPr>
          <w:sz w:val="20"/>
          <w:szCs w:val="20"/>
          <w:vertAlign w:val="superscript"/>
        </w:rPr>
        <w:fldChar w:fldCharType="separate"/>
      </w:r>
      <w:r>
        <w:rPr>
          <w:rStyle w:val="Hyperlink"/>
          <w:rFonts w:eastAsiaTheme="majorEastAsia"/>
          <w:sz w:val="20"/>
          <w:szCs w:val="20"/>
          <w:vertAlign w:val="superscript"/>
        </w:rPr>
        <w:t>44</w:t>
      </w:r>
      <w:r>
        <w:rPr>
          <w:sz w:val="20"/>
          <w:szCs w:val="20"/>
          <w:vertAlign w:val="superscript"/>
        </w:rPr>
        <w:fldChar w:fldCharType="end"/>
      </w:r>
      <w:bookmarkEnd w:id="320"/>
      <w:r>
        <w:t xml:space="preserve"> Courts employ an objective standard for Title VII materiality. Working night shift is not objectively less desirable than day shift or viewed by the City or EMS Commissioner as a duty performed by lower-ranking employees. In fact, two captains more senior than Anderson each used their top bids on A-key and B-key nights.” </w:t>
      </w:r>
      <w:hyperlink r:id="rId1541" w:history="1">
        <w:r w:rsidRPr="00987F62">
          <w:rPr>
            <w:rStyle w:val="Hyperlink"/>
          </w:rPr>
          <w:t>https://casetext.com/case/threat-v-city-of-cleveland</w:t>
        </w:r>
      </w:hyperlink>
      <w:r>
        <w:t xml:space="preserve"> </w:t>
      </w:r>
    </w:p>
    <w:p w14:paraId="1D3228BD" w14:textId="77777777" w:rsidR="00DD03E3" w:rsidRDefault="00DD03E3" w:rsidP="00DD03E3">
      <w:pPr>
        <w:pStyle w:val="NormalWeb"/>
        <w:rPr>
          <w:b/>
          <w:bCs/>
        </w:rPr>
      </w:pPr>
      <w:r>
        <w:rPr>
          <w:b/>
          <w:bCs/>
        </w:rPr>
        <w:t>Legal Lesson Learned: Staffing decisions based on race can lead to litigation and poor workplace morale; should be carefully reviewed with legal counsel prior to implementation.</w:t>
      </w:r>
    </w:p>
    <w:p w14:paraId="2F0E4E63" w14:textId="77777777" w:rsidR="00DD03E3" w:rsidRDefault="00DD03E3" w:rsidP="00DE0F03">
      <w:pPr>
        <w:rPr>
          <w:rFonts w:ascii="Arial Black" w:hAnsi="Arial Black"/>
          <w:b/>
          <w:sz w:val="24"/>
          <w:szCs w:val="24"/>
        </w:rPr>
      </w:pPr>
    </w:p>
    <w:p w14:paraId="5FB5F61A" w14:textId="45C568C8" w:rsidR="00F824FE" w:rsidRDefault="00F824FE" w:rsidP="00DE0F03">
      <w:pPr>
        <w:rPr>
          <w:rFonts w:ascii="Arial Black" w:hAnsi="Arial Black"/>
          <w:b/>
          <w:sz w:val="24"/>
          <w:szCs w:val="24"/>
        </w:rPr>
      </w:pPr>
      <w:r>
        <w:rPr>
          <w:rFonts w:ascii="Arial Black" w:hAnsi="Arial Black"/>
          <w:b/>
          <w:sz w:val="24"/>
          <w:szCs w:val="24"/>
        </w:rPr>
        <w:lastRenderedPageBreak/>
        <w:t>8-20</w:t>
      </w:r>
    </w:p>
    <w:p w14:paraId="5526AEF1" w14:textId="77777777" w:rsidR="00F824FE" w:rsidRPr="001B5E57" w:rsidRDefault="00F824FE" w:rsidP="00F824FE">
      <w:pPr>
        <w:pStyle w:val="NormalWeb"/>
        <w:rPr>
          <w:rFonts w:ascii="Arial Black" w:hAnsi="Arial Black"/>
          <w:sz w:val="28"/>
          <w:szCs w:val="28"/>
        </w:rPr>
      </w:pPr>
      <w:r>
        <w:rPr>
          <w:rFonts w:ascii="Arial Black" w:hAnsi="Arial Black"/>
          <w:sz w:val="28"/>
          <w:szCs w:val="28"/>
        </w:rPr>
        <w:t>FL: FEMALE AFRICAN AMERICAN FF – ON PROMOTION LIST - JURY DETERMINED WERE NO OPENING – NEW TRIAL ORDER REVERSED</w:t>
      </w:r>
    </w:p>
    <w:p w14:paraId="481245AB" w14:textId="77777777" w:rsidR="00F824FE" w:rsidRDefault="00F824FE" w:rsidP="00F824FE">
      <w:pPr>
        <w:pStyle w:val="NormalWeb"/>
      </w:pPr>
      <w:r>
        <w:t xml:space="preserve">On Sept. 23, 2020, in </w:t>
      </w:r>
      <w:r w:rsidRPr="001B5E57">
        <w:rPr>
          <w:u w:val="single"/>
        </w:rPr>
        <w:t>Miami-Dade County v. Faye Davis</w:t>
      </w:r>
      <w:r>
        <w:t xml:space="preserve">, the Third District Court of Appeal, State of Florida, held (3 to 0) that the trial judge improperly granted the plaintiff’s motion for a new trial.   </w:t>
      </w:r>
    </w:p>
    <w:p w14:paraId="00077D1A" w14:textId="77777777" w:rsidR="00F824FE" w:rsidRDefault="00F824FE" w:rsidP="00F824FE">
      <w:pPr>
        <w:spacing w:before="100" w:beforeAutospacing="1" w:after="100" w:afterAutospacing="1" w:line="240" w:lineRule="auto"/>
        <w:ind w:left="720"/>
        <w:rPr>
          <w:rFonts w:ascii="Times New Roman" w:eastAsia="Times New Roman" w:hAnsi="Times New Roman"/>
          <w:sz w:val="24"/>
          <w:szCs w:val="24"/>
        </w:rPr>
      </w:pPr>
      <w:r w:rsidRPr="001C55DB">
        <w:rPr>
          <w:sz w:val="24"/>
          <w:szCs w:val="24"/>
        </w:rPr>
        <w:t>“</w:t>
      </w:r>
      <w:r w:rsidRPr="001B5E57">
        <w:rPr>
          <w:rFonts w:ascii="Times New Roman" w:eastAsia="Times New Roman" w:hAnsi="Times New Roman"/>
          <w:sz w:val="24"/>
          <w:szCs w:val="24"/>
        </w:rPr>
        <w:t xml:space="preserve">We hold that the evidence supported the jury's verdict, in which it determined that the County did not deny Davis a promotion during the 2009-10 and 2010-11 promotional cycles based on her race or sex, and further determined that the County did not deny her a promotion because she engaged in protected activity. The trial court erred in granting </w:t>
      </w:r>
      <w:proofErr w:type="spellStart"/>
      <w:r w:rsidRPr="001B5E57">
        <w:rPr>
          <w:rFonts w:ascii="Times New Roman" w:eastAsia="Times New Roman" w:hAnsi="Times New Roman"/>
          <w:sz w:val="24"/>
          <w:szCs w:val="24"/>
        </w:rPr>
        <w:t>Davis'</w:t>
      </w:r>
      <w:proofErr w:type="spellEnd"/>
      <w:r w:rsidRPr="001B5E57">
        <w:rPr>
          <w:rFonts w:ascii="Times New Roman" w:eastAsia="Times New Roman" w:hAnsi="Times New Roman"/>
          <w:sz w:val="24"/>
          <w:szCs w:val="24"/>
        </w:rPr>
        <w:t xml:space="preserve"> motion for directed verdict and abused its discretion in alternatively granting a new trial.</w:t>
      </w:r>
    </w:p>
    <w:p w14:paraId="3A5708F7" w14:textId="77777777" w:rsidR="00F824FE" w:rsidRPr="001B5E57" w:rsidRDefault="00F824FE" w:rsidP="00F824F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7FFC040" w14:textId="77777777" w:rsidR="00F824FE" w:rsidRPr="001C55DB" w:rsidRDefault="00F824FE" w:rsidP="00F824FE">
      <w:pPr>
        <w:pStyle w:val="NormalWeb"/>
        <w:ind w:left="720"/>
        <w:rPr>
          <w:b/>
          <w:bCs/>
        </w:rPr>
      </w:pPr>
      <w:r w:rsidRPr="001C55DB">
        <w:t xml:space="preserve">To find that the County failed to present any evidence showing a non-discriminatory reason for Davis's lack of promotion, the trial court's order relied on </w:t>
      </w:r>
      <w:r>
        <w:t xml:space="preserve">[Miami-Dade Fire Chief MDFR Fire Chief Herminio] </w:t>
      </w:r>
      <w:r w:rsidRPr="001C55DB">
        <w:t xml:space="preserve">Lorenzo's inability to remember his reasons for not promoting Davis. Such reliance is misplaced where, viewing the evidence in the light most favorable to the County, a reasonable inference can be drawn that the County's decision was based on legitimate, non-discriminatory, non-retaliatory reasons i.e., overages and an agreement between the County and the union prohibited Chief Lorenzo from filling the two ‘vacant’ positions. We also note that Chief Lorenzo testified that the only criteria he used to make CFO promotions was to go </w:t>
      </w:r>
      <w:r>
        <w:t>‘</w:t>
      </w:r>
      <w:r w:rsidRPr="001C55DB">
        <w:t>straight down the list,</w:t>
      </w:r>
      <w:r>
        <w:t>’</w:t>
      </w:r>
      <w:r w:rsidRPr="001C55DB">
        <w:t xml:space="preserve"> and that he never took race into consideration. </w:t>
      </w:r>
      <w:proofErr w:type="spellStart"/>
      <w:r w:rsidRPr="001C55DB">
        <w:t>Davis'</w:t>
      </w:r>
      <w:proofErr w:type="spellEnd"/>
      <w:r w:rsidRPr="001C55DB">
        <w:t xml:space="preserve"> own testimony on cross-examination allowed for the reasonable inference that Chief Lorenzo simply went </w:t>
      </w:r>
      <w:r>
        <w:t>‘</w:t>
      </w:r>
      <w:r w:rsidRPr="001C55DB">
        <w:t>straight down the list</w:t>
      </w:r>
      <w:r>
        <w:t>’</w:t>
      </w:r>
      <w:r w:rsidRPr="001C55DB">
        <w:t xml:space="preserve"> where she acknowledged that, from 2005 to 2009, he had promoted Blacks, Hispanics, women, and active members of the PFA.</w:t>
      </w:r>
      <w:r>
        <w:t xml:space="preserve">”  [Footnote 3.] </w:t>
      </w:r>
      <w:hyperlink r:id="rId1542" w:history="1">
        <w:r w:rsidRPr="002F1E28">
          <w:rPr>
            <w:rStyle w:val="Hyperlink"/>
          </w:rPr>
          <w:t>https://law.justia.com/cases/florida/third-district-court-of-appeal/2020/3d19-1144.html</w:t>
        </w:r>
      </w:hyperlink>
      <w:r>
        <w:t xml:space="preserve"> </w:t>
      </w:r>
    </w:p>
    <w:p w14:paraId="640ED975" w14:textId="77777777" w:rsidR="00F824FE" w:rsidRDefault="00F824FE" w:rsidP="00F824FE">
      <w:pPr>
        <w:spacing w:before="100" w:beforeAutospacing="1" w:after="100" w:afterAutospacing="1" w:line="240" w:lineRule="auto"/>
        <w:rPr>
          <w:rFonts w:ascii="Times New Roman" w:hAnsi="Times New Roman"/>
          <w:b/>
          <w:bCs/>
          <w:sz w:val="24"/>
          <w:szCs w:val="24"/>
        </w:rPr>
      </w:pPr>
      <w:r w:rsidRPr="0023112C">
        <w:rPr>
          <w:rFonts w:ascii="Times New Roman" w:hAnsi="Times New Roman"/>
          <w:b/>
          <w:bCs/>
          <w:sz w:val="24"/>
          <w:szCs w:val="24"/>
        </w:rPr>
        <w:t>Legal Lessons Learned:</w:t>
      </w:r>
      <w:r>
        <w:rPr>
          <w:rFonts w:ascii="Times New Roman" w:hAnsi="Times New Roman"/>
          <w:b/>
          <w:bCs/>
          <w:sz w:val="24"/>
          <w:szCs w:val="24"/>
        </w:rPr>
        <w:t xml:space="preserve"> Jury’s verdict is upheld. </w:t>
      </w:r>
    </w:p>
    <w:p w14:paraId="28B947C1" w14:textId="77777777" w:rsidR="00F824FE" w:rsidRDefault="00F824FE" w:rsidP="00F824FE">
      <w:pPr>
        <w:spacing w:before="100" w:beforeAutospacing="1" w:after="100" w:afterAutospacing="1" w:line="240" w:lineRule="auto"/>
        <w:ind w:left="720"/>
        <w:rPr>
          <w:rFonts w:ascii="Times New Roman" w:hAnsi="Times New Roman"/>
          <w:sz w:val="24"/>
          <w:szCs w:val="24"/>
        </w:rPr>
      </w:pPr>
      <w:r w:rsidRPr="0023112C">
        <w:rPr>
          <w:rFonts w:ascii="Times New Roman" w:hAnsi="Times New Roman"/>
          <w:sz w:val="24"/>
          <w:szCs w:val="24"/>
        </w:rPr>
        <w:t xml:space="preserve">Note: </w:t>
      </w:r>
      <w:r>
        <w:rPr>
          <w:rFonts w:ascii="Times New Roman" w:hAnsi="Times New Roman"/>
          <w:sz w:val="24"/>
          <w:szCs w:val="24"/>
        </w:rPr>
        <w:t xml:space="preserve">Trial judge who ordered new trial thought the jury had been “deceived” because a FD report had not been provided to plaintiff’s counsel prior to trail. </w:t>
      </w:r>
    </w:p>
    <w:p w14:paraId="67028051" w14:textId="77777777" w:rsidR="00F824FE" w:rsidRPr="0023112C" w:rsidRDefault="00F824FE" w:rsidP="00F824FE">
      <w:pPr>
        <w:spacing w:before="100" w:beforeAutospacing="1" w:after="100" w:afterAutospacing="1" w:line="240" w:lineRule="auto"/>
        <w:ind w:left="1440"/>
        <w:rPr>
          <w:rFonts w:ascii="Times New Roman" w:eastAsia="Times New Roman" w:hAnsi="Times New Roman"/>
          <w:sz w:val="24"/>
          <w:szCs w:val="24"/>
        </w:rPr>
      </w:pPr>
      <w:r w:rsidRPr="0023112C">
        <w:rPr>
          <w:rFonts w:ascii="Times New Roman" w:hAnsi="Times New Roman"/>
          <w:sz w:val="24"/>
          <w:szCs w:val="24"/>
        </w:rPr>
        <w:t>“</w:t>
      </w:r>
      <w:r w:rsidRPr="0023112C">
        <w:rPr>
          <w:rFonts w:ascii="Times New Roman" w:eastAsia="Times New Roman" w:hAnsi="Times New Roman"/>
          <w:sz w:val="24"/>
          <w:szCs w:val="24"/>
        </w:rPr>
        <w:t xml:space="preserve">The [trial judge’s] order also concluded the jury was ‘deceived as to the force and credibility of the evidence or [] [] influenced by considerations outside the record,’ a reference to a small portion of testimony stricken by the trial court. More specifically, the trial court struck testimony from Robin Duran (a division chief and then-Deputy Chief to Alfredo Suarez) stating that there were only seventy-seven ‘required’ CFO positions for the 2009-10 promotional cycle. Duran further explained that she prepared a report reaching the same number of available CFO positions—seventy-seven. Because the report was never provided to plaintiff's counsel, the trial court struck the testimony as a ‘blatant, willful violation of discovery.’ *** The trial court's finding that the jury was influenced by the stricken testimony is not supported by the evidence. We also note that the trial court gave a curative instruction as requested by Davis, and that Davis did not make a contemporaneous motion for mistrial. </w:t>
      </w:r>
      <w:r w:rsidRPr="0023112C">
        <w:rPr>
          <w:rFonts w:ascii="Times New Roman" w:eastAsia="Times New Roman" w:hAnsi="Times New Roman"/>
          <w:sz w:val="24"/>
          <w:szCs w:val="24"/>
          <w:u w:val="single"/>
        </w:rPr>
        <w:t>Black v. Cohen</w:t>
      </w:r>
      <w:r w:rsidRPr="0023112C">
        <w:rPr>
          <w:rFonts w:ascii="Times New Roman" w:eastAsia="Times New Roman" w:hAnsi="Times New Roman"/>
          <w:sz w:val="24"/>
          <w:szCs w:val="24"/>
        </w:rPr>
        <w:t>, 246 So. 3d 379, 384 (Fla. 4th DCA 2018) (noting: ‘[T]he Florida Supreme Court has held that a trial court may not grant a new trial based upon objections to attorney misconduct which were sustained, but for which no motion for mistrial was requested.’). The testimony in question was at most cumulative, did not advance the County's theory beyond that which had already been established.”  [Footnote 4.]</w:t>
      </w:r>
    </w:p>
    <w:p w14:paraId="7505D40A" w14:textId="77777777" w:rsidR="00F824FE" w:rsidRDefault="00F824FE" w:rsidP="00DE0F03">
      <w:pPr>
        <w:rPr>
          <w:rFonts w:ascii="Arial Black" w:hAnsi="Arial Black"/>
          <w:b/>
          <w:sz w:val="24"/>
          <w:szCs w:val="24"/>
        </w:rPr>
      </w:pPr>
    </w:p>
    <w:p w14:paraId="33FE153F" w14:textId="62AF2AB2" w:rsidR="00557CA2" w:rsidRDefault="00557CA2" w:rsidP="00DE0F03">
      <w:pPr>
        <w:rPr>
          <w:rFonts w:ascii="Arial Black" w:hAnsi="Arial Black"/>
          <w:b/>
          <w:sz w:val="24"/>
          <w:szCs w:val="24"/>
        </w:rPr>
      </w:pPr>
      <w:r>
        <w:rPr>
          <w:rFonts w:ascii="Arial Black" w:hAnsi="Arial Black"/>
          <w:b/>
          <w:sz w:val="24"/>
          <w:szCs w:val="24"/>
        </w:rPr>
        <w:t>8-19</w:t>
      </w:r>
    </w:p>
    <w:p w14:paraId="57D1F4FF" w14:textId="629C1CE0" w:rsidR="00557CA2" w:rsidRDefault="00557CA2" w:rsidP="00557CA2">
      <w:pPr>
        <w:spacing w:before="100" w:beforeAutospacing="1" w:after="100" w:afterAutospacing="1" w:line="240" w:lineRule="auto"/>
        <w:rPr>
          <w:rFonts w:ascii="Arial Black" w:hAnsi="Arial Black"/>
          <w:sz w:val="28"/>
          <w:szCs w:val="28"/>
        </w:rPr>
      </w:pPr>
      <w:r>
        <w:rPr>
          <w:rFonts w:ascii="Arial Black" w:hAnsi="Arial Black"/>
          <w:sz w:val="28"/>
          <w:szCs w:val="28"/>
        </w:rPr>
        <w:t>MI:  CITY OF WARREN – “DIVERSITY AND INCLUSION COORDINATOR” RESI</w:t>
      </w:r>
      <w:r w:rsidR="00DB72C4">
        <w:rPr>
          <w:rFonts w:ascii="Arial Black" w:hAnsi="Arial Black"/>
          <w:sz w:val="28"/>
          <w:szCs w:val="28"/>
        </w:rPr>
        <w:t>G</w:t>
      </w:r>
      <w:r>
        <w:rPr>
          <w:rFonts w:ascii="Arial Black" w:hAnsi="Arial Black"/>
          <w:sz w:val="28"/>
          <w:szCs w:val="28"/>
        </w:rPr>
        <w:t>NED - LAWSUIT MAY PROCEED</w:t>
      </w:r>
    </w:p>
    <w:p w14:paraId="2CB0BED1" w14:textId="77777777" w:rsidR="00557CA2" w:rsidRDefault="00557CA2" w:rsidP="00557C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19, 2020, in </w:t>
      </w:r>
      <w:r>
        <w:rPr>
          <w:rFonts w:ascii="Times New Roman" w:hAnsi="Times New Roman"/>
          <w:sz w:val="24"/>
          <w:szCs w:val="24"/>
          <w:u w:val="single"/>
        </w:rPr>
        <w:t>Gregory Murray v. City of Warren</w:t>
      </w:r>
      <w:r>
        <w:rPr>
          <w:rFonts w:ascii="Times New Roman" w:hAnsi="Times New Roman"/>
          <w:sz w:val="24"/>
          <w:szCs w:val="24"/>
        </w:rPr>
        <w:t xml:space="preserve">, U.S. District Court Judge Gershwin A. Drain, Eastern District of Michigan (Southern Division) denied the city’s motion to dismiss portions of the lawsuit. </w:t>
      </w:r>
    </w:p>
    <w:p w14:paraId="13952C26" w14:textId="77777777" w:rsidR="00557CA2" w:rsidRDefault="00557CA2" w:rsidP="00557CA2">
      <w:pPr>
        <w:pStyle w:val="NormalWeb"/>
        <w:ind w:left="720"/>
      </w:pPr>
      <w:r>
        <w:t xml:space="preserve">“Plaintiff also claims similarly situated employees who are not in a protected class were treated more favorably than he was where his efforts to perform his job duties were thwarted forcing his resignation while his counterparts were able to retain their positions even after engaging in illegal discrimination, which had been reported to Defendants. Additionally, Defendant City's police commissioner allegedly called Plaintiff a racial slur and prevented Plaintiff, with Defendant Fouts' full support, from investigating past incidents of racial discrimination and civil rights violations within the police department. Accordingly, Plaintiff has stated a viable race discrimination claim under both Title VII and the [Michigan statute] ELCRA.” </w:t>
      </w:r>
      <w:hyperlink r:id="rId1543" w:history="1">
        <w:r>
          <w:rPr>
            <w:rStyle w:val="Hyperlink"/>
            <w:rFonts w:eastAsiaTheme="majorEastAsia"/>
          </w:rPr>
          <w:t>https://casetext.com/case/murray-v-city-of-warren-1</w:t>
        </w:r>
      </w:hyperlink>
      <w:r>
        <w:t xml:space="preserve"> </w:t>
      </w:r>
    </w:p>
    <w:p w14:paraId="3368901D" w14:textId="77777777" w:rsidR="00557CA2" w:rsidRDefault="00557CA2" w:rsidP="00557CA2">
      <w:pPr>
        <w:pStyle w:val="NormalWeb"/>
        <w:rPr>
          <w:b/>
          <w:bCs/>
        </w:rPr>
      </w:pPr>
      <w:r>
        <w:rPr>
          <w:b/>
          <w:bCs/>
        </w:rPr>
        <w:t xml:space="preserve">Legal Lessons Learned: The lawsuit will now proceed to pre-trial discovery.  The alleged comments are unacceptable in any workplace. </w:t>
      </w:r>
    </w:p>
    <w:p w14:paraId="50B0B91C" w14:textId="77777777" w:rsidR="00557CA2" w:rsidRDefault="00557CA2" w:rsidP="00DE0F03">
      <w:pPr>
        <w:rPr>
          <w:rFonts w:ascii="Arial Black" w:hAnsi="Arial Black"/>
          <w:b/>
          <w:sz w:val="24"/>
          <w:szCs w:val="24"/>
        </w:rPr>
      </w:pPr>
    </w:p>
    <w:p w14:paraId="14D4664C" w14:textId="3581D40D" w:rsidR="00557CA2" w:rsidRDefault="00557CA2" w:rsidP="00DE0F03">
      <w:pPr>
        <w:rPr>
          <w:rFonts w:ascii="Arial Black" w:hAnsi="Arial Black"/>
          <w:b/>
          <w:sz w:val="24"/>
          <w:szCs w:val="24"/>
        </w:rPr>
      </w:pPr>
      <w:r>
        <w:rPr>
          <w:rFonts w:ascii="Arial Black" w:hAnsi="Arial Black"/>
          <w:b/>
          <w:sz w:val="24"/>
          <w:szCs w:val="24"/>
        </w:rPr>
        <w:t>8-18</w:t>
      </w:r>
    </w:p>
    <w:p w14:paraId="5F795B86" w14:textId="77777777" w:rsidR="00557CA2" w:rsidRDefault="00557CA2" w:rsidP="00557CA2">
      <w:pPr>
        <w:spacing w:before="100" w:beforeAutospacing="1" w:after="100" w:afterAutospacing="1" w:line="240" w:lineRule="auto"/>
        <w:rPr>
          <w:rFonts w:ascii="Arial Black" w:hAnsi="Arial Black"/>
          <w:sz w:val="28"/>
          <w:szCs w:val="28"/>
        </w:rPr>
      </w:pPr>
      <w:bookmarkStart w:id="321" w:name="_Hlk66948003"/>
      <w:r>
        <w:rPr>
          <w:rFonts w:ascii="Arial Black" w:hAnsi="Arial Black"/>
          <w:sz w:val="28"/>
          <w:szCs w:val="28"/>
        </w:rPr>
        <w:t xml:space="preserve">PA: REVERSE DISCRIMINATION NOT PROVED - WHITE BATTALION CHIEF &amp; CAPTAIN LAWSUIT DISMISSED </w:t>
      </w:r>
    </w:p>
    <w:p w14:paraId="4DB91E1D" w14:textId="77777777" w:rsidR="00557CA2" w:rsidRDefault="00557CA2" w:rsidP="00557CA2">
      <w:pPr>
        <w:tabs>
          <w:tab w:val="left" w:pos="817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4, 2020, in </w:t>
      </w:r>
      <w:r>
        <w:rPr>
          <w:rFonts w:ascii="Times New Roman" w:hAnsi="Times New Roman"/>
          <w:sz w:val="24"/>
          <w:szCs w:val="24"/>
          <w:u w:val="single"/>
        </w:rPr>
        <w:t>Lawrence Boyle and Gerald Boyle v. City of Philadelphia</w:t>
      </w:r>
      <w:r>
        <w:rPr>
          <w:rFonts w:ascii="Times New Roman" w:hAnsi="Times New Roman"/>
          <w:sz w:val="24"/>
          <w:szCs w:val="24"/>
        </w:rPr>
        <w:t>, Senior U.S. District Court Judge Jan E. DuBois, Eastern District of Pennsylvania, granted the City’s motion for summary judgment.</w:t>
      </w:r>
    </w:p>
    <w:p w14:paraId="51C510BB" w14:textId="77777777" w:rsidR="00557CA2" w:rsidRDefault="00557CA2" w:rsidP="00557CA2">
      <w:pPr>
        <w:pStyle w:val="NormalWeb"/>
        <w:ind w:left="720"/>
      </w:pPr>
      <w:r>
        <w:t xml:space="preserve">“Plaintiffs offer no analysis of statistical significance whatsoever </w:t>
      </w:r>
      <w:proofErr w:type="gramStart"/>
      <w:r>
        <w:t>with regard to</w:t>
      </w:r>
      <w:proofErr w:type="gramEnd"/>
      <w:r>
        <w:t xml:space="preserve"> the record evidence of exam results and promotions. That failure alone is enough to grant the City's Motion on plaintiffs' disparate impact claim. *** Finally, courts have rejected alleged Equal Protection violations based on an employer's ‘reliance on various subjective criteria during the promotional process.’ </w:t>
      </w:r>
      <w:r>
        <w:rPr>
          <w:i/>
          <w:iCs/>
        </w:rPr>
        <w:t>Baldwin v</w:t>
      </w:r>
      <w:r>
        <w:t xml:space="preserve">. </w:t>
      </w:r>
      <w:proofErr w:type="spellStart"/>
      <w:r>
        <w:rPr>
          <w:i/>
          <w:iCs/>
        </w:rPr>
        <w:t>Gramiccioni</w:t>
      </w:r>
      <w:proofErr w:type="spellEnd"/>
      <w:r>
        <w:t>, No. 16-1675, 2019 WL 2281580, at*16 (D.N.J. May 29, 2019). Indeed, courts have held that ‘[s]</w:t>
      </w:r>
      <w:proofErr w:type="spellStart"/>
      <w:r>
        <w:t>ubjective</w:t>
      </w:r>
      <w:proofErr w:type="spellEnd"/>
      <w:r>
        <w:t xml:space="preserve"> promotion criteria are not discriminatory </w:t>
      </w:r>
      <w:r>
        <w:rPr>
          <w:i/>
          <w:iCs/>
        </w:rPr>
        <w:t>per</w:t>
      </w:r>
      <w:r>
        <w:t xml:space="preserve"> </w:t>
      </w:r>
      <w:proofErr w:type="spellStart"/>
      <w:r>
        <w:t>se.’</w:t>
      </w:r>
      <w:r>
        <w:rPr>
          <w:i/>
          <w:iCs/>
        </w:rPr>
        <w:t>Beckett</w:t>
      </w:r>
      <w:proofErr w:type="spellEnd"/>
      <w:r>
        <w:rPr>
          <w:i/>
          <w:iCs/>
        </w:rPr>
        <w:t xml:space="preserve"> v</w:t>
      </w:r>
      <w:r>
        <w:t xml:space="preserve">. </w:t>
      </w:r>
      <w:proofErr w:type="spellStart"/>
      <w:r>
        <w:rPr>
          <w:i/>
          <w:iCs/>
        </w:rPr>
        <w:t>Dep't</w:t>
      </w:r>
      <w:proofErr w:type="spellEnd"/>
      <w:r>
        <w:rPr>
          <w:i/>
          <w:iCs/>
        </w:rPr>
        <w:t xml:space="preserve"> of Corrections</w:t>
      </w:r>
      <w:r>
        <w:t xml:space="preserve">, 981 F. Supp. 319, 327 (D. Del. 1997) (citing </w:t>
      </w:r>
      <w:r>
        <w:rPr>
          <w:i/>
          <w:iCs/>
        </w:rPr>
        <w:t>Shealy v</w:t>
      </w:r>
      <w:r>
        <w:t xml:space="preserve">. </w:t>
      </w:r>
      <w:r>
        <w:rPr>
          <w:i/>
          <w:iCs/>
        </w:rPr>
        <w:t>City of Albany</w:t>
      </w:r>
      <w:r>
        <w:t xml:space="preserve">, 89 F.3d 804, 805 (11th Cir. 1996)).” </w:t>
      </w:r>
      <w:hyperlink r:id="rId1544" w:history="1">
        <w:r>
          <w:rPr>
            <w:rStyle w:val="Hyperlink"/>
            <w:rFonts w:eastAsiaTheme="majorEastAsia"/>
          </w:rPr>
          <w:t>http://www.paed.uscourts.gov/documents/opinions/20D0393P.pdf</w:t>
        </w:r>
      </w:hyperlink>
      <w:r>
        <w:t xml:space="preserve"> </w:t>
      </w:r>
    </w:p>
    <w:p w14:paraId="68B271DD" w14:textId="77777777" w:rsidR="00557CA2" w:rsidRDefault="00557CA2" w:rsidP="00557CA2">
      <w:pPr>
        <w:tabs>
          <w:tab w:val="left" w:pos="3210"/>
        </w:tabs>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 xml:space="preserve">Legal Lessons Learned: Lack of statistical significance in exams and promotions led to dismissal of this lawsuit. </w:t>
      </w:r>
    </w:p>
    <w:bookmarkEnd w:id="321"/>
    <w:p w14:paraId="18BB2B50" w14:textId="77777777" w:rsidR="00557CA2" w:rsidRDefault="00557CA2" w:rsidP="00DE0F03">
      <w:pPr>
        <w:rPr>
          <w:rFonts w:ascii="Arial Black" w:hAnsi="Arial Black"/>
          <w:b/>
          <w:sz w:val="24"/>
          <w:szCs w:val="24"/>
        </w:rPr>
      </w:pPr>
    </w:p>
    <w:p w14:paraId="4963B924" w14:textId="77777777" w:rsidR="00557CA2" w:rsidRDefault="00557CA2" w:rsidP="00DE0F03">
      <w:pPr>
        <w:rPr>
          <w:rFonts w:ascii="Arial Black" w:hAnsi="Arial Black"/>
          <w:b/>
          <w:sz w:val="24"/>
          <w:szCs w:val="24"/>
        </w:rPr>
      </w:pPr>
    </w:p>
    <w:p w14:paraId="4921AF32" w14:textId="33651F04" w:rsidR="006B2083" w:rsidRDefault="006B2083" w:rsidP="00DE0F03">
      <w:pPr>
        <w:rPr>
          <w:rFonts w:ascii="Arial Black" w:hAnsi="Arial Black"/>
          <w:b/>
          <w:sz w:val="24"/>
          <w:szCs w:val="24"/>
        </w:rPr>
      </w:pPr>
      <w:r>
        <w:rPr>
          <w:rFonts w:ascii="Arial Black" w:hAnsi="Arial Black"/>
          <w:b/>
          <w:sz w:val="24"/>
          <w:szCs w:val="24"/>
        </w:rPr>
        <w:lastRenderedPageBreak/>
        <w:t>8-17</w:t>
      </w:r>
    </w:p>
    <w:p w14:paraId="53B02748" w14:textId="77777777" w:rsidR="006B2083" w:rsidRPr="00230B50" w:rsidRDefault="006B2083" w:rsidP="006B2083">
      <w:pPr>
        <w:pStyle w:val="NoSpacing"/>
        <w:rPr>
          <w:rFonts w:ascii="Arial Black" w:hAnsi="Arial Black"/>
          <w:sz w:val="28"/>
          <w:szCs w:val="28"/>
        </w:rPr>
      </w:pPr>
      <w:r w:rsidRPr="00230B50">
        <w:rPr>
          <w:rFonts w:ascii="Arial Black" w:hAnsi="Arial Black"/>
          <w:sz w:val="28"/>
          <w:szCs w:val="28"/>
        </w:rPr>
        <w:t xml:space="preserve">CT: </w:t>
      </w:r>
      <w:r>
        <w:rPr>
          <w:rFonts w:ascii="Arial Black" w:hAnsi="Arial Black"/>
          <w:sz w:val="28"/>
          <w:szCs w:val="28"/>
        </w:rPr>
        <w:t xml:space="preserve"> FF ALLEGED RACE DISCRIM – TWO INCIDNTS - NO ALLEGATION RACE “PERMEATED OVERALL WORKING ENVIRONMENT” </w:t>
      </w:r>
    </w:p>
    <w:p w14:paraId="09E8B1C6" w14:textId="77777777" w:rsidR="00DB72C4" w:rsidRDefault="00DB72C4" w:rsidP="006B2083">
      <w:pPr>
        <w:rPr>
          <w:rFonts w:ascii="Times New Roman" w:hAnsi="Times New Roman"/>
          <w:sz w:val="24"/>
          <w:szCs w:val="24"/>
        </w:rPr>
      </w:pPr>
    </w:p>
    <w:p w14:paraId="7AACD68F" w14:textId="7F9E3C77" w:rsidR="006B2083" w:rsidRDefault="006B2083" w:rsidP="006B2083">
      <w:pPr>
        <w:rPr>
          <w:rStyle w:val="Hyperlink"/>
          <w:rFonts w:ascii="Times New Roman" w:hAnsi="Times New Roman"/>
          <w:sz w:val="24"/>
          <w:szCs w:val="24"/>
        </w:rPr>
      </w:pPr>
      <w:r w:rsidRPr="00E831B1">
        <w:rPr>
          <w:rFonts w:ascii="Times New Roman" w:hAnsi="Times New Roman"/>
          <w:sz w:val="24"/>
          <w:szCs w:val="24"/>
        </w:rPr>
        <w:t xml:space="preserve">On </w:t>
      </w:r>
      <w:r>
        <w:rPr>
          <w:rFonts w:ascii="Times New Roman" w:hAnsi="Times New Roman"/>
          <w:sz w:val="24"/>
          <w:szCs w:val="24"/>
        </w:rPr>
        <w:t xml:space="preserve">June 29, 2020, in </w:t>
      </w:r>
      <w:r w:rsidRPr="00E831B1">
        <w:rPr>
          <w:rFonts w:ascii="Times New Roman" w:hAnsi="Times New Roman"/>
          <w:sz w:val="24"/>
          <w:szCs w:val="24"/>
          <w:u w:val="single"/>
        </w:rPr>
        <w:t>Tony Milledge v. City of Hartford, et al</w:t>
      </w:r>
      <w:r>
        <w:rPr>
          <w:rFonts w:ascii="Times New Roman" w:hAnsi="Times New Roman"/>
          <w:sz w:val="24"/>
          <w:szCs w:val="24"/>
        </w:rPr>
        <w:t>., U.S. District Court Judge Jeffery Alker Meyer, District of Connecticut, dismissed the lawsuit by African American firefighter with 20 years on Hartford FD.  He filed complaint alleging two incidents</w:t>
      </w:r>
      <w:r w:rsidR="00DB72C4">
        <w:rPr>
          <w:rFonts w:ascii="Times New Roman" w:hAnsi="Times New Roman"/>
          <w:sz w:val="24"/>
          <w:szCs w:val="24"/>
        </w:rPr>
        <w:t xml:space="preserve"> </w:t>
      </w:r>
      <w:r>
        <w:rPr>
          <w:rFonts w:ascii="Times New Roman" w:hAnsi="Times New Roman"/>
          <w:sz w:val="24"/>
          <w:szCs w:val="24"/>
        </w:rPr>
        <w:t>but lacking specific on how these incidents were related to race.  The Court wrote: “</w:t>
      </w:r>
      <w:r w:rsidRPr="00D20A78">
        <w:rPr>
          <w:rFonts w:ascii="Times New Roman" w:hAnsi="Times New Roman"/>
          <w:sz w:val="24"/>
          <w:szCs w:val="24"/>
        </w:rPr>
        <w:t xml:space="preserve">What is lacking, however, are facts to suggest that any of the alleged abuse was </w:t>
      </w:r>
      <w:r w:rsidRPr="00D20A78">
        <w:rPr>
          <w:rFonts w:ascii="Times New Roman" w:hAnsi="Times New Roman"/>
          <w:i/>
          <w:iCs/>
          <w:sz w:val="24"/>
          <w:szCs w:val="24"/>
        </w:rPr>
        <w:t>because of</w:t>
      </w:r>
      <w:r w:rsidRPr="00D20A78">
        <w:rPr>
          <w:rFonts w:ascii="Times New Roman" w:hAnsi="Times New Roman"/>
          <w:sz w:val="24"/>
          <w:szCs w:val="24"/>
        </w:rPr>
        <w:t xml:space="preserve"> Milledge's race. Milledge does not recite any statements by the two supervisors to suggest that they picked on him because of his race. Nor does Milledge allege facts to suggest that race considerations generally permeated the overall working environment at the fire department—for example, that supervisors at the fire department made any remarks or engaged in any conduct reflecting race-based animus or stereotypical assumptions about race.</w:t>
      </w:r>
      <w:r>
        <w:rPr>
          <w:rFonts w:ascii="Times New Roman" w:hAnsi="Times New Roman"/>
          <w:sz w:val="24"/>
          <w:szCs w:val="24"/>
        </w:rPr>
        <w:t>”  The Court will allow him to file an amended complaint: “</w:t>
      </w:r>
      <w:r w:rsidRPr="00D20A78">
        <w:rPr>
          <w:rFonts w:ascii="Times New Roman" w:hAnsi="Times New Roman"/>
          <w:sz w:val="24"/>
          <w:szCs w:val="24"/>
        </w:rPr>
        <w:t>If Milledge chooses to file an amended complaint, the amended complaint should not only state additional facts to support an inference of discriminatory motive but also to show that the alleged acts of abuse created a hostile work environment.</w:t>
      </w:r>
      <w:r>
        <w:rPr>
          <w:rFonts w:ascii="Times New Roman" w:hAnsi="Times New Roman"/>
          <w:sz w:val="24"/>
          <w:szCs w:val="24"/>
        </w:rPr>
        <w:t xml:space="preserve">” </w:t>
      </w:r>
      <w:hyperlink r:id="rId1545" w:history="1">
        <w:r w:rsidRPr="00DE6B93">
          <w:rPr>
            <w:rStyle w:val="Hyperlink"/>
            <w:rFonts w:ascii="Times New Roman" w:hAnsi="Times New Roman"/>
            <w:sz w:val="24"/>
            <w:szCs w:val="24"/>
          </w:rPr>
          <w:t>https://public.fastcase.com/Wl%2B2t%2BeVuI35%2FN70vAMFZjxlcnGgF4KmxTbsHmdpUnhrKX1xZ8%2F1BaT4X1Cm7%2Fji</w:t>
        </w:r>
      </w:hyperlink>
    </w:p>
    <w:p w14:paraId="1C75DBD5" w14:textId="77777777" w:rsidR="006B2083" w:rsidRPr="00230B50" w:rsidRDefault="006B2083" w:rsidP="006B2083">
      <w:pPr>
        <w:spacing w:before="100" w:beforeAutospacing="1" w:after="100" w:afterAutospacing="1" w:line="240" w:lineRule="auto"/>
        <w:rPr>
          <w:rFonts w:ascii="Times New Roman" w:eastAsia="Times New Roman" w:hAnsi="Times New Roman"/>
          <w:b/>
          <w:bCs/>
          <w:sz w:val="24"/>
          <w:szCs w:val="24"/>
        </w:rPr>
      </w:pPr>
      <w:r w:rsidRPr="002754A9">
        <w:rPr>
          <w:rFonts w:ascii="Times New Roman" w:hAnsi="Times New Roman"/>
          <w:b/>
          <w:bCs/>
          <w:sz w:val="24"/>
          <w:szCs w:val="24"/>
        </w:rPr>
        <w:t>Legal Lesson Learned</w:t>
      </w:r>
      <w:r>
        <w:rPr>
          <w:rFonts w:ascii="Times New Roman" w:hAnsi="Times New Roman"/>
          <w:b/>
          <w:bCs/>
          <w:sz w:val="24"/>
          <w:szCs w:val="24"/>
        </w:rPr>
        <w:t xml:space="preserve">:  FDs can help avoid litigation by </w:t>
      </w:r>
      <w:proofErr w:type="gramStart"/>
      <w:r>
        <w:rPr>
          <w:rFonts w:ascii="Times New Roman" w:hAnsi="Times New Roman"/>
          <w:b/>
          <w:bCs/>
          <w:sz w:val="24"/>
          <w:szCs w:val="24"/>
        </w:rPr>
        <w:t>conduct</w:t>
      </w:r>
      <w:proofErr w:type="gramEnd"/>
      <w:r>
        <w:rPr>
          <w:rFonts w:ascii="Times New Roman" w:hAnsi="Times New Roman"/>
          <w:b/>
          <w:bCs/>
          <w:sz w:val="24"/>
          <w:szCs w:val="24"/>
        </w:rPr>
        <w:t xml:space="preserve"> prompt, thorough internal investigations of all complaints (after receipt of written complaint).  </w:t>
      </w:r>
    </w:p>
    <w:p w14:paraId="4EB54DC8" w14:textId="77777777" w:rsidR="006B2083" w:rsidRDefault="006B2083" w:rsidP="006B2083">
      <w:pPr>
        <w:rPr>
          <w:rFonts w:ascii="Arial Black" w:hAnsi="Arial Black"/>
          <w:b/>
          <w:sz w:val="24"/>
          <w:szCs w:val="24"/>
        </w:rPr>
      </w:pPr>
    </w:p>
    <w:p w14:paraId="4FF8849D" w14:textId="77777777" w:rsidR="006B2083" w:rsidRDefault="006B2083" w:rsidP="00DE0F03">
      <w:pPr>
        <w:rPr>
          <w:rFonts w:ascii="Arial Black" w:hAnsi="Arial Black"/>
          <w:b/>
          <w:sz w:val="24"/>
          <w:szCs w:val="24"/>
        </w:rPr>
      </w:pPr>
    </w:p>
    <w:p w14:paraId="598DBC2A" w14:textId="2C4AE323" w:rsidR="007105B3" w:rsidRDefault="007105B3" w:rsidP="00DE0F03">
      <w:pPr>
        <w:rPr>
          <w:rFonts w:ascii="Arial Black" w:hAnsi="Arial Black"/>
          <w:b/>
          <w:sz w:val="24"/>
          <w:szCs w:val="24"/>
        </w:rPr>
      </w:pPr>
      <w:r>
        <w:rPr>
          <w:rFonts w:ascii="Arial Black" w:hAnsi="Arial Black"/>
          <w:b/>
          <w:sz w:val="24"/>
          <w:szCs w:val="24"/>
        </w:rPr>
        <w:t>8-16</w:t>
      </w:r>
    </w:p>
    <w:p w14:paraId="64FED3DD" w14:textId="77777777" w:rsidR="007105B3" w:rsidRPr="005D212F" w:rsidRDefault="007105B3" w:rsidP="007105B3">
      <w:pPr>
        <w:pStyle w:val="NoSpacing"/>
        <w:rPr>
          <w:rFonts w:ascii="Arial Black" w:hAnsi="Arial Black"/>
          <w:sz w:val="28"/>
          <w:szCs w:val="28"/>
        </w:rPr>
      </w:pPr>
      <w:r w:rsidRPr="005D212F">
        <w:rPr>
          <w:rFonts w:ascii="Arial Black" w:hAnsi="Arial Black"/>
          <w:sz w:val="28"/>
          <w:szCs w:val="28"/>
        </w:rPr>
        <w:t xml:space="preserve">NY: </w:t>
      </w:r>
      <w:r>
        <w:rPr>
          <w:rFonts w:ascii="Arial Black" w:hAnsi="Arial Black"/>
          <w:sz w:val="28"/>
          <w:szCs w:val="28"/>
        </w:rPr>
        <w:t>FDNY - AFRICAN AMERICAN, MUSLIM – CLAIMED HOSTILE WORK ATMOSPHERE – ONLY “PETTY SLIGHTS”</w:t>
      </w:r>
    </w:p>
    <w:p w14:paraId="1F12C27E" w14:textId="77777777" w:rsidR="007105B3" w:rsidRDefault="007105B3" w:rsidP="007105B3">
      <w:pPr>
        <w:pStyle w:val="NoSpacing"/>
        <w:rPr>
          <w:rFonts w:ascii="On On" w:hAnsi="On On"/>
          <w:sz w:val="24"/>
          <w:szCs w:val="24"/>
        </w:rPr>
      </w:pPr>
    </w:p>
    <w:p w14:paraId="2DBC2342" w14:textId="77777777" w:rsidR="007105B3" w:rsidRPr="00CE6A11" w:rsidRDefault="007105B3" w:rsidP="007105B3">
      <w:pPr>
        <w:pStyle w:val="NoSpacing"/>
        <w:rPr>
          <w:rFonts w:ascii="Times New Roman" w:hAnsi="Times New Roman"/>
          <w:sz w:val="24"/>
          <w:szCs w:val="24"/>
        </w:rPr>
      </w:pPr>
      <w:r w:rsidRPr="005D212F">
        <w:rPr>
          <w:rFonts w:ascii="Times New Roman" w:hAnsi="Times New Roman"/>
          <w:sz w:val="24"/>
          <w:szCs w:val="24"/>
        </w:rPr>
        <w:t xml:space="preserve">On June 26, 2020, in </w:t>
      </w:r>
      <w:r w:rsidRPr="005D212F">
        <w:rPr>
          <w:rFonts w:ascii="Times New Roman" w:hAnsi="Times New Roman"/>
          <w:sz w:val="24"/>
          <w:szCs w:val="24"/>
          <w:u w:val="single"/>
        </w:rPr>
        <w:t>Gordon Springs v. City of New York, et al</w:t>
      </w:r>
      <w:r>
        <w:rPr>
          <w:rFonts w:ascii="Times New Roman" w:hAnsi="Times New Roman"/>
          <w:sz w:val="24"/>
          <w:szCs w:val="24"/>
        </w:rPr>
        <w:t>., U.S. District Court Judge Alvin K. Hellerstein granted the City’s motion to dismiss.  “</w:t>
      </w:r>
      <w:r w:rsidRPr="00CE6A11">
        <w:rPr>
          <w:rFonts w:ascii="Times New Roman" w:hAnsi="Times New Roman"/>
          <w:sz w:val="24"/>
          <w:szCs w:val="24"/>
        </w:rPr>
        <w:t xml:space="preserve">Springs fails to adequately plead a hostile work environment, because the FAC </w:t>
      </w:r>
      <w:r>
        <w:rPr>
          <w:rFonts w:ascii="Times New Roman" w:hAnsi="Times New Roman"/>
          <w:sz w:val="24"/>
          <w:szCs w:val="24"/>
        </w:rPr>
        <w:t xml:space="preserve">[First Amended Complaint] </w:t>
      </w:r>
      <w:r w:rsidRPr="00CE6A11">
        <w:rPr>
          <w:rFonts w:ascii="Times New Roman" w:hAnsi="Times New Roman"/>
          <w:sz w:val="24"/>
          <w:szCs w:val="24"/>
        </w:rPr>
        <w:t xml:space="preserve">does not sufficiently claim a causal connection between Springs's protected characteristics and most of the contested acts and, as to the remaining acts, the alleged acts of hostility do not rise above the level of </w:t>
      </w:r>
      <w:r>
        <w:rPr>
          <w:rFonts w:ascii="Times New Roman" w:hAnsi="Times New Roman"/>
          <w:sz w:val="24"/>
          <w:szCs w:val="24"/>
        </w:rPr>
        <w:t>‘</w:t>
      </w:r>
      <w:r w:rsidRPr="00CE6A11">
        <w:rPr>
          <w:rFonts w:ascii="Times New Roman" w:hAnsi="Times New Roman"/>
          <w:sz w:val="24"/>
          <w:szCs w:val="24"/>
        </w:rPr>
        <w:t>petty slight or trivial inconvenience.</w:t>
      </w:r>
      <w:r>
        <w:rPr>
          <w:rFonts w:ascii="Times New Roman" w:hAnsi="Times New Roman"/>
          <w:sz w:val="24"/>
          <w:szCs w:val="24"/>
        </w:rPr>
        <w:t xml:space="preserve">’ </w:t>
      </w:r>
      <w:hyperlink r:id="rId1546" w:history="1">
        <w:r w:rsidRPr="007062AF">
          <w:rPr>
            <w:rStyle w:val="Hyperlink"/>
            <w:rFonts w:ascii="Times New Roman" w:hAnsi="Times New Roman"/>
            <w:sz w:val="24"/>
            <w:szCs w:val="24"/>
          </w:rPr>
          <w:t>https://public.fastcase.com/Wl%2B2t%2BeVuI35%2FN70vAMFZu9WSCqieY3u1gfnWEwDVajGcV1Qbmc97gDjPt%2BB6d9C</w:t>
        </w:r>
      </w:hyperlink>
      <w:r>
        <w:rPr>
          <w:rFonts w:ascii="Times New Roman" w:hAnsi="Times New Roman"/>
          <w:sz w:val="24"/>
          <w:szCs w:val="24"/>
        </w:rPr>
        <w:t xml:space="preserve"> </w:t>
      </w:r>
    </w:p>
    <w:p w14:paraId="545207B2" w14:textId="77777777" w:rsidR="007105B3" w:rsidRPr="00CE6A11" w:rsidRDefault="007105B3" w:rsidP="007105B3">
      <w:pPr>
        <w:spacing w:before="100" w:beforeAutospacing="1" w:after="100" w:afterAutospacing="1" w:line="240" w:lineRule="auto"/>
        <w:rPr>
          <w:rFonts w:ascii="Times New Roman" w:hAnsi="Times New Roman"/>
          <w:b/>
          <w:bCs/>
          <w:sz w:val="24"/>
          <w:szCs w:val="24"/>
        </w:rPr>
      </w:pPr>
      <w:r w:rsidRPr="00CE6A11">
        <w:rPr>
          <w:rFonts w:ascii="Times New Roman" w:hAnsi="Times New Roman"/>
          <w:b/>
          <w:bCs/>
          <w:sz w:val="24"/>
          <w:szCs w:val="24"/>
        </w:rPr>
        <w:t xml:space="preserve">Legal Lessons Learned: To state a claim for </w:t>
      </w:r>
      <w:proofErr w:type="gramStart"/>
      <w:r w:rsidRPr="00CE6A11">
        <w:rPr>
          <w:rFonts w:ascii="Times New Roman" w:hAnsi="Times New Roman"/>
          <w:b/>
          <w:bCs/>
          <w:sz w:val="24"/>
          <w:szCs w:val="24"/>
        </w:rPr>
        <w:t>a hostile</w:t>
      </w:r>
      <w:proofErr w:type="gramEnd"/>
      <w:r w:rsidRPr="00CE6A11">
        <w:rPr>
          <w:rFonts w:ascii="Times New Roman" w:hAnsi="Times New Roman"/>
          <w:b/>
          <w:bCs/>
          <w:sz w:val="24"/>
          <w:szCs w:val="24"/>
        </w:rPr>
        <w:t xml:space="preserve"> work the plaintiff must allege "that the workplace is permeated with discriminatory intimidation, ridicule, and insult that is sufficiently severe or pervasive to alter the conditions of ... employment and create an abusive working environment."</w:t>
      </w:r>
    </w:p>
    <w:p w14:paraId="69FE09DC" w14:textId="77777777" w:rsidR="007105B3" w:rsidRDefault="007105B3" w:rsidP="007105B3">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DE7C27">
        <w:rPr>
          <w:rFonts w:ascii="Times New Roman" w:hAnsi="Times New Roman"/>
          <w:sz w:val="24"/>
          <w:szCs w:val="24"/>
        </w:rPr>
        <w:t xml:space="preserve">Note: </w:t>
      </w:r>
      <w:r>
        <w:rPr>
          <w:rFonts w:ascii="Times New Roman" w:hAnsi="Times New Roman"/>
          <w:sz w:val="24"/>
          <w:szCs w:val="24"/>
        </w:rPr>
        <w:t xml:space="preserve"> Read Judge’s comments about the “pork incident.” </w:t>
      </w:r>
    </w:p>
    <w:p w14:paraId="51CD20BA" w14:textId="77777777" w:rsidR="007105B3" w:rsidRPr="00CE6A11" w:rsidRDefault="007105B3" w:rsidP="007105B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lastRenderedPageBreak/>
        <w:t>“</w:t>
      </w:r>
      <w:r w:rsidRPr="00CE6A11">
        <w:rPr>
          <w:rFonts w:ascii="Times New Roman" w:eastAsia="Times New Roman" w:hAnsi="Times New Roman"/>
          <w:sz w:val="24"/>
          <w:szCs w:val="24"/>
        </w:rPr>
        <w:t xml:space="preserve">The alleged pork incident is equally if not more trivial. The full extent of that allegation is that unidentified firefighters in Engine 67 </w:t>
      </w:r>
      <w:r>
        <w:rPr>
          <w:rFonts w:ascii="Times New Roman" w:eastAsia="Times New Roman" w:hAnsi="Times New Roman"/>
          <w:sz w:val="24"/>
          <w:szCs w:val="24"/>
        </w:rPr>
        <w:t>‘</w:t>
      </w:r>
      <w:r w:rsidRPr="00CE6A11">
        <w:rPr>
          <w:rFonts w:ascii="Times New Roman" w:eastAsia="Times New Roman" w:hAnsi="Times New Roman"/>
          <w:sz w:val="24"/>
          <w:szCs w:val="24"/>
        </w:rPr>
        <w:t>cooked a meal and made hamburgers in the same pan used to cook bacon</w:t>
      </w:r>
      <w:r>
        <w:rPr>
          <w:rFonts w:ascii="Times New Roman" w:eastAsia="Times New Roman" w:hAnsi="Times New Roman"/>
          <w:sz w:val="24"/>
          <w:szCs w:val="24"/>
        </w:rPr>
        <w:t>’</w:t>
      </w:r>
      <w:r w:rsidRPr="00CE6A11">
        <w:rPr>
          <w:rFonts w:ascii="Times New Roman" w:eastAsia="Times New Roman" w:hAnsi="Times New Roman"/>
          <w:sz w:val="24"/>
          <w:szCs w:val="24"/>
        </w:rPr>
        <w:t xml:space="preserve"> even though they had </w:t>
      </w:r>
      <w:r>
        <w:rPr>
          <w:rFonts w:ascii="Times New Roman" w:eastAsia="Times New Roman" w:hAnsi="Times New Roman"/>
          <w:sz w:val="24"/>
          <w:szCs w:val="24"/>
        </w:rPr>
        <w:t>‘</w:t>
      </w:r>
      <w:r w:rsidRPr="00CE6A11">
        <w:rPr>
          <w:rFonts w:ascii="Times New Roman" w:eastAsia="Times New Roman" w:hAnsi="Times New Roman"/>
          <w:sz w:val="24"/>
          <w:szCs w:val="24"/>
        </w:rPr>
        <w:t>full knowledge</w:t>
      </w:r>
      <w:r>
        <w:rPr>
          <w:rFonts w:ascii="Times New Roman" w:eastAsia="Times New Roman" w:hAnsi="Times New Roman"/>
          <w:sz w:val="24"/>
          <w:szCs w:val="24"/>
        </w:rPr>
        <w:t>’</w:t>
      </w:r>
      <w:r w:rsidRPr="00CE6A11">
        <w:rPr>
          <w:rFonts w:ascii="Times New Roman" w:eastAsia="Times New Roman" w:hAnsi="Times New Roman"/>
          <w:sz w:val="24"/>
          <w:szCs w:val="24"/>
        </w:rPr>
        <w:t xml:space="preserve"> that Springs is Muslim and therefore </w:t>
      </w:r>
      <w:r>
        <w:rPr>
          <w:rFonts w:ascii="Times New Roman" w:eastAsia="Times New Roman" w:hAnsi="Times New Roman"/>
          <w:sz w:val="24"/>
          <w:szCs w:val="24"/>
        </w:rPr>
        <w:t>‘</w:t>
      </w:r>
      <w:r w:rsidRPr="00CE6A11">
        <w:rPr>
          <w:rFonts w:ascii="Times New Roman" w:eastAsia="Times New Roman" w:hAnsi="Times New Roman"/>
          <w:sz w:val="24"/>
          <w:szCs w:val="24"/>
        </w:rPr>
        <w:t>unable to eat pork or cook with pork.</w:t>
      </w:r>
      <w:r>
        <w:rPr>
          <w:rFonts w:ascii="Times New Roman" w:eastAsia="Times New Roman" w:hAnsi="Times New Roman"/>
          <w:sz w:val="24"/>
          <w:szCs w:val="24"/>
        </w:rPr>
        <w:t>’</w:t>
      </w:r>
      <w:r w:rsidRPr="00CE6A11">
        <w:rPr>
          <w:rFonts w:ascii="Times New Roman" w:eastAsia="Times New Roman" w:hAnsi="Times New Roman"/>
          <w:sz w:val="24"/>
          <w:szCs w:val="24"/>
        </w:rPr>
        <w:t xml:space="preserve"> FAC at ¶¶ 48-50. That's it. Springs does not say whether this was the only </w:t>
      </w:r>
      <w:proofErr w:type="gramStart"/>
      <w:r w:rsidRPr="00CE6A11">
        <w:rPr>
          <w:rFonts w:ascii="Times New Roman" w:eastAsia="Times New Roman" w:hAnsi="Times New Roman"/>
          <w:sz w:val="24"/>
          <w:szCs w:val="24"/>
        </w:rPr>
        <w:t>pan</w:t>
      </w:r>
      <w:proofErr w:type="gramEnd"/>
      <w:r w:rsidRPr="00CE6A11">
        <w:rPr>
          <w:rFonts w:ascii="Times New Roman" w:eastAsia="Times New Roman" w:hAnsi="Times New Roman"/>
          <w:sz w:val="24"/>
          <w:szCs w:val="24"/>
        </w:rPr>
        <w:t xml:space="preserve"> in Engine 67; whether any firefighters made comments to accompany their cooking with pork suggestive of animus; whether Springs, in the moment, said anything to his coworkers to remind them of his dietary restrictions, </w:t>
      </w:r>
      <w:r w:rsidRPr="00CE6A11">
        <w:rPr>
          <w:rFonts w:ascii="Times New Roman" w:eastAsia="Times New Roman" w:hAnsi="Times New Roman"/>
          <w:i/>
          <w:iCs/>
          <w:sz w:val="24"/>
          <w:szCs w:val="24"/>
        </w:rPr>
        <w:t>see id</w:t>
      </w:r>
      <w:r w:rsidRPr="00CE6A11">
        <w:rPr>
          <w:rFonts w:ascii="Times New Roman" w:eastAsia="Times New Roman" w:hAnsi="Times New Roman"/>
          <w:sz w:val="24"/>
          <w:szCs w:val="24"/>
        </w:rPr>
        <w:t xml:space="preserve">. at ¶ 49 (noting that Springs had advised </w:t>
      </w:r>
      <w:r>
        <w:rPr>
          <w:rFonts w:ascii="Times New Roman" w:eastAsia="Times New Roman" w:hAnsi="Times New Roman"/>
          <w:sz w:val="24"/>
          <w:szCs w:val="24"/>
        </w:rPr>
        <w:t>‘</w:t>
      </w:r>
      <w:r w:rsidRPr="00CE6A11">
        <w:rPr>
          <w:rFonts w:ascii="Times New Roman" w:eastAsia="Times New Roman" w:hAnsi="Times New Roman"/>
          <w:sz w:val="24"/>
          <w:szCs w:val="24"/>
        </w:rPr>
        <w:t>all firefighters</w:t>
      </w:r>
      <w:r>
        <w:rPr>
          <w:rFonts w:ascii="Times New Roman" w:eastAsia="Times New Roman" w:hAnsi="Times New Roman"/>
          <w:sz w:val="24"/>
          <w:szCs w:val="24"/>
        </w:rPr>
        <w:t>’</w:t>
      </w:r>
      <w:r w:rsidRPr="00CE6A11">
        <w:rPr>
          <w:rFonts w:ascii="Times New Roman" w:eastAsia="Times New Roman" w:hAnsi="Times New Roman"/>
          <w:sz w:val="24"/>
          <w:szCs w:val="24"/>
        </w:rPr>
        <w:t xml:space="preserve"> that he was Muslim </w:t>
      </w:r>
      <w:r>
        <w:rPr>
          <w:rFonts w:ascii="Times New Roman" w:eastAsia="Times New Roman" w:hAnsi="Times New Roman"/>
          <w:sz w:val="24"/>
          <w:szCs w:val="24"/>
        </w:rPr>
        <w:t>‘</w:t>
      </w:r>
      <w:r w:rsidRPr="00CE6A11">
        <w:rPr>
          <w:rFonts w:ascii="Times New Roman" w:eastAsia="Times New Roman" w:hAnsi="Times New Roman"/>
          <w:i/>
          <w:iCs/>
          <w:sz w:val="24"/>
          <w:szCs w:val="24"/>
        </w:rPr>
        <w:t>[p]</w:t>
      </w:r>
      <w:proofErr w:type="spellStart"/>
      <w:r w:rsidRPr="00CE6A11">
        <w:rPr>
          <w:rFonts w:ascii="Times New Roman" w:eastAsia="Times New Roman" w:hAnsi="Times New Roman"/>
          <w:i/>
          <w:iCs/>
          <w:sz w:val="24"/>
          <w:szCs w:val="24"/>
        </w:rPr>
        <w:t>rior</w:t>
      </w:r>
      <w:proofErr w:type="spellEnd"/>
      <w:r w:rsidRPr="00CE6A11">
        <w:rPr>
          <w:rFonts w:ascii="Times New Roman" w:eastAsia="Times New Roman" w:hAnsi="Times New Roman"/>
          <w:i/>
          <w:iCs/>
          <w:sz w:val="24"/>
          <w:szCs w:val="24"/>
        </w:rPr>
        <w:t xml:space="preserve"> to</w:t>
      </w:r>
      <w:r w:rsidRPr="00CE6A11">
        <w:rPr>
          <w:rFonts w:ascii="Times New Roman" w:eastAsia="Times New Roman" w:hAnsi="Times New Roman"/>
          <w:sz w:val="24"/>
          <w:szCs w:val="24"/>
        </w:rPr>
        <w:t xml:space="preserve"> this meal</w:t>
      </w:r>
      <w:r>
        <w:rPr>
          <w:rFonts w:ascii="Times New Roman" w:eastAsia="Times New Roman" w:hAnsi="Times New Roman"/>
          <w:sz w:val="24"/>
          <w:szCs w:val="24"/>
        </w:rPr>
        <w:t>’</w:t>
      </w:r>
      <w:r w:rsidRPr="00CE6A11">
        <w:rPr>
          <w:rFonts w:ascii="Times New Roman" w:eastAsia="Times New Roman" w:hAnsi="Times New Roman"/>
          <w:sz w:val="24"/>
          <w:szCs w:val="24"/>
        </w:rPr>
        <w:t>) (emphasis added); or even whether Springs was present at the time the cooking took place. But even stretching to its limit the duty to read the FAC in the light that is most favorable to Springs, it seems that at worst he would have been required to clean this pan in order to cook in it himself, or perhaps would have been required to notify a superior in Engine 67 that, in the future, his</w:t>
      </w:r>
      <w:r>
        <w:rPr>
          <w:rFonts w:ascii="Times New Roman" w:eastAsia="Times New Roman" w:hAnsi="Times New Roman"/>
          <w:sz w:val="24"/>
          <w:szCs w:val="24"/>
        </w:rPr>
        <w:t xml:space="preserve"> </w:t>
      </w:r>
      <w:r w:rsidRPr="00CE6A11">
        <w:rPr>
          <w:rFonts w:ascii="Times New Roman" w:eastAsia="Times New Roman" w:hAnsi="Times New Roman"/>
          <w:sz w:val="24"/>
          <w:szCs w:val="24"/>
        </w:rPr>
        <w:t>meals would need to be prepared separately. Again, this incident may have been insensitive, but it did not impose anything more than a petty slight or inconvenience.</w:t>
      </w:r>
      <w:r>
        <w:rPr>
          <w:rFonts w:ascii="Times New Roman" w:eastAsia="Times New Roman" w:hAnsi="Times New Roman"/>
          <w:sz w:val="24"/>
          <w:szCs w:val="24"/>
        </w:rPr>
        <w:t>”</w:t>
      </w:r>
    </w:p>
    <w:p w14:paraId="4C6B8820" w14:textId="77777777" w:rsidR="007105B3" w:rsidRDefault="007105B3" w:rsidP="00DE0F03">
      <w:pPr>
        <w:rPr>
          <w:rFonts w:ascii="Arial Black" w:hAnsi="Arial Black"/>
          <w:b/>
          <w:sz w:val="24"/>
          <w:szCs w:val="24"/>
        </w:rPr>
      </w:pPr>
    </w:p>
    <w:p w14:paraId="05070AAD" w14:textId="77777777" w:rsidR="007105B3" w:rsidRDefault="007105B3" w:rsidP="00DE0F03">
      <w:pPr>
        <w:rPr>
          <w:rFonts w:ascii="Arial Black" w:hAnsi="Arial Black"/>
          <w:b/>
          <w:sz w:val="24"/>
          <w:szCs w:val="24"/>
        </w:rPr>
      </w:pPr>
    </w:p>
    <w:p w14:paraId="4C3DB92E" w14:textId="77777777" w:rsidR="007105B3" w:rsidRDefault="007105B3" w:rsidP="00DE0F03">
      <w:pPr>
        <w:rPr>
          <w:rFonts w:ascii="Arial Black" w:hAnsi="Arial Black"/>
          <w:b/>
          <w:sz w:val="24"/>
          <w:szCs w:val="24"/>
        </w:rPr>
      </w:pPr>
    </w:p>
    <w:p w14:paraId="789AB306" w14:textId="7A313150" w:rsidR="007105B3" w:rsidRDefault="007105B3" w:rsidP="00DE0F03">
      <w:pPr>
        <w:rPr>
          <w:rFonts w:ascii="Arial Black" w:hAnsi="Arial Black"/>
          <w:b/>
          <w:sz w:val="24"/>
          <w:szCs w:val="24"/>
        </w:rPr>
      </w:pPr>
      <w:r>
        <w:rPr>
          <w:rFonts w:ascii="Arial Black" w:hAnsi="Arial Black"/>
          <w:b/>
          <w:sz w:val="24"/>
          <w:szCs w:val="24"/>
        </w:rPr>
        <w:t>8-15</w:t>
      </w:r>
    </w:p>
    <w:p w14:paraId="091FC893" w14:textId="77777777" w:rsidR="007105B3" w:rsidRPr="005262A7" w:rsidRDefault="007105B3" w:rsidP="007105B3">
      <w:pPr>
        <w:pStyle w:val="NoSpacing"/>
        <w:rPr>
          <w:rFonts w:ascii="Arial Black" w:hAnsi="Arial Black"/>
          <w:sz w:val="28"/>
          <w:szCs w:val="28"/>
        </w:rPr>
      </w:pPr>
      <w:bookmarkStart w:id="322" w:name="_Hlk66948130"/>
      <w:r w:rsidRPr="005262A7">
        <w:rPr>
          <w:rFonts w:ascii="Arial Black" w:hAnsi="Arial Black"/>
          <w:sz w:val="28"/>
          <w:szCs w:val="28"/>
        </w:rPr>
        <w:t xml:space="preserve">TX: </w:t>
      </w:r>
      <w:r>
        <w:rPr>
          <w:rFonts w:ascii="Arial Black" w:hAnsi="Arial Black"/>
          <w:sz w:val="28"/>
          <w:szCs w:val="28"/>
        </w:rPr>
        <w:t xml:space="preserve">FEMALE, AFRICAN AMERICAN FF LAWSUIT FOR HOSTILE WORK ATMOSPHER – NOT FREQUENT, PERVASIVE  </w:t>
      </w:r>
    </w:p>
    <w:p w14:paraId="235E5EC2" w14:textId="77777777" w:rsidR="007105B3" w:rsidRPr="00DF6019" w:rsidRDefault="007105B3" w:rsidP="007105B3">
      <w:pPr>
        <w:spacing w:before="100" w:beforeAutospacing="1" w:after="100" w:afterAutospacing="1" w:line="240" w:lineRule="auto"/>
        <w:rPr>
          <w:rFonts w:ascii="Times New Roman" w:hAnsi="Times New Roman"/>
          <w:sz w:val="24"/>
          <w:szCs w:val="24"/>
        </w:rPr>
      </w:pPr>
      <w:r w:rsidRPr="005262A7">
        <w:rPr>
          <w:rFonts w:ascii="Times New Roman" w:hAnsi="Times New Roman"/>
          <w:sz w:val="24"/>
          <w:szCs w:val="24"/>
        </w:rPr>
        <w:t xml:space="preserve">On June 9, 2020, </w:t>
      </w:r>
      <w:r>
        <w:rPr>
          <w:rFonts w:ascii="Times New Roman" w:hAnsi="Times New Roman"/>
          <w:sz w:val="24"/>
          <w:szCs w:val="24"/>
        </w:rPr>
        <w:t xml:space="preserve">in </w:t>
      </w:r>
      <w:r w:rsidRPr="005262A7">
        <w:rPr>
          <w:rFonts w:ascii="Times New Roman" w:hAnsi="Times New Roman"/>
          <w:sz w:val="24"/>
          <w:szCs w:val="24"/>
          <w:u w:val="single"/>
        </w:rPr>
        <w:t>Carla West v. City of Houston, Texas</w:t>
      </w:r>
      <w:r>
        <w:rPr>
          <w:rFonts w:ascii="Times New Roman" w:hAnsi="Times New Roman"/>
          <w:sz w:val="24"/>
          <w:szCs w:val="24"/>
        </w:rPr>
        <w:t>, the U.S. Court of Appeals for the Fifth Circuit (New Orleans) held (3 to 0) that the U.S. District Court Judge properly granted summary judgment to the City. The Court wrote: “</w:t>
      </w:r>
      <w:r w:rsidRPr="00DF6019">
        <w:rPr>
          <w:rFonts w:ascii="Times New Roman" w:hAnsi="Times New Roman"/>
          <w:sz w:val="24"/>
          <w:szCs w:val="24"/>
        </w:rPr>
        <w:t>West seeks to impose Title VII liability on her employer because her coworkers passed gas at the dinner table; infrequently slept in their underwear at the station; made the occasional racially insensitive joke;</w:t>
      </w:r>
      <w:r>
        <w:rPr>
          <w:rFonts w:ascii="Times New Roman" w:hAnsi="Times New Roman"/>
          <w:sz w:val="24"/>
          <w:szCs w:val="24"/>
        </w:rPr>
        <w:t xml:space="preserve"> </w:t>
      </w:r>
      <w:r w:rsidRPr="00DF6019">
        <w:rPr>
          <w:rFonts w:ascii="Times New Roman" w:hAnsi="Times New Roman"/>
          <w:sz w:val="24"/>
          <w:szCs w:val="24"/>
        </w:rPr>
        <w:t>and brought adult magazines to the station. That is not severe or humiliating under the governing standards.</w:t>
      </w:r>
      <w:r>
        <w:rPr>
          <w:rFonts w:ascii="Times New Roman" w:hAnsi="Times New Roman"/>
          <w:sz w:val="24"/>
          <w:szCs w:val="24"/>
        </w:rPr>
        <w:t>”</w:t>
      </w:r>
      <w:r w:rsidRPr="00DF6019">
        <w:t xml:space="preserve"> </w:t>
      </w:r>
      <w:hyperlink r:id="rId1547" w:history="1">
        <w:r w:rsidRPr="005B0C9C">
          <w:rPr>
            <w:rStyle w:val="Hyperlink"/>
            <w:rFonts w:ascii="Times New Roman" w:hAnsi="Times New Roman"/>
            <w:sz w:val="24"/>
            <w:szCs w:val="24"/>
          </w:rPr>
          <w:t>http://www.ca5.uscourts.gov/opinions/pub/19/19-20294-CV0.pdf</w:t>
        </w:r>
      </w:hyperlink>
      <w:r>
        <w:rPr>
          <w:rFonts w:ascii="Times New Roman" w:hAnsi="Times New Roman"/>
          <w:sz w:val="24"/>
          <w:szCs w:val="24"/>
        </w:rPr>
        <w:t xml:space="preserve"> </w:t>
      </w:r>
    </w:p>
    <w:p w14:paraId="1069D835" w14:textId="77777777" w:rsidR="007105B3" w:rsidRDefault="007105B3" w:rsidP="007105B3">
      <w:pPr>
        <w:pStyle w:val="NoSpacing"/>
        <w:tabs>
          <w:tab w:val="left" w:pos="3180"/>
        </w:tabs>
        <w:rPr>
          <w:rFonts w:ascii="Times New Roman" w:hAnsi="Times New Roman"/>
          <w:b/>
          <w:bCs/>
          <w:sz w:val="24"/>
          <w:szCs w:val="24"/>
        </w:rPr>
      </w:pPr>
      <w:r w:rsidRPr="00DF6019">
        <w:rPr>
          <w:rFonts w:ascii="Times New Roman" w:hAnsi="Times New Roman"/>
          <w:b/>
          <w:bCs/>
          <w:sz w:val="24"/>
          <w:szCs w:val="24"/>
        </w:rPr>
        <w:t>Legal Lessons Learned:</w:t>
      </w:r>
      <w:r>
        <w:rPr>
          <w:rFonts w:ascii="Times New Roman" w:hAnsi="Times New Roman"/>
          <w:b/>
          <w:bCs/>
          <w:sz w:val="24"/>
          <w:szCs w:val="24"/>
        </w:rPr>
        <w:t xml:space="preserve"> Hostile work atmosphere requires proof of “severe or humiliating” atmosphere.  </w:t>
      </w:r>
    </w:p>
    <w:bookmarkEnd w:id="322"/>
    <w:p w14:paraId="479820B3" w14:textId="77777777" w:rsidR="007105B3" w:rsidRPr="00DF6019" w:rsidRDefault="007105B3" w:rsidP="007105B3">
      <w:pPr>
        <w:pStyle w:val="NoSpacing"/>
        <w:tabs>
          <w:tab w:val="left" w:pos="3180"/>
        </w:tabs>
        <w:rPr>
          <w:rFonts w:ascii="Times New Roman" w:hAnsi="Times New Roman"/>
          <w:sz w:val="24"/>
          <w:szCs w:val="24"/>
        </w:rPr>
      </w:pPr>
    </w:p>
    <w:p w14:paraId="322B5CC1" w14:textId="77777777" w:rsidR="007105B3" w:rsidRDefault="007105B3" w:rsidP="007105B3">
      <w:pPr>
        <w:pStyle w:val="NoSpacing"/>
        <w:ind w:left="720"/>
        <w:rPr>
          <w:rFonts w:ascii="Times New Roman" w:hAnsi="Times New Roman"/>
          <w:sz w:val="24"/>
          <w:szCs w:val="24"/>
        </w:rPr>
      </w:pPr>
      <w:r w:rsidRPr="00DF6019">
        <w:rPr>
          <w:rFonts w:ascii="Times New Roman" w:hAnsi="Times New Roman"/>
          <w:sz w:val="24"/>
          <w:szCs w:val="24"/>
        </w:rPr>
        <w:t xml:space="preserve">Note:  The U.S. Supreme Court in </w:t>
      </w:r>
      <w:r w:rsidRPr="00DF6019">
        <w:rPr>
          <w:rFonts w:ascii="Times New Roman" w:hAnsi="Times New Roman"/>
          <w:sz w:val="24"/>
          <w:szCs w:val="24"/>
          <w:u w:val="single"/>
        </w:rPr>
        <w:t>Faragher v. City of Boca Raton</w:t>
      </w:r>
      <w:r w:rsidRPr="00DF6019">
        <w:rPr>
          <w:rFonts w:ascii="Times New Roman" w:hAnsi="Times New Roman"/>
          <w:sz w:val="24"/>
          <w:szCs w:val="24"/>
        </w:rPr>
        <w:t>, 524 U.S. 775 (1998) made it clear that Title VII of the Civil Rights Act of 1964 does not impose a “general civility code” on employers. Faragher, 524 U.S. at 788 (quoting Oncale, 523 U.S. at 80).</w:t>
      </w:r>
      <w:r w:rsidRPr="00DF6019">
        <w:rPr>
          <w:rFonts w:ascii="Times New Roman" w:hAnsi="Times New Roman"/>
          <w:sz w:val="24"/>
          <w:szCs w:val="24"/>
        </w:rPr>
        <w:tab/>
      </w:r>
    </w:p>
    <w:p w14:paraId="73E3DA9B" w14:textId="77777777" w:rsidR="007105B3" w:rsidRDefault="007105B3" w:rsidP="00DE0F03">
      <w:pPr>
        <w:rPr>
          <w:rFonts w:ascii="Arial Black" w:hAnsi="Arial Black"/>
          <w:b/>
          <w:sz w:val="24"/>
          <w:szCs w:val="24"/>
        </w:rPr>
      </w:pPr>
    </w:p>
    <w:p w14:paraId="30343800" w14:textId="77777777" w:rsidR="007105B3" w:rsidRDefault="007105B3" w:rsidP="00DE0F03">
      <w:pPr>
        <w:rPr>
          <w:rFonts w:ascii="Arial Black" w:hAnsi="Arial Black"/>
          <w:b/>
          <w:sz w:val="24"/>
          <w:szCs w:val="24"/>
        </w:rPr>
      </w:pPr>
    </w:p>
    <w:p w14:paraId="002E08E5" w14:textId="074654EA" w:rsidR="002147DA" w:rsidRDefault="002147DA"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4</w:t>
      </w:r>
    </w:p>
    <w:p w14:paraId="7D904459" w14:textId="77777777" w:rsidR="002147DA" w:rsidRPr="00746077" w:rsidRDefault="002147DA" w:rsidP="002147DA">
      <w:pPr>
        <w:pStyle w:val="NoSpacing"/>
        <w:rPr>
          <w:rFonts w:ascii="Arial Black" w:hAnsi="Arial Black"/>
          <w:b/>
          <w:bCs/>
          <w:sz w:val="28"/>
          <w:szCs w:val="28"/>
        </w:rPr>
      </w:pPr>
      <w:r w:rsidRPr="00746077">
        <w:rPr>
          <w:rFonts w:ascii="Arial Black" w:hAnsi="Arial Black"/>
          <w:bCs/>
          <w:sz w:val="28"/>
          <w:szCs w:val="28"/>
        </w:rPr>
        <w:t>NY:</w:t>
      </w:r>
      <w:r>
        <w:rPr>
          <w:rFonts w:ascii="Arial Black" w:hAnsi="Arial Black"/>
          <w:bCs/>
          <w:sz w:val="28"/>
          <w:szCs w:val="28"/>
        </w:rPr>
        <w:t xml:space="preserve"> FDNY – FF NOT PROMOTED (2015) – ALLEGED RETALIATION FOR EEOC CHARGE (2012) – DISMISSED</w:t>
      </w:r>
    </w:p>
    <w:p w14:paraId="229AF3C2" w14:textId="77777777" w:rsidR="002147DA" w:rsidRDefault="002147DA" w:rsidP="002147DA">
      <w:pPr>
        <w:pStyle w:val="NoSpacing"/>
        <w:rPr>
          <w:b/>
          <w:bCs/>
          <w:sz w:val="24"/>
          <w:szCs w:val="24"/>
        </w:rPr>
      </w:pPr>
    </w:p>
    <w:p w14:paraId="2D8622D5"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April 17, 2020, in </w:t>
      </w:r>
      <w:r w:rsidRPr="00AE3A49">
        <w:rPr>
          <w:rFonts w:ascii="Times New Roman" w:hAnsi="Times New Roman"/>
          <w:bCs/>
          <w:sz w:val="24"/>
          <w:szCs w:val="24"/>
          <w:u w:val="single"/>
        </w:rPr>
        <w:t xml:space="preserve">George Ful </w:t>
      </w:r>
      <w:proofErr w:type="spellStart"/>
      <w:r w:rsidRPr="00AE3A49">
        <w:rPr>
          <w:rFonts w:ascii="Times New Roman" w:hAnsi="Times New Roman"/>
          <w:bCs/>
          <w:sz w:val="24"/>
          <w:szCs w:val="24"/>
          <w:u w:val="single"/>
        </w:rPr>
        <w:t>Ninying</w:t>
      </w:r>
      <w:proofErr w:type="spellEnd"/>
      <w:r w:rsidRPr="00AE3A49">
        <w:rPr>
          <w:rFonts w:ascii="Times New Roman" w:hAnsi="Times New Roman"/>
          <w:bCs/>
          <w:sz w:val="24"/>
          <w:szCs w:val="24"/>
          <w:u w:val="single"/>
        </w:rPr>
        <w:t xml:space="preserve"> v. New York City Fire Department</w:t>
      </w:r>
      <w:r w:rsidRPr="00AE3A49">
        <w:rPr>
          <w:rFonts w:ascii="Times New Roman" w:hAnsi="Times New Roman"/>
          <w:bCs/>
          <w:sz w:val="24"/>
          <w:szCs w:val="24"/>
        </w:rPr>
        <w:t xml:space="preserve">, the U.S. Court of Appeals for the Second Circuit (New York City), held (3 to 0) in a Summary Order that the U.S. District Court judge had properly granted summary judgment to the City.   Plaintiff filed suit </w:t>
      </w:r>
      <w:r w:rsidRPr="00AE3A49">
        <w:rPr>
          <w:rFonts w:ascii="Times New Roman" w:hAnsi="Times New Roman"/>
          <w:bCs/>
          <w:i/>
          <w:iCs/>
          <w:sz w:val="24"/>
          <w:szCs w:val="24"/>
        </w:rPr>
        <w:t xml:space="preserve">pro se </w:t>
      </w:r>
      <w:r w:rsidRPr="00AE3A49">
        <w:rPr>
          <w:rFonts w:ascii="Times New Roman" w:hAnsi="Times New Roman"/>
          <w:bCs/>
          <w:sz w:val="24"/>
          <w:szCs w:val="24"/>
        </w:rPr>
        <w:t xml:space="preserve">(represented himself without an </w:t>
      </w:r>
      <w:r w:rsidRPr="00AE3A49">
        <w:rPr>
          <w:rFonts w:ascii="Times New Roman" w:hAnsi="Times New Roman"/>
          <w:bCs/>
          <w:sz w:val="24"/>
          <w:szCs w:val="24"/>
        </w:rPr>
        <w:lastRenderedPageBreak/>
        <w:t>attorney in both trial court and on appeal).  Court of Appeals agreed with District Court judge, that plaintiff failed to allege facts to show that he would have been promoted in 2015, “but for” his having filed an EEOC complaint in 2012, and there was alleged facts support his claim of race discrimination because his wife is African-American and he is “Black Minority.”</w:t>
      </w:r>
    </w:p>
    <w:p w14:paraId="0DF3188D" w14:textId="77777777" w:rsidR="002147DA" w:rsidRPr="00AE3A49" w:rsidRDefault="002147DA" w:rsidP="002147DA">
      <w:pPr>
        <w:pStyle w:val="NoSpacing"/>
        <w:rPr>
          <w:rFonts w:ascii="Times New Roman" w:hAnsi="Times New Roman"/>
          <w:b/>
          <w:bCs/>
          <w:sz w:val="24"/>
          <w:szCs w:val="24"/>
        </w:rPr>
      </w:pPr>
    </w:p>
    <w:p w14:paraId="41F0B5A6" w14:textId="77777777" w:rsidR="002147DA" w:rsidRDefault="002147DA" w:rsidP="002147DA">
      <w:pPr>
        <w:pStyle w:val="NoSpacing"/>
        <w:ind w:left="720"/>
        <w:rPr>
          <w:rFonts w:ascii="Times New Roman" w:hAnsi="Times New Roman"/>
          <w:bCs/>
          <w:sz w:val="24"/>
          <w:szCs w:val="24"/>
        </w:rPr>
      </w:pPr>
      <w:r w:rsidRPr="00AE3A49">
        <w:rPr>
          <w:rFonts w:ascii="Times New Roman" w:hAnsi="Times New Roman"/>
          <w:bCs/>
          <w:sz w:val="24"/>
          <w:szCs w:val="24"/>
        </w:rPr>
        <w:t xml:space="preserve">“In order to plead a prima facie claim of retaliation under both Title VII and the ADEA, a plaintiff must allege that (1) he participated in a protected activity; (2) the employer knew of his protected activity; (3) he was subjected to an adverse employment action; and (4) there was a causal connection between the participation in the protected activity and the adverse employment action…. Here, too, </w:t>
      </w:r>
      <w:proofErr w:type="spellStart"/>
      <w:r w:rsidRPr="00AE3A49">
        <w:rPr>
          <w:rFonts w:ascii="Times New Roman" w:hAnsi="Times New Roman"/>
          <w:bCs/>
          <w:sz w:val="24"/>
          <w:szCs w:val="24"/>
        </w:rPr>
        <w:t>Ninying’s</w:t>
      </w:r>
      <w:proofErr w:type="spellEnd"/>
      <w:r w:rsidRPr="00AE3A49">
        <w:rPr>
          <w:rFonts w:ascii="Times New Roman" w:hAnsi="Times New Roman"/>
          <w:bCs/>
          <w:sz w:val="24"/>
          <w:szCs w:val="24"/>
        </w:rPr>
        <w:t xml:space="preserve"> conclusory</w:t>
      </w:r>
    </w:p>
    <w:p w14:paraId="4A757393" w14:textId="77777777" w:rsidR="002147DA" w:rsidRPr="00AE3A49" w:rsidRDefault="002147DA" w:rsidP="002147DA">
      <w:pPr>
        <w:pStyle w:val="NoSpacing"/>
        <w:ind w:left="720"/>
        <w:rPr>
          <w:rFonts w:ascii="Times New Roman" w:hAnsi="Times New Roman"/>
          <w:b/>
          <w:bCs/>
          <w:sz w:val="24"/>
          <w:szCs w:val="24"/>
        </w:rPr>
      </w:pPr>
      <w:r w:rsidRPr="00AE3A49">
        <w:rPr>
          <w:rFonts w:ascii="Times New Roman" w:hAnsi="Times New Roman"/>
          <w:bCs/>
          <w:sz w:val="24"/>
          <w:szCs w:val="24"/>
        </w:rPr>
        <w:t xml:space="preserve">allegation fails to state a retaliation claim under either the ADEA or Title VII, both of which required him to allege that his protected activity was the but-for cause of the adverse employment action. See Univ. of Tex. Sw. Med. Ctr. v. Nassar, 570 US. 338, 360, 362–63 (2013) (holding that unlike other Title VII claims, Title VII retaliation claims must be proved according to ‘traditional principles’ of but-for causation). Nor did </w:t>
      </w:r>
      <w:proofErr w:type="spellStart"/>
      <w:r w:rsidRPr="00AE3A49">
        <w:rPr>
          <w:rFonts w:ascii="Times New Roman" w:hAnsi="Times New Roman"/>
          <w:bCs/>
          <w:sz w:val="24"/>
          <w:szCs w:val="24"/>
        </w:rPr>
        <w:t>Ninying’s</w:t>
      </w:r>
      <w:proofErr w:type="spellEnd"/>
      <w:r w:rsidRPr="00AE3A49">
        <w:rPr>
          <w:rFonts w:ascii="Times New Roman" w:hAnsi="Times New Roman"/>
          <w:bCs/>
          <w:sz w:val="24"/>
          <w:szCs w:val="24"/>
        </w:rPr>
        <w:t xml:space="preserve"> allegation that he was retaliated against in 2015 for filing a 2012 EEOC complaint allege the requisite causation.”</w:t>
      </w:r>
    </w:p>
    <w:p w14:paraId="16DFB92E" w14:textId="77777777" w:rsidR="002147DA" w:rsidRPr="00AE3A49" w:rsidRDefault="002147DA" w:rsidP="002147DA">
      <w:pPr>
        <w:pStyle w:val="NoSpacing"/>
        <w:ind w:left="720"/>
        <w:rPr>
          <w:rFonts w:ascii="Times New Roman" w:eastAsia="Times New Roman" w:hAnsi="Times New Roman"/>
          <w:b/>
          <w:bCs/>
          <w:sz w:val="24"/>
          <w:szCs w:val="24"/>
        </w:rPr>
      </w:pPr>
      <w:hyperlink r:id="rId1548" w:anchor="xml=http://www.ca2.uscourts.gov/decisions/isysquery/83382276-eb3d-4d56-b5fe-4596b6d0f64b/1/hilite/" w:history="1">
        <w:r w:rsidRPr="00AE3A49">
          <w:rPr>
            <w:rStyle w:val="Hyperlink"/>
            <w:rFonts w:ascii="Times New Roman" w:hAnsi="Times New Roman"/>
            <w:b/>
            <w:sz w:val="24"/>
            <w:szCs w:val="24"/>
          </w:rPr>
          <w:t>http://www.ca2.uscourts.gov/decisions/isysquery/83382276-eb3d-4d56-b5fe-4596b6d0f64b/1/doc/19-1265_so.pdf#xml=http://www.ca2.uscourts.gov/decisions/isysquery/83382276-eb3d-4d56-b5fe-4596b6d0f64b/1/hilite/</w:t>
        </w:r>
      </w:hyperlink>
      <w:r w:rsidRPr="00AE3A49">
        <w:rPr>
          <w:rFonts w:ascii="Times New Roman" w:hAnsi="Times New Roman"/>
          <w:bCs/>
          <w:sz w:val="24"/>
          <w:szCs w:val="24"/>
        </w:rPr>
        <w:t xml:space="preserve"> </w:t>
      </w:r>
    </w:p>
    <w:p w14:paraId="1D379888" w14:textId="4C635AC2" w:rsidR="002147DA" w:rsidRDefault="002147DA" w:rsidP="00DE0F03">
      <w:pPr>
        <w:rPr>
          <w:rFonts w:ascii="Arial Black" w:hAnsi="Arial Black"/>
          <w:b/>
          <w:sz w:val="24"/>
          <w:szCs w:val="24"/>
        </w:rPr>
      </w:pPr>
    </w:p>
    <w:p w14:paraId="2BD0CAFF"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Plaintiff also alleged race discrimination based on his wife’s race, and that he is a “Black Minority.” </w:t>
      </w:r>
    </w:p>
    <w:p w14:paraId="04086C7C" w14:textId="77777777" w:rsidR="002147DA" w:rsidRPr="00AE3A49" w:rsidRDefault="002147DA" w:rsidP="002147DA">
      <w:pPr>
        <w:pStyle w:val="NoSpacing"/>
        <w:ind w:left="720"/>
        <w:rPr>
          <w:rFonts w:ascii="Times New Roman" w:hAnsi="Times New Roman"/>
          <w:sz w:val="24"/>
          <w:szCs w:val="24"/>
        </w:rPr>
      </w:pPr>
    </w:p>
    <w:p w14:paraId="52368E56" w14:textId="77777777" w:rsidR="002147DA" w:rsidRPr="00AE3A49" w:rsidRDefault="002147DA" w:rsidP="002147DA">
      <w:pPr>
        <w:pStyle w:val="NoSpacing"/>
        <w:ind w:left="1440"/>
        <w:rPr>
          <w:rFonts w:ascii="Times New Roman" w:hAnsi="Times New Roman"/>
          <w:b/>
          <w:bCs/>
          <w:sz w:val="24"/>
          <w:szCs w:val="24"/>
        </w:rPr>
      </w:pPr>
      <w:r w:rsidRPr="00AE3A49">
        <w:rPr>
          <w:rFonts w:ascii="Times New Roman" w:hAnsi="Times New Roman"/>
          <w:bCs/>
          <w:sz w:val="24"/>
          <w:szCs w:val="24"/>
        </w:rPr>
        <w:t>Note:</w:t>
      </w:r>
      <w:r w:rsidRPr="00AE3A49">
        <w:rPr>
          <w:rFonts w:ascii="Times New Roman" w:hAnsi="Times New Roman"/>
          <w:sz w:val="24"/>
          <w:szCs w:val="24"/>
        </w:rPr>
        <w:t xml:space="preserve"> </w:t>
      </w:r>
      <w:r w:rsidRPr="00AE3A49">
        <w:rPr>
          <w:rFonts w:ascii="Times New Roman" w:hAnsi="Times New Roman"/>
          <w:bCs/>
          <w:sz w:val="24"/>
          <w:szCs w:val="24"/>
        </w:rPr>
        <w:t>Court wrote:</w:t>
      </w:r>
      <w:r w:rsidRPr="00AE3A49">
        <w:rPr>
          <w:rFonts w:ascii="Times New Roman" w:hAnsi="Times New Roman"/>
          <w:sz w:val="24"/>
          <w:szCs w:val="24"/>
        </w:rPr>
        <w:t xml:space="preserve"> “</w:t>
      </w:r>
      <w:proofErr w:type="spellStart"/>
      <w:r w:rsidRPr="00AE3A49">
        <w:rPr>
          <w:rFonts w:ascii="Times New Roman" w:hAnsi="Times New Roman"/>
          <w:bCs/>
          <w:sz w:val="24"/>
          <w:szCs w:val="24"/>
        </w:rPr>
        <w:t>Ninying</w:t>
      </w:r>
      <w:proofErr w:type="spellEnd"/>
      <w:r w:rsidRPr="00AE3A49">
        <w:rPr>
          <w:rFonts w:ascii="Times New Roman" w:hAnsi="Times New Roman"/>
          <w:bCs/>
          <w:sz w:val="24"/>
          <w:szCs w:val="24"/>
        </w:rPr>
        <w:t xml:space="preserve"> asserts that he was discriminated against because his wife is African American and he is a ‘Black Minority,’ but he does not allege any facts relating his protected status to his failure to be promoted….  And though </w:t>
      </w:r>
      <w:proofErr w:type="spellStart"/>
      <w:r w:rsidRPr="00AE3A49">
        <w:rPr>
          <w:rFonts w:ascii="Times New Roman" w:hAnsi="Times New Roman"/>
          <w:bCs/>
          <w:sz w:val="24"/>
          <w:szCs w:val="24"/>
        </w:rPr>
        <w:t>Ninying</w:t>
      </w:r>
      <w:proofErr w:type="spellEnd"/>
      <w:r w:rsidRPr="00AE3A49">
        <w:rPr>
          <w:rFonts w:ascii="Times New Roman" w:hAnsi="Times New Roman"/>
          <w:bCs/>
          <w:sz w:val="24"/>
          <w:szCs w:val="24"/>
        </w:rPr>
        <w:t xml:space="preserve"> alleges that he is fluent in French because of his national origin, he has neither identified his national origin nor alleged that he faced discrimination because of it.”</w:t>
      </w:r>
    </w:p>
    <w:p w14:paraId="11FF696A" w14:textId="77777777" w:rsidR="002147DA" w:rsidRPr="00AE3A49" w:rsidRDefault="002147DA" w:rsidP="002147DA">
      <w:pPr>
        <w:pStyle w:val="NoSpacing"/>
        <w:rPr>
          <w:rFonts w:ascii="Times New Roman" w:hAnsi="Times New Roman"/>
          <w:sz w:val="24"/>
          <w:szCs w:val="24"/>
        </w:rPr>
      </w:pPr>
    </w:p>
    <w:p w14:paraId="1A9D9E5B" w14:textId="77777777" w:rsidR="002147DA" w:rsidRDefault="002147DA" w:rsidP="00DE0F03">
      <w:pPr>
        <w:rPr>
          <w:rFonts w:ascii="Arial Black" w:hAnsi="Arial Black"/>
          <w:b/>
          <w:sz w:val="24"/>
          <w:szCs w:val="24"/>
        </w:rPr>
      </w:pPr>
    </w:p>
    <w:p w14:paraId="0EE7A1E6" w14:textId="77777777" w:rsidR="002147DA" w:rsidRDefault="002147DA" w:rsidP="00DE0F03">
      <w:pPr>
        <w:rPr>
          <w:rFonts w:ascii="Arial Black" w:hAnsi="Arial Black"/>
          <w:b/>
          <w:sz w:val="24"/>
          <w:szCs w:val="24"/>
        </w:rPr>
      </w:pPr>
    </w:p>
    <w:p w14:paraId="55FF21E3" w14:textId="45961FFC" w:rsidR="007540BD" w:rsidRDefault="0066298F"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3</w:t>
      </w:r>
    </w:p>
    <w:p w14:paraId="79365E88" w14:textId="77777777" w:rsidR="0066298F" w:rsidRDefault="0066298F" w:rsidP="0066298F">
      <w:pPr>
        <w:pStyle w:val="NoSpacing"/>
        <w:rPr>
          <w:rFonts w:ascii="Arial Black" w:hAnsi="Arial Black" w:cs="Arial"/>
          <w:sz w:val="28"/>
          <w:szCs w:val="28"/>
        </w:rPr>
      </w:pPr>
      <w:bookmarkStart w:id="323" w:name="_Hlk39764972"/>
      <w:r w:rsidRPr="00F2368F">
        <w:rPr>
          <w:rFonts w:ascii="Arial Black" w:hAnsi="Arial Black"/>
          <w:sz w:val="28"/>
          <w:szCs w:val="28"/>
        </w:rPr>
        <w:t xml:space="preserve">FL: </w:t>
      </w:r>
      <w:r>
        <w:rPr>
          <w:rFonts w:ascii="Arial Black" w:hAnsi="Arial Black"/>
          <w:sz w:val="28"/>
          <w:szCs w:val="28"/>
        </w:rPr>
        <w:t xml:space="preserve"> FIRED LT. SETTLEMENT – REHIRED, BUT NOT TO TRAINING DIV. – RETIREMENT $ NOT REPAID – $36,663 JURY VERDICT SET ASIDE</w:t>
      </w:r>
    </w:p>
    <w:p w14:paraId="35D57268" w14:textId="77777777" w:rsidR="0066298F" w:rsidRDefault="0066298F" w:rsidP="0066298F">
      <w:pPr>
        <w:pStyle w:val="NoSpacing"/>
        <w:rPr>
          <w:rFonts w:ascii="Arial Black" w:hAnsi="Arial Black" w:cs="Arial"/>
          <w:sz w:val="28"/>
          <w:szCs w:val="28"/>
        </w:rPr>
      </w:pPr>
    </w:p>
    <w:p w14:paraId="5892C1F1"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27, 2020, in </w:t>
      </w:r>
      <w:r w:rsidRPr="00665BD0">
        <w:rPr>
          <w:rFonts w:ascii="Times New Roman" w:hAnsi="Times New Roman"/>
          <w:bCs/>
          <w:sz w:val="24"/>
          <w:szCs w:val="24"/>
          <w:u w:val="single"/>
        </w:rPr>
        <w:t>Orange County, FL v. Stacey Mclean</w:t>
      </w:r>
      <w:r w:rsidRPr="00665BD0">
        <w:rPr>
          <w:rFonts w:ascii="Times New Roman" w:hAnsi="Times New Roman"/>
          <w:bCs/>
          <w:sz w:val="24"/>
          <w:szCs w:val="24"/>
        </w:rPr>
        <w:t xml:space="preserve">, the District Court of Appeal of the State of Florida, Fifth District, held (3 to 0) that trial judge should have granted county’s motion for a directed verdict and set aside the jury’s verdict. Internal investigation in 2013 of improper recording hours worked – 56 disciplined; in 2014, County fired 3 </w:t>
      </w:r>
      <w:proofErr w:type="gramStart"/>
      <w:r w:rsidRPr="00665BD0">
        <w:rPr>
          <w:rFonts w:ascii="Times New Roman" w:hAnsi="Times New Roman"/>
          <w:bCs/>
          <w:sz w:val="24"/>
          <w:szCs w:val="24"/>
        </w:rPr>
        <w:t>African-American</w:t>
      </w:r>
      <w:proofErr w:type="gramEnd"/>
      <w:r w:rsidRPr="00665BD0">
        <w:rPr>
          <w:rFonts w:ascii="Times New Roman" w:hAnsi="Times New Roman"/>
          <w:bCs/>
          <w:sz w:val="24"/>
          <w:szCs w:val="24"/>
        </w:rPr>
        <w:t xml:space="preserve"> males, including Plaintiff (Lt. in Training Division). He sued in 2015 for race discrimination; County settled lawsuit, returned him to work [but no openings in Training Division] and paid him back wages.  State Board of Administration [retirement fund] ordered him to re-pay retirement funds he withdrew in 2014; he refused and </w:t>
      </w:r>
      <w:proofErr w:type="gramStart"/>
      <w:r w:rsidRPr="00665BD0">
        <w:rPr>
          <w:rFonts w:ascii="Times New Roman" w:hAnsi="Times New Roman"/>
          <w:bCs/>
          <w:sz w:val="24"/>
          <w:szCs w:val="24"/>
        </w:rPr>
        <w:t>was</w:t>
      </w:r>
      <w:proofErr w:type="gramEnd"/>
      <w:r w:rsidRPr="00665BD0">
        <w:rPr>
          <w:rFonts w:ascii="Times New Roman" w:hAnsi="Times New Roman"/>
          <w:bCs/>
          <w:sz w:val="24"/>
          <w:szCs w:val="24"/>
        </w:rPr>
        <w:t xml:space="preserve"> forced him to retire or FD would be dropped from the retirement fund.  He sued and jury awarded him $36,663.  </w:t>
      </w:r>
    </w:p>
    <w:p w14:paraId="1127234E" w14:textId="77777777" w:rsidR="0066298F" w:rsidRPr="00665BD0" w:rsidRDefault="0066298F" w:rsidP="0066298F">
      <w:pPr>
        <w:pStyle w:val="NoSpacing"/>
        <w:rPr>
          <w:rFonts w:ascii="Times New Roman" w:hAnsi="Times New Roman"/>
          <w:b/>
          <w:bCs/>
          <w:sz w:val="24"/>
          <w:szCs w:val="24"/>
        </w:rPr>
      </w:pPr>
    </w:p>
    <w:p w14:paraId="25821844"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lastRenderedPageBreak/>
        <w:t xml:space="preserve">“Here, the trial evidence established that the County met its burden. The County showed that it had a legitimate reason to comply with the SBA’s order when it required McLean to retire after he failed to reimburse his FRS account </w:t>
      </w:r>
      <w:proofErr w:type="gramStart"/>
      <w:r w:rsidRPr="00665BD0">
        <w:rPr>
          <w:rFonts w:ascii="Times New Roman" w:hAnsi="Times New Roman"/>
          <w:bCs/>
          <w:sz w:val="24"/>
          <w:szCs w:val="24"/>
        </w:rPr>
        <w:t>so as to</w:t>
      </w:r>
      <w:proofErr w:type="gramEnd"/>
      <w:r w:rsidRPr="00665BD0">
        <w:rPr>
          <w:rFonts w:ascii="Times New Roman" w:hAnsi="Times New Roman"/>
          <w:bCs/>
          <w:sz w:val="24"/>
          <w:szCs w:val="24"/>
        </w:rPr>
        <w:t xml:space="preserve"> not jeopardize its own continued participation in the FRS. Second, the County demonstrated that there were no vacancies or openings in the Training Division at the time McLean was reinstated.</w:t>
      </w:r>
    </w:p>
    <w:p w14:paraId="0AE9B3A3" w14:textId="77777777" w:rsidR="0066298F" w:rsidRPr="00665BD0" w:rsidRDefault="0066298F" w:rsidP="0066298F">
      <w:pPr>
        <w:pStyle w:val="NoSpacing"/>
        <w:ind w:left="720"/>
        <w:rPr>
          <w:rFonts w:ascii="Times New Roman" w:hAnsi="Times New Roman"/>
          <w:b/>
          <w:bCs/>
          <w:sz w:val="24"/>
          <w:szCs w:val="24"/>
        </w:rPr>
      </w:pPr>
    </w:p>
    <w:p w14:paraId="429D19E7"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w:t>
      </w:r>
    </w:p>
    <w:p w14:paraId="1FF79AC5"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McLean’s explanation that he expected to return to the Training Division, despite the County having no obligation under the settlement agreement to do so, without more, did not rise to an evidentiary level to allow the jury to decide whether the County’s reason here was pretextual.”</w:t>
      </w:r>
    </w:p>
    <w:p w14:paraId="527080A2" w14:textId="53CD9915" w:rsidR="0066298F" w:rsidRDefault="0066298F" w:rsidP="0066298F">
      <w:pPr>
        <w:rPr>
          <w:rStyle w:val="Hyperlink"/>
          <w:rFonts w:ascii="Times New Roman" w:hAnsi="Times New Roman"/>
          <w:b/>
          <w:sz w:val="24"/>
          <w:szCs w:val="24"/>
        </w:rPr>
      </w:pPr>
      <w:hyperlink r:id="rId1549" w:history="1">
        <w:r w:rsidRPr="00665BD0">
          <w:rPr>
            <w:rStyle w:val="Hyperlink"/>
            <w:rFonts w:ascii="Times New Roman" w:hAnsi="Times New Roman"/>
            <w:b/>
            <w:sz w:val="24"/>
            <w:szCs w:val="24"/>
          </w:rPr>
          <w:t>https://www.5dca.org/content/download/632688/7189187/file/183494_DC13_03272020_081652_i.pdf</w:t>
        </w:r>
      </w:hyperlink>
    </w:p>
    <w:p w14:paraId="577A308E" w14:textId="77777777" w:rsidR="0066298F" w:rsidRPr="00665BD0" w:rsidRDefault="0066298F" w:rsidP="0066298F">
      <w:pPr>
        <w:pStyle w:val="NoSpacing"/>
        <w:rPr>
          <w:rFonts w:ascii="Times New Roman" w:hAnsi="Times New Roman"/>
          <w:b/>
          <w:bCs/>
          <w:sz w:val="24"/>
          <w:szCs w:val="24"/>
        </w:rPr>
      </w:pPr>
      <w:bookmarkStart w:id="324" w:name="_Hlk40511406"/>
      <w:bookmarkEnd w:id="323"/>
      <w:r w:rsidRPr="00665BD0">
        <w:rPr>
          <w:rFonts w:ascii="Times New Roman" w:hAnsi="Times New Roman"/>
          <w:b/>
          <w:bCs/>
          <w:sz w:val="24"/>
          <w:szCs w:val="24"/>
        </w:rPr>
        <w:t xml:space="preserve">Legal Lesson Learned: When negotiating a return-to-work agreement, </w:t>
      </w:r>
      <w:r>
        <w:rPr>
          <w:rFonts w:ascii="Times New Roman" w:hAnsi="Times New Roman"/>
          <w:b/>
          <w:bCs/>
          <w:sz w:val="24"/>
          <w:szCs w:val="24"/>
        </w:rPr>
        <w:t xml:space="preserve">consider </w:t>
      </w:r>
      <w:r w:rsidRPr="00665BD0">
        <w:rPr>
          <w:rFonts w:ascii="Times New Roman" w:hAnsi="Times New Roman"/>
          <w:b/>
          <w:bCs/>
          <w:sz w:val="24"/>
          <w:szCs w:val="24"/>
        </w:rPr>
        <w:t>includ</w:t>
      </w:r>
      <w:r>
        <w:rPr>
          <w:rFonts w:ascii="Times New Roman" w:hAnsi="Times New Roman"/>
          <w:b/>
          <w:bCs/>
          <w:sz w:val="24"/>
          <w:szCs w:val="24"/>
        </w:rPr>
        <w:t>ing</w:t>
      </w:r>
      <w:r w:rsidRPr="00665BD0">
        <w:rPr>
          <w:rFonts w:ascii="Times New Roman" w:hAnsi="Times New Roman"/>
          <w:b/>
          <w:bCs/>
          <w:sz w:val="24"/>
          <w:szCs w:val="24"/>
        </w:rPr>
        <w:t xml:space="preserve"> a provision regarding the position to which the employee will be returning. </w:t>
      </w:r>
    </w:p>
    <w:bookmarkEnd w:id="324"/>
    <w:p w14:paraId="11769C1D" w14:textId="05A597B9" w:rsidR="0066298F" w:rsidRDefault="0066298F" w:rsidP="0066298F">
      <w:pPr>
        <w:rPr>
          <w:rStyle w:val="Hyperlink"/>
          <w:rFonts w:ascii="Times New Roman" w:hAnsi="Times New Roman"/>
          <w:b/>
          <w:sz w:val="24"/>
          <w:szCs w:val="24"/>
        </w:rPr>
      </w:pPr>
      <w:r>
        <w:rPr>
          <w:rStyle w:val="Hyperlink"/>
          <w:rFonts w:ascii="Times New Roman" w:hAnsi="Times New Roman"/>
          <w:b/>
          <w:sz w:val="24"/>
          <w:szCs w:val="24"/>
        </w:rPr>
        <w:t xml:space="preserve"> </w:t>
      </w:r>
    </w:p>
    <w:p w14:paraId="2521E7F1" w14:textId="20CBD6A1" w:rsidR="0066298F" w:rsidRDefault="0066298F" w:rsidP="0066298F">
      <w:pPr>
        <w:rPr>
          <w:rStyle w:val="Hyperlink"/>
          <w:rFonts w:ascii="Times New Roman" w:hAnsi="Times New Roman"/>
          <w:b/>
          <w:sz w:val="24"/>
          <w:szCs w:val="24"/>
        </w:rPr>
      </w:pPr>
    </w:p>
    <w:p w14:paraId="46F59C4E" w14:textId="77777777" w:rsidR="0066298F" w:rsidRDefault="0066298F" w:rsidP="0066298F">
      <w:pPr>
        <w:rPr>
          <w:rFonts w:ascii="Arial Black" w:hAnsi="Arial Black"/>
          <w:b/>
          <w:sz w:val="24"/>
          <w:szCs w:val="24"/>
        </w:rPr>
      </w:pPr>
    </w:p>
    <w:p w14:paraId="73A3A442" w14:textId="3373BAD7" w:rsidR="007540BD" w:rsidRDefault="007540BD"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2</w:t>
      </w:r>
    </w:p>
    <w:p w14:paraId="63EF009E" w14:textId="77777777" w:rsidR="007540BD" w:rsidRDefault="007540BD" w:rsidP="007540BD">
      <w:pPr>
        <w:pStyle w:val="NoSpacing"/>
        <w:rPr>
          <w:rFonts w:eastAsia="Times New Roman"/>
          <w:bCs/>
          <w:sz w:val="24"/>
          <w:szCs w:val="24"/>
        </w:rPr>
      </w:pPr>
      <w:bookmarkStart w:id="325" w:name="_Hlk39818670"/>
      <w:r w:rsidRPr="000F0816">
        <w:rPr>
          <w:rFonts w:ascii="Arial Black" w:hAnsi="Arial Black"/>
          <w:sz w:val="28"/>
          <w:szCs w:val="28"/>
        </w:rPr>
        <w:t>U.S. SUP</w:t>
      </w:r>
      <w:r>
        <w:rPr>
          <w:rFonts w:ascii="Arial Black" w:hAnsi="Arial Black"/>
          <w:sz w:val="28"/>
          <w:szCs w:val="28"/>
        </w:rPr>
        <w:t xml:space="preserve">REME COURT: BLACK-OWNED MEDIA COMPANY DENIED CONTRACT - </w:t>
      </w:r>
      <w:r w:rsidRPr="000F0816">
        <w:rPr>
          <w:rFonts w:ascii="Arial Black" w:hAnsi="Arial Black"/>
          <w:sz w:val="28"/>
          <w:szCs w:val="28"/>
        </w:rPr>
        <w:t xml:space="preserve">MUST </w:t>
      </w:r>
      <w:r>
        <w:rPr>
          <w:rFonts w:ascii="Arial Black" w:hAnsi="Arial Black"/>
          <w:sz w:val="28"/>
          <w:szCs w:val="28"/>
        </w:rPr>
        <w:t xml:space="preserve">PROVE </w:t>
      </w:r>
      <w:r w:rsidRPr="000F0816">
        <w:rPr>
          <w:rFonts w:ascii="Arial Black" w:hAnsi="Arial Black"/>
          <w:sz w:val="28"/>
          <w:szCs w:val="28"/>
        </w:rPr>
        <w:t>“BUT FOR</w:t>
      </w:r>
      <w:r>
        <w:rPr>
          <w:rFonts w:ascii="Arial Black" w:hAnsi="Arial Black"/>
          <w:sz w:val="28"/>
          <w:szCs w:val="28"/>
        </w:rPr>
        <w:t xml:space="preserve">” RACE WOULD HAVE RECEIVED </w:t>
      </w:r>
    </w:p>
    <w:p w14:paraId="62F790FA" w14:textId="77777777" w:rsidR="007540BD" w:rsidRDefault="007540BD" w:rsidP="007540BD">
      <w:pPr>
        <w:pStyle w:val="NoSpacing"/>
        <w:rPr>
          <w:rFonts w:eastAsia="Times New Roman"/>
          <w:bCs/>
          <w:sz w:val="24"/>
          <w:szCs w:val="24"/>
        </w:rPr>
      </w:pPr>
    </w:p>
    <w:p w14:paraId="4E81B005" w14:textId="77777777" w:rsidR="007540BD" w:rsidRDefault="007540BD" w:rsidP="007540BD">
      <w:pPr>
        <w:pStyle w:val="NoSpacing"/>
        <w:rPr>
          <w:rFonts w:ascii="Times New Roman" w:hAnsi="Times New Roman"/>
          <w:bCs/>
          <w:sz w:val="24"/>
          <w:szCs w:val="24"/>
        </w:rPr>
      </w:pPr>
      <w:r w:rsidRPr="00665BD0">
        <w:rPr>
          <w:rFonts w:ascii="Times New Roman" w:eastAsia="Times New Roman" w:hAnsi="Times New Roman"/>
          <w:sz w:val="24"/>
          <w:szCs w:val="24"/>
        </w:rPr>
        <w:t xml:space="preserve">On </w:t>
      </w:r>
      <w:bookmarkStart w:id="326" w:name="_Hlk39837192"/>
      <w:r w:rsidRPr="00665BD0">
        <w:rPr>
          <w:rFonts w:ascii="Times New Roman" w:eastAsia="Times New Roman" w:hAnsi="Times New Roman"/>
          <w:sz w:val="24"/>
          <w:szCs w:val="24"/>
        </w:rPr>
        <w:t xml:space="preserve">March 23, 2020, in </w:t>
      </w:r>
      <w:r w:rsidRPr="00665BD0">
        <w:rPr>
          <w:rFonts w:ascii="Times New Roman" w:eastAsia="Times New Roman" w:hAnsi="Times New Roman"/>
          <w:sz w:val="24"/>
          <w:szCs w:val="24"/>
          <w:u w:val="single"/>
        </w:rPr>
        <w:t xml:space="preserve">Comcast Corp. v. National Association </w:t>
      </w:r>
      <w:proofErr w:type="gramStart"/>
      <w:r w:rsidRPr="00665BD0">
        <w:rPr>
          <w:rFonts w:ascii="Times New Roman" w:eastAsia="Times New Roman" w:hAnsi="Times New Roman"/>
          <w:sz w:val="24"/>
          <w:szCs w:val="24"/>
          <w:u w:val="single"/>
        </w:rPr>
        <w:t>Of</w:t>
      </w:r>
      <w:proofErr w:type="gramEnd"/>
      <w:r w:rsidRPr="00665BD0">
        <w:rPr>
          <w:rFonts w:ascii="Times New Roman" w:eastAsia="Times New Roman" w:hAnsi="Times New Roman"/>
          <w:sz w:val="24"/>
          <w:szCs w:val="24"/>
          <w:u w:val="single"/>
        </w:rPr>
        <w:t xml:space="preserve"> African American-Owned Media, et al</w:t>
      </w:r>
      <w:bookmarkEnd w:id="326"/>
      <w:r w:rsidRPr="00665BD0">
        <w:rPr>
          <w:rFonts w:ascii="Times New Roman" w:eastAsia="Times New Roman" w:hAnsi="Times New Roman"/>
          <w:sz w:val="24"/>
          <w:szCs w:val="24"/>
          <w:u w:val="single"/>
        </w:rPr>
        <w:t>.,</w:t>
      </w:r>
      <w:r w:rsidRPr="00665BD0">
        <w:rPr>
          <w:rFonts w:ascii="Times New Roman" w:eastAsia="Times New Roman" w:hAnsi="Times New Roman"/>
          <w:sz w:val="24"/>
          <w:szCs w:val="24"/>
        </w:rPr>
        <w:t xml:space="preserve">  the U.S. Supreme Court unanimously held (9 to 0) that the plaintiff, </w:t>
      </w:r>
      <w:r w:rsidRPr="00665BD0">
        <w:rPr>
          <w:rFonts w:ascii="Times New Roman" w:hAnsi="Times New Roman"/>
          <w:bCs/>
          <w:sz w:val="24"/>
          <w:szCs w:val="24"/>
        </w:rPr>
        <w:t>Entertainment Studios, must prove that race was the but-</w:t>
      </w:r>
    </w:p>
    <w:p w14:paraId="604A8A8E" w14:textId="77777777" w:rsidR="007540BD" w:rsidRPr="00665BD0" w:rsidRDefault="007540BD" w:rsidP="007540BD">
      <w:pPr>
        <w:pStyle w:val="NoSpacing"/>
        <w:rPr>
          <w:rFonts w:ascii="Times New Roman" w:hAnsi="Times New Roman"/>
          <w:b/>
          <w:bCs/>
          <w:sz w:val="24"/>
          <w:szCs w:val="24"/>
        </w:rPr>
      </w:pPr>
      <w:r w:rsidRPr="00665BD0">
        <w:rPr>
          <w:rFonts w:ascii="Times New Roman" w:hAnsi="Times New Roman"/>
          <w:bCs/>
          <w:sz w:val="24"/>
          <w:szCs w:val="24"/>
        </w:rPr>
        <w:t xml:space="preserve">for </w:t>
      </w:r>
      <w:proofErr w:type="gramStart"/>
      <w:r w:rsidRPr="00665BD0">
        <w:rPr>
          <w:rFonts w:ascii="Times New Roman" w:hAnsi="Times New Roman"/>
          <w:bCs/>
          <w:sz w:val="24"/>
          <w:szCs w:val="24"/>
        </w:rPr>
        <w:t>cause</w:t>
      </w:r>
      <w:proofErr w:type="gramEnd"/>
      <w:r w:rsidRPr="00665BD0">
        <w:rPr>
          <w:rFonts w:ascii="Times New Roman" w:hAnsi="Times New Roman"/>
          <w:bCs/>
          <w:sz w:val="24"/>
          <w:szCs w:val="24"/>
        </w:rPr>
        <w:t xml:space="preserve"> of its injury—in other words, that Comcast would have acted differently if Entertainment Studios were not </w:t>
      </w:r>
      <w:proofErr w:type="gramStart"/>
      <w:r w:rsidRPr="00665BD0">
        <w:rPr>
          <w:rFonts w:ascii="Times New Roman" w:hAnsi="Times New Roman"/>
          <w:bCs/>
          <w:sz w:val="24"/>
          <w:szCs w:val="24"/>
        </w:rPr>
        <w:t>African-American</w:t>
      </w:r>
      <w:proofErr w:type="gramEnd"/>
      <w:r w:rsidRPr="00665BD0">
        <w:rPr>
          <w:rFonts w:ascii="Times New Roman" w:hAnsi="Times New Roman"/>
          <w:bCs/>
          <w:sz w:val="24"/>
          <w:szCs w:val="24"/>
        </w:rPr>
        <w:t xml:space="preserve"> owned. </w:t>
      </w:r>
    </w:p>
    <w:p w14:paraId="26B24227" w14:textId="77777777" w:rsidR="007540BD" w:rsidRPr="00665BD0" w:rsidRDefault="007540BD" w:rsidP="007540BD">
      <w:pPr>
        <w:pStyle w:val="NoSpacing"/>
        <w:rPr>
          <w:rFonts w:ascii="Times New Roman" w:hAnsi="Times New Roman"/>
          <w:b/>
          <w:bCs/>
          <w:sz w:val="24"/>
          <w:szCs w:val="24"/>
        </w:rPr>
      </w:pPr>
    </w:p>
    <w:p w14:paraId="1FA0A078" w14:textId="77777777" w:rsidR="007540BD" w:rsidRPr="00665BD0" w:rsidRDefault="007540BD" w:rsidP="007540BD">
      <w:pPr>
        <w:pStyle w:val="NoSpacing"/>
        <w:rPr>
          <w:rFonts w:ascii="Times New Roman" w:hAnsi="Times New Roman"/>
          <w:b/>
          <w:bCs/>
          <w:sz w:val="24"/>
          <w:szCs w:val="24"/>
        </w:rPr>
      </w:pPr>
      <w:r w:rsidRPr="00665BD0">
        <w:rPr>
          <w:rFonts w:ascii="Times New Roman" w:hAnsi="Times New Roman"/>
          <w:bCs/>
          <w:sz w:val="24"/>
          <w:szCs w:val="24"/>
        </w:rPr>
        <w:t>In opinion by Justice Neil Gorsuch, the Court held:</w:t>
      </w:r>
    </w:p>
    <w:p w14:paraId="7038EE50" w14:textId="77777777" w:rsidR="007540BD" w:rsidRPr="00665BD0" w:rsidRDefault="007540BD" w:rsidP="007540BD">
      <w:pPr>
        <w:pStyle w:val="NoSpacing"/>
        <w:rPr>
          <w:rFonts w:ascii="Times New Roman" w:hAnsi="Times New Roman"/>
          <w:b/>
          <w:bCs/>
          <w:sz w:val="24"/>
          <w:szCs w:val="24"/>
        </w:rPr>
      </w:pPr>
    </w:p>
    <w:p w14:paraId="531B6148" w14:textId="77777777" w:rsidR="007540BD" w:rsidRPr="00665BD0" w:rsidRDefault="007540BD" w:rsidP="007540BD">
      <w:pPr>
        <w:pStyle w:val="NoSpacing"/>
        <w:ind w:left="720"/>
        <w:rPr>
          <w:rFonts w:ascii="Times New Roman" w:hAnsi="Times New Roman"/>
          <w:b/>
          <w:bCs/>
          <w:sz w:val="24"/>
          <w:szCs w:val="24"/>
        </w:rPr>
      </w:pPr>
      <w:r w:rsidRPr="00665BD0">
        <w:rPr>
          <w:rFonts w:ascii="Times New Roman" w:eastAsia="Times New Roman" w:hAnsi="Times New Roman"/>
          <w:bCs/>
          <w:sz w:val="24"/>
          <w:szCs w:val="24"/>
        </w:rPr>
        <w:t>“</w:t>
      </w:r>
      <w:r w:rsidRPr="00665BD0">
        <w:rPr>
          <w:rFonts w:ascii="Times New Roman" w:hAnsi="Times New Roman"/>
          <w:bCs/>
          <w:sz w:val="24"/>
          <w:szCs w:val="24"/>
        </w:rPr>
        <w:t xml:space="preserve">All the traditional tools of statutory interpretation persuade us that §1981 follows the usual rules, not any exception. To prevail, a plaintiff must initially plead and ultimately prove that, but for race, it would not have suffered the loss of a legally protected right…. The Ninth Circuit has yet to consider that question because it assessed ESN’s pleadings under a different and mistaken test. To allow that court the chance to determine the sufficiency of ESN’s pleadings under the correct legal rule in the first instance, we vacate the judgment of the court of </w:t>
      </w:r>
      <w:proofErr w:type="gramStart"/>
      <w:r w:rsidRPr="00665BD0">
        <w:rPr>
          <w:rFonts w:ascii="Times New Roman" w:hAnsi="Times New Roman"/>
          <w:bCs/>
          <w:sz w:val="24"/>
          <w:szCs w:val="24"/>
        </w:rPr>
        <w:t>ap-peals</w:t>
      </w:r>
      <w:proofErr w:type="gramEnd"/>
      <w:r w:rsidRPr="00665BD0">
        <w:rPr>
          <w:rFonts w:ascii="Times New Roman" w:hAnsi="Times New Roman"/>
          <w:bCs/>
          <w:sz w:val="24"/>
          <w:szCs w:val="24"/>
        </w:rPr>
        <w:t xml:space="preserve"> and remand the case for further proceedings </w:t>
      </w:r>
    </w:p>
    <w:p w14:paraId="5C6FE87D" w14:textId="77777777" w:rsidR="007540BD" w:rsidRPr="00665BD0" w:rsidRDefault="007540BD" w:rsidP="007540BD">
      <w:pPr>
        <w:pStyle w:val="NoSpacing"/>
        <w:ind w:left="720"/>
        <w:rPr>
          <w:rFonts w:ascii="Times New Roman" w:eastAsia="Times New Roman" w:hAnsi="Times New Roman"/>
          <w:b/>
          <w:bCs/>
          <w:sz w:val="24"/>
          <w:szCs w:val="24"/>
        </w:rPr>
      </w:pPr>
      <w:r w:rsidRPr="00665BD0">
        <w:rPr>
          <w:rFonts w:ascii="Times New Roman" w:hAnsi="Times New Roman"/>
          <w:bCs/>
          <w:sz w:val="24"/>
          <w:szCs w:val="24"/>
        </w:rPr>
        <w:t xml:space="preserve">consistent with this opinion.” </w:t>
      </w:r>
      <w:bookmarkStart w:id="327" w:name="_Hlk39837214"/>
      <w:r w:rsidR="00DC51D4">
        <w:fldChar w:fldCharType="begin"/>
      </w:r>
      <w:r w:rsidR="00DC51D4">
        <w:instrText xml:space="preserve"> HYPERLINK "https://www.supremecourt.gov/opinions/19pdf/18-1171_4425.pdf" </w:instrText>
      </w:r>
      <w:r w:rsidR="00DC51D4">
        <w:fldChar w:fldCharType="separate"/>
      </w:r>
      <w:r w:rsidRPr="00665BD0">
        <w:rPr>
          <w:rStyle w:val="Hyperlink"/>
          <w:rFonts w:ascii="Times New Roman" w:hAnsi="Times New Roman"/>
          <w:b/>
          <w:sz w:val="24"/>
          <w:szCs w:val="24"/>
        </w:rPr>
        <w:t>https://www.supremecourt.gov/opinions/19pdf/18-1171_4425.pdf</w:t>
      </w:r>
      <w:r w:rsidR="00DC51D4">
        <w:rPr>
          <w:rStyle w:val="Hyperlink"/>
          <w:rFonts w:ascii="Times New Roman" w:hAnsi="Times New Roman"/>
          <w:b/>
          <w:sz w:val="24"/>
          <w:szCs w:val="24"/>
        </w:rPr>
        <w:fldChar w:fldCharType="end"/>
      </w:r>
      <w:r w:rsidRPr="00665BD0">
        <w:rPr>
          <w:rFonts w:ascii="Times New Roman" w:hAnsi="Times New Roman"/>
          <w:bCs/>
          <w:sz w:val="24"/>
          <w:szCs w:val="24"/>
        </w:rPr>
        <w:t xml:space="preserve"> </w:t>
      </w:r>
    </w:p>
    <w:bookmarkEnd w:id="327"/>
    <w:p w14:paraId="46254098" w14:textId="77777777" w:rsidR="007540BD" w:rsidRDefault="007540BD" w:rsidP="007540BD">
      <w:pPr>
        <w:pStyle w:val="NoSpacing"/>
        <w:rPr>
          <w:rFonts w:ascii="Times New Roman" w:hAnsi="Times New Roman"/>
          <w:b/>
          <w:bCs/>
          <w:sz w:val="24"/>
          <w:szCs w:val="24"/>
        </w:rPr>
      </w:pPr>
    </w:p>
    <w:bookmarkEnd w:id="325"/>
    <w:p w14:paraId="3C202CDC" w14:textId="0E6EA7BA" w:rsidR="007540BD" w:rsidRPr="00665BD0" w:rsidRDefault="007540BD" w:rsidP="007540BD">
      <w:pPr>
        <w:pStyle w:val="NoSpacing"/>
        <w:rPr>
          <w:rFonts w:ascii="Times New Roman" w:hAnsi="Times New Roman"/>
          <w:b/>
          <w:bCs/>
          <w:sz w:val="24"/>
          <w:szCs w:val="24"/>
        </w:rPr>
      </w:pPr>
      <w:r w:rsidRPr="00665BD0">
        <w:rPr>
          <w:rFonts w:ascii="Times New Roman" w:hAnsi="Times New Roman"/>
          <w:b/>
          <w:bCs/>
          <w:sz w:val="24"/>
          <w:szCs w:val="24"/>
        </w:rPr>
        <w:t xml:space="preserve">Legal Lessons Learned: </w:t>
      </w:r>
      <w:r>
        <w:rPr>
          <w:rFonts w:ascii="Times New Roman" w:hAnsi="Times New Roman"/>
          <w:b/>
          <w:bCs/>
          <w:sz w:val="24"/>
          <w:szCs w:val="24"/>
        </w:rPr>
        <w:t xml:space="preserve">Important decision on race discrimination. </w:t>
      </w:r>
    </w:p>
    <w:p w14:paraId="3965B8C8" w14:textId="77777777" w:rsidR="007540BD" w:rsidRPr="00665BD0" w:rsidRDefault="007540BD" w:rsidP="007540BD">
      <w:pPr>
        <w:pStyle w:val="NoSpacing"/>
        <w:ind w:left="720"/>
        <w:rPr>
          <w:rFonts w:ascii="Times New Roman" w:hAnsi="Times New Roman"/>
          <w:b/>
          <w:bCs/>
          <w:sz w:val="24"/>
          <w:szCs w:val="24"/>
        </w:rPr>
      </w:pPr>
      <w:r w:rsidRPr="00665BD0">
        <w:rPr>
          <w:rFonts w:ascii="Times New Roman" w:hAnsi="Times New Roman"/>
          <w:bCs/>
          <w:sz w:val="24"/>
          <w:szCs w:val="24"/>
        </w:rPr>
        <w:t xml:space="preserve">See </w:t>
      </w:r>
      <w:bookmarkStart w:id="328" w:name="_Hlk39837140"/>
      <w:r w:rsidRPr="00665BD0">
        <w:rPr>
          <w:rFonts w:ascii="Times New Roman" w:hAnsi="Times New Roman"/>
          <w:bCs/>
          <w:sz w:val="24"/>
          <w:szCs w:val="24"/>
        </w:rPr>
        <w:t xml:space="preserve">March 23, </w:t>
      </w:r>
      <w:proofErr w:type="gramStart"/>
      <w:r w:rsidRPr="00665BD0">
        <w:rPr>
          <w:rFonts w:ascii="Times New Roman" w:hAnsi="Times New Roman"/>
          <w:bCs/>
          <w:sz w:val="24"/>
          <w:szCs w:val="24"/>
        </w:rPr>
        <w:t>2020</w:t>
      </w:r>
      <w:proofErr w:type="gramEnd"/>
      <w:r w:rsidRPr="00665BD0">
        <w:rPr>
          <w:rFonts w:ascii="Times New Roman" w:hAnsi="Times New Roman"/>
          <w:bCs/>
          <w:sz w:val="24"/>
          <w:szCs w:val="24"/>
        </w:rPr>
        <w:t xml:space="preserve"> article: Why Ginsburg Joined Ruling Civil Rights Advocates Decry as 'Terrible'- </w:t>
      </w:r>
      <w:hyperlink r:id="rId1550" w:history="1">
        <w:r w:rsidRPr="00665BD0">
          <w:rPr>
            <w:rStyle w:val="Hyperlink"/>
            <w:rFonts w:ascii="Times New Roman" w:hAnsi="Times New Roman"/>
            <w:b/>
            <w:sz w:val="24"/>
            <w:szCs w:val="24"/>
          </w:rPr>
          <w:t>https://www.law.com/nationallawjournal/2020/03/23/why-ginsburg-joined-a-ruling-civil-rights-advocates-decry-as-terrible/</w:t>
        </w:r>
      </w:hyperlink>
      <w:bookmarkEnd w:id="328"/>
      <w:r w:rsidRPr="00665BD0">
        <w:rPr>
          <w:rFonts w:ascii="Times New Roman" w:hAnsi="Times New Roman"/>
          <w:bCs/>
          <w:sz w:val="24"/>
          <w:szCs w:val="24"/>
        </w:rPr>
        <w:t xml:space="preserve"> </w:t>
      </w:r>
    </w:p>
    <w:p w14:paraId="69F7D68E" w14:textId="77777777" w:rsidR="007540BD" w:rsidRDefault="007540BD" w:rsidP="00DE0F03">
      <w:pPr>
        <w:rPr>
          <w:rFonts w:ascii="Arial Black" w:hAnsi="Arial Black"/>
          <w:b/>
          <w:sz w:val="24"/>
          <w:szCs w:val="24"/>
        </w:rPr>
      </w:pPr>
    </w:p>
    <w:p w14:paraId="4EC3DA5B" w14:textId="77777777" w:rsidR="007540BD" w:rsidRDefault="007540BD" w:rsidP="00DE0F03">
      <w:pPr>
        <w:rPr>
          <w:rFonts w:ascii="Arial Black" w:hAnsi="Arial Black"/>
          <w:b/>
          <w:sz w:val="24"/>
          <w:szCs w:val="24"/>
        </w:rPr>
      </w:pPr>
    </w:p>
    <w:p w14:paraId="2677AFDE" w14:textId="24A4310E" w:rsidR="00997329" w:rsidRDefault="00997329"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11</w:t>
      </w:r>
    </w:p>
    <w:p w14:paraId="0EE4A794" w14:textId="77777777" w:rsidR="00997329" w:rsidRPr="002E0D51" w:rsidRDefault="00997329" w:rsidP="00997329">
      <w:pPr>
        <w:pStyle w:val="NoSpacing"/>
        <w:rPr>
          <w:rFonts w:ascii="Arial Black" w:hAnsi="Arial Black"/>
          <w:b/>
          <w:bCs/>
          <w:sz w:val="28"/>
          <w:szCs w:val="28"/>
        </w:rPr>
      </w:pPr>
      <w:bookmarkStart w:id="329" w:name="_Hlk41156029"/>
      <w:r w:rsidRPr="002E0D51">
        <w:rPr>
          <w:rFonts w:ascii="Arial Black" w:hAnsi="Arial Black"/>
          <w:bCs/>
          <w:sz w:val="28"/>
          <w:szCs w:val="28"/>
        </w:rPr>
        <w:lastRenderedPageBreak/>
        <w:t xml:space="preserve">MD: </w:t>
      </w:r>
      <w:r>
        <w:rPr>
          <w:rFonts w:ascii="Arial Black" w:hAnsi="Arial Black"/>
          <w:bCs/>
          <w:sz w:val="28"/>
          <w:szCs w:val="28"/>
        </w:rPr>
        <w:t>TWO AFRICAN AMERICANS PROMOTED B/C – BUT LIST HAD EXPIRED - WHITE CAPTAIN PASSED OVER – LAWSUIT PROCEED</w:t>
      </w:r>
    </w:p>
    <w:p w14:paraId="74FDA38B" w14:textId="77777777" w:rsidR="00997329" w:rsidRDefault="00997329" w:rsidP="00997329">
      <w:pPr>
        <w:pStyle w:val="NoSpacing"/>
        <w:rPr>
          <w:b/>
          <w:bCs/>
          <w:sz w:val="24"/>
          <w:szCs w:val="24"/>
        </w:rPr>
      </w:pPr>
    </w:p>
    <w:p w14:paraId="4177EFFA" w14:textId="77777777" w:rsidR="00997329" w:rsidRPr="00465FB3" w:rsidRDefault="00997329" w:rsidP="00997329">
      <w:pPr>
        <w:pStyle w:val="NoSpacing"/>
        <w:rPr>
          <w:rFonts w:ascii="Times New Roman" w:hAnsi="Times New Roman"/>
          <w:b/>
          <w:bCs/>
          <w:sz w:val="24"/>
          <w:szCs w:val="24"/>
        </w:rPr>
      </w:pPr>
      <w:r w:rsidRPr="00465FB3">
        <w:rPr>
          <w:rFonts w:ascii="Times New Roman" w:hAnsi="Times New Roman"/>
          <w:bCs/>
          <w:sz w:val="24"/>
          <w:szCs w:val="24"/>
        </w:rPr>
        <w:t xml:space="preserve">On March 3, 2020, in </w:t>
      </w:r>
      <w:r w:rsidRPr="00465FB3">
        <w:rPr>
          <w:rFonts w:ascii="Times New Roman" w:hAnsi="Times New Roman"/>
          <w:bCs/>
          <w:sz w:val="24"/>
          <w:szCs w:val="24"/>
          <w:u w:val="single"/>
        </w:rPr>
        <w:t>Donald Dziwulski v. Mayor &amp; City Council of Baltimore</w:t>
      </w:r>
      <w:r w:rsidRPr="00465FB3">
        <w:rPr>
          <w:rFonts w:ascii="Times New Roman" w:hAnsi="Times New Roman"/>
          <w:bCs/>
          <w:sz w:val="24"/>
          <w:szCs w:val="24"/>
        </w:rPr>
        <w:t xml:space="preserve">, U.S. Magistrate Judge Deborah L. Boardman, District of Maryland (Northern Division) denied the City’s motion for summary judgment concerning Dziwulski's claim for race discrimination based on failure to promote and his retaliation claim based on the reclassification of Carter's position.   </w:t>
      </w:r>
    </w:p>
    <w:p w14:paraId="313E13A0" w14:textId="77777777" w:rsidR="00997329" w:rsidRPr="00465FB3" w:rsidRDefault="00997329" w:rsidP="00997329">
      <w:pPr>
        <w:pStyle w:val="NoSpacing"/>
        <w:rPr>
          <w:rFonts w:ascii="Times New Roman" w:hAnsi="Times New Roman"/>
          <w:b/>
          <w:bCs/>
          <w:sz w:val="24"/>
          <w:szCs w:val="24"/>
        </w:rPr>
      </w:pPr>
    </w:p>
    <w:p w14:paraId="3583B7BE" w14:textId="77777777" w:rsidR="00997329" w:rsidRPr="00465FB3" w:rsidRDefault="00997329" w:rsidP="00997329">
      <w:pPr>
        <w:pStyle w:val="NoSpacing"/>
        <w:ind w:left="720"/>
        <w:rPr>
          <w:rFonts w:ascii="Times New Roman" w:hAnsi="Times New Roman"/>
          <w:b/>
          <w:bCs/>
          <w:sz w:val="24"/>
          <w:szCs w:val="24"/>
        </w:rPr>
      </w:pPr>
      <w:r w:rsidRPr="00465FB3">
        <w:rPr>
          <w:rFonts w:ascii="Times New Roman" w:hAnsi="Times New Roman"/>
          <w:bCs/>
          <w:sz w:val="24"/>
          <w:szCs w:val="24"/>
        </w:rPr>
        <w:t xml:space="preserve">“Defendant argues that, throughout the entire process, [then Fire Chief James] Clack was planning to promote Claggett and Stokes into the two new positions. They were ranked first and second on the Eligibles List in effect at the time. To make their promotions possible despite the Board's failure to act on May 8, 2013, Clack promoted them on May 13, 2013, before the Board approved the position…. [But] by the time Clack acted on May 13, 2013, the Eligibles List that included Claggett and Stokes had expired. *** </w:t>
      </w:r>
      <w:r w:rsidRPr="00465FB3">
        <w:rPr>
          <w:rFonts w:ascii="Times New Roman" w:eastAsia="Times New Roman" w:hAnsi="Times New Roman"/>
          <w:bCs/>
          <w:sz w:val="24"/>
          <w:szCs w:val="24"/>
        </w:rPr>
        <w:t xml:space="preserve">On the record before me, Defendant has offered a legitimate, non-discriminatory reason for each of its employment decisions when considered individually. Thus, a reasonable jury, weighing the facts on the record before me as to each employment decision one at a time, could find that no race-based discrimination occurred. Nonetheless, considering the combined effect of these decisions, which collectively ‘undermine the credibility of the employer's stated reasons,’ Captain Dziwulski has identified sufficient evidence of pretext to survive Defendant's Motion for Summary Judgment. *** </w:t>
      </w:r>
      <w:r w:rsidRPr="00465FB3">
        <w:rPr>
          <w:rFonts w:ascii="Times New Roman" w:hAnsi="Times New Roman"/>
          <w:bCs/>
          <w:sz w:val="24"/>
          <w:szCs w:val="24"/>
        </w:rPr>
        <w:t xml:space="preserve">Most significantly, over the course of several months, Captain Dziwulski repeatedly was not selected for promotions for which he was eligible, even though he was ranked first on the Eligibles List in effect at the time. Each time, either African Americans were selected instead of </w:t>
      </w:r>
      <w:proofErr w:type="gramStart"/>
      <w:r w:rsidRPr="00465FB3">
        <w:rPr>
          <w:rFonts w:ascii="Times New Roman" w:hAnsi="Times New Roman"/>
          <w:bCs/>
          <w:sz w:val="24"/>
          <w:szCs w:val="24"/>
        </w:rPr>
        <w:t>him</w:t>
      </w:r>
      <w:proofErr w:type="gramEnd"/>
      <w:r w:rsidRPr="00465FB3">
        <w:rPr>
          <w:rFonts w:ascii="Times New Roman" w:hAnsi="Times New Roman"/>
          <w:bCs/>
          <w:sz w:val="24"/>
          <w:szCs w:val="24"/>
        </w:rPr>
        <w:t xml:space="preserve"> or the position was left open. Considering these events cumulatively, a genuine dispute exists regarding whether the Department's reasons each time were legitimate and non-discriminatory or pretext.”  </w:t>
      </w:r>
      <w:hyperlink r:id="rId1551" w:history="1">
        <w:r w:rsidRPr="00465FB3">
          <w:rPr>
            <w:rStyle w:val="Hyperlink"/>
            <w:rFonts w:ascii="Times New Roman" w:hAnsi="Times New Roman"/>
            <w:bCs/>
            <w:sz w:val="24"/>
            <w:szCs w:val="24"/>
          </w:rPr>
          <w:t>https://public.fastcase.com/Wl%2B2t%2BeVuI35%2FN70vAMFZtTeqjzzEnlP0E9gnOJzg5Beu%2B8e3Ta9mPaMkCNr0Gg4</w:t>
        </w:r>
      </w:hyperlink>
    </w:p>
    <w:p w14:paraId="192CCCF7" w14:textId="77777777" w:rsidR="00997329" w:rsidRPr="00465FB3" w:rsidRDefault="00997329" w:rsidP="00997329">
      <w:pPr>
        <w:pStyle w:val="NoSpacing"/>
        <w:rPr>
          <w:rFonts w:ascii="Times New Roman" w:hAnsi="Times New Roman"/>
          <w:b/>
          <w:bCs/>
          <w:sz w:val="24"/>
          <w:szCs w:val="24"/>
        </w:rPr>
      </w:pPr>
    </w:p>
    <w:p w14:paraId="3675267C" w14:textId="77777777" w:rsidR="00997329" w:rsidRPr="00465FB3" w:rsidRDefault="00997329" w:rsidP="00997329">
      <w:pPr>
        <w:pStyle w:val="NoSpacing"/>
        <w:tabs>
          <w:tab w:val="left" w:pos="2860"/>
        </w:tabs>
        <w:rPr>
          <w:rFonts w:ascii="Times New Roman" w:hAnsi="Times New Roman"/>
          <w:b/>
          <w:bCs/>
          <w:sz w:val="24"/>
          <w:szCs w:val="24"/>
        </w:rPr>
      </w:pPr>
      <w:r w:rsidRPr="00465FB3">
        <w:rPr>
          <w:rFonts w:ascii="Times New Roman" w:hAnsi="Times New Roman"/>
          <w:b/>
          <w:bCs/>
          <w:sz w:val="24"/>
          <w:szCs w:val="24"/>
        </w:rPr>
        <w:t xml:space="preserve">Legal Lessons Learned: Making promotions from expired lists can lead to litigation.  </w:t>
      </w:r>
    </w:p>
    <w:bookmarkEnd w:id="329"/>
    <w:p w14:paraId="7246B3B0" w14:textId="77777777" w:rsidR="00997329" w:rsidRDefault="00997329" w:rsidP="00DE0F03">
      <w:pPr>
        <w:rPr>
          <w:rFonts w:ascii="Arial Black" w:hAnsi="Arial Black"/>
          <w:b/>
          <w:sz w:val="24"/>
          <w:szCs w:val="24"/>
        </w:rPr>
      </w:pPr>
    </w:p>
    <w:p w14:paraId="3D7129FC" w14:textId="504F350F" w:rsidR="00177094" w:rsidRDefault="00177094"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0</w:t>
      </w:r>
    </w:p>
    <w:p w14:paraId="71EC4F1F" w14:textId="77777777" w:rsidR="00177094" w:rsidRPr="00255FB0" w:rsidRDefault="00177094" w:rsidP="00177094">
      <w:pPr>
        <w:pStyle w:val="NoSpacing"/>
        <w:rPr>
          <w:rFonts w:ascii="Arial Black" w:hAnsi="Arial Black"/>
          <w:b/>
          <w:bCs/>
          <w:sz w:val="28"/>
          <w:szCs w:val="28"/>
        </w:rPr>
      </w:pPr>
      <w:r>
        <w:rPr>
          <w:rFonts w:ascii="Arial Black" w:hAnsi="Arial Black"/>
          <w:bCs/>
          <w:sz w:val="28"/>
          <w:szCs w:val="28"/>
        </w:rPr>
        <w:t>GA: KNEE SURGERY – FF NOT ALLOWED BACK TO WORK – LAWSUIT DISMISSED SINCE DIDN’T FILE IN 90 DAYS OF EEOC LETTER</w:t>
      </w:r>
    </w:p>
    <w:p w14:paraId="11A45DF0" w14:textId="77777777" w:rsidR="00177094" w:rsidRDefault="00177094" w:rsidP="00177094">
      <w:pPr>
        <w:pStyle w:val="NoSpacing"/>
        <w:rPr>
          <w:b/>
          <w:bCs/>
          <w:sz w:val="24"/>
          <w:szCs w:val="24"/>
        </w:rPr>
      </w:pPr>
    </w:p>
    <w:p w14:paraId="69B47576" w14:textId="77777777"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Jan. 23, 2020, in </w:t>
      </w:r>
      <w:r w:rsidRPr="004236BE">
        <w:rPr>
          <w:rFonts w:ascii="Times New Roman" w:hAnsi="Times New Roman"/>
          <w:bCs/>
          <w:sz w:val="24"/>
          <w:szCs w:val="24"/>
          <w:u w:val="single"/>
        </w:rPr>
        <w:t>Derek Lee Colson v. City of Thomasville, et al.</w:t>
      </w:r>
      <w:r w:rsidRPr="004236BE">
        <w:rPr>
          <w:rFonts w:ascii="Times New Roman" w:hAnsi="Times New Roman"/>
          <w:bCs/>
          <w:sz w:val="24"/>
          <w:szCs w:val="24"/>
        </w:rPr>
        <w:t xml:space="preserve">, U.S. District Court Senior Judge Hugh Lawson, U.S. District Court for Middle District of Georgia, Valdosta Division, granted defendants motion for summary judgment and dismissed his lawsuit for failure to file within 90 days of the EEOC’s Right </w:t>
      </w:r>
      <w:proofErr w:type="gramStart"/>
      <w:r w:rsidRPr="004236BE">
        <w:rPr>
          <w:rFonts w:ascii="Times New Roman" w:hAnsi="Times New Roman"/>
          <w:bCs/>
          <w:sz w:val="24"/>
          <w:szCs w:val="24"/>
        </w:rPr>
        <w:t>To</w:t>
      </w:r>
      <w:proofErr w:type="gramEnd"/>
      <w:r w:rsidRPr="004236BE">
        <w:rPr>
          <w:rFonts w:ascii="Times New Roman" w:hAnsi="Times New Roman"/>
          <w:bCs/>
          <w:sz w:val="24"/>
          <w:szCs w:val="24"/>
        </w:rPr>
        <w:t xml:space="preserve"> Sue letter.</w:t>
      </w:r>
    </w:p>
    <w:p w14:paraId="4B0B0F53" w14:textId="77777777" w:rsidR="00177094" w:rsidRPr="004236BE" w:rsidRDefault="00177094" w:rsidP="00177094">
      <w:pPr>
        <w:pStyle w:val="NoSpacing"/>
        <w:rPr>
          <w:rFonts w:ascii="Times New Roman" w:hAnsi="Times New Roman"/>
          <w:b/>
          <w:bCs/>
          <w:sz w:val="24"/>
          <w:szCs w:val="24"/>
        </w:rPr>
      </w:pPr>
    </w:p>
    <w:p w14:paraId="0257CCBB"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“The undisputed evidence is that the EEOC mailed a Dismissal and Notice of Rights to Plaintiff on October 26, 2017. (Doc. 23-3). There is no evidence in the record beyond Plaintiff’s unsupported statement that the original notice was not delivered. Accepting this statement alone without further explanation would permit Plaintiff to enjoy a ‘manipulable, open-ended time extension,’ which the Eleventh Circuit has opined would ‘render the statutory minimum meaningless.’ *** Plaintiff did not file his Complaint until August 21, 2018 – 296 later. Plaintiff’s Complaint is therefore time-barred.”  </w:t>
      </w:r>
      <w:hyperlink r:id="rId1552" w:history="1">
        <w:r w:rsidRPr="004236BE">
          <w:rPr>
            <w:rStyle w:val="Hyperlink"/>
            <w:rFonts w:ascii="Times New Roman" w:hAnsi="Times New Roman"/>
            <w:b/>
            <w:sz w:val="24"/>
            <w:szCs w:val="24"/>
          </w:rPr>
          <w:t>https://ecf.gamd.uscourts.gov/cgi-bin/show_public_doc?2018-00132-29-7-cv</w:t>
        </w:r>
      </w:hyperlink>
      <w:r w:rsidRPr="004236BE">
        <w:rPr>
          <w:rFonts w:ascii="Times New Roman" w:hAnsi="Times New Roman"/>
          <w:bCs/>
          <w:sz w:val="24"/>
          <w:szCs w:val="24"/>
        </w:rPr>
        <w:t xml:space="preserve">  </w:t>
      </w:r>
    </w:p>
    <w:p w14:paraId="5AC697F4" w14:textId="77777777" w:rsidR="00177094" w:rsidRDefault="00177094" w:rsidP="00177094">
      <w:pPr>
        <w:pStyle w:val="NoSpacing"/>
        <w:rPr>
          <w:rFonts w:ascii="Times New Roman" w:hAnsi="Times New Roman"/>
          <w:b/>
          <w:bCs/>
          <w:sz w:val="24"/>
          <w:szCs w:val="24"/>
        </w:rPr>
      </w:pPr>
    </w:p>
    <w:p w14:paraId="51333060" w14:textId="33D3ADFD" w:rsidR="00177094" w:rsidRPr="004236BE" w:rsidRDefault="00177094" w:rsidP="00177094">
      <w:pPr>
        <w:pStyle w:val="NoSpacing"/>
        <w:rPr>
          <w:rFonts w:ascii="Times New Roman" w:hAnsi="Times New Roman"/>
          <w:b/>
          <w:bCs/>
          <w:sz w:val="24"/>
          <w:szCs w:val="24"/>
        </w:rPr>
      </w:pPr>
      <w:r w:rsidRPr="004236BE">
        <w:rPr>
          <w:rFonts w:ascii="Times New Roman" w:hAnsi="Times New Roman"/>
          <w:b/>
          <w:bCs/>
          <w:sz w:val="24"/>
          <w:szCs w:val="24"/>
        </w:rPr>
        <w:lastRenderedPageBreak/>
        <w:t xml:space="preserve">Legal Lessoned Learned:  Title VII requires lawsuit to be filed within 90 days of EEOC “Right </w:t>
      </w:r>
      <w:proofErr w:type="gramStart"/>
      <w:r w:rsidRPr="004236BE">
        <w:rPr>
          <w:rFonts w:ascii="Times New Roman" w:hAnsi="Times New Roman"/>
          <w:b/>
          <w:bCs/>
          <w:sz w:val="24"/>
          <w:szCs w:val="24"/>
        </w:rPr>
        <w:t>To</w:t>
      </w:r>
      <w:proofErr w:type="gramEnd"/>
      <w:r w:rsidRPr="004236BE">
        <w:rPr>
          <w:rFonts w:ascii="Times New Roman" w:hAnsi="Times New Roman"/>
          <w:b/>
          <w:bCs/>
          <w:sz w:val="24"/>
          <w:szCs w:val="24"/>
        </w:rPr>
        <w:t xml:space="preserve"> Sue” letter; if don’t have an attorney, need to make sure EEOC has your correct address, and periodically check on status of EEOC investigation. </w:t>
      </w:r>
    </w:p>
    <w:p w14:paraId="4C158DC3" w14:textId="77777777" w:rsidR="00177094" w:rsidRDefault="00177094" w:rsidP="00DE0F03">
      <w:pPr>
        <w:rPr>
          <w:rFonts w:ascii="Arial Black" w:hAnsi="Arial Black"/>
          <w:b/>
          <w:sz w:val="24"/>
          <w:szCs w:val="24"/>
        </w:rPr>
      </w:pPr>
    </w:p>
    <w:p w14:paraId="61C80C2B" w14:textId="77777777" w:rsidR="00177094" w:rsidRDefault="00177094" w:rsidP="00DE0F03">
      <w:pPr>
        <w:rPr>
          <w:rFonts w:ascii="Arial Black" w:hAnsi="Arial Black"/>
          <w:b/>
          <w:sz w:val="24"/>
          <w:szCs w:val="24"/>
        </w:rPr>
      </w:pPr>
    </w:p>
    <w:p w14:paraId="433413FB" w14:textId="7FE87610" w:rsidR="00A06387" w:rsidRDefault="00A06387"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9</w:t>
      </w:r>
    </w:p>
    <w:p w14:paraId="55C60D6F" w14:textId="6345C3BC" w:rsidR="00A06387" w:rsidRDefault="00A06387" w:rsidP="00A06387">
      <w:pPr>
        <w:pStyle w:val="NoSpacing"/>
        <w:rPr>
          <w:rFonts w:ascii="Arial Black" w:hAnsi="Arial Black"/>
          <w:bCs/>
          <w:sz w:val="28"/>
          <w:szCs w:val="28"/>
        </w:rPr>
      </w:pPr>
      <w:r w:rsidRPr="00AE7062">
        <w:rPr>
          <w:rFonts w:ascii="Arial Black" w:hAnsi="Arial Black"/>
          <w:bCs/>
          <w:sz w:val="28"/>
          <w:szCs w:val="28"/>
        </w:rPr>
        <w:t>AL</w:t>
      </w:r>
      <w:r>
        <w:rPr>
          <w:rFonts w:ascii="Arial Black" w:hAnsi="Arial Black"/>
          <w:bCs/>
          <w:sz w:val="28"/>
          <w:szCs w:val="28"/>
        </w:rPr>
        <w:t>: CAPT. (AFRICAN</w:t>
      </w:r>
      <w:r w:rsidR="00BF4DDE">
        <w:rPr>
          <w:rFonts w:ascii="Arial Black" w:hAnsi="Arial Black"/>
          <w:bCs/>
          <w:sz w:val="28"/>
          <w:szCs w:val="28"/>
        </w:rPr>
        <w:t xml:space="preserve"> </w:t>
      </w:r>
      <w:r>
        <w:rPr>
          <w:rFonts w:ascii="Arial Black" w:hAnsi="Arial Black"/>
          <w:bCs/>
          <w:sz w:val="28"/>
          <w:szCs w:val="28"/>
        </w:rPr>
        <w:t>AMERICAN) CLAIMED FIRE CHIEF</w:t>
      </w:r>
      <w:r w:rsidRPr="00AE7062">
        <w:rPr>
          <w:rFonts w:ascii="Arial Black" w:hAnsi="Arial Black"/>
          <w:bCs/>
          <w:sz w:val="28"/>
          <w:szCs w:val="28"/>
        </w:rPr>
        <w:t xml:space="preserve"> </w:t>
      </w:r>
      <w:r>
        <w:rPr>
          <w:rFonts w:ascii="Arial Black" w:hAnsi="Arial Black"/>
          <w:bCs/>
          <w:sz w:val="28"/>
          <w:szCs w:val="28"/>
        </w:rPr>
        <w:t>(ALSO AFRICAN</w:t>
      </w:r>
      <w:r w:rsidR="00BF4DDE">
        <w:rPr>
          <w:rFonts w:ascii="Arial Black" w:hAnsi="Arial Black"/>
          <w:bCs/>
          <w:sz w:val="28"/>
          <w:szCs w:val="28"/>
        </w:rPr>
        <w:t xml:space="preserve"> </w:t>
      </w:r>
      <w:r>
        <w:rPr>
          <w:rFonts w:ascii="Arial Black" w:hAnsi="Arial Black"/>
          <w:bCs/>
          <w:sz w:val="28"/>
          <w:szCs w:val="28"/>
        </w:rPr>
        <w:t xml:space="preserve">AMERICAN) PROMOTED SAME RACE OF PRIOR PERSON IN POSITION </w:t>
      </w:r>
    </w:p>
    <w:p w14:paraId="29FE3B16" w14:textId="77777777" w:rsidR="00A06387" w:rsidRDefault="00A06387" w:rsidP="00A06387">
      <w:pPr>
        <w:pStyle w:val="NoSpacing"/>
        <w:rPr>
          <w:rFonts w:ascii="Arial Black" w:hAnsi="Arial Black"/>
          <w:b/>
          <w:bCs/>
          <w:sz w:val="28"/>
          <w:szCs w:val="28"/>
        </w:rPr>
      </w:pPr>
    </w:p>
    <w:p w14:paraId="192D73B7" w14:textId="77777777" w:rsidR="00A06387" w:rsidRPr="00BF4DDE" w:rsidRDefault="00A06387" w:rsidP="00A06387">
      <w:pPr>
        <w:pStyle w:val="NoSpacing"/>
        <w:rPr>
          <w:rFonts w:ascii="Times New Roman" w:hAnsi="Times New Roman"/>
          <w:b/>
          <w:bCs/>
          <w:sz w:val="24"/>
          <w:szCs w:val="24"/>
        </w:rPr>
      </w:pPr>
      <w:r w:rsidRPr="00BF4DDE">
        <w:rPr>
          <w:rFonts w:ascii="Times New Roman" w:hAnsi="Times New Roman"/>
          <w:bCs/>
          <w:sz w:val="24"/>
          <w:szCs w:val="24"/>
        </w:rPr>
        <w:t xml:space="preserve">On Oct. 24, 2919, in </w:t>
      </w:r>
      <w:r w:rsidRPr="00BF4DDE">
        <w:rPr>
          <w:rFonts w:ascii="Times New Roman" w:hAnsi="Times New Roman"/>
          <w:bCs/>
          <w:sz w:val="24"/>
          <w:szCs w:val="24"/>
          <w:u w:val="single"/>
        </w:rPr>
        <w:t>Franklin Edwards v. City of Selma</w:t>
      </w:r>
      <w:r w:rsidRPr="00BF4DDE">
        <w:rPr>
          <w:rFonts w:ascii="Times New Roman" w:hAnsi="Times New Roman"/>
          <w:bCs/>
          <w:sz w:val="24"/>
          <w:szCs w:val="24"/>
        </w:rPr>
        <w:t xml:space="preserve">, U.S. District Court Judge Jeffrey U. </w:t>
      </w:r>
      <w:proofErr w:type="spellStart"/>
      <w:r w:rsidRPr="00BF4DDE">
        <w:rPr>
          <w:rFonts w:ascii="Times New Roman" w:hAnsi="Times New Roman"/>
          <w:bCs/>
          <w:sz w:val="24"/>
          <w:szCs w:val="24"/>
        </w:rPr>
        <w:t>Beaverstock</w:t>
      </w:r>
      <w:proofErr w:type="spellEnd"/>
      <w:r w:rsidRPr="00BF4DDE">
        <w:rPr>
          <w:rFonts w:ascii="Times New Roman" w:hAnsi="Times New Roman"/>
          <w:bCs/>
          <w:sz w:val="24"/>
          <w:szCs w:val="24"/>
        </w:rPr>
        <w:t xml:space="preserve">, U.S. District Court for the Southern District of Alabama (Northern Division) granted summary judgment for the </w:t>
      </w:r>
      <w:proofErr w:type="gramStart"/>
      <w:r w:rsidRPr="00BF4DDE">
        <w:rPr>
          <w:rFonts w:ascii="Times New Roman" w:hAnsi="Times New Roman"/>
          <w:bCs/>
          <w:sz w:val="24"/>
          <w:szCs w:val="24"/>
        </w:rPr>
        <w:t>City</w:t>
      </w:r>
      <w:proofErr w:type="gramEnd"/>
      <w:r w:rsidRPr="00BF4DDE">
        <w:rPr>
          <w:rFonts w:ascii="Times New Roman" w:hAnsi="Times New Roman"/>
          <w:bCs/>
          <w:sz w:val="24"/>
          <w:szCs w:val="24"/>
        </w:rPr>
        <w:t xml:space="preserve">.  </w:t>
      </w:r>
    </w:p>
    <w:p w14:paraId="7FBCFA36" w14:textId="77777777" w:rsidR="00A06387" w:rsidRPr="00BF4DDE" w:rsidRDefault="00A06387" w:rsidP="00A06387">
      <w:pPr>
        <w:pStyle w:val="NoSpacing"/>
        <w:rPr>
          <w:rFonts w:ascii="Times New Roman" w:hAnsi="Times New Roman"/>
          <w:b/>
          <w:bCs/>
          <w:sz w:val="24"/>
          <w:szCs w:val="24"/>
        </w:rPr>
      </w:pPr>
    </w:p>
    <w:p w14:paraId="082D87F9" w14:textId="150FE24D" w:rsidR="00A06387" w:rsidRPr="00BF4DDE" w:rsidRDefault="00A06387" w:rsidP="00A06387">
      <w:pPr>
        <w:ind w:left="720"/>
        <w:rPr>
          <w:rFonts w:ascii="Times New Roman" w:hAnsi="Times New Roman"/>
          <w:b/>
          <w:sz w:val="24"/>
          <w:szCs w:val="24"/>
        </w:rPr>
      </w:pPr>
      <w:r w:rsidRPr="00BF4DDE">
        <w:rPr>
          <w:rFonts w:ascii="Times New Roman" w:hAnsi="Times New Roman"/>
          <w:bCs/>
          <w:sz w:val="24"/>
          <w:szCs w:val="24"/>
        </w:rPr>
        <w:t>“Selma’s proffered reasons for failing to recommend or promote Plaintiff to a ‘Chief-level’ position include that applicants who received recommendations and promotions had been with the Fire Department longer than Plaintiff and had fewer disciplinary infractions… Selma has presented evidence that each candidate who received a ‘Chief-level’ recommendation and promotion was with the Fire Department longer than Plaintiff and/or had fewer disciplinary infractions than Plaintiff. Seniority and disciplinary history are legitimate non-discriminatory reasons for Stephens’ recommendations for promotion.</w:t>
      </w:r>
      <w:r w:rsidR="00BF4DDE">
        <w:rPr>
          <w:rFonts w:ascii="Times New Roman" w:hAnsi="Times New Roman"/>
          <w:bCs/>
          <w:sz w:val="24"/>
          <w:szCs w:val="24"/>
        </w:rPr>
        <w:t xml:space="preserve">” </w:t>
      </w:r>
      <w:hyperlink r:id="rId1553" w:history="1">
        <w:r w:rsidRPr="00BF4DDE">
          <w:rPr>
            <w:rStyle w:val="Hyperlink"/>
            <w:rFonts w:ascii="Times New Roman" w:hAnsi="Times New Roman"/>
            <w:bCs/>
            <w:sz w:val="24"/>
            <w:szCs w:val="24"/>
          </w:rPr>
          <w:t>https://cases.justia.com/federal/district-courts/alabama/alsdce/2:2018cv00293/62967/26/0.pdf?ts=1571995051</w:t>
        </w:r>
      </w:hyperlink>
    </w:p>
    <w:p w14:paraId="3A552CFB" w14:textId="77777777" w:rsidR="00A06387" w:rsidRPr="00BF4DDE" w:rsidRDefault="00A06387" w:rsidP="00A06387">
      <w:pPr>
        <w:pStyle w:val="NoSpacing"/>
        <w:rPr>
          <w:rFonts w:ascii="Times New Roman" w:hAnsi="Times New Roman"/>
          <w:b/>
          <w:bCs/>
          <w:sz w:val="24"/>
          <w:szCs w:val="24"/>
        </w:rPr>
      </w:pPr>
      <w:r w:rsidRPr="00BF4DDE">
        <w:rPr>
          <w:rFonts w:ascii="Times New Roman" w:hAnsi="Times New Roman"/>
          <w:b/>
          <w:bCs/>
          <w:sz w:val="24"/>
          <w:szCs w:val="24"/>
        </w:rPr>
        <w:t xml:space="preserve">Legal Lessons Learned:  Plaintiff failed to prove that the </w:t>
      </w:r>
      <w:proofErr w:type="gramStart"/>
      <w:r w:rsidRPr="00BF4DDE">
        <w:rPr>
          <w:rFonts w:ascii="Times New Roman" w:hAnsi="Times New Roman"/>
          <w:b/>
          <w:bCs/>
          <w:sz w:val="24"/>
          <w:szCs w:val="24"/>
        </w:rPr>
        <w:t>Mayor</w:t>
      </w:r>
      <w:proofErr w:type="gramEnd"/>
      <w:r w:rsidRPr="00BF4DDE">
        <w:rPr>
          <w:rFonts w:ascii="Times New Roman" w:hAnsi="Times New Roman"/>
          <w:b/>
          <w:bCs/>
          <w:sz w:val="24"/>
          <w:szCs w:val="24"/>
        </w:rPr>
        <w:t xml:space="preserve"> or other city officials knew about or concurred in the alleged “demographic promotion process.” </w:t>
      </w:r>
    </w:p>
    <w:p w14:paraId="5F60E20B" w14:textId="206CC893" w:rsidR="00A06387" w:rsidRPr="00BF4DDE" w:rsidRDefault="00A06387" w:rsidP="00DE0F03">
      <w:pPr>
        <w:rPr>
          <w:rFonts w:ascii="Times New Roman" w:hAnsi="Times New Roman"/>
          <w:b/>
          <w:sz w:val="24"/>
          <w:szCs w:val="24"/>
        </w:rPr>
      </w:pPr>
    </w:p>
    <w:p w14:paraId="29E0B30F" w14:textId="3744396C" w:rsidR="00A06387" w:rsidRDefault="00A06387"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8</w:t>
      </w:r>
    </w:p>
    <w:p w14:paraId="09723C99" w14:textId="6F581999" w:rsidR="00A06387" w:rsidRPr="00864E92" w:rsidRDefault="00A06387" w:rsidP="00A06387">
      <w:pPr>
        <w:pStyle w:val="NoSpacing"/>
        <w:rPr>
          <w:rFonts w:ascii="Arial Black" w:hAnsi="Arial Black"/>
          <w:sz w:val="28"/>
          <w:szCs w:val="28"/>
        </w:rPr>
      </w:pPr>
      <w:bookmarkStart w:id="330" w:name="_Hlk39765060"/>
      <w:r>
        <w:rPr>
          <w:rFonts w:ascii="Arial Black" w:hAnsi="Arial Black"/>
          <w:sz w:val="28"/>
          <w:szCs w:val="28"/>
        </w:rPr>
        <w:t>GA:  APPLICANT (AFRICAN</w:t>
      </w:r>
      <w:r w:rsidR="00BF4DDE">
        <w:rPr>
          <w:rFonts w:ascii="Arial Black" w:hAnsi="Arial Black"/>
          <w:sz w:val="28"/>
          <w:szCs w:val="28"/>
        </w:rPr>
        <w:t xml:space="preserve"> </w:t>
      </w:r>
      <w:r>
        <w:rPr>
          <w:rFonts w:ascii="Arial Black" w:hAnsi="Arial Black"/>
          <w:sz w:val="28"/>
          <w:szCs w:val="28"/>
        </w:rPr>
        <w:t xml:space="preserve">AMERICAN) FOR FIRE CHIEF NOT SELECTED – IN HOUSE CANDIDATE MORE QUALIFIED, EVEN IF NO DEGREE </w:t>
      </w:r>
    </w:p>
    <w:p w14:paraId="7E8B6D34" w14:textId="77777777" w:rsidR="00A06387" w:rsidRDefault="00A06387" w:rsidP="00A06387">
      <w:pPr>
        <w:pStyle w:val="NoSpacing"/>
      </w:pPr>
    </w:p>
    <w:p w14:paraId="45E969DD" w14:textId="77777777" w:rsidR="00A06387" w:rsidRPr="00BF4DDE" w:rsidRDefault="00A06387" w:rsidP="00A06387">
      <w:pPr>
        <w:pStyle w:val="NoSpacing"/>
        <w:rPr>
          <w:rFonts w:ascii="Times New Roman" w:hAnsi="Times New Roman"/>
          <w:b/>
          <w:bCs/>
          <w:sz w:val="24"/>
          <w:szCs w:val="24"/>
        </w:rPr>
      </w:pPr>
      <w:r w:rsidRPr="00BF4DDE">
        <w:rPr>
          <w:rFonts w:ascii="Times New Roman" w:hAnsi="Times New Roman"/>
          <w:bCs/>
          <w:sz w:val="24"/>
          <w:szCs w:val="24"/>
        </w:rPr>
        <w:t xml:space="preserve">On Oct. 4, 2019, in </w:t>
      </w:r>
      <w:r w:rsidRPr="00BF4DDE">
        <w:rPr>
          <w:rFonts w:ascii="Times New Roman" w:hAnsi="Times New Roman"/>
          <w:bCs/>
          <w:sz w:val="24"/>
          <w:szCs w:val="24"/>
          <w:u w:val="single"/>
        </w:rPr>
        <w:t>Roderick Jolivette v. City of Americus, Georgia</w:t>
      </w:r>
      <w:r w:rsidRPr="00BF4DDE">
        <w:rPr>
          <w:rFonts w:ascii="Times New Roman" w:hAnsi="Times New Roman"/>
          <w:bCs/>
          <w:sz w:val="24"/>
          <w:szCs w:val="24"/>
        </w:rPr>
        <w:t>, the U.S. Court of Appeals for 11</w:t>
      </w:r>
      <w:r w:rsidRPr="00BF4DDE">
        <w:rPr>
          <w:rFonts w:ascii="Times New Roman" w:hAnsi="Times New Roman"/>
          <w:bCs/>
          <w:sz w:val="24"/>
          <w:szCs w:val="24"/>
          <w:vertAlign w:val="superscript"/>
        </w:rPr>
        <w:t>th</w:t>
      </w:r>
      <w:r w:rsidRPr="00BF4DDE">
        <w:rPr>
          <w:rFonts w:ascii="Times New Roman" w:hAnsi="Times New Roman"/>
          <w:bCs/>
          <w:sz w:val="24"/>
          <w:szCs w:val="24"/>
        </w:rPr>
        <w:t xml:space="preserve"> Circuit (Atlanta) held 3 to 0 (unpublished opinion), upheld the U.S. District Court judge’s decision granting summary judgment to the City.  </w:t>
      </w:r>
    </w:p>
    <w:p w14:paraId="268F146F" w14:textId="77777777" w:rsidR="00A06387" w:rsidRPr="00BF4DDE" w:rsidRDefault="00A06387" w:rsidP="00A06387">
      <w:pPr>
        <w:pStyle w:val="NoSpacing"/>
        <w:rPr>
          <w:rFonts w:ascii="Times New Roman" w:hAnsi="Times New Roman"/>
          <w:b/>
          <w:bCs/>
          <w:sz w:val="24"/>
          <w:szCs w:val="24"/>
        </w:rPr>
      </w:pPr>
    </w:p>
    <w:p w14:paraId="5A0FB54C" w14:textId="77777777" w:rsidR="00A06387" w:rsidRPr="00BF4DDE" w:rsidRDefault="00A06387" w:rsidP="00A06387">
      <w:pPr>
        <w:pStyle w:val="NoSpacing"/>
        <w:ind w:left="720"/>
        <w:rPr>
          <w:rFonts w:ascii="Times New Roman" w:hAnsi="Times New Roman"/>
          <w:b/>
          <w:bCs/>
          <w:sz w:val="24"/>
          <w:szCs w:val="24"/>
        </w:rPr>
      </w:pPr>
      <w:r w:rsidRPr="00BF4DDE">
        <w:rPr>
          <w:rFonts w:ascii="Times New Roman" w:hAnsi="Times New Roman"/>
          <w:sz w:val="24"/>
          <w:szCs w:val="24"/>
        </w:rPr>
        <w:t>“</w:t>
      </w:r>
      <w:r w:rsidRPr="00BF4DDE">
        <w:rPr>
          <w:rFonts w:ascii="Times New Roman" w:hAnsi="Times New Roman"/>
          <w:bCs/>
          <w:sz w:val="24"/>
          <w:szCs w:val="24"/>
        </w:rPr>
        <w:t xml:space="preserve">Although Jolivette possessed a bachelor’s degree, as required in the job posting, the City policies weighed equally candidates who possessed an “equivalent combination of education, training, and experience.” Dee Jones, the human resources director for the </w:t>
      </w:r>
      <w:proofErr w:type="gramStart"/>
      <w:r w:rsidRPr="00BF4DDE">
        <w:rPr>
          <w:rFonts w:ascii="Times New Roman" w:hAnsi="Times New Roman"/>
          <w:bCs/>
          <w:sz w:val="24"/>
          <w:szCs w:val="24"/>
        </w:rPr>
        <w:t>City</w:t>
      </w:r>
      <w:proofErr w:type="gramEnd"/>
      <w:r w:rsidRPr="00BF4DDE">
        <w:rPr>
          <w:rFonts w:ascii="Times New Roman" w:hAnsi="Times New Roman"/>
          <w:bCs/>
          <w:sz w:val="24"/>
          <w:szCs w:val="24"/>
        </w:rPr>
        <w:t>, testified that [Roger] Bivins qualified for the position of Fire Chief ‘because of the totality’ of his skills, experience, and education, as provided for in the job posting and ‘our job description.’ Jolivette does not dispute that Bivins possessed skills, experience, and abilities that ‘substitute[d] for a lack of a college degree.’”</w:t>
      </w:r>
    </w:p>
    <w:p w14:paraId="27AB0FAF" w14:textId="46A71A7C" w:rsidR="00A06387" w:rsidRPr="00BF4DDE" w:rsidRDefault="00A06387" w:rsidP="00A06387">
      <w:pPr>
        <w:pStyle w:val="NoSpacing"/>
        <w:ind w:left="720"/>
        <w:rPr>
          <w:rFonts w:ascii="Times New Roman" w:hAnsi="Times New Roman"/>
          <w:bCs/>
          <w:sz w:val="24"/>
          <w:szCs w:val="24"/>
        </w:rPr>
      </w:pPr>
      <w:hyperlink r:id="rId1554" w:history="1">
        <w:r w:rsidRPr="00BF4DDE">
          <w:rPr>
            <w:rStyle w:val="Hyperlink"/>
            <w:rFonts w:ascii="Times New Roman" w:hAnsi="Times New Roman"/>
            <w:bCs/>
            <w:sz w:val="24"/>
            <w:szCs w:val="24"/>
          </w:rPr>
          <w:t>https://cases.justia.com/federal/appellate-courts/ca11/19-10138/19-10138-2019-10-04.pdf?ts=1570197627</w:t>
        </w:r>
      </w:hyperlink>
      <w:bookmarkEnd w:id="330"/>
      <w:r w:rsidRPr="00BF4DDE">
        <w:rPr>
          <w:rFonts w:ascii="Times New Roman" w:hAnsi="Times New Roman"/>
          <w:bCs/>
          <w:sz w:val="24"/>
          <w:szCs w:val="24"/>
        </w:rPr>
        <w:t xml:space="preserve"> </w:t>
      </w:r>
    </w:p>
    <w:p w14:paraId="541F3065" w14:textId="77777777" w:rsidR="00BF4DDE" w:rsidRDefault="00BF4DDE" w:rsidP="00A06387">
      <w:pPr>
        <w:pStyle w:val="NoSpacing"/>
        <w:rPr>
          <w:rFonts w:ascii="Times New Roman" w:hAnsi="Times New Roman"/>
          <w:b/>
          <w:bCs/>
          <w:sz w:val="24"/>
          <w:szCs w:val="24"/>
        </w:rPr>
      </w:pPr>
    </w:p>
    <w:p w14:paraId="5A9015F3" w14:textId="76C0BF90" w:rsidR="00A06387" w:rsidRPr="00BF4DDE" w:rsidRDefault="00A06387" w:rsidP="00A06387">
      <w:pPr>
        <w:pStyle w:val="NoSpacing"/>
        <w:rPr>
          <w:rFonts w:ascii="Times New Roman" w:hAnsi="Times New Roman"/>
          <w:b/>
          <w:bCs/>
          <w:sz w:val="24"/>
          <w:szCs w:val="24"/>
        </w:rPr>
      </w:pPr>
      <w:bookmarkStart w:id="331" w:name="_Hlk40511568"/>
      <w:r w:rsidRPr="00BF4DDE">
        <w:rPr>
          <w:rFonts w:ascii="Times New Roman" w:hAnsi="Times New Roman"/>
          <w:b/>
          <w:bCs/>
          <w:sz w:val="24"/>
          <w:szCs w:val="24"/>
        </w:rPr>
        <w:t>Legal Lessons Learned: Using panel</w:t>
      </w:r>
      <w:r w:rsidR="00363F33">
        <w:rPr>
          <w:rFonts w:ascii="Times New Roman" w:hAnsi="Times New Roman"/>
          <w:b/>
          <w:bCs/>
          <w:sz w:val="24"/>
          <w:szCs w:val="24"/>
        </w:rPr>
        <w:t xml:space="preserve"> of experienced senior officers from other FDs to </w:t>
      </w:r>
      <w:r w:rsidRPr="00BF4DDE">
        <w:rPr>
          <w:rFonts w:ascii="Times New Roman" w:hAnsi="Times New Roman"/>
          <w:b/>
          <w:bCs/>
          <w:sz w:val="24"/>
          <w:szCs w:val="24"/>
        </w:rPr>
        <w:t xml:space="preserve">rate candidates for Fire Chief is a great process. </w:t>
      </w:r>
    </w:p>
    <w:p w14:paraId="64A6F500" w14:textId="77777777" w:rsidR="00A06387" w:rsidRPr="00656FC7" w:rsidRDefault="00A06387" w:rsidP="00A06387">
      <w:pPr>
        <w:pStyle w:val="NoSpacing"/>
        <w:rPr>
          <w:b/>
          <w:bCs/>
          <w:sz w:val="24"/>
          <w:szCs w:val="24"/>
        </w:rPr>
      </w:pPr>
    </w:p>
    <w:bookmarkEnd w:id="331"/>
    <w:p w14:paraId="13AFCE75" w14:textId="77777777" w:rsidR="00A06387" w:rsidRDefault="00A06387" w:rsidP="00A06387">
      <w:pPr>
        <w:pStyle w:val="NoSpacing"/>
        <w:ind w:left="720"/>
        <w:rPr>
          <w:b/>
          <w:bCs/>
          <w:sz w:val="24"/>
          <w:szCs w:val="24"/>
        </w:rPr>
      </w:pPr>
    </w:p>
    <w:p w14:paraId="23581D50" w14:textId="77777777" w:rsidR="00A06387" w:rsidRDefault="00A06387" w:rsidP="00DE0F03">
      <w:pPr>
        <w:rPr>
          <w:rFonts w:ascii="Arial Black" w:hAnsi="Arial Black"/>
          <w:b/>
          <w:sz w:val="24"/>
          <w:szCs w:val="24"/>
        </w:rPr>
      </w:pPr>
    </w:p>
    <w:p w14:paraId="5D9956D6" w14:textId="11E6F5CA" w:rsidR="00853142" w:rsidRDefault="00853142"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7</w:t>
      </w:r>
    </w:p>
    <w:p w14:paraId="045FC81B" w14:textId="77777777" w:rsidR="00853142" w:rsidRDefault="00853142" w:rsidP="00853142">
      <w:pPr>
        <w:pStyle w:val="NoSpacing"/>
        <w:rPr>
          <w:rFonts w:ascii="Arial Black" w:hAnsi="Arial Black"/>
          <w:sz w:val="28"/>
          <w:szCs w:val="28"/>
        </w:rPr>
      </w:pPr>
      <w:bookmarkStart w:id="332" w:name="_Hlk40511653"/>
      <w:r>
        <w:rPr>
          <w:rFonts w:ascii="Arial Black" w:hAnsi="Arial Black"/>
          <w:sz w:val="28"/>
          <w:szCs w:val="28"/>
        </w:rPr>
        <w:t xml:space="preserve">LA: BLACK EMS CAPT. – NITROGLYCERIN WAS FOR MOUTH, NOT CHEST – SUSPENSION / REMEDIATION PROPER - NOT RACE / GENDER </w:t>
      </w:r>
    </w:p>
    <w:p w14:paraId="698C6FE6" w14:textId="77777777" w:rsidR="00853142" w:rsidRDefault="00853142" w:rsidP="00853142">
      <w:pPr>
        <w:pStyle w:val="NoSpacing"/>
      </w:pPr>
    </w:p>
    <w:p w14:paraId="4BADBE52" w14:textId="66241236" w:rsidR="00853142" w:rsidRDefault="00853142" w:rsidP="00853142">
      <w:pPr>
        <w:pStyle w:val="NoSpacing"/>
        <w:rPr>
          <w:rFonts w:ascii="Times New Roman" w:hAnsi="Times New Roman"/>
          <w:sz w:val="24"/>
          <w:szCs w:val="24"/>
        </w:rPr>
      </w:pPr>
      <w:r w:rsidRPr="008F2205">
        <w:rPr>
          <w:rFonts w:ascii="Times New Roman" w:hAnsi="Times New Roman"/>
          <w:sz w:val="24"/>
          <w:szCs w:val="24"/>
        </w:rPr>
        <w:t xml:space="preserve">On Sept. 17, 2019, in </w:t>
      </w:r>
      <w:r w:rsidRPr="008F2205">
        <w:rPr>
          <w:rFonts w:ascii="Times New Roman" w:hAnsi="Times New Roman"/>
          <w:sz w:val="24"/>
          <w:szCs w:val="24"/>
          <w:u w:val="single"/>
        </w:rPr>
        <w:t>Deborah Mills v. City of Shreveport</w:t>
      </w:r>
      <w:r w:rsidRPr="008F2205">
        <w:rPr>
          <w:rFonts w:ascii="Times New Roman" w:hAnsi="Times New Roman"/>
          <w:sz w:val="24"/>
          <w:szCs w:val="24"/>
        </w:rPr>
        <w:t xml:space="preserve">, </w:t>
      </w:r>
      <w:r>
        <w:rPr>
          <w:rFonts w:ascii="Times New Roman" w:hAnsi="Times New Roman"/>
          <w:sz w:val="24"/>
          <w:szCs w:val="24"/>
        </w:rPr>
        <w:t>U.S. District Court Judge Terry A. Doughty, U.S. District Court of Louisiana, Western District</w:t>
      </w:r>
      <w:r w:rsidRPr="00D91FDE">
        <w:rPr>
          <w:rFonts w:ascii="Times New Roman" w:hAnsi="Times New Roman"/>
          <w:sz w:val="24"/>
          <w:szCs w:val="24"/>
        </w:rPr>
        <w:t>, Shreveport Division,</w:t>
      </w:r>
      <w:r>
        <w:rPr>
          <w:b/>
          <w:bCs/>
        </w:rPr>
        <w:t xml:space="preserve"> </w:t>
      </w:r>
      <w:r>
        <w:rPr>
          <w:rFonts w:ascii="Times New Roman" w:hAnsi="Times New Roman"/>
          <w:sz w:val="24"/>
          <w:szCs w:val="24"/>
        </w:rPr>
        <w:t xml:space="preserve">dismissed her claim of “hostile work atmosphere.”  He had previously dismissed her race and gender discrimination claims. </w:t>
      </w:r>
      <w:hyperlink r:id="rId1555" w:history="1">
        <w:r w:rsidRPr="00DB571D">
          <w:rPr>
            <w:rStyle w:val="Hyperlink"/>
            <w:rFonts w:ascii="Times New Roman" w:hAnsi="Times New Roman"/>
            <w:sz w:val="24"/>
            <w:szCs w:val="24"/>
          </w:rPr>
          <w:t>https://scholar.google.com/scholar_case?case=2959279778538737103&amp;hl=en&amp;as_sdt=6,36</w:t>
        </w:r>
      </w:hyperlink>
      <w:r>
        <w:rPr>
          <w:rFonts w:ascii="Times New Roman" w:hAnsi="Times New Roman"/>
          <w:sz w:val="24"/>
          <w:szCs w:val="24"/>
        </w:rPr>
        <w:t xml:space="preserve"> </w:t>
      </w:r>
    </w:p>
    <w:bookmarkEnd w:id="332"/>
    <w:p w14:paraId="636B1B9D" w14:textId="77777777" w:rsidR="00853142" w:rsidRPr="008F2205" w:rsidRDefault="00853142" w:rsidP="00853142">
      <w:pPr>
        <w:pStyle w:val="NoSpacing"/>
        <w:rPr>
          <w:rFonts w:ascii="Times New Roman" w:hAnsi="Times New Roman"/>
          <w:sz w:val="24"/>
          <w:szCs w:val="24"/>
        </w:rPr>
      </w:pPr>
      <w:r>
        <w:rPr>
          <w:rFonts w:ascii="Times New Roman" w:hAnsi="Times New Roman"/>
          <w:sz w:val="24"/>
          <w:szCs w:val="24"/>
        </w:rPr>
        <w:t xml:space="preserve"> </w:t>
      </w:r>
    </w:p>
    <w:p w14:paraId="1F0F4F59" w14:textId="77777777"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8F2205">
        <w:rPr>
          <w:rFonts w:ascii="Times New Roman" w:hAnsi="Times New Roman"/>
          <w:sz w:val="24"/>
          <w:szCs w:val="24"/>
        </w:rPr>
        <w:t xml:space="preserve">While Mills may subjectively believe that she has been treated differently and more harshly because of her race and/or gender, neither her subjective belief </w:t>
      </w:r>
      <w:proofErr w:type="gramStart"/>
      <w:r w:rsidRPr="008F2205">
        <w:rPr>
          <w:rFonts w:ascii="Times New Roman" w:hAnsi="Times New Roman"/>
          <w:sz w:val="24"/>
          <w:szCs w:val="24"/>
        </w:rPr>
        <w:t>or</w:t>
      </w:r>
      <w:proofErr w:type="gramEnd"/>
      <w:r w:rsidRPr="008F2205">
        <w:rPr>
          <w:rFonts w:ascii="Times New Roman" w:hAnsi="Times New Roman"/>
          <w:sz w:val="24"/>
          <w:szCs w:val="24"/>
        </w:rPr>
        <w:t xml:space="preserve"> that of others is enough to present this case to a jury. The Court finds that Mills has presented no genuine issue of material fact regarding whether she was subjected to harassment based on race or gender, and therefore she has failed to present a </w:t>
      </w:r>
      <w:r w:rsidRPr="008F2205">
        <w:rPr>
          <w:rFonts w:ascii="Times New Roman" w:hAnsi="Times New Roman"/>
          <w:i/>
          <w:iCs/>
          <w:sz w:val="24"/>
          <w:szCs w:val="24"/>
        </w:rPr>
        <w:t>prima facie</w:t>
      </w:r>
      <w:r w:rsidRPr="008F2205">
        <w:rPr>
          <w:rFonts w:ascii="Times New Roman" w:hAnsi="Times New Roman"/>
          <w:sz w:val="24"/>
          <w:szCs w:val="24"/>
        </w:rPr>
        <w:t xml:space="preserve"> case for a hostile work environment under Title VII. Therefore, the Court GRANTS the City's Motion for Summary Judgment on this remaining claim.</w:t>
      </w:r>
      <w:r>
        <w:rPr>
          <w:rFonts w:ascii="Times New Roman" w:hAnsi="Times New Roman"/>
          <w:sz w:val="24"/>
          <w:szCs w:val="24"/>
        </w:rPr>
        <w:t>”</w:t>
      </w:r>
    </w:p>
    <w:p w14:paraId="2963BFBB" w14:textId="77777777" w:rsidR="00853142" w:rsidRDefault="00853142" w:rsidP="00853142">
      <w:pPr>
        <w:pStyle w:val="NoSpacing"/>
        <w:ind w:left="720"/>
        <w:rPr>
          <w:rFonts w:ascii="Times New Roman" w:hAnsi="Times New Roman"/>
          <w:sz w:val="24"/>
          <w:szCs w:val="24"/>
        </w:rPr>
      </w:pPr>
    </w:p>
    <w:p w14:paraId="72BF3DD3" w14:textId="2228C2EF" w:rsidR="00853142" w:rsidRDefault="00853142" w:rsidP="00853142">
      <w:pPr>
        <w:pStyle w:val="NoSpacing"/>
      </w:pPr>
      <w:r>
        <w:rPr>
          <w:rFonts w:ascii="Times New Roman" w:hAnsi="Times New Roman"/>
          <w:sz w:val="24"/>
          <w:szCs w:val="24"/>
        </w:rPr>
        <w:t xml:space="preserve">On June 21, 2019, her other claims of race and gender discrimination were dismissed: </w:t>
      </w:r>
      <w:hyperlink r:id="rId1556" w:history="1">
        <w:r w:rsidRPr="00062632">
          <w:rPr>
            <w:rStyle w:val="Hyperlink"/>
            <w:rFonts w:ascii="Times New Roman" w:hAnsi="Times New Roman"/>
            <w:sz w:val="24"/>
            <w:szCs w:val="24"/>
          </w:rPr>
          <w:t>https://www.leagle.com/decision/infdco20190624a02</w:t>
        </w:r>
      </w:hyperlink>
      <w:r>
        <w:rPr>
          <w:rFonts w:ascii="Times New Roman" w:hAnsi="Times New Roman"/>
          <w:sz w:val="24"/>
          <w:szCs w:val="24"/>
        </w:rPr>
        <w:t xml:space="preserve">  </w:t>
      </w:r>
    </w:p>
    <w:p w14:paraId="2DB3C023" w14:textId="77777777" w:rsidR="00853142" w:rsidRDefault="00853142" w:rsidP="00853142">
      <w:pPr>
        <w:pStyle w:val="NoSpacing"/>
        <w:rPr>
          <w:rFonts w:ascii="Times New Roman" w:hAnsi="Times New Roman"/>
          <w:sz w:val="24"/>
          <w:szCs w:val="24"/>
        </w:rPr>
      </w:pPr>
    </w:p>
    <w:p w14:paraId="266D51BA" w14:textId="5697C054" w:rsidR="00853142" w:rsidRDefault="00853142" w:rsidP="00853142">
      <w:pPr>
        <w:pStyle w:val="NoSpacing"/>
        <w:rPr>
          <w:rFonts w:ascii="Times New Roman" w:hAnsi="Times New Roman"/>
          <w:b/>
          <w:bCs/>
          <w:sz w:val="24"/>
          <w:szCs w:val="24"/>
        </w:rPr>
      </w:pPr>
      <w:bookmarkStart w:id="333" w:name="_Hlk40511708"/>
      <w:r w:rsidRPr="009871EA">
        <w:rPr>
          <w:rFonts w:ascii="Times New Roman" w:hAnsi="Times New Roman"/>
          <w:b/>
          <w:bCs/>
          <w:sz w:val="24"/>
          <w:szCs w:val="24"/>
        </w:rPr>
        <w:t xml:space="preserve">Legal Lessons Learned:  </w:t>
      </w:r>
      <w:r>
        <w:rPr>
          <w:rFonts w:ascii="Times New Roman" w:hAnsi="Times New Roman"/>
          <w:b/>
          <w:bCs/>
          <w:sz w:val="24"/>
          <w:szCs w:val="24"/>
        </w:rPr>
        <w:t xml:space="preserve">EMS protocols must be followed, and suspension / remediation training is an appropriate corrective action.    </w:t>
      </w:r>
      <w:bookmarkEnd w:id="333"/>
      <w:r>
        <w:rPr>
          <w:rFonts w:ascii="Times New Roman" w:hAnsi="Times New Roman"/>
          <w:b/>
          <w:bCs/>
          <w:sz w:val="24"/>
          <w:szCs w:val="24"/>
        </w:rPr>
        <w:t>[Also filed, Chap. 13, EMS.]</w:t>
      </w:r>
    </w:p>
    <w:p w14:paraId="4AE507B0" w14:textId="77777777" w:rsidR="00853142" w:rsidRDefault="00853142" w:rsidP="00853142">
      <w:pPr>
        <w:pStyle w:val="NoSpacing"/>
        <w:rPr>
          <w:rFonts w:ascii="Times New Roman" w:hAnsi="Times New Roman"/>
          <w:b/>
          <w:bCs/>
          <w:sz w:val="24"/>
          <w:szCs w:val="24"/>
        </w:rPr>
      </w:pPr>
    </w:p>
    <w:p w14:paraId="4AA3AE3A" w14:textId="5F9AEE97" w:rsidR="00853142" w:rsidRDefault="00853142" w:rsidP="00DE0F03">
      <w:pPr>
        <w:rPr>
          <w:rFonts w:ascii="Arial Black" w:hAnsi="Arial Black"/>
          <w:b/>
          <w:sz w:val="24"/>
          <w:szCs w:val="24"/>
        </w:rPr>
      </w:pPr>
    </w:p>
    <w:p w14:paraId="55BFF9FC" w14:textId="37E92331" w:rsidR="00C80464" w:rsidRDefault="00C80464"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6</w:t>
      </w:r>
    </w:p>
    <w:p w14:paraId="01A93CC9" w14:textId="77777777" w:rsidR="00C80464" w:rsidRDefault="00C80464" w:rsidP="00C80464">
      <w:pPr>
        <w:rPr>
          <w:rFonts w:ascii="Arial Black" w:hAnsi="Arial Black"/>
          <w:sz w:val="28"/>
          <w:szCs w:val="28"/>
        </w:rPr>
      </w:pPr>
      <w:r w:rsidRPr="008D7870">
        <w:rPr>
          <w:rFonts w:ascii="Arial Black" w:hAnsi="Arial Black"/>
          <w:sz w:val="28"/>
          <w:szCs w:val="28"/>
        </w:rPr>
        <w:t xml:space="preserve">MO: </w:t>
      </w:r>
      <w:r>
        <w:rPr>
          <w:rFonts w:ascii="Arial Black" w:hAnsi="Arial Black"/>
          <w:sz w:val="28"/>
          <w:szCs w:val="28"/>
        </w:rPr>
        <w:t>BLACK FF SCORED 32</w:t>
      </w:r>
      <w:r w:rsidRPr="00502E41">
        <w:rPr>
          <w:rFonts w:ascii="Arial Black" w:hAnsi="Arial Black"/>
          <w:sz w:val="28"/>
          <w:szCs w:val="28"/>
          <w:vertAlign w:val="superscript"/>
        </w:rPr>
        <w:t>nd</w:t>
      </w:r>
      <w:r>
        <w:rPr>
          <w:rFonts w:ascii="Arial Black" w:hAnsi="Arial Black"/>
          <w:sz w:val="28"/>
          <w:szCs w:val="28"/>
        </w:rPr>
        <w:t xml:space="preserve"> CAPTAIN’S TEST – RESIGNED 1-YR LATER &amp; RETIRED – NOT “CONSTRUCTIVE DISCHARGE” </w:t>
      </w:r>
    </w:p>
    <w:p w14:paraId="548D9C79" w14:textId="3C263712" w:rsidR="00C80464" w:rsidRDefault="00C80464" w:rsidP="00C80464">
      <w:pPr>
        <w:rPr>
          <w:rFonts w:ascii="Times New Roman" w:hAnsi="Times New Roman"/>
          <w:sz w:val="24"/>
          <w:szCs w:val="24"/>
        </w:rPr>
      </w:pPr>
      <w:r w:rsidRPr="008D7870">
        <w:rPr>
          <w:rFonts w:ascii="Times New Roman" w:hAnsi="Times New Roman"/>
          <w:sz w:val="24"/>
          <w:szCs w:val="24"/>
        </w:rPr>
        <w:t xml:space="preserve">On </w:t>
      </w:r>
      <w:bookmarkStart w:id="334" w:name="_Hlk39838078"/>
      <w:r w:rsidRPr="008D7870">
        <w:rPr>
          <w:rFonts w:ascii="Times New Roman" w:hAnsi="Times New Roman"/>
          <w:sz w:val="24"/>
          <w:szCs w:val="24"/>
        </w:rPr>
        <w:t xml:space="preserve">Sept. 6, 2019, in </w:t>
      </w:r>
      <w:r w:rsidRPr="008D7870">
        <w:rPr>
          <w:rFonts w:ascii="Times New Roman" w:hAnsi="Times New Roman"/>
          <w:sz w:val="24"/>
          <w:szCs w:val="24"/>
          <w:u w:val="single"/>
        </w:rPr>
        <w:t xml:space="preserve">Travis </w:t>
      </w:r>
      <w:proofErr w:type="spellStart"/>
      <w:r w:rsidRPr="008D7870">
        <w:rPr>
          <w:rFonts w:ascii="Times New Roman" w:hAnsi="Times New Roman"/>
          <w:sz w:val="24"/>
          <w:szCs w:val="24"/>
          <w:u w:val="single"/>
        </w:rPr>
        <w:t>Yeargans</w:t>
      </w:r>
      <w:proofErr w:type="spellEnd"/>
      <w:r w:rsidRPr="008D7870">
        <w:rPr>
          <w:rFonts w:ascii="Times New Roman" w:hAnsi="Times New Roman"/>
          <w:sz w:val="24"/>
          <w:szCs w:val="24"/>
          <w:u w:val="single"/>
        </w:rPr>
        <w:t xml:space="preserve"> v. City of Kansas City</w:t>
      </w:r>
      <w:r w:rsidRPr="008D7870">
        <w:rPr>
          <w:rFonts w:ascii="Times New Roman" w:hAnsi="Times New Roman"/>
          <w:sz w:val="24"/>
          <w:szCs w:val="24"/>
        </w:rPr>
        <w:t xml:space="preserve">, </w:t>
      </w:r>
      <w:bookmarkEnd w:id="334"/>
      <w:r>
        <w:rPr>
          <w:rFonts w:ascii="Times New Roman" w:hAnsi="Times New Roman"/>
          <w:sz w:val="24"/>
          <w:szCs w:val="24"/>
        </w:rPr>
        <w:t xml:space="preserve">Senior U.S. District Court Judge </w:t>
      </w:r>
      <w:proofErr w:type="spellStart"/>
      <w:r>
        <w:rPr>
          <w:rFonts w:ascii="Times New Roman" w:hAnsi="Times New Roman"/>
          <w:sz w:val="24"/>
          <w:szCs w:val="24"/>
        </w:rPr>
        <w:t>Ortrie</w:t>
      </w:r>
      <w:proofErr w:type="spellEnd"/>
      <w:r>
        <w:rPr>
          <w:rFonts w:ascii="Times New Roman" w:hAnsi="Times New Roman"/>
          <w:sz w:val="24"/>
          <w:szCs w:val="24"/>
        </w:rPr>
        <w:t xml:space="preserve"> D. Smith, U.S. District Court for Western District of Missouri, granted the City’s motion for summary judgment on the “constructive discharge” claim.  The lawsuit alleging other racial discrimination claims may now proceed to trial. </w:t>
      </w:r>
    </w:p>
    <w:p w14:paraId="57B8A34D" w14:textId="77777777" w:rsidR="00C80464" w:rsidRDefault="00C80464" w:rsidP="00C80464">
      <w:pPr>
        <w:rPr>
          <w:rFonts w:ascii="Times New Roman" w:hAnsi="Times New Roman"/>
          <w:sz w:val="24"/>
          <w:szCs w:val="24"/>
        </w:rPr>
      </w:pPr>
      <w:r>
        <w:rPr>
          <w:rFonts w:ascii="Times New Roman" w:hAnsi="Times New Roman"/>
          <w:sz w:val="24"/>
          <w:szCs w:val="24"/>
        </w:rPr>
        <w:tab/>
        <w:t xml:space="preserve">Senior Judge Smith wrote: </w:t>
      </w:r>
    </w:p>
    <w:p w14:paraId="615DA201" w14:textId="77777777" w:rsidR="00C80464" w:rsidRDefault="00C80464" w:rsidP="00C80464">
      <w:pPr>
        <w:pStyle w:val="NormalWeb"/>
        <w:ind w:left="1440"/>
      </w:pPr>
      <w:r>
        <w:t xml:space="preserve">“Moreover, Plaintiff admits he did not discuss his reasons for leaving the KCFD with Defendant, and he did not complain to Defendant that he was the victim of discrimination. </w:t>
      </w:r>
      <w:proofErr w:type="gramStart"/>
      <w:r>
        <w:t>Doc. #</w:t>
      </w:r>
      <w:proofErr w:type="gramEnd"/>
      <w:r>
        <w:t xml:space="preserve">36-5, at 1-2. These admissions are fatal to his constructive discharge claim. </w:t>
      </w:r>
      <w:r>
        <w:rPr>
          <w:i/>
          <w:iCs/>
        </w:rPr>
        <w:t>See, e.g., Anda,</w:t>
      </w:r>
      <w:r>
        <w:t xml:space="preserve"> 517 F.3d at </w:t>
      </w:r>
      <w:r>
        <w:lastRenderedPageBreak/>
        <w:t xml:space="preserve">535; </w:t>
      </w:r>
      <w:r>
        <w:rPr>
          <w:i/>
          <w:iCs/>
        </w:rPr>
        <w:t>Davison,</w:t>
      </w:r>
      <w:r>
        <w:t xml:space="preserve"> 121 F. </w:t>
      </w:r>
      <w:proofErr w:type="spellStart"/>
      <w:r>
        <w:t>App'x</w:t>
      </w:r>
      <w:proofErr w:type="spellEnd"/>
      <w:r>
        <w:t xml:space="preserve"> at 672; </w:t>
      </w:r>
      <w:r>
        <w:rPr>
          <w:i/>
          <w:iCs/>
        </w:rPr>
        <w:t>Williams v. City of Kan. City,</w:t>
      </w:r>
      <w:r>
        <w:t> </w:t>
      </w:r>
      <w:hyperlink r:id="rId1557" w:history="1">
        <w:r>
          <w:rPr>
            <w:rStyle w:val="Hyperlink"/>
          </w:rPr>
          <w:t>223 F.3d 749</w:t>
        </w:r>
      </w:hyperlink>
      <w:r>
        <w:t xml:space="preserve">, 754 (8th Cir. 2000) (finding the plaintiff did not give the city an opportunity to address her concerns, and therefore, the Court could not say resignation was the plaintiff's only plausible alternative); </w:t>
      </w:r>
      <w:r>
        <w:rPr>
          <w:i/>
          <w:iCs/>
        </w:rPr>
        <w:t>Knowles v. Citicorp Mortg., Inc.,</w:t>
      </w:r>
      <w:r>
        <w:t> </w:t>
      </w:r>
      <w:hyperlink r:id="rId1558" w:history="1">
        <w:r>
          <w:rPr>
            <w:rStyle w:val="Hyperlink"/>
          </w:rPr>
          <w:t>142 F.3d 1082</w:t>
        </w:r>
      </w:hyperlink>
      <w:r>
        <w:t>, 1086 (8th Cir. 1998) (citations omitted).</w:t>
      </w:r>
    </w:p>
    <w:p w14:paraId="7D10CBF1" w14:textId="086CE11A" w:rsidR="005A395B" w:rsidRDefault="00C80464" w:rsidP="005A395B">
      <w:pPr>
        <w:pStyle w:val="NormalWeb"/>
        <w:ind w:left="1440"/>
      </w:pPr>
      <w:r>
        <w:t xml:space="preserve">In addition, Plaintiff does not explain why he left his employment in April 2014 when he received his oral examination scores in November 2012, and the promotional list was published in December 2012. Plaintiff does not demonstrate how his working conditions became ‘so intolerable’ during that timeframe. In fact, Plaintiff points to nothing specific that occurred during that timeframe that rendered his working conditions so intolerable. Instead, the passage of more than a year between the alleged discriminatory act(s) and Plaintiff's decision to leave his employment does not support his contention that his working conditions were </w:t>
      </w:r>
      <w:r w:rsidRPr="00EA4108">
        <w:t>so intolerable he felt he had no choice but to quit.”</w:t>
      </w:r>
      <w:r w:rsidR="005A395B">
        <w:t xml:space="preserve"> </w:t>
      </w:r>
      <w:bookmarkStart w:id="335" w:name="_Hlk39838123"/>
      <w:r w:rsidR="005A395B">
        <w:fldChar w:fldCharType="begin"/>
      </w:r>
      <w:r w:rsidR="005A395B">
        <w:instrText xml:space="preserve"> HYPERLINK "https://www.leagle.com/decision/infdco20190909844" </w:instrText>
      </w:r>
      <w:r w:rsidR="005A395B">
        <w:fldChar w:fldCharType="separate"/>
      </w:r>
      <w:r w:rsidR="005A395B" w:rsidRPr="00C712CE">
        <w:rPr>
          <w:rStyle w:val="Hyperlink"/>
        </w:rPr>
        <w:t>https://www.leagle.com/decision/infdco20190909844</w:t>
      </w:r>
      <w:r w:rsidR="005A395B">
        <w:rPr>
          <w:rStyle w:val="Hyperlink"/>
        </w:rPr>
        <w:fldChar w:fldCharType="end"/>
      </w:r>
      <w:r w:rsidR="005A395B">
        <w:t xml:space="preserve"> </w:t>
      </w:r>
    </w:p>
    <w:bookmarkEnd w:id="335"/>
    <w:p w14:paraId="30DF2EBD" w14:textId="77777777" w:rsidR="005A395B" w:rsidRPr="00EA4108" w:rsidRDefault="005A395B" w:rsidP="00C80464">
      <w:pPr>
        <w:pStyle w:val="NormalWeb"/>
        <w:ind w:left="1440"/>
      </w:pPr>
    </w:p>
    <w:p w14:paraId="2536D4AC" w14:textId="64177E4A" w:rsidR="00C80464" w:rsidRPr="00502E41" w:rsidRDefault="00C80464" w:rsidP="00C80464">
      <w:pPr>
        <w:pStyle w:val="Heading1"/>
        <w:rPr>
          <w:sz w:val="24"/>
          <w:szCs w:val="24"/>
        </w:rPr>
      </w:pPr>
      <w:r w:rsidRPr="00502E41">
        <w:rPr>
          <w:sz w:val="24"/>
          <w:szCs w:val="24"/>
        </w:rPr>
        <w:t xml:space="preserve">Legal Lessons Learned: The promotion process used </w:t>
      </w:r>
      <w:r>
        <w:rPr>
          <w:sz w:val="24"/>
          <w:szCs w:val="24"/>
        </w:rPr>
        <w:t xml:space="preserve">by Kansas City </w:t>
      </w:r>
      <w:r w:rsidRPr="00502E41">
        <w:rPr>
          <w:sz w:val="24"/>
          <w:szCs w:val="24"/>
        </w:rPr>
        <w:t>was well constructed</w:t>
      </w:r>
      <w:r>
        <w:rPr>
          <w:sz w:val="24"/>
          <w:szCs w:val="24"/>
        </w:rPr>
        <w:t xml:space="preserve"> and well documented</w:t>
      </w:r>
      <w:r w:rsidRPr="00502E41">
        <w:rPr>
          <w:sz w:val="24"/>
          <w:szCs w:val="24"/>
        </w:rPr>
        <w:t>.  If a firefighter believes that a promotion process was improperly conducted, or racially discriminatory, promptly file an internal complaint so the matter can be investigated</w:t>
      </w:r>
      <w:r>
        <w:rPr>
          <w:sz w:val="24"/>
          <w:szCs w:val="24"/>
        </w:rPr>
        <w:t xml:space="preserve">, or file an </w:t>
      </w:r>
      <w:r w:rsidRPr="00502E41">
        <w:rPr>
          <w:sz w:val="24"/>
          <w:szCs w:val="24"/>
        </w:rPr>
        <w:t xml:space="preserve">EEOC charge: </w:t>
      </w:r>
      <w:r>
        <w:rPr>
          <w:sz w:val="24"/>
          <w:szCs w:val="24"/>
        </w:rPr>
        <w:t>“</w:t>
      </w:r>
      <w:r w:rsidRPr="00502E41">
        <w:rPr>
          <w:sz w:val="24"/>
          <w:szCs w:val="24"/>
        </w:rPr>
        <w:t xml:space="preserve">Time Limits </w:t>
      </w:r>
      <w:proofErr w:type="gramStart"/>
      <w:r w:rsidRPr="00502E41">
        <w:rPr>
          <w:sz w:val="24"/>
          <w:szCs w:val="24"/>
        </w:rPr>
        <w:t>For</w:t>
      </w:r>
      <w:proofErr w:type="gramEnd"/>
      <w:r w:rsidRPr="00502E41">
        <w:rPr>
          <w:sz w:val="24"/>
          <w:szCs w:val="24"/>
        </w:rPr>
        <w:t xml:space="preserve"> Filing </w:t>
      </w:r>
      <w:proofErr w:type="gramStart"/>
      <w:r w:rsidRPr="00502E41">
        <w:rPr>
          <w:sz w:val="24"/>
          <w:szCs w:val="24"/>
        </w:rPr>
        <w:t>A</w:t>
      </w:r>
      <w:proofErr w:type="gramEnd"/>
      <w:r w:rsidRPr="00502E41">
        <w:rPr>
          <w:sz w:val="24"/>
          <w:szCs w:val="24"/>
        </w:rPr>
        <w:t xml:space="preserve"> Charge</w:t>
      </w:r>
      <w:r>
        <w:rPr>
          <w:sz w:val="24"/>
          <w:szCs w:val="24"/>
        </w:rPr>
        <w:t xml:space="preserve">: </w:t>
      </w:r>
      <w:r w:rsidRPr="00502E41">
        <w:rPr>
          <w:sz w:val="24"/>
          <w:szCs w:val="24"/>
        </w:rPr>
        <w:t xml:space="preserve">The anti-discrimination laws give you a limited amount of time to file a charge of discrimination. In general, you need to file a charge within 180 calendar days from the day the discrimination took place. The </w:t>
      </w:r>
      <w:proofErr w:type="gramStart"/>
      <w:r w:rsidRPr="00502E41">
        <w:rPr>
          <w:sz w:val="24"/>
          <w:szCs w:val="24"/>
        </w:rPr>
        <w:t>180</w:t>
      </w:r>
      <w:r w:rsidR="00BF4DDE">
        <w:rPr>
          <w:sz w:val="24"/>
          <w:szCs w:val="24"/>
        </w:rPr>
        <w:t xml:space="preserve"> </w:t>
      </w:r>
      <w:r w:rsidRPr="00502E41">
        <w:rPr>
          <w:sz w:val="24"/>
          <w:szCs w:val="24"/>
        </w:rPr>
        <w:t>calendar</w:t>
      </w:r>
      <w:proofErr w:type="gramEnd"/>
      <w:r>
        <w:rPr>
          <w:sz w:val="24"/>
          <w:szCs w:val="24"/>
        </w:rPr>
        <w:t xml:space="preserve"> </w:t>
      </w:r>
      <w:r w:rsidRPr="00502E41">
        <w:rPr>
          <w:sz w:val="24"/>
          <w:szCs w:val="24"/>
        </w:rPr>
        <w:t xml:space="preserve">day filing deadline is extended to 300 calendar days if a state or local agency enforces a law that prohibits employment discrimination on the same basis. </w:t>
      </w:r>
      <w:hyperlink r:id="rId1559" w:history="1">
        <w:r w:rsidRPr="00C712CE">
          <w:rPr>
            <w:rStyle w:val="Hyperlink"/>
            <w:sz w:val="24"/>
            <w:szCs w:val="24"/>
          </w:rPr>
          <w:t>https://www.eeoc.gov/employees/timeliness.cfm</w:t>
        </w:r>
      </w:hyperlink>
      <w:r>
        <w:rPr>
          <w:sz w:val="24"/>
          <w:szCs w:val="24"/>
        </w:rPr>
        <w:t xml:space="preserve"> </w:t>
      </w:r>
    </w:p>
    <w:p w14:paraId="033B93A8" w14:textId="77777777" w:rsidR="00853142" w:rsidRDefault="00853142" w:rsidP="00DE0F03">
      <w:pPr>
        <w:rPr>
          <w:rFonts w:ascii="Arial Black" w:hAnsi="Arial Black"/>
          <w:b/>
          <w:sz w:val="24"/>
          <w:szCs w:val="24"/>
        </w:rPr>
      </w:pPr>
    </w:p>
    <w:p w14:paraId="480E87CF" w14:textId="77777777" w:rsidR="00853142" w:rsidRDefault="00853142" w:rsidP="00DE0F03">
      <w:pPr>
        <w:rPr>
          <w:rFonts w:ascii="Arial Black" w:hAnsi="Arial Black"/>
          <w:b/>
          <w:sz w:val="24"/>
          <w:szCs w:val="24"/>
        </w:rPr>
      </w:pPr>
    </w:p>
    <w:p w14:paraId="24CA077B" w14:textId="0C23E665" w:rsidR="009F0F05" w:rsidRDefault="009F0F05"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5</w:t>
      </w:r>
    </w:p>
    <w:p w14:paraId="429CDB91" w14:textId="77777777" w:rsidR="009F0F05" w:rsidRDefault="009F0F05" w:rsidP="009F0F05">
      <w:pPr>
        <w:rPr>
          <w:rFonts w:ascii="Arial Black" w:hAnsi="Arial Black"/>
          <w:sz w:val="28"/>
          <w:szCs w:val="28"/>
        </w:rPr>
      </w:pPr>
      <w:bookmarkStart w:id="336" w:name="_Hlk39765165"/>
      <w:r>
        <w:rPr>
          <w:rFonts w:ascii="Arial Black" w:hAnsi="Arial Black"/>
          <w:sz w:val="28"/>
          <w:szCs w:val="28"/>
        </w:rPr>
        <w:t>U.S. SUP. CT:  MURDER DEFENDANT GETS NEW TRIAL (HIS 7</w:t>
      </w:r>
      <w:r w:rsidRPr="008C483C">
        <w:rPr>
          <w:rFonts w:ascii="Arial Black" w:hAnsi="Arial Black"/>
          <w:sz w:val="28"/>
          <w:szCs w:val="28"/>
          <w:vertAlign w:val="superscript"/>
        </w:rPr>
        <w:t>TH</w:t>
      </w:r>
      <w:r>
        <w:rPr>
          <w:rFonts w:ascii="Arial Black" w:hAnsi="Arial Black"/>
          <w:sz w:val="28"/>
          <w:szCs w:val="28"/>
        </w:rPr>
        <w:t xml:space="preserve">) - PROSECUTOR REPEATEDLY REMOVED BLACKS FROM JURY </w:t>
      </w:r>
    </w:p>
    <w:p w14:paraId="16A00F70" w14:textId="424D72BA" w:rsidR="009F0F05" w:rsidRPr="00AB528C" w:rsidRDefault="009F0F05" w:rsidP="009F0F05">
      <w:pPr>
        <w:rPr>
          <w:rFonts w:ascii="Times New Roman" w:hAnsi="Times New Roman"/>
          <w:sz w:val="24"/>
          <w:szCs w:val="24"/>
        </w:rPr>
      </w:pPr>
      <w:bookmarkStart w:id="337" w:name="_Hlk39837497"/>
      <w:r w:rsidRPr="00AB528C">
        <w:rPr>
          <w:rFonts w:ascii="Times New Roman" w:hAnsi="Times New Roman"/>
          <w:sz w:val="24"/>
          <w:szCs w:val="24"/>
        </w:rPr>
        <w:t xml:space="preserve">On June 21, 2019, in </w:t>
      </w:r>
      <w:r w:rsidRPr="00AB528C">
        <w:rPr>
          <w:rFonts w:ascii="Times New Roman" w:hAnsi="Times New Roman"/>
          <w:sz w:val="24"/>
          <w:szCs w:val="24"/>
          <w:u w:val="single"/>
        </w:rPr>
        <w:t>Flowers v. Mississippi</w:t>
      </w:r>
      <w:bookmarkEnd w:id="337"/>
      <w:r w:rsidRPr="00AB528C">
        <w:rPr>
          <w:rFonts w:ascii="Times New Roman" w:hAnsi="Times New Roman"/>
          <w:sz w:val="24"/>
          <w:szCs w:val="24"/>
        </w:rPr>
        <w:t xml:space="preserve">, the U.S. Supreme Court (7 to 2), </w:t>
      </w:r>
      <w:r>
        <w:rPr>
          <w:rFonts w:ascii="Times New Roman" w:hAnsi="Times New Roman"/>
          <w:sz w:val="24"/>
          <w:szCs w:val="24"/>
        </w:rPr>
        <w:t xml:space="preserve">overturned the defendant’s </w:t>
      </w:r>
      <w:r w:rsidRPr="00AB528C">
        <w:rPr>
          <w:rFonts w:ascii="Times New Roman" w:hAnsi="Times New Roman"/>
          <w:sz w:val="24"/>
          <w:szCs w:val="24"/>
        </w:rPr>
        <w:t>conviction of murdering four people</w:t>
      </w:r>
      <w:r>
        <w:rPr>
          <w:rFonts w:ascii="Times New Roman" w:hAnsi="Times New Roman"/>
          <w:sz w:val="24"/>
          <w:szCs w:val="24"/>
        </w:rPr>
        <w:t>, and remand the case for re-trial (he has previously been tried six times for the murders).</w:t>
      </w:r>
      <w:r w:rsidRPr="00AB528C">
        <w:rPr>
          <w:rFonts w:ascii="Times New Roman" w:hAnsi="Times New Roman"/>
          <w:sz w:val="24"/>
          <w:szCs w:val="24"/>
        </w:rPr>
        <w:t xml:space="preserve"> </w:t>
      </w:r>
    </w:p>
    <w:p w14:paraId="157CF34A" w14:textId="77777777" w:rsidR="009F0F05" w:rsidRPr="00D3075E" w:rsidRDefault="009F0F05" w:rsidP="009F0F05">
      <w:pPr>
        <w:rPr>
          <w:rFonts w:ascii="Times New Roman" w:hAnsi="Times New Roman"/>
          <w:sz w:val="24"/>
          <w:szCs w:val="24"/>
        </w:rPr>
      </w:pPr>
      <w:r>
        <w:rPr>
          <w:sz w:val="27"/>
          <w:szCs w:val="27"/>
        </w:rPr>
        <w:tab/>
      </w:r>
      <w:r w:rsidRPr="00D3075E">
        <w:rPr>
          <w:rFonts w:ascii="Times New Roman" w:hAnsi="Times New Roman"/>
          <w:sz w:val="24"/>
          <w:szCs w:val="24"/>
        </w:rPr>
        <w:t xml:space="preserve">Justice </w:t>
      </w:r>
      <w:r>
        <w:rPr>
          <w:rFonts w:ascii="Times New Roman" w:hAnsi="Times New Roman"/>
          <w:sz w:val="24"/>
          <w:szCs w:val="24"/>
        </w:rPr>
        <w:t xml:space="preserve">Brett </w:t>
      </w:r>
      <w:r w:rsidRPr="00D3075E">
        <w:rPr>
          <w:rFonts w:ascii="Times New Roman" w:hAnsi="Times New Roman"/>
          <w:sz w:val="24"/>
          <w:szCs w:val="24"/>
        </w:rPr>
        <w:t xml:space="preserve">Kavanaugh wrote majority opinion: </w:t>
      </w:r>
    </w:p>
    <w:p w14:paraId="4DC68B48" w14:textId="77777777" w:rsidR="00DB482B" w:rsidRPr="00AB528C" w:rsidRDefault="009F0F05" w:rsidP="00DB482B">
      <w:pPr>
        <w:ind w:left="720"/>
        <w:rPr>
          <w:rFonts w:ascii="Times New Roman" w:hAnsi="Times New Roman"/>
          <w:sz w:val="24"/>
          <w:szCs w:val="24"/>
        </w:rPr>
      </w:pPr>
      <w:r>
        <w:rPr>
          <w:sz w:val="27"/>
          <w:szCs w:val="27"/>
        </w:rPr>
        <w:t>“</w:t>
      </w:r>
      <w:r w:rsidRPr="00D3075E">
        <w:rPr>
          <w:rFonts w:ascii="Times New Roman" w:hAnsi="Times New Roman"/>
          <w:sz w:val="24"/>
          <w:szCs w:val="24"/>
        </w:rPr>
        <w:t>Four critical facts, taken together, require reversal. First, in the six trials combined, the State employed its peremptory challenges to strike 41 of the 42 black prospective jurors that it could have struck</w:t>
      </w:r>
      <w:proofErr w:type="gramStart"/>
      <w:r w:rsidRPr="00D3075E">
        <w:rPr>
          <w:rFonts w:ascii="Times New Roman" w:hAnsi="Times New Roman"/>
          <w:sz w:val="24"/>
          <w:szCs w:val="24"/>
        </w:rPr>
        <w:t>—a statistic</w:t>
      </w:r>
      <w:proofErr w:type="gramEnd"/>
      <w:r w:rsidRPr="00D3075E">
        <w:rPr>
          <w:rFonts w:ascii="Times New Roman" w:hAnsi="Times New Roman"/>
          <w:sz w:val="24"/>
          <w:szCs w:val="24"/>
        </w:rPr>
        <w:t xml:space="preserve"> that the State acknowledged at oral argument in this Court. Tr. of Oral Arg. 32. Second, in the most recent trial, the sixth trial, the State exercised peremptory strikes against five of the six black prospective jurors. Third, at the sixth trial, in an apparent effort to find pretextual reasons to strike black prospective jurors, the State engaged in dramatically disparate questioning of black and white prospective</w:t>
      </w:r>
      <w:r>
        <w:rPr>
          <w:rFonts w:ascii="Times New Roman" w:hAnsi="Times New Roman"/>
          <w:sz w:val="24"/>
          <w:szCs w:val="24"/>
        </w:rPr>
        <w:t xml:space="preserve"> </w:t>
      </w:r>
      <w:r w:rsidRPr="00D3075E">
        <w:rPr>
          <w:rFonts w:ascii="Times New Roman" w:hAnsi="Times New Roman"/>
          <w:sz w:val="24"/>
          <w:szCs w:val="24"/>
        </w:rPr>
        <w:t xml:space="preserve">jurors. Fourth, the State then struck at least one black prospective juror, Carolyn Wright, who was similarly situated to white prospective jurors who were not struck by the </w:t>
      </w:r>
      <w:proofErr w:type="gramStart"/>
      <w:r w:rsidRPr="00D3075E">
        <w:rPr>
          <w:rFonts w:ascii="Times New Roman" w:hAnsi="Times New Roman"/>
          <w:sz w:val="24"/>
          <w:szCs w:val="24"/>
        </w:rPr>
        <w:t>State</w:t>
      </w:r>
      <w:r>
        <w:rPr>
          <w:rFonts w:ascii="Times New Roman" w:hAnsi="Times New Roman"/>
          <w:sz w:val="24"/>
          <w:szCs w:val="24"/>
        </w:rPr>
        <w:t>.”</w:t>
      </w:r>
      <w:proofErr w:type="gramEnd"/>
      <w:r w:rsidR="00DB482B">
        <w:rPr>
          <w:rFonts w:ascii="Times New Roman" w:hAnsi="Times New Roman"/>
          <w:sz w:val="24"/>
          <w:szCs w:val="24"/>
        </w:rPr>
        <w:t xml:space="preserve"> </w:t>
      </w:r>
      <w:bookmarkStart w:id="338" w:name="_Hlk39837474"/>
      <w:r w:rsidR="00DC51D4">
        <w:fldChar w:fldCharType="begin"/>
      </w:r>
      <w:r w:rsidR="00DC51D4">
        <w:instrText xml:space="preserve"> HYPERLINK "https://www.supremecourt.gov/opinions/18pdf/17-9572_k536.pdf" </w:instrText>
      </w:r>
      <w:r w:rsidR="00DC51D4">
        <w:fldChar w:fldCharType="separate"/>
      </w:r>
      <w:r w:rsidR="00DB482B" w:rsidRPr="00AB528C">
        <w:rPr>
          <w:rStyle w:val="Hyperlink"/>
          <w:rFonts w:ascii="Times New Roman" w:hAnsi="Times New Roman"/>
          <w:sz w:val="24"/>
          <w:szCs w:val="24"/>
        </w:rPr>
        <w:t>https://www.supremecourt.gov/opinions/18pdf/17-9572_k536.pdf</w:t>
      </w:r>
      <w:r w:rsidR="00DC51D4">
        <w:rPr>
          <w:rStyle w:val="Hyperlink"/>
          <w:rFonts w:ascii="Times New Roman" w:hAnsi="Times New Roman"/>
          <w:sz w:val="24"/>
          <w:szCs w:val="24"/>
        </w:rPr>
        <w:fldChar w:fldCharType="end"/>
      </w:r>
      <w:r w:rsidR="00DB482B" w:rsidRPr="00AB528C">
        <w:rPr>
          <w:rFonts w:ascii="Times New Roman" w:hAnsi="Times New Roman"/>
          <w:sz w:val="24"/>
          <w:szCs w:val="24"/>
        </w:rPr>
        <w:t xml:space="preserve"> </w:t>
      </w:r>
    </w:p>
    <w:bookmarkEnd w:id="336"/>
    <w:bookmarkEnd w:id="338"/>
    <w:p w14:paraId="758E08D0" w14:textId="54DA30C8" w:rsidR="009F0F05" w:rsidRDefault="009F0F05" w:rsidP="009F0F05">
      <w:pPr>
        <w:ind w:left="1440"/>
        <w:rPr>
          <w:rFonts w:ascii="Times New Roman" w:hAnsi="Times New Roman"/>
          <w:sz w:val="24"/>
          <w:szCs w:val="24"/>
        </w:rPr>
      </w:pPr>
    </w:p>
    <w:p w14:paraId="482C96BE" w14:textId="77777777" w:rsidR="009F0F05" w:rsidRPr="00961F1A" w:rsidRDefault="009F0F05" w:rsidP="009F0F05">
      <w:pPr>
        <w:rPr>
          <w:rFonts w:ascii="Times New Roman" w:hAnsi="Times New Roman"/>
          <w:b/>
          <w:bCs/>
          <w:sz w:val="24"/>
          <w:szCs w:val="24"/>
        </w:rPr>
      </w:pPr>
      <w:r w:rsidRPr="00961F1A">
        <w:rPr>
          <w:rFonts w:ascii="Times New Roman" w:hAnsi="Times New Roman"/>
          <w:b/>
          <w:bCs/>
          <w:sz w:val="24"/>
          <w:szCs w:val="24"/>
        </w:rPr>
        <w:t xml:space="preserve">Legal Lessons Learned: </w:t>
      </w:r>
      <w:r>
        <w:rPr>
          <w:rFonts w:ascii="Times New Roman" w:hAnsi="Times New Roman"/>
          <w:b/>
          <w:bCs/>
          <w:sz w:val="24"/>
          <w:szCs w:val="24"/>
        </w:rPr>
        <w:t xml:space="preserve">The U.S. Supreme Court will not allow prosecutors to use peremptory strikes to unfairly exclude black jurors.  </w:t>
      </w:r>
    </w:p>
    <w:p w14:paraId="32778034" w14:textId="77777777" w:rsidR="009F0F05" w:rsidRDefault="009F0F05" w:rsidP="00DE0F03">
      <w:pPr>
        <w:rPr>
          <w:rFonts w:ascii="Arial Black" w:hAnsi="Arial Black"/>
          <w:b/>
          <w:sz w:val="24"/>
          <w:szCs w:val="24"/>
        </w:rPr>
      </w:pPr>
    </w:p>
    <w:p w14:paraId="0D1E589E" w14:textId="05EECF7E" w:rsidR="00DE0F03" w:rsidRDefault="00DE0F03" w:rsidP="00DE0F03">
      <w:pPr>
        <w:rPr>
          <w:color w:val="4A4A4A"/>
          <w:sz w:val="24"/>
          <w:szCs w:val="24"/>
          <w:lang w:val="en"/>
        </w:rPr>
      </w:pPr>
      <w:r>
        <w:rPr>
          <w:rFonts w:ascii="Arial Black" w:hAnsi="Arial Black"/>
          <w:b/>
          <w:sz w:val="24"/>
          <w:szCs w:val="24"/>
        </w:rPr>
        <w:t>8</w:t>
      </w:r>
      <w:r w:rsidRPr="00EF1133">
        <w:rPr>
          <w:rFonts w:ascii="Arial Black" w:hAnsi="Arial Black"/>
          <w:b/>
          <w:sz w:val="24"/>
          <w:szCs w:val="24"/>
        </w:rPr>
        <w:t>-</w:t>
      </w:r>
      <w:r w:rsidR="005A395B">
        <w:rPr>
          <w:rFonts w:ascii="Arial Black" w:hAnsi="Arial Black"/>
          <w:b/>
          <w:sz w:val="24"/>
          <w:szCs w:val="24"/>
        </w:rPr>
        <w:t>4</w:t>
      </w:r>
    </w:p>
    <w:p w14:paraId="43B34F40" w14:textId="7FD8A37E" w:rsidR="00F326E5" w:rsidRDefault="00F326E5" w:rsidP="00F326E5">
      <w:pPr>
        <w:pStyle w:val="NoSpacing"/>
        <w:rPr>
          <w:rFonts w:ascii="Arial Black" w:hAnsi="Arial Black"/>
          <w:sz w:val="28"/>
          <w:szCs w:val="28"/>
        </w:rPr>
      </w:pPr>
      <w:bookmarkStart w:id="339" w:name="_Hlk7344503"/>
      <w:r w:rsidRPr="00455CC9">
        <w:rPr>
          <w:rFonts w:ascii="Arial Black" w:hAnsi="Arial Black"/>
          <w:sz w:val="28"/>
          <w:szCs w:val="28"/>
        </w:rPr>
        <w:t xml:space="preserve">FL: </w:t>
      </w:r>
      <w:r>
        <w:rPr>
          <w:rFonts w:ascii="Arial Black" w:hAnsi="Arial Black"/>
          <w:sz w:val="28"/>
          <w:szCs w:val="28"/>
        </w:rPr>
        <w:t xml:space="preserve">DOCTOR COMPLAINED ABOUT MEDICAL CLEARANCE OF FF – NOT </w:t>
      </w:r>
      <w:r w:rsidR="0015021B">
        <w:rPr>
          <w:rFonts w:ascii="Arial Black" w:hAnsi="Arial Black"/>
          <w:sz w:val="28"/>
          <w:szCs w:val="28"/>
        </w:rPr>
        <w:t xml:space="preserve">PROTECTED </w:t>
      </w:r>
      <w:r>
        <w:rPr>
          <w:rFonts w:ascii="Arial Black" w:hAnsi="Arial Black"/>
          <w:sz w:val="28"/>
          <w:szCs w:val="28"/>
        </w:rPr>
        <w:t>FIRST AMENDMENT SPEECH</w:t>
      </w:r>
    </w:p>
    <w:p w14:paraId="50F41973" w14:textId="77777777" w:rsidR="00F326E5" w:rsidRP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March 1, 2019, in </w:t>
      </w:r>
      <w:r w:rsidRPr="00BF4DDE">
        <w:rPr>
          <w:rFonts w:ascii="Times New Roman" w:hAnsi="Times New Roman"/>
          <w:sz w:val="24"/>
          <w:szCs w:val="24"/>
          <w:u w:val="single"/>
        </w:rPr>
        <w:t>Nancy King v. Board of County Commissioners, Polk County</w:t>
      </w:r>
      <w:r w:rsidRPr="00BF4DDE">
        <w:rPr>
          <w:rFonts w:ascii="Times New Roman" w:hAnsi="Times New Roman"/>
          <w:sz w:val="24"/>
          <w:szCs w:val="24"/>
        </w:rPr>
        <w:t>, the U.S. Court of Appeals for the 11</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(Atlanta) held (3 to 0) that U.S. District Court judge properly granted summary judgment to Polk County.  “She did not engage in speech protected by the First Amendment, however, because she spoke as an employee and not as a private citizen.”</w:t>
      </w:r>
    </w:p>
    <w:p w14:paraId="3F812A64" w14:textId="77777777" w:rsidR="00F326E5" w:rsidRPr="00BF4DDE" w:rsidRDefault="00F326E5" w:rsidP="00F326E5">
      <w:pPr>
        <w:rPr>
          <w:rFonts w:ascii="Times New Roman" w:hAnsi="Times New Roman"/>
          <w:b/>
          <w:sz w:val="24"/>
          <w:szCs w:val="24"/>
        </w:rPr>
      </w:pPr>
      <w:hyperlink r:id="rId1560" w:history="1">
        <w:r w:rsidRPr="00BF4DDE">
          <w:rPr>
            <w:rStyle w:val="Hyperlink"/>
            <w:rFonts w:ascii="Times New Roman" w:hAnsi="Times New Roman"/>
            <w:sz w:val="24"/>
            <w:szCs w:val="24"/>
          </w:rPr>
          <w:t>https://law.justia.com/cases/federal/appellate-courts/ca11/18-10631/18-10631-2019-03-01.html</w:t>
        </w:r>
      </w:hyperlink>
      <w:r w:rsidRPr="00BF4DDE">
        <w:rPr>
          <w:rFonts w:ascii="Times New Roman" w:hAnsi="Times New Roman"/>
          <w:b/>
          <w:sz w:val="24"/>
          <w:szCs w:val="24"/>
        </w:rPr>
        <w:t xml:space="preserve"> </w:t>
      </w:r>
    </w:p>
    <w:p w14:paraId="59442175" w14:textId="77777777"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Public employees have limited First Amendment rights; reverse discrimination not proven.  </w:t>
      </w:r>
    </w:p>
    <w:p w14:paraId="6CAA2169" w14:textId="77777777" w:rsidR="00C17A9D" w:rsidRDefault="00C17A9D" w:rsidP="00F326E5">
      <w:pPr>
        <w:pStyle w:val="NoSpacing"/>
        <w:rPr>
          <w:bCs/>
          <w:sz w:val="24"/>
          <w:szCs w:val="24"/>
        </w:rPr>
      </w:pPr>
    </w:p>
    <w:p w14:paraId="7B539013" w14:textId="77777777" w:rsidR="00F326E5" w:rsidRPr="00C56DAA" w:rsidRDefault="00F326E5" w:rsidP="00F326E5">
      <w:pPr>
        <w:pStyle w:val="NoSpacing"/>
        <w:rPr>
          <w:sz w:val="24"/>
          <w:szCs w:val="24"/>
        </w:rPr>
      </w:pPr>
    </w:p>
    <w:bookmarkEnd w:id="339"/>
    <w:p w14:paraId="102240D8" w14:textId="77777777" w:rsidR="00DE0F03" w:rsidRDefault="00DE0F03" w:rsidP="00DE0F03">
      <w:pPr>
        <w:rPr>
          <w:rFonts w:ascii="Arial Black" w:hAnsi="Arial Black"/>
          <w:b/>
          <w:sz w:val="24"/>
          <w:szCs w:val="24"/>
        </w:rPr>
      </w:pPr>
    </w:p>
    <w:p w14:paraId="2BFF8357" w14:textId="347D2420" w:rsidR="00DE0F03" w:rsidRDefault="00DE0F03" w:rsidP="00DE0F03">
      <w:pPr>
        <w:rPr>
          <w:color w:val="4A4A4A"/>
          <w:sz w:val="24"/>
          <w:szCs w:val="24"/>
          <w:lang w:val="en"/>
        </w:rPr>
      </w:pPr>
      <w:r>
        <w:rPr>
          <w:rFonts w:ascii="Arial Black" w:hAnsi="Arial Black"/>
          <w:b/>
          <w:sz w:val="24"/>
          <w:szCs w:val="24"/>
        </w:rPr>
        <w:t>8</w:t>
      </w:r>
      <w:r w:rsidRPr="00EF1133">
        <w:rPr>
          <w:rFonts w:ascii="Arial Black" w:hAnsi="Arial Black"/>
          <w:b/>
          <w:sz w:val="24"/>
          <w:szCs w:val="24"/>
        </w:rPr>
        <w:t>-</w:t>
      </w:r>
      <w:r w:rsidR="005A395B">
        <w:rPr>
          <w:rFonts w:ascii="Arial Black" w:hAnsi="Arial Black"/>
          <w:b/>
          <w:sz w:val="24"/>
          <w:szCs w:val="24"/>
        </w:rPr>
        <w:t>3</w:t>
      </w:r>
    </w:p>
    <w:p w14:paraId="3F6DA88F" w14:textId="350523EB" w:rsidR="00F326E5" w:rsidRDefault="00F326E5" w:rsidP="00F326E5">
      <w:pPr>
        <w:pStyle w:val="NoSpacing"/>
        <w:rPr>
          <w:rFonts w:ascii="Arial Black" w:hAnsi="Arial Black"/>
          <w:b/>
          <w:bCs/>
          <w:sz w:val="28"/>
          <w:szCs w:val="28"/>
        </w:rPr>
      </w:pPr>
      <w:bookmarkStart w:id="340" w:name="_Hlk7344544"/>
      <w:r>
        <w:rPr>
          <w:rFonts w:ascii="Arial Black" w:hAnsi="Arial Black"/>
          <w:bCs/>
          <w:sz w:val="28"/>
          <w:szCs w:val="28"/>
        </w:rPr>
        <w:t>MI: DETROIT – CITY WIDE LAYOFFS - 11 FF LAWSUIT AGAINST UNION DISMISSED, FOLLOWED CBA</w:t>
      </w:r>
    </w:p>
    <w:p w14:paraId="2B86F166" w14:textId="77777777" w:rsidR="00BF4DDE" w:rsidRDefault="00F326E5" w:rsidP="00F326E5">
      <w:pPr>
        <w:pStyle w:val="PlainText"/>
        <w:rPr>
          <w:rFonts w:ascii="Times New Roman" w:hAnsi="Times New Roman" w:cs="Times New Roman"/>
          <w:sz w:val="24"/>
          <w:szCs w:val="24"/>
        </w:rPr>
      </w:pPr>
      <w:r w:rsidRPr="00BF4DDE">
        <w:rPr>
          <w:rFonts w:ascii="Times New Roman" w:hAnsi="Times New Roman" w:cs="Times New Roman"/>
          <w:bCs/>
          <w:sz w:val="24"/>
          <w:szCs w:val="24"/>
        </w:rPr>
        <w:t xml:space="preserve">On Feb. 4, 2019, in </w:t>
      </w:r>
      <w:r w:rsidRPr="00BF4DDE">
        <w:rPr>
          <w:rFonts w:ascii="Times New Roman" w:hAnsi="Times New Roman" w:cs="Times New Roman"/>
          <w:bCs/>
          <w:sz w:val="24"/>
          <w:szCs w:val="24"/>
          <w:u w:val="single"/>
        </w:rPr>
        <w:t>Eric Peeples, et al. v. City of Detroit, et al</w:t>
      </w:r>
      <w:r w:rsidRPr="00BF4DDE">
        <w:rPr>
          <w:rFonts w:ascii="Times New Roman" w:hAnsi="Times New Roman" w:cs="Times New Roman"/>
          <w:bCs/>
          <w:sz w:val="24"/>
          <w:szCs w:val="24"/>
        </w:rPr>
        <w:t xml:space="preserve">, Civil Action No. 13-13858, U.S. District Court Judge Dean F. Cox, Eastern District of Michigan (Southern District), granted the motion for summary judgment filed by </w:t>
      </w:r>
      <w:r w:rsidRPr="00BF4DDE">
        <w:rPr>
          <w:rFonts w:ascii="Times New Roman" w:hAnsi="Times New Roman" w:cs="Times New Roman"/>
          <w:sz w:val="24"/>
          <w:szCs w:val="24"/>
        </w:rPr>
        <w:t xml:space="preserve">Detroit Fire Fighters Association, Local 344, finding: </w:t>
      </w:r>
    </w:p>
    <w:p w14:paraId="3BC147F8" w14:textId="77777777" w:rsidR="00BF4DDE" w:rsidRDefault="00BF4DDE" w:rsidP="00F326E5">
      <w:pPr>
        <w:pStyle w:val="PlainText"/>
        <w:rPr>
          <w:rFonts w:ascii="Times New Roman" w:hAnsi="Times New Roman" w:cs="Times New Roman"/>
          <w:sz w:val="24"/>
          <w:szCs w:val="24"/>
        </w:rPr>
      </w:pPr>
    </w:p>
    <w:p w14:paraId="6CE85136" w14:textId="4AF717C7" w:rsidR="00F326E5" w:rsidRPr="00BF4DDE" w:rsidRDefault="00BF4DDE" w:rsidP="00BF4DDE">
      <w:pPr>
        <w:pStyle w:val="PlainText"/>
        <w:ind w:left="720"/>
        <w:rPr>
          <w:rFonts w:ascii="Times New Roman" w:hAnsi="Times New Roman" w:cs="Times New Roman"/>
          <w:b/>
          <w:sz w:val="24"/>
          <w:szCs w:val="24"/>
        </w:rPr>
      </w:pPr>
      <w:r>
        <w:rPr>
          <w:rFonts w:ascii="Times New Roman" w:hAnsi="Times New Roman" w:cs="Times New Roman"/>
          <w:sz w:val="24"/>
          <w:szCs w:val="24"/>
        </w:rPr>
        <w:t>“</w:t>
      </w:r>
      <w:r w:rsidR="00F326E5" w:rsidRPr="00BF4DDE">
        <w:rPr>
          <w:rFonts w:ascii="Times New Roman" w:hAnsi="Times New Roman" w:cs="Times New Roman"/>
          <w:sz w:val="24"/>
          <w:szCs w:val="24"/>
        </w:rPr>
        <w:t xml:space="preserve">Plaintiffs have no direct evidence of race discrimination.  In opposing the Union's motion, Plaintiffs have not presented any statistical evidence to this Court.”  The Judge, however, did not require Plaintiffs to reimburse Union for its attorney fees: “The Court also concludes that the Union has not shown that an award of attorney fees against the Plaintiffs themselves is warranted in this case. </w:t>
      </w:r>
      <w:r w:rsidR="00F326E5" w:rsidRPr="00BF4DDE">
        <w:rPr>
          <w:rFonts w:ascii="Times New Roman" w:hAnsi="Times New Roman" w:cs="Times New Roman"/>
          <w:i/>
          <w:iCs/>
          <w:sz w:val="24"/>
          <w:szCs w:val="24"/>
        </w:rPr>
        <w:t>Christiansburg Garment Co</w:t>
      </w:r>
      <w:r w:rsidR="00F326E5" w:rsidRPr="00BF4DDE">
        <w:rPr>
          <w:rFonts w:ascii="Times New Roman" w:hAnsi="Times New Roman" w:cs="Times New Roman"/>
          <w:sz w:val="24"/>
          <w:szCs w:val="24"/>
        </w:rPr>
        <w:t xml:space="preserve">. </w:t>
      </w:r>
      <w:r w:rsidR="00F326E5" w:rsidRPr="00BF4DDE">
        <w:rPr>
          <w:rFonts w:ascii="Times New Roman" w:hAnsi="Times New Roman" w:cs="Times New Roman"/>
          <w:i/>
          <w:iCs/>
          <w:sz w:val="24"/>
          <w:szCs w:val="24"/>
        </w:rPr>
        <w:t>v</w:t>
      </w:r>
      <w:r w:rsidR="00F326E5" w:rsidRPr="00BF4DDE">
        <w:rPr>
          <w:rFonts w:ascii="Times New Roman" w:hAnsi="Times New Roman" w:cs="Times New Roman"/>
          <w:sz w:val="24"/>
          <w:szCs w:val="24"/>
        </w:rPr>
        <w:t xml:space="preserve">. </w:t>
      </w:r>
      <w:r w:rsidR="00F326E5" w:rsidRPr="00BF4DDE">
        <w:rPr>
          <w:rFonts w:ascii="Times New Roman" w:hAnsi="Times New Roman" w:cs="Times New Roman"/>
          <w:i/>
          <w:iCs/>
          <w:sz w:val="24"/>
          <w:szCs w:val="24"/>
        </w:rPr>
        <w:t>EEOC</w:t>
      </w:r>
      <w:hyperlink r:id="rId1561" w:history="1">
        <w:r w:rsidR="00F326E5" w:rsidRPr="00BF4DDE">
          <w:rPr>
            <w:rStyle w:val="Hyperlink"/>
            <w:rFonts w:ascii="Times New Roman" w:hAnsi="Times New Roman" w:cs="Times New Roman"/>
            <w:b/>
            <w:sz w:val="24"/>
            <w:szCs w:val="24"/>
          </w:rPr>
          <w:t>, 434 U.S. 412 (1978)</w:t>
        </w:r>
      </w:hyperlink>
      <w:r w:rsidR="00F326E5" w:rsidRPr="00BF4DDE">
        <w:rPr>
          <w:rFonts w:ascii="Times New Roman" w:hAnsi="Times New Roman" w:cs="Times New Roman"/>
          <w:sz w:val="24"/>
          <w:szCs w:val="24"/>
        </w:rPr>
        <w:t xml:space="preserve"> (A district court may, in its discretion, award attorney fees to a prevailing defendant in a Title VII case upon a finding that the plaintiff's action was frivolous, unreasonable, or without foundation, even though not brought in subjective bad faith). Such awards against Title VII plaintiffs are rare, and this Court does not believe one is warranted here.”  </w:t>
      </w:r>
      <w:hyperlink r:id="rId1562" w:history="1">
        <w:r w:rsidR="00F326E5" w:rsidRPr="00BF4DDE">
          <w:rPr>
            <w:rStyle w:val="Hyperlink"/>
            <w:rFonts w:ascii="Times New Roman" w:hAnsi="Times New Roman" w:cs="Times New Roman"/>
            <w:b/>
            <w:sz w:val="24"/>
            <w:szCs w:val="24"/>
          </w:rPr>
          <w:t>https://scholar.google.com/scholar_case?case=9814524894618299702&amp;q=+Eric+Peeples,+et+al.+v.+City+of+Detroit,+et+al,+Civil+Action+No.+13-13858&amp;hl=en&amp;as_sdt=6,36</w:t>
        </w:r>
      </w:hyperlink>
    </w:p>
    <w:p w14:paraId="27806799" w14:textId="77777777" w:rsidR="00F326E5" w:rsidRPr="00BF4DDE" w:rsidRDefault="00F326E5" w:rsidP="00F326E5">
      <w:pPr>
        <w:spacing w:before="100" w:beforeAutospacing="1" w:after="100" w:afterAutospacing="1"/>
        <w:rPr>
          <w:rFonts w:ascii="Times New Roman" w:hAnsi="Times New Roman"/>
          <w:b/>
          <w:sz w:val="24"/>
          <w:szCs w:val="24"/>
        </w:rPr>
      </w:pPr>
      <w:r w:rsidRPr="00BF4DDE">
        <w:rPr>
          <w:rFonts w:ascii="Times New Roman" w:hAnsi="Times New Roman"/>
          <w:b/>
          <w:sz w:val="24"/>
          <w:szCs w:val="24"/>
        </w:rPr>
        <w:t xml:space="preserve">Legal Lessons Learned:  Plaintiffs failed to establish Title VII liability for City or the Local. </w:t>
      </w:r>
    </w:p>
    <w:bookmarkEnd w:id="340"/>
    <w:p w14:paraId="6F376E44" w14:textId="77777777" w:rsidR="00F326E5" w:rsidRDefault="00F326E5" w:rsidP="00F326E5">
      <w:pPr>
        <w:rPr>
          <w:rFonts w:ascii="Arial Black" w:hAnsi="Arial Black"/>
          <w:sz w:val="40"/>
          <w:szCs w:val="40"/>
        </w:rPr>
      </w:pPr>
    </w:p>
    <w:p w14:paraId="56BD01EB" w14:textId="77777777" w:rsidR="00DE0F03" w:rsidRDefault="00DE0F03" w:rsidP="00DE0F03">
      <w:pPr>
        <w:rPr>
          <w:rFonts w:ascii="Arial Black" w:hAnsi="Arial Black"/>
          <w:b/>
          <w:sz w:val="24"/>
          <w:szCs w:val="24"/>
        </w:rPr>
      </w:pPr>
      <w:bookmarkStart w:id="341" w:name="_Hlk7344627"/>
    </w:p>
    <w:p w14:paraId="4AD38C46" w14:textId="2F3A302D" w:rsidR="00DE0F03" w:rsidRDefault="00DE0F03" w:rsidP="00DE0F03">
      <w:pPr>
        <w:rPr>
          <w:color w:val="4A4A4A"/>
          <w:sz w:val="24"/>
          <w:szCs w:val="24"/>
          <w:lang w:val="en"/>
        </w:rPr>
      </w:pPr>
      <w:r>
        <w:rPr>
          <w:rFonts w:ascii="Arial Black" w:hAnsi="Arial Black"/>
          <w:b/>
          <w:sz w:val="24"/>
          <w:szCs w:val="24"/>
        </w:rPr>
        <w:lastRenderedPageBreak/>
        <w:t>8</w:t>
      </w:r>
      <w:r w:rsidRPr="00EF1133">
        <w:rPr>
          <w:rFonts w:ascii="Arial Black" w:hAnsi="Arial Black"/>
          <w:b/>
          <w:sz w:val="24"/>
          <w:szCs w:val="24"/>
        </w:rPr>
        <w:t>-</w:t>
      </w:r>
      <w:r w:rsidR="005A395B">
        <w:rPr>
          <w:rFonts w:ascii="Arial Black" w:hAnsi="Arial Black"/>
          <w:b/>
          <w:sz w:val="24"/>
          <w:szCs w:val="24"/>
        </w:rPr>
        <w:t>2</w:t>
      </w:r>
    </w:p>
    <w:p w14:paraId="3C8E1E84" w14:textId="6AB7DF2D" w:rsidR="00F326E5" w:rsidRDefault="00F326E5" w:rsidP="00F326E5">
      <w:pPr>
        <w:pStyle w:val="NoSpacing"/>
        <w:rPr>
          <w:b/>
          <w:sz w:val="24"/>
          <w:szCs w:val="24"/>
        </w:rPr>
      </w:pPr>
      <w:r w:rsidRPr="00E54CAC">
        <w:rPr>
          <w:rFonts w:ascii="Arial Black" w:hAnsi="Arial Black"/>
          <w:b/>
          <w:sz w:val="28"/>
          <w:szCs w:val="28"/>
        </w:rPr>
        <w:t xml:space="preserve">MD:  </w:t>
      </w:r>
      <w:r>
        <w:rPr>
          <w:rFonts w:ascii="Arial Black" w:hAnsi="Arial Black"/>
          <w:b/>
          <w:sz w:val="28"/>
          <w:szCs w:val="28"/>
        </w:rPr>
        <w:t xml:space="preserve">AIRPORT </w:t>
      </w:r>
      <w:r w:rsidRPr="00E54CAC">
        <w:rPr>
          <w:rFonts w:ascii="Arial Black" w:hAnsi="Arial Black"/>
          <w:b/>
          <w:sz w:val="28"/>
          <w:szCs w:val="28"/>
        </w:rPr>
        <w:t>HIRED LATIN</w:t>
      </w:r>
      <w:r>
        <w:rPr>
          <w:rFonts w:ascii="Arial Black" w:hAnsi="Arial Black"/>
          <w:b/>
          <w:sz w:val="28"/>
          <w:szCs w:val="28"/>
        </w:rPr>
        <w:t xml:space="preserve">O AS FIRE CHIEF - </w:t>
      </w:r>
      <w:proofErr w:type="gramStart"/>
      <w:r w:rsidRPr="00E54CAC">
        <w:rPr>
          <w:rFonts w:ascii="Arial Black" w:hAnsi="Arial Black"/>
          <w:b/>
          <w:sz w:val="28"/>
          <w:szCs w:val="28"/>
        </w:rPr>
        <w:t>AFRICAN</w:t>
      </w:r>
      <w:r>
        <w:rPr>
          <w:rFonts w:ascii="Arial Black" w:hAnsi="Arial Black"/>
          <w:b/>
          <w:sz w:val="28"/>
          <w:szCs w:val="28"/>
        </w:rPr>
        <w:t>-</w:t>
      </w:r>
      <w:r w:rsidRPr="00E54CAC">
        <w:rPr>
          <w:rFonts w:ascii="Arial Black" w:hAnsi="Arial Black"/>
          <w:b/>
          <w:sz w:val="28"/>
          <w:szCs w:val="28"/>
        </w:rPr>
        <w:t>AMERICAN</w:t>
      </w:r>
      <w:r>
        <w:rPr>
          <w:rFonts w:ascii="Arial Black" w:hAnsi="Arial Black"/>
          <w:b/>
          <w:sz w:val="28"/>
          <w:szCs w:val="28"/>
        </w:rPr>
        <w:t>’S</w:t>
      </w:r>
      <w:proofErr w:type="gramEnd"/>
      <w:r>
        <w:rPr>
          <w:rFonts w:ascii="Arial Black" w:hAnsi="Arial Black"/>
          <w:b/>
          <w:sz w:val="28"/>
          <w:szCs w:val="28"/>
        </w:rPr>
        <w:t xml:space="preserve"> LAWSUIT MAY PROCEED</w:t>
      </w:r>
    </w:p>
    <w:p w14:paraId="6443C1A3" w14:textId="77777777" w:rsid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w:t>
      </w:r>
      <w:bookmarkStart w:id="342" w:name="_Hlk39839116"/>
      <w:r w:rsidRPr="00BF4DDE">
        <w:rPr>
          <w:rFonts w:ascii="Times New Roman" w:hAnsi="Times New Roman"/>
          <w:sz w:val="24"/>
          <w:szCs w:val="24"/>
        </w:rPr>
        <w:t xml:space="preserve">Jan. 19, 2018, in </w:t>
      </w:r>
      <w:r w:rsidRPr="002616A6">
        <w:rPr>
          <w:rFonts w:ascii="Times New Roman" w:hAnsi="Times New Roman"/>
          <w:sz w:val="24"/>
          <w:szCs w:val="24"/>
          <w:u w:val="single"/>
        </w:rPr>
        <w:t>Gregory C. Lawrence v. Maryland Aviation Administration</w:t>
      </w:r>
      <w:bookmarkEnd w:id="342"/>
      <w:r w:rsidRPr="00BF4DDE">
        <w:rPr>
          <w:rFonts w:ascii="Times New Roman" w:hAnsi="Times New Roman"/>
          <w:sz w:val="24"/>
          <w:szCs w:val="24"/>
        </w:rPr>
        <w:t xml:space="preserve">, U.S. District Court for District of Maryland, Judge Richard D. Bennett denied the motion to dismiss filed by the Maryland Aviation Administration. </w:t>
      </w:r>
    </w:p>
    <w:p w14:paraId="40CA1C9E" w14:textId="77777777" w:rsidR="00BF4DDE" w:rsidRDefault="00BF4DDE" w:rsidP="00F326E5">
      <w:pPr>
        <w:pStyle w:val="NoSpacing"/>
        <w:rPr>
          <w:rFonts w:ascii="Times New Roman" w:hAnsi="Times New Roman"/>
          <w:sz w:val="24"/>
          <w:szCs w:val="24"/>
        </w:rPr>
      </w:pPr>
    </w:p>
    <w:p w14:paraId="33357283" w14:textId="166877D6" w:rsidR="00F326E5" w:rsidRPr="00BF4DDE" w:rsidRDefault="00F326E5" w:rsidP="00BF4DDE">
      <w:pPr>
        <w:pStyle w:val="NoSpacing"/>
        <w:ind w:left="720"/>
        <w:rPr>
          <w:rFonts w:ascii="Times New Roman" w:hAnsi="Times New Roman"/>
          <w:sz w:val="24"/>
          <w:szCs w:val="24"/>
        </w:rPr>
      </w:pPr>
      <w:r w:rsidRPr="00BF4DDE">
        <w:rPr>
          <w:rFonts w:ascii="Times New Roman" w:hAnsi="Times New Roman"/>
          <w:sz w:val="24"/>
          <w:szCs w:val="24"/>
        </w:rPr>
        <w:t>“Plaintiff alleges that despite his experience and "stellar qualifications" for the position, he was not hired; instead, plaintiff alleges, "[t]he person hired was a Latino male, substantially less qualified for the position than Mr. Lawrence."</w:t>
      </w:r>
    </w:p>
    <w:bookmarkStart w:id="343" w:name="_Hlk39839090"/>
    <w:p w14:paraId="2476ED26" w14:textId="71B7A617" w:rsidR="00F326E5" w:rsidRPr="00BF4DDE" w:rsidRDefault="00DC51D4" w:rsidP="00BF4DDE">
      <w:pPr>
        <w:pStyle w:val="NoSpacing"/>
        <w:ind w:firstLine="720"/>
        <w:rPr>
          <w:rFonts w:ascii="Times New Roman" w:hAnsi="Times New Roman"/>
          <w:sz w:val="24"/>
          <w:szCs w:val="24"/>
        </w:rPr>
      </w:pPr>
      <w:r>
        <w:fldChar w:fldCharType="begin"/>
      </w:r>
      <w:r>
        <w:instrText xml:space="preserve"> HYPERLINK "https://www.leagle.com/decision/infdco20161011978" </w:instrText>
      </w:r>
      <w:r>
        <w:fldChar w:fldCharType="separate"/>
      </w:r>
      <w:r w:rsidR="00BF4DDE" w:rsidRPr="002F304C">
        <w:rPr>
          <w:rStyle w:val="Hyperlink"/>
          <w:rFonts w:ascii="Times New Roman" w:hAnsi="Times New Roman"/>
          <w:sz w:val="24"/>
          <w:szCs w:val="24"/>
        </w:rPr>
        <w:t>https://www.leagle.com/decision/infdco20161011978</w:t>
      </w:r>
      <w:r>
        <w:rPr>
          <w:rStyle w:val="Hyperlink"/>
          <w:rFonts w:ascii="Times New Roman" w:hAnsi="Times New Roman"/>
          <w:sz w:val="24"/>
          <w:szCs w:val="24"/>
        </w:rPr>
        <w:fldChar w:fldCharType="end"/>
      </w:r>
      <w:r w:rsidR="00F326E5" w:rsidRPr="00BF4DDE">
        <w:rPr>
          <w:rFonts w:ascii="Times New Roman" w:hAnsi="Times New Roman"/>
          <w:sz w:val="24"/>
          <w:szCs w:val="24"/>
        </w:rPr>
        <w:t xml:space="preserve"> </w:t>
      </w:r>
    </w:p>
    <w:bookmarkEnd w:id="343"/>
    <w:p w14:paraId="17D2D634" w14:textId="77777777" w:rsidR="00BF4DDE" w:rsidRDefault="00BF4DDE" w:rsidP="00F326E5">
      <w:pPr>
        <w:pStyle w:val="NoSpacing"/>
        <w:rPr>
          <w:rFonts w:ascii="Times New Roman" w:hAnsi="Times New Roman"/>
          <w:b/>
          <w:sz w:val="24"/>
          <w:szCs w:val="24"/>
        </w:rPr>
      </w:pPr>
    </w:p>
    <w:p w14:paraId="01749151" w14:textId="2D6BB386"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Title VII claim may now proceed </w:t>
      </w:r>
      <w:proofErr w:type="gramStart"/>
      <w:r w:rsidRPr="00BF4DDE">
        <w:rPr>
          <w:rFonts w:ascii="Times New Roman" w:hAnsi="Times New Roman"/>
          <w:b/>
          <w:sz w:val="24"/>
          <w:szCs w:val="24"/>
        </w:rPr>
        <w:t>to</w:t>
      </w:r>
      <w:proofErr w:type="gramEnd"/>
      <w:r w:rsidRPr="00BF4DDE">
        <w:rPr>
          <w:rFonts w:ascii="Times New Roman" w:hAnsi="Times New Roman"/>
          <w:b/>
          <w:sz w:val="24"/>
          <w:szCs w:val="24"/>
        </w:rPr>
        <w:t xml:space="preserve"> pre-trial discovery. </w:t>
      </w:r>
    </w:p>
    <w:p w14:paraId="6FF780FA" w14:textId="77777777" w:rsidR="00F326E5" w:rsidRPr="00BF4DDE" w:rsidRDefault="00F326E5" w:rsidP="00F326E5">
      <w:pPr>
        <w:pStyle w:val="NoSpacing"/>
        <w:rPr>
          <w:rFonts w:ascii="Times New Roman" w:hAnsi="Times New Roman"/>
          <w:b/>
          <w:sz w:val="24"/>
          <w:szCs w:val="24"/>
        </w:rPr>
      </w:pPr>
    </w:p>
    <w:bookmarkEnd w:id="341"/>
    <w:p w14:paraId="051BEBA3" w14:textId="52237868" w:rsidR="00F326E5" w:rsidRDefault="00F326E5" w:rsidP="00F326E5">
      <w:pPr>
        <w:pStyle w:val="NoSpacing"/>
        <w:rPr>
          <w:b/>
          <w:sz w:val="24"/>
          <w:szCs w:val="24"/>
        </w:rPr>
      </w:pPr>
    </w:p>
    <w:p w14:paraId="1B2B9220" w14:textId="77777777" w:rsidR="00F326E5" w:rsidRDefault="00F326E5" w:rsidP="00F326E5">
      <w:pPr>
        <w:pStyle w:val="NoSpacing"/>
        <w:rPr>
          <w:b/>
          <w:sz w:val="24"/>
          <w:szCs w:val="24"/>
        </w:rPr>
      </w:pPr>
    </w:p>
    <w:p w14:paraId="71919B28" w14:textId="7C390FA1" w:rsidR="00F326E5" w:rsidRDefault="00DE0F03" w:rsidP="00F326E5">
      <w:pPr>
        <w:rPr>
          <w:color w:val="4A4A4A"/>
          <w:sz w:val="24"/>
          <w:szCs w:val="24"/>
          <w:lang w:val="en"/>
        </w:rPr>
      </w:pPr>
      <w:r>
        <w:rPr>
          <w:rFonts w:ascii="Arial Black" w:hAnsi="Arial Black"/>
          <w:b/>
          <w:sz w:val="24"/>
          <w:szCs w:val="24"/>
        </w:rPr>
        <w:t>8</w:t>
      </w:r>
      <w:r w:rsidRPr="00EF1133">
        <w:rPr>
          <w:rFonts w:ascii="Arial Black" w:hAnsi="Arial Black"/>
          <w:b/>
          <w:sz w:val="24"/>
          <w:szCs w:val="24"/>
        </w:rPr>
        <w:t>-1</w:t>
      </w:r>
    </w:p>
    <w:p w14:paraId="79FA3CF2" w14:textId="78A42FF9" w:rsidR="00F326E5" w:rsidRPr="00210017" w:rsidRDefault="00F326E5" w:rsidP="00F326E5">
      <w:pPr>
        <w:rPr>
          <w:rFonts w:ascii="Arial Black" w:hAnsi="Arial Black"/>
          <w:b/>
          <w:color w:val="4A4A4A"/>
          <w:sz w:val="28"/>
          <w:szCs w:val="28"/>
          <w:lang w:val="en"/>
        </w:rPr>
      </w:pPr>
      <w:bookmarkStart w:id="344" w:name="_Hlk7344666"/>
      <w:bookmarkStart w:id="345" w:name="_Hlk7344834"/>
      <w:r w:rsidRPr="00210017">
        <w:rPr>
          <w:rFonts w:ascii="Arial Black" w:hAnsi="Arial Black"/>
          <w:b/>
          <w:color w:val="4A4A4A"/>
          <w:sz w:val="28"/>
          <w:szCs w:val="28"/>
          <w:lang w:val="en"/>
        </w:rPr>
        <w:t>NY: FDNY’s FORMER EEOC OFFICER SUES FOR RACE DISCRIMINATION – LAWSUIT MAY PROCEED</w:t>
      </w:r>
    </w:p>
    <w:p w14:paraId="2E3A59DF" w14:textId="77777777" w:rsidR="00BF4DDE" w:rsidRDefault="00F326E5" w:rsidP="00F326E5">
      <w:pPr>
        <w:rPr>
          <w:rFonts w:ascii="Times New Roman" w:hAnsi="Times New Roman"/>
          <w:color w:val="4A4A4A"/>
          <w:sz w:val="24"/>
          <w:szCs w:val="24"/>
          <w:lang w:val="en"/>
        </w:rPr>
      </w:pPr>
      <w:r w:rsidRPr="00BF4DDE">
        <w:rPr>
          <w:rFonts w:ascii="Times New Roman" w:hAnsi="Times New Roman"/>
          <w:color w:val="4A4A4A"/>
          <w:sz w:val="24"/>
          <w:szCs w:val="24"/>
          <w:lang w:val="en"/>
        </w:rPr>
        <w:t xml:space="preserve">On Jan. 2, 2018, in </w:t>
      </w:r>
      <w:r w:rsidRPr="00BF4DDE">
        <w:rPr>
          <w:rFonts w:ascii="Times New Roman" w:hAnsi="Times New Roman"/>
          <w:color w:val="4A4A4A"/>
          <w:sz w:val="24"/>
          <w:szCs w:val="24"/>
          <w:u w:val="single"/>
          <w:lang w:val="en"/>
        </w:rPr>
        <w:t xml:space="preserve">Lyndelle T. Phillips, Esq. v. The City of New York, et </w:t>
      </w:r>
      <w:proofErr w:type="gramStart"/>
      <w:r w:rsidRPr="00BF4DDE">
        <w:rPr>
          <w:rFonts w:ascii="Times New Roman" w:hAnsi="Times New Roman"/>
          <w:color w:val="4A4A4A"/>
          <w:sz w:val="24"/>
          <w:szCs w:val="24"/>
          <w:u w:val="single"/>
          <w:lang w:val="en"/>
        </w:rPr>
        <w:t>al</w:t>
      </w:r>
      <w:r w:rsidRPr="00BF4DDE">
        <w:rPr>
          <w:rFonts w:ascii="Times New Roman" w:hAnsi="Times New Roman"/>
          <w:color w:val="4A4A4A"/>
          <w:sz w:val="24"/>
          <w:szCs w:val="24"/>
          <w:lang w:val="en"/>
        </w:rPr>
        <w:t>,,</w:t>
      </w:r>
      <w:proofErr w:type="gramEnd"/>
      <w:r w:rsidRPr="00BF4DDE">
        <w:rPr>
          <w:rFonts w:ascii="Times New Roman" w:hAnsi="Times New Roman"/>
          <w:color w:val="4A4A4A"/>
          <w:sz w:val="24"/>
          <w:szCs w:val="24"/>
          <w:lang w:val="en"/>
        </w:rPr>
        <w:t xml:space="preserve"> U.S. District Court Senior Judge Jack B. Weinstein, held that the City’s motion to dismiss is denied and her lawsuit may proceed.</w:t>
      </w:r>
    </w:p>
    <w:p w14:paraId="10011404" w14:textId="6E7B5281" w:rsidR="00F326E5" w:rsidRPr="00BF4DDE" w:rsidRDefault="00F326E5" w:rsidP="00BF4DDE">
      <w:pPr>
        <w:ind w:left="720"/>
        <w:rPr>
          <w:rFonts w:ascii="Times New Roman" w:hAnsi="Times New Roman"/>
          <w:color w:val="4A4A4A"/>
          <w:sz w:val="24"/>
          <w:szCs w:val="24"/>
          <w:lang w:val="en"/>
        </w:rPr>
      </w:pPr>
      <w:r w:rsidRPr="00BF4DDE">
        <w:rPr>
          <w:rFonts w:ascii="Times New Roman" w:hAnsi="Times New Roman"/>
          <w:color w:val="4A4A4A"/>
          <w:sz w:val="24"/>
          <w:szCs w:val="24"/>
          <w:lang w:val="en"/>
        </w:rPr>
        <w:t xml:space="preserve">“After observing plaintiff during her extended examination by the court, defendants' motion for summary judgment on plaintiffs Section 1981 claim is denied. A jury could find her to be a credible witness who took her job at the FDNY seriously and performed satisfactorily. Discrimination, and not poor job performance, a jury could conclude, was the reason for her termination by </w:t>
      </w:r>
      <w:proofErr w:type="gramStart"/>
      <w:r w:rsidRPr="00BF4DDE">
        <w:rPr>
          <w:rFonts w:ascii="Times New Roman" w:hAnsi="Times New Roman"/>
          <w:color w:val="4A4A4A"/>
          <w:sz w:val="24"/>
          <w:szCs w:val="24"/>
          <w:lang w:val="en"/>
        </w:rPr>
        <w:t>the FDNY</w:t>
      </w:r>
      <w:proofErr w:type="gramEnd"/>
      <w:r w:rsidRPr="00BF4DDE">
        <w:rPr>
          <w:rFonts w:ascii="Times New Roman" w:hAnsi="Times New Roman"/>
          <w:color w:val="4A4A4A"/>
          <w:sz w:val="24"/>
          <w:szCs w:val="24"/>
          <w:lang w:val="en"/>
        </w:rPr>
        <w:t xml:space="preserve">. </w:t>
      </w:r>
      <w:hyperlink r:id="rId1563" w:history="1">
        <w:r w:rsidRPr="00BF4DDE">
          <w:rPr>
            <w:rStyle w:val="Hyperlink"/>
            <w:rFonts w:ascii="Times New Roman" w:hAnsi="Times New Roman"/>
            <w:sz w:val="24"/>
            <w:szCs w:val="24"/>
            <w:lang w:val="en"/>
          </w:rPr>
          <w:t>file:///C:/Users/lawre/AppData/Local/Microsoft/Windows/INetCache/IE/XO250S7T/Phillips-FDNY.pdf</w:t>
        </w:r>
      </w:hyperlink>
      <w:r w:rsidRPr="00BF4DDE">
        <w:rPr>
          <w:rFonts w:ascii="Times New Roman" w:hAnsi="Times New Roman"/>
          <w:color w:val="4A4A4A"/>
          <w:sz w:val="24"/>
          <w:szCs w:val="24"/>
          <w:lang w:val="en"/>
        </w:rPr>
        <w:t xml:space="preserve"> </w:t>
      </w:r>
    </w:p>
    <w:p w14:paraId="146999EC" w14:textId="77777777" w:rsidR="00F326E5" w:rsidRPr="00BF4DDE" w:rsidRDefault="00F326E5" w:rsidP="00F326E5">
      <w:pPr>
        <w:rPr>
          <w:rFonts w:ascii="Times New Roman" w:hAnsi="Times New Roman"/>
          <w:b/>
          <w:color w:val="4A4A4A"/>
          <w:sz w:val="24"/>
          <w:szCs w:val="24"/>
          <w:lang w:val="en"/>
        </w:rPr>
      </w:pPr>
      <w:r w:rsidRPr="00BF4DDE">
        <w:rPr>
          <w:rFonts w:ascii="Times New Roman" w:hAnsi="Times New Roman"/>
          <w:b/>
          <w:color w:val="4A4A4A"/>
          <w:sz w:val="24"/>
          <w:szCs w:val="24"/>
          <w:lang w:val="en"/>
        </w:rPr>
        <w:t xml:space="preserve">Legal Lessons Learned: The lawsuit may proceed.  The judge referenced the Vulcan Society case. </w:t>
      </w:r>
    </w:p>
    <w:p w14:paraId="3242BC9D" w14:textId="77777777" w:rsidR="00F326E5" w:rsidRPr="00BF4DDE" w:rsidRDefault="00F326E5" w:rsidP="00F326E5">
      <w:pPr>
        <w:ind w:left="720"/>
        <w:rPr>
          <w:rFonts w:ascii="Times New Roman" w:hAnsi="Times New Roman"/>
          <w:color w:val="4A4A4A"/>
          <w:sz w:val="24"/>
          <w:szCs w:val="24"/>
          <w:lang w:val="en"/>
        </w:rPr>
      </w:pPr>
      <w:r w:rsidRPr="00BF4DDE">
        <w:rPr>
          <w:rFonts w:ascii="Times New Roman" w:hAnsi="Times New Roman"/>
          <w:color w:val="4A4A4A"/>
          <w:sz w:val="24"/>
          <w:szCs w:val="24"/>
          <w:lang w:val="en"/>
        </w:rPr>
        <w:t xml:space="preserve">Note: In </w:t>
      </w:r>
      <w:proofErr w:type="gramStart"/>
      <w:r w:rsidRPr="00BF4DDE">
        <w:rPr>
          <w:rFonts w:ascii="Times New Roman" w:hAnsi="Times New Roman"/>
          <w:color w:val="4A4A4A"/>
          <w:sz w:val="24"/>
          <w:szCs w:val="24"/>
          <w:lang w:val="en"/>
        </w:rPr>
        <w:t>March,</w:t>
      </w:r>
      <w:proofErr w:type="gramEnd"/>
      <w:r w:rsidRPr="00BF4DDE">
        <w:rPr>
          <w:rFonts w:ascii="Times New Roman" w:hAnsi="Times New Roman"/>
          <w:color w:val="4A4A4A"/>
          <w:sz w:val="24"/>
          <w:szCs w:val="24"/>
          <w:lang w:val="en"/>
        </w:rPr>
        <w:t xml:space="preserve"> 2014, the </w:t>
      </w:r>
      <w:proofErr w:type="gramStart"/>
      <w:r w:rsidRPr="00BF4DDE">
        <w:rPr>
          <w:rFonts w:ascii="Times New Roman" w:hAnsi="Times New Roman"/>
          <w:color w:val="4A4A4A"/>
          <w:sz w:val="24"/>
          <w:szCs w:val="24"/>
          <w:lang w:val="en"/>
        </w:rPr>
        <w:t>City</w:t>
      </w:r>
      <w:proofErr w:type="gramEnd"/>
      <w:r w:rsidRPr="00BF4DDE">
        <w:rPr>
          <w:rFonts w:ascii="Times New Roman" w:hAnsi="Times New Roman"/>
          <w:color w:val="4A4A4A"/>
          <w:sz w:val="24"/>
          <w:szCs w:val="24"/>
          <w:lang w:val="en"/>
        </w:rPr>
        <w:t xml:space="preserve"> settled the lawsuit with the Vulcan Society for $98 million. </w:t>
      </w:r>
      <w:hyperlink r:id="rId1564" w:history="1">
        <w:r w:rsidRPr="00BF4DDE">
          <w:rPr>
            <w:rStyle w:val="Hyperlink"/>
            <w:rFonts w:ascii="Times New Roman" w:hAnsi="Times New Roman"/>
            <w:sz w:val="24"/>
            <w:szCs w:val="24"/>
            <w:lang w:val="en"/>
          </w:rPr>
          <w:t>http://www.nydailynews.com/new-york/city-pay-98-million-fdny-discrimination-case-article-1.1725702</w:t>
        </w:r>
      </w:hyperlink>
      <w:bookmarkEnd w:id="344"/>
      <w:r w:rsidRPr="00BF4DDE">
        <w:rPr>
          <w:rFonts w:ascii="Times New Roman" w:hAnsi="Times New Roman"/>
          <w:color w:val="4A4A4A"/>
          <w:sz w:val="24"/>
          <w:szCs w:val="24"/>
          <w:lang w:val="en"/>
        </w:rPr>
        <w:t xml:space="preserve"> </w:t>
      </w:r>
    </w:p>
    <w:p w14:paraId="454AB09F" w14:textId="77777777" w:rsidR="00F326E5" w:rsidRPr="00BF4DDE" w:rsidRDefault="00F326E5" w:rsidP="00F326E5">
      <w:pPr>
        <w:pStyle w:val="NoSpacing"/>
        <w:rPr>
          <w:rFonts w:ascii="Times New Roman" w:hAnsi="Times New Roman"/>
          <w:b/>
          <w:sz w:val="24"/>
          <w:szCs w:val="24"/>
        </w:rPr>
      </w:pPr>
    </w:p>
    <w:p w14:paraId="5D669894" w14:textId="77777777" w:rsidR="00F326E5" w:rsidRPr="004128F7" w:rsidRDefault="00F326E5" w:rsidP="00F326E5">
      <w:pPr>
        <w:pStyle w:val="NoSpacing"/>
        <w:rPr>
          <w:b/>
          <w:sz w:val="24"/>
          <w:szCs w:val="24"/>
        </w:rPr>
      </w:pPr>
    </w:p>
    <w:bookmarkEnd w:id="345"/>
    <w:p w14:paraId="43F85748" w14:textId="77777777" w:rsidR="00F326E5" w:rsidRDefault="00F326E5" w:rsidP="00F326E5">
      <w:pPr>
        <w:rPr>
          <w:rFonts w:ascii="Arial Black" w:hAnsi="Arial Black"/>
          <w:sz w:val="40"/>
          <w:szCs w:val="40"/>
        </w:rPr>
      </w:pPr>
      <w:r>
        <w:rPr>
          <w:rFonts w:ascii="Arial Black" w:hAnsi="Arial Black"/>
          <w:sz w:val="40"/>
          <w:szCs w:val="40"/>
        </w:rPr>
        <w:br w:type="page"/>
      </w:r>
    </w:p>
    <w:p w14:paraId="2939461D" w14:textId="77777777" w:rsidR="00F326E5" w:rsidRPr="007732FA" w:rsidRDefault="00F326E5" w:rsidP="00F326E5">
      <w:pPr>
        <w:pStyle w:val="NoSpacing"/>
        <w:rPr>
          <w:rFonts w:ascii="Arial Black" w:hAnsi="Arial Black"/>
          <w:sz w:val="40"/>
          <w:szCs w:val="40"/>
        </w:rPr>
      </w:pPr>
    </w:p>
    <w:p w14:paraId="16A376F2" w14:textId="77777777" w:rsidR="00456C91" w:rsidRDefault="00456C91" w:rsidP="00F326E5">
      <w:pPr>
        <w:pStyle w:val="NoSpacing"/>
        <w:rPr>
          <w:rFonts w:ascii="Arial Black" w:hAnsi="Arial Black"/>
          <w:sz w:val="40"/>
          <w:szCs w:val="40"/>
        </w:rPr>
      </w:pPr>
    </w:p>
    <w:p w14:paraId="3F55AB61" w14:textId="77777777" w:rsidR="00456C91" w:rsidRDefault="00456C91" w:rsidP="00F326E5">
      <w:pPr>
        <w:pStyle w:val="NoSpacing"/>
        <w:rPr>
          <w:rFonts w:ascii="Arial Black" w:hAnsi="Arial Black"/>
          <w:sz w:val="40"/>
          <w:szCs w:val="40"/>
        </w:rPr>
      </w:pPr>
    </w:p>
    <w:p w14:paraId="131A4C3C" w14:textId="77777777" w:rsidR="00456C91" w:rsidRDefault="00456C91" w:rsidP="00F326E5">
      <w:pPr>
        <w:pStyle w:val="NoSpacing"/>
        <w:rPr>
          <w:rFonts w:ascii="Arial Black" w:hAnsi="Arial Black"/>
          <w:sz w:val="40"/>
          <w:szCs w:val="40"/>
        </w:rPr>
      </w:pPr>
    </w:p>
    <w:p w14:paraId="485C43F7" w14:textId="77777777" w:rsidR="00456C91" w:rsidRDefault="00456C91" w:rsidP="00F326E5">
      <w:pPr>
        <w:pStyle w:val="NoSpacing"/>
        <w:rPr>
          <w:rFonts w:ascii="Arial Black" w:hAnsi="Arial Black"/>
          <w:sz w:val="40"/>
          <w:szCs w:val="40"/>
        </w:rPr>
      </w:pPr>
    </w:p>
    <w:p w14:paraId="4B663432" w14:textId="77777777" w:rsidR="00456C91" w:rsidRDefault="00456C91" w:rsidP="00F326E5">
      <w:pPr>
        <w:pStyle w:val="NoSpacing"/>
        <w:rPr>
          <w:rFonts w:ascii="Arial Black" w:hAnsi="Arial Black"/>
          <w:sz w:val="40"/>
          <w:szCs w:val="40"/>
        </w:rPr>
      </w:pPr>
    </w:p>
    <w:p w14:paraId="6CE6E438" w14:textId="77777777" w:rsidR="00456C91" w:rsidRDefault="00456C91" w:rsidP="00F326E5">
      <w:pPr>
        <w:pStyle w:val="NoSpacing"/>
        <w:rPr>
          <w:rFonts w:ascii="Arial Black" w:hAnsi="Arial Black"/>
          <w:sz w:val="40"/>
          <w:szCs w:val="40"/>
        </w:rPr>
      </w:pPr>
    </w:p>
    <w:p w14:paraId="2FD84194" w14:textId="77777777" w:rsidR="00456C91" w:rsidRDefault="00456C91" w:rsidP="00F326E5">
      <w:pPr>
        <w:pStyle w:val="NoSpacing"/>
        <w:rPr>
          <w:rFonts w:ascii="Arial Black" w:hAnsi="Arial Black"/>
          <w:sz w:val="40"/>
          <w:szCs w:val="40"/>
        </w:rPr>
      </w:pPr>
    </w:p>
    <w:p w14:paraId="5D48D2AD" w14:textId="77777777" w:rsidR="00456C91" w:rsidRDefault="00456C91" w:rsidP="00F326E5">
      <w:pPr>
        <w:pStyle w:val="NoSpacing"/>
        <w:rPr>
          <w:rFonts w:ascii="Arial Black" w:hAnsi="Arial Black"/>
          <w:sz w:val="40"/>
          <w:szCs w:val="40"/>
        </w:rPr>
      </w:pPr>
    </w:p>
    <w:p w14:paraId="6967BB24" w14:textId="77777777" w:rsidR="00456C91" w:rsidRDefault="00456C91" w:rsidP="00F326E5">
      <w:pPr>
        <w:pStyle w:val="NoSpacing"/>
        <w:rPr>
          <w:rFonts w:ascii="Arial Black" w:hAnsi="Arial Black"/>
          <w:sz w:val="40"/>
          <w:szCs w:val="40"/>
        </w:rPr>
      </w:pPr>
    </w:p>
    <w:p w14:paraId="0611B92E" w14:textId="77777777" w:rsidR="00456C91" w:rsidRDefault="00456C91" w:rsidP="00F326E5">
      <w:pPr>
        <w:pStyle w:val="NoSpacing"/>
        <w:rPr>
          <w:rFonts w:ascii="Arial Black" w:hAnsi="Arial Black"/>
          <w:sz w:val="40"/>
          <w:szCs w:val="40"/>
        </w:rPr>
      </w:pPr>
    </w:p>
    <w:p w14:paraId="3A80B944" w14:textId="77777777" w:rsidR="00456C91" w:rsidRDefault="00456C91" w:rsidP="00F326E5">
      <w:pPr>
        <w:pStyle w:val="NoSpacing"/>
        <w:rPr>
          <w:rFonts w:ascii="Arial Black" w:hAnsi="Arial Black"/>
          <w:sz w:val="40"/>
          <w:szCs w:val="40"/>
        </w:rPr>
      </w:pPr>
    </w:p>
    <w:p w14:paraId="5A7AA1FF" w14:textId="77777777" w:rsidR="00456C91" w:rsidRDefault="00456C91" w:rsidP="00F326E5">
      <w:pPr>
        <w:pStyle w:val="NoSpacing"/>
        <w:rPr>
          <w:rFonts w:ascii="Arial Black" w:hAnsi="Arial Black"/>
          <w:sz w:val="40"/>
          <w:szCs w:val="40"/>
        </w:rPr>
      </w:pPr>
    </w:p>
    <w:p w14:paraId="46BDAA20" w14:textId="77777777" w:rsidR="00456C91" w:rsidRDefault="00456C91" w:rsidP="00F326E5">
      <w:pPr>
        <w:pStyle w:val="NoSpacing"/>
        <w:rPr>
          <w:rFonts w:ascii="Arial Black" w:hAnsi="Arial Black"/>
          <w:sz w:val="40"/>
          <w:szCs w:val="40"/>
        </w:rPr>
      </w:pPr>
    </w:p>
    <w:p w14:paraId="76B14F0E" w14:textId="77777777" w:rsidR="00456C91" w:rsidRDefault="00456C91" w:rsidP="00F326E5">
      <w:pPr>
        <w:pStyle w:val="NoSpacing"/>
        <w:rPr>
          <w:rFonts w:ascii="Arial Black" w:hAnsi="Arial Black"/>
          <w:sz w:val="40"/>
          <w:szCs w:val="40"/>
        </w:rPr>
      </w:pPr>
    </w:p>
    <w:p w14:paraId="34AC1D76" w14:textId="77777777" w:rsidR="00456C91" w:rsidRDefault="00456C91" w:rsidP="00F326E5">
      <w:pPr>
        <w:pStyle w:val="NoSpacing"/>
        <w:rPr>
          <w:rFonts w:ascii="Arial Black" w:hAnsi="Arial Black"/>
          <w:sz w:val="40"/>
          <w:szCs w:val="40"/>
        </w:rPr>
      </w:pPr>
    </w:p>
    <w:p w14:paraId="0BCD4C02" w14:textId="77777777" w:rsidR="00456C91" w:rsidRDefault="00456C91" w:rsidP="00F326E5">
      <w:pPr>
        <w:pStyle w:val="NoSpacing"/>
        <w:rPr>
          <w:rFonts w:ascii="Arial Black" w:hAnsi="Arial Black"/>
          <w:sz w:val="40"/>
          <w:szCs w:val="40"/>
        </w:rPr>
      </w:pPr>
    </w:p>
    <w:p w14:paraId="67A416D8" w14:textId="77777777" w:rsidR="00456C91" w:rsidRDefault="00456C91" w:rsidP="00F326E5">
      <w:pPr>
        <w:pStyle w:val="NoSpacing"/>
        <w:rPr>
          <w:rFonts w:ascii="Arial Black" w:hAnsi="Arial Black"/>
          <w:sz w:val="40"/>
          <w:szCs w:val="40"/>
        </w:rPr>
      </w:pPr>
    </w:p>
    <w:p w14:paraId="2078D466" w14:textId="77777777" w:rsidR="00456C91" w:rsidRDefault="00456C91" w:rsidP="00F326E5">
      <w:pPr>
        <w:pStyle w:val="NoSpacing"/>
        <w:rPr>
          <w:rFonts w:ascii="Arial Black" w:hAnsi="Arial Black"/>
          <w:sz w:val="40"/>
          <w:szCs w:val="40"/>
        </w:rPr>
      </w:pPr>
    </w:p>
    <w:p w14:paraId="7B698F53" w14:textId="77777777" w:rsidR="00456C91" w:rsidRDefault="00456C91" w:rsidP="00F326E5">
      <w:pPr>
        <w:pStyle w:val="NoSpacing"/>
        <w:rPr>
          <w:rFonts w:ascii="Arial Black" w:hAnsi="Arial Black"/>
          <w:sz w:val="40"/>
          <w:szCs w:val="40"/>
        </w:rPr>
      </w:pPr>
    </w:p>
    <w:p w14:paraId="3EB19449" w14:textId="77777777" w:rsidR="00456C91" w:rsidRDefault="00456C91" w:rsidP="00F326E5">
      <w:pPr>
        <w:pStyle w:val="NoSpacing"/>
        <w:rPr>
          <w:rFonts w:ascii="Arial Black" w:hAnsi="Arial Black"/>
          <w:sz w:val="40"/>
          <w:szCs w:val="40"/>
        </w:rPr>
      </w:pPr>
    </w:p>
    <w:p w14:paraId="3C57BAFB" w14:textId="77777777" w:rsidR="00456C91" w:rsidRDefault="00456C91" w:rsidP="00F326E5">
      <w:pPr>
        <w:pStyle w:val="NoSpacing"/>
        <w:rPr>
          <w:rFonts w:ascii="Arial Black" w:hAnsi="Arial Black"/>
          <w:sz w:val="40"/>
          <w:szCs w:val="40"/>
        </w:rPr>
      </w:pPr>
    </w:p>
    <w:p w14:paraId="630F7611" w14:textId="77777777" w:rsidR="00456C91" w:rsidRDefault="00456C91" w:rsidP="00F326E5">
      <w:pPr>
        <w:pStyle w:val="NoSpacing"/>
        <w:rPr>
          <w:rFonts w:ascii="Arial Black" w:hAnsi="Arial Black"/>
          <w:sz w:val="40"/>
          <w:szCs w:val="40"/>
        </w:rPr>
      </w:pPr>
    </w:p>
    <w:p w14:paraId="796C012D" w14:textId="77777777" w:rsidR="00456C91" w:rsidRDefault="00456C91" w:rsidP="00F326E5">
      <w:pPr>
        <w:pStyle w:val="NoSpacing"/>
        <w:rPr>
          <w:rFonts w:ascii="Arial Black" w:hAnsi="Arial Black"/>
          <w:sz w:val="40"/>
          <w:szCs w:val="40"/>
        </w:rPr>
      </w:pPr>
    </w:p>
    <w:p w14:paraId="2E5CC0CE" w14:textId="77777777" w:rsidR="00456C91" w:rsidRDefault="00456C91" w:rsidP="00F326E5">
      <w:pPr>
        <w:pStyle w:val="NoSpacing"/>
        <w:rPr>
          <w:rFonts w:ascii="Arial Black" w:hAnsi="Arial Black"/>
          <w:sz w:val="40"/>
          <w:szCs w:val="40"/>
        </w:rPr>
      </w:pPr>
    </w:p>
    <w:p w14:paraId="1543A207" w14:textId="3F7609A4"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9</w:t>
      </w:r>
      <w:r w:rsidRPr="007732FA">
        <w:rPr>
          <w:rFonts w:ascii="Arial Black" w:hAnsi="Arial Black"/>
          <w:sz w:val="40"/>
          <w:szCs w:val="40"/>
        </w:rPr>
        <w:tab/>
        <w:t xml:space="preserve">Americans </w:t>
      </w:r>
      <w:proofErr w:type="gramStart"/>
      <w:r w:rsidRPr="007732FA">
        <w:rPr>
          <w:rFonts w:ascii="Arial Black" w:hAnsi="Arial Black"/>
          <w:sz w:val="40"/>
          <w:szCs w:val="40"/>
        </w:rPr>
        <w:t>With</w:t>
      </w:r>
      <w:proofErr w:type="gramEnd"/>
      <w:r w:rsidRPr="007732FA">
        <w:rPr>
          <w:rFonts w:ascii="Arial Black" w:hAnsi="Arial Black"/>
          <w:sz w:val="40"/>
          <w:szCs w:val="40"/>
        </w:rPr>
        <w:t xml:space="preserve"> Disabilities Act</w:t>
      </w:r>
    </w:p>
    <w:p w14:paraId="2E416640" w14:textId="77777777" w:rsidR="0015021B" w:rsidRDefault="0015021B" w:rsidP="00F326E5">
      <w:pPr>
        <w:pStyle w:val="NoSpacing"/>
        <w:rPr>
          <w:sz w:val="24"/>
          <w:szCs w:val="24"/>
        </w:rPr>
      </w:pPr>
    </w:p>
    <w:p w14:paraId="5C56E0C6" w14:textId="77777777" w:rsidR="00BC4752" w:rsidRDefault="00BC4752" w:rsidP="00684A51">
      <w:pPr>
        <w:pStyle w:val="NoSpacing"/>
        <w:rPr>
          <w:rFonts w:ascii="Arial Black" w:hAnsi="Arial Black"/>
          <w:sz w:val="24"/>
          <w:szCs w:val="24"/>
        </w:rPr>
      </w:pPr>
      <w:bookmarkStart w:id="346" w:name="_Hlk7344938"/>
    </w:p>
    <w:p w14:paraId="16B42586" w14:textId="77777777" w:rsidR="008C7243" w:rsidRDefault="008C7243" w:rsidP="00BC4752">
      <w:pPr>
        <w:pStyle w:val="NoSpacing"/>
        <w:rPr>
          <w:rFonts w:ascii="Arial Black" w:hAnsi="Arial Black"/>
          <w:sz w:val="24"/>
          <w:szCs w:val="24"/>
        </w:rPr>
      </w:pPr>
    </w:p>
    <w:p w14:paraId="4F5A2076" w14:textId="55715887" w:rsidR="00B35478" w:rsidRDefault="00B35478" w:rsidP="00B35478">
      <w:pPr>
        <w:pStyle w:val="NoSpacing"/>
        <w:rPr>
          <w:rFonts w:ascii="Arial Black" w:hAnsi="Arial Black"/>
          <w:sz w:val="28"/>
          <w:szCs w:val="28"/>
        </w:rPr>
      </w:pPr>
      <w:r>
        <w:rPr>
          <w:rFonts w:ascii="Arial Black" w:hAnsi="Arial Black"/>
          <w:sz w:val="28"/>
          <w:szCs w:val="28"/>
        </w:rPr>
        <w:t xml:space="preserve">14-9 [also filed, Chap. </w:t>
      </w:r>
      <w:r>
        <w:rPr>
          <w:rFonts w:ascii="Arial Black" w:hAnsi="Arial Black"/>
          <w:sz w:val="28"/>
          <w:szCs w:val="28"/>
        </w:rPr>
        <w:t>14</w:t>
      </w:r>
      <w:r>
        <w:rPr>
          <w:rFonts w:ascii="Arial Black" w:hAnsi="Arial Black"/>
          <w:sz w:val="28"/>
          <w:szCs w:val="28"/>
        </w:rPr>
        <w:t xml:space="preserve">, </w:t>
      </w:r>
      <w:r>
        <w:rPr>
          <w:rFonts w:ascii="Arial Black" w:hAnsi="Arial Black"/>
          <w:sz w:val="28"/>
          <w:szCs w:val="28"/>
        </w:rPr>
        <w:t>Physical Fitness]</w:t>
      </w:r>
    </w:p>
    <w:p w14:paraId="4F9C2A0E" w14:textId="77777777" w:rsidR="00B35478" w:rsidRDefault="00B35478" w:rsidP="00B35478">
      <w:pPr>
        <w:pStyle w:val="NoSpacing"/>
        <w:rPr>
          <w:rFonts w:ascii="Arial Black" w:hAnsi="Arial Black"/>
          <w:sz w:val="28"/>
          <w:szCs w:val="28"/>
        </w:rPr>
      </w:pPr>
    </w:p>
    <w:p w14:paraId="35063719" w14:textId="77777777" w:rsidR="00B35478" w:rsidRDefault="00B35478" w:rsidP="00B35478">
      <w:pPr>
        <w:pStyle w:val="NoSpacing"/>
        <w:rPr>
          <w:rFonts w:ascii="Arial Black" w:hAnsi="Arial Black"/>
          <w:bCs/>
          <w:sz w:val="28"/>
          <w:szCs w:val="28"/>
        </w:rPr>
      </w:pPr>
      <w:r>
        <w:rPr>
          <w:rFonts w:ascii="Arial Black" w:hAnsi="Arial Black"/>
          <w:sz w:val="28"/>
          <w:szCs w:val="28"/>
        </w:rPr>
        <w:t>MD: DEPRESSION – SLOWER STATION – CASE PROCEED</w:t>
      </w:r>
    </w:p>
    <w:p w14:paraId="4A7C9605" w14:textId="77777777" w:rsidR="00B35478" w:rsidRDefault="00B35478" w:rsidP="00B35478">
      <w:pPr>
        <w:pStyle w:val="NoSpacing"/>
        <w:rPr>
          <w:rFonts w:ascii="Arial Black" w:hAnsi="Arial Black"/>
          <w:bCs/>
          <w:sz w:val="28"/>
          <w:szCs w:val="28"/>
        </w:rPr>
      </w:pPr>
    </w:p>
    <w:p w14:paraId="289412C9" w14:textId="77777777" w:rsidR="00B35478" w:rsidRDefault="00B35478" w:rsidP="00B35478">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1565" w:history="1">
        <w:r w:rsidRPr="003A1948">
          <w:rPr>
            <w:rStyle w:val="Hyperlink"/>
          </w:rPr>
          <w:t>https://cases.justia.com/federal/district-courts/maryland/mddce/1:2024cv03580/573207/56/0.pdf?ts=1777474810</w:t>
        </w:r>
      </w:hyperlink>
      <w:r>
        <w:t xml:space="preserve"> </w:t>
      </w:r>
    </w:p>
    <w:p w14:paraId="53A1821C" w14:textId="77777777" w:rsidR="00B35478" w:rsidRDefault="00B35478" w:rsidP="00B35478">
      <w:pPr>
        <w:pStyle w:val="NoSpacing"/>
      </w:pPr>
    </w:p>
    <w:p w14:paraId="760944E2" w14:textId="77777777" w:rsidR="00B35478" w:rsidRDefault="00B35478" w:rsidP="00B35478">
      <w:pPr>
        <w:pStyle w:val="NoSpacing"/>
      </w:pPr>
      <w:r>
        <w:t xml:space="preserve">THE COURT HELD: </w:t>
      </w:r>
    </w:p>
    <w:p w14:paraId="5CA494B3" w14:textId="77777777" w:rsidR="00B35478" w:rsidRDefault="00B35478" w:rsidP="00B35478">
      <w:pPr>
        <w:pStyle w:val="NoSpacing"/>
      </w:pPr>
    </w:p>
    <w:p w14:paraId="30E987F2" w14:textId="77777777" w:rsidR="00B35478" w:rsidRDefault="00B35478" w:rsidP="00B35478">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0A111E7E" w14:textId="77777777" w:rsidR="00B35478" w:rsidRDefault="00B35478" w:rsidP="00B35478">
      <w:pPr>
        <w:pStyle w:val="NoSpacing"/>
        <w:ind w:left="720"/>
      </w:pPr>
    </w:p>
    <w:p w14:paraId="4DCB7781" w14:textId="77777777" w:rsidR="00B35478" w:rsidRDefault="00B35478" w:rsidP="00B35478">
      <w:pPr>
        <w:pStyle w:val="NoSpacing"/>
        <w:ind w:left="720"/>
      </w:pPr>
      <w:r>
        <w:t>***</w:t>
      </w:r>
    </w:p>
    <w:p w14:paraId="11B45E64" w14:textId="77777777" w:rsidR="00B35478" w:rsidRDefault="00B35478" w:rsidP="00B35478">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4F95E397" w14:textId="77777777" w:rsidR="00B35478" w:rsidRDefault="00B35478" w:rsidP="00B35478">
      <w:pPr>
        <w:pStyle w:val="NoSpacing"/>
        <w:ind w:left="720"/>
      </w:pPr>
    </w:p>
    <w:p w14:paraId="4448F9B6" w14:textId="77777777" w:rsidR="00B35478" w:rsidRDefault="00B35478" w:rsidP="00B35478">
      <w:pPr>
        <w:pStyle w:val="NoSpacing"/>
        <w:ind w:left="720"/>
      </w:pPr>
      <w:r>
        <w:t>***</w:t>
      </w:r>
    </w:p>
    <w:p w14:paraId="3EA09D80" w14:textId="77777777" w:rsidR="00B35478" w:rsidRDefault="00B35478" w:rsidP="00B35478">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32C6FDEF" w14:textId="77777777" w:rsidR="00B35478" w:rsidRDefault="00B35478" w:rsidP="00B35478">
      <w:pPr>
        <w:pStyle w:val="NoSpacing"/>
        <w:ind w:left="720"/>
      </w:pPr>
    </w:p>
    <w:p w14:paraId="170889C7" w14:textId="77777777" w:rsidR="00B35478" w:rsidRDefault="00B35478" w:rsidP="00B35478">
      <w:pPr>
        <w:pStyle w:val="NoSpacing"/>
        <w:ind w:left="720"/>
      </w:pPr>
      <w:r>
        <w:t>***</w:t>
      </w:r>
    </w:p>
    <w:p w14:paraId="3D9A4380" w14:textId="77777777" w:rsidR="00B35478" w:rsidRDefault="00B35478" w:rsidP="00B35478">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621C65C8" w14:textId="77777777" w:rsidR="00B35478" w:rsidRDefault="00B35478" w:rsidP="00B35478">
      <w:pPr>
        <w:pStyle w:val="NoSpacing"/>
        <w:ind w:left="720"/>
      </w:pPr>
    </w:p>
    <w:p w14:paraId="76799327" w14:textId="77777777" w:rsidR="00B35478" w:rsidRPr="004A2357" w:rsidRDefault="00B35478" w:rsidP="00B35478">
      <w:pPr>
        <w:rPr>
          <w:b/>
          <w:bCs/>
        </w:rPr>
      </w:pPr>
      <w:r>
        <w:rPr>
          <w:b/>
        </w:rPr>
        <w:t>Legal lesson learned: The firefighter has burden of proof in this ADA case; permanent assignment to a slower station is a unique request for “reasonable accommodation.”</w:t>
      </w:r>
    </w:p>
    <w:p w14:paraId="426799F4" w14:textId="77777777" w:rsidR="008C7243" w:rsidRDefault="008C7243" w:rsidP="00BC4752">
      <w:pPr>
        <w:pStyle w:val="NoSpacing"/>
        <w:rPr>
          <w:rFonts w:ascii="Arial Black" w:hAnsi="Arial Black"/>
          <w:sz w:val="24"/>
          <w:szCs w:val="24"/>
        </w:rPr>
      </w:pPr>
    </w:p>
    <w:p w14:paraId="160CDB06" w14:textId="77777777" w:rsidR="008C7243" w:rsidRDefault="008C7243" w:rsidP="00BC4752">
      <w:pPr>
        <w:pStyle w:val="NoSpacing"/>
        <w:rPr>
          <w:rFonts w:ascii="Arial Black" w:hAnsi="Arial Black"/>
          <w:sz w:val="24"/>
          <w:szCs w:val="24"/>
        </w:rPr>
      </w:pPr>
    </w:p>
    <w:p w14:paraId="2A4AFBE6" w14:textId="77777777" w:rsidR="008C7243" w:rsidRDefault="008C7243" w:rsidP="00BC4752">
      <w:pPr>
        <w:pStyle w:val="NoSpacing"/>
        <w:rPr>
          <w:rFonts w:ascii="Arial Black" w:hAnsi="Arial Black"/>
          <w:sz w:val="24"/>
          <w:szCs w:val="24"/>
        </w:rPr>
      </w:pPr>
    </w:p>
    <w:p w14:paraId="4A87BA82" w14:textId="063B4176" w:rsidR="00BC4752" w:rsidRDefault="001A57F9" w:rsidP="00BC4752">
      <w:pPr>
        <w:pStyle w:val="NoSpacing"/>
        <w:rPr>
          <w:rFonts w:ascii="Arial Black" w:hAnsi="Arial Black"/>
          <w:sz w:val="24"/>
          <w:szCs w:val="24"/>
        </w:rPr>
      </w:pPr>
      <w:r>
        <w:rPr>
          <w:rFonts w:ascii="Arial Black" w:hAnsi="Arial Black"/>
          <w:sz w:val="24"/>
          <w:szCs w:val="24"/>
        </w:rPr>
        <w:t xml:space="preserve">9-64 </w:t>
      </w:r>
      <w:r w:rsidR="00BC4752">
        <w:rPr>
          <w:rFonts w:ascii="Arial Black" w:hAnsi="Arial Black"/>
          <w:sz w:val="24"/>
          <w:szCs w:val="24"/>
        </w:rPr>
        <w:t xml:space="preserve">[also filed, Chap. </w:t>
      </w:r>
      <w:r w:rsidR="008A677D">
        <w:rPr>
          <w:rFonts w:ascii="Arial Black" w:hAnsi="Arial Black"/>
          <w:sz w:val="24"/>
          <w:szCs w:val="24"/>
        </w:rPr>
        <w:t>15</w:t>
      </w:r>
      <w:r w:rsidR="00BC4752">
        <w:rPr>
          <w:rFonts w:ascii="Arial Black" w:hAnsi="Arial Black"/>
          <w:sz w:val="24"/>
          <w:szCs w:val="24"/>
        </w:rPr>
        <w:t xml:space="preserve"> – </w:t>
      </w:r>
      <w:r w:rsidR="008A677D">
        <w:rPr>
          <w:rFonts w:ascii="Arial Black" w:hAnsi="Arial Black"/>
          <w:sz w:val="24"/>
          <w:szCs w:val="24"/>
        </w:rPr>
        <w:t>Mental Health</w:t>
      </w:r>
      <w:r w:rsidR="00BC4752">
        <w:rPr>
          <w:rFonts w:ascii="Arial Black" w:hAnsi="Arial Black"/>
          <w:sz w:val="24"/>
          <w:szCs w:val="24"/>
        </w:rPr>
        <w:t>]</w:t>
      </w:r>
    </w:p>
    <w:p w14:paraId="540AEF75" w14:textId="77777777" w:rsidR="00BC4752" w:rsidRDefault="00BC4752" w:rsidP="00BC4752">
      <w:pPr>
        <w:pStyle w:val="NoSpacing"/>
        <w:rPr>
          <w:rFonts w:ascii="Arial Black" w:hAnsi="Arial Black"/>
          <w:sz w:val="28"/>
          <w:szCs w:val="28"/>
        </w:rPr>
      </w:pPr>
    </w:p>
    <w:p w14:paraId="42913A5D" w14:textId="77777777" w:rsidR="00BC4752" w:rsidRDefault="00BC4752" w:rsidP="00BC4752">
      <w:pPr>
        <w:pStyle w:val="NoSpacing"/>
        <w:rPr>
          <w:rFonts w:ascii="Arial Black" w:hAnsi="Arial Black"/>
          <w:bCs/>
          <w:sz w:val="28"/>
          <w:szCs w:val="28"/>
        </w:rPr>
      </w:pPr>
      <w:r>
        <w:rPr>
          <w:rFonts w:ascii="Arial Black" w:hAnsi="Arial Black"/>
          <w:sz w:val="28"/>
          <w:szCs w:val="28"/>
        </w:rPr>
        <w:t>MD: DEPRESSION – SLOWER STATION – CASE PROCEED</w:t>
      </w:r>
    </w:p>
    <w:p w14:paraId="5878D9F9" w14:textId="77777777" w:rsidR="00BC4752" w:rsidRDefault="00BC4752" w:rsidP="00BC4752">
      <w:pPr>
        <w:pStyle w:val="NoSpacing"/>
        <w:rPr>
          <w:rFonts w:ascii="Arial Black" w:hAnsi="Arial Black"/>
          <w:bCs/>
          <w:sz w:val="28"/>
          <w:szCs w:val="28"/>
        </w:rPr>
      </w:pPr>
    </w:p>
    <w:p w14:paraId="2F4F1DA5" w14:textId="77777777" w:rsidR="00BC4752" w:rsidRDefault="00BC4752" w:rsidP="00BC4752">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1566" w:history="1">
        <w:r w:rsidRPr="003A1948">
          <w:rPr>
            <w:rStyle w:val="Hyperlink"/>
          </w:rPr>
          <w:t>https://cases.justia.com/federal/district-courts/maryland/mddce/1:2024cv03580/573207/56/0.pdf?ts=1777474810</w:t>
        </w:r>
      </w:hyperlink>
      <w:r>
        <w:t xml:space="preserve"> </w:t>
      </w:r>
    </w:p>
    <w:p w14:paraId="093103E8" w14:textId="77777777" w:rsidR="00BC4752" w:rsidRDefault="00BC4752" w:rsidP="00BC4752">
      <w:pPr>
        <w:pStyle w:val="NoSpacing"/>
      </w:pPr>
    </w:p>
    <w:p w14:paraId="386FA144" w14:textId="77777777" w:rsidR="00BC4752" w:rsidRDefault="00BC4752" w:rsidP="00BC4752">
      <w:pPr>
        <w:pStyle w:val="NoSpacing"/>
      </w:pPr>
      <w:r>
        <w:t xml:space="preserve">THE COURT HELD: </w:t>
      </w:r>
    </w:p>
    <w:p w14:paraId="2D8A7A35" w14:textId="77777777" w:rsidR="00BC4752" w:rsidRDefault="00BC4752" w:rsidP="00BC4752">
      <w:pPr>
        <w:pStyle w:val="NoSpacing"/>
      </w:pPr>
    </w:p>
    <w:p w14:paraId="347F0830" w14:textId="77777777" w:rsidR="00BC4752" w:rsidRDefault="00BC4752" w:rsidP="00BC4752">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0869F77A" w14:textId="77777777" w:rsidR="00BC4752" w:rsidRDefault="00BC4752" w:rsidP="00BC4752">
      <w:pPr>
        <w:pStyle w:val="NoSpacing"/>
        <w:ind w:left="720"/>
      </w:pPr>
    </w:p>
    <w:p w14:paraId="6447B538" w14:textId="77777777" w:rsidR="00BC4752" w:rsidRDefault="00BC4752" w:rsidP="00BC4752">
      <w:pPr>
        <w:pStyle w:val="NoSpacing"/>
        <w:ind w:left="720"/>
      </w:pPr>
      <w:r>
        <w:t>***</w:t>
      </w:r>
    </w:p>
    <w:p w14:paraId="2E002480" w14:textId="77777777" w:rsidR="00BC4752" w:rsidRDefault="00BC4752" w:rsidP="00BC4752">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5684FF57" w14:textId="77777777" w:rsidR="00BC4752" w:rsidRDefault="00BC4752" w:rsidP="00BC4752">
      <w:pPr>
        <w:pStyle w:val="NoSpacing"/>
        <w:ind w:left="720"/>
      </w:pPr>
    </w:p>
    <w:p w14:paraId="47449954" w14:textId="77777777" w:rsidR="00BC4752" w:rsidRDefault="00BC4752" w:rsidP="00BC4752">
      <w:pPr>
        <w:pStyle w:val="NoSpacing"/>
        <w:ind w:left="720"/>
      </w:pPr>
      <w:r>
        <w:t>***</w:t>
      </w:r>
    </w:p>
    <w:p w14:paraId="2DBAF47F" w14:textId="77777777" w:rsidR="00BC4752" w:rsidRDefault="00BC4752" w:rsidP="00BC4752">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784282D3" w14:textId="77777777" w:rsidR="00BC4752" w:rsidRDefault="00BC4752" w:rsidP="00BC4752">
      <w:pPr>
        <w:pStyle w:val="NoSpacing"/>
        <w:ind w:left="720"/>
      </w:pPr>
    </w:p>
    <w:p w14:paraId="2AA1DEED" w14:textId="77777777" w:rsidR="00BC4752" w:rsidRDefault="00BC4752" w:rsidP="00BC4752">
      <w:pPr>
        <w:pStyle w:val="NoSpacing"/>
        <w:ind w:left="720"/>
      </w:pPr>
      <w:r>
        <w:t>***</w:t>
      </w:r>
    </w:p>
    <w:p w14:paraId="1EF1F0C2" w14:textId="77777777" w:rsidR="00BC4752" w:rsidRDefault="00BC4752" w:rsidP="00BC4752">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42AE00F8" w14:textId="77777777" w:rsidR="00BC4752" w:rsidRDefault="00BC4752" w:rsidP="00BC4752">
      <w:pPr>
        <w:pStyle w:val="NoSpacing"/>
        <w:ind w:left="720"/>
      </w:pPr>
    </w:p>
    <w:p w14:paraId="2867F04E" w14:textId="77777777" w:rsidR="00BC4752" w:rsidRPr="004A2357" w:rsidRDefault="00BC4752" w:rsidP="00BC4752">
      <w:pPr>
        <w:rPr>
          <w:b/>
          <w:bCs/>
        </w:rPr>
      </w:pPr>
      <w:r>
        <w:rPr>
          <w:b/>
        </w:rPr>
        <w:t>Legal lesson learned: The firefighter has burden of proof in this ADA case; permanent assignment to a slower station is a unique request for “reasonable accommodation.”</w:t>
      </w:r>
    </w:p>
    <w:p w14:paraId="367A9B61" w14:textId="77777777" w:rsidR="00BC4752" w:rsidRDefault="00BC4752" w:rsidP="00BC4752">
      <w:pPr>
        <w:pStyle w:val="NoSpacing"/>
        <w:rPr>
          <w:rFonts w:ascii="Arial Black" w:hAnsi="Arial Black"/>
          <w:sz w:val="24"/>
          <w:szCs w:val="24"/>
        </w:rPr>
      </w:pPr>
    </w:p>
    <w:p w14:paraId="18A7B72D" w14:textId="77777777" w:rsidR="00BC4752" w:rsidRDefault="00BC4752" w:rsidP="00BC4752">
      <w:pPr>
        <w:pStyle w:val="NoSpacing"/>
        <w:rPr>
          <w:rFonts w:ascii="Arial Black" w:hAnsi="Arial Black"/>
          <w:b/>
          <w:sz w:val="28"/>
          <w:szCs w:val="28"/>
        </w:rPr>
      </w:pPr>
    </w:p>
    <w:p w14:paraId="752AF224" w14:textId="77777777" w:rsidR="00BC4752" w:rsidRDefault="00BC4752" w:rsidP="00BC4752">
      <w:pPr>
        <w:pStyle w:val="NoSpacing"/>
        <w:rPr>
          <w:rFonts w:ascii="Arial Black" w:hAnsi="Arial Black"/>
          <w:sz w:val="24"/>
          <w:szCs w:val="24"/>
        </w:rPr>
      </w:pPr>
    </w:p>
    <w:p w14:paraId="0B984325" w14:textId="46F7223E" w:rsidR="00BC4752" w:rsidRDefault="001A57F9" w:rsidP="00BC4752">
      <w:pPr>
        <w:pStyle w:val="NoSpacing"/>
        <w:rPr>
          <w:rFonts w:ascii="Arial Black" w:hAnsi="Arial Black"/>
          <w:sz w:val="24"/>
          <w:szCs w:val="24"/>
        </w:rPr>
      </w:pPr>
      <w:r>
        <w:rPr>
          <w:rFonts w:ascii="Arial Black" w:hAnsi="Arial Black"/>
          <w:sz w:val="24"/>
          <w:szCs w:val="24"/>
        </w:rPr>
        <w:t xml:space="preserve">9-63 </w:t>
      </w:r>
      <w:r w:rsidR="00BC4752">
        <w:rPr>
          <w:rFonts w:ascii="Arial Black" w:hAnsi="Arial Black"/>
          <w:sz w:val="24"/>
          <w:szCs w:val="24"/>
        </w:rPr>
        <w:t>[also filed, Chap.</w:t>
      </w:r>
      <w:r>
        <w:rPr>
          <w:rFonts w:ascii="Arial Black" w:hAnsi="Arial Black"/>
          <w:sz w:val="24"/>
          <w:szCs w:val="24"/>
        </w:rPr>
        <w:t xml:space="preserve"> 15</w:t>
      </w:r>
      <w:r w:rsidR="00BC4752">
        <w:rPr>
          <w:rFonts w:ascii="Arial Black" w:hAnsi="Arial Black"/>
          <w:sz w:val="24"/>
          <w:szCs w:val="24"/>
        </w:rPr>
        <w:t xml:space="preserve">, </w:t>
      </w:r>
      <w:r>
        <w:rPr>
          <w:rFonts w:ascii="Arial Black" w:hAnsi="Arial Black"/>
          <w:sz w:val="24"/>
          <w:szCs w:val="24"/>
        </w:rPr>
        <w:t>Mental Health</w:t>
      </w:r>
      <w:r w:rsidR="00BC4752">
        <w:rPr>
          <w:rFonts w:ascii="Arial Black" w:hAnsi="Arial Black"/>
          <w:sz w:val="24"/>
          <w:szCs w:val="24"/>
        </w:rPr>
        <w:t>]</w:t>
      </w:r>
    </w:p>
    <w:p w14:paraId="6B54A3DA" w14:textId="77777777" w:rsidR="00BC4752" w:rsidRDefault="00BC4752" w:rsidP="00BC4752">
      <w:pPr>
        <w:pStyle w:val="NoSpacing"/>
        <w:rPr>
          <w:rFonts w:ascii="Arial Black" w:hAnsi="Arial Black"/>
          <w:b/>
          <w:sz w:val="28"/>
          <w:szCs w:val="28"/>
        </w:rPr>
      </w:pPr>
    </w:p>
    <w:p w14:paraId="291ED1FD" w14:textId="77777777" w:rsidR="00BC4752" w:rsidRDefault="00BC4752" w:rsidP="00BC4752">
      <w:pPr>
        <w:pStyle w:val="NoSpacing"/>
        <w:rPr>
          <w:rFonts w:ascii="Arial Black" w:hAnsi="Arial Black"/>
          <w:b/>
          <w:sz w:val="28"/>
          <w:szCs w:val="28"/>
        </w:rPr>
      </w:pPr>
    </w:p>
    <w:p w14:paraId="1E6AB10D" w14:textId="77777777" w:rsidR="00BC4752" w:rsidRDefault="00BC4752" w:rsidP="00BC4752">
      <w:pPr>
        <w:pStyle w:val="NoSpacing"/>
        <w:rPr>
          <w:rFonts w:ascii="Arial Black" w:hAnsi="Arial Black"/>
          <w:b/>
          <w:sz w:val="28"/>
          <w:szCs w:val="28"/>
        </w:rPr>
      </w:pPr>
      <w:r>
        <w:rPr>
          <w:rFonts w:ascii="Arial Black" w:hAnsi="Arial Black"/>
          <w:b/>
          <w:sz w:val="28"/>
          <w:szCs w:val="28"/>
        </w:rPr>
        <w:t xml:space="preserve">TX: ASSISTANT CHIEF – PTSD – NOT RIGHT INDEF. LEAVE </w:t>
      </w:r>
    </w:p>
    <w:p w14:paraId="7E1706E7" w14:textId="77777777" w:rsidR="00BC4752" w:rsidRDefault="00BC4752" w:rsidP="00BC4752">
      <w:pPr>
        <w:pStyle w:val="NoSpacing"/>
        <w:rPr>
          <w:rFonts w:ascii="Arial Black" w:hAnsi="Arial Black"/>
          <w:b/>
          <w:sz w:val="28"/>
          <w:szCs w:val="28"/>
        </w:rPr>
      </w:pPr>
    </w:p>
    <w:p w14:paraId="5470BB30" w14:textId="77777777" w:rsidR="00BC4752" w:rsidRDefault="00BC4752" w:rsidP="00BC4752">
      <w:pPr>
        <w:pStyle w:val="NoSpacing"/>
        <w:rPr>
          <w:b/>
        </w:rPr>
      </w:pPr>
      <w:r>
        <w:t xml:space="preserve">On April 8, 2026, in </w:t>
      </w:r>
      <w:r w:rsidRPr="003A1915">
        <w:rPr>
          <w:u w:val="single"/>
        </w:rPr>
        <w:t>Cameron Kramer v. City of Frisco, Texas</w:t>
      </w:r>
      <w:r>
        <w:t xml:space="preserve">, the </w:t>
      </w:r>
      <w:r w:rsidRPr="003A1915">
        <w:t>Court of Appeals of Texas, Twelfth District, Tyler</w:t>
      </w:r>
      <w:r>
        <w:t xml:space="preserve"> held (3 to 0) that trial court properly granted summary judgment to the City since the Assistant Chief never able to provide a </w:t>
      </w:r>
      <w:r w:rsidRPr="006D408F">
        <w:t xml:space="preserve">psychological </w:t>
      </w:r>
      <w:r w:rsidRPr="008C5C09">
        <w:t>clearance</w:t>
      </w:r>
      <w:r>
        <w:t xml:space="preserve"> to return to work and indefinite leave is not a reasonable accommodation.   </w:t>
      </w:r>
      <w:r w:rsidRPr="00AA4727">
        <w:t>On August 15, 2022</w:t>
      </w:r>
      <w:r>
        <w:t xml:space="preserve"> he took Family Medical Leave Act leave for PTSD until November 1, 2022; took another 90 days of leave under City’s policy; in January 31, 2023 the city approved additional unpaid leave until March 31 as an accommodation for his PTSD; o</w:t>
      </w:r>
      <w:r w:rsidRPr="00E87171">
        <w:t>n March 31, Kraemer requested additional unpaid leave through April 30, stating at the</w:t>
      </w:r>
      <w:r>
        <w:t xml:space="preserve"> </w:t>
      </w:r>
      <w:r w:rsidRPr="00E87171">
        <w:t xml:space="preserve">end of the leave period, he would </w:t>
      </w:r>
      <w:r>
        <w:t>‘</w:t>
      </w:r>
      <w:r w:rsidRPr="00E87171">
        <w:t>be re-evaluated</w:t>
      </w:r>
      <w:r>
        <w:t xml:space="preserve">” by his treating physician.  </w:t>
      </w:r>
      <w:r w:rsidRPr="00C4058E">
        <w:t>The City viewed this as a request for</w:t>
      </w:r>
      <w:r>
        <w:t xml:space="preserve"> </w:t>
      </w:r>
      <w:r w:rsidRPr="00C4058E">
        <w:t>indefinite unpaid leave and the City’s human resources director, Lauren Safranek, initially</w:t>
      </w:r>
      <w:r>
        <w:t xml:space="preserve"> </w:t>
      </w:r>
      <w:r w:rsidRPr="00C4058E">
        <w:t xml:space="preserve">informed Kraemer that the City could not grant such a </w:t>
      </w:r>
      <w:proofErr w:type="gramStart"/>
      <w:r w:rsidRPr="00C4058E">
        <w:t>reques</w:t>
      </w:r>
      <w:r>
        <w:t>t, but</w:t>
      </w:r>
      <w:proofErr w:type="gramEnd"/>
      <w:r>
        <w:t xml:space="preserve"> gave him until </w:t>
      </w:r>
      <w:r w:rsidRPr="008C5C09">
        <w:t>April 30 to allow him to</w:t>
      </w:r>
      <w:r>
        <w:t xml:space="preserve"> </w:t>
      </w:r>
      <w:r w:rsidRPr="008C5C09">
        <w:t xml:space="preserve">obtain the required </w:t>
      </w:r>
      <w:r w:rsidRPr="006D408F">
        <w:t xml:space="preserve">psychological </w:t>
      </w:r>
      <w:r w:rsidRPr="008C5C09">
        <w:t>clearance, which Kraemer did not submit.</w:t>
      </w:r>
      <w:r>
        <w:t xml:space="preserve"> </w:t>
      </w:r>
      <w:r w:rsidRPr="00FB0730">
        <w:t xml:space="preserve">On May 1, 2023, the </w:t>
      </w:r>
      <w:proofErr w:type="gramStart"/>
      <w:r w:rsidRPr="00FB0730">
        <w:t>City</w:t>
      </w:r>
      <w:proofErr w:type="gramEnd"/>
      <w:r w:rsidRPr="00FB0730">
        <w:t xml:space="preserve"> informed Kraemer via letter that his employment was</w:t>
      </w:r>
      <w:r>
        <w:t xml:space="preserve"> </w:t>
      </w:r>
      <w:r w:rsidRPr="00FB0730">
        <w:t>terminated because of his inability to return to work “with or without reasonable</w:t>
      </w:r>
      <w:r>
        <w:t xml:space="preserve"> </w:t>
      </w:r>
      <w:r w:rsidRPr="00FB0730">
        <w:t>accommodations” following the end of his leave period</w:t>
      </w:r>
      <w:r>
        <w:t xml:space="preserve">. The letter stated, in relevant part, that “the vacancy in the position of Assistant Fire Chief is compromising the operations of the City of Frisco Fire Department and granting continued accommodations of additional leave would cause an undue burden and hardship for the department and the City, placing the safety of the community and the department at risk.” </w:t>
      </w:r>
      <w:hyperlink r:id="rId1567" w:history="1">
        <w:r w:rsidRPr="00941A72">
          <w:rPr>
            <w:rStyle w:val="Hyperlink"/>
            <w:b/>
          </w:rPr>
          <w:t>https://cases.justia.com/texas/twelfth-court-of-appeals/2026-12-25-00273-cv.pdf?ts=1775749638</w:t>
        </w:r>
      </w:hyperlink>
      <w:r>
        <w:rPr>
          <w:b/>
        </w:rPr>
        <w:t xml:space="preserve"> </w:t>
      </w:r>
    </w:p>
    <w:p w14:paraId="03C9F03D" w14:textId="77777777" w:rsidR="00BC4752" w:rsidRDefault="00BC4752" w:rsidP="00BC4752">
      <w:pPr>
        <w:pStyle w:val="NoSpacing"/>
      </w:pPr>
      <w:r>
        <w:t xml:space="preserve"> </w:t>
      </w:r>
    </w:p>
    <w:p w14:paraId="751218CB" w14:textId="77777777" w:rsidR="00BC4752" w:rsidRDefault="00BC4752" w:rsidP="00BC4752">
      <w:pPr>
        <w:pStyle w:val="NoSpacing"/>
        <w:rPr>
          <w:bCs/>
        </w:rPr>
      </w:pPr>
      <w:r>
        <w:t>THE COURT HELD:</w:t>
      </w:r>
    </w:p>
    <w:p w14:paraId="524E0C45" w14:textId="77777777" w:rsidR="00BC4752" w:rsidRDefault="00BC4752" w:rsidP="00BC4752">
      <w:pPr>
        <w:pStyle w:val="NoSpacing"/>
        <w:rPr>
          <w:bCs/>
        </w:rPr>
      </w:pPr>
    </w:p>
    <w:p w14:paraId="17399BE5" w14:textId="77777777" w:rsidR="00BC4752" w:rsidRDefault="00BC4752" w:rsidP="00BC4752">
      <w:pPr>
        <w:pStyle w:val="NoSpacing"/>
        <w:ind w:left="720"/>
      </w:pPr>
      <w:r>
        <w:t>“Although taking leave that is limited in duration may be a reasonable accommodation to enable an employee to perform the essential functions of the job upon return, taking leave without a specified date to return is not a reasonable accommodation.</w:t>
      </w:r>
    </w:p>
    <w:p w14:paraId="181E5817" w14:textId="77777777" w:rsidR="00BC4752" w:rsidRDefault="00BC4752" w:rsidP="00BC4752">
      <w:pPr>
        <w:pStyle w:val="NoSpacing"/>
        <w:ind w:left="720"/>
      </w:pPr>
    </w:p>
    <w:p w14:paraId="5F263129" w14:textId="77777777" w:rsidR="00BC4752" w:rsidRDefault="00BC4752" w:rsidP="00BC4752">
      <w:pPr>
        <w:pStyle w:val="NoSpacing"/>
        <w:ind w:left="720"/>
      </w:pPr>
      <w:r>
        <w:t>***</w:t>
      </w:r>
    </w:p>
    <w:p w14:paraId="5738E4AF" w14:textId="77777777" w:rsidR="00BC4752" w:rsidRDefault="00BC4752" w:rsidP="00BC4752">
      <w:pPr>
        <w:pStyle w:val="NoSpacing"/>
      </w:pPr>
    </w:p>
    <w:p w14:paraId="3CA9F1E7" w14:textId="77777777" w:rsidR="00BC4752" w:rsidRDefault="00BC4752" w:rsidP="00BC4752">
      <w:pPr>
        <w:pStyle w:val="NoSpacing"/>
        <w:ind w:firstLine="720"/>
      </w:pPr>
      <w:r>
        <w:t>The evidence shows that Kraemer discussed with Safranek whether he might be capable</w:t>
      </w:r>
    </w:p>
    <w:p w14:paraId="5EB20D13" w14:textId="77777777" w:rsidR="00BC4752" w:rsidRDefault="00BC4752" w:rsidP="00BC4752">
      <w:pPr>
        <w:pStyle w:val="NoSpacing"/>
        <w:ind w:left="720"/>
      </w:pPr>
      <w:r>
        <w:t xml:space="preserve">of returning to work on a reduced schedule, but nothing showing that he, or any of his doctors, ever concluded that, despite his disability, he </w:t>
      </w:r>
      <w:proofErr w:type="gramStart"/>
      <w:r>
        <w:t>was capable of performing</w:t>
      </w:r>
      <w:proofErr w:type="gramEnd"/>
      <w:r>
        <w:t xml:space="preserve"> the functions of the assistant fire chief position at all, even on a part-time basis…. In April of 2024, Dr. </w:t>
      </w:r>
      <w:proofErr w:type="spellStart"/>
      <w:r>
        <w:t>Tedwell</w:t>
      </w:r>
      <w:proofErr w:type="spellEnd"/>
      <w:r>
        <w:t xml:space="preserve"> testified before an administrative law judge that throughout her treatment relationship with Kraemer, her opinion has ‘always been that he has not been ready to go back to Frisco Fire Department[,]” an opinion which persisted until the time of her testimony.”</w:t>
      </w:r>
    </w:p>
    <w:p w14:paraId="6FAC69CA" w14:textId="77777777" w:rsidR="00BC4752" w:rsidRDefault="00BC4752" w:rsidP="00BC4752">
      <w:pPr>
        <w:pStyle w:val="NoSpacing"/>
        <w:ind w:left="720"/>
      </w:pPr>
    </w:p>
    <w:p w14:paraId="44636D0F" w14:textId="77777777" w:rsidR="00BC4752" w:rsidRDefault="00BC4752" w:rsidP="00BC4752">
      <w:pPr>
        <w:pStyle w:val="NoSpacing"/>
      </w:pPr>
      <w:r>
        <w:rPr>
          <w:b/>
        </w:rPr>
        <w:t xml:space="preserve">Legal lesson learned: Indefinite leave is not reasonable accommodation. </w:t>
      </w:r>
    </w:p>
    <w:p w14:paraId="355BA9E6" w14:textId="77777777" w:rsidR="00BC4752" w:rsidRDefault="00BC4752" w:rsidP="00BC4752">
      <w:pPr>
        <w:pStyle w:val="NoSpacing"/>
        <w:rPr>
          <w:b/>
        </w:rPr>
      </w:pPr>
    </w:p>
    <w:p w14:paraId="1891A10B" w14:textId="77777777" w:rsidR="00BC4752" w:rsidRDefault="00BC4752" w:rsidP="00BC4752">
      <w:pPr>
        <w:pStyle w:val="NoSpacing"/>
        <w:rPr>
          <w:bCs/>
        </w:rPr>
      </w:pPr>
    </w:p>
    <w:p w14:paraId="25DBD739" w14:textId="77777777" w:rsidR="00BC4752" w:rsidRDefault="00BC4752" w:rsidP="00BC4752">
      <w:pPr>
        <w:pStyle w:val="NoSpacing"/>
        <w:rPr>
          <w:rFonts w:ascii="Arial Black" w:hAnsi="Arial Black"/>
          <w:sz w:val="24"/>
          <w:szCs w:val="24"/>
        </w:rPr>
      </w:pPr>
    </w:p>
    <w:p w14:paraId="7DDC7055" w14:textId="77777777" w:rsidR="00BC4752" w:rsidRDefault="00BC4752" w:rsidP="00BC4752">
      <w:pPr>
        <w:pStyle w:val="NoSpacing"/>
        <w:rPr>
          <w:rFonts w:ascii="Arial Black" w:hAnsi="Arial Black"/>
          <w:sz w:val="24"/>
          <w:szCs w:val="24"/>
        </w:rPr>
      </w:pPr>
    </w:p>
    <w:p w14:paraId="101843E7" w14:textId="77777777" w:rsidR="00BC4752" w:rsidRDefault="00BC4752" w:rsidP="00684A51">
      <w:pPr>
        <w:pStyle w:val="NoSpacing"/>
        <w:rPr>
          <w:rFonts w:ascii="Arial Black" w:hAnsi="Arial Black"/>
          <w:sz w:val="24"/>
          <w:szCs w:val="24"/>
        </w:rPr>
      </w:pPr>
    </w:p>
    <w:p w14:paraId="09B3A96E" w14:textId="77777777" w:rsidR="00BC4752" w:rsidRDefault="00BC4752" w:rsidP="00684A51">
      <w:pPr>
        <w:pStyle w:val="NoSpacing"/>
        <w:rPr>
          <w:rFonts w:ascii="Arial Black" w:hAnsi="Arial Black"/>
          <w:sz w:val="24"/>
          <w:szCs w:val="24"/>
        </w:rPr>
      </w:pPr>
    </w:p>
    <w:p w14:paraId="2197C918" w14:textId="77777777" w:rsidR="00BC4752" w:rsidRDefault="00BC4752" w:rsidP="00684A51">
      <w:pPr>
        <w:pStyle w:val="NoSpacing"/>
        <w:rPr>
          <w:rFonts w:ascii="Arial Black" w:hAnsi="Arial Black"/>
          <w:sz w:val="24"/>
          <w:szCs w:val="24"/>
        </w:rPr>
      </w:pPr>
    </w:p>
    <w:p w14:paraId="470CA0F5" w14:textId="77777777" w:rsidR="00BC4752" w:rsidRDefault="00BC4752" w:rsidP="00684A51">
      <w:pPr>
        <w:pStyle w:val="NoSpacing"/>
        <w:rPr>
          <w:rFonts w:ascii="Arial Black" w:hAnsi="Arial Black"/>
          <w:sz w:val="24"/>
          <w:szCs w:val="24"/>
        </w:rPr>
      </w:pPr>
    </w:p>
    <w:p w14:paraId="41350198" w14:textId="570A73E3" w:rsidR="00684A51" w:rsidRDefault="00684A51" w:rsidP="00684A51">
      <w:pPr>
        <w:pStyle w:val="NoSpacing"/>
        <w:rPr>
          <w:rFonts w:ascii="Arial Black" w:hAnsi="Arial Black"/>
          <w:sz w:val="24"/>
          <w:szCs w:val="24"/>
        </w:rPr>
      </w:pPr>
      <w:r>
        <w:rPr>
          <w:rFonts w:ascii="Arial Black" w:hAnsi="Arial Black"/>
          <w:sz w:val="24"/>
          <w:szCs w:val="24"/>
        </w:rPr>
        <w:t>9-6</w:t>
      </w:r>
      <w:r w:rsidR="00BA6D04">
        <w:rPr>
          <w:rFonts w:ascii="Arial Black" w:hAnsi="Arial Black"/>
          <w:sz w:val="24"/>
          <w:szCs w:val="24"/>
        </w:rPr>
        <w:t>2</w:t>
      </w:r>
    </w:p>
    <w:p w14:paraId="06510B12" w14:textId="77777777" w:rsidR="003C742B" w:rsidRDefault="003C742B" w:rsidP="005C30A4">
      <w:pPr>
        <w:pStyle w:val="NoSpacing"/>
        <w:rPr>
          <w:rFonts w:ascii="Arial Black" w:hAnsi="Arial Black"/>
          <w:sz w:val="24"/>
          <w:szCs w:val="24"/>
        </w:rPr>
      </w:pPr>
    </w:p>
    <w:p w14:paraId="51897EA5" w14:textId="77777777" w:rsidR="003C742B" w:rsidRDefault="003C742B" w:rsidP="003C742B">
      <w:pPr>
        <w:pStyle w:val="NoSpacing"/>
        <w:rPr>
          <w:rFonts w:ascii="Arial Black" w:hAnsi="Arial Black"/>
          <w:bCs/>
          <w:sz w:val="28"/>
          <w:szCs w:val="28"/>
        </w:rPr>
      </w:pPr>
      <w:r>
        <w:rPr>
          <w:rFonts w:ascii="Arial Black" w:hAnsi="Arial Black"/>
          <w:sz w:val="28"/>
          <w:szCs w:val="28"/>
        </w:rPr>
        <w:lastRenderedPageBreak/>
        <w:t>FL: FF REFUSED TAKE TB TEST – ADA CASE TO PROCEED</w:t>
      </w:r>
    </w:p>
    <w:p w14:paraId="22CC5B5B" w14:textId="77777777" w:rsidR="003C742B" w:rsidRDefault="003C742B" w:rsidP="003C742B">
      <w:pPr>
        <w:pStyle w:val="NoSpacing"/>
        <w:rPr>
          <w:rFonts w:ascii="Arial Black" w:hAnsi="Arial Black"/>
          <w:bCs/>
          <w:sz w:val="28"/>
          <w:szCs w:val="28"/>
        </w:rPr>
      </w:pPr>
    </w:p>
    <w:p w14:paraId="14D97C9D" w14:textId="77777777" w:rsidR="003C742B" w:rsidRDefault="003C742B" w:rsidP="003C742B">
      <w:pPr>
        <w:pStyle w:val="NoSpacing"/>
        <w:rPr>
          <w:bCs/>
        </w:rPr>
      </w:pPr>
      <w:r>
        <w:t xml:space="preserve">On April 24, 2026, in </w:t>
      </w:r>
      <w:r w:rsidRPr="00026CBE">
        <w:rPr>
          <w:u w:val="single"/>
        </w:rPr>
        <w:t>Nathaniel Griffin v. City of South Pasadena</w:t>
      </w:r>
      <w:r>
        <w:t>, U.S. District Court Judge Wiiliam F. Jung, United States District Court for Middle District of Florida, Tampa Division, held that the firefighter’s ADA retaliation case may proceed with pretrial discovery.  “Plaintiff denies ever asking the Life Scan staff to lie about whether a TB test had been done.”   In his Amended Complaint he alleges that he “</w:t>
      </w:r>
      <w:r w:rsidRPr="00CB3F0C">
        <w:t>subjectively believed</w:t>
      </w:r>
      <w:r>
        <w:t>”</w:t>
      </w:r>
      <w:r w:rsidRPr="00CB3F0C">
        <w:t xml:space="preserve"> that portions of the CBA’s annual physical</w:t>
      </w:r>
      <w:r>
        <w:t xml:space="preserve"> </w:t>
      </w:r>
      <w:r w:rsidRPr="00CB3F0C">
        <w:t>examination requirement violated the ADA</w:t>
      </w:r>
      <w:r>
        <w:t xml:space="preserve"> and he made his concerns known to Fire Chief prior to the annual physical. After discovery is completed, the </w:t>
      </w:r>
      <w:proofErr w:type="gramStart"/>
      <w:r>
        <w:t>City</w:t>
      </w:r>
      <w:proofErr w:type="gramEnd"/>
      <w:r>
        <w:t xml:space="preserve"> may then file a motion for summary judgment based on a “business-necessity” defense.  </w:t>
      </w:r>
      <w:hyperlink r:id="rId1568" w:history="1">
        <w:r w:rsidRPr="00BE171B">
          <w:rPr>
            <w:rStyle w:val="Hyperlink"/>
          </w:rPr>
          <w:t>https://ecf.flmd.uscourts.gov/cgi-bin/show_public_doc?2025-02787-49-8-cv</w:t>
        </w:r>
      </w:hyperlink>
      <w:r>
        <w:t xml:space="preserve"> </w:t>
      </w:r>
    </w:p>
    <w:p w14:paraId="768E629B" w14:textId="77777777" w:rsidR="003C742B" w:rsidRDefault="003C742B" w:rsidP="003C742B">
      <w:pPr>
        <w:pStyle w:val="NoSpacing"/>
        <w:rPr>
          <w:bCs/>
        </w:rPr>
      </w:pPr>
    </w:p>
    <w:p w14:paraId="4F69D0C4" w14:textId="77777777" w:rsidR="003C742B" w:rsidRDefault="003C742B" w:rsidP="003C742B">
      <w:pPr>
        <w:pStyle w:val="NoSpacing"/>
        <w:rPr>
          <w:bCs/>
        </w:rPr>
      </w:pPr>
      <w:r>
        <w:t>THE COURT HELD:</w:t>
      </w:r>
    </w:p>
    <w:p w14:paraId="297ABDCE" w14:textId="77777777" w:rsidR="003C742B" w:rsidRDefault="003C742B" w:rsidP="003C742B">
      <w:pPr>
        <w:pStyle w:val="NoSpacing"/>
        <w:rPr>
          <w:bCs/>
        </w:rPr>
      </w:pPr>
    </w:p>
    <w:p w14:paraId="64D05011" w14:textId="77777777" w:rsidR="003C742B" w:rsidRDefault="003C742B" w:rsidP="003C742B">
      <w:pPr>
        <w:pStyle w:val="NoSpacing"/>
        <w:ind w:left="720"/>
      </w:pPr>
      <w:r>
        <w:t>“A statutorily protected activity for an ADA retaliation claim is ‘oppos[</w:t>
      </w:r>
      <w:proofErr w:type="spellStart"/>
      <w:r>
        <w:t>ing</w:t>
      </w:r>
      <w:proofErr w:type="spellEnd"/>
      <w:r>
        <w:t xml:space="preserve">] any act or practice made unlawful by this chapter.’ 42 U.S.C. § 12203(a)…. However, the plaintiff is not required to prove that the alleged discriminatory conduct was </w:t>
      </w:r>
      <w:proofErr w:type="gramStart"/>
      <w:r>
        <w:t>actually unlawful</w:t>
      </w:r>
      <w:proofErr w:type="gramEnd"/>
      <w:r>
        <w:t>;</w:t>
      </w:r>
    </w:p>
    <w:p w14:paraId="269C79EA" w14:textId="77777777" w:rsidR="003C742B" w:rsidRDefault="003C742B" w:rsidP="003C742B">
      <w:pPr>
        <w:pStyle w:val="NoSpacing"/>
        <w:ind w:left="720"/>
      </w:pPr>
      <w:r>
        <w:t>rather, the opposed conduct need only be “close enough” to support the objectively</w:t>
      </w:r>
    </w:p>
    <w:p w14:paraId="5BFDC266" w14:textId="77777777" w:rsidR="003C742B" w:rsidRDefault="003C742B" w:rsidP="003C742B">
      <w:pPr>
        <w:pStyle w:val="NoSpacing"/>
        <w:ind w:left="720"/>
      </w:pPr>
      <w:r>
        <w:t>reasonable belief.</w:t>
      </w:r>
    </w:p>
    <w:p w14:paraId="3117AC55" w14:textId="77777777" w:rsidR="003C742B" w:rsidRDefault="003C742B" w:rsidP="003C742B">
      <w:pPr>
        <w:pStyle w:val="NoSpacing"/>
        <w:ind w:left="720"/>
      </w:pPr>
    </w:p>
    <w:p w14:paraId="743AF438" w14:textId="77777777" w:rsidR="003C742B" w:rsidRDefault="003C742B" w:rsidP="003C742B">
      <w:pPr>
        <w:pStyle w:val="NoSpacing"/>
        <w:ind w:left="720"/>
      </w:pPr>
      <w:r>
        <w:t>***</w:t>
      </w:r>
    </w:p>
    <w:p w14:paraId="14B80327" w14:textId="77777777" w:rsidR="003C742B" w:rsidRDefault="003C742B" w:rsidP="003C742B">
      <w:pPr>
        <w:pStyle w:val="NoSpacing"/>
        <w:ind w:left="720"/>
      </w:pPr>
    </w:p>
    <w:p w14:paraId="725DBDEA" w14:textId="77777777" w:rsidR="003C742B" w:rsidRDefault="003C742B" w:rsidP="003C742B">
      <w:pPr>
        <w:pStyle w:val="NoSpacing"/>
        <w:ind w:left="720"/>
      </w:pPr>
      <w:r>
        <w:t>The Amended Complaint is also clear that Plaintiff subjectively believed that portions of the CBA’s annual physical examination requirement violated the ADA … and these objections about being forced by an employer to undergo an (allegedly) unlawful medical</w:t>
      </w:r>
    </w:p>
    <w:p w14:paraId="114BB68B" w14:textId="77777777" w:rsidR="003C742B" w:rsidRDefault="003C742B" w:rsidP="003C742B">
      <w:pPr>
        <w:pStyle w:val="NoSpacing"/>
        <w:ind w:left="720"/>
      </w:pPr>
      <w:proofErr w:type="gramStart"/>
      <w:r>
        <w:t>examination</w:t>
      </w:r>
      <w:proofErr w:type="gramEnd"/>
      <w:r>
        <w:t xml:space="preserve"> </w:t>
      </w:r>
      <w:proofErr w:type="gramStart"/>
      <w:r>
        <w:t>are</w:t>
      </w:r>
      <w:proofErr w:type="gramEnd"/>
      <w:r>
        <w:t xml:space="preserve"> objectively reasonable </w:t>
      </w:r>
      <w:proofErr w:type="gramStart"/>
      <w:r>
        <w:t>in light of</w:t>
      </w:r>
      <w:proofErr w:type="gramEnd"/>
      <w:r>
        <w:t xml:space="preserve"> the controlling substantive law.</w:t>
      </w:r>
    </w:p>
    <w:p w14:paraId="20A6A1C7" w14:textId="77777777" w:rsidR="003C742B" w:rsidRDefault="003C742B" w:rsidP="003C742B">
      <w:pPr>
        <w:pStyle w:val="NoSpacing"/>
        <w:ind w:left="720"/>
      </w:pPr>
    </w:p>
    <w:p w14:paraId="33991A5F" w14:textId="77777777" w:rsidR="003C742B" w:rsidRDefault="003C742B" w:rsidP="003C742B">
      <w:pPr>
        <w:pStyle w:val="NoSpacing"/>
        <w:ind w:left="720"/>
      </w:pPr>
      <w:r>
        <w:t>***</w:t>
      </w:r>
    </w:p>
    <w:p w14:paraId="13958881" w14:textId="77777777" w:rsidR="003C742B" w:rsidRDefault="003C742B" w:rsidP="003C742B">
      <w:pPr>
        <w:pStyle w:val="NoSpacing"/>
        <w:ind w:left="720"/>
      </w:pPr>
    </w:p>
    <w:p w14:paraId="6AA2761B" w14:textId="77777777" w:rsidR="003C742B" w:rsidRDefault="003C742B" w:rsidP="003C742B">
      <w:pPr>
        <w:pStyle w:val="NoSpacing"/>
        <w:ind w:left="720"/>
      </w:pPr>
      <w:r>
        <w:t>On August 2, 2022, Plaintiff was scheduled for an annual physical examination at Life Scan Wellness Center (‘Life Scan’)…. While at Life Scan, Plaintiff complained to the staff about the intrusive nature of the examinations, but still ‘made himself immediately available . . . for evaluation, and at no point refused any portion.’ … Life Scan staff member eventually told Plaintiff that it was too late to coordinate an accommodation and that he would have to reschedule his exam.</w:t>
      </w:r>
    </w:p>
    <w:p w14:paraId="7599E151" w14:textId="77777777" w:rsidR="003C742B" w:rsidRDefault="003C742B" w:rsidP="003C742B">
      <w:pPr>
        <w:pStyle w:val="NoSpacing"/>
        <w:ind w:left="720"/>
      </w:pPr>
    </w:p>
    <w:p w14:paraId="2B65D5C4" w14:textId="77777777" w:rsidR="003C742B" w:rsidRDefault="003C742B" w:rsidP="003C742B">
      <w:pPr>
        <w:pStyle w:val="NoSpacing"/>
        <w:ind w:left="720"/>
      </w:pPr>
      <w:r>
        <w:t>***</w:t>
      </w:r>
    </w:p>
    <w:p w14:paraId="7CC6850F" w14:textId="77777777" w:rsidR="003C742B" w:rsidRDefault="003C742B" w:rsidP="003C742B">
      <w:pPr>
        <w:pStyle w:val="NoSpacing"/>
        <w:ind w:left="720"/>
      </w:pPr>
    </w:p>
    <w:p w14:paraId="66EB8DE1" w14:textId="77777777" w:rsidR="003C742B" w:rsidRDefault="003C742B" w:rsidP="003C742B">
      <w:pPr>
        <w:pStyle w:val="NoSpacing"/>
        <w:ind w:left="720"/>
      </w:pPr>
      <w:r>
        <w:t>Plaintiff attended a rescheduled physical examination on August 12, 2022…. Plaintiff denies ever asking the Life Scan staff to lie about whether a TB test had been done.</w:t>
      </w:r>
    </w:p>
    <w:p w14:paraId="75AECD46" w14:textId="77777777" w:rsidR="003C742B" w:rsidRDefault="003C742B" w:rsidP="003C742B">
      <w:pPr>
        <w:pStyle w:val="NoSpacing"/>
        <w:ind w:left="720"/>
      </w:pPr>
    </w:p>
    <w:p w14:paraId="4E05DCC8" w14:textId="77777777" w:rsidR="003C742B" w:rsidRDefault="003C742B" w:rsidP="003C742B">
      <w:pPr>
        <w:pStyle w:val="NoSpacing"/>
        <w:ind w:left="720"/>
      </w:pPr>
      <w:r>
        <w:t>***</w:t>
      </w:r>
    </w:p>
    <w:p w14:paraId="51F3C34A" w14:textId="77777777" w:rsidR="003C742B" w:rsidRDefault="003C742B" w:rsidP="003C742B">
      <w:pPr>
        <w:pStyle w:val="NoSpacing"/>
        <w:rPr>
          <w:bCs/>
        </w:rPr>
      </w:pPr>
    </w:p>
    <w:p w14:paraId="0F97D789" w14:textId="77777777" w:rsidR="003C742B" w:rsidRDefault="003C742B" w:rsidP="003C742B">
      <w:pPr>
        <w:pStyle w:val="NoSpacing"/>
        <w:ind w:left="720"/>
      </w:pPr>
      <w:r>
        <w:t xml:space="preserve">On August 17, 2022, Fire Chief Mixson delivered a Notice of Discipline, asserting a ‘failure to complete annual physical in an efficient manner, creating additional expense to [Defendant]. Disrespectful and unprofessional interaction with members of the public (Life Scan staff). Violations of Employee Handbook Sections 7-4 B (9), 7-4 В (7), 7-4 В (8), 7-4 С (17).’ … Plaintiff was then suspended without pay for 24 hours….  On August 24, 2022, Plaintiff appealed this adverse employment action to Fire Commissioner Thomas B. Reid, which was denied. </w:t>
      </w:r>
    </w:p>
    <w:p w14:paraId="4F345A97" w14:textId="77777777" w:rsidR="003C742B" w:rsidRDefault="003C742B" w:rsidP="003C742B">
      <w:pPr>
        <w:pStyle w:val="NoSpacing"/>
        <w:ind w:left="720"/>
      </w:pPr>
    </w:p>
    <w:p w14:paraId="2684390F" w14:textId="77777777" w:rsidR="003C742B" w:rsidRDefault="003C742B" w:rsidP="003C742B">
      <w:pPr>
        <w:pStyle w:val="NoSpacing"/>
        <w:ind w:left="720"/>
      </w:pPr>
      <w:r>
        <w:t>***</w:t>
      </w:r>
    </w:p>
    <w:p w14:paraId="398DC4FF" w14:textId="77777777" w:rsidR="003C742B" w:rsidRDefault="003C742B" w:rsidP="003C742B">
      <w:pPr>
        <w:pStyle w:val="NoSpacing"/>
        <w:ind w:left="720"/>
      </w:pPr>
      <w:r>
        <w:t xml:space="preserve">On September 13, 2022, the </w:t>
      </w:r>
      <w:proofErr w:type="gramStart"/>
      <w:r>
        <w:t>City</w:t>
      </w:r>
      <w:proofErr w:type="gramEnd"/>
      <w:r>
        <w:t xml:space="preserve"> terminated Plaintiff’s employment…. The same day, Plaintiff appealed his termination to Fire Commissioner Reid … and during the appeal, Plaintiff was permitted to provide objections, case law, and scholarly articles…. In sum, Plaintiff was not only informed of the termination hearing and allowed to testify on his own </w:t>
      </w:r>
      <w:proofErr w:type="gramStart"/>
      <w:r>
        <w:t>behalf, but</w:t>
      </w:r>
      <w:proofErr w:type="gramEnd"/>
      <w:r>
        <w:t xml:space="preserve"> was also permitted to appeal his termination and (again) present evidence on his </w:t>
      </w:r>
      <w:proofErr w:type="gramStart"/>
      <w:r>
        <w:t>behalf.”</w:t>
      </w:r>
      <w:proofErr w:type="gramEnd"/>
    </w:p>
    <w:p w14:paraId="0ECB4E98" w14:textId="77777777" w:rsidR="003C742B" w:rsidRDefault="003C742B" w:rsidP="003C742B">
      <w:pPr>
        <w:pStyle w:val="NoSpacing"/>
        <w:ind w:left="720"/>
      </w:pPr>
    </w:p>
    <w:p w14:paraId="2892DC89" w14:textId="77777777" w:rsidR="003C742B" w:rsidRPr="001714F2" w:rsidRDefault="003C742B" w:rsidP="003C742B">
      <w:pPr>
        <w:pStyle w:val="NoSpacing"/>
        <w:rPr>
          <w:b/>
          <w:bCs/>
        </w:rPr>
      </w:pPr>
      <w:r>
        <w:rPr>
          <w:b/>
        </w:rPr>
        <w:t>Legal lesson learned:  Pre-trial discovery will now proceed; city has a strong defense.</w:t>
      </w:r>
    </w:p>
    <w:p w14:paraId="549BB924" w14:textId="77777777" w:rsidR="00684A51" w:rsidRDefault="00684A51" w:rsidP="00684A51">
      <w:pPr>
        <w:pStyle w:val="NoSpacing"/>
        <w:rPr>
          <w:rFonts w:ascii="Arial Black" w:hAnsi="Arial Black"/>
          <w:sz w:val="24"/>
          <w:szCs w:val="24"/>
        </w:rPr>
      </w:pPr>
    </w:p>
    <w:p w14:paraId="11D55BF2" w14:textId="77777777" w:rsidR="00684A51" w:rsidRDefault="00684A51" w:rsidP="00684A51">
      <w:pPr>
        <w:pStyle w:val="NoSpacing"/>
        <w:rPr>
          <w:rFonts w:ascii="Arial Black" w:hAnsi="Arial Black"/>
          <w:sz w:val="24"/>
          <w:szCs w:val="24"/>
        </w:rPr>
      </w:pPr>
    </w:p>
    <w:p w14:paraId="36F829C5" w14:textId="77777777" w:rsidR="008C7243" w:rsidRDefault="008C7243" w:rsidP="00684A51">
      <w:pPr>
        <w:pStyle w:val="NoSpacing"/>
        <w:rPr>
          <w:rFonts w:ascii="Arial Black" w:hAnsi="Arial Black"/>
          <w:sz w:val="24"/>
          <w:szCs w:val="24"/>
        </w:rPr>
      </w:pPr>
    </w:p>
    <w:p w14:paraId="0778D57D" w14:textId="7BE5B907" w:rsidR="00684A51" w:rsidRDefault="00684A51" w:rsidP="00684A51">
      <w:pPr>
        <w:pStyle w:val="NoSpacing"/>
        <w:rPr>
          <w:rFonts w:ascii="Arial Black" w:hAnsi="Arial Black"/>
          <w:sz w:val="24"/>
          <w:szCs w:val="24"/>
        </w:rPr>
      </w:pPr>
      <w:r>
        <w:rPr>
          <w:rFonts w:ascii="Arial Black" w:hAnsi="Arial Black"/>
          <w:sz w:val="24"/>
          <w:szCs w:val="24"/>
        </w:rPr>
        <w:t>9-6</w:t>
      </w:r>
      <w:r w:rsidR="00BA6D04">
        <w:rPr>
          <w:rFonts w:ascii="Arial Black" w:hAnsi="Arial Black"/>
          <w:sz w:val="24"/>
          <w:szCs w:val="24"/>
        </w:rPr>
        <w:t>1</w:t>
      </w:r>
    </w:p>
    <w:p w14:paraId="252339E8" w14:textId="77777777" w:rsidR="003C742B" w:rsidRPr="00043BF5" w:rsidRDefault="003C742B" w:rsidP="003C742B">
      <w:pPr>
        <w:pStyle w:val="NoSpacing"/>
      </w:pPr>
    </w:p>
    <w:p w14:paraId="7AFD4A5F" w14:textId="77777777" w:rsidR="007811A4" w:rsidRPr="0038660D" w:rsidRDefault="007811A4" w:rsidP="007811A4">
      <w:pPr>
        <w:pStyle w:val="NoSpacing"/>
        <w:rPr>
          <w:rFonts w:ascii="Arial Black" w:hAnsi="Arial Black"/>
          <w:sz w:val="28"/>
          <w:szCs w:val="28"/>
        </w:rPr>
      </w:pPr>
      <w:r>
        <w:rPr>
          <w:rFonts w:ascii="Arial Black" w:hAnsi="Arial Black"/>
          <w:sz w:val="28"/>
          <w:szCs w:val="28"/>
        </w:rPr>
        <w:t xml:space="preserve">AK: RIGHT ANKLE – DISABLED – NO RIGHT “LIGHT DUTY” </w:t>
      </w:r>
    </w:p>
    <w:p w14:paraId="621B28D4" w14:textId="77777777" w:rsidR="007811A4" w:rsidRDefault="007811A4" w:rsidP="007811A4">
      <w:pPr>
        <w:pStyle w:val="NoSpacing"/>
      </w:pPr>
    </w:p>
    <w:p w14:paraId="46FA32D8" w14:textId="77777777" w:rsidR="007811A4" w:rsidRDefault="007811A4" w:rsidP="007811A4">
      <w:pPr>
        <w:pStyle w:val="NoSpacing"/>
      </w:pPr>
      <w:r>
        <w:t xml:space="preserve">On March 31, 2026, in </w:t>
      </w:r>
      <w:r w:rsidRPr="00B31302">
        <w:rPr>
          <w:u w:val="single"/>
        </w:rPr>
        <w:t>Christopher Mackey v. City of Pine Bluff</w:t>
      </w:r>
      <w:r>
        <w:t xml:space="preserve">, U.S. District Court Judge </w:t>
      </w:r>
      <w:r w:rsidRPr="00B31302">
        <w:t>Kristine G. Bake</w:t>
      </w:r>
      <w:r>
        <w:t xml:space="preserve">, United States District Court for Eastern District of Arkansas, Central Division, granted the City’s motion for summary judgment.  </w:t>
      </w:r>
      <w:r w:rsidRPr="00DC23E7">
        <w:t xml:space="preserve">On July 31, 2022, Mackey </w:t>
      </w:r>
      <w:r>
        <w:t xml:space="preserve">(firefighter / engineer) </w:t>
      </w:r>
      <w:r w:rsidRPr="00DC23E7">
        <w:t>suffered an ankle injury as his shift began by stepping into a pothole in the parking lot of Station 1 in Pine Bluff</w:t>
      </w:r>
      <w:r>
        <w:t xml:space="preserve">, and MRI revealed </w:t>
      </w:r>
      <w:r w:rsidRPr="00390A1A">
        <w:t xml:space="preserve">“complete rupture of the peroneus brevis tendon” </w:t>
      </w:r>
      <w:r>
        <w:t xml:space="preserve">which required surgery.  After surgery he was </w:t>
      </w:r>
      <w:r w:rsidRPr="009A23D1">
        <w:t xml:space="preserve">without feeling </w:t>
      </w:r>
      <w:proofErr w:type="gramStart"/>
      <w:r w:rsidRPr="009A23D1">
        <w:t>in</w:t>
      </w:r>
      <w:proofErr w:type="gramEnd"/>
      <w:r w:rsidRPr="009A23D1">
        <w:t xml:space="preserve"> the right side of his foot</w:t>
      </w:r>
      <w:r>
        <w:t xml:space="preserve">.  The FD denied his two requests for light duty – as Engineer with no firefighting, or instructor in EMS school with no heavy lifting - but his physician could not provide FD with letter that he could eventually return to full duty.  </w:t>
      </w:r>
      <w:r w:rsidRPr="00E427CE">
        <w:t xml:space="preserve">Mackey resigned from </w:t>
      </w:r>
      <w:r>
        <w:t xml:space="preserve">FD </w:t>
      </w:r>
      <w:r w:rsidRPr="00E427CE">
        <w:t>on November 9, 202</w:t>
      </w:r>
      <w:r>
        <w:t xml:space="preserve">3. </w:t>
      </w:r>
      <w:r w:rsidRPr="00E427CE">
        <w:t xml:space="preserve"> </w:t>
      </w:r>
      <w:hyperlink r:id="rId1569" w:history="1">
        <w:r w:rsidRPr="00A849F7">
          <w:rPr>
            <w:rStyle w:val="Hyperlink"/>
          </w:rPr>
          <w:t>https://cases.justia.com/federal/district-courts/arkansas/aredce/4:2024cv00350/143122/28/0.pdf?ts=1775058402</w:t>
        </w:r>
      </w:hyperlink>
      <w:r>
        <w:t xml:space="preserve"> </w:t>
      </w:r>
    </w:p>
    <w:p w14:paraId="077D5C8B" w14:textId="77777777" w:rsidR="007811A4" w:rsidRDefault="007811A4" w:rsidP="007811A4">
      <w:pPr>
        <w:pStyle w:val="NoSpacing"/>
      </w:pPr>
    </w:p>
    <w:p w14:paraId="6F53EC54" w14:textId="77777777" w:rsidR="007811A4" w:rsidRDefault="007811A4" w:rsidP="007811A4">
      <w:pPr>
        <w:pStyle w:val="NoSpacing"/>
      </w:pPr>
      <w:r>
        <w:t xml:space="preserve">THE COURT HELD: </w:t>
      </w:r>
    </w:p>
    <w:p w14:paraId="019E3653" w14:textId="77777777" w:rsidR="007811A4" w:rsidRDefault="007811A4" w:rsidP="007811A4">
      <w:pPr>
        <w:pStyle w:val="NoSpacing"/>
      </w:pPr>
    </w:p>
    <w:p w14:paraId="2D96BF88" w14:textId="77777777" w:rsidR="007811A4" w:rsidRDefault="007811A4" w:rsidP="007811A4">
      <w:pPr>
        <w:pStyle w:val="NoSpacing"/>
        <w:ind w:left="720"/>
      </w:pPr>
      <w:r>
        <w:t>“</w:t>
      </w:r>
      <w:r w:rsidRPr="00AC2EE6">
        <w:t xml:space="preserve">Mackey's first purported reasonable accommodation fails as a matter of law. The Court finds that Mackey's request to continue as </w:t>
      </w:r>
      <w:r>
        <w:t>‘</w:t>
      </w:r>
      <w:r w:rsidRPr="00AC2EE6">
        <w:t>an engineer but without the firefighting - without having to be inside fighting the fire</w:t>
      </w:r>
      <w:r>
        <w:t xml:space="preserve">’ </w:t>
      </w:r>
      <w:r w:rsidRPr="00AC2EE6">
        <w:t xml:space="preserve">is not a request for </w:t>
      </w:r>
      <w:proofErr w:type="gramStart"/>
      <w:r w:rsidRPr="00AC2EE6">
        <w:t>a reasonable</w:t>
      </w:r>
      <w:proofErr w:type="gramEnd"/>
      <w:r w:rsidRPr="00AC2EE6">
        <w:t xml:space="preserve"> accommodation because that accommodation necessarily eliminates the essential functions of the engineer position</w:t>
      </w:r>
      <w:r>
        <w:t xml:space="preserve">. </w:t>
      </w:r>
    </w:p>
    <w:p w14:paraId="0B3E92C9" w14:textId="77777777" w:rsidR="007811A4" w:rsidRDefault="007811A4" w:rsidP="007811A4">
      <w:pPr>
        <w:pStyle w:val="NoSpacing"/>
        <w:ind w:left="720"/>
      </w:pPr>
    </w:p>
    <w:p w14:paraId="7A91E7D8" w14:textId="77777777" w:rsidR="007811A4" w:rsidRDefault="007811A4" w:rsidP="007811A4">
      <w:pPr>
        <w:pStyle w:val="NoSpacing"/>
        <w:ind w:left="720"/>
      </w:pPr>
      <w:r>
        <w:t xml:space="preserve">*** </w:t>
      </w:r>
    </w:p>
    <w:p w14:paraId="4A784237" w14:textId="77777777" w:rsidR="007811A4" w:rsidRDefault="007811A4" w:rsidP="007811A4">
      <w:pPr>
        <w:pStyle w:val="NoSpacing"/>
        <w:ind w:left="720"/>
      </w:pPr>
      <w:r w:rsidRPr="00AC2EE6">
        <w:t xml:space="preserve">Mackey's second purported accommodation also fails. Mackey requested to be moved to a trainer position as an accommodation, but Mackey is incapable of performing the essential functions of a trainer. </w:t>
      </w:r>
    </w:p>
    <w:p w14:paraId="02911A11" w14:textId="77777777" w:rsidR="007811A4" w:rsidRDefault="007811A4" w:rsidP="007811A4">
      <w:pPr>
        <w:pStyle w:val="NoSpacing"/>
        <w:ind w:left="720"/>
      </w:pPr>
    </w:p>
    <w:p w14:paraId="13A1A8BD" w14:textId="77777777" w:rsidR="007811A4" w:rsidRPr="00AC2EE6" w:rsidRDefault="007811A4" w:rsidP="007811A4">
      <w:pPr>
        <w:pStyle w:val="NoSpacing"/>
        <w:ind w:left="720"/>
      </w:pPr>
      <w:r>
        <w:t>***</w:t>
      </w:r>
    </w:p>
    <w:p w14:paraId="3BD314BC" w14:textId="77777777" w:rsidR="007811A4" w:rsidRDefault="007811A4" w:rsidP="007811A4">
      <w:pPr>
        <w:pStyle w:val="NoSpacing"/>
        <w:ind w:left="720"/>
      </w:pPr>
      <w:r w:rsidRPr="00A4315C">
        <w:t>Accordingly, the Court grants Pine Bluff's motion for summary judgment as to Mackey's ADA and ACRA failure to accommodate claims</w:t>
      </w:r>
      <w:r>
        <w:t xml:space="preserve">. </w:t>
      </w:r>
    </w:p>
    <w:p w14:paraId="2BCF3203" w14:textId="77777777" w:rsidR="007811A4" w:rsidRDefault="007811A4" w:rsidP="007811A4">
      <w:pPr>
        <w:pStyle w:val="NoSpacing"/>
        <w:ind w:left="720"/>
      </w:pPr>
    </w:p>
    <w:p w14:paraId="46BE5C08" w14:textId="77777777" w:rsidR="007811A4" w:rsidRPr="00EF5C04" w:rsidRDefault="007811A4" w:rsidP="007811A4">
      <w:pPr>
        <w:rPr>
          <w:b/>
          <w:bCs/>
        </w:rPr>
      </w:pPr>
      <w:r>
        <w:rPr>
          <w:b/>
        </w:rPr>
        <w:t xml:space="preserve">Legal lesson learned: ADA only requires reasonable accommodation if employee can still perform the essential functions of the job. </w:t>
      </w:r>
    </w:p>
    <w:p w14:paraId="0FDD6890" w14:textId="77777777" w:rsidR="007811A4" w:rsidRDefault="007811A4" w:rsidP="007811A4">
      <w:pPr>
        <w:pStyle w:val="NoSpacing"/>
      </w:pPr>
      <w:r>
        <w:tab/>
        <w:t xml:space="preserve">Note:  The FD does provide light duty. </w:t>
      </w:r>
    </w:p>
    <w:p w14:paraId="3C0124FE" w14:textId="77777777" w:rsidR="007811A4" w:rsidRDefault="007811A4" w:rsidP="007811A4">
      <w:pPr>
        <w:pStyle w:val="NoSpacing"/>
        <w:ind w:left="720"/>
      </w:pPr>
    </w:p>
    <w:p w14:paraId="12F50575" w14:textId="77777777" w:rsidR="007811A4" w:rsidRDefault="007811A4" w:rsidP="007811A4">
      <w:pPr>
        <w:pStyle w:val="NoSpacing"/>
        <w:ind w:left="720"/>
      </w:pPr>
      <w:r>
        <w:t xml:space="preserve">“After Mackey resigned, another employee, </w:t>
      </w:r>
      <w:proofErr w:type="spellStart"/>
      <w:r>
        <w:t>E’Leecia</w:t>
      </w:r>
      <w:proofErr w:type="spellEnd"/>
      <w:r>
        <w:t xml:space="preserve"> Clark, was offered temporary light duty work….However, she had received hip replacement surgery and had run out of sick days, so the department offered her a temporary light duty job until her doctor cleared her to return to full duty…. Clark was </w:t>
      </w:r>
      <w:r w:rsidRPr="008437C5">
        <w:t>only on light duty work for four to five days before she was able to return to full duty</w:t>
      </w:r>
      <w:r>
        <w:t>.”</w:t>
      </w:r>
    </w:p>
    <w:p w14:paraId="39A49BE4" w14:textId="77777777" w:rsidR="007811A4" w:rsidRDefault="007811A4" w:rsidP="005C30A4">
      <w:pPr>
        <w:pStyle w:val="NoSpacing"/>
        <w:rPr>
          <w:rFonts w:ascii="Arial Black" w:hAnsi="Arial Black"/>
          <w:sz w:val="24"/>
          <w:szCs w:val="24"/>
        </w:rPr>
      </w:pPr>
    </w:p>
    <w:p w14:paraId="55774586" w14:textId="77777777" w:rsidR="003C742B" w:rsidRDefault="003C742B" w:rsidP="005C30A4">
      <w:pPr>
        <w:pStyle w:val="NoSpacing"/>
        <w:rPr>
          <w:rFonts w:ascii="Arial Black" w:hAnsi="Arial Black"/>
          <w:sz w:val="24"/>
          <w:szCs w:val="24"/>
        </w:rPr>
      </w:pPr>
    </w:p>
    <w:p w14:paraId="0048BD3B" w14:textId="77777777" w:rsidR="003C742B" w:rsidRDefault="003C742B" w:rsidP="005C30A4">
      <w:pPr>
        <w:pStyle w:val="NoSpacing"/>
        <w:rPr>
          <w:rFonts w:ascii="Arial Black" w:hAnsi="Arial Black"/>
          <w:sz w:val="24"/>
          <w:szCs w:val="24"/>
        </w:rPr>
      </w:pPr>
    </w:p>
    <w:p w14:paraId="11F69C69" w14:textId="77777777" w:rsidR="003C742B" w:rsidRDefault="003C742B" w:rsidP="005C30A4">
      <w:pPr>
        <w:pStyle w:val="NoSpacing"/>
        <w:rPr>
          <w:rFonts w:ascii="Arial Black" w:hAnsi="Arial Black"/>
          <w:sz w:val="24"/>
          <w:szCs w:val="24"/>
        </w:rPr>
      </w:pPr>
    </w:p>
    <w:p w14:paraId="3DE9E881" w14:textId="77777777" w:rsidR="003C742B" w:rsidRDefault="003C742B" w:rsidP="005C30A4">
      <w:pPr>
        <w:pStyle w:val="NoSpacing"/>
        <w:rPr>
          <w:rFonts w:ascii="Arial Black" w:hAnsi="Arial Black"/>
          <w:sz w:val="24"/>
          <w:szCs w:val="24"/>
        </w:rPr>
      </w:pPr>
    </w:p>
    <w:p w14:paraId="0497BB99" w14:textId="1F4336D5" w:rsidR="008D4459" w:rsidRDefault="003F5F35" w:rsidP="005C30A4">
      <w:pPr>
        <w:pStyle w:val="NoSpacing"/>
        <w:rPr>
          <w:rFonts w:ascii="Arial Black" w:hAnsi="Arial Black"/>
          <w:sz w:val="24"/>
          <w:szCs w:val="24"/>
        </w:rPr>
      </w:pPr>
      <w:r>
        <w:rPr>
          <w:rFonts w:ascii="Arial Black" w:hAnsi="Arial Black"/>
          <w:sz w:val="24"/>
          <w:szCs w:val="24"/>
        </w:rPr>
        <w:t>9-</w:t>
      </w:r>
      <w:r w:rsidR="00BA6D04">
        <w:rPr>
          <w:rFonts w:ascii="Arial Black" w:hAnsi="Arial Black"/>
          <w:sz w:val="24"/>
          <w:szCs w:val="24"/>
        </w:rPr>
        <w:t>60</w:t>
      </w:r>
    </w:p>
    <w:p w14:paraId="7B68E4A7" w14:textId="77777777" w:rsidR="00ED6D00" w:rsidRDefault="00ED6D00" w:rsidP="005C30A4">
      <w:pPr>
        <w:pStyle w:val="NoSpacing"/>
        <w:rPr>
          <w:rFonts w:ascii="Arial Black" w:hAnsi="Arial Black"/>
          <w:sz w:val="24"/>
          <w:szCs w:val="24"/>
        </w:rPr>
      </w:pPr>
    </w:p>
    <w:p w14:paraId="5A886678" w14:textId="77777777" w:rsidR="00ED6D00" w:rsidRPr="00130A45" w:rsidRDefault="00ED6D00" w:rsidP="00ED6D00">
      <w:pPr>
        <w:pStyle w:val="NoSpacing"/>
        <w:rPr>
          <w:rFonts w:ascii="Arial Black" w:hAnsi="Arial Black"/>
          <w:b/>
          <w:sz w:val="28"/>
          <w:szCs w:val="28"/>
        </w:rPr>
      </w:pPr>
      <w:r>
        <w:rPr>
          <w:rFonts w:ascii="Arial Black" w:hAnsi="Arial Black"/>
          <w:b/>
          <w:sz w:val="28"/>
          <w:szCs w:val="28"/>
        </w:rPr>
        <w:lastRenderedPageBreak/>
        <w:t>NY: BACK / NECK – CAN’T DO JOB – ADA CASE DISMISSED</w:t>
      </w:r>
    </w:p>
    <w:p w14:paraId="3DCFDCEA" w14:textId="77777777" w:rsidR="00ED6D00" w:rsidRDefault="00ED6D00" w:rsidP="00ED6D00">
      <w:pPr>
        <w:pStyle w:val="NoSpacing"/>
        <w:rPr>
          <w:bCs/>
        </w:rPr>
      </w:pPr>
    </w:p>
    <w:p w14:paraId="6A5AD63F" w14:textId="118CB54E" w:rsidR="00ED6D00" w:rsidRDefault="00ED6D00" w:rsidP="00ED6D00">
      <w:pPr>
        <w:pStyle w:val="NoSpacing"/>
      </w:pPr>
      <w:r>
        <w:t>On Feb. 26, 2026</w:t>
      </w:r>
      <w:proofErr w:type="gramStart"/>
      <w:r w:rsidR="008C5EE7">
        <w:t xml:space="preserve">, </w:t>
      </w:r>
      <w:r>
        <w:t>in</w:t>
      </w:r>
      <w:proofErr w:type="gramEnd"/>
      <w:r>
        <w:t xml:space="preserve"> </w:t>
      </w:r>
      <w:r w:rsidRPr="00C8301C">
        <w:rPr>
          <w:u w:val="single"/>
        </w:rPr>
        <w:t>Michael Knapp v. The City of Utica Bureau of Fire, et al.,</w:t>
      </w:r>
      <w:r>
        <w:t xml:space="preserve"> U.S. District Court Judge </w:t>
      </w:r>
      <w:r w:rsidRPr="00C951D8">
        <w:t>Anthony Brindisi</w:t>
      </w:r>
      <w:r>
        <w:t xml:space="preserve">. United States District Court for the Northern District of New York dismissed the firefighter’s ADA case; he can no longer perform the essential functions of the job.  The Court gave him 30 days to file an amended ADA complaint.  On </w:t>
      </w:r>
      <w:r w:rsidRPr="00A62FEE">
        <w:t xml:space="preserve">May 19, 2023, during a </w:t>
      </w:r>
      <w:r>
        <w:t xml:space="preserve">fire department </w:t>
      </w:r>
      <w:r w:rsidRPr="00A62FEE">
        <w:t xml:space="preserve">training exercise “involving an obstacle course,” plaintiff </w:t>
      </w:r>
      <w:r>
        <w:t xml:space="preserve">claimed he </w:t>
      </w:r>
      <w:r w:rsidRPr="00A62FEE">
        <w:t>suffered another injury, which further aggravated his pre-existing “back and neck” injuries.</w:t>
      </w:r>
      <w:r>
        <w:t xml:space="preserve"> He was ordered to take a worker’s comp IME (Independent Medical Exam); </w:t>
      </w:r>
      <w:r w:rsidRPr="00B01EA0">
        <w:t>Dr. Warren Silverman, who examined plaintiff and determined that his “pain and medical conditions were not the result of work-related injuries.”</w:t>
      </w:r>
      <w:r>
        <w:t xml:space="preserve"> </w:t>
      </w:r>
      <w:hyperlink r:id="rId1570" w:history="1">
        <w:r w:rsidRPr="00255C30">
          <w:rPr>
            <w:rStyle w:val="Hyperlink"/>
          </w:rPr>
          <w:t>https://public.fastcase.com/Jhe1Qn%2BmJndQYQU6z%2FeNm07xnsMMe9XopEXpzbd8wBfIcwWisDZ8Xdk0vkVeza2z?utm_medium=email&amp;_hsenc=p2ANqtz-9GpH5Yl8KbaQKypiwjwBSc5ZewK71TROtHeH7A0Ky0SFDkHfwzpfrGRkv9wpK-L_sBVpNrip23D5GifO3TaI5YS4qT7w&amp;_hsmi=226712652&amp;utm_content=226712652&amp;utm_source=hs_email</w:t>
        </w:r>
      </w:hyperlink>
    </w:p>
    <w:p w14:paraId="39DA158A" w14:textId="77777777" w:rsidR="00ED6D00" w:rsidRDefault="00ED6D00" w:rsidP="00ED6D00">
      <w:pPr>
        <w:pStyle w:val="NoSpacing"/>
      </w:pPr>
    </w:p>
    <w:p w14:paraId="7E792320" w14:textId="77777777" w:rsidR="00ED6D00" w:rsidRDefault="00ED6D00" w:rsidP="00ED6D00">
      <w:pPr>
        <w:pStyle w:val="NoSpacing"/>
      </w:pPr>
    </w:p>
    <w:p w14:paraId="08457438" w14:textId="77777777" w:rsidR="00ED6D00" w:rsidRDefault="00ED6D00" w:rsidP="00ED6D00">
      <w:pPr>
        <w:pStyle w:val="NoSpacing"/>
      </w:pPr>
      <w:r>
        <w:t>THE COURT HELD: “</w:t>
      </w:r>
      <w:r w:rsidRPr="00CC10A1">
        <w:t xml:space="preserve">In sum, plaintiff alleges that UFD has never offered him </w:t>
      </w:r>
      <w:r>
        <w:t>‘</w:t>
      </w:r>
      <w:r w:rsidRPr="00CC10A1">
        <w:t>any accommodation for the several injuries he sustained while on the job</w:t>
      </w:r>
      <w:r>
        <w:t xml:space="preserve">’ </w:t>
      </w:r>
      <w:r w:rsidRPr="00CC10A1">
        <w:t xml:space="preserve">despite his </w:t>
      </w:r>
      <w:r>
        <w:t>‘</w:t>
      </w:r>
      <w:r w:rsidRPr="00CC10A1">
        <w:t>multiple requests for same.</w:t>
      </w:r>
      <w:r>
        <w:t>’</w:t>
      </w:r>
      <w:r w:rsidRPr="00CC10A1">
        <w:t xml:space="preserve"> </w:t>
      </w:r>
      <w:proofErr w:type="spellStart"/>
      <w:r w:rsidRPr="00CC10A1">
        <w:t>Compl</w:t>
      </w:r>
      <w:proofErr w:type="spellEnd"/>
      <w:r w:rsidRPr="00CC10A1">
        <w:t>. ¶ 49</w:t>
      </w:r>
      <w:r>
        <w:t xml:space="preserve">…. </w:t>
      </w:r>
      <w:r w:rsidRPr="00CC10A1">
        <w:t xml:space="preserve">Plaintiff alleges that he is </w:t>
      </w:r>
      <w:r>
        <w:t>‘</w:t>
      </w:r>
      <w:r w:rsidRPr="00CC10A1">
        <w:t>out of work,</w:t>
      </w:r>
      <w:r>
        <w:t>’</w:t>
      </w:r>
      <w:r w:rsidRPr="00CC10A1">
        <w:t xml:space="preserve"> </w:t>
      </w:r>
      <w:r>
        <w:t xml:space="preserve"> ‘</w:t>
      </w:r>
      <w:r w:rsidRPr="00CC10A1">
        <w:t>receiving no pay,</w:t>
      </w:r>
      <w:r>
        <w:t>’</w:t>
      </w:r>
      <w:r w:rsidRPr="00CC10A1">
        <w:t xml:space="preserve"> and suffering </w:t>
      </w:r>
      <w:r>
        <w:t>‘</w:t>
      </w:r>
      <w:r w:rsidRPr="00CC10A1">
        <w:t>chronic pain</w:t>
      </w:r>
      <w:r>
        <w:t>’</w:t>
      </w:r>
      <w:r w:rsidRPr="00CC10A1">
        <w:t xml:space="preserve"> and </w:t>
      </w:r>
      <w:r>
        <w:t>‘</w:t>
      </w:r>
      <w:r w:rsidRPr="00CC10A1">
        <w:t>mental anguish, depression, and anxiety about his inability to continue to work and the fact that no reasonable accommodations were ever made.</w:t>
      </w:r>
      <w:r>
        <w:t xml:space="preserve"> </w:t>
      </w:r>
      <w:r w:rsidRPr="00CC10A1">
        <w:rPr>
          <w:i/>
          <w:iCs/>
        </w:rPr>
        <w:t>Id</w:t>
      </w:r>
      <w:r w:rsidRPr="00CC10A1">
        <w:t>. ¶¶ 51-53</w:t>
      </w:r>
      <w:r>
        <w:t>.</w:t>
      </w:r>
    </w:p>
    <w:p w14:paraId="6B8849E7" w14:textId="77777777" w:rsidR="00ED6D00" w:rsidRDefault="00ED6D00" w:rsidP="00ED6D00">
      <w:pPr>
        <w:pStyle w:val="NoSpacing"/>
      </w:pPr>
      <w:r>
        <w:t xml:space="preserve">*** </w:t>
      </w:r>
      <w:r w:rsidRPr="00260C3A">
        <w:t xml:space="preserve">First, plaintiff has failed to plausibly allege that he suffered a </w:t>
      </w:r>
      <w:r>
        <w:t>‘</w:t>
      </w:r>
      <w:r w:rsidRPr="00260C3A">
        <w:t>disability</w:t>
      </w:r>
      <w:r>
        <w:t>’</w:t>
      </w:r>
      <w:r w:rsidRPr="00260C3A">
        <w:t xml:space="preserve"> within the meaning of the Act, dooming his disparate-treatment and reasonable-accommodation claims</w:t>
      </w:r>
      <w:r>
        <w:t xml:space="preserve">…. </w:t>
      </w:r>
      <w:r w:rsidRPr="00DA6E7F">
        <w:t xml:space="preserve">On the merits, defendants argue that plaintiff has failed to state a plausible ADA claim because he has failed to allege that: (a) he is </w:t>
      </w:r>
      <w:r>
        <w:t>‘</w:t>
      </w:r>
      <w:r w:rsidRPr="00DA6E7F">
        <w:t>disabled</w:t>
      </w:r>
      <w:r>
        <w:t>’</w:t>
      </w:r>
      <w:r w:rsidRPr="00DA6E7F">
        <w:t xml:space="preserve"> within the meaning of the statute; (b) he is </w:t>
      </w:r>
      <w:r>
        <w:t>‘</w:t>
      </w:r>
      <w:r w:rsidRPr="00DA6E7F">
        <w:t>qualified to perform the essential functions of the job</w:t>
      </w:r>
      <w:r>
        <w:t>’</w:t>
      </w:r>
      <w:r w:rsidRPr="00DA6E7F">
        <w:t xml:space="preserve">; or that (c) he suffered a qualifying </w:t>
      </w:r>
      <w:r>
        <w:t>‘</w:t>
      </w:r>
      <w:r w:rsidRPr="00DA6E7F">
        <w:t>adverse employment action.</w:t>
      </w:r>
      <w:r>
        <w:t xml:space="preserve">’” </w:t>
      </w:r>
    </w:p>
    <w:p w14:paraId="668820A5" w14:textId="77777777" w:rsidR="00ED6D00" w:rsidRDefault="00ED6D00" w:rsidP="00ED6D00">
      <w:pPr>
        <w:pStyle w:val="NoSpacing"/>
      </w:pPr>
    </w:p>
    <w:p w14:paraId="0F59525B" w14:textId="77777777" w:rsidR="00ED6D00" w:rsidRPr="005564F2" w:rsidRDefault="00ED6D00" w:rsidP="00ED6D00">
      <w:pPr>
        <w:pStyle w:val="NoSpacing"/>
        <w:rPr>
          <w:b/>
          <w:bCs/>
        </w:rPr>
      </w:pPr>
      <w:r w:rsidRPr="005564F2">
        <w:rPr>
          <w:b/>
        </w:rPr>
        <w:t xml:space="preserve">Legal lesson learned: Plaintiff is not a “qualified individual” under the ADA if unable to perform the essential functions of the job.  </w:t>
      </w:r>
    </w:p>
    <w:p w14:paraId="70B91C8F" w14:textId="77777777" w:rsidR="00ED6D00" w:rsidRDefault="00ED6D00" w:rsidP="00ED6D00">
      <w:pPr>
        <w:pStyle w:val="NoSpacing"/>
      </w:pPr>
    </w:p>
    <w:p w14:paraId="0889A04D" w14:textId="77777777" w:rsidR="00ED6D00" w:rsidRPr="00300D14" w:rsidRDefault="00ED6D00" w:rsidP="00ED6D00">
      <w:pPr>
        <w:pStyle w:val="NoSpacing"/>
        <w:ind w:left="720"/>
        <w:rPr>
          <w:bCs/>
        </w:rPr>
      </w:pPr>
      <w:r w:rsidRPr="00300D14">
        <w:t>Note:  EEOC - The ADA: Questions and Answers</w:t>
      </w:r>
      <w:r>
        <w:t xml:space="preserve">. </w:t>
      </w:r>
      <w:hyperlink r:id="rId1571" w:history="1">
        <w:r w:rsidRPr="00255C30">
          <w:rPr>
            <w:rStyle w:val="Hyperlink"/>
          </w:rPr>
          <w:t>https://www.eeoc.gov/laws/guidance/ada-questions-and-answers</w:t>
        </w:r>
      </w:hyperlink>
      <w:r>
        <w:t xml:space="preserve"> </w:t>
      </w:r>
    </w:p>
    <w:p w14:paraId="22D75150" w14:textId="77777777" w:rsidR="00ED6D00" w:rsidRDefault="00ED6D00" w:rsidP="00ED6D00">
      <w:pPr>
        <w:pStyle w:val="NoSpacing"/>
        <w:ind w:firstLine="720"/>
        <w:rPr>
          <w:b/>
        </w:rPr>
      </w:pPr>
    </w:p>
    <w:p w14:paraId="39572B67" w14:textId="77777777" w:rsidR="00ED6D00" w:rsidRPr="00030E56" w:rsidRDefault="00ED6D00" w:rsidP="00ED6D00">
      <w:pPr>
        <w:pStyle w:val="NoSpacing"/>
        <w:ind w:firstLine="720"/>
      </w:pPr>
      <w:r>
        <w:rPr>
          <w:b/>
        </w:rPr>
        <w:t>“</w:t>
      </w:r>
      <w:r w:rsidRPr="00030E56">
        <w:rPr>
          <w:b/>
        </w:rPr>
        <w:t>Who is a "qualified individual with a disability?"</w:t>
      </w:r>
    </w:p>
    <w:p w14:paraId="6028D0E1" w14:textId="77777777" w:rsidR="00ED6D00" w:rsidRPr="00030E56" w:rsidRDefault="00ED6D00" w:rsidP="00ED6D00">
      <w:pPr>
        <w:pStyle w:val="NoSpacing"/>
        <w:ind w:left="720"/>
      </w:pPr>
      <w:r w:rsidRPr="00030E56">
        <w:t xml:space="preserve">A. A qualified individual with a disability is a person who meets legitimate skill, experience, education, or other requirements of an employment position that he or she holds or seeks, and who can perform the "essential functions" of the position with or without reasonable accommodation. Requiring the ability to perform "essential" functions </w:t>
      </w:r>
      <w:proofErr w:type="gramStart"/>
      <w:r w:rsidRPr="00030E56">
        <w:t>assures</w:t>
      </w:r>
      <w:proofErr w:type="gramEnd"/>
      <w:r w:rsidRPr="00030E56">
        <w:t xml:space="preserve"> that an individual will not be considered unqualified simply because of inability to perform marginal or incidental job functions. If the individual is qualified to perform essential job functions except for limitations caused by a disability, the employer must consider whether the individual could perform these functions with </w:t>
      </w:r>
      <w:proofErr w:type="gramStart"/>
      <w:r w:rsidRPr="00030E56">
        <w:t>a reasonable</w:t>
      </w:r>
      <w:proofErr w:type="gramEnd"/>
      <w:r w:rsidRPr="00030E56">
        <w:t xml:space="preserve"> accommodation. If a written job description has been prepared in advance of advertising or interviewing applicants for a job, this will be considered as evidence, although not necessarily conclusive evidence, of the essential functions of the </w:t>
      </w:r>
      <w:proofErr w:type="gramStart"/>
      <w:r w:rsidRPr="00030E56">
        <w:t>job.</w:t>
      </w:r>
      <w:r>
        <w:t>”</w:t>
      </w:r>
      <w:proofErr w:type="gramEnd"/>
    </w:p>
    <w:p w14:paraId="10745909" w14:textId="77777777" w:rsidR="00ED6D00" w:rsidRDefault="00ED6D00" w:rsidP="005C30A4">
      <w:pPr>
        <w:pStyle w:val="NoSpacing"/>
        <w:rPr>
          <w:rFonts w:ascii="Arial Black" w:hAnsi="Arial Black"/>
          <w:sz w:val="24"/>
          <w:szCs w:val="24"/>
        </w:rPr>
      </w:pPr>
    </w:p>
    <w:p w14:paraId="03E85787" w14:textId="2FC63746" w:rsidR="00BA6D04" w:rsidRDefault="00BA6D04" w:rsidP="00BA6D04">
      <w:pPr>
        <w:pStyle w:val="NoSpacing"/>
        <w:rPr>
          <w:rFonts w:ascii="Arial Black" w:hAnsi="Arial Black"/>
          <w:sz w:val="24"/>
          <w:szCs w:val="24"/>
        </w:rPr>
      </w:pPr>
      <w:r>
        <w:rPr>
          <w:rFonts w:ascii="Arial Black" w:hAnsi="Arial Black"/>
          <w:sz w:val="24"/>
          <w:szCs w:val="24"/>
        </w:rPr>
        <w:t>9-59</w:t>
      </w:r>
    </w:p>
    <w:p w14:paraId="1CC4DFDE" w14:textId="77777777" w:rsidR="003F5F35" w:rsidRDefault="003F5F35" w:rsidP="009C7451">
      <w:pPr>
        <w:pStyle w:val="NoSpacing"/>
        <w:rPr>
          <w:rFonts w:ascii="Arial Black" w:hAnsi="Arial Black"/>
          <w:sz w:val="24"/>
          <w:szCs w:val="24"/>
        </w:rPr>
      </w:pPr>
    </w:p>
    <w:p w14:paraId="43B8E9E8" w14:textId="77777777" w:rsidR="00BA6D04" w:rsidRDefault="00BA6D04" w:rsidP="00BA6D04">
      <w:pPr>
        <w:pStyle w:val="NoSpacing"/>
        <w:rPr>
          <w:rFonts w:ascii="Arial Black" w:hAnsi="Arial Black"/>
          <w:sz w:val="28"/>
          <w:szCs w:val="28"/>
        </w:rPr>
      </w:pPr>
      <w:r>
        <w:rPr>
          <w:rFonts w:ascii="Arial Black" w:hAnsi="Arial Black"/>
          <w:sz w:val="28"/>
          <w:szCs w:val="28"/>
        </w:rPr>
        <w:t xml:space="preserve">OH: FF 15-YRS HEARING AIDS – NFPA 1582 REQ. - FIRED </w:t>
      </w:r>
    </w:p>
    <w:p w14:paraId="27F23509" w14:textId="77777777" w:rsidR="00BA6D04" w:rsidRDefault="00BA6D04" w:rsidP="00BA6D04">
      <w:pPr>
        <w:pStyle w:val="NoSpacing"/>
        <w:rPr>
          <w:rFonts w:ascii="Arial Black" w:hAnsi="Arial Black"/>
          <w:sz w:val="28"/>
          <w:szCs w:val="28"/>
        </w:rPr>
      </w:pPr>
    </w:p>
    <w:p w14:paraId="11E96640" w14:textId="77777777" w:rsidR="00BA6D04" w:rsidRDefault="00BA6D04" w:rsidP="00BA6D04">
      <w:pPr>
        <w:pStyle w:val="NoSpacing"/>
        <w:rPr>
          <w:b/>
        </w:rPr>
      </w:pPr>
      <w:r>
        <w:t xml:space="preserve">On February 23, 2026, in </w:t>
      </w:r>
      <w:r w:rsidRPr="005E030B">
        <w:rPr>
          <w:u w:val="single"/>
        </w:rPr>
        <w:t>Jeffrey Kibler v. Genoa Township, Ohio</w:t>
      </w:r>
      <w:r>
        <w:t xml:space="preserve">, U.S. District Court Judge </w:t>
      </w:r>
      <w:r w:rsidRPr="00E51D1A">
        <w:t>Sarah D. Morrison</w:t>
      </w:r>
      <w:r>
        <w:t xml:space="preserve">, United States District Court for the Southern District of Ohio, granted the Township’s motion for summary judgment. The firefighter, who worked for the Township from </w:t>
      </w:r>
      <w:r w:rsidRPr="006D6749">
        <w:t>2001</w:t>
      </w:r>
      <w:r>
        <w:t xml:space="preserve"> until his terminated April 21, 2022, wore a hearing aid in right ear since 2002, and left ear since 2006, with Fire Chiefs knowledge. During his August 19, </w:t>
      </w:r>
      <w:proofErr w:type="gramStart"/>
      <w:r>
        <w:t>2021</w:t>
      </w:r>
      <w:proofErr w:type="gramEnd"/>
      <w:r>
        <w:t xml:space="preserve"> annual physical, Dr. William </w:t>
      </w:r>
      <w:proofErr w:type="spellStart"/>
      <w:r>
        <w:t>Cann</w:t>
      </w:r>
      <w:proofErr w:type="spellEnd"/>
      <w:r>
        <w:t xml:space="preserve"> reviewed the firefighter’s hearing loss records and advised the Fire Chief that his hearing fell below the NFPA 1582 </w:t>
      </w:r>
      <w:r w:rsidRPr="00707150">
        <w:rPr>
          <w:i/>
          <w:iCs/>
        </w:rPr>
        <w:t>unaided</w:t>
      </w:r>
      <w:r>
        <w:t xml:space="preserve"> threshold, back to at least 2011, and his hearing has worsened over time. The firefighter suggested several </w:t>
      </w:r>
      <w:r>
        <w:lastRenderedPageBreak/>
        <w:t xml:space="preserve">possible ADA accommodations, including carrying a second set of hearing aids, or working as just an engineer, but they were not accepted. The Court referenced the testimony of Dr. Stanely C. Haimes, who served on the NFPA 1582 technical committee: “hearing aids are not designed for operation in structural firefighting environmental conditions of elevated heat, water deluge, and humidity and therefore being subject to unpredictable failure under those conditions.” </w:t>
      </w:r>
      <w:hyperlink r:id="rId1572" w:history="1">
        <w:r w:rsidRPr="0031614A">
          <w:rPr>
            <w:rStyle w:val="Hyperlink"/>
            <w:b/>
          </w:rPr>
          <w:t>https://cases.justia.com/federal/district-courts/ohio/ohsdce/2:2023cv02466/282351/63/0.pdf?ts=1771088328</w:t>
        </w:r>
      </w:hyperlink>
      <w:r>
        <w:rPr>
          <w:b/>
        </w:rPr>
        <w:t xml:space="preserve"> </w:t>
      </w:r>
    </w:p>
    <w:p w14:paraId="42045FC5" w14:textId="77777777" w:rsidR="00BA6D04" w:rsidRDefault="00BA6D04" w:rsidP="00BA6D04">
      <w:pPr>
        <w:pStyle w:val="NoSpacing"/>
      </w:pPr>
    </w:p>
    <w:p w14:paraId="3CDADD16" w14:textId="77777777" w:rsidR="00BA6D04" w:rsidRDefault="00BA6D04" w:rsidP="00BA6D04">
      <w:pPr>
        <w:pStyle w:val="NoSpacing"/>
      </w:pPr>
      <w:r>
        <w:t>THE COURT HELD:</w:t>
      </w:r>
    </w:p>
    <w:p w14:paraId="33606AA3" w14:textId="77777777" w:rsidR="00BA6D04" w:rsidRDefault="00BA6D04" w:rsidP="00BA6D04">
      <w:pPr>
        <w:pStyle w:val="NoSpacing"/>
      </w:pPr>
    </w:p>
    <w:p w14:paraId="14E7BA4C" w14:textId="77777777" w:rsidR="00BA6D04" w:rsidRDefault="00BA6D04" w:rsidP="00BA6D04">
      <w:pPr>
        <w:pStyle w:val="NoSpacing"/>
        <w:ind w:left="720"/>
      </w:pPr>
      <w:r>
        <w:t>“</w:t>
      </w:r>
      <w:r w:rsidRPr="00257A2D">
        <w:t>Mr. Kibler argues that</w:t>
      </w:r>
      <w:r>
        <w:t xml:space="preserve"> these accommodations are nevertheless reasonable because he used hearing aids in both ears while working as a Firefighter/EMT for 15 years without issue, even though he did not meet the NFPA threshold for </w:t>
      </w:r>
      <w:proofErr w:type="gramStart"/>
      <w:r>
        <w:t>the majority of</w:t>
      </w:r>
      <w:proofErr w:type="gramEnd"/>
      <w:r>
        <w:t xml:space="preserve"> that time [since at least 2011]. But, </w:t>
      </w:r>
      <w:proofErr w:type="gramStart"/>
      <w:r>
        <w:t>in light of</w:t>
      </w:r>
      <w:proofErr w:type="gramEnd"/>
      <w:r>
        <w:t xml:space="preserve"> the evidence that Mr. Kibler’s hearing has worsened over time, Mr. Kibler’s prior performance is not dispositive of his continued ability to meet the essential qualifications of the Firefighter/EMT role.</w:t>
      </w:r>
    </w:p>
    <w:p w14:paraId="18E2A93D" w14:textId="77777777" w:rsidR="00BA6D04" w:rsidRDefault="00BA6D04" w:rsidP="00BA6D04">
      <w:pPr>
        <w:pStyle w:val="NoSpacing"/>
        <w:ind w:left="720"/>
      </w:pPr>
    </w:p>
    <w:p w14:paraId="4A834268" w14:textId="77777777" w:rsidR="00BA6D04" w:rsidRDefault="00BA6D04" w:rsidP="00BA6D04">
      <w:pPr>
        <w:pStyle w:val="NoSpacing"/>
        <w:ind w:left="720"/>
      </w:pPr>
      <w:r>
        <w:t>***</w:t>
      </w:r>
    </w:p>
    <w:p w14:paraId="289760EE" w14:textId="77777777" w:rsidR="00BA6D04" w:rsidRDefault="00BA6D04" w:rsidP="00BA6D04">
      <w:pPr>
        <w:pStyle w:val="NoSpacing"/>
        <w:ind w:left="720"/>
      </w:pPr>
      <w:r>
        <w:t xml:space="preserve">Mr. Kibler argues that there are three accommodations that are reasonable and would allow him to perform the essential job functions: that Genoa (1) allow him to work with his hearing aids; (2) require Mr. Kibler carry a second pair of hearing aids as a backup; or (3) allow him to only work as an engineer and not perform other firefighting duties at scenes. With respect to the first two proposed accommodations, neither addresses that the NFPA threshold is a threshold for </w:t>
      </w:r>
      <w:r w:rsidRPr="00741231">
        <w:rPr>
          <w:i/>
          <w:iCs/>
        </w:rPr>
        <w:t>unaided</w:t>
      </w:r>
      <w:r>
        <w:t xml:space="preserve"> hearing.</w:t>
      </w:r>
    </w:p>
    <w:p w14:paraId="526E596F" w14:textId="77777777" w:rsidR="00BA6D04" w:rsidRDefault="00BA6D04" w:rsidP="00BA6D04">
      <w:pPr>
        <w:pStyle w:val="NoSpacing"/>
        <w:ind w:left="720"/>
      </w:pPr>
    </w:p>
    <w:p w14:paraId="6E69E265" w14:textId="77777777" w:rsidR="00BA6D04" w:rsidRDefault="00BA6D04" w:rsidP="00BA6D04">
      <w:pPr>
        <w:pStyle w:val="NoSpacing"/>
        <w:ind w:left="720"/>
      </w:pPr>
      <w:r>
        <w:t>***</w:t>
      </w:r>
    </w:p>
    <w:p w14:paraId="6F1F2C2F" w14:textId="77777777" w:rsidR="00BA6D04" w:rsidRDefault="00BA6D04" w:rsidP="00BA6D04">
      <w:pPr>
        <w:pStyle w:val="NoSpacing"/>
        <w:ind w:left="720"/>
      </w:pPr>
    </w:p>
    <w:p w14:paraId="19EEEBB5" w14:textId="77777777" w:rsidR="00BA6D04" w:rsidRDefault="00BA6D04" w:rsidP="00BA6D04">
      <w:pPr>
        <w:pStyle w:val="NoSpacing"/>
        <w:ind w:left="720"/>
      </w:pPr>
      <w:r>
        <w:t xml:space="preserve">Further, Genoa has offered evidence that the risk of Mr. Kibler’s hearing aids failing in an IDLH environment is not merely speculative. Dr. Stanely C. Haimes (a physician who works on the technical committee that established the NFPA threshold) testified that the NFPA 1582 Standard does not permit firefighters to use a hearing aid to meet the minimum hearing threshold because hearing aids are not ‘designed for operation in structural firefighting environmental conditions of elevated heat, water deluge, and humidity and therefore being subject to unpredictable failure under those conditions.’ (Haimes Rep., PAGEID # 2076.) Dr. Haimes says that carrying a spare hearing aid would not alleviate these safety concerns because ‘it would be extremely dangerous - if not life threatening - to have the firefighter remove his personal protective equipment” to replace his hearing aids while on a call. </w:t>
      </w:r>
    </w:p>
    <w:p w14:paraId="7DD53021" w14:textId="77777777" w:rsidR="00BA6D04" w:rsidRDefault="00BA6D04" w:rsidP="00BA6D04">
      <w:pPr>
        <w:pStyle w:val="NoSpacing"/>
        <w:ind w:left="720"/>
      </w:pPr>
    </w:p>
    <w:p w14:paraId="76A456B9" w14:textId="77777777" w:rsidR="00BA6D04" w:rsidRDefault="00BA6D04" w:rsidP="00BA6D04">
      <w:pPr>
        <w:pStyle w:val="NoSpacing"/>
        <w:ind w:left="720"/>
      </w:pPr>
      <w:r>
        <w:t>***</w:t>
      </w:r>
    </w:p>
    <w:p w14:paraId="199FF769" w14:textId="77777777" w:rsidR="00BA6D04" w:rsidRDefault="00BA6D04" w:rsidP="00BA6D04">
      <w:pPr>
        <w:pStyle w:val="NoSpacing"/>
        <w:ind w:left="720"/>
      </w:pPr>
      <w:r>
        <w:t xml:space="preserve">Mr. Kibler’s proposals to continue wearing hearing aids and/or carry a backup pair were thus unreasonable </w:t>
      </w:r>
      <w:proofErr w:type="gramStart"/>
      <w:r>
        <w:t>in light of</w:t>
      </w:r>
      <w:proofErr w:type="gramEnd"/>
      <w:r>
        <w:t xml:space="preserve"> a firefighter’s reliance on his hearing in low visibility situations and the testimony that hearing aids can unpredictably fail in an IDLH environment. Mr. Kibler effectively argues that Genoa should ignore its own policy and application of a national standard, recommendations from a medical professional, and the danger posed by the potential and ‘unpredictable’ failure of hearing aids in an IDLH environment, in favor of hoping that nothing goes wrong in the future. The law does not require Genoa to assume this risk.”</w:t>
      </w:r>
    </w:p>
    <w:p w14:paraId="28E348E5" w14:textId="77777777" w:rsidR="00BA6D04" w:rsidRDefault="00BA6D04" w:rsidP="00BA6D04">
      <w:pPr>
        <w:pStyle w:val="NoSpacing"/>
        <w:ind w:left="720"/>
      </w:pPr>
    </w:p>
    <w:p w14:paraId="32703330" w14:textId="77777777" w:rsidR="00BA6D04" w:rsidRDefault="00BA6D04" w:rsidP="00BA6D04">
      <w:pPr>
        <w:pStyle w:val="NoSpacing"/>
        <w:rPr>
          <w:b/>
          <w:bCs/>
        </w:rPr>
      </w:pPr>
      <w:r>
        <w:rPr>
          <w:b/>
        </w:rPr>
        <w:t>Legal lesson learned: The case has been appealed to the U.S. Court of Appeals for the 6</w:t>
      </w:r>
      <w:r w:rsidRPr="002E6678">
        <w:rPr>
          <w:b/>
          <w:vertAlign w:val="superscript"/>
        </w:rPr>
        <w:t>th</w:t>
      </w:r>
      <w:r>
        <w:rPr>
          <w:b/>
        </w:rPr>
        <w:t xml:space="preserve"> Circuit (Cincinnati); that decision may provide more guidance on obligations of a fire department to accommodate a firefighter that has long worn hearing aids without incident.</w:t>
      </w:r>
    </w:p>
    <w:p w14:paraId="1568828B" w14:textId="77777777" w:rsidR="00BA6D04" w:rsidRDefault="00BA6D04" w:rsidP="00BA6D04">
      <w:pPr>
        <w:pStyle w:val="NoSpacing"/>
        <w:rPr>
          <w:b/>
          <w:bCs/>
        </w:rPr>
      </w:pPr>
    </w:p>
    <w:p w14:paraId="6564DA9F" w14:textId="77777777" w:rsidR="00BA6D04" w:rsidRDefault="00BA6D04" w:rsidP="00BA6D04">
      <w:pPr>
        <w:pStyle w:val="NoSpacing"/>
        <w:ind w:left="720"/>
      </w:pPr>
      <w:r w:rsidRPr="000E4D36">
        <w:t>Note: See IAFC Guidance on NFPA 1582</w:t>
      </w:r>
      <w:r>
        <w:t xml:space="preserve"> (</w:t>
      </w:r>
      <w:r w:rsidRPr="000E6FDF">
        <w:t>6.5 Ears and Hearing – Candidates/New Hire</w:t>
      </w:r>
      <w:r>
        <w:t>)</w:t>
      </w:r>
      <w:r w:rsidRPr="000E4D36">
        <w:t xml:space="preserve">: </w:t>
      </w:r>
      <w:hyperlink r:id="rId1573" w:history="1">
        <w:r w:rsidRPr="0031614A">
          <w:rPr>
            <w:rStyle w:val="Hyperlink"/>
          </w:rPr>
          <w:t>https://www.iafc.org/docs/default-source/1safehealthshs/vws_rrkit_nfpa-1582.pdf?sfvrsn=ca9b9f0d_4</w:t>
        </w:r>
      </w:hyperlink>
    </w:p>
    <w:p w14:paraId="6923F494" w14:textId="77777777" w:rsidR="00BA6D04" w:rsidRDefault="00BA6D04" w:rsidP="00BA6D04">
      <w:pPr>
        <w:pStyle w:val="NoSpacing"/>
        <w:ind w:left="720"/>
      </w:pPr>
    </w:p>
    <w:p w14:paraId="236AC468" w14:textId="77777777" w:rsidR="00BA6D04" w:rsidRDefault="00BA6D04" w:rsidP="00BA6D04">
      <w:pPr>
        <w:pStyle w:val="NoSpacing"/>
        <w:ind w:left="720"/>
        <w:rPr>
          <w:bCs/>
        </w:rPr>
      </w:pPr>
      <w:r w:rsidRPr="00DE04B3">
        <w:t>August 16, 2023: Understanding NFPA 1582 Medication Disqualifications: A Comprehensive Guide</w:t>
      </w:r>
      <w:r>
        <w:t xml:space="preserve">.  </w:t>
      </w:r>
      <w:hyperlink r:id="rId1574" w:history="1">
        <w:r w:rsidRPr="00F54646">
          <w:rPr>
            <w:rStyle w:val="Hyperlink"/>
          </w:rPr>
          <w:t>https://acuityinternational.com/blog/nfpa-1582-medication-disqualifications/</w:t>
        </w:r>
      </w:hyperlink>
      <w:r>
        <w:t xml:space="preserve"> </w:t>
      </w:r>
    </w:p>
    <w:p w14:paraId="51FDA02C" w14:textId="77777777" w:rsidR="00BA6D04" w:rsidRDefault="00BA6D04" w:rsidP="00BA6D04">
      <w:pPr>
        <w:pStyle w:val="NoSpacing"/>
        <w:ind w:left="720"/>
        <w:rPr>
          <w:bCs/>
        </w:rPr>
      </w:pPr>
    </w:p>
    <w:p w14:paraId="09F6A263" w14:textId="77777777" w:rsidR="00BA6D04" w:rsidRPr="00C50BF9" w:rsidRDefault="00BA6D04" w:rsidP="00BA6D04">
      <w:pPr>
        <w:pStyle w:val="NoSpacing"/>
        <w:ind w:left="720"/>
        <w:rPr>
          <w:bCs/>
        </w:rPr>
      </w:pPr>
      <w:r>
        <w:t xml:space="preserve">June 2024: </w:t>
      </w:r>
      <w:r w:rsidRPr="00C50BF9">
        <w:t>Knowledge and Attitudes Towards Usage of Hearing Protection in</w:t>
      </w:r>
    </w:p>
    <w:p w14:paraId="55C060BE" w14:textId="77777777" w:rsidR="00BA6D04" w:rsidRDefault="00BA6D04" w:rsidP="00BA6D04">
      <w:pPr>
        <w:pStyle w:val="NoSpacing"/>
        <w:ind w:left="720"/>
        <w:rPr>
          <w:bCs/>
        </w:rPr>
      </w:pPr>
      <w:r w:rsidRPr="00C50BF9">
        <w:t>Volunteer Firefighter</w:t>
      </w:r>
      <w:r>
        <w:t xml:space="preserve">s. </w:t>
      </w:r>
      <w:hyperlink r:id="rId1575" w:history="1">
        <w:r w:rsidRPr="00F54646">
          <w:rPr>
            <w:rStyle w:val="Hyperlink"/>
          </w:rPr>
          <w:t>https://academicworks.cuny.edu/cgi/viewcontent.cgi?article=6894&amp;context=gc_etds</w:t>
        </w:r>
      </w:hyperlink>
      <w:r>
        <w:t xml:space="preserve"> </w:t>
      </w:r>
    </w:p>
    <w:p w14:paraId="504C3C61" w14:textId="77777777" w:rsidR="00BA6D04" w:rsidRPr="00131E8D" w:rsidRDefault="00BA6D04" w:rsidP="00BA6D04">
      <w:pPr>
        <w:pStyle w:val="NoSpacing"/>
        <w:ind w:firstLine="720"/>
        <w:rPr>
          <w:bCs/>
        </w:rPr>
      </w:pPr>
      <w:r>
        <w:lastRenderedPageBreak/>
        <w:t>“</w:t>
      </w:r>
      <w:r w:rsidRPr="00131E8D">
        <w:t>Despite most firefighters acknowledging exposure to noise during firefighting activities,</w:t>
      </w:r>
    </w:p>
    <w:p w14:paraId="17B52989" w14:textId="77777777" w:rsidR="00BA6D04" w:rsidRPr="00DE04B3" w:rsidRDefault="00BA6D04" w:rsidP="00BA6D04">
      <w:pPr>
        <w:pStyle w:val="NoSpacing"/>
        <w:ind w:left="720"/>
        <w:rPr>
          <w:bCs/>
        </w:rPr>
      </w:pPr>
      <w:r w:rsidRPr="00131E8D">
        <w:t>only one individual reported wearing hearing protection while firefighting, with an additional</w:t>
      </w:r>
      <w:r>
        <w:t xml:space="preserve"> </w:t>
      </w:r>
      <w:r w:rsidRPr="00131E8D">
        <w:t>five occasionally doing so, leaving 64 firefighters who do not utilize hearing protection.</w:t>
      </w:r>
      <w:r>
        <w:t>”</w:t>
      </w:r>
    </w:p>
    <w:p w14:paraId="1C072D83" w14:textId="77777777" w:rsidR="00BA6D04" w:rsidRDefault="00BA6D04" w:rsidP="00BA6D04">
      <w:pPr>
        <w:pStyle w:val="NoSpacing"/>
        <w:ind w:left="720"/>
      </w:pPr>
    </w:p>
    <w:p w14:paraId="5A69ABAB" w14:textId="77777777" w:rsidR="00BA6D04" w:rsidRDefault="00BA6D04" w:rsidP="00BA6D04">
      <w:pPr>
        <w:pStyle w:val="NoSpacing"/>
        <w:ind w:left="720"/>
      </w:pPr>
    </w:p>
    <w:p w14:paraId="154575EB" w14:textId="77777777" w:rsidR="003F5F35" w:rsidRDefault="003F5F35" w:rsidP="009C7451">
      <w:pPr>
        <w:pStyle w:val="NoSpacing"/>
        <w:rPr>
          <w:rFonts w:ascii="Arial Black" w:hAnsi="Arial Black"/>
          <w:sz w:val="24"/>
          <w:szCs w:val="24"/>
        </w:rPr>
      </w:pPr>
    </w:p>
    <w:p w14:paraId="40AE3BA4" w14:textId="77777777" w:rsidR="00BA6D04" w:rsidRDefault="00BA6D04" w:rsidP="009C7451">
      <w:pPr>
        <w:pStyle w:val="NoSpacing"/>
        <w:rPr>
          <w:rFonts w:ascii="Arial Black" w:hAnsi="Arial Black"/>
          <w:sz w:val="24"/>
          <w:szCs w:val="24"/>
        </w:rPr>
      </w:pPr>
    </w:p>
    <w:p w14:paraId="76165CD7" w14:textId="77777777" w:rsidR="00BA6D04" w:rsidRDefault="00BA6D04" w:rsidP="009C7451">
      <w:pPr>
        <w:pStyle w:val="NoSpacing"/>
        <w:rPr>
          <w:rFonts w:ascii="Arial Black" w:hAnsi="Arial Black"/>
          <w:sz w:val="24"/>
          <w:szCs w:val="24"/>
        </w:rPr>
      </w:pPr>
    </w:p>
    <w:p w14:paraId="0DEE80D9" w14:textId="77777777" w:rsidR="00BA6D04" w:rsidRDefault="00BA6D04" w:rsidP="009C7451">
      <w:pPr>
        <w:pStyle w:val="NoSpacing"/>
        <w:rPr>
          <w:rFonts w:ascii="Arial Black" w:hAnsi="Arial Black"/>
          <w:sz w:val="24"/>
          <w:szCs w:val="24"/>
        </w:rPr>
      </w:pPr>
    </w:p>
    <w:p w14:paraId="3492EC24" w14:textId="77777777" w:rsidR="00BA6D04" w:rsidRDefault="00BA6D04" w:rsidP="009C7451">
      <w:pPr>
        <w:pStyle w:val="NoSpacing"/>
        <w:rPr>
          <w:rFonts w:ascii="Arial Black" w:hAnsi="Arial Black"/>
          <w:sz w:val="24"/>
          <w:szCs w:val="24"/>
        </w:rPr>
      </w:pPr>
    </w:p>
    <w:p w14:paraId="78400AB0" w14:textId="77777777" w:rsidR="00BA6D04" w:rsidRDefault="00BA6D04" w:rsidP="009C7451">
      <w:pPr>
        <w:pStyle w:val="NoSpacing"/>
        <w:rPr>
          <w:rFonts w:ascii="Arial Black" w:hAnsi="Arial Black"/>
          <w:sz w:val="24"/>
          <w:szCs w:val="24"/>
        </w:rPr>
      </w:pPr>
    </w:p>
    <w:p w14:paraId="7835D1A7" w14:textId="77777777" w:rsidR="00BA6D04" w:rsidRDefault="00BA6D04" w:rsidP="009C7451">
      <w:pPr>
        <w:pStyle w:val="NoSpacing"/>
        <w:rPr>
          <w:rFonts w:ascii="Arial Black" w:hAnsi="Arial Black"/>
          <w:sz w:val="24"/>
          <w:szCs w:val="24"/>
        </w:rPr>
      </w:pPr>
    </w:p>
    <w:p w14:paraId="76B16E88" w14:textId="4BE7019D" w:rsidR="00730526" w:rsidRDefault="00730526" w:rsidP="009C7451">
      <w:pPr>
        <w:pStyle w:val="NoSpacing"/>
        <w:rPr>
          <w:rFonts w:ascii="Arial Black" w:hAnsi="Arial Black"/>
          <w:sz w:val="24"/>
          <w:szCs w:val="24"/>
        </w:rPr>
      </w:pPr>
      <w:r>
        <w:rPr>
          <w:rFonts w:ascii="Arial Black" w:hAnsi="Arial Black"/>
          <w:sz w:val="24"/>
          <w:szCs w:val="24"/>
        </w:rPr>
        <w:t>9-58</w:t>
      </w:r>
    </w:p>
    <w:p w14:paraId="3AF2129D" w14:textId="47175C21" w:rsidR="00C5485C" w:rsidRPr="00FC582A" w:rsidRDefault="00C5485C" w:rsidP="00C5485C">
      <w:pPr>
        <w:pStyle w:val="NoSpacing"/>
        <w:rPr>
          <w:rFonts w:ascii="Arial Black" w:hAnsi="Arial Black"/>
          <w:sz w:val="28"/>
          <w:szCs w:val="28"/>
        </w:rPr>
      </w:pPr>
      <w:r>
        <w:rPr>
          <w:rFonts w:ascii="Arial Black" w:hAnsi="Arial Black"/>
          <w:sz w:val="28"/>
          <w:szCs w:val="28"/>
        </w:rPr>
        <w:t xml:space="preserve">SC: </w:t>
      </w:r>
      <w:r w:rsidR="000C584B">
        <w:rPr>
          <w:rFonts w:ascii="Arial Black" w:hAnsi="Arial Black"/>
          <w:sz w:val="28"/>
          <w:szCs w:val="28"/>
        </w:rPr>
        <w:t xml:space="preserve">NO ADA VIOL - </w:t>
      </w:r>
      <w:r>
        <w:rPr>
          <w:rFonts w:ascii="Arial Black" w:hAnsi="Arial Black"/>
          <w:sz w:val="28"/>
          <w:szCs w:val="28"/>
        </w:rPr>
        <w:t>MEDIC PTSD – DIDN’T INTERVIEW BILLING JOB</w:t>
      </w:r>
    </w:p>
    <w:p w14:paraId="73C0D238" w14:textId="77777777" w:rsidR="00C5485C" w:rsidRDefault="00C5485C" w:rsidP="00C5485C">
      <w:pPr>
        <w:pStyle w:val="NoSpacing"/>
        <w:ind w:left="720"/>
      </w:pPr>
    </w:p>
    <w:p w14:paraId="474DAF98" w14:textId="77777777" w:rsidR="00C5485C" w:rsidRDefault="00C5485C" w:rsidP="00C5485C">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1576" w:history="1">
        <w:r w:rsidRPr="007B3445">
          <w:rPr>
            <w:rStyle w:val="Hyperlink"/>
          </w:rPr>
          <w:t>https://cases.justia.com/federal/district-courts/south-carolina/scdce/0:2024cv00826/288831/46/0.pdf</w:t>
        </w:r>
      </w:hyperlink>
      <w:r>
        <w:t xml:space="preserve"> </w:t>
      </w:r>
    </w:p>
    <w:p w14:paraId="0A5640CD" w14:textId="77777777" w:rsidR="00C5485C" w:rsidRDefault="00C5485C" w:rsidP="00C5485C">
      <w:pPr>
        <w:pStyle w:val="NoSpacing"/>
        <w:rPr>
          <w:bCs/>
        </w:rPr>
      </w:pPr>
    </w:p>
    <w:p w14:paraId="2A009F23" w14:textId="77777777" w:rsidR="00C5485C" w:rsidRDefault="00C5485C" w:rsidP="00C5485C">
      <w:pPr>
        <w:pStyle w:val="NoSpacing"/>
        <w:rPr>
          <w:bCs/>
        </w:rPr>
      </w:pPr>
      <w:r>
        <w:t xml:space="preserve">THE COURT HELD: </w:t>
      </w:r>
    </w:p>
    <w:p w14:paraId="74E5D110" w14:textId="77777777" w:rsidR="00C5485C" w:rsidRDefault="00C5485C" w:rsidP="00C5485C">
      <w:pPr>
        <w:pStyle w:val="NoSpacing"/>
        <w:rPr>
          <w:bCs/>
        </w:rPr>
      </w:pPr>
    </w:p>
    <w:p w14:paraId="2F923A5D" w14:textId="77777777" w:rsidR="00C5485C" w:rsidRDefault="00C5485C" w:rsidP="00C5485C">
      <w:pPr>
        <w:pStyle w:val="NoSpacing"/>
        <w:ind w:firstLine="720"/>
      </w:pPr>
      <w:r>
        <w:t>“Plaintiff was employed by Chester County in its Emergency Medical Services (‘EMS’)</w:t>
      </w:r>
    </w:p>
    <w:p w14:paraId="17D5DCD3" w14:textId="77777777" w:rsidR="00C5485C" w:rsidRDefault="00C5485C" w:rsidP="00C5485C">
      <w:pPr>
        <w:pStyle w:val="NoSpacing"/>
        <w:ind w:left="720"/>
      </w:pPr>
      <w:r>
        <w:t xml:space="preserve">department from May 2016 until January 2023….He was promoted to Senior Paramedic on December 4, 2021…. An essential function of the Senior Paramedic was operation of an ambulance. </w:t>
      </w:r>
    </w:p>
    <w:p w14:paraId="028558BB" w14:textId="77777777" w:rsidR="00C5485C" w:rsidRDefault="00C5485C" w:rsidP="00C5485C">
      <w:pPr>
        <w:pStyle w:val="NoSpacing"/>
        <w:ind w:left="720"/>
      </w:pPr>
    </w:p>
    <w:p w14:paraId="50A9BBC0" w14:textId="77777777" w:rsidR="00C5485C" w:rsidRDefault="00C5485C" w:rsidP="00C5485C">
      <w:pPr>
        <w:pStyle w:val="NoSpacing"/>
        <w:ind w:left="720"/>
      </w:pPr>
      <w:r>
        <w:t>***</w:t>
      </w:r>
    </w:p>
    <w:p w14:paraId="1A9488F9" w14:textId="77777777" w:rsidR="00C5485C" w:rsidRDefault="00C5485C" w:rsidP="00C5485C">
      <w:pPr>
        <w:pStyle w:val="NoSpacing"/>
      </w:pPr>
    </w:p>
    <w:p w14:paraId="4F57893B" w14:textId="77777777" w:rsidR="00C5485C" w:rsidRDefault="00C5485C" w:rsidP="00C5485C">
      <w:pPr>
        <w:pStyle w:val="NoSpacing"/>
        <w:ind w:firstLine="720"/>
      </w:pPr>
      <w:r>
        <w:t xml:space="preserve">Plaintiff was </w:t>
      </w:r>
      <w:proofErr w:type="gramStart"/>
      <w:r>
        <w:t>provided</w:t>
      </w:r>
      <w:proofErr w:type="gramEnd"/>
      <w:r>
        <w:t xml:space="preserve"> the opportunity to apply and interview for the billing specialist</w:t>
      </w:r>
    </w:p>
    <w:p w14:paraId="6C386EED" w14:textId="77777777" w:rsidR="00C5485C" w:rsidRDefault="00C5485C" w:rsidP="00C5485C">
      <w:pPr>
        <w:pStyle w:val="NoSpacing"/>
        <w:ind w:left="720"/>
      </w:pPr>
      <w:r>
        <w:t>position when it was posted, but cancelled the interview the day before, and did not respond to inquiries about another option for the interview. The job was filled by a person with finance or accounting experience. For the reasons above, the court finds summary judgment is appropriate for Defendant on Plaintiff’s claims of ADA discrimination and retaliation.</w:t>
      </w:r>
    </w:p>
    <w:p w14:paraId="4C0479C6" w14:textId="77777777" w:rsidR="00C5485C" w:rsidRDefault="00C5485C" w:rsidP="00C5485C">
      <w:pPr>
        <w:pStyle w:val="NoSpacing"/>
        <w:ind w:left="720"/>
      </w:pPr>
    </w:p>
    <w:p w14:paraId="62C08E8C" w14:textId="77777777" w:rsidR="00C5485C" w:rsidRDefault="00C5485C" w:rsidP="00C5485C">
      <w:pPr>
        <w:pStyle w:val="NoSpacing"/>
        <w:ind w:left="720"/>
      </w:pPr>
      <w:r>
        <w:t>***</w:t>
      </w:r>
    </w:p>
    <w:p w14:paraId="10298719" w14:textId="77777777" w:rsidR="00C5485C" w:rsidRDefault="00C5485C" w:rsidP="00C5485C">
      <w:pPr>
        <w:pStyle w:val="NoSpacing"/>
      </w:pPr>
    </w:p>
    <w:p w14:paraId="243095B0" w14:textId="77777777" w:rsidR="00C5485C" w:rsidRDefault="00C5485C" w:rsidP="00C5485C">
      <w:pPr>
        <w:pStyle w:val="NoSpacing"/>
        <w:ind w:firstLine="720"/>
      </w:pPr>
      <w:r>
        <w:t>To make out an FMLA interference claim, an employee must demonstrate he was entitled</w:t>
      </w:r>
    </w:p>
    <w:p w14:paraId="76EB3EFA" w14:textId="77777777" w:rsidR="00C5485C" w:rsidRDefault="00C5485C" w:rsidP="00C5485C">
      <w:pPr>
        <w:pStyle w:val="NoSpacing"/>
        <w:ind w:left="720"/>
      </w:pPr>
      <w:r>
        <w:t xml:space="preserve">to an FMLA benefit, his employer interfered with the provision of that benefit, and the interference caused him harm. Adkins v. CSX Transp., Inc., 70 F.4th 785, 796 (4th Cir. 2023). The court agrees with the Magistrate Judge Defendant has produced evidence Plaintiff was provided his twelve-week statutorily mandated FMLA leave, his position was protected during that time, and there is no evidence his use of FMLA leave was a factor in his termination. Plaintiff has failed to refute this evidence. In fact, the record shows Defendant went out of its way to assist Plaintiff in obtaining the appropriate paperwork when Plaintiff indicated he was ready to come back to work, even though he indicated he would not be going back on an </w:t>
      </w:r>
      <w:proofErr w:type="gramStart"/>
      <w:r>
        <w:t>ambulance.”</w:t>
      </w:r>
      <w:proofErr w:type="gramEnd"/>
    </w:p>
    <w:p w14:paraId="39DBE5F2" w14:textId="77777777" w:rsidR="00C5485C" w:rsidRDefault="00C5485C" w:rsidP="00C5485C">
      <w:pPr>
        <w:pStyle w:val="NoSpacing"/>
        <w:ind w:left="720"/>
      </w:pPr>
    </w:p>
    <w:p w14:paraId="441148C2" w14:textId="77777777" w:rsidR="00C5485C" w:rsidRPr="00E35214" w:rsidRDefault="00C5485C" w:rsidP="00C5485C">
      <w:pPr>
        <w:pStyle w:val="NoSpacing"/>
        <w:rPr>
          <w:b/>
          <w:bCs/>
        </w:rPr>
      </w:pPr>
      <w:r>
        <w:rPr>
          <w:b/>
        </w:rPr>
        <w:t xml:space="preserve">Legal lesson learned:  Plaintiff’s supervisors went out of their way to assist the paramedic. </w:t>
      </w:r>
    </w:p>
    <w:p w14:paraId="66211E21" w14:textId="77777777" w:rsidR="00C5485C" w:rsidRDefault="00C5485C" w:rsidP="00C5485C">
      <w:pPr>
        <w:pStyle w:val="NoSpacing"/>
      </w:pPr>
    </w:p>
    <w:p w14:paraId="1F8DC829" w14:textId="77777777" w:rsidR="00C5485C" w:rsidRDefault="00C5485C" w:rsidP="00C5485C">
      <w:pPr>
        <w:pStyle w:val="NoSpacing"/>
      </w:pPr>
    </w:p>
    <w:p w14:paraId="764BEFA8" w14:textId="77777777" w:rsidR="00730526" w:rsidRDefault="00730526" w:rsidP="009C7451">
      <w:pPr>
        <w:pStyle w:val="NoSpacing"/>
        <w:rPr>
          <w:rFonts w:ascii="Arial Black" w:hAnsi="Arial Black"/>
          <w:sz w:val="24"/>
          <w:szCs w:val="24"/>
        </w:rPr>
      </w:pPr>
    </w:p>
    <w:p w14:paraId="29F986F9" w14:textId="77777777" w:rsidR="00730526" w:rsidRDefault="00730526" w:rsidP="009C7451">
      <w:pPr>
        <w:pStyle w:val="NoSpacing"/>
        <w:rPr>
          <w:rFonts w:ascii="Arial Black" w:hAnsi="Arial Black"/>
          <w:sz w:val="24"/>
          <w:szCs w:val="24"/>
        </w:rPr>
      </w:pPr>
    </w:p>
    <w:p w14:paraId="2DB0BECD" w14:textId="0FEA48DA" w:rsidR="00C60483" w:rsidRDefault="00C60483" w:rsidP="009C7451">
      <w:pPr>
        <w:pStyle w:val="NoSpacing"/>
        <w:rPr>
          <w:rFonts w:ascii="Arial Black" w:hAnsi="Arial Black"/>
          <w:sz w:val="24"/>
          <w:szCs w:val="24"/>
        </w:rPr>
      </w:pPr>
      <w:r>
        <w:rPr>
          <w:rFonts w:ascii="Arial Black" w:hAnsi="Arial Black"/>
          <w:sz w:val="24"/>
          <w:szCs w:val="24"/>
        </w:rPr>
        <w:t>9-57</w:t>
      </w:r>
    </w:p>
    <w:p w14:paraId="2C197F7D" w14:textId="77777777" w:rsidR="00C60483" w:rsidRDefault="00C60483" w:rsidP="009C7451">
      <w:pPr>
        <w:pStyle w:val="NoSpacing"/>
        <w:rPr>
          <w:rFonts w:ascii="Arial Black" w:hAnsi="Arial Black"/>
          <w:sz w:val="24"/>
          <w:szCs w:val="24"/>
        </w:rPr>
      </w:pPr>
    </w:p>
    <w:p w14:paraId="384F0533" w14:textId="77777777" w:rsidR="00C60483" w:rsidRPr="00453214" w:rsidRDefault="00C60483" w:rsidP="00C60483">
      <w:pPr>
        <w:rPr>
          <w:rFonts w:ascii="Arial Black" w:hAnsi="Arial Black"/>
          <w:b/>
          <w:sz w:val="28"/>
          <w:szCs w:val="28"/>
        </w:rPr>
      </w:pPr>
      <w:r>
        <w:rPr>
          <w:rFonts w:ascii="Arial Black" w:hAnsi="Arial Black"/>
          <w:b/>
          <w:sz w:val="28"/>
          <w:szCs w:val="28"/>
        </w:rPr>
        <w:t>NH: PSTD – FF REQ. MEETING WITH CHIEF – CASE PROCEED</w:t>
      </w:r>
    </w:p>
    <w:p w14:paraId="566DD51B" w14:textId="194379C9" w:rsidR="00C60483" w:rsidRPr="00097E9A" w:rsidRDefault="00C60483" w:rsidP="00C60483">
      <w:pPr>
        <w:pStyle w:val="NoSpacing"/>
        <w:rPr>
          <w:bCs/>
        </w:rPr>
      </w:pPr>
      <w:r>
        <w:t xml:space="preserve">On Sept. 10, 2025, in </w:t>
      </w:r>
      <w:r w:rsidRPr="007E7B93">
        <w:rPr>
          <w:u w:val="single"/>
        </w:rPr>
        <w:t>John Powers v. Town of Durham</w:t>
      </w:r>
      <w:r>
        <w:t xml:space="preserve">, U.S. District Court Judge </w:t>
      </w:r>
      <w:r w:rsidRPr="00371F98">
        <w:t>Steven J. McAuliffe</w:t>
      </w:r>
      <w:r>
        <w:t xml:space="preserve">, United States District Court for the District of New Hampshire, denied the city’s motion for summary judgment.  </w:t>
      </w:r>
      <w:r w:rsidRPr="006222A0">
        <w:rPr>
          <w:bCs/>
        </w:rPr>
        <w:t>THE COURT HELD:</w:t>
      </w:r>
      <w:r>
        <w:t xml:space="preserve"> “[A] </w:t>
      </w:r>
      <w:r w:rsidRPr="00453214">
        <w:t>reasonable jury</w:t>
      </w:r>
      <w:r>
        <w:t xml:space="preserve"> </w:t>
      </w:r>
      <w:r w:rsidRPr="00453214">
        <w:t>could find on this record that Powers made requests for</w:t>
      </w:r>
      <w:r>
        <w:t xml:space="preserve"> </w:t>
      </w:r>
      <w:r w:rsidRPr="00453214">
        <w:t>reasonable accommodation</w:t>
      </w:r>
      <w:r>
        <w:t xml:space="preserve"> [one on one meeting]</w:t>
      </w:r>
      <w:r w:rsidRPr="00453214">
        <w:t>, was using a reasonable accommodation</w:t>
      </w:r>
      <w:r>
        <w:t xml:space="preserve"> </w:t>
      </w:r>
      <w:r w:rsidRPr="00453214">
        <w:t>already in place, and complained about discriminatory conduct.</w:t>
      </w:r>
      <w:r>
        <w:t xml:space="preserve"> </w:t>
      </w:r>
      <w:r w:rsidRPr="00453214">
        <w:t>There is no dispute that Durham imposed adverse employment</w:t>
      </w:r>
      <w:r>
        <w:t xml:space="preserve"> </w:t>
      </w:r>
      <w:r w:rsidRPr="00453214">
        <w:t>actions against Powers. The timing of these events and the</w:t>
      </w:r>
      <w:r>
        <w:t xml:space="preserve"> </w:t>
      </w:r>
      <w:r w:rsidRPr="00453214">
        <w:t>evidence of Chief Emanuel’s unusual familiarity with Powers’s</w:t>
      </w:r>
      <w:r>
        <w:t xml:space="preserve"> </w:t>
      </w:r>
      <w:r w:rsidRPr="00453214">
        <w:t>disability and his possible use of Powers’s disability against</w:t>
      </w:r>
      <w:r>
        <w:t xml:space="preserve"> </w:t>
      </w:r>
      <w:r w:rsidRPr="00453214">
        <w:t>him could support findings in his favor on the elements of his</w:t>
      </w:r>
      <w:r>
        <w:t xml:space="preserve"> </w:t>
      </w:r>
      <w:r w:rsidRPr="00453214">
        <w:t>ADA retaliation claim. For that reason, summary judgment is not</w:t>
      </w:r>
      <w:r>
        <w:t xml:space="preserve"> </w:t>
      </w:r>
      <w:r w:rsidRPr="00453214">
        <w:t>appropriate.</w:t>
      </w:r>
      <w:r>
        <w:t xml:space="preserve">” </w:t>
      </w:r>
      <w:hyperlink r:id="rId1577" w:history="1">
        <w:r w:rsidRPr="00097E9A">
          <w:rPr>
            <w:rStyle w:val="Hyperlink"/>
          </w:rPr>
          <w:t>https://www.govinfo.gov/content/pkg/USCOURTS-nhd-1_23-cv-00327/pdf/USCOURTS-nhd-1_23-cv-00327-0.pdf</w:t>
        </w:r>
      </w:hyperlink>
    </w:p>
    <w:p w14:paraId="4E953FC1" w14:textId="77777777" w:rsidR="00C60483" w:rsidRDefault="00C60483" w:rsidP="00C60483">
      <w:pPr>
        <w:pStyle w:val="NoSpacing"/>
        <w:rPr>
          <w:bCs/>
        </w:rPr>
      </w:pPr>
    </w:p>
    <w:p w14:paraId="4EBBABE0" w14:textId="77777777" w:rsidR="00C60483" w:rsidRPr="00C56294" w:rsidRDefault="00C60483" w:rsidP="00C60483">
      <w:pPr>
        <w:pStyle w:val="NoSpacing"/>
        <w:rPr>
          <w:b/>
        </w:rPr>
      </w:pPr>
      <w:r w:rsidRPr="00C56294">
        <w:rPr>
          <w:b/>
        </w:rPr>
        <w:t>KEY FACTS:</w:t>
      </w:r>
    </w:p>
    <w:p w14:paraId="10BD8546" w14:textId="77777777" w:rsidR="00C60483" w:rsidRDefault="00C60483" w:rsidP="00C60483">
      <w:pPr>
        <w:pStyle w:val="NoSpacing"/>
        <w:rPr>
          <w:bCs/>
        </w:rPr>
      </w:pPr>
    </w:p>
    <w:p w14:paraId="51AE7A30" w14:textId="77777777" w:rsidR="00C60483" w:rsidRDefault="00C60483" w:rsidP="00C60483">
      <w:pPr>
        <w:pStyle w:val="NoSpacing"/>
        <w:ind w:left="720"/>
        <w:rPr>
          <w:bCs/>
        </w:rPr>
      </w:pPr>
      <w:r>
        <w:t>“</w:t>
      </w:r>
      <w:r w:rsidRPr="004300F7">
        <w:t>The summary judgment record in this case presents unusual,</w:t>
      </w:r>
      <w:r>
        <w:t xml:space="preserve"> </w:t>
      </w:r>
      <w:r w:rsidRPr="004300F7">
        <w:t>if not unique, circumstances from which a jury could find that</w:t>
      </w:r>
      <w:r>
        <w:t xml:space="preserve"> </w:t>
      </w:r>
      <w:r w:rsidRPr="004300F7">
        <w:t>Durham, through the Durham Fire Department’s Chief, David</w:t>
      </w:r>
      <w:r>
        <w:t xml:space="preserve"> </w:t>
      </w:r>
      <w:r w:rsidRPr="004300F7">
        <w:t>Emanuel, was fully aware of Powers’s disability due to PTSD and</w:t>
      </w:r>
      <w:r>
        <w:t xml:space="preserve"> </w:t>
      </w:r>
      <w:r w:rsidRPr="004300F7">
        <w:t>its symptoms. Emanuel and Powers worked together in the Durham</w:t>
      </w:r>
      <w:r>
        <w:t xml:space="preserve"> </w:t>
      </w:r>
      <w:r w:rsidRPr="004300F7">
        <w:t>Fire Department from 2011 to 2016. Powers had PTSD when he was</w:t>
      </w:r>
      <w:r>
        <w:t xml:space="preserve"> </w:t>
      </w:r>
      <w:r w:rsidRPr="005530CB">
        <w:t>hired, a condition the fire department was aware of when he was</w:t>
      </w:r>
      <w:r>
        <w:t xml:space="preserve"> </w:t>
      </w:r>
      <w:r w:rsidRPr="005530CB">
        <w:t>hired. Indeed, Durham allowed Powers time for weekly therapy</w:t>
      </w:r>
      <w:r>
        <w:t xml:space="preserve"> </w:t>
      </w:r>
      <w:r w:rsidRPr="005530CB">
        <w:t>sessions during his working hours. Emanuel knew that Powers</w:t>
      </w:r>
      <w:r>
        <w:t xml:space="preserve"> </w:t>
      </w:r>
      <w:r w:rsidRPr="005530CB">
        <w:t>suffered from PTSD and that he attended weekly therapy sessions.</w:t>
      </w:r>
    </w:p>
    <w:p w14:paraId="2D926046" w14:textId="77777777" w:rsidR="00C60483" w:rsidRDefault="00C60483" w:rsidP="00C60483">
      <w:pPr>
        <w:pStyle w:val="NoSpacing"/>
        <w:ind w:left="720"/>
        <w:rPr>
          <w:bCs/>
        </w:rPr>
      </w:pPr>
    </w:p>
    <w:p w14:paraId="6384394A" w14:textId="77777777" w:rsidR="00C60483" w:rsidRDefault="00C60483" w:rsidP="00C60483">
      <w:pPr>
        <w:pStyle w:val="NoSpacing"/>
        <w:ind w:left="720"/>
        <w:rPr>
          <w:bCs/>
        </w:rPr>
      </w:pPr>
      <w:r>
        <w:t>***</w:t>
      </w:r>
    </w:p>
    <w:p w14:paraId="6296C03F" w14:textId="77777777" w:rsidR="00C60483" w:rsidRPr="003D0DC8" w:rsidRDefault="00C60483" w:rsidP="00C60483">
      <w:pPr>
        <w:pStyle w:val="NoSpacing"/>
        <w:ind w:left="720"/>
        <w:rPr>
          <w:bCs/>
        </w:rPr>
      </w:pPr>
      <w:r w:rsidRPr="00F7488F">
        <w:t>Powers left Durham in 2016 to work for the Rochester Fire</w:t>
      </w:r>
      <w:r>
        <w:t xml:space="preserve"> </w:t>
      </w:r>
      <w:r w:rsidRPr="00F7488F">
        <w:t>Department. Powers and Emanuel remained close friends and</w:t>
      </w:r>
      <w:r>
        <w:t xml:space="preserve"> </w:t>
      </w:r>
      <w:r w:rsidRPr="003D0DC8">
        <w:t>continued to communicate after Powers’s move to Rochester. In</w:t>
      </w:r>
      <w:r>
        <w:t xml:space="preserve"> </w:t>
      </w:r>
      <w:r w:rsidRPr="003D0DC8">
        <w:t>2018, Chief Landry left the Durham Fire Department and Emanuel</w:t>
      </w:r>
    </w:p>
    <w:p w14:paraId="4C5A0E19" w14:textId="77777777" w:rsidR="00C60483" w:rsidRPr="003D0DC8" w:rsidRDefault="00C60483" w:rsidP="00C60483">
      <w:pPr>
        <w:pStyle w:val="NoSpacing"/>
        <w:ind w:left="720"/>
        <w:rPr>
          <w:bCs/>
        </w:rPr>
      </w:pPr>
      <w:r w:rsidRPr="003D0DC8">
        <w:t>became chief. Powers then returned to Durham to work under</w:t>
      </w:r>
      <w:r>
        <w:t xml:space="preserve"> </w:t>
      </w:r>
      <w:r w:rsidRPr="003D0DC8">
        <w:t>Chief Emanuel. By the fall of 2019, however, their relationship</w:t>
      </w:r>
      <w:r>
        <w:t xml:space="preserve"> </w:t>
      </w:r>
      <w:r w:rsidRPr="003D0DC8">
        <w:t>began to deteriorate. Emanuel was concerned about Powers’s work</w:t>
      </w:r>
      <w:r>
        <w:t xml:space="preserve"> </w:t>
      </w:r>
      <w:r w:rsidRPr="003D0DC8">
        <w:t>performance, including complaints about his driving while in a</w:t>
      </w:r>
      <w:r>
        <w:t xml:space="preserve"> </w:t>
      </w:r>
      <w:r w:rsidRPr="003D0DC8">
        <w:t>fire department vehicle, the tone of some of his work</w:t>
      </w:r>
      <w:r>
        <w:t xml:space="preserve"> </w:t>
      </w:r>
      <w:r w:rsidRPr="003D0DC8">
        <w:t>communications, and his failure to attend several meetings</w:t>
      </w:r>
      <w:r>
        <w:t xml:space="preserve"> </w:t>
      </w:r>
      <w:r w:rsidRPr="003D0DC8">
        <w:t>without first communicating that he would be unavailable.</w:t>
      </w:r>
    </w:p>
    <w:p w14:paraId="35DBAD6C" w14:textId="77777777" w:rsidR="00C60483" w:rsidRDefault="00C60483" w:rsidP="00C60483">
      <w:pPr>
        <w:pStyle w:val="NoSpacing"/>
        <w:ind w:left="720"/>
        <w:rPr>
          <w:bCs/>
        </w:rPr>
      </w:pPr>
      <w:r w:rsidRPr="003D0DC8">
        <w:t>Powers considered it difficult to communicate with Emanuel,</w:t>
      </w:r>
      <w:r>
        <w:t xml:space="preserve"> </w:t>
      </w:r>
      <w:r w:rsidRPr="003D0DC8">
        <w:t>which he believed was triggering his PTSD symptoms. By early</w:t>
      </w:r>
      <w:r>
        <w:t xml:space="preserve"> </w:t>
      </w:r>
      <w:r w:rsidRPr="003D0DC8">
        <w:t>2020, Powers thought his relationship with Emanuel had become</w:t>
      </w:r>
      <w:r>
        <w:t xml:space="preserve"> </w:t>
      </w:r>
      <w:r w:rsidRPr="003D0DC8">
        <w:t>adversarial.</w:t>
      </w:r>
    </w:p>
    <w:p w14:paraId="4798E7FE" w14:textId="77777777" w:rsidR="00C60483" w:rsidRDefault="00C60483" w:rsidP="00C60483">
      <w:pPr>
        <w:pStyle w:val="NoSpacing"/>
        <w:rPr>
          <w:bCs/>
        </w:rPr>
      </w:pPr>
    </w:p>
    <w:p w14:paraId="5008DA5B" w14:textId="77777777" w:rsidR="00C60483" w:rsidRPr="00886207" w:rsidRDefault="00C60483" w:rsidP="00C60483">
      <w:pPr>
        <w:pStyle w:val="NoSpacing"/>
        <w:ind w:left="720"/>
        <w:rPr>
          <w:bCs/>
        </w:rPr>
      </w:pPr>
      <w:r w:rsidRPr="00886207">
        <w:t>On January 17, 2020, Powers asked to meet with Emanuel one-on-one to discuss their communication issues and Emanuel’s</w:t>
      </w:r>
      <w:r>
        <w:t xml:space="preserve"> </w:t>
      </w:r>
      <w:r w:rsidRPr="00886207">
        <w:t xml:space="preserve">expectations of him. Powers </w:t>
      </w:r>
      <w:proofErr w:type="gramStart"/>
      <w:r w:rsidRPr="00886207">
        <w:t>says</w:t>
      </w:r>
      <w:proofErr w:type="gramEnd"/>
      <w:r w:rsidRPr="00886207">
        <w:t xml:space="preserve"> that meeting never occurred.</w:t>
      </w:r>
      <w:r>
        <w:t xml:space="preserve"> </w:t>
      </w:r>
      <w:r w:rsidRPr="00886207">
        <w:t>In a different meeting among Chief Emanuel, Powers, and a</w:t>
      </w:r>
      <w:r>
        <w:t xml:space="preserve"> </w:t>
      </w:r>
      <w:r w:rsidRPr="00886207">
        <w:t>consultant, who was hired to improve the fire department’s</w:t>
      </w:r>
      <w:r>
        <w:t xml:space="preserve"> </w:t>
      </w:r>
      <w:r w:rsidRPr="00886207">
        <w:t>working culture, Powers attempted to raise those same</w:t>
      </w:r>
      <w:r>
        <w:t xml:space="preserve"> </w:t>
      </w:r>
      <w:r w:rsidRPr="00886207">
        <w:t>communication and expectation issues. The consultant responded</w:t>
      </w:r>
    </w:p>
    <w:p w14:paraId="7EADC227" w14:textId="77777777" w:rsidR="00C60483" w:rsidRDefault="00C60483" w:rsidP="00C60483">
      <w:pPr>
        <w:pStyle w:val="NoSpacing"/>
        <w:ind w:firstLine="720"/>
        <w:rPr>
          <w:bCs/>
        </w:rPr>
      </w:pPr>
      <w:r w:rsidRPr="00886207">
        <w:t>that Powers was causing problems and undermining Emanuel’s</w:t>
      </w:r>
      <w:r>
        <w:t xml:space="preserve"> </w:t>
      </w:r>
      <w:r w:rsidRPr="00886207">
        <w:t>authority as Chief.</w:t>
      </w:r>
    </w:p>
    <w:p w14:paraId="6AFE3DFD" w14:textId="77777777" w:rsidR="00C60483" w:rsidRDefault="00C60483" w:rsidP="00C60483">
      <w:pPr>
        <w:pStyle w:val="NoSpacing"/>
        <w:ind w:firstLine="720"/>
        <w:rPr>
          <w:bCs/>
        </w:rPr>
      </w:pPr>
    </w:p>
    <w:p w14:paraId="369CFB70" w14:textId="77777777" w:rsidR="00C60483" w:rsidRPr="008B1854" w:rsidRDefault="00C60483" w:rsidP="00C60483">
      <w:pPr>
        <w:pStyle w:val="NoSpacing"/>
        <w:ind w:left="720"/>
        <w:rPr>
          <w:bCs/>
        </w:rPr>
      </w:pPr>
      <w:r w:rsidRPr="001D39E3">
        <w:t xml:space="preserve">Emanuel prepared a Performance Improvement </w:t>
      </w:r>
      <w:proofErr w:type="gramStart"/>
      <w:r w:rsidRPr="001D39E3">
        <w:t>Plan (</w:t>
      </w:r>
      <w:r>
        <w:t>‘</w:t>
      </w:r>
      <w:proofErr w:type="gramEnd"/>
      <w:r w:rsidRPr="001D39E3">
        <w:t>PIP</w:t>
      </w:r>
      <w:r>
        <w:t>’</w:t>
      </w:r>
      <w:r w:rsidRPr="001D39E3">
        <w:t>) for</w:t>
      </w:r>
      <w:r>
        <w:t xml:space="preserve"> </w:t>
      </w:r>
      <w:r w:rsidRPr="001D39E3">
        <w:t xml:space="preserve">Powers, which he presented to Powers at a </w:t>
      </w:r>
      <w:r>
        <w:t>‘</w:t>
      </w:r>
      <w:r w:rsidRPr="001D39E3">
        <w:t>Chief’s Meeting</w:t>
      </w:r>
      <w:r>
        <w:t xml:space="preserve">’ </w:t>
      </w:r>
      <w:r w:rsidRPr="001D39E3">
        <w:t>on</w:t>
      </w:r>
      <w:r>
        <w:t xml:space="preserve"> </w:t>
      </w:r>
      <w:r w:rsidRPr="008B1854">
        <w:t xml:space="preserve">February 27, 2020, without </w:t>
      </w:r>
      <w:proofErr w:type="gramStart"/>
      <w:r w:rsidRPr="008B1854">
        <w:t>prior warning</w:t>
      </w:r>
      <w:proofErr w:type="gramEnd"/>
      <w:r w:rsidRPr="008B1854">
        <w:t>. Emanuel explained</w:t>
      </w:r>
      <w:r>
        <w:t xml:space="preserve"> </w:t>
      </w:r>
      <w:r w:rsidRPr="008B1854">
        <w:t>later that he surprised Powers with the PIP because otherwise</w:t>
      </w:r>
    </w:p>
    <w:p w14:paraId="3F66BA26" w14:textId="77777777" w:rsidR="00C60483" w:rsidRPr="008B1854" w:rsidRDefault="00C60483" w:rsidP="00C60483">
      <w:pPr>
        <w:pStyle w:val="NoSpacing"/>
        <w:ind w:left="720"/>
        <w:rPr>
          <w:bCs/>
        </w:rPr>
      </w:pPr>
      <w:r w:rsidRPr="008B1854">
        <w:t>Powers would have avoided that conversation. Powers was</w:t>
      </w:r>
      <w:r>
        <w:t xml:space="preserve"> </w:t>
      </w:r>
      <w:r w:rsidRPr="008B1854">
        <w:t>surprised and uncomfortable when Emanuel began to read the PIP</w:t>
      </w:r>
      <w:r>
        <w:t xml:space="preserve"> </w:t>
      </w:r>
      <w:r w:rsidRPr="008B1854">
        <w:t>to him aloud at the meeting. Powers twice asked Emanuel to stop</w:t>
      </w:r>
      <w:r>
        <w:t xml:space="preserve"> </w:t>
      </w:r>
      <w:r w:rsidRPr="008B1854">
        <w:t>reading and to allow him to take the PIP to read to himself and</w:t>
      </w:r>
    </w:p>
    <w:p w14:paraId="63002210" w14:textId="77777777" w:rsidR="00C60483" w:rsidRDefault="00C60483" w:rsidP="00C60483">
      <w:pPr>
        <w:pStyle w:val="NoSpacing"/>
        <w:ind w:left="720"/>
        <w:rPr>
          <w:bCs/>
        </w:rPr>
      </w:pPr>
      <w:r w:rsidRPr="008B1854">
        <w:t>respond, but Emanuel continued to read the PIP aloud.</w:t>
      </w:r>
      <w:r>
        <w:t xml:space="preserve"> </w:t>
      </w:r>
      <w:r w:rsidRPr="00940191">
        <w:t>When</w:t>
      </w:r>
      <w:r>
        <w:t xml:space="preserve"> </w:t>
      </w:r>
      <w:r w:rsidRPr="00940191">
        <w:t>Emanuel read a section of the PIP that required Powers to be at</w:t>
      </w:r>
      <w:r>
        <w:t xml:space="preserve"> </w:t>
      </w:r>
      <w:r w:rsidRPr="00940191">
        <w:t>the station during all days and all business hours, Powers</w:t>
      </w:r>
      <w:r>
        <w:t xml:space="preserve"> </w:t>
      </w:r>
      <w:r w:rsidRPr="00940191">
        <w:t xml:space="preserve">became distraught because he </w:t>
      </w:r>
      <w:r w:rsidRPr="00940191">
        <w:lastRenderedPageBreak/>
        <w:t>understood that requirement revoked</w:t>
      </w:r>
      <w:r>
        <w:t xml:space="preserve"> </w:t>
      </w:r>
      <w:r w:rsidRPr="00940191">
        <w:t>his leave to attend weekly therapy sessions for PTSD during work</w:t>
      </w:r>
      <w:r>
        <w:t xml:space="preserve"> </w:t>
      </w:r>
      <w:r w:rsidRPr="00940191">
        <w:t>hours. Powers was obviously agitated and shaking and excused</w:t>
      </w:r>
      <w:r>
        <w:t xml:space="preserve"> </w:t>
      </w:r>
      <w:r w:rsidRPr="00940191">
        <w:t>himself from the meeting. After the meeting, Emanuel drafted a</w:t>
      </w:r>
      <w:r>
        <w:t xml:space="preserve"> </w:t>
      </w:r>
      <w:r w:rsidRPr="00940191">
        <w:t>memo that questioned Powers’s state of mind after the PIP</w:t>
      </w:r>
      <w:r>
        <w:t xml:space="preserve"> </w:t>
      </w:r>
      <w:r w:rsidRPr="00940191">
        <w:t>meeting. Powers responded to a text from Emanuel that evening,</w:t>
      </w:r>
      <w:r>
        <w:t xml:space="preserve"> </w:t>
      </w:r>
      <w:r w:rsidRPr="00940191">
        <w:t xml:space="preserve">saying that he made it home safely but was not </w:t>
      </w:r>
      <w:r>
        <w:t>‘</w:t>
      </w:r>
      <w:r w:rsidRPr="00940191">
        <w:t>okay</w:t>
      </w:r>
      <w:r>
        <w:t>.’</w:t>
      </w:r>
    </w:p>
    <w:p w14:paraId="1727ACFC" w14:textId="77777777" w:rsidR="00C60483" w:rsidRDefault="00C60483" w:rsidP="00C60483">
      <w:pPr>
        <w:pStyle w:val="NoSpacing"/>
        <w:ind w:left="720"/>
        <w:rPr>
          <w:bCs/>
        </w:rPr>
      </w:pPr>
    </w:p>
    <w:p w14:paraId="68240BF9" w14:textId="77777777" w:rsidR="00C60483" w:rsidRPr="000840FB" w:rsidRDefault="00C60483" w:rsidP="00C60483">
      <w:pPr>
        <w:pStyle w:val="NoSpacing"/>
        <w:ind w:left="720"/>
        <w:rPr>
          <w:bCs/>
        </w:rPr>
      </w:pPr>
      <w:r w:rsidRPr="000840FB">
        <w:t>The next day, Emanuel informed Powers that he was suspended</w:t>
      </w:r>
      <w:r>
        <w:t xml:space="preserve"> </w:t>
      </w:r>
      <w:r w:rsidRPr="000840FB">
        <w:t>from the department because of his reaction to the PIP. Emanuel</w:t>
      </w:r>
      <w:r>
        <w:t xml:space="preserve"> </w:t>
      </w:r>
      <w:r w:rsidRPr="000840FB">
        <w:t xml:space="preserve">ordered Powers to have a fitness for </w:t>
      </w:r>
      <w:proofErr w:type="gramStart"/>
      <w:r w:rsidRPr="000840FB">
        <w:t>duty (</w:t>
      </w:r>
      <w:r>
        <w:t>‘</w:t>
      </w:r>
      <w:proofErr w:type="gramEnd"/>
      <w:r w:rsidRPr="000840FB">
        <w:t>FFD</w:t>
      </w:r>
      <w:r>
        <w:t>’</w:t>
      </w:r>
      <w:r w:rsidRPr="000840FB">
        <w:t>) evaluation.</w:t>
      </w:r>
      <w:r>
        <w:t xml:space="preserve"> </w:t>
      </w:r>
      <w:r w:rsidRPr="000840FB">
        <w:t>The evaluation was scheduled. Powers submitted a grievance to</w:t>
      </w:r>
    </w:p>
    <w:p w14:paraId="49EC33C9" w14:textId="77777777" w:rsidR="00C60483" w:rsidRDefault="00C60483" w:rsidP="00C60483">
      <w:pPr>
        <w:pStyle w:val="NoSpacing"/>
        <w:ind w:left="720"/>
        <w:rPr>
          <w:bCs/>
        </w:rPr>
      </w:pPr>
      <w:r w:rsidRPr="000840FB">
        <w:t>Emanuel challenging the PIP and the ordered evaluation. Emanuel</w:t>
      </w:r>
      <w:r>
        <w:t xml:space="preserve"> </w:t>
      </w:r>
      <w:r w:rsidRPr="000840FB">
        <w:t>thought Powers was out of line by filing the grievance and</w:t>
      </w:r>
      <w:r>
        <w:t xml:space="preserve"> </w:t>
      </w:r>
      <w:r w:rsidRPr="000840FB">
        <w:t xml:space="preserve">notified Powers that there was no </w:t>
      </w:r>
      <w:proofErr w:type="spellStart"/>
      <w:r w:rsidRPr="000840FB">
        <w:t>grievable</w:t>
      </w:r>
      <w:proofErr w:type="spellEnd"/>
      <w:r w:rsidRPr="000840FB">
        <w:t xml:space="preserve"> issue. He required</w:t>
      </w:r>
      <w:r>
        <w:t xml:space="preserve"> </w:t>
      </w:r>
      <w:r w:rsidRPr="000840FB">
        <w:t>Powers to return and finish listening to Emanuel read the PIP.</w:t>
      </w:r>
      <w:r>
        <w:t xml:space="preserve"> </w:t>
      </w:r>
      <w:r w:rsidRPr="009E3FF5">
        <w:t>Powers attended the scheduled FFD evaluation but would not</w:t>
      </w:r>
      <w:r>
        <w:t xml:space="preserve"> </w:t>
      </w:r>
      <w:r w:rsidRPr="009E3FF5">
        <w:t>release the results to Durham while his grievance was pending.</w:t>
      </w:r>
      <w:r>
        <w:t xml:space="preserve"> </w:t>
      </w:r>
      <w:r w:rsidRPr="009E3FF5">
        <w:t>Emanuel, in turn, fired Powers on March 19, 2020, because he did</w:t>
      </w:r>
      <w:r>
        <w:t xml:space="preserve"> </w:t>
      </w:r>
      <w:r w:rsidRPr="009E3FF5">
        <w:t>not submit the results of the FFD evaluation. The town</w:t>
      </w:r>
      <w:r>
        <w:t xml:space="preserve"> </w:t>
      </w:r>
      <w:r w:rsidRPr="009E3FF5">
        <w:t>administrator notified Powers the next day that his grievance</w:t>
      </w:r>
      <w:r>
        <w:t xml:space="preserve"> </w:t>
      </w:r>
      <w:r w:rsidRPr="009E3FF5">
        <w:t>was not valid.</w:t>
      </w:r>
      <w:r>
        <w:t>”</w:t>
      </w:r>
    </w:p>
    <w:p w14:paraId="058B882E" w14:textId="77777777" w:rsidR="00C60483" w:rsidRDefault="00C60483" w:rsidP="00C60483">
      <w:pPr>
        <w:pStyle w:val="NoSpacing"/>
        <w:ind w:left="720"/>
        <w:rPr>
          <w:bCs/>
        </w:rPr>
      </w:pPr>
    </w:p>
    <w:p w14:paraId="54F3FE3D" w14:textId="77777777" w:rsidR="00C60483" w:rsidRPr="00ED073D" w:rsidRDefault="00C60483" w:rsidP="00C60483">
      <w:pPr>
        <w:pStyle w:val="NoSpacing"/>
        <w:rPr>
          <w:b/>
          <w:bCs/>
        </w:rPr>
      </w:pPr>
      <w:r>
        <w:rPr>
          <w:b/>
        </w:rPr>
        <w:t xml:space="preserve">Legal lesson learned:  ADA requires both sides to communicate, seeking mutually acceptable reasonable accommodation. </w:t>
      </w:r>
    </w:p>
    <w:p w14:paraId="5450BC27" w14:textId="77777777" w:rsidR="00C60483" w:rsidRDefault="00C60483" w:rsidP="009C7451">
      <w:pPr>
        <w:pStyle w:val="NoSpacing"/>
        <w:rPr>
          <w:rFonts w:ascii="Arial Black" w:hAnsi="Arial Black"/>
          <w:sz w:val="24"/>
          <w:szCs w:val="24"/>
        </w:rPr>
      </w:pPr>
    </w:p>
    <w:p w14:paraId="0D5C80FE" w14:textId="77777777" w:rsidR="00C60483" w:rsidRDefault="00C60483" w:rsidP="009C7451">
      <w:pPr>
        <w:pStyle w:val="NoSpacing"/>
        <w:rPr>
          <w:rFonts w:ascii="Arial Black" w:hAnsi="Arial Black"/>
          <w:sz w:val="24"/>
          <w:szCs w:val="24"/>
        </w:rPr>
      </w:pPr>
    </w:p>
    <w:p w14:paraId="51F3E579" w14:textId="70948919" w:rsidR="00066EA4" w:rsidRDefault="00010BB9" w:rsidP="009C7451">
      <w:pPr>
        <w:pStyle w:val="NoSpacing"/>
        <w:rPr>
          <w:rFonts w:ascii="Arial Black" w:hAnsi="Arial Black"/>
          <w:sz w:val="24"/>
          <w:szCs w:val="24"/>
        </w:rPr>
      </w:pPr>
      <w:r>
        <w:rPr>
          <w:rFonts w:ascii="Arial Black" w:hAnsi="Arial Black"/>
          <w:sz w:val="24"/>
          <w:szCs w:val="24"/>
        </w:rPr>
        <w:t>9-56</w:t>
      </w:r>
    </w:p>
    <w:p w14:paraId="5E99A02A" w14:textId="77777777" w:rsidR="00010BB9" w:rsidRDefault="00010BB9" w:rsidP="009C7451">
      <w:pPr>
        <w:pStyle w:val="NoSpacing"/>
        <w:rPr>
          <w:rFonts w:ascii="Arial Black" w:hAnsi="Arial Black"/>
          <w:sz w:val="24"/>
          <w:szCs w:val="24"/>
        </w:rPr>
      </w:pPr>
    </w:p>
    <w:p w14:paraId="29A15087" w14:textId="77777777" w:rsidR="00010BB9" w:rsidRPr="00D56FD8" w:rsidRDefault="00010BB9" w:rsidP="00010BB9">
      <w:pPr>
        <w:rPr>
          <w:rFonts w:ascii="Arial Black" w:hAnsi="Arial Black"/>
          <w:b/>
          <w:sz w:val="28"/>
          <w:szCs w:val="28"/>
        </w:rPr>
      </w:pPr>
      <w:r>
        <w:rPr>
          <w:rFonts w:ascii="Arial Black" w:hAnsi="Arial Black"/>
          <w:b/>
          <w:sz w:val="28"/>
          <w:szCs w:val="28"/>
        </w:rPr>
        <w:t xml:space="preserve">CA:  CHIEF MED LEAVE / 4 SURGERIES – FIRED – JURY $4.1M </w:t>
      </w:r>
    </w:p>
    <w:p w14:paraId="2C9B2329" w14:textId="77777777" w:rsidR="00010BB9" w:rsidRPr="00880B66" w:rsidRDefault="00010BB9" w:rsidP="00010BB9">
      <w:pPr>
        <w:pStyle w:val="NoSpacing"/>
        <w:rPr>
          <w:rFonts w:ascii="Times New Roman" w:hAnsi="Times New Roman"/>
          <w:sz w:val="24"/>
          <w:szCs w:val="24"/>
        </w:rPr>
      </w:pPr>
      <w:r w:rsidRPr="00880B66">
        <w:rPr>
          <w:rFonts w:ascii="Times New Roman" w:hAnsi="Times New Roman"/>
          <w:sz w:val="24"/>
          <w:szCs w:val="24"/>
        </w:rPr>
        <w:t xml:space="preserve">On July 9, 2025, in </w:t>
      </w:r>
      <w:r w:rsidRPr="00880B66">
        <w:rPr>
          <w:rFonts w:ascii="Times New Roman" w:hAnsi="Times New Roman"/>
          <w:sz w:val="24"/>
          <w:szCs w:val="24"/>
          <w:u w:val="single"/>
        </w:rPr>
        <w:t>Larry Whithorn v. City of West Covina</w:t>
      </w:r>
      <w:r w:rsidRPr="00880B66">
        <w:rPr>
          <w:rFonts w:ascii="Times New Roman" w:hAnsi="Times New Roman"/>
          <w:sz w:val="24"/>
          <w:szCs w:val="24"/>
        </w:rPr>
        <w:t xml:space="preserve">, the California Court of Appeals, Second District, Eighth Division held (3 to 0; unpublished decision) that jury award of $4,145,595 in damages was appropriate based on evidence of being fired after four surgeries, and after filing internal complaint.  According to press reports, he was on extended medical leaves from December 2016 to April 2017 and June 2017 to September 2017 (four surgeries) and brief leaves in January 2018 and September 2018 to aid an ill relative. During Whithorn’s 2017 medical leave, newly elected City Councilmember Tony Wu expressed concerns to City Manager Freeland multiple times that Whithorn was an “absentee chief.” On March 19, 2019, Whithorn filed a grievance.  Tony Wu described the grievance as “bull shit.”  On April 22, 2019, within 17 days of starting as the new City Manager David Carmany, and after spending only 30 to 45 minutes interacting with Whithorn, Carmany fired Whithorn, without warning, reprimand or prior discipline. Carmany said City was going in a different direction but did not give Whithorn a specific reason for his termination.”  THE COURT HELD: “City again contends that Whithorn was required to prove that City’s stated reasons for termination were pretextual. He was not. Retaliation claims may be brought under a mixed-motives theory. (George v. California Unemployment Ins. Appeals Bd. (2009) 179 Cal.App.4th 1475, 1492.) That was the situation here…. As we have just discussed, the </w:t>
      </w:r>
      <w:proofErr w:type="gramStart"/>
      <w:r w:rsidRPr="00880B66">
        <w:rPr>
          <w:rFonts w:ascii="Times New Roman" w:hAnsi="Times New Roman"/>
          <w:sz w:val="24"/>
          <w:szCs w:val="24"/>
        </w:rPr>
        <w:t>fact</w:t>
      </w:r>
      <w:proofErr w:type="gramEnd"/>
      <w:r w:rsidRPr="00880B66">
        <w:rPr>
          <w:rFonts w:ascii="Times New Roman" w:hAnsi="Times New Roman"/>
          <w:sz w:val="24"/>
          <w:szCs w:val="24"/>
        </w:rPr>
        <w:t xml:space="preserve"> an employer has mixed reasons for terminating an employee, some permissible and some discriminatory, does not defeat a discrimination claim. In such situations, the employee need only show that ‘discrimination was a substantial motivating factor.’ City again contends there is no evidence to support that Councilmember Wu held retaliatory animus toward Whithorn, or that Wu influenced City Manager Carmany’s decision to terminate Whithorn based on the grievance. As set forth in more detail above, Councilmember Wu was  very clearly angry at Whithorn when Whithorn’s grievance was presented to the city council. Wu described the grievance as ‘bullshit’ and claimed he was being ‘bullied’ by staff members. Wu, along with other city council members, did not want to pay for an investigation. When Human Resources Director Pinon pressed for an investigation and provided contact information for an investigator, his contract was terminated four and one-half months early, supposedly for financial reasons, but he was given a three months’ severance.”  </w:t>
      </w:r>
      <w:hyperlink r:id="rId1578" w:history="1">
        <w:r w:rsidRPr="00880B66">
          <w:rPr>
            <w:rStyle w:val="Hyperlink"/>
            <w:rFonts w:ascii="Times New Roman" w:hAnsi="Times New Roman"/>
            <w:sz w:val="24"/>
            <w:szCs w:val="24"/>
          </w:rPr>
          <w:t>https://www4.courts.ca.gov/opinions/nonpub/B332558.PDF</w:t>
        </w:r>
      </w:hyperlink>
      <w:r w:rsidRPr="00880B66">
        <w:rPr>
          <w:rFonts w:ascii="Times New Roman" w:hAnsi="Times New Roman"/>
          <w:sz w:val="24"/>
          <w:szCs w:val="24"/>
        </w:rPr>
        <w:t xml:space="preserve"> </w:t>
      </w:r>
    </w:p>
    <w:p w14:paraId="56A0A6BF" w14:textId="77777777" w:rsidR="00010BB9" w:rsidRPr="00880B66" w:rsidRDefault="00010BB9" w:rsidP="00010BB9">
      <w:pPr>
        <w:pStyle w:val="NoSpacing"/>
        <w:rPr>
          <w:rFonts w:ascii="Times New Roman" w:hAnsi="Times New Roman"/>
          <w:sz w:val="24"/>
          <w:szCs w:val="24"/>
        </w:rPr>
      </w:pPr>
    </w:p>
    <w:p w14:paraId="65A069F1" w14:textId="77777777" w:rsidR="00880B66" w:rsidRPr="00880B66" w:rsidRDefault="00880B66" w:rsidP="00880B66">
      <w:pPr>
        <w:pStyle w:val="NoSpacing"/>
        <w:rPr>
          <w:rFonts w:ascii="Times New Roman" w:hAnsi="Times New Roman"/>
          <w:b/>
          <w:sz w:val="24"/>
          <w:szCs w:val="24"/>
        </w:rPr>
      </w:pPr>
      <w:r w:rsidRPr="00880B66">
        <w:rPr>
          <w:rFonts w:ascii="Times New Roman" w:hAnsi="Times New Roman"/>
          <w:b/>
          <w:sz w:val="24"/>
          <w:szCs w:val="24"/>
        </w:rPr>
        <w:t>Legal lesson learned:  The former Fire Chief proved to the jury that discrimination was a substantial motivating factor in his termination.</w:t>
      </w:r>
    </w:p>
    <w:p w14:paraId="560D25FB" w14:textId="77777777" w:rsidR="00880B66" w:rsidRPr="00880B66" w:rsidRDefault="00880B66" w:rsidP="00880B66">
      <w:pPr>
        <w:pStyle w:val="NoSpacing"/>
        <w:rPr>
          <w:rFonts w:ascii="Times New Roman" w:hAnsi="Times New Roman"/>
          <w:sz w:val="24"/>
          <w:szCs w:val="24"/>
        </w:rPr>
      </w:pPr>
    </w:p>
    <w:p w14:paraId="5176E972" w14:textId="77777777" w:rsidR="00880B66" w:rsidRPr="00880B66" w:rsidRDefault="00880B66" w:rsidP="00880B66">
      <w:pPr>
        <w:pStyle w:val="NoSpacing"/>
        <w:ind w:left="720"/>
        <w:rPr>
          <w:rFonts w:ascii="Times New Roman" w:hAnsi="Times New Roman"/>
          <w:b/>
          <w:sz w:val="24"/>
          <w:szCs w:val="24"/>
        </w:rPr>
      </w:pPr>
      <w:r w:rsidRPr="00880B66">
        <w:rPr>
          <w:rFonts w:ascii="Times New Roman" w:hAnsi="Times New Roman"/>
          <w:sz w:val="24"/>
          <w:szCs w:val="24"/>
        </w:rPr>
        <w:t xml:space="preserve">Note: See May 9, </w:t>
      </w:r>
      <w:proofErr w:type="gramStart"/>
      <w:r w:rsidRPr="00880B66">
        <w:rPr>
          <w:rFonts w:ascii="Times New Roman" w:hAnsi="Times New Roman"/>
          <w:sz w:val="24"/>
          <w:szCs w:val="24"/>
        </w:rPr>
        <w:t>2023</w:t>
      </w:r>
      <w:proofErr w:type="gramEnd"/>
      <w:r w:rsidRPr="00880B66">
        <w:rPr>
          <w:rFonts w:ascii="Times New Roman" w:hAnsi="Times New Roman"/>
          <w:sz w:val="24"/>
          <w:szCs w:val="24"/>
        </w:rPr>
        <w:t xml:space="preserve"> article, “Former West Covina fire chief wins $4.1 million in wrongful termination suit.” </w:t>
      </w:r>
      <w:hyperlink r:id="rId1579" w:history="1">
        <w:r w:rsidRPr="00880B66">
          <w:rPr>
            <w:rStyle w:val="Hyperlink"/>
            <w:rFonts w:ascii="Times New Roman" w:hAnsi="Times New Roman"/>
            <w:sz w:val="24"/>
            <w:szCs w:val="24"/>
          </w:rPr>
          <w:t>https://sac.media/2023/05/09/former-west-covina-fire-chief-awarded-4-1-million-in-wrongful-termination-suit/</w:t>
        </w:r>
      </w:hyperlink>
      <w:r w:rsidRPr="00880B66">
        <w:rPr>
          <w:rFonts w:ascii="Times New Roman" w:hAnsi="Times New Roman"/>
          <w:b/>
          <w:sz w:val="24"/>
          <w:szCs w:val="24"/>
        </w:rPr>
        <w:t xml:space="preserve"> </w:t>
      </w:r>
    </w:p>
    <w:p w14:paraId="59E69D65" w14:textId="77777777" w:rsidR="00880B66" w:rsidRPr="00880B66" w:rsidRDefault="00880B66" w:rsidP="00880B66">
      <w:pPr>
        <w:pStyle w:val="NoSpacing"/>
        <w:ind w:left="720"/>
        <w:rPr>
          <w:rFonts w:ascii="Times New Roman" w:hAnsi="Times New Roman"/>
          <w:sz w:val="24"/>
          <w:szCs w:val="24"/>
        </w:rPr>
      </w:pPr>
      <w:r w:rsidRPr="00880B66">
        <w:rPr>
          <w:rFonts w:ascii="Times New Roman" w:hAnsi="Times New Roman"/>
          <w:sz w:val="24"/>
          <w:szCs w:val="24"/>
        </w:rPr>
        <w:t>According to the lawsuit, Whithorn was harassed following multiple extended medical leaves from December 2016 to April 2017 and June 2017 to September 2017 and brief leaves in January 2018 and September 2018 to aid an ill relative.</w:t>
      </w:r>
    </w:p>
    <w:p w14:paraId="7F310381" w14:textId="77777777" w:rsidR="00880B66" w:rsidRPr="00880B66" w:rsidRDefault="00880B66" w:rsidP="00880B66">
      <w:pPr>
        <w:pStyle w:val="NoSpacing"/>
        <w:ind w:left="720"/>
        <w:rPr>
          <w:rFonts w:ascii="Times New Roman" w:hAnsi="Times New Roman"/>
          <w:sz w:val="24"/>
          <w:szCs w:val="24"/>
        </w:rPr>
      </w:pPr>
    </w:p>
    <w:p w14:paraId="5E637229" w14:textId="77777777" w:rsidR="00010BB9" w:rsidRPr="00880B66" w:rsidRDefault="00010BB9" w:rsidP="009C7451">
      <w:pPr>
        <w:pStyle w:val="NoSpacing"/>
        <w:rPr>
          <w:rFonts w:ascii="Times New Roman" w:hAnsi="Times New Roman"/>
          <w:sz w:val="24"/>
          <w:szCs w:val="24"/>
        </w:rPr>
      </w:pPr>
    </w:p>
    <w:p w14:paraId="5AA267B5" w14:textId="77777777" w:rsidR="00010BB9" w:rsidRPr="00880B66" w:rsidRDefault="00010BB9" w:rsidP="009C7451">
      <w:pPr>
        <w:pStyle w:val="NoSpacing"/>
        <w:rPr>
          <w:rFonts w:ascii="Times New Roman" w:hAnsi="Times New Roman"/>
          <w:sz w:val="24"/>
          <w:szCs w:val="24"/>
        </w:rPr>
      </w:pPr>
    </w:p>
    <w:p w14:paraId="4F5276B8" w14:textId="77777777" w:rsidR="00010BB9" w:rsidRDefault="00010BB9" w:rsidP="009C7451">
      <w:pPr>
        <w:pStyle w:val="NoSpacing"/>
        <w:rPr>
          <w:rFonts w:ascii="Arial Black" w:hAnsi="Arial Black"/>
          <w:sz w:val="24"/>
          <w:szCs w:val="24"/>
        </w:rPr>
      </w:pPr>
    </w:p>
    <w:p w14:paraId="51416B29" w14:textId="77777777" w:rsidR="00066EA4" w:rsidRDefault="00066EA4" w:rsidP="009C7451">
      <w:pPr>
        <w:pStyle w:val="NoSpacing"/>
        <w:rPr>
          <w:rFonts w:ascii="Arial Black" w:hAnsi="Arial Black"/>
          <w:sz w:val="24"/>
          <w:szCs w:val="24"/>
        </w:rPr>
      </w:pPr>
    </w:p>
    <w:p w14:paraId="0F3AF936" w14:textId="14B72635" w:rsidR="009C7451" w:rsidRDefault="009C7451" w:rsidP="009C7451">
      <w:pPr>
        <w:pStyle w:val="NoSpacing"/>
        <w:rPr>
          <w:rFonts w:ascii="Arial Black" w:hAnsi="Arial Black"/>
          <w:sz w:val="24"/>
          <w:szCs w:val="24"/>
        </w:rPr>
      </w:pPr>
      <w:r>
        <w:rPr>
          <w:rFonts w:ascii="Arial Black" w:hAnsi="Arial Black"/>
          <w:sz w:val="24"/>
          <w:szCs w:val="24"/>
        </w:rPr>
        <w:t>9-54</w:t>
      </w:r>
    </w:p>
    <w:p w14:paraId="48B264CC" w14:textId="77777777" w:rsidR="00066EA4" w:rsidRDefault="00066EA4" w:rsidP="008E25B6">
      <w:pPr>
        <w:rPr>
          <w:rFonts w:ascii="Arial Black" w:hAnsi="Arial Black"/>
          <w:b/>
          <w:sz w:val="28"/>
          <w:szCs w:val="28"/>
        </w:rPr>
      </w:pPr>
    </w:p>
    <w:p w14:paraId="34B19C75" w14:textId="30DA7B21" w:rsidR="008E25B6" w:rsidRPr="00363302" w:rsidRDefault="008E25B6" w:rsidP="008E25B6">
      <w:pPr>
        <w:rPr>
          <w:rFonts w:ascii="Arial Black" w:hAnsi="Arial Black"/>
          <w:b/>
          <w:sz w:val="28"/>
          <w:szCs w:val="28"/>
        </w:rPr>
      </w:pPr>
      <w:r>
        <w:rPr>
          <w:rFonts w:ascii="Arial Black" w:hAnsi="Arial Black"/>
          <w:b/>
          <w:sz w:val="28"/>
          <w:szCs w:val="28"/>
        </w:rPr>
        <w:t xml:space="preserve">FL: FF PERM. INJURIES – OFF DUTY MVA – NO LIGHT DUTY </w:t>
      </w:r>
    </w:p>
    <w:p w14:paraId="1CCC129E" w14:textId="77777777" w:rsidR="008E25B6" w:rsidRPr="00C07F42" w:rsidRDefault="008E25B6" w:rsidP="008E25B6">
      <w:pPr>
        <w:pStyle w:val="NoSpacing"/>
        <w:rPr>
          <w:rFonts w:ascii="Times New Roman" w:hAnsi="Times New Roman"/>
          <w:sz w:val="24"/>
          <w:szCs w:val="24"/>
        </w:rPr>
      </w:pPr>
      <w:r w:rsidRPr="00C07F42">
        <w:rPr>
          <w:rFonts w:ascii="Times New Roman" w:hAnsi="Times New Roman"/>
          <w:sz w:val="24"/>
          <w:szCs w:val="24"/>
        </w:rPr>
        <w:t xml:space="preserve">On June 23, 2025, in </w:t>
      </w:r>
      <w:r w:rsidRPr="00C07F42">
        <w:rPr>
          <w:rFonts w:ascii="Times New Roman" w:hAnsi="Times New Roman"/>
          <w:sz w:val="24"/>
          <w:szCs w:val="24"/>
          <w:u w:val="single"/>
        </w:rPr>
        <w:t>Jonathan Marshall v. Secretary of the Navy</w:t>
      </w:r>
      <w:r w:rsidRPr="00C07F42">
        <w:rPr>
          <w:rFonts w:ascii="Times New Roman" w:hAnsi="Times New Roman"/>
          <w:sz w:val="24"/>
          <w:szCs w:val="24"/>
        </w:rPr>
        <w:t xml:space="preserve">, the United State Court of Appeals, Eleventh Circuit (Atlanta) held (3 to 0; unpublished decision) that trial court properly granted summary judgment to the Navy. Because of a serious off duty automobile accident in May 2021, he suffered permanent brain and back injuries, and after a period of paid and unpaid leave was terminated in April 2022.  He claimed “gender discrimination” when the Navy allowed a female Captain, who suffered an on-duty accident, to do light duty clerical work for several months before she was able to return to “full duties” as a firefighter / EMT.  THE COURT HELD: “None of Marshall’s proffered evidence creates a triable issue of fact that the Navy discriminated against him based on his gender. Marshall’s supervisor’s isolated comments expressing disapproval of men receiving parental leave is divorced from the Navy’s decision to deny his light-duty request after he suffered traumatic injuries. That Marshall’s schedule was readjusted following the birth of his child—the very reason for which the schedule change was adopted in the first place—also does not show impermissible discrimination.” </w:t>
      </w:r>
    </w:p>
    <w:p w14:paraId="5BF2F045" w14:textId="77777777" w:rsidR="008E25B6" w:rsidRPr="00C07F42" w:rsidRDefault="008E25B6" w:rsidP="008E25B6">
      <w:pPr>
        <w:pStyle w:val="NoSpacing"/>
        <w:rPr>
          <w:rFonts w:ascii="Times New Roman" w:hAnsi="Times New Roman"/>
          <w:sz w:val="24"/>
          <w:szCs w:val="24"/>
        </w:rPr>
      </w:pPr>
      <w:hyperlink r:id="rId1580" w:history="1">
        <w:r w:rsidRPr="00C07F42">
          <w:rPr>
            <w:rStyle w:val="Hyperlink"/>
            <w:rFonts w:ascii="Times New Roman" w:hAnsi="Times New Roman"/>
            <w:sz w:val="24"/>
            <w:szCs w:val="24"/>
          </w:rPr>
          <w:t>https://cases.justia.com/federal/appellate-courts/ca11/24-12910/24-12910-2025-06-23.pdf?ts=1750690858</w:t>
        </w:r>
      </w:hyperlink>
      <w:r w:rsidRPr="00C07F42">
        <w:rPr>
          <w:rFonts w:ascii="Times New Roman" w:hAnsi="Times New Roman"/>
          <w:sz w:val="24"/>
          <w:szCs w:val="24"/>
        </w:rPr>
        <w:t xml:space="preserve"> </w:t>
      </w:r>
    </w:p>
    <w:p w14:paraId="15FA0CE5" w14:textId="77777777" w:rsidR="00456C91" w:rsidRPr="00C07F42" w:rsidRDefault="00456C91" w:rsidP="005C30A4">
      <w:pPr>
        <w:pStyle w:val="NoSpacing"/>
        <w:rPr>
          <w:rFonts w:ascii="Times New Roman" w:hAnsi="Times New Roman"/>
          <w:sz w:val="24"/>
          <w:szCs w:val="24"/>
        </w:rPr>
      </w:pPr>
    </w:p>
    <w:p w14:paraId="6615A5F5" w14:textId="77777777" w:rsidR="00C07F42" w:rsidRPr="00C07F42" w:rsidRDefault="00C07F42" w:rsidP="00C07F42">
      <w:pPr>
        <w:pStyle w:val="NoSpacing"/>
        <w:rPr>
          <w:rFonts w:ascii="Times New Roman" w:hAnsi="Times New Roman"/>
          <w:b/>
          <w:bCs/>
          <w:sz w:val="24"/>
          <w:szCs w:val="24"/>
        </w:rPr>
      </w:pPr>
      <w:r w:rsidRPr="00C07F42">
        <w:rPr>
          <w:rFonts w:ascii="Times New Roman" w:hAnsi="Times New Roman"/>
          <w:b/>
          <w:sz w:val="24"/>
          <w:szCs w:val="24"/>
        </w:rPr>
        <w:t xml:space="preserve">Legal lesson learned: Reasonable accommodation is required only if the employee can then perform the essential functions of the job. </w:t>
      </w:r>
    </w:p>
    <w:p w14:paraId="678C8D88" w14:textId="77777777" w:rsidR="00C07F42" w:rsidRPr="00C07F42" w:rsidRDefault="00C07F42" w:rsidP="00C07F42">
      <w:pPr>
        <w:rPr>
          <w:rFonts w:ascii="Times New Roman" w:hAnsi="Times New Roman"/>
          <w:bCs/>
          <w:sz w:val="24"/>
          <w:szCs w:val="24"/>
        </w:rPr>
      </w:pPr>
    </w:p>
    <w:p w14:paraId="6E69A617" w14:textId="77777777" w:rsidR="00C07F42" w:rsidRDefault="00C07F42" w:rsidP="005C30A4">
      <w:pPr>
        <w:pStyle w:val="NoSpacing"/>
        <w:rPr>
          <w:rFonts w:ascii="Arial Black" w:hAnsi="Arial Black"/>
          <w:sz w:val="24"/>
          <w:szCs w:val="24"/>
        </w:rPr>
      </w:pPr>
    </w:p>
    <w:p w14:paraId="22D9A007" w14:textId="6CDC2093" w:rsidR="009C7451" w:rsidRDefault="009C7451" w:rsidP="009C7451">
      <w:pPr>
        <w:pStyle w:val="NoSpacing"/>
        <w:rPr>
          <w:rFonts w:ascii="Arial Black" w:hAnsi="Arial Black"/>
          <w:sz w:val="24"/>
          <w:szCs w:val="24"/>
        </w:rPr>
      </w:pPr>
      <w:r>
        <w:rPr>
          <w:rFonts w:ascii="Arial Black" w:hAnsi="Arial Black"/>
          <w:sz w:val="24"/>
          <w:szCs w:val="24"/>
        </w:rPr>
        <w:t>9-53</w:t>
      </w:r>
    </w:p>
    <w:p w14:paraId="1175AF7F" w14:textId="77777777" w:rsidR="009C7451" w:rsidRDefault="009C7451" w:rsidP="005C30A4">
      <w:pPr>
        <w:pStyle w:val="NoSpacing"/>
        <w:rPr>
          <w:rFonts w:ascii="Arial Black" w:hAnsi="Arial Black"/>
          <w:sz w:val="24"/>
          <w:szCs w:val="24"/>
        </w:rPr>
      </w:pPr>
    </w:p>
    <w:p w14:paraId="57062C2D" w14:textId="77777777" w:rsidR="009C7451" w:rsidRDefault="009C7451" w:rsidP="005C30A4">
      <w:pPr>
        <w:pStyle w:val="NoSpacing"/>
        <w:rPr>
          <w:rFonts w:ascii="Arial Black" w:hAnsi="Arial Black"/>
          <w:sz w:val="24"/>
          <w:szCs w:val="24"/>
        </w:rPr>
      </w:pPr>
    </w:p>
    <w:p w14:paraId="7586FABA" w14:textId="2B998D43" w:rsidR="0069094F" w:rsidRPr="002100DB" w:rsidRDefault="0069094F" w:rsidP="0069094F">
      <w:pPr>
        <w:rPr>
          <w:rFonts w:ascii="Arial Black" w:hAnsi="Arial Black"/>
          <w:b/>
          <w:sz w:val="28"/>
          <w:szCs w:val="28"/>
        </w:rPr>
      </w:pPr>
      <w:r>
        <w:rPr>
          <w:rFonts w:ascii="Arial Black" w:hAnsi="Arial Black"/>
          <w:b/>
          <w:sz w:val="28"/>
          <w:szCs w:val="28"/>
        </w:rPr>
        <w:t>U.S. SUP. CT:  RETIRE</w:t>
      </w:r>
      <w:r w:rsidR="0051265E">
        <w:rPr>
          <w:rFonts w:ascii="Arial Black" w:hAnsi="Arial Black"/>
          <w:b/>
          <w:sz w:val="28"/>
          <w:szCs w:val="28"/>
        </w:rPr>
        <w:t>D</w:t>
      </w:r>
      <w:r>
        <w:rPr>
          <w:rFonts w:ascii="Arial Black" w:hAnsi="Arial Black"/>
          <w:b/>
          <w:sz w:val="28"/>
          <w:szCs w:val="28"/>
        </w:rPr>
        <w:t xml:space="preserve"> / PARKINSON’S – NO ADA</w:t>
      </w:r>
      <w:r w:rsidR="00F56294">
        <w:rPr>
          <w:rFonts w:ascii="Arial Black" w:hAnsi="Arial Black"/>
          <w:b/>
          <w:sz w:val="28"/>
          <w:szCs w:val="28"/>
        </w:rPr>
        <w:t xml:space="preserve"> VIOL</w:t>
      </w:r>
      <w:r>
        <w:rPr>
          <w:rFonts w:ascii="Arial Black" w:hAnsi="Arial Black"/>
          <w:b/>
          <w:sz w:val="28"/>
          <w:szCs w:val="28"/>
        </w:rPr>
        <w:t xml:space="preserve"> </w:t>
      </w:r>
      <w:r w:rsidR="002F270A">
        <w:rPr>
          <w:rFonts w:ascii="Arial Black" w:hAnsi="Arial Black"/>
          <w:b/>
          <w:sz w:val="28"/>
          <w:szCs w:val="28"/>
        </w:rPr>
        <w:t xml:space="preserve">ONLY </w:t>
      </w:r>
      <w:r>
        <w:rPr>
          <w:rFonts w:ascii="Arial Black" w:hAnsi="Arial Black"/>
          <w:b/>
          <w:sz w:val="28"/>
          <w:szCs w:val="28"/>
        </w:rPr>
        <w:t xml:space="preserve">2-YR </w:t>
      </w:r>
      <w:r w:rsidR="002F270A">
        <w:rPr>
          <w:rFonts w:ascii="Arial Black" w:hAnsi="Arial Black"/>
          <w:b/>
          <w:sz w:val="28"/>
          <w:szCs w:val="28"/>
        </w:rPr>
        <w:t xml:space="preserve">CITY </w:t>
      </w:r>
      <w:r>
        <w:rPr>
          <w:rFonts w:ascii="Arial Black" w:hAnsi="Arial Black"/>
          <w:b/>
          <w:sz w:val="28"/>
          <w:szCs w:val="28"/>
        </w:rPr>
        <w:t>INSUR</w:t>
      </w:r>
      <w:r w:rsidR="002F270A">
        <w:rPr>
          <w:rFonts w:ascii="Arial Black" w:hAnsi="Arial Black"/>
          <w:b/>
          <w:sz w:val="28"/>
          <w:szCs w:val="28"/>
        </w:rPr>
        <w:t>ANCE</w:t>
      </w:r>
    </w:p>
    <w:p w14:paraId="564DA748" w14:textId="77777777" w:rsidR="0069094F" w:rsidRPr="0004575D" w:rsidRDefault="0069094F" w:rsidP="0069094F">
      <w:pPr>
        <w:pStyle w:val="NoSpacing"/>
        <w:rPr>
          <w:rFonts w:ascii="Times New Roman" w:hAnsi="Times New Roman"/>
          <w:bCs/>
          <w:sz w:val="24"/>
          <w:szCs w:val="24"/>
        </w:rPr>
      </w:pPr>
      <w:r w:rsidRPr="0004575D">
        <w:rPr>
          <w:rFonts w:ascii="Times New Roman" w:hAnsi="Times New Roman"/>
          <w:sz w:val="24"/>
          <w:szCs w:val="24"/>
        </w:rPr>
        <w:t xml:space="preserve">On June 20, 2025, in </w:t>
      </w:r>
      <w:r w:rsidRPr="0004575D">
        <w:rPr>
          <w:rFonts w:ascii="Times New Roman" w:hAnsi="Times New Roman"/>
          <w:sz w:val="24"/>
          <w:szCs w:val="24"/>
          <w:u w:val="single"/>
        </w:rPr>
        <w:t>Karyn Stanley v. City of Sanford, Florida</w:t>
      </w:r>
      <w:r w:rsidRPr="0004575D">
        <w:rPr>
          <w:rFonts w:ascii="Times New Roman" w:hAnsi="Times New Roman"/>
          <w:sz w:val="24"/>
          <w:szCs w:val="24"/>
        </w:rPr>
        <w:t xml:space="preserve">, the United States Supreme Court held (7 to 2) that the lawsuit by retired firefighter was properly dismissed.  She was diagnosed in 2016 with Parkinson’s disease and after 19 years of service took disability retirement in 2018.  Her city insurance ran out in 2020.  When she retired, Stanley expected to continue receiving the City’s health insurance full subsidy until she turned 65 but learned that the City had changed the policy way back in 2003 for those retiring with less than 25 years.   Court agreed with U.S. District Court judge that ADA does not cover her since she does not meet the </w:t>
      </w:r>
      <w:r w:rsidRPr="0004575D">
        <w:rPr>
          <w:rFonts w:ascii="Times New Roman" w:hAnsi="Times New Roman"/>
          <w:sz w:val="24"/>
          <w:szCs w:val="24"/>
        </w:rPr>
        <w:lastRenderedPageBreak/>
        <w:t xml:space="preserve">definition of a “qualified individual” under the ADA –  ADA protection is limited to active employees or applicants.  THE COURT HELD: “To sum up, we hold that, to prevail under §12112(a), a plaintiff must plead and prove that she held or desired a </w:t>
      </w:r>
      <w:proofErr w:type="gramStart"/>
      <w:r w:rsidRPr="0004575D">
        <w:rPr>
          <w:rFonts w:ascii="Times New Roman" w:hAnsi="Times New Roman"/>
          <w:sz w:val="24"/>
          <w:szCs w:val="24"/>
        </w:rPr>
        <w:t>job, and</w:t>
      </w:r>
      <w:proofErr w:type="gramEnd"/>
      <w:r w:rsidRPr="0004575D">
        <w:rPr>
          <w:rFonts w:ascii="Times New Roman" w:hAnsi="Times New Roman"/>
          <w:sz w:val="24"/>
          <w:szCs w:val="24"/>
        </w:rPr>
        <w:t xml:space="preserve"> could perform its essential functions with or without reasonable accommodation, at the time of an employer’s alleged act of disability-based discrimination.” </w:t>
      </w:r>
    </w:p>
    <w:p w14:paraId="7C175CC7" w14:textId="77777777" w:rsidR="0069094F" w:rsidRPr="0004575D" w:rsidRDefault="0069094F" w:rsidP="0069094F">
      <w:pPr>
        <w:rPr>
          <w:rFonts w:ascii="Times New Roman" w:hAnsi="Times New Roman"/>
          <w:bCs/>
          <w:sz w:val="24"/>
          <w:szCs w:val="24"/>
        </w:rPr>
      </w:pPr>
      <w:hyperlink r:id="rId1581" w:history="1">
        <w:r w:rsidRPr="0004575D">
          <w:rPr>
            <w:rStyle w:val="Hyperlink"/>
            <w:rFonts w:ascii="Times New Roman" w:hAnsi="Times New Roman"/>
            <w:sz w:val="24"/>
            <w:szCs w:val="24"/>
          </w:rPr>
          <w:t>https://www.supremecourt.gov/opinions/24pdf/23-997_6579.pdf</w:t>
        </w:r>
      </w:hyperlink>
      <w:r w:rsidRPr="0004575D">
        <w:rPr>
          <w:rFonts w:ascii="Times New Roman" w:hAnsi="Times New Roman"/>
          <w:sz w:val="24"/>
          <w:szCs w:val="24"/>
        </w:rPr>
        <w:t xml:space="preserve"> </w:t>
      </w:r>
    </w:p>
    <w:p w14:paraId="49462F71" w14:textId="77777777" w:rsidR="0004575D" w:rsidRPr="0004575D" w:rsidRDefault="0004575D" w:rsidP="0004575D">
      <w:pPr>
        <w:pStyle w:val="NoSpacing"/>
        <w:rPr>
          <w:rFonts w:ascii="Times New Roman" w:hAnsi="Times New Roman"/>
          <w:b/>
          <w:sz w:val="24"/>
          <w:szCs w:val="24"/>
        </w:rPr>
      </w:pPr>
      <w:r w:rsidRPr="0004575D">
        <w:rPr>
          <w:rFonts w:ascii="Times New Roman" w:hAnsi="Times New Roman"/>
          <w:b/>
          <w:sz w:val="24"/>
          <w:szCs w:val="24"/>
        </w:rPr>
        <w:t>Legal lesson learned:  Perhaps this decision will lead Congress to clarify the ADA claims filed by retirees.</w:t>
      </w:r>
    </w:p>
    <w:p w14:paraId="2496DCB7" w14:textId="77777777" w:rsidR="0004575D" w:rsidRPr="0004575D" w:rsidRDefault="0004575D" w:rsidP="0004575D">
      <w:pPr>
        <w:rPr>
          <w:rFonts w:ascii="Times New Roman" w:hAnsi="Times New Roman"/>
          <w:bCs/>
          <w:sz w:val="24"/>
          <w:szCs w:val="24"/>
        </w:rPr>
      </w:pPr>
    </w:p>
    <w:p w14:paraId="494C8BE6" w14:textId="77777777" w:rsidR="00456C91" w:rsidRDefault="00456C91" w:rsidP="005C30A4">
      <w:pPr>
        <w:pStyle w:val="NoSpacing"/>
        <w:rPr>
          <w:rFonts w:ascii="Arial Black" w:hAnsi="Arial Black"/>
          <w:sz w:val="24"/>
          <w:szCs w:val="24"/>
        </w:rPr>
      </w:pPr>
    </w:p>
    <w:p w14:paraId="5FE38A9E" w14:textId="453A3596" w:rsidR="009C7451" w:rsidRDefault="009C7451" w:rsidP="009C7451">
      <w:pPr>
        <w:pStyle w:val="NoSpacing"/>
        <w:rPr>
          <w:rFonts w:ascii="Arial Black" w:hAnsi="Arial Black"/>
          <w:sz w:val="24"/>
          <w:szCs w:val="24"/>
        </w:rPr>
      </w:pPr>
      <w:r>
        <w:rPr>
          <w:rFonts w:ascii="Arial Black" w:hAnsi="Arial Black"/>
          <w:sz w:val="24"/>
          <w:szCs w:val="24"/>
        </w:rPr>
        <w:t>9-52</w:t>
      </w:r>
    </w:p>
    <w:p w14:paraId="1E989D9E" w14:textId="77777777" w:rsidR="009C7451" w:rsidRDefault="009C7451" w:rsidP="005C30A4">
      <w:pPr>
        <w:pStyle w:val="NoSpacing"/>
        <w:rPr>
          <w:rFonts w:ascii="Arial Black" w:hAnsi="Arial Black"/>
          <w:sz w:val="24"/>
          <w:szCs w:val="24"/>
        </w:rPr>
      </w:pPr>
    </w:p>
    <w:p w14:paraId="288346C1" w14:textId="77777777" w:rsidR="009C7451" w:rsidRDefault="009C7451" w:rsidP="005C30A4">
      <w:pPr>
        <w:pStyle w:val="NoSpacing"/>
        <w:rPr>
          <w:rFonts w:ascii="Arial Black" w:hAnsi="Arial Black"/>
          <w:sz w:val="24"/>
          <w:szCs w:val="24"/>
        </w:rPr>
      </w:pPr>
    </w:p>
    <w:p w14:paraId="6E683485" w14:textId="77777777" w:rsidR="00EC5A2A" w:rsidRPr="00B73C35" w:rsidRDefault="00EC5A2A" w:rsidP="00EC5A2A">
      <w:pPr>
        <w:rPr>
          <w:rFonts w:ascii="Arial Black" w:hAnsi="Arial Black"/>
          <w:bCs/>
          <w:sz w:val="28"/>
          <w:szCs w:val="28"/>
        </w:rPr>
      </w:pPr>
      <w:r>
        <w:rPr>
          <w:rFonts w:ascii="Arial Black" w:hAnsi="Arial Black"/>
          <w:sz w:val="28"/>
          <w:szCs w:val="28"/>
        </w:rPr>
        <w:t xml:space="preserve">NY: COVID – RELIGION EXECPTION DENIED / FAIR PROCESS </w:t>
      </w:r>
    </w:p>
    <w:p w14:paraId="48FE825A" w14:textId="2EB3C1E3" w:rsidR="00456C91" w:rsidRPr="00C01718" w:rsidRDefault="00EC5A2A" w:rsidP="00EC5A2A">
      <w:pPr>
        <w:pStyle w:val="NoSpacing"/>
        <w:rPr>
          <w:rFonts w:ascii="Times New Roman" w:hAnsi="Times New Roman"/>
          <w:sz w:val="24"/>
          <w:szCs w:val="24"/>
        </w:rPr>
      </w:pPr>
      <w:r w:rsidRPr="00C01718">
        <w:rPr>
          <w:rFonts w:ascii="Times New Roman" w:hAnsi="Times New Roman"/>
          <w:sz w:val="24"/>
          <w:szCs w:val="24"/>
        </w:rPr>
        <w:t xml:space="preserve">On June 18, 2025, </w:t>
      </w:r>
      <w:r w:rsidRPr="00C01718">
        <w:rPr>
          <w:rFonts w:ascii="Times New Roman" w:hAnsi="Times New Roman"/>
          <w:sz w:val="24"/>
          <w:szCs w:val="24"/>
          <w:u w:val="single"/>
        </w:rPr>
        <w:t>In the Matter of Brian Smith v. New York City Fire Department, et al</w:t>
      </w:r>
      <w:r w:rsidRPr="00C01718">
        <w:rPr>
          <w:rFonts w:ascii="Times New Roman" w:hAnsi="Times New Roman"/>
          <w:sz w:val="24"/>
          <w:szCs w:val="24"/>
        </w:rPr>
        <w:t>.,</w:t>
      </w:r>
      <w:r w:rsidRPr="00C01718">
        <w:rPr>
          <w:rFonts w:ascii="Times New Roman" w:hAnsi="Times New Roman"/>
          <w:b/>
          <w:sz w:val="24"/>
          <w:szCs w:val="24"/>
        </w:rPr>
        <w:t xml:space="preserve"> </w:t>
      </w:r>
      <w:r w:rsidRPr="00C01718">
        <w:rPr>
          <w:rFonts w:ascii="Times New Roman" w:hAnsi="Times New Roman"/>
          <w:sz w:val="24"/>
          <w:szCs w:val="24"/>
        </w:rPr>
        <w:t xml:space="preserve">the Supreme Court of New York, Second Department, held (4 to 0) that trial court improperly reinstated the firefighter, awarded him back pay and attorney fees.  The firefighter was placed on unpaid leave on Nov. 1, </w:t>
      </w:r>
      <w:proofErr w:type="gramStart"/>
      <w:r w:rsidRPr="00C01718">
        <w:rPr>
          <w:rFonts w:ascii="Times New Roman" w:hAnsi="Times New Roman"/>
          <w:sz w:val="24"/>
          <w:szCs w:val="24"/>
        </w:rPr>
        <w:t>2021</w:t>
      </w:r>
      <w:proofErr w:type="gramEnd"/>
      <w:r w:rsidRPr="00C01718">
        <w:rPr>
          <w:rFonts w:ascii="Times New Roman" w:hAnsi="Times New Roman"/>
          <w:sz w:val="24"/>
          <w:szCs w:val="24"/>
        </w:rPr>
        <w:t xml:space="preserve"> for refusing to get vaccinated, and retired July 13, </w:t>
      </w:r>
      <w:proofErr w:type="gramStart"/>
      <w:r w:rsidRPr="00C01718">
        <w:rPr>
          <w:rFonts w:ascii="Times New Roman" w:hAnsi="Times New Roman"/>
          <w:sz w:val="24"/>
          <w:szCs w:val="24"/>
        </w:rPr>
        <w:t>2022</w:t>
      </w:r>
      <w:proofErr w:type="gramEnd"/>
      <w:r w:rsidRPr="00C01718">
        <w:rPr>
          <w:rFonts w:ascii="Times New Roman" w:hAnsi="Times New Roman"/>
          <w:sz w:val="24"/>
          <w:szCs w:val="24"/>
        </w:rPr>
        <w:t xml:space="preserve"> when his appeal was denied  by the City of New York Reasonable Accommodation Appeals Panel.   THE COURT HELD: </w:t>
      </w:r>
      <w:r w:rsidRPr="00C01718">
        <w:rPr>
          <w:rFonts w:ascii="Times New Roman" w:hAnsi="Times New Roman"/>
          <w:b/>
          <w:sz w:val="24"/>
          <w:szCs w:val="24"/>
        </w:rPr>
        <w:t>“</w:t>
      </w:r>
      <w:r w:rsidRPr="00C01718">
        <w:rPr>
          <w:rFonts w:ascii="Times New Roman" w:hAnsi="Times New Roman"/>
          <w:sz w:val="24"/>
          <w:szCs w:val="24"/>
        </w:rPr>
        <w:t xml:space="preserve">Here, the petitioner failed to demonstrate that the appellants' process for resolving requests for a reasonable accommodation from the vaccine mandate did not meet the requirements of the NYCHRL regarding cooperative dialogue…. The appellants provided information on the process for reviewing accommodation requests related to the vaccine mandate and informed employees on how to appeal request denials. The record demonstrates that the petitioner availed himself of this process. The record also shows that there were multiple communications between the petitioner, the FDNY, and the Panel regarding the petitioner's accommodation request. The petitioner failed to establish that, under the unique circumstances present at the time of the vaccine mandate, the NYCHRL required a more robust or individualized dialogue.”  </w:t>
      </w:r>
      <w:hyperlink r:id="rId1582" w:history="1">
        <w:r w:rsidRPr="00C01718">
          <w:rPr>
            <w:rStyle w:val="Hyperlink"/>
            <w:rFonts w:ascii="Times New Roman" w:hAnsi="Times New Roman"/>
            <w:sz w:val="24"/>
            <w:szCs w:val="24"/>
          </w:rPr>
          <w:t>https://public.fastcase.com/jaEE2PXzRXmZ99jOLMt1Ipey3nn80Qzm5FjlczUETsDTuQT39ugB8joG6QHEs86OG3nGrKzxwZV4%2Fla6pLxdspdlDpATTrpmmFlVcXapI1M%3D?utm_medium=email&amp;_hsenc=p2ANqtz-8lwnqzIFsmVJzuahWcWVuNvva5eg1m46jktTnS1rNp1Tgpui8ycBPAblsV379ZnZFl8lWnb4zQm5QdddO-2g4KXoMSJQ&amp;_hsmi=226712652&amp;utm_content=226712652&amp;utm_source=hs_email</w:t>
        </w:r>
      </w:hyperlink>
    </w:p>
    <w:p w14:paraId="13320DEE" w14:textId="77777777" w:rsidR="00C01718" w:rsidRPr="00C01718" w:rsidRDefault="00C01718" w:rsidP="00EC5A2A">
      <w:pPr>
        <w:pStyle w:val="NoSpacing"/>
        <w:rPr>
          <w:rFonts w:ascii="Times New Roman" w:hAnsi="Times New Roman"/>
          <w:sz w:val="24"/>
          <w:szCs w:val="24"/>
        </w:rPr>
      </w:pPr>
    </w:p>
    <w:p w14:paraId="5992F85B" w14:textId="77777777" w:rsidR="00C01718" w:rsidRPr="00C01718" w:rsidRDefault="00C01718" w:rsidP="00C01718">
      <w:pPr>
        <w:rPr>
          <w:rFonts w:ascii="Times New Roman" w:hAnsi="Times New Roman"/>
          <w:b/>
          <w:bCs/>
          <w:sz w:val="24"/>
          <w:szCs w:val="24"/>
        </w:rPr>
      </w:pPr>
      <w:r w:rsidRPr="00C01718">
        <w:rPr>
          <w:rFonts w:ascii="Times New Roman" w:hAnsi="Times New Roman"/>
          <w:b/>
          <w:sz w:val="24"/>
          <w:szCs w:val="24"/>
        </w:rPr>
        <w:t xml:space="preserve">Legal lesson learned: FDNY provided the firefighter with fair COVID vaccination appeal </w:t>
      </w:r>
      <w:r w:rsidRPr="00C01718">
        <w:rPr>
          <w:rFonts w:ascii="Times New Roman" w:hAnsi="Times New Roman"/>
          <w:b/>
          <w:bCs/>
          <w:sz w:val="24"/>
          <w:szCs w:val="24"/>
        </w:rPr>
        <w:t>process.</w:t>
      </w:r>
    </w:p>
    <w:p w14:paraId="615373EB" w14:textId="77777777" w:rsidR="00C01718" w:rsidRDefault="00C01718" w:rsidP="00EC5A2A">
      <w:pPr>
        <w:pStyle w:val="NoSpacing"/>
        <w:rPr>
          <w:rFonts w:ascii="Arial Black" w:hAnsi="Arial Black"/>
          <w:sz w:val="24"/>
          <w:szCs w:val="24"/>
        </w:rPr>
      </w:pPr>
    </w:p>
    <w:p w14:paraId="0A29B256" w14:textId="41B2171F" w:rsidR="009C7451" w:rsidRDefault="009C7451" w:rsidP="009C7451">
      <w:pPr>
        <w:pStyle w:val="NoSpacing"/>
        <w:rPr>
          <w:rFonts w:ascii="Arial Black" w:hAnsi="Arial Black"/>
          <w:sz w:val="24"/>
          <w:szCs w:val="24"/>
        </w:rPr>
      </w:pPr>
      <w:r>
        <w:rPr>
          <w:rFonts w:ascii="Arial Black" w:hAnsi="Arial Black"/>
          <w:sz w:val="24"/>
          <w:szCs w:val="24"/>
        </w:rPr>
        <w:t>9-51</w:t>
      </w:r>
    </w:p>
    <w:p w14:paraId="0874F6B8" w14:textId="77777777" w:rsidR="009C7451" w:rsidRDefault="009C7451" w:rsidP="005C30A4">
      <w:pPr>
        <w:pStyle w:val="NoSpacing"/>
        <w:rPr>
          <w:rFonts w:ascii="Arial Black" w:hAnsi="Arial Black"/>
          <w:sz w:val="24"/>
          <w:szCs w:val="24"/>
        </w:rPr>
      </w:pPr>
    </w:p>
    <w:p w14:paraId="6CBAD97C" w14:textId="77777777" w:rsidR="00475136" w:rsidRPr="0009639F" w:rsidRDefault="00475136" w:rsidP="00475136">
      <w:pPr>
        <w:rPr>
          <w:rFonts w:ascii="Arial Black" w:hAnsi="Arial Black"/>
          <w:b/>
          <w:sz w:val="28"/>
          <w:szCs w:val="28"/>
        </w:rPr>
      </w:pPr>
      <w:r>
        <w:rPr>
          <w:rFonts w:ascii="Arial Black" w:hAnsi="Arial Black"/>
          <w:b/>
          <w:sz w:val="28"/>
          <w:szCs w:val="28"/>
        </w:rPr>
        <w:t xml:space="preserve">NY: COVID – NO WK TESTING – FDNY “UNDUE HARDSHIP” </w:t>
      </w:r>
    </w:p>
    <w:p w14:paraId="57365A5D" w14:textId="77777777" w:rsidR="00475136" w:rsidRPr="009C7451" w:rsidRDefault="00475136" w:rsidP="00475136">
      <w:pPr>
        <w:pStyle w:val="NoSpacing"/>
        <w:rPr>
          <w:rFonts w:ascii="Times New Roman" w:hAnsi="Times New Roman"/>
          <w:sz w:val="24"/>
          <w:szCs w:val="24"/>
        </w:rPr>
      </w:pPr>
      <w:r w:rsidRPr="009C7451">
        <w:rPr>
          <w:rFonts w:ascii="Times New Roman" w:hAnsi="Times New Roman"/>
          <w:sz w:val="24"/>
          <w:szCs w:val="24"/>
        </w:rPr>
        <w:t xml:space="preserve">On June 17, 2025, in </w:t>
      </w:r>
      <w:r w:rsidRPr="009C7451">
        <w:rPr>
          <w:rFonts w:ascii="Times New Roman" w:hAnsi="Times New Roman"/>
          <w:sz w:val="24"/>
          <w:szCs w:val="24"/>
          <w:u w:val="single"/>
        </w:rPr>
        <w:t>Javier Vasquez v. City of New York</w:t>
      </w:r>
      <w:r w:rsidRPr="009C7451">
        <w:rPr>
          <w:rFonts w:ascii="Times New Roman" w:hAnsi="Times New Roman"/>
          <w:sz w:val="24"/>
          <w:szCs w:val="24"/>
        </w:rPr>
        <w:t xml:space="preserve">, U.S. District Court Judge Hector Gonzalez reconfirmed his June 2, </w:t>
      </w:r>
      <w:proofErr w:type="gramStart"/>
      <w:r w:rsidRPr="009C7451">
        <w:rPr>
          <w:rFonts w:ascii="Times New Roman" w:hAnsi="Times New Roman"/>
          <w:sz w:val="24"/>
          <w:szCs w:val="24"/>
        </w:rPr>
        <w:t>2025</w:t>
      </w:r>
      <w:proofErr w:type="gramEnd"/>
      <w:r w:rsidRPr="009C7451">
        <w:rPr>
          <w:rFonts w:ascii="Times New Roman" w:hAnsi="Times New Roman"/>
          <w:sz w:val="24"/>
          <w:szCs w:val="24"/>
        </w:rPr>
        <w:t xml:space="preserve"> decision which denied summary judgment for both the firefighter </w:t>
      </w:r>
      <w:proofErr w:type="gramStart"/>
      <w:r w:rsidRPr="009C7451">
        <w:rPr>
          <w:rFonts w:ascii="Times New Roman" w:hAnsi="Times New Roman"/>
          <w:sz w:val="24"/>
          <w:szCs w:val="24"/>
        </w:rPr>
        <w:t>and also</w:t>
      </w:r>
      <w:proofErr w:type="gramEnd"/>
      <w:r w:rsidRPr="009C7451">
        <w:rPr>
          <w:rFonts w:ascii="Times New Roman" w:hAnsi="Times New Roman"/>
          <w:sz w:val="24"/>
          <w:szCs w:val="24"/>
        </w:rPr>
        <w:t xml:space="preserve"> the </w:t>
      </w:r>
      <w:proofErr w:type="gramStart"/>
      <w:r w:rsidRPr="009C7451">
        <w:rPr>
          <w:rFonts w:ascii="Times New Roman" w:hAnsi="Times New Roman"/>
          <w:sz w:val="24"/>
          <w:szCs w:val="24"/>
        </w:rPr>
        <w:t>City</w:t>
      </w:r>
      <w:proofErr w:type="gramEnd"/>
      <w:r w:rsidRPr="009C7451">
        <w:rPr>
          <w:rFonts w:ascii="Times New Roman" w:hAnsi="Times New Roman"/>
          <w:sz w:val="24"/>
          <w:szCs w:val="24"/>
        </w:rPr>
        <w:t xml:space="preserve">.  He again held that a jury should decide whether it was an “undue hardship” for FDNY to weekly test firefighters who refused to be vaccinated.  THE COURT HELD: “As the Court previously explained, the ‘evidence shows that the FDNY undertook some individualized consideration of Plaintiff’s request,’ referring to testimony in which the FDNY’s Assistant Commissioner of Equal Employment Opportunity Don Nguyen testified that Plaintiff, in his light-duty role, worked in an environment ‘staffed with dozens of folks sitting in a room . . . working with each other and working with other agencies.’ … Notably, Plaintiff fails to grapple with this. And there is more, such as a declaration from Mr. Nguyen submitted in Plaintiff’s state court case in which he explained that the FDNY considered that Plaintiff was ‘a certified first responder who would respond not </w:t>
      </w:r>
      <w:r w:rsidRPr="009C7451">
        <w:rPr>
          <w:rFonts w:ascii="Times New Roman" w:hAnsi="Times New Roman"/>
          <w:sz w:val="24"/>
          <w:szCs w:val="24"/>
        </w:rPr>
        <w:lastRenderedPageBreak/>
        <w:t>only to fires but [also] medical emergencies with vulnerable populations of people.”</w:t>
      </w:r>
      <w:hyperlink r:id="rId1583" w:history="1">
        <w:r w:rsidRPr="009C7451">
          <w:rPr>
            <w:rStyle w:val="Hyperlink"/>
            <w:rFonts w:ascii="Times New Roman" w:hAnsi="Times New Roman"/>
            <w:sz w:val="24"/>
            <w:szCs w:val="24"/>
          </w:rPr>
          <w:t>https://www.govinfo.gov/content/pkg/USCOURTS-nyed-1_22-cv-05068/pdf/USCOURTS-nyed-1_22-cv-05068-3.pdf</w:t>
        </w:r>
      </w:hyperlink>
      <w:r w:rsidRPr="009C7451">
        <w:rPr>
          <w:rFonts w:ascii="Times New Roman" w:hAnsi="Times New Roman"/>
          <w:sz w:val="24"/>
          <w:szCs w:val="24"/>
        </w:rPr>
        <w:t xml:space="preserve"> </w:t>
      </w:r>
    </w:p>
    <w:p w14:paraId="46D34062" w14:textId="77777777" w:rsidR="00475136" w:rsidRPr="009C7451" w:rsidRDefault="00475136" w:rsidP="005C30A4">
      <w:pPr>
        <w:pStyle w:val="NoSpacing"/>
        <w:rPr>
          <w:rFonts w:ascii="Times New Roman" w:hAnsi="Times New Roman"/>
          <w:sz w:val="24"/>
          <w:szCs w:val="24"/>
        </w:rPr>
      </w:pPr>
    </w:p>
    <w:p w14:paraId="6B70AA61" w14:textId="77777777" w:rsidR="009C7451" w:rsidRPr="009C7451" w:rsidRDefault="009C7451" w:rsidP="009C7451">
      <w:pPr>
        <w:pStyle w:val="NoSpacing"/>
        <w:rPr>
          <w:rFonts w:ascii="Times New Roman" w:hAnsi="Times New Roman"/>
          <w:b/>
          <w:bCs/>
          <w:sz w:val="24"/>
          <w:szCs w:val="24"/>
        </w:rPr>
      </w:pPr>
      <w:r w:rsidRPr="009C7451">
        <w:rPr>
          <w:rFonts w:ascii="Times New Roman" w:hAnsi="Times New Roman"/>
          <w:b/>
          <w:sz w:val="24"/>
          <w:szCs w:val="24"/>
        </w:rPr>
        <w:t>Legal lesson learned: The City has a strong “undue hardship” defense if this case goes to trial.</w:t>
      </w:r>
    </w:p>
    <w:p w14:paraId="5C4545F8" w14:textId="77777777" w:rsidR="009C7451" w:rsidRPr="009C7451" w:rsidRDefault="009C7451" w:rsidP="009C7451">
      <w:pPr>
        <w:pStyle w:val="NoSpacing"/>
        <w:rPr>
          <w:rFonts w:ascii="Times New Roman" w:hAnsi="Times New Roman"/>
          <w:b/>
          <w:bCs/>
          <w:sz w:val="24"/>
          <w:szCs w:val="24"/>
        </w:rPr>
      </w:pPr>
    </w:p>
    <w:p w14:paraId="689A2950" w14:textId="77777777" w:rsidR="009C7451" w:rsidRPr="009C7451" w:rsidRDefault="009C7451" w:rsidP="009C7451">
      <w:pPr>
        <w:pStyle w:val="NoSpacing"/>
        <w:ind w:left="720"/>
        <w:rPr>
          <w:rFonts w:ascii="Times New Roman" w:hAnsi="Times New Roman"/>
          <w:bCs/>
          <w:sz w:val="24"/>
          <w:szCs w:val="24"/>
        </w:rPr>
      </w:pPr>
      <w:r w:rsidRPr="009C7451">
        <w:rPr>
          <w:rFonts w:ascii="Times New Roman" w:hAnsi="Times New Roman"/>
          <w:sz w:val="24"/>
          <w:szCs w:val="24"/>
        </w:rPr>
        <w:t xml:space="preserve">Note: See Aug. 28, </w:t>
      </w:r>
      <w:proofErr w:type="gramStart"/>
      <w:r w:rsidRPr="009C7451">
        <w:rPr>
          <w:rFonts w:ascii="Times New Roman" w:hAnsi="Times New Roman"/>
          <w:sz w:val="24"/>
          <w:szCs w:val="24"/>
        </w:rPr>
        <w:t>2022</w:t>
      </w:r>
      <w:proofErr w:type="gramEnd"/>
      <w:r w:rsidRPr="009C7451">
        <w:rPr>
          <w:rFonts w:ascii="Times New Roman" w:hAnsi="Times New Roman"/>
          <w:sz w:val="24"/>
          <w:szCs w:val="24"/>
        </w:rPr>
        <w:t xml:space="preserve"> article, “Unvaccinated FDNY Firefighters Poised to be Fired Unless they roll up their sleeves, 70 FDNY firefighters have been notified they won't be responding.”</w:t>
      </w:r>
    </w:p>
    <w:p w14:paraId="7D2FC351" w14:textId="77777777" w:rsidR="009C7451" w:rsidRPr="009C7451" w:rsidRDefault="009C7451" w:rsidP="009C7451">
      <w:pPr>
        <w:pStyle w:val="NoSpacing"/>
        <w:ind w:left="720"/>
        <w:rPr>
          <w:rFonts w:ascii="Times New Roman" w:hAnsi="Times New Roman"/>
          <w:bCs/>
          <w:sz w:val="24"/>
          <w:szCs w:val="24"/>
        </w:rPr>
      </w:pPr>
    </w:p>
    <w:p w14:paraId="2C64F1CA" w14:textId="77777777" w:rsidR="009C7451" w:rsidRPr="009C7451" w:rsidRDefault="009C7451" w:rsidP="009C7451">
      <w:pPr>
        <w:pStyle w:val="NoSpacing"/>
        <w:ind w:left="720"/>
        <w:rPr>
          <w:rFonts w:ascii="Times New Roman" w:hAnsi="Times New Roman"/>
          <w:b/>
          <w:sz w:val="24"/>
          <w:szCs w:val="24"/>
        </w:rPr>
      </w:pPr>
      <w:r w:rsidRPr="009C7451">
        <w:rPr>
          <w:rFonts w:ascii="Times New Roman" w:hAnsi="Times New Roman"/>
          <w:sz w:val="24"/>
          <w:szCs w:val="24"/>
        </w:rPr>
        <w:t xml:space="preserve">See Feb. 15, </w:t>
      </w:r>
      <w:proofErr w:type="gramStart"/>
      <w:r w:rsidRPr="009C7451">
        <w:rPr>
          <w:rFonts w:ascii="Times New Roman" w:hAnsi="Times New Roman"/>
          <w:sz w:val="24"/>
          <w:szCs w:val="24"/>
        </w:rPr>
        <w:t>2022</w:t>
      </w:r>
      <w:proofErr w:type="gramEnd"/>
      <w:r w:rsidRPr="009C7451">
        <w:rPr>
          <w:rFonts w:ascii="Times New Roman" w:hAnsi="Times New Roman"/>
          <w:sz w:val="24"/>
          <w:szCs w:val="24"/>
        </w:rPr>
        <w:t xml:space="preserve"> article, “Nearly 1,500 NYC municipal workers fired for not being vaccinated against COVID.”</w:t>
      </w:r>
      <w:r w:rsidRPr="009C7451">
        <w:rPr>
          <w:rFonts w:ascii="Times New Roman" w:hAnsi="Times New Roman"/>
          <w:b/>
          <w:sz w:val="24"/>
          <w:szCs w:val="24"/>
        </w:rPr>
        <w:t xml:space="preserve">  </w:t>
      </w:r>
      <w:hyperlink r:id="rId1584" w:history="1">
        <w:r w:rsidRPr="009C7451">
          <w:rPr>
            <w:rStyle w:val="Hyperlink"/>
            <w:rFonts w:ascii="Times New Roman" w:hAnsi="Times New Roman"/>
            <w:b/>
            <w:sz w:val="24"/>
            <w:szCs w:val="24"/>
          </w:rPr>
          <w:t>https://abcnews.go.com/Health/1500-nyc-municipal-workers-fired-vaccinated-covid/story?id=82900617</w:t>
        </w:r>
      </w:hyperlink>
      <w:r w:rsidRPr="009C7451">
        <w:rPr>
          <w:rFonts w:ascii="Times New Roman" w:hAnsi="Times New Roman"/>
          <w:b/>
          <w:sz w:val="24"/>
          <w:szCs w:val="24"/>
        </w:rPr>
        <w:t xml:space="preserve"> </w:t>
      </w:r>
    </w:p>
    <w:p w14:paraId="379C937F" w14:textId="77777777" w:rsidR="009C7451" w:rsidRPr="009C7451" w:rsidRDefault="009C7451" w:rsidP="009C7451">
      <w:pPr>
        <w:pStyle w:val="NoSpacing"/>
        <w:rPr>
          <w:rFonts w:ascii="Times New Roman" w:hAnsi="Times New Roman"/>
          <w:b/>
          <w:bCs/>
          <w:sz w:val="24"/>
          <w:szCs w:val="24"/>
        </w:rPr>
      </w:pPr>
    </w:p>
    <w:p w14:paraId="0CD3430F" w14:textId="77777777" w:rsidR="009C7451" w:rsidRPr="009C7451" w:rsidRDefault="009C7451" w:rsidP="009C7451">
      <w:pPr>
        <w:ind w:left="720"/>
        <w:rPr>
          <w:rFonts w:ascii="Times New Roman" w:hAnsi="Times New Roman"/>
          <w:b/>
          <w:sz w:val="24"/>
          <w:szCs w:val="24"/>
        </w:rPr>
      </w:pPr>
      <w:r w:rsidRPr="009C7451">
        <w:rPr>
          <w:rFonts w:ascii="Times New Roman" w:hAnsi="Times New Roman"/>
          <w:sz w:val="24"/>
          <w:szCs w:val="24"/>
        </w:rPr>
        <w:t xml:space="preserve">See EEOC guidance, “Enforcement Guidance on Reasonable Accommodation and Undue Hardship under the ADA.” </w:t>
      </w:r>
      <w:hyperlink r:id="rId1585" w:history="1">
        <w:r w:rsidRPr="009C7451">
          <w:rPr>
            <w:rStyle w:val="Hyperlink"/>
            <w:rFonts w:ascii="Times New Roman" w:hAnsi="Times New Roman"/>
            <w:sz w:val="24"/>
            <w:szCs w:val="24"/>
          </w:rPr>
          <w:t>https://www.eeoc.gov/laws/guidance/enforcement-guidance-reasonable-accommodation-and-undue-hardship-under-ada</w:t>
        </w:r>
      </w:hyperlink>
      <w:r w:rsidRPr="009C7451">
        <w:rPr>
          <w:rFonts w:ascii="Times New Roman" w:hAnsi="Times New Roman"/>
          <w:sz w:val="24"/>
          <w:szCs w:val="24"/>
        </w:rPr>
        <w:t xml:space="preserve"> </w:t>
      </w:r>
    </w:p>
    <w:p w14:paraId="1FC05AB6" w14:textId="77777777" w:rsidR="009C7451" w:rsidRPr="009C7451" w:rsidRDefault="009C7451" w:rsidP="009C7451">
      <w:pPr>
        <w:ind w:left="1440"/>
        <w:rPr>
          <w:rFonts w:ascii="Times New Roman" w:hAnsi="Times New Roman"/>
          <w:bCs/>
          <w:sz w:val="24"/>
          <w:szCs w:val="24"/>
        </w:rPr>
      </w:pPr>
      <w:r w:rsidRPr="009C7451">
        <w:rPr>
          <w:rFonts w:ascii="Times New Roman" w:hAnsi="Times New Roman"/>
          <w:sz w:val="24"/>
          <w:szCs w:val="24"/>
        </w:rPr>
        <w:t xml:space="preserve">“’Undue hardship’ means significant difficulty or expense and focuses on the resources and circumstances of the </w:t>
      </w:r>
      <w:proofErr w:type="gramStart"/>
      <w:r w:rsidRPr="009C7451">
        <w:rPr>
          <w:rFonts w:ascii="Times New Roman" w:hAnsi="Times New Roman"/>
          <w:sz w:val="24"/>
          <w:szCs w:val="24"/>
        </w:rPr>
        <w:t>particular employer</w:t>
      </w:r>
      <w:proofErr w:type="gramEnd"/>
      <w:r w:rsidRPr="009C7451">
        <w:rPr>
          <w:rFonts w:ascii="Times New Roman" w:hAnsi="Times New Roman"/>
          <w:sz w:val="24"/>
          <w:szCs w:val="24"/>
        </w:rPr>
        <w:t xml:space="preserve"> in relationship to the cost or difficulty of providing a specific accommodation. Undue hardship refers not only to financial difficulty, but to reasonable accommodations that are unduly extensive, substantial, or disruptive, or those that would fundamentally alter the nature or operation of the business.” </w:t>
      </w:r>
    </w:p>
    <w:p w14:paraId="679F75A2" w14:textId="77777777" w:rsidR="009C7451" w:rsidRPr="009C7451" w:rsidRDefault="009C7451" w:rsidP="005C30A4">
      <w:pPr>
        <w:pStyle w:val="NoSpacing"/>
        <w:rPr>
          <w:rFonts w:ascii="Times New Roman" w:hAnsi="Times New Roman"/>
          <w:sz w:val="24"/>
          <w:szCs w:val="24"/>
        </w:rPr>
      </w:pPr>
    </w:p>
    <w:p w14:paraId="77EA25D8" w14:textId="77777777" w:rsidR="00475136" w:rsidRDefault="00475136" w:rsidP="005C30A4">
      <w:pPr>
        <w:pStyle w:val="NoSpacing"/>
        <w:rPr>
          <w:rFonts w:ascii="Arial Black" w:hAnsi="Arial Black"/>
          <w:sz w:val="24"/>
          <w:szCs w:val="24"/>
        </w:rPr>
      </w:pPr>
    </w:p>
    <w:p w14:paraId="310ECAE7" w14:textId="77777777" w:rsidR="00456C91" w:rsidRDefault="00456C91" w:rsidP="005C30A4">
      <w:pPr>
        <w:pStyle w:val="NoSpacing"/>
        <w:rPr>
          <w:rFonts w:ascii="Arial Black" w:hAnsi="Arial Black"/>
          <w:sz w:val="24"/>
          <w:szCs w:val="24"/>
        </w:rPr>
      </w:pPr>
    </w:p>
    <w:p w14:paraId="4A721DED" w14:textId="0E035634" w:rsidR="001C7270" w:rsidRDefault="001C7270" w:rsidP="005C30A4">
      <w:pPr>
        <w:pStyle w:val="NoSpacing"/>
        <w:rPr>
          <w:rFonts w:ascii="Arial Black" w:hAnsi="Arial Black"/>
          <w:sz w:val="24"/>
          <w:szCs w:val="24"/>
        </w:rPr>
      </w:pPr>
      <w:r>
        <w:rPr>
          <w:rFonts w:ascii="Arial Black" w:hAnsi="Arial Black"/>
          <w:sz w:val="24"/>
          <w:szCs w:val="24"/>
        </w:rPr>
        <w:t>9-50</w:t>
      </w:r>
    </w:p>
    <w:p w14:paraId="24A8C7DB" w14:textId="77777777" w:rsidR="000408CA" w:rsidRDefault="000408CA" w:rsidP="005C30A4">
      <w:pPr>
        <w:pStyle w:val="NoSpacing"/>
        <w:rPr>
          <w:rFonts w:ascii="Arial Black" w:hAnsi="Arial Black"/>
          <w:sz w:val="24"/>
          <w:szCs w:val="24"/>
        </w:rPr>
      </w:pPr>
    </w:p>
    <w:p w14:paraId="79342861" w14:textId="77777777" w:rsidR="000408CA" w:rsidRPr="004737F6" w:rsidRDefault="000408CA" w:rsidP="000408CA">
      <w:pPr>
        <w:pStyle w:val="NoSpacing"/>
        <w:rPr>
          <w:rFonts w:ascii="Arial Black" w:hAnsi="Arial Black"/>
          <w:bCs/>
          <w:sz w:val="28"/>
          <w:szCs w:val="28"/>
        </w:rPr>
      </w:pPr>
      <w:r>
        <w:rPr>
          <w:rFonts w:ascii="Arial Black" w:hAnsi="Arial Black"/>
          <w:sz w:val="28"/>
          <w:szCs w:val="28"/>
        </w:rPr>
        <w:t xml:space="preserve">TX: HOSTILE WORK CLAIM - AGE, WEIGHT, PTSD </w:t>
      </w:r>
    </w:p>
    <w:p w14:paraId="60FE0D9E" w14:textId="77777777" w:rsidR="000408CA" w:rsidRDefault="000408CA" w:rsidP="000408CA">
      <w:pPr>
        <w:pStyle w:val="NoSpacing"/>
        <w:rPr>
          <w:bCs/>
        </w:rPr>
      </w:pPr>
    </w:p>
    <w:p w14:paraId="186027D1" w14:textId="77777777" w:rsidR="002C10A9" w:rsidRPr="002C10A9" w:rsidRDefault="002C10A9" w:rsidP="002C10A9">
      <w:pPr>
        <w:rPr>
          <w:rStyle w:val="Hyperlink"/>
          <w:rFonts w:ascii="Times New Roman" w:hAnsi="Times New Roman"/>
          <w:sz w:val="24"/>
          <w:szCs w:val="24"/>
        </w:rPr>
      </w:pPr>
      <w:r w:rsidRPr="002C10A9">
        <w:rPr>
          <w:rFonts w:ascii="Times New Roman" w:hAnsi="Times New Roman"/>
          <w:sz w:val="24"/>
          <w:szCs w:val="24"/>
        </w:rPr>
        <w:t xml:space="preserve">On Dec. 17, 2024, in </w:t>
      </w:r>
      <w:r w:rsidRPr="002C10A9">
        <w:rPr>
          <w:rFonts w:ascii="Times New Roman" w:hAnsi="Times New Roman"/>
          <w:sz w:val="24"/>
          <w:szCs w:val="24"/>
          <w:u w:val="single"/>
        </w:rPr>
        <w:t xml:space="preserve">Timothy B. </w:t>
      </w:r>
      <w:proofErr w:type="spellStart"/>
      <w:r w:rsidRPr="002C10A9">
        <w:rPr>
          <w:rFonts w:ascii="Times New Roman" w:hAnsi="Times New Roman"/>
          <w:sz w:val="24"/>
          <w:szCs w:val="24"/>
          <w:u w:val="single"/>
        </w:rPr>
        <w:t>Hauptrief</w:t>
      </w:r>
      <w:proofErr w:type="spellEnd"/>
      <w:r w:rsidRPr="002C10A9">
        <w:rPr>
          <w:rFonts w:ascii="Times New Roman" w:hAnsi="Times New Roman"/>
          <w:sz w:val="24"/>
          <w:szCs w:val="24"/>
          <w:u w:val="single"/>
        </w:rPr>
        <w:t xml:space="preserve"> v. Denver </w:t>
      </w:r>
      <w:proofErr w:type="spellStart"/>
      <w:r w:rsidRPr="002C10A9">
        <w:rPr>
          <w:rFonts w:ascii="Times New Roman" w:hAnsi="Times New Roman"/>
          <w:sz w:val="24"/>
          <w:szCs w:val="24"/>
          <w:u w:val="single"/>
        </w:rPr>
        <w:t>Teleford</w:t>
      </w:r>
      <w:proofErr w:type="spellEnd"/>
      <w:r w:rsidRPr="002C10A9">
        <w:rPr>
          <w:rFonts w:ascii="Times New Roman" w:hAnsi="Times New Roman"/>
          <w:sz w:val="24"/>
          <w:szCs w:val="24"/>
          <w:u w:val="single"/>
        </w:rPr>
        <w:t>, Fire Lieutenant, City of Converse, Texas</w:t>
      </w:r>
      <w:r w:rsidRPr="002C10A9">
        <w:rPr>
          <w:rFonts w:ascii="Times New Roman" w:hAnsi="Times New Roman"/>
          <w:sz w:val="24"/>
          <w:szCs w:val="24"/>
        </w:rPr>
        <w:t xml:space="preserve">, United States District Court Judge Fred Biery, U.S. District Court for Western District, San Antonio Division, held that lawsuit should proceed by the firefighter / paramedic’s claims under ADA and ADEA [Age Discrimination in Employment].  Plaintiff alleges that he suffered a hostile work environment due to his age, weight, and PTSD,  and also retaliation for complaining about lack of training.  </w:t>
      </w:r>
      <w:hyperlink r:id="rId1586" w:history="1">
        <w:r w:rsidRPr="002C10A9">
          <w:rPr>
            <w:rStyle w:val="Hyperlink"/>
            <w:rFonts w:ascii="Times New Roman" w:hAnsi="Times New Roman"/>
            <w:sz w:val="24"/>
            <w:szCs w:val="24"/>
          </w:rPr>
          <w:t>https://casetext.com/case/hauptrief-v-telford-1</w:t>
        </w:r>
      </w:hyperlink>
      <w:r w:rsidRPr="002C10A9">
        <w:rPr>
          <w:rStyle w:val="Hyperlink"/>
          <w:rFonts w:ascii="Times New Roman" w:hAnsi="Times New Roman"/>
          <w:sz w:val="24"/>
          <w:szCs w:val="24"/>
        </w:rPr>
        <w:t xml:space="preserve"> </w:t>
      </w:r>
    </w:p>
    <w:p w14:paraId="56010828" w14:textId="77777777" w:rsidR="002C10A9" w:rsidRDefault="002C10A9" w:rsidP="000408CA">
      <w:pPr>
        <w:pStyle w:val="NoSpacing"/>
        <w:rPr>
          <w:rFonts w:ascii="Times New Roman" w:hAnsi="Times New Roman"/>
          <w:sz w:val="24"/>
          <w:szCs w:val="24"/>
        </w:rPr>
      </w:pPr>
    </w:p>
    <w:p w14:paraId="0D5D5452" w14:textId="6D83026D" w:rsidR="000408CA" w:rsidRPr="000408CA" w:rsidRDefault="000408CA" w:rsidP="000408CA">
      <w:pPr>
        <w:pStyle w:val="NoSpacing"/>
        <w:rPr>
          <w:rFonts w:ascii="Times New Roman" w:hAnsi="Times New Roman"/>
          <w:bCs/>
          <w:sz w:val="24"/>
          <w:szCs w:val="24"/>
        </w:rPr>
      </w:pPr>
      <w:r w:rsidRPr="000408CA">
        <w:rPr>
          <w:rFonts w:ascii="Times New Roman" w:hAnsi="Times New Roman"/>
          <w:sz w:val="24"/>
          <w:szCs w:val="24"/>
        </w:rPr>
        <w:t>Judge Fred Biery wrote:</w:t>
      </w:r>
    </w:p>
    <w:p w14:paraId="5078932C" w14:textId="77777777" w:rsidR="000408CA" w:rsidRPr="000408CA" w:rsidRDefault="000408CA" w:rsidP="000408CA">
      <w:pPr>
        <w:pStyle w:val="NoSpacing"/>
        <w:ind w:left="720"/>
        <w:rPr>
          <w:rFonts w:ascii="Times New Roman" w:hAnsi="Times New Roman"/>
          <w:bCs/>
          <w:sz w:val="24"/>
          <w:szCs w:val="24"/>
        </w:rPr>
      </w:pPr>
    </w:p>
    <w:p w14:paraId="3CB2E077" w14:textId="77777777"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“Because no party has objected to the Magistrate Judge's Report and Recommendation, the Court need not conduct a de novo review…. The motion to dismiss the ADA and ADEA claims against the City of Converse, however, shall be denied.”</w:t>
      </w:r>
    </w:p>
    <w:p w14:paraId="355A1B22" w14:textId="77777777" w:rsidR="000408CA" w:rsidRPr="000408CA" w:rsidRDefault="000408CA" w:rsidP="000408CA">
      <w:pPr>
        <w:pStyle w:val="NoSpacing"/>
        <w:ind w:left="720"/>
        <w:rPr>
          <w:rFonts w:ascii="Times New Roman" w:hAnsi="Times New Roman"/>
          <w:sz w:val="24"/>
          <w:szCs w:val="24"/>
        </w:rPr>
      </w:pPr>
    </w:p>
    <w:p w14:paraId="5CCFC263" w14:textId="77777777"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w:t>
      </w:r>
    </w:p>
    <w:p w14:paraId="29614468" w14:textId="77777777"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 xml:space="preserve">[Magistrate Judge wrote: “Defendants' briefing discusses why Plaintiff's ADA and ADEA claims should be denied as to the individual </w:t>
      </w:r>
      <w:proofErr w:type="gramStart"/>
      <w:r w:rsidRPr="000408CA">
        <w:rPr>
          <w:rFonts w:ascii="Times New Roman" w:hAnsi="Times New Roman"/>
          <w:sz w:val="24"/>
          <w:szCs w:val="24"/>
        </w:rPr>
        <w:t>defendants,</w:t>
      </w:r>
      <w:proofErr w:type="gramEnd"/>
      <w:r w:rsidRPr="000408CA">
        <w:rPr>
          <w:rFonts w:ascii="Times New Roman" w:hAnsi="Times New Roman"/>
          <w:sz w:val="24"/>
          <w:szCs w:val="24"/>
        </w:rPr>
        <w:t xml:space="preserve"> the briefing fails to make </w:t>
      </w:r>
      <w:r w:rsidRPr="000408CA">
        <w:rPr>
          <w:rFonts w:ascii="Times New Roman" w:hAnsi="Times New Roman"/>
          <w:i/>
          <w:iCs/>
          <w:sz w:val="24"/>
          <w:szCs w:val="24"/>
        </w:rPr>
        <w:t>any</w:t>
      </w:r>
      <w:r w:rsidRPr="000408CA">
        <w:rPr>
          <w:rFonts w:ascii="Times New Roman" w:hAnsi="Times New Roman"/>
          <w:sz w:val="24"/>
          <w:szCs w:val="24"/>
        </w:rPr>
        <w:t xml:space="preserve"> argument as to why the ADA and ADEA claims against the </w:t>
      </w:r>
      <w:proofErr w:type="gramStart"/>
      <w:r w:rsidRPr="000408CA">
        <w:rPr>
          <w:rFonts w:ascii="Times New Roman" w:hAnsi="Times New Roman"/>
          <w:sz w:val="24"/>
          <w:szCs w:val="24"/>
        </w:rPr>
        <w:t>City</w:t>
      </w:r>
      <w:proofErr w:type="gramEnd"/>
      <w:r w:rsidRPr="000408CA">
        <w:rPr>
          <w:rFonts w:ascii="Times New Roman" w:hAnsi="Times New Roman"/>
          <w:sz w:val="24"/>
          <w:szCs w:val="24"/>
        </w:rPr>
        <w:t xml:space="preserve"> should be dismissed.”]</w:t>
      </w:r>
    </w:p>
    <w:p w14:paraId="138A079A" w14:textId="7CEC6054"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 xml:space="preserve"> </w:t>
      </w:r>
    </w:p>
    <w:p w14:paraId="1B17C02C" w14:textId="77777777" w:rsidR="000408CA" w:rsidRPr="000408CA" w:rsidRDefault="000408CA" w:rsidP="005C30A4">
      <w:pPr>
        <w:pStyle w:val="NoSpacing"/>
        <w:rPr>
          <w:rFonts w:ascii="Times New Roman" w:hAnsi="Times New Roman"/>
          <w:sz w:val="24"/>
          <w:szCs w:val="24"/>
        </w:rPr>
      </w:pPr>
    </w:p>
    <w:p w14:paraId="6AFB575A" w14:textId="77777777" w:rsidR="00113D38" w:rsidRPr="00113D38" w:rsidRDefault="00113D38" w:rsidP="00113D38">
      <w:pPr>
        <w:pStyle w:val="NoSpacing"/>
        <w:rPr>
          <w:rFonts w:ascii="Times New Roman" w:hAnsi="Times New Roman"/>
          <w:sz w:val="24"/>
          <w:szCs w:val="24"/>
        </w:rPr>
      </w:pPr>
      <w:r w:rsidRPr="00113D38">
        <w:rPr>
          <w:rFonts w:ascii="Times New Roman" w:hAnsi="Times New Roman"/>
          <w:sz w:val="24"/>
          <w:szCs w:val="24"/>
        </w:rPr>
        <w:t>HOLDING [by Magistrate Judge]</w:t>
      </w:r>
    </w:p>
    <w:p w14:paraId="47531487" w14:textId="77777777" w:rsidR="00113D38" w:rsidRPr="00113D38" w:rsidRDefault="00113D38" w:rsidP="00113D38">
      <w:pPr>
        <w:pStyle w:val="NoSpacing"/>
        <w:rPr>
          <w:rFonts w:ascii="Times New Roman" w:hAnsi="Times New Roman"/>
          <w:sz w:val="24"/>
          <w:szCs w:val="24"/>
        </w:rPr>
      </w:pPr>
    </w:p>
    <w:p w14:paraId="59474A32"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“Plaintiff pleads that his firing was in retaliation for complaining to Captain Oefinger in August 2023 and to the Fire Chief and Director of Human Resources in January 2024 about harassment, discrimination, and failure to train him related to his weight, age, and PTSD  …</w:t>
      </w:r>
    </w:p>
    <w:p w14:paraId="1EF64120" w14:textId="77777777" w:rsidR="00113D38" w:rsidRPr="00113D38" w:rsidRDefault="00113D38" w:rsidP="00113D38">
      <w:pPr>
        <w:pStyle w:val="NoSpacing"/>
        <w:ind w:left="720"/>
        <w:rPr>
          <w:rFonts w:ascii="Times New Roman" w:hAnsi="Times New Roman"/>
          <w:sz w:val="24"/>
          <w:szCs w:val="24"/>
        </w:rPr>
      </w:pPr>
    </w:p>
    <w:p w14:paraId="682D1DBF"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w:t>
      </w:r>
    </w:p>
    <w:p w14:paraId="25DB2046" w14:textId="77777777" w:rsidR="00113D38" w:rsidRPr="00113D38" w:rsidRDefault="00113D38" w:rsidP="00113D38">
      <w:pPr>
        <w:pStyle w:val="NoSpacing"/>
        <w:ind w:left="720"/>
        <w:rPr>
          <w:rFonts w:ascii="Times New Roman" w:hAnsi="Times New Roman"/>
          <w:sz w:val="24"/>
          <w:szCs w:val="24"/>
        </w:rPr>
      </w:pPr>
    </w:p>
    <w:p w14:paraId="6271E8E1" w14:textId="77777777" w:rsidR="00113D38" w:rsidRPr="00113D38" w:rsidRDefault="00113D38" w:rsidP="00113D38">
      <w:pPr>
        <w:pStyle w:val="NoSpacing"/>
        <w:ind w:left="720"/>
        <w:rPr>
          <w:rFonts w:ascii="Times New Roman" w:hAnsi="Times New Roman"/>
          <w:bCs/>
          <w:sz w:val="24"/>
          <w:szCs w:val="24"/>
        </w:rPr>
      </w:pPr>
      <w:r w:rsidRPr="00113D38">
        <w:rPr>
          <w:rFonts w:ascii="Times New Roman" w:hAnsi="Times New Roman"/>
          <w:sz w:val="24"/>
          <w:szCs w:val="24"/>
        </w:rPr>
        <w:t xml:space="preserve">E. </w:t>
      </w:r>
      <w:r w:rsidRPr="00113D38">
        <w:rPr>
          <w:rFonts w:ascii="Times New Roman" w:hAnsi="Times New Roman"/>
          <w:i/>
          <w:iCs/>
          <w:sz w:val="24"/>
          <w:szCs w:val="24"/>
        </w:rPr>
        <w:t>Plaintiff's ADA and ADEA Claims Against the City</w:t>
      </w:r>
      <w:r w:rsidRPr="00113D38">
        <w:rPr>
          <w:rFonts w:ascii="Times New Roman" w:hAnsi="Times New Roman"/>
          <w:sz w:val="24"/>
          <w:szCs w:val="24"/>
        </w:rPr>
        <w:t xml:space="preserve"> </w:t>
      </w:r>
    </w:p>
    <w:p w14:paraId="46FFFC92" w14:textId="77777777" w:rsidR="00113D38" w:rsidRPr="00113D38" w:rsidRDefault="00113D38" w:rsidP="00113D38">
      <w:pPr>
        <w:pStyle w:val="NoSpacing"/>
        <w:ind w:left="720"/>
        <w:rPr>
          <w:rFonts w:ascii="Times New Roman" w:hAnsi="Times New Roman"/>
          <w:sz w:val="24"/>
          <w:szCs w:val="24"/>
        </w:rPr>
      </w:pPr>
    </w:p>
    <w:p w14:paraId="6589380A"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 xml:space="preserve">Plaintiff alleges that he suffered a hostile work environment under the ADA and ADEA due to his age and his disability, and that he was discriminated against due to his weight and PTSD and retaliated against him for complaining about this discrimination. (Am. </w:t>
      </w:r>
      <w:proofErr w:type="spellStart"/>
      <w:r w:rsidRPr="00113D38">
        <w:rPr>
          <w:rFonts w:ascii="Times New Roman" w:hAnsi="Times New Roman"/>
          <w:sz w:val="24"/>
          <w:szCs w:val="24"/>
        </w:rPr>
        <w:t>Compl</w:t>
      </w:r>
      <w:proofErr w:type="spellEnd"/>
      <w:r w:rsidRPr="00113D38">
        <w:rPr>
          <w:rFonts w:ascii="Times New Roman" w:hAnsi="Times New Roman"/>
          <w:sz w:val="24"/>
          <w:szCs w:val="24"/>
        </w:rPr>
        <w:t xml:space="preserve">. [#26], at 5, 10-12, 16.) While Defendants' motion to dismiss is styled as a motion to dismiss all claims, and Defendants' briefing discusses why Plaintiff's ADA and ADEA claims should be denied as to the individual defendants, the briefing fails to make </w:t>
      </w:r>
      <w:r w:rsidRPr="00113D38">
        <w:rPr>
          <w:rFonts w:ascii="Times New Roman" w:hAnsi="Times New Roman"/>
          <w:i/>
          <w:iCs/>
          <w:sz w:val="24"/>
          <w:szCs w:val="24"/>
        </w:rPr>
        <w:t>any</w:t>
      </w:r>
      <w:r w:rsidRPr="00113D38">
        <w:rPr>
          <w:rFonts w:ascii="Times New Roman" w:hAnsi="Times New Roman"/>
          <w:sz w:val="24"/>
          <w:szCs w:val="24"/>
        </w:rPr>
        <w:t xml:space="preserve"> argument as to why the ADA and ADEA claims against the </w:t>
      </w:r>
      <w:proofErr w:type="gramStart"/>
      <w:r w:rsidRPr="00113D38">
        <w:rPr>
          <w:rFonts w:ascii="Times New Roman" w:hAnsi="Times New Roman"/>
          <w:sz w:val="24"/>
          <w:szCs w:val="24"/>
        </w:rPr>
        <w:t>City</w:t>
      </w:r>
      <w:proofErr w:type="gramEnd"/>
      <w:r w:rsidRPr="00113D38">
        <w:rPr>
          <w:rFonts w:ascii="Times New Roman" w:hAnsi="Times New Roman"/>
          <w:sz w:val="24"/>
          <w:szCs w:val="24"/>
        </w:rPr>
        <w:t xml:space="preserve"> should be dismissed. The Court should therefore deny the Defendants' motion to dismiss the ADA and ADEA claims against the </w:t>
      </w:r>
      <w:proofErr w:type="gramStart"/>
      <w:r w:rsidRPr="00113D38">
        <w:rPr>
          <w:rFonts w:ascii="Times New Roman" w:hAnsi="Times New Roman"/>
          <w:sz w:val="24"/>
          <w:szCs w:val="24"/>
        </w:rPr>
        <w:t>City</w:t>
      </w:r>
      <w:proofErr w:type="gramEnd"/>
      <w:r w:rsidRPr="00113D38">
        <w:rPr>
          <w:rFonts w:ascii="Times New Roman" w:hAnsi="Times New Roman"/>
          <w:sz w:val="24"/>
          <w:szCs w:val="24"/>
        </w:rPr>
        <w:t xml:space="preserve">. </w:t>
      </w:r>
    </w:p>
    <w:p w14:paraId="5C37D104" w14:textId="77777777" w:rsidR="00113D38" w:rsidRPr="00113D38" w:rsidRDefault="00113D38" w:rsidP="00113D38">
      <w:pPr>
        <w:pStyle w:val="NoSpacing"/>
        <w:ind w:left="720"/>
        <w:rPr>
          <w:rFonts w:ascii="Times New Roman" w:hAnsi="Times New Roman"/>
          <w:sz w:val="24"/>
          <w:szCs w:val="24"/>
        </w:rPr>
      </w:pPr>
    </w:p>
    <w:p w14:paraId="645A6A2E"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w:t>
      </w:r>
    </w:p>
    <w:p w14:paraId="7BA85DD8"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 xml:space="preserve">Defendants' motion to dismiss Plaintiff's discrimination and retaliation claims under the Americans with Disabilities Act and Age Discrimination in Employment Act against the City of Converse be </w:t>
      </w:r>
      <w:r w:rsidRPr="00113D38">
        <w:rPr>
          <w:rFonts w:ascii="Times New Roman" w:hAnsi="Times New Roman"/>
          <w:b/>
          <w:sz w:val="24"/>
          <w:szCs w:val="24"/>
        </w:rPr>
        <w:t>DENIED</w:t>
      </w:r>
      <w:r w:rsidRPr="00113D38">
        <w:rPr>
          <w:rFonts w:ascii="Times New Roman" w:hAnsi="Times New Roman"/>
          <w:sz w:val="24"/>
          <w:szCs w:val="24"/>
        </w:rPr>
        <w:t>. These claims should proceed to discovery.”</w:t>
      </w:r>
    </w:p>
    <w:p w14:paraId="05252055" w14:textId="77777777" w:rsidR="00113D38" w:rsidRPr="00113D38" w:rsidRDefault="00113D38" w:rsidP="00113D38">
      <w:pPr>
        <w:pStyle w:val="NoSpacing"/>
        <w:ind w:left="720"/>
        <w:rPr>
          <w:rFonts w:ascii="Times New Roman" w:hAnsi="Times New Roman"/>
          <w:sz w:val="24"/>
          <w:szCs w:val="24"/>
        </w:rPr>
      </w:pPr>
    </w:p>
    <w:p w14:paraId="7C560FE7" w14:textId="77777777" w:rsidR="00113D38" w:rsidRPr="00113D38" w:rsidRDefault="00113D38" w:rsidP="00113D38">
      <w:pPr>
        <w:pStyle w:val="NoSpacing"/>
        <w:rPr>
          <w:rFonts w:ascii="Times New Roman" w:hAnsi="Times New Roman"/>
          <w:sz w:val="24"/>
          <w:szCs w:val="24"/>
        </w:rPr>
      </w:pPr>
      <w:r w:rsidRPr="00113D38">
        <w:rPr>
          <w:rFonts w:ascii="Times New Roman" w:hAnsi="Times New Roman"/>
          <w:b/>
          <w:sz w:val="24"/>
          <w:szCs w:val="24"/>
        </w:rPr>
        <w:t xml:space="preserve">Legal Lesson Learned:  Internal complaints of hazing, training or otherwise should be promptly and thoroughly investigated, with a written report;  the report can then be filed with court if there is subsequent litigation. </w:t>
      </w:r>
    </w:p>
    <w:p w14:paraId="0CAD0583" w14:textId="77777777" w:rsidR="00113D38" w:rsidRPr="00113D38" w:rsidRDefault="00113D38" w:rsidP="00113D38">
      <w:pPr>
        <w:pStyle w:val="NoSpacing"/>
        <w:ind w:left="720"/>
        <w:rPr>
          <w:rFonts w:ascii="Times New Roman" w:hAnsi="Times New Roman"/>
          <w:sz w:val="24"/>
          <w:szCs w:val="24"/>
        </w:rPr>
      </w:pPr>
    </w:p>
    <w:p w14:paraId="0221B961" w14:textId="77777777" w:rsidR="001C7270" w:rsidRDefault="001C7270" w:rsidP="005C30A4">
      <w:pPr>
        <w:pStyle w:val="NoSpacing"/>
        <w:rPr>
          <w:rFonts w:ascii="Arial Black" w:hAnsi="Arial Black"/>
          <w:sz w:val="24"/>
          <w:szCs w:val="24"/>
        </w:rPr>
      </w:pPr>
    </w:p>
    <w:p w14:paraId="151EAC86" w14:textId="77777777" w:rsidR="001C7270" w:rsidRDefault="001C7270" w:rsidP="005C30A4">
      <w:pPr>
        <w:pStyle w:val="NoSpacing"/>
        <w:rPr>
          <w:rFonts w:ascii="Arial Black" w:hAnsi="Arial Black"/>
          <w:sz w:val="24"/>
          <w:szCs w:val="24"/>
        </w:rPr>
      </w:pPr>
    </w:p>
    <w:p w14:paraId="2557C397" w14:textId="62D15E61" w:rsidR="002077DA" w:rsidRDefault="002077DA" w:rsidP="005C30A4">
      <w:pPr>
        <w:pStyle w:val="NoSpacing"/>
        <w:rPr>
          <w:rFonts w:ascii="Arial Black" w:hAnsi="Arial Black"/>
          <w:sz w:val="24"/>
          <w:szCs w:val="24"/>
        </w:rPr>
      </w:pPr>
      <w:r>
        <w:rPr>
          <w:rFonts w:ascii="Arial Black" w:hAnsi="Arial Black"/>
          <w:sz w:val="24"/>
          <w:szCs w:val="24"/>
        </w:rPr>
        <w:t>9-49</w:t>
      </w:r>
    </w:p>
    <w:p w14:paraId="2D86FD95" w14:textId="77777777" w:rsidR="002077DA" w:rsidRDefault="002077DA" w:rsidP="005C30A4">
      <w:pPr>
        <w:pStyle w:val="NoSpacing"/>
        <w:rPr>
          <w:rFonts w:ascii="Arial Black" w:hAnsi="Arial Black"/>
          <w:sz w:val="24"/>
          <w:szCs w:val="24"/>
        </w:rPr>
      </w:pPr>
    </w:p>
    <w:p w14:paraId="42976820" w14:textId="77777777" w:rsidR="001E5BE7" w:rsidRPr="001A7E68" w:rsidRDefault="001E5BE7" w:rsidP="001E5BE7">
      <w:pPr>
        <w:pStyle w:val="NoSpacing"/>
        <w:rPr>
          <w:rFonts w:ascii="Arial Black" w:hAnsi="Arial Black"/>
          <w:b/>
          <w:sz w:val="28"/>
          <w:szCs w:val="28"/>
        </w:rPr>
      </w:pPr>
      <w:r>
        <w:rPr>
          <w:rFonts w:ascii="Arial Black" w:hAnsi="Arial Black"/>
          <w:b/>
          <w:sz w:val="28"/>
          <w:szCs w:val="28"/>
        </w:rPr>
        <w:t>NJ: BROKE FOOT – PROMOTION TO CAPT. DELAYED</w:t>
      </w:r>
    </w:p>
    <w:p w14:paraId="458270C3" w14:textId="77777777" w:rsidR="001E5BE7" w:rsidRDefault="001E5BE7" w:rsidP="001E5BE7">
      <w:pPr>
        <w:pStyle w:val="NoSpacing"/>
        <w:rPr>
          <w:b/>
        </w:rPr>
      </w:pPr>
    </w:p>
    <w:p w14:paraId="7075EBE4" w14:textId="77777777" w:rsidR="00896D75" w:rsidRPr="00896D75" w:rsidRDefault="00896D75" w:rsidP="00896D75">
      <w:pPr>
        <w:rPr>
          <w:rStyle w:val="Hyperlink"/>
          <w:rFonts w:ascii="Times New Roman" w:hAnsi="Times New Roman"/>
          <w:bCs/>
          <w:sz w:val="24"/>
          <w:szCs w:val="24"/>
        </w:rPr>
      </w:pPr>
      <w:r w:rsidRPr="00896D75">
        <w:rPr>
          <w:rFonts w:ascii="Times New Roman" w:hAnsi="Times New Roman"/>
          <w:sz w:val="24"/>
          <w:szCs w:val="24"/>
        </w:rPr>
        <w:t xml:space="preserve">On Dec. 10, 2024, in </w:t>
      </w:r>
      <w:r w:rsidRPr="00896D75">
        <w:rPr>
          <w:rFonts w:ascii="Times New Roman" w:hAnsi="Times New Roman"/>
          <w:sz w:val="24"/>
          <w:szCs w:val="24"/>
          <w:u w:val="single"/>
        </w:rPr>
        <w:t>Jersey City IAFF Local 1066 v. City of Jersey City</w:t>
      </w:r>
      <w:r w:rsidRPr="00896D75">
        <w:rPr>
          <w:rFonts w:ascii="Times New Roman" w:hAnsi="Times New Roman"/>
          <w:sz w:val="24"/>
          <w:szCs w:val="24"/>
        </w:rPr>
        <w:t xml:space="preserve">, the Superior Court of New Jersey, Appellate Division, held (3 to 0; unpublished decision) that trial court improperly dismissed the lawsuit.  The city delayed the promotion of a Captain, who broke his foot on duty, until he could return to work. </w:t>
      </w:r>
      <w:hyperlink r:id="rId1587" w:history="1">
        <w:r w:rsidRPr="00896D75">
          <w:rPr>
            <w:rStyle w:val="Hyperlink"/>
            <w:rFonts w:ascii="Times New Roman" w:hAnsi="Times New Roman"/>
            <w:sz w:val="24"/>
            <w:szCs w:val="24"/>
          </w:rPr>
          <w:t>https://www.njcourts.gov/system/files/court-opinions/2024/a0448-23.pdf</w:t>
        </w:r>
      </w:hyperlink>
    </w:p>
    <w:p w14:paraId="3D45724D" w14:textId="77777777" w:rsidR="00896D75" w:rsidRDefault="00896D75" w:rsidP="001E5BE7">
      <w:pPr>
        <w:pStyle w:val="NoSpacing"/>
        <w:rPr>
          <w:rFonts w:ascii="Times New Roman" w:hAnsi="Times New Roman"/>
          <w:sz w:val="24"/>
          <w:szCs w:val="24"/>
        </w:rPr>
      </w:pPr>
    </w:p>
    <w:p w14:paraId="382CBA36" w14:textId="2A8BED5C" w:rsidR="001E5BE7" w:rsidRPr="001E5BE7" w:rsidRDefault="001E5BE7" w:rsidP="001E5BE7">
      <w:pPr>
        <w:pStyle w:val="NoSpacing"/>
        <w:rPr>
          <w:rFonts w:ascii="Times New Roman" w:hAnsi="Times New Roman"/>
          <w:bCs/>
          <w:sz w:val="24"/>
          <w:szCs w:val="24"/>
        </w:rPr>
      </w:pPr>
      <w:r w:rsidRPr="001E5BE7">
        <w:rPr>
          <w:rFonts w:ascii="Times New Roman" w:hAnsi="Times New Roman"/>
          <w:sz w:val="24"/>
          <w:szCs w:val="24"/>
        </w:rPr>
        <w:t>The Court wrote:</w:t>
      </w:r>
    </w:p>
    <w:p w14:paraId="26F08D80" w14:textId="77777777" w:rsidR="001E5BE7" w:rsidRPr="001E5BE7" w:rsidRDefault="001E5BE7" w:rsidP="001E5BE7">
      <w:pPr>
        <w:pStyle w:val="NoSpacing"/>
        <w:rPr>
          <w:rFonts w:ascii="Times New Roman" w:hAnsi="Times New Roman"/>
          <w:b/>
          <w:sz w:val="24"/>
          <w:szCs w:val="24"/>
        </w:rPr>
      </w:pPr>
    </w:p>
    <w:p w14:paraId="75711FD8"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b/>
          <w:sz w:val="24"/>
          <w:szCs w:val="24"/>
        </w:rPr>
        <w:t>“</w:t>
      </w:r>
      <w:r w:rsidRPr="001E5BE7">
        <w:rPr>
          <w:rFonts w:ascii="Times New Roman" w:hAnsi="Times New Roman"/>
          <w:sz w:val="24"/>
          <w:szCs w:val="24"/>
        </w:rPr>
        <w:t>Plaintiff [IAFF Local 1066] became aware of the previously undisclosed promotion policy when firefighter Richard Mulligan was denied a promotion to captain while he</w:t>
      </w:r>
    </w:p>
    <w:p w14:paraId="0FDF9217"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sz w:val="24"/>
          <w:szCs w:val="24"/>
        </w:rPr>
        <w:t>was on injury leave. Mulligan broke his foot while on duty in June 2022. He was expecting a promotion to captain on July 1. However, when he arrived at the promotion ceremony with his family, he learned he would not be promoted because he was on injury leave….  Although he was eventually promoted, the delay affected his seniority status.</w:t>
      </w:r>
    </w:p>
    <w:p w14:paraId="0EF43022" w14:textId="77777777" w:rsidR="001E5BE7" w:rsidRPr="001E5BE7" w:rsidRDefault="001E5BE7" w:rsidP="001E5BE7">
      <w:pPr>
        <w:pStyle w:val="NoSpacing"/>
        <w:ind w:left="720"/>
        <w:rPr>
          <w:rFonts w:ascii="Times New Roman" w:hAnsi="Times New Roman"/>
          <w:bCs/>
          <w:sz w:val="24"/>
          <w:szCs w:val="24"/>
        </w:rPr>
      </w:pPr>
    </w:p>
    <w:p w14:paraId="48E74F89"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sz w:val="24"/>
          <w:szCs w:val="24"/>
        </w:rPr>
        <w:lastRenderedPageBreak/>
        <w:t>***</w:t>
      </w:r>
    </w:p>
    <w:p w14:paraId="6CE303AC"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sz w:val="24"/>
          <w:szCs w:val="24"/>
        </w:rPr>
        <w:t>Plaintiff alleges the promotion policy is facially discriminatory, and it has presented sufficient evidence of direct discrimination and retaliation to survive the dismissal motion</w:t>
      </w:r>
    </w:p>
    <w:p w14:paraId="5C10D392" w14:textId="4211171A" w:rsidR="001E5BE7" w:rsidRDefault="001E5BE7" w:rsidP="001E5BE7">
      <w:pPr>
        <w:pStyle w:val="NoSpacing"/>
        <w:ind w:left="720"/>
        <w:rPr>
          <w:bCs/>
        </w:rPr>
      </w:pPr>
      <w:r w:rsidRPr="001E5BE7">
        <w:rPr>
          <w:rFonts w:ascii="Times New Roman" w:hAnsi="Times New Roman"/>
          <w:sz w:val="24"/>
          <w:szCs w:val="24"/>
        </w:rPr>
        <w:t>regarding the promotion policy 11 A-0448-23. In giving plaintiff every reasonable inference of fact, as we must, we are satisfied plaintiff has presented sufficient facts to support its cause of action. Therefore, we vacate the order of dismissal</w:t>
      </w:r>
      <w:r>
        <w:t xml:space="preserve"> </w:t>
      </w:r>
    </w:p>
    <w:p w14:paraId="6B554DD2" w14:textId="77777777" w:rsidR="001E5BE7" w:rsidRDefault="001E5BE7" w:rsidP="005C30A4">
      <w:pPr>
        <w:pStyle w:val="NoSpacing"/>
        <w:rPr>
          <w:rFonts w:ascii="Arial Black" w:hAnsi="Arial Black"/>
          <w:sz w:val="24"/>
          <w:szCs w:val="24"/>
        </w:rPr>
      </w:pPr>
    </w:p>
    <w:p w14:paraId="49C39DDF" w14:textId="77777777" w:rsidR="001C7270" w:rsidRPr="001C7270" w:rsidRDefault="001C7270" w:rsidP="001C7270">
      <w:pPr>
        <w:pStyle w:val="NoSpacing"/>
        <w:rPr>
          <w:rFonts w:ascii="Times New Roman" w:hAnsi="Times New Roman"/>
          <w:bCs/>
          <w:sz w:val="24"/>
          <w:szCs w:val="24"/>
        </w:rPr>
      </w:pPr>
      <w:r w:rsidRPr="001C7270">
        <w:rPr>
          <w:rFonts w:ascii="Times New Roman" w:hAnsi="Times New Roman"/>
          <w:sz w:val="24"/>
          <w:szCs w:val="24"/>
        </w:rPr>
        <w:t>HOLDING:</w:t>
      </w:r>
    </w:p>
    <w:p w14:paraId="708C3F16" w14:textId="77777777" w:rsidR="001C7270" w:rsidRPr="001C7270" w:rsidRDefault="001C7270" w:rsidP="001C7270">
      <w:pPr>
        <w:pStyle w:val="NoSpacing"/>
        <w:rPr>
          <w:rFonts w:ascii="Times New Roman" w:hAnsi="Times New Roman"/>
          <w:bCs/>
          <w:sz w:val="24"/>
          <w:szCs w:val="24"/>
        </w:rPr>
      </w:pPr>
    </w:p>
    <w:p w14:paraId="4F5D2F58"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“Plaintiff alleged temporarily disabled firefighters are a protected class</w:t>
      </w:r>
    </w:p>
    <w:p w14:paraId="44EE22A7"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under LAD and entitled to an accommodation. Plaintiff further alleged that</w:t>
      </w:r>
    </w:p>
    <w:p w14:paraId="7EB438C8"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denying an eligible firefighter a promotion without considering an</w:t>
      </w:r>
    </w:p>
    <w:p w14:paraId="62F341DF"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accommodation is retaliatory and violates the LAD. Plaintiff alleges the</w:t>
      </w:r>
    </w:p>
    <w:p w14:paraId="2932F389"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promotion policy is facially discriminatory, and it has presented sufficient</w:t>
      </w:r>
    </w:p>
    <w:p w14:paraId="22B59B59"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evidence of direct discrimination and retaliation to survive the dismissal motion</w:t>
      </w:r>
    </w:p>
    <w:p w14:paraId="2C15713C" w14:textId="77777777" w:rsidR="001C7270" w:rsidRPr="001C7270" w:rsidRDefault="001C7270" w:rsidP="001C7270">
      <w:pPr>
        <w:pStyle w:val="NoSpacing"/>
        <w:ind w:left="720"/>
        <w:rPr>
          <w:rFonts w:ascii="Times New Roman" w:hAnsi="Times New Roman"/>
          <w:bCs/>
          <w:sz w:val="24"/>
          <w:szCs w:val="24"/>
        </w:rPr>
      </w:pPr>
      <w:r w:rsidRPr="001C7270">
        <w:rPr>
          <w:rFonts w:ascii="Times New Roman" w:hAnsi="Times New Roman"/>
          <w:sz w:val="24"/>
          <w:szCs w:val="24"/>
        </w:rPr>
        <w:t>regarding the promotion policy 11 A-0448-23.In giving plaintiff every reasonable inference of fact, as we must, we are satisfied plaintiff has presented sufficient facts to support its cause of action. Therefore, we vacate the order of dismissal.”</w:t>
      </w:r>
    </w:p>
    <w:p w14:paraId="4DA5E4B6" w14:textId="77777777" w:rsidR="001C7270" w:rsidRPr="001C7270" w:rsidRDefault="001C7270" w:rsidP="001C7270">
      <w:pPr>
        <w:pStyle w:val="NoSpacing"/>
        <w:ind w:left="720"/>
        <w:rPr>
          <w:rFonts w:ascii="Times New Roman" w:hAnsi="Times New Roman"/>
          <w:bCs/>
          <w:sz w:val="24"/>
          <w:szCs w:val="24"/>
        </w:rPr>
      </w:pPr>
    </w:p>
    <w:p w14:paraId="7043F2C1" w14:textId="77777777" w:rsidR="001C7270" w:rsidRPr="001C7270" w:rsidRDefault="001C7270" w:rsidP="001C7270">
      <w:pPr>
        <w:pStyle w:val="NoSpacing"/>
        <w:rPr>
          <w:rFonts w:ascii="Times New Roman" w:hAnsi="Times New Roman"/>
          <w:b/>
          <w:sz w:val="24"/>
          <w:szCs w:val="24"/>
        </w:rPr>
      </w:pPr>
      <w:r w:rsidRPr="001C7270">
        <w:rPr>
          <w:rFonts w:ascii="Times New Roman" w:hAnsi="Times New Roman"/>
          <w:b/>
          <w:sz w:val="24"/>
          <w:szCs w:val="24"/>
        </w:rPr>
        <w:t xml:space="preserve">Legal Lesson Learned: Delaying a promotion while firefighter heals from a broken foot seems unfair and illogical; pre-trial discovery will proceed. </w:t>
      </w:r>
    </w:p>
    <w:p w14:paraId="79C4D1BE" w14:textId="77777777" w:rsidR="001C7270" w:rsidRDefault="001C7270" w:rsidP="001C7270">
      <w:pPr>
        <w:rPr>
          <w:bCs/>
        </w:rPr>
      </w:pPr>
    </w:p>
    <w:p w14:paraId="4F96A9EE" w14:textId="77777777" w:rsidR="002077DA" w:rsidRDefault="002077DA" w:rsidP="005C30A4">
      <w:pPr>
        <w:pStyle w:val="NoSpacing"/>
        <w:rPr>
          <w:rFonts w:ascii="Arial Black" w:hAnsi="Arial Black"/>
          <w:sz w:val="24"/>
          <w:szCs w:val="24"/>
        </w:rPr>
      </w:pPr>
    </w:p>
    <w:p w14:paraId="7E4341EF" w14:textId="77777777" w:rsidR="002077DA" w:rsidRDefault="002077DA" w:rsidP="005C30A4">
      <w:pPr>
        <w:pStyle w:val="NoSpacing"/>
        <w:rPr>
          <w:rFonts w:ascii="Arial Black" w:hAnsi="Arial Black"/>
          <w:sz w:val="24"/>
          <w:szCs w:val="24"/>
        </w:rPr>
      </w:pPr>
    </w:p>
    <w:p w14:paraId="40779BBC" w14:textId="6201E88D" w:rsidR="008C116F" w:rsidRDefault="008C116F" w:rsidP="005C30A4">
      <w:pPr>
        <w:pStyle w:val="NoSpacing"/>
        <w:rPr>
          <w:rFonts w:ascii="Arial Black" w:hAnsi="Arial Black"/>
          <w:sz w:val="24"/>
          <w:szCs w:val="24"/>
        </w:rPr>
      </w:pPr>
      <w:r>
        <w:rPr>
          <w:rFonts w:ascii="Arial Black" w:hAnsi="Arial Black"/>
          <w:sz w:val="24"/>
          <w:szCs w:val="24"/>
        </w:rPr>
        <w:t>9-48</w:t>
      </w:r>
    </w:p>
    <w:p w14:paraId="2C0785E8" w14:textId="3D391069" w:rsidR="00034C75" w:rsidRDefault="00034C75" w:rsidP="00034C75">
      <w:pPr>
        <w:rPr>
          <w:rFonts w:ascii="Arial Black" w:hAnsi="Arial Black"/>
          <w:sz w:val="28"/>
          <w:szCs w:val="28"/>
        </w:rPr>
      </w:pPr>
      <w:r>
        <w:rPr>
          <w:rFonts w:ascii="Arial Black" w:hAnsi="Arial Black"/>
          <w:sz w:val="28"/>
          <w:szCs w:val="28"/>
        </w:rPr>
        <w:t xml:space="preserve">MA: NO ADA VIOL. - DOG BITE NOT “DISABILITY” - PROB. FF TERMINATED – FAILED SCBA AT TRAINING ACADEMY </w:t>
      </w:r>
    </w:p>
    <w:p w14:paraId="43E91DFD" w14:textId="77777777" w:rsidR="008C116F" w:rsidRPr="0066724F" w:rsidRDefault="008C116F" w:rsidP="008C116F">
      <w:pPr>
        <w:rPr>
          <w:rFonts w:ascii="Times New Roman" w:hAnsi="Times New Roman"/>
          <w:sz w:val="24"/>
          <w:szCs w:val="24"/>
        </w:rPr>
      </w:pPr>
      <w:r w:rsidRPr="0066724F">
        <w:rPr>
          <w:rFonts w:ascii="Times New Roman" w:hAnsi="Times New Roman"/>
          <w:sz w:val="24"/>
          <w:szCs w:val="24"/>
        </w:rPr>
        <w:t xml:space="preserve">On Nov. 21, 2024, in </w:t>
      </w:r>
      <w:r w:rsidRPr="0066724F">
        <w:rPr>
          <w:rFonts w:ascii="Times New Roman" w:hAnsi="Times New Roman"/>
          <w:sz w:val="24"/>
          <w:szCs w:val="24"/>
          <w:u w:val="single"/>
        </w:rPr>
        <w:t>James Fitzgerald v. City of Lawrence, et al</w:t>
      </w:r>
      <w:r w:rsidRPr="0066724F">
        <w:rPr>
          <w:rFonts w:ascii="Times New Roman" w:hAnsi="Times New Roman"/>
          <w:sz w:val="24"/>
          <w:szCs w:val="24"/>
        </w:rPr>
        <w:t xml:space="preserve">., United States Magistrate Judge Jennifer C. Boal, U.S. District Court for the District of Massachusetts, granted the City’s motion for summary judgment.  The Court wrote: “Fitzgerald argues that the puncture wound and resulting infection arising from the October 13, </w:t>
      </w:r>
      <w:proofErr w:type="gramStart"/>
      <w:r w:rsidRPr="0066724F">
        <w:rPr>
          <w:rFonts w:ascii="Times New Roman" w:hAnsi="Times New Roman"/>
          <w:sz w:val="24"/>
          <w:szCs w:val="24"/>
        </w:rPr>
        <w:t>2019</w:t>
      </w:r>
      <w:proofErr w:type="gramEnd"/>
      <w:r w:rsidRPr="0066724F">
        <w:rPr>
          <w:rFonts w:ascii="Times New Roman" w:hAnsi="Times New Roman"/>
          <w:sz w:val="24"/>
          <w:szCs w:val="24"/>
        </w:rPr>
        <w:t xml:space="preserve"> dog bite constituted an actual disability because they affected several major life activities, including the bending of his wrist and fingers, lifting, dressing himself, and carrying out household tasks such as cooking and laundry….  According to his own testimony, however, such limitations lasted, at most, three months…. In addition, it is undisputed that Fitzgerald was cleared to work without any restrictions after only fifteen days….  Given this record, therefore, no reasonable jury could conclude that Fitzgerald's puncture wound and resulting infection constituted an actual disability under the ADA or Chapter 151B.” </w:t>
      </w:r>
      <w:hyperlink r:id="rId1588" w:history="1">
        <w:r w:rsidRPr="0066724F">
          <w:rPr>
            <w:rStyle w:val="Hyperlink"/>
            <w:rFonts w:ascii="Times New Roman" w:hAnsi="Times New Roman"/>
            <w:sz w:val="24"/>
            <w:szCs w:val="24"/>
          </w:rPr>
          <w:t>https://casetext.com/case/fitzgerald-v-city-of-lawrence</w:t>
        </w:r>
      </w:hyperlink>
      <w:r w:rsidRPr="0066724F">
        <w:rPr>
          <w:rFonts w:ascii="Times New Roman" w:hAnsi="Times New Roman"/>
          <w:sz w:val="24"/>
          <w:szCs w:val="24"/>
        </w:rPr>
        <w:t xml:space="preserve"> </w:t>
      </w:r>
    </w:p>
    <w:p w14:paraId="3AD3F489" w14:textId="77777777" w:rsidR="00516941" w:rsidRPr="0066724F" w:rsidRDefault="00516941" w:rsidP="00516941">
      <w:pPr>
        <w:rPr>
          <w:rFonts w:ascii="Times New Roman" w:hAnsi="Times New Roman"/>
          <w:b/>
          <w:bCs/>
          <w:sz w:val="24"/>
          <w:szCs w:val="24"/>
        </w:rPr>
      </w:pPr>
      <w:r w:rsidRPr="0066724F">
        <w:rPr>
          <w:rFonts w:ascii="Times New Roman" w:hAnsi="Times New Roman"/>
          <w:b/>
          <w:sz w:val="24"/>
          <w:szCs w:val="24"/>
        </w:rPr>
        <w:t>Legal Lesson Learned: Poor performance at State Training Academy led to his termination.</w:t>
      </w:r>
    </w:p>
    <w:p w14:paraId="7059071B" w14:textId="77777777" w:rsidR="00516941" w:rsidRDefault="00516941" w:rsidP="00516941">
      <w:pPr>
        <w:pStyle w:val="NoSpacing"/>
        <w:rPr>
          <w:bCs/>
          <w:sz w:val="20"/>
          <w:szCs w:val="20"/>
        </w:rPr>
      </w:pPr>
    </w:p>
    <w:p w14:paraId="331C01F0" w14:textId="77777777" w:rsidR="008C116F" w:rsidRDefault="008C116F" w:rsidP="005C30A4">
      <w:pPr>
        <w:pStyle w:val="NoSpacing"/>
        <w:rPr>
          <w:rFonts w:ascii="Arial Black" w:hAnsi="Arial Black"/>
          <w:sz w:val="24"/>
          <w:szCs w:val="24"/>
        </w:rPr>
      </w:pPr>
    </w:p>
    <w:p w14:paraId="20FE2856" w14:textId="77777777" w:rsidR="008C116F" w:rsidRDefault="008C116F" w:rsidP="005C30A4">
      <w:pPr>
        <w:pStyle w:val="NoSpacing"/>
        <w:rPr>
          <w:rFonts w:ascii="Arial Black" w:hAnsi="Arial Black"/>
          <w:sz w:val="24"/>
          <w:szCs w:val="24"/>
        </w:rPr>
      </w:pPr>
    </w:p>
    <w:p w14:paraId="257F2B7B" w14:textId="77777777" w:rsidR="008C116F" w:rsidRDefault="008C116F" w:rsidP="005C30A4">
      <w:pPr>
        <w:pStyle w:val="NoSpacing"/>
        <w:rPr>
          <w:rFonts w:ascii="Arial Black" w:hAnsi="Arial Black"/>
          <w:sz w:val="24"/>
          <w:szCs w:val="24"/>
        </w:rPr>
      </w:pPr>
    </w:p>
    <w:p w14:paraId="6CCE7397" w14:textId="515E30B3" w:rsidR="00E43890" w:rsidRDefault="00E43890" w:rsidP="005C30A4">
      <w:pPr>
        <w:pStyle w:val="NoSpacing"/>
        <w:rPr>
          <w:rFonts w:ascii="Arial Black" w:hAnsi="Arial Black"/>
          <w:sz w:val="24"/>
          <w:szCs w:val="24"/>
        </w:rPr>
      </w:pPr>
      <w:r>
        <w:rPr>
          <w:rFonts w:ascii="Arial Black" w:hAnsi="Arial Black"/>
          <w:sz w:val="24"/>
          <w:szCs w:val="24"/>
        </w:rPr>
        <w:t>9-47</w:t>
      </w:r>
    </w:p>
    <w:p w14:paraId="6299F266" w14:textId="77777777" w:rsidR="00E43890" w:rsidRDefault="00E43890" w:rsidP="005C30A4">
      <w:pPr>
        <w:pStyle w:val="NoSpacing"/>
        <w:rPr>
          <w:rFonts w:ascii="Arial Black" w:hAnsi="Arial Black"/>
          <w:sz w:val="24"/>
          <w:szCs w:val="24"/>
        </w:rPr>
      </w:pPr>
    </w:p>
    <w:p w14:paraId="3D784247" w14:textId="77777777" w:rsidR="00E43890" w:rsidRPr="00B54163" w:rsidRDefault="00E43890" w:rsidP="00E43890">
      <w:pPr>
        <w:pStyle w:val="NoSpacing"/>
        <w:rPr>
          <w:rFonts w:ascii="Times New Roman" w:hAnsi="Times New Roman"/>
          <w:b/>
          <w:bCs/>
          <w:sz w:val="24"/>
          <w:szCs w:val="24"/>
        </w:rPr>
      </w:pPr>
      <w:r w:rsidRPr="00B54163">
        <w:rPr>
          <w:rFonts w:ascii="Times New Roman" w:hAnsi="Times New Roman"/>
          <w:b/>
          <w:bCs/>
          <w:sz w:val="24"/>
          <w:szCs w:val="24"/>
        </w:rPr>
        <w:lastRenderedPageBreak/>
        <w:t>CT: FF DISPUTE - PUT BOTH HANDS AROUND CO-WORKERS NECK – FIRED – NO ADA ACCOMODATION REQUIRED</w:t>
      </w:r>
    </w:p>
    <w:p w14:paraId="49936F77" w14:textId="77777777" w:rsidR="00E43890" w:rsidRPr="00B54163" w:rsidRDefault="00E43890" w:rsidP="00E43890">
      <w:pPr>
        <w:pStyle w:val="NoSpacing"/>
        <w:rPr>
          <w:rFonts w:ascii="Times New Roman" w:hAnsi="Times New Roman"/>
          <w:sz w:val="24"/>
          <w:szCs w:val="24"/>
        </w:rPr>
      </w:pPr>
    </w:p>
    <w:p w14:paraId="3828019F" w14:textId="77777777" w:rsidR="00E43890" w:rsidRPr="00B54163" w:rsidRDefault="00E43890" w:rsidP="00E43890">
      <w:pPr>
        <w:pStyle w:val="NoSpacing"/>
        <w:rPr>
          <w:rFonts w:ascii="Times New Roman" w:hAnsi="Times New Roman"/>
          <w:sz w:val="24"/>
          <w:szCs w:val="24"/>
        </w:rPr>
      </w:pPr>
      <w:r w:rsidRPr="00B54163">
        <w:rPr>
          <w:rFonts w:ascii="Times New Roman" w:hAnsi="Times New Roman"/>
          <w:sz w:val="24"/>
          <w:szCs w:val="24"/>
        </w:rPr>
        <w:t xml:space="preserve">On Sept. 16, 2024, in </w:t>
      </w:r>
      <w:r w:rsidRPr="00B54163">
        <w:rPr>
          <w:rFonts w:ascii="Times New Roman" w:hAnsi="Times New Roman"/>
          <w:sz w:val="24"/>
          <w:szCs w:val="24"/>
          <w:u w:val="single"/>
        </w:rPr>
        <w:t>Maurice Remillard v. Department of the Navy, the United States Merit System Protection Board</w:t>
      </w:r>
      <w:r w:rsidRPr="00B54163">
        <w:rPr>
          <w:rFonts w:ascii="Times New Roman" w:hAnsi="Times New Roman"/>
          <w:sz w:val="24"/>
          <w:szCs w:val="24"/>
        </w:rPr>
        <w:t xml:space="preserve"> (Washington, D.C.) held (3 to 0’ nonprecedential order): “The appellant has filed a petition for review of the initial decision, which affirmed the agency’s removal decision. *** After fully considering the filings in this appeal, we conclude that the petitioner</w:t>
      </w:r>
    </w:p>
    <w:p w14:paraId="71D2FEFC" w14:textId="77777777" w:rsidR="00E43890" w:rsidRPr="00B54163" w:rsidRDefault="00E43890" w:rsidP="00E43890">
      <w:pPr>
        <w:pStyle w:val="NoSpacing"/>
        <w:rPr>
          <w:rFonts w:ascii="Times New Roman" w:hAnsi="Times New Roman"/>
          <w:sz w:val="24"/>
          <w:szCs w:val="24"/>
        </w:rPr>
      </w:pPr>
      <w:r w:rsidRPr="00B54163">
        <w:rPr>
          <w:rFonts w:ascii="Times New Roman" w:hAnsi="Times New Roman"/>
          <w:sz w:val="24"/>
          <w:szCs w:val="24"/>
        </w:rPr>
        <w:t>has not established any basis under section 1201.115 for granting the petition for review. Therefore, we DENY the petition for review. Except as expressly MODIFIED to clearly state that the appellant was not a qualified individual with a disability and supplement the analysis of this finding, and to VACATE the administrative judge’s alternative basis for concluding that the appellant failed to prove that the agency denied him reasonable accommodation, we AFFIRM the</w:t>
      </w:r>
    </w:p>
    <w:p w14:paraId="468CFBAA" w14:textId="77777777" w:rsidR="00E43890" w:rsidRPr="00B54163" w:rsidRDefault="00E43890" w:rsidP="00E43890">
      <w:pPr>
        <w:pStyle w:val="NoSpacing"/>
        <w:rPr>
          <w:rFonts w:ascii="Times New Roman" w:hAnsi="Times New Roman"/>
          <w:sz w:val="24"/>
          <w:szCs w:val="24"/>
        </w:rPr>
      </w:pPr>
      <w:r w:rsidRPr="00B54163">
        <w:rPr>
          <w:rFonts w:ascii="Times New Roman" w:hAnsi="Times New Roman"/>
          <w:sz w:val="24"/>
          <w:szCs w:val="24"/>
        </w:rPr>
        <w:t>initial decision.”</w:t>
      </w:r>
    </w:p>
    <w:p w14:paraId="4463A330" w14:textId="299F74D0" w:rsidR="00E43890" w:rsidRPr="00B54163" w:rsidRDefault="00E43890" w:rsidP="00E43890">
      <w:pPr>
        <w:pStyle w:val="NoSpacing"/>
        <w:rPr>
          <w:rStyle w:val="Hyperlink"/>
          <w:rFonts w:ascii="Times New Roman" w:hAnsi="Times New Roman"/>
          <w:sz w:val="24"/>
          <w:szCs w:val="24"/>
        </w:rPr>
      </w:pPr>
      <w:hyperlink r:id="rId1589" w:history="1">
        <w:r w:rsidRPr="00B54163">
          <w:rPr>
            <w:rStyle w:val="Hyperlink"/>
            <w:rFonts w:ascii="Times New Roman" w:hAnsi="Times New Roman"/>
            <w:sz w:val="24"/>
            <w:szCs w:val="24"/>
          </w:rPr>
          <w:t>https://www.mspb.gov/decisions/nonprecedential/Remillard_MauricePH-0752-20-0259-I-1_Final_Order.pdf</w:t>
        </w:r>
      </w:hyperlink>
    </w:p>
    <w:p w14:paraId="585CA981" w14:textId="77777777" w:rsidR="00B54163" w:rsidRPr="00B54163" w:rsidRDefault="00B54163" w:rsidP="00E43890">
      <w:pPr>
        <w:pStyle w:val="NoSpacing"/>
        <w:rPr>
          <w:rStyle w:val="Hyperlink"/>
          <w:rFonts w:ascii="Times New Roman" w:hAnsi="Times New Roman"/>
          <w:sz w:val="24"/>
          <w:szCs w:val="24"/>
        </w:rPr>
      </w:pPr>
    </w:p>
    <w:p w14:paraId="2D85317B" w14:textId="77777777" w:rsidR="00B54163" w:rsidRPr="00B54163" w:rsidRDefault="00B54163" w:rsidP="00B54163">
      <w:pPr>
        <w:pStyle w:val="NoSpacing"/>
        <w:rPr>
          <w:rFonts w:ascii="Times New Roman" w:hAnsi="Times New Roman"/>
          <w:b/>
          <w:bCs/>
          <w:sz w:val="24"/>
          <w:szCs w:val="24"/>
        </w:rPr>
      </w:pPr>
      <w:r w:rsidRPr="00B54163">
        <w:rPr>
          <w:rFonts w:ascii="Times New Roman" w:hAnsi="Times New Roman"/>
          <w:b/>
          <w:sz w:val="24"/>
          <w:szCs w:val="24"/>
        </w:rPr>
        <w:t xml:space="preserve">Legal Lesson Learned: The firefighter failed to prove that his anxiety was so severe to constitute a disability under ADA. </w:t>
      </w:r>
    </w:p>
    <w:p w14:paraId="1E0128C1" w14:textId="77777777" w:rsidR="00B54163" w:rsidRDefault="00B54163" w:rsidP="00E43890">
      <w:pPr>
        <w:pStyle w:val="NoSpacing"/>
        <w:rPr>
          <w:rFonts w:ascii="Arial Black" w:hAnsi="Arial Black"/>
          <w:sz w:val="24"/>
          <w:szCs w:val="24"/>
        </w:rPr>
      </w:pPr>
    </w:p>
    <w:p w14:paraId="640E99FD" w14:textId="77777777" w:rsidR="00E43890" w:rsidRDefault="00E43890" w:rsidP="005C30A4">
      <w:pPr>
        <w:pStyle w:val="NoSpacing"/>
        <w:rPr>
          <w:rFonts w:ascii="Arial Black" w:hAnsi="Arial Black"/>
          <w:sz w:val="24"/>
          <w:szCs w:val="24"/>
        </w:rPr>
      </w:pPr>
    </w:p>
    <w:p w14:paraId="05B7B4F7" w14:textId="4735551A" w:rsidR="005E497B" w:rsidRDefault="005E497B" w:rsidP="005C30A4">
      <w:pPr>
        <w:pStyle w:val="NoSpacing"/>
        <w:rPr>
          <w:rFonts w:ascii="Arial Black" w:hAnsi="Arial Black"/>
          <w:sz w:val="24"/>
          <w:szCs w:val="24"/>
        </w:rPr>
      </w:pPr>
      <w:r>
        <w:rPr>
          <w:rFonts w:ascii="Arial Black" w:hAnsi="Arial Black"/>
          <w:sz w:val="24"/>
          <w:szCs w:val="24"/>
        </w:rPr>
        <w:t>9-46</w:t>
      </w:r>
    </w:p>
    <w:p w14:paraId="63576432" w14:textId="77777777" w:rsidR="00213946" w:rsidRDefault="00213946" w:rsidP="005C30A4">
      <w:pPr>
        <w:pStyle w:val="NoSpacing"/>
        <w:rPr>
          <w:rFonts w:ascii="Arial Black" w:hAnsi="Arial Black"/>
          <w:sz w:val="24"/>
          <w:szCs w:val="24"/>
        </w:rPr>
      </w:pPr>
    </w:p>
    <w:p w14:paraId="3AF55B4A" w14:textId="77777777" w:rsidR="00213946" w:rsidRPr="00BF002D" w:rsidRDefault="00213946" w:rsidP="00213946">
      <w:pPr>
        <w:rPr>
          <w:rFonts w:ascii="Arial Black" w:hAnsi="Arial Black"/>
          <w:b/>
          <w:bCs/>
          <w:sz w:val="28"/>
        </w:rPr>
      </w:pPr>
      <w:r>
        <w:rPr>
          <w:rFonts w:ascii="Arial Black" w:hAnsi="Arial Black"/>
          <w:b/>
          <w:bCs/>
          <w:sz w:val="28"/>
        </w:rPr>
        <w:t xml:space="preserve">U.S. SUP. CT: WILL HEAR APPEAL - FF WITH PARKINSON’S – RETIRED LESS 25 YRS - CITY INSUR. SUDSIDY ONLY 2 YRS </w:t>
      </w:r>
    </w:p>
    <w:p w14:paraId="71BBF4B4" w14:textId="77777777" w:rsidR="00213946" w:rsidRPr="00213946" w:rsidRDefault="00213946" w:rsidP="00213946">
      <w:pPr>
        <w:rPr>
          <w:rFonts w:ascii="Times New Roman" w:hAnsi="Times New Roman"/>
          <w:sz w:val="24"/>
          <w:szCs w:val="24"/>
        </w:rPr>
      </w:pPr>
      <w:r w:rsidRPr="00213946">
        <w:rPr>
          <w:rFonts w:ascii="Times New Roman" w:hAnsi="Times New Roman"/>
          <w:sz w:val="24"/>
          <w:szCs w:val="24"/>
        </w:rPr>
        <w:t xml:space="preserve">On June 24, 2024, in </w:t>
      </w:r>
      <w:r w:rsidRPr="00213946">
        <w:rPr>
          <w:rFonts w:ascii="Times New Roman" w:hAnsi="Times New Roman"/>
          <w:sz w:val="24"/>
          <w:szCs w:val="24"/>
          <w:u w:val="single"/>
        </w:rPr>
        <w:t>Karyn Stanley v. City of Sanford, Florida</w:t>
      </w:r>
      <w:r w:rsidRPr="00213946">
        <w:rPr>
          <w:rFonts w:ascii="Times New Roman" w:hAnsi="Times New Roman"/>
          <w:sz w:val="24"/>
          <w:szCs w:val="24"/>
        </w:rPr>
        <w:t xml:space="preserve">, the U.S. Supreme Court agreed to hear the appeal of the retired firefighter (this required votes of at least 4 of 9 Justices). </w:t>
      </w:r>
      <w:hyperlink r:id="rId1590" w:history="1">
        <w:r w:rsidRPr="00213946">
          <w:rPr>
            <w:rStyle w:val="Hyperlink"/>
            <w:rFonts w:ascii="Times New Roman" w:hAnsi="Times New Roman"/>
            <w:sz w:val="24"/>
            <w:szCs w:val="24"/>
          </w:rPr>
          <w:t>https://www.scotusblog.com/2024/06/court-adds-seven-cases-to-next-terms-docket/</w:t>
        </w:r>
      </w:hyperlink>
      <w:r w:rsidRPr="00213946">
        <w:rPr>
          <w:rFonts w:ascii="Times New Roman" w:hAnsi="Times New Roman"/>
          <w:sz w:val="24"/>
          <w:szCs w:val="24"/>
        </w:rPr>
        <w:t xml:space="preserve">. In 2003 the City </w:t>
      </w:r>
      <w:proofErr w:type="gramStart"/>
      <w:r w:rsidRPr="00213946">
        <w:rPr>
          <w:rFonts w:ascii="Times New Roman" w:hAnsi="Times New Roman"/>
          <w:sz w:val="24"/>
          <w:szCs w:val="24"/>
        </w:rPr>
        <w:t>in order to</w:t>
      </w:r>
      <w:proofErr w:type="gramEnd"/>
      <w:r w:rsidRPr="00213946">
        <w:rPr>
          <w:rFonts w:ascii="Times New Roman" w:hAnsi="Times New Roman"/>
          <w:sz w:val="24"/>
          <w:szCs w:val="24"/>
        </w:rPr>
        <w:t xml:space="preserve"> save money stopped paying retirees health insurance subsidy until age 65, unless the employee had 25 years of service, but if retired on disability they would pay for two years ($24,000 paid to plaintiff).   Under former City ordinance when she was hired in 1999, she would have received $216,000 in subsidy.   The plaintiff loss in U.S. District Court and in the 11</w:t>
      </w:r>
      <w:r w:rsidRPr="00213946">
        <w:rPr>
          <w:rFonts w:ascii="Times New Roman" w:hAnsi="Times New Roman"/>
          <w:sz w:val="24"/>
          <w:szCs w:val="24"/>
          <w:vertAlign w:val="superscript"/>
        </w:rPr>
        <w:t>th</w:t>
      </w:r>
      <w:r w:rsidRPr="00213946">
        <w:rPr>
          <w:rFonts w:ascii="Times New Roman" w:hAnsi="Times New Roman"/>
          <w:sz w:val="24"/>
          <w:szCs w:val="24"/>
        </w:rPr>
        <w:t xml:space="preserve"> Circuit, but U.S. Supreme Court may seek to resolve issue of whether a “former” employee is a “qualified individual” under ADA for loss of benefits (NO in 6</w:t>
      </w:r>
      <w:r w:rsidRPr="00213946">
        <w:rPr>
          <w:rFonts w:ascii="Times New Roman" w:hAnsi="Times New Roman"/>
          <w:sz w:val="24"/>
          <w:szCs w:val="24"/>
          <w:vertAlign w:val="superscript"/>
        </w:rPr>
        <w:t>th</w:t>
      </w:r>
      <w:r w:rsidRPr="00213946">
        <w:rPr>
          <w:rFonts w:ascii="Times New Roman" w:hAnsi="Times New Roman"/>
          <w:sz w:val="24"/>
          <w:szCs w:val="24"/>
        </w:rPr>
        <w:t>, 7</w:t>
      </w:r>
      <w:r w:rsidRPr="00213946">
        <w:rPr>
          <w:rFonts w:ascii="Times New Roman" w:hAnsi="Times New Roman"/>
          <w:sz w:val="24"/>
          <w:szCs w:val="24"/>
          <w:vertAlign w:val="superscript"/>
        </w:rPr>
        <w:t>th</w:t>
      </w:r>
      <w:r w:rsidRPr="00213946">
        <w:rPr>
          <w:rFonts w:ascii="Times New Roman" w:hAnsi="Times New Roman"/>
          <w:sz w:val="24"/>
          <w:szCs w:val="24"/>
        </w:rPr>
        <w:t>, 9</w:t>
      </w:r>
      <w:r w:rsidRPr="00213946">
        <w:rPr>
          <w:rFonts w:ascii="Times New Roman" w:hAnsi="Times New Roman"/>
          <w:sz w:val="24"/>
          <w:szCs w:val="24"/>
          <w:vertAlign w:val="superscript"/>
        </w:rPr>
        <w:t>th</w:t>
      </w:r>
      <w:r w:rsidRPr="00213946">
        <w:rPr>
          <w:rFonts w:ascii="Times New Roman" w:hAnsi="Times New Roman"/>
          <w:sz w:val="24"/>
          <w:szCs w:val="24"/>
        </w:rPr>
        <w:t>, 11</w:t>
      </w:r>
      <w:r w:rsidRPr="00213946">
        <w:rPr>
          <w:rFonts w:ascii="Times New Roman" w:hAnsi="Times New Roman"/>
          <w:sz w:val="24"/>
          <w:szCs w:val="24"/>
          <w:vertAlign w:val="superscript"/>
        </w:rPr>
        <w:t>th</w:t>
      </w:r>
      <w:r w:rsidRPr="00213946">
        <w:rPr>
          <w:rFonts w:ascii="Times New Roman" w:hAnsi="Times New Roman"/>
          <w:sz w:val="24"/>
          <w:szCs w:val="24"/>
        </w:rPr>
        <w:t xml:space="preserve"> Circuits; Yes in 2</w:t>
      </w:r>
      <w:r w:rsidRPr="00213946">
        <w:rPr>
          <w:rFonts w:ascii="Times New Roman" w:hAnsi="Times New Roman"/>
          <w:sz w:val="24"/>
          <w:szCs w:val="24"/>
          <w:vertAlign w:val="superscript"/>
        </w:rPr>
        <w:t>nd</w:t>
      </w:r>
      <w:r w:rsidRPr="00213946">
        <w:rPr>
          <w:rFonts w:ascii="Times New Roman" w:hAnsi="Times New Roman"/>
          <w:sz w:val="24"/>
          <w:szCs w:val="24"/>
        </w:rPr>
        <w:t xml:space="preserve"> and 3</w:t>
      </w:r>
      <w:r w:rsidRPr="00213946">
        <w:rPr>
          <w:rFonts w:ascii="Times New Roman" w:hAnsi="Times New Roman"/>
          <w:sz w:val="24"/>
          <w:szCs w:val="24"/>
          <w:vertAlign w:val="superscript"/>
        </w:rPr>
        <w:t>rd</w:t>
      </w:r>
      <w:r w:rsidRPr="00213946">
        <w:rPr>
          <w:rFonts w:ascii="Times New Roman" w:hAnsi="Times New Roman"/>
          <w:sz w:val="24"/>
          <w:szCs w:val="24"/>
        </w:rPr>
        <w:t xml:space="preserve"> Circuits).   </w:t>
      </w:r>
    </w:p>
    <w:p w14:paraId="52A7A0E4"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“In </w:t>
      </w:r>
      <w:hyperlink r:id="rId1591" w:history="1">
        <w:r w:rsidRPr="00213946">
          <w:rPr>
            <w:rStyle w:val="Hyperlink"/>
            <w:rFonts w:ascii="Times New Roman" w:hAnsi="Times New Roman"/>
            <w:i/>
            <w:iCs/>
            <w:sz w:val="24"/>
            <w:szCs w:val="24"/>
          </w:rPr>
          <w:t>Stanley v. City of Sanford, Fla.</w:t>
        </w:r>
      </w:hyperlink>
      <w:r w:rsidRPr="00213946">
        <w:rPr>
          <w:rFonts w:ascii="Times New Roman" w:hAnsi="Times New Roman"/>
          <w:sz w:val="24"/>
          <w:szCs w:val="24"/>
        </w:rPr>
        <w:t xml:space="preserve">, the justices will consider a question arising under the Americans with Disabilities Act: Does a former employee lose her right to sue over discrimination in the provision of benefits that she earned while she was employed? The question comes to the court in the case of Karyn Stanley, who worked as a firefighter for the city of Sanford, Fla., for more than two decades before Parkinson’s disease forced her to retire. She filed a lawsuit under the ADA alleging that the city’s benefits policy discriminated against disabled retirees, but the U.S. Court of Appeals for the 11th Circuit ruled that she was not a ‘qualified individual’ protected by the ADA because she was not currently employed by the city.”  </w:t>
      </w:r>
    </w:p>
    <w:p w14:paraId="03D41C47" w14:textId="77777777" w:rsidR="00213946" w:rsidRPr="00213946" w:rsidRDefault="00213946" w:rsidP="00213946">
      <w:pPr>
        <w:rPr>
          <w:rFonts w:ascii="Times New Roman" w:hAnsi="Times New Roman"/>
          <w:b/>
          <w:bCs/>
          <w:sz w:val="24"/>
          <w:szCs w:val="24"/>
        </w:rPr>
      </w:pPr>
      <w:r w:rsidRPr="00213946">
        <w:rPr>
          <w:rFonts w:ascii="Times New Roman" w:hAnsi="Times New Roman"/>
          <w:b/>
          <w:bCs/>
          <w:sz w:val="24"/>
          <w:szCs w:val="24"/>
        </w:rPr>
        <w:t>THE 11</w:t>
      </w:r>
      <w:r w:rsidRPr="00213946">
        <w:rPr>
          <w:rFonts w:ascii="Times New Roman" w:hAnsi="Times New Roman"/>
          <w:b/>
          <w:bCs/>
          <w:sz w:val="24"/>
          <w:szCs w:val="24"/>
          <w:vertAlign w:val="superscript"/>
        </w:rPr>
        <w:t>TH</w:t>
      </w:r>
      <w:r w:rsidRPr="00213946">
        <w:rPr>
          <w:rFonts w:ascii="Times New Roman" w:hAnsi="Times New Roman"/>
          <w:b/>
          <w:bCs/>
          <w:sz w:val="24"/>
          <w:szCs w:val="24"/>
        </w:rPr>
        <w:t xml:space="preserve"> CIRCUIT DECISION (Oct. 11, 2023): </w:t>
      </w:r>
      <w:hyperlink r:id="rId1592" w:history="1">
        <w:r w:rsidRPr="00213946">
          <w:rPr>
            <w:rStyle w:val="Hyperlink"/>
            <w:rFonts w:ascii="Times New Roman" w:hAnsi="Times New Roman"/>
            <w:b/>
            <w:bCs/>
            <w:sz w:val="24"/>
            <w:szCs w:val="24"/>
          </w:rPr>
          <w:t>https://caselaw.findlaw.com/court/us-11th-circuit/115273034.html</w:t>
        </w:r>
      </w:hyperlink>
      <w:r w:rsidRPr="00213946">
        <w:rPr>
          <w:rFonts w:ascii="Times New Roman" w:hAnsi="Times New Roman"/>
          <w:b/>
          <w:bCs/>
          <w:sz w:val="24"/>
          <w:szCs w:val="24"/>
        </w:rPr>
        <w:t xml:space="preserve"> </w:t>
      </w:r>
    </w:p>
    <w:p w14:paraId="7B4D9446" w14:textId="77777777" w:rsidR="00213946" w:rsidRPr="00213946" w:rsidRDefault="00213946" w:rsidP="00213946">
      <w:pPr>
        <w:ind w:left="720"/>
        <w:rPr>
          <w:rFonts w:ascii="Times New Roman" w:hAnsi="Times New Roman"/>
          <w:sz w:val="24"/>
          <w:szCs w:val="24"/>
        </w:rPr>
      </w:pPr>
      <w:r w:rsidRPr="00213946">
        <w:rPr>
          <w:rFonts w:ascii="Times New Roman" w:hAnsi="Times New Roman"/>
          <w:b/>
          <w:bCs/>
          <w:sz w:val="24"/>
          <w:szCs w:val="24"/>
        </w:rPr>
        <w:t>“</w:t>
      </w:r>
      <w:r w:rsidRPr="00213946">
        <w:rPr>
          <w:rFonts w:ascii="Times New Roman" w:hAnsi="Times New Roman"/>
          <w:sz w:val="24"/>
          <w:szCs w:val="24"/>
        </w:rPr>
        <w:t xml:space="preserve">When Stanley retired, she continued to receive free health insurance through the City. Under a policy in effect when Stanley first joined the fire department, employees retiring for qualifying disability </w:t>
      </w:r>
      <w:r w:rsidRPr="00213946">
        <w:rPr>
          <w:rFonts w:ascii="Times New Roman" w:hAnsi="Times New Roman"/>
          <w:sz w:val="24"/>
          <w:szCs w:val="24"/>
        </w:rPr>
        <w:lastRenderedPageBreak/>
        <w:t xml:space="preserve">reasons, such as Stanley's Parkinson's disease, received free health insurance until the age of 65. But, unbeknownst to Stanley, the </w:t>
      </w:r>
      <w:proofErr w:type="gramStart"/>
      <w:r w:rsidRPr="00213946">
        <w:rPr>
          <w:rFonts w:ascii="Times New Roman" w:hAnsi="Times New Roman"/>
          <w:sz w:val="24"/>
          <w:szCs w:val="24"/>
        </w:rPr>
        <w:t>City</w:t>
      </w:r>
      <w:proofErr w:type="gramEnd"/>
      <w:r w:rsidRPr="00213946">
        <w:rPr>
          <w:rFonts w:ascii="Times New Roman" w:hAnsi="Times New Roman"/>
          <w:sz w:val="24"/>
          <w:szCs w:val="24"/>
        </w:rPr>
        <w:t xml:space="preserve"> changed its benefits plan in 2003. Under the new plan, disability retirees such as Stanley are entitled to the health insurance subsidy for only twenty-four months after retiring. Stanley was thus set to become responsible for her own health insurance premiums beginning on December 1, 2020. She filed this suit in April 2020, seeking to establish her entitlement to the long-term healthcare subsidy.</w:t>
      </w:r>
    </w:p>
    <w:p w14:paraId="6A3E4261"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w:t>
      </w:r>
    </w:p>
    <w:p w14:paraId="7185744D"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The district court entered judgment for the </w:t>
      </w:r>
      <w:proofErr w:type="gramStart"/>
      <w:r w:rsidRPr="00213946">
        <w:rPr>
          <w:rFonts w:ascii="Times New Roman" w:hAnsi="Times New Roman"/>
          <w:sz w:val="24"/>
          <w:szCs w:val="24"/>
        </w:rPr>
        <w:t>City</w:t>
      </w:r>
      <w:proofErr w:type="gramEnd"/>
      <w:r w:rsidRPr="00213946">
        <w:rPr>
          <w:rFonts w:ascii="Times New Roman" w:hAnsi="Times New Roman"/>
          <w:sz w:val="24"/>
          <w:szCs w:val="24"/>
        </w:rPr>
        <w:t xml:space="preserve">. On a motion to dismiss, the district court concluded that Stanley's claims under the ADA, the Rehab Act, and the Florida Civil Rights Act were insufficiently pleaded. Relying on our decision in Gonzales, the district court reasoned that Stanley could not state a plausible disability discrimination claim because the discriminatory act alleged—the cessation of </w:t>
      </w:r>
      <w:proofErr w:type="gramStart"/>
      <w:r w:rsidRPr="00213946">
        <w:rPr>
          <w:rFonts w:ascii="Times New Roman" w:hAnsi="Times New Roman"/>
          <w:sz w:val="24"/>
          <w:szCs w:val="24"/>
        </w:rPr>
        <w:t>the health</w:t>
      </w:r>
      <w:proofErr w:type="gramEnd"/>
      <w:r w:rsidRPr="00213946">
        <w:rPr>
          <w:rFonts w:ascii="Times New Roman" w:hAnsi="Times New Roman"/>
          <w:sz w:val="24"/>
          <w:szCs w:val="24"/>
        </w:rPr>
        <w:t xml:space="preserve"> insurance premium payments—would occur while Stanley was no longer employed by the City.</w:t>
      </w:r>
    </w:p>
    <w:p w14:paraId="27CBB1D9"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w:t>
      </w:r>
    </w:p>
    <w:p w14:paraId="4C729FAF"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The City's benefits plan advances the legitimate governmental purpose of conserving funds. And its chosen method—decreasing the number of employees for whom the City subsidizes health insurance—is rationally related to that legitimate purpose. </w:t>
      </w:r>
      <w:proofErr w:type="gramStart"/>
      <w:r w:rsidRPr="00213946">
        <w:rPr>
          <w:rFonts w:ascii="Times New Roman" w:hAnsi="Times New Roman"/>
          <w:sz w:val="24"/>
          <w:szCs w:val="24"/>
        </w:rPr>
        <w:t>So</w:t>
      </w:r>
      <w:proofErr w:type="gramEnd"/>
      <w:r w:rsidRPr="00213946">
        <w:rPr>
          <w:rFonts w:ascii="Times New Roman" w:hAnsi="Times New Roman"/>
          <w:sz w:val="24"/>
          <w:szCs w:val="24"/>
        </w:rPr>
        <w:t xml:space="preserve"> there is no equal protection problem here.”</w:t>
      </w:r>
    </w:p>
    <w:p w14:paraId="699AD584" w14:textId="77777777" w:rsidR="00213946" w:rsidRPr="00213946" w:rsidRDefault="00213946" w:rsidP="00213946">
      <w:pPr>
        <w:rPr>
          <w:rFonts w:ascii="Times New Roman" w:hAnsi="Times New Roman"/>
          <w:b/>
          <w:bCs/>
          <w:sz w:val="24"/>
          <w:szCs w:val="24"/>
        </w:rPr>
      </w:pPr>
      <w:r w:rsidRPr="00213946">
        <w:rPr>
          <w:rFonts w:ascii="Times New Roman" w:hAnsi="Times New Roman"/>
          <w:b/>
          <w:bCs/>
          <w:sz w:val="24"/>
          <w:szCs w:val="24"/>
        </w:rPr>
        <w:t>Legal Lesson Learned: The U.S. Supreme Court can resolve the dispute among the Federal Circuit Courts, or Congress can pass clarifying amendment to ADA.</w:t>
      </w:r>
    </w:p>
    <w:p w14:paraId="73FE0F14"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Note: See briefs by </w:t>
      </w:r>
      <w:proofErr w:type="gramStart"/>
      <w:r w:rsidRPr="00213946">
        <w:rPr>
          <w:rFonts w:ascii="Times New Roman" w:hAnsi="Times New Roman"/>
          <w:sz w:val="24"/>
          <w:szCs w:val="24"/>
        </w:rPr>
        <w:t>IAFF, and</w:t>
      </w:r>
      <w:proofErr w:type="gramEnd"/>
      <w:r w:rsidRPr="00213946">
        <w:rPr>
          <w:rFonts w:ascii="Times New Roman" w:hAnsi="Times New Roman"/>
          <w:sz w:val="24"/>
          <w:szCs w:val="24"/>
        </w:rPr>
        <w:t xml:space="preserve"> AFL-CIO and others. </w:t>
      </w:r>
      <w:hyperlink r:id="rId1593" w:history="1">
        <w:r w:rsidRPr="00213946">
          <w:rPr>
            <w:rStyle w:val="Hyperlink"/>
            <w:rFonts w:ascii="Times New Roman" w:hAnsi="Times New Roman"/>
            <w:sz w:val="24"/>
            <w:szCs w:val="24"/>
          </w:rPr>
          <w:t>https://www.scotusblog.com/case-files/cases/stanley-v-city-of-sanford-florida/</w:t>
        </w:r>
      </w:hyperlink>
      <w:r w:rsidRPr="00213946">
        <w:rPr>
          <w:rFonts w:ascii="Times New Roman" w:hAnsi="Times New Roman"/>
          <w:sz w:val="24"/>
          <w:szCs w:val="24"/>
        </w:rPr>
        <w:t xml:space="preserve"> </w:t>
      </w:r>
    </w:p>
    <w:p w14:paraId="181D6697" w14:textId="77777777" w:rsidR="00213946" w:rsidRDefault="00213946" w:rsidP="005C30A4">
      <w:pPr>
        <w:pStyle w:val="NoSpacing"/>
        <w:rPr>
          <w:rFonts w:ascii="Arial Black" w:hAnsi="Arial Black"/>
          <w:sz w:val="24"/>
          <w:szCs w:val="24"/>
        </w:rPr>
      </w:pPr>
    </w:p>
    <w:p w14:paraId="45F8B73A" w14:textId="77777777" w:rsidR="005E497B" w:rsidRDefault="005E497B" w:rsidP="005C30A4">
      <w:pPr>
        <w:pStyle w:val="NoSpacing"/>
        <w:rPr>
          <w:rFonts w:ascii="Arial Black" w:hAnsi="Arial Black"/>
          <w:sz w:val="24"/>
          <w:szCs w:val="24"/>
        </w:rPr>
      </w:pPr>
    </w:p>
    <w:p w14:paraId="3F263331" w14:textId="77777777" w:rsidR="005E497B" w:rsidRDefault="005E497B" w:rsidP="005C30A4">
      <w:pPr>
        <w:pStyle w:val="NoSpacing"/>
        <w:rPr>
          <w:rFonts w:ascii="Arial Black" w:hAnsi="Arial Black"/>
          <w:sz w:val="24"/>
          <w:szCs w:val="24"/>
        </w:rPr>
      </w:pPr>
    </w:p>
    <w:p w14:paraId="671FE398" w14:textId="719A150B" w:rsidR="008D4459" w:rsidRDefault="008D4459" w:rsidP="005C30A4">
      <w:pPr>
        <w:pStyle w:val="NoSpacing"/>
        <w:rPr>
          <w:rFonts w:ascii="Arial Black" w:hAnsi="Arial Black"/>
          <w:sz w:val="24"/>
          <w:szCs w:val="24"/>
        </w:rPr>
      </w:pPr>
      <w:r>
        <w:rPr>
          <w:rFonts w:ascii="Arial Black" w:hAnsi="Arial Black"/>
          <w:sz w:val="24"/>
          <w:szCs w:val="24"/>
        </w:rPr>
        <w:t>9-</w:t>
      </w:r>
      <w:r w:rsidR="00264998">
        <w:rPr>
          <w:rFonts w:ascii="Arial Black" w:hAnsi="Arial Black"/>
          <w:sz w:val="24"/>
          <w:szCs w:val="24"/>
        </w:rPr>
        <w:t>45</w:t>
      </w:r>
    </w:p>
    <w:p w14:paraId="4E4AC632" w14:textId="77777777" w:rsidR="00264998" w:rsidRDefault="00264998" w:rsidP="005C30A4">
      <w:pPr>
        <w:pStyle w:val="NoSpacing"/>
        <w:rPr>
          <w:rFonts w:ascii="Arial Black" w:hAnsi="Arial Black"/>
          <w:sz w:val="24"/>
          <w:szCs w:val="24"/>
        </w:rPr>
      </w:pPr>
    </w:p>
    <w:p w14:paraId="0C959699" w14:textId="77777777" w:rsidR="00264998" w:rsidRDefault="00264998" w:rsidP="00264998">
      <w:pPr>
        <w:rPr>
          <w:rFonts w:ascii="Arial Black" w:hAnsi="Arial Black"/>
          <w:sz w:val="28"/>
          <w:szCs w:val="28"/>
        </w:rPr>
      </w:pPr>
      <w:r>
        <w:rPr>
          <w:rFonts w:ascii="Arial Black" w:hAnsi="Arial Black"/>
          <w:sz w:val="28"/>
          <w:szCs w:val="28"/>
        </w:rPr>
        <w:t>U.S. SUP. CT:  AGREES TO HEAR FF PARKINSON’S CASE – OCT. 2024 TERM - INSURANCE REDUCED 2-YRS – CIR. SPLIT</w:t>
      </w:r>
    </w:p>
    <w:p w14:paraId="61BF1697" w14:textId="77777777" w:rsidR="00264998" w:rsidRDefault="00264998" w:rsidP="00264998">
      <w:pPr>
        <w:rPr>
          <w:rFonts w:ascii="Times New Roman" w:hAnsi="Times New Roman"/>
          <w:sz w:val="24"/>
          <w:szCs w:val="24"/>
        </w:rPr>
      </w:pPr>
      <w:r>
        <w:rPr>
          <w:rFonts w:ascii="Times New Roman" w:hAnsi="Times New Roman"/>
          <w:sz w:val="24"/>
          <w:szCs w:val="24"/>
        </w:rPr>
        <w:t xml:space="preserve">On June 24, 2024, in </w:t>
      </w:r>
      <w:r>
        <w:rPr>
          <w:rFonts w:ascii="Times New Roman" w:hAnsi="Times New Roman"/>
          <w:sz w:val="24"/>
          <w:szCs w:val="24"/>
          <w:u w:val="single"/>
        </w:rPr>
        <w:t>Karyn D. Stanley v.  City of Sanford, Florida</w:t>
      </w:r>
      <w:r>
        <w:rPr>
          <w:rFonts w:ascii="Times New Roman" w:hAnsi="Times New Roman"/>
          <w:sz w:val="24"/>
          <w:szCs w:val="24"/>
        </w:rPr>
        <w:t xml:space="preserve">, the U.S. Supreme Court granted firefighter’s petition for writ of certiorari (requires 4 votes of 9 Justices) and will schedule oral arguments during next Term. </w:t>
      </w:r>
      <w:hyperlink r:id="rId1594" w:history="1">
        <w:r>
          <w:rPr>
            <w:rStyle w:val="Hyperlink"/>
            <w:rFonts w:ascii="Times New Roman" w:hAnsi="Times New Roman"/>
            <w:sz w:val="24"/>
            <w:szCs w:val="24"/>
          </w:rPr>
          <w:t>https://www.supremecourt.gov/orders/courtorders/062424zor_e18f.pdf</w:t>
        </w:r>
      </w:hyperlink>
      <w:r>
        <w:rPr>
          <w:rFonts w:ascii="Times New Roman" w:hAnsi="Times New Roman"/>
          <w:sz w:val="24"/>
          <w:szCs w:val="24"/>
        </w:rPr>
        <w:t xml:space="preserve">.  Lt. Stanley retired on disability in 2018; she then learned that City in 2003 had reduced free medical insurance for disabled employees to two years coverage (was previously provided until age 65).  Her lawsuit was dismissed by U.S. District Court judge, and the dismissal was upheld on Oct. 11, </w:t>
      </w:r>
      <w:proofErr w:type="gramStart"/>
      <w:r>
        <w:rPr>
          <w:rFonts w:ascii="Times New Roman" w:hAnsi="Times New Roman"/>
          <w:sz w:val="24"/>
          <w:szCs w:val="24"/>
        </w:rPr>
        <w:t>2023</w:t>
      </w:r>
      <w:proofErr w:type="gramEnd"/>
      <w:r>
        <w:rPr>
          <w:rFonts w:ascii="Times New Roman" w:hAnsi="Times New Roman"/>
          <w:sz w:val="24"/>
          <w:szCs w:val="24"/>
        </w:rPr>
        <w:t xml:space="preserve"> by a 3-judge panel of 11</w:t>
      </w:r>
      <w:r>
        <w:rPr>
          <w:rFonts w:ascii="Times New Roman" w:hAnsi="Times New Roman"/>
          <w:sz w:val="24"/>
          <w:szCs w:val="24"/>
          <w:vertAlign w:val="superscript"/>
        </w:rPr>
        <w:t>th</w:t>
      </w:r>
      <w:r>
        <w:rPr>
          <w:rFonts w:ascii="Times New Roman" w:hAnsi="Times New Roman"/>
          <w:sz w:val="24"/>
          <w:szCs w:val="24"/>
        </w:rPr>
        <w:t xml:space="preserve"> Circuit (Atlanta) – their strict review of ADA statute language appears to limit lawsuits to only current employees and applicants. Other federal Circuits (2</w:t>
      </w:r>
      <w:r>
        <w:rPr>
          <w:rFonts w:ascii="Times New Roman" w:hAnsi="Times New Roman"/>
          <w:sz w:val="24"/>
          <w:szCs w:val="24"/>
          <w:vertAlign w:val="superscript"/>
        </w:rPr>
        <w:t>nd</w:t>
      </w:r>
      <w:r>
        <w:rPr>
          <w:rFonts w:ascii="Times New Roman" w:hAnsi="Times New Roman"/>
          <w:sz w:val="24"/>
          <w:szCs w:val="24"/>
        </w:rPr>
        <w:t xml:space="preserve"> &amp; 3</w:t>
      </w:r>
      <w:r>
        <w:rPr>
          <w:rFonts w:ascii="Times New Roman" w:hAnsi="Times New Roman"/>
          <w:sz w:val="24"/>
          <w:szCs w:val="24"/>
          <w:vertAlign w:val="superscript"/>
        </w:rPr>
        <w:t>rd</w:t>
      </w:r>
      <w:r>
        <w:rPr>
          <w:rFonts w:ascii="Times New Roman" w:hAnsi="Times New Roman"/>
          <w:sz w:val="24"/>
          <w:szCs w:val="24"/>
        </w:rPr>
        <w:t xml:space="preserve"> Circuits) disagree and have held that retirees can also sue under ADA. </w:t>
      </w:r>
      <w:hyperlink r:id="rId1595" w:history="1">
        <w:r>
          <w:rPr>
            <w:rStyle w:val="Hyperlink"/>
            <w:rFonts w:ascii="Times New Roman" w:hAnsi="Times New Roman"/>
            <w:sz w:val="24"/>
            <w:szCs w:val="24"/>
          </w:rPr>
          <w:t>https://cases.justia.com/federal/appellate-courts/ca11/22-10002/22-10002-2023-10-11.pdf?ts=1697045568</w:t>
        </w:r>
      </w:hyperlink>
      <w:r>
        <w:rPr>
          <w:rFonts w:ascii="Times New Roman" w:hAnsi="Times New Roman"/>
          <w:sz w:val="24"/>
          <w:szCs w:val="24"/>
        </w:rPr>
        <w:t xml:space="preserve"> </w:t>
      </w:r>
    </w:p>
    <w:p w14:paraId="7AD282BB" w14:textId="77777777" w:rsidR="00264998" w:rsidRDefault="00264998" w:rsidP="00264998">
      <w:pPr>
        <w:pStyle w:val="NoSpacing"/>
        <w:ind w:left="720"/>
        <w:rPr>
          <w:rFonts w:ascii="Times New Roman" w:hAnsi="Times New Roman"/>
          <w:sz w:val="24"/>
          <w:szCs w:val="24"/>
        </w:rPr>
      </w:pPr>
    </w:p>
    <w:p w14:paraId="78EE4501" w14:textId="77777777" w:rsidR="00264998" w:rsidRDefault="00264998" w:rsidP="00264998">
      <w:pPr>
        <w:rPr>
          <w:rFonts w:ascii="Times New Roman" w:hAnsi="Times New Roman"/>
          <w:sz w:val="24"/>
          <w:szCs w:val="24"/>
        </w:rPr>
      </w:pPr>
      <w:r>
        <w:rPr>
          <w:rFonts w:ascii="Times New Roman" w:hAnsi="Times New Roman"/>
          <w:sz w:val="24"/>
          <w:szCs w:val="24"/>
        </w:rPr>
        <w:t>11</w:t>
      </w:r>
      <w:r>
        <w:rPr>
          <w:rFonts w:ascii="Times New Roman" w:hAnsi="Times New Roman"/>
          <w:sz w:val="24"/>
          <w:szCs w:val="24"/>
          <w:vertAlign w:val="superscript"/>
        </w:rPr>
        <w:t>th</w:t>
      </w:r>
      <w:r>
        <w:rPr>
          <w:rFonts w:ascii="Times New Roman" w:hAnsi="Times New Roman"/>
          <w:sz w:val="24"/>
          <w:szCs w:val="24"/>
        </w:rPr>
        <w:t xml:space="preserve"> CIRCUIT HELD:</w:t>
      </w:r>
    </w:p>
    <w:p w14:paraId="67DA27FA"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lastRenderedPageBreak/>
        <w:t>“We believe Gonzales [v. Garner Food Services, Inc., 89 F.3d 1523 (11th Cir. 1996)] is still good law. We thus reaffirm that a Title I plaintiff must ‘hold[] or desire[]’ an employment position with the defendant at the time of the defendant’s allegedly wrong-</w:t>
      </w:r>
    </w:p>
    <w:p w14:paraId="373CA253" w14:textId="77777777" w:rsidR="00264998" w:rsidRDefault="00264998" w:rsidP="00264998">
      <w:pPr>
        <w:pStyle w:val="NoSpacing"/>
        <w:ind w:left="720"/>
        <w:rPr>
          <w:rFonts w:ascii="Times New Roman" w:hAnsi="Times New Roman"/>
          <w:sz w:val="24"/>
          <w:szCs w:val="24"/>
        </w:rPr>
      </w:pPr>
      <w:proofErr w:type="spellStart"/>
      <w:r>
        <w:rPr>
          <w:rFonts w:ascii="Times New Roman" w:hAnsi="Times New Roman"/>
          <w:sz w:val="24"/>
          <w:szCs w:val="24"/>
        </w:rPr>
        <w:t>ful</w:t>
      </w:r>
      <w:proofErr w:type="spellEnd"/>
      <w:r>
        <w:rPr>
          <w:rFonts w:ascii="Times New Roman" w:hAnsi="Times New Roman"/>
          <w:sz w:val="24"/>
          <w:szCs w:val="24"/>
        </w:rPr>
        <w:t xml:space="preserve"> act. 42 U.S.C. § 12111(8). Because plaintiff Karyn Stanley is suing over the termination of retirement benefits when she neither held nor desired to hold an employment position with her former employer, the City of Sanford, Gonzales bars her claim. We therefore affirm the district court.</w:t>
      </w:r>
    </w:p>
    <w:p w14:paraId="2C2C1156" w14:textId="77777777" w:rsidR="00264998" w:rsidRDefault="00264998" w:rsidP="00264998">
      <w:pPr>
        <w:pStyle w:val="NoSpacing"/>
        <w:ind w:left="720"/>
        <w:rPr>
          <w:rFonts w:ascii="Times New Roman" w:hAnsi="Times New Roman"/>
          <w:sz w:val="24"/>
          <w:szCs w:val="24"/>
        </w:rPr>
      </w:pPr>
    </w:p>
    <w:p w14:paraId="31A1D926"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w:t>
      </w:r>
    </w:p>
    <w:p w14:paraId="29145688"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 xml:space="preserve">Title I’s anti-discrimination provision is not afflicted with any such ambiguity. There is a clear temporal qualifier in Title I: Only someone ‘who, with or without reasonable accommodation, can perform the essential functions of the employment position that such individual holds or </w:t>
      </w:r>
      <w:proofErr w:type="gramStart"/>
      <w:r>
        <w:rPr>
          <w:rFonts w:ascii="Times New Roman" w:hAnsi="Times New Roman"/>
          <w:sz w:val="24"/>
          <w:szCs w:val="24"/>
        </w:rPr>
        <w:t>desires’</w:t>
      </w:r>
      <w:proofErr w:type="gramEnd"/>
      <w:r>
        <w:rPr>
          <w:rFonts w:ascii="Times New Roman" w:hAnsi="Times New Roman"/>
          <w:sz w:val="24"/>
          <w:szCs w:val="24"/>
        </w:rPr>
        <w:t xml:space="preserve"> is protected from disability discrimination. 42 U.S.C. §§ 12111(8) (emphases added), 12112(a); see also </w:t>
      </w:r>
      <w:proofErr w:type="spellStart"/>
      <w:r>
        <w:rPr>
          <w:rFonts w:ascii="Times New Roman" w:hAnsi="Times New Roman"/>
          <w:sz w:val="24"/>
          <w:szCs w:val="24"/>
        </w:rPr>
        <w:t>Slomcenski</w:t>
      </w:r>
      <w:proofErr w:type="spellEnd"/>
      <w:r>
        <w:rPr>
          <w:rFonts w:ascii="Times New Roman" w:hAnsi="Times New Roman"/>
          <w:sz w:val="24"/>
          <w:szCs w:val="24"/>
        </w:rPr>
        <w:t xml:space="preserve"> v. Citibank, N.A., 432 F.3d 1271, 1280–81 (11th Cir. 2005). ‘Can,’ ‘holds,’ and ‘desires’ are in the present tense. So, to be a victim of unlawful disability discrimination, the plaintiff must desire or already have a job with the defendant at the time the defendant commits the discriminatory </w:t>
      </w:r>
      <w:proofErr w:type="gramStart"/>
      <w:r>
        <w:rPr>
          <w:rFonts w:ascii="Times New Roman" w:hAnsi="Times New Roman"/>
          <w:sz w:val="24"/>
          <w:szCs w:val="24"/>
        </w:rPr>
        <w:t>act.”</w:t>
      </w:r>
      <w:proofErr w:type="gramEnd"/>
      <w:r>
        <w:rPr>
          <w:rFonts w:ascii="Times New Roman" w:hAnsi="Times New Roman"/>
          <w:sz w:val="24"/>
          <w:szCs w:val="24"/>
        </w:rPr>
        <w:t xml:space="preserve"> </w:t>
      </w:r>
      <w:hyperlink r:id="rId1596" w:history="1">
        <w:r>
          <w:rPr>
            <w:rStyle w:val="Hyperlink"/>
            <w:rFonts w:ascii="Times New Roman" w:hAnsi="Times New Roman"/>
            <w:sz w:val="24"/>
            <w:szCs w:val="24"/>
          </w:rPr>
          <w:t>https://cases.justia.com/federal/appellate-courts/ca11/22-10002/22-10002-2023-10-11.pdf?ts=1697045568</w:t>
        </w:r>
      </w:hyperlink>
      <w:r>
        <w:rPr>
          <w:rFonts w:ascii="Times New Roman" w:hAnsi="Times New Roman"/>
          <w:sz w:val="24"/>
          <w:szCs w:val="24"/>
        </w:rPr>
        <w:t xml:space="preserve"> </w:t>
      </w:r>
    </w:p>
    <w:p w14:paraId="0C485D13" w14:textId="77777777" w:rsidR="00264998" w:rsidRDefault="00264998" w:rsidP="00264998">
      <w:pPr>
        <w:rPr>
          <w:rFonts w:ascii="Times New Roman" w:hAnsi="Times New Roman"/>
          <w:sz w:val="24"/>
          <w:szCs w:val="24"/>
        </w:rPr>
      </w:pPr>
    </w:p>
    <w:p w14:paraId="4F27682F" w14:textId="77777777" w:rsidR="00264998" w:rsidRDefault="00264998" w:rsidP="00264998">
      <w:pPr>
        <w:rPr>
          <w:rFonts w:ascii="Times New Roman" w:hAnsi="Times New Roman"/>
          <w:sz w:val="24"/>
          <w:szCs w:val="24"/>
        </w:rPr>
      </w:pPr>
      <w:r>
        <w:rPr>
          <w:rFonts w:ascii="Times New Roman" w:hAnsi="Times New Roman"/>
          <w:sz w:val="24"/>
          <w:szCs w:val="24"/>
        </w:rPr>
        <w:t>FACTS:</w:t>
      </w:r>
    </w:p>
    <w:p w14:paraId="35D4BB73"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“Karyn Stanley became a firefighter for the City of Sanford, Florida, in 1999. She served the City in that capacity for about fifteen years until she was diagnosed with Parkinson’s disease in 2016. Although she managed to continue working as a firefighter for</w:t>
      </w:r>
    </w:p>
    <w:p w14:paraId="3D280597" w14:textId="77777777" w:rsidR="00264998" w:rsidRDefault="00264998" w:rsidP="00264998">
      <w:pPr>
        <w:pStyle w:val="NoSpacing"/>
        <w:ind w:left="720"/>
        <w:rPr>
          <w:rFonts w:ascii="Times New Roman" w:hAnsi="Times New Roman"/>
          <w:sz w:val="24"/>
          <w:szCs w:val="24"/>
        </w:rPr>
      </w:pPr>
      <w:proofErr w:type="gramStart"/>
      <w:r>
        <w:rPr>
          <w:rFonts w:ascii="Times New Roman" w:hAnsi="Times New Roman"/>
          <w:sz w:val="24"/>
          <w:szCs w:val="24"/>
        </w:rPr>
        <w:t>about</w:t>
      </w:r>
      <w:proofErr w:type="gramEnd"/>
      <w:r>
        <w:rPr>
          <w:rFonts w:ascii="Times New Roman" w:hAnsi="Times New Roman"/>
          <w:sz w:val="24"/>
          <w:szCs w:val="24"/>
        </w:rPr>
        <w:t xml:space="preserve"> two more years, her disease and accompanying physical disabilities eventually left her incapable of performing her job. So, at the age of 47, Stanley took disability retirement on November 1, 2018. When Stanley retired, she continued to receive free health insurance through the City. Under a policy in effect when Stanley first joined the fire department, employees retiring for qualifying disability reasons, such as Stanley’s Parkinson’s disease, received free health insurance until the age of 65. But, unbeknownst to Stanley, the </w:t>
      </w:r>
      <w:proofErr w:type="gramStart"/>
      <w:r>
        <w:rPr>
          <w:rFonts w:ascii="Times New Roman" w:hAnsi="Times New Roman"/>
          <w:sz w:val="24"/>
          <w:szCs w:val="24"/>
        </w:rPr>
        <w:t>City</w:t>
      </w:r>
      <w:proofErr w:type="gramEnd"/>
      <w:r>
        <w:rPr>
          <w:rFonts w:ascii="Times New Roman" w:hAnsi="Times New Roman"/>
          <w:sz w:val="24"/>
          <w:szCs w:val="24"/>
        </w:rPr>
        <w:t xml:space="preserve"> changed its benefits plan in 2003. Under the new plan, disability retirees such as Stanley are entitled to the health insurance subsidy for only twenty-four months after retiring. Stanley was thus set to become responsible for her own health insurance premiums beginning on December 1, 2020. She filed this suit in April 2020, seeking to establish her entitlement to the long-term healthcare subsidy.”</w:t>
      </w:r>
    </w:p>
    <w:p w14:paraId="436B5164" w14:textId="77777777" w:rsidR="00264998" w:rsidRDefault="00264998" w:rsidP="00264998">
      <w:pPr>
        <w:pStyle w:val="NoSpacing"/>
        <w:rPr>
          <w:rFonts w:ascii="Times New Roman" w:hAnsi="Times New Roman"/>
          <w:b/>
          <w:bCs/>
          <w:sz w:val="24"/>
          <w:szCs w:val="24"/>
        </w:rPr>
      </w:pPr>
    </w:p>
    <w:p w14:paraId="071E3383" w14:textId="77777777" w:rsidR="00264998" w:rsidRDefault="00264998" w:rsidP="00264998">
      <w:pPr>
        <w:pStyle w:val="NoSpacing"/>
        <w:rPr>
          <w:rFonts w:ascii="Times New Roman" w:hAnsi="Times New Roman"/>
          <w:b/>
          <w:bCs/>
          <w:sz w:val="24"/>
          <w:szCs w:val="24"/>
        </w:rPr>
      </w:pPr>
      <w:r>
        <w:rPr>
          <w:rFonts w:ascii="Times New Roman" w:hAnsi="Times New Roman"/>
          <w:b/>
          <w:bCs/>
          <w:sz w:val="24"/>
          <w:szCs w:val="24"/>
        </w:rPr>
        <w:t xml:space="preserve">Legal Lesson Learned: The U.S. Supreme Court has agreed to hear this case; presumably to resolve the split in Circuit Court decisions on whether ADA protects retired disabled employees when the employer changes pension benefits. </w:t>
      </w:r>
    </w:p>
    <w:p w14:paraId="2CAAD553" w14:textId="77777777" w:rsidR="00264998" w:rsidRDefault="00264998" w:rsidP="00264998">
      <w:pPr>
        <w:pStyle w:val="NoSpacing"/>
        <w:rPr>
          <w:rFonts w:ascii="Times New Roman" w:hAnsi="Times New Roman"/>
          <w:sz w:val="24"/>
          <w:szCs w:val="24"/>
        </w:rPr>
      </w:pPr>
    </w:p>
    <w:p w14:paraId="30C6957D" w14:textId="77777777" w:rsidR="00264998" w:rsidRDefault="00264998" w:rsidP="00264998">
      <w:pPr>
        <w:ind w:left="720"/>
        <w:rPr>
          <w:rFonts w:ascii="Times New Roman" w:hAnsi="Times New Roman"/>
          <w:sz w:val="24"/>
          <w:szCs w:val="24"/>
        </w:rPr>
      </w:pPr>
      <w:r>
        <w:rPr>
          <w:rFonts w:ascii="Times New Roman" w:hAnsi="Times New Roman"/>
          <w:sz w:val="24"/>
          <w:szCs w:val="24"/>
        </w:rPr>
        <w:t>Note: See these Briefs filed with U.S. Supreme Court:</w:t>
      </w:r>
    </w:p>
    <w:p w14:paraId="4D61A910" w14:textId="77777777" w:rsidR="00264998" w:rsidRDefault="00264998" w:rsidP="00264998">
      <w:pPr>
        <w:ind w:left="720"/>
        <w:rPr>
          <w:rFonts w:ascii="Times New Roman" w:hAnsi="Times New Roman"/>
          <w:sz w:val="24"/>
          <w:szCs w:val="24"/>
        </w:rPr>
      </w:pPr>
      <w:r>
        <w:rPr>
          <w:rFonts w:ascii="Times New Roman" w:hAnsi="Times New Roman"/>
          <w:sz w:val="24"/>
          <w:szCs w:val="24"/>
        </w:rPr>
        <w:t>CITY’s BRIEF:</w:t>
      </w:r>
    </w:p>
    <w:p w14:paraId="369F9DAF" w14:textId="77777777" w:rsidR="00264998" w:rsidRDefault="00264998" w:rsidP="00264998">
      <w:pPr>
        <w:ind w:left="1440"/>
        <w:rPr>
          <w:rFonts w:ascii="Times New Roman" w:hAnsi="Times New Roman"/>
          <w:sz w:val="24"/>
          <w:szCs w:val="24"/>
        </w:rPr>
      </w:pPr>
      <w:r>
        <w:rPr>
          <w:rFonts w:ascii="Times New Roman" w:hAnsi="Times New Roman"/>
          <w:sz w:val="24"/>
          <w:szCs w:val="24"/>
        </w:rPr>
        <w:t xml:space="preserve">“Thus, for just one employee like Petitioner retiring early at the age of 47, payment of the subsidy to age 65 would have cost the </w:t>
      </w:r>
      <w:proofErr w:type="gramStart"/>
      <w:r>
        <w:rPr>
          <w:rFonts w:ascii="Times New Roman" w:hAnsi="Times New Roman"/>
          <w:sz w:val="24"/>
          <w:szCs w:val="24"/>
        </w:rPr>
        <w:t>City</w:t>
      </w:r>
      <w:proofErr w:type="gramEnd"/>
      <w:r>
        <w:rPr>
          <w:rFonts w:ascii="Times New Roman" w:hAnsi="Times New Roman"/>
          <w:sz w:val="24"/>
          <w:szCs w:val="24"/>
        </w:rPr>
        <w:t xml:space="preserve"> over $216,000.00.” [City’s Brief in Opposition; </w:t>
      </w:r>
      <w:hyperlink r:id="rId1597" w:history="1">
        <w:r>
          <w:rPr>
            <w:rStyle w:val="Hyperlink"/>
            <w:rFonts w:ascii="Times New Roman" w:hAnsi="Times New Roman"/>
            <w:sz w:val="24"/>
            <w:szCs w:val="24"/>
          </w:rPr>
          <w:t>https://www.supremecourt.gov/DocketPDF/23/23-997/309679/20240513145152474_23-997%20Brief%20in%20Opposition%20Final.pdf</w:t>
        </w:r>
      </w:hyperlink>
      <w:r>
        <w:rPr>
          <w:rFonts w:ascii="Times New Roman" w:hAnsi="Times New Roman"/>
          <w:sz w:val="24"/>
          <w:szCs w:val="24"/>
        </w:rPr>
        <w:t>.]</w:t>
      </w:r>
    </w:p>
    <w:p w14:paraId="2471185E" w14:textId="77777777" w:rsidR="00264998" w:rsidRDefault="00264998" w:rsidP="00264998">
      <w:pPr>
        <w:ind w:left="720"/>
        <w:rPr>
          <w:rFonts w:ascii="Times New Roman" w:hAnsi="Times New Roman"/>
          <w:sz w:val="24"/>
          <w:szCs w:val="24"/>
        </w:rPr>
      </w:pPr>
      <w:r>
        <w:rPr>
          <w:rFonts w:ascii="Times New Roman" w:hAnsi="Times New Roman"/>
          <w:sz w:val="24"/>
          <w:szCs w:val="24"/>
        </w:rPr>
        <w:t xml:space="preserve">LT. STANLEY’S REPLY BRIEF: </w:t>
      </w:r>
    </w:p>
    <w:p w14:paraId="21C0A72A"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“The </w:t>
      </w:r>
      <w:proofErr w:type="gramStart"/>
      <w:r>
        <w:rPr>
          <w:rFonts w:ascii="Times New Roman" w:hAnsi="Times New Roman"/>
          <w:sz w:val="24"/>
          <w:szCs w:val="24"/>
        </w:rPr>
        <w:t>City</w:t>
      </w:r>
      <w:proofErr w:type="gramEnd"/>
      <w:r>
        <w:rPr>
          <w:rFonts w:ascii="Times New Roman" w:hAnsi="Times New Roman"/>
          <w:sz w:val="24"/>
          <w:szCs w:val="24"/>
        </w:rPr>
        <w:t xml:space="preserve"> concedes that there is a longstanding ‘circuit split” over whether former employees can sue for discrimination with respect to their post-employment benefits under the ADA…. It </w:t>
      </w:r>
      <w:r>
        <w:rPr>
          <w:rFonts w:ascii="Times New Roman" w:hAnsi="Times New Roman"/>
          <w:sz w:val="24"/>
          <w:szCs w:val="24"/>
        </w:rPr>
        <w:lastRenderedPageBreak/>
        <w:t>recognizes the same two-to-four split outlined in the petition: Although the Second and Third Circuits permit former employees to sue with respect to post-employment benefits, the Sixth, Seventh, Ninth, and Eleventh Circuits do not.</w:t>
      </w:r>
    </w:p>
    <w:p w14:paraId="76D9C800" w14:textId="77777777" w:rsidR="00264998" w:rsidRDefault="00264998" w:rsidP="00264998">
      <w:pPr>
        <w:pStyle w:val="NoSpacing"/>
        <w:ind w:left="720"/>
        <w:rPr>
          <w:rFonts w:ascii="Times New Roman" w:hAnsi="Times New Roman"/>
          <w:sz w:val="24"/>
          <w:szCs w:val="24"/>
        </w:rPr>
      </w:pPr>
    </w:p>
    <w:p w14:paraId="1BDAAEB9"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w:t>
      </w:r>
    </w:p>
    <w:p w14:paraId="2F6DB976" w14:textId="77777777" w:rsidR="00264998" w:rsidRDefault="00264998" w:rsidP="00264998">
      <w:pPr>
        <w:pStyle w:val="NoSpacing"/>
        <w:ind w:left="720"/>
        <w:rPr>
          <w:rFonts w:ascii="Times New Roman" w:hAnsi="Times New Roman"/>
          <w:sz w:val="24"/>
          <w:szCs w:val="24"/>
        </w:rPr>
      </w:pPr>
    </w:p>
    <w:p w14:paraId="1F70BDEF"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The City doesn’t contest that, when the City offered her the firefighter job, her employment package included a retirement ‘health insurance subsidy.’ Pet. App. 3a. Nor does it dispute, as the courts below recognized, that this subsidy was ‘a stand-alone fringe benefit of employment with [the] Defendant.’ Pet. App. 21a. The fringe benefit was thus covered by the ADA as part of the ‘terms, conditions, and privileges of [her] employment.’ 42 U.S.C. §§ 12111(8), 12112(a). That doesn’t mean that on remand the </w:t>
      </w:r>
      <w:proofErr w:type="gramStart"/>
      <w:r>
        <w:rPr>
          <w:rFonts w:ascii="Times New Roman" w:hAnsi="Times New Roman"/>
          <w:sz w:val="24"/>
          <w:szCs w:val="24"/>
        </w:rPr>
        <w:t>City</w:t>
      </w:r>
      <w:proofErr w:type="gramEnd"/>
      <w:r>
        <w:rPr>
          <w:rFonts w:ascii="Times New Roman" w:hAnsi="Times New Roman"/>
          <w:sz w:val="24"/>
          <w:szCs w:val="24"/>
        </w:rPr>
        <w:t xml:space="preserve"> won’t be able to argue that Ms. Stanley’s twenty years of service didn’t sufficiently ‘earn’ her the subsidy she was promised. The </w:t>
      </w:r>
      <w:proofErr w:type="gramStart"/>
      <w:r>
        <w:rPr>
          <w:rFonts w:ascii="Times New Roman" w:hAnsi="Times New Roman"/>
          <w:sz w:val="24"/>
          <w:szCs w:val="24"/>
        </w:rPr>
        <w:t>City</w:t>
      </w:r>
      <w:proofErr w:type="gramEnd"/>
      <w:r>
        <w:rPr>
          <w:rFonts w:ascii="Times New Roman" w:hAnsi="Times New Roman"/>
          <w:sz w:val="24"/>
          <w:szCs w:val="24"/>
        </w:rPr>
        <w:t xml:space="preserve"> can make whatever arguments it wants on </w:t>
      </w:r>
      <w:proofErr w:type="gramStart"/>
      <w:r>
        <w:rPr>
          <w:rFonts w:ascii="Times New Roman" w:hAnsi="Times New Roman"/>
          <w:sz w:val="24"/>
          <w:szCs w:val="24"/>
        </w:rPr>
        <w:t>remand</w:t>
      </w:r>
      <w:proofErr w:type="gramEnd"/>
      <w:r>
        <w:rPr>
          <w:rFonts w:ascii="Times New Roman" w:hAnsi="Times New Roman"/>
          <w:sz w:val="24"/>
          <w:szCs w:val="24"/>
        </w:rPr>
        <w:t xml:space="preserve">. But none of that bears on whether litigants in Ms. Stanley’s shoes can bring suit under the ADA in the first place.”  [Plaintiff’s Reply Brief; </w:t>
      </w:r>
      <w:hyperlink r:id="rId1598" w:history="1">
        <w:r>
          <w:rPr>
            <w:rStyle w:val="Hyperlink"/>
            <w:rFonts w:ascii="Times New Roman" w:hAnsi="Times New Roman"/>
            <w:sz w:val="24"/>
            <w:szCs w:val="24"/>
          </w:rPr>
          <w:t>https://www.supremecourt.gov/DocketPDF/23/23-997/311779/20240528141949268_23-997%20Stanley%20Reply%20In%20Support%20of%20Certiorari.pdf</w:t>
        </w:r>
      </w:hyperlink>
      <w:r>
        <w:rPr>
          <w:rFonts w:ascii="Times New Roman" w:hAnsi="Times New Roman"/>
          <w:sz w:val="24"/>
          <w:szCs w:val="24"/>
        </w:rPr>
        <w:t xml:space="preserve"> .] </w:t>
      </w:r>
    </w:p>
    <w:p w14:paraId="43333A0A" w14:textId="77777777" w:rsidR="00264998" w:rsidRDefault="00264998" w:rsidP="00264998">
      <w:pPr>
        <w:pStyle w:val="NoSpacing"/>
        <w:rPr>
          <w:rFonts w:ascii="Times New Roman" w:hAnsi="Times New Roman"/>
          <w:sz w:val="24"/>
          <w:szCs w:val="24"/>
        </w:rPr>
      </w:pPr>
    </w:p>
    <w:p w14:paraId="1F465EA9"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IAFF AMICUS BRIEF:</w:t>
      </w:r>
    </w:p>
    <w:p w14:paraId="69AA48BE" w14:textId="77777777" w:rsidR="00264998" w:rsidRDefault="00264998" w:rsidP="00264998">
      <w:pPr>
        <w:pStyle w:val="NoSpacing"/>
        <w:rPr>
          <w:rFonts w:ascii="Times New Roman" w:hAnsi="Times New Roman"/>
          <w:sz w:val="24"/>
          <w:szCs w:val="24"/>
        </w:rPr>
      </w:pPr>
    </w:p>
    <w:p w14:paraId="44B58893"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“This amicus brief is submitted in support of the Petition for Certiorari filed by Petitioner, Lt. Karyn D. Stanley (Ret.), who throughout her distinguished </w:t>
      </w:r>
      <w:proofErr w:type="spellStart"/>
      <w:r>
        <w:rPr>
          <w:rFonts w:ascii="Times New Roman" w:hAnsi="Times New Roman"/>
          <w:sz w:val="24"/>
          <w:szCs w:val="24"/>
        </w:rPr>
        <w:t>fire fighting</w:t>
      </w:r>
      <w:proofErr w:type="spellEnd"/>
      <w:r>
        <w:rPr>
          <w:rFonts w:ascii="Times New Roman" w:hAnsi="Times New Roman"/>
          <w:sz w:val="24"/>
          <w:szCs w:val="24"/>
        </w:rPr>
        <w:t xml:space="preserve"> career has been a member of one IAFF affiliate, the Sanford Professional Firefighters, IAFF Local 3996.</w:t>
      </w:r>
    </w:p>
    <w:p w14:paraId="03454A4B" w14:textId="77777777" w:rsidR="00264998" w:rsidRDefault="00264998" w:rsidP="00264998">
      <w:pPr>
        <w:pStyle w:val="NoSpacing"/>
        <w:ind w:left="720"/>
        <w:rPr>
          <w:rFonts w:ascii="Times New Roman" w:hAnsi="Times New Roman"/>
          <w:sz w:val="24"/>
          <w:szCs w:val="24"/>
        </w:rPr>
      </w:pPr>
    </w:p>
    <w:p w14:paraId="143FDF63"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w:t>
      </w:r>
    </w:p>
    <w:p w14:paraId="71699F06"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Notwithstanding these developments, the federal courts continue to perpetuate unnecessary disparities in fire fighter access to benefits following disability by illness or injury. Too many federal courts – including the Eleventh Circuit in its decision below - have remained closed for decades to claims of unlawful disability discrimination that does not manifest until after disability forces a premature end to the employment relationship. Overly narrow applications of the ADA persist, despite Congress passing legislation amending the statute in response to judicial </w:t>
      </w:r>
      <w:proofErr w:type="gramStart"/>
      <w:r>
        <w:rPr>
          <w:rFonts w:ascii="Times New Roman" w:hAnsi="Times New Roman"/>
          <w:sz w:val="24"/>
          <w:szCs w:val="24"/>
        </w:rPr>
        <w:t>decisions it</w:t>
      </w:r>
      <w:proofErr w:type="gramEnd"/>
      <w:r>
        <w:rPr>
          <w:rFonts w:ascii="Times New Roman" w:hAnsi="Times New Roman"/>
          <w:sz w:val="24"/>
          <w:szCs w:val="24"/>
        </w:rPr>
        <w:t xml:space="preserve"> criticized for ‘unduly restricting the </w:t>
      </w:r>
      <w:proofErr w:type="gramStart"/>
      <w:r>
        <w:rPr>
          <w:rFonts w:ascii="Times New Roman" w:hAnsi="Times New Roman"/>
          <w:sz w:val="24"/>
          <w:szCs w:val="24"/>
        </w:rPr>
        <w:t>time period</w:t>
      </w:r>
      <w:proofErr w:type="gramEnd"/>
      <w:r>
        <w:rPr>
          <w:rFonts w:ascii="Times New Roman" w:hAnsi="Times New Roman"/>
          <w:sz w:val="24"/>
          <w:szCs w:val="24"/>
        </w:rPr>
        <w:t xml:space="preserve"> in which victims of discrimination can challenge and recover for discriminatory compensation decisions or other practices, contrary to the intent of</w:t>
      </w:r>
    </w:p>
    <w:p w14:paraId="7C0693A6"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Congress.’ Pub. L. 111-2, 123 Stat. 5.</w:t>
      </w:r>
    </w:p>
    <w:p w14:paraId="235B4BDB" w14:textId="77777777" w:rsidR="00264998" w:rsidRDefault="00264998" w:rsidP="00264998">
      <w:pPr>
        <w:pStyle w:val="NoSpacing"/>
        <w:ind w:left="720"/>
        <w:rPr>
          <w:rFonts w:ascii="Times New Roman" w:hAnsi="Times New Roman"/>
          <w:sz w:val="24"/>
          <w:szCs w:val="24"/>
        </w:rPr>
      </w:pPr>
    </w:p>
    <w:p w14:paraId="0079D07A"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No disabled fire fighter, including Lt. Stanley, should be denied the opportunity to present a well pled complaint that the employer for whom she performed the essential work that likely contributed to her disability has unlawfully discriminated against her on account of that disability.  </w:t>
      </w:r>
    </w:p>
    <w:p w14:paraId="5C3F8979" w14:textId="77777777" w:rsidR="00264998" w:rsidRDefault="00264998" w:rsidP="00264998">
      <w:pPr>
        <w:pStyle w:val="NoSpacing"/>
        <w:ind w:left="720"/>
        <w:rPr>
          <w:rFonts w:ascii="Times New Roman" w:hAnsi="Times New Roman"/>
          <w:sz w:val="24"/>
          <w:szCs w:val="24"/>
        </w:rPr>
      </w:pPr>
    </w:p>
    <w:p w14:paraId="0C89C6CC"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w:t>
      </w:r>
    </w:p>
    <w:p w14:paraId="1C9C24E7" w14:textId="77777777" w:rsidR="00264998" w:rsidRDefault="00264998" w:rsidP="00264998">
      <w:pPr>
        <w:pStyle w:val="NoSpacing"/>
        <w:ind w:left="720"/>
        <w:rPr>
          <w:rFonts w:ascii="Times New Roman" w:hAnsi="Times New Roman"/>
          <w:sz w:val="24"/>
          <w:szCs w:val="24"/>
        </w:rPr>
      </w:pPr>
    </w:p>
    <w:p w14:paraId="2D406C83"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After nearly two decades of </w:t>
      </w:r>
      <w:proofErr w:type="spellStart"/>
      <w:r>
        <w:rPr>
          <w:rFonts w:ascii="Times New Roman" w:hAnsi="Times New Roman"/>
          <w:sz w:val="24"/>
          <w:szCs w:val="24"/>
        </w:rPr>
        <w:t>fire fighting</w:t>
      </w:r>
      <w:proofErr w:type="spellEnd"/>
      <w:r>
        <w:rPr>
          <w:rFonts w:ascii="Times New Roman" w:hAnsi="Times New Roman"/>
          <w:sz w:val="24"/>
          <w:szCs w:val="24"/>
        </w:rPr>
        <w:t xml:space="preserve">, Parkinsons disease robbed Lt. Stanley of her ability to perform the essential duties of her demanding position at age 47. Pet. App. 2a. But she first suffered discrimination within the purview of the ADA as modified by the Fair Pay Act, when a benefit plan that initially paid a monthly stipend to all service eligible retired employees until age 65 was modified so that employees who retired as a result of disability were only provided the monthly stipend for 24 months after retirement. Pet. App 3a. This benefit plan was unlawfully modified in or around 2003, while Lt. Stanley worked for the </w:t>
      </w:r>
      <w:proofErr w:type="gramStart"/>
      <w:r>
        <w:rPr>
          <w:rFonts w:ascii="Times New Roman" w:hAnsi="Times New Roman"/>
          <w:sz w:val="24"/>
          <w:szCs w:val="24"/>
        </w:rPr>
        <w:t>City</w:t>
      </w:r>
      <w:proofErr w:type="gramEnd"/>
      <w:r>
        <w:rPr>
          <w:rFonts w:ascii="Times New Roman" w:hAnsi="Times New Roman"/>
          <w:sz w:val="24"/>
          <w:szCs w:val="24"/>
        </w:rPr>
        <w:t>. Id. Thus, she was a ‘qualified individual’ at the time a “discriminatory compensation decision or other practice is adopted,” 42 U.S.C. §</w:t>
      </w:r>
    </w:p>
    <w:p w14:paraId="1B8FB914"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lastRenderedPageBreak/>
        <w:t xml:space="preserve">2000e-5(e)(3)(A).” [IAFF Amicus Brief; </w:t>
      </w:r>
      <w:hyperlink r:id="rId1599" w:history="1">
        <w:r>
          <w:rPr>
            <w:rStyle w:val="Hyperlink"/>
            <w:rFonts w:ascii="Times New Roman" w:hAnsi="Times New Roman"/>
            <w:sz w:val="24"/>
            <w:szCs w:val="24"/>
          </w:rPr>
          <w:t>https://www.supremecourt.gov/DocketPDF/23/23-997/307313/20240411092101975_Amicus%20Brief.pdf</w:t>
        </w:r>
      </w:hyperlink>
      <w:r>
        <w:rPr>
          <w:rFonts w:ascii="Times New Roman" w:hAnsi="Times New Roman"/>
          <w:sz w:val="24"/>
          <w:szCs w:val="24"/>
        </w:rPr>
        <w:t xml:space="preserve"> .] </w:t>
      </w:r>
    </w:p>
    <w:p w14:paraId="5E80F93B" w14:textId="77777777" w:rsidR="00264998" w:rsidRDefault="00264998" w:rsidP="005C30A4">
      <w:pPr>
        <w:pStyle w:val="NoSpacing"/>
        <w:rPr>
          <w:rFonts w:ascii="Arial Black" w:hAnsi="Arial Black"/>
          <w:sz w:val="24"/>
          <w:szCs w:val="24"/>
        </w:rPr>
      </w:pPr>
    </w:p>
    <w:p w14:paraId="5E5F65B1" w14:textId="77777777" w:rsidR="00264998" w:rsidRDefault="00264998" w:rsidP="005C30A4">
      <w:pPr>
        <w:pStyle w:val="NoSpacing"/>
        <w:rPr>
          <w:rFonts w:ascii="Arial Black" w:hAnsi="Arial Black"/>
          <w:sz w:val="24"/>
          <w:szCs w:val="24"/>
        </w:rPr>
      </w:pPr>
    </w:p>
    <w:p w14:paraId="22BD0FA5" w14:textId="77777777" w:rsidR="008D4459" w:rsidRDefault="008D4459" w:rsidP="005C30A4">
      <w:pPr>
        <w:pStyle w:val="NoSpacing"/>
        <w:rPr>
          <w:rFonts w:ascii="Arial Black" w:hAnsi="Arial Black"/>
          <w:sz w:val="24"/>
          <w:szCs w:val="24"/>
        </w:rPr>
      </w:pPr>
    </w:p>
    <w:p w14:paraId="0FB266BC" w14:textId="4D6B26D1" w:rsidR="00AB6735" w:rsidRDefault="005E544B" w:rsidP="005C30A4">
      <w:pPr>
        <w:pStyle w:val="NoSpacing"/>
        <w:rPr>
          <w:rFonts w:ascii="Arial Black" w:hAnsi="Arial Black"/>
          <w:sz w:val="24"/>
          <w:szCs w:val="24"/>
        </w:rPr>
      </w:pPr>
      <w:r>
        <w:rPr>
          <w:rFonts w:ascii="Arial Black" w:hAnsi="Arial Black"/>
          <w:sz w:val="24"/>
          <w:szCs w:val="24"/>
        </w:rPr>
        <w:t>9-44</w:t>
      </w:r>
    </w:p>
    <w:p w14:paraId="6F266C64" w14:textId="77777777" w:rsidR="005E544B" w:rsidRDefault="005E544B" w:rsidP="005C30A4">
      <w:pPr>
        <w:pStyle w:val="NoSpacing"/>
        <w:rPr>
          <w:rFonts w:ascii="Arial Black" w:hAnsi="Arial Black"/>
          <w:sz w:val="24"/>
          <w:szCs w:val="24"/>
        </w:rPr>
      </w:pPr>
    </w:p>
    <w:p w14:paraId="7448EEBE" w14:textId="77777777" w:rsidR="005E544B" w:rsidRPr="00C14769" w:rsidRDefault="005E544B" w:rsidP="005E544B">
      <w:pPr>
        <w:rPr>
          <w:rFonts w:ascii="Arial Black" w:hAnsi="Arial Black"/>
          <w:sz w:val="28"/>
          <w:szCs w:val="28"/>
        </w:rPr>
      </w:pPr>
      <w:r>
        <w:rPr>
          <w:rFonts w:ascii="Arial Black" w:hAnsi="Arial Black"/>
          <w:sz w:val="28"/>
          <w:szCs w:val="28"/>
        </w:rPr>
        <w:t>OH: DISPATCHER &amp; DATA ENTRY CLERK – BIPOLAR - CAN NO LONGER PERFORM AS DISPATCHER – NO CASE</w:t>
      </w:r>
    </w:p>
    <w:p w14:paraId="2CFBF705" w14:textId="77777777" w:rsidR="005E544B" w:rsidRDefault="005E544B" w:rsidP="005E544B">
      <w:pPr>
        <w:pStyle w:val="NoSpacing"/>
        <w:rPr>
          <w:rFonts w:ascii="Times New Roman" w:hAnsi="Times New Roman"/>
          <w:sz w:val="24"/>
          <w:szCs w:val="24"/>
        </w:rPr>
      </w:pPr>
      <w:r>
        <w:rPr>
          <w:rFonts w:ascii="Times New Roman" w:hAnsi="Times New Roman"/>
          <w:sz w:val="24"/>
          <w:szCs w:val="24"/>
        </w:rPr>
        <w:t xml:space="preserve">On March 18, 2024, in </w:t>
      </w:r>
      <w:r w:rsidRPr="00391E7E">
        <w:rPr>
          <w:rFonts w:ascii="Times New Roman" w:hAnsi="Times New Roman"/>
          <w:sz w:val="24"/>
          <w:szCs w:val="24"/>
          <w:u w:val="single"/>
        </w:rPr>
        <w:t>Charity Hunt v. Randy Thorp, Licking County Sheriff</w:t>
      </w:r>
      <w:r>
        <w:rPr>
          <w:rFonts w:ascii="Times New Roman" w:hAnsi="Times New Roman"/>
          <w:sz w:val="24"/>
          <w:szCs w:val="24"/>
        </w:rPr>
        <w:t xml:space="preserve">, the U.S. Court of Appeals for Sixth Circuit (Cincinnati) held (2 to 1; unpublished decision) that trial court judge properly dismissed the case. </w:t>
      </w:r>
    </w:p>
    <w:p w14:paraId="0BC38053" w14:textId="77777777" w:rsidR="003956F7" w:rsidRDefault="003956F7" w:rsidP="003956F7">
      <w:pPr>
        <w:pStyle w:val="NoSpacing"/>
        <w:rPr>
          <w:rFonts w:ascii="Times New Roman" w:hAnsi="Times New Roman"/>
          <w:sz w:val="24"/>
          <w:szCs w:val="24"/>
          <w:shd w:val="clear" w:color="auto" w:fill="FFFFFF"/>
        </w:rPr>
      </w:pPr>
    </w:p>
    <w:p w14:paraId="11F7A970" w14:textId="1ABE25F9"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67D5A23" w14:textId="77777777" w:rsidR="003956F7" w:rsidRDefault="003956F7" w:rsidP="005E544B">
      <w:pPr>
        <w:pStyle w:val="NoSpacing"/>
        <w:rPr>
          <w:rFonts w:ascii="Times New Roman" w:hAnsi="Times New Roman"/>
          <w:sz w:val="24"/>
          <w:szCs w:val="24"/>
        </w:rPr>
      </w:pPr>
    </w:p>
    <w:p w14:paraId="122517EA"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r w:rsidRPr="00AB520F">
        <w:rPr>
          <w:rFonts w:ascii="Times New Roman" w:hAnsi="Times New Roman"/>
          <w:sz w:val="24"/>
          <w:szCs w:val="24"/>
        </w:rPr>
        <w:t>This case arises from Charity Hunt’s complaint of</w:t>
      </w:r>
      <w:r>
        <w:rPr>
          <w:rFonts w:ascii="Times New Roman" w:hAnsi="Times New Roman"/>
          <w:sz w:val="24"/>
          <w:szCs w:val="24"/>
        </w:rPr>
        <w:t xml:space="preserve"> </w:t>
      </w:r>
      <w:r w:rsidRPr="00AB520F">
        <w:rPr>
          <w:rFonts w:ascii="Times New Roman" w:hAnsi="Times New Roman"/>
          <w:sz w:val="24"/>
          <w:szCs w:val="24"/>
        </w:rPr>
        <w:t>disability discrimination suffered in her workplace. The Licking County Sheriff’s Office (LCSO),</w:t>
      </w:r>
      <w:r>
        <w:rPr>
          <w:rFonts w:ascii="Times New Roman" w:hAnsi="Times New Roman"/>
          <w:sz w:val="24"/>
          <w:szCs w:val="24"/>
        </w:rPr>
        <w:t xml:space="preserve"> </w:t>
      </w:r>
      <w:r w:rsidRPr="00AB520F">
        <w:rPr>
          <w:rFonts w:ascii="Times New Roman" w:hAnsi="Times New Roman"/>
          <w:sz w:val="24"/>
          <w:szCs w:val="24"/>
        </w:rPr>
        <w:t>in May 2018, hired Hunt as a dispatcher. After approximately one year, she transferred to a new</w:t>
      </w:r>
      <w:r>
        <w:rPr>
          <w:rFonts w:ascii="Times New Roman" w:hAnsi="Times New Roman"/>
          <w:sz w:val="24"/>
          <w:szCs w:val="24"/>
        </w:rPr>
        <w:t xml:space="preserve"> </w:t>
      </w:r>
      <w:r w:rsidRPr="00AB520F">
        <w:rPr>
          <w:rFonts w:ascii="Times New Roman" w:hAnsi="Times New Roman"/>
          <w:sz w:val="24"/>
          <w:szCs w:val="24"/>
        </w:rPr>
        <w:t>position, the LCSO Dispatcher-Data Entry Specialist. In that job, she primarily entered warrants</w:t>
      </w:r>
      <w:r>
        <w:rPr>
          <w:rFonts w:ascii="Times New Roman" w:hAnsi="Times New Roman"/>
          <w:sz w:val="24"/>
          <w:szCs w:val="24"/>
        </w:rPr>
        <w:t xml:space="preserve"> </w:t>
      </w:r>
      <w:r w:rsidRPr="00AB520F">
        <w:rPr>
          <w:rFonts w:ascii="Times New Roman" w:hAnsi="Times New Roman"/>
          <w:sz w:val="24"/>
          <w:szCs w:val="24"/>
        </w:rPr>
        <w:t>and protective orders into the LCSO’s data system. But she was also expected to continue</w:t>
      </w:r>
      <w:r>
        <w:rPr>
          <w:rFonts w:ascii="Times New Roman" w:hAnsi="Times New Roman"/>
          <w:sz w:val="24"/>
          <w:szCs w:val="24"/>
        </w:rPr>
        <w:t xml:space="preserve"> </w:t>
      </w:r>
      <w:r w:rsidRPr="00AB520F">
        <w:rPr>
          <w:rFonts w:ascii="Times New Roman" w:hAnsi="Times New Roman"/>
          <w:sz w:val="24"/>
          <w:szCs w:val="24"/>
        </w:rPr>
        <w:t>performing dispatch duties when needed.</w:t>
      </w:r>
    </w:p>
    <w:p w14:paraId="341336B6" w14:textId="77777777" w:rsidR="005E544B" w:rsidRPr="00AB520F" w:rsidRDefault="005E544B" w:rsidP="005E544B">
      <w:pPr>
        <w:pStyle w:val="NoSpacing"/>
        <w:rPr>
          <w:rFonts w:ascii="Times New Roman" w:hAnsi="Times New Roman"/>
          <w:sz w:val="24"/>
          <w:szCs w:val="24"/>
        </w:rPr>
      </w:pPr>
    </w:p>
    <w:p w14:paraId="6026C1A0" w14:textId="77777777" w:rsidR="005E544B" w:rsidRPr="00AB520F" w:rsidRDefault="005E544B" w:rsidP="005E544B">
      <w:pPr>
        <w:pStyle w:val="NoSpacing"/>
        <w:ind w:firstLine="720"/>
        <w:rPr>
          <w:rFonts w:ascii="Times New Roman" w:hAnsi="Times New Roman"/>
          <w:sz w:val="24"/>
          <w:szCs w:val="24"/>
        </w:rPr>
      </w:pPr>
      <w:r w:rsidRPr="00AB520F">
        <w:rPr>
          <w:rFonts w:ascii="Times New Roman" w:hAnsi="Times New Roman"/>
          <w:sz w:val="24"/>
          <w:szCs w:val="24"/>
        </w:rPr>
        <w:t>After a bipolar episode severe enough to warrant an extended leave, Hunt attempted to</w:t>
      </w:r>
    </w:p>
    <w:p w14:paraId="49DF0B57" w14:textId="77777777" w:rsidR="005E544B" w:rsidRDefault="005E544B" w:rsidP="005E544B">
      <w:pPr>
        <w:pStyle w:val="NoSpacing"/>
        <w:ind w:left="720"/>
        <w:rPr>
          <w:rFonts w:ascii="Times New Roman" w:hAnsi="Times New Roman"/>
          <w:sz w:val="24"/>
          <w:szCs w:val="24"/>
        </w:rPr>
      </w:pPr>
      <w:r w:rsidRPr="00AB520F">
        <w:rPr>
          <w:rFonts w:ascii="Times New Roman" w:hAnsi="Times New Roman"/>
          <w:sz w:val="24"/>
          <w:szCs w:val="24"/>
        </w:rPr>
        <w:t>return to work. She requested that she no longer be required to perform dispatch duties because</w:t>
      </w:r>
      <w:r>
        <w:rPr>
          <w:rFonts w:ascii="Times New Roman" w:hAnsi="Times New Roman"/>
          <w:sz w:val="24"/>
          <w:szCs w:val="24"/>
        </w:rPr>
        <w:t xml:space="preserve"> </w:t>
      </w:r>
      <w:r w:rsidRPr="00AB520F">
        <w:rPr>
          <w:rFonts w:ascii="Times New Roman" w:hAnsi="Times New Roman"/>
          <w:sz w:val="24"/>
          <w:szCs w:val="24"/>
        </w:rPr>
        <w:t>of the stress of that task. After the LCSO rejected her request, Hunt sued for violations of the</w:t>
      </w:r>
      <w:r>
        <w:rPr>
          <w:rFonts w:ascii="Times New Roman" w:hAnsi="Times New Roman"/>
          <w:sz w:val="24"/>
          <w:szCs w:val="24"/>
        </w:rPr>
        <w:t xml:space="preserve"> </w:t>
      </w:r>
      <w:r w:rsidRPr="00AB520F">
        <w:rPr>
          <w:rFonts w:ascii="Times New Roman" w:hAnsi="Times New Roman"/>
          <w:sz w:val="24"/>
          <w:szCs w:val="24"/>
        </w:rPr>
        <w:t>Americans with Disabilities Act (ADA) and Family and Medical Leave Act (FMLA).</w:t>
      </w:r>
    </w:p>
    <w:p w14:paraId="0CC2D7E2" w14:textId="77777777" w:rsidR="005E544B" w:rsidRDefault="005E544B" w:rsidP="005E544B">
      <w:pPr>
        <w:pStyle w:val="NoSpacing"/>
        <w:rPr>
          <w:rFonts w:ascii="Times New Roman" w:hAnsi="Times New Roman"/>
          <w:sz w:val="24"/>
          <w:szCs w:val="24"/>
        </w:rPr>
      </w:pPr>
    </w:p>
    <w:p w14:paraId="29E0B353" w14:textId="77777777" w:rsidR="005E544B" w:rsidRDefault="005E544B" w:rsidP="005E544B">
      <w:pPr>
        <w:pStyle w:val="NoSpacing"/>
        <w:ind w:left="720"/>
        <w:rPr>
          <w:rFonts w:ascii="Times New Roman" w:hAnsi="Times New Roman"/>
          <w:sz w:val="24"/>
          <w:szCs w:val="24"/>
        </w:rPr>
      </w:pPr>
      <w:r w:rsidRPr="00772425">
        <w:rPr>
          <w:rFonts w:ascii="Times New Roman" w:hAnsi="Times New Roman"/>
          <w:sz w:val="24"/>
          <w:szCs w:val="24"/>
        </w:rPr>
        <w:t>This appeal comes down to one question: whether dispatch duties are an essential function</w:t>
      </w:r>
      <w:r>
        <w:rPr>
          <w:rFonts w:ascii="Times New Roman" w:hAnsi="Times New Roman"/>
          <w:sz w:val="24"/>
          <w:szCs w:val="24"/>
        </w:rPr>
        <w:t xml:space="preserve"> </w:t>
      </w:r>
      <w:r w:rsidRPr="00772425">
        <w:rPr>
          <w:rFonts w:ascii="Times New Roman" w:hAnsi="Times New Roman"/>
          <w:sz w:val="24"/>
          <w:szCs w:val="24"/>
        </w:rPr>
        <w:t>of Hunt’s position as a Dispatcher-Data Entry Specialist. The district court determined that they</w:t>
      </w:r>
      <w:r>
        <w:rPr>
          <w:rFonts w:ascii="Times New Roman" w:hAnsi="Times New Roman"/>
          <w:sz w:val="24"/>
          <w:szCs w:val="24"/>
        </w:rPr>
        <w:t xml:space="preserve"> </w:t>
      </w:r>
      <w:r w:rsidRPr="00772425">
        <w:rPr>
          <w:rFonts w:ascii="Times New Roman" w:hAnsi="Times New Roman"/>
          <w:sz w:val="24"/>
          <w:szCs w:val="24"/>
        </w:rPr>
        <w:t>are and thus held that Hunt was not a qualified individual under the ADA. Accordingly, she was</w:t>
      </w:r>
      <w:r>
        <w:rPr>
          <w:rFonts w:ascii="Times New Roman" w:hAnsi="Times New Roman"/>
          <w:sz w:val="24"/>
          <w:szCs w:val="24"/>
        </w:rPr>
        <w:t xml:space="preserve"> </w:t>
      </w:r>
      <w:r w:rsidRPr="00772425">
        <w:rPr>
          <w:rFonts w:ascii="Times New Roman" w:hAnsi="Times New Roman"/>
          <w:sz w:val="24"/>
          <w:szCs w:val="24"/>
        </w:rPr>
        <w:t xml:space="preserve">not entitled to </w:t>
      </w:r>
      <w:proofErr w:type="gramStart"/>
      <w:r w:rsidRPr="00772425">
        <w:rPr>
          <w:rFonts w:ascii="Times New Roman" w:hAnsi="Times New Roman"/>
          <w:sz w:val="24"/>
          <w:szCs w:val="24"/>
        </w:rPr>
        <w:t>the ADA’s</w:t>
      </w:r>
      <w:proofErr w:type="gramEnd"/>
      <w:r w:rsidRPr="00772425">
        <w:rPr>
          <w:rFonts w:ascii="Times New Roman" w:hAnsi="Times New Roman"/>
          <w:sz w:val="24"/>
          <w:szCs w:val="24"/>
        </w:rPr>
        <w:t xml:space="preserve"> protections, or related FMLA protections. For reasons that follow, we</w:t>
      </w:r>
      <w:r>
        <w:rPr>
          <w:rFonts w:ascii="Times New Roman" w:hAnsi="Times New Roman"/>
          <w:sz w:val="24"/>
          <w:szCs w:val="24"/>
        </w:rPr>
        <w:t xml:space="preserve"> </w:t>
      </w:r>
      <w:r w:rsidRPr="00772425">
        <w:rPr>
          <w:rFonts w:ascii="Times New Roman" w:hAnsi="Times New Roman"/>
          <w:sz w:val="24"/>
          <w:szCs w:val="24"/>
        </w:rPr>
        <w:t>agree with the district court and therefore AFFIRM.</w:t>
      </w:r>
    </w:p>
    <w:p w14:paraId="2C4C2FCD" w14:textId="77777777" w:rsidR="005E544B" w:rsidRDefault="005E544B" w:rsidP="005E544B">
      <w:pPr>
        <w:pStyle w:val="NoSpacing"/>
        <w:ind w:left="720"/>
        <w:rPr>
          <w:rFonts w:ascii="Times New Roman" w:hAnsi="Times New Roman"/>
          <w:sz w:val="24"/>
          <w:szCs w:val="24"/>
        </w:rPr>
      </w:pPr>
    </w:p>
    <w:p w14:paraId="01D28B3E"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p>
    <w:p w14:paraId="05346CBE" w14:textId="77777777" w:rsidR="005E544B" w:rsidRPr="00CB05B4" w:rsidRDefault="005E544B" w:rsidP="005E544B">
      <w:pPr>
        <w:pStyle w:val="NoSpacing"/>
        <w:ind w:left="720"/>
        <w:rPr>
          <w:rFonts w:ascii="Times New Roman" w:hAnsi="Times New Roman"/>
          <w:sz w:val="24"/>
          <w:szCs w:val="24"/>
        </w:rPr>
      </w:pPr>
      <w:r w:rsidRPr="00CB05B4">
        <w:rPr>
          <w:rFonts w:ascii="Times New Roman" w:hAnsi="Times New Roman"/>
          <w:sz w:val="24"/>
          <w:szCs w:val="24"/>
        </w:rPr>
        <w:t>Hunt’s FMLA-interference claim fails for the same reason her ADA claim fails. That is,</w:t>
      </w:r>
    </w:p>
    <w:p w14:paraId="473C76BD" w14:textId="77777777" w:rsidR="005E544B" w:rsidRDefault="005E544B" w:rsidP="005E544B">
      <w:pPr>
        <w:pStyle w:val="NoSpacing"/>
        <w:ind w:left="720"/>
        <w:rPr>
          <w:rFonts w:ascii="Times New Roman" w:hAnsi="Times New Roman"/>
          <w:sz w:val="24"/>
          <w:szCs w:val="24"/>
        </w:rPr>
      </w:pPr>
      <w:r w:rsidRPr="00CB05B4">
        <w:rPr>
          <w:rFonts w:ascii="Times New Roman" w:hAnsi="Times New Roman"/>
          <w:sz w:val="24"/>
          <w:szCs w:val="24"/>
        </w:rPr>
        <w:t>because Hunt was not released to perform the essential functions of her position at the end of her</w:t>
      </w:r>
      <w:r>
        <w:rPr>
          <w:rFonts w:ascii="Times New Roman" w:hAnsi="Times New Roman"/>
          <w:sz w:val="24"/>
          <w:szCs w:val="24"/>
        </w:rPr>
        <w:t xml:space="preserve"> </w:t>
      </w:r>
      <w:r w:rsidRPr="00CB05B4">
        <w:rPr>
          <w:rFonts w:ascii="Times New Roman" w:hAnsi="Times New Roman"/>
          <w:sz w:val="24"/>
          <w:szCs w:val="24"/>
        </w:rPr>
        <w:t>FMLA leave (i.e., dispatch duties), the LCSO did not deny Hunt any benefits to which she was</w:t>
      </w:r>
      <w:r>
        <w:rPr>
          <w:rFonts w:ascii="Times New Roman" w:hAnsi="Times New Roman"/>
          <w:sz w:val="24"/>
          <w:szCs w:val="24"/>
        </w:rPr>
        <w:t xml:space="preserve"> </w:t>
      </w:r>
      <w:r w:rsidRPr="00CB05B4">
        <w:rPr>
          <w:rFonts w:ascii="Times New Roman" w:hAnsi="Times New Roman"/>
          <w:sz w:val="24"/>
          <w:szCs w:val="24"/>
        </w:rPr>
        <w:t xml:space="preserve">otherwise </w:t>
      </w:r>
      <w:proofErr w:type="gramStart"/>
      <w:r w:rsidRPr="00CB05B4">
        <w:rPr>
          <w:rFonts w:ascii="Times New Roman" w:hAnsi="Times New Roman"/>
          <w:sz w:val="24"/>
          <w:szCs w:val="24"/>
        </w:rPr>
        <w:t>entitled.</w:t>
      </w:r>
      <w:r>
        <w:rPr>
          <w:rFonts w:ascii="Times New Roman" w:hAnsi="Times New Roman"/>
          <w:sz w:val="24"/>
          <w:szCs w:val="24"/>
        </w:rPr>
        <w:t>”</w:t>
      </w:r>
      <w:proofErr w:type="gramEnd"/>
    </w:p>
    <w:p w14:paraId="75A40697"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 xml:space="preserve"> </w:t>
      </w:r>
      <w:hyperlink r:id="rId1600" w:history="1">
        <w:r w:rsidRPr="001C375D">
          <w:rPr>
            <w:rStyle w:val="Hyperlink"/>
            <w:rFonts w:ascii="Times New Roman" w:hAnsi="Times New Roman"/>
            <w:sz w:val="24"/>
            <w:szCs w:val="24"/>
          </w:rPr>
          <w:t>https://cases.justia.com/federal/appellate-courts/ca6/23-3459/23-3459-2024-03-18.pdf?ts=1710795630</w:t>
        </w:r>
      </w:hyperlink>
      <w:r>
        <w:rPr>
          <w:rFonts w:ascii="Times New Roman" w:hAnsi="Times New Roman"/>
          <w:sz w:val="24"/>
          <w:szCs w:val="24"/>
        </w:rPr>
        <w:t xml:space="preserve"> </w:t>
      </w:r>
    </w:p>
    <w:p w14:paraId="309DCCE3" w14:textId="77777777" w:rsidR="005E544B" w:rsidRDefault="005E544B" w:rsidP="005E544B">
      <w:pPr>
        <w:pStyle w:val="NoSpacing"/>
        <w:ind w:left="720"/>
        <w:rPr>
          <w:rFonts w:ascii="Times New Roman" w:hAnsi="Times New Roman"/>
          <w:sz w:val="24"/>
          <w:szCs w:val="24"/>
        </w:rPr>
      </w:pPr>
    </w:p>
    <w:p w14:paraId="46E2D0DD" w14:textId="77777777" w:rsidR="005E544B" w:rsidRDefault="005E544B" w:rsidP="005E544B">
      <w:pPr>
        <w:pStyle w:val="NoSpacing"/>
        <w:ind w:left="720"/>
        <w:rPr>
          <w:rFonts w:ascii="Times New Roman" w:hAnsi="Times New Roman"/>
          <w:sz w:val="24"/>
          <w:szCs w:val="24"/>
        </w:rPr>
      </w:pPr>
    </w:p>
    <w:p w14:paraId="06738787" w14:textId="77777777" w:rsidR="005E544B" w:rsidRDefault="005E544B" w:rsidP="005E544B">
      <w:pPr>
        <w:pStyle w:val="NoSpacing"/>
        <w:rPr>
          <w:rFonts w:ascii="Times New Roman" w:hAnsi="Times New Roman"/>
          <w:sz w:val="24"/>
          <w:szCs w:val="24"/>
        </w:rPr>
      </w:pPr>
      <w:r>
        <w:rPr>
          <w:rFonts w:ascii="Times New Roman" w:hAnsi="Times New Roman"/>
          <w:sz w:val="24"/>
          <w:szCs w:val="24"/>
        </w:rPr>
        <w:t xml:space="preserve">DISSENT – JUDGE HELEN N. WHITE: </w:t>
      </w:r>
    </w:p>
    <w:p w14:paraId="19230656"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r w:rsidRPr="00A30B7B">
        <w:rPr>
          <w:rFonts w:ascii="Times New Roman" w:hAnsi="Times New Roman"/>
          <w:sz w:val="24"/>
          <w:szCs w:val="24"/>
        </w:rPr>
        <w:t>When Charity Hunt served as the LCSO’s</w:t>
      </w:r>
      <w:r>
        <w:rPr>
          <w:rFonts w:ascii="Times New Roman" w:hAnsi="Times New Roman"/>
          <w:sz w:val="24"/>
          <w:szCs w:val="24"/>
        </w:rPr>
        <w:t xml:space="preserve"> </w:t>
      </w:r>
      <w:r w:rsidRPr="00A30B7B">
        <w:rPr>
          <w:rFonts w:ascii="Times New Roman" w:hAnsi="Times New Roman"/>
          <w:sz w:val="24"/>
          <w:szCs w:val="24"/>
        </w:rPr>
        <w:t>Dispatcher-Data Entry Specialist, dispatching emergency personnel was a virtually nonexistent</w:t>
      </w:r>
      <w:r>
        <w:rPr>
          <w:rFonts w:ascii="Times New Roman" w:hAnsi="Times New Roman"/>
          <w:sz w:val="24"/>
          <w:szCs w:val="24"/>
        </w:rPr>
        <w:t xml:space="preserve"> </w:t>
      </w:r>
      <w:r w:rsidRPr="00A30B7B">
        <w:rPr>
          <w:rFonts w:ascii="Times New Roman" w:hAnsi="Times New Roman"/>
          <w:sz w:val="24"/>
          <w:szCs w:val="24"/>
        </w:rPr>
        <w:t>element of her day-to-day duties</w:t>
      </w:r>
      <w:r>
        <w:rPr>
          <w:rFonts w:ascii="Times New Roman" w:hAnsi="Times New Roman"/>
          <w:sz w:val="24"/>
          <w:szCs w:val="24"/>
        </w:rPr>
        <w:t>.</w:t>
      </w:r>
    </w:p>
    <w:p w14:paraId="6FB6BEDF" w14:textId="77777777" w:rsidR="005E544B" w:rsidRDefault="005E544B" w:rsidP="005E544B">
      <w:pPr>
        <w:pStyle w:val="NoSpacing"/>
        <w:ind w:left="720"/>
        <w:rPr>
          <w:rFonts w:ascii="Times New Roman" w:hAnsi="Times New Roman"/>
          <w:sz w:val="24"/>
          <w:szCs w:val="24"/>
        </w:rPr>
      </w:pPr>
    </w:p>
    <w:p w14:paraId="50C5629A"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p>
    <w:p w14:paraId="3F6495DF" w14:textId="77777777" w:rsidR="005E544B" w:rsidRDefault="005E544B" w:rsidP="005E544B">
      <w:pPr>
        <w:pStyle w:val="NoSpacing"/>
        <w:rPr>
          <w:rFonts w:ascii="Times New Roman" w:hAnsi="Times New Roman"/>
          <w:sz w:val="24"/>
          <w:szCs w:val="24"/>
        </w:rPr>
      </w:pPr>
    </w:p>
    <w:p w14:paraId="10D66362" w14:textId="77777777" w:rsidR="005E544B" w:rsidRDefault="005E544B" w:rsidP="005E544B">
      <w:pPr>
        <w:pStyle w:val="NoSpacing"/>
        <w:ind w:left="720"/>
        <w:rPr>
          <w:rFonts w:ascii="Times New Roman" w:hAnsi="Times New Roman"/>
          <w:sz w:val="24"/>
          <w:szCs w:val="24"/>
        </w:rPr>
      </w:pPr>
      <w:r w:rsidRPr="0039710A">
        <w:rPr>
          <w:rFonts w:ascii="Times New Roman" w:hAnsi="Times New Roman"/>
          <w:sz w:val="24"/>
          <w:szCs w:val="24"/>
        </w:rPr>
        <w:t>The LCSO knew that Hunt suffered</w:t>
      </w:r>
      <w:r>
        <w:rPr>
          <w:rFonts w:ascii="Times New Roman" w:hAnsi="Times New Roman"/>
          <w:sz w:val="24"/>
          <w:szCs w:val="24"/>
        </w:rPr>
        <w:t xml:space="preserve"> </w:t>
      </w:r>
      <w:r w:rsidRPr="0039710A">
        <w:rPr>
          <w:rFonts w:ascii="Times New Roman" w:hAnsi="Times New Roman"/>
          <w:sz w:val="24"/>
          <w:szCs w:val="24"/>
        </w:rPr>
        <w:t>from anxiety and bipolar disorder and knew her limitations were caused by those conditions, yet</w:t>
      </w:r>
      <w:r>
        <w:rPr>
          <w:rFonts w:ascii="Times New Roman" w:hAnsi="Times New Roman"/>
          <w:sz w:val="24"/>
          <w:szCs w:val="24"/>
        </w:rPr>
        <w:t xml:space="preserve"> </w:t>
      </w:r>
      <w:r w:rsidRPr="0039710A">
        <w:rPr>
          <w:rFonts w:ascii="Times New Roman" w:hAnsi="Times New Roman"/>
          <w:sz w:val="24"/>
          <w:szCs w:val="24"/>
        </w:rPr>
        <w:t>it refused to work with Hunt on an accommodation—even after Hunt’s doctor approved her to</w:t>
      </w:r>
      <w:r>
        <w:rPr>
          <w:rFonts w:ascii="Times New Roman" w:hAnsi="Times New Roman"/>
          <w:sz w:val="24"/>
          <w:szCs w:val="24"/>
        </w:rPr>
        <w:t xml:space="preserve"> </w:t>
      </w:r>
      <w:r w:rsidRPr="0039710A">
        <w:rPr>
          <w:rFonts w:ascii="Times New Roman" w:hAnsi="Times New Roman"/>
          <w:sz w:val="24"/>
          <w:szCs w:val="24"/>
        </w:rPr>
        <w:t>perform call-taking duties. Thus, I believe that a reasonable jury could conclude that the LCSO</w:t>
      </w:r>
      <w:r>
        <w:rPr>
          <w:rFonts w:ascii="Times New Roman" w:hAnsi="Times New Roman"/>
          <w:sz w:val="24"/>
          <w:szCs w:val="24"/>
        </w:rPr>
        <w:t xml:space="preserve"> </w:t>
      </w:r>
      <w:r w:rsidRPr="0039710A">
        <w:rPr>
          <w:rFonts w:ascii="Times New Roman" w:hAnsi="Times New Roman"/>
          <w:sz w:val="24"/>
          <w:szCs w:val="24"/>
        </w:rPr>
        <w:t>failed to fulfill its duty to engage in an interactive accommodation process with Hunt.</w:t>
      </w:r>
      <w:r>
        <w:rPr>
          <w:rFonts w:ascii="Times New Roman" w:hAnsi="Times New Roman"/>
          <w:sz w:val="24"/>
          <w:szCs w:val="24"/>
        </w:rPr>
        <w:t>”</w:t>
      </w:r>
    </w:p>
    <w:p w14:paraId="0BAF5223" w14:textId="77777777" w:rsidR="005E544B" w:rsidRDefault="005E544B" w:rsidP="005E544B">
      <w:pPr>
        <w:pStyle w:val="NoSpacing"/>
        <w:ind w:left="720"/>
        <w:rPr>
          <w:rFonts w:ascii="Times New Roman" w:hAnsi="Times New Roman"/>
          <w:sz w:val="24"/>
          <w:szCs w:val="24"/>
        </w:rPr>
      </w:pPr>
    </w:p>
    <w:p w14:paraId="5FEED0A5" w14:textId="77777777" w:rsidR="005E544B" w:rsidRPr="001A7756" w:rsidRDefault="005E544B" w:rsidP="005E544B">
      <w:pPr>
        <w:pStyle w:val="NoSpacing"/>
        <w:rPr>
          <w:rFonts w:ascii="Times New Roman" w:hAnsi="Times New Roman"/>
          <w:b/>
          <w:bCs/>
          <w:sz w:val="24"/>
          <w:szCs w:val="24"/>
        </w:rPr>
      </w:pPr>
      <w:r w:rsidRPr="001A7756">
        <w:rPr>
          <w:rFonts w:ascii="Times New Roman" w:hAnsi="Times New Roman"/>
          <w:b/>
          <w:bCs/>
          <w:sz w:val="24"/>
          <w:szCs w:val="24"/>
        </w:rPr>
        <w:t>Legal Lesson Learned:</w:t>
      </w:r>
      <w:r>
        <w:rPr>
          <w:rFonts w:ascii="Times New Roman" w:hAnsi="Times New Roman"/>
          <w:b/>
          <w:bCs/>
          <w:sz w:val="24"/>
          <w:szCs w:val="24"/>
        </w:rPr>
        <w:t xml:space="preserve"> Under ADA, an employee seeking accommodation must still be able to perform the essential functions of the job. </w:t>
      </w:r>
    </w:p>
    <w:p w14:paraId="67C7322A" w14:textId="77777777" w:rsidR="005E544B" w:rsidRPr="003255F2" w:rsidRDefault="005E544B" w:rsidP="005E544B">
      <w:pPr>
        <w:pStyle w:val="NoSpacing"/>
        <w:rPr>
          <w:rFonts w:ascii="Times New Roman" w:hAnsi="Times New Roman"/>
          <w:sz w:val="24"/>
          <w:szCs w:val="24"/>
        </w:rPr>
      </w:pPr>
    </w:p>
    <w:p w14:paraId="5FDC687F" w14:textId="77777777" w:rsidR="005E544B" w:rsidRDefault="005E544B" w:rsidP="005E544B">
      <w:pPr>
        <w:pStyle w:val="NormalWeb"/>
        <w:spacing w:before="0" w:beforeAutospacing="0"/>
        <w:jc w:val="center"/>
      </w:pPr>
    </w:p>
    <w:p w14:paraId="25A1B7EA" w14:textId="77777777" w:rsidR="005E544B" w:rsidRDefault="005E544B" w:rsidP="005E544B">
      <w:pPr>
        <w:spacing w:before="100" w:beforeAutospacing="1" w:after="100" w:afterAutospacing="1" w:line="240" w:lineRule="auto"/>
        <w:outlineLvl w:val="0"/>
        <w:rPr>
          <w:rFonts w:ascii="Times New Roman" w:eastAsia="Times New Roman" w:hAnsi="Times New Roman"/>
          <w:b/>
          <w:bCs/>
          <w:kern w:val="36"/>
          <w:sz w:val="48"/>
          <w:szCs w:val="48"/>
        </w:rPr>
      </w:pPr>
    </w:p>
    <w:p w14:paraId="4279CC4C" w14:textId="31277397" w:rsidR="005E544B" w:rsidRDefault="005E544B" w:rsidP="005E544B">
      <w:pPr>
        <w:pStyle w:val="NoSpacing"/>
        <w:rPr>
          <w:rFonts w:ascii="Arial Black" w:hAnsi="Arial Black"/>
          <w:sz w:val="24"/>
          <w:szCs w:val="24"/>
        </w:rPr>
      </w:pPr>
      <w:r>
        <w:rPr>
          <w:rFonts w:ascii="Arial Black" w:hAnsi="Arial Black"/>
          <w:sz w:val="24"/>
          <w:szCs w:val="24"/>
        </w:rPr>
        <w:t>9-43</w:t>
      </w:r>
    </w:p>
    <w:p w14:paraId="15A12333" w14:textId="0C42568D" w:rsidR="005E544B" w:rsidRPr="00EF37D9" w:rsidRDefault="005E544B" w:rsidP="005E544B">
      <w:pPr>
        <w:pStyle w:val="NormalWeb"/>
        <w:rPr>
          <w:rFonts w:ascii="Arial Black" w:hAnsi="Arial Black"/>
          <w:sz w:val="28"/>
          <w:szCs w:val="28"/>
        </w:rPr>
      </w:pPr>
      <w:r>
        <w:rPr>
          <w:rFonts w:ascii="Arial Black" w:hAnsi="Arial Black"/>
          <w:sz w:val="28"/>
          <w:szCs w:val="28"/>
        </w:rPr>
        <w:t>MD: VOL. FF IN PA WITH COCHLEAR IMPLANT / SCBA COOLING MASK – SEEKS VOL. MARYLAND - CASE PROCEED</w:t>
      </w:r>
    </w:p>
    <w:p w14:paraId="61D0246E" w14:textId="77777777" w:rsidR="005E544B" w:rsidRDefault="005E544B" w:rsidP="005E544B">
      <w:pPr>
        <w:pStyle w:val="NormalWeb"/>
      </w:pPr>
      <w:r>
        <w:t xml:space="preserve">On March 1, 2024, in </w:t>
      </w:r>
      <w:r w:rsidRPr="005858BF">
        <w:rPr>
          <w:u w:val="single"/>
        </w:rPr>
        <w:t>Charles Hine v. Prince George’s County, Maryland</w:t>
      </w:r>
      <w:r>
        <w:t xml:space="preserve">, United States District Court Judge Theodore D. Chuang, U.S. District Court for Maryland, denied motions for summary judgment for both parties; the County offered the firefighter an administrative position which he understandably rejected.  </w:t>
      </w:r>
    </w:p>
    <w:p w14:paraId="7158740B"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912860D" w14:textId="77777777" w:rsidR="005E544B" w:rsidRDefault="005E544B" w:rsidP="005E544B">
      <w:pPr>
        <w:pStyle w:val="NormalWeb"/>
        <w:ind w:left="720"/>
      </w:pPr>
      <w:r>
        <w:t xml:space="preserve">“Here, there is no serious dispute that the County rejected Hine's application based on the results of Hine's medical examination and Concentra's determination, based on his self-reported hearing test results, that he did not meet the NFPA hearing standard. There is also no material dispute that, although Hine requested an individualized assessment of whether, despite that hearing test score, he could still perform the job of an operational firefighter, no such individualized assessment occurred. Accordingly, the County's absolute reliance on the results of a medical examination or a general policy without conducting an individualized assessment of whether Hine could </w:t>
      </w:r>
      <w:proofErr w:type="gramStart"/>
      <w:r>
        <w:t>actually perform</w:t>
      </w:r>
      <w:proofErr w:type="gramEnd"/>
      <w:r>
        <w:t xml:space="preserve"> the job with </w:t>
      </w:r>
      <w:proofErr w:type="gramStart"/>
      <w:r>
        <w:t>a reasonable</w:t>
      </w:r>
      <w:proofErr w:type="gramEnd"/>
      <w:r>
        <w:t xml:space="preserve"> accommodation runs contrary to the requirements of the ADA. </w:t>
      </w:r>
      <w:r>
        <w:rPr>
          <w:rStyle w:val="Emphasis"/>
          <w:rFonts w:eastAsiaTheme="majorEastAsia"/>
        </w:rPr>
        <w:t>See, e.g., PGA Tour, Inc.,</w:t>
      </w:r>
      <w:r>
        <w:t xml:space="preserve"> 532 U.S. at 690; </w:t>
      </w:r>
      <w:r>
        <w:rPr>
          <w:rStyle w:val="Emphasis"/>
          <w:rFonts w:eastAsiaTheme="majorEastAsia"/>
        </w:rPr>
        <w:t>Gillen,</w:t>
      </w:r>
      <w:r>
        <w:t xml:space="preserve"> 283 F.3d at 29; </w:t>
      </w:r>
      <w:r>
        <w:rPr>
          <w:rStyle w:val="Emphasis"/>
          <w:rFonts w:eastAsiaTheme="majorEastAsia"/>
        </w:rPr>
        <w:t>Rodriguez,</w:t>
      </w:r>
      <w:r>
        <w:t xml:space="preserve"> 436 F.3d at 482.</w:t>
      </w:r>
    </w:p>
    <w:p w14:paraId="26AD5E64" w14:textId="77777777" w:rsidR="005E544B" w:rsidRDefault="005E544B" w:rsidP="005E544B">
      <w:pPr>
        <w:pStyle w:val="NormalWeb"/>
        <w:ind w:left="720"/>
      </w:pPr>
      <w:r>
        <w:t>***</w:t>
      </w:r>
    </w:p>
    <w:p w14:paraId="640AE89C" w14:textId="77777777" w:rsidR="005E544B" w:rsidRDefault="005E544B" w:rsidP="005E544B">
      <w:pPr>
        <w:pStyle w:val="NormalWeb"/>
        <w:ind w:left="720"/>
      </w:pPr>
      <w:r>
        <w:t>Thus, regardless of whether the County imposed a discriminatory blanket policy or failed to engage in an individualized inquiry, Hine is entitled to a finding of liability only if he establishes that he was a qualified individual, which in turn requires a determination that he could perform the essential functions of an operational firefighter with or without a reasonable accommodation.”</w:t>
      </w:r>
    </w:p>
    <w:p w14:paraId="0CAEC63C" w14:textId="77777777" w:rsidR="005E544B" w:rsidRDefault="005E544B" w:rsidP="005E544B">
      <w:pPr>
        <w:pStyle w:val="NormalWeb"/>
        <w:rPr>
          <w:b/>
          <w:bCs/>
        </w:rPr>
      </w:pPr>
      <w:r w:rsidRPr="00155B26">
        <w:rPr>
          <w:b/>
          <w:bCs/>
        </w:rPr>
        <w:t xml:space="preserve">Legal Lesson Learned: </w:t>
      </w:r>
      <w:r>
        <w:rPr>
          <w:b/>
          <w:bCs/>
        </w:rPr>
        <w:t xml:space="preserve">Pre-trial discovery will now proceed; employers cannot simply rely on NFPA to turn down an applicant without an individualized assessment. </w:t>
      </w:r>
    </w:p>
    <w:p w14:paraId="52303003" w14:textId="77777777" w:rsidR="005E544B" w:rsidRDefault="005E544B" w:rsidP="005C30A4">
      <w:pPr>
        <w:pStyle w:val="NoSpacing"/>
        <w:rPr>
          <w:rFonts w:ascii="Arial Black" w:hAnsi="Arial Black"/>
          <w:sz w:val="24"/>
          <w:szCs w:val="24"/>
        </w:rPr>
      </w:pPr>
    </w:p>
    <w:p w14:paraId="3D594ADE" w14:textId="77777777" w:rsidR="005E544B" w:rsidRDefault="005E544B" w:rsidP="005C30A4">
      <w:pPr>
        <w:pStyle w:val="NoSpacing"/>
        <w:rPr>
          <w:rFonts w:ascii="Arial Black" w:hAnsi="Arial Black"/>
          <w:sz w:val="24"/>
          <w:szCs w:val="24"/>
        </w:rPr>
      </w:pPr>
    </w:p>
    <w:p w14:paraId="1E59C0DF" w14:textId="77777777" w:rsidR="005E544B" w:rsidRDefault="005E544B" w:rsidP="005C30A4">
      <w:pPr>
        <w:pStyle w:val="NoSpacing"/>
        <w:rPr>
          <w:rFonts w:ascii="Arial Black" w:hAnsi="Arial Black"/>
          <w:sz w:val="24"/>
          <w:szCs w:val="24"/>
        </w:rPr>
      </w:pPr>
    </w:p>
    <w:p w14:paraId="17BE4733" w14:textId="517BF4D0" w:rsidR="007B3AE4" w:rsidRDefault="007B3AE4" w:rsidP="005C30A4">
      <w:pPr>
        <w:pStyle w:val="NoSpacing"/>
        <w:rPr>
          <w:rFonts w:ascii="Arial Black" w:hAnsi="Arial Black"/>
          <w:sz w:val="24"/>
          <w:szCs w:val="24"/>
        </w:rPr>
      </w:pPr>
      <w:r>
        <w:rPr>
          <w:rFonts w:ascii="Arial Black" w:hAnsi="Arial Black"/>
          <w:sz w:val="24"/>
          <w:szCs w:val="24"/>
        </w:rPr>
        <w:t>9-4</w:t>
      </w:r>
      <w:r w:rsidR="005E544B">
        <w:rPr>
          <w:rFonts w:ascii="Arial Black" w:hAnsi="Arial Black"/>
          <w:sz w:val="24"/>
          <w:szCs w:val="24"/>
        </w:rPr>
        <w:t>2</w:t>
      </w:r>
    </w:p>
    <w:p w14:paraId="39545A44" w14:textId="77777777" w:rsidR="007B3AE4" w:rsidRDefault="007B3AE4" w:rsidP="005C30A4">
      <w:pPr>
        <w:pStyle w:val="NoSpacing"/>
        <w:rPr>
          <w:rFonts w:ascii="Arial Black" w:hAnsi="Arial Black"/>
          <w:sz w:val="24"/>
          <w:szCs w:val="24"/>
        </w:rPr>
      </w:pPr>
    </w:p>
    <w:p w14:paraId="3B3EF512" w14:textId="34F52B50" w:rsidR="00DB5557" w:rsidRPr="00B510C3" w:rsidRDefault="00DB5557" w:rsidP="00DB5557">
      <w:pPr>
        <w:pStyle w:val="NormalWeb"/>
        <w:rPr>
          <w:rFonts w:ascii="Arial Black" w:hAnsi="Arial Black"/>
          <w:sz w:val="28"/>
          <w:szCs w:val="28"/>
        </w:rPr>
      </w:pPr>
      <w:r>
        <w:rPr>
          <w:rFonts w:ascii="Arial Black" w:hAnsi="Arial Black"/>
          <w:sz w:val="28"/>
          <w:szCs w:val="28"/>
        </w:rPr>
        <w:t xml:space="preserve">IL: ADA – DEPUTY CHIEF – IF EARN </w:t>
      </w:r>
      <w:r w:rsidR="009B38FF">
        <w:rPr>
          <w:rFonts w:ascii="Arial Black" w:hAnsi="Arial Black"/>
          <w:sz w:val="28"/>
          <w:szCs w:val="28"/>
        </w:rPr>
        <w:t>BACHELOR’S</w:t>
      </w:r>
      <w:r>
        <w:rPr>
          <w:rFonts w:ascii="Arial Black" w:hAnsi="Arial Black"/>
          <w:sz w:val="28"/>
          <w:szCs w:val="28"/>
        </w:rPr>
        <w:t xml:space="preserve"> DEGREE, PAY BUMP - REFUSED, HEART CONDITION – NO CASE</w:t>
      </w:r>
    </w:p>
    <w:p w14:paraId="794C7E2A" w14:textId="77777777" w:rsidR="00DB5557" w:rsidRDefault="00DB5557" w:rsidP="00DB5557">
      <w:pPr>
        <w:pStyle w:val="NormalWeb"/>
      </w:pPr>
      <w:r>
        <w:lastRenderedPageBreak/>
        <w:t xml:space="preserve">On Feb. 23, 2024, in </w:t>
      </w:r>
      <w:r w:rsidRPr="006C66EB">
        <w:rPr>
          <w:u w:val="single"/>
        </w:rPr>
        <w:t>Jeffrey Bruno v. Chasity Wells-Armstrong, James Ellexson, and City of Kankakee, Illinois</w:t>
      </w:r>
      <w:r>
        <w:t xml:space="preserve">, the U.S. Court of Appeals for the Seventh Circuit (Chicago) held (3 to 0) that trial court properly granted defense motion for summary judgment; attending college was not a requirement of his job and his request waive the college requirement to earn the pump in pay was not a request for reasonable accommodation. </w:t>
      </w:r>
    </w:p>
    <w:p w14:paraId="06910E2B" w14:textId="77777777" w:rsidR="00DB5557" w:rsidRDefault="00DB5557" w:rsidP="00DB5557">
      <w:pPr>
        <w:pStyle w:val="NormalWeb"/>
      </w:pPr>
      <w:r>
        <w:t>The Court held:</w:t>
      </w:r>
    </w:p>
    <w:p w14:paraId="05D9334F" w14:textId="77777777" w:rsidR="00DB5557" w:rsidRDefault="00DB5557" w:rsidP="00DB5557">
      <w:pPr>
        <w:pStyle w:val="NormalWeb"/>
        <w:ind w:left="720"/>
      </w:pPr>
      <w:r>
        <w:t xml:space="preserve">“Here, because the pay bump did not depend on Bruno performing his essential duties, the defendants did not have to provide an accommodation that enabled him to obtain it because doing so would have been awarding him compensation he did not earn-that was not a measure that enabled Bruno to work. </w:t>
      </w:r>
    </w:p>
    <w:p w14:paraId="78920D33" w14:textId="77777777" w:rsidR="00DB5557" w:rsidRDefault="00DB5557" w:rsidP="00DB5557">
      <w:pPr>
        <w:pStyle w:val="NormalWeb"/>
        <w:ind w:left="720"/>
      </w:pPr>
      <w:r>
        <w:t xml:space="preserve">Moreover, while the </w:t>
      </w:r>
      <w:proofErr w:type="gramStart"/>
      <w:r>
        <w:t>waiver</w:t>
      </w:r>
      <w:proofErr w:type="gramEnd"/>
      <w:r>
        <w:t xml:space="preserve"> would have entitled Bruno to more compensation without him having to jeopardize his health, it would not have impacted his ability to perform his job. Bruno conceded multiple times that-so long as he did not have to attend classes-he could perform the essential duties of his position without undermining his health and stressed that he had been performing satisfactorily without the pay bump. Attending college was not a requirement of his job. Bruno's request that he be compensated more for performing his essential duties because his health prevented him from attending and obtaining the pay bump was not a request for reasonable accommodation.” </w:t>
      </w:r>
      <w:hyperlink r:id="rId1601" w:history="1">
        <w:r w:rsidRPr="00644350">
          <w:rPr>
            <w:rStyle w:val="Hyperlink"/>
          </w:rPr>
          <w:t>https://casetext.com/case/bruno-v-wells-armstrong</w:t>
        </w:r>
      </w:hyperlink>
      <w:r>
        <w:t xml:space="preserve"> </w:t>
      </w:r>
    </w:p>
    <w:p w14:paraId="60E95DD3" w14:textId="77777777" w:rsidR="00DB5557" w:rsidRDefault="00DB5557" w:rsidP="00DB5557">
      <w:pPr>
        <w:pStyle w:val="NormalWeb"/>
        <w:rPr>
          <w:b/>
          <w:bCs/>
        </w:rPr>
      </w:pPr>
      <w:r w:rsidRPr="00125715">
        <w:rPr>
          <w:b/>
          <w:bCs/>
        </w:rPr>
        <w:t>Legal Lesson Learned</w:t>
      </w:r>
      <w:r>
        <w:rPr>
          <w:b/>
          <w:bCs/>
        </w:rPr>
        <w:t xml:space="preserve">: ADA claim fails because firefighter’s request to waive education condition was not a request for reasonable accommodation.  </w:t>
      </w:r>
    </w:p>
    <w:p w14:paraId="4CD43BBD" w14:textId="77777777" w:rsidR="007B3AE4" w:rsidRDefault="007B3AE4" w:rsidP="005C30A4">
      <w:pPr>
        <w:pStyle w:val="NoSpacing"/>
        <w:rPr>
          <w:rFonts w:ascii="Arial Black" w:hAnsi="Arial Black"/>
          <w:sz w:val="24"/>
          <w:szCs w:val="24"/>
        </w:rPr>
      </w:pPr>
    </w:p>
    <w:p w14:paraId="11B5C7FB" w14:textId="77777777" w:rsidR="007B3AE4" w:rsidRDefault="007B3AE4" w:rsidP="005C30A4">
      <w:pPr>
        <w:pStyle w:val="NoSpacing"/>
        <w:rPr>
          <w:rFonts w:ascii="Arial Black" w:hAnsi="Arial Black"/>
          <w:sz w:val="24"/>
          <w:szCs w:val="24"/>
        </w:rPr>
      </w:pPr>
    </w:p>
    <w:p w14:paraId="2E64F7F5" w14:textId="03185FFE" w:rsidR="00615F4E" w:rsidRDefault="00615F4E" w:rsidP="005C30A4">
      <w:pPr>
        <w:pStyle w:val="NoSpacing"/>
        <w:rPr>
          <w:rFonts w:ascii="Arial Black" w:hAnsi="Arial Black"/>
          <w:sz w:val="24"/>
          <w:szCs w:val="24"/>
        </w:rPr>
      </w:pPr>
      <w:r>
        <w:rPr>
          <w:rFonts w:ascii="Arial Black" w:hAnsi="Arial Black"/>
          <w:sz w:val="24"/>
          <w:szCs w:val="24"/>
        </w:rPr>
        <w:t>9-4</w:t>
      </w:r>
      <w:r w:rsidR="005E544B">
        <w:rPr>
          <w:rFonts w:ascii="Arial Black" w:hAnsi="Arial Black"/>
          <w:sz w:val="24"/>
          <w:szCs w:val="24"/>
        </w:rPr>
        <w:t>1</w:t>
      </w:r>
    </w:p>
    <w:p w14:paraId="4DB42664" w14:textId="77777777" w:rsidR="00615F4E" w:rsidRPr="001020C2" w:rsidRDefault="00615F4E" w:rsidP="00615F4E">
      <w:pPr>
        <w:pStyle w:val="NormalWeb"/>
        <w:rPr>
          <w:rFonts w:ascii="Arial Black" w:hAnsi="Arial Black"/>
          <w:sz w:val="28"/>
          <w:szCs w:val="28"/>
        </w:rPr>
      </w:pPr>
      <w:r>
        <w:rPr>
          <w:rFonts w:ascii="Arial Black" w:hAnsi="Arial Black"/>
          <w:sz w:val="28"/>
          <w:szCs w:val="28"/>
        </w:rPr>
        <w:t>MA: CAPTAIN – MARINE 50% DISABELED – NOT PROMOTED – ALLEGES CHIEF ANIMOSITY DISAB. VETS – CASE PROCEED</w:t>
      </w:r>
    </w:p>
    <w:p w14:paraId="1331A6DE" w14:textId="77777777" w:rsidR="00615F4E" w:rsidRDefault="00615F4E" w:rsidP="00615F4E">
      <w:pPr>
        <w:pStyle w:val="NormalWeb"/>
      </w:pPr>
      <w:r>
        <w:t xml:space="preserve">On Jan. 10, 2024, in </w:t>
      </w:r>
      <w:r w:rsidRPr="005E6561">
        <w:rPr>
          <w:u w:val="single"/>
        </w:rPr>
        <w:t>Pierre Grenier v. City of Springfield, et al</w:t>
      </w:r>
      <w:r>
        <w:t xml:space="preserve">., U.S. Magistrate Judge Katherine A. Robinson issued a Report &amp; Recommendation allowing case to proceed with pre-trial discovery regarding Captain’s allegation that Fire Commissioner had animosity against him because of his military service-connected disability (former Marine).  He was the only of six candidates not promoted to District Chief.  </w:t>
      </w:r>
    </w:p>
    <w:p w14:paraId="72DB52A2" w14:textId="77777777" w:rsidR="00615F4E" w:rsidRDefault="00615F4E" w:rsidP="00615F4E">
      <w:pPr>
        <w:pStyle w:val="NormalWeb"/>
        <w:ind w:left="720" w:firstLine="60"/>
      </w:pPr>
      <w:r>
        <w:t xml:space="preserve">“Drawing all inferences in Plaintiff’s favor, a reasonable employee in his position might interpret [Fire Commissioner] Calvi’s stop at the fire station [May 26, 2019] after hearing that Plaintiff had set the wheels in motion for a formal hearing], was intended to intimidate or coerce Plaintiff into abandoning his right to a hearing to protect his position and promotional aspirations in the Department. This aspect of the claim also merits evaluation on a more complete factual </w:t>
      </w:r>
      <w:proofErr w:type="gramStart"/>
      <w:r>
        <w:t>record.”</w:t>
      </w:r>
      <w:proofErr w:type="gramEnd"/>
      <w:r>
        <w:t xml:space="preserve">  </w:t>
      </w:r>
      <w:hyperlink r:id="rId1602" w:history="1">
        <w:r w:rsidRPr="009E6D51">
          <w:rPr>
            <w:rStyle w:val="Hyperlink"/>
          </w:rPr>
          <w:t>https://www.casemine.com/judgement/us/65a0c054bfe6241981ef91c8</w:t>
        </w:r>
      </w:hyperlink>
      <w:r>
        <w:t xml:space="preserve"> </w:t>
      </w:r>
    </w:p>
    <w:p w14:paraId="69D4F192" w14:textId="77777777" w:rsidR="00E851B0" w:rsidRDefault="00E851B0" w:rsidP="00E851B0">
      <w:pPr>
        <w:rPr>
          <w:rFonts w:ascii="Times New Roman" w:hAnsi="Times New Roman"/>
          <w:b/>
          <w:bCs/>
          <w:sz w:val="24"/>
          <w:szCs w:val="24"/>
        </w:rPr>
      </w:pPr>
      <w:r w:rsidRPr="00F53C85">
        <w:rPr>
          <w:rFonts w:ascii="Times New Roman" w:hAnsi="Times New Roman"/>
          <w:b/>
          <w:bCs/>
          <w:sz w:val="24"/>
          <w:szCs w:val="24"/>
        </w:rPr>
        <w:t xml:space="preserve">Legal Lesson Learned: </w:t>
      </w:r>
      <w:r>
        <w:rPr>
          <w:rFonts w:ascii="Times New Roman" w:hAnsi="Times New Roman"/>
          <w:b/>
          <w:bCs/>
          <w:sz w:val="24"/>
          <w:szCs w:val="24"/>
        </w:rPr>
        <w:t xml:space="preserve"> If an employee is claiming animosity, consider having a second person (another officer or HR) with you when holding discussion with the employee.</w:t>
      </w:r>
    </w:p>
    <w:p w14:paraId="2944525F" w14:textId="77777777" w:rsidR="00E851B0" w:rsidRDefault="00E851B0" w:rsidP="00E851B0">
      <w:pPr>
        <w:pStyle w:val="NormalWeb"/>
        <w:ind w:left="720"/>
      </w:pPr>
      <w:r>
        <w:t xml:space="preserve">Note:  March 8, 2023, Justice Michael K. Callan, Massachusetts Superior Court denied his appeal from Civil Service Commission.  </w:t>
      </w:r>
      <w:hyperlink r:id="rId1603" w:history="1">
        <w:r w:rsidRPr="00B22688">
          <w:rPr>
            <w:rStyle w:val="Hyperlink"/>
          </w:rPr>
          <w:t>https://www.mass.gov/doc/grenier-pierre-v-springfield-fire-department-related-superior-court-decision-3823/download</w:t>
        </w:r>
      </w:hyperlink>
      <w:r w:rsidRPr="00B22688">
        <w:t xml:space="preserve"> </w:t>
      </w:r>
    </w:p>
    <w:p w14:paraId="50E0734D" w14:textId="77777777" w:rsidR="00615F4E" w:rsidRDefault="00615F4E" w:rsidP="005C30A4">
      <w:pPr>
        <w:pStyle w:val="NoSpacing"/>
        <w:rPr>
          <w:rFonts w:ascii="Arial Black" w:hAnsi="Arial Black"/>
          <w:sz w:val="24"/>
          <w:szCs w:val="24"/>
        </w:rPr>
      </w:pPr>
    </w:p>
    <w:p w14:paraId="1674C30F" w14:textId="77777777" w:rsidR="00615F4E" w:rsidRPr="00615F4E" w:rsidRDefault="00615F4E" w:rsidP="005C30A4">
      <w:pPr>
        <w:pStyle w:val="NoSpacing"/>
        <w:rPr>
          <w:rFonts w:ascii="Arial Black" w:hAnsi="Arial Black"/>
          <w:i/>
          <w:iCs/>
          <w:sz w:val="24"/>
          <w:szCs w:val="24"/>
        </w:rPr>
      </w:pPr>
    </w:p>
    <w:p w14:paraId="2D49AD6C" w14:textId="7289404D" w:rsidR="00AB6735" w:rsidRDefault="00AB6735" w:rsidP="005C30A4">
      <w:pPr>
        <w:pStyle w:val="NoSpacing"/>
        <w:rPr>
          <w:rFonts w:ascii="Arial Black" w:hAnsi="Arial Black"/>
          <w:sz w:val="24"/>
          <w:szCs w:val="24"/>
        </w:rPr>
      </w:pPr>
      <w:r>
        <w:rPr>
          <w:rFonts w:ascii="Arial Black" w:hAnsi="Arial Black"/>
          <w:sz w:val="24"/>
          <w:szCs w:val="24"/>
        </w:rPr>
        <w:t>9-40</w:t>
      </w:r>
    </w:p>
    <w:p w14:paraId="1732C251" w14:textId="77777777" w:rsidR="00AB6735" w:rsidRPr="00D862E9" w:rsidRDefault="00AB6735" w:rsidP="00AB6735">
      <w:pPr>
        <w:pStyle w:val="Heading1"/>
        <w:rPr>
          <w:rFonts w:ascii="Arial Black" w:hAnsi="Arial Black"/>
          <w:b w:val="0"/>
          <w:sz w:val="28"/>
          <w:szCs w:val="28"/>
        </w:rPr>
      </w:pPr>
      <w:r>
        <w:rPr>
          <w:rFonts w:ascii="Arial Black" w:hAnsi="Arial Black"/>
          <w:b w:val="0"/>
          <w:sz w:val="28"/>
          <w:szCs w:val="28"/>
        </w:rPr>
        <w:t xml:space="preserve">MN: “ALCOHOL USE DISORDER” – DOJ FIRST ADA SETTLEMENT REQ. CITY PAY TREATMENT CDL DRIVERS </w:t>
      </w:r>
    </w:p>
    <w:p w14:paraId="11555FE4" w14:textId="77777777" w:rsidR="00AB6735" w:rsidRDefault="00AB6735" w:rsidP="00AB6735">
      <w:pPr>
        <w:pStyle w:val="Heading1"/>
        <w:rPr>
          <w:rStyle w:val="field-formatter--string"/>
          <w:b w:val="0"/>
          <w:bCs w:val="0"/>
          <w:sz w:val="24"/>
          <w:szCs w:val="24"/>
        </w:rPr>
      </w:pPr>
      <w:r>
        <w:rPr>
          <w:b w:val="0"/>
          <w:sz w:val="24"/>
          <w:szCs w:val="24"/>
        </w:rPr>
        <w:t xml:space="preserve">On Nov. 20, 2023, in </w:t>
      </w:r>
      <w:r w:rsidRPr="00B07419">
        <w:rPr>
          <w:b w:val="0"/>
          <w:sz w:val="24"/>
          <w:szCs w:val="24"/>
          <w:u w:val="single"/>
        </w:rPr>
        <w:t>United States of America v. City of Blane, Minnesota</w:t>
      </w:r>
      <w:r>
        <w:rPr>
          <w:b w:val="0"/>
          <w:sz w:val="24"/>
          <w:szCs w:val="24"/>
        </w:rPr>
        <w:t xml:space="preserve">, the parties entered a consent decree.  While this case does not specifically involve firefighters, this is “first ADA settlement” involving voluntary disclosure by CDL drivers.  In the Press Release, the </w:t>
      </w:r>
      <w:proofErr w:type="spellStart"/>
      <w:r>
        <w:rPr>
          <w:b w:val="0"/>
          <w:sz w:val="24"/>
          <w:szCs w:val="24"/>
        </w:rPr>
        <w:t>DoJ</w:t>
      </w:r>
      <w:proofErr w:type="spellEnd"/>
      <w:r>
        <w:rPr>
          <w:b w:val="0"/>
          <w:sz w:val="24"/>
          <w:szCs w:val="24"/>
        </w:rPr>
        <w:t xml:space="preserve"> stated: “</w:t>
      </w:r>
      <w:r w:rsidRPr="003526F1">
        <w:rPr>
          <w:b w:val="0"/>
          <w:bCs w:val="0"/>
          <w:sz w:val="24"/>
          <w:szCs w:val="24"/>
        </w:rPr>
        <w:t xml:space="preserve">The lawsuit alleges that the city discriminated against an employee with alcohol use disorder who voluntarily disclosed that he was to undergo treatment by requiring him to pay for alcohol and controlled substances testing and evaluation based on his disability. This is the Justice Department’s first ADA settlement resolving a claim of employment discrimination based on alcohol use </w:t>
      </w:r>
      <w:r>
        <w:rPr>
          <w:b w:val="0"/>
          <w:bCs w:val="0"/>
          <w:sz w:val="24"/>
          <w:szCs w:val="24"/>
        </w:rPr>
        <w:t xml:space="preserve"> d</w:t>
      </w:r>
      <w:r w:rsidRPr="003526F1">
        <w:rPr>
          <w:b w:val="0"/>
          <w:bCs w:val="0"/>
          <w:sz w:val="24"/>
          <w:szCs w:val="24"/>
        </w:rPr>
        <w:t>isorder.</w:t>
      </w:r>
      <w:r>
        <w:rPr>
          <w:b w:val="0"/>
          <w:bCs w:val="0"/>
          <w:sz w:val="24"/>
          <w:szCs w:val="24"/>
        </w:rPr>
        <w:t xml:space="preserve">”  </w:t>
      </w:r>
      <w:r w:rsidRPr="003526F1">
        <w:rPr>
          <w:b w:val="0"/>
          <w:bCs w:val="0"/>
          <w:sz w:val="24"/>
          <w:szCs w:val="24"/>
        </w:rPr>
        <w:t> </w:t>
      </w:r>
      <w:hyperlink r:id="rId1604" w:history="1">
        <w:r w:rsidRPr="003526F1">
          <w:rPr>
            <w:rStyle w:val="Hyperlink"/>
            <w:rFonts w:eastAsiaTheme="majorEastAsia"/>
            <w:b w:val="0"/>
            <w:bCs w:val="0"/>
            <w:sz w:val="24"/>
            <w:szCs w:val="24"/>
          </w:rPr>
          <w:t>https://www.justice.gov/opa/pr/justice-department-secures-agreement-city-blaine-minnesota-resolve-discrimination-claim</w:t>
        </w:r>
      </w:hyperlink>
      <w:r w:rsidRPr="003526F1">
        <w:rPr>
          <w:b w:val="0"/>
          <w:bCs w:val="0"/>
          <w:sz w:val="24"/>
          <w:szCs w:val="24"/>
        </w:rPr>
        <w:t xml:space="preserve"> </w:t>
      </w:r>
      <w:r w:rsidRPr="003526F1">
        <w:rPr>
          <w:rStyle w:val="field-formatter--string"/>
          <w:b w:val="0"/>
          <w:bCs w:val="0"/>
          <w:sz w:val="24"/>
          <w:szCs w:val="24"/>
        </w:rPr>
        <w:t xml:space="preserve"> </w:t>
      </w:r>
    </w:p>
    <w:p w14:paraId="049D54EC" w14:textId="77777777" w:rsidR="001031C3" w:rsidRDefault="001031C3" w:rsidP="001031C3">
      <w:pPr>
        <w:pStyle w:val="NoSpacing"/>
        <w:rPr>
          <w:rFonts w:ascii="Times New Roman" w:hAnsi="Times New Roman"/>
          <w:b/>
          <w:sz w:val="24"/>
          <w:szCs w:val="24"/>
        </w:rPr>
      </w:pPr>
      <w:r>
        <w:rPr>
          <w:rFonts w:ascii="Times New Roman" w:hAnsi="Times New Roman"/>
          <w:b/>
          <w:sz w:val="24"/>
          <w:szCs w:val="24"/>
        </w:rPr>
        <w:t xml:space="preserve">Legal Lesson Learned:  Fire &amp; EMS Departments should review their EAP policies regarding voluntary disclosure of substance abuse. </w:t>
      </w:r>
    </w:p>
    <w:p w14:paraId="22CF91EA" w14:textId="77777777" w:rsidR="001031C3" w:rsidRDefault="001031C3" w:rsidP="001031C3">
      <w:pPr>
        <w:pStyle w:val="NoSpacing"/>
        <w:rPr>
          <w:rFonts w:ascii="Times New Roman" w:hAnsi="Times New Roman"/>
          <w:b/>
          <w:sz w:val="24"/>
          <w:szCs w:val="24"/>
        </w:rPr>
      </w:pPr>
    </w:p>
    <w:p w14:paraId="57C03AD1" w14:textId="77777777" w:rsidR="001031C3" w:rsidRDefault="001031C3" w:rsidP="00AB6735">
      <w:pPr>
        <w:pStyle w:val="Heading1"/>
        <w:rPr>
          <w:rStyle w:val="field-formatter--string"/>
          <w:b w:val="0"/>
          <w:bCs w:val="0"/>
          <w:sz w:val="24"/>
          <w:szCs w:val="24"/>
        </w:rPr>
      </w:pPr>
    </w:p>
    <w:p w14:paraId="08F0C142" w14:textId="77777777" w:rsidR="00AB6735" w:rsidRDefault="00AB6735" w:rsidP="005C30A4">
      <w:pPr>
        <w:pStyle w:val="NoSpacing"/>
        <w:rPr>
          <w:rFonts w:ascii="Arial Black" w:hAnsi="Arial Black"/>
          <w:sz w:val="24"/>
          <w:szCs w:val="24"/>
        </w:rPr>
      </w:pPr>
    </w:p>
    <w:p w14:paraId="46D7CEDD" w14:textId="77777777" w:rsidR="00AB6735" w:rsidRDefault="00AB6735" w:rsidP="005C30A4">
      <w:pPr>
        <w:pStyle w:val="NoSpacing"/>
        <w:rPr>
          <w:rFonts w:ascii="Arial Black" w:hAnsi="Arial Black"/>
          <w:sz w:val="24"/>
          <w:szCs w:val="24"/>
        </w:rPr>
      </w:pPr>
    </w:p>
    <w:p w14:paraId="72C7EB89" w14:textId="77777777" w:rsidR="00AB6735" w:rsidRDefault="00AB6735" w:rsidP="005C30A4">
      <w:pPr>
        <w:pStyle w:val="NoSpacing"/>
        <w:rPr>
          <w:rFonts w:ascii="Arial Black" w:hAnsi="Arial Black"/>
          <w:sz w:val="24"/>
          <w:szCs w:val="24"/>
        </w:rPr>
      </w:pPr>
    </w:p>
    <w:p w14:paraId="2F69E385" w14:textId="6027D29E" w:rsidR="009B0593" w:rsidRDefault="00832745" w:rsidP="005C30A4">
      <w:pPr>
        <w:pStyle w:val="NoSpacing"/>
        <w:rPr>
          <w:rFonts w:ascii="Arial Black" w:hAnsi="Arial Black"/>
          <w:sz w:val="24"/>
          <w:szCs w:val="24"/>
        </w:rPr>
      </w:pPr>
      <w:r>
        <w:rPr>
          <w:rFonts w:ascii="Arial Black" w:hAnsi="Arial Black"/>
          <w:sz w:val="24"/>
          <w:szCs w:val="24"/>
        </w:rPr>
        <w:t>9-39</w:t>
      </w:r>
    </w:p>
    <w:p w14:paraId="749C2D26" w14:textId="77777777" w:rsidR="00832745" w:rsidRDefault="00832745" w:rsidP="00832745">
      <w:pPr>
        <w:pStyle w:val="NormalWeb"/>
        <w:rPr>
          <w:rFonts w:ascii="Arial Black" w:hAnsi="Arial Black"/>
          <w:sz w:val="28"/>
          <w:szCs w:val="28"/>
        </w:rPr>
      </w:pPr>
      <w:r>
        <w:rPr>
          <w:rFonts w:ascii="Arial Black" w:hAnsi="Arial Black"/>
          <w:sz w:val="28"/>
          <w:szCs w:val="28"/>
        </w:rPr>
        <w:t>FL: ADA - FF PARKINSON – CITY CHANGED HEALTH INSUR. TO 2 YEARS – RETIRED FF CAN’T SUE, NOT EMPLOYEE</w:t>
      </w:r>
    </w:p>
    <w:p w14:paraId="3AC3623A" w14:textId="267D0218" w:rsidR="00832745" w:rsidRDefault="00832745" w:rsidP="00832745">
      <w:pPr>
        <w:pStyle w:val="NoSpacing"/>
        <w:rPr>
          <w:rStyle w:val="Hyperlink"/>
          <w:rFonts w:ascii="Times New Roman" w:hAnsi="Times New Roman"/>
          <w:sz w:val="24"/>
          <w:szCs w:val="24"/>
        </w:rPr>
      </w:pPr>
      <w:r w:rsidRPr="00832745">
        <w:rPr>
          <w:rFonts w:ascii="Times New Roman" w:hAnsi="Times New Roman"/>
          <w:sz w:val="24"/>
          <w:szCs w:val="24"/>
        </w:rPr>
        <w:t xml:space="preserve">On Oct. 11, 2023, in </w:t>
      </w:r>
      <w:r w:rsidRPr="00832745">
        <w:rPr>
          <w:rFonts w:ascii="Times New Roman" w:hAnsi="Times New Roman"/>
          <w:sz w:val="24"/>
          <w:szCs w:val="24"/>
          <w:u w:val="single"/>
        </w:rPr>
        <w:t>Karyn D. Stanley v. City of Sanford, Florida</w:t>
      </w:r>
      <w:r w:rsidRPr="00832745">
        <w:rPr>
          <w:rFonts w:ascii="Times New Roman" w:hAnsi="Times New Roman"/>
          <w:sz w:val="24"/>
          <w:szCs w:val="24"/>
        </w:rPr>
        <w:t>, the U.S. Court of Appeals for the 11</w:t>
      </w:r>
      <w:r w:rsidRPr="00832745">
        <w:rPr>
          <w:rFonts w:ascii="Times New Roman" w:hAnsi="Times New Roman"/>
          <w:sz w:val="24"/>
          <w:szCs w:val="24"/>
          <w:vertAlign w:val="superscript"/>
        </w:rPr>
        <w:t>th</w:t>
      </w:r>
      <w:r w:rsidRPr="00832745">
        <w:rPr>
          <w:rFonts w:ascii="Times New Roman" w:hAnsi="Times New Roman"/>
          <w:sz w:val="24"/>
          <w:szCs w:val="24"/>
        </w:rPr>
        <w:t xml:space="preserve"> Circuit (Atlanta, GA) held (3 to 0): “Because Stanley cannot establish that the City committed any discriminatory acts against her while she could perform the essential functions of a job that she held or desired to hold, her Title I claim fails. For the same reason, so do her claims under the Rehab Act and the Florida Civil Rights </w:t>
      </w:r>
      <w:proofErr w:type="gramStart"/>
      <w:r w:rsidRPr="00832745">
        <w:rPr>
          <w:rFonts w:ascii="Times New Roman" w:hAnsi="Times New Roman"/>
          <w:sz w:val="24"/>
          <w:szCs w:val="24"/>
        </w:rPr>
        <w:t>Act.”</w:t>
      </w:r>
      <w:proofErr w:type="gramEnd"/>
      <w:r w:rsidRPr="00832745">
        <w:rPr>
          <w:rFonts w:ascii="Times New Roman" w:hAnsi="Times New Roman"/>
          <w:sz w:val="24"/>
          <w:szCs w:val="24"/>
        </w:rPr>
        <w:t xml:space="preserve"> </w:t>
      </w:r>
      <w:hyperlink r:id="rId1605" w:history="1">
        <w:r w:rsidRPr="00832745">
          <w:rPr>
            <w:rStyle w:val="Hyperlink"/>
            <w:rFonts w:ascii="Times New Roman" w:hAnsi="Times New Roman"/>
            <w:sz w:val="24"/>
            <w:szCs w:val="24"/>
          </w:rPr>
          <w:t>https://cases.justia.com/federal/appellate-courts/ca11/22-10002/22-10002-2023-10-11.pdf?ts=1697045568</w:t>
        </w:r>
      </w:hyperlink>
    </w:p>
    <w:p w14:paraId="0B6D9326" w14:textId="77777777" w:rsidR="00832745" w:rsidRDefault="00832745" w:rsidP="00832745">
      <w:pPr>
        <w:pStyle w:val="NormalWeb"/>
        <w:rPr>
          <w:b/>
          <w:bCs/>
        </w:rPr>
      </w:pPr>
      <w:r>
        <w:rPr>
          <w:b/>
          <w:bCs/>
        </w:rPr>
        <w:t xml:space="preserve">Legal Lesson Learned: Some other Circuit Courts have taken an opposite position; perhaps the U.S. Supreme Court will take an appeal and resolve the conflict. </w:t>
      </w:r>
    </w:p>
    <w:p w14:paraId="05B2D700" w14:textId="77777777" w:rsidR="00832745" w:rsidRDefault="00832745" w:rsidP="00832745">
      <w:pPr>
        <w:pStyle w:val="Heading1"/>
        <w:ind w:left="720"/>
        <w:rPr>
          <w:b w:val="0"/>
          <w:bCs w:val="0"/>
          <w:sz w:val="24"/>
          <w:szCs w:val="24"/>
        </w:rPr>
      </w:pPr>
      <w:r>
        <w:rPr>
          <w:b w:val="0"/>
          <w:bCs w:val="0"/>
          <w:sz w:val="24"/>
          <w:szCs w:val="24"/>
        </w:rPr>
        <w:t>Note: The Court stated: “The Second and Third Circuits have held that Title I’s anti-discrimination provision is ambiguous, however, and have resolved that purported ambiguity in favor of former employees. See Castellano v. City of New York, 142 F.3d 58, 66–69 (2d Cir. 1998); Ford v. Schering-Plough Corp., 145 F.3d 601, 604–08 (3d Cir. 1998).”</w:t>
      </w:r>
    </w:p>
    <w:p w14:paraId="5160D8E4" w14:textId="77777777" w:rsidR="00832745" w:rsidRPr="00832745" w:rsidRDefault="00832745" w:rsidP="00832745">
      <w:pPr>
        <w:pStyle w:val="NoSpacing"/>
        <w:rPr>
          <w:rFonts w:ascii="Times New Roman" w:hAnsi="Times New Roman"/>
          <w:sz w:val="24"/>
          <w:szCs w:val="24"/>
        </w:rPr>
      </w:pPr>
    </w:p>
    <w:p w14:paraId="78B2D967" w14:textId="77777777" w:rsidR="00832745" w:rsidRPr="00832745" w:rsidRDefault="00832745" w:rsidP="005C30A4">
      <w:pPr>
        <w:pStyle w:val="NoSpacing"/>
        <w:rPr>
          <w:rFonts w:ascii="Times New Roman" w:hAnsi="Times New Roman"/>
          <w:sz w:val="24"/>
          <w:szCs w:val="24"/>
        </w:rPr>
      </w:pPr>
    </w:p>
    <w:p w14:paraId="6174E670" w14:textId="77777777" w:rsidR="00832745" w:rsidRDefault="00832745" w:rsidP="005C30A4">
      <w:pPr>
        <w:pStyle w:val="NoSpacing"/>
        <w:rPr>
          <w:rFonts w:ascii="Arial Black" w:hAnsi="Arial Black"/>
          <w:sz w:val="24"/>
          <w:szCs w:val="24"/>
        </w:rPr>
      </w:pPr>
    </w:p>
    <w:p w14:paraId="5D9DA476" w14:textId="004B3D22" w:rsidR="00AC3E10" w:rsidRDefault="00AC3E10" w:rsidP="005C30A4">
      <w:pPr>
        <w:pStyle w:val="NoSpacing"/>
        <w:rPr>
          <w:rFonts w:ascii="Arial Black" w:hAnsi="Arial Black"/>
          <w:sz w:val="24"/>
          <w:szCs w:val="24"/>
        </w:rPr>
      </w:pPr>
      <w:r>
        <w:rPr>
          <w:rFonts w:ascii="Arial Black" w:hAnsi="Arial Black"/>
          <w:sz w:val="24"/>
          <w:szCs w:val="24"/>
        </w:rPr>
        <w:t>9-38</w:t>
      </w:r>
    </w:p>
    <w:p w14:paraId="24D2F0AF" w14:textId="77777777" w:rsidR="00832745" w:rsidRDefault="00832745" w:rsidP="005C30A4">
      <w:pPr>
        <w:pStyle w:val="NoSpacing"/>
        <w:rPr>
          <w:rFonts w:ascii="Arial Black" w:hAnsi="Arial Black"/>
          <w:sz w:val="24"/>
          <w:szCs w:val="24"/>
        </w:rPr>
      </w:pPr>
    </w:p>
    <w:p w14:paraId="5EE8E976" w14:textId="77777777" w:rsidR="00AC3E10" w:rsidRDefault="00AC3E10" w:rsidP="00AC3E10">
      <w:pPr>
        <w:rPr>
          <w:rFonts w:ascii="Arial Black" w:hAnsi="Arial Black"/>
          <w:sz w:val="28"/>
          <w:szCs w:val="28"/>
        </w:rPr>
      </w:pPr>
      <w:r>
        <w:rPr>
          <w:rFonts w:ascii="Arial Black" w:hAnsi="Arial Black"/>
          <w:sz w:val="28"/>
          <w:szCs w:val="28"/>
        </w:rPr>
        <w:t>PA: ADA – EMS CONVINCED COVID PATIENT REFUSE TRANSPORT - “REGARDED AS” DISABELED – CASE PROCEED</w:t>
      </w:r>
    </w:p>
    <w:p w14:paraId="28512F95" w14:textId="77777777" w:rsidR="00AC3E10" w:rsidRDefault="00AC3E10" w:rsidP="00AC3E10">
      <w:pPr>
        <w:rPr>
          <w:rFonts w:ascii="Times New Roman" w:hAnsi="Times New Roman"/>
          <w:sz w:val="24"/>
          <w:szCs w:val="24"/>
        </w:rPr>
      </w:pPr>
      <w:r>
        <w:rPr>
          <w:rFonts w:ascii="Times New Roman" w:hAnsi="Times New Roman"/>
          <w:sz w:val="24"/>
          <w:szCs w:val="24"/>
        </w:rPr>
        <w:t xml:space="preserve">On Sept. 19, 2023, in </w:t>
      </w:r>
      <w:r w:rsidRPr="000679CA">
        <w:rPr>
          <w:rFonts w:ascii="Times New Roman" w:hAnsi="Times New Roman"/>
          <w:sz w:val="24"/>
          <w:szCs w:val="24"/>
          <w:u w:val="single"/>
        </w:rPr>
        <w:t>Keisha Cappel, et al. v. Aston Township Fire Department, et al</w:t>
      </w:r>
      <w:r>
        <w:rPr>
          <w:rFonts w:ascii="Times New Roman" w:hAnsi="Times New Roman"/>
          <w:sz w:val="24"/>
          <w:szCs w:val="24"/>
        </w:rPr>
        <w:t xml:space="preserve">., U.S. District Court Judge John Frank Murphy, Eastern District of Pennsylvania, held that lawsuit may proceed to pre-trial discovery under Americans </w:t>
      </w:r>
      <w:proofErr w:type="gramStart"/>
      <w:r>
        <w:rPr>
          <w:rFonts w:ascii="Times New Roman" w:hAnsi="Times New Roman"/>
          <w:sz w:val="24"/>
          <w:szCs w:val="24"/>
        </w:rPr>
        <w:t>With</w:t>
      </w:r>
      <w:proofErr w:type="gramEnd"/>
      <w:r>
        <w:rPr>
          <w:rFonts w:ascii="Times New Roman" w:hAnsi="Times New Roman"/>
          <w:sz w:val="24"/>
          <w:szCs w:val="24"/>
        </w:rPr>
        <w:t xml:space="preserve"> Disabilities Act since the EMTs “regarded” the patient as having a disability.   The Court held that while the allegations fail to state a claim under Fourteenth Amendment because the EMTs did not create a danger, the lawsuit may proceed on claim under Americans </w:t>
      </w:r>
      <w:proofErr w:type="gramStart"/>
      <w:r>
        <w:rPr>
          <w:rFonts w:ascii="Times New Roman" w:hAnsi="Times New Roman"/>
          <w:sz w:val="24"/>
          <w:szCs w:val="24"/>
        </w:rPr>
        <w:t>With</w:t>
      </w:r>
      <w:proofErr w:type="gramEnd"/>
      <w:r>
        <w:rPr>
          <w:rFonts w:ascii="Times New Roman" w:hAnsi="Times New Roman"/>
          <w:sz w:val="24"/>
          <w:szCs w:val="24"/>
        </w:rPr>
        <w:t xml:space="preserve"> Disability Act because they “regarded” the patient as having a disability.  The Court focused on the </w:t>
      </w:r>
      <w:proofErr w:type="gramStart"/>
      <w:r>
        <w:rPr>
          <w:rFonts w:ascii="Times New Roman" w:hAnsi="Times New Roman"/>
          <w:sz w:val="24"/>
          <w:szCs w:val="24"/>
        </w:rPr>
        <w:t>EMTs</w:t>
      </w:r>
      <w:proofErr w:type="gramEnd"/>
      <w:r>
        <w:rPr>
          <w:rFonts w:ascii="Times New Roman" w:hAnsi="Times New Roman"/>
          <w:sz w:val="24"/>
          <w:szCs w:val="24"/>
        </w:rPr>
        <w:t xml:space="preserve"> comments prior to seeing the patient. </w:t>
      </w:r>
    </w:p>
    <w:p w14:paraId="4D9B2731" w14:textId="77777777" w:rsidR="00AC3E10" w:rsidRPr="00EF6867" w:rsidRDefault="00AC3E10" w:rsidP="00AC3E10">
      <w:pPr>
        <w:pStyle w:val="NoSpacing"/>
        <w:ind w:firstLine="720"/>
        <w:rPr>
          <w:rFonts w:ascii="Times New Roman" w:hAnsi="Times New Roman"/>
          <w:sz w:val="24"/>
          <w:szCs w:val="24"/>
        </w:rPr>
      </w:pPr>
      <w:r w:rsidRPr="00EF6867">
        <w:rPr>
          <w:rFonts w:ascii="Times New Roman" w:hAnsi="Times New Roman"/>
          <w:sz w:val="24"/>
          <w:szCs w:val="24"/>
        </w:rPr>
        <w:t>“A Basic Life Support (BLS) unit and Advanced Life Support (ALS) unit were deployed</w:t>
      </w:r>
    </w:p>
    <w:p w14:paraId="543B6841" w14:textId="77777777" w:rsidR="00AC3E10" w:rsidRPr="00EF6867" w:rsidRDefault="00AC3E10" w:rsidP="00AC3E10">
      <w:pPr>
        <w:pStyle w:val="NoSpacing"/>
        <w:ind w:firstLine="720"/>
        <w:rPr>
          <w:rFonts w:ascii="Times New Roman" w:hAnsi="Times New Roman"/>
          <w:sz w:val="24"/>
          <w:szCs w:val="24"/>
        </w:rPr>
      </w:pPr>
      <w:r w:rsidRPr="00EF6867">
        <w:rPr>
          <w:rFonts w:ascii="Times New Roman" w:hAnsi="Times New Roman"/>
          <w:sz w:val="24"/>
          <w:szCs w:val="24"/>
        </w:rPr>
        <w:t>in response</w:t>
      </w:r>
      <w:r>
        <w:rPr>
          <w:rFonts w:ascii="Times New Roman" w:hAnsi="Times New Roman"/>
          <w:sz w:val="24"/>
          <w:szCs w:val="24"/>
        </w:rPr>
        <w:t xml:space="preserve">…. </w:t>
      </w:r>
      <w:r w:rsidRPr="00EF6867">
        <w:rPr>
          <w:rFonts w:ascii="Times New Roman" w:hAnsi="Times New Roman"/>
          <w:sz w:val="24"/>
          <w:szCs w:val="24"/>
        </w:rPr>
        <w:t>On their way to Ms. Jones’s house, the BLS unit — consisting of</w:t>
      </w:r>
    </w:p>
    <w:p w14:paraId="061B5D35" w14:textId="77777777" w:rsidR="00AC3E10" w:rsidRDefault="00AC3E10" w:rsidP="00AC3E10">
      <w:pPr>
        <w:pStyle w:val="NoSpacing"/>
        <w:ind w:left="720"/>
        <w:rPr>
          <w:rFonts w:ascii="Times New Roman" w:hAnsi="Times New Roman"/>
          <w:sz w:val="24"/>
          <w:szCs w:val="24"/>
        </w:rPr>
      </w:pPr>
      <w:r w:rsidRPr="00EF6867">
        <w:rPr>
          <w:rFonts w:ascii="Times New Roman" w:hAnsi="Times New Roman"/>
          <w:sz w:val="24"/>
          <w:szCs w:val="24"/>
        </w:rPr>
        <w:t xml:space="preserve">Eoin Marshall and Aaron Kisela (together, </w:t>
      </w:r>
      <w:r>
        <w:rPr>
          <w:rFonts w:ascii="Times New Roman" w:hAnsi="Times New Roman"/>
          <w:sz w:val="24"/>
          <w:szCs w:val="24"/>
        </w:rPr>
        <w:t>‘</w:t>
      </w:r>
      <w:r w:rsidRPr="00EF6867">
        <w:rPr>
          <w:rFonts w:ascii="Times New Roman" w:hAnsi="Times New Roman"/>
          <w:sz w:val="24"/>
          <w:szCs w:val="24"/>
        </w:rPr>
        <w:t>the EMT-Bs</w:t>
      </w:r>
      <w:r>
        <w:rPr>
          <w:rFonts w:ascii="Times New Roman" w:hAnsi="Times New Roman"/>
          <w:sz w:val="24"/>
          <w:szCs w:val="24"/>
        </w:rPr>
        <w:t>’</w:t>
      </w:r>
      <w:r w:rsidRPr="00EF6867">
        <w:rPr>
          <w:rFonts w:ascii="Times New Roman" w:hAnsi="Times New Roman"/>
          <w:sz w:val="24"/>
          <w:szCs w:val="24"/>
        </w:rPr>
        <w:t xml:space="preserve">) — </w:t>
      </w:r>
      <w:r>
        <w:rPr>
          <w:rFonts w:ascii="Times New Roman" w:hAnsi="Times New Roman"/>
          <w:sz w:val="24"/>
          <w:szCs w:val="24"/>
        </w:rPr>
        <w:t>‘</w:t>
      </w:r>
      <w:r w:rsidRPr="00EF6867">
        <w:rPr>
          <w:rFonts w:ascii="Times New Roman" w:hAnsi="Times New Roman"/>
          <w:sz w:val="24"/>
          <w:szCs w:val="24"/>
        </w:rPr>
        <w:t>discussed</w:t>
      </w:r>
      <w:r>
        <w:rPr>
          <w:rFonts w:ascii="Times New Roman" w:hAnsi="Times New Roman"/>
          <w:sz w:val="24"/>
          <w:szCs w:val="24"/>
        </w:rPr>
        <w:t>’</w:t>
      </w:r>
      <w:r w:rsidRPr="00EF6867">
        <w:rPr>
          <w:rFonts w:ascii="Times New Roman" w:hAnsi="Times New Roman"/>
          <w:sz w:val="24"/>
          <w:szCs w:val="24"/>
        </w:rPr>
        <w:t xml:space="preserve"> how Mr. Kisela would</w:t>
      </w:r>
      <w:r>
        <w:rPr>
          <w:rFonts w:ascii="Times New Roman" w:hAnsi="Times New Roman"/>
          <w:sz w:val="24"/>
          <w:szCs w:val="24"/>
        </w:rPr>
        <w:t xml:space="preserve"> </w:t>
      </w:r>
      <w:r w:rsidRPr="00EF6867">
        <w:rPr>
          <w:rFonts w:ascii="Times New Roman" w:hAnsi="Times New Roman"/>
          <w:sz w:val="24"/>
          <w:szCs w:val="24"/>
        </w:rPr>
        <w:t xml:space="preserve">remain outside of the home, and how they would </w:t>
      </w:r>
      <w:r>
        <w:rPr>
          <w:rFonts w:ascii="Times New Roman" w:hAnsi="Times New Roman"/>
          <w:sz w:val="24"/>
          <w:szCs w:val="24"/>
        </w:rPr>
        <w:t>‘</w:t>
      </w:r>
      <w:r w:rsidRPr="00EF6867">
        <w:rPr>
          <w:rFonts w:ascii="Times New Roman" w:hAnsi="Times New Roman"/>
          <w:sz w:val="24"/>
          <w:szCs w:val="24"/>
        </w:rPr>
        <w:t>pressure</w:t>
      </w:r>
      <w:r>
        <w:rPr>
          <w:rFonts w:ascii="Times New Roman" w:hAnsi="Times New Roman"/>
          <w:sz w:val="24"/>
          <w:szCs w:val="24"/>
        </w:rPr>
        <w:t>’</w:t>
      </w:r>
      <w:r w:rsidRPr="00EF6867">
        <w:rPr>
          <w:rFonts w:ascii="Times New Roman" w:hAnsi="Times New Roman"/>
          <w:sz w:val="24"/>
          <w:szCs w:val="24"/>
        </w:rPr>
        <w:t xml:space="preserve"> Ms. Jones into </w:t>
      </w:r>
      <w:r>
        <w:rPr>
          <w:rFonts w:ascii="Times New Roman" w:hAnsi="Times New Roman"/>
          <w:sz w:val="24"/>
          <w:szCs w:val="24"/>
        </w:rPr>
        <w:t>‘</w:t>
      </w:r>
      <w:r w:rsidRPr="00EF6867">
        <w:rPr>
          <w:rFonts w:ascii="Times New Roman" w:hAnsi="Times New Roman"/>
          <w:sz w:val="24"/>
          <w:szCs w:val="24"/>
        </w:rPr>
        <w:t>not go[</w:t>
      </w:r>
      <w:proofErr w:type="spellStart"/>
      <w:r w:rsidRPr="00EF6867">
        <w:rPr>
          <w:rFonts w:ascii="Times New Roman" w:hAnsi="Times New Roman"/>
          <w:sz w:val="24"/>
          <w:szCs w:val="24"/>
        </w:rPr>
        <w:t>ing</w:t>
      </w:r>
      <w:proofErr w:type="spellEnd"/>
      <w:r w:rsidRPr="00EF6867">
        <w:rPr>
          <w:rFonts w:ascii="Times New Roman" w:hAnsi="Times New Roman"/>
          <w:sz w:val="24"/>
          <w:szCs w:val="24"/>
        </w:rPr>
        <w:t>] to the</w:t>
      </w:r>
      <w:r>
        <w:rPr>
          <w:rFonts w:ascii="Times New Roman" w:hAnsi="Times New Roman"/>
          <w:sz w:val="24"/>
          <w:szCs w:val="24"/>
        </w:rPr>
        <w:t xml:space="preserve"> </w:t>
      </w:r>
      <w:r w:rsidRPr="00EF6867">
        <w:rPr>
          <w:rFonts w:ascii="Times New Roman" w:hAnsi="Times New Roman"/>
          <w:sz w:val="24"/>
          <w:szCs w:val="24"/>
        </w:rPr>
        <w:t xml:space="preserve">hospital regardless of her medical needs.” </w:t>
      </w:r>
    </w:p>
    <w:p w14:paraId="62D37AB1" w14:textId="77777777" w:rsidR="00AC3E10" w:rsidRPr="00CC41C5" w:rsidRDefault="00AC3E10" w:rsidP="00AC3E10">
      <w:pPr>
        <w:pStyle w:val="NoSpacing"/>
        <w:ind w:left="720"/>
        <w:rPr>
          <w:rFonts w:ascii="Times New Roman" w:hAnsi="Times New Roman"/>
          <w:sz w:val="24"/>
          <w:szCs w:val="24"/>
        </w:rPr>
      </w:pPr>
      <w:hyperlink r:id="rId1606" w:history="1">
        <w:r w:rsidRPr="000C56E5">
          <w:rPr>
            <w:rStyle w:val="Hyperlink"/>
            <w:rFonts w:ascii="Times New Roman" w:hAnsi="Times New Roman"/>
            <w:sz w:val="24"/>
            <w:szCs w:val="24"/>
          </w:rPr>
          <w:t>https://www.govinfo.gov/content/pkg/USCOURTS-paed-2_23-cv-00155/pdf/USCOURTS-paed-2_23-cv-00155-0.pdf</w:t>
        </w:r>
      </w:hyperlink>
      <w:r>
        <w:rPr>
          <w:rFonts w:ascii="Times New Roman" w:hAnsi="Times New Roman"/>
          <w:sz w:val="24"/>
          <w:szCs w:val="24"/>
        </w:rPr>
        <w:t xml:space="preserve"> </w:t>
      </w:r>
    </w:p>
    <w:p w14:paraId="3A409801" w14:textId="77777777" w:rsidR="00AC3E10" w:rsidRDefault="00AC3E10" w:rsidP="00AC3E10">
      <w:pPr>
        <w:pStyle w:val="NoSpacing"/>
        <w:rPr>
          <w:rFonts w:ascii="Times New Roman" w:hAnsi="Times New Roman"/>
          <w:b/>
          <w:bCs/>
          <w:sz w:val="24"/>
          <w:szCs w:val="24"/>
        </w:rPr>
      </w:pPr>
    </w:p>
    <w:p w14:paraId="5DD1EA6A" w14:textId="2B215EDA" w:rsidR="00AC3E10" w:rsidRPr="00D173AB" w:rsidRDefault="00AC3E10" w:rsidP="00AC3E10">
      <w:pPr>
        <w:pStyle w:val="NoSpacing"/>
        <w:rPr>
          <w:rFonts w:ascii="Times New Roman" w:hAnsi="Times New Roman"/>
          <w:b/>
          <w:bCs/>
          <w:sz w:val="24"/>
          <w:szCs w:val="24"/>
        </w:rPr>
      </w:pPr>
      <w:r w:rsidRPr="00D173AB">
        <w:rPr>
          <w:rFonts w:ascii="Times New Roman" w:hAnsi="Times New Roman"/>
          <w:b/>
          <w:bCs/>
          <w:sz w:val="24"/>
          <w:szCs w:val="24"/>
        </w:rPr>
        <w:t xml:space="preserve">Legal Lesson Learned: </w:t>
      </w:r>
      <w:r>
        <w:rPr>
          <w:rFonts w:ascii="Times New Roman" w:hAnsi="Times New Roman"/>
          <w:b/>
          <w:bCs/>
          <w:sz w:val="24"/>
          <w:szCs w:val="24"/>
        </w:rPr>
        <w:t xml:space="preserve">If a patient is not going to be transported, then get a refusal document signed.  </w:t>
      </w:r>
    </w:p>
    <w:p w14:paraId="591ABAC0" w14:textId="77777777" w:rsidR="00AC3E10" w:rsidRPr="00140087" w:rsidRDefault="00AC3E10" w:rsidP="00AC3E10">
      <w:pPr>
        <w:pStyle w:val="NoSpacing"/>
        <w:rPr>
          <w:rFonts w:ascii="Times New Roman" w:hAnsi="Times New Roman"/>
          <w:sz w:val="24"/>
          <w:szCs w:val="24"/>
        </w:rPr>
      </w:pPr>
    </w:p>
    <w:p w14:paraId="1ACA5343" w14:textId="77777777" w:rsidR="00AC3E10" w:rsidRDefault="00AC3E10" w:rsidP="005C30A4">
      <w:pPr>
        <w:pStyle w:val="NoSpacing"/>
        <w:rPr>
          <w:rFonts w:ascii="Arial Black" w:hAnsi="Arial Black"/>
          <w:sz w:val="24"/>
          <w:szCs w:val="24"/>
        </w:rPr>
      </w:pPr>
    </w:p>
    <w:p w14:paraId="3E5445E4" w14:textId="77777777" w:rsidR="00AC3E10" w:rsidRDefault="00AC3E10" w:rsidP="005C30A4">
      <w:pPr>
        <w:pStyle w:val="NoSpacing"/>
        <w:rPr>
          <w:rFonts w:ascii="Arial Black" w:hAnsi="Arial Black"/>
          <w:sz w:val="24"/>
          <w:szCs w:val="24"/>
        </w:rPr>
      </w:pPr>
    </w:p>
    <w:p w14:paraId="130A6562" w14:textId="03BB2A59" w:rsidR="009B0593" w:rsidRDefault="009B0593" w:rsidP="005C30A4">
      <w:pPr>
        <w:pStyle w:val="NoSpacing"/>
        <w:rPr>
          <w:rFonts w:ascii="Arial Black" w:hAnsi="Arial Black"/>
          <w:sz w:val="24"/>
          <w:szCs w:val="24"/>
        </w:rPr>
      </w:pPr>
      <w:r>
        <w:rPr>
          <w:rFonts w:ascii="Arial Black" w:hAnsi="Arial Black"/>
          <w:sz w:val="24"/>
          <w:szCs w:val="24"/>
        </w:rPr>
        <w:t>9-37</w:t>
      </w:r>
    </w:p>
    <w:p w14:paraId="7097F79C" w14:textId="77777777" w:rsidR="009B0593" w:rsidRPr="000D58F5" w:rsidRDefault="009B0593" w:rsidP="009B0593">
      <w:pPr>
        <w:pStyle w:val="NormalWeb"/>
        <w:rPr>
          <w:rFonts w:ascii="Arial Black" w:hAnsi="Arial Black"/>
          <w:b/>
          <w:bCs/>
          <w:sz w:val="28"/>
          <w:szCs w:val="28"/>
        </w:rPr>
      </w:pPr>
      <w:r>
        <w:rPr>
          <w:rFonts w:ascii="Arial Black" w:hAnsi="Arial Black"/>
          <w:b/>
          <w:bCs/>
          <w:sz w:val="28"/>
          <w:szCs w:val="28"/>
        </w:rPr>
        <w:t>ME: CAPTAIN ENLARGED AORTA – CITY DOCTOR LIMITED MAX 75 LBS – JURY HELD FOR FD - REQ. 100 LBS LIFTING</w:t>
      </w:r>
    </w:p>
    <w:p w14:paraId="11031E93" w14:textId="77777777" w:rsidR="009B0593" w:rsidRDefault="009B0593" w:rsidP="009B0593">
      <w:pPr>
        <w:pStyle w:val="NormalWeb"/>
      </w:pPr>
      <w:r w:rsidRPr="000D58F5">
        <w:t xml:space="preserve">On Aug. 15, 2023, in </w:t>
      </w:r>
      <w:r w:rsidRPr="000D58F5">
        <w:rPr>
          <w:u w:val="single"/>
        </w:rPr>
        <w:t>Brian K. Smith v. City of Sanford</w:t>
      </w:r>
      <w:r w:rsidRPr="000D58F5">
        <w:t xml:space="preserve">, </w:t>
      </w:r>
      <w:r>
        <w:t xml:space="preserve">the Supreme Court of Maine held (6 to 0) that the jury properly held the </w:t>
      </w:r>
      <w:proofErr w:type="gramStart"/>
      <w:r>
        <w:t>City</w:t>
      </w:r>
      <w:proofErr w:type="gramEnd"/>
      <w:r>
        <w:t xml:space="preserve"> did not discriminate against him because of a disability under the Maine Human Rights Act.  The FD requires all firefighters </w:t>
      </w:r>
      <w:proofErr w:type="gramStart"/>
      <w:r>
        <w:t>be</w:t>
      </w:r>
      <w:proofErr w:type="gramEnd"/>
      <w:r>
        <w:t xml:space="preserve"> able to lift 100 pounds; the </w:t>
      </w:r>
      <w:proofErr w:type="gramStart"/>
      <w:r>
        <w:t>Captain</w:t>
      </w:r>
      <w:proofErr w:type="gramEnd"/>
      <w:r>
        <w:t xml:space="preserve"> saw two cardiologists; when first imposed </w:t>
      </w:r>
      <w:proofErr w:type="gramStart"/>
      <w:r>
        <w:t>40 pound</w:t>
      </w:r>
      <w:proofErr w:type="gramEnd"/>
      <w:r>
        <w:t xml:space="preserve"> limit, he then saw second who imposed no limit.  Given the two conflicting limits, the </w:t>
      </w:r>
      <w:proofErr w:type="gramStart"/>
      <w:r>
        <w:t>City</w:t>
      </w:r>
      <w:proofErr w:type="gramEnd"/>
      <w:r>
        <w:t xml:space="preserve"> sent him to their occupational health doctor </w:t>
      </w:r>
      <w:proofErr w:type="gramStart"/>
      <w:r>
        <w:t>limited</w:t>
      </w:r>
      <w:proofErr w:type="gramEnd"/>
      <w:r>
        <w:t xml:space="preserve"> him to 75 pounds.  The trial court judge refused a request by the </w:t>
      </w:r>
      <w:proofErr w:type="gramStart"/>
      <w:r>
        <w:t>Captain’s</w:t>
      </w:r>
      <w:proofErr w:type="gramEnd"/>
      <w:r>
        <w:t xml:space="preserve"> attorney to instruct jury that "[</w:t>
      </w:r>
      <w:proofErr w:type="spellStart"/>
      <w:r>
        <w:t>i</w:t>
      </w:r>
      <w:proofErr w:type="spellEnd"/>
      <w:r>
        <w:t>]t is illegal as a matter of law for any employer to impose a 100% healed or 100% fit policy on any applicants for employment or any employees."</w:t>
      </w:r>
    </w:p>
    <w:p w14:paraId="3FB8AD77" w14:textId="77777777" w:rsidR="009B0593" w:rsidRPr="009B0593" w:rsidRDefault="009B0593" w:rsidP="009B0593">
      <w:pPr>
        <w:pStyle w:val="NormalWeb"/>
        <w:ind w:left="720"/>
      </w:pPr>
      <w:r w:rsidRPr="009B0593">
        <w:t>The Supreme Court of Maine:</w:t>
      </w:r>
    </w:p>
    <w:p w14:paraId="1352F544" w14:textId="2AE393AF" w:rsidR="009B0593" w:rsidRPr="009B0593" w:rsidRDefault="009B0593" w:rsidP="009B0593">
      <w:pPr>
        <w:pStyle w:val="NoSpacing"/>
        <w:ind w:left="720"/>
        <w:rPr>
          <w:rStyle w:val="Hyperlink"/>
          <w:rFonts w:ascii="Times New Roman" w:eastAsiaTheme="majorEastAsia" w:hAnsi="Times New Roman"/>
          <w:sz w:val="24"/>
          <w:szCs w:val="24"/>
        </w:rPr>
      </w:pPr>
      <w:r w:rsidRPr="009B0593">
        <w:rPr>
          <w:rFonts w:ascii="Times New Roman" w:hAnsi="Times New Roman"/>
          <w:sz w:val="24"/>
          <w:szCs w:val="24"/>
        </w:rPr>
        <w:t>“[B]</w:t>
      </w:r>
      <w:proofErr w:type="spellStart"/>
      <w:r w:rsidRPr="009B0593">
        <w:rPr>
          <w:rFonts w:ascii="Times New Roman" w:hAnsi="Times New Roman"/>
          <w:sz w:val="24"/>
          <w:szCs w:val="24"/>
        </w:rPr>
        <w:t>ecause</w:t>
      </w:r>
      <w:proofErr w:type="spellEnd"/>
      <w:r w:rsidRPr="009B0593">
        <w:rPr>
          <w:rFonts w:ascii="Times New Roman" w:hAnsi="Times New Roman"/>
          <w:sz w:val="24"/>
          <w:szCs w:val="24"/>
        </w:rPr>
        <w:t xml:space="preserve"> the evidence and the parties' arguments at trial focused on the required individualized assessment, we conclude that it would have been misleading or confusing for the jury to receive Smith's proposed instruction as written.” </w:t>
      </w:r>
      <w:hyperlink r:id="rId1607" w:history="1">
        <w:r w:rsidRPr="009B0593">
          <w:rPr>
            <w:rStyle w:val="Hyperlink"/>
            <w:rFonts w:ascii="Times New Roman" w:eastAsiaTheme="majorEastAsia" w:hAnsi="Times New Roman"/>
            <w:sz w:val="24"/>
            <w:szCs w:val="24"/>
          </w:rPr>
          <w:t>https://casetext.com/case/smith-v-city-of-sanford-2</w:t>
        </w:r>
      </w:hyperlink>
    </w:p>
    <w:p w14:paraId="12D99D93" w14:textId="77777777" w:rsidR="009B0593" w:rsidRDefault="009B0593" w:rsidP="009B0593">
      <w:pPr>
        <w:pStyle w:val="NoSpacing"/>
        <w:ind w:left="720"/>
        <w:rPr>
          <w:rStyle w:val="Hyperlink"/>
          <w:rFonts w:eastAsiaTheme="majorEastAsia"/>
        </w:rPr>
      </w:pPr>
    </w:p>
    <w:p w14:paraId="73F67A1B" w14:textId="77777777" w:rsidR="009B0593" w:rsidRPr="00B86D33" w:rsidRDefault="009B0593" w:rsidP="009B0593">
      <w:pPr>
        <w:pStyle w:val="NormalWeb"/>
        <w:rPr>
          <w:b/>
          <w:bCs/>
        </w:rPr>
      </w:pPr>
      <w:r w:rsidRPr="00B86D33">
        <w:rPr>
          <w:b/>
          <w:bCs/>
        </w:rPr>
        <w:t>Legal Lesson Learned:</w:t>
      </w:r>
      <w:r>
        <w:rPr>
          <w:b/>
          <w:bCs/>
        </w:rPr>
        <w:t xml:space="preserve"> FDs may properly require personnel to meet physical lifting requirements; they should be published. </w:t>
      </w:r>
    </w:p>
    <w:p w14:paraId="3AD0B682" w14:textId="77777777" w:rsidR="009B0593" w:rsidRDefault="009B0593" w:rsidP="009B0593">
      <w:pPr>
        <w:pStyle w:val="NoSpacing"/>
        <w:ind w:left="720"/>
        <w:rPr>
          <w:rFonts w:ascii="Arial Black" w:hAnsi="Arial Black"/>
          <w:sz w:val="24"/>
          <w:szCs w:val="24"/>
        </w:rPr>
      </w:pPr>
    </w:p>
    <w:p w14:paraId="034628B6" w14:textId="77777777" w:rsidR="009B0593" w:rsidRDefault="009B0593" w:rsidP="005C30A4">
      <w:pPr>
        <w:pStyle w:val="NoSpacing"/>
        <w:rPr>
          <w:rFonts w:ascii="Arial Black" w:hAnsi="Arial Black"/>
          <w:sz w:val="24"/>
          <w:szCs w:val="24"/>
        </w:rPr>
      </w:pPr>
    </w:p>
    <w:p w14:paraId="516A49C0" w14:textId="10E02DB5" w:rsidR="00BC4628" w:rsidRDefault="000644B6" w:rsidP="005C30A4">
      <w:pPr>
        <w:pStyle w:val="NoSpacing"/>
        <w:rPr>
          <w:rFonts w:ascii="Arial Black" w:hAnsi="Arial Black"/>
          <w:sz w:val="24"/>
          <w:szCs w:val="24"/>
        </w:rPr>
      </w:pPr>
      <w:r>
        <w:rPr>
          <w:rFonts w:ascii="Arial Black" w:hAnsi="Arial Black"/>
          <w:sz w:val="24"/>
          <w:szCs w:val="24"/>
        </w:rPr>
        <w:t>9-36</w:t>
      </w:r>
    </w:p>
    <w:p w14:paraId="02CCC435" w14:textId="77777777" w:rsidR="000644B6" w:rsidRPr="00AD7405" w:rsidRDefault="000644B6" w:rsidP="000644B6">
      <w:pPr>
        <w:pStyle w:val="NormalWeb"/>
        <w:jc w:val="both"/>
        <w:rPr>
          <w:rFonts w:ascii="Arial Black" w:hAnsi="Arial Black"/>
          <w:sz w:val="28"/>
          <w:szCs w:val="28"/>
        </w:rPr>
      </w:pPr>
      <w:r>
        <w:rPr>
          <w:rFonts w:ascii="Arial Black" w:hAnsi="Arial Black"/>
          <w:sz w:val="28"/>
          <w:szCs w:val="28"/>
        </w:rPr>
        <w:t>MD: PRE-TRIAL DISCOVERY – EMT CLAIMS NOT PROMOTED BIPOLAR / DEPRESSION – MUST PROVIDE MEDICAL RECORDS</w:t>
      </w:r>
    </w:p>
    <w:p w14:paraId="048FE1BA" w14:textId="77777777" w:rsidR="000644B6" w:rsidRPr="000644B6" w:rsidRDefault="000644B6" w:rsidP="000644B6">
      <w:pPr>
        <w:pStyle w:val="NormalWeb"/>
      </w:pPr>
      <w:r w:rsidRPr="000644B6">
        <w:t xml:space="preserve">On July 10, 2023, in </w:t>
      </w:r>
      <w:r w:rsidRPr="000644B6">
        <w:rPr>
          <w:u w:val="single"/>
        </w:rPr>
        <w:t>Matthew Schaeffer v. Mayor and City Council of Baltimore</w:t>
      </w:r>
      <w:r w:rsidRPr="000644B6">
        <w:t xml:space="preserve">, U.S, Magistrate J. Mark Coulson, U.S. District Court for District of Maryland, held in a pre-trial discovery dispute that the </w:t>
      </w:r>
      <w:proofErr w:type="gramStart"/>
      <w:r w:rsidRPr="000644B6">
        <w:t>City</w:t>
      </w:r>
      <w:proofErr w:type="gramEnd"/>
      <w:r w:rsidRPr="000644B6">
        <w:t xml:space="preserve"> is entitled to the EMT’s mental and other medical records for past seven years.  The EMT has been with FD since 2015, and states FD has been aware of his diagnoses of bipolar disorder and depression.  Plaintiff further alleges that he was not promoted in 2015, and in February 2022 he received written notice of promotion qualification after completing all assessments and a medical screening, but City “then improperly imposed additional medical clearance requirements at the last minute based on Plaintiff's mental health conditions, resulting in Defendant revoking the promotion.” The </w:t>
      </w:r>
      <w:proofErr w:type="gramStart"/>
      <w:r w:rsidRPr="000644B6">
        <w:t>City</w:t>
      </w:r>
      <w:proofErr w:type="gramEnd"/>
      <w:r w:rsidRPr="000644B6">
        <w:t xml:space="preserve"> served plaintiff with written requests for records, </w:t>
      </w:r>
    </w:p>
    <w:p w14:paraId="1ED34017" w14:textId="77777777" w:rsidR="000644B6" w:rsidRPr="000644B6" w:rsidRDefault="000644B6" w:rsidP="000644B6">
      <w:pPr>
        <w:pStyle w:val="NormalWeb"/>
      </w:pPr>
      <w:r w:rsidRPr="000644B6">
        <w:t xml:space="preserve">The Court held: </w:t>
      </w:r>
    </w:p>
    <w:p w14:paraId="0F3F19C8" w14:textId="294E8093" w:rsidR="000644B6" w:rsidRDefault="000644B6" w:rsidP="000644B6">
      <w:pPr>
        <w:pStyle w:val="NoSpacing"/>
        <w:rPr>
          <w:rFonts w:ascii="Arial Black" w:hAnsi="Arial Black"/>
          <w:sz w:val="24"/>
          <w:szCs w:val="24"/>
        </w:rPr>
      </w:pPr>
      <w:r w:rsidRPr="000644B6">
        <w:rPr>
          <w:rFonts w:ascii="Times New Roman" w:hAnsi="Times New Roman"/>
          <w:sz w:val="24"/>
          <w:szCs w:val="24"/>
        </w:rPr>
        <w:t xml:space="preserve">“Defendant seeks discovery regarding, </w:t>
      </w:r>
      <w:r w:rsidRPr="000644B6">
        <w:rPr>
          <w:rStyle w:val="Emphasis"/>
          <w:rFonts w:ascii="Times New Roman" w:hAnsi="Times New Roman"/>
          <w:sz w:val="24"/>
          <w:szCs w:val="24"/>
        </w:rPr>
        <w:t>inter alia</w:t>
      </w:r>
      <w:r w:rsidRPr="000644B6">
        <w:rPr>
          <w:rFonts w:ascii="Times New Roman" w:hAnsi="Times New Roman"/>
          <w:sz w:val="24"/>
          <w:szCs w:val="24"/>
        </w:rPr>
        <w:t xml:space="preserve">, Plaintiff's mental health treatment. *** Interrogatory No. 6, reading, in pertinent part, ‘If you have undergone treatment in the past seven (7) years for a mental illness or emotional condition . . . please state all details . . .including the nature of the illness/condition, dates of treatment, the circumstances surrounding its occurrence, and the names of health care providers involved in the examination, diagnosis or treatment of it.’ *** Given that both </w:t>
      </w:r>
      <w:proofErr w:type="gramStart"/>
      <w:r w:rsidRPr="000644B6">
        <w:rPr>
          <w:rFonts w:ascii="Times New Roman" w:hAnsi="Times New Roman"/>
          <w:sz w:val="24"/>
          <w:szCs w:val="24"/>
        </w:rPr>
        <w:t>damages</w:t>
      </w:r>
      <w:proofErr w:type="gramEnd"/>
      <w:r w:rsidRPr="000644B6">
        <w:rPr>
          <w:rFonts w:ascii="Times New Roman" w:hAnsi="Times New Roman"/>
          <w:sz w:val="24"/>
          <w:szCs w:val="24"/>
        </w:rPr>
        <w:t xml:space="preserve"> and liability itself are premised on the nature and extent of Plaintiff's mental health diagnoses and treatment, Defendant should be allowed reasonable inquiry into such areas. Further, as noted above, given that the core claim in this case is that Defendant discriminated against Plaintiff because of Plaintiff's mental health diagnoses, the Court has no trouble concluding that those conditions are within the scope of discovery. Plaintiff's amended response is that he has not needed or undergone treatment for mental illness or emotional condition in the last seven years ‘except as previously provided to the defendant…. The Court finds Plaintiff's response insufficient. Although Plaintiff may well have provided medical and mental health information as part of his employment,</w:t>
      </w:r>
      <w:r w:rsidRPr="000644B6">
        <w:rPr>
          <w:rFonts w:ascii="Times New Roman" w:hAnsi="Times New Roman"/>
          <w:sz w:val="24"/>
          <w:szCs w:val="24"/>
          <w:vertAlign w:val="superscript"/>
        </w:rPr>
        <w:t xml:space="preserve"> </w:t>
      </w:r>
      <w:r w:rsidRPr="000644B6">
        <w:rPr>
          <w:rFonts w:ascii="Times New Roman" w:hAnsi="Times New Roman"/>
          <w:sz w:val="24"/>
          <w:szCs w:val="24"/>
        </w:rPr>
        <w:t xml:space="preserve">this does not excuse him from providing the narrative called for by this interrogatory, especially since Plaintiff has been a long-time employee of BCFD.” </w:t>
      </w:r>
      <w:hyperlink r:id="rId1608" w:history="1">
        <w:r w:rsidRPr="000E286F">
          <w:rPr>
            <w:rStyle w:val="Hyperlink"/>
            <w:rFonts w:eastAsiaTheme="majorEastAsia"/>
          </w:rPr>
          <w:t>https://public.fastcase.com/ZZhmr5v9wN%2FXOe5IsQ%2FqD0vptgQgkTgOc2XpReLMSYnB1s%2FjY6uEmfEHbXjNZYzwjdaE47PHCuenuGKG11vJGyDk8SuwK4ZV%2BjmAhdBj8vo%3D?utm_medium=email&amp;_hsmi=226712652&amp;_hsenc=p2ANqtz-8f3GbrLnvkkmFwGTcrnfHBUbhSWsI9S9n17c5FNvxL__Rb5dkxAl0xkukh9Thg8SYUm21fgYbaYJ57SsEv3B3vwn_tCQ&amp;utm_content=226712652&amp;utm_source=hs_email</w:t>
        </w:r>
      </w:hyperlink>
    </w:p>
    <w:p w14:paraId="3C355A9C" w14:textId="77777777" w:rsidR="000644B6" w:rsidRDefault="000644B6" w:rsidP="005C30A4">
      <w:pPr>
        <w:pStyle w:val="NoSpacing"/>
        <w:rPr>
          <w:rFonts w:ascii="Arial Black" w:hAnsi="Arial Black"/>
          <w:sz w:val="24"/>
          <w:szCs w:val="24"/>
        </w:rPr>
      </w:pPr>
    </w:p>
    <w:p w14:paraId="43E2F14D" w14:textId="77777777" w:rsidR="000644B6" w:rsidRPr="002C7617" w:rsidRDefault="000644B6" w:rsidP="000644B6">
      <w:pPr>
        <w:pStyle w:val="NormalWeb"/>
        <w:rPr>
          <w:b/>
          <w:bCs/>
        </w:rPr>
      </w:pPr>
      <w:r w:rsidRPr="002C7617">
        <w:rPr>
          <w:b/>
          <w:bCs/>
        </w:rPr>
        <w:t xml:space="preserve">Legal Lesson Learned: </w:t>
      </w:r>
      <w:r>
        <w:rPr>
          <w:b/>
          <w:bCs/>
        </w:rPr>
        <w:t xml:space="preserve">In pre-trial discovery involving alleged discrimination based on employee’s mental health, the City is entitled to plaintiff’s medical records. </w:t>
      </w:r>
    </w:p>
    <w:p w14:paraId="2433122F" w14:textId="4736E99A" w:rsidR="000644B6" w:rsidRDefault="000644B6" w:rsidP="005C30A4">
      <w:pPr>
        <w:pStyle w:val="NoSpacing"/>
        <w:rPr>
          <w:rFonts w:ascii="Arial Black" w:hAnsi="Arial Black"/>
          <w:sz w:val="24"/>
          <w:szCs w:val="24"/>
        </w:rPr>
      </w:pPr>
      <w:r>
        <w:rPr>
          <w:rFonts w:ascii="Arial Black" w:hAnsi="Arial Black"/>
          <w:sz w:val="24"/>
          <w:szCs w:val="24"/>
        </w:rPr>
        <w:t xml:space="preserve"> </w:t>
      </w:r>
    </w:p>
    <w:p w14:paraId="033A1AC3" w14:textId="65E1D847" w:rsidR="00BC4628" w:rsidRDefault="00BC4628" w:rsidP="005C30A4">
      <w:pPr>
        <w:pStyle w:val="NoSpacing"/>
        <w:rPr>
          <w:rFonts w:ascii="Arial Black" w:hAnsi="Arial Black"/>
          <w:sz w:val="24"/>
          <w:szCs w:val="24"/>
        </w:rPr>
      </w:pPr>
      <w:r>
        <w:rPr>
          <w:rFonts w:ascii="Arial Black" w:hAnsi="Arial Black"/>
          <w:sz w:val="24"/>
          <w:szCs w:val="24"/>
        </w:rPr>
        <w:t>9-3</w:t>
      </w:r>
      <w:r w:rsidR="00D33F96">
        <w:rPr>
          <w:rFonts w:ascii="Arial Black" w:hAnsi="Arial Black"/>
          <w:sz w:val="24"/>
          <w:szCs w:val="24"/>
        </w:rPr>
        <w:t>5</w:t>
      </w:r>
    </w:p>
    <w:p w14:paraId="580AB02E" w14:textId="77777777" w:rsidR="00BC4628" w:rsidRDefault="00BC4628" w:rsidP="00BC4628">
      <w:pPr>
        <w:pStyle w:val="NormalWeb"/>
        <w:rPr>
          <w:rFonts w:ascii="Arial Black" w:hAnsi="Arial Black"/>
          <w:sz w:val="28"/>
          <w:szCs w:val="28"/>
        </w:rPr>
      </w:pPr>
      <w:r>
        <w:rPr>
          <w:rFonts w:ascii="Arial Black" w:hAnsi="Arial Black"/>
          <w:sz w:val="28"/>
          <w:szCs w:val="28"/>
        </w:rPr>
        <w:t>IL: CHICAGO FD APPLICANT SENT PSYCH EXAM – PRIOR HISTORY – FAILED – CITY MUST NAME 12 OTHERS FAILED</w:t>
      </w:r>
    </w:p>
    <w:p w14:paraId="2D15B3CC" w14:textId="77777777" w:rsidR="00BC4628" w:rsidRDefault="00BC4628" w:rsidP="00BC4628">
      <w:pPr>
        <w:pStyle w:val="NormalWeb"/>
      </w:pPr>
      <w:r>
        <w:t xml:space="preserve">On July 5, 2023, in </w:t>
      </w:r>
      <w:r w:rsidRPr="00046C0A">
        <w:rPr>
          <w:u w:val="single"/>
        </w:rPr>
        <w:t>Nicholas Sintos v. City of Chicago</w:t>
      </w:r>
      <w:r>
        <w:t xml:space="preserve">, U.S. District Court </w:t>
      </w:r>
      <w:r w:rsidRPr="00046C0A">
        <w:t>Judge Sara L. Elli</w:t>
      </w:r>
      <w:r>
        <w:t xml:space="preserve">, U.S. District Court for Northern District of Illinois, Eastern Division, ordered the City to produce the names and unredacted psych exam records of12 other applicants who were ordered to take psychological exams having received job </w:t>
      </w:r>
      <w:r>
        <w:lastRenderedPageBreak/>
        <w:t xml:space="preserve">offers upon passing the exam.  The Court had initially held that names of these individuals should not be disclosed, upon after a court hearing decided that names must be disclosed, and no requirement city first get their authorization. </w:t>
      </w:r>
    </w:p>
    <w:p w14:paraId="349F5FD8" w14:textId="77777777" w:rsidR="00BC4628" w:rsidRPr="003D36C0" w:rsidRDefault="00BC4628" w:rsidP="00BC4628">
      <w:pPr>
        <w:pStyle w:val="NormalWeb"/>
      </w:pPr>
      <w:r>
        <w:t>The Court held: “</w:t>
      </w:r>
      <w:r w:rsidRPr="00046C0A">
        <w:t xml:space="preserve">During discovery, the </w:t>
      </w:r>
      <w:proofErr w:type="gramStart"/>
      <w:r w:rsidRPr="00046C0A">
        <w:t>City</w:t>
      </w:r>
      <w:proofErr w:type="gramEnd"/>
      <w:r w:rsidRPr="00046C0A">
        <w:t xml:space="preserve"> produced medical clearance files for other applicants, however, it redacted their names and contact information. </w:t>
      </w:r>
      <w:proofErr w:type="spellStart"/>
      <w:r w:rsidRPr="00046C0A">
        <w:t>Sintos</w:t>
      </w:r>
      <w:proofErr w:type="spellEnd"/>
      <w:r w:rsidRPr="00046C0A">
        <w:t xml:space="preserve"> asked the Court to require the </w:t>
      </w:r>
      <w:proofErr w:type="gramStart"/>
      <w:r w:rsidRPr="00046C0A">
        <w:t>City</w:t>
      </w:r>
      <w:proofErr w:type="gramEnd"/>
      <w:r w:rsidRPr="00046C0A">
        <w:t xml:space="preserve"> to produce unredacted versions so that he could contact other candidates who, like him, were required to undergo post-offer psychological exams. </w:t>
      </w:r>
      <w:proofErr w:type="spellStart"/>
      <w:r w:rsidRPr="00046C0A">
        <w:t>Sintos</w:t>
      </w:r>
      <w:proofErr w:type="spellEnd"/>
      <w:r w:rsidRPr="00046C0A">
        <w:t xml:space="preserve"> argued that he is entitled to contact these individuals as they are potential witnesses.</w:t>
      </w:r>
      <w:r>
        <w:t xml:space="preserve"> *** </w:t>
      </w:r>
      <w:r w:rsidRPr="003D36C0">
        <w:t xml:space="preserve">To support his argument that the practice is widespread, </w:t>
      </w:r>
      <w:proofErr w:type="spellStart"/>
      <w:r w:rsidRPr="003D36C0">
        <w:t>Sintos</w:t>
      </w:r>
      <w:proofErr w:type="spellEnd"/>
      <w:r w:rsidRPr="003D36C0">
        <w:t xml:space="preserve"> </w:t>
      </w:r>
      <w:proofErr w:type="gramStart"/>
      <w:r w:rsidRPr="003D36C0">
        <w:t>seeks</w:t>
      </w:r>
      <w:proofErr w:type="gramEnd"/>
      <w:r w:rsidRPr="003D36C0">
        <w:t xml:space="preserve"> to contact other applicants who underwent the psychological evaluation exam but were not hired. </w:t>
      </w:r>
      <w:r w:rsidRPr="003D36C0">
        <w:rPr>
          <w:rStyle w:val="Emphasis"/>
          <w:rFonts w:eastAsiaTheme="majorEastAsia"/>
        </w:rPr>
        <w:t>See Reed v. Wexford Health Sources, Inc.</w:t>
      </w:r>
      <w:r w:rsidRPr="003D36C0">
        <w:t>, No. 20-cv-01139-SPM, 2022 WL 4483949, at *6 (S.D. Ill. Sept. 27, 2022) (“</w:t>
      </w:r>
      <w:r w:rsidRPr="003D36C0">
        <w:rPr>
          <w:rStyle w:val="Emphasis"/>
          <w:rFonts w:eastAsiaTheme="majorEastAsia"/>
        </w:rPr>
        <w:t>Monell</w:t>
      </w:r>
      <w:r w:rsidRPr="003D36C0">
        <w:t xml:space="preserve"> claims often require broad discovery.). Here, the Court is allowing </w:t>
      </w:r>
      <w:proofErr w:type="spellStart"/>
      <w:r w:rsidRPr="003D36C0">
        <w:t>Sintos</w:t>
      </w:r>
      <w:proofErr w:type="spellEnd"/>
      <w:r w:rsidRPr="003D36C0">
        <w:t xml:space="preserve"> access to </w:t>
      </w:r>
      <w:proofErr w:type="gramStart"/>
      <w:r w:rsidRPr="003D36C0">
        <w:t>the unredacted</w:t>
      </w:r>
      <w:proofErr w:type="gramEnd"/>
      <w:r w:rsidRPr="003D36C0">
        <w:t xml:space="preserve"> information for at most twelve individuals. Given the small number of individuals and the need for this information to establish his </w:t>
      </w:r>
      <w:r w:rsidRPr="003D36C0">
        <w:rPr>
          <w:rStyle w:val="Emphasis"/>
          <w:rFonts w:eastAsiaTheme="majorEastAsia"/>
        </w:rPr>
        <w:t>Monell</w:t>
      </w:r>
      <w:r w:rsidRPr="003D36C0">
        <w:t xml:space="preserve"> claim, the Court found it appropriate to order the City to provide unredacted files.</w:t>
      </w:r>
      <w:r>
        <w:t xml:space="preserve"> *** </w:t>
      </w:r>
      <w:r w:rsidRPr="003D36C0">
        <w:t xml:space="preserve">The City contends that even if the federal psychotherapist-patient privilege, and not the Mental Health Act, applies, that it too bars the disclosure of the unredacted third-party applicant files absent consent from </w:t>
      </w:r>
      <w:proofErr w:type="gramStart"/>
      <w:r w:rsidRPr="003D36C0">
        <w:t>each individual</w:t>
      </w:r>
      <w:proofErr w:type="gramEnd"/>
      <w:r>
        <w:t xml:space="preserve">…. </w:t>
      </w:r>
      <w:r w:rsidRPr="003D36C0">
        <w:t xml:space="preserve">Here, the third-party applicants were not seeking mental health treatment, as in </w:t>
      </w:r>
      <w:r w:rsidRPr="003D36C0">
        <w:rPr>
          <w:rStyle w:val="Emphasis"/>
          <w:rFonts w:eastAsiaTheme="majorEastAsia"/>
        </w:rPr>
        <w:t>Jaffee</w:t>
      </w:r>
      <w:r>
        <w:t xml:space="preserve"> </w:t>
      </w:r>
      <w:r w:rsidRPr="003D36C0">
        <w:t>[</w:t>
      </w:r>
      <w:r w:rsidRPr="003D36C0">
        <w:rPr>
          <w:rStyle w:val="Emphasis"/>
          <w:rFonts w:eastAsiaTheme="majorEastAsia"/>
        </w:rPr>
        <w:t>v. Redmond</w:t>
      </w:r>
      <w:r w:rsidRPr="003D36C0">
        <w:t xml:space="preserve">, 518 U.S. 1, 10 (1996)] but instead were participating in a compelled evaluation in hopes of gaining employment with the City. </w:t>
      </w:r>
      <w:r w:rsidRPr="003D36C0">
        <w:rPr>
          <w:rStyle w:val="Emphasis"/>
          <w:rFonts w:eastAsiaTheme="majorEastAsia"/>
        </w:rPr>
        <w:t>See id.</w:t>
      </w:r>
      <w:r w:rsidRPr="003D36C0">
        <w:t xml:space="preserve"> Thus, the Court finds that neither the Mental Health Act nor the federal psychotherapist-patient privilege apply.</w:t>
      </w:r>
      <w:r>
        <w:t xml:space="preserve">” </w:t>
      </w:r>
      <w:hyperlink r:id="rId1609" w:history="1">
        <w:r w:rsidRPr="00E97EE7">
          <w:rPr>
            <w:rStyle w:val="Hyperlink"/>
          </w:rPr>
          <w:t>https://public.fastcase.com/ZZhmr5v9wN%2FXOe5IsQ%2FqD3krOQsYv7d%2B2FRanieXHrmbYJPE10W29y6OT9Ia%2FWEvM783GCgc1J%2FsNiq8x9hdfsWhS9nPoC1uzPRzllCUOIc%3D?utm_medium=email&amp;_hsmi=226712652&amp;_hsenc=p2ANqtz-8spF1R7Tf8jpK24zY2dxus9kZGwVA1F9Ooj2BZLJ_FR6fOEX3itYzYoKF0bR9AZ1zkqCBHaC-K0F7fdoWy1HLEeYJb6g&amp;utm_content=226712652&amp;utm_source=hs_email</w:t>
        </w:r>
      </w:hyperlink>
      <w:r>
        <w:t xml:space="preserve"> </w:t>
      </w:r>
    </w:p>
    <w:p w14:paraId="0A89A9BE" w14:textId="77777777" w:rsidR="00BC4628" w:rsidRPr="000A03A6" w:rsidRDefault="00BC4628" w:rsidP="00BC4628">
      <w:pPr>
        <w:pStyle w:val="NormalWeb"/>
        <w:rPr>
          <w:b/>
          <w:bCs/>
        </w:rPr>
      </w:pPr>
      <w:r w:rsidRPr="000A03A6">
        <w:rPr>
          <w:b/>
          <w:bCs/>
        </w:rPr>
        <w:t xml:space="preserve">Legal Lesson Learned: </w:t>
      </w:r>
      <w:r>
        <w:rPr>
          <w:b/>
          <w:bCs/>
        </w:rPr>
        <w:t xml:space="preserve">Many FDs require psych exams as part of final job </w:t>
      </w:r>
      <w:proofErr w:type="gramStart"/>
      <w:r>
        <w:rPr>
          <w:b/>
          <w:bCs/>
        </w:rPr>
        <w:t>offer</w:t>
      </w:r>
      <w:proofErr w:type="gramEnd"/>
      <w:r>
        <w:rPr>
          <w:b/>
          <w:bCs/>
        </w:rPr>
        <w:t xml:space="preserve"> for all finalists; see below EEOC Guidance.  </w:t>
      </w:r>
    </w:p>
    <w:p w14:paraId="5E419099" w14:textId="77777777" w:rsidR="00BC4628" w:rsidRDefault="00BC4628" w:rsidP="00BC46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See EEOC Enforcement Guidance </w:t>
      </w:r>
      <w:proofErr w:type="gramStart"/>
      <w:r>
        <w:rPr>
          <w:rFonts w:ascii="Times New Roman" w:hAnsi="Times New Roman"/>
          <w:sz w:val="24"/>
          <w:szCs w:val="24"/>
        </w:rPr>
        <w:t>On</w:t>
      </w:r>
      <w:proofErr w:type="gramEnd"/>
      <w:r>
        <w:rPr>
          <w:rFonts w:ascii="Times New Roman" w:hAnsi="Times New Roman"/>
          <w:sz w:val="24"/>
          <w:szCs w:val="24"/>
        </w:rPr>
        <w:t xml:space="preserve"> Disability-Related </w:t>
      </w:r>
      <w:proofErr w:type="spellStart"/>
      <w:r>
        <w:rPr>
          <w:rFonts w:ascii="Times New Roman" w:hAnsi="Times New Roman"/>
          <w:sz w:val="24"/>
          <w:szCs w:val="24"/>
        </w:rPr>
        <w:t>Inquries</w:t>
      </w:r>
      <w:proofErr w:type="spellEnd"/>
      <w:r>
        <w:rPr>
          <w:rFonts w:ascii="Times New Roman" w:hAnsi="Times New Roman"/>
          <w:sz w:val="24"/>
          <w:szCs w:val="24"/>
        </w:rPr>
        <w:t xml:space="preserve"> </w:t>
      </w:r>
      <w:proofErr w:type="gramStart"/>
      <w:r>
        <w:rPr>
          <w:rFonts w:ascii="Times New Roman" w:hAnsi="Times New Roman"/>
          <w:sz w:val="24"/>
          <w:szCs w:val="24"/>
        </w:rPr>
        <w:t>And</w:t>
      </w:r>
      <w:proofErr w:type="gramEnd"/>
      <w:r>
        <w:rPr>
          <w:rFonts w:ascii="Times New Roman" w:hAnsi="Times New Roman"/>
          <w:sz w:val="24"/>
          <w:szCs w:val="24"/>
        </w:rPr>
        <w:t xml:space="preserve"> Medical Examinations Under ADA . </w:t>
      </w:r>
      <w:hyperlink r:id="rId1610" w:history="1">
        <w:r w:rsidRPr="001055F4">
          <w:rPr>
            <w:rStyle w:val="Hyperlink"/>
            <w:sz w:val="24"/>
            <w:szCs w:val="24"/>
          </w:rPr>
          <w:t>https://www.eeoc.gov/laws/guidance/enforcement-guidance-disability-related-inquiries-and-medical-examinations-employees</w:t>
        </w:r>
      </w:hyperlink>
      <w:r>
        <w:rPr>
          <w:rFonts w:ascii="Times New Roman" w:hAnsi="Times New Roman"/>
          <w:sz w:val="24"/>
          <w:szCs w:val="24"/>
        </w:rPr>
        <w:t xml:space="preserve"> </w:t>
      </w:r>
    </w:p>
    <w:p w14:paraId="14552EBA" w14:textId="77777777" w:rsidR="00BC4628" w:rsidRPr="00103455" w:rsidRDefault="00BC4628" w:rsidP="00BC46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03455">
        <w:rPr>
          <w:rFonts w:ascii="Times New Roman" w:hAnsi="Times New Roman"/>
          <w:sz w:val="24"/>
          <w:szCs w:val="24"/>
        </w:rPr>
        <w:t xml:space="preserve">Under the ADA, an employer's ability to make disability-related inquiries or require medical examinations is analyzed in three stages: pre-offer, post-offer, and employment. At the first stage </w:t>
      </w:r>
      <w:r w:rsidRPr="00103455">
        <w:rPr>
          <w:rStyle w:val="Strong"/>
          <w:rFonts w:ascii="Times New Roman" w:hAnsi="Times New Roman"/>
          <w:sz w:val="24"/>
          <w:szCs w:val="24"/>
        </w:rPr>
        <w:t>(prior to an offer of employment)</w:t>
      </w:r>
      <w:r w:rsidRPr="00103455">
        <w:rPr>
          <w:rFonts w:ascii="Times New Roman" w:hAnsi="Times New Roman"/>
          <w:sz w:val="24"/>
          <w:szCs w:val="24"/>
        </w:rPr>
        <w:t>, the ADA prohibits all disability-related inquiries and medical examinations,</w:t>
      </w:r>
      <w:r w:rsidRPr="00103455">
        <w:rPr>
          <w:rStyle w:val="Emphasis"/>
          <w:rFonts w:ascii="Times New Roman" w:hAnsi="Times New Roman"/>
          <w:sz w:val="24"/>
          <w:szCs w:val="24"/>
        </w:rPr>
        <w:t xml:space="preserve"> even if</w:t>
      </w:r>
      <w:r w:rsidRPr="00103455">
        <w:rPr>
          <w:rFonts w:ascii="Times New Roman" w:hAnsi="Times New Roman"/>
          <w:sz w:val="24"/>
          <w:szCs w:val="24"/>
        </w:rPr>
        <w:t xml:space="preserve"> they are related to the job. At the second stage </w:t>
      </w:r>
      <w:r w:rsidRPr="00103455">
        <w:rPr>
          <w:rStyle w:val="Strong"/>
          <w:rFonts w:ascii="Times New Roman" w:hAnsi="Times New Roman"/>
          <w:sz w:val="24"/>
          <w:szCs w:val="24"/>
        </w:rPr>
        <w:t>(after an applicant is given a conditional job offer, but before s/he starts work)</w:t>
      </w:r>
      <w:r w:rsidRPr="00103455">
        <w:rPr>
          <w:rFonts w:ascii="Times New Roman" w:hAnsi="Times New Roman"/>
          <w:sz w:val="24"/>
          <w:szCs w:val="24"/>
        </w:rPr>
        <w:t xml:space="preserve">, an employer may make disability-related inquiries and conduct medical examinations, regardless of whether they are related to the job, as long as it does so for all entering employees in the same job category. At the third stage </w:t>
      </w:r>
      <w:r w:rsidRPr="00103455">
        <w:rPr>
          <w:rStyle w:val="Strong"/>
          <w:rFonts w:ascii="Times New Roman" w:hAnsi="Times New Roman"/>
          <w:sz w:val="24"/>
          <w:szCs w:val="24"/>
        </w:rPr>
        <w:t>(after employment begins)</w:t>
      </w:r>
      <w:r w:rsidRPr="00103455">
        <w:rPr>
          <w:rFonts w:ascii="Times New Roman" w:hAnsi="Times New Roman"/>
          <w:sz w:val="24"/>
          <w:szCs w:val="24"/>
        </w:rPr>
        <w:t xml:space="preserve">, an employer may make disability-related inquiries and require medical examinations </w:t>
      </w:r>
      <w:r w:rsidRPr="00103455">
        <w:rPr>
          <w:rStyle w:val="Emphasis"/>
          <w:rFonts w:ascii="Times New Roman" w:hAnsi="Times New Roman"/>
          <w:sz w:val="24"/>
          <w:szCs w:val="24"/>
        </w:rPr>
        <w:t>only</w:t>
      </w:r>
      <w:r w:rsidRPr="00103455">
        <w:rPr>
          <w:rFonts w:ascii="Times New Roman" w:hAnsi="Times New Roman"/>
          <w:sz w:val="24"/>
          <w:szCs w:val="24"/>
        </w:rPr>
        <w:t xml:space="preserve"> if they are job-related and consistent with business </w:t>
      </w:r>
      <w:proofErr w:type="gramStart"/>
      <w:r w:rsidRPr="00103455">
        <w:rPr>
          <w:rFonts w:ascii="Times New Roman" w:hAnsi="Times New Roman"/>
          <w:sz w:val="24"/>
          <w:szCs w:val="24"/>
        </w:rPr>
        <w:t>necessity.</w:t>
      </w:r>
      <w:r>
        <w:rPr>
          <w:rFonts w:ascii="Times New Roman" w:hAnsi="Times New Roman"/>
          <w:sz w:val="24"/>
          <w:szCs w:val="24"/>
        </w:rPr>
        <w:t>”</w:t>
      </w:r>
      <w:proofErr w:type="gramEnd"/>
      <w:r w:rsidRPr="00103455">
        <w:rPr>
          <w:rFonts w:ascii="Times New Roman" w:hAnsi="Times New Roman"/>
          <w:sz w:val="24"/>
          <w:szCs w:val="24"/>
        </w:rPr>
        <w:t xml:space="preserve"> </w:t>
      </w:r>
    </w:p>
    <w:p w14:paraId="2EC1B35D" w14:textId="77777777" w:rsidR="00BC4628" w:rsidRDefault="00BC4628" w:rsidP="005C30A4">
      <w:pPr>
        <w:pStyle w:val="NoSpacing"/>
        <w:rPr>
          <w:rFonts w:ascii="Arial Black" w:hAnsi="Arial Black"/>
          <w:sz w:val="24"/>
          <w:szCs w:val="24"/>
        </w:rPr>
      </w:pPr>
    </w:p>
    <w:p w14:paraId="1506AFF4" w14:textId="77777777" w:rsidR="00BC4628" w:rsidRDefault="00BC4628" w:rsidP="005C30A4">
      <w:pPr>
        <w:pStyle w:val="NoSpacing"/>
        <w:rPr>
          <w:rFonts w:ascii="Arial Black" w:hAnsi="Arial Black"/>
          <w:sz w:val="24"/>
          <w:szCs w:val="24"/>
        </w:rPr>
      </w:pPr>
    </w:p>
    <w:p w14:paraId="768A2985" w14:textId="4394DF78" w:rsidR="00C032D6" w:rsidRDefault="00C032D6" w:rsidP="005C30A4">
      <w:pPr>
        <w:pStyle w:val="NoSpacing"/>
        <w:rPr>
          <w:rFonts w:ascii="Arial Black" w:hAnsi="Arial Black"/>
          <w:sz w:val="24"/>
          <w:szCs w:val="24"/>
        </w:rPr>
      </w:pPr>
      <w:r>
        <w:rPr>
          <w:rFonts w:ascii="Arial Black" w:hAnsi="Arial Black"/>
          <w:sz w:val="24"/>
          <w:szCs w:val="24"/>
        </w:rPr>
        <w:t>9-3</w:t>
      </w:r>
      <w:r w:rsidR="00D33F96">
        <w:rPr>
          <w:rFonts w:ascii="Arial Black" w:hAnsi="Arial Black"/>
          <w:sz w:val="24"/>
          <w:szCs w:val="24"/>
        </w:rPr>
        <w:t>4</w:t>
      </w:r>
    </w:p>
    <w:p w14:paraId="26AD927A" w14:textId="77777777" w:rsidR="00C032D6" w:rsidRDefault="00C032D6" w:rsidP="005C30A4">
      <w:pPr>
        <w:pStyle w:val="NoSpacing"/>
        <w:rPr>
          <w:rFonts w:ascii="Arial Black" w:hAnsi="Arial Black"/>
          <w:sz w:val="24"/>
          <w:szCs w:val="24"/>
        </w:rPr>
      </w:pPr>
    </w:p>
    <w:p w14:paraId="44B04094" w14:textId="77777777" w:rsidR="00C032D6" w:rsidRDefault="00C032D6" w:rsidP="00C032D6">
      <w:pPr>
        <w:pStyle w:val="NormalWeb"/>
        <w:spacing w:before="0" w:beforeAutospacing="0" w:after="0" w:afterAutospacing="0"/>
        <w:rPr>
          <w:rFonts w:ascii="Arial Black" w:eastAsiaTheme="minorHAnsi" w:hAnsi="Arial Black" w:cs="Calibri"/>
          <w:color w:val="000000"/>
          <w:sz w:val="28"/>
          <w:szCs w:val="28"/>
        </w:rPr>
      </w:pPr>
      <w:r>
        <w:rPr>
          <w:rFonts w:ascii="Arial Black" w:hAnsi="Arial Black"/>
          <w:sz w:val="28"/>
          <w:szCs w:val="28"/>
        </w:rPr>
        <w:t xml:space="preserve">U.S. SUP. CT: EVANGELICAL POSTMAN - OFF ON SUNDAYS – POSTAL SERVICE MUST PROVE REAL “UNDUE HARDSHIP” </w:t>
      </w:r>
    </w:p>
    <w:p w14:paraId="00868BDD" w14:textId="38AA3673" w:rsidR="00C032D6" w:rsidRDefault="00C032D6" w:rsidP="00C032D6">
      <w:pPr>
        <w:pStyle w:val="NoSpacing"/>
        <w:rPr>
          <w:rStyle w:val="Hyperlink"/>
          <w:sz w:val="24"/>
          <w:szCs w:val="24"/>
        </w:rPr>
      </w:pPr>
      <w:r>
        <w:rPr>
          <w:rFonts w:ascii="Times New Roman" w:eastAsia="Times New Roman" w:hAnsi="Times New Roman"/>
          <w:sz w:val="24"/>
          <w:szCs w:val="24"/>
        </w:rPr>
        <w:lastRenderedPageBreak/>
        <w:t xml:space="preserve">On June 29, 2023, in </w:t>
      </w:r>
      <w:r>
        <w:rPr>
          <w:rFonts w:ascii="Times New Roman" w:eastAsia="Times New Roman" w:hAnsi="Times New Roman"/>
          <w:sz w:val="24"/>
          <w:szCs w:val="24"/>
          <w:u w:val="single"/>
        </w:rPr>
        <w:t>Groff v. DeJoy, Postmaster General</w:t>
      </w:r>
      <w:r>
        <w:rPr>
          <w:rFonts w:ascii="Times New Roman" w:eastAsia="Times New Roman" w:hAnsi="Times New Roman"/>
          <w:sz w:val="24"/>
          <w:szCs w:val="24"/>
        </w:rPr>
        <w:t xml:space="preserve">, the U.S. Supreme Court held (9 to 0) in an opinion by Justice </w:t>
      </w:r>
      <w:r>
        <w:rPr>
          <w:rFonts w:ascii="Times New Roman" w:hAnsi="Times New Roman"/>
          <w:sz w:val="24"/>
          <w:szCs w:val="24"/>
        </w:rPr>
        <w:t>Samuel Anthony Alito Jr., that U.S. Postal Service must accommodate a rural postman’s religious request to not work on Sundays delivering Amazon products, unless the “</w:t>
      </w:r>
      <w:r>
        <w:rPr>
          <w:rFonts w:ascii="Times New Roman" w:hAnsi="Times New Roman"/>
          <w:color w:val="343332"/>
          <w:sz w:val="24"/>
          <w:szCs w:val="24"/>
        </w:rPr>
        <w:t xml:space="preserve">burden of granting an accommodation would result in substantial increased costs in relation to the conduct of its particular business.”  Under Title VII of the Civil Rights Act of 1964, federal law bars employers from discriminating against workers for practicing their religion unless the employer can show that the worker’s religious practice cannot “reasonably” be accommodated without “undue hardship.”  </w:t>
      </w:r>
      <w:hyperlink r:id="rId1611" w:history="1">
        <w:r>
          <w:rPr>
            <w:rStyle w:val="Hyperlink"/>
            <w:sz w:val="24"/>
            <w:szCs w:val="24"/>
          </w:rPr>
          <w:t>https://www.supremecourt.gov/opinions/22pdf/22-174_k536.pdf</w:t>
        </w:r>
      </w:hyperlink>
    </w:p>
    <w:p w14:paraId="614685CF" w14:textId="77777777" w:rsidR="00C032D6" w:rsidRDefault="00C032D6" w:rsidP="00C032D6">
      <w:pPr>
        <w:pStyle w:val="NoSpacing"/>
        <w:rPr>
          <w:rStyle w:val="Hyperlink"/>
          <w:sz w:val="24"/>
          <w:szCs w:val="24"/>
        </w:rPr>
      </w:pPr>
    </w:p>
    <w:p w14:paraId="1756ADB3" w14:textId="77777777" w:rsidR="00C032D6" w:rsidRDefault="00C032D6" w:rsidP="00C032D6">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color w:val="343332"/>
          <w:sz w:val="24"/>
          <w:szCs w:val="24"/>
        </w:rPr>
        <w:t>Legal Lesson Learned: While this is a Title VII religious accommodations case, this decision may impact employers, including Fire &amp; EMS, when an employee seeks light duty or other accommodations for a disability.   If you decline an accommodation request, after discussion with the employee, thoroughly document the “undue hardship” to the department, including impact on operations and costs.</w:t>
      </w:r>
    </w:p>
    <w:p w14:paraId="7352651F" w14:textId="77777777" w:rsidR="00C032D6" w:rsidRDefault="00C032D6" w:rsidP="00C032D6">
      <w:pPr>
        <w:spacing w:before="100" w:beforeAutospacing="1" w:after="100" w:afterAutospacing="1" w:line="240" w:lineRule="auto"/>
        <w:ind w:left="720"/>
        <w:rPr>
          <w:rFonts w:ascii="Times New Roman" w:hAnsi="Times New Roman"/>
          <w:color w:val="343332"/>
          <w:kern w:val="2"/>
          <w:sz w:val="24"/>
          <w:szCs w:val="24"/>
          <w14:ligatures w14:val="standardContextual"/>
        </w:rPr>
      </w:pPr>
      <w:r>
        <w:rPr>
          <w:rFonts w:ascii="Times New Roman" w:hAnsi="Times New Roman"/>
          <w:color w:val="343332"/>
          <w:sz w:val="24"/>
          <w:szCs w:val="24"/>
        </w:rPr>
        <w:t xml:space="preserve">Note: The EEOC has described “undue hardship” under ADA. </w:t>
      </w:r>
      <w:hyperlink r:id="rId1612" w:history="1">
        <w:r>
          <w:rPr>
            <w:rStyle w:val="Hyperlink"/>
            <w:sz w:val="24"/>
            <w:szCs w:val="24"/>
          </w:rPr>
          <w:t>https://www.eeoc.gov/publications/ada-your-responsibilities-employer</w:t>
        </w:r>
      </w:hyperlink>
      <w:r>
        <w:rPr>
          <w:rFonts w:ascii="Times New Roman" w:hAnsi="Times New Roman"/>
          <w:color w:val="343332"/>
          <w:sz w:val="24"/>
          <w:szCs w:val="24"/>
        </w:rPr>
        <w:t xml:space="preserve"> </w:t>
      </w:r>
    </w:p>
    <w:p w14:paraId="3AFE3FD6" w14:textId="77777777" w:rsidR="00C032D6" w:rsidRDefault="00C032D6" w:rsidP="00C032D6">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“It is not necessary to provide a reasonable accommodation if doing so would cause an undue hardship. Undue hardship means that </w:t>
      </w:r>
      <w:proofErr w:type="gramStart"/>
      <w:r>
        <w:rPr>
          <w:rFonts w:ascii="Times New Roman" w:eastAsia="Times New Roman" w:hAnsi="Times New Roman"/>
          <w:sz w:val="24"/>
          <w:szCs w:val="24"/>
        </w:rPr>
        <w:t>an accommodation</w:t>
      </w:r>
      <w:proofErr w:type="gramEnd"/>
      <w:r>
        <w:rPr>
          <w:rFonts w:ascii="Times New Roman" w:eastAsia="Times New Roman" w:hAnsi="Times New Roman"/>
          <w:sz w:val="24"/>
          <w:szCs w:val="24"/>
        </w:rPr>
        <w:t xml:space="preserve"> would be unduly costly, extensive, substantial or disruptive, or would fundamentally alter the nature or operation of the business. Among the factors to be considered in determining whether </w:t>
      </w:r>
      <w:proofErr w:type="gramStart"/>
      <w:r>
        <w:rPr>
          <w:rFonts w:ascii="Times New Roman" w:eastAsia="Times New Roman" w:hAnsi="Times New Roman"/>
          <w:sz w:val="24"/>
          <w:szCs w:val="24"/>
        </w:rPr>
        <w:t>an accommodation</w:t>
      </w:r>
      <w:proofErr w:type="gramEnd"/>
      <w:r>
        <w:rPr>
          <w:rFonts w:ascii="Times New Roman" w:eastAsia="Times New Roman" w:hAnsi="Times New Roman"/>
          <w:sz w:val="24"/>
          <w:szCs w:val="24"/>
        </w:rPr>
        <w:t xml:space="preserve"> is an undue hardship are the cost of the accommodation, the employer's size, financial resources and the nature and structure of its operation.</w:t>
      </w:r>
    </w:p>
    <w:p w14:paraId="46E3CC09" w14:textId="77777777" w:rsidR="00C032D6" w:rsidRDefault="00C032D6" w:rsidP="00C032D6">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If a particular accommodation </w:t>
      </w:r>
      <w:proofErr w:type="gramStart"/>
      <w:r>
        <w:rPr>
          <w:rFonts w:ascii="Times New Roman" w:eastAsia="Times New Roman" w:hAnsi="Times New Roman"/>
          <w:sz w:val="24"/>
          <w:szCs w:val="24"/>
        </w:rPr>
        <w:t>would be</w:t>
      </w:r>
      <w:proofErr w:type="gramEnd"/>
      <w:r>
        <w:rPr>
          <w:rFonts w:ascii="Times New Roman" w:eastAsia="Times New Roman" w:hAnsi="Times New Roman"/>
          <w:sz w:val="24"/>
          <w:szCs w:val="24"/>
        </w:rPr>
        <w:t xml:space="preserve"> an undue hardship, you must try to identify another accommodation that will not pose such a hardship. If cost causes </w:t>
      </w:r>
      <w:proofErr w:type="gramStart"/>
      <w:r>
        <w:rPr>
          <w:rFonts w:ascii="Times New Roman" w:eastAsia="Times New Roman" w:hAnsi="Times New Roman"/>
          <w:sz w:val="24"/>
          <w:szCs w:val="24"/>
        </w:rPr>
        <w:t>the undue</w:t>
      </w:r>
      <w:proofErr w:type="gramEnd"/>
      <w:r>
        <w:rPr>
          <w:rFonts w:ascii="Times New Roman" w:eastAsia="Times New Roman" w:hAnsi="Times New Roman"/>
          <w:sz w:val="24"/>
          <w:szCs w:val="24"/>
        </w:rPr>
        <w:t xml:space="preserve"> hardship, you must also consider whether funding for </w:t>
      </w:r>
      <w:proofErr w:type="gramStart"/>
      <w:r>
        <w:rPr>
          <w:rFonts w:ascii="Times New Roman" w:eastAsia="Times New Roman" w:hAnsi="Times New Roman"/>
          <w:sz w:val="24"/>
          <w:szCs w:val="24"/>
        </w:rPr>
        <w:t>an accommodation</w:t>
      </w:r>
      <w:proofErr w:type="gramEnd"/>
      <w:r>
        <w:rPr>
          <w:rFonts w:ascii="Times New Roman" w:eastAsia="Times New Roman" w:hAnsi="Times New Roman"/>
          <w:sz w:val="24"/>
          <w:szCs w:val="24"/>
        </w:rPr>
        <w:t xml:space="preserve"> is available from an outside source, such as a vocational rehabilitation agency, and if the cost of providing the accommodation can be offset by state or federal tax credits or deductions. You must also give the applicant or employee with a disability the opportunity to provide the accommodation or pay for the portion of the accommodation that constitutes an undue </w:t>
      </w:r>
      <w:proofErr w:type="gramStart"/>
      <w:r>
        <w:rPr>
          <w:rFonts w:ascii="Times New Roman" w:eastAsia="Times New Roman" w:hAnsi="Times New Roman"/>
          <w:sz w:val="24"/>
          <w:szCs w:val="24"/>
        </w:rPr>
        <w:t>hardship.”</w:t>
      </w:r>
      <w:proofErr w:type="gramEnd"/>
    </w:p>
    <w:p w14:paraId="2C174033" w14:textId="77777777" w:rsidR="00C032D6" w:rsidRDefault="00C032D6" w:rsidP="00C032D6">
      <w:pPr>
        <w:spacing w:before="100" w:beforeAutospacing="1" w:after="100" w:afterAutospacing="1" w:line="240" w:lineRule="auto"/>
        <w:ind w:left="720"/>
        <w:rPr>
          <w:rFonts w:ascii="Times New Roman" w:hAnsi="Times New Roman"/>
          <w:kern w:val="2"/>
          <w:sz w:val="24"/>
          <w:szCs w:val="24"/>
          <w14:ligatures w14:val="standardContextual"/>
        </w:rPr>
      </w:pPr>
      <w:r>
        <w:rPr>
          <w:rFonts w:ascii="Times New Roman" w:hAnsi="Times New Roman"/>
          <w:sz w:val="24"/>
          <w:szCs w:val="24"/>
        </w:rPr>
        <w:t xml:space="preserve">Note also: The ADA's implementing regulations by EEOC state </w:t>
      </w:r>
      <w:proofErr w:type="gramStart"/>
      <w:r>
        <w:rPr>
          <w:rFonts w:ascii="Times New Roman" w:hAnsi="Times New Roman"/>
          <w:sz w:val="24"/>
          <w:szCs w:val="24"/>
        </w:rPr>
        <w:t>that, “[t]</w:t>
      </w:r>
      <w:proofErr w:type="gramEnd"/>
      <w:r>
        <w:rPr>
          <w:rFonts w:ascii="Times New Roman" w:hAnsi="Times New Roman"/>
          <w:sz w:val="24"/>
          <w:szCs w:val="24"/>
        </w:rPr>
        <w:t xml:space="preserve">o </w:t>
      </w:r>
      <w:proofErr w:type="gramStart"/>
      <w:r>
        <w:rPr>
          <w:rFonts w:ascii="Times New Roman" w:hAnsi="Times New Roman"/>
          <w:sz w:val="24"/>
          <w:szCs w:val="24"/>
        </w:rPr>
        <w:t>determine</w:t>
      </w:r>
      <w:proofErr w:type="gramEnd"/>
      <w:r>
        <w:rPr>
          <w:rFonts w:ascii="Times New Roman" w:hAnsi="Times New Roman"/>
          <w:sz w:val="24"/>
          <w:szCs w:val="24"/>
        </w:rPr>
        <w:t xml:space="preserve"> the appropriate reasonable accommodation it may be necessary for the [employer] to initiate an informal, interactive process with the qualified individual with a disability in need of accommodation.’ 29 C.F.R. § 1630.2(o)(3). </w:t>
      </w:r>
    </w:p>
    <w:p w14:paraId="1306B095" w14:textId="77777777" w:rsidR="00C032D6" w:rsidRDefault="00C032D6" w:rsidP="00C032D6">
      <w:pPr>
        <w:pStyle w:val="NormalWeb"/>
        <w:ind w:left="360"/>
      </w:pPr>
    </w:p>
    <w:p w14:paraId="02B1059F" w14:textId="19DE6530" w:rsidR="00C032D6"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9-33</w:t>
      </w:r>
    </w:p>
    <w:p w14:paraId="2A12830C" w14:textId="77777777" w:rsidR="00D33F96" w:rsidRPr="008A7EEF" w:rsidRDefault="00D33F96" w:rsidP="00D33F96">
      <w:pPr>
        <w:rPr>
          <w:rFonts w:ascii="Arial Black" w:hAnsi="Arial Black"/>
          <w:sz w:val="28"/>
          <w:szCs w:val="28"/>
        </w:rPr>
      </w:pPr>
      <w:r>
        <w:rPr>
          <w:rFonts w:ascii="Arial Black" w:hAnsi="Arial Black"/>
          <w:sz w:val="28"/>
          <w:szCs w:val="28"/>
        </w:rPr>
        <w:t>WA: FF PTSD – DENIED REQUESTED BRING HIS SERVICE DOG TO WORK – CITY PSYCHOLOGIST MAY EXAMINE FF</w:t>
      </w:r>
    </w:p>
    <w:p w14:paraId="233A2B25" w14:textId="77777777" w:rsidR="00D33F96" w:rsidRPr="008A7EEF" w:rsidRDefault="00D33F96" w:rsidP="00D33F96">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June 23, 2023, in </w:t>
      </w:r>
      <w:r w:rsidRPr="00795DC9">
        <w:rPr>
          <w:rFonts w:ascii="Times New Roman" w:hAnsi="Times New Roman"/>
          <w:sz w:val="24"/>
          <w:szCs w:val="24"/>
          <w:u w:val="single"/>
        </w:rPr>
        <w:t>Abraham Meyer v. City of Chehalis</w:t>
      </w:r>
      <w:r>
        <w:rPr>
          <w:rFonts w:ascii="Times New Roman" w:hAnsi="Times New Roman"/>
          <w:sz w:val="24"/>
          <w:szCs w:val="24"/>
        </w:rPr>
        <w:t>, U.S. District Court Judge David G. Estudillo, U.S. District Court for Western District of Washington, Tacoma, has agreed with the City that plaintiff must undergo a psychiatric examination by their expert to confirm he still suffers from PTSD as he did in 2019 when they turned down his request to bring a service dog to work.  The Court, however, denied the City’s request to have their expert examine the firefighter’s current service dog.  The Court held: “</w:t>
      </w:r>
      <w:r w:rsidRPr="00795DC9">
        <w:rPr>
          <w:rFonts w:ascii="Times New Roman" w:hAnsi="Times New Roman"/>
          <w:sz w:val="24"/>
          <w:szCs w:val="24"/>
        </w:rPr>
        <w:t xml:space="preserve">The Court also agrees with the City that there is good cause for a Rule 35 exam here since the City would otherwise be forced to rely on years-old </w:t>
      </w:r>
      <w:r w:rsidRPr="00795DC9">
        <w:rPr>
          <w:rFonts w:ascii="Times New Roman" w:hAnsi="Times New Roman"/>
          <w:sz w:val="24"/>
          <w:szCs w:val="24"/>
        </w:rPr>
        <w:lastRenderedPageBreak/>
        <w:t>psychological evaluations conducted by dueling medical professionals to build their case. The Court therefore GRANTS the City's motion to compel a psychological evaluation of Plaintiff.</w:t>
      </w:r>
      <w:r>
        <w:rPr>
          <w:rFonts w:ascii="Times New Roman" w:hAnsi="Times New Roman"/>
          <w:sz w:val="24"/>
          <w:szCs w:val="24"/>
        </w:rPr>
        <w:t xml:space="preserve"> *** </w:t>
      </w:r>
      <w:r w:rsidRPr="00795DC9">
        <w:rPr>
          <w:rFonts w:ascii="Times New Roman" w:hAnsi="Times New Roman"/>
          <w:sz w:val="24"/>
          <w:szCs w:val="24"/>
        </w:rPr>
        <w:t xml:space="preserve">Evaluating Plaintiff's current service dogs will not shed light on the training of his prior service dog at the time of the City's initial denial of Plaintiff's reasonable accommodation request. Additionally, Plaintiff need not use his current service dog as part of any future reasonable accommodation reached with the </w:t>
      </w:r>
      <w:proofErr w:type="gramStart"/>
      <w:r w:rsidRPr="00795DC9">
        <w:rPr>
          <w:rFonts w:ascii="Times New Roman" w:hAnsi="Times New Roman"/>
          <w:sz w:val="24"/>
          <w:szCs w:val="24"/>
        </w:rPr>
        <w:t>City</w:t>
      </w:r>
      <w:proofErr w:type="gramEnd"/>
      <w:r w:rsidRPr="00795DC9">
        <w:rPr>
          <w:rFonts w:ascii="Times New Roman" w:hAnsi="Times New Roman"/>
          <w:sz w:val="24"/>
          <w:szCs w:val="24"/>
        </w:rPr>
        <w:t xml:space="preserve">. Indeed, the focus on a specific </w:t>
      </w:r>
      <w:proofErr w:type="gramStart"/>
      <w:r w:rsidRPr="00795DC9">
        <w:rPr>
          <w:rFonts w:ascii="Times New Roman" w:hAnsi="Times New Roman"/>
          <w:sz w:val="24"/>
          <w:szCs w:val="24"/>
        </w:rPr>
        <w:t>service dog's training</w:t>
      </w:r>
      <w:proofErr w:type="gramEnd"/>
      <w:r w:rsidRPr="00795DC9">
        <w:rPr>
          <w:rFonts w:ascii="Times New Roman" w:hAnsi="Times New Roman"/>
          <w:sz w:val="24"/>
          <w:szCs w:val="24"/>
        </w:rPr>
        <w:t xml:space="preserve"> appears to be an implicit concession by the </w:t>
      </w:r>
      <w:proofErr w:type="gramStart"/>
      <w:r w:rsidRPr="00795DC9">
        <w:rPr>
          <w:rFonts w:ascii="Times New Roman" w:hAnsi="Times New Roman"/>
          <w:sz w:val="24"/>
          <w:szCs w:val="24"/>
        </w:rPr>
        <w:t>City</w:t>
      </w:r>
      <w:proofErr w:type="gramEnd"/>
      <w:r w:rsidRPr="00795DC9">
        <w:rPr>
          <w:rFonts w:ascii="Times New Roman" w:hAnsi="Times New Roman"/>
          <w:sz w:val="24"/>
          <w:szCs w:val="24"/>
        </w:rPr>
        <w:t xml:space="preserve"> that a service dog trained to their standards could constitute a reasonable accommodation. The Court therefore DENIES the City's motion to compel an evaluation of Plaintiff's current service dog.</w:t>
      </w:r>
      <w:r>
        <w:rPr>
          <w:rFonts w:ascii="Times New Roman" w:hAnsi="Times New Roman"/>
          <w:sz w:val="24"/>
          <w:szCs w:val="24"/>
        </w:rPr>
        <w:t xml:space="preserve">” </w:t>
      </w:r>
      <w:hyperlink r:id="rId1613" w:history="1">
        <w:r w:rsidRPr="00812663">
          <w:rPr>
            <w:rStyle w:val="Hyperlink"/>
            <w:sz w:val="24"/>
            <w:szCs w:val="24"/>
          </w:rPr>
          <w:t>https://casetext.com/case/meyer-v-city-of-chehalis</w:t>
        </w:r>
      </w:hyperlink>
      <w:r>
        <w:rPr>
          <w:rFonts w:ascii="Times New Roman" w:hAnsi="Times New Roman"/>
          <w:sz w:val="24"/>
          <w:szCs w:val="24"/>
        </w:rPr>
        <w:t xml:space="preserve"> </w:t>
      </w:r>
    </w:p>
    <w:p w14:paraId="0995DE5F" w14:textId="77777777" w:rsidR="00D33F96" w:rsidRDefault="00D33F96" w:rsidP="00D33F96">
      <w:pPr>
        <w:pStyle w:val="NoSpacing"/>
        <w:rPr>
          <w:rFonts w:ascii="Arial Black" w:hAnsi="Arial Black"/>
          <w:sz w:val="24"/>
          <w:szCs w:val="24"/>
        </w:rPr>
      </w:pPr>
      <w:r w:rsidRPr="00795DC9">
        <w:rPr>
          <w:rFonts w:ascii="Times New Roman" w:hAnsi="Times New Roman"/>
          <w:b/>
          <w:bCs/>
          <w:sz w:val="24"/>
          <w:szCs w:val="24"/>
        </w:rPr>
        <w:t xml:space="preserve">Legal Lesson Learned: </w:t>
      </w:r>
      <w:r>
        <w:rPr>
          <w:rFonts w:ascii="Times New Roman" w:hAnsi="Times New Roman"/>
          <w:b/>
          <w:bCs/>
          <w:sz w:val="24"/>
          <w:szCs w:val="24"/>
        </w:rPr>
        <w:t xml:space="preserve">Service dogs have been found to be reasonable accommodation in several industries; it is unclear how the firefighter in this case would house the dog when he is responding on a run.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55809144" w14:textId="0E3F7140" w:rsidR="00D33F96" w:rsidRDefault="00D33F96" w:rsidP="00D33F96">
      <w:pPr>
        <w:pStyle w:val="NoSpacing"/>
        <w:rPr>
          <w:rFonts w:ascii="Arial Black" w:hAnsi="Arial Black"/>
          <w:sz w:val="24"/>
          <w:szCs w:val="24"/>
        </w:rPr>
      </w:pPr>
      <w:r>
        <w:rPr>
          <w:rFonts w:ascii="Arial Black" w:hAnsi="Arial Black"/>
          <w:sz w:val="24"/>
          <w:szCs w:val="24"/>
        </w:rPr>
        <w:t>9-32</w:t>
      </w:r>
    </w:p>
    <w:p w14:paraId="0547073B" w14:textId="77777777" w:rsidR="00D33F96" w:rsidRDefault="00D33F96" w:rsidP="00D33F96">
      <w:pPr>
        <w:pStyle w:val="NormalWeb"/>
        <w:jc w:val="both"/>
        <w:rPr>
          <w:rFonts w:ascii="Arial Black" w:hAnsi="Arial Black"/>
          <w:b/>
          <w:bCs/>
          <w:sz w:val="28"/>
          <w:szCs w:val="28"/>
        </w:rPr>
      </w:pPr>
      <w:r>
        <w:rPr>
          <w:rFonts w:ascii="Arial Black" w:hAnsi="Arial Black"/>
          <w:b/>
          <w:bCs/>
          <w:sz w:val="28"/>
          <w:szCs w:val="28"/>
        </w:rPr>
        <w:t>TN: ADA – NASHVILLE FF INJURED BACK – DENIED LIGHT DUTY WHEN HR DIDN’T DISCUSS DR’S NOTE - CASE PROCEED</w:t>
      </w:r>
    </w:p>
    <w:p w14:paraId="10ED0C8C" w14:textId="77777777" w:rsidR="00D33F96" w:rsidRDefault="00D33F96" w:rsidP="00D33F96">
      <w:pPr>
        <w:pStyle w:val="NormalWeb"/>
      </w:pPr>
      <w:r w:rsidRPr="00E90532">
        <w:t xml:space="preserve">On </w:t>
      </w:r>
      <w:r>
        <w:t xml:space="preserve">June 15, 2023, in </w:t>
      </w:r>
      <w:r w:rsidRPr="00E90532">
        <w:rPr>
          <w:u w:val="single"/>
        </w:rPr>
        <w:t xml:space="preserve">Brian Moat v. The Metropolitan Government of Nashville </w:t>
      </w:r>
      <w:proofErr w:type="gramStart"/>
      <w:r w:rsidRPr="00E90532">
        <w:rPr>
          <w:u w:val="single"/>
        </w:rPr>
        <w:t>And</w:t>
      </w:r>
      <w:proofErr w:type="gramEnd"/>
      <w:r w:rsidRPr="00E90532">
        <w:rPr>
          <w:u w:val="single"/>
        </w:rPr>
        <w:t xml:space="preserve"> Davidson County, Tennessee</w:t>
      </w:r>
      <w:r>
        <w:t xml:space="preserve">, U.S. District Court Judge Aleta A. Trauger denied the city’s motion for summary judgment; the firefighter was injured on duty Dec. 13, 2019, and placed on Injured </w:t>
      </w:r>
      <w:proofErr w:type="gramStart"/>
      <w:r>
        <w:t>On</w:t>
      </w:r>
      <w:proofErr w:type="gramEnd"/>
      <w:r>
        <w:t xml:space="preserve"> Duty (IOD) medical leave with full pay for maximum period of six months (Dec. 13, 2019 – June 22, 2020). Before his IOD leave expired, he asked FD for light duty but was denied by HR.  When Civil Service Commission denied his extension of IOD leave because they needed medical letter on his expected return to work, he then provided HR with letter from his doctor authorizing light duty.   This was denied by HR Mgr. Jamie </w:t>
      </w:r>
      <w:proofErr w:type="gramStart"/>
      <w:r>
        <w:t>Summers</w:t>
      </w:r>
      <w:proofErr w:type="gramEnd"/>
      <w:r>
        <w:t xml:space="preserve"> and he was forced to go on disability retirement (lower pay) until he returned to full duty on July 1, 2021.  </w:t>
      </w:r>
    </w:p>
    <w:p w14:paraId="71070D7B" w14:textId="77777777" w:rsidR="00D33F96" w:rsidRDefault="00D33F96" w:rsidP="00D33F96">
      <w:pPr>
        <w:pStyle w:val="NormalWeb"/>
      </w:pPr>
      <w:r>
        <w:t>The Court held: “</w:t>
      </w:r>
      <w:r w:rsidRPr="00E90532">
        <w:t xml:space="preserve">As set forth above, the plaintiff has made a </w:t>
      </w:r>
      <w:r w:rsidRPr="00E90532">
        <w:rPr>
          <w:rStyle w:val="Emphasis"/>
          <w:rFonts w:eastAsiaTheme="majorEastAsia"/>
        </w:rPr>
        <w:t>prima facie</w:t>
      </w:r>
      <w:r w:rsidRPr="00E90532">
        <w:t xml:space="preserve"> showing that he requested a reasonable accommodation</w:t>
      </w:r>
      <w:r>
        <w:t xml:space="preserve"> [light duty]</w:t>
      </w:r>
      <w:r w:rsidRPr="00E90532">
        <w:t xml:space="preserve">. The defendant arguably engaged with the plaintiff's request for an extension of his IOD leave when the </w:t>
      </w:r>
      <w:r>
        <w:t xml:space="preserve">[Civil Service] </w:t>
      </w:r>
      <w:r w:rsidRPr="00E90532">
        <w:t xml:space="preserve">Commission considered that request in an open meeting. The interactive process, however, is </w:t>
      </w:r>
      <w:proofErr w:type="gramStart"/>
      <w:r w:rsidRPr="00E90532">
        <w:t>an</w:t>
      </w:r>
      <w:proofErr w:type="gramEnd"/>
      <w:r w:rsidRPr="00E90532">
        <w:t xml:space="preserve"> going process. </w:t>
      </w:r>
      <w:r w:rsidRPr="00E90532">
        <w:rPr>
          <w:rStyle w:val="Emphasis"/>
          <w:rFonts w:eastAsiaTheme="majorEastAsia"/>
        </w:rPr>
        <w:t>See, e.g.</w:t>
      </w:r>
      <w:r w:rsidRPr="00E90532">
        <w:t xml:space="preserve">, </w:t>
      </w:r>
      <w:r w:rsidRPr="00E90532">
        <w:rPr>
          <w:rStyle w:val="Emphasis"/>
          <w:rFonts w:eastAsiaTheme="majorEastAsia"/>
        </w:rPr>
        <w:t>Fisher v. Nissan N. Am., Inc.</w:t>
      </w:r>
      <w:r w:rsidRPr="00E90532">
        <w:t xml:space="preserve">, 951 F.3d 409, 422 (6th Cir. 2022). The plaintiff's reiteration of his request to </w:t>
      </w:r>
      <w:r>
        <w:t xml:space="preserve">[HR manager] </w:t>
      </w:r>
      <w:r w:rsidRPr="00E90532">
        <w:t>Summers for light-duty work after his doctor relaxed his work restrictions</w:t>
      </w:r>
      <w:r>
        <w:t xml:space="preserve"> </w:t>
      </w:r>
      <w:r w:rsidRPr="00E90532">
        <w:t>-</w:t>
      </w:r>
      <w:r>
        <w:t xml:space="preserve"> </w:t>
      </w:r>
      <w:r w:rsidRPr="00E90532">
        <w:t xml:space="preserve">which took place </w:t>
      </w:r>
      <w:r w:rsidRPr="00E90532">
        <w:rPr>
          <w:rStyle w:val="Emphasis"/>
          <w:rFonts w:eastAsiaTheme="majorEastAsia"/>
        </w:rPr>
        <w:t>before</w:t>
      </w:r>
      <w:r w:rsidRPr="00E90532">
        <w:t xml:space="preserve"> his IOD leave expired and apparently before his disability pension had been processed</w:t>
      </w:r>
      <w:r>
        <w:t xml:space="preserve"> </w:t>
      </w:r>
      <w:r w:rsidRPr="00E90532">
        <w:t>-</w:t>
      </w:r>
      <w:r>
        <w:t xml:space="preserve"> </w:t>
      </w:r>
      <w:r w:rsidRPr="00E90532">
        <w:t>at least arguably triggered a duty on the part of Metro to consider that request rather than to simply defer to the plaintiff's already-denied request for an extension of his IOD leave.</w:t>
      </w:r>
      <w:r>
        <w:t xml:space="preserve"> *** </w:t>
      </w:r>
      <w:r w:rsidRPr="002A07BB">
        <w:t>Because the defendant has not shown that either of the requested accommodations would have been unduly burdensome or that they would have resulted in the elimination of an essential job requirement, in view of the temporary nature of the requested accommodations, the defendant is not entitled to summary judgment on the plaintiff's ADA claim based on the failure to accommodate his disability.</w:t>
      </w:r>
      <w:r>
        <w:t xml:space="preserve">” </w:t>
      </w:r>
      <w:hyperlink r:id="rId1614" w:history="1">
        <w:r w:rsidRPr="00812663">
          <w:rPr>
            <w:rStyle w:val="Hyperlink"/>
          </w:rPr>
          <w:t>https://cases.justia.com/federal/district-courts/tennessee/tnmdce/3:2021cv00807/88141/32/0.pdf</w:t>
        </w:r>
      </w:hyperlink>
      <w:r>
        <w:t xml:space="preserve"> </w:t>
      </w:r>
    </w:p>
    <w:p w14:paraId="08727581" w14:textId="77777777" w:rsidR="00D33F96" w:rsidRDefault="00D33F96" w:rsidP="00D33F96">
      <w:pPr>
        <w:spacing w:before="100" w:beforeAutospacing="1" w:after="100" w:afterAutospacing="1" w:line="240" w:lineRule="auto"/>
        <w:rPr>
          <w:rFonts w:ascii="Arial Black" w:eastAsia="Times New Roman" w:hAnsi="Arial Black"/>
          <w:b/>
          <w:bCs/>
          <w:sz w:val="28"/>
          <w:szCs w:val="28"/>
        </w:rPr>
      </w:pPr>
    </w:p>
    <w:p w14:paraId="3307911C" w14:textId="496B0CF9" w:rsidR="00D33F96"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9-31</w:t>
      </w:r>
    </w:p>
    <w:p w14:paraId="75DB6E5E" w14:textId="77777777" w:rsidR="00D33F96"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DC: FEMALE FF CLAIMS SEXUALLY ASSAULTED BY TWO FF – MENTAL STRESS. FORCED RETIRE - ADA CASE PROCEED</w:t>
      </w:r>
    </w:p>
    <w:p w14:paraId="7E260DEC" w14:textId="77777777" w:rsidR="00D33F96" w:rsidRDefault="00D33F96" w:rsidP="00D33F96">
      <w:pPr>
        <w:spacing w:before="100" w:beforeAutospacing="1" w:after="100" w:afterAutospacing="1" w:line="240" w:lineRule="auto"/>
        <w:rPr>
          <w:rFonts w:ascii="Times New Roman" w:hAnsi="Times New Roman"/>
          <w:sz w:val="24"/>
          <w:szCs w:val="24"/>
        </w:rPr>
      </w:pPr>
      <w:r w:rsidRPr="00C16C93">
        <w:rPr>
          <w:rFonts w:ascii="Times New Roman" w:eastAsia="Times New Roman" w:hAnsi="Times New Roman"/>
          <w:sz w:val="24"/>
          <w:szCs w:val="24"/>
        </w:rPr>
        <w:t xml:space="preserve">On </w:t>
      </w:r>
      <w:r>
        <w:rPr>
          <w:rFonts w:ascii="Times New Roman" w:eastAsia="Times New Roman" w:hAnsi="Times New Roman"/>
          <w:sz w:val="24"/>
          <w:szCs w:val="24"/>
        </w:rPr>
        <w:t xml:space="preserve">June 14, 2023, in </w:t>
      </w:r>
      <w:r w:rsidRPr="00C16C93">
        <w:rPr>
          <w:rFonts w:ascii="Times New Roman" w:eastAsia="Times New Roman" w:hAnsi="Times New Roman"/>
          <w:sz w:val="24"/>
          <w:szCs w:val="24"/>
          <w:u w:val="single"/>
        </w:rPr>
        <w:t>Nicole Rena McCrea v. District of Columbia, et al</w:t>
      </w:r>
      <w:r>
        <w:rPr>
          <w:rFonts w:ascii="Times New Roman" w:eastAsia="Times New Roman" w:hAnsi="Times New Roman"/>
          <w:sz w:val="24"/>
          <w:szCs w:val="24"/>
        </w:rPr>
        <w:t>., U.S. District Court Judge Tanya S. Chatan, U.S. District Court for District of Columbia, denied the City’s motion to dismiss her ADA case</w:t>
      </w:r>
      <w:r>
        <w:rPr>
          <w:rFonts w:ascii="Times New Roman" w:hAnsi="Times New Roman"/>
          <w:sz w:val="24"/>
          <w:szCs w:val="24"/>
        </w:rPr>
        <w:t xml:space="preserve">. </w:t>
      </w:r>
    </w:p>
    <w:p w14:paraId="14F107A7" w14:textId="77777777" w:rsidR="00D33F96" w:rsidRDefault="00D33F96" w:rsidP="00D33F9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The Court held: </w:t>
      </w:r>
      <w:r w:rsidRPr="00092C19">
        <w:rPr>
          <w:rFonts w:ascii="Times New Roman" w:hAnsi="Times New Roman"/>
          <w:sz w:val="24"/>
          <w:szCs w:val="24"/>
        </w:rPr>
        <w:t xml:space="preserve">“Plaintiff Nicole McCrea is a former firefighter with the District of Columbia Fire and Emergency Medical Services Department (EMS). Proceeding </w:t>
      </w:r>
      <w:r w:rsidRPr="00092C19">
        <w:rPr>
          <w:rStyle w:val="Emphasis"/>
          <w:rFonts w:ascii="Times New Roman" w:hAnsi="Times New Roman"/>
          <w:sz w:val="24"/>
          <w:szCs w:val="24"/>
        </w:rPr>
        <w:t>pro se,</w:t>
      </w:r>
      <w:r w:rsidRPr="00092C19">
        <w:rPr>
          <w:rFonts w:ascii="Times New Roman" w:hAnsi="Times New Roman"/>
          <w:sz w:val="24"/>
          <w:szCs w:val="24"/>
        </w:rPr>
        <w:t xml:space="preserve"> she alleges that in May 2013, two fellow firefighters sexually assaulted her while she was on duty, and after she reported the incident, EMS managers, government employees, and mental health professionals conspired to deny her requests to classify her subsequent behavioral health challenges as job-related injuries and to force her into </w:t>
      </w:r>
      <w:r>
        <w:rPr>
          <w:rFonts w:ascii="Times New Roman" w:hAnsi="Times New Roman"/>
          <w:sz w:val="24"/>
          <w:szCs w:val="24"/>
        </w:rPr>
        <w:t xml:space="preserve">retirement. *** </w:t>
      </w:r>
      <w:r w:rsidRPr="008A04BF">
        <w:rPr>
          <w:rFonts w:ascii="Times New Roman" w:eastAsia="Times New Roman" w:hAnsi="Times New Roman"/>
          <w:sz w:val="24"/>
          <w:szCs w:val="24"/>
        </w:rPr>
        <w:t xml:space="preserve"> </w:t>
      </w:r>
      <w:r>
        <w:rPr>
          <w:rFonts w:ascii="Times New Roman" w:hAnsi="Times New Roman"/>
          <w:sz w:val="24"/>
          <w:szCs w:val="24"/>
        </w:rPr>
        <w:t>“’W</w:t>
      </w:r>
      <w:r w:rsidRPr="008A04BF">
        <w:rPr>
          <w:rFonts w:ascii="Times New Roman" w:hAnsi="Times New Roman"/>
          <w:sz w:val="24"/>
          <w:szCs w:val="24"/>
        </w:rPr>
        <w:t xml:space="preserve">hile the viability of her claim at the summary judgment stage appears tenuous given her apparent failure to provide the </w:t>
      </w:r>
      <w:proofErr w:type="gramStart"/>
      <w:r w:rsidRPr="008A04BF">
        <w:rPr>
          <w:rFonts w:ascii="Times New Roman" w:hAnsi="Times New Roman"/>
          <w:sz w:val="24"/>
          <w:szCs w:val="24"/>
        </w:rPr>
        <w:t>District</w:t>
      </w:r>
      <w:proofErr w:type="gramEnd"/>
      <w:r w:rsidRPr="008A04BF">
        <w:rPr>
          <w:rFonts w:ascii="Times New Roman" w:hAnsi="Times New Roman"/>
          <w:sz w:val="24"/>
          <w:szCs w:val="24"/>
        </w:rPr>
        <w:t xml:space="preserve"> with the requested medical documentation,</w:t>
      </w:r>
      <w:r>
        <w:rPr>
          <w:rFonts w:ascii="Times New Roman" w:hAnsi="Times New Roman"/>
          <w:sz w:val="24"/>
          <w:szCs w:val="24"/>
        </w:rPr>
        <w:t>’</w:t>
      </w:r>
      <w:r w:rsidRPr="008A04BF">
        <w:rPr>
          <w:rFonts w:ascii="Times New Roman" w:hAnsi="Times New Roman"/>
          <w:sz w:val="24"/>
          <w:szCs w:val="24"/>
        </w:rPr>
        <w:t xml:space="preserve"> the court reaffirms that Plaintiff's allegations plausibly state a claim that the </w:t>
      </w:r>
      <w:proofErr w:type="gramStart"/>
      <w:r w:rsidRPr="008A04BF">
        <w:rPr>
          <w:rFonts w:ascii="Times New Roman" w:hAnsi="Times New Roman"/>
          <w:sz w:val="24"/>
          <w:szCs w:val="24"/>
        </w:rPr>
        <w:t>District</w:t>
      </w:r>
      <w:proofErr w:type="gramEnd"/>
      <w:r w:rsidRPr="008A04BF">
        <w:rPr>
          <w:rFonts w:ascii="Times New Roman" w:hAnsi="Times New Roman"/>
          <w:sz w:val="24"/>
          <w:szCs w:val="24"/>
        </w:rPr>
        <w:t xml:space="preserve"> failed to provide reasonable accommodation for her disability. </w:t>
      </w:r>
      <w:r w:rsidRPr="008A04BF">
        <w:rPr>
          <w:rStyle w:val="Emphasis"/>
          <w:rFonts w:ascii="Times New Roman" w:hAnsi="Times New Roman"/>
          <w:sz w:val="24"/>
          <w:szCs w:val="24"/>
        </w:rPr>
        <w:t>Id.</w:t>
      </w:r>
      <w:r w:rsidRPr="008A04BF">
        <w:rPr>
          <w:rFonts w:ascii="Times New Roman" w:hAnsi="Times New Roman"/>
          <w:sz w:val="24"/>
          <w:szCs w:val="24"/>
        </w:rPr>
        <w:t xml:space="preserve"> (citing 42 U.S.C. § 12112; 29 U.S.C. § 794(d)).</w:t>
      </w:r>
      <w:r>
        <w:rPr>
          <w:rFonts w:ascii="Times New Roman" w:hAnsi="Times New Roman"/>
          <w:sz w:val="24"/>
          <w:szCs w:val="24"/>
        </w:rPr>
        <w:t xml:space="preserve">” </w:t>
      </w:r>
      <w:hyperlink r:id="rId1615" w:history="1">
        <w:r w:rsidRPr="00812663">
          <w:rPr>
            <w:rStyle w:val="Hyperlink"/>
            <w:sz w:val="24"/>
            <w:szCs w:val="24"/>
          </w:rPr>
          <w:t>https://casetext.com/case/mccrea-v-dist-of-columbia-3</w:t>
        </w:r>
      </w:hyperlink>
      <w:r>
        <w:rPr>
          <w:rFonts w:ascii="Times New Roman" w:hAnsi="Times New Roman"/>
          <w:sz w:val="24"/>
          <w:szCs w:val="24"/>
        </w:rPr>
        <w:t xml:space="preserve"> </w:t>
      </w:r>
      <w:r w:rsidRPr="00EC5AAA">
        <w:rPr>
          <w:rFonts w:ascii="Times New Roman" w:hAnsi="Times New Roman"/>
          <w:sz w:val="24"/>
          <w:szCs w:val="24"/>
        </w:rPr>
        <w:t xml:space="preserve"> </w:t>
      </w:r>
      <w:r>
        <w:rPr>
          <w:rFonts w:ascii="Times New Roman" w:hAnsi="Times New Roman"/>
          <w:sz w:val="24"/>
          <w:szCs w:val="24"/>
        </w:rPr>
        <w:t xml:space="preserve"> </w:t>
      </w:r>
    </w:p>
    <w:p w14:paraId="3CC1E783" w14:textId="77777777" w:rsidR="00D33F96" w:rsidRDefault="00D33F96" w:rsidP="00D33F96">
      <w:pPr>
        <w:spacing w:before="100" w:beforeAutospacing="1" w:after="100" w:afterAutospacing="1" w:line="240" w:lineRule="auto"/>
        <w:rPr>
          <w:rFonts w:ascii="Arial Black" w:eastAsia="Times New Roman" w:hAnsi="Arial Black"/>
          <w:b/>
          <w:bCs/>
          <w:sz w:val="28"/>
          <w:szCs w:val="28"/>
        </w:rPr>
      </w:pPr>
    </w:p>
    <w:p w14:paraId="292BFB5B" w14:textId="77777777" w:rsidR="00C032D6" w:rsidRDefault="00C032D6" w:rsidP="00C032D6">
      <w:pPr>
        <w:pStyle w:val="NoSpacing"/>
        <w:rPr>
          <w:rFonts w:ascii="Arial Black" w:hAnsi="Arial Black"/>
          <w:sz w:val="24"/>
          <w:szCs w:val="24"/>
        </w:rPr>
      </w:pPr>
    </w:p>
    <w:p w14:paraId="0455599E" w14:textId="77777777" w:rsidR="00C032D6" w:rsidRDefault="00C032D6" w:rsidP="005C30A4">
      <w:pPr>
        <w:pStyle w:val="NoSpacing"/>
        <w:rPr>
          <w:rFonts w:ascii="Arial Black" w:hAnsi="Arial Black"/>
          <w:sz w:val="24"/>
          <w:szCs w:val="24"/>
        </w:rPr>
      </w:pPr>
    </w:p>
    <w:p w14:paraId="4932D11B" w14:textId="2D67DB50" w:rsidR="00477016" w:rsidRDefault="00477016" w:rsidP="005C30A4">
      <w:pPr>
        <w:pStyle w:val="NoSpacing"/>
        <w:rPr>
          <w:rFonts w:ascii="Arial Black" w:hAnsi="Arial Black"/>
          <w:sz w:val="24"/>
          <w:szCs w:val="24"/>
        </w:rPr>
      </w:pPr>
      <w:r>
        <w:rPr>
          <w:rFonts w:ascii="Arial Black" w:hAnsi="Arial Black"/>
          <w:sz w:val="24"/>
          <w:szCs w:val="24"/>
        </w:rPr>
        <w:t>9-30</w:t>
      </w:r>
    </w:p>
    <w:p w14:paraId="7936F534" w14:textId="77777777" w:rsidR="00477016" w:rsidRPr="00AC2B99" w:rsidRDefault="00477016" w:rsidP="00477016">
      <w:pPr>
        <w:pStyle w:val="NormalWeb"/>
        <w:rPr>
          <w:rFonts w:ascii="Arial Black" w:hAnsi="Arial Black"/>
          <w:b/>
          <w:bCs/>
          <w:sz w:val="28"/>
          <w:szCs w:val="28"/>
        </w:rPr>
      </w:pPr>
      <w:bookmarkStart w:id="347" w:name="_Hlk136859866"/>
      <w:r>
        <w:rPr>
          <w:rFonts w:ascii="Arial Black" w:hAnsi="Arial Black"/>
          <w:b/>
          <w:bCs/>
          <w:sz w:val="28"/>
          <w:szCs w:val="28"/>
        </w:rPr>
        <w:t xml:space="preserve">LA: 16-YR OLD AUTISM – PD (365 LBS) SITS HIM – DIES ASPHYXIATION - DOJ POOR USE “DE-ESCALATION” POLICY </w:t>
      </w:r>
    </w:p>
    <w:bookmarkEnd w:id="347"/>
    <w:p w14:paraId="4C69B7B6" w14:textId="77777777" w:rsidR="00477016" w:rsidRDefault="00477016" w:rsidP="00477016">
      <w:pPr>
        <w:pStyle w:val="NormalWeb"/>
        <w:rPr>
          <w:rStyle w:val="markedcontent"/>
        </w:rPr>
      </w:pPr>
      <w:r>
        <w:rPr>
          <w:rStyle w:val="markedcontent"/>
        </w:rPr>
        <w:t xml:space="preserve">On May 18, 2023, in </w:t>
      </w:r>
      <w:r w:rsidRPr="00AC2B99">
        <w:rPr>
          <w:rStyle w:val="markedcontent"/>
          <w:u w:val="single"/>
        </w:rPr>
        <w:t>Donna Lou, et al. v. Sheriff Joseph P. Lopinto, III, et al</w:t>
      </w:r>
      <w:r>
        <w:rPr>
          <w:rStyle w:val="markedcontent"/>
        </w:rPr>
        <w:t xml:space="preserve">., U.S. District Court Judge Wendy B. Vitter, U.S. District Court for Eastern District of Louisiana, the Judge denied the Parents’ motion for partial summary judgement; but will allow them to file an Amended Complaint and may then allow case to proceed to trial. The Judge referenced the 80-page original Complaint, including alleged violation of ADA, but did not refence the May 12, 2023, the U.S. Department of Justice “Statement of Interest” with the Court, asserting Deputy Sheriffs may have violated ADA by failure to use “de-escalation strategies” including mobile crisis team. </w:t>
      </w:r>
      <w:hyperlink r:id="rId1616" w:history="1">
        <w:r w:rsidRPr="005906DC">
          <w:rPr>
            <w:rStyle w:val="Hyperlink"/>
            <w:rFonts w:eastAsiaTheme="majorEastAsia"/>
          </w:rPr>
          <w:t>https://www.justice.gov/crt/case-document/file/1583736/download</w:t>
        </w:r>
      </w:hyperlink>
      <w:r>
        <w:rPr>
          <w:rStyle w:val="markedcontent"/>
        </w:rPr>
        <w:t xml:space="preserve">. Judge Vitter held as follows. </w:t>
      </w:r>
    </w:p>
    <w:p w14:paraId="0EB9A9A5" w14:textId="77777777" w:rsidR="00477016" w:rsidRDefault="00477016" w:rsidP="00477016">
      <w:pPr>
        <w:pStyle w:val="NormalWeb"/>
        <w:ind w:left="720"/>
      </w:pPr>
      <w:r>
        <w:rPr>
          <w:rStyle w:val="markedcontent"/>
        </w:rPr>
        <w:t>“I</w:t>
      </w:r>
      <w:r>
        <w:t>n Count Three, Plaintiffs assert official capacity claims against Sheriff Lopinto based upon violations of Title II of the Americans with Disabilities Act (the ‘ADA’) and Section 504 of the Rehabilitation Act (‘RA’), alleging that the JPSO Deputy Defendants knew that E.P. had autism and failed to reasonably accommodate him or to avoid discriminating against him based upon his disability. *** The Court points out that the only two paragraphs in the Complaint cited by Plaintiffs that specifically reference the Fourth Amendment, Paragraphs 386 and 391, allege constitutional violations based upon the action or inaction of the JPSO Deputy Defendants ‘in using excessive and unreasonable force in the seizure and restraint of E.P. and in failing to intervene or act to prevent such actions, despite having the opportunity to do so,’ and in violating, among other things, E.P.'s ‘right to freedom from unreasonable seizure’ and ‘right to freedom from the use of unreasonable, unjustified, and excessive force and summary punishment.’”</w:t>
      </w:r>
      <w:hyperlink r:id="rId1617" w:history="1">
        <w:r w:rsidRPr="005906DC">
          <w:rPr>
            <w:rStyle w:val="Hyperlink"/>
            <w:rFonts w:eastAsiaTheme="majorEastAsia"/>
          </w:rPr>
          <w:t>https://public.fastcase.com/ZZhmr5v9wN%2FXOe5IsQ%2FqD213NfZOkBOT9oUFU2NATn1Aebu4tmd%2Bdm4Fq8wJV%2BgJ%2FUz5tDo4rrQTf5JLsx7PM2RT%2BnNbiLW8av7Jbge%2Fzbw%3D?utm_medium=email&amp;_hsmi=226712652&amp;_hsenc=p2ANqtz-83LxoyDBgyJFjB5J1tvKo9--ehLEBCqV6koHeoTan0Qm4V8taXVkAh8h56UhoHEEE4y9wodFDrH_2nxx13nTAr7JOLdw&amp;utm_content=226712652&amp;utm_source=hs_email</w:t>
        </w:r>
      </w:hyperlink>
      <w:r>
        <w:t xml:space="preserve">  </w:t>
      </w:r>
    </w:p>
    <w:p w14:paraId="0BEE42D8" w14:textId="77777777" w:rsidR="00477016" w:rsidRPr="005C3E45" w:rsidRDefault="00477016" w:rsidP="00477016">
      <w:pPr>
        <w:pStyle w:val="NormalWeb"/>
        <w:rPr>
          <w:b/>
          <w:bCs/>
        </w:rPr>
      </w:pPr>
      <w:r w:rsidRPr="005C3E45">
        <w:rPr>
          <w:b/>
          <w:bCs/>
        </w:rPr>
        <w:t xml:space="preserve">Legal Lesson Learned: </w:t>
      </w:r>
      <w:r>
        <w:rPr>
          <w:b/>
          <w:bCs/>
        </w:rPr>
        <w:t xml:space="preserve">U.S. Department of Justice obviously has a high degree of interest in police affixation cases.  </w:t>
      </w:r>
    </w:p>
    <w:p w14:paraId="4E8721C0" w14:textId="77777777" w:rsidR="00477016" w:rsidRPr="005C3E45" w:rsidRDefault="00477016" w:rsidP="00477016">
      <w:pPr>
        <w:pStyle w:val="NormalWeb"/>
        <w:ind w:left="720"/>
        <w:rPr>
          <w:rFonts w:ascii="Arial" w:hAnsi="Arial" w:cs="Arial"/>
        </w:rPr>
      </w:pPr>
      <w:r>
        <w:rPr>
          <w:rStyle w:val="markedcontent"/>
        </w:rPr>
        <w:t xml:space="preserve">Note: Read the DOJ Statement of Interest, where PDs are urged to modify </w:t>
      </w:r>
      <w:proofErr w:type="spellStart"/>
      <w:proofErr w:type="gramStart"/>
      <w:r>
        <w:rPr>
          <w:rStyle w:val="markedcontent"/>
        </w:rPr>
        <w:t>there</w:t>
      </w:r>
      <w:proofErr w:type="gramEnd"/>
      <w:r>
        <w:rPr>
          <w:rStyle w:val="markedcontent"/>
        </w:rPr>
        <w:t xml:space="preserve"> response</w:t>
      </w:r>
      <w:proofErr w:type="spellEnd"/>
      <w:r>
        <w:rPr>
          <w:rStyle w:val="markedcontent"/>
        </w:rPr>
        <w:t xml:space="preserve"> policies dealing with people with disabilities. </w:t>
      </w:r>
      <w:hyperlink r:id="rId1618" w:history="1">
        <w:r w:rsidRPr="005906DC">
          <w:rPr>
            <w:rStyle w:val="Hyperlink"/>
            <w:rFonts w:eastAsiaTheme="majorEastAsia"/>
          </w:rPr>
          <w:t>https://www.justice.gov/crt/case-document/file/1583736/download</w:t>
        </w:r>
      </w:hyperlink>
      <w:r>
        <w:rPr>
          <w:rStyle w:val="markedcontent"/>
        </w:rPr>
        <w:t xml:space="preserve"> </w:t>
      </w:r>
      <w:r w:rsidRPr="005C3E45">
        <w:t xml:space="preserve"> </w:t>
      </w:r>
    </w:p>
    <w:p w14:paraId="31268EF4" w14:textId="77777777" w:rsidR="00477016" w:rsidRPr="005C3E45" w:rsidRDefault="00477016" w:rsidP="00477016">
      <w:pPr>
        <w:pStyle w:val="NormalWeb"/>
        <w:ind w:left="720"/>
        <w:rPr>
          <w:rStyle w:val="markedcontent"/>
        </w:rPr>
      </w:pPr>
      <w:r>
        <w:rPr>
          <w:rStyle w:val="markedcontent"/>
        </w:rPr>
        <w:lastRenderedPageBreak/>
        <w:t>“</w:t>
      </w:r>
      <w:r w:rsidRPr="005C3E45">
        <w:rPr>
          <w:rStyle w:val="markedcontent"/>
        </w:rPr>
        <w:t>Modifications that may have been reasonable for officers to implement, depending on the circumstances and existing services, include dispatching crisis intervention trained officers or arranging for a mobile crisis team to respond; using de-escalation strategies; removing distractions and providing time and space to calm the situation when the child poses no significant safety threat; and avoiding or minimizing touching a child whose disability makes them sensitive to touch.</w:t>
      </w:r>
      <w:r w:rsidRPr="005C3E45">
        <w:t xml:space="preserve"> If</w:t>
      </w:r>
      <w:r w:rsidRPr="005C3E45">
        <w:rPr>
          <w:rStyle w:val="markedcontent"/>
        </w:rPr>
        <w:t xml:space="preserve"> available, officers should enlist a child’s parent, guardian, treating medical professional, or another trusted support person, to help to effectively communicate with the child and de-escalate the situation.</w:t>
      </w:r>
      <w:r>
        <w:rPr>
          <w:rStyle w:val="markedcontent"/>
        </w:rPr>
        <w:t>”</w:t>
      </w:r>
    </w:p>
    <w:p w14:paraId="5E18405F" w14:textId="77777777" w:rsidR="00477016" w:rsidRDefault="00477016" w:rsidP="005C30A4">
      <w:pPr>
        <w:pStyle w:val="NoSpacing"/>
        <w:rPr>
          <w:rFonts w:ascii="Arial Black" w:hAnsi="Arial Black"/>
          <w:sz w:val="24"/>
          <w:szCs w:val="24"/>
        </w:rPr>
      </w:pPr>
    </w:p>
    <w:p w14:paraId="3108848D" w14:textId="4F253EA0" w:rsidR="00477016" w:rsidRDefault="00477016" w:rsidP="005C30A4">
      <w:pPr>
        <w:pStyle w:val="NoSpacing"/>
        <w:rPr>
          <w:rFonts w:ascii="Arial Black" w:hAnsi="Arial Black"/>
          <w:sz w:val="24"/>
          <w:szCs w:val="24"/>
        </w:rPr>
      </w:pPr>
      <w:r>
        <w:rPr>
          <w:rFonts w:ascii="Arial Black" w:hAnsi="Arial Black"/>
          <w:sz w:val="24"/>
          <w:szCs w:val="24"/>
        </w:rPr>
        <w:t>9-29</w:t>
      </w:r>
    </w:p>
    <w:p w14:paraId="4E005429" w14:textId="77777777" w:rsidR="00477016" w:rsidRDefault="00477016" w:rsidP="00477016">
      <w:pPr>
        <w:pStyle w:val="NormalWeb"/>
        <w:rPr>
          <w:rFonts w:ascii="Arial Black" w:hAnsi="Arial Black"/>
          <w:sz w:val="28"/>
          <w:szCs w:val="28"/>
        </w:rPr>
      </w:pPr>
      <w:bookmarkStart w:id="348" w:name="_Hlk136860023"/>
      <w:r>
        <w:rPr>
          <w:rFonts w:ascii="Arial Black" w:hAnsi="Arial Black"/>
          <w:sz w:val="28"/>
          <w:szCs w:val="28"/>
        </w:rPr>
        <w:t>OH: TRANSGENDER EMT FIRED 2 MONTHS – “RUDE” COMMENTS HOSP – “REGARDED AS” CASE PROCEED</w:t>
      </w:r>
    </w:p>
    <w:bookmarkEnd w:id="348"/>
    <w:p w14:paraId="7DA98188" w14:textId="77777777" w:rsidR="00477016" w:rsidRPr="00477016" w:rsidRDefault="00477016" w:rsidP="00477016">
      <w:pPr>
        <w:pStyle w:val="NormalWeb"/>
      </w:pPr>
      <w:r w:rsidRPr="00477016">
        <w:t xml:space="preserve">On May 12, 2023, in </w:t>
      </w:r>
      <w:r w:rsidRPr="00477016">
        <w:rPr>
          <w:u w:val="single"/>
        </w:rPr>
        <w:t>Rayne S. Fedder v. Ohio Medical Transportation, Inc</w:t>
      </w:r>
      <w:r w:rsidRPr="00477016">
        <w:t xml:space="preserve">., U.S, Magistrate Judge Chelsey M. </w:t>
      </w:r>
      <w:proofErr w:type="spellStart"/>
      <w:r w:rsidRPr="00477016">
        <w:t>Vascura</w:t>
      </w:r>
      <w:proofErr w:type="spellEnd"/>
      <w:r w:rsidRPr="00477016">
        <w:t xml:space="preserve"> issued a Report and Recommendation to U.S. District Court Judge Saras D. Morrison, finding that plaintiff was fired after two months on the job, and while her claims of hostile work environment must be dismissed since she didn’t report incidents to management (for example, comments that she “stands up to pee”), she may proceed on claim that management fired her because she was “regard as” disabled.  On April 19, 2022, plaintiff and her partner were at a hospital to transport a psychiatric patient to Columbus Springs, In Dublin, OH, when plaintiff made strange comments to hospital staff., was placed on Administrative Leave and was fired on May 3, 2022.</w:t>
      </w:r>
    </w:p>
    <w:p w14:paraId="51EB614B" w14:textId="6ADB3A09" w:rsidR="00477016" w:rsidRDefault="00477016" w:rsidP="00477016">
      <w:pPr>
        <w:pStyle w:val="NoSpacing"/>
        <w:rPr>
          <w:rStyle w:val="Hyperlink"/>
          <w:rFonts w:ascii="Times New Roman" w:eastAsiaTheme="majorEastAsia" w:hAnsi="Times New Roman"/>
          <w:sz w:val="24"/>
          <w:szCs w:val="24"/>
        </w:rPr>
      </w:pPr>
      <w:r w:rsidRPr="00477016">
        <w:rPr>
          <w:rFonts w:ascii="Times New Roman" w:hAnsi="Times New Roman"/>
          <w:sz w:val="24"/>
          <w:szCs w:val="24"/>
        </w:rPr>
        <w:t xml:space="preserve">“On the evening of April 19, 2022, Plaintiff and her partner were dispatched to </w:t>
      </w:r>
      <w:proofErr w:type="spellStart"/>
      <w:r w:rsidRPr="00477016">
        <w:rPr>
          <w:rFonts w:ascii="Times New Roman" w:hAnsi="Times New Roman"/>
          <w:sz w:val="24"/>
          <w:szCs w:val="24"/>
        </w:rPr>
        <w:t>O'Bleness</w:t>
      </w:r>
      <w:proofErr w:type="spellEnd"/>
      <w:r w:rsidRPr="00477016">
        <w:rPr>
          <w:rFonts w:ascii="Times New Roman" w:hAnsi="Times New Roman"/>
          <w:sz w:val="24"/>
          <w:szCs w:val="24"/>
        </w:rPr>
        <w:t xml:space="preserve"> Memorial Hospital to transport a psychiatric patient to Columbus Springs Dublin…. Plaintiff felt that </w:t>
      </w:r>
      <w:proofErr w:type="spellStart"/>
      <w:r w:rsidRPr="00477016">
        <w:rPr>
          <w:rFonts w:ascii="Times New Roman" w:hAnsi="Times New Roman"/>
          <w:sz w:val="24"/>
          <w:szCs w:val="24"/>
        </w:rPr>
        <w:t>O'Bleness</w:t>
      </w:r>
      <w:proofErr w:type="spellEnd"/>
      <w:r w:rsidRPr="00477016">
        <w:rPr>
          <w:rFonts w:ascii="Times New Roman" w:hAnsi="Times New Roman"/>
          <w:sz w:val="24"/>
          <w:szCs w:val="24"/>
        </w:rPr>
        <w:t xml:space="preserve"> staff were not performing their jobs properly and voiced criticisms of the use of an armed security officer (‘asking what he even needed that gun holstered to his hip for, and </w:t>
      </w:r>
      <w:proofErr w:type="spellStart"/>
      <w:r w:rsidRPr="00477016">
        <w:rPr>
          <w:rFonts w:ascii="Times New Roman" w:hAnsi="Times New Roman"/>
          <w:sz w:val="24"/>
          <w:szCs w:val="24"/>
        </w:rPr>
        <w:t>quipp</w:t>
      </w:r>
      <w:proofErr w:type="spellEnd"/>
      <w:r w:rsidRPr="00477016">
        <w:rPr>
          <w:rFonts w:ascii="Times New Roman" w:hAnsi="Times New Roman"/>
          <w:sz w:val="24"/>
          <w:szCs w:val="24"/>
        </w:rPr>
        <w:t>[</w:t>
      </w:r>
      <w:proofErr w:type="spellStart"/>
      <w:r w:rsidRPr="00477016">
        <w:rPr>
          <w:rFonts w:ascii="Times New Roman" w:hAnsi="Times New Roman"/>
          <w:sz w:val="24"/>
          <w:szCs w:val="24"/>
        </w:rPr>
        <w:t>ing</w:t>
      </w:r>
      <w:proofErr w:type="spellEnd"/>
      <w:r w:rsidRPr="00477016">
        <w:rPr>
          <w:rFonts w:ascii="Times New Roman" w:hAnsi="Times New Roman"/>
          <w:sz w:val="24"/>
          <w:szCs w:val="24"/>
        </w:rPr>
        <w:t xml:space="preserve">] that he probably did not know how to operate it’) and the poor quality of the paperwork provided by the nursing staff (‘Plaintiff does not remember saying that the report from the charge nurse about the patient was ‘shitty,' though Plaintiff does concede that the sentiment was there….) Plaintiff also alleges that the desk attendant asked how Plaintiff was doing, and Plaintiff said ‘something about how she would be doing much better if she passed or if she did not work with a bunch of creepy bigots, or something of the sort….’After some resistance by the patient, Plaintiff, her partner, and other </w:t>
      </w:r>
      <w:proofErr w:type="spellStart"/>
      <w:r w:rsidRPr="00477016">
        <w:rPr>
          <w:rFonts w:ascii="Times New Roman" w:hAnsi="Times New Roman"/>
          <w:sz w:val="24"/>
          <w:szCs w:val="24"/>
        </w:rPr>
        <w:t>O'Blenness</w:t>
      </w:r>
      <w:proofErr w:type="spellEnd"/>
      <w:r w:rsidRPr="00477016">
        <w:rPr>
          <w:rFonts w:ascii="Times New Roman" w:hAnsi="Times New Roman"/>
          <w:sz w:val="24"/>
          <w:szCs w:val="24"/>
        </w:rPr>
        <w:t xml:space="preserve"> staff were able to buckle the patient to a stretcher and the patient was transported without further incident.” </w:t>
      </w:r>
      <w:hyperlink r:id="rId1619" w:history="1">
        <w:r w:rsidRPr="00477016">
          <w:rPr>
            <w:rStyle w:val="Hyperlink"/>
            <w:rFonts w:ascii="Times New Roman" w:eastAsiaTheme="majorEastAsia" w:hAnsi="Times New Roman"/>
            <w:sz w:val="24"/>
            <w:szCs w:val="24"/>
          </w:rPr>
          <w:t>https://public.fastcase.com/ZZhmr5v9wN%2FXOe5IsQ%2FqD5cOg4uDiWBiDgRVwEX7HkTgzpDy2YRC9dWsCSpL5q7NwLkYpJ%2BBy0X6CQVC4aXC0tZJlDrCMk2fa2%2Fy73T5jjU%3D?utm_medium=email&amp;_hsmi=226712652&amp;_hsenc=p2ANqtz-8FJorPS84jztogf_8o7olLe4m03Y-oUT6vKuzTkvf9gKaTxn2WPOeYqAoz6gwdnY0JMEeLDG0EyTmUqJkqtPPBYQ-lng&amp;utm_content=226712652&amp;utm_source=hs_email</w:t>
        </w:r>
      </w:hyperlink>
    </w:p>
    <w:p w14:paraId="467C4C28" w14:textId="77777777" w:rsidR="00477016" w:rsidRDefault="00477016" w:rsidP="00477016">
      <w:pPr>
        <w:pStyle w:val="NoSpacing"/>
        <w:rPr>
          <w:rStyle w:val="Hyperlink"/>
          <w:rFonts w:ascii="Times New Roman" w:eastAsiaTheme="majorEastAsia" w:hAnsi="Times New Roman"/>
          <w:sz w:val="24"/>
          <w:szCs w:val="24"/>
        </w:rPr>
      </w:pPr>
    </w:p>
    <w:p w14:paraId="614C5FEE" w14:textId="77777777" w:rsidR="00477016" w:rsidRDefault="00477016" w:rsidP="00477016">
      <w:pPr>
        <w:pStyle w:val="NormalWeb"/>
        <w:rPr>
          <w:b/>
          <w:bCs/>
        </w:rPr>
      </w:pPr>
      <w:r w:rsidRPr="00135F52">
        <w:rPr>
          <w:b/>
          <w:bCs/>
        </w:rPr>
        <w:t>Legal Lesson Learned:</w:t>
      </w:r>
      <w:r>
        <w:rPr>
          <w:b/>
          <w:bCs/>
        </w:rPr>
        <w:t xml:space="preserve"> Case will now proceed to pre-trial discovery. </w:t>
      </w:r>
    </w:p>
    <w:p w14:paraId="4A090F51" w14:textId="77777777" w:rsidR="00477016" w:rsidRPr="00477016" w:rsidRDefault="00477016" w:rsidP="00477016">
      <w:pPr>
        <w:pStyle w:val="Heading2"/>
        <w:ind w:left="720"/>
        <w:rPr>
          <w:rFonts w:ascii="Times New Roman" w:hAnsi="Times New Roman"/>
          <w:b w:val="0"/>
          <w:bCs w:val="0"/>
          <w:i w:val="0"/>
          <w:iCs w:val="0"/>
          <w:sz w:val="24"/>
          <w:szCs w:val="24"/>
        </w:rPr>
      </w:pPr>
      <w:r w:rsidRPr="00477016">
        <w:rPr>
          <w:rFonts w:ascii="Times New Roman" w:hAnsi="Times New Roman"/>
          <w:b w:val="0"/>
          <w:bCs w:val="0"/>
          <w:i w:val="0"/>
          <w:iCs w:val="0"/>
          <w:sz w:val="24"/>
          <w:szCs w:val="24"/>
        </w:rPr>
        <w:lastRenderedPageBreak/>
        <w:t xml:space="preserve">Note: See EEOC Guidance on “regarded as” disabilities.  </w:t>
      </w:r>
      <w:hyperlink r:id="rId1620" w:history="1">
        <w:r w:rsidRPr="00477016">
          <w:rPr>
            <w:rStyle w:val="Hyperlink"/>
            <w:rFonts w:ascii="Times New Roman" w:hAnsi="Times New Roman"/>
            <w:b w:val="0"/>
            <w:bCs w:val="0"/>
            <w:i w:val="0"/>
            <w:iCs w:val="0"/>
            <w:sz w:val="24"/>
            <w:szCs w:val="24"/>
          </w:rPr>
          <w:t>https://www.eeoc.gov/laws/guidance/questions-and-answers-final-rule-implementing-ada-amendments-act-2008</w:t>
        </w:r>
      </w:hyperlink>
      <w:r w:rsidRPr="00477016">
        <w:rPr>
          <w:rFonts w:ascii="Times New Roman" w:hAnsi="Times New Roman"/>
          <w:b w:val="0"/>
          <w:bCs w:val="0"/>
          <w:i w:val="0"/>
          <w:iCs w:val="0"/>
          <w:sz w:val="24"/>
          <w:szCs w:val="24"/>
        </w:rPr>
        <w:t xml:space="preserve"> </w:t>
      </w:r>
    </w:p>
    <w:p w14:paraId="589D78CE" w14:textId="77777777" w:rsidR="00477016" w:rsidRPr="00477016" w:rsidRDefault="00477016" w:rsidP="00477016">
      <w:pPr>
        <w:pStyle w:val="Heading2"/>
        <w:ind w:left="720" w:firstLine="720"/>
        <w:rPr>
          <w:rFonts w:ascii="Times New Roman" w:hAnsi="Times New Roman"/>
          <w:b w:val="0"/>
          <w:bCs w:val="0"/>
          <w:i w:val="0"/>
          <w:iCs w:val="0"/>
          <w:sz w:val="24"/>
          <w:szCs w:val="24"/>
        </w:rPr>
      </w:pPr>
      <w:r w:rsidRPr="00477016">
        <w:rPr>
          <w:rFonts w:ascii="Times New Roman" w:hAnsi="Times New Roman"/>
          <w:b w:val="0"/>
          <w:bCs w:val="0"/>
          <w:i w:val="0"/>
          <w:iCs w:val="0"/>
          <w:sz w:val="24"/>
          <w:szCs w:val="24"/>
        </w:rPr>
        <w:t xml:space="preserve">How does the ADAAA define "disability?" </w:t>
      </w:r>
    </w:p>
    <w:p w14:paraId="2C3063A2" w14:textId="77777777" w:rsidR="00477016" w:rsidRPr="00477016" w:rsidRDefault="00477016" w:rsidP="00477016">
      <w:pPr>
        <w:pStyle w:val="Heading2"/>
        <w:ind w:left="1440"/>
        <w:rPr>
          <w:rFonts w:ascii="Times New Roman" w:hAnsi="Times New Roman"/>
          <w:b w:val="0"/>
          <w:bCs w:val="0"/>
          <w:i w:val="0"/>
          <w:iCs w:val="0"/>
          <w:sz w:val="24"/>
          <w:szCs w:val="24"/>
        </w:rPr>
      </w:pPr>
      <w:r w:rsidRPr="00477016">
        <w:rPr>
          <w:rFonts w:ascii="Times New Roman" w:hAnsi="Times New Roman"/>
          <w:b w:val="0"/>
          <w:bCs w:val="0"/>
          <w:i w:val="0"/>
          <w:iCs w:val="0"/>
          <w:sz w:val="24"/>
          <w:szCs w:val="24"/>
        </w:rPr>
        <w:t xml:space="preserve">The ADA Amendments Act of 2008 (ADAAA) was enacted on September 25, 2008, and became effective on January 1, 2009. This law made </w:t>
      </w:r>
      <w:proofErr w:type="gramStart"/>
      <w:r w:rsidRPr="00477016">
        <w:rPr>
          <w:rFonts w:ascii="Times New Roman" w:hAnsi="Times New Roman"/>
          <w:b w:val="0"/>
          <w:bCs w:val="0"/>
          <w:i w:val="0"/>
          <w:iCs w:val="0"/>
          <w:sz w:val="24"/>
          <w:szCs w:val="24"/>
        </w:rPr>
        <w:t>a number of</w:t>
      </w:r>
      <w:proofErr w:type="gramEnd"/>
      <w:r w:rsidRPr="00477016">
        <w:rPr>
          <w:rFonts w:ascii="Times New Roman" w:hAnsi="Times New Roman"/>
          <w:b w:val="0"/>
          <w:bCs w:val="0"/>
          <w:i w:val="0"/>
          <w:iCs w:val="0"/>
          <w:sz w:val="24"/>
          <w:szCs w:val="24"/>
        </w:rPr>
        <w:t xml:space="preserve"> significant changes to the definition of "disability." ***</w:t>
      </w:r>
    </w:p>
    <w:p w14:paraId="576B0DCD" w14:textId="77777777" w:rsidR="00477016" w:rsidRPr="00477016" w:rsidRDefault="00477016" w:rsidP="00477016">
      <w:pPr>
        <w:ind w:left="1440"/>
        <w:rPr>
          <w:rFonts w:ascii="Times New Roman" w:hAnsi="Times New Roman"/>
          <w:sz w:val="24"/>
          <w:szCs w:val="24"/>
        </w:rPr>
      </w:pPr>
      <w:r w:rsidRPr="00477016">
        <w:rPr>
          <w:rFonts w:ascii="Times New Roman" w:hAnsi="Times New Roman"/>
          <w:sz w:val="24"/>
          <w:szCs w:val="24"/>
        </w:rPr>
        <w:t>The ADAAA and the final regulations define a disability using a three-pronged approach:</w:t>
      </w:r>
    </w:p>
    <w:p w14:paraId="40FD440B" w14:textId="77777777" w:rsidR="00477016" w:rsidRPr="00477016" w:rsidRDefault="00477016" w:rsidP="00477016">
      <w:pPr>
        <w:numPr>
          <w:ilvl w:val="0"/>
          <w:numId w:val="16"/>
        </w:numPr>
        <w:spacing w:before="100" w:beforeAutospacing="1" w:after="100" w:afterAutospacing="1" w:line="240" w:lineRule="auto"/>
        <w:rPr>
          <w:rFonts w:ascii="Times New Roman" w:hAnsi="Times New Roman"/>
          <w:sz w:val="24"/>
          <w:szCs w:val="24"/>
        </w:rPr>
      </w:pPr>
      <w:r w:rsidRPr="00477016">
        <w:rPr>
          <w:rFonts w:ascii="Times New Roman" w:hAnsi="Times New Roman"/>
          <w:sz w:val="24"/>
          <w:szCs w:val="24"/>
        </w:rPr>
        <w:t>a physical or mental impairment that substantially limits one or more major life activities (sometimes referred to in the regulations as an "actual disability"), or</w:t>
      </w:r>
    </w:p>
    <w:p w14:paraId="4F283A47" w14:textId="77777777" w:rsidR="00477016" w:rsidRPr="00477016" w:rsidRDefault="00477016" w:rsidP="00477016">
      <w:pPr>
        <w:numPr>
          <w:ilvl w:val="0"/>
          <w:numId w:val="16"/>
        </w:numPr>
        <w:spacing w:before="100" w:beforeAutospacing="1" w:after="100" w:afterAutospacing="1" w:line="240" w:lineRule="auto"/>
        <w:rPr>
          <w:rFonts w:ascii="Times New Roman" w:hAnsi="Times New Roman"/>
          <w:sz w:val="24"/>
          <w:szCs w:val="24"/>
        </w:rPr>
      </w:pPr>
      <w:r w:rsidRPr="00477016">
        <w:rPr>
          <w:rFonts w:ascii="Times New Roman" w:hAnsi="Times New Roman"/>
          <w:sz w:val="24"/>
          <w:szCs w:val="24"/>
        </w:rPr>
        <w:t>a record of a physical or mental impairment that substantially limited a major life activity ("record of"), or</w:t>
      </w:r>
    </w:p>
    <w:p w14:paraId="55509F4B" w14:textId="77777777" w:rsidR="00477016" w:rsidRPr="00477016" w:rsidRDefault="00477016" w:rsidP="00477016">
      <w:pPr>
        <w:numPr>
          <w:ilvl w:val="0"/>
          <w:numId w:val="16"/>
        </w:numPr>
        <w:spacing w:before="100" w:beforeAutospacing="1" w:after="100" w:afterAutospacing="1" w:line="240" w:lineRule="auto"/>
        <w:rPr>
          <w:rFonts w:ascii="Times New Roman" w:hAnsi="Times New Roman"/>
          <w:sz w:val="24"/>
          <w:szCs w:val="24"/>
        </w:rPr>
      </w:pPr>
      <w:r w:rsidRPr="00477016">
        <w:rPr>
          <w:rFonts w:ascii="Times New Roman" w:hAnsi="Times New Roman"/>
          <w:sz w:val="24"/>
          <w:szCs w:val="24"/>
        </w:rPr>
        <w:t>when a covered entity takes an action prohibited by the ADA because of an actual or perceived impairment that is not both transitory and minor ("regarded as"). [Section 1630.2(g)].</w:t>
      </w:r>
    </w:p>
    <w:p w14:paraId="0C2778A7" w14:textId="77777777" w:rsidR="00477016" w:rsidRPr="00477016" w:rsidRDefault="00477016" w:rsidP="00477016">
      <w:pPr>
        <w:pStyle w:val="NoSpacing"/>
        <w:rPr>
          <w:rFonts w:ascii="Times New Roman" w:hAnsi="Times New Roman"/>
          <w:sz w:val="24"/>
          <w:szCs w:val="24"/>
        </w:rPr>
      </w:pPr>
    </w:p>
    <w:p w14:paraId="47C43F5D" w14:textId="77777777" w:rsidR="00477016" w:rsidRPr="00477016" w:rsidRDefault="00477016" w:rsidP="005C30A4">
      <w:pPr>
        <w:pStyle w:val="NoSpacing"/>
        <w:rPr>
          <w:rFonts w:ascii="Times New Roman" w:hAnsi="Times New Roman"/>
          <w:sz w:val="24"/>
          <w:szCs w:val="24"/>
        </w:rPr>
      </w:pPr>
    </w:p>
    <w:p w14:paraId="624B5FA0" w14:textId="77777777" w:rsidR="00477016" w:rsidRDefault="00477016" w:rsidP="005C30A4">
      <w:pPr>
        <w:pStyle w:val="NoSpacing"/>
        <w:rPr>
          <w:rFonts w:ascii="Arial Black" w:hAnsi="Arial Black"/>
          <w:sz w:val="24"/>
          <w:szCs w:val="24"/>
        </w:rPr>
      </w:pPr>
    </w:p>
    <w:p w14:paraId="26CCBE83" w14:textId="77777777" w:rsidR="00477016" w:rsidRDefault="00477016" w:rsidP="005C30A4">
      <w:pPr>
        <w:pStyle w:val="NoSpacing"/>
        <w:rPr>
          <w:rFonts w:ascii="Arial Black" w:hAnsi="Arial Black"/>
          <w:sz w:val="24"/>
          <w:szCs w:val="24"/>
        </w:rPr>
      </w:pPr>
    </w:p>
    <w:p w14:paraId="30149857" w14:textId="00A0759D" w:rsidR="003F788B" w:rsidRDefault="003F788B" w:rsidP="005C30A4">
      <w:pPr>
        <w:pStyle w:val="NoSpacing"/>
        <w:rPr>
          <w:rFonts w:ascii="Arial Black" w:hAnsi="Arial Black"/>
          <w:sz w:val="24"/>
          <w:szCs w:val="24"/>
        </w:rPr>
      </w:pPr>
      <w:r>
        <w:rPr>
          <w:rFonts w:ascii="Arial Black" w:hAnsi="Arial Black"/>
          <w:sz w:val="24"/>
          <w:szCs w:val="24"/>
        </w:rPr>
        <w:t>9-28</w:t>
      </w:r>
    </w:p>
    <w:p w14:paraId="1756C8DD"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UT: ADA - FEMALE BAT. CHIEF DEMOTED CAPT – SEVERE ANXIETY, NO ACCOMODATIONS - LAWSUIT PROCEED </w:t>
      </w:r>
    </w:p>
    <w:p w14:paraId="77647D81" w14:textId="77777777" w:rsidR="003F788B" w:rsidRDefault="003F788B" w:rsidP="003F788B">
      <w:pPr>
        <w:pStyle w:val="NormalWeb"/>
      </w:pPr>
      <w:r>
        <w:t xml:space="preserve">On March 31, 2023, in </w:t>
      </w:r>
      <w:r>
        <w:rPr>
          <w:u w:val="single"/>
        </w:rPr>
        <w:t>Martha Ellis v. Salt Lake City Corporation, Karl Lieb, Brian Dale, and Robert McMicken</w:t>
      </w:r>
      <w:r>
        <w:t xml:space="preserve">, U.S, Magistrate Judge Jared C. Bennett denied the </w:t>
      </w:r>
      <w:proofErr w:type="gramStart"/>
      <w:r>
        <w:t>City</w:t>
      </w:r>
      <w:proofErr w:type="gramEnd"/>
      <w:r>
        <w:t xml:space="preserve"> and individual defendants’ motion for summary judgment.  Martha Ellis joined the Salt Lake City Fire Department as a firefighter in 1994; in 2004, she was promoted to Fire Captain and served as the Fire Marshal for the Salt Lake City International Airport; in 2009, she was promoted to Battalion Chief and assigned as the City Fire Marshal and Fire Prevention Bureau Division Chief. She served in this capacity until 2014. On May 3, 2016, she was demoted to Captain; she filed charge of discrimination with EEOC, and went on FMLA leave for severe anxiety, and when no light duty accommodation was offered, she was fired in March 2017 due to “your unavailability to return to work at this time.”  Shortly after she was fired, the City’s Civil Service Commission reversed her demotion, but she was never allowed back to work.</w:t>
      </w:r>
    </w:p>
    <w:p w14:paraId="652FB90B" w14:textId="77777777" w:rsidR="003F788B" w:rsidRDefault="003F788B" w:rsidP="003F788B">
      <w:pPr>
        <w:pStyle w:val="NormalWeb"/>
      </w:pPr>
      <w:r>
        <w:t>The Court held the lawsuit may proceed:</w:t>
      </w:r>
    </w:p>
    <w:p w14:paraId="72DACC82" w14:textId="77777777" w:rsidR="003F788B" w:rsidRDefault="003F788B" w:rsidP="003F788B">
      <w:pPr>
        <w:pStyle w:val="NormalWeb"/>
        <w:ind w:left="720"/>
      </w:pPr>
      <w:r>
        <w:rPr>
          <w:rStyle w:val="Strong"/>
        </w:rPr>
        <w:t>“FAILURE TO ACCOMMODATE…</w:t>
      </w:r>
      <w:r>
        <w:t xml:space="preserve"> After examining each party's analysis of the facts, the court finds that Ellis's evidence is sufficient to support her failure to accommodate claim….  Ellis claims that the City rejected two plausibly reasonable accommodations: (1) medical leave for her condition until the CSC appeal was resolved, and (2) the opportunity to receive some form of training from the Department on a temporary part-time schedule of five-hours a day, four-days a week…. The court agrees with Ellis that her requests for </w:t>
      </w:r>
      <w:proofErr w:type="gramStart"/>
      <w:r>
        <w:t>these accommodations</w:t>
      </w:r>
      <w:proofErr w:type="gramEnd"/>
      <w:r>
        <w:t xml:space="preserve"> were plausibly reasonable.</w:t>
      </w:r>
    </w:p>
    <w:p w14:paraId="4EE49E8C" w14:textId="77777777" w:rsidR="003F788B" w:rsidRDefault="003F788B" w:rsidP="003F788B">
      <w:pPr>
        <w:pStyle w:val="NormalWeb"/>
        <w:ind w:left="720"/>
      </w:pPr>
      <w:r>
        <w:rPr>
          <w:rStyle w:val="Strong"/>
        </w:rPr>
        <w:t>***</w:t>
      </w:r>
    </w:p>
    <w:p w14:paraId="33A33C7F" w14:textId="77777777" w:rsidR="003F788B" w:rsidRDefault="003F788B" w:rsidP="003F788B">
      <w:pPr>
        <w:pStyle w:val="NormalWeb"/>
        <w:ind w:left="720"/>
      </w:pPr>
      <w:r>
        <w:rPr>
          <w:rStyle w:val="Strong"/>
        </w:rPr>
        <w:lastRenderedPageBreak/>
        <w:t xml:space="preserve">DISABILITY DISCRIMINATION AND RETALIATION… </w:t>
      </w:r>
      <w:r>
        <w:t>Thus, a jury could find that the City's reason for termination was pretextual. In sum, Ellis has established that she has viable discrimination and retaliation claims under the ADA. As a result, all three of her ADA claims may proceed to trial.</w:t>
      </w:r>
    </w:p>
    <w:p w14:paraId="1854B399" w14:textId="77777777" w:rsidR="003F788B" w:rsidRDefault="003F788B" w:rsidP="003F788B">
      <w:pPr>
        <w:pStyle w:val="NormalWeb"/>
        <w:ind w:left="720"/>
      </w:pPr>
      <w:r>
        <w:rPr>
          <w:rStyle w:val="Strong"/>
        </w:rPr>
        <w:t>***</w:t>
      </w:r>
    </w:p>
    <w:p w14:paraId="047AB7CC" w14:textId="77777777" w:rsidR="003F788B" w:rsidRDefault="003F788B" w:rsidP="003F788B">
      <w:pPr>
        <w:pStyle w:val="NormalWeb"/>
        <w:ind w:left="720"/>
      </w:pPr>
      <w:r>
        <w:rPr>
          <w:rStyle w:val="Strong"/>
        </w:rPr>
        <w:t xml:space="preserve">SEX DISCRIMINATION AND RETALIATION CLAIMS… </w:t>
      </w:r>
      <w:r>
        <w:t>In sum, Ellis establishes prima facie cases of sex discrimination and retaliation under Title VII and § 1983. Because she presents evidence tending to show that Defendants' proffered reasons for taking adverse employment actions against her are pretextual, her claims survive summary judgment.</w:t>
      </w:r>
    </w:p>
    <w:p w14:paraId="72E9BDF6" w14:textId="77777777" w:rsidR="003F788B" w:rsidRDefault="003F788B" w:rsidP="003F788B">
      <w:pPr>
        <w:pStyle w:val="NormalWeb"/>
        <w:ind w:left="720"/>
      </w:pPr>
      <w:r>
        <w:rPr>
          <w:rStyle w:val="Strong"/>
        </w:rPr>
        <w:t>***</w:t>
      </w:r>
    </w:p>
    <w:p w14:paraId="0C2970B2" w14:textId="77777777" w:rsidR="003F788B" w:rsidRDefault="003F788B" w:rsidP="003F788B">
      <w:pPr>
        <w:pStyle w:val="NormalWeb"/>
        <w:ind w:left="720"/>
      </w:pPr>
      <w:r>
        <w:rPr>
          <w:rStyle w:val="Strong"/>
        </w:rPr>
        <w:t xml:space="preserve">HOSTILE WORK ENVIRONMENT CLAIMS… </w:t>
      </w:r>
      <w:r>
        <w:t xml:space="preserve">A jury could find that this treatment of Ellis, along with the sexist insults lobbed her way, significantly impeded her ability to work and, thus, constituted a hostile work environment.” </w:t>
      </w:r>
      <w:hyperlink r:id="rId1621" w:history="1">
        <w:r>
          <w:rPr>
            <w:rStyle w:val="Hyperlink"/>
          </w:rPr>
          <w:t>https://public.fastcase.com/J%2FJP6pdidelsXxEE4k%2BLMkpx4Tc1lqsghN0FDa1gb3wMFLVhhLo5FWrnkmMj5%2F%2BBVQtdjf8pXYj06hYu%2BnGwGl7dOZtJUpPBXfNPjPwixAs%3D?utm_medium=email&amp;_hsmi=226712652&amp;_hsenc=p2ANqtz--C2h-0vhrKpmBZ-sfV5NXYWdtLuQagg3T7ZppydHXd8lRUQhheIKUZNhzvLNm0zeXmkYrDIZXEzHKpdEczURzqVa6roA&amp;utm_content=226712652&amp;utm_source=hs_email</w:t>
        </w:r>
      </w:hyperlink>
      <w:r>
        <w:t xml:space="preserve"> </w:t>
      </w:r>
    </w:p>
    <w:p w14:paraId="2CD5068D" w14:textId="77777777" w:rsidR="003F788B" w:rsidRDefault="003F788B" w:rsidP="003F788B">
      <w:pPr>
        <w:pStyle w:val="NormalWeb"/>
      </w:pPr>
      <w:r>
        <w:t xml:space="preserve">The Court noted that shortly after she was fired, the three-member Civil Service Commission met (Match 18, 2017) and unanimously voted to overturn and reverse Ellis's demotion. </w:t>
      </w:r>
    </w:p>
    <w:p w14:paraId="0369174F" w14:textId="77777777" w:rsidR="003F788B" w:rsidRDefault="003F788B" w:rsidP="003F788B">
      <w:pPr>
        <w:pStyle w:val="NormalWeb"/>
        <w:ind w:firstLine="720"/>
      </w:pPr>
      <w:r>
        <w:t>“The CSC ultimately found that:</w:t>
      </w:r>
    </w:p>
    <w:p w14:paraId="71AFDB22" w14:textId="77777777" w:rsidR="003F788B" w:rsidRDefault="003F788B" w:rsidP="003F788B">
      <w:pPr>
        <w:spacing w:after="100" w:line="240" w:lineRule="auto"/>
        <w:ind w:left="720" w:firstLine="720"/>
        <w:rPr>
          <w:rFonts w:ascii="Times New Roman" w:eastAsia="Times New Roman" w:hAnsi="Times New Roman"/>
          <w:sz w:val="24"/>
          <w:szCs w:val="24"/>
        </w:rPr>
      </w:pPr>
      <w:proofErr w:type="gramStart"/>
      <w:r>
        <w:rPr>
          <w:rFonts w:ascii="Times New Roman" w:eastAsia="Times New Roman" w:hAnsi="Times New Roman"/>
          <w:sz w:val="24"/>
          <w:szCs w:val="24"/>
        </w:rPr>
        <w:t>1. ‘</w:t>
      </w:r>
      <w:proofErr w:type="gramEnd"/>
      <w:r>
        <w:rPr>
          <w:rFonts w:ascii="Times New Roman" w:eastAsia="Times New Roman" w:hAnsi="Times New Roman"/>
          <w:sz w:val="24"/>
          <w:szCs w:val="24"/>
        </w:rPr>
        <w:t xml:space="preserve">McMicken was looking for reasons to discipline Ellis.’ </w:t>
      </w:r>
    </w:p>
    <w:p w14:paraId="0276925A" w14:textId="77777777" w:rsidR="003F788B" w:rsidRDefault="003F788B" w:rsidP="003F788B">
      <w:pPr>
        <w:spacing w:after="100" w:line="240" w:lineRule="auto"/>
        <w:ind w:left="1440"/>
        <w:rPr>
          <w:rFonts w:ascii="Times New Roman" w:eastAsia="Times New Roman" w:hAnsi="Times New Roman"/>
          <w:sz w:val="24"/>
          <w:szCs w:val="24"/>
        </w:rPr>
      </w:pPr>
      <w:proofErr w:type="gramStart"/>
      <w:r>
        <w:rPr>
          <w:rFonts w:ascii="Times New Roman" w:eastAsia="Times New Roman" w:hAnsi="Times New Roman"/>
          <w:sz w:val="24"/>
          <w:szCs w:val="24"/>
        </w:rPr>
        <w:t>2. ‘</w:t>
      </w:r>
      <w:proofErr w:type="gramEnd"/>
      <w:r>
        <w:rPr>
          <w:rFonts w:ascii="Times New Roman" w:eastAsia="Times New Roman" w:hAnsi="Times New Roman"/>
          <w:sz w:val="24"/>
          <w:szCs w:val="24"/>
        </w:rPr>
        <w:t>[A]legations of Ellis' lack of performance are not supported by substantial evidence.’</w:t>
      </w:r>
    </w:p>
    <w:p w14:paraId="19D948DC" w14:textId="77777777" w:rsidR="003F788B" w:rsidRDefault="003F788B" w:rsidP="003F788B">
      <w:pPr>
        <w:spacing w:after="100" w:line="240" w:lineRule="auto"/>
        <w:ind w:left="720" w:firstLine="720"/>
        <w:rPr>
          <w:rFonts w:ascii="Times New Roman" w:eastAsia="Times New Roman" w:hAnsi="Times New Roman"/>
          <w:sz w:val="24"/>
          <w:szCs w:val="24"/>
        </w:rPr>
      </w:pPr>
      <w:r>
        <w:rPr>
          <w:rFonts w:ascii="Times New Roman" w:eastAsia="Times New Roman" w:hAnsi="Times New Roman"/>
          <w:sz w:val="24"/>
          <w:szCs w:val="24"/>
        </w:rPr>
        <w:t xml:space="preserve">3. The reasons for Ellis's demotion were ‘trivial in nature.’ </w:t>
      </w:r>
    </w:p>
    <w:p w14:paraId="3FCCE250"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4. The ‘allegations appear to the Commission to be an attempt to manufacture misconduct and allege failure of performance to justify the disciplinary action, when there were no performance issues.’ </w:t>
      </w:r>
    </w:p>
    <w:p w14:paraId="3212DEFF" w14:textId="77777777" w:rsidR="003F788B" w:rsidRDefault="003F788B" w:rsidP="003F788B">
      <w:pPr>
        <w:spacing w:after="100" w:line="240" w:lineRule="auto"/>
        <w:ind w:left="720"/>
        <w:rPr>
          <w:rFonts w:ascii="Times New Roman" w:hAnsi="Times New Roman"/>
          <w:sz w:val="24"/>
          <w:szCs w:val="24"/>
        </w:rPr>
      </w:pPr>
      <w:r>
        <w:rPr>
          <w:rFonts w:ascii="Times New Roman" w:hAnsi="Times New Roman"/>
          <w:sz w:val="24"/>
          <w:szCs w:val="24"/>
        </w:rPr>
        <w:t>Although the CSC overturned Plaintiff's demotion, the Department never restored Ellis to her original position or reinstated her, since by this time her employment had been terminated. Ultimately, she was only paid the salary that she lost due to her demotion -$7,166.74.”</w:t>
      </w:r>
    </w:p>
    <w:p w14:paraId="19019E80" w14:textId="77777777" w:rsidR="003F788B" w:rsidRDefault="003F788B" w:rsidP="003F788B">
      <w:pPr>
        <w:spacing w:after="100" w:line="240" w:lineRule="auto"/>
        <w:rPr>
          <w:rFonts w:ascii="Times New Roman" w:hAnsi="Times New Roman"/>
          <w:b/>
          <w:bCs/>
          <w:sz w:val="24"/>
          <w:szCs w:val="24"/>
        </w:rPr>
      </w:pPr>
    </w:p>
    <w:p w14:paraId="6E2A6160" w14:textId="77777777" w:rsidR="003F788B" w:rsidRDefault="003F788B" w:rsidP="003F788B">
      <w:pPr>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Lessons Learned: The case will now proceed to trial, unless settled. </w:t>
      </w:r>
    </w:p>
    <w:p w14:paraId="6AE687A6" w14:textId="77777777" w:rsidR="003F788B" w:rsidRDefault="003F788B" w:rsidP="003F788B">
      <w:pPr>
        <w:pStyle w:val="NormalWeb"/>
      </w:pPr>
    </w:p>
    <w:p w14:paraId="18EEC093" w14:textId="2684E23B" w:rsidR="003F788B" w:rsidRDefault="003F788B" w:rsidP="005C30A4">
      <w:pPr>
        <w:pStyle w:val="NoSpacing"/>
        <w:rPr>
          <w:rFonts w:ascii="Arial Black" w:hAnsi="Arial Black"/>
          <w:sz w:val="24"/>
          <w:szCs w:val="24"/>
        </w:rPr>
      </w:pPr>
    </w:p>
    <w:p w14:paraId="52E7C0A2" w14:textId="1E1B2FD7" w:rsidR="003F788B" w:rsidRDefault="003F788B" w:rsidP="005C30A4">
      <w:pPr>
        <w:pStyle w:val="NoSpacing"/>
        <w:rPr>
          <w:rFonts w:ascii="Arial Black" w:hAnsi="Arial Black"/>
          <w:sz w:val="24"/>
          <w:szCs w:val="24"/>
        </w:rPr>
      </w:pPr>
      <w:r>
        <w:rPr>
          <w:rFonts w:ascii="Arial Black" w:hAnsi="Arial Black"/>
          <w:sz w:val="24"/>
          <w:szCs w:val="24"/>
        </w:rPr>
        <w:t>9-27</w:t>
      </w:r>
    </w:p>
    <w:p w14:paraId="1406FFEF" w14:textId="6B9534F9" w:rsidR="003F788B" w:rsidRDefault="003F788B" w:rsidP="005C30A4">
      <w:pPr>
        <w:pStyle w:val="NoSpacing"/>
        <w:rPr>
          <w:rFonts w:ascii="Arial Black" w:hAnsi="Arial Black"/>
          <w:sz w:val="24"/>
          <w:szCs w:val="24"/>
        </w:rPr>
      </w:pPr>
    </w:p>
    <w:p w14:paraId="7713B1A6"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UT: ADA – PARAMEDIC BACK INJURY – LIGHT DUTY – CLAIMS GIVEN HEAVY DUTIES – CASE MAY PROCEED </w:t>
      </w:r>
    </w:p>
    <w:p w14:paraId="49932A5C" w14:textId="77777777" w:rsidR="003F788B" w:rsidRDefault="003F788B" w:rsidP="003F788B">
      <w:pPr>
        <w:pStyle w:val="NormalWeb"/>
      </w:pPr>
      <w:r>
        <w:lastRenderedPageBreak/>
        <w:t xml:space="preserve">On March 28, 2023, in </w:t>
      </w:r>
      <w:r>
        <w:rPr>
          <w:u w:val="single"/>
        </w:rPr>
        <w:t>Patrick John v. Murray City</w:t>
      </w:r>
      <w:r>
        <w:t xml:space="preserve">, U.S. Magistrate Judge Daphne A. Oberg, U.S. District Court for District of Utah, held that his ADA lawsuit may proceed to trial on his claim that after a back injury on Nov. 24, 2017, he was on light duty for six weeks, and was inappropriately ordered to perform tasks like moving boxes that caused him pain. The </w:t>
      </w:r>
      <w:proofErr w:type="gramStart"/>
      <w:r>
        <w:t>City</w:t>
      </w:r>
      <w:proofErr w:type="gramEnd"/>
      <w:r>
        <w:t xml:space="preserve"> fired him in September 2018, after he was on probation, for “attitude, reckless driving, lack of initiative, and the Needle Stick Incident.”  </w:t>
      </w:r>
    </w:p>
    <w:p w14:paraId="2DCCEB68" w14:textId="77777777" w:rsidR="003F788B" w:rsidRDefault="003F788B" w:rsidP="003F788B">
      <w:pPr>
        <w:pStyle w:val="NormalWeb"/>
        <w:ind w:left="540"/>
      </w:pPr>
      <w:r>
        <w:t>While the Judge granted City’s motion for summary judgment on his claim he was fired in retaliation for his six workers comp claims (Dec. 2007; April 2016; Oct. 2016, Nov. 2017, June 2018), the Judge ordered case to trial on whether the City properly accommodated him while on light duty following another back injury on November 24, 2017. The Judge held that following testimony by the paramedic is “sufficient to create a genuine issue of material fact concerning whether the City accommodated John after his November 2017 injury.” *** On December 4, he went to Clements [his Physician Assistant] for treatment. Clements issued a work restriction note recommending the paramedic be allowed ‘to modify bending, lifting, twisting, carrying, stooping, kneeling as tolerated while being treated for the next 6-8 weeks.’  *** “During the restriction period after this injury, John met with Harris [who later became Fire Chief] ‘every morning’ to discuss light-duty work assignments for the day. At several of these meetings, John remembers Harris making disparaging remarks. For example, Harris told John that light-duty assignments were ‘unacceptable, especially [for] somebody on probation’ who was trying to prove he wanted to keep his job. According to John, Harris seemed ‘really frustrated and angry’ and repeatedly said some version of, ‘Well what are we going to do with you today?’ Harris also ‘forced him to complete tasks,’ like cleaning the gear room, ‘that were outside of his medical restrictions, causing him further pain.’”</w:t>
      </w:r>
      <w:hyperlink r:id="rId1622" w:history="1">
        <w:r>
          <w:rPr>
            <w:rStyle w:val="Hyperlink"/>
          </w:rPr>
          <w:t>https://public.fastcase.com/J%2FJP6pdidelsXxEE4k%2BLMiteJGWvZUfwvvNNihi30%2B3WDxUCsaXKSaCpKvBtAgs2vLiA9OVuPhL49GE7aECM8IIU6kbJlailTpTCbBqx2w4%3D?utm_medium=email&amp;_hsmi=226712652&amp;_hsenc=p2ANqtz---SEadQ3HE9lUqxxQW5cr7Vybxx0tHPHEXMPHfSJcPHzXu-t4fnJYchJuK4CNgA9WWUPQ6Jxn6Xff3x8kPfGcAZk9K8A&amp;utm_content=226712652&amp;utm_source=hs_email</w:t>
        </w:r>
      </w:hyperlink>
      <w:r>
        <w:t xml:space="preserve"> </w:t>
      </w:r>
    </w:p>
    <w:p w14:paraId="296FC269" w14:textId="77777777" w:rsidR="003F788B" w:rsidRDefault="003F788B" w:rsidP="003F788B">
      <w:pPr>
        <w:pStyle w:val="NormalWeb"/>
        <w:ind w:firstLine="540"/>
      </w:pPr>
      <w:r>
        <w:rPr>
          <w:rStyle w:val="Strong"/>
        </w:rPr>
        <w:t>“John's Monthly Probation Reports</w:t>
      </w:r>
      <w:r>
        <w:t xml:space="preserve"> </w:t>
      </w:r>
    </w:p>
    <w:p w14:paraId="3F81F084" w14:textId="77777777" w:rsidR="003F788B" w:rsidRDefault="003F788B" w:rsidP="003F788B">
      <w:pPr>
        <w:pStyle w:val="NormalWeb"/>
        <w:ind w:left="540"/>
      </w:pPr>
      <w:r>
        <w:t xml:space="preserve">John continued to receive monthly performance reviews as part of his probation. From October 2017 through December 2017, the reports were ‘mixed.’ However, from January through May 2018, John's supervisor noted he was improving and rated him as ‘meeting expectations.’ John signed each of these reports. </w:t>
      </w:r>
    </w:p>
    <w:p w14:paraId="76F4BE88" w14:textId="77777777" w:rsidR="003F788B" w:rsidRDefault="003F788B" w:rsidP="003F788B">
      <w:pPr>
        <w:pStyle w:val="NormalWeb"/>
        <w:ind w:left="540"/>
      </w:pPr>
      <w:r>
        <w:t xml:space="preserve">In the June 2018 report, the supervisor rated John as ‘needing improvement’ in the categories of safety, following instructions, and fire skills. These ratings were based on three incidents. </w:t>
      </w:r>
    </w:p>
    <w:p w14:paraId="263E6BA8" w14:textId="77777777" w:rsidR="003F788B" w:rsidRDefault="003F788B" w:rsidP="003F788B">
      <w:pPr>
        <w:pStyle w:val="NormalWeb"/>
        <w:ind w:left="540"/>
      </w:pPr>
      <w:r>
        <w:t xml:space="preserve">First, John ‘jeopardized his safety during a defensive fire operation’ when he entered a burning and abandoned building that his captain and crew told him not to enter (the Fire Incident). This was an ‘unreasonable risk’ because there was a partially collapsed wall and ‘heavy smoke.’ </w:t>
      </w:r>
    </w:p>
    <w:p w14:paraId="43B4D66F" w14:textId="77777777" w:rsidR="003F788B" w:rsidRDefault="003F788B" w:rsidP="003F788B">
      <w:pPr>
        <w:pStyle w:val="NormalWeb"/>
        <w:ind w:left="540"/>
      </w:pPr>
      <w:r>
        <w:t xml:space="preserve">Second, John accidentally exposed himself to a needlestick by recapping a bent needle (the Needle Stick Incident). The supervisor explained that recapping a bent needle is ‘against standard paramedic practice and should be avoided.’ </w:t>
      </w:r>
    </w:p>
    <w:p w14:paraId="0B934854" w14:textId="77777777" w:rsidR="003F788B" w:rsidRDefault="003F788B" w:rsidP="003F788B">
      <w:pPr>
        <w:pStyle w:val="NormalWeb"/>
        <w:ind w:left="540"/>
      </w:pPr>
      <w:r>
        <w:t>Third, the supervisor received reports that John had ‘been driving the ambulance recklessly and going back to his old ways with attitude.’</w:t>
      </w:r>
    </w:p>
    <w:p w14:paraId="2C4A767D" w14:textId="77777777" w:rsidR="003F788B" w:rsidRDefault="003F788B" w:rsidP="003F788B">
      <w:pPr>
        <w:pStyle w:val="NormalWeb"/>
        <w:ind w:left="540"/>
      </w:pPr>
      <w:r>
        <w:t>***</w:t>
      </w:r>
    </w:p>
    <w:p w14:paraId="3FB06730" w14:textId="77777777" w:rsidR="003F788B" w:rsidRDefault="003F788B" w:rsidP="003F788B">
      <w:pPr>
        <w:pStyle w:val="NormalWeb"/>
        <w:ind w:firstLine="540"/>
      </w:pPr>
      <w:r>
        <w:rPr>
          <w:rStyle w:val="Strong"/>
        </w:rPr>
        <w:t>The City Terminates John</w:t>
      </w:r>
      <w:r>
        <w:t xml:space="preserve"> </w:t>
      </w:r>
    </w:p>
    <w:p w14:paraId="6D7364BE" w14:textId="77777777" w:rsidR="003F788B" w:rsidRDefault="003F788B" w:rsidP="003F788B">
      <w:pPr>
        <w:pStyle w:val="NormalWeb"/>
        <w:ind w:left="540"/>
      </w:pPr>
      <w:r>
        <w:lastRenderedPageBreak/>
        <w:t xml:space="preserve">John's pre-disciplinary hearing was on August 28, 2018. At the hearing, John was able to present his ‘version of the </w:t>
      </w:r>
      <w:proofErr w:type="gramStart"/>
      <w:r>
        <w:t>facts’</w:t>
      </w:r>
      <w:proofErr w:type="gramEnd"/>
      <w:r>
        <w:t xml:space="preserve"> and other information he considered relevant</w:t>
      </w:r>
      <w:proofErr w:type="gramStart"/>
      <w:r>
        <w:t xml:space="preserve">.[Fire Chief] </w:t>
      </w:r>
      <w:proofErr w:type="gramEnd"/>
      <w:r>
        <w:t xml:space="preserve"> Harris, two assistant chiefs, and the City's human resources director attended the hearing and later investigated concerns John raised. </w:t>
      </w:r>
    </w:p>
    <w:p w14:paraId="7EECB1B9" w14:textId="77777777" w:rsidR="003F788B" w:rsidRDefault="003F788B" w:rsidP="003F788B">
      <w:pPr>
        <w:pStyle w:val="NormalWeb"/>
        <w:ind w:left="540"/>
      </w:pPr>
      <w:r>
        <w:t xml:space="preserve">After the investigation, the </w:t>
      </w:r>
      <w:proofErr w:type="gramStart"/>
      <w:r>
        <w:t>City</w:t>
      </w:r>
      <w:proofErr w:type="gramEnd"/>
      <w:r>
        <w:t xml:space="preserve"> terminated John on September 6, 2018. </w:t>
      </w:r>
      <w:r>
        <w:rPr>
          <w:vertAlign w:val="superscript"/>
        </w:rPr>
        <w:t>]</w:t>
      </w:r>
      <w:r>
        <w:t>Harris wrote John a letter explaining the reasons for the termination. For example, the letter described concerns about attitude, reckless driving, lack of initiative, and the Needle Stick Incident.</w:t>
      </w:r>
      <w:r>
        <w:rPr>
          <w:vertAlign w:val="superscript"/>
        </w:rPr>
        <w:t>”</w:t>
      </w:r>
    </w:p>
    <w:p w14:paraId="596B0B34" w14:textId="77777777" w:rsidR="003F788B" w:rsidRDefault="003F788B" w:rsidP="003F788B">
      <w:pPr>
        <w:pStyle w:val="NormalWeb"/>
        <w:rPr>
          <w:b/>
          <w:bCs/>
        </w:rPr>
      </w:pPr>
      <w:r>
        <w:rPr>
          <w:b/>
          <w:bCs/>
        </w:rPr>
        <w:t xml:space="preserve">Legal Lesson Learned: When accommodating a paramedic with light duty for a back injury, assign the medic duties consistent with recovery for that injury. </w:t>
      </w:r>
    </w:p>
    <w:p w14:paraId="7A99B39C" w14:textId="77777777" w:rsidR="003F788B" w:rsidRDefault="003F788B" w:rsidP="003F788B">
      <w:pPr>
        <w:pStyle w:val="NormalWeb"/>
      </w:pPr>
    </w:p>
    <w:p w14:paraId="561E1F0B" w14:textId="7B1BC8F5" w:rsidR="003F788B" w:rsidRDefault="003F788B" w:rsidP="005C30A4">
      <w:pPr>
        <w:pStyle w:val="NoSpacing"/>
        <w:rPr>
          <w:rFonts w:ascii="Arial Black" w:hAnsi="Arial Black"/>
          <w:sz w:val="24"/>
          <w:szCs w:val="24"/>
        </w:rPr>
      </w:pPr>
    </w:p>
    <w:p w14:paraId="73F94D85" w14:textId="53D17EB9" w:rsidR="003F788B" w:rsidRDefault="003F788B" w:rsidP="005C30A4">
      <w:pPr>
        <w:pStyle w:val="NoSpacing"/>
        <w:rPr>
          <w:rFonts w:ascii="Arial Black" w:hAnsi="Arial Black"/>
          <w:sz w:val="24"/>
          <w:szCs w:val="24"/>
        </w:rPr>
      </w:pPr>
      <w:r>
        <w:rPr>
          <w:rFonts w:ascii="Arial Black" w:hAnsi="Arial Black"/>
          <w:sz w:val="24"/>
          <w:szCs w:val="24"/>
        </w:rPr>
        <w:t>9-26</w:t>
      </w:r>
    </w:p>
    <w:p w14:paraId="26F75A3F" w14:textId="7A4DF0F5" w:rsidR="003F788B" w:rsidRDefault="003F788B" w:rsidP="005C30A4">
      <w:pPr>
        <w:pStyle w:val="NoSpacing"/>
        <w:rPr>
          <w:rFonts w:ascii="Arial Black" w:hAnsi="Arial Black"/>
          <w:sz w:val="24"/>
          <w:szCs w:val="24"/>
        </w:rPr>
      </w:pPr>
    </w:p>
    <w:p w14:paraId="125217A0"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IL: ADA - CHICAGO FF – FAILED ANNUAL STRESS TEST – CO-PAYS PRIVATE TESTING WHILE ON PAID LEAVE – NO VIOL. </w:t>
      </w:r>
    </w:p>
    <w:p w14:paraId="7260FF28" w14:textId="77777777" w:rsidR="003F788B" w:rsidRDefault="003F788B" w:rsidP="003F788B">
      <w:pPr>
        <w:pStyle w:val="NormalWeb"/>
      </w:pPr>
      <w:r>
        <w:t xml:space="preserve">On March 20, 2023, in </w:t>
      </w:r>
      <w:r>
        <w:rPr>
          <w:u w:val="single"/>
        </w:rPr>
        <w:t>Darren Verderber v. City of Chicago</w:t>
      </w:r>
      <w:r>
        <w:t xml:space="preserve">, U.S. District Court Judge Franklin U. Valderrama, U.S., District Court for Northern District of Illinois, Eastern Division, granted the City’s motion to dismiss.  Even though the firefighter had to submit numerous test results, and personally pay insurance co-pays, there was no “materially adverse employment action” as required to bring ADA lawsuit. </w:t>
      </w:r>
    </w:p>
    <w:p w14:paraId="0E299DEA" w14:textId="77777777" w:rsidR="003F788B" w:rsidRDefault="003F788B" w:rsidP="003F788B">
      <w:pPr>
        <w:pStyle w:val="NormalWeb"/>
      </w:pPr>
      <w:r>
        <w:t>The Court held:</w:t>
      </w:r>
    </w:p>
    <w:p w14:paraId="6D9BE190" w14:textId="77777777" w:rsidR="003F788B" w:rsidRDefault="003F788B" w:rsidP="003F788B">
      <w:pPr>
        <w:pStyle w:val="NormalWeb"/>
        <w:ind w:left="720"/>
      </w:pPr>
      <w:r>
        <w:t xml:space="preserve">“The Court agrees with the </w:t>
      </w:r>
      <w:proofErr w:type="gramStart"/>
      <w:r>
        <w:t>City</w:t>
      </w:r>
      <w:proofErr w:type="gramEnd"/>
      <w:r>
        <w:t xml:space="preserve"> that Verderber has failed to plausibly allege a materially adverse employment action. True, Verderber has alleged that he was required to undergo a series of medical examinations after his failed physical exam. But courts have repeatedly held that the ADA permits fitness for duty examinations for public safety employees….Nor has he alleged that other similarly situated firefighters were subjected to less testing after a failed stress test. Furthermore, in his Complaint, Verderber alleges that he was warned by the CFD how ‘physically demanding’ his job was, which supports that the series of medical examinations were within the scope of Verderber's employment…. Thus, Verderber has not plausibly alleged that the series of medical examination requirements was a materially adverse employment action. *** Apparently, the issue of whether payment of out-of-pocket expenses can constitute an adverse employment action has not been addressed in the Seventh Circuit.  In short, Verderber has not plausibly alleged that the out-of-pocket medical costs are a materially adverse employment action.           All in all, Verderber has not plausibly pled a materially adverse employment </w:t>
      </w:r>
      <w:proofErr w:type="gramStart"/>
      <w:r>
        <w:t>action, and</w:t>
      </w:r>
      <w:proofErr w:type="gramEnd"/>
      <w:r>
        <w:t xml:space="preserve"> so has not stated a claim under the ADA.  </w:t>
      </w:r>
      <w:hyperlink r:id="rId1623" w:history="1">
        <w:r>
          <w:rPr>
            <w:rStyle w:val="Hyperlink"/>
          </w:rPr>
          <w:t>https://law.justia.com/cases/federal/district-courts/illinois/ilndce/1:2021cv06211/409083/23/</w:t>
        </w:r>
      </w:hyperlink>
      <w:r>
        <w:t xml:space="preserve"> </w:t>
      </w:r>
    </w:p>
    <w:p w14:paraId="10293D10" w14:textId="77777777" w:rsidR="003F788B" w:rsidRDefault="003F788B" w:rsidP="003F788B">
      <w:pPr>
        <w:pStyle w:val="NormalWeb"/>
        <w:ind w:left="720"/>
      </w:pPr>
      <w:r>
        <w:t>CFD requires members of the Special Operations Division to undergo an annual physical exam…. The physical exam includes a stress test… Verderber underwent his annual physical exam on July 23, 2020…. Verderber alleges that during the stress test portion of the July 23 exam, one of the cardiac monitor leads fell off Verderber's chest, negatively impacting the results and causing Verderber to ‘not satisfactorily pass’ the stress test</w:t>
      </w:r>
      <w:proofErr w:type="gramStart"/>
      <w:r>
        <w:t>…..</w:t>
      </w:r>
      <w:proofErr w:type="gramEnd"/>
      <w:r>
        <w:t xml:space="preserve"> That same day, Verderber requested a second stress test, but his request was denied. </w:t>
      </w:r>
    </w:p>
    <w:p w14:paraId="19184A15" w14:textId="77777777" w:rsidR="003F788B" w:rsidRDefault="003F788B" w:rsidP="003F788B">
      <w:pPr>
        <w:pStyle w:val="NormalWeb"/>
        <w:ind w:left="720"/>
      </w:pPr>
      <w:r>
        <w:lastRenderedPageBreak/>
        <w:t>***</w:t>
      </w:r>
    </w:p>
    <w:p w14:paraId="53DED51B" w14:textId="77777777" w:rsidR="003F788B" w:rsidRDefault="003F788B" w:rsidP="003F788B">
      <w:pPr>
        <w:pStyle w:val="NormalWeb"/>
        <w:ind w:left="720"/>
      </w:pPr>
      <w:r>
        <w:t>From August 2020 to February 2021, Verderber was required to submit to various medical consultations, examinations and tests and obtain numerous medical releases</w:t>
      </w:r>
      <w:proofErr w:type="gramStart"/>
      <w:r>
        <w:t>…..</w:t>
      </w:r>
      <w:proofErr w:type="gramEnd"/>
      <w:r>
        <w:t xml:space="preserve"> Beginning on July 31, 2020, Verderber scheduled a medical consultation with his general practitioner, after which the doctor provided a medical release authorizing his return to work…. Verderber also scheduled an appointment with his cardiologist on August 3, 2020, who also gave him a written medical release</w:t>
      </w:r>
      <w:proofErr w:type="gramStart"/>
      <w:r>
        <w:t>…..</w:t>
      </w:r>
      <w:proofErr w:type="gramEnd"/>
      <w:r>
        <w:t xml:space="preserve"> However, after submitting both medical releases on August 4, 2020, the CFD Medical Division informed Verderber that the medical releases were insufficient without an echocardiogram.</w:t>
      </w:r>
    </w:p>
    <w:p w14:paraId="26A23F9B" w14:textId="77777777" w:rsidR="003F788B" w:rsidRDefault="003F788B" w:rsidP="003F788B">
      <w:pPr>
        <w:pStyle w:val="NormalWeb"/>
        <w:ind w:left="720"/>
      </w:pPr>
      <w:r>
        <w:t>***</w:t>
      </w:r>
    </w:p>
    <w:p w14:paraId="396EEC22" w14:textId="77777777" w:rsidR="003F788B" w:rsidRDefault="003F788B" w:rsidP="003F788B">
      <w:pPr>
        <w:pStyle w:val="NormalWeb"/>
        <w:ind w:left="720"/>
      </w:pPr>
      <w:r>
        <w:t xml:space="preserve">On August 21, 2020, Verderber saw a new cardiologist who performed an echocardiogram that produced normal and within range test results…. Following submission of the normal echocardiogram's results to the CFD, Verderber was informed on September 28, </w:t>
      </w:r>
      <w:proofErr w:type="gramStart"/>
      <w:r>
        <w:t>2020</w:t>
      </w:r>
      <w:proofErr w:type="gramEnd"/>
      <w:r>
        <w:t xml:space="preserve"> that he also needed to complete a Thoracic Aneurysm test…. Verderber complied, and submitted to the test, which came back normal and within range…. However, the CFD still did not allow Verderber to return to work and warned him about the ‘physically demanding’ work of his job….  Verderber underwent additional testing between October 29, 2020, when he was placed on extended layup, and February 25, 2021</w:t>
      </w:r>
      <w:proofErr w:type="gramStart"/>
      <w:r>
        <w:t>…..</w:t>
      </w:r>
      <w:proofErr w:type="gramEnd"/>
      <w:r>
        <w:t xml:space="preserve"> Verderber was told in late February 2021 to obtain a new medical release from his primary cardiologist, and Verderber complied. </w:t>
      </w:r>
    </w:p>
    <w:p w14:paraId="6F65B17C" w14:textId="77777777" w:rsidR="003F788B" w:rsidRDefault="003F788B" w:rsidP="003F788B">
      <w:pPr>
        <w:pStyle w:val="NormalWeb"/>
        <w:ind w:left="720"/>
      </w:pPr>
      <w:r>
        <w:t xml:space="preserve">Verderber was allowed to return to duty on February 26, 2021, following his final medical release from his cardiologist…. Although Verderber received full pay and benefits from the CFD during his layup, Verderber was unable to </w:t>
      </w:r>
      <w:proofErr w:type="gramStart"/>
      <w:r>
        <w:t>work</w:t>
      </w:r>
      <w:proofErr w:type="gramEnd"/>
      <w:r>
        <w:t xml:space="preserve"> his secondary employment during the same period due to the conditions of his secondary employment </w:t>
      </w:r>
      <w:proofErr w:type="gramStart"/>
      <w:r>
        <w:t>contract.”</w:t>
      </w:r>
      <w:proofErr w:type="gramEnd"/>
    </w:p>
    <w:p w14:paraId="2B56D9C9" w14:textId="77777777" w:rsidR="003F788B" w:rsidRDefault="003F788B" w:rsidP="003F788B">
      <w:pPr>
        <w:pStyle w:val="NormalWeb"/>
        <w:rPr>
          <w:b/>
          <w:bCs/>
        </w:rPr>
      </w:pPr>
      <w:r>
        <w:rPr>
          <w:b/>
          <w:bCs/>
        </w:rPr>
        <w:t xml:space="preserve">Legal Lessons Learned: The ADA is not violated when a firefighter incurs co-pays to prove he is physically fit for a physically demanding position. </w:t>
      </w:r>
    </w:p>
    <w:p w14:paraId="1B21F18D" w14:textId="77777777" w:rsidR="003F788B" w:rsidRDefault="003F788B" w:rsidP="005C30A4">
      <w:pPr>
        <w:pStyle w:val="NoSpacing"/>
        <w:rPr>
          <w:rFonts w:ascii="Arial Black" w:hAnsi="Arial Black"/>
          <w:sz w:val="24"/>
          <w:szCs w:val="24"/>
        </w:rPr>
      </w:pPr>
    </w:p>
    <w:p w14:paraId="240E5EF4" w14:textId="77777777" w:rsidR="003F788B" w:rsidRDefault="003F788B" w:rsidP="005C30A4">
      <w:pPr>
        <w:pStyle w:val="NoSpacing"/>
        <w:rPr>
          <w:rFonts w:ascii="Arial Black" w:hAnsi="Arial Black"/>
          <w:sz w:val="24"/>
          <w:szCs w:val="24"/>
        </w:rPr>
      </w:pPr>
    </w:p>
    <w:p w14:paraId="5E1AD4C0" w14:textId="77777777" w:rsidR="003F788B" w:rsidRDefault="003F788B" w:rsidP="005C30A4">
      <w:pPr>
        <w:pStyle w:val="NoSpacing"/>
        <w:rPr>
          <w:rFonts w:ascii="Arial Black" w:hAnsi="Arial Black"/>
          <w:sz w:val="24"/>
          <w:szCs w:val="24"/>
        </w:rPr>
      </w:pPr>
    </w:p>
    <w:p w14:paraId="3690C9B7" w14:textId="565D8DEE" w:rsidR="00C67B2A" w:rsidRDefault="00BA3CDE" w:rsidP="005C30A4">
      <w:pPr>
        <w:pStyle w:val="NoSpacing"/>
        <w:rPr>
          <w:rFonts w:ascii="Arial Black" w:hAnsi="Arial Black"/>
          <w:sz w:val="24"/>
          <w:szCs w:val="24"/>
        </w:rPr>
      </w:pPr>
      <w:r>
        <w:rPr>
          <w:rFonts w:ascii="Arial Black" w:hAnsi="Arial Black"/>
          <w:sz w:val="24"/>
          <w:szCs w:val="24"/>
        </w:rPr>
        <w:t>9-25</w:t>
      </w:r>
    </w:p>
    <w:p w14:paraId="68A12544" w14:textId="77777777" w:rsidR="00BA3CDE" w:rsidRDefault="00BA3CDE" w:rsidP="00BA3CDE">
      <w:pPr>
        <w:pStyle w:val="NormalWeb"/>
        <w:rPr>
          <w:rFonts w:ascii="Arial Black" w:hAnsi="Arial Black"/>
          <w:sz w:val="28"/>
          <w:szCs w:val="28"/>
        </w:rPr>
      </w:pPr>
      <w:r>
        <w:rPr>
          <w:rFonts w:ascii="Arial Black" w:hAnsi="Arial Black"/>
          <w:sz w:val="28"/>
          <w:szCs w:val="28"/>
        </w:rPr>
        <w:t>DE: FF BACK INJURY DURING TRAINING – NO LIGHT DUTY – ON MEDICAL LEAVE 1-YR, FIRED – CASE PROCEED</w:t>
      </w:r>
    </w:p>
    <w:p w14:paraId="091FA235" w14:textId="77777777" w:rsidR="00BA3CDE" w:rsidRDefault="00BA3CDE" w:rsidP="00BA3CDE">
      <w:pPr>
        <w:pStyle w:val="NormalWeb"/>
      </w:pPr>
      <w:r>
        <w:t xml:space="preserve">On Dec. 15, 2022, in </w:t>
      </w:r>
      <w:r w:rsidRPr="00402DBB">
        <w:rPr>
          <w:u w:val="single"/>
        </w:rPr>
        <w:t>Hiram Whatley v. City of Wilmington</w:t>
      </w:r>
      <w:r>
        <w:t>, U.S. District Court for Delaware, Federal Judge Stephanos Bibas, visiting judge from U.S. Court of Appeals for 3</w:t>
      </w:r>
      <w:r w:rsidRPr="00402DBB">
        <w:rPr>
          <w:vertAlign w:val="superscript"/>
        </w:rPr>
        <w:t>rd</w:t>
      </w:r>
      <w:r>
        <w:t xml:space="preserve"> Circuit (Boston), denied the City’s motion to dismiss; pre-trial discovery will now begin.  Hiram Whatley was a Wilmington firefighter for more than two decades, when in June 2019, he injured his back in a training exercise. “This injury kept him out of work and ultimately required surgery. When Whatley asked for light duty, the Fire Chief told him that no such assignment exists in the fire department. Whatley also sought extensions of his medical leave. But in July 2020, Wilmington fired Whatley after more than a year away from </w:t>
      </w:r>
      <w:proofErr w:type="gramStart"/>
      <w:r>
        <w:t>work.”</w:t>
      </w:r>
      <w:proofErr w:type="gramEnd"/>
      <w:r>
        <w:t xml:space="preserve">  Whatley claims the </w:t>
      </w:r>
      <w:proofErr w:type="gramStart"/>
      <w:r>
        <w:t>City</w:t>
      </w:r>
      <w:proofErr w:type="gramEnd"/>
      <w:r>
        <w:t xml:space="preserve"> has offered light duty to him for a previous injury, as well as to other injured firefighters. </w:t>
      </w:r>
    </w:p>
    <w:p w14:paraId="1D9E9270" w14:textId="77777777" w:rsidR="00BA3CDE" w:rsidRDefault="00BA3CDE" w:rsidP="00BA3CDE">
      <w:pPr>
        <w:pStyle w:val="NormalWeb"/>
        <w:ind w:left="720"/>
      </w:pPr>
      <w:r>
        <w:t xml:space="preserve">“Wilmington argues that Whatley is not qualified because his requests for additional leave and light duty were unreasonable accommodations….  At this stage, [his allegation about light duty] is enough to show that light duty is a reasonable accommodation.” </w:t>
      </w:r>
      <w:hyperlink r:id="rId1624" w:history="1">
        <w:r w:rsidRPr="00237809">
          <w:rPr>
            <w:rStyle w:val="Hyperlink"/>
            <w:rFonts w:eastAsiaTheme="majorEastAsia"/>
          </w:rPr>
          <w:t>https://law.justia.com/cases/federal/district-courts/delaware/dedce/1:2021cv01726/77337/17/</w:t>
        </w:r>
      </w:hyperlink>
      <w:r>
        <w:t xml:space="preserve"> </w:t>
      </w:r>
    </w:p>
    <w:p w14:paraId="67649B97" w14:textId="77777777" w:rsidR="00BA3CDE" w:rsidRDefault="00BA3CDE" w:rsidP="00BA3CDE">
      <w:pPr>
        <w:pStyle w:val="NormalWeb"/>
        <w:rPr>
          <w:b/>
          <w:bCs/>
        </w:rPr>
      </w:pPr>
      <w:r w:rsidRPr="00C91DD8">
        <w:rPr>
          <w:b/>
          <w:bCs/>
        </w:rPr>
        <w:lastRenderedPageBreak/>
        <w:t xml:space="preserve">Legal Lesson Learned: </w:t>
      </w:r>
      <w:r>
        <w:rPr>
          <w:b/>
          <w:bCs/>
        </w:rPr>
        <w:t xml:space="preserve"> The case will now proceed to pre-trial discovery.  </w:t>
      </w:r>
    </w:p>
    <w:p w14:paraId="3F3B7FC3" w14:textId="77777777" w:rsidR="00BA3CDE" w:rsidRDefault="00BA3CDE" w:rsidP="005C30A4">
      <w:pPr>
        <w:pStyle w:val="NoSpacing"/>
        <w:rPr>
          <w:rFonts w:ascii="Arial Black" w:hAnsi="Arial Black"/>
          <w:sz w:val="24"/>
          <w:szCs w:val="24"/>
        </w:rPr>
      </w:pPr>
    </w:p>
    <w:p w14:paraId="5D87CB18" w14:textId="77777777" w:rsidR="00BA3CDE" w:rsidRDefault="00BA3CDE" w:rsidP="005C30A4">
      <w:pPr>
        <w:pStyle w:val="NoSpacing"/>
        <w:rPr>
          <w:rFonts w:ascii="Arial Black" w:hAnsi="Arial Black"/>
          <w:sz w:val="24"/>
          <w:szCs w:val="24"/>
        </w:rPr>
      </w:pPr>
    </w:p>
    <w:p w14:paraId="0A1443A1" w14:textId="77777777" w:rsidR="00BA3CDE" w:rsidRDefault="00BA3CDE" w:rsidP="005C30A4">
      <w:pPr>
        <w:pStyle w:val="NoSpacing"/>
        <w:rPr>
          <w:rFonts w:ascii="Arial Black" w:hAnsi="Arial Black"/>
          <w:sz w:val="24"/>
          <w:szCs w:val="24"/>
        </w:rPr>
      </w:pPr>
    </w:p>
    <w:p w14:paraId="577E6223" w14:textId="3D87494F" w:rsidR="00804F3A" w:rsidRDefault="00804F3A" w:rsidP="005C30A4">
      <w:pPr>
        <w:pStyle w:val="NoSpacing"/>
        <w:rPr>
          <w:rFonts w:ascii="Arial Black" w:hAnsi="Arial Black"/>
          <w:sz w:val="24"/>
          <w:szCs w:val="24"/>
        </w:rPr>
      </w:pPr>
      <w:r>
        <w:rPr>
          <w:rFonts w:ascii="Arial Black" w:hAnsi="Arial Black"/>
          <w:sz w:val="24"/>
          <w:szCs w:val="24"/>
        </w:rPr>
        <w:t>9-24</w:t>
      </w:r>
    </w:p>
    <w:p w14:paraId="34E4E2F3" w14:textId="228AEE95" w:rsidR="00804F3A" w:rsidRDefault="00804F3A" w:rsidP="00804F3A">
      <w:pPr>
        <w:pStyle w:val="NormalWeb"/>
      </w:pPr>
      <w:r>
        <w:rPr>
          <w:rFonts w:ascii="Arial Black" w:hAnsi="Arial Black"/>
          <w:sz w:val="28"/>
          <w:szCs w:val="28"/>
        </w:rPr>
        <w:t xml:space="preserve">NY: DISABLED FF - CAN TERMINATE AFTER 1-YR ON MEDICAL LEAVE – BUT CITY MUST NEGOTIATE WITH UNION REVISED CBA </w:t>
      </w:r>
    </w:p>
    <w:p w14:paraId="4BE354E6" w14:textId="77777777" w:rsidR="00804F3A" w:rsidRDefault="00804F3A" w:rsidP="00804F3A">
      <w:pPr>
        <w:pStyle w:val="NormalWeb"/>
      </w:pPr>
      <w:r>
        <w:t xml:space="preserve">On Oct. 25, 2022, </w:t>
      </w:r>
      <w:r w:rsidRPr="00D91376">
        <w:rPr>
          <w:u w:val="single"/>
        </w:rPr>
        <w:t>In the Matter of City of Long Beach v. New York State Public Relations Board; Long Beach Firefighters Association, IAFF, Local 287</w:t>
      </w:r>
      <w:r>
        <w:t xml:space="preserve">, </w:t>
      </w:r>
      <w:r w:rsidRPr="00D91376">
        <w:t>2022 NY Slip Op 0593</w:t>
      </w:r>
      <w:r>
        <w:t xml:space="preserve">, the New York Court of Appeals held (6 to 0) that the City must collectively bargain the procedures for terminating disabled firefighters who have been on leave for one year.  Firefighters may be terminated after one year under the “Taylor Law” [enacted in 1967 following costly transit strikes in 1966], but the termination procedures and rights to reinstatement if no longer disabled must be collectively bargained in the Collective Bargaining Agreement.  </w:t>
      </w:r>
    </w:p>
    <w:p w14:paraId="64EEB6BA" w14:textId="6B3CE67A" w:rsidR="00804F3A" w:rsidRDefault="00804F3A" w:rsidP="00804F3A">
      <w:pPr>
        <w:pStyle w:val="NoSpacing"/>
        <w:rPr>
          <w:rFonts w:ascii="Arial Black" w:hAnsi="Arial Black"/>
          <w:sz w:val="24"/>
          <w:szCs w:val="24"/>
        </w:rPr>
      </w:pPr>
      <w:r>
        <w:rPr>
          <w:rFonts w:eastAsiaTheme="minorHAnsi"/>
        </w:rPr>
        <w:t>“</w:t>
      </w:r>
      <w:r w:rsidRPr="00C02FC1">
        <w:rPr>
          <w:rFonts w:eastAsiaTheme="minorHAnsi"/>
        </w:rPr>
        <w:t xml:space="preserve">We disagree with the </w:t>
      </w:r>
      <w:proofErr w:type="gramStart"/>
      <w:r w:rsidRPr="00C02FC1">
        <w:rPr>
          <w:rFonts w:eastAsiaTheme="minorHAnsi"/>
        </w:rPr>
        <w:t>City</w:t>
      </w:r>
      <w:proofErr w:type="gramEnd"/>
      <w:r w:rsidRPr="00C02FC1">
        <w:rPr>
          <w:rFonts w:eastAsiaTheme="minorHAnsi"/>
        </w:rPr>
        <w:t xml:space="preserve"> that requiring municipalities to negotiate those pretermination procedures frustrates the legislative intent of allowing employers to maintain efficiency by quickly filling vacancies on a permanent basis after a year. In the future, the City and the Union will only need to negotiate pretermination procedures as part of any new collective bargaining agreement, not every time the City seeks to terminate an employee.</w:t>
      </w:r>
      <w:r>
        <w:rPr>
          <w:rFonts w:eastAsiaTheme="minorHAnsi"/>
        </w:rPr>
        <w:t xml:space="preserve">” </w:t>
      </w:r>
      <w:hyperlink r:id="rId1625" w:history="1">
        <w:r w:rsidRPr="007662E8">
          <w:rPr>
            <w:rStyle w:val="Hyperlink"/>
            <w:rFonts w:eastAsiaTheme="majorEastAsia"/>
          </w:rPr>
          <w:t>https://public.fastcase.com/J%2FJP6pdidelsXxEE4k%2BLMidRzLaU3lxo2K4zeZ9a%2B%2Fta152zlny6vY4eG3S7CjdliNR92Qo6%2FTtAP%2FPl4klE6l7lrfhMF2W%2BjlSvdCQeS50%3D?utm_medium=email&amp;_hsmi=226712652&amp;_hsenc=p2ANqtz-_s5_cAHUvs_hrwWV9wgyTdwJuYKaiZto7jMWtL6vDykRwEZ1Wuy9IDC9088xTRtPn7fskJqvzz7SBtC6Rp8cJAGJmTVA&amp;utm_content=226712652&amp;utm_source=hs_email</w:t>
        </w:r>
      </w:hyperlink>
    </w:p>
    <w:p w14:paraId="3F807BC2" w14:textId="77777777" w:rsidR="00804F3A" w:rsidRDefault="00804F3A" w:rsidP="005C30A4">
      <w:pPr>
        <w:pStyle w:val="NoSpacing"/>
        <w:rPr>
          <w:rFonts w:ascii="Arial Black" w:hAnsi="Arial Black"/>
          <w:sz w:val="24"/>
          <w:szCs w:val="24"/>
        </w:rPr>
      </w:pPr>
    </w:p>
    <w:p w14:paraId="68551090" w14:textId="77777777" w:rsidR="00804F3A" w:rsidRPr="0070600A" w:rsidRDefault="00804F3A" w:rsidP="00804F3A">
      <w:pPr>
        <w:pStyle w:val="NormalWeb"/>
        <w:rPr>
          <w:b/>
          <w:bCs/>
        </w:rPr>
      </w:pPr>
      <w:r w:rsidRPr="0070600A">
        <w:rPr>
          <w:rFonts w:eastAsiaTheme="minorHAnsi"/>
          <w:b/>
          <w:bCs/>
        </w:rPr>
        <w:t>Legal Lesson Learned:</w:t>
      </w:r>
      <w:r>
        <w:rPr>
          <w:rFonts w:eastAsiaTheme="minorHAnsi"/>
          <w:b/>
          <w:bCs/>
        </w:rPr>
        <w:t xml:space="preserve"> The City and the IAFF Local must now collectively bargain the procedures for termination </w:t>
      </w:r>
      <w:proofErr w:type="gramStart"/>
      <w:r>
        <w:rPr>
          <w:rFonts w:eastAsiaTheme="minorHAnsi"/>
          <w:b/>
          <w:bCs/>
        </w:rPr>
        <w:t>and also</w:t>
      </w:r>
      <w:proofErr w:type="gramEnd"/>
      <w:r>
        <w:rPr>
          <w:rFonts w:eastAsiaTheme="minorHAnsi"/>
          <w:b/>
          <w:bCs/>
        </w:rPr>
        <w:t xml:space="preserve"> possible reinstatement of disabled firefighters. </w:t>
      </w:r>
    </w:p>
    <w:p w14:paraId="2CA6D423" w14:textId="698AB358" w:rsidR="00804F3A" w:rsidRDefault="00804F3A" w:rsidP="005C30A4">
      <w:pPr>
        <w:pStyle w:val="NoSpacing"/>
        <w:rPr>
          <w:rFonts w:ascii="Arial Black" w:hAnsi="Arial Black"/>
          <w:sz w:val="24"/>
          <w:szCs w:val="24"/>
        </w:rPr>
      </w:pPr>
    </w:p>
    <w:p w14:paraId="090F141C" w14:textId="2283212F" w:rsidR="00804F3A" w:rsidRDefault="00804F3A" w:rsidP="005C30A4">
      <w:pPr>
        <w:pStyle w:val="NoSpacing"/>
        <w:rPr>
          <w:rFonts w:ascii="Arial Black" w:hAnsi="Arial Black"/>
          <w:sz w:val="24"/>
          <w:szCs w:val="24"/>
        </w:rPr>
      </w:pPr>
    </w:p>
    <w:p w14:paraId="1B9CC598" w14:textId="77777777" w:rsidR="00804F3A" w:rsidRDefault="00804F3A" w:rsidP="005C30A4">
      <w:pPr>
        <w:pStyle w:val="NoSpacing"/>
        <w:rPr>
          <w:rFonts w:ascii="Arial Black" w:hAnsi="Arial Black"/>
          <w:sz w:val="24"/>
          <w:szCs w:val="24"/>
        </w:rPr>
      </w:pPr>
    </w:p>
    <w:p w14:paraId="78AF3E0C" w14:textId="3F189206" w:rsidR="008B64DA" w:rsidRDefault="008B64DA" w:rsidP="005C30A4">
      <w:pPr>
        <w:pStyle w:val="NoSpacing"/>
        <w:rPr>
          <w:rFonts w:ascii="Arial Black" w:hAnsi="Arial Black"/>
          <w:sz w:val="24"/>
          <w:szCs w:val="24"/>
        </w:rPr>
      </w:pPr>
      <w:r>
        <w:rPr>
          <w:rFonts w:ascii="Arial Black" w:hAnsi="Arial Black"/>
          <w:sz w:val="24"/>
          <w:szCs w:val="24"/>
        </w:rPr>
        <w:t>9-23</w:t>
      </w:r>
    </w:p>
    <w:p w14:paraId="0820D701" w14:textId="77777777" w:rsidR="00F04A7D" w:rsidRPr="00481FCA" w:rsidRDefault="00F04A7D" w:rsidP="00F04A7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CA: REASONABLE ACCOMODATION - STESS RELIEF - MALE FF TRANSFERRED – DIVIDERS IN SLEEPING QUARTERS  </w:t>
      </w:r>
    </w:p>
    <w:p w14:paraId="7A82C5E3" w14:textId="2923708D" w:rsidR="008B64DA" w:rsidRDefault="008B64DA" w:rsidP="008B64D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19, 2022, in </w:t>
      </w:r>
      <w:r w:rsidRPr="003E4F49">
        <w:rPr>
          <w:rFonts w:ascii="Times New Roman" w:eastAsia="Times New Roman" w:hAnsi="Times New Roman"/>
          <w:sz w:val="24"/>
          <w:szCs w:val="24"/>
          <w:u w:val="single"/>
        </w:rPr>
        <w:t>Felipe Marcial v. County of Los Angeles</w:t>
      </w:r>
      <w:r>
        <w:rPr>
          <w:rFonts w:ascii="Times New Roman" w:eastAsia="Times New Roman" w:hAnsi="Times New Roman"/>
          <w:sz w:val="24"/>
          <w:szCs w:val="24"/>
        </w:rPr>
        <w:t>, the California Court of Appeals, Second District (Fourth Division) held (3 to 0) that trial court properly granted summary judgment for the City.  “</w:t>
      </w:r>
      <w:r w:rsidRPr="00481FCA">
        <w:rPr>
          <w:rFonts w:ascii="Times New Roman" w:eastAsia="Times New Roman" w:hAnsi="Times New Roman"/>
          <w:sz w:val="24"/>
          <w:szCs w:val="24"/>
        </w:rPr>
        <w:t>Thus, upon his return to work in 2018</w:t>
      </w:r>
      <w:r>
        <w:rPr>
          <w:rFonts w:ascii="Times New Roman" w:eastAsia="Times New Roman" w:hAnsi="Times New Roman"/>
          <w:sz w:val="24"/>
          <w:szCs w:val="24"/>
        </w:rPr>
        <w:t xml:space="preserve"> [after shoulder injury]</w:t>
      </w:r>
      <w:r w:rsidRPr="00481FCA">
        <w:rPr>
          <w:rFonts w:ascii="Times New Roman" w:eastAsia="Times New Roman" w:hAnsi="Times New Roman"/>
          <w:sz w:val="24"/>
          <w:szCs w:val="24"/>
        </w:rPr>
        <w:t xml:space="preserve">, Marcial requested a transfer to a non-USAR station (specifically, FS 80). LACOFD granted Marcial's request. Marcial admits he received </w:t>
      </w:r>
      <w:proofErr w:type="gramStart"/>
      <w:r w:rsidRPr="00481FCA">
        <w:rPr>
          <w:rFonts w:ascii="Times New Roman" w:eastAsia="Times New Roman" w:hAnsi="Times New Roman"/>
          <w:sz w:val="24"/>
          <w:szCs w:val="24"/>
        </w:rPr>
        <w:t>a reasonable</w:t>
      </w:r>
      <w:proofErr w:type="gramEnd"/>
      <w:r w:rsidRPr="00481FCA">
        <w:rPr>
          <w:rFonts w:ascii="Times New Roman" w:eastAsia="Times New Roman" w:hAnsi="Times New Roman"/>
          <w:sz w:val="24"/>
          <w:szCs w:val="24"/>
        </w:rPr>
        <w:t xml:space="preserve"> </w:t>
      </w:r>
      <w:proofErr w:type="gramStart"/>
      <w:r w:rsidRPr="00481FCA">
        <w:rPr>
          <w:rFonts w:ascii="Times New Roman" w:eastAsia="Times New Roman" w:hAnsi="Times New Roman"/>
          <w:sz w:val="24"/>
          <w:szCs w:val="24"/>
        </w:rPr>
        <w:t xml:space="preserve">accommodation: </w:t>
      </w:r>
      <w:r>
        <w:rPr>
          <w:rFonts w:ascii="Times New Roman" w:eastAsia="Times New Roman" w:hAnsi="Times New Roman"/>
          <w:sz w:val="24"/>
          <w:szCs w:val="24"/>
        </w:rPr>
        <w:t>‘</w:t>
      </w:r>
      <w:proofErr w:type="gramEnd"/>
      <w:r w:rsidRPr="00481FCA">
        <w:rPr>
          <w:rFonts w:ascii="Times New Roman" w:eastAsia="Times New Roman" w:hAnsi="Times New Roman"/>
          <w:sz w:val="24"/>
          <w:szCs w:val="24"/>
        </w:rPr>
        <w:t xml:space="preserve">FS 80 put up dividers in the sleeping quarters even without me requesting them. Unlike all the years previously, FS 80 took my situation seriously and finally made efforts to accommodate me. While there are </w:t>
      </w:r>
      <w:proofErr w:type="gramStart"/>
      <w:r w:rsidRPr="00481FCA">
        <w:rPr>
          <w:rFonts w:ascii="Times New Roman" w:eastAsia="Times New Roman" w:hAnsi="Times New Roman"/>
          <w:sz w:val="24"/>
          <w:szCs w:val="24"/>
        </w:rPr>
        <w:t>not</w:t>
      </w:r>
      <w:proofErr w:type="gramEnd"/>
      <w:r w:rsidRPr="00481FCA">
        <w:rPr>
          <w:rFonts w:ascii="Times New Roman" w:eastAsia="Times New Roman" w:hAnsi="Times New Roman"/>
          <w:sz w:val="24"/>
          <w:szCs w:val="24"/>
        </w:rPr>
        <w:t xml:space="preserve"> separate showers, unlike FS 103, there is a wall with a door and lockable area so that the shower can be locked and prevent anyone from seeing in. With accommodation I was able to perform my job duties.</w:t>
      </w:r>
      <w:r>
        <w:rPr>
          <w:rFonts w:ascii="Times New Roman" w:eastAsia="Times New Roman" w:hAnsi="Times New Roman"/>
          <w:sz w:val="24"/>
          <w:szCs w:val="24"/>
        </w:rPr>
        <w:t>’</w:t>
      </w:r>
      <w:r w:rsidRPr="00481FCA">
        <w:rPr>
          <w:rFonts w:ascii="Times New Roman" w:eastAsia="Times New Roman" w:hAnsi="Times New Roman"/>
          <w:sz w:val="24"/>
          <w:szCs w:val="24"/>
        </w:rPr>
        <w:t> On this record, we conclude Marcial not only received a reasonable accommodation, but the exact accommodation he sought (i.e., a transfer to FS 80 and privacy in the living quarters).</w:t>
      </w:r>
      <w:r>
        <w:rPr>
          <w:rFonts w:ascii="Times New Roman" w:eastAsia="Times New Roman" w:hAnsi="Times New Roman"/>
          <w:sz w:val="24"/>
          <w:szCs w:val="24"/>
        </w:rPr>
        <w:t xml:space="preserve">” </w:t>
      </w:r>
      <w:hyperlink r:id="rId1626" w:history="1">
        <w:r w:rsidRPr="00696C47">
          <w:rPr>
            <w:rStyle w:val="Hyperlink"/>
            <w:rFonts w:ascii="Times New Roman" w:eastAsia="Times New Roman" w:hAnsi="Times New Roman"/>
          </w:rPr>
          <w:t>https://public.fastcase.com/J%2FJP6pdidelsXxEE4k%2BLMiM7pwWb%2BJBiIrsmHTSQKCgTGoUCuPbfbRmZbIscWTRrl1YTX4iVhFAcHudcdl9kVeXDJy0GqMwEdaMu5Mx11Z8%3D</w:t>
        </w:r>
      </w:hyperlink>
      <w:r>
        <w:rPr>
          <w:rFonts w:ascii="Times New Roman" w:eastAsia="Times New Roman" w:hAnsi="Times New Roman"/>
          <w:sz w:val="24"/>
          <w:szCs w:val="24"/>
        </w:rPr>
        <w:t xml:space="preserve"> </w:t>
      </w:r>
    </w:p>
    <w:p w14:paraId="781391C0" w14:textId="77777777" w:rsidR="00F04A7D" w:rsidRPr="00424C1F" w:rsidRDefault="00F04A7D" w:rsidP="00F04A7D">
      <w:pPr>
        <w:spacing w:before="100" w:beforeAutospacing="1" w:after="100" w:afterAutospacing="1" w:line="240" w:lineRule="auto"/>
        <w:rPr>
          <w:rFonts w:ascii="Times New Roman" w:eastAsia="Times New Roman" w:hAnsi="Times New Roman"/>
          <w:b/>
          <w:bCs/>
          <w:sz w:val="24"/>
          <w:szCs w:val="24"/>
        </w:rPr>
      </w:pPr>
      <w:r w:rsidRPr="00424C1F">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FD reasonably accommodated his transfer requests. </w:t>
      </w:r>
    </w:p>
    <w:p w14:paraId="367AA70A" w14:textId="77777777" w:rsidR="008B64DA" w:rsidRDefault="008B64DA" w:rsidP="005C30A4">
      <w:pPr>
        <w:pStyle w:val="NoSpacing"/>
        <w:rPr>
          <w:rFonts w:ascii="Arial Black" w:hAnsi="Arial Black"/>
          <w:sz w:val="24"/>
          <w:szCs w:val="24"/>
        </w:rPr>
      </w:pPr>
    </w:p>
    <w:p w14:paraId="035C7057" w14:textId="77777777" w:rsidR="008B64DA" w:rsidRDefault="008B64DA" w:rsidP="005C30A4">
      <w:pPr>
        <w:pStyle w:val="NoSpacing"/>
        <w:rPr>
          <w:rFonts w:ascii="Arial Black" w:hAnsi="Arial Black"/>
          <w:sz w:val="24"/>
          <w:szCs w:val="24"/>
        </w:rPr>
      </w:pPr>
    </w:p>
    <w:p w14:paraId="38510994" w14:textId="77777777" w:rsidR="008B64DA" w:rsidRDefault="008B64DA" w:rsidP="005C30A4">
      <w:pPr>
        <w:pStyle w:val="NoSpacing"/>
        <w:rPr>
          <w:rFonts w:ascii="Arial Black" w:hAnsi="Arial Black"/>
          <w:sz w:val="24"/>
          <w:szCs w:val="24"/>
        </w:rPr>
      </w:pPr>
    </w:p>
    <w:p w14:paraId="714C0467" w14:textId="0C4E70FB" w:rsidR="005644A4" w:rsidRDefault="005644A4" w:rsidP="005C30A4">
      <w:pPr>
        <w:pStyle w:val="NoSpacing"/>
        <w:rPr>
          <w:rFonts w:ascii="Arial Black" w:hAnsi="Arial Black"/>
          <w:sz w:val="24"/>
          <w:szCs w:val="24"/>
        </w:rPr>
      </w:pPr>
      <w:r>
        <w:rPr>
          <w:rFonts w:ascii="Arial Black" w:hAnsi="Arial Black"/>
          <w:sz w:val="24"/>
          <w:szCs w:val="24"/>
        </w:rPr>
        <w:t>9-22</w:t>
      </w:r>
    </w:p>
    <w:p w14:paraId="4991C1B8" w14:textId="238C853D" w:rsidR="005644A4" w:rsidRDefault="005644A4" w:rsidP="005C30A4">
      <w:pPr>
        <w:pStyle w:val="NoSpacing"/>
        <w:rPr>
          <w:rFonts w:ascii="Arial Black" w:hAnsi="Arial Black"/>
          <w:sz w:val="24"/>
          <w:szCs w:val="24"/>
        </w:rPr>
      </w:pPr>
    </w:p>
    <w:p w14:paraId="13024133" w14:textId="77777777" w:rsidR="005644A4" w:rsidRDefault="005644A4" w:rsidP="005644A4">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MD: DEAF APPLICANT TO VOLUNTEER FD – REJECTED - WAS VOLUNTEER IN PA – LAWSUIT PROCEED DISCOVERY</w:t>
      </w:r>
    </w:p>
    <w:p w14:paraId="588BFF0B" w14:textId="77777777" w:rsidR="005644A4" w:rsidRDefault="005644A4" w:rsidP="005644A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9, 2021, in </w:t>
      </w:r>
      <w:r w:rsidRPr="00D6728D">
        <w:rPr>
          <w:rFonts w:ascii="Times New Roman" w:eastAsia="Times New Roman" w:hAnsi="Times New Roman"/>
          <w:sz w:val="24"/>
          <w:szCs w:val="24"/>
          <w:u w:val="single"/>
        </w:rPr>
        <w:t>Charles Hine v. Prince George’s County, Maryland and Morningside Volunteer Fire Department, Inc</w:t>
      </w:r>
      <w:r>
        <w:rPr>
          <w:rFonts w:ascii="Times New Roman" w:eastAsia="Times New Roman" w:hAnsi="Times New Roman"/>
          <w:sz w:val="24"/>
          <w:szCs w:val="24"/>
        </w:rPr>
        <w:t xml:space="preserve">., U.S. District Court Judge Theodore D. Chuang, U.S. District Court for District of Maryland, denied the County’s motion to dismiss.  Pre-trial discovery will gather facts on (1) does the County have sufficient control over the volunteer FD to be considered a joint-employer, and (2) does the volunteer FD provide sufficient compensation or other benefits to be considered an employer under federal ADA and Title VII employment discrimination laws. </w:t>
      </w:r>
    </w:p>
    <w:p w14:paraId="0DC427B5" w14:textId="77777777" w:rsidR="005644A4" w:rsidRPr="000F1227" w:rsidRDefault="005644A4" w:rsidP="005644A4">
      <w:pPr>
        <w:spacing w:before="100" w:beforeAutospacing="1" w:after="100" w:afterAutospacing="1" w:line="240" w:lineRule="auto"/>
        <w:ind w:left="720"/>
        <w:rPr>
          <w:rFonts w:ascii="Times New Roman" w:hAnsi="Times New Roman"/>
          <w:sz w:val="24"/>
          <w:szCs w:val="24"/>
        </w:rPr>
      </w:pPr>
      <w:r w:rsidRPr="000F1227">
        <w:rPr>
          <w:rFonts w:ascii="Times New Roman" w:hAnsi="Times New Roman"/>
          <w:sz w:val="24"/>
          <w:szCs w:val="24"/>
        </w:rPr>
        <w:t>“Determining whether an entity exercises sufficient control to qualify as an employer is ‘a highly fact-specific’ endeavor. Id. at 410, In his Rule 56(d) affidavit, Hine notes that the denial letter he received ‘was sent by the Prince George's County Office of Law on behalf of the Prince George's County Fire &amp; EMS Department,’ not by the MVFD</w:t>
      </w:r>
      <w:r>
        <w:rPr>
          <w:rFonts w:ascii="Times New Roman" w:hAnsi="Times New Roman"/>
          <w:sz w:val="24"/>
          <w:szCs w:val="24"/>
        </w:rPr>
        <w:t xml:space="preserve">…. </w:t>
      </w:r>
      <w:r w:rsidRPr="000F1227">
        <w:rPr>
          <w:rFonts w:ascii="Times New Roman" w:hAnsi="Times New Roman"/>
          <w:sz w:val="24"/>
          <w:szCs w:val="24"/>
        </w:rPr>
        <w:t xml:space="preserve"> This assertion supports Hine's contention that there is a factual dispute over whether the County was an employer for purposes of the denial of Hine's application that should not be resolved without discovery. *** Hine has pleaded in the Amended Complaint that he would have been an employee based on the </w:t>
      </w:r>
      <w:r>
        <w:rPr>
          <w:rFonts w:ascii="Times New Roman" w:hAnsi="Times New Roman"/>
          <w:sz w:val="24"/>
          <w:szCs w:val="24"/>
        </w:rPr>
        <w:t>‘</w:t>
      </w:r>
      <w:r w:rsidRPr="000F1227">
        <w:rPr>
          <w:rFonts w:ascii="Times New Roman" w:hAnsi="Times New Roman"/>
          <w:sz w:val="24"/>
          <w:szCs w:val="24"/>
        </w:rPr>
        <w:t xml:space="preserve">significant </w:t>
      </w:r>
      <w:proofErr w:type="gramStart"/>
      <w:r w:rsidRPr="000F1227">
        <w:rPr>
          <w:rFonts w:ascii="Times New Roman" w:hAnsi="Times New Roman"/>
          <w:sz w:val="24"/>
          <w:szCs w:val="24"/>
        </w:rPr>
        <w:t>benefits</w:t>
      </w:r>
      <w:r>
        <w:rPr>
          <w:rFonts w:ascii="Times New Roman" w:hAnsi="Times New Roman"/>
          <w:sz w:val="24"/>
          <w:szCs w:val="24"/>
        </w:rPr>
        <w:t>’</w:t>
      </w:r>
      <w:proofErr w:type="gramEnd"/>
      <w:r w:rsidRPr="000F1227">
        <w:rPr>
          <w:rFonts w:ascii="Times New Roman" w:hAnsi="Times New Roman"/>
          <w:sz w:val="24"/>
          <w:szCs w:val="24"/>
        </w:rPr>
        <w:t xml:space="preserve"> he would have received as a volunteer firefighter, including disability and survivor benefits, insurance benefits, tuition reimbursement. tax exemptions, and other benefits.</w:t>
      </w:r>
      <w:r>
        <w:rPr>
          <w:rFonts w:ascii="Times New Roman" w:hAnsi="Times New Roman"/>
          <w:sz w:val="24"/>
          <w:szCs w:val="24"/>
        </w:rPr>
        <w:t xml:space="preserve">” </w:t>
      </w:r>
      <w:hyperlink r:id="rId1627" w:history="1">
        <w:r w:rsidRPr="00EC5853">
          <w:rPr>
            <w:rStyle w:val="Hyperlink"/>
            <w:rFonts w:ascii="Times New Roman" w:hAnsi="Times New Roman"/>
            <w:sz w:val="24"/>
            <w:szCs w:val="24"/>
          </w:rPr>
          <w:t>https://www.leagle.com/decision/infdco20211215796</w:t>
        </w:r>
      </w:hyperlink>
      <w:r>
        <w:rPr>
          <w:rFonts w:ascii="Times New Roman" w:hAnsi="Times New Roman"/>
          <w:sz w:val="24"/>
          <w:szCs w:val="24"/>
        </w:rPr>
        <w:t xml:space="preserve"> </w:t>
      </w:r>
    </w:p>
    <w:p w14:paraId="60E02BEE" w14:textId="77777777" w:rsidR="005644A4" w:rsidRDefault="005644A4" w:rsidP="005C30A4">
      <w:pPr>
        <w:pStyle w:val="NoSpacing"/>
        <w:rPr>
          <w:rFonts w:ascii="Arial Black" w:hAnsi="Arial Black"/>
          <w:sz w:val="24"/>
          <w:szCs w:val="24"/>
        </w:rPr>
      </w:pPr>
    </w:p>
    <w:p w14:paraId="37F2F1FF" w14:textId="77777777" w:rsidR="005644A4" w:rsidRDefault="005644A4" w:rsidP="005C30A4">
      <w:pPr>
        <w:pStyle w:val="NoSpacing"/>
        <w:rPr>
          <w:rFonts w:ascii="Arial Black" w:hAnsi="Arial Black"/>
          <w:sz w:val="24"/>
          <w:szCs w:val="24"/>
        </w:rPr>
      </w:pPr>
    </w:p>
    <w:p w14:paraId="268A7674" w14:textId="0C51C4AE" w:rsidR="00C67B2A" w:rsidRDefault="00C67B2A" w:rsidP="005C30A4">
      <w:pPr>
        <w:pStyle w:val="NoSpacing"/>
        <w:rPr>
          <w:rFonts w:ascii="Arial Black" w:hAnsi="Arial Black"/>
          <w:sz w:val="24"/>
          <w:szCs w:val="24"/>
        </w:rPr>
      </w:pPr>
      <w:r>
        <w:rPr>
          <w:rFonts w:ascii="Arial Black" w:hAnsi="Arial Black"/>
          <w:sz w:val="24"/>
          <w:szCs w:val="24"/>
        </w:rPr>
        <w:t>9-21</w:t>
      </w:r>
    </w:p>
    <w:p w14:paraId="145FE018" w14:textId="77777777" w:rsidR="00C67B2A" w:rsidRDefault="00C67B2A" w:rsidP="00C67B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TN: SERVICE DOG – FORMER EMT WITH “PTSD” – NOW AT&amp;T, WANTS DOG RIDE WITH HIM - CASE TO PROCEED</w:t>
      </w:r>
    </w:p>
    <w:p w14:paraId="3D24C3DF" w14:textId="77777777" w:rsidR="00C67B2A" w:rsidRDefault="00C67B2A" w:rsidP="00C67B2A">
      <w:pPr>
        <w:spacing w:before="100" w:beforeAutospacing="1" w:after="100" w:afterAutospacing="1" w:line="240" w:lineRule="auto"/>
        <w:rPr>
          <w:rFonts w:ascii="Times New Roman" w:eastAsia="Times New Roman" w:hAnsi="Times New Roman"/>
          <w:sz w:val="24"/>
          <w:szCs w:val="24"/>
        </w:rPr>
      </w:pPr>
      <w:r w:rsidRPr="00792E67">
        <w:rPr>
          <w:rFonts w:ascii="Times New Roman" w:eastAsia="Times New Roman" w:hAnsi="Times New Roman"/>
          <w:sz w:val="24"/>
          <w:szCs w:val="24"/>
        </w:rPr>
        <w:t xml:space="preserve">On </w:t>
      </w:r>
      <w:r>
        <w:rPr>
          <w:rFonts w:ascii="Times New Roman" w:eastAsia="Times New Roman" w:hAnsi="Times New Roman"/>
          <w:sz w:val="24"/>
          <w:szCs w:val="24"/>
        </w:rPr>
        <w:t xml:space="preserve">Oct. 22, 2021, in </w:t>
      </w:r>
      <w:r w:rsidRPr="00792E67">
        <w:rPr>
          <w:rFonts w:ascii="Times New Roman" w:eastAsia="Times New Roman" w:hAnsi="Times New Roman"/>
          <w:sz w:val="24"/>
          <w:szCs w:val="24"/>
          <w:u w:val="single"/>
        </w:rPr>
        <w:t>Wayne Schroeder v. AT&amp;T Mobility Services, LLC</w:t>
      </w:r>
      <w:r>
        <w:rPr>
          <w:rFonts w:ascii="Times New Roman" w:eastAsia="Times New Roman" w:hAnsi="Times New Roman"/>
          <w:sz w:val="24"/>
          <w:szCs w:val="24"/>
        </w:rPr>
        <w:t xml:space="preserve">, U.S. District Court Chief Judge Waverly D. Crenshaw, Jr., U.S. District Court for Middle District of Tennessee (Nashville Division) held that neither the plaintiff, nor AT&amp;T are entitled to Summary Judgment.  Pre-trial discovery will therefore continue, and if not settled the case will go to trial. </w:t>
      </w:r>
    </w:p>
    <w:p w14:paraId="467B22F8" w14:textId="77777777" w:rsidR="00C67B2A" w:rsidRDefault="00C67B2A" w:rsidP="00C67B2A">
      <w:pPr>
        <w:spacing w:before="100" w:beforeAutospacing="1" w:after="100" w:afterAutospacing="1" w:line="240" w:lineRule="auto"/>
        <w:ind w:left="720"/>
        <w:rPr>
          <w:rFonts w:ascii="Times New Roman" w:hAnsi="Times New Roman"/>
          <w:sz w:val="24"/>
          <w:szCs w:val="24"/>
        </w:rPr>
      </w:pPr>
      <w:r w:rsidRPr="003A2F72">
        <w:rPr>
          <w:rFonts w:ascii="Times New Roman" w:hAnsi="Times New Roman"/>
          <w:sz w:val="24"/>
          <w:szCs w:val="24"/>
        </w:rPr>
        <w:t> Mr. Schroeder has a German shepherd named Dakota</w:t>
      </w:r>
      <w:r>
        <w:rPr>
          <w:rFonts w:ascii="Times New Roman" w:hAnsi="Times New Roman"/>
          <w:sz w:val="24"/>
          <w:szCs w:val="24"/>
        </w:rPr>
        <w:t xml:space="preserve">…. </w:t>
      </w:r>
      <w:r w:rsidRPr="003A2F72">
        <w:rPr>
          <w:rFonts w:ascii="Times New Roman" w:hAnsi="Times New Roman"/>
          <w:sz w:val="24"/>
          <w:szCs w:val="24"/>
        </w:rPr>
        <w:t xml:space="preserve">Dakota is a service dog who </w:t>
      </w:r>
      <w:r>
        <w:rPr>
          <w:rFonts w:ascii="Times New Roman" w:hAnsi="Times New Roman"/>
          <w:sz w:val="24"/>
          <w:szCs w:val="24"/>
        </w:rPr>
        <w:t>‘</w:t>
      </w:r>
      <w:r w:rsidRPr="003A2F72">
        <w:rPr>
          <w:rFonts w:ascii="Times New Roman" w:hAnsi="Times New Roman"/>
          <w:sz w:val="24"/>
          <w:szCs w:val="24"/>
        </w:rPr>
        <w:t>can sense when Mr. Schroeder is entering a depressive state or suffering from an anxiety attack and will notify Mr. Schroeder of his change in condition</w:t>
      </w:r>
      <w:r>
        <w:rPr>
          <w:rFonts w:ascii="Times New Roman" w:hAnsi="Times New Roman"/>
          <w:sz w:val="24"/>
          <w:szCs w:val="24"/>
        </w:rPr>
        <w:t>….</w:t>
      </w:r>
      <w:r w:rsidRPr="003A2F72">
        <w:rPr>
          <w:rFonts w:ascii="Times New Roman" w:hAnsi="Times New Roman"/>
          <w:sz w:val="24"/>
          <w:szCs w:val="24"/>
        </w:rPr>
        <w:t xml:space="preserve">” Without Dakota's help, Mr. Schroeder is </w:t>
      </w:r>
      <w:r>
        <w:rPr>
          <w:rFonts w:ascii="Times New Roman" w:hAnsi="Times New Roman"/>
          <w:sz w:val="24"/>
          <w:szCs w:val="24"/>
        </w:rPr>
        <w:t>‘</w:t>
      </w:r>
      <w:r w:rsidRPr="003A2F72">
        <w:rPr>
          <w:rFonts w:ascii="Times New Roman" w:hAnsi="Times New Roman"/>
          <w:sz w:val="24"/>
          <w:szCs w:val="24"/>
        </w:rPr>
        <w:t>more apt to keep going and try to work his way through a depressive episode or anxiety attack,</w:t>
      </w:r>
      <w:r>
        <w:rPr>
          <w:rFonts w:ascii="Times New Roman" w:hAnsi="Times New Roman"/>
          <w:sz w:val="24"/>
          <w:szCs w:val="24"/>
        </w:rPr>
        <w:t>’</w:t>
      </w:r>
      <w:r w:rsidRPr="003A2F72">
        <w:rPr>
          <w:rFonts w:ascii="Times New Roman" w:hAnsi="Times New Roman"/>
          <w:sz w:val="24"/>
          <w:szCs w:val="24"/>
        </w:rPr>
        <w:t xml:space="preserve"> rather than pausing what he is doing and </w:t>
      </w:r>
      <w:r>
        <w:rPr>
          <w:rFonts w:ascii="Times New Roman" w:hAnsi="Times New Roman"/>
          <w:sz w:val="24"/>
          <w:szCs w:val="24"/>
        </w:rPr>
        <w:t>‘</w:t>
      </w:r>
      <w:r w:rsidRPr="003A2F72">
        <w:rPr>
          <w:rFonts w:ascii="Times New Roman" w:hAnsi="Times New Roman"/>
          <w:sz w:val="24"/>
          <w:szCs w:val="24"/>
        </w:rPr>
        <w:t>refocus[</w:t>
      </w:r>
      <w:proofErr w:type="spellStart"/>
      <w:r w:rsidRPr="003A2F72">
        <w:rPr>
          <w:rFonts w:ascii="Times New Roman" w:hAnsi="Times New Roman"/>
          <w:sz w:val="24"/>
          <w:szCs w:val="24"/>
        </w:rPr>
        <w:t>ing</w:t>
      </w:r>
      <w:proofErr w:type="spellEnd"/>
      <w:r w:rsidRPr="003A2F72">
        <w:rPr>
          <w:rFonts w:ascii="Times New Roman" w:hAnsi="Times New Roman"/>
          <w:sz w:val="24"/>
          <w:szCs w:val="24"/>
        </w:rPr>
        <w:t>]</w:t>
      </w:r>
      <w:r>
        <w:rPr>
          <w:rFonts w:ascii="Times New Roman" w:hAnsi="Times New Roman"/>
          <w:sz w:val="24"/>
          <w:szCs w:val="24"/>
        </w:rPr>
        <w:t>’</w:t>
      </w:r>
      <w:r w:rsidRPr="003A2F72">
        <w:rPr>
          <w:rFonts w:ascii="Times New Roman" w:hAnsi="Times New Roman"/>
          <w:sz w:val="24"/>
          <w:szCs w:val="24"/>
        </w:rPr>
        <w:t xml:space="preserve"> as is necessary</w:t>
      </w:r>
      <w:r>
        <w:rPr>
          <w:rFonts w:ascii="Times New Roman" w:hAnsi="Times New Roman"/>
          <w:sz w:val="24"/>
          <w:szCs w:val="24"/>
        </w:rPr>
        <w:t>….</w:t>
      </w:r>
      <w:r w:rsidRPr="003A2F72">
        <w:rPr>
          <w:rFonts w:ascii="Times New Roman" w:hAnsi="Times New Roman"/>
          <w:sz w:val="24"/>
          <w:szCs w:val="24"/>
        </w:rPr>
        <w:t xml:space="preserve"> Dakota </w:t>
      </w:r>
      <w:r>
        <w:rPr>
          <w:rFonts w:ascii="Times New Roman" w:hAnsi="Times New Roman"/>
          <w:sz w:val="24"/>
          <w:szCs w:val="24"/>
        </w:rPr>
        <w:t>‘</w:t>
      </w:r>
      <w:r w:rsidRPr="003A2F72">
        <w:rPr>
          <w:rFonts w:ascii="Times New Roman" w:hAnsi="Times New Roman"/>
          <w:sz w:val="24"/>
          <w:szCs w:val="24"/>
        </w:rPr>
        <w:t xml:space="preserve">also acts as a physical barrier when Mr. </w:t>
      </w:r>
      <w:r w:rsidRPr="003A2F72">
        <w:rPr>
          <w:rFonts w:ascii="Times New Roman" w:hAnsi="Times New Roman"/>
          <w:sz w:val="24"/>
          <w:szCs w:val="24"/>
        </w:rPr>
        <w:lastRenderedPageBreak/>
        <w:t>Schroeder is in a public space, keeping people from crowding or getting too close to him, which can trigger Mr. Schroeder's PTSD and anxiety</w:t>
      </w:r>
      <w:r>
        <w:rPr>
          <w:rFonts w:ascii="Times New Roman" w:hAnsi="Times New Roman"/>
          <w:sz w:val="24"/>
          <w:szCs w:val="24"/>
        </w:rPr>
        <w:t xml:space="preserve">…. ‘ </w:t>
      </w:r>
    </w:p>
    <w:p w14:paraId="7CF95F94"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5D4A8A8"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3A2F72">
        <w:rPr>
          <w:rFonts w:ascii="Times New Roman" w:hAnsi="Times New Roman"/>
          <w:sz w:val="24"/>
          <w:szCs w:val="24"/>
        </w:rPr>
        <w:t xml:space="preserve">Mr. Schroeder claims AT&amp;T failed to accommodate his mental health conditions by refusing to alter his job requirements and company vehicle to permit his service dog to work alongside him. AT&amp;T argues the accommodations Mr. Schroeder </w:t>
      </w:r>
      <w:proofErr w:type="gramStart"/>
      <w:r w:rsidRPr="003A2F72">
        <w:rPr>
          <w:rFonts w:ascii="Times New Roman" w:hAnsi="Times New Roman"/>
          <w:sz w:val="24"/>
          <w:szCs w:val="24"/>
        </w:rPr>
        <w:t>proposed</w:t>
      </w:r>
      <w:proofErr w:type="gramEnd"/>
      <w:r w:rsidRPr="003A2F72">
        <w:rPr>
          <w:rFonts w:ascii="Times New Roman" w:hAnsi="Times New Roman"/>
          <w:sz w:val="24"/>
          <w:szCs w:val="24"/>
        </w:rPr>
        <w:t xml:space="preserve"> </w:t>
      </w:r>
      <w:proofErr w:type="gramStart"/>
      <w:r w:rsidRPr="003A2F72">
        <w:rPr>
          <w:rFonts w:ascii="Times New Roman" w:hAnsi="Times New Roman"/>
          <w:sz w:val="24"/>
          <w:szCs w:val="24"/>
        </w:rPr>
        <w:t>were</w:t>
      </w:r>
      <w:proofErr w:type="gramEnd"/>
      <w:r w:rsidRPr="003A2F72">
        <w:rPr>
          <w:rFonts w:ascii="Times New Roman" w:hAnsi="Times New Roman"/>
          <w:sz w:val="24"/>
          <w:szCs w:val="24"/>
        </w:rPr>
        <w:t xml:space="preserve"> unreasonable. Both parties moved for summary judgment</w:t>
      </w:r>
      <w:r>
        <w:rPr>
          <w:rFonts w:ascii="Times New Roman" w:hAnsi="Times New Roman"/>
          <w:sz w:val="24"/>
          <w:szCs w:val="24"/>
        </w:rPr>
        <w:t xml:space="preserve">…. </w:t>
      </w:r>
      <w:r w:rsidRPr="003A2F72">
        <w:rPr>
          <w:rFonts w:ascii="Times New Roman" w:hAnsi="Times New Roman"/>
          <w:sz w:val="24"/>
          <w:szCs w:val="24"/>
        </w:rPr>
        <w:t>The Court will deny each motion because genuine issues of material fact remain regarding the reasonableness of Mr. Schroeder's requested accommodations.</w:t>
      </w:r>
      <w:r>
        <w:rPr>
          <w:rFonts w:ascii="Times New Roman" w:hAnsi="Times New Roman"/>
          <w:sz w:val="24"/>
          <w:szCs w:val="24"/>
        </w:rPr>
        <w:t xml:space="preserve">” </w:t>
      </w:r>
      <w:hyperlink r:id="rId1628" w:history="1">
        <w:r w:rsidRPr="00410682">
          <w:rPr>
            <w:rStyle w:val="Hyperlink"/>
            <w:sz w:val="24"/>
            <w:szCs w:val="24"/>
          </w:rPr>
          <w:t>https://public.fastcase.com/9SKwsfNqTc6OieYDhNMyM6vC7U3N6pFiGGudI%2FRRBa2RM8NFylVCIr30mZgiL1xCGi%2BB4TwUGi23U%2F4WBRTxtqosYxdtzzhHp1yF4K4Z7P8%3D</w:t>
        </w:r>
      </w:hyperlink>
      <w:r>
        <w:rPr>
          <w:rFonts w:ascii="Times New Roman" w:hAnsi="Times New Roman"/>
          <w:sz w:val="24"/>
          <w:szCs w:val="24"/>
        </w:rPr>
        <w:t xml:space="preserve"> </w:t>
      </w:r>
    </w:p>
    <w:p w14:paraId="41F3BB95" w14:textId="77777777" w:rsidR="00C67B2A" w:rsidRDefault="00C67B2A" w:rsidP="00C67B2A">
      <w:pPr>
        <w:tabs>
          <w:tab w:val="left" w:pos="3280"/>
        </w:tabs>
        <w:spacing w:before="100" w:beforeAutospacing="1" w:after="100" w:afterAutospacing="1" w:line="240" w:lineRule="auto"/>
        <w:rPr>
          <w:rFonts w:ascii="Times New Roman" w:hAnsi="Times New Roman"/>
          <w:b/>
          <w:bCs/>
          <w:sz w:val="24"/>
          <w:szCs w:val="24"/>
        </w:rPr>
      </w:pPr>
      <w:r w:rsidRPr="00530A63">
        <w:rPr>
          <w:rFonts w:ascii="Times New Roman" w:hAnsi="Times New Roman"/>
          <w:b/>
          <w:bCs/>
          <w:sz w:val="24"/>
          <w:szCs w:val="24"/>
        </w:rPr>
        <w:t>Legal Lesson Learned:</w:t>
      </w:r>
      <w:r>
        <w:rPr>
          <w:rFonts w:ascii="Times New Roman" w:hAnsi="Times New Roman"/>
          <w:b/>
          <w:bCs/>
          <w:sz w:val="24"/>
          <w:szCs w:val="24"/>
        </w:rPr>
        <w:t xml:space="preserve"> </w:t>
      </w:r>
      <w:r w:rsidRPr="00530A63">
        <w:rPr>
          <w:rFonts w:ascii="Times New Roman" w:hAnsi="Times New Roman"/>
          <w:b/>
          <w:bCs/>
          <w:sz w:val="24"/>
          <w:szCs w:val="24"/>
        </w:rPr>
        <w:t xml:space="preserve">ADA requires employees to identify the precise limitations resulting from </w:t>
      </w:r>
      <w:proofErr w:type="gramStart"/>
      <w:r w:rsidRPr="00530A63">
        <w:rPr>
          <w:rFonts w:ascii="Times New Roman" w:hAnsi="Times New Roman"/>
          <w:b/>
          <w:bCs/>
          <w:sz w:val="24"/>
          <w:szCs w:val="24"/>
        </w:rPr>
        <w:t>the disability</w:t>
      </w:r>
      <w:proofErr w:type="gramEnd"/>
      <w:r w:rsidRPr="00530A63">
        <w:rPr>
          <w:rFonts w:ascii="Times New Roman" w:hAnsi="Times New Roman"/>
          <w:b/>
          <w:bCs/>
          <w:sz w:val="24"/>
          <w:szCs w:val="24"/>
        </w:rPr>
        <w:t xml:space="preserve"> and</w:t>
      </w:r>
      <w:r>
        <w:rPr>
          <w:rFonts w:ascii="Times New Roman" w:hAnsi="Times New Roman"/>
          <w:b/>
          <w:bCs/>
          <w:sz w:val="24"/>
          <w:szCs w:val="24"/>
        </w:rPr>
        <w:t xml:space="preserve"> employers to consider</w:t>
      </w:r>
      <w:r w:rsidRPr="00530A63">
        <w:rPr>
          <w:rFonts w:ascii="Times New Roman" w:hAnsi="Times New Roman"/>
          <w:b/>
          <w:bCs/>
          <w:sz w:val="24"/>
          <w:szCs w:val="24"/>
        </w:rPr>
        <w:t xml:space="preserve"> potential reasonable accommodations. </w:t>
      </w:r>
    </w:p>
    <w:p w14:paraId="3E700D4F" w14:textId="77777777" w:rsidR="00C67B2A" w:rsidRDefault="00C67B2A" w:rsidP="00C67B2A">
      <w:pPr>
        <w:pStyle w:val="Heading1"/>
        <w:ind w:left="720"/>
        <w:rPr>
          <w:b w:val="0"/>
          <w:bCs w:val="0"/>
          <w:sz w:val="24"/>
          <w:szCs w:val="24"/>
        </w:rPr>
      </w:pPr>
      <w:r w:rsidRPr="00B57FF7">
        <w:rPr>
          <w:b w:val="0"/>
          <w:bCs w:val="0"/>
          <w:sz w:val="24"/>
          <w:szCs w:val="24"/>
        </w:rPr>
        <w:t xml:space="preserve">Note:  Some fire departments have adopted “station dogs.”  City of Franklin, Ohio </w:t>
      </w:r>
      <w:r>
        <w:rPr>
          <w:b w:val="0"/>
          <w:bCs w:val="0"/>
          <w:sz w:val="24"/>
          <w:szCs w:val="24"/>
        </w:rPr>
        <w:t xml:space="preserve">Fire Department </w:t>
      </w:r>
      <w:r w:rsidRPr="00B57FF7">
        <w:rPr>
          <w:b w:val="0"/>
          <w:bCs w:val="0"/>
          <w:sz w:val="24"/>
          <w:szCs w:val="24"/>
        </w:rPr>
        <w:t xml:space="preserve">is one of the first in our state. </w:t>
      </w:r>
      <w:r>
        <w:rPr>
          <w:b w:val="0"/>
          <w:bCs w:val="0"/>
          <w:sz w:val="24"/>
          <w:szCs w:val="24"/>
        </w:rPr>
        <w:t xml:space="preserve">See article, </w:t>
      </w:r>
      <w:r w:rsidRPr="00B57FF7">
        <w:rPr>
          <w:b w:val="0"/>
          <w:bCs w:val="0"/>
          <w:sz w:val="24"/>
          <w:szCs w:val="24"/>
        </w:rPr>
        <w:t>July 17, 2021</w:t>
      </w:r>
      <w:r>
        <w:rPr>
          <w:b w:val="0"/>
          <w:bCs w:val="0"/>
          <w:sz w:val="24"/>
          <w:szCs w:val="24"/>
        </w:rPr>
        <w:t>,”</w:t>
      </w:r>
      <w:r w:rsidRPr="00B57FF7">
        <w:rPr>
          <w:b w:val="0"/>
          <w:bCs w:val="0"/>
          <w:sz w:val="24"/>
          <w:szCs w:val="24"/>
        </w:rPr>
        <w:t>Sworn Therapy Dog Supports Ohio Responders</w:t>
      </w:r>
      <w:r>
        <w:rPr>
          <w:b w:val="0"/>
          <w:bCs w:val="0"/>
          <w:sz w:val="24"/>
          <w:szCs w:val="24"/>
        </w:rPr>
        <w:t xml:space="preserve">.” </w:t>
      </w:r>
      <w:r w:rsidRPr="00B57FF7">
        <w:rPr>
          <w:b w:val="0"/>
          <w:bCs w:val="0"/>
          <w:sz w:val="24"/>
          <w:szCs w:val="24"/>
        </w:rPr>
        <w:t xml:space="preserve"> </w:t>
      </w:r>
      <w:hyperlink r:id="rId1629" w:history="1">
        <w:r w:rsidRPr="00B57FF7">
          <w:rPr>
            <w:rStyle w:val="Hyperlink"/>
            <w:sz w:val="24"/>
            <w:szCs w:val="24"/>
          </w:rPr>
          <w:t>https://www.hmpgloballearningnetwork.com/site/emsworld/original-contribution/sworn-therapy-dog-supports-ohio-responders</w:t>
        </w:r>
      </w:hyperlink>
      <w:r w:rsidRPr="00B57FF7">
        <w:rPr>
          <w:b w:val="0"/>
          <w:bCs w:val="0"/>
          <w:sz w:val="24"/>
          <w:szCs w:val="24"/>
        </w:rPr>
        <w:t xml:space="preserve"> </w:t>
      </w:r>
    </w:p>
    <w:p w14:paraId="6BBB62CB" w14:textId="77777777" w:rsidR="00C67B2A" w:rsidRPr="00B57FF7" w:rsidRDefault="00C67B2A" w:rsidP="00C67B2A">
      <w:pPr>
        <w:pStyle w:val="Heading1"/>
        <w:ind w:left="720"/>
        <w:rPr>
          <w:b w:val="0"/>
          <w:bCs w:val="0"/>
          <w:sz w:val="24"/>
          <w:szCs w:val="24"/>
        </w:rPr>
      </w:pPr>
      <w:r>
        <w:rPr>
          <w:b w:val="0"/>
          <w:bCs w:val="0"/>
          <w:sz w:val="24"/>
          <w:szCs w:val="24"/>
        </w:rPr>
        <w:t>[The author of this newsletter introduced FD to Circle Tail, which trains service dogs and places dogs that aren’t suited for service work.]</w:t>
      </w:r>
    </w:p>
    <w:p w14:paraId="67BB37FD" w14:textId="77777777" w:rsidR="00C67B2A" w:rsidRDefault="00C67B2A" w:rsidP="005C30A4">
      <w:pPr>
        <w:pStyle w:val="NoSpacing"/>
        <w:rPr>
          <w:rFonts w:ascii="Arial Black" w:hAnsi="Arial Black"/>
          <w:sz w:val="24"/>
          <w:szCs w:val="24"/>
        </w:rPr>
      </w:pPr>
    </w:p>
    <w:p w14:paraId="75D05A5B" w14:textId="77777777" w:rsidR="00C67B2A" w:rsidRDefault="00C67B2A" w:rsidP="005C30A4">
      <w:pPr>
        <w:pStyle w:val="NoSpacing"/>
        <w:rPr>
          <w:rFonts w:ascii="Arial Black" w:hAnsi="Arial Black"/>
          <w:sz w:val="24"/>
          <w:szCs w:val="24"/>
        </w:rPr>
      </w:pPr>
    </w:p>
    <w:p w14:paraId="5F27524B" w14:textId="77777777" w:rsidR="00C67B2A" w:rsidRDefault="00C67B2A" w:rsidP="005C30A4">
      <w:pPr>
        <w:pStyle w:val="NoSpacing"/>
        <w:rPr>
          <w:rFonts w:ascii="Arial Black" w:hAnsi="Arial Black"/>
          <w:sz w:val="24"/>
          <w:szCs w:val="24"/>
        </w:rPr>
      </w:pPr>
    </w:p>
    <w:p w14:paraId="358A4896" w14:textId="552748F9" w:rsidR="005C30A4" w:rsidRPr="005217D5" w:rsidRDefault="005217D5" w:rsidP="005C30A4">
      <w:pPr>
        <w:pStyle w:val="NoSpacing"/>
        <w:rPr>
          <w:rFonts w:ascii="Arial Black" w:hAnsi="Arial Black"/>
          <w:sz w:val="24"/>
          <w:szCs w:val="24"/>
        </w:rPr>
      </w:pPr>
      <w:r w:rsidRPr="005217D5">
        <w:rPr>
          <w:rFonts w:ascii="Arial Black" w:hAnsi="Arial Black"/>
          <w:sz w:val="24"/>
          <w:szCs w:val="24"/>
        </w:rPr>
        <w:t>9-20</w:t>
      </w:r>
    </w:p>
    <w:p w14:paraId="1C128D2C" w14:textId="77777777" w:rsidR="005217D5" w:rsidRDefault="005217D5" w:rsidP="005217D5">
      <w:pPr>
        <w:spacing w:before="100" w:beforeAutospacing="1" w:after="100" w:afterAutospacing="1" w:line="240" w:lineRule="auto"/>
        <w:rPr>
          <w:rFonts w:ascii="Arial Black" w:hAnsi="Arial Black"/>
          <w:sz w:val="28"/>
          <w:szCs w:val="28"/>
        </w:rPr>
      </w:pPr>
      <w:r w:rsidRPr="00953881">
        <w:rPr>
          <w:rFonts w:ascii="Arial Black" w:hAnsi="Arial Black"/>
          <w:sz w:val="28"/>
          <w:szCs w:val="28"/>
        </w:rPr>
        <w:t>PA:</w:t>
      </w:r>
      <w:r>
        <w:rPr>
          <w:rFonts w:ascii="Arial Black" w:hAnsi="Arial Black"/>
          <w:sz w:val="28"/>
          <w:szCs w:val="28"/>
        </w:rPr>
        <w:t xml:space="preserve">  VOL. FF LEFT ARM, RIGHT LEG AMPUTATED 2007 – DISABILITY INSUR. END 2017 – NOW WORKING AS MEDIC </w:t>
      </w:r>
    </w:p>
    <w:p w14:paraId="0EBE8B82" w14:textId="77777777" w:rsidR="005217D5" w:rsidRDefault="005217D5" w:rsidP="005217D5">
      <w:pPr>
        <w:spacing w:before="100" w:beforeAutospacing="1" w:after="100" w:afterAutospacing="1" w:line="240" w:lineRule="auto"/>
        <w:rPr>
          <w:rFonts w:ascii="Times New Roman" w:hAnsi="Times New Roman"/>
          <w:sz w:val="24"/>
          <w:szCs w:val="24"/>
        </w:rPr>
      </w:pPr>
      <w:r w:rsidRPr="00953881">
        <w:rPr>
          <w:rFonts w:ascii="Times New Roman" w:hAnsi="Times New Roman"/>
          <w:sz w:val="24"/>
          <w:szCs w:val="24"/>
        </w:rPr>
        <w:t xml:space="preserve">On </w:t>
      </w:r>
      <w:r>
        <w:rPr>
          <w:rFonts w:ascii="Times New Roman" w:hAnsi="Times New Roman"/>
          <w:sz w:val="24"/>
          <w:szCs w:val="24"/>
        </w:rPr>
        <w:t xml:space="preserve">July 20, 2021, in </w:t>
      </w:r>
      <w:r w:rsidRPr="00F9546F">
        <w:rPr>
          <w:rFonts w:ascii="Times New Roman" w:hAnsi="Times New Roman"/>
          <w:sz w:val="24"/>
          <w:szCs w:val="24"/>
          <w:u w:val="single"/>
        </w:rPr>
        <w:t xml:space="preserve">Chase Frost v. Provident Life </w:t>
      </w:r>
      <w:proofErr w:type="gramStart"/>
      <w:r w:rsidRPr="00F9546F">
        <w:rPr>
          <w:rFonts w:ascii="Times New Roman" w:hAnsi="Times New Roman"/>
          <w:sz w:val="24"/>
          <w:szCs w:val="24"/>
          <w:u w:val="single"/>
        </w:rPr>
        <w:t>And</w:t>
      </w:r>
      <w:proofErr w:type="gramEnd"/>
      <w:r w:rsidRPr="00F9546F">
        <w:rPr>
          <w:rFonts w:ascii="Times New Roman" w:hAnsi="Times New Roman"/>
          <w:sz w:val="24"/>
          <w:szCs w:val="24"/>
          <w:u w:val="single"/>
        </w:rPr>
        <w:t xml:space="preserve"> Accident Insurance Company</w:t>
      </w:r>
      <w:r>
        <w:rPr>
          <w:rFonts w:ascii="Times New Roman" w:hAnsi="Times New Roman"/>
          <w:sz w:val="24"/>
          <w:szCs w:val="24"/>
        </w:rPr>
        <w:t xml:space="preserve">, U.S. District Court Judge Jan Dubois, Eastern District of Pennsylvania, held that the insurance company was authorized to terminate the FF from disability benefits in 2017 since he was able to return to work.  </w:t>
      </w:r>
      <w:r w:rsidRPr="00F9546F">
        <w:rPr>
          <w:rFonts w:ascii="Times New Roman" w:hAnsi="Times New Roman"/>
          <w:sz w:val="24"/>
          <w:szCs w:val="24"/>
        </w:rPr>
        <w:t>In 2016, plaintiff was hired by the City of Philadelphia as a Fire Services Paramedic</w:t>
      </w:r>
      <w:r>
        <w:rPr>
          <w:rFonts w:ascii="Times New Roman" w:hAnsi="Times New Roman"/>
          <w:sz w:val="24"/>
          <w:szCs w:val="24"/>
        </w:rPr>
        <w:t xml:space="preserve"> cadet (but then was fired after failing a re-test)</w:t>
      </w:r>
      <w:r w:rsidRPr="00F9546F">
        <w:rPr>
          <w:rFonts w:ascii="Times New Roman" w:hAnsi="Times New Roman"/>
          <w:sz w:val="24"/>
          <w:szCs w:val="24"/>
        </w:rPr>
        <w:t>.</w:t>
      </w:r>
    </w:p>
    <w:p w14:paraId="3EFAA862"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9546F">
        <w:rPr>
          <w:rFonts w:ascii="Times New Roman" w:hAnsi="Times New Roman"/>
          <w:sz w:val="24"/>
          <w:szCs w:val="24"/>
        </w:rPr>
        <w:t xml:space="preserve">Plaintiff further alleged in that case </w:t>
      </w:r>
      <w:r>
        <w:rPr>
          <w:rFonts w:ascii="Times New Roman" w:hAnsi="Times New Roman"/>
          <w:sz w:val="24"/>
          <w:szCs w:val="24"/>
        </w:rPr>
        <w:t xml:space="preserve">[lawsuit against City of Philadelphia for firing him] </w:t>
      </w:r>
      <w:r w:rsidRPr="00F9546F">
        <w:rPr>
          <w:rFonts w:ascii="Times New Roman" w:hAnsi="Times New Roman"/>
          <w:sz w:val="24"/>
          <w:szCs w:val="24"/>
        </w:rPr>
        <w:t xml:space="preserve">that he was </w:t>
      </w:r>
      <w:r>
        <w:rPr>
          <w:rFonts w:ascii="Times New Roman" w:hAnsi="Times New Roman"/>
          <w:sz w:val="24"/>
          <w:szCs w:val="24"/>
        </w:rPr>
        <w:t>‘</w:t>
      </w:r>
      <w:r w:rsidRPr="00F9546F">
        <w:rPr>
          <w:rFonts w:ascii="Times New Roman" w:hAnsi="Times New Roman"/>
          <w:sz w:val="24"/>
          <w:szCs w:val="24"/>
        </w:rPr>
        <w:t xml:space="preserve">a registered Paramedic with the National Registry of Emergency Technicians [], certified as a Paramedic with the Pennsylvania Department of Health, has over five (5) years of experience and education as a Paramedic, and has well over 1, 100 hours of field internship </w:t>
      </w:r>
      <w:proofErr w:type="spellStart"/>
      <w:r w:rsidRPr="00F9546F">
        <w:rPr>
          <w:rFonts w:ascii="Times New Roman" w:hAnsi="Times New Roman"/>
          <w:sz w:val="24"/>
          <w:szCs w:val="24"/>
        </w:rPr>
        <w:t>experience.</w:t>
      </w:r>
      <w:r>
        <w:rPr>
          <w:rFonts w:ascii="Times New Roman" w:hAnsi="Times New Roman"/>
          <w:sz w:val="24"/>
          <w:szCs w:val="24"/>
        </w:rPr>
        <w:t>’</w:t>
      </w:r>
      <w:r w:rsidRPr="00F9546F">
        <w:rPr>
          <w:rStyle w:val="Emphasis"/>
          <w:rFonts w:ascii="Times New Roman" w:hAnsi="Times New Roman"/>
          <w:sz w:val="24"/>
          <w:szCs w:val="24"/>
        </w:rPr>
        <w:t>Id</w:t>
      </w:r>
      <w:proofErr w:type="spellEnd"/>
      <w:r w:rsidRPr="00F9546F">
        <w:rPr>
          <w:rFonts w:ascii="Times New Roman" w:hAnsi="Times New Roman"/>
          <w:sz w:val="24"/>
          <w:szCs w:val="24"/>
        </w:rPr>
        <w:t>. ¶ 29.</w:t>
      </w:r>
    </w:p>
    <w:p w14:paraId="311A8D3F"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62A974F7"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F9546F">
        <w:rPr>
          <w:rFonts w:ascii="Times New Roman" w:hAnsi="Times New Roman"/>
          <w:sz w:val="24"/>
          <w:szCs w:val="24"/>
        </w:rPr>
        <w:t xml:space="preserve">On June 17, 2019, Judge Baylson </w:t>
      </w:r>
      <w:r>
        <w:rPr>
          <w:rFonts w:ascii="Times New Roman" w:hAnsi="Times New Roman"/>
          <w:sz w:val="24"/>
          <w:szCs w:val="24"/>
        </w:rPr>
        <w:t xml:space="preserve">[in the Philadelphia case] </w:t>
      </w:r>
      <w:r w:rsidRPr="00F9546F">
        <w:rPr>
          <w:rFonts w:ascii="Times New Roman" w:hAnsi="Times New Roman"/>
          <w:sz w:val="24"/>
          <w:szCs w:val="24"/>
        </w:rPr>
        <w:t xml:space="preserve">granted the City's Motion, concluding that: (1) although plaintiff “was qualified to perform the position of FSP [i.e., Fire Services Paramedic] cadet” with reasonable accommodations, (2) he failed to show that the City's justification for terminating him-the fact that he </w:t>
      </w:r>
      <w:r>
        <w:rPr>
          <w:rFonts w:ascii="Times New Roman" w:hAnsi="Times New Roman"/>
          <w:sz w:val="24"/>
          <w:szCs w:val="24"/>
        </w:rPr>
        <w:t>‘</w:t>
      </w:r>
      <w:r w:rsidRPr="00F9546F">
        <w:rPr>
          <w:rFonts w:ascii="Times New Roman" w:hAnsi="Times New Roman"/>
          <w:sz w:val="24"/>
          <w:szCs w:val="24"/>
        </w:rPr>
        <w:t>fail[ed] a retest</w:t>
      </w:r>
      <w:r>
        <w:rPr>
          <w:rFonts w:ascii="Times New Roman" w:hAnsi="Times New Roman"/>
          <w:sz w:val="24"/>
          <w:szCs w:val="24"/>
        </w:rPr>
        <w:t>’</w:t>
      </w:r>
      <w:r w:rsidRPr="00F9546F">
        <w:rPr>
          <w:rFonts w:ascii="Times New Roman" w:hAnsi="Times New Roman"/>
          <w:sz w:val="24"/>
          <w:szCs w:val="24"/>
        </w:rPr>
        <w:t xml:space="preserve"> at the Fire Academy-was pretextual. 2019 WL 2516987, at *6-8.</w:t>
      </w:r>
    </w:p>
    <w:p w14:paraId="19F901B9"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0C3CF75"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F9546F">
        <w:rPr>
          <w:rFonts w:ascii="Times New Roman" w:hAnsi="Times New Roman"/>
          <w:sz w:val="24"/>
          <w:szCs w:val="24"/>
        </w:rPr>
        <w:lastRenderedPageBreak/>
        <w:t xml:space="preserve">For the foregoing reasons, collateral estoppel bars plaintiff from relitigating the issue of whether he </w:t>
      </w:r>
      <w:proofErr w:type="gramStart"/>
      <w:r w:rsidRPr="00F9546F">
        <w:rPr>
          <w:rFonts w:ascii="Times New Roman" w:hAnsi="Times New Roman"/>
          <w:sz w:val="24"/>
          <w:szCs w:val="24"/>
        </w:rPr>
        <w:t>is able to</w:t>
      </w:r>
      <w:proofErr w:type="gramEnd"/>
      <w:r w:rsidRPr="00F9546F">
        <w:rPr>
          <w:rFonts w:ascii="Times New Roman" w:hAnsi="Times New Roman"/>
          <w:sz w:val="24"/>
          <w:szCs w:val="24"/>
        </w:rPr>
        <w:t xml:space="preserve"> perform an occupation with reasonable accommodations.</w:t>
      </w:r>
      <w:r>
        <w:rPr>
          <w:rFonts w:ascii="Times New Roman" w:hAnsi="Times New Roman"/>
          <w:sz w:val="24"/>
          <w:szCs w:val="24"/>
        </w:rPr>
        <w:t xml:space="preserve">” </w:t>
      </w:r>
      <w:hyperlink r:id="rId1630" w:history="1">
        <w:r w:rsidRPr="004A379F">
          <w:rPr>
            <w:rStyle w:val="Hyperlink"/>
            <w:sz w:val="24"/>
            <w:szCs w:val="24"/>
          </w:rPr>
          <w:t>https://casetext.com/case/frost-v-provident-life-and-accident-insurance-co-1</w:t>
        </w:r>
      </w:hyperlink>
      <w:r>
        <w:rPr>
          <w:rFonts w:ascii="Times New Roman" w:hAnsi="Times New Roman"/>
          <w:sz w:val="24"/>
          <w:szCs w:val="24"/>
        </w:rPr>
        <w:t xml:space="preserve"> </w:t>
      </w:r>
    </w:p>
    <w:p w14:paraId="7E303FF5" w14:textId="77777777" w:rsidR="005217D5" w:rsidRDefault="005217D5" w:rsidP="005C30A4">
      <w:pPr>
        <w:pStyle w:val="NoSpacing"/>
        <w:rPr>
          <w:sz w:val="24"/>
          <w:szCs w:val="24"/>
        </w:rPr>
      </w:pPr>
    </w:p>
    <w:p w14:paraId="428A076C" w14:textId="77777777" w:rsidR="005217D5" w:rsidRDefault="005217D5" w:rsidP="005C30A4">
      <w:pPr>
        <w:pStyle w:val="NoSpacing"/>
        <w:rPr>
          <w:rFonts w:ascii="Arial Black" w:hAnsi="Arial Black"/>
          <w:b/>
          <w:sz w:val="24"/>
          <w:szCs w:val="24"/>
        </w:rPr>
      </w:pPr>
    </w:p>
    <w:p w14:paraId="2071461D" w14:textId="77777777" w:rsidR="005217D5" w:rsidRDefault="005217D5" w:rsidP="005C30A4">
      <w:pPr>
        <w:pStyle w:val="NoSpacing"/>
        <w:rPr>
          <w:rFonts w:ascii="Arial Black" w:hAnsi="Arial Black"/>
          <w:b/>
          <w:sz w:val="24"/>
          <w:szCs w:val="24"/>
        </w:rPr>
      </w:pPr>
    </w:p>
    <w:p w14:paraId="5A883879" w14:textId="444B8670" w:rsidR="007F3C7D" w:rsidRDefault="007F3C7D" w:rsidP="005C30A4">
      <w:pPr>
        <w:pStyle w:val="NoSpacing"/>
        <w:rPr>
          <w:rFonts w:ascii="Arial Black" w:hAnsi="Arial Black"/>
          <w:b/>
          <w:sz w:val="24"/>
          <w:szCs w:val="24"/>
        </w:rPr>
      </w:pPr>
      <w:r>
        <w:rPr>
          <w:rFonts w:ascii="Arial Black" w:hAnsi="Arial Black"/>
          <w:b/>
          <w:sz w:val="24"/>
          <w:szCs w:val="24"/>
        </w:rPr>
        <w:t>9-19</w:t>
      </w:r>
    </w:p>
    <w:p w14:paraId="17AB01F7" w14:textId="77777777" w:rsidR="007F3C7D" w:rsidRPr="00DD5323" w:rsidRDefault="007F3C7D" w:rsidP="007F3C7D">
      <w:pPr>
        <w:rPr>
          <w:rFonts w:ascii="Arial Black" w:hAnsi="Arial Black"/>
          <w:sz w:val="28"/>
          <w:szCs w:val="28"/>
        </w:rPr>
      </w:pPr>
      <w:bookmarkStart w:id="349" w:name="_Hlk66948236"/>
      <w:r>
        <w:rPr>
          <w:rFonts w:ascii="Arial Black" w:hAnsi="Arial Black"/>
          <w:sz w:val="28"/>
          <w:szCs w:val="28"/>
        </w:rPr>
        <w:t>AL: FF HEARING LOSS ONE EAR / TUMOR – FIRED, NO ACCOMMODATION – FAILED TO FILE EEOC CHARGE WITHIN 180 DAYS OF FIRING</w:t>
      </w:r>
    </w:p>
    <w:p w14:paraId="167726DE" w14:textId="77777777" w:rsidR="007F3C7D" w:rsidRDefault="007F3C7D" w:rsidP="007F3C7D">
      <w:pPr>
        <w:pStyle w:val="NoSpacing"/>
        <w:rPr>
          <w:rFonts w:ascii="Times New Roman" w:hAnsi="Times New Roman"/>
          <w:sz w:val="24"/>
          <w:szCs w:val="24"/>
        </w:rPr>
      </w:pPr>
      <w:r w:rsidRPr="005478D8">
        <w:rPr>
          <w:rFonts w:ascii="Times New Roman" w:hAnsi="Times New Roman"/>
          <w:sz w:val="24"/>
          <w:szCs w:val="24"/>
        </w:rPr>
        <w:t xml:space="preserve">On Jan. 21, 2021, in </w:t>
      </w:r>
      <w:r w:rsidRPr="005478D8">
        <w:rPr>
          <w:rFonts w:ascii="Times New Roman" w:hAnsi="Times New Roman"/>
          <w:sz w:val="24"/>
          <w:szCs w:val="24"/>
          <w:u w:val="single"/>
        </w:rPr>
        <w:t>Anthony M. Milner v. The City of Montgomery, Alabama</w:t>
      </w:r>
      <w:r>
        <w:rPr>
          <w:rFonts w:ascii="Times New Roman" w:hAnsi="Times New Roman"/>
          <w:sz w:val="24"/>
          <w:szCs w:val="24"/>
        </w:rPr>
        <w:t>, U.S. District Court Judge Myron H. Thompson, U.S. District Court for the Middle District of Alabama (Northern Division) granted the defense motion to dismiss, holding that under Americans With Disabilities Act he had to file EEOC charge within 180 days of firing, not when his appeal to City Personnel Department was denied.  Even if the EEOC online charging portal was shut down during the federal government’s closure [</w:t>
      </w:r>
      <w:r w:rsidRPr="005478D8">
        <w:rPr>
          <w:rFonts w:ascii="Times New Roman" w:hAnsi="Times New Roman"/>
          <w:sz w:val="24"/>
          <w:szCs w:val="24"/>
        </w:rPr>
        <w:t>December 22, 2018, and January 25, 2019]</w:t>
      </w:r>
      <w:r>
        <w:rPr>
          <w:rFonts w:ascii="Times New Roman" w:hAnsi="Times New Roman"/>
          <w:sz w:val="24"/>
          <w:szCs w:val="24"/>
        </w:rPr>
        <w:t xml:space="preserve"> when President Trump and Congress could not agree on an appropriations bill, either Milner or his attorney could have filed the charge by mail. </w:t>
      </w:r>
    </w:p>
    <w:bookmarkEnd w:id="349"/>
    <w:p w14:paraId="741AC6B9" w14:textId="77777777" w:rsidR="007F3C7D" w:rsidRDefault="007F3C7D" w:rsidP="007F3C7D">
      <w:pPr>
        <w:pStyle w:val="NoSpacing"/>
        <w:rPr>
          <w:rFonts w:ascii="Times New Roman" w:hAnsi="Times New Roman"/>
          <w:sz w:val="24"/>
          <w:szCs w:val="24"/>
        </w:rPr>
      </w:pPr>
    </w:p>
    <w:p w14:paraId="42468A43" w14:textId="77777777" w:rsidR="007F3C7D" w:rsidRDefault="007F3C7D" w:rsidP="007F3C7D">
      <w:pPr>
        <w:pStyle w:val="NoSpacing"/>
        <w:ind w:left="720"/>
        <w:rPr>
          <w:rFonts w:ascii="Times New Roman" w:hAnsi="Times New Roman"/>
          <w:sz w:val="24"/>
          <w:szCs w:val="24"/>
        </w:rPr>
      </w:pPr>
      <w:r>
        <w:rPr>
          <w:rFonts w:ascii="Times New Roman" w:hAnsi="Times New Roman"/>
          <w:sz w:val="24"/>
          <w:szCs w:val="24"/>
        </w:rPr>
        <w:t>“</w:t>
      </w:r>
      <w:r w:rsidRPr="00D735DB">
        <w:rPr>
          <w:rFonts w:ascii="Times New Roman" w:hAnsi="Times New Roman"/>
          <w:sz w:val="24"/>
          <w:szCs w:val="24"/>
        </w:rPr>
        <w:t xml:space="preserve">Milner received notice of his termination </w:t>
      </w:r>
      <w:r>
        <w:rPr>
          <w:rFonts w:ascii="Times New Roman" w:hAnsi="Times New Roman"/>
          <w:sz w:val="24"/>
          <w:szCs w:val="24"/>
        </w:rPr>
        <w:t xml:space="preserve">[on July 2] </w:t>
      </w:r>
      <w:r w:rsidRPr="00D735DB">
        <w:rPr>
          <w:rFonts w:ascii="Times New Roman" w:hAnsi="Times New Roman"/>
          <w:sz w:val="24"/>
          <w:szCs w:val="24"/>
        </w:rPr>
        <w:t xml:space="preserve">2018. He was told to return his equipment, and his dismissal was reflected in payroll. </w:t>
      </w:r>
      <w:r w:rsidRPr="00D735DB">
        <w:rPr>
          <w:rFonts w:ascii="Times New Roman" w:hAnsi="Times New Roman"/>
          <w:i/>
          <w:iCs/>
          <w:sz w:val="24"/>
          <w:szCs w:val="24"/>
        </w:rPr>
        <w:t>See</w:t>
      </w:r>
      <w:r w:rsidRPr="00D735DB">
        <w:rPr>
          <w:rFonts w:ascii="Times New Roman" w:hAnsi="Times New Roman"/>
          <w:sz w:val="24"/>
          <w:szCs w:val="24"/>
        </w:rPr>
        <w:t xml:space="preserve"> Termination Documents (doc. no. 12-2) at 2-3. The 180-day clock to file his charge with the EEOC began to run at that point. His appeal through the city's personnel department did not toll the running of this limitations period.</w:t>
      </w:r>
      <w:r>
        <w:rPr>
          <w:rFonts w:ascii="Times New Roman" w:hAnsi="Times New Roman"/>
          <w:sz w:val="24"/>
          <w:szCs w:val="24"/>
        </w:rPr>
        <w:t xml:space="preserve">”  </w:t>
      </w:r>
      <w:bookmarkStart w:id="350" w:name="_Hlk66948260"/>
      <w:r w:rsidR="00F00958">
        <w:fldChar w:fldCharType="begin"/>
      </w:r>
      <w:r w:rsidR="00F00958">
        <w:instrText xml:space="preserve"> HYPERLINK "https://law.justia.com/cases/federal/district-courts/alabama/almdce/2:2019cv00799/71056/23/" </w:instrText>
      </w:r>
      <w:r w:rsidR="00F00958">
        <w:fldChar w:fldCharType="separate"/>
      </w:r>
      <w:r w:rsidRPr="00574F77">
        <w:rPr>
          <w:rStyle w:val="Hyperlink"/>
          <w:rFonts w:ascii="Times New Roman" w:hAnsi="Times New Roman"/>
          <w:sz w:val="24"/>
          <w:szCs w:val="24"/>
        </w:rPr>
        <w:t>https://law.justia.com/cases/federal/district-courts/alabama/almdce/2:2019cv00799/71056/23/</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07895D73" w14:textId="77777777" w:rsidR="007F3C7D" w:rsidRDefault="007F3C7D" w:rsidP="007F3C7D">
      <w:pPr>
        <w:spacing w:before="100" w:beforeAutospacing="1" w:after="100" w:afterAutospacing="1" w:line="240" w:lineRule="auto"/>
        <w:rPr>
          <w:rFonts w:ascii="Times New Roman" w:hAnsi="Times New Roman"/>
          <w:b/>
          <w:bCs/>
          <w:sz w:val="24"/>
          <w:szCs w:val="24"/>
        </w:rPr>
      </w:pPr>
      <w:r w:rsidRPr="005A33C2">
        <w:rPr>
          <w:rFonts w:ascii="Times New Roman" w:hAnsi="Times New Roman"/>
          <w:b/>
          <w:bCs/>
          <w:sz w:val="24"/>
          <w:szCs w:val="24"/>
        </w:rPr>
        <w:t>Legal Lesson Learned</w:t>
      </w:r>
      <w:r>
        <w:rPr>
          <w:rFonts w:ascii="Times New Roman" w:hAnsi="Times New Roman"/>
          <w:b/>
          <w:bCs/>
          <w:sz w:val="24"/>
          <w:szCs w:val="24"/>
        </w:rPr>
        <w:t xml:space="preserve">: EEOC filing timelines are not extended when </w:t>
      </w:r>
      <w:proofErr w:type="gramStart"/>
      <w:r>
        <w:rPr>
          <w:rFonts w:ascii="Times New Roman" w:hAnsi="Times New Roman"/>
          <w:b/>
          <w:bCs/>
          <w:sz w:val="24"/>
          <w:szCs w:val="24"/>
        </w:rPr>
        <w:t>employee seeks</w:t>
      </w:r>
      <w:proofErr w:type="gramEnd"/>
      <w:r>
        <w:rPr>
          <w:rFonts w:ascii="Times New Roman" w:hAnsi="Times New Roman"/>
          <w:b/>
          <w:bCs/>
          <w:sz w:val="24"/>
          <w:szCs w:val="24"/>
        </w:rPr>
        <w:t xml:space="preserve"> internal appeal.</w:t>
      </w:r>
    </w:p>
    <w:p w14:paraId="3BD2A752" w14:textId="77777777" w:rsidR="007F3C7D" w:rsidRDefault="007F3C7D" w:rsidP="007F3C7D">
      <w:pPr>
        <w:spacing w:before="100" w:beforeAutospacing="1" w:after="100" w:afterAutospacing="1" w:line="240" w:lineRule="auto"/>
        <w:ind w:left="720"/>
        <w:rPr>
          <w:rFonts w:ascii="Times New Roman" w:hAnsi="Times New Roman"/>
          <w:sz w:val="24"/>
          <w:szCs w:val="24"/>
        </w:rPr>
      </w:pPr>
      <w:r w:rsidRPr="005A33C2">
        <w:rPr>
          <w:rFonts w:ascii="Times New Roman" w:hAnsi="Times New Roman"/>
          <w:sz w:val="24"/>
          <w:szCs w:val="24"/>
        </w:rPr>
        <w:t xml:space="preserve">Note:  See EEOC guidance: </w:t>
      </w:r>
      <w:r>
        <w:rPr>
          <w:rFonts w:ascii="Times New Roman" w:hAnsi="Times New Roman"/>
          <w:sz w:val="24"/>
          <w:szCs w:val="24"/>
        </w:rPr>
        <w:t>“</w:t>
      </w:r>
      <w:r w:rsidRPr="005A33C2">
        <w:rPr>
          <w:rFonts w:ascii="Times New Roman" w:hAnsi="Times New Roman"/>
          <w:sz w:val="24"/>
          <w:szCs w:val="24"/>
        </w:rPr>
        <w:t>Time limits for filing a charge with EEOC generally will not be extended while you attempt to resolve a dispute through another forum such as an internal grievance procedure, a union grievance, arbitration or mediation before filing a charge with EEOC. Other forums for resolution may be pursued at the same time as the processing of the EEOC charge.</w:t>
      </w:r>
      <w:r>
        <w:rPr>
          <w:rFonts w:ascii="Times New Roman" w:hAnsi="Times New Roman"/>
          <w:sz w:val="24"/>
          <w:szCs w:val="24"/>
        </w:rPr>
        <w:t xml:space="preserve">” </w:t>
      </w:r>
      <w:hyperlink r:id="rId1631" w:history="1">
        <w:r w:rsidRPr="00574F77">
          <w:rPr>
            <w:rStyle w:val="Hyperlink"/>
            <w:rFonts w:ascii="Times New Roman" w:hAnsi="Times New Roman"/>
            <w:sz w:val="24"/>
            <w:szCs w:val="24"/>
          </w:rPr>
          <w:t>https://www.eeoc.gov/time-limits-filing-charge</w:t>
        </w:r>
      </w:hyperlink>
      <w:r>
        <w:rPr>
          <w:rFonts w:ascii="Times New Roman" w:hAnsi="Times New Roman"/>
          <w:sz w:val="24"/>
          <w:szCs w:val="24"/>
        </w:rPr>
        <w:t xml:space="preserve"> </w:t>
      </w:r>
    </w:p>
    <w:bookmarkEnd w:id="350"/>
    <w:p w14:paraId="1B69C484" w14:textId="29871AC6" w:rsidR="007F3C7D" w:rsidRPr="00D735DB" w:rsidRDefault="007F3C7D" w:rsidP="007F3C7D">
      <w:pPr>
        <w:spacing w:before="100" w:beforeAutospacing="1" w:after="100" w:afterAutospacing="1" w:line="240" w:lineRule="auto"/>
        <w:ind w:left="720"/>
        <w:rPr>
          <w:rFonts w:ascii="Times New Roman" w:eastAsia="Times New Roman" w:hAnsi="Times New Roman"/>
          <w:sz w:val="24"/>
          <w:szCs w:val="24"/>
        </w:rPr>
      </w:pPr>
      <w:r w:rsidRPr="00E935C6">
        <w:rPr>
          <w:rFonts w:ascii="Times New Roman" w:hAnsi="Times New Roman"/>
          <w:sz w:val="24"/>
          <w:szCs w:val="24"/>
        </w:rPr>
        <w:t>See IAFC</w:t>
      </w:r>
      <w:r>
        <w:rPr>
          <w:rFonts w:ascii="Times New Roman" w:hAnsi="Times New Roman"/>
          <w:sz w:val="24"/>
          <w:szCs w:val="24"/>
        </w:rPr>
        <w:t xml:space="preserve"> Guide </w:t>
      </w:r>
      <w:proofErr w:type="gramStart"/>
      <w:r>
        <w:rPr>
          <w:rFonts w:ascii="Times New Roman" w:hAnsi="Times New Roman"/>
          <w:sz w:val="24"/>
          <w:szCs w:val="24"/>
        </w:rPr>
        <w:t>To</w:t>
      </w:r>
      <w:proofErr w:type="gramEnd"/>
      <w:r>
        <w:rPr>
          <w:rFonts w:ascii="Times New Roman" w:hAnsi="Times New Roman"/>
          <w:sz w:val="24"/>
          <w:szCs w:val="24"/>
        </w:rPr>
        <w:t xml:space="preserve"> Implementing NFPA 1582</w:t>
      </w:r>
      <w:r w:rsidRPr="00E935C6">
        <w:rPr>
          <w:rFonts w:ascii="Times New Roman" w:hAnsi="Times New Roman"/>
          <w:sz w:val="24"/>
          <w:szCs w:val="24"/>
        </w:rPr>
        <w:t>:  C</w:t>
      </w:r>
      <w:r>
        <w:rPr>
          <w:rFonts w:ascii="Times New Roman" w:hAnsi="Times New Roman"/>
          <w:sz w:val="24"/>
          <w:szCs w:val="24"/>
        </w:rPr>
        <w:t>ategory B M</w:t>
      </w:r>
      <w:r w:rsidRPr="00E935C6">
        <w:rPr>
          <w:rFonts w:ascii="Times New Roman" w:hAnsi="Times New Roman"/>
          <w:sz w:val="24"/>
          <w:szCs w:val="24"/>
        </w:rPr>
        <w:t>edical Condition</w:t>
      </w:r>
      <w:r>
        <w:rPr>
          <w:rFonts w:ascii="Times New Roman" w:hAnsi="Times New Roman"/>
          <w:sz w:val="24"/>
          <w:szCs w:val="24"/>
        </w:rPr>
        <w:t>: “</w:t>
      </w:r>
      <w:r w:rsidRPr="00E935C6">
        <w:rPr>
          <w:rFonts w:ascii="Times New Roman" w:hAnsi="Times New Roman"/>
          <w:sz w:val="24"/>
          <w:szCs w:val="24"/>
        </w:rPr>
        <w:t xml:space="preserve">A condition that, based on its severity or degree, could preclude hire but only if despite the condition the candidate ‘can perform the essential job tasks without posing a significant safety and health risk to themselves, members, or civilians’.” </w:t>
      </w:r>
      <w:hyperlink r:id="rId1632" w:history="1">
        <w:r w:rsidRPr="00E935C6">
          <w:rPr>
            <w:rStyle w:val="Hyperlink"/>
            <w:rFonts w:ascii="Times New Roman" w:hAnsi="Times New Roman"/>
            <w:sz w:val="24"/>
            <w:szCs w:val="24"/>
          </w:rPr>
          <w:t>https://www.iafc.org/docs/default-source/1vcos/vws_rrkit_nfpa-1582.pdf?sfvrsn=ca9b9f0d_2</w:t>
        </w:r>
      </w:hyperlink>
      <w:r w:rsidRPr="00E935C6">
        <w:rPr>
          <w:rFonts w:ascii="Times New Roman" w:hAnsi="Times New Roman"/>
          <w:sz w:val="24"/>
          <w:szCs w:val="24"/>
        </w:rPr>
        <w:t xml:space="preserve"> </w:t>
      </w:r>
    </w:p>
    <w:p w14:paraId="48E516DD" w14:textId="43A4B99F" w:rsidR="007F3C7D" w:rsidRPr="007F3C7D" w:rsidRDefault="007F3C7D" w:rsidP="007F3C7D">
      <w:pPr>
        <w:pStyle w:val="NoSpacing"/>
        <w:ind w:left="720"/>
        <w:rPr>
          <w:rFonts w:ascii="Times New Roman" w:hAnsi="Times New Roman"/>
          <w:b/>
          <w:sz w:val="24"/>
          <w:szCs w:val="24"/>
        </w:rPr>
      </w:pPr>
      <w:r w:rsidRPr="007F3C7D">
        <w:rPr>
          <w:rFonts w:ascii="Times New Roman" w:hAnsi="Times New Roman"/>
          <w:sz w:val="24"/>
          <w:szCs w:val="24"/>
        </w:rPr>
        <w:t xml:space="preserve">See NFPA on hearing loss (9/27/2016 amendment). Category B medical conditions shall include the following: (1) Unequal hearing loss ….  </w:t>
      </w:r>
      <w:hyperlink r:id="rId1633" w:history="1">
        <w:r w:rsidRPr="007F3C7D">
          <w:rPr>
            <w:rStyle w:val="Hyperlink"/>
            <w:rFonts w:ascii="Times New Roman" w:hAnsi="Times New Roman"/>
            <w:sz w:val="24"/>
            <w:szCs w:val="24"/>
          </w:rPr>
          <w:t>https://www.nfpa.org/assets/files/AboutTheCodes/1582/1582_A2017_FIX_AAA_SD_SRStatements.pdf</w:t>
        </w:r>
      </w:hyperlink>
    </w:p>
    <w:p w14:paraId="418B1957" w14:textId="77777777" w:rsidR="005217D5" w:rsidRPr="00150169" w:rsidRDefault="005217D5" w:rsidP="005217D5">
      <w:pPr>
        <w:spacing w:before="100" w:beforeAutospacing="1" w:after="100" w:afterAutospacing="1" w:line="240" w:lineRule="auto"/>
        <w:rPr>
          <w:rFonts w:ascii="Times New Roman" w:hAnsi="Times New Roman"/>
          <w:b/>
          <w:bCs/>
          <w:sz w:val="24"/>
          <w:szCs w:val="24"/>
        </w:rPr>
      </w:pPr>
      <w:r w:rsidRPr="00150169">
        <w:rPr>
          <w:rFonts w:ascii="Times New Roman" w:hAnsi="Times New Roman"/>
          <w:b/>
          <w:bCs/>
          <w:sz w:val="24"/>
          <w:szCs w:val="24"/>
        </w:rPr>
        <w:t xml:space="preserve">Legal Lesson Learned: </w:t>
      </w:r>
      <w:r>
        <w:rPr>
          <w:rFonts w:ascii="Times New Roman" w:hAnsi="Times New Roman"/>
          <w:b/>
          <w:bCs/>
          <w:sz w:val="24"/>
          <w:szCs w:val="24"/>
        </w:rPr>
        <w:t xml:space="preserve">Plaintiff’s continuing work experience as a paramedic was reasonable basis to stop disability payments. </w:t>
      </w:r>
    </w:p>
    <w:p w14:paraId="015E7838" w14:textId="77777777" w:rsidR="007F3C7D" w:rsidRDefault="007F3C7D" w:rsidP="005C30A4">
      <w:pPr>
        <w:pStyle w:val="NoSpacing"/>
        <w:rPr>
          <w:rFonts w:ascii="Arial Black" w:hAnsi="Arial Black"/>
          <w:b/>
          <w:sz w:val="24"/>
          <w:szCs w:val="24"/>
        </w:rPr>
      </w:pPr>
    </w:p>
    <w:p w14:paraId="6CEFBDDD" w14:textId="77777777" w:rsidR="007F3C7D" w:rsidRDefault="007F3C7D" w:rsidP="005C30A4">
      <w:pPr>
        <w:pStyle w:val="NoSpacing"/>
        <w:rPr>
          <w:rFonts w:ascii="Arial Black" w:hAnsi="Arial Black"/>
          <w:b/>
          <w:sz w:val="24"/>
          <w:szCs w:val="24"/>
        </w:rPr>
      </w:pPr>
    </w:p>
    <w:p w14:paraId="2DDC3926" w14:textId="02461147" w:rsidR="007F3C7D" w:rsidRDefault="007F3C7D" w:rsidP="005C30A4">
      <w:pPr>
        <w:pStyle w:val="NoSpacing"/>
        <w:rPr>
          <w:rFonts w:ascii="Arial Black" w:hAnsi="Arial Black"/>
          <w:b/>
          <w:sz w:val="24"/>
          <w:szCs w:val="24"/>
        </w:rPr>
      </w:pPr>
      <w:r>
        <w:rPr>
          <w:rFonts w:ascii="Arial Black" w:hAnsi="Arial Black"/>
          <w:b/>
          <w:sz w:val="24"/>
          <w:szCs w:val="24"/>
        </w:rPr>
        <w:t>9-18</w:t>
      </w:r>
    </w:p>
    <w:p w14:paraId="1B234738" w14:textId="77777777" w:rsidR="007F3C7D" w:rsidRPr="006E0926" w:rsidRDefault="007F3C7D" w:rsidP="007F3C7D">
      <w:pPr>
        <w:rPr>
          <w:rFonts w:ascii="Arial Black" w:hAnsi="Arial Black"/>
          <w:sz w:val="28"/>
          <w:szCs w:val="28"/>
        </w:rPr>
      </w:pPr>
      <w:bookmarkStart w:id="351" w:name="_Hlk66948312"/>
      <w:r>
        <w:rPr>
          <w:rFonts w:ascii="Arial Black" w:hAnsi="Arial Black"/>
          <w:sz w:val="28"/>
          <w:szCs w:val="28"/>
        </w:rPr>
        <w:t>PA: CADET WITH PROSTHETIC LEG – FAILED EMS TESTING ON PATIENT CARE PROTOCOLS – ADA LAWSUIT DISMISSED</w:t>
      </w:r>
    </w:p>
    <w:p w14:paraId="336FEDE9" w14:textId="77777777" w:rsidR="007F3C7D" w:rsidRPr="0021077E" w:rsidRDefault="007F3C7D" w:rsidP="007F3C7D">
      <w:pPr>
        <w:rPr>
          <w:rFonts w:ascii="Times New Roman" w:hAnsi="Times New Roman"/>
          <w:sz w:val="24"/>
          <w:szCs w:val="24"/>
        </w:rPr>
      </w:pPr>
      <w:r w:rsidRPr="0021077E">
        <w:rPr>
          <w:rFonts w:ascii="Times New Roman" w:hAnsi="Times New Roman"/>
          <w:sz w:val="24"/>
          <w:szCs w:val="24"/>
        </w:rPr>
        <w:t xml:space="preserve">On Jan. 6, 2021, in </w:t>
      </w:r>
      <w:r w:rsidRPr="0021077E">
        <w:rPr>
          <w:rFonts w:ascii="Times New Roman" w:hAnsi="Times New Roman"/>
          <w:sz w:val="24"/>
          <w:szCs w:val="24"/>
          <w:u w:val="single"/>
        </w:rPr>
        <w:t xml:space="preserve">Chase Frost v. City </w:t>
      </w:r>
      <w:r>
        <w:rPr>
          <w:rFonts w:ascii="Times New Roman" w:hAnsi="Times New Roman"/>
          <w:sz w:val="24"/>
          <w:szCs w:val="24"/>
          <w:u w:val="single"/>
        </w:rPr>
        <w:t>o</w:t>
      </w:r>
      <w:r w:rsidRPr="0021077E">
        <w:rPr>
          <w:rFonts w:ascii="Times New Roman" w:hAnsi="Times New Roman"/>
          <w:sz w:val="24"/>
          <w:szCs w:val="24"/>
          <w:u w:val="single"/>
        </w:rPr>
        <w:t>f Philadelphia</w:t>
      </w:r>
      <w:r w:rsidRPr="0021077E">
        <w:rPr>
          <w:rFonts w:ascii="Times New Roman" w:hAnsi="Times New Roman"/>
          <w:sz w:val="24"/>
          <w:szCs w:val="24"/>
        </w:rPr>
        <w:t xml:space="preserve">, </w:t>
      </w:r>
      <w:r>
        <w:rPr>
          <w:rFonts w:ascii="Times New Roman" w:hAnsi="Times New Roman"/>
          <w:sz w:val="24"/>
          <w:szCs w:val="24"/>
        </w:rPr>
        <w:t xml:space="preserve">the U.S. Court of Appeals for the Third Circuit, held (3 to 0; non precedential decision) that the U.S. District Court judge properly granted summary judgment for the City in its decision to terminate the cadet.  </w:t>
      </w:r>
    </w:p>
    <w:bookmarkEnd w:id="351"/>
    <w:p w14:paraId="6806D0D2" w14:textId="77777777" w:rsidR="007F3C7D" w:rsidRDefault="007F3C7D" w:rsidP="007F3C7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21077E">
        <w:rPr>
          <w:rFonts w:ascii="Times New Roman" w:hAnsi="Times New Roman"/>
          <w:sz w:val="24"/>
          <w:szCs w:val="24"/>
        </w:rPr>
        <w:t>Frost alleges that he was terminated from the 2016 Fire Academy because of his disability. The District Court held that although Frost met his initial burden to establish a prima facie case of wrongful termination, he failed to establish that the City's nondiscriminatory reason for his termination, because of his failed re-test, was pretextual. We agree that Frost cannot show pretext.</w:t>
      </w:r>
      <w:r>
        <w:rPr>
          <w:rFonts w:ascii="Times New Roman" w:hAnsi="Times New Roman"/>
          <w:sz w:val="24"/>
          <w:szCs w:val="24"/>
        </w:rPr>
        <w:t xml:space="preserve"> </w:t>
      </w:r>
    </w:p>
    <w:p w14:paraId="6885E593" w14:textId="77777777" w:rsidR="007F3C7D" w:rsidRPr="0021077E" w:rsidRDefault="007F3C7D" w:rsidP="007F3C7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73C517B5" w14:textId="77777777" w:rsidR="007F3C7D" w:rsidRDefault="007F3C7D" w:rsidP="007F3C7D">
      <w:pPr>
        <w:spacing w:before="100" w:beforeAutospacing="1" w:after="100" w:afterAutospacing="1" w:line="240" w:lineRule="auto"/>
        <w:ind w:left="720"/>
        <w:rPr>
          <w:rFonts w:ascii="Times New Roman" w:eastAsia="Times New Roman" w:hAnsi="Times New Roman"/>
          <w:sz w:val="24"/>
          <w:szCs w:val="24"/>
        </w:rPr>
      </w:pPr>
      <w:r w:rsidRPr="006E0926">
        <w:rPr>
          <w:rFonts w:ascii="Times New Roman" w:eastAsia="Times New Roman" w:hAnsi="Times New Roman"/>
          <w:sz w:val="24"/>
          <w:szCs w:val="24"/>
        </w:rPr>
        <w:t>He has not</w:t>
      </w:r>
      <w:r w:rsidRPr="0021077E">
        <w:rPr>
          <w:rFonts w:ascii="Times New Roman" w:eastAsia="Times New Roman" w:hAnsi="Times New Roman"/>
          <w:sz w:val="24"/>
          <w:szCs w:val="24"/>
        </w:rPr>
        <w:t xml:space="preserve"> </w:t>
      </w:r>
      <w:r w:rsidRPr="006E0926">
        <w:rPr>
          <w:rFonts w:ascii="Times New Roman" w:eastAsia="Times New Roman" w:hAnsi="Times New Roman"/>
          <w:sz w:val="24"/>
          <w:szCs w:val="24"/>
        </w:rPr>
        <w:t>produced a cadet who failed a re-test and was treated more favorably than him. In fact, all other cadets who failed re-tests were also terminated. Other cadets who are not similarly situated cannot be used to establish pretext. Frost has not offered any other reason to believe that the City's proffered reason for his termination was pretextual.</w:t>
      </w:r>
      <w:r>
        <w:rPr>
          <w:rFonts w:ascii="Times New Roman" w:eastAsia="Times New Roman" w:hAnsi="Times New Roman"/>
          <w:sz w:val="24"/>
          <w:szCs w:val="24"/>
        </w:rPr>
        <w:t>”</w:t>
      </w:r>
      <w:r w:rsidRPr="0021077E">
        <w:t xml:space="preserve"> </w:t>
      </w:r>
      <w:bookmarkStart w:id="352" w:name="_Hlk66948333"/>
      <w:r w:rsidR="00F00958">
        <w:fldChar w:fldCharType="begin"/>
      </w:r>
      <w:r w:rsidR="00F00958">
        <w:instrText xml:space="preserve"> HYPERLINK "https://law.justia.com/cases/federal/appellate-courts/ca3/19-2636/19-2636-2021-01-06.html" </w:instrText>
      </w:r>
      <w:r w:rsidR="00F00958">
        <w:fldChar w:fldCharType="separate"/>
      </w:r>
      <w:r w:rsidRPr="00741B4E">
        <w:rPr>
          <w:rStyle w:val="Hyperlink"/>
          <w:rFonts w:ascii="Times New Roman" w:eastAsia="Times New Roman" w:hAnsi="Times New Roman"/>
          <w:sz w:val="24"/>
          <w:szCs w:val="24"/>
        </w:rPr>
        <w:t>https://law.justia.com/cases/federal/appellate-courts/ca3/19-2636/19-2636-2021-01-06.html</w:t>
      </w:r>
      <w:r w:rsidR="00F00958">
        <w:rPr>
          <w:rStyle w:val="Hyperlink"/>
          <w:rFonts w:ascii="Times New Roman" w:eastAsia="Times New Roman" w:hAnsi="Times New Roman"/>
          <w:sz w:val="24"/>
          <w:szCs w:val="24"/>
        </w:rPr>
        <w:fldChar w:fldCharType="end"/>
      </w:r>
      <w:r>
        <w:rPr>
          <w:rFonts w:ascii="Times New Roman" w:eastAsia="Times New Roman" w:hAnsi="Times New Roman"/>
          <w:sz w:val="24"/>
          <w:szCs w:val="24"/>
        </w:rPr>
        <w:t xml:space="preserve"> </w:t>
      </w:r>
    </w:p>
    <w:p w14:paraId="7775D916" w14:textId="77777777" w:rsidR="007F3C7D" w:rsidRPr="00CF503B" w:rsidRDefault="007F3C7D" w:rsidP="007F3C7D">
      <w:pPr>
        <w:pStyle w:val="NormalWeb"/>
        <w:rPr>
          <w:b/>
          <w:bCs/>
        </w:rPr>
      </w:pPr>
      <w:r w:rsidRPr="00CF503B">
        <w:rPr>
          <w:b/>
          <w:bCs/>
        </w:rPr>
        <w:t>Legal Lesson Learned:</w:t>
      </w:r>
      <w:r>
        <w:rPr>
          <w:b/>
          <w:bCs/>
        </w:rPr>
        <w:t xml:space="preserve">  It is unfortunate that this disabled cadet failed the patient protocol exam, but this is an essential job requirement. </w:t>
      </w:r>
    </w:p>
    <w:bookmarkEnd w:id="352"/>
    <w:p w14:paraId="5F507C3E" w14:textId="77777777" w:rsidR="007F3C7D" w:rsidRDefault="007F3C7D" w:rsidP="005C30A4">
      <w:pPr>
        <w:pStyle w:val="NoSpacing"/>
        <w:rPr>
          <w:rFonts w:ascii="Arial Black" w:hAnsi="Arial Black"/>
          <w:b/>
          <w:sz w:val="24"/>
          <w:szCs w:val="24"/>
        </w:rPr>
      </w:pPr>
    </w:p>
    <w:p w14:paraId="05E13BEC" w14:textId="77777777" w:rsidR="007F3C7D" w:rsidRDefault="007F3C7D" w:rsidP="005C30A4">
      <w:pPr>
        <w:pStyle w:val="NoSpacing"/>
        <w:rPr>
          <w:rFonts w:ascii="Arial Black" w:hAnsi="Arial Black"/>
          <w:b/>
          <w:sz w:val="24"/>
          <w:szCs w:val="24"/>
        </w:rPr>
      </w:pPr>
    </w:p>
    <w:p w14:paraId="1308F5A5" w14:textId="2DBB4F62" w:rsidR="00383EFC" w:rsidRPr="0031119E" w:rsidRDefault="00383EFC" w:rsidP="005C30A4">
      <w:pPr>
        <w:pStyle w:val="NoSpacing"/>
        <w:rPr>
          <w:rFonts w:ascii="Times New Roman" w:hAnsi="Times New Roman"/>
          <w:bCs/>
          <w:sz w:val="24"/>
          <w:szCs w:val="24"/>
        </w:rPr>
      </w:pPr>
      <w:r>
        <w:rPr>
          <w:rFonts w:ascii="Arial Black" w:hAnsi="Arial Black"/>
          <w:b/>
          <w:sz w:val="24"/>
          <w:szCs w:val="24"/>
        </w:rPr>
        <w:t>9-1</w:t>
      </w:r>
      <w:r w:rsidR="0031119E">
        <w:rPr>
          <w:rFonts w:ascii="Arial Black" w:hAnsi="Arial Black"/>
          <w:b/>
          <w:sz w:val="24"/>
          <w:szCs w:val="24"/>
        </w:rPr>
        <w:t xml:space="preserve">7 </w:t>
      </w:r>
      <w:r w:rsidR="0031119E">
        <w:rPr>
          <w:rFonts w:ascii="Times New Roman" w:hAnsi="Times New Roman"/>
          <w:bCs/>
          <w:sz w:val="24"/>
          <w:szCs w:val="24"/>
        </w:rPr>
        <w:t xml:space="preserve">[Also filed, Chap. 8] </w:t>
      </w:r>
    </w:p>
    <w:p w14:paraId="51D05885" w14:textId="77777777" w:rsidR="00383EFC" w:rsidRPr="00C03B09" w:rsidRDefault="00383EFC" w:rsidP="00383EFC">
      <w:pPr>
        <w:pStyle w:val="NoSpacing"/>
        <w:rPr>
          <w:rFonts w:ascii="Arial Black" w:hAnsi="Arial Black"/>
          <w:sz w:val="28"/>
          <w:szCs w:val="28"/>
        </w:rPr>
      </w:pPr>
      <w:bookmarkStart w:id="353" w:name="_Hlk57626474"/>
      <w:r>
        <w:rPr>
          <w:rFonts w:ascii="Arial Black" w:hAnsi="Arial Black"/>
          <w:sz w:val="28"/>
          <w:szCs w:val="28"/>
        </w:rPr>
        <w:t xml:space="preserve">FL:  FDNY CHANGED GROOMING POLICY – REQUIRES CLEAN SHAVE – NOW ON APPEAL – JACKSONVILLE FF LAWSUIT </w:t>
      </w:r>
    </w:p>
    <w:p w14:paraId="40E0D656" w14:textId="77777777" w:rsidR="00383EFC" w:rsidRPr="00473C64" w:rsidRDefault="00383EFC" w:rsidP="00383EFC">
      <w:pPr>
        <w:spacing w:before="100" w:beforeAutospacing="1" w:after="100" w:afterAutospacing="1" w:line="240" w:lineRule="auto"/>
        <w:rPr>
          <w:rFonts w:ascii="Times New Roman" w:hAnsi="Times New Roman"/>
          <w:sz w:val="24"/>
          <w:szCs w:val="24"/>
        </w:rPr>
      </w:pPr>
      <w:r w:rsidRPr="00473C64">
        <w:rPr>
          <w:rFonts w:ascii="Times New Roman" w:hAnsi="Times New Roman"/>
          <w:sz w:val="24"/>
          <w:szCs w:val="24"/>
        </w:rPr>
        <w:t xml:space="preserve">Nov. 25, 2020, “Black firefighters sue over Jacksonville policy requiring crews to be cleanshaven.”  It </w:t>
      </w:r>
      <w:proofErr w:type="gramStart"/>
      <w:r w:rsidRPr="00473C64">
        <w:rPr>
          <w:rFonts w:ascii="Times New Roman" w:hAnsi="Times New Roman"/>
          <w:sz w:val="24"/>
          <w:szCs w:val="24"/>
        </w:rPr>
        <w:t>referenced</w:t>
      </w:r>
      <w:proofErr w:type="gramEnd"/>
      <w:r w:rsidRPr="00473C64">
        <w:rPr>
          <w:rFonts w:ascii="Times New Roman" w:hAnsi="Times New Roman"/>
          <w:sz w:val="24"/>
          <w:szCs w:val="24"/>
        </w:rPr>
        <w:t xml:space="preserve"> a lawsuit by FDNY firefighters. </w:t>
      </w:r>
      <w:hyperlink r:id="rId1634" w:history="1">
        <w:r w:rsidRPr="00473C64">
          <w:rPr>
            <w:rStyle w:val="Hyperlink"/>
            <w:rFonts w:ascii="Times New Roman" w:hAnsi="Times New Roman"/>
            <w:sz w:val="24"/>
            <w:szCs w:val="24"/>
          </w:rPr>
          <w:t>https://www.jacksonville.com/story/news/courts/2020/11/25/jacksonville-lawsuit-cleanshaven-rule-unfair-black-firefighters/6406374002/</w:t>
        </w:r>
      </w:hyperlink>
    </w:p>
    <w:p w14:paraId="0C8B69ED" w14:textId="77777777" w:rsidR="00383EFC" w:rsidRDefault="00383EFC" w:rsidP="00383EF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City of New York lost their case on Jan. 29, 2020, and has filed an appeal to the U.S. Court of Appeals for Second District. </w:t>
      </w:r>
      <w:r>
        <w:rPr>
          <w:rFonts w:ascii="Times New Roman" w:hAnsi="Times New Roman"/>
          <w:sz w:val="24"/>
          <w:szCs w:val="24"/>
        </w:rPr>
        <w:t xml:space="preserve">On July 2, 2020, the plaintiff firefighters filed their reply brief in the U.S. Court of Appeals for Second Circuit. </w:t>
      </w:r>
      <w:hyperlink r:id="rId1635" w:history="1">
        <w:r w:rsidRPr="007578D7">
          <w:rPr>
            <w:rStyle w:val="Hyperlink"/>
            <w:rFonts w:ascii="Times New Roman" w:hAnsi="Times New Roman"/>
            <w:sz w:val="24"/>
            <w:szCs w:val="24"/>
          </w:rPr>
          <w:t>https://www.law.georgetown.edu/icap/wp-content/uploads/sites/32/2020/07/Bey-2d-Cir.-Opening-Brief-FINAL-7-7-2020.pdf</w:t>
        </w:r>
      </w:hyperlink>
      <w:r>
        <w:rPr>
          <w:rFonts w:ascii="Times New Roman" w:hAnsi="Times New Roman"/>
          <w:sz w:val="24"/>
          <w:szCs w:val="24"/>
        </w:rPr>
        <w:t xml:space="preserve"> </w:t>
      </w:r>
    </w:p>
    <w:p w14:paraId="5B6B63EA" w14:textId="77777777" w:rsidR="00383EFC" w:rsidRDefault="00383EFC" w:rsidP="00383EFC">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29, 2020, in </w:t>
      </w:r>
      <w:r w:rsidRPr="00D115C7">
        <w:rPr>
          <w:rFonts w:ascii="Times New Roman" w:eastAsia="Times New Roman" w:hAnsi="Times New Roman"/>
          <w:sz w:val="24"/>
          <w:szCs w:val="24"/>
          <w:u w:val="single"/>
        </w:rPr>
        <w:t>Salik Bey, et al. v. City of New York, Daniel Nigro, et al</w:t>
      </w:r>
      <w:r>
        <w:rPr>
          <w:rFonts w:ascii="Times New Roman" w:eastAsia="Times New Roman" w:hAnsi="Times New Roman"/>
          <w:sz w:val="24"/>
          <w:szCs w:val="24"/>
        </w:rPr>
        <w:t>., 437 F. Supp. 3</w:t>
      </w:r>
      <w:r w:rsidRPr="009562EF">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2222, Senior U.S. District Court Judge Jack B. Weinstein, U.S. District Court for Eastern District of New York ordered FDNY to return to their former grooming policy (Aug. 2015 – Dec. 2017) which allowed </w:t>
      </w:r>
      <w:r w:rsidRPr="00CB7445">
        <w:rPr>
          <w:rFonts w:ascii="Times New Roman" w:eastAsia="Times New Roman" w:hAnsi="Times New Roman"/>
          <w:sz w:val="24"/>
          <w:szCs w:val="24"/>
        </w:rPr>
        <w:t>facial hair in the chin, cheek and neck area if it did not cause leakage around the mask's seal</w:t>
      </w:r>
      <w:r>
        <w:rPr>
          <w:rFonts w:ascii="Times New Roman" w:eastAsia="Times New Roman" w:hAnsi="Times New Roman"/>
          <w:sz w:val="24"/>
          <w:szCs w:val="24"/>
        </w:rPr>
        <w:t>.   Under the new policy: “</w:t>
      </w:r>
      <w:r w:rsidRPr="00313B2C">
        <w:rPr>
          <w:rFonts w:ascii="Times New Roman" w:hAnsi="Times New Roman"/>
          <w:sz w:val="24"/>
          <w:szCs w:val="24"/>
        </w:rPr>
        <w:t>If Plaintiffs shaved all facial hair in the chin area, they would maintain their status as full duty firefighters; otherwise, they would be placed on light duty.</w:t>
      </w:r>
      <w:r>
        <w:rPr>
          <w:rFonts w:ascii="Times New Roman" w:hAnsi="Times New Roman"/>
          <w:sz w:val="24"/>
          <w:szCs w:val="24"/>
        </w:rPr>
        <w:t xml:space="preserve">” </w:t>
      </w:r>
    </w:p>
    <w:p w14:paraId="41E4F867" w14:textId="77777777" w:rsidR="00383EFC" w:rsidRDefault="00383EFC" w:rsidP="00383EFC">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lastRenderedPageBreak/>
        <w:t xml:space="preserve">Judge Weinstein’s decision: </w:t>
      </w:r>
    </w:p>
    <w:p w14:paraId="081A4C95" w14:textId="77777777" w:rsidR="00383EFC" w:rsidRDefault="00383EFC" w:rsidP="00383EFC">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C3A40">
        <w:rPr>
          <w:rFonts w:ascii="Times New Roman" w:hAnsi="Times New Roman"/>
          <w:sz w:val="24"/>
          <w:szCs w:val="24"/>
        </w:rPr>
        <w:t xml:space="preserve">Defendants admit that no heightened safety risk to firefighters or the public was presented by the accommodation previously in effect. Two and a half years passed without incident, and Plaintiffs continued to perform their jobs satisfactorily. </w:t>
      </w:r>
      <w:proofErr w:type="gramStart"/>
      <w:r w:rsidRPr="00FC3A40">
        <w:rPr>
          <w:rFonts w:ascii="Times New Roman" w:hAnsi="Times New Roman"/>
          <w:sz w:val="24"/>
          <w:szCs w:val="24"/>
        </w:rPr>
        <w:t>The FDNY's</w:t>
      </w:r>
      <w:proofErr w:type="gramEnd"/>
      <w:r w:rsidRPr="00FC3A40">
        <w:rPr>
          <w:rFonts w:ascii="Times New Roman" w:hAnsi="Times New Roman"/>
          <w:sz w:val="24"/>
          <w:szCs w:val="24"/>
        </w:rPr>
        <w:t xml:space="preserve"> decision to abandon the prior accommodation was not based on any actual safety risks to firefighters or the public. Rather, driving the calculus was bureaucracy. Defendants cite no case law indicating that such bureaucratic considerations are a viable undue hardship defense; the court declines </w:t>
      </w:r>
      <w:proofErr w:type="gramStart"/>
      <w:r w:rsidRPr="00FC3A40">
        <w:rPr>
          <w:rFonts w:ascii="Times New Roman" w:hAnsi="Times New Roman"/>
          <w:sz w:val="24"/>
          <w:szCs w:val="24"/>
        </w:rPr>
        <w:t>to so</w:t>
      </w:r>
      <w:proofErr w:type="gramEnd"/>
      <w:r w:rsidRPr="00FC3A40">
        <w:rPr>
          <w:rFonts w:ascii="Times New Roman" w:hAnsi="Times New Roman"/>
          <w:sz w:val="24"/>
          <w:szCs w:val="24"/>
        </w:rPr>
        <w:t xml:space="preserve"> find</w:t>
      </w:r>
      <w:proofErr w:type="gramStart"/>
      <w:r>
        <w:rPr>
          <w:rFonts w:ascii="Times New Roman" w:hAnsi="Times New Roman"/>
          <w:sz w:val="24"/>
          <w:szCs w:val="24"/>
        </w:rPr>
        <w:t>.”</w:t>
      </w:r>
      <w:proofErr w:type="gramEnd"/>
      <w:r>
        <w:rPr>
          <w:rFonts w:ascii="Times New Roman" w:hAnsi="Times New Roman"/>
          <w:sz w:val="24"/>
          <w:szCs w:val="24"/>
        </w:rPr>
        <w:t xml:space="preserve"> </w:t>
      </w:r>
      <w:hyperlink r:id="rId1636" w:history="1">
        <w:r w:rsidRPr="007578D7">
          <w:rPr>
            <w:rStyle w:val="Hyperlink"/>
            <w:rFonts w:ascii="Times New Roman" w:hAnsi="Times New Roman"/>
            <w:sz w:val="24"/>
            <w:szCs w:val="24"/>
          </w:rPr>
          <w:t>https://casetext.com/case/bey-v-city-of-ny-7</w:t>
        </w:r>
      </w:hyperlink>
    </w:p>
    <w:bookmarkEnd w:id="353"/>
    <w:p w14:paraId="19E80FEF" w14:textId="77777777" w:rsidR="00383EFC" w:rsidRPr="00FC3A40" w:rsidRDefault="00383EFC" w:rsidP="00383EFC">
      <w:pPr>
        <w:tabs>
          <w:tab w:val="left" w:pos="2810"/>
        </w:tabs>
        <w:spacing w:before="100" w:beforeAutospacing="1" w:after="100" w:afterAutospacing="1" w:line="240" w:lineRule="auto"/>
        <w:rPr>
          <w:rFonts w:ascii="Times New Roman" w:hAnsi="Times New Roman"/>
          <w:b/>
          <w:bCs/>
          <w:sz w:val="24"/>
          <w:szCs w:val="24"/>
        </w:rPr>
      </w:pPr>
      <w:r w:rsidRPr="00FC3A40">
        <w:rPr>
          <w:rFonts w:ascii="Times New Roman" w:hAnsi="Times New Roman"/>
          <w:b/>
          <w:bCs/>
          <w:sz w:val="24"/>
          <w:szCs w:val="24"/>
        </w:rPr>
        <w:t>Legal Lesson Learned</w:t>
      </w:r>
      <w:r>
        <w:rPr>
          <w:rFonts w:ascii="Times New Roman" w:hAnsi="Times New Roman"/>
          <w:b/>
          <w:bCs/>
          <w:sz w:val="24"/>
          <w:szCs w:val="24"/>
        </w:rPr>
        <w:t xml:space="preserve">: The FDNY case will now be decided by the U.S. Court of Appeals for the Second Circuit.  The Jacksonville FD case will proceed </w:t>
      </w:r>
      <w:proofErr w:type="gramStart"/>
      <w:r>
        <w:rPr>
          <w:rFonts w:ascii="Times New Roman" w:hAnsi="Times New Roman"/>
          <w:b/>
          <w:bCs/>
          <w:sz w:val="24"/>
          <w:szCs w:val="24"/>
        </w:rPr>
        <w:t>to</w:t>
      </w:r>
      <w:proofErr w:type="gramEnd"/>
      <w:r>
        <w:rPr>
          <w:rFonts w:ascii="Times New Roman" w:hAnsi="Times New Roman"/>
          <w:b/>
          <w:bCs/>
          <w:sz w:val="24"/>
          <w:szCs w:val="24"/>
        </w:rPr>
        <w:t xml:space="preserve"> pre-trial discovery.   </w:t>
      </w:r>
    </w:p>
    <w:p w14:paraId="6C92ABA9" w14:textId="77777777" w:rsidR="00383EFC" w:rsidRDefault="00383EFC" w:rsidP="005C30A4">
      <w:pPr>
        <w:pStyle w:val="NoSpacing"/>
        <w:rPr>
          <w:rFonts w:ascii="Arial Black" w:hAnsi="Arial Black"/>
          <w:b/>
          <w:sz w:val="24"/>
          <w:szCs w:val="24"/>
        </w:rPr>
      </w:pPr>
    </w:p>
    <w:p w14:paraId="09A00A6A" w14:textId="77777777" w:rsidR="00383EFC" w:rsidRDefault="00383EFC" w:rsidP="005C30A4">
      <w:pPr>
        <w:pStyle w:val="NoSpacing"/>
        <w:rPr>
          <w:rFonts w:ascii="Arial Black" w:hAnsi="Arial Black"/>
          <w:b/>
          <w:sz w:val="24"/>
          <w:szCs w:val="24"/>
        </w:rPr>
      </w:pPr>
    </w:p>
    <w:p w14:paraId="4269CF3B" w14:textId="53288709" w:rsidR="00DD03E3" w:rsidRDefault="00DD03E3" w:rsidP="005C30A4">
      <w:pPr>
        <w:pStyle w:val="NoSpacing"/>
        <w:rPr>
          <w:rFonts w:ascii="Arial Black" w:hAnsi="Arial Black"/>
          <w:b/>
          <w:sz w:val="24"/>
          <w:szCs w:val="24"/>
        </w:rPr>
      </w:pPr>
      <w:r>
        <w:rPr>
          <w:rFonts w:ascii="Arial Black" w:hAnsi="Arial Black"/>
          <w:b/>
          <w:sz w:val="24"/>
          <w:szCs w:val="24"/>
        </w:rPr>
        <w:t>9</w:t>
      </w:r>
      <w:r w:rsidR="00383EFC">
        <w:rPr>
          <w:rFonts w:ascii="Arial Black" w:hAnsi="Arial Black"/>
          <w:b/>
          <w:sz w:val="24"/>
          <w:szCs w:val="24"/>
        </w:rPr>
        <w:t>-</w:t>
      </w:r>
      <w:r>
        <w:rPr>
          <w:rFonts w:ascii="Arial Black" w:hAnsi="Arial Black"/>
          <w:b/>
          <w:sz w:val="24"/>
          <w:szCs w:val="24"/>
        </w:rPr>
        <w:t>16</w:t>
      </w:r>
    </w:p>
    <w:p w14:paraId="7E0471FE" w14:textId="77777777" w:rsidR="00DD03E3" w:rsidRPr="00371299" w:rsidRDefault="00DD03E3" w:rsidP="00DD03E3">
      <w:pPr>
        <w:spacing w:before="100" w:beforeAutospacing="1" w:after="100" w:afterAutospacing="1" w:line="240" w:lineRule="auto"/>
        <w:rPr>
          <w:rFonts w:ascii="Arial Black" w:eastAsia="Times New Roman" w:hAnsi="Arial Black"/>
          <w:b/>
          <w:bCs/>
          <w:sz w:val="28"/>
          <w:szCs w:val="28"/>
        </w:rPr>
      </w:pPr>
      <w:r w:rsidRPr="00371299">
        <w:rPr>
          <w:rFonts w:ascii="Arial Black" w:eastAsia="Times New Roman" w:hAnsi="Arial Black"/>
          <w:b/>
          <w:bCs/>
          <w:sz w:val="28"/>
          <w:szCs w:val="28"/>
        </w:rPr>
        <w:t>AL:</w:t>
      </w:r>
      <w:r>
        <w:rPr>
          <w:rFonts w:ascii="Arial Black" w:eastAsia="Times New Roman" w:hAnsi="Arial Black"/>
          <w:b/>
          <w:bCs/>
          <w:sz w:val="28"/>
          <w:szCs w:val="28"/>
        </w:rPr>
        <w:t xml:space="preserve"> BATTALION CHIEF INJURED NECK IN OFF DUTY MVA – AFTER LIGHT DUTY PERIOD, ORDERED BACK TO 24-HRS – NO ADA VIOL. </w:t>
      </w:r>
    </w:p>
    <w:p w14:paraId="0B9614DD" w14:textId="77777777" w:rsidR="00DD03E3" w:rsidRDefault="00DD03E3" w:rsidP="00DD03E3">
      <w:pPr>
        <w:spacing w:before="100" w:beforeAutospacing="1" w:after="100" w:afterAutospacing="1" w:line="240" w:lineRule="auto"/>
        <w:rPr>
          <w:rFonts w:ascii="Times New Roman" w:eastAsia="Times New Roman" w:hAnsi="Times New Roman"/>
          <w:sz w:val="24"/>
          <w:szCs w:val="24"/>
        </w:rPr>
      </w:pPr>
      <w:r w:rsidRPr="008538E8">
        <w:rPr>
          <w:rFonts w:ascii="Times New Roman" w:eastAsia="Times New Roman" w:hAnsi="Times New Roman"/>
          <w:sz w:val="24"/>
          <w:szCs w:val="24"/>
        </w:rPr>
        <w:t xml:space="preserve">On Oct. 2, 2020, in </w:t>
      </w:r>
      <w:r w:rsidRPr="008538E8">
        <w:rPr>
          <w:rFonts w:ascii="Times New Roman" w:eastAsia="Times New Roman" w:hAnsi="Times New Roman"/>
          <w:sz w:val="24"/>
          <w:szCs w:val="24"/>
          <w:u w:val="single"/>
        </w:rPr>
        <w:t>Jay Hawthorne v. City of Prattville</w:t>
      </w:r>
      <w:r w:rsidRPr="008538E8">
        <w:rPr>
          <w:rFonts w:ascii="Times New Roman" w:eastAsia="Times New Roman" w:hAnsi="Times New Roman"/>
          <w:sz w:val="24"/>
          <w:szCs w:val="24"/>
        </w:rPr>
        <w:t xml:space="preserve">, </w:t>
      </w:r>
      <w:r>
        <w:rPr>
          <w:rFonts w:ascii="Times New Roman" w:eastAsia="Times New Roman" w:hAnsi="Times New Roman"/>
          <w:sz w:val="24"/>
          <w:szCs w:val="24"/>
        </w:rPr>
        <w:t xml:space="preserve">U.S. District Court Judge R. Austin Huffaker, Jr., Northern District of Alabama, granted the City’s motion for summary judgment.  Here’s the timeline after the March 31, </w:t>
      </w:r>
      <w:proofErr w:type="gramStart"/>
      <w:r>
        <w:rPr>
          <w:rFonts w:ascii="Times New Roman" w:eastAsia="Times New Roman" w:hAnsi="Times New Roman"/>
          <w:sz w:val="24"/>
          <w:szCs w:val="24"/>
        </w:rPr>
        <w:t>2017</w:t>
      </w:r>
      <w:proofErr w:type="gramEnd"/>
      <w:r>
        <w:rPr>
          <w:rFonts w:ascii="Times New Roman" w:eastAsia="Times New Roman" w:hAnsi="Times New Roman"/>
          <w:sz w:val="24"/>
          <w:szCs w:val="24"/>
        </w:rPr>
        <w:t xml:space="preserve"> MVA:  Battalion Chief granted light duty (8-hour clerical) from Oct. 23, </w:t>
      </w:r>
      <w:proofErr w:type="gramStart"/>
      <w:r>
        <w:rPr>
          <w:rFonts w:ascii="Times New Roman" w:eastAsia="Times New Roman" w:hAnsi="Times New Roman"/>
          <w:sz w:val="24"/>
          <w:szCs w:val="24"/>
        </w:rPr>
        <w:t>2017</w:t>
      </w:r>
      <w:proofErr w:type="gramEnd"/>
      <w:r>
        <w:rPr>
          <w:rFonts w:ascii="Times New Roman" w:eastAsia="Times New Roman" w:hAnsi="Times New Roman"/>
          <w:sz w:val="24"/>
          <w:szCs w:val="24"/>
        </w:rPr>
        <w:t xml:space="preserve"> until medically cleared back to work on May 2, 2018.  That day he was re-injured in quarterly physical fitness testing; returned to work May 20, 2018 (15-pound lifting restriction), and City put him back to 24-hour shift; he was denied 8-hour shift and given his continuing physical limitations, on Aug. 15, 2018 he was removed from active service, to go on worker’s comp (retired Sept. 17, 2019).</w:t>
      </w:r>
    </w:p>
    <w:p w14:paraId="17AB11DE" w14:textId="77777777" w:rsidR="00DD03E3" w:rsidRDefault="00DD03E3" w:rsidP="00DD03E3">
      <w:pPr>
        <w:tabs>
          <w:tab w:val="left" w:pos="3000"/>
        </w:tabs>
        <w:spacing w:before="100" w:beforeAutospacing="1" w:after="100" w:afterAutospacing="1" w:line="240" w:lineRule="auto"/>
        <w:ind w:left="720"/>
        <w:rPr>
          <w:rFonts w:ascii="Times New Roman" w:eastAsia="Times New Roman" w:hAnsi="Times New Roman"/>
          <w:b/>
          <w:bCs/>
          <w:sz w:val="24"/>
          <w:szCs w:val="24"/>
        </w:rPr>
      </w:pPr>
      <w:r>
        <w:rPr>
          <w:rFonts w:ascii="Times New Roman" w:eastAsia="Times New Roman" w:hAnsi="Times New Roman"/>
          <w:sz w:val="24"/>
          <w:szCs w:val="24"/>
        </w:rPr>
        <w:t xml:space="preserve"> “[A]n </w:t>
      </w:r>
      <w:r w:rsidRPr="00FF23B7">
        <w:rPr>
          <w:rFonts w:ascii="Times New Roman" w:hAnsi="Times New Roman"/>
          <w:sz w:val="24"/>
          <w:szCs w:val="24"/>
        </w:rPr>
        <w:t xml:space="preserve">employer is not obligated to </w:t>
      </w:r>
      <w:r>
        <w:rPr>
          <w:rFonts w:ascii="Times New Roman" w:hAnsi="Times New Roman"/>
          <w:sz w:val="24"/>
          <w:szCs w:val="24"/>
        </w:rPr>
        <w:t>‘</w:t>
      </w:r>
      <w:r w:rsidRPr="00FF23B7">
        <w:rPr>
          <w:rFonts w:ascii="Times New Roman" w:hAnsi="Times New Roman"/>
          <w:sz w:val="24"/>
          <w:szCs w:val="24"/>
        </w:rPr>
        <w:t>bump</w:t>
      </w:r>
      <w:r>
        <w:rPr>
          <w:rFonts w:ascii="Times New Roman" w:hAnsi="Times New Roman"/>
          <w:sz w:val="24"/>
          <w:szCs w:val="24"/>
        </w:rPr>
        <w:t>’</w:t>
      </w:r>
      <w:r w:rsidRPr="00FF23B7">
        <w:rPr>
          <w:rFonts w:ascii="Times New Roman" w:hAnsi="Times New Roman"/>
          <w:sz w:val="24"/>
          <w:szCs w:val="24"/>
        </w:rPr>
        <w:t xml:space="preserve"> another employee from a position to accommodate a disabled employee. </w:t>
      </w:r>
      <w:r w:rsidRPr="00FF23B7">
        <w:rPr>
          <w:rFonts w:ascii="Times New Roman" w:hAnsi="Times New Roman"/>
          <w:i/>
          <w:iCs/>
          <w:sz w:val="24"/>
          <w:szCs w:val="24"/>
        </w:rPr>
        <w:t>Lucas</w:t>
      </w:r>
      <w:r w:rsidRPr="00FF23B7">
        <w:rPr>
          <w:rFonts w:ascii="Times New Roman" w:hAnsi="Times New Roman"/>
          <w:sz w:val="24"/>
          <w:szCs w:val="24"/>
        </w:rPr>
        <w:t xml:space="preserve">, 257 F.3d at 1256. Nor is an employer required to create a new position for an employee. </w:t>
      </w:r>
      <w:r w:rsidRPr="00FF23B7">
        <w:rPr>
          <w:rFonts w:ascii="Times New Roman" w:hAnsi="Times New Roman"/>
          <w:i/>
          <w:iCs/>
          <w:sz w:val="24"/>
          <w:szCs w:val="24"/>
        </w:rPr>
        <w:t>Boyle v</w:t>
      </w:r>
      <w:r w:rsidRPr="00FF23B7">
        <w:rPr>
          <w:rFonts w:ascii="Times New Roman" w:hAnsi="Times New Roman"/>
          <w:sz w:val="24"/>
          <w:szCs w:val="24"/>
        </w:rPr>
        <w:t xml:space="preserve">. </w:t>
      </w:r>
      <w:r w:rsidRPr="00FF23B7">
        <w:rPr>
          <w:rFonts w:ascii="Times New Roman" w:hAnsi="Times New Roman"/>
          <w:i/>
          <w:iCs/>
          <w:sz w:val="24"/>
          <w:szCs w:val="24"/>
        </w:rPr>
        <w:t>City of Pell City</w:t>
      </w:r>
      <w:r w:rsidRPr="00FF23B7">
        <w:rPr>
          <w:rFonts w:ascii="Times New Roman" w:hAnsi="Times New Roman"/>
          <w:sz w:val="24"/>
          <w:szCs w:val="24"/>
        </w:rPr>
        <w:t xml:space="preserve">, 866 F.3d 1280, 1289 (11th Cir. 2017); </w:t>
      </w:r>
      <w:r w:rsidRPr="00FF23B7">
        <w:rPr>
          <w:rFonts w:ascii="Times New Roman" w:hAnsi="Times New Roman"/>
          <w:i/>
          <w:iCs/>
          <w:sz w:val="24"/>
          <w:szCs w:val="24"/>
        </w:rPr>
        <w:t>Sutton v</w:t>
      </w:r>
      <w:r w:rsidRPr="00FF23B7">
        <w:rPr>
          <w:rFonts w:ascii="Times New Roman" w:hAnsi="Times New Roman"/>
          <w:sz w:val="24"/>
          <w:szCs w:val="24"/>
        </w:rPr>
        <w:t xml:space="preserve">. </w:t>
      </w:r>
      <w:r w:rsidRPr="00FF23B7">
        <w:rPr>
          <w:rFonts w:ascii="Times New Roman" w:hAnsi="Times New Roman"/>
          <w:i/>
          <w:iCs/>
          <w:sz w:val="24"/>
          <w:szCs w:val="24"/>
        </w:rPr>
        <w:t>Lader</w:t>
      </w:r>
      <w:r w:rsidRPr="00FF23B7">
        <w:rPr>
          <w:rFonts w:ascii="Times New Roman" w:hAnsi="Times New Roman"/>
          <w:sz w:val="24"/>
          <w:szCs w:val="24"/>
        </w:rPr>
        <w:t xml:space="preserve">, 185 F.3d 1203, 1210-11 (11th Cir. 1999) (an employer </w:t>
      </w:r>
      <w:r>
        <w:rPr>
          <w:rFonts w:ascii="Times New Roman" w:hAnsi="Times New Roman"/>
          <w:sz w:val="24"/>
          <w:szCs w:val="24"/>
        </w:rPr>
        <w:t>‘</w:t>
      </w:r>
      <w:r w:rsidRPr="00FF23B7">
        <w:rPr>
          <w:rFonts w:ascii="Times New Roman" w:hAnsi="Times New Roman"/>
          <w:sz w:val="24"/>
          <w:szCs w:val="24"/>
        </w:rPr>
        <w:t>is under no obligation to hire an employee for a non-existent job,</w:t>
      </w:r>
      <w:r>
        <w:rPr>
          <w:rFonts w:ascii="Times New Roman" w:hAnsi="Times New Roman"/>
          <w:sz w:val="24"/>
          <w:szCs w:val="24"/>
        </w:rPr>
        <w:t>’</w:t>
      </w:r>
      <w:r w:rsidRPr="00FF23B7">
        <w:rPr>
          <w:rFonts w:ascii="Times New Roman" w:hAnsi="Times New Roman"/>
          <w:sz w:val="24"/>
          <w:szCs w:val="24"/>
        </w:rPr>
        <w:t xml:space="preserve"> nor is it required to create a light-duty position for a disabled employee).</w:t>
      </w:r>
      <w:r w:rsidRPr="00FF23B7">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 </w:t>
      </w:r>
    </w:p>
    <w:p w14:paraId="18D9323D" w14:textId="77777777" w:rsidR="00DD03E3" w:rsidRDefault="00DD03E3" w:rsidP="00DD03E3">
      <w:pPr>
        <w:tabs>
          <w:tab w:val="left" w:pos="3000"/>
        </w:tabs>
        <w:spacing w:before="100" w:beforeAutospacing="1" w:after="100" w:afterAutospacing="1" w:line="240" w:lineRule="auto"/>
        <w:ind w:left="720"/>
        <w:rPr>
          <w:rFonts w:ascii="Times New Roman" w:eastAsia="Times New Roman" w:hAnsi="Times New Roman"/>
          <w:b/>
          <w:bCs/>
          <w:sz w:val="24"/>
          <w:szCs w:val="24"/>
        </w:rPr>
      </w:pPr>
      <w:r>
        <w:rPr>
          <w:rFonts w:ascii="Times New Roman" w:eastAsia="Times New Roman" w:hAnsi="Times New Roman"/>
          <w:b/>
          <w:bCs/>
          <w:sz w:val="24"/>
          <w:szCs w:val="24"/>
        </w:rPr>
        <w:t>***</w:t>
      </w:r>
    </w:p>
    <w:p w14:paraId="5F6917AA" w14:textId="77777777" w:rsidR="00DD03E3" w:rsidRPr="00371299" w:rsidRDefault="00DD03E3" w:rsidP="00DD03E3">
      <w:pPr>
        <w:tabs>
          <w:tab w:val="left" w:pos="3000"/>
        </w:tabs>
        <w:spacing w:before="100" w:beforeAutospacing="1" w:after="100" w:afterAutospacing="1" w:line="240" w:lineRule="auto"/>
        <w:ind w:left="720"/>
        <w:rPr>
          <w:rFonts w:ascii="Times New Roman" w:eastAsia="Times New Roman" w:hAnsi="Times New Roman"/>
          <w:b/>
          <w:bCs/>
          <w:sz w:val="24"/>
          <w:szCs w:val="24"/>
        </w:rPr>
      </w:pPr>
      <w:r w:rsidRPr="00371299">
        <w:rPr>
          <w:rFonts w:ascii="Times New Roman" w:eastAsia="Times New Roman" w:hAnsi="Times New Roman"/>
          <w:sz w:val="24"/>
          <w:szCs w:val="24"/>
        </w:rPr>
        <w:t xml:space="preserve">The Court concludes that working a 24-hour shift is an essential function of the battalion chief position within the City's fire department. As Hawthorne admits, the fire department required a battalion chief to </w:t>
      </w:r>
      <w:proofErr w:type="gramStart"/>
      <w:r w:rsidRPr="00371299">
        <w:rPr>
          <w:rFonts w:ascii="Times New Roman" w:eastAsia="Times New Roman" w:hAnsi="Times New Roman"/>
          <w:sz w:val="24"/>
          <w:szCs w:val="24"/>
        </w:rPr>
        <w:t>be on-duty at all times</w:t>
      </w:r>
      <w:proofErr w:type="gramEnd"/>
      <w:r w:rsidRPr="00371299">
        <w:rPr>
          <w:rFonts w:ascii="Times New Roman" w:eastAsia="Times New Roman" w:hAnsi="Times New Roman"/>
          <w:sz w:val="24"/>
          <w:szCs w:val="24"/>
        </w:rPr>
        <w:t>, and all battalion chiefs and most other fire department personnel worked 24-hour shifts. As such, for Hawthorne to work only a daily 8-hour shift, compared to the 24-hour shifts required of all the other battalion chiefs, there would be a disruption</w:t>
      </w:r>
      <w:r>
        <w:rPr>
          <w:rFonts w:ascii="Times New Roman" w:eastAsia="Times New Roman" w:hAnsi="Times New Roman"/>
          <w:sz w:val="24"/>
          <w:szCs w:val="24"/>
        </w:rPr>
        <w:t xml:space="preserve"> </w:t>
      </w:r>
      <w:r w:rsidRPr="00371299">
        <w:rPr>
          <w:rFonts w:ascii="Times New Roman" w:eastAsia="Times New Roman" w:hAnsi="Times New Roman"/>
          <w:sz w:val="24"/>
          <w:szCs w:val="24"/>
        </w:rPr>
        <w:t>of the shift rotation of the other battalion chiefs who would have to cover Hawthorne's overnight hours in addition to their own, or alternatively, the City would have had to hire an additional battalion chief.</w:t>
      </w:r>
      <w:r>
        <w:rPr>
          <w:rFonts w:ascii="Times New Roman" w:eastAsia="Times New Roman" w:hAnsi="Times New Roman"/>
          <w:sz w:val="24"/>
          <w:szCs w:val="24"/>
        </w:rPr>
        <w:t xml:space="preserve">” </w:t>
      </w:r>
      <w:hyperlink r:id="rId1637" w:history="1">
        <w:r w:rsidRPr="00987F62">
          <w:rPr>
            <w:rStyle w:val="Hyperlink"/>
            <w:rFonts w:ascii="Times New Roman" w:eastAsia="Times New Roman" w:hAnsi="Times New Roman"/>
            <w:sz w:val="24"/>
            <w:szCs w:val="24"/>
          </w:rPr>
          <w:t>https://public.fastcase.com/Wl%2B2t%2BeVuI35%2FN70vAMFZtupy9a3EvXpG9ydLD29CKGnkdsXWzWbFQljc8xBD5GU</w:t>
        </w:r>
      </w:hyperlink>
      <w:r>
        <w:rPr>
          <w:rFonts w:ascii="Times New Roman" w:eastAsia="Times New Roman" w:hAnsi="Times New Roman"/>
          <w:sz w:val="24"/>
          <w:szCs w:val="24"/>
        </w:rPr>
        <w:t xml:space="preserve"> </w:t>
      </w:r>
    </w:p>
    <w:p w14:paraId="2F4E9042" w14:textId="77777777" w:rsidR="00DD03E3" w:rsidRPr="00DE77F1" w:rsidRDefault="00DD03E3" w:rsidP="00DD03E3">
      <w:pPr>
        <w:spacing w:before="100" w:beforeAutospacing="1" w:after="100" w:afterAutospacing="1" w:line="240" w:lineRule="auto"/>
        <w:rPr>
          <w:rFonts w:ascii="Times New Roman" w:eastAsia="Times New Roman" w:hAnsi="Times New Roman"/>
          <w:b/>
          <w:bCs/>
          <w:sz w:val="24"/>
          <w:szCs w:val="24"/>
        </w:rPr>
      </w:pPr>
      <w:r w:rsidRPr="00DE3455">
        <w:rPr>
          <w:rFonts w:ascii="Times New Roman" w:hAnsi="Times New Roman"/>
          <w:b/>
          <w:bCs/>
          <w:sz w:val="24"/>
          <w:szCs w:val="24"/>
        </w:rPr>
        <w:t>Legal Lesson Learned:</w:t>
      </w:r>
      <w:r>
        <w:rPr>
          <w:rFonts w:ascii="Times New Roman" w:hAnsi="Times New Roman"/>
          <w:b/>
          <w:bCs/>
          <w:sz w:val="24"/>
          <w:szCs w:val="24"/>
        </w:rPr>
        <w:t xml:space="preserve"> Under ADA, an employee’s inability to perform the job duties serves as a legitimate, non-discriminatory reason for termination. </w:t>
      </w:r>
    </w:p>
    <w:p w14:paraId="557B80AE" w14:textId="77777777" w:rsidR="00DD03E3" w:rsidRDefault="00DD03E3" w:rsidP="005C30A4">
      <w:pPr>
        <w:pStyle w:val="NoSpacing"/>
        <w:rPr>
          <w:rFonts w:ascii="Arial Black" w:hAnsi="Arial Black"/>
          <w:b/>
          <w:sz w:val="24"/>
          <w:szCs w:val="24"/>
        </w:rPr>
      </w:pPr>
    </w:p>
    <w:p w14:paraId="5D814A79" w14:textId="77777777" w:rsidR="00DD03E3" w:rsidRDefault="00DD03E3" w:rsidP="005C30A4">
      <w:pPr>
        <w:pStyle w:val="NoSpacing"/>
        <w:rPr>
          <w:rFonts w:ascii="Arial Black" w:hAnsi="Arial Black"/>
          <w:b/>
          <w:sz w:val="24"/>
          <w:szCs w:val="24"/>
        </w:rPr>
      </w:pPr>
    </w:p>
    <w:p w14:paraId="237A6548" w14:textId="77777777" w:rsidR="00DD03E3" w:rsidRDefault="00DD03E3" w:rsidP="005C30A4">
      <w:pPr>
        <w:pStyle w:val="NoSpacing"/>
        <w:rPr>
          <w:rFonts w:ascii="Arial Black" w:hAnsi="Arial Black"/>
          <w:b/>
          <w:sz w:val="24"/>
          <w:szCs w:val="24"/>
        </w:rPr>
      </w:pPr>
    </w:p>
    <w:p w14:paraId="4543480C" w14:textId="4412E224" w:rsidR="00F824FE" w:rsidRDefault="00F824FE" w:rsidP="005C30A4">
      <w:pPr>
        <w:pStyle w:val="NoSpacing"/>
        <w:rPr>
          <w:rFonts w:ascii="Arial Black" w:hAnsi="Arial Black"/>
          <w:b/>
          <w:sz w:val="24"/>
          <w:szCs w:val="24"/>
        </w:rPr>
      </w:pPr>
      <w:r>
        <w:rPr>
          <w:rFonts w:ascii="Arial Black" w:hAnsi="Arial Black"/>
          <w:b/>
          <w:sz w:val="24"/>
          <w:szCs w:val="24"/>
        </w:rPr>
        <w:t>9-15</w:t>
      </w:r>
    </w:p>
    <w:p w14:paraId="739E75DD" w14:textId="77777777" w:rsidR="00F824FE" w:rsidRPr="007E1736" w:rsidRDefault="00F824FE" w:rsidP="00F824FE">
      <w:pPr>
        <w:pStyle w:val="NormalWeb"/>
        <w:rPr>
          <w:rFonts w:ascii="Arial Black" w:hAnsi="Arial Black"/>
          <w:sz w:val="28"/>
          <w:szCs w:val="28"/>
        </w:rPr>
      </w:pPr>
      <w:r>
        <w:rPr>
          <w:rFonts w:ascii="Arial Black" w:hAnsi="Arial Black"/>
          <w:sz w:val="28"/>
          <w:szCs w:val="28"/>
        </w:rPr>
        <w:t>MA: FF RETIRED DISABILITY – CFH / HEARING LOSS – SEEKS JOB BACK WITH “AGE-ADJUSTED” HEARING TEST – TRIAL JUDGE TO REVIEW</w:t>
      </w:r>
    </w:p>
    <w:p w14:paraId="211C9826" w14:textId="77777777" w:rsidR="00F824FE" w:rsidRDefault="00F824FE" w:rsidP="00F824FE">
      <w:pPr>
        <w:pStyle w:val="NormalWeb"/>
      </w:pPr>
      <w:r>
        <w:t xml:space="preserve">On Sept. 29, 2020, in </w:t>
      </w:r>
      <w:r w:rsidRPr="003A1F5A">
        <w:rPr>
          <w:u w:val="single"/>
        </w:rPr>
        <w:t>John Rodrigues v. Public Employee Retirement Administration Commission,</w:t>
      </w:r>
      <w:r>
        <w:t xml:space="preserve"> the Appeals Court of Massachusetts held (3 to 0) that firefighter’s reinstatement was properly denied because of his heart condition, but case remanded to trial court to decide if the Commonwealth’s Human Resources Division [HRD] requirement that FF must past the hearing standard for new hires, not “age-adjusted” standards, is lawful. </w:t>
      </w:r>
    </w:p>
    <w:p w14:paraId="61059CD4" w14:textId="77777777" w:rsidR="00F824FE" w:rsidRPr="007E1736" w:rsidRDefault="00F824FE" w:rsidP="00F824FE">
      <w:pPr>
        <w:pStyle w:val="NormalWeb"/>
        <w:ind w:left="720"/>
      </w:pPr>
      <w:r>
        <w:t xml:space="preserve">In addition to his claims for reinstatement or damages, Rodrigues also brought claims seeking declaratory relief -- in particular, count one seeks, among other things, a determination that PERAC should apply age-adjusted, in-service health and fitness standards in determining restoration to service under c. 32, § 8, and count two specifically seeks a declaration that PERAC violated G. L. c. 31, § 61A, by failing to employ such age-adjusted hearing standards. </w:t>
      </w:r>
      <w:r w:rsidRPr="007E1736">
        <w:t>These claims should not have been dismissed. They raise primarily questions of law that could well arise in any of Rodrigues's future reinstatement evaluations (which under G. L. c. 32, § 8 [1] [</w:t>
      </w:r>
      <w:r w:rsidRPr="007E1736">
        <w:rPr>
          <w:u w:val="single"/>
        </w:rPr>
        <w:t>a</w:t>
      </w:r>
      <w:r w:rsidRPr="007E1736">
        <w:t>], are to occur at least every three years), not to mention those of other firefighters and police officers on disability retirement. The legal questions implicate the requirements of the two above-mentioned statutes, and how those statutes interrelate. Answering them also will require analysis</w:t>
      </w:r>
      <w:r>
        <w:t xml:space="preserve"> </w:t>
      </w:r>
      <w:r w:rsidRPr="007E1736">
        <w:t xml:space="preserve">of a 2016 regulation issued by PERAC, discussed </w:t>
      </w:r>
      <w:r w:rsidRPr="007E1736">
        <w:rPr>
          <w:u w:val="single"/>
        </w:rPr>
        <w:t>infra</w:t>
      </w:r>
      <w:r w:rsidRPr="007E1736">
        <w:t>. The issue is appropriate for declaratory relief.</w:t>
      </w:r>
      <w:r>
        <w:t xml:space="preserve">”  </w:t>
      </w:r>
      <w:hyperlink r:id="rId1638" w:history="1">
        <w:r w:rsidRPr="00D550EA">
          <w:rPr>
            <w:rStyle w:val="Hyperlink"/>
          </w:rPr>
          <w:t>https://www.mass.gov/files/documents/2020/09/29/q19P0676.pdf</w:t>
        </w:r>
      </w:hyperlink>
      <w:r>
        <w:t xml:space="preserve"> </w:t>
      </w:r>
    </w:p>
    <w:p w14:paraId="5374664E" w14:textId="77777777" w:rsidR="00B532F6" w:rsidRPr="00980A0C" w:rsidRDefault="00B532F6" w:rsidP="00B532F6">
      <w:pPr>
        <w:tabs>
          <w:tab w:val="left" w:pos="3689"/>
        </w:tabs>
        <w:spacing w:before="100" w:beforeAutospacing="1" w:after="100" w:afterAutospacing="1" w:line="240" w:lineRule="auto"/>
        <w:rPr>
          <w:rFonts w:ascii="Times New Roman" w:eastAsia="Times New Roman" w:hAnsi="Times New Roman"/>
          <w:b/>
          <w:bCs/>
          <w:sz w:val="24"/>
          <w:szCs w:val="24"/>
        </w:rPr>
      </w:pPr>
      <w:r w:rsidRPr="00980A0C">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Will be interesting to see if the Trial Court, and the Court of Appeals, eventually holds that hearing standards for firefighters and police officers seeking reinstatement can be “age adjusted.” </w:t>
      </w:r>
    </w:p>
    <w:p w14:paraId="33858E5C" w14:textId="77777777" w:rsidR="00B532F6" w:rsidRPr="00980A0C" w:rsidRDefault="00B532F6" w:rsidP="00B532F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OSHA Guidance: </w:t>
      </w:r>
      <w:r w:rsidRPr="00980A0C">
        <w:rPr>
          <w:rFonts w:ascii="Times New Roman" w:hAnsi="Times New Roman"/>
          <w:sz w:val="24"/>
          <w:szCs w:val="24"/>
        </w:rPr>
        <w:t>1910.95 App F - Calculations and application of age corrections to audiograms</w:t>
      </w:r>
      <w:r>
        <w:rPr>
          <w:rFonts w:ascii="Times New Roman" w:hAnsi="Times New Roman"/>
          <w:sz w:val="24"/>
          <w:szCs w:val="24"/>
        </w:rPr>
        <w:t>:</w:t>
      </w:r>
    </w:p>
    <w:p w14:paraId="25B338F7" w14:textId="77777777" w:rsidR="00B532F6" w:rsidRPr="00980A0C" w:rsidRDefault="00B532F6" w:rsidP="00B532F6">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980A0C">
        <w:rPr>
          <w:rFonts w:ascii="Times New Roman" w:hAnsi="Times New Roman"/>
          <w:sz w:val="24"/>
          <w:szCs w:val="24"/>
        </w:rPr>
        <w:t xml:space="preserve">In determining whether a standard threshold shift has occurred, allowance may be made for the contribution of aging to the change in hearing level by adjusting the most recent audiogram. If the employer chooses to adjust the audiogram, the employer shall follow the procedure described below. This procedure and the age correction tables were developed by the National Institute for Occupational Safety and Health in the criteria document entitled </w:t>
      </w:r>
      <w:r>
        <w:rPr>
          <w:rFonts w:ascii="Times New Roman" w:hAnsi="Times New Roman"/>
          <w:sz w:val="24"/>
          <w:szCs w:val="24"/>
        </w:rPr>
        <w:t>‘</w:t>
      </w:r>
      <w:r w:rsidRPr="00980A0C">
        <w:rPr>
          <w:rFonts w:ascii="Times New Roman" w:hAnsi="Times New Roman"/>
          <w:sz w:val="24"/>
          <w:szCs w:val="24"/>
        </w:rPr>
        <w:t>Criteria for a Recommended Standard . . . Occupational Exposure to Noise,</w:t>
      </w:r>
      <w:r>
        <w:rPr>
          <w:rFonts w:ascii="Times New Roman" w:hAnsi="Times New Roman"/>
          <w:sz w:val="24"/>
          <w:szCs w:val="24"/>
        </w:rPr>
        <w:t>’</w:t>
      </w:r>
      <w:r w:rsidRPr="00980A0C">
        <w:rPr>
          <w:rFonts w:ascii="Times New Roman" w:hAnsi="Times New Roman"/>
          <w:sz w:val="24"/>
          <w:szCs w:val="24"/>
        </w:rPr>
        <w:t xml:space="preserve"> ((HSM)-11001).</w:t>
      </w:r>
      <w:r>
        <w:rPr>
          <w:rFonts w:ascii="Times New Roman" w:hAnsi="Times New Roman"/>
          <w:sz w:val="24"/>
          <w:szCs w:val="24"/>
        </w:rPr>
        <w:t xml:space="preserve">” </w:t>
      </w:r>
      <w:hyperlink r:id="rId1639" w:history="1">
        <w:r w:rsidRPr="00D550EA">
          <w:rPr>
            <w:rStyle w:val="Hyperlink"/>
            <w:rFonts w:ascii="Times New Roman" w:hAnsi="Times New Roman"/>
            <w:sz w:val="24"/>
            <w:szCs w:val="24"/>
          </w:rPr>
          <w:t>https://www.osha.gov/laws-regs/regulations/standardnumber/1910/1910.95AppF</w:t>
        </w:r>
      </w:hyperlink>
      <w:r>
        <w:rPr>
          <w:rFonts w:ascii="Times New Roman" w:hAnsi="Times New Roman"/>
          <w:sz w:val="24"/>
          <w:szCs w:val="24"/>
        </w:rPr>
        <w:t xml:space="preserve"> </w:t>
      </w:r>
    </w:p>
    <w:p w14:paraId="679D1187" w14:textId="77777777" w:rsidR="00B532F6" w:rsidRDefault="00B532F6" w:rsidP="00B532F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See also: IAFF’s “Fire Department Guide to Implementing NFPA 1582,” </w:t>
      </w:r>
      <w:hyperlink r:id="rId1640" w:history="1">
        <w:r w:rsidRPr="00D550EA">
          <w:rPr>
            <w:rStyle w:val="Hyperlink"/>
            <w:rFonts w:ascii="Times New Roman" w:eastAsia="Times New Roman" w:hAnsi="Times New Roman"/>
            <w:sz w:val="24"/>
            <w:szCs w:val="24"/>
          </w:rPr>
          <w:t>https://www.iafc.org/docs/default-source/1vcos/vws_rrkit_nfpa-1582.pdf?sfvrsn=ca9b9f0d_2</w:t>
        </w:r>
      </w:hyperlink>
      <w:r>
        <w:rPr>
          <w:rFonts w:ascii="Times New Roman" w:eastAsia="Times New Roman" w:hAnsi="Times New Roman"/>
          <w:sz w:val="24"/>
          <w:szCs w:val="24"/>
        </w:rPr>
        <w:t xml:space="preserve"> </w:t>
      </w:r>
    </w:p>
    <w:p w14:paraId="6100B7F7" w14:textId="0FB651EB" w:rsidR="00F824FE" w:rsidRPr="00B532F6" w:rsidRDefault="00B532F6" w:rsidP="00B532F6">
      <w:pPr>
        <w:pStyle w:val="NoSpacing"/>
        <w:ind w:left="720"/>
        <w:rPr>
          <w:rFonts w:ascii="Times New Roman" w:hAnsi="Times New Roman"/>
          <w:b/>
          <w:sz w:val="24"/>
          <w:szCs w:val="24"/>
        </w:rPr>
      </w:pPr>
      <w:r w:rsidRPr="00B532F6">
        <w:rPr>
          <w:rFonts w:ascii="Times New Roman" w:hAnsi="Times New Roman"/>
          <w:sz w:val="24"/>
          <w:szCs w:val="24"/>
        </w:rPr>
        <w:t>See also EEOC Guidance: “</w:t>
      </w:r>
      <w:r w:rsidRPr="00B532F6">
        <w:rPr>
          <w:rStyle w:val="field"/>
          <w:rFonts w:ascii="Times New Roman" w:eastAsiaTheme="majorEastAsia" w:hAnsi="Times New Roman"/>
          <w:sz w:val="24"/>
          <w:szCs w:val="24"/>
        </w:rPr>
        <w:t>Deafness and Hearing Impairments in the Workplace and the Americans with Disabilities Act.” “</w:t>
      </w:r>
      <w:r w:rsidRPr="00B532F6">
        <w:rPr>
          <w:rFonts w:ascii="Times New Roman" w:hAnsi="Times New Roman"/>
          <w:sz w:val="24"/>
          <w:szCs w:val="24"/>
        </w:rPr>
        <w:t xml:space="preserve">An employer only may exclude an individual with a hearing impairment from a job for safety reasons when the individual poses a direct threat. A ‘direct threat’ is a significant risk of substantial harm to the individual or others that cannot be eliminated or reduced through reasonable accommodation. This determination must be based on objective, factual evidence, including the best recent medical </w:t>
      </w:r>
      <w:proofErr w:type="gramStart"/>
      <w:r w:rsidRPr="00B532F6">
        <w:rPr>
          <w:rFonts w:ascii="Times New Roman" w:hAnsi="Times New Roman"/>
          <w:sz w:val="24"/>
          <w:szCs w:val="24"/>
        </w:rPr>
        <w:t>evidence.”</w:t>
      </w:r>
      <w:proofErr w:type="gramEnd"/>
      <w:r w:rsidRPr="00B532F6">
        <w:rPr>
          <w:rFonts w:ascii="Times New Roman" w:hAnsi="Times New Roman"/>
          <w:sz w:val="24"/>
          <w:szCs w:val="24"/>
        </w:rPr>
        <w:t xml:space="preserve"> </w:t>
      </w:r>
      <w:hyperlink r:id="rId1641" w:history="1">
        <w:r w:rsidRPr="00B532F6">
          <w:rPr>
            <w:rStyle w:val="Hyperlink"/>
            <w:rFonts w:ascii="Times New Roman" w:hAnsi="Times New Roman"/>
            <w:sz w:val="24"/>
            <w:szCs w:val="24"/>
          </w:rPr>
          <w:t>https://www.eeoc.gov/laws/guidance/deafness-and-hearing-impairments-workplace-and-americans-disabilities-act</w:t>
        </w:r>
      </w:hyperlink>
    </w:p>
    <w:p w14:paraId="10F409A7" w14:textId="77777777" w:rsidR="00F824FE" w:rsidRDefault="00F824FE" w:rsidP="005C30A4">
      <w:pPr>
        <w:pStyle w:val="NoSpacing"/>
        <w:rPr>
          <w:rFonts w:ascii="Arial Black" w:hAnsi="Arial Black"/>
          <w:b/>
          <w:sz w:val="24"/>
          <w:szCs w:val="24"/>
        </w:rPr>
      </w:pPr>
    </w:p>
    <w:p w14:paraId="42EC4CD1" w14:textId="77777777" w:rsidR="00F824FE" w:rsidRDefault="00F824FE" w:rsidP="005C30A4">
      <w:pPr>
        <w:pStyle w:val="NoSpacing"/>
        <w:rPr>
          <w:rFonts w:ascii="Arial Black" w:hAnsi="Arial Black"/>
          <w:b/>
          <w:sz w:val="24"/>
          <w:szCs w:val="24"/>
        </w:rPr>
      </w:pPr>
    </w:p>
    <w:p w14:paraId="366CCB0E" w14:textId="7D23010D" w:rsidR="00F824FE" w:rsidRDefault="00F824FE" w:rsidP="005C30A4">
      <w:pPr>
        <w:pStyle w:val="NoSpacing"/>
        <w:rPr>
          <w:rFonts w:ascii="Arial Black" w:hAnsi="Arial Black"/>
          <w:b/>
          <w:sz w:val="24"/>
          <w:szCs w:val="24"/>
        </w:rPr>
      </w:pPr>
      <w:r>
        <w:rPr>
          <w:rFonts w:ascii="Arial Black" w:hAnsi="Arial Black"/>
          <w:b/>
          <w:sz w:val="24"/>
          <w:szCs w:val="24"/>
        </w:rPr>
        <w:t>9-14</w:t>
      </w:r>
    </w:p>
    <w:p w14:paraId="6735E77D" w14:textId="77777777" w:rsidR="00F824FE" w:rsidRPr="00ED5C13" w:rsidRDefault="00F824FE" w:rsidP="00F824FE">
      <w:pPr>
        <w:pStyle w:val="NormalWeb"/>
        <w:rPr>
          <w:rFonts w:ascii="Arial Black" w:hAnsi="Arial Black"/>
          <w:b/>
          <w:bCs/>
          <w:sz w:val="28"/>
          <w:szCs w:val="28"/>
        </w:rPr>
      </w:pPr>
      <w:r>
        <w:rPr>
          <w:rFonts w:ascii="Arial Black" w:hAnsi="Arial Black"/>
          <w:b/>
          <w:bCs/>
          <w:sz w:val="28"/>
          <w:szCs w:val="28"/>
        </w:rPr>
        <w:t>LA: FF HEARING LOSS – REIMBURSED FOR HEARING AIDS – BUT NO ENTITLED TO DISABILITY PAYMENTS – NOT “SINGLE ACCIDENT”</w:t>
      </w:r>
    </w:p>
    <w:p w14:paraId="19FE875F" w14:textId="77777777" w:rsidR="00F824FE" w:rsidRDefault="00F824FE" w:rsidP="00F824FE">
      <w:pPr>
        <w:pStyle w:val="NormalWeb"/>
      </w:pPr>
      <w:r w:rsidRPr="00ED5C13">
        <w:t xml:space="preserve">On </w:t>
      </w:r>
      <w:r>
        <w:t xml:space="preserve">Sept. 22, 2020, in </w:t>
      </w:r>
      <w:r w:rsidRPr="0087261C">
        <w:rPr>
          <w:u w:val="single"/>
        </w:rPr>
        <w:t>Glenn Hankel v. Jefferson Parish Fire Department</w:t>
      </w:r>
      <w:r>
        <w:t>, the Fifth Circuit Court of Appeal of State of Louisiana, held (2 to 1) that while the fire department reimbursed the retired firefighter for cost of hearing aids based on LA firefighter statutory presumption statute, he was not entitled to permanent partial disability payments [which would be 66 2/3</w:t>
      </w:r>
      <w:r w:rsidRPr="00D038AA">
        <w:rPr>
          <w:vertAlign w:val="superscript"/>
        </w:rPr>
        <w:t>rd</w:t>
      </w:r>
      <w:r>
        <w:t xml:space="preserve"> weekly wages, up to 100 weeks] since the LA statute only applies to disabilities caused by a single accident. </w:t>
      </w:r>
    </w:p>
    <w:p w14:paraId="549BFCA3" w14:textId="77777777" w:rsidR="00F824FE" w:rsidRDefault="00F824FE" w:rsidP="00F824FE">
      <w:pPr>
        <w:pStyle w:val="NormalWeb"/>
        <w:ind w:left="720"/>
        <w:rPr>
          <w:b/>
          <w:bCs/>
        </w:rPr>
      </w:pPr>
      <w:r>
        <w:t xml:space="preserve">“In the instant case, there is no dispute that Mr. Hankel's hearing loss was gradual and not the result of a single accident or event. The plain language of La. R.S. 23:1221(4)(p) only provides benefits for permanent hearing losses resulting solely from a single traumatic accident. Accordingly, after a </w:t>
      </w:r>
      <w:r>
        <w:rPr>
          <w:i/>
          <w:iCs/>
        </w:rPr>
        <w:t>de novo</w:t>
      </w:r>
      <w:r>
        <w:t xml:space="preserve"> review of the record, we find that there is no genuine issue as to material fact and that the JPFD is entitled to judgment as a matter of law. Thus, we find no error in the trial court's ruling that Mr. Hankel is not entitled to permanent partial disability benefits for his hearing loss.  </w:t>
      </w:r>
      <w:hyperlink r:id="rId1642" w:history="1">
        <w:r w:rsidRPr="002F1E28">
          <w:rPr>
            <w:rStyle w:val="Hyperlink"/>
          </w:rPr>
          <w:t>https://law.justia.com/cases/louisiana/fifth-circuit-court-of-appeal/2020/19-ca-613.html</w:t>
        </w:r>
      </w:hyperlink>
      <w:r>
        <w:t xml:space="preserve"> </w:t>
      </w:r>
    </w:p>
    <w:p w14:paraId="69D8D625" w14:textId="77777777" w:rsidR="00F824FE" w:rsidRPr="00C30645" w:rsidRDefault="00F824FE" w:rsidP="00F824FE">
      <w:pPr>
        <w:spacing w:after="100" w:line="240" w:lineRule="auto"/>
        <w:rPr>
          <w:rFonts w:ascii="Times New Roman" w:eastAsia="Times New Roman" w:hAnsi="Times New Roman"/>
          <w:b/>
          <w:bCs/>
          <w:sz w:val="24"/>
          <w:szCs w:val="24"/>
        </w:rPr>
      </w:pPr>
      <w:r w:rsidRPr="00C30645">
        <w:rPr>
          <w:rFonts w:ascii="Times New Roman" w:hAnsi="Times New Roman"/>
          <w:b/>
          <w:bCs/>
          <w:sz w:val="24"/>
          <w:szCs w:val="24"/>
        </w:rPr>
        <w:t>Legal Lessons Learned:  This case may be appealed to the Louisiana Supreme Court; Dissenting judge references prior L</w:t>
      </w:r>
      <w:r>
        <w:rPr>
          <w:rFonts w:ascii="Times New Roman" w:hAnsi="Times New Roman"/>
          <w:b/>
          <w:bCs/>
          <w:sz w:val="24"/>
          <w:szCs w:val="24"/>
        </w:rPr>
        <w:t xml:space="preserve">ouisiana </w:t>
      </w:r>
      <w:r w:rsidRPr="00C30645">
        <w:rPr>
          <w:rFonts w:ascii="Times New Roman" w:hAnsi="Times New Roman"/>
          <w:b/>
          <w:bCs/>
          <w:sz w:val="24"/>
          <w:szCs w:val="24"/>
        </w:rPr>
        <w:t xml:space="preserve">Supreme Court decision in </w:t>
      </w:r>
      <w:r w:rsidRPr="00C30645">
        <w:rPr>
          <w:rFonts w:ascii="Times New Roman" w:hAnsi="Times New Roman"/>
          <w:b/>
          <w:bCs/>
          <w:i/>
          <w:iCs/>
          <w:sz w:val="24"/>
          <w:szCs w:val="24"/>
        </w:rPr>
        <w:t>Arrant v Graphic Packaging Int'l</w:t>
      </w:r>
      <w:r w:rsidRPr="00C30645">
        <w:rPr>
          <w:rFonts w:ascii="Times New Roman" w:hAnsi="Times New Roman"/>
          <w:b/>
          <w:bCs/>
          <w:sz w:val="24"/>
          <w:szCs w:val="24"/>
        </w:rPr>
        <w:t xml:space="preserve">, </w:t>
      </w:r>
      <w:r w:rsidRPr="00C30645">
        <w:rPr>
          <w:rFonts w:ascii="Times New Roman" w:hAnsi="Times New Roman"/>
          <w:b/>
          <w:bCs/>
          <w:i/>
          <w:iCs/>
          <w:sz w:val="24"/>
          <w:szCs w:val="24"/>
        </w:rPr>
        <w:t>Inc</w:t>
      </w:r>
      <w:r w:rsidRPr="00C30645">
        <w:rPr>
          <w:rFonts w:ascii="Times New Roman" w:hAnsi="Times New Roman"/>
          <w:b/>
          <w:bCs/>
          <w:sz w:val="24"/>
          <w:szCs w:val="24"/>
        </w:rPr>
        <w:t>., 13-2878, 169 So. 3d 296, 305 (La. 5/5/15</w:t>
      </w:r>
      <w:r>
        <w:rPr>
          <w:rFonts w:ascii="Times New Roman" w:hAnsi="Times New Roman"/>
          <w:b/>
          <w:bCs/>
          <w:sz w:val="24"/>
          <w:szCs w:val="24"/>
        </w:rPr>
        <w:t xml:space="preserve">). </w:t>
      </w:r>
      <w:hyperlink r:id="rId1643" w:history="1">
        <w:r w:rsidRPr="002F1E28">
          <w:rPr>
            <w:rStyle w:val="Hyperlink"/>
            <w:rFonts w:ascii="Times New Roman" w:hAnsi="Times New Roman"/>
            <w:b/>
            <w:bCs/>
            <w:sz w:val="24"/>
            <w:szCs w:val="24"/>
          </w:rPr>
          <w:t>https://law.justia.com/cases/louisiana/supreme-court/2015/2013-c-2878.html</w:t>
        </w:r>
      </w:hyperlink>
      <w:r>
        <w:rPr>
          <w:rFonts w:ascii="Times New Roman" w:hAnsi="Times New Roman"/>
          <w:b/>
          <w:bCs/>
          <w:sz w:val="24"/>
          <w:szCs w:val="24"/>
        </w:rPr>
        <w:t xml:space="preserve"> </w:t>
      </w:r>
    </w:p>
    <w:p w14:paraId="3E9C39FC" w14:textId="77777777" w:rsidR="00F824FE" w:rsidRDefault="00F824FE" w:rsidP="00F824FE">
      <w:pPr>
        <w:spacing w:before="100" w:beforeAutospacing="1" w:after="100" w:afterAutospacing="1" w:line="240" w:lineRule="auto"/>
        <w:ind w:left="720"/>
      </w:pPr>
      <w:r>
        <w:rPr>
          <w:rFonts w:ascii="Times New Roman" w:hAnsi="Times New Roman"/>
          <w:sz w:val="24"/>
          <w:szCs w:val="24"/>
        </w:rPr>
        <w:t xml:space="preserve">Note:  See Louisiana Firefighter Statutory Presumption </w:t>
      </w:r>
      <w:proofErr w:type="gramStart"/>
      <w:r>
        <w:rPr>
          <w:rFonts w:ascii="Times New Roman" w:hAnsi="Times New Roman"/>
          <w:sz w:val="24"/>
          <w:szCs w:val="24"/>
        </w:rPr>
        <w:t>For</w:t>
      </w:r>
      <w:proofErr w:type="gramEnd"/>
      <w:r>
        <w:rPr>
          <w:rFonts w:ascii="Times New Roman" w:hAnsi="Times New Roman"/>
          <w:sz w:val="24"/>
          <w:szCs w:val="24"/>
        </w:rPr>
        <w:t xml:space="preserve"> Hearing Loss</w:t>
      </w:r>
    </w:p>
    <w:p w14:paraId="0A694BA5" w14:textId="77777777" w:rsidR="00F824FE" w:rsidRPr="009240F1" w:rsidRDefault="00F824FE" w:rsidP="00F824FE">
      <w:pPr>
        <w:spacing w:before="100" w:beforeAutospacing="1" w:after="100" w:afterAutospacing="1" w:line="240" w:lineRule="auto"/>
        <w:rPr>
          <w:rFonts w:ascii="Times New Roman" w:eastAsia="Times New Roman" w:hAnsi="Times New Roman"/>
          <w:sz w:val="24"/>
          <w:szCs w:val="24"/>
        </w:rPr>
      </w:pPr>
      <w:r w:rsidRPr="009240F1">
        <w:rPr>
          <w:rFonts w:ascii="Times New Roman" w:eastAsia="Times New Roman" w:hAnsi="Times New Roman"/>
          <w:sz w:val="24"/>
          <w:szCs w:val="24"/>
        </w:rPr>
        <w:t> </w:t>
      </w:r>
      <w:r>
        <w:rPr>
          <w:rFonts w:ascii="Times New Roman" w:eastAsia="Times New Roman" w:hAnsi="Times New Roman"/>
          <w:sz w:val="24"/>
          <w:szCs w:val="24"/>
        </w:rPr>
        <w:tab/>
      </w:r>
      <w:r w:rsidRPr="009240F1">
        <w:rPr>
          <w:rFonts w:ascii="Times New Roman" w:eastAsia="Times New Roman" w:hAnsi="Times New Roman"/>
          <w:sz w:val="24"/>
          <w:szCs w:val="24"/>
        </w:rPr>
        <w:t>La. R.S. 33:2581.1 provides:</w:t>
      </w:r>
    </w:p>
    <w:p w14:paraId="0487BD48" w14:textId="77777777" w:rsidR="00F824FE" w:rsidRDefault="00F824FE" w:rsidP="00F824FE">
      <w:pPr>
        <w:pStyle w:val="ListParagraph"/>
        <w:numPr>
          <w:ilvl w:val="0"/>
          <w:numId w:val="5"/>
        </w:numPr>
        <w:spacing w:after="100" w:line="240" w:lineRule="auto"/>
        <w:rPr>
          <w:rFonts w:ascii="Times New Roman" w:eastAsia="Times New Roman" w:hAnsi="Times New Roman" w:cs="Times New Roman"/>
          <w:sz w:val="24"/>
          <w:szCs w:val="24"/>
        </w:rPr>
      </w:pPr>
      <w:r w:rsidRPr="00B3719C">
        <w:rPr>
          <w:rFonts w:ascii="Times New Roman" w:eastAsia="Times New Roman" w:hAnsi="Times New Roman" w:cs="Times New Roman"/>
          <w:sz w:val="24"/>
          <w:szCs w:val="24"/>
        </w:rPr>
        <w:t xml:space="preserve">Any loss of hearing which is ten percent greater than that of the affected employee's comparable age group in the general population and which develops during employment in the classified fire service in the state of Louisiana shall, for purposes of this Section only, be classified as a disease or infirmity connected with employment. The employee affected shall be entitled to medical benefits including hearing prosthesis as granted by the laws of the state of Louisiana to which one suffering an occupational disease is entitled, regardless of whether the fireman is on duty at the time he is stricken with the loss of hearing. Such loss of hearing shall be presumed to have </w:t>
      </w:r>
    </w:p>
    <w:p w14:paraId="66751971" w14:textId="77777777" w:rsidR="00F824FE" w:rsidRDefault="00F824FE" w:rsidP="00F824FE">
      <w:pPr>
        <w:pStyle w:val="ListParagraph"/>
        <w:spacing w:after="100" w:line="240" w:lineRule="auto"/>
        <w:ind w:left="1800"/>
        <w:rPr>
          <w:rFonts w:ascii="Times New Roman" w:eastAsia="Times New Roman" w:hAnsi="Times New Roman" w:cs="Times New Roman"/>
          <w:sz w:val="24"/>
          <w:szCs w:val="24"/>
        </w:rPr>
      </w:pPr>
    </w:p>
    <w:p w14:paraId="355DFD49" w14:textId="77777777" w:rsidR="00F824FE" w:rsidRDefault="00F824FE" w:rsidP="00F824FE">
      <w:pPr>
        <w:pStyle w:val="ListParagraph"/>
        <w:spacing w:after="100" w:line="240" w:lineRule="auto"/>
        <w:ind w:left="1800"/>
        <w:rPr>
          <w:rFonts w:ascii="Times New Roman" w:eastAsia="Times New Roman" w:hAnsi="Times New Roman" w:cs="Times New Roman"/>
          <w:sz w:val="24"/>
          <w:szCs w:val="24"/>
        </w:rPr>
      </w:pPr>
      <w:r w:rsidRPr="00B3719C">
        <w:rPr>
          <w:rFonts w:ascii="Times New Roman" w:eastAsia="Times New Roman" w:hAnsi="Times New Roman" w:cs="Times New Roman"/>
          <w:sz w:val="24"/>
          <w:szCs w:val="24"/>
        </w:rPr>
        <w:t>developed during employment and shall be presumed to have been caused by or to have resulted from the nature of the work performed whenever same is manifested at any time after the first five years of employment in such classified service. This presumption shall be rebuttable by evidence meeting judicial standards and shall be extended to an employee following termination of service for a period of twenty-four months.</w:t>
      </w:r>
    </w:p>
    <w:p w14:paraId="71CAAF4F" w14:textId="77777777" w:rsidR="00F824FE" w:rsidRDefault="00F824FE" w:rsidP="00F824FE">
      <w:pPr>
        <w:pStyle w:val="ListParagraph"/>
        <w:spacing w:after="100" w:line="240" w:lineRule="auto"/>
        <w:ind w:left="1800"/>
        <w:rPr>
          <w:rFonts w:ascii="Times New Roman" w:eastAsia="Times New Roman" w:hAnsi="Times New Roman" w:cs="Times New Roman"/>
          <w:sz w:val="24"/>
          <w:szCs w:val="24"/>
        </w:rPr>
      </w:pPr>
    </w:p>
    <w:p w14:paraId="2A645C4E" w14:textId="77777777" w:rsidR="00F824FE" w:rsidRDefault="00F824FE" w:rsidP="005C30A4">
      <w:pPr>
        <w:pStyle w:val="NoSpacing"/>
        <w:rPr>
          <w:rFonts w:ascii="Arial Black" w:hAnsi="Arial Black"/>
          <w:b/>
          <w:sz w:val="24"/>
          <w:szCs w:val="24"/>
        </w:rPr>
      </w:pPr>
    </w:p>
    <w:p w14:paraId="2D50AA47" w14:textId="77777777" w:rsidR="00F824FE" w:rsidRDefault="00F824FE" w:rsidP="005C30A4">
      <w:pPr>
        <w:pStyle w:val="NoSpacing"/>
        <w:rPr>
          <w:rFonts w:ascii="Arial Black" w:hAnsi="Arial Black"/>
          <w:b/>
          <w:sz w:val="24"/>
          <w:szCs w:val="24"/>
        </w:rPr>
      </w:pPr>
    </w:p>
    <w:p w14:paraId="6E7FF063" w14:textId="313A86C3" w:rsidR="001C563D" w:rsidRDefault="001C563D" w:rsidP="005C30A4">
      <w:pPr>
        <w:pStyle w:val="NoSpacing"/>
        <w:rPr>
          <w:rFonts w:ascii="Arial Black" w:hAnsi="Arial Black"/>
          <w:b/>
          <w:sz w:val="24"/>
          <w:szCs w:val="24"/>
        </w:rPr>
      </w:pPr>
      <w:r>
        <w:rPr>
          <w:rFonts w:ascii="Arial Black" w:hAnsi="Arial Black"/>
          <w:b/>
          <w:sz w:val="24"/>
          <w:szCs w:val="24"/>
        </w:rPr>
        <w:t>9-13</w:t>
      </w:r>
    </w:p>
    <w:p w14:paraId="6A5FFA1B" w14:textId="7F0ADDB5" w:rsidR="001C563D" w:rsidRDefault="001C563D" w:rsidP="005C30A4">
      <w:pPr>
        <w:pStyle w:val="NoSpacing"/>
        <w:rPr>
          <w:rFonts w:ascii="Arial Black" w:hAnsi="Arial Black"/>
          <w:b/>
          <w:sz w:val="24"/>
          <w:szCs w:val="24"/>
        </w:rPr>
      </w:pPr>
    </w:p>
    <w:p w14:paraId="44C2D4A9" w14:textId="77777777" w:rsidR="001C563D" w:rsidRDefault="001C563D" w:rsidP="001C563D">
      <w:pPr>
        <w:pStyle w:val="NoSpacing"/>
        <w:rPr>
          <w:rFonts w:ascii="Arial Black" w:hAnsi="Arial Black"/>
          <w:sz w:val="28"/>
          <w:szCs w:val="28"/>
        </w:rPr>
      </w:pPr>
      <w:r w:rsidRPr="001E444E">
        <w:rPr>
          <w:rFonts w:ascii="Arial Black" w:hAnsi="Arial Black"/>
          <w:sz w:val="28"/>
          <w:szCs w:val="28"/>
        </w:rPr>
        <w:lastRenderedPageBreak/>
        <w:t xml:space="preserve">NY: </w:t>
      </w:r>
      <w:r>
        <w:rPr>
          <w:rFonts w:ascii="Arial Black" w:hAnsi="Arial Black"/>
          <w:sz w:val="28"/>
          <w:szCs w:val="28"/>
        </w:rPr>
        <w:t>CIVILIAN FIRE PROTECTION INSPECTOR – ASTHMA, OFFICE ONLY WORK - NOT PROMOTED FIELD POSITION</w:t>
      </w:r>
    </w:p>
    <w:p w14:paraId="016522C7" w14:textId="77777777" w:rsidR="001C563D" w:rsidRDefault="001C563D" w:rsidP="001C563D">
      <w:pPr>
        <w:pStyle w:val="NoSpacing"/>
        <w:rPr>
          <w:rFonts w:ascii="Arial Black" w:hAnsi="Arial Black"/>
          <w:sz w:val="28"/>
          <w:szCs w:val="28"/>
        </w:rPr>
      </w:pPr>
    </w:p>
    <w:p w14:paraId="1FF3D56E" w14:textId="77777777" w:rsidR="001C563D" w:rsidRPr="00247349" w:rsidRDefault="001C563D" w:rsidP="001C563D">
      <w:pPr>
        <w:pStyle w:val="NoSpacing"/>
        <w:rPr>
          <w:rFonts w:ascii="Times New Roman" w:hAnsi="Times New Roman"/>
          <w:sz w:val="24"/>
          <w:szCs w:val="24"/>
        </w:rPr>
      </w:pPr>
      <w:r w:rsidRPr="001E444E">
        <w:rPr>
          <w:rFonts w:ascii="Times New Roman" w:hAnsi="Times New Roman"/>
          <w:sz w:val="24"/>
          <w:szCs w:val="24"/>
        </w:rPr>
        <w:t>On July 18, 2020</w:t>
      </w:r>
      <w:r>
        <w:rPr>
          <w:rFonts w:ascii="Times New Roman" w:hAnsi="Times New Roman"/>
          <w:sz w:val="24"/>
          <w:szCs w:val="24"/>
        </w:rPr>
        <w:t xml:space="preserve">, in </w:t>
      </w:r>
      <w:r w:rsidRPr="001E444E">
        <w:rPr>
          <w:rFonts w:ascii="Times New Roman" w:hAnsi="Times New Roman"/>
          <w:sz w:val="24"/>
          <w:szCs w:val="24"/>
          <w:u w:val="single"/>
        </w:rPr>
        <w:t>John Skariah v. The City of New York, et al</w:t>
      </w:r>
      <w:r>
        <w:rPr>
          <w:rFonts w:ascii="Times New Roman" w:hAnsi="Times New Roman"/>
          <w:sz w:val="24"/>
          <w:szCs w:val="24"/>
        </w:rPr>
        <w:t xml:space="preserve">., 2020 NY Slip Op 31890(U), Judge Lyle E. Frank, Supreme Court of State of New York (County Part 52) granted the City’s motion for summary judgment.  Plaintiff has been civilian employee with FDNY since 1992, and was promoted in 1997 to </w:t>
      </w:r>
      <w:r w:rsidRPr="00247349">
        <w:rPr>
          <w:rFonts w:ascii="Times New Roman" w:hAnsi="Times New Roman"/>
        </w:rPr>
        <w:t>Associate Fire Protection Inspector I</w:t>
      </w:r>
      <w:r>
        <w:rPr>
          <w:rFonts w:ascii="Times New Roman" w:hAnsi="Times New Roman"/>
        </w:rPr>
        <w:t xml:space="preserve">.  Plaintiff is from India </w:t>
      </w:r>
      <w:r w:rsidRPr="00247349">
        <w:rPr>
          <w:rFonts w:ascii="Times New Roman" w:hAnsi="Times New Roman"/>
          <w:sz w:val="24"/>
          <w:szCs w:val="24"/>
        </w:rPr>
        <w:t xml:space="preserve">and </w:t>
      </w:r>
      <w:r>
        <w:rPr>
          <w:rFonts w:ascii="Times New Roman" w:hAnsi="Times New Roman"/>
          <w:sz w:val="24"/>
          <w:szCs w:val="24"/>
        </w:rPr>
        <w:t xml:space="preserve">in </w:t>
      </w:r>
      <w:r w:rsidRPr="00247349">
        <w:rPr>
          <w:rFonts w:ascii="Times New Roman" w:hAnsi="Times New Roman"/>
          <w:sz w:val="24"/>
          <w:szCs w:val="24"/>
        </w:rPr>
        <w:t>1998</w:t>
      </w:r>
      <w:r>
        <w:rPr>
          <w:rFonts w:ascii="Times New Roman" w:hAnsi="Times New Roman"/>
          <w:sz w:val="24"/>
          <w:szCs w:val="24"/>
        </w:rPr>
        <w:t xml:space="preserve"> he</w:t>
      </w:r>
      <w:r w:rsidRPr="00247349">
        <w:rPr>
          <w:rFonts w:ascii="Times New Roman" w:hAnsi="Times New Roman"/>
          <w:sz w:val="24"/>
          <w:szCs w:val="24"/>
        </w:rPr>
        <w:t xml:space="preserve"> was given a raise and promoted from Associate Fire Inspector I to the position of Deputy Chief Inspector as part of a 1998 Equal Employment Opportunity Commission (</w:t>
      </w:r>
      <w:r>
        <w:rPr>
          <w:rFonts w:ascii="Times New Roman" w:hAnsi="Times New Roman"/>
          <w:sz w:val="24"/>
          <w:szCs w:val="24"/>
        </w:rPr>
        <w:t>‘</w:t>
      </w:r>
      <w:r w:rsidRPr="00247349">
        <w:rPr>
          <w:rFonts w:ascii="Times New Roman" w:hAnsi="Times New Roman"/>
          <w:sz w:val="24"/>
          <w:szCs w:val="24"/>
        </w:rPr>
        <w:t>EEOC</w:t>
      </w:r>
      <w:r>
        <w:rPr>
          <w:rFonts w:ascii="Times New Roman" w:hAnsi="Times New Roman"/>
          <w:sz w:val="24"/>
          <w:szCs w:val="24"/>
        </w:rPr>
        <w:t>’</w:t>
      </w:r>
      <w:r w:rsidRPr="00247349">
        <w:rPr>
          <w:rFonts w:ascii="Times New Roman" w:hAnsi="Times New Roman"/>
          <w:sz w:val="24"/>
          <w:szCs w:val="24"/>
        </w:rPr>
        <w:t>) Settlement Agreement.</w:t>
      </w:r>
      <w:r>
        <w:rPr>
          <w:rFonts w:ascii="Times New Roman" w:hAnsi="Times New Roman"/>
          <w:sz w:val="24"/>
          <w:szCs w:val="24"/>
        </w:rPr>
        <w:t xml:space="preserve"> </w:t>
      </w:r>
      <w:r w:rsidRPr="00247349">
        <w:rPr>
          <w:rFonts w:ascii="Times New Roman" w:hAnsi="Times New Roman"/>
          <w:sz w:val="24"/>
          <w:szCs w:val="24"/>
        </w:rPr>
        <w:t>“Plaintiff submitted a doctor's note to FDNY stating ‘</w:t>
      </w:r>
      <w:r>
        <w:rPr>
          <w:rFonts w:ascii="Times New Roman" w:hAnsi="Times New Roman"/>
          <w:sz w:val="24"/>
          <w:szCs w:val="24"/>
        </w:rPr>
        <w:t>P[</w:t>
      </w:r>
      <w:proofErr w:type="spellStart"/>
      <w:r>
        <w:rPr>
          <w:rFonts w:ascii="Times New Roman" w:hAnsi="Times New Roman"/>
          <w:sz w:val="24"/>
          <w:szCs w:val="24"/>
        </w:rPr>
        <w:t>atient</w:t>
      </w:r>
      <w:proofErr w:type="spellEnd"/>
      <w:r>
        <w:rPr>
          <w:rFonts w:ascii="Times New Roman" w:hAnsi="Times New Roman"/>
          <w:sz w:val="24"/>
          <w:szCs w:val="24"/>
        </w:rPr>
        <w:t xml:space="preserve">] </w:t>
      </w:r>
      <w:r w:rsidRPr="00247349">
        <w:rPr>
          <w:rFonts w:ascii="Times New Roman" w:hAnsi="Times New Roman"/>
          <w:sz w:val="24"/>
          <w:szCs w:val="24"/>
        </w:rPr>
        <w:t xml:space="preserve">is under my care for asthma. Due to his </w:t>
      </w:r>
      <w:proofErr w:type="gramStart"/>
      <w:r w:rsidRPr="00247349">
        <w:rPr>
          <w:rFonts w:ascii="Times New Roman" w:hAnsi="Times New Roman"/>
          <w:sz w:val="24"/>
          <w:szCs w:val="24"/>
        </w:rPr>
        <w:t>condition</w:t>
      </w:r>
      <w:proofErr w:type="gramEnd"/>
      <w:r w:rsidRPr="00247349">
        <w:rPr>
          <w:rFonts w:ascii="Times New Roman" w:hAnsi="Times New Roman"/>
          <w:sz w:val="24"/>
          <w:szCs w:val="24"/>
        </w:rPr>
        <w:t xml:space="preserve"> it is advisable for him to work in the office and not in the field.</w:t>
      </w:r>
      <w:r>
        <w:rPr>
          <w:rFonts w:ascii="Times New Roman" w:hAnsi="Times New Roman"/>
          <w:sz w:val="24"/>
          <w:szCs w:val="24"/>
        </w:rPr>
        <w:t xml:space="preserve"> *** </w:t>
      </w:r>
      <w:r w:rsidRPr="00247349">
        <w:rPr>
          <w:rFonts w:ascii="Times New Roman" w:hAnsi="Times New Roman"/>
          <w:sz w:val="24"/>
          <w:szCs w:val="24"/>
        </w:rPr>
        <w:t>Even if plaintiff could establish a prima facie claim, in response, defendants have proffered a legitimate nondiscriminatory reason for why plaintiff was not promoted, that is the disability he suffered for why a reasonable accommodation was required.</w:t>
      </w:r>
      <w:r>
        <w:rPr>
          <w:rFonts w:ascii="Times New Roman" w:hAnsi="Times New Roman"/>
          <w:sz w:val="24"/>
          <w:szCs w:val="24"/>
        </w:rPr>
        <w:t xml:space="preserve">” </w:t>
      </w:r>
      <w:hyperlink r:id="rId1644" w:history="1">
        <w:r w:rsidRPr="003B7380">
          <w:rPr>
            <w:rStyle w:val="Hyperlink"/>
            <w:rFonts w:ascii="Times New Roman" w:hAnsi="Times New Roman"/>
            <w:sz w:val="24"/>
            <w:szCs w:val="24"/>
          </w:rPr>
          <w:t>https://cases.justia.com/new-york/other-courts/2020-2020-ny-slip-op-31890-u.pdf?ts=1592946781</w:t>
        </w:r>
      </w:hyperlink>
      <w:r>
        <w:rPr>
          <w:rFonts w:ascii="Times New Roman" w:hAnsi="Times New Roman"/>
          <w:sz w:val="24"/>
          <w:szCs w:val="24"/>
        </w:rPr>
        <w:t xml:space="preserve"> </w:t>
      </w:r>
    </w:p>
    <w:p w14:paraId="684FAC16" w14:textId="77777777" w:rsidR="001C563D" w:rsidRDefault="001C563D" w:rsidP="001C563D">
      <w:pPr>
        <w:pStyle w:val="NoSpacing"/>
        <w:rPr>
          <w:rFonts w:ascii="Times New Roman" w:hAnsi="Times New Roman"/>
          <w:sz w:val="24"/>
          <w:szCs w:val="24"/>
        </w:rPr>
      </w:pPr>
    </w:p>
    <w:p w14:paraId="11A2055E" w14:textId="77777777" w:rsidR="001C563D" w:rsidRPr="00247349" w:rsidRDefault="001C563D" w:rsidP="001C563D">
      <w:pPr>
        <w:pStyle w:val="NoSpacing"/>
        <w:rPr>
          <w:rFonts w:ascii="Times New Roman" w:hAnsi="Times New Roman"/>
          <w:b/>
          <w:bCs/>
          <w:sz w:val="24"/>
          <w:szCs w:val="24"/>
        </w:rPr>
      </w:pPr>
      <w:r w:rsidRPr="00247349">
        <w:rPr>
          <w:rFonts w:ascii="Times New Roman" w:hAnsi="Times New Roman"/>
          <w:b/>
          <w:bCs/>
          <w:sz w:val="24"/>
          <w:szCs w:val="24"/>
        </w:rPr>
        <w:t>Legal Lessons Learned:</w:t>
      </w:r>
      <w:r>
        <w:rPr>
          <w:rFonts w:ascii="Times New Roman" w:hAnsi="Times New Roman"/>
          <w:b/>
          <w:bCs/>
          <w:sz w:val="24"/>
          <w:szCs w:val="24"/>
        </w:rPr>
        <w:t xml:space="preserve">  When employee advises employer they have a disability – in this case Asma requiring office position only, the employee’s lawsuit for not being promoted to positions requiring fieldwork will be dismissed. </w:t>
      </w:r>
    </w:p>
    <w:p w14:paraId="5EE86B47" w14:textId="77777777" w:rsidR="001C563D" w:rsidRDefault="001C563D" w:rsidP="005C30A4">
      <w:pPr>
        <w:pStyle w:val="NoSpacing"/>
        <w:rPr>
          <w:rFonts w:ascii="Arial Black" w:hAnsi="Arial Black"/>
          <w:b/>
          <w:sz w:val="24"/>
          <w:szCs w:val="24"/>
        </w:rPr>
      </w:pPr>
    </w:p>
    <w:p w14:paraId="5B66BF13" w14:textId="77777777" w:rsidR="001C563D" w:rsidRDefault="001C563D" w:rsidP="005C30A4">
      <w:pPr>
        <w:pStyle w:val="NoSpacing"/>
        <w:rPr>
          <w:rFonts w:ascii="Arial Black" w:hAnsi="Arial Black"/>
          <w:b/>
          <w:sz w:val="24"/>
          <w:szCs w:val="24"/>
        </w:rPr>
      </w:pPr>
    </w:p>
    <w:p w14:paraId="73217CB5" w14:textId="26DC4DBB" w:rsidR="00366CDD" w:rsidRDefault="00366CDD" w:rsidP="005C30A4">
      <w:pPr>
        <w:pStyle w:val="NoSpacing"/>
        <w:rPr>
          <w:rFonts w:ascii="Arial Black" w:hAnsi="Arial Black"/>
          <w:b/>
          <w:sz w:val="24"/>
          <w:szCs w:val="24"/>
        </w:rPr>
      </w:pPr>
      <w:r>
        <w:rPr>
          <w:rFonts w:ascii="Arial Black" w:hAnsi="Arial Black"/>
          <w:b/>
          <w:sz w:val="24"/>
          <w:szCs w:val="24"/>
        </w:rPr>
        <w:t xml:space="preserve">9-12 </w:t>
      </w:r>
      <w:r w:rsidRPr="001C563D">
        <w:rPr>
          <w:rFonts w:ascii="Times New Roman" w:hAnsi="Times New Roman"/>
          <w:bCs/>
          <w:sz w:val="24"/>
          <w:szCs w:val="24"/>
        </w:rPr>
        <w:t>[Also filed</w:t>
      </w:r>
      <w:r w:rsidR="001C563D">
        <w:rPr>
          <w:rFonts w:ascii="Times New Roman" w:hAnsi="Times New Roman"/>
          <w:bCs/>
          <w:sz w:val="24"/>
          <w:szCs w:val="24"/>
        </w:rPr>
        <w:t>:</w:t>
      </w:r>
      <w:r w:rsidRPr="001C563D">
        <w:rPr>
          <w:rFonts w:ascii="Times New Roman" w:hAnsi="Times New Roman"/>
          <w:bCs/>
          <w:sz w:val="24"/>
          <w:szCs w:val="24"/>
        </w:rPr>
        <w:t xml:space="preserve"> Chap. 10 &amp; 15]</w:t>
      </w:r>
    </w:p>
    <w:p w14:paraId="3DA94BED" w14:textId="77777777" w:rsidR="00366CDD" w:rsidRPr="00A670C3" w:rsidRDefault="00366CDD" w:rsidP="00366CDD">
      <w:pPr>
        <w:spacing w:before="100" w:beforeAutospacing="1" w:after="100" w:afterAutospacing="1" w:line="240" w:lineRule="auto"/>
        <w:rPr>
          <w:rFonts w:ascii="Arial Black" w:eastAsia="Times New Roman" w:hAnsi="Arial Black"/>
          <w:sz w:val="28"/>
          <w:szCs w:val="28"/>
        </w:rPr>
      </w:pPr>
      <w:bookmarkStart w:id="354" w:name="_Hlk39818832"/>
      <w:bookmarkStart w:id="355" w:name="_Hlk38198073"/>
      <w:bookmarkStart w:id="356" w:name="_Hlk41155472"/>
      <w:r w:rsidRPr="00A670C3">
        <w:rPr>
          <w:rFonts w:ascii="Arial Black" w:eastAsia="Times New Roman" w:hAnsi="Arial Black"/>
          <w:sz w:val="28"/>
          <w:szCs w:val="28"/>
        </w:rPr>
        <w:t xml:space="preserve">PA: </w:t>
      </w:r>
      <w:r>
        <w:rPr>
          <w:rFonts w:ascii="Arial Black" w:eastAsia="Times New Roman" w:hAnsi="Arial Black"/>
          <w:sz w:val="28"/>
          <w:szCs w:val="28"/>
        </w:rPr>
        <w:t>FF PANIC ATTACK ON DUTY – PTSD, MEDICATION – NO LONGER QUALIFIED AS FF – TERMINATION NOT VIOL. ADA</w:t>
      </w:r>
    </w:p>
    <w:p w14:paraId="22D294EC" w14:textId="77777777" w:rsidR="00366CDD" w:rsidRPr="008561E5" w:rsidRDefault="00366CDD" w:rsidP="00366CD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17, 2020, in </w:t>
      </w:r>
      <w:r w:rsidRPr="008561E5">
        <w:rPr>
          <w:rFonts w:ascii="Times New Roman" w:eastAsia="Times New Roman" w:hAnsi="Times New Roman"/>
          <w:sz w:val="24"/>
          <w:szCs w:val="24"/>
          <w:u w:val="single"/>
        </w:rPr>
        <w:t xml:space="preserve">Robert Carpenter v. York Area United Fire </w:t>
      </w:r>
      <w:proofErr w:type="gramStart"/>
      <w:r w:rsidRPr="008561E5">
        <w:rPr>
          <w:rFonts w:ascii="Times New Roman" w:eastAsia="Times New Roman" w:hAnsi="Times New Roman"/>
          <w:sz w:val="24"/>
          <w:szCs w:val="24"/>
          <w:u w:val="single"/>
        </w:rPr>
        <w:t>And</w:t>
      </w:r>
      <w:proofErr w:type="gramEnd"/>
      <w:r w:rsidRPr="008561E5">
        <w:rPr>
          <w:rFonts w:ascii="Times New Roman" w:eastAsia="Times New Roman" w:hAnsi="Times New Roman"/>
          <w:sz w:val="24"/>
          <w:szCs w:val="24"/>
          <w:u w:val="single"/>
        </w:rPr>
        <w:t xml:space="preserve"> Rescue</w:t>
      </w:r>
      <w:r>
        <w:rPr>
          <w:rFonts w:ascii="Times New Roman" w:eastAsia="Times New Roman" w:hAnsi="Times New Roman"/>
          <w:sz w:val="24"/>
          <w:szCs w:val="24"/>
        </w:rPr>
        <w:t>, U.S. District Court Judge Christopher C. Conner, Chief Judge, Middle District of Pennsylvania, granted the FD’s motion for summary judgment.  The Court held that the firefighter was not a “</w:t>
      </w:r>
      <w:r w:rsidRPr="00A670C3">
        <w:rPr>
          <w:rFonts w:ascii="Times New Roman" w:eastAsia="Times New Roman" w:hAnsi="Times New Roman"/>
          <w:sz w:val="24"/>
          <w:szCs w:val="24"/>
        </w:rPr>
        <w:t>qualified individual for ADA purposes because he could not perform the essential functions of his job with or without reasonable accommodation</w:t>
      </w:r>
      <w:r>
        <w:rPr>
          <w:rFonts w:ascii="Times New Roman" w:eastAsia="Times New Roman" w:hAnsi="Times New Roman"/>
          <w:sz w:val="24"/>
          <w:szCs w:val="24"/>
        </w:rPr>
        <w:t>,” and indefinite leave of absence was not a reasonable accommodation; “</w:t>
      </w:r>
      <w:r w:rsidRPr="008561E5">
        <w:rPr>
          <w:rFonts w:ascii="Times New Roman" w:hAnsi="Times New Roman"/>
          <w:sz w:val="24"/>
          <w:szCs w:val="24"/>
        </w:rPr>
        <w:t xml:space="preserve">there must be some expectation that the employee could perform his essential job functions in the </w:t>
      </w:r>
      <w:r>
        <w:rPr>
          <w:rFonts w:ascii="Times New Roman" w:hAnsi="Times New Roman"/>
          <w:sz w:val="24"/>
          <w:szCs w:val="24"/>
        </w:rPr>
        <w:t>‘</w:t>
      </w:r>
      <w:r w:rsidRPr="008561E5">
        <w:rPr>
          <w:rFonts w:ascii="Times New Roman" w:hAnsi="Times New Roman"/>
          <w:sz w:val="24"/>
          <w:szCs w:val="24"/>
        </w:rPr>
        <w:t>near future</w:t>
      </w:r>
      <w:r>
        <w:rPr>
          <w:rFonts w:ascii="Times New Roman" w:hAnsi="Times New Roman"/>
          <w:sz w:val="24"/>
          <w:szCs w:val="24"/>
        </w:rPr>
        <w:t>’</w:t>
      </w:r>
      <w:r w:rsidRPr="008561E5">
        <w:rPr>
          <w:rFonts w:ascii="Times New Roman" w:hAnsi="Times New Roman"/>
          <w:sz w:val="24"/>
          <w:szCs w:val="24"/>
        </w:rPr>
        <w:t xml:space="preserve"> following the requested leave.</w:t>
      </w:r>
      <w:r>
        <w:rPr>
          <w:rFonts w:ascii="Times New Roman" w:hAnsi="Times New Roman"/>
          <w:sz w:val="24"/>
          <w:szCs w:val="24"/>
        </w:rPr>
        <w:t xml:space="preserve">   </w:t>
      </w:r>
    </w:p>
    <w:p w14:paraId="03A7E2B4" w14:textId="77777777" w:rsidR="00366CDD" w:rsidRDefault="00366CDD" w:rsidP="00366CDD">
      <w:pPr>
        <w:pStyle w:val="NormalWeb"/>
        <w:ind w:left="720"/>
      </w:pPr>
      <w:r>
        <w:t xml:space="preserve">“[Fire Department] </w:t>
      </w:r>
      <w:r w:rsidRPr="00A670C3">
        <w:t>argues that Carpenter is not a qualified individual for ADA purposes because he could not perform the essential functions of his job with or without reasonable accommodation. We agree.</w:t>
      </w:r>
      <w:r>
        <w:t xml:space="preserve">” </w:t>
      </w:r>
      <w:hyperlink r:id="rId1645" w:history="1">
        <w:r w:rsidRPr="00377614">
          <w:rPr>
            <w:rStyle w:val="Hyperlink"/>
          </w:rPr>
          <w:t>https://public.fastcase.com/Wl%2B2t%2BeVuI35%2FN70vAMFZkkc03nKI8qkpSJ%2FzmzLggswfoR1RvbDETmM60pPGUhc</w:t>
        </w:r>
      </w:hyperlink>
      <w:bookmarkEnd w:id="354"/>
      <w:r>
        <w:t xml:space="preserve"> </w:t>
      </w:r>
    </w:p>
    <w:p w14:paraId="1C30FA28" w14:textId="77777777" w:rsidR="00366CDD" w:rsidRPr="00DE2E06" w:rsidRDefault="00366CDD" w:rsidP="00366CDD">
      <w:pPr>
        <w:rPr>
          <w:rFonts w:ascii="Times New Roman" w:hAnsi="Times New Roman"/>
          <w:b/>
          <w:bCs/>
          <w:sz w:val="24"/>
          <w:szCs w:val="24"/>
        </w:rPr>
      </w:pPr>
      <w:bookmarkStart w:id="357" w:name="_Hlk40512021"/>
      <w:bookmarkEnd w:id="355"/>
      <w:r w:rsidRPr="00DE2E06">
        <w:rPr>
          <w:rFonts w:ascii="Times New Roman" w:hAnsi="Times New Roman"/>
          <w:b/>
          <w:bCs/>
          <w:sz w:val="24"/>
          <w:szCs w:val="24"/>
        </w:rPr>
        <w:t>Legal Lessons Learned:  FF on leave and undergoing treatment, who desires to get back to the job, needs to stay in communication with FD.</w:t>
      </w:r>
      <w:r>
        <w:rPr>
          <w:rFonts w:ascii="Times New Roman" w:hAnsi="Times New Roman"/>
          <w:b/>
          <w:bCs/>
          <w:sz w:val="24"/>
          <w:szCs w:val="24"/>
        </w:rPr>
        <w:t xml:space="preserve"> </w:t>
      </w:r>
      <w:bookmarkEnd w:id="357"/>
      <w:r>
        <w:rPr>
          <w:rFonts w:ascii="Times New Roman" w:hAnsi="Times New Roman"/>
          <w:b/>
          <w:bCs/>
          <w:sz w:val="24"/>
          <w:szCs w:val="24"/>
        </w:rPr>
        <w:t xml:space="preserve">  </w:t>
      </w:r>
      <w:bookmarkEnd w:id="356"/>
      <w:r>
        <w:rPr>
          <w:rFonts w:ascii="Times New Roman" w:hAnsi="Times New Roman"/>
          <w:b/>
          <w:bCs/>
          <w:sz w:val="24"/>
          <w:szCs w:val="24"/>
        </w:rPr>
        <w:t>FMLA also addressed (see below).</w:t>
      </w:r>
    </w:p>
    <w:p w14:paraId="1DF98835" w14:textId="21E082E4" w:rsidR="00366CDD" w:rsidRPr="00063DF6" w:rsidRDefault="00366CDD" w:rsidP="00366CDD">
      <w:pPr>
        <w:pStyle w:val="NormalWeb"/>
        <w:ind w:left="720"/>
        <w:rPr>
          <w:b/>
          <w:bCs/>
        </w:rPr>
      </w:pPr>
      <w:r w:rsidRPr="00063DF6">
        <w:t xml:space="preserve">Note:  </w:t>
      </w:r>
      <w:r>
        <w:t xml:space="preserve">Court also held that the FF was not </w:t>
      </w:r>
      <w:proofErr w:type="gramStart"/>
      <w:r>
        <w:t>entitle</w:t>
      </w:r>
      <w:proofErr w:type="gramEnd"/>
      <w:r>
        <w:t xml:space="preserve"> the FMLA leave. </w:t>
      </w:r>
      <w:r>
        <w:rPr>
          <w:bCs/>
        </w:rPr>
        <w:t>“</w:t>
      </w:r>
      <w:r w:rsidRPr="00A670C3">
        <w:rPr>
          <w:bCs/>
        </w:rPr>
        <w:t>In a letter dated October 11, 2017, YAUFR denied Carpenter's FMLA leave request</w:t>
      </w:r>
      <w:r>
        <w:rPr>
          <w:bCs/>
        </w:rPr>
        <w:t>….</w:t>
      </w:r>
      <w:r>
        <w:rPr>
          <w:bCs/>
        </w:rPr>
        <w:tab/>
      </w:r>
      <w:r w:rsidRPr="00A670C3">
        <w:rPr>
          <w:bCs/>
        </w:rPr>
        <w:t xml:space="preserve"> YAUFR explained that, although it was a covered employer under the FMLA, it did not employ the requisite number of people for Carpenter to be considered an </w:t>
      </w:r>
      <w:r>
        <w:rPr>
          <w:bCs/>
        </w:rPr>
        <w:t>‘</w:t>
      </w:r>
      <w:r w:rsidRPr="00A670C3">
        <w:rPr>
          <w:bCs/>
        </w:rPr>
        <w:t>eligible employee</w:t>
      </w:r>
      <w:r>
        <w:rPr>
          <w:bCs/>
        </w:rPr>
        <w:t>’</w:t>
      </w:r>
      <w:r w:rsidRPr="00A670C3">
        <w:rPr>
          <w:bCs/>
        </w:rPr>
        <w:t xml:space="preserve"> under FMLA regulations.</w:t>
      </w:r>
      <w:r>
        <w:rPr>
          <w:bCs/>
        </w:rPr>
        <w:t xml:space="preserve"> *** </w:t>
      </w:r>
      <w:r w:rsidRPr="00063DF6">
        <w:rPr>
          <w:bCs/>
        </w:rPr>
        <w:t xml:space="preserve">To qualify as an </w:t>
      </w:r>
      <w:r>
        <w:rPr>
          <w:bCs/>
        </w:rPr>
        <w:t>‘</w:t>
      </w:r>
      <w:r w:rsidRPr="00063DF6">
        <w:rPr>
          <w:bCs/>
        </w:rPr>
        <w:t>eligible employee,</w:t>
      </w:r>
      <w:r>
        <w:rPr>
          <w:bCs/>
        </w:rPr>
        <w:t>’</w:t>
      </w:r>
      <w:r w:rsidRPr="00063DF6">
        <w:rPr>
          <w:bCs/>
        </w:rPr>
        <w:t xml:space="preserve"> the employee must be </w:t>
      </w:r>
      <w:r>
        <w:rPr>
          <w:bCs/>
        </w:rPr>
        <w:t>‘</w:t>
      </w:r>
      <w:r w:rsidRPr="00063DF6">
        <w:rPr>
          <w:bCs/>
        </w:rPr>
        <w:t>employed at a worksite where 50 or more employees are employed by the employer within 75 miles of that worksite.</w:t>
      </w:r>
      <w:r>
        <w:rPr>
          <w:bCs/>
        </w:rPr>
        <w:t>’</w:t>
      </w:r>
      <w:r w:rsidRPr="00063DF6">
        <w:rPr>
          <w:bCs/>
        </w:rPr>
        <w:t xml:space="preserve"> 29 C.F.R. § 825.110(a)(3); see 29 U.S.C. § 2611(2)(B)(ii). YAUFR avers, and Carpenter concedes, that YAUFR has never employed 50 or more people.</w:t>
      </w:r>
      <w:r>
        <w:rPr>
          <w:bCs/>
        </w:rPr>
        <w:t>”</w:t>
      </w:r>
    </w:p>
    <w:p w14:paraId="42395378" w14:textId="77777777" w:rsidR="00366CDD" w:rsidRDefault="00366CDD" w:rsidP="005C30A4">
      <w:pPr>
        <w:pStyle w:val="NoSpacing"/>
        <w:rPr>
          <w:rFonts w:ascii="Arial Black" w:hAnsi="Arial Black"/>
          <w:b/>
          <w:sz w:val="24"/>
          <w:szCs w:val="24"/>
        </w:rPr>
      </w:pPr>
    </w:p>
    <w:p w14:paraId="0DAB598C" w14:textId="77777777" w:rsidR="00366CDD" w:rsidRDefault="00366CDD" w:rsidP="005C30A4">
      <w:pPr>
        <w:pStyle w:val="NoSpacing"/>
        <w:rPr>
          <w:rFonts w:ascii="Arial Black" w:hAnsi="Arial Black"/>
          <w:b/>
          <w:sz w:val="24"/>
          <w:szCs w:val="24"/>
        </w:rPr>
      </w:pPr>
    </w:p>
    <w:p w14:paraId="058C5E4B" w14:textId="66BA21B0" w:rsidR="0066298F" w:rsidRDefault="0066298F" w:rsidP="005C30A4">
      <w:pPr>
        <w:pStyle w:val="NoSpacing"/>
        <w:rPr>
          <w:rFonts w:ascii="Arial Black" w:hAnsi="Arial Black"/>
          <w:b/>
          <w:sz w:val="24"/>
          <w:szCs w:val="24"/>
        </w:rPr>
      </w:pPr>
      <w:r>
        <w:rPr>
          <w:rFonts w:ascii="Arial Black" w:hAnsi="Arial Black"/>
          <w:b/>
          <w:sz w:val="24"/>
          <w:szCs w:val="24"/>
        </w:rPr>
        <w:t>9-11</w:t>
      </w:r>
    </w:p>
    <w:p w14:paraId="152D5C7A" w14:textId="0841815A" w:rsidR="0066298F" w:rsidRDefault="0066298F" w:rsidP="005C30A4">
      <w:pPr>
        <w:pStyle w:val="NoSpacing"/>
        <w:rPr>
          <w:rFonts w:ascii="Arial Black" w:hAnsi="Arial Black"/>
          <w:b/>
          <w:sz w:val="24"/>
          <w:szCs w:val="24"/>
        </w:rPr>
      </w:pPr>
    </w:p>
    <w:p w14:paraId="6BCFB4C2" w14:textId="77777777" w:rsidR="0066298F" w:rsidRDefault="0066298F" w:rsidP="0066298F">
      <w:pPr>
        <w:pStyle w:val="NoSpacing"/>
        <w:rPr>
          <w:rFonts w:ascii="Arial Black" w:hAnsi="Arial Black"/>
          <w:sz w:val="28"/>
          <w:szCs w:val="28"/>
        </w:rPr>
      </w:pPr>
      <w:bookmarkStart w:id="358" w:name="_Hlk39818972"/>
      <w:bookmarkStart w:id="359" w:name="_Hlk41299331"/>
      <w:r w:rsidRPr="0054472A">
        <w:rPr>
          <w:rFonts w:ascii="Arial Black" w:hAnsi="Arial Black"/>
          <w:sz w:val="28"/>
          <w:szCs w:val="28"/>
        </w:rPr>
        <w:t>EEOC</w:t>
      </w:r>
      <w:r>
        <w:rPr>
          <w:rFonts w:ascii="Arial Black" w:hAnsi="Arial Black"/>
          <w:sz w:val="28"/>
          <w:szCs w:val="28"/>
        </w:rPr>
        <w:t xml:space="preserve">: </w:t>
      </w:r>
      <w:r w:rsidRPr="0054472A">
        <w:rPr>
          <w:rFonts w:ascii="Arial Black" w:hAnsi="Arial Black"/>
          <w:sz w:val="28"/>
          <w:szCs w:val="28"/>
        </w:rPr>
        <w:t xml:space="preserve"> </w:t>
      </w:r>
      <w:r>
        <w:rPr>
          <w:rFonts w:ascii="Arial Black" w:hAnsi="Arial Black"/>
          <w:sz w:val="28"/>
          <w:szCs w:val="28"/>
        </w:rPr>
        <w:t>COVID19 PANDEMIC MEETS THE “DIRECT THREAT” STANDARD - MAY TEST EMPLOYEES – SOME FDs NOW SCREENING EVERY SHIFT</w:t>
      </w:r>
    </w:p>
    <w:p w14:paraId="1A5677BB" w14:textId="77777777" w:rsidR="0066298F" w:rsidRDefault="0066298F" w:rsidP="0066298F">
      <w:pPr>
        <w:pStyle w:val="NoSpacing"/>
        <w:rPr>
          <w:rFonts w:ascii="Arial Black" w:hAnsi="Arial Black"/>
          <w:sz w:val="28"/>
          <w:szCs w:val="28"/>
        </w:rPr>
      </w:pPr>
    </w:p>
    <w:p w14:paraId="023C0127" w14:textId="77777777" w:rsidR="0066298F" w:rsidRPr="00665BD0" w:rsidRDefault="0066298F" w:rsidP="0066298F">
      <w:pPr>
        <w:pStyle w:val="NoSpacing"/>
        <w:rPr>
          <w:rFonts w:ascii="Times New Roman" w:hAnsi="Times New Roman"/>
          <w:b/>
          <w:sz w:val="24"/>
          <w:szCs w:val="24"/>
        </w:rPr>
      </w:pPr>
      <w:r w:rsidRPr="00665BD0">
        <w:rPr>
          <w:rFonts w:ascii="Times New Roman" w:hAnsi="Times New Roman"/>
          <w:sz w:val="24"/>
          <w:szCs w:val="24"/>
        </w:rPr>
        <w:t>On March 21, 2020, the federal Equal Employment Opportunity Commission issued updated guidance:</w:t>
      </w:r>
    </w:p>
    <w:p w14:paraId="5304DBD5" w14:textId="77777777" w:rsidR="0066298F" w:rsidRPr="00665BD0" w:rsidRDefault="0066298F" w:rsidP="0066298F">
      <w:pPr>
        <w:pStyle w:val="NoSpacing"/>
        <w:rPr>
          <w:rFonts w:ascii="Times New Roman" w:hAnsi="Times New Roman"/>
          <w:b/>
          <w:sz w:val="24"/>
          <w:szCs w:val="24"/>
        </w:rPr>
      </w:pPr>
    </w:p>
    <w:p w14:paraId="540C02AE" w14:textId="7C7249BA" w:rsidR="0066298F" w:rsidRDefault="0066298F" w:rsidP="0066298F">
      <w:pPr>
        <w:pStyle w:val="NoSpacing"/>
        <w:ind w:left="720"/>
        <w:rPr>
          <w:rFonts w:ascii="Arial Black" w:hAnsi="Arial Black"/>
          <w:b/>
          <w:sz w:val="24"/>
          <w:szCs w:val="24"/>
        </w:rPr>
      </w:pPr>
      <w:r w:rsidRPr="006A5A83">
        <w:rPr>
          <w:rStyle w:val="Strong"/>
          <w:rFonts w:ascii="Times New Roman" w:hAnsi="Times New Roman"/>
          <w:b w:val="0"/>
          <w:bCs w:val="0"/>
          <w:sz w:val="24"/>
          <w:szCs w:val="24"/>
        </w:rPr>
        <w:t xml:space="preserve">“The EEOC is updating this 2009 publication to address its application to coronavirus disease 2019 (COVID-19).  Employers and employees should follow guidance from the Centers for Disease Control and Prevention (CDC) as well as state/local public health authorities on how best to slow the spread of this disease and protect workers, customers, clients, and the </w:t>
      </w:r>
      <w:proofErr w:type="gramStart"/>
      <w:r w:rsidRPr="006A5A83">
        <w:rPr>
          <w:rStyle w:val="Strong"/>
          <w:rFonts w:ascii="Times New Roman" w:hAnsi="Times New Roman"/>
          <w:b w:val="0"/>
          <w:bCs w:val="0"/>
          <w:sz w:val="24"/>
          <w:szCs w:val="24"/>
        </w:rPr>
        <w:t>general public</w:t>
      </w:r>
      <w:proofErr w:type="gramEnd"/>
      <w:r w:rsidRPr="006A5A83">
        <w:rPr>
          <w:rStyle w:val="Strong"/>
          <w:rFonts w:ascii="Times New Roman" w:hAnsi="Times New Roman"/>
          <w:b w:val="0"/>
          <w:bCs w:val="0"/>
          <w:sz w:val="24"/>
          <w:szCs w:val="24"/>
        </w:rPr>
        <w:t xml:space="preserve">.  The ADA and the Rehabilitation Act do not interfere with employers following advice from </w:t>
      </w:r>
      <w:proofErr w:type="gramStart"/>
      <w:r w:rsidRPr="006A5A83">
        <w:rPr>
          <w:rStyle w:val="Strong"/>
          <w:rFonts w:ascii="Times New Roman" w:hAnsi="Times New Roman"/>
          <w:b w:val="0"/>
          <w:bCs w:val="0"/>
          <w:sz w:val="24"/>
          <w:szCs w:val="24"/>
        </w:rPr>
        <w:t>the CDC</w:t>
      </w:r>
      <w:proofErr w:type="gramEnd"/>
      <w:r w:rsidRPr="006A5A83">
        <w:rPr>
          <w:rStyle w:val="Strong"/>
          <w:rFonts w:ascii="Times New Roman" w:hAnsi="Times New Roman"/>
          <w:b w:val="0"/>
          <w:bCs w:val="0"/>
          <w:sz w:val="24"/>
          <w:szCs w:val="24"/>
        </w:rPr>
        <w:t xml:space="preserve"> and other public health authorities on appropriate steps to take relating to the workplace.  This update retains the principles from the 2009 document but incorporates new information to respond to current employer questions.  For readers’ ease the COVID-19 updates are all in bold.” </w:t>
      </w:r>
      <w:hyperlink r:id="rId1646" w:anchor="q6" w:history="1">
        <w:r w:rsidRPr="006A5A83">
          <w:rPr>
            <w:rStyle w:val="Hyperlink"/>
            <w:rFonts w:ascii="Times New Roman" w:hAnsi="Times New Roman"/>
            <w:b/>
            <w:bCs/>
            <w:sz w:val="24"/>
            <w:szCs w:val="24"/>
          </w:rPr>
          <w:t>https://www.eeoc.gov/facts/pandemic_flu.html?mc_cid=0f5c4e93d9&amp;mc_eid=3f2d24c371#q6</w:t>
        </w:r>
      </w:hyperlink>
    </w:p>
    <w:bookmarkEnd w:id="358"/>
    <w:p w14:paraId="6CC82D23" w14:textId="648C6F7E" w:rsidR="0066298F" w:rsidRDefault="0066298F" w:rsidP="005C30A4">
      <w:pPr>
        <w:pStyle w:val="NoSpacing"/>
        <w:rPr>
          <w:rFonts w:ascii="Arial Black" w:hAnsi="Arial Black"/>
          <w:b/>
          <w:sz w:val="24"/>
          <w:szCs w:val="24"/>
        </w:rPr>
      </w:pPr>
    </w:p>
    <w:p w14:paraId="1F976CB2" w14:textId="77777777" w:rsidR="0066298F" w:rsidRPr="00E0273B" w:rsidRDefault="0066298F" w:rsidP="0066298F">
      <w:pPr>
        <w:pStyle w:val="NoSpacing"/>
        <w:tabs>
          <w:tab w:val="left" w:pos="3070"/>
        </w:tabs>
        <w:rPr>
          <w:rFonts w:ascii="Times New Roman" w:hAnsi="Times New Roman"/>
          <w:sz w:val="24"/>
          <w:szCs w:val="24"/>
        </w:rPr>
      </w:pPr>
      <w:r w:rsidRPr="00665BD0">
        <w:rPr>
          <w:rFonts w:ascii="Times New Roman" w:hAnsi="Times New Roman"/>
          <w:b/>
          <w:sz w:val="24"/>
          <w:szCs w:val="24"/>
        </w:rPr>
        <w:t xml:space="preserve">Legal Lessons Learned: Fire &amp; EMS departments, </w:t>
      </w:r>
      <w:r>
        <w:rPr>
          <w:rFonts w:ascii="Times New Roman" w:hAnsi="Times New Roman"/>
          <w:b/>
          <w:sz w:val="24"/>
          <w:szCs w:val="24"/>
        </w:rPr>
        <w:t xml:space="preserve">with the concurrence of </w:t>
      </w:r>
      <w:r w:rsidRPr="00665BD0">
        <w:rPr>
          <w:rFonts w:ascii="Times New Roman" w:hAnsi="Times New Roman"/>
          <w:b/>
          <w:sz w:val="24"/>
          <w:szCs w:val="24"/>
        </w:rPr>
        <w:t xml:space="preserve">their Medical Director, </w:t>
      </w:r>
      <w:r>
        <w:rPr>
          <w:rFonts w:ascii="Times New Roman" w:hAnsi="Times New Roman"/>
          <w:b/>
          <w:sz w:val="24"/>
          <w:szCs w:val="24"/>
        </w:rPr>
        <w:t xml:space="preserve">should consider </w:t>
      </w:r>
      <w:r w:rsidRPr="00665BD0">
        <w:rPr>
          <w:rFonts w:ascii="Times New Roman" w:hAnsi="Times New Roman"/>
          <w:b/>
          <w:sz w:val="24"/>
          <w:szCs w:val="24"/>
        </w:rPr>
        <w:t>tak</w:t>
      </w:r>
      <w:r>
        <w:rPr>
          <w:rFonts w:ascii="Times New Roman" w:hAnsi="Times New Roman"/>
          <w:b/>
          <w:sz w:val="24"/>
          <w:szCs w:val="24"/>
        </w:rPr>
        <w:t xml:space="preserve">ing </w:t>
      </w:r>
      <w:r w:rsidRPr="00665BD0">
        <w:rPr>
          <w:rFonts w:ascii="Times New Roman" w:hAnsi="Times New Roman"/>
          <w:b/>
          <w:sz w:val="24"/>
          <w:szCs w:val="24"/>
        </w:rPr>
        <w:t>the temperature of crews on each shift.</w:t>
      </w:r>
      <w:r w:rsidRPr="00665BD0">
        <w:rPr>
          <w:rFonts w:ascii="Times New Roman" w:hAnsi="Times New Roman"/>
          <w:bCs/>
          <w:sz w:val="24"/>
          <w:szCs w:val="24"/>
        </w:rPr>
        <w:t xml:space="preserve">   </w:t>
      </w:r>
      <w:r w:rsidRPr="00E0273B">
        <w:rPr>
          <w:rFonts w:ascii="Times New Roman" w:hAnsi="Times New Roman"/>
          <w:bCs/>
          <w:sz w:val="24"/>
          <w:szCs w:val="24"/>
        </w:rPr>
        <w:t>Note: The author of this Newsletter serves on the SW Ohio EMS Protocol Committee; two UC Health physicians on the committee sent out an update on March 27, 2019, including the following:</w:t>
      </w:r>
    </w:p>
    <w:p w14:paraId="0F31B877" w14:textId="77777777" w:rsidR="0066298F" w:rsidRPr="00E0273B" w:rsidRDefault="0066298F" w:rsidP="0066298F">
      <w:pPr>
        <w:ind w:left="720"/>
        <w:rPr>
          <w:rFonts w:ascii="Times New Roman" w:hAnsi="Times New Roman"/>
          <w:sz w:val="24"/>
          <w:szCs w:val="24"/>
        </w:rPr>
      </w:pPr>
      <w:r w:rsidRPr="00E0273B">
        <w:rPr>
          <w:rFonts w:ascii="Times New Roman" w:hAnsi="Times New Roman"/>
          <w:sz w:val="24"/>
          <w:szCs w:val="24"/>
        </w:rPr>
        <w:t>“Symptomatic Prehospital Provider Many Departments have already initiated screening of employees at the start of every shift.  Providers with fever (100.0 or higher) and/or symptoms should not work.  Symptomatic providers are a priority for COVID-19 testing.  The Department’s Employee Health and/or the provider’s PCP should be able to arrange testing.  The UC Health ‘Drive-Through’ testing center may be able to help (open M-F 10-4, must call 41-VIRUS to make appointment).  Test results may take 4-5 days</w:t>
      </w:r>
      <w:bookmarkEnd w:id="359"/>
      <w:r w:rsidRPr="00E0273B">
        <w:rPr>
          <w:rFonts w:ascii="Times New Roman" w:hAnsi="Times New Roman"/>
          <w:sz w:val="24"/>
          <w:szCs w:val="24"/>
        </w:rPr>
        <w:t>.”</w:t>
      </w:r>
    </w:p>
    <w:p w14:paraId="7A9E2251" w14:textId="77777777" w:rsidR="0066298F" w:rsidRDefault="0066298F" w:rsidP="005C30A4">
      <w:pPr>
        <w:pStyle w:val="NoSpacing"/>
        <w:rPr>
          <w:rFonts w:ascii="Arial Black" w:hAnsi="Arial Black"/>
          <w:b/>
          <w:sz w:val="24"/>
          <w:szCs w:val="24"/>
        </w:rPr>
      </w:pPr>
    </w:p>
    <w:p w14:paraId="5D5F0C6E" w14:textId="77777777" w:rsidR="0066298F" w:rsidRDefault="0066298F" w:rsidP="005C30A4">
      <w:pPr>
        <w:pStyle w:val="NoSpacing"/>
        <w:rPr>
          <w:rFonts w:ascii="Arial Black" w:hAnsi="Arial Black"/>
          <w:b/>
          <w:sz w:val="24"/>
          <w:szCs w:val="24"/>
        </w:rPr>
      </w:pPr>
    </w:p>
    <w:p w14:paraId="41047F17" w14:textId="77777777" w:rsidR="0066298F" w:rsidRDefault="0066298F" w:rsidP="005C30A4">
      <w:pPr>
        <w:pStyle w:val="NoSpacing"/>
        <w:rPr>
          <w:rFonts w:ascii="Arial Black" w:hAnsi="Arial Black"/>
          <w:b/>
          <w:sz w:val="24"/>
          <w:szCs w:val="24"/>
        </w:rPr>
      </w:pPr>
    </w:p>
    <w:p w14:paraId="752798EA" w14:textId="226CBFBD" w:rsidR="005C30A4" w:rsidRDefault="005C30A4" w:rsidP="005C30A4">
      <w:pPr>
        <w:pStyle w:val="NoSpacing"/>
        <w:rPr>
          <w:rFonts w:ascii="Arial Black" w:hAnsi="Arial Black"/>
          <w:b/>
          <w:sz w:val="24"/>
          <w:szCs w:val="24"/>
        </w:rPr>
      </w:pPr>
      <w:r>
        <w:rPr>
          <w:rFonts w:ascii="Arial Black" w:hAnsi="Arial Black"/>
          <w:b/>
          <w:sz w:val="24"/>
          <w:szCs w:val="24"/>
        </w:rPr>
        <w:t>9-10</w:t>
      </w:r>
    </w:p>
    <w:p w14:paraId="5F4DD4CB" w14:textId="77777777" w:rsidR="005C30A4" w:rsidRPr="00C14E57" w:rsidRDefault="005C30A4" w:rsidP="005C30A4">
      <w:pPr>
        <w:pStyle w:val="NormalWeb"/>
        <w:rPr>
          <w:rFonts w:ascii="Arial Black" w:hAnsi="Arial Black"/>
          <w:sz w:val="28"/>
          <w:szCs w:val="28"/>
        </w:rPr>
      </w:pPr>
      <w:r>
        <w:rPr>
          <w:rFonts w:ascii="Arial Black" w:hAnsi="Arial Black"/>
          <w:sz w:val="28"/>
          <w:szCs w:val="28"/>
        </w:rPr>
        <w:t xml:space="preserve">LA: DISPATCHER FIRED - POOR WORK PERFORMANCE – CLAIMED ANXIETY – DIDN’T REQUEST ACCOMODATIONS </w:t>
      </w:r>
    </w:p>
    <w:p w14:paraId="47E94D8E" w14:textId="77777777" w:rsidR="005C30A4" w:rsidRPr="00465FB3" w:rsidRDefault="005C30A4" w:rsidP="005C30A4">
      <w:pPr>
        <w:spacing w:before="100" w:beforeAutospacing="1" w:after="100" w:afterAutospacing="1" w:line="240" w:lineRule="auto"/>
        <w:rPr>
          <w:rFonts w:ascii="Times New Roman" w:eastAsia="Times New Roman" w:hAnsi="Times New Roman"/>
          <w:sz w:val="24"/>
          <w:szCs w:val="24"/>
        </w:rPr>
      </w:pPr>
      <w:r w:rsidRPr="00465FB3">
        <w:rPr>
          <w:rFonts w:ascii="Times New Roman" w:hAnsi="Times New Roman"/>
          <w:sz w:val="24"/>
          <w:szCs w:val="24"/>
        </w:rPr>
        <w:t xml:space="preserve">On Feb. 26, 2020, in </w:t>
      </w:r>
      <w:r w:rsidRPr="00465FB3">
        <w:rPr>
          <w:rFonts w:ascii="Times New Roman" w:hAnsi="Times New Roman"/>
          <w:sz w:val="24"/>
          <w:szCs w:val="24"/>
          <w:u w:val="single"/>
        </w:rPr>
        <w:t xml:space="preserve">Denise Watkins v. </w:t>
      </w:r>
      <w:r w:rsidRPr="00465FB3">
        <w:rPr>
          <w:rFonts w:ascii="Times New Roman" w:eastAsia="Times New Roman" w:hAnsi="Times New Roman"/>
          <w:sz w:val="24"/>
          <w:szCs w:val="24"/>
          <w:u w:val="single"/>
        </w:rPr>
        <w:t>Sheriff Michael Tregre</w:t>
      </w:r>
      <w:r w:rsidRPr="00465FB3">
        <w:rPr>
          <w:rFonts w:ascii="Times New Roman" w:eastAsia="Times New Roman" w:hAnsi="Times New Roman"/>
          <w:sz w:val="24"/>
          <w:szCs w:val="24"/>
        </w:rPr>
        <w:t xml:space="preserve">,  U.S. District Court Judge Greg Gerard Guidry, Eastern District of Louisiana, granted the Sheriff’s motion for summary judgment. </w:t>
      </w:r>
    </w:p>
    <w:p w14:paraId="53C247EB" w14:textId="5C512A4F" w:rsidR="005C30A4" w:rsidRDefault="005C30A4" w:rsidP="005C30A4">
      <w:pPr>
        <w:pStyle w:val="NoSpacing"/>
        <w:ind w:left="720"/>
        <w:rPr>
          <w:rFonts w:ascii="Arial Black" w:hAnsi="Arial Black"/>
          <w:b/>
          <w:sz w:val="24"/>
          <w:szCs w:val="24"/>
        </w:rPr>
      </w:pPr>
      <w:r w:rsidRPr="00465FB3">
        <w:rPr>
          <w:rFonts w:ascii="Times New Roman" w:hAnsi="Times New Roman"/>
          <w:bCs/>
          <w:sz w:val="24"/>
          <w:szCs w:val="24"/>
        </w:rPr>
        <w:t xml:space="preserve">“The Court finds Plaintiff has failed to produce competent summary judgment evidence to make out a </w:t>
      </w:r>
      <w:r w:rsidRPr="00465FB3">
        <w:rPr>
          <w:rFonts w:ascii="Times New Roman" w:hAnsi="Times New Roman"/>
          <w:bCs/>
          <w:i/>
          <w:iCs/>
          <w:sz w:val="24"/>
          <w:szCs w:val="24"/>
        </w:rPr>
        <w:t>prima facie</w:t>
      </w:r>
      <w:r w:rsidRPr="00465FB3">
        <w:rPr>
          <w:rFonts w:ascii="Times New Roman" w:hAnsi="Times New Roman"/>
          <w:bCs/>
          <w:sz w:val="24"/>
          <w:szCs w:val="24"/>
        </w:rPr>
        <w:t xml:space="preserve"> failure-to-accommodate claim. Plaintiff has not produced evidence to show that the consequential limitations of Plaintiff's alleged disability were known to Defendant or that Defendant failed to make reasonable </w:t>
      </w:r>
      <w:proofErr w:type="gramStart"/>
      <w:r w:rsidRPr="00465FB3">
        <w:rPr>
          <w:rFonts w:ascii="Times New Roman" w:hAnsi="Times New Roman"/>
          <w:bCs/>
          <w:sz w:val="24"/>
          <w:szCs w:val="24"/>
        </w:rPr>
        <w:t>accommodations</w:t>
      </w:r>
      <w:proofErr w:type="gramEnd"/>
      <w:r w:rsidRPr="00465FB3">
        <w:rPr>
          <w:rFonts w:ascii="Times New Roman" w:hAnsi="Times New Roman"/>
          <w:bCs/>
          <w:sz w:val="24"/>
          <w:szCs w:val="24"/>
        </w:rPr>
        <w:t xml:space="preserve"> for such limitations. Therefore, Defendant is entitled to </w:t>
      </w:r>
      <w:r w:rsidRPr="00465FB3">
        <w:rPr>
          <w:rFonts w:ascii="Times New Roman" w:hAnsi="Times New Roman"/>
          <w:bCs/>
          <w:sz w:val="24"/>
          <w:szCs w:val="24"/>
        </w:rPr>
        <w:lastRenderedPageBreak/>
        <w:t xml:space="preserve">judgment as a matter of law dismissing Plaintiff's failure-to-accommodate claim.” </w:t>
      </w:r>
      <w:hyperlink r:id="rId1647" w:history="1">
        <w:r w:rsidRPr="00465FB3">
          <w:rPr>
            <w:rStyle w:val="Hyperlink"/>
            <w:rFonts w:ascii="Times New Roman" w:hAnsi="Times New Roman"/>
            <w:bCs/>
            <w:sz w:val="24"/>
            <w:szCs w:val="24"/>
          </w:rPr>
          <w:t>https://public.fastcase.com/Wl%2B2t%2BeVuI35%2FN70vAMFZhmmbLojT%2FvpqyhULz0IXhVnEOLZ3Ga%2BMf6ctA4VMmca</w:t>
        </w:r>
      </w:hyperlink>
    </w:p>
    <w:p w14:paraId="1F7152B8" w14:textId="77777777" w:rsidR="005C30A4" w:rsidRPr="00465FB3" w:rsidRDefault="005C30A4" w:rsidP="005C30A4">
      <w:pPr>
        <w:pStyle w:val="NormalWeb"/>
        <w:rPr>
          <w:b/>
          <w:bCs/>
        </w:rPr>
      </w:pPr>
      <w:r w:rsidRPr="00465FB3">
        <w:rPr>
          <w:b/>
          <w:bCs/>
        </w:rPr>
        <w:t xml:space="preserve">Legal Lessons Learned:  As explained by the Court, “Under the ADA, an employer is only required to ‘accommodate the known limitations of an employee's disability."  A </w:t>
      </w:r>
      <w:r w:rsidRPr="00465FB3">
        <w:rPr>
          <w:b/>
          <w:bCs/>
          <w:i/>
          <w:iCs/>
        </w:rPr>
        <w:t>prima facie</w:t>
      </w:r>
      <w:r w:rsidRPr="00465FB3">
        <w:rPr>
          <w:b/>
          <w:bCs/>
        </w:rPr>
        <w:t xml:space="preserve"> case of failure-to-accommodate requires that: ‘(1) the plaintiff is a 'qualified individual with a disability;' (2) the disability and its consequential limitations were 'known' by the covered employer; and (3) the employer failed to make 'reasonable accommodations' for such known limitations.’”</w:t>
      </w:r>
    </w:p>
    <w:p w14:paraId="2B5B4844" w14:textId="67397E8A" w:rsidR="005C30A4" w:rsidRDefault="005C30A4" w:rsidP="005C30A4">
      <w:pPr>
        <w:pStyle w:val="NoSpacing"/>
        <w:rPr>
          <w:sz w:val="24"/>
          <w:szCs w:val="24"/>
        </w:rPr>
      </w:pPr>
    </w:p>
    <w:p w14:paraId="02F86562" w14:textId="77777777" w:rsidR="005C30A4" w:rsidRDefault="005C30A4" w:rsidP="005C30A4">
      <w:pPr>
        <w:pStyle w:val="NoSpacing"/>
        <w:rPr>
          <w:sz w:val="24"/>
          <w:szCs w:val="24"/>
        </w:rPr>
      </w:pPr>
    </w:p>
    <w:p w14:paraId="15086F11" w14:textId="2AB14CC9" w:rsidR="005C30A4" w:rsidRDefault="005C30A4" w:rsidP="005C30A4">
      <w:pPr>
        <w:pStyle w:val="NoSpacing"/>
        <w:rPr>
          <w:sz w:val="24"/>
          <w:szCs w:val="24"/>
        </w:rPr>
      </w:pPr>
    </w:p>
    <w:p w14:paraId="4164EED7" w14:textId="0E5604F2" w:rsidR="00997329" w:rsidRDefault="00997329" w:rsidP="005C30A4">
      <w:pPr>
        <w:pStyle w:val="NoSpacing"/>
        <w:rPr>
          <w:rFonts w:ascii="Arial Black" w:hAnsi="Arial Black"/>
          <w:b/>
          <w:sz w:val="24"/>
          <w:szCs w:val="24"/>
        </w:rPr>
      </w:pPr>
      <w:r>
        <w:rPr>
          <w:rFonts w:ascii="Arial Black" w:hAnsi="Arial Black"/>
          <w:b/>
          <w:sz w:val="24"/>
          <w:szCs w:val="24"/>
        </w:rPr>
        <w:t>9-9</w:t>
      </w:r>
    </w:p>
    <w:p w14:paraId="48F62CC5" w14:textId="77777777" w:rsidR="00997329" w:rsidRPr="00DB5BDD" w:rsidRDefault="00997329" w:rsidP="00997329">
      <w:pPr>
        <w:spacing w:before="100" w:beforeAutospacing="1" w:after="100" w:afterAutospacing="1" w:line="240" w:lineRule="auto"/>
        <w:rPr>
          <w:rFonts w:ascii="Arial Black" w:eastAsia="Times New Roman" w:hAnsi="Arial Black"/>
          <w:sz w:val="28"/>
          <w:szCs w:val="28"/>
        </w:rPr>
      </w:pPr>
      <w:r w:rsidRPr="00DB5BDD">
        <w:rPr>
          <w:rFonts w:ascii="Arial Black" w:eastAsia="Times New Roman" w:hAnsi="Arial Black"/>
          <w:sz w:val="28"/>
          <w:szCs w:val="28"/>
        </w:rPr>
        <w:t>NY:</w:t>
      </w:r>
      <w:r>
        <w:rPr>
          <w:rFonts w:ascii="Arial Black" w:eastAsia="Times New Roman" w:hAnsi="Arial Black"/>
          <w:sz w:val="28"/>
          <w:szCs w:val="28"/>
        </w:rPr>
        <w:t xml:space="preserve"> AFRICAN AMERICAN FFs WITH PFB – FDNY NEW POLICY REQUIRED FF TO SHAVE CHIN HAIR - VIOLATES ADA  </w:t>
      </w:r>
    </w:p>
    <w:p w14:paraId="27205C62" w14:textId="77777777" w:rsidR="00997329" w:rsidRPr="00465FB3" w:rsidRDefault="00997329" w:rsidP="00997329">
      <w:pPr>
        <w:tabs>
          <w:tab w:val="left" w:pos="6200"/>
        </w:tabs>
        <w:spacing w:before="100" w:beforeAutospacing="1" w:after="100" w:afterAutospacing="1" w:line="240" w:lineRule="auto"/>
        <w:rPr>
          <w:rFonts w:ascii="Times New Roman" w:eastAsia="Times New Roman" w:hAnsi="Times New Roman"/>
          <w:sz w:val="24"/>
          <w:szCs w:val="24"/>
        </w:rPr>
      </w:pPr>
      <w:r w:rsidRPr="00465FB3">
        <w:rPr>
          <w:rFonts w:ascii="Times New Roman" w:eastAsia="Times New Roman" w:hAnsi="Times New Roman"/>
          <w:sz w:val="24"/>
          <w:szCs w:val="24"/>
        </w:rPr>
        <w:t xml:space="preserve">On </w:t>
      </w:r>
      <w:bookmarkStart w:id="360" w:name="_Hlk39838735"/>
      <w:r w:rsidRPr="00465FB3">
        <w:rPr>
          <w:rFonts w:ascii="Times New Roman" w:eastAsia="Times New Roman" w:hAnsi="Times New Roman"/>
          <w:sz w:val="24"/>
          <w:szCs w:val="24"/>
        </w:rPr>
        <w:t xml:space="preserve">Jan. 29, 2020, in </w:t>
      </w:r>
      <w:r w:rsidRPr="00465FB3">
        <w:rPr>
          <w:rFonts w:ascii="Times New Roman" w:eastAsia="Times New Roman" w:hAnsi="Times New Roman"/>
          <w:sz w:val="24"/>
          <w:szCs w:val="24"/>
          <w:u w:val="single"/>
        </w:rPr>
        <w:t>Salif Bey, et al. v. City of New York</w:t>
      </w:r>
      <w:r w:rsidRPr="00465FB3">
        <w:rPr>
          <w:rFonts w:ascii="Times New Roman" w:eastAsia="Times New Roman" w:hAnsi="Times New Roman"/>
          <w:sz w:val="24"/>
          <w:szCs w:val="24"/>
        </w:rPr>
        <w:t xml:space="preserve">, </w:t>
      </w:r>
      <w:bookmarkEnd w:id="360"/>
      <w:r w:rsidRPr="00465FB3">
        <w:rPr>
          <w:rFonts w:ascii="Times New Roman" w:eastAsia="Times New Roman" w:hAnsi="Times New Roman"/>
          <w:sz w:val="24"/>
          <w:szCs w:val="24"/>
        </w:rPr>
        <w:t xml:space="preserve">Senior U.S. District Court Judge Jack B. Weinstein, Eastern District of New York, granted summary judgment to four FF who brought the lawsuit.   From Aug. 2015 until Dec. 2017, FDNY allowed 16 FF with </w:t>
      </w:r>
      <w:proofErr w:type="gramStart"/>
      <w:r w:rsidRPr="00465FB3">
        <w:rPr>
          <w:rFonts w:ascii="Times New Roman" w:eastAsia="Times New Roman" w:hAnsi="Times New Roman"/>
          <w:sz w:val="24"/>
          <w:szCs w:val="24"/>
        </w:rPr>
        <w:t>PFB to have</w:t>
      </w:r>
      <w:proofErr w:type="gramEnd"/>
      <w:r w:rsidRPr="00465FB3">
        <w:rPr>
          <w:rFonts w:ascii="Times New Roman" w:eastAsia="Times New Roman" w:hAnsi="Times New Roman"/>
          <w:sz w:val="24"/>
          <w:szCs w:val="24"/>
        </w:rPr>
        <w:t xml:space="preserve"> hair on their chin so long as they passed fit </w:t>
      </w:r>
      <w:proofErr w:type="gramStart"/>
      <w:r w:rsidRPr="00465FB3">
        <w:rPr>
          <w:rFonts w:ascii="Times New Roman" w:eastAsia="Times New Roman" w:hAnsi="Times New Roman"/>
          <w:sz w:val="24"/>
          <w:szCs w:val="24"/>
        </w:rPr>
        <w:t>test, but</w:t>
      </w:r>
      <w:proofErr w:type="gramEnd"/>
      <w:r w:rsidRPr="00465FB3">
        <w:rPr>
          <w:rFonts w:ascii="Times New Roman" w:eastAsia="Times New Roman" w:hAnsi="Times New Roman"/>
          <w:sz w:val="24"/>
          <w:szCs w:val="24"/>
        </w:rPr>
        <w:t xml:space="preserve"> changed the policy in 2018 to more strictly comply with OSHA requirements.  Judge, however, cited OSHA interpretation letter: </w:t>
      </w:r>
      <w:r w:rsidRPr="00465FB3">
        <w:rPr>
          <w:rFonts w:ascii="Times New Roman" w:eastAsia="Times New Roman" w:hAnsi="Times New Roman"/>
          <w:i/>
          <w:iCs/>
          <w:sz w:val="24"/>
          <w:szCs w:val="24"/>
        </w:rPr>
        <w:t xml:space="preserve">Facial hair is allowed </w:t>
      </w:r>
      <w:proofErr w:type="gramStart"/>
      <w:r w:rsidRPr="00465FB3">
        <w:rPr>
          <w:rFonts w:ascii="Times New Roman" w:eastAsia="Times New Roman" w:hAnsi="Times New Roman"/>
          <w:i/>
          <w:iCs/>
          <w:sz w:val="24"/>
          <w:szCs w:val="24"/>
        </w:rPr>
        <w:t>as long as</w:t>
      </w:r>
      <w:proofErr w:type="gramEnd"/>
      <w:r w:rsidRPr="00465FB3">
        <w:rPr>
          <w:rFonts w:ascii="Times New Roman" w:eastAsia="Times New Roman" w:hAnsi="Times New Roman"/>
          <w:i/>
          <w:iCs/>
          <w:sz w:val="24"/>
          <w:szCs w:val="24"/>
        </w:rPr>
        <w:t xml:space="preserve"> it does not protrude under the respirator seal, or extend far enough to interfere with the device's valve function.</w:t>
      </w:r>
    </w:p>
    <w:p w14:paraId="1F84D4C6" w14:textId="77777777" w:rsidR="00997329" w:rsidRPr="00465FB3" w:rsidRDefault="00997329" w:rsidP="00997329">
      <w:pPr>
        <w:spacing w:before="100" w:beforeAutospacing="1" w:after="100" w:afterAutospacing="1" w:line="240" w:lineRule="auto"/>
        <w:ind w:left="720"/>
        <w:rPr>
          <w:rFonts w:ascii="Times New Roman" w:eastAsia="Times New Roman" w:hAnsi="Times New Roman"/>
          <w:sz w:val="24"/>
          <w:szCs w:val="24"/>
        </w:rPr>
      </w:pPr>
      <w:r w:rsidRPr="00465FB3">
        <w:rPr>
          <w:rFonts w:ascii="Times New Roman" w:eastAsia="Times New Roman" w:hAnsi="Times New Roman"/>
          <w:sz w:val="24"/>
          <w:szCs w:val="24"/>
        </w:rPr>
        <w:t xml:space="preserve"> “Salik Bey (‘Bey’), Clyde Phillips (‘Phillips’), Steven Seymour (‘Seymour’) and Terrel Joseph (‘Joseph’) (collectively, ‘Plaintiffs’) are African American men who were employed as firefighters by the Fire Department of the City of New York (‘FDNY’ or ‘Department’) when the relevant events began. Amended </w:t>
      </w:r>
      <w:proofErr w:type="gramStart"/>
      <w:r w:rsidRPr="00465FB3">
        <w:rPr>
          <w:rFonts w:ascii="Times New Roman" w:eastAsia="Times New Roman" w:hAnsi="Times New Roman"/>
          <w:sz w:val="24"/>
          <w:szCs w:val="24"/>
        </w:rPr>
        <w:t>Complaint (‘</w:t>
      </w:r>
      <w:proofErr w:type="gramEnd"/>
      <w:r w:rsidRPr="00465FB3">
        <w:rPr>
          <w:rFonts w:ascii="Times New Roman" w:eastAsia="Times New Roman" w:hAnsi="Times New Roman"/>
          <w:sz w:val="24"/>
          <w:szCs w:val="24"/>
        </w:rPr>
        <w:t xml:space="preserve">Am. </w:t>
      </w:r>
      <w:proofErr w:type="spellStart"/>
      <w:r w:rsidRPr="00465FB3">
        <w:rPr>
          <w:rFonts w:ascii="Times New Roman" w:eastAsia="Times New Roman" w:hAnsi="Times New Roman"/>
          <w:sz w:val="24"/>
          <w:szCs w:val="24"/>
        </w:rPr>
        <w:t>Compl</w:t>
      </w:r>
      <w:proofErr w:type="spellEnd"/>
      <w:r w:rsidRPr="00465FB3">
        <w:rPr>
          <w:rFonts w:ascii="Times New Roman" w:eastAsia="Times New Roman" w:hAnsi="Times New Roman"/>
          <w:sz w:val="24"/>
          <w:szCs w:val="24"/>
        </w:rPr>
        <w:t xml:space="preserve">.’) ¶ 9, ECF No. 19. They suffer from Pseudofolliculitis Barbae ("PFB")—a physiological condition that causes disfigurement of the skin in the hair-bearing areas of the chin, cheek, and neck. </w:t>
      </w:r>
      <w:r w:rsidRPr="00465FB3">
        <w:rPr>
          <w:rFonts w:ascii="Times New Roman" w:eastAsia="Times New Roman" w:hAnsi="Times New Roman"/>
          <w:i/>
          <w:iCs/>
          <w:sz w:val="24"/>
          <w:szCs w:val="24"/>
        </w:rPr>
        <w:t>Id.</w:t>
      </w:r>
      <w:r w:rsidRPr="00465FB3">
        <w:rPr>
          <w:rFonts w:ascii="Times New Roman" w:eastAsia="Times New Roman" w:hAnsi="Times New Roman"/>
          <w:sz w:val="24"/>
          <w:szCs w:val="24"/>
        </w:rPr>
        <w:t xml:space="preserve"> at ¶¶ 22-23. *** By a letter dated May 9, 2016, OSHA interpreted the relevant RPS provision as clearing the way for Plaintiffs to maintain facial hair that does not protrude under the respirator seal:</w:t>
      </w:r>
    </w:p>
    <w:p w14:paraId="2C0EA5AA" w14:textId="0F525A13" w:rsidR="00997329" w:rsidRDefault="00997329" w:rsidP="00997329">
      <w:pPr>
        <w:ind w:left="720"/>
        <w:rPr>
          <w:rStyle w:val="Hyperlink"/>
          <w:rFonts w:ascii="Times New Roman" w:eastAsia="Times New Roman" w:hAnsi="Times New Roman"/>
          <w:sz w:val="24"/>
          <w:szCs w:val="24"/>
        </w:rPr>
      </w:pPr>
      <w:r w:rsidRPr="00465FB3">
        <w:rPr>
          <w:rFonts w:ascii="Times New Roman" w:eastAsia="Times New Roman" w:hAnsi="Times New Roman"/>
          <w:sz w:val="24"/>
          <w:szCs w:val="24"/>
        </w:rPr>
        <w:t>The Respiratory Protection standard, paragraph 29 CFR 1910.134(g)(1)(</w:t>
      </w:r>
      <w:proofErr w:type="spellStart"/>
      <w:r w:rsidRPr="00465FB3">
        <w:rPr>
          <w:rFonts w:ascii="Times New Roman" w:eastAsia="Times New Roman" w:hAnsi="Times New Roman"/>
          <w:sz w:val="24"/>
          <w:szCs w:val="24"/>
        </w:rPr>
        <w:t>i</w:t>
      </w:r>
      <w:proofErr w:type="spellEnd"/>
      <w:r w:rsidRPr="00465FB3">
        <w:rPr>
          <w:rFonts w:ascii="Times New Roman" w:eastAsia="Times New Roman" w:hAnsi="Times New Roman"/>
          <w:sz w:val="24"/>
          <w:szCs w:val="24"/>
        </w:rPr>
        <w:t xml:space="preserve">)(A), states that respirators shall not be worn when facial hair comes between the sealing surface of the facepiece and the face or that interferes with valve function. </w:t>
      </w:r>
      <w:r w:rsidRPr="00465FB3">
        <w:rPr>
          <w:rFonts w:ascii="Times New Roman" w:eastAsia="Times New Roman" w:hAnsi="Times New Roman"/>
          <w:i/>
          <w:iCs/>
          <w:sz w:val="24"/>
          <w:szCs w:val="24"/>
        </w:rPr>
        <w:t xml:space="preserve">Facial hair is allowed </w:t>
      </w:r>
      <w:proofErr w:type="gramStart"/>
      <w:r w:rsidRPr="00465FB3">
        <w:rPr>
          <w:rFonts w:ascii="Times New Roman" w:eastAsia="Times New Roman" w:hAnsi="Times New Roman"/>
          <w:i/>
          <w:iCs/>
          <w:sz w:val="24"/>
          <w:szCs w:val="24"/>
        </w:rPr>
        <w:t>as long as</w:t>
      </w:r>
      <w:proofErr w:type="gramEnd"/>
      <w:r w:rsidRPr="00465FB3">
        <w:rPr>
          <w:rFonts w:ascii="Times New Roman" w:eastAsia="Times New Roman" w:hAnsi="Times New Roman"/>
          <w:i/>
          <w:iCs/>
          <w:sz w:val="24"/>
          <w:szCs w:val="24"/>
        </w:rPr>
        <w:t xml:space="preserve"> it does not protrude under the respirator </w:t>
      </w:r>
      <w:proofErr w:type="gramStart"/>
      <w:r w:rsidRPr="00465FB3">
        <w:rPr>
          <w:rFonts w:ascii="Times New Roman" w:eastAsia="Times New Roman" w:hAnsi="Times New Roman"/>
          <w:i/>
          <w:iCs/>
          <w:sz w:val="24"/>
          <w:szCs w:val="24"/>
        </w:rPr>
        <w:t>seal, or</w:t>
      </w:r>
      <w:proofErr w:type="gramEnd"/>
      <w:r w:rsidRPr="00465FB3">
        <w:rPr>
          <w:rFonts w:ascii="Times New Roman" w:eastAsia="Times New Roman" w:hAnsi="Times New Roman"/>
          <w:i/>
          <w:iCs/>
          <w:sz w:val="24"/>
          <w:szCs w:val="24"/>
        </w:rPr>
        <w:t xml:space="preserve"> extend far enough to interfere with the device's valve function.</w:t>
      </w:r>
      <w:r w:rsidRPr="00465FB3">
        <w:rPr>
          <w:rFonts w:ascii="Times New Roman" w:eastAsia="Times New Roman" w:hAnsi="Times New Roman"/>
          <w:sz w:val="24"/>
          <w:szCs w:val="24"/>
        </w:rPr>
        <w:t xml:space="preserve"> Short mustaches, sideburns, and small goatees that are neatly trimmed so that no hair compromises the seal of the respirator usually do not present a hazard, and, therefore, do not violate paragraph 1910.134(g)(1)(</w:t>
      </w:r>
      <w:proofErr w:type="spellStart"/>
      <w:r w:rsidRPr="00465FB3">
        <w:rPr>
          <w:rFonts w:ascii="Times New Roman" w:eastAsia="Times New Roman" w:hAnsi="Times New Roman"/>
          <w:sz w:val="24"/>
          <w:szCs w:val="24"/>
        </w:rPr>
        <w:t>i</w:t>
      </w:r>
      <w:proofErr w:type="spellEnd"/>
      <w:r w:rsidRPr="00465FB3">
        <w:rPr>
          <w:rFonts w:ascii="Times New Roman" w:eastAsia="Times New Roman" w:hAnsi="Times New Roman"/>
          <w:sz w:val="24"/>
          <w:szCs w:val="24"/>
        </w:rPr>
        <w:t xml:space="preserve">). May 9, </w:t>
      </w:r>
      <w:proofErr w:type="gramStart"/>
      <w:r w:rsidRPr="00465FB3">
        <w:rPr>
          <w:rFonts w:ascii="Times New Roman" w:eastAsia="Times New Roman" w:hAnsi="Times New Roman"/>
          <w:sz w:val="24"/>
          <w:szCs w:val="24"/>
        </w:rPr>
        <w:t>2016</w:t>
      </w:r>
      <w:proofErr w:type="gramEnd"/>
      <w:r w:rsidRPr="00465FB3">
        <w:rPr>
          <w:rFonts w:ascii="Times New Roman" w:eastAsia="Times New Roman" w:hAnsi="Times New Roman"/>
          <w:sz w:val="24"/>
          <w:szCs w:val="24"/>
        </w:rPr>
        <w:t xml:space="preserve"> OSHA Interpretative Letter at 2, ECF No. 48-15 (emphasis added). *** On the theory and facts of the ‘failure to accommodate’ and disability discrimination claims under the Americans with Disabilities Act (‘ADA’), Plaintiffs are entitled to summary judgment against Defendants and to reinstatement of the accommodation previously in effect.”  </w:t>
      </w:r>
      <w:bookmarkStart w:id="361" w:name="_Hlk39838756"/>
      <w:r w:rsidR="00DC51D4">
        <w:fldChar w:fldCharType="begin"/>
      </w:r>
      <w:r w:rsidR="00DC51D4">
        <w:instrText xml:space="preserve"> HYPERLINK "https://scholar.google.com/scholar_case?case=10499866017529575475&amp;q=+Bey+v.+City+of+New+York&amp;hl=en&amp;as_sdt=6,36&amp;as_ylo=2020" </w:instrText>
      </w:r>
      <w:r w:rsidR="00DC51D4">
        <w:fldChar w:fldCharType="separate"/>
      </w:r>
      <w:r w:rsidRPr="00465FB3">
        <w:rPr>
          <w:rStyle w:val="Hyperlink"/>
          <w:rFonts w:ascii="Times New Roman" w:eastAsia="Times New Roman" w:hAnsi="Times New Roman"/>
          <w:sz w:val="24"/>
          <w:szCs w:val="24"/>
        </w:rPr>
        <w:t>https://scholar.google.com/scholar_case?case=10499866017529575475&amp;q=+Bey+v.+City+of+New+York&amp;hl=en&amp;as_sdt=6,36&amp;as_ylo=2020</w:t>
      </w:r>
      <w:r w:rsidR="00DC51D4">
        <w:rPr>
          <w:rStyle w:val="Hyperlink"/>
          <w:rFonts w:ascii="Times New Roman" w:eastAsia="Times New Roman" w:hAnsi="Times New Roman"/>
          <w:sz w:val="24"/>
          <w:szCs w:val="24"/>
        </w:rPr>
        <w:fldChar w:fldCharType="end"/>
      </w:r>
    </w:p>
    <w:bookmarkEnd w:id="361"/>
    <w:p w14:paraId="37988CF0" w14:textId="77777777" w:rsidR="00997329" w:rsidRPr="00465FB3" w:rsidRDefault="00997329" w:rsidP="00997329">
      <w:pPr>
        <w:spacing w:before="100" w:beforeAutospacing="1" w:after="100" w:afterAutospacing="1"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 xml:space="preserve">Legal Lessons Learned:  The OSHA interpretation letter, not requiring complete shaved face, was very important in this ADA litigation.   </w:t>
      </w:r>
    </w:p>
    <w:p w14:paraId="65563768" w14:textId="77777777" w:rsidR="00997329" w:rsidRDefault="00997329" w:rsidP="00997329">
      <w:pPr>
        <w:ind w:left="720"/>
        <w:rPr>
          <w:rFonts w:ascii="Arial Black" w:hAnsi="Arial Black"/>
          <w:b/>
          <w:sz w:val="24"/>
          <w:szCs w:val="24"/>
        </w:rPr>
      </w:pPr>
    </w:p>
    <w:p w14:paraId="173C5569" w14:textId="77777777" w:rsidR="00997329" w:rsidRDefault="00997329" w:rsidP="002B1283">
      <w:pPr>
        <w:rPr>
          <w:rFonts w:ascii="Arial Black" w:hAnsi="Arial Black"/>
          <w:b/>
          <w:sz w:val="24"/>
          <w:szCs w:val="24"/>
        </w:rPr>
      </w:pPr>
    </w:p>
    <w:p w14:paraId="538F52C2" w14:textId="582B7BE1" w:rsidR="00A52325" w:rsidRDefault="00177094" w:rsidP="002B1283">
      <w:pPr>
        <w:rPr>
          <w:rFonts w:ascii="Arial Black" w:hAnsi="Arial Black"/>
          <w:b/>
          <w:sz w:val="24"/>
          <w:szCs w:val="24"/>
        </w:rPr>
      </w:pPr>
      <w:r>
        <w:rPr>
          <w:rFonts w:ascii="Arial Black" w:hAnsi="Arial Black"/>
          <w:b/>
          <w:sz w:val="24"/>
          <w:szCs w:val="24"/>
        </w:rPr>
        <w:t>9-8</w:t>
      </w:r>
    </w:p>
    <w:p w14:paraId="4EEEDE16" w14:textId="77777777" w:rsidR="00177094" w:rsidRDefault="00177094" w:rsidP="00177094">
      <w:pPr>
        <w:pStyle w:val="NoSpacing"/>
        <w:rPr>
          <w:rFonts w:ascii="Arial Black" w:hAnsi="Arial Black"/>
          <w:b/>
          <w:bCs/>
          <w:sz w:val="28"/>
          <w:szCs w:val="28"/>
        </w:rPr>
      </w:pPr>
      <w:r>
        <w:rPr>
          <w:rFonts w:ascii="Arial Black" w:hAnsi="Arial Black"/>
          <w:bCs/>
          <w:sz w:val="28"/>
          <w:szCs w:val="28"/>
        </w:rPr>
        <w:t>GA: PARAMEDIC WITH MS – TEACHER / LAB ASSIS. – 3 DAYS SICK, COLLEGE REMOVED FULL SEMESTER – DOJ SETTLEMENT / BOJ BLOG</w:t>
      </w:r>
    </w:p>
    <w:p w14:paraId="490092D0" w14:textId="77777777" w:rsidR="00177094" w:rsidRPr="004236BE" w:rsidRDefault="00177094" w:rsidP="00177094">
      <w:pPr>
        <w:rPr>
          <w:rFonts w:ascii="Times New Roman" w:hAnsi="Times New Roman"/>
          <w:b/>
          <w:bCs/>
          <w:sz w:val="24"/>
          <w:szCs w:val="24"/>
        </w:rPr>
      </w:pPr>
      <w:r w:rsidRPr="00177094">
        <w:rPr>
          <w:rFonts w:ascii="Times New Roman" w:hAnsi="Times New Roman"/>
          <w:bCs/>
          <w:sz w:val="24"/>
          <w:szCs w:val="24"/>
        </w:rPr>
        <w:t>Ja</w:t>
      </w:r>
      <w:r w:rsidRPr="004236BE">
        <w:rPr>
          <w:rFonts w:ascii="Times New Roman" w:hAnsi="Times New Roman"/>
          <w:bCs/>
          <w:sz w:val="24"/>
          <w:szCs w:val="24"/>
        </w:rPr>
        <w:t xml:space="preserve">n. 27, 2020:  </w:t>
      </w:r>
      <w:proofErr w:type="spellStart"/>
      <w:r w:rsidRPr="004236BE">
        <w:rPr>
          <w:rFonts w:ascii="Times New Roman" w:hAnsi="Times New Roman"/>
          <w:bCs/>
          <w:sz w:val="24"/>
          <w:szCs w:val="24"/>
        </w:rPr>
        <w:t>DoJ</w:t>
      </w:r>
      <w:proofErr w:type="spellEnd"/>
      <w:r w:rsidRPr="004236BE">
        <w:rPr>
          <w:rFonts w:ascii="Times New Roman" w:hAnsi="Times New Roman"/>
          <w:bCs/>
          <w:sz w:val="24"/>
          <w:szCs w:val="24"/>
        </w:rPr>
        <w:t xml:space="preserve"> BLOG about settlement, about the Nov. 7, </w:t>
      </w:r>
      <w:proofErr w:type="gramStart"/>
      <w:r w:rsidRPr="004236BE">
        <w:rPr>
          <w:rFonts w:ascii="Times New Roman" w:hAnsi="Times New Roman"/>
          <w:bCs/>
          <w:sz w:val="24"/>
          <w:szCs w:val="24"/>
        </w:rPr>
        <w:t>2019</w:t>
      </w:r>
      <w:proofErr w:type="gramEnd"/>
      <w:r w:rsidRPr="004236BE">
        <w:rPr>
          <w:rFonts w:ascii="Times New Roman" w:hAnsi="Times New Roman"/>
          <w:bCs/>
          <w:sz w:val="24"/>
          <w:szCs w:val="24"/>
        </w:rPr>
        <w:t xml:space="preserve"> settlement:</w:t>
      </w:r>
      <w:r w:rsidRPr="004236BE">
        <w:rPr>
          <w:rFonts w:ascii="Times New Roman" w:hAnsi="Times New Roman"/>
          <w:bCs/>
          <w:sz w:val="24"/>
          <w:szCs w:val="24"/>
          <w:u w:val="single"/>
        </w:rPr>
        <w:t xml:space="preserve"> United States v. Lanier Technical College</w:t>
      </w:r>
      <w:r w:rsidRPr="004236BE">
        <w:rPr>
          <w:rFonts w:ascii="Times New Roman" w:hAnsi="Times New Roman"/>
          <w:bCs/>
          <w:sz w:val="24"/>
          <w:szCs w:val="24"/>
        </w:rPr>
        <w:t xml:space="preserve">: U.S. District Court, Northern District of Georgia (Atlanta).  </w:t>
      </w:r>
    </w:p>
    <w:p w14:paraId="360D0B5B"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“From 2009-2012, in addition to working as a full-time paramedic, Ms. Queen worked evening shifts as a part-time EMT lab assistant at Lanier Technical College, a unit of the Technical College System of Georgia. She loved teaching and hoped to someday become a full-time instructor. One former colleague described Ms. Queen as a ‘superstar’ lab assistant whom ‘students loved.’ But after Ms. Queen took three days of sick leave due to her MS, the college removed her from the teaching schedule for an entire school semester, thus reducing her hours and pay to zero. As alleged by the Justice Department in a complaint filed in federal district court in November 2019, the college’s actions effectively terminated Ms. Queen’s employment </w:t>
      </w:r>
      <w:proofErr w:type="gramStart"/>
      <w:r w:rsidRPr="004236BE">
        <w:rPr>
          <w:rFonts w:ascii="Times New Roman" w:hAnsi="Times New Roman"/>
          <w:bCs/>
          <w:sz w:val="24"/>
          <w:szCs w:val="24"/>
        </w:rPr>
        <w:t>on the basis of</w:t>
      </w:r>
      <w:proofErr w:type="gramEnd"/>
      <w:r w:rsidRPr="004236BE">
        <w:rPr>
          <w:rFonts w:ascii="Times New Roman" w:hAnsi="Times New Roman"/>
          <w:bCs/>
          <w:sz w:val="24"/>
          <w:szCs w:val="24"/>
        </w:rPr>
        <w:t xml:space="preserve"> her disability, in violation of Title I of the ADA.” </w:t>
      </w:r>
    </w:p>
    <w:p w14:paraId="2D797B13" w14:textId="77777777" w:rsidR="00177094" w:rsidRPr="004236BE" w:rsidRDefault="00177094" w:rsidP="00177094">
      <w:pPr>
        <w:pStyle w:val="NoSpacing"/>
        <w:ind w:left="720"/>
        <w:rPr>
          <w:rFonts w:ascii="Times New Roman" w:hAnsi="Times New Roman"/>
          <w:b/>
          <w:bCs/>
          <w:sz w:val="24"/>
          <w:szCs w:val="24"/>
        </w:rPr>
      </w:pPr>
      <w:hyperlink r:id="rId1648" w:history="1">
        <w:r w:rsidRPr="004236BE">
          <w:rPr>
            <w:rStyle w:val="Hyperlink"/>
            <w:rFonts w:ascii="Times New Roman" w:hAnsi="Times New Roman"/>
            <w:b/>
            <w:sz w:val="24"/>
            <w:szCs w:val="24"/>
          </w:rPr>
          <w:t>https://www.justice.gov/opa/blog/americans-disabilities-act-30th-anniversary-furthering-promise</w:t>
        </w:r>
      </w:hyperlink>
      <w:r w:rsidRPr="004236BE">
        <w:rPr>
          <w:rStyle w:val="Hyperlink"/>
          <w:rFonts w:ascii="Times New Roman" w:hAnsi="Times New Roman"/>
          <w:b/>
          <w:sz w:val="24"/>
          <w:szCs w:val="24"/>
        </w:rPr>
        <w:t xml:space="preserve"> </w:t>
      </w:r>
    </w:p>
    <w:p w14:paraId="287359A7" w14:textId="77777777" w:rsidR="00177094" w:rsidRPr="004236BE" w:rsidRDefault="00177094" w:rsidP="00177094">
      <w:pPr>
        <w:pStyle w:val="NoSpacing"/>
        <w:rPr>
          <w:rFonts w:ascii="Times New Roman" w:hAnsi="Times New Roman"/>
          <w:b/>
          <w:bCs/>
          <w:sz w:val="24"/>
          <w:szCs w:val="24"/>
        </w:rPr>
      </w:pPr>
    </w:p>
    <w:p w14:paraId="6C4315A9" w14:textId="77777777" w:rsidR="00177094" w:rsidRPr="004236BE" w:rsidRDefault="00177094" w:rsidP="00177094">
      <w:pPr>
        <w:pStyle w:val="NormalWeb"/>
        <w:rPr>
          <w:b/>
        </w:rPr>
      </w:pPr>
      <w:r w:rsidRPr="004236BE">
        <w:rPr>
          <w:bCs/>
        </w:rPr>
        <w:t xml:space="preserve">Nov. 7, </w:t>
      </w:r>
      <w:proofErr w:type="gramStart"/>
      <w:r w:rsidRPr="004236BE">
        <w:rPr>
          <w:bCs/>
        </w:rPr>
        <w:t>2019</w:t>
      </w:r>
      <w:proofErr w:type="gramEnd"/>
      <w:r w:rsidRPr="004236BE">
        <w:rPr>
          <w:bCs/>
        </w:rPr>
        <w:t xml:space="preserve"> Settlement Press Release:</w:t>
      </w:r>
    </w:p>
    <w:p w14:paraId="64A2E4DC" w14:textId="77777777" w:rsidR="00177094" w:rsidRPr="004236BE" w:rsidRDefault="00177094" w:rsidP="00177094">
      <w:pPr>
        <w:pStyle w:val="NormalWeb"/>
        <w:ind w:left="720"/>
        <w:rPr>
          <w:b/>
        </w:rPr>
      </w:pPr>
      <w:r w:rsidRPr="004236BE">
        <w:t xml:space="preserve">“The agreement resolves the Department’s complaint alleging that the college terminated an employee, who has multiple sclerosis, </w:t>
      </w:r>
      <w:proofErr w:type="gramStart"/>
      <w:r w:rsidRPr="004236BE">
        <w:t>on the basis of</w:t>
      </w:r>
      <w:proofErr w:type="gramEnd"/>
      <w:r w:rsidRPr="004236BE">
        <w:t xml:space="preserve"> her disability after years of service to the college. The complaint further alleges that, after the employee took three days of sick leave one summer, the college removed her from the teaching schedule for an entire school semester, thus reducing her hours and pay to zero, due to her multiple sclerosis.” </w:t>
      </w:r>
      <w:hyperlink r:id="rId1649" w:history="1">
        <w:r w:rsidRPr="004236BE">
          <w:rPr>
            <w:rStyle w:val="Hyperlink"/>
            <w:b/>
          </w:rPr>
          <w:t>https://www.justice.gov/opa/pr/justice-department-settles-college-resolve-disability-discrimination-complaint</w:t>
        </w:r>
      </w:hyperlink>
      <w:r w:rsidRPr="004236BE">
        <w:t xml:space="preserve"> </w:t>
      </w:r>
    </w:p>
    <w:p w14:paraId="2DC290D6" w14:textId="77777777" w:rsidR="00177094" w:rsidRPr="004236BE" w:rsidRDefault="00177094" w:rsidP="00177094">
      <w:pPr>
        <w:pStyle w:val="NoSpacing"/>
        <w:rPr>
          <w:rFonts w:ascii="Times New Roman" w:hAnsi="Times New Roman"/>
          <w:sz w:val="24"/>
          <w:szCs w:val="24"/>
        </w:rPr>
      </w:pPr>
      <w:r w:rsidRPr="004236BE">
        <w:rPr>
          <w:rFonts w:ascii="Times New Roman" w:hAnsi="Times New Roman"/>
          <w:b/>
          <w:bCs/>
          <w:sz w:val="24"/>
          <w:szCs w:val="24"/>
        </w:rPr>
        <w:t>Legal Lessons Learned:  U.S. Department of Justice aggressively enforces the ADA</w:t>
      </w:r>
      <w:r>
        <w:rPr>
          <w:rFonts w:ascii="Times New Roman" w:hAnsi="Times New Roman"/>
          <w:b/>
          <w:bCs/>
          <w:sz w:val="24"/>
          <w:szCs w:val="24"/>
        </w:rPr>
        <w:t>, including this lawsuit on behalf of a paramedic and teacher</w:t>
      </w:r>
      <w:r w:rsidRPr="004236BE">
        <w:rPr>
          <w:rFonts w:ascii="Times New Roman" w:hAnsi="Times New Roman"/>
          <w:sz w:val="24"/>
          <w:szCs w:val="24"/>
        </w:rPr>
        <w:t xml:space="preserve">. </w:t>
      </w:r>
    </w:p>
    <w:p w14:paraId="395D64C0" w14:textId="77777777" w:rsidR="00177094" w:rsidRDefault="00177094" w:rsidP="002B1283">
      <w:pPr>
        <w:rPr>
          <w:rFonts w:ascii="Arial Black" w:hAnsi="Arial Black"/>
          <w:b/>
          <w:sz w:val="24"/>
          <w:szCs w:val="24"/>
        </w:rPr>
      </w:pPr>
    </w:p>
    <w:p w14:paraId="4C2DAA6F" w14:textId="473A62E6" w:rsidR="00A52325" w:rsidRDefault="00A52325" w:rsidP="002B1283">
      <w:pPr>
        <w:rPr>
          <w:rFonts w:ascii="Arial Black" w:hAnsi="Arial Black"/>
          <w:b/>
          <w:sz w:val="24"/>
          <w:szCs w:val="24"/>
        </w:rPr>
      </w:pPr>
      <w:r>
        <w:rPr>
          <w:rFonts w:ascii="Arial Black" w:hAnsi="Arial Black"/>
          <w:b/>
          <w:sz w:val="24"/>
          <w:szCs w:val="24"/>
        </w:rPr>
        <w:t>9-7</w:t>
      </w:r>
    </w:p>
    <w:p w14:paraId="7F08866C" w14:textId="77777777" w:rsidR="00A52325" w:rsidRDefault="00A52325" w:rsidP="00A52325">
      <w:pPr>
        <w:pStyle w:val="NoSpacing"/>
        <w:rPr>
          <w:rFonts w:ascii="Arial Black" w:hAnsi="Arial Black"/>
          <w:sz w:val="28"/>
          <w:szCs w:val="28"/>
        </w:rPr>
      </w:pPr>
      <w:r>
        <w:rPr>
          <w:rFonts w:ascii="Arial Black" w:hAnsi="Arial Black"/>
          <w:sz w:val="28"/>
          <w:szCs w:val="28"/>
        </w:rPr>
        <w:t>FL:  FIREFIGHTER LATE FOR MANY SHIFTS – CLAIMED DISABILITY – PROPERLY FIRED – ESSENTIAL JOB FUNCTION TO BE ONTIME</w:t>
      </w:r>
    </w:p>
    <w:p w14:paraId="0519CE15" w14:textId="77777777" w:rsidR="00A52325" w:rsidRDefault="00A52325" w:rsidP="00A52325">
      <w:pPr>
        <w:pStyle w:val="NoSpacing"/>
        <w:rPr>
          <w:rFonts w:ascii="Arial Black" w:hAnsi="Arial Black"/>
          <w:sz w:val="28"/>
          <w:szCs w:val="28"/>
        </w:rPr>
      </w:pPr>
    </w:p>
    <w:p w14:paraId="4A039E05" w14:textId="77777777" w:rsidR="00A52325" w:rsidRDefault="00A52325" w:rsidP="00A52325">
      <w:pPr>
        <w:pStyle w:val="NoSpacing"/>
        <w:rPr>
          <w:rFonts w:ascii="Times New Roman" w:hAnsi="Times New Roman"/>
          <w:sz w:val="24"/>
          <w:szCs w:val="24"/>
        </w:rPr>
      </w:pPr>
      <w:r>
        <w:rPr>
          <w:rFonts w:ascii="Times New Roman" w:hAnsi="Times New Roman"/>
          <w:sz w:val="24"/>
          <w:szCs w:val="24"/>
        </w:rPr>
        <w:t xml:space="preserve">On Nov. 13, 2019, in </w:t>
      </w:r>
      <w:r>
        <w:rPr>
          <w:rFonts w:ascii="Times New Roman" w:hAnsi="Times New Roman"/>
          <w:sz w:val="24"/>
          <w:szCs w:val="24"/>
          <w:u w:val="single"/>
        </w:rPr>
        <w:t>Darrell C. Hartwell v. Richard Spencer, Secretary of U.S. Navy</w:t>
      </w:r>
      <w:r>
        <w:rPr>
          <w:rFonts w:ascii="Times New Roman" w:hAnsi="Times New Roman"/>
          <w:sz w:val="24"/>
          <w:szCs w:val="24"/>
        </w:rPr>
        <w:t>, the U.S. Court of Appeals for 11</w:t>
      </w:r>
      <w:r>
        <w:rPr>
          <w:rFonts w:ascii="Times New Roman" w:hAnsi="Times New Roman"/>
          <w:sz w:val="24"/>
          <w:szCs w:val="24"/>
          <w:vertAlign w:val="superscript"/>
        </w:rPr>
        <w:t>th</w:t>
      </w:r>
      <w:r>
        <w:rPr>
          <w:rFonts w:ascii="Times New Roman" w:hAnsi="Times New Roman"/>
          <w:sz w:val="24"/>
          <w:szCs w:val="24"/>
        </w:rPr>
        <w:t xml:space="preserve"> Circuit (Atlanta) held (3 to 0) in an unpublished decision, that U.S. District Court properly granted summary judgment to the U.S. Navy. </w:t>
      </w:r>
    </w:p>
    <w:p w14:paraId="25F0E9D3" w14:textId="5DD02A5B" w:rsidR="00A52325" w:rsidRDefault="00A52325" w:rsidP="00A52325">
      <w:pPr>
        <w:pStyle w:val="Heading1"/>
        <w:ind w:left="720"/>
        <w:rPr>
          <w:rStyle w:val="Hyperlink"/>
          <w:b w:val="0"/>
          <w:bCs w:val="0"/>
          <w:sz w:val="24"/>
          <w:szCs w:val="24"/>
        </w:rPr>
      </w:pPr>
      <w:r>
        <w:rPr>
          <w:b w:val="0"/>
          <w:bCs w:val="0"/>
          <w:sz w:val="24"/>
          <w:szCs w:val="24"/>
        </w:rPr>
        <w:t xml:space="preserve">“Hartwell contends that his medical conditions impair his time management skills and the medication that he takes causes morning drowsiness, making it impossible for him to consistently report for work by 7:00 a.m. The only accommodation he requested was to allow him to come to work up to an hour late </w:t>
      </w:r>
      <w:r>
        <w:rPr>
          <w:b w:val="0"/>
          <w:bCs w:val="0"/>
          <w:sz w:val="24"/>
          <w:szCs w:val="24"/>
        </w:rPr>
        <w:lastRenderedPageBreak/>
        <w:t xml:space="preserve">without prior notice. A few days before he was fired, Hartwell provided a note from his doctor stating that Hartwell’s condition was permanent, but that his symptoms could be ‘minimized’ ‘with long term individual counseling and medication.’ In other words, with or without the accommodation he requested, Hartwell expected to continue his pattern of frequent tardiness indefinitely. The pivotal issue on appeal, therefore, is whether punctuality is an essential function of the job of a firefighter/EMT. *** We agree with the district court that reporting to work on time was an essential function of Hartwell’s job as a firefighter/EMT. Because Hartwell could not perform this function with or without his requested accommodation, he is not “otherwise qualified” within the meaning of the Rehabilitation Act, and the district court correctly granted the defendant’s motion for summary judgment on this claim. </w:t>
      </w:r>
      <w:hyperlink r:id="rId1650" w:history="1">
        <w:r>
          <w:rPr>
            <w:rStyle w:val="Hyperlink"/>
            <w:b w:val="0"/>
            <w:bCs w:val="0"/>
            <w:sz w:val="24"/>
            <w:szCs w:val="24"/>
          </w:rPr>
          <w:t>http://media.ca11.uscourts.gov/opinions/unpub/files/201814488.pdf</w:t>
        </w:r>
      </w:hyperlink>
    </w:p>
    <w:p w14:paraId="1121DE4A" w14:textId="77777777" w:rsidR="00A52325" w:rsidRDefault="00A52325" w:rsidP="00A52325">
      <w:pPr>
        <w:pStyle w:val="NoSpacing"/>
        <w:rPr>
          <w:rFonts w:ascii="Times New Roman" w:hAnsi="Times New Roman"/>
          <w:b/>
          <w:bCs/>
          <w:sz w:val="24"/>
          <w:szCs w:val="24"/>
        </w:rPr>
      </w:pPr>
      <w:bookmarkStart w:id="362" w:name="_Hlk40512080"/>
      <w:r>
        <w:rPr>
          <w:rFonts w:ascii="Times New Roman" w:hAnsi="Times New Roman"/>
          <w:b/>
          <w:bCs/>
          <w:sz w:val="24"/>
          <w:szCs w:val="24"/>
        </w:rPr>
        <w:t>Legal Lessons Learned: The Court properly recognized the essential job function of a firefighters – to show up for work on time.</w:t>
      </w:r>
    </w:p>
    <w:bookmarkEnd w:id="362"/>
    <w:p w14:paraId="15F5C8B7" w14:textId="20036D16" w:rsidR="00A52325" w:rsidRPr="00A52325" w:rsidRDefault="00A52325" w:rsidP="00A52325">
      <w:pPr>
        <w:pStyle w:val="Heading1"/>
        <w:rPr>
          <w:b w:val="0"/>
          <w:sz w:val="24"/>
          <w:szCs w:val="24"/>
        </w:rPr>
      </w:pPr>
    </w:p>
    <w:p w14:paraId="744C8397" w14:textId="3DD3CC71" w:rsidR="009F0F05" w:rsidRPr="00BC70A3" w:rsidRDefault="009F0F05" w:rsidP="002B1283">
      <w:pPr>
        <w:rPr>
          <w:rFonts w:ascii="Times New Roman" w:hAnsi="Times New Roman"/>
          <w:b/>
          <w:sz w:val="24"/>
          <w:szCs w:val="24"/>
        </w:rPr>
      </w:pPr>
      <w:r>
        <w:rPr>
          <w:rFonts w:ascii="Arial Black" w:hAnsi="Arial Black"/>
          <w:b/>
          <w:sz w:val="24"/>
          <w:szCs w:val="24"/>
        </w:rPr>
        <w:t>9-6</w:t>
      </w:r>
      <w:r w:rsidR="00BC70A3">
        <w:rPr>
          <w:rFonts w:ascii="Arial Black" w:hAnsi="Arial Black"/>
          <w:b/>
          <w:sz w:val="24"/>
          <w:szCs w:val="24"/>
        </w:rPr>
        <w:t xml:space="preserve"> </w:t>
      </w:r>
      <w:r w:rsidR="00BC70A3" w:rsidRPr="00BC70A3">
        <w:rPr>
          <w:rFonts w:ascii="Times New Roman" w:hAnsi="Times New Roman"/>
          <w:b/>
          <w:sz w:val="24"/>
          <w:szCs w:val="24"/>
        </w:rPr>
        <w:t>[See also 9-17, FDNY case]</w:t>
      </w:r>
      <w:r w:rsidR="00BC70A3">
        <w:rPr>
          <w:rFonts w:ascii="Times New Roman" w:hAnsi="Times New Roman"/>
          <w:b/>
          <w:sz w:val="24"/>
          <w:szCs w:val="24"/>
        </w:rPr>
        <w:t xml:space="preserve"> </w:t>
      </w:r>
    </w:p>
    <w:p w14:paraId="630CE311" w14:textId="77777777" w:rsidR="009F0F05" w:rsidRPr="0029740B" w:rsidRDefault="009F0F05" w:rsidP="009F0F05">
      <w:pPr>
        <w:rPr>
          <w:rFonts w:ascii="Arial Black" w:hAnsi="Arial Black"/>
          <w:sz w:val="28"/>
          <w:szCs w:val="28"/>
        </w:rPr>
      </w:pPr>
      <w:bookmarkStart w:id="363" w:name="_Hlk39771125"/>
      <w:r w:rsidRPr="0029740B">
        <w:rPr>
          <w:rFonts w:ascii="Arial Black" w:hAnsi="Arial Black"/>
          <w:sz w:val="28"/>
          <w:szCs w:val="28"/>
        </w:rPr>
        <w:t>PA</w:t>
      </w:r>
      <w:r>
        <w:rPr>
          <w:rFonts w:ascii="Arial Black" w:hAnsi="Arial Black"/>
          <w:sz w:val="28"/>
          <w:szCs w:val="28"/>
        </w:rPr>
        <w:t>:  PAINFUL TO SHAVE – POLICE DEPT. REQUIRED MEDICAL CERT. EACH 60 DAYS – LAWSUIT REINSTATED FOR ADA BREACH</w:t>
      </w:r>
    </w:p>
    <w:p w14:paraId="61DD0D53" w14:textId="3190450A" w:rsidR="009F0F05" w:rsidRDefault="009F0F05" w:rsidP="009F0F05">
      <w:pPr>
        <w:rPr>
          <w:rFonts w:ascii="Times New Roman" w:hAnsi="Times New Roman"/>
          <w:sz w:val="24"/>
          <w:szCs w:val="24"/>
        </w:rPr>
      </w:pPr>
      <w:r w:rsidRPr="000113F5">
        <w:rPr>
          <w:rFonts w:ascii="Times New Roman" w:hAnsi="Times New Roman"/>
          <w:sz w:val="24"/>
          <w:szCs w:val="24"/>
        </w:rPr>
        <w:t xml:space="preserve">On Aug. 8, 2019, in </w:t>
      </w:r>
      <w:r w:rsidRPr="00080E6F">
        <w:rPr>
          <w:rFonts w:ascii="Times New Roman" w:hAnsi="Times New Roman"/>
          <w:sz w:val="24"/>
          <w:szCs w:val="24"/>
          <w:u w:val="single"/>
        </w:rPr>
        <w:t>Joseph H. Lewis, Jr. v. University of Pennsylvania</w:t>
      </w:r>
      <w:r>
        <w:rPr>
          <w:rFonts w:ascii="Times New Roman" w:hAnsi="Times New Roman"/>
          <w:sz w:val="24"/>
          <w:szCs w:val="24"/>
        </w:rPr>
        <w:t>, the U.S. Court of Appeals for Third Circuit (Philadelphia), held (3 to 0) that a U.S. District Court incorrectly dismissed his ADA lawsuit.  Chief Judge Smith wrote:</w:t>
      </w:r>
    </w:p>
    <w:p w14:paraId="78552036" w14:textId="77777777" w:rsidR="009F0F05" w:rsidRDefault="009F0F05" w:rsidP="009F0F05">
      <w:pPr>
        <w:pStyle w:val="NoSpacing"/>
        <w:ind w:left="1440"/>
        <w:rPr>
          <w:sz w:val="32"/>
          <w:szCs w:val="32"/>
        </w:rPr>
      </w:pPr>
      <w:r>
        <w:rPr>
          <w:rFonts w:ascii="Times New Roman" w:hAnsi="Times New Roman"/>
          <w:sz w:val="24"/>
          <w:szCs w:val="24"/>
        </w:rPr>
        <w:t>“</w:t>
      </w:r>
      <w:r w:rsidRPr="00425C6F">
        <w:rPr>
          <w:rFonts w:ascii="Times New Roman" w:hAnsi="Times New Roman"/>
          <w:sz w:val="24"/>
          <w:szCs w:val="24"/>
        </w:rPr>
        <w:t>This is an employment discrimination appeal arising out of Plaintiff Joseph Lewis’s previous employment with the University of Pennsylvania Police Department. Lewis suffers from a skin condition, pseudofolliculitis barbae (PFB), which has led to issues giving rise to his discrimination claims.</w:t>
      </w:r>
      <w:r>
        <w:rPr>
          <w:rFonts w:ascii="Times New Roman" w:hAnsi="Times New Roman"/>
          <w:sz w:val="24"/>
          <w:szCs w:val="24"/>
        </w:rPr>
        <w:t xml:space="preserve"> ***</w:t>
      </w:r>
    </w:p>
    <w:p w14:paraId="74C1B4F8" w14:textId="77777777" w:rsidR="009F0F05" w:rsidRDefault="009F0F05" w:rsidP="009F0F05">
      <w:pPr>
        <w:ind w:left="1440"/>
        <w:rPr>
          <w:rFonts w:ascii="Times New Roman" w:hAnsi="Times New Roman"/>
          <w:sz w:val="24"/>
          <w:szCs w:val="24"/>
        </w:rPr>
      </w:pPr>
      <w:r w:rsidRPr="00425C6F">
        <w:rPr>
          <w:rFonts w:ascii="Times New Roman" w:hAnsi="Times New Roman"/>
          <w:sz w:val="24"/>
          <w:szCs w:val="24"/>
        </w:rPr>
        <w:t xml:space="preserve">Lewis submitted a request for accommodation, requesting to </w:t>
      </w:r>
      <w:r>
        <w:rPr>
          <w:rFonts w:ascii="Times New Roman" w:hAnsi="Times New Roman"/>
          <w:sz w:val="24"/>
          <w:szCs w:val="24"/>
        </w:rPr>
        <w:t>‘</w:t>
      </w:r>
      <w:r w:rsidRPr="00425C6F">
        <w:rPr>
          <w:rFonts w:ascii="Times New Roman" w:hAnsi="Times New Roman"/>
          <w:sz w:val="24"/>
          <w:szCs w:val="24"/>
        </w:rPr>
        <w:t>not shave face or neck</w:t>
      </w:r>
      <w:r>
        <w:rPr>
          <w:rFonts w:ascii="Times New Roman" w:hAnsi="Times New Roman"/>
          <w:sz w:val="24"/>
          <w:szCs w:val="24"/>
        </w:rPr>
        <w:t xml:space="preserve">….’ </w:t>
      </w:r>
      <w:r w:rsidRPr="00425C6F">
        <w:rPr>
          <w:rFonts w:ascii="Times New Roman" w:hAnsi="Times New Roman"/>
          <w:sz w:val="24"/>
          <w:szCs w:val="24"/>
        </w:rPr>
        <w:t>Penn was then on notice of Lewis’s claimed disability and the fact that he wanted accommodation, such that Penn had a duty to engage with Lewis in good faith. It is not</w:t>
      </w:r>
      <w:r>
        <w:rPr>
          <w:rFonts w:ascii="Times New Roman" w:hAnsi="Times New Roman"/>
          <w:sz w:val="24"/>
          <w:szCs w:val="24"/>
        </w:rPr>
        <w:t xml:space="preserve"> </w:t>
      </w:r>
      <w:r w:rsidRPr="00425C6F">
        <w:rPr>
          <w:rFonts w:ascii="Times New Roman" w:hAnsi="Times New Roman"/>
          <w:sz w:val="24"/>
          <w:szCs w:val="24"/>
        </w:rPr>
        <w:t>clear that Penn did so. According to Lewis, Penn issued a flat denial without making any</w:t>
      </w:r>
      <w:r>
        <w:rPr>
          <w:rFonts w:ascii="Times New Roman" w:hAnsi="Times New Roman"/>
          <w:sz w:val="24"/>
          <w:szCs w:val="24"/>
        </w:rPr>
        <w:t xml:space="preserve"> </w:t>
      </w:r>
      <w:r w:rsidRPr="00425C6F">
        <w:rPr>
          <w:rFonts w:ascii="Times New Roman" w:hAnsi="Times New Roman"/>
          <w:sz w:val="24"/>
          <w:szCs w:val="24"/>
        </w:rPr>
        <w:t>effort to communicate with him regarding his needs.</w:t>
      </w:r>
      <w:r>
        <w:rPr>
          <w:rFonts w:ascii="Times New Roman" w:hAnsi="Times New Roman"/>
          <w:sz w:val="24"/>
          <w:szCs w:val="24"/>
        </w:rPr>
        <w:t xml:space="preserve"> </w:t>
      </w:r>
    </w:p>
    <w:p w14:paraId="554335AC" w14:textId="77777777" w:rsidR="00DE37CD" w:rsidRDefault="009F0F05" w:rsidP="00DE37CD">
      <w:pPr>
        <w:ind w:left="1440"/>
        <w:rPr>
          <w:rFonts w:ascii="Times New Roman" w:hAnsi="Times New Roman"/>
          <w:sz w:val="24"/>
          <w:szCs w:val="24"/>
        </w:rPr>
      </w:pPr>
      <w:r w:rsidRPr="00453137">
        <w:rPr>
          <w:rFonts w:ascii="Times New Roman" w:hAnsi="Times New Roman"/>
          <w:sz w:val="24"/>
          <w:szCs w:val="24"/>
        </w:rPr>
        <w:t xml:space="preserve">Where there is evidence that the employer did not act in good faith to identify </w:t>
      </w:r>
      <w:proofErr w:type="gramStart"/>
      <w:r w:rsidRPr="00453137">
        <w:rPr>
          <w:rFonts w:ascii="Times New Roman" w:hAnsi="Times New Roman"/>
          <w:sz w:val="24"/>
          <w:szCs w:val="24"/>
        </w:rPr>
        <w:t xml:space="preserve">an accommodation, </w:t>
      </w:r>
      <w:r>
        <w:rPr>
          <w:rFonts w:ascii="Times New Roman" w:hAnsi="Times New Roman"/>
          <w:sz w:val="24"/>
          <w:szCs w:val="24"/>
        </w:rPr>
        <w:t>‘</w:t>
      </w:r>
      <w:proofErr w:type="gramEnd"/>
      <w:r w:rsidRPr="00453137">
        <w:rPr>
          <w:rFonts w:ascii="Times New Roman" w:hAnsi="Times New Roman"/>
          <w:sz w:val="24"/>
          <w:szCs w:val="24"/>
        </w:rPr>
        <w:t>we will not readily</w:t>
      </w:r>
      <w:r>
        <w:rPr>
          <w:rFonts w:ascii="Times New Roman" w:hAnsi="Times New Roman"/>
          <w:sz w:val="24"/>
          <w:szCs w:val="24"/>
        </w:rPr>
        <w:t xml:space="preserve"> </w:t>
      </w:r>
      <w:r w:rsidRPr="00453137">
        <w:rPr>
          <w:rFonts w:ascii="Times New Roman" w:hAnsi="Times New Roman"/>
          <w:sz w:val="24"/>
          <w:szCs w:val="24"/>
        </w:rPr>
        <w:t xml:space="preserve">decide on summary judgment that accommodation was not </w:t>
      </w:r>
      <w:proofErr w:type="gramStart"/>
      <w:r w:rsidRPr="00453137">
        <w:rPr>
          <w:rFonts w:ascii="Times New Roman" w:hAnsi="Times New Roman"/>
          <w:sz w:val="24"/>
          <w:szCs w:val="24"/>
        </w:rPr>
        <w:t>possible</w:t>
      </w:r>
      <w:proofErr w:type="gramEnd"/>
      <w:r w:rsidRPr="00453137">
        <w:rPr>
          <w:rFonts w:ascii="Times New Roman" w:hAnsi="Times New Roman"/>
          <w:sz w:val="24"/>
          <w:szCs w:val="24"/>
        </w:rPr>
        <w:t xml:space="preserve"> and the employer’s bad faith could have no effect.</w:t>
      </w:r>
      <w:r>
        <w:rPr>
          <w:rFonts w:ascii="Times New Roman" w:hAnsi="Times New Roman"/>
          <w:sz w:val="24"/>
          <w:szCs w:val="24"/>
        </w:rPr>
        <w:t>’</w:t>
      </w:r>
      <w:r w:rsidRPr="00453137">
        <w:rPr>
          <w:rFonts w:ascii="Times New Roman" w:hAnsi="Times New Roman"/>
          <w:sz w:val="24"/>
          <w:szCs w:val="24"/>
        </w:rPr>
        <w:t xml:space="preserve"> Taylor, 184 F.3d at 31</w:t>
      </w:r>
      <w:r>
        <w:rPr>
          <w:rFonts w:ascii="Times New Roman" w:hAnsi="Times New Roman"/>
          <w:sz w:val="24"/>
          <w:szCs w:val="24"/>
        </w:rPr>
        <w:t>.”</w:t>
      </w:r>
      <w:r w:rsidR="00DE37CD">
        <w:rPr>
          <w:rFonts w:ascii="Times New Roman" w:hAnsi="Times New Roman"/>
          <w:sz w:val="24"/>
          <w:szCs w:val="24"/>
        </w:rPr>
        <w:t xml:space="preserve"> </w:t>
      </w:r>
      <w:hyperlink r:id="rId1651" w:history="1">
        <w:r w:rsidR="00DE37CD" w:rsidRPr="004A0E57">
          <w:rPr>
            <w:rStyle w:val="Hyperlink"/>
            <w:rFonts w:ascii="Times New Roman" w:hAnsi="Times New Roman"/>
            <w:sz w:val="24"/>
            <w:szCs w:val="24"/>
          </w:rPr>
          <w:t>https://cases.justia.com/federal/appellate-courts/ca3/18-2706/18-2706-2019-08-09.pdf?ts=1565368208</w:t>
        </w:r>
      </w:hyperlink>
      <w:r w:rsidR="00DE37CD">
        <w:rPr>
          <w:rFonts w:ascii="Times New Roman" w:hAnsi="Times New Roman"/>
          <w:sz w:val="24"/>
          <w:szCs w:val="24"/>
        </w:rPr>
        <w:t xml:space="preserve"> </w:t>
      </w:r>
    </w:p>
    <w:bookmarkEnd w:id="363"/>
    <w:p w14:paraId="464889F3" w14:textId="0E6EDC88" w:rsidR="009F0F05" w:rsidRDefault="009F0F05" w:rsidP="009F0F05">
      <w:pPr>
        <w:ind w:left="1440"/>
        <w:rPr>
          <w:rFonts w:ascii="Times New Roman" w:hAnsi="Times New Roman"/>
          <w:sz w:val="24"/>
          <w:szCs w:val="24"/>
        </w:rPr>
      </w:pPr>
    </w:p>
    <w:p w14:paraId="5FBB275B" w14:textId="77777777" w:rsidR="009F0F05" w:rsidRDefault="009F0F05" w:rsidP="009F0F05">
      <w:pPr>
        <w:pStyle w:val="Heading1"/>
        <w:rPr>
          <w:sz w:val="24"/>
          <w:szCs w:val="24"/>
        </w:rPr>
      </w:pPr>
      <w:r w:rsidRPr="00B922AC">
        <w:rPr>
          <w:sz w:val="24"/>
          <w:szCs w:val="24"/>
        </w:rPr>
        <w:t xml:space="preserve">Legal Lessons Learned:  The PD will now have to justify its business reasons for no beards, and its 60-day medical certifications.  See Aug. 12, </w:t>
      </w:r>
      <w:proofErr w:type="gramStart"/>
      <w:r w:rsidRPr="00B922AC">
        <w:rPr>
          <w:sz w:val="24"/>
          <w:szCs w:val="24"/>
        </w:rPr>
        <w:t>2019</w:t>
      </w:r>
      <w:proofErr w:type="gramEnd"/>
      <w:r w:rsidRPr="00B922AC">
        <w:rPr>
          <w:sz w:val="24"/>
          <w:szCs w:val="24"/>
        </w:rPr>
        <w:t xml:space="preserve"> article on this case: </w:t>
      </w:r>
      <w:hyperlink r:id="rId1652" w:history="1">
        <w:r w:rsidRPr="00B922AC">
          <w:rPr>
            <w:rStyle w:val="Hyperlink"/>
            <w:sz w:val="24"/>
            <w:szCs w:val="24"/>
          </w:rPr>
          <w:t>https://www.law.com/thelegalintelligencer/2019/08/12/third-circuit-revives-beard-related-discrimination-claims-against-upenn/</w:t>
        </w:r>
      </w:hyperlink>
      <w:r w:rsidRPr="00B922AC">
        <w:rPr>
          <w:sz w:val="24"/>
          <w:szCs w:val="24"/>
        </w:rPr>
        <w:t xml:space="preserve">  </w:t>
      </w:r>
    </w:p>
    <w:p w14:paraId="29E1B40A" w14:textId="18AF20B5" w:rsidR="009F0F05" w:rsidRPr="00B922AC" w:rsidRDefault="009F0F05" w:rsidP="009F0F05">
      <w:pPr>
        <w:pStyle w:val="Heading1"/>
        <w:rPr>
          <w:sz w:val="24"/>
          <w:szCs w:val="24"/>
        </w:rPr>
      </w:pPr>
      <w:r w:rsidRPr="00B922AC">
        <w:rPr>
          <w:sz w:val="24"/>
          <w:szCs w:val="24"/>
        </w:rPr>
        <w:lastRenderedPageBreak/>
        <w:t xml:space="preserve">There has been race discrimination litigation in fire service about not shaving because of this skin condition, </w:t>
      </w:r>
      <w:r w:rsidR="00715CF2" w:rsidRPr="00B922AC">
        <w:rPr>
          <w:sz w:val="24"/>
          <w:szCs w:val="24"/>
        </w:rPr>
        <w:t>pseudo folliculitis</w:t>
      </w:r>
      <w:r w:rsidRPr="00B922AC">
        <w:rPr>
          <w:sz w:val="24"/>
          <w:szCs w:val="24"/>
        </w:rPr>
        <w:t xml:space="preserve"> barbae (PFB).   For example, see 2018 lawsuit by four FDNY firefighters:  </w:t>
      </w:r>
    </w:p>
    <w:p w14:paraId="52C49F46" w14:textId="77777777" w:rsidR="009F0F05" w:rsidRPr="00715CF2" w:rsidRDefault="009F0F05" w:rsidP="00715CF2">
      <w:pPr>
        <w:pStyle w:val="Heading1"/>
        <w:ind w:left="720"/>
        <w:rPr>
          <w:b w:val="0"/>
          <w:bCs w:val="0"/>
          <w:sz w:val="24"/>
          <w:szCs w:val="24"/>
        </w:rPr>
      </w:pPr>
      <w:r w:rsidRPr="00715CF2">
        <w:rPr>
          <w:b w:val="0"/>
          <w:bCs w:val="0"/>
          <w:sz w:val="24"/>
          <w:szCs w:val="24"/>
        </w:rPr>
        <w:t xml:space="preserve">See also D.C. Fire Department case: March 25, 2015 article: “Fireman’s Beard Bias Claims Given a Trim,” – “Kennedy says that the discrimination against his race and disability kept him from advancing his firefighting career because of his beard growth, but U.S. District Judge Christopher Cooper dismissed parts of the action Friday after finding that ‘PFB does not constitute a disability under the prevailing … interpretation’ of the Americans with Disabilities Act. </w:t>
      </w:r>
      <w:hyperlink r:id="rId1653" w:history="1">
        <w:r w:rsidRPr="00715CF2">
          <w:rPr>
            <w:rStyle w:val="Hyperlink"/>
            <w:b w:val="0"/>
            <w:bCs w:val="0"/>
            <w:sz w:val="24"/>
            <w:szCs w:val="24"/>
          </w:rPr>
          <w:t>https://www.courthousenews.com/firemans-beard-bias-claims-given-a-trim/</w:t>
        </w:r>
      </w:hyperlink>
      <w:r w:rsidRPr="00715CF2">
        <w:rPr>
          <w:b w:val="0"/>
          <w:bCs w:val="0"/>
          <w:sz w:val="24"/>
          <w:szCs w:val="24"/>
        </w:rPr>
        <w:t xml:space="preserve"> </w:t>
      </w:r>
    </w:p>
    <w:p w14:paraId="5C1F30BF" w14:textId="77777777" w:rsidR="009F0F05" w:rsidRPr="00715CF2" w:rsidRDefault="009F0F05" w:rsidP="00715CF2">
      <w:pPr>
        <w:pStyle w:val="NoSpacing"/>
        <w:ind w:left="720"/>
        <w:rPr>
          <w:rFonts w:ascii="Times New Roman" w:hAnsi="Times New Roman"/>
          <w:sz w:val="24"/>
          <w:szCs w:val="24"/>
        </w:rPr>
      </w:pPr>
      <w:r w:rsidRPr="00715CF2">
        <w:rPr>
          <w:rFonts w:ascii="Times New Roman" w:hAnsi="Times New Roman"/>
          <w:sz w:val="24"/>
          <w:szCs w:val="24"/>
        </w:rPr>
        <w:t>See also 1993 decision by 11</w:t>
      </w:r>
      <w:r w:rsidRPr="00715CF2">
        <w:rPr>
          <w:rFonts w:ascii="Times New Roman" w:hAnsi="Times New Roman"/>
          <w:sz w:val="24"/>
          <w:szCs w:val="24"/>
          <w:vertAlign w:val="superscript"/>
        </w:rPr>
        <w:t>th</w:t>
      </w:r>
      <w:r w:rsidRPr="00715CF2">
        <w:rPr>
          <w:rFonts w:ascii="Times New Roman" w:hAnsi="Times New Roman"/>
          <w:sz w:val="24"/>
          <w:szCs w:val="24"/>
        </w:rPr>
        <w:t xml:space="preserve"> Circuit involving the Atlanta FD: “The City defends the policy, contending that the respirator masks used by firefighters cannot safely be worn by bearded men. The district court granted summary judgment for the City and the firefighters have appealed. For the reasons set forth below, we affirm the judgment of the district court.” </w:t>
      </w:r>
      <w:hyperlink r:id="rId1654" w:history="1">
        <w:r w:rsidRPr="00715CF2">
          <w:rPr>
            <w:rStyle w:val="Hyperlink"/>
            <w:rFonts w:ascii="Times New Roman" w:hAnsi="Times New Roman"/>
            <w:sz w:val="24"/>
            <w:szCs w:val="24"/>
          </w:rPr>
          <w:t>https://law.resource.org/pub/us/case/reporter/F3/002/2.F3d.1112.92-8306.html</w:t>
        </w:r>
      </w:hyperlink>
      <w:r w:rsidRPr="00715CF2">
        <w:rPr>
          <w:rFonts w:ascii="Times New Roman" w:hAnsi="Times New Roman"/>
          <w:sz w:val="24"/>
          <w:szCs w:val="24"/>
        </w:rPr>
        <w:t xml:space="preserve"> </w:t>
      </w:r>
    </w:p>
    <w:p w14:paraId="339DF3F1" w14:textId="77777777" w:rsidR="009F0F05" w:rsidRPr="00463590" w:rsidRDefault="009F0F05" w:rsidP="009F0F05">
      <w:pPr>
        <w:pStyle w:val="NoSpacing"/>
        <w:rPr>
          <w:rFonts w:ascii="Times New Roman" w:hAnsi="Times New Roman"/>
          <w:b/>
          <w:sz w:val="24"/>
          <w:szCs w:val="24"/>
        </w:rPr>
      </w:pPr>
    </w:p>
    <w:p w14:paraId="0DBDB7FA" w14:textId="3E7C98FE" w:rsidR="00715CF2" w:rsidRPr="00715CF2" w:rsidRDefault="00715CF2" w:rsidP="00715CF2">
      <w:pPr>
        <w:rPr>
          <w:rFonts w:ascii="Times New Roman" w:hAnsi="Times New Roman"/>
          <w:bCs/>
          <w:sz w:val="24"/>
          <w:szCs w:val="24"/>
        </w:rPr>
      </w:pPr>
    </w:p>
    <w:p w14:paraId="49F2B1BB" w14:textId="77777777" w:rsidR="009F0F05" w:rsidRDefault="009F0F05" w:rsidP="002B1283">
      <w:pPr>
        <w:rPr>
          <w:rFonts w:ascii="Arial Black" w:hAnsi="Arial Black"/>
          <w:b/>
          <w:sz w:val="24"/>
          <w:szCs w:val="24"/>
        </w:rPr>
      </w:pPr>
    </w:p>
    <w:p w14:paraId="2FC40598" w14:textId="3661331D" w:rsidR="00DE0F03" w:rsidRDefault="00DE0F03" w:rsidP="002B1283">
      <w:pPr>
        <w:rPr>
          <w:rFonts w:ascii="Arial Black" w:hAnsi="Arial Black"/>
          <w:b/>
          <w:bCs/>
          <w:sz w:val="28"/>
          <w:szCs w:val="28"/>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5</w:t>
      </w:r>
    </w:p>
    <w:p w14:paraId="1EEEABA3" w14:textId="0F39998A" w:rsidR="002B1283" w:rsidRDefault="002B1283" w:rsidP="002B1283">
      <w:pPr>
        <w:rPr>
          <w:b/>
          <w:bCs/>
        </w:rPr>
      </w:pPr>
      <w:r w:rsidRPr="006709F6">
        <w:rPr>
          <w:rFonts w:ascii="Arial Black" w:hAnsi="Arial Black"/>
          <w:b/>
          <w:bCs/>
          <w:sz w:val="28"/>
          <w:szCs w:val="28"/>
        </w:rPr>
        <w:t xml:space="preserve">VA: </w:t>
      </w:r>
      <w:r>
        <w:rPr>
          <w:rFonts w:ascii="Arial Black" w:hAnsi="Arial Black"/>
          <w:b/>
          <w:bCs/>
          <w:sz w:val="28"/>
          <w:szCs w:val="28"/>
        </w:rPr>
        <w:t>FF With PTSD – MOVED TO DAY SHIFT TEMPORARILY - BUT LATER MOVED BACK TO 24/48 SHIFT - LAWSUIT TO PROCEED</w:t>
      </w:r>
    </w:p>
    <w:p w14:paraId="453B44A3" w14:textId="77777777" w:rsidR="002B1283" w:rsidRDefault="002B1283" w:rsidP="002B1283">
      <w:pPr>
        <w:rPr>
          <w:rFonts w:ascii="Times New Roman" w:hAnsi="Times New Roman"/>
          <w:sz w:val="24"/>
          <w:szCs w:val="24"/>
        </w:rPr>
      </w:pPr>
      <w:r w:rsidRPr="001F2E5E">
        <w:rPr>
          <w:rFonts w:ascii="Times New Roman" w:hAnsi="Times New Roman"/>
          <w:sz w:val="24"/>
          <w:szCs w:val="24"/>
        </w:rPr>
        <w:t xml:space="preserve">On </w:t>
      </w:r>
      <w:bookmarkStart w:id="364" w:name="_Hlk39839629"/>
      <w:r w:rsidRPr="001F2E5E">
        <w:rPr>
          <w:rFonts w:ascii="Times New Roman" w:hAnsi="Times New Roman"/>
          <w:sz w:val="24"/>
          <w:szCs w:val="24"/>
        </w:rPr>
        <w:t xml:space="preserve">July 8, 2019, in </w:t>
      </w:r>
      <w:r w:rsidRPr="001F2E5E">
        <w:rPr>
          <w:rFonts w:ascii="Times New Roman" w:hAnsi="Times New Roman"/>
          <w:sz w:val="24"/>
          <w:szCs w:val="24"/>
          <w:u w:val="single"/>
        </w:rPr>
        <w:t>David Webb v. Chesterfield County, Virginia</w:t>
      </w:r>
      <w:r>
        <w:rPr>
          <w:rFonts w:ascii="Times New Roman" w:hAnsi="Times New Roman"/>
          <w:sz w:val="24"/>
          <w:szCs w:val="24"/>
          <w:u w:val="single"/>
        </w:rPr>
        <w:t xml:space="preserve"> aka Chesterfield Fire And EMS</w:t>
      </w:r>
      <w:bookmarkEnd w:id="364"/>
      <w:r w:rsidRPr="001F2E5E">
        <w:rPr>
          <w:rFonts w:ascii="Times New Roman" w:hAnsi="Times New Roman"/>
          <w:sz w:val="24"/>
          <w:szCs w:val="24"/>
        </w:rPr>
        <w:t xml:space="preserve">, </w:t>
      </w:r>
      <w:r>
        <w:rPr>
          <w:rFonts w:ascii="Times New Roman" w:hAnsi="Times New Roman"/>
          <w:sz w:val="24"/>
          <w:szCs w:val="24"/>
        </w:rPr>
        <w:t xml:space="preserve">U.S. District Court Judge John A. Gibney, Jr. denied the County’s motion to dismiss, finding that the firefighter has alleged sufficient facts to proceed on his claim for failure to accommodate under Americans </w:t>
      </w:r>
      <w:proofErr w:type="gramStart"/>
      <w:r>
        <w:rPr>
          <w:rFonts w:ascii="Times New Roman" w:hAnsi="Times New Roman"/>
          <w:sz w:val="24"/>
          <w:szCs w:val="24"/>
        </w:rPr>
        <w:t>With</w:t>
      </w:r>
      <w:proofErr w:type="gramEnd"/>
      <w:r>
        <w:rPr>
          <w:rFonts w:ascii="Times New Roman" w:hAnsi="Times New Roman"/>
          <w:sz w:val="24"/>
          <w:szCs w:val="24"/>
        </w:rPr>
        <w:t xml:space="preserve"> Disabilities Act. </w:t>
      </w:r>
    </w:p>
    <w:p w14:paraId="0DC4F271" w14:textId="77777777" w:rsidR="002B1283" w:rsidRDefault="002B1283" w:rsidP="002B1283">
      <w:pPr>
        <w:ind w:left="720" w:firstLine="60"/>
        <w:rPr>
          <w:rFonts w:ascii="Times New Roman" w:hAnsi="Times New Roman"/>
          <w:sz w:val="24"/>
          <w:szCs w:val="24"/>
        </w:rPr>
      </w:pPr>
      <w:r>
        <w:rPr>
          <w:rFonts w:ascii="Times New Roman" w:hAnsi="Times New Roman"/>
          <w:sz w:val="24"/>
          <w:szCs w:val="24"/>
        </w:rPr>
        <w:t>“Under the ADA, an employer discriminates against an employee by failing to ‘</w:t>
      </w:r>
      <w:proofErr w:type="spellStart"/>
      <w:r>
        <w:rPr>
          <w:rFonts w:ascii="Times New Roman" w:hAnsi="Times New Roman"/>
          <w:sz w:val="24"/>
          <w:szCs w:val="24"/>
        </w:rPr>
        <w:t>mak</w:t>
      </w:r>
      <w:proofErr w:type="spellEnd"/>
      <w:r>
        <w:rPr>
          <w:rFonts w:ascii="Times New Roman" w:hAnsi="Times New Roman"/>
          <w:sz w:val="24"/>
          <w:szCs w:val="24"/>
        </w:rPr>
        <w:t xml:space="preserve">[e] reasonable accommodations to the known physical or mental limitations of an otherwise qualified individual with a disability … unless [the employer] can demonstrate that the accommodation would impose an undue hardship on the operation of the business[.]  42 USC 12112(b)(5)(A).” </w:t>
      </w:r>
      <w:bookmarkStart w:id="365" w:name="_Hlk39839646"/>
      <w:r w:rsidR="00DC51D4">
        <w:fldChar w:fldCharType="begin"/>
      </w:r>
      <w:r w:rsidR="00DC51D4">
        <w:instrText xml:space="preserve"> HYPERLINK "https://cases.justia.com/federal/district-courts/virginia/vaedce/3:2019cv00183/406487/16/0.pdf?ts=1562771986" </w:instrText>
      </w:r>
      <w:r w:rsidR="00DC51D4">
        <w:fldChar w:fldCharType="separate"/>
      </w:r>
      <w:r w:rsidRPr="00455844">
        <w:rPr>
          <w:rStyle w:val="Hyperlink"/>
          <w:rFonts w:ascii="Times New Roman" w:hAnsi="Times New Roman"/>
          <w:sz w:val="24"/>
          <w:szCs w:val="24"/>
        </w:rPr>
        <w:t>https://cases.justia.com/federal/district-courts/virginia/vaedce/3:2019cv00183/406487/16/0.pdf?ts=1562771986</w:t>
      </w:r>
      <w:r w:rsidR="00DC51D4">
        <w:rPr>
          <w:rStyle w:val="Hyperlink"/>
          <w:rFonts w:ascii="Times New Roman" w:hAnsi="Times New Roman"/>
          <w:sz w:val="24"/>
          <w:szCs w:val="24"/>
        </w:rPr>
        <w:fldChar w:fldCharType="end"/>
      </w:r>
      <w:r>
        <w:rPr>
          <w:rFonts w:ascii="Times New Roman" w:hAnsi="Times New Roman"/>
          <w:sz w:val="24"/>
          <w:szCs w:val="24"/>
        </w:rPr>
        <w:t xml:space="preserve"> </w:t>
      </w:r>
    </w:p>
    <w:bookmarkEnd w:id="365"/>
    <w:p w14:paraId="52E8FD38" w14:textId="77777777" w:rsidR="002B1283" w:rsidRPr="00E441EA" w:rsidRDefault="002B1283" w:rsidP="002B1283">
      <w:pPr>
        <w:pStyle w:val="NoSpacing"/>
        <w:rPr>
          <w:rFonts w:ascii="Times New Roman" w:hAnsi="Times New Roman"/>
          <w:b/>
          <w:bCs/>
          <w:sz w:val="24"/>
          <w:szCs w:val="24"/>
        </w:rPr>
      </w:pPr>
      <w:r w:rsidRPr="00E441EA">
        <w:rPr>
          <w:rFonts w:ascii="Times New Roman" w:hAnsi="Times New Roman"/>
          <w:b/>
          <w:bCs/>
          <w:sz w:val="24"/>
          <w:szCs w:val="24"/>
        </w:rPr>
        <w:t xml:space="preserve">Legal Lessons Learned: PTSD is a real issue in fire service. Studies have found that anywhere between approximately 7 percent and 37 percent of firefighters meet criteria for a current </w:t>
      </w:r>
      <w:hyperlink r:id="rId1655" w:history="1">
        <w:r w:rsidRPr="00E441EA">
          <w:rPr>
            <w:rStyle w:val="Hyperlink"/>
            <w:rFonts w:ascii="Times New Roman" w:hAnsi="Times New Roman"/>
            <w:b/>
            <w:bCs/>
            <w:sz w:val="24"/>
            <w:szCs w:val="24"/>
          </w:rPr>
          <w:t>diagnosis of PTSD</w:t>
        </w:r>
      </w:hyperlink>
      <w:r w:rsidRPr="00E441EA">
        <w:rPr>
          <w:rFonts w:ascii="Times New Roman" w:hAnsi="Times New Roman"/>
          <w:b/>
          <w:bCs/>
          <w:sz w:val="24"/>
          <w:szCs w:val="24"/>
        </w:rPr>
        <w:t xml:space="preserve">.   “Development of PTSD in Firefighters,”  </w:t>
      </w:r>
    </w:p>
    <w:p w14:paraId="4F47339F" w14:textId="77777777" w:rsidR="002B1283" w:rsidRPr="00E441EA" w:rsidRDefault="002B1283" w:rsidP="002B1283">
      <w:pPr>
        <w:pStyle w:val="NoSpacing"/>
        <w:rPr>
          <w:rFonts w:ascii="Times New Roman" w:hAnsi="Times New Roman"/>
          <w:b/>
          <w:bCs/>
          <w:sz w:val="24"/>
          <w:szCs w:val="24"/>
        </w:rPr>
      </w:pPr>
      <w:r w:rsidRPr="00E441EA">
        <w:rPr>
          <w:rFonts w:ascii="Times New Roman" w:hAnsi="Times New Roman"/>
          <w:b/>
          <w:bCs/>
          <w:sz w:val="24"/>
          <w:szCs w:val="24"/>
        </w:rPr>
        <w:t xml:space="preserve">(June 10, 2019), </w:t>
      </w:r>
      <w:hyperlink r:id="rId1656" w:history="1">
        <w:r w:rsidRPr="00E441EA">
          <w:rPr>
            <w:rStyle w:val="Hyperlink"/>
            <w:rFonts w:ascii="Times New Roman" w:hAnsi="Times New Roman"/>
            <w:b/>
            <w:bCs/>
            <w:sz w:val="24"/>
            <w:szCs w:val="24"/>
          </w:rPr>
          <w:t>https://www.verywellmind.com/rates-of-ptsd-in-firefighters-2797428</w:t>
        </w:r>
      </w:hyperlink>
      <w:r w:rsidRPr="00E441EA">
        <w:rPr>
          <w:rFonts w:ascii="Times New Roman" w:hAnsi="Times New Roman"/>
          <w:b/>
          <w:bCs/>
          <w:sz w:val="24"/>
          <w:szCs w:val="24"/>
        </w:rPr>
        <w:t xml:space="preserve">  </w:t>
      </w:r>
    </w:p>
    <w:p w14:paraId="6B7CCF40" w14:textId="77777777" w:rsidR="00AE0ACC" w:rsidRDefault="00AE0ACC" w:rsidP="00F326E5">
      <w:pPr>
        <w:pStyle w:val="NoSpacing"/>
        <w:rPr>
          <w:sz w:val="24"/>
          <w:szCs w:val="24"/>
        </w:rPr>
      </w:pPr>
    </w:p>
    <w:p w14:paraId="4521B1D2" w14:textId="77777777" w:rsidR="00AE0ACC" w:rsidRDefault="00AE0ACC" w:rsidP="00DE0F03">
      <w:pPr>
        <w:rPr>
          <w:rFonts w:ascii="Arial Black" w:hAnsi="Arial Black"/>
          <w:b/>
          <w:sz w:val="24"/>
          <w:szCs w:val="24"/>
        </w:rPr>
      </w:pPr>
    </w:p>
    <w:p w14:paraId="6750B9A4" w14:textId="2E27BA45" w:rsidR="002B1283" w:rsidRDefault="00DE0F03" w:rsidP="00DE0F03">
      <w:pPr>
        <w:rPr>
          <w:sz w:val="24"/>
          <w:szCs w:val="24"/>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4</w:t>
      </w:r>
    </w:p>
    <w:p w14:paraId="02FD01C6" w14:textId="77777777" w:rsidR="002B1283" w:rsidRDefault="002B1283" w:rsidP="002B1283">
      <w:pPr>
        <w:rPr>
          <w:rFonts w:ascii="Arial Black" w:hAnsi="Arial Black"/>
          <w:sz w:val="28"/>
          <w:szCs w:val="28"/>
        </w:rPr>
      </w:pPr>
      <w:r>
        <w:rPr>
          <w:rFonts w:ascii="Arial Black" w:hAnsi="Arial Black"/>
          <w:sz w:val="28"/>
          <w:szCs w:val="28"/>
        </w:rPr>
        <w:t>TX: PARAMEDIC INJURED ANKLE ON ICE COMING TO WORK - OFF 13 DAYS – LATER FIRED FOR MISSING SHIFTS – LAWSUIT DISMISSED</w:t>
      </w:r>
    </w:p>
    <w:p w14:paraId="3F39C805" w14:textId="77777777" w:rsidR="002B1283" w:rsidRDefault="002B1283" w:rsidP="002B1283">
      <w:pPr>
        <w:pStyle w:val="NoSpacing"/>
        <w:rPr>
          <w:rFonts w:ascii="Times New Roman" w:hAnsi="Times New Roman"/>
          <w:sz w:val="24"/>
          <w:szCs w:val="24"/>
        </w:rPr>
      </w:pPr>
      <w:r w:rsidRPr="00152892">
        <w:rPr>
          <w:rFonts w:ascii="Times New Roman" w:hAnsi="Times New Roman"/>
          <w:sz w:val="24"/>
          <w:szCs w:val="24"/>
        </w:rPr>
        <w:lastRenderedPageBreak/>
        <w:t xml:space="preserve">On July 3, 2019, in </w:t>
      </w:r>
      <w:r w:rsidRPr="00152892">
        <w:rPr>
          <w:rFonts w:ascii="Times New Roman" w:hAnsi="Times New Roman"/>
          <w:sz w:val="24"/>
          <w:szCs w:val="24"/>
          <w:u w:val="single"/>
        </w:rPr>
        <w:t>Michael Bankhead v. Lifeguard Ambulance Service of Texas</w:t>
      </w:r>
      <w:r w:rsidRPr="00152892">
        <w:rPr>
          <w:rFonts w:ascii="Times New Roman" w:hAnsi="Times New Roman"/>
          <w:sz w:val="24"/>
          <w:szCs w:val="24"/>
        </w:rPr>
        <w:t xml:space="preserve">, U.S. District Court Judge John McBryde granted the employer’s motion for summary judgment.  </w:t>
      </w:r>
    </w:p>
    <w:p w14:paraId="26BB3F69" w14:textId="77777777" w:rsidR="002B1283" w:rsidRDefault="002B1283" w:rsidP="002B1283">
      <w:pPr>
        <w:pStyle w:val="NoSpacing"/>
        <w:rPr>
          <w:rFonts w:ascii="Times New Roman" w:hAnsi="Times New Roman"/>
          <w:sz w:val="24"/>
          <w:szCs w:val="24"/>
        </w:rPr>
      </w:pPr>
    </w:p>
    <w:p w14:paraId="787C7695" w14:textId="77777777" w:rsidR="002B1283" w:rsidRDefault="002B1283" w:rsidP="002B1283">
      <w:pPr>
        <w:pStyle w:val="NoSpacing"/>
        <w:ind w:left="720"/>
        <w:rPr>
          <w:rFonts w:ascii="Times New Roman" w:hAnsi="Times New Roman"/>
          <w:sz w:val="24"/>
          <w:szCs w:val="24"/>
        </w:rPr>
      </w:pPr>
      <w:r w:rsidRPr="00152892">
        <w:rPr>
          <w:rFonts w:ascii="Times New Roman" w:hAnsi="Times New Roman"/>
          <w:sz w:val="24"/>
          <w:szCs w:val="24"/>
        </w:rPr>
        <w:t>“In this case, plaintiff has not shown that he suffered from a disability under the ADA. In fact, he pleaded that his injury was only temporary… (plaintiff injured his foot on January 13, 2017, wore a boot to stabilize his ankle, and was cleared to return to work on January 26, 2017). In his summary judgment response, he mentions that he has diabetes…. But, even if true, simply having a diagnosis does not amount to proof that one has an impairment under the ADA.</w:t>
      </w:r>
      <w:r>
        <w:rPr>
          <w:rFonts w:ascii="Times New Roman" w:hAnsi="Times New Roman"/>
          <w:sz w:val="24"/>
          <w:szCs w:val="24"/>
        </w:rPr>
        <w:t>”</w:t>
      </w:r>
    </w:p>
    <w:p w14:paraId="59DE315B" w14:textId="77777777" w:rsidR="002B1283" w:rsidRPr="00152892" w:rsidRDefault="002B1283" w:rsidP="002B1283">
      <w:pPr>
        <w:pStyle w:val="NoSpacing"/>
        <w:ind w:left="720"/>
        <w:rPr>
          <w:rFonts w:ascii="Times New Roman" w:hAnsi="Times New Roman"/>
          <w:sz w:val="24"/>
          <w:szCs w:val="24"/>
        </w:rPr>
      </w:pPr>
      <w:r w:rsidRPr="00152892">
        <w:rPr>
          <w:rFonts w:ascii="Times New Roman" w:hAnsi="Times New Roman"/>
          <w:sz w:val="24"/>
          <w:szCs w:val="24"/>
        </w:rPr>
        <w:t xml:space="preserve"> </w:t>
      </w:r>
      <w:hyperlink r:id="rId1657" w:history="1">
        <w:r w:rsidRPr="0076015A">
          <w:rPr>
            <w:rStyle w:val="Hyperlink"/>
            <w:rFonts w:ascii="Times New Roman" w:hAnsi="Times New Roman"/>
            <w:sz w:val="24"/>
            <w:szCs w:val="24"/>
          </w:rPr>
          <w:t>https://www.leagle.com/decision/infdco20190708957</w:t>
        </w:r>
      </w:hyperlink>
      <w:r>
        <w:rPr>
          <w:rFonts w:ascii="Times New Roman" w:hAnsi="Times New Roman"/>
          <w:sz w:val="24"/>
          <w:szCs w:val="24"/>
        </w:rPr>
        <w:t xml:space="preserve"> </w:t>
      </w:r>
    </w:p>
    <w:p w14:paraId="3C185A62" w14:textId="77777777" w:rsidR="002B1283" w:rsidRDefault="002B1283" w:rsidP="002B1283">
      <w:pPr>
        <w:pStyle w:val="NoSpacing"/>
        <w:rPr>
          <w:rFonts w:ascii="Times New Roman" w:hAnsi="Times New Roman"/>
        </w:rPr>
      </w:pPr>
    </w:p>
    <w:p w14:paraId="4578C5B8" w14:textId="77777777" w:rsidR="002B1283" w:rsidRDefault="002B1283" w:rsidP="002B1283">
      <w:pPr>
        <w:pStyle w:val="NoSpacing"/>
        <w:ind w:left="720"/>
        <w:rPr>
          <w:rFonts w:ascii="Times New Roman" w:hAnsi="Times New Roman"/>
          <w:sz w:val="24"/>
          <w:szCs w:val="24"/>
        </w:rPr>
      </w:pPr>
    </w:p>
    <w:p w14:paraId="4546021B" w14:textId="77777777" w:rsidR="002B1283" w:rsidRDefault="002B1283" w:rsidP="002B1283">
      <w:pPr>
        <w:pStyle w:val="NoSpacing"/>
        <w:rPr>
          <w:rFonts w:ascii="Times New Roman" w:hAnsi="Times New Roman"/>
          <w:b/>
          <w:bCs/>
          <w:sz w:val="24"/>
          <w:szCs w:val="24"/>
        </w:rPr>
      </w:pPr>
      <w:r w:rsidRPr="00152892">
        <w:rPr>
          <w:rFonts w:ascii="Times New Roman" w:hAnsi="Times New Roman"/>
          <w:b/>
          <w:bCs/>
          <w:sz w:val="24"/>
          <w:szCs w:val="24"/>
        </w:rPr>
        <w:t xml:space="preserve">Legal Lessons Learned: </w:t>
      </w:r>
      <w:r>
        <w:rPr>
          <w:rFonts w:ascii="Times New Roman" w:hAnsi="Times New Roman"/>
          <w:b/>
          <w:bCs/>
          <w:sz w:val="24"/>
          <w:szCs w:val="24"/>
        </w:rPr>
        <w:t xml:space="preserve">Impairment under ADA must be permanent or long term; even a broken leg does not qualify as a “disability.”  </w:t>
      </w:r>
    </w:p>
    <w:p w14:paraId="29CB8C9E" w14:textId="77777777" w:rsidR="002B1283" w:rsidRDefault="002B1283" w:rsidP="002B1283">
      <w:pPr>
        <w:pStyle w:val="NoSpacing"/>
        <w:rPr>
          <w:rFonts w:ascii="Times New Roman" w:hAnsi="Times New Roman"/>
          <w:b/>
          <w:bCs/>
          <w:sz w:val="24"/>
          <w:szCs w:val="24"/>
        </w:rPr>
      </w:pPr>
    </w:p>
    <w:p w14:paraId="00DE55D4" w14:textId="77777777" w:rsidR="002B1283" w:rsidRDefault="002B1283" w:rsidP="002B1283">
      <w:pPr>
        <w:pStyle w:val="NoSpacing"/>
        <w:ind w:left="720"/>
        <w:rPr>
          <w:rFonts w:ascii="Times New Roman" w:hAnsi="Times New Roman"/>
          <w:sz w:val="24"/>
          <w:szCs w:val="24"/>
        </w:rPr>
      </w:pPr>
      <w:r w:rsidRPr="00E441EA">
        <w:rPr>
          <w:rFonts w:ascii="Times New Roman" w:hAnsi="Times New Roman"/>
          <w:sz w:val="24"/>
          <w:szCs w:val="24"/>
        </w:rPr>
        <w:t xml:space="preserve">Under ADA, a “disability” is defined as: "(A) a physical or mental impairment that substantially limits one or more major life activities of such individual; (B) a record of such an impairment; or (C) being regarded as having such an impairment." 42 U.S.C. § 12102(1).  </w:t>
      </w:r>
    </w:p>
    <w:p w14:paraId="6C8F63FB" w14:textId="77777777" w:rsidR="002B1283" w:rsidRDefault="002B1283" w:rsidP="002B1283">
      <w:pPr>
        <w:pStyle w:val="NoSpacing"/>
        <w:rPr>
          <w:rFonts w:ascii="Times New Roman" w:hAnsi="Times New Roman"/>
          <w:sz w:val="24"/>
          <w:szCs w:val="24"/>
        </w:rPr>
      </w:pPr>
    </w:p>
    <w:p w14:paraId="500FF5F9" w14:textId="77777777" w:rsidR="00AE0ACC" w:rsidRDefault="00AE0ACC" w:rsidP="00AE0ACC">
      <w:pPr>
        <w:pStyle w:val="NoSpacing"/>
        <w:rPr>
          <w:sz w:val="24"/>
          <w:szCs w:val="24"/>
        </w:rPr>
      </w:pPr>
    </w:p>
    <w:p w14:paraId="50BD2338" w14:textId="3687750A" w:rsidR="002B1283" w:rsidRDefault="00DE0F03" w:rsidP="00DE0F03">
      <w:pPr>
        <w:rPr>
          <w:rFonts w:ascii="Arial Black" w:hAnsi="Arial Black"/>
          <w:sz w:val="28"/>
          <w:szCs w:val="28"/>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3</w:t>
      </w:r>
    </w:p>
    <w:p w14:paraId="770171D7" w14:textId="6B87B87A" w:rsidR="00F326E5" w:rsidRDefault="00F326E5" w:rsidP="00F326E5">
      <w:pPr>
        <w:pStyle w:val="NoSpacing"/>
        <w:rPr>
          <w:rFonts w:ascii="Arial Black" w:hAnsi="Arial Black"/>
          <w:sz w:val="28"/>
          <w:szCs w:val="28"/>
        </w:rPr>
      </w:pPr>
      <w:bookmarkStart w:id="366" w:name="_Hlk39771248"/>
      <w:r>
        <w:rPr>
          <w:rFonts w:ascii="Arial Black" w:hAnsi="Arial Black"/>
          <w:sz w:val="28"/>
          <w:szCs w:val="28"/>
        </w:rPr>
        <w:t xml:space="preserve">WI: </w:t>
      </w:r>
      <w:r w:rsidRPr="00C667EE">
        <w:rPr>
          <w:rFonts w:ascii="Arial Black" w:hAnsi="Arial Black"/>
          <w:sz w:val="28"/>
          <w:szCs w:val="28"/>
        </w:rPr>
        <w:t xml:space="preserve">INJURED ANKLE </w:t>
      </w:r>
      <w:r>
        <w:rPr>
          <w:rFonts w:ascii="Arial Black" w:hAnsi="Arial Black"/>
          <w:sz w:val="28"/>
          <w:szCs w:val="28"/>
        </w:rPr>
        <w:t xml:space="preserve">– GIVEN “LIGHT DUTY” BUT TENNIS SHOES NOT ALLOWED – LAWSUIT MAY PROCEED </w:t>
      </w:r>
    </w:p>
    <w:p w14:paraId="7DF9EAFC" w14:textId="77777777" w:rsidR="00BF4DDE" w:rsidRDefault="00BF4DDE" w:rsidP="00F326E5">
      <w:pPr>
        <w:pStyle w:val="NoSpacing"/>
        <w:rPr>
          <w:rFonts w:ascii="Times New Roman" w:hAnsi="Times New Roman"/>
          <w:sz w:val="24"/>
          <w:szCs w:val="24"/>
        </w:rPr>
      </w:pPr>
    </w:p>
    <w:p w14:paraId="0D7941F0" w14:textId="22AA6538" w:rsidR="00F326E5" w:rsidRPr="00BF4DDE" w:rsidRDefault="00F326E5" w:rsidP="00F326E5">
      <w:pPr>
        <w:pStyle w:val="NoSpacing"/>
        <w:rPr>
          <w:rStyle w:val="Hyperlink"/>
          <w:rFonts w:ascii="Times New Roman" w:hAnsi="Times New Roman"/>
          <w:sz w:val="24"/>
          <w:szCs w:val="24"/>
        </w:rPr>
      </w:pPr>
      <w:r w:rsidRPr="00BF4DDE">
        <w:rPr>
          <w:rFonts w:ascii="Times New Roman" w:hAnsi="Times New Roman"/>
          <w:sz w:val="24"/>
          <w:szCs w:val="24"/>
        </w:rPr>
        <w:t xml:space="preserve">On Feb. 27, 2019, in </w:t>
      </w:r>
      <w:r w:rsidRPr="00BF4DDE">
        <w:rPr>
          <w:rFonts w:ascii="Times New Roman" w:hAnsi="Times New Roman"/>
          <w:sz w:val="24"/>
          <w:szCs w:val="24"/>
          <w:u w:val="single"/>
        </w:rPr>
        <w:t>Keith Daniel v. City of Minneapolis</w:t>
      </w:r>
      <w:r w:rsidRPr="00BF4DDE">
        <w:rPr>
          <w:rFonts w:ascii="Times New Roman" w:hAnsi="Times New Roman"/>
          <w:sz w:val="24"/>
          <w:szCs w:val="24"/>
        </w:rPr>
        <w:t xml:space="preserve">, the Supreme Court of MN held (5 to 2), “To give effect to the plain language of the workers’ compensation act and the human rights act, we hold that an employee can pursue claims under each act because each act provides a distinct cause of action that redresses a discrete type of injury to an employee.” </w:t>
      </w:r>
      <w:hyperlink r:id="rId1658" w:history="1">
        <w:r w:rsidRPr="00BF4DDE">
          <w:rPr>
            <w:rStyle w:val="Hyperlink"/>
            <w:rFonts w:ascii="Times New Roman" w:hAnsi="Times New Roman"/>
            <w:sz w:val="24"/>
            <w:szCs w:val="24"/>
          </w:rPr>
          <w:t>https://cases.justia.com/minnesota/supreme-court/2019-a17-0141.pdf?ts=1551286256</w:t>
        </w:r>
      </w:hyperlink>
    </w:p>
    <w:bookmarkEnd w:id="366"/>
    <w:p w14:paraId="457FE752" w14:textId="77777777" w:rsidR="00DE37CD" w:rsidRDefault="00DE37CD" w:rsidP="00F326E5">
      <w:pPr>
        <w:pStyle w:val="NoSpacing"/>
        <w:rPr>
          <w:rFonts w:ascii="Times New Roman" w:hAnsi="Times New Roman"/>
          <w:b/>
          <w:sz w:val="24"/>
          <w:szCs w:val="24"/>
        </w:rPr>
      </w:pPr>
    </w:p>
    <w:p w14:paraId="7FE35F56" w14:textId="014815FB" w:rsidR="00F326E5" w:rsidRDefault="00F326E5" w:rsidP="00F326E5">
      <w:pPr>
        <w:pStyle w:val="NoSpacing"/>
        <w:rPr>
          <w:rFonts w:ascii="Times New Roman" w:hAnsi="Times New Roman"/>
          <w:b/>
          <w:sz w:val="24"/>
          <w:szCs w:val="24"/>
        </w:rPr>
      </w:pPr>
      <w:bookmarkStart w:id="367" w:name="_Hlk40512128"/>
      <w:r w:rsidRPr="00BF4DDE">
        <w:rPr>
          <w:rFonts w:ascii="Times New Roman" w:hAnsi="Times New Roman"/>
          <w:b/>
          <w:sz w:val="24"/>
          <w:szCs w:val="24"/>
        </w:rPr>
        <w:t xml:space="preserve">Legal Lessons Learned:  FD dress policies, including policies on “station shoes” may need to be modified to “reasonably accommodate” a firefighter on light duty for an ankle injury.  This case will now go to a jury trial, unless settled. </w:t>
      </w:r>
    </w:p>
    <w:bookmarkEnd w:id="367"/>
    <w:p w14:paraId="6CA659FA" w14:textId="77777777" w:rsidR="00DE37CD" w:rsidRDefault="00DE37CD" w:rsidP="00F326E5">
      <w:pPr>
        <w:pStyle w:val="NoSpacing"/>
        <w:ind w:left="720"/>
        <w:rPr>
          <w:rFonts w:ascii="Times New Roman" w:hAnsi="Times New Roman"/>
          <w:b/>
          <w:sz w:val="24"/>
          <w:szCs w:val="24"/>
        </w:rPr>
      </w:pPr>
    </w:p>
    <w:p w14:paraId="50CD6D90" w14:textId="18F6876C" w:rsidR="00F326E5" w:rsidRPr="00BF4DDE" w:rsidRDefault="00F7048C" w:rsidP="00DE37CD">
      <w:pPr>
        <w:pStyle w:val="NoSpacing"/>
        <w:rPr>
          <w:rFonts w:ascii="Times New Roman" w:hAnsi="Times New Roman"/>
          <w:sz w:val="24"/>
          <w:szCs w:val="24"/>
        </w:rPr>
      </w:pPr>
      <w:bookmarkStart w:id="368" w:name="_Hlk40512160"/>
      <w:r>
        <w:rPr>
          <w:rFonts w:ascii="Times New Roman" w:hAnsi="Times New Roman"/>
          <w:sz w:val="24"/>
          <w:szCs w:val="24"/>
        </w:rPr>
        <w:t xml:space="preserve">Note:  </w:t>
      </w:r>
      <w:r w:rsidR="00F326E5" w:rsidRPr="00BF4DDE">
        <w:rPr>
          <w:rFonts w:ascii="Times New Roman" w:hAnsi="Times New Roman"/>
          <w:sz w:val="24"/>
          <w:szCs w:val="24"/>
        </w:rPr>
        <w:t xml:space="preserve">See article about </w:t>
      </w:r>
      <w:r>
        <w:rPr>
          <w:rFonts w:ascii="Times New Roman" w:hAnsi="Times New Roman"/>
          <w:sz w:val="24"/>
          <w:szCs w:val="24"/>
        </w:rPr>
        <w:t xml:space="preserve">the </w:t>
      </w:r>
      <w:r w:rsidR="00F326E5" w:rsidRPr="00BF4DDE">
        <w:rPr>
          <w:rFonts w:ascii="Times New Roman" w:hAnsi="Times New Roman"/>
          <w:sz w:val="24"/>
          <w:szCs w:val="24"/>
        </w:rPr>
        <w:t xml:space="preserve">case: </w:t>
      </w:r>
      <w:hyperlink r:id="rId1659" w:history="1">
        <w:r w:rsidR="00F326E5" w:rsidRPr="00BF4DDE">
          <w:rPr>
            <w:rStyle w:val="Hyperlink"/>
            <w:rFonts w:ascii="Times New Roman" w:hAnsi="Times New Roman"/>
            <w:sz w:val="24"/>
            <w:szCs w:val="24"/>
          </w:rPr>
          <w:t>http://www.startribune.com/former-mpls-firefighter-will-be-able-to-sue-for-disability-discrimination-high-court-rules/506468082/</w:t>
        </w:r>
      </w:hyperlink>
      <w:r w:rsidR="00F326E5" w:rsidRPr="00BF4DDE">
        <w:rPr>
          <w:rFonts w:ascii="Times New Roman" w:hAnsi="Times New Roman"/>
          <w:sz w:val="24"/>
          <w:szCs w:val="24"/>
        </w:rPr>
        <w:t xml:space="preserve"> </w:t>
      </w:r>
    </w:p>
    <w:bookmarkEnd w:id="346"/>
    <w:bookmarkEnd w:id="368"/>
    <w:p w14:paraId="7B12A446" w14:textId="77777777" w:rsidR="00C17A9D" w:rsidRPr="00BF4DDE" w:rsidRDefault="00C17A9D" w:rsidP="00C17A9D">
      <w:pPr>
        <w:pStyle w:val="NoSpacing"/>
        <w:rPr>
          <w:rFonts w:ascii="Times New Roman" w:hAnsi="Times New Roman"/>
          <w:bCs/>
          <w:sz w:val="24"/>
          <w:szCs w:val="24"/>
        </w:rPr>
      </w:pPr>
    </w:p>
    <w:p w14:paraId="73F108F2" w14:textId="55D0B9B8" w:rsidR="00F326E5" w:rsidRDefault="00F326E5" w:rsidP="00F326E5">
      <w:pPr>
        <w:pStyle w:val="NoSpacing"/>
        <w:rPr>
          <w:rFonts w:ascii="Arial Black" w:hAnsi="Arial Black"/>
          <w:sz w:val="40"/>
          <w:szCs w:val="40"/>
        </w:rPr>
      </w:pPr>
    </w:p>
    <w:p w14:paraId="4371BC5B" w14:textId="77777777" w:rsidR="00C17A9D" w:rsidRDefault="00C17A9D" w:rsidP="00F326E5">
      <w:pPr>
        <w:pStyle w:val="NoSpacing"/>
        <w:rPr>
          <w:rFonts w:ascii="Arial Black" w:hAnsi="Arial Black"/>
          <w:sz w:val="40"/>
          <w:szCs w:val="40"/>
        </w:rPr>
      </w:pPr>
    </w:p>
    <w:p w14:paraId="6DF46BDA" w14:textId="5AC36D6D" w:rsidR="00DE0F03" w:rsidRDefault="00DE0F03" w:rsidP="00DE0F03">
      <w:pPr>
        <w:rPr>
          <w:sz w:val="24"/>
          <w:szCs w:val="24"/>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2</w:t>
      </w:r>
    </w:p>
    <w:p w14:paraId="400DE305" w14:textId="4DD16CE0" w:rsidR="00F326E5" w:rsidRPr="00C270C6" w:rsidRDefault="00F326E5" w:rsidP="00F326E5">
      <w:pPr>
        <w:pStyle w:val="NoSpacing"/>
        <w:rPr>
          <w:rFonts w:ascii="Arial Black" w:hAnsi="Arial Black"/>
          <w:b/>
          <w:sz w:val="28"/>
          <w:szCs w:val="28"/>
        </w:rPr>
      </w:pPr>
      <w:bookmarkStart w:id="369" w:name="_Hlk7344988"/>
      <w:r w:rsidRPr="00C270C6">
        <w:rPr>
          <w:rFonts w:ascii="Arial Black" w:hAnsi="Arial Black"/>
          <w:b/>
          <w:sz w:val="28"/>
          <w:szCs w:val="28"/>
        </w:rPr>
        <w:t>LA</w:t>
      </w:r>
      <w:r>
        <w:rPr>
          <w:rFonts w:ascii="Arial Black" w:hAnsi="Arial Black"/>
          <w:b/>
          <w:sz w:val="28"/>
          <w:szCs w:val="28"/>
        </w:rPr>
        <w:t xml:space="preserve">: </w:t>
      </w:r>
      <w:r w:rsidRPr="00C270C6">
        <w:rPr>
          <w:rFonts w:ascii="Arial Black" w:hAnsi="Arial Black"/>
          <w:b/>
          <w:sz w:val="28"/>
          <w:szCs w:val="28"/>
        </w:rPr>
        <w:t>BACK INJURY, RETIRING FF FAILED TO TIMELY FILE FOR DISABILITY BENEFITS</w:t>
      </w:r>
    </w:p>
    <w:p w14:paraId="404AF258" w14:textId="77777777" w:rsidR="00BF4DDE" w:rsidRDefault="00F326E5" w:rsidP="00F326E5">
      <w:pPr>
        <w:rPr>
          <w:rFonts w:ascii="Times New Roman" w:eastAsia="Times New Roman" w:hAnsi="Times New Roman"/>
          <w:sz w:val="24"/>
          <w:szCs w:val="24"/>
        </w:rPr>
      </w:pPr>
      <w:r w:rsidRPr="00BF4DDE">
        <w:rPr>
          <w:rFonts w:ascii="Times New Roman" w:eastAsia="Times New Roman" w:hAnsi="Times New Roman"/>
          <w:sz w:val="24"/>
          <w:szCs w:val="24"/>
        </w:rPr>
        <w:t xml:space="preserve">On Nov. 21, 2018, in </w:t>
      </w:r>
      <w:r w:rsidRPr="00BF4DDE">
        <w:rPr>
          <w:rFonts w:ascii="Times New Roman" w:eastAsia="Times New Roman" w:hAnsi="Times New Roman"/>
          <w:sz w:val="24"/>
          <w:szCs w:val="24"/>
          <w:u w:val="single"/>
        </w:rPr>
        <w:t>Brian Mule v. St. Bernard Parish Fire Department</w:t>
      </w:r>
      <w:r w:rsidRPr="00BF4DDE">
        <w:rPr>
          <w:rFonts w:ascii="Times New Roman" w:eastAsia="Times New Roman" w:hAnsi="Times New Roman"/>
          <w:sz w:val="24"/>
          <w:szCs w:val="24"/>
        </w:rPr>
        <w:t>, the Court of Appeal, 4</w:t>
      </w:r>
      <w:r w:rsidRPr="00BF4DDE">
        <w:rPr>
          <w:rFonts w:ascii="Times New Roman" w:eastAsia="Times New Roman" w:hAnsi="Times New Roman"/>
          <w:sz w:val="24"/>
          <w:szCs w:val="24"/>
          <w:vertAlign w:val="superscript"/>
        </w:rPr>
        <w:t>th</w:t>
      </w:r>
      <w:r w:rsidRPr="00BF4DDE">
        <w:rPr>
          <w:rFonts w:ascii="Times New Roman" w:eastAsia="Times New Roman" w:hAnsi="Times New Roman"/>
          <w:sz w:val="24"/>
          <w:szCs w:val="24"/>
        </w:rPr>
        <w:t xml:space="preserve"> District held (3 to 0) that Office of Workers Compensation trial judge properly ruled that the employee was not entitled to supplemental benefits: </w:t>
      </w:r>
    </w:p>
    <w:p w14:paraId="6FCB1BF8" w14:textId="10C06763" w:rsidR="00F326E5" w:rsidRPr="00BF4DDE" w:rsidRDefault="00F326E5" w:rsidP="00BF4DDE">
      <w:pPr>
        <w:ind w:left="720"/>
        <w:rPr>
          <w:rFonts w:ascii="Times New Roman" w:eastAsia="Times New Roman" w:hAnsi="Times New Roman"/>
          <w:sz w:val="24"/>
          <w:szCs w:val="24"/>
        </w:rPr>
      </w:pPr>
      <w:r w:rsidRPr="00BF4DDE">
        <w:rPr>
          <w:rFonts w:ascii="Times New Roman" w:eastAsia="Times New Roman" w:hAnsi="Times New Roman"/>
          <w:sz w:val="24"/>
          <w:szCs w:val="24"/>
        </w:rPr>
        <w:lastRenderedPageBreak/>
        <w:t xml:space="preserve">“Mr. Mule waited more than seven years after this May 22, </w:t>
      </w:r>
      <w:proofErr w:type="gramStart"/>
      <w:r w:rsidRPr="00BF4DDE">
        <w:rPr>
          <w:rFonts w:ascii="Times New Roman" w:eastAsia="Times New Roman" w:hAnsi="Times New Roman"/>
          <w:sz w:val="24"/>
          <w:szCs w:val="24"/>
        </w:rPr>
        <w:t>2009</w:t>
      </w:r>
      <w:proofErr w:type="gramEnd"/>
      <w:r w:rsidRPr="00BF4DDE">
        <w:rPr>
          <w:rFonts w:ascii="Times New Roman" w:eastAsia="Times New Roman" w:hAnsi="Times New Roman"/>
          <w:sz w:val="24"/>
          <w:szCs w:val="24"/>
        </w:rPr>
        <w:t xml:space="preserve"> injury to pursue his claim for indemnity benefits. The OWC, having reviewed the record, exhibits and listening to the testimony of Mr. Mule and Ms. Bradbury, held that Mr. Mule did not establish that he was lulled into not filing a claim within the prescriptive period under the totality of the </w:t>
      </w:r>
      <w:proofErr w:type="gramStart"/>
      <w:r w:rsidRPr="00BF4DDE">
        <w:rPr>
          <w:rFonts w:ascii="Times New Roman" w:eastAsia="Times New Roman" w:hAnsi="Times New Roman"/>
          <w:sz w:val="24"/>
          <w:szCs w:val="24"/>
        </w:rPr>
        <w:t>circumstances.”</w:t>
      </w:r>
      <w:proofErr w:type="gramEnd"/>
      <w:r w:rsidRPr="00BF4DDE">
        <w:rPr>
          <w:rFonts w:ascii="Times New Roman" w:eastAsia="Times New Roman" w:hAnsi="Times New Roman"/>
          <w:sz w:val="24"/>
          <w:szCs w:val="24"/>
        </w:rPr>
        <w:t xml:space="preserve"> </w:t>
      </w:r>
      <w:hyperlink r:id="rId1660" w:history="1">
        <w:r w:rsidRPr="00BF4DDE">
          <w:rPr>
            <w:rStyle w:val="Hyperlink"/>
            <w:rFonts w:ascii="Times New Roman" w:hAnsi="Times New Roman"/>
            <w:sz w:val="24"/>
            <w:szCs w:val="24"/>
          </w:rPr>
          <w:t>https://cases.justia.com/louisiana/fourth-circuit-court-of-appeal/2018-2018-ca-0507.pdf?ts=1542839104</w:t>
        </w:r>
      </w:hyperlink>
      <w:r w:rsidRPr="00BF4DDE">
        <w:rPr>
          <w:rFonts w:ascii="Times New Roman" w:eastAsia="Times New Roman" w:hAnsi="Times New Roman"/>
          <w:sz w:val="24"/>
          <w:szCs w:val="24"/>
        </w:rPr>
        <w:t xml:space="preserve"> </w:t>
      </w:r>
    </w:p>
    <w:p w14:paraId="5DFCE6A3" w14:textId="77777777" w:rsidR="00F326E5" w:rsidRPr="00BF4DDE" w:rsidRDefault="00F326E5" w:rsidP="00F326E5">
      <w:pPr>
        <w:rPr>
          <w:rFonts w:ascii="Times New Roman" w:eastAsia="Times New Roman" w:hAnsi="Times New Roman"/>
          <w:b/>
          <w:sz w:val="24"/>
          <w:szCs w:val="24"/>
        </w:rPr>
      </w:pPr>
      <w:r w:rsidRPr="00BF4DDE">
        <w:rPr>
          <w:rFonts w:ascii="Times New Roman" w:eastAsia="Times New Roman" w:hAnsi="Times New Roman"/>
          <w:b/>
          <w:sz w:val="24"/>
          <w:szCs w:val="24"/>
        </w:rPr>
        <w:t xml:space="preserve">Legal Lessons Learned:  Fire &amp; EMS personnel, injured on the job and facing disability retirement, should consult with a workers comp. expert regarding filing requirements for workers comp indemnity benefits.  </w:t>
      </w:r>
    </w:p>
    <w:bookmarkEnd w:id="369"/>
    <w:p w14:paraId="4A28EAA2" w14:textId="77777777" w:rsidR="00F326E5" w:rsidRDefault="00F326E5" w:rsidP="00F326E5">
      <w:pPr>
        <w:pStyle w:val="NoSpacing"/>
        <w:rPr>
          <w:sz w:val="24"/>
          <w:szCs w:val="24"/>
        </w:rPr>
      </w:pPr>
    </w:p>
    <w:p w14:paraId="1EBE2684" w14:textId="77777777" w:rsidR="00F326E5" w:rsidRDefault="00F326E5" w:rsidP="00F326E5">
      <w:pPr>
        <w:pStyle w:val="NoSpacing"/>
        <w:rPr>
          <w:sz w:val="24"/>
          <w:szCs w:val="24"/>
        </w:rPr>
      </w:pPr>
    </w:p>
    <w:p w14:paraId="522EC005" w14:textId="4C658EA4" w:rsidR="00F326E5" w:rsidRDefault="00DE0F03" w:rsidP="00DE0F03">
      <w:pPr>
        <w:rPr>
          <w:sz w:val="24"/>
          <w:szCs w:val="24"/>
        </w:rPr>
      </w:pPr>
      <w:r>
        <w:rPr>
          <w:rFonts w:ascii="Arial Black" w:hAnsi="Arial Black"/>
          <w:b/>
          <w:sz w:val="24"/>
          <w:szCs w:val="24"/>
        </w:rPr>
        <w:t>9</w:t>
      </w:r>
      <w:r w:rsidRPr="00EF1133">
        <w:rPr>
          <w:rFonts w:ascii="Arial Black" w:hAnsi="Arial Black"/>
          <w:b/>
          <w:sz w:val="24"/>
          <w:szCs w:val="24"/>
        </w:rPr>
        <w:t>-1</w:t>
      </w:r>
    </w:p>
    <w:p w14:paraId="66896318" w14:textId="764AAC4E" w:rsidR="00F326E5" w:rsidRPr="00512C93" w:rsidRDefault="00F326E5" w:rsidP="00F326E5">
      <w:pPr>
        <w:pStyle w:val="NoSpacing"/>
        <w:rPr>
          <w:rFonts w:ascii="Arial Black" w:hAnsi="Arial Black"/>
          <w:b/>
          <w:sz w:val="28"/>
          <w:szCs w:val="28"/>
        </w:rPr>
      </w:pPr>
      <w:bookmarkStart w:id="370" w:name="_Hlk7345026"/>
      <w:r>
        <w:rPr>
          <w:rFonts w:ascii="Arial Black" w:hAnsi="Arial Black"/>
          <w:b/>
          <w:sz w:val="28"/>
          <w:szCs w:val="28"/>
        </w:rPr>
        <w:t xml:space="preserve">CO: DEPUTY SHERIFF WITH DIABETES – INSULIN DEPENDENT – U.S. DOJ SETTLES LAWSUIT </w:t>
      </w:r>
    </w:p>
    <w:p w14:paraId="3FAB8369" w14:textId="77777777" w:rsidR="00F326E5" w:rsidRPr="00071B42" w:rsidRDefault="00F326E5" w:rsidP="00F326E5">
      <w:pPr>
        <w:rPr>
          <w:rFonts w:eastAsia="Times New Roman"/>
          <w:sz w:val="24"/>
          <w:szCs w:val="24"/>
        </w:rPr>
      </w:pPr>
      <w:r w:rsidRPr="00071B42">
        <w:rPr>
          <w:rFonts w:eastAsia="Times New Roman"/>
          <w:sz w:val="24"/>
          <w:szCs w:val="24"/>
        </w:rPr>
        <w:t xml:space="preserve">On May 15, 2018, the U.S. Department of Justice issued a Press Release about the agreement with the City and County of Denver: </w:t>
      </w:r>
    </w:p>
    <w:p w14:paraId="31DD1801" w14:textId="77777777" w:rsidR="00F326E5" w:rsidRPr="00071B42" w:rsidRDefault="00F326E5" w:rsidP="00F326E5">
      <w:pPr>
        <w:pStyle w:val="NormalWeb"/>
        <w:ind w:left="720"/>
      </w:pPr>
      <w:r w:rsidRPr="00071B42">
        <w:t xml:space="preserve">“The Justice Department today announced that it reached an agreement with the City and County of Denver, Colorado, (Denver) to resolve its lawsuit alleging that the Denver Sheriff Department discriminated against a long-time Deputy Sheriff </w:t>
      </w:r>
      <w:proofErr w:type="gramStart"/>
      <w:r w:rsidRPr="00071B42">
        <w:t>on the basis of</w:t>
      </w:r>
      <w:proofErr w:type="gramEnd"/>
      <w:r w:rsidRPr="00071B42">
        <w:t xml:space="preserve"> his disability, insulin-dependent diabetes.  The Justice Department’s complaint alleges that Denver failed to engage in an interactive process with the employee to determine an appropriate accommodation, failed to reasonably accommodate his disability, and then terminated him, in violation of the Americans with Disabilities Act (ADA).Under the agreement, Denver will revise its reasonable accommodation policies and procedures, and will conduct training on the ADA for Sheriff Department supervisors, command staff, and human resources personnel.  In addition, Denver will pay $100,000 in compensatory damages to the employee.”</w:t>
      </w:r>
    </w:p>
    <w:p w14:paraId="09EEB56F" w14:textId="1DDF965D" w:rsidR="00F326E5" w:rsidRPr="00071B42" w:rsidRDefault="00E658E1" w:rsidP="00E658E1">
      <w:pPr>
        <w:pStyle w:val="NoSpacing"/>
        <w:ind w:left="720"/>
        <w:rPr>
          <w:rStyle w:val="Hyperlink"/>
          <w:sz w:val="24"/>
          <w:szCs w:val="24"/>
        </w:rPr>
      </w:pPr>
      <w:hyperlink r:id="rId1661" w:history="1">
        <w:r w:rsidRPr="002F304C">
          <w:rPr>
            <w:rStyle w:val="Hyperlink"/>
            <w:sz w:val="24"/>
            <w:szCs w:val="24"/>
          </w:rPr>
          <w:t>https://www.justice.gov/opa/pr/justice-department-reaches-agreement-city-and-county-denver-resolve-disability-discrimination</w:t>
        </w:r>
      </w:hyperlink>
    </w:p>
    <w:p w14:paraId="25B31959" w14:textId="77777777" w:rsidR="00F326E5" w:rsidRDefault="00F326E5" w:rsidP="00F326E5">
      <w:pPr>
        <w:pStyle w:val="NormalWeb"/>
        <w:rPr>
          <w:b/>
        </w:rPr>
      </w:pPr>
      <w:r w:rsidRPr="00071B42">
        <w:rPr>
          <w:b/>
        </w:rPr>
        <w:t xml:space="preserve">Legal Lessons Learned: Fire &amp; EMS departments must also “engage in an interactive process” when an employee appears to have a disability, including exchange of medical information between employee’s physician and the department’s doctor. </w:t>
      </w:r>
    </w:p>
    <w:bookmarkEnd w:id="370"/>
    <w:p w14:paraId="53967C7F" w14:textId="77777777" w:rsidR="00F326E5" w:rsidRDefault="00F326E5" w:rsidP="00F326E5">
      <w:pPr>
        <w:rPr>
          <w:rFonts w:ascii="Arial Black" w:hAnsi="Arial Black"/>
          <w:sz w:val="40"/>
          <w:szCs w:val="40"/>
        </w:rPr>
      </w:pPr>
      <w:r>
        <w:rPr>
          <w:rFonts w:ascii="Arial Black" w:hAnsi="Arial Black"/>
          <w:sz w:val="40"/>
          <w:szCs w:val="40"/>
        </w:rPr>
        <w:br w:type="page"/>
      </w:r>
    </w:p>
    <w:p w14:paraId="63BE8F94" w14:textId="77777777" w:rsidR="009C7451" w:rsidRDefault="009C7451" w:rsidP="00F326E5">
      <w:pPr>
        <w:pStyle w:val="NoSpacing"/>
        <w:rPr>
          <w:rFonts w:ascii="Arial Black" w:hAnsi="Arial Black"/>
          <w:sz w:val="40"/>
          <w:szCs w:val="40"/>
        </w:rPr>
      </w:pPr>
    </w:p>
    <w:p w14:paraId="5B5DDAE0" w14:textId="77777777" w:rsidR="009C7451" w:rsidRDefault="009C7451" w:rsidP="00F326E5">
      <w:pPr>
        <w:pStyle w:val="NoSpacing"/>
        <w:rPr>
          <w:rFonts w:ascii="Arial Black" w:hAnsi="Arial Black"/>
          <w:sz w:val="40"/>
          <w:szCs w:val="40"/>
        </w:rPr>
      </w:pPr>
    </w:p>
    <w:p w14:paraId="0DD1BD7F" w14:textId="77777777" w:rsidR="009C7451" w:rsidRDefault="009C7451" w:rsidP="00F326E5">
      <w:pPr>
        <w:pStyle w:val="NoSpacing"/>
        <w:rPr>
          <w:rFonts w:ascii="Arial Black" w:hAnsi="Arial Black"/>
          <w:sz w:val="40"/>
          <w:szCs w:val="40"/>
        </w:rPr>
      </w:pPr>
    </w:p>
    <w:p w14:paraId="631C1041" w14:textId="77777777" w:rsidR="009C7451" w:rsidRDefault="009C7451" w:rsidP="00F326E5">
      <w:pPr>
        <w:pStyle w:val="NoSpacing"/>
        <w:rPr>
          <w:rFonts w:ascii="Arial Black" w:hAnsi="Arial Black"/>
          <w:sz w:val="40"/>
          <w:szCs w:val="40"/>
        </w:rPr>
      </w:pPr>
    </w:p>
    <w:p w14:paraId="47A0C746" w14:textId="77777777" w:rsidR="009C7451" w:rsidRDefault="009C7451" w:rsidP="00F326E5">
      <w:pPr>
        <w:pStyle w:val="NoSpacing"/>
        <w:rPr>
          <w:rFonts w:ascii="Arial Black" w:hAnsi="Arial Black"/>
          <w:sz w:val="40"/>
          <w:szCs w:val="40"/>
        </w:rPr>
      </w:pPr>
    </w:p>
    <w:p w14:paraId="5526E5C5" w14:textId="77777777" w:rsidR="009C7451" w:rsidRDefault="009C7451" w:rsidP="00F326E5">
      <w:pPr>
        <w:pStyle w:val="NoSpacing"/>
        <w:rPr>
          <w:rFonts w:ascii="Arial Black" w:hAnsi="Arial Black"/>
          <w:sz w:val="40"/>
          <w:szCs w:val="40"/>
        </w:rPr>
      </w:pPr>
    </w:p>
    <w:p w14:paraId="30CE3C1C" w14:textId="77777777" w:rsidR="009C7451" w:rsidRDefault="009C7451" w:rsidP="00F326E5">
      <w:pPr>
        <w:pStyle w:val="NoSpacing"/>
        <w:rPr>
          <w:rFonts w:ascii="Arial Black" w:hAnsi="Arial Black"/>
          <w:sz w:val="40"/>
          <w:szCs w:val="40"/>
        </w:rPr>
      </w:pPr>
    </w:p>
    <w:p w14:paraId="4F6B0655" w14:textId="77777777" w:rsidR="009C7451" w:rsidRDefault="009C7451" w:rsidP="00F326E5">
      <w:pPr>
        <w:pStyle w:val="NoSpacing"/>
        <w:rPr>
          <w:rFonts w:ascii="Arial Black" w:hAnsi="Arial Black"/>
          <w:sz w:val="40"/>
          <w:szCs w:val="40"/>
        </w:rPr>
      </w:pPr>
    </w:p>
    <w:p w14:paraId="17D19CA8" w14:textId="77777777" w:rsidR="009C7451" w:rsidRDefault="009C7451" w:rsidP="00F326E5">
      <w:pPr>
        <w:pStyle w:val="NoSpacing"/>
        <w:rPr>
          <w:rFonts w:ascii="Arial Black" w:hAnsi="Arial Black"/>
          <w:sz w:val="40"/>
          <w:szCs w:val="40"/>
        </w:rPr>
      </w:pPr>
    </w:p>
    <w:p w14:paraId="7154CCB4" w14:textId="77777777" w:rsidR="009C7451" w:rsidRDefault="009C7451" w:rsidP="00F326E5">
      <w:pPr>
        <w:pStyle w:val="NoSpacing"/>
        <w:rPr>
          <w:rFonts w:ascii="Arial Black" w:hAnsi="Arial Black"/>
          <w:sz w:val="40"/>
          <w:szCs w:val="40"/>
        </w:rPr>
      </w:pPr>
    </w:p>
    <w:p w14:paraId="2F56D66B" w14:textId="77777777" w:rsidR="009C7451" w:rsidRDefault="009C7451" w:rsidP="00F326E5">
      <w:pPr>
        <w:pStyle w:val="NoSpacing"/>
        <w:rPr>
          <w:rFonts w:ascii="Arial Black" w:hAnsi="Arial Black"/>
          <w:sz w:val="40"/>
          <w:szCs w:val="40"/>
        </w:rPr>
      </w:pPr>
    </w:p>
    <w:p w14:paraId="2E3BE4DA" w14:textId="77777777" w:rsidR="009C7451" w:rsidRDefault="009C7451" w:rsidP="00F326E5">
      <w:pPr>
        <w:pStyle w:val="NoSpacing"/>
        <w:rPr>
          <w:rFonts w:ascii="Arial Black" w:hAnsi="Arial Black"/>
          <w:sz w:val="40"/>
          <w:szCs w:val="40"/>
        </w:rPr>
      </w:pPr>
    </w:p>
    <w:p w14:paraId="5BC0EAAD" w14:textId="77777777" w:rsidR="009C7451" w:rsidRDefault="009C7451" w:rsidP="00F326E5">
      <w:pPr>
        <w:pStyle w:val="NoSpacing"/>
        <w:rPr>
          <w:rFonts w:ascii="Arial Black" w:hAnsi="Arial Black"/>
          <w:sz w:val="40"/>
          <w:szCs w:val="40"/>
        </w:rPr>
      </w:pPr>
    </w:p>
    <w:p w14:paraId="464DFFF2" w14:textId="77777777" w:rsidR="009C7451" w:rsidRDefault="009C7451" w:rsidP="00F326E5">
      <w:pPr>
        <w:pStyle w:val="NoSpacing"/>
        <w:rPr>
          <w:rFonts w:ascii="Arial Black" w:hAnsi="Arial Black"/>
          <w:sz w:val="40"/>
          <w:szCs w:val="40"/>
        </w:rPr>
      </w:pPr>
    </w:p>
    <w:p w14:paraId="51424D1A" w14:textId="77777777" w:rsidR="009C7451" w:rsidRDefault="009C7451" w:rsidP="00F326E5">
      <w:pPr>
        <w:pStyle w:val="NoSpacing"/>
        <w:rPr>
          <w:rFonts w:ascii="Arial Black" w:hAnsi="Arial Black"/>
          <w:sz w:val="40"/>
          <w:szCs w:val="40"/>
        </w:rPr>
      </w:pPr>
    </w:p>
    <w:p w14:paraId="202F3187" w14:textId="77777777" w:rsidR="009C7451" w:rsidRDefault="009C7451" w:rsidP="00F326E5">
      <w:pPr>
        <w:pStyle w:val="NoSpacing"/>
        <w:rPr>
          <w:rFonts w:ascii="Arial Black" w:hAnsi="Arial Black"/>
          <w:sz w:val="40"/>
          <w:szCs w:val="40"/>
        </w:rPr>
      </w:pPr>
    </w:p>
    <w:p w14:paraId="0934BA7C" w14:textId="77777777" w:rsidR="009C7451" w:rsidRDefault="009C7451" w:rsidP="00F326E5">
      <w:pPr>
        <w:pStyle w:val="NoSpacing"/>
        <w:rPr>
          <w:rFonts w:ascii="Arial Black" w:hAnsi="Arial Black"/>
          <w:sz w:val="40"/>
          <w:szCs w:val="40"/>
        </w:rPr>
      </w:pPr>
    </w:p>
    <w:p w14:paraId="0A0DFF86" w14:textId="77777777" w:rsidR="009C7451" w:rsidRDefault="009C7451" w:rsidP="00F326E5">
      <w:pPr>
        <w:pStyle w:val="NoSpacing"/>
        <w:rPr>
          <w:rFonts w:ascii="Arial Black" w:hAnsi="Arial Black"/>
          <w:sz w:val="40"/>
          <w:szCs w:val="40"/>
        </w:rPr>
      </w:pPr>
    </w:p>
    <w:p w14:paraId="51025726" w14:textId="77777777" w:rsidR="009C7451" w:rsidRDefault="009C7451" w:rsidP="00F326E5">
      <w:pPr>
        <w:pStyle w:val="NoSpacing"/>
        <w:rPr>
          <w:rFonts w:ascii="Arial Black" w:hAnsi="Arial Black"/>
          <w:sz w:val="40"/>
          <w:szCs w:val="40"/>
        </w:rPr>
      </w:pPr>
    </w:p>
    <w:p w14:paraId="6FA0D918" w14:textId="77777777" w:rsidR="009C7451" w:rsidRDefault="009C7451" w:rsidP="00F326E5">
      <w:pPr>
        <w:pStyle w:val="NoSpacing"/>
        <w:rPr>
          <w:rFonts w:ascii="Arial Black" w:hAnsi="Arial Black"/>
          <w:sz w:val="40"/>
          <w:szCs w:val="40"/>
        </w:rPr>
      </w:pPr>
    </w:p>
    <w:p w14:paraId="30BD25B6" w14:textId="77777777" w:rsidR="009C7451" w:rsidRDefault="009C7451" w:rsidP="00F326E5">
      <w:pPr>
        <w:pStyle w:val="NoSpacing"/>
        <w:rPr>
          <w:rFonts w:ascii="Arial Black" w:hAnsi="Arial Black"/>
          <w:sz w:val="40"/>
          <w:szCs w:val="40"/>
        </w:rPr>
      </w:pPr>
    </w:p>
    <w:p w14:paraId="6E045D46" w14:textId="77777777" w:rsidR="009C7451" w:rsidRDefault="009C7451" w:rsidP="00F326E5">
      <w:pPr>
        <w:pStyle w:val="NoSpacing"/>
        <w:rPr>
          <w:rFonts w:ascii="Arial Black" w:hAnsi="Arial Black"/>
          <w:sz w:val="40"/>
          <w:szCs w:val="40"/>
        </w:rPr>
      </w:pPr>
    </w:p>
    <w:p w14:paraId="68CDCF26" w14:textId="77777777" w:rsidR="009C7451" w:rsidRDefault="009C7451" w:rsidP="00F326E5">
      <w:pPr>
        <w:pStyle w:val="NoSpacing"/>
        <w:rPr>
          <w:rFonts w:ascii="Arial Black" w:hAnsi="Arial Black"/>
          <w:sz w:val="40"/>
          <w:szCs w:val="40"/>
        </w:rPr>
      </w:pPr>
    </w:p>
    <w:p w14:paraId="6388F114" w14:textId="77777777" w:rsidR="009C7451" w:rsidRDefault="009C7451" w:rsidP="00F326E5">
      <w:pPr>
        <w:pStyle w:val="NoSpacing"/>
        <w:rPr>
          <w:rFonts w:ascii="Arial Black" w:hAnsi="Arial Black"/>
          <w:sz w:val="40"/>
          <w:szCs w:val="40"/>
        </w:rPr>
      </w:pPr>
    </w:p>
    <w:p w14:paraId="266D0AB2" w14:textId="77777777" w:rsidR="00EC50D5" w:rsidRDefault="00EC50D5" w:rsidP="00F326E5">
      <w:pPr>
        <w:pStyle w:val="NoSpacing"/>
        <w:rPr>
          <w:rFonts w:ascii="Arial Black" w:hAnsi="Arial Black"/>
          <w:sz w:val="40"/>
          <w:szCs w:val="40"/>
        </w:rPr>
      </w:pPr>
    </w:p>
    <w:p w14:paraId="4F33019B" w14:textId="4F2A5789"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10</w:t>
      </w:r>
      <w:r w:rsidRPr="007732FA">
        <w:rPr>
          <w:rFonts w:ascii="Arial Black" w:hAnsi="Arial Black"/>
          <w:sz w:val="40"/>
          <w:szCs w:val="40"/>
        </w:rPr>
        <w:tab/>
        <w:t>Family Medical Leave Act</w:t>
      </w:r>
      <w:r w:rsidR="00321766">
        <w:rPr>
          <w:rFonts w:ascii="Arial Black" w:hAnsi="Arial Black"/>
          <w:sz w:val="40"/>
          <w:szCs w:val="40"/>
        </w:rPr>
        <w:t xml:space="preserve"> </w:t>
      </w:r>
    </w:p>
    <w:p w14:paraId="1CDD0C90" w14:textId="77777777" w:rsidR="00097703" w:rsidRDefault="00097703" w:rsidP="00097703">
      <w:pPr>
        <w:rPr>
          <w:rFonts w:ascii="Arial Black" w:hAnsi="Arial Black"/>
          <w:b/>
          <w:sz w:val="28"/>
          <w:szCs w:val="28"/>
        </w:rPr>
      </w:pPr>
    </w:p>
    <w:p w14:paraId="681702F5" w14:textId="7732BA66" w:rsidR="00647EAC" w:rsidRPr="006D28DE" w:rsidRDefault="00647EAC" w:rsidP="00E9307E">
      <w:pPr>
        <w:rPr>
          <w:rFonts w:ascii="Times New Roman" w:hAnsi="Times New Roman"/>
          <w:bCs/>
          <w:sz w:val="24"/>
          <w:szCs w:val="24"/>
        </w:rPr>
      </w:pPr>
      <w:bookmarkStart w:id="371" w:name="_Hlk36108763"/>
      <w:r>
        <w:rPr>
          <w:rFonts w:ascii="Arial Black" w:hAnsi="Arial Black"/>
          <w:b/>
          <w:sz w:val="28"/>
          <w:szCs w:val="28"/>
        </w:rPr>
        <w:t>10-13</w:t>
      </w:r>
      <w:r w:rsidR="006D28DE">
        <w:rPr>
          <w:rFonts w:ascii="Arial Black" w:hAnsi="Arial Black"/>
          <w:b/>
          <w:sz w:val="28"/>
          <w:szCs w:val="28"/>
        </w:rPr>
        <w:t xml:space="preserve"> </w:t>
      </w:r>
      <w:r w:rsidR="006D28DE">
        <w:rPr>
          <w:rFonts w:ascii="Times New Roman" w:hAnsi="Times New Roman"/>
          <w:bCs/>
          <w:sz w:val="24"/>
          <w:szCs w:val="24"/>
        </w:rPr>
        <w:t>[also filed, Chap 9 -ADA ; Chap. 15 – Mental Health]</w:t>
      </w:r>
    </w:p>
    <w:p w14:paraId="54C7D6A8" w14:textId="77777777" w:rsidR="00647EAC" w:rsidRPr="00FC582A" w:rsidRDefault="00647EAC" w:rsidP="00647EAC">
      <w:pPr>
        <w:pStyle w:val="NoSpacing"/>
        <w:rPr>
          <w:rFonts w:ascii="Arial Black" w:hAnsi="Arial Black"/>
          <w:sz w:val="28"/>
          <w:szCs w:val="28"/>
        </w:rPr>
      </w:pPr>
      <w:r>
        <w:rPr>
          <w:rFonts w:ascii="Arial Black" w:hAnsi="Arial Black"/>
          <w:sz w:val="28"/>
          <w:szCs w:val="28"/>
        </w:rPr>
        <w:t>SC: MEDIC PTSD – DIDN’T INTERVIEW FOR BILLING JOB</w:t>
      </w:r>
    </w:p>
    <w:p w14:paraId="1182D283" w14:textId="77777777" w:rsidR="00647EAC" w:rsidRDefault="00647EAC" w:rsidP="00647EAC">
      <w:pPr>
        <w:pStyle w:val="NoSpacing"/>
        <w:ind w:left="720"/>
      </w:pPr>
    </w:p>
    <w:p w14:paraId="62D29925" w14:textId="77777777" w:rsidR="00647EAC" w:rsidRDefault="00647EAC" w:rsidP="00647EAC">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1662" w:history="1">
        <w:r w:rsidRPr="007B3445">
          <w:rPr>
            <w:rStyle w:val="Hyperlink"/>
          </w:rPr>
          <w:t>https://cases.justia.com/federal/district-courts/south-carolina/scdce/0:2024cv00826/288831/46/0.pdf</w:t>
        </w:r>
      </w:hyperlink>
      <w:r>
        <w:t xml:space="preserve"> </w:t>
      </w:r>
    </w:p>
    <w:p w14:paraId="444A0B10" w14:textId="77777777" w:rsidR="00647EAC" w:rsidRDefault="00647EAC" w:rsidP="00647EAC">
      <w:pPr>
        <w:pStyle w:val="NoSpacing"/>
        <w:rPr>
          <w:bCs/>
        </w:rPr>
      </w:pPr>
    </w:p>
    <w:p w14:paraId="679750DB" w14:textId="77777777" w:rsidR="00647EAC" w:rsidRDefault="00647EAC" w:rsidP="00647EAC">
      <w:pPr>
        <w:pStyle w:val="NoSpacing"/>
        <w:rPr>
          <w:bCs/>
        </w:rPr>
      </w:pPr>
      <w:r>
        <w:t xml:space="preserve">THE COURT HELD: </w:t>
      </w:r>
    </w:p>
    <w:p w14:paraId="3305DEEA" w14:textId="77777777" w:rsidR="00647EAC" w:rsidRDefault="00647EAC" w:rsidP="00647EAC">
      <w:pPr>
        <w:pStyle w:val="NoSpacing"/>
        <w:rPr>
          <w:bCs/>
        </w:rPr>
      </w:pPr>
    </w:p>
    <w:p w14:paraId="03458C6E" w14:textId="77777777" w:rsidR="00647EAC" w:rsidRDefault="00647EAC" w:rsidP="00647EAC">
      <w:pPr>
        <w:pStyle w:val="NoSpacing"/>
        <w:ind w:firstLine="720"/>
      </w:pPr>
      <w:r>
        <w:t>“Plaintiff was employed by Chester County in its Emergency Medical Services (‘EMS’)</w:t>
      </w:r>
    </w:p>
    <w:p w14:paraId="1E290E23" w14:textId="77777777" w:rsidR="00647EAC" w:rsidRDefault="00647EAC" w:rsidP="00647EAC">
      <w:pPr>
        <w:pStyle w:val="NoSpacing"/>
        <w:ind w:left="720"/>
      </w:pPr>
      <w:r>
        <w:t xml:space="preserve">department from May 2016 until January 2023….He was promoted to Senior Paramedic on December 4, 2021…. An essential function of the Senior Paramedic was operation of an ambulance. </w:t>
      </w:r>
    </w:p>
    <w:p w14:paraId="281014B5" w14:textId="77777777" w:rsidR="00647EAC" w:rsidRDefault="00647EAC" w:rsidP="00647EAC">
      <w:pPr>
        <w:pStyle w:val="NoSpacing"/>
        <w:ind w:left="720"/>
      </w:pPr>
    </w:p>
    <w:p w14:paraId="0BF732E2" w14:textId="77777777" w:rsidR="00647EAC" w:rsidRDefault="00647EAC" w:rsidP="00647EAC">
      <w:pPr>
        <w:pStyle w:val="NoSpacing"/>
        <w:ind w:left="720"/>
      </w:pPr>
      <w:r>
        <w:t>***</w:t>
      </w:r>
    </w:p>
    <w:p w14:paraId="2567B463" w14:textId="77777777" w:rsidR="00647EAC" w:rsidRDefault="00647EAC" w:rsidP="00647EAC">
      <w:pPr>
        <w:pStyle w:val="NoSpacing"/>
      </w:pPr>
    </w:p>
    <w:p w14:paraId="167FFADB" w14:textId="77777777" w:rsidR="00647EAC" w:rsidRDefault="00647EAC" w:rsidP="00647EAC">
      <w:pPr>
        <w:pStyle w:val="NoSpacing"/>
        <w:ind w:firstLine="720"/>
      </w:pPr>
      <w:r>
        <w:t xml:space="preserve">Plaintiff was </w:t>
      </w:r>
      <w:proofErr w:type="gramStart"/>
      <w:r>
        <w:t>provided</w:t>
      </w:r>
      <w:proofErr w:type="gramEnd"/>
      <w:r>
        <w:t xml:space="preserve"> the opportunity to apply and interview for the billing specialist</w:t>
      </w:r>
    </w:p>
    <w:p w14:paraId="46C76293" w14:textId="77777777" w:rsidR="00647EAC" w:rsidRDefault="00647EAC" w:rsidP="00647EAC">
      <w:pPr>
        <w:pStyle w:val="NoSpacing"/>
        <w:ind w:left="720"/>
      </w:pPr>
      <w:r>
        <w:t>position when it was posted, but cancelled the interview the day before, and did not respond to inquiries about another option for the interview. The job was filled by a person with finance or accounting experience. For the reasons above, the court finds summary judgment is appropriate for Defendant on Plaintiff’s claims of ADA discrimination and retaliation.</w:t>
      </w:r>
    </w:p>
    <w:p w14:paraId="6A1D7206" w14:textId="77777777" w:rsidR="00647EAC" w:rsidRDefault="00647EAC" w:rsidP="00647EAC">
      <w:pPr>
        <w:pStyle w:val="NoSpacing"/>
        <w:ind w:left="720"/>
      </w:pPr>
    </w:p>
    <w:p w14:paraId="06AC3B1B" w14:textId="77777777" w:rsidR="00647EAC" w:rsidRDefault="00647EAC" w:rsidP="00647EAC">
      <w:pPr>
        <w:pStyle w:val="NoSpacing"/>
        <w:ind w:left="720"/>
      </w:pPr>
      <w:r>
        <w:t>***</w:t>
      </w:r>
    </w:p>
    <w:p w14:paraId="18643601" w14:textId="77777777" w:rsidR="00647EAC" w:rsidRDefault="00647EAC" w:rsidP="00647EAC">
      <w:pPr>
        <w:pStyle w:val="NoSpacing"/>
      </w:pPr>
    </w:p>
    <w:p w14:paraId="57788ADF" w14:textId="77777777" w:rsidR="00647EAC" w:rsidRDefault="00647EAC" w:rsidP="00647EAC">
      <w:pPr>
        <w:pStyle w:val="NoSpacing"/>
        <w:ind w:firstLine="720"/>
      </w:pPr>
      <w:r>
        <w:t>To make out an FMLA interference claim, an employee must demonstrate he was entitled</w:t>
      </w:r>
    </w:p>
    <w:p w14:paraId="467463EE" w14:textId="77777777" w:rsidR="00647EAC" w:rsidRDefault="00647EAC" w:rsidP="00647EAC">
      <w:pPr>
        <w:pStyle w:val="NoSpacing"/>
        <w:ind w:left="720"/>
      </w:pPr>
      <w:r>
        <w:t xml:space="preserve">to an FMLA benefit, his employer interfered with the provision of that benefit, and the interference caused him harm. Adkins v. CSX Transp., Inc., 70 F.4th 785, 796 (4th Cir. 2023). The court agrees with the Magistrate Judge Defendant has produced evidence Plaintiff was provided his twelve-week statutorily mandated FMLA leave, his position was protected during that time, and there is no evidence his use of FMLA leave was a factor in his termination. Plaintiff has failed to refute this evidence. In fact, the record shows Defendant went out of its way to assist Plaintiff in obtaining the appropriate paperwork when Plaintiff indicated he was ready to come back to work, even though he indicated he would not be going back on an </w:t>
      </w:r>
      <w:proofErr w:type="gramStart"/>
      <w:r>
        <w:t>ambulance.”</w:t>
      </w:r>
      <w:proofErr w:type="gramEnd"/>
    </w:p>
    <w:p w14:paraId="7A2A6FE8" w14:textId="77777777" w:rsidR="00647EAC" w:rsidRDefault="00647EAC" w:rsidP="00647EAC">
      <w:pPr>
        <w:pStyle w:val="NoSpacing"/>
        <w:ind w:left="720"/>
      </w:pPr>
    </w:p>
    <w:p w14:paraId="49141E4D" w14:textId="77777777" w:rsidR="00647EAC" w:rsidRPr="00E35214" w:rsidRDefault="00647EAC" w:rsidP="00647EAC">
      <w:pPr>
        <w:pStyle w:val="NoSpacing"/>
        <w:rPr>
          <w:b/>
          <w:bCs/>
        </w:rPr>
      </w:pPr>
      <w:r>
        <w:rPr>
          <w:b/>
        </w:rPr>
        <w:t xml:space="preserve">Legal lesson learned:  Plaintiff’s supervisors went out of their way to assist the paramedic. </w:t>
      </w:r>
    </w:p>
    <w:p w14:paraId="23DB561A" w14:textId="77777777" w:rsidR="00647EAC" w:rsidRDefault="00647EAC" w:rsidP="00647EAC">
      <w:pPr>
        <w:pStyle w:val="NoSpacing"/>
      </w:pPr>
    </w:p>
    <w:p w14:paraId="1B9240AC" w14:textId="77777777" w:rsidR="00647EAC" w:rsidRDefault="00647EAC" w:rsidP="00E9307E">
      <w:pPr>
        <w:rPr>
          <w:rFonts w:ascii="Arial Black" w:hAnsi="Arial Black"/>
          <w:b/>
          <w:sz w:val="28"/>
          <w:szCs w:val="28"/>
        </w:rPr>
      </w:pPr>
    </w:p>
    <w:p w14:paraId="0E5DB805" w14:textId="77777777" w:rsidR="00647EAC" w:rsidRDefault="00647EAC" w:rsidP="00E9307E">
      <w:pPr>
        <w:rPr>
          <w:rFonts w:ascii="Arial Black" w:hAnsi="Arial Black"/>
          <w:b/>
          <w:sz w:val="28"/>
          <w:szCs w:val="28"/>
        </w:rPr>
      </w:pPr>
    </w:p>
    <w:p w14:paraId="3023BAC7" w14:textId="77777777" w:rsidR="00647EAC" w:rsidRDefault="00647EAC" w:rsidP="00E9307E">
      <w:pPr>
        <w:rPr>
          <w:rFonts w:ascii="Arial Black" w:hAnsi="Arial Black"/>
          <w:b/>
          <w:sz w:val="28"/>
          <w:szCs w:val="28"/>
        </w:rPr>
      </w:pPr>
    </w:p>
    <w:p w14:paraId="5CDCDC01" w14:textId="3C695662" w:rsidR="00113D38" w:rsidRDefault="00113D38" w:rsidP="00E9307E">
      <w:pPr>
        <w:rPr>
          <w:rFonts w:ascii="Arial Black" w:hAnsi="Arial Black"/>
          <w:b/>
          <w:sz w:val="28"/>
          <w:szCs w:val="28"/>
        </w:rPr>
      </w:pPr>
      <w:r>
        <w:rPr>
          <w:rFonts w:ascii="Arial Black" w:hAnsi="Arial Black"/>
          <w:b/>
          <w:sz w:val="28"/>
          <w:szCs w:val="28"/>
        </w:rPr>
        <w:lastRenderedPageBreak/>
        <w:t>10-1</w:t>
      </w:r>
      <w:r w:rsidR="00B13773">
        <w:rPr>
          <w:rFonts w:ascii="Arial Black" w:hAnsi="Arial Black"/>
          <w:b/>
          <w:sz w:val="28"/>
          <w:szCs w:val="28"/>
        </w:rPr>
        <w:t>2</w:t>
      </w:r>
    </w:p>
    <w:p w14:paraId="659BDF9E" w14:textId="32E82339" w:rsidR="00BD4978" w:rsidRPr="003C3EA4" w:rsidRDefault="00BD4978" w:rsidP="00BD4978">
      <w:pPr>
        <w:pStyle w:val="NoSpacing"/>
        <w:rPr>
          <w:rFonts w:ascii="Arial Black" w:hAnsi="Arial Black"/>
          <w:b/>
          <w:sz w:val="28"/>
          <w:szCs w:val="28"/>
        </w:rPr>
      </w:pPr>
      <w:r>
        <w:rPr>
          <w:rFonts w:ascii="Arial Black" w:hAnsi="Arial Black"/>
          <w:b/>
          <w:sz w:val="28"/>
          <w:szCs w:val="28"/>
        </w:rPr>
        <w:t>TN: NO FMLA VIOL – ALCOHOL</w:t>
      </w:r>
      <w:r w:rsidR="00656FDD">
        <w:rPr>
          <w:rFonts w:ascii="Arial Black" w:hAnsi="Arial Black"/>
          <w:b/>
          <w:sz w:val="28"/>
          <w:szCs w:val="28"/>
        </w:rPr>
        <w:t xml:space="preserve"> / </w:t>
      </w:r>
      <w:r w:rsidR="00A132BA">
        <w:rPr>
          <w:rFonts w:ascii="Arial Black" w:hAnsi="Arial Black"/>
          <w:b/>
          <w:sz w:val="28"/>
          <w:szCs w:val="28"/>
        </w:rPr>
        <w:t>MISSED RUN</w:t>
      </w:r>
      <w:r>
        <w:rPr>
          <w:rFonts w:ascii="Arial Black" w:hAnsi="Arial Black"/>
          <w:b/>
          <w:sz w:val="28"/>
          <w:szCs w:val="28"/>
        </w:rPr>
        <w:t xml:space="preserve"> - RESIGNED </w:t>
      </w:r>
    </w:p>
    <w:p w14:paraId="27DEA510" w14:textId="77777777" w:rsidR="00BD4978" w:rsidRDefault="00BD4978" w:rsidP="00BD4978">
      <w:pPr>
        <w:pStyle w:val="NoSpacing"/>
        <w:rPr>
          <w:b/>
        </w:rPr>
      </w:pPr>
    </w:p>
    <w:p w14:paraId="10BB7CCF" w14:textId="139135A3" w:rsidR="001C33D3" w:rsidRPr="001C33D3" w:rsidRDefault="001C33D3" w:rsidP="001C33D3">
      <w:pPr>
        <w:pStyle w:val="NoSpacing"/>
        <w:rPr>
          <w:rFonts w:ascii="Times New Roman" w:hAnsi="Times New Roman"/>
          <w:bCs/>
          <w:sz w:val="24"/>
          <w:szCs w:val="24"/>
        </w:rPr>
      </w:pPr>
      <w:r w:rsidRPr="001C33D3">
        <w:rPr>
          <w:rFonts w:ascii="Times New Roman" w:hAnsi="Times New Roman"/>
          <w:sz w:val="24"/>
          <w:szCs w:val="24"/>
        </w:rPr>
        <w:t xml:space="preserve">On Dec. 9, 2024, in </w:t>
      </w:r>
      <w:r w:rsidRPr="001C33D3">
        <w:rPr>
          <w:rFonts w:ascii="Times New Roman" w:hAnsi="Times New Roman"/>
          <w:sz w:val="24"/>
          <w:szCs w:val="24"/>
          <w:u w:val="single"/>
        </w:rPr>
        <w:t>Justin Gilbert v. City of Newport</w:t>
      </w:r>
      <w:r w:rsidRPr="001C33D3">
        <w:rPr>
          <w:rFonts w:ascii="Times New Roman" w:hAnsi="Times New Roman"/>
          <w:sz w:val="24"/>
          <w:szCs w:val="24"/>
        </w:rPr>
        <w:t>, United States District  Court Judge Thomas A. Varlan, U.S. District Court for Eastern District of Tennessee, held that the firefighter’s lawsuit is dismissed.  On June 11, 2021, plaintiff removed items belonging to Eric Herndon, a NFD battalion chief from a workplace locker and placed them on the tailboard of a fire truck; he received a written reprimand.   He took FMLA for alcohol treatment</w:t>
      </w:r>
      <w:r w:rsidR="00A132BA">
        <w:rPr>
          <w:rFonts w:ascii="Times New Roman" w:hAnsi="Times New Roman"/>
          <w:sz w:val="24"/>
          <w:szCs w:val="24"/>
        </w:rPr>
        <w:t xml:space="preserve"> </w:t>
      </w:r>
      <w:r w:rsidRPr="001C33D3">
        <w:rPr>
          <w:rFonts w:ascii="Times New Roman" w:hAnsi="Times New Roman"/>
          <w:sz w:val="24"/>
          <w:szCs w:val="24"/>
        </w:rPr>
        <w:t xml:space="preserve">and then returned to duty. On September 21, 2021, NFD received a call for a structure fire while plaintiff was experiencing alcohol withdrawal symptoms, </w:t>
      </w:r>
      <w:proofErr w:type="gramStart"/>
      <w:r w:rsidRPr="001C33D3">
        <w:rPr>
          <w:rFonts w:ascii="Times New Roman" w:hAnsi="Times New Roman"/>
          <w:sz w:val="24"/>
          <w:szCs w:val="24"/>
        </w:rPr>
        <w:t>plaintiff</w:t>
      </w:r>
      <w:proofErr w:type="gramEnd"/>
      <w:r w:rsidRPr="001C33D3">
        <w:rPr>
          <w:rFonts w:ascii="Times New Roman" w:hAnsi="Times New Roman"/>
          <w:sz w:val="24"/>
          <w:szCs w:val="24"/>
        </w:rPr>
        <w:t xml:space="preserve"> missed the fire truck pulling out of the station. He drove a secondary truck to the scene of the fire where he confronted a coworker, using aggressive and demeaning language.  </w:t>
      </w:r>
      <w:hyperlink r:id="rId1663" w:history="1">
        <w:r w:rsidRPr="001C33D3">
          <w:rPr>
            <w:rStyle w:val="Hyperlink"/>
            <w:rFonts w:ascii="Times New Roman" w:hAnsi="Times New Roman"/>
            <w:sz w:val="24"/>
            <w:szCs w:val="24"/>
          </w:rPr>
          <w:t>https://casetext.com/case/gilbert-v-city-of-newport</w:t>
        </w:r>
      </w:hyperlink>
      <w:r w:rsidRPr="001C33D3">
        <w:rPr>
          <w:rFonts w:ascii="Times New Roman" w:hAnsi="Times New Roman"/>
          <w:sz w:val="24"/>
          <w:szCs w:val="24"/>
        </w:rPr>
        <w:t xml:space="preserve"> </w:t>
      </w:r>
    </w:p>
    <w:p w14:paraId="007E2B4F" w14:textId="77777777" w:rsidR="001C33D3" w:rsidRPr="001C33D3" w:rsidRDefault="001C33D3" w:rsidP="00BD4978">
      <w:pPr>
        <w:pStyle w:val="NoSpacing"/>
        <w:rPr>
          <w:rFonts w:ascii="Times New Roman" w:hAnsi="Times New Roman"/>
          <w:sz w:val="24"/>
          <w:szCs w:val="24"/>
        </w:rPr>
      </w:pPr>
    </w:p>
    <w:p w14:paraId="236F2989" w14:textId="5A909EB0" w:rsidR="00BD4978" w:rsidRPr="00BD4978" w:rsidRDefault="00BD4978" w:rsidP="00BD4978">
      <w:pPr>
        <w:pStyle w:val="NoSpacing"/>
        <w:rPr>
          <w:rFonts w:ascii="Times New Roman" w:hAnsi="Times New Roman"/>
          <w:sz w:val="24"/>
          <w:szCs w:val="24"/>
        </w:rPr>
      </w:pPr>
      <w:r w:rsidRPr="00BD4978">
        <w:rPr>
          <w:rFonts w:ascii="Times New Roman" w:hAnsi="Times New Roman"/>
          <w:sz w:val="24"/>
          <w:szCs w:val="24"/>
        </w:rPr>
        <w:t xml:space="preserve">The Court wrote:  </w:t>
      </w:r>
    </w:p>
    <w:p w14:paraId="7A99349F" w14:textId="77777777" w:rsidR="00BD4978" w:rsidRPr="00BD4978" w:rsidRDefault="00BD4978" w:rsidP="00BD4978">
      <w:pPr>
        <w:pStyle w:val="NoSpacing"/>
        <w:rPr>
          <w:rFonts w:ascii="Times New Roman" w:hAnsi="Times New Roman"/>
          <w:sz w:val="24"/>
          <w:szCs w:val="24"/>
        </w:rPr>
      </w:pPr>
    </w:p>
    <w:p w14:paraId="5824AFBC" w14:textId="7B1F6515" w:rsidR="00113D38" w:rsidRPr="00BD4978" w:rsidRDefault="00BD4978" w:rsidP="00BD4978">
      <w:pPr>
        <w:ind w:left="720"/>
        <w:rPr>
          <w:rFonts w:ascii="Times New Roman" w:hAnsi="Times New Roman"/>
          <w:b/>
          <w:sz w:val="24"/>
          <w:szCs w:val="24"/>
        </w:rPr>
      </w:pPr>
      <w:r w:rsidRPr="00BD4978">
        <w:rPr>
          <w:rFonts w:ascii="Times New Roman" w:hAnsi="Times New Roman"/>
          <w:sz w:val="24"/>
          <w:szCs w:val="24"/>
        </w:rPr>
        <w:t>“Neither of plaintiff's FMLA theories survive summary judgment. Assuming without deciding that plaintiff could prove that he was constructively discharged (</w:t>
      </w:r>
      <w:r w:rsidRPr="00BD4978">
        <w:rPr>
          <w:rFonts w:ascii="Times New Roman" w:hAnsi="Times New Roman"/>
          <w:i/>
          <w:iCs/>
          <w:sz w:val="24"/>
          <w:szCs w:val="24"/>
        </w:rPr>
        <w:t xml:space="preserve">see </w:t>
      </w:r>
      <w:proofErr w:type="gramStart"/>
      <w:r w:rsidRPr="00BD4978">
        <w:rPr>
          <w:rFonts w:ascii="Times New Roman" w:hAnsi="Times New Roman"/>
          <w:i/>
          <w:iCs/>
          <w:sz w:val="24"/>
          <w:szCs w:val="24"/>
        </w:rPr>
        <w:t>supra</w:t>
      </w:r>
      <w:r w:rsidRPr="00BD4978">
        <w:rPr>
          <w:rFonts w:ascii="Times New Roman" w:hAnsi="Times New Roman"/>
          <w:sz w:val="24"/>
          <w:szCs w:val="24"/>
        </w:rPr>
        <w:t xml:space="preserve"> Section III</w:t>
      </w:r>
      <w:proofErr w:type="gramEnd"/>
      <w:r w:rsidRPr="00BD4978">
        <w:rPr>
          <w:rFonts w:ascii="Times New Roman" w:hAnsi="Times New Roman"/>
          <w:sz w:val="24"/>
          <w:szCs w:val="24"/>
        </w:rPr>
        <w:t xml:space="preserve">(a)(1)), plaintiff's FMLA interference claim fails for the same reason as his ADA accommodation claim: the leave at issue was requested on September 14, 2021, after his terminable conduct. Therefore, defendant was not obligated to provide leave to an employee who was no longer deemed eligible for his position.”  </w:t>
      </w:r>
    </w:p>
    <w:p w14:paraId="3FF4194C" w14:textId="77777777" w:rsidR="00EB30E7" w:rsidRPr="00EB30E7" w:rsidRDefault="00EB30E7" w:rsidP="00EB30E7">
      <w:pPr>
        <w:pStyle w:val="NoSpacing"/>
        <w:rPr>
          <w:rFonts w:ascii="Times New Roman" w:hAnsi="Times New Roman"/>
          <w:bCs/>
          <w:sz w:val="24"/>
          <w:szCs w:val="24"/>
        </w:rPr>
      </w:pPr>
      <w:r w:rsidRPr="00EB30E7">
        <w:rPr>
          <w:rFonts w:ascii="Times New Roman" w:hAnsi="Times New Roman"/>
          <w:sz w:val="24"/>
          <w:szCs w:val="24"/>
        </w:rPr>
        <w:t xml:space="preserve">HOLDING: </w:t>
      </w:r>
    </w:p>
    <w:p w14:paraId="127B3F1F" w14:textId="77777777" w:rsidR="00EB30E7" w:rsidRPr="00EB30E7" w:rsidRDefault="00EB30E7" w:rsidP="00EB30E7">
      <w:pPr>
        <w:pStyle w:val="NoSpacing"/>
        <w:rPr>
          <w:rFonts w:ascii="Times New Roman" w:hAnsi="Times New Roman"/>
          <w:bCs/>
          <w:sz w:val="24"/>
          <w:szCs w:val="24"/>
        </w:rPr>
      </w:pPr>
    </w:p>
    <w:p w14:paraId="1D3138D1" w14:textId="77777777" w:rsidR="00EB30E7" w:rsidRPr="00EB30E7" w:rsidRDefault="00EB30E7" w:rsidP="00EB30E7">
      <w:pPr>
        <w:pStyle w:val="NoSpacing"/>
        <w:ind w:left="720"/>
        <w:rPr>
          <w:rFonts w:ascii="Times New Roman" w:hAnsi="Times New Roman"/>
          <w:bCs/>
          <w:sz w:val="24"/>
          <w:szCs w:val="24"/>
        </w:rPr>
      </w:pPr>
      <w:r w:rsidRPr="00EB30E7">
        <w:rPr>
          <w:rFonts w:ascii="Times New Roman" w:hAnsi="Times New Roman"/>
          <w:sz w:val="24"/>
          <w:szCs w:val="24"/>
        </w:rPr>
        <w:t>“After carefully reviewing the parties' evidence, the Court finds that while plaintiff has established a prima facie case of discriminatory termination in violation of the ADA, no reasonable jury could find that defendant's cited basis for plaintiff's termination was pretextual.</w:t>
      </w:r>
    </w:p>
    <w:p w14:paraId="045D7861" w14:textId="77777777" w:rsidR="00EB30E7" w:rsidRPr="00EB30E7" w:rsidRDefault="00EB30E7" w:rsidP="00EB30E7">
      <w:pPr>
        <w:pStyle w:val="NoSpacing"/>
        <w:ind w:left="720"/>
        <w:rPr>
          <w:rFonts w:ascii="Times New Roman" w:hAnsi="Times New Roman"/>
          <w:bCs/>
          <w:sz w:val="24"/>
          <w:szCs w:val="24"/>
        </w:rPr>
      </w:pPr>
    </w:p>
    <w:p w14:paraId="10DFDB89" w14:textId="77777777" w:rsidR="00EB30E7" w:rsidRPr="00EB30E7" w:rsidRDefault="00EB30E7" w:rsidP="00EB30E7">
      <w:pPr>
        <w:pStyle w:val="NoSpacing"/>
        <w:ind w:left="720"/>
        <w:rPr>
          <w:rFonts w:ascii="Times New Roman" w:hAnsi="Times New Roman"/>
          <w:bCs/>
          <w:sz w:val="24"/>
          <w:szCs w:val="24"/>
        </w:rPr>
      </w:pPr>
      <w:r w:rsidRPr="00EB30E7">
        <w:rPr>
          <w:rFonts w:ascii="Times New Roman" w:hAnsi="Times New Roman"/>
          <w:sz w:val="24"/>
          <w:szCs w:val="24"/>
        </w:rPr>
        <w:t>***</w:t>
      </w:r>
    </w:p>
    <w:p w14:paraId="76F5D661" w14:textId="77777777" w:rsidR="00EB30E7" w:rsidRPr="00EB30E7" w:rsidRDefault="00EB30E7" w:rsidP="00EB30E7">
      <w:pPr>
        <w:pStyle w:val="NoSpacing"/>
        <w:ind w:left="720"/>
        <w:rPr>
          <w:rFonts w:ascii="Times New Roman" w:hAnsi="Times New Roman"/>
          <w:bCs/>
          <w:sz w:val="24"/>
          <w:szCs w:val="24"/>
        </w:rPr>
      </w:pPr>
      <w:r w:rsidRPr="00EB30E7">
        <w:rPr>
          <w:rFonts w:ascii="Times New Roman" w:hAnsi="Times New Roman"/>
          <w:sz w:val="24"/>
          <w:szCs w:val="24"/>
        </w:rPr>
        <w:t xml:space="preserve">If anything, the timing of these texts undermines plaintiff's position because they show the difficulty his misconduct caused for co-workers who, at that time, had no knowledge of his disabilities. And plaintiff does not dispute that he engaged in misconduct that led to Shelton's recommendation that he be terminated; accordingly, there is no dispute of material fact as to NFD's legitimate non-discriminatory basis for plaintiff's termination. Having already conceded the first method for rebutting defendant's justification under </w:t>
      </w:r>
      <w:r w:rsidRPr="00EB30E7">
        <w:rPr>
          <w:rFonts w:ascii="Times New Roman" w:hAnsi="Times New Roman"/>
          <w:i/>
          <w:iCs/>
          <w:sz w:val="24"/>
          <w:szCs w:val="24"/>
        </w:rPr>
        <w:t>Kocsis</w:t>
      </w:r>
      <w:r w:rsidRPr="00EB30E7">
        <w:rPr>
          <w:rFonts w:ascii="Times New Roman" w:hAnsi="Times New Roman"/>
          <w:sz w:val="24"/>
          <w:szCs w:val="24"/>
        </w:rPr>
        <w:t>, plaintiff has not presented evidence to create a dispute of fact as to whether defendant's ‘proffered reasons did not actually motivate the action; or [] that they were insufficient to motivate the action.</w:t>
      </w:r>
      <w:hyperlink r:id="rId1664" w:anchor="p883" w:history="1">
        <w:r w:rsidRPr="00EB30E7">
          <w:rPr>
            <w:rStyle w:val="Hyperlink"/>
            <w:rFonts w:ascii="Times New Roman" w:hAnsi="Times New Roman"/>
            <w:sz w:val="24"/>
            <w:szCs w:val="24"/>
          </w:rPr>
          <w:t>97 F.3d at 883</w:t>
        </w:r>
      </w:hyperlink>
      <w:r w:rsidRPr="00EB30E7">
        <w:rPr>
          <w:rFonts w:ascii="Times New Roman" w:hAnsi="Times New Roman"/>
          <w:sz w:val="24"/>
          <w:szCs w:val="24"/>
        </w:rPr>
        <w:t>.”</w:t>
      </w:r>
    </w:p>
    <w:p w14:paraId="502E4F9B" w14:textId="77777777" w:rsidR="00EB30E7" w:rsidRPr="00EB30E7" w:rsidRDefault="00EB30E7" w:rsidP="00EB30E7">
      <w:pPr>
        <w:pStyle w:val="NoSpacing"/>
        <w:rPr>
          <w:rFonts w:ascii="Times New Roman" w:hAnsi="Times New Roman"/>
          <w:b/>
          <w:sz w:val="24"/>
          <w:szCs w:val="24"/>
        </w:rPr>
      </w:pPr>
    </w:p>
    <w:p w14:paraId="1BB0DDA1" w14:textId="77777777" w:rsidR="00EB30E7" w:rsidRPr="00EB30E7" w:rsidRDefault="00EB30E7" w:rsidP="00EB30E7">
      <w:pPr>
        <w:pStyle w:val="NoSpacing"/>
        <w:rPr>
          <w:rFonts w:ascii="Times New Roman" w:hAnsi="Times New Roman"/>
          <w:b/>
          <w:sz w:val="24"/>
          <w:szCs w:val="24"/>
        </w:rPr>
      </w:pPr>
      <w:r w:rsidRPr="00EB30E7">
        <w:rPr>
          <w:rFonts w:ascii="Times New Roman" w:hAnsi="Times New Roman"/>
          <w:b/>
          <w:sz w:val="24"/>
          <w:szCs w:val="24"/>
        </w:rPr>
        <w:t xml:space="preserve">Legal Lesson Learned: Employer has no obligation to offer additional FMLA to an employee facing termination. </w:t>
      </w:r>
    </w:p>
    <w:p w14:paraId="6B3327AD" w14:textId="77777777" w:rsidR="00EB30E7" w:rsidRPr="00EB30E7" w:rsidRDefault="00EB30E7" w:rsidP="00EB30E7">
      <w:pPr>
        <w:pStyle w:val="NoSpacing"/>
        <w:rPr>
          <w:rFonts w:ascii="Times New Roman" w:hAnsi="Times New Roman"/>
          <w:bCs/>
          <w:sz w:val="24"/>
          <w:szCs w:val="24"/>
        </w:rPr>
      </w:pPr>
    </w:p>
    <w:p w14:paraId="7B03BD24" w14:textId="77777777" w:rsidR="00113D38" w:rsidRPr="00EB30E7" w:rsidRDefault="00113D38" w:rsidP="00E9307E">
      <w:pPr>
        <w:rPr>
          <w:rFonts w:ascii="Times New Roman" w:hAnsi="Times New Roman"/>
          <w:b/>
          <w:sz w:val="24"/>
          <w:szCs w:val="24"/>
        </w:rPr>
      </w:pPr>
    </w:p>
    <w:p w14:paraId="0878E3AE" w14:textId="77777777" w:rsidR="00113D38" w:rsidRDefault="00113D38" w:rsidP="00E9307E">
      <w:pPr>
        <w:rPr>
          <w:rFonts w:ascii="Arial Black" w:hAnsi="Arial Black"/>
          <w:b/>
          <w:sz w:val="28"/>
          <w:szCs w:val="28"/>
        </w:rPr>
      </w:pPr>
    </w:p>
    <w:p w14:paraId="46845826" w14:textId="2BDC65CB" w:rsidR="006A13EA" w:rsidRDefault="006A13EA" w:rsidP="00E9307E">
      <w:pPr>
        <w:rPr>
          <w:rFonts w:ascii="Arial Black" w:hAnsi="Arial Black"/>
          <w:b/>
          <w:sz w:val="28"/>
          <w:szCs w:val="28"/>
        </w:rPr>
      </w:pPr>
      <w:r>
        <w:rPr>
          <w:rFonts w:ascii="Arial Black" w:hAnsi="Arial Black"/>
          <w:b/>
          <w:sz w:val="28"/>
          <w:szCs w:val="28"/>
        </w:rPr>
        <w:t>10-1</w:t>
      </w:r>
      <w:r w:rsidR="00B13773">
        <w:rPr>
          <w:rFonts w:ascii="Arial Black" w:hAnsi="Arial Black"/>
          <w:b/>
          <w:sz w:val="28"/>
          <w:szCs w:val="28"/>
        </w:rPr>
        <w:t>1</w:t>
      </w:r>
    </w:p>
    <w:p w14:paraId="6DE23C0B" w14:textId="20209B42" w:rsidR="006A13EA" w:rsidRPr="00A708BF" w:rsidRDefault="006A13EA" w:rsidP="006A13EA">
      <w:pPr>
        <w:pStyle w:val="NoSpacing"/>
        <w:rPr>
          <w:rFonts w:ascii="Arial Black" w:hAnsi="Arial Black"/>
          <w:sz w:val="28"/>
          <w:szCs w:val="28"/>
        </w:rPr>
      </w:pPr>
      <w:r>
        <w:rPr>
          <w:rFonts w:ascii="Arial Black" w:hAnsi="Arial Black"/>
          <w:sz w:val="28"/>
          <w:szCs w:val="28"/>
        </w:rPr>
        <w:t>CT: MEDIC SUPERVISOR – BACK INJURY –MISSED WORK - FIRED</w:t>
      </w:r>
    </w:p>
    <w:p w14:paraId="1B267619" w14:textId="77777777" w:rsidR="006A13EA" w:rsidRDefault="006A13EA" w:rsidP="006A13EA">
      <w:pPr>
        <w:pStyle w:val="NoSpacing"/>
        <w:rPr>
          <w:rFonts w:ascii="Times New Roman" w:hAnsi="Times New Roman"/>
          <w:sz w:val="24"/>
          <w:szCs w:val="24"/>
        </w:rPr>
      </w:pPr>
    </w:p>
    <w:p w14:paraId="2D8D598D" w14:textId="33535CEC" w:rsidR="006A13EA" w:rsidRDefault="006A13EA" w:rsidP="006A13EA">
      <w:pPr>
        <w:pStyle w:val="NoSpacing"/>
        <w:rPr>
          <w:rFonts w:ascii="Times New Roman" w:hAnsi="Times New Roman"/>
          <w:sz w:val="24"/>
          <w:szCs w:val="24"/>
        </w:rPr>
      </w:pPr>
      <w:r>
        <w:rPr>
          <w:rFonts w:ascii="Times New Roman" w:hAnsi="Times New Roman"/>
          <w:sz w:val="24"/>
          <w:szCs w:val="24"/>
        </w:rPr>
        <w:lastRenderedPageBreak/>
        <w:t xml:space="preserve">On Feb. 23, 2024, in </w:t>
      </w:r>
      <w:r w:rsidRPr="00722030">
        <w:rPr>
          <w:rFonts w:ascii="Times New Roman" w:hAnsi="Times New Roman"/>
          <w:sz w:val="24"/>
          <w:szCs w:val="24"/>
          <w:u w:val="single"/>
        </w:rPr>
        <w:t>Robert Larose v. American Medical Response of Connecticut</w:t>
      </w:r>
      <w:r>
        <w:rPr>
          <w:rFonts w:ascii="Times New Roman" w:hAnsi="Times New Roman"/>
          <w:sz w:val="24"/>
          <w:szCs w:val="24"/>
        </w:rPr>
        <w:t xml:space="preserve">, United States District Court Judge Vernon D. Oliver, U.S. District Court for District of Connecticut, granted the defense motion for summary judgment on ADA and FMLA claims.  After numerous leaves of absence, he returned to work as part-time per diem </w:t>
      </w:r>
      <w:proofErr w:type="gramStart"/>
      <w:r>
        <w:rPr>
          <w:rFonts w:ascii="Times New Roman" w:hAnsi="Times New Roman"/>
          <w:sz w:val="24"/>
          <w:szCs w:val="24"/>
        </w:rPr>
        <w:t>medic, but</w:t>
      </w:r>
      <w:proofErr w:type="gramEnd"/>
      <w:r>
        <w:rPr>
          <w:rFonts w:ascii="Times New Roman" w:hAnsi="Times New Roman"/>
          <w:sz w:val="24"/>
          <w:szCs w:val="24"/>
        </w:rPr>
        <w:t xml:space="preserve"> failed to work the required one shift per week. </w:t>
      </w:r>
      <w:r w:rsidR="00AE2AF4">
        <w:rPr>
          <w:rFonts w:ascii="Times New Roman" w:hAnsi="Times New Roman"/>
          <w:sz w:val="24"/>
          <w:szCs w:val="24"/>
        </w:rPr>
        <w:t xml:space="preserve"> </w:t>
      </w:r>
      <w:hyperlink r:id="rId1665" w:history="1">
        <w:r w:rsidR="00AE2AF4" w:rsidRPr="007E7996">
          <w:rPr>
            <w:rStyle w:val="Hyperlink"/>
            <w:rFonts w:ascii="Times New Roman" w:hAnsi="Times New Roman"/>
            <w:sz w:val="24"/>
            <w:szCs w:val="24"/>
          </w:rPr>
          <w:t>https://caselaw.findlaw.com/court/us-dis-crt-d-con/115860244.html</w:t>
        </w:r>
      </w:hyperlink>
      <w:r w:rsidR="00AE2AF4">
        <w:t xml:space="preserve"> </w:t>
      </w:r>
    </w:p>
    <w:p w14:paraId="380F49E5" w14:textId="77777777" w:rsidR="003956F7" w:rsidRDefault="003956F7" w:rsidP="003956F7">
      <w:pPr>
        <w:pStyle w:val="NoSpacing"/>
        <w:rPr>
          <w:rFonts w:ascii="Times New Roman" w:hAnsi="Times New Roman"/>
          <w:sz w:val="24"/>
          <w:szCs w:val="24"/>
          <w:shd w:val="clear" w:color="auto" w:fill="FFFFFF"/>
        </w:rPr>
      </w:pPr>
    </w:p>
    <w:p w14:paraId="5AF4B9A9" w14:textId="46B8BBF4"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1A34141F" w14:textId="77777777" w:rsidR="003956F7" w:rsidRDefault="003956F7" w:rsidP="006A13EA">
      <w:pPr>
        <w:pStyle w:val="NoSpacing"/>
        <w:rPr>
          <w:rFonts w:ascii="Times New Roman" w:hAnsi="Times New Roman"/>
          <w:sz w:val="24"/>
          <w:szCs w:val="24"/>
        </w:rPr>
      </w:pPr>
    </w:p>
    <w:p w14:paraId="04F50309" w14:textId="77777777" w:rsidR="006A13EA" w:rsidRDefault="006A13EA" w:rsidP="006A13EA">
      <w:pPr>
        <w:ind w:left="720"/>
        <w:rPr>
          <w:rFonts w:ascii="Times New Roman" w:hAnsi="Times New Roman"/>
          <w:sz w:val="24"/>
          <w:szCs w:val="24"/>
        </w:rPr>
      </w:pPr>
      <w:r>
        <w:rPr>
          <w:rFonts w:ascii="Times New Roman" w:hAnsi="Times New Roman"/>
          <w:sz w:val="24"/>
          <w:szCs w:val="24"/>
        </w:rPr>
        <w:t>“</w:t>
      </w:r>
      <w:r w:rsidRPr="002D3623">
        <w:rPr>
          <w:rFonts w:ascii="Times New Roman" w:hAnsi="Times New Roman"/>
          <w:sz w:val="24"/>
          <w:szCs w:val="24"/>
        </w:rPr>
        <w:t xml:space="preserve">Here, Plaintiff alleges that after his shoulder injury, </w:t>
      </w:r>
      <w:r>
        <w:rPr>
          <w:rFonts w:ascii="Times New Roman" w:hAnsi="Times New Roman"/>
          <w:sz w:val="24"/>
          <w:szCs w:val="24"/>
        </w:rPr>
        <w:t>‘</w:t>
      </w:r>
      <w:r w:rsidRPr="002D3623">
        <w:rPr>
          <w:rFonts w:ascii="Times New Roman" w:hAnsi="Times New Roman"/>
          <w:sz w:val="24"/>
          <w:szCs w:val="24"/>
        </w:rPr>
        <w:t>the medical restriction that was preventing him from returning to work was that his doctor did not want him to do any heavy lifting.</w:t>
      </w:r>
      <w:r>
        <w:rPr>
          <w:rFonts w:ascii="Times New Roman" w:hAnsi="Times New Roman"/>
          <w:sz w:val="24"/>
          <w:szCs w:val="24"/>
        </w:rPr>
        <w:t>’</w:t>
      </w:r>
      <w:r w:rsidRPr="002D3623">
        <w:rPr>
          <w:rFonts w:ascii="Times New Roman" w:hAnsi="Times New Roman"/>
          <w:sz w:val="24"/>
          <w:szCs w:val="24"/>
        </w:rPr>
        <w:t xml:space="preserve"> He further asserts that </w:t>
      </w:r>
      <w:r>
        <w:rPr>
          <w:rFonts w:ascii="Times New Roman" w:hAnsi="Times New Roman"/>
          <w:sz w:val="24"/>
          <w:szCs w:val="24"/>
        </w:rPr>
        <w:t>‘</w:t>
      </w:r>
      <w:r w:rsidRPr="002D3623">
        <w:rPr>
          <w:rFonts w:ascii="Times New Roman" w:hAnsi="Times New Roman"/>
          <w:sz w:val="24"/>
          <w:szCs w:val="24"/>
        </w:rPr>
        <w:t>his injury caused [him] to be substantially limited in both the major life activities of ‘lifting’ and ‘working,’ thereby establishing that he was, at the time, a disabled person.</w:t>
      </w:r>
      <w:r>
        <w:rPr>
          <w:rFonts w:ascii="Times New Roman" w:hAnsi="Times New Roman"/>
          <w:sz w:val="24"/>
          <w:szCs w:val="24"/>
        </w:rPr>
        <w:t>’</w:t>
      </w:r>
      <w:r w:rsidRPr="002D3623">
        <w:rPr>
          <w:rFonts w:ascii="Times New Roman" w:hAnsi="Times New Roman"/>
          <w:sz w:val="24"/>
          <w:szCs w:val="24"/>
        </w:rPr>
        <w:t xml:space="preserve"> Plaintiff provides absolutely no medical records, evidence, or other information to support his claim that his neck/shoulder injury caused him to be substantially limited in the major life activities of lifting and working.</w:t>
      </w:r>
    </w:p>
    <w:p w14:paraId="46821EBA" w14:textId="77777777" w:rsidR="006A13EA" w:rsidRDefault="006A13EA" w:rsidP="006A13EA">
      <w:pPr>
        <w:ind w:left="720"/>
        <w:rPr>
          <w:rFonts w:ascii="Times New Roman" w:hAnsi="Times New Roman"/>
          <w:sz w:val="24"/>
          <w:szCs w:val="24"/>
        </w:rPr>
      </w:pPr>
      <w:r>
        <w:rPr>
          <w:rFonts w:ascii="Times New Roman" w:hAnsi="Times New Roman"/>
          <w:sz w:val="24"/>
          <w:szCs w:val="24"/>
        </w:rPr>
        <w:t>***</w:t>
      </w:r>
    </w:p>
    <w:p w14:paraId="08E190BA" w14:textId="77777777" w:rsidR="006A13EA" w:rsidRPr="004948B6" w:rsidRDefault="006A13EA" w:rsidP="006A13EA">
      <w:pPr>
        <w:ind w:left="720"/>
        <w:rPr>
          <w:rFonts w:ascii="Times New Roman" w:hAnsi="Times New Roman"/>
          <w:sz w:val="24"/>
          <w:szCs w:val="24"/>
        </w:rPr>
      </w:pPr>
      <w:r w:rsidRPr="004948B6">
        <w:rPr>
          <w:rFonts w:ascii="Times New Roman" w:hAnsi="Times New Roman"/>
          <w:sz w:val="24"/>
          <w:szCs w:val="24"/>
        </w:rPr>
        <w:t>As a preliminary matter, Plaintiff does not contend that AMR denied any FMLA leave he requested. Indeed, Plaintiff expressly concedes that he received all the leave to which he was entitled when he took leave twice between 2018-2019.</w:t>
      </w:r>
      <w:r>
        <w:rPr>
          <w:rFonts w:ascii="Times New Roman" w:hAnsi="Times New Roman"/>
          <w:sz w:val="24"/>
          <w:szCs w:val="24"/>
        </w:rPr>
        <w:t xml:space="preserve"> </w:t>
      </w:r>
      <w:r w:rsidRPr="004948B6">
        <w:rPr>
          <w:rFonts w:ascii="Times New Roman" w:hAnsi="Times New Roman"/>
          <w:sz w:val="24"/>
          <w:szCs w:val="24"/>
        </w:rPr>
        <w:t>Therefore, to prevail on his interference claim, Plaintiff must show that AMR interfered with his FMLA rights in some manner other than by denying him leave.</w:t>
      </w:r>
      <w:r>
        <w:rPr>
          <w:rFonts w:ascii="Times New Roman" w:hAnsi="Times New Roman"/>
          <w:sz w:val="24"/>
          <w:szCs w:val="24"/>
        </w:rPr>
        <w:t xml:space="preserve">”  </w:t>
      </w:r>
      <w:hyperlink r:id="rId1666" w:history="1">
        <w:r w:rsidRPr="007E7996">
          <w:rPr>
            <w:rStyle w:val="Hyperlink"/>
            <w:rFonts w:ascii="Times New Roman" w:hAnsi="Times New Roman"/>
            <w:sz w:val="24"/>
            <w:szCs w:val="24"/>
          </w:rPr>
          <w:t>https://caselaw.findlaw.com/court/us-dis-crt-d-con/115860244.html</w:t>
        </w:r>
      </w:hyperlink>
      <w:r>
        <w:rPr>
          <w:rFonts w:ascii="Times New Roman" w:hAnsi="Times New Roman"/>
          <w:sz w:val="24"/>
          <w:szCs w:val="24"/>
        </w:rPr>
        <w:t xml:space="preserve"> </w:t>
      </w:r>
    </w:p>
    <w:p w14:paraId="5DD1AD15" w14:textId="77777777" w:rsidR="006A13EA" w:rsidRDefault="006A13EA" w:rsidP="006A13EA">
      <w:pPr>
        <w:rPr>
          <w:rFonts w:ascii="Times New Roman" w:hAnsi="Times New Roman"/>
          <w:b/>
          <w:bCs/>
          <w:sz w:val="24"/>
          <w:szCs w:val="24"/>
        </w:rPr>
      </w:pPr>
      <w:r w:rsidRPr="00530114">
        <w:rPr>
          <w:rFonts w:ascii="Times New Roman" w:hAnsi="Times New Roman"/>
          <w:b/>
          <w:bCs/>
          <w:sz w:val="24"/>
          <w:szCs w:val="24"/>
        </w:rPr>
        <w:t>Legal Lesson Learned:</w:t>
      </w:r>
      <w:r>
        <w:rPr>
          <w:rFonts w:ascii="Times New Roman" w:hAnsi="Times New Roman"/>
          <w:b/>
          <w:bCs/>
          <w:sz w:val="24"/>
          <w:szCs w:val="24"/>
        </w:rPr>
        <w:t xml:space="preserve"> After employee uses all FMLA leave, employer does not have to hold open former position. </w:t>
      </w:r>
    </w:p>
    <w:p w14:paraId="4FE9F5C4" w14:textId="77777777" w:rsidR="006A13EA" w:rsidRPr="00401EB7" w:rsidRDefault="006A13EA" w:rsidP="006A13EA">
      <w:pPr>
        <w:pStyle w:val="NoSpacing"/>
        <w:rPr>
          <w:rFonts w:ascii="Times New Roman" w:hAnsi="Times New Roman"/>
          <w:sz w:val="24"/>
          <w:szCs w:val="24"/>
        </w:rPr>
      </w:pPr>
      <w:r>
        <w:rPr>
          <w:rFonts w:ascii="Times New Roman" w:hAnsi="Times New Roman"/>
          <w:b/>
          <w:bCs/>
          <w:sz w:val="24"/>
          <w:szCs w:val="24"/>
        </w:rPr>
        <w:tab/>
      </w:r>
      <w:r w:rsidRPr="00401EB7">
        <w:rPr>
          <w:rFonts w:ascii="Times New Roman" w:hAnsi="Times New Roman"/>
          <w:sz w:val="24"/>
          <w:szCs w:val="24"/>
        </w:rPr>
        <w:t xml:space="preserve">Note: FMLA Leave: </w:t>
      </w:r>
      <w:hyperlink r:id="rId1667" w:history="1">
        <w:r w:rsidRPr="00401EB7">
          <w:rPr>
            <w:rStyle w:val="Hyperlink"/>
            <w:rFonts w:ascii="Times New Roman" w:hAnsi="Times New Roman"/>
            <w:sz w:val="24"/>
            <w:szCs w:val="24"/>
          </w:rPr>
          <w:t>https://www.dol.gov/agencies/whd/fmla</w:t>
        </w:r>
      </w:hyperlink>
      <w:r w:rsidRPr="00401EB7">
        <w:rPr>
          <w:rFonts w:ascii="Times New Roman" w:hAnsi="Times New Roman"/>
          <w:sz w:val="24"/>
          <w:szCs w:val="24"/>
        </w:rPr>
        <w:t xml:space="preserve"> </w:t>
      </w:r>
    </w:p>
    <w:p w14:paraId="5D8632B3" w14:textId="77777777" w:rsidR="006A13EA" w:rsidRPr="0013397F" w:rsidRDefault="006A13EA" w:rsidP="006A13EA">
      <w:pPr>
        <w:pStyle w:val="NoSpacing"/>
        <w:ind w:firstLine="720"/>
        <w:rPr>
          <w:rFonts w:ascii="Times New Roman" w:hAnsi="Times New Roman"/>
          <w:sz w:val="24"/>
          <w:szCs w:val="24"/>
        </w:rPr>
      </w:pPr>
      <w:r>
        <w:rPr>
          <w:rFonts w:ascii="Times New Roman" w:hAnsi="Times New Roman"/>
          <w:b/>
          <w:bCs/>
          <w:sz w:val="24"/>
          <w:szCs w:val="24"/>
        </w:rPr>
        <w:t>“</w:t>
      </w:r>
      <w:r w:rsidRPr="0013397F">
        <w:rPr>
          <w:rFonts w:ascii="Times New Roman" w:hAnsi="Times New Roman"/>
          <w:sz w:val="24"/>
          <w:szCs w:val="24"/>
        </w:rPr>
        <w:t>Twelve workweeks of leave in a 12-month period for:</w:t>
      </w:r>
    </w:p>
    <w:p w14:paraId="0053D659"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the birth of a child and to care for the newborn child within one year of birth;</w:t>
      </w:r>
    </w:p>
    <w:p w14:paraId="2B52B53A"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the placement with the employee of a child for adoption or foster care and to care for the newly placed child within one year of placement;</w:t>
      </w:r>
    </w:p>
    <w:p w14:paraId="1EFF41F3"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to care for the employee’s spouse, child, or parent who has a serious health condition;</w:t>
      </w:r>
    </w:p>
    <w:p w14:paraId="4191BAE7"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a serious health condition that makes the employee unable to perform the essential functions of his or her job;</w:t>
      </w:r>
    </w:p>
    <w:p w14:paraId="0EBC0F88"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any qualifying exigency arising out of the fact that the employee’s spouse, son, daughter, or parent is a covered military member on “covered active duty;” or</w:t>
      </w:r>
    </w:p>
    <w:p w14:paraId="5FAC7F30" w14:textId="77777777" w:rsidR="006A13EA" w:rsidRDefault="006A13EA" w:rsidP="006A13EA">
      <w:pPr>
        <w:pStyle w:val="NoSpacing"/>
        <w:rPr>
          <w:rFonts w:ascii="Times New Roman" w:hAnsi="Times New Roman"/>
          <w:sz w:val="24"/>
          <w:szCs w:val="24"/>
        </w:rPr>
      </w:pPr>
    </w:p>
    <w:p w14:paraId="779849C6" w14:textId="77777777" w:rsidR="006A13EA" w:rsidRPr="0013397F" w:rsidRDefault="006A13EA" w:rsidP="006A13EA">
      <w:pPr>
        <w:pStyle w:val="NoSpacing"/>
        <w:ind w:left="720"/>
        <w:rPr>
          <w:rFonts w:ascii="Times New Roman" w:hAnsi="Times New Roman"/>
          <w:sz w:val="24"/>
          <w:szCs w:val="24"/>
        </w:rPr>
      </w:pPr>
      <w:r w:rsidRPr="0013397F">
        <w:rPr>
          <w:rFonts w:ascii="Times New Roman" w:hAnsi="Times New Roman"/>
          <w:sz w:val="24"/>
          <w:szCs w:val="24"/>
        </w:rPr>
        <w:t>Twenty-six work weeks of leave during a single 12-month period to care for a covered servicemember with a serious injury or illness if the eligible employee is the servicemember’s spouse, son, daughter, parent, or next of kin (military caregiver leave)</w:t>
      </w:r>
      <w:proofErr w:type="gramStart"/>
      <w:r w:rsidRPr="0013397F">
        <w:rPr>
          <w:rFonts w:ascii="Times New Roman" w:hAnsi="Times New Roman"/>
          <w:sz w:val="24"/>
          <w:szCs w:val="24"/>
        </w:rPr>
        <w:t>.</w:t>
      </w:r>
      <w:r>
        <w:rPr>
          <w:rFonts w:ascii="Times New Roman" w:hAnsi="Times New Roman"/>
          <w:sz w:val="24"/>
          <w:szCs w:val="24"/>
        </w:rPr>
        <w:t>”</w:t>
      </w:r>
      <w:proofErr w:type="gramEnd"/>
    </w:p>
    <w:p w14:paraId="75CA5315" w14:textId="77777777" w:rsidR="006A13EA" w:rsidRDefault="006A13EA" w:rsidP="00E9307E">
      <w:pPr>
        <w:rPr>
          <w:rFonts w:ascii="Arial Black" w:hAnsi="Arial Black"/>
          <w:b/>
          <w:sz w:val="28"/>
          <w:szCs w:val="28"/>
        </w:rPr>
      </w:pPr>
    </w:p>
    <w:p w14:paraId="6DE65148" w14:textId="77777777" w:rsidR="006A13EA" w:rsidRDefault="006A13EA" w:rsidP="00E9307E">
      <w:pPr>
        <w:rPr>
          <w:rFonts w:ascii="Arial Black" w:hAnsi="Arial Black"/>
          <w:b/>
          <w:sz w:val="28"/>
          <w:szCs w:val="28"/>
        </w:rPr>
      </w:pPr>
    </w:p>
    <w:p w14:paraId="00CF8FBD" w14:textId="77777777" w:rsidR="00D33F96" w:rsidRDefault="00D33F96" w:rsidP="00E9307E">
      <w:pPr>
        <w:rPr>
          <w:rFonts w:ascii="Arial Black" w:hAnsi="Arial Black"/>
          <w:b/>
          <w:sz w:val="28"/>
          <w:szCs w:val="28"/>
        </w:rPr>
      </w:pPr>
    </w:p>
    <w:p w14:paraId="2B0F2A19" w14:textId="7E80E2D3" w:rsidR="00237599" w:rsidRDefault="00237599" w:rsidP="00E9307E">
      <w:pPr>
        <w:rPr>
          <w:rFonts w:ascii="Arial Black" w:hAnsi="Arial Black"/>
          <w:b/>
          <w:sz w:val="28"/>
          <w:szCs w:val="28"/>
        </w:rPr>
      </w:pPr>
      <w:r>
        <w:rPr>
          <w:rFonts w:ascii="Arial Black" w:hAnsi="Arial Black"/>
          <w:b/>
          <w:sz w:val="28"/>
          <w:szCs w:val="28"/>
        </w:rPr>
        <w:t>10-1</w:t>
      </w:r>
      <w:r w:rsidR="00B13773">
        <w:rPr>
          <w:rFonts w:ascii="Arial Black" w:hAnsi="Arial Black"/>
          <w:b/>
          <w:sz w:val="28"/>
          <w:szCs w:val="28"/>
        </w:rPr>
        <w:t>0</w:t>
      </w:r>
    </w:p>
    <w:p w14:paraId="0AEA9C7D" w14:textId="25F4A1FE" w:rsidR="00237599" w:rsidRDefault="00237599" w:rsidP="00237599">
      <w:pPr>
        <w:pStyle w:val="NormalWeb"/>
        <w:rPr>
          <w:rFonts w:ascii="Arial Black" w:hAnsi="Arial Black"/>
          <w:b/>
          <w:bCs/>
          <w:sz w:val="28"/>
          <w:szCs w:val="28"/>
        </w:rPr>
      </w:pPr>
      <w:bookmarkStart w:id="372" w:name="_Hlk136860096"/>
      <w:r>
        <w:rPr>
          <w:rFonts w:ascii="Arial Black" w:hAnsi="Arial Black"/>
          <w:b/>
          <w:bCs/>
          <w:sz w:val="28"/>
          <w:szCs w:val="28"/>
        </w:rPr>
        <w:lastRenderedPageBreak/>
        <w:t xml:space="preserve">DC: FMLA – HOLIDAY </w:t>
      </w:r>
      <w:r w:rsidR="005F4A66">
        <w:rPr>
          <w:rFonts w:ascii="Arial Black" w:hAnsi="Arial Black"/>
          <w:b/>
          <w:bCs/>
          <w:sz w:val="28"/>
          <w:szCs w:val="28"/>
        </w:rPr>
        <w:t xml:space="preserve">- </w:t>
      </w:r>
      <w:r>
        <w:rPr>
          <w:rFonts w:ascii="Arial Black" w:hAnsi="Arial Black"/>
          <w:b/>
          <w:bCs/>
          <w:sz w:val="28"/>
          <w:szCs w:val="28"/>
        </w:rPr>
        <w:t>NOT COUNTED FULL WEEK OF LEAVE</w:t>
      </w:r>
    </w:p>
    <w:bookmarkEnd w:id="372"/>
    <w:p w14:paraId="65820FA5" w14:textId="77777777" w:rsidR="00237599" w:rsidRPr="00237599" w:rsidRDefault="00237599" w:rsidP="00237599">
      <w:pPr>
        <w:pStyle w:val="NormalWeb"/>
        <w:rPr>
          <w:rStyle w:val="markedcontent"/>
        </w:rPr>
      </w:pPr>
      <w:r w:rsidRPr="00237599">
        <w:t xml:space="preserve">On May 30, 2023, the U.S. Department of Labor, Wage and Hour Division, issued Opinion Letter </w:t>
      </w:r>
      <w:r w:rsidRPr="00237599">
        <w:rPr>
          <w:rStyle w:val="markedcontent"/>
        </w:rPr>
        <w:t>FMLA2023-2-A on calculating amount of leave used by an employee taking leave during a week where there is a holiday (such as 4</w:t>
      </w:r>
      <w:r w:rsidRPr="00237599">
        <w:rPr>
          <w:rStyle w:val="markedcontent"/>
          <w:vertAlign w:val="superscript"/>
        </w:rPr>
        <w:t>th</w:t>
      </w:r>
      <w:r w:rsidRPr="00237599">
        <w:rPr>
          <w:rStyle w:val="markedcontent"/>
        </w:rPr>
        <w:t xml:space="preserve"> of July).  Opinion Letter advised: </w:t>
      </w:r>
    </w:p>
    <w:p w14:paraId="4545340C" w14:textId="499F1B89" w:rsidR="00237599" w:rsidRPr="00237599" w:rsidRDefault="00237599" w:rsidP="00237599">
      <w:pPr>
        <w:rPr>
          <w:rFonts w:ascii="Times New Roman" w:hAnsi="Times New Roman"/>
          <w:b/>
          <w:sz w:val="24"/>
          <w:szCs w:val="24"/>
        </w:rPr>
      </w:pPr>
      <w:r w:rsidRPr="00237599">
        <w:rPr>
          <w:rStyle w:val="markedcontent"/>
          <w:rFonts w:ascii="Times New Roman" w:hAnsi="Times New Roman"/>
          <w:sz w:val="24"/>
          <w:szCs w:val="24"/>
        </w:rPr>
        <w:t xml:space="preserve">“When a holiday falls during a week that an employee is taking a full workweek of FMLA leave, the entire week is counted as FMLA leave. 29 C.F.R. § 825.200(h). Thus, for example, an employee who works Monday through Friday and takes leave for a week that includes the Fourth of July on Thursday would use one week of leave and not 4/5 of a week. However, when a holiday falls during a week when an employee is taking less than a full workweek of FMLA leave, the holiday is not counted as FMLA leave unless the employee was scheduled and expected to work on the holiday and used FMLA leave for that day.” </w:t>
      </w:r>
      <w:hyperlink r:id="rId1668" w:history="1">
        <w:r w:rsidRPr="00237599">
          <w:rPr>
            <w:rStyle w:val="Hyperlink"/>
            <w:rFonts w:ascii="Times New Roman" w:eastAsiaTheme="majorEastAsia" w:hAnsi="Times New Roman"/>
            <w:sz w:val="24"/>
            <w:szCs w:val="24"/>
          </w:rPr>
          <w:t>https://www.dol.gov/sites/dolgov/files/WHD/opinion-letters/FMLA/2023_05_30_02_FMLA.pdf</w:t>
        </w:r>
      </w:hyperlink>
    </w:p>
    <w:p w14:paraId="14526A0F" w14:textId="30FDBC05" w:rsidR="00237599" w:rsidRDefault="00237599" w:rsidP="00237599">
      <w:pPr>
        <w:pStyle w:val="NormalWeb"/>
        <w:rPr>
          <w:b/>
          <w:bCs/>
        </w:rPr>
      </w:pPr>
      <w:r>
        <w:rPr>
          <w:b/>
          <w:bCs/>
        </w:rPr>
        <w:t xml:space="preserve">Legal Lesson Learned: Wage &amp; Hour Opinion Letters are helpful, and Courts will often refer to them in litigation. </w:t>
      </w:r>
    </w:p>
    <w:p w14:paraId="3C6C9005" w14:textId="38BB7304" w:rsidR="00237599" w:rsidRDefault="00237599" w:rsidP="00237599">
      <w:pPr>
        <w:tabs>
          <w:tab w:val="left" w:pos="1050"/>
        </w:tabs>
        <w:rPr>
          <w:rFonts w:ascii="Arial Black" w:hAnsi="Arial Black"/>
          <w:b/>
          <w:sz w:val="28"/>
          <w:szCs w:val="28"/>
        </w:rPr>
      </w:pPr>
    </w:p>
    <w:p w14:paraId="60AE6181" w14:textId="4B4DE3E6" w:rsidR="0002742E" w:rsidRDefault="0002742E" w:rsidP="00E9307E">
      <w:pPr>
        <w:rPr>
          <w:rFonts w:ascii="Arial Black" w:hAnsi="Arial Black"/>
          <w:b/>
          <w:sz w:val="28"/>
          <w:szCs w:val="28"/>
        </w:rPr>
      </w:pPr>
      <w:r>
        <w:rPr>
          <w:rFonts w:ascii="Arial Black" w:hAnsi="Arial Black"/>
          <w:b/>
          <w:sz w:val="28"/>
          <w:szCs w:val="28"/>
        </w:rPr>
        <w:t>10-</w:t>
      </w:r>
      <w:r w:rsidR="00B13773">
        <w:rPr>
          <w:rFonts w:ascii="Arial Black" w:hAnsi="Arial Black"/>
          <w:b/>
          <w:sz w:val="28"/>
          <w:szCs w:val="28"/>
        </w:rPr>
        <w:t>9</w:t>
      </w:r>
    </w:p>
    <w:p w14:paraId="23B8FC55" w14:textId="77777777" w:rsidR="0002742E" w:rsidRPr="00915CA6" w:rsidRDefault="0002742E" w:rsidP="0002742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TX: HOSPITAL PARAMEDIC FIRED - 12 WEEKS FMLA LEAVE EXPIRED - JOB POSTED – TURNED DOWN NEW SHIFT </w:t>
      </w:r>
    </w:p>
    <w:p w14:paraId="346BB985" w14:textId="0AB51AA1" w:rsidR="0002742E" w:rsidRDefault="0002742E" w:rsidP="0002742E">
      <w:pPr>
        <w:rPr>
          <w:rFonts w:ascii="Arial Black" w:hAnsi="Arial Black"/>
          <w:b/>
          <w:sz w:val="28"/>
          <w:szCs w:val="28"/>
        </w:rPr>
      </w:pPr>
      <w:r w:rsidRPr="00990FC9">
        <w:rPr>
          <w:rFonts w:ascii="Times New Roman" w:hAnsi="Times New Roman"/>
          <w:sz w:val="24"/>
          <w:szCs w:val="24"/>
        </w:rPr>
        <w:t xml:space="preserve">On April 20, 2022, </w:t>
      </w:r>
      <w:r>
        <w:rPr>
          <w:rFonts w:ascii="Times New Roman" w:hAnsi="Times New Roman"/>
          <w:sz w:val="24"/>
          <w:szCs w:val="24"/>
        </w:rPr>
        <w:t xml:space="preserve">in </w:t>
      </w:r>
      <w:r w:rsidRPr="00990FC9">
        <w:rPr>
          <w:rFonts w:ascii="Times New Roman" w:hAnsi="Times New Roman"/>
          <w:sz w:val="24"/>
          <w:szCs w:val="24"/>
          <w:u w:val="single"/>
        </w:rPr>
        <w:t>Maria Jochims v. Houston Methodist Sugar Land Hospital</w:t>
      </w:r>
      <w:r>
        <w:rPr>
          <w:rFonts w:ascii="Times New Roman" w:hAnsi="Times New Roman"/>
          <w:sz w:val="24"/>
          <w:szCs w:val="24"/>
        </w:rPr>
        <w:t xml:space="preserve">, U.S. Magistrate Judge Andrew M. Edison issued a memorandum recommending that U.S. District Court judge dismiss the plaintiff’s sex and pregnancy discrimination claim.  The plaintiff worked as a Paramedic in the Emergency Services Department since 2013, and because of difficult pregnancy in Aug. 2016, she had used up her 12-weeks of “job protected” FMLA leave on Feb. 15, 2017.  The hospital needed the position filled ASAP, and the next day the job was posted (11 am – 11 pm shift) and quickly filled by a male Paramedic.  </w:t>
      </w:r>
      <w:r w:rsidRPr="00457431">
        <w:rPr>
          <w:rFonts w:ascii="Times New Roman" w:hAnsi="Times New Roman"/>
          <w:sz w:val="24"/>
          <w:szCs w:val="24"/>
        </w:rPr>
        <w:t>The hospital then offered the plaintiff a new shift (7 pm – 7 am), which she declined. Jochims failed to obtain a suitable position within 30 days. Houston Methodist gave Jochims an extension to locate and obtain an alternative position, but she failed to secure a new position within the extended time. Plaintiff was terminated effective April 25, 2017, under Houston Methodist's HR29 Policy.</w:t>
      </w:r>
      <w:r>
        <w:rPr>
          <w:rFonts w:ascii="Times New Roman" w:hAnsi="Times New Roman"/>
          <w:sz w:val="24"/>
          <w:szCs w:val="24"/>
        </w:rPr>
        <w:t xml:space="preserve"> </w:t>
      </w:r>
      <w:hyperlink r:id="rId1669" w:history="1">
        <w:r w:rsidRPr="005C2DF9">
          <w:rPr>
            <w:rStyle w:val="Hyperlink"/>
            <w:rFonts w:ascii="Times New Roman" w:hAnsi="Times New Roman"/>
            <w:sz w:val="24"/>
            <w:szCs w:val="24"/>
          </w:rPr>
          <w:t>https://public.fastcase.com/waZtJvSA54UAurM2rmIZz88A4DX9zJiHVSCLlaywcCbO%2FsN6H35lRLqBQI5YlUXLkpfw%2B63lWcDnyRlZDlxVAe7N7ayvxJpVWQxxLxisTNc%3D</w:t>
        </w:r>
      </w:hyperlink>
    </w:p>
    <w:p w14:paraId="264CE0D5" w14:textId="77777777" w:rsidR="0002742E" w:rsidRPr="00DA5B17" w:rsidRDefault="0002742E" w:rsidP="0002742E">
      <w:pPr>
        <w:spacing w:before="100" w:beforeAutospacing="1" w:after="100" w:afterAutospacing="1" w:line="240" w:lineRule="auto"/>
        <w:rPr>
          <w:rFonts w:ascii="Times New Roman" w:eastAsia="Times New Roman" w:hAnsi="Times New Roman"/>
          <w:b/>
          <w:bCs/>
          <w:sz w:val="24"/>
          <w:szCs w:val="24"/>
        </w:rPr>
      </w:pPr>
      <w:r w:rsidRPr="00DA5B17">
        <w:rPr>
          <w:rFonts w:ascii="Times New Roman" w:hAnsi="Times New Roman"/>
          <w:b/>
          <w:bCs/>
          <w:sz w:val="24"/>
          <w:szCs w:val="24"/>
        </w:rPr>
        <w:t>Legal Lesson Learned:</w:t>
      </w:r>
      <w:r>
        <w:rPr>
          <w:rFonts w:ascii="Times New Roman" w:hAnsi="Times New Roman"/>
          <w:b/>
          <w:bCs/>
          <w:sz w:val="24"/>
          <w:szCs w:val="24"/>
        </w:rPr>
        <w:t xml:space="preserve">  Fire &amp; EMS Departments should have a written FMLA policy. </w:t>
      </w:r>
    </w:p>
    <w:p w14:paraId="6E5A1242" w14:textId="77777777" w:rsidR="0002742E" w:rsidRDefault="0002742E" w:rsidP="0002742E">
      <w:pPr>
        <w:spacing w:before="100" w:beforeAutospacing="1" w:after="100" w:afterAutospacing="1" w:line="240" w:lineRule="auto"/>
        <w:rPr>
          <w:rFonts w:ascii="Times New Roman" w:hAnsi="Times New Roman"/>
          <w:sz w:val="24"/>
          <w:szCs w:val="24"/>
        </w:rPr>
      </w:pPr>
    </w:p>
    <w:p w14:paraId="46FF12D7" w14:textId="77777777" w:rsidR="0002742E" w:rsidRDefault="0002742E" w:rsidP="00E9307E">
      <w:pPr>
        <w:rPr>
          <w:rFonts w:ascii="Arial Black" w:hAnsi="Arial Black"/>
          <w:b/>
          <w:sz w:val="28"/>
          <w:szCs w:val="28"/>
        </w:rPr>
      </w:pPr>
    </w:p>
    <w:p w14:paraId="2854BCB3" w14:textId="77777777" w:rsidR="0002742E" w:rsidRDefault="0002742E" w:rsidP="00E9307E">
      <w:pPr>
        <w:rPr>
          <w:rFonts w:ascii="Arial Black" w:hAnsi="Arial Black"/>
          <w:b/>
          <w:sz w:val="28"/>
          <w:szCs w:val="28"/>
        </w:rPr>
      </w:pPr>
    </w:p>
    <w:p w14:paraId="7896CB0C" w14:textId="3BBC8E05" w:rsidR="00BD3FE4" w:rsidRDefault="00BD3FE4" w:rsidP="00E9307E">
      <w:pPr>
        <w:rPr>
          <w:rFonts w:ascii="Arial Black" w:hAnsi="Arial Black"/>
          <w:b/>
          <w:sz w:val="28"/>
          <w:szCs w:val="28"/>
        </w:rPr>
      </w:pPr>
      <w:r>
        <w:rPr>
          <w:rFonts w:ascii="Arial Black" w:hAnsi="Arial Black"/>
          <w:b/>
          <w:sz w:val="28"/>
          <w:szCs w:val="28"/>
        </w:rPr>
        <w:lastRenderedPageBreak/>
        <w:t>10-</w:t>
      </w:r>
      <w:r w:rsidR="00B13773">
        <w:rPr>
          <w:rFonts w:ascii="Arial Black" w:hAnsi="Arial Black"/>
          <w:b/>
          <w:sz w:val="28"/>
          <w:szCs w:val="28"/>
        </w:rPr>
        <w:t>8</w:t>
      </w:r>
      <w:r>
        <w:rPr>
          <w:rFonts w:ascii="Arial Black" w:hAnsi="Arial Black"/>
          <w:b/>
          <w:sz w:val="28"/>
          <w:szCs w:val="28"/>
        </w:rPr>
        <w:t xml:space="preserve"> [also Filed Chap. 15]</w:t>
      </w:r>
    </w:p>
    <w:p w14:paraId="344DA447" w14:textId="77777777" w:rsidR="00BD3FE4" w:rsidRDefault="00BD3FE4" w:rsidP="00BD3FE4">
      <w:pPr>
        <w:pStyle w:val="NormalWeb"/>
        <w:rPr>
          <w:rFonts w:ascii="Arial Black" w:hAnsi="Arial Black"/>
          <w:b/>
          <w:bCs/>
          <w:sz w:val="28"/>
          <w:szCs w:val="28"/>
        </w:rPr>
      </w:pPr>
      <w:r>
        <w:rPr>
          <w:rFonts w:ascii="Arial Black" w:hAnsi="Arial Black"/>
          <w:b/>
          <w:bCs/>
          <w:sz w:val="28"/>
          <w:szCs w:val="28"/>
        </w:rPr>
        <w:t xml:space="preserve">MA: CAPTAIN PSYCHIATRICT EXAM – FIRE CHIEF DENIED IMMUNITY – ALLEGED RETALIATION / BREACH OF FMLA </w:t>
      </w:r>
    </w:p>
    <w:p w14:paraId="21A411EF" w14:textId="77777777" w:rsidR="00BD3FE4" w:rsidRDefault="00BD3FE4" w:rsidP="00BD3FE4">
      <w:pPr>
        <w:pStyle w:val="NormalWeb"/>
      </w:pPr>
      <w:r w:rsidRPr="00944162">
        <w:t xml:space="preserve">On </w:t>
      </w:r>
      <w:r>
        <w:t xml:space="preserve">Jan. 26, 2022, in </w:t>
      </w:r>
      <w:r w:rsidRPr="00944162">
        <w:rPr>
          <w:u w:val="single"/>
        </w:rPr>
        <w:t>Andrew Brennan v. City of Everett and Anthony Carli</w:t>
      </w:r>
      <w:r>
        <w:t>, the Appeals Court of Massachusetts held (3 to 0; unpublished decision) that trial judge properly denied the Fire Chief Anthony Carli’s  motion to be dismissed from lawsuit based on qualified immunity.  “</w:t>
      </w:r>
      <w:r w:rsidRPr="00DE5CFC">
        <w:t>Here, Brennan alleged that Carli placed him on leave and provided false information to medical evaluators under the false belief that Brennan was mentally unfit.</w:t>
      </w:r>
      <w:r>
        <w:t xml:space="preserve">” </w:t>
      </w:r>
      <w:hyperlink r:id="rId1670" w:history="1">
        <w:r w:rsidRPr="003B2357">
          <w:rPr>
            <w:rStyle w:val="Hyperlink"/>
            <w:rFonts w:eastAsiaTheme="majorEastAsia"/>
          </w:rPr>
          <w:t>https://public.fastcase.com/9SKwsfNqTc6OieYDhNMyM%2BsbSTu241pOZ38l1fL3GtOxRE1iLhH6RZm0FIyTdVeF1XRK6Ebg7B5equTDg4ZQiMxFMDQEZko4UYsaxrmOuYk%3D</w:t>
        </w:r>
      </w:hyperlink>
      <w:r>
        <w:t xml:space="preserve"> </w:t>
      </w:r>
      <w:r w:rsidRPr="00266965">
        <w:t xml:space="preserve"> </w:t>
      </w:r>
      <w:r>
        <w:t xml:space="preserve"> </w:t>
      </w:r>
    </w:p>
    <w:p w14:paraId="2E50C502" w14:textId="77777777" w:rsidR="00BD3FE4" w:rsidRPr="003B747D" w:rsidRDefault="00BD3FE4" w:rsidP="00BD3FE4">
      <w:pPr>
        <w:spacing w:before="100" w:beforeAutospacing="1" w:after="100" w:afterAutospacing="1" w:line="240" w:lineRule="auto"/>
        <w:rPr>
          <w:rFonts w:ascii="Times New Roman" w:hAnsi="Times New Roman"/>
          <w:b/>
          <w:bCs/>
          <w:sz w:val="24"/>
          <w:szCs w:val="24"/>
        </w:rPr>
      </w:pPr>
      <w:r w:rsidRPr="003B747D">
        <w:rPr>
          <w:rFonts w:ascii="Times New Roman" w:hAnsi="Times New Roman"/>
          <w:b/>
          <w:bCs/>
          <w:sz w:val="24"/>
          <w:szCs w:val="24"/>
        </w:rPr>
        <w:t>Legal Lesson Learned:</w:t>
      </w:r>
      <w:r>
        <w:rPr>
          <w:rFonts w:ascii="Times New Roman" w:hAnsi="Times New Roman"/>
          <w:b/>
          <w:bCs/>
          <w:sz w:val="24"/>
          <w:szCs w:val="24"/>
        </w:rPr>
        <w:t xml:space="preserve">  If employee may need psychiatric evaluation, provide specific information to the medical evaluators; and if employee asks about FMLA, provide form to request leave.  </w:t>
      </w:r>
    </w:p>
    <w:p w14:paraId="5BB7C6AC" w14:textId="77777777" w:rsidR="00BD3FE4" w:rsidRDefault="00BD3FE4" w:rsidP="00E9307E">
      <w:pPr>
        <w:rPr>
          <w:rFonts w:ascii="Arial Black" w:hAnsi="Arial Black"/>
          <w:b/>
          <w:sz w:val="28"/>
          <w:szCs w:val="28"/>
        </w:rPr>
      </w:pPr>
    </w:p>
    <w:p w14:paraId="1AC0F19C" w14:textId="77777777" w:rsidR="00BD3FE4" w:rsidRDefault="00BD3FE4" w:rsidP="00E9307E">
      <w:pPr>
        <w:rPr>
          <w:rFonts w:ascii="Arial Black" w:hAnsi="Arial Black"/>
          <w:b/>
          <w:sz w:val="28"/>
          <w:szCs w:val="28"/>
        </w:rPr>
      </w:pPr>
    </w:p>
    <w:p w14:paraId="48770BC6" w14:textId="67C26F38" w:rsidR="00863F9E" w:rsidRDefault="00863F9E" w:rsidP="00E9307E">
      <w:pPr>
        <w:rPr>
          <w:rFonts w:ascii="Arial Black" w:hAnsi="Arial Black"/>
          <w:b/>
          <w:sz w:val="28"/>
          <w:szCs w:val="28"/>
        </w:rPr>
      </w:pPr>
      <w:r>
        <w:rPr>
          <w:rFonts w:ascii="Arial Black" w:hAnsi="Arial Black"/>
          <w:b/>
          <w:sz w:val="28"/>
          <w:szCs w:val="28"/>
        </w:rPr>
        <w:t>10-</w:t>
      </w:r>
      <w:r w:rsidR="00B13773">
        <w:rPr>
          <w:rFonts w:ascii="Arial Black" w:hAnsi="Arial Black"/>
          <w:b/>
          <w:sz w:val="28"/>
          <w:szCs w:val="28"/>
        </w:rPr>
        <w:t>7</w:t>
      </w:r>
      <w:r>
        <w:rPr>
          <w:rFonts w:ascii="Arial Black" w:hAnsi="Arial Black"/>
          <w:b/>
          <w:sz w:val="28"/>
          <w:szCs w:val="28"/>
        </w:rPr>
        <w:t xml:space="preserve"> [also filed, Chap. 11]</w:t>
      </w:r>
    </w:p>
    <w:p w14:paraId="1475517C" w14:textId="77777777" w:rsidR="00863F9E" w:rsidRDefault="00863F9E" w:rsidP="00863F9E">
      <w:pPr>
        <w:spacing w:before="100" w:beforeAutospacing="1" w:after="100" w:afterAutospacing="1" w:line="240" w:lineRule="auto"/>
        <w:rPr>
          <w:rFonts w:eastAsia="Times New Roman" w:cs="Calibri"/>
          <w:vanish/>
        </w:rPr>
      </w:pPr>
      <w:r>
        <w:rPr>
          <w:rFonts w:ascii="Arial Black" w:eastAsia="Times New Roman" w:hAnsi="Arial Black"/>
          <w:b/>
          <w:bCs/>
          <w:sz w:val="28"/>
          <w:szCs w:val="28"/>
        </w:rPr>
        <w:t>U.S. DOL: ELECTRONIC POSTING CAN’T REPLACE FLSA / FMLA POSTERS – UNLESS ALL EMPLOYEES WORK ONLINE</w:t>
      </w:r>
    </w:p>
    <w:tbl>
      <w:tblPr>
        <w:tblW w:w="5000" w:type="pct"/>
        <w:jc w:val="center"/>
        <w:tblCellMar>
          <w:left w:w="0" w:type="dxa"/>
          <w:right w:w="0" w:type="dxa"/>
        </w:tblCellMar>
        <w:tblLook w:val="04A0" w:firstRow="1" w:lastRow="0" w:firstColumn="1" w:lastColumn="0" w:noHBand="0" w:noVBand="1"/>
      </w:tblPr>
      <w:tblGrid>
        <w:gridCol w:w="10800"/>
      </w:tblGrid>
      <w:tr w:rsidR="00863F9E" w14:paraId="5DF71EAF" w14:textId="77777777" w:rsidTr="00F90EE5">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863F9E" w14:paraId="7D648905" w14:textId="77777777" w:rsidTr="00F90EE5">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63F9E" w14:paraId="354E7068" w14:textId="77777777" w:rsidTr="00F90EE5">
                    <w:trPr>
                      <w:jc w:val="center"/>
                      <w:hidden/>
                    </w:trPr>
                    <w:tc>
                      <w:tcPr>
                        <w:tcW w:w="0" w:type="auto"/>
                        <w:tcMar>
                          <w:top w:w="75" w:type="dxa"/>
                          <w:left w:w="0" w:type="dxa"/>
                          <w:bottom w:w="75" w:type="dxa"/>
                          <w:right w:w="0" w:type="dxa"/>
                        </w:tcMar>
                        <w:hideMark/>
                      </w:tcPr>
                      <w:p w14:paraId="73C3B046" w14:textId="77777777" w:rsidR="00863F9E" w:rsidRDefault="00863F9E" w:rsidP="00F90EE5">
                        <w:pPr>
                          <w:rPr>
                            <w:rFonts w:eastAsia="Times New Roman" w:cs="Calibri"/>
                            <w:vanish/>
                          </w:rPr>
                        </w:pPr>
                      </w:p>
                    </w:tc>
                  </w:tr>
                </w:tbl>
                <w:p w14:paraId="1D3B0CBE" w14:textId="77777777" w:rsidR="00863F9E" w:rsidRDefault="00863F9E" w:rsidP="00F90EE5">
                  <w:pPr>
                    <w:jc w:val="center"/>
                  </w:pPr>
                </w:p>
              </w:tc>
            </w:tr>
          </w:tbl>
          <w:p w14:paraId="14E98745" w14:textId="77777777" w:rsidR="00863F9E" w:rsidRDefault="00863F9E" w:rsidP="00F90EE5">
            <w:pPr>
              <w:jc w:val="center"/>
            </w:pPr>
          </w:p>
        </w:tc>
      </w:tr>
    </w:tbl>
    <w:p w14:paraId="6C60F763" w14:textId="77777777" w:rsidR="00863F9E" w:rsidRDefault="00863F9E" w:rsidP="00863F9E">
      <w:pPr>
        <w:pStyle w:val="NormalWeb"/>
        <w:spacing w:line="255" w:lineRule="atLeast"/>
        <w:rPr>
          <w:bCs/>
        </w:rPr>
      </w:pPr>
      <w:r>
        <w:rPr>
          <w:bCs/>
        </w:rPr>
        <w:t xml:space="preserve">On Dec. 29, 2020, the U.S. Department of Labor / Wage &amp; Hour Division issued Field Assistance Bulletin regarding posters that are required in workplaces, including the </w:t>
      </w:r>
      <w:r>
        <w:t>Fair Labor Standards Act (FLSA), the Family and Medical Leave Act (FMLA), Section 14I of the FLSA (Section 14I), the Employee Polygraph Protection Act (EPPA), and the Service Contract Act (SCA).</w:t>
      </w:r>
    </w:p>
    <w:p w14:paraId="5EFF8CAB" w14:textId="77777777" w:rsidR="00863F9E" w:rsidRDefault="00863F9E" w:rsidP="00863F9E">
      <w:pPr>
        <w:pStyle w:val="NormalWeb"/>
        <w:spacing w:line="255" w:lineRule="atLeast"/>
        <w:ind w:left="720"/>
      </w:pPr>
      <w:r>
        <w:t>“In most cases, these electronic notices supplement but do not replace the statutory and regulatory requirements that employers post a hard-copy notice. Whether notices are provided electronically or in hard-copy format, it is an employer’s obligation to provide the required notices to all affected individuals.</w:t>
      </w:r>
    </w:p>
    <w:p w14:paraId="0CC47822" w14:textId="77777777" w:rsidR="00863F9E" w:rsidRDefault="00863F9E" w:rsidP="00863F9E">
      <w:pPr>
        <w:pStyle w:val="NormalWeb"/>
        <w:spacing w:line="255" w:lineRule="atLeast"/>
        <w:ind w:left="720"/>
      </w:pPr>
      <w:r>
        <w:t>***</w:t>
      </w:r>
    </w:p>
    <w:p w14:paraId="68415510" w14:textId="77777777" w:rsidR="00863F9E" w:rsidRDefault="00863F9E" w:rsidP="00863F9E">
      <w:pPr>
        <w:pStyle w:val="NormalWeb"/>
        <w:spacing w:line="255" w:lineRule="atLeast"/>
        <w:ind w:left="720"/>
        <w:rPr>
          <w:rStyle w:val="Hyperlink"/>
        </w:rPr>
      </w:pPr>
      <w:r>
        <w:t xml:space="preserve">If a statute and its regulations require a notice to be continuously posted at a worksite, in most cases, WHD will only consider electronic posting an acceptable substitute for the continuous posting requirement where (1) all of the employer’s employees exclusively work remotely, (2) all employees customarily receive information from the employer via electronic means, and (3) all employees have readily available access to the electronic posting at all times. This ensures the electronic posting satisfies the statutory and regulatory requirements that such postings </w:t>
      </w:r>
      <w:proofErr w:type="gramStart"/>
      <w:r>
        <w:t>be</w:t>
      </w:r>
      <w:proofErr w:type="gramEnd"/>
      <w:r>
        <w:t xml:space="preserve"> continuously accessible to employees. Where an employer has employees on-site and other employees teleworking full-time, for example, the employer may supplement a hard-copy posting requirement with electronic posting and the Department would encourage both methods of posting.”  </w:t>
      </w:r>
      <w:hyperlink r:id="rId1671" w:history="1">
        <w:r>
          <w:rPr>
            <w:rStyle w:val="Hyperlink"/>
          </w:rPr>
          <w:t>https://www.dol.gov/sites/dolgov/files/WHD/legacy/files/fab_2020_7.pdf</w:t>
        </w:r>
      </w:hyperlink>
    </w:p>
    <w:p w14:paraId="2D69472B" w14:textId="77777777" w:rsidR="00863F9E" w:rsidRDefault="00863F9E" w:rsidP="00863F9E">
      <w:pPr>
        <w:pStyle w:val="NormalWeb"/>
        <w:spacing w:line="255" w:lineRule="atLeast"/>
        <w:rPr>
          <w:b/>
        </w:rPr>
      </w:pPr>
      <w:r>
        <w:rPr>
          <w:b/>
        </w:rPr>
        <w:t>Legal Lesson Learned: Fire Department need to keep posters on the wall.</w:t>
      </w:r>
    </w:p>
    <w:p w14:paraId="6BA0D76D" w14:textId="77777777" w:rsidR="00863F9E" w:rsidRDefault="00863F9E" w:rsidP="00E9307E">
      <w:pPr>
        <w:rPr>
          <w:rFonts w:ascii="Arial Black" w:hAnsi="Arial Black"/>
          <w:b/>
          <w:sz w:val="28"/>
          <w:szCs w:val="28"/>
        </w:rPr>
      </w:pPr>
    </w:p>
    <w:p w14:paraId="49165289" w14:textId="77777777" w:rsidR="00863F9E" w:rsidRDefault="00863F9E" w:rsidP="00E9307E">
      <w:pPr>
        <w:rPr>
          <w:rFonts w:ascii="Arial Black" w:hAnsi="Arial Black"/>
          <w:b/>
          <w:sz w:val="28"/>
          <w:szCs w:val="28"/>
        </w:rPr>
      </w:pPr>
    </w:p>
    <w:p w14:paraId="786F922C" w14:textId="77777777" w:rsidR="00863F9E" w:rsidRDefault="00863F9E" w:rsidP="00E9307E">
      <w:pPr>
        <w:rPr>
          <w:rFonts w:ascii="Arial Black" w:hAnsi="Arial Black"/>
          <w:b/>
          <w:sz w:val="28"/>
          <w:szCs w:val="28"/>
        </w:rPr>
      </w:pPr>
    </w:p>
    <w:p w14:paraId="753E5CAB" w14:textId="1400C63D" w:rsidR="00863F9E" w:rsidRDefault="00863F9E" w:rsidP="00E9307E">
      <w:pPr>
        <w:rPr>
          <w:rFonts w:ascii="Arial Black" w:hAnsi="Arial Black"/>
          <w:b/>
          <w:sz w:val="28"/>
          <w:szCs w:val="28"/>
        </w:rPr>
      </w:pPr>
      <w:r>
        <w:rPr>
          <w:rFonts w:ascii="Arial Black" w:hAnsi="Arial Black"/>
          <w:b/>
          <w:sz w:val="28"/>
          <w:szCs w:val="28"/>
        </w:rPr>
        <w:t>10-</w:t>
      </w:r>
      <w:r w:rsidR="00B06C3F">
        <w:rPr>
          <w:rFonts w:ascii="Arial Black" w:hAnsi="Arial Black"/>
          <w:b/>
          <w:sz w:val="28"/>
          <w:szCs w:val="28"/>
        </w:rPr>
        <w:t>6</w:t>
      </w:r>
    </w:p>
    <w:p w14:paraId="72F73E63" w14:textId="77777777" w:rsidR="00863F9E" w:rsidRDefault="00863F9E" w:rsidP="00863F9E">
      <w:pPr>
        <w:spacing w:before="100" w:beforeAutospacing="1" w:after="100" w:afterAutospacing="1" w:line="240" w:lineRule="auto"/>
        <w:rPr>
          <w:rFonts w:asciiTheme="minorHAnsi" w:eastAsiaTheme="minorHAnsi" w:hAnsiTheme="minorHAnsi" w:cstheme="minorBidi"/>
          <w:bCs/>
        </w:rPr>
      </w:pPr>
      <w:r>
        <w:rPr>
          <w:rFonts w:ascii="Arial Black" w:eastAsia="Times New Roman" w:hAnsi="Arial Black"/>
          <w:b/>
          <w:bCs/>
          <w:sz w:val="28"/>
          <w:szCs w:val="28"/>
        </w:rPr>
        <w:t>U.S. DOL:  TELEMEDICINE – EMPLOYEES MAY CONSULT DOCTOR ONLINE FOR FMLA – IF VIDEO CONFERENCES STATE APPROVED</w:t>
      </w:r>
    </w:p>
    <w:p w14:paraId="12214385" w14:textId="77777777" w:rsidR="00863F9E" w:rsidRDefault="00863F9E" w:rsidP="00863F9E">
      <w:pPr>
        <w:pStyle w:val="NormalWeb"/>
        <w:spacing w:line="255" w:lineRule="atLeast"/>
        <w:rPr>
          <w:bCs/>
        </w:rPr>
      </w:pPr>
      <w:r>
        <w:rPr>
          <w:bCs/>
        </w:rPr>
        <w:t xml:space="preserve">On Dec. 29, 2020, the U.S. Department of Labor / Wage &amp; Hour Division, issued a Field Assistance Bulletin regarding use of telemedicine. </w:t>
      </w:r>
    </w:p>
    <w:p w14:paraId="2127F9FE" w14:textId="77777777" w:rsidR="00863F9E" w:rsidRDefault="00863F9E" w:rsidP="00863F9E">
      <w:pPr>
        <w:pStyle w:val="NormalWeb"/>
        <w:spacing w:line="255" w:lineRule="atLeast"/>
        <w:ind w:left="720"/>
      </w:pPr>
      <w:r>
        <w:t xml:space="preserve">“WHD’s experience is that health care providers are now often using telemedicine to deliver examinations, evaluations, and other healthcare services that would previously have been provided only in an office setting. Given this </w:t>
      </w:r>
      <w:proofErr w:type="gramStart"/>
      <w:r>
        <w:t>experience, and</w:t>
      </w:r>
      <w:proofErr w:type="gramEnd"/>
      <w:r>
        <w:t xml:space="preserve"> continuing the policy adopted in response to the COVID-19 pandemic, WHD will consider a telemedicine visit with a health care provider as an in-person visit under 29 C.F.R. §825.115, provided specified criteria are met.</w:t>
      </w:r>
    </w:p>
    <w:p w14:paraId="15AE535A" w14:textId="77777777" w:rsidR="00863F9E" w:rsidRDefault="00863F9E" w:rsidP="00863F9E">
      <w:pPr>
        <w:pStyle w:val="NoSpacing"/>
        <w:ind w:firstLine="720"/>
        <w:rPr>
          <w:rFonts w:ascii="Times New Roman" w:hAnsi="Times New Roman"/>
          <w:sz w:val="24"/>
          <w:szCs w:val="24"/>
        </w:rPr>
      </w:pPr>
      <w:r>
        <w:rPr>
          <w:rFonts w:ascii="Times New Roman" w:hAnsi="Times New Roman"/>
          <w:sz w:val="24"/>
          <w:szCs w:val="24"/>
        </w:rPr>
        <w:t xml:space="preserve">To be considered an “in-person” visit, the telemedicine visit must include: </w:t>
      </w:r>
    </w:p>
    <w:p w14:paraId="5BC06183" w14:textId="77777777" w:rsidR="00863F9E" w:rsidRDefault="00863F9E" w:rsidP="00863F9E">
      <w:pPr>
        <w:pStyle w:val="NoSpacing"/>
        <w:numPr>
          <w:ilvl w:val="2"/>
          <w:numId w:val="8"/>
        </w:numPr>
        <w:rPr>
          <w:rFonts w:ascii="Times New Roman" w:hAnsi="Times New Roman"/>
          <w:sz w:val="24"/>
          <w:szCs w:val="24"/>
        </w:rPr>
      </w:pPr>
      <w:r>
        <w:rPr>
          <w:rFonts w:ascii="Times New Roman" w:hAnsi="Times New Roman"/>
          <w:sz w:val="24"/>
          <w:szCs w:val="24"/>
        </w:rPr>
        <w:t xml:space="preserve">an examination, evaluation, or treatment by a health care provider; </w:t>
      </w:r>
    </w:p>
    <w:p w14:paraId="7E69B2CE" w14:textId="77777777" w:rsidR="00863F9E" w:rsidRDefault="00863F9E" w:rsidP="00863F9E">
      <w:pPr>
        <w:pStyle w:val="NoSpacing"/>
        <w:numPr>
          <w:ilvl w:val="2"/>
          <w:numId w:val="8"/>
        </w:numPr>
        <w:rPr>
          <w:rFonts w:ascii="Times New Roman" w:hAnsi="Times New Roman"/>
          <w:sz w:val="24"/>
          <w:szCs w:val="24"/>
        </w:rPr>
      </w:pPr>
      <w:r>
        <w:rPr>
          <w:rFonts w:ascii="Times New Roman" w:hAnsi="Times New Roman"/>
          <w:sz w:val="24"/>
          <w:szCs w:val="24"/>
        </w:rPr>
        <w:t xml:space="preserve">be permitted and accepted by state licensing authorities; and, </w:t>
      </w:r>
    </w:p>
    <w:p w14:paraId="37FD8F55" w14:textId="77777777" w:rsidR="00863F9E" w:rsidRDefault="00863F9E" w:rsidP="00863F9E">
      <w:pPr>
        <w:pStyle w:val="NoSpacing"/>
        <w:numPr>
          <w:ilvl w:val="2"/>
          <w:numId w:val="8"/>
        </w:numPr>
        <w:rPr>
          <w:rFonts w:ascii="Times New Roman" w:hAnsi="Times New Roman"/>
          <w:bCs/>
          <w:sz w:val="24"/>
          <w:szCs w:val="24"/>
        </w:rPr>
      </w:pPr>
      <w:proofErr w:type="gramStart"/>
      <w:r>
        <w:rPr>
          <w:rFonts w:ascii="Times New Roman" w:hAnsi="Times New Roman"/>
          <w:sz w:val="24"/>
          <w:szCs w:val="24"/>
        </w:rPr>
        <w:t>generally</w:t>
      </w:r>
      <w:proofErr w:type="gramEnd"/>
      <w:r>
        <w:rPr>
          <w:rFonts w:ascii="Times New Roman" w:hAnsi="Times New Roman"/>
          <w:sz w:val="24"/>
          <w:szCs w:val="24"/>
        </w:rPr>
        <w:t>, should be performed by video conference.</w:t>
      </w:r>
    </w:p>
    <w:p w14:paraId="15708B85" w14:textId="77777777" w:rsidR="00863F9E" w:rsidRDefault="00863F9E" w:rsidP="00863F9E">
      <w:pPr>
        <w:pStyle w:val="NormalWeb"/>
        <w:spacing w:line="255" w:lineRule="atLeast"/>
        <w:ind w:left="720"/>
        <w:rPr>
          <w:b/>
        </w:rPr>
      </w:pPr>
      <w:r>
        <w:t xml:space="preserve">Communication methods that do not meet these criteria (e.g., a simple telephone call, letter, email, or text message) are insufficient, by themselves, to satisfy </w:t>
      </w:r>
      <w:proofErr w:type="spellStart"/>
      <w:r>
        <w:t>t he</w:t>
      </w:r>
      <w:proofErr w:type="spellEnd"/>
      <w:r>
        <w:t xml:space="preserve"> regulatory requirement of an ‘in-person’ visit.” </w:t>
      </w:r>
      <w:hyperlink r:id="rId1672" w:history="1">
        <w:r>
          <w:rPr>
            <w:rStyle w:val="Hyperlink"/>
          </w:rPr>
          <w:t>https://www.dol.gov/sites/dolgov/files/WHD/legacy/files/fab_2020_8.pdf</w:t>
        </w:r>
      </w:hyperlink>
      <w:r>
        <w:rPr>
          <w:b/>
        </w:rPr>
        <w:t xml:space="preserve"> </w:t>
      </w:r>
    </w:p>
    <w:p w14:paraId="19A5266A" w14:textId="77777777" w:rsidR="00863F9E" w:rsidRDefault="00863F9E" w:rsidP="00863F9E">
      <w:pPr>
        <w:pStyle w:val="NormalWeb"/>
        <w:spacing w:line="255" w:lineRule="atLeast"/>
        <w:rPr>
          <w:b/>
        </w:rPr>
      </w:pPr>
      <w:r>
        <w:rPr>
          <w:b/>
        </w:rPr>
        <w:t xml:space="preserve">Legal Lesson Learned: Fire &amp; EMS Department should consider updating their Employee Handbook with this new advice. </w:t>
      </w:r>
    </w:p>
    <w:p w14:paraId="5B01E691" w14:textId="77777777" w:rsidR="00863F9E" w:rsidRDefault="00863F9E" w:rsidP="00E9307E">
      <w:pPr>
        <w:rPr>
          <w:rFonts w:ascii="Arial Black" w:hAnsi="Arial Black"/>
          <w:b/>
          <w:sz w:val="28"/>
          <w:szCs w:val="28"/>
        </w:rPr>
      </w:pPr>
    </w:p>
    <w:p w14:paraId="6DAFD5E6" w14:textId="77777777" w:rsidR="00863F9E" w:rsidRDefault="00863F9E" w:rsidP="00E9307E">
      <w:pPr>
        <w:rPr>
          <w:rFonts w:ascii="Arial Black" w:hAnsi="Arial Black"/>
          <w:b/>
          <w:sz w:val="28"/>
          <w:szCs w:val="28"/>
        </w:rPr>
      </w:pPr>
    </w:p>
    <w:p w14:paraId="2E321BDA" w14:textId="77777777" w:rsidR="00DD03E3" w:rsidRDefault="00DD03E3" w:rsidP="00E9307E">
      <w:pPr>
        <w:rPr>
          <w:rFonts w:ascii="Arial Black" w:hAnsi="Arial Black"/>
          <w:b/>
          <w:sz w:val="28"/>
          <w:szCs w:val="28"/>
        </w:rPr>
      </w:pPr>
    </w:p>
    <w:p w14:paraId="5BC2EA81" w14:textId="212D5E1B" w:rsidR="00DD03E3" w:rsidRDefault="00102FD0" w:rsidP="00E9307E">
      <w:pPr>
        <w:rPr>
          <w:rFonts w:ascii="Arial Black" w:hAnsi="Arial Black"/>
          <w:b/>
          <w:sz w:val="28"/>
          <w:szCs w:val="28"/>
        </w:rPr>
      </w:pPr>
      <w:r>
        <w:rPr>
          <w:rFonts w:ascii="Arial Black" w:hAnsi="Arial Black"/>
          <w:b/>
          <w:sz w:val="28"/>
          <w:szCs w:val="28"/>
        </w:rPr>
        <w:t>10-</w:t>
      </w:r>
      <w:r w:rsidR="00AC1E3A">
        <w:rPr>
          <w:rFonts w:ascii="Arial Black" w:hAnsi="Arial Black"/>
          <w:b/>
          <w:sz w:val="28"/>
          <w:szCs w:val="28"/>
        </w:rPr>
        <w:t>5</w:t>
      </w:r>
    </w:p>
    <w:p w14:paraId="29891F42" w14:textId="77777777" w:rsidR="00102FD0" w:rsidRPr="00ED7936" w:rsidRDefault="00102FD0" w:rsidP="00102FD0">
      <w:pPr>
        <w:spacing w:before="100" w:beforeAutospacing="1" w:after="100" w:afterAutospacing="1" w:line="240" w:lineRule="auto"/>
        <w:rPr>
          <w:rFonts w:ascii="Arial Black" w:eastAsia="Times New Roman" w:hAnsi="Arial Black"/>
          <w:sz w:val="28"/>
          <w:szCs w:val="28"/>
        </w:rPr>
      </w:pPr>
      <w:r w:rsidRPr="00ED7936">
        <w:rPr>
          <w:rFonts w:ascii="Arial Black" w:eastAsia="Times New Roman" w:hAnsi="Arial Black"/>
          <w:sz w:val="28"/>
          <w:szCs w:val="28"/>
        </w:rPr>
        <w:t>AL:</w:t>
      </w:r>
      <w:r>
        <w:rPr>
          <w:rFonts w:ascii="Arial Black" w:eastAsia="Times New Roman" w:hAnsi="Arial Black"/>
          <w:sz w:val="28"/>
          <w:szCs w:val="28"/>
        </w:rPr>
        <w:t xml:space="preserve"> MEDIC WORKED  48-HR SHIFT - “I CAN’T TAKE IT ANYMORE” &amp; I’M TURNING IN GEAR – FD SAID HE RESIGNED - NO FMLA VIOL.</w:t>
      </w:r>
    </w:p>
    <w:p w14:paraId="1EAD66D9" w14:textId="77777777" w:rsidR="0037332F" w:rsidRPr="00C3618A" w:rsidRDefault="00102FD0" w:rsidP="0037332F">
      <w:pPr>
        <w:pStyle w:val="NormalWeb"/>
      </w:pPr>
      <w:r w:rsidRPr="00C3618A">
        <w:t xml:space="preserve">On </w:t>
      </w:r>
      <w:r>
        <w:t xml:space="preserve">Oct. 6, 2020, in </w:t>
      </w:r>
      <w:r w:rsidRPr="00C3618A">
        <w:rPr>
          <w:u w:val="single"/>
        </w:rPr>
        <w:t>Kyle Blake v. City of Montgomery, Alabama</w:t>
      </w:r>
      <w:r>
        <w:t xml:space="preserve">, U.S. District Court Judge R. Austin Huffaker, Jr., Middle District of Alabama, granted the City’s motion for summary judgment.  The plaintiff was burned out from being forced to work 48-hour shifts and told his </w:t>
      </w:r>
      <w:proofErr w:type="gramStart"/>
      <w:r>
        <w:t>Supervisor</w:t>
      </w:r>
      <w:proofErr w:type="gramEnd"/>
      <w:r>
        <w:t xml:space="preserve"> he would turn his stuff. </w:t>
      </w:r>
      <w:r w:rsidR="0037332F">
        <w:t xml:space="preserve"> </w:t>
      </w:r>
      <w:hyperlink r:id="rId1673" w:history="1">
        <w:r w:rsidR="0037332F" w:rsidRPr="00474EAE">
          <w:rPr>
            <w:rStyle w:val="Hyperlink"/>
          </w:rPr>
          <w:t>https://public.fastcase.com/Wl%2B2t%2BeVuI35%2FN70vAMFZmLHUFluj8t0T%2BAyFM6B%2B2S9SNpejaiKBu7OSzXfoy%2FQ</w:t>
        </w:r>
      </w:hyperlink>
      <w:r w:rsidR="0037332F">
        <w:t xml:space="preserve"> </w:t>
      </w:r>
    </w:p>
    <w:p w14:paraId="0C81017E" w14:textId="7D4F4628" w:rsidR="00102FD0" w:rsidRDefault="00102FD0" w:rsidP="00102FD0">
      <w:pPr>
        <w:pStyle w:val="NormalWeb"/>
      </w:pPr>
    </w:p>
    <w:p w14:paraId="4C23026F" w14:textId="77777777" w:rsidR="00102FD0" w:rsidRDefault="00102FD0" w:rsidP="00102FD0">
      <w:pPr>
        <w:pStyle w:val="NormalWeb"/>
        <w:ind w:left="720"/>
      </w:pPr>
      <w:r>
        <w:t xml:space="preserve">“Does telling your employer that, due to burnout, you ‘couldn't do it anymore’ and that you ‘would turn [your] stuff in if [you] needed to’ support a claim under the Family Medical Leave Act, 29 U.S.C. § 2601 </w:t>
      </w:r>
      <w:r>
        <w:rPr>
          <w:i/>
          <w:iCs/>
        </w:rPr>
        <w:t>et seq</w:t>
      </w:r>
      <w:r>
        <w:t>. (‘FMLA’) when your employer ultimately accepts these statements as your voluntary resignation from your job? … Plaintiff Kyle Blake claims that it does, and this lawsuit tests the legitimacy of that position.</w:t>
      </w:r>
    </w:p>
    <w:p w14:paraId="762136FC" w14:textId="77777777" w:rsidR="00102FD0" w:rsidRDefault="00102FD0" w:rsidP="00102FD0">
      <w:pPr>
        <w:pStyle w:val="NormalWeb"/>
        <w:ind w:left="720"/>
      </w:pPr>
      <w:r>
        <w:t>***</w:t>
      </w:r>
    </w:p>
    <w:p w14:paraId="73475981" w14:textId="77777777" w:rsidR="00102FD0" w:rsidRPr="00C3618A" w:rsidRDefault="00102FD0" w:rsidP="00102FD0">
      <w:pPr>
        <w:pStyle w:val="NormalWeb"/>
        <w:ind w:left="720"/>
      </w:pPr>
      <w:r>
        <w:t xml:space="preserve">“Blake's statements to Hackett that he ‘couldn't do it anymore,’ that he would ‘turn [his] stuff in,’ and that he needed to speak with his wife to sort this out, simply do not rise to a level sufficient to give the City notice he was experiencing a serious medical condition, let alone a qualifying medical condition, of any sort for which he wanted, needed or should be given FMLA leave.” </w:t>
      </w:r>
      <w:hyperlink r:id="rId1674" w:history="1">
        <w:r w:rsidRPr="00474EAE">
          <w:rPr>
            <w:rStyle w:val="Hyperlink"/>
          </w:rPr>
          <w:t>https://public.fastcase.com/Wl%2B2t%2BeVuI35%2FN70vAMFZmLHUFluj8t0T%2BAyFM6B%2B2S9SNpejaiKBu7OSzXfoy%2FQ</w:t>
        </w:r>
      </w:hyperlink>
      <w:r>
        <w:t xml:space="preserve"> </w:t>
      </w:r>
    </w:p>
    <w:p w14:paraId="0E3BDC8F" w14:textId="77777777" w:rsidR="00102FD0" w:rsidRDefault="00102FD0" w:rsidP="00E9307E">
      <w:pPr>
        <w:rPr>
          <w:rFonts w:ascii="Arial Black" w:hAnsi="Arial Black"/>
          <w:b/>
          <w:sz w:val="28"/>
          <w:szCs w:val="28"/>
        </w:rPr>
      </w:pPr>
    </w:p>
    <w:p w14:paraId="7901F0A8" w14:textId="77777777" w:rsidR="00B532F6" w:rsidRDefault="00B532F6" w:rsidP="00E9307E">
      <w:pPr>
        <w:rPr>
          <w:rFonts w:ascii="Arial Black" w:hAnsi="Arial Black"/>
          <w:b/>
          <w:sz w:val="28"/>
          <w:szCs w:val="28"/>
        </w:rPr>
      </w:pPr>
    </w:p>
    <w:p w14:paraId="11E3084E" w14:textId="1EDA6DC1" w:rsidR="006B2083" w:rsidRDefault="006B2083" w:rsidP="00E9307E">
      <w:pPr>
        <w:rPr>
          <w:rFonts w:ascii="Arial Black" w:hAnsi="Arial Black"/>
          <w:b/>
          <w:sz w:val="28"/>
          <w:szCs w:val="28"/>
        </w:rPr>
      </w:pPr>
      <w:r>
        <w:rPr>
          <w:rFonts w:ascii="Arial Black" w:hAnsi="Arial Black"/>
          <w:b/>
          <w:sz w:val="28"/>
          <w:szCs w:val="28"/>
        </w:rPr>
        <w:t>10-</w:t>
      </w:r>
      <w:r w:rsidR="00AC1E3A">
        <w:rPr>
          <w:rFonts w:ascii="Arial Black" w:hAnsi="Arial Black"/>
          <w:b/>
          <w:sz w:val="28"/>
          <w:szCs w:val="28"/>
        </w:rPr>
        <w:t>4</w:t>
      </w:r>
    </w:p>
    <w:p w14:paraId="47564AEA" w14:textId="77777777" w:rsidR="006B2083" w:rsidRDefault="006B2083" w:rsidP="006B2083">
      <w:pPr>
        <w:pStyle w:val="NoSpacing"/>
        <w:rPr>
          <w:rFonts w:ascii="Arial Black" w:hAnsi="Arial Black"/>
          <w:sz w:val="28"/>
          <w:szCs w:val="28"/>
        </w:rPr>
      </w:pPr>
      <w:r w:rsidRPr="008C3F94">
        <w:rPr>
          <w:rFonts w:ascii="Arial Black" w:hAnsi="Arial Black"/>
          <w:sz w:val="28"/>
          <w:szCs w:val="28"/>
        </w:rPr>
        <w:t xml:space="preserve">IL: </w:t>
      </w:r>
      <w:r>
        <w:rPr>
          <w:rFonts w:ascii="Arial Black" w:hAnsi="Arial Black"/>
          <w:sz w:val="28"/>
          <w:szCs w:val="28"/>
        </w:rPr>
        <w:t xml:space="preserve"> LT. TOOK FMLA LEAVE FOR A MONTH – FIRED AFTER FD INVESTIGATION - FAILURE TO PAY HIS SHARE OF SHIFT’S MEAL FUND</w:t>
      </w:r>
    </w:p>
    <w:p w14:paraId="4111C414" w14:textId="77777777" w:rsidR="009A7300" w:rsidRDefault="009A7300" w:rsidP="006B2083">
      <w:pPr>
        <w:pStyle w:val="NoSpacing"/>
        <w:rPr>
          <w:rFonts w:ascii="Times New Roman" w:hAnsi="Times New Roman"/>
          <w:sz w:val="24"/>
          <w:szCs w:val="24"/>
        </w:rPr>
      </w:pPr>
    </w:p>
    <w:p w14:paraId="5484D217" w14:textId="2B3C3D8B" w:rsidR="006B2083" w:rsidRPr="0098623B" w:rsidRDefault="006B2083" w:rsidP="006B2083">
      <w:pPr>
        <w:pStyle w:val="NoSpacing"/>
        <w:rPr>
          <w:rFonts w:ascii="Times New Roman" w:hAnsi="Times New Roman"/>
          <w:sz w:val="24"/>
          <w:szCs w:val="24"/>
        </w:rPr>
      </w:pPr>
      <w:r w:rsidRPr="006631A6">
        <w:rPr>
          <w:rFonts w:ascii="Times New Roman" w:hAnsi="Times New Roman"/>
          <w:sz w:val="24"/>
          <w:szCs w:val="24"/>
        </w:rPr>
        <w:t xml:space="preserve">On </w:t>
      </w:r>
      <w:r>
        <w:rPr>
          <w:rFonts w:ascii="Times New Roman" w:hAnsi="Times New Roman"/>
          <w:sz w:val="24"/>
          <w:szCs w:val="24"/>
        </w:rPr>
        <w:t xml:space="preserve">July 9, 2020, in </w:t>
      </w:r>
      <w:r w:rsidRPr="006631A6">
        <w:rPr>
          <w:rFonts w:ascii="Times New Roman" w:hAnsi="Times New Roman"/>
          <w:sz w:val="24"/>
          <w:szCs w:val="24"/>
          <w:u w:val="single"/>
        </w:rPr>
        <w:t>Melvin H. Brown v. UChicago Argonne LLC</w:t>
      </w:r>
      <w:r>
        <w:rPr>
          <w:rFonts w:ascii="Times New Roman" w:hAnsi="Times New Roman"/>
          <w:sz w:val="24"/>
          <w:szCs w:val="24"/>
        </w:rPr>
        <w:t xml:space="preserve">, U.S. District Court Judge Gary Feinerman, Northern District of Illinois, Eastern District (Chicago) granted summary judgment to the employer. The Court wrote: </w:t>
      </w:r>
      <w:r w:rsidRPr="0098623B">
        <w:rPr>
          <w:rFonts w:ascii="Times New Roman" w:hAnsi="Times New Roman"/>
          <w:sz w:val="24"/>
          <w:szCs w:val="24"/>
        </w:rPr>
        <w:t>Brown’s position that Argonne inadequately investigated Weber’s dinner fund complaint is, even if supported by the record, insufficient to establish pretext given the absence of evidence suggesting that Argonne did not sincerely believe that Brown had abused his authority in failing to reimburse Weber.</w:t>
      </w:r>
      <w:r>
        <w:rPr>
          <w:rFonts w:ascii="Times New Roman" w:hAnsi="Times New Roman"/>
          <w:sz w:val="24"/>
          <w:szCs w:val="24"/>
        </w:rPr>
        <w:t xml:space="preserve">”  </w:t>
      </w:r>
    </w:p>
    <w:p w14:paraId="067CA974" w14:textId="77777777" w:rsidR="006B2083" w:rsidRPr="0098623B" w:rsidRDefault="006B2083" w:rsidP="006B2083">
      <w:pPr>
        <w:pStyle w:val="NoSpacing"/>
        <w:rPr>
          <w:rFonts w:ascii="Times New Roman" w:hAnsi="Times New Roman"/>
          <w:sz w:val="24"/>
          <w:szCs w:val="24"/>
        </w:rPr>
      </w:pPr>
      <w:hyperlink r:id="rId1675" w:history="1">
        <w:r w:rsidRPr="000603D4">
          <w:rPr>
            <w:rStyle w:val="Hyperlink"/>
            <w:rFonts w:ascii="Times New Roman" w:hAnsi="Times New Roman"/>
            <w:sz w:val="24"/>
            <w:szCs w:val="24"/>
          </w:rPr>
          <w:t>https://cases.justia.com/federal/district-courts/illinois/ilndce/1:2018cv08500/359885/139/0.pdf?ts=1594372800</w:t>
        </w:r>
      </w:hyperlink>
      <w:r>
        <w:rPr>
          <w:rFonts w:ascii="Times New Roman" w:hAnsi="Times New Roman"/>
          <w:sz w:val="24"/>
          <w:szCs w:val="24"/>
        </w:rPr>
        <w:t xml:space="preserve"> </w:t>
      </w:r>
    </w:p>
    <w:p w14:paraId="6C90A1CC" w14:textId="77777777" w:rsidR="006B2083" w:rsidRPr="0098623B" w:rsidRDefault="006B2083" w:rsidP="006B2083">
      <w:pPr>
        <w:spacing w:before="100" w:beforeAutospacing="1" w:after="100" w:afterAutospacing="1" w:line="240" w:lineRule="auto"/>
        <w:rPr>
          <w:rFonts w:ascii="Times New Roman" w:hAnsi="Times New Roman"/>
          <w:b/>
          <w:bCs/>
          <w:sz w:val="24"/>
          <w:szCs w:val="24"/>
        </w:rPr>
      </w:pPr>
      <w:r w:rsidRPr="0098623B">
        <w:rPr>
          <w:rFonts w:ascii="Times New Roman" w:hAnsi="Times New Roman"/>
          <w:b/>
          <w:bCs/>
          <w:sz w:val="24"/>
          <w:szCs w:val="24"/>
        </w:rPr>
        <w:t xml:space="preserve">Legal Lesson Learned: </w:t>
      </w:r>
      <w:r>
        <w:rPr>
          <w:rFonts w:ascii="Times New Roman" w:hAnsi="Times New Roman"/>
          <w:b/>
          <w:bCs/>
          <w:sz w:val="24"/>
          <w:szCs w:val="24"/>
        </w:rPr>
        <w:t xml:space="preserve">FMLA statute includes protection against retaliation, but employee must still prove that the discipline imposed was in fact retaliation.  </w:t>
      </w:r>
    </w:p>
    <w:p w14:paraId="039C0174" w14:textId="77777777" w:rsidR="006B2083" w:rsidRDefault="006B2083" w:rsidP="006B2083">
      <w:pPr>
        <w:pStyle w:val="NoSpacing"/>
        <w:ind w:left="720"/>
        <w:rPr>
          <w:rFonts w:ascii="Times New Roman" w:hAnsi="Times New Roman"/>
          <w:sz w:val="24"/>
          <w:szCs w:val="24"/>
        </w:rPr>
      </w:pPr>
      <w:r w:rsidRPr="00EA7DA2">
        <w:rPr>
          <w:rFonts w:ascii="Times New Roman" w:eastAsia="Times New Roman" w:hAnsi="Times New Roman"/>
          <w:sz w:val="24"/>
          <w:szCs w:val="24"/>
        </w:rPr>
        <w:t>Note:</w:t>
      </w:r>
      <w:r>
        <w:rPr>
          <w:rFonts w:ascii="Times New Roman" w:eastAsia="Times New Roman" w:hAnsi="Times New Roman"/>
          <w:b/>
          <w:bCs/>
          <w:sz w:val="24"/>
          <w:szCs w:val="24"/>
        </w:rPr>
        <w:t xml:space="preserve"> </w:t>
      </w:r>
      <w:r>
        <w:rPr>
          <w:rFonts w:ascii="Times New Roman" w:hAnsi="Times New Roman"/>
          <w:sz w:val="24"/>
          <w:szCs w:val="24"/>
        </w:rPr>
        <w:t xml:space="preserve">Fire Department at Argonne National Laboratory, which is managed by the University of Chicago; </w:t>
      </w:r>
      <w:hyperlink r:id="rId1676" w:history="1">
        <w:r w:rsidRPr="00677A50">
          <w:rPr>
            <w:rStyle w:val="Hyperlink"/>
            <w:rFonts w:ascii="Times New Roman" w:hAnsi="Times New Roman"/>
            <w:sz w:val="24"/>
            <w:szCs w:val="24"/>
          </w:rPr>
          <w:t>http://chicagoareafire.com/blog/tag/argonne-national-laboratory-fire-department/</w:t>
        </w:r>
      </w:hyperlink>
      <w:r>
        <w:rPr>
          <w:rFonts w:ascii="Times New Roman" w:hAnsi="Times New Roman"/>
          <w:sz w:val="24"/>
          <w:szCs w:val="24"/>
        </w:rPr>
        <w:t xml:space="preserve">   </w:t>
      </w:r>
    </w:p>
    <w:p w14:paraId="12F079D0" w14:textId="77777777" w:rsidR="006B2083" w:rsidRDefault="006B2083" w:rsidP="006B2083">
      <w:pPr>
        <w:pStyle w:val="NoSpacing"/>
        <w:rPr>
          <w:rFonts w:ascii="Times New Roman" w:hAnsi="Times New Roman"/>
          <w:sz w:val="24"/>
          <w:szCs w:val="24"/>
        </w:rPr>
      </w:pPr>
    </w:p>
    <w:p w14:paraId="5780357B" w14:textId="77777777" w:rsidR="006B2083" w:rsidRDefault="006B2083" w:rsidP="00E9307E">
      <w:pPr>
        <w:rPr>
          <w:rFonts w:ascii="Arial Black" w:hAnsi="Arial Black"/>
          <w:b/>
          <w:sz w:val="28"/>
          <w:szCs w:val="28"/>
        </w:rPr>
      </w:pPr>
    </w:p>
    <w:p w14:paraId="30B849AF" w14:textId="77777777" w:rsidR="006B2083" w:rsidRDefault="006B2083" w:rsidP="00E9307E">
      <w:pPr>
        <w:rPr>
          <w:rFonts w:ascii="Arial Black" w:hAnsi="Arial Black"/>
          <w:b/>
          <w:sz w:val="28"/>
          <w:szCs w:val="28"/>
        </w:rPr>
      </w:pPr>
    </w:p>
    <w:p w14:paraId="0322A37A" w14:textId="56FF29C8" w:rsidR="00366CDD" w:rsidRDefault="00366CDD" w:rsidP="00E9307E">
      <w:pPr>
        <w:rPr>
          <w:rFonts w:ascii="Arial Black" w:hAnsi="Arial Black"/>
          <w:b/>
          <w:sz w:val="28"/>
          <w:szCs w:val="28"/>
        </w:rPr>
      </w:pPr>
      <w:r>
        <w:rPr>
          <w:rFonts w:ascii="Arial Black" w:hAnsi="Arial Black"/>
          <w:b/>
          <w:sz w:val="28"/>
          <w:szCs w:val="28"/>
        </w:rPr>
        <w:t>10-</w:t>
      </w:r>
      <w:r w:rsidR="00AC1E3A">
        <w:rPr>
          <w:rFonts w:ascii="Arial Black" w:hAnsi="Arial Black"/>
          <w:b/>
          <w:sz w:val="28"/>
          <w:szCs w:val="28"/>
        </w:rPr>
        <w:t>3</w:t>
      </w:r>
      <w:r>
        <w:rPr>
          <w:rFonts w:ascii="Arial Black" w:hAnsi="Arial Black"/>
          <w:b/>
          <w:sz w:val="28"/>
          <w:szCs w:val="28"/>
        </w:rPr>
        <w:t xml:space="preserve"> [Also filed, Chap. 9 &amp; Chap. 15]</w:t>
      </w:r>
    </w:p>
    <w:p w14:paraId="0123A73E" w14:textId="77777777" w:rsidR="00366CDD" w:rsidRPr="00A670C3" w:rsidRDefault="00366CDD" w:rsidP="00366CDD">
      <w:pPr>
        <w:spacing w:before="100" w:beforeAutospacing="1" w:after="100" w:afterAutospacing="1" w:line="240" w:lineRule="auto"/>
        <w:rPr>
          <w:rFonts w:ascii="Arial Black" w:eastAsia="Times New Roman" w:hAnsi="Arial Black"/>
          <w:sz w:val="28"/>
          <w:szCs w:val="28"/>
        </w:rPr>
      </w:pPr>
      <w:bookmarkStart w:id="373" w:name="_Hlk66948556"/>
      <w:r w:rsidRPr="00A670C3">
        <w:rPr>
          <w:rFonts w:ascii="Arial Black" w:eastAsia="Times New Roman" w:hAnsi="Arial Black"/>
          <w:sz w:val="28"/>
          <w:szCs w:val="28"/>
        </w:rPr>
        <w:lastRenderedPageBreak/>
        <w:t xml:space="preserve">PA: </w:t>
      </w:r>
      <w:r>
        <w:rPr>
          <w:rFonts w:ascii="Arial Black" w:eastAsia="Times New Roman" w:hAnsi="Arial Black"/>
          <w:sz w:val="28"/>
          <w:szCs w:val="28"/>
        </w:rPr>
        <w:t>FF PANIC ATTACK ON DUTY – PTSD, MEDICATION – NO LONGER QUALIFIED AS FF – TERMINATION NOT VIOL. ADA</w:t>
      </w:r>
    </w:p>
    <w:p w14:paraId="4FD3A7E0" w14:textId="77777777" w:rsidR="00366CDD" w:rsidRPr="008561E5" w:rsidRDefault="00366CDD" w:rsidP="00366CD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17, 2020, in </w:t>
      </w:r>
      <w:r w:rsidRPr="008561E5">
        <w:rPr>
          <w:rFonts w:ascii="Times New Roman" w:eastAsia="Times New Roman" w:hAnsi="Times New Roman"/>
          <w:sz w:val="24"/>
          <w:szCs w:val="24"/>
          <w:u w:val="single"/>
        </w:rPr>
        <w:t xml:space="preserve">Robert Carpenter v. York Area United Fire </w:t>
      </w:r>
      <w:proofErr w:type="gramStart"/>
      <w:r w:rsidRPr="008561E5">
        <w:rPr>
          <w:rFonts w:ascii="Times New Roman" w:eastAsia="Times New Roman" w:hAnsi="Times New Roman"/>
          <w:sz w:val="24"/>
          <w:szCs w:val="24"/>
          <w:u w:val="single"/>
        </w:rPr>
        <w:t>And</w:t>
      </w:r>
      <w:proofErr w:type="gramEnd"/>
      <w:r w:rsidRPr="008561E5">
        <w:rPr>
          <w:rFonts w:ascii="Times New Roman" w:eastAsia="Times New Roman" w:hAnsi="Times New Roman"/>
          <w:sz w:val="24"/>
          <w:szCs w:val="24"/>
          <w:u w:val="single"/>
        </w:rPr>
        <w:t xml:space="preserve"> Rescue</w:t>
      </w:r>
      <w:r>
        <w:rPr>
          <w:rFonts w:ascii="Times New Roman" w:eastAsia="Times New Roman" w:hAnsi="Times New Roman"/>
          <w:sz w:val="24"/>
          <w:szCs w:val="24"/>
        </w:rPr>
        <w:t>, U.S. District Court Judge Christopher C. Conner, Chief Judge, Middle District of Pennsylvania, granted the FD’s motion for summary judgment.  The Court held that the firefighter was not a “</w:t>
      </w:r>
      <w:r w:rsidRPr="00A670C3">
        <w:rPr>
          <w:rFonts w:ascii="Times New Roman" w:eastAsia="Times New Roman" w:hAnsi="Times New Roman"/>
          <w:sz w:val="24"/>
          <w:szCs w:val="24"/>
        </w:rPr>
        <w:t>qualified individual for ADA purposes because he could not perform the essential functions of his job with or without reasonable accommodation</w:t>
      </w:r>
      <w:r>
        <w:rPr>
          <w:rFonts w:ascii="Times New Roman" w:eastAsia="Times New Roman" w:hAnsi="Times New Roman"/>
          <w:sz w:val="24"/>
          <w:szCs w:val="24"/>
        </w:rPr>
        <w:t>,” and indefinite leave of absence was not a reasonable accommodation; “</w:t>
      </w:r>
      <w:r w:rsidRPr="008561E5">
        <w:rPr>
          <w:rFonts w:ascii="Times New Roman" w:hAnsi="Times New Roman"/>
          <w:sz w:val="24"/>
          <w:szCs w:val="24"/>
        </w:rPr>
        <w:t xml:space="preserve">there must be some expectation that the employee could perform his essential job functions in the </w:t>
      </w:r>
      <w:r>
        <w:rPr>
          <w:rFonts w:ascii="Times New Roman" w:hAnsi="Times New Roman"/>
          <w:sz w:val="24"/>
          <w:szCs w:val="24"/>
        </w:rPr>
        <w:t>‘</w:t>
      </w:r>
      <w:r w:rsidRPr="008561E5">
        <w:rPr>
          <w:rFonts w:ascii="Times New Roman" w:hAnsi="Times New Roman"/>
          <w:sz w:val="24"/>
          <w:szCs w:val="24"/>
        </w:rPr>
        <w:t>near future</w:t>
      </w:r>
      <w:r>
        <w:rPr>
          <w:rFonts w:ascii="Times New Roman" w:hAnsi="Times New Roman"/>
          <w:sz w:val="24"/>
          <w:szCs w:val="24"/>
        </w:rPr>
        <w:t>’</w:t>
      </w:r>
      <w:r w:rsidRPr="008561E5">
        <w:rPr>
          <w:rFonts w:ascii="Times New Roman" w:hAnsi="Times New Roman"/>
          <w:sz w:val="24"/>
          <w:szCs w:val="24"/>
        </w:rPr>
        <w:t xml:space="preserve"> following the requested leave.</w:t>
      </w:r>
      <w:r>
        <w:rPr>
          <w:rFonts w:ascii="Times New Roman" w:hAnsi="Times New Roman"/>
          <w:sz w:val="24"/>
          <w:szCs w:val="24"/>
        </w:rPr>
        <w:t xml:space="preserve">   </w:t>
      </w:r>
    </w:p>
    <w:bookmarkEnd w:id="373"/>
    <w:p w14:paraId="05DC189E" w14:textId="77777777" w:rsidR="00366CDD" w:rsidRDefault="00366CDD" w:rsidP="00366CDD">
      <w:pPr>
        <w:pStyle w:val="NormalWeb"/>
        <w:ind w:left="720"/>
      </w:pPr>
      <w:r>
        <w:t xml:space="preserve">“[Fire Department] </w:t>
      </w:r>
      <w:r w:rsidRPr="00A670C3">
        <w:t>argues that Carpenter is not a qualified individual for ADA purposes because he could not perform the essential functions of his job with or without reasonable accommodation. We agree.</w:t>
      </w:r>
      <w:r>
        <w:t xml:space="preserve">” </w:t>
      </w:r>
      <w:bookmarkStart w:id="374" w:name="_Hlk66948592"/>
      <w:r w:rsidR="00F00958">
        <w:fldChar w:fldCharType="begin"/>
      </w:r>
      <w:r w:rsidR="00F00958">
        <w:instrText xml:space="preserve"> HYPERLINK "https://public.fastcase.com/Wl%2B2t%2BeVuI35%2FN70vAMFZkkc03nKI8qkpSJ%2FzmzLggswfoR1RvbDETmM60pPGUhc" </w:instrText>
      </w:r>
      <w:r w:rsidR="00F00958">
        <w:fldChar w:fldCharType="separate"/>
      </w:r>
      <w:r w:rsidRPr="00377614">
        <w:rPr>
          <w:rStyle w:val="Hyperlink"/>
        </w:rPr>
        <w:t>https://public.fastcase.com/Wl%2B2t%2BeVuI35%2FN70vAMFZkkc03nKI8qkpSJ%2FzmzLggswfoR1RvbDETmM60pPGUhc</w:t>
      </w:r>
      <w:r w:rsidR="00F00958">
        <w:rPr>
          <w:rStyle w:val="Hyperlink"/>
        </w:rPr>
        <w:fldChar w:fldCharType="end"/>
      </w:r>
      <w:r>
        <w:t xml:space="preserve"> </w:t>
      </w:r>
    </w:p>
    <w:p w14:paraId="67A914FA" w14:textId="77777777" w:rsidR="00366CDD" w:rsidRPr="00DE2E06" w:rsidRDefault="00366CDD" w:rsidP="00366CDD">
      <w:pPr>
        <w:rPr>
          <w:rFonts w:ascii="Times New Roman" w:hAnsi="Times New Roman"/>
          <w:b/>
          <w:bCs/>
          <w:sz w:val="24"/>
          <w:szCs w:val="24"/>
        </w:rPr>
      </w:pPr>
      <w:r w:rsidRPr="00DE2E06">
        <w:rPr>
          <w:rFonts w:ascii="Times New Roman" w:hAnsi="Times New Roman"/>
          <w:b/>
          <w:bCs/>
          <w:sz w:val="24"/>
          <w:szCs w:val="24"/>
        </w:rPr>
        <w:t>Legal Lessons Learned:  FF on leave and undergoing treatment, who desires to get back to the job, needs to stay in communication with FD.</w:t>
      </w:r>
      <w:r>
        <w:rPr>
          <w:rFonts w:ascii="Times New Roman" w:hAnsi="Times New Roman"/>
          <w:b/>
          <w:bCs/>
          <w:sz w:val="24"/>
          <w:szCs w:val="24"/>
        </w:rPr>
        <w:t xml:space="preserve">   FMLA also addressed (see below).</w:t>
      </w:r>
    </w:p>
    <w:bookmarkEnd w:id="374"/>
    <w:p w14:paraId="5C96A1C5" w14:textId="7DD5B946" w:rsidR="00366CDD" w:rsidRPr="00063DF6" w:rsidRDefault="00366CDD" w:rsidP="00366CDD">
      <w:pPr>
        <w:pStyle w:val="NormalWeb"/>
        <w:ind w:left="720"/>
        <w:rPr>
          <w:b/>
          <w:bCs/>
        </w:rPr>
      </w:pPr>
      <w:r w:rsidRPr="00063DF6">
        <w:t xml:space="preserve">Note:  </w:t>
      </w:r>
      <w:r>
        <w:t xml:space="preserve">Court also held that the FF was not </w:t>
      </w:r>
      <w:proofErr w:type="gramStart"/>
      <w:r>
        <w:t>entitle</w:t>
      </w:r>
      <w:proofErr w:type="gramEnd"/>
      <w:r>
        <w:t xml:space="preserve"> the FMLA leave. </w:t>
      </w:r>
      <w:r>
        <w:rPr>
          <w:bCs/>
        </w:rPr>
        <w:t>“</w:t>
      </w:r>
      <w:r w:rsidRPr="00A670C3">
        <w:rPr>
          <w:bCs/>
        </w:rPr>
        <w:t>In a letter dated October 11, 2017, YAUFR denied Carpenter's FMLA leave request</w:t>
      </w:r>
      <w:r>
        <w:rPr>
          <w:bCs/>
        </w:rPr>
        <w:t xml:space="preserve">…. </w:t>
      </w:r>
      <w:r w:rsidRPr="00A670C3">
        <w:rPr>
          <w:bCs/>
        </w:rPr>
        <w:t xml:space="preserve"> YAUFR explained that, although it was a covered employer under the FMLA, it did not employ the requisite number of people for Carpenter to be considered an </w:t>
      </w:r>
      <w:r>
        <w:rPr>
          <w:bCs/>
        </w:rPr>
        <w:t>‘</w:t>
      </w:r>
      <w:r w:rsidRPr="00A670C3">
        <w:rPr>
          <w:bCs/>
        </w:rPr>
        <w:t>eligible employee</w:t>
      </w:r>
      <w:r>
        <w:rPr>
          <w:bCs/>
        </w:rPr>
        <w:t>’</w:t>
      </w:r>
      <w:r w:rsidRPr="00A670C3">
        <w:rPr>
          <w:bCs/>
        </w:rPr>
        <w:t xml:space="preserve"> under FMLA regulations.</w:t>
      </w:r>
      <w:r>
        <w:rPr>
          <w:bCs/>
        </w:rPr>
        <w:t xml:space="preserve"> *** </w:t>
      </w:r>
      <w:r w:rsidRPr="00063DF6">
        <w:rPr>
          <w:bCs/>
        </w:rPr>
        <w:t xml:space="preserve">To qualify as an </w:t>
      </w:r>
      <w:r>
        <w:rPr>
          <w:bCs/>
        </w:rPr>
        <w:t>‘</w:t>
      </w:r>
      <w:r w:rsidRPr="00063DF6">
        <w:rPr>
          <w:bCs/>
        </w:rPr>
        <w:t>eligible employee,</w:t>
      </w:r>
      <w:r>
        <w:rPr>
          <w:bCs/>
        </w:rPr>
        <w:t>’</w:t>
      </w:r>
      <w:r w:rsidRPr="00063DF6">
        <w:rPr>
          <w:bCs/>
        </w:rPr>
        <w:t xml:space="preserve"> the employee must be </w:t>
      </w:r>
      <w:r>
        <w:rPr>
          <w:bCs/>
        </w:rPr>
        <w:t>‘</w:t>
      </w:r>
      <w:r w:rsidRPr="00063DF6">
        <w:rPr>
          <w:bCs/>
        </w:rPr>
        <w:t>employed at a worksite where 50 or more employees are employed by the employer within 75 miles of that worksite.</w:t>
      </w:r>
      <w:r>
        <w:rPr>
          <w:bCs/>
        </w:rPr>
        <w:t>’</w:t>
      </w:r>
      <w:r w:rsidRPr="00063DF6">
        <w:rPr>
          <w:bCs/>
        </w:rPr>
        <w:t xml:space="preserve"> 29 C.F.R. § 825.110(a)(3); see 29 U.S.C. § 2611(2)(B)(ii). YAUFR avers, and Carpenter concedes, that YAUFR has never employed 50 or more people.</w:t>
      </w:r>
      <w:r>
        <w:rPr>
          <w:bCs/>
        </w:rPr>
        <w:t>”</w:t>
      </w:r>
    </w:p>
    <w:p w14:paraId="6530185D" w14:textId="77777777" w:rsidR="00366CDD" w:rsidRDefault="00366CDD" w:rsidP="00E9307E">
      <w:pPr>
        <w:rPr>
          <w:rFonts w:ascii="Arial Black" w:hAnsi="Arial Black"/>
          <w:b/>
          <w:sz w:val="28"/>
          <w:szCs w:val="28"/>
        </w:rPr>
      </w:pPr>
    </w:p>
    <w:bookmarkEnd w:id="371"/>
    <w:p w14:paraId="5B3FCE04" w14:textId="4D3A39C5" w:rsidR="00DE0F03" w:rsidRDefault="00DE0F03" w:rsidP="00DE0F03">
      <w:pPr>
        <w:rPr>
          <w:sz w:val="24"/>
          <w:szCs w:val="24"/>
        </w:rPr>
      </w:pPr>
      <w:r>
        <w:rPr>
          <w:rFonts w:ascii="Arial Black" w:hAnsi="Arial Black"/>
          <w:b/>
          <w:sz w:val="24"/>
          <w:szCs w:val="24"/>
        </w:rPr>
        <w:t>10</w:t>
      </w:r>
      <w:r w:rsidRPr="00EF1133">
        <w:rPr>
          <w:rFonts w:ascii="Arial Black" w:hAnsi="Arial Black"/>
          <w:b/>
          <w:sz w:val="24"/>
          <w:szCs w:val="24"/>
        </w:rPr>
        <w:t>-</w:t>
      </w:r>
      <w:r>
        <w:rPr>
          <w:rFonts w:ascii="Arial Black" w:hAnsi="Arial Black"/>
          <w:b/>
          <w:sz w:val="24"/>
          <w:szCs w:val="24"/>
        </w:rPr>
        <w:t>2</w:t>
      </w:r>
    </w:p>
    <w:p w14:paraId="6A195784" w14:textId="29C131DC" w:rsidR="00F326E5" w:rsidRPr="00C56DAA" w:rsidRDefault="00F326E5" w:rsidP="00F326E5">
      <w:pPr>
        <w:rPr>
          <w:rFonts w:ascii="Arial Black" w:hAnsi="Arial Black"/>
          <w:sz w:val="28"/>
          <w:szCs w:val="28"/>
        </w:rPr>
      </w:pPr>
      <w:bookmarkStart w:id="375" w:name="_Hlk39819188"/>
      <w:bookmarkStart w:id="376" w:name="_Hlk7345186"/>
      <w:r w:rsidRPr="00C56DAA">
        <w:rPr>
          <w:rFonts w:ascii="Arial Black" w:hAnsi="Arial Black"/>
          <w:sz w:val="28"/>
          <w:szCs w:val="28"/>
        </w:rPr>
        <w:t>U.S. D</w:t>
      </w:r>
      <w:r>
        <w:rPr>
          <w:rFonts w:ascii="Arial Black" w:hAnsi="Arial Black"/>
          <w:sz w:val="28"/>
          <w:szCs w:val="28"/>
        </w:rPr>
        <w:t xml:space="preserve">EPT. LABOR – HEALTHY PERSON DONATING ORGAN ENTITLED TO FMLA LEAVE </w:t>
      </w:r>
    </w:p>
    <w:p w14:paraId="17F4EA37" w14:textId="77777777" w:rsidR="00E658E1" w:rsidRDefault="00F326E5" w:rsidP="00F326E5">
      <w:pPr>
        <w:rPr>
          <w:rFonts w:ascii="Times New Roman" w:eastAsia="Times New Roman" w:hAnsi="Times New Roman"/>
          <w:sz w:val="24"/>
          <w:szCs w:val="24"/>
        </w:rPr>
      </w:pPr>
      <w:r w:rsidRPr="00E658E1">
        <w:rPr>
          <w:rFonts w:ascii="Times New Roman" w:eastAsia="Times New Roman" w:hAnsi="Times New Roman"/>
          <w:sz w:val="24"/>
          <w:szCs w:val="24"/>
        </w:rPr>
        <w:t xml:space="preserve">On Aug. 28, 2018, the U.S. Department of Labor issued Opinion No. FMLA2018-2- A. </w:t>
      </w:r>
    </w:p>
    <w:p w14:paraId="3B877859" w14:textId="475EF534" w:rsidR="00F326E5" w:rsidRPr="00E658E1" w:rsidRDefault="00F326E5" w:rsidP="00E658E1">
      <w:pPr>
        <w:ind w:left="720"/>
        <w:rPr>
          <w:rFonts w:ascii="Times New Roman" w:eastAsia="Times New Roman" w:hAnsi="Times New Roman"/>
          <w:sz w:val="24"/>
          <w:szCs w:val="24"/>
        </w:rPr>
      </w:pPr>
      <w:r w:rsidRPr="00E658E1">
        <w:rPr>
          <w:rFonts w:ascii="Times New Roman" w:eastAsia="Times New Roman" w:hAnsi="Times New Roman"/>
          <w:sz w:val="24"/>
          <w:szCs w:val="24"/>
        </w:rPr>
        <w:t>“This letter responds to your request for an opinion letter concerning whether organ-donation surgery can qualify as a ‘serious health condition’ under the Family and Medical Leave Act of 1993 (FMLA). As discussed below, we conclude that it can.”</w:t>
      </w:r>
      <w:r w:rsidR="00E658E1">
        <w:rPr>
          <w:rFonts w:ascii="Times New Roman" w:eastAsia="Times New Roman" w:hAnsi="Times New Roman"/>
          <w:sz w:val="24"/>
          <w:szCs w:val="24"/>
        </w:rPr>
        <w:t xml:space="preserve"> </w:t>
      </w:r>
      <w:hyperlink r:id="rId1677" w:history="1">
        <w:r w:rsidRPr="00E658E1">
          <w:rPr>
            <w:rStyle w:val="Hyperlink"/>
            <w:rFonts w:ascii="Times New Roman" w:hAnsi="Times New Roman"/>
            <w:sz w:val="24"/>
            <w:szCs w:val="24"/>
          </w:rPr>
          <w:t>https://www.dol.gov/whd/opinion/FMLA/2018/2018_08_28_2A_FMLA.pdf</w:t>
        </w:r>
      </w:hyperlink>
      <w:bookmarkEnd w:id="375"/>
      <w:r w:rsidRPr="00E658E1">
        <w:rPr>
          <w:rFonts w:ascii="Times New Roman" w:eastAsia="Times New Roman" w:hAnsi="Times New Roman"/>
          <w:sz w:val="24"/>
          <w:szCs w:val="24"/>
        </w:rPr>
        <w:t xml:space="preserve"> </w:t>
      </w:r>
    </w:p>
    <w:p w14:paraId="5720C0D4" w14:textId="51C1B863" w:rsidR="00F326E5" w:rsidRPr="00E658E1" w:rsidRDefault="00F326E5" w:rsidP="00F326E5">
      <w:pPr>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Helpful to have an Opinion Letter that may encourage others to be organ donors. </w:t>
      </w:r>
    </w:p>
    <w:p w14:paraId="07D70E34" w14:textId="77777777" w:rsidR="00DE0F03" w:rsidRDefault="00DE0F03" w:rsidP="00DE0F03">
      <w:pPr>
        <w:rPr>
          <w:rFonts w:ascii="Arial Black" w:hAnsi="Arial Black"/>
          <w:b/>
          <w:sz w:val="24"/>
          <w:szCs w:val="24"/>
        </w:rPr>
      </w:pPr>
    </w:p>
    <w:p w14:paraId="48CE18B7" w14:textId="28A61DEE" w:rsidR="00DE0F03" w:rsidRDefault="00DE0F03" w:rsidP="00DE0F03">
      <w:pPr>
        <w:rPr>
          <w:sz w:val="24"/>
          <w:szCs w:val="24"/>
        </w:rPr>
      </w:pPr>
      <w:r>
        <w:rPr>
          <w:rFonts w:ascii="Arial Black" w:hAnsi="Arial Black"/>
          <w:b/>
          <w:sz w:val="24"/>
          <w:szCs w:val="24"/>
        </w:rPr>
        <w:t>10</w:t>
      </w:r>
      <w:r w:rsidRPr="00EF1133">
        <w:rPr>
          <w:rFonts w:ascii="Arial Black" w:hAnsi="Arial Black"/>
          <w:b/>
          <w:sz w:val="24"/>
          <w:szCs w:val="24"/>
        </w:rPr>
        <w:t>-1</w:t>
      </w:r>
    </w:p>
    <w:p w14:paraId="11711C48" w14:textId="6FCE684F" w:rsidR="008F1BBB" w:rsidRDefault="008F1BBB" w:rsidP="008F1BBB">
      <w:pPr>
        <w:pStyle w:val="NoSpacing"/>
        <w:rPr>
          <w:rFonts w:ascii="Arial Black" w:hAnsi="Arial Black"/>
          <w:b/>
          <w:sz w:val="24"/>
          <w:szCs w:val="24"/>
        </w:rPr>
      </w:pPr>
      <w:bookmarkStart w:id="377" w:name="_Hlk39771651"/>
      <w:bookmarkStart w:id="378" w:name="_Hlk7181215"/>
      <w:bookmarkEnd w:id="376"/>
      <w:r>
        <w:rPr>
          <w:rFonts w:ascii="Arial Black" w:hAnsi="Arial Black"/>
          <w:sz w:val="28"/>
          <w:szCs w:val="28"/>
        </w:rPr>
        <w:lastRenderedPageBreak/>
        <w:t>OH: DAYTON FD RECRUIT – RE</w:t>
      </w:r>
      <w:r w:rsidR="00BC38B6">
        <w:rPr>
          <w:rFonts w:ascii="Arial Black" w:hAnsi="Arial Black"/>
          <w:sz w:val="28"/>
          <w:szCs w:val="28"/>
        </w:rPr>
        <w:t xml:space="preserve">MOVED </w:t>
      </w:r>
      <w:r>
        <w:rPr>
          <w:rFonts w:ascii="Arial Black" w:hAnsi="Arial Black"/>
          <w:sz w:val="28"/>
          <w:szCs w:val="28"/>
        </w:rPr>
        <w:t xml:space="preserve">FROM CLASS AFTER KNEE INJURY – NO FMLA VIOLATION </w:t>
      </w:r>
      <w:r w:rsidRPr="00EB2673">
        <w:rPr>
          <w:b/>
          <w:sz w:val="24"/>
          <w:szCs w:val="24"/>
        </w:rPr>
        <w:t>[also filed, Chap. 14]</w:t>
      </w:r>
      <w:r>
        <w:rPr>
          <w:rFonts w:ascii="Arial Black" w:hAnsi="Arial Black"/>
          <w:sz w:val="28"/>
          <w:szCs w:val="28"/>
        </w:rPr>
        <w:t xml:space="preserve"> </w:t>
      </w:r>
    </w:p>
    <w:p w14:paraId="5D43F0E8" w14:textId="77777777" w:rsidR="00E658E1" w:rsidRDefault="008F1BBB" w:rsidP="008F1BBB">
      <w:pPr>
        <w:rPr>
          <w:rFonts w:ascii="Times New Roman" w:hAnsi="Times New Roman"/>
          <w:sz w:val="24"/>
          <w:szCs w:val="24"/>
        </w:rPr>
      </w:pPr>
      <w:r w:rsidRPr="00E658E1">
        <w:rPr>
          <w:rFonts w:ascii="Times New Roman" w:hAnsi="Times New Roman"/>
          <w:sz w:val="24"/>
          <w:szCs w:val="24"/>
        </w:rPr>
        <w:t xml:space="preserve">On </w:t>
      </w:r>
      <w:bookmarkStart w:id="379" w:name="_Hlk39847208"/>
      <w:r w:rsidRPr="00E658E1">
        <w:rPr>
          <w:rFonts w:ascii="Times New Roman" w:hAnsi="Times New Roman"/>
          <w:sz w:val="24"/>
          <w:szCs w:val="24"/>
        </w:rPr>
        <w:t xml:space="preserve">Feb. 9, </w:t>
      </w:r>
      <w:proofErr w:type="gramStart"/>
      <w:r w:rsidRPr="00E658E1">
        <w:rPr>
          <w:rFonts w:ascii="Times New Roman" w:hAnsi="Times New Roman"/>
          <w:sz w:val="24"/>
          <w:szCs w:val="24"/>
        </w:rPr>
        <w:t>2018</w:t>
      </w:r>
      <w:proofErr w:type="gramEnd"/>
      <w:r w:rsidRPr="00E658E1">
        <w:rPr>
          <w:rFonts w:ascii="Times New Roman" w:hAnsi="Times New Roman"/>
          <w:sz w:val="24"/>
          <w:szCs w:val="24"/>
        </w:rPr>
        <w:t xml:space="preserve"> in </w:t>
      </w:r>
      <w:r w:rsidRPr="00E658E1">
        <w:rPr>
          <w:rFonts w:ascii="Times New Roman" w:hAnsi="Times New Roman"/>
          <w:sz w:val="24"/>
          <w:szCs w:val="24"/>
          <w:u w:val="single"/>
        </w:rPr>
        <w:t>Shawn N. Geisel v. City of Dayton, et al</w:t>
      </w:r>
      <w:r w:rsidRPr="00E658E1">
        <w:rPr>
          <w:rFonts w:ascii="Times New Roman" w:hAnsi="Times New Roman"/>
          <w:sz w:val="24"/>
          <w:szCs w:val="24"/>
        </w:rPr>
        <w:t xml:space="preserve">., </w:t>
      </w:r>
      <w:bookmarkEnd w:id="379"/>
      <w:r w:rsidRPr="00E658E1">
        <w:rPr>
          <w:rFonts w:ascii="Times New Roman" w:hAnsi="Times New Roman"/>
          <w:sz w:val="24"/>
          <w:szCs w:val="24"/>
        </w:rPr>
        <w:t xml:space="preserve">Ohio Court of Appeals for Second Circuit (Montgomery County) held (3 to 0) that the FD had the authority to remove him from the recruit class and ‘demote’ him back to EMT.   </w:t>
      </w:r>
    </w:p>
    <w:p w14:paraId="3B569E18" w14:textId="5948E9F3" w:rsidR="008F1BBB" w:rsidRPr="00E658E1" w:rsidRDefault="008F1BBB" w:rsidP="00E658E1">
      <w:pPr>
        <w:ind w:left="720"/>
        <w:rPr>
          <w:rFonts w:ascii="Times New Roman" w:hAnsi="Times New Roman"/>
          <w:sz w:val="24"/>
          <w:szCs w:val="24"/>
        </w:rPr>
      </w:pPr>
      <w:r w:rsidRPr="00E658E1">
        <w:rPr>
          <w:rFonts w:ascii="Times New Roman" w:hAnsi="Times New Roman"/>
          <w:sz w:val="24"/>
          <w:szCs w:val="24"/>
        </w:rPr>
        <w:t xml:space="preserve">“We do not mean to imply that Geisel could not reapply for the position, but only that his appointment to Firefighter Recruit was a self-contained opportunity that did not entail a right to be reappointed or to continue as a recruit until he could complete the training program.”  </w:t>
      </w:r>
      <w:bookmarkStart w:id="380" w:name="_Hlk39847230"/>
      <w:r w:rsidR="00BC38B6">
        <w:fldChar w:fldCharType="begin"/>
      </w:r>
      <w:r w:rsidR="00BC38B6">
        <w:instrText xml:space="preserve"> HYPERLINK "http://www.supremecourt.ohio.gov/rod/docs/pdf/2/2018/2018-ohio-512.pdf" </w:instrText>
      </w:r>
      <w:r w:rsidR="00BC38B6">
        <w:fldChar w:fldCharType="separate"/>
      </w:r>
      <w:r w:rsidRPr="00E658E1">
        <w:rPr>
          <w:rStyle w:val="Hyperlink"/>
          <w:rFonts w:ascii="Times New Roman" w:hAnsi="Times New Roman"/>
          <w:sz w:val="24"/>
          <w:szCs w:val="24"/>
        </w:rPr>
        <w:t>http://www.supremecourt.ohio.gov/rod/docs/pdf/2/2018/2018-ohio-512.pdf</w:t>
      </w:r>
      <w:r w:rsidR="00BC38B6">
        <w:rPr>
          <w:rStyle w:val="Hyperlink"/>
          <w:rFonts w:ascii="Times New Roman" w:hAnsi="Times New Roman"/>
          <w:sz w:val="24"/>
          <w:szCs w:val="24"/>
        </w:rPr>
        <w:fldChar w:fldCharType="end"/>
      </w:r>
      <w:r w:rsidRPr="00E658E1">
        <w:rPr>
          <w:rFonts w:ascii="Times New Roman" w:hAnsi="Times New Roman"/>
          <w:sz w:val="24"/>
          <w:szCs w:val="24"/>
        </w:rPr>
        <w:t xml:space="preserve"> </w:t>
      </w:r>
    </w:p>
    <w:p w14:paraId="20A676B3" w14:textId="5A66D8AC" w:rsidR="008F1BBB" w:rsidRDefault="008F1BBB" w:rsidP="00B532F6">
      <w:pPr>
        <w:rPr>
          <w:rFonts w:ascii="Arial Black" w:hAnsi="Arial Black"/>
          <w:sz w:val="40"/>
          <w:szCs w:val="40"/>
        </w:rPr>
      </w:pPr>
      <w:bookmarkStart w:id="381" w:name="_Hlk40512893"/>
      <w:bookmarkEnd w:id="377"/>
      <w:bookmarkEnd w:id="380"/>
      <w:r w:rsidRPr="00E658E1">
        <w:rPr>
          <w:rFonts w:ascii="Times New Roman" w:hAnsi="Times New Roman"/>
          <w:b/>
          <w:sz w:val="24"/>
          <w:szCs w:val="24"/>
        </w:rPr>
        <w:t>L</w:t>
      </w:r>
      <w:r w:rsidR="0052665B">
        <w:rPr>
          <w:rFonts w:ascii="Times New Roman" w:hAnsi="Times New Roman"/>
          <w:b/>
          <w:sz w:val="24"/>
          <w:szCs w:val="24"/>
        </w:rPr>
        <w:t xml:space="preserve">egal Lesson Learned: </w:t>
      </w:r>
      <w:r w:rsidRPr="00E658E1">
        <w:rPr>
          <w:rFonts w:ascii="Times New Roman" w:hAnsi="Times New Roman"/>
          <w:b/>
          <w:sz w:val="24"/>
          <w:szCs w:val="24"/>
        </w:rPr>
        <w:t xml:space="preserve">Dayton Civil Services rules treat </w:t>
      </w:r>
      <w:proofErr w:type="gramStart"/>
      <w:r w:rsidRPr="00E658E1">
        <w:rPr>
          <w:rFonts w:ascii="Times New Roman" w:hAnsi="Times New Roman"/>
          <w:b/>
          <w:sz w:val="24"/>
          <w:szCs w:val="24"/>
        </w:rPr>
        <w:t>a</w:t>
      </w:r>
      <w:proofErr w:type="gramEnd"/>
      <w:r w:rsidRPr="00E658E1">
        <w:rPr>
          <w:rFonts w:ascii="Times New Roman" w:hAnsi="Times New Roman"/>
          <w:b/>
          <w:sz w:val="24"/>
          <w:szCs w:val="24"/>
        </w:rPr>
        <w:t xml:space="preserve"> FF recruit as a probationary employee; when injured in recruit school, </w:t>
      </w:r>
      <w:r w:rsidR="00A16B10">
        <w:rPr>
          <w:rFonts w:ascii="Times New Roman" w:hAnsi="Times New Roman"/>
          <w:b/>
          <w:sz w:val="24"/>
          <w:szCs w:val="24"/>
        </w:rPr>
        <w:t xml:space="preserve">he </w:t>
      </w:r>
      <w:r w:rsidRPr="00E658E1">
        <w:rPr>
          <w:rFonts w:ascii="Times New Roman" w:hAnsi="Times New Roman"/>
          <w:b/>
          <w:sz w:val="24"/>
          <w:szCs w:val="24"/>
        </w:rPr>
        <w:t>can be “demoted” back to EMT-B and placed on light duty.</w:t>
      </w:r>
      <w:bookmarkEnd w:id="378"/>
      <w:bookmarkEnd w:id="381"/>
    </w:p>
    <w:p w14:paraId="481B2BA8" w14:textId="77777777" w:rsidR="00B532F6" w:rsidRDefault="00B532F6" w:rsidP="00F326E5">
      <w:pPr>
        <w:pStyle w:val="NoSpacing"/>
        <w:rPr>
          <w:rFonts w:ascii="Arial Black" w:hAnsi="Arial Black"/>
          <w:sz w:val="40"/>
          <w:szCs w:val="40"/>
        </w:rPr>
      </w:pPr>
    </w:p>
    <w:p w14:paraId="1EDE9D39" w14:textId="7839FFA4" w:rsidR="00102FD0" w:rsidRDefault="00102FD0">
      <w:pPr>
        <w:spacing w:after="0" w:line="240" w:lineRule="auto"/>
        <w:rPr>
          <w:rFonts w:ascii="Arial Black" w:hAnsi="Arial Black"/>
          <w:sz w:val="40"/>
          <w:szCs w:val="40"/>
        </w:rPr>
      </w:pPr>
      <w:r>
        <w:rPr>
          <w:rFonts w:ascii="Arial Black" w:hAnsi="Arial Black"/>
          <w:sz w:val="40"/>
          <w:szCs w:val="40"/>
        </w:rPr>
        <w:br w:type="page"/>
      </w:r>
    </w:p>
    <w:p w14:paraId="5560A8D6" w14:textId="77777777" w:rsidR="00102FD0" w:rsidRDefault="00102FD0" w:rsidP="00F326E5">
      <w:pPr>
        <w:pStyle w:val="NoSpacing"/>
        <w:rPr>
          <w:rFonts w:ascii="Arial Black" w:hAnsi="Arial Black"/>
          <w:sz w:val="40"/>
          <w:szCs w:val="40"/>
        </w:rPr>
      </w:pPr>
    </w:p>
    <w:p w14:paraId="5BB13200" w14:textId="77777777" w:rsidR="009C7451" w:rsidRDefault="009C7451" w:rsidP="00F326E5">
      <w:pPr>
        <w:pStyle w:val="NoSpacing"/>
        <w:rPr>
          <w:rFonts w:ascii="Arial Black" w:hAnsi="Arial Black"/>
          <w:sz w:val="40"/>
          <w:szCs w:val="40"/>
        </w:rPr>
      </w:pPr>
    </w:p>
    <w:p w14:paraId="79D80A12" w14:textId="77777777" w:rsidR="009C7451" w:rsidRDefault="009C7451" w:rsidP="00F326E5">
      <w:pPr>
        <w:pStyle w:val="NoSpacing"/>
        <w:rPr>
          <w:rFonts w:ascii="Arial Black" w:hAnsi="Arial Black"/>
          <w:sz w:val="40"/>
          <w:szCs w:val="40"/>
        </w:rPr>
      </w:pPr>
    </w:p>
    <w:p w14:paraId="61B2CC91" w14:textId="77777777" w:rsidR="009C7451" w:rsidRDefault="009C7451" w:rsidP="00F326E5">
      <w:pPr>
        <w:pStyle w:val="NoSpacing"/>
        <w:rPr>
          <w:rFonts w:ascii="Arial Black" w:hAnsi="Arial Black"/>
          <w:sz w:val="40"/>
          <w:szCs w:val="40"/>
        </w:rPr>
      </w:pPr>
    </w:p>
    <w:p w14:paraId="0746D459" w14:textId="77777777" w:rsidR="009C7451" w:rsidRDefault="009C7451" w:rsidP="00F326E5">
      <w:pPr>
        <w:pStyle w:val="NoSpacing"/>
        <w:rPr>
          <w:rFonts w:ascii="Arial Black" w:hAnsi="Arial Black"/>
          <w:sz w:val="40"/>
          <w:szCs w:val="40"/>
        </w:rPr>
      </w:pPr>
    </w:p>
    <w:p w14:paraId="7C8AE1B7" w14:textId="77777777" w:rsidR="009C7451" w:rsidRDefault="009C7451" w:rsidP="00F326E5">
      <w:pPr>
        <w:pStyle w:val="NoSpacing"/>
        <w:rPr>
          <w:rFonts w:ascii="Arial Black" w:hAnsi="Arial Black"/>
          <w:sz w:val="40"/>
          <w:szCs w:val="40"/>
        </w:rPr>
      </w:pPr>
    </w:p>
    <w:p w14:paraId="27F1FCBD" w14:textId="77777777" w:rsidR="009C7451" w:rsidRDefault="009C7451" w:rsidP="00F326E5">
      <w:pPr>
        <w:pStyle w:val="NoSpacing"/>
        <w:rPr>
          <w:rFonts w:ascii="Arial Black" w:hAnsi="Arial Black"/>
          <w:sz w:val="40"/>
          <w:szCs w:val="40"/>
        </w:rPr>
      </w:pPr>
    </w:p>
    <w:p w14:paraId="1AB0FA51" w14:textId="77777777" w:rsidR="009C7451" w:rsidRDefault="009C7451" w:rsidP="00F326E5">
      <w:pPr>
        <w:pStyle w:val="NoSpacing"/>
        <w:rPr>
          <w:rFonts w:ascii="Arial Black" w:hAnsi="Arial Black"/>
          <w:sz w:val="40"/>
          <w:szCs w:val="40"/>
        </w:rPr>
      </w:pPr>
    </w:p>
    <w:p w14:paraId="487F2092" w14:textId="77777777" w:rsidR="009C7451" w:rsidRDefault="009C7451" w:rsidP="00F326E5">
      <w:pPr>
        <w:pStyle w:val="NoSpacing"/>
        <w:rPr>
          <w:rFonts w:ascii="Arial Black" w:hAnsi="Arial Black"/>
          <w:sz w:val="40"/>
          <w:szCs w:val="40"/>
        </w:rPr>
      </w:pPr>
    </w:p>
    <w:p w14:paraId="4414C434" w14:textId="77777777" w:rsidR="009C7451" w:rsidRDefault="009C7451" w:rsidP="00F326E5">
      <w:pPr>
        <w:pStyle w:val="NoSpacing"/>
        <w:rPr>
          <w:rFonts w:ascii="Arial Black" w:hAnsi="Arial Black"/>
          <w:sz w:val="40"/>
          <w:szCs w:val="40"/>
        </w:rPr>
      </w:pPr>
    </w:p>
    <w:p w14:paraId="08B17C36" w14:textId="77777777" w:rsidR="009C7451" w:rsidRDefault="009C7451" w:rsidP="00F326E5">
      <w:pPr>
        <w:pStyle w:val="NoSpacing"/>
        <w:rPr>
          <w:rFonts w:ascii="Arial Black" w:hAnsi="Arial Black"/>
          <w:sz w:val="40"/>
          <w:szCs w:val="40"/>
        </w:rPr>
      </w:pPr>
    </w:p>
    <w:p w14:paraId="66EE8DAA" w14:textId="77777777" w:rsidR="009C7451" w:rsidRDefault="009C7451" w:rsidP="00F326E5">
      <w:pPr>
        <w:pStyle w:val="NoSpacing"/>
        <w:rPr>
          <w:rFonts w:ascii="Arial Black" w:hAnsi="Arial Black"/>
          <w:sz w:val="40"/>
          <w:szCs w:val="40"/>
        </w:rPr>
      </w:pPr>
    </w:p>
    <w:p w14:paraId="4FBE2217" w14:textId="77777777" w:rsidR="009C7451" w:rsidRDefault="009C7451" w:rsidP="00F326E5">
      <w:pPr>
        <w:pStyle w:val="NoSpacing"/>
        <w:rPr>
          <w:rFonts w:ascii="Arial Black" w:hAnsi="Arial Black"/>
          <w:sz w:val="40"/>
          <w:szCs w:val="40"/>
        </w:rPr>
      </w:pPr>
    </w:p>
    <w:p w14:paraId="3795FC36" w14:textId="77777777" w:rsidR="009C7451" w:rsidRDefault="009C7451" w:rsidP="00F326E5">
      <w:pPr>
        <w:pStyle w:val="NoSpacing"/>
        <w:rPr>
          <w:rFonts w:ascii="Arial Black" w:hAnsi="Arial Black"/>
          <w:sz w:val="40"/>
          <w:szCs w:val="40"/>
        </w:rPr>
      </w:pPr>
    </w:p>
    <w:p w14:paraId="71A4FF4B" w14:textId="77777777" w:rsidR="009C7451" w:rsidRDefault="009C7451" w:rsidP="00F326E5">
      <w:pPr>
        <w:pStyle w:val="NoSpacing"/>
        <w:rPr>
          <w:rFonts w:ascii="Arial Black" w:hAnsi="Arial Black"/>
          <w:sz w:val="40"/>
          <w:szCs w:val="40"/>
        </w:rPr>
      </w:pPr>
    </w:p>
    <w:p w14:paraId="56707D0B" w14:textId="77777777" w:rsidR="009C7451" w:rsidRDefault="009C7451" w:rsidP="00F326E5">
      <w:pPr>
        <w:pStyle w:val="NoSpacing"/>
        <w:rPr>
          <w:rFonts w:ascii="Arial Black" w:hAnsi="Arial Black"/>
          <w:sz w:val="40"/>
          <w:szCs w:val="40"/>
        </w:rPr>
      </w:pPr>
    </w:p>
    <w:p w14:paraId="443F4768" w14:textId="77777777" w:rsidR="009C7451" w:rsidRDefault="009C7451" w:rsidP="00F326E5">
      <w:pPr>
        <w:pStyle w:val="NoSpacing"/>
        <w:rPr>
          <w:rFonts w:ascii="Arial Black" w:hAnsi="Arial Black"/>
          <w:sz w:val="40"/>
          <w:szCs w:val="40"/>
        </w:rPr>
      </w:pPr>
    </w:p>
    <w:p w14:paraId="7115AE10" w14:textId="77777777" w:rsidR="009C7451" w:rsidRDefault="009C7451" w:rsidP="00F326E5">
      <w:pPr>
        <w:pStyle w:val="NoSpacing"/>
        <w:rPr>
          <w:rFonts w:ascii="Arial Black" w:hAnsi="Arial Black"/>
          <w:sz w:val="40"/>
          <w:szCs w:val="40"/>
        </w:rPr>
      </w:pPr>
    </w:p>
    <w:p w14:paraId="550BC55F" w14:textId="77777777" w:rsidR="009C7451" w:rsidRDefault="009C7451" w:rsidP="00F326E5">
      <w:pPr>
        <w:pStyle w:val="NoSpacing"/>
        <w:rPr>
          <w:rFonts w:ascii="Arial Black" w:hAnsi="Arial Black"/>
          <w:sz w:val="40"/>
          <w:szCs w:val="40"/>
        </w:rPr>
      </w:pPr>
    </w:p>
    <w:p w14:paraId="6B3D155B" w14:textId="77777777" w:rsidR="009C7451" w:rsidRDefault="009C7451" w:rsidP="00F326E5">
      <w:pPr>
        <w:pStyle w:val="NoSpacing"/>
        <w:rPr>
          <w:rFonts w:ascii="Arial Black" w:hAnsi="Arial Black"/>
          <w:sz w:val="40"/>
          <w:szCs w:val="40"/>
        </w:rPr>
      </w:pPr>
    </w:p>
    <w:p w14:paraId="5C7586A4" w14:textId="77777777" w:rsidR="009C7451" w:rsidRDefault="009C7451" w:rsidP="00F326E5">
      <w:pPr>
        <w:pStyle w:val="NoSpacing"/>
        <w:rPr>
          <w:rFonts w:ascii="Arial Black" w:hAnsi="Arial Black"/>
          <w:sz w:val="40"/>
          <w:szCs w:val="40"/>
        </w:rPr>
      </w:pPr>
    </w:p>
    <w:p w14:paraId="609E156C" w14:textId="77777777" w:rsidR="009C7451" w:rsidRDefault="009C7451" w:rsidP="00F326E5">
      <w:pPr>
        <w:pStyle w:val="NoSpacing"/>
        <w:rPr>
          <w:rFonts w:ascii="Arial Black" w:hAnsi="Arial Black"/>
          <w:sz w:val="40"/>
          <w:szCs w:val="40"/>
        </w:rPr>
      </w:pPr>
    </w:p>
    <w:p w14:paraId="04939E69" w14:textId="77777777" w:rsidR="009C7451" w:rsidRDefault="009C7451" w:rsidP="00F326E5">
      <w:pPr>
        <w:pStyle w:val="NoSpacing"/>
        <w:rPr>
          <w:rFonts w:ascii="Arial Black" w:hAnsi="Arial Black"/>
          <w:sz w:val="40"/>
          <w:szCs w:val="40"/>
        </w:rPr>
      </w:pPr>
    </w:p>
    <w:p w14:paraId="206C3E5C" w14:textId="77777777" w:rsidR="009C7451" w:rsidRDefault="009C7451" w:rsidP="00F326E5">
      <w:pPr>
        <w:pStyle w:val="NoSpacing"/>
        <w:rPr>
          <w:rFonts w:ascii="Arial Black" w:hAnsi="Arial Black"/>
          <w:sz w:val="40"/>
          <w:szCs w:val="40"/>
        </w:rPr>
      </w:pPr>
    </w:p>
    <w:p w14:paraId="6F40D096" w14:textId="398B5402"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11</w:t>
      </w:r>
      <w:r w:rsidRPr="007732FA">
        <w:rPr>
          <w:rFonts w:ascii="Arial Black" w:hAnsi="Arial Black"/>
          <w:sz w:val="40"/>
          <w:szCs w:val="40"/>
        </w:rPr>
        <w:tab/>
        <w:t>Fair Labor Standards Act</w:t>
      </w:r>
      <w:r w:rsidR="00EC50D5">
        <w:rPr>
          <w:rFonts w:ascii="Arial Black" w:hAnsi="Arial Black"/>
          <w:sz w:val="40"/>
          <w:szCs w:val="40"/>
        </w:rPr>
        <w:t xml:space="preserve"> and Military Pay</w:t>
      </w:r>
    </w:p>
    <w:p w14:paraId="7200A2A0" w14:textId="77777777" w:rsidR="00DD3D7A" w:rsidRDefault="00DD3D7A" w:rsidP="00020106">
      <w:pPr>
        <w:rPr>
          <w:rFonts w:ascii="Arial Black" w:hAnsi="Arial Black"/>
          <w:b/>
          <w:sz w:val="24"/>
          <w:szCs w:val="24"/>
        </w:rPr>
      </w:pPr>
    </w:p>
    <w:p w14:paraId="45B79AE2" w14:textId="483B57F6" w:rsidR="001F5522" w:rsidRDefault="001F5522" w:rsidP="001F5522">
      <w:pPr>
        <w:rPr>
          <w:rFonts w:ascii="Arial Black" w:hAnsi="Arial Black"/>
          <w:b/>
          <w:sz w:val="24"/>
          <w:szCs w:val="24"/>
        </w:rPr>
      </w:pPr>
      <w:r>
        <w:rPr>
          <w:rFonts w:ascii="Arial Black" w:hAnsi="Arial Black"/>
          <w:b/>
          <w:sz w:val="24"/>
          <w:szCs w:val="24"/>
        </w:rPr>
        <w:t>11-70</w:t>
      </w:r>
    </w:p>
    <w:p w14:paraId="32B19981" w14:textId="77777777" w:rsidR="009C7749" w:rsidRPr="004441F2" w:rsidRDefault="009C7749" w:rsidP="009C7749">
      <w:pPr>
        <w:pStyle w:val="NoSpacing"/>
        <w:rPr>
          <w:rFonts w:ascii="Arial Black" w:hAnsi="Arial Black"/>
          <w:sz w:val="28"/>
          <w:szCs w:val="28"/>
        </w:rPr>
      </w:pPr>
      <w:r>
        <w:rPr>
          <w:rFonts w:ascii="Arial Black" w:hAnsi="Arial Black"/>
          <w:sz w:val="28"/>
          <w:szCs w:val="28"/>
        </w:rPr>
        <w:t xml:space="preserve">CA: FLSA - EMS VARIOUS BONUSES – NO CLASS ACTION </w:t>
      </w:r>
    </w:p>
    <w:p w14:paraId="625AB2C4" w14:textId="77777777" w:rsidR="009C7749" w:rsidRDefault="009C7749" w:rsidP="009C7749">
      <w:pPr>
        <w:pStyle w:val="NoSpacing"/>
      </w:pPr>
    </w:p>
    <w:p w14:paraId="4C88FF4A" w14:textId="77777777" w:rsidR="009C7749" w:rsidRDefault="009C7749" w:rsidP="009C7749">
      <w:pPr>
        <w:pStyle w:val="NoSpacing"/>
      </w:pPr>
      <w:r>
        <w:t xml:space="preserve">On April 21, 2026, in </w:t>
      </w:r>
      <w:r w:rsidRPr="003C18D7">
        <w:rPr>
          <w:u w:val="single"/>
        </w:rPr>
        <w:t xml:space="preserve">Adam N. Martinez v. Sierra </w:t>
      </w:r>
      <w:proofErr w:type="spellStart"/>
      <w:r w:rsidRPr="003C18D7">
        <w:rPr>
          <w:u w:val="single"/>
        </w:rPr>
        <w:t>Lifestar</w:t>
      </w:r>
      <w:proofErr w:type="spellEnd"/>
      <w:r w:rsidRPr="003C18D7">
        <w:rPr>
          <w:u w:val="single"/>
        </w:rPr>
        <w:t>, Inc.</w:t>
      </w:r>
      <w:r>
        <w:t xml:space="preserve">, the </w:t>
      </w:r>
      <w:r w:rsidRPr="003C18D7">
        <w:t>California Court of Appeals, Fifth District</w:t>
      </w:r>
      <w:r>
        <w:t xml:space="preserve"> held (3 to 0) that trial court should reconsider allowing lawsuit to proceed as a class action on behalf of 135 paramedics and EMTs who received various types of bonuses.  Plaintiff, for example, received a $100 bonus given to all EMTs employed during </w:t>
      </w:r>
      <w:r w:rsidRPr="003B0089">
        <w:t>Emergency Medical Services Week</w:t>
      </w:r>
      <w:r>
        <w:t xml:space="preserve"> (3</w:t>
      </w:r>
      <w:r w:rsidRPr="003B0089">
        <w:rPr>
          <w:vertAlign w:val="superscript"/>
        </w:rPr>
        <w:t>rd</w:t>
      </w:r>
      <w:r>
        <w:t xml:space="preserve"> week of </w:t>
      </w:r>
      <w:proofErr w:type="gramStart"/>
      <w:r>
        <w:t>May,</w:t>
      </w:r>
      <w:proofErr w:type="gramEnd"/>
      <w:r>
        <w:t xml:space="preserve"> 2025).  Under state law and the FLSA, only “nondiscretionary” bonuses must be calculated into employee regular rate of pay for overtime pay. </w:t>
      </w:r>
      <w:hyperlink r:id="rId1678" w:history="1">
        <w:r w:rsidRPr="00072B77">
          <w:rPr>
            <w:rStyle w:val="Hyperlink"/>
          </w:rPr>
          <w:t>https://cases.justia.com/california/court-of-appeal/2026-f089576.pdf?ts=1776802194</w:t>
        </w:r>
      </w:hyperlink>
      <w:r>
        <w:t xml:space="preserve"> </w:t>
      </w:r>
    </w:p>
    <w:p w14:paraId="3EB69DEA" w14:textId="77777777" w:rsidR="009C7749" w:rsidRPr="000F317A" w:rsidRDefault="009C7749" w:rsidP="009C7749">
      <w:pPr>
        <w:pStyle w:val="NoSpacing"/>
        <w:rPr>
          <w:b/>
        </w:rPr>
      </w:pPr>
    </w:p>
    <w:p w14:paraId="7ED4E049" w14:textId="77777777" w:rsidR="009C7749" w:rsidRPr="003C18D7" w:rsidRDefault="009C7749" w:rsidP="009C7749">
      <w:pPr>
        <w:pStyle w:val="NoSpacing"/>
        <w:rPr>
          <w:bCs/>
        </w:rPr>
      </w:pPr>
      <w:r>
        <w:t>THE COURT HELD:</w:t>
      </w:r>
    </w:p>
    <w:p w14:paraId="47AD5F42" w14:textId="77777777" w:rsidR="009C7749" w:rsidRDefault="009C7749" w:rsidP="009C7749">
      <w:pPr>
        <w:pStyle w:val="NoSpacing"/>
      </w:pPr>
    </w:p>
    <w:p w14:paraId="612C41DD" w14:textId="77777777" w:rsidR="009C7749" w:rsidRDefault="009C7749" w:rsidP="009C7749">
      <w:pPr>
        <w:pStyle w:val="NoSpacing"/>
        <w:ind w:left="720"/>
      </w:pPr>
      <w:r>
        <w:t>“Accordingly, in general terms, the legal theory for Martinez’s claim is the same as the legal theory for the class members’ claims—that is, the regular rate of pay used to</w:t>
      </w:r>
    </w:p>
    <w:p w14:paraId="79E7A1C9" w14:textId="77777777" w:rsidR="009C7749" w:rsidRDefault="009C7749" w:rsidP="009C7749">
      <w:pPr>
        <w:pStyle w:val="NoSpacing"/>
        <w:ind w:firstLine="720"/>
      </w:pPr>
      <w:proofErr w:type="gramStart"/>
      <w:r>
        <w:t>calculate</w:t>
      </w:r>
      <w:proofErr w:type="gramEnd"/>
      <w:r>
        <w:t xml:space="preserve"> overtime, double time, and premium pay owed to each employee was</w:t>
      </w:r>
    </w:p>
    <w:p w14:paraId="46368871" w14:textId="77777777" w:rsidR="009C7749" w:rsidRDefault="009C7749" w:rsidP="009C7749">
      <w:pPr>
        <w:pStyle w:val="NoSpacing"/>
        <w:ind w:firstLine="720"/>
      </w:pPr>
      <w:r>
        <w:t>understated because the rate of pay did not include one or more nondiscretionary bonuses</w:t>
      </w:r>
    </w:p>
    <w:p w14:paraId="351D2A99" w14:textId="77777777" w:rsidR="009C7749" w:rsidRDefault="009C7749" w:rsidP="009C7749">
      <w:pPr>
        <w:pStyle w:val="NoSpacing"/>
        <w:ind w:firstLine="720"/>
      </w:pPr>
      <w:r>
        <w:t>paid to the employee.</w:t>
      </w:r>
    </w:p>
    <w:p w14:paraId="3AF7F75D" w14:textId="77777777" w:rsidR="009C7749" w:rsidRDefault="009C7749" w:rsidP="009C7749">
      <w:pPr>
        <w:pStyle w:val="NoSpacing"/>
        <w:ind w:firstLine="720"/>
      </w:pPr>
    </w:p>
    <w:p w14:paraId="55D98513" w14:textId="77777777" w:rsidR="009C7749" w:rsidRDefault="009C7749" w:rsidP="009C7749">
      <w:pPr>
        <w:pStyle w:val="NoSpacing"/>
        <w:ind w:firstLine="720"/>
      </w:pPr>
      <w:r>
        <w:t>***</w:t>
      </w:r>
    </w:p>
    <w:p w14:paraId="14D2FF06" w14:textId="77777777" w:rsidR="009C7749" w:rsidRDefault="009C7749" w:rsidP="009C7749">
      <w:pPr>
        <w:pStyle w:val="NoSpacing"/>
        <w:ind w:left="720"/>
      </w:pPr>
      <w:r>
        <w:t xml:space="preserve">Martinez proposed a ‘regular rate </w:t>
      </w:r>
      <w:proofErr w:type="spellStart"/>
      <w:r>
        <w:t>class’</w:t>
      </w:r>
      <w:proofErr w:type="spellEnd"/>
      <w:r>
        <w:t xml:space="preserve"> consisting of current and former employees who were paid overtime and premium pay and also were paid nondiscretionary bonuses described as (1) Bonus, (2) Clerical Bonus, (3) Clerical Training Bonus, (4) EMS Bonus, (5) Lead Bonus, (6) Manager Bonus, (7) Paramedic Bonus, (8) Preceptor EMT Bonus, (9) Preceptor Paramedic Bonus, and (10) Sign-On Bonus.</w:t>
      </w:r>
    </w:p>
    <w:p w14:paraId="7D8E49D7" w14:textId="77777777" w:rsidR="009C7749" w:rsidRDefault="009C7749" w:rsidP="009C7749">
      <w:pPr>
        <w:pStyle w:val="NoSpacing"/>
        <w:ind w:left="720"/>
      </w:pPr>
    </w:p>
    <w:p w14:paraId="56B3B3F1" w14:textId="77777777" w:rsidR="009C7749" w:rsidRDefault="009C7749" w:rsidP="009C7749">
      <w:pPr>
        <w:pStyle w:val="NoSpacing"/>
        <w:ind w:left="720"/>
      </w:pPr>
      <w:r>
        <w:t>***</w:t>
      </w:r>
    </w:p>
    <w:p w14:paraId="470B01B0" w14:textId="77777777" w:rsidR="009C7749" w:rsidRDefault="009C7749" w:rsidP="009C7749">
      <w:pPr>
        <w:pStyle w:val="NoSpacing"/>
        <w:ind w:left="720"/>
      </w:pPr>
    </w:p>
    <w:p w14:paraId="0C4C8E50" w14:textId="77777777" w:rsidR="009C7749" w:rsidRDefault="009C7749" w:rsidP="009C7749">
      <w:pPr>
        <w:pStyle w:val="NoSpacing"/>
        <w:ind w:left="720"/>
      </w:pPr>
      <w:r>
        <w:t xml:space="preserve">We conclude the trial court committed legal error in its analysis of whether a unique defense defeated the typicality of Martinez’s claim. </w:t>
      </w:r>
      <w:proofErr w:type="spellStart"/>
      <w:r>
        <w:t>Lifestar’s</w:t>
      </w:r>
      <w:proofErr w:type="spellEnd"/>
      <w:r>
        <w:t xml:space="preserve"> arguments that</w:t>
      </w:r>
    </w:p>
    <w:p w14:paraId="6FFC5093" w14:textId="77777777" w:rsidR="009C7749" w:rsidRDefault="009C7749" w:rsidP="009C7749">
      <w:pPr>
        <w:pStyle w:val="NoSpacing"/>
        <w:ind w:firstLine="720"/>
      </w:pPr>
      <w:r>
        <w:t>Martinez’s EMS Bonus was properly excluded from his regular rate of pay because it was</w:t>
      </w:r>
    </w:p>
    <w:p w14:paraId="3DAC1C7A" w14:textId="77777777" w:rsidR="009C7749" w:rsidRDefault="009C7749" w:rsidP="009C7749">
      <w:pPr>
        <w:pStyle w:val="NoSpacing"/>
        <w:ind w:firstLine="720"/>
      </w:pPr>
      <w:proofErr w:type="gramStart"/>
      <w:r>
        <w:t>in the nature of a</w:t>
      </w:r>
      <w:proofErr w:type="gramEnd"/>
      <w:r>
        <w:t xml:space="preserve"> gift, was discretionary, or both, are not unique to Martinez. Those</w:t>
      </w:r>
    </w:p>
    <w:p w14:paraId="0ECD3E94" w14:textId="77777777" w:rsidR="009C7749" w:rsidRDefault="009C7749" w:rsidP="009C7749">
      <w:pPr>
        <w:pStyle w:val="NoSpacing"/>
        <w:ind w:firstLine="720"/>
      </w:pPr>
      <w:r>
        <w:t xml:space="preserve">arguments apply to all EMS Bonuses paid to </w:t>
      </w:r>
      <w:proofErr w:type="spellStart"/>
      <w:r>
        <w:t>Lifestar’s</w:t>
      </w:r>
      <w:proofErr w:type="spellEnd"/>
      <w:r>
        <w:t xml:space="preserve"> other employees for National</w:t>
      </w:r>
    </w:p>
    <w:p w14:paraId="72E66777" w14:textId="77777777" w:rsidR="009C7749" w:rsidRDefault="009C7749" w:rsidP="009C7749">
      <w:pPr>
        <w:pStyle w:val="NoSpacing"/>
        <w:ind w:firstLine="720"/>
      </w:pPr>
      <w:r>
        <w:t>Emergency Medical Services Week and, therefore, are not unique to Martinez.”</w:t>
      </w:r>
    </w:p>
    <w:p w14:paraId="0C1C26D0" w14:textId="77777777" w:rsidR="009C7749" w:rsidRDefault="009C7749" w:rsidP="009C7749">
      <w:pPr>
        <w:pStyle w:val="NoSpacing"/>
        <w:ind w:firstLine="720"/>
      </w:pPr>
    </w:p>
    <w:p w14:paraId="2F09A04D" w14:textId="77777777" w:rsidR="009C7749" w:rsidRDefault="009C7749" w:rsidP="009C7749">
      <w:pPr>
        <w:pStyle w:val="NoSpacing"/>
        <w:rPr>
          <w:b/>
          <w:bCs/>
        </w:rPr>
      </w:pPr>
      <w:r>
        <w:rPr>
          <w:b/>
        </w:rPr>
        <w:t xml:space="preserve">Legal lesson learned: The trial court judge must now re-consider plaintiff’s motion for class certification; bonuses that are “discretionary” do not impact regular rate of pay. </w:t>
      </w:r>
    </w:p>
    <w:p w14:paraId="1F57804B" w14:textId="77777777" w:rsidR="009C7749" w:rsidRDefault="009C7749" w:rsidP="009C7749">
      <w:pPr>
        <w:pStyle w:val="NoSpacing"/>
        <w:rPr>
          <w:b/>
          <w:bCs/>
        </w:rPr>
      </w:pPr>
    </w:p>
    <w:p w14:paraId="7AE17A4F" w14:textId="77777777" w:rsidR="009C7749" w:rsidRDefault="009C7749" w:rsidP="009C7749">
      <w:pPr>
        <w:pStyle w:val="NoSpacing"/>
        <w:ind w:left="720"/>
      </w:pPr>
      <w:r w:rsidRPr="00257720">
        <w:t xml:space="preserve">Note: See U.S. Department of Labor, Wage &amp; Hour Division - Fact Sheet #56C: Bonuses under the Fair Labor Standards Act (FLSA); December 2019. </w:t>
      </w:r>
      <w:hyperlink r:id="rId1679" w:history="1">
        <w:r w:rsidRPr="00257720">
          <w:rPr>
            <w:rStyle w:val="Hyperlink"/>
          </w:rPr>
          <w:t>https://www.dol.gov/agencies/whd/fact-sheets/56c-bonuses</w:t>
        </w:r>
      </w:hyperlink>
      <w:r w:rsidRPr="00257720">
        <w:t xml:space="preserve"> </w:t>
      </w:r>
    </w:p>
    <w:p w14:paraId="371E2A53" w14:textId="77777777" w:rsidR="009C7749" w:rsidRDefault="009C7749" w:rsidP="009C7749">
      <w:pPr>
        <w:pStyle w:val="NoSpacing"/>
        <w:ind w:left="720"/>
      </w:pPr>
    </w:p>
    <w:p w14:paraId="1B4A9549" w14:textId="77777777" w:rsidR="009C7749" w:rsidRPr="00BD4117" w:rsidRDefault="009C7749" w:rsidP="009C7749">
      <w:pPr>
        <w:pStyle w:val="NoSpacing"/>
        <w:ind w:left="720"/>
      </w:pPr>
      <w:r>
        <w:t>“</w:t>
      </w:r>
      <w:r w:rsidRPr="00BD4117">
        <w:t xml:space="preserve">Discretionary bonuses are excludable from the regular rate of pay.  A bonus is discretionary only if all the statutory requirements are met: </w:t>
      </w:r>
    </w:p>
    <w:p w14:paraId="174DD0E9" w14:textId="77777777" w:rsidR="009C7749" w:rsidRPr="00BD4117" w:rsidRDefault="009C7749" w:rsidP="009C7749">
      <w:pPr>
        <w:pStyle w:val="NoSpacing"/>
        <w:numPr>
          <w:ilvl w:val="0"/>
          <w:numId w:val="41"/>
        </w:numPr>
      </w:pPr>
      <w:r w:rsidRPr="00BD4117">
        <w:t xml:space="preserve">The employer has the sole discretion, until at or near the end of the period that corresponds to the bonus, to determine whether to pay the bonus; </w:t>
      </w:r>
    </w:p>
    <w:p w14:paraId="1F5447C0" w14:textId="77777777" w:rsidR="009C7749" w:rsidRPr="00BD4117" w:rsidRDefault="009C7749" w:rsidP="009C7749">
      <w:pPr>
        <w:pStyle w:val="NoSpacing"/>
        <w:numPr>
          <w:ilvl w:val="0"/>
          <w:numId w:val="41"/>
        </w:numPr>
      </w:pPr>
      <w:r w:rsidRPr="00BD4117">
        <w:t xml:space="preserve">The employer has the sole discretion, until at or near the end of the period that corresponds to the bonus, to determine the amount of the bonus; and </w:t>
      </w:r>
    </w:p>
    <w:p w14:paraId="7F5140B3" w14:textId="77777777" w:rsidR="009C7749" w:rsidRPr="00BD4117" w:rsidRDefault="009C7749" w:rsidP="009C7749">
      <w:pPr>
        <w:pStyle w:val="NoSpacing"/>
        <w:numPr>
          <w:ilvl w:val="0"/>
          <w:numId w:val="41"/>
        </w:numPr>
      </w:pPr>
      <w:r w:rsidRPr="00BD4117">
        <w:lastRenderedPageBreak/>
        <w:t>The bonus payment is not made according to any prior contract, agreement, or promise causing an employee to expect such payments regularly.</w:t>
      </w:r>
      <w:r>
        <w:t>”</w:t>
      </w:r>
    </w:p>
    <w:p w14:paraId="6B2C1CD1" w14:textId="77777777" w:rsidR="009C7749" w:rsidRPr="00257720" w:rsidRDefault="009C7749" w:rsidP="009C7749">
      <w:pPr>
        <w:pStyle w:val="NoSpacing"/>
        <w:ind w:left="720"/>
      </w:pPr>
    </w:p>
    <w:p w14:paraId="632FDE22" w14:textId="4513BF3C" w:rsidR="001F5522" w:rsidRDefault="001F5522" w:rsidP="001F5522">
      <w:pPr>
        <w:rPr>
          <w:rFonts w:ascii="Arial Black" w:hAnsi="Arial Black"/>
          <w:b/>
          <w:sz w:val="24"/>
          <w:szCs w:val="24"/>
        </w:rPr>
      </w:pPr>
      <w:r>
        <w:rPr>
          <w:rFonts w:ascii="Arial Black" w:hAnsi="Arial Black"/>
          <w:b/>
          <w:sz w:val="24"/>
          <w:szCs w:val="24"/>
        </w:rPr>
        <w:t>11-69</w:t>
      </w:r>
    </w:p>
    <w:p w14:paraId="79984F87" w14:textId="77777777" w:rsidR="001F5522" w:rsidRDefault="001F5522" w:rsidP="001F5522">
      <w:pPr>
        <w:pStyle w:val="NoSpacing"/>
        <w:rPr>
          <w:rFonts w:ascii="Arial Black" w:hAnsi="Arial Black"/>
          <w:b/>
          <w:sz w:val="28"/>
          <w:szCs w:val="28"/>
        </w:rPr>
      </w:pPr>
    </w:p>
    <w:p w14:paraId="52411DBB" w14:textId="2444AC72" w:rsidR="001F5522" w:rsidRDefault="001F5522" w:rsidP="001F5522">
      <w:pPr>
        <w:pStyle w:val="NoSpacing"/>
        <w:rPr>
          <w:rFonts w:ascii="Arial Black" w:hAnsi="Arial Black"/>
          <w:b/>
          <w:sz w:val="28"/>
          <w:szCs w:val="28"/>
        </w:rPr>
      </w:pPr>
      <w:r>
        <w:rPr>
          <w:rFonts w:ascii="Arial Black" w:hAnsi="Arial Black"/>
          <w:b/>
          <w:sz w:val="28"/>
          <w:szCs w:val="28"/>
        </w:rPr>
        <w:t xml:space="preserve">WA: USERRA - 5 YRS RE-EMPLOYMENT / IF RETURNING  </w:t>
      </w:r>
    </w:p>
    <w:p w14:paraId="271E80AD" w14:textId="77777777" w:rsidR="001F5522" w:rsidRDefault="001F5522" w:rsidP="001F5522">
      <w:pPr>
        <w:pStyle w:val="NoSpacing"/>
        <w:rPr>
          <w:bCs/>
        </w:rPr>
      </w:pPr>
    </w:p>
    <w:p w14:paraId="583B3C58" w14:textId="77777777" w:rsidR="001F5522" w:rsidRDefault="001F5522" w:rsidP="001F5522">
      <w:pPr>
        <w:pStyle w:val="NoSpacing"/>
        <w:rPr>
          <w:b/>
        </w:rPr>
      </w:pPr>
      <w:r>
        <w:t xml:space="preserve">On April 17, 2026, in </w:t>
      </w:r>
      <w:r w:rsidRPr="00BF3EFE">
        <w:rPr>
          <w:u w:val="single"/>
        </w:rPr>
        <w:t>Travis Bearden v. City of Ocean Shores</w:t>
      </w:r>
      <w:r>
        <w:t xml:space="preserve">, U.S. District Court Judge Benjamin H. Settle, United States District Court for the Western District of Washington, Tacoma held that the firefighter not entitled to summary judgment since no evidence he ever intends to return to FD. He last worked at FD in August 2020, and under USERRA he has reemployment rights if on leave max of 5 cumulative years.  The firefighter claims he is entitled to 21-day military pay for each fiscal year </w:t>
      </w:r>
      <w:r w:rsidRPr="00CC5A8F">
        <w:t>from 2020 “through the present day.”</w:t>
      </w:r>
      <w:r>
        <w:t xml:space="preserve"> The city </w:t>
      </w:r>
      <w:r w:rsidRPr="00B169AB">
        <w:t xml:space="preserve">disputes that Bearden is entitled to paid military leave for the following fiscal years, 2021-2026, arguing he cannot establish as a matter of law that he remained and remains a </w:t>
      </w:r>
      <w:proofErr w:type="gramStart"/>
      <w:r w:rsidRPr="00B169AB">
        <w:t>City</w:t>
      </w:r>
      <w:proofErr w:type="gramEnd"/>
      <w:r w:rsidRPr="00B169AB">
        <w:t xml:space="preserve"> employee.</w:t>
      </w:r>
      <w:r>
        <w:t xml:space="preserve"> The firefighter claims he is still employed by the </w:t>
      </w:r>
      <w:proofErr w:type="gramStart"/>
      <w:r>
        <w:t>City</w:t>
      </w:r>
      <w:proofErr w:type="gramEnd"/>
      <w:r>
        <w:t>.  Judge Settle doubts this claim - “</w:t>
      </w:r>
      <w:r w:rsidRPr="005D6FAC">
        <w:t xml:space="preserve">the record contains no statement or assertion that he currently </w:t>
      </w:r>
      <w:r w:rsidRPr="005D6FAC">
        <w:rPr>
          <w:i/>
          <w:iCs/>
        </w:rPr>
        <w:t>is</w:t>
      </w:r>
      <w:r w:rsidRPr="005D6FAC">
        <w:t xml:space="preserve"> an employee. Bearden provides no evidence supporting the conclusion that due to his </w:t>
      </w:r>
      <w:proofErr w:type="gramStart"/>
      <w:r w:rsidRPr="005D6FAC">
        <w:t>active duty</w:t>
      </w:r>
      <w:proofErr w:type="gramEnd"/>
      <w:r w:rsidRPr="005D6FAC">
        <w:t xml:space="preserve"> military commitments, he was unable to work for the </w:t>
      </w:r>
      <w:proofErr w:type="gramStart"/>
      <w:r w:rsidRPr="005D6FAC">
        <w:t>City</w:t>
      </w:r>
      <w:proofErr w:type="gramEnd"/>
      <w:r w:rsidRPr="005D6FAC">
        <w:t>, at all, over the past five years</w:t>
      </w:r>
      <w:r>
        <w:t xml:space="preserve">…. </w:t>
      </w:r>
      <w:r w:rsidRPr="005D33E8">
        <w:t>The parties should work in good faith to resolve the damages owed for the conceded period</w:t>
      </w:r>
      <w:r>
        <w:t xml:space="preserve"> (August 20, 2020 to May 2021).”</w:t>
      </w:r>
      <w:hyperlink r:id="rId1680" w:history="1">
        <w:r w:rsidRPr="00A77E89">
          <w:rPr>
            <w:rStyle w:val="Hyperlink"/>
            <w:b/>
          </w:rPr>
          <w:t>https://public.fastcase.com/Jhe1Qn%2BmJndQYQU6z%2FeNm2MBH8jjZypB1KxY%2B3GJWtt3pU7LQ0HG1TD%2BuEAPjcSSqkB%2F2Yca8lDVABp6qaMHSj5ZnKz4h2BUwQ71QZi85m8%3D?utm_medium=email&amp;_hsenc=p2ANqtz-_R5GvzVgy1X05e_vCvuMC9Q5e35U1J1WERhCn0fZcvatolnFVOIwTcjgpntEVG0Zn0QYI5aNrPmOIXD_9eLdzthe8Iwg&amp;_hsmi=226712652&amp;utm_content=226712652&amp;utm_source=hs_email</w:t>
        </w:r>
      </w:hyperlink>
      <w:r>
        <w:rPr>
          <w:b/>
        </w:rPr>
        <w:t xml:space="preserve"> </w:t>
      </w:r>
    </w:p>
    <w:p w14:paraId="7386F174" w14:textId="77777777" w:rsidR="001F5522" w:rsidRDefault="001F5522" w:rsidP="001F5522">
      <w:pPr>
        <w:pStyle w:val="NoSpacing"/>
        <w:rPr>
          <w:b/>
        </w:rPr>
      </w:pPr>
    </w:p>
    <w:p w14:paraId="1AE9E827" w14:textId="77777777" w:rsidR="001F5522" w:rsidRDefault="001F5522" w:rsidP="001F5522">
      <w:pPr>
        <w:pStyle w:val="NoSpacing"/>
      </w:pPr>
      <w:r>
        <w:t>THE COURT HELD:</w:t>
      </w:r>
    </w:p>
    <w:p w14:paraId="1A7BE122" w14:textId="77777777" w:rsidR="001F5522" w:rsidRDefault="001F5522" w:rsidP="001F5522">
      <w:pPr>
        <w:pStyle w:val="NoSpacing"/>
      </w:pPr>
    </w:p>
    <w:p w14:paraId="1D789B56" w14:textId="77777777" w:rsidR="001F5522" w:rsidRDefault="001F5522" w:rsidP="001F5522">
      <w:pPr>
        <w:pStyle w:val="NoSpacing"/>
        <w:ind w:left="720"/>
      </w:pPr>
      <w:r>
        <w:t>“</w:t>
      </w:r>
      <w:r w:rsidRPr="00BC652A">
        <w:t xml:space="preserve">There is no evidence or argument explaining why these military orders precluded Bearden from working as a </w:t>
      </w:r>
      <w:proofErr w:type="gramStart"/>
      <w:r w:rsidRPr="00BC652A">
        <w:t>City</w:t>
      </w:r>
      <w:proofErr w:type="gramEnd"/>
      <w:r w:rsidRPr="00BC652A">
        <w:t xml:space="preserve"> employee during the 140 days that he was not </w:t>
      </w:r>
      <w:r>
        <w:t>‘</w:t>
      </w:r>
      <w:r w:rsidRPr="00BC652A">
        <w:t>on orders</w:t>
      </w:r>
      <w:r>
        <w:t>’</w:t>
      </w:r>
      <w:r w:rsidRPr="00BC652A">
        <w:t xml:space="preserve"> or on active duty in 2022, or at any time after. There is no evidence that Bearden worked for, or even contacted, the </w:t>
      </w:r>
      <w:proofErr w:type="gramStart"/>
      <w:r w:rsidRPr="00BC652A">
        <w:t>City</w:t>
      </w:r>
      <w:proofErr w:type="gramEnd"/>
      <w:r w:rsidRPr="00BC652A">
        <w:t xml:space="preserve"> during this or any other period dating back at least five years.</w:t>
      </w:r>
    </w:p>
    <w:p w14:paraId="36EBFEBF" w14:textId="77777777" w:rsidR="001F5522" w:rsidRDefault="001F5522" w:rsidP="001F5522">
      <w:pPr>
        <w:pStyle w:val="NoSpacing"/>
        <w:ind w:left="720"/>
      </w:pPr>
    </w:p>
    <w:p w14:paraId="1698AA53" w14:textId="77777777" w:rsidR="001F5522" w:rsidRDefault="001F5522" w:rsidP="001F5522">
      <w:pPr>
        <w:pStyle w:val="NoSpacing"/>
        <w:ind w:left="720"/>
        <w:rPr>
          <w:bCs/>
        </w:rPr>
      </w:pPr>
      <w:r>
        <w:t>***</w:t>
      </w:r>
    </w:p>
    <w:p w14:paraId="79CAE9D2" w14:textId="77777777" w:rsidR="001F5522" w:rsidRDefault="001F5522" w:rsidP="001F5522">
      <w:pPr>
        <w:pStyle w:val="NoSpacing"/>
        <w:rPr>
          <w:bCs/>
        </w:rPr>
      </w:pPr>
    </w:p>
    <w:p w14:paraId="78791BEA" w14:textId="77777777" w:rsidR="001F5522" w:rsidRDefault="001F5522" w:rsidP="001F5522">
      <w:pPr>
        <w:pStyle w:val="NoSpacing"/>
        <w:ind w:left="720"/>
      </w:pPr>
      <w:r w:rsidRPr="009315F9">
        <w:t xml:space="preserve">There is no evidence in the record that Bearden has </w:t>
      </w:r>
      <w:r>
        <w:t>‘</w:t>
      </w:r>
      <w:r w:rsidRPr="009315F9">
        <w:t>remained</w:t>
      </w:r>
      <w:r>
        <w:t>’</w:t>
      </w:r>
      <w:r w:rsidRPr="009315F9">
        <w:t xml:space="preserve"> a </w:t>
      </w:r>
      <w:proofErr w:type="gramStart"/>
      <w:r w:rsidRPr="009315F9">
        <w:t>City</w:t>
      </w:r>
      <w:proofErr w:type="gramEnd"/>
      <w:r w:rsidRPr="009315F9">
        <w:t xml:space="preserve"> employee, since at least 2021. Bearden's motion does not even contend that he remained or remains an Ocean Shores employee. Instead, the declaration he filed in support of his motion attests only that he still has 215 days before he reaches the </w:t>
      </w:r>
      <w:r>
        <w:t>‘</w:t>
      </w:r>
      <w:r w:rsidRPr="009315F9">
        <w:t>USERRA 5-year limit, at which time I intend to return to the City of Ocean shores.</w:t>
      </w:r>
      <w:r>
        <w:t>’</w:t>
      </w:r>
      <w:r w:rsidRPr="009315F9">
        <w:t xml:space="preserve"> </w:t>
      </w:r>
      <w:proofErr w:type="spellStart"/>
      <w:r w:rsidRPr="009315F9">
        <w:t>Dkt</w:t>
      </w:r>
      <w:proofErr w:type="spellEnd"/>
      <w:r w:rsidRPr="009315F9">
        <w:t xml:space="preserve">. 61-1 at 3. But the record contains no statement or assertion that he currently </w:t>
      </w:r>
      <w:r w:rsidRPr="009315F9">
        <w:rPr>
          <w:i/>
          <w:iCs/>
        </w:rPr>
        <w:t>is</w:t>
      </w:r>
      <w:r w:rsidRPr="009315F9">
        <w:t xml:space="preserve"> an employee. Bearden provides no evidence supporting the conclusion that due to his </w:t>
      </w:r>
      <w:proofErr w:type="gramStart"/>
      <w:r w:rsidRPr="009315F9">
        <w:t>active duty</w:t>
      </w:r>
      <w:proofErr w:type="gramEnd"/>
      <w:r w:rsidRPr="009315F9">
        <w:t xml:space="preserve"> military commitments, he was unable to work for the </w:t>
      </w:r>
      <w:proofErr w:type="gramStart"/>
      <w:r w:rsidRPr="009315F9">
        <w:t>City</w:t>
      </w:r>
      <w:proofErr w:type="gramEnd"/>
      <w:r w:rsidRPr="009315F9">
        <w:t xml:space="preserve">, at all, over the past five </w:t>
      </w:r>
      <w:proofErr w:type="gramStart"/>
      <w:r w:rsidRPr="009315F9">
        <w:t>years.</w:t>
      </w:r>
      <w:r>
        <w:t>”</w:t>
      </w:r>
      <w:proofErr w:type="gramEnd"/>
    </w:p>
    <w:p w14:paraId="5930DF4F" w14:textId="77777777" w:rsidR="001F5522" w:rsidRDefault="001F5522" w:rsidP="001F5522">
      <w:pPr>
        <w:pStyle w:val="NoSpacing"/>
        <w:ind w:left="720"/>
      </w:pPr>
    </w:p>
    <w:p w14:paraId="42F3CAEA" w14:textId="77777777" w:rsidR="001F5522" w:rsidRDefault="001F5522" w:rsidP="001F5522">
      <w:pPr>
        <w:rPr>
          <w:bCs/>
        </w:rPr>
      </w:pPr>
      <w:r>
        <w:rPr>
          <w:b/>
        </w:rPr>
        <w:t xml:space="preserve">Legal lesson learned: </w:t>
      </w:r>
      <w:r w:rsidRPr="008F06C1">
        <w:rPr>
          <w:b/>
        </w:rPr>
        <w:t xml:space="preserve">Under USERRA, employees have reemployment rights if “cumulative length of service” does not exceed five years, but </w:t>
      </w:r>
      <w:r>
        <w:rPr>
          <w:b/>
        </w:rPr>
        <w:t xml:space="preserve">a best practice to </w:t>
      </w:r>
      <w:r w:rsidRPr="008F06C1">
        <w:rPr>
          <w:b/>
        </w:rPr>
        <w:t>let employer know you plan to return.</w:t>
      </w:r>
      <w:r>
        <w:t xml:space="preserve">  </w:t>
      </w:r>
      <w:hyperlink r:id="rId1681" w:anchor="ch1" w:history="1">
        <w:r w:rsidRPr="00A77E89">
          <w:rPr>
            <w:rStyle w:val="Hyperlink"/>
          </w:rPr>
          <w:t>https://www.dol.gov/agencies/vets/programs/userra/USERRA-Pocket-Guide#ch1</w:t>
        </w:r>
      </w:hyperlink>
      <w:r>
        <w:t>.</w:t>
      </w:r>
    </w:p>
    <w:p w14:paraId="1DBC5E75" w14:textId="77777777" w:rsidR="001F5522" w:rsidRDefault="001F5522" w:rsidP="001F5522">
      <w:pPr>
        <w:ind w:left="720"/>
        <w:rPr>
          <w:b/>
        </w:rPr>
      </w:pPr>
      <w:r>
        <w:t xml:space="preserve">Note: </w:t>
      </w:r>
      <w:proofErr w:type="gramStart"/>
      <w:r>
        <w:t xml:space="preserve"> See</w:t>
      </w:r>
      <w:proofErr w:type="gramEnd"/>
      <w:r>
        <w:t xml:space="preserve"> State of Washington Supreme Court June 26, </w:t>
      </w:r>
      <w:proofErr w:type="gramStart"/>
      <w:r>
        <w:t>2025</w:t>
      </w:r>
      <w:proofErr w:type="gramEnd"/>
      <w:r>
        <w:t xml:space="preserve"> opinion that he is entitled to 21 </w:t>
      </w:r>
      <w:proofErr w:type="spellStart"/>
      <w:r>
        <w:t>days</w:t>
      </w:r>
      <w:proofErr w:type="spellEnd"/>
      <w:r>
        <w:t xml:space="preserve"> pay for his third leave.  </w:t>
      </w:r>
      <w:hyperlink r:id="rId1682" w:history="1">
        <w:r w:rsidRPr="00A77E89">
          <w:rPr>
            <w:rStyle w:val="Hyperlink"/>
          </w:rPr>
          <w:t>https://www.courts.wa.gov/opinions/pdf/1031211.pdf</w:t>
        </w:r>
      </w:hyperlink>
      <w:r>
        <w:t xml:space="preserve"> FIRST LEAVE: </w:t>
      </w:r>
      <w:r w:rsidRPr="001A3676">
        <w:t>annual training from October 16 to October 30, 2019</w:t>
      </w:r>
      <w:r>
        <w:t xml:space="preserve">. SECOND LEAVE: active </w:t>
      </w:r>
      <w:proofErr w:type="gramStart"/>
      <w:r>
        <w:t>duty</w:t>
      </w:r>
      <w:proofErr w:type="gramEnd"/>
      <w:r>
        <w:t xml:space="preserve"> </w:t>
      </w:r>
      <w:r w:rsidRPr="0018404C">
        <w:t>next nine months, from November 5, 2019, to August 27, 2020</w:t>
      </w:r>
      <w:r>
        <w:t>.  THIRD LEAVE: while still on the Second Leave, he received orders for 273 more days active duty (A</w:t>
      </w:r>
      <w:r w:rsidRPr="004F5CED">
        <w:t>ugust 2020-May 2021</w:t>
      </w:r>
      <w:r>
        <w:t>.</w:t>
      </w:r>
    </w:p>
    <w:p w14:paraId="1005C4E8" w14:textId="77777777" w:rsidR="009C7749" w:rsidRDefault="009C7749" w:rsidP="00020106">
      <w:pPr>
        <w:rPr>
          <w:rFonts w:ascii="Arial Black" w:hAnsi="Arial Black"/>
          <w:b/>
          <w:sz w:val="24"/>
          <w:szCs w:val="24"/>
        </w:rPr>
      </w:pPr>
    </w:p>
    <w:p w14:paraId="18B1CA22" w14:textId="77777777" w:rsidR="009C7749" w:rsidRDefault="009C7749" w:rsidP="00020106">
      <w:pPr>
        <w:rPr>
          <w:rFonts w:ascii="Arial Black" w:hAnsi="Arial Black"/>
          <w:b/>
          <w:sz w:val="24"/>
          <w:szCs w:val="24"/>
        </w:rPr>
      </w:pPr>
    </w:p>
    <w:p w14:paraId="75083B70" w14:textId="77777777" w:rsidR="009C7749" w:rsidRDefault="009C7749" w:rsidP="00020106">
      <w:pPr>
        <w:rPr>
          <w:rFonts w:ascii="Arial Black" w:hAnsi="Arial Black"/>
          <w:b/>
          <w:sz w:val="24"/>
          <w:szCs w:val="24"/>
        </w:rPr>
      </w:pPr>
    </w:p>
    <w:p w14:paraId="5A601279" w14:textId="77777777" w:rsidR="009C7749" w:rsidRDefault="009C7749" w:rsidP="00020106">
      <w:pPr>
        <w:rPr>
          <w:rFonts w:ascii="Arial Black" w:hAnsi="Arial Black"/>
          <w:b/>
          <w:sz w:val="24"/>
          <w:szCs w:val="24"/>
        </w:rPr>
      </w:pPr>
    </w:p>
    <w:p w14:paraId="2B5D98F0" w14:textId="57DD284E" w:rsidR="00084E13" w:rsidRDefault="00084E13" w:rsidP="00020106">
      <w:pPr>
        <w:rPr>
          <w:rFonts w:ascii="Arial Black" w:hAnsi="Arial Black"/>
          <w:b/>
          <w:sz w:val="24"/>
          <w:szCs w:val="24"/>
        </w:rPr>
      </w:pPr>
      <w:r>
        <w:rPr>
          <w:rFonts w:ascii="Arial Black" w:hAnsi="Arial Black"/>
          <w:b/>
          <w:sz w:val="24"/>
          <w:szCs w:val="24"/>
        </w:rPr>
        <w:t>11-68</w:t>
      </w:r>
    </w:p>
    <w:p w14:paraId="7ABDA794" w14:textId="77777777" w:rsidR="00347723" w:rsidRDefault="00347723" w:rsidP="00347723">
      <w:pPr>
        <w:pStyle w:val="NoSpacing"/>
        <w:rPr>
          <w:rFonts w:ascii="Arial Black" w:hAnsi="Arial Black"/>
          <w:bCs/>
          <w:sz w:val="28"/>
          <w:szCs w:val="28"/>
        </w:rPr>
      </w:pPr>
      <w:r>
        <w:rPr>
          <w:rFonts w:ascii="Arial Black" w:hAnsi="Arial Black"/>
          <w:sz w:val="28"/>
          <w:szCs w:val="28"/>
        </w:rPr>
        <w:t>SC: FLSA – MEDIC / CROSS TRAINED – N</w:t>
      </w:r>
      <w:r>
        <w:rPr>
          <w:rFonts w:ascii="Arial Black" w:hAnsi="Arial Black"/>
          <w:bCs/>
          <w:sz w:val="28"/>
          <w:szCs w:val="28"/>
        </w:rPr>
        <w:t xml:space="preserve">EVER DID </w:t>
      </w:r>
      <w:r>
        <w:rPr>
          <w:rFonts w:ascii="Arial Black" w:hAnsi="Arial Black"/>
          <w:sz w:val="28"/>
          <w:szCs w:val="28"/>
        </w:rPr>
        <w:t>FIRE</w:t>
      </w:r>
      <w:r>
        <w:rPr>
          <w:rFonts w:ascii="Arial Black" w:hAnsi="Arial Black"/>
          <w:bCs/>
          <w:sz w:val="28"/>
          <w:szCs w:val="28"/>
        </w:rPr>
        <w:t xml:space="preserve">S </w:t>
      </w:r>
    </w:p>
    <w:p w14:paraId="58D2E422" w14:textId="77777777" w:rsidR="00347723" w:rsidRDefault="00347723" w:rsidP="00347723">
      <w:pPr>
        <w:pStyle w:val="NoSpacing"/>
        <w:rPr>
          <w:rFonts w:ascii="Arial Black" w:hAnsi="Arial Black"/>
          <w:bCs/>
          <w:sz w:val="28"/>
          <w:szCs w:val="28"/>
        </w:rPr>
      </w:pPr>
    </w:p>
    <w:p w14:paraId="2D86C07F" w14:textId="77777777" w:rsidR="00347723" w:rsidRDefault="00347723" w:rsidP="00347723">
      <w:pPr>
        <w:pStyle w:val="NoSpacing"/>
        <w:rPr>
          <w:bCs/>
        </w:rPr>
      </w:pPr>
      <w:r>
        <w:t xml:space="preserve">On March 19, 2026, in </w:t>
      </w:r>
      <w:r w:rsidRPr="008C66C0">
        <w:rPr>
          <w:u w:val="single"/>
        </w:rPr>
        <w:t>Abbey Beemer, individually and on behalf of similarly situated v. Clarendon County</w:t>
      </w:r>
      <w:r>
        <w:t xml:space="preserve">, U.S. District Court Judge David C. Norton, United States District Court for District of South Carolina, Charleston Division, denied the County’s motion for summary judgment.  </w:t>
      </w:r>
      <w:r w:rsidRPr="00DE325A">
        <w:t>At issue is whether Beemer had the legal authority and responsibility to engage in fire suppression</w:t>
      </w:r>
      <w:r>
        <w:t xml:space="preserve">; while plaintiff is classified as a “Paramedic / FF” and trained in fire suppression, she has never been engaged in fire suppression on an emergency run.  Lawsuit will therefore need to be tried. </w:t>
      </w:r>
      <w:hyperlink r:id="rId1683" w:history="1">
        <w:r w:rsidRPr="001F11D0">
          <w:rPr>
            <w:rStyle w:val="Hyperlink"/>
          </w:rPr>
          <w:t>https://public.fastcase.com/Jhe1Qn%2BmJndQYQU6z%2FeNm%2BPcmzEUVte9Pmbex8cM1KJhQVcQIKDJJA5UPuX3qlPH?utm_medium=email&amp;_hsenc=p2ANqtz-9n4bTEROfuVqHNVuq5wnBdHGUWCVVD7aN6VD7jCXCE8dULoI4uW2020fH1jBBreK2QqG5jL3hff-Wxt2LEWhDNRofrqw&amp;_hsmi=226712652&amp;utm_content=226712652&amp;utm_source=hs_email</w:t>
        </w:r>
      </w:hyperlink>
      <w:r>
        <w:t xml:space="preserve"> </w:t>
      </w:r>
      <w:r w:rsidRPr="00DE325A">
        <w:t xml:space="preserve"> </w:t>
      </w:r>
    </w:p>
    <w:p w14:paraId="2593A14E" w14:textId="77777777" w:rsidR="00347723" w:rsidRDefault="00347723" w:rsidP="00347723">
      <w:pPr>
        <w:pStyle w:val="NoSpacing"/>
        <w:rPr>
          <w:bCs/>
        </w:rPr>
      </w:pPr>
    </w:p>
    <w:p w14:paraId="2B9FE6A8" w14:textId="77777777" w:rsidR="00347723" w:rsidRDefault="00347723" w:rsidP="00347723">
      <w:pPr>
        <w:pStyle w:val="NoSpacing"/>
      </w:pPr>
      <w:r>
        <w:t>THE COURT HELD: ”</w:t>
      </w:r>
      <w:r w:rsidRPr="00B0183E">
        <w:t xml:space="preserve">Over the course of her employment with the County's Fire Rescue Department, Beemer was a part-time </w:t>
      </w:r>
      <w:r>
        <w:t>‘</w:t>
      </w:r>
      <w:r w:rsidRPr="00B0183E">
        <w:t>paramedic</w:t>
      </w:r>
      <w:r>
        <w:t>’</w:t>
      </w:r>
      <w:r w:rsidRPr="00B0183E">
        <w:t xml:space="preserve"> and then promoted to a full-time </w:t>
      </w:r>
      <w:r>
        <w:t>‘</w:t>
      </w:r>
      <w:r w:rsidRPr="00B0183E">
        <w:t>Paramedic/FF</w:t>
      </w:r>
      <w:r>
        <w:t xml:space="preserve">’…. </w:t>
      </w:r>
      <w:r w:rsidRPr="00B0183E">
        <w:t>The County required her to receive basic firefighter certifications from the South Carolina Fire Academy</w:t>
      </w:r>
      <w:r>
        <w:t xml:space="preserve"> … </w:t>
      </w:r>
      <w:r w:rsidRPr="00B0183E">
        <w:t>and participate in regular firefighter training exercises</w:t>
      </w:r>
      <w:r>
        <w:t xml:space="preserve">…. </w:t>
      </w:r>
      <w:r w:rsidRPr="00B0183E">
        <w:t xml:space="preserve">The ambulance to which she was assigned was equipped with firefighter </w:t>
      </w:r>
      <w:r>
        <w:t>‘</w:t>
      </w:r>
      <w:r w:rsidRPr="00B0183E">
        <w:t>turn out</w:t>
      </w:r>
      <w:r>
        <w:t>’</w:t>
      </w:r>
      <w:r w:rsidRPr="00B0183E">
        <w:t xml:space="preserve"> gear (protective, heat-resistant boots, helmet, and jacket), breathing apparatuses, and extrication equipment issued to her by the County</w:t>
      </w:r>
      <w:r>
        <w:t xml:space="preserve">…. </w:t>
      </w:r>
      <w:r w:rsidRPr="00B0183E">
        <w:t>Beemer has been routinely dispatched to fire emergencies alongside firefighter units</w:t>
      </w:r>
      <w:r>
        <w:t xml:space="preserve">…. </w:t>
      </w:r>
      <w:r w:rsidRPr="00B0183E">
        <w:t xml:space="preserve">However, Beemer has not engaged a live fire, and she believed that firefighting duties were not within the responsibilities of her employment. </w:t>
      </w:r>
    </w:p>
    <w:p w14:paraId="30609326" w14:textId="77777777" w:rsidR="00347723" w:rsidRDefault="00347723" w:rsidP="00347723">
      <w:pPr>
        <w:pStyle w:val="NoSpacing"/>
      </w:pPr>
    </w:p>
    <w:p w14:paraId="03F9E3A9" w14:textId="77777777" w:rsidR="00347723" w:rsidRDefault="00347723" w:rsidP="00347723">
      <w:pPr>
        <w:pStyle w:val="NoSpacing"/>
      </w:pPr>
      <w:r>
        <w:t>***</w:t>
      </w:r>
    </w:p>
    <w:p w14:paraId="249F8F7B" w14:textId="77777777" w:rsidR="00347723" w:rsidRPr="00246642" w:rsidRDefault="00347723" w:rsidP="00347723">
      <w:pPr>
        <w:pStyle w:val="NoSpacing"/>
      </w:pPr>
      <w:r w:rsidRPr="00246642">
        <w:t xml:space="preserve">There is a genuine issue of fact as to whether Beemer has a </w:t>
      </w:r>
      <w:r>
        <w:t>‘</w:t>
      </w:r>
      <w:r w:rsidRPr="00246642">
        <w:t>responsibility to engage in fire suppression</w:t>
      </w:r>
      <w:r>
        <w:t>’</w:t>
      </w:r>
      <w:r w:rsidRPr="00246642">
        <w:t xml:space="preserve"> under both the </w:t>
      </w:r>
      <w:r>
        <w:t>‘</w:t>
      </w:r>
      <w:r w:rsidRPr="00246642">
        <w:t>some real obligation</w:t>
      </w:r>
      <w:proofErr w:type="gramStart"/>
      <w:r>
        <w:t>’</w:t>
      </w:r>
      <w:r w:rsidRPr="00246642">
        <w:t xml:space="preserve"> the </w:t>
      </w:r>
      <w:r>
        <w:t>‘</w:t>
      </w:r>
      <w:proofErr w:type="gramEnd"/>
      <w:r w:rsidRPr="00246642">
        <w:t>forward-looking</w:t>
      </w:r>
      <w:r>
        <w:t>’</w:t>
      </w:r>
      <w:r w:rsidRPr="00246642">
        <w:t xml:space="preserve"> standards. There are not sufficient facts in the record to determine whether the County </w:t>
      </w:r>
      <w:proofErr w:type="gramStart"/>
      <w:r w:rsidRPr="00246642">
        <w:t>actually expected</w:t>
      </w:r>
      <w:proofErr w:type="gramEnd"/>
      <w:r w:rsidRPr="00246642">
        <w:t xml:space="preserve"> Beemer, as part of her employment, to perform the firefighting duties for which she was trained. </w:t>
      </w:r>
      <w:r w:rsidRPr="00246642">
        <w:rPr>
          <w:i/>
          <w:iCs/>
        </w:rPr>
        <w:t>Compare Cleveland</w:t>
      </w:r>
      <w:r w:rsidRPr="00246642">
        <w:t xml:space="preserve">, 420 F.3d at 984 (finding </w:t>
      </w:r>
      <w:r>
        <w:t>‘</w:t>
      </w:r>
      <w:r w:rsidRPr="00246642">
        <w:t>dual function paramedics</w:t>
      </w:r>
      <w:r>
        <w:t>’</w:t>
      </w:r>
      <w:r w:rsidRPr="00246642">
        <w:t xml:space="preserve"> who were fully trained in firefighting had no real obligation to engage in fire suppression because they were not regularly dispatched to fire scenes, did not carry firefighting equipment, and were expected to perform only medical services), </w:t>
      </w:r>
      <w:r w:rsidRPr="00246642">
        <w:rPr>
          <w:i/>
          <w:iCs/>
        </w:rPr>
        <w:t>with Huff</w:t>
      </w:r>
      <w:r w:rsidRPr="00246642">
        <w:t xml:space="preserve">, 516 F.3d at 1281 (finding </w:t>
      </w:r>
      <w:r>
        <w:t>‘</w:t>
      </w:r>
      <w:r w:rsidRPr="00246642">
        <w:t xml:space="preserve">cross-trained </w:t>
      </w:r>
      <w:r>
        <w:t>f</w:t>
      </w:r>
      <w:r w:rsidRPr="00246642">
        <w:t>irefighter/paramedics</w:t>
      </w:r>
      <w:r>
        <w:t>’</w:t>
      </w:r>
      <w:r w:rsidRPr="00246642">
        <w:t xml:space="preserve"> had forward-looking responsibility to engage in fire suppression because they possessed advanced training, were regularly dispatched to fire emergencies, and could be disciplined if they refused to do so). Beemer's job title is </w:t>
      </w:r>
      <w:r>
        <w:t>‘</w:t>
      </w:r>
      <w:r w:rsidRPr="00246642">
        <w:t>Paramedic/FF</w:t>
      </w:r>
      <w:proofErr w:type="gramStart"/>
      <w:r>
        <w:t>’</w:t>
      </w:r>
      <w:proofErr w:type="gramEnd"/>
      <w:r w:rsidRPr="00246642">
        <w:t xml:space="preserve"> and she is frequently dispatched to fire emergencies, but her job description does not explicitly detail whether she is responsible for fire suppression. </w:t>
      </w:r>
      <w:r w:rsidRPr="00246642">
        <w:rPr>
          <w:i/>
          <w:iCs/>
        </w:rPr>
        <w:t>See Lawrence</w:t>
      </w:r>
      <w:r w:rsidRPr="00246642">
        <w:t xml:space="preserve">, 527 F.3d at 305-06 (finding </w:t>
      </w:r>
      <w:r>
        <w:t>‘</w:t>
      </w:r>
      <w:r w:rsidRPr="00246642">
        <w:t>fire service paramedics</w:t>
      </w:r>
      <w:r>
        <w:t>’</w:t>
      </w:r>
      <w:r w:rsidRPr="00246642">
        <w:t xml:space="preserve"> lacked responsibility under Section 203(y) where their job description did </w:t>
      </w:r>
    </w:p>
    <w:p w14:paraId="1850274B" w14:textId="77777777" w:rsidR="00347723" w:rsidRDefault="00347723" w:rsidP="00347723">
      <w:pPr>
        <w:pStyle w:val="NoSpacing"/>
      </w:pPr>
      <w:r w:rsidRPr="00246642">
        <w:t xml:space="preserve">not </w:t>
      </w:r>
      <w:r>
        <w:t>‘</w:t>
      </w:r>
      <w:r w:rsidRPr="00246642">
        <w:t>refer[ ] to any role with respect to fire protection or fire suppression.</w:t>
      </w:r>
      <w:r>
        <w:t>’</w:t>
      </w:r>
      <w:r w:rsidRPr="00246642">
        <w:t>).</w:t>
      </w:r>
      <w:r>
        <w:t>”</w:t>
      </w:r>
    </w:p>
    <w:p w14:paraId="56003845" w14:textId="77777777" w:rsidR="00347723" w:rsidRDefault="00347723" w:rsidP="00347723">
      <w:pPr>
        <w:pStyle w:val="NoSpacing"/>
      </w:pPr>
    </w:p>
    <w:p w14:paraId="617B889B" w14:textId="77777777" w:rsidR="00347723" w:rsidRPr="00246642" w:rsidRDefault="00347723" w:rsidP="00347723">
      <w:pPr>
        <w:pStyle w:val="NoSpacing"/>
        <w:rPr>
          <w:b/>
          <w:bCs/>
        </w:rPr>
      </w:pPr>
      <w:r w:rsidRPr="006230AC">
        <w:rPr>
          <w:b/>
        </w:rPr>
        <w:t xml:space="preserve">Legal lesson learned: </w:t>
      </w:r>
      <w:r>
        <w:rPr>
          <w:b/>
        </w:rPr>
        <w:t xml:space="preserve">To avoid similar litigation, job descriptions should clearly include EMS role in fire suppression; also consider having EMS on occasion participate in fire suppression (at least overhaul while wearing SCBA). </w:t>
      </w:r>
    </w:p>
    <w:p w14:paraId="5B347E78" w14:textId="77777777" w:rsidR="00347723" w:rsidRPr="00B0183E" w:rsidRDefault="00347723" w:rsidP="00347723">
      <w:pPr>
        <w:pStyle w:val="NoSpacing"/>
      </w:pPr>
    </w:p>
    <w:p w14:paraId="480CA4E9" w14:textId="77777777" w:rsidR="00084E13" w:rsidRDefault="00084E13" w:rsidP="00020106">
      <w:pPr>
        <w:rPr>
          <w:rFonts w:ascii="Arial Black" w:hAnsi="Arial Black"/>
          <w:b/>
          <w:sz w:val="24"/>
          <w:szCs w:val="24"/>
        </w:rPr>
      </w:pPr>
    </w:p>
    <w:p w14:paraId="43FDC4F8" w14:textId="77777777" w:rsidR="00084E13" w:rsidRDefault="00084E13" w:rsidP="00020106">
      <w:pPr>
        <w:rPr>
          <w:rFonts w:ascii="Arial Black" w:hAnsi="Arial Black"/>
          <w:b/>
          <w:sz w:val="24"/>
          <w:szCs w:val="24"/>
        </w:rPr>
      </w:pPr>
    </w:p>
    <w:p w14:paraId="62B1E71F" w14:textId="77777777" w:rsidR="00084E13" w:rsidRDefault="00084E13" w:rsidP="00020106">
      <w:pPr>
        <w:rPr>
          <w:rFonts w:ascii="Arial Black" w:hAnsi="Arial Black"/>
          <w:b/>
          <w:sz w:val="24"/>
          <w:szCs w:val="24"/>
        </w:rPr>
      </w:pPr>
    </w:p>
    <w:p w14:paraId="2DB092AC" w14:textId="797A44E4" w:rsidR="0077176C" w:rsidRDefault="0077176C" w:rsidP="00020106">
      <w:pPr>
        <w:rPr>
          <w:rFonts w:ascii="Arial Black" w:hAnsi="Arial Black"/>
          <w:b/>
          <w:sz w:val="24"/>
          <w:szCs w:val="24"/>
        </w:rPr>
      </w:pPr>
      <w:r>
        <w:rPr>
          <w:rFonts w:ascii="Arial Black" w:hAnsi="Arial Black"/>
          <w:b/>
          <w:sz w:val="24"/>
          <w:szCs w:val="24"/>
        </w:rPr>
        <w:t>11-67</w:t>
      </w:r>
    </w:p>
    <w:p w14:paraId="13510ED9" w14:textId="77777777" w:rsidR="0077176C" w:rsidRDefault="0077176C" w:rsidP="0077176C">
      <w:pPr>
        <w:pStyle w:val="NoSpacing"/>
        <w:rPr>
          <w:rFonts w:ascii="Arial Black" w:hAnsi="Arial Black"/>
          <w:b/>
          <w:sz w:val="28"/>
          <w:szCs w:val="28"/>
        </w:rPr>
      </w:pPr>
      <w:r>
        <w:rPr>
          <w:rFonts w:ascii="Arial Black" w:hAnsi="Arial Black"/>
          <w:b/>
          <w:sz w:val="28"/>
          <w:szCs w:val="28"/>
        </w:rPr>
        <w:t>GA: DEATH INVEST. - NOT EXEMPT AS “ADMINISTRATIVE”</w:t>
      </w:r>
    </w:p>
    <w:p w14:paraId="27B35C19" w14:textId="77777777" w:rsidR="0077176C" w:rsidRDefault="0077176C" w:rsidP="0077176C">
      <w:pPr>
        <w:pStyle w:val="NoSpacing"/>
        <w:rPr>
          <w:rFonts w:ascii="Arial Black" w:hAnsi="Arial Black"/>
          <w:b/>
          <w:sz w:val="28"/>
          <w:szCs w:val="28"/>
        </w:rPr>
      </w:pPr>
    </w:p>
    <w:p w14:paraId="26E0E694" w14:textId="77777777" w:rsidR="0077176C" w:rsidRPr="006D4C67" w:rsidRDefault="0077176C" w:rsidP="0077176C">
      <w:pPr>
        <w:pStyle w:val="NoSpacing"/>
        <w:rPr>
          <w:bCs/>
        </w:rPr>
      </w:pPr>
      <w:r w:rsidRPr="006D4C67">
        <w:t xml:space="preserve">On February 10, 2026, in </w:t>
      </w:r>
      <w:r w:rsidRPr="006D4C67">
        <w:rPr>
          <w:u w:val="single"/>
        </w:rPr>
        <w:t>Robert Bumgardne, et al. v. Forensic Pathology Services, P.C</w:t>
      </w:r>
      <w:r>
        <w:rPr>
          <w:u w:val="single"/>
        </w:rPr>
        <w:t xml:space="preserve">, and </w:t>
      </w:r>
      <w:r w:rsidRPr="006D4C67">
        <w:rPr>
          <w:u w:val="single"/>
        </w:rPr>
        <w:t>Carol A. Terry, M.D</w:t>
      </w:r>
      <w:r w:rsidRPr="006D4C67">
        <w:t>., the United States Court of Appeals, Eleventh Circuit</w:t>
      </w:r>
      <w:r>
        <w:t xml:space="preserve"> (Atlanta) held (3 to 0; unpublished decision) that six former forensic death investigators at FPS were entitled to overtime; they did not meet the “administrative” employee exemption. </w:t>
      </w:r>
      <w:hyperlink r:id="rId1684" w:history="1">
        <w:r w:rsidRPr="00E5297F">
          <w:rPr>
            <w:rStyle w:val="Hyperlink"/>
          </w:rPr>
          <w:t>https://cases.justia.com/federal/appellate-courts/ca11/25-10673/25-10673-2026-02-10.pdf?ts=1770737597</w:t>
        </w:r>
      </w:hyperlink>
      <w:r>
        <w:t xml:space="preserve"> </w:t>
      </w:r>
    </w:p>
    <w:p w14:paraId="1CFA77C9" w14:textId="77777777" w:rsidR="0077176C" w:rsidRPr="006D4C67" w:rsidRDefault="0077176C" w:rsidP="0077176C">
      <w:pPr>
        <w:pStyle w:val="NoSpacing"/>
        <w:rPr>
          <w:bCs/>
        </w:rPr>
      </w:pPr>
    </w:p>
    <w:p w14:paraId="4FD22074" w14:textId="77777777" w:rsidR="0077176C" w:rsidRDefault="0077176C" w:rsidP="0077176C">
      <w:pPr>
        <w:pStyle w:val="NoSpacing"/>
        <w:rPr>
          <w:bCs/>
        </w:rPr>
      </w:pPr>
      <w:r w:rsidRPr="00046CDA">
        <w:t xml:space="preserve">THE COURT HELD: </w:t>
      </w:r>
      <w:r>
        <w:t xml:space="preserve"> “</w:t>
      </w:r>
      <w:r w:rsidRPr="00C52740">
        <w:t xml:space="preserve">Under the Fair Labor Standards Act (“FLSA”), workers in </w:t>
      </w:r>
    </w:p>
    <w:p w14:paraId="4B33D217" w14:textId="77777777" w:rsidR="0077176C" w:rsidRPr="00C52740" w:rsidRDefault="0077176C" w:rsidP="0077176C">
      <w:pPr>
        <w:pStyle w:val="NoSpacing"/>
        <w:rPr>
          <w:bCs/>
        </w:rPr>
      </w:pPr>
      <w:r w:rsidRPr="00C52740">
        <w:t>ad-</w:t>
      </w:r>
    </w:p>
    <w:p w14:paraId="1E0F8EEE" w14:textId="77777777" w:rsidR="0077176C" w:rsidRPr="00D1403A" w:rsidRDefault="0077176C" w:rsidP="0077176C">
      <w:pPr>
        <w:pStyle w:val="NoSpacing"/>
        <w:rPr>
          <w:bCs/>
        </w:rPr>
      </w:pPr>
      <w:r w:rsidRPr="00C52740">
        <w:t xml:space="preserve">ministrative roles like </w:t>
      </w:r>
      <w:r>
        <w:t>‘</w:t>
      </w:r>
      <w:r w:rsidRPr="00C52740">
        <w:t>legal and regulatory compliance</w:t>
      </w:r>
      <w:r>
        <w:t>’</w:t>
      </w:r>
      <w:r w:rsidRPr="00C52740">
        <w:t xml:space="preserve"> aren’t entitled to extra pay for overtime work. Defendants-Appellees Forensic Pathology Services, P.C. (</w:t>
      </w:r>
      <w:r>
        <w:t>‘</w:t>
      </w:r>
      <w:r w:rsidRPr="00C52740">
        <w:t>FPS</w:t>
      </w:r>
      <w:r>
        <w:t>’</w:t>
      </w:r>
      <w:r w:rsidRPr="00C52740">
        <w:t>), and its CEO, Dr. Carol A.</w:t>
      </w:r>
      <w:r>
        <w:t xml:space="preserve"> </w:t>
      </w:r>
      <w:r w:rsidRPr="00C52740">
        <w:t>Terry, contend that FPS’s forensic death investigators, who investigate unexpected or non-natural deaths in Gwinnett County,</w:t>
      </w:r>
      <w:r>
        <w:t xml:space="preserve"> </w:t>
      </w:r>
      <w:r w:rsidRPr="00C52740">
        <w:t>Georgia, fit this category</w:t>
      </w:r>
      <w:r>
        <w:t xml:space="preserve">…. </w:t>
      </w:r>
      <w:r w:rsidRPr="00563369">
        <w:t>Defendants are mistaken</w:t>
      </w:r>
      <w:r>
        <w:t xml:space="preserve">…. </w:t>
      </w:r>
      <w:r w:rsidRPr="00D1403A">
        <w:t>Plaintiffs-Appellants, six former forensic death investigators</w:t>
      </w:r>
      <w:r>
        <w:t xml:space="preserve"> </w:t>
      </w:r>
      <w:r w:rsidRPr="00D1403A">
        <w:t>at FPS</w:t>
      </w:r>
      <w:r>
        <w:t xml:space="preserve"> …</w:t>
      </w:r>
      <w:r w:rsidRPr="00D1403A">
        <w:t xml:space="preserve"> helped produce FPS’s core </w:t>
      </w:r>
      <w:r>
        <w:t>‘</w:t>
      </w:r>
      <w:r w:rsidRPr="00D1403A">
        <w:t>product</w:t>
      </w:r>
      <w:r>
        <w:t>’</w:t>
      </w:r>
      <w:r w:rsidRPr="00D1403A">
        <w:t xml:space="preserve"> of death-investigation services. FPS and</w:t>
      </w:r>
      <w:r>
        <w:t xml:space="preserve"> </w:t>
      </w:r>
      <w:r w:rsidRPr="00D1403A">
        <w:t>Dr. Terry provide no authority to support their view that if an employee adheres to state law while producing their employer’s core</w:t>
      </w:r>
    </w:p>
    <w:p w14:paraId="55EAFA61" w14:textId="77777777" w:rsidR="0077176C" w:rsidRDefault="0077176C" w:rsidP="0077176C">
      <w:pPr>
        <w:pStyle w:val="NoSpacing"/>
        <w:rPr>
          <w:bCs/>
        </w:rPr>
      </w:pPr>
      <w:r w:rsidRPr="00D1403A">
        <w:t xml:space="preserve">product, that somehow makes their work </w:t>
      </w:r>
      <w:r>
        <w:t>‘</w:t>
      </w:r>
      <w:r w:rsidRPr="00D1403A">
        <w:t>administrative</w:t>
      </w:r>
      <w:r>
        <w:t>’</w:t>
      </w:r>
      <w:r w:rsidRPr="00D1403A">
        <w:t xml:space="preserve"> within</w:t>
      </w:r>
      <w:r>
        <w:t xml:space="preserve"> </w:t>
      </w:r>
      <w:r w:rsidRPr="00D1403A">
        <w:t>the meaning of the FLSA. And if that were so, huge swaths of the</w:t>
      </w:r>
      <w:r>
        <w:t xml:space="preserve"> </w:t>
      </w:r>
      <w:r w:rsidRPr="00D1403A">
        <w:t xml:space="preserve">American workforce would be subject to the FLSA’s </w:t>
      </w:r>
      <w:r>
        <w:t>‘</w:t>
      </w:r>
      <w:r w:rsidRPr="00D1403A">
        <w:t>administrative</w:t>
      </w:r>
      <w:r>
        <w:t>’</w:t>
      </w:r>
      <w:r w:rsidRPr="00D1403A">
        <w:t xml:space="preserve"> exemption, meaning the FLSA’s wage protections would not</w:t>
      </w:r>
      <w:r>
        <w:t xml:space="preserve"> </w:t>
      </w:r>
      <w:r w:rsidRPr="00D1403A">
        <w:t>apply to them.</w:t>
      </w:r>
      <w:r>
        <w:t>”</w:t>
      </w:r>
    </w:p>
    <w:p w14:paraId="329444BD" w14:textId="77777777" w:rsidR="0077176C" w:rsidRDefault="0077176C" w:rsidP="0077176C">
      <w:pPr>
        <w:pStyle w:val="NoSpacing"/>
        <w:rPr>
          <w:bCs/>
        </w:rPr>
      </w:pPr>
    </w:p>
    <w:p w14:paraId="7D1DD6E8" w14:textId="77777777" w:rsidR="0077176C" w:rsidRPr="000A038E" w:rsidRDefault="0077176C" w:rsidP="0077176C">
      <w:pPr>
        <w:pStyle w:val="NoSpacing"/>
        <w:rPr>
          <w:b/>
        </w:rPr>
      </w:pPr>
      <w:r w:rsidRPr="000A038E">
        <w:rPr>
          <w:b/>
        </w:rPr>
        <w:t xml:space="preserve">Legal Lesson Learned: “Administrative” exemption applies to very few in Fire &amp; EMS. </w:t>
      </w:r>
    </w:p>
    <w:p w14:paraId="7CCA70B9" w14:textId="77777777" w:rsidR="0077176C" w:rsidRDefault="0077176C" w:rsidP="0077176C">
      <w:pPr>
        <w:pStyle w:val="NoSpacing"/>
        <w:rPr>
          <w:bCs/>
        </w:rPr>
      </w:pPr>
    </w:p>
    <w:p w14:paraId="7D535F84" w14:textId="77777777" w:rsidR="0077176C" w:rsidRPr="005E4175" w:rsidRDefault="0077176C" w:rsidP="0077176C">
      <w:pPr>
        <w:pStyle w:val="NoSpacing"/>
        <w:ind w:left="720"/>
        <w:rPr>
          <w:bCs/>
        </w:rPr>
      </w:pPr>
      <w:r>
        <w:t xml:space="preserve">Note: </w:t>
      </w:r>
      <w:r w:rsidRPr="005E4175">
        <w:t xml:space="preserve">See August 2024, U.S. Department of Labor </w:t>
      </w:r>
      <w:r>
        <w:t>–</w:t>
      </w:r>
      <w:r w:rsidRPr="005E4175">
        <w:t xml:space="preserve"> Fact Sheet #17C: Exemption for Administrative Employees Under the Fair Labor Standards Act (FLSA)</w:t>
      </w:r>
      <w:r>
        <w:t xml:space="preserve">. </w:t>
      </w:r>
      <w:hyperlink r:id="rId1685" w:history="1">
        <w:r w:rsidRPr="00E5297F">
          <w:rPr>
            <w:rStyle w:val="Hyperlink"/>
          </w:rPr>
          <w:t>https://www.dol.gov/agencies/whd/fact-sheets/17c-overtime-administrative</w:t>
        </w:r>
      </w:hyperlink>
      <w:r>
        <w:t xml:space="preserve"> </w:t>
      </w:r>
    </w:p>
    <w:p w14:paraId="028443F7" w14:textId="77777777" w:rsidR="0077176C" w:rsidRDefault="0077176C" w:rsidP="0077176C">
      <w:pPr>
        <w:pStyle w:val="NoSpacing"/>
        <w:rPr>
          <w:bCs/>
        </w:rPr>
      </w:pPr>
    </w:p>
    <w:p w14:paraId="27301BB2" w14:textId="77777777" w:rsidR="0077176C" w:rsidRDefault="0077176C" w:rsidP="0077176C">
      <w:pPr>
        <w:pStyle w:val="NoSpacing"/>
        <w:ind w:left="720"/>
      </w:pPr>
      <w:r>
        <w:t>“</w:t>
      </w:r>
      <w:r w:rsidRPr="00C352A2">
        <w:t>The employee's primary duty must be the performance of office or non-manual work directly related to the management or general business operations of the employer or the employer's customers; and</w:t>
      </w:r>
      <w:r>
        <w:t xml:space="preserve"> t</w:t>
      </w:r>
      <w:r w:rsidRPr="007E7C57">
        <w:t>he employee's primary duty includes the exercise of discretion and independent judgment with respect to matters of significance.</w:t>
      </w:r>
      <w:r>
        <w:t>”</w:t>
      </w:r>
    </w:p>
    <w:p w14:paraId="7BA341A5" w14:textId="77777777" w:rsidR="0077176C" w:rsidRDefault="0077176C" w:rsidP="0077176C">
      <w:pPr>
        <w:pStyle w:val="NoSpacing"/>
        <w:ind w:left="720"/>
      </w:pPr>
    </w:p>
    <w:p w14:paraId="411A60CF" w14:textId="77777777" w:rsidR="0077176C" w:rsidRDefault="0077176C" w:rsidP="0077176C">
      <w:pPr>
        <w:pStyle w:val="NoSpacing"/>
      </w:pPr>
    </w:p>
    <w:p w14:paraId="4C3169A3" w14:textId="77777777" w:rsidR="0077176C" w:rsidRDefault="0077176C" w:rsidP="00020106">
      <w:pPr>
        <w:rPr>
          <w:rFonts w:ascii="Arial Black" w:hAnsi="Arial Black"/>
          <w:b/>
          <w:sz w:val="24"/>
          <w:szCs w:val="24"/>
        </w:rPr>
      </w:pPr>
    </w:p>
    <w:p w14:paraId="7F660D02" w14:textId="250B008B" w:rsidR="0077176C" w:rsidRDefault="00D610F1" w:rsidP="00020106">
      <w:pPr>
        <w:rPr>
          <w:rFonts w:ascii="Arial Black" w:hAnsi="Arial Black"/>
          <w:b/>
          <w:sz w:val="24"/>
          <w:szCs w:val="24"/>
        </w:rPr>
      </w:pPr>
      <w:r>
        <w:rPr>
          <w:rFonts w:ascii="Arial Black" w:hAnsi="Arial Black"/>
          <w:b/>
          <w:sz w:val="24"/>
          <w:szCs w:val="24"/>
        </w:rPr>
        <w:t>11-66</w:t>
      </w:r>
    </w:p>
    <w:p w14:paraId="29B057B8" w14:textId="77777777" w:rsidR="00D610F1" w:rsidRDefault="00D610F1" w:rsidP="00020106">
      <w:pPr>
        <w:rPr>
          <w:rFonts w:ascii="Arial Black" w:hAnsi="Arial Black"/>
          <w:b/>
          <w:sz w:val="24"/>
          <w:szCs w:val="24"/>
        </w:rPr>
      </w:pPr>
    </w:p>
    <w:p w14:paraId="28B3F374" w14:textId="77777777" w:rsidR="00D610F1" w:rsidRPr="00EA49C0" w:rsidRDefault="00D610F1" w:rsidP="00D610F1">
      <w:pPr>
        <w:pStyle w:val="NoSpacing"/>
        <w:rPr>
          <w:rFonts w:ascii="Arial Black" w:hAnsi="Arial Black"/>
          <w:bCs/>
          <w:sz w:val="28"/>
          <w:szCs w:val="28"/>
        </w:rPr>
      </w:pPr>
      <w:r>
        <w:rPr>
          <w:rFonts w:ascii="Arial Black" w:hAnsi="Arial Black"/>
          <w:sz w:val="28"/>
          <w:szCs w:val="28"/>
        </w:rPr>
        <w:t>DC: FED. EMPLOYEE – OT MUST BE APPROVED “IN WRITING”</w:t>
      </w:r>
    </w:p>
    <w:p w14:paraId="1A8F82C2" w14:textId="77777777" w:rsidR="00D610F1" w:rsidRDefault="00D610F1" w:rsidP="00D610F1">
      <w:pPr>
        <w:pStyle w:val="NoSpacing"/>
        <w:rPr>
          <w:bCs/>
        </w:rPr>
      </w:pPr>
    </w:p>
    <w:p w14:paraId="0E98093F" w14:textId="77777777" w:rsidR="00D610F1" w:rsidRDefault="00D610F1" w:rsidP="00D610F1">
      <w:pPr>
        <w:pStyle w:val="NoSpacing"/>
        <w:rPr>
          <w:bCs/>
        </w:rPr>
      </w:pPr>
      <w:r>
        <w:t xml:space="preserve">On December 12, 2025, in </w:t>
      </w:r>
      <w:r w:rsidRPr="00C600B3">
        <w:rPr>
          <w:u w:val="single"/>
        </w:rPr>
        <w:t>Jillian Lesko v. United States</w:t>
      </w:r>
      <w:r>
        <w:t xml:space="preserve">, the </w:t>
      </w:r>
      <w:r w:rsidRPr="00CD346A">
        <w:t>United States Court of Appeals, Federal Circuit</w:t>
      </w:r>
      <w:r>
        <w:t xml:space="preserve">, Washington, D.C., held (7 to 4; </w:t>
      </w:r>
      <w:proofErr w:type="spellStart"/>
      <w:r>
        <w:t>en</w:t>
      </w:r>
      <w:proofErr w:type="spellEnd"/>
      <w:r>
        <w:t xml:space="preserve"> banc decision by all judges on the Court) that </w:t>
      </w:r>
      <w:r w:rsidRPr="005B55D9">
        <w:t>Ms. Lesko</w:t>
      </w:r>
      <w:r>
        <w:t xml:space="preserve">. </w:t>
      </w:r>
      <w:r w:rsidRPr="005B55D9">
        <w:t>a registered nurse for the Indian Health Service (IHS) for eight months during the COVID-19 pandemic</w:t>
      </w:r>
      <w:r>
        <w:t xml:space="preserve">, who worked very long days, was not entitled to overtime pay since Office of Personnel Management regulations requires that overtime be first </w:t>
      </w:r>
      <w:r w:rsidRPr="00602BD8">
        <w:rPr>
          <w:i/>
          <w:iCs/>
        </w:rPr>
        <w:t>ordered or approved only in writing</w:t>
      </w:r>
      <w:r w:rsidRPr="00602BD8">
        <w:t xml:space="preserve"> by an officer or employee to whom this authority has been specifically delegated.</w:t>
      </w:r>
      <w:r>
        <w:t xml:space="preserve"> </w:t>
      </w:r>
      <w:r w:rsidRPr="00602BD8">
        <w:t>5 C.F.R. § 550.111(c) (hereafter, overtime regulation).</w:t>
      </w:r>
      <w:r>
        <w:t xml:space="preserve"> </w:t>
      </w:r>
      <w:hyperlink r:id="rId1686" w:history="1">
        <w:r w:rsidRPr="00E759FB">
          <w:rPr>
            <w:rStyle w:val="Hyperlink"/>
          </w:rPr>
          <w:t>https://www.cafc.uscourts.gov/opinions-orders/23-1823.OPINION.12-12-2025_2618923.pdf</w:t>
        </w:r>
      </w:hyperlink>
      <w:r w:rsidRPr="00E759FB">
        <w:t xml:space="preserve"> </w:t>
      </w:r>
    </w:p>
    <w:p w14:paraId="79A77546" w14:textId="77777777" w:rsidR="00D610F1" w:rsidRDefault="00D610F1" w:rsidP="00D610F1">
      <w:pPr>
        <w:pStyle w:val="NoSpacing"/>
        <w:rPr>
          <w:bCs/>
        </w:rPr>
      </w:pPr>
    </w:p>
    <w:p w14:paraId="284AF1E5" w14:textId="77777777" w:rsidR="00D610F1" w:rsidRPr="00602BD8" w:rsidRDefault="00D610F1" w:rsidP="00D610F1">
      <w:pPr>
        <w:pStyle w:val="NoSpacing"/>
        <w:rPr>
          <w:bCs/>
        </w:rPr>
      </w:pPr>
      <w:r>
        <w:lastRenderedPageBreak/>
        <w:t xml:space="preserve">THE COURT HELD:  </w:t>
      </w:r>
      <w:r w:rsidRPr="005B55D9">
        <w:t>Ms. Lesko worked as a registered nurse for the Indian Health Service (IHS) for eight months during the COVID-19 pandemic</w:t>
      </w:r>
      <w:r>
        <w:t>….</w:t>
      </w:r>
      <w:r w:rsidRPr="005B55D9">
        <w:t xml:space="preserve"> During this time, she alleges nurses </w:t>
      </w:r>
      <w:r>
        <w:t>‘</w:t>
      </w:r>
      <w:r w:rsidRPr="005B55D9">
        <w:t>were stretched to their limits</w:t>
      </w:r>
      <w:r>
        <w:t>’</w:t>
      </w:r>
      <w:r w:rsidRPr="005B55D9">
        <w:t xml:space="preserve"> and </w:t>
      </w:r>
      <w:r>
        <w:t>‘</w:t>
      </w:r>
      <w:r w:rsidRPr="005B55D9">
        <w:t>[s]</w:t>
      </w:r>
      <w:proofErr w:type="spellStart"/>
      <w:r w:rsidRPr="005B55D9">
        <w:t>upervisors</w:t>
      </w:r>
      <w:proofErr w:type="spellEnd"/>
      <w:r w:rsidRPr="005B55D9">
        <w:t xml:space="preserve"> and managers regularly and routinely required nurses to stay after hours and work without compensation to meet the patient demands.</w:t>
      </w:r>
      <w:r>
        <w:t>’</w:t>
      </w:r>
      <w:r w:rsidRPr="005B55D9">
        <w:t xml:space="preserve"> J.A. 82 ¶ 42. After resigning from IHS, Ms. Lesko filed a complaint for a class action suit, which she amended after the Government moved to dismiss it</w:t>
      </w:r>
      <w:r>
        <w:t xml:space="preserve">…. </w:t>
      </w:r>
      <w:r w:rsidRPr="00A80574">
        <w:t>The</w:t>
      </w:r>
      <w:r>
        <w:t xml:space="preserve"> </w:t>
      </w:r>
      <w:r w:rsidRPr="00A80574">
        <w:t>Court of Federal Claims granted the motion and dismissed</w:t>
      </w:r>
      <w:r>
        <w:t xml:space="preserve"> </w:t>
      </w:r>
      <w:r w:rsidRPr="00A80574">
        <w:t>all counts</w:t>
      </w:r>
      <w:r>
        <w:t xml:space="preserve">…. </w:t>
      </w:r>
      <w:r w:rsidRPr="00F54BA4">
        <w:t>In relevant part, the statute and regulation governing</w:t>
      </w:r>
      <w:r>
        <w:t xml:space="preserve"> </w:t>
      </w:r>
      <w:r w:rsidRPr="00F54BA4">
        <w:t>overtime pay for federal employees have existed for eighty</w:t>
      </w:r>
      <w:r>
        <w:t xml:space="preserve"> </w:t>
      </w:r>
      <w:r w:rsidRPr="00F54BA4">
        <w:t>years.</w:t>
      </w:r>
      <w:r>
        <w:t xml:space="preserve"> </w:t>
      </w:r>
      <w:r w:rsidRPr="00D26584">
        <w:t>On July 4, 1945—four days after Congress enacted</w:t>
      </w:r>
      <w:r>
        <w:t xml:space="preserve"> </w:t>
      </w:r>
      <w:r w:rsidRPr="00D26584">
        <w:t>FEPA</w:t>
      </w:r>
      <w:r>
        <w:t xml:space="preserve"> [F</w:t>
      </w:r>
      <w:r w:rsidRPr="006F564E">
        <w:t>ederal Employees Pay Act of 1945</w:t>
      </w:r>
      <w:r>
        <w:t>]</w:t>
      </w:r>
      <w:r w:rsidRPr="00D26584">
        <w:t>—the Civil Service Commission promulgated regulations, approved by the President, to implement the Act</w:t>
      </w:r>
      <w:r>
        <w:t xml:space="preserve">…. </w:t>
      </w:r>
      <w:r w:rsidRPr="00602BD8">
        <w:t>The present regulatory language implementing the writing requirement, now codified at 5 C.F.R. § 550.111(c), has undergone additional amendments since recodification but, as relevant to this appeal, it contains the same operative language as the originally promulgated regulation:</w:t>
      </w:r>
    </w:p>
    <w:p w14:paraId="5E2EB495" w14:textId="77777777" w:rsidR="00D610F1" w:rsidRPr="00602BD8" w:rsidRDefault="00D610F1" w:rsidP="00D610F1">
      <w:pPr>
        <w:pStyle w:val="NoSpacing"/>
        <w:rPr>
          <w:bCs/>
        </w:rPr>
      </w:pPr>
      <w:r w:rsidRPr="00602BD8">
        <w:t xml:space="preserve">Overtime work </w:t>
      </w:r>
      <w:proofErr w:type="gramStart"/>
      <w:r w:rsidRPr="00602BD8">
        <w:t>in excess of</w:t>
      </w:r>
      <w:proofErr w:type="gramEnd"/>
      <w:r w:rsidRPr="00602BD8">
        <w:t xml:space="preserve"> any included in a regularly scheduled administrative </w:t>
      </w:r>
      <w:proofErr w:type="gramStart"/>
      <w:r w:rsidRPr="00602BD8">
        <w:t>workweek</w:t>
      </w:r>
      <w:proofErr w:type="gramEnd"/>
      <w:r w:rsidRPr="00602BD8">
        <w:t xml:space="preserve"> may be </w:t>
      </w:r>
      <w:r w:rsidRPr="00602BD8">
        <w:rPr>
          <w:i/>
          <w:iCs/>
        </w:rPr>
        <w:t>ordered or approved only in writing</w:t>
      </w:r>
      <w:r w:rsidRPr="00602BD8">
        <w:t xml:space="preserve"> by an officer or employee to whom this authority has been specifically delegated.</w:t>
      </w:r>
      <w:r>
        <w:t xml:space="preserve"> </w:t>
      </w:r>
      <w:r w:rsidRPr="00602BD8">
        <w:t>5 C.F.R. § 550.111(c) (hereafter, overtime regulation).</w:t>
      </w:r>
      <w:r>
        <w:t>”</w:t>
      </w:r>
    </w:p>
    <w:p w14:paraId="40D2A287" w14:textId="77777777" w:rsidR="00D610F1" w:rsidRDefault="00D610F1" w:rsidP="00D610F1">
      <w:pPr>
        <w:pStyle w:val="NoSpacing"/>
        <w:rPr>
          <w:bCs/>
        </w:rPr>
      </w:pPr>
    </w:p>
    <w:p w14:paraId="6BB1EC2F" w14:textId="77777777" w:rsidR="00D610F1" w:rsidRPr="00602BD8" w:rsidRDefault="00D610F1" w:rsidP="00D610F1">
      <w:pPr>
        <w:pStyle w:val="NoSpacing"/>
        <w:rPr>
          <w:b/>
        </w:rPr>
      </w:pPr>
      <w:r w:rsidRPr="006F564E">
        <w:rPr>
          <w:b/>
        </w:rPr>
        <w:t xml:space="preserve">Legal lesson learned: </w:t>
      </w:r>
      <w:r w:rsidRPr="006564B7">
        <w:rPr>
          <w:b/>
        </w:rPr>
        <w:t xml:space="preserve">The Office of Personnel Management regulations control; but it seems unfair that the Indian Health Service </w:t>
      </w:r>
      <w:r>
        <w:rPr>
          <w:b/>
        </w:rPr>
        <w:t xml:space="preserve">(or any other federal agency) </w:t>
      </w:r>
      <w:r w:rsidRPr="006564B7">
        <w:rPr>
          <w:b/>
        </w:rPr>
        <w:t xml:space="preserve">would allow work beyond 80 hours, but then not pay time and half. </w:t>
      </w:r>
    </w:p>
    <w:p w14:paraId="23BEAA6E" w14:textId="77777777" w:rsidR="00D610F1" w:rsidRPr="00E759FB" w:rsidRDefault="00D610F1" w:rsidP="00D610F1">
      <w:pPr>
        <w:pStyle w:val="NoSpacing"/>
        <w:rPr>
          <w:bCs/>
        </w:rPr>
      </w:pPr>
    </w:p>
    <w:p w14:paraId="649D1267" w14:textId="77777777" w:rsidR="00D610F1" w:rsidRPr="004C2FD6" w:rsidRDefault="00D610F1" w:rsidP="00D610F1">
      <w:pPr>
        <w:pStyle w:val="NoSpacing"/>
        <w:rPr>
          <w:bCs/>
        </w:rPr>
      </w:pPr>
      <w:r>
        <w:tab/>
        <w:t xml:space="preserve">Note: Four Dissenting Judges: </w:t>
      </w:r>
      <w:r w:rsidRPr="004C2FD6">
        <w:t>STOLL, Circuit Judge, dissenting, with whom Circuit</w:t>
      </w:r>
    </w:p>
    <w:p w14:paraId="78D7EE74" w14:textId="77777777" w:rsidR="00D610F1" w:rsidRDefault="00D610F1" w:rsidP="00D610F1">
      <w:pPr>
        <w:pStyle w:val="NoSpacing"/>
        <w:ind w:firstLine="720"/>
        <w:rPr>
          <w:bCs/>
        </w:rPr>
      </w:pPr>
      <w:r w:rsidRPr="004C2FD6">
        <w:t>Judges REYNA , CUNNINGHAM, and S TARK join</w:t>
      </w:r>
      <w:r>
        <w:t>.</w:t>
      </w:r>
    </w:p>
    <w:p w14:paraId="0EE3CDB5" w14:textId="77777777" w:rsidR="00D610F1" w:rsidRPr="00CD346A" w:rsidRDefault="00D610F1" w:rsidP="00D610F1">
      <w:pPr>
        <w:pStyle w:val="NoSpacing"/>
        <w:ind w:firstLine="720"/>
        <w:rPr>
          <w:bCs/>
        </w:rPr>
      </w:pPr>
      <w:r>
        <w:t>“</w:t>
      </w:r>
      <w:r w:rsidRPr="00821EA4">
        <w:t>In sum, it is up to Congress, not OPM, to impose a writing requirement.</w:t>
      </w:r>
      <w:r>
        <w:t>”</w:t>
      </w:r>
    </w:p>
    <w:p w14:paraId="54574C14" w14:textId="77777777" w:rsidR="00D610F1" w:rsidRDefault="00D610F1" w:rsidP="00D610F1">
      <w:pPr>
        <w:pStyle w:val="NoSpacing"/>
        <w:rPr>
          <w:bCs/>
        </w:rPr>
      </w:pPr>
    </w:p>
    <w:p w14:paraId="4B62CF35" w14:textId="77777777" w:rsidR="00D610F1" w:rsidRDefault="00D610F1" w:rsidP="00020106">
      <w:pPr>
        <w:rPr>
          <w:rFonts w:ascii="Arial Black" w:hAnsi="Arial Black"/>
          <w:b/>
          <w:sz w:val="24"/>
          <w:szCs w:val="24"/>
        </w:rPr>
      </w:pPr>
    </w:p>
    <w:p w14:paraId="5B93633E" w14:textId="77777777" w:rsidR="0077176C" w:rsidRDefault="0077176C" w:rsidP="00020106">
      <w:pPr>
        <w:rPr>
          <w:rFonts w:ascii="Arial Black" w:hAnsi="Arial Black"/>
          <w:b/>
          <w:sz w:val="24"/>
          <w:szCs w:val="24"/>
        </w:rPr>
      </w:pPr>
    </w:p>
    <w:p w14:paraId="4ECC3647" w14:textId="77777777" w:rsidR="0077176C" w:rsidRDefault="0077176C" w:rsidP="00020106">
      <w:pPr>
        <w:rPr>
          <w:rFonts w:ascii="Arial Black" w:hAnsi="Arial Black"/>
          <w:b/>
          <w:sz w:val="24"/>
          <w:szCs w:val="24"/>
        </w:rPr>
      </w:pPr>
    </w:p>
    <w:p w14:paraId="5C9A1B17" w14:textId="405317FE" w:rsidR="008626B6" w:rsidRDefault="008626B6" w:rsidP="00020106">
      <w:pPr>
        <w:rPr>
          <w:rFonts w:ascii="Arial Black" w:hAnsi="Arial Black"/>
          <w:b/>
          <w:sz w:val="24"/>
          <w:szCs w:val="24"/>
        </w:rPr>
      </w:pPr>
      <w:r>
        <w:rPr>
          <w:rFonts w:ascii="Arial Black" w:hAnsi="Arial Black"/>
          <w:b/>
          <w:sz w:val="24"/>
          <w:szCs w:val="24"/>
        </w:rPr>
        <w:t>11-65</w:t>
      </w:r>
    </w:p>
    <w:p w14:paraId="71AEEFA7" w14:textId="1BB09CB9" w:rsidR="005F4889" w:rsidRDefault="005F4889" w:rsidP="005F4889">
      <w:pPr>
        <w:pStyle w:val="NoSpacing"/>
        <w:rPr>
          <w:rFonts w:ascii="Arial Black" w:hAnsi="Arial Black"/>
          <w:sz w:val="28"/>
          <w:szCs w:val="28"/>
        </w:rPr>
      </w:pPr>
      <w:r>
        <w:rPr>
          <w:rFonts w:ascii="Arial Black" w:hAnsi="Arial Black"/>
          <w:sz w:val="28"/>
          <w:szCs w:val="28"/>
        </w:rPr>
        <w:t>VA: B</w:t>
      </w:r>
      <w:r w:rsidR="0018059E">
        <w:rPr>
          <w:rFonts w:ascii="Arial Black" w:hAnsi="Arial Black"/>
          <w:sz w:val="28"/>
          <w:szCs w:val="28"/>
        </w:rPr>
        <w:t>ATTALION CHIEF</w:t>
      </w:r>
      <w:r w:rsidR="007B72B3">
        <w:rPr>
          <w:rFonts w:ascii="Arial Black" w:hAnsi="Arial Black"/>
          <w:sz w:val="28"/>
          <w:szCs w:val="28"/>
        </w:rPr>
        <w:t>S</w:t>
      </w:r>
      <w:r w:rsidR="0018059E">
        <w:rPr>
          <w:rFonts w:ascii="Arial Black" w:hAnsi="Arial Black"/>
          <w:sz w:val="28"/>
          <w:szCs w:val="28"/>
        </w:rPr>
        <w:t xml:space="preserve"> </w:t>
      </w:r>
      <w:r>
        <w:rPr>
          <w:rFonts w:ascii="Arial Black" w:hAnsi="Arial Black"/>
          <w:sz w:val="28"/>
          <w:szCs w:val="28"/>
        </w:rPr>
        <w:t>PAID A FIXED SALARY – EXEMPT POSITION</w:t>
      </w:r>
    </w:p>
    <w:p w14:paraId="5F2CCBB5" w14:textId="77777777" w:rsidR="005F4889" w:rsidRDefault="005F4889" w:rsidP="005F4889">
      <w:pPr>
        <w:pStyle w:val="NoSpacing"/>
        <w:rPr>
          <w:rFonts w:ascii="Arial Black" w:hAnsi="Arial Black"/>
          <w:sz w:val="28"/>
          <w:szCs w:val="28"/>
        </w:rPr>
      </w:pPr>
    </w:p>
    <w:p w14:paraId="548FCA46" w14:textId="77777777" w:rsidR="005F4889" w:rsidRDefault="005F4889" w:rsidP="005F4889">
      <w:pPr>
        <w:pStyle w:val="NoSpacing"/>
      </w:pPr>
      <w:r w:rsidRPr="0012387F">
        <w:t xml:space="preserve">On </w:t>
      </w:r>
      <w:r>
        <w:t xml:space="preserve">December 31, 2025, in </w:t>
      </w:r>
      <w:r w:rsidRPr="000F3254">
        <w:rPr>
          <w:u w:val="single"/>
        </w:rPr>
        <w:t>Anthony Kelley, et al. v. The City of Alexandria</w:t>
      </w:r>
      <w:r>
        <w:t xml:space="preserve">, the United States Court of Appeals for the Fourth Circuit (Richmond, VA) held (3 to 0) that Battalion Chiefs are not entitled to overtime pay as “white collar” employees; they are guaranteed a salary payment regardless of hours worked. </w:t>
      </w:r>
      <w:r w:rsidRPr="002D02AF">
        <w:t>Although the City assigned each chief an annual salary, it converted that salary into hourly rates for payroll purposes.</w:t>
      </w:r>
      <w:r>
        <w:t xml:space="preserve">  When they work </w:t>
      </w:r>
      <w:r w:rsidRPr="007846E5">
        <w:t>off</w:t>
      </w:r>
      <w:r>
        <w:t xml:space="preserve">-schedule hours, they are paid at the chief’s hourly rate. If they don’t work a scheduled shift, the </w:t>
      </w:r>
      <w:proofErr w:type="gramStart"/>
      <w:r>
        <w:t>City</w:t>
      </w:r>
      <w:proofErr w:type="gramEnd"/>
      <w:r>
        <w:t xml:space="preserve"> properly deducts those hours from their paid leave balance.  The fight in this case is about this last category of hours. When an employee is paid weekly (or on a less frequent basis) then exemption in 29 C.F.R. § 541.602(b) applies.</w:t>
      </w:r>
    </w:p>
    <w:p w14:paraId="2B4FD25F" w14:textId="77777777" w:rsidR="005F4889" w:rsidRDefault="005F4889" w:rsidP="005F4889">
      <w:pPr>
        <w:pStyle w:val="NoSpacing"/>
      </w:pPr>
      <w:r>
        <w:t xml:space="preserve"> </w:t>
      </w:r>
      <w:hyperlink r:id="rId1687" w:history="1">
        <w:r w:rsidRPr="00EB1520">
          <w:rPr>
            <w:rStyle w:val="Hyperlink"/>
          </w:rPr>
          <w:t>https://www.ca4.uscourts.gov/opinions/231752.P.pdf</w:t>
        </w:r>
      </w:hyperlink>
      <w:r>
        <w:t xml:space="preserve"> </w:t>
      </w:r>
    </w:p>
    <w:p w14:paraId="3046526A" w14:textId="77777777" w:rsidR="005F4889" w:rsidRDefault="005F4889" w:rsidP="005F4889">
      <w:pPr>
        <w:pStyle w:val="NoSpacing"/>
      </w:pPr>
    </w:p>
    <w:p w14:paraId="14D4866D" w14:textId="77777777" w:rsidR="005F4889" w:rsidRDefault="005F4889" w:rsidP="005F4889">
      <w:pPr>
        <w:pStyle w:val="NoSpacing"/>
      </w:pPr>
      <w:r>
        <w:t>THE COURT HELD:</w:t>
      </w:r>
    </w:p>
    <w:p w14:paraId="3835B5E0" w14:textId="77777777" w:rsidR="005F4889" w:rsidRDefault="005F4889" w:rsidP="005F4889">
      <w:pPr>
        <w:pStyle w:val="NoSpacing"/>
      </w:pPr>
    </w:p>
    <w:p w14:paraId="7F8F27A4" w14:textId="77777777" w:rsidR="005F4889" w:rsidRDefault="005F4889" w:rsidP="005F4889">
      <w:pPr>
        <w:pStyle w:val="NoSpacing"/>
        <w:ind w:left="720"/>
      </w:pPr>
      <w:r>
        <w:t>“</w:t>
      </w:r>
      <w:r w:rsidRPr="003B4CBA">
        <w:t>Current and former battalion chiefs for the City of Alexandria Fire Department sued</w:t>
      </w:r>
      <w:r>
        <w:t xml:space="preserve"> </w:t>
      </w:r>
      <w:r w:rsidRPr="003B4CBA">
        <w:t xml:space="preserve">the </w:t>
      </w:r>
      <w:proofErr w:type="gramStart"/>
      <w:r w:rsidRPr="003B4CBA">
        <w:t>City</w:t>
      </w:r>
      <w:proofErr w:type="gramEnd"/>
      <w:r w:rsidRPr="003B4CBA">
        <w:t xml:space="preserve"> seeking payment of unpaid overtime wages under the Fair Labor Standards Act.</w:t>
      </w:r>
      <w:r>
        <w:t xml:space="preserve"> </w:t>
      </w:r>
      <w:r w:rsidRPr="003B4CBA">
        <w:t>The district court granted summary judgment for the City, concluding that the chiefs were</w:t>
      </w:r>
      <w:r>
        <w:t xml:space="preserve"> </w:t>
      </w:r>
      <w:r w:rsidRPr="003B4CBA">
        <w:t xml:space="preserve">exempt from the Act’s overtime-pay requirements under the </w:t>
      </w:r>
      <w:r>
        <w:t>‘</w:t>
      </w:r>
      <w:r w:rsidRPr="003B4CBA">
        <w:t>highly compensated</w:t>
      </w:r>
      <w:r>
        <w:t xml:space="preserve"> </w:t>
      </w:r>
      <w:proofErr w:type="gramStart"/>
      <w:r w:rsidRPr="003B4CBA">
        <w:t>employee</w:t>
      </w:r>
      <w:r>
        <w:t>’</w:t>
      </w:r>
      <w:proofErr w:type="gramEnd"/>
      <w:r w:rsidRPr="003B4CBA">
        <w:t xml:space="preserve"> exemption. That exemption requires (among other things) that the City</w:t>
      </w:r>
      <w:r>
        <w:t xml:space="preserve"> </w:t>
      </w:r>
      <w:r w:rsidRPr="003B4CBA">
        <w:t xml:space="preserve">compensate the chiefs on a </w:t>
      </w:r>
      <w:r>
        <w:t>‘</w:t>
      </w:r>
      <w:r w:rsidRPr="003B4CBA">
        <w:t>salary basis.</w:t>
      </w:r>
      <w:r>
        <w:t>’</w:t>
      </w:r>
    </w:p>
    <w:p w14:paraId="31F0B38B" w14:textId="77777777" w:rsidR="005F4889" w:rsidRDefault="005F4889" w:rsidP="005F4889">
      <w:pPr>
        <w:pStyle w:val="NoSpacing"/>
        <w:ind w:left="720"/>
      </w:pPr>
    </w:p>
    <w:p w14:paraId="7A24A3CC" w14:textId="77777777" w:rsidR="005F4889" w:rsidRDefault="005F4889" w:rsidP="005F4889">
      <w:pPr>
        <w:pStyle w:val="NoSpacing"/>
        <w:ind w:left="720"/>
      </w:pPr>
      <w:r>
        <w:t>***</w:t>
      </w:r>
    </w:p>
    <w:p w14:paraId="6AACD42D" w14:textId="77777777" w:rsidR="005F4889" w:rsidRDefault="005F4889" w:rsidP="005F4889">
      <w:pPr>
        <w:pStyle w:val="NoSpacing"/>
        <w:ind w:left="720"/>
      </w:pPr>
    </w:p>
    <w:p w14:paraId="0354A0FC" w14:textId="77777777" w:rsidR="005F4889" w:rsidRDefault="005F4889" w:rsidP="005F4889">
      <w:pPr>
        <w:pStyle w:val="NoSpacing"/>
        <w:ind w:left="720"/>
      </w:pPr>
      <w:r>
        <w:lastRenderedPageBreak/>
        <w:t>The Alexandria Fire Department has ten fire stations, split evenly between two battalions. The department employs ten battalion chiefs. Battalion chiefs rotate through operational or administrative schedules. Typically, the department assigns six chiefs (three for each of the two battalions) to an operational schedule, during which they’re responsible for the day-to-day operations of the fire stations within their assigned battalion. These chiefs are scheduled to work three 24-hour shifts according to a nine-day scheduling cycle.</w:t>
      </w:r>
    </w:p>
    <w:p w14:paraId="60B0A6D5" w14:textId="77777777" w:rsidR="005F4889" w:rsidRDefault="005F4889" w:rsidP="005F4889">
      <w:pPr>
        <w:pStyle w:val="NoSpacing"/>
      </w:pPr>
    </w:p>
    <w:p w14:paraId="73FD1790" w14:textId="77777777" w:rsidR="005F4889" w:rsidRDefault="005F4889" w:rsidP="005F4889">
      <w:pPr>
        <w:pStyle w:val="NoSpacing"/>
        <w:ind w:left="720"/>
      </w:pPr>
      <w:r>
        <w:t>The nine-day cycles are staggered such that two operational chiefs are on duty each day (one for each battalion). During each nine-day cycle, the chiefs are on duty the first, third, and fifth days, and off duty the remaining six days. Their ‘work period’ is 28 days.</w:t>
      </w:r>
    </w:p>
    <w:p w14:paraId="4F7DEC84" w14:textId="77777777" w:rsidR="005F4889" w:rsidRDefault="005F4889" w:rsidP="005F4889">
      <w:pPr>
        <w:pStyle w:val="NoSpacing"/>
      </w:pPr>
    </w:p>
    <w:p w14:paraId="2CE771E0" w14:textId="77777777" w:rsidR="005F4889" w:rsidRDefault="005F4889" w:rsidP="005F4889">
      <w:pPr>
        <w:pStyle w:val="NoSpacing"/>
        <w:ind w:left="720"/>
      </w:pPr>
      <w:proofErr w:type="gramStart"/>
      <w:r>
        <w:t>So</w:t>
      </w:r>
      <w:proofErr w:type="gramEnd"/>
      <w:r>
        <w:t xml:space="preserve"> if the </w:t>
      </w:r>
      <w:proofErr w:type="gramStart"/>
      <w:r>
        <w:t>City</w:t>
      </w:r>
      <w:proofErr w:type="gramEnd"/>
      <w:r>
        <w:t xml:space="preserve"> paid them strictly based on scheduled hours, their paychecks could vary substantially from one pay period to the next. To avoid that, the </w:t>
      </w:r>
      <w:proofErr w:type="gramStart"/>
      <w:r>
        <w:t>City</w:t>
      </w:r>
      <w:proofErr w:type="gramEnd"/>
      <w:r>
        <w:t xml:space="preserve"> pays those </w:t>
      </w:r>
      <w:proofErr w:type="gramStart"/>
      <w:r>
        <w:t>chiefs</w:t>
      </w:r>
      <w:proofErr w:type="gramEnd"/>
      <w:r>
        <w:t xml:space="preserve"> for at least 106 </w:t>
      </w:r>
      <w:proofErr w:type="gramStart"/>
      <w:r>
        <w:t>hours</w:t>
      </w:r>
      <w:proofErr w:type="gramEnd"/>
      <w:r>
        <w:t xml:space="preserve"> each pay period, regardless of the scheduled hours they work.</w:t>
      </w:r>
    </w:p>
    <w:p w14:paraId="460863C2" w14:textId="77777777" w:rsidR="005F4889" w:rsidRDefault="005F4889" w:rsidP="005F4889">
      <w:pPr>
        <w:pStyle w:val="NoSpacing"/>
      </w:pPr>
    </w:p>
    <w:p w14:paraId="4AE7EAF5" w14:textId="77777777" w:rsidR="005F4889" w:rsidRDefault="005F4889" w:rsidP="005F4889">
      <w:pPr>
        <w:pStyle w:val="NoSpacing"/>
        <w:ind w:left="720"/>
      </w:pPr>
      <w:r w:rsidRPr="007846E5">
        <w:t>And the City also pays them for the off</w:t>
      </w:r>
      <w:r>
        <w:t xml:space="preserve">-schedule hours they </w:t>
      </w:r>
      <w:proofErr w:type="gramStart"/>
      <w:r>
        <w:t>work,</w:t>
      </w:r>
      <w:proofErr w:type="gramEnd"/>
      <w:r>
        <w:t xml:space="preserve"> at the chief’s hourly rate. The fight in this case is about this last category of hours.</w:t>
      </w:r>
    </w:p>
    <w:p w14:paraId="3E2D9EE8" w14:textId="77777777" w:rsidR="005F4889" w:rsidRDefault="005F4889" w:rsidP="005F4889">
      <w:pPr>
        <w:pStyle w:val="NoSpacing"/>
        <w:ind w:left="720"/>
      </w:pPr>
    </w:p>
    <w:p w14:paraId="77360551" w14:textId="77777777" w:rsidR="005F4889" w:rsidRDefault="005F4889" w:rsidP="005F4889">
      <w:pPr>
        <w:pStyle w:val="NoSpacing"/>
        <w:ind w:left="720"/>
      </w:pPr>
      <w:r>
        <w:t>***</w:t>
      </w:r>
    </w:p>
    <w:p w14:paraId="6E76E8DD" w14:textId="77777777" w:rsidR="005F4889" w:rsidRDefault="005F4889" w:rsidP="005F4889">
      <w:pPr>
        <w:pStyle w:val="NoSpacing"/>
        <w:ind w:left="720"/>
      </w:pPr>
    </w:p>
    <w:p w14:paraId="62D04A9D" w14:textId="77777777" w:rsidR="005F4889" w:rsidRDefault="005F4889" w:rsidP="005F4889">
      <w:pPr>
        <w:pStyle w:val="NoSpacing"/>
        <w:ind w:firstLine="720"/>
      </w:pPr>
      <w:r>
        <w:t>Under 602(a), an employer must show that ‘the employee regularly receives each</w:t>
      </w:r>
    </w:p>
    <w:p w14:paraId="6BCB4B44" w14:textId="77777777" w:rsidR="005F4889" w:rsidRDefault="005F4889" w:rsidP="005F4889">
      <w:pPr>
        <w:pStyle w:val="NoSpacing"/>
        <w:ind w:firstLine="720"/>
      </w:pPr>
      <w:r>
        <w:t>pay period on a weekly, or less frequent basis, a predetermined amount constituting all or</w:t>
      </w:r>
    </w:p>
    <w:p w14:paraId="71134E8F" w14:textId="77777777" w:rsidR="005F4889" w:rsidRDefault="005F4889" w:rsidP="005F4889">
      <w:pPr>
        <w:pStyle w:val="NoSpacing"/>
        <w:ind w:firstLine="720"/>
      </w:pPr>
      <w:r>
        <w:t>part of the employee’s compensation, which amount is not subject to reduction because of</w:t>
      </w:r>
    </w:p>
    <w:p w14:paraId="0CB9C2A8" w14:textId="77777777" w:rsidR="005F4889" w:rsidRDefault="005F4889" w:rsidP="005F4889">
      <w:pPr>
        <w:pStyle w:val="NoSpacing"/>
        <w:ind w:firstLine="720"/>
      </w:pPr>
      <w:r>
        <w:t>variations in the quality or quantity of the work performed.’ 29 C.F.R. § 541.602(a). This</w:t>
      </w:r>
    </w:p>
    <w:p w14:paraId="4D6D6080" w14:textId="77777777" w:rsidR="005F4889" w:rsidRDefault="005F4889" w:rsidP="005F4889">
      <w:pPr>
        <w:pStyle w:val="NoSpacing"/>
        <w:ind w:firstLine="720"/>
      </w:pPr>
      <w:r>
        <w:t>standard ensures the employee ‘get[s] at least part of his compensation through a preset</w:t>
      </w:r>
    </w:p>
    <w:p w14:paraId="781BF48D" w14:textId="77777777" w:rsidR="005F4889" w:rsidRDefault="005F4889" w:rsidP="005F4889">
      <w:pPr>
        <w:pStyle w:val="NoSpacing"/>
        <w:ind w:firstLine="720"/>
      </w:pPr>
      <w:r>
        <w:t>weekly (or less frequent) salary.’ Helix, 598 U.S. at 46. Though employers are generally</w:t>
      </w:r>
    </w:p>
    <w:p w14:paraId="6381AE32" w14:textId="77777777" w:rsidR="005F4889" w:rsidRDefault="005F4889" w:rsidP="005F4889">
      <w:pPr>
        <w:pStyle w:val="NoSpacing"/>
        <w:ind w:left="720"/>
      </w:pPr>
      <w:r>
        <w:t>prohibited from taking deductions from this amount, the regulations allow them to do so in certain limited circumstances. 29 C.F.R. § 541.602(b).”</w:t>
      </w:r>
    </w:p>
    <w:p w14:paraId="0104A071" w14:textId="77777777" w:rsidR="005F4889" w:rsidRDefault="005F4889" w:rsidP="005F4889">
      <w:pPr>
        <w:pStyle w:val="NoSpacing"/>
        <w:ind w:left="720"/>
      </w:pPr>
    </w:p>
    <w:p w14:paraId="298BAE39" w14:textId="77777777" w:rsidR="005F4889" w:rsidRPr="0027338B" w:rsidRDefault="005F4889" w:rsidP="005F4889">
      <w:pPr>
        <w:pStyle w:val="NoSpacing"/>
        <w:rPr>
          <w:b/>
          <w:bCs/>
        </w:rPr>
      </w:pPr>
      <w:r>
        <w:rPr>
          <w:b/>
        </w:rPr>
        <w:t xml:space="preserve">Legal lesson learned:  There has been lots of litigation concerning Battalion Chiefs being exempt or entitled to overtime.  </w:t>
      </w:r>
    </w:p>
    <w:p w14:paraId="6EA789C3" w14:textId="77777777" w:rsidR="005F4889" w:rsidRDefault="005F4889" w:rsidP="005F4889">
      <w:pPr>
        <w:pStyle w:val="NoSpacing"/>
        <w:ind w:left="720"/>
      </w:pPr>
      <w:r>
        <w:t xml:space="preserve">  </w:t>
      </w:r>
    </w:p>
    <w:p w14:paraId="2C5CE701" w14:textId="77777777" w:rsidR="005F4889" w:rsidRDefault="005F4889" w:rsidP="005F4889">
      <w:pPr>
        <w:pStyle w:val="NoSpacing"/>
        <w:ind w:left="720"/>
      </w:pPr>
      <w:r>
        <w:t xml:space="preserve">Note: See this review of the decision.  </w:t>
      </w:r>
      <w:hyperlink r:id="rId1688" w:history="1">
        <w:r w:rsidRPr="002B4D2D">
          <w:rPr>
            <w:rStyle w:val="Hyperlink"/>
          </w:rPr>
          <w:t>https://www.firefighterovertime.org/2026/01/04/fourth-circuit-rules-against-battalion-chiefs-in-virginia-flsa-lawsuit/</w:t>
        </w:r>
      </w:hyperlink>
      <w:r>
        <w:t xml:space="preserve"> . See also: September 17, 2018. </w:t>
      </w:r>
      <w:r w:rsidRPr="00075C60">
        <w:t>Battalion Chiefs, Executive Exemption, and Overtime</w:t>
      </w:r>
      <w:r>
        <w:t xml:space="preserve">. </w:t>
      </w:r>
      <w:hyperlink r:id="rId1689" w:history="1">
        <w:r w:rsidRPr="002B4D2D">
          <w:rPr>
            <w:rStyle w:val="Hyperlink"/>
          </w:rPr>
          <w:t>https://www.firefighterovertime.org/2018/09/17/battalion/</w:t>
        </w:r>
      </w:hyperlink>
    </w:p>
    <w:p w14:paraId="0316D57A" w14:textId="77777777" w:rsidR="005F4889" w:rsidRDefault="005F4889" w:rsidP="005F4889">
      <w:pPr>
        <w:pStyle w:val="NoSpacing"/>
        <w:ind w:left="720"/>
      </w:pPr>
    </w:p>
    <w:p w14:paraId="1E086112" w14:textId="77777777" w:rsidR="005F4889" w:rsidRDefault="005F4889" w:rsidP="005F4889">
      <w:pPr>
        <w:pStyle w:val="NoSpacing"/>
        <w:ind w:left="720"/>
      </w:pPr>
      <w:r>
        <w:t>See also: The 6</w:t>
      </w:r>
      <w:r w:rsidRPr="00E002FB">
        <w:rPr>
          <w:vertAlign w:val="superscript"/>
        </w:rPr>
        <w:t>th</w:t>
      </w:r>
      <w:r>
        <w:t xml:space="preserve"> Circuit on </w:t>
      </w:r>
      <w:r w:rsidRPr="00E002FB">
        <w:t xml:space="preserve">June 3, </w:t>
      </w:r>
      <w:proofErr w:type="gramStart"/>
      <w:r w:rsidRPr="00E002FB">
        <w:t>2019</w:t>
      </w:r>
      <w:proofErr w:type="gramEnd"/>
      <w:r>
        <w:t xml:space="preserve"> in </w:t>
      </w:r>
      <w:r w:rsidRPr="00793A7B">
        <w:rPr>
          <w:u w:val="single"/>
        </w:rPr>
        <w:t>Howard Holt, et al. v. City of Battle Creek</w:t>
      </w:r>
      <w:r>
        <w:t xml:space="preserve">, </w:t>
      </w:r>
    </w:p>
    <w:p w14:paraId="4280A86A" w14:textId="77777777" w:rsidR="005F4889" w:rsidRDefault="005F4889" w:rsidP="005F4889">
      <w:pPr>
        <w:pStyle w:val="NoSpacing"/>
        <w:ind w:left="720"/>
      </w:pPr>
      <w:r>
        <w:t xml:space="preserve">held that Battalion Chiefs were not entitled to overtime pay. </w:t>
      </w:r>
      <w:hyperlink r:id="rId1690" w:history="1">
        <w:r w:rsidRPr="00EB1520">
          <w:rPr>
            <w:rStyle w:val="Hyperlink"/>
          </w:rPr>
          <w:t>https://www.opn.ca6.uscourts.gov/opinions.pdf/19a0114p-06.pdf</w:t>
        </w:r>
      </w:hyperlink>
      <w:r>
        <w:t xml:space="preserve"> </w:t>
      </w:r>
    </w:p>
    <w:p w14:paraId="5CC9AFD1" w14:textId="77777777" w:rsidR="005F4889" w:rsidRDefault="005F4889" w:rsidP="005F4889">
      <w:pPr>
        <w:pStyle w:val="NoSpacing"/>
        <w:ind w:left="720"/>
      </w:pPr>
    </w:p>
    <w:p w14:paraId="406ABF71" w14:textId="77777777" w:rsidR="005F4889" w:rsidRDefault="005F4889" w:rsidP="005F4889">
      <w:pPr>
        <w:pStyle w:val="NoSpacing"/>
        <w:ind w:left="720"/>
      </w:pPr>
      <w:r>
        <w:t xml:space="preserve">See IAFF FLSA Manual (July 2022): </w:t>
      </w:r>
      <w:hyperlink r:id="rId1691" w:history="1">
        <w:r w:rsidRPr="00EB1520">
          <w:rPr>
            <w:rStyle w:val="Hyperlink"/>
          </w:rPr>
          <w:t>https://www.iaff.org/wp-content/uploads/FLSA-Manual-2022-Edition_FINAL.22Aug01.pdf</w:t>
        </w:r>
      </w:hyperlink>
      <w:r>
        <w:t xml:space="preserve">  - Salary Basis.</w:t>
      </w:r>
    </w:p>
    <w:p w14:paraId="56EB6264" w14:textId="77777777" w:rsidR="008626B6" w:rsidRDefault="008626B6" w:rsidP="00020106">
      <w:pPr>
        <w:rPr>
          <w:rFonts w:ascii="Arial Black" w:hAnsi="Arial Black"/>
          <w:b/>
          <w:sz w:val="24"/>
          <w:szCs w:val="24"/>
        </w:rPr>
      </w:pPr>
    </w:p>
    <w:p w14:paraId="7BABF988" w14:textId="77777777" w:rsidR="008626B6" w:rsidRDefault="008626B6" w:rsidP="00020106">
      <w:pPr>
        <w:rPr>
          <w:rFonts w:ascii="Arial Black" w:hAnsi="Arial Black"/>
          <w:b/>
          <w:sz w:val="24"/>
          <w:szCs w:val="24"/>
        </w:rPr>
      </w:pPr>
    </w:p>
    <w:p w14:paraId="14765017" w14:textId="1F0E1E45" w:rsidR="004F2D19" w:rsidRDefault="004F2D19" w:rsidP="00020106">
      <w:pPr>
        <w:rPr>
          <w:rFonts w:ascii="Arial Black" w:hAnsi="Arial Black"/>
          <w:b/>
          <w:sz w:val="24"/>
          <w:szCs w:val="24"/>
        </w:rPr>
      </w:pPr>
      <w:r>
        <w:rPr>
          <w:rFonts w:ascii="Arial Black" w:hAnsi="Arial Black"/>
          <w:b/>
          <w:sz w:val="24"/>
          <w:szCs w:val="24"/>
        </w:rPr>
        <w:t>1</w:t>
      </w:r>
      <w:r w:rsidR="00006AE3">
        <w:rPr>
          <w:rFonts w:ascii="Arial Black" w:hAnsi="Arial Black"/>
          <w:b/>
          <w:sz w:val="24"/>
          <w:szCs w:val="24"/>
        </w:rPr>
        <w:t>1-64</w:t>
      </w:r>
    </w:p>
    <w:p w14:paraId="436A2A63" w14:textId="77777777" w:rsidR="004F2D19" w:rsidRPr="00FD47DD" w:rsidRDefault="004F2D19" w:rsidP="004F2D19">
      <w:pPr>
        <w:rPr>
          <w:rFonts w:ascii="Arial Black" w:hAnsi="Arial Black"/>
          <w:b/>
          <w:sz w:val="28"/>
          <w:szCs w:val="28"/>
        </w:rPr>
      </w:pPr>
      <w:r>
        <w:rPr>
          <w:rFonts w:ascii="Arial Black" w:hAnsi="Arial Black"/>
          <w:b/>
          <w:sz w:val="28"/>
          <w:szCs w:val="28"/>
        </w:rPr>
        <w:t>MA: FF / NAT. GUARD – CITY PAY 40 DAYS / FOR 40 SHIFTS</w:t>
      </w:r>
    </w:p>
    <w:p w14:paraId="5AE8FE9E" w14:textId="77777777" w:rsidR="004F2D19" w:rsidRDefault="004F2D19" w:rsidP="004F2D19">
      <w:r>
        <w:t xml:space="preserve">On November 21, 2025, in </w:t>
      </w:r>
      <w:r w:rsidRPr="00C30366">
        <w:rPr>
          <w:u w:val="single"/>
        </w:rPr>
        <w:t>Robert Driscoll v. City of Melrose</w:t>
      </w:r>
      <w:r>
        <w:t xml:space="preserve">, the </w:t>
      </w:r>
      <w:r w:rsidRPr="00504997">
        <w:t>Appeals Court of Massachusetts, Middlesex</w:t>
      </w:r>
      <w:r>
        <w:t xml:space="preserve"> held (3 to 0) that Firefighter / C</w:t>
      </w:r>
      <w:r w:rsidRPr="00DE1F7C">
        <w:t xml:space="preserve">olonel in the </w:t>
      </w:r>
      <w:r>
        <w:t xml:space="preserve">U.S. Air Force - </w:t>
      </w:r>
      <w:r w:rsidRPr="00DE1F7C">
        <w:t>Air National Guard</w:t>
      </w:r>
      <w:r>
        <w:t xml:space="preserve"> is entitled under Massachusetts law to full fire department of pay when on active duty for </w:t>
      </w:r>
      <w:r w:rsidRPr="00891DBD">
        <w:t>"the first 40 consecutive calendar days of an annual tour of duty"</w:t>
      </w:r>
      <w:r>
        <w:t xml:space="preserve"> and a </w:t>
      </w:r>
      <w:r>
        <w:lastRenderedPageBreak/>
        <w:t xml:space="preserve">calendar day must be calculated as each of his missed 24-hour shifts.  The city was calculating that each 24-shift was same </w:t>
      </w:r>
      <w:proofErr w:type="gramStart"/>
      <w:r>
        <w:t>a two</w:t>
      </w:r>
      <w:proofErr w:type="gramEnd"/>
      <w:r>
        <w:t xml:space="preserve"> calendar </w:t>
      </w:r>
      <w:proofErr w:type="gramStart"/>
      <w:r>
        <w:t>days, and</w:t>
      </w:r>
      <w:proofErr w:type="gramEnd"/>
      <w:r>
        <w:t xml:space="preserve"> only pay him for 20 consecutive calendar days.  THE COURT WROTE: “</w:t>
      </w:r>
      <w:r w:rsidRPr="00632518">
        <w:t xml:space="preserve">General Laws c. 33, § 59 (a), requires participating government entities to pay the full salary of an employee performing certain military service for "40 days in any federal fiscal year," and states that a day "shall mean any 24-hour period regardless of calendar day."  Applying the plain meaning of these words, we conclude that the firefighter is entitled to pay for up to forty </w:t>
      </w:r>
      <w:proofErr w:type="gramStart"/>
      <w:r w:rsidRPr="00632518">
        <w:t>twenty-four hour</w:t>
      </w:r>
      <w:proofErr w:type="gramEnd"/>
      <w:r w:rsidRPr="00632518">
        <w:t xml:space="preserve"> shifts missed during his military service in each Federal fiscal year, and not (as the city claims) up to twenty such shifts in a consecutive period of forty days.  Accordingly, we reverse.</w:t>
      </w:r>
      <w:r>
        <w:t>”</w:t>
      </w:r>
      <w:r w:rsidRPr="0076709D">
        <w:t xml:space="preserve"> </w:t>
      </w:r>
      <w:hyperlink r:id="rId1692" w:history="1">
        <w:r w:rsidRPr="00422760">
          <w:rPr>
            <w:rStyle w:val="Hyperlink"/>
          </w:rPr>
          <w:t>https://www.mass.gov/doc/driscoll-v-city-of-melrose-ac-s24p1114/download</w:t>
        </w:r>
      </w:hyperlink>
      <w:r>
        <w:t xml:space="preserve"> </w:t>
      </w:r>
    </w:p>
    <w:p w14:paraId="377CC765" w14:textId="77777777" w:rsidR="004F2D19" w:rsidRDefault="004F2D19" w:rsidP="004F2D19">
      <w:pPr>
        <w:pStyle w:val="NoSpacing"/>
      </w:pPr>
    </w:p>
    <w:p w14:paraId="48FA38EB" w14:textId="77777777" w:rsidR="004F2D19" w:rsidRDefault="004F2D19" w:rsidP="004F2D19">
      <w:pPr>
        <w:pStyle w:val="NoSpacing"/>
      </w:pPr>
      <w:r>
        <w:t>THE COURT HELD:</w:t>
      </w:r>
    </w:p>
    <w:p w14:paraId="4266774C" w14:textId="77777777" w:rsidR="004F2D19" w:rsidRDefault="004F2D19" w:rsidP="004F2D19">
      <w:pPr>
        <w:pStyle w:val="NoSpacing"/>
      </w:pPr>
    </w:p>
    <w:p w14:paraId="6FFB75F9" w14:textId="77777777" w:rsidR="004F2D19" w:rsidRDefault="004F2D19" w:rsidP="004F2D19">
      <w:pPr>
        <w:pStyle w:val="NoSpacing"/>
        <w:ind w:left="720"/>
      </w:pPr>
      <w:r>
        <w:t>“</w:t>
      </w:r>
      <w:r w:rsidRPr="005611B1">
        <w:t xml:space="preserve">Each </w:t>
      </w:r>
      <w:proofErr w:type="gramStart"/>
      <w:r w:rsidRPr="005611B1">
        <w:t>twenty-four hour</w:t>
      </w:r>
      <w:proofErr w:type="gramEnd"/>
      <w:r w:rsidRPr="005611B1">
        <w:t xml:space="preserve"> shift began at 7 A.M. and concluded the following calendar day at the same time.  Pursuant to the CBA, the </w:t>
      </w:r>
      <w:proofErr w:type="gramStart"/>
      <w:r w:rsidRPr="005611B1">
        <w:t>twenty-four hour</w:t>
      </w:r>
      <w:proofErr w:type="gramEnd"/>
      <w:r w:rsidRPr="005611B1">
        <w:t xml:space="preserve"> shift consisted of two separate shifts:  a ten-hour day shift followed by a fourteen-hour night shift.  For purposes of vacation or sick leave, the ten-hour and fourteen-hour shifts were considered separate days, amounting to two total days for one </w:t>
      </w:r>
      <w:proofErr w:type="gramStart"/>
      <w:r w:rsidRPr="005611B1">
        <w:t>twenty-four hour</w:t>
      </w:r>
      <w:proofErr w:type="gramEnd"/>
      <w:r w:rsidRPr="005611B1">
        <w:t xml:space="preserve"> shift.  Accordingly, a firefighter who missed a </w:t>
      </w:r>
      <w:proofErr w:type="gramStart"/>
      <w:r w:rsidRPr="005611B1">
        <w:t>twenty-four hour</w:t>
      </w:r>
      <w:proofErr w:type="gramEnd"/>
      <w:r w:rsidRPr="005611B1">
        <w:t xml:space="preserve"> shift because of a vacation or illness would expend two days of vacation time or sick time.</w:t>
      </w:r>
    </w:p>
    <w:p w14:paraId="1CE9C9B8" w14:textId="77777777" w:rsidR="004F2D19" w:rsidRDefault="004F2D19" w:rsidP="004F2D19">
      <w:pPr>
        <w:pStyle w:val="NoSpacing"/>
        <w:ind w:left="720"/>
      </w:pPr>
    </w:p>
    <w:p w14:paraId="4FEC5FD9" w14:textId="77777777" w:rsidR="004F2D19" w:rsidRDefault="004F2D19" w:rsidP="004F2D19">
      <w:pPr>
        <w:pStyle w:val="NoSpacing"/>
        <w:ind w:left="720"/>
      </w:pPr>
      <w:r>
        <w:t>***</w:t>
      </w:r>
    </w:p>
    <w:p w14:paraId="3A25F707" w14:textId="77777777" w:rsidR="004F2D19" w:rsidRDefault="004F2D19" w:rsidP="004F2D19">
      <w:pPr>
        <w:pStyle w:val="NoSpacing"/>
        <w:ind w:left="720"/>
      </w:pPr>
      <w:r w:rsidRPr="00E93688">
        <w:t xml:space="preserve">During the entire time that the firefighter worked for the city, he served as an officer in the United States Air Force, reaching the rank of colonel in the Air National Guard.  This role required the firefighter to take occasional leave for military service, both for training and after being called up for active duty.  Relevant here, between October 2019 and March 2020, the firefighter missed six </w:t>
      </w:r>
      <w:proofErr w:type="gramStart"/>
      <w:r w:rsidRPr="00E93688">
        <w:t>twenty-four hour</w:t>
      </w:r>
      <w:proofErr w:type="gramEnd"/>
      <w:r w:rsidRPr="00E93688">
        <w:t xml:space="preserve"> shifts for military training.  On April 10, 2020, he went on active military leave and missed thirty-two </w:t>
      </w:r>
      <w:proofErr w:type="gramStart"/>
      <w:r w:rsidRPr="00E93688">
        <w:t>twenty-four hour</w:t>
      </w:r>
      <w:proofErr w:type="gramEnd"/>
      <w:r w:rsidRPr="00E93688">
        <w:t xml:space="preserve"> shifts between that date and August 14, 2020.  In August and September 2020, the firefighter missed another four </w:t>
      </w:r>
      <w:proofErr w:type="gramStart"/>
      <w:r w:rsidRPr="00E93688">
        <w:t>twenty-four hour</w:t>
      </w:r>
      <w:proofErr w:type="gramEnd"/>
      <w:r w:rsidRPr="00E93688">
        <w:t xml:space="preserve"> shifts for military training.</w:t>
      </w:r>
    </w:p>
    <w:p w14:paraId="5D82904C" w14:textId="77777777" w:rsidR="004F2D19" w:rsidRDefault="004F2D19" w:rsidP="004F2D19">
      <w:pPr>
        <w:pStyle w:val="NoSpacing"/>
        <w:ind w:left="720"/>
      </w:pPr>
    </w:p>
    <w:p w14:paraId="74E69BC2" w14:textId="77777777" w:rsidR="004F2D19" w:rsidRDefault="004F2D19" w:rsidP="004F2D19">
      <w:pPr>
        <w:pStyle w:val="NoSpacing"/>
        <w:ind w:left="720"/>
      </w:pPr>
      <w:r w:rsidRPr="00646958">
        <w:t xml:space="preserve">The next Federal fiscal year began on October 1, 2020.  See 31 U.S.C. § 1102.  In October 2020, the firefighter missed one twenty-four shift and one fourteen-hour night shift for military training.  On November 28, 2020, the firefighter was again deployed for active military service, which lasted until September 5, 2021.  During that time, he missed seventy </w:t>
      </w:r>
      <w:proofErr w:type="gramStart"/>
      <w:r w:rsidRPr="00646958">
        <w:t>twenty-four hour</w:t>
      </w:r>
      <w:proofErr w:type="gramEnd"/>
      <w:r w:rsidRPr="00646958">
        <w:t xml:space="preserve"> shifts.</w:t>
      </w:r>
    </w:p>
    <w:p w14:paraId="4DF24DBF" w14:textId="77777777" w:rsidR="004F2D19" w:rsidRDefault="004F2D19" w:rsidP="004F2D19">
      <w:pPr>
        <w:pStyle w:val="NoSpacing"/>
        <w:ind w:left="720"/>
      </w:pPr>
    </w:p>
    <w:p w14:paraId="639D845B" w14:textId="77777777" w:rsidR="004F2D19" w:rsidRDefault="004F2D19" w:rsidP="004F2D19">
      <w:pPr>
        <w:pStyle w:val="NoSpacing"/>
        <w:ind w:left="720"/>
      </w:pPr>
      <w:r>
        <w:t>***</w:t>
      </w:r>
    </w:p>
    <w:p w14:paraId="2CEB8D72" w14:textId="77777777" w:rsidR="004F2D19" w:rsidRDefault="004F2D19" w:rsidP="004F2D19">
      <w:pPr>
        <w:pStyle w:val="NoSpacing"/>
        <w:ind w:left="720"/>
      </w:pPr>
    </w:p>
    <w:p w14:paraId="639E27F4" w14:textId="77777777" w:rsidR="004F2D19" w:rsidRDefault="004F2D19" w:rsidP="004F2D19">
      <w:pPr>
        <w:pStyle w:val="NoSpacing"/>
        <w:ind w:left="720"/>
      </w:pPr>
      <w:r>
        <w:t>[Footnote 2.]</w:t>
      </w:r>
      <w:r w:rsidRPr="003922F4">
        <w:t xml:space="preserve">As stated, the city actually paid the firefighter in full for twenty </w:t>
      </w:r>
      <w:proofErr w:type="gramStart"/>
      <w:r w:rsidRPr="003922F4">
        <w:t>twenty-four hour</w:t>
      </w:r>
      <w:proofErr w:type="gramEnd"/>
      <w:r w:rsidRPr="003922F4">
        <w:t xml:space="preserve"> shifts in each Federal fiscal year, regardless of whether that service occurred within a consecutive forty-day period.  Of course, G. L. c. 33, § 59 (a), provides a floor, not a ceiling.  The city was free to pay the firefighter more than its interpretation of G. L. c. 33, § 59 (a), </w:t>
      </w:r>
      <w:proofErr w:type="gramStart"/>
      <w:r w:rsidRPr="003922F4">
        <w:t>required.</w:t>
      </w:r>
      <w:r>
        <w:t>”</w:t>
      </w:r>
      <w:proofErr w:type="gramEnd"/>
    </w:p>
    <w:p w14:paraId="456F97CD" w14:textId="77777777" w:rsidR="004F2D19" w:rsidRDefault="004F2D19" w:rsidP="004F2D19">
      <w:pPr>
        <w:pStyle w:val="NoSpacing"/>
        <w:ind w:left="720"/>
      </w:pPr>
    </w:p>
    <w:p w14:paraId="651F7D58" w14:textId="77777777" w:rsidR="004F2D19" w:rsidRDefault="004F2D19" w:rsidP="004F2D19">
      <w:pPr>
        <w:pStyle w:val="NoSpacing"/>
        <w:rPr>
          <w:b/>
          <w:bCs/>
        </w:rPr>
      </w:pPr>
      <w:r>
        <w:rPr>
          <w:b/>
        </w:rPr>
        <w:t xml:space="preserve">Legal lesson learned: The firefighter’s position was supported by the Massachusetts Attorney General; hopefully the AG will send out communication to municipalities so other </w:t>
      </w:r>
      <w:proofErr w:type="gramStart"/>
      <w:r>
        <w:rPr>
          <w:b/>
        </w:rPr>
        <w:t>firefighter</w:t>
      </w:r>
      <w:proofErr w:type="gramEnd"/>
      <w:r>
        <w:rPr>
          <w:b/>
        </w:rPr>
        <w:t xml:space="preserve"> / military personnel don’t need to litigate similar claims. </w:t>
      </w:r>
    </w:p>
    <w:p w14:paraId="04188C10" w14:textId="77777777" w:rsidR="004F2D19" w:rsidRDefault="004F2D19" w:rsidP="004F2D19">
      <w:pPr>
        <w:pStyle w:val="NoSpacing"/>
        <w:rPr>
          <w:b/>
          <w:bCs/>
        </w:rPr>
      </w:pPr>
    </w:p>
    <w:p w14:paraId="3CC1F54A" w14:textId="77777777" w:rsidR="004F2D19" w:rsidRPr="001B2597" w:rsidRDefault="004F2D19" w:rsidP="004F2D19">
      <w:pPr>
        <w:pStyle w:val="NoSpacing"/>
        <w:ind w:left="720"/>
      </w:pPr>
      <w:r w:rsidRPr="001B2597">
        <w:t xml:space="preserve">Note: See the Federal Uniformed Services Employment and Reemployment Rights Act.   “Your USERRA Rights as an Employee.” </w:t>
      </w:r>
      <w:hyperlink r:id="rId1693" w:history="1">
        <w:r w:rsidRPr="001B2597">
          <w:rPr>
            <w:rStyle w:val="Hyperlink"/>
          </w:rPr>
          <w:t>https://osc.gov/Services/Pages/USERRA-Employee.aspx</w:t>
        </w:r>
      </w:hyperlink>
      <w:r w:rsidRPr="001B2597">
        <w:t xml:space="preserve"> </w:t>
      </w:r>
    </w:p>
    <w:p w14:paraId="77EBE98D" w14:textId="77777777" w:rsidR="004F2D19" w:rsidRDefault="004F2D19" w:rsidP="004F2D19">
      <w:pPr>
        <w:pStyle w:val="NoSpacing"/>
        <w:rPr>
          <w:b/>
          <w:bCs/>
        </w:rPr>
      </w:pPr>
    </w:p>
    <w:p w14:paraId="306BC5FA" w14:textId="77777777" w:rsidR="004F2D19" w:rsidRPr="00F76861" w:rsidRDefault="004F2D19" w:rsidP="004F2D19">
      <w:pPr>
        <w:pStyle w:val="NoSpacing"/>
        <w:ind w:left="720"/>
        <w:rPr>
          <w:bCs/>
        </w:rPr>
      </w:pPr>
      <w:r>
        <w:t>“</w:t>
      </w:r>
      <w:r w:rsidRPr="00F76861">
        <w:t>Returning service members are also entitled to receive benefits and seniority as ​though they had remained continuously employed. For instance, if an employee works at a company for two years and then completes one year of military service before returning, her employer must treat her as though she had worked continuously for three years when calculating the following benefits:</w:t>
      </w:r>
    </w:p>
    <w:p w14:paraId="3196D61F" w14:textId="77777777" w:rsidR="004F2D19" w:rsidRPr="00F76861" w:rsidRDefault="004F2D19" w:rsidP="004F2D19">
      <w:pPr>
        <w:pStyle w:val="NoSpacing"/>
        <w:numPr>
          <w:ilvl w:val="0"/>
          <w:numId w:val="37"/>
        </w:numPr>
        <w:tabs>
          <w:tab w:val="clear" w:pos="720"/>
          <w:tab w:val="num" w:pos="1440"/>
        </w:tabs>
        <w:ind w:left="1440"/>
        <w:rPr>
          <w:bCs/>
        </w:rPr>
      </w:pPr>
      <w:r w:rsidRPr="00F76861">
        <w:t>Paid leave (although no leave is accrued while the employee is absent)</w:t>
      </w:r>
    </w:p>
    <w:p w14:paraId="02A135FD" w14:textId="77777777" w:rsidR="004F2D19" w:rsidRPr="00F76861" w:rsidRDefault="004F2D19" w:rsidP="004F2D19">
      <w:pPr>
        <w:pStyle w:val="NoSpacing"/>
        <w:numPr>
          <w:ilvl w:val="0"/>
          <w:numId w:val="37"/>
        </w:numPr>
        <w:tabs>
          <w:tab w:val="clear" w:pos="720"/>
          <w:tab w:val="num" w:pos="1440"/>
        </w:tabs>
        <w:ind w:left="1440"/>
        <w:rPr>
          <w:bCs/>
        </w:rPr>
      </w:pPr>
      <w:r w:rsidRPr="00F76861">
        <w:lastRenderedPageBreak/>
        <w:t>Salary</w:t>
      </w:r>
    </w:p>
    <w:p w14:paraId="7DA0CC66" w14:textId="77777777" w:rsidR="004F2D19" w:rsidRPr="00F76861" w:rsidRDefault="004F2D19" w:rsidP="004F2D19">
      <w:pPr>
        <w:pStyle w:val="NoSpacing"/>
        <w:numPr>
          <w:ilvl w:val="0"/>
          <w:numId w:val="37"/>
        </w:numPr>
        <w:tabs>
          <w:tab w:val="clear" w:pos="720"/>
          <w:tab w:val="num" w:pos="1440"/>
        </w:tabs>
        <w:ind w:left="1440"/>
        <w:rPr>
          <w:bCs/>
        </w:rPr>
      </w:pPr>
      <w:r w:rsidRPr="00F76861">
        <w:t>Credit toward completing probationary periods</w:t>
      </w:r>
    </w:p>
    <w:p w14:paraId="1CCE6CAE" w14:textId="77777777" w:rsidR="004F2D19" w:rsidRPr="00F76861" w:rsidRDefault="004F2D19" w:rsidP="004F2D19">
      <w:pPr>
        <w:pStyle w:val="NoSpacing"/>
        <w:numPr>
          <w:ilvl w:val="0"/>
          <w:numId w:val="37"/>
        </w:numPr>
        <w:tabs>
          <w:tab w:val="clear" w:pos="720"/>
          <w:tab w:val="num" w:pos="1440"/>
        </w:tabs>
        <w:ind w:left="1440"/>
        <w:rPr>
          <w:bCs/>
        </w:rPr>
      </w:pPr>
      <w:r w:rsidRPr="00F76861">
        <w:t>Eligibility for promotions</w:t>
      </w:r>
    </w:p>
    <w:p w14:paraId="362C10ED" w14:textId="77777777" w:rsidR="004F2D19" w:rsidRPr="00F76861" w:rsidRDefault="004F2D19" w:rsidP="004F2D19">
      <w:pPr>
        <w:pStyle w:val="NoSpacing"/>
        <w:numPr>
          <w:ilvl w:val="0"/>
          <w:numId w:val="37"/>
        </w:numPr>
        <w:tabs>
          <w:tab w:val="clear" w:pos="720"/>
          <w:tab w:val="num" w:pos="1440"/>
        </w:tabs>
        <w:ind w:left="1440"/>
        <w:rPr>
          <w:bCs/>
        </w:rPr>
      </w:pPr>
      <w:r w:rsidRPr="00F76861">
        <w:t>Anything else that is tied to the employee’s longevity at the workplace</w:t>
      </w:r>
      <w:r>
        <w:t>.”</w:t>
      </w:r>
    </w:p>
    <w:p w14:paraId="53921309" w14:textId="77777777" w:rsidR="004F2D19" w:rsidRDefault="004F2D19" w:rsidP="004F2D19">
      <w:pPr>
        <w:pStyle w:val="NoSpacing"/>
      </w:pPr>
    </w:p>
    <w:p w14:paraId="54C2775E" w14:textId="7B566B44" w:rsidR="004F2D19" w:rsidRDefault="00006AE3" w:rsidP="00020106">
      <w:pPr>
        <w:rPr>
          <w:rFonts w:ascii="Arial Black" w:hAnsi="Arial Black"/>
          <w:b/>
          <w:sz w:val="24"/>
          <w:szCs w:val="24"/>
        </w:rPr>
      </w:pPr>
      <w:r>
        <w:rPr>
          <w:rFonts w:ascii="Arial Black" w:hAnsi="Arial Black"/>
          <w:b/>
          <w:sz w:val="24"/>
          <w:szCs w:val="24"/>
        </w:rPr>
        <w:t>11-63</w:t>
      </w:r>
    </w:p>
    <w:p w14:paraId="7F86A6A6" w14:textId="17F649B8" w:rsidR="00515C56" w:rsidRPr="007D35F7" w:rsidRDefault="005F2DAC" w:rsidP="00515C56">
      <w:pPr>
        <w:pStyle w:val="NoSpacing"/>
        <w:rPr>
          <w:rFonts w:ascii="Arial Black" w:hAnsi="Arial Black"/>
          <w:sz w:val="28"/>
          <w:szCs w:val="28"/>
        </w:rPr>
      </w:pPr>
      <w:r>
        <w:rPr>
          <w:rFonts w:ascii="Arial Black" w:hAnsi="Arial Black"/>
          <w:sz w:val="28"/>
          <w:szCs w:val="28"/>
        </w:rPr>
        <w:t>U.S. D</w:t>
      </w:r>
      <w:r w:rsidR="00E16F2F">
        <w:rPr>
          <w:rFonts w:ascii="Arial Black" w:hAnsi="Arial Black"/>
          <w:sz w:val="28"/>
          <w:szCs w:val="28"/>
        </w:rPr>
        <w:t xml:space="preserve">OL: </w:t>
      </w:r>
      <w:r w:rsidR="00515C56">
        <w:rPr>
          <w:rFonts w:ascii="Arial Black" w:hAnsi="Arial Black"/>
          <w:sz w:val="28"/>
          <w:szCs w:val="28"/>
        </w:rPr>
        <w:t xml:space="preserve">BONUS PAY / EMERG </w:t>
      </w:r>
      <w:r w:rsidR="00400FF9">
        <w:rPr>
          <w:rFonts w:ascii="Arial Black" w:hAnsi="Arial Black"/>
          <w:sz w:val="28"/>
          <w:szCs w:val="28"/>
        </w:rPr>
        <w:t>DAYS</w:t>
      </w:r>
      <w:r w:rsidR="00E8499A">
        <w:rPr>
          <w:rFonts w:ascii="Arial Black" w:hAnsi="Arial Black"/>
          <w:sz w:val="28"/>
          <w:szCs w:val="28"/>
        </w:rPr>
        <w:t xml:space="preserve"> – INC</w:t>
      </w:r>
      <w:r w:rsidR="00DC4A38">
        <w:rPr>
          <w:rFonts w:ascii="Arial Black" w:hAnsi="Arial Black"/>
          <w:sz w:val="28"/>
          <w:szCs w:val="28"/>
        </w:rPr>
        <w:t xml:space="preserve">LUDE AS </w:t>
      </w:r>
      <w:r w:rsidR="00515C56">
        <w:rPr>
          <w:rFonts w:ascii="Arial Black" w:hAnsi="Arial Black"/>
          <w:sz w:val="28"/>
          <w:szCs w:val="28"/>
        </w:rPr>
        <w:t>“REGULAR RATE</w:t>
      </w:r>
      <w:r w:rsidR="00E8499A">
        <w:rPr>
          <w:rFonts w:ascii="Arial Black" w:hAnsi="Arial Black"/>
          <w:sz w:val="28"/>
          <w:szCs w:val="28"/>
        </w:rPr>
        <w:t>”</w:t>
      </w:r>
    </w:p>
    <w:p w14:paraId="53B885B0" w14:textId="77777777" w:rsidR="0042214E" w:rsidRDefault="0042214E" w:rsidP="0042214E">
      <w:pPr>
        <w:pStyle w:val="NoSpacing"/>
        <w:ind w:left="720"/>
      </w:pPr>
    </w:p>
    <w:p w14:paraId="68EDA35A" w14:textId="77777777" w:rsidR="0042214E" w:rsidRDefault="0042214E" w:rsidP="0042214E">
      <w:pPr>
        <w:rPr>
          <w:b/>
        </w:rPr>
      </w:pPr>
      <w:r>
        <w:t xml:space="preserve">On September 30, 2025, the U.S. Department of Labor / Wage &amp; Hour Division issued Opinion Letter 2025-04, which concluded that the “emergency pay” bonus </w:t>
      </w:r>
      <w:r w:rsidRPr="00A221F2">
        <w:t>of one half the employee’s regular hourly rate of pay</w:t>
      </w:r>
      <w:r>
        <w:t xml:space="preserve"> </w:t>
      </w:r>
      <w:r w:rsidRPr="00A221F2">
        <w:t>for every hour worked during an “emergency period</w:t>
      </w:r>
      <w:r>
        <w:t xml:space="preserve">” is not a discretionary payment by the employer.  Since it must be paid, then employer must include the payments when calculating the firefighter’s “regular rate of pay” when working normal overtimes. </w:t>
      </w:r>
      <w:hyperlink r:id="rId1694" w:history="1">
        <w:r w:rsidRPr="000D68E6">
          <w:rPr>
            <w:rStyle w:val="Hyperlink"/>
            <w:b/>
          </w:rPr>
          <w:t>https://www.dol.gov/sites/dolgov/files/WHD/opinion-letters/FLSA/FLSA-2025-04.pdf</w:t>
        </w:r>
      </w:hyperlink>
      <w:r>
        <w:rPr>
          <w:b/>
        </w:rPr>
        <w:t xml:space="preserve"> </w:t>
      </w:r>
    </w:p>
    <w:p w14:paraId="7FA09B8B" w14:textId="77777777" w:rsidR="0042214E" w:rsidRDefault="0042214E" w:rsidP="0042214E">
      <w:pPr>
        <w:pStyle w:val="NoSpacing"/>
      </w:pPr>
    </w:p>
    <w:p w14:paraId="4F7C1A42" w14:textId="77777777" w:rsidR="0042214E" w:rsidRDefault="0042214E" w:rsidP="0042214E">
      <w:pPr>
        <w:pStyle w:val="NoSpacing"/>
      </w:pPr>
      <w:r>
        <w:t>THE OPINION CONCLUDED:</w:t>
      </w:r>
    </w:p>
    <w:p w14:paraId="67082C11" w14:textId="77777777" w:rsidR="0042214E" w:rsidRDefault="0042214E" w:rsidP="0042214E">
      <w:pPr>
        <w:pStyle w:val="NoSpacing"/>
      </w:pPr>
    </w:p>
    <w:p w14:paraId="3F8F7D10" w14:textId="77777777" w:rsidR="0042214E" w:rsidRDefault="0042214E" w:rsidP="0042214E">
      <w:pPr>
        <w:pStyle w:val="NoSpacing"/>
        <w:ind w:left="720"/>
      </w:pPr>
      <w:r>
        <w:t>“</w:t>
      </w:r>
      <w:r w:rsidRPr="00140178">
        <w:t>It is our opinion that, under the circumstances presented and limited to the specific facts set forth</w:t>
      </w:r>
      <w:r>
        <w:t xml:space="preserve"> </w:t>
      </w:r>
      <w:r w:rsidRPr="00140178">
        <w:t>in the request, the “emergency pay” is not excludable from the regular rate of pay because the fact</w:t>
      </w:r>
      <w:r>
        <w:t xml:space="preserve"> </w:t>
      </w:r>
      <w:r w:rsidRPr="00140178">
        <w:t>and amount of the payment are not within the sole discretion of the employer at or near the end of</w:t>
      </w:r>
      <w:r>
        <w:t xml:space="preserve"> </w:t>
      </w:r>
      <w:r w:rsidRPr="00140178">
        <w:t>the work period, and the pay does not otherwise fit within a statutory exclusion. Accordingly, the</w:t>
      </w:r>
      <w:r>
        <w:t xml:space="preserve"> </w:t>
      </w:r>
      <w:r w:rsidRPr="00140178">
        <w:t xml:space="preserve">employer at issue should include </w:t>
      </w:r>
      <w:r>
        <w:t>‘</w:t>
      </w:r>
      <w:r w:rsidRPr="00140178">
        <w:t>emergency pay</w:t>
      </w:r>
      <w:r>
        <w:t>’</w:t>
      </w:r>
      <w:r w:rsidRPr="00140178">
        <w:t xml:space="preserve"> earned for hours worked within the regular rate</w:t>
      </w:r>
      <w:r>
        <w:t xml:space="preserve"> </w:t>
      </w:r>
      <w:r w:rsidRPr="00140178">
        <w:t>for purposes of overtime premium calculations using the method described below.</w:t>
      </w:r>
    </w:p>
    <w:p w14:paraId="7EBDB66F" w14:textId="77777777" w:rsidR="0042214E" w:rsidRDefault="0042214E" w:rsidP="0042214E">
      <w:pPr>
        <w:pStyle w:val="NoSpacing"/>
        <w:ind w:left="720"/>
      </w:pPr>
    </w:p>
    <w:p w14:paraId="4F0CC88B" w14:textId="77777777" w:rsidR="0042214E" w:rsidRDefault="0042214E" w:rsidP="0042214E">
      <w:pPr>
        <w:pStyle w:val="NoSpacing"/>
        <w:ind w:left="720"/>
      </w:pPr>
      <w:r>
        <w:t>***</w:t>
      </w:r>
    </w:p>
    <w:p w14:paraId="38765F07" w14:textId="77777777" w:rsidR="0042214E" w:rsidRPr="00140178" w:rsidRDefault="0042214E" w:rsidP="0042214E">
      <w:pPr>
        <w:pStyle w:val="NoSpacing"/>
        <w:ind w:left="720"/>
      </w:pPr>
      <w:r>
        <w:t>The FLSA requires that three conditions be satisfied for a payment to qualify as an excludable discretionary bonus: (1) the fact and amount of the payment must be ‘determined at the sole discretion of the employer’; (2) the employer’s determination must occur ‘at or near the end of the period’ when the employee’s work was performed; and (3) the payment must not be made pursuant to ‘any prior contract, agreement, or promise’ causing employees to expect such payments regularly. 29 U.S.C. § 207(e)(3). Here, regardless of whether the city’s policy would constitute a prior contract, agreement, or promise, the first two conditions are not satisfied.”</w:t>
      </w:r>
    </w:p>
    <w:p w14:paraId="302863EA" w14:textId="77777777" w:rsidR="0042214E" w:rsidRDefault="0042214E" w:rsidP="0042214E">
      <w:pPr>
        <w:rPr>
          <w:b/>
        </w:rPr>
      </w:pPr>
    </w:p>
    <w:p w14:paraId="188DCFB8" w14:textId="58AB1A78" w:rsidR="0042214E" w:rsidRDefault="0042214E" w:rsidP="0042214E">
      <w:pPr>
        <w:rPr>
          <w:b/>
        </w:rPr>
      </w:pPr>
      <w:r>
        <w:rPr>
          <w:b/>
        </w:rPr>
        <w:t>Legal lesson learned: Consult with legal counsel prior to treat</w:t>
      </w:r>
      <w:r w:rsidR="00B973D2">
        <w:rPr>
          <w:b/>
        </w:rPr>
        <w:t>ing</w:t>
      </w:r>
      <w:r>
        <w:rPr>
          <w:b/>
        </w:rPr>
        <w:t xml:space="preserve"> any bonus payments as “excludable discretionary bonuses. ” </w:t>
      </w:r>
    </w:p>
    <w:p w14:paraId="136672CE" w14:textId="77777777" w:rsidR="0042214E" w:rsidRPr="00B00F68" w:rsidRDefault="0042214E" w:rsidP="0042214E">
      <w:pPr>
        <w:ind w:left="720"/>
        <w:rPr>
          <w:bCs/>
        </w:rPr>
      </w:pPr>
      <w:r w:rsidRPr="00B00F68">
        <w:t xml:space="preserve">Note: See FLSA Fact Sheet #56C, December 2019 for examples of bonuses thar may be excludable discretionary bonus. </w:t>
      </w:r>
      <w:hyperlink r:id="rId1695" w:history="1">
        <w:r w:rsidRPr="00D443D2">
          <w:rPr>
            <w:rStyle w:val="Hyperlink"/>
          </w:rPr>
          <w:t>https://www.dol.gov/agencies/whd/fact-sheets/56c-bonuses</w:t>
        </w:r>
      </w:hyperlink>
      <w:r>
        <w:t xml:space="preserve"> </w:t>
      </w:r>
    </w:p>
    <w:p w14:paraId="5C4EFBB6" w14:textId="77777777" w:rsidR="0042214E" w:rsidRPr="00236419" w:rsidRDefault="0042214E" w:rsidP="0042214E">
      <w:pPr>
        <w:ind w:left="720"/>
        <w:rPr>
          <w:bCs/>
        </w:rPr>
      </w:pPr>
      <w:r w:rsidRPr="00B00F68">
        <w:t>“</w:t>
      </w:r>
      <w:r w:rsidRPr="00236419">
        <w:t xml:space="preserve">Examples of some common bonuses that may be excludable discretionary bonuses if they meet the statutory requirements include: </w:t>
      </w:r>
    </w:p>
    <w:p w14:paraId="5D1B5BC4" w14:textId="77777777" w:rsidR="0042214E" w:rsidRPr="00236419" w:rsidRDefault="0042214E" w:rsidP="0042214E">
      <w:pPr>
        <w:numPr>
          <w:ilvl w:val="0"/>
          <w:numId w:val="38"/>
        </w:numPr>
        <w:spacing w:after="160" w:line="259" w:lineRule="auto"/>
        <w:rPr>
          <w:bCs/>
        </w:rPr>
      </w:pPr>
      <w:r w:rsidRPr="00236419">
        <w:t xml:space="preserve">Bonuses for overcoming a challenging or stressful situation; </w:t>
      </w:r>
    </w:p>
    <w:p w14:paraId="7D9C688F" w14:textId="77777777" w:rsidR="0042214E" w:rsidRPr="00236419" w:rsidRDefault="0042214E" w:rsidP="0042214E">
      <w:pPr>
        <w:numPr>
          <w:ilvl w:val="0"/>
          <w:numId w:val="38"/>
        </w:numPr>
        <w:spacing w:after="160" w:line="259" w:lineRule="auto"/>
        <w:rPr>
          <w:bCs/>
        </w:rPr>
      </w:pPr>
      <w:r w:rsidRPr="00236419">
        <w:t xml:space="preserve">Bonuses to employees who made unique or extraordinary efforts not awarded according to pre-established criteria; </w:t>
      </w:r>
    </w:p>
    <w:p w14:paraId="7464278A" w14:textId="77777777" w:rsidR="0042214E" w:rsidRPr="00236419" w:rsidRDefault="0042214E" w:rsidP="0042214E">
      <w:pPr>
        <w:numPr>
          <w:ilvl w:val="0"/>
          <w:numId w:val="38"/>
        </w:numPr>
        <w:spacing w:after="160" w:line="259" w:lineRule="auto"/>
        <w:rPr>
          <w:bCs/>
        </w:rPr>
      </w:pPr>
      <w:r w:rsidRPr="00236419">
        <w:t xml:space="preserve">Employee-of-the-month bonuses; </w:t>
      </w:r>
    </w:p>
    <w:p w14:paraId="414DC10F" w14:textId="77777777" w:rsidR="0042214E" w:rsidRPr="00236419" w:rsidRDefault="0042214E" w:rsidP="0042214E">
      <w:pPr>
        <w:numPr>
          <w:ilvl w:val="0"/>
          <w:numId w:val="38"/>
        </w:numPr>
        <w:spacing w:after="160" w:line="259" w:lineRule="auto"/>
        <w:rPr>
          <w:bCs/>
        </w:rPr>
      </w:pPr>
      <w:r w:rsidRPr="00236419">
        <w:t>Severance bonuses</w:t>
      </w:r>
      <w:r>
        <w:t xml:space="preserve">.” </w:t>
      </w:r>
    </w:p>
    <w:p w14:paraId="399DF0D8" w14:textId="19EB5095" w:rsidR="00020106" w:rsidRDefault="00020106" w:rsidP="00020106">
      <w:pPr>
        <w:rPr>
          <w:rFonts w:ascii="Arial Black" w:hAnsi="Arial Black"/>
          <w:b/>
          <w:sz w:val="24"/>
          <w:szCs w:val="24"/>
        </w:rPr>
      </w:pPr>
      <w:r>
        <w:rPr>
          <w:rFonts w:ascii="Arial Black" w:hAnsi="Arial Black"/>
          <w:b/>
          <w:sz w:val="24"/>
          <w:szCs w:val="24"/>
        </w:rPr>
        <w:t>11-</w:t>
      </w:r>
      <w:r w:rsidR="004C5670">
        <w:rPr>
          <w:rFonts w:ascii="Arial Black" w:hAnsi="Arial Black"/>
          <w:b/>
          <w:sz w:val="24"/>
          <w:szCs w:val="24"/>
        </w:rPr>
        <w:t>62</w:t>
      </w:r>
    </w:p>
    <w:p w14:paraId="6F370D07" w14:textId="15FAFC7E" w:rsidR="00A67DBF" w:rsidRPr="001E472F" w:rsidRDefault="00A67DBF" w:rsidP="00A67DBF">
      <w:pPr>
        <w:rPr>
          <w:rFonts w:ascii="Arial Black" w:hAnsi="Arial Black"/>
          <w:b/>
          <w:sz w:val="28"/>
          <w:szCs w:val="28"/>
        </w:rPr>
      </w:pPr>
      <w:r>
        <w:rPr>
          <w:rFonts w:ascii="Arial Black" w:hAnsi="Arial Black"/>
          <w:b/>
          <w:sz w:val="28"/>
          <w:szCs w:val="28"/>
        </w:rPr>
        <w:lastRenderedPageBreak/>
        <w:t>OK: SHIFT DIFFERENTIAL – OT RATE - $350K SETTLEMENT</w:t>
      </w:r>
    </w:p>
    <w:p w14:paraId="07ECAA33" w14:textId="2DFBAA53" w:rsidR="009C7451" w:rsidRPr="00F74343" w:rsidRDefault="00A67DBF" w:rsidP="00A67DBF">
      <w:pPr>
        <w:rPr>
          <w:rFonts w:ascii="Times New Roman" w:hAnsi="Times New Roman"/>
          <w:b/>
          <w:sz w:val="24"/>
          <w:szCs w:val="24"/>
        </w:rPr>
      </w:pPr>
      <w:r w:rsidRPr="00F74343">
        <w:rPr>
          <w:rFonts w:ascii="Times New Roman" w:hAnsi="Times New Roman"/>
          <w:sz w:val="24"/>
          <w:szCs w:val="24"/>
        </w:rPr>
        <w:t xml:space="preserve">On June 23, 2025, in </w:t>
      </w:r>
      <w:r w:rsidRPr="00F74343">
        <w:rPr>
          <w:rFonts w:ascii="Times New Roman" w:hAnsi="Times New Roman"/>
          <w:sz w:val="24"/>
          <w:szCs w:val="24"/>
          <w:u w:val="single"/>
        </w:rPr>
        <w:t>Jerry Sherley v. Muskogee County EMS</w:t>
      </w:r>
      <w:r w:rsidRPr="00F74343">
        <w:rPr>
          <w:rFonts w:ascii="Times New Roman" w:hAnsi="Times New Roman"/>
          <w:sz w:val="24"/>
          <w:szCs w:val="24"/>
        </w:rPr>
        <w:t xml:space="preserve">, U.S. District Court Judge John F. Heil, III, United States District Court for Eastern District of Oklahoma, approved a settlement agreement for EMTs employed by the County who received an hourly wage plus shift differential pay and who worked more than 40 hours in a workweek between July 18, 2020 to October 31, 2023.  The gross settlement amount of $350,000 (including </w:t>
      </w:r>
      <w:proofErr w:type="gramStart"/>
      <w:r w:rsidRPr="00F74343">
        <w:rPr>
          <w:rFonts w:ascii="Times New Roman" w:hAnsi="Times New Roman"/>
          <w:sz w:val="24"/>
          <w:szCs w:val="24"/>
        </w:rPr>
        <w:t>attorney's</w:t>
      </w:r>
      <w:proofErr w:type="gramEnd"/>
      <w:r w:rsidRPr="00F74343">
        <w:rPr>
          <w:rFonts w:ascii="Times New Roman" w:hAnsi="Times New Roman"/>
          <w:sz w:val="24"/>
          <w:szCs w:val="24"/>
        </w:rPr>
        <w:t xml:space="preserve"> fees and costs, as well as administration expenses) for up to 130 putative class members. Based on the amount of the settlement and the number of class members [78 EMS] opting into the settlement, members of the class will receive more than 200% of their unpaid wages.  THE COURT HELD: “Here, the standard for final certification is met. As to the first factor, there are no ‘disparate and factual employment settings’ that would preclude collective treatment because all the members of the Settlement Class were subject to MCEMS's policy of failing to include shift ‘differential’ pay when calculating overtime rates.” </w:t>
      </w:r>
      <w:hyperlink r:id="rId1696" w:history="1">
        <w:r w:rsidRPr="00F74343">
          <w:rPr>
            <w:rStyle w:val="Hyperlink"/>
            <w:rFonts w:ascii="Times New Roman" w:hAnsi="Times New Roman"/>
            <w:sz w:val="24"/>
            <w:szCs w:val="24"/>
          </w:rPr>
          <w:t>https://cases.justia.com/federal/district-courts/oklahoma/okedce/6:2023cv00241/34830/33/0.pdf?ts=1732294058</w:t>
        </w:r>
      </w:hyperlink>
    </w:p>
    <w:p w14:paraId="26A7C4B1" w14:textId="77777777" w:rsidR="00F74343" w:rsidRPr="00F74343" w:rsidRDefault="00F74343" w:rsidP="00F74343">
      <w:pPr>
        <w:rPr>
          <w:rFonts w:ascii="Times New Roman" w:hAnsi="Times New Roman"/>
          <w:b/>
          <w:bCs/>
          <w:sz w:val="24"/>
          <w:szCs w:val="24"/>
        </w:rPr>
      </w:pPr>
      <w:r w:rsidRPr="00F74343">
        <w:rPr>
          <w:rFonts w:ascii="Times New Roman" w:hAnsi="Times New Roman"/>
          <w:b/>
          <w:sz w:val="24"/>
          <w:szCs w:val="24"/>
        </w:rPr>
        <w:t xml:space="preserve">Legal lesson learned: Fire &amp; EMS employers should carefully review FLSA regulations on how shift differential pay and other incentive pay (such as paramedic pay) can impact an employee’s “regular rate of pay.” </w:t>
      </w:r>
    </w:p>
    <w:p w14:paraId="0D3193FE" w14:textId="77777777" w:rsidR="00F74343" w:rsidRPr="00F74343" w:rsidRDefault="00F74343" w:rsidP="00F74343">
      <w:pPr>
        <w:ind w:left="720"/>
        <w:rPr>
          <w:rFonts w:ascii="Times New Roman" w:hAnsi="Times New Roman"/>
          <w:sz w:val="24"/>
          <w:szCs w:val="24"/>
        </w:rPr>
      </w:pPr>
      <w:r w:rsidRPr="00F74343">
        <w:rPr>
          <w:rFonts w:ascii="Times New Roman" w:hAnsi="Times New Roman"/>
          <w:sz w:val="24"/>
          <w:szCs w:val="24"/>
        </w:rPr>
        <w:t xml:space="preserve">Note: See this article, “Wage and Hour Watch: Regular Rate of Pay Primer for Employers.” March 4, 2024. </w:t>
      </w:r>
      <w:hyperlink r:id="rId1697" w:history="1">
        <w:r w:rsidRPr="00F74343">
          <w:rPr>
            <w:rStyle w:val="Hyperlink"/>
            <w:rFonts w:ascii="Times New Roman" w:hAnsi="Times New Roman"/>
            <w:sz w:val="24"/>
            <w:szCs w:val="24"/>
          </w:rPr>
          <w:t>https://natlawreview.com/article/wage-and-hour-watch-regular-rate-pay-primer-employers</w:t>
        </w:r>
      </w:hyperlink>
      <w:r w:rsidRPr="00F74343">
        <w:rPr>
          <w:rFonts w:ascii="Times New Roman" w:hAnsi="Times New Roman"/>
          <w:sz w:val="24"/>
          <w:szCs w:val="24"/>
        </w:rPr>
        <w:t xml:space="preserve"> </w:t>
      </w:r>
    </w:p>
    <w:p w14:paraId="42073B02" w14:textId="77777777" w:rsidR="00F74343" w:rsidRPr="00F74343" w:rsidRDefault="00F74343" w:rsidP="00F74343">
      <w:pPr>
        <w:ind w:left="1440"/>
        <w:rPr>
          <w:rFonts w:ascii="Times New Roman" w:hAnsi="Times New Roman"/>
          <w:sz w:val="24"/>
          <w:szCs w:val="24"/>
        </w:rPr>
      </w:pPr>
      <w:r w:rsidRPr="00F74343">
        <w:rPr>
          <w:rFonts w:ascii="Times New Roman" w:hAnsi="Times New Roman"/>
          <w:sz w:val="24"/>
          <w:szCs w:val="24"/>
        </w:rPr>
        <w:t xml:space="preserve">“If an employee’s base hourly rate is $16 per hour, but the employee receives a 50 cent per hour shift differential for working certain shifts, such shift differential should be included in the employee’s regular rate of pay, and thus, the overtime calculation. So, in this example, if an employee worked 46 hours in a work </w:t>
      </w:r>
      <w:proofErr w:type="gramStart"/>
      <w:r w:rsidRPr="00F74343">
        <w:rPr>
          <w:rFonts w:ascii="Times New Roman" w:hAnsi="Times New Roman"/>
          <w:sz w:val="24"/>
          <w:szCs w:val="24"/>
        </w:rPr>
        <w:t>week, and</w:t>
      </w:r>
      <w:proofErr w:type="gramEnd"/>
      <w:r w:rsidRPr="00F74343">
        <w:rPr>
          <w:rFonts w:ascii="Times New Roman" w:hAnsi="Times New Roman"/>
          <w:sz w:val="24"/>
          <w:szCs w:val="24"/>
        </w:rPr>
        <w:t xml:space="preserve"> was paid the shift differential for six of those hours, the employee's overtime rate is not $24 per hour, it is $24.10.”</w:t>
      </w:r>
    </w:p>
    <w:p w14:paraId="3CA10362" w14:textId="2A6F9D5C" w:rsidR="009C7451" w:rsidRPr="00F74343" w:rsidRDefault="00F74343" w:rsidP="00F74343">
      <w:pPr>
        <w:ind w:left="720"/>
        <w:rPr>
          <w:rFonts w:ascii="Times New Roman" w:hAnsi="Times New Roman"/>
          <w:b/>
          <w:sz w:val="24"/>
          <w:szCs w:val="24"/>
        </w:rPr>
      </w:pPr>
      <w:r w:rsidRPr="00F74343">
        <w:rPr>
          <w:rFonts w:ascii="Times New Roman" w:hAnsi="Times New Roman"/>
          <w:sz w:val="24"/>
          <w:szCs w:val="24"/>
        </w:rPr>
        <w:t xml:space="preserve">See also: Fact Sheet #56A: Overview of the Regular Rate of Pay Under the Fair Labor Standards Act (FLSA). </w:t>
      </w:r>
      <w:hyperlink r:id="rId1698" w:history="1">
        <w:r w:rsidRPr="00F74343">
          <w:rPr>
            <w:rStyle w:val="Hyperlink"/>
            <w:rFonts w:ascii="Times New Roman" w:hAnsi="Times New Roman"/>
            <w:sz w:val="24"/>
            <w:szCs w:val="24"/>
          </w:rPr>
          <w:t>https://www.dol.gov/agencies/whd/fact-sheets/56a-regular-rate</w:t>
        </w:r>
      </w:hyperlink>
    </w:p>
    <w:p w14:paraId="41561DE1" w14:textId="77777777" w:rsidR="009C7451" w:rsidRDefault="009C7451" w:rsidP="00F326E5">
      <w:pPr>
        <w:rPr>
          <w:rFonts w:ascii="Arial Black" w:hAnsi="Arial Black"/>
          <w:b/>
          <w:sz w:val="24"/>
          <w:szCs w:val="24"/>
        </w:rPr>
      </w:pPr>
    </w:p>
    <w:p w14:paraId="0072E330" w14:textId="11D705E6" w:rsidR="00020106" w:rsidRDefault="00020106" w:rsidP="00020106">
      <w:pPr>
        <w:rPr>
          <w:rFonts w:ascii="Arial Black" w:hAnsi="Arial Black"/>
          <w:b/>
          <w:sz w:val="24"/>
          <w:szCs w:val="24"/>
        </w:rPr>
      </w:pPr>
      <w:r>
        <w:rPr>
          <w:rFonts w:ascii="Arial Black" w:hAnsi="Arial Black"/>
          <w:b/>
          <w:sz w:val="24"/>
          <w:szCs w:val="24"/>
        </w:rPr>
        <w:t>11-</w:t>
      </w:r>
      <w:r w:rsidR="004C5670">
        <w:rPr>
          <w:rFonts w:ascii="Arial Black" w:hAnsi="Arial Black"/>
          <w:b/>
          <w:sz w:val="24"/>
          <w:szCs w:val="24"/>
        </w:rPr>
        <w:t>61</w:t>
      </w:r>
    </w:p>
    <w:p w14:paraId="0F288793" w14:textId="2A55A3FA" w:rsidR="00EB050B" w:rsidRPr="00EA5A43" w:rsidRDefault="00EB050B" w:rsidP="00EB050B">
      <w:pPr>
        <w:rPr>
          <w:rFonts w:ascii="Arial Black" w:hAnsi="Arial Black"/>
          <w:b/>
          <w:sz w:val="28"/>
          <w:szCs w:val="28"/>
        </w:rPr>
      </w:pPr>
      <w:r>
        <w:rPr>
          <w:rFonts w:ascii="Arial Black" w:hAnsi="Arial Black"/>
          <w:b/>
          <w:sz w:val="28"/>
          <w:szCs w:val="28"/>
        </w:rPr>
        <w:t xml:space="preserve">MN: EMS “ON CALL” - 8-MIN </w:t>
      </w:r>
      <w:r w:rsidR="006E0471">
        <w:rPr>
          <w:rFonts w:ascii="Arial Black" w:hAnsi="Arial Black"/>
          <w:b/>
          <w:sz w:val="28"/>
          <w:szCs w:val="28"/>
        </w:rPr>
        <w:t xml:space="preserve">REQ. </w:t>
      </w:r>
      <w:r>
        <w:rPr>
          <w:rFonts w:ascii="Arial Black" w:hAnsi="Arial Black"/>
          <w:b/>
          <w:sz w:val="28"/>
          <w:szCs w:val="28"/>
        </w:rPr>
        <w:t>RESP</w:t>
      </w:r>
      <w:r w:rsidR="006E0471">
        <w:rPr>
          <w:rFonts w:ascii="Arial Black" w:hAnsi="Arial Black"/>
          <w:b/>
          <w:sz w:val="28"/>
          <w:szCs w:val="28"/>
        </w:rPr>
        <w:t>ONSE</w:t>
      </w:r>
      <w:r>
        <w:rPr>
          <w:rFonts w:ascii="Arial Black" w:hAnsi="Arial Black"/>
          <w:b/>
          <w:sz w:val="28"/>
          <w:szCs w:val="28"/>
        </w:rPr>
        <w:t xml:space="preserve"> TIME </w:t>
      </w:r>
      <w:r w:rsidR="00292532">
        <w:rPr>
          <w:rFonts w:ascii="Arial Black" w:hAnsi="Arial Black"/>
          <w:b/>
          <w:sz w:val="28"/>
          <w:szCs w:val="28"/>
        </w:rPr>
        <w:t>–</w:t>
      </w:r>
      <w:r w:rsidR="00B82986">
        <w:rPr>
          <w:rFonts w:ascii="Arial Black" w:hAnsi="Arial Black"/>
          <w:b/>
          <w:sz w:val="28"/>
          <w:szCs w:val="28"/>
        </w:rPr>
        <w:t xml:space="preserve"> </w:t>
      </w:r>
      <w:r w:rsidR="00292532">
        <w:rPr>
          <w:rFonts w:ascii="Arial Black" w:hAnsi="Arial Black"/>
          <w:b/>
          <w:sz w:val="28"/>
          <w:szCs w:val="28"/>
        </w:rPr>
        <w:t xml:space="preserve">GRANTED </w:t>
      </w:r>
      <w:r>
        <w:rPr>
          <w:rFonts w:ascii="Arial Black" w:hAnsi="Arial Black"/>
          <w:b/>
          <w:sz w:val="28"/>
          <w:szCs w:val="28"/>
        </w:rPr>
        <w:t>CLASS ACTION</w:t>
      </w:r>
      <w:r w:rsidR="00F41FAA">
        <w:rPr>
          <w:rFonts w:ascii="Arial Black" w:hAnsi="Arial Black"/>
          <w:b/>
          <w:sz w:val="28"/>
          <w:szCs w:val="28"/>
        </w:rPr>
        <w:t xml:space="preserve"> </w:t>
      </w:r>
    </w:p>
    <w:p w14:paraId="65718A44" w14:textId="20E5D6F7" w:rsidR="009C7451" w:rsidRPr="004C756A" w:rsidRDefault="00EB050B" w:rsidP="00EB050B">
      <w:pPr>
        <w:rPr>
          <w:rFonts w:ascii="Times New Roman" w:hAnsi="Times New Roman"/>
          <w:sz w:val="24"/>
          <w:szCs w:val="24"/>
        </w:rPr>
      </w:pPr>
      <w:r w:rsidRPr="004C756A">
        <w:rPr>
          <w:rFonts w:ascii="Times New Roman" w:hAnsi="Times New Roman"/>
          <w:sz w:val="24"/>
          <w:szCs w:val="24"/>
        </w:rPr>
        <w:t xml:space="preserve">On June 20, 2025, in </w:t>
      </w:r>
      <w:r w:rsidRPr="004C756A">
        <w:rPr>
          <w:rFonts w:ascii="Times New Roman" w:hAnsi="Times New Roman"/>
          <w:sz w:val="24"/>
          <w:szCs w:val="24"/>
          <w:u w:val="single"/>
        </w:rPr>
        <w:t>Jason Johnson, individually and on behalf of all others similarly situated v, North Memorial Health Care</w:t>
      </w:r>
      <w:r w:rsidRPr="004C756A">
        <w:rPr>
          <w:rFonts w:ascii="Times New Roman" w:hAnsi="Times New Roman"/>
          <w:sz w:val="24"/>
          <w:szCs w:val="24"/>
        </w:rPr>
        <w:t xml:space="preserve">,  U.S. District Court Chief Judge Patrick J. Schiltz, United States District Court for the District of Minnesota, granted the motion to certify a class action on behalf of 120 paramedics and EMTs who have agreed to join in the lawsuit. The EMS plaintiffs claim that the 8-minute response time requirement, in uniform, when they were scheduled to be “on call” from home so impacts their personal time they are entitled to their regular hourly pay rate (not just $4 per hour). THE COURT HELD: “Here, the EMTs were all subject to the same policies that, they contend, significantly restricted their ability to spend on-call time on personal pursuits. In particular, the EMTs were required, while on call, to be </w:t>
      </w:r>
      <w:proofErr w:type="spellStart"/>
      <w:r w:rsidRPr="004C756A">
        <w:rPr>
          <w:rFonts w:ascii="Times New Roman" w:hAnsi="Times New Roman"/>
          <w:sz w:val="24"/>
          <w:szCs w:val="24"/>
        </w:rPr>
        <w:t>en</w:t>
      </w:r>
      <w:proofErr w:type="spellEnd"/>
      <w:r w:rsidRPr="004C756A">
        <w:rPr>
          <w:rFonts w:ascii="Times New Roman" w:hAnsi="Times New Roman"/>
          <w:sz w:val="24"/>
          <w:szCs w:val="24"/>
        </w:rPr>
        <w:t xml:space="preserve"> route to calls within eight minutes of receiving a notification; to be in uniform or similar appropriate dress when responding to calls; and to refrain </w:t>
      </w:r>
      <w:r w:rsidRPr="004C756A">
        <w:rPr>
          <w:rFonts w:ascii="Times New Roman" w:hAnsi="Times New Roman"/>
          <w:sz w:val="24"/>
          <w:szCs w:val="24"/>
        </w:rPr>
        <w:lastRenderedPageBreak/>
        <w:t xml:space="preserve">from using alcohol or other mind-altering substances while on call. Likewise, the EMTs were all subject to the same allegedly illegal policies in that they were all paid less than minimum wage for on-call hours (except when responding to calls) and those hours were not included in determining their entitlement to overtime pay. </w:t>
      </w:r>
      <w:proofErr w:type="gramStart"/>
      <w:r w:rsidRPr="004C756A">
        <w:rPr>
          <w:rFonts w:ascii="Times New Roman" w:hAnsi="Times New Roman"/>
          <w:sz w:val="24"/>
          <w:szCs w:val="24"/>
        </w:rPr>
        <w:t>All of</w:t>
      </w:r>
      <w:proofErr w:type="gramEnd"/>
      <w:r w:rsidRPr="004C756A">
        <w:rPr>
          <w:rFonts w:ascii="Times New Roman" w:hAnsi="Times New Roman"/>
          <w:sz w:val="24"/>
          <w:szCs w:val="24"/>
        </w:rPr>
        <w:t xml:space="preserve"> these commonalities suggest that collective adjudication is appropriate in this case.”  </w:t>
      </w:r>
      <w:hyperlink r:id="rId1699" w:history="1">
        <w:r w:rsidRPr="004C756A">
          <w:rPr>
            <w:rStyle w:val="Hyperlink"/>
            <w:rFonts w:ascii="Times New Roman" w:hAnsi="Times New Roman"/>
            <w:sz w:val="24"/>
            <w:szCs w:val="24"/>
          </w:rPr>
          <w:t>https://cases.justia.com/federal/district-courts/minnesota/mndce/0:2023cv01780/208467/146/0.pdf?ts=1750499803</w:t>
        </w:r>
      </w:hyperlink>
    </w:p>
    <w:p w14:paraId="5BD3662F" w14:textId="77777777" w:rsidR="004C756A" w:rsidRPr="004C756A" w:rsidRDefault="00D168B5" w:rsidP="004C756A">
      <w:pPr>
        <w:rPr>
          <w:rFonts w:ascii="Times New Roman" w:hAnsi="Times New Roman"/>
          <w:sz w:val="24"/>
          <w:szCs w:val="24"/>
        </w:rPr>
      </w:pPr>
      <w:r w:rsidRPr="004C756A">
        <w:rPr>
          <w:rFonts w:ascii="Times New Roman" w:hAnsi="Times New Roman"/>
          <w:b/>
          <w:sz w:val="24"/>
          <w:szCs w:val="24"/>
        </w:rPr>
        <w:t xml:space="preserve">Leegal lesson learned: Plaintiffs may now proceed with class action trial; “on call” policies requiring rapid response from home have been the subject of several cases around the nation. </w:t>
      </w:r>
      <w:r w:rsidRPr="004C756A">
        <w:rPr>
          <w:rFonts w:ascii="Times New Roman" w:hAnsi="Times New Roman"/>
          <w:b/>
          <w:sz w:val="24"/>
          <w:szCs w:val="24"/>
        </w:rPr>
        <w:br/>
      </w:r>
    </w:p>
    <w:p w14:paraId="6E0D6360" w14:textId="4370DCCC" w:rsidR="00541D60" w:rsidRPr="004C756A" w:rsidRDefault="00D168B5" w:rsidP="00D168B5">
      <w:pPr>
        <w:ind w:left="720"/>
        <w:rPr>
          <w:rFonts w:ascii="Times New Roman" w:hAnsi="Times New Roman"/>
          <w:bCs/>
          <w:sz w:val="24"/>
          <w:szCs w:val="24"/>
        </w:rPr>
      </w:pPr>
      <w:r w:rsidRPr="004C756A">
        <w:rPr>
          <w:rFonts w:ascii="Times New Roman" w:hAnsi="Times New Roman"/>
          <w:sz w:val="24"/>
          <w:szCs w:val="24"/>
        </w:rPr>
        <w:t>N</w:t>
      </w:r>
      <w:r w:rsidR="00541D60" w:rsidRPr="004C756A">
        <w:rPr>
          <w:rFonts w:ascii="Times New Roman" w:hAnsi="Times New Roman"/>
          <w:sz w:val="24"/>
          <w:szCs w:val="24"/>
        </w:rPr>
        <w:t xml:space="preserve">ote: See U.S. Department of Labor - Fact Sheet #22: Hours Worked Under the Fair Labor Standards Act (FLSA) – July 2008. </w:t>
      </w:r>
      <w:hyperlink r:id="rId1700" w:history="1">
        <w:r w:rsidR="00541D60" w:rsidRPr="004C756A">
          <w:rPr>
            <w:rStyle w:val="Hyperlink"/>
            <w:rFonts w:ascii="Times New Roman" w:hAnsi="Times New Roman"/>
            <w:sz w:val="24"/>
            <w:szCs w:val="24"/>
          </w:rPr>
          <w:t>https://www.dol.gov/agencies/whd/fact-sheets/22-flsa-hours-worked</w:t>
        </w:r>
      </w:hyperlink>
      <w:r w:rsidR="00541D60" w:rsidRPr="004C756A">
        <w:rPr>
          <w:rFonts w:ascii="Times New Roman" w:hAnsi="Times New Roman"/>
          <w:sz w:val="24"/>
          <w:szCs w:val="24"/>
        </w:rPr>
        <w:t xml:space="preserve"> </w:t>
      </w:r>
    </w:p>
    <w:p w14:paraId="12AA4BB2" w14:textId="77777777" w:rsidR="00541D60" w:rsidRPr="004C756A" w:rsidRDefault="00541D60" w:rsidP="00541D60">
      <w:pPr>
        <w:ind w:left="1440"/>
        <w:rPr>
          <w:rFonts w:ascii="Times New Roman" w:hAnsi="Times New Roman"/>
          <w:bCs/>
          <w:sz w:val="24"/>
          <w:szCs w:val="24"/>
        </w:rPr>
      </w:pPr>
      <w:r w:rsidRPr="004C756A">
        <w:rPr>
          <w:rFonts w:ascii="Times New Roman" w:hAnsi="Times New Roman"/>
          <w:sz w:val="24"/>
          <w:szCs w:val="24"/>
        </w:rPr>
        <w:t>“On-Call Time:</w:t>
      </w:r>
      <w:r w:rsidRPr="004C756A">
        <w:rPr>
          <w:rFonts w:ascii="Times New Roman" w:hAnsi="Times New Roman"/>
          <w:bCs/>
          <w:sz w:val="24"/>
          <w:szCs w:val="24"/>
        </w:rPr>
        <w:t xml:space="preserve"> </w:t>
      </w:r>
      <w:r w:rsidRPr="004C756A">
        <w:rPr>
          <w:rFonts w:ascii="Times New Roman" w:hAnsi="Times New Roman"/>
          <w:sz w:val="24"/>
          <w:szCs w:val="24"/>
        </w:rPr>
        <w:t xml:space="preserve">An employee who is required to remain on call on the employer's premises is working while ‘on call.’ An employee who is required to remain </w:t>
      </w:r>
      <w:proofErr w:type="gramStart"/>
      <w:r w:rsidRPr="004C756A">
        <w:rPr>
          <w:rFonts w:ascii="Times New Roman" w:hAnsi="Times New Roman"/>
          <w:sz w:val="24"/>
          <w:szCs w:val="24"/>
        </w:rPr>
        <w:t>on call at home</w:t>
      </w:r>
      <w:proofErr w:type="gramEnd"/>
      <w:r w:rsidRPr="004C756A">
        <w:rPr>
          <w:rFonts w:ascii="Times New Roman" w:hAnsi="Times New Roman"/>
          <w:sz w:val="24"/>
          <w:szCs w:val="24"/>
        </w:rPr>
        <w:t xml:space="preserve">, or who is allowed to leave a message where he/she can be reached, is not working (in most cases) while on call. Additional constraints on the employee's freedom could require this time to be </w:t>
      </w:r>
      <w:proofErr w:type="gramStart"/>
      <w:r w:rsidRPr="004C756A">
        <w:rPr>
          <w:rFonts w:ascii="Times New Roman" w:hAnsi="Times New Roman"/>
          <w:sz w:val="24"/>
          <w:szCs w:val="24"/>
        </w:rPr>
        <w:t>compensated.”</w:t>
      </w:r>
      <w:proofErr w:type="gramEnd"/>
    </w:p>
    <w:p w14:paraId="606ECAC9" w14:textId="26E57147" w:rsidR="00541D60" w:rsidRPr="004C756A" w:rsidRDefault="00541D60" w:rsidP="004C756A">
      <w:pPr>
        <w:ind w:left="720"/>
        <w:rPr>
          <w:rFonts w:ascii="Times New Roman" w:hAnsi="Times New Roman"/>
          <w:sz w:val="24"/>
          <w:szCs w:val="24"/>
        </w:rPr>
      </w:pPr>
      <w:r w:rsidRPr="004C756A">
        <w:rPr>
          <w:rFonts w:ascii="Times New Roman" w:hAnsi="Times New Roman"/>
          <w:sz w:val="24"/>
          <w:szCs w:val="24"/>
        </w:rPr>
        <w:t xml:space="preserve">See also May 23, </w:t>
      </w:r>
      <w:proofErr w:type="gramStart"/>
      <w:r w:rsidRPr="004C756A">
        <w:rPr>
          <w:rFonts w:ascii="Times New Roman" w:hAnsi="Times New Roman"/>
          <w:sz w:val="24"/>
          <w:szCs w:val="24"/>
        </w:rPr>
        <w:t>2008</w:t>
      </w:r>
      <w:proofErr w:type="gramEnd"/>
      <w:r w:rsidRPr="004C756A">
        <w:rPr>
          <w:rFonts w:ascii="Times New Roman" w:hAnsi="Times New Roman"/>
          <w:sz w:val="24"/>
          <w:szCs w:val="24"/>
        </w:rPr>
        <w:t xml:space="preserve"> U.S. Department of Labor – Opinion Letter FLSA2008-8NA, </w:t>
      </w:r>
      <w:hyperlink r:id="rId1701" w:history="1">
        <w:r w:rsidR="004C756A" w:rsidRPr="004C44CA">
          <w:rPr>
            <w:rStyle w:val="Hyperlink"/>
            <w:rFonts w:ascii="Times New Roman" w:hAnsi="Times New Roman"/>
            <w:sz w:val="24"/>
            <w:szCs w:val="24"/>
          </w:rPr>
          <w:t>https://www.dol.gov/sites/dolgov/files/WHD/legacy/files/2008_05_23_08NA_FLSA.pdf</w:t>
        </w:r>
      </w:hyperlink>
    </w:p>
    <w:p w14:paraId="1FF0A597" w14:textId="77777777" w:rsidR="00541D60" w:rsidRDefault="00541D60" w:rsidP="00EB050B">
      <w:pPr>
        <w:rPr>
          <w:rFonts w:ascii="Arial Black" w:hAnsi="Arial Black"/>
          <w:b/>
          <w:sz w:val="24"/>
          <w:szCs w:val="24"/>
        </w:rPr>
      </w:pPr>
    </w:p>
    <w:p w14:paraId="1FC3D304" w14:textId="4B3905E6" w:rsidR="00B92F73" w:rsidRDefault="00F616CC" w:rsidP="00F326E5">
      <w:pPr>
        <w:rPr>
          <w:rFonts w:ascii="Arial Black" w:hAnsi="Arial Black"/>
          <w:b/>
          <w:sz w:val="24"/>
          <w:szCs w:val="24"/>
        </w:rPr>
      </w:pPr>
      <w:r>
        <w:rPr>
          <w:rFonts w:ascii="Arial Black" w:hAnsi="Arial Black"/>
          <w:b/>
          <w:sz w:val="24"/>
          <w:szCs w:val="24"/>
        </w:rPr>
        <w:t>11-</w:t>
      </w:r>
      <w:r w:rsidR="004C5670">
        <w:rPr>
          <w:rFonts w:ascii="Arial Black" w:hAnsi="Arial Black"/>
          <w:b/>
          <w:sz w:val="24"/>
          <w:szCs w:val="24"/>
        </w:rPr>
        <w:t>60</w:t>
      </w:r>
    </w:p>
    <w:p w14:paraId="629D6975" w14:textId="1485DD0B" w:rsidR="00AB14AC" w:rsidRPr="006F2B87" w:rsidRDefault="00AB14AC" w:rsidP="00AB14AC">
      <w:pPr>
        <w:pStyle w:val="NoSpacing"/>
        <w:rPr>
          <w:rFonts w:ascii="Arial Black" w:hAnsi="Arial Black"/>
          <w:b/>
          <w:bCs/>
          <w:sz w:val="28"/>
          <w:szCs w:val="28"/>
        </w:rPr>
      </w:pPr>
      <w:r w:rsidRPr="006F2B87">
        <w:rPr>
          <w:rFonts w:ascii="Arial Black" w:hAnsi="Arial Black"/>
          <w:b/>
          <w:sz w:val="28"/>
          <w:szCs w:val="28"/>
        </w:rPr>
        <w:t>MA: FLSA –</w:t>
      </w:r>
      <w:r w:rsidR="0094704B">
        <w:rPr>
          <w:rFonts w:ascii="Arial Black" w:hAnsi="Arial Black"/>
          <w:b/>
          <w:sz w:val="28"/>
          <w:szCs w:val="28"/>
        </w:rPr>
        <w:t xml:space="preserve"> </w:t>
      </w:r>
      <w:r w:rsidRPr="006F2B87">
        <w:rPr>
          <w:rFonts w:ascii="Arial Black" w:hAnsi="Arial Black"/>
          <w:b/>
          <w:sz w:val="28"/>
          <w:szCs w:val="28"/>
        </w:rPr>
        <w:t>TOWN AGREES TO CHANGES</w:t>
      </w:r>
      <w:r>
        <w:rPr>
          <w:rFonts w:ascii="Arial Black" w:hAnsi="Arial Black"/>
          <w:b/>
          <w:sz w:val="28"/>
          <w:szCs w:val="28"/>
        </w:rPr>
        <w:t xml:space="preserve"> - D/C STILL EXEMPT</w:t>
      </w:r>
    </w:p>
    <w:p w14:paraId="4BE3A40A" w14:textId="77777777" w:rsidR="00AB14AC" w:rsidRDefault="00AB14AC" w:rsidP="00AB14AC">
      <w:pPr>
        <w:pStyle w:val="NoSpacing"/>
        <w:rPr>
          <w:bCs/>
        </w:rPr>
      </w:pPr>
    </w:p>
    <w:p w14:paraId="7718FB1B" w14:textId="77777777" w:rsidR="00AB14AC" w:rsidRPr="00AB14AC" w:rsidRDefault="00AB14AC" w:rsidP="00AB14AC">
      <w:pPr>
        <w:pStyle w:val="NoSpacing"/>
        <w:rPr>
          <w:rFonts w:ascii="Times New Roman" w:hAnsi="Times New Roman"/>
          <w:bCs/>
          <w:sz w:val="24"/>
          <w:szCs w:val="24"/>
        </w:rPr>
      </w:pPr>
      <w:r w:rsidRPr="00AB14AC">
        <w:rPr>
          <w:rFonts w:ascii="Times New Roman" w:hAnsi="Times New Roman"/>
          <w:sz w:val="24"/>
          <w:szCs w:val="24"/>
        </w:rPr>
        <w:t xml:space="preserve">On May 14, 2025, </w:t>
      </w:r>
      <w:r w:rsidRPr="00AB14AC">
        <w:rPr>
          <w:rFonts w:ascii="Times New Roman" w:hAnsi="Times New Roman"/>
          <w:sz w:val="24"/>
          <w:szCs w:val="24"/>
          <w:u w:val="single"/>
        </w:rPr>
        <w:t>Brian Bergeron and Paul Trahon, et al. v. Town of Brookline and Brookline Fire Department</w:t>
      </w:r>
      <w:r w:rsidRPr="00AB14AC">
        <w:rPr>
          <w:rFonts w:ascii="Times New Roman" w:hAnsi="Times New Roman"/>
          <w:sz w:val="24"/>
          <w:szCs w:val="24"/>
        </w:rPr>
        <w:t xml:space="preserve">, U.S. District Court Judge Julia E. </w:t>
      </w:r>
      <w:proofErr w:type="spellStart"/>
      <w:r w:rsidRPr="00AB14AC">
        <w:rPr>
          <w:rFonts w:ascii="Times New Roman" w:hAnsi="Times New Roman"/>
          <w:sz w:val="24"/>
          <w:szCs w:val="24"/>
        </w:rPr>
        <w:t>Kobick</w:t>
      </w:r>
      <w:proofErr w:type="spellEnd"/>
      <w:r w:rsidRPr="00AB14AC">
        <w:rPr>
          <w:rFonts w:ascii="Times New Roman" w:hAnsi="Times New Roman"/>
          <w:sz w:val="24"/>
          <w:szCs w:val="24"/>
        </w:rPr>
        <w:t xml:space="preserve">, United States District Court for the District of Massachusetts, approved the settlement agreement.  </w:t>
      </w:r>
    </w:p>
    <w:p w14:paraId="14663518" w14:textId="77777777" w:rsidR="00AB14AC" w:rsidRPr="00AB14AC" w:rsidRDefault="00AB14AC" w:rsidP="00AB14AC">
      <w:pPr>
        <w:pStyle w:val="NoSpacing"/>
        <w:rPr>
          <w:rFonts w:ascii="Times New Roman" w:hAnsi="Times New Roman"/>
          <w:bCs/>
          <w:sz w:val="24"/>
          <w:szCs w:val="24"/>
        </w:rPr>
      </w:pPr>
    </w:p>
    <w:p w14:paraId="0AF2C131" w14:textId="300F9DFB" w:rsidR="00F616CC" w:rsidRPr="00AB14AC" w:rsidRDefault="00AB14AC" w:rsidP="00AB14AC">
      <w:pPr>
        <w:rPr>
          <w:rFonts w:ascii="Times New Roman" w:hAnsi="Times New Roman"/>
          <w:b/>
          <w:sz w:val="24"/>
          <w:szCs w:val="24"/>
        </w:rPr>
      </w:pPr>
      <w:r w:rsidRPr="00AB14AC">
        <w:rPr>
          <w:rFonts w:ascii="Times New Roman" w:hAnsi="Times New Roman"/>
          <w:sz w:val="24"/>
          <w:szCs w:val="24"/>
        </w:rPr>
        <w:t xml:space="preserve">The Court wrote:  “The plaintiffs are 118 firefighters, fire lieutenants, fire captains, and deputy fire chiefs currently or formerly employed by the Town of Brookline…. The plaintiffs are part of a bargaining unit represented by Local 950, a chapter of the International Association of Firefighters (the ‘Union’)….  The parties restarted settlement negotiations when the litigation commenced in December 2023, and they agreed to a settlement in principle in April 2024….  After reaching this agreement, the Town modified its FLSA protocols to address the plaintiffs' concerns regarding how their hours were counted and how their rate of overtime pay was </w:t>
      </w:r>
      <w:proofErr w:type="gramStart"/>
      <w:r w:rsidRPr="00AB14AC">
        <w:rPr>
          <w:rFonts w:ascii="Times New Roman" w:hAnsi="Times New Roman"/>
          <w:sz w:val="24"/>
          <w:szCs w:val="24"/>
        </w:rPr>
        <w:t>calculated.”</w:t>
      </w:r>
      <w:proofErr w:type="gramEnd"/>
      <w:r w:rsidRPr="00AB14AC">
        <w:rPr>
          <w:rFonts w:ascii="Times New Roman" w:hAnsi="Times New Roman"/>
          <w:sz w:val="24"/>
          <w:szCs w:val="24"/>
        </w:rPr>
        <w:t xml:space="preserve"> </w:t>
      </w:r>
      <w:hyperlink r:id="rId1702" w:history="1">
        <w:r w:rsidRPr="00AB14AC">
          <w:rPr>
            <w:rStyle w:val="Hyperlink"/>
            <w:rFonts w:ascii="Times New Roman" w:hAnsi="Times New Roman"/>
            <w:sz w:val="24"/>
            <w:szCs w:val="24"/>
          </w:rPr>
          <w:t>https://public.fastcase.com/jaEE2PXzRXmZ99jOLMt1IrF9wD4fG884AOwA%2B%2B8sYndkdlA95em2xjLqn6HHRdZo?utm_medium=email&amp;_hsenc=p2ANqtz-_k9MVaO09mpQi5ToQ_rMR2msPFl5QNhVfsnrFCoGgDXkRnW8gb34HMapH4044HXAEb1Ni6dZoKu1yFSWgbbZwBVX_IXQ&amp;_hsmi=226712652&amp;utm_content=226712652&amp;utm_source=hs_email</w:t>
        </w:r>
      </w:hyperlink>
    </w:p>
    <w:p w14:paraId="49C8D394" w14:textId="77777777" w:rsidR="00785987" w:rsidRPr="00874DB0" w:rsidRDefault="00785987" w:rsidP="00785987">
      <w:pPr>
        <w:pStyle w:val="NoSpacing"/>
        <w:rPr>
          <w:rFonts w:ascii="Times New Roman" w:hAnsi="Times New Roman"/>
          <w:b/>
          <w:bCs/>
          <w:sz w:val="24"/>
          <w:szCs w:val="24"/>
        </w:rPr>
      </w:pPr>
      <w:r w:rsidRPr="00874DB0">
        <w:rPr>
          <w:rFonts w:ascii="Times New Roman" w:hAnsi="Times New Roman"/>
          <w:b/>
          <w:sz w:val="24"/>
          <w:szCs w:val="24"/>
        </w:rPr>
        <w:t xml:space="preserve">Legal Lesson Learned: Town wisely corrected their prior </w:t>
      </w:r>
      <w:r w:rsidRPr="00874DB0">
        <w:rPr>
          <w:rFonts w:ascii="Times New Roman" w:hAnsi="Times New Roman"/>
          <w:b/>
          <w:bCs/>
          <w:sz w:val="24"/>
          <w:szCs w:val="24"/>
        </w:rPr>
        <w:t xml:space="preserve">FLSA </w:t>
      </w:r>
      <w:r w:rsidRPr="00874DB0">
        <w:rPr>
          <w:rFonts w:ascii="Times New Roman" w:hAnsi="Times New Roman"/>
          <w:b/>
          <w:sz w:val="24"/>
          <w:szCs w:val="24"/>
        </w:rPr>
        <w:t>practices.</w:t>
      </w:r>
    </w:p>
    <w:p w14:paraId="3869B739" w14:textId="77777777" w:rsidR="00785987" w:rsidRPr="00874DB0" w:rsidRDefault="00785987" w:rsidP="00785987">
      <w:pPr>
        <w:pStyle w:val="NoSpacing"/>
        <w:rPr>
          <w:rFonts w:ascii="Times New Roman" w:hAnsi="Times New Roman"/>
          <w:sz w:val="24"/>
          <w:szCs w:val="24"/>
        </w:rPr>
      </w:pPr>
    </w:p>
    <w:p w14:paraId="0AA7A0B5" w14:textId="77777777" w:rsidR="00B92F73" w:rsidRDefault="00B92F73" w:rsidP="00F326E5">
      <w:pPr>
        <w:rPr>
          <w:rFonts w:ascii="Arial Black" w:hAnsi="Arial Black"/>
          <w:b/>
          <w:sz w:val="24"/>
          <w:szCs w:val="24"/>
        </w:rPr>
      </w:pPr>
    </w:p>
    <w:p w14:paraId="7F570084" w14:textId="51998654" w:rsidR="00061BDB" w:rsidRDefault="00061BDB" w:rsidP="00F326E5">
      <w:pPr>
        <w:rPr>
          <w:rFonts w:ascii="Arial Black" w:hAnsi="Arial Black"/>
          <w:b/>
          <w:sz w:val="24"/>
          <w:szCs w:val="24"/>
        </w:rPr>
      </w:pPr>
      <w:r>
        <w:rPr>
          <w:rFonts w:ascii="Arial Black" w:hAnsi="Arial Black"/>
          <w:b/>
          <w:sz w:val="24"/>
          <w:szCs w:val="24"/>
        </w:rPr>
        <w:lastRenderedPageBreak/>
        <w:t>11-5</w:t>
      </w:r>
      <w:r w:rsidR="00DE6B12">
        <w:rPr>
          <w:rFonts w:ascii="Arial Black" w:hAnsi="Arial Black"/>
          <w:b/>
          <w:sz w:val="24"/>
          <w:szCs w:val="24"/>
        </w:rPr>
        <w:t>9</w:t>
      </w:r>
    </w:p>
    <w:p w14:paraId="0679642C" w14:textId="77777777" w:rsidR="0079730A" w:rsidRPr="003121C0" w:rsidRDefault="0079730A" w:rsidP="0079730A">
      <w:pPr>
        <w:rPr>
          <w:rFonts w:ascii="Arial Black" w:hAnsi="Arial Black"/>
          <w:bCs/>
          <w:sz w:val="28"/>
          <w:szCs w:val="28"/>
        </w:rPr>
      </w:pPr>
      <w:r>
        <w:rPr>
          <w:rFonts w:ascii="Arial Black" w:hAnsi="Arial Black"/>
          <w:b/>
          <w:sz w:val="28"/>
          <w:szCs w:val="28"/>
        </w:rPr>
        <w:t xml:space="preserve">NC: FLSA – SOME WEEKS UNDERPAID / OVERPAID - NO CASE </w:t>
      </w:r>
    </w:p>
    <w:p w14:paraId="7A049438" w14:textId="77777777" w:rsidR="0079730A" w:rsidRPr="0079730A" w:rsidRDefault="0079730A" w:rsidP="0079730A">
      <w:pPr>
        <w:rPr>
          <w:rFonts w:ascii="Times New Roman" w:hAnsi="Times New Roman"/>
          <w:bCs/>
          <w:sz w:val="24"/>
          <w:szCs w:val="24"/>
        </w:rPr>
      </w:pPr>
      <w:r w:rsidRPr="0079730A">
        <w:rPr>
          <w:rFonts w:ascii="Times New Roman" w:hAnsi="Times New Roman"/>
          <w:sz w:val="24"/>
          <w:szCs w:val="24"/>
        </w:rPr>
        <w:t xml:space="preserve">On March 31, 2025, in </w:t>
      </w:r>
      <w:r w:rsidRPr="0079730A">
        <w:rPr>
          <w:rFonts w:ascii="Times New Roman" w:hAnsi="Times New Roman"/>
          <w:sz w:val="24"/>
          <w:szCs w:val="24"/>
          <w:u w:val="single"/>
        </w:rPr>
        <w:t>Sara A. Conner, on behalf of all others similarly situated v. Cleveland County, Noth Carolina</w:t>
      </w:r>
      <w:r w:rsidRPr="0079730A">
        <w:rPr>
          <w:rFonts w:ascii="Times New Roman" w:hAnsi="Times New Roman"/>
          <w:sz w:val="24"/>
          <w:szCs w:val="24"/>
        </w:rPr>
        <w:t xml:space="preserve">, Chief U.S. District Court Judge Martin Reidinger, United States District Court for the Western District of North Carolina, Asheville Division, held that the EMS personnel were fully paid despite a “technical violation” of FLSA and therefore the case was dismissed.  Sara Conner has been a fulltime paramedic with Cleveland County EMS [CCEMS] since 2017, annual salary of 2016 of $35,820, and she worked a </w:t>
      </w:r>
      <w:proofErr w:type="gramStart"/>
      <w:r w:rsidRPr="0079730A">
        <w:rPr>
          <w:rFonts w:ascii="Times New Roman" w:hAnsi="Times New Roman"/>
          <w:sz w:val="24"/>
          <w:szCs w:val="24"/>
        </w:rPr>
        <w:t>24/48 hour</w:t>
      </w:r>
      <w:proofErr w:type="gramEnd"/>
      <w:r w:rsidRPr="0079730A">
        <w:rPr>
          <w:rFonts w:ascii="Times New Roman" w:hAnsi="Times New Roman"/>
          <w:sz w:val="24"/>
          <w:szCs w:val="24"/>
        </w:rPr>
        <w:t xml:space="preserve"> schedule.  Per their pay plan (since changed in 2018), Conner was paid base “hourly rate” of $12.23 (her annual salary divided by total annual hours 2,928).  Her overtime rate was $18.35 (1.5 times her base rate).  </w:t>
      </w:r>
      <w:hyperlink r:id="rId1703" w:history="1">
        <w:r w:rsidRPr="0079730A">
          <w:rPr>
            <w:rStyle w:val="Hyperlink"/>
            <w:rFonts w:ascii="Times New Roman" w:hAnsi="Times New Roman"/>
            <w:sz w:val="24"/>
            <w:szCs w:val="24"/>
          </w:rPr>
          <w:t>https://www.carolinajournal.com/wp-content/uploads/2025/04/cleveland-ot-128-033125-courtorder.pdf</w:t>
        </w:r>
      </w:hyperlink>
      <w:r w:rsidRPr="0079730A">
        <w:rPr>
          <w:rFonts w:ascii="Times New Roman" w:hAnsi="Times New Roman"/>
          <w:sz w:val="24"/>
          <w:szCs w:val="24"/>
        </w:rPr>
        <w:t xml:space="preserve"> </w:t>
      </w:r>
    </w:p>
    <w:p w14:paraId="4F45799C" w14:textId="77777777" w:rsidR="003A305F" w:rsidRPr="003A305F" w:rsidRDefault="003A305F" w:rsidP="003A305F">
      <w:pPr>
        <w:pStyle w:val="NoSpacing"/>
        <w:rPr>
          <w:rFonts w:ascii="Times New Roman" w:hAnsi="Times New Roman"/>
          <w:b/>
          <w:sz w:val="24"/>
          <w:szCs w:val="24"/>
        </w:rPr>
      </w:pPr>
      <w:r w:rsidRPr="003A305F">
        <w:rPr>
          <w:rFonts w:ascii="Times New Roman" w:hAnsi="Times New Roman"/>
          <w:b/>
          <w:sz w:val="24"/>
          <w:szCs w:val="24"/>
        </w:rPr>
        <w:t xml:space="preserve">Legal Lesson Learned:  There was no loss of </w:t>
      </w:r>
      <w:proofErr w:type="gramStart"/>
      <w:r w:rsidRPr="003A305F">
        <w:rPr>
          <w:rFonts w:ascii="Times New Roman" w:hAnsi="Times New Roman"/>
          <w:b/>
          <w:sz w:val="24"/>
          <w:szCs w:val="24"/>
        </w:rPr>
        <w:t>wages</w:t>
      </w:r>
      <w:proofErr w:type="gramEnd"/>
      <w:r w:rsidRPr="003A305F">
        <w:rPr>
          <w:rFonts w:ascii="Times New Roman" w:hAnsi="Times New Roman"/>
          <w:b/>
          <w:sz w:val="24"/>
          <w:szCs w:val="24"/>
        </w:rPr>
        <w:t xml:space="preserve"> so case dismissed.</w:t>
      </w:r>
    </w:p>
    <w:p w14:paraId="2DB7D3A6" w14:textId="77777777" w:rsidR="00061BDB" w:rsidRDefault="00061BDB" w:rsidP="00F326E5">
      <w:pPr>
        <w:rPr>
          <w:rFonts w:ascii="Arial Black" w:hAnsi="Arial Black"/>
          <w:b/>
          <w:sz w:val="24"/>
          <w:szCs w:val="24"/>
        </w:rPr>
      </w:pPr>
    </w:p>
    <w:p w14:paraId="0B08AC20" w14:textId="77777777" w:rsidR="00061BDB" w:rsidRDefault="00061BDB" w:rsidP="00F326E5">
      <w:pPr>
        <w:rPr>
          <w:rFonts w:ascii="Arial Black" w:hAnsi="Arial Black"/>
          <w:b/>
          <w:sz w:val="24"/>
          <w:szCs w:val="24"/>
        </w:rPr>
      </w:pPr>
    </w:p>
    <w:p w14:paraId="2C7B6A1B" w14:textId="74154EB9" w:rsidR="00CE6BF6" w:rsidRDefault="00CE6BF6" w:rsidP="00F326E5">
      <w:pPr>
        <w:rPr>
          <w:rFonts w:ascii="Arial Black" w:hAnsi="Arial Black"/>
          <w:b/>
          <w:sz w:val="24"/>
          <w:szCs w:val="24"/>
        </w:rPr>
      </w:pPr>
      <w:r>
        <w:rPr>
          <w:rFonts w:ascii="Arial Black" w:hAnsi="Arial Black"/>
          <w:b/>
          <w:sz w:val="24"/>
          <w:szCs w:val="24"/>
        </w:rPr>
        <w:t>11-5</w:t>
      </w:r>
      <w:r w:rsidR="00DE6B12">
        <w:rPr>
          <w:rFonts w:ascii="Arial Black" w:hAnsi="Arial Black"/>
          <w:b/>
          <w:sz w:val="24"/>
          <w:szCs w:val="24"/>
        </w:rPr>
        <w:t>8</w:t>
      </w:r>
    </w:p>
    <w:p w14:paraId="7BB7164D" w14:textId="77777777" w:rsidR="00CE6BF6" w:rsidRDefault="00CE6BF6" w:rsidP="00CE6BF6">
      <w:pPr>
        <w:rPr>
          <w:rFonts w:ascii="Arial Black" w:hAnsi="Arial Black"/>
          <w:b/>
          <w:sz w:val="28"/>
          <w:szCs w:val="28"/>
        </w:rPr>
      </w:pPr>
      <w:r>
        <w:rPr>
          <w:rFonts w:ascii="Arial Black" w:hAnsi="Arial Black"/>
          <w:b/>
          <w:sz w:val="28"/>
          <w:szCs w:val="28"/>
        </w:rPr>
        <w:t xml:space="preserve">U.S. SUP. CT – ALL COURTS - PREPONDRANCE-OF-EVIDENCE </w:t>
      </w:r>
    </w:p>
    <w:p w14:paraId="39DF8900" w14:textId="70C599B3" w:rsidR="00CE6BF6" w:rsidRPr="00474F4B" w:rsidRDefault="00CE6BF6" w:rsidP="00CE6BF6">
      <w:pPr>
        <w:rPr>
          <w:rFonts w:ascii="Times New Roman" w:hAnsi="Times New Roman"/>
          <w:bCs/>
          <w:sz w:val="24"/>
          <w:szCs w:val="24"/>
        </w:rPr>
      </w:pPr>
      <w:r w:rsidRPr="00474F4B">
        <w:rPr>
          <w:rFonts w:ascii="Times New Roman" w:hAnsi="Times New Roman"/>
          <w:sz w:val="24"/>
          <w:szCs w:val="24"/>
        </w:rPr>
        <w:t xml:space="preserve">On Juan. 15, 2023, in </w:t>
      </w:r>
      <w:r w:rsidRPr="00474F4B">
        <w:rPr>
          <w:rFonts w:ascii="Times New Roman" w:hAnsi="Times New Roman"/>
          <w:sz w:val="24"/>
          <w:szCs w:val="24"/>
          <w:u w:val="single"/>
        </w:rPr>
        <w:t>EMD Sales, Inc., et al. v. Faustino Sanchez Carrera</w:t>
      </w:r>
      <w:r w:rsidRPr="00474F4B">
        <w:rPr>
          <w:rFonts w:ascii="Times New Roman" w:hAnsi="Times New Roman"/>
          <w:sz w:val="24"/>
          <w:szCs w:val="24"/>
        </w:rPr>
        <w:t xml:space="preserve">, the </w:t>
      </w:r>
      <w:r w:rsidR="0034221B">
        <w:rPr>
          <w:rFonts w:ascii="Times New Roman" w:hAnsi="Times New Roman"/>
          <w:sz w:val="24"/>
          <w:szCs w:val="24"/>
        </w:rPr>
        <w:t xml:space="preserve">U.S. </w:t>
      </w:r>
      <w:r w:rsidR="00883BD6">
        <w:rPr>
          <w:rFonts w:ascii="Times New Roman" w:hAnsi="Times New Roman"/>
          <w:sz w:val="24"/>
          <w:szCs w:val="24"/>
        </w:rPr>
        <w:t>Supreme</w:t>
      </w:r>
      <w:r w:rsidR="0034221B">
        <w:rPr>
          <w:rFonts w:ascii="Times New Roman" w:hAnsi="Times New Roman"/>
          <w:sz w:val="24"/>
          <w:szCs w:val="24"/>
        </w:rPr>
        <w:t xml:space="preserve"> Court</w:t>
      </w:r>
      <w:r w:rsidRPr="00474F4B">
        <w:rPr>
          <w:rFonts w:ascii="Times New Roman" w:hAnsi="Times New Roman"/>
          <w:sz w:val="24"/>
          <w:szCs w:val="24"/>
        </w:rPr>
        <w:t xml:space="preserve"> held (9 to 0) that employers, when sued by employees claiming they were improperly classified as exempt from overtime pay, will be judged by the normal standard in civil litigation – “preponderance-of-the-evidence.” The Court reversed the U.S. Court of Appeals for the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(Richmond, VA) which required proof of an exemption by “clear-and-convincing evidence.” Employers in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including fire &amp; EMS  - Maryland, North Carolina, South Carolina, Virginia, and West Virginia – will now be held to same standard as rest of the nation. The lawsuit involved EMD Sales, Inc., is a distributor of Latin American, Caribbean, and Asian food products to chain and independent grocery stores, operating in the Washington, D.C. metropolitan area. The company paid salesmen commissions (up to 6.6%; some earned over $100,000) but no overtime; under FLSA regulations “outside salesman” and exempt.  After a nine-day bench trial, the U.S. District Court judge ruled for employees and the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affirmed.  The U.S. Supreme Court reversed the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on the standard of proof required [case will likely be re-tried].  </w:t>
      </w:r>
      <w:hyperlink r:id="rId1704" w:history="1">
        <w:r w:rsidRPr="00474F4B">
          <w:rPr>
            <w:rStyle w:val="Hyperlink"/>
            <w:rFonts w:ascii="Times New Roman" w:hAnsi="Times New Roman"/>
            <w:sz w:val="24"/>
            <w:szCs w:val="24"/>
          </w:rPr>
          <w:t>https://www.supremecourt.gov/opinions/24pdf/23-217_9o6b.pdf</w:t>
        </w:r>
      </w:hyperlink>
      <w:r w:rsidRPr="00474F4B">
        <w:rPr>
          <w:rFonts w:ascii="Times New Roman" w:hAnsi="Times New Roman"/>
          <w:sz w:val="24"/>
          <w:szCs w:val="24"/>
        </w:rPr>
        <w:t xml:space="preserve">   </w:t>
      </w:r>
    </w:p>
    <w:p w14:paraId="4F9796BF" w14:textId="77777777" w:rsidR="00CE6BF6" w:rsidRPr="00474F4B" w:rsidRDefault="00CE6BF6" w:rsidP="00CE6BF6">
      <w:pPr>
        <w:rPr>
          <w:rFonts w:ascii="Times New Roman" w:hAnsi="Times New Roman"/>
          <w:bCs/>
          <w:sz w:val="24"/>
          <w:szCs w:val="24"/>
        </w:rPr>
      </w:pPr>
      <w:r w:rsidRPr="00474F4B">
        <w:rPr>
          <w:rFonts w:ascii="Times New Roman" w:hAnsi="Times New Roman"/>
          <w:sz w:val="24"/>
          <w:szCs w:val="24"/>
        </w:rPr>
        <w:t xml:space="preserve">The Court held: </w:t>
      </w:r>
    </w:p>
    <w:p w14:paraId="057EFDC0" w14:textId="77777777" w:rsidR="00CE6BF6" w:rsidRPr="00474F4B" w:rsidRDefault="00CE6BF6" w:rsidP="00CE6BF6">
      <w:pPr>
        <w:pStyle w:val="NoSpacing"/>
        <w:ind w:left="720"/>
        <w:rPr>
          <w:rFonts w:ascii="Times New Roman" w:hAnsi="Times New Roman"/>
          <w:bCs/>
          <w:sz w:val="24"/>
          <w:szCs w:val="24"/>
        </w:rPr>
      </w:pPr>
      <w:r w:rsidRPr="00474F4B">
        <w:rPr>
          <w:rFonts w:ascii="Times New Roman" w:hAnsi="Times New Roman"/>
          <w:sz w:val="24"/>
          <w:szCs w:val="24"/>
        </w:rPr>
        <w:t>“We hold that the preponderance-of-the-evidence standard applies when an employer seeks to show that an employee is exempt from the minimum-wage and overtime-</w:t>
      </w:r>
    </w:p>
    <w:p w14:paraId="73D9527D" w14:textId="77777777" w:rsidR="00CE6BF6" w:rsidRPr="00474F4B" w:rsidRDefault="00CE6BF6" w:rsidP="00CE6BF6">
      <w:pPr>
        <w:pStyle w:val="NoSpacing"/>
        <w:ind w:left="720"/>
        <w:rPr>
          <w:rFonts w:ascii="Times New Roman" w:hAnsi="Times New Roman"/>
          <w:bCs/>
          <w:sz w:val="24"/>
          <w:szCs w:val="24"/>
        </w:rPr>
      </w:pPr>
      <w:r w:rsidRPr="00474F4B">
        <w:rPr>
          <w:rFonts w:ascii="Times New Roman" w:hAnsi="Times New Roman"/>
          <w:sz w:val="24"/>
          <w:szCs w:val="24"/>
        </w:rPr>
        <w:t>pay provisions of the Fair Labor Standards Act. The employees argue that we should still affirm because they would not qualify as outside salesmen even under a preponderance standard. But our usual practice is to leave matters of that sort for remand. We see no persuasive reason to stray from that usual practice here. We therefore reverse the judgment of the Court of Appeals and remand the case for further proceedings consistent with this opinion.”</w:t>
      </w:r>
    </w:p>
    <w:p w14:paraId="733E77E6" w14:textId="77777777" w:rsidR="00CE6BF6" w:rsidRPr="00474F4B" w:rsidRDefault="00CE6BF6" w:rsidP="00CE6BF6">
      <w:pPr>
        <w:rPr>
          <w:rFonts w:ascii="Times New Roman" w:hAnsi="Times New Roman"/>
          <w:b/>
          <w:sz w:val="24"/>
          <w:szCs w:val="24"/>
        </w:rPr>
      </w:pPr>
    </w:p>
    <w:p w14:paraId="3E8AA160" w14:textId="77777777" w:rsidR="00CE6BF6" w:rsidRPr="00474F4B" w:rsidRDefault="00CE6BF6" w:rsidP="00CE6BF6">
      <w:pPr>
        <w:rPr>
          <w:rFonts w:ascii="Times New Roman" w:hAnsi="Times New Roman"/>
          <w:b/>
          <w:sz w:val="24"/>
          <w:szCs w:val="24"/>
        </w:rPr>
      </w:pPr>
      <w:r w:rsidRPr="00474F4B">
        <w:rPr>
          <w:rFonts w:ascii="Times New Roman" w:hAnsi="Times New Roman"/>
          <w:b/>
          <w:sz w:val="24"/>
          <w:szCs w:val="24"/>
        </w:rPr>
        <w:lastRenderedPageBreak/>
        <w:t xml:space="preserve">Legal Lesson Learned: Fire &amp; EMS managers, when deciding “close questions” about FLSA exemptions – such as which senior officers are exempt from overtime – should consult with experienced FLSA legal counsel.  </w:t>
      </w:r>
    </w:p>
    <w:p w14:paraId="675DAC3A" w14:textId="77777777" w:rsidR="00CE6BF6" w:rsidRPr="00474F4B" w:rsidRDefault="00CE6BF6" w:rsidP="00CE6BF6">
      <w:pPr>
        <w:ind w:left="720"/>
        <w:rPr>
          <w:rFonts w:ascii="Times New Roman" w:hAnsi="Times New Roman"/>
          <w:bCs/>
          <w:sz w:val="24"/>
          <w:szCs w:val="24"/>
        </w:rPr>
      </w:pPr>
      <w:r w:rsidRPr="00474F4B">
        <w:rPr>
          <w:rFonts w:ascii="Times New Roman" w:hAnsi="Times New Roman"/>
          <w:sz w:val="24"/>
          <w:szCs w:val="24"/>
        </w:rPr>
        <w:t xml:space="preserve">Note: See Jan. 15, </w:t>
      </w:r>
      <w:proofErr w:type="gramStart"/>
      <w:r w:rsidRPr="00474F4B">
        <w:rPr>
          <w:rFonts w:ascii="Times New Roman" w:hAnsi="Times New Roman"/>
          <w:sz w:val="24"/>
          <w:szCs w:val="24"/>
        </w:rPr>
        <w:t>2025</w:t>
      </w:r>
      <w:proofErr w:type="gramEnd"/>
      <w:r w:rsidRPr="00474F4B">
        <w:rPr>
          <w:rFonts w:ascii="Times New Roman" w:hAnsi="Times New Roman"/>
          <w:sz w:val="24"/>
          <w:szCs w:val="24"/>
        </w:rPr>
        <w:t xml:space="preserve">  article: “US Supreme Court boosts companies' defense in wage lawsuits.” </w:t>
      </w:r>
      <w:hyperlink r:id="rId1705" w:history="1">
        <w:r w:rsidRPr="00474F4B">
          <w:rPr>
            <w:rStyle w:val="Hyperlink"/>
            <w:rFonts w:ascii="Times New Roman" w:hAnsi="Times New Roman"/>
            <w:sz w:val="24"/>
            <w:szCs w:val="24"/>
          </w:rPr>
          <w:t>https://www.reuters.com/legal/government/us-supreme-court-boosts-companies-defense-wage-lawsuits-2025-01-15/</w:t>
        </w:r>
      </w:hyperlink>
      <w:r w:rsidRPr="00474F4B">
        <w:rPr>
          <w:rFonts w:ascii="Times New Roman" w:hAnsi="Times New Roman"/>
          <w:sz w:val="24"/>
          <w:szCs w:val="24"/>
        </w:rPr>
        <w:t xml:space="preserve"> </w:t>
      </w:r>
    </w:p>
    <w:p w14:paraId="0FA50A6F" w14:textId="77777777" w:rsidR="00CE6BF6" w:rsidRPr="00474F4B" w:rsidRDefault="00CE6BF6" w:rsidP="00CE6BF6">
      <w:pPr>
        <w:ind w:left="720"/>
        <w:rPr>
          <w:rFonts w:ascii="Times New Roman" w:hAnsi="Times New Roman"/>
          <w:sz w:val="24"/>
          <w:szCs w:val="24"/>
        </w:rPr>
      </w:pPr>
      <w:r w:rsidRPr="00474F4B">
        <w:rPr>
          <w:rFonts w:ascii="Times New Roman" w:hAnsi="Times New Roman"/>
          <w:sz w:val="24"/>
          <w:szCs w:val="24"/>
        </w:rPr>
        <w:t>:The </w:t>
      </w:r>
      <w:hyperlink r:id="rId1706" w:tgtFrame="_blank" w:history="1">
        <w:r w:rsidRPr="00474F4B">
          <w:rPr>
            <w:rStyle w:val="Hyperlink"/>
            <w:rFonts w:ascii="Times New Roman" w:hAnsi="Times New Roman"/>
            <w:sz w:val="24"/>
            <w:szCs w:val="24"/>
          </w:rPr>
          <w:t>unanimous ruling, opens new tab</w:t>
        </w:r>
      </w:hyperlink>
      <w:r w:rsidRPr="00474F4B">
        <w:rPr>
          <w:rFonts w:ascii="Times New Roman" w:hAnsi="Times New Roman"/>
          <w:sz w:val="24"/>
          <w:szCs w:val="24"/>
        </w:rPr>
        <w:t> penned by Justice Brett Kavanaugh could make it easier for some businesses to defend against lawsuits, including many class actions, claiming that workers were improperly exempted from the federal Fair Labor Standards Act (FLSA).”</w:t>
      </w:r>
    </w:p>
    <w:p w14:paraId="498E043D" w14:textId="77777777" w:rsidR="00CE6BF6" w:rsidRPr="00474F4B" w:rsidRDefault="00CE6BF6" w:rsidP="00CE6BF6">
      <w:pPr>
        <w:ind w:left="720"/>
        <w:rPr>
          <w:rFonts w:ascii="Times New Roman" w:hAnsi="Times New Roman"/>
          <w:bCs/>
          <w:sz w:val="24"/>
          <w:szCs w:val="24"/>
        </w:rPr>
      </w:pPr>
    </w:p>
    <w:p w14:paraId="68456FAD" w14:textId="77777777" w:rsidR="00CE6BF6" w:rsidRPr="00474F4B" w:rsidRDefault="00CE6BF6" w:rsidP="00CE6BF6">
      <w:pPr>
        <w:ind w:left="720"/>
        <w:rPr>
          <w:rFonts w:ascii="Times New Roman" w:hAnsi="Times New Roman"/>
          <w:bCs/>
          <w:sz w:val="24"/>
          <w:szCs w:val="24"/>
        </w:rPr>
      </w:pPr>
      <w:r w:rsidRPr="00474F4B">
        <w:rPr>
          <w:rFonts w:ascii="Times New Roman" w:hAnsi="Times New Roman"/>
          <w:sz w:val="24"/>
          <w:szCs w:val="24"/>
        </w:rPr>
        <w:t xml:space="preserve">Company may have an uphill battle during retrial.  Read the brief by U.S. Solicitor General: </w:t>
      </w:r>
      <w:hyperlink r:id="rId1707" w:history="1">
        <w:r w:rsidRPr="00474F4B">
          <w:rPr>
            <w:rStyle w:val="Hyperlink"/>
            <w:rFonts w:ascii="Times New Roman" w:hAnsi="Times New Roman"/>
            <w:sz w:val="24"/>
            <w:szCs w:val="24"/>
          </w:rPr>
          <w:t>https://www.supremecourt.gov/DocketPDF/23/23-217/326778/20240924155125392_2024.09.24%20EMD%20v%20Carrera%20-%20Brief%20for%20Respondents.pdf</w:t>
        </w:r>
      </w:hyperlink>
      <w:r w:rsidRPr="00474F4B">
        <w:rPr>
          <w:rFonts w:ascii="Times New Roman" w:hAnsi="Times New Roman"/>
          <w:sz w:val="24"/>
          <w:szCs w:val="24"/>
        </w:rPr>
        <w:t xml:space="preserve"> </w:t>
      </w:r>
    </w:p>
    <w:p w14:paraId="4ADA1FAE" w14:textId="3A4AC9E9" w:rsidR="00CE6BF6" w:rsidRPr="00474F4B" w:rsidRDefault="00CE6BF6" w:rsidP="00CE6BF6">
      <w:pPr>
        <w:pStyle w:val="NoSpacing"/>
        <w:ind w:left="720"/>
        <w:rPr>
          <w:rFonts w:ascii="Times New Roman" w:hAnsi="Times New Roman"/>
          <w:bCs/>
          <w:sz w:val="24"/>
          <w:szCs w:val="24"/>
        </w:rPr>
      </w:pPr>
      <w:r w:rsidRPr="00474F4B">
        <w:rPr>
          <w:rFonts w:ascii="Times New Roman" w:hAnsi="Times New Roman"/>
          <w:sz w:val="24"/>
          <w:szCs w:val="24"/>
        </w:rPr>
        <w:t>“Respondents presented evidence that they did not and could not make sales at chain stores. Rather, when they serviced chain stores, they replenished stock based on ‘sales terms already negotiated by management,’ and ‘their time was spent only on promotion and inventory-management activities— restocking and rearranging products, issuing credits, taking orders—that were incidental to sales made at higher levels.’</w:t>
      </w:r>
      <w:r w:rsidR="00474F4B" w:rsidRPr="00474F4B">
        <w:rPr>
          <w:rFonts w:ascii="Times New Roman" w:hAnsi="Times New Roman"/>
          <w:sz w:val="24"/>
          <w:szCs w:val="24"/>
        </w:rPr>
        <w:t>”</w:t>
      </w:r>
    </w:p>
    <w:p w14:paraId="2CFE3C44" w14:textId="77777777" w:rsidR="00CE6BF6" w:rsidRPr="00A84124" w:rsidRDefault="00CE6BF6" w:rsidP="00CE6BF6">
      <w:pPr>
        <w:ind w:left="720"/>
        <w:rPr>
          <w:bCs/>
        </w:rPr>
      </w:pPr>
    </w:p>
    <w:p w14:paraId="2E5E88E9" w14:textId="77777777" w:rsidR="00CE6BF6" w:rsidRDefault="00CE6BF6" w:rsidP="00F326E5">
      <w:pPr>
        <w:rPr>
          <w:rFonts w:ascii="Arial Black" w:hAnsi="Arial Black"/>
          <w:b/>
          <w:sz w:val="24"/>
          <w:szCs w:val="24"/>
        </w:rPr>
      </w:pPr>
    </w:p>
    <w:p w14:paraId="790B3560" w14:textId="436BF811" w:rsidR="00C510D7" w:rsidRDefault="00F515EB" w:rsidP="00F326E5">
      <w:pPr>
        <w:rPr>
          <w:rFonts w:ascii="Arial Black" w:hAnsi="Arial Black"/>
          <w:b/>
          <w:sz w:val="24"/>
          <w:szCs w:val="24"/>
        </w:rPr>
      </w:pPr>
      <w:r>
        <w:rPr>
          <w:rFonts w:ascii="Arial Black" w:hAnsi="Arial Black"/>
          <w:b/>
          <w:sz w:val="24"/>
          <w:szCs w:val="24"/>
        </w:rPr>
        <w:t>1</w:t>
      </w:r>
      <w:r w:rsidR="00C510D7">
        <w:rPr>
          <w:rFonts w:ascii="Arial Black" w:hAnsi="Arial Black"/>
          <w:b/>
          <w:sz w:val="24"/>
          <w:szCs w:val="24"/>
        </w:rPr>
        <w:t>1-5</w:t>
      </w:r>
      <w:r w:rsidR="00DE6B12">
        <w:rPr>
          <w:rFonts w:ascii="Arial Black" w:hAnsi="Arial Black"/>
          <w:b/>
          <w:sz w:val="24"/>
          <w:szCs w:val="24"/>
        </w:rPr>
        <w:t>7</w:t>
      </w:r>
    </w:p>
    <w:p w14:paraId="29DFBA5B" w14:textId="77777777" w:rsidR="00C510D7" w:rsidRPr="00103331" w:rsidRDefault="00C510D7" w:rsidP="00C510D7">
      <w:pPr>
        <w:pStyle w:val="NoSpacing"/>
        <w:rPr>
          <w:rFonts w:ascii="Arial Black" w:hAnsi="Arial Black"/>
          <w:b/>
          <w:sz w:val="28"/>
          <w:szCs w:val="28"/>
        </w:rPr>
      </w:pPr>
      <w:r>
        <w:rPr>
          <w:rFonts w:ascii="Arial Black" w:hAnsi="Arial Black"/>
          <w:b/>
          <w:sz w:val="28"/>
          <w:szCs w:val="28"/>
        </w:rPr>
        <w:t xml:space="preserve">OK: FLSA – EMS SHIFT DIFFERENTIAL – HOURLY RATE OF PAY TO INCREASE – CLASS ACTION $350K SETTLEMENT  </w:t>
      </w:r>
    </w:p>
    <w:p w14:paraId="06FD023D" w14:textId="77777777" w:rsidR="00C510D7" w:rsidRDefault="00C510D7" w:rsidP="00C510D7">
      <w:pPr>
        <w:pStyle w:val="NoSpacing"/>
        <w:ind w:firstLine="720"/>
        <w:rPr>
          <w:b/>
        </w:rPr>
      </w:pPr>
    </w:p>
    <w:p w14:paraId="1DD25A52" w14:textId="334B9515" w:rsidR="00C510D7" w:rsidRPr="008032EA" w:rsidRDefault="00C510D7" w:rsidP="00C510D7">
      <w:pPr>
        <w:rPr>
          <w:rFonts w:ascii="Times New Roman" w:hAnsi="Times New Roman"/>
          <w:b/>
          <w:sz w:val="24"/>
          <w:szCs w:val="24"/>
        </w:rPr>
      </w:pPr>
      <w:r w:rsidRPr="008032EA">
        <w:rPr>
          <w:rFonts w:ascii="Times New Roman" w:hAnsi="Times New Roman"/>
          <w:sz w:val="24"/>
          <w:szCs w:val="24"/>
        </w:rPr>
        <w:t xml:space="preserve">On Nov. 21, 2024, in </w:t>
      </w:r>
      <w:r w:rsidRPr="008032EA">
        <w:rPr>
          <w:rFonts w:ascii="Times New Roman" w:hAnsi="Times New Roman"/>
          <w:sz w:val="24"/>
          <w:szCs w:val="24"/>
          <w:u w:val="single"/>
        </w:rPr>
        <w:t>Jerry Sherley v. Muskogee County EMS</w:t>
      </w:r>
      <w:r w:rsidRPr="008032EA">
        <w:rPr>
          <w:rFonts w:ascii="Times New Roman" w:hAnsi="Times New Roman"/>
          <w:sz w:val="24"/>
          <w:szCs w:val="24"/>
        </w:rPr>
        <w:t xml:space="preserve">, United States District Court Judge John F. Heil, III, U.S. District Court for approved the Eastern District of Oklahoma, approved the Notice to go to all EMS to “opt in” to the back pay settlement.  The Court wrote: “Plaintiff alleges that between July 18, </w:t>
      </w:r>
      <w:proofErr w:type="gramStart"/>
      <w:r w:rsidRPr="008032EA">
        <w:rPr>
          <w:rFonts w:ascii="Times New Roman" w:hAnsi="Times New Roman"/>
          <w:sz w:val="24"/>
          <w:szCs w:val="24"/>
        </w:rPr>
        <w:t>2020</w:t>
      </w:r>
      <w:proofErr w:type="gramEnd"/>
      <w:r w:rsidRPr="008032EA">
        <w:rPr>
          <w:rFonts w:ascii="Times New Roman" w:hAnsi="Times New Roman"/>
          <w:sz w:val="24"/>
          <w:szCs w:val="24"/>
        </w:rPr>
        <w:t xml:space="preserve"> and October 31, 2023, MCEMS failed to include EMTs’ shift differential pay in the rate for overtime pay, which resulted in less overtime pay than required by the FLSA…. The parties have reached a negotiated resolution…. Their settlement agreement defines the Settlement Collective to include ‘any EMT employed by MCEMS who was paid by the hour . . . plus shift differential pay and who worked more than 40 hours in a workweek during the period from July 18, </w:t>
      </w:r>
      <w:proofErr w:type="gramStart"/>
      <w:r w:rsidRPr="008032EA">
        <w:rPr>
          <w:rFonts w:ascii="Times New Roman" w:hAnsi="Times New Roman"/>
          <w:sz w:val="24"/>
          <w:szCs w:val="24"/>
        </w:rPr>
        <w:t>2020</w:t>
      </w:r>
      <w:proofErr w:type="gramEnd"/>
      <w:r w:rsidRPr="008032EA">
        <w:rPr>
          <w:rFonts w:ascii="Times New Roman" w:hAnsi="Times New Roman"/>
          <w:sz w:val="24"/>
          <w:szCs w:val="24"/>
        </w:rPr>
        <w:t xml:space="preserve"> to October 31, 2023.’” </w:t>
      </w:r>
      <w:hyperlink r:id="rId1708" w:history="1">
        <w:r w:rsidRPr="008032EA">
          <w:rPr>
            <w:rStyle w:val="Hyperlink"/>
            <w:rFonts w:ascii="Times New Roman" w:hAnsi="Times New Roman"/>
            <w:sz w:val="24"/>
            <w:szCs w:val="24"/>
          </w:rPr>
          <w:t>https://cases.justia.com/federal/district-courts/oklahoma/okedce/6:2023cv00241/34830/33/0.pdf?ts=1732294058</w:t>
        </w:r>
      </w:hyperlink>
    </w:p>
    <w:p w14:paraId="254F3FE1" w14:textId="77777777" w:rsidR="008032EA" w:rsidRPr="008032EA" w:rsidRDefault="008032EA" w:rsidP="008032EA">
      <w:pPr>
        <w:pStyle w:val="NoSpacing"/>
        <w:rPr>
          <w:rFonts w:ascii="Times New Roman" w:hAnsi="Times New Roman"/>
          <w:b/>
          <w:sz w:val="24"/>
          <w:szCs w:val="24"/>
        </w:rPr>
      </w:pPr>
      <w:r w:rsidRPr="008032EA">
        <w:rPr>
          <w:rFonts w:ascii="Times New Roman" w:hAnsi="Times New Roman"/>
          <w:b/>
          <w:sz w:val="24"/>
          <w:szCs w:val="24"/>
        </w:rPr>
        <w:t>Legal Lesson Learned: Shift differential increases the hourly rate of pay for EMS.</w:t>
      </w:r>
    </w:p>
    <w:p w14:paraId="6C52655D" w14:textId="77777777" w:rsidR="008032EA" w:rsidRPr="008032EA" w:rsidRDefault="008032EA" w:rsidP="008032EA">
      <w:pPr>
        <w:pStyle w:val="NoSpacing"/>
        <w:ind w:firstLine="720"/>
        <w:rPr>
          <w:rFonts w:ascii="Times New Roman" w:hAnsi="Times New Roman"/>
          <w:b/>
          <w:sz w:val="24"/>
          <w:szCs w:val="24"/>
        </w:rPr>
      </w:pPr>
    </w:p>
    <w:p w14:paraId="30079DB1" w14:textId="77777777" w:rsidR="008032EA" w:rsidRPr="000402D5" w:rsidRDefault="008032EA" w:rsidP="008032EA">
      <w:pPr>
        <w:pStyle w:val="NoSpacing"/>
        <w:ind w:left="720"/>
      </w:pPr>
      <w:r w:rsidRPr="008032EA">
        <w:rPr>
          <w:rFonts w:ascii="Times New Roman" w:hAnsi="Times New Roman"/>
          <w:sz w:val="24"/>
          <w:szCs w:val="24"/>
        </w:rPr>
        <w:t>Note:  See article, July 20, 2023: “Okla. EMS Dept. Shorts Workers On OT, Former EMT Says.”</w:t>
      </w:r>
      <w:r w:rsidRPr="008032EA">
        <w:rPr>
          <w:rFonts w:ascii="Times New Roman" w:hAnsi="Times New Roman"/>
          <w:b/>
          <w:sz w:val="24"/>
          <w:szCs w:val="24"/>
        </w:rPr>
        <w:t xml:space="preserve"> </w:t>
      </w:r>
      <w:r w:rsidRPr="008032EA">
        <w:rPr>
          <w:rFonts w:ascii="Times New Roman" w:hAnsi="Times New Roman"/>
          <w:sz w:val="24"/>
          <w:szCs w:val="24"/>
        </w:rPr>
        <w:t xml:space="preserve"> “A former emergency medical technician for an Oklahoma emergency medical services department hit his former employer with a proposed collective action accusing it of violating the Fair Labor Standards </w:t>
      </w:r>
      <w:r w:rsidRPr="008032EA">
        <w:rPr>
          <w:rFonts w:ascii="Times New Roman" w:hAnsi="Times New Roman"/>
          <w:sz w:val="24"/>
          <w:szCs w:val="24"/>
        </w:rPr>
        <w:lastRenderedPageBreak/>
        <w:t xml:space="preserve">Act.” </w:t>
      </w:r>
      <w:hyperlink r:id="rId1709" w:history="1">
        <w:r w:rsidRPr="008032EA">
          <w:rPr>
            <w:rStyle w:val="Hyperlink"/>
            <w:rFonts w:ascii="Times New Roman" w:hAnsi="Times New Roman"/>
            <w:sz w:val="24"/>
            <w:szCs w:val="24"/>
          </w:rPr>
          <w:t>https://www.law360.com/employment-authority/articles/1701446/okla-ems-dept-shorts-workers-on-ot-former-emt-says</w:t>
        </w:r>
      </w:hyperlink>
      <w:r>
        <w:t xml:space="preserve"> </w:t>
      </w:r>
    </w:p>
    <w:p w14:paraId="2F396159" w14:textId="77777777" w:rsidR="008032EA" w:rsidRDefault="008032EA" w:rsidP="008032EA">
      <w:pPr>
        <w:pStyle w:val="NoSpacing"/>
      </w:pPr>
    </w:p>
    <w:p w14:paraId="5DA2BC08" w14:textId="7EA42683" w:rsidR="00C510D7" w:rsidRDefault="00F515EB" w:rsidP="00F515EB">
      <w:pPr>
        <w:rPr>
          <w:rFonts w:ascii="Arial Black" w:hAnsi="Arial Black"/>
          <w:b/>
          <w:sz w:val="24"/>
          <w:szCs w:val="24"/>
        </w:rPr>
      </w:pPr>
      <w:r>
        <w:rPr>
          <w:rFonts w:ascii="Arial Black" w:hAnsi="Arial Black"/>
          <w:b/>
          <w:sz w:val="24"/>
          <w:szCs w:val="24"/>
        </w:rPr>
        <w:t>11-5</w:t>
      </w:r>
      <w:r w:rsidR="00DE6B12">
        <w:rPr>
          <w:rFonts w:ascii="Arial Black" w:hAnsi="Arial Black"/>
          <w:b/>
          <w:sz w:val="24"/>
          <w:szCs w:val="24"/>
        </w:rPr>
        <w:t>6</w:t>
      </w:r>
    </w:p>
    <w:p w14:paraId="7893EA32" w14:textId="77777777" w:rsidR="00F515EB" w:rsidRPr="006E68AF" w:rsidRDefault="00F515EB" w:rsidP="00F515EB">
      <w:pPr>
        <w:pStyle w:val="NoSpacing"/>
        <w:rPr>
          <w:rFonts w:ascii="Arial Black" w:hAnsi="Arial Black"/>
          <w:bCs/>
          <w:sz w:val="28"/>
          <w:szCs w:val="28"/>
        </w:rPr>
      </w:pPr>
      <w:r w:rsidRPr="006E68AF">
        <w:rPr>
          <w:rFonts w:ascii="Arial Black" w:hAnsi="Arial Black"/>
          <w:sz w:val="28"/>
          <w:szCs w:val="28"/>
        </w:rPr>
        <w:t>MA: SETTLED – D</w:t>
      </w:r>
      <w:r>
        <w:rPr>
          <w:rFonts w:ascii="Arial Black" w:hAnsi="Arial Black"/>
          <w:sz w:val="28"/>
          <w:szCs w:val="28"/>
        </w:rPr>
        <w:t>ROP CLAIM DCs NON-EXEMPT</w:t>
      </w:r>
    </w:p>
    <w:p w14:paraId="5D8C6DDC" w14:textId="77777777" w:rsidR="00F515EB" w:rsidRPr="006E68AF" w:rsidRDefault="00F515EB" w:rsidP="00F515EB">
      <w:pPr>
        <w:pStyle w:val="NoSpacing"/>
        <w:rPr>
          <w:b/>
        </w:rPr>
      </w:pPr>
    </w:p>
    <w:p w14:paraId="385EED72" w14:textId="77777777" w:rsidR="00627EB5" w:rsidRPr="00627EB5" w:rsidRDefault="00627EB5" w:rsidP="00627EB5">
      <w:pPr>
        <w:pStyle w:val="NoSpacing"/>
        <w:rPr>
          <w:rStyle w:val="Hyperlink"/>
          <w:rFonts w:ascii="Times New Roman" w:hAnsi="Times New Roman"/>
          <w:bCs/>
          <w:sz w:val="24"/>
          <w:szCs w:val="24"/>
        </w:rPr>
      </w:pPr>
      <w:r w:rsidRPr="00627EB5">
        <w:rPr>
          <w:rFonts w:ascii="Times New Roman" w:hAnsi="Times New Roman"/>
          <w:sz w:val="24"/>
          <w:szCs w:val="24"/>
        </w:rPr>
        <w:t xml:space="preserve">On Nov. 18, 2024, in </w:t>
      </w:r>
      <w:r w:rsidRPr="00627EB5">
        <w:rPr>
          <w:rFonts w:ascii="Times New Roman" w:hAnsi="Times New Roman"/>
          <w:sz w:val="24"/>
          <w:szCs w:val="24"/>
          <w:u w:val="single"/>
        </w:rPr>
        <w:t>Brian Bergeron, et al. v. Town of Brookline and Brookline Fire Department</w:t>
      </w:r>
      <w:r w:rsidRPr="00627EB5">
        <w:rPr>
          <w:rFonts w:ascii="Times New Roman" w:hAnsi="Times New Roman"/>
          <w:sz w:val="24"/>
          <w:szCs w:val="24"/>
        </w:rPr>
        <w:t xml:space="preserve">, Unites States District Court for the District of Massachusetts, the </w:t>
      </w:r>
      <w:proofErr w:type="gramStart"/>
      <w:r w:rsidRPr="00627EB5">
        <w:rPr>
          <w:rFonts w:ascii="Times New Roman" w:hAnsi="Times New Roman"/>
          <w:sz w:val="24"/>
          <w:szCs w:val="24"/>
        </w:rPr>
        <w:t>City</w:t>
      </w:r>
      <w:proofErr w:type="gramEnd"/>
      <w:r w:rsidRPr="00627EB5">
        <w:rPr>
          <w:rFonts w:ascii="Times New Roman" w:hAnsi="Times New Roman"/>
          <w:sz w:val="24"/>
          <w:szCs w:val="24"/>
        </w:rPr>
        <w:t xml:space="preserve"> filed settlement agreement.  The lawsuit was filed December 1, </w:t>
      </w:r>
      <w:proofErr w:type="gramStart"/>
      <w:r w:rsidRPr="00627EB5">
        <w:rPr>
          <w:rFonts w:ascii="Times New Roman" w:hAnsi="Times New Roman"/>
          <w:sz w:val="24"/>
          <w:szCs w:val="24"/>
        </w:rPr>
        <w:t>2023</w:t>
      </w:r>
      <w:proofErr w:type="gramEnd"/>
      <w:r w:rsidRPr="00627EB5">
        <w:rPr>
          <w:rFonts w:ascii="Times New Roman" w:hAnsi="Times New Roman"/>
          <w:sz w:val="24"/>
          <w:szCs w:val="24"/>
        </w:rPr>
        <w:t xml:space="preserve"> by two Lieutenants on behalf of a class of 119 current and former firefighters and officers. The original complaint included a claim that Deputy Chiefs were improperly classified as exempt.  That claim was dropped in the settlement. </w:t>
      </w:r>
      <w:hyperlink r:id="rId1710" w:history="1">
        <w:r w:rsidRPr="00627EB5">
          <w:rPr>
            <w:rStyle w:val="Hyperlink"/>
            <w:rFonts w:ascii="Times New Roman" w:hAnsi="Times New Roman"/>
            <w:sz w:val="24"/>
            <w:szCs w:val="24"/>
          </w:rPr>
          <w:t>https://brookline.news/wp-content/uploads/2024/12/jointsettlementfiling.pdf</w:t>
        </w:r>
      </w:hyperlink>
    </w:p>
    <w:p w14:paraId="14B33F10" w14:textId="77777777" w:rsidR="00627EB5" w:rsidRDefault="00627EB5" w:rsidP="00F515EB">
      <w:pPr>
        <w:pStyle w:val="NoSpacing"/>
        <w:rPr>
          <w:rFonts w:ascii="Times New Roman" w:hAnsi="Times New Roman"/>
          <w:sz w:val="24"/>
          <w:szCs w:val="24"/>
        </w:rPr>
      </w:pPr>
    </w:p>
    <w:p w14:paraId="46F378C0" w14:textId="77777777" w:rsidR="00627EB5" w:rsidRDefault="00627EB5" w:rsidP="00F515EB">
      <w:pPr>
        <w:pStyle w:val="NoSpacing"/>
        <w:rPr>
          <w:rFonts w:ascii="Times New Roman" w:hAnsi="Times New Roman"/>
          <w:sz w:val="24"/>
          <w:szCs w:val="24"/>
        </w:rPr>
      </w:pPr>
    </w:p>
    <w:p w14:paraId="6F5F67C3" w14:textId="3B870C66" w:rsidR="00F515EB" w:rsidRPr="007C7655" w:rsidRDefault="00F515EB" w:rsidP="00F515EB">
      <w:pPr>
        <w:pStyle w:val="NoSpacing"/>
        <w:rPr>
          <w:rFonts w:ascii="Times New Roman" w:hAnsi="Times New Roman"/>
          <w:bCs/>
          <w:sz w:val="24"/>
          <w:szCs w:val="24"/>
        </w:rPr>
      </w:pPr>
      <w:r w:rsidRPr="007C7655">
        <w:rPr>
          <w:rFonts w:ascii="Times New Roman" w:hAnsi="Times New Roman"/>
          <w:sz w:val="24"/>
          <w:szCs w:val="24"/>
        </w:rPr>
        <w:t xml:space="preserve">The Settlement includes following. </w:t>
      </w:r>
    </w:p>
    <w:p w14:paraId="3A1C91AF" w14:textId="77777777" w:rsidR="00F515EB" w:rsidRPr="007C7655" w:rsidRDefault="00F515EB" w:rsidP="00F515EB">
      <w:pPr>
        <w:pStyle w:val="NoSpacing"/>
        <w:rPr>
          <w:rFonts w:ascii="Times New Roman" w:hAnsi="Times New Roman"/>
          <w:bCs/>
          <w:sz w:val="24"/>
          <w:szCs w:val="24"/>
        </w:rPr>
      </w:pPr>
    </w:p>
    <w:p w14:paraId="750DCB80" w14:textId="1327D8E8" w:rsidR="00F515EB" w:rsidRPr="007C7655" w:rsidRDefault="00627EB5" w:rsidP="00F515EB">
      <w:pPr>
        <w:ind w:left="720"/>
        <w:rPr>
          <w:rFonts w:ascii="Times New Roman" w:hAnsi="Times New Roman"/>
          <w:bCs/>
          <w:sz w:val="24"/>
          <w:szCs w:val="24"/>
        </w:rPr>
      </w:pPr>
      <w:r>
        <w:rPr>
          <w:rFonts w:ascii="Times New Roman" w:hAnsi="Times New Roman"/>
          <w:sz w:val="24"/>
          <w:szCs w:val="24"/>
        </w:rPr>
        <w:t>“</w:t>
      </w:r>
      <w:r w:rsidR="00F515EB" w:rsidRPr="007C7655">
        <w:rPr>
          <w:rFonts w:ascii="Times New Roman" w:hAnsi="Times New Roman"/>
          <w:sz w:val="24"/>
          <w:szCs w:val="24"/>
        </w:rPr>
        <w:t>The Town will pay the Plaintiffs the amount of $101,604.22 to resolve all claims as allocated in an attachment to the Settlement Agreement. *** By April 2024, the parties had reached an agreement in principle with the following elements:</w:t>
      </w:r>
    </w:p>
    <w:p w14:paraId="2D44E10A"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 xml:space="preserve">(a) The Town would include the ASHER [Active Shooter / Hostile Event </w:t>
      </w:r>
      <w:proofErr w:type="gramStart"/>
      <w:r w:rsidRPr="007C7655">
        <w:rPr>
          <w:rFonts w:ascii="Times New Roman" w:hAnsi="Times New Roman"/>
          <w:sz w:val="24"/>
          <w:szCs w:val="24"/>
        </w:rPr>
        <w:t>Response]]</w:t>
      </w:r>
      <w:proofErr w:type="gramEnd"/>
      <w:r w:rsidRPr="007C7655">
        <w:rPr>
          <w:rFonts w:ascii="Times New Roman" w:hAnsi="Times New Roman"/>
          <w:sz w:val="24"/>
          <w:szCs w:val="24"/>
        </w:rPr>
        <w:t xml:space="preserve"> stipend in the FLSA regular rate;</w:t>
      </w:r>
    </w:p>
    <w:p w14:paraId="467A1A11"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(b) The Town would count each shift as 24 hours instead of 21 hours as FLSA hours worked;</w:t>
      </w:r>
    </w:p>
    <w:p w14:paraId="5546EB6C"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(c) The Town would properly count the hours of employees who swap shifts;</w:t>
      </w:r>
    </w:p>
    <w:p w14:paraId="1CC261A2"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(d) The Town would include all types of overtime as FLSA hours worked;</w:t>
      </w:r>
    </w:p>
    <w:p w14:paraId="68283DB2"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 xml:space="preserve">(e) The Town would include ‘out of </w:t>
      </w:r>
      <w:proofErr w:type="spellStart"/>
      <w:r w:rsidRPr="007C7655">
        <w:rPr>
          <w:rFonts w:ascii="Times New Roman" w:hAnsi="Times New Roman"/>
          <w:sz w:val="24"/>
          <w:szCs w:val="24"/>
        </w:rPr>
        <w:t>class’</w:t>
      </w:r>
      <w:proofErr w:type="spellEnd"/>
      <w:r w:rsidRPr="007C7655">
        <w:rPr>
          <w:rFonts w:ascii="Times New Roman" w:hAnsi="Times New Roman"/>
          <w:sz w:val="24"/>
          <w:szCs w:val="24"/>
        </w:rPr>
        <w:t xml:space="preserve"> hours as FLSA hours worked;</w:t>
      </w:r>
    </w:p>
    <w:p w14:paraId="6AD3B831"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(f) The Town would count the hours for all days worked, including those days they failed to previously certify;</w:t>
      </w:r>
    </w:p>
    <w:p w14:paraId="574E2A88"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 xml:space="preserve">(g) The Town would not count deputy fire chiefs as FLSA non-exempt </w:t>
      </w:r>
      <w:proofErr w:type="gramStart"/>
      <w:r w:rsidRPr="007C7655">
        <w:rPr>
          <w:rFonts w:ascii="Times New Roman" w:hAnsi="Times New Roman"/>
          <w:sz w:val="24"/>
          <w:szCs w:val="24"/>
        </w:rPr>
        <w:t>employees</w:t>
      </w:r>
      <w:proofErr w:type="gramEnd"/>
      <w:r w:rsidRPr="007C7655">
        <w:rPr>
          <w:rFonts w:ascii="Times New Roman" w:hAnsi="Times New Roman"/>
          <w:sz w:val="24"/>
          <w:szCs w:val="24"/>
        </w:rPr>
        <w:t xml:space="preserve"> but they would count all fire lieutenants and fire captains as FLSA non-exempt employees;</w:t>
      </w:r>
    </w:p>
    <w:p w14:paraId="6CC291A0"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(h) The Plaintiffs would waive liquidated/double damages;</w:t>
      </w:r>
    </w:p>
    <w:p w14:paraId="7F598861" w14:textId="2945F44E"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w:t>
      </w:r>
      <w:proofErr w:type="spellStart"/>
      <w:r w:rsidRPr="007C7655">
        <w:rPr>
          <w:rFonts w:ascii="Times New Roman" w:hAnsi="Times New Roman"/>
          <w:sz w:val="24"/>
          <w:szCs w:val="24"/>
        </w:rPr>
        <w:t>i</w:t>
      </w:r>
      <w:proofErr w:type="spellEnd"/>
      <w:r w:rsidRPr="007C7655">
        <w:rPr>
          <w:rFonts w:ascii="Times New Roman" w:hAnsi="Times New Roman"/>
          <w:sz w:val="24"/>
          <w:szCs w:val="24"/>
        </w:rPr>
        <w:t>) The Plaintiffs would waive attorney’s fees.</w:t>
      </w:r>
      <w:r w:rsidR="00627EB5">
        <w:rPr>
          <w:rFonts w:ascii="Times New Roman" w:hAnsi="Times New Roman"/>
          <w:sz w:val="24"/>
          <w:szCs w:val="24"/>
        </w:rPr>
        <w:t>”</w:t>
      </w:r>
      <w:r w:rsidRPr="007C7655">
        <w:rPr>
          <w:rFonts w:ascii="Times New Roman" w:hAnsi="Times New Roman"/>
          <w:sz w:val="24"/>
          <w:szCs w:val="24"/>
        </w:rPr>
        <w:t xml:space="preserve">  </w:t>
      </w:r>
    </w:p>
    <w:p w14:paraId="28D1E8C0" w14:textId="1B510E58" w:rsidR="00F515EB" w:rsidRPr="007C7655" w:rsidRDefault="00F515EB" w:rsidP="00F515EB">
      <w:pPr>
        <w:pStyle w:val="NoSpacing"/>
        <w:rPr>
          <w:rFonts w:ascii="Times New Roman" w:hAnsi="Times New Roman"/>
          <w:bCs/>
          <w:sz w:val="24"/>
          <w:szCs w:val="24"/>
        </w:rPr>
      </w:pPr>
      <w:r w:rsidRPr="007C7655">
        <w:rPr>
          <w:rFonts w:ascii="Times New Roman" w:hAnsi="Times New Roman"/>
          <w:sz w:val="24"/>
          <w:szCs w:val="24"/>
        </w:rPr>
        <w:t xml:space="preserve"> </w:t>
      </w:r>
    </w:p>
    <w:p w14:paraId="17DADCCD" w14:textId="77777777" w:rsidR="00F515EB" w:rsidRPr="007C7655" w:rsidRDefault="00F515EB" w:rsidP="00F515EB">
      <w:pPr>
        <w:pStyle w:val="NoSpacing"/>
        <w:rPr>
          <w:rFonts w:ascii="Times New Roman" w:hAnsi="Times New Roman"/>
          <w:bCs/>
          <w:sz w:val="24"/>
          <w:szCs w:val="24"/>
        </w:rPr>
      </w:pPr>
    </w:p>
    <w:p w14:paraId="42557027" w14:textId="77777777" w:rsidR="00F515EB" w:rsidRPr="007C7655" w:rsidRDefault="00F515EB" w:rsidP="00F515EB">
      <w:pPr>
        <w:pStyle w:val="NoSpacing"/>
        <w:rPr>
          <w:rFonts w:ascii="Times New Roman" w:hAnsi="Times New Roman"/>
          <w:b/>
          <w:sz w:val="24"/>
          <w:szCs w:val="24"/>
        </w:rPr>
      </w:pPr>
      <w:r w:rsidRPr="007C7655">
        <w:rPr>
          <w:rFonts w:ascii="Times New Roman" w:hAnsi="Times New Roman"/>
          <w:b/>
          <w:sz w:val="24"/>
          <w:szCs w:val="24"/>
        </w:rPr>
        <w:t xml:space="preserve">Legal Lesson Learned: Lieutenants and Captains are non-exempt.  For higher ranks, FDs should consult with knowledgeable legal counsel and read opinion letters from the U.S. Department of Labor, Wage &amp; Hour Division.  </w:t>
      </w:r>
    </w:p>
    <w:p w14:paraId="62BC4D2D" w14:textId="77777777" w:rsidR="00F515EB" w:rsidRPr="007C7655" w:rsidRDefault="00F515EB" w:rsidP="00F515EB">
      <w:pPr>
        <w:pStyle w:val="p0"/>
        <w:ind w:firstLine="0"/>
        <w:rPr>
          <w:rFonts w:ascii="Times New Roman" w:hAnsi="Times New Roman" w:cs="Times New Roman"/>
          <w:sz w:val="24"/>
          <w:szCs w:val="24"/>
        </w:rPr>
      </w:pPr>
    </w:p>
    <w:p w14:paraId="6CE99C59" w14:textId="77777777" w:rsidR="00F515EB" w:rsidRPr="007C7655" w:rsidRDefault="00F515EB" w:rsidP="00F515EB">
      <w:pPr>
        <w:pStyle w:val="p0"/>
        <w:ind w:left="720" w:firstLine="0"/>
        <w:rPr>
          <w:rFonts w:ascii="Times New Roman" w:hAnsi="Times New Roman" w:cs="Times New Roman"/>
          <w:sz w:val="24"/>
          <w:szCs w:val="24"/>
        </w:rPr>
      </w:pPr>
      <w:r w:rsidRPr="007C7655">
        <w:rPr>
          <w:rFonts w:ascii="Times New Roman" w:hAnsi="Times New Roman" w:cs="Times New Roman"/>
          <w:sz w:val="24"/>
          <w:szCs w:val="24"/>
        </w:rPr>
        <w:t xml:space="preserve">Note: See Nov. 24, </w:t>
      </w:r>
      <w:proofErr w:type="gramStart"/>
      <w:r w:rsidRPr="007C7655">
        <w:rPr>
          <w:rFonts w:ascii="Times New Roman" w:hAnsi="Times New Roman" w:cs="Times New Roman"/>
          <w:sz w:val="24"/>
          <w:szCs w:val="24"/>
        </w:rPr>
        <w:t>2024</w:t>
      </w:r>
      <w:proofErr w:type="gramEnd"/>
      <w:r w:rsidRPr="007C7655">
        <w:rPr>
          <w:rFonts w:ascii="Times New Roman" w:hAnsi="Times New Roman" w:cs="Times New Roman"/>
          <w:sz w:val="24"/>
          <w:szCs w:val="24"/>
        </w:rPr>
        <w:t xml:space="preserve"> article, “Settlement Proposed for MA Firefighters Following 2023 FLSA Lawsuit.” </w:t>
      </w:r>
      <w:hyperlink r:id="rId1711" w:history="1">
        <w:r w:rsidRPr="007C7655">
          <w:rPr>
            <w:rStyle w:val="Hyperlink"/>
            <w:rFonts w:ascii="Times New Roman" w:hAnsi="Times New Roman" w:cs="Times New Roman"/>
            <w:sz w:val="24"/>
            <w:szCs w:val="24"/>
          </w:rPr>
          <w:t>https://www.firefighterovertime.org/2024/11/24/settlement-proposed-for-ma-firefighters-following-2023-flsa-lawsuit/</w:t>
        </w:r>
      </w:hyperlink>
      <w:r w:rsidRPr="007C7655">
        <w:rPr>
          <w:rFonts w:ascii="Times New Roman" w:hAnsi="Times New Roman" w:cs="Times New Roman"/>
          <w:sz w:val="24"/>
          <w:szCs w:val="24"/>
        </w:rPr>
        <w:t xml:space="preserve"> </w:t>
      </w:r>
    </w:p>
    <w:p w14:paraId="5FB25DC6" w14:textId="77777777" w:rsidR="00DE6B12" w:rsidRDefault="00DE6B12" w:rsidP="00F326E5">
      <w:pPr>
        <w:rPr>
          <w:rFonts w:ascii="Arial Black" w:hAnsi="Arial Black"/>
          <w:b/>
          <w:sz w:val="24"/>
          <w:szCs w:val="24"/>
        </w:rPr>
      </w:pPr>
    </w:p>
    <w:p w14:paraId="5BA23339" w14:textId="24BC1D07" w:rsidR="00F515EB" w:rsidRDefault="00DE6B12" w:rsidP="00F326E5">
      <w:pPr>
        <w:rPr>
          <w:rFonts w:ascii="Arial Black" w:hAnsi="Arial Black"/>
          <w:b/>
          <w:sz w:val="24"/>
          <w:szCs w:val="24"/>
        </w:rPr>
      </w:pPr>
      <w:r>
        <w:rPr>
          <w:rFonts w:ascii="Arial Black" w:hAnsi="Arial Black"/>
          <w:b/>
          <w:sz w:val="24"/>
          <w:szCs w:val="24"/>
        </w:rPr>
        <w:lastRenderedPageBreak/>
        <w:t>11-55</w:t>
      </w:r>
    </w:p>
    <w:p w14:paraId="41A193C7" w14:textId="77777777" w:rsidR="00AA4BA6" w:rsidRPr="00C841D2" w:rsidRDefault="00AA4BA6" w:rsidP="00AA4BA6">
      <w:pPr>
        <w:spacing w:before="100" w:beforeAutospacing="1" w:after="100" w:afterAutospacing="1" w:line="240" w:lineRule="auto"/>
        <w:rPr>
          <w:rFonts w:ascii="Arial Black" w:hAnsi="Arial Black"/>
          <w:sz w:val="28"/>
          <w:szCs w:val="28"/>
        </w:rPr>
      </w:pPr>
      <w:r>
        <w:rPr>
          <w:rFonts w:ascii="Arial Black" w:hAnsi="Arial Black"/>
          <w:sz w:val="28"/>
          <w:szCs w:val="28"/>
        </w:rPr>
        <w:t>FL: SHERIFF PILOT RESIGNED – FEMALE MGR ANTI-MILITARY – JURY “WILLFUL” VIOL., COURT MUST FOLLOW</w:t>
      </w:r>
    </w:p>
    <w:p w14:paraId="4D8F103F" w14:textId="77777777" w:rsidR="00AA4BA6" w:rsidRDefault="00AA4BA6" w:rsidP="00AA4BA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22, 2024, in </w:t>
      </w:r>
      <w:r w:rsidRPr="00E63245">
        <w:rPr>
          <w:rFonts w:ascii="Times New Roman" w:hAnsi="Times New Roman"/>
          <w:sz w:val="24"/>
          <w:szCs w:val="24"/>
          <w:u w:val="single"/>
        </w:rPr>
        <w:t>Scott Thomas v. Broward County Sheriff’s Office</w:t>
      </w:r>
      <w:r>
        <w:rPr>
          <w:rFonts w:ascii="Times New Roman" w:hAnsi="Times New Roman"/>
          <w:sz w:val="24"/>
          <w:szCs w:val="24"/>
        </w:rPr>
        <w:t>, the U.S. Court of Appeals for 11</w:t>
      </w:r>
      <w:r w:rsidRPr="00E63245">
        <w:rPr>
          <w:rFonts w:ascii="Times New Roman" w:hAnsi="Times New Roman"/>
          <w:sz w:val="24"/>
          <w:szCs w:val="24"/>
          <w:vertAlign w:val="superscript"/>
        </w:rPr>
        <w:t>th</w:t>
      </w:r>
      <w:r>
        <w:rPr>
          <w:rFonts w:ascii="Times New Roman" w:hAnsi="Times New Roman"/>
          <w:sz w:val="24"/>
          <w:szCs w:val="24"/>
        </w:rPr>
        <w:t xml:space="preserve"> Circuit (Atlanta) held (3 to 0) that under </w:t>
      </w:r>
      <w:r w:rsidRPr="006531DA">
        <w:rPr>
          <w:rFonts w:ascii="Times New Roman" w:hAnsi="Times New Roman"/>
          <w:sz w:val="24"/>
          <w:szCs w:val="24"/>
        </w:rPr>
        <w:t>the Uniformed</w:t>
      </w:r>
      <w:r>
        <w:rPr>
          <w:rFonts w:ascii="Times New Roman" w:hAnsi="Times New Roman"/>
          <w:sz w:val="24"/>
          <w:szCs w:val="24"/>
        </w:rPr>
        <w:t xml:space="preserve"> </w:t>
      </w:r>
      <w:r w:rsidRPr="006531DA">
        <w:rPr>
          <w:rFonts w:ascii="Times New Roman" w:hAnsi="Times New Roman"/>
          <w:sz w:val="24"/>
          <w:szCs w:val="24"/>
        </w:rPr>
        <w:t>Services Employment and Reemployment Rights Act</w:t>
      </w:r>
      <w:r>
        <w:rPr>
          <w:rFonts w:ascii="Times New Roman" w:hAnsi="Times New Roman"/>
          <w:sz w:val="24"/>
          <w:szCs w:val="24"/>
        </w:rPr>
        <w:t xml:space="preserve">, a federal District Court judge can double the lost wages verdict for “willful” violations of the Act, and when as in this case the parties agree to submit that decision to a jury, the District Court judge cannot set aside the jury’s finding of “willful” as merely advisory. Pilot awarded $240,000, which is then doubled, for willful violation. </w:t>
      </w:r>
    </w:p>
    <w:p w14:paraId="046F27EB" w14:textId="77777777" w:rsidR="00AA4BA6" w:rsidRDefault="00AA4BA6" w:rsidP="00AA4BA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The 11</w:t>
      </w:r>
      <w:r w:rsidRPr="00E63245">
        <w:rPr>
          <w:rFonts w:ascii="Times New Roman" w:hAnsi="Times New Roman"/>
          <w:sz w:val="24"/>
          <w:szCs w:val="24"/>
          <w:vertAlign w:val="superscript"/>
        </w:rPr>
        <w:t>th</w:t>
      </w:r>
      <w:r>
        <w:rPr>
          <w:rFonts w:ascii="Times New Roman" w:hAnsi="Times New Roman"/>
          <w:sz w:val="24"/>
          <w:szCs w:val="24"/>
        </w:rPr>
        <w:t xml:space="preserve"> Circuit held: “</w:t>
      </w:r>
      <w:r w:rsidRPr="00C841D2">
        <w:rPr>
          <w:rFonts w:ascii="Times New Roman" w:hAnsi="Times New Roman"/>
          <w:sz w:val="24"/>
          <w:szCs w:val="24"/>
        </w:rPr>
        <w:t>The jury determined that the sheriff’s office’s violation of the Act was willful. Thomas argues that this finding bound the district court because the parties consented to a jury</w:t>
      </w:r>
      <w:r>
        <w:rPr>
          <w:rFonts w:ascii="Times New Roman" w:hAnsi="Times New Roman"/>
          <w:sz w:val="24"/>
          <w:szCs w:val="24"/>
        </w:rPr>
        <w:t xml:space="preserve"> </w:t>
      </w:r>
      <w:r w:rsidRPr="00C841D2">
        <w:rPr>
          <w:rFonts w:ascii="Times New Roman" w:hAnsi="Times New Roman"/>
          <w:sz w:val="24"/>
          <w:szCs w:val="24"/>
        </w:rPr>
        <w:t>trial on the issue of willfulness. Alternatively, he argues that the</w:t>
      </w:r>
      <w:r>
        <w:rPr>
          <w:rFonts w:ascii="Times New Roman" w:hAnsi="Times New Roman"/>
          <w:sz w:val="24"/>
          <w:szCs w:val="24"/>
        </w:rPr>
        <w:t xml:space="preserve"> </w:t>
      </w:r>
      <w:r w:rsidRPr="00C841D2">
        <w:rPr>
          <w:rFonts w:ascii="Times New Roman" w:hAnsi="Times New Roman"/>
          <w:sz w:val="24"/>
          <w:szCs w:val="24"/>
        </w:rPr>
        <w:t>jury’s determination was conclusive because the statute itself gave</w:t>
      </w:r>
      <w:r>
        <w:rPr>
          <w:rFonts w:ascii="Times New Roman" w:hAnsi="Times New Roman"/>
          <w:sz w:val="24"/>
          <w:szCs w:val="24"/>
        </w:rPr>
        <w:t xml:space="preserve"> </w:t>
      </w:r>
      <w:r w:rsidRPr="00C841D2">
        <w:rPr>
          <w:rFonts w:ascii="Times New Roman" w:hAnsi="Times New Roman"/>
          <w:sz w:val="24"/>
          <w:szCs w:val="24"/>
        </w:rPr>
        <w:t>him the right to have the jury decide the issue. We need not reach</w:t>
      </w:r>
      <w:r>
        <w:rPr>
          <w:rFonts w:ascii="Times New Roman" w:hAnsi="Times New Roman"/>
          <w:sz w:val="24"/>
          <w:szCs w:val="24"/>
        </w:rPr>
        <w:t xml:space="preserve"> </w:t>
      </w:r>
      <w:r w:rsidRPr="00C841D2">
        <w:rPr>
          <w:rFonts w:ascii="Times New Roman" w:hAnsi="Times New Roman"/>
          <w:sz w:val="24"/>
          <w:szCs w:val="24"/>
        </w:rPr>
        <w:t>his second argument because his first argument is correct</w:t>
      </w:r>
      <w:r>
        <w:rPr>
          <w:rFonts w:ascii="Times New Roman" w:hAnsi="Times New Roman"/>
          <w:sz w:val="24"/>
          <w:szCs w:val="24"/>
        </w:rPr>
        <w:t>.”</w:t>
      </w:r>
      <w:r w:rsidRPr="00E63245">
        <w:t xml:space="preserve"> </w:t>
      </w:r>
      <w:hyperlink r:id="rId1712" w:history="1">
        <w:r w:rsidRPr="00AA56D8">
          <w:rPr>
            <w:rStyle w:val="Hyperlink"/>
            <w:sz w:val="24"/>
            <w:szCs w:val="24"/>
          </w:rPr>
          <w:t>https://media.ca11.uscourts.gov/opinions/pub/files/202211322.pdf</w:t>
        </w:r>
      </w:hyperlink>
      <w:r>
        <w:rPr>
          <w:rFonts w:ascii="Times New Roman" w:hAnsi="Times New Roman"/>
          <w:sz w:val="24"/>
          <w:szCs w:val="24"/>
        </w:rPr>
        <w:t xml:space="preserve"> </w:t>
      </w:r>
    </w:p>
    <w:p w14:paraId="375B0C7B" w14:textId="77777777" w:rsidR="00AA4BA6" w:rsidRPr="00091A17" w:rsidRDefault="00AA4BA6" w:rsidP="00AA4BA6">
      <w:pPr>
        <w:spacing w:before="100" w:beforeAutospacing="1" w:after="100" w:afterAutospacing="1" w:line="240" w:lineRule="auto"/>
        <w:rPr>
          <w:rFonts w:ascii="Times New Roman" w:hAnsi="Times New Roman"/>
          <w:b/>
          <w:bCs/>
          <w:sz w:val="24"/>
          <w:szCs w:val="24"/>
        </w:rPr>
      </w:pPr>
      <w:r w:rsidRPr="00091A17">
        <w:rPr>
          <w:rFonts w:ascii="Times New Roman" w:hAnsi="Times New Roman"/>
          <w:b/>
          <w:bCs/>
          <w:sz w:val="24"/>
          <w:szCs w:val="24"/>
        </w:rPr>
        <w:t>Legal Lesson Learned: USERRA prohibits employers</w:t>
      </w:r>
      <w:r>
        <w:rPr>
          <w:rFonts w:ascii="Times New Roman" w:hAnsi="Times New Roman"/>
          <w:b/>
          <w:bCs/>
          <w:sz w:val="24"/>
          <w:szCs w:val="24"/>
        </w:rPr>
        <w:t xml:space="preserve">, including sheriffs and Fire &amp; EMS, </w:t>
      </w:r>
      <w:r w:rsidRPr="00091A17">
        <w:rPr>
          <w:rFonts w:ascii="Times New Roman" w:hAnsi="Times New Roman"/>
          <w:b/>
          <w:bCs/>
          <w:sz w:val="24"/>
          <w:szCs w:val="24"/>
        </w:rPr>
        <w:t xml:space="preserve"> from</w:t>
      </w:r>
      <w:r>
        <w:rPr>
          <w:rFonts w:ascii="Times New Roman" w:hAnsi="Times New Roman"/>
          <w:b/>
          <w:bCs/>
          <w:sz w:val="24"/>
          <w:szCs w:val="24"/>
        </w:rPr>
        <w:t xml:space="preserve"> </w:t>
      </w:r>
      <w:r w:rsidRPr="00091A17">
        <w:rPr>
          <w:rFonts w:ascii="Times New Roman" w:hAnsi="Times New Roman"/>
          <w:b/>
          <w:bCs/>
          <w:sz w:val="24"/>
          <w:szCs w:val="24"/>
        </w:rPr>
        <w:t>discriminating against past and present members of the uniformed services</w:t>
      </w:r>
      <w:r>
        <w:rPr>
          <w:rFonts w:ascii="Times New Roman" w:hAnsi="Times New Roman"/>
          <w:b/>
          <w:bCs/>
          <w:sz w:val="24"/>
          <w:szCs w:val="24"/>
        </w:rPr>
        <w:t xml:space="preserve">. </w:t>
      </w:r>
      <w:r w:rsidRPr="00091A17">
        <w:rPr>
          <w:rFonts w:ascii="Times New Roman" w:hAnsi="Times New Roman"/>
          <w:b/>
          <w:bCs/>
          <w:sz w:val="24"/>
          <w:szCs w:val="24"/>
        </w:rPr>
        <w:t xml:space="preserve"> </w:t>
      </w:r>
    </w:p>
    <w:p w14:paraId="6AF34609" w14:textId="3AFAA7AC" w:rsidR="00F515EB" w:rsidRDefault="00AA4BA6" w:rsidP="00AA4BA6">
      <w:pPr>
        <w:rPr>
          <w:rFonts w:ascii="Arial Black" w:hAnsi="Arial Black"/>
          <w:b/>
          <w:sz w:val="24"/>
          <w:szCs w:val="24"/>
        </w:rPr>
      </w:pPr>
      <w:r w:rsidRPr="00091A17">
        <w:rPr>
          <w:rFonts w:ascii="Times New Roman" w:eastAsia="Times New Roman" w:hAnsi="Times New Roman"/>
          <w:sz w:val="24"/>
          <w:szCs w:val="24"/>
        </w:rPr>
        <w:t xml:space="preserve">Note: </w:t>
      </w:r>
      <w:r>
        <w:rPr>
          <w:rFonts w:ascii="Times New Roman" w:eastAsia="Times New Roman" w:hAnsi="Times New Roman"/>
          <w:sz w:val="24"/>
          <w:szCs w:val="24"/>
        </w:rPr>
        <w:t>“</w:t>
      </w:r>
      <w:r w:rsidRPr="00091A17">
        <w:rPr>
          <w:rFonts w:ascii="Times New Roman" w:hAnsi="Times New Roman"/>
          <w:sz w:val="24"/>
          <w:szCs w:val="24"/>
        </w:rPr>
        <w:t xml:space="preserve">USERRA applies to all public and private employers in the United States, regardless of size. For example, an employer with only one employee is covered for purposes of the act. USERRA also applies to foreign employers doing business in the United States. A foreign employer that has a physical location or branch in the United States (including U.S. territories and possessions) must comply with USERRA for any of its employees who are employed in the United States. </w:t>
      </w:r>
      <w:hyperlink r:id="rId1713" w:history="1">
        <w:r w:rsidRPr="00091A17">
          <w:rPr>
            <w:rStyle w:val="Hyperlink"/>
            <w:sz w:val="24"/>
            <w:szCs w:val="24"/>
          </w:rPr>
          <w:t>https://www.militaryonesource.mil/national-guard/employment-support/uniformed-services-employment-and-reemployment-rights-act/</w:t>
        </w:r>
      </w:hyperlink>
    </w:p>
    <w:p w14:paraId="5C7AD2E1" w14:textId="77777777" w:rsidR="00F515EB" w:rsidRDefault="00F515EB" w:rsidP="00F326E5">
      <w:pPr>
        <w:rPr>
          <w:rFonts w:ascii="Arial Black" w:hAnsi="Arial Black"/>
          <w:b/>
          <w:sz w:val="24"/>
          <w:szCs w:val="24"/>
        </w:rPr>
      </w:pPr>
    </w:p>
    <w:p w14:paraId="775DA168" w14:textId="47B04C89" w:rsidR="00421B7C" w:rsidRDefault="00421B7C" w:rsidP="00F326E5">
      <w:pPr>
        <w:rPr>
          <w:rFonts w:ascii="Arial Black" w:hAnsi="Arial Black"/>
          <w:b/>
          <w:sz w:val="24"/>
          <w:szCs w:val="24"/>
        </w:rPr>
      </w:pPr>
      <w:r>
        <w:rPr>
          <w:rFonts w:ascii="Arial Black" w:hAnsi="Arial Black"/>
          <w:b/>
          <w:sz w:val="24"/>
          <w:szCs w:val="24"/>
        </w:rPr>
        <w:t>11-5</w:t>
      </w:r>
      <w:r w:rsidR="009601CD">
        <w:rPr>
          <w:rFonts w:ascii="Arial Black" w:hAnsi="Arial Black"/>
          <w:b/>
          <w:sz w:val="24"/>
          <w:szCs w:val="24"/>
        </w:rPr>
        <w:t>4</w:t>
      </w:r>
    </w:p>
    <w:p w14:paraId="5ADFB112" w14:textId="77777777" w:rsidR="00421B7C" w:rsidRDefault="00421B7C" w:rsidP="00421B7C">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SC: FF / PARAMEDIC – 90% OF HER TIME EMS DUTIES – FF EXEMPTION STILL APPLIES - OVERTIME AFTER 53 HOURS</w:t>
      </w:r>
    </w:p>
    <w:p w14:paraId="5298F866" w14:textId="77777777" w:rsidR="00421B7C" w:rsidRPr="009D70F9" w:rsidRDefault="00421B7C" w:rsidP="00421B7C">
      <w:pPr>
        <w:pStyle w:val="NormalWeb"/>
        <w:rPr>
          <w:shd w:val="clear" w:color="auto" w:fill="FFFFFF"/>
        </w:rPr>
      </w:pPr>
      <w:r w:rsidRPr="009D70F9">
        <w:rPr>
          <w:color w:val="454545"/>
          <w:shd w:val="clear" w:color="auto" w:fill="FFFFFF"/>
        </w:rPr>
        <w:t xml:space="preserve">On July 30, 2024, in </w:t>
      </w:r>
      <w:r w:rsidRPr="009D70F9">
        <w:rPr>
          <w:color w:val="454545"/>
          <w:u w:val="single"/>
          <w:shd w:val="clear" w:color="auto" w:fill="FFFFFF"/>
        </w:rPr>
        <w:t>Heather Nicole Davis v. Jasper County</w:t>
      </w:r>
      <w:r w:rsidRPr="009D70F9">
        <w:rPr>
          <w:color w:val="454545"/>
          <w:shd w:val="clear" w:color="auto" w:fill="FFFFFF"/>
        </w:rPr>
        <w:t>,  U.S. District Court Judge Bruce Howe Hendricks granted summary judgment to Jasper County; as a firefighter / paramedic she is only entitled to overtime after 53 hours (not 40 hours).  “</w:t>
      </w:r>
      <w:r w:rsidRPr="009D70F9">
        <w:rPr>
          <w:shd w:val="clear" w:color="auto" w:fill="FFFFFF"/>
        </w:rPr>
        <w:t xml:space="preserve">The Court finds Plaintiff’s argument without merit. Based on the testimonial evidence set forth above, there is no genuine dispute that Plaintiff </w:t>
      </w:r>
      <w:proofErr w:type="gramStart"/>
      <w:r w:rsidRPr="009D70F9">
        <w:rPr>
          <w:shd w:val="clear" w:color="auto" w:fill="FFFFFF"/>
        </w:rPr>
        <w:t>actually engaged</w:t>
      </w:r>
      <w:proofErr w:type="gramEnd"/>
      <w:r w:rsidRPr="009D70F9">
        <w:rPr>
          <w:shd w:val="clear" w:color="auto" w:fill="FFFFFF"/>
        </w:rPr>
        <w:t xml:space="preserve"> in fire prevention and suppression – she sometimes drove the fire truck, has operated the fire pump, and has put on her turn out gear and entered a structure on fire. There is no requirement in the statute that Plaintiff engage in fire prevention and suppression with any specified </w:t>
      </w:r>
      <w:proofErr w:type="gramStart"/>
      <w:r w:rsidRPr="009D70F9">
        <w:rPr>
          <w:shd w:val="clear" w:color="auto" w:fill="FFFFFF"/>
        </w:rPr>
        <w:t>frequency.”</w:t>
      </w:r>
      <w:proofErr w:type="gramEnd"/>
      <w:r w:rsidRPr="009D70F9">
        <w:t xml:space="preserve"> </w:t>
      </w:r>
      <w:hyperlink r:id="rId1714" w:history="1">
        <w:r w:rsidRPr="009D70F9">
          <w:rPr>
            <w:rStyle w:val="Hyperlink"/>
            <w:shd w:val="clear" w:color="auto" w:fill="FFFFFF"/>
          </w:rPr>
          <w:t>https://www.firefighterovertime.org/wp-content/uploads/2024/07/US_DIS_SCD_9_21cv3964_d87991559e1450_ORDER_denying_40_Motion_for_Summary_Judgment_grant.pdf</w:t>
        </w:r>
      </w:hyperlink>
    </w:p>
    <w:p w14:paraId="517E3A5E" w14:textId="77777777" w:rsidR="00421B7C" w:rsidRPr="009D70F9" w:rsidRDefault="00421B7C" w:rsidP="00421B7C">
      <w:pPr>
        <w:pStyle w:val="NormalWeb"/>
        <w:rPr>
          <w:shd w:val="clear" w:color="auto" w:fill="FFFFFF"/>
        </w:rPr>
      </w:pPr>
      <w:r w:rsidRPr="009D70F9">
        <w:rPr>
          <w:shd w:val="clear" w:color="auto" w:fill="FFFFFF"/>
        </w:rPr>
        <w:t>THE COURT HELD:</w:t>
      </w:r>
    </w:p>
    <w:p w14:paraId="729215C4" w14:textId="77777777" w:rsidR="00421B7C" w:rsidRPr="009D70F9" w:rsidRDefault="00421B7C" w:rsidP="00421B7C">
      <w:pPr>
        <w:pStyle w:val="NormalWeb"/>
        <w:ind w:left="720"/>
        <w:rPr>
          <w:shd w:val="clear" w:color="auto" w:fill="FFFFFF"/>
        </w:rPr>
      </w:pPr>
      <w:r w:rsidRPr="009D70F9">
        <w:rPr>
          <w:shd w:val="clear" w:color="auto" w:fill="FFFFFF"/>
        </w:rPr>
        <w:t xml:space="preserve">“Here, Plaintiff does not dispute that she was employed as a Firefighter/Paramedic; that she trained in fire suppression; that she had the legal authority to engage in fire suppression; and that she was </w:t>
      </w:r>
      <w:r w:rsidRPr="009D70F9">
        <w:rPr>
          <w:shd w:val="clear" w:color="auto" w:fill="FFFFFF"/>
        </w:rPr>
        <w:lastRenderedPageBreak/>
        <w:t>employed by a fire department of a county….  Thus, as to the first part of § 203(y), elements (1) through (4), the remaining issue is whether plaintiff had the responsibility to engage in fire suppression.</w:t>
      </w:r>
    </w:p>
    <w:p w14:paraId="6959F670" w14:textId="77777777" w:rsidR="00421B7C" w:rsidRDefault="00421B7C" w:rsidP="00421B7C">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ab/>
        <w:t>***</w:t>
      </w:r>
    </w:p>
    <w:p w14:paraId="3B5018CE" w14:textId="77777777" w:rsidR="00421B7C" w:rsidRDefault="00421B7C" w:rsidP="00421B7C">
      <w:pPr>
        <w:pStyle w:val="NoSpacing"/>
        <w:rPr>
          <w:rFonts w:ascii="Times New Roman" w:hAnsi="Times New Roman"/>
          <w:sz w:val="24"/>
          <w:szCs w:val="24"/>
          <w:shd w:val="clear" w:color="auto" w:fill="FFFFFF"/>
        </w:rPr>
      </w:pPr>
    </w:p>
    <w:p w14:paraId="0AD462D1" w14:textId="77777777" w:rsidR="00421B7C" w:rsidRPr="00A25A83" w:rsidRDefault="00421B7C" w:rsidP="00421B7C">
      <w:pPr>
        <w:pStyle w:val="NoSpacing"/>
        <w:ind w:firstLine="720"/>
        <w:rPr>
          <w:rFonts w:ascii="Times New Roman" w:hAnsi="Times New Roman"/>
          <w:sz w:val="24"/>
          <w:szCs w:val="24"/>
          <w:shd w:val="clear" w:color="auto" w:fill="FFFFFF"/>
        </w:rPr>
      </w:pPr>
      <w:r w:rsidRPr="00A25A83">
        <w:rPr>
          <w:rFonts w:ascii="Times New Roman" w:hAnsi="Times New Roman"/>
          <w:sz w:val="24"/>
          <w:szCs w:val="24"/>
          <w:shd w:val="clear" w:color="auto" w:fill="FFFFFF"/>
        </w:rPr>
        <w:t xml:space="preserve">In 1999, Congress amended the FLSA to </w:t>
      </w:r>
      <w:r>
        <w:rPr>
          <w:rFonts w:ascii="Times New Roman" w:hAnsi="Times New Roman"/>
          <w:sz w:val="24"/>
          <w:szCs w:val="24"/>
          <w:shd w:val="clear" w:color="auto" w:fill="FFFFFF"/>
        </w:rPr>
        <w:t>‘</w:t>
      </w:r>
      <w:r w:rsidRPr="00A25A83">
        <w:rPr>
          <w:rFonts w:ascii="Times New Roman" w:hAnsi="Times New Roman"/>
          <w:sz w:val="24"/>
          <w:szCs w:val="24"/>
          <w:shd w:val="clear" w:color="auto" w:fill="FFFFFF"/>
        </w:rPr>
        <w:t>clarify the overtime exemption for</w:t>
      </w:r>
    </w:p>
    <w:p w14:paraId="10DFA673" w14:textId="77777777" w:rsidR="00421B7C" w:rsidRPr="00A25A83" w:rsidRDefault="00421B7C" w:rsidP="00421B7C">
      <w:pPr>
        <w:pStyle w:val="NoSpacing"/>
        <w:ind w:firstLine="720"/>
        <w:rPr>
          <w:rFonts w:ascii="Times New Roman" w:hAnsi="Times New Roman"/>
          <w:sz w:val="24"/>
          <w:szCs w:val="24"/>
          <w:shd w:val="clear" w:color="auto" w:fill="FFFFFF"/>
        </w:rPr>
      </w:pPr>
      <w:r w:rsidRPr="00A25A83">
        <w:rPr>
          <w:rFonts w:ascii="Times New Roman" w:hAnsi="Times New Roman"/>
          <w:sz w:val="24"/>
          <w:szCs w:val="24"/>
          <w:shd w:val="clear" w:color="auto" w:fill="FFFFFF"/>
        </w:rPr>
        <w:t>employees engaged in fire protection activities.</w:t>
      </w:r>
      <w:r>
        <w:rPr>
          <w:rFonts w:ascii="Times New Roman" w:hAnsi="Times New Roman"/>
          <w:sz w:val="24"/>
          <w:szCs w:val="24"/>
          <w:shd w:val="clear" w:color="auto" w:fill="FFFFFF"/>
        </w:rPr>
        <w:t>’</w:t>
      </w:r>
      <w:r w:rsidRPr="00A25A83">
        <w:rPr>
          <w:rFonts w:ascii="Times New Roman" w:hAnsi="Times New Roman"/>
          <w:sz w:val="24"/>
          <w:szCs w:val="24"/>
          <w:shd w:val="clear" w:color="auto" w:fill="FFFFFF"/>
        </w:rPr>
        <w:t xml:space="preserve"> Pub. L. No. 106-151, 113 Stat.</w:t>
      </w:r>
    </w:p>
    <w:p w14:paraId="6F0137EE" w14:textId="77777777" w:rsidR="00421B7C" w:rsidRPr="00A25A83" w:rsidRDefault="00421B7C" w:rsidP="00421B7C">
      <w:pPr>
        <w:pStyle w:val="NoSpacing"/>
        <w:ind w:left="720"/>
        <w:rPr>
          <w:rFonts w:ascii="Times New Roman" w:hAnsi="Times New Roman"/>
          <w:sz w:val="24"/>
          <w:szCs w:val="24"/>
          <w:shd w:val="clear" w:color="auto" w:fill="FFFFFF"/>
        </w:rPr>
      </w:pPr>
      <w:r w:rsidRPr="00A25A83">
        <w:rPr>
          <w:rFonts w:ascii="Times New Roman" w:hAnsi="Times New Roman"/>
          <w:sz w:val="24"/>
          <w:szCs w:val="24"/>
          <w:shd w:val="clear" w:color="auto" w:fill="FFFFFF"/>
        </w:rPr>
        <w:t>1731(codified as amended at 29 U.S.C. § 203(y)). Under 29 U.S.C. § 203(y), the following</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 xml:space="preserve">employees are, by definition, considered to be involved </w:t>
      </w:r>
      <w:r>
        <w:rPr>
          <w:rFonts w:ascii="Times New Roman" w:hAnsi="Times New Roman"/>
          <w:sz w:val="24"/>
          <w:szCs w:val="24"/>
          <w:shd w:val="clear" w:color="auto" w:fill="FFFFFF"/>
        </w:rPr>
        <w:t>‘i</w:t>
      </w:r>
      <w:r w:rsidRPr="00A25A83">
        <w:rPr>
          <w:rFonts w:ascii="Times New Roman" w:hAnsi="Times New Roman"/>
          <w:sz w:val="24"/>
          <w:szCs w:val="24"/>
          <w:shd w:val="clear" w:color="auto" w:fill="FFFFFF"/>
        </w:rPr>
        <w:t>n fire protection activities</w:t>
      </w:r>
      <w:r>
        <w:rPr>
          <w:rFonts w:ascii="Times New Roman" w:hAnsi="Times New Roman"/>
          <w:sz w:val="24"/>
          <w:szCs w:val="24"/>
          <w:shd w:val="clear" w:color="auto" w:fill="FFFFFF"/>
        </w:rPr>
        <w:t>’</w:t>
      </w:r>
      <w:r w:rsidRPr="00A25A83">
        <w:rPr>
          <w:rFonts w:ascii="Times New Roman" w:hAnsi="Times New Roman"/>
          <w:sz w:val="24"/>
          <w:szCs w:val="24"/>
          <w:shd w:val="clear" w:color="auto" w:fill="FFFFFF"/>
        </w:rPr>
        <w:t xml:space="preserve"> for</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the purpose of the Section 207(k) exemption:</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an employee, including a firefighter, paramedic, emergency medical</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technician, rescue worker, ambulance personnel, or hazardous materials</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worker, who . . . is trained in fire suppression, has the legal authority and</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responsibility to engage in fire suppression, and is employed by a fire</w:t>
      </w:r>
    </w:p>
    <w:p w14:paraId="1CCBA178" w14:textId="77777777" w:rsidR="00421B7C" w:rsidRDefault="00421B7C" w:rsidP="00421B7C">
      <w:pPr>
        <w:pStyle w:val="NoSpacing"/>
        <w:ind w:left="720"/>
        <w:rPr>
          <w:rFonts w:ascii="Times New Roman" w:hAnsi="Times New Roman"/>
          <w:sz w:val="24"/>
          <w:szCs w:val="24"/>
          <w:shd w:val="clear" w:color="auto" w:fill="FFFFFF"/>
        </w:rPr>
      </w:pPr>
      <w:r w:rsidRPr="00A25A83">
        <w:rPr>
          <w:rFonts w:ascii="Times New Roman" w:hAnsi="Times New Roman"/>
          <w:sz w:val="24"/>
          <w:szCs w:val="24"/>
          <w:shd w:val="clear" w:color="auto" w:fill="FFFFFF"/>
        </w:rPr>
        <w:t>department of a municipality, county, fire district, or State; and is engaged</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in the prevention, control, and extinguishment of fires or response to</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emergency situations where life, property, or the environment is at risk.</w:t>
      </w:r>
      <w:r>
        <w:rPr>
          <w:rFonts w:ascii="Times New Roman" w:hAnsi="Times New Roman"/>
          <w:sz w:val="24"/>
          <w:szCs w:val="24"/>
          <w:shd w:val="clear" w:color="auto" w:fill="FFFFFF"/>
        </w:rPr>
        <w:t>”</w:t>
      </w:r>
    </w:p>
    <w:p w14:paraId="43005CF1" w14:textId="77777777" w:rsidR="00693009" w:rsidRDefault="00693009" w:rsidP="00693009">
      <w:pPr>
        <w:pStyle w:val="NoSpacing"/>
        <w:rPr>
          <w:rFonts w:ascii="Times New Roman" w:hAnsi="Times New Roman"/>
          <w:b/>
          <w:bCs/>
          <w:sz w:val="24"/>
          <w:szCs w:val="24"/>
          <w:shd w:val="clear" w:color="auto" w:fill="FFFFFF"/>
        </w:rPr>
      </w:pPr>
    </w:p>
    <w:p w14:paraId="1DCE5728" w14:textId="0CB626EF" w:rsidR="00693009" w:rsidRPr="00A71244" w:rsidRDefault="00693009" w:rsidP="00693009">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FLSA </w:t>
      </w:r>
      <w:r w:rsidRPr="003776C2">
        <w:rPr>
          <w:rFonts w:ascii="Times New Roman" w:hAnsi="Times New Roman"/>
          <w:b/>
          <w:bCs/>
          <w:sz w:val="24"/>
          <w:szCs w:val="24"/>
          <w:shd w:val="clear" w:color="auto" w:fill="FFFFFF"/>
        </w:rPr>
        <w:t>Section 207(k) exemption</w:t>
      </w:r>
      <w:r>
        <w:rPr>
          <w:rFonts w:ascii="Times New Roman" w:hAnsi="Times New Roman"/>
          <w:b/>
          <w:bCs/>
          <w:sz w:val="24"/>
          <w:szCs w:val="24"/>
          <w:shd w:val="clear" w:color="auto" w:fill="FFFFFF"/>
        </w:rPr>
        <w:t xml:space="preserve"> clearly applies to her; one </w:t>
      </w:r>
      <w:proofErr w:type="gramStart"/>
      <w:r>
        <w:rPr>
          <w:rFonts w:ascii="Times New Roman" w:hAnsi="Times New Roman"/>
          <w:b/>
          <w:bCs/>
          <w:sz w:val="24"/>
          <w:szCs w:val="24"/>
          <w:shd w:val="clear" w:color="auto" w:fill="FFFFFF"/>
        </w:rPr>
        <w:t>has to</w:t>
      </w:r>
      <w:proofErr w:type="gramEnd"/>
      <w:r>
        <w:rPr>
          <w:rFonts w:ascii="Times New Roman" w:hAnsi="Times New Roman"/>
          <w:b/>
          <w:bCs/>
          <w:sz w:val="24"/>
          <w:szCs w:val="24"/>
          <w:shd w:val="clear" w:color="auto" w:fill="FFFFFF"/>
        </w:rPr>
        <w:t xml:space="preserve"> wonder why she even filed this lawsuit. </w:t>
      </w:r>
    </w:p>
    <w:p w14:paraId="3B82A3AF" w14:textId="77777777" w:rsidR="00693009" w:rsidRDefault="00693009" w:rsidP="00F326E5">
      <w:pPr>
        <w:rPr>
          <w:rFonts w:ascii="Arial Black" w:hAnsi="Arial Black"/>
          <w:b/>
          <w:sz w:val="24"/>
          <w:szCs w:val="24"/>
        </w:rPr>
      </w:pPr>
    </w:p>
    <w:p w14:paraId="2644AB10" w14:textId="77777777" w:rsidR="00421B7C" w:rsidRDefault="00421B7C" w:rsidP="00F326E5">
      <w:pPr>
        <w:rPr>
          <w:rFonts w:ascii="Arial Black" w:hAnsi="Arial Black"/>
          <w:b/>
          <w:sz w:val="24"/>
          <w:szCs w:val="24"/>
        </w:rPr>
      </w:pPr>
    </w:p>
    <w:p w14:paraId="0DD39E4D" w14:textId="29B74782" w:rsidR="008A71A3" w:rsidRDefault="008A71A3" w:rsidP="00F326E5">
      <w:pPr>
        <w:rPr>
          <w:rFonts w:ascii="Arial Black" w:hAnsi="Arial Black"/>
          <w:b/>
          <w:sz w:val="24"/>
          <w:szCs w:val="24"/>
        </w:rPr>
      </w:pPr>
      <w:r>
        <w:rPr>
          <w:rFonts w:ascii="Arial Black" w:hAnsi="Arial Black"/>
          <w:b/>
          <w:sz w:val="24"/>
          <w:szCs w:val="24"/>
        </w:rPr>
        <w:t>11-5</w:t>
      </w:r>
      <w:r w:rsidR="009601CD">
        <w:rPr>
          <w:rFonts w:ascii="Arial Black" w:hAnsi="Arial Black"/>
          <w:b/>
          <w:sz w:val="24"/>
          <w:szCs w:val="24"/>
        </w:rPr>
        <w:t>3</w:t>
      </w:r>
    </w:p>
    <w:p w14:paraId="620353CE" w14:textId="77777777" w:rsidR="0060682A" w:rsidRPr="006179C5" w:rsidRDefault="0060682A" w:rsidP="0060682A">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OK: FLSA SETTLEMENT – SHIFT DIFFERENTIAL - $350,000 / UP TO 130 EMS MAY JOIN – AGREEMENT MUST BE PUBLIC </w:t>
      </w:r>
    </w:p>
    <w:p w14:paraId="34B30331" w14:textId="77777777" w:rsidR="0060682A" w:rsidRPr="0060682A" w:rsidRDefault="0060682A" w:rsidP="0060682A">
      <w:pPr>
        <w:pStyle w:val="NormalWeb"/>
        <w:rPr>
          <w:color w:val="454545"/>
          <w:shd w:val="clear" w:color="auto" w:fill="FFFFFF"/>
        </w:rPr>
      </w:pPr>
      <w:r w:rsidRPr="0060682A">
        <w:rPr>
          <w:color w:val="454545"/>
          <w:shd w:val="clear" w:color="auto" w:fill="FFFFFF"/>
        </w:rPr>
        <w:t xml:space="preserve">On May 23, 2024, in </w:t>
      </w:r>
      <w:r w:rsidRPr="0060682A">
        <w:rPr>
          <w:color w:val="454545"/>
          <w:u w:val="single"/>
          <w:shd w:val="clear" w:color="auto" w:fill="FFFFFF"/>
        </w:rPr>
        <w:t>Jerry Sherley v. Muskogee County EMS</w:t>
      </w:r>
      <w:r w:rsidRPr="0060682A">
        <w:rPr>
          <w:color w:val="454545"/>
          <w:shd w:val="clear" w:color="auto" w:fill="FFFFFF"/>
        </w:rPr>
        <w:t>, U.S. District Court Judge John F. Heil has agreed to review the terms for fairness the proposed settlement of class action after plaintiff submits a proposed notice to all 130 EMS, and the settlement must be a public record.  The Court held:</w:t>
      </w:r>
    </w:p>
    <w:p w14:paraId="13D05640" w14:textId="528E4438" w:rsidR="008A71A3" w:rsidRPr="0060682A" w:rsidRDefault="0060682A" w:rsidP="0060682A">
      <w:pPr>
        <w:ind w:left="720"/>
        <w:rPr>
          <w:rFonts w:ascii="Times New Roman" w:hAnsi="Times New Roman"/>
          <w:b/>
          <w:sz w:val="24"/>
          <w:szCs w:val="24"/>
        </w:rPr>
      </w:pPr>
      <w:r w:rsidRPr="0060682A">
        <w:rPr>
          <w:rFonts w:ascii="Times New Roman" w:hAnsi="Times New Roman"/>
          <w:color w:val="454545"/>
          <w:sz w:val="24"/>
          <w:szCs w:val="24"/>
          <w:shd w:val="clear" w:color="auto" w:fill="FFFFFF"/>
        </w:rPr>
        <w:t>“</w:t>
      </w:r>
      <w:r w:rsidRPr="0060682A">
        <w:rPr>
          <w:rFonts w:ascii="Times New Roman" w:hAnsi="Times New Roman"/>
          <w:sz w:val="24"/>
          <w:szCs w:val="24"/>
        </w:rPr>
        <w:t xml:space="preserve">Plaintiff should file a motion for conditional certification and approval of the proposed notice to the putative class members…. Lastly, Plaintiff argues that public interest is advanced by allowing the proposed settlement agreement to be sealed because doing so would ‘encourage[] settlement negotiations and </w:t>
      </w:r>
      <w:proofErr w:type="gramStart"/>
      <w:r w:rsidRPr="0060682A">
        <w:rPr>
          <w:rFonts w:ascii="Times New Roman" w:hAnsi="Times New Roman"/>
          <w:sz w:val="24"/>
          <w:szCs w:val="24"/>
        </w:rPr>
        <w:t>agreements, and</w:t>
      </w:r>
      <w:proofErr w:type="gramEnd"/>
      <w:r w:rsidRPr="0060682A">
        <w:rPr>
          <w:rFonts w:ascii="Times New Roman" w:hAnsi="Times New Roman"/>
          <w:sz w:val="24"/>
          <w:szCs w:val="24"/>
        </w:rPr>
        <w:t xml:space="preserve"> preserve judicial resources.’ </w:t>
      </w:r>
      <w:proofErr w:type="spellStart"/>
      <w:r w:rsidRPr="0060682A">
        <w:rPr>
          <w:rFonts w:ascii="Times New Roman" w:hAnsi="Times New Roman"/>
          <w:sz w:val="24"/>
          <w:szCs w:val="24"/>
        </w:rPr>
        <w:t>Dkt</w:t>
      </w:r>
      <w:proofErr w:type="spellEnd"/>
      <w:r w:rsidRPr="0060682A">
        <w:rPr>
          <w:rFonts w:ascii="Times New Roman" w:hAnsi="Times New Roman"/>
          <w:sz w:val="24"/>
          <w:szCs w:val="24"/>
        </w:rPr>
        <w:t xml:space="preserve">. No. 24 at 4. This conclusory statement does not demonstrate that the stated interest would outweigh the right to access </w:t>
      </w:r>
      <w:proofErr w:type="gramStart"/>
      <w:r w:rsidRPr="0060682A">
        <w:rPr>
          <w:rFonts w:ascii="Times New Roman" w:hAnsi="Times New Roman"/>
          <w:sz w:val="24"/>
          <w:szCs w:val="24"/>
        </w:rPr>
        <w:t>underlying the</w:t>
      </w:r>
      <w:proofErr w:type="gramEnd"/>
      <w:r w:rsidRPr="0060682A">
        <w:rPr>
          <w:rFonts w:ascii="Times New Roman" w:hAnsi="Times New Roman"/>
          <w:sz w:val="24"/>
          <w:szCs w:val="24"/>
        </w:rPr>
        <w:t xml:space="preserve"> Court's task in approving an FLSA settlement. </w:t>
      </w:r>
      <w:r w:rsidRPr="0060682A">
        <w:rPr>
          <w:rStyle w:val="Emphasis"/>
          <w:rFonts w:ascii="Times New Roman" w:eastAsiaTheme="majorEastAsia" w:hAnsi="Times New Roman"/>
          <w:sz w:val="24"/>
          <w:szCs w:val="24"/>
        </w:rPr>
        <w:t>See McGee</w:t>
      </w:r>
      <w:r w:rsidRPr="0060682A">
        <w:rPr>
          <w:rFonts w:ascii="Times New Roman" w:hAnsi="Times New Roman"/>
          <w:sz w:val="24"/>
          <w:szCs w:val="24"/>
        </w:rPr>
        <w:t xml:space="preserve">, 2017 WL 4679818, at *2 (noting that the parties failed to present evidence that allowing public access would discourage settlement and observing that ‘this contention may be contradicted by the fact that numerous FLSA settlement agreements contain no confidentiality provision, have been filed unrestricted, and/or have been filed redacted.’). Accordingly, sealing the proposed settlement agreement is not warranted in this case.” </w:t>
      </w:r>
      <w:hyperlink r:id="rId1715" w:history="1">
        <w:r w:rsidRPr="0060682A">
          <w:rPr>
            <w:rStyle w:val="Hyperlink"/>
            <w:rFonts w:ascii="Times New Roman" w:hAnsi="Times New Roman"/>
            <w:sz w:val="24"/>
            <w:szCs w:val="24"/>
          </w:rPr>
          <w:t>https://public.fastcase.com/H1P9uiW3J20SFp%2BGCG%2BxLZy365%2FN0MVDalUuZRIy4n4W%2BHhfv4X1Vzo9ca%2F3mj3k?utm_medium=email&amp;_hsenc=p2ANqtz-8KCYiZyhHUOjRg0MO9pgx_C58MSGHRNzoS8NOUFD5AstP_fG6MazYJg2nKApB1QIRI0-vQrIVEAwfGYCTHYw0GOi6xfA&amp;_hsmi=226712652&amp;utm_content=226712652&amp;utm_source=hs_email</w:t>
        </w:r>
      </w:hyperlink>
    </w:p>
    <w:p w14:paraId="01A89A93" w14:textId="77777777" w:rsidR="00CF5424" w:rsidRPr="00907039" w:rsidRDefault="00CF5424" w:rsidP="00CF5424">
      <w:pPr>
        <w:pStyle w:val="NormalWeb"/>
        <w:rPr>
          <w:b/>
          <w:bCs/>
        </w:rPr>
      </w:pPr>
      <w:r w:rsidRPr="00907039">
        <w:rPr>
          <w:b/>
          <w:bCs/>
        </w:rPr>
        <w:lastRenderedPageBreak/>
        <w:t>Legal Lesson Learned:</w:t>
      </w:r>
      <w:r>
        <w:rPr>
          <w:b/>
          <w:bCs/>
        </w:rPr>
        <w:t xml:space="preserve"> Under FLSA, employers must calculate the “regular rate of pay” that includes all renumerations paid to the employee. </w:t>
      </w:r>
    </w:p>
    <w:p w14:paraId="3C3EBD83" w14:textId="77777777" w:rsidR="00CF5424" w:rsidRPr="006A45C8" w:rsidRDefault="00CF5424" w:rsidP="00CF5424">
      <w:pPr>
        <w:pStyle w:val="NormalWeb"/>
        <w:ind w:left="720"/>
      </w:pPr>
      <w:r>
        <w:t xml:space="preserve">Note: See 29 Code of Federal Regulations 778.108. </w:t>
      </w:r>
      <w:hyperlink r:id="rId1716" w:history="1">
        <w:r w:rsidRPr="006A45C8">
          <w:rPr>
            <w:rStyle w:val="Hyperlink"/>
          </w:rPr>
          <w:t>https://www.ecfr.gov/current/title-29/subtitle-B/chapter-V/subchapter-B/part-778</w:t>
        </w:r>
      </w:hyperlink>
      <w:r w:rsidRPr="006A45C8">
        <w:t xml:space="preserve"> </w:t>
      </w:r>
    </w:p>
    <w:p w14:paraId="4DF928B3" w14:textId="77777777" w:rsidR="00CF5424" w:rsidRDefault="00CF5424" w:rsidP="00CF5424">
      <w:pPr>
        <w:pStyle w:val="NormalWeb"/>
        <w:ind w:left="1440"/>
      </w:pPr>
      <w:r>
        <w:t xml:space="preserve">“Section 7(e) of the Act requires inclusion in the ‘regular rate’ of ‘all remuneration for employment paid to, or on behalf of, the employee” except payments specifically excluded by paragraphs (1) through (7) of that subsection. (These seven types of payments, which are set forth in </w:t>
      </w:r>
      <w:hyperlink r:id="rId1717" w:history="1">
        <w:r>
          <w:rPr>
            <w:rStyle w:val="Hyperlink"/>
            <w:rFonts w:eastAsiaTheme="majorEastAsia"/>
          </w:rPr>
          <w:t>§ 778.200</w:t>
        </w:r>
      </w:hyperlink>
      <w:r>
        <w:t xml:space="preserve"> and discussed in </w:t>
      </w:r>
      <w:hyperlink r:id="rId1718" w:history="1">
        <w:r>
          <w:rPr>
            <w:rStyle w:val="Hyperlink"/>
            <w:rFonts w:eastAsiaTheme="majorEastAsia"/>
          </w:rPr>
          <w:t>§§ 778.201</w:t>
        </w:r>
      </w:hyperlink>
      <w:r>
        <w:t xml:space="preserve"> through </w:t>
      </w:r>
      <w:hyperlink r:id="rId1719" w:history="1">
        <w:r>
          <w:rPr>
            <w:rStyle w:val="Hyperlink"/>
            <w:rFonts w:eastAsiaTheme="majorEastAsia"/>
          </w:rPr>
          <w:t>778.224</w:t>
        </w:r>
      </w:hyperlink>
      <w:r>
        <w:t>, are hereafter referred to as ‘statutory exclusions.’)”</w:t>
      </w:r>
    </w:p>
    <w:p w14:paraId="6A9B45B9" w14:textId="77777777" w:rsidR="00CF5424" w:rsidRPr="00D600CA" w:rsidRDefault="00CF5424" w:rsidP="00CF5424">
      <w:pPr>
        <w:ind w:left="720"/>
        <w:rPr>
          <w:rFonts w:ascii="Times New Roman" w:hAnsi="Times New Roman"/>
          <w:sz w:val="24"/>
          <w:szCs w:val="24"/>
        </w:rPr>
      </w:pPr>
      <w:r w:rsidRPr="00D600CA">
        <w:rPr>
          <w:rFonts w:ascii="Times New Roman" w:hAnsi="Times New Roman"/>
          <w:sz w:val="24"/>
          <w:szCs w:val="24"/>
        </w:rPr>
        <w:t xml:space="preserve">See also: </w:t>
      </w:r>
      <w:r>
        <w:rPr>
          <w:rFonts w:ascii="Times New Roman" w:hAnsi="Times New Roman"/>
          <w:sz w:val="24"/>
          <w:szCs w:val="24"/>
        </w:rPr>
        <w:t>“</w:t>
      </w:r>
      <w:r w:rsidRPr="00D600CA">
        <w:rPr>
          <w:rFonts w:ascii="Times New Roman" w:hAnsi="Times New Roman"/>
          <w:sz w:val="24"/>
          <w:szCs w:val="24"/>
        </w:rPr>
        <w:t>FLSA Overtime Calculator Advisor for Nonexempt Employees</w:t>
      </w:r>
      <w:r>
        <w:rPr>
          <w:rFonts w:ascii="Times New Roman" w:hAnsi="Times New Roman"/>
          <w:sz w:val="24"/>
          <w:szCs w:val="24"/>
        </w:rPr>
        <w:t xml:space="preserve">.” </w:t>
      </w:r>
      <w:hyperlink r:id="rId1720" w:history="1">
        <w:r w:rsidRPr="005176E1">
          <w:rPr>
            <w:rStyle w:val="Hyperlink"/>
            <w:rFonts w:ascii="Times New Roman" w:hAnsi="Times New Roman"/>
            <w:sz w:val="24"/>
            <w:szCs w:val="24"/>
          </w:rPr>
          <w:t>https://webapps.dol.gov/elaws/otcalculator.htm</w:t>
        </w:r>
      </w:hyperlink>
      <w:r>
        <w:rPr>
          <w:rFonts w:ascii="Times New Roman" w:hAnsi="Times New Roman"/>
          <w:sz w:val="24"/>
          <w:szCs w:val="24"/>
        </w:rPr>
        <w:t xml:space="preserve"> </w:t>
      </w:r>
      <w:r w:rsidRPr="00D600CA">
        <w:rPr>
          <w:rFonts w:ascii="Times New Roman" w:hAnsi="Times New Roman"/>
          <w:sz w:val="24"/>
          <w:szCs w:val="24"/>
        </w:rPr>
        <w:t xml:space="preserve"> </w:t>
      </w:r>
    </w:p>
    <w:p w14:paraId="61CEBD38" w14:textId="77777777" w:rsidR="00CF5424" w:rsidRPr="006F0A01" w:rsidRDefault="00CF5424" w:rsidP="00CF5424">
      <w:pPr>
        <w:pStyle w:val="NormalWeb"/>
        <w:ind w:left="1440"/>
      </w:pPr>
    </w:p>
    <w:p w14:paraId="058F1896" w14:textId="77777777" w:rsidR="00DD0039" w:rsidRDefault="00DD0039" w:rsidP="00F326E5">
      <w:pPr>
        <w:rPr>
          <w:rFonts w:ascii="Arial Black" w:hAnsi="Arial Black"/>
          <w:b/>
          <w:sz w:val="24"/>
          <w:szCs w:val="24"/>
        </w:rPr>
      </w:pPr>
    </w:p>
    <w:p w14:paraId="183DBDD7" w14:textId="77777777" w:rsidR="00DD0039" w:rsidRDefault="00DD0039" w:rsidP="00F326E5">
      <w:pPr>
        <w:rPr>
          <w:rFonts w:ascii="Arial Black" w:hAnsi="Arial Black"/>
          <w:b/>
          <w:sz w:val="24"/>
          <w:szCs w:val="24"/>
        </w:rPr>
      </w:pPr>
    </w:p>
    <w:p w14:paraId="46501EAE" w14:textId="77777777" w:rsidR="00DD0039" w:rsidRDefault="00DD0039" w:rsidP="00F326E5">
      <w:pPr>
        <w:rPr>
          <w:rFonts w:ascii="Arial Black" w:hAnsi="Arial Black"/>
          <w:b/>
          <w:sz w:val="24"/>
          <w:szCs w:val="24"/>
        </w:rPr>
      </w:pPr>
    </w:p>
    <w:p w14:paraId="24545F7F" w14:textId="6C8FB96C" w:rsidR="009371E7" w:rsidRDefault="009371E7"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52</w:t>
      </w:r>
    </w:p>
    <w:p w14:paraId="2FD33F13" w14:textId="77777777" w:rsidR="009371E7" w:rsidRPr="00DC4DCB" w:rsidRDefault="009371E7" w:rsidP="009371E7">
      <w:pPr>
        <w:pStyle w:val="NormalWeb"/>
        <w:spacing w:before="0" w:beforeAutospacing="0"/>
        <w:rPr>
          <w:rFonts w:ascii="Arial Black" w:hAnsi="Arial Black"/>
          <w:sz w:val="28"/>
          <w:szCs w:val="28"/>
        </w:rPr>
      </w:pPr>
      <w:r>
        <w:rPr>
          <w:rFonts w:ascii="Arial Black" w:hAnsi="Arial Black"/>
          <w:sz w:val="28"/>
          <w:szCs w:val="28"/>
        </w:rPr>
        <w:t>TN: HOSPITAL MEDIC - 30-MINUTE UNPAID MEAL BREAKS –BREAKS INTERRUPTED - RN/PARAMEDIC CASE PROCEED</w:t>
      </w:r>
    </w:p>
    <w:p w14:paraId="562792D1" w14:textId="77777777" w:rsidR="009371E7" w:rsidRDefault="009371E7" w:rsidP="009371E7">
      <w:pPr>
        <w:pStyle w:val="NormalWeb"/>
        <w:spacing w:before="0" w:beforeAutospacing="0"/>
        <w:rPr>
          <w:color w:val="454545"/>
          <w:shd w:val="clear" w:color="auto" w:fill="FFFFFF"/>
        </w:rPr>
      </w:pPr>
      <w:r>
        <w:t xml:space="preserve">On March 20, 2024, in </w:t>
      </w:r>
      <w:r w:rsidRPr="00A71813">
        <w:rPr>
          <w:u w:val="single"/>
        </w:rPr>
        <w:t>Carlos Colon and Candace Harris v. HCA Healthcare, Inc. and CHC Payroll Agent, Inc.</w:t>
      </w:r>
      <w:r>
        <w:t xml:space="preserve">, U.S. District Court Judge William L. Campbell, </w:t>
      </w:r>
      <w:r w:rsidRPr="00671B49">
        <w:rPr>
          <w:color w:val="454545"/>
          <w:shd w:val="clear" w:color="auto" w:fill="FFFFFF"/>
        </w:rPr>
        <w:t xml:space="preserve">United States District Court, M.D. Tennessee, Nashville Division, </w:t>
      </w:r>
      <w:r>
        <w:rPr>
          <w:color w:val="454545"/>
          <w:shd w:val="clear" w:color="auto" w:fill="FFFFFF"/>
        </w:rPr>
        <w:t xml:space="preserve">denied the hospital’s motion to dismiss, where hospital claimed that they were not the employer (asserting the payroll company was employer). </w:t>
      </w:r>
    </w:p>
    <w:p w14:paraId="42CBC356"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F9E0EAA" w14:textId="77777777" w:rsidR="00D90293" w:rsidRDefault="00D90293" w:rsidP="009371E7">
      <w:pPr>
        <w:pStyle w:val="NormalWeb"/>
        <w:spacing w:before="0" w:beforeAutospacing="0"/>
        <w:ind w:left="720"/>
      </w:pPr>
    </w:p>
    <w:p w14:paraId="473850BD" w14:textId="5F620D1E" w:rsidR="009371E7" w:rsidRDefault="009371E7" w:rsidP="009371E7">
      <w:pPr>
        <w:pStyle w:val="NormalWeb"/>
        <w:spacing w:before="0" w:beforeAutospacing="0"/>
        <w:ind w:left="720"/>
      </w:pPr>
      <w:r>
        <w:t xml:space="preserve">“Plaintiffs allege HCA required a 30-minute deduction from Plaintiffs' recorded hours worked per shift for meal breaks, regardless of whether they </w:t>
      </w:r>
      <w:proofErr w:type="gramStart"/>
      <w:r>
        <w:t>actually received</w:t>
      </w:r>
      <w:proofErr w:type="gramEnd"/>
      <w:r>
        <w:t xml:space="preserve"> an uninterrupted 30-minute meal period. Plaintiffs assert that they were not paid for time worked during meal periods.  Plaintiffs allege that during unpaid meal breaks, they substantially performed their regular patient care job duties and responsibilities. </w:t>
      </w:r>
    </w:p>
    <w:p w14:paraId="567E4351" w14:textId="77777777" w:rsidR="009371E7" w:rsidRDefault="009371E7" w:rsidP="009371E7">
      <w:pPr>
        <w:pStyle w:val="NormalWeb"/>
        <w:ind w:left="720"/>
      </w:pPr>
      <w:r>
        <w:t>***</w:t>
      </w:r>
    </w:p>
    <w:p w14:paraId="44E96067" w14:textId="77777777" w:rsidR="009371E7" w:rsidRDefault="009371E7" w:rsidP="009371E7">
      <w:pPr>
        <w:pStyle w:val="NormalWeb"/>
        <w:ind w:left="720"/>
      </w:pPr>
      <w:r>
        <w:t xml:space="preserve">Based only on the allegations set forth in the First Amended Complaint, the Court concludes that Plaintiffs have sufficiently alleged facts that, accepted as true, support Defendants' status as employers. While discovery and subsequent motion practice may provide the Court with additional arguments on that issue, at this juncture, Plaintiffs have satisfied their pleading </w:t>
      </w:r>
      <w:proofErr w:type="gramStart"/>
      <w:r>
        <w:t>burden.”</w:t>
      </w:r>
      <w:proofErr w:type="gramEnd"/>
      <w:r>
        <w:t xml:space="preserve"> </w:t>
      </w:r>
      <w:hyperlink r:id="rId1721" w:history="1">
        <w:r w:rsidRPr="007E4CA8">
          <w:rPr>
            <w:rStyle w:val="Hyperlink"/>
          </w:rPr>
          <w:t>https://public.fastcase.com/H1P9uiW3J20SFp%2BGCG%2BxLeHSDVXVzY4x%2FiI%2F4JAOmhXpvt%2FfNBAZjz4LKds0Mto6?utm_medium=email&amp;_hsmi=226712652&amp;_hsenc=p2ANqtz-</w:t>
        </w:r>
        <w:r w:rsidRPr="007E4CA8">
          <w:rPr>
            <w:rStyle w:val="Hyperlink"/>
          </w:rPr>
          <w:lastRenderedPageBreak/>
          <w:t>_SyWNVWtV5-tteBsEO4doKNFedyWegAxLclup35D1iuddv31pPNK7Mxz83D6yx-CsHYOnImh2IAPqInLsAyxym-pCJTQ&amp;utm_content=226712652&amp;utm_source=hs_email</w:t>
        </w:r>
      </w:hyperlink>
      <w:r>
        <w:t xml:space="preserve"> </w:t>
      </w:r>
    </w:p>
    <w:p w14:paraId="0001BFFF" w14:textId="77777777" w:rsidR="009371E7" w:rsidRDefault="009371E7" w:rsidP="009371E7">
      <w:pPr>
        <w:pStyle w:val="NormalWeb"/>
        <w:rPr>
          <w:b/>
          <w:bCs/>
        </w:rPr>
      </w:pPr>
      <w:r w:rsidRPr="00A033E5">
        <w:rPr>
          <w:b/>
          <w:bCs/>
        </w:rPr>
        <w:t>Legal Lesson Learned:</w:t>
      </w:r>
      <w:r>
        <w:rPr>
          <w:b/>
          <w:bCs/>
        </w:rPr>
        <w:t xml:space="preserve"> Only “bona fide” (uninterrupted) meal breaks can be considered as hours not worked; Fire &amp; EMS departments should be very cautious in applying this exemption.</w:t>
      </w:r>
    </w:p>
    <w:p w14:paraId="5E2F3ECD" w14:textId="77777777" w:rsidR="009371E7" w:rsidRDefault="009371E7" w:rsidP="009371E7">
      <w:pPr>
        <w:pStyle w:val="NormalWeb"/>
        <w:ind w:left="720"/>
      </w:pPr>
      <w:r>
        <w:t>Note: 29 CFR § 785.19 Meal.</w:t>
      </w:r>
    </w:p>
    <w:p w14:paraId="55891BE9" w14:textId="77777777" w:rsidR="009371E7" w:rsidRDefault="009371E7" w:rsidP="009371E7">
      <w:pPr>
        <w:pStyle w:val="NormalWeb"/>
        <w:ind w:left="720"/>
      </w:pPr>
      <w:hyperlink r:id="rId1722" w:history="1">
        <w:r w:rsidRPr="00B268F0">
          <w:rPr>
            <w:rStyle w:val="Hyperlink"/>
          </w:rPr>
          <w:t>https://www.ecfr.gov/current/title-29/subtitle-B/chapter-V/subchapter-B/part-785/subpart-C/subject-group-ECFR3d1222debcd8ec6/section-785.19</w:t>
        </w:r>
      </w:hyperlink>
      <w:r>
        <w:t xml:space="preserve"> </w:t>
      </w:r>
    </w:p>
    <w:p w14:paraId="08008E64" w14:textId="77777777" w:rsidR="009371E7" w:rsidRDefault="009371E7" w:rsidP="009371E7">
      <w:pPr>
        <w:pStyle w:val="indent-1"/>
        <w:ind w:left="720"/>
      </w:pPr>
      <w:r>
        <w:rPr>
          <w:rStyle w:val="paren"/>
          <w:rFonts w:eastAsiaTheme="majorEastAsia"/>
        </w:rPr>
        <w:t>“(</w:t>
      </w:r>
      <w:r>
        <w:rPr>
          <w:rStyle w:val="paragraph-hierarchy"/>
          <w:rFonts w:eastAsiaTheme="majorEastAsia"/>
        </w:rPr>
        <w:t>a</w:t>
      </w:r>
      <w:r>
        <w:rPr>
          <w:rStyle w:val="paren"/>
          <w:rFonts w:eastAsiaTheme="majorEastAsia"/>
        </w:rPr>
        <w:t>)</w:t>
      </w:r>
      <w:r>
        <w:t xml:space="preserve"> </w:t>
      </w:r>
      <w:r>
        <w:rPr>
          <w:rStyle w:val="Emphasis"/>
          <w:rFonts w:eastAsiaTheme="majorEastAsia"/>
          <w:b/>
          <w:bCs/>
        </w:rPr>
        <w:t>Bona fide meal periods.</w:t>
      </w:r>
      <w:r>
        <w:t xml:space="preserve"> Bona fide meal periods are not worktime. Bona fide meal periods do not include coffee breaks or time for snacks. These are rest periods. The employee must be completely relieved from duty for the </w:t>
      </w:r>
      <w:proofErr w:type="gramStart"/>
      <w:r>
        <w:t>purposes</w:t>
      </w:r>
      <w:proofErr w:type="gramEnd"/>
      <w:r>
        <w:t xml:space="preserve"> of eating regular meals. Ordinarily 30 minutes or more is long enough for a bona fide meal period. A shorter period may be long enough under special conditions. The employee is not relieved if he is required to perform any duties, whether active or inactive, while eating. For example, an office employee who is required to eat at his desk or a factory worker who is required to be at his machine is working while eating. (</w:t>
      </w:r>
      <w:r>
        <w:rPr>
          <w:rStyle w:val="Emphasis"/>
          <w:rFonts w:eastAsiaTheme="majorEastAsia"/>
        </w:rPr>
        <w:t>Culkin</w:t>
      </w:r>
      <w:r>
        <w:t xml:space="preserve"> v. </w:t>
      </w:r>
      <w:r>
        <w:rPr>
          <w:rStyle w:val="Emphasis"/>
          <w:rFonts w:eastAsiaTheme="majorEastAsia"/>
        </w:rPr>
        <w:t>Glenn L. Martin, Nebraska Co.,</w:t>
      </w:r>
      <w:r>
        <w:t xml:space="preserve"> 97 F. Supp. 661 (D. Neb. 1951), aff'd 197 F. 2d 981 (C.A. 8, 1952), cert. denied 344 U.S. 888 (1952); </w:t>
      </w:r>
      <w:r>
        <w:rPr>
          <w:rStyle w:val="Emphasis"/>
          <w:rFonts w:eastAsiaTheme="majorEastAsia"/>
        </w:rPr>
        <w:t>Thompson</w:t>
      </w:r>
      <w:r>
        <w:t xml:space="preserve"> v. </w:t>
      </w:r>
      <w:r>
        <w:rPr>
          <w:rStyle w:val="Emphasis"/>
          <w:rFonts w:eastAsiaTheme="majorEastAsia"/>
        </w:rPr>
        <w:t>Stock &amp; Sons, Inc.,</w:t>
      </w:r>
      <w:r>
        <w:t xml:space="preserve"> 93 F. Supp. 213 (E.D. Mich 1950), aff'd 194 F. 2d 493 (C.A. 6, 1952); </w:t>
      </w:r>
      <w:r>
        <w:rPr>
          <w:rStyle w:val="Emphasis"/>
          <w:rFonts w:eastAsiaTheme="majorEastAsia"/>
        </w:rPr>
        <w:t>Biggs</w:t>
      </w:r>
      <w:r>
        <w:t xml:space="preserve"> v. </w:t>
      </w:r>
      <w:r>
        <w:rPr>
          <w:rStyle w:val="Emphasis"/>
          <w:rFonts w:eastAsiaTheme="majorEastAsia"/>
        </w:rPr>
        <w:t>Joshua Hendy Corp.,</w:t>
      </w:r>
      <w:r>
        <w:t xml:space="preserve"> 183 F. 2d 515 (C. A. 9, 1950), 187 F. 2d 447 (C.A. 9, 1951); </w:t>
      </w:r>
      <w:r>
        <w:rPr>
          <w:rStyle w:val="Emphasis"/>
          <w:rFonts w:eastAsiaTheme="majorEastAsia"/>
        </w:rPr>
        <w:t>Walling</w:t>
      </w:r>
      <w:r>
        <w:t xml:space="preserve"> v. </w:t>
      </w:r>
      <w:r>
        <w:rPr>
          <w:rStyle w:val="Emphasis"/>
          <w:rFonts w:eastAsiaTheme="majorEastAsia"/>
        </w:rPr>
        <w:t>Dunbar Transfer &amp; Storage Co.,</w:t>
      </w:r>
      <w:r>
        <w:t xml:space="preserve"> 3 W.H. Cases 284; 7 Labor Cases para. 61.565 (W.D. Tenn. 1943); </w:t>
      </w:r>
      <w:r>
        <w:rPr>
          <w:rStyle w:val="Emphasis"/>
          <w:rFonts w:eastAsiaTheme="majorEastAsia"/>
        </w:rPr>
        <w:t>Lofton</w:t>
      </w:r>
      <w:r>
        <w:t xml:space="preserve"> v. </w:t>
      </w:r>
      <w:r>
        <w:rPr>
          <w:rStyle w:val="Emphasis"/>
          <w:rFonts w:eastAsiaTheme="majorEastAsia"/>
        </w:rPr>
        <w:t>Seneca Coal and Coke Co.,</w:t>
      </w:r>
      <w:r>
        <w:t xml:space="preserve"> 2 W.H. Cases 669; 6 Labor Cases para. 61,271 (N.D. Okla. 1942); aff'd 136 F. 2d 359 (C.A. 10, 1943); cert. denied 320 U.S. 772 (1943); </w:t>
      </w:r>
      <w:r>
        <w:rPr>
          <w:rStyle w:val="Emphasis"/>
          <w:rFonts w:eastAsiaTheme="majorEastAsia"/>
        </w:rPr>
        <w:t>Mitchell</w:t>
      </w:r>
      <w:r>
        <w:t xml:space="preserve"> v. </w:t>
      </w:r>
      <w:r>
        <w:rPr>
          <w:rStyle w:val="Emphasis"/>
          <w:rFonts w:eastAsiaTheme="majorEastAsia"/>
        </w:rPr>
        <w:t>Tampa Cigar Co.,</w:t>
      </w:r>
      <w:r>
        <w:t xml:space="preserve"> 36 Labor Cases para. 65, 198, 14 W.H. Cases 38 (S.D. Fla. 1959); </w:t>
      </w:r>
      <w:r>
        <w:rPr>
          <w:rStyle w:val="Emphasis"/>
          <w:rFonts w:eastAsiaTheme="majorEastAsia"/>
        </w:rPr>
        <w:t>Douglass</w:t>
      </w:r>
      <w:r>
        <w:t xml:space="preserve"> v. </w:t>
      </w:r>
      <w:r>
        <w:rPr>
          <w:rStyle w:val="Emphasis"/>
          <w:rFonts w:eastAsiaTheme="majorEastAsia"/>
        </w:rPr>
        <w:t>Hurwitz Co.,</w:t>
      </w:r>
      <w:r>
        <w:t xml:space="preserve"> 145 F. Supp. 29, 13 W.H. Cases (E.D. Pa. 1956)) </w:t>
      </w:r>
    </w:p>
    <w:p w14:paraId="18635684" w14:textId="77777777" w:rsidR="009371E7" w:rsidRDefault="009371E7" w:rsidP="009371E7">
      <w:pPr>
        <w:pStyle w:val="indent-1"/>
        <w:ind w:left="720"/>
      </w:pPr>
      <w:r>
        <w:rPr>
          <w:rStyle w:val="paren"/>
          <w:rFonts w:eastAsiaTheme="majorEastAsia"/>
        </w:rPr>
        <w:t>(</w:t>
      </w:r>
      <w:r>
        <w:rPr>
          <w:rStyle w:val="paragraph-hierarchy"/>
          <w:rFonts w:eastAsiaTheme="majorEastAsia"/>
        </w:rPr>
        <w:t>b</w:t>
      </w:r>
      <w:r>
        <w:rPr>
          <w:rStyle w:val="paren"/>
          <w:rFonts w:eastAsiaTheme="majorEastAsia"/>
        </w:rPr>
        <w:t>)</w:t>
      </w:r>
      <w:r>
        <w:t xml:space="preserve"> </w:t>
      </w:r>
      <w:r>
        <w:rPr>
          <w:rStyle w:val="Emphasis"/>
          <w:rFonts w:eastAsiaTheme="majorEastAsia"/>
          <w:b/>
          <w:bCs/>
        </w:rPr>
        <w:t>Where no permission to leave premises.</w:t>
      </w:r>
      <w:r>
        <w:t xml:space="preserve"> It is not necessary that an employee be permitted to leave the premises if he is otherwise completely freed from duties during the meal </w:t>
      </w:r>
      <w:proofErr w:type="gramStart"/>
      <w:r>
        <w:t>period.”</w:t>
      </w:r>
      <w:proofErr w:type="gramEnd"/>
      <w:r>
        <w:t xml:space="preserve"> </w:t>
      </w:r>
    </w:p>
    <w:p w14:paraId="35FAC4AB" w14:textId="77777777" w:rsidR="009371E7" w:rsidRPr="005F5B75" w:rsidRDefault="009371E7" w:rsidP="009371E7">
      <w:pPr>
        <w:pStyle w:val="Heading2"/>
        <w:ind w:left="720"/>
        <w:rPr>
          <w:rFonts w:ascii="Times New Roman" w:hAnsi="Times New Roman"/>
          <w:sz w:val="24"/>
          <w:szCs w:val="24"/>
        </w:rPr>
      </w:pPr>
      <w:r w:rsidRPr="005F5B75">
        <w:rPr>
          <w:rFonts w:ascii="Times New Roman" w:hAnsi="Times New Roman"/>
          <w:sz w:val="24"/>
          <w:szCs w:val="24"/>
        </w:rPr>
        <w:t xml:space="preserve">See also: U.S. Department of Labor, FLSA Hours Worked Advisor. “The Fair Labor Standards Act (FLSA) does not require an employer to provide meal periods or rest breaks for their employees. Many employers, however, do provide breaks and/or meal periods. Breaks of short duration, from 5 to 20 minutes, are common. </w:t>
      </w:r>
      <w:proofErr w:type="gramStart"/>
      <w:r w:rsidRPr="005F5B75">
        <w:rPr>
          <w:rFonts w:ascii="Times New Roman" w:hAnsi="Times New Roman"/>
          <w:sz w:val="24"/>
          <w:szCs w:val="24"/>
        </w:rPr>
        <w:t>As a general rule</w:t>
      </w:r>
      <w:proofErr w:type="gramEnd"/>
      <w:r w:rsidRPr="005F5B75">
        <w:rPr>
          <w:rFonts w:ascii="Times New Roman" w:hAnsi="Times New Roman"/>
          <w:sz w:val="24"/>
          <w:szCs w:val="24"/>
        </w:rPr>
        <w:t>, rest breaks are considered hours worked and bona fide meal periods are not considered hours worked.</w:t>
      </w:r>
      <w:r>
        <w:rPr>
          <w:rFonts w:ascii="Times New Roman" w:hAnsi="Times New Roman"/>
          <w:sz w:val="24"/>
          <w:szCs w:val="24"/>
        </w:rPr>
        <w:t xml:space="preserve"> </w:t>
      </w:r>
    </w:p>
    <w:p w14:paraId="7057AF3B" w14:textId="77777777" w:rsidR="009371E7" w:rsidRDefault="009371E7" w:rsidP="009371E7">
      <w:pPr>
        <w:pStyle w:val="NormalWeb"/>
        <w:ind w:left="720"/>
      </w:pPr>
      <w:r>
        <w:t xml:space="preserve">Some </w:t>
      </w:r>
      <w:hyperlink r:id="rId1723" w:history="1">
        <w:r>
          <w:rPr>
            <w:rStyle w:val="Hyperlink"/>
            <w:rFonts w:eastAsiaTheme="majorEastAsia"/>
          </w:rPr>
          <w:t>states</w:t>
        </w:r>
      </w:hyperlink>
      <w:r>
        <w:t xml:space="preserve"> do have laws </w:t>
      </w:r>
      <w:proofErr w:type="gramStart"/>
      <w:r>
        <w:t>requiring rest</w:t>
      </w:r>
      <w:proofErr w:type="gramEnd"/>
      <w:r>
        <w:t xml:space="preserve"> breaks and/or meal periods. Such state requirements will prevail over the silence of the FLSA on this subject. In those situations where an employee is subject to both the FLSA and state labor laws, the employee is entitled to the most beneficial provisions of each law.” </w:t>
      </w:r>
      <w:hyperlink r:id="rId1724" w:history="1">
        <w:r w:rsidRPr="007E4CA8">
          <w:rPr>
            <w:rStyle w:val="Hyperlink"/>
          </w:rPr>
          <w:t>https://webapps.dol.gov/elaws/whd/flsa/hoursworked/screenEE4.asp</w:t>
        </w:r>
      </w:hyperlink>
      <w:r>
        <w:t xml:space="preserve"> </w:t>
      </w:r>
    </w:p>
    <w:p w14:paraId="6EEA65D7" w14:textId="77777777" w:rsidR="009371E7" w:rsidRPr="00FB79D7" w:rsidRDefault="009371E7" w:rsidP="009371E7">
      <w:pPr>
        <w:pStyle w:val="NoSpacing"/>
        <w:ind w:left="720" w:firstLine="48"/>
        <w:rPr>
          <w:rFonts w:ascii="Times New Roman" w:hAnsi="Times New Roman"/>
          <w:b/>
          <w:bCs/>
          <w:sz w:val="24"/>
          <w:szCs w:val="24"/>
        </w:rPr>
      </w:pPr>
      <w:r w:rsidRPr="00FB79D7">
        <w:rPr>
          <w:rFonts w:ascii="Times New Roman" w:hAnsi="Times New Roman"/>
          <w:sz w:val="24"/>
          <w:szCs w:val="24"/>
        </w:rPr>
        <w:t xml:space="preserve">See also this article: </w:t>
      </w:r>
      <w:r w:rsidRPr="00FB79D7">
        <w:rPr>
          <w:rFonts w:ascii="Times New Roman" w:hAnsi="Times New Roman"/>
          <w:color w:val="000000" w:themeColor="text1"/>
          <w:sz w:val="24"/>
          <w:szCs w:val="24"/>
        </w:rPr>
        <w:t xml:space="preserve">“Firefighters, Unpaid Meal Periods, and the FLSA.” Sept. 16, 2019.  </w:t>
      </w:r>
      <w:r w:rsidRPr="00FB79D7">
        <w:rPr>
          <w:rFonts w:ascii="Times New Roman" w:hAnsi="Times New Roman"/>
          <w:sz w:val="24"/>
          <w:szCs w:val="24"/>
        </w:rPr>
        <w:t xml:space="preserve">“Needless to say, deducting mealtime from firefighters can prove tricky.” </w:t>
      </w:r>
      <w:hyperlink r:id="rId1725" w:history="1">
        <w:r w:rsidRPr="00FB79D7">
          <w:rPr>
            <w:rStyle w:val="Hyperlink"/>
            <w:rFonts w:ascii="Times New Roman" w:hAnsi="Times New Roman"/>
            <w:sz w:val="24"/>
            <w:szCs w:val="24"/>
          </w:rPr>
          <w:t>https://www.firefighterovertime.org/2019/09/16/firefighter-meal-period/</w:t>
        </w:r>
      </w:hyperlink>
      <w:r w:rsidRPr="00FB79D7">
        <w:rPr>
          <w:rFonts w:ascii="Times New Roman" w:hAnsi="Times New Roman"/>
          <w:sz w:val="24"/>
          <w:szCs w:val="24"/>
        </w:rPr>
        <w:t xml:space="preserve"> </w:t>
      </w:r>
    </w:p>
    <w:p w14:paraId="3151C93D" w14:textId="77777777" w:rsidR="009371E7" w:rsidRPr="00FB79D7" w:rsidRDefault="009371E7" w:rsidP="009371E7">
      <w:pPr>
        <w:pStyle w:val="NoSpacing"/>
        <w:rPr>
          <w:rFonts w:ascii="Times New Roman" w:hAnsi="Times New Roman"/>
          <w:sz w:val="24"/>
          <w:szCs w:val="24"/>
        </w:rPr>
      </w:pPr>
    </w:p>
    <w:p w14:paraId="29A204CD" w14:textId="77777777" w:rsidR="009371E7" w:rsidRPr="00FB79D7" w:rsidRDefault="009371E7" w:rsidP="009371E7">
      <w:pPr>
        <w:pStyle w:val="NoSpacing"/>
        <w:rPr>
          <w:rFonts w:ascii="Times New Roman" w:hAnsi="Times New Roman"/>
          <w:sz w:val="24"/>
          <w:szCs w:val="24"/>
        </w:rPr>
      </w:pPr>
    </w:p>
    <w:p w14:paraId="479EE591" w14:textId="7776F079" w:rsidR="009371E7" w:rsidRPr="009371E7" w:rsidRDefault="009371E7" w:rsidP="009371E7">
      <w:pPr>
        <w:pStyle w:val="NoSpacing"/>
        <w:rPr>
          <w:rFonts w:ascii="Arial Black" w:hAnsi="Arial Black"/>
          <w:b/>
          <w:bCs/>
          <w:sz w:val="24"/>
          <w:szCs w:val="24"/>
        </w:rPr>
      </w:pPr>
      <w:r w:rsidRPr="009371E7">
        <w:rPr>
          <w:rFonts w:ascii="Arial Black" w:hAnsi="Arial Black"/>
          <w:b/>
          <w:bCs/>
          <w:sz w:val="24"/>
          <w:szCs w:val="24"/>
        </w:rPr>
        <w:t>11-</w:t>
      </w:r>
      <w:r w:rsidR="009601CD">
        <w:rPr>
          <w:rFonts w:ascii="Arial Black" w:hAnsi="Arial Black"/>
          <w:b/>
          <w:bCs/>
          <w:sz w:val="24"/>
          <w:szCs w:val="24"/>
        </w:rPr>
        <w:t>51</w:t>
      </w:r>
    </w:p>
    <w:p w14:paraId="00D6CF79" w14:textId="77777777" w:rsidR="009371E7" w:rsidRPr="00CB0C9A" w:rsidRDefault="009371E7" w:rsidP="009371E7">
      <w:pPr>
        <w:spacing w:before="100" w:beforeAutospacing="1" w:after="100" w:afterAutospacing="1" w:line="240" w:lineRule="auto"/>
        <w:outlineLvl w:val="0"/>
        <w:rPr>
          <w:rFonts w:ascii="Arial Black" w:eastAsia="Times New Roman" w:hAnsi="Arial Black"/>
          <w:b/>
          <w:bCs/>
          <w:kern w:val="36"/>
          <w:sz w:val="28"/>
          <w:szCs w:val="28"/>
        </w:rPr>
      </w:pPr>
      <w:r>
        <w:rPr>
          <w:rFonts w:ascii="Arial Black" w:eastAsia="Times New Roman" w:hAnsi="Arial Black"/>
          <w:b/>
          <w:bCs/>
          <w:kern w:val="36"/>
          <w:sz w:val="28"/>
          <w:szCs w:val="28"/>
        </w:rPr>
        <w:t>MO: FLSA – CLASS ACTION CERTIFIED - PAY WHEN WORKING OUT-OF-POSITION – 5% INCREASE ON WAGE</w:t>
      </w:r>
    </w:p>
    <w:p w14:paraId="4BE1F28E" w14:textId="77777777" w:rsidR="009371E7" w:rsidRDefault="009371E7" w:rsidP="009371E7">
      <w:pPr>
        <w:pStyle w:val="paragraph"/>
      </w:pPr>
      <w:r>
        <w:lastRenderedPageBreak/>
        <w:t xml:space="preserve">On March 5, 2024, in </w:t>
      </w:r>
      <w:r w:rsidRPr="00011D84">
        <w:rPr>
          <w:u w:val="single"/>
        </w:rPr>
        <w:t>Donnie Shook, individually and on behalf of all others similarly situated v. City of Independence, Missouri</w:t>
      </w:r>
      <w:r>
        <w:t xml:space="preserve">, United States District Court Judge Greg Kays, U.S District Court for Western District of Missouri, with no objection by the City has conditionally certified this class action lawsuit, where fellow firefighters with IAFF Local 781 may opt into the case as it proceeds in pre-trial discovery. Under the CBA, firefighters working “out-of-position” (for example, firefighter serving as Acting Lieutenant) receive a five percent increase in their regular hourly wage for those hours; the dispute concerns how this impacts the “regular hourly wage” rate of the firefighter. </w:t>
      </w:r>
    </w:p>
    <w:p w14:paraId="55AD63FA"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FC50DC0" w14:textId="77777777" w:rsidR="00D90293" w:rsidRDefault="00D90293" w:rsidP="009371E7">
      <w:pPr>
        <w:pStyle w:val="paragraph"/>
      </w:pPr>
    </w:p>
    <w:p w14:paraId="362301C3" w14:textId="77777777" w:rsidR="009371E7" w:rsidRDefault="009371E7" w:rsidP="009371E7">
      <w:pPr>
        <w:pStyle w:val="paragraph"/>
        <w:ind w:left="720"/>
      </w:pPr>
      <w:r>
        <w:t xml:space="preserve">“Plaintiff alleges Defendant's pay calculation policy violates the FLSA because it dilutes overtime compensation for hours worked out-of-position, resulting in overtime not being paid at a rate of at least one and a half times the regular rate. Defendant denies these allegations and maintains its pay calculation </w:t>
      </w:r>
      <w:proofErr w:type="gramStart"/>
      <w:r>
        <w:t>policy</w:t>
      </w:r>
      <w:proofErr w:type="gramEnd"/>
      <w:r>
        <w:t xml:space="preserve"> accounts for all hours and pay rates worked during a 27-day pay cycle. </w:t>
      </w:r>
    </w:p>
    <w:p w14:paraId="7807626A" w14:textId="77777777" w:rsidR="009371E7" w:rsidRDefault="009371E7" w:rsidP="009371E7">
      <w:pPr>
        <w:pStyle w:val="paragraph"/>
        <w:ind w:left="720"/>
      </w:pPr>
      <w:r>
        <w:t>***</w:t>
      </w:r>
    </w:p>
    <w:p w14:paraId="4E576EC6" w14:textId="77777777" w:rsidR="009371E7" w:rsidRDefault="009371E7" w:rsidP="009371E7">
      <w:pPr>
        <w:spacing w:before="100" w:beforeAutospacing="1" w:after="100" w:afterAutospacing="1" w:line="240" w:lineRule="auto"/>
        <w:ind w:left="720"/>
        <w:rPr>
          <w:rFonts w:ascii="Times New Roman" w:eastAsia="Times New Roman" w:hAnsi="Times New Roman"/>
          <w:sz w:val="24"/>
          <w:szCs w:val="24"/>
        </w:rPr>
      </w:pPr>
      <w:r w:rsidRPr="003D356B">
        <w:rPr>
          <w:rFonts w:ascii="Times New Roman" w:eastAsia="Times New Roman" w:hAnsi="Times New Roman"/>
          <w:sz w:val="24"/>
          <w:szCs w:val="24"/>
        </w:rPr>
        <w:t xml:space="preserve">Accordingly, the Court conditionally certifies the following class: </w:t>
      </w:r>
    </w:p>
    <w:p w14:paraId="0B417BEC" w14:textId="77777777" w:rsidR="009371E7" w:rsidRDefault="009371E7" w:rsidP="009371E7">
      <w:pPr>
        <w:spacing w:before="100" w:beforeAutospacing="1" w:after="100" w:afterAutospacing="1" w:line="240" w:lineRule="auto"/>
        <w:ind w:left="1440"/>
        <w:rPr>
          <w:rFonts w:ascii="Times New Roman" w:eastAsia="Times New Roman" w:hAnsi="Times New Roman"/>
          <w:sz w:val="24"/>
          <w:szCs w:val="24"/>
        </w:rPr>
      </w:pPr>
      <w:r w:rsidRPr="003D356B">
        <w:rPr>
          <w:rFonts w:ascii="Times New Roman" w:eastAsia="Times New Roman" w:hAnsi="Times New Roman"/>
          <w:sz w:val="24"/>
          <w:szCs w:val="24"/>
        </w:rPr>
        <w:t xml:space="preserve">All current and former Independence, Missouri firefighters who worked out-of-position at a higher rate of pay and worked more than 204 hours in the </w:t>
      </w:r>
      <w:proofErr w:type="spellStart"/>
      <w:r w:rsidRPr="003D356B">
        <w:rPr>
          <w:rFonts w:ascii="Times New Roman" w:eastAsia="Times New Roman" w:hAnsi="Times New Roman"/>
          <w:sz w:val="24"/>
          <w:szCs w:val="24"/>
        </w:rPr>
        <w:t>sme</w:t>
      </w:r>
      <w:proofErr w:type="spellEnd"/>
      <w:r w:rsidRPr="003D356B">
        <w:rPr>
          <w:rFonts w:ascii="Times New Roman" w:eastAsia="Times New Roman" w:hAnsi="Times New Roman"/>
          <w:sz w:val="24"/>
          <w:szCs w:val="24"/>
        </w:rPr>
        <w:t xml:space="preserve"> 27-day period at any time beginning three years prior to joining this lawsuit.</w:t>
      </w:r>
      <w:r>
        <w:rPr>
          <w:rFonts w:ascii="Times New Roman" w:eastAsia="Times New Roman" w:hAnsi="Times New Roman"/>
          <w:sz w:val="24"/>
          <w:szCs w:val="24"/>
        </w:rPr>
        <w:t>’</w:t>
      </w:r>
    </w:p>
    <w:p w14:paraId="6A3BC5FA" w14:textId="77777777" w:rsidR="009371E7" w:rsidRDefault="009371E7" w:rsidP="009371E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b/>
        <w:t>***</w:t>
      </w:r>
    </w:p>
    <w:p w14:paraId="1226FF56" w14:textId="77777777" w:rsidR="009371E7" w:rsidRPr="00FB03E9" w:rsidRDefault="009371E7" w:rsidP="009371E7">
      <w:pPr>
        <w:pStyle w:val="paragraph"/>
        <w:ind w:firstLine="720"/>
      </w:pPr>
      <w:r w:rsidRPr="00FB03E9">
        <w:t xml:space="preserve">Conclusion </w:t>
      </w:r>
    </w:p>
    <w:p w14:paraId="7D1E2EDA" w14:textId="77777777" w:rsidR="009371E7" w:rsidRDefault="009371E7" w:rsidP="009371E7">
      <w:pPr>
        <w:pStyle w:val="paragraph"/>
        <w:ind w:left="720"/>
      </w:pPr>
      <w:r>
        <w:t>The class is conditionally certified. Defendant shall produce to Plaintiff the names, job titles, dates of employment, last known addresses, and email addresses of potential plaintiffs within seven (7) days of this Order. Plaintiff is authorized to send notice and consent forms, by mail and email to potential class members. Each potential plaintiff shall have sixty (60) days from the date the mailing list is provided to opt-in to the litigation.”</w:t>
      </w:r>
    </w:p>
    <w:p w14:paraId="6F66E34D" w14:textId="77777777" w:rsidR="009371E7" w:rsidRPr="005B1A2F" w:rsidRDefault="009371E7" w:rsidP="009371E7">
      <w:pPr>
        <w:pStyle w:val="paragraph"/>
        <w:rPr>
          <w:b/>
          <w:bCs/>
        </w:rPr>
      </w:pPr>
      <w:r w:rsidRPr="005B1A2F">
        <w:rPr>
          <w:b/>
          <w:bCs/>
        </w:rPr>
        <w:t>Legal Lesson Learned:</w:t>
      </w:r>
      <w:r>
        <w:rPr>
          <w:b/>
          <w:bCs/>
        </w:rPr>
        <w:t xml:space="preserve"> Lawsuit will now proceed with pre-trial discovery.</w:t>
      </w:r>
    </w:p>
    <w:p w14:paraId="592AEF1E" w14:textId="77777777" w:rsidR="009371E7" w:rsidRDefault="009371E7" w:rsidP="009371E7">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Note: See this Notice from plaintiff’s law firm:</w:t>
      </w:r>
      <w:r w:rsidRPr="005B1A2F">
        <w:t xml:space="preserve"> </w:t>
      </w:r>
      <w:hyperlink r:id="rId1726" w:history="1">
        <w:r w:rsidRPr="0090149E">
          <w:rPr>
            <w:rStyle w:val="Hyperlink"/>
            <w:rFonts w:ascii="Times New Roman" w:eastAsia="Times New Roman" w:hAnsi="Times New Roman"/>
            <w:sz w:val="24"/>
            <w:szCs w:val="24"/>
          </w:rPr>
          <w:t>http://flsa-optin.com/</w:t>
        </w:r>
      </w:hyperlink>
      <w:r>
        <w:rPr>
          <w:rFonts w:ascii="Times New Roman" w:eastAsia="Times New Roman" w:hAnsi="Times New Roman"/>
          <w:sz w:val="24"/>
          <w:szCs w:val="24"/>
        </w:rPr>
        <w:t xml:space="preserve"> </w:t>
      </w:r>
    </w:p>
    <w:p w14:paraId="5F242C56" w14:textId="77777777" w:rsidR="009371E7" w:rsidRPr="007957B8" w:rsidRDefault="009371E7" w:rsidP="009371E7">
      <w:pPr>
        <w:pStyle w:val="NormalWeb"/>
        <w:ind w:firstLine="720"/>
        <w:jc w:val="both"/>
      </w:pPr>
      <w:r w:rsidRPr="007957B8">
        <w:rPr>
          <w:rStyle w:val="Strong"/>
          <w:rFonts w:eastAsiaTheme="majorEastAsia"/>
          <w:color w:val="003366"/>
        </w:rPr>
        <w:t>YOUR RIGHT TO PARTICIPATE IN THIS LAWSUIT</w:t>
      </w:r>
    </w:p>
    <w:p w14:paraId="09C5C24D" w14:textId="77777777" w:rsidR="009371E7" w:rsidRPr="007957B8" w:rsidRDefault="009371E7" w:rsidP="009371E7">
      <w:pPr>
        <w:pStyle w:val="NormalWeb"/>
        <w:ind w:left="720"/>
        <w:jc w:val="both"/>
        <w:rPr>
          <w:rStyle w:val="Strong"/>
          <w:rFonts w:eastAsiaTheme="majorEastAsia"/>
        </w:rPr>
      </w:pPr>
      <w:r w:rsidRPr="007957B8">
        <w:t xml:space="preserve">If you fit the definition above, you may join this suit (that is, you may “opt in”) </w:t>
      </w:r>
      <w:proofErr w:type="gramStart"/>
      <w:r w:rsidRPr="007957B8">
        <w:t>provided that</w:t>
      </w:r>
      <w:proofErr w:type="gramEnd"/>
      <w:r w:rsidRPr="007957B8">
        <w:t xml:space="preserve"> you file or cause to be filed the attached Consent to Join Collective Action. </w:t>
      </w:r>
      <w:r w:rsidRPr="007957B8">
        <w:rPr>
          <w:rStyle w:val="Strong"/>
          <w:rFonts w:eastAsiaTheme="majorEastAsia"/>
        </w:rPr>
        <w:t xml:space="preserve">You have two options: (1) you may file electronically by clicking </w:t>
      </w:r>
      <w:hyperlink r:id="rId1727" w:tgtFrame="_blank" w:history="1">
        <w:r w:rsidRPr="007957B8">
          <w:rPr>
            <w:rStyle w:val="Hyperlink"/>
            <w:rFonts w:eastAsiaTheme="majorEastAsia"/>
            <w:b/>
            <w:bCs/>
          </w:rPr>
          <w:t>here</w:t>
        </w:r>
      </w:hyperlink>
      <w:r w:rsidRPr="007957B8">
        <w:rPr>
          <w:rStyle w:val="Strong"/>
          <w:rFonts w:eastAsiaTheme="majorEastAsia"/>
        </w:rPr>
        <w:t xml:space="preserve"> </w:t>
      </w:r>
      <w:r w:rsidRPr="007957B8">
        <w:rPr>
          <w:rStyle w:val="Strong"/>
          <w:rFonts w:eastAsiaTheme="majorEastAsia"/>
          <w:color w:val="B22222"/>
        </w:rPr>
        <w:t>before</w:t>
      </w:r>
      <w:r w:rsidRPr="007957B8">
        <w:rPr>
          <w:rStyle w:val="Strong"/>
          <w:rFonts w:eastAsiaTheme="majorEastAsia"/>
        </w:rPr>
        <w:t xml:space="preserve"> </w:t>
      </w:r>
      <w:r w:rsidRPr="007957B8">
        <w:rPr>
          <w:rStyle w:val="Strong"/>
          <w:rFonts w:eastAsiaTheme="majorEastAsia"/>
          <w:color w:val="B22222"/>
        </w:rPr>
        <w:t>October 20, 2023</w:t>
      </w:r>
      <w:r w:rsidRPr="007957B8">
        <w:rPr>
          <w:rStyle w:val="Strong"/>
          <w:rFonts w:eastAsiaTheme="majorEastAsia"/>
        </w:rPr>
        <w:t xml:space="preserve">; or (2) you may </w:t>
      </w:r>
      <w:hyperlink r:id="rId1728" w:tgtFrame="_blank" w:history="1">
        <w:r w:rsidRPr="007957B8">
          <w:rPr>
            <w:rStyle w:val="Hyperlink"/>
            <w:rFonts w:eastAsiaTheme="majorEastAsia"/>
            <w:b/>
            <w:bCs/>
          </w:rPr>
          <w:t>download</w:t>
        </w:r>
      </w:hyperlink>
      <w:r w:rsidRPr="007957B8">
        <w:rPr>
          <w:rStyle w:val="Strong"/>
          <w:rFonts w:eastAsiaTheme="majorEastAsia"/>
        </w:rPr>
        <w:t xml:space="preserve"> and sign and mail the consent form before October 20, </w:t>
      </w:r>
      <w:proofErr w:type="gramStart"/>
      <w:r w:rsidRPr="007957B8">
        <w:rPr>
          <w:rStyle w:val="Strong"/>
          <w:rFonts w:eastAsiaTheme="majorEastAsia"/>
        </w:rPr>
        <w:t>2023</w:t>
      </w:r>
      <w:proofErr w:type="gramEnd"/>
      <w:r w:rsidRPr="007957B8">
        <w:rPr>
          <w:rStyle w:val="Strong"/>
          <w:rFonts w:eastAsiaTheme="majorEastAsia"/>
        </w:rPr>
        <w:t xml:space="preserve"> to:</w:t>
      </w:r>
    </w:p>
    <w:p w14:paraId="02BBBC66" w14:textId="77777777" w:rsidR="009371E7" w:rsidRPr="007957B8" w:rsidRDefault="009371E7" w:rsidP="009371E7">
      <w:pPr>
        <w:ind w:left="720"/>
        <w:rPr>
          <w:rFonts w:ascii="Times New Roman" w:hAnsi="Times New Roman"/>
          <w:sz w:val="24"/>
          <w:szCs w:val="24"/>
        </w:rPr>
      </w:pPr>
      <w:r w:rsidRPr="007957B8">
        <w:rPr>
          <w:rFonts w:ascii="Times New Roman" w:hAnsi="Times New Roman"/>
          <w:sz w:val="24"/>
          <w:szCs w:val="24"/>
        </w:rPr>
        <w:t>Boyd Kenter Thomas &amp; Parrish, LLC</w:t>
      </w:r>
      <w:r w:rsidRPr="007957B8">
        <w:rPr>
          <w:rFonts w:ascii="Times New Roman" w:hAnsi="Times New Roman"/>
          <w:sz w:val="24"/>
          <w:szCs w:val="24"/>
        </w:rPr>
        <w:br/>
        <w:t>PO BOX 439</w:t>
      </w:r>
      <w:r w:rsidRPr="007957B8">
        <w:rPr>
          <w:rFonts w:ascii="Times New Roman" w:hAnsi="Times New Roman"/>
          <w:sz w:val="24"/>
          <w:szCs w:val="24"/>
        </w:rPr>
        <w:br/>
        <w:t>Independence, Missouri 64050</w:t>
      </w:r>
    </w:p>
    <w:p w14:paraId="77373FE9" w14:textId="77777777" w:rsidR="009371E7" w:rsidRPr="007957B8" w:rsidRDefault="009371E7" w:rsidP="009371E7">
      <w:pPr>
        <w:pStyle w:val="NormalWeb"/>
        <w:ind w:left="720"/>
        <w:jc w:val="both"/>
      </w:pPr>
      <w:r w:rsidRPr="007957B8">
        <w:lastRenderedPageBreak/>
        <w:t>If you choose option (2), your consent form must be enclosed in an envelope that is postmarked on or before October 20, 2023.</w:t>
      </w:r>
    </w:p>
    <w:p w14:paraId="32778FC5" w14:textId="77777777" w:rsidR="009371E7" w:rsidRDefault="009371E7" w:rsidP="00F326E5">
      <w:pPr>
        <w:rPr>
          <w:rFonts w:ascii="Arial Black" w:hAnsi="Arial Black"/>
          <w:b/>
          <w:sz w:val="24"/>
          <w:szCs w:val="24"/>
        </w:rPr>
      </w:pPr>
    </w:p>
    <w:p w14:paraId="7FA9D57C" w14:textId="20F357AF" w:rsidR="00A82016" w:rsidRDefault="00A82016" w:rsidP="00F326E5">
      <w:pPr>
        <w:rPr>
          <w:rFonts w:ascii="Arial Black" w:hAnsi="Arial Black"/>
          <w:b/>
          <w:sz w:val="24"/>
          <w:szCs w:val="24"/>
        </w:rPr>
      </w:pPr>
      <w:r>
        <w:rPr>
          <w:rFonts w:ascii="Arial Black" w:hAnsi="Arial Black"/>
          <w:b/>
          <w:sz w:val="24"/>
          <w:szCs w:val="24"/>
        </w:rPr>
        <w:t>11-47</w:t>
      </w:r>
    </w:p>
    <w:p w14:paraId="4256C3CD" w14:textId="77777777" w:rsidR="00A82016" w:rsidRPr="00253890" w:rsidRDefault="00A82016" w:rsidP="00A82016">
      <w:pPr>
        <w:spacing w:before="100" w:beforeAutospacing="1" w:after="100" w:afterAutospacing="1" w:line="240" w:lineRule="auto"/>
        <w:rPr>
          <w:rFonts w:ascii="Times New Roman" w:eastAsia="Times New Roman" w:hAnsi="Times New Roman"/>
          <w:sz w:val="24"/>
          <w:szCs w:val="24"/>
        </w:rPr>
      </w:pPr>
      <w:r>
        <w:rPr>
          <w:rFonts w:ascii="Arial Black" w:eastAsia="Times New Roman" w:hAnsi="Arial Black"/>
          <w:sz w:val="28"/>
          <w:szCs w:val="28"/>
        </w:rPr>
        <w:t xml:space="preserve">MS: FLSA - LONGEVITY PAY – LAWSUIT SETTLED PAY OCT. 2023 FORWARD - 25 FF AGREED /10 OBJECTED - ENFORCED </w:t>
      </w:r>
    </w:p>
    <w:p w14:paraId="15A25AA1" w14:textId="77777777" w:rsidR="00A82016" w:rsidRDefault="00A82016" w:rsidP="00A82016">
      <w:pPr>
        <w:pStyle w:val="NoSpacing"/>
        <w:rPr>
          <w:rFonts w:ascii="Times New Roman" w:hAnsi="Times New Roman"/>
          <w:sz w:val="24"/>
          <w:szCs w:val="24"/>
        </w:rPr>
      </w:pPr>
      <w:r>
        <w:rPr>
          <w:rFonts w:ascii="Times New Roman" w:hAnsi="Times New Roman"/>
          <w:sz w:val="24"/>
          <w:szCs w:val="24"/>
        </w:rPr>
        <w:t xml:space="preserve">On Jan. 25, 2024, in </w:t>
      </w:r>
      <w:r w:rsidRPr="00CA23AA">
        <w:rPr>
          <w:rFonts w:ascii="Times New Roman" w:hAnsi="Times New Roman"/>
          <w:sz w:val="24"/>
          <w:szCs w:val="24"/>
          <w:u w:val="single"/>
        </w:rPr>
        <w:t>Derrick Gates, et al. v. City of Biloxi, Mississippi</w:t>
      </w:r>
      <w:r>
        <w:rPr>
          <w:rFonts w:ascii="Times New Roman" w:hAnsi="Times New Roman"/>
          <w:sz w:val="24"/>
          <w:szCs w:val="24"/>
        </w:rPr>
        <w:t xml:space="preserve">, U.S. District Court Judge Louis Guirola, Jr., U.S. District Court for Southern District of Mississippi (Southern Division) granted the City’s motion to enforce the settlement agreement. </w:t>
      </w:r>
    </w:p>
    <w:p w14:paraId="107B8D16" w14:textId="77777777" w:rsidR="00A82016" w:rsidRDefault="00A82016" w:rsidP="00A82016">
      <w:pPr>
        <w:pStyle w:val="NoSpacing"/>
        <w:rPr>
          <w:rFonts w:ascii="Times New Roman" w:hAnsi="Times New Roman"/>
          <w:sz w:val="24"/>
          <w:szCs w:val="24"/>
        </w:rPr>
      </w:pPr>
    </w:p>
    <w:p w14:paraId="58AB6537" w14:textId="6EE03A1D" w:rsidR="00A82016" w:rsidRDefault="00A82016" w:rsidP="00A82016">
      <w:pPr>
        <w:rPr>
          <w:rStyle w:val="Hyperlink"/>
          <w:rFonts w:ascii="Times New Roman" w:hAnsi="Times New Roman"/>
          <w:sz w:val="24"/>
          <w:szCs w:val="24"/>
        </w:rPr>
      </w:pPr>
      <w:r>
        <w:rPr>
          <w:rFonts w:ascii="Times New Roman" w:hAnsi="Times New Roman"/>
          <w:sz w:val="24"/>
          <w:szCs w:val="24"/>
        </w:rPr>
        <w:t>“</w:t>
      </w:r>
      <w:r w:rsidRPr="00195CB1">
        <w:rPr>
          <w:rFonts w:ascii="Times New Roman" w:hAnsi="Times New Roman"/>
          <w:sz w:val="24"/>
          <w:szCs w:val="24"/>
        </w:rPr>
        <w:t>Here, the parties through their retained counsel announced the</w:t>
      </w:r>
      <w:r>
        <w:rPr>
          <w:rFonts w:ascii="Times New Roman" w:hAnsi="Times New Roman"/>
          <w:sz w:val="24"/>
          <w:szCs w:val="24"/>
        </w:rPr>
        <w:t xml:space="preserve"> </w:t>
      </w:r>
      <w:r w:rsidRPr="00195CB1">
        <w:rPr>
          <w:rFonts w:ascii="Times New Roman" w:hAnsi="Times New Roman"/>
          <w:sz w:val="24"/>
          <w:szCs w:val="24"/>
        </w:rPr>
        <w:t>settlement, and the terms were recited into the record. It is the recorded recitations</w:t>
      </w:r>
      <w:r>
        <w:rPr>
          <w:rFonts w:ascii="Times New Roman" w:hAnsi="Times New Roman"/>
          <w:sz w:val="24"/>
          <w:szCs w:val="24"/>
        </w:rPr>
        <w:t xml:space="preserve"> </w:t>
      </w:r>
      <w:r w:rsidRPr="00195CB1">
        <w:rPr>
          <w:rFonts w:ascii="Times New Roman" w:hAnsi="Times New Roman"/>
          <w:sz w:val="24"/>
          <w:szCs w:val="24"/>
        </w:rPr>
        <w:t>that control. Therefore, the settlement agreement is enforceable as recorded in the</w:t>
      </w:r>
      <w:r>
        <w:rPr>
          <w:rFonts w:ascii="Times New Roman" w:hAnsi="Times New Roman"/>
          <w:sz w:val="24"/>
          <w:szCs w:val="24"/>
        </w:rPr>
        <w:t xml:space="preserve"> </w:t>
      </w:r>
      <w:r w:rsidRPr="00195CB1">
        <w:rPr>
          <w:rFonts w:ascii="Times New Roman" w:hAnsi="Times New Roman"/>
          <w:sz w:val="24"/>
          <w:szCs w:val="24"/>
        </w:rPr>
        <w:t>transcript at the close of the settlement conference, regardless of any alleged</w:t>
      </w:r>
      <w:r>
        <w:rPr>
          <w:rFonts w:ascii="Times New Roman" w:hAnsi="Times New Roman"/>
          <w:sz w:val="24"/>
          <w:szCs w:val="24"/>
        </w:rPr>
        <w:t xml:space="preserve"> </w:t>
      </w:r>
      <w:r w:rsidRPr="00195CB1">
        <w:rPr>
          <w:rFonts w:ascii="Times New Roman" w:hAnsi="Times New Roman"/>
          <w:sz w:val="24"/>
          <w:szCs w:val="24"/>
        </w:rPr>
        <w:t>omissions contained in a later memorialization of the parties’ agreement.</w:t>
      </w:r>
      <w:r>
        <w:rPr>
          <w:rFonts w:ascii="Times New Roman" w:hAnsi="Times New Roman"/>
          <w:sz w:val="24"/>
          <w:szCs w:val="24"/>
        </w:rPr>
        <w:t xml:space="preserve">”   </w:t>
      </w:r>
      <w:hyperlink r:id="rId1729" w:history="1">
        <w:r w:rsidRPr="00624A20">
          <w:rPr>
            <w:rStyle w:val="Hyperlink"/>
            <w:rFonts w:ascii="Times New Roman" w:hAnsi="Times New Roman"/>
            <w:sz w:val="24"/>
            <w:szCs w:val="24"/>
          </w:rPr>
          <w:t>https://cases.justia.com/federal/district-courts/mississippi/mssdce/1:2022cv00356/117172/19/0.pdf?ts=1706287990</w:t>
        </w:r>
      </w:hyperlink>
    </w:p>
    <w:p w14:paraId="3A00E7B4" w14:textId="4FC5B2D7" w:rsidR="00F260DB" w:rsidRDefault="00F260DB" w:rsidP="00A82016">
      <w:pPr>
        <w:rPr>
          <w:rFonts w:ascii="Arial Black" w:hAnsi="Arial Black"/>
          <w:b/>
          <w:sz w:val="24"/>
          <w:szCs w:val="24"/>
        </w:rPr>
      </w:pPr>
      <w:r w:rsidRPr="0027455C">
        <w:rPr>
          <w:rFonts w:ascii="Times New Roman" w:hAnsi="Times New Roman"/>
          <w:b/>
          <w:bCs/>
          <w:sz w:val="24"/>
          <w:szCs w:val="24"/>
        </w:rPr>
        <w:t>Legal Lesson Learned:</w:t>
      </w:r>
      <w:r>
        <w:rPr>
          <w:rFonts w:ascii="Times New Roman" w:hAnsi="Times New Roman"/>
          <w:b/>
          <w:bCs/>
          <w:sz w:val="24"/>
          <w:szCs w:val="24"/>
        </w:rPr>
        <w:t xml:space="preserve"> A settlement agreement agreed to by Plaintiffs’ legal counsel applies to all firefighters on the fire department</w:t>
      </w:r>
    </w:p>
    <w:p w14:paraId="2C52C8F0" w14:textId="77777777" w:rsidR="00A82016" w:rsidRDefault="00A82016" w:rsidP="00F326E5">
      <w:pPr>
        <w:rPr>
          <w:rFonts w:ascii="Arial Black" w:hAnsi="Arial Black"/>
          <w:b/>
          <w:sz w:val="24"/>
          <w:szCs w:val="24"/>
        </w:rPr>
      </w:pPr>
    </w:p>
    <w:p w14:paraId="7AD83869" w14:textId="071DD38E" w:rsidR="00357AB9" w:rsidRDefault="00357AB9"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50</w:t>
      </w:r>
    </w:p>
    <w:p w14:paraId="443FE29E" w14:textId="77777777" w:rsidR="00357AB9" w:rsidRDefault="00357AB9" w:rsidP="00357AB9">
      <w:pPr>
        <w:pStyle w:val="NormalWeb"/>
        <w:rPr>
          <w:rFonts w:ascii="Arial Black" w:hAnsi="Arial Black"/>
          <w:b/>
          <w:bCs/>
          <w:sz w:val="28"/>
          <w:szCs w:val="28"/>
        </w:rPr>
      </w:pPr>
      <w:r>
        <w:rPr>
          <w:rFonts w:ascii="Arial Black" w:hAnsi="Arial Black"/>
          <w:b/>
          <w:bCs/>
          <w:sz w:val="28"/>
          <w:szCs w:val="28"/>
        </w:rPr>
        <w:t>CA: FLSA - FF HAVE HEALTH INSUR. WITH SPOUSE CAN “OPT OUT” – OPT OUT FEE IS NOT PART “REGULAR WAGES”</w:t>
      </w:r>
    </w:p>
    <w:p w14:paraId="61E58FB4" w14:textId="77777777" w:rsidR="00357AB9" w:rsidRDefault="00357AB9" w:rsidP="00357AB9">
      <w:pPr>
        <w:pStyle w:val="NoSpacing"/>
        <w:rPr>
          <w:rFonts w:ascii="Times New Roman" w:hAnsi="Times New Roman"/>
          <w:sz w:val="24"/>
          <w:szCs w:val="24"/>
        </w:rPr>
      </w:pPr>
      <w:r w:rsidRPr="00EA69A8">
        <w:rPr>
          <w:rFonts w:ascii="Times New Roman" w:hAnsi="Times New Roman"/>
          <w:sz w:val="24"/>
          <w:szCs w:val="24"/>
        </w:rPr>
        <w:t xml:space="preserve">On Nov. 30, 2023, in </w:t>
      </w:r>
      <w:r w:rsidRPr="00F72B12">
        <w:rPr>
          <w:rFonts w:ascii="Times New Roman" w:hAnsi="Times New Roman"/>
          <w:sz w:val="24"/>
          <w:szCs w:val="24"/>
          <w:u w:val="single"/>
        </w:rPr>
        <w:t>Anthony Sanders, et al. v. County of Ventura</w:t>
      </w:r>
      <w:r w:rsidRPr="00EA69A8">
        <w:rPr>
          <w:rFonts w:ascii="Times New Roman" w:hAnsi="Times New Roman"/>
          <w:sz w:val="24"/>
          <w:szCs w:val="24"/>
        </w:rPr>
        <w:t>,  the U.S. Court of Appeals for the 9th Circuit (San Francisco) held (3 to 0) that trial court judge properly granted summary judgment to the County.  For example, PFA [Professional Firefighters Association] members in 2022 received a Flex Credit of $482, but their opt-out fee was $334.75, resulting in a net cash payment of $147.25 per pay period.</w:t>
      </w:r>
      <w:r>
        <w:rPr>
          <w:rFonts w:ascii="Times New Roman" w:hAnsi="Times New Roman"/>
          <w:sz w:val="24"/>
          <w:szCs w:val="24"/>
        </w:rPr>
        <w:t xml:space="preserve"> </w:t>
      </w:r>
      <w:r w:rsidRPr="00EA69A8">
        <w:rPr>
          <w:rFonts w:ascii="Times New Roman" w:hAnsi="Times New Roman"/>
          <w:sz w:val="24"/>
          <w:szCs w:val="24"/>
        </w:rPr>
        <w:t>The Court of Appeals wrote: “What this means is that § 207(e)(4) permits an employer</w:t>
      </w:r>
      <w:r>
        <w:rPr>
          <w:rFonts w:ascii="Times New Roman" w:hAnsi="Times New Roman"/>
          <w:sz w:val="24"/>
          <w:szCs w:val="24"/>
        </w:rPr>
        <w:t xml:space="preserve"> </w:t>
      </w:r>
      <w:r w:rsidRPr="00EA69A8">
        <w:rPr>
          <w:rFonts w:ascii="Times New Roman" w:hAnsi="Times New Roman"/>
          <w:sz w:val="24"/>
          <w:szCs w:val="24"/>
        </w:rPr>
        <w:t>to exempt from an employee’s regular rate of pay employer contributions made pursuant to bona fide health plans that are designed to alleviate the burden of a shrinking risk pool for the employees who choose to remain in the plans. When an employer, as here, decides to allow employees to retain some portion of an unused health insurance credit, it can permissibly structure the program to prop up the employee health plans without treating the full amount of the health credit as part of the FLSA regular rate of pay.”</w:t>
      </w:r>
      <w:r>
        <w:rPr>
          <w:rFonts w:ascii="Times New Roman" w:hAnsi="Times New Roman"/>
          <w:sz w:val="24"/>
          <w:szCs w:val="24"/>
        </w:rPr>
        <w:t xml:space="preserve"> </w:t>
      </w:r>
      <w:hyperlink r:id="rId1730" w:history="1">
        <w:r w:rsidRPr="001D6799">
          <w:rPr>
            <w:rStyle w:val="Hyperlink"/>
            <w:rFonts w:ascii="Times New Roman" w:hAnsi="Times New Roman"/>
            <w:sz w:val="24"/>
            <w:szCs w:val="24"/>
          </w:rPr>
          <w:t>https://cdn.ca9.uscourts.gov/datastore/opinions/2023/11/30/22-55663.pdf</w:t>
        </w:r>
      </w:hyperlink>
      <w:r>
        <w:rPr>
          <w:rFonts w:ascii="Times New Roman" w:hAnsi="Times New Roman"/>
          <w:sz w:val="24"/>
          <w:szCs w:val="24"/>
        </w:rPr>
        <w:t xml:space="preserve"> </w:t>
      </w:r>
    </w:p>
    <w:p w14:paraId="493FAE4B" w14:textId="77777777" w:rsidR="00FB5A0A" w:rsidRDefault="00FB5A0A" w:rsidP="00FB5A0A">
      <w:pPr>
        <w:pStyle w:val="NoSpacing"/>
        <w:rPr>
          <w:rFonts w:ascii="Times New Roman" w:hAnsi="Times New Roman"/>
          <w:b/>
          <w:bCs/>
          <w:sz w:val="24"/>
          <w:szCs w:val="24"/>
        </w:rPr>
      </w:pPr>
    </w:p>
    <w:p w14:paraId="4F255FE2" w14:textId="0311498F" w:rsidR="00FB5A0A" w:rsidRPr="00404656" w:rsidRDefault="00FB5A0A" w:rsidP="00FB5A0A">
      <w:pPr>
        <w:pStyle w:val="NoSpacing"/>
        <w:rPr>
          <w:rFonts w:ascii="Times New Roman" w:hAnsi="Times New Roman"/>
          <w:b/>
          <w:bCs/>
          <w:sz w:val="24"/>
          <w:szCs w:val="24"/>
        </w:rPr>
      </w:pPr>
      <w:r w:rsidRPr="00404656">
        <w:rPr>
          <w:rFonts w:ascii="Times New Roman" w:hAnsi="Times New Roman"/>
          <w:b/>
          <w:bCs/>
          <w:sz w:val="24"/>
          <w:szCs w:val="24"/>
        </w:rPr>
        <w:t>Legal Lesson Learned:</w:t>
      </w:r>
      <w:r>
        <w:rPr>
          <w:rFonts w:ascii="Times New Roman" w:hAnsi="Times New Roman"/>
          <w:b/>
          <w:bCs/>
          <w:sz w:val="24"/>
          <w:szCs w:val="24"/>
        </w:rPr>
        <w:t xml:space="preserve">  FF working overtime get time and one half of their “regular rate” of pay; the County does not want to include “opt out” fees in their regular rate of pay,  </w:t>
      </w:r>
    </w:p>
    <w:p w14:paraId="67DC5071" w14:textId="77777777" w:rsidR="00FB5A0A" w:rsidRDefault="00FB5A0A" w:rsidP="00FB5A0A">
      <w:pPr>
        <w:pStyle w:val="NoSpacing"/>
        <w:rPr>
          <w:rFonts w:ascii="Times New Roman" w:hAnsi="Times New Roman"/>
          <w:sz w:val="24"/>
          <w:szCs w:val="24"/>
        </w:rPr>
      </w:pPr>
    </w:p>
    <w:p w14:paraId="4CBB7932" w14:textId="77777777" w:rsidR="00FB5A0A" w:rsidRDefault="00FB5A0A" w:rsidP="00F326E5">
      <w:pPr>
        <w:rPr>
          <w:rFonts w:ascii="Arial Black" w:hAnsi="Arial Black"/>
          <w:b/>
          <w:sz w:val="24"/>
          <w:szCs w:val="24"/>
        </w:rPr>
      </w:pPr>
    </w:p>
    <w:p w14:paraId="121BF3B6" w14:textId="77777777" w:rsidR="00357AB9" w:rsidRDefault="00357AB9" w:rsidP="00F326E5">
      <w:pPr>
        <w:rPr>
          <w:rFonts w:ascii="Arial Black" w:hAnsi="Arial Black"/>
          <w:b/>
          <w:sz w:val="24"/>
          <w:szCs w:val="24"/>
        </w:rPr>
      </w:pPr>
    </w:p>
    <w:p w14:paraId="5866D335" w14:textId="4AED3211" w:rsidR="001A5080" w:rsidRDefault="001A5080" w:rsidP="00F326E5">
      <w:pPr>
        <w:rPr>
          <w:rFonts w:ascii="Arial Black" w:hAnsi="Arial Black"/>
          <w:b/>
          <w:sz w:val="24"/>
          <w:szCs w:val="24"/>
        </w:rPr>
      </w:pPr>
      <w:r>
        <w:rPr>
          <w:rFonts w:ascii="Arial Black" w:hAnsi="Arial Black"/>
          <w:b/>
          <w:sz w:val="24"/>
          <w:szCs w:val="24"/>
        </w:rPr>
        <w:lastRenderedPageBreak/>
        <w:t>11-4</w:t>
      </w:r>
      <w:r w:rsidR="009601CD">
        <w:rPr>
          <w:rFonts w:ascii="Arial Black" w:hAnsi="Arial Black"/>
          <w:b/>
          <w:sz w:val="24"/>
          <w:szCs w:val="24"/>
        </w:rPr>
        <w:t>9</w:t>
      </w:r>
    </w:p>
    <w:p w14:paraId="1B66BA25" w14:textId="77777777" w:rsidR="001A5080" w:rsidRPr="00C75679" w:rsidRDefault="001A5080" w:rsidP="001A5080">
      <w:pPr>
        <w:pStyle w:val="NoSpacing"/>
        <w:rPr>
          <w:rFonts w:ascii="Arial Black" w:hAnsi="Arial Black"/>
          <w:b/>
          <w:sz w:val="28"/>
          <w:szCs w:val="28"/>
        </w:rPr>
      </w:pPr>
      <w:r>
        <w:rPr>
          <w:rFonts w:ascii="Arial Black" w:hAnsi="Arial Black"/>
          <w:b/>
          <w:sz w:val="28"/>
          <w:szCs w:val="28"/>
        </w:rPr>
        <w:t>WV: WORKING ON HOLIDAY – STATE LAW REQ. OT OR COMP TIME – BUT HRS THAT DAY - NOT 24HR SHIFT / NOT 12 HRS</w:t>
      </w:r>
    </w:p>
    <w:p w14:paraId="4EFFE3CC" w14:textId="77777777" w:rsidR="001A5080" w:rsidRDefault="001A5080" w:rsidP="001A5080">
      <w:pPr>
        <w:pStyle w:val="NoSpacing"/>
        <w:ind w:left="720"/>
        <w:rPr>
          <w:rFonts w:ascii="Arial Black" w:hAnsi="Arial Black"/>
          <w:b/>
          <w:sz w:val="20"/>
          <w:szCs w:val="20"/>
        </w:rPr>
      </w:pPr>
    </w:p>
    <w:p w14:paraId="49D2F874" w14:textId="77777777" w:rsidR="001A5080" w:rsidRPr="002C5D98" w:rsidRDefault="001A5080" w:rsidP="001A5080">
      <w:pPr>
        <w:pStyle w:val="NoSpacing"/>
        <w:rPr>
          <w:rFonts w:ascii="Times New Roman" w:hAnsi="Times New Roman"/>
          <w:bCs/>
          <w:sz w:val="24"/>
          <w:szCs w:val="24"/>
          <w:u w:val="single"/>
        </w:rPr>
      </w:pPr>
      <w:r w:rsidRPr="00FB4C5F">
        <w:rPr>
          <w:rFonts w:ascii="Times New Roman" w:hAnsi="Times New Roman"/>
          <w:bCs/>
          <w:sz w:val="24"/>
          <w:szCs w:val="24"/>
        </w:rPr>
        <w:t>On Nov. 8</w:t>
      </w:r>
      <w:r>
        <w:rPr>
          <w:rFonts w:ascii="Times New Roman" w:hAnsi="Times New Roman"/>
          <w:bCs/>
          <w:sz w:val="24"/>
          <w:szCs w:val="24"/>
        </w:rPr>
        <w:t xml:space="preserve">, 2023, in </w:t>
      </w:r>
      <w:r w:rsidRPr="002C5D98">
        <w:rPr>
          <w:rFonts w:ascii="Times New Roman" w:hAnsi="Times New Roman"/>
          <w:bCs/>
          <w:sz w:val="24"/>
          <w:szCs w:val="24"/>
          <w:u w:val="single"/>
        </w:rPr>
        <w:t>Jayson Nicewarner, et al. v. The City of Morgantown</w:t>
      </w:r>
      <w:r w:rsidRPr="002C5D98">
        <w:rPr>
          <w:rFonts w:ascii="Times New Roman" w:hAnsi="Times New Roman"/>
          <w:bCs/>
          <w:sz w:val="24"/>
          <w:szCs w:val="24"/>
        </w:rPr>
        <w:t xml:space="preserve">, </w:t>
      </w:r>
      <w:r w:rsidRPr="00BB5C82">
        <w:rPr>
          <w:rFonts w:ascii="Times New Roman" w:hAnsi="Times New Roman"/>
          <w:bCs/>
          <w:sz w:val="24"/>
          <w:szCs w:val="24"/>
        </w:rPr>
        <w:t xml:space="preserve">the Supreme Court of Appeals of West Virginia, </w:t>
      </w:r>
      <w:r>
        <w:rPr>
          <w:rFonts w:ascii="Times New Roman" w:hAnsi="Times New Roman"/>
          <w:bCs/>
          <w:sz w:val="24"/>
          <w:szCs w:val="24"/>
        </w:rPr>
        <w:t xml:space="preserve">held (4 to 1) that Lieutenant Nicewarner (then President </w:t>
      </w:r>
      <w:proofErr w:type="spellStart"/>
      <w:r>
        <w:rPr>
          <w:rFonts w:ascii="Times New Roman" w:hAnsi="Times New Roman"/>
          <w:bCs/>
          <w:sz w:val="24"/>
          <w:szCs w:val="24"/>
        </w:rPr>
        <w:t>ofIAFF</w:t>
      </w:r>
      <w:proofErr w:type="spellEnd"/>
      <w:r>
        <w:rPr>
          <w:rFonts w:ascii="Times New Roman" w:hAnsi="Times New Roman"/>
          <w:bCs/>
          <w:sz w:val="24"/>
          <w:szCs w:val="24"/>
        </w:rPr>
        <w:t xml:space="preserve">  Local 313) and fifty-three other current and former firefighters are not entitled to 24-hours of comp time off when their </w:t>
      </w:r>
      <w:proofErr w:type="gramStart"/>
      <w:r>
        <w:rPr>
          <w:rFonts w:ascii="Times New Roman" w:hAnsi="Times New Roman"/>
          <w:bCs/>
          <w:sz w:val="24"/>
          <w:szCs w:val="24"/>
        </w:rPr>
        <w:t>24/48 hour</w:t>
      </w:r>
      <w:proofErr w:type="gramEnd"/>
      <w:r>
        <w:rPr>
          <w:rFonts w:ascii="Times New Roman" w:hAnsi="Times New Roman"/>
          <w:bCs/>
          <w:sz w:val="24"/>
          <w:szCs w:val="24"/>
        </w:rPr>
        <w:t xml:space="preserve"> shift includes a state or federal holiday.  The </w:t>
      </w:r>
      <w:proofErr w:type="gramStart"/>
      <w:r>
        <w:rPr>
          <w:rFonts w:ascii="Times New Roman" w:hAnsi="Times New Roman"/>
          <w:bCs/>
          <w:sz w:val="24"/>
          <w:szCs w:val="24"/>
        </w:rPr>
        <w:t>City</w:t>
      </w:r>
      <w:proofErr w:type="gramEnd"/>
      <w:r>
        <w:rPr>
          <w:rFonts w:ascii="Times New Roman" w:hAnsi="Times New Roman"/>
          <w:bCs/>
          <w:sz w:val="24"/>
          <w:szCs w:val="24"/>
        </w:rPr>
        <w:t xml:space="preserve"> has for 48 years, based on a State Attorney General opinion about 2004 statute, granted firefighters 12-hours of comp time; the union claimed they were entitled to 24 hours since they worked 24/48 shift (8 am one day to 8 am next day).  The WV Supreme Court disagreed with both, holding that under State statute firefighters only get equivalent time off for hours worked on that holiday day – not entire 24-hour shift.  The Court ordered City to recalculate for past five years under new </w:t>
      </w:r>
      <w:proofErr w:type="gramStart"/>
      <w:r>
        <w:rPr>
          <w:rFonts w:ascii="Times New Roman" w:hAnsi="Times New Roman"/>
          <w:bCs/>
          <w:sz w:val="24"/>
          <w:szCs w:val="24"/>
        </w:rPr>
        <w:t>standard</w:t>
      </w:r>
      <w:proofErr w:type="gramEnd"/>
      <w:r>
        <w:rPr>
          <w:rFonts w:ascii="Times New Roman" w:hAnsi="Times New Roman"/>
          <w:bCs/>
          <w:sz w:val="24"/>
          <w:szCs w:val="24"/>
        </w:rPr>
        <w:t xml:space="preserve">, including retired firefighters who may have lost vacation pay.  </w:t>
      </w:r>
      <w:hyperlink r:id="rId1731" w:history="1">
        <w:r w:rsidRPr="00553FEF">
          <w:rPr>
            <w:rStyle w:val="Hyperlink"/>
            <w:rFonts w:ascii="Times New Roman" w:hAnsi="Times New Roman"/>
            <w:bCs/>
            <w:sz w:val="24"/>
            <w:szCs w:val="24"/>
          </w:rPr>
          <w:t>http://www.courtswv.gov/supreme-court/docs/fall2023/22-0185-hutchison-p.pdf</w:t>
        </w:r>
      </w:hyperlink>
      <w:r>
        <w:rPr>
          <w:rFonts w:ascii="Times New Roman" w:hAnsi="Times New Roman"/>
          <w:bCs/>
          <w:sz w:val="24"/>
          <w:szCs w:val="24"/>
          <w:u w:val="single"/>
        </w:rPr>
        <w:t xml:space="preserve"> </w:t>
      </w:r>
    </w:p>
    <w:p w14:paraId="3D9250D5" w14:textId="77777777" w:rsidR="001A5080" w:rsidRDefault="001A5080" w:rsidP="001A5080">
      <w:pPr>
        <w:pStyle w:val="NoSpacing"/>
        <w:rPr>
          <w:rFonts w:ascii="Times New Roman" w:hAnsi="Times New Roman"/>
          <w:bCs/>
          <w:sz w:val="24"/>
          <w:szCs w:val="24"/>
        </w:rPr>
      </w:pPr>
    </w:p>
    <w:p w14:paraId="2CE7F65F" w14:textId="77777777" w:rsidR="00B32E9A" w:rsidRDefault="00B32E9A" w:rsidP="00B32E9A">
      <w:pPr>
        <w:pStyle w:val="NoSpacing"/>
        <w:rPr>
          <w:rFonts w:ascii="Times New Roman" w:hAnsi="Times New Roman"/>
          <w:b/>
          <w:sz w:val="24"/>
          <w:szCs w:val="24"/>
        </w:rPr>
      </w:pPr>
      <w:r w:rsidRPr="00D328B7">
        <w:rPr>
          <w:rFonts w:ascii="Times New Roman" w:hAnsi="Times New Roman"/>
          <w:b/>
          <w:sz w:val="24"/>
          <w:szCs w:val="24"/>
        </w:rPr>
        <w:t>Legal Lesson Learned</w:t>
      </w:r>
      <w:r>
        <w:rPr>
          <w:rFonts w:ascii="Times New Roman" w:hAnsi="Times New Roman"/>
          <w:b/>
          <w:sz w:val="24"/>
          <w:szCs w:val="24"/>
        </w:rPr>
        <w:t>:  The statute was not clear; both union and City had different interpretations and Court rejected both.</w:t>
      </w:r>
    </w:p>
    <w:p w14:paraId="1D77E3B1" w14:textId="77777777" w:rsidR="001A5080" w:rsidRDefault="001A5080" w:rsidP="00F326E5">
      <w:pPr>
        <w:rPr>
          <w:rFonts w:ascii="Arial Black" w:hAnsi="Arial Black"/>
          <w:b/>
          <w:sz w:val="24"/>
          <w:szCs w:val="24"/>
        </w:rPr>
      </w:pPr>
    </w:p>
    <w:p w14:paraId="4A0BB451" w14:textId="77777777" w:rsidR="001A5080" w:rsidRDefault="001A5080" w:rsidP="00F326E5">
      <w:pPr>
        <w:rPr>
          <w:rFonts w:ascii="Arial Black" w:hAnsi="Arial Black"/>
          <w:b/>
          <w:sz w:val="24"/>
          <w:szCs w:val="24"/>
        </w:rPr>
      </w:pPr>
    </w:p>
    <w:p w14:paraId="11F869C1" w14:textId="58AF8DC9" w:rsidR="00AC3E10" w:rsidRDefault="00AC3E10"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8</w:t>
      </w:r>
    </w:p>
    <w:p w14:paraId="4E09F5C4" w14:textId="77777777" w:rsidR="00AC3E10" w:rsidRPr="00AD671D" w:rsidRDefault="00AC3E10" w:rsidP="00AC3E10">
      <w:pPr>
        <w:pStyle w:val="NormalWeb"/>
        <w:rPr>
          <w:rFonts w:ascii="Arial Black" w:hAnsi="Arial Black"/>
          <w:b/>
          <w:bCs/>
          <w:sz w:val="28"/>
          <w:szCs w:val="28"/>
        </w:rPr>
      </w:pPr>
      <w:r>
        <w:rPr>
          <w:rFonts w:ascii="Arial Black" w:hAnsi="Arial Black"/>
          <w:b/>
          <w:bCs/>
          <w:sz w:val="28"/>
          <w:szCs w:val="28"/>
        </w:rPr>
        <w:t xml:space="preserve">NY: PRIVATE AMBULANCE CO. – CLASS ACTION BY 200 EMS – NOT PAID FOR PREP TIME – REQ. BUY THEIR UNIFORMS </w:t>
      </w:r>
    </w:p>
    <w:p w14:paraId="6F264474" w14:textId="77777777" w:rsidR="00AC3E10" w:rsidRDefault="00AC3E10" w:rsidP="00AC3E10">
      <w:pPr>
        <w:pStyle w:val="NormalWeb"/>
      </w:pPr>
      <w:r>
        <w:t xml:space="preserve">On Sept. 15, 2023, in </w:t>
      </w:r>
      <w:r w:rsidRPr="00704F94">
        <w:rPr>
          <w:u w:val="single"/>
        </w:rPr>
        <w:t>Tray Jackson, individually and on behalf of the proposed class v. Citywide Mobile Response Corp</w:t>
      </w:r>
      <w:r>
        <w:t>., Judge Fidel E. Gomez, New York Supreme Court, Bronx County, granted plaintiff’s motion to certify class action against the non-emergency ambulance company that has been in business for over 40 years.  Plaintiff EMT ($18 an hour in 2021 and 2022) alleges he would “clock in” prior to start of shift to check ambulance for supplies, and “clock out” after the schedule shift, but the company “rounded up” his start time and rounded down his end times.  The company also deducted from his pay the cost of his uniforms and tech bag in  amounts totaling $275-$400.</w:t>
      </w:r>
    </w:p>
    <w:p w14:paraId="2A1D17B1" w14:textId="77777777" w:rsidR="00AC3E10" w:rsidRDefault="00AC3E10" w:rsidP="00AC3E10">
      <w:pPr>
        <w:pStyle w:val="NormalWeb"/>
        <w:ind w:left="720"/>
      </w:pPr>
      <w:r>
        <w:t>“Here, with the affidavits by plaintiff, Alston and Lopez, which state that at the time of the alleged tortious practices on which the complaint is premised there were approximately 200 people employed by defendant, the record demonstrates that the size of the putative class is sufficient as a matter of law.</w:t>
      </w:r>
    </w:p>
    <w:p w14:paraId="3922BD63" w14:textId="77777777" w:rsidR="00AC3E10" w:rsidRDefault="00AC3E10" w:rsidP="00AC3E10">
      <w:pPr>
        <w:pStyle w:val="NormalWeb"/>
        <w:ind w:firstLine="720"/>
      </w:pPr>
      <w:r>
        <w:t>***</w:t>
      </w:r>
    </w:p>
    <w:p w14:paraId="4045BA54" w14:textId="04C861E0" w:rsidR="00AC3E10" w:rsidRPr="00AC3E10" w:rsidRDefault="00AC3E10" w:rsidP="00AC3E10">
      <w:pPr>
        <w:ind w:left="720"/>
        <w:rPr>
          <w:rFonts w:ascii="Times New Roman" w:hAnsi="Times New Roman"/>
          <w:b/>
          <w:sz w:val="24"/>
          <w:szCs w:val="24"/>
        </w:rPr>
      </w:pPr>
      <w:r w:rsidRPr="00AC3E10">
        <w:rPr>
          <w:rFonts w:ascii="Times New Roman" w:hAnsi="Times New Roman"/>
          <w:sz w:val="24"/>
          <w:szCs w:val="24"/>
        </w:rPr>
        <w:t xml:space="preserve">Here, the evidence demonstrates that there are three categories into which plaintiff's claims fit: whether defendant violated the law by failing to pay him appropriate wages; whether defendant violated the NYCRR by failing to reimburse plaintiff for uniform and equipment expenditures; and whether defendant violated the Labor Law by failing to provide him wage notices.” </w:t>
      </w:r>
      <w:hyperlink r:id="rId1732" w:history="1">
        <w:r w:rsidRPr="00AC3E10">
          <w:rPr>
            <w:rStyle w:val="Hyperlink"/>
            <w:rFonts w:ascii="Times New Roman" w:eastAsiaTheme="majorEastAsia" w:hAnsi="Times New Roman"/>
            <w:sz w:val="24"/>
            <w:szCs w:val="24"/>
          </w:rPr>
          <w:t>https://public.fastcase.com/ZZhmr5v9wN%2FXOe5IsQ%2FqD6h7oDGGEaQcvjGxXhP3wdarcxH65lzIz0WHpJ1071%2Fz6z3xzTYinPsWmKTOA4ARnDbKp9ycJPmOcwYRqStxafA%3D?utm_medium=email&amp;_hsmi=226712652&amp;_hsenc=p2ANqtz-</w:t>
        </w:r>
        <w:r w:rsidRPr="00AC3E10">
          <w:rPr>
            <w:rStyle w:val="Hyperlink"/>
            <w:rFonts w:ascii="Times New Roman" w:eastAsiaTheme="majorEastAsia" w:hAnsi="Times New Roman"/>
            <w:sz w:val="24"/>
            <w:szCs w:val="24"/>
          </w:rPr>
          <w:lastRenderedPageBreak/>
          <w:t>8kFbodM_yCEg50hGETq70Ew_rKe4r85tHeNoAUvaEorCUJWcIF_sSd3vzx7ykWUIs8vIjN-q4A8Aji78d1bSF2B0Xuvw&amp;utm_content=226712652&amp;utm_source=hs_email</w:t>
        </w:r>
      </w:hyperlink>
    </w:p>
    <w:p w14:paraId="63A00A85" w14:textId="77777777" w:rsidR="00AC3E10" w:rsidRPr="00747F58" w:rsidRDefault="00AC3E10" w:rsidP="00AC3E10">
      <w:pPr>
        <w:pStyle w:val="NormalWeb"/>
        <w:rPr>
          <w:b/>
          <w:bCs/>
        </w:rPr>
      </w:pPr>
      <w:r w:rsidRPr="00747F58">
        <w:rPr>
          <w:b/>
          <w:bCs/>
        </w:rPr>
        <w:t>Legal Lesson Learned:</w:t>
      </w:r>
      <w:r>
        <w:rPr>
          <w:b/>
          <w:bCs/>
        </w:rPr>
        <w:t xml:space="preserve"> This lawsuit will now proceed to pre-trial discovery. </w:t>
      </w:r>
    </w:p>
    <w:p w14:paraId="11E1666F" w14:textId="77777777" w:rsidR="00AC3E10" w:rsidRDefault="00AC3E10" w:rsidP="00F326E5">
      <w:pPr>
        <w:rPr>
          <w:rFonts w:ascii="Arial Black" w:hAnsi="Arial Black"/>
          <w:b/>
          <w:sz w:val="24"/>
          <w:szCs w:val="24"/>
        </w:rPr>
      </w:pPr>
    </w:p>
    <w:p w14:paraId="2782B6D3" w14:textId="0EE737E3" w:rsidR="009B0593" w:rsidRDefault="009B0593"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7</w:t>
      </w:r>
    </w:p>
    <w:p w14:paraId="46AB3787" w14:textId="77777777" w:rsidR="009B0593" w:rsidRDefault="009B0593" w:rsidP="009B0593">
      <w:pPr>
        <w:pStyle w:val="NormalWeb"/>
        <w:rPr>
          <w:rFonts w:ascii="Arial Black" w:hAnsi="Arial Black"/>
          <w:b/>
          <w:bCs/>
          <w:sz w:val="28"/>
          <w:szCs w:val="28"/>
        </w:rPr>
      </w:pPr>
      <w:r>
        <w:rPr>
          <w:rFonts w:ascii="Arial Black" w:hAnsi="Arial Black"/>
          <w:b/>
          <w:bCs/>
          <w:sz w:val="28"/>
          <w:szCs w:val="28"/>
        </w:rPr>
        <w:t>NY: FDNY EMS - 15 MIN PREP TIME – “CITYTIME” DIDN’T RECORD – JURY WILLFUL VIOL. – $17M - 2</w:t>
      </w:r>
      <w:r w:rsidRPr="007B3216">
        <w:rPr>
          <w:rFonts w:ascii="Arial Black" w:hAnsi="Arial Black"/>
          <w:b/>
          <w:bCs/>
          <w:sz w:val="28"/>
          <w:szCs w:val="28"/>
          <w:vertAlign w:val="superscript"/>
        </w:rPr>
        <w:t>nd</w:t>
      </w:r>
      <w:r>
        <w:rPr>
          <w:rFonts w:ascii="Arial Black" w:hAnsi="Arial Black"/>
          <w:b/>
          <w:bCs/>
          <w:sz w:val="28"/>
          <w:szCs w:val="28"/>
        </w:rPr>
        <w:t xml:space="preserve"> CIR UPHOLDS</w:t>
      </w:r>
    </w:p>
    <w:p w14:paraId="317E0D8F" w14:textId="77777777" w:rsidR="009B0593" w:rsidRDefault="009B0593" w:rsidP="009B0593">
      <w:pPr>
        <w:pStyle w:val="NormalWeb"/>
      </w:pPr>
      <w:r>
        <w:t xml:space="preserve">On Aug. 25, 2023, in </w:t>
      </w:r>
      <w:r w:rsidRPr="00FE512F">
        <w:rPr>
          <w:u w:val="single"/>
        </w:rPr>
        <w:t>Chaz Perry, et al. v. City of New York, New York Fire Department</w:t>
      </w:r>
      <w:r>
        <w:t xml:space="preserve">, the U.S. Court of Appeals for Second Circuit (NYC) held (3 to 0) that jury, after a 12-day trial (six and half years after lawsuit was filed), properly found a willful violation of the FLSA in a class action by 2,519 EMS.   The </w:t>
      </w:r>
      <w:proofErr w:type="gramStart"/>
      <w:r>
        <w:t>City</w:t>
      </w:r>
      <w:proofErr w:type="gramEnd"/>
      <w:r>
        <w:t xml:space="preserve"> required EMS to work 8-hour shifts, and earn overtime after 40 hours, but City did not pay them for pre-shift or post-shift time unless EMS specifically requested this (not done 99% of time).  During the trial, two senior FDNY supervisors testified that plaintiffs were not permitted to request overtime for such pre-shift work as checking PPE and equipment. The plaintiffs calculated unpaid overtime damages as 15 minutes per shift. Court rejected the City’s argument on appeal that time pre-shift and post-shift work was “de minimis” and thus not worthy of compensation. The $17,780.063 verdict is allocated as follows – backpay $7,238,513; same amount in liquidated damages for willful violation of FLSA; $3,303,037 in attorneys’ fee.  </w:t>
      </w:r>
    </w:p>
    <w:p w14:paraId="4BDB06C8" w14:textId="77777777" w:rsidR="009B0593" w:rsidRDefault="009B0593" w:rsidP="009B0593">
      <w:pPr>
        <w:pStyle w:val="NormalWeb"/>
      </w:pPr>
      <w:r>
        <w:tab/>
        <w:t xml:space="preserve">The Court held: </w:t>
      </w:r>
      <w:r>
        <w:tab/>
      </w:r>
    </w:p>
    <w:p w14:paraId="2CA00CB6" w14:textId="77777777" w:rsidR="009B0593" w:rsidRDefault="009B0593" w:rsidP="009B0593">
      <w:pPr>
        <w:pStyle w:val="NormalWeb"/>
        <w:ind w:left="720"/>
      </w:pPr>
      <w:r>
        <w:t>“The City’s principal argument on appeal is that it cannot be held liable for the unpaid overtime because it affords an opportunity to report overtime work and, since the plaintiffs failed to report the work at issue, the City did not know that any plaintiff was being short-changed. But an employer must pay for all work it knows about or requires, even if the employee does not specifically request compensation for it. Whether an employee reports overtime work will often be relevant to an employer’s knowledge of the work—but allowing, or even requiring, an employee to report overtime work does not absolve employers of the obligation to compensate for work they suffer or permit.</w:t>
      </w:r>
    </w:p>
    <w:p w14:paraId="131464BB" w14:textId="77777777" w:rsidR="009B0593" w:rsidRDefault="009B0593" w:rsidP="009B0593">
      <w:pPr>
        <w:pStyle w:val="NormalWeb"/>
        <w:ind w:left="720"/>
      </w:pPr>
      <w:r>
        <w:t xml:space="preserve">*** </w:t>
      </w:r>
    </w:p>
    <w:p w14:paraId="10691FC5" w14:textId="77777777" w:rsidR="009B0593" w:rsidRDefault="009B0593" w:rsidP="009B0593">
      <w:pPr>
        <w:pStyle w:val="NormalWeb"/>
        <w:ind w:left="720"/>
      </w:pPr>
      <w:r>
        <w:t xml:space="preserve">[W]e </w:t>
      </w:r>
      <w:proofErr w:type="gramStart"/>
      <w:r>
        <w:t>have</w:t>
      </w:r>
      <w:proofErr w:type="gramEnd"/>
      <w:r>
        <w:t xml:space="preserve"> long recognized that an employee’s failure to report work the employer in fact knew about or required does not protect the employer from FLSA liability… In any wage-and-hour regulatory scheme, somebody must bear ultimate responsibility for recording time worked and for ensuring that payment is made.</w:t>
      </w:r>
    </w:p>
    <w:p w14:paraId="2BF48722" w14:textId="77777777" w:rsidR="009B0593" w:rsidRDefault="009B0593" w:rsidP="009B0593">
      <w:pPr>
        <w:pStyle w:val="NormalWeb"/>
        <w:ind w:left="720"/>
      </w:pPr>
      <w:r>
        <w:t>***</w:t>
      </w:r>
    </w:p>
    <w:p w14:paraId="13E80241" w14:textId="5EF0F087" w:rsidR="009B0593" w:rsidRPr="009B0593" w:rsidRDefault="009B0593" w:rsidP="009B0593">
      <w:pPr>
        <w:ind w:left="720"/>
        <w:rPr>
          <w:rFonts w:ascii="Times New Roman" w:hAnsi="Times New Roman"/>
          <w:b/>
          <w:sz w:val="24"/>
          <w:szCs w:val="24"/>
        </w:rPr>
      </w:pPr>
      <w:r w:rsidRPr="009B0593">
        <w:rPr>
          <w:rFonts w:ascii="Times New Roman" w:hAnsi="Times New Roman"/>
          <w:sz w:val="24"/>
          <w:szCs w:val="24"/>
        </w:rPr>
        <w:t xml:space="preserve">In sum, there is trial evidence that the </w:t>
      </w:r>
      <w:proofErr w:type="gramStart"/>
      <w:r w:rsidRPr="009B0593">
        <w:rPr>
          <w:rFonts w:ascii="Times New Roman" w:hAnsi="Times New Roman"/>
          <w:sz w:val="24"/>
          <w:szCs w:val="24"/>
        </w:rPr>
        <w:t>City</w:t>
      </w:r>
      <w:proofErr w:type="gramEnd"/>
      <w:r w:rsidRPr="009B0593">
        <w:rPr>
          <w:rFonts w:ascii="Times New Roman" w:hAnsi="Times New Roman"/>
          <w:sz w:val="24"/>
          <w:szCs w:val="24"/>
        </w:rPr>
        <w:t xml:space="preserve"> created a job that requires significant preparation to be done properly; it then also required that plaintiffs be ready to go as soon as possible after the start of their shift. The City issued formal regulations and enforced informal expectations </w:t>
      </w:r>
      <w:proofErr w:type="gramStart"/>
      <w:r w:rsidRPr="009B0593">
        <w:rPr>
          <w:rFonts w:ascii="Times New Roman" w:hAnsi="Times New Roman"/>
          <w:sz w:val="24"/>
          <w:szCs w:val="24"/>
        </w:rPr>
        <w:t>to</w:t>
      </w:r>
      <w:proofErr w:type="gramEnd"/>
      <w:r w:rsidRPr="009B0593">
        <w:rPr>
          <w:rFonts w:ascii="Times New Roman" w:hAnsi="Times New Roman"/>
          <w:sz w:val="24"/>
          <w:szCs w:val="24"/>
        </w:rPr>
        <w:t xml:space="preserve"> that effect. Testimony showed that it was essentially impossible to comply with the City’s demands without starting work before the paid shift. Considering the evidence in the light most favorable to the plaintiffs, the jury had a legally sufficient evidentiary basis for concluding that the City maintained a policy or practice of ‘requiring’ plaintiffs to perform compensable, pre-shift work for which they were not automatically </w:t>
      </w:r>
      <w:r w:rsidRPr="009B0593">
        <w:rPr>
          <w:rFonts w:ascii="Times New Roman" w:hAnsi="Times New Roman"/>
          <w:sz w:val="24"/>
          <w:szCs w:val="24"/>
        </w:rPr>
        <w:lastRenderedPageBreak/>
        <w:t xml:space="preserve">paid.” </w:t>
      </w:r>
      <w:hyperlink r:id="rId1733" w:anchor="xml=https://www.ca2.uscourts.gov/decisions/isysquery/8e9e3763-33d2-40e3-8df3-c0e92234493d/2/hilite/" w:history="1">
        <w:r w:rsidRPr="009B0593">
          <w:rPr>
            <w:rStyle w:val="Hyperlink"/>
            <w:rFonts w:ascii="Times New Roman" w:eastAsiaTheme="majorEastAsia" w:hAnsi="Times New Roman"/>
            <w:sz w:val="24"/>
            <w:szCs w:val="24"/>
          </w:rPr>
          <w:t>https://www.ca2.uscourts.gov/decisions/isysquery/8e9e3763-33d2-40e3-8df3-c0e92234493d/2/doc/21-2095_opn.pdf#xml=https://www.ca2.uscourts.gov/decisions/isysquery/8e9e3763-33d2-40e3-8df3-c0e92234493d/2/hilite/</w:t>
        </w:r>
      </w:hyperlink>
    </w:p>
    <w:p w14:paraId="145B77C2" w14:textId="77777777" w:rsidR="009B0593" w:rsidRPr="006126EA" w:rsidRDefault="009B0593" w:rsidP="009B0593">
      <w:pPr>
        <w:pStyle w:val="NormalWeb"/>
        <w:rPr>
          <w:b/>
          <w:bCs/>
        </w:rPr>
      </w:pPr>
      <w:r w:rsidRPr="006126EA">
        <w:rPr>
          <w:b/>
          <w:bCs/>
        </w:rPr>
        <w:t>Legal Lesson Learned:</w:t>
      </w:r>
      <w:r>
        <w:rPr>
          <w:b/>
          <w:bCs/>
        </w:rPr>
        <w:t xml:space="preserve"> FDs should provide in their FLSA policy or CBA what pre-shift and post-shift activities will be compensated and have a time keeping system that implements that policy.  </w:t>
      </w:r>
    </w:p>
    <w:p w14:paraId="642A508A" w14:textId="77777777" w:rsidR="009B0593" w:rsidRDefault="009B0593" w:rsidP="00F326E5">
      <w:pPr>
        <w:rPr>
          <w:rFonts w:ascii="Arial Black" w:hAnsi="Arial Black"/>
          <w:b/>
          <w:sz w:val="24"/>
          <w:szCs w:val="24"/>
        </w:rPr>
      </w:pPr>
    </w:p>
    <w:p w14:paraId="0B79086B" w14:textId="3A1E7619" w:rsidR="00237599" w:rsidRDefault="00237599"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6</w:t>
      </w:r>
    </w:p>
    <w:p w14:paraId="3355BC80" w14:textId="77777777" w:rsidR="00237599" w:rsidRPr="00E9542D" w:rsidRDefault="00237599" w:rsidP="00237599">
      <w:pPr>
        <w:spacing w:before="100" w:beforeAutospacing="1" w:after="100" w:afterAutospacing="1" w:line="240" w:lineRule="auto"/>
        <w:outlineLvl w:val="0"/>
        <w:rPr>
          <w:rFonts w:ascii="Arial Black" w:hAnsi="Arial Black"/>
          <w:sz w:val="28"/>
          <w:szCs w:val="28"/>
        </w:rPr>
      </w:pPr>
      <w:bookmarkStart w:id="382" w:name="_Hlk136860229"/>
      <w:r>
        <w:rPr>
          <w:rFonts w:ascii="Arial Black" w:hAnsi="Arial Black"/>
          <w:sz w:val="28"/>
          <w:szCs w:val="28"/>
        </w:rPr>
        <w:t xml:space="preserve">OR: FLSA – COMPANY CONTRACTS TO PROVIDE FOREST FIRE PERSONNEL - NOT “INDEPENDENT CONTRACTORS” </w:t>
      </w:r>
    </w:p>
    <w:bookmarkEnd w:id="382"/>
    <w:p w14:paraId="7B2D4A38" w14:textId="77777777" w:rsidR="00237599" w:rsidRDefault="00237599" w:rsidP="00237599">
      <w:pPr>
        <w:spacing w:before="100" w:beforeAutospacing="1" w:after="100" w:afterAutospacing="1" w:line="240" w:lineRule="auto"/>
        <w:outlineLvl w:val="0"/>
        <w:rPr>
          <w:rFonts w:ascii="Times New Roman" w:hAnsi="Times New Roman"/>
          <w:sz w:val="24"/>
          <w:szCs w:val="24"/>
        </w:rPr>
      </w:pPr>
      <w:r>
        <w:rPr>
          <w:rFonts w:ascii="Times New Roman" w:hAnsi="Times New Roman"/>
          <w:sz w:val="24"/>
          <w:szCs w:val="24"/>
        </w:rPr>
        <w:t xml:space="preserve">On May 24, 2023, the U.S. Department of Labor, Wage and Hour Division, determined that the private company, under contract with U.S. Forest Service to fight forest fires in Oregon, Arizona, California and Washington, should have paid the firefighters and truck drivers for overtime after 40 hours.  Instead, they were paid between $200 and $250 per day regardless of overtime hours worked.  The company has now settled for $180,00, including $152,003 in overtime wages and fringe benefits, plus $12,577 in liquidated damages, and $16,981 in civil penalties; individual firefighters received from $101 to $14,783 per worker. </w:t>
      </w:r>
    </w:p>
    <w:p w14:paraId="138550BD" w14:textId="77777777" w:rsidR="00237599" w:rsidRDefault="00237599" w:rsidP="00237599">
      <w:pPr>
        <w:spacing w:before="100" w:beforeAutospacing="1" w:after="100" w:afterAutospacing="1" w:line="240" w:lineRule="auto"/>
        <w:ind w:left="720"/>
        <w:outlineLvl w:val="0"/>
        <w:rPr>
          <w:rStyle w:val="Hyperlink"/>
          <w:rFonts w:ascii="Times New Roman" w:hAnsi="Times New Roman"/>
          <w:sz w:val="24"/>
          <w:szCs w:val="24"/>
        </w:rPr>
      </w:pPr>
      <w:r>
        <w:rPr>
          <w:rFonts w:ascii="Times New Roman" w:hAnsi="Times New Roman"/>
          <w:sz w:val="24"/>
          <w:szCs w:val="24"/>
        </w:rPr>
        <w:t>“</w:t>
      </w:r>
      <w:r w:rsidRPr="00974C20">
        <w:rPr>
          <w:rFonts w:ascii="Times New Roman" w:hAnsi="Times New Roman"/>
          <w:sz w:val="24"/>
          <w:szCs w:val="24"/>
        </w:rPr>
        <w:t xml:space="preserve">Investigators with the department’s </w:t>
      </w:r>
      <w:hyperlink r:id="rId1734" w:history="1">
        <w:r w:rsidRPr="00974C20">
          <w:rPr>
            <w:rStyle w:val="Hyperlink"/>
            <w:rFonts w:ascii="Times New Roman" w:hAnsi="Times New Roman"/>
            <w:sz w:val="24"/>
            <w:szCs w:val="24"/>
          </w:rPr>
          <w:t>Wage and Hour Division</w:t>
        </w:r>
      </w:hyperlink>
      <w:r w:rsidRPr="00974C20">
        <w:rPr>
          <w:rFonts w:ascii="Times New Roman" w:hAnsi="Times New Roman"/>
          <w:sz w:val="24"/>
          <w:szCs w:val="24"/>
        </w:rPr>
        <w:t xml:space="preserve"> determined KL Farms/Fire LLC of Summerville paid a flat daily rate of between $200 and $250 to 57 firefighters and truck drivers, regardless of their total hours worked. From June 2019 through October 2021, the U.S. Forest Service contracted the company to provide fire engines, firefighters, trucks and driver services for fire suppression and firefighting in Arizona, California, Oregon and Washington.</w:t>
      </w:r>
      <w:r>
        <w:rPr>
          <w:rFonts w:ascii="Times New Roman" w:hAnsi="Times New Roman"/>
          <w:sz w:val="24"/>
          <w:szCs w:val="24"/>
        </w:rPr>
        <w:t xml:space="preserve">” </w:t>
      </w:r>
      <w:hyperlink r:id="rId1735" w:history="1">
        <w:r w:rsidRPr="00BD4D8D">
          <w:rPr>
            <w:rStyle w:val="Hyperlink"/>
            <w:rFonts w:ascii="Times New Roman" w:hAnsi="Times New Roman"/>
            <w:sz w:val="24"/>
            <w:szCs w:val="24"/>
          </w:rPr>
          <w:t>https://www.dol.gov/newsroom/releases/whd/whd20230524-0</w:t>
        </w:r>
      </w:hyperlink>
    </w:p>
    <w:p w14:paraId="0F0BA9A8" w14:textId="77777777" w:rsidR="00237599" w:rsidRPr="00974C20" w:rsidRDefault="00237599" w:rsidP="00237599">
      <w:pPr>
        <w:spacing w:before="100" w:beforeAutospacing="1" w:after="100" w:afterAutospacing="1" w:line="240" w:lineRule="auto"/>
        <w:outlineLvl w:val="0"/>
        <w:rPr>
          <w:rFonts w:ascii="Times New Roman" w:eastAsia="Times New Roman" w:hAnsi="Times New Roman"/>
          <w:b/>
          <w:bCs/>
          <w:kern w:val="36"/>
          <w:sz w:val="24"/>
          <w:szCs w:val="24"/>
        </w:rPr>
      </w:pPr>
      <w:r w:rsidRPr="00974C20">
        <w:rPr>
          <w:rFonts w:ascii="Times New Roman" w:hAnsi="Times New Roman"/>
          <w:b/>
          <w:bCs/>
          <w:sz w:val="24"/>
          <w:szCs w:val="24"/>
        </w:rPr>
        <w:t xml:space="preserve">Legal Lesson Learned: </w:t>
      </w:r>
      <w:r>
        <w:rPr>
          <w:rFonts w:ascii="Times New Roman" w:hAnsi="Times New Roman"/>
          <w:b/>
          <w:bCs/>
          <w:sz w:val="24"/>
          <w:szCs w:val="24"/>
        </w:rPr>
        <w:t xml:space="preserve">Miscalculation of workers as independent contractors is a common issue. Read the Wage and Hour advisory: </w:t>
      </w:r>
      <w:hyperlink r:id="rId1736" w:history="1">
        <w:r w:rsidRPr="00BD4D8D">
          <w:rPr>
            <w:rStyle w:val="Hyperlink"/>
            <w:rFonts w:ascii="Times New Roman" w:hAnsi="Times New Roman"/>
            <w:b/>
            <w:bCs/>
            <w:sz w:val="24"/>
            <w:szCs w:val="24"/>
          </w:rPr>
          <w:t>https://www.dol.gov/agencies/whd/flsa/misclassification</w:t>
        </w:r>
      </w:hyperlink>
      <w:r>
        <w:rPr>
          <w:rFonts w:ascii="Times New Roman" w:hAnsi="Times New Roman"/>
          <w:b/>
          <w:bCs/>
          <w:sz w:val="24"/>
          <w:szCs w:val="24"/>
        </w:rPr>
        <w:t xml:space="preserve"> . </w:t>
      </w:r>
    </w:p>
    <w:p w14:paraId="4D784FFF" w14:textId="77777777" w:rsidR="00237599" w:rsidRPr="009D31B3" w:rsidRDefault="00237599" w:rsidP="00237599">
      <w:pPr>
        <w:pStyle w:val="Heading1"/>
        <w:ind w:left="720"/>
        <w:rPr>
          <w:b w:val="0"/>
          <w:bCs w:val="0"/>
          <w:sz w:val="24"/>
          <w:szCs w:val="24"/>
        </w:rPr>
      </w:pPr>
      <w:r w:rsidRPr="00974C20">
        <w:rPr>
          <w:b w:val="0"/>
          <w:bCs w:val="0"/>
          <w:sz w:val="24"/>
          <w:szCs w:val="24"/>
        </w:rPr>
        <w:t xml:space="preserve">Note: See May 28, </w:t>
      </w:r>
      <w:proofErr w:type="gramStart"/>
      <w:r w:rsidRPr="00974C20">
        <w:rPr>
          <w:b w:val="0"/>
          <w:bCs w:val="0"/>
          <w:sz w:val="24"/>
          <w:szCs w:val="24"/>
        </w:rPr>
        <w:t>2023</w:t>
      </w:r>
      <w:proofErr w:type="gramEnd"/>
      <w:r w:rsidRPr="00974C20">
        <w:rPr>
          <w:b w:val="0"/>
          <w:bCs w:val="0"/>
          <w:sz w:val="24"/>
          <w:szCs w:val="24"/>
        </w:rPr>
        <w:t xml:space="preserve"> article, “Private Oregon firefighting company fined $180K after US Dept. of Labor investigation.” </w:t>
      </w:r>
      <w:hyperlink r:id="rId1737" w:history="1">
        <w:r w:rsidRPr="00974C20">
          <w:rPr>
            <w:rStyle w:val="Hyperlink"/>
            <w:rFonts w:eastAsiaTheme="majorEastAsia"/>
            <w:b w:val="0"/>
            <w:bCs w:val="0"/>
            <w:sz w:val="24"/>
            <w:szCs w:val="24"/>
          </w:rPr>
          <w:t>https://www.opb.org/article/2023/05/28/private-oregon-firefighting-company-fined-180000-dollars-after-us-labor-investigation/</w:t>
        </w:r>
      </w:hyperlink>
      <w:r w:rsidRPr="00974C20">
        <w:rPr>
          <w:b w:val="0"/>
          <w:bCs w:val="0"/>
          <w:sz w:val="24"/>
          <w:szCs w:val="24"/>
        </w:rPr>
        <w:t xml:space="preserve"> </w:t>
      </w:r>
      <w:r w:rsidRPr="009D31B3">
        <w:rPr>
          <w:b w:val="0"/>
          <w:bCs w:val="0"/>
          <w:sz w:val="24"/>
          <w:szCs w:val="24"/>
        </w:rPr>
        <w:t xml:space="preserve">“Investigators use a multi-prong test to determine whether contractors </w:t>
      </w:r>
      <w:proofErr w:type="gramStart"/>
      <w:r w:rsidRPr="009D31B3">
        <w:rPr>
          <w:b w:val="0"/>
          <w:bCs w:val="0"/>
          <w:sz w:val="24"/>
          <w:szCs w:val="24"/>
        </w:rPr>
        <w:t>actually qualify</w:t>
      </w:r>
      <w:proofErr w:type="gramEnd"/>
      <w:r w:rsidRPr="009D31B3">
        <w:rPr>
          <w:b w:val="0"/>
          <w:bCs w:val="0"/>
          <w:sz w:val="24"/>
          <w:szCs w:val="24"/>
        </w:rPr>
        <w:t xml:space="preserve"> as employees, said Carrie Aguilar, director of the Department of Labor’s Wage and Hour Division in Portland…. But Aguilar did say that wage issues are part of a growing trend in the private firefighting business. It’s </w:t>
      </w:r>
      <w:proofErr w:type="gramStart"/>
      <w:r w:rsidRPr="009D31B3">
        <w:rPr>
          <w:b w:val="0"/>
          <w:bCs w:val="0"/>
          <w:sz w:val="24"/>
          <w:szCs w:val="24"/>
        </w:rPr>
        <w:t>similar to</w:t>
      </w:r>
      <w:proofErr w:type="gramEnd"/>
      <w:r w:rsidRPr="009D31B3">
        <w:rPr>
          <w:b w:val="0"/>
          <w:bCs w:val="0"/>
          <w:sz w:val="24"/>
          <w:szCs w:val="24"/>
        </w:rPr>
        <w:t xml:space="preserve"> forestry, she said, which struggles with these issues.”</w:t>
      </w:r>
    </w:p>
    <w:p w14:paraId="47706D5D" w14:textId="7256BB2F" w:rsidR="00237599" w:rsidRDefault="00237599" w:rsidP="00237599">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5</w:t>
      </w:r>
    </w:p>
    <w:p w14:paraId="32D2C887" w14:textId="77777777" w:rsidR="00237599" w:rsidRDefault="00237599" w:rsidP="00237599">
      <w:pPr>
        <w:pStyle w:val="NormalWeb"/>
        <w:rPr>
          <w:rFonts w:ascii="Arial Black" w:hAnsi="Arial Black"/>
          <w:b/>
          <w:bCs/>
          <w:sz w:val="28"/>
          <w:szCs w:val="28"/>
        </w:rPr>
      </w:pPr>
      <w:bookmarkStart w:id="383" w:name="_Hlk136860302"/>
      <w:r>
        <w:rPr>
          <w:rFonts w:ascii="Arial Black" w:hAnsi="Arial Black"/>
          <w:b/>
          <w:bCs/>
          <w:sz w:val="28"/>
          <w:szCs w:val="28"/>
        </w:rPr>
        <w:t>HA: FLSA – HONOLULU FF CLASS ACTION PROCEED – 300 FF – ALLEGED ERRORS MULTIPLE SYSTEMS TRACK TIME</w:t>
      </w:r>
    </w:p>
    <w:bookmarkEnd w:id="383"/>
    <w:p w14:paraId="5B63BBE8" w14:textId="77777777" w:rsidR="00237599" w:rsidRDefault="00237599" w:rsidP="00237599">
      <w:pPr>
        <w:pStyle w:val="NormalWeb"/>
      </w:pPr>
      <w:r>
        <w:t xml:space="preserve">On April 28, 2023, in </w:t>
      </w:r>
      <w:r w:rsidRPr="0050374A">
        <w:rPr>
          <w:u w:val="single"/>
        </w:rPr>
        <w:t>Robert M. Hayslip, on behalf of other similarly situated individuals v. City and County of Honolulu</w:t>
      </w:r>
      <w:r>
        <w:t xml:space="preserve">, Chief U.S. District Court Judge Derrick K. Watson, U.S. District Court for District of Hawaii, granted the plaintiff’s motion for conditional certification of collective action.  The case will now proceed to </w:t>
      </w:r>
      <w:r>
        <w:lastRenderedPageBreak/>
        <w:t xml:space="preserve">pre-trial discovery on firefighter income that is allegedly not included in setting their overtime hourly rate of pay.  Hayslip alleges that the failure to pay overtime under the FLSA was due to ‘human and mechanical error through the use of multiple systems to track time.”  </w:t>
      </w:r>
      <w:hyperlink r:id="rId1738" w:history="1">
        <w:r w:rsidRPr="00010962">
          <w:rPr>
            <w:rStyle w:val="Hyperlink"/>
            <w:rFonts w:eastAsiaTheme="majorEastAsia"/>
          </w:rPr>
          <w:t>https://public.fastcase.com/ZZhmr5v9wN%2FXOe5IsQ%2FqDwe%2Bl2bMb8hsQzBhmq%2BKFWjfsnc%2Brn1NgeRpqQFDQ7VnnNgPvPdQabSyR0vz9Y1rYYCnr8USzlwvvvJ%2BE3sgG14%3D?utm_medium=email&amp;_hsmi=226712652&amp;_hsenc=p2ANqtz-9yLx0aoJRhvv2Vy8uTc7HU3fN6k1djWwCn0_TOB1MuUA7MVtIjTAZu2eDX0z4FTqDgKj_XXmkUdS-aKvCM9lVim5p6Eg&amp;utm_content=226712652&amp;utm_source=hs_email</w:t>
        </w:r>
      </w:hyperlink>
      <w:r>
        <w:t xml:space="preserve"> </w:t>
      </w:r>
    </w:p>
    <w:p w14:paraId="76A153BD" w14:textId="77777777" w:rsidR="00237599" w:rsidRDefault="00237599" w:rsidP="00237599">
      <w:pPr>
        <w:pStyle w:val="NormalWeb"/>
        <w:ind w:left="720"/>
      </w:pPr>
      <w:r>
        <w:t xml:space="preserve">“Plaintiff Robert Hayslip moves for conditional certification of a collective action comprised of emergency medical technicians and paramedics employed by Defendant City &amp; County of Honolulu (Honolulu), alleging that Honolulu has failed to properly calculate this group's ‘regular rate’ of pay or pay overtime as required by the Fair Labor Standards Act (FLSA). At the instant ‘preliminary’ stage of the litigation, as both parties acknowledge, the standard for certifying such a collective action under the FLSA is less than demanding. And, here, Hayslip has met this less than demanding standard. Specifically, Hayslip has alleged that the above-mentioned group is sufficiently ‘similarly situated’ with respect to the FLSA claims at issue. Therefore, the motion for conditional certification, </w:t>
      </w:r>
      <w:proofErr w:type="spellStart"/>
      <w:r>
        <w:t>Dkt</w:t>
      </w:r>
      <w:proofErr w:type="spellEnd"/>
      <w:r>
        <w:t xml:space="preserve">. </w:t>
      </w:r>
      <w:proofErr w:type="gramStart"/>
      <w:r>
        <w:t>No. 26,</w:t>
      </w:r>
      <w:proofErr w:type="gramEnd"/>
      <w:r>
        <w:t xml:space="preserve"> is GRANTED to that extent. Hayslip also moves for approval of a notice to be sent to potential members of the now conditionally certified collective action. Honolulu, however, has submitted an opposing proposed notice. As more fully explained below, the Court orders the parties to meet-and-confer on the same with the goal of submitting a </w:t>
      </w:r>
      <w:r>
        <w:rPr>
          <w:rStyle w:val="Emphasis"/>
        </w:rPr>
        <w:t>joint</w:t>
      </w:r>
      <w:r>
        <w:t xml:space="preserve"> proposed notice to the extent </w:t>
      </w:r>
      <w:proofErr w:type="gramStart"/>
      <w:r>
        <w:t>possible.”</w:t>
      </w:r>
      <w:proofErr w:type="gramEnd"/>
      <w:r>
        <w:t xml:space="preserve">  </w:t>
      </w:r>
    </w:p>
    <w:p w14:paraId="43706B8C" w14:textId="77777777" w:rsidR="00237599" w:rsidRPr="00003BCF" w:rsidRDefault="00237599" w:rsidP="00237599">
      <w:pPr>
        <w:pStyle w:val="NormalWeb"/>
        <w:rPr>
          <w:b/>
          <w:bCs/>
        </w:rPr>
      </w:pPr>
      <w:r w:rsidRPr="00003BCF">
        <w:rPr>
          <w:b/>
          <w:bCs/>
        </w:rPr>
        <w:t>Legal Lesson Learned:</w:t>
      </w:r>
      <w:r>
        <w:rPr>
          <w:b/>
          <w:bCs/>
        </w:rPr>
        <w:t xml:space="preserve"> Errors in tracking overtime can lead to FLSA litigation.</w:t>
      </w:r>
    </w:p>
    <w:p w14:paraId="4ADAA8D5" w14:textId="77777777" w:rsidR="00237599" w:rsidRPr="00317783" w:rsidRDefault="00237599" w:rsidP="00237599">
      <w:pPr>
        <w:pStyle w:val="NormalWeb"/>
        <w:ind w:left="720"/>
        <w:rPr>
          <w:rStyle w:val="markedcontent"/>
        </w:rPr>
      </w:pPr>
      <w:r w:rsidRPr="00003BCF">
        <w:t xml:space="preserve">Note: </w:t>
      </w:r>
      <w:r>
        <w:t>The Court referenced a “less than demanding standard” in determining what other employees are “similarly situations” and get the invitation to join in the class action. This “less than demanding” standard has been recently rejected by 6</w:t>
      </w:r>
      <w:r w:rsidRPr="00C33BAA">
        <w:rPr>
          <w:vertAlign w:val="superscript"/>
        </w:rPr>
        <w:t>th</w:t>
      </w:r>
      <w:r>
        <w:t xml:space="preserve"> Circuit Court of Appeals, </w:t>
      </w:r>
      <w:proofErr w:type="gramStart"/>
      <w:r>
        <w:t>and also</w:t>
      </w:r>
      <w:proofErr w:type="gramEnd"/>
      <w:r>
        <w:t xml:space="preserve"> 5</w:t>
      </w:r>
      <w:r w:rsidRPr="00C33BAA">
        <w:rPr>
          <w:vertAlign w:val="superscript"/>
        </w:rPr>
        <w:t>th</w:t>
      </w:r>
      <w:r>
        <w:t xml:space="preserve"> Circuit. </w:t>
      </w:r>
      <w:r w:rsidRPr="00482E40">
        <w:t xml:space="preserve">On May 19, 2023, in </w:t>
      </w:r>
      <w:r w:rsidRPr="00482E40">
        <w:rPr>
          <w:u w:val="single"/>
        </w:rPr>
        <w:t>Brooke Clark, et al. v. H&amp;L Homecare and Training Center, LLC et al</w:t>
      </w:r>
      <w:r>
        <w:t>., the U.S. Court of Appeals for the 6</w:t>
      </w:r>
      <w:r w:rsidRPr="00482E40">
        <w:rPr>
          <w:vertAlign w:val="superscript"/>
        </w:rPr>
        <w:t>th</w:t>
      </w:r>
      <w:r>
        <w:t xml:space="preserve"> Circuit (Cincinnati) held (2 to 1) that U.S. District Court judges in states controlled by the Court </w:t>
      </w:r>
      <w:r w:rsidRPr="00482E40">
        <w:t>(</w:t>
      </w:r>
      <w:r w:rsidRPr="00482E40">
        <w:rPr>
          <w:rStyle w:val="hgkelc"/>
          <w:lang w:val="en"/>
        </w:rPr>
        <w:t>Kentucky, Michigan, Ohio and Tennessee)</w:t>
      </w:r>
      <w:r>
        <w:rPr>
          <w:rStyle w:val="hgkelc"/>
          <w:b/>
          <w:bCs/>
          <w:lang w:val="en"/>
        </w:rPr>
        <w:t xml:space="preserve"> </w:t>
      </w:r>
      <w:r>
        <w:rPr>
          <w:rStyle w:val="hgkelc"/>
          <w:lang w:val="en"/>
        </w:rPr>
        <w:t xml:space="preserve">must apply a tougher “strong likelihood” standard when deciding which employees are “similarly situated” with plaintiffs and invited to join in a FLSA class action against the employers. </w:t>
      </w:r>
      <w:hyperlink r:id="rId1739" w:history="1">
        <w:r w:rsidRPr="009943CA">
          <w:rPr>
            <w:rStyle w:val="Hyperlink"/>
            <w:rFonts w:eastAsiaTheme="majorEastAsia"/>
          </w:rPr>
          <w:t>https://cases.justia.com/federal/appellate-courts/ca6/22-3101/22-3101-2023-05-19.pdf?ts=1684526463</w:t>
        </w:r>
      </w:hyperlink>
    </w:p>
    <w:p w14:paraId="418BDE74" w14:textId="77777777" w:rsidR="00237599" w:rsidRPr="00C86D96" w:rsidRDefault="00237599" w:rsidP="00237599">
      <w:pPr>
        <w:pStyle w:val="Heading1"/>
        <w:ind w:left="720"/>
        <w:rPr>
          <w:rStyle w:val="markedcontent"/>
          <w:b w:val="0"/>
          <w:bCs w:val="0"/>
          <w:sz w:val="24"/>
          <w:szCs w:val="24"/>
        </w:rPr>
      </w:pPr>
      <w:r w:rsidRPr="00C86D96">
        <w:rPr>
          <w:rStyle w:val="hgkelc"/>
          <w:b w:val="0"/>
          <w:bCs w:val="0"/>
          <w:sz w:val="24"/>
          <w:szCs w:val="24"/>
          <w:lang w:val="en"/>
        </w:rPr>
        <w:t>This is the second Circuit Court to require tougher standard; in 2021 the 5</w:t>
      </w:r>
      <w:r w:rsidRPr="00C86D96">
        <w:rPr>
          <w:rStyle w:val="hgkelc"/>
          <w:b w:val="0"/>
          <w:bCs w:val="0"/>
          <w:sz w:val="24"/>
          <w:szCs w:val="24"/>
          <w:vertAlign w:val="superscript"/>
          <w:lang w:val="en"/>
        </w:rPr>
        <w:t>th</w:t>
      </w:r>
      <w:r w:rsidRPr="00C86D96">
        <w:rPr>
          <w:rStyle w:val="hgkelc"/>
          <w:b w:val="0"/>
          <w:bCs w:val="0"/>
          <w:sz w:val="24"/>
          <w:szCs w:val="24"/>
          <w:lang w:val="en"/>
        </w:rPr>
        <w:t xml:space="preserve"> Circuit (Louisiana, Mississippi, and Texas) also adopted tougher standard. </w:t>
      </w:r>
      <w:hyperlink r:id="rId1740" w:history="1">
        <w:r w:rsidRPr="00C86D96">
          <w:rPr>
            <w:rStyle w:val="Hyperlink"/>
            <w:rFonts w:eastAsiaTheme="majorEastAsia"/>
            <w:b w:val="0"/>
            <w:bCs w:val="0"/>
            <w:sz w:val="24"/>
            <w:szCs w:val="24"/>
            <w:lang w:val="en"/>
          </w:rPr>
          <w:t>https://cases.justia.com/federal/appellate-courts/ca5/19-60847/19-60847-2021-01-12.pdf?ts=1610476251</w:t>
        </w:r>
      </w:hyperlink>
    </w:p>
    <w:p w14:paraId="2DE1D146" w14:textId="77777777" w:rsidR="00237599" w:rsidRPr="003C590F" w:rsidRDefault="00237599" w:rsidP="00237599">
      <w:pPr>
        <w:pStyle w:val="Heading1"/>
        <w:ind w:left="720"/>
        <w:rPr>
          <w:b w:val="0"/>
          <w:bCs w:val="0"/>
          <w:sz w:val="24"/>
          <w:szCs w:val="24"/>
        </w:rPr>
      </w:pPr>
      <w:r w:rsidRPr="003C590F">
        <w:rPr>
          <w:rStyle w:val="markedcontent"/>
          <w:b w:val="0"/>
          <w:bCs w:val="0"/>
          <w:sz w:val="24"/>
          <w:szCs w:val="24"/>
        </w:rPr>
        <w:t xml:space="preserve">See this May 22, </w:t>
      </w:r>
      <w:proofErr w:type="gramStart"/>
      <w:r w:rsidRPr="003C590F">
        <w:rPr>
          <w:rStyle w:val="markedcontent"/>
          <w:b w:val="0"/>
          <w:bCs w:val="0"/>
          <w:sz w:val="24"/>
          <w:szCs w:val="24"/>
        </w:rPr>
        <w:t>2023</w:t>
      </w:r>
      <w:proofErr w:type="gramEnd"/>
      <w:r w:rsidRPr="003C590F">
        <w:rPr>
          <w:rStyle w:val="markedcontent"/>
          <w:b w:val="0"/>
          <w:bCs w:val="0"/>
          <w:sz w:val="24"/>
          <w:szCs w:val="24"/>
        </w:rPr>
        <w:t xml:space="preserve"> article, </w:t>
      </w:r>
      <w:r>
        <w:rPr>
          <w:rStyle w:val="markedcontent"/>
          <w:b w:val="0"/>
          <w:bCs w:val="0"/>
          <w:sz w:val="24"/>
          <w:szCs w:val="24"/>
        </w:rPr>
        <w:t>“</w:t>
      </w:r>
      <w:r w:rsidRPr="003C590F">
        <w:rPr>
          <w:b w:val="0"/>
          <w:bCs w:val="0"/>
          <w:sz w:val="24"/>
          <w:szCs w:val="24"/>
        </w:rPr>
        <w:t>Sixth Circuit Establishes Stricter Standard for Granting Notice of FLSA Collective Action</w:t>
      </w:r>
      <w:r>
        <w:rPr>
          <w:b w:val="0"/>
          <w:bCs w:val="0"/>
          <w:sz w:val="24"/>
          <w:szCs w:val="24"/>
        </w:rPr>
        <w:t xml:space="preserve">.” </w:t>
      </w:r>
      <w:hyperlink r:id="rId1741" w:history="1">
        <w:r w:rsidRPr="009943CA">
          <w:rPr>
            <w:rStyle w:val="Hyperlink"/>
            <w:rFonts w:eastAsiaTheme="majorEastAsia"/>
            <w:b w:val="0"/>
            <w:bCs w:val="0"/>
            <w:sz w:val="24"/>
            <w:szCs w:val="24"/>
          </w:rPr>
          <w:t>https://www.littler.com/publication-press/publication/sixth-circuit-establishes-stricter-standard-granting-notice-flsa</w:t>
        </w:r>
      </w:hyperlink>
      <w:r>
        <w:rPr>
          <w:b w:val="0"/>
          <w:bCs w:val="0"/>
          <w:sz w:val="24"/>
          <w:szCs w:val="24"/>
        </w:rPr>
        <w:t xml:space="preserve"> </w:t>
      </w:r>
    </w:p>
    <w:p w14:paraId="4B2628B2" w14:textId="77777777" w:rsidR="00237599" w:rsidRPr="00003BCF" w:rsidRDefault="00237599" w:rsidP="00237599">
      <w:pPr>
        <w:pStyle w:val="NormalWeb"/>
        <w:ind w:left="720"/>
      </w:pPr>
    </w:p>
    <w:p w14:paraId="0C818618" w14:textId="77777777" w:rsidR="00237599" w:rsidRDefault="00237599" w:rsidP="00F326E5">
      <w:pPr>
        <w:rPr>
          <w:rFonts w:ascii="Arial Black" w:hAnsi="Arial Black"/>
          <w:b/>
          <w:sz w:val="24"/>
          <w:szCs w:val="24"/>
        </w:rPr>
      </w:pPr>
    </w:p>
    <w:p w14:paraId="69452F8A" w14:textId="58A15C21" w:rsidR="00227BDE" w:rsidRDefault="00227BDE"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4</w:t>
      </w:r>
    </w:p>
    <w:p w14:paraId="7E8E17F3" w14:textId="77777777" w:rsidR="00227BDE" w:rsidRPr="008426A6" w:rsidRDefault="00227BDE" w:rsidP="00227BDE">
      <w:pPr>
        <w:pStyle w:val="NoSpacing"/>
        <w:rPr>
          <w:rFonts w:ascii="Arial Black" w:hAnsi="Arial Black"/>
          <w:sz w:val="28"/>
          <w:szCs w:val="28"/>
        </w:rPr>
      </w:pPr>
      <w:r w:rsidRPr="008426A6">
        <w:rPr>
          <w:rFonts w:ascii="Arial Black" w:hAnsi="Arial Black"/>
          <w:sz w:val="28"/>
          <w:szCs w:val="28"/>
        </w:rPr>
        <w:t>NC (4/21/2023) – FLSA – COUNTY EMS LAWSUIT WILL BE CLASS ACTION – OVERTIME RATE CALCULATIONS</w:t>
      </w:r>
    </w:p>
    <w:p w14:paraId="2C39B8F8" w14:textId="77777777" w:rsidR="00227BDE" w:rsidRDefault="00227BDE" w:rsidP="00227BDE">
      <w:pPr>
        <w:pStyle w:val="NoSpacing"/>
      </w:pPr>
    </w:p>
    <w:p w14:paraId="3D79C6F4" w14:textId="77777777" w:rsidR="00227BDE" w:rsidRDefault="00227BDE" w:rsidP="00227BDE">
      <w:pPr>
        <w:pStyle w:val="NoSpacing"/>
        <w:rPr>
          <w:rFonts w:ascii="Times New Roman" w:hAnsi="Times New Roman"/>
          <w:sz w:val="24"/>
          <w:szCs w:val="24"/>
        </w:rPr>
      </w:pPr>
      <w:r w:rsidRPr="003C1643">
        <w:rPr>
          <w:rFonts w:ascii="Times New Roman" w:hAnsi="Times New Roman"/>
          <w:sz w:val="24"/>
          <w:szCs w:val="24"/>
          <w:u w:val="single"/>
        </w:rPr>
        <w:t>Sarah B. Conner v. Cleveland County, North Carlina</w:t>
      </w:r>
      <w:r w:rsidRPr="003C1643">
        <w:rPr>
          <w:rFonts w:ascii="Times New Roman" w:hAnsi="Times New Roman"/>
          <w:sz w:val="24"/>
          <w:szCs w:val="24"/>
        </w:rPr>
        <w:t xml:space="preserve">, Chief U.S. District Court Judge Martin Reidinger, U.S. District Court for Western District of North Carolina, Asheville District. </w:t>
      </w:r>
    </w:p>
    <w:p w14:paraId="2D8A011B" w14:textId="77777777" w:rsidR="00227BDE" w:rsidRDefault="00227BDE" w:rsidP="00227BDE">
      <w:pPr>
        <w:pStyle w:val="NoSpacing"/>
        <w:rPr>
          <w:rFonts w:ascii="Times New Roman" w:hAnsi="Times New Roman"/>
          <w:sz w:val="24"/>
          <w:szCs w:val="24"/>
        </w:rPr>
      </w:pPr>
    </w:p>
    <w:p w14:paraId="2DDF5346" w14:textId="77777777" w:rsidR="00227BDE" w:rsidRPr="003C1643" w:rsidRDefault="00227BDE" w:rsidP="00227BDE">
      <w:pPr>
        <w:pStyle w:val="NoSpacing"/>
        <w:rPr>
          <w:rFonts w:ascii="Times New Roman" w:hAnsi="Times New Roman"/>
          <w:sz w:val="24"/>
          <w:szCs w:val="24"/>
        </w:rPr>
      </w:pPr>
      <w:hyperlink r:id="rId1742" w:history="1">
        <w:r w:rsidRPr="003C1643">
          <w:rPr>
            <w:rStyle w:val="Hyperlink"/>
            <w:rFonts w:ascii="Times New Roman" w:hAnsi="Times New Roman"/>
            <w:sz w:val="24"/>
            <w:szCs w:val="24"/>
          </w:rPr>
          <w:t>https://public.fastcase.com/ZZhmr5v9wN%2FXOe5IsQ%2FqD6sjDusMj%2BpqHWJB3g3peOqB7r060z1DCjdHIpcn3tRLdaTmRHBEVoaEU7qCAearkbm3vxifIUs5cRZbbsNdVP8%3D?utm_medium=email&amp;_hsmi=226712652&amp;_hsenc=p2ANqtz-8gP-zHi-IOiqpnpXzunEXLHIYbdJXxowLQqk7bE6jqat0-j7JaN5Av0mj-PIwKwb5z_G2Wf06wKlilS-X5H1ndg63rYw&amp;utm_content=226712652&amp;utm_source=hs_email</w:t>
        </w:r>
      </w:hyperlink>
      <w:r w:rsidRPr="003C1643">
        <w:rPr>
          <w:rFonts w:ascii="Times New Roman" w:hAnsi="Times New Roman"/>
          <w:sz w:val="24"/>
          <w:szCs w:val="24"/>
        </w:rPr>
        <w:t xml:space="preserve"> </w:t>
      </w:r>
    </w:p>
    <w:p w14:paraId="6B8A8024" w14:textId="77777777" w:rsidR="00227BDE" w:rsidRPr="003C1643" w:rsidRDefault="00227BDE" w:rsidP="00227BDE">
      <w:pPr>
        <w:pStyle w:val="NormalWeb"/>
        <w:rPr>
          <w:b/>
          <w:bCs/>
        </w:rPr>
      </w:pPr>
      <w:bookmarkStart w:id="384" w:name="_Hlk133820320"/>
      <w:r w:rsidRPr="003C1643">
        <w:rPr>
          <w:b/>
          <w:bCs/>
        </w:rPr>
        <w:t xml:space="preserve">Legal Lessons Learned: FLSA </w:t>
      </w:r>
      <w:proofErr w:type="gramStart"/>
      <w:r w:rsidRPr="003C1643">
        <w:rPr>
          <w:b/>
          <w:bCs/>
        </w:rPr>
        <w:t>provides for</w:t>
      </w:r>
      <w:proofErr w:type="gramEnd"/>
      <w:r w:rsidRPr="003C1643">
        <w:rPr>
          <w:b/>
          <w:bCs/>
        </w:rPr>
        <w:t xml:space="preserve"> class action lawsuits. </w:t>
      </w:r>
    </w:p>
    <w:bookmarkEnd w:id="384"/>
    <w:p w14:paraId="55C62752" w14:textId="77777777" w:rsidR="00227BDE" w:rsidRPr="003C1643" w:rsidRDefault="00227BDE" w:rsidP="00227BDE">
      <w:pPr>
        <w:pStyle w:val="NoSpacing"/>
        <w:rPr>
          <w:rFonts w:ascii="Times New Roman" w:hAnsi="Times New Roman"/>
          <w:sz w:val="24"/>
          <w:szCs w:val="24"/>
        </w:rPr>
      </w:pPr>
    </w:p>
    <w:p w14:paraId="03D255B6" w14:textId="77777777" w:rsidR="00227BDE" w:rsidRPr="003C1643" w:rsidRDefault="00227BDE" w:rsidP="00227BDE">
      <w:pPr>
        <w:pStyle w:val="NoSpacing"/>
        <w:rPr>
          <w:rFonts w:ascii="Times New Roman" w:hAnsi="Times New Roman"/>
          <w:sz w:val="24"/>
          <w:szCs w:val="24"/>
        </w:rPr>
      </w:pPr>
    </w:p>
    <w:p w14:paraId="544BE49C" w14:textId="77777777" w:rsidR="00227BDE" w:rsidRDefault="00227BDE" w:rsidP="00F326E5">
      <w:pPr>
        <w:rPr>
          <w:rFonts w:ascii="Arial Black" w:hAnsi="Arial Black"/>
          <w:b/>
          <w:sz w:val="24"/>
          <w:szCs w:val="24"/>
        </w:rPr>
      </w:pPr>
    </w:p>
    <w:p w14:paraId="35A5432F" w14:textId="0D68AEAD" w:rsidR="00227BDE" w:rsidRDefault="00227BDE"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43</w:t>
      </w:r>
    </w:p>
    <w:p w14:paraId="45460164" w14:textId="77777777" w:rsidR="00227BDE" w:rsidRPr="00FF72ED" w:rsidRDefault="00227BDE" w:rsidP="00227BDE">
      <w:pPr>
        <w:pStyle w:val="NoSpacing"/>
        <w:rPr>
          <w:rFonts w:ascii="Arial Black" w:hAnsi="Arial Black"/>
          <w:sz w:val="28"/>
          <w:szCs w:val="28"/>
        </w:rPr>
      </w:pPr>
      <w:r w:rsidRPr="00FF72ED">
        <w:rPr>
          <w:rFonts w:ascii="Arial Black" w:hAnsi="Arial Black"/>
          <w:sz w:val="28"/>
          <w:szCs w:val="28"/>
        </w:rPr>
        <w:t>CA (4/19/2023) –</w:t>
      </w:r>
      <w:r>
        <w:rPr>
          <w:rFonts w:ascii="Arial Black" w:hAnsi="Arial Black"/>
          <w:sz w:val="28"/>
          <w:szCs w:val="28"/>
        </w:rPr>
        <w:t xml:space="preserve"> MEDIC WITH </w:t>
      </w:r>
      <w:r w:rsidRPr="00FF72ED">
        <w:rPr>
          <w:rFonts w:ascii="Arial Black" w:hAnsi="Arial Black"/>
          <w:sz w:val="28"/>
          <w:szCs w:val="28"/>
        </w:rPr>
        <w:t>AMR –</w:t>
      </w:r>
      <w:r>
        <w:rPr>
          <w:rFonts w:ascii="Arial Black" w:hAnsi="Arial Black"/>
          <w:sz w:val="28"/>
          <w:szCs w:val="28"/>
        </w:rPr>
        <w:t xml:space="preserve"> NO </w:t>
      </w:r>
      <w:r w:rsidRPr="00FF72ED">
        <w:rPr>
          <w:rFonts w:ascii="Arial Black" w:hAnsi="Arial Black"/>
          <w:sz w:val="28"/>
          <w:szCs w:val="28"/>
        </w:rPr>
        <w:t>MEAL / REST BREAKS</w:t>
      </w:r>
      <w:r>
        <w:rPr>
          <w:rFonts w:ascii="Arial Black" w:hAnsi="Arial Black"/>
          <w:sz w:val="28"/>
          <w:szCs w:val="28"/>
        </w:rPr>
        <w:t xml:space="preserve"> - CASE </w:t>
      </w:r>
      <w:r w:rsidRPr="00FF72ED">
        <w:rPr>
          <w:rFonts w:ascii="Arial Black" w:hAnsi="Arial Black"/>
          <w:sz w:val="28"/>
          <w:szCs w:val="28"/>
        </w:rPr>
        <w:t>DISMISSED</w:t>
      </w:r>
      <w:r>
        <w:rPr>
          <w:rFonts w:ascii="Arial Black" w:hAnsi="Arial Black"/>
          <w:sz w:val="28"/>
          <w:szCs w:val="28"/>
        </w:rPr>
        <w:t xml:space="preserve"> – 2018 VOTERS PROP. 11 </w:t>
      </w:r>
    </w:p>
    <w:p w14:paraId="29B031AC" w14:textId="77777777" w:rsidR="00227BDE" w:rsidRDefault="00227BDE" w:rsidP="00227BDE">
      <w:pPr>
        <w:pStyle w:val="NoSpacing"/>
      </w:pPr>
    </w:p>
    <w:p w14:paraId="676E4CE1"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Vaughn Banta v. American Medical Response, et al.</w:t>
      </w:r>
      <w:r w:rsidRPr="003C1643">
        <w:rPr>
          <w:rFonts w:ascii="Times New Roman" w:hAnsi="Times New Roman"/>
          <w:sz w:val="24"/>
          <w:szCs w:val="24"/>
        </w:rPr>
        <w:t xml:space="preserve">, California Court of Appeals, Second District, Second Division. [Unpublished Decision.] </w:t>
      </w:r>
    </w:p>
    <w:p w14:paraId="43B3C68B" w14:textId="77777777" w:rsidR="00227BDE" w:rsidRDefault="00227BDE" w:rsidP="00F326E5">
      <w:pPr>
        <w:rPr>
          <w:rFonts w:ascii="Arial Black" w:hAnsi="Arial Black"/>
          <w:b/>
          <w:sz w:val="24"/>
          <w:szCs w:val="24"/>
        </w:rPr>
      </w:pPr>
    </w:p>
    <w:p w14:paraId="4C4EB76A" w14:textId="77777777" w:rsidR="00227BDE" w:rsidRPr="003C1643" w:rsidRDefault="00227BDE" w:rsidP="00227BDE">
      <w:pPr>
        <w:pStyle w:val="NoSpacing"/>
        <w:rPr>
          <w:rFonts w:ascii="Times New Roman" w:hAnsi="Times New Roman"/>
          <w:sz w:val="24"/>
          <w:szCs w:val="24"/>
        </w:rPr>
      </w:pPr>
      <w:hyperlink r:id="rId1743" w:history="1">
        <w:r w:rsidRPr="003C1643">
          <w:rPr>
            <w:rStyle w:val="Hyperlink"/>
            <w:rFonts w:ascii="Times New Roman" w:hAnsi="Times New Roman"/>
            <w:sz w:val="24"/>
            <w:szCs w:val="24"/>
          </w:rPr>
          <w:t>https://public.fastcase.com/ZZhmr5v9wN%2FXOe5IsQ%2FqD%2Bile%2Foxyp5Z8Q8kvhZNO7gH1c2Z5qHls9xhvmb3awOvR3bsCkmvAqMtioFMMuxMBzUhvRQhP83bmryZorCoTbI%3D?utm_medium=email&amp;_hsmi=226712652&amp;_hsenc=p2ANqtz--nFpNqY7MlHedt-bGY2IVgigc3ATGuPz0zM2ZOCoWHuze-qmefTR0632sWWVlZvaDJFdCD_Gl1V9HSDzdZa4P3MSrw7A&amp;utm_content=226712652&amp;utm_source=hs_email</w:t>
        </w:r>
      </w:hyperlink>
      <w:r w:rsidRPr="003C1643">
        <w:rPr>
          <w:rFonts w:ascii="Times New Roman" w:hAnsi="Times New Roman"/>
          <w:sz w:val="24"/>
          <w:szCs w:val="24"/>
        </w:rPr>
        <w:t xml:space="preserve"> </w:t>
      </w:r>
    </w:p>
    <w:p w14:paraId="02DF39C0" w14:textId="77777777" w:rsidR="00227BDE" w:rsidRDefault="00227BDE" w:rsidP="00227BDE">
      <w:pPr>
        <w:pStyle w:val="NormalWeb"/>
        <w:rPr>
          <w:b/>
          <w:bCs/>
        </w:rPr>
      </w:pPr>
      <w:r w:rsidRPr="003C1643">
        <w:rPr>
          <w:b/>
          <w:bCs/>
        </w:rPr>
        <w:t>Legal Lesson Learned: California voters passed Proposition 11, requiring meal and rest period breaks for most employers, but not EMS.</w:t>
      </w:r>
      <w:r>
        <w:rPr>
          <w:b/>
          <w:bCs/>
        </w:rPr>
        <w:t xml:space="preserve"> </w:t>
      </w:r>
    </w:p>
    <w:p w14:paraId="7F49C670" w14:textId="77777777" w:rsidR="00227BDE" w:rsidRDefault="00227BDE" w:rsidP="00F326E5">
      <w:pPr>
        <w:rPr>
          <w:rFonts w:ascii="Arial Black" w:hAnsi="Arial Black"/>
          <w:b/>
          <w:sz w:val="24"/>
          <w:szCs w:val="24"/>
        </w:rPr>
      </w:pPr>
    </w:p>
    <w:p w14:paraId="3DE4C351" w14:textId="77777777" w:rsidR="00227BDE" w:rsidRDefault="00227BDE" w:rsidP="00F326E5">
      <w:pPr>
        <w:rPr>
          <w:rFonts w:ascii="Arial Black" w:hAnsi="Arial Black"/>
          <w:b/>
          <w:sz w:val="24"/>
          <w:szCs w:val="24"/>
        </w:rPr>
      </w:pPr>
    </w:p>
    <w:p w14:paraId="5C23A3D6" w14:textId="762A661C" w:rsidR="003F788B" w:rsidRDefault="003F788B"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42</w:t>
      </w:r>
    </w:p>
    <w:p w14:paraId="34ADE42A" w14:textId="77777777" w:rsidR="003F788B" w:rsidRDefault="003F788B" w:rsidP="003F788B">
      <w:pPr>
        <w:pStyle w:val="NormalWeb"/>
        <w:rPr>
          <w:rFonts w:ascii="Arial Black" w:hAnsi="Arial Black"/>
          <w:sz w:val="28"/>
          <w:szCs w:val="28"/>
        </w:rPr>
      </w:pPr>
      <w:r>
        <w:rPr>
          <w:rFonts w:ascii="Arial Black" w:hAnsi="Arial Black"/>
          <w:sz w:val="28"/>
          <w:szCs w:val="28"/>
        </w:rPr>
        <w:t>KS: RETIRED CAPT. CLAIMS BCs MISCHARDING VACATION TIME – NOT FLSA VIOLATION – FLSA CASE DISMISSED</w:t>
      </w:r>
    </w:p>
    <w:p w14:paraId="0E16EB50" w14:textId="77777777" w:rsidR="003F788B" w:rsidRDefault="003F788B" w:rsidP="003F788B">
      <w:pPr>
        <w:pStyle w:val="NormalWeb"/>
      </w:pPr>
      <w:r>
        <w:t xml:space="preserve">On March 30, 2023, in </w:t>
      </w:r>
      <w:r>
        <w:rPr>
          <w:u w:val="single"/>
        </w:rPr>
        <w:t>Tim Lepage v. City of Salina, Kansas, et al</w:t>
      </w:r>
      <w:r>
        <w:t>., U.S. District Court Judge Julie A. Robinson granted the City’s motion to dismiss the FLSA claim since his investigation of Battalion Chiefs never involved violations of FLSA, but rather “</w:t>
      </w:r>
      <w:proofErr w:type="gramStart"/>
      <w:r>
        <w:t>time card</w:t>
      </w:r>
      <w:proofErr w:type="gramEnd"/>
      <w:r>
        <w:t xml:space="preserve"> fraud” where BCs on vacation allegedly recorded their time as on duty. The case will now </w:t>
      </w:r>
      <w:proofErr w:type="gramStart"/>
      <w:r>
        <w:t>return</w:t>
      </w:r>
      <w:proofErr w:type="gramEnd"/>
      <w:r>
        <w:t xml:space="preserve"> to State court for further discovery.  Lepage became frustrated that the </w:t>
      </w:r>
      <w:proofErr w:type="gramStart"/>
      <w:r>
        <w:t>City</w:t>
      </w:r>
      <w:proofErr w:type="gramEnd"/>
      <w:r>
        <w:t xml:space="preserve"> stalled on the investigation, and per his request he was placed on paid leave and retired in </w:t>
      </w:r>
      <w:proofErr w:type="gramStart"/>
      <w:r>
        <w:t>June 2021, and</w:t>
      </w:r>
      <w:proofErr w:type="gramEnd"/>
      <w:r>
        <w:t xml:space="preserve"> then brought this lawsuit. </w:t>
      </w:r>
    </w:p>
    <w:p w14:paraId="204E1D8D" w14:textId="77777777" w:rsidR="003F788B" w:rsidRDefault="003F788B" w:rsidP="003F788B">
      <w:pPr>
        <w:pStyle w:val="NormalWeb"/>
        <w:ind w:left="720"/>
      </w:pPr>
      <w:r>
        <w:lastRenderedPageBreak/>
        <w:t xml:space="preserve">The Judge wrote: “Here, LePage fails to demonstrate a genuine issue of material fact about whether he engaged in protected activity under this objective standard. In terms of content, it is uncontroverted that LePage never explicitly invoked the FLSA when he complained about the BCs' alleged </w:t>
      </w:r>
      <w:proofErr w:type="gramStart"/>
      <w:r>
        <w:t>time card</w:t>
      </w:r>
      <w:proofErr w:type="gramEnd"/>
      <w:r>
        <w:t xml:space="preserve"> fraud. And while this fact standing alone is not fatal to his claim, the substance of his complaint did not involve conduct that is regulated by the FLSA. The FLSA ‘sets </w:t>
      </w:r>
      <w:proofErr w:type="gramStart"/>
      <w:r>
        <w:t>forth</w:t>
      </w:r>
      <w:proofErr w:type="gramEnd"/>
      <w:r>
        <w:t xml:space="preserve"> employment rules concerning minimum wages, maximum hours, and overtime pay.’ LePage did not complain about violations of the federal minimum wage or maximum hour laws.” </w:t>
      </w:r>
      <w:hyperlink r:id="rId1744" w:history="1">
        <w:r>
          <w:rPr>
            <w:rStyle w:val="Hyperlink"/>
          </w:rPr>
          <w:t>https://ecf.ksd.uscourts.gov/cgi-bin/show_public_doc?2022cv4020-41</w:t>
        </w:r>
      </w:hyperlink>
      <w:r>
        <w:t xml:space="preserve"> </w:t>
      </w:r>
    </w:p>
    <w:p w14:paraId="6FD07A9E" w14:textId="77777777" w:rsidR="003F788B" w:rsidRDefault="003F788B" w:rsidP="003F788B">
      <w:pPr>
        <w:pStyle w:val="NormalWeb"/>
        <w:ind w:left="720"/>
      </w:pPr>
      <w:r>
        <w:t xml:space="preserve">“In September 2019, LePage began working with Human Resources Specialist Diane Turner on a project to save money. Specifically, LePage began keeping track of the days BCs were taking vacation, knowing that their use of vacation would require </w:t>
      </w:r>
      <w:proofErr w:type="gramStart"/>
      <w:r>
        <w:t>more captain</w:t>
      </w:r>
      <w:proofErr w:type="gramEnd"/>
      <w:r>
        <w:t xml:space="preserve"> overtime, costing the </w:t>
      </w:r>
      <w:proofErr w:type="gramStart"/>
      <w:r>
        <w:t>City</w:t>
      </w:r>
      <w:proofErr w:type="gramEnd"/>
      <w:r>
        <w:t xml:space="preserve"> money. LePage began what he considered to be an </w:t>
      </w:r>
      <w:proofErr w:type="gramStart"/>
      <w:r>
        <w:t>in depth</w:t>
      </w:r>
      <w:proofErr w:type="gramEnd"/>
      <w:r>
        <w:t xml:space="preserve"> investigation with Human </w:t>
      </w:r>
      <w:proofErr w:type="gramStart"/>
      <w:r>
        <w:t>Resources (‘</w:t>
      </w:r>
      <w:proofErr w:type="gramEnd"/>
      <w:r>
        <w:t xml:space="preserve">HR’) on this issue because HR did not have access to the </w:t>
      </w:r>
      <w:proofErr w:type="spellStart"/>
      <w:r>
        <w:t>DataTracker</w:t>
      </w:r>
      <w:proofErr w:type="spellEnd"/>
      <w:r>
        <w:t xml:space="preserve"> and ‘FD outlook calendar.’ LePage would send HR the days he knew BCs were gone and the reason they had provided. LePage believed that all three [BCs] were . . . taking ten days of vacation, reporting they were on duty, </w:t>
      </w:r>
      <w:proofErr w:type="gramStart"/>
      <w:r>
        <w:t>thusly</w:t>
      </w:r>
      <w:proofErr w:type="gramEnd"/>
      <w:r>
        <w:t xml:space="preserve"> banking those hours and then taking an additional five days off, reporting it correctly and selling the other five days. After a week or two of review, it was found to be well </w:t>
      </w:r>
      <w:proofErr w:type="gramStart"/>
      <w:r>
        <w:t>north</w:t>
      </w:r>
      <w:proofErr w:type="gramEnd"/>
      <w:r>
        <w:t xml:space="preserve"> of $100K stolen in the previous 6 years.</w:t>
      </w:r>
    </w:p>
    <w:p w14:paraId="2BFCFBC8" w14:textId="77777777" w:rsidR="003F788B" w:rsidRDefault="003F788B" w:rsidP="003F788B">
      <w:pPr>
        <w:pStyle w:val="NormalWeb"/>
        <w:ind w:left="720"/>
      </w:pPr>
      <w:r>
        <w:t>***</w:t>
      </w:r>
    </w:p>
    <w:p w14:paraId="2353EF37" w14:textId="77777777" w:rsidR="003F788B" w:rsidRDefault="003F788B" w:rsidP="003F788B">
      <w:pPr>
        <w:pStyle w:val="NormalWeb"/>
        <w:ind w:left="720"/>
        <w:rPr>
          <w:vertAlign w:val="superscript"/>
        </w:rPr>
      </w:pPr>
      <w:r>
        <w:t xml:space="preserve">The Court finds that there are no substantial grounds for jurisdiction over the remaining claims for retaliatory discharge and defamation and that the state court is in a better position to evaluate LePage's claims under state </w:t>
      </w:r>
      <w:proofErr w:type="gramStart"/>
      <w:r>
        <w:t>law.”</w:t>
      </w:r>
      <w:proofErr w:type="gramEnd"/>
    </w:p>
    <w:p w14:paraId="660CD65D" w14:textId="77777777" w:rsidR="003F788B" w:rsidRDefault="003F788B" w:rsidP="003F788B">
      <w:pPr>
        <w:pStyle w:val="NormalWeb"/>
        <w:rPr>
          <w:b/>
          <w:bCs/>
        </w:rPr>
      </w:pPr>
      <w:r>
        <w:rPr>
          <w:b/>
          <w:bCs/>
        </w:rPr>
        <w:t xml:space="preserve">Legal Lessons Learned: The FLSA protects employees from retaliation, but only where there are claims of FLSA violations.  </w:t>
      </w:r>
    </w:p>
    <w:p w14:paraId="15888F45" w14:textId="77777777" w:rsidR="003F788B" w:rsidRDefault="003F788B" w:rsidP="003F788B">
      <w:pPr>
        <w:pStyle w:val="NormalWeb"/>
      </w:pPr>
    </w:p>
    <w:p w14:paraId="205822C3" w14:textId="1A849770" w:rsidR="00104A4C" w:rsidRDefault="00104A4C"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41</w:t>
      </w:r>
    </w:p>
    <w:p w14:paraId="57B91EA9" w14:textId="77777777" w:rsidR="00104A4C" w:rsidRDefault="00104A4C" w:rsidP="00104A4C">
      <w:pPr>
        <w:pStyle w:val="NormalWeb"/>
      </w:pPr>
      <w:r>
        <w:rPr>
          <w:rFonts w:ascii="Arial Black" w:hAnsi="Arial Black"/>
          <w:sz w:val="28"/>
          <w:szCs w:val="28"/>
        </w:rPr>
        <w:t>CA: FLSA – FOUR BATTALION CHIEFS CLAIM NOT “EXEMPT” – CITY SETTLEMENT – $145,000, PLUS $25,000 ATTY FEES</w:t>
      </w:r>
    </w:p>
    <w:p w14:paraId="73DA163A" w14:textId="77777777" w:rsidR="00104A4C" w:rsidRDefault="00104A4C" w:rsidP="00104A4C">
      <w:pPr>
        <w:pStyle w:val="NormalWeb"/>
      </w:pPr>
      <w:r>
        <w:t xml:space="preserve">On March 7, 2023, in </w:t>
      </w:r>
      <w:r w:rsidRPr="00BD4D01">
        <w:rPr>
          <w:u w:val="single"/>
        </w:rPr>
        <w:t>James Mickelson v. City of Encinitas</w:t>
      </w:r>
      <w:r>
        <w:t xml:space="preserve">, U.S. District Court Judge Cynthia Bashant, Southern District of California, approved a settlement of a lawsuit filed by four Battalion Chiefs, based on their pay for prior two years, with City not admitting to any violation of FLSA.  The Court agreed to the settlement because law is unclear on whether these Battalion Chiefs are exempt from overtime.  Under the terms of the Settlement, the City agreed to pay a total of $145,000.00 to Battalion Chiefs based on their hours works in two prior years (if willful violations were proven at trial, Court can award three years back pay, doubled as liquidated damages): (1) $26,108.22 paid to James Mickelson; (2) $12,373.71 paid to Terence Chiros; (3) $47,677.74 paid to Jorge Sanchez; and (4) $58,850.33 paid to Michael Spaulding. </w:t>
      </w:r>
      <w:hyperlink r:id="rId1745" w:history="1">
        <w:r w:rsidRPr="005C1F1B">
          <w:rPr>
            <w:rStyle w:val="Hyperlink"/>
            <w:rFonts w:eastAsiaTheme="majorEastAsia"/>
          </w:rPr>
          <w:t>https://law.justia.com/cases/federal/district-courts/california/casdce/3:2022cv00487/730899/28/</w:t>
        </w:r>
      </w:hyperlink>
      <w:r>
        <w:t xml:space="preserve"> </w:t>
      </w:r>
    </w:p>
    <w:p w14:paraId="1093B14D" w14:textId="77777777" w:rsidR="00104A4C" w:rsidRDefault="00104A4C" w:rsidP="00104A4C">
      <w:pPr>
        <w:pStyle w:val="NormalWeb"/>
      </w:pPr>
      <w:r>
        <w:t xml:space="preserve">The Court noted: </w:t>
      </w:r>
    </w:p>
    <w:p w14:paraId="0D057EC3" w14:textId="77777777" w:rsidR="00104A4C" w:rsidRDefault="00104A4C" w:rsidP="00104A4C">
      <w:pPr>
        <w:pStyle w:val="NormalWeb"/>
        <w:ind w:left="720"/>
      </w:pPr>
      <w:r>
        <w:t xml:space="preserve">“First, the parties disagree as to whether Encinitas Battalion Chiefs are FLSA-exempt employees. Plaintiff relies on regulations that clarify the scope of FLSA exemptions: ‘The [FLSA minimum wage provision] exemptions . . . do not apply to . . . fire fighters . . . who perform work such as preventing, </w:t>
      </w:r>
      <w:r>
        <w:lastRenderedPageBreak/>
        <w:t xml:space="preserve">controlling or extinguishing fires of any type.’ 29 C.F.R. § 541.3. Plaintiff maintains that Battalion Chiefs ‘actively engage in fire-fighter responsibilities’ and ‘regularly respond to calls for rescuing fire and accident victims; medical calls for </w:t>
      </w:r>
      <w:proofErr w:type="gramStart"/>
      <w:r>
        <w:t>services, and</w:t>
      </w:r>
      <w:proofErr w:type="gramEnd"/>
      <w:r>
        <w:t xml:space="preserve"> regularly carry and use fire suppression and medical equipment….’ </w:t>
      </w:r>
    </w:p>
    <w:p w14:paraId="26DCC3A0" w14:textId="77777777" w:rsidR="00104A4C" w:rsidRDefault="00104A4C" w:rsidP="00104A4C">
      <w:pPr>
        <w:pStyle w:val="NormalWeb"/>
        <w:ind w:left="600"/>
      </w:pPr>
      <w:r>
        <w:t xml:space="preserve">Defendants, by contrast, take the position that managerial fire employees like Battalion Chiefs are properly exempt, so long as they meet the requirements of the executive or administrative exemption….To qualify for the administrative exemption, the employee must meet a minimum salary and the employee's primary duty must be ‘the performance of office or non-manual work directly related to the management or general business operations of the employer....’ 28 C.F.R. § 541.200(a). The parties point to recent Fourth Circuit caselaw and a 2005 Department of Labor Opinion Letter that both determined fire department battalion chiefs were properly classified as exempt….Defendant asserts that Encinitas Battalion Chiefs are ‘always responsible for supervising both Captains and the other firefighters’ and that preliminary discovery confirmed they ‘rarely if ever engage in actual firefighting….”  </w:t>
      </w:r>
    </w:p>
    <w:p w14:paraId="7E49A138" w14:textId="77777777" w:rsidR="00104A4C" w:rsidRPr="00025BA7" w:rsidRDefault="00104A4C" w:rsidP="00104A4C">
      <w:pPr>
        <w:pStyle w:val="NormalWeb"/>
        <w:rPr>
          <w:b/>
          <w:bCs/>
        </w:rPr>
      </w:pPr>
      <w:r w:rsidRPr="00025BA7">
        <w:rPr>
          <w:b/>
          <w:bCs/>
        </w:rPr>
        <w:t xml:space="preserve">Legal Lesson Learned: </w:t>
      </w:r>
      <w:r>
        <w:rPr>
          <w:b/>
          <w:bCs/>
        </w:rPr>
        <w:t xml:space="preserve">The law is unsettled about Battalion Chiefs being “exempt”; be interesting to learn whether the next CBA with City of Encinitas will address this issue. </w:t>
      </w:r>
    </w:p>
    <w:p w14:paraId="69BAE836" w14:textId="77777777" w:rsidR="00104A4C" w:rsidRDefault="00104A4C" w:rsidP="00104A4C">
      <w:pPr>
        <w:pStyle w:val="NormalWeb"/>
        <w:ind w:left="720"/>
      </w:pPr>
      <w:r>
        <w:t>Note: The Court noted the attorney fees were reasonable. “Plaintiff's counsel has acted as lead counsel in more than fifty FLSA lawsuits representing tens of thousands of employees…. In addition, Plaintiff's counsel has published books on the FLSA, conducted FLSA audits, and lectured on the FLSA.”</w:t>
      </w:r>
    </w:p>
    <w:p w14:paraId="426B5E05" w14:textId="77777777" w:rsidR="00104A4C" w:rsidRDefault="00104A4C" w:rsidP="00104A4C">
      <w:pPr>
        <w:pStyle w:val="NormalWeb"/>
      </w:pPr>
    </w:p>
    <w:p w14:paraId="52426212" w14:textId="3C041114" w:rsidR="00104A4C" w:rsidRDefault="00104A4C"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40</w:t>
      </w:r>
    </w:p>
    <w:p w14:paraId="2ED20389" w14:textId="77777777" w:rsidR="00104A4C" w:rsidRPr="00682E43" w:rsidRDefault="00104A4C" w:rsidP="00104A4C">
      <w:pPr>
        <w:pStyle w:val="NormalWeb"/>
        <w:rPr>
          <w:rFonts w:ascii="Arial Black" w:hAnsi="Arial Black"/>
          <w:b/>
          <w:bCs/>
          <w:sz w:val="28"/>
          <w:szCs w:val="28"/>
        </w:rPr>
      </w:pPr>
      <w:r>
        <w:rPr>
          <w:rFonts w:ascii="Arial Black" w:hAnsi="Arial Black"/>
          <w:b/>
          <w:bCs/>
          <w:sz w:val="28"/>
          <w:szCs w:val="28"/>
        </w:rPr>
        <w:t>DC: FLSA – U.S. SUP. CT. - OIL RIG “TOOL PUSHER” – MAKES $200,000 / YR - SINCE HE IS PAID HOURLY, NOT EXEMPT</w:t>
      </w:r>
    </w:p>
    <w:p w14:paraId="49DE6594" w14:textId="77777777" w:rsidR="00104A4C" w:rsidRDefault="00104A4C" w:rsidP="00104A4C">
      <w:pPr>
        <w:pStyle w:val="NormalWeb"/>
        <w:rPr>
          <w:rStyle w:val="markedcontent"/>
        </w:rPr>
      </w:pPr>
      <w:r>
        <w:rPr>
          <w:rStyle w:val="markedcontent"/>
        </w:rPr>
        <w:t xml:space="preserve">On Feb. 23, 2023, in </w:t>
      </w:r>
      <w:r w:rsidRPr="00275035">
        <w:rPr>
          <w:rStyle w:val="markedcontent"/>
        </w:rPr>
        <w:t>Helix Energy Solutions Group, Inc. et al. v. Michael Hewitt</w:t>
      </w:r>
      <w:r>
        <w:rPr>
          <w:rStyle w:val="markedcontent"/>
        </w:rPr>
        <w:t>, the U.S. Supreme Court held (6 to 3) that the Supervisor (earned $200,000 a year), working 84 hours a week on the oil rig, supervising 12-14 employees, was not “exempt” from earning overtime after 40 hours.  After he was fired, he sued for overtime pay, seeking “</w:t>
      </w:r>
      <w:r>
        <w:t xml:space="preserve">hundreds of thousands of dollars in retroactive overtime pay.” [Dissenting opinion, Justice Brett Kavanaugh.] The majority opinion has awarded him this windfall.  From 2015 to 2017, Hewitt worked 28-day "hitches," living on an offshore oil rig for 28 days at a time and being on-duty for 12 hours each day. His pay ranged from $963 to $1,341 per day. Hewitt earned $248,053 in 2015 and $218,863 in 2016, according to court records. </w:t>
      </w:r>
      <w:hyperlink r:id="rId1746" w:history="1">
        <w:r w:rsidRPr="00933DFB">
          <w:rPr>
            <w:rStyle w:val="Hyperlink"/>
            <w:rFonts w:eastAsiaTheme="majorEastAsia"/>
          </w:rPr>
          <w:t>https://www.supremecourt.gov/opinions/22pdf/21-984_j426.pdf</w:t>
        </w:r>
      </w:hyperlink>
      <w:r>
        <w:rPr>
          <w:rStyle w:val="markedcontent"/>
        </w:rPr>
        <w:t xml:space="preserve"> </w:t>
      </w:r>
    </w:p>
    <w:p w14:paraId="73EBAB31" w14:textId="77777777" w:rsidR="00104A4C" w:rsidRDefault="00104A4C" w:rsidP="00104A4C">
      <w:pPr>
        <w:pStyle w:val="NormalWeb"/>
        <w:ind w:left="720"/>
        <w:rPr>
          <w:rStyle w:val="markedcontent"/>
        </w:rPr>
      </w:pPr>
      <w:r>
        <w:rPr>
          <w:rStyle w:val="markedcontent"/>
        </w:rPr>
        <w:t xml:space="preserve">“The question here is whether a high-earning employee is compensated on a ‘salary </w:t>
      </w:r>
      <w:proofErr w:type="spellStart"/>
      <w:r>
        <w:rPr>
          <w:rStyle w:val="markedcontent"/>
        </w:rPr>
        <w:t>basis’</w:t>
      </w:r>
      <w:proofErr w:type="spellEnd"/>
      <w:r>
        <w:rPr>
          <w:rStyle w:val="markedcontent"/>
        </w:rPr>
        <w:t xml:space="preserve"> when his paycheck is based solely on a daily rate—so that he receives a certain amount if he works one day in a week, twice as much for two days, three times as much for three, and so on. We hold that such an employee is not paid on a salary </w:t>
      </w:r>
      <w:proofErr w:type="gramStart"/>
      <w:r>
        <w:rPr>
          <w:rStyle w:val="markedcontent"/>
        </w:rPr>
        <w:t>basis, and</w:t>
      </w:r>
      <w:proofErr w:type="gramEnd"/>
      <w:r>
        <w:rPr>
          <w:rStyle w:val="markedcontent"/>
        </w:rPr>
        <w:t xml:space="preserve"> thus is entitled to overtime </w:t>
      </w:r>
      <w:proofErr w:type="gramStart"/>
      <w:r>
        <w:rPr>
          <w:rStyle w:val="markedcontent"/>
        </w:rPr>
        <w:t>pay.”</w:t>
      </w:r>
      <w:proofErr w:type="gramEnd"/>
      <w:r>
        <w:rPr>
          <w:rStyle w:val="markedcontent"/>
        </w:rPr>
        <w:t xml:space="preserve"> </w:t>
      </w:r>
    </w:p>
    <w:p w14:paraId="33135B22" w14:textId="77777777" w:rsidR="00104A4C" w:rsidRPr="005B5614" w:rsidRDefault="00104A4C" w:rsidP="00104A4C">
      <w:pPr>
        <w:pStyle w:val="NormalWeb"/>
        <w:rPr>
          <w:rStyle w:val="markedcontent"/>
          <w:b/>
          <w:bCs/>
        </w:rPr>
      </w:pPr>
      <w:r w:rsidRPr="005B5614">
        <w:rPr>
          <w:rStyle w:val="markedcontent"/>
          <w:b/>
          <w:bCs/>
        </w:rPr>
        <w:t xml:space="preserve">Legal Lesson Learned: </w:t>
      </w:r>
      <w:r>
        <w:rPr>
          <w:rStyle w:val="markedcontent"/>
          <w:b/>
          <w:bCs/>
        </w:rPr>
        <w:t xml:space="preserve">In the fire service, typically Fire Chief are considered “executives” under FLSA and “exempt” from overtime pay.  Battalion Chiefs, and other lower ranked officers, may or may not be “exempt” based on their job duties.  </w:t>
      </w:r>
    </w:p>
    <w:p w14:paraId="089BE339" w14:textId="77777777" w:rsidR="00104A4C" w:rsidRDefault="00104A4C" w:rsidP="00104A4C">
      <w:pPr>
        <w:pStyle w:val="Heading1"/>
        <w:ind w:left="720"/>
        <w:rPr>
          <w:b w:val="0"/>
          <w:bCs w:val="0"/>
          <w:sz w:val="24"/>
          <w:szCs w:val="24"/>
        </w:rPr>
      </w:pPr>
      <w:r w:rsidRPr="00F76346">
        <w:rPr>
          <w:b w:val="0"/>
          <w:bCs w:val="0"/>
          <w:sz w:val="24"/>
          <w:szCs w:val="24"/>
        </w:rPr>
        <w:t xml:space="preserve">See this article: Battalion Chiefs, Executive Exemption, and Overtime (Sept. 17, 2018): </w:t>
      </w:r>
      <w:hyperlink r:id="rId1747" w:history="1">
        <w:r w:rsidRPr="00933DFB">
          <w:rPr>
            <w:rStyle w:val="Hyperlink"/>
            <w:rFonts w:eastAsiaTheme="majorEastAsia"/>
            <w:b w:val="0"/>
            <w:bCs w:val="0"/>
            <w:sz w:val="24"/>
            <w:szCs w:val="24"/>
          </w:rPr>
          <w:t>http://www.firefighterovertime.org/2018/09/17/battalion/</w:t>
        </w:r>
      </w:hyperlink>
      <w:r w:rsidRPr="00F76346">
        <w:rPr>
          <w:b w:val="0"/>
          <w:bCs w:val="0"/>
          <w:sz w:val="24"/>
          <w:szCs w:val="24"/>
        </w:rPr>
        <w:t xml:space="preserve"> </w:t>
      </w:r>
    </w:p>
    <w:p w14:paraId="5F68BA34" w14:textId="77777777" w:rsidR="00104A4C" w:rsidRPr="00F504E7" w:rsidRDefault="00104A4C" w:rsidP="00104A4C">
      <w:pPr>
        <w:pStyle w:val="Heading1"/>
        <w:ind w:left="720"/>
        <w:rPr>
          <w:b w:val="0"/>
          <w:bCs w:val="0"/>
          <w:sz w:val="24"/>
          <w:szCs w:val="24"/>
        </w:rPr>
      </w:pPr>
      <w:r w:rsidRPr="00F504E7">
        <w:rPr>
          <w:b w:val="0"/>
          <w:bCs w:val="0"/>
          <w:sz w:val="24"/>
          <w:szCs w:val="24"/>
        </w:rPr>
        <w:lastRenderedPageBreak/>
        <w:t xml:space="preserve">See Feb. 22, </w:t>
      </w:r>
      <w:proofErr w:type="gramStart"/>
      <w:r w:rsidRPr="00F504E7">
        <w:rPr>
          <w:b w:val="0"/>
          <w:bCs w:val="0"/>
          <w:sz w:val="24"/>
          <w:szCs w:val="24"/>
        </w:rPr>
        <w:t>2023</w:t>
      </w:r>
      <w:proofErr w:type="gramEnd"/>
      <w:r w:rsidRPr="00F504E7">
        <w:rPr>
          <w:b w:val="0"/>
          <w:bCs w:val="0"/>
          <w:sz w:val="24"/>
          <w:szCs w:val="24"/>
        </w:rPr>
        <w:t xml:space="preserve"> article on the Supreme Court’s decision: </w:t>
      </w:r>
      <w:r>
        <w:rPr>
          <w:b w:val="0"/>
          <w:bCs w:val="0"/>
          <w:sz w:val="24"/>
          <w:szCs w:val="24"/>
        </w:rPr>
        <w:t>“</w:t>
      </w:r>
      <w:r w:rsidRPr="00F504E7">
        <w:rPr>
          <w:b w:val="0"/>
          <w:bCs w:val="0"/>
          <w:sz w:val="24"/>
          <w:szCs w:val="24"/>
        </w:rPr>
        <w:t>Supreme Court Upholds Salary Requirement for Overtime Exemption</w:t>
      </w:r>
      <w:r>
        <w:rPr>
          <w:b w:val="0"/>
          <w:bCs w:val="0"/>
          <w:sz w:val="24"/>
          <w:szCs w:val="24"/>
        </w:rPr>
        <w:t xml:space="preserve">.” </w:t>
      </w:r>
      <w:hyperlink r:id="rId1748" w:history="1">
        <w:r w:rsidRPr="00933DFB">
          <w:rPr>
            <w:rStyle w:val="Hyperlink"/>
            <w:rFonts w:eastAsiaTheme="majorEastAsia"/>
            <w:b w:val="0"/>
            <w:bCs w:val="0"/>
            <w:sz w:val="24"/>
            <w:szCs w:val="24"/>
          </w:rPr>
          <w:t>https://www.shrm.org/resourcesandtools/legal-and-compliance/employment-law/pages/supreme-court-helix-flsa-exemption.aspx</w:t>
        </w:r>
      </w:hyperlink>
      <w:r>
        <w:rPr>
          <w:b w:val="0"/>
          <w:bCs w:val="0"/>
          <w:sz w:val="24"/>
          <w:szCs w:val="24"/>
        </w:rPr>
        <w:t xml:space="preserve"> </w:t>
      </w:r>
      <w:r w:rsidRPr="00F504E7">
        <w:rPr>
          <w:b w:val="0"/>
          <w:bCs w:val="0"/>
          <w:sz w:val="24"/>
          <w:szCs w:val="24"/>
        </w:rPr>
        <w:t xml:space="preserve"> </w:t>
      </w:r>
    </w:p>
    <w:p w14:paraId="216D60BA" w14:textId="77777777" w:rsidR="00104A4C" w:rsidRDefault="00104A4C" w:rsidP="00F326E5">
      <w:pPr>
        <w:rPr>
          <w:rFonts w:ascii="Arial Black" w:hAnsi="Arial Black"/>
          <w:b/>
          <w:sz w:val="24"/>
          <w:szCs w:val="24"/>
        </w:rPr>
      </w:pPr>
    </w:p>
    <w:p w14:paraId="72FB6AF6" w14:textId="2BF4197C" w:rsidR="008A4533" w:rsidRDefault="008A4533" w:rsidP="00F326E5">
      <w:pPr>
        <w:rPr>
          <w:rFonts w:ascii="Arial Black" w:hAnsi="Arial Black"/>
          <w:b/>
          <w:sz w:val="24"/>
          <w:szCs w:val="24"/>
        </w:rPr>
      </w:pPr>
      <w:r>
        <w:rPr>
          <w:rFonts w:ascii="Arial Black" w:hAnsi="Arial Black"/>
          <w:b/>
          <w:sz w:val="24"/>
          <w:szCs w:val="24"/>
        </w:rPr>
        <w:t>11-3</w:t>
      </w:r>
      <w:r w:rsidR="009601CD">
        <w:rPr>
          <w:rFonts w:ascii="Arial Black" w:hAnsi="Arial Black"/>
          <w:b/>
          <w:sz w:val="24"/>
          <w:szCs w:val="24"/>
        </w:rPr>
        <w:t>9</w:t>
      </w:r>
    </w:p>
    <w:p w14:paraId="647277E3" w14:textId="77777777" w:rsidR="008A4533" w:rsidRPr="00DC6943" w:rsidRDefault="008A4533" w:rsidP="008A4533">
      <w:pPr>
        <w:pStyle w:val="NormalWeb"/>
        <w:rPr>
          <w:rFonts w:ascii="Arial Black" w:hAnsi="Arial Black"/>
          <w:sz w:val="28"/>
          <w:szCs w:val="28"/>
        </w:rPr>
      </w:pPr>
      <w:r>
        <w:rPr>
          <w:rFonts w:ascii="Arial Black" w:hAnsi="Arial Black"/>
          <w:sz w:val="28"/>
          <w:szCs w:val="28"/>
        </w:rPr>
        <w:t>OH: FLSA – 7(K) EXEMPTION APPLIES TO SMALL UNINCORP. TOWNSHIPS – OVERTIME ONLY AFTER 53 HOURS / NOT 40</w:t>
      </w:r>
    </w:p>
    <w:p w14:paraId="166E38A0" w14:textId="77777777" w:rsidR="008A4533" w:rsidRDefault="008A4533" w:rsidP="008A4533">
      <w:pPr>
        <w:pStyle w:val="NormalWeb"/>
      </w:pPr>
      <w:r>
        <w:t xml:space="preserve">On Jan. 11, 2023, in </w:t>
      </w:r>
      <w:r w:rsidRPr="0036596D">
        <w:rPr>
          <w:u w:val="single"/>
        </w:rPr>
        <w:t>Phillip Strzalkowski v. Mary Ann Township</w:t>
      </w:r>
      <w:r>
        <w:t xml:space="preserve">, Chief U.S. District Court Judge Algenon L. Marbley, U.S. District Court for Southern District of Ohio, held that a former fulltime firefighter with Mary Ann Township, an unincorporated civil township located in northeastern Licking County, Ohio, is covered by the 7(K) exemption, and he is not entitled to overtime after 40 hours. Larger townships (i.e., with a population of 2,500 or more) are authorized to adopt a </w:t>
      </w:r>
      <w:proofErr w:type="gramStart"/>
      <w:r>
        <w:t>limited home</w:t>
      </w:r>
      <w:proofErr w:type="gramEnd"/>
      <w:r>
        <w:t xml:space="preserve"> </w:t>
      </w:r>
      <w:proofErr w:type="gramStart"/>
      <w:r>
        <w:t>rule government</w:t>
      </w:r>
      <w:proofErr w:type="gramEnd"/>
      <w:r>
        <w:t xml:space="preserve">. </w:t>
      </w:r>
      <w:r w:rsidRPr="008708F4">
        <w:t>Strzalkowski</w:t>
      </w:r>
      <w:r>
        <w:rPr>
          <w:u w:val="single"/>
        </w:rPr>
        <w:t xml:space="preserve"> b</w:t>
      </w:r>
      <w:r>
        <w:t xml:space="preserve">ecame a full-time firefighter with the township in </w:t>
      </w:r>
      <w:proofErr w:type="gramStart"/>
      <w:r>
        <w:t>2019, and</w:t>
      </w:r>
      <w:proofErr w:type="gramEnd"/>
      <w:r>
        <w:t xml:space="preserve"> continued in that role until August 9, 2021. He often worked more than 40 hours per week, and was given overtime pay (i.e., time-and-a-half pay, or 1.5 times his regular hourly wages) for time worked </w:t>
      </w:r>
      <w:proofErr w:type="gramStart"/>
      <w:r>
        <w:t>in excess of</w:t>
      </w:r>
      <w:proofErr w:type="gramEnd"/>
      <w:r>
        <w:t xml:space="preserve"> 106 hours during each two-week work period.</w:t>
      </w:r>
      <w:r>
        <w:rPr>
          <w:b/>
          <w:bCs/>
        </w:rPr>
        <w:t xml:space="preserve"> </w:t>
      </w:r>
      <w:r>
        <w:t>The Court held that a civil township (1,308 in Ohio) qualifies as “a municipality, county, fire district, or State” under the Fair Labor Standards Act. “Ultimately, it is clear to this Court that § 3(y) was not intended to exclude the numerous unincorporated local government units across the United States that provide fire protection services to their residents. The language of the statute is ambiguous as to the question of incorporation: as noted, whether the definition of municipality includes only incorporated local governments depends on the dictionary one cites.”</w:t>
      </w:r>
      <w:hyperlink r:id="rId1749" w:history="1">
        <w:r w:rsidRPr="006E56EF">
          <w:rPr>
            <w:rStyle w:val="Hyperlink"/>
          </w:rPr>
          <w:t>https://public.fastcase.com/J%2FJP6pdidelsXxEE4k%2BLMlJvV4SJAfGPsaCb1kEJI4NiHVvOih0KoHLgsQ3SFDCtHhkE7RYPh6rKF3vfpYjTBRyXwDRXesvaMheieGfjP1w%3D?utm_medium=email&amp;_hsmi=226712652&amp;_hsenc=p2ANqtz--UObyDUMiaZSwq-4NoEzNR5o4eO8V_D5uKHJYL4ZZ256ZhZPYzbGLx-gR6MhxNsQvJKJXWqSitgcrGqHUpT5pkRHztzQ&amp;utm_content=226712652&amp;utm_source=hs_emai</w:t>
        </w:r>
      </w:hyperlink>
      <w:r>
        <w:t xml:space="preserve"> </w:t>
      </w:r>
    </w:p>
    <w:p w14:paraId="1D7F20F4" w14:textId="77777777" w:rsidR="008A4533" w:rsidRDefault="008A4533" w:rsidP="008A4533">
      <w:pPr>
        <w:pStyle w:val="NormalWeb"/>
        <w:ind w:left="720"/>
      </w:pPr>
      <w:r>
        <w:t>“FLSA is a federal statute, applicable nationwide; the firefighter exemption applies in all fifty states, many of which use different names for their local governments. Given that background, this Court concludes that § 7(k) was intended by Congress to be applicable for the broad spectrum of local governments across the country that offer fire protection services, regardless of nomenclature or incorporation status. The applicability of the exemption should not depend on how a particular state labels its administrative subdivisions.</w:t>
      </w:r>
    </w:p>
    <w:p w14:paraId="311FE76A" w14:textId="77777777" w:rsidR="008A4533" w:rsidRDefault="008A4533" w:rsidP="008A4533">
      <w:pPr>
        <w:pStyle w:val="NormalWeb"/>
        <w:ind w:left="720"/>
      </w:pPr>
      <w:r>
        <w:t>***</w:t>
      </w:r>
    </w:p>
    <w:p w14:paraId="2FFD9EE2" w14:textId="77777777" w:rsidR="008A4533" w:rsidRDefault="008A4533" w:rsidP="008A4533">
      <w:pPr>
        <w:pStyle w:val="NormalWeb"/>
        <w:ind w:left="720"/>
      </w:pPr>
      <w:r>
        <w:t>But Congress created the § 7(k) exemption for public fire protection personnel, in acknowledgement of the unique schedules that firefighters work, and added the § 3(y) definition to expand, not limit, the scope of the firefighter exemption. A fair reading of Congress's intent leads to the inescapable conclusion that Mary Ann Township is a municipality under 29 U.S.C. § 203(y) and is authorized pay its firefighters according to the partial overtime exemption in 29 U.S.C. § 207(k).”</w:t>
      </w:r>
    </w:p>
    <w:p w14:paraId="2FC5019E" w14:textId="77777777" w:rsidR="008A4533" w:rsidRPr="0047379E" w:rsidRDefault="008A4533" w:rsidP="008A4533">
      <w:pPr>
        <w:pStyle w:val="NormalWeb"/>
        <w:rPr>
          <w:b/>
          <w:bCs/>
        </w:rPr>
      </w:pPr>
      <w:r w:rsidRPr="0047379E">
        <w:rPr>
          <w:b/>
          <w:bCs/>
        </w:rPr>
        <w:t>Legal Lesson Learned:</w:t>
      </w:r>
      <w:r>
        <w:rPr>
          <w:b/>
          <w:bCs/>
        </w:rPr>
        <w:t xml:space="preserve"> Important decision for 1,308 small, unincorporated civil townships in Ohio; their career firefighters are entitled to overtime, like </w:t>
      </w:r>
      <w:proofErr w:type="gramStart"/>
      <w:r>
        <w:rPr>
          <w:b/>
          <w:bCs/>
        </w:rPr>
        <w:t>firefighter</w:t>
      </w:r>
      <w:proofErr w:type="gramEnd"/>
      <w:r>
        <w:rPr>
          <w:b/>
          <w:bCs/>
        </w:rPr>
        <w:t xml:space="preserve"> in larger townships with 2,500 residents, after 106 hours in a 14-day period, or 53 hours in a 7-day period.</w:t>
      </w:r>
    </w:p>
    <w:p w14:paraId="27939972" w14:textId="77777777" w:rsidR="008A4533" w:rsidRDefault="008A4533" w:rsidP="00F326E5">
      <w:pPr>
        <w:rPr>
          <w:rFonts w:ascii="Arial Black" w:hAnsi="Arial Black"/>
          <w:b/>
          <w:sz w:val="24"/>
          <w:szCs w:val="24"/>
        </w:rPr>
      </w:pPr>
    </w:p>
    <w:p w14:paraId="5A4C5D1A" w14:textId="77777777" w:rsidR="008A4533" w:rsidRDefault="008A4533" w:rsidP="00F326E5">
      <w:pPr>
        <w:rPr>
          <w:rFonts w:ascii="Arial Black" w:hAnsi="Arial Black"/>
          <w:b/>
          <w:sz w:val="24"/>
          <w:szCs w:val="24"/>
        </w:rPr>
      </w:pPr>
    </w:p>
    <w:p w14:paraId="7B7861B6" w14:textId="70C488B9" w:rsidR="00BA3CDE" w:rsidRDefault="00BA3CDE"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8</w:t>
      </w:r>
    </w:p>
    <w:p w14:paraId="16303F7C" w14:textId="77777777" w:rsidR="00BA3CDE" w:rsidRPr="006A274F" w:rsidRDefault="00BA3CDE" w:rsidP="00BA3CDE">
      <w:pPr>
        <w:pStyle w:val="NormalWeb"/>
        <w:rPr>
          <w:rFonts w:ascii="Arial Black" w:hAnsi="Arial Black"/>
          <w:b/>
          <w:bCs/>
          <w:sz w:val="28"/>
          <w:szCs w:val="28"/>
        </w:rPr>
      </w:pPr>
      <w:r>
        <w:rPr>
          <w:rFonts w:ascii="Arial Black" w:hAnsi="Arial Black"/>
          <w:b/>
          <w:bCs/>
          <w:sz w:val="28"/>
          <w:szCs w:val="28"/>
        </w:rPr>
        <w:t xml:space="preserve">CA: FLSA – SETTLEMENT SALARIED “REGIONAL DISASTER COORDINATOR” 16 COUNTIES - 71% OVERTIME CLAIMED </w:t>
      </w:r>
    </w:p>
    <w:p w14:paraId="540023F5" w14:textId="77777777" w:rsidR="00BA3CDE" w:rsidRDefault="00BA3CDE" w:rsidP="00BA3CDE">
      <w:pPr>
        <w:pStyle w:val="NormalWeb"/>
      </w:pPr>
      <w:r w:rsidRPr="006A274F">
        <w:t xml:space="preserve">On Dec. 9, 2022, in </w:t>
      </w:r>
      <w:r w:rsidRPr="006A274F">
        <w:rPr>
          <w:u w:val="single"/>
        </w:rPr>
        <w:t>Aram Bronston v. County of Alameda</w:t>
      </w:r>
      <w:r>
        <w:t xml:space="preserve">, U.S. Magistrate Judge Alex G. Tse, U.S. District Court for Northern District of California (San Francisco Division) approved the settlement: $97,448 to Mr. Bronston, and $52,531 to his attorney.  His original claim was for $135,000 in unpaid overtime and an equal amount in liquidated damages.  The plaintiff worked for 21 months as an EMS Coordinator, with job title of “Regional Disaster Medical Health Specialist,” where he coordinated regional medical and health responses for 16 counties in Northern California in the event of an epidemic, natural disaster, power shutoff, other situation requiring the coordination of medical and health needs. He worked 1,400 hours of overtime during his employment from November 19, 2018, and August 21, 2020; he was paid as a salaried employee with no overtime pay.  The County contends that Plaintiff's position fell within the FLSA's administrative and highly compensated employee exemptions to its overtime requirement because: (1) Plaintiff met the weekly and annual salary requirements for each exemption; (2) performed non-manual work directly related to the County and the State's general business operations; and (3) exercised discretion and independent judgment as to matters of significance. </w:t>
      </w:r>
      <w:r>
        <w:rPr>
          <w:rStyle w:val="Emphasis"/>
        </w:rPr>
        <w:t>See</w:t>
      </w:r>
      <w:r>
        <w:t xml:space="preserve"> 29 C.F.R. §§ 541.200(a) &amp; 541.601(a)(1).  Mr. Bronston Plaintiff disputes that his job duties directly related to the County's general business operations and required him to exercise discretion and independent judgment with respect to matters of significance. The Court referred the case to Magistrate Judge Donna Ryu for a settlement conference, who held a settlement conference on November 7, 2022, during which the parties reached a settlement agreement, conditioned upon this Court's approval.</w:t>
      </w:r>
    </w:p>
    <w:p w14:paraId="2470496B" w14:textId="77777777" w:rsidR="00BA3CDE" w:rsidRDefault="00BA3CDE" w:rsidP="00BA3CDE">
      <w:pPr>
        <w:pStyle w:val="NormalWeb"/>
        <w:ind w:left="720"/>
      </w:pPr>
      <w:r>
        <w:t xml:space="preserve">“The Court finds that the proposed agreement-which represents approximately seventy one percent of the overtime pay Plaintiff claims that he is due and seventy four percent of the attorney's fees and costs that Plaintiff claims would be recoverable as of the date of the settlement conference were this matter to proceed to trial-reflects a reasonable compromise with respect to these difficult issues. “  </w:t>
      </w:r>
      <w:hyperlink r:id="rId1750" w:history="1">
        <w:r w:rsidRPr="00237809">
          <w:rPr>
            <w:rStyle w:val="Hyperlink"/>
            <w:rFonts w:eastAsiaTheme="majorEastAsia"/>
          </w:rPr>
          <w:t>https://public.fastcase.com/J%2FJP6pdidelsXxEE4k%2BLMiCd6Oijia%2Fc6dpDEIpvDgGdBy7usCtPvTYolvlwqFI2OWdzcN0GLk8kd6eOjq%2BBgMFCfp0NjuKJ0H4Eu6Lk4a8%3D?utm_medium=email&amp;_hsmi=226712652&amp;_hsenc=p2ANqtz-_pRHETuUebeWpUr_lBMH_-KDZL8nDlWZhRdTrL-TINRZ0QEuK3FTmopjSHxO-qjinMuMJlbokRF3HYxxN6yYg5FnBUqg&amp;utm_content=226712652&amp;utm_source=hs_email</w:t>
        </w:r>
      </w:hyperlink>
      <w:r>
        <w:t xml:space="preserve"> </w:t>
      </w:r>
    </w:p>
    <w:p w14:paraId="02BD586E" w14:textId="77777777" w:rsidR="00BA3CDE" w:rsidRPr="00015813" w:rsidRDefault="00BA3CDE" w:rsidP="00BA3CDE">
      <w:pPr>
        <w:pStyle w:val="NormalWeb"/>
        <w:rPr>
          <w:b/>
          <w:bCs/>
        </w:rPr>
      </w:pPr>
      <w:r w:rsidRPr="00015813">
        <w:rPr>
          <w:b/>
          <w:bCs/>
        </w:rPr>
        <w:t xml:space="preserve">Legal Lesson Learned: </w:t>
      </w:r>
      <w:r>
        <w:rPr>
          <w:b/>
          <w:bCs/>
        </w:rPr>
        <w:t xml:space="preserve"> Settlement of the case avoids the expense and risk to both parties of protracted litigation.  </w:t>
      </w:r>
    </w:p>
    <w:p w14:paraId="0212616D" w14:textId="34F61D2C" w:rsidR="00BA3CDE" w:rsidRDefault="00BA3CDE" w:rsidP="00BA3CDE">
      <w:pPr>
        <w:ind w:firstLine="720"/>
        <w:rPr>
          <w:rFonts w:ascii="Arial Black" w:hAnsi="Arial Black"/>
          <w:b/>
          <w:sz w:val="24"/>
          <w:szCs w:val="24"/>
        </w:rPr>
      </w:pPr>
      <w:r>
        <w:t xml:space="preserve">Note: See article on this settlement. </w:t>
      </w:r>
      <w:hyperlink r:id="rId1751" w:history="1">
        <w:r w:rsidRPr="00237809">
          <w:rPr>
            <w:rStyle w:val="Hyperlink"/>
            <w:rFonts w:eastAsiaTheme="majorEastAsia"/>
          </w:rPr>
          <w:t>http://www.firefighterovertime.org/2022/12/12/ca-county-settles-flsa-suit/</w:t>
        </w:r>
      </w:hyperlink>
    </w:p>
    <w:p w14:paraId="1F9C5C71" w14:textId="77777777" w:rsidR="00BA3CDE" w:rsidRDefault="00BA3CDE" w:rsidP="00F326E5">
      <w:pPr>
        <w:rPr>
          <w:rFonts w:ascii="Arial Black" w:hAnsi="Arial Black"/>
          <w:b/>
          <w:sz w:val="24"/>
          <w:szCs w:val="24"/>
        </w:rPr>
      </w:pPr>
    </w:p>
    <w:p w14:paraId="29C73C68" w14:textId="1369E804" w:rsidR="00F04A7D" w:rsidRDefault="00F04A7D"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7</w:t>
      </w:r>
    </w:p>
    <w:p w14:paraId="7C3E1D52" w14:textId="77777777" w:rsidR="00282AF3" w:rsidRPr="006E476B" w:rsidRDefault="00282AF3" w:rsidP="00282AF3">
      <w:pPr>
        <w:spacing w:before="100" w:beforeAutospacing="1" w:after="100" w:afterAutospacing="1" w:line="240" w:lineRule="auto"/>
        <w:rPr>
          <w:rFonts w:ascii="Arial Black" w:eastAsia="Times New Roman" w:hAnsi="Arial Black"/>
          <w:sz w:val="28"/>
          <w:szCs w:val="28"/>
        </w:rPr>
      </w:pPr>
      <w:bookmarkStart w:id="385" w:name="_Hlk112723375"/>
      <w:r>
        <w:rPr>
          <w:rFonts w:ascii="Arial Black" w:eastAsia="Times New Roman" w:hAnsi="Arial Black"/>
          <w:sz w:val="28"/>
          <w:szCs w:val="28"/>
        </w:rPr>
        <w:t>RI: FD IN RECEIVERSHIP – “CAP” OVERTIME PAY IN CBA – FLSA VIOL. – BACKPAY &amp; LIQUIDATED DAMAGES $279,969</w:t>
      </w:r>
    </w:p>
    <w:bookmarkEnd w:id="385"/>
    <w:p w14:paraId="500A89DD" w14:textId="6CD5E528" w:rsidR="00F04A7D" w:rsidRDefault="00282AF3" w:rsidP="00282AF3">
      <w:pPr>
        <w:rPr>
          <w:rStyle w:val="Hyperlink"/>
          <w:rFonts w:ascii="Times New Roman" w:eastAsiaTheme="majorEastAsia" w:hAnsi="Times New Roman"/>
          <w:sz w:val="24"/>
          <w:szCs w:val="24"/>
        </w:rPr>
      </w:pPr>
      <w:r w:rsidRPr="00282AF3">
        <w:rPr>
          <w:rFonts w:ascii="Times New Roman" w:hAnsi="Times New Roman"/>
          <w:sz w:val="24"/>
          <w:szCs w:val="24"/>
        </w:rPr>
        <w:lastRenderedPageBreak/>
        <w:t xml:space="preserve">On Aug. 19, 2022, in </w:t>
      </w:r>
      <w:r w:rsidRPr="00282AF3">
        <w:rPr>
          <w:rFonts w:ascii="Times New Roman" w:hAnsi="Times New Roman"/>
          <w:sz w:val="24"/>
          <w:szCs w:val="24"/>
          <w:u w:val="single"/>
        </w:rPr>
        <w:t>James Almagno, on behalf of all similarly situated current and former employees v. Central Coventry Fire District</w:t>
      </w:r>
      <w:r w:rsidRPr="00282AF3">
        <w:rPr>
          <w:rFonts w:ascii="Times New Roman" w:hAnsi="Times New Roman"/>
          <w:sz w:val="24"/>
          <w:szCs w:val="24"/>
        </w:rPr>
        <w:t xml:space="preserve">, U.S. District Court Judge John J. McConnell, Jr., U.S. District Court of Rhode Island, the Judge held that cap on overtime pay in the CBA violated FLSA. “The CBA also caps overtime paid. Under Article III, Section 3 of the CBA, ‘when the </w:t>
      </w:r>
      <w:proofErr w:type="gramStart"/>
      <w:r w:rsidRPr="00282AF3">
        <w:rPr>
          <w:rFonts w:ascii="Times New Roman" w:hAnsi="Times New Roman"/>
          <w:sz w:val="24"/>
          <w:szCs w:val="24"/>
        </w:rPr>
        <w:t>District</w:t>
      </w:r>
      <w:proofErr w:type="gramEnd"/>
      <w:r w:rsidRPr="00282AF3">
        <w:rPr>
          <w:rFonts w:ascii="Times New Roman" w:hAnsi="Times New Roman"/>
          <w:sz w:val="24"/>
          <w:szCs w:val="24"/>
        </w:rPr>
        <w:t xml:space="preserve"> reaches One Hundred Twenty Thousand Dollars ($120,000.00) in overtime expenses (i.e., time-and-one-half pay) in any fiscal year...the </w:t>
      </w:r>
      <w:proofErr w:type="gramStart"/>
      <w:r w:rsidRPr="00282AF3">
        <w:rPr>
          <w:rFonts w:ascii="Times New Roman" w:hAnsi="Times New Roman"/>
          <w:sz w:val="24"/>
          <w:szCs w:val="24"/>
        </w:rPr>
        <w:t>District</w:t>
      </w:r>
      <w:proofErr w:type="gramEnd"/>
      <w:r w:rsidRPr="00282AF3">
        <w:rPr>
          <w:rFonts w:ascii="Times New Roman" w:hAnsi="Times New Roman"/>
          <w:sz w:val="24"/>
          <w:szCs w:val="24"/>
        </w:rPr>
        <w:t xml:space="preserve"> shall pay firefighters...their straight time hourly rate... for each hour </w:t>
      </w:r>
      <w:proofErr w:type="gramStart"/>
      <w:r w:rsidRPr="00282AF3">
        <w:rPr>
          <w:rFonts w:ascii="Times New Roman" w:hAnsi="Times New Roman"/>
          <w:sz w:val="24"/>
          <w:szCs w:val="24"/>
        </w:rPr>
        <w:t>actually worked</w:t>
      </w:r>
      <w:proofErr w:type="gramEnd"/>
      <w:r w:rsidRPr="00282AF3">
        <w:rPr>
          <w:rFonts w:ascii="Times New Roman" w:hAnsi="Times New Roman"/>
          <w:sz w:val="24"/>
          <w:szCs w:val="24"/>
        </w:rPr>
        <w:t xml:space="preserve"> </w:t>
      </w:r>
      <w:proofErr w:type="gramStart"/>
      <w:r w:rsidRPr="00282AF3">
        <w:rPr>
          <w:rFonts w:ascii="Times New Roman" w:hAnsi="Times New Roman"/>
          <w:sz w:val="24"/>
          <w:szCs w:val="24"/>
        </w:rPr>
        <w:t>in excess of</w:t>
      </w:r>
      <w:proofErr w:type="gramEnd"/>
      <w:r w:rsidRPr="00282AF3">
        <w:rPr>
          <w:rFonts w:ascii="Times New Roman" w:hAnsi="Times New Roman"/>
          <w:sz w:val="24"/>
          <w:szCs w:val="24"/>
        </w:rPr>
        <w:t xml:space="preserve"> 212 hours. *** Relying on the DOL's investigation, Plaintiffs now move for summary judgment, arguing that there are no disputed issues of material fact as to the </w:t>
      </w:r>
      <w:proofErr w:type="gramStart"/>
      <w:r w:rsidRPr="00282AF3">
        <w:rPr>
          <w:rFonts w:ascii="Times New Roman" w:hAnsi="Times New Roman"/>
          <w:sz w:val="24"/>
          <w:szCs w:val="24"/>
        </w:rPr>
        <w:t>District's</w:t>
      </w:r>
      <w:proofErr w:type="gramEnd"/>
      <w:r w:rsidRPr="00282AF3">
        <w:rPr>
          <w:rFonts w:ascii="Times New Roman" w:hAnsi="Times New Roman"/>
          <w:sz w:val="24"/>
          <w:szCs w:val="24"/>
        </w:rPr>
        <w:t xml:space="preserve"> liability or damages such that they are entitled to judgment. After a thorough review of the briefing and record, the Court GRANTS Plaintiffs Motion for Summary Judgment. *** Considering the statutory double damage requirement for all but “reasonable,” ‘good faith’ mistakes, the Court finds that Plaintiffs are entitled to liquidated damages of $279,969.68. See 29 U.S.C. §§ 216(b), 260.” </w:t>
      </w:r>
      <w:hyperlink r:id="rId1752" w:history="1">
        <w:r w:rsidRPr="00282AF3">
          <w:rPr>
            <w:rStyle w:val="Hyperlink"/>
            <w:rFonts w:ascii="Times New Roman" w:eastAsiaTheme="majorEastAsia" w:hAnsi="Times New Roman"/>
            <w:sz w:val="24"/>
            <w:szCs w:val="24"/>
          </w:rPr>
          <w:t>https://public.fastcase.com/J%2FJP6pdidelsXxEE4k%2BLMr0y9kFOAzIUnYfOqh5rzor5PqJTkzf5B1o34%2FZmTTqCNP3Iy4k13qLiNXQ3dhjTd98I5NdjhvTfnAcaeUtmaKs%3D</w:t>
        </w:r>
      </w:hyperlink>
    </w:p>
    <w:p w14:paraId="51FCFA9D" w14:textId="77777777" w:rsidR="00282AF3" w:rsidRPr="00C0439B" w:rsidRDefault="00282AF3" w:rsidP="00282AF3">
      <w:pPr>
        <w:spacing w:before="100" w:beforeAutospacing="1" w:after="100" w:afterAutospacing="1" w:line="240" w:lineRule="auto"/>
        <w:rPr>
          <w:rFonts w:ascii="Times New Roman" w:eastAsia="Times New Roman" w:hAnsi="Times New Roman"/>
          <w:b/>
          <w:bCs/>
          <w:sz w:val="24"/>
          <w:szCs w:val="24"/>
        </w:rPr>
      </w:pPr>
      <w:r w:rsidRPr="00C0439B">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Fire Department and the Union </w:t>
      </w:r>
      <w:proofErr w:type="spellStart"/>
      <w:r>
        <w:rPr>
          <w:rFonts w:ascii="Times New Roman" w:eastAsia="Times New Roman" w:hAnsi="Times New Roman"/>
          <w:b/>
          <w:bCs/>
          <w:sz w:val="24"/>
          <w:szCs w:val="24"/>
        </w:rPr>
        <w:t>can not</w:t>
      </w:r>
      <w:proofErr w:type="spellEnd"/>
      <w:r>
        <w:rPr>
          <w:rFonts w:ascii="Times New Roman" w:eastAsia="Times New Roman" w:hAnsi="Times New Roman"/>
          <w:b/>
          <w:bCs/>
          <w:sz w:val="24"/>
          <w:szCs w:val="24"/>
        </w:rPr>
        <w:t xml:space="preserve"> agree to “cap” overtime pay in violation of the FLSA. </w:t>
      </w:r>
    </w:p>
    <w:p w14:paraId="71273AE4" w14:textId="77777777" w:rsidR="00282AF3" w:rsidRPr="003F16DC" w:rsidRDefault="00282AF3" w:rsidP="00282AF3">
      <w:pPr>
        <w:pStyle w:val="Heading1"/>
        <w:ind w:left="720"/>
        <w:rPr>
          <w:b w:val="0"/>
          <w:bCs w:val="0"/>
          <w:sz w:val="24"/>
          <w:szCs w:val="24"/>
        </w:rPr>
      </w:pPr>
      <w:r w:rsidRPr="00BD1685">
        <w:rPr>
          <w:b w:val="0"/>
          <w:bCs w:val="0"/>
          <w:sz w:val="24"/>
          <w:szCs w:val="24"/>
        </w:rPr>
        <w:t xml:space="preserve">Note: See article, Oct. 22, 2020, Central Coventry firefighters sue, claiming district stiffed them on overtime. </w:t>
      </w:r>
      <w:hyperlink r:id="rId1753" w:history="1">
        <w:r w:rsidRPr="004073E4">
          <w:rPr>
            <w:rStyle w:val="Hyperlink"/>
            <w:rFonts w:eastAsiaTheme="majorEastAsia"/>
            <w:b w:val="0"/>
            <w:bCs w:val="0"/>
            <w:sz w:val="24"/>
            <w:szCs w:val="24"/>
          </w:rPr>
          <w:t>https://www.providencejournal.com/story/news/courts/2020/10/20/central-coventry-firefighters-say-district-stiffed-them-overtime/5990213002/</w:t>
        </w:r>
      </w:hyperlink>
      <w:r w:rsidRPr="004073E4">
        <w:rPr>
          <w:b w:val="0"/>
          <w:bCs w:val="0"/>
          <w:sz w:val="24"/>
          <w:szCs w:val="24"/>
        </w:rPr>
        <w:t xml:space="preserve"> </w:t>
      </w:r>
      <w:r w:rsidRPr="004073E4">
        <w:rPr>
          <w:rStyle w:val="Strong"/>
          <w:sz w:val="24"/>
          <w:szCs w:val="24"/>
        </w:rPr>
        <w:t>“The suit follows</w:t>
      </w:r>
      <w:r w:rsidRPr="004073E4">
        <w:rPr>
          <w:b w:val="0"/>
          <w:bCs w:val="0"/>
          <w:sz w:val="24"/>
          <w:szCs w:val="24"/>
        </w:rPr>
        <w:t xml:space="preserve"> a U.S. Department of Labor investigation, launched in 2018, that </w:t>
      </w:r>
      <w:r w:rsidRPr="00BD1685">
        <w:rPr>
          <w:b w:val="0"/>
          <w:bCs w:val="0"/>
          <w:sz w:val="24"/>
          <w:szCs w:val="24"/>
        </w:rPr>
        <w:t>found the district owed $139,484 in unpaid overtime to 32 employees accrued from 2016 through 2018.</w:t>
      </w:r>
      <w:r>
        <w:rPr>
          <w:b w:val="0"/>
          <w:bCs w:val="0"/>
          <w:sz w:val="24"/>
          <w:szCs w:val="24"/>
        </w:rPr>
        <w:t xml:space="preserve"> *** </w:t>
      </w:r>
      <w:r w:rsidRPr="003F16DC">
        <w:rPr>
          <w:rStyle w:val="Strong"/>
          <w:sz w:val="24"/>
          <w:szCs w:val="24"/>
        </w:rPr>
        <w:t>The lawsuit is</w:t>
      </w:r>
      <w:r w:rsidRPr="003F16DC">
        <w:rPr>
          <w:b w:val="0"/>
          <w:bCs w:val="0"/>
          <w:sz w:val="24"/>
          <w:szCs w:val="24"/>
        </w:rPr>
        <w:t xml:space="preserve"> yet another chapter in the district’s sometimes-strained relationship with its firefighters. The union and the district were long mired in the courts after the district’s financial troubles surfaced in 2012 and it was taken into receivership by the state.</w:t>
      </w:r>
      <w:r>
        <w:rPr>
          <w:b w:val="0"/>
          <w:bCs w:val="0"/>
          <w:sz w:val="24"/>
          <w:szCs w:val="24"/>
        </w:rPr>
        <w:t>”</w:t>
      </w:r>
    </w:p>
    <w:p w14:paraId="0B839522" w14:textId="77777777" w:rsidR="00282AF3" w:rsidRPr="00282AF3" w:rsidRDefault="00282AF3" w:rsidP="00282AF3">
      <w:pPr>
        <w:rPr>
          <w:rFonts w:ascii="Times New Roman" w:hAnsi="Times New Roman"/>
          <w:b/>
          <w:sz w:val="24"/>
          <w:szCs w:val="24"/>
        </w:rPr>
      </w:pPr>
    </w:p>
    <w:p w14:paraId="5334B0E2" w14:textId="77777777" w:rsidR="00F04A7D" w:rsidRDefault="00F04A7D" w:rsidP="00F326E5">
      <w:pPr>
        <w:rPr>
          <w:rFonts w:ascii="Arial Black" w:hAnsi="Arial Black"/>
          <w:b/>
          <w:sz w:val="24"/>
          <w:szCs w:val="24"/>
        </w:rPr>
      </w:pPr>
    </w:p>
    <w:p w14:paraId="6F3F7015" w14:textId="44D402BA" w:rsidR="00C67B2A" w:rsidRDefault="00C67B2A"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6</w:t>
      </w:r>
    </w:p>
    <w:p w14:paraId="2AC60FE0" w14:textId="77777777" w:rsidR="00C67B2A" w:rsidRDefault="00C67B2A" w:rsidP="00C67B2A">
      <w:pPr>
        <w:pStyle w:val="NormalWeb"/>
        <w:rPr>
          <w:rFonts w:ascii="Arial Black" w:hAnsi="Arial Black"/>
          <w:sz w:val="28"/>
          <w:szCs w:val="28"/>
        </w:rPr>
      </w:pPr>
      <w:r>
        <w:rPr>
          <w:rFonts w:ascii="Arial Black" w:hAnsi="Arial Black"/>
          <w:sz w:val="28"/>
          <w:szCs w:val="28"/>
        </w:rPr>
        <w:t xml:space="preserve">PA: FIRST DEPUTY CHIEF – 1996 RE-CLASSIFIED AS “EXEMPT” - LAWSUIT TO PROCEED – JURY DECISION </w:t>
      </w:r>
    </w:p>
    <w:p w14:paraId="0B5BD9B9" w14:textId="77777777" w:rsidR="00C67B2A" w:rsidRDefault="00C67B2A" w:rsidP="00C67B2A">
      <w:pPr>
        <w:pStyle w:val="NormalWeb"/>
      </w:pPr>
      <w:r>
        <w:t xml:space="preserve">On Oct. 27, 2021, in </w:t>
      </w:r>
      <w:r w:rsidRPr="00BA1555">
        <w:rPr>
          <w:u w:val="single"/>
        </w:rPr>
        <w:t>Gary Mogel v. City of Reading</w:t>
      </w:r>
      <w:r>
        <w:t xml:space="preserve">, U.S. District Court Judge John M. Gallagher, U.S. District Court for Eastern District of Pennsylvania, denied motions for summary judgment by both the plaintiff and the city, and will have a jury decide if there has been a violation of FLSA.  The Court did hold that if the plaintiff does win, he is entitled to liquidated damages (double amount of back pay) since the City failed to show it contacted U.S. Department of Labor or consulted legal counsel when in 1996 it stopped paying overtime to First Chiefs. </w:t>
      </w:r>
    </w:p>
    <w:p w14:paraId="5DBC3D69"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607549">
        <w:rPr>
          <w:rFonts w:ascii="Times New Roman" w:hAnsi="Times New Roman"/>
          <w:sz w:val="24"/>
          <w:szCs w:val="24"/>
        </w:rPr>
        <w:t>In sum, each party has produced evidence that could persuade a jury to resolve the exemption issue in its favor. Since there remains a genuine dispute as to what Plaintiff's primary duty was, it would be inappropriate to enter summary judgment for either party on this issue.</w:t>
      </w:r>
    </w:p>
    <w:p w14:paraId="198CCF9F"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A05BE82" w14:textId="77777777" w:rsidR="00C67B2A" w:rsidRDefault="00C67B2A" w:rsidP="00C67B2A">
      <w:pPr>
        <w:spacing w:before="100" w:beforeAutospacing="1" w:after="100" w:afterAutospacing="1" w:line="240" w:lineRule="auto"/>
        <w:ind w:left="720"/>
        <w:rPr>
          <w:rFonts w:ascii="Times New Roman" w:hAnsi="Times New Roman"/>
          <w:sz w:val="24"/>
          <w:szCs w:val="24"/>
        </w:rPr>
      </w:pPr>
      <w:r w:rsidRPr="00607549">
        <w:rPr>
          <w:rFonts w:ascii="Times New Roman" w:hAnsi="Times New Roman"/>
          <w:sz w:val="24"/>
          <w:szCs w:val="24"/>
        </w:rPr>
        <w:lastRenderedPageBreak/>
        <w:t xml:space="preserve">Defendant argues that caselaw from other circuit courts, the Department of Labor's regulations, and a Department of Labor opinion letter comport with Defendant's compensation scheme, and Defendant asks the Court to infer from the mere existence of these authorities that Defendant relied on them in good faith. </w:t>
      </w:r>
      <w:proofErr w:type="spellStart"/>
      <w:r w:rsidRPr="00607549">
        <w:rPr>
          <w:rFonts w:ascii="Times New Roman" w:hAnsi="Times New Roman"/>
          <w:sz w:val="24"/>
          <w:szCs w:val="24"/>
        </w:rPr>
        <w:t>Def.'s</w:t>
      </w:r>
      <w:proofErr w:type="spellEnd"/>
      <w:r w:rsidRPr="00607549">
        <w:rPr>
          <w:rFonts w:ascii="Times New Roman" w:hAnsi="Times New Roman"/>
          <w:sz w:val="24"/>
          <w:szCs w:val="24"/>
        </w:rPr>
        <w:t xml:space="preserve"> Mem. Law Opp. Pl.'s Mot. Summ. J. at 18. But Defendant has not produced any evidence that it </w:t>
      </w:r>
      <w:proofErr w:type="gramStart"/>
      <w:r w:rsidRPr="00607549">
        <w:rPr>
          <w:rFonts w:ascii="Times New Roman" w:hAnsi="Times New Roman"/>
          <w:sz w:val="24"/>
          <w:szCs w:val="24"/>
        </w:rPr>
        <w:t>actually reviewed</w:t>
      </w:r>
      <w:proofErr w:type="gramEnd"/>
      <w:r w:rsidRPr="00607549">
        <w:rPr>
          <w:rFonts w:ascii="Times New Roman" w:hAnsi="Times New Roman"/>
          <w:sz w:val="24"/>
          <w:szCs w:val="24"/>
        </w:rPr>
        <w:t xml:space="preserve"> or was aware of these authorities when it decided to stop paying First Deputies overtime or at any point thereafter. While these authorities might support a conclusion that Defendant had a reasonable basis to change compensation schemes, they cannot support a finding of good faith unless Defendant can show that Defendant </w:t>
      </w:r>
      <w:proofErr w:type="gramStart"/>
      <w:r w:rsidRPr="00607549">
        <w:rPr>
          <w:rFonts w:ascii="Times New Roman" w:hAnsi="Times New Roman"/>
          <w:sz w:val="24"/>
          <w:szCs w:val="24"/>
        </w:rPr>
        <w:t>actually consulted</w:t>
      </w:r>
      <w:proofErr w:type="gramEnd"/>
      <w:r w:rsidRPr="00607549">
        <w:rPr>
          <w:rFonts w:ascii="Times New Roman" w:hAnsi="Times New Roman"/>
          <w:sz w:val="24"/>
          <w:szCs w:val="24"/>
        </w:rPr>
        <w:t xml:space="preserve"> them</w:t>
      </w:r>
      <w:r>
        <w:rPr>
          <w:rFonts w:ascii="Times New Roman" w:hAnsi="Times New Roman"/>
          <w:sz w:val="24"/>
          <w:szCs w:val="24"/>
        </w:rPr>
        <w:t xml:space="preserve">…. </w:t>
      </w:r>
      <w:r w:rsidRPr="00607549">
        <w:rPr>
          <w:rFonts w:ascii="Times New Roman" w:hAnsi="Times New Roman"/>
          <w:sz w:val="24"/>
          <w:szCs w:val="24"/>
        </w:rPr>
        <w:t>It is yet to be determined whether Defendant's compensation scheme violated the FLSA. But if a jury finds that it did, then Plaintiff will be entitled to liquidated damages.</w:t>
      </w:r>
      <w:r>
        <w:rPr>
          <w:rFonts w:ascii="Times New Roman" w:hAnsi="Times New Roman"/>
          <w:sz w:val="24"/>
          <w:szCs w:val="24"/>
        </w:rPr>
        <w:t xml:space="preserve">” </w:t>
      </w:r>
      <w:hyperlink r:id="rId1754" w:history="1">
        <w:r w:rsidRPr="009545D0">
          <w:rPr>
            <w:rStyle w:val="Hyperlink"/>
            <w:sz w:val="24"/>
            <w:szCs w:val="24"/>
          </w:rPr>
          <w:t>https://public.fastcase.com/9SKwsfNqTc6OieYDhNMyM6wIjV%2FgrP6%2B9MDXlv1tVkNXweOaDt%2BbGPgPJ0OsLFYAPgMRGXfDo03cnu2EwM1JQQOl%2Bf0LG6cX5zSOobt1xqY%3D</w:t>
        </w:r>
      </w:hyperlink>
      <w:r>
        <w:rPr>
          <w:rFonts w:ascii="Times New Roman" w:hAnsi="Times New Roman"/>
          <w:sz w:val="24"/>
          <w:szCs w:val="24"/>
        </w:rPr>
        <w:t xml:space="preserve"> </w:t>
      </w:r>
    </w:p>
    <w:p w14:paraId="74DFD987" w14:textId="77777777" w:rsidR="00C67B2A" w:rsidRPr="00607549" w:rsidRDefault="00C67B2A" w:rsidP="00C67B2A">
      <w:pPr>
        <w:spacing w:before="100" w:beforeAutospacing="1" w:after="100" w:afterAutospacing="1" w:line="240" w:lineRule="auto"/>
        <w:rPr>
          <w:rFonts w:ascii="Times New Roman" w:hAnsi="Times New Roman"/>
          <w:b/>
          <w:bCs/>
          <w:sz w:val="24"/>
          <w:szCs w:val="24"/>
        </w:rPr>
      </w:pPr>
      <w:r w:rsidRPr="00607549">
        <w:rPr>
          <w:rFonts w:ascii="Times New Roman" w:hAnsi="Times New Roman"/>
          <w:b/>
          <w:bCs/>
          <w:sz w:val="24"/>
          <w:szCs w:val="24"/>
        </w:rPr>
        <w:t>Legal Lesson Learned:</w:t>
      </w:r>
      <w:r>
        <w:rPr>
          <w:rFonts w:ascii="Times New Roman" w:hAnsi="Times New Roman"/>
          <w:b/>
          <w:bCs/>
          <w:sz w:val="24"/>
          <w:szCs w:val="24"/>
        </w:rPr>
        <w:t xml:space="preserve"> If a FD is going to re-classify officers as “exempt” it is wise to consult with legal counsel or the U.S. Department of Labor to prove you acted in “good faith” to avoid liquidated damages. </w:t>
      </w:r>
    </w:p>
    <w:p w14:paraId="13D6995C" w14:textId="184E075B" w:rsidR="00C67B2A" w:rsidRDefault="00C67B2A"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5</w:t>
      </w:r>
    </w:p>
    <w:p w14:paraId="3ABABD46" w14:textId="77777777" w:rsidR="00C67B2A" w:rsidRDefault="00C67B2A" w:rsidP="00C67B2A">
      <w:pPr>
        <w:rPr>
          <w:rFonts w:ascii="Arial Black" w:eastAsia="Times New Roman" w:hAnsi="Arial Black"/>
          <w:sz w:val="28"/>
          <w:szCs w:val="28"/>
        </w:rPr>
      </w:pPr>
      <w:r>
        <w:rPr>
          <w:rFonts w:ascii="Arial Black" w:eastAsia="Times New Roman" w:hAnsi="Arial Black"/>
          <w:sz w:val="28"/>
          <w:szCs w:val="28"/>
        </w:rPr>
        <w:t>OH: VILLAGE FD FAILED TO PAY ANY OVERTIME – FF GET $25K BACK PAY – DOUBLED LIQUIDATED DAMAGES - $50K</w:t>
      </w:r>
    </w:p>
    <w:p w14:paraId="28FC0810" w14:textId="77777777" w:rsidR="00C67B2A" w:rsidRDefault="00C67B2A" w:rsidP="00C67B2A">
      <w:pPr>
        <w:rPr>
          <w:rFonts w:ascii="Times New Roman" w:eastAsia="Times New Roman" w:hAnsi="Times New Roman"/>
          <w:sz w:val="24"/>
          <w:szCs w:val="24"/>
        </w:rPr>
      </w:pPr>
      <w:r>
        <w:rPr>
          <w:rFonts w:ascii="Times New Roman" w:eastAsia="Times New Roman" w:hAnsi="Times New Roman"/>
          <w:sz w:val="24"/>
          <w:szCs w:val="24"/>
        </w:rPr>
        <w:t xml:space="preserve">On Oct. 26, 2021, in </w:t>
      </w:r>
      <w:r w:rsidRPr="00485145">
        <w:rPr>
          <w:rFonts w:ascii="Times New Roman" w:eastAsia="Times New Roman" w:hAnsi="Times New Roman"/>
          <w:sz w:val="24"/>
          <w:szCs w:val="24"/>
          <w:u w:val="single"/>
        </w:rPr>
        <w:t>David Vance v. Village of Highland Hills</w:t>
      </w:r>
      <w:r>
        <w:rPr>
          <w:rFonts w:ascii="Times New Roman" w:eastAsia="Times New Roman" w:hAnsi="Times New Roman"/>
          <w:sz w:val="24"/>
          <w:szCs w:val="24"/>
        </w:rPr>
        <w:t>, the U.S. Court of Appeals for 6</w:t>
      </w:r>
      <w:r w:rsidRPr="00485145">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(Cincinnati), held (3 to 0) in unpublished opinion that since the Fire Chief never paid any firefighters overtime, and never established a 28-day pay period, the U.S. District Court judge properly held that the firefighter is entitled to $50,160.90.</w:t>
      </w:r>
    </w:p>
    <w:p w14:paraId="67CE1B49" w14:textId="77777777" w:rsidR="00C67B2A" w:rsidRDefault="00C67B2A" w:rsidP="00C67B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DA1574">
        <w:rPr>
          <w:rFonts w:ascii="Times New Roman" w:eastAsia="Times New Roman" w:hAnsi="Times New Roman"/>
          <w:sz w:val="24"/>
          <w:szCs w:val="24"/>
        </w:rPr>
        <w:t xml:space="preserve">The Village </w:t>
      </w:r>
      <w:r>
        <w:rPr>
          <w:rFonts w:ascii="Times New Roman" w:eastAsia="Times New Roman" w:hAnsi="Times New Roman"/>
          <w:sz w:val="24"/>
          <w:szCs w:val="24"/>
        </w:rPr>
        <w:t>‘</w:t>
      </w:r>
      <w:r w:rsidRPr="00DA1574">
        <w:rPr>
          <w:rFonts w:ascii="Times New Roman" w:eastAsia="Times New Roman" w:hAnsi="Times New Roman"/>
          <w:sz w:val="24"/>
          <w:szCs w:val="24"/>
        </w:rPr>
        <w:t>bears the burden of proving it adopted a work period that brings it within the rule of § 207(k).</w:t>
      </w:r>
      <w:r>
        <w:rPr>
          <w:rFonts w:ascii="Times New Roman" w:eastAsia="Times New Roman" w:hAnsi="Times New Roman"/>
          <w:sz w:val="24"/>
          <w:szCs w:val="24"/>
        </w:rPr>
        <w:t xml:space="preserve">’ </w:t>
      </w:r>
      <w:r w:rsidRPr="00DA1574">
        <w:rPr>
          <w:rFonts w:ascii="Times New Roman" w:eastAsia="Times New Roman" w:hAnsi="Times New Roman"/>
          <w:i/>
          <w:iCs/>
          <w:sz w:val="24"/>
          <w:szCs w:val="24"/>
        </w:rPr>
        <w:t>Brock</w:t>
      </w:r>
      <w:r w:rsidRPr="00DA1574">
        <w:rPr>
          <w:rFonts w:ascii="Times New Roman" w:eastAsia="Times New Roman" w:hAnsi="Times New Roman"/>
          <w:sz w:val="24"/>
          <w:szCs w:val="24"/>
        </w:rPr>
        <w:t xml:space="preserve">, 236 F.3d at 810. Based on the stipulated facts, the district court found that the Village did not meet this burden. The Village did provide evidence that its personnel manual calls for a 28-day pay period for public safety employees and for the payment of overtime, but both parties stipulated that this policy was not applied to Vance. The fire chief himself acknowledged this, noting both that a previous fire chief </w:t>
      </w:r>
      <w:r>
        <w:rPr>
          <w:rFonts w:ascii="Times New Roman" w:eastAsia="Times New Roman" w:hAnsi="Times New Roman"/>
          <w:sz w:val="24"/>
          <w:szCs w:val="24"/>
        </w:rPr>
        <w:t>‘</w:t>
      </w:r>
      <w:r w:rsidRPr="00DA1574">
        <w:rPr>
          <w:rFonts w:ascii="Times New Roman" w:eastAsia="Times New Roman" w:hAnsi="Times New Roman"/>
          <w:sz w:val="24"/>
          <w:szCs w:val="24"/>
        </w:rPr>
        <w:t>used to tell us, you guys can work as much as you want, but you're not going to get paid overtime . . .</w:t>
      </w:r>
      <w:r>
        <w:rPr>
          <w:rFonts w:ascii="Times New Roman" w:eastAsia="Times New Roman" w:hAnsi="Times New Roman"/>
          <w:sz w:val="24"/>
          <w:szCs w:val="24"/>
        </w:rPr>
        <w:t>’</w:t>
      </w:r>
      <w:r w:rsidRPr="00DA1574">
        <w:rPr>
          <w:rFonts w:ascii="Times New Roman" w:eastAsia="Times New Roman" w:hAnsi="Times New Roman"/>
          <w:sz w:val="24"/>
          <w:szCs w:val="24"/>
        </w:rPr>
        <w:t xml:space="preserve"> and that </w:t>
      </w:r>
      <w:r>
        <w:rPr>
          <w:rFonts w:ascii="Times New Roman" w:eastAsia="Times New Roman" w:hAnsi="Times New Roman"/>
          <w:sz w:val="24"/>
          <w:szCs w:val="24"/>
        </w:rPr>
        <w:t>‘</w:t>
      </w:r>
      <w:r w:rsidRPr="00DA1574">
        <w:rPr>
          <w:rFonts w:ascii="Times New Roman" w:eastAsia="Times New Roman" w:hAnsi="Times New Roman"/>
          <w:sz w:val="24"/>
          <w:szCs w:val="24"/>
        </w:rPr>
        <w:t>[t]o my knowledge nobody was paid overtime within our department.</w:t>
      </w:r>
      <w:r>
        <w:rPr>
          <w:rFonts w:ascii="Times New Roman" w:eastAsia="Times New Roman" w:hAnsi="Times New Roman"/>
          <w:sz w:val="24"/>
          <w:szCs w:val="24"/>
        </w:rPr>
        <w:t>’</w:t>
      </w:r>
      <w:r w:rsidRPr="00DA1574">
        <w:rPr>
          <w:rFonts w:ascii="Times New Roman" w:eastAsia="Times New Roman" w:hAnsi="Times New Roman"/>
          <w:sz w:val="24"/>
          <w:szCs w:val="24"/>
        </w:rPr>
        <w:t xml:space="preserve"> This led the district court to find that the Village </w:t>
      </w:r>
      <w:r>
        <w:rPr>
          <w:rFonts w:ascii="Times New Roman" w:eastAsia="Times New Roman" w:hAnsi="Times New Roman"/>
          <w:sz w:val="24"/>
          <w:szCs w:val="24"/>
        </w:rPr>
        <w:t>‘</w:t>
      </w:r>
      <w:r w:rsidRPr="00DA1574">
        <w:rPr>
          <w:rFonts w:ascii="Times New Roman" w:eastAsia="Times New Roman" w:hAnsi="Times New Roman"/>
          <w:sz w:val="24"/>
          <w:szCs w:val="24"/>
        </w:rPr>
        <w:t>did not establish a 28-day work period as the § 207(k) exemption required[, ]</w:t>
      </w:r>
      <w:r>
        <w:rPr>
          <w:rFonts w:ascii="Times New Roman" w:eastAsia="Times New Roman" w:hAnsi="Times New Roman"/>
          <w:sz w:val="24"/>
          <w:szCs w:val="24"/>
        </w:rPr>
        <w:t>’</w:t>
      </w:r>
      <w:r w:rsidRPr="00DA1574">
        <w:rPr>
          <w:rFonts w:ascii="Times New Roman" w:eastAsia="Times New Roman" w:hAnsi="Times New Roman"/>
          <w:sz w:val="24"/>
          <w:szCs w:val="24"/>
        </w:rPr>
        <w:t xml:space="preserve"> and </w:t>
      </w:r>
      <w:r>
        <w:rPr>
          <w:rFonts w:ascii="Times New Roman" w:eastAsia="Times New Roman" w:hAnsi="Times New Roman"/>
          <w:sz w:val="24"/>
          <w:szCs w:val="24"/>
        </w:rPr>
        <w:t>‘</w:t>
      </w:r>
      <w:r w:rsidRPr="00DA1574">
        <w:rPr>
          <w:rFonts w:ascii="Times New Roman" w:eastAsia="Times New Roman" w:hAnsi="Times New Roman"/>
          <w:sz w:val="24"/>
          <w:szCs w:val="24"/>
        </w:rPr>
        <w:t>[t]here is no indication that the fire department ever actually followed the employee manual policy with respect to [Vance].</w:t>
      </w:r>
      <w:r>
        <w:rPr>
          <w:rFonts w:ascii="Times New Roman" w:eastAsia="Times New Roman" w:hAnsi="Times New Roman"/>
          <w:sz w:val="24"/>
          <w:szCs w:val="24"/>
        </w:rPr>
        <w:t>’</w:t>
      </w:r>
      <w:r w:rsidRPr="00DA1574">
        <w:rPr>
          <w:rFonts w:ascii="Times New Roman" w:eastAsia="Times New Roman" w:hAnsi="Times New Roman"/>
          <w:sz w:val="24"/>
          <w:szCs w:val="24"/>
        </w:rPr>
        <w:t xml:space="preserve"> </w:t>
      </w:r>
      <w:r w:rsidRPr="00DA1574">
        <w:rPr>
          <w:rFonts w:ascii="Times New Roman" w:eastAsia="Times New Roman" w:hAnsi="Times New Roman"/>
          <w:i/>
          <w:iCs/>
          <w:sz w:val="24"/>
          <w:szCs w:val="24"/>
        </w:rPr>
        <w:t>Vance</w:t>
      </w:r>
      <w:r w:rsidRPr="00DA1574">
        <w:rPr>
          <w:rFonts w:ascii="Times New Roman" w:eastAsia="Times New Roman" w:hAnsi="Times New Roman"/>
          <w:sz w:val="24"/>
          <w:szCs w:val="24"/>
        </w:rPr>
        <w:t>, 2020 WL 7490100, at *2-3. This conclusion is well-supported by the record, and it was not erroneous. We affirm.</w:t>
      </w:r>
      <w:r>
        <w:rPr>
          <w:rFonts w:ascii="Times New Roman" w:eastAsia="Times New Roman" w:hAnsi="Times New Roman"/>
          <w:sz w:val="24"/>
          <w:szCs w:val="24"/>
        </w:rPr>
        <w:t xml:space="preserve">”  </w:t>
      </w:r>
      <w:hyperlink r:id="rId1755" w:history="1">
        <w:r w:rsidRPr="009545D0">
          <w:rPr>
            <w:rStyle w:val="Hyperlink"/>
            <w:sz w:val="24"/>
            <w:szCs w:val="24"/>
          </w:rPr>
          <w:t>https://www.opn.ca6.uscourts.gov/opinions.pdf/21a0485n-06.pdf</w:t>
        </w:r>
      </w:hyperlink>
      <w:r>
        <w:rPr>
          <w:rFonts w:ascii="Times New Roman" w:eastAsia="Times New Roman" w:hAnsi="Times New Roman"/>
          <w:sz w:val="24"/>
          <w:szCs w:val="24"/>
        </w:rPr>
        <w:t xml:space="preserve"> </w:t>
      </w:r>
    </w:p>
    <w:p w14:paraId="0CEE2F0D" w14:textId="77777777" w:rsidR="00C67B2A" w:rsidRPr="00DA1574" w:rsidRDefault="00C67B2A" w:rsidP="00C67B2A">
      <w:pPr>
        <w:spacing w:before="100" w:beforeAutospacing="1" w:after="100" w:afterAutospacing="1" w:line="240" w:lineRule="auto"/>
        <w:jc w:val="both"/>
        <w:rPr>
          <w:rFonts w:ascii="Times New Roman" w:eastAsia="Times New Roman" w:hAnsi="Times New Roman"/>
          <w:b/>
          <w:bCs/>
          <w:sz w:val="24"/>
          <w:szCs w:val="24"/>
        </w:rPr>
      </w:pPr>
      <w:r w:rsidRPr="00DA1574">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Under the FLSA, liquidated damages are designed to punish an employer who ignores the law. </w:t>
      </w:r>
    </w:p>
    <w:p w14:paraId="288FBE25" w14:textId="77777777" w:rsidR="00C67B2A" w:rsidRPr="00DA1574" w:rsidRDefault="00C67B2A" w:rsidP="00C67B2A">
      <w:pPr>
        <w:spacing w:before="100" w:beforeAutospacing="1" w:after="100" w:afterAutospacing="1" w:line="240" w:lineRule="auto"/>
        <w:ind w:left="720"/>
        <w:rPr>
          <w:rFonts w:ascii="Times New Roman" w:eastAsia="Times New Roman" w:hAnsi="Times New Roman"/>
          <w:b/>
          <w:bCs/>
          <w:sz w:val="24"/>
          <w:szCs w:val="24"/>
        </w:rPr>
      </w:pPr>
      <w:r w:rsidRPr="00DA1574">
        <w:rPr>
          <w:rFonts w:ascii="Times New Roman" w:eastAsia="Times New Roman" w:hAnsi="Times New Roman"/>
          <w:sz w:val="24"/>
          <w:szCs w:val="24"/>
        </w:rPr>
        <w:t xml:space="preserve">Note: Good faith exception under FLSA: </w:t>
      </w:r>
      <w:hyperlink r:id="rId1756" w:history="1">
        <w:r w:rsidRPr="009545D0">
          <w:rPr>
            <w:rStyle w:val="Hyperlink"/>
            <w:sz w:val="24"/>
            <w:szCs w:val="24"/>
          </w:rPr>
          <w:t>https://www.law.cornell.edu/uscode/text/29/260</w:t>
        </w:r>
      </w:hyperlink>
      <w:r>
        <w:rPr>
          <w:rFonts w:ascii="Times New Roman" w:eastAsia="Times New Roman" w:hAnsi="Times New Roman"/>
          <w:sz w:val="24"/>
          <w:szCs w:val="24"/>
        </w:rPr>
        <w:t xml:space="preserve"> </w:t>
      </w:r>
      <w:r>
        <w:rPr>
          <w:rFonts w:ascii="Times New Roman" w:hAnsi="Times New Roman"/>
          <w:sz w:val="24"/>
          <w:szCs w:val="24"/>
        </w:rPr>
        <w:t>“</w:t>
      </w:r>
      <w:r w:rsidRPr="00DA1574">
        <w:rPr>
          <w:rFonts w:ascii="Times New Roman" w:hAnsi="Times New Roman"/>
          <w:sz w:val="24"/>
          <w:szCs w:val="24"/>
        </w:rPr>
        <w:t xml:space="preserve">In any action commenced prior to or on or after </w:t>
      </w:r>
      <w:r w:rsidRPr="00DA1574">
        <w:rPr>
          <w:rStyle w:val="Date2"/>
          <w:rFonts w:ascii="Times New Roman" w:hAnsi="Times New Roman"/>
          <w:sz w:val="24"/>
          <w:szCs w:val="24"/>
        </w:rPr>
        <w:t>May 14, 1947</w:t>
      </w:r>
      <w:r w:rsidRPr="00DA1574">
        <w:rPr>
          <w:rFonts w:ascii="Times New Roman" w:hAnsi="Times New Roman"/>
          <w:sz w:val="24"/>
          <w:szCs w:val="24"/>
        </w:rPr>
        <w:t xml:space="preserve"> to recover unpaid minimum</w:t>
      </w:r>
      <w:hyperlink r:id="rId1757" w:history="1">
        <w:r w:rsidRPr="00DA1574">
          <w:rPr>
            <w:rStyle w:val="Hyperlink"/>
            <w:sz w:val="24"/>
            <w:szCs w:val="24"/>
          </w:rPr>
          <w:t xml:space="preserve"> wages,</w:t>
        </w:r>
      </w:hyperlink>
      <w:r w:rsidRPr="00DA1574">
        <w:rPr>
          <w:rFonts w:ascii="Times New Roman" w:hAnsi="Times New Roman"/>
          <w:sz w:val="24"/>
          <w:szCs w:val="24"/>
        </w:rPr>
        <w:t xml:space="preserve"> unpaid overtime compensation, or liquidated damages, under the </w:t>
      </w:r>
      <w:hyperlink r:id="rId1758" w:history="1">
        <w:r w:rsidRPr="00DA1574">
          <w:rPr>
            <w:rStyle w:val="Hyperlink"/>
            <w:sz w:val="24"/>
            <w:szCs w:val="24"/>
          </w:rPr>
          <w:t>Fair Labor Standards Act of 1938</w:t>
        </w:r>
      </w:hyperlink>
      <w:r w:rsidRPr="00DA1574">
        <w:rPr>
          <w:rFonts w:ascii="Times New Roman" w:hAnsi="Times New Roman"/>
          <w:sz w:val="24"/>
          <w:szCs w:val="24"/>
        </w:rPr>
        <w:t>, as amended [</w:t>
      </w:r>
      <w:hyperlink r:id="rId1759" w:history="1">
        <w:r w:rsidRPr="00DA1574">
          <w:rPr>
            <w:rStyle w:val="Hyperlink"/>
            <w:sz w:val="24"/>
            <w:szCs w:val="24"/>
          </w:rPr>
          <w:t>29 U.S.C. 201</w:t>
        </w:r>
      </w:hyperlink>
      <w:r w:rsidRPr="00DA1574">
        <w:rPr>
          <w:rFonts w:ascii="Times New Roman" w:hAnsi="Times New Roman"/>
          <w:sz w:val="24"/>
          <w:szCs w:val="24"/>
        </w:rPr>
        <w:t xml:space="preserve"> et seq.], if the</w:t>
      </w:r>
      <w:hyperlink r:id="rId1760" w:history="1">
        <w:r w:rsidRPr="00DA1574">
          <w:rPr>
            <w:rStyle w:val="Hyperlink"/>
            <w:sz w:val="24"/>
            <w:szCs w:val="24"/>
          </w:rPr>
          <w:t xml:space="preserve"> employer </w:t>
        </w:r>
      </w:hyperlink>
      <w:r w:rsidRPr="00DA1574">
        <w:rPr>
          <w:rFonts w:ascii="Times New Roman" w:hAnsi="Times New Roman"/>
          <w:sz w:val="24"/>
          <w:szCs w:val="24"/>
        </w:rPr>
        <w:t xml:space="preserve">shows to the satisfaction of the court that the act or omission giving rise to such action was in good faith and that he had reasonable grounds for believing that his act or omission was not a violation of the </w:t>
      </w:r>
      <w:hyperlink r:id="rId1761" w:history="1">
        <w:r w:rsidRPr="00DA1574">
          <w:rPr>
            <w:rStyle w:val="Hyperlink"/>
            <w:sz w:val="24"/>
            <w:szCs w:val="24"/>
          </w:rPr>
          <w:t>Fair Labor Standards Act of 1938</w:t>
        </w:r>
      </w:hyperlink>
      <w:r w:rsidRPr="00DA1574">
        <w:rPr>
          <w:rFonts w:ascii="Times New Roman" w:hAnsi="Times New Roman"/>
          <w:sz w:val="24"/>
          <w:szCs w:val="24"/>
        </w:rPr>
        <w:t xml:space="preserve">, as amended, the court may, in </w:t>
      </w:r>
      <w:r w:rsidRPr="00DA1574">
        <w:rPr>
          <w:rFonts w:ascii="Times New Roman" w:hAnsi="Times New Roman"/>
          <w:sz w:val="24"/>
          <w:szCs w:val="24"/>
        </w:rPr>
        <w:lastRenderedPageBreak/>
        <w:t xml:space="preserve">its sound discretion, award no liquidated damages or award any amount thereof not to exceed the amount specified in </w:t>
      </w:r>
      <w:hyperlink r:id="rId1762" w:history="1">
        <w:r w:rsidRPr="00DA1574">
          <w:rPr>
            <w:rStyle w:val="Hyperlink"/>
            <w:sz w:val="24"/>
            <w:szCs w:val="24"/>
          </w:rPr>
          <w:t>section 216 of this title</w:t>
        </w:r>
      </w:hyperlink>
      <w:r w:rsidRPr="00DA1574">
        <w:rPr>
          <w:rFonts w:ascii="Times New Roman" w:hAnsi="Times New Roman"/>
          <w:sz w:val="24"/>
          <w:szCs w:val="24"/>
        </w:rPr>
        <w:t>.</w:t>
      </w:r>
      <w:r>
        <w:rPr>
          <w:rFonts w:ascii="Times New Roman" w:hAnsi="Times New Roman"/>
          <w:sz w:val="24"/>
          <w:szCs w:val="24"/>
        </w:rPr>
        <w:t>”</w:t>
      </w:r>
    </w:p>
    <w:p w14:paraId="65E28ACE" w14:textId="77777777" w:rsidR="00C67B2A" w:rsidRDefault="00C67B2A" w:rsidP="00F326E5">
      <w:pPr>
        <w:rPr>
          <w:rFonts w:ascii="Arial Black" w:hAnsi="Arial Black"/>
          <w:b/>
          <w:sz w:val="24"/>
          <w:szCs w:val="24"/>
        </w:rPr>
      </w:pPr>
    </w:p>
    <w:p w14:paraId="4DF2F127" w14:textId="660C835F" w:rsidR="00C67B2A" w:rsidRDefault="00C67B2A" w:rsidP="00F326E5">
      <w:pPr>
        <w:rPr>
          <w:rFonts w:ascii="Arial Black" w:hAnsi="Arial Black"/>
          <w:b/>
          <w:sz w:val="24"/>
          <w:szCs w:val="24"/>
        </w:rPr>
      </w:pPr>
      <w:r>
        <w:rPr>
          <w:rFonts w:ascii="Arial Black" w:hAnsi="Arial Black"/>
          <w:b/>
          <w:sz w:val="24"/>
          <w:szCs w:val="24"/>
        </w:rPr>
        <w:t>11-</w:t>
      </w:r>
      <w:r w:rsidR="00885321">
        <w:rPr>
          <w:rFonts w:ascii="Arial Black" w:hAnsi="Arial Black"/>
          <w:b/>
          <w:sz w:val="24"/>
          <w:szCs w:val="24"/>
        </w:rPr>
        <w:t>3</w:t>
      </w:r>
      <w:r w:rsidR="00912048">
        <w:rPr>
          <w:rFonts w:ascii="Arial Black" w:hAnsi="Arial Black"/>
          <w:b/>
          <w:sz w:val="24"/>
          <w:szCs w:val="24"/>
        </w:rPr>
        <w:t>4</w:t>
      </w:r>
    </w:p>
    <w:p w14:paraId="6478C3D0" w14:textId="77777777" w:rsidR="00774A91" w:rsidRPr="002531E2" w:rsidRDefault="00774A91" w:rsidP="00774A91">
      <w:pPr>
        <w:spacing w:before="100" w:beforeAutospacing="1" w:after="100" w:afterAutospacing="1" w:line="240" w:lineRule="auto"/>
        <w:rPr>
          <w:rFonts w:ascii="Arial Black" w:hAnsi="Arial Black"/>
          <w:sz w:val="28"/>
          <w:szCs w:val="28"/>
        </w:rPr>
      </w:pPr>
      <w:r>
        <w:rPr>
          <w:rFonts w:ascii="Arial Black" w:hAnsi="Arial Black"/>
          <w:sz w:val="28"/>
          <w:szCs w:val="28"/>
        </w:rPr>
        <w:t>MO: FLSA VIOLATED – 450 FF – CITY PAID OVERTIME WITHOUT “REGULATE RATE” – CBA NOT DEFENSE</w:t>
      </w:r>
    </w:p>
    <w:p w14:paraId="07FCDE0E" w14:textId="77777777" w:rsidR="00774A91" w:rsidRPr="004E4533" w:rsidRDefault="00774A91" w:rsidP="00774A91">
      <w:pPr>
        <w:spacing w:before="100" w:beforeAutospacing="1" w:after="100" w:afterAutospacing="1" w:line="240" w:lineRule="auto"/>
        <w:ind w:left="90"/>
        <w:rPr>
          <w:rFonts w:ascii="Times New Roman" w:hAnsi="Times New Roman"/>
          <w:sz w:val="24"/>
          <w:szCs w:val="24"/>
        </w:rPr>
      </w:pPr>
      <w:r>
        <w:rPr>
          <w:rFonts w:ascii="Times New Roman" w:hAnsi="Times New Roman"/>
          <w:sz w:val="24"/>
          <w:szCs w:val="24"/>
        </w:rPr>
        <w:t xml:space="preserve">On September 29, 2021, in </w:t>
      </w:r>
      <w:r w:rsidRPr="002531E2">
        <w:rPr>
          <w:rFonts w:ascii="Times New Roman" w:hAnsi="Times New Roman"/>
          <w:sz w:val="24"/>
          <w:szCs w:val="24"/>
          <w:u w:val="single"/>
        </w:rPr>
        <w:t>Craig Adams, et al. v. City of Kansas City, Missouri</w:t>
      </w:r>
      <w:r>
        <w:rPr>
          <w:rFonts w:ascii="Times New Roman" w:hAnsi="Times New Roman"/>
          <w:sz w:val="24"/>
          <w:szCs w:val="24"/>
        </w:rPr>
        <w:t xml:space="preserve">, U.S. Magistrate Judge W. Brian Gaddy, U.S. District Court for District of Missouri (Western Division) granted summary judgment in this class action on behalf of 450 firefighters.  The </w:t>
      </w:r>
      <w:proofErr w:type="gramStart"/>
      <w:r>
        <w:rPr>
          <w:rFonts w:ascii="Times New Roman" w:hAnsi="Times New Roman"/>
          <w:sz w:val="24"/>
          <w:szCs w:val="24"/>
        </w:rPr>
        <w:t>City</w:t>
      </w:r>
      <w:proofErr w:type="gramEnd"/>
      <w:r>
        <w:rPr>
          <w:rFonts w:ascii="Times New Roman" w:hAnsi="Times New Roman"/>
          <w:sz w:val="24"/>
          <w:szCs w:val="24"/>
        </w:rPr>
        <w:t xml:space="preserve"> didn’t include their wage augments (such as for HAZMAT cert) in calculating their “regular rate of pay” for time they were working overtime, while they did include wage augments for FF non-overtime hours.  The City’s defense is that they were following the CBA.  </w:t>
      </w:r>
      <w:r w:rsidRPr="004E4533">
        <w:rPr>
          <w:rFonts w:ascii="Times New Roman" w:hAnsi="Times New Roman"/>
          <w:sz w:val="24"/>
          <w:szCs w:val="24"/>
        </w:rPr>
        <w:t>“The CBA pronounces the wage augments ‘shall not be regarded as wages.’ states that wage augments ‘shall not be considered wages.</w:t>
      </w:r>
      <w:r>
        <w:rPr>
          <w:rFonts w:ascii="Times New Roman" w:hAnsi="Times New Roman"/>
          <w:sz w:val="24"/>
          <w:szCs w:val="24"/>
        </w:rPr>
        <w:t>’</w:t>
      </w:r>
      <w:r w:rsidRPr="004E4533">
        <w:rPr>
          <w:rFonts w:ascii="Times New Roman" w:hAnsi="Times New Roman"/>
          <w:sz w:val="24"/>
          <w:szCs w:val="24"/>
        </w:rPr>
        <w:t xml:space="preserve">” </w:t>
      </w:r>
      <w:r>
        <w:rPr>
          <w:rFonts w:ascii="Times New Roman" w:hAnsi="Times New Roman"/>
          <w:sz w:val="24"/>
          <w:szCs w:val="24"/>
        </w:rPr>
        <w:t xml:space="preserve">The Court found that this is violation of FLSA. </w:t>
      </w:r>
    </w:p>
    <w:p w14:paraId="0ADF6A40" w14:textId="77777777" w:rsidR="00774A91" w:rsidRPr="00A37557" w:rsidRDefault="00774A91" w:rsidP="00774A9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A37557">
        <w:rPr>
          <w:rFonts w:ascii="Times New Roman" w:hAnsi="Times New Roman"/>
          <w:sz w:val="24"/>
          <w:szCs w:val="24"/>
        </w:rPr>
        <w:t xml:space="preserve">The </w:t>
      </w:r>
      <w:proofErr w:type="gramStart"/>
      <w:r w:rsidRPr="00A37557">
        <w:rPr>
          <w:rFonts w:ascii="Times New Roman" w:hAnsi="Times New Roman"/>
          <w:sz w:val="24"/>
          <w:szCs w:val="24"/>
        </w:rPr>
        <w:t>City</w:t>
      </w:r>
      <w:proofErr w:type="gramEnd"/>
      <w:r w:rsidRPr="00A37557">
        <w:rPr>
          <w:rFonts w:ascii="Times New Roman" w:hAnsi="Times New Roman"/>
          <w:sz w:val="24"/>
          <w:szCs w:val="24"/>
        </w:rPr>
        <w:t xml:space="preserve"> argues the firefighters are paid a salary, and the salary is intended to compensate the firefighters for working 49.5 hours per week</w:t>
      </w:r>
      <w:r>
        <w:rPr>
          <w:rFonts w:ascii="Times New Roman" w:hAnsi="Times New Roman"/>
          <w:sz w:val="24"/>
          <w:szCs w:val="24"/>
        </w:rPr>
        <w:t xml:space="preserve">…. </w:t>
      </w:r>
      <w:r w:rsidRPr="00A37557">
        <w:rPr>
          <w:rFonts w:ascii="Times New Roman" w:hAnsi="Times New Roman"/>
          <w:sz w:val="24"/>
          <w:szCs w:val="24"/>
        </w:rPr>
        <w:t xml:space="preserve">According to the City, if a firefighter </w:t>
      </w:r>
      <w:r>
        <w:rPr>
          <w:rFonts w:ascii="Times New Roman" w:hAnsi="Times New Roman"/>
          <w:sz w:val="24"/>
          <w:szCs w:val="24"/>
        </w:rPr>
        <w:t>‘</w:t>
      </w:r>
      <w:r w:rsidRPr="00A37557">
        <w:rPr>
          <w:rFonts w:ascii="Times New Roman" w:hAnsi="Times New Roman"/>
          <w:sz w:val="24"/>
          <w:szCs w:val="24"/>
        </w:rPr>
        <w:t>chooses to work beyond those 49.5 hours in a week,</w:t>
      </w:r>
      <w:r>
        <w:rPr>
          <w:rFonts w:ascii="Times New Roman" w:hAnsi="Times New Roman"/>
          <w:sz w:val="24"/>
          <w:szCs w:val="24"/>
        </w:rPr>
        <w:t>’</w:t>
      </w:r>
      <w:r w:rsidRPr="00A37557">
        <w:rPr>
          <w:rFonts w:ascii="Times New Roman" w:hAnsi="Times New Roman"/>
          <w:sz w:val="24"/>
          <w:szCs w:val="24"/>
        </w:rPr>
        <w:t xml:space="preserve"> the firefighter is paid the base hourly rate</w:t>
      </w:r>
      <w:r>
        <w:rPr>
          <w:rFonts w:ascii="Times New Roman" w:hAnsi="Times New Roman"/>
          <w:sz w:val="24"/>
          <w:szCs w:val="24"/>
        </w:rPr>
        <w:t xml:space="preserve">…. </w:t>
      </w:r>
      <w:r w:rsidRPr="00A37557">
        <w:rPr>
          <w:rFonts w:ascii="Times New Roman" w:hAnsi="Times New Roman"/>
          <w:sz w:val="24"/>
          <w:szCs w:val="24"/>
        </w:rPr>
        <w:t xml:space="preserve">The firefighter is not paid the wage augment because the wage augment </w:t>
      </w:r>
      <w:r>
        <w:rPr>
          <w:rFonts w:ascii="Times New Roman" w:hAnsi="Times New Roman"/>
          <w:sz w:val="24"/>
          <w:szCs w:val="24"/>
        </w:rPr>
        <w:t>‘</w:t>
      </w:r>
      <w:r w:rsidRPr="00A37557">
        <w:rPr>
          <w:rFonts w:ascii="Times New Roman" w:hAnsi="Times New Roman"/>
          <w:sz w:val="24"/>
          <w:szCs w:val="24"/>
        </w:rPr>
        <w:t>pay is only to be awarded in addition to the salary, not for hours worked beyond what the salary covers.</w:t>
      </w:r>
      <w:r>
        <w:rPr>
          <w:rFonts w:ascii="Times New Roman" w:hAnsi="Times New Roman"/>
          <w:sz w:val="24"/>
          <w:szCs w:val="24"/>
        </w:rPr>
        <w:t>’</w:t>
      </w:r>
      <w:r w:rsidRPr="00A37557">
        <w:rPr>
          <w:rFonts w:ascii="Times New Roman" w:hAnsi="Times New Roman"/>
          <w:sz w:val="24"/>
          <w:szCs w:val="24"/>
        </w:rPr>
        <w:t xml:space="preserve"> The City, however, cites no authority for this proposition</w:t>
      </w:r>
      <w:r>
        <w:rPr>
          <w:rFonts w:ascii="Times New Roman" w:hAnsi="Times New Roman"/>
          <w:sz w:val="24"/>
          <w:szCs w:val="24"/>
        </w:rPr>
        <w:t xml:space="preserve">…. </w:t>
      </w:r>
    </w:p>
    <w:p w14:paraId="37FBBE57" w14:textId="77777777" w:rsidR="00774A91" w:rsidRPr="00A37557" w:rsidRDefault="00774A91" w:rsidP="00774A91">
      <w:pPr>
        <w:spacing w:before="100" w:beforeAutospacing="1" w:after="100" w:afterAutospacing="1" w:line="240" w:lineRule="auto"/>
        <w:ind w:left="720"/>
        <w:rPr>
          <w:rFonts w:ascii="Times New Roman" w:hAnsi="Times New Roman"/>
          <w:sz w:val="24"/>
          <w:szCs w:val="24"/>
        </w:rPr>
      </w:pPr>
      <w:r w:rsidRPr="00A37557">
        <w:rPr>
          <w:rFonts w:ascii="Times New Roman" w:hAnsi="Times New Roman"/>
          <w:sz w:val="24"/>
          <w:szCs w:val="24"/>
        </w:rPr>
        <w:t xml:space="preserve">Instead, the </w:t>
      </w:r>
      <w:proofErr w:type="gramStart"/>
      <w:r w:rsidRPr="00A37557">
        <w:rPr>
          <w:rFonts w:ascii="Times New Roman" w:hAnsi="Times New Roman"/>
          <w:sz w:val="24"/>
          <w:szCs w:val="24"/>
        </w:rPr>
        <w:t>City</w:t>
      </w:r>
      <w:proofErr w:type="gramEnd"/>
      <w:r w:rsidRPr="00A37557">
        <w:rPr>
          <w:rFonts w:ascii="Times New Roman" w:hAnsi="Times New Roman"/>
          <w:sz w:val="24"/>
          <w:szCs w:val="24"/>
        </w:rPr>
        <w:t xml:space="preserve"> directs the Court’s attention to the CBA, which indicates the wage </w:t>
      </w:r>
      <w:r w:rsidRPr="00A37557">
        <w:rPr>
          <w:rFonts w:ascii="Times New Roman" w:hAnsi="Times New Roman"/>
          <w:sz w:val="24"/>
          <w:szCs w:val="24"/>
        </w:rPr>
        <w:br/>
        <w:t xml:space="preserve">augments are not to be regarded as </w:t>
      </w:r>
      <w:r>
        <w:rPr>
          <w:rFonts w:ascii="Times New Roman" w:hAnsi="Times New Roman"/>
          <w:sz w:val="24"/>
          <w:szCs w:val="24"/>
        </w:rPr>
        <w:t>‘</w:t>
      </w:r>
      <w:r w:rsidRPr="00A37557">
        <w:rPr>
          <w:rFonts w:ascii="Times New Roman" w:hAnsi="Times New Roman"/>
          <w:sz w:val="24"/>
          <w:szCs w:val="24"/>
        </w:rPr>
        <w:t>wages</w:t>
      </w:r>
      <w:r>
        <w:rPr>
          <w:rFonts w:ascii="Times New Roman" w:hAnsi="Times New Roman"/>
          <w:sz w:val="24"/>
          <w:szCs w:val="24"/>
        </w:rPr>
        <w:t>…’</w:t>
      </w:r>
      <w:r w:rsidRPr="00A37557">
        <w:rPr>
          <w:rFonts w:ascii="Times New Roman" w:hAnsi="Times New Roman"/>
          <w:sz w:val="24"/>
          <w:szCs w:val="24"/>
        </w:rPr>
        <w:t>This argument is without merit and ignores the precedent this Court must follow. See Barrentine</w:t>
      </w:r>
      <w:r>
        <w:rPr>
          <w:rFonts w:ascii="Times New Roman" w:hAnsi="Times New Roman"/>
          <w:sz w:val="24"/>
          <w:szCs w:val="24"/>
        </w:rPr>
        <w:t xml:space="preserve"> [v. Arkansas-Best Freight Sys., 450 U.S. 728 (!981); </w:t>
      </w:r>
      <w:hyperlink r:id="rId1763" w:history="1">
        <w:r w:rsidRPr="007B327B">
          <w:rPr>
            <w:rStyle w:val="Hyperlink"/>
            <w:sz w:val="24"/>
            <w:szCs w:val="24"/>
          </w:rPr>
          <w:t>https://supreme.justia.com/cases/federal/us/450/728/</w:t>
        </w:r>
      </w:hyperlink>
      <w:r>
        <w:rPr>
          <w:rFonts w:ascii="Times New Roman" w:hAnsi="Times New Roman"/>
          <w:sz w:val="24"/>
          <w:szCs w:val="24"/>
        </w:rPr>
        <w:t xml:space="preserve"> ]</w:t>
      </w:r>
      <w:r w:rsidRPr="00A37557">
        <w:rPr>
          <w:rFonts w:ascii="Times New Roman" w:hAnsi="Times New Roman"/>
          <w:sz w:val="24"/>
          <w:szCs w:val="24"/>
        </w:rPr>
        <w:t xml:space="preserve">450 U.S. at 740 (holding </w:t>
      </w:r>
      <w:r>
        <w:rPr>
          <w:rFonts w:ascii="Times New Roman" w:hAnsi="Times New Roman"/>
          <w:sz w:val="24"/>
          <w:szCs w:val="24"/>
        </w:rPr>
        <w:t>‘</w:t>
      </w:r>
      <w:r w:rsidRPr="00A37557">
        <w:rPr>
          <w:rFonts w:ascii="Times New Roman" w:hAnsi="Times New Roman"/>
          <w:sz w:val="24"/>
          <w:szCs w:val="24"/>
        </w:rPr>
        <w:t>FLSA rights cannot be abridged by contract or otherwise waived because this would ‘nullify the purposes’ of the statute and thwart the legislative policies it was designed to effectuate.</w:t>
      </w:r>
      <w:r>
        <w:rPr>
          <w:rFonts w:ascii="Times New Roman" w:hAnsi="Times New Roman"/>
          <w:sz w:val="24"/>
          <w:szCs w:val="24"/>
        </w:rPr>
        <w:t>’</w:t>
      </w:r>
      <w:r w:rsidRPr="00A37557">
        <w:rPr>
          <w:rFonts w:ascii="Times New Roman" w:hAnsi="Times New Roman"/>
          <w:sz w:val="24"/>
          <w:szCs w:val="24"/>
        </w:rPr>
        <w:t xml:space="preserve">). The City’s failure to pay the regular rate (i.e., the “one...times the regular rate”) for hours worked </w:t>
      </w:r>
      <w:proofErr w:type="gramStart"/>
      <w:r w:rsidRPr="00A37557">
        <w:rPr>
          <w:rFonts w:ascii="Times New Roman" w:hAnsi="Times New Roman"/>
          <w:sz w:val="24"/>
          <w:szCs w:val="24"/>
        </w:rPr>
        <w:t>in excess of</w:t>
      </w:r>
      <w:proofErr w:type="gramEnd"/>
      <w:r w:rsidRPr="00A37557">
        <w:rPr>
          <w:rFonts w:ascii="Times New Roman" w:hAnsi="Times New Roman"/>
          <w:sz w:val="24"/>
          <w:szCs w:val="24"/>
        </w:rPr>
        <w:t xml:space="preserve"> 212 hours during a 28-day period violates the FLSA.</w:t>
      </w:r>
    </w:p>
    <w:p w14:paraId="4FC1E612" w14:textId="77777777" w:rsidR="00774A91" w:rsidRPr="00A37557" w:rsidRDefault="00774A91" w:rsidP="00774A91">
      <w:pPr>
        <w:spacing w:before="100" w:beforeAutospacing="1" w:after="100" w:afterAutospacing="1" w:line="240" w:lineRule="auto"/>
        <w:ind w:left="720"/>
        <w:rPr>
          <w:rFonts w:ascii="Times New Roman" w:eastAsia="Times New Roman" w:hAnsi="Times New Roman"/>
          <w:sz w:val="24"/>
          <w:szCs w:val="24"/>
        </w:rPr>
      </w:pPr>
      <w:r w:rsidRPr="00A37557">
        <w:rPr>
          <w:rFonts w:ascii="Times New Roman" w:hAnsi="Times New Roman"/>
          <w:sz w:val="24"/>
          <w:szCs w:val="24"/>
        </w:rPr>
        <w:t xml:space="preserve">Because, at a minimum, the City failed to pay the regular rate (i.e., the </w:t>
      </w:r>
      <w:r>
        <w:rPr>
          <w:rFonts w:ascii="Times New Roman" w:hAnsi="Times New Roman"/>
          <w:sz w:val="24"/>
          <w:szCs w:val="24"/>
        </w:rPr>
        <w:t>‘</w:t>
      </w:r>
      <w:r w:rsidRPr="00A37557">
        <w:rPr>
          <w:rFonts w:ascii="Times New Roman" w:hAnsi="Times New Roman"/>
          <w:sz w:val="24"/>
          <w:szCs w:val="24"/>
        </w:rPr>
        <w:t xml:space="preserve">one...times the </w:t>
      </w:r>
      <w:r w:rsidRPr="00A37557">
        <w:rPr>
          <w:rFonts w:ascii="Times New Roman" w:hAnsi="Times New Roman"/>
          <w:sz w:val="24"/>
          <w:szCs w:val="24"/>
        </w:rPr>
        <w:br/>
        <w:t>regular rate</w:t>
      </w:r>
      <w:r>
        <w:rPr>
          <w:rFonts w:ascii="Times New Roman" w:hAnsi="Times New Roman"/>
          <w:sz w:val="24"/>
          <w:szCs w:val="24"/>
        </w:rPr>
        <w:t>’</w:t>
      </w:r>
      <w:r w:rsidRPr="00A37557">
        <w:rPr>
          <w:rFonts w:ascii="Times New Roman" w:hAnsi="Times New Roman"/>
          <w:sz w:val="24"/>
          <w:szCs w:val="24"/>
        </w:rPr>
        <w:t>) for hours worked in excess of 212 hours during a 28-day period, and thus, violated the FLSA, the Court DENIES the City’s motion for summary judgment on the issue of whether it violated the FLSA and GRANTS Plaintiffs’ motion for partial summary judgment.</w:t>
      </w:r>
      <w:r>
        <w:rPr>
          <w:rFonts w:ascii="Times New Roman" w:hAnsi="Times New Roman"/>
          <w:sz w:val="24"/>
          <w:szCs w:val="24"/>
        </w:rPr>
        <w:t xml:space="preserve">” </w:t>
      </w:r>
      <w:hyperlink r:id="rId1764" w:history="1">
        <w:r w:rsidRPr="007B327B">
          <w:rPr>
            <w:rStyle w:val="Hyperlink"/>
            <w:sz w:val="24"/>
            <w:szCs w:val="24"/>
          </w:rPr>
          <w:t>https://www.govinfo.gov/content/pkg/USCOURTS-mowd-4_19-cv-00093/pdf/USCOURTS-mowd-4_19-cv-00093-1.pdf</w:t>
        </w:r>
      </w:hyperlink>
      <w:r>
        <w:rPr>
          <w:rFonts w:ascii="Times New Roman" w:hAnsi="Times New Roman"/>
          <w:sz w:val="24"/>
          <w:szCs w:val="24"/>
        </w:rPr>
        <w:t xml:space="preserve"> </w:t>
      </w:r>
    </w:p>
    <w:p w14:paraId="0103AD6F" w14:textId="77777777" w:rsidR="00774A91" w:rsidRDefault="00774A91" w:rsidP="00774A91">
      <w:pPr>
        <w:spacing w:before="100" w:beforeAutospacing="1" w:after="100" w:afterAutospacing="1" w:line="240" w:lineRule="auto"/>
        <w:rPr>
          <w:rFonts w:ascii="Times New Roman" w:hAnsi="Times New Roman"/>
          <w:b/>
          <w:bCs/>
          <w:sz w:val="24"/>
          <w:szCs w:val="24"/>
        </w:rPr>
      </w:pPr>
      <w:r w:rsidRPr="004E4533">
        <w:rPr>
          <w:rFonts w:ascii="Times New Roman" w:hAnsi="Times New Roman"/>
          <w:b/>
          <w:bCs/>
          <w:sz w:val="24"/>
          <w:szCs w:val="24"/>
        </w:rPr>
        <w:t xml:space="preserve">Legal Lesson Learned: </w:t>
      </w:r>
      <w:r>
        <w:rPr>
          <w:rFonts w:ascii="Times New Roman" w:hAnsi="Times New Roman"/>
          <w:b/>
          <w:bCs/>
          <w:sz w:val="24"/>
          <w:szCs w:val="24"/>
        </w:rPr>
        <w:t>The City will now have to pay back pay; the amount is based on whether the Court finds this a “willful” violation (3 years versus 2 years back pay) and “liquidated damages” (back pay doubles) if City did not act in good faith.</w:t>
      </w:r>
    </w:p>
    <w:p w14:paraId="05211C39" w14:textId="77777777" w:rsidR="00774A91" w:rsidRDefault="00774A91" w:rsidP="00774A9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w:t>
      </w:r>
      <w:r w:rsidRPr="004E4533">
        <w:rPr>
          <w:rFonts w:ascii="Times New Roman" w:hAnsi="Times New Roman"/>
          <w:sz w:val="24"/>
          <w:szCs w:val="24"/>
        </w:rPr>
        <w:t xml:space="preserve">Under the FLSA, the statute of limitations is “two years after the cause of action accrued...except that a cause of action arising out of a willful violation may be </w:t>
      </w:r>
      <w:r w:rsidRPr="004E4533">
        <w:rPr>
          <w:rFonts w:ascii="Times New Roman" w:hAnsi="Times New Roman"/>
          <w:sz w:val="24"/>
          <w:szCs w:val="24"/>
        </w:rPr>
        <w:br/>
        <w:t>commenced within three years after the cause of action accrued.” 29 U.S.C. § 255(a)</w:t>
      </w:r>
    </w:p>
    <w:p w14:paraId="62446037" w14:textId="77777777" w:rsidR="00774A91" w:rsidRPr="00697B15" w:rsidRDefault="00774A91" w:rsidP="00774A91">
      <w:pPr>
        <w:spacing w:before="100" w:beforeAutospacing="1" w:after="100" w:afterAutospacing="1" w:line="240" w:lineRule="auto"/>
        <w:ind w:left="720"/>
        <w:rPr>
          <w:rFonts w:ascii="Times New Roman" w:hAnsi="Times New Roman"/>
          <w:b/>
          <w:bCs/>
          <w:sz w:val="24"/>
          <w:szCs w:val="24"/>
        </w:rPr>
      </w:pPr>
      <w:r w:rsidRPr="00697B15">
        <w:rPr>
          <w:rFonts w:ascii="Times New Roman" w:hAnsi="Times New Roman"/>
          <w:sz w:val="24"/>
          <w:szCs w:val="24"/>
        </w:rPr>
        <w:lastRenderedPageBreak/>
        <w:t xml:space="preserve">If an employer violates 29 U.S.C. § 207, the employer is liable to the affected </w:t>
      </w:r>
      <w:r w:rsidRPr="00697B15">
        <w:rPr>
          <w:rFonts w:ascii="Times New Roman" w:hAnsi="Times New Roman"/>
          <w:sz w:val="24"/>
          <w:szCs w:val="24"/>
        </w:rPr>
        <w:br/>
        <w:t xml:space="preserve">employees in the amount of unpaid overtime compensation, and it may also be liable for </w:t>
      </w:r>
      <w:r>
        <w:rPr>
          <w:rFonts w:ascii="Times New Roman" w:hAnsi="Times New Roman"/>
          <w:sz w:val="24"/>
          <w:szCs w:val="24"/>
        </w:rPr>
        <w:t>‘</w:t>
      </w:r>
      <w:r w:rsidRPr="00697B15">
        <w:rPr>
          <w:rFonts w:ascii="Times New Roman" w:hAnsi="Times New Roman"/>
          <w:sz w:val="24"/>
          <w:szCs w:val="24"/>
        </w:rPr>
        <w:t>an additional equal amount as liquidated damages.</w:t>
      </w:r>
      <w:r>
        <w:rPr>
          <w:rFonts w:ascii="Times New Roman" w:hAnsi="Times New Roman"/>
          <w:sz w:val="24"/>
          <w:szCs w:val="24"/>
        </w:rPr>
        <w:t>’</w:t>
      </w:r>
      <w:r w:rsidRPr="00697B15">
        <w:rPr>
          <w:rFonts w:ascii="Times New Roman" w:hAnsi="Times New Roman"/>
          <w:sz w:val="24"/>
          <w:szCs w:val="24"/>
        </w:rPr>
        <w:t xml:space="preserve"> 29 U.S.C. § 216(b). If the employer </w:t>
      </w:r>
      <w:r>
        <w:rPr>
          <w:rFonts w:ascii="Times New Roman" w:hAnsi="Times New Roman"/>
          <w:sz w:val="24"/>
          <w:szCs w:val="24"/>
        </w:rPr>
        <w:t>‘</w:t>
      </w:r>
      <w:r w:rsidRPr="00697B15">
        <w:rPr>
          <w:rFonts w:ascii="Times New Roman" w:hAnsi="Times New Roman"/>
          <w:sz w:val="24"/>
          <w:szCs w:val="24"/>
        </w:rPr>
        <w:t>shows to the satisfaction of the court</w:t>
      </w:r>
      <w:r>
        <w:rPr>
          <w:rFonts w:ascii="Times New Roman" w:hAnsi="Times New Roman"/>
          <w:sz w:val="24"/>
          <w:szCs w:val="24"/>
        </w:rPr>
        <w:t>’</w:t>
      </w:r>
      <w:r w:rsidRPr="00697B15">
        <w:rPr>
          <w:rFonts w:ascii="Times New Roman" w:hAnsi="Times New Roman"/>
          <w:sz w:val="24"/>
          <w:szCs w:val="24"/>
        </w:rPr>
        <w:t xml:space="preserve"> that its actions were </w:t>
      </w:r>
      <w:r>
        <w:rPr>
          <w:rFonts w:ascii="Times New Roman" w:hAnsi="Times New Roman"/>
          <w:sz w:val="24"/>
          <w:szCs w:val="24"/>
        </w:rPr>
        <w:t>‘</w:t>
      </w:r>
      <w:r w:rsidRPr="00697B15">
        <w:rPr>
          <w:rFonts w:ascii="Times New Roman" w:hAnsi="Times New Roman"/>
          <w:sz w:val="24"/>
          <w:szCs w:val="24"/>
        </w:rPr>
        <w:t>in good faith</w:t>
      </w:r>
      <w:r>
        <w:rPr>
          <w:rFonts w:ascii="Times New Roman" w:hAnsi="Times New Roman"/>
          <w:sz w:val="24"/>
          <w:szCs w:val="24"/>
        </w:rPr>
        <w:t>’</w:t>
      </w:r>
      <w:r w:rsidRPr="00697B15">
        <w:rPr>
          <w:rFonts w:ascii="Times New Roman" w:hAnsi="Times New Roman"/>
          <w:sz w:val="24"/>
          <w:szCs w:val="24"/>
        </w:rPr>
        <w:t xml:space="preserve"> and it </w:t>
      </w:r>
      <w:r>
        <w:rPr>
          <w:rFonts w:ascii="Times New Roman" w:hAnsi="Times New Roman"/>
          <w:sz w:val="24"/>
          <w:szCs w:val="24"/>
        </w:rPr>
        <w:t>‘</w:t>
      </w:r>
      <w:r w:rsidRPr="00697B15">
        <w:rPr>
          <w:rFonts w:ascii="Times New Roman" w:hAnsi="Times New Roman"/>
          <w:sz w:val="24"/>
          <w:szCs w:val="24"/>
        </w:rPr>
        <w:t>had reasonable grounds</w:t>
      </w:r>
      <w:r>
        <w:rPr>
          <w:rFonts w:ascii="Times New Roman" w:hAnsi="Times New Roman"/>
          <w:sz w:val="24"/>
          <w:szCs w:val="24"/>
        </w:rPr>
        <w:t xml:space="preserve"> </w:t>
      </w:r>
      <w:r w:rsidRPr="00697B15">
        <w:rPr>
          <w:rFonts w:ascii="Times New Roman" w:hAnsi="Times New Roman"/>
          <w:sz w:val="24"/>
          <w:szCs w:val="24"/>
        </w:rPr>
        <w:t>for believing</w:t>
      </w:r>
      <w:r>
        <w:rPr>
          <w:rFonts w:ascii="Times New Roman" w:hAnsi="Times New Roman"/>
          <w:sz w:val="24"/>
          <w:szCs w:val="24"/>
        </w:rPr>
        <w:t>’</w:t>
      </w:r>
      <w:r w:rsidRPr="00697B15">
        <w:rPr>
          <w:rFonts w:ascii="Times New Roman" w:hAnsi="Times New Roman"/>
          <w:sz w:val="24"/>
          <w:szCs w:val="24"/>
        </w:rPr>
        <w:t xml:space="preserve"> its actions were not violating the FLSA, </w:t>
      </w:r>
      <w:r>
        <w:rPr>
          <w:rFonts w:ascii="Times New Roman" w:hAnsi="Times New Roman"/>
          <w:sz w:val="24"/>
          <w:szCs w:val="24"/>
        </w:rPr>
        <w:t>‘</w:t>
      </w:r>
      <w:r w:rsidRPr="00697B15">
        <w:rPr>
          <w:rFonts w:ascii="Times New Roman" w:hAnsi="Times New Roman"/>
          <w:sz w:val="24"/>
          <w:szCs w:val="24"/>
        </w:rPr>
        <w:t xml:space="preserve">the court may, in its sound discretion, award no liquidated damages or award any amount thereof not to exceed the amount specified in section 216 of this title.” </w:t>
      </w:r>
    </w:p>
    <w:p w14:paraId="11FBF5AB" w14:textId="202C29D3" w:rsidR="00C67B2A" w:rsidRDefault="00C67B2A" w:rsidP="00F326E5">
      <w:pPr>
        <w:rPr>
          <w:rFonts w:ascii="Arial Black" w:hAnsi="Arial Black"/>
          <w:b/>
          <w:sz w:val="24"/>
          <w:szCs w:val="24"/>
        </w:rPr>
      </w:pPr>
    </w:p>
    <w:p w14:paraId="594D4C08" w14:textId="705BC43C" w:rsidR="00885321" w:rsidRDefault="00885321" w:rsidP="00F326E5">
      <w:pPr>
        <w:rPr>
          <w:rFonts w:ascii="Arial Black" w:hAnsi="Arial Black"/>
          <w:b/>
          <w:sz w:val="24"/>
          <w:szCs w:val="24"/>
        </w:rPr>
      </w:pPr>
      <w:r>
        <w:rPr>
          <w:rFonts w:ascii="Arial Black" w:hAnsi="Arial Black"/>
          <w:b/>
          <w:sz w:val="24"/>
          <w:szCs w:val="24"/>
        </w:rPr>
        <w:t>11-</w:t>
      </w:r>
      <w:r w:rsidR="00912048">
        <w:rPr>
          <w:rFonts w:ascii="Arial Black" w:hAnsi="Arial Black"/>
          <w:b/>
          <w:sz w:val="24"/>
          <w:szCs w:val="24"/>
        </w:rPr>
        <w:t>33</w:t>
      </w:r>
    </w:p>
    <w:p w14:paraId="7B7419EA" w14:textId="77777777" w:rsidR="00885321" w:rsidRPr="00E1552C" w:rsidRDefault="00885321" w:rsidP="00885321">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VA: FLSA - VIRGINIA BEACH FD SETTLEMENT – EMS CAPTAINS WILL BE “NON-EXEMPT” - BACK PAY 3 YEARS </w:t>
      </w:r>
    </w:p>
    <w:p w14:paraId="301332F3" w14:textId="77777777" w:rsidR="00885321" w:rsidRDefault="00885321" w:rsidP="00885321">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Sept. 14, 2021, in </w:t>
      </w:r>
      <w:r w:rsidRPr="00696625">
        <w:rPr>
          <w:rStyle w:val="markedcontent"/>
          <w:rFonts w:ascii="Times New Roman" w:hAnsi="Times New Roman"/>
          <w:sz w:val="24"/>
          <w:szCs w:val="24"/>
          <w:u w:val="single"/>
        </w:rPr>
        <w:t>David Bust, et al. v. Virginia Beach, Virginia</w:t>
      </w:r>
      <w:r>
        <w:rPr>
          <w:rStyle w:val="markedcontent"/>
          <w:rFonts w:ascii="Times New Roman" w:hAnsi="Times New Roman"/>
          <w:sz w:val="24"/>
          <w:szCs w:val="24"/>
        </w:rPr>
        <w:t xml:space="preserve">, U.S. District Court for Eastern District of Virginia (Norfolk Division), eight EMS Captains settled their 2020 lawsuit with the city.  The settlement included agreement by the City to re-classify EMS Captains as non-exempt effective Aug. 26, 2021, and back pay from </w:t>
      </w:r>
      <w:r w:rsidRPr="000D7DF7">
        <w:rPr>
          <w:rStyle w:val="markedcontent"/>
          <w:rFonts w:ascii="Times New Roman" w:hAnsi="Times New Roman"/>
          <w:sz w:val="24"/>
          <w:szCs w:val="24"/>
        </w:rPr>
        <w:t>November 25, 2017</w:t>
      </w:r>
      <w:r>
        <w:rPr>
          <w:rStyle w:val="markedcontent"/>
          <w:rFonts w:ascii="Times New Roman" w:hAnsi="Times New Roman"/>
          <w:sz w:val="24"/>
          <w:szCs w:val="24"/>
        </w:rPr>
        <w:t xml:space="preserve">. </w:t>
      </w:r>
    </w:p>
    <w:p w14:paraId="6B966160" w14:textId="77777777" w:rsidR="00885321" w:rsidRPr="00B42905" w:rsidRDefault="00885321" w:rsidP="00885321">
      <w:pPr>
        <w:spacing w:before="100" w:beforeAutospacing="1" w:after="100" w:afterAutospacing="1" w:line="240" w:lineRule="auto"/>
        <w:ind w:left="720"/>
        <w:rPr>
          <w:rStyle w:val="markedcontent"/>
          <w:rFonts w:ascii="Times New Roman" w:eastAsiaTheme="majorEastAsia" w:hAnsi="Times New Roman"/>
          <w:sz w:val="24"/>
          <w:szCs w:val="24"/>
        </w:rPr>
      </w:pPr>
      <w:r w:rsidRPr="00B42905">
        <w:rPr>
          <w:rStyle w:val="markedcontent"/>
          <w:rFonts w:ascii="Times New Roman" w:eastAsiaTheme="majorEastAsia" w:hAnsi="Times New Roman"/>
          <w:sz w:val="24"/>
          <w:szCs w:val="24"/>
        </w:rPr>
        <w:t xml:space="preserve">“Under the Settlement Agreement, the </w:t>
      </w:r>
      <w:proofErr w:type="gramStart"/>
      <w:r w:rsidRPr="00B42905">
        <w:rPr>
          <w:rStyle w:val="markedcontent"/>
          <w:rFonts w:ascii="Times New Roman" w:eastAsiaTheme="majorEastAsia" w:hAnsi="Times New Roman"/>
          <w:sz w:val="24"/>
          <w:szCs w:val="24"/>
        </w:rPr>
        <w:t>City</w:t>
      </w:r>
      <w:proofErr w:type="gramEnd"/>
      <w:r w:rsidRPr="00B42905">
        <w:rPr>
          <w:rStyle w:val="markedcontent"/>
          <w:rFonts w:ascii="Times New Roman" w:eastAsiaTheme="majorEastAsia" w:hAnsi="Times New Roman"/>
          <w:sz w:val="24"/>
          <w:szCs w:val="24"/>
        </w:rPr>
        <w:t xml:space="preserve"> will pay a total of $200,000.00 (two hundred thousand dollars) to resolve the Plaintiffs’ FLSA and VGPA claims. Ex. 1, ¶ 2.1. The Settlement Amount will be divided and distributed as follows: (1) one check in the amount of $80,000.00, payable to Plaintiffs’ counsel, McGillivary Steele Elkin </w:t>
      </w:r>
      <w:r w:rsidRPr="00B42905">
        <w:rPr>
          <w:rFonts w:ascii="Times New Roman" w:hAnsi="Times New Roman"/>
          <w:sz w:val="24"/>
          <w:szCs w:val="24"/>
        </w:rPr>
        <w:br/>
      </w:r>
      <w:r w:rsidRPr="00B42905">
        <w:rPr>
          <w:rStyle w:val="markedcontent"/>
          <w:rFonts w:ascii="Times New Roman" w:eastAsiaTheme="majorEastAsia" w:hAnsi="Times New Roman"/>
          <w:sz w:val="24"/>
          <w:szCs w:val="24"/>
        </w:rPr>
        <w:t xml:space="preserve">LLP, representing a negotiated amount of reimbursed attorneys’ fees and expenses; and (2) a set of payroll checks payable to individual Plaintiffs, totaling a pre-tax amount of $120,000.00, which shall be distributed to individual Plaintiffs in accordance with the pre-tax amounts set forth in Exhibit A to the Settlement Agreement, to which the City shall be entitled to apply all applicable deductions and withholdings for each individual Plaintiff. Id., ¶ 2.2. In addition, the City agreed to re-classify Plaintiffs in the position of EMS Captain as non-exempt, effective August 26, 2021. Id., ¶ 2.1. These amounts and terms are agreed to among the Parties to compromise, settle, and satisfy the Released Claims described in paragraph 3.1 of the Settlement Agreement, and all attorneys’ fees and expenses related to the Released Claims. Significantly, Plaintiffs and their </w:t>
      </w:r>
      <w:r w:rsidRPr="00B42905">
        <w:rPr>
          <w:rFonts w:ascii="Times New Roman" w:hAnsi="Times New Roman"/>
          <w:sz w:val="24"/>
          <w:szCs w:val="24"/>
        </w:rPr>
        <w:br/>
      </w:r>
      <w:r w:rsidRPr="00B42905">
        <w:rPr>
          <w:rStyle w:val="markedcontent"/>
          <w:rFonts w:ascii="Times New Roman" w:eastAsiaTheme="majorEastAsia" w:hAnsi="Times New Roman"/>
          <w:sz w:val="24"/>
          <w:szCs w:val="24"/>
        </w:rPr>
        <w:t xml:space="preserve">counsel determined the method used to calculate the pro rata amounts to be paid to each Plaintiff for the Back Pay Amount. Id., ¶ 2.6.”  </w:t>
      </w:r>
      <w:hyperlink r:id="rId1765" w:history="1">
        <w:r w:rsidRPr="00B42905">
          <w:rPr>
            <w:rStyle w:val="Hyperlink"/>
            <w:rFonts w:ascii="Times New Roman" w:eastAsiaTheme="majorEastAsia" w:hAnsi="Times New Roman"/>
            <w:sz w:val="24"/>
            <w:szCs w:val="24"/>
          </w:rPr>
          <w:t>http://www.firefighterovertime.org/wp-content/uploads/2021/11/US_DIS_VAED_2_20cv595_Memorandum_in_Support_re_41_Joint_MOTION_for_Settl.pdf</w:t>
        </w:r>
      </w:hyperlink>
      <w:r w:rsidRPr="00B42905">
        <w:rPr>
          <w:rStyle w:val="markedcontent"/>
          <w:rFonts w:ascii="Times New Roman" w:eastAsiaTheme="majorEastAsia" w:hAnsi="Times New Roman"/>
          <w:sz w:val="24"/>
          <w:szCs w:val="24"/>
        </w:rPr>
        <w:t xml:space="preserve"> </w:t>
      </w:r>
    </w:p>
    <w:p w14:paraId="566BF8FB" w14:textId="77777777" w:rsidR="00885321" w:rsidRPr="000D7DF7" w:rsidRDefault="00885321" w:rsidP="00885321">
      <w:pPr>
        <w:rPr>
          <w:rFonts w:ascii="Times New Roman" w:eastAsia="Times New Roman" w:hAnsi="Times New Roman"/>
          <w:b/>
          <w:bCs/>
          <w:sz w:val="24"/>
          <w:szCs w:val="24"/>
        </w:rPr>
      </w:pPr>
      <w:r w:rsidRPr="000D7DF7">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Settlements are encouraged to avoid “liquidated damages” (back pay doubled) under FLSA.  Fire &amp; EMS department, when in doubt about classification of officers under FLSA, are encouraged to consult with experienced FLSA attorneys and the U.S. Department of Labor, Wage &amp; Hour Division. </w:t>
      </w:r>
    </w:p>
    <w:p w14:paraId="073B8B5B" w14:textId="77777777" w:rsidR="00885321" w:rsidRDefault="00885321" w:rsidP="00885321">
      <w:pPr>
        <w:pStyle w:val="NormalWeb"/>
        <w:ind w:left="720"/>
        <w:rPr>
          <w:rStyle w:val="markedcontent"/>
          <w:rFonts w:eastAsiaTheme="majorEastAsia"/>
        </w:rPr>
      </w:pPr>
      <w:r>
        <w:rPr>
          <w:rStyle w:val="markedcontent"/>
          <w:rFonts w:eastAsiaTheme="majorEastAsia"/>
        </w:rPr>
        <w:t xml:space="preserve">Note: See article on the settlement. Nov. 16, 2021: </w:t>
      </w:r>
      <w:r w:rsidRPr="00EF1C86">
        <w:t>“VA Beach Settles ‘White Collar’ FLSA Lawsuit with EMS Captains.”</w:t>
      </w:r>
      <w:r>
        <w:t xml:space="preserve"> </w:t>
      </w:r>
      <w:hyperlink r:id="rId1766" w:history="1">
        <w:r w:rsidRPr="00673E18">
          <w:rPr>
            <w:rStyle w:val="Hyperlink"/>
          </w:rPr>
          <w:t>http://www.firefighterovertime.org/2021/11/08/va-beach-settles-flsa-lawsuit/</w:t>
        </w:r>
      </w:hyperlink>
      <w:r>
        <w:rPr>
          <w:rStyle w:val="Hyperlink"/>
        </w:rPr>
        <w:t xml:space="preserve"> </w:t>
      </w:r>
    </w:p>
    <w:p w14:paraId="056B2B98" w14:textId="77777777" w:rsidR="00885321" w:rsidRDefault="00885321" w:rsidP="00F326E5">
      <w:pPr>
        <w:rPr>
          <w:rFonts w:ascii="Arial Black" w:hAnsi="Arial Black"/>
          <w:b/>
          <w:sz w:val="24"/>
          <w:szCs w:val="24"/>
        </w:rPr>
      </w:pPr>
    </w:p>
    <w:p w14:paraId="147E159F" w14:textId="77777777" w:rsidR="00C67B2A" w:rsidRDefault="00C67B2A" w:rsidP="00F326E5">
      <w:pPr>
        <w:rPr>
          <w:rFonts w:ascii="Arial Black" w:hAnsi="Arial Black"/>
          <w:b/>
          <w:sz w:val="24"/>
          <w:szCs w:val="24"/>
        </w:rPr>
      </w:pPr>
    </w:p>
    <w:p w14:paraId="5A6E75A2" w14:textId="7BD80205" w:rsidR="00B03268" w:rsidRDefault="00B03268" w:rsidP="00F326E5">
      <w:pPr>
        <w:rPr>
          <w:rFonts w:ascii="Arial Black" w:hAnsi="Arial Black"/>
          <w:b/>
          <w:sz w:val="24"/>
          <w:szCs w:val="24"/>
        </w:rPr>
      </w:pPr>
      <w:r>
        <w:rPr>
          <w:rFonts w:ascii="Arial Black" w:hAnsi="Arial Black"/>
          <w:b/>
          <w:sz w:val="24"/>
          <w:szCs w:val="24"/>
        </w:rPr>
        <w:lastRenderedPageBreak/>
        <w:t>11-</w:t>
      </w:r>
      <w:r w:rsidR="00B13773">
        <w:rPr>
          <w:rFonts w:ascii="Arial Black" w:hAnsi="Arial Black"/>
          <w:b/>
          <w:sz w:val="24"/>
          <w:szCs w:val="24"/>
        </w:rPr>
        <w:t>32</w:t>
      </w:r>
    </w:p>
    <w:p w14:paraId="4CA007ED" w14:textId="77777777" w:rsidR="00B03268" w:rsidRPr="00D1078B" w:rsidRDefault="00B03268" w:rsidP="00B03268">
      <w:pPr>
        <w:pStyle w:val="NoSpacing"/>
        <w:rPr>
          <w:rFonts w:ascii="Arial Black" w:hAnsi="Arial Black"/>
          <w:sz w:val="28"/>
          <w:szCs w:val="28"/>
        </w:rPr>
      </w:pPr>
      <w:r>
        <w:rPr>
          <w:rFonts w:ascii="Arial Black" w:hAnsi="Arial Black"/>
          <w:sz w:val="28"/>
          <w:szCs w:val="28"/>
        </w:rPr>
        <w:t xml:space="preserve">IL: CITY OF CHICAGO MAILROOM EMPLOYEE – “EQUAL PAY” CASE DISMISSED – DUTIES NOT SAME FF, OTHERS </w:t>
      </w:r>
    </w:p>
    <w:p w14:paraId="325CFA06" w14:textId="77777777" w:rsidR="00B03268" w:rsidRDefault="00B03268" w:rsidP="00B03268">
      <w:pPr>
        <w:pStyle w:val="NoSpacing"/>
      </w:pPr>
    </w:p>
    <w:p w14:paraId="33F07360" w14:textId="77777777" w:rsidR="00B03268" w:rsidRPr="00BD5433" w:rsidRDefault="00B03268" w:rsidP="00B03268">
      <w:pPr>
        <w:pStyle w:val="NoSpacing"/>
        <w:rPr>
          <w:rFonts w:ascii="Times New Roman" w:hAnsi="Times New Roman"/>
          <w:sz w:val="24"/>
          <w:szCs w:val="24"/>
        </w:rPr>
      </w:pPr>
      <w:r>
        <w:rPr>
          <w:rFonts w:ascii="Times New Roman" w:hAnsi="Times New Roman"/>
          <w:sz w:val="24"/>
          <w:szCs w:val="24"/>
        </w:rPr>
        <w:t xml:space="preserve">On May 20, 2021, in </w:t>
      </w:r>
      <w:r w:rsidRPr="00D1078B">
        <w:rPr>
          <w:rFonts w:ascii="Times New Roman" w:hAnsi="Times New Roman"/>
          <w:sz w:val="24"/>
          <w:szCs w:val="24"/>
          <w:u w:val="single"/>
        </w:rPr>
        <w:t>Angela D. Boyd v. City of Chicago</w:t>
      </w:r>
      <w:r>
        <w:rPr>
          <w:rFonts w:ascii="Times New Roman" w:hAnsi="Times New Roman"/>
          <w:sz w:val="24"/>
          <w:szCs w:val="24"/>
        </w:rPr>
        <w:t xml:space="preserve">, U.S. District Court Judge Charles P. </w:t>
      </w:r>
      <w:proofErr w:type="spellStart"/>
      <w:r>
        <w:rPr>
          <w:rFonts w:ascii="Times New Roman" w:hAnsi="Times New Roman"/>
          <w:sz w:val="24"/>
          <w:szCs w:val="24"/>
        </w:rPr>
        <w:t>Kocoras</w:t>
      </w:r>
      <w:proofErr w:type="spellEnd"/>
      <w:r>
        <w:rPr>
          <w:rFonts w:ascii="Times New Roman" w:hAnsi="Times New Roman"/>
          <w:sz w:val="24"/>
          <w:szCs w:val="24"/>
        </w:rPr>
        <w:t xml:space="preserve">, U.S. District Court for Northern District of Illinois, Eastern District, granted the City’s motion to dismiss this lawsuit, </w:t>
      </w:r>
      <w:proofErr w:type="gramStart"/>
      <w:r>
        <w:rPr>
          <w:rFonts w:ascii="Times New Roman" w:hAnsi="Times New Roman"/>
          <w:sz w:val="24"/>
          <w:szCs w:val="24"/>
        </w:rPr>
        <w:t>and also</w:t>
      </w:r>
      <w:proofErr w:type="gramEnd"/>
      <w:r>
        <w:rPr>
          <w:rFonts w:ascii="Times New Roman" w:hAnsi="Times New Roman"/>
          <w:sz w:val="24"/>
          <w:szCs w:val="24"/>
        </w:rPr>
        <w:t xml:space="preserve"> the motion of her union, </w:t>
      </w:r>
      <w:r w:rsidRPr="00BD5433">
        <w:rPr>
          <w:rFonts w:ascii="Times New Roman" w:hAnsi="Times New Roman"/>
          <w:sz w:val="24"/>
          <w:szCs w:val="24"/>
        </w:rPr>
        <w:t>AFSCME Council 31</w:t>
      </w:r>
      <w:r>
        <w:rPr>
          <w:rFonts w:ascii="Times New Roman" w:hAnsi="Times New Roman"/>
          <w:sz w:val="24"/>
          <w:szCs w:val="24"/>
        </w:rPr>
        <w:t>.</w:t>
      </w:r>
    </w:p>
    <w:p w14:paraId="6E3043A5" w14:textId="2A86F062" w:rsidR="00B03268" w:rsidRDefault="00B03268" w:rsidP="00B03268">
      <w:pPr>
        <w:rPr>
          <w:rFonts w:ascii="Arial Black" w:hAnsi="Arial Black"/>
          <w:b/>
          <w:sz w:val="24"/>
          <w:szCs w:val="24"/>
        </w:rPr>
      </w:pPr>
      <w:r>
        <w:rPr>
          <w:rFonts w:ascii="Times New Roman" w:eastAsia="Times New Roman" w:hAnsi="Times New Roman"/>
          <w:sz w:val="24"/>
          <w:szCs w:val="24"/>
        </w:rPr>
        <w:t>“</w:t>
      </w:r>
      <w:r w:rsidRPr="00BD5433">
        <w:rPr>
          <w:rFonts w:ascii="Times New Roman" w:eastAsia="Times New Roman" w:hAnsi="Times New Roman"/>
          <w:sz w:val="24"/>
          <w:szCs w:val="24"/>
        </w:rPr>
        <w:t xml:space="preserve">Boyd's duties specifically included picking up and dropping off mail and boxes at various City locations. Despite these distinct duties, Boyd alleges that she was paid less than three other men. First, she alleges that she was paid less than Mr. Romell Short, a concrete laborer, who was paid $40.20 an hour. Second, she alleges that she was paid less than Mr. Michael Evans, a City Assistant Commissioner, who was paid an annual salary of over $90,000. And third, Boyd alleges that another man—a firefighter—was paid an annual salary of over $100,000. *** </w:t>
      </w:r>
      <w:r w:rsidRPr="00BD5433">
        <w:rPr>
          <w:rFonts w:ascii="Times New Roman" w:hAnsi="Times New Roman"/>
          <w:sz w:val="24"/>
          <w:szCs w:val="24"/>
        </w:rPr>
        <w:t>Put simply: Boyd alleges no facts to support an inference that the three men at issue completed equal work that required similar skill, effort, or responsibility. That is fatal to Boyd's Amended Complaint.</w:t>
      </w:r>
      <w:r>
        <w:rPr>
          <w:rFonts w:ascii="Times New Roman" w:hAnsi="Times New Roman"/>
          <w:sz w:val="24"/>
          <w:szCs w:val="24"/>
        </w:rPr>
        <w:t xml:space="preserve">” </w:t>
      </w:r>
      <w:hyperlink r:id="rId1767" w:history="1">
        <w:r w:rsidRPr="007344F4">
          <w:rPr>
            <w:rStyle w:val="Hyperlink"/>
            <w:sz w:val="24"/>
            <w:szCs w:val="24"/>
          </w:rPr>
          <w:t>https://public.fastcase.com/9SKwsfNqTc6OieYDhNMyM%2Bd%2B2eK88WBpQndaMaa6S5BNLFOYsG1I8lL7zJutyS4p</w:t>
        </w:r>
      </w:hyperlink>
    </w:p>
    <w:p w14:paraId="24E94DF9" w14:textId="77777777" w:rsidR="00B03268" w:rsidRPr="00BD5433" w:rsidRDefault="00B03268" w:rsidP="00B03268">
      <w:pPr>
        <w:spacing w:before="100" w:beforeAutospacing="1" w:after="100" w:afterAutospacing="1"/>
        <w:rPr>
          <w:rFonts w:ascii="Times New Roman" w:eastAsia="Times New Roman" w:hAnsi="Times New Roman"/>
          <w:b/>
          <w:bCs/>
          <w:sz w:val="24"/>
          <w:szCs w:val="24"/>
        </w:rPr>
      </w:pPr>
      <w:r w:rsidRPr="00F9640F">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plaintiff obviously does not do the same work as those she used to compare her pay - a concrete laborer, fire fighter, Assistant Commissioner. </w:t>
      </w:r>
    </w:p>
    <w:p w14:paraId="568C8649" w14:textId="77777777" w:rsidR="00B03268" w:rsidRDefault="00B03268" w:rsidP="00F326E5">
      <w:pPr>
        <w:rPr>
          <w:rFonts w:ascii="Arial Black" w:hAnsi="Arial Black"/>
          <w:b/>
          <w:sz w:val="24"/>
          <w:szCs w:val="24"/>
        </w:rPr>
      </w:pPr>
    </w:p>
    <w:p w14:paraId="77405754" w14:textId="09C8B91B" w:rsidR="00BC5936" w:rsidRPr="00BC5936" w:rsidRDefault="00BC5936" w:rsidP="00F326E5">
      <w:pPr>
        <w:rPr>
          <w:rFonts w:ascii="Times New Roman" w:hAnsi="Times New Roman"/>
          <w:bCs/>
          <w:sz w:val="24"/>
          <w:szCs w:val="24"/>
        </w:rPr>
      </w:pPr>
      <w:r>
        <w:rPr>
          <w:rFonts w:ascii="Arial Black" w:hAnsi="Arial Black"/>
          <w:b/>
          <w:sz w:val="24"/>
          <w:szCs w:val="24"/>
        </w:rPr>
        <w:t>11-</w:t>
      </w:r>
      <w:r w:rsidR="00B13773">
        <w:rPr>
          <w:rFonts w:ascii="Arial Black" w:hAnsi="Arial Black"/>
          <w:b/>
          <w:sz w:val="24"/>
          <w:szCs w:val="24"/>
        </w:rPr>
        <w:t>31</w:t>
      </w:r>
      <w:r>
        <w:rPr>
          <w:rFonts w:ascii="Arial Black" w:hAnsi="Arial Black"/>
          <w:b/>
          <w:sz w:val="24"/>
          <w:szCs w:val="24"/>
        </w:rPr>
        <w:t xml:space="preserve"> </w:t>
      </w:r>
      <w:r>
        <w:rPr>
          <w:rFonts w:ascii="Times New Roman" w:hAnsi="Times New Roman"/>
          <w:bCs/>
          <w:sz w:val="24"/>
          <w:szCs w:val="24"/>
        </w:rPr>
        <w:t>[also filed, Chap. 16]</w:t>
      </w:r>
    </w:p>
    <w:p w14:paraId="4D4EF384" w14:textId="77777777" w:rsidR="00BC5936" w:rsidRPr="003A1BB2" w:rsidRDefault="00BC5936" w:rsidP="00BC5936">
      <w:pPr>
        <w:pStyle w:val="NoSpacing"/>
        <w:rPr>
          <w:rFonts w:ascii="Arial Black" w:hAnsi="Arial Black"/>
          <w:sz w:val="28"/>
          <w:szCs w:val="28"/>
        </w:rPr>
      </w:pPr>
      <w:r>
        <w:rPr>
          <w:rFonts w:ascii="Arial Black" w:hAnsi="Arial Black"/>
          <w:sz w:val="28"/>
          <w:szCs w:val="28"/>
        </w:rPr>
        <w:t>NV: AT-WILL HOSPITAL PARAMEDIC - TERMINATED WITHIN 1-YR PROBATIONARY PERIOD – LAWSUIT DISMISSED</w:t>
      </w:r>
    </w:p>
    <w:p w14:paraId="68E0DE4D" w14:textId="77777777" w:rsidR="00BC5936" w:rsidRDefault="00BC5936" w:rsidP="00BC5936">
      <w:pPr>
        <w:pStyle w:val="NoSpacing"/>
      </w:pPr>
    </w:p>
    <w:p w14:paraId="15BD1787" w14:textId="77777777" w:rsidR="00BC5936" w:rsidRPr="00D106AE" w:rsidRDefault="00BC5936" w:rsidP="00BC5936">
      <w:pPr>
        <w:pStyle w:val="NoSpacing"/>
        <w:rPr>
          <w:rFonts w:ascii="Times New Roman" w:hAnsi="Times New Roman"/>
          <w:sz w:val="24"/>
          <w:szCs w:val="24"/>
        </w:rPr>
      </w:pPr>
      <w:r>
        <w:rPr>
          <w:rFonts w:ascii="Times New Roman" w:hAnsi="Times New Roman"/>
          <w:sz w:val="24"/>
          <w:szCs w:val="24"/>
        </w:rPr>
        <w:t xml:space="preserve">On May 13, 2021, in </w:t>
      </w:r>
      <w:r w:rsidRPr="00D106AE">
        <w:rPr>
          <w:rFonts w:ascii="Times New Roman" w:hAnsi="Times New Roman"/>
          <w:sz w:val="24"/>
          <w:szCs w:val="24"/>
          <w:u w:val="single"/>
        </w:rPr>
        <w:t>Todd P. Evans v. Lander County Hospital District, d/b/a Battle Mountain General Hospital</w:t>
      </w:r>
      <w:r w:rsidRPr="00D106AE">
        <w:rPr>
          <w:rFonts w:ascii="Times New Roman" w:hAnsi="Times New Roman"/>
          <w:sz w:val="24"/>
          <w:szCs w:val="24"/>
        </w:rPr>
        <w:t xml:space="preserve">, U.S. District Court Judge Larry R. Hicks, U.S. District Court, District of Nevada, </w:t>
      </w:r>
      <w:r>
        <w:rPr>
          <w:rFonts w:ascii="Times New Roman" w:hAnsi="Times New Roman"/>
          <w:sz w:val="24"/>
          <w:szCs w:val="24"/>
        </w:rPr>
        <w:t>held that the paramedic did not file or otherwise orally make a complaint of FLSA violation, and he was an at-will employee that can be terminated without cause by the hospital.</w:t>
      </w:r>
    </w:p>
    <w:p w14:paraId="123C4A92" w14:textId="77777777" w:rsidR="00BC5936" w:rsidRDefault="00BC5936" w:rsidP="00BC5936">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r w:rsidRPr="003A1BB2">
        <w:rPr>
          <w:rFonts w:ascii="Times New Roman" w:eastAsia="Times New Roman" w:hAnsi="Times New Roman"/>
          <w:sz w:val="24"/>
          <w:szCs w:val="24"/>
        </w:rPr>
        <w:t>Again, based on Evans' testimony, the Court finds that Evans' statements during the April 2019 meeting do not constitute filling a complaint with the BMGH as contemplated by the FLSA anti-retaliation statute. The content of this meeting was the financial and economic status of the EMS Department and was focused on how Evans' suggested alterations to the department, including transitioning the volunteer EMTs to paid staff, would make the department more fiscally responsible and increase staff. While Evans did address the FLSA and again suggested that the volunteer program may be violating the federal statute, he did not specify an illegality related to the program and did not provide Trustee Roberts with any documentation related to the FLSA. A reasonable employer would have seen Evans' statements as an attempt to recruit a board member to support his budget proposal, not an assertion of the employment rights of the volunteer EMTs in the program. Accordingly, his statements cannot be considered a filed complaint under the FLSA anti-retaliation statute.</w:t>
      </w:r>
    </w:p>
    <w:p w14:paraId="2E05832E" w14:textId="77777777" w:rsidR="00BC5936" w:rsidRDefault="00BC5936" w:rsidP="00BC5936">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p>
    <w:p w14:paraId="248641C5" w14:textId="77777777" w:rsidR="00BC5936" w:rsidRPr="003A1BB2" w:rsidRDefault="00BC5936" w:rsidP="00BC5936">
      <w:pPr>
        <w:spacing w:before="100" w:beforeAutospacing="1" w:after="100" w:afterAutospacing="1"/>
        <w:ind w:left="720"/>
        <w:rPr>
          <w:rFonts w:ascii="Times New Roman" w:eastAsia="Times New Roman" w:hAnsi="Times New Roman"/>
          <w:sz w:val="24"/>
          <w:szCs w:val="24"/>
        </w:rPr>
      </w:pPr>
      <w:r w:rsidRPr="00D106AE">
        <w:rPr>
          <w:rFonts w:ascii="Times New Roman" w:hAnsi="Times New Roman"/>
          <w:sz w:val="24"/>
          <w:szCs w:val="24"/>
        </w:rPr>
        <w:lastRenderedPageBreak/>
        <w:t xml:space="preserve">Evans' fourth cause of action alleges Defendant breached its oral employment contract in which BMGH agreed to pay Evans a salary of $115,000.00 per year plus a travel stipend of no more than $500.00 per month. ECF No. 1 ¶¶ 55-58. Defendant argues that it could not have breached an employment contract that did not exist as Evans was an at-will employee. Having reviewed the record, there can be no dispute that Evans was an at-will </w:t>
      </w:r>
      <w:proofErr w:type="gramStart"/>
      <w:r w:rsidRPr="00D106AE">
        <w:rPr>
          <w:rFonts w:ascii="Times New Roman" w:hAnsi="Times New Roman"/>
          <w:sz w:val="24"/>
          <w:szCs w:val="24"/>
        </w:rPr>
        <w:t>employee.</w:t>
      </w:r>
      <w:r>
        <w:rPr>
          <w:rFonts w:ascii="Times New Roman" w:hAnsi="Times New Roman"/>
          <w:sz w:val="24"/>
          <w:szCs w:val="24"/>
        </w:rPr>
        <w:t>”</w:t>
      </w:r>
      <w:proofErr w:type="gramEnd"/>
      <w:r>
        <w:rPr>
          <w:rFonts w:ascii="Times New Roman" w:hAnsi="Times New Roman"/>
          <w:sz w:val="24"/>
          <w:szCs w:val="24"/>
        </w:rPr>
        <w:t xml:space="preserve"> </w:t>
      </w:r>
      <w:hyperlink r:id="rId1768" w:history="1">
        <w:r w:rsidRPr="00C724D5">
          <w:rPr>
            <w:rStyle w:val="Hyperlink"/>
            <w:sz w:val="24"/>
            <w:szCs w:val="24"/>
          </w:rPr>
          <w:t>https://www.leagle.com/decision/infdco20210518900</w:t>
        </w:r>
      </w:hyperlink>
      <w:r>
        <w:rPr>
          <w:rFonts w:ascii="Times New Roman" w:eastAsia="Times New Roman" w:hAnsi="Times New Roman"/>
          <w:sz w:val="24"/>
          <w:szCs w:val="24"/>
        </w:rPr>
        <w:t xml:space="preserve"> </w:t>
      </w:r>
    </w:p>
    <w:p w14:paraId="4D95F609" w14:textId="77777777" w:rsidR="00BC5936" w:rsidRPr="00E7248E" w:rsidRDefault="00BC5936" w:rsidP="00BC5936">
      <w:pPr>
        <w:pStyle w:val="NormalWeb"/>
        <w:rPr>
          <w:b/>
          <w:bCs/>
        </w:rPr>
      </w:pPr>
      <w:r w:rsidRPr="00E7248E">
        <w:rPr>
          <w:b/>
          <w:bCs/>
        </w:rPr>
        <w:t>Legal Lesson Learned:</w:t>
      </w:r>
      <w:r>
        <w:rPr>
          <w:b/>
          <w:bCs/>
        </w:rPr>
        <w:t xml:space="preserve"> At will employees can be terminated, with or without cause.  </w:t>
      </w:r>
    </w:p>
    <w:p w14:paraId="6C3BCDB1" w14:textId="77777777" w:rsidR="00BC5936" w:rsidRDefault="00BC5936" w:rsidP="00F326E5">
      <w:pPr>
        <w:rPr>
          <w:rFonts w:ascii="Arial Black" w:hAnsi="Arial Black"/>
          <w:b/>
          <w:sz w:val="24"/>
          <w:szCs w:val="24"/>
        </w:rPr>
      </w:pPr>
    </w:p>
    <w:p w14:paraId="46528163" w14:textId="77777777" w:rsidR="00BC5936" w:rsidRDefault="00BC5936" w:rsidP="00F326E5">
      <w:pPr>
        <w:rPr>
          <w:rFonts w:ascii="Arial Black" w:hAnsi="Arial Black"/>
          <w:b/>
          <w:sz w:val="24"/>
          <w:szCs w:val="24"/>
        </w:rPr>
      </w:pPr>
    </w:p>
    <w:p w14:paraId="6F2D0D06" w14:textId="77777777" w:rsidR="00BC5936" w:rsidRDefault="00BC5936" w:rsidP="00F326E5">
      <w:pPr>
        <w:rPr>
          <w:rFonts w:ascii="Arial Black" w:hAnsi="Arial Black"/>
          <w:b/>
          <w:sz w:val="24"/>
          <w:szCs w:val="24"/>
        </w:rPr>
      </w:pPr>
    </w:p>
    <w:p w14:paraId="1BA09A10" w14:textId="241CE1CD" w:rsidR="003E0A22" w:rsidRDefault="003E0A22"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30</w:t>
      </w:r>
    </w:p>
    <w:p w14:paraId="562E3288" w14:textId="77777777" w:rsidR="003E0A22" w:rsidRDefault="003E0A22" w:rsidP="003E0A22">
      <w:pPr>
        <w:rPr>
          <w:rFonts w:ascii="Arial Black" w:hAnsi="Arial Black"/>
          <w:sz w:val="28"/>
          <w:szCs w:val="28"/>
        </w:rPr>
      </w:pPr>
      <w:r>
        <w:rPr>
          <w:rFonts w:ascii="Arial Black" w:hAnsi="Arial Black"/>
          <w:sz w:val="28"/>
          <w:szCs w:val="28"/>
        </w:rPr>
        <w:t>MO:  FLSA CLASS ACTION MAY PROCEED – 400+ FF – SPECIALTY PAY NOT ADDED TO “REGULAR RATE OF PAY”</w:t>
      </w:r>
    </w:p>
    <w:p w14:paraId="455574E8" w14:textId="77777777" w:rsidR="003E0A22" w:rsidRDefault="003E0A22" w:rsidP="003E0A22">
      <w:pPr>
        <w:rPr>
          <w:rFonts w:ascii="Times New Roman" w:hAnsi="Times New Roman"/>
          <w:sz w:val="24"/>
          <w:szCs w:val="24"/>
        </w:rPr>
      </w:pPr>
      <w:r>
        <w:rPr>
          <w:rFonts w:ascii="Times New Roman" w:hAnsi="Times New Roman"/>
          <w:sz w:val="24"/>
          <w:szCs w:val="24"/>
        </w:rPr>
        <w:t xml:space="preserve">On March 30, 2021, in </w:t>
      </w:r>
      <w:r w:rsidRPr="00EE3F62">
        <w:rPr>
          <w:rFonts w:ascii="Times New Roman" w:hAnsi="Times New Roman"/>
          <w:sz w:val="24"/>
          <w:szCs w:val="24"/>
          <w:u w:val="single"/>
        </w:rPr>
        <w:t>Craig Adams and Joseph Knopp, individually and on behalf of similarly situated plaintiffs v. City of Kansas, Missouri</w:t>
      </w:r>
      <w:r>
        <w:rPr>
          <w:rFonts w:ascii="Times New Roman" w:hAnsi="Times New Roman"/>
          <w:sz w:val="24"/>
          <w:szCs w:val="24"/>
        </w:rPr>
        <w:t>, U.S. Magistrate W. Brian Gaddy denied the City’s motion to decertify the class action, where 474 firefighters submitted consent forms to join the class action (91 firefighters who did not receive the specialty pay since 2016 were with agreement dropped from the case).   The Complaint, filed in 2019, alleges that City failed to increase the firefighters “regular rate of pay” for those FF receiving specialty pay, including members of the Hazards Material Team (3%); members of ARFF receive a 5% pay increase; Instructors (10%); FTO’s (5%); EST maintaining cardiac monitors and hydraulic cots (10%); cross trained FF / EMS assigned to combined rescue and Squad (3%).</w:t>
      </w:r>
    </w:p>
    <w:p w14:paraId="7A72B887" w14:textId="77777777" w:rsidR="003E0A22" w:rsidRDefault="003E0A22" w:rsidP="003E0A22">
      <w:pPr>
        <w:pStyle w:val="NormalWeb"/>
        <w:ind w:left="720"/>
      </w:pPr>
      <w:r>
        <w:t>“</w:t>
      </w:r>
      <w:r w:rsidRPr="006F4267">
        <w:t xml:space="preserve">The Court notes the more than 400 collective action members have been and continue to be represented by the same law firm. Throughout more than two years of litigation, counsel has sought and continues to seek relief on behalf of the collective action members. </w:t>
      </w:r>
    </w:p>
    <w:p w14:paraId="1E1E017D" w14:textId="77777777" w:rsidR="003E0A22" w:rsidRPr="006F4267" w:rsidRDefault="003E0A22" w:rsidP="003E0A22">
      <w:pPr>
        <w:pStyle w:val="NormalWeb"/>
        <w:ind w:left="720"/>
      </w:pPr>
      <w:r>
        <w:t>***</w:t>
      </w:r>
    </w:p>
    <w:p w14:paraId="002BE85D" w14:textId="77777777" w:rsidR="003E0A22" w:rsidRDefault="003E0A22" w:rsidP="003E0A22">
      <w:pPr>
        <w:ind w:left="720"/>
        <w:rPr>
          <w:rFonts w:ascii="Times New Roman" w:hAnsi="Times New Roman"/>
          <w:sz w:val="24"/>
          <w:szCs w:val="24"/>
        </w:rPr>
      </w:pPr>
      <w:r w:rsidRPr="006F4267">
        <w:rPr>
          <w:rFonts w:ascii="Times New Roman" w:hAnsi="Times New Roman"/>
          <w:sz w:val="24"/>
          <w:szCs w:val="24"/>
        </w:rPr>
        <w:t xml:space="preserve">Here, the Court concludes collective adjudication reduces the burden on Plaintiffs through the pooling of resources and efficiently resolves common issues of law and fact arising from the City’s application of a pay policy. Not only would it be impractical or difficult for each collective action member to pursue his or her FLSA claim individually, the legal questions and common factual issues lend themselves to resolution through common evidence. By permitting this matter to proceed as a collective action, the result will be one judgment. </w:t>
      </w:r>
      <w:proofErr w:type="gramStart"/>
      <w:r w:rsidRPr="006F4267">
        <w:rPr>
          <w:rFonts w:ascii="Times New Roman" w:hAnsi="Times New Roman"/>
          <w:sz w:val="24"/>
          <w:szCs w:val="24"/>
        </w:rPr>
        <w:t>Whereas,</w:t>
      </w:r>
      <w:proofErr w:type="gramEnd"/>
      <w:r w:rsidRPr="006F4267">
        <w:rPr>
          <w:rFonts w:ascii="Times New Roman" w:hAnsi="Times New Roman"/>
          <w:sz w:val="24"/>
          <w:szCs w:val="24"/>
        </w:rPr>
        <w:t xml:space="preserve"> decertification could result in hundreds of individual trials. See </w:t>
      </w:r>
      <w:proofErr w:type="spellStart"/>
      <w:r w:rsidRPr="006F4267">
        <w:rPr>
          <w:rFonts w:ascii="Times New Roman" w:hAnsi="Times New Roman"/>
          <w:sz w:val="24"/>
          <w:szCs w:val="24"/>
        </w:rPr>
        <w:t>Kautsch</w:t>
      </w:r>
      <w:proofErr w:type="spellEnd"/>
      <w:r w:rsidRPr="006F4267">
        <w:rPr>
          <w:rFonts w:ascii="Times New Roman" w:hAnsi="Times New Roman"/>
          <w:sz w:val="24"/>
          <w:szCs w:val="24"/>
        </w:rPr>
        <w:t>, 2008 WL 294271, at *4; see also Shoots, 325 F.R.D. at 279-80. Accordingly, the issues will be efficiently resolved for the parties and the Court.</w:t>
      </w:r>
      <w:r>
        <w:t xml:space="preserve">” </w:t>
      </w:r>
      <w:hyperlink r:id="rId1769" w:history="1">
        <w:r w:rsidRPr="0041276B">
          <w:rPr>
            <w:rStyle w:val="Hyperlink"/>
            <w:rFonts w:ascii="Times New Roman" w:hAnsi="Times New Roman"/>
            <w:sz w:val="24"/>
            <w:szCs w:val="24"/>
          </w:rPr>
          <w:t>https://casetext.com/case/adams-v-city-of-kan-city-1</w:t>
        </w:r>
      </w:hyperlink>
      <w:r w:rsidRPr="005D1860">
        <w:rPr>
          <w:rFonts w:ascii="Times New Roman" w:hAnsi="Times New Roman"/>
          <w:sz w:val="24"/>
          <w:szCs w:val="24"/>
        </w:rPr>
        <w:t xml:space="preserve">  </w:t>
      </w:r>
    </w:p>
    <w:p w14:paraId="4D772AC9" w14:textId="77777777" w:rsidR="003E0A22" w:rsidRPr="005C2B75" w:rsidRDefault="003E0A22" w:rsidP="003E0A22">
      <w:pPr>
        <w:pStyle w:val="NormalWeb"/>
      </w:pPr>
      <w:r w:rsidRPr="005C2B75">
        <w:rPr>
          <w:b/>
          <w:bCs/>
        </w:rPr>
        <w:t>Legal Lesson Learned:</w:t>
      </w:r>
      <w:r>
        <w:rPr>
          <w:b/>
          <w:bCs/>
        </w:rPr>
        <w:t xml:space="preserve"> Case will now proceed to trial.  See the Complaint: </w:t>
      </w:r>
      <w:hyperlink r:id="rId1770" w:history="1">
        <w:r w:rsidRPr="005C2B75">
          <w:rPr>
            <w:rStyle w:val="Hyperlink"/>
          </w:rPr>
          <w:t>http://www.firefighterovertime.org/wp-content/uploads/2021/04/KC-MO-FF-FLSA-Complaint-1.pdf</w:t>
        </w:r>
      </w:hyperlink>
      <w:r w:rsidRPr="005C2B75">
        <w:t xml:space="preserve"> </w:t>
      </w:r>
    </w:p>
    <w:p w14:paraId="6FB13DDA" w14:textId="77777777" w:rsidR="003E0A22" w:rsidRPr="005C2B75" w:rsidRDefault="003E0A22" w:rsidP="003E0A22">
      <w:pPr>
        <w:pStyle w:val="NormalWeb"/>
        <w:ind w:left="720"/>
      </w:pPr>
      <w:r>
        <w:lastRenderedPageBreak/>
        <w:t xml:space="preserve">Note: See this helpful U.S. Department of Labor, Wage &amp; Hour instructions on “regular rate of pay” (Dec. 2019): </w:t>
      </w:r>
      <w:hyperlink r:id="rId1771" w:history="1">
        <w:r w:rsidRPr="0094590E">
          <w:rPr>
            <w:rStyle w:val="Hyperlink"/>
          </w:rPr>
          <w:t>https://www.dol.gov/agencies/whd/fact-sheets/56a-regular-rate</w:t>
        </w:r>
      </w:hyperlink>
      <w:r>
        <w:t xml:space="preserve"> </w:t>
      </w:r>
    </w:p>
    <w:p w14:paraId="7D9ED66B" w14:textId="77777777" w:rsidR="003E0A22" w:rsidRDefault="003E0A22" w:rsidP="003E0A22">
      <w:pPr>
        <w:pStyle w:val="NormalWeb"/>
        <w:ind w:left="720"/>
        <w:rPr>
          <w:rFonts w:ascii="Arial" w:hAnsi="Arial" w:cs="Arial"/>
          <w:sz w:val="30"/>
          <w:szCs w:val="30"/>
        </w:rPr>
      </w:pPr>
      <w:r>
        <w:t xml:space="preserve">“Under the FLSA, the regular rate includes ‘all remuneration for employment paid to, or on behalf of, the employee.’ The FLSA (29 USC § 207(e)) provides an exhaustive list of types of payments that can be excluded from the regular rate of pay when calculating overtime compensation.  Unless specifically noted, payments that are excludable from the regular rate may not be credited towards overtime compensation due under the FLSA.  Additional information regarding exclusions from the regular rate may be found in the regulations, </w:t>
      </w:r>
      <w:hyperlink r:id="rId1772" w:anchor="sp29.3.778.c" w:tgtFrame="_blank" w:history="1">
        <w:r>
          <w:rPr>
            <w:rStyle w:val="Hyperlink"/>
          </w:rPr>
          <w:t>29 C.F.R. § 778</w:t>
        </w:r>
      </w:hyperlink>
      <w:r>
        <w:t>.200-.225.”</w:t>
      </w:r>
    </w:p>
    <w:p w14:paraId="6524F740" w14:textId="77777777" w:rsidR="003E0A22" w:rsidRDefault="003E0A22" w:rsidP="00F326E5">
      <w:pPr>
        <w:rPr>
          <w:rFonts w:ascii="Arial Black" w:hAnsi="Arial Black"/>
          <w:b/>
          <w:sz w:val="24"/>
          <w:szCs w:val="24"/>
        </w:rPr>
      </w:pPr>
    </w:p>
    <w:p w14:paraId="5642E57C" w14:textId="77777777" w:rsidR="003E0A22" w:rsidRDefault="003E0A22" w:rsidP="00F326E5">
      <w:pPr>
        <w:rPr>
          <w:rFonts w:ascii="Arial Black" w:hAnsi="Arial Black"/>
          <w:b/>
          <w:sz w:val="24"/>
          <w:szCs w:val="24"/>
        </w:rPr>
      </w:pPr>
    </w:p>
    <w:p w14:paraId="66993A39" w14:textId="18C10217" w:rsidR="00EB2493" w:rsidRDefault="00EB2493"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9</w:t>
      </w:r>
    </w:p>
    <w:p w14:paraId="01B977B2" w14:textId="77777777" w:rsidR="00EB2493" w:rsidRPr="002D1748" w:rsidRDefault="00EB2493" w:rsidP="00EB2493">
      <w:pPr>
        <w:pStyle w:val="Heading1"/>
        <w:rPr>
          <w:rFonts w:ascii="Arial Black" w:hAnsi="Arial Black"/>
          <w:sz w:val="28"/>
          <w:szCs w:val="28"/>
        </w:rPr>
      </w:pPr>
      <w:bookmarkStart w:id="386" w:name="_Hlk66948836"/>
      <w:r>
        <w:rPr>
          <w:rFonts w:ascii="Arial Black" w:hAnsi="Arial Black"/>
          <w:sz w:val="28"/>
          <w:szCs w:val="28"/>
        </w:rPr>
        <w:t>CA: $3.4M FLSA SETTLEMENT – FF CASH IF DON’T USE MEDICAL BENEFITS - “REGULAR RATE” PAY IMPACT</w:t>
      </w:r>
    </w:p>
    <w:p w14:paraId="29DB577E" w14:textId="1A1832F7" w:rsidR="00EB2493" w:rsidRDefault="00EB2493" w:rsidP="00EB2493">
      <w:pPr>
        <w:pStyle w:val="Heading1"/>
        <w:rPr>
          <w:b w:val="0"/>
          <w:bCs w:val="0"/>
          <w:sz w:val="24"/>
          <w:szCs w:val="24"/>
        </w:rPr>
      </w:pPr>
      <w:r>
        <w:rPr>
          <w:b w:val="0"/>
          <w:bCs w:val="0"/>
          <w:sz w:val="24"/>
          <w:szCs w:val="24"/>
        </w:rPr>
        <w:t xml:space="preserve">On Feb. 8, 2021, in </w:t>
      </w:r>
      <w:r w:rsidRPr="002D1748">
        <w:rPr>
          <w:b w:val="0"/>
          <w:bCs w:val="0"/>
          <w:sz w:val="24"/>
          <w:szCs w:val="24"/>
          <w:u w:val="single"/>
        </w:rPr>
        <w:t>Eric Kelley, et al. v. City of San Diego</w:t>
      </w:r>
      <w:r>
        <w:rPr>
          <w:b w:val="0"/>
          <w:bCs w:val="0"/>
          <w:sz w:val="24"/>
          <w:szCs w:val="24"/>
        </w:rPr>
        <w:t xml:space="preserve">, U.S. District Court Judge Gonzalo P. Curiel, U.S. District Court for Southern District of California, approved this settlement; if a firefighter’s spouse has medical coverage from the spouse’s employer, the City pay the firefighter “cash-in-lieu” of using City’s insurance.  </w:t>
      </w:r>
      <w:bookmarkEnd w:id="386"/>
      <w:r>
        <w:rPr>
          <w:b w:val="0"/>
          <w:bCs w:val="0"/>
          <w:sz w:val="24"/>
          <w:szCs w:val="24"/>
        </w:rPr>
        <w:t>In a 2016 decision by the U.S. Court of Appeals for the 9</w:t>
      </w:r>
      <w:r w:rsidRPr="002D1748">
        <w:rPr>
          <w:b w:val="0"/>
          <w:bCs w:val="0"/>
          <w:sz w:val="24"/>
          <w:szCs w:val="24"/>
          <w:vertAlign w:val="superscript"/>
        </w:rPr>
        <w:t>th</w:t>
      </w:r>
      <w:r>
        <w:rPr>
          <w:b w:val="0"/>
          <w:bCs w:val="0"/>
          <w:sz w:val="24"/>
          <w:szCs w:val="24"/>
        </w:rPr>
        <w:t xml:space="preserve"> Circuit, </w:t>
      </w:r>
      <w:r w:rsidRPr="002D1748">
        <w:rPr>
          <w:b w:val="0"/>
          <w:bCs w:val="0"/>
          <w:i/>
          <w:iCs/>
          <w:sz w:val="24"/>
          <w:szCs w:val="24"/>
        </w:rPr>
        <w:t>Flores v</w:t>
      </w:r>
      <w:r w:rsidRPr="002D1748">
        <w:rPr>
          <w:b w:val="0"/>
          <w:bCs w:val="0"/>
          <w:sz w:val="24"/>
          <w:szCs w:val="24"/>
        </w:rPr>
        <w:t xml:space="preserve">. </w:t>
      </w:r>
      <w:r w:rsidRPr="002D1748">
        <w:rPr>
          <w:b w:val="0"/>
          <w:bCs w:val="0"/>
          <w:i/>
          <w:iCs/>
          <w:sz w:val="24"/>
          <w:szCs w:val="24"/>
        </w:rPr>
        <w:t>City of San Gabriel</w:t>
      </w:r>
      <w:r w:rsidRPr="002D1748">
        <w:rPr>
          <w:b w:val="0"/>
          <w:bCs w:val="0"/>
          <w:sz w:val="24"/>
          <w:szCs w:val="24"/>
        </w:rPr>
        <w:t>, 824 F.3d 890, 895 (9th Cir. 2016)</w:t>
      </w:r>
      <w:r>
        <w:rPr>
          <w:b w:val="0"/>
          <w:bCs w:val="0"/>
          <w:sz w:val="24"/>
          <w:szCs w:val="24"/>
        </w:rPr>
        <w:t>, the City of San Gabriel provided a “Flexible Benefit Plan” where a designated monetary amount was furnished to each employee for purchase of medical, vision and dental benefits.  Employees could decline the purchase of medical benefits on proof of alternate coverage, such as spouse’s medical coverage.  9</w:t>
      </w:r>
      <w:r w:rsidRPr="00A47DED">
        <w:rPr>
          <w:b w:val="0"/>
          <w:bCs w:val="0"/>
          <w:sz w:val="24"/>
          <w:szCs w:val="24"/>
          <w:vertAlign w:val="superscript"/>
        </w:rPr>
        <w:t>th</w:t>
      </w:r>
      <w:r>
        <w:rPr>
          <w:b w:val="0"/>
          <w:bCs w:val="0"/>
          <w:sz w:val="24"/>
          <w:szCs w:val="24"/>
        </w:rPr>
        <w:t xml:space="preserve"> Circuit held that these guaranteed cash payments (42% - 47%; over $1,000 per month) must be treated like other guaranteed employee payments [such as annual Medic bonuses] to increase the “regular rate” of pay when calculating overtime pay. </w:t>
      </w:r>
    </w:p>
    <w:p w14:paraId="5EB839D7" w14:textId="77777777" w:rsidR="00EB2493" w:rsidRDefault="00EB2493" w:rsidP="00EB2493">
      <w:pPr>
        <w:pStyle w:val="Heading1"/>
        <w:ind w:left="720"/>
        <w:rPr>
          <w:b w:val="0"/>
          <w:bCs w:val="0"/>
          <w:sz w:val="24"/>
          <w:szCs w:val="24"/>
        </w:rPr>
      </w:pPr>
      <w:r>
        <w:rPr>
          <w:b w:val="0"/>
          <w:bCs w:val="0"/>
          <w:sz w:val="24"/>
          <w:szCs w:val="24"/>
        </w:rPr>
        <w:t>“</w:t>
      </w:r>
      <w:r w:rsidRPr="002D1748">
        <w:rPr>
          <w:b w:val="0"/>
          <w:bCs w:val="0"/>
          <w:sz w:val="24"/>
          <w:szCs w:val="24"/>
        </w:rPr>
        <w:t>The Parties now move for the Court to approve the Settlement Agreement, which provides that the City will pay a total sum of $3,400,000, comprised of three elements: A payment of back overtime of $1,575,000, liquidated damages of $1,575,000, and a payment by the City of $250,000 towards Plaintiffs' attorney's fees and litigation costs.</w:t>
      </w:r>
    </w:p>
    <w:p w14:paraId="5C8FC85E" w14:textId="77777777" w:rsidR="00EB2493" w:rsidRDefault="00EB2493" w:rsidP="00EB2493">
      <w:pPr>
        <w:pStyle w:val="Heading1"/>
        <w:ind w:left="720"/>
        <w:rPr>
          <w:b w:val="0"/>
          <w:bCs w:val="0"/>
          <w:sz w:val="24"/>
          <w:szCs w:val="24"/>
        </w:rPr>
      </w:pPr>
      <w:r>
        <w:rPr>
          <w:b w:val="0"/>
          <w:bCs w:val="0"/>
          <w:sz w:val="24"/>
          <w:szCs w:val="24"/>
        </w:rPr>
        <w:t>***</w:t>
      </w:r>
    </w:p>
    <w:p w14:paraId="5DD2F979" w14:textId="1306A122" w:rsidR="00EB2493" w:rsidRPr="00EB2493" w:rsidRDefault="00EB2493" w:rsidP="00EB2493">
      <w:pPr>
        <w:rPr>
          <w:rFonts w:ascii="Times New Roman" w:hAnsi="Times New Roman"/>
          <w:b/>
          <w:sz w:val="24"/>
          <w:szCs w:val="24"/>
        </w:rPr>
      </w:pPr>
      <w:r w:rsidRPr="00EB2493">
        <w:rPr>
          <w:rFonts w:ascii="Times New Roman" w:hAnsi="Times New Roman"/>
          <w:sz w:val="24"/>
          <w:szCs w:val="24"/>
        </w:rPr>
        <w:t xml:space="preserve">This case involves a wage-and-hour class action, wherein Plaintiffs are non-exempt City of San Diego employees of the City' Fire Department who argue that they are entitled to overtime compensation under the Fair Labor Standards Act ("FLSA"), 29 U.S.C. § 201, </w:t>
      </w:r>
      <w:r w:rsidRPr="00EB2493">
        <w:rPr>
          <w:rFonts w:ascii="Times New Roman" w:hAnsi="Times New Roman"/>
          <w:i/>
          <w:iCs/>
          <w:sz w:val="24"/>
          <w:szCs w:val="24"/>
        </w:rPr>
        <w:t>et seq</w:t>
      </w:r>
      <w:r w:rsidRPr="00EB2493">
        <w:rPr>
          <w:rFonts w:ascii="Times New Roman" w:hAnsi="Times New Roman"/>
          <w:sz w:val="24"/>
          <w:szCs w:val="24"/>
        </w:rPr>
        <w:t xml:space="preserve">. and seek unpaid overtime compensation, liquidated damages, and reasonable attorney's fees on the basis of the Ninth Circuit decision </w:t>
      </w:r>
      <w:r w:rsidRPr="00EB2493">
        <w:rPr>
          <w:rFonts w:ascii="Times New Roman" w:hAnsi="Times New Roman"/>
          <w:i/>
          <w:iCs/>
          <w:sz w:val="24"/>
          <w:szCs w:val="24"/>
        </w:rPr>
        <w:t>Flores v</w:t>
      </w:r>
      <w:r w:rsidRPr="00EB2493">
        <w:rPr>
          <w:rFonts w:ascii="Times New Roman" w:hAnsi="Times New Roman"/>
          <w:sz w:val="24"/>
          <w:szCs w:val="24"/>
        </w:rPr>
        <w:t xml:space="preserve">. </w:t>
      </w:r>
      <w:r w:rsidRPr="00EB2493">
        <w:rPr>
          <w:rFonts w:ascii="Times New Roman" w:hAnsi="Times New Roman"/>
          <w:i/>
          <w:iCs/>
          <w:sz w:val="24"/>
          <w:szCs w:val="24"/>
        </w:rPr>
        <w:t>City of San Gabriel</w:t>
      </w:r>
      <w:r w:rsidRPr="00EB2493">
        <w:rPr>
          <w:rFonts w:ascii="Times New Roman" w:hAnsi="Times New Roman"/>
          <w:sz w:val="24"/>
          <w:szCs w:val="24"/>
        </w:rPr>
        <w:t xml:space="preserve">, 824 F.3d 890, 895 (9th Cir. 2016). </w:t>
      </w:r>
      <w:r w:rsidRPr="00EB2493">
        <w:rPr>
          <w:rFonts w:ascii="Times New Roman" w:hAnsi="Times New Roman"/>
          <w:i/>
          <w:iCs/>
          <w:sz w:val="24"/>
          <w:szCs w:val="24"/>
        </w:rPr>
        <w:t>Flores</w:t>
      </w:r>
      <w:r w:rsidRPr="00EB2493">
        <w:rPr>
          <w:rFonts w:ascii="Times New Roman" w:hAnsi="Times New Roman"/>
          <w:sz w:val="24"/>
          <w:szCs w:val="24"/>
        </w:rPr>
        <w:t xml:space="preserve"> held that employees who did not spend the whole of their allocated flex benefit plan dollars received the unused portions as cash, sometimes referred to as ‘cash-in-lieu’ (‘CIL’) payments, and that the employee's CIL payments must be included in the calculation of the regular rate of pay for overtime payments under FLSA. </w:t>
      </w:r>
      <w:r w:rsidRPr="00EB2493">
        <w:rPr>
          <w:rFonts w:ascii="Times New Roman" w:hAnsi="Times New Roman"/>
          <w:i/>
          <w:iCs/>
          <w:sz w:val="24"/>
          <w:szCs w:val="24"/>
        </w:rPr>
        <w:t>Flores</w:t>
      </w:r>
      <w:r w:rsidRPr="00EB2493">
        <w:rPr>
          <w:rFonts w:ascii="Times New Roman" w:hAnsi="Times New Roman"/>
          <w:sz w:val="24"/>
          <w:szCs w:val="24"/>
        </w:rPr>
        <w:t xml:space="preserve">, 824 F.3d at 901-02. </w:t>
      </w:r>
      <w:r w:rsidRPr="00EB2493">
        <w:rPr>
          <w:rFonts w:ascii="Times New Roman" w:hAnsi="Times New Roman"/>
          <w:i/>
          <w:iCs/>
          <w:sz w:val="24"/>
          <w:szCs w:val="24"/>
        </w:rPr>
        <w:t>Flores</w:t>
      </w:r>
      <w:r w:rsidRPr="00EB2493">
        <w:rPr>
          <w:rFonts w:ascii="Times New Roman" w:hAnsi="Times New Roman"/>
          <w:sz w:val="24"/>
          <w:szCs w:val="24"/>
        </w:rPr>
        <w:t xml:space="preserve"> additionally held that the total value of flex benefit dollars provided by the flexible benefits plan ("FBP") became eligible for inclusion in the regular rate of pay when calculating overtime payments under FLSA because it was not a ‘bona fide’ plan. </w:t>
      </w:r>
      <w:r w:rsidRPr="00EB2493">
        <w:rPr>
          <w:rFonts w:ascii="Times New Roman" w:hAnsi="Times New Roman"/>
          <w:i/>
          <w:iCs/>
          <w:sz w:val="24"/>
          <w:szCs w:val="24"/>
        </w:rPr>
        <w:t>Id</w:t>
      </w:r>
      <w:r w:rsidRPr="00EB2493">
        <w:rPr>
          <w:rFonts w:ascii="Times New Roman" w:hAnsi="Times New Roman"/>
          <w:sz w:val="24"/>
          <w:szCs w:val="24"/>
        </w:rPr>
        <w:t xml:space="preserve">. at 903.”  </w:t>
      </w:r>
      <w:bookmarkStart w:id="387" w:name="_Hlk66948897"/>
      <w:r w:rsidR="00F00958">
        <w:fldChar w:fldCharType="begin"/>
      </w:r>
      <w:r w:rsidR="00F00958">
        <w:instrText xml:space="preserve"> HYPERLINK "https://casetext.com/case/kelley-v-city-of-san-diego" </w:instrText>
      </w:r>
      <w:r w:rsidR="00F00958">
        <w:fldChar w:fldCharType="separate"/>
      </w:r>
      <w:r w:rsidRPr="00EB2493">
        <w:rPr>
          <w:rStyle w:val="Hyperlink"/>
          <w:rFonts w:ascii="Times New Roman" w:hAnsi="Times New Roman"/>
          <w:sz w:val="24"/>
          <w:szCs w:val="24"/>
        </w:rPr>
        <w:t>https://casetext.com/case/kelley-v-city-of-san-diego</w:t>
      </w:r>
      <w:r w:rsidR="00F00958">
        <w:rPr>
          <w:rStyle w:val="Hyperlink"/>
          <w:rFonts w:ascii="Times New Roman" w:hAnsi="Times New Roman"/>
          <w:sz w:val="24"/>
          <w:szCs w:val="24"/>
        </w:rPr>
        <w:fldChar w:fldCharType="end"/>
      </w:r>
    </w:p>
    <w:p w14:paraId="1F514879" w14:textId="77777777" w:rsidR="00EB2493" w:rsidRDefault="00EB2493" w:rsidP="00EB2493">
      <w:pPr>
        <w:spacing w:before="100" w:beforeAutospacing="1" w:after="100" w:afterAutospacing="1" w:line="240" w:lineRule="auto"/>
        <w:rPr>
          <w:rFonts w:ascii="Times New Roman" w:hAnsi="Times New Roman"/>
          <w:b/>
          <w:bCs/>
          <w:sz w:val="24"/>
          <w:szCs w:val="24"/>
        </w:rPr>
      </w:pPr>
      <w:r w:rsidRPr="00A47DED">
        <w:rPr>
          <w:rFonts w:ascii="Times New Roman" w:hAnsi="Times New Roman"/>
          <w:b/>
          <w:bCs/>
          <w:sz w:val="24"/>
          <w:szCs w:val="24"/>
        </w:rPr>
        <w:lastRenderedPageBreak/>
        <w:t>Legal Lesson Learned:</w:t>
      </w:r>
      <w:r>
        <w:rPr>
          <w:rFonts w:ascii="Times New Roman" w:hAnsi="Times New Roman"/>
          <w:b/>
          <w:bCs/>
          <w:sz w:val="24"/>
          <w:szCs w:val="24"/>
        </w:rPr>
        <w:t xml:space="preserve"> If your FD pays “cash-in-lieu” payments for unused medical or other benefits, consult with Legal Counsel and U.S. Department of Labor on its impact on the “regular rate” of pay for your personnel. </w:t>
      </w:r>
    </w:p>
    <w:p w14:paraId="0C56096D" w14:textId="77777777" w:rsidR="00EB2493" w:rsidRPr="00451D4E" w:rsidRDefault="00EB2493" w:rsidP="00EB2493">
      <w:pPr>
        <w:ind w:left="720"/>
        <w:rPr>
          <w:rFonts w:ascii="Times New Roman" w:eastAsia="Times New Roman" w:hAnsi="Times New Roman"/>
          <w:sz w:val="24"/>
          <w:szCs w:val="24"/>
        </w:rPr>
      </w:pPr>
      <w:r>
        <w:rPr>
          <w:rFonts w:ascii="Times New Roman" w:hAnsi="Times New Roman"/>
          <w:sz w:val="24"/>
          <w:szCs w:val="24"/>
        </w:rPr>
        <w:t xml:space="preserve">Note:  See U.S. Department of Labor revised regulations.  29 CFR </w:t>
      </w:r>
      <w:r w:rsidRPr="00451D4E">
        <w:rPr>
          <w:rFonts w:ascii="Times New Roman" w:eastAsia="Times New Roman" w:hAnsi="Times New Roman"/>
          <w:sz w:val="24"/>
          <w:szCs w:val="24"/>
        </w:rPr>
        <w:t>§ 778.215</w:t>
      </w:r>
      <w:r>
        <w:rPr>
          <w:rFonts w:ascii="Times New Roman" w:eastAsia="Times New Roman" w:hAnsi="Times New Roman"/>
          <w:sz w:val="24"/>
          <w:szCs w:val="24"/>
        </w:rPr>
        <w:t>,</w:t>
      </w:r>
      <w:r w:rsidRPr="00451D4E">
        <w:rPr>
          <w:rFonts w:ascii="Times New Roman" w:eastAsia="Times New Roman" w:hAnsi="Times New Roman"/>
          <w:sz w:val="24"/>
          <w:szCs w:val="24"/>
        </w:rPr>
        <w:t xml:space="preserve"> Conditions for exclusion of benefit-plan contributions under section 7(e)(4).</w:t>
      </w:r>
      <w:r>
        <w:rPr>
          <w:rFonts w:ascii="Times New Roman" w:eastAsia="Times New Roman" w:hAnsi="Times New Roman"/>
          <w:sz w:val="24"/>
          <w:szCs w:val="24"/>
        </w:rPr>
        <w:t xml:space="preserve"> </w:t>
      </w:r>
      <w:hyperlink r:id="rId1773" w:history="1">
        <w:r w:rsidRPr="00FE7279">
          <w:rPr>
            <w:rStyle w:val="Hyperlink"/>
            <w:rFonts w:ascii="Times New Roman" w:eastAsia="Times New Roman" w:hAnsi="Times New Roman"/>
            <w:sz w:val="24"/>
            <w:szCs w:val="24"/>
          </w:rPr>
          <w:t>https://www.law.cornell.edu/cfr/text/29/778.215</w:t>
        </w:r>
      </w:hyperlink>
      <w:r>
        <w:rPr>
          <w:rFonts w:ascii="Times New Roman" w:eastAsia="Times New Roman" w:hAnsi="Times New Roman"/>
          <w:sz w:val="24"/>
          <w:szCs w:val="24"/>
        </w:rPr>
        <w:t xml:space="preserve"> </w:t>
      </w:r>
      <w:r w:rsidRPr="00451D4E">
        <w:rPr>
          <w:rFonts w:ascii="Times New Roman" w:eastAsia="Times New Roman" w:hAnsi="Times New Roman"/>
          <w:sz w:val="24"/>
          <w:szCs w:val="24"/>
        </w:rPr>
        <w:t xml:space="preserve"> </w:t>
      </w:r>
    </w:p>
    <w:bookmarkEnd w:id="387"/>
    <w:p w14:paraId="5BB4484D" w14:textId="77777777" w:rsidR="00EB2493" w:rsidRPr="00451D4E"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See Aug. 11, </w:t>
      </w:r>
      <w:proofErr w:type="gramStart"/>
      <w:r>
        <w:rPr>
          <w:rFonts w:ascii="Times New Roman" w:hAnsi="Times New Roman"/>
          <w:sz w:val="24"/>
          <w:szCs w:val="24"/>
        </w:rPr>
        <w:t>2016</w:t>
      </w:r>
      <w:proofErr w:type="gramEnd"/>
      <w:r>
        <w:rPr>
          <w:rFonts w:ascii="Times New Roman" w:hAnsi="Times New Roman"/>
          <w:sz w:val="24"/>
          <w:szCs w:val="24"/>
        </w:rPr>
        <w:t xml:space="preserve"> article from California law firm about </w:t>
      </w:r>
      <w:r w:rsidRPr="00451D4E">
        <w:rPr>
          <w:rFonts w:ascii="Times New Roman" w:hAnsi="Times New Roman"/>
          <w:i/>
          <w:iCs/>
          <w:sz w:val="24"/>
          <w:szCs w:val="24"/>
        </w:rPr>
        <w:t xml:space="preserve">Flores </w:t>
      </w:r>
      <w:r>
        <w:rPr>
          <w:rFonts w:ascii="Times New Roman" w:hAnsi="Times New Roman"/>
          <w:sz w:val="24"/>
          <w:szCs w:val="24"/>
        </w:rPr>
        <w:t xml:space="preserve">decision. </w:t>
      </w:r>
      <w:hyperlink r:id="rId1774" w:history="1">
        <w:r w:rsidRPr="00FE7279">
          <w:rPr>
            <w:rStyle w:val="Hyperlink"/>
            <w:rFonts w:ascii="Times New Roman" w:hAnsi="Times New Roman"/>
            <w:sz w:val="24"/>
            <w:szCs w:val="24"/>
          </w:rPr>
          <w:t>https://www.lcwlegal.com/news/cash-in-lieu-must-be-included-in-the-regular-rate-for-overtime-purposes-under-the-flsa-4</w:t>
        </w:r>
      </w:hyperlink>
      <w:r>
        <w:rPr>
          <w:rFonts w:ascii="Times New Roman" w:hAnsi="Times New Roman"/>
          <w:sz w:val="24"/>
          <w:szCs w:val="24"/>
        </w:rPr>
        <w:t xml:space="preserve"> </w:t>
      </w:r>
    </w:p>
    <w:p w14:paraId="13444602" w14:textId="77777777" w:rsidR="00EB2493" w:rsidRDefault="00EB2493" w:rsidP="00F326E5">
      <w:pPr>
        <w:rPr>
          <w:rFonts w:ascii="Arial Black" w:hAnsi="Arial Black"/>
          <w:b/>
          <w:sz w:val="24"/>
          <w:szCs w:val="24"/>
        </w:rPr>
      </w:pPr>
    </w:p>
    <w:p w14:paraId="2066E36F" w14:textId="77777777" w:rsidR="00EB2493" w:rsidRDefault="00EB2493" w:rsidP="00F326E5">
      <w:pPr>
        <w:rPr>
          <w:rFonts w:ascii="Arial Black" w:hAnsi="Arial Black"/>
          <w:b/>
          <w:sz w:val="24"/>
          <w:szCs w:val="24"/>
        </w:rPr>
      </w:pPr>
    </w:p>
    <w:p w14:paraId="690D20CC" w14:textId="3DDACDD2" w:rsidR="007F3C7D" w:rsidRDefault="007F3C7D"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8</w:t>
      </w:r>
    </w:p>
    <w:p w14:paraId="59CFBF11" w14:textId="77777777" w:rsidR="007F3C7D" w:rsidRPr="006C3119" w:rsidRDefault="007F3C7D" w:rsidP="007F3C7D">
      <w:pPr>
        <w:spacing w:before="100" w:beforeAutospacing="1" w:after="100" w:afterAutospacing="1" w:line="240" w:lineRule="auto"/>
        <w:rPr>
          <w:rFonts w:ascii="Arial Black" w:hAnsi="Arial Black"/>
          <w:sz w:val="28"/>
          <w:szCs w:val="28"/>
        </w:rPr>
      </w:pPr>
      <w:r>
        <w:rPr>
          <w:rFonts w:ascii="Arial Black" w:hAnsi="Arial Black"/>
          <w:sz w:val="28"/>
          <w:szCs w:val="28"/>
        </w:rPr>
        <w:t>NY: FDNY VEHICLE MAINTENANCE EMPLOYEES - CLAIM NOT PAID WORKING PRE-SHIFT OR LUNCH PERIOD – CASE TO TRIAL</w:t>
      </w:r>
    </w:p>
    <w:p w14:paraId="11E1DBC0" w14:textId="77777777" w:rsidR="007F3C7D" w:rsidRDefault="007F3C7D" w:rsidP="007F3C7D">
      <w:pPr>
        <w:rPr>
          <w:rFonts w:ascii="Times New Roman" w:hAnsi="Times New Roman"/>
          <w:sz w:val="24"/>
          <w:szCs w:val="24"/>
        </w:rPr>
      </w:pPr>
      <w:r w:rsidRPr="006C3119">
        <w:rPr>
          <w:rFonts w:ascii="Times New Roman" w:hAnsi="Times New Roman"/>
          <w:sz w:val="24"/>
          <w:szCs w:val="24"/>
        </w:rPr>
        <w:t xml:space="preserve">On </w:t>
      </w:r>
      <w:r>
        <w:rPr>
          <w:rFonts w:ascii="Times New Roman" w:hAnsi="Times New Roman"/>
          <w:sz w:val="24"/>
          <w:szCs w:val="24"/>
        </w:rPr>
        <w:t xml:space="preserve">Jan. 8, 2021, in </w:t>
      </w:r>
      <w:r w:rsidRPr="006C3119">
        <w:rPr>
          <w:rFonts w:ascii="Times New Roman" w:hAnsi="Times New Roman"/>
          <w:sz w:val="24"/>
          <w:szCs w:val="24"/>
          <w:u w:val="single"/>
        </w:rPr>
        <w:t>Christopher Viera, et al. v. City of New York</w:t>
      </w:r>
      <w:r>
        <w:rPr>
          <w:rFonts w:ascii="Times New Roman" w:hAnsi="Times New Roman"/>
          <w:sz w:val="24"/>
          <w:szCs w:val="24"/>
        </w:rPr>
        <w:t xml:space="preserve">, U.S. Magistrate Judge Stewart D. Aaron, U.S. District Court, Southern District of New York, held that neither the Plaintiffs, nor the </w:t>
      </w:r>
      <w:proofErr w:type="gramStart"/>
      <w:r>
        <w:rPr>
          <w:rFonts w:ascii="Times New Roman" w:hAnsi="Times New Roman"/>
          <w:sz w:val="24"/>
          <w:szCs w:val="24"/>
        </w:rPr>
        <w:t>City</w:t>
      </w:r>
      <w:proofErr w:type="gramEnd"/>
      <w:r>
        <w:rPr>
          <w:rFonts w:ascii="Times New Roman" w:hAnsi="Times New Roman"/>
          <w:sz w:val="24"/>
          <w:szCs w:val="24"/>
        </w:rPr>
        <w:t xml:space="preserve"> are entitled to summary judgment.  While there is an established process for employees to submit overtime hours into “Citytime” computer system, the employees claim that they often must start work early to locate and move vehicles, and also do work during their 30-minute lunch breaks, and that their Supervisors have directed them to not submit overtime unless it was “pre-approve.” </w:t>
      </w:r>
    </w:p>
    <w:p w14:paraId="20B80FCC" w14:textId="77777777" w:rsidR="007F3C7D" w:rsidRDefault="007F3C7D" w:rsidP="007F3C7D">
      <w:pPr>
        <w:ind w:left="720"/>
        <w:rPr>
          <w:rFonts w:ascii="Times New Roman" w:hAnsi="Times New Roman"/>
          <w:sz w:val="24"/>
          <w:szCs w:val="24"/>
        </w:rPr>
      </w:pPr>
      <w:r>
        <w:rPr>
          <w:rFonts w:ascii="Times New Roman" w:hAnsi="Times New Roman"/>
          <w:sz w:val="24"/>
          <w:szCs w:val="24"/>
        </w:rPr>
        <w:t>“</w:t>
      </w:r>
      <w:r w:rsidRPr="003503A8">
        <w:rPr>
          <w:rFonts w:ascii="Times New Roman" w:hAnsi="Times New Roman"/>
          <w:sz w:val="24"/>
          <w:szCs w:val="24"/>
        </w:rPr>
        <w:t xml:space="preserve">The </w:t>
      </w:r>
      <w:proofErr w:type="gramStart"/>
      <w:r w:rsidRPr="003503A8">
        <w:rPr>
          <w:rFonts w:ascii="Times New Roman" w:hAnsi="Times New Roman"/>
          <w:sz w:val="24"/>
          <w:szCs w:val="24"/>
        </w:rPr>
        <w:t>City</w:t>
      </w:r>
      <w:proofErr w:type="gramEnd"/>
      <w:r w:rsidRPr="003503A8">
        <w:rPr>
          <w:rFonts w:ascii="Times New Roman" w:hAnsi="Times New Roman"/>
          <w:sz w:val="24"/>
          <w:szCs w:val="24"/>
        </w:rPr>
        <w:t xml:space="preserve"> submits an expert declaration asserting that over 94% of the overtime requests that Plaintiffs submitted in </w:t>
      </w:r>
      <w:proofErr w:type="spellStart"/>
      <w:r w:rsidRPr="003503A8">
        <w:rPr>
          <w:rFonts w:ascii="Times New Roman" w:hAnsi="Times New Roman"/>
          <w:sz w:val="24"/>
          <w:szCs w:val="24"/>
        </w:rPr>
        <w:t>CityTime</w:t>
      </w:r>
      <w:proofErr w:type="spellEnd"/>
      <w:r w:rsidRPr="003503A8">
        <w:rPr>
          <w:rFonts w:ascii="Times New Roman" w:hAnsi="Times New Roman"/>
          <w:sz w:val="24"/>
          <w:szCs w:val="24"/>
        </w:rPr>
        <w:t xml:space="preserve"> during the relevant </w:t>
      </w:r>
      <w:proofErr w:type="gramStart"/>
      <w:r w:rsidRPr="003503A8">
        <w:rPr>
          <w:rFonts w:ascii="Times New Roman" w:hAnsi="Times New Roman"/>
          <w:sz w:val="24"/>
          <w:szCs w:val="24"/>
        </w:rPr>
        <w:t>time period</w:t>
      </w:r>
      <w:proofErr w:type="gramEnd"/>
      <w:r w:rsidRPr="003503A8">
        <w:rPr>
          <w:rFonts w:ascii="Times New Roman" w:hAnsi="Times New Roman"/>
          <w:sz w:val="24"/>
          <w:szCs w:val="24"/>
        </w:rPr>
        <w:t xml:space="preserve"> were approved.</w:t>
      </w:r>
    </w:p>
    <w:p w14:paraId="5042BDAE" w14:textId="77777777" w:rsidR="007F3C7D" w:rsidRDefault="007F3C7D" w:rsidP="007F3C7D">
      <w:pPr>
        <w:ind w:left="720"/>
        <w:rPr>
          <w:rFonts w:ascii="Times New Roman" w:hAnsi="Times New Roman"/>
          <w:sz w:val="24"/>
          <w:szCs w:val="24"/>
        </w:rPr>
      </w:pPr>
    </w:p>
    <w:p w14:paraId="2B739B5F" w14:textId="77777777" w:rsidR="007F3C7D" w:rsidRDefault="007F3C7D" w:rsidP="007F3C7D">
      <w:pPr>
        <w:ind w:left="720"/>
        <w:rPr>
          <w:rFonts w:ascii="Times New Roman" w:hAnsi="Times New Roman"/>
          <w:sz w:val="24"/>
          <w:szCs w:val="24"/>
        </w:rPr>
      </w:pPr>
      <w:r>
        <w:rPr>
          <w:rFonts w:ascii="Times New Roman" w:hAnsi="Times New Roman"/>
          <w:sz w:val="24"/>
          <w:szCs w:val="24"/>
        </w:rPr>
        <w:t>***</w:t>
      </w:r>
    </w:p>
    <w:p w14:paraId="0D1C5937" w14:textId="77777777" w:rsidR="007F3C7D" w:rsidRDefault="007F3C7D" w:rsidP="007F3C7D">
      <w:pPr>
        <w:ind w:left="720"/>
        <w:rPr>
          <w:rFonts w:ascii="Times New Roman" w:hAnsi="Times New Roman"/>
          <w:sz w:val="24"/>
          <w:szCs w:val="24"/>
        </w:rPr>
      </w:pPr>
      <w:r w:rsidRPr="000020A0">
        <w:rPr>
          <w:rFonts w:ascii="Times New Roman" w:hAnsi="Times New Roman"/>
          <w:sz w:val="24"/>
          <w:szCs w:val="24"/>
        </w:rPr>
        <w:t xml:space="preserve">For its part, Defendant argues that it is entitled to summary judgment on Count I because </w:t>
      </w:r>
      <w:r>
        <w:rPr>
          <w:rFonts w:ascii="Times New Roman" w:hAnsi="Times New Roman"/>
          <w:sz w:val="24"/>
          <w:szCs w:val="24"/>
        </w:rPr>
        <w:t>‘</w:t>
      </w:r>
      <w:r w:rsidRPr="000020A0">
        <w:rPr>
          <w:rFonts w:ascii="Times New Roman" w:hAnsi="Times New Roman"/>
          <w:sz w:val="24"/>
          <w:szCs w:val="24"/>
        </w:rPr>
        <w:t>it is undisputed that the allegedly uncompensated work time at issue in this case was not reported to the City through its timekeeping system, and therefore, the City did not have the requisite knowledge to establish liability.</w:t>
      </w:r>
      <w:r>
        <w:rPr>
          <w:rFonts w:ascii="Times New Roman" w:hAnsi="Times New Roman"/>
          <w:sz w:val="24"/>
          <w:szCs w:val="24"/>
        </w:rPr>
        <w:t>’</w:t>
      </w:r>
      <w:r w:rsidRPr="000020A0">
        <w:rPr>
          <w:rFonts w:ascii="Times New Roman" w:hAnsi="Times New Roman"/>
          <w:sz w:val="24"/>
          <w:szCs w:val="24"/>
        </w:rPr>
        <w:t xml:space="preserve"> (</w:t>
      </w:r>
      <w:proofErr w:type="spellStart"/>
      <w:r w:rsidRPr="000020A0">
        <w:rPr>
          <w:rFonts w:ascii="Times New Roman" w:hAnsi="Times New Roman"/>
          <w:sz w:val="24"/>
          <w:szCs w:val="24"/>
        </w:rPr>
        <w:t>Def.'s</w:t>
      </w:r>
      <w:proofErr w:type="spellEnd"/>
      <w:r w:rsidRPr="000020A0">
        <w:rPr>
          <w:rFonts w:ascii="Times New Roman" w:hAnsi="Times New Roman"/>
          <w:sz w:val="24"/>
          <w:szCs w:val="24"/>
        </w:rPr>
        <w:t xml:space="preserve"> Mem. at 4.) </w:t>
      </w:r>
      <w:r>
        <w:rPr>
          <w:rFonts w:ascii="Times New Roman" w:hAnsi="Times New Roman"/>
          <w:sz w:val="24"/>
          <w:szCs w:val="24"/>
        </w:rPr>
        <w:t>‘</w:t>
      </w:r>
      <w:r w:rsidRPr="000020A0">
        <w:rPr>
          <w:rFonts w:ascii="Times New Roman" w:hAnsi="Times New Roman"/>
          <w:sz w:val="24"/>
          <w:szCs w:val="24"/>
        </w:rPr>
        <w:t xml:space="preserve">The </w:t>
      </w:r>
      <w:proofErr w:type="gramStart"/>
      <w:r w:rsidRPr="000020A0">
        <w:rPr>
          <w:rFonts w:ascii="Times New Roman" w:hAnsi="Times New Roman"/>
          <w:sz w:val="24"/>
          <w:szCs w:val="24"/>
        </w:rPr>
        <w:t>City</w:t>
      </w:r>
      <w:proofErr w:type="gramEnd"/>
      <w:r w:rsidRPr="000020A0">
        <w:rPr>
          <w:rFonts w:ascii="Times New Roman" w:hAnsi="Times New Roman"/>
          <w:sz w:val="24"/>
          <w:szCs w:val="24"/>
        </w:rPr>
        <w:t xml:space="preserve"> has made this [same] argument repeatedly in FLSA overtime litigation in this District and it has been unanimously rejected.</w:t>
      </w:r>
      <w:r>
        <w:rPr>
          <w:rFonts w:ascii="Times New Roman" w:hAnsi="Times New Roman"/>
          <w:sz w:val="24"/>
          <w:szCs w:val="24"/>
        </w:rPr>
        <w:t>’</w:t>
      </w:r>
      <w:r w:rsidRPr="000020A0">
        <w:rPr>
          <w:rFonts w:ascii="Times New Roman" w:hAnsi="Times New Roman"/>
          <w:sz w:val="24"/>
          <w:szCs w:val="24"/>
        </w:rPr>
        <w:t xml:space="preserve"> </w:t>
      </w:r>
      <w:proofErr w:type="spellStart"/>
      <w:r w:rsidRPr="000020A0">
        <w:rPr>
          <w:rFonts w:ascii="Times New Roman" w:hAnsi="Times New Roman"/>
          <w:i/>
          <w:iCs/>
          <w:sz w:val="24"/>
          <w:szCs w:val="24"/>
        </w:rPr>
        <w:t>Lawtone</w:t>
      </w:r>
      <w:proofErr w:type="spellEnd"/>
      <w:r w:rsidRPr="000020A0">
        <w:rPr>
          <w:rFonts w:ascii="Times New Roman" w:hAnsi="Times New Roman"/>
          <w:i/>
          <w:iCs/>
          <w:sz w:val="24"/>
          <w:szCs w:val="24"/>
        </w:rPr>
        <w:t>-Bowles</w:t>
      </w:r>
      <w:r w:rsidRPr="000020A0">
        <w:rPr>
          <w:rFonts w:ascii="Times New Roman" w:hAnsi="Times New Roman"/>
          <w:sz w:val="24"/>
          <w:szCs w:val="24"/>
        </w:rPr>
        <w:t xml:space="preserve">, 2020 WL 2833366, at *4. Here, as in </w:t>
      </w:r>
      <w:proofErr w:type="spellStart"/>
      <w:r w:rsidRPr="000020A0">
        <w:rPr>
          <w:rFonts w:ascii="Times New Roman" w:hAnsi="Times New Roman"/>
          <w:i/>
          <w:iCs/>
          <w:sz w:val="24"/>
          <w:szCs w:val="24"/>
        </w:rPr>
        <w:t>Lawtone</w:t>
      </w:r>
      <w:proofErr w:type="spellEnd"/>
      <w:r w:rsidRPr="000020A0">
        <w:rPr>
          <w:rFonts w:ascii="Times New Roman" w:hAnsi="Times New Roman"/>
          <w:i/>
          <w:iCs/>
          <w:sz w:val="24"/>
          <w:szCs w:val="24"/>
        </w:rPr>
        <w:t>-Bowles</w:t>
      </w:r>
      <w:r w:rsidRPr="000020A0">
        <w:rPr>
          <w:rFonts w:ascii="Times New Roman" w:hAnsi="Times New Roman"/>
          <w:sz w:val="24"/>
          <w:szCs w:val="24"/>
        </w:rPr>
        <w:t xml:space="preserve">, the record </w:t>
      </w:r>
      <w:proofErr w:type="gramStart"/>
      <w:r w:rsidRPr="000020A0">
        <w:rPr>
          <w:rFonts w:ascii="Times New Roman" w:hAnsi="Times New Roman"/>
          <w:sz w:val="24"/>
          <w:szCs w:val="24"/>
        </w:rPr>
        <w:t>evidence—</w:t>
      </w:r>
      <w:proofErr w:type="gramEnd"/>
      <w:r w:rsidRPr="000020A0">
        <w:rPr>
          <w:rFonts w:ascii="Times New Roman" w:hAnsi="Times New Roman"/>
          <w:sz w:val="24"/>
          <w:szCs w:val="24"/>
        </w:rPr>
        <w:t xml:space="preserve">including Plaintiffs' testimony that their supervisors, </w:t>
      </w:r>
      <w:r w:rsidRPr="000020A0">
        <w:rPr>
          <w:rFonts w:ascii="Times New Roman" w:hAnsi="Times New Roman"/>
          <w:i/>
          <w:iCs/>
          <w:sz w:val="24"/>
          <w:szCs w:val="24"/>
        </w:rPr>
        <w:t>e</w:t>
      </w:r>
      <w:r w:rsidRPr="000020A0">
        <w:rPr>
          <w:rFonts w:ascii="Times New Roman" w:hAnsi="Times New Roman"/>
          <w:sz w:val="24"/>
          <w:szCs w:val="24"/>
        </w:rPr>
        <w:t>.</w:t>
      </w:r>
      <w:r w:rsidRPr="000020A0">
        <w:rPr>
          <w:rFonts w:ascii="Times New Roman" w:hAnsi="Times New Roman"/>
          <w:i/>
          <w:iCs/>
          <w:sz w:val="24"/>
          <w:szCs w:val="24"/>
        </w:rPr>
        <w:t>g</w:t>
      </w:r>
      <w:r w:rsidRPr="000020A0">
        <w:rPr>
          <w:rFonts w:ascii="Times New Roman" w:hAnsi="Times New Roman"/>
          <w:sz w:val="24"/>
          <w:szCs w:val="24"/>
        </w:rPr>
        <w:t>., assigned pre-shift and mealtime work tasks, reviewed time sheets on a weekly basis, and gave instructions not to submit overtime requests for work that was not pre-approved (</w:t>
      </w:r>
      <w:r w:rsidRPr="000020A0">
        <w:rPr>
          <w:rFonts w:ascii="Times New Roman" w:hAnsi="Times New Roman"/>
          <w:i/>
          <w:iCs/>
          <w:sz w:val="24"/>
          <w:szCs w:val="24"/>
        </w:rPr>
        <w:t>see</w:t>
      </w:r>
      <w:r w:rsidRPr="000020A0">
        <w:rPr>
          <w:rFonts w:ascii="Times New Roman" w:hAnsi="Times New Roman"/>
          <w:sz w:val="24"/>
          <w:szCs w:val="24"/>
        </w:rPr>
        <w:t xml:space="preserve"> Pls.' Mem. at 10, 12)—could, if credited, allow </w:t>
      </w:r>
      <w:r>
        <w:rPr>
          <w:rFonts w:ascii="Times New Roman" w:hAnsi="Times New Roman"/>
          <w:sz w:val="24"/>
          <w:szCs w:val="24"/>
        </w:rPr>
        <w:t>‘</w:t>
      </w:r>
      <w:r w:rsidRPr="000020A0">
        <w:rPr>
          <w:rFonts w:ascii="Times New Roman" w:hAnsi="Times New Roman"/>
          <w:sz w:val="24"/>
          <w:szCs w:val="24"/>
        </w:rPr>
        <w:t>[a] reasonable factfinder [to] conclude that Plaintiffs worked uncompensated overtime, that Defendant had actual or constructive knowledge of this time, and that Defendant discouraged the reporting of accurate overtime that was not pre-approved.</w:t>
      </w:r>
      <w:r>
        <w:rPr>
          <w:rFonts w:ascii="Times New Roman" w:hAnsi="Times New Roman"/>
          <w:sz w:val="24"/>
          <w:szCs w:val="24"/>
        </w:rPr>
        <w:t xml:space="preserve">’” </w:t>
      </w:r>
      <w:hyperlink r:id="rId1775" w:history="1">
        <w:r w:rsidRPr="002F4AC3">
          <w:rPr>
            <w:rStyle w:val="Hyperlink"/>
            <w:rFonts w:ascii="Times New Roman" w:hAnsi="Times New Roman"/>
            <w:sz w:val="24"/>
            <w:szCs w:val="24"/>
          </w:rPr>
          <w:t>https://law.justia.com/cases/federal/district-courts/new-york/nysdce/1:2019cv05773/517969/98/</w:t>
        </w:r>
      </w:hyperlink>
      <w:r>
        <w:rPr>
          <w:rFonts w:ascii="Times New Roman" w:hAnsi="Times New Roman"/>
          <w:sz w:val="24"/>
          <w:szCs w:val="24"/>
        </w:rPr>
        <w:t xml:space="preserve"> </w:t>
      </w:r>
    </w:p>
    <w:p w14:paraId="57C1F965" w14:textId="77777777" w:rsidR="007F3C7D" w:rsidRPr="000020A0" w:rsidRDefault="007F3C7D" w:rsidP="007F3C7D">
      <w:pPr>
        <w:pStyle w:val="NormalWeb"/>
        <w:rPr>
          <w:b/>
          <w:bCs/>
        </w:rPr>
      </w:pPr>
      <w:r w:rsidRPr="00DA0ACA">
        <w:rPr>
          <w:b/>
          <w:bCs/>
        </w:rPr>
        <w:t>Legal Lesson Learned:</w:t>
      </w:r>
      <w:r>
        <w:rPr>
          <w:b/>
          <w:bCs/>
        </w:rPr>
        <w:t xml:space="preserve">  It appears that this case is headed to trial, unless the parties can settle.  </w:t>
      </w:r>
    </w:p>
    <w:p w14:paraId="663351A3" w14:textId="77777777" w:rsidR="007F3C7D" w:rsidRDefault="007F3C7D" w:rsidP="00F326E5">
      <w:pPr>
        <w:rPr>
          <w:rFonts w:ascii="Arial Black" w:hAnsi="Arial Black"/>
          <w:b/>
          <w:sz w:val="24"/>
          <w:szCs w:val="24"/>
        </w:rPr>
      </w:pPr>
    </w:p>
    <w:p w14:paraId="7BE06BBE" w14:textId="77777777" w:rsidR="007F3C7D" w:rsidRDefault="007F3C7D" w:rsidP="00F326E5">
      <w:pPr>
        <w:rPr>
          <w:rFonts w:ascii="Arial Black" w:hAnsi="Arial Black"/>
          <w:b/>
          <w:sz w:val="24"/>
          <w:szCs w:val="24"/>
        </w:rPr>
      </w:pPr>
    </w:p>
    <w:p w14:paraId="0CFF1339" w14:textId="432F29BD" w:rsidR="00863F9E" w:rsidRDefault="00863F9E"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 xml:space="preserve">7 </w:t>
      </w:r>
      <w:r w:rsidRPr="007F3C7D">
        <w:rPr>
          <w:rFonts w:ascii="Times New Roman" w:hAnsi="Times New Roman"/>
          <w:bCs/>
          <w:sz w:val="24"/>
          <w:szCs w:val="24"/>
        </w:rPr>
        <w:t>[also filed, Chap. 10]</w:t>
      </w:r>
    </w:p>
    <w:p w14:paraId="6CBCF93F" w14:textId="77777777" w:rsidR="00863F9E" w:rsidRDefault="00863F9E" w:rsidP="00863F9E">
      <w:pPr>
        <w:spacing w:before="100" w:beforeAutospacing="1" w:after="100" w:afterAutospacing="1" w:line="240" w:lineRule="auto"/>
        <w:rPr>
          <w:rFonts w:eastAsia="Times New Roman" w:cs="Calibri"/>
          <w:vanish/>
        </w:rPr>
      </w:pPr>
      <w:r>
        <w:rPr>
          <w:rFonts w:ascii="Arial Black" w:eastAsia="Times New Roman" w:hAnsi="Arial Black"/>
          <w:b/>
          <w:bCs/>
          <w:sz w:val="28"/>
          <w:szCs w:val="28"/>
        </w:rPr>
        <w:t>U.S. DOL: ELECTRONIC POSTING CAN’T REPLACE FLSA / FMLA POSTERS – UNLESS ALL EMPLOYEES WORK ONLINE</w:t>
      </w:r>
    </w:p>
    <w:tbl>
      <w:tblPr>
        <w:tblW w:w="5000" w:type="pct"/>
        <w:jc w:val="center"/>
        <w:tblCellMar>
          <w:left w:w="0" w:type="dxa"/>
          <w:right w:w="0" w:type="dxa"/>
        </w:tblCellMar>
        <w:tblLook w:val="04A0" w:firstRow="1" w:lastRow="0" w:firstColumn="1" w:lastColumn="0" w:noHBand="0" w:noVBand="1"/>
      </w:tblPr>
      <w:tblGrid>
        <w:gridCol w:w="10800"/>
      </w:tblGrid>
      <w:tr w:rsidR="00863F9E" w14:paraId="40599FA2" w14:textId="77777777" w:rsidTr="00F90EE5">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863F9E" w14:paraId="1E1D5657" w14:textId="77777777" w:rsidTr="00F90EE5">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63F9E" w14:paraId="6E54FE96" w14:textId="77777777" w:rsidTr="00F90EE5">
                    <w:trPr>
                      <w:jc w:val="center"/>
                      <w:hidden/>
                    </w:trPr>
                    <w:tc>
                      <w:tcPr>
                        <w:tcW w:w="0" w:type="auto"/>
                        <w:tcMar>
                          <w:top w:w="75" w:type="dxa"/>
                          <w:left w:w="0" w:type="dxa"/>
                          <w:bottom w:w="75" w:type="dxa"/>
                          <w:right w:w="0" w:type="dxa"/>
                        </w:tcMar>
                        <w:hideMark/>
                      </w:tcPr>
                      <w:p w14:paraId="28B2CC51" w14:textId="77777777" w:rsidR="00863F9E" w:rsidRDefault="00863F9E" w:rsidP="00F90EE5">
                        <w:pPr>
                          <w:rPr>
                            <w:rFonts w:eastAsia="Times New Roman" w:cs="Calibri"/>
                            <w:vanish/>
                          </w:rPr>
                        </w:pPr>
                      </w:p>
                    </w:tc>
                  </w:tr>
                </w:tbl>
                <w:p w14:paraId="4DB7C56A" w14:textId="77777777" w:rsidR="00863F9E" w:rsidRDefault="00863F9E" w:rsidP="00F90EE5">
                  <w:pPr>
                    <w:jc w:val="center"/>
                  </w:pPr>
                </w:p>
              </w:tc>
            </w:tr>
          </w:tbl>
          <w:p w14:paraId="6686117C" w14:textId="77777777" w:rsidR="00863F9E" w:rsidRDefault="00863F9E" w:rsidP="00F90EE5">
            <w:pPr>
              <w:jc w:val="center"/>
            </w:pPr>
          </w:p>
        </w:tc>
      </w:tr>
    </w:tbl>
    <w:p w14:paraId="494DDEAC" w14:textId="77777777" w:rsidR="00863F9E" w:rsidRDefault="00863F9E" w:rsidP="00863F9E">
      <w:pPr>
        <w:pStyle w:val="NormalWeb"/>
        <w:spacing w:line="255" w:lineRule="atLeast"/>
        <w:rPr>
          <w:bCs/>
        </w:rPr>
      </w:pPr>
      <w:r>
        <w:rPr>
          <w:bCs/>
        </w:rPr>
        <w:t xml:space="preserve">On Dec. 29, 2020, the U.S. Department of Labor / Wage &amp; Hour Division issued Field Assistance Bulletin regarding posters that are required in workplaces, including the </w:t>
      </w:r>
      <w:r>
        <w:t>Fair Labor Standards Act (FLSA), the Family and Medical Leave Act (FMLA), Section 14I of the FLSA (Section 14I), the Employee Polygraph Protection Act (EPPA), and the Service Contract Act (SCA).</w:t>
      </w:r>
    </w:p>
    <w:p w14:paraId="4B6437A3" w14:textId="77777777" w:rsidR="00863F9E" w:rsidRDefault="00863F9E" w:rsidP="00863F9E">
      <w:pPr>
        <w:pStyle w:val="NormalWeb"/>
        <w:spacing w:line="255" w:lineRule="atLeast"/>
        <w:ind w:left="720"/>
      </w:pPr>
      <w:r>
        <w:t>“In most cases, these electronic notices supplement but do not replace the statutory and regulatory requirements that employers post a hard-copy notice. Whether notices are provided electronically or in hard-copy format, it is an employer’s obligation to provide the required notices to all affected individuals.</w:t>
      </w:r>
    </w:p>
    <w:p w14:paraId="5EB7492C" w14:textId="77777777" w:rsidR="00863F9E" w:rsidRDefault="00863F9E" w:rsidP="00863F9E">
      <w:pPr>
        <w:pStyle w:val="NormalWeb"/>
        <w:spacing w:line="255" w:lineRule="atLeast"/>
        <w:ind w:left="720"/>
      </w:pPr>
      <w:r>
        <w:t>***</w:t>
      </w:r>
    </w:p>
    <w:p w14:paraId="387EF879" w14:textId="77777777" w:rsidR="00863F9E" w:rsidRDefault="00863F9E" w:rsidP="00863F9E">
      <w:pPr>
        <w:pStyle w:val="NormalWeb"/>
        <w:spacing w:line="255" w:lineRule="atLeast"/>
        <w:ind w:left="720"/>
        <w:rPr>
          <w:rStyle w:val="Hyperlink"/>
        </w:rPr>
      </w:pPr>
      <w:r>
        <w:t xml:space="preserve">If a statute and its regulations require a notice to be continuously posted at a worksite, in most cases, WHD will only consider electronic posting an acceptable substitute for the continuous posting requirement where (1) all of the employer’s employees exclusively work remotely, (2) all employees customarily receive information from the employer via electronic means, and (3) all employees have readily available access to the electronic posting at all times. This ensures the electronic posting satisfies the statutory and regulatory requirements that such postings </w:t>
      </w:r>
      <w:proofErr w:type="gramStart"/>
      <w:r>
        <w:t>be</w:t>
      </w:r>
      <w:proofErr w:type="gramEnd"/>
      <w:r>
        <w:t xml:space="preserve"> continuously accessible to employees. Where an employer has employees on-site and other employees teleworking full-time, for example, the employer may supplement a hard-copy posting requirement with electronic posting and the Department would encourage both methods of posting.”  </w:t>
      </w:r>
      <w:hyperlink r:id="rId1776" w:history="1">
        <w:r>
          <w:rPr>
            <w:rStyle w:val="Hyperlink"/>
          </w:rPr>
          <w:t>https://www.dol.gov/sites/dolgov/files/WHD/legacy/files/fab_2020_7.pdf</w:t>
        </w:r>
      </w:hyperlink>
    </w:p>
    <w:p w14:paraId="7A0F0B7A" w14:textId="77777777" w:rsidR="00863F9E" w:rsidRDefault="00863F9E" w:rsidP="00863F9E">
      <w:pPr>
        <w:pStyle w:val="NormalWeb"/>
        <w:spacing w:line="255" w:lineRule="atLeast"/>
        <w:rPr>
          <w:b/>
        </w:rPr>
      </w:pPr>
      <w:r>
        <w:rPr>
          <w:b/>
        </w:rPr>
        <w:t>Legal Lesson Learned: Fire Department need to keep posters on the wall.</w:t>
      </w:r>
    </w:p>
    <w:p w14:paraId="1774891E" w14:textId="7906AF94" w:rsidR="00863F9E" w:rsidRDefault="00863F9E" w:rsidP="00F326E5">
      <w:pPr>
        <w:rPr>
          <w:rFonts w:ascii="Arial Black" w:hAnsi="Arial Black"/>
          <w:b/>
          <w:sz w:val="24"/>
          <w:szCs w:val="24"/>
        </w:rPr>
      </w:pPr>
    </w:p>
    <w:p w14:paraId="108AB8E1" w14:textId="73EC4A4F" w:rsidR="00863F9E" w:rsidRDefault="00863F9E"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6</w:t>
      </w:r>
    </w:p>
    <w:p w14:paraId="0A361B27" w14:textId="77777777" w:rsidR="00863F9E" w:rsidRDefault="00863F9E" w:rsidP="00863F9E">
      <w:pPr>
        <w:spacing w:before="100" w:beforeAutospacing="1" w:after="100" w:afterAutospacing="1" w:line="240" w:lineRule="auto"/>
        <w:rPr>
          <w:rFonts w:ascii="Arial Black" w:eastAsia="Times New Roman" w:hAnsi="Arial Black"/>
          <w:b/>
          <w:bCs/>
          <w:sz w:val="28"/>
          <w:szCs w:val="28"/>
        </w:rPr>
      </w:pPr>
      <w:bookmarkStart w:id="388" w:name="_Hlk66949025"/>
      <w:r>
        <w:rPr>
          <w:rFonts w:ascii="Arial Black" w:eastAsia="Times New Roman" w:hAnsi="Arial Black"/>
          <w:b/>
          <w:bCs/>
          <w:sz w:val="28"/>
          <w:szCs w:val="28"/>
        </w:rPr>
        <w:t xml:space="preserve">OH: FIRE CHIEF POLICY - NO OVERTIME – BACK PAY / DOUBLED – DAMAGES CALCULATED AFTER 40 HOURS (NOT 53 HRS)  </w:t>
      </w:r>
    </w:p>
    <w:p w14:paraId="58BC7039" w14:textId="77777777" w:rsidR="00863F9E" w:rsidRDefault="00863F9E" w:rsidP="00863F9E">
      <w:pPr>
        <w:tabs>
          <w:tab w:val="left" w:pos="6970"/>
        </w:tabs>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21, 2020, in </w:t>
      </w:r>
      <w:r>
        <w:rPr>
          <w:rFonts w:ascii="Times New Roman" w:eastAsia="Times New Roman" w:hAnsi="Times New Roman"/>
          <w:sz w:val="24"/>
          <w:szCs w:val="24"/>
          <w:u w:val="single"/>
        </w:rPr>
        <w:t>David Vance v. Village of Highlands, OH</w:t>
      </w:r>
      <w:r>
        <w:rPr>
          <w:rFonts w:ascii="Times New Roman" w:eastAsia="Times New Roman" w:hAnsi="Times New Roman"/>
          <w:sz w:val="24"/>
          <w:szCs w:val="24"/>
        </w:rPr>
        <w:t>, U.S. District Court Judge James S. Gwin, U.S. District Court for Northern District of Ohio, held given the deposition testimony of the Fire Chief that the FD never paid overtime to any firefighter, despite what the FD Employee Manual provided.  The former firefighter is entitled to back pay and liquidated damages (double the back pay) for all hours he worked beyond 40 hours, not 53 hours [216 hours / 28-day pay period exemption in Sec. 207(k)], since FD never established a 28-day “work period.”</w:t>
      </w:r>
    </w:p>
    <w:bookmarkEnd w:id="388"/>
    <w:p w14:paraId="502A185E" w14:textId="77777777" w:rsidR="00863F9E" w:rsidRDefault="00863F9E" w:rsidP="00863F9E">
      <w:pPr>
        <w:tabs>
          <w:tab w:val="left" w:pos="6970"/>
        </w:tabs>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lastRenderedPageBreak/>
        <w:t>“At his deposition, Defendant’s fire chief explained that the fire department followed a policy of never paying overtime.</w:t>
      </w:r>
      <w:bookmarkStart w:id="389" w:name="fn7"/>
      <w:bookmarkEnd w:id="389"/>
      <w:r>
        <w:rPr>
          <w:rFonts w:ascii="Times New Roman" w:hAnsi="Times New Roman"/>
          <w:sz w:val="24"/>
          <w:szCs w:val="24"/>
          <w:vertAlign w:val="superscript"/>
        </w:rPr>
        <w:t xml:space="preserve"> </w:t>
      </w:r>
      <w:r>
        <w:rPr>
          <w:rFonts w:ascii="Times New Roman" w:hAnsi="Times New Roman"/>
          <w:sz w:val="24"/>
          <w:szCs w:val="24"/>
        </w:rPr>
        <w:t>Defendant now accepts that it must pay overtime. The parties stipulate that Plaintiff is entitled to the overtime Defendant did not pay together with liquidated damages.</w:t>
      </w:r>
    </w:p>
    <w:p w14:paraId="79F5A9EF" w14:textId="77777777" w:rsidR="00863F9E" w:rsidRDefault="00863F9E" w:rsidP="00863F9E">
      <w:pPr>
        <w:tabs>
          <w:tab w:val="left" w:pos="6970"/>
        </w:tabs>
        <w:spacing w:before="100" w:beforeAutospacing="1" w:after="100" w:afterAutospacing="1" w:line="240" w:lineRule="auto"/>
        <w:ind w:left="810"/>
        <w:rPr>
          <w:rFonts w:ascii="Times New Roman" w:eastAsia="Times New Roman" w:hAnsi="Times New Roman"/>
          <w:sz w:val="24"/>
          <w:szCs w:val="24"/>
        </w:rPr>
      </w:pPr>
      <w:r>
        <w:rPr>
          <w:rFonts w:ascii="Times New Roman" w:hAnsi="Times New Roman"/>
          <w:sz w:val="24"/>
          <w:szCs w:val="24"/>
        </w:rPr>
        <w:t>***</w:t>
      </w:r>
      <w:r>
        <w:rPr>
          <w:rFonts w:ascii="Times New Roman" w:eastAsia="Times New Roman" w:hAnsi="Times New Roman"/>
          <w:sz w:val="24"/>
          <w:szCs w:val="24"/>
        </w:rPr>
        <w:t xml:space="preserve">  </w:t>
      </w:r>
    </w:p>
    <w:p w14:paraId="60852338" w14:textId="77777777" w:rsidR="00863F9E" w:rsidRDefault="00863F9E" w:rsidP="00863F9E">
      <w:pPr>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 xml:space="preserve">The Court agrees with Plaintiff that the 29 U.S.C.§207(k) exemption should not apply in this instance. Defendant did not establish a 28-day work period as the §207(k) exemption required. There may have been a policy on the books, but Defendant made no effort to apply it to </w:t>
      </w:r>
      <w:proofErr w:type="gramStart"/>
      <w:r>
        <w:rPr>
          <w:rFonts w:ascii="Times New Roman" w:hAnsi="Times New Roman"/>
          <w:sz w:val="24"/>
          <w:szCs w:val="24"/>
        </w:rPr>
        <w:t>Plaintiff.”</w:t>
      </w:r>
      <w:proofErr w:type="gramEnd"/>
      <w:r>
        <w:rPr>
          <w:rFonts w:ascii="Times New Roman" w:hAnsi="Times New Roman"/>
          <w:sz w:val="24"/>
          <w:szCs w:val="24"/>
        </w:rPr>
        <w:t xml:space="preserve">  </w:t>
      </w:r>
      <w:bookmarkStart w:id="390" w:name="_Hlk66949056"/>
      <w:r w:rsidR="00F00958">
        <w:fldChar w:fldCharType="begin"/>
      </w:r>
      <w:r w:rsidR="00F00958">
        <w:instrText xml:space="preserve"> HYPERLINK "https://www.leagle.com/decision/infdco20201224948" </w:instrText>
      </w:r>
      <w:r w:rsidR="00F00958">
        <w:fldChar w:fldCharType="separate"/>
      </w:r>
      <w:r>
        <w:rPr>
          <w:rStyle w:val="Hyperlink"/>
        </w:rPr>
        <w:t>https://www.leagle.com/decision/infdco20201224948</w:t>
      </w:r>
      <w:r w:rsidR="00F00958">
        <w:rPr>
          <w:rStyle w:val="Hyperlink"/>
        </w:rPr>
        <w:fldChar w:fldCharType="end"/>
      </w:r>
      <w:r>
        <w:rPr>
          <w:rFonts w:ascii="Times New Roman" w:hAnsi="Times New Roman"/>
          <w:sz w:val="24"/>
          <w:szCs w:val="24"/>
        </w:rPr>
        <w:t xml:space="preserve"> </w:t>
      </w:r>
    </w:p>
    <w:p w14:paraId="602D57A5" w14:textId="77777777" w:rsidR="00863F9E" w:rsidRDefault="00863F9E" w:rsidP="00863F9E">
      <w:pPr>
        <w:pStyle w:val="NoSpacing"/>
        <w:jc w:val="both"/>
        <w:rPr>
          <w:rFonts w:ascii="Times New Roman" w:hAnsi="Times New Roman"/>
          <w:b/>
          <w:bCs/>
          <w:sz w:val="24"/>
          <w:szCs w:val="24"/>
        </w:rPr>
      </w:pPr>
      <w:r>
        <w:rPr>
          <w:rFonts w:ascii="Times New Roman" w:hAnsi="Times New Roman"/>
          <w:b/>
          <w:bCs/>
          <w:sz w:val="24"/>
          <w:szCs w:val="24"/>
        </w:rPr>
        <w:t xml:space="preserve">Legal Lesson Learned: FD’s legal counsel wisely stipulated violated FLSA and avoided expense of trial.  FD will most likely now review payroll records and pay back </w:t>
      </w:r>
      <w:proofErr w:type="gramStart"/>
      <w:r>
        <w:rPr>
          <w:rFonts w:ascii="Times New Roman" w:hAnsi="Times New Roman"/>
          <w:b/>
          <w:bCs/>
          <w:sz w:val="24"/>
          <w:szCs w:val="24"/>
        </w:rPr>
        <w:t>pay</w:t>
      </w:r>
      <w:proofErr w:type="gramEnd"/>
      <w:r>
        <w:rPr>
          <w:rFonts w:ascii="Times New Roman" w:hAnsi="Times New Roman"/>
          <w:b/>
          <w:bCs/>
          <w:sz w:val="24"/>
          <w:szCs w:val="24"/>
        </w:rPr>
        <w:t xml:space="preserve"> to other firefighters. </w:t>
      </w:r>
    </w:p>
    <w:bookmarkEnd w:id="390"/>
    <w:p w14:paraId="0B565636" w14:textId="239A72CC" w:rsidR="00863F9E" w:rsidRDefault="00863F9E" w:rsidP="00F326E5">
      <w:pPr>
        <w:rPr>
          <w:rFonts w:ascii="Arial Black" w:hAnsi="Arial Black"/>
          <w:b/>
          <w:sz w:val="24"/>
          <w:szCs w:val="24"/>
        </w:rPr>
      </w:pPr>
    </w:p>
    <w:p w14:paraId="7732C6CF" w14:textId="402CF6B2" w:rsidR="00863F9E" w:rsidRDefault="00863F9E"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5</w:t>
      </w:r>
    </w:p>
    <w:p w14:paraId="0262F877" w14:textId="77777777" w:rsidR="00863F9E" w:rsidRDefault="00863F9E" w:rsidP="00863F9E">
      <w:pPr>
        <w:pStyle w:val="NoSpacing"/>
        <w:rPr>
          <w:rFonts w:ascii="Arial Black" w:hAnsi="Arial Black"/>
          <w:sz w:val="28"/>
          <w:szCs w:val="28"/>
        </w:rPr>
      </w:pPr>
      <w:r>
        <w:rPr>
          <w:rFonts w:ascii="Arial Black" w:hAnsi="Arial Black"/>
          <w:sz w:val="28"/>
          <w:szCs w:val="28"/>
        </w:rPr>
        <w:t>VA: BATTALION CHIEFS – DUTIES SHOW THEY ARE “EXECUTIVE” EMPLOYEES – “EXEMPT” UNDER FLSA FROM OVERTIME PAY</w:t>
      </w:r>
    </w:p>
    <w:p w14:paraId="29E2AE6B" w14:textId="77777777" w:rsidR="00863F9E" w:rsidRDefault="00863F9E" w:rsidP="00863F9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4, 2020, in </w:t>
      </w:r>
      <w:r>
        <w:rPr>
          <w:rFonts w:ascii="Times New Roman" w:eastAsia="Times New Roman" w:hAnsi="Times New Roman"/>
          <w:sz w:val="24"/>
          <w:szCs w:val="24"/>
          <w:u w:val="single"/>
        </w:rPr>
        <w:t>Shean Emmons, et al. v. City of Chesapeake</w:t>
      </w:r>
      <w:r>
        <w:rPr>
          <w:rFonts w:ascii="Times New Roman" w:eastAsia="Times New Roman" w:hAnsi="Times New Roman"/>
          <w:sz w:val="24"/>
          <w:szCs w:val="24"/>
        </w:rPr>
        <w:t>, the U.S. Court of Appeals for the Fourth Circuit (Richmond, VA) held (3 to 0) that the Battalion Chiefs are “managers” and “executive” employees under the FLSA.</w:t>
      </w:r>
    </w:p>
    <w:p w14:paraId="784A19C2" w14:textId="77777777" w:rsidR="00863F9E" w:rsidRDefault="00863F9E" w:rsidP="00863F9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“The appellants in this case are Battalion Chiefs who have sued their employer, the City of Chesapeake Fire Department (CFD), for non-compliance with the overtime pay requirement of the Fair Labor Standards Act (FLSA). </w:t>
      </w:r>
    </w:p>
    <w:p w14:paraId="4DCB24FB" w14:textId="77777777" w:rsidR="00863F9E" w:rsidRDefault="00863F9E" w:rsidP="00863F9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0556949E" w14:textId="77777777" w:rsidR="00863F9E" w:rsidRDefault="00863F9E" w:rsidP="00863F9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We disagree. Section 541.3(b) does not categorically except the plaintiff BCs from the FLSA's system of exemptions, because the BCs are, first and foremost, managers within the CFD, not frontline firefighters. Nor do the plain terms of the FLSA's exemptions fail to apply. The BCs are executive employees under the FLSA, and it is on this basis that we affirm the district court's grant of summary judgment in favor of the CFD.”</w:t>
      </w:r>
      <w:r>
        <w:t xml:space="preserve">  </w:t>
      </w:r>
      <w:hyperlink r:id="rId1777" w:history="1">
        <w:r>
          <w:rPr>
            <w:rStyle w:val="Hyperlink"/>
          </w:rPr>
          <w:t>https://www.ca4.uscourts.gov/Opinions/191755.P.pdf</w:t>
        </w:r>
      </w:hyperlink>
      <w:r>
        <w:t xml:space="preserve">   </w:t>
      </w:r>
    </w:p>
    <w:p w14:paraId="31571927" w14:textId="77777777" w:rsidR="00863F9E" w:rsidRDefault="00863F9E" w:rsidP="00863F9E">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Court was extremely thorough in describing the duties of the Battalion Chiefs; this decision will undoubtedly be referenced in future court decisions throughout the Nation. </w:t>
      </w:r>
    </w:p>
    <w:p w14:paraId="507061C1" w14:textId="77777777" w:rsidR="00863F9E" w:rsidRDefault="00863F9E" w:rsidP="00F326E5">
      <w:pPr>
        <w:rPr>
          <w:rFonts w:ascii="Arial Black" w:hAnsi="Arial Black"/>
          <w:b/>
          <w:sz w:val="24"/>
          <w:szCs w:val="24"/>
        </w:rPr>
      </w:pPr>
    </w:p>
    <w:p w14:paraId="2810CEDC" w14:textId="77777777" w:rsidR="00B13773" w:rsidRDefault="00B13773" w:rsidP="00AC1E3A">
      <w:pPr>
        <w:pStyle w:val="NormalWeb"/>
        <w:rPr>
          <w:rFonts w:ascii="Arial Black" w:hAnsi="Arial Black"/>
          <w:sz w:val="28"/>
          <w:szCs w:val="28"/>
        </w:rPr>
      </w:pPr>
    </w:p>
    <w:p w14:paraId="533A2242" w14:textId="6780D87F" w:rsidR="00B13773" w:rsidRDefault="00B13773" w:rsidP="00AC1E3A">
      <w:pPr>
        <w:pStyle w:val="NormalWeb"/>
        <w:rPr>
          <w:rFonts w:ascii="Arial Black" w:hAnsi="Arial Black"/>
          <w:sz w:val="28"/>
          <w:szCs w:val="28"/>
        </w:rPr>
      </w:pPr>
      <w:r>
        <w:rPr>
          <w:rFonts w:ascii="Arial Black" w:hAnsi="Arial Black"/>
          <w:sz w:val="28"/>
          <w:szCs w:val="28"/>
        </w:rPr>
        <w:t>11-24</w:t>
      </w:r>
    </w:p>
    <w:p w14:paraId="2FA7CCFF" w14:textId="27DC8DD6" w:rsidR="00AC1E3A" w:rsidRDefault="00AC1E3A" w:rsidP="00AC1E3A">
      <w:pPr>
        <w:pStyle w:val="NormalWeb"/>
        <w:rPr>
          <w:rFonts w:ascii="Arial Black" w:hAnsi="Arial Black"/>
          <w:sz w:val="28"/>
          <w:szCs w:val="28"/>
        </w:rPr>
      </w:pPr>
      <w:r>
        <w:rPr>
          <w:rFonts w:ascii="Arial Black" w:hAnsi="Arial Black"/>
          <w:sz w:val="28"/>
          <w:szCs w:val="28"/>
        </w:rPr>
        <w:t>IL: CHICAGO FF WHILE ON MILITARY LEAVE – MISSED TEST FOR ENGINEER, FD REFUSED MAKE-UP – CASE PROCEED</w:t>
      </w:r>
    </w:p>
    <w:p w14:paraId="1025247B" w14:textId="77777777" w:rsidR="00AC1E3A" w:rsidRPr="00CB0145" w:rsidRDefault="00AC1E3A" w:rsidP="00AC1E3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On Oct. 23, 2020, in lawsuit filed by U.S. Department of Justice in </w:t>
      </w:r>
      <w:r w:rsidRPr="006D68B7">
        <w:rPr>
          <w:rFonts w:ascii="Times New Roman" w:eastAsia="Times New Roman" w:hAnsi="Times New Roman"/>
          <w:sz w:val="24"/>
          <w:szCs w:val="24"/>
          <w:u w:val="single"/>
        </w:rPr>
        <w:t>Derrick Strong v. City of Chicago</w:t>
      </w:r>
      <w:r>
        <w:rPr>
          <w:rFonts w:ascii="Times New Roman" w:eastAsia="Times New Roman" w:hAnsi="Times New Roman"/>
          <w:sz w:val="24"/>
          <w:szCs w:val="24"/>
        </w:rPr>
        <w:t xml:space="preserve">, U.S. District Court Judge Elain E. </w:t>
      </w:r>
      <w:proofErr w:type="spellStart"/>
      <w:r>
        <w:rPr>
          <w:rFonts w:ascii="Times New Roman" w:eastAsia="Times New Roman" w:hAnsi="Times New Roman"/>
          <w:sz w:val="24"/>
          <w:szCs w:val="24"/>
        </w:rPr>
        <w:t>Bucklo</w:t>
      </w:r>
      <w:proofErr w:type="spellEnd"/>
      <w:r>
        <w:rPr>
          <w:rFonts w:ascii="Times New Roman" w:eastAsia="Times New Roman" w:hAnsi="Times New Roman"/>
          <w:sz w:val="24"/>
          <w:szCs w:val="24"/>
        </w:rPr>
        <w:t xml:space="preserve">, Northern District of Illinois,  denied the City’s motion for summary judgment. The written exam for Firefighter Engineer was given on Nov. 14, 2016. When the firefighter completed his active duty </w:t>
      </w:r>
      <w:proofErr w:type="gramStart"/>
      <w:r>
        <w:rPr>
          <w:rFonts w:ascii="Times New Roman" w:eastAsia="Times New Roman" w:hAnsi="Times New Roman"/>
          <w:sz w:val="24"/>
          <w:szCs w:val="24"/>
        </w:rPr>
        <w:t>in</w:t>
      </w:r>
      <w:proofErr w:type="gramEnd"/>
      <w:r>
        <w:rPr>
          <w:rFonts w:ascii="Times New Roman" w:eastAsia="Times New Roman" w:hAnsi="Times New Roman"/>
          <w:sz w:val="24"/>
          <w:szCs w:val="24"/>
        </w:rPr>
        <w:t xml:space="preserve"> June 26, 2017, he requested a make-up exam but was denied.  The U.S. Department of Justice filed this lawsuit on his behalf under the </w:t>
      </w:r>
      <w:r w:rsidRPr="00CB0145">
        <w:rPr>
          <w:rFonts w:ascii="Times New Roman" w:hAnsi="Times New Roman"/>
          <w:sz w:val="24"/>
          <w:szCs w:val="24"/>
        </w:rPr>
        <w:t>Uniformed Services Employment and Reemployment Rights Act of 1994 ("USERRA"), 38 U.S.C. § 4313</w:t>
      </w:r>
      <w:r>
        <w:rPr>
          <w:rFonts w:ascii="Times New Roman" w:hAnsi="Times New Roman"/>
          <w:sz w:val="24"/>
          <w:szCs w:val="24"/>
        </w:rPr>
        <w:t xml:space="preserve">, even if the </w:t>
      </w:r>
      <w:proofErr w:type="gramStart"/>
      <w:r>
        <w:rPr>
          <w:rFonts w:ascii="Times New Roman" w:hAnsi="Times New Roman"/>
          <w:sz w:val="24"/>
          <w:szCs w:val="24"/>
        </w:rPr>
        <w:t>City</w:t>
      </w:r>
      <w:proofErr w:type="gramEnd"/>
      <w:r>
        <w:rPr>
          <w:rFonts w:ascii="Times New Roman" w:hAnsi="Times New Roman"/>
          <w:sz w:val="24"/>
          <w:szCs w:val="24"/>
        </w:rPr>
        <w:t xml:space="preserve"> had </w:t>
      </w:r>
      <w:r>
        <w:rPr>
          <w:rFonts w:ascii="Times New Roman" w:eastAsia="Times New Roman" w:hAnsi="Times New Roman"/>
          <w:sz w:val="24"/>
          <w:szCs w:val="24"/>
        </w:rPr>
        <w:t>offered him opportunity to take exam remotely while on military duty.</w:t>
      </w:r>
    </w:p>
    <w:p w14:paraId="7BF536E8" w14:textId="77777777" w:rsidR="00AC1E3A" w:rsidRDefault="00AC1E3A" w:rsidP="00AC1E3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6D68B7">
        <w:rPr>
          <w:rFonts w:ascii="Times New Roman" w:eastAsia="Times New Roman" w:hAnsi="Times New Roman"/>
          <w:sz w:val="24"/>
          <w:szCs w:val="24"/>
        </w:rPr>
        <w:t>Accordingly, plaintiff can potentially prevail on his § 4313 claim if he can</w:t>
      </w:r>
      <w:r>
        <w:rPr>
          <w:rFonts w:ascii="Times New Roman" w:eastAsia="Times New Roman" w:hAnsi="Times New Roman"/>
          <w:sz w:val="24"/>
          <w:szCs w:val="24"/>
        </w:rPr>
        <w:t xml:space="preserve"> </w:t>
      </w:r>
      <w:r w:rsidRPr="006D68B7">
        <w:rPr>
          <w:rFonts w:ascii="Times New Roman" w:eastAsia="Times New Roman" w:hAnsi="Times New Roman"/>
          <w:sz w:val="24"/>
          <w:szCs w:val="24"/>
        </w:rPr>
        <w:t xml:space="preserve">show that without undue hardship, the City could have administered a make-up examination upon his return to service that might have earned him a spot on the 2016 Eligibility List. Of course, plaintiff would also have to show that his promotion to Fire Engineer was reasonably </w:t>
      </w:r>
      <w:proofErr w:type="gramStart"/>
      <w:r w:rsidRPr="006D68B7">
        <w:rPr>
          <w:rFonts w:ascii="Times New Roman" w:eastAsia="Times New Roman" w:hAnsi="Times New Roman"/>
          <w:sz w:val="24"/>
          <w:szCs w:val="24"/>
        </w:rPr>
        <w:t>certain</w:t>
      </w:r>
      <w:proofErr w:type="gramEnd"/>
      <w:r w:rsidRPr="006D68B7">
        <w:rPr>
          <w:rFonts w:ascii="Times New Roman" w:eastAsia="Times New Roman" w:hAnsi="Times New Roman"/>
          <w:sz w:val="24"/>
          <w:szCs w:val="24"/>
        </w:rPr>
        <w:t xml:space="preserve"> assuming his successful completion of the exam.</w:t>
      </w:r>
    </w:p>
    <w:p w14:paraId="09485347" w14:textId="77777777" w:rsidR="00AC1E3A" w:rsidRDefault="00AC1E3A" w:rsidP="00AC1E3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6AF7AF9" w14:textId="77777777" w:rsidR="00AC1E3A" w:rsidRDefault="00AC1E3A" w:rsidP="00AC1E3A">
      <w:pPr>
        <w:spacing w:before="100" w:beforeAutospacing="1" w:after="100" w:afterAutospacing="1" w:line="240" w:lineRule="auto"/>
        <w:ind w:left="720"/>
        <w:rPr>
          <w:rFonts w:ascii="Times New Roman" w:eastAsia="Times New Roman" w:hAnsi="Times New Roman"/>
          <w:sz w:val="24"/>
          <w:szCs w:val="24"/>
        </w:rPr>
      </w:pPr>
      <w:r w:rsidRPr="00E57CCD">
        <w:rPr>
          <w:rFonts w:ascii="Times New Roman" w:eastAsia="Times New Roman" w:hAnsi="Times New Roman"/>
          <w:sz w:val="24"/>
          <w:szCs w:val="24"/>
        </w:rPr>
        <w:t xml:space="preserve">The City also argues that because it offered to administer the exam remotely during plaintiff's period of active duty, it was not required to offer him a make-up exam upon his return. As noted above, however, the inquiry into the reasonableness of an employer's efforts focuses on hardship to the employer in qualifying the returning service member </w:t>
      </w:r>
      <w:r w:rsidRPr="00E57CCD">
        <w:rPr>
          <w:rFonts w:ascii="Times New Roman" w:eastAsia="Times New Roman" w:hAnsi="Times New Roman"/>
          <w:i/>
          <w:iCs/>
          <w:sz w:val="24"/>
          <w:szCs w:val="24"/>
        </w:rPr>
        <w:t>after</w:t>
      </w:r>
      <w:r w:rsidRPr="00E57CCD">
        <w:rPr>
          <w:rFonts w:ascii="Times New Roman" w:eastAsia="Times New Roman" w:hAnsi="Times New Roman"/>
          <w:sz w:val="24"/>
          <w:szCs w:val="24"/>
        </w:rPr>
        <w:t xml:space="preserve"> his or her return from service, not on the employer's conduct during the service member's military leave. Moreover, one of USERRA's primary purposes is </w:t>
      </w:r>
      <w:r>
        <w:rPr>
          <w:rFonts w:ascii="Times New Roman" w:eastAsia="Times New Roman" w:hAnsi="Times New Roman"/>
          <w:sz w:val="24"/>
          <w:szCs w:val="24"/>
        </w:rPr>
        <w:t>‘</w:t>
      </w:r>
      <w:r w:rsidRPr="00E57CCD">
        <w:rPr>
          <w:rFonts w:ascii="Times New Roman" w:eastAsia="Times New Roman" w:hAnsi="Times New Roman"/>
          <w:sz w:val="24"/>
          <w:szCs w:val="24"/>
        </w:rPr>
        <w:t>to encourage military service by minimizing the disadvantages to civilian careers.</w:t>
      </w:r>
      <w:r>
        <w:rPr>
          <w:rFonts w:ascii="Times New Roman" w:eastAsia="Times New Roman" w:hAnsi="Times New Roman"/>
          <w:sz w:val="24"/>
          <w:szCs w:val="24"/>
        </w:rPr>
        <w:t>’</w:t>
      </w:r>
      <w:r w:rsidRPr="00E57CCD">
        <w:rPr>
          <w:rFonts w:ascii="Times New Roman" w:eastAsia="Times New Roman" w:hAnsi="Times New Roman"/>
          <w:sz w:val="24"/>
          <w:szCs w:val="24"/>
        </w:rPr>
        <w:t xml:space="preserve"> </w:t>
      </w:r>
      <w:r w:rsidRPr="00E57CCD">
        <w:rPr>
          <w:rFonts w:ascii="Times New Roman" w:eastAsia="Times New Roman" w:hAnsi="Times New Roman"/>
          <w:i/>
          <w:iCs/>
          <w:sz w:val="24"/>
          <w:szCs w:val="24"/>
        </w:rPr>
        <w:t>DeLee v</w:t>
      </w:r>
      <w:r w:rsidRPr="00E57CCD">
        <w:rPr>
          <w:rFonts w:ascii="Times New Roman" w:eastAsia="Times New Roman" w:hAnsi="Times New Roman"/>
          <w:sz w:val="24"/>
          <w:szCs w:val="24"/>
        </w:rPr>
        <w:t xml:space="preserve">. </w:t>
      </w:r>
      <w:r w:rsidRPr="00E57CCD">
        <w:rPr>
          <w:rFonts w:ascii="Times New Roman" w:eastAsia="Times New Roman" w:hAnsi="Times New Roman"/>
          <w:i/>
          <w:iCs/>
          <w:sz w:val="24"/>
          <w:szCs w:val="24"/>
        </w:rPr>
        <w:t>City of Plymouth</w:t>
      </w:r>
      <w:r w:rsidRPr="00E57CCD">
        <w:rPr>
          <w:rFonts w:ascii="Times New Roman" w:eastAsia="Times New Roman" w:hAnsi="Times New Roman"/>
          <w:sz w:val="24"/>
          <w:szCs w:val="24"/>
        </w:rPr>
        <w:t xml:space="preserve">, </w:t>
      </w:r>
      <w:r w:rsidRPr="00E57CCD">
        <w:rPr>
          <w:rFonts w:ascii="Times New Roman" w:eastAsia="Times New Roman" w:hAnsi="Times New Roman"/>
          <w:i/>
          <w:iCs/>
          <w:sz w:val="24"/>
          <w:szCs w:val="24"/>
        </w:rPr>
        <w:t>Ind</w:t>
      </w:r>
      <w:r w:rsidRPr="00E57CCD">
        <w:rPr>
          <w:rFonts w:ascii="Times New Roman" w:eastAsia="Times New Roman" w:hAnsi="Times New Roman"/>
          <w:sz w:val="24"/>
          <w:szCs w:val="24"/>
        </w:rPr>
        <w:t>., 773 F.3d 172, 175 (7th Cir. 2014). While it may be true that plaintiff could have avoided missing the qualifying exam if he had agreed to take the written portion remotely, plaintiff might be able to show that requiring him to prepare for and take the test during his period of active duty placed him at a disadvantage as</w:t>
      </w:r>
      <w:r>
        <w:rPr>
          <w:rFonts w:ascii="Times New Roman" w:eastAsia="Times New Roman" w:hAnsi="Times New Roman"/>
          <w:sz w:val="24"/>
          <w:szCs w:val="24"/>
        </w:rPr>
        <w:t xml:space="preserve"> </w:t>
      </w:r>
      <w:r w:rsidRPr="00E57CCD">
        <w:rPr>
          <w:rFonts w:ascii="Times New Roman" w:eastAsia="Times New Roman" w:hAnsi="Times New Roman"/>
          <w:sz w:val="24"/>
          <w:szCs w:val="24"/>
        </w:rPr>
        <w:t>compared to non-service members, arguably in violation of the statute's purpose.</w:t>
      </w:r>
      <w:r>
        <w:rPr>
          <w:rFonts w:ascii="Times New Roman" w:eastAsia="Times New Roman" w:hAnsi="Times New Roman"/>
          <w:sz w:val="24"/>
          <w:szCs w:val="24"/>
        </w:rPr>
        <w:t>”</w:t>
      </w:r>
      <w:hyperlink r:id="rId1778" w:history="1">
        <w:r w:rsidRPr="00C34615">
          <w:rPr>
            <w:rStyle w:val="Hyperlink"/>
            <w:rFonts w:ascii="Times New Roman" w:eastAsia="Times New Roman" w:hAnsi="Times New Roman"/>
            <w:sz w:val="24"/>
            <w:szCs w:val="24"/>
          </w:rPr>
          <w:t>https://public.fastcase.com/Wl%2B2t%2BeVuI35%2FN70vAMFZq7BNtl3UAn66ukthA6exr4OG2Q55i9ib96ohnNtBuMo</w:t>
        </w:r>
      </w:hyperlink>
      <w:r>
        <w:rPr>
          <w:rFonts w:ascii="Times New Roman" w:eastAsia="Times New Roman" w:hAnsi="Times New Roman"/>
          <w:sz w:val="24"/>
          <w:szCs w:val="24"/>
        </w:rPr>
        <w:t xml:space="preserve"> </w:t>
      </w:r>
    </w:p>
    <w:p w14:paraId="050D746F" w14:textId="77777777" w:rsidR="00AC1E3A" w:rsidRDefault="00AC1E3A" w:rsidP="00AC1E3A">
      <w:pPr>
        <w:spacing w:before="100" w:beforeAutospacing="1" w:after="100" w:afterAutospacing="1" w:line="240" w:lineRule="auto"/>
        <w:rPr>
          <w:rStyle w:val="Hyperlink"/>
          <w:rFonts w:ascii="Times New Roman" w:hAnsi="Times New Roman"/>
          <w:sz w:val="24"/>
          <w:szCs w:val="24"/>
        </w:rPr>
      </w:pPr>
      <w:r w:rsidRPr="00C17950">
        <w:rPr>
          <w:rFonts w:ascii="Times New Roman" w:eastAsia="Times New Roman" w:hAnsi="Times New Roman"/>
          <w:b/>
          <w:bCs/>
          <w:sz w:val="24"/>
          <w:szCs w:val="24"/>
        </w:rPr>
        <w:t>Legal Lesson</w:t>
      </w:r>
      <w:r>
        <w:rPr>
          <w:rFonts w:ascii="Times New Roman" w:eastAsia="Times New Roman" w:hAnsi="Times New Roman"/>
          <w:b/>
          <w:bCs/>
          <w:sz w:val="24"/>
          <w:szCs w:val="24"/>
        </w:rPr>
        <w:t xml:space="preserve"> </w:t>
      </w:r>
      <w:r w:rsidRPr="00C17950">
        <w:rPr>
          <w:rFonts w:ascii="Times New Roman" w:eastAsia="Times New Roman" w:hAnsi="Times New Roman"/>
          <w:b/>
          <w:bCs/>
          <w:sz w:val="24"/>
          <w:szCs w:val="24"/>
        </w:rPr>
        <w:t xml:space="preserve">Learned: The U.S. Department of Justice has aggressively enforced the </w:t>
      </w:r>
      <w:r w:rsidRPr="00C17950">
        <w:rPr>
          <w:rFonts w:ascii="Times New Roman" w:hAnsi="Times New Roman"/>
          <w:b/>
          <w:bCs/>
          <w:sz w:val="24"/>
          <w:szCs w:val="24"/>
        </w:rPr>
        <w:t>Uniformed Services Employment and Reemployment Rights Act.  See their Web page:</w:t>
      </w:r>
      <w:r>
        <w:rPr>
          <w:rFonts w:ascii="Times New Roman" w:hAnsi="Times New Roman"/>
          <w:sz w:val="24"/>
          <w:szCs w:val="24"/>
        </w:rPr>
        <w:t xml:space="preserve"> </w:t>
      </w:r>
      <w:hyperlink r:id="rId1779" w:history="1">
        <w:r w:rsidRPr="00C34615">
          <w:rPr>
            <w:rStyle w:val="Hyperlink"/>
            <w:rFonts w:ascii="Times New Roman" w:hAnsi="Times New Roman"/>
            <w:sz w:val="24"/>
            <w:szCs w:val="24"/>
          </w:rPr>
          <w:t>https://www.justice.gov/servicemembers/other-resources</w:t>
        </w:r>
      </w:hyperlink>
      <w:r>
        <w:rPr>
          <w:rStyle w:val="Hyperlink"/>
          <w:rFonts w:ascii="Times New Roman" w:hAnsi="Times New Roman"/>
          <w:sz w:val="24"/>
          <w:szCs w:val="24"/>
        </w:rPr>
        <w:t>.</w:t>
      </w:r>
    </w:p>
    <w:p w14:paraId="70386EDC" w14:textId="77777777" w:rsidR="00AC1E3A" w:rsidRDefault="00AC1E3A" w:rsidP="00AC1E3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See also the Complaint they filed in this case: </w:t>
      </w:r>
      <w:hyperlink r:id="rId1780" w:history="1">
        <w:r w:rsidRPr="00C34615">
          <w:rPr>
            <w:rStyle w:val="Hyperlink"/>
            <w:rFonts w:ascii="Times New Roman" w:eastAsia="Times New Roman" w:hAnsi="Times New Roman"/>
            <w:sz w:val="24"/>
            <w:szCs w:val="24"/>
          </w:rPr>
          <w:t>https://www.justice.gov/crt/case-document/file/1227366/download</w:t>
        </w:r>
      </w:hyperlink>
      <w:r>
        <w:rPr>
          <w:rFonts w:ascii="Times New Roman" w:eastAsia="Times New Roman" w:hAnsi="Times New Roman"/>
          <w:sz w:val="24"/>
          <w:szCs w:val="24"/>
        </w:rPr>
        <w:t xml:space="preserve"> .   He was on military duty as an attorney at Fort Riley, Kansas. </w:t>
      </w:r>
      <w:r>
        <w:rPr>
          <w:rFonts w:ascii="Times New Roman" w:hAnsi="Times New Roman"/>
          <w:sz w:val="24"/>
          <w:szCs w:val="24"/>
        </w:rPr>
        <w:t>“</w:t>
      </w:r>
      <w:r w:rsidRPr="00425EED">
        <w:rPr>
          <w:rFonts w:ascii="Times New Roman" w:hAnsi="Times New Roman"/>
          <w:sz w:val="24"/>
          <w:szCs w:val="24"/>
        </w:rPr>
        <w:t>On October 31, 2016, Jill May notified Strong that the DHR’s October 5, 2016, grant of his request to take the Fire Engineer examination upon his return from</w:t>
      </w:r>
      <w:r>
        <w:rPr>
          <w:rFonts w:ascii="Times New Roman" w:hAnsi="Times New Roman"/>
          <w:sz w:val="24"/>
          <w:szCs w:val="24"/>
        </w:rPr>
        <w:t xml:space="preserve"> </w:t>
      </w:r>
      <w:r w:rsidRPr="00425EED">
        <w:rPr>
          <w:rFonts w:ascii="Times New Roman" w:hAnsi="Times New Roman"/>
          <w:sz w:val="24"/>
          <w:szCs w:val="24"/>
        </w:rPr>
        <w:t>active duty was</w:t>
      </w:r>
      <w:r>
        <w:rPr>
          <w:rFonts w:ascii="Times New Roman" w:hAnsi="Times New Roman"/>
          <w:sz w:val="24"/>
          <w:szCs w:val="24"/>
        </w:rPr>
        <w:t xml:space="preserve"> </w:t>
      </w:r>
      <w:r w:rsidRPr="00425EED">
        <w:rPr>
          <w:rFonts w:ascii="Times New Roman" w:hAnsi="Times New Roman"/>
          <w:sz w:val="24"/>
          <w:szCs w:val="24"/>
        </w:rPr>
        <w:t>erroneous. She noted that</w:t>
      </w:r>
      <w:r>
        <w:rPr>
          <w:rFonts w:ascii="Times New Roman" w:hAnsi="Times New Roman"/>
          <w:sz w:val="24"/>
          <w:szCs w:val="24"/>
        </w:rPr>
        <w:t xml:space="preserve"> </w:t>
      </w:r>
      <w:r w:rsidRPr="00425EED">
        <w:rPr>
          <w:rFonts w:ascii="Times New Roman" w:hAnsi="Times New Roman"/>
          <w:sz w:val="24"/>
          <w:szCs w:val="24"/>
        </w:rPr>
        <w:t>the</w:t>
      </w:r>
      <w:r>
        <w:rPr>
          <w:rFonts w:ascii="Times New Roman" w:hAnsi="Times New Roman"/>
          <w:sz w:val="24"/>
          <w:szCs w:val="24"/>
        </w:rPr>
        <w:t xml:space="preserve"> </w:t>
      </w:r>
      <w:r w:rsidRPr="00425EED">
        <w:rPr>
          <w:rFonts w:ascii="Times New Roman" w:hAnsi="Times New Roman"/>
          <w:sz w:val="24"/>
          <w:szCs w:val="24"/>
        </w:rPr>
        <w:t>DHR was prepared</w:t>
      </w:r>
      <w:r>
        <w:rPr>
          <w:rFonts w:ascii="Times New Roman" w:hAnsi="Times New Roman"/>
          <w:sz w:val="24"/>
          <w:szCs w:val="24"/>
        </w:rPr>
        <w:t xml:space="preserve"> </w:t>
      </w:r>
      <w:r w:rsidRPr="00425EED">
        <w:rPr>
          <w:rFonts w:ascii="Times New Roman" w:hAnsi="Times New Roman"/>
          <w:sz w:val="24"/>
          <w:szCs w:val="24"/>
        </w:rPr>
        <w:t>to remotely</w:t>
      </w:r>
      <w:r>
        <w:rPr>
          <w:rFonts w:ascii="Times New Roman" w:hAnsi="Times New Roman"/>
          <w:sz w:val="24"/>
          <w:szCs w:val="24"/>
        </w:rPr>
        <w:t xml:space="preserve"> </w:t>
      </w:r>
      <w:r w:rsidRPr="00425EED">
        <w:rPr>
          <w:rFonts w:ascii="Times New Roman" w:hAnsi="Times New Roman"/>
          <w:sz w:val="24"/>
          <w:szCs w:val="24"/>
        </w:rPr>
        <w:t>administer the first part of the examination to Strong on</w:t>
      </w:r>
      <w:r>
        <w:rPr>
          <w:rFonts w:ascii="Times New Roman" w:hAnsi="Times New Roman"/>
          <w:sz w:val="24"/>
          <w:szCs w:val="24"/>
        </w:rPr>
        <w:t xml:space="preserve"> </w:t>
      </w:r>
      <w:r w:rsidRPr="00425EED">
        <w:rPr>
          <w:rFonts w:ascii="Times New Roman" w:hAnsi="Times New Roman"/>
          <w:sz w:val="24"/>
          <w:szCs w:val="24"/>
        </w:rPr>
        <w:t>December 10, 2016, while he was on approved</w:t>
      </w:r>
      <w:r>
        <w:rPr>
          <w:rFonts w:ascii="Times New Roman" w:hAnsi="Times New Roman"/>
          <w:sz w:val="24"/>
          <w:szCs w:val="24"/>
        </w:rPr>
        <w:t xml:space="preserve"> </w:t>
      </w:r>
      <w:r w:rsidRPr="00425EED">
        <w:rPr>
          <w:rFonts w:ascii="Times New Roman" w:hAnsi="Times New Roman"/>
          <w:sz w:val="24"/>
          <w:szCs w:val="24"/>
        </w:rPr>
        <w:t>military leave from</w:t>
      </w:r>
      <w:r>
        <w:rPr>
          <w:rFonts w:ascii="Times New Roman" w:hAnsi="Times New Roman"/>
          <w:sz w:val="24"/>
          <w:szCs w:val="24"/>
        </w:rPr>
        <w:t xml:space="preserve"> </w:t>
      </w:r>
      <w:r w:rsidRPr="00425EED">
        <w:rPr>
          <w:rFonts w:ascii="Times New Roman" w:hAnsi="Times New Roman"/>
          <w:sz w:val="24"/>
          <w:szCs w:val="24"/>
        </w:rPr>
        <w:t>the CFD, at the site</w:t>
      </w:r>
      <w:r>
        <w:rPr>
          <w:rFonts w:ascii="Times New Roman" w:hAnsi="Times New Roman"/>
          <w:sz w:val="24"/>
          <w:szCs w:val="24"/>
        </w:rPr>
        <w:t xml:space="preserve"> </w:t>
      </w:r>
      <w:r w:rsidRPr="00425EED">
        <w:rPr>
          <w:rFonts w:ascii="Times New Roman" w:hAnsi="Times New Roman"/>
          <w:sz w:val="24"/>
          <w:szCs w:val="24"/>
        </w:rPr>
        <w:t>of</w:t>
      </w:r>
      <w:r>
        <w:rPr>
          <w:rFonts w:ascii="Times New Roman" w:hAnsi="Times New Roman"/>
          <w:sz w:val="24"/>
          <w:szCs w:val="24"/>
        </w:rPr>
        <w:t xml:space="preserve"> </w:t>
      </w:r>
      <w:r w:rsidRPr="00425EED">
        <w:rPr>
          <w:rFonts w:ascii="Times New Roman" w:hAnsi="Times New Roman"/>
          <w:sz w:val="24"/>
          <w:szCs w:val="24"/>
        </w:rPr>
        <w:t>his military</w:t>
      </w:r>
      <w:r>
        <w:rPr>
          <w:rFonts w:ascii="Times New Roman" w:hAnsi="Times New Roman"/>
          <w:sz w:val="24"/>
          <w:szCs w:val="24"/>
        </w:rPr>
        <w:t xml:space="preserve"> </w:t>
      </w:r>
      <w:r w:rsidRPr="00425EED">
        <w:rPr>
          <w:rFonts w:ascii="Times New Roman" w:hAnsi="Times New Roman"/>
          <w:sz w:val="24"/>
          <w:szCs w:val="24"/>
        </w:rPr>
        <w:t>duty</w:t>
      </w:r>
      <w:r>
        <w:rPr>
          <w:rFonts w:ascii="Times New Roman" w:hAnsi="Times New Roman"/>
          <w:sz w:val="24"/>
          <w:szCs w:val="24"/>
        </w:rPr>
        <w:t xml:space="preserve"> </w:t>
      </w:r>
      <w:r w:rsidRPr="00425EED">
        <w:rPr>
          <w:rFonts w:ascii="Times New Roman" w:hAnsi="Times New Roman"/>
          <w:sz w:val="24"/>
          <w:szCs w:val="24"/>
        </w:rPr>
        <w:t>station, and required that he accept or decline the remote test administration notice by November 4, 2016.</w:t>
      </w:r>
      <w:r>
        <w:rPr>
          <w:rFonts w:ascii="Times New Roman" w:hAnsi="Times New Roman"/>
          <w:sz w:val="24"/>
          <w:szCs w:val="24"/>
        </w:rPr>
        <w:t xml:space="preserve">” [Para. 32.]  </w:t>
      </w:r>
    </w:p>
    <w:p w14:paraId="4001D207" w14:textId="77777777" w:rsidR="00AC1E3A" w:rsidRPr="00425EED" w:rsidRDefault="00AC1E3A" w:rsidP="00AC1E3A">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Relief requested includes: “</w:t>
      </w:r>
      <w:r w:rsidRPr="00425EED">
        <w:rPr>
          <w:rFonts w:ascii="Times New Roman" w:hAnsi="Times New Roman"/>
          <w:sz w:val="24"/>
          <w:szCs w:val="24"/>
        </w:rPr>
        <w:t>should his score merit, providing Strong a certification for promotion date that corresponds to that of others who took the 2016 Fire Engineer promotional examination and achieved the same or similar score</w:t>
      </w:r>
      <w:r>
        <w:rPr>
          <w:rFonts w:ascii="Times New Roman" w:hAnsi="Times New Roman"/>
          <w:sz w:val="24"/>
          <w:szCs w:val="24"/>
        </w:rPr>
        <w:t>….” [Para. 62 (40.]</w:t>
      </w:r>
    </w:p>
    <w:p w14:paraId="7A8A889C" w14:textId="77777777" w:rsidR="00AC1E3A" w:rsidRDefault="00AC1E3A" w:rsidP="00F326E5">
      <w:pPr>
        <w:rPr>
          <w:rFonts w:ascii="Arial Black" w:hAnsi="Arial Black"/>
          <w:b/>
          <w:sz w:val="24"/>
          <w:szCs w:val="24"/>
        </w:rPr>
      </w:pPr>
    </w:p>
    <w:p w14:paraId="4E06CE52" w14:textId="77777777" w:rsidR="00863F9E" w:rsidRDefault="00863F9E" w:rsidP="00F326E5">
      <w:pPr>
        <w:rPr>
          <w:rFonts w:ascii="Arial Black" w:hAnsi="Arial Black"/>
          <w:b/>
          <w:sz w:val="24"/>
          <w:szCs w:val="24"/>
        </w:rPr>
      </w:pPr>
    </w:p>
    <w:p w14:paraId="486BB607" w14:textId="5B83DAE4" w:rsidR="00102FD0" w:rsidRDefault="00102FD0"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3</w:t>
      </w:r>
    </w:p>
    <w:p w14:paraId="61003C9D" w14:textId="77777777" w:rsidR="00102FD0" w:rsidRDefault="00102FD0" w:rsidP="00102FD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FL: “ON CALL” TIME - DEPUTY SHERIFF, 1-HR TO RESPOND – PERSONAL TIME NOT SEVERELY RESTRICTED – NO PAY</w:t>
      </w:r>
    </w:p>
    <w:p w14:paraId="61223A6F" w14:textId="77777777" w:rsidR="00102FD0" w:rsidRDefault="00102FD0" w:rsidP="00102FD0">
      <w:pPr>
        <w:tabs>
          <w:tab w:val="left" w:pos="2220"/>
        </w:tabs>
        <w:spacing w:before="100" w:beforeAutospacing="1" w:after="100" w:afterAutospacing="1" w:line="240" w:lineRule="auto"/>
        <w:rPr>
          <w:rFonts w:ascii="Times New Roman" w:eastAsia="Times New Roman" w:hAnsi="Times New Roman"/>
          <w:sz w:val="24"/>
          <w:szCs w:val="24"/>
        </w:rPr>
      </w:pPr>
      <w:r w:rsidRPr="00B05EAF">
        <w:rPr>
          <w:rFonts w:ascii="Times New Roman" w:eastAsia="Times New Roman" w:hAnsi="Times New Roman"/>
          <w:sz w:val="24"/>
          <w:szCs w:val="24"/>
        </w:rPr>
        <w:t xml:space="preserve">On Oct. 3, 2020, </w:t>
      </w:r>
      <w:r>
        <w:rPr>
          <w:rFonts w:ascii="Times New Roman" w:eastAsia="Times New Roman" w:hAnsi="Times New Roman"/>
          <w:sz w:val="24"/>
          <w:szCs w:val="24"/>
        </w:rPr>
        <w:t xml:space="preserve">in </w:t>
      </w:r>
      <w:r w:rsidRPr="00B05EAF">
        <w:rPr>
          <w:rFonts w:ascii="Times New Roman" w:eastAsia="Times New Roman" w:hAnsi="Times New Roman"/>
          <w:sz w:val="24"/>
          <w:szCs w:val="24"/>
          <w:u w:val="single"/>
        </w:rPr>
        <w:t>Joseph Caiazza</w:t>
      </w:r>
      <w:r>
        <w:rPr>
          <w:rFonts w:ascii="Times New Roman" w:eastAsia="Times New Roman" w:hAnsi="Times New Roman"/>
          <w:sz w:val="24"/>
          <w:szCs w:val="24"/>
          <w:u w:val="single"/>
        </w:rPr>
        <w:t>, on his own behalf and those similarly situated</w:t>
      </w:r>
      <w:r w:rsidRPr="00B05EAF">
        <w:rPr>
          <w:rFonts w:ascii="Times New Roman" w:eastAsia="Times New Roman" w:hAnsi="Times New Roman"/>
          <w:sz w:val="24"/>
          <w:szCs w:val="24"/>
          <w:u w:val="single"/>
        </w:rPr>
        <w:t xml:space="preserve"> v. Carmine Marceno</w:t>
      </w:r>
      <w:r>
        <w:rPr>
          <w:rFonts w:ascii="Times New Roman" w:eastAsia="Times New Roman" w:hAnsi="Times New Roman"/>
          <w:sz w:val="24"/>
          <w:szCs w:val="24"/>
        </w:rPr>
        <w:t xml:space="preserve">, U.S. District Court Judge Sheri P. Chappell, Middle District of Florida (Fort Myers Division), granted the County’s motion for summary judgment concerning on call time;  during on call times, Deputy Sheriff had to respond within one hour, and no alcohol; but case may proceed on plaintiff’s allegation that County failed to pay him when held over after working shifts. </w:t>
      </w:r>
    </w:p>
    <w:p w14:paraId="407BD0D3" w14:textId="4943E67C" w:rsidR="00102FD0" w:rsidRPr="00944B05" w:rsidRDefault="00102FD0" w:rsidP="00102FD0">
      <w:pPr>
        <w:tabs>
          <w:tab w:val="left" w:pos="2220"/>
        </w:tabs>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r w:rsidRPr="00944B05">
        <w:rPr>
          <w:rFonts w:ascii="Times New Roman" w:hAnsi="Times New Roman"/>
          <w:sz w:val="24"/>
          <w:szCs w:val="24"/>
        </w:rPr>
        <w:t xml:space="preserve">Caiazza contends all the time he spent on call is compensable. </w:t>
      </w:r>
      <w:proofErr w:type="spellStart"/>
      <w:r w:rsidRPr="00944B05">
        <w:rPr>
          <w:rFonts w:ascii="Times New Roman" w:hAnsi="Times New Roman"/>
          <w:sz w:val="24"/>
          <w:szCs w:val="24"/>
        </w:rPr>
        <w:t>Marceno</w:t>
      </w:r>
      <w:proofErr w:type="spellEnd"/>
      <w:r w:rsidRPr="00944B05">
        <w:rPr>
          <w:rFonts w:ascii="Times New Roman" w:hAnsi="Times New Roman"/>
          <w:sz w:val="24"/>
          <w:szCs w:val="24"/>
        </w:rPr>
        <w:t xml:space="preserve"> counters </w:t>
      </w:r>
      <w:r>
        <w:rPr>
          <w:rFonts w:ascii="Times New Roman" w:hAnsi="Times New Roman"/>
          <w:sz w:val="24"/>
          <w:szCs w:val="24"/>
        </w:rPr>
        <w:t xml:space="preserve">  </w:t>
      </w:r>
      <w:r w:rsidRPr="00944B05">
        <w:rPr>
          <w:rFonts w:ascii="Times New Roman" w:hAnsi="Times New Roman"/>
          <w:sz w:val="24"/>
          <w:szCs w:val="24"/>
        </w:rPr>
        <w:t xml:space="preserve">that such time was not spent working under the FLSA, so no pay was necessary. The Court agrees with </w:t>
      </w:r>
      <w:proofErr w:type="spellStart"/>
      <w:r w:rsidRPr="00944B05">
        <w:rPr>
          <w:rFonts w:ascii="Times New Roman" w:hAnsi="Times New Roman"/>
          <w:sz w:val="24"/>
          <w:szCs w:val="24"/>
        </w:rPr>
        <w:t>Marceno</w:t>
      </w:r>
      <w:proofErr w:type="spellEnd"/>
      <w:r w:rsidRPr="00944B05">
        <w:rPr>
          <w:rFonts w:ascii="Times New Roman" w:hAnsi="Times New Roman"/>
          <w:sz w:val="24"/>
          <w:szCs w:val="24"/>
        </w:rPr>
        <w:t xml:space="preserve"> and holds the time Caiazza spent on call (but not called out) was not compensable, so Caiazza is not entitled to overtime pay based on those hours.</w:t>
      </w:r>
      <w:r>
        <w:rPr>
          <w:rFonts w:ascii="Times New Roman" w:hAnsi="Times New Roman"/>
          <w:sz w:val="24"/>
          <w:szCs w:val="24"/>
        </w:rPr>
        <w:t xml:space="preserve">”  </w:t>
      </w:r>
      <w:hyperlink r:id="rId1781" w:history="1">
        <w:r w:rsidRPr="00A8739B">
          <w:rPr>
            <w:rStyle w:val="Hyperlink"/>
            <w:rFonts w:ascii="Times New Roman" w:hAnsi="Times New Roman"/>
            <w:sz w:val="24"/>
            <w:szCs w:val="24"/>
          </w:rPr>
          <w:t>https://public.fastcase.com/Wl%2B2t%2BeVuI35%2FN70vAMFZjQ0yk8eNGgy%2FibI6B2NDAJYgZ2PRe3I9j%2FKWgfFbNa7</w:t>
        </w:r>
      </w:hyperlink>
      <w:r w:rsidRPr="00944B05">
        <w:rPr>
          <w:rFonts w:ascii="Times New Roman" w:hAnsi="Times New Roman"/>
          <w:sz w:val="24"/>
          <w:szCs w:val="24"/>
        </w:rPr>
        <w:t xml:space="preserve"> </w:t>
      </w:r>
    </w:p>
    <w:p w14:paraId="733B539C" w14:textId="77777777" w:rsidR="00102FD0" w:rsidRPr="005C6354" w:rsidRDefault="00102FD0" w:rsidP="00102FD0">
      <w:pPr>
        <w:spacing w:before="100" w:beforeAutospacing="1" w:after="100" w:afterAutospacing="1" w:line="240" w:lineRule="auto"/>
        <w:rPr>
          <w:rFonts w:ascii="Times New Roman" w:eastAsia="Times New Roman" w:hAnsi="Times New Roman"/>
          <w:b/>
          <w:bCs/>
          <w:sz w:val="24"/>
          <w:szCs w:val="24"/>
        </w:rPr>
      </w:pPr>
      <w:r w:rsidRPr="005C6354">
        <w:rPr>
          <w:rFonts w:ascii="Times New Roman" w:eastAsia="Times New Roman" w:hAnsi="Times New Roman"/>
          <w:b/>
          <w:bCs/>
          <w:sz w:val="24"/>
          <w:szCs w:val="24"/>
        </w:rPr>
        <w:t>Legal Lesson</w:t>
      </w:r>
      <w:r>
        <w:rPr>
          <w:rFonts w:ascii="Times New Roman" w:eastAsia="Times New Roman" w:hAnsi="Times New Roman"/>
          <w:b/>
          <w:bCs/>
          <w:sz w:val="24"/>
          <w:szCs w:val="24"/>
        </w:rPr>
        <w:t xml:space="preserve"> </w:t>
      </w:r>
      <w:r w:rsidRPr="005C6354">
        <w:rPr>
          <w:rFonts w:ascii="Times New Roman" w:eastAsia="Times New Roman" w:hAnsi="Times New Roman"/>
          <w:b/>
          <w:bCs/>
          <w:sz w:val="24"/>
          <w:szCs w:val="24"/>
        </w:rPr>
        <w:t xml:space="preserve">Learned: Unless the </w:t>
      </w:r>
      <w:proofErr w:type="gramStart"/>
      <w:r w:rsidRPr="005C6354">
        <w:rPr>
          <w:rFonts w:ascii="Times New Roman" w:eastAsia="Times New Roman" w:hAnsi="Times New Roman"/>
          <w:b/>
          <w:bCs/>
          <w:sz w:val="24"/>
          <w:szCs w:val="24"/>
        </w:rPr>
        <w:t>on call</w:t>
      </w:r>
      <w:proofErr w:type="gramEnd"/>
      <w:r w:rsidRPr="005C6354">
        <w:rPr>
          <w:rFonts w:ascii="Times New Roman" w:eastAsia="Times New Roman" w:hAnsi="Times New Roman"/>
          <w:b/>
          <w:bCs/>
          <w:sz w:val="24"/>
          <w:szCs w:val="24"/>
        </w:rPr>
        <w:t xml:space="preserve"> </w:t>
      </w:r>
      <w:r w:rsidRPr="00944B05">
        <w:rPr>
          <w:rFonts w:ascii="Times New Roman" w:eastAsia="Times New Roman" w:hAnsi="Times New Roman"/>
          <w:b/>
          <w:bCs/>
          <w:sz w:val="24"/>
          <w:szCs w:val="24"/>
        </w:rPr>
        <w:t xml:space="preserve">employee </w:t>
      </w:r>
      <w:r>
        <w:rPr>
          <w:rFonts w:ascii="Times New Roman" w:eastAsia="Times New Roman" w:hAnsi="Times New Roman"/>
          <w:b/>
          <w:bCs/>
          <w:sz w:val="24"/>
          <w:szCs w:val="24"/>
        </w:rPr>
        <w:t xml:space="preserve">is severely restricted in his </w:t>
      </w:r>
      <w:r w:rsidRPr="00944B05">
        <w:rPr>
          <w:rFonts w:ascii="Times New Roman" w:eastAsia="Times New Roman" w:hAnsi="Times New Roman"/>
          <w:b/>
          <w:bCs/>
          <w:sz w:val="24"/>
          <w:szCs w:val="24"/>
        </w:rPr>
        <w:t>personal pursuits</w:t>
      </w:r>
      <w:r w:rsidRPr="005C6354">
        <w:rPr>
          <w:rFonts w:ascii="Times New Roman" w:eastAsia="Times New Roman" w:hAnsi="Times New Roman"/>
          <w:b/>
          <w:bCs/>
          <w:sz w:val="24"/>
          <w:szCs w:val="24"/>
        </w:rPr>
        <w:t>, the employee is “off the clock.”</w:t>
      </w:r>
    </w:p>
    <w:p w14:paraId="65BB6435" w14:textId="77777777" w:rsidR="00102FD0" w:rsidRDefault="00102FD0" w:rsidP="00F326E5">
      <w:pPr>
        <w:rPr>
          <w:rFonts w:ascii="Arial Black" w:hAnsi="Arial Black"/>
          <w:b/>
          <w:sz w:val="24"/>
          <w:szCs w:val="24"/>
        </w:rPr>
      </w:pPr>
    </w:p>
    <w:p w14:paraId="29C64616" w14:textId="57C42E14" w:rsidR="00102FD0" w:rsidRDefault="00102FD0"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22</w:t>
      </w:r>
    </w:p>
    <w:p w14:paraId="5BEF003E" w14:textId="77777777" w:rsidR="00102FD0" w:rsidRPr="00DC2F46" w:rsidRDefault="00102FD0" w:rsidP="00102FD0">
      <w:pPr>
        <w:pStyle w:val="NoSpacing"/>
        <w:rPr>
          <w:rFonts w:ascii="Arial Black" w:hAnsi="Arial Black"/>
          <w:sz w:val="28"/>
          <w:szCs w:val="28"/>
        </w:rPr>
      </w:pPr>
      <w:r>
        <w:rPr>
          <w:rFonts w:ascii="Arial Black" w:hAnsi="Arial Black"/>
          <w:sz w:val="28"/>
          <w:szCs w:val="28"/>
        </w:rPr>
        <w:t>IN: FLSA SETTLEMENT APPROVED BY FED. JUDGE - $26K AND TOWN DROPPED DEMAND THAT FF PAY BACK $89,878 IN OVERPAY</w:t>
      </w:r>
    </w:p>
    <w:p w14:paraId="7AE93764"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sidRPr="00DC2F46">
        <w:rPr>
          <w:rFonts w:ascii="Times New Roman" w:eastAsia="Times New Roman" w:hAnsi="Times New Roman"/>
          <w:sz w:val="24"/>
          <w:szCs w:val="24"/>
        </w:rPr>
        <w:t xml:space="preserve">On </w:t>
      </w:r>
      <w:r>
        <w:rPr>
          <w:rFonts w:ascii="Times New Roman" w:eastAsia="Times New Roman" w:hAnsi="Times New Roman"/>
          <w:sz w:val="24"/>
          <w:szCs w:val="24"/>
        </w:rPr>
        <w:t xml:space="preserve">Oct. 2, 2020, in </w:t>
      </w:r>
      <w:r w:rsidRPr="00DC2F46">
        <w:rPr>
          <w:rFonts w:ascii="Times New Roman" w:eastAsia="Times New Roman" w:hAnsi="Times New Roman"/>
          <w:sz w:val="24"/>
          <w:szCs w:val="24"/>
          <w:u w:val="single"/>
        </w:rPr>
        <w:t>Eric Camel, et al. v.  Town of Chesterton</w:t>
      </w:r>
      <w:r>
        <w:rPr>
          <w:rFonts w:ascii="Times New Roman" w:eastAsia="Times New Roman" w:hAnsi="Times New Roman"/>
          <w:sz w:val="24"/>
          <w:szCs w:val="24"/>
        </w:rPr>
        <w:t xml:space="preserve">, U.S. District Court Judge Theresa L. Springmann, Northern District of Indiana, approved the settlement for overtime pay of from 2011 to 2019 of $26,371, and waiver of City’s demand for repayment by 10 firefighters of $89,878 in overpayments received. </w:t>
      </w:r>
    </w:p>
    <w:p w14:paraId="5FFEF49B" w14:textId="77777777" w:rsidR="00102FD0" w:rsidRPr="00DC2F46" w:rsidRDefault="00102FD0" w:rsidP="00102FD0">
      <w:pPr>
        <w:spacing w:before="100" w:beforeAutospacing="1" w:after="100" w:afterAutospacing="1" w:line="240" w:lineRule="auto"/>
        <w:ind w:left="720"/>
        <w:rPr>
          <w:rFonts w:ascii="Times New Roman" w:eastAsia="Times New Roman" w:hAnsi="Times New Roman"/>
          <w:sz w:val="24"/>
          <w:szCs w:val="24"/>
        </w:rPr>
      </w:pPr>
      <w:r>
        <w:t>“</w:t>
      </w:r>
      <w:r w:rsidRPr="00DC2F46">
        <w:rPr>
          <w:rFonts w:ascii="Times New Roman" w:eastAsia="Times New Roman" w:hAnsi="Times New Roman"/>
          <w:sz w:val="24"/>
          <w:szCs w:val="24"/>
        </w:rPr>
        <w:t>Counsel for the parties represent that they reached an arms-length agreement</w:t>
      </w:r>
      <w:r>
        <w:rPr>
          <w:rFonts w:ascii="Times New Roman" w:eastAsia="Times New Roman" w:hAnsi="Times New Roman"/>
          <w:sz w:val="24"/>
          <w:szCs w:val="24"/>
        </w:rPr>
        <w:t xml:space="preserve"> </w:t>
      </w:r>
      <w:r w:rsidRPr="00DC2F46">
        <w:rPr>
          <w:rFonts w:ascii="Times New Roman" w:eastAsia="Times New Roman" w:hAnsi="Times New Roman"/>
          <w:sz w:val="24"/>
          <w:szCs w:val="24"/>
        </w:rPr>
        <w:t>to settle the case on August 10, 2020, after two months of extensive negotiations over the language of the Settlement Agreement. The parties agree that Plaintiffs' attorney's fees are reasonable in relation to the requirements of the case. They finalized the terms of the Settlement Agreement on August 25, 2020.</w:t>
      </w:r>
    </w:p>
    <w:p w14:paraId="52FAD31F" w14:textId="77777777" w:rsidR="00102FD0" w:rsidRDefault="00102FD0" w:rsidP="00102FD0">
      <w:pPr>
        <w:spacing w:before="100" w:beforeAutospacing="1" w:after="100" w:afterAutospacing="1" w:line="240" w:lineRule="auto"/>
        <w:ind w:left="720"/>
        <w:rPr>
          <w:rFonts w:ascii="Times New Roman" w:eastAsia="Times New Roman" w:hAnsi="Times New Roman"/>
          <w:sz w:val="24"/>
          <w:szCs w:val="24"/>
        </w:rPr>
      </w:pPr>
      <w:r w:rsidRPr="00DC2F46">
        <w:rPr>
          <w:rFonts w:ascii="Times New Roman" w:eastAsia="Times New Roman" w:hAnsi="Times New Roman"/>
          <w:sz w:val="24"/>
          <w:szCs w:val="24"/>
        </w:rPr>
        <w:t xml:space="preserve">The Settlement Agreement provides for a total payment of $26,371.24, which includes (1) a payment of $647.40 to Plaintiff Amanda Shine for back pay and liquidated damages, inclusive of all attorney's fees and costs; (2) a payment of $723.84 to Plaintiff Michael A. Coslet for back pay and liquidated damages, inclusive of all attorney's fees and costs; and (3) a payment of $25,000.00 in attorney's fees. The Settlement </w:t>
      </w:r>
    </w:p>
    <w:p w14:paraId="7B822CEA" w14:textId="77777777" w:rsidR="00102FD0" w:rsidRDefault="00102FD0" w:rsidP="00102FD0">
      <w:pPr>
        <w:spacing w:before="100" w:beforeAutospacing="1" w:after="100" w:afterAutospacing="1" w:line="240" w:lineRule="auto"/>
        <w:ind w:left="720"/>
        <w:rPr>
          <w:rFonts w:ascii="Times New Roman" w:eastAsia="Times New Roman" w:hAnsi="Times New Roman"/>
          <w:sz w:val="24"/>
          <w:szCs w:val="24"/>
        </w:rPr>
      </w:pPr>
    </w:p>
    <w:p w14:paraId="4C021959" w14:textId="77777777" w:rsidR="00102FD0" w:rsidRPr="00DC2F46" w:rsidRDefault="00102FD0" w:rsidP="00102FD0">
      <w:pPr>
        <w:spacing w:before="100" w:beforeAutospacing="1" w:after="100" w:afterAutospacing="1" w:line="240" w:lineRule="auto"/>
        <w:ind w:left="720"/>
        <w:rPr>
          <w:rFonts w:ascii="Times New Roman" w:eastAsia="Times New Roman" w:hAnsi="Times New Roman"/>
          <w:sz w:val="24"/>
          <w:szCs w:val="24"/>
        </w:rPr>
      </w:pPr>
      <w:r w:rsidRPr="00DC2F46">
        <w:rPr>
          <w:rFonts w:ascii="Times New Roman" w:eastAsia="Times New Roman" w:hAnsi="Times New Roman"/>
          <w:sz w:val="24"/>
          <w:szCs w:val="24"/>
        </w:rPr>
        <w:t xml:space="preserve">Agreement further provides for significant non-economic awards such as the addition of four vacation days in lieu of reduction time (and the elimination of reduction time), enacted through amendments to the Personnel Handbook and to the agreement between the Town of Chesterton and Chesterton Firefighters Local 4600; waiver of the $89,878.26 overpayment the Town of Chesterton alleges is owed by ten of the Plaintiffs; and the removal of a reprimand in two of the Plaintiffs' personnel files. </w:t>
      </w:r>
      <w:proofErr w:type="gramStart"/>
      <w:r w:rsidRPr="00DC2F46">
        <w:rPr>
          <w:rFonts w:ascii="Times New Roman" w:eastAsia="Times New Roman" w:hAnsi="Times New Roman"/>
          <w:sz w:val="24"/>
          <w:szCs w:val="24"/>
        </w:rPr>
        <w:t>And,</w:t>
      </w:r>
      <w:proofErr w:type="gramEnd"/>
      <w:r w:rsidRPr="00DC2F46">
        <w:rPr>
          <w:rFonts w:ascii="Times New Roman" w:eastAsia="Times New Roman" w:hAnsi="Times New Roman"/>
          <w:sz w:val="24"/>
          <w:szCs w:val="24"/>
        </w:rPr>
        <w:t xml:space="preserve"> the Settlement Agreement provides that Plaintiffs and the Town of Chesterton agree to dismiss </w:t>
      </w:r>
      <w:proofErr w:type="gramStart"/>
      <w:r w:rsidRPr="00DC2F46">
        <w:rPr>
          <w:rFonts w:ascii="Times New Roman" w:eastAsia="Times New Roman" w:hAnsi="Times New Roman"/>
          <w:sz w:val="24"/>
          <w:szCs w:val="24"/>
        </w:rPr>
        <w:t>all of</w:t>
      </w:r>
      <w:proofErr w:type="gramEnd"/>
      <w:r w:rsidRPr="00DC2F46">
        <w:rPr>
          <w:rFonts w:ascii="Times New Roman" w:eastAsia="Times New Roman" w:hAnsi="Times New Roman"/>
          <w:sz w:val="24"/>
          <w:szCs w:val="24"/>
        </w:rPr>
        <w:t xml:space="preserve"> their claims with prejudice within three business days of receipt of the settlement funds. The parties have </w:t>
      </w:r>
      <w:r w:rsidRPr="00DC2F46">
        <w:rPr>
          <w:rFonts w:ascii="Times New Roman" w:eastAsia="Times New Roman" w:hAnsi="Times New Roman"/>
          <w:sz w:val="24"/>
          <w:szCs w:val="24"/>
        </w:rPr>
        <w:lastRenderedPageBreak/>
        <w:t xml:space="preserve">submitted a spreadsheet showing the breakdown by named Plaintiff of the alleged overtime wages owed, the pre-suit payments made, the amounts to be paid pursuant to the Settlement Agreement, and the overpayments that will be waived pursuant to the Settlement Agreement. </w:t>
      </w:r>
      <w:r w:rsidRPr="00DC2F46">
        <w:rPr>
          <w:rFonts w:ascii="Times New Roman" w:eastAsia="Times New Roman" w:hAnsi="Times New Roman"/>
          <w:i/>
          <w:iCs/>
          <w:sz w:val="24"/>
          <w:szCs w:val="24"/>
        </w:rPr>
        <w:t>See</w:t>
      </w:r>
      <w:r w:rsidRPr="00DC2F46">
        <w:rPr>
          <w:rFonts w:ascii="Times New Roman" w:eastAsia="Times New Roman" w:hAnsi="Times New Roman"/>
          <w:sz w:val="24"/>
          <w:szCs w:val="24"/>
        </w:rPr>
        <w:t xml:space="preserve"> ECF No. 60-1.</w:t>
      </w:r>
      <w:r>
        <w:rPr>
          <w:rFonts w:ascii="Times New Roman" w:eastAsia="Times New Roman" w:hAnsi="Times New Roman"/>
          <w:sz w:val="24"/>
          <w:szCs w:val="24"/>
        </w:rPr>
        <w:t xml:space="preserve">” </w:t>
      </w:r>
      <w:hyperlink r:id="rId1782" w:history="1">
        <w:r w:rsidRPr="00987F62">
          <w:rPr>
            <w:rStyle w:val="Hyperlink"/>
            <w:rFonts w:ascii="Times New Roman" w:eastAsia="Times New Roman" w:hAnsi="Times New Roman"/>
            <w:sz w:val="24"/>
            <w:szCs w:val="24"/>
          </w:rPr>
          <w:t>https://law.justia.com/cases/federal/district-courts/indiana/inndce/2:2019cv00065/97508/61/</w:t>
        </w:r>
      </w:hyperlink>
      <w:r>
        <w:rPr>
          <w:rFonts w:ascii="Times New Roman" w:eastAsia="Times New Roman" w:hAnsi="Times New Roman"/>
          <w:sz w:val="24"/>
          <w:szCs w:val="24"/>
        </w:rPr>
        <w:t xml:space="preserve"> </w:t>
      </w:r>
    </w:p>
    <w:p w14:paraId="53580E72" w14:textId="77777777" w:rsidR="00102FD0" w:rsidRDefault="00102FD0" w:rsidP="00102FD0">
      <w:pPr>
        <w:tabs>
          <w:tab w:val="left" w:pos="3000"/>
        </w:tabs>
        <w:spacing w:before="100" w:beforeAutospacing="1" w:after="100" w:afterAutospacing="1" w:line="240" w:lineRule="auto"/>
        <w:rPr>
          <w:rFonts w:ascii="Times New Roman" w:eastAsia="Times New Roman" w:hAnsi="Times New Roman"/>
          <w:b/>
          <w:bCs/>
          <w:sz w:val="24"/>
          <w:szCs w:val="24"/>
        </w:rPr>
      </w:pPr>
      <w:r w:rsidRPr="00C0130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FLSA settlements must be approved by Federal court or by the U.S. Department of Labor to ensure fairness of the settlements. </w:t>
      </w:r>
    </w:p>
    <w:p w14:paraId="742F1A88" w14:textId="77777777" w:rsidR="00102FD0" w:rsidRPr="00C01300" w:rsidRDefault="00102FD0" w:rsidP="00102FD0">
      <w:pPr>
        <w:pStyle w:val="NormalWeb"/>
        <w:ind w:firstLine="720"/>
      </w:pPr>
      <w:r w:rsidRPr="00C01300">
        <w:t>Note:</w:t>
      </w:r>
      <w:r>
        <w:rPr>
          <w:b/>
          <w:bCs/>
        </w:rPr>
        <w:t xml:space="preserve"> </w:t>
      </w:r>
      <w:r w:rsidRPr="00C01300">
        <w:t>The governing provision of the FLSA provides:</w:t>
      </w:r>
    </w:p>
    <w:p w14:paraId="4E19BB8E" w14:textId="77777777" w:rsidR="00102FD0" w:rsidRPr="00C01300" w:rsidRDefault="00102FD0" w:rsidP="00102FD0">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C01300">
        <w:rPr>
          <w:rFonts w:ascii="Times New Roman" w:eastAsia="Times New Roman" w:hAnsi="Times New Roman"/>
          <w:sz w:val="24"/>
          <w:szCs w:val="24"/>
        </w:rPr>
        <w:t>The Secretary is authorized to supervise the payment of the unpaid minimum wages or the unpaid overtime compensation owing to any employee or employees under section 206 or section 207 of this title, and the agreement of any employee to accept such payment shall upon payment in full constitute a waiver by such employee of any right he may have under subsection (b) of this section to such unpaid minimum wages or unpaid overtime compensation and an additional equal amount as liquidated damages.</w:t>
      </w:r>
      <w:r>
        <w:rPr>
          <w:rFonts w:ascii="Times New Roman" w:eastAsia="Times New Roman" w:hAnsi="Times New Roman"/>
          <w:sz w:val="24"/>
          <w:szCs w:val="24"/>
        </w:rPr>
        <w:t xml:space="preserve">” </w:t>
      </w:r>
      <w:r w:rsidRPr="00C01300">
        <w:rPr>
          <w:rFonts w:ascii="Times New Roman" w:eastAsia="Times New Roman" w:hAnsi="Times New Roman"/>
          <w:sz w:val="24"/>
          <w:szCs w:val="24"/>
        </w:rPr>
        <w:t>29 U.S.C. § 216(c).</w:t>
      </w:r>
    </w:p>
    <w:p w14:paraId="2F1D3C70" w14:textId="77777777" w:rsidR="00102FD0" w:rsidRDefault="00102FD0" w:rsidP="00F326E5">
      <w:pPr>
        <w:rPr>
          <w:rFonts w:ascii="Arial Black" w:hAnsi="Arial Black"/>
          <w:b/>
          <w:sz w:val="24"/>
          <w:szCs w:val="24"/>
        </w:rPr>
      </w:pPr>
    </w:p>
    <w:p w14:paraId="0D26F710" w14:textId="77777777" w:rsidR="00D4542A" w:rsidRDefault="00D4542A" w:rsidP="00F326E5">
      <w:pPr>
        <w:rPr>
          <w:rFonts w:ascii="Arial Black" w:hAnsi="Arial Black"/>
          <w:b/>
          <w:sz w:val="24"/>
          <w:szCs w:val="24"/>
        </w:rPr>
      </w:pPr>
    </w:p>
    <w:p w14:paraId="0DF50FCB" w14:textId="45200451" w:rsidR="00D4542A" w:rsidRDefault="00B13773" w:rsidP="00F326E5">
      <w:pPr>
        <w:rPr>
          <w:rFonts w:ascii="Arial Black" w:hAnsi="Arial Black"/>
          <w:b/>
          <w:sz w:val="24"/>
          <w:szCs w:val="24"/>
        </w:rPr>
      </w:pPr>
      <w:r>
        <w:rPr>
          <w:rFonts w:ascii="Arial Black" w:hAnsi="Arial Black"/>
          <w:b/>
          <w:sz w:val="24"/>
          <w:szCs w:val="24"/>
        </w:rPr>
        <w:t>11-21</w:t>
      </w:r>
    </w:p>
    <w:p w14:paraId="0B156FDA" w14:textId="77777777" w:rsidR="00D4542A" w:rsidRDefault="00D4542A" w:rsidP="00D4542A">
      <w:pPr>
        <w:rPr>
          <w:rFonts w:ascii="Arial Black" w:hAnsi="Arial Black"/>
          <w:sz w:val="28"/>
          <w:szCs w:val="28"/>
        </w:rPr>
      </w:pPr>
      <w:r>
        <w:rPr>
          <w:rFonts w:ascii="Arial Black" w:hAnsi="Arial Black"/>
          <w:sz w:val="28"/>
          <w:szCs w:val="28"/>
        </w:rPr>
        <w:t xml:space="preserve">IL: FF IN U.S. ARMY RESERVE – NOT ENTITLED TO “DIFFERENTIAL PAY” UNDER </w:t>
      </w:r>
      <w:r w:rsidRPr="00742B82">
        <w:rPr>
          <w:rFonts w:ascii="Arial Black" w:hAnsi="Arial Black"/>
          <w:sz w:val="28"/>
          <w:szCs w:val="28"/>
        </w:rPr>
        <w:t>USERRA</w:t>
      </w:r>
      <w:r>
        <w:rPr>
          <w:rFonts w:ascii="Arial Black" w:hAnsi="Arial Black"/>
          <w:sz w:val="28"/>
          <w:szCs w:val="28"/>
        </w:rPr>
        <w:t xml:space="preserve"> – MAY HAVE CLAIM UNDER STATE STATUTE</w:t>
      </w:r>
    </w:p>
    <w:p w14:paraId="117C0135" w14:textId="77777777" w:rsidR="00D4542A" w:rsidRDefault="00D4542A" w:rsidP="00D4542A">
      <w:pPr>
        <w:rPr>
          <w:rFonts w:ascii="Times New Roman" w:hAnsi="Times New Roman"/>
          <w:sz w:val="24"/>
          <w:szCs w:val="24"/>
        </w:rPr>
      </w:pPr>
      <w:r>
        <w:rPr>
          <w:rFonts w:ascii="Times New Roman" w:hAnsi="Times New Roman"/>
          <w:sz w:val="24"/>
          <w:szCs w:val="24"/>
        </w:rPr>
        <w:t xml:space="preserve">On September 28, 2020, in </w:t>
      </w:r>
      <w:r w:rsidRPr="00FC1C33">
        <w:rPr>
          <w:rFonts w:ascii="Times New Roman" w:hAnsi="Times New Roman"/>
          <w:sz w:val="24"/>
          <w:szCs w:val="24"/>
          <w:u w:val="single"/>
        </w:rPr>
        <w:t>Gregory Heckenbach v. Bloomingdale Fire Protection District et al</w:t>
      </w:r>
      <w:r>
        <w:rPr>
          <w:rFonts w:ascii="Times New Roman" w:hAnsi="Times New Roman"/>
          <w:sz w:val="24"/>
          <w:szCs w:val="24"/>
        </w:rPr>
        <w:t>., U.S. District Court Judge Steven C. Seeger granted the City’s motion for judgment on the pleadings concerning alleged violation of the federal USERRA (Uniformed Services Employment and Reemployment Rights Act of 1964).  While the State of Illinois has enacted a statute requiring differential pay under the Illinois Military Leave of Absence Act (for example, plaintiff states Chicago Police Department makes up difference) the federal statute has no such provision. Court also dismissed his defamation claim concerning FD calls to his Army Reserve commanders, since Illinois has a statute protecting public employees from on duty defamation claims.  His lawsuit on other counts concerning hostile workplace may proceed; he may also now sue in State court on his differential pay claim.</w:t>
      </w:r>
    </w:p>
    <w:p w14:paraId="5D470686" w14:textId="77777777" w:rsidR="00D4542A" w:rsidRPr="00EC52DB" w:rsidRDefault="00D4542A" w:rsidP="00D454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EC52DB">
        <w:rPr>
          <w:rFonts w:ascii="Times New Roman" w:eastAsia="Times New Roman" w:hAnsi="Times New Roman"/>
          <w:sz w:val="24"/>
          <w:szCs w:val="24"/>
        </w:rPr>
        <w:t xml:space="preserve">Heckenbach relies on the fact that the Illinois Military Leave of Absence Act requires differential pay. </w:t>
      </w:r>
      <w:r w:rsidRPr="00EC52DB">
        <w:rPr>
          <w:rFonts w:ascii="Times New Roman" w:eastAsia="Times New Roman" w:hAnsi="Times New Roman"/>
          <w:i/>
          <w:iCs/>
          <w:sz w:val="24"/>
          <w:szCs w:val="24"/>
        </w:rPr>
        <w:t>Id</w:t>
      </w:r>
      <w:r w:rsidRPr="00EC52DB">
        <w:rPr>
          <w:rFonts w:ascii="Times New Roman" w:eastAsia="Times New Roman" w:hAnsi="Times New Roman"/>
          <w:sz w:val="24"/>
          <w:szCs w:val="24"/>
        </w:rPr>
        <w:t xml:space="preserve">. at 4-5. Again, that's the statute that governed during the period in question. The text of the statute required differential pay during training, </w:t>
      </w:r>
      <w:r w:rsidRPr="00EC52DB">
        <w:rPr>
          <w:rFonts w:ascii="Times New Roman" w:eastAsia="Times New Roman" w:hAnsi="Times New Roman"/>
          <w:i/>
          <w:iCs/>
          <w:sz w:val="24"/>
          <w:szCs w:val="24"/>
        </w:rPr>
        <w:t>see</w:t>
      </w:r>
      <w:r w:rsidRPr="00EC52DB">
        <w:rPr>
          <w:rFonts w:ascii="Times New Roman" w:eastAsia="Times New Roman" w:hAnsi="Times New Roman"/>
          <w:sz w:val="24"/>
          <w:szCs w:val="24"/>
        </w:rPr>
        <w:t xml:space="preserve"> 5 ILCS 325/1(a) (repealed 2019), and during active duty, </w:t>
      </w:r>
      <w:r w:rsidRPr="00EC52DB">
        <w:rPr>
          <w:rFonts w:ascii="Times New Roman" w:eastAsia="Times New Roman" w:hAnsi="Times New Roman"/>
          <w:i/>
          <w:iCs/>
          <w:sz w:val="24"/>
          <w:szCs w:val="24"/>
        </w:rPr>
        <w:t>see id</w:t>
      </w:r>
      <w:r w:rsidRPr="00EC52DB">
        <w:rPr>
          <w:rFonts w:ascii="Times New Roman" w:eastAsia="Times New Roman" w:hAnsi="Times New Roman"/>
          <w:sz w:val="24"/>
          <w:szCs w:val="24"/>
        </w:rPr>
        <w:t xml:space="preserve">. at § 1(b). Like that statute, the current Illinois statute requires differential pay, too. The text is </w:t>
      </w:r>
      <w:proofErr w:type="gramStart"/>
      <w:r w:rsidRPr="00EC52DB">
        <w:rPr>
          <w:rFonts w:ascii="Times New Roman" w:eastAsia="Times New Roman" w:hAnsi="Times New Roman"/>
          <w:sz w:val="24"/>
          <w:szCs w:val="24"/>
        </w:rPr>
        <w:t xml:space="preserve">straightforward: </w:t>
      </w:r>
      <w:r>
        <w:rPr>
          <w:rFonts w:ascii="Times New Roman" w:eastAsia="Times New Roman" w:hAnsi="Times New Roman"/>
          <w:sz w:val="24"/>
          <w:szCs w:val="24"/>
        </w:rPr>
        <w:t>‘</w:t>
      </w:r>
      <w:proofErr w:type="gramEnd"/>
      <w:r w:rsidRPr="00EC52DB">
        <w:rPr>
          <w:rFonts w:ascii="Times New Roman" w:eastAsia="Times New Roman" w:hAnsi="Times New Roman"/>
          <w:sz w:val="24"/>
          <w:szCs w:val="24"/>
        </w:rPr>
        <w:t>Differential compensation shall be paid to all forms of active service except active service without pay.</w:t>
      </w:r>
      <w:r>
        <w:rPr>
          <w:rFonts w:ascii="Times New Roman" w:eastAsia="Times New Roman" w:hAnsi="Times New Roman"/>
          <w:sz w:val="24"/>
          <w:szCs w:val="24"/>
        </w:rPr>
        <w:t>’</w:t>
      </w:r>
      <w:r w:rsidRPr="00EC52DB">
        <w:rPr>
          <w:rFonts w:ascii="Times New Roman" w:eastAsia="Times New Roman" w:hAnsi="Times New Roman"/>
          <w:sz w:val="24"/>
          <w:szCs w:val="24"/>
        </w:rPr>
        <w:t xml:space="preserve"> </w:t>
      </w:r>
      <w:r w:rsidRPr="00EC52DB">
        <w:rPr>
          <w:rFonts w:ascii="Times New Roman" w:eastAsia="Times New Roman" w:hAnsi="Times New Roman"/>
          <w:i/>
          <w:iCs/>
          <w:sz w:val="24"/>
          <w:szCs w:val="24"/>
        </w:rPr>
        <w:t>See</w:t>
      </w:r>
      <w:r w:rsidRPr="00EC52DB">
        <w:rPr>
          <w:rFonts w:ascii="Times New Roman" w:eastAsia="Times New Roman" w:hAnsi="Times New Roman"/>
          <w:sz w:val="24"/>
          <w:szCs w:val="24"/>
        </w:rPr>
        <w:t xml:space="preserve"> 330 ILCS 61/1-15(b).</w:t>
      </w:r>
    </w:p>
    <w:p w14:paraId="08D22C55" w14:textId="77777777" w:rsidR="00D4542A" w:rsidRDefault="00D4542A" w:rsidP="00D4542A">
      <w:pPr>
        <w:spacing w:before="100" w:beforeAutospacing="1" w:after="100" w:afterAutospacing="1" w:line="240" w:lineRule="auto"/>
        <w:ind w:left="720"/>
        <w:rPr>
          <w:rFonts w:ascii="Times New Roman" w:eastAsia="Times New Roman" w:hAnsi="Times New Roman"/>
          <w:sz w:val="24"/>
          <w:szCs w:val="24"/>
        </w:rPr>
      </w:pPr>
      <w:r w:rsidRPr="00EC52DB">
        <w:rPr>
          <w:rFonts w:ascii="Times New Roman" w:eastAsia="Times New Roman" w:hAnsi="Times New Roman"/>
          <w:sz w:val="24"/>
          <w:szCs w:val="24"/>
        </w:rPr>
        <w:t>That language sinks, rather than supports, Heckenbach's argument. No comparable language appears in the federal statute. The USERRA does not mention differential pay, let alone require public entities to pay it. The text of the state statute expressly requires differential pay, but the text of the federal statute does not. If anything, the foothold for differential pay in the state statute exposes the fact that there is no toehold for differential pay in the federal statute</w:t>
      </w:r>
      <w:r>
        <w:rPr>
          <w:rFonts w:ascii="Times New Roman" w:eastAsia="Times New Roman" w:hAnsi="Times New Roman"/>
          <w:sz w:val="24"/>
          <w:szCs w:val="24"/>
        </w:rPr>
        <w:t xml:space="preserve">.” </w:t>
      </w:r>
      <w:hyperlink r:id="rId1783" w:history="1">
        <w:r w:rsidRPr="00141589">
          <w:rPr>
            <w:rStyle w:val="Hyperlink"/>
            <w:rFonts w:ascii="Times New Roman" w:eastAsia="Times New Roman" w:hAnsi="Times New Roman"/>
            <w:sz w:val="24"/>
            <w:szCs w:val="24"/>
          </w:rPr>
          <w:t>https://public.fastcase.com/Wl%2B2t%2BeVuI35%2FN70vAMFZpdjKXDmRY5LJSAOUJ86zVs5waUL1YS3yBNtSKE8F5Gl</w:t>
        </w:r>
      </w:hyperlink>
      <w:r>
        <w:rPr>
          <w:rFonts w:ascii="Times New Roman" w:eastAsia="Times New Roman" w:hAnsi="Times New Roman"/>
          <w:sz w:val="24"/>
          <w:szCs w:val="24"/>
        </w:rPr>
        <w:t xml:space="preserve"> </w:t>
      </w:r>
    </w:p>
    <w:p w14:paraId="01FB70B4" w14:textId="77777777" w:rsidR="00D4542A" w:rsidRPr="004D5BFC" w:rsidRDefault="00D4542A" w:rsidP="00D4542A">
      <w:pPr>
        <w:spacing w:before="100" w:beforeAutospacing="1" w:after="100" w:afterAutospacing="1" w:line="240" w:lineRule="auto"/>
        <w:rPr>
          <w:rFonts w:ascii="Times New Roman" w:hAnsi="Times New Roman"/>
          <w:b/>
          <w:bCs/>
          <w:sz w:val="24"/>
          <w:szCs w:val="24"/>
        </w:rPr>
      </w:pPr>
      <w:r w:rsidRPr="00C63CA5">
        <w:rPr>
          <w:rFonts w:ascii="Times New Roman" w:hAnsi="Times New Roman"/>
          <w:b/>
          <w:bCs/>
          <w:sz w:val="24"/>
          <w:szCs w:val="24"/>
        </w:rPr>
        <w:t>Legal Lessons Learned</w:t>
      </w:r>
      <w:r w:rsidRPr="004D5BFC">
        <w:rPr>
          <w:rFonts w:ascii="Times New Roman" w:hAnsi="Times New Roman"/>
          <w:b/>
          <w:bCs/>
          <w:sz w:val="24"/>
          <w:szCs w:val="24"/>
        </w:rPr>
        <w:t xml:space="preserve">: USERRA provides for </w:t>
      </w:r>
      <w:proofErr w:type="gramStart"/>
      <w:r w:rsidRPr="004D5BFC">
        <w:rPr>
          <w:rFonts w:ascii="Times New Roman" w:hAnsi="Times New Roman"/>
          <w:b/>
          <w:bCs/>
          <w:i/>
          <w:iCs/>
          <w:sz w:val="24"/>
          <w:szCs w:val="24"/>
        </w:rPr>
        <w:t>unpaid</w:t>
      </w:r>
      <w:proofErr w:type="gramEnd"/>
      <w:r w:rsidRPr="004D5BFC">
        <w:rPr>
          <w:rFonts w:ascii="Times New Roman" w:hAnsi="Times New Roman"/>
          <w:b/>
          <w:bCs/>
          <w:sz w:val="24"/>
          <w:szCs w:val="24"/>
        </w:rPr>
        <w:t xml:space="preserve"> but job protected leave for service in the uniformed services. </w:t>
      </w:r>
      <w:r>
        <w:rPr>
          <w:rFonts w:ascii="Times New Roman" w:hAnsi="Times New Roman"/>
          <w:b/>
          <w:bCs/>
          <w:sz w:val="24"/>
          <w:szCs w:val="24"/>
        </w:rPr>
        <w:t xml:space="preserve"> If you are in the Reserves, keep your FD well informed when you </w:t>
      </w:r>
      <w:proofErr w:type="gramStart"/>
      <w:r>
        <w:rPr>
          <w:rFonts w:ascii="Times New Roman" w:hAnsi="Times New Roman"/>
          <w:b/>
          <w:bCs/>
          <w:sz w:val="24"/>
          <w:szCs w:val="24"/>
        </w:rPr>
        <w:t>will be</w:t>
      </w:r>
      <w:proofErr w:type="gramEnd"/>
      <w:r>
        <w:rPr>
          <w:rFonts w:ascii="Times New Roman" w:hAnsi="Times New Roman"/>
          <w:b/>
          <w:bCs/>
          <w:sz w:val="24"/>
          <w:szCs w:val="24"/>
        </w:rPr>
        <w:t xml:space="preserve"> on military duty. </w:t>
      </w:r>
    </w:p>
    <w:p w14:paraId="261F693B" w14:textId="77777777" w:rsidR="00D4542A" w:rsidRDefault="00D4542A" w:rsidP="00D4542A">
      <w:pPr>
        <w:pStyle w:val="Heading1"/>
        <w:ind w:left="720"/>
        <w:rPr>
          <w:b w:val="0"/>
          <w:bCs w:val="0"/>
          <w:sz w:val="24"/>
          <w:szCs w:val="24"/>
        </w:rPr>
      </w:pPr>
      <w:r w:rsidRPr="000A6F2D">
        <w:rPr>
          <w:b w:val="0"/>
          <w:bCs w:val="0"/>
          <w:sz w:val="24"/>
          <w:szCs w:val="24"/>
        </w:rPr>
        <w:t xml:space="preserve">See </w:t>
      </w:r>
      <w:r>
        <w:rPr>
          <w:b w:val="0"/>
          <w:bCs w:val="0"/>
          <w:sz w:val="24"/>
          <w:szCs w:val="24"/>
        </w:rPr>
        <w:t xml:space="preserve">Sept. 23, </w:t>
      </w:r>
      <w:proofErr w:type="gramStart"/>
      <w:r>
        <w:rPr>
          <w:b w:val="0"/>
          <w:bCs w:val="0"/>
          <w:sz w:val="24"/>
          <w:szCs w:val="24"/>
        </w:rPr>
        <w:t>2019</w:t>
      </w:r>
      <w:proofErr w:type="gramEnd"/>
      <w:r>
        <w:rPr>
          <w:b w:val="0"/>
          <w:bCs w:val="0"/>
          <w:sz w:val="24"/>
          <w:szCs w:val="24"/>
        </w:rPr>
        <w:t xml:space="preserve"> </w:t>
      </w:r>
      <w:r w:rsidRPr="000A6F2D">
        <w:rPr>
          <w:b w:val="0"/>
          <w:bCs w:val="0"/>
          <w:sz w:val="24"/>
          <w:szCs w:val="24"/>
        </w:rPr>
        <w:t xml:space="preserve">TV news story interviewing plaintiff: </w:t>
      </w:r>
      <w:r>
        <w:rPr>
          <w:b w:val="0"/>
          <w:bCs w:val="0"/>
          <w:sz w:val="24"/>
          <w:szCs w:val="24"/>
        </w:rPr>
        <w:t>“</w:t>
      </w:r>
      <w:r w:rsidRPr="000A6F2D">
        <w:rPr>
          <w:b w:val="0"/>
          <w:bCs w:val="0"/>
          <w:sz w:val="24"/>
          <w:szCs w:val="24"/>
        </w:rPr>
        <w:t>Army Reservist Sues Suburban Fire District for Alleged Retaliation</w:t>
      </w:r>
      <w:r>
        <w:rPr>
          <w:b w:val="0"/>
          <w:bCs w:val="0"/>
          <w:sz w:val="24"/>
          <w:szCs w:val="24"/>
        </w:rPr>
        <w:t xml:space="preserve">.” </w:t>
      </w:r>
      <w:r w:rsidRPr="000A6F2D">
        <w:rPr>
          <w:b w:val="0"/>
          <w:bCs w:val="0"/>
          <w:sz w:val="24"/>
          <w:szCs w:val="24"/>
        </w:rPr>
        <w:t xml:space="preserve"> </w:t>
      </w:r>
      <w:hyperlink r:id="rId1784" w:history="1">
        <w:r w:rsidRPr="000A6F2D">
          <w:rPr>
            <w:rStyle w:val="Hyperlink"/>
            <w:b w:val="0"/>
            <w:bCs w:val="0"/>
            <w:sz w:val="24"/>
            <w:szCs w:val="24"/>
          </w:rPr>
          <w:t>https://www.nbcchicago.com/news/local/reservist-sues-civilian-employer-nbc-investigates/153292/</w:t>
        </w:r>
      </w:hyperlink>
      <w:r w:rsidRPr="000A6F2D">
        <w:rPr>
          <w:b w:val="0"/>
          <w:bCs w:val="0"/>
          <w:sz w:val="24"/>
          <w:szCs w:val="24"/>
        </w:rPr>
        <w:t xml:space="preserve"> </w:t>
      </w:r>
    </w:p>
    <w:p w14:paraId="1E14CCFC" w14:textId="77777777" w:rsidR="00D4542A" w:rsidRPr="00C63CA5" w:rsidRDefault="00D4542A" w:rsidP="00D4542A">
      <w:pPr>
        <w:spacing w:before="100" w:beforeAutospacing="1" w:after="100" w:afterAutospacing="1" w:line="240" w:lineRule="auto"/>
        <w:ind w:left="720"/>
        <w:rPr>
          <w:rFonts w:ascii="Times New Roman" w:eastAsia="Times New Roman" w:hAnsi="Times New Roman"/>
          <w:b/>
          <w:bCs/>
          <w:sz w:val="24"/>
          <w:szCs w:val="24"/>
        </w:rPr>
      </w:pPr>
      <w:r w:rsidRPr="00711F3A">
        <w:rPr>
          <w:rFonts w:ascii="Times New Roman" w:hAnsi="Times New Roman"/>
          <w:sz w:val="24"/>
          <w:szCs w:val="24"/>
        </w:rPr>
        <w:t>See this July 2016 Law Review article</w:t>
      </w:r>
      <w:r>
        <w:rPr>
          <w:rFonts w:ascii="Times New Roman" w:hAnsi="Times New Roman"/>
          <w:sz w:val="24"/>
          <w:szCs w:val="24"/>
        </w:rPr>
        <w:t xml:space="preserve"> concerning lawsuit by Indianapolis firefighters who were in the Reserves</w:t>
      </w:r>
      <w:r w:rsidRPr="00711F3A">
        <w:rPr>
          <w:rFonts w:ascii="Times New Roman" w:hAnsi="Times New Roman"/>
          <w:sz w:val="24"/>
          <w:szCs w:val="24"/>
        </w:rPr>
        <w:t>:</w:t>
      </w:r>
      <w:r w:rsidRPr="00711F3A">
        <w:rPr>
          <w:rFonts w:ascii="Times New Roman" w:hAnsi="Times New Roman"/>
          <w:b/>
          <w:bCs/>
          <w:sz w:val="24"/>
          <w:szCs w:val="24"/>
        </w:rPr>
        <w:t xml:space="preserve"> </w:t>
      </w:r>
      <w:r>
        <w:rPr>
          <w:rFonts w:ascii="Times New Roman" w:hAnsi="Times New Roman"/>
          <w:b/>
          <w:bCs/>
          <w:sz w:val="24"/>
          <w:szCs w:val="24"/>
        </w:rPr>
        <w:t>“</w:t>
      </w:r>
      <w:r w:rsidRPr="00711F3A">
        <w:rPr>
          <w:rFonts w:ascii="Times New Roman" w:hAnsi="Times New Roman"/>
          <w:sz w:val="24"/>
          <w:szCs w:val="24"/>
        </w:rPr>
        <w:t>Right to Paid Military Leave Is a Matter of State Law, not USERRA</w:t>
      </w:r>
      <w:r>
        <w:rPr>
          <w:rFonts w:ascii="Times New Roman" w:hAnsi="Times New Roman"/>
          <w:sz w:val="24"/>
          <w:szCs w:val="24"/>
        </w:rPr>
        <w:t xml:space="preserve">.” </w:t>
      </w:r>
      <w:r w:rsidRPr="00711F3A">
        <w:rPr>
          <w:rFonts w:ascii="Times New Roman" w:hAnsi="Times New Roman"/>
          <w:sz w:val="24"/>
          <w:szCs w:val="24"/>
        </w:rPr>
        <w:t xml:space="preserve"> </w:t>
      </w:r>
      <w:hyperlink r:id="rId1785" w:history="1">
        <w:r w:rsidRPr="00711F3A">
          <w:rPr>
            <w:rStyle w:val="Hyperlink"/>
            <w:rFonts w:ascii="Times New Roman" w:hAnsi="Times New Roman"/>
            <w:sz w:val="24"/>
            <w:szCs w:val="24"/>
          </w:rPr>
          <w:t>https://cdn.ymaws.com/www.roa.org/resource/resmgr/LawReviews/2016/16065-LR.pdf</w:t>
        </w:r>
      </w:hyperlink>
      <w:r w:rsidRPr="00711F3A">
        <w:rPr>
          <w:rFonts w:ascii="Times New Roman" w:hAnsi="Times New Roman"/>
          <w:sz w:val="24"/>
          <w:szCs w:val="24"/>
        </w:rPr>
        <w:t xml:space="preserve"> </w:t>
      </w:r>
    </w:p>
    <w:p w14:paraId="1F08B425" w14:textId="77777777" w:rsidR="00D4542A" w:rsidRPr="00894498" w:rsidRDefault="00D4542A" w:rsidP="00D4542A">
      <w:pPr>
        <w:pStyle w:val="Heading1"/>
        <w:ind w:left="720"/>
        <w:rPr>
          <w:b w:val="0"/>
          <w:bCs w:val="0"/>
          <w:sz w:val="24"/>
          <w:szCs w:val="24"/>
        </w:rPr>
      </w:pPr>
      <w:r w:rsidRPr="00894498">
        <w:rPr>
          <w:b w:val="0"/>
          <w:bCs w:val="0"/>
          <w:sz w:val="24"/>
          <w:szCs w:val="24"/>
        </w:rPr>
        <w:t>Miller v. City of Indianapolis, 281 F.3d 648(7</w:t>
      </w:r>
      <w:r w:rsidRPr="00894498">
        <w:rPr>
          <w:b w:val="0"/>
          <w:bCs w:val="0"/>
          <w:sz w:val="24"/>
          <w:szCs w:val="24"/>
          <w:vertAlign w:val="superscript"/>
        </w:rPr>
        <w:t>th</w:t>
      </w:r>
      <w:r w:rsidRPr="00894498">
        <w:rPr>
          <w:b w:val="0"/>
          <w:bCs w:val="0"/>
          <w:sz w:val="24"/>
          <w:szCs w:val="24"/>
        </w:rPr>
        <w:t xml:space="preserve"> Cir. 2002): </w:t>
      </w:r>
      <w:hyperlink r:id="rId1786" w:history="1">
        <w:r w:rsidRPr="00894498">
          <w:rPr>
            <w:rStyle w:val="Hyperlink"/>
            <w:b w:val="0"/>
            <w:bCs w:val="0"/>
            <w:sz w:val="24"/>
            <w:szCs w:val="24"/>
          </w:rPr>
          <w:t>https://casetext.com/case/miller-v-city-of-indianapolis</w:t>
        </w:r>
      </w:hyperlink>
      <w:r w:rsidRPr="00894498">
        <w:rPr>
          <w:b w:val="0"/>
          <w:bCs w:val="0"/>
          <w:sz w:val="24"/>
          <w:szCs w:val="24"/>
        </w:rPr>
        <w:t xml:space="preserve"> </w:t>
      </w:r>
    </w:p>
    <w:p w14:paraId="70F55BF9" w14:textId="77777777" w:rsidR="00D4542A" w:rsidRDefault="00D4542A" w:rsidP="00F326E5">
      <w:pPr>
        <w:rPr>
          <w:rFonts w:ascii="Arial Black" w:hAnsi="Arial Black"/>
          <w:b/>
          <w:sz w:val="24"/>
          <w:szCs w:val="24"/>
        </w:rPr>
      </w:pPr>
    </w:p>
    <w:p w14:paraId="2DB64D01" w14:textId="77777777" w:rsidR="00D4542A" w:rsidRDefault="00D4542A" w:rsidP="00F326E5">
      <w:pPr>
        <w:rPr>
          <w:rFonts w:ascii="Arial Black" w:hAnsi="Arial Black"/>
          <w:b/>
          <w:sz w:val="24"/>
          <w:szCs w:val="24"/>
        </w:rPr>
      </w:pPr>
    </w:p>
    <w:p w14:paraId="46E95E2E" w14:textId="77777777" w:rsidR="00D4542A" w:rsidRDefault="00D4542A" w:rsidP="00F326E5">
      <w:pPr>
        <w:rPr>
          <w:rFonts w:ascii="Arial Black" w:hAnsi="Arial Black"/>
          <w:b/>
          <w:sz w:val="24"/>
          <w:szCs w:val="24"/>
        </w:rPr>
      </w:pPr>
    </w:p>
    <w:p w14:paraId="796AA3A8" w14:textId="77777777" w:rsidR="00D4542A" w:rsidRDefault="00D4542A" w:rsidP="00F326E5">
      <w:pPr>
        <w:rPr>
          <w:rFonts w:ascii="Arial Black" w:hAnsi="Arial Black"/>
          <w:b/>
          <w:sz w:val="24"/>
          <w:szCs w:val="24"/>
        </w:rPr>
      </w:pPr>
    </w:p>
    <w:p w14:paraId="0E2202D7" w14:textId="58181084" w:rsidR="00B532F6" w:rsidRDefault="00B532F6"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20</w:t>
      </w:r>
    </w:p>
    <w:p w14:paraId="3F16C831" w14:textId="77777777" w:rsidR="00B532F6" w:rsidRPr="007444E2" w:rsidRDefault="00B532F6" w:rsidP="00B532F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TX: DALLAS / FORT WORTH AIRPORT FD – CROSS-TRAINED PERSONNEL IN EMS DIVISION ONLY DID EMS DUTIES - OVERTIME AFTER 40 HOURS </w:t>
      </w:r>
    </w:p>
    <w:p w14:paraId="680AE28E" w14:textId="77777777" w:rsidR="00B532F6" w:rsidRDefault="00B532F6" w:rsidP="00B532F6">
      <w:pPr>
        <w:tabs>
          <w:tab w:val="left" w:pos="2970"/>
        </w:tabs>
        <w:spacing w:before="100" w:beforeAutospacing="1" w:after="100" w:afterAutospacing="1" w:line="240" w:lineRule="auto"/>
        <w:rPr>
          <w:rFonts w:ascii="Times New Roman" w:eastAsia="Times New Roman" w:hAnsi="Times New Roman"/>
          <w:sz w:val="24"/>
          <w:szCs w:val="24"/>
        </w:rPr>
      </w:pPr>
      <w:r w:rsidRPr="00D617B8">
        <w:rPr>
          <w:rFonts w:ascii="Times New Roman" w:eastAsia="Times New Roman" w:hAnsi="Times New Roman"/>
          <w:sz w:val="24"/>
          <w:szCs w:val="24"/>
        </w:rPr>
        <w:t xml:space="preserve">On Sept. 28, 2020, in </w:t>
      </w:r>
      <w:r w:rsidRPr="00D617B8">
        <w:rPr>
          <w:rFonts w:ascii="Times New Roman" w:eastAsia="Times New Roman" w:hAnsi="Times New Roman"/>
          <w:sz w:val="24"/>
          <w:szCs w:val="24"/>
          <w:u w:val="single"/>
        </w:rPr>
        <w:t>Douglas Patterson, et al. v. Dallas/Fort Worth International Airport Board</w:t>
      </w:r>
      <w:r>
        <w:rPr>
          <w:rFonts w:ascii="Times New Roman" w:eastAsia="Times New Roman" w:hAnsi="Times New Roman"/>
          <w:sz w:val="24"/>
          <w:szCs w:val="24"/>
        </w:rPr>
        <w:t xml:space="preserve">, U.S. District Court Judge Ada Brown held that the FD failed to prove that the cross-trained EMS Division personnel ever engaged in firefighting in 3 years prior to the 2019 merger of EMS and Fire Service Divisions; only two of EMS personnel engaged in live fire training, and SOG for EMS Division had no firefighting responsibilities.  Court granted Summary Judgment to the </w:t>
      </w:r>
      <w:proofErr w:type="gramStart"/>
      <w:r>
        <w:rPr>
          <w:rFonts w:ascii="Times New Roman" w:eastAsia="Times New Roman" w:hAnsi="Times New Roman"/>
          <w:sz w:val="24"/>
          <w:szCs w:val="24"/>
        </w:rPr>
        <w:t>plaintiffs</w:t>
      </w:r>
      <w:proofErr w:type="gramEnd"/>
      <w:r>
        <w:rPr>
          <w:rFonts w:ascii="Times New Roman" w:eastAsia="Times New Roman" w:hAnsi="Times New Roman"/>
          <w:sz w:val="24"/>
          <w:szCs w:val="24"/>
        </w:rPr>
        <w:t xml:space="preserve"> and they are entitled to overtime after 40 hours, with back pay for 2 years; not 3 years and not liquidated damages [back pay doubled] since FD acted in good faith. 29 USC 260: </w:t>
      </w:r>
      <w:hyperlink r:id="rId1787" w:history="1">
        <w:r w:rsidRPr="00141589">
          <w:rPr>
            <w:rStyle w:val="Hyperlink"/>
            <w:rFonts w:ascii="Times New Roman" w:eastAsia="Times New Roman" w:hAnsi="Times New Roman"/>
            <w:sz w:val="24"/>
            <w:szCs w:val="24"/>
          </w:rPr>
          <w:t>https://www.law.cornell.edu/uscode/text/29/260</w:t>
        </w:r>
      </w:hyperlink>
      <w:r>
        <w:rPr>
          <w:rFonts w:ascii="Times New Roman" w:eastAsia="Times New Roman" w:hAnsi="Times New Roman"/>
          <w:sz w:val="24"/>
          <w:szCs w:val="24"/>
        </w:rPr>
        <w:t xml:space="preserve">  </w:t>
      </w:r>
    </w:p>
    <w:p w14:paraId="04A24ADD" w14:textId="77777777" w:rsidR="00B532F6" w:rsidRDefault="00B532F6" w:rsidP="00B532F6">
      <w:pPr>
        <w:pStyle w:val="NormalWeb"/>
        <w:ind w:left="720"/>
      </w:pPr>
      <w:r>
        <w:t xml:space="preserve">“The fact that DFW required plaintiffs to hold firefighting certifications is some indication that they might be expected to engage in fire suppression. However, neither Chief McKinney's declaration nor any other evidence shows the circumstances, other than the odd training exercise, under which plaintiffs might have been required to engage in fire suppression prior to this lawsuit being </w:t>
      </w:r>
      <w:proofErr w:type="spellStart"/>
      <w:r>
        <w:t>filed.</w:t>
      </w:r>
      <w:bookmarkStart w:id="391" w:name="fn10"/>
      <w:r>
        <w:rPr>
          <w:sz w:val="20"/>
          <w:szCs w:val="20"/>
          <w:vertAlign w:val="superscript"/>
        </w:rPr>
        <w:fldChar w:fldCharType="begin"/>
      </w:r>
      <w:r>
        <w:rPr>
          <w:sz w:val="20"/>
          <w:szCs w:val="20"/>
          <w:vertAlign w:val="superscript"/>
        </w:rPr>
        <w:instrText xml:space="preserve"> HYPERLINK "https://public.fastcase.com/" \l "fr10" </w:instrText>
      </w:r>
      <w:r>
        <w:rPr>
          <w:sz w:val="20"/>
          <w:szCs w:val="20"/>
          <w:vertAlign w:val="superscript"/>
        </w:rPr>
      </w:r>
      <w:r>
        <w:rPr>
          <w:sz w:val="20"/>
          <w:szCs w:val="20"/>
          <w:vertAlign w:val="superscript"/>
        </w:rPr>
        <w:fldChar w:fldCharType="separate"/>
      </w:r>
      <w:r w:rsidR="00814FB6">
        <w:rPr>
          <w:rStyle w:val="Hyperlink"/>
          <w:rFonts w:ascii="Calibri" w:eastAsia="Calibri" w:hAnsi="Calibri"/>
          <w:sz w:val="22"/>
          <w:szCs w:val="22"/>
        </w:rPr>
        <w:t>https</w:t>
      </w:r>
      <w:proofErr w:type="spellEnd"/>
      <w:r w:rsidR="00814FB6">
        <w:rPr>
          <w:rStyle w:val="Hyperlink"/>
          <w:rFonts w:ascii="Calibri" w:eastAsia="Calibri" w:hAnsi="Calibri"/>
          <w:sz w:val="22"/>
          <w:szCs w:val="22"/>
        </w:rPr>
        <w:t>://public.fastcase.com/ - fr10</w:t>
      </w:r>
      <w:r>
        <w:rPr>
          <w:sz w:val="20"/>
          <w:szCs w:val="20"/>
          <w:vertAlign w:val="superscript"/>
        </w:rPr>
        <w:fldChar w:fldCharType="end"/>
      </w:r>
      <w:bookmarkEnd w:id="391"/>
      <w:r>
        <w:rPr>
          <w:sz w:val="20"/>
          <w:szCs w:val="20"/>
          <w:vertAlign w:val="superscript"/>
        </w:rPr>
        <w:t xml:space="preserve"> </w:t>
      </w:r>
      <w:r>
        <w:t xml:space="preserve">  Instead, they were assigned exclusively to MICUs or Trauma Unit 611, neither of which held any fire rescue or firefighting equipment. They were not dispatched to every fire incident and did not wear their bunker gear when responding to calls. Perhaps most importantly, the SOP setting out their procedures and responsibilities made no reference to fire suppression. Nor is there any evidence that plaintiffs would be disciplined for failing to engage in fire </w:t>
      </w:r>
      <w:r>
        <w:lastRenderedPageBreak/>
        <w:t>suppression. Without more, the Court finds DFW has not met its burden to show, or raised a genuine issue of material fact, that plaintiffs had even a forward-looking obligation or responsibility to engage in fire suppression as EMS division Firefighters before this suit was filed.</w:t>
      </w:r>
      <w:r>
        <w:rPr>
          <w:sz w:val="20"/>
          <w:szCs w:val="20"/>
          <w:vertAlign w:val="superscript"/>
        </w:rPr>
        <w:t xml:space="preserve">  </w:t>
      </w:r>
      <w:r>
        <w:rPr>
          <w:i/>
          <w:iCs/>
        </w:rPr>
        <w:t xml:space="preserve"> Compare Regan v</w:t>
      </w:r>
      <w:r>
        <w:t xml:space="preserve">. </w:t>
      </w:r>
      <w:r>
        <w:rPr>
          <w:i/>
          <w:iCs/>
        </w:rPr>
        <w:t>City of Hanahan</w:t>
      </w:r>
      <w:r>
        <w:t xml:space="preserve">, No. 02-16-cv-1077-RMG, 2017 WL 2303504, at *3 (D.S.C. May 26, 2017) (plaintiffs, who were almost always assigned to ambulances but, at various times, were assigned to fire trucks, were employees in fire protection activities). Accordingly, plaintiffs are entitled to summary judgment that they were not employees in fire protection </w:t>
      </w:r>
      <w:proofErr w:type="gramStart"/>
      <w:r>
        <w:t>activities</w:t>
      </w:r>
      <w:proofErr w:type="gramEnd"/>
      <w:r>
        <w:t xml:space="preserve"> and the section 207(k) exemption does not apply.” </w:t>
      </w:r>
      <w:hyperlink r:id="rId1788" w:history="1">
        <w:r w:rsidRPr="00141589">
          <w:rPr>
            <w:rStyle w:val="Hyperlink"/>
          </w:rPr>
          <w:t>https://public.fastcase.com/Wl%2B2t%2BeVuI35%2FN70vAMFZsSjCAViXICEJmEyj88%2Bo6FVmb%2F3MefopOCGEPTmoSc%2F</w:t>
        </w:r>
      </w:hyperlink>
      <w:r>
        <w:t xml:space="preserve"> </w:t>
      </w:r>
    </w:p>
    <w:p w14:paraId="5E20673F" w14:textId="77777777" w:rsidR="00B532F6" w:rsidRDefault="00B532F6" w:rsidP="00B532F6">
      <w:pPr>
        <w:pStyle w:val="NormalWeb"/>
        <w:rPr>
          <w:b/>
          <w:bCs/>
        </w:rPr>
      </w:pPr>
      <w:r w:rsidRPr="00E91965">
        <w:rPr>
          <w:b/>
          <w:bCs/>
        </w:rPr>
        <w:t>Legal Lessons Learned:</w:t>
      </w:r>
      <w:r>
        <w:rPr>
          <w:b/>
          <w:bCs/>
        </w:rPr>
        <w:t xml:space="preserve">  The FD may appeal this decision.  As the Trial Court judge acknowledged in this case, there are several Federal Courts of Appeal that have held that FD personnel who are trained as both EMS and firefighters (“cross trained”), but assigned only to EMS duties, are “firefighters” under the 207(k) exemption. </w:t>
      </w:r>
    </w:p>
    <w:p w14:paraId="1C25B701" w14:textId="77777777" w:rsidR="00B532F6" w:rsidRPr="00E91965" w:rsidRDefault="00B532F6" w:rsidP="00B532F6">
      <w:pPr>
        <w:pStyle w:val="NormalWeb"/>
        <w:ind w:left="720"/>
        <w:rPr>
          <w:b/>
          <w:bCs/>
        </w:rPr>
      </w:pPr>
      <w:r>
        <w:t xml:space="preserve">Note: The Court denied summary judgment to plaintiffs on issue of bonus payments; this will be decided in future proceedings. The </w:t>
      </w:r>
      <w:proofErr w:type="gramStart"/>
      <w:r>
        <w:t>plaintiffs’</w:t>
      </w:r>
      <w:proofErr w:type="gramEnd"/>
      <w:r>
        <w:t xml:space="preserve"> in their 2018 Complaint allege that bonuses were not included in their “regular rate” of pay when calculating overtime pay.</w:t>
      </w:r>
    </w:p>
    <w:p w14:paraId="6DEA500B" w14:textId="77777777" w:rsidR="00B532F6" w:rsidRPr="00EC52DB" w:rsidRDefault="00B532F6" w:rsidP="00B532F6">
      <w:pPr>
        <w:spacing w:before="100" w:beforeAutospacing="1" w:after="100" w:afterAutospacing="1" w:line="240" w:lineRule="auto"/>
        <w:ind w:left="1440"/>
        <w:rPr>
          <w:rFonts w:ascii="Times New Roman" w:eastAsia="Times New Roman" w:hAnsi="Times New Roman"/>
          <w:sz w:val="24"/>
          <w:szCs w:val="24"/>
        </w:rPr>
      </w:pPr>
      <w:r w:rsidRPr="006B7587">
        <w:rPr>
          <w:rFonts w:ascii="Times New Roman" w:hAnsi="Times New Roman"/>
          <w:sz w:val="24"/>
          <w:szCs w:val="24"/>
        </w:rPr>
        <w:t>56.</w:t>
      </w:r>
      <w:r>
        <w:rPr>
          <w:rFonts w:ascii="Times New Roman" w:hAnsi="Times New Roman"/>
          <w:sz w:val="24"/>
          <w:szCs w:val="24"/>
        </w:rPr>
        <w:t xml:space="preserve"> </w:t>
      </w:r>
      <w:r w:rsidRPr="006B7587">
        <w:rPr>
          <w:rFonts w:ascii="Times New Roman" w:hAnsi="Times New Roman"/>
          <w:sz w:val="24"/>
          <w:szCs w:val="24"/>
        </w:rPr>
        <w:t>Plaintiff and Class Members’ regular rate must include all compensation, bonuses, and other remuneration paid by Defendant</w:t>
      </w:r>
      <w:r>
        <w:rPr>
          <w:rFonts w:ascii="Times New Roman" w:hAnsi="Times New Roman"/>
          <w:sz w:val="24"/>
          <w:szCs w:val="24"/>
        </w:rPr>
        <w:t xml:space="preserve"> </w:t>
      </w:r>
      <w:r w:rsidRPr="006B7587">
        <w:rPr>
          <w:rFonts w:ascii="Times New Roman" w:hAnsi="Times New Roman"/>
          <w:sz w:val="24"/>
          <w:szCs w:val="24"/>
        </w:rPr>
        <w:t xml:space="preserve">for purposes of calculating the overtime rate. See 29 C.F.R. 778.208. Defendant has failed to include all bonuses </w:t>
      </w:r>
      <w:proofErr w:type="gramStart"/>
      <w:r w:rsidRPr="006B7587">
        <w:rPr>
          <w:rFonts w:ascii="Times New Roman" w:hAnsi="Times New Roman"/>
          <w:sz w:val="24"/>
          <w:szCs w:val="24"/>
        </w:rPr>
        <w:t>into</w:t>
      </w:r>
      <w:proofErr w:type="gramEnd"/>
      <w:r w:rsidRPr="006B7587">
        <w:rPr>
          <w:rFonts w:ascii="Times New Roman" w:hAnsi="Times New Roman"/>
          <w:sz w:val="24"/>
          <w:szCs w:val="24"/>
        </w:rPr>
        <w:t xml:space="preserve"> the regular rate for purposes of calculating the overtime premium rate.</w:t>
      </w:r>
      <w:r>
        <w:rPr>
          <w:rFonts w:ascii="Times New Roman" w:hAnsi="Times New Roman"/>
          <w:sz w:val="24"/>
          <w:szCs w:val="24"/>
        </w:rPr>
        <w:t xml:space="preserve"> </w:t>
      </w:r>
      <w:hyperlink r:id="rId1789" w:history="1">
        <w:r w:rsidRPr="00EC52DB">
          <w:rPr>
            <w:rStyle w:val="Hyperlink"/>
            <w:rFonts w:ascii="Times New Roman" w:hAnsi="Times New Roman"/>
            <w:sz w:val="24"/>
            <w:szCs w:val="24"/>
          </w:rPr>
          <w:t>http://www.firefighterovertime.org/wp-content/uploads/2018/03/DFW-FLSA-Complaint-2018.pdf</w:t>
        </w:r>
      </w:hyperlink>
      <w:r w:rsidRPr="00EC52DB">
        <w:rPr>
          <w:rFonts w:ascii="Times New Roman" w:eastAsia="Times New Roman" w:hAnsi="Times New Roman"/>
          <w:sz w:val="24"/>
          <w:szCs w:val="24"/>
        </w:rPr>
        <w:t xml:space="preserve">  </w:t>
      </w:r>
    </w:p>
    <w:p w14:paraId="510D960E" w14:textId="77777777" w:rsidR="00B532F6" w:rsidRDefault="00B532F6" w:rsidP="00B532F6">
      <w:pPr>
        <w:pStyle w:val="NormalWeb"/>
        <w:ind w:left="720"/>
      </w:pPr>
      <w:r>
        <w:t xml:space="preserve">Court held:  Without any evidence on the issue, plaintiffs cannot be entitled to summary judgment. </w:t>
      </w:r>
      <w:r>
        <w:rPr>
          <w:i/>
          <w:iCs/>
        </w:rPr>
        <w:t>See</w:t>
      </w:r>
      <w:r>
        <w:t xml:space="preserve"> FED. R. CIV. P. 56(c). Further, DFW presented evidence that, where plaintiffs were entitled to overtime pay </w:t>
      </w:r>
      <w:proofErr w:type="gramStart"/>
      <w:r>
        <w:t>in a given</w:t>
      </w:r>
      <w:proofErr w:type="gramEnd"/>
      <w:r>
        <w:t xml:space="preserve"> pay period, they received an overtime adjustment to compensate them for the increased regular rate for that pay period based on incentive pay received (Doc. 65-30). Accordingly, the Court must deny plaintiffs' summary judgment motion on this ground. </w:t>
      </w:r>
    </w:p>
    <w:p w14:paraId="11426BD5" w14:textId="77777777" w:rsidR="00B532F6" w:rsidRDefault="00B532F6" w:rsidP="00B532F6">
      <w:pPr>
        <w:pStyle w:val="NormalWeb"/>
        <w:ind w:left="720"/>
      </w:pPr>
      <w:r>
        <w:t xml:space="preserve">Note – New DOL Rules On Regular Rate </w:t>
      </w:r>
      <w:proofErr w:type="gramStart"/>
      <w:r>
        <w:t>Of</w:t>
      </w:r>
      <w:proofErr w:type="gramEnd"/>
      <w:r>
        <w:t xml:space="preserve"> Pay</w:t>
      </w:r>
    </w:p>
    <w:p w14:paraId="3C2F8E90" w14:textId="77777777" w:rsidR="00B532F6" w:rsidRDefault="00B532F6" w:rsidP="00B532F6">
      <w:pPr>
        <w:pStyle w:val="NormalWeb"/>
        <w:ind w:left="720"/>
      </w:pPr>
      <w:r>
        <w:t>The U.S. Department of Labor, on Jan. 15, 2020, issued its “Final Rule” changes on items to be excluded from the “regular rate of pay.” “The final rule clarifies when payments for forgoing unused paid leave, payments for bona fide meal periods, reimbursements, benefit plan contributions, and certain ancillary benefits may be excluded from the regular rate.”</w:t>
      </w:r>
      <w:r w:rsidRPr="00EC52DB">
        <w:t xml:space="preserve"> </w:t>
      </w:r>
      <w:hyperlink r:id="rId1790" w:history="1">
        <w:r w:rsidRPr="00141589">
          <w:rPr>
            <w:rStyle w:val="Hyperlink"/>
          </w:rPr>
          <w:t>https://www.federalregister.gov/documents/2019/12/16/2019-26447/regular-rate-under-the-fair-labor-standards-act</w:t>
        </w:r>
      </w:hyperlink>
      <w:r>
        <w:t xml:space="preserve"> </w:t>
      </w:r>
    </w:p>
    <w:p w14:paraId="0CB962FA" w14:textId="77777777" w:rsidR="00B532F6" w:rsidRDefault="00B532F6" w:rsidP="00F326E5">
      <w:pPr>
        <w:rPr>
          <w:rFonts w:ascii="Arial Black" w:hAnsi="Arial Black"/>
          <w:b/>
          <w:sz w:val="24"/>
          <w:szCs w:val="24"/>
        </w:rPr>
      </w:pPr>
    </w:p>
    <w:p w14:paraId="56256694" w14:textId="77777777" w:rsidR="00B532F6" w:rsidRDefault="00B532F6" w:rsidP="00F326E5">
      <w:pPr>
        <w:rPr>
          <w:rFonts w:ascii="Arial Black" w:hAnsi="Arial Black"/>
          <w:b/>
          <w:sz w:val="24"/>
          <w:szCs w:val="24"/>
        </w:rPr>
      </w:pPr>
    </w:p>
    <w:p w14:paraId="041CA6C7" w14:textId="77777777" w:rsidR="00B532F6" w:rsidRDefault="00B532F6" w:rsidP="00F326E5">
      <w:pPr>
        <w:rPr>
          <w:rFonts w:ascii="Arial Black" w:hAnsi="Arial Black"/>
          <w:b/>
          <w:sz w:val="24"/>
          <w:szCs w:val="24"/>
        </w:rPr>
      </w:pPr>
    </w:p>
    <w:p w14:paraId="66CC5F95" w14:textId="604DB300" w:rsidR="00B532F6" w:rsidRDefault="00B532F6"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9</w:t>
      </w:r>
    </w:p>
    <w:p w14:paraId="3A450ABB" w14:textId="77777777" w:rsidR="00B532F6" w:rsidRPr="00D20EA3" w:rsidRDefault="00B532F6" w:rsidP="00B532F6">
      <w:pPr>
        <w:pStyle w:val="text"/>
        <w:rPr>
          <w:rFonts w:ascii="Arial Black" w:hAnsi="Arial Black"/>
          <w:sz w:val="28"/>
          <w:szCs w:val="28"/>
        </w:rPr>
      </w:pPr>
      <w:r w:rsidRPr="00D20EA3">
        <w:rPr>
          <w:rFonts w:ascii="Arial Black" w:hAnsi="Arial Black"/>
          <w:sz w:val="28"/>
          <w:szCs w:val="28"/>
        </w:rPr>
        <w:t xml:space="preserve">LA: </w:t>
      </w:r>
      <w:r>
        <w:rPr>
          <w:rFonts w:ascii="Arial Black" w:hAnsi="Arial Black"/>
          <w:sz w:val="28"/>
          <w:szCs w:val="28"/>
        </w:rPr>
        <w:t>CITY OWES $1.6 MILLION BACKPAY 32 FF – LONGEVITY - MUST WAIT FOR MUNICIPALITY TO RAISE $ THROUGH LEVY</w:t>
      </w:r>
    </w:p>
    <w:p w14:paraId="2CBC03AD" w14:textId="1A93435B" w:rsidR="00B532F6" w:rsidRPr="00B532F6" w:rsidRDefault="00B532F6" w:rsidP="00B532F6">
      <w:pPr>
        <w:rPr>
          <w:rStyle w:val="Hyperlink"/>
          <w:rFonts w:ascii="Times New Roman" w:hAnsi="Times New Roman"/>
          <w:sz w:val="24"/>
          <w:szCs w:val="24"/>
        </w:rPr>
      </w:pPr>
      <w:r w:rsidRPr="00B532F6">
        <w:rPr>
          <w:rFonts w:ascii="Times New Roman" w:hAnsi="Times New Roman"/>
          <w:sz w:val="24"/>
          <w:szCs w:val="24"/>
        </w:rPr>
        <w:lastRenderedPageBreak/>
        <w:t xml:space="preserve">On Sept. 23, 2020, in </w:t>
      </w:r>
      <w:r w:rsidRPr="00B532F6">
        <w:rPr>
          <w:rFonts w:ascii="Times New Roman" w:hAnsi="Times New Roman"/>
          <w:sz w:val="24"/>
          <w:szCs w:val="24"/>
          <w:u w:val="single"/>
        </w:rPr>
        <w:t>Arnold Lowther v. Town of Bastrop</w:t>
      </w:r>
      <w:r w:rsidRPr="00B532F6">
        <w:rPr>
          <w:rFonts w:ascii="Times New Roman" w:hAnsi="Times New Roman"/>
          <w:sz w:val="24"/>
          <w:szCs w:val="24"/>
        </w:rPr>
        <w:t xml:space="preserve">, the Court of Appeal, Second Circuit, State of Louisiana, held (3 to 0) that while the firefighters won their 2008 lawsuit in 2014, and trial court ordered the City and its fire department to enact a uniform pay plan, which the trial court approved with backpay from 2005. </w:t>
      </w:r>
      <w:proofErr w:type="gramStart"/>
      <w:r w:rsidRPr="00B532F6">
        <w:rPr>
          <w:rFonts w:ascii="Times New Roman" w:hAnsi="Times New Roman"/>
          <w:sz w:val="24"/>
          <w:szCs w:val="24"/>
        </w:rPr>
        <w:t>However</w:t>
      </w:r>
      <w:proofErr w:type="gramEnd"/>
      <w:r w:rsidRPr="00B532F6">
        <w:rPr>
          <w:rFonts w:ascii="Times New Roman" w:hAnsi="Times New Roman"/>
          <w:sz w:val="24"/>
          <w:szCs w:val="24"/>
        </w:rPr>
        <w:t xml:space="preserve"> under Louisiana law the courts cannot order municipality to create a deficit.  According to Press Reports, $1.6 million in back pay: “A recent judgement from a lawsuit dating back to 2005 under a </w:t>
      </w:r>
      <w:proofErr w:type="gramStart"/>
      <w:r w:rsidRPr="00B532F6">
        <w:rPr>
          <w:rFonts w:ascii="Times New Roman" w:hAnsi="Times New Roman"/>
          <w:sz w:val="24"/>
          <w:szCs w:val="24"/>
        </w:rPr>
        <w:t>prior administration mandates</w:t>
      </w:r>
      <w:proofErr w:type="gramEnd"/>
      <w:r w:rsidRPr="00B532F6">
        <w:rPr>
          <w:rFonts w:ascii="Times New Roman" w:hAnsi="Times New Roman"/>
          <w:sz w:val="24"/>
          <w:szCs w:val="24"/>
        </w:rPr>
        <w:t xml:space="preserve"> that the city must repay $1.6 million to 32 current and former firemen. The suit claimed city firemen weren't paid properly for their longevity, performance or responsibilities for </w:t>
      </w:r>
      <w:proofErr w:type="gramStart"/>
      <w:r w:rsidRPr="00B532F6">
        <w:rPr>
          <w:rFonts w:ascii="Times New Roman" w:hAnsi="Times New Roman"/>
          <w:sz w:val="24"/>
          <w:szCs w:val="24"/>
        </w:rPr>
        <w:t>a number of</w:t>
      </w:r>
      <w:proofErr w:type="gramEnd"/>
      <w:r w:rsidRPr="00B532F6">
        <w:rPr>
          <w:rFonts w:ascii="Times New Roman" w:hAnsi="Times New Roman"/>
          <w:sz w:val="24"/>
          <w:szCs w:val="24"/>
        </w:rPr>
        <w:t xml:space="preserve"> years. The problem Mayor Henry Cotton says is that the city doesn't have that kind of money, and needs a mill increase to do it. The proposal would be designated for 10 years to repay the debt.” </w:t>
      </w:r>
      <w:hyperlink r:id="rId1791" w:history="1">
        <w:r w:rsidRPr="00B532F6">
          <w:rPr>
            <w:rStyle w:val="Hyperlink"/>
            <w:rFonts w:ascii="Times New Roman" w:hAnsi="Times New Roman"/>
            <w:sz w:val="24"/>
            <w:szCs w:val="24"/>
          </w:rPr>
          <w:t>https://www.knoe.com/content/news/Bastrop-mayor-proposes-3-mill-increase-to-repay-debt-from-fireman-lawsuit-513531241.html</w:t>
        </w:r>
      </w:hyperlink>
    </w:p>
    <w:p w14:paraId="73D4612A" w14:textId="77777777" w:rsidR="00B532F6" w:rsidRPr="00A726BF" w:rsidRDefault="00B532F6" w:rsidP="00B532F6">
      <w:pPr>
        <w:pStyle w:val="Heading1"/>
        <w:tabs>
          <w:tab w:val="left" w:pos="2990"/>
        </w:tabs>
        <w:rPr>
          <w:sz w:val="24"/>
          <w:szCs w:val="24"/>
        </w:rPr>
      </w:pPr>
      <w:r w:rsidRPr="00A726BF">
        <w:rPr>
          <w:sz w:val="24"/>
          <w:szCs w:val="24"/>
        </w:rPr>
        <w:t xml:space="preserve">Legal Lessons Learned: </w:t>
      </w:r>
      <w:proofErr w:type="gramStart"/>
      <w:r>
        <w:rPr>
          <w:sz w:val="24"/>
          <w:szCs w:val="24"/>
        </w:rPr>
        <w:t>In order for</w:t>
      </w:r>
      <w:proofErr w:type="gramEnd"/>
      <w:r>
        <w:rPr>
          <w:sz w:val="24"/>
          <w:szCs w:val="24"/>
        </w:rPr>
        <w:t xml:space="preserve"> these 32 current and former fighters to collect on their judgment, they must wait for the City to raise the money.  </w:t>
      </w:r>
    </w:p>
    <w:p w14:paraId="1E8BCA16" w14:textId="77777777" w:rsidR="00B532F6" w:rsidRDefault="00B532F6" w:rsidP="00B532F6">
      <w:pPr>
        <w:rPr>
          <w:rFonts w:ascii="Arial Black" w:hAnsi="Arial Black"/>
          <w:b/>
          <w:sz w:val="24"/>
          <w:szCs w:val="24"/>
        </w:rPr>
      </w:pPr>
    </w:p>
    <w:p w14:paraId="62AA8F4D" w14:textId="77777777" w:rsidR="00B532F6" w:rsidRDefault="00B532F6" w:rsidP="00F326E5">
      <w:pPr>
        <w:rPr>
          <w:rFonts w:ascii="Arial Black" w:hAnsi="Arial Black"/>
          <w:b/>
          <w:sz w:val="24"/>
          <w:szCs w:val="24"/>
        </w:rPr>
      </w:pPr>
    </w:p>
    <w:p w14:paraId="2739EF99" w14:textId="77777777" w:rsidR="00B532F6" w:rsidRDefault="00B532F6" w:rsidP="00F326E5">
      <w:pPr>
        <w:rPr>
          <w:rFonts w:ascii="Arial Black" w:hAnsi="Arial Black"/>
          <w:b/>
          <w:sz w:val="24"/>
          <w:szCs w:val="24"/>
        </w:rPr>
      </w:pPr>
    </w:p>
    <w:p w14:paraId="5BE2659C" w14:textId="78540CB4" w:rsidR="00B532F6" w:rsidRDefault="00B532F6"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8</w:t>
      </w:r>
    </w:p>
    <w:p w14:paraId="5CC2291A" w14:textId="77777777" w:rsidR="00B532F6" w:rsidRDefault="00B532F6" w:rsidP="00B532F6">
      <w:pPr>
        <w:rPr>
          <w:rFonts w:ascii="Arial Black" w:hAnsi="Arial Black"/>
          <w:sz w:val="28"/>
          <w:szCs w:val="28"/>
        </w:rPr>
      </w:pPr>
      <w:r w:rsidRPr="00B42CBD">
        <w:rPr>
          <w:rFonts w:ascii="Arial Black" w:hAnsi="Arial Black"/>
          <w:sz w:val="28"/>
          <w:szCs w:val="28"/>
        </w:rPr>
        <w:t xml:space="preserve">IN: </w:t>
      </w:r>
      <w:r>
        <w:rPr>
          <w:rFonts w:ascii="Arial Black" w:hAnsi="Arial Black"/>
          <w:sz w:val="28"/>
          <w:szCs w:val="28"/>
        </w:rPr>
        <w:t xml:space="preserve">FLSA SETTLEMENT – CITY SETTLES WITH </w:t>
      </w:r>
      <w:r w:rsidRPr="00B42CBD">
        <w:rPr>
          <w:rFonts w:ascii="Arial Black" w:hAnsi="Arial Black"/>
          <w:sz w:val="28"/>
          <w:szCs w:val="28"/>
        </w:rPr>
        <w:t>15 FF</w:t>
      </w:r>
      <w:r>
        <w:rPr>
          <w:rFonts w:ascii="Arial Black" w:hAnsi="Arial Black"/>
          <w:sz w:val="28"/>
          <w:szCs w:val="28"/>
        </w:rPr>
        <w:t xml:space="preserve"> -</w:t>
      </w:r>
      <w:r w:rsidRPr="00B42CBD">
        <w:rPr>
          <w:rFonts w:ascii="Arial Black" w:hAnsi="Arial Black"/>
          <w:sz w:val="28"/>
          <w:szCs w:val="28"/>
        </w:rPr>
        <w:t xml:space="preserve"> </w:t>
      </w:r>
      <w:r>
        <w:rPr>
          <w:rFonts w:ascii="Arial Black" w:hAnsi="Arial Black"/>
          <w:sz w:val="28"/>
          <w:szCs w:val="28"/>
        </w:rPr>
        <w:t>PLUS NOT DEMAND PAYBACK OVERPAYMENTS – FED JUDGE MUST APPROVE</w:t>
      </w:r>
    </w:p>
    <w:p w14:paraId="1FAFA749" w14:textId="77777777" w:rsidR="00B532F6" w:rsidRDefault="00B532F6" w:rsidP="00B532F6">
      <w:pPr>
        <w:pStyle w:val="NormalWeb"/>
      </w:pPr>
      <w:r>
        <w:t xml:space="preserve">On Sept. 22, 2020, in </w:t>
      </w:r>
      <w:r w:rsidRPr="00743799">
        <w:rPr>
          <w:u w:val="single"/>
        </w:rPr>
        <w:t>Eric Camel, et al. v. Town of Chesterton, Indiana and J</w:t>
      </w:r>
      <w:r>
        <w:rPr>
          <w:u w:val="single"/>
        </w:rPr>
        <w:t>ohn</w:t>
      </w:r>
      <w:r w:rsidRPr="00743799">
        <w:rPr>
          <w:u w:val="single"/>
        </w:rPr>
        <w:t xml:space="preserve"> Jarka, Fire Chief</w:t>
      </w:r>
      <w:r>
        <w:t xml:space="preserve">, U.S. District Court Judge Theresa L. Springmann, U.S. District Court, Norther District of Indiana (Hammond Division) has generally approved the settlement, but has taken the matter “under advisement” until the parties advise the Court how much of the funds go to attorney fees.  Plaintiffs allege, among numerous other claims against both Defendants, that Defendant Town of Chesterton failed to comply with statutory overtime provisions when </w:t>
      </w:r>
      <w:proofErr w:type="gramStart"/>
      <w:r>
        <w:t>it</w:t>
      </w:r>
      <w:proofErr w:type="gramEnd"/>
      <w:r>
        <w:t xml:space="preserve"> failed to pay them overtime wages when they worked </w:t>
      </w:r>
      <w:proofErr w:type="gramStart"/>
      <w:r>
        <w:t>in excess of</w:t>
      </w:r>
      <w:proofErr w:type="gramEnd"/>
      <w:r>
        <w:t xml:space="preserve"> 204 hours in a twenty-seven (27) day work period from 2011 through and including 2019.</w:t>
      </w:r>
    </w:p>
    <w:p w14:paraId="30B15105" w14:textId="77777777" w:rsidR="00B532F6" w:rsidRDefault="00B532F6" w:rsidP="00B532F6">
      <w:pPr>
        <w:pStyle w:val="NormalWeb"/>
        <w:ind w:left="720"/>
      </w:pPr>
      <w:r>
        <w:t>“Under the FLSA, settlement agreements for the recovery of unpaid overtime compensation must be approved by the Court in the absence of direct supervision by the Secretary of Labor.</w:t>
      </w:r>
    </w:p>
    <w:p w14:paraId="1D7DFAD2" w14:textId="77777777" w:rsidR="00B532F6" w:rsidRDefault="00B532F6" w:rsidP="00B532F6">
      <w:pPr>
        <w:pStyle w:val="NormalWeb"/>
        <w:ind w:left="720"/>
      </w:pPr>
      <w:r>
        <w:t>***</w:t>
      </w:r>
    </w:p>
    <w:p w14:paraId="050C0124" w14:textId="77777777" w:rsidR="00B532F6" w:rsidRDefault="00B532F6" w:rsidP="00B532F6">
      <w:pPr>
        <w:pStyle w:val="NormalWeb"/>
        <w:ind w:left="720"/>
      </w:pPr>
      <w:r>
        <w:t>The Settlement Agreement provides for a total payment of $26,371.24, which includes (1) a payment of $647.40 to Plaintiff Amanda Shine for back pay and liquidated damages, inclusive of all attorney's fees and costs; (2) a payment of $723.84 to Plaintiff Michael A. Coslet for back pay and liquidated damages [amount owed, doubled], inclusive of all attorney's fees and costs; and (3) a payment of $25,000 to all Plaintiffs, inclusive of all attorney's fees and costs.</w:t>
      </w:r>
    </w:p>
    <w:p w14:paraId="3894740E" w14:textId="77777777" w:rsidR="00B532F6" w:rsidRDefault="00B532F6" w:rsidP="00B532F6">
      <w:pPr>
        <w:pStyle w:val="NormalWeb"/>
        <w:ind w:left="720"/>
      </w:pPr>
      <w:r>
        <w:t>***</w:t>
      </w:r>
    </w:p>
    <w:p w14:paraId="32351CD8" w14:textId="77777777" w:rsidR="00B532F6" w:rsidRDefault="00B532F6" w:rsidP="00B532F6">
      <w:pPr>
        <w:pStyle w:val="NormalWeb"/>
        <w:ind w:left="720"/>
      </w:pPr>
      <w:r>
        <w:lastRenderedPageBreak/>
        <w:t>The Settlement Agreement further provides for significant non-economic awards such as the addition of four vacation days in lieu of reduction time (and the elimination of reduction time), enacted through amendments to the Personnel Handbook and to the agreement between the Town of Chesterton and Chesterton Firefighters Local 4600; waiver of the $89,878.26 overpayment the Town of Chesterton alleges is owed by ten of the Plaintiffs; and the removal of a reprimand in two of the Plaintiffs' personnel files.”</w:t>
      </w:r>
      <w:r w:rsidRPr="00743799">
        <w:t xml:space="preserve"> </w:t>
      </w:r>
      <w:hyperlink r:id="rId1792" w:history="1">
        <w:r w:rsidRPr="000929D2">
          <w:rPr>
            <w:rStyle w:val="Hyperlink"/>
          </w:rPr>
          <w:t>https://public.fastcase.com/Wl%2B2t%2BeVuI35%2FN70vAMFZtsu4ffMdPWfOx%2BdxBXmfVAnwIw9ms7kbCEt1faHV%2BzM</w:t>
        </w:r>
      </w:hyperlink>
      <w:r>
        <w:t xml:space="preserve"> </w:t>
      </w:r>
    </w:p>
    <w:p w14:paraId="7C05CE01" w14:textId="77777777" w:rsidR="00B532F6" w:rsidRPr="00BA2CA5" w:rsidRDefault="00B532F6" w:rsidP="00B532F6">
      <w:pPr>
        <w:rPr>
          <w:rFonts w:ascii="Times New Roman" w:hAnsi="Times New Roman"/>
          <w:b/>
          <w:bCs/>
          <w:sz w:val="24"/>
          <w:szCs w:val="24"/>
        </w:rPr>
      </w:pPr>
      <w:r w:rsidRPr="00BA2CA5">
        <w:rPr>
          <w:rFonts w:ascii="Times New Roman" w:hAnsi="Times New Roman"/>
          <w:b/>
          <w:bCs/>
          <w:sz w:val="24"/>
          <w:szCs w:val="24"/>
        </w:rPr>
        <w:t>Legal Lessons Learned:</w:t>
      </w:r>
      <w:r>
        <w:rPr>
          <w:rFonts w:ascii="Times New Roman" w:hAnsi="Times New Roman"/>
          <w:b/>
          <w:bCs/>
          <w:sz w:val="24"/>
          <w:szCs w:val="24"/>
        </w:rPr>
        <w:t xml:space="preserve"> FLSA requires approval of settlements by U.S. Department of Labor, or by U.S. District Court judge.</w:t>
      </w:r>
    </w:p>
    <w:p w14:paraId="05BCF706" w14:textId="77777777" w:rsidR="00B532F6" w:rsidRDefault="00B532F6" w:rsidP="00B532F6">
      <w:pPr>
        <w:pStyle w:val="NormalWeb"/>
        <w:ind w:left="720"/>
      </w:pPr>
      <w:r>
        <w:t xml:space="preserve">Note: See FD’s web page: The department currently has 15 full-time personnel that staff an engine 24/7/365, as well as a full time Fire Chief and Deputy Fire Chief. The department also utilizes a staff of 15 volunteer personnel who respond to calls for assistance. </w:t>
      </w:r>
      <w:hyperlink r:id="rId1793" w:history="1">
        <w:r w:rsidRPr="000929D2">
          <w:rPr>
            <w:rStyle w:val="Hyperlink"/>
          </w:rPr>
          <w:t>https://www.chestertonin.org/145/Fire-Department</w:t>
        </w:r>
      </w:hyperlink>
      <w:r>
        <w:t xml:space="preserve"> </w:t>
      </w:r>
    </w:p>
    <w:p w14:paraId="7BEA0B58" w14:textId="77777777" w:rsidR="00B532F6" w:rsidRDefault="00B532F6" w:rsidP="00F326E5">
      <w:pPr>
        <w:rPr>
          <w:rFonts w:ascii="Arial Black" w:hAnsi="Arial Black"/>
          <w:b/>
          <w:sz w:val="24"/>
          <w:szCs w:val="24"/>
        </w:rPr>
      </w:pPr>
    </w:p>
    <w:p w14:paraId="7B6BBB71" w14:textId="77777777" w:rsidR="00B532F6" w:rsidRDefault="00B532F6" w:rsidP="00F326E5">
      <w:pPr>
        <w:rPr>
          <w:rFonts w:ascii="Arial Black" w:hAnsi="Arial Black"/>
          <w:b/>
          <w:sz w:val="24"/>
          <w:szCs w:val="24"/>
        </w:rPr>
      </w:pPr>
    </w:p>
    <w:p w14:paraId="0422D056" w14:textId="47F6C820" w:rsidR="00557CA2" w:rsidRDefault="00557CA2"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7</w:t>
      </w:r>
    </w:p>
    <w:p w14:paraId="1C0A2D23" w14:textId="77777777" w:rsidR="00557CA2" w:rsidRDefault="00557CA2" w:rsidP="00557CA2">
      <w:pPr>
        <w:pStyle w:val="NormalWeb"/>
        <w:spacing w:line="255" w:lineRule="atLeast"/>
        <w:rPr>
          <w:rFonts w:ascii="Arial Black" w:hAnsi="Arial Black"/>
          <w:sz w:val="28"/>
          <w:szCs w:val="28"/>
        </w:rPr>
      </w:pPr>
      <w:r>
        <w:rPr>
          <w:rFonts w:ascii="Arial Black" w:hAnsi="Arial Black"/>
          <w:sz w:val="28"/>
          <w:szCs w:val="28"/>
        </w:rPr>
        <w:t>DC: FLSA – WORKING FROM HOME – NEED SYSTEM THAT REQUIRES HOURLY EMPLOYEES TO REPORT THEIR HOURS</w:t>
      </w:r>
    </w:p>
    <w:p w14:paraId="4D725FDF" w14:textId="77777777" w:rsidR="00557CA2" w:rsidRDefault="00557CA2" w:rsidP="00557CA2">
      <w:pPr>
        <w:pStyle w:val="NormalWeb"/>
        <w:spacing w:line="255" w:lineRule="atLeast"/>
      </w:pPr>
      <w:r>
        <w:t>On Aug. 24, 2020, the U.S. Department of Labor, Wage &amp; Hour Division, published FIELD ASSISTANCE BULLETIN No. 2020-5: “Employers’ obligation to exercise reasonable diligence in tracking teleworking employees’ hours of work.”</w:t>
      </w:r>
    </w:p>
    <w:p w14:paraId="37D4C4C8" w14:textId="77777777" w:rsidR="00557CA2" w:rsidRDefault="00557CA2" w:rsidP="00557CA2">
      <w:pPr>
        <w:pStyle w:val="NormalWeb"/>
        <w:spacing w:line="255" w:lineRule="atLeast"/>
        <w:ind w:left="720"/>
      </w:pPr>
      <w:r>
        <w:t xml:space="preserve">“In a telework or remote work arrangement, the question of the employer’s obligation to track hours </w:t>
      </w:r>
      <w:proofErr w:type="gramStart"/>
      <w:r>
        <w:t>actually worked</w:t>
      </w:r>
      <w:proofErr w:type="gramEnd"/>
      <w:r>
        <w:t xml:space="preserve"> for which the employee was not scheduled may often arise. While this guidance responds directly to needs created by new telework or remote work arrangements that arose in response to COVID-19, it also applies to other telework or remote work arrangements. An employer is required to pay </w:t>
      </w:r>
      <w:proofErr w:type="gramStart"/>
      <w:r>
        <w:t>its</w:t>
      </w:r>
      <w:proofErr w:type="gramEnd"/>
      <w:r>
        <w:t xml:space="preserve"> employees for all hours worked, including work not requested but suffered or permitted, including work performed at home. See 29 C.F.R. § 785.11-12. If the employer knows or has reason to believe that work is being performed, the time must be counted as hours worked.</w:t>
      </w:r>
    </w:p>
    <w:p w14:paraId="788DED2B" w14:textId="77777777" w:rsidR="00557CA2" w:rsidRDefault="00557CA2" w:rsidP="00557CA2">
      <w:pPr>
        <w:pStyle w:val="NormalWeb"/>
        <w:spacing w:line="255" w:lineRule="atLeast"/>
        <w:ind w:left="720"/>
      </w:pPr>
      <w:r>
        <w:t>***</w:t>
      </w:r>
    </w:p>
    <w:p w14:paraId="77D07385" w14:textId="77777777" w:rsidR="00557CA2" w:rsidRDefault="00557CA2" w:rsidP="00557CA2">
      <w:pPr>
        <w:pStyle w:val="NormalWeb"/>
        <w:spacing w:line="255" w:lineRule="atLeast"/>
        <w:ind w:left="720"/>
      </w:pPr>
      <w:r>
        <w:t xml:space="preserve">If an employee fails to report unscheduled hours worked through such a procedure, the employer is not required to undergo impractical efforts to investigate further to uncover unreported hours of work and provide compensation for those hours.” </w:t>
      </w:r>
      <w:hyperlink r:id="rId1794" w:history="1">
        <w:r>
          <w:rPr>
            <w:rStyle w:val="Hyperlink"/>
            <w:rFonts w:eastAsiaTheme="majorEastAsia"/>
          </w:rPr>
          <w:t>https://www.dol.gov/sites/dolgov/files/WHD/legacy/files/fab_2020_5.pdf</w:t>
        </w:r>
      </w:hyperlink>
      <w:r>
        <w:t xml:space="preserve"> </w:t>
      </w:r>
    </w:p>
    <w:p w14:paraId="12EC9A8C" w14:textId="77777777" w:rsidR="00557CA2" w:rsidRDefault="00557CA2" w:rsidP="00557CA2">
      <w:pPr>
        <w:pStyle w:val="NormalWeb"/>
        <w:spacing w:line="255" w:lineRule="atLeast"/>
        <w:rPr>
          <w:b/>
          <w:bCs/>
        </w:rPr>
      </w:pPr>
    </w:p>
    <w:p w14:paraId="5470047E" w14:textId="77777777" w:rsidR="00557CA2" w:rsidRDefault="00557CA2" w:rsidP="00557CA2">
      <w:pPr>
        <w:pStyle w:val="NormalWeb"/>
        <w:spacing w:line="255" w:lineRule="atLeast"/>
        <w:rPr>
          <w:b/>
          <w:bCs/>
        </w:rPr>
      </w:pPr>
      <w:r>
        <w:rPr>
          <w:b/>
          <w:bCs/>
        </w:rPr>
        <w:t xml:space="preserve">Legal Lessons Learned:  Fire departments that allow administrative or other hourly personnel to work from home should implement an online system for reporting of hours worked.  </w:t>
      </w:r>
    </w:p>
    <w:p w14:paraId="68692DAA" w14:textId="77777777" w:rsidR="00557CA2" w:rsidRDefault="00557CA2" w:rsidP="00557CA2">
      <w:pPr>
        <w:pStyle w:val="NormalWeb"/>
        <w:spacing w:line="255" w:lineRule="atLeast"/>
        <w:ind w:left="720"/>
      </w:pPr>
      <w:r>
        <w:lastRenderedPageBreak/>
        <w:t xml:space="preserve">Note: The </w:t>
      </w:r>
      <w:proofErr w:type="spellStart"/>
      <w:r>
        <w:t>DoL</w:t>
      </w:r>
      <w:proofErr w:type="spellEnd"/>
      <w:r>
        <w:t xml:space="preserve"> referenced Allen v. City of Chicago, 865 F.3d 936, 945 (7th Cir. 2017), cert. denied, 138 S. Ct. 1302 (2018), where the 7</w:t>
      </w:r>
      <w:r>
        <w:rPr>
          <w:vertAlign w:val="superscript"/>
        </w:rPr>
        <w:t>th</w:t>
      </w:r>
      <w:r>
        <w:t xml:space="preserve"> Circuit </w:t>
      </w:r>
      <w:proofErr w:type="gramStart"/>
      <w:r>
        <w:t>held</w:t>
      </w:r>
      <w:proofErr w:type="gramEnd"/>
      <w:r>
        <w:t xml:space="preserve">: </w:t>
      </w:r>
      <w:r>
        <w:tab/>
      </w:r>
    </w:p>
    <w:p w14:paraId="2609AF12" w14:textId="77777777" w:rsidR="00557CA2" w:rsidRDefault="00557CA2" w:rsidP="00557CA2">
      <w:pPr>
        <w:pStyle w:val="NormalWeb"/>
        <w:spacing w:line="255" w:lineRule="atLeast"/>
        <w:ind w:left="720"/>
      </w:pPr>
      <w:r>
        <w:t xml:space="preserve">“This appeal arises from a Fair Labor Standards Act collective action. Plaintiffs are current and former members of the Chicago Police Department's Bureau of Organized Crime who claim that the Bureau did not compensate them for work they did </w:t>
      </w:r>
      <w:proofErr w:type="gramStart"/>
      <w:r>
        <w:t>off-duty</w:t>
      </w:r>
      <w:proofErr w:type="gramEnd"/>
      <w:r>
        <w:t xml:space="preserve"> on their mobile electronic devices (BlackBerrys). The case was </w:t>
      </w:r>
      <w:proofErr w:type="spellStart"/>
      <w:r>
        <w:t>tried</w:t>
      </w:r>
      <w:proofErr w:type="spellEnd"/>
      <w:r>
        <w:t xml:space="preserve"> to the court, Magistrate Judge Schenkier, presiding by consent under 28 U.S.C. § 636(c). The judge issued detailed findings of </w:t>
      </w:r>
      <w:proofErr w:type="gramStart"/>
      <w:r>
        <w:t>fact</w:t>
      </w:r>
      <w:proofErr w:type="gramEnd"/>
      <w:r>
        <w:t xml:space="preserve"> and conclusions of law in favor of the Bureau, finding that it did not prevent plaintiffs from requesting payment for such non-scheduled overtime work and did not know that plaintiffs were not being paid for it. Plaintiffs appeal, but we find no persuasive reason to upset the judgment of the district court. We affirm the judgment for the Bureau.</w:t>
      </w:r>
    </w:p>
    <w:p w14:paraId="5C8E16FC" w14:textId="77777777" w:rsidR="00557CA2" w:rsidRDefault="00557CA2" w:rsidP="00557CA2">
      <w:pPr>
        <w:pStyle w:val="NormalWeb"/>
        <w:spacing w:line="255" w:lineRule="atLeast"/>
        <w:ind w:left="720"/>
      </w:pPr>
      <w:r>
        <w:t>***</w:t>
      </w:r>
    </w:p>
    <w:p w14:paraId="5214AC65" w14:textId="77777777" w:rsidR="00557CA2" w:rsidRDefault="00557CA2" w:rsidP="00557CA2">
      <w:pPr>
        <w:spacing w:after="0" w:line="240" w:lineRule="auto"/>
        <w:ind w:left="720"/>
        <w:rPr>
          <w:rFonts w:ascii="Times New Roman" w:hAnsi="Times New Roman"/>
          <w:sz w:val="24"/>
          <w:szCs w:val="24"/>
        </w:rPr>
      </w:pPr>
      <w:r>
        <w:rPr>
          <w:rFonts w:ascii="Times New Roman" w:hAnsi="Times New Roman"/>
          <w:sz w:val="24"/>
          <w:szCs w:val="24"/>
        </w:rPr>
        <w:t>The [trial court judge, after a 6-day bench trial] agreed with plaintiffs that some of their off-duty BlackBerry activity was work that was compensable under the FLSA. It acknowledged evidence that Bureau supervisors knew plaintiffs sometimes worked off-duty on their Black-</w:t>
      </w:r>
      <w:proofErr w:type="spellStart"/>
      <w:r>
        <w:rPr>
          <w:rFonts w:ascii="Times New Roman" w:hAnsi="Times New Roman"/>
          <w:sz w:val="24"/>
          <w:szCs w:val="24"/>
        </w:rPr>
        <w:t>Berrys</w:t>
      </w:r>
      <w:proofErr w:type="spellEnd"/>
      <w:r>
        <w:rPr>
          <w:rFonts w:ascii="Times New Roman" w:hAnsi="Times New Roman"/>
          <w:sz w:val="24"/>
          <w:szCs w:val="24"/>
        </w:rPr>
        <w:t xml:space="preserve">. But the court also found that the supervisors did not know or have reason to know that plaintiffs were not submitting slips and therefore were not being paid for that work. Although supervisors in theory could have checked what they knew of plaintiffs' off-duty work against the time slips they approved, the court found that requiring them to do so would be impractical: supervisors approved a large number of slips per day, and slips were sometimes submitted and reviewed well after the work was performed. Also, the court found, plaintiffs never told their supervisors that they were not being paid for such work.” </w:t>
      </w:r>
      <w:hyperlink r:id="rId1795" w:history="1">
        <w:r>
          <w:rPr>
            <w:rStyle w:val="Hyperlink"/>
            <w:sz w:val="24"/>
            <w:szCs w:val="24"/>
          </w:rPr>
          <w:t>https://www.leagle.com/decision/infco20170803124</w:t>
        </w:r>
      </w:hyperlink>
      <w:r>
        <w:rPr>
          <w:rFonts w:ascii="Times New Roman" w:hAnsi="Times New Roman"/>
          <w:sz w:val="24"/>
          <w:szCs w:val="24"/>
        </w:rPr>
        <w:t xml:space="preserve"> </w:t>
      </w:r>
    </w:p>
    <w:p w14:paraId="7E267947" w14:textId="77777777" w:rsidR="00557CA2" w:rsidRDefault="00557CA2" w:rsidP="00557CA2">
      <w:pPr>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14:paraId="60D14735" w14:textId="77777777" w:rsidR="00557CA2" w:rsidRDefault="00557CA2" w:rsidP="00F326E5">
      <w:pPr>
        <w:rPr>
          <w:rFonts w:ascii="Arial Black" w:hAnsi="Arial Black"/>
          <w:b/>
          <w:sz w:val="24"/>
          <w:szCs w:val="24"/>
        </w:rPr>
      </w:pPr>
    </w:p>
    <w:p w14:paraId="182846F8" w14:textId="1B13F31E" w:rsidR="00557CA2" w:rsidRDefault="00557CA2"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6</w:t>
      </w:r>
    </w:p>
    <w:p w14:paraId="11052372" w14:textId="77777777" w:rsidR="00557CA2" w:rsidRDefault="00557CA2" w:rsidP="00557CA2">
      <w:pPr>
        <w:spacing w:before="100" w:beforeAutospacing="1" w:after="100" w:afterAutospacing="1" w:line="240" w:lineRule="auto"/>
        <w:rPr>
          <w:rFonts w:ascii="Arial Black" w:hAnsi="Arial Black"/>
          <w:sz w:val="28"/>
          <w:szCs w:val="28"/>
        </w:rPr>
      </w:pPr>
      <w:r>
        <w:rPr>
          <w:rFonts w:ascii="Arial Black" w:hAnsi="Arial Black"/>
          <w:sz w:val="28"/>
          <w:szCs w:val="28"/>
        </w:rPr>
        <w:t>MO: FLSA – FLIGHT MEDIC – AIR EVAC IS “COMMON CARRIER” AND CAN PAY OVERTIME AFTER 84 HRS / 2 WKS</w:t>
      </w:r>
    </w:p>
    <w:p w14:paraId="0D2D9433" w14:textId="77777777" w:rsidR="00557CA2" w:rsidRDefault="00557CA2" w:rsidP="00557C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17, 2020, in </w:t>
      </w:r>
      <w:r>
        <w:rPr>
          <w:rFonts w:ascii="Times New Roman" w:hAnsi="Times New Roman"/>
          <w:sz w:val="24"/>
          <w:szCs w:val="24"/>
          <w:u w:val="single"/>
        </w:rPr>
        <w:t>Jacob Rieglsberger, individually and on behalf of all similarly situated persons v. Air Evac EMS, Inc. et al</w:t>
      </w:r>
      <w:r>
        <w:rPr>
          <w:rFonts w:ascii="Times New Roman" w:hAnsi="Times New Roman"/>
          <w:sz w:val="24"/>
          <w:szCs w:val="24"/>
        </w:rPr>
        <w:t>., the U.S. Court of Appeals for the 8</w:t>
      </w:r>
      <w:r>
        <w:rPr>
          <w:rFonts w:ascii="Times New Roman" w:hAnsi="Times New Roman"/>
          <w:sz w:val="24"/>
          <w:szCs w:val="24"/>
          <w:vertAlign w:val="superscript"/>
        </w:rPr>
        <w:t>th</w:t>
      </w:r>
      <w:r>
        <w:rPr>
          <w:rFonts w:ascii="Times New Roman" w:hAnsi="Times New Roman"/>
          <w:sz w:val="24"/>
          <w:szCs w:val="24"/>
        </w:rPr>
        <w:t xml:space="preserve"> Circuit (St. Louis) held (3 to 0) that plaintiff’s arguments “do not get off the ground.” </w:t>
      </w:r>
    </w:p>
    <w:p w14:paraId="3AAFC201" w14:textId="2EAE3A2A"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“Riegelsberger's arguments to the contrary do not get off the ground. It makes no difference, for example, that medical providers, rather than the patients themselves, are the primary points of contact in arranging transportation. Just as a major airline can still be a common carrier if a passenger uses a travel agent to arrange transportation, health-care providers can provide the same service for their patients without affecting Air Evac's common-carrier status. </w:t>
      </w:r>
      <w:r>
        <w:rPr>
          <w:rFonts w:ascii="Times New Roman" w:eastAsia="Times New Roman" w:hAnsi="Times New Roman"/>
          <w:i/>
          <w:iCs/>
          <w:sz w:val="24"/>
          <w:szCs w:val="24"/>
        </w:rPr>
        <w:t>Cf</w:t>
      </w:r>
      <w:r>
        <w:rPr>
          <w:rFonts w:ascii="Times New Roman" w:eastAsia="Times New Roman" w:hAnsi="Times New Roman"/>
          <w:sz w:val="24"/>
          <w:szCs w:val="24"/>
        </w:rPr>
        <w:t xml:space="preserve">. </w:t>
      </w:r>
      <w:r>
        <w:rPr>
          <w:rFonts w:ascii="Times New Roman" w:eastAsia="Times New Roman" w:hAnsi="Times New Roman"/>
          <w:i/>
          <w:iCs/>
          <w:sz w:val="24"/>
          <w:szCs w:val="24"/>
        </w:rPr>
        <w:t>Air Evac EMS</w:t>
      </w:r>
      <w:r>
        <w:rPr>
          <w:rFonts w:ascii="Times New Roman" w:eastAsia="Times New Roman" w:hAnsi="Times New Roman"/>
          <w:sz w:val="24"/>
          <w:szCs w:val="24"/>
        </w:rPr>
        <w:t xml:space="preserve">, </w:t>
      </w:r>
      <w:r>
        <w:rPr>
          <w:rFonts w:ascii="Times New Roman" w:eastAsia="Times New Roman" w:hAnsi="Times New Roman"/>
          <w:i/>
          <w:iCs/>
          <w:sz w:val="24"/>
          <w:szCs w:val="24"/>
        </w:rPr>
        <w:t>Inc</w:t>
      </w:r>
      <w:r>
        <w:rPr>
          <w:rFonts w:ascii="Times New Roman" w:eastAsia="Times New Roman" w:hAnsi="Times New Roman"/>
          <w:sz w:val="24"/>
          <w:szCs w:val="24"/>
        </w:rPr>
        <w:t xml:space="preserve">., 910 F.3d at 764 (making a similar analogy). The fact that intermediaries are involved, in other words, does not change what Air Evac ‘actually does,’ which is to transport patients for a fee. </w:t>
      </w:r>
      <w:r>
        <w:rPr>
          <w:rFonts w:ascii="Times New Roman" w:eastAsia="Times New Roman" w:hAnsi="Times New Roman"/>
          <w:i/>
          <w:iCs/>
          <w:sz w:val="24"/>
          <w:szCs w:val="24"/>
        </w:rPr>
        <w:t>United States v</w:t>
      </w:r>
      <w:r>
        <w:rPr>
          <w:rFonts w:ascii="Times New Roman" w:eastAsia="Times New Roman" w:hAnsi="Times New Roman"/>
          <w:sz w:val="24"/>
          <w:szCs w:val="24"/>
        </w:rPr>
        <w:t xml:space="preserve">. </w:t>
      </w:r>
      <w:r>
        <w:rPr>
          <w:rFonts w:ascii="Times New Roman" w:eastAsia="Times New Roman" w:hAnsi="Times New Roman"/>
          <w:i/>
          <w:iCs/>
          <w:sz w:val="24"/>
          <w:szCs w:val="24"/>
        </w:rPr>
        <w:t>One Rockwell Int'l Commander 690C/840</w:t>
      </w:r>
      <w:r>
        <w:rPr>
          <w:rFonts w:ascii="Times New Roman" w:eastAsia="Times New Roman" w:hAnsi="Times New Roman"/>
          <w:sz w:val="24"/>
          <w:szCs w:val="24"/>
        </w:rPr>
        <w:t xml:space="preserve">, </w:t>
      </w:r>
      <w:r>
        <w:rPr>
          <w:rFonts w:ascii="Times New Roman" w:eastAsia="Times New Roman" w:hAnsi="Times New Roman"/>
          <w:i/>
          <w:iCs/>
          <w:sz w:val="24"/>
          <w:szCs w:val="24"/>
        </w:rPr>
        <w:t>Serial No</w:t>
      </w:r>
      <w:r>
        <w:rPr>
          <w:rFonts w:ascii="Times New Roman" w:eastAsia="Times New Roman" w:hAnsi="Times New Roman"/>
          <w:sz w:val="24"/>
          <w:szCs w:val="24"/>
        </w:rPr>
        <w:t xml:space="preserve">. </w:t>
      </w:r>
      <w:r>
        <w:rPr>
          <w:rFonts w:ascii="Times New Roman" w:eastAsia="Times New Roman" w:hAnsi="Times New Roman"/>
          <w:i/>
          <w:iCs/>
          <w:sz w:val="24"/>
          <w:szCs w:val="24"/>
        </w:rPr>
        <w:t>11627</w:t>
      </w:r>
      <w:r>
        <w:rPr>
          <w:rFonts w:ascii="Times New Roman" w:eastAsia="Times New Roman" w:hAnsi="Times New Roman"/>
          <w:sz w:val="24"/>
          <w:szCs w:val="24"/>
        </w:rPr>
        <w:t xml:space="preserve">, 754 F.2d 284, 287 (8th Cir. 1985).”  </w:t>
      </w:r>
      <w:hyperlink r:id="rId1796" w:history="1">
        <w:r>
          <w:rPr>
            <w:rStyle w:val="Hyperlink"/>
            <w:sz w:val="24"/>
            <w:szCs w:val="24"/>
          </w:rPr>
          <w:t>https://law.justia.com/cases/federal/appellate-courts/ca8/19-1414/19-1414-2020-08-17.html</w:t>
        </w:r>
      </w:hyperlink>
      <w:r>
        <w:rPr>
          <w:rFonts w:ascii="Times New Roman" w:eastAsia="Times New Roman" w:hAnsi="Times New Roman"/>
          <w:sz w:val="24"/>
          <w:szCs w:val="24"/>
        </w:rPr>
        <w:t xml:space="preserve"> </w:t>
      </w:r>
    </w:p>
    <w:p w14:paraId="1614ADB0" w14:textId="77777777" w:rsidR="00557CA2" w:rsidRDefault="00557CA2" w:rsidP="00557CA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Flight medics are entitled to overtime.  </w:t>
      </w:r>
    </w:p>
    <w:p w14:paraId="3257FCF9" w14:textId="77777777" w:rsidR="00557CA2" w:rsidRDefault="00557CA2" w:rsidP="00557CA2">
      <w:pPr>
        <w:pStyle w:val="Heading1"/>
        <w:ind w:left="720"/>
      </w:pPr>
      <w:r>
        <w:rPr>
          <w:b w:val="0"/>
          <w:bCs w:val="0"/>
          <w:sz w:val="24"/>
          <w:szCs w:val="24"/>
        </w:rPr>
        <w:lastRenderedPageBreak/>
        <w:t xml:space="preserve">Note: See this recent settlement: “Air medical company agrees to $78M settlement for overtime” (July 2, 2020); </w:t>
      </w:r>
      <w:hyperlink r:id="rId1797" w:history="1">
        <w:r>
          <w:rPr>
            <w:rStyle w:val="Hyperlink"/>
            <w:rFonts w:eastAsiaTheme="majorEastAsia"/>
            <w:b w:val="0"/>
            <w:bCs w:val="0"/>
            <w:sz w:val="24"/>
            <w:szCs w:val="24"/>
          </w:rPr>
          <w:t>https://www.ems1.com/legal/articles/air-medical-company-agrees-to-78m-settlement-for-overtime-ExknCez8O1D6ZfI4/</w:t>
        </w:r>
      </w:hyperlink>
      <w:r>
        <w:t xml:space="preserve"> </w:t>
      </w:r>
    </w:p>
    <w:p w14:paraId="7490B399"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“OAKLAND, Calif. — A medical helicopter operator has been ordered to pay $78 million to its flight crew employees for unpaid overtime and missed breaks in a class-action lawsuit settlement. Alameda County Superior Court Judge Winifred Y. Smith agreed Wednesday to the preliminary settlement filed by about 450 former and current medical flight crew members employed in California by Air Methods Corporation of Colorado.</w:t>
      </w:r>
    </w:p>
    <w:p w14:paraId="6E46D7EF"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Air Methods also is expected to pay daily overtime to its medical flight crew starting from June 28, resulting in an estimated 20% or more increase to their salaries, according to the attorneys representing the crew.</w:t>
      </w:r>
    </w:p>
    <w:p w14:paraId="2ED6E6A2"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Air Methods is reportedly the country’s largest air medical transport company and operates helicopter bases. Teams of nurses and paramedics are dispatched in </w:t>
      </w:r>
      <w:proofErr w:type="gramStart"/>
      <w:r>
        <w:rPr>
          <w:rFonts w:ascii="Times New Roman" w:eastAsia="Times New Roman" w:hAnsi="Times New Roman"/>
          <w:sz w:val="24"/>
          <w:szCs w:val="24"/>
        </w:rPr>
        <w:t>the helicopters</w:t>
      </w:r>
      <w:proofErr w:type="gramEnd"/>
      <w:r>
        <w:rPr>
          <w:rFonts w:ascii="Times New Roman" w:eastAsia="Times New Roman" w:hAnsi="Times New Roman"/>
          <w:sz w:val="24"/>
          <w:szCs w:val="24"/>
        </w:rPr>
        <w:t>, often to remote areas.</w:t>
      </w:r>
    </w:p>
    <w:p w14:paraId="055AA39B"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Air Methods was accused of refusing to pay daily overtime for crews working more than eight hours in a workday. The flight crew commonly worked 24-hour shifts, according to attorney James Sitkin, who represented the crew. He alleged that Air Methods did not allow the flight crew to take off-duty meal breaks or rest breaks.”</w:t>
      </w:r>
    </w:p>
    <w:p w14:paraId="0EC4051F" w14:textId="77777777" w:rsidR="00557CA2" w:rsidRDefault="00557CA2" w:rsidP="00F326E5">
      <w:pPr>
        <w:rPr>
          <w:rFonts w:ascii="Arial Black" w:hAnsi="Arial Black"/>
          <w:b/>
          <w:sz w:val="24"/>
          <w:szCs w:val="24"/>
        </w:rPr>
      </w:pPr>
    </w:p>
    <w:p w14:paraId="54600369" w14:textId="77777777" w:rsidR="00557CA2" w:rsidRDefault="00557CA2" w:rsidP="00F326E5">
      <w:pPr>
        <w:rPr>
          <w:rFonts w:ascii="Arial Black" w:hAnsi="Arial Black"/>
          <w:b/>
          <w:sz w:val="24"/>
          <w:szCs w:val="24"/>
        </w:rPr>
      </w:pPr>
    </w:p>
    <w:p w14:paraId="354AC977" w14:textId="4AF74980" w:rsidR="006B2083" w:rsidRDefault="006B2083"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5</w:t>
      </w:r>
    </w:p>
    <w:p w14:paraId="5E111747" w14:textId="77777777" w:rsidR="006B2083" w:rsidRPr="000046E6" w:rsidRDefault="006B2083" w:rsidP="006B2083">
      <w:pPr>
        <w:pStyle w:val="NoSpacing"/>
        <w:rPr>
          <w:rFonts w:ascii="Arial Black" w:hAnsi="Arial Black"/>
          <w:sz w:val="28"/>
          <w:szCs w:val="28"/>
        </w:rPr>
      </w:pPr>
      <w:r w:rsidRPr="000046E6">
        <w:rPr>
          <w:rFonts w:ascii="Arial Black" w:hAnsi="Arial Black"/>
          <w:sz w:val="28"/>
          <w:szCs w:val="28"/>
        </w:rPr>
        <w:t xml:space="preserve">GA: </w:t>
      </w:r>
      <w:r>
        <w:rPr>
          <w:rFonts w:ascii="Arial Black" w:hAnsi="Arial Black"/>
          <w:sz w:val="28"/>
          <w:szCs w:val="28"/>
        </w:rPr>
        <w:t>COMP TIME – FIREFIGHTERS SUED FD FOR DENIAL LEAVE - SETTLED, 14 FF PAID $1000 EACH - NEW FD POLICY – ATTY FEES</w:t>
      </w:r>
    </w:p>
    <w:p w14:paraId="50B6F46E" w14:textId="77777777" w:rsidR="006B2083" w:rsidRDefault="006B2083" w:rsidP="006B2083">
      <w:pPr>
        <w:pStyle w:val="NoSpacing"/>
        <w:rPr>
          <w:rFonts w:ascii="Times New Roman" w:hAnsi="Times New Roman"/>
          <w:sz w:val="24"/>
          <w:szCs w:val="24"/>
        </w:rPr>
      </w:pPr>
    </w:p>
    <w:p w14:paraId="15CC008C" w14:textId="77777777" w:rsidR="006B2083" w:rsidRDefault="006B2083" w:rsidP="006B2083">
      <w:pPr>
        <w:pStyle w:val="NoSpacing"/>
        <w:rPr>
          <w:rFonts w:ascii="Times New Roman" w:hAnsi="Times New Roman"/>
          <w:sz w:val="24"/>
          <w:szCs w:val="24"/>
        </w:rPr>
      </w:pPr>
      <w:r w:rsidRPr="00EA7DA2">
        <w:rPr>
          <w:rFonts w:ascii="Times New Roman" w:hAnsi="Times New Roman"/>
          <w:sz w:val="24"/>
          <w:szCs w:val="24"/>
        </w:rPr>
        <w:t xml:space="preserve">On July 16, 2020, in </w:t>
      </w:r>
      <w:r w:rsidRPr="00EA7DA2">
        <w:rPr>
          <w:rFonts w:ascii="Times New Roman" w:hAnsi="Times New Roman"/>
          <w:sz w:val="24"/>
          <w:szCs w:val="24"/>
          <w:u w:val="single"/>
        </w:rPr>
        <w:t>Robert Milie, et. al. v. City of Savannah</w:t>
      </w:r>
      <w:r w:rsidRPr="00EA7DA2">
        <w:rPr>
          <w:rFonts w:ascii="Times New Roman" w:hAnsi="Times New Roman"/>
          <w:sz w:val="24"/>
          <w:szCs w:val="24"/>
        </w:rPr>
        <w:t xml:space="preserve">, U.S. District Court Judge R. Stan Baker, Southern District of Georgia, the Court pursuant to the settlement agreement approved attorneys’ fees. </w:t>
      </w:r>
      <w:r>
        <w:rPr>
          <w:rFonts w:ascii="Times New Roman" w:hAnsi="Times New Roman"/>
          <w:sz w:val="24"/>
          <w:szCs w:val="24"/>
        </w:rPr>
        <w:t xml:space="preserve"> Court wrote: </w:t>
      </w:r>
      <w:r w:rsidRPr="005174B8">
        <w:rPr>
          <w:rFonts w:ascii="Times New Roman" w:hAnsi="Times New Roman"/>
          <w:sz w:val="24"/>
          <w:szCs w:val="24"/>
        </w:rPr>
        <w:t>For the reasons set forth below, the Court finds the following across-the-board reductions of Plaintiffs' requested hours to be appropriate: a thirty percent (30%) reduction to the hours billed in Plaintiffs' initial fee petition</w:t>
      </w:r>
      <w:r>
        <w:rPr>
          <w:rFonts w:ascii="Times New Roman" w:hAnsi="Times New Roman"/>
          <w:sz w:val="24"/>
          <w:szCs w:val="24"/>
        </w:rPr>
        <w:t xml:space="preserve"> …;</w:t>
      </w:r>
      <w:r w:rsidRPr="005174B8">
        <w:rPr>
          <w:rFonts w:ascii="Times New Roman" w:hAnsi="Times New Roman"/>
          <w:sz w:val="24"/>
          <w:szCs w:val="24"/>
        </w:rPr>
        <w:t xml:space="preserve"> a sixty percent (60%) reduction to the hours billed in Plaintiffs' first supplemental request</w:t>
      </w:r>
      <w:r>
        <w:rPr>
          <w:rFonts w:ascii="Times New Roman" w:hAnsi="Times New Roman"/>
          <w:sz w:val="24"/>
          <w:szCs w:val="24"/>
        </w:rPr>
        <w:t>…</w:t>
      </w:r>
      <w:r w:rsidRPr="005174B8">
        <w:rPr>
          <w:rFonts w:ascii="Times New Roman" w:hAnsi="Times New Roman"/>
          <w:sz w:val="24"/>
          <w:szCs w:val="24"/>
        </w:rPr>
        <w:t>; and a one-hundred percent (100%) reduction to the hours billed in the second supplemental request</w:t>
      </w:r>
      <w:r>
        <w:rPr>
          <w:rFonts w:ascii="Times New Roman" w:hAnsi="Times New Roman"/>
          <w:sz w:val="24"/>
          <w:szCs w:val="24"/>
        </w:rPr>
        <w:t>….</w:t>
      </w:r>
      <w:r w:rsidRPr="005174B8">
        <w:rPr>
          <w:rFonts w:ascii="Times New Roman" w:hAnsi="Times New Roman"/>
          <w:sz w:val="24"/>
          <w:szCs w:val="24"/>
        </w:rPr>
        <w:t>.</w:t>
      </w:r>
      <w:r>
        <w:rPr>
          <w:rFonts w:ascii="Times New Roman" w:hAnsi="Times New Roman"/>
          <w:sz w:val="24"/>
          <w:szCs w:val="24"/>
        </w:rPr>
        <w:t xml:space="preserve">”  </w:t>
      </w:r>
    </w:p>
    <w:p w14:paraId="4E3DB381" w14:textId="77777777" w:rsidR="006B2083" w:rsidRDefault="006B2083" w:rsidP="006B2083">
      <w:pPr>
        <w:pStyle w:val="NoSpacing"/>
        <w:rPr>
          <w:rFonts w:ascii="Times New Roman" w:hAnsi="Times New Roman"/>
          <w:sz w:val="24"/>
          <w:szCs w:val="24"/>
        </w:rPr>
      </w:pPr>
      <w:hyperlink r:id="rId1798" w:history="1">
        <w:r w:rsidRPr="000603D4">
          <w:rPr>
            <w:rStyle w:val="Hyperlink"/>
            <w:rFonts w:ascii="Times New Roman" w:hAnsi="Times New Roman"/>
            <w:sz w:val="24"/>
            <w:szCs w:val="24"/>
          </w:rPr>
          <w:t>https://public.fastcase.com/Wl%2B2t%2BeVuI35%2FN70vAMFZqOCIluAWFXT7dyIbWSJtbA2tJbGDR%2F5EmjVBjMYm1QS</w:t>
        </w:r>
      </w:hyperlink>
      <w:r>
        <w:rPr>
          <w:rFonts w:ascii="Times New Roman" w:hAnsi="Times New Roman"/>
          <w:sz w:val="24"/>
          <w:szCs w:val="24"/>
        </w:rPr>
        <w:t xml:space="preserve"> </w:t>
      </w:r>
    </w:p>
    <w:p w14:paraId="0F856D1F" w14:textId="77777777" w:rsidR="006B2083" w:rsidRDefault="006B2083" w:rsidP="006B2083">
      <w:pPr>
        <w:pStyle w:val="NoSpacing"/>
        <w:rPr>
          <w:rFonts w:ascii="Times New Roman" w:hAnsi="Times New Roman"/>
          <w:b/>
          <w:bCs/>
          <w:sz w:val="24"/>
          <w:szCs w:val="24"/>
        </w:rPr>
      </w:pPr>
    </w:p>
    <w:p w14:paraId="74C2B557" w14:textId="2BFC779C" w:rsidR="006B2083" w:rsidRDefault="006B2083" w:rsidP="006B2083">
      <w:pPr>
        <w:pStyle w:val="NoSpacing"/>
        <w:rPr>
          <w:rFonts w:ascii="Times New Roman" w:hAnsi="Times New Roman"/>
          <w:b/>
          <w:bCs/>
          <w:sz w:val="24"/>
          <w:szCs w:val="24"/>
        </w:rPr>
      </w:pPr>
      <w:r w:rsidRPr="005174B8">
        <w:rPr>
          <w:rFonts w:ascii="Times New Roman" w:hAnsi="Times New Roman"/>
          <w:b/>
          <w:bCs/>
          <w:sz w:val="24"/>
          <w:szCs w:val="24"/>
        </w:rPr>
        <w:t>Legal Lessons Learned:</w:t>
      </w:r>
      <w:r>
        <w:rPr>
          <w:rFonts w:ascii="Times New Roman" w:hAnsi="Times New Roman"/>
          <w:b/>
          <w:bCs/>
          <w:sz w:val="24"/>
          <w:szCs w:val="24"/>
        </w:rPr>
        <w:t xml:space="preserve"> Comp time requests can sometimes lead to disputes; helpful to have a clear process in the CBA or FD policy. </w:t>
      </w:r>
    </w:p>
    <w:p w14:paraId="6CB3B05B" w14:textId="77777777" w:rsidR="006B2083" w:rsidRDefault="006B2083" w:rsidP="006B2083">
      <w:pPr>
        <w:pStyle w:val="NoSpacing"/>
        <w:rPr>
          <w:rFonts w:ascii="Times New Roman" w:hAnsi="Times New Roman"/>
          <w:b/>
          <w:bCs/>
          <w:sz w:val="24"/>
          <w:szCs w:val="24"/>
        </w:rPr>
      </w:pPr>
    </w:p>
    <w:p w14:paraId="448186AC" w14:textId="77777777" w:rsidR="006B2083" w:rsidRDefault="006B2083" w:rsidP="006B2083">
      <w:pPr>
        <w:pStyle w:val="NoSpacing"/>
        <w:ind w:left="720"/>
        <w:rPr>
          <w:rFonts w:ascii="Times New Roman" w:hAnsi="Times New Roman"/>
          <w:sz w:val="24"/>
          <w:szCs w:val="24"/>
        </w:rPr>
      </w:pPr>
      <w:r w:rsidRPr="005174B8">
        <w:rPr>
          <w:rFonts w:ascii="Times New Roman" w:hAnsi="Times New Roman"/>
          <w:sz w:val="24"/>
          <w:szCs w:val="24"/>
        </w:rPr>
        <w:t xml:space="preserve">Note: While researching this case, found this disturbing </w:t>
      </w:r>
      <w:r>
        <w:rPr>
          <w:rFonts w:ascii="Times New Roman" w:hAnsi="Times New Roman"/>
          <w:sz w:val="24"/>
          <w:szCs w:val="24"/>
        </w:rPr>
        <w:t xml:space="preserve">article about named plaintiff.  </w:t>
      </w:r>
    </w:p>
    <w:p w14:paraId="381858D0" w14:textId="77777777" w:rsidR="006B2083" w:rsidRPr="005174B8" w:rsidRDefault="006B2083" w:rsidP="006B2083">
      <w:pPr>
        <w:pStyle w:val="NoSpacing"/>
        <w:ind w:left="720"/>
        <w:rPr>
          <w:rFonts w:ascii="Times New Roman" w:hAnsi="Times New Roman"/>
          <w:sz w:val="24"/>
          <w:szCs w:val="24"/>
        </w:rPr>
      </w:pPr>
      <w:r w:rsidRPr="005174B8">
        <w:rPr>
          <w:rStyle w:val="timestamp"/>
          <w:rFonts w:ascii="Times New Roman" w:hAnsi="Times New Roman"/>
          <w:sz w:val="24"/>
          <w:szCs w:val="24"/>
        </w:rPr>
        <w:t xml:space="preserve">October 12, 2018, </w:t>
      </w:r>
      <w:r w:rsidRPr="005174B8">
        <w:rPr>
          <w:rFonts w:ascii="Times New Roman" w:hAnsi="Times New Roman"/>
          <w:sz w:val="24"/>
          <w:szCs w:val="24"/>
        </w:rPr>
        <w:t xml:space="preserve">SAVANNAH, GA (WTOC) - The president of the Savannah Professional Firefighters Association has been arrested and is awaiting extradition to Colorado. Robert Milie is in the Chatham County Jail on an extradition hold. The hold is for a sexual assault charge, according to the El Paso County Sheriff’s Office in Colorado. </w:t>
      </w:r>
      <w:hyperlink r:id="rId1799" w:history="1">
        <w:r w:rsidRPr="005174B8">
          <w:rPr>
            <w:rStyle w:val="Hyperlink"/>
            <w:rFonts w:ascii="Times New Roman" w:hAnsi="Times New Roman"/>
            <w:sz w:val="24"/>
            <w:szCs w:val="24"/>
          </w:rPr>
          <w:t>https://www.wtoc.com/2018/10/12/president-savannah-firefighters-association-arrested-incident-colorado/</w:t>
        </w:r>
      </w:hyperlink>
      <w:r w:rsidRPr="005174B8">
        <w:rPr>
          <w:rFonts w:ascii="Times New Roman" w:hAnsi="Times New Roman"/>
          <w:sz w:val="24"/>
          <w:szCs w:val="24"/>
        </w:rPr>
        <w:t xml:space="preserve"> </w:t>
      </w:r>
    </w:p>
    <w:p w14:paraId="191405B9" w14:textId="77777777" w:rsidR="006B2083" w:rsidRDefault="006B2083" w:rsidP="006B2083">
      <w:pPr>
        <w:pStyle w:val="NoSpacing"/>
        <w:rPr>
          <w:rFonts w:ascii="Times New Roman" w:hAnsi="Times New Roman"/>
          <w:b/>
          <w:bCs/>
          <w:sz w:val="24"/>
          <w:szCs w:val="24"/>
        </w:rPr>
      </w:pPr>
    </w:p>
    <w:p w14:paraId="302C3BBC" w14:textId="77777777" w:rsidR="006B2083" w:rsidRPr="005174B8" w:rsidRDefault="006B2083" w:rsidP="006B2083">
      <w:pPr>
        <w:pStyle w:val="NoSpacing"/>
        <w:rPr>
          <w:rFonts w:ascii="Times New Roman" w:eastAsia="Times New Roman" w:hAnsi="Times New Roman"/>
          <w:b/>
          <w:bCs/>
          <w:sz w:val="24"/>
          <w:szCs w:val="24"/>
        </w:rPr>
      </w:pPr>
    </w:p>
    <w:p w14:paraId="2A364FEB" w14:textId="77777777" w:rsidR="006B2083" w:rsidRDefault="006B2083" w:rsidP="00F326E5">
      <w:pPr>
        <w:rPr>
          <w:rFonts w:ascii="Arial Black" w:hAnsi="Arial Black"/>
          <w:b/>
          <w:sz w:val="24"/>
          <w:szCs w:val="24"/>
        </w:rPr>
      </w:pPr>
    </w:p>
    <w:p w14:paraId="44D09ECF" w14:textId="0BED738B" w:rsidR="00FA7B26" w:rsidRDefault="00FA7B26"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4</w:t>
      </w:r>
    </w:p>
    <w:p w14:paraId="6E9FAF7C" w14:textId="77777777" w:rsidR="00FA7B26" w:rsidRPr="00B370C5" w:rsidRDefault="00FA7B26" w:rsidP="00FA7B26">
      <w:pPr>
        <w:spacing w:before="100" w:beforeAutospacing="1" w:after="100" w:afterAutospacing="1" w:line="240" w:lineRule="auto"/>
        <w:rPr>
          <w:rFonts w:ascii="Arial Black" w:eastAsia="Times New Roman" w:hAnsi="Arial Black"/>
          <w:b/>
          <w:bCs/>
          <w:sz w:val="28"/>
          <w:szCs w:val="28"/>
        </w:rPr>
      </w:pPr>
      <w:r w:rsidRPr="00B370C5">
        <w:rPr>
          <w:rFonts w:ascii="Arial Black" w:eastAsia="Times New Roman" w:hAnsi="Arial Black"/>
          <w:b/>
          <w:bCs/>
          <w:sz w:val="28"/>
          <w:szCs w:val="28"/>
        </w:rPr>
        <w:t xml:space="preserve">WI: </w:t>
      </w:r>
      <w:r>
        <w:rPr>
          <w:rFonts w:ascii="Arial Black" w:eastAsia="Times New Roman" w:hAnsi="Arial Black"/>
          <w:b/>
          <w:bCs/>
          <w:sz w:val="28"/>
          <w:szCs w:val="28"/>
        </w:rPr>
        <w:t>PARAMEDIC SUED VILLAGE – CLAIMED NOT PAID OVERTIME AFTER 40 HRS - PROPOSED $55K SETTLEMENT, COURT REQUIRES MORE INFO TO CONFIRM FAIR AMOUNT</w:t>
      </w:r>
    </w:p>
    <w:p w14:paraId="7F1C2B8B" w14:textId="77777777" w:rsidR="00FA7B26" w:rsidRPr="00085C91" w:rsidRDefault="00FA7B26" w:rsidP="00FA7B26">
      <w:pPr>
        <w:pStyle w:val="NoSpacing"/>
        <w:jc w:val="both"/>
        <w:rPr>
          <w:rFonts w:ascii="Times New Roman" w:eastAsia="Times New Roman" w:hAnsi="Times New Roman"/>
          <w:b/>
          <w:bCs/>
          <w:sz w:val="24"/>
          <w:szCs w:val="24"/>
        </w:rPr>
      </w:pPr>
      <w:r w:rsidRPr="00085C91">
        <w:rPr>
          <w:rFonts w:ascii="Times New Roman" w:hAnsi="Times New Roman"/>
          <w:bCs/>
          <w:sz w:val="24"/>
          <w:szCs w:val="24"/>
        </w:rPr>
        <w:t xml:space="preserve">On May 13, 2020, in </w:t>
      </w:r>
      <w:r w:rsidRPr="00085C91">
        <w:rPr>
          <w:rFonts w:ascii="Times New Roman" w:hAnsi="Times New Roman"/>
          <w:bCs/>
          <w:sz w:val="24"/>
          <w:szCs w:val="24"/>
          <w:u w:val="single"/>
        </w:rPr>
        <w:t>Joshua Wendorf v. Village of Plover</w:t>
      </w:r>
      <w:r w:rsidRPr="00085C91">
        <w:rPr>
          <w:rFonts w:ascii="Times New Roman" w:hAnsi="Times New Roman"/>
          <w:bCs/>
          <w:sz w:val="24"/>
          <w:szCs w:val="24"/>
        </w:rPr>
        <w:t>, U.S. District Court William M. Conley, Western District of Wisconsin, declined to approve the settlement, and gave parties 14 days to submit further information regarding “</w:t>
      </w:r>
      <w:r w:rsidRPr="00085C91">
        <w:rPr>
          <w:rFonts w:ascii="Times New Roman" w:eastAsia="Times New Roman" w:hAnsi="Times New Roman"/>
          <w:bCs/>
          <w:sz w:val="24"/>
          <w:szCs w:val="24"/>
        </w:rPr>
        <w:t>whether (a) plaintiff's compensation under the agreement is reasonably consistent with the minimum hourly wage calculation contemplated by the FLSA; and (b) counsel's fee recovery is consistent with plaintiff's written agreement or otherwise supported on this record.”</w:t>
      </w:r>
    </w:p>
    <w:p w14:paraId="76BF6B4E" w14:textId="77777777" w:rsidR="00FA7B26" w:rsidRPr="00085C91" w:rsidRDefault="00FA7B26" w:rsidP="00FA7B26">
      <w:pPr>
        <w:pStyle w:val="NoSpacing"/>
        <w:jc w:val="both"/>
        <w:rPr>
          <w:rFonts w:eastAsia="Times New Roman"/>
          <w:sz w:val="24"/>
          <w:szCs w:val="24"/>
        </w:rPr>
      </w:pPr>
      <w:hyperlink r:id="rId1800" w:history="1">
        <w:r w:rsidRPr="00085C91">
          <w:rPr>
            <w:rStyle w:val="Hyperlink"/>
            <w:rFonts w:ascii="Times New Roman" w:hAnsi="Times New Roman"/>
            <w:sz w:val="24"/>
            <w:szCs w:val="24"/>
          </w:rPr>
          <w:t>https://public.fastcase.com/Wl%2B2t%2BeVuI35%2FN70vAMFZiOi%2BYkXYMCNnCyjC1oPHdpZa1VeLChap2kxy9UfPfNs</w:t>
        </w:r>
      </w:hyperlink>
      <w:r w:rsidRPr="00085C91">
        <w:rPr>
          <w:rFonts w:eastAsia="Times New Roman"/>
          <w:sz w:val="24"/>
          <w:szCs w:val="24"/>
        </w:rPr>
        <w:t xml:space="preserve"> </w:t>
      </w:r>
    </w:p>
    <w:p w14:paraId="12574E10" w14:textId="77777777" w:rsidR="00FA7B26" w:rsidRDefault="00FA7B26" w:rsidP="00FA7B26">
      <w:pPr>
        <w:spacing w:before="100" w:beforeAutospacing="1" w:after="100" w:afterAutospacing="1" w:line="240" w:lineRule="auto"/>
        <w:rPr>
          <w:rFonts w:ascii="Times New Roman" w:eastAsia="Times New Roman" w:hAnsi="Times New Roman"/>
          <w:b/>
          <w:bCs/>
          <w:sz w:val="24"/>
          <w:szCs w:val="24"/>
        </w:rPr>
      </w:pPr>
      <w:r w:rsidRPr="00E06806">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If the paramedic was not “cross-trained” as a firefighter, or had no firefighting duties, he would normally be entitled to overtime pay after 40 hours in a work week.   </w:t>
      </w:r>
    </w:p>
    <w:p w14:paraId="3A5A72A9" w14:textId="77777777" w:rsidR="00FA7B26" w:rsidRPr="00E06806" w:rsidRDefault="00FA7B26" w:rsidP="00FA7B26">
      <w:pPr>
        <w:spacing w:before="100" w:beforeAutospacing="1" w:after="100" w:afterAutospacing="1" w:line="240" w:lineRule="auto"/>
        <w:ind w:left="720"/>
        <w:rPr>
          <w:rFonts w:ascii="Times New Roman" w:eastAsia="Times New Roman" w:hAnsi="Times New Roman"/>
          <w:sz w:val="24"/>
          <w:szCs w:val="24"/>
        </w:rPr>
      </w:pPr>
      <w:r w:rsidRPr="00E06806">
        <w:rPr>
          <w:rFonts w:ascii="Times New Roman" w:eastAsia="Times New Roman" w:hAnsi="Times New Roman"/>
          <w:sz w:val="24"/>
          <w:szCs w:val="24"/>
        </w:rPr>
        <w:t xml:space="preserve">Note: </w:t>
      </w:r>
      <w:r w:rsidRPr="00E06806">
        <w:rPr>
          <w:rFonts w:ascii="Times New Roman" w:hAnsi="Times New Roman"/>
          <w:sz w:val="24"/>
          <w:szCs w:val="24"/>
        </w:rPr>
        <w:t>Section 7(k) of the</w:t>
      </w:r>
      <w:r>
        <w:rPr>
          <w:rFonts w:ascii="Times New Roman" w:hAnsi="Times New Roman"/>
          <w:sz w:val="24"/>
          <w:szCs w:val="24"/>
        </w:rPr>
        <w:t xml:space="preserve"> FLSA </w:t>
      </w:r>
      <w:r w:rsidRPr="00E06806">
        <w:rPr>
          <w:rFonts w:ascii="Times New Roman" w:hAnsi="Times New Roman"/>
          <w:sz w:val="24"/>
          <w:szCs w:val="24"/>
        </w:rPr>
        <w:t xml:space="preserve">provides a partial overtime pay exemption for fire protection and law enforcement personnel (including security personnel in correctional institutions) who are employed by public agencies on a work period basis. </w:t>
      </w:r>
      <w:hyperlink r:id="rId1801" w:history="1">
        <w:r w:rsidRPr="00E06806">
          <w:rPr>
            <w:rStyle w:val="Hyperlink"/>
            <w:sz w:val="24"/>
            <w:szCs w:val="24"/>
          </w:rPr>
          <w:t>https://www.law.cornell.edu/cfr/text/29/553.201</w:t>
        </w:r>
      </w:hyperlink>
      <w:r w:rsidRPr="00E06806">
        <w:rPr>
          <w:rFonts w:ascii="Times New Roman" w:hAnsi="Times New Roman"/>
          <w:sz w:val="24"/>
          <w:szCs w:val="24"/>
        </w:rPr>
        <w:t xml:space="preserve"> </w:t>
      </w:r>
    </w:p>
    <w:p w14:paraId="6508815A" w14:textId="77777777" w:rsidR="00FA7B26" w:rsidRDefault="00FA7B26" w:rsidP="00F326E5">
      <w:pPr>
        <w:rPr>
          <w:rFonts w:ascii="Arial Black" w:hAnsi="Arial Black"/>
          <w:b/>
          <w:sz w:val="24"/>
          <w:szCs w:val="24"/>
        </w:rPr>
      </w:pPr>
    </w:p>
    <w:p w14:paraId="6C539940" w14:textId="77777777" w:rsidR="00FA7B26" w:rsidRDefault="00FA7B26" w:rsidP="00F326E5">
      <w:pPr>
        <w:rPr>
          <w:rFonts w:ascii="Arial Black" w:hAnsi="Arial Black"/>
          <w:b/>
          <w:sz w:val="24"/>
          <w:szCs w:val="24"/>
        </w:rPr>
      </w:pPr>
    </w:p>
    <w:p w14:paraId="726D3577" w14:textId="041E76C7" w:rsidR="0066298F" w:rsidRDefault="003E0062" w:rsidP="00F326E5">
      <w:pPr>
        <w:rPr>
          <w:rFonts w:ascii="Arial Black" w:hAnsi="Arial Black"/>
          <w:b/>
          <w:sz w:val="24"/>
          <w:szCs w:val="24"/>
        </w:rPr>
      </w:pPr>
      <w:r>
        <w:rPr>
          <w:rFonts w:ascii="Arial Black" w:hAnsi="Arial Black"/>
          <w:b/>
          <w:sz w:val="24"/>
          <w:szCs w:val="24"/>
        </w:rPr>
        <w:t>1</w:t>
      </w:r>
      <w:r w:rsidR="0066298F">
        <w:rPr>
          <w:rFonts w:ascii="Arial Black" w:hAnsi="Arial Black"/>
          <w:b/>
          <w:sz w:val="24"/>
          <w:szCs w:val="24"/>
        </w:rPr>
        <w:t>1-1</w:t>
      </w:r>
      <w:r w:rsidR="00B13773">
        <w:rPr>
          <w:rFonts w:ascii="Arial Black" w:hAnsi="Arial Black"/>
          <w:b/>
          <w:sz w:val="24"/>
          <w:szCs w:val="24"/>
        </w:rPr>
        <w:t>3</w:t>
      </w:r>
    </w:p>
    <w:p w14:paraId="14EAB4C5" w14:textId="77777777" w:rsidR="0066298F" w:rsidRDefault="0066298F" w:rsidP="0066298F">
      <w:pPr>
        <w:pStyle w:val="NoSpacing"/>
        <w:rPr>
          <w:rFonts w:ascii="DArial Black" w:hAnsi="DArial Black"/>
          <w:sz w:val="28"/>
          <w:szCs w:val="28"/>
        </w:rPr>
      </w:pPr>
      <w:bookmarkStart w:id="392" w:name="_Hlk39771771"/>
      <w:r w:rsidRPr="001953A2">
        <w:rPr>
          <w:rFonts w:ascii="Arial Black" w:hAnsi="Arial Black"/>
          <w:sz w:val="28"/>
          <w:szCs w:val="28"/>
        </w:rPr>
        <w:t>U.S. DEPT. OF LABOR:  BONUS PAYMENTS FOR LENGTH OF SERVICE – IF GUARANTEED</w:t>
      </w:r>
      <w:r>
        <w:rPr>
          <w:rFonts w:ascii="Arial Black" w:hAnsi="Arial Black"/>
          <w:sz w:val="28"/>
          <w:szCs w:val="28"/>
        </w:rPr>
        <w:t>, M</w:t>
      </w:r>
      <w:r w:rsidRPr="001953A2">
        <w:rPr>
          <w:rFonts w:ascii="Arial Black" w:hAnsi="Arial Black"/>
          <w:sz w:val="28"/>
          <w:szCs w:val="28"/>
        </w:rPr>
        <w:t xml:space="preserve">UST </w:t>
      </w:r>
      <w:r>
        <w:rPr>
          <w:rFonts w:ascii="Arial Black" w:hAnsi="Arial Black"/>
          <w:sz w:val="28"/>
          <w:szCs w:val="28"/>
        </w:rPr>
        <w:t>INCLUDE IN “</w:t>
      </w:r>
      <w:r w:rsidRPr="001953A2">
        <w:rPr>
          <w:rFonts w:ascii="Arial Black" w:hAnsi="Arial Black"/>
          <w:sz w:val="28"/>
          <w:szCs w:val="28"/>
        </w:rPr>
        <w:t>REGULAR RATE OF PAY</w:t>
      </w:r>
      <w:r>
        <w:rPr>
          <w:rFonts w:ascii="DArial Black" w:hAnsi="DArial Black"/>
          <w:sz w:val="28"/>
          <w:szCs w:val="28"/>
        </w:rPr>
        <w:t>”</w:t>
      </w:r>
    </w:p>
    <w:p w14:paraId="0B259E05" w14:textId="77777777" w:rsidR="0066298F" w:rsidRDefault="0066298F" w:rsidP="0066298F">
      <w:pPr>
        <w:pStyle w:val="NoSpacing"/>
        <w:rPr>
          <w:rFonts w:ascii="DArial Black" w:hAnsi="DArial Black"/>
          <w:sz w:val="28"/>
          <w:szCs w:val="28"/>
        </w:rPr>
      </w:pPr>
    </w:p>
    <w:p w14:paraId="3D2BDEFD"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26, 2020, the U.S. Department of Labor, Wage &amp; Hour Division, issued Opinion Letter </w:t>
      </w:r>
      <w:bookmarkStart w:id="393" w:name="_Hlk39847348"/>
      <w:r w:rsidRPr="00665BD0">
        <w:rPr>
          <w:rFonts w:ascii="Times New Roman" w:hAnsi="Times New Roman"/>
          <w:bCs/>
          <w:sz w:val="24"/>
          <w:szCs w:val="24"/>
        </w:rPr>
        <w:t>FLSA 2020-3</w:t>
      </w:r>
      <w:bookmarkEnd w:id="393"/>
      <w:r w:rsidRPr="00665BD0">
        <w:rPr>
          <w:rFonts w:ascii="Times New Roman" w:hAnsi="Times New Roman"/>
          <w:bCs/>
          <w:sz w:val="24"/>
          <w:szCs w:val="24"/>
        </w:rPr>
        <w:t>.</w:t>
      </w:r>
    </w:p>
    <w:p w14:paraId="57165A17" w14:textId="77777777" w:rsidR="0066298F" w:rsidRPr="00665BD0" w:rsidRDefault="0066298F" w:rsidP="0066298F">
      <w:pPr>
        <w:pStyle w:val="NoSpacing"/>
        <w:rPr>
          <w:rFonts w:ascii="Times New Roman" w:hAnsi="Times New Roman"/>
          <w:b/>
          <w:bCs/>
          <w:sz w:val="24"/>
          <w:szCs w:val="24"/>
        </w:rPr>
      </w:pPr>
    </w:p>
    <w:p w14:paraId="0F8AF774"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“Based on the facts you have provided, the City’s longevity payments made to employees pursuant to the 1981 Resolution are not excludable as ‘payments </w:t>
      </w:r>
      <w:proofErr w:type="gramStart"/>
      <w:r w:rsidRPr="00665BD0">
        <w:rPr>
          <w:rFonts w:ascii="Times New Roman" w:hAnsi="Times New Roman"/>
          <w:bCs/>
          <w:sz w:val="24"/>
          <w:szCs w:val="24"/>
        </w:rPr>
        <w:t>in the nature of gifts’</w:t>
      </w:r>
      <w:proofErr w:type="gramEnd"/>
      <w:r w:rsidRPr="00665BD0">
        <w:rPr>
          <w:rFonts w:ascii="Times New Roman" w:hAnsi="Times New Roman"/>
          <w:bCs/>
          <w:sz w:val="24"/>
          <w:szCs w:val="24"/>
        </w:rPr>
        <w:t xml:space="preserve"> under Section 207(e)(1)…. Thus, longevity payments to eligible employees are </w:t>
      </w:r>
      <w:r w:rsidRPr="00665BD0">
        <w:rPr>
          <w:rFonts w:ascii="Times New Roman" w:hAnsi="Times New Roman"/>
          <w:bCs/>
          <w:i/>
          <w:iCs/>
          <w:sz w:val="24"/>
          <w:szCs w:val="24"/>
        </w:rPr>
        <w:t>required</w:t>
      </w:r>
      <w:r w:rsidRPr="00665BD0">
        <w:rPr>
          <w:rFonts w:ascii="Times New Roman" w:hAnsi="Times New Roman"/>
          <w:bCs/>
          <w:sz w:val="24"/>
          <w:szCs w:val="24"/>
        </w:rPr>
        <w:t xml:space="preserve"> by the 1981 Resolution…. Rather, such longevity </w:t>
      </w:r>
      <w:proofErr w:type="gramStart"/>
      <w:r w:rsidRPr="00665BD0">
        <w:rPr>
          <w:rFonts w:ascii="Times New Roman" w:hAnsi="Times New Roman"/>
          <w:bCs/>
          <w:sz w:val="24"/>
          <w:szCs w:val="24"/>
        </w:rPr>
        <w:t>pay</w:t>
      </w:r>
      <w:proofErr w:type="gramEnd"/>
      <w:r w:rsidRPr="00665BD0">
        <w:rPr>
          <w:rFonts w:ascii="Times New Roman" w:hAnsi="Times New Roman"/>
          <w:bCs/>
          <w:sz w:val="24"/>
          <w:szCs w:val="24"/>
        </w:rPr>
        <w:t xml:space="preserve"> required by law must be included in the regular rate…. If, on the other hand, the City’s Resolution said that “eligible employees of the City </w:t>
      </w:r>
      <w:r w:rsidRPr="00665BD0">
        <w:rPr>
          <w:rFonts w:ascii="Times New Roman" w:hAnsi="Times New Roman"/>
          <w:bCs/>
          <w:i/>
          <w:iCs/>
          <w:sz w:val="24"/>
          <w:szCs w:val="24"/>
        </w:rPr>
        <w:t xml:space="preserve">may </w:t>
      </w:r>
      <w:r w:rsidRPr="00665BD0">
        <w:rPr>
          <w:rFonts w:ascii="Times New Roman" w:hAnsi="Times New Roman"/>
          <w:bCs/>
          <w:sz w:val="24"/>
          <w:szCs w:val="24"/>
        </w:rPr>
        <w:t xml:space="preserve">be entitled to longevity pay” of up to a maximum amount … the payments could still be excluded from the regular rate….”   </w:t>
      </w:r>
      <w:bookmarkStart w:id="394" w:name="_Hlk39847370"/>
      <w:r w:rsidR="00BC38B6">
        <w:fldChar w:fldCharType="begin"/>
      </w:r>
      <w:r w:rsidR="00BC38B6">
        <w:instrText xml:space="preserve"> HYPERLINK "https://www.dol.gov/sites/dolgov/files/WHD/legacy/files/2020_03_26_03_FLSA.pdf" </w:instrText>
      </w:r>
      <w:r w:rsidR="00BC38B6">
        <w:fldChar w:fldCharType="separate"/>
      </w:r>
      <w:r w:rsidRPr="00665BD0">
        <w:rPr>
          <w:rStyle w:val="Hyperlink"/>
          <w:rFonts w:ascii="Times New Roman" w:hAnsi="Times New Roman"/>
          <w:b/>
          <w:sz w:val="24"/>
          <w:szCs w:val="24"/>
        </w:rPr>
        <w:t>https://www.dol.gov/sites/dolgov/files/WHD/legacy/files/2020_03_26_03_FLSA.pdf</w:t>
      </w:r>
      <w:r w:rsidR="00BC38B6">
        <w:rPr>
          <w:rStyle w:val="Hyperlink"/>
          <w:rFonts w:ascii="Times New Roman" w:hAnsi="Times New Roman"/>
          <w:b/>
          <w:sz w:val="24"/>
          <w:szCs w:val="24"/>
        </w:rPr>
        <w:fldChar w:fldCharType="end"/>
      </w:r>
    </w:p>
    <w:bookmarkEnd w:id="392"/>
    <w:bookmarkEnd w:id="394"/>
    <w:p w14:paraId="6143E179" w14:textId="77777777" w:rsidR="0066298F" w:rsidRPr="00665BD0" w:rsidRDefault="0066298F" w:rsidP="0066298F">
      <w:pPr>
        <w:pStyle w:val="NoSpacing"/>
        <w:rPr>
          <w:rFonts w:ascii="Times New Roman" w:hAnsi="Times New Roman"/>
          <w:b/>
          <w:bCs/>
          <w:sz w:val="24"/>
          <w:szCs w:val="24"/>
        </w:rPr>
      </w:pPr>
    </w:p>
    <w:p w14:paraId="6E3767DF"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
          <w:bCs/>
          <w:sz w:val="24"/>
          <w:szCs w:val="24"/>
        </w:rPr>
        <w:t>Legal Lessons Learned: Under this opinion letter, employees of this city who are paid on an hourly basis will now be entitled to a higher hourly rate of pay based on the guaranteed annual longevity bonus.</w:t>
      </w:r>
      <w:r w:rsidRPr="00665BD0">
        <w:rPr>
          <w:rFonts w:ascii="Times New Roman" w:hAnsi="Times New Roman"/>
          <w:sz w:val="24"/>
          <w:szCs w:val="24"/>
        </w:rPr>
        <w:t xml:space="preserve">  </w:t>
      </w:r>
      <w:r w:rsidRPr="00665BD0">
        <w:rPr>
          <w:rFonts w:ascii="Times New Roman" w:hAnsi="Times New Roman"/>
          <w:bCs/>
          <w:sz w:val="24"/>
          <w:szCs w:val="24"/>
        </w:rPr>
        <w:t xml:space="preserve">See the regulation: </w:t>
      </w:r>
    </w:p>
    <w:p w14:paraId="5E98D311" w14:textId="77777777" w:rsidR="0066298F" w:rsidRPr="00665BD0" w:rsidRDefault="0066298F" w:rsidP="0066298F">
      <w:pPr>
        <w:pStyle w:val="NoSpacing"/>
        <w:ind w:firstLine="720"/>
        <w:rPr>
          <w:rFonts w:ascii="Times New Roman" w:hAnsi="Times New Roman"/>
          <w:b/>
          <w:bCs/>
          <w:sz w:val="24"/>
          <w:szCs w:val="24"/>
        </w:rPr>
      </w:pPr>
      <w:r w:rsidRPr="00665BD0">
        <w:rPr>
          <w:rFonts w:ascii="Times New Roman" w:hAnsi="Times New Roman"/>
          <w:bCs/>
          <w:sz w:val="24"/>
          <w:szCs w:val="24"/>
        </w:rPr>
        <w:t>29 U.S.C. § 207(e)(l)</w:t>
      </w:r>
    </w:p>
    <w:p w14:paraId="27E61329" w14:textId="77777777" w:rsidR="0066298F" w:rsidRPr="00665BD0" w:rsidRDefault="0066298F" w:rsidP="0066298F">
      <w:pPr>
        <w:pStyle w:val="NoSpacing"/>
        <w:ind w:left="720"/>
        <w:rPr>
          <w:rStyle w:val="heading"/>
          <w:rFonts w:ascii="Times New Roman" w:hAnsi="Times New Roman"/>
          <w:b/>
          <w:bCs/>
          <w:sz w:val="24"/>
          <w:szCs w:val="24"/>
        </w:rPr>
      </w:pPr>
      <w:r w:rsidRPr="00665BD0">
        <w:rPr>
          <w:rStyle w:val="num"/>
          <w:rFonts w:ascii="Times New Roman" w:hAnsi="Times New Roman"/>
          <w:bCs/>
          <w:sz w:val="24"/>
          <w:szCs w:val="24"/>
        </w:rPr>
        <w:lastRenderedPageBreak/>
        <w:t>(e)</w:t>
      </w:r>
      <w:r w:rsidRPr="00665BD0">
        <w:rPr>
          <w:rStyle w:val="heading"/>
          <w:rFonts w:ascii="Times New Roman" w:hAnsi="Times New Roman"/>
          <w:bCs/>
          <w:sz w:val="24"/>
          <w:szCs w:val="24"/>
        </w:rPr>
        <w:t xml:space="preserve"> “Regular rate” defined</w:t>
      </w:r>
    </w:p>
    <w:p w14:paraId="4079D985" w14:textId="77777777" w:rsidR="0066298F" w:rsidRPr="00665BD0" w:rsidRDefault="0066298F" w:rsidP="0066298F">
      <w:pPr>
        <w:pStyle w:val="NoSpacing"/>
        <w:ind w:left="720"/>
        <w:rPr>
          <w:rFonts w:ascii="Times New Roman" w:hAnsi="Times New Roman"/>
          <w:b/>
          <w:bCs/>
          <w:sz w:val="24"/>
          <w:szCs w:val="24"/>
        </w:rPr>
      </w:pPr>
      <w:r w:rsidRPr="00665BD0">
        <w:rPr>
          <w:rStyle w:val="chapeau"/>
          <w:rFonts w:ascii="Times New Roman" w:hAnsi="Times New Roman"/>
          <w:bCs/>
          <w:sz w:val="24"/>
          <w:szCs w:val="24"/>
        </w:rPr>
        <w:t xml:space="preserve">As used in this section the “regular rate” at which an </w:t>
      </w:r>
      <w:hyperlink r:id="rId1802" w:history="1">
        <w:r w:rsidRPr="00665BD0">
          <w:rPr>
            <w:rStyle w:val="Hyperlink"/>
            <w:rFonts w:ascii="Times New Roman" w:hAnsi="Times New Roman"/>
            <w:b/>
            <w:sz w:val="24"/>
            <w:szCs w:val="24"/>
          </w:rPr>
          <w:t>employee</w:t>
        </w:r>
      </w:hyperlink>
      <w:r w:rsidRPr="00665BD0">
        <w:rPr>
          <w:rStyle w:val="chapeau"/>
          <w:rFonts w:ascii="Times New Roman" w:hAnsi="Times New Roman"/>
          <w:bCs/>
          <w:sz w:val="24"/>
          <w:szCs w:val="24"/>
        </w:rPr>
        <w:t xml:space="preserve"> is employed shall be deemed to include all remuneration for employment paid to, or on behalf of, the </w:t>
      </w:r>
      <w:hyperlink r:id="rId1803" w:history="1">
        <w:r w:rsidRPr="00665BD0">
          <w:rPr>
            <w:rStyle w:val="Hyperlink"/>
            <w:rFonts w:ascii="Times New Roman" w:hAnsi="Times New Roman"/>
            <w:b/>
            <w:sz w:val="24"/>
            <w:szCs w:val="24"/>
          </w:rPr>
          <w:t>employee</w:t>
        </w:r>
      </w:hyperlink>
      <w:r w:rsidRPr="00665BD0">
        <w:rPr>
          <w:rStyle w:val="chapeau"/>
          <w:rFonts w:ascii="Times New Roman" w:hAnsi="Times New Roman"/>
          <w:bCs/>
          <w:sz w:val="24"/>
          <w:szCs w:val="24"/>
        </w:rPr>
        <w:t>, but shall not be deemed to include—</w:t>
      </w:r>
      <w:r w:rsidRPr="00665BD0">
        <w:rPr>
          <w:rFonts w:ascii="Times New Roman" w:hAnsi="Times New Roman"/>
          <w:bCs/>
          <w:sz w:val="24"/>
          <w:szCs w:val="24"/>
        </w:rPr>
        <w:t xml:space="preserve"> </w:t>
      </w:r>
    </w:p>
    <w:p w14:paraId="1D9AA40D" w14:textId="77777777" w:rsidR="0066298F" w:rsidRPr="00665BD0" w:rsidRDefault="0066298F" w:rsidP="0066298F">
      <w:pPr>
        <w:pStyle w:val="NoSpacing"/>
        <w:ind w:left="720"/>
        <w:rPr>
          <w:rFonts w:ascii="Times New Roman" w:hAnsi="Times New Roman"/>
          <w:b/>
          <w:bCs/>
          <w:sz w:val="24"/>
          <w:szCs w:val="24"/>
        </w:rPr>
      </w:pPr>
      <w:bookmarkStart w:id="395" w:name="e_1"/>
      <w:bookmarkEnd w:id="395"/>
      <w:r w:rsidRPr="00665BD0">
        <w:rPr>
          <w:rStyle w:val="num"/>
          <w:rFonts w:ascii="Times New Roman" w:hAnsi="Times New Roman"/>
          <w:bCs/>
          <w:sz w:val="24"/>
          <w:szCs w:val="24"/>
        </w:rPr>
        <w:t>(1)</w:t>
      </w:r>
      <w:r w:rsidRPr="00665BD0">
        <w:rPr>
          <w:rFonts w:ascii="Times New Roman" w:hAnsi="Times New Roman"/>
          <w:bCs/>
          <w:sz w:val="24"/>
          <w:szCs w:val="24"/>
        </w:rPr>
        <w:t xml:space="preserve"> sums paid as gifts; payments </w:t>
      </w:r>
      <w:proofErr w:type="gramStart"/>
      <w:r w:rsidRPr="00665BD0">
        <w:rPr>
          <w:rFonts w:ascii="Times New Roman" w:hAnsi="Times New Roman"/>
          <w:bCs/>
          <w:sz w:val="24"/>
          <w:szCs w:val="24"/>
        </w:rPr>
        <w:t>in the nature of gifts</w:t>
      </w:r>
      <w:proofErr w:type="gramEnd"/>
      <w:r w:rsidRPr="00665BD0">
        <w:rPr>
          <w:rFonts w:ascii="Times New Roman" w:hAnsi="Times New Roman"/>
          <w:bCs/>
          <w:sz w:val="24"/>
          <w:szCs w:val="24"/>
        </w:rPr>
        <w:t xml:space="preserve"> made at Christmas time or on other special occasions, as a reward for service, the amounts of which are not measured by or dependent on hours worked, production, or efficiency…. </w:t>
      </w:r>
      <w:hyperlink r:id="rId1804" w:history="1">
        <w:r w:rsidRPr="00665BD0">
          <w:rPr>
            <w:rStyle w:val="Hyperlink"/>
            <w:rFonts w:ascii="Times New Roman" w:hAnsi="Times New Roman"/>
            <w:b/>
            <w:sz w:val="24"/>
            <w:szCs w:val="24"/>
          </w:rPr>
          <w:t>https://www.law.cornell.edu/uscode/text/29/207</w:t>
        </w:r>
      </w:hyperlink>
      <w:r w:rsidRPr="00665BD0">
        <w:rPr>
          <w:rFonts w:ascii="Times New Roman" w:hAnsi="Times New Roman"/>
          <w:bCs/>
          <w:sz w:val="24"/>
          <w:szCs w:val="24"/>
        </w:rPr>
        <w:t xml:space="preserve"> </w:t>
      </w:r>
    </w:p>
    <w:p w14:paraId="50944D4E" w14:textId="77777777" w:rsidR="0066298F" w:rsidRPr="000426EE" w:rsidRDefault="0066298F" w:rsidP="0066298F">
      <w:pPr>
        <w:pStyle w:val="NoSpacing"/>
        <w:rPr>
          <w:b/>
          <w:bCs/>
          <w:sz w:val="24"/>
          <w:szCs w:val="24"/>
        </w:rPr>
      </w:pPr>
    </w:p>
    <w:p w14:paraId="245CFAD0" w14:textId="77777777" w:rsidR="0066298F" w:rsidRDefault="0066298F" w:rsidP="00F326E5">
      <w:pPr>
        <w:rPr>
          <w:rFonts w:ascii="Arial Black" w:hAnsi="Arial Black"/>
          <w:b/>
          <w:sz w:val="24"/>
          <w:szCs w:val="24"/>
        </w:rPr>
      </w:pPr>
    </w:p>
    <w:p w14:paraId="67C345AF" w14:textId="6C40945C" w:rsidR="00F55498" w:rsidRDefault="00B13773" w:rsidP="00F326E5">
      <w:pPr>
        <w:rPr>
          <w:rFonts w:ascii="Arial Black" w:hAnsi="Arial Black"/>
          <w:b/>
          <w:sz w:val="24"/>
          <w:szCs w:val="24"/>
        </w:rPr>
      </w:pPr>
      <w:r>
        <w:rPr>
          <w:rFonts w:ascii="Arial Black" w:hAnsi="Arial Black"/>
          <w:b/>
          <w:sz w:val="24"/>
          <w:szCs w:val="24"/>
        </w:rPr>
        <w:t>11-12</w:t>
      </w:r>
    </w:p>
    <w:p w14:paraId="76825F13" w14:textId="77777777" w:rsidR="00F55498" w:rsidRDefault="00F55498" w:rsidP="00F55498">
      <w:pPr>
        <w:rPr>
          <w:rFonts w:ascii="Arial Black" w:hAnsi="Arial Black"/>
          <w:b/>
          <w:sz w:val="28"/>
          <w:szCs w:val="28"/>
        </w:rPr>
      </w:pPr>
      <w:r>
        <w:rPr>
          <w:rFonts w:ascii="Arial Black" w:hAnsi="Arial Black"/>
          <w:b/>
          <w:sz w:val="28"/>
          <w:szCs w:val="28"/>
        </w:rPr>
        <w:t>DC: U.S. DEPARTMENT OF JUSTICE – SERVICEMEMBERS’ CIVIL RIGHTS</w:t>
      </w:r>
    </w:p>
    <w:p w14:paraId="74101197" w14:textId="77777777" w:rsidR="00F55498" w:rsidRDefault="00F55498" w:rsidP="00F55498">
      <w:pPr>
        <w:pStyle w:val="NoSpacing"/>
        <w:rPr>
          <w:rFonts w:ascii="Times New Roman" w:hAnsi="Times New Roman"/>
          <w:sz w:val="24"/>
          <w:szCs w:val="24"/>
        </w:rPr>
      </w:pPr>
      <w:r w:rsidRPr="00E9307E">
        <w:rPr>
          <w:rFonts w:ascii="Times New Roman" w:hAnsi="Times New Roman"/>
          <w:sz w:val="24"/>
          <w:szCs w:val="24"/>
        </w:rPr>
        <w:t xml:space="preserve">March 30, 2020: DC – COVID-19: Servicemembers’ Civil Rights - Message </w:t>
      </w:r>
      <w:proofErr w:type="gramStart"/>
      <w:r w:rsidRPr="00E9307E">
        <w:rPr>
          <w:rFonts w:ascii="Times New Roman" w:hAnsi="Times New Roman"/>
          <w:sz w:val="24"/>
          <w:szCs w:val="24"/>
        </w:rPr>
        <w:t>From</w:t>
      </w:r>
      <w:proofErr w:type="gramEnd"/>
      <w:r w:rsidRPr="00E9307E">
        <w:rPr>
          <w:rFonts w:ascii="Times New Roman" w:hAnsi="Times New Roman"/>
          <w:sz w:val="24"/>
          <w:szCs w:val="24"/>
        </w:rPr>
        <w:t xml:space="preserve"> </w:t>
      </w:r>
      <w:proofErr w:type="gramStart"/>
      <w:r w:rsidRPr="00E9307E">
        <w:rPr>
          <w:rFonts w:ascii="Times New Roman" w:hAnsi="Times New Roman"/>
          <w:sz w:val="24"/>
          <w:szCs w:val="24"/>
        </w:rPr>
        <w:t>The</w:t>
      </w:r>
      <w:proofErr w:type="gramEnd"/>
      <w:r w:rsidRPr="00E9307E">
        <w:rPr>
          <w:rFonts w:ascii="Times New Roman" w:hAnsi="Times New Roman"/>
          <w:sz w:val="24"/>
          <w:szCs w:val="24"/>
        </w:rPr>
        <w:t xml:space="preserve"> Assistant Attorney General </w:t>
      </w:r>
    </w:p>
    <w:p w14:paraId="277FBC9B" w14:textId="77777777" w:rsidR="00F55498" w:rsidRDefault="00F55498" w:rsidP="00F55498">
      <w:pPr>
        <w:pStyle w:val="NoSpacing"/>
        <w:ind w:left="720"/>
        <w:rPr>
          <w:rFonts w:ascii="Times New Roman" w:hAnsi="Times New Roman"/>
          <w:sz w:val="24"/>
          <w:szCs w:val="24"/>
        </w:rPr>
      </w:pPr>
      <w:r>
        <w:rPr>
          <w:rFonts w:ascii="Times New Roman" w:hAnsi="Times New Roman"/>
          <w:sz w:val="24"/>
          <w:szCs w:val="24"/>
        </w:rPr>
        <w:t>“</w:t>
      </w:r>
      <w:r w:rsidRPr="00E9307E">
        <w:rPr>
          <w:rFonts w:ascii="Times New Roman" w:hAnsi="Times New Roman"/>
          <w:sz w:val="24"/>
          <w:szCs w:val="24"/>
        </w:rPr>
        <w:t xml:space="preserve">The Civil Rights Division enforces multiple federal laws that protect the rights of servicemembers and veterans.  We protect servicemembers’ financial and housing rights by enforcing the Servicemembers Civil Relief Act, or the SCRA.  Since January 2017, our SCRA settlements have included over $10 million in damages and civil penalties.  We protect servicemembers’ civilian employment rights by litigating claims against employers who violate the Uniformed Services Employment and Reemployment Rights Act, or USERRA.  And, we protect their voting rights by enforcing the Uniformed and Overseas Citizens Absentee Voting Act, also known as UOCAVA.  The Division also safeguards the rights of servicemember spouses, dependents, and veterans eligible for certain protections under the SCRA and UOCAVA. *** It is </w:t>
      </w:r>
      <w:proofErr w:type="gramStart"/>
      <w:r w:rsidRPr="00E9307E">
        <w:rPr>
          <w:rFonts w:ascii="Times New Roman" w:hAnsi="Times New Roman"/>
          <w:sz w:val="24"/>
          <w:szCs w:val="24"/>
        </w:rPr>
        <w:t>at this time</w:t>
      </w:r>
      <w:proofErr w:type="gramEnd"/>
      <w:r w:rsidRPr="00E9307E">
        <w:rPr>
          <w:rFonts w:ascii="Times New Roman" w:hAnsi="Times New Roman"/>
          <w:sz w:val="24"/>
          <w:szCs w:val="24"/>
        </w:rPr>
        <w:t xml:space="preserve"> we also ask employers and landlords to be mindful of the responsibilities they have with respect to members of the National Guard and Reserve under USERRA, the SCRA and similar state laws.  These </w:t>
      </w:r>
      <w:proofErr w:type="gramStart"/>
      <w:r w:rsidRPr="00E9307E">
        <w:rPr>
          <w:rFonts w:ascii="Times New Roman" w:hAnsi="Times New Roman"/>
          <w:sz w:val="24"/>
          <w:szCs w:val="24"/>
        </w:rPr>
        <w:t>servicemembers</w:t>
      </w:r>
      <w:proofErr w:type="gramEnd"/>
      <w:r w:rsidRPr="00E9307E">
        <w:rPr>
          <w:rFonts w:ascii="Times New Roman" w:hAnsi="Times New Roman"/>
          <w:sz w:val="24"/>
          <w:szCs w:val="24"/>
        </w:rPr>
        <w:t xml:space="preserve"> are being pulled from their homes and jobs and tasked with vital operations in protection of our most vulnerable citizens.  When this emergency ends, USERRA and other state laws will protect servicemembers’ prompt reemployment and continued pension benefits.  These laws also protect servicemembers from discrimination based on their service.</w:t>
      </w:r>
      <w:r>
        <w:rPr>
          <w:rFonts w:ascii="Times New Roman" w:hAnsi="Times New Roman"/>
          <w:sz w:val="24"/>
          <w:szCs w:val="24"/>
        </w:rPr>
        <w:t>”</w:t>
      </w:r>
      <w:r w:rsidRPr="00E9307E">
        <w:rPr>
          <w:rFonts w:ascii="Times New Roman" w:hAnsi="Times New Roman"/>
          <w:sz w:val="24"/>
          <w:szCs w:val="24"/>
        </w:rPr>
        <w:t xml:space="preserve">  </w:t>
      </w:r>
    </w:p>
    <w:p w14:paraId="6A733C54" w14:textId="77777777" w:rsidR="00F55498" w:rsidRPr="00E9307E" w:rsidRDefault="00F55498" w:rsidP="00F55498">
      <w:pPr>
        <w:pStyle w:val="NoSpacing"/>
        <w:ind w:left="720"/>
        <w:rPr>
          <w:rFonts w:ascii="Times New Roman" w:hAnsi="Times New Roman"/>
          <w:b/>
          <w:sz w:val="24"/>
          <w:szCs w:val="24"/>
        </w:rPr>
      </w:pPr>
      <w:hyperlink r:id="rId1805" w:history="1">
        <w:r w:rsidRPr="00D07486">
          <w:rPr>
            <w:rStyle w:val="Hyperlink"/>
            <w:rFonts w:ascii="Times New Roman" w:hAnsi="Times New Roman"/>
            <w:b/>
            <w:sz w:val="24"/>
            <w:szCs w:val="24"/>
          </w:rPr>
          <w:t>https://www.justice.gov/opa/pr/covid-19-servicemembers-civil-rights-message-assistant-attorney-general</w:t>
        </w:r>
      </w:hyperlink>
      <w:r w:rsidRPr="00E9307E">
        <w:rPr>
          <w:rFonts w:ascii="Times New Roman" w:hAnsi="Times New Roman"/>
          <w:b/>
          <w:sz w:val="24"/>
          <w:szCs w:val="24"/>
        </w:rPr>
        <w:t xml:space="preserve"> </w:t>
      </w:r>
    </w:p>
    <w:p w14:paraId="61DE614B" w14:textId="77777777" w:rsidR="00F55498" w:rsidRDefault="00F55498" w:rsidP="00F55498">
      <w:pPr>
        <w:rPr>
          <w:rFonts w:ascii="Arial Black" w:hAnsi="Arial Black"/>
          <w:b/>
          <w:sz w:val="28"/>
          <w:szCs w:val="28"/>
        </w:rPr>
      </w:pPr>
    </w:p>
    <w:p w14:paraId="6456F1AD" w14:textId="77777777" w:rsidR="00F55498" w:rsidRDefault="00F55498" w:rsidP="00F326E5">
      <w:pPr>
        <w:rPr>
          <w:rFonts w:ascii="Arial Black" w:hAnsi="Arial Black"/>
          <w:b/>
          <w:sz w:val="24"/>
          <w:szCs w:val="24"/>
        </w:rPr>
      </w:pPr>
    </w:p>
    <w:p w14:paraId="474CC558" w14:textId="5A6463F9" w:rsidR="00177094" w:rsidRDefault="00177094"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1</w:t>
      </w:r>
    </w:p>
    <w:p w14:paraId="55D674C5" w14:textId="77777777" w:rsidR="00177094" w:rsidRPr="00BE0EBB" w:rsidRDefault="00177094" w:rsidP="00177094">
      <w:pPr>
        <w:spacing w:before="100" w:beforeAutospacing="1" w:after="100" w:afterAutospacing="1"/>
        <w:rPr>
          <w:rFonts w:ascii="Arial Black" w:eastAsia="Times New Roman" w:hAnsi="Arial Black"/>
          <w:bCs/>
          <w:sz w:val="28"/>
          <w:szCs w:val="28"/>
        </w:rPr>
      </w:pPr>
      <w:bookmarkStart w:id="396" w:name="_Hlk39819600"/>
      <w:r w:rsidRPr="00BE0EBB">
        <w:rPr>
          <w:rFonts w:ascii="Arial Black" w:eastAsia="Times New Roman" w:hAnsi="Arial Black"/>
          <w:bCs/>
          <w:sz w:val="28"/>
          <w:szCs w:val="28"/>
        </w:rPr>
        <w:t xml:space="preserve">KY:  </w:t>
      </w:r>
      <w:r>
        <w:rPr>
          <w:rFonts w:ascii="Arial Black" w:eastAsia="Times New Roman" w:hAnsi="Arial Black"/>
          <w:bCs/>
          <w:sz w:val="28"/>
          <w:szCs w:val="28"/>
        </w:rPr>
        <w:t xml:space="preserve">428 </w:t>
      </w:r>
      <w:r w:rsidRPr="00BE0EBB">
        <w:rPr>
          <w:rFonts w:ascii="Arial Black" w:eastAsia="Times New Roman" w:hAnsi="Arial Black"/>
          <w:bCs/>
          <w:sz w:val="28"/>
          <w:szCs w:val="28"/>
        </w:rPr>
        <w:t xml:space="preserve">FLIGHT MEDICS, </w:t>
      </w:r>
      <w:r>
        <w:rPr>
          <w:rFonts w:ascii="Arial Black" w:eastAsia="Times New Roman" w:hAnsi="Arial Black"/>
          <w:bCs/>
          <w:sz w:val="28"/>
          <w:szCs w:val="28"/>
        </w:rPr>
        <w:t xml:space="preserve">RNS, PILOTS - OVERTIME AFTER 120 HOURS – CLASS ACTION - </w:t>
      </w:r>
      <w:r w:rsidRPr="00BE0EBB">
        <w:rPr>
          <w:rFonts w:ascii="Arial Black" w:eastAsia="Times New Roman" w:hAnsi="Arial Black"/>
          <w:bCs/>
          <w:sz w:val="28"/>
          <w:szCs w:val="28"/>
        </w:rPr>
        <w:t>$2,950,000</w:t>
      </w:r>
      <w:r>
        <w:rPr>
          <w:rFonts w:ascii="Arial Black" w:eastAsia="Times New Roman" w:hAnsi="Arial Black"/>
          <w:bCs/>
          <w:sz w:val="28"/>
          <w:szCs w:val="28"/>
        </w:rPr>
        <w:t xml:space="preserve"> SETTLEMENT</w:t>
      </w:r>
    </w:p>
    <w:p w14:paraId="1F4A7F96" w14:textId="77777777" w:rsidR="00177094" w:rsidRPr="004236BE" w:rsidRDefault="00177094" w:rsidP="00177094">
      <w:pPr>
        <w:spacing w:before="100" w:beforeAutospacing="1" w:after="100" w:afterAutospacing="1"/>
        <w:rPr>
          <w:rFonts w:ascii="Times New Roman" w:eastAsia="Times New Roman" w:hAnsi="Times New Roman"/>
          <w:b/>
          <w:sz w:val="24"/>
          <w:szCs w:val="24"/>
        </w:rPr>
      </w:pPr>
      <w:r w:rsidRPr="004236BE">
        <w:rPr>
          <w:rFonts w:ascii="Times New Roman" w:eastAsia="Times New Roman" w:hAnsi="Times New Roman"/>
          <w:sz w:val="24"/>
          <w:szCs w:val="24"/>
        </w:rPr>
        <w:t xml:space="preserve">On Jan. 21, 2020, in </w:t>
      </w:r>
      <w:r w:rsidRPr="004236BE">
        <w:rPr>
          <w:rFonts w:ascii="Times New Roman" w:eastAsia="Times New Roman" w:hAnsi="Times New Roman"/>
          <w:sz w:val="24"/>
          <w:szCs w:val="24"/>
          <w:u w:val="single"/>
        </w:rPr>
        <w:t xml:space="preserve">Jason Peck v. Air Evac EMS, Inc., d/b/a Air Evac </w:t>
      </w:r>
      <w:proofErr w:type="spellStart"/>
      <w:r w:rsidRPr="004236BE">
        <w:rPr>
          <w:rFonts w:ascii="Times New Roman" w:eastAsia="Times New Roman" w:hAnsi="Times New Roman"/>
          <w:sz w:val="24"/>
          <w:szCs w:val="24"/>
          <w:u w:val="single"/>
        </w:rPr>
        <w:t>Lifeteam</w:t>
      </w:r>
      <w:proofErr w:type="spellEnd"/>
      <w:r w:rsidRPr="004236BE">
        <w:rPr>
          <w:rFonts w:ascii="Times New Roman" w:eastAsia="Times New Roman" w:hAnsi="Times New Roman"/>
          <w:sz w:val="24"/>
          <w:szCs w:val="24"/>
        </w:rPr>
        <w:t>, U.S. District Court Chief Judge Danny C. Reeves, U.S. District Court, Eastern District of Kentucky, Central Division (Lexington), approved the class action settlement, including attorney fees.</w:t>
      </w:r>
    </w:p>
    <w:p w14:paraId="080D650D" w14:textId="77777777" w:rsidR="00177094" w:rsidRPr="004236BE" w:rsidRDefault="00177094" w:rsidP="00177094">
      <w:pPr>
        <w:pStyle w:val="NoSpacing"/>
        <w:ind w:left="720"/>
        <w:rPr>
          <w:rFonts w:ascii="Times New Roman" w:eastAsia="Times New Roman" w:hAnsi="Times New Roman"/>
          <w:b/>
          <w:bCs/>
          <w:sz w:val="24"/>
          <w:szCs w:val="24"/>
        </w:rPr>
      </w:pPr>
      <w:r w:rsidRPr="004236BE">
        <w:rPr>
          <w:rFonts w:ascii="Times New Roman" w:hAnsi="Times New Roman"/>
          <w:bCs/>
          <w:sz w:val="24"/>
          <w:szCs w:val="24"/>
        </w:rPr>
        <w:lastRenderedPageBreak/>
        <w:t xml:space="preserve">“The parties previously agreed to a gross settlement fund of $3,000,000.00, including up to $800,000.000 in attorney's fees and costs and a $15,000.00 incentive for Peck. The parties later filed a motion to amend the settlement seeking $750,000.00 in attorney's fees and a gross settlement fund of $2,950,000.00…  The Court granted the motion to amend the settlement to reduce the amount of attorney's fees. The proposed class includes 428 ‘current and former flight nurses, flight paramedics, and pilots employed by [Air Evac] in the Commonwealth of Kentucky at any time from October 25, </w:t>
      </w:r>
      <w:proofErr w:type="gramStart"/>
      <w:r w:rsidRPr="004236BE">
        <w:rPr>
          <w:rFonts w:ascii="Times New Roman" w:hAnsi="Times New Roman"/>
          <w:bCs/>
          <w:sz w:val="24"/>
          <w:szCs w:val="24"/>
        </w:rPr>
        <w:t>2013</w:t>
      </w:r>
      <w:proofErr w:type="gramEnd"/>
      <w:r w:rsidRPr="004236BE">
        <w:rPr>
          <w:rFonts w:ascii="Times New Roman" w:hAnsi="Times New Roman"/>
          <w:bCs/>
          <w:sz w:val="24"/>
          <w:szCs w:val="24"/>
        </w:rPr>
        <w:t xml:space="preserve"> through July 17, </w:t>
      </w:r>
      <w:proofErr w:type="gramStart"/>
      <w:r w:rsidRPr="004236BE">
        <w:rPr>
          <w:rFonts w:ascii="Times New Roman" w:hAnsi="Times New Roman"/>
          <w:bCs/>
          <w:sz w:val="24"/>
          <w:szCs w:val="24"/>
        </w:rPr>
        <w:t>2019.’</w:t>
      </w:r>
      <w:proofErr w:type="gramEnd"/>
      <w:r w:rsidRPr="004236BE">
        <w:rPr>
          <w:rFonts w:ascii="Times New Roman" w:hAnsi="Times New Roman"/>
          <w:bCs/>
          <w:sz w:val="24"/>
          <w:szCs w:val="24"/>
        </w:rPr>
        <w:t xml:space="preserve"> …. The parties explained that individual settlement payments were calculated by reviewing Air Evac's payroll and timecard records to establish the amount of unpaid overtime for each class member assuming that the claims were true.” </w:t>
      </w:r>
      <w:hyperlink r:id="rId1806" w:history="1">
        <w:r w:rsidRPr="004236BE">
          <w:rPr>
            <w:rStyle w:val="Hyperlink"/>
            <w:rFonts w:ascii="Times New Roman" w:hAnsi="Times New Roman"/>
            <w:b/>
            <w:sz w:val="24"/>
            <w:szCs w:val="24"/>
          </w:rPr>
          <w:t>https://public.fastcase.com/Wl%2B2t%2BeVuI35%2FN70vAMFZpr47IXL%2FNqq46QG15nW3r0g0xInlPjrGPn7upgPO%2BUR</w:t>
        </w:r>
      </w:hyperlink>
      <w:bookmarkEnd w:id="396"/>
      <w:r w:rsidRPr="004236BE">
        <w:rPr>
          <w:rFonts w:ascii="Times New Roman" w:hAnsi="Times New Roman"/>
          <w:bCs/>
          <w:sz w:val="24"/>
          <w:szCs w:val="24"/>
        </w:rPr>
        <w:t xml:space="preserve"> </w:t>
      </w:r>
    </w:p>
    <w:p w14:paraId="2FCF124B" w14:textId="77777777" w:rsidR="00177094" w:rsidRPr="004236BE" w:rsidRDefault="00177094" w:rsidP="00177094">
      <w:pPr>
        <w:spacing w:before="100" w:beforeAutospacing="1" w:after="100" w:afterAutospacing="1"/>
        <w:rPr>
          <w:rFonts w:ascii="Times New Roman" w:eastAsia="Times New Roman" w:hAnsi="Times New Roman"/>
          <w:b/>
          <w:sz w:val="24"/>
          <w:szCs w:val="24"/>
        </w:rPr>
      </w:pPr>
      <w:r w:rsidRPr="004236BE">
        <w:rPr>
          <w:rFonts w:ascii="Times New Roman" w:eastAsia="Times New Roman" w:hAnsi="Times New Roman"/>
          <w:b/>
          <w:sz w:val="24"/>
          <w:szCs w:val="24"/>
        </w:rPr>
        <w:t xml:space="preserve">Legal Lessons Learned: Overtime claims can result in very large settlements; if in doubt about overtime eligibility, contact U.S. Department of Labor, Wage &amp; Hour Division. </w:t>
      </w:r>
    </w:p>
    <w:p w14:paraId="1A5F51EB" w14:textId="77777777" w:rsidR="00177094" w:rsidRDefault="00177094" w:rsidP="00F326E5">
      <w:pPr>
        <w:rPr>
          <w:rFonts w:ascii="Arial Black" w:hAnsi="Arial Black"/>
          <w:b/>
          <w:sz w:val="24"/>
          <w:szCs w:val="24"/>
        </w:rPr>
      </w:pPr>
    </w:p>
    <w:p w14:paraId="75BA1CD7" w14:textId="00344DED" w:rsidR="00177094" w:rsidRDefault="00177094"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10</w:t>
      </w:r>
    </w:p>
    <w:p w14:paraId="3AD46F5F" w14:textId="77777777" w:rsidR="00177094" w:rsidRDefault="00177094" w:rsidP="00177094">
      <w:pPr>
        <w:pStyle w:val="NoSpacing"/>
        <w:rPr>
          <w:rFonts w:ascii="Arial Black" w:hAnsi="Arial Black"/>
          <w:b/>
          <w:bCs/>
          <w:sz w:val="28"/>
          <w:szCs w:val="28"/>
        </w:rPr>
      </w:pPr>
      <w:bookmarkStart w:id="397" w:name="_Hlk39771850"/>
      <w:r w:rsidRPr="009A44AE">
        <w:rPr>
          <w:rFonts w:ascii="Arial Black" w:hAnsi="Arial Black"/>
          <w:bCs/>
          <w:sz w:val="28"/>
          <w:szCs w:val="28"/>
        </w:rPr>
        <w:t>CA</w:t>
      </w:r>
      <w:r>
        <w:rPr>
          <w:rFonts w:ascii="Arial Black" w:hAnsi="Arial Black"/>
          <w:bCs/>
          <w:sz w:val="28"/>
          <w:szCs w:val="28"/>
        </w:rPr>
        <w:t>: THREE FF CLAIMED NOT PAID CORRECT “REGULAR RATE OF PAY” FOR 6 PAY PERIODS – CITY PROVED IT WAS ACTUALLY OVERPAYING</w:t>
      </w:r>
    </w:p>
    <w:p w14:paraId="522FA524" w14:textId="77777777"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w:t>
      </w:r>
      <w:bookmarkStart w:id="398" w:name="_Hlk39847841"/>
      <w:r w:rsidRPr="004236BE">
        <w:rPr>
          <w:rFonts w:ascii="Times New Roman" w:hAnsi="Times New Roman"/>
          <w:bCs/>
          <w:sz w:val="24"/>
          <w:szCs w:val="24"/>
        </w:rPr>
        <w:t xml:space="preserve">Jan. 15, 2020, in </w:t>
      </w:r>
      <w:r w:rsidRPr="004236BE">
        <w:rPr>
          <w:rFonts w:ascii="Times New Roman" w:hAnsi="Times New Roman"/>
          <w:bCs/>
          <w:sz w:val="24"/>
          <w:szCs w:val="24"/>
          <w:u w:val="single"/>
        </w:rPr>
        <w:t>Darren Wallace v. City of San Jose</w:t>
      </w:r>
      <w:bookmarkEnd w:id="398"/>
      <w:r w:rsidRPr="004236BE">
        <w:rPr>
          <w:rFonts w:ascii="Times New Roman" w:hAnsi="Times New Roman"/>
          <w:bCs/>
          <w:sz w:val="24"/>
          <w:szCs w:val="24"/>
        </w:rPr>
        <w:t>, the U.S. Court of Appeals for the 9</w:t>
      </w:r>
      <w:r w:rsidRPr="004236BE">
        <w:rPr>
          <w:rFonts w:ascii="Times New Roman" w:hAnsi="Times New Roman"/>
          <w:bCs/>
          <w:sz w:val="24"/>
          <w:szCs w:val="24"/>
          <w:vertAlign w:val="superscript"/>
        </w:rPr>
        <w:t>th</w:t>
      </w:r>
      <w:r w:rsidRPr="004236BE">
        <w:rPr>
          <w:rFonts w:ascii="Times New Roman" w:hAnsi="Times New Roman"/>
          <w:bCs/>
          <w:sz w:val="24"/>
          <w:szCs w:val="24"/>
        </w:rPr>
        <w:t xml:space="preserve"> Circuit (San Francisco) held (3 to 0) that the U.S. District Court judge properly granted summary judgement for the city.  Court decided case without even needing to schedule oral </w:t>
      </w:r>
      <w:proofErr w:type="gramStart"/>
      <w:r w:rsidRPr="004236BE">
        <w:rPr>
          <w:rFonts w:ascii="Times New Roman" w:hAnsi="Times New Roman"/>
          <w:bCs/>
          <w:sz w:val="24"/>
          <w:szCs w:val="24"/>
        </w:rPr>
        <w:t>argument</w:t>
      </w:r>
      <w:proofErr w:type="gramEnd"/>
      <w:r w:rsidRPr="004236BE">
        <w:rPr>
          <w:rFonts w:ascii="Times New Roman" w:hAnsi="Times New Roman"/>
          <w:bCs/>
          <w:sz w:val="24"/>
          <w:szCs w:val="24"/>
        </w:rPr>
        <w:t xml:space="preserve">. </w:t>
      </w:r>
    </w:p>
    <w:p w14:paraId="08DF3684" w14:textId="77777777" w:rsidR="00177094" w:rsidRPr="004236BE" w:rsidRDefault="00177094" w:rsidP="00177094">
      <w:pPr>
        <w:pStyle w:val="NoSpacing"/>
        <w:rPr>
          <w:rFonts w:ascii="Times New Roman" w:hAnsi="Times New Roman"/>
          <w:b/>
          <w:bCs/>
          <w:sz w:val="24"/>
          <w:szCs w:val="24"/>
        </w:rPr>
      </w:pPr>
    </w:p>
    <w:p w14:paraId="763B27AA"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“Under 29 U.S.C. § 207(k), public agencies employing firefighters may adopt a 28-day work period for purposes of calculating FLSA overtime pay. FLSA requires overtime pay of 1.5times the regular rate of pay for every hour above 212 hours that a firefighter works in a 28-</w:t>
      </w:r>
      <w:proofErr w:type="gramStart"/>
      <w:r w:rsidRPr="004236BE">
        <w:rPr>
          <w:rFonts w:ascii="Times New Roman" w:hAnsi="Times New Roman"/>
          <w:bCs/>
          <w:sz w:val="24"/>
          <w:szCs w:val="24"/>
        </w:rPr>
        <w:t>daywork</w:t>
      </w:r>
      <w:proofErr w:type="gramEnd"/>
      <w:r w:rsidRPr="004236BE">
        <w:rPr>
          <w:rFonts w:ascii="Times New Roman" w:hAnsi="Times New Roman"/>
          <w:bCs/>
          <w:sz w:val="24"/>
          <w:szCs w:val="24"/>
        </w:rPr>
        <w:t xml:space="preserve"> period. See id.; 29 C.F.R. § 553.230.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has adopted a 28-day pay period for its firefighters and pays them biweekly. It pays firefighters a base hourly rate for 224 hours per work period, regardless of whether they </w:t>
      </w:r>
      <w:proofErr w:type="gramStart"/>
      <w:r w:rsidRPr="004236BE">
        <w:rPr>
          <w:rFonts w:ascii="Times New Roman" w:hAnsi="Times New Roman"/>
          <w:bCs/>
          <w:sz w:val="24"/>
          <w:szCs w:val="24"/>
        </w:rPr>
        <w:t>actually work</w:t>
      </w:r>
      <w:proofErr w:type="gramEnd"/>
      <w:r w:rsidRPr="004236BE">
        <w:rPr>
          <w:rFonts w:ascii="Times New Roman" w:hAnsi="Times New Roman"/>
          <w:bCs/>
          <w:sz w:val="24"/>
          <w:szCs w:val="24"/>
        </w:rPr>
        <w:t xml:space="preserve"> a full 224 hours. Furthermore, when a firefighter works hours outside of his or her regularly scheduled shifts,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pays ‘contractual overtime’ of 1.5 times his or her base hourly rate for each additional hour worked. The City’s ‘contractual overtime’ payments are distinct from FLSA overtime pay, and the firefighters are entitled to FLSA overtime pay for each hour worked over the 212-hour threshold</w:t>
      </w:r>
      <w:r w:rsidRPr="004236BE">
        <w:rPr>
          <w:rFonts w:ascii="Times New Roman" w:hAnsi="Times New Roman"/>
          <w:sz w:val="24"/>
          <w:szCs w:val="24"/>
        </w:rPr>
        <w:t xml:space="preserve">…. </w:t>
      </w:r>
      <w:r w:rsidRPr="004236BE">
        <w:rPr>
          <w:rFonts w:ascii="Times New Roman" w:hAnsi="Times New Roman"/>
          <w:bCs/>
          <w:sz w:val="24"/>
          <w:szCs w:val="24"/>
        </w:rPr>
        <w:t xml:space="preserve">Each work period,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calculates what is owed to its firefighters under FLSA. If the amount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paid a firefighter is less than required under FLSA, it adds a FLSA overtime adjustment to the firefighter’s paycheck at the end of the work period. If the amount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paid is more than required under FLSA, no adjustment is made.” </w:t>
      </w:r>
      <w:bookmarkStart w:id="399" w:name="_Hlk39847867"/>
      <w:r w:rsidR="00BC38B6">
        <w:fldChar w:fldCharType="begin"/>
      </w:r>
      <w:r w:rsidR="00BC38B6">
        <w:instrText xml:space="preserve"> HYPERLINK "http://cdn.ca9.uscourts.gov/datastore/memoranda/2020/01/15/18-16083.pdf" </w:instrText>
      </w:r>
      <w:r w:rsidR="00BC38B6">
        <w:fldChar w:fldCharType="separate"/>
      </w:r>
      <w:r w:rsidRPr="004236BE">
        <w:rPr>
          <w:rStyle w:val="Hyperlink"/>
          <w:rFonts w:ascii="Times New Roman" w:hAnsi="Times New Roman"/>
          <w:b/>
          <w:sz w:val="24"/>
          <w:szCs w:val="24"/>
        </w:rPr>
        <w:t>http://cdn.ca9.uscourts.gov/datastore/memoranda/2020/01/15/18-16083.pdf</w:t>
      </w:r>
      <w:r w:rsidR="00BC38B6">
        <w:rPr>
          <w:rStyle w:val="Hyperlink"/>
          <w:rFonts w:ascii="Times New Roman" w:hAnsi="Times New Roman"/>
          <w:b/>
          <w:sz w:val="24"/>
          <w:szCs w:val="24"/>
        </w:rPr>
        <w:fldChar w:fldCharType="end"/>
      </w:r>
      <w:r w:rsidRPr="004236BE">
        <w:rPr>
          <w:rFonts w:ascii="Times New Roman" w:hAnsi="Times New Roman"/>
          <w:bCs/>
          <w:sz w:val="24"/>
          <w:szCs w:val="24"/>
        </w:rPr>
        <w:t xml:space="preserve"> </w:t>
      </w:r>
      <w:bookmarkEnd w:id="399"/>
    </w:p>
    <w:bookmarkEnd w:id="397"/>
    <w:p w14:paraId="73CE8155" w14:textId="77777777" w:rsidR="00177094" w:rsidRDefault="00177094" w:rsidP="00177094">
      <w:pPr>
        <w:pStyle w:val="NoSpacing"/>
        <w:rPr>
          <w:rFonts w:ascii="Times New Roman" w:hAnsi="Times New Roman"/>
          <w:b/>
          <w:bCs/>
          <w:sz w:val="24"/>
          <w:szCs w:val="24"/>
        </w:rPr>
      </w:pPr>
    </w:p>
    <w:p w14:paraId="0DEF2B9D" w14:textId="61B2E8CA" w:rsidR="00177094" w:rsidRPr="004236BE" w:rsidRDefault="00177094" w:rsidP="00177094">
      <w:pPr>
        <w:pStyle w:val="NoSpacing"/>
        <w:rPr>
          <w:rFonts w:ascii="Times New Roman" w:eastAsia="Times New Roman" w:hAnsi="Times New Roman"/>
          <w:b/>
          <w:bCs/>
          <w:sz w:val="24"/>
          <w:szCs w:val="24"/>
        </w:rPr>
      </w:pPr>
      <w:bookmarkStart w:id="400" w:name="_Hlk40512999"/>
      <w:r w:rsidRPr="004236BE">
        <w:rPr>
          <w:rFonts w:ascii="Times New Roman" w:hAnsi="Times New Roman"/>
          <w:b/>
          <w:bCs/>
          <w:sz w:val="24"/>
          <w:szCs w:val="24"/>
        </w:rPr>
        <w:t xml:space="preserve">Legal Lessons Learned: If </w:t>
      </w:r>
      <w:r w:rsidR="00A16B10">
        <w:rPr>
          <w:rFonts w:ascii="Times New Roman" w:hAnsi="Times New Roman"/>
          <w:b/>
          <w:bCs/>
          <w:sz w:val="24"/>
          <w:szCs w:val="24"/>
        </w:rPr>
        <w:t>C</w:t>
      </w:r>
      <w:r w:rsidRPr="004236BE">
        <w:rPr>
          <w:rFonts w:ascii="Times New Roman" w:hAnsi="Times New Roman"/>
          <w:b/>
          <w:bCs/>
          <w:sz w:val="24"/>
          <w:szCs w:val="24"/>
        </w:rPr>
        <w:t xml:space="preserve">ity is paying more than required under FLSA, then courts will grant summary judgment. </w:t>
      </w:r>
    </w:p>
    <w:bookmarkEnd w:id="400"/>
    <w:p w14:paraId="61803146" w14:textId="77777777" w:rsidR="00177094" w:rsidRDefault="00177094" w:rsidP="00F326E5">
      <w:pPr>
        <w:rPr>
          <w:rFonts w:ascii="Arial Black" w:hAnsi="Arial Black"/>
          <w:b/>
          <w:sz w:val="24"/>
          <w:szCs w:val="24"/>
        </w:rPr>
      </w:pPr>
    </w:p>
    <w:p w14:paraId="12B6E77D" w14:textId="439633A1" w:rsidR="007C6FEF" w:rsidRDefault="007C6FEF"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9</w:t>
      </w:r>
    </w:p>
    <w:p w14:paraId="01A48BA9" w14:textId="77777777" w:rsidR="007C6FEF" w:rsidRDefault="007C6FEF" w:rsidP="007C6FEF">
      <w:pPr>
        <w:rPr>
          <w:rFonts w:ascii="Arial Black" w:hAnsi="Arial Black"/>
          <w:sz w:val="28"/>
          <w:szCs w:val="28"/>
        </w:rPr>
      </w:pPr>
      <w:bookmarkStart w:id="401" w:name="_Hlk40513169"/>
      <w:bookmarkStart w:id="402" w:name="_Hlk29205188"/>
      <w:bookmarkStart w:id="403" w:name="_Hlk41155747"/>
      <w:r w:rsidRPr="00AC7203">
        <w:rPr>
          <w:rFonts w:ascii="Arial Black" w:hAnsi="Arial Black"/>
          <w:sz w:val="28"/>
          <w:szCs w:val="28"/>
        </w:rPr>
        <w:lastRenderedPageBreak/>
        <w:t>NY</w:t>
      </w:r>
      <w:r>
        <w:rPr>
          <w:rFonts w:ascii="Arial Black" w:hAnsi="Arial Black"/>
          <w:sz w:val="28"/>
          <w:szCs w:val="28"/>
        </w:rPr>
        <w:t>:  FDNY - BACK PAY FOR EMS – HRS WORKED BEFORE / AFTER SHIFT – WILFULL VIOLATION – 3-YRS BACK PAY, DOUBLED - $14.4 MILLION</w:t>
      </w:r>
    </w:p>
    <w:p w14:paraId="208E8366" w14:textId="77777777" w:rsidR="007C6FEF" w:rsidRDefault="007C6FEF" w:rsidP="007C6FEF">
      <w:pPr>
        <w:rPr>
          <w:rFonts w:ascii="Times New Roman" w:hAnsi="Times New Roman"/>
          <w:sz w:val="24"/>
          <w:szCs w:val="24"/>
        </w:rPr>
      </w:pPr>
      <w:r w:rsidRPr="00AC7203">
        <w:rPr>
          <w:rFonts w:ascii="Times New Roman" w:hAnsi="Times New Roman"/>
          <w:sz w:val="24"/>
          <w:szCs w:val="24"/>
        </w:rPr>
        <w:t xml:space="preserve">On </w:t>
      </w:r>
      <w:bookmarkStart w:id="404" w:name="_Hlk39848062"/>
      <w:r>
        <w:rPr>
          <w:rFonts w:ascii="Times New Roman" w:hAnsi="Times New Roman"/>
          <w:sz w:val="24"/>
          <w:szCs w:val="24"/>
        </w:rPr>
        <w:t xml:space="preserve">Dec. 23, 2019, in </w:t>
      </w:r>
      <w:r w:rsidRPr="00AC7203">
        <w:rPr>
          <w:rFonts w:ascii="Times New Roman" w:hAnsi="Times New Roman"/>
          <w:sz w:val="24"/>
          <w:szCs w:val="24"/>
          <w:u w:val="single"/>
        </w:rPr>
        <w:t>Chaz Perry, et al. v. City of New York</w:t>
      </w:r>
      <w:r>
        <w:rPr>
          <w:rFonts w:ascii="Times New Roman" w:hAnsi="Times New Roman"/>
          <w:sz w:val="24"/>
          <w:szCs w:val="24"/>
        </w:rPr>
        <w:t xml:space="preserve">, </w:t>
      </w:r>
      <w:bookmarkEnd w:id="404"/>
      <w:r>
        <w:rPr>
          <w:rFonts w:ascii="Times New Roman" w:hAnsi="Times New Roman"/>
          <w:sz w:val="24"/>
          <w:szCs w:val="24"/>
        </w:rPr>
        <w:t xml:space="preserve">U.S. District Court Judge Vernon S. Broderick, Southern District of New York, granted plaintiff’s motion for final judgment on behalf of </w:t>
      </w:r>
      <w:r w:rsidRPr="003C5EA4">
        <w:rPr>
          <w:rFonts w:ascii="Times New Roman" w:hAnsi="Times New Roman"/>
          <w:sz w:val="24"/>
          <w:szCs w:val="24"/>
        </w:rPr>
        <w:t>2,519</w:t>
      </w:r>
      <w:r>
        <w:rPr>
          <w:rFonts w:ascii="Times New Roman" w:hAnsi="Times New Roman"/>
          <w:sz w:val="24"/>
          <w:szCs w:val="24"/>
        </w:rPr>
        <w:t xml:space="preserve"> </w:t>
      </w:r>
      <w:r w:rsidRPr="003C5EA4">
        <w:rPr>
          <w:rFonts w:ascii="Times New Roman" w:hAnsi="Times New Roman"/>
          <w:sz w:val="24"/>
          <w:szCs w:val="24"/>
        </w:rPr>
        <w:t xml:space="preserve">current </w:t>
      </w:r>
      <w:r>
        <w:rPr>
          <w:rFonts w:ascii="Times New Roman" w:hAnsi="Times New Roman"/>
          <w:sz w:val="24"/>
          <w:szCs w:val="24"/>
        </w:rPr>
        <w:t>and</w:t>
      </w:r>
      <w:r w:rsidRPr="003C5EA4">
        <w:rPr>
          <w:rFonts w:ascii="Times New Roman" w:hAnsi="Times New Roman"/>
          <w:sz w:val="24"/>
          <w:szCs w:val="24"/>
        </w:rPr>
        <w:t xml:space="preserve"> former</w:t>
      </w:r>
      <w:r>
        <w:rPr>
          <w:rFonts w:ascii="Times New Roman" w:hAnsi="Times New Roman"/>
          <w:sz w:val="24"/>
          <w:szCs w:val="24"/>
        </w:rPr>
        <w:t xml:space="preserve"> EMS</w:t>
      </w:r>
      <w:r w:rsidRPr="003C5EA4">
        <w:rPr>
          <w:rFonts w:ascii="Times New Roman" w:hAnsi="Times New Roman"/>
          <w:sz w:val="24"/>
          <w:szCs w:val="24"/>
        </w:rPr>
        <w:t xml:space="preserve">, </w:t>
      </w:r>
      <w:proofErr w:type="gramStart"/>
      <w:r w:rsidRPr="003C5EA4">
        <w:rPr>
          <w:rFonts w:ascii="Times New Roman" w:hAnsi="Times New Roman"/>
          <w:sz w:val="24"/>
          <w:szCs w:val="24"/>
        </w:rPr>
        <w:t xml:space="preserve">and </w:t>
      </w:r>
      <w:r>
        <w:rPr>
          <w:rFonts w:ascii="Times New Roman" w:hAnsi="Times New Roman"/>
          <w:sz w:val="24"/>
          <w:szCs w:val="24"/>
        </w:rPr>
        <w:t>also</w:t>
      </w:r>
      <w:proofErr w:type="gramEnd"/>
      <w:r>
        <w:rPr>
          <w:rFonts w:ascii="Times New Roman" w:hAnsi="Times New Roman"/>
          <w:sz w:val="24"/>
          <w:szCs w:val="24"/>
        </w:rPr>
        <w:t xml:space="preserve"> </w:t>
      </w:r>
      <w:r w:rsidRPr="003C5EA4">
        <w:rPr>
          <w:rFonts w:ascii="Times New Roman" w:hAnsi="Times New Roman"/>
          <w:sz w:val="24"/>
          <w:szCs w:val="24"/>
        </w:rPr>
        <w:t>Fire Safety Inspectors below the rank of lieutenan</w:t>
      </w:r>
      <w:r>
        <w:rPr>
          <w:rFonts w:ascii="Times New Roman" w:hAnsi="Times New Roman"/>
          <w:sz w:val="24"/>
          <w:szCs w:val="24"/>
        </w:rPr>
        <w:t xml:space="preserve">t.   A jury found the FDNY willfully violated FLSA by allowing EMS and Inspector to work early or after shift while not “on the clock.”  Federal judge awarded backpay for three years for willful violation (not just two years) of </w:t>
      </w:r>
      <w:r w:rsidRPr="003C5EA4">
        <w:rPr>
          <w:rFonts w:ascii="Times New Roman" w:hAnsi="Times New Roman"/>
          <w:sz w:val="24"/>
          <w:szCs w:val="24"/>
        </w:rPr>
        <w:t>$7,238,513.00</w:t>
      </w:r>
      <w:r>
        <w:rPr>
          <w:rFonts w:ascii="Times New Roman" w:hAnsi="Times New Roman"/>
          <w:sz w:val="24"/>
          <w:szCs w:val="24"/>
        </w:rPr>
        <w:t xml:space="preserve">, </w:t>
      </w:r>
      <w:r w:rsidRPr="003C5EA4">
        <w:rPr>
          <w:rFonts w:ascii="Times New Roman" w:hAnsi="Times New Roman"/>
          <w:sz w:val="24"/>
          <w:szCs w:val="24"/>
        </w:rPr>
        <w:t>as well as</w:t>
      </w:r>
      <w:r>
        <w:rPr>
          <w:rFonts w:ascii="Times New Roman" w:hAnsi="Times New Roman"/>
          <w:sz w:val="24"/>
          <w:szCs w:val="24"/>
        </w:rPr>
        <w:t xml:space="preserve"> an equal amount of </w:t>
      </w:r>
      <w:r w:rsidRPr="003C5EA4">
        <w:rPr>
          <w:rFonts w:ascii="Times New Roman" w:hAnsi="Times New Roman"/>
          <w:sz w:val="24"/>
          <w:szCs w:val="24"/>
        </w:rPr>
        <w:t>$7,238,513.00 in liquidated damages</w:t>
      </w:r>
      <w:r>
        <w:rPr>
          <w:rFonts w:ascii="Times New Roman" w:hAnsi="Times New Roman"/>
          <w:sz w:val="24"/>
          <w:szCs w:val="24"/>
        </w:rPr>
        <w:t xml:space="preserve">. </w:t>
      </w:r>
    </w:p>
    <w:bookmarkEnd w:id="401"/>
    <w:p w14:paraId="1653B1F5" w14:textId="77777777" w:rsidR="007C6FEF" w:rsidRPr="003C5EA4" w:rsidRDefault="007C6FEF" w:rsidP="007C6FEF">
      <w:pPr>
        <w:ind w:left="720"/>
        <w:rPr>
          <w:rFonts w:ascii="Times New Roman" w:hAnsi="Times New Roman"/>
          <w:sz w:val="24"/>
          <w:szCs w:val="24"/>
        </w:rPr>
      </w:pPr>
      <w:r>
        <w:rPr>
          <w:rFonts w:ascii="Times New Roman" w:hAnsi="Times New Roman"/>
          <w:sz w:val="24"/>
          <w:szCs w:val="24"/>
        </w:rPr>
        <w:t>“</w:t>
      </w:r>
      <w:r w:rsidRPr="003C5EA4">
        <w:rPr>
          <w:rFonts w:ascii="Times New Roman" w:hAnsi="Times New Roman"/>
          <w:sz w:val="24"/>
          <w:szCs w:val="24"/>
        </w:rPr>
        <w:t>Because the jury in this case has already determined that Defendants committed a willful violation of the FLSA, I reject Defendants’ request to deny liquidated damages in this case.</w:t>
      </w:r>
      <w:r>
        <w:rPr>
          <w:rFonts w:ascii="Times New Roman" w:hAnsi="Times New Roman"/>
          <w:sz w:val="24"/>
          <w:szCs w:val="24"/>
        </w:rPr>
        <w:t xml:space="preserve">”   </w:t>
      </w:r>
      <w:bookmarkStart w:id="405" w:name="_Hlk29205937"/>
      <w:bookmarkStart w:id="406" w:name="_Hlk39848078"/>
      <w:r>
        <w:rPr>
          <w:rFonts w:ascii="Times New Roman" w:hAnsi="Times New Roman"/>
          <w:sz w:val="24"/>
          <w:szCs w:val="24"/>
        </w:rPr>
        <w:fldChar w:fldCharType="begin"/>
      </w:r>
      <w:r>
        <w:rPr>
          <w:rFonts w:ascii="Times New Roman" w:hAnsi="Times New Roman"/>
          <w:sz w:val="24"/>
          <w:szCs w:val="24"/>
        </w:rPr>
        <w:instrText xml:space="preserve"> HYPERLINK "</w:instrText>
      </w:r>
      <w:r w:rsidRPr="004B1B03">
        <w:rPr>
          <w:rFonts w:ascii="Times New Roman" w:hAnsi="Times New Roman"/>
          <w:sz w:val="24"/>
          <w:szCs w:val="24"/>
        </w:rPr>
        <w:instrText>https://casetext.com/case/perry-v-city-of-ny-4</w:instrText>
      </w:r>
      <w:r>
        <w:rPr>
          <w:rFonts w:ascii="Times New Roman" w:hAnsi="Times New Roman"/>
          <w:sz w:val="24"/>
          <w:szCs w:val="24"/>
        </w:rPr>
        <w:instrText xml:space="preserve">" </w:instrText>
      </w:r>
      <w:r>
        <w:rPr>
          <w:rFonts w:ascii="Times New Roman" w:hAnsi="Times New Roman"/>
          <w:sz w:val="24"/>
          <w:szCs w:val="24"/>
        </w:rPr>
      </w:r>
      <w:r>
        <w:rPr>
          <w:rFonts w:ascii="Times New Roman" w:hAnsi="Times New Roman"/>
          <w:sz w:val="24"/>
          <w:szCs w:val="24"/>
        </w:rPr>
        <w:fldChar w:fldCharType="separate"/>
      </w:r>
      <w:r w:rsidRPr="00D24870">
        <w:rPr>
          <w:rStyle w:val="Hyperlink"/>
          <w:rFonts w:ascii="Times New Roman" w:hAnsi="Times New Roman"/>
          <w:sz w:val="24"/>
          <w:szCs w:val="24"/>
        </w:rPr>
        <w:t>https://casetext.com/case/perry-v-city-of-ny-4</w:t>
      </w:r>
      <w:r>
        <w:rPr>
          <w:rFonts w:ascii="Times New Roman" w:hAnsi="Times New Roman"/>
          <w:sz w:val="24"/>
          <w:szCs w:val="24"/>
        </w:rPr>
        <w:fldChar w:fldCharType="end"/>
      </w:r>
      <w:r>
        <w:rPr>
          <w:rFonts w:ascii="Times New Roman" w:hAnsi="Times New Roman"/>
          <w:sz w:val="24"/>
          <w:szCs w:val="24"/>
        </w:rPr>
        <w:t xml:space="preserve"> </w:t>
      </w:r>
      <w:bookmarkEnd w:id="405"/>
    </w:p>
    <w:bookmarkEnd w:id="402"/>
    <w:bookmarkEnd w:id="406"/>
    <w:p w14:paraId="5C6A6D25" w14:textId="77777777" w:rsidR="00A16B10" w:rsidRDefault="00A16B10" w:rsidP="00A16B10">
      <w:pPr>
        <w:rPr>
          <w:rFonts w:ascii="Times New Roman" w:hAnsi="Times New Roman"/>
          <w:b/>
          <w:bCs/>
          <w:sz w:val="24"/>
          <w:szCs w:val="24"/>
        </w:rPr>
      </w:pPr>
      <w:r w:rsidRPr="00A16B10">
        <w:rPr>
          <w:rFonts w:ascii="Times New Roman" w:hAnsi="Times New Roman"/>
          <w:b/>
          <w:bCs/>
          <w:sz w:val="24"/>
          <w:szCs w:val="24"/>
        </w:rPr>
        <w:t>Legal Lesson Learned: Willful violations of FLSA can result in damages of three years of back pay, doubled</w:t>
      </w:r>
      <w:bookmarkEnd w:id="403"/>
      <w:r w:rsidRPr="00A16B10">
        <w:rPr>
          <w:rFonts w:ascii="Times New Roman" w:hAnsi="Times New Roman"/>
          <w:b/>
          <w:bCs/>
          <w:sz w:val="24"/>
          <w:szCs w:val="24"/>
        </w:rPr>
        <w:t xml:space="preserve">. </w:t>
      </w:r>
    </w:p>
    <w:p w14:paraId="1585BA87" w14:textId="77777777" w:rsidR="00B13773" w:rsidRDefault="00B13773" w:rsidP="00A16B10">
      <w:pPr>
        <w:rPr>
          <w:rFonts w:ascii="Arial Black" w:hAnsi="Arial Black"/>
          <w:b/>
          <w:bCs/>
          <w:sz w:val="28"/>
          <w:szCs w:val="28"/>
        </w:rPr>
      </w:pPr>
    </w:p>
    <w:p w14:paraId="06DAD8A5" w14:textId="5C82806D" w:rsidR="00411E0E" w:rsidRPr="00B13773" w:rsidRDefault="00B13773" w:rsidP="00A16B10">
      <w:pPr>
        <w:rPr>
          <w:rFonts w:ascii="Arial Black" w:hAnsi="Arial Black"/>
          <w:b/>
          <w:bCs/>
          <w:sz w:val="28"/>
          <w:szCs w:val="28"/>
        </w:rPr>
      </w:pPr>
      <w:r w:rsidRPr="00B13773">
        <w:rPr>
          <w:rFonts w:ascii="Arial Black" w:hAnsi="Arial Black"/>
          <w:b/>
          <w:bCs/>
          <w:sz w:val="28"/>
          <w:szCs w:val="28"/>
        </w:rPr>
        <w:t>11-8</w:t>
      </w:r>
    </w:p>
    <w:p w14:paraId="61C21C93" w14:textId="77777777" w:rsidR="00411E0E" w:rsidRDefault="00411E0E" w:rsidP="00411E0E">
      <w:pPr>
        <w:rPr>
          <w:sz w:val="48"/>
          <w:szCs w:val="48"/>
        </w:rPr>
      </w:pPr>
      <w:r>
        <w:rPr>
          <w:rFonts w:ascii="Arial Black" w:hAnsi="Arial Black"/>
          <w:b/>
          <w:sz w:val="28"/>
          <w:szCs w:val="28"/>
        </w:rPr>
        <w:t xml:space="preserve">IL: </w:t>
      </w:r>
      <w:r w:rsidRPr="00097703">
        <w:rPr>
          <w:rFonts w:ascii="Arial Black" w:hAnsi="Arial Black"/>
          <w:sz w:val="28"/>
          <w:szCs w:val="28"/>
        </w:rPr>
        <w:t xml:space="preserve">Justice Department Files Lawsuit Against the City of Chicago </w:t>
      </w:r>
      <w:proofErr w:type="gramStart"/>
      <w:r w:rsidRPr="00097703">
        <w:rPr>
          <w:rFonts w:ascii="Arial Black" w:hAnsi="Arial Black"/>
          <w:sz w:val="28"/>
          <w:szCs w:val="28"/>
        </w:rPr>
        <w:t>To</w:t>
      </w:r>
      <w:proofErr w:type="gramEnd"/>
      <w:r w:rsidRPr="00097703">
        <w:rPr>
          <w:rFonts w:ascii="Arial Black" w:hAnsi="Arial Black"/>
          <w:sz w:val="28"/>
          <w:szCs w:val="28"/>
        </w:rPr>
        <w:t xml:space="preserve"> Enforce USERRA Rights of U.S. Army Reservist</w:t>
      </w:r>
    </w:p>
    <w:p w14:paraId="1AC29819" w14:textId="77777777" w:rsidR="00411E0E" w:rsidRDefault="00411E0E" w:rsidP="00411E0E">
      <w:pPr>
        <w:pStyle w:val="NoSpacing"/>
        <w:rPr>
          <w:rFonts w:ascii="Times New Roman" w:hAnsi="Times New Roman"/>
          <w:sz w:val="24"/>
          <w:szCs w:val="24"/>
        </w:rPr>
      </w:pPr>
    </w:p>
    <w:p w14:paraId="3651CA07" w14:textId="77777777" w:rsidR="00411E0E" w:rsidRDefault="00411E0E" w:rsidP="00411E0E">
      <w:pPr>
        <w:pStyle w:val="NoSpacing"/>
        <w:ind w:left="720"/>
        <w:rPr>
          <w:rFonts w:ascii="Times New Roman" w:hAnsi="Times New Roman"/>
          <w:sz w:val="24"/>
          <w:szCs w:val="24"/>
        </w:rPr>
      </w:pPr>
      <w:r w:rsidRPr="00097703">
        <w:rPr>
          <w:rFonts w:ascii="Times New Roman" w:hAnsi="Times New Roman"/>
          <w:sz w:val="24"/>
          <w:szCs w:val="24"/>
        </w:rPr>
        <w:t xml:space="preserve">“On Dec. 17, 2019, the Department of Justice filed a complaint in the U.S. District Court for the Northern District of Illinois on behalf of Captain and Judge Advocate Derrick Strong against the City of Chicago Fire Department (CFD), alleging that the City violated the Uniformed Services Employment and Reemployment Rights Act of 1994 (USERRA) when it failed to provide Strong with an opportunity, after his return from active duty military service, to take a promotional examination that he missed while deployed.  ***  According to the complaint, Strong is currently assigned to the 416th Theater Engineer Command’s (TEC), Office of the Staff Judge Advocate as a trial counsel and administrative law attorney, where he provides legal advice and overall legal support to the 416th TEC and its Command. He is also employed as a cross-trained firefighter and emergency medical technician-basic (firefighter/EMT) for the Chicago Fire Department. Strong is currently assigned to Squad 5, which is a special operations heavy rescue unit. From Sept. 30, 2016, to June 26, 2017, he was actively deployed with the U.S. Army Reserve in support of Operation Enduring Freedom. While Strong was deployed, the city of Chicago administered a test for firefighters to become fire engineers. He alleges, as outlined in the complaint filed in federal court, that the CFD violated USERRA by failing to provide him with an opportunity to take a fire engineer promotional examination following his return to work upon his honorable discharge from </w:t>
      </w:r>
      <w:proofErr w:type="gramStart"/>
      <w:r w:rsidRPr="00097703">
        <w:rPr>
          <w:rFonts w:ascii="Times New Roman" w:hAnsi="Times New Roman"/>
          <w:sz w:val="24"/>
          <w:szCs w:val="24"/>
        </w:rPr>
        <w:t>active duty</w:t>
      </w:r>
      <w:proofErr w:type="gramEnd"/>
      <w:r w:rsidRPr="00097703">
        <w:rPr>
          <w:rFonts w:ascii="Times New Roman" w:hAnsi="Times New Roman"/>
          <w:sz w:val="24"/>
          <w:szCs w:val="24"/>
        </w:rPr>
        <w:t xml:space="preserve"> military service. </w:t>
      </w:r>
    </w:p>
    <w:p w14:paraId="7AC04B4D" w14:textId="77777777" w:rsidR="00411E0E" w:rsidRDefault="00411E0E" w:rsidP="00411E0E">
      <w:pPr>
        <w:pStyle w:val="NoSpacing"/>
        <w:ind w:left="720"/>
        <w:rPr>
          <w:rFonts w:ascii="Times New Roman" w:hAnsi="Times New Roman"/>
          <w:sz w:val="24"/>
          <w:szCs w:val="24"/>
        </w:rPr>
      </w:pPr>
    </w:p>
    <w:p w14:paraId="3E15C43B" w14:textId="77777777" w:rsidR="00411E0E" w:rsidRPr="00097703" w:rsidRDefault="00411E0E" w:rsidP="00411E0E">
      <w:pPr>
        <w:pStyle w:val="NoSpacing"/>
        <w:ind w:left="1440"/>
        <w:rPr>
          <w:rFonts w:ascii="Times New Roman" w:hAnsi="Times New Roman"/>
          <w:sz w:val="24"/>
          <w:szCs w:val="24"/>
        </w:rPr>
      </w:pPr>
      <w:r>
        <w:rPr>
          <w:rFonts w:ascii="Times New Roman" w:hAnsi="Times New Roman"/>
          <w:sz w:val="24"/>
          <w:szCs w:val="24"/>
        </w:rPr>
        <w:t>“</w:t>
      </w:r>
      <w:r w:rsidRPr="00097703">
        <w:rPr>
          <w:rFonts w:ascii="Times New Roman" w:hAnsi="Times New Roman"/>
          <w:sz w:val="24"/>
          <w:szCs w:val="24"/>
        </w:rPr>
        <w:t xml:space="preserve">The Justice Department gives high priority to the enforcement of servicemembers’ rights under USERRA. This lawsuit stems from a referral to the Department of Justice from the U.S. Department of Labor, after an investigation by the Department of Labor’s Veterans’ Employment and Training Service. Additional information about USERRA can be found on the </w:t>
      </w:r>
      <w:r w:rsidRPr="00097703">
        <w:rPr>
          <w:rFonts w:ascii="Times New Roman" w:hAnsi="Times New Roman"/>
          <w:sz w:val="24"/>
          <w:szCs w:val="24"/>
        </w:rPr>
        <w:lastRenderedPageBreak/>
        <w:t xml:space="preserve">Justice Department’s websites at </w:t>
      </w:r>
      <w:hyperlink r:id="rId1807" w:history="1">
        <w:r w:rsidRPr="00097703">
          <w:rPr>
            <w:rStyle w:val="Hyperlink"/>
            <w:rFonts w:ascii="Times New Roman" w:hAnsi="Times New Roman"/>
            <w:color w:val="auto"/>
            <w:sz w:val="24"/>
            <w:szCs w:val="24"/>
            <w:u w:val="none"/>
          </w:rPr>
          <w:t>https://www.justice.gov/crt-military/employment-rights-userra</w:t>
        </w:r>
      </w:hyperlink>
      <w:r w:rsidRPr="00097703">
        <w:rPr>
          <w:rFonts w:ascii="Times New Roman" w:hAnsi="Times New Roman"/>
          <w:sz w:val="24"/>
          <w:szCs w:val="24"/>
        </w:rPr>
        <w:t xml:space="preserve"> and </w:t>
      </w:r>
      <w:hyperlink r:id="rId1808" w:history="1">
        <w:r w:rsidRPr="00097703">
          <w:rPr>
            <w:rStyle w:val="Hyperlink"/>
            <w:rFonts w:ascii="Times New Roman" w:hAnsi="Times New Roman"/>
            <w:color w:val="auto"/>
            <w:sz w:val="24"/>
            <w:szCs w:val="24"/>
            <w:u w:val="none"/>
          </w:rPr>
          <w:t>https://www.justice.gov/servicemembers</w:t>
        </w:r>
      </w:hyperlink>
      <w:r w:rsidRPr="00097703">
        <w:rPr>
          <w:rFonts w:ascii="Times New Roman" w:hAnsi="Times New Roman"/>
          <w:sz w:val="24"/>
          <w:szCs w:val="24"/>
        </w:rPr>
        <w:t xml:space="preserve">, as well as on the Department of Labor’s website at </w:t>
      </w:r>
      <w:hyperlink r:id="rId1809" w:history="1">
        <w:r w:rsidRPr="00097703">
          <w:rPr>
            <w:rStyle w:val="Hyperlink"/>
            <w:rFonts w:ascii="Times New Roman" w:hAnsi="Times New Roman"/>
            <w:color w:val="auto"/>
            <w:sz w:val="24"/>
            <w:szCs w:val="24"/>
            <w:u w:val="none"/>
          </w:rPr>
          <w:t>https://www.dol.gov/agencies/vets/programs/userra</w:t>
        </w:r>
      </w:hyperlink>
      <w:r w:rsidRPr="00097703">
        <w:rPr>
          <w:rFonts w:ascii="Times New Roman" w:hAnsi="Times New Roman"/>
          <w:sz w:val="24"/>
          <w:szCs w:val="24"/>
        </w:rPr>
        <w:t>.</w:t>
      </w:r>
      <w:r>
        <w:rPr>
          <w:rFonts w:ascii="Times New Roman" w:hAnsi="Times New Roman"/>
          <w:sz w:val="24"/>
          <w:szCs w:val="24"/>
        </w:rPr>
        <w:t>”</w:t>
      </w:r>
    </w:p>
    <w:p w14:paraId="6415DDA1" w14:textId="77777777" w:rsidR="00411E0E" w:rsidRPr="00097703" w:rsidRDefault="00411E0E" w:rsidP="00411E0E">
      <w:pPr>
        <w:pStyle w:val="NoSpacing"/>
        <w:ind w:left="720"/>
        <w:rPr>
          <w:rFonts w:ascii="Times New Roman" w:hAnsi="Times New Roman"/>
          <w:b/>
          <w:sz w:val="24"/>
          <w:szCs w:val="24"/>
        </w:rPr>
      </w:pPr>
      <w:hyperlink r:id="rId1810" w:history="1">
        <w:r w:rsidRPr="00E54FA8">
          <w:rPr>
            <w:rStyle w:val="Hyperlink"/>
            <w:rFonts w:ascii="Times New Roman" w:hAnsi="Times New Roman"/>
            <w:b/>
            <w:sz w:val="24"/>
            <w:szCs w:val="24"/>
          </w:rPr>
          <w:t>https://www.justice.gov/opa/pr/justice-department-files-lawsuit-against-city-chicago-enforce-userra-rights-us-army-reservist</w:t>
        </w:r>
      </w:hyperlink>
      <w:r w:rsidRPr="00097703">
        <w:rPr>
          <w:rFonts w:ascii="Times New Roman" w:hAnsi="Times New Roman"/>
          <w:b/>
          <w:sz w:val="24"/>
          <w:szCs w:val="24"/>
        </w:rPr>
        <w:t xml:space="preserve"> </w:t>
      </w:r>
    </w:p>
    <w:p w14:paraId="35E44D4B" w14:textId="77777777" w:rsidR="00411E0E" w:rsidRPr="0052665B" w:rsidRDefault="00411E0E" w:rsidP="00411E0E">
      <w:pPr>
        <w:ind w:left="720"/>
        <w:rPr>
          <w:rFonts w:ascii="Times New Roman" w:hAnsi="Times New Roman"/>
          <w:b/>
          <w:sz w:val="24"/>
          <w:szCs w:val="24"/>
        </w:rPr>
      </w:pPr>
      <w:r w:rsidRPr="0052665B">
        <w:rPr>
          <w:rFonts w:ascii="Times New Roman" w:hAnsi="Times New Roman"/>
          <w:b/>
          <w:sz w:val="24"/>
          <w:szCs w:val="24"/>
        </w:rPr>
        <w:t xml:space="preserve">Legal Lesson Learned: U.S. Department of Justice gives high priority to enforcement of servicemember’s rights under USERRA. </w:t>
      </w:r>
    </w:p>
    <w:p w14:paraId="220981B7" w14:textId="12760DFD" w:rsidR="00411E0E" w:rsidRPr="00A16B10" w:rsidRDefault="00411E0E" w:rsidP="00411E0E">
      <w:pPr>
        <w:rPr>
          <w:rFonts w:ascii="Times New Roman" w:hAnsi="Times New Roman"/>
          <w:b/>
          <w:bCs/>
          <w:sz w:val="24"/>
          <w:szCs w:val="24"/>
        </w:rPr>
      </w:pPr>
      <w:r w:rsidRPr="0052665B">
        <w:rPr>
          <w:rFonts w:ascii="Times New Roman" w:hAnsi="Times New Roman"/>
          <w:bCs/>
          <w:sz w:val="24"/>
          <w:szCs w:val="24"/>
        </w:rPr>
        <w:tab/>
        <w:t>Note:</w:t>
      </w:r>
      <w:r>
        <w:rPr>
          <w:rFonts w:ascii="Arial Black" w:hAnsi="Arial Black"/>
          <w:b/>
          <w:sz w:val="28"/>
          <w:szCs w:val="28"/>
        </w:rPr>
        <w:t xml:space="preserve"> </w:t>
      </w:r>
      <w:r w:rsidRPr="003A64EA">
        <w:rPr>
          <w:rFonts w:ascii="Times New Roman" w:hAnsi="Times New Roman"/>
          <w:bCs/>
          <w:sz w:val="24"/>
          <w:szCs w:val="24"/>
        </w:rPr>
        <w:t xml:space="preserve">See the complaint: </w:t>
      </w:r>
      <w:hyperlink r:id="rId1811" w:history="1">
        <w:r w:rsidRPr="003A64EA">
          <w:rPr>
            <w:rStyle w:val="Hyperlink"/>
            <w:rFonts w:ascii="Times New Roman" w:hAnsi="Times New Roman"/>
            <w:bCs/>
            <w:sz w:val="24"/>
            <w:szCs w:val="24"/>
          </w:rPr>
          <w:t>https://www.justice.gov/crt/case-document/file/1227366/download</w:t>
        </w:r>
      </w:hyperlink>
    </w:p>
    <w:p w14:paraId="31F797F1" w14:textId="77777777" w:rsidR="007C6FEF" w:rsidRDefault="007C6FEF" w:rsidP="00F326E5">
      <w:pPr>
        <w:rPr>
          <w:rFonts w:ascii="Arial Black" w:hAnsi="Arial Black"/>
          <w:b/>
          <w:sz w:val="24"/>
          <w:szCs w:val="24"/>
        </w:rPr>
      </w:pPr>
    </w:p>
    <w:p w14:paraId="015CE13D" w14:textId="2D6F740D" w:rsidR="00C80464" w:rsidRDefault="00C80464" w:rsidP="00F326E5">
      <w:pPr>
        <w:rPr>
          <w:rFonts w:ascii="Arial Black" w:hAnsi="Arial Black"/>
          <w:b/>
          <w:sz w:val="24"/>
          <w:szCs w:val="24"/>
        </w:rPr>
      </w:pPr>
      <w:r>
        <w:rPr>
          <w:rFonts w:ascii="Arial Black" w:hAnsi="Arial Black"/>
          <w:b/>
          <w:sz w:val="24"/>
          <w:szCs w:val="24"/>
        </w:rPr>
        <w:t>11-</w:t>
      </w:r>
      <w:r w:rsidR="00E9307E">
        <w:rPr>
          <w:rFonts w:ascii="Arial Black" w:hAnsi="Arial Black"/>
          <w:b/>
          <w:sz w:val="24"/>
          <w:szCs w:val="24"/>
        </w:rPr>
        <w:t>7</w:t>
      </w:r>
    </w:p>
    <w:p w14:paraId="6C87C887" w14:textId="77777777" w:rsidR="00C80464" w:rsidRPr="008B02FC" w:rsidRDefault="00C80464" w:rsidP="00C80464">
      <w:pPr>
        <w:pStyle w:val="NoSpacing"/>
        <w:rPr>
          <w:rFonts w:ascii="Arial Black" w:eastAsia="Times New Roman" w:hAnsi="Arial Black"/>
          <w:b/>
          <w:bCs/>
          <w:sz w:val="28"/>
          <w:szCs w:val="28"/>
        </w:rPr>
      </w:pPr>
      <w:bookmarkStart w:id="407" w:name="_Hlk39771953"/>
      <w:r w:rsidRPr="008B02FC">
        <w:rPr>
          <w:rFonts w:ascii="Arial Black" w:hAnsi="Arial Black"/>
          <w:b/>
          <w:bCs/>
          <w:sz w:val="28"/>
          <w:szCs w:val="28"/>
        </w:rPr>
        <w:t>GA</w:t>
      </w:r>
      <w:r>
        <w:rPr>
          <w:rFonts w:ascii="Arial Black" w:hAnsi="Arial Black"/>
          <w:b/>
          <w:bCs/>
          <w:sz w:val="28"/>
          <w:szCs w:val="28"/>
        </w:rPr>
        <w:t xml:space="preserve">:  FF WORKING 40-HOURS, BUT CLASSIFIED “PART-TIME” - CLASS ACTION LAWSUIT ON BEHALF OF 86 FF PROCEED </w:t>
      </w:r>
    </w:p>
    <w:p w14:paraId="12797646" w14:textId="58DE771F" w:rsidR="00C80464" w:rsidRDefault="00C80464" w:rsidP="00C8046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Sept. 16, 2019, in </w:t>
      </w:r>
      <w:r w:rsidRPr="00D26715">
        <w:rPr>
          <w:rFonts w:ascii="Times New Roman" w:eastAsia="Times New Roman" w:hAnsi="Times New Roman"/>
          <w:sz w:val="24"/>
          <w:szCs w:val="24"/>
          <w:u w:val="single"/>
        </w:rPr>
        <w:t>City of Roswell v. David Bible and Brian Rogers</w:t>
      </w:r>
      <w:r>
        <w:rPr>
          <w:rFonts w:ascii="Times New Roman" w:eastAsia="Times New Roman" w:hAnsi="Times New Roman"/>
          <w:sz w:val="24"/>
          <w:szCs w:val="24"/>
        </w:rPr>
        <w:t xml:space="preserve">, the Court of Appeals of Georgia, held (3 to 0) that trial judge properly held that the class action lawsuit on behalf of about 86 firefighters may proceed.  </w:t>
      </w:r>
      <w:r w:rsidR="00E75F94">
        <w:rPr>
          <w:rFonts w:ascii="Times New Roman" w:eastAsia="Times New Roman" w:hAnsi="Times New Roman"/>
          <w:sz w:val="24"/>
          <w:szCs w:val="24"/>
        </w:rPr>
        <w:t>P</w:t>
      </w:r>
      <w:r>
        <w:rPr>
          <w:rFonts w:ascii="Times New Roman" w:eastAsia="Times New Roman" w:hAnsi="Times New Roman"/>
          <w:sz w:val="24"/>
          <w:szCs w:val="24"/>
        </w:rPr>
        <w:t xml:space="preserve">residing Judge Christopher J. McMillan wrote:  </w:t>
      </w:r>
    </w:p>
    <w:p w14:paraId="65530C47" w14:textId="53A66770" w:rsidR="00C80464" w:rsidRDefault="00C80464" w:rsidP="00A16B1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2295F">
        <w:rPr>
          <w:rFonts w:ascii="Times New Roman" w:hAnsi="Times New Roman"/>
          <w:sz w:val="24"/>
          <w:szCs w:val="24"/>
        </w:rPr>
        <w:t>The</w:t>
      </w:r>
      <w:r>
        <w:rPr>
          <w:rFonts w:ascii="Times New Roman" w:hAnsi="Times New Roman"/>
          <w:sz w:val="24"/>
          <w:szCs w:val="24"/>
        </w:rPr>
        <w:t xml:space="preserve"> </w:t>
      </w:r>
      <w:proofErr w:type="gramStart"/>
      <w:r w:rsidRPr="00D2295F">
        <w:rPr>
          <w:rFonts w:ascii="Times New Roman" w:hAnsi="Times New Roman"/>
          <w:sz w:val="24"/>
          <w:szCs w:val="24"/>
        </w:rPr>
        <w:t>City</w:t>
      </w:r>
      <w:proofErr w:type="gramEnd"/>
      <w:r>
        <w:rPr>
          <w:rFonts w:ascii="Times New Roman" w:hAnsi="Times New Roman"/>
          <w:sz w:val="24"/>
          <w:szCs w:val="24"/>
        </w:rPr>
        <w:t xml:space="preserve"> </w:t>
      </w:r>
      <w:r w:rsidRPr="00D2295F">
        <w:rPr>
          <w:rFonts w:ascii="Times New Roman" w:hAnsi="Times New Roman"/>
          <w:sz w:val="24"/>
          <w:szCs w:val="24"/>
        </w:rPr>
        <w:t>alleges</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r w:rsidRPr="00D2295F">
        <w:rPr>
          <w:rFonts w:ascii="Times New Roman" w:hAnsi="Times New Roman"/>
          <w:sz w:val="24"/>
          <w:szCs w:val="24"/>
        </w:rPr>
        <w:t>because Bible and</w:t>
      </w:r>
      <w:r>
        <w:rPr>
          <w:rFonts w:ascii="Times New Roman" w:hAnsi="Times New Roman"/>
          <w:sz w:val="24"/>
          <w:szCs w:val="24"/>
        </w:rPr>
        <w:t xml:space="preserve"> </w:t>
      </w:r>
      <w:r w:rsidRPr="00D2295F">
        <w:rPr>
          <w:rFonts w:ascii="Times New Roman" w:hAnsi="Times New Roman"/>
          <w:sz w:val="24"/>
          <w:szCs w:val="24"/>
        </w:rPr>
        <w:t>Rogers</w:t>
      </w:r>
      <w:r>
        <w:rPr>
          <w:rFonts w:ascii="Times New Roman" w:hAnsi="Times New Roman"/>
          <w:sz w:val="24"/>
          <w:szCs w:val="24"/>
        </w:rPr>
        <w:t xml:space="preserve"> </w:t>
      </w:r>
      <w:r w:rsidRPr="00D2295F">
        <w:rPr>
          <w:rFonts w:ascii="Times New Roman" w:hAnsi="Times New Roman"/>
          <w:sz w:val="24"/>
          <w:szCs w:val="24"/>
        </w:rPr>
        <w:t>acquiesced</w:t>
      </w:r>
      <w:r>
        <w:rPr>
          <w:rFonts w:ascii="Times New Roman" w:hAnsi="Times New Roman"/>
          <w:sz w:val="24"/>
          <w:szCs w:val="24"/>
        </w:rPr>
        <w:t xml:space="preserve"> </w:t>
      </w:r>
      <w:r w:rsidRPr="00D2295F">
        <w:rPr>
          <w:rFonts w:ascii="Times New Roman" w:hAnsi="Times New Roman"/>
          <w:sz w:val="24"/>
          <w:szCs w:val="24"/>
        </w:rPr>
        <w:t>in</w:t>
      </w:r>
      <w:r>
        <w:rPr>
          <w:rFonts w:ascii="Times New Roman" w:hAnsi="Times New Roman"/>
          <w:sz w:val="24"/>
          <w:szCs w:val="24"/>
        </w:rPr>
        <w:t xml:space="preserve"> </w:t>
      </w:r>
      <w:r w:rsidRPr="00D2295F">
        <w:rPr>
          <w:rFonts w:ascii="Times New Roman" w:hAnsi="Times New Roman"/>
          <w:sz w:val="24"/>
          <w:szCs w:val="24"/>
        </w:rPr>
        <w:t>their non-benefitted</w:t>
      </w:r>
      <w:r>
        <w:rPr>
          <w:rFonts w:ascii="Times New Roman" w:hAnsi="Times New Roman"/>
          <w:sz w:val="24"/>
          <w:szCs w:val="24"/>
        </w:rPr>
        <w:t xml:space="preserve"> </w:t>
      </w:r>
      <w:r w:rsidRPr="00D2295F">
        <w:rPr>
          <w:rFonts w:ascii="Times New Roman" w:hAnsi="Times New Roman"/>
          <w:sz w:val="24"/>
          <w:szCs w:val="24"/>
        </w:rPr>
        <w:t>status</w:t>
      </w:r>
      <w:r>
        <w:rPr>
          <w:rFonts w:ascii="Times New Roman" w:hAnsi="Times New Roman"/>
          <w:sz w:val="24"/>
          <w:szCs w:val="24"/>
        </w:rPr>
        <w:t xml:space="preserve"> </w:t>
      </w:r>
      <w:r w:rsidRPr="00D2295F">
        <w:rPr>
          <w:rFonts w:ascii="Times New Roman" w:hAnsi="Times New Roman"/>
          <w:sz w:val="24"/>
          <w:szCs w:val="24"/>
        </w:rPr>
        <w:t>and</w:t>
      </w:r>
      <w:r>
        <w:rPr>
          <w:rFonts w:ascii="Times New Roman" w:hAnsi="Times New Roman"/>
          <w:sz w:val="24"/>
          <w:szCs w:val="24"/>
        </w:rPr>
        <w:t xml:space="preserve"> </w:t>
      </w:r>
      <w:r w:rsidRPr="00D2295F">
        <w:rPr>
          <w:rFonts w:ascii="Times New Roman" w:hAnsi="Times New Roman"/>
          <w:sz w:val="24"/>
          <w:szCs w:val="24"/>
        </w:rPr>
        <w:t>worked</w:t>
      </w:r>
      <w:r>
        <w:rPr>
          <w:rFonts w:ascii="Times New Roman" w:hAnsi="Times New Roman"/>
          <w:sz w:val="24"/>
          <w:szCs w:val="24"/>
        </w:rPr>
        <w:t xml:space="preserve"> </w:t>
      </w:r>
      <w:r w:rsidRPr="00D2295F">
        <w:rPr>
          <w:rFonts w:ascii="Times New Roman" w:hAnsi="Times New Roman"/>
          <w:sz w:val="24"/>
          <w:szCs w:val="24"/>
        </w:rPr>
        <w:t>over 2,080</w:t>
      </w:r>
      <w:r>
        <w:rPr>
          <w:rFonts w:ascii="Times New Roman" w:hAnsi="Times New Roman"/>
          <w:sz w:val="24"/>
          <w:szCs w:val="24"/>
        </w:rPr>
        <w:t xml:space="preserve"> </w:t>
      </w:r>
      <w:r w:rsidRPr="00D2295F">
        <w:rPr>
          <w:rFonts w:ascii="Times New Roman" w:hAnsi="Times New Roman"/>
          <w:sz w:val="24"/>
          <w:szCs w:val="24"/>
        </w:rPr>
        <w:t>hours</w:t>
      </w:r>
      <w:r>
        <w:rPr>
          <w:rFonts w:ascii="Times New Roman" w:hAnsi="Times New Roman"/>
          <w:sz w:val="24"/>
          <w:szCs w:val="24"/>
        </w:rPr>
        <w:t xml:space="preserve"> </w:t>
      </w:r>
      <w:r w:rsidRPr="00D2295F">
        <w:rPr>
          <w:rFonts w:ascii="Times New Roman" w:hAnsi="Times New Roman"/>
          <w:sz w:val="24"/>
          <w:szCs w:val="24"/>
        </w:rPr>
        <w:t>per year, they</w:t>
      </w:r>
      <w:r>
        <w:rPr>
          <w:rFonts w:ascii="Times New Roman" w:hAnsi="Times New Roman"/>
          <w:sz w:val="24"/>
          <w:szCs w:val="24"/>
        </w:rPr>
        <w:t xml:space="preserve"> </w:t>
      </w:r>
      <w:r w:rsidRPr="00D2295F">
        <w:rPr>
          <w:rFonts w:ascii="Times New Roman" w:hAnsi="Times New Roman"/>
          <w:sz w:val="24"/>
          <w:szCs w:val="24"/>
        </w:rPr>
        <w:t>are not</w:t>
      </w:r>
      <w:r>
        <w:rPr>
          <w:rFonts w:ascii="Times New Roman" w:hAnsi="Times New Roman"/>
          <w:sz w:val="24"/>
          <w:szCs w:val="24"/>
        </w:rPr>
        <w:t xml:space="preserve"> </w:t>
      </w:r>
      <w:r w:rsidRPr="00D2295F">
        <w:rPr>
          <w:rFonts w:ascii="Times New Roman" w:hAnsi="Times New Roman"/>
          <w:sz w:val="24"/>
          <w:szCs w:val="24"/>
        </w:rPr>
        <w:t>typical</w:t>
      </w:r>
      <w:r>
        <w:rPr>
          <w:rFonts w:ascii="Times New Roman" w:hAnsi="Times New Roman"/>
          <w:sz w:val="24"/>
          <w:szCs w:val="24"/>
        </w:rPr>
        <w:t xml:space="preserve"> </w:t>
      </w:r>
      <w:r w:rsidRPr="00D2295F">
        <w:rPr>
          <w:rFonts w:ascii="Times New Roman" w:hAnsi="Times New Roman"/>
          <w:sz w:val="24"/>
          <w:szCs w:val="24"/>
        </w:rPr>
        <w:t>of other</w:t>
      </w:r>
      <w:r>
        <w:rPr>
          <w:rFonts w:ascii="Times New Roman" w:hAnsi="Times New Roman"/>
          <w:sz w:val="24"/>
          <w:szCs w:val="24"/>
        </w:rPr>
        <w:t xml:space="preserve"> </w:t>
      </w:r>
      <w:r w:rsidRPr="00D2295F">
        <w:rPr>
          <w:rFonts w:ascii="Times New Roman" w:hAnsi="Times New Roman"/>
          <w:sz w:val="24"/>
          <w:szCs w:val="24"/>
        </w:rPr>
        <w:t>class</w:t>
      </w:r>
      <w:r>
        <w:rPr>
          <w:rFonts w:ascii="Times New Roman" w:hAnsi="Times New Roman"/>
          <w:sz w:val="24"/>
          <w:szCs w:val="24"/>
        </w:rPr>
        <w:t xml:space="preserve"> </w:t>
      </w:r>
      <w:r w:rsidRPr="00D2295F">
        <w:rPr>
          <w:rFonts w:ascii="Times New Roman" w:hAnsi="Times New Roman"/>
          <w:sz w:val="24"/>
          <w:szCs w:val="24"/>
        </w:rPr>
        <w:t>members</w:t>
      </w:r>
      <w:r>
        <w:rPr>
          <w:rFonts w:ascii="Times New Roman" w:hAnsi="Times New Roman"/>
          <w:sz w:val="24"/>
          <w:szCs w:val="24"/>
        </w:rPr>
        <w:t xml:space="preserve"> </w:t>
      </w:r>
      <w:r w:rsidRPr="00D2295F">
        <w:rPr>
          <w:rFonts w:ascii="Times New Roman" w:hAnsi="Times New Roman"/>
          <w:sz w:val="24"/>
          <w:szCs w:val="24"/>
        </w:rPr>
        <w:t>who</w:t>
      </w:r>
      <w:r>
        <w:rPr>
          <w:rFonts w:ascii="Times New Roman" w:hAnsi="Times New Roman"/>
          <w:sz w:val="24"/>
          <w:szCs w:val="24"/>
        </w:rPr>
        <w:t xml:space="preserve"> </w:t>
      </w:r>
      <w:r w:rsidRPr="00D2295F">
        <w:rPr>
          <w:rFonts w:ascii="Times New Roman" w:hAnsi="Times New Roman"/>
          <w:sz w:val="24"/>
          <w:szCs w:val="24"/>
        </w:rPr>
        <w:t>did</w:t>
      </w:r>
      <w:r>
        <w:rPr>
          <w:rFonts w:ascii="Times New Roman" w:hAnsi="Times New Roman"/>
          <w:sz w:val="24"/>
          <w:szCs w:val="24"/>
        </w:rPr>
        <w:t xml:space="preserve"> </w:t>
      </w:r>
      <w:r w:rsidRPr="00D2295F">
        <w:rPr>
          <w:rFonts w:ascii="Times New Roman" w:hAnsi="Times New Roman"/>
          <w:sz w:val="24"/>
          <w:szCs w:val="24"/>
        </w:rPr>
        <w:t>not waive their entitlement</w:t>
      </w:r>
      <w:r>
        <w:rPr>
          <w:rFonts w:ascii="Times New Roman" w:hAnsi="Times New Roman"/>
          <w:sz w:val="24"/>
          <w:szCs w:val="24"/>
        </w:rPr>
        <w:t xml:space="preserve"> </w:t>
      </w:r>
      <w:r w:rsidRPr="00D2295F">
        <w:rPr>
          <w:rFonts w:ascii="Times New Roman" w:hAnsi="Times New Roman"/>
          <w:sz w:val="24"/>
          <w:szCs w:val="24"/>
        </w:rPr>
        <w:t>to</w:t>
      </w:r>
      <w:r>
        <w:rPr>
          <w:rFonts w:ascii="Times New Roman" w:hAnsi="Times New Roman"/>
          <w:sz w:val="24"/>
          <w:szCs w:val="24"/>
        </w:rPr>
        <w:t xml:space="preserve"> </w:t>
      </w:r>
      <w:r w:rsidRPr="00D2295F">
        <w:rPr>
          <w:rFonts w:ascii="Times New Roman" w:hAnsi="Times New Roman"/>
          <w:sz w:val="24"/>
          <w:szCs w:val="24"/>
        </w:rPr>
        <w:t>any</w:t>
      </w:r>
      <w:r>
        <w:rPr>
          <w:rFonts w:ascii="Times New Roman" w:hAnsi="Times New Roman"/>
          <w:sz w:val="24"/>
          <w:szCs w:val="24"/>
        </w:rPr>
        <w:t xml:space="preserve"> </w:t>
      </w:r>
      <w:r w:rsidRPr="00D2295F">
        <w:rPr>
          <w:rFonts w:ascii="Times New Roman" w:hAnsi="Times New Roman"/>
          <w:sz w:val="24"/>
          <w:szCs w:val="24"/>
        </w:rPr>
        <w:t>benefits</w:t>
      </w:r>
      <w:r>
        <w:rPr>
          <w:rFonts w:ascii="Times New Roman" w:hAnsi="Times New Roman"/>
          <w:sz w:val="24"/>
          <w:szCs w:val="24"/>
        </w:rPr>
        <w:t xml:space="preserve"> </w:t>
      </w:r>
      <w:r w:rsidRPr="00D2295F">
        <w:rPr>
          <w:rFonts w:ascii="Times New Roman" w:hAnsi="Times New Roman"/>
          <w:sz w:val="24"/>
          <w:szCs w:val="24"/>
        </w:rPr>
        <w:t>or those who</w:t>
      </w:r>
      <w:r>
        <w:rPr>
          <w:rFonts w:ascii="Times New Roman" w:hAnsi="Times New Roman"/>
          <w:sz w:val="24"/>
          <w:szCs w:val="24"/>
        </w:rPr>
        <w:t xml:space="preserve"> </w:t>
      </w:r>
      <w:r w:rsidRPr="00D2295F">
        <w:rPr>
          <w:rFonts w:ascii="Times New Roman" w:hAnsi="Times New Roman"/>
          <w:sz w:val="24"/>
          <w:szCs w:val="24"/>
        </w:rPr>
        <w:t>worked</w:t>
      </w:r>
      <w:r>
        <w:rPr>
          <w:rFonts w:ascii="Times New Roman" w:hAnsi="Times New Roman"/>
          <w:sz w:val="24"/>
          <w:szCs w:val="24"/>
        </w:rPr>
        <w:t xml:space="preserve"> </w:t>
      </w:r>
      <w:r w:rsidRPr="00D2295F">
        <w:rPr>
          <w:rFonts w:ascii="Times New Roman" w:hAnsi="Times New Roman"/>
          <w:sz w:val="24"/>
          <w:szCs w:val="24"/>
        </w:rPr>
        <w:t>less</w:t>
      </w:r>
      <w:r>
        <w:rPr>
          <w:rFonts w:ascii="Times New Roman" w:hAnsi="Times New Roman"/>
          <w:sz w:val="24"/>
          <w:szCs w:val="24"/>
        </w:rPr>
        <w:t xml:space="preserve"> </w:t>
      </w:r>
      <w:r w:rsidRPr="00D2295F">
        <w:rPr>
          <w:rFonts w:ascii="Times New Roman" w:hAnsi="Times New Roman"/>
          <w:sz w:val="24"/>
          <w:szCs w:val="24"/>
        </w:rPr>
        <w:t>than</w:t>
      </w:r>
      <w:r>
        <w:rPr>
          <w:rFonts w:ascii="Times New Roman" w:hAnsi="Times New Roman"/>
          <w:sz w:val="24"/>
          <w:szCs w:val="24"/>
        </w:rPr>
        <w:t xml:space="preserve"> </w:t>
      </w:r>
      <w:r w:rsidRPr="00D2295F">
        <w:rPr>
          <w:rFonts w:ascii="Times New Roman" w:hAnsi="Times New Roman"/>
          <w:sz w:val="24"/>
          <w:szCs w:val="24"/>
        </w:rPr>
        <w:t>2,080</w:t>
      </w:r>
      <w:r>
        <w:rPr>
          <w:rFonts w:ascii="Times New Roman" w:hAnsi="Times New Roman"/>
          <w:sz w:val="24"/>
          <w:szCs w:val="24"/>
        </w:rPr>
        <w:t xml:space="preserve"> </w:t>
      </w:r>
      <w:r w:rsidRPr="00D2295F">
        <w:rPr>
          <w:rFonts w:ascii="Times New Roman" w:hAnsi="Times New Roman"/>
          <w:sz w:val="24"/>
          <w:szCs w:val="24"/>
        </w:rPr>
        <w:t>hours</w:t>
      </w:r>
      <w:r>
        <w:rPr>
          <w:rFonts w:ascii="Times New Roman" w:hAnsi="Times New Roman"/>
          <w:sz w:val="24"/>
          <w:szCs w:val="24"/>
        </w:rPr>
        <w:t xml:space="preserve"> </w:t>
      </w:r>
      <w:r w:rsidRPr="00D2295F">
        <w:rPr>
          <w:rFonts w:ascii="Times New Roman" w:hAnsi="Times New Roman"/>
          <w:sz w:val="24"/>
          <w:szCs w:val="24"/>
        </w:rPr>
        <w:t xml:space="preserve">per year. However, </w:t>
      </w:r>
      <w:proofErr w:type="gramStart"/>
      <w:r w:rsidRPr="00D2295F">
        <w:rPr>
          <w:rFonts w:ascii="Times New Roman" w:hAnsi="Times New Roman"/>
          <w:sz w:val="24"/>
          <w:szCs w:val="24"/>
        </w:rPr>
        <w:t>it</w:t>
      </w:r>
      <w:r>
        <w:rPr>
          <w:rFonts w:ascii="Times New Roman" w:hAnsi="Times New Roman"/>
          <w:sz w:val="24"/>
          <w:szCs w:val="24"/>
        </w:rPr>
        <w:t xml:space="preserve"> </w:t>
      </w:r>
      <w:r w:rsidRPr="00D2295F">
        <w:rPr>
          <w:rFonts w:ascii="Times New Roman" w:hAnsi="Times New Roman"/>
          <w:sz w:val="24"/>
          <w:szCs w:val="24"/>
        </w:rPr>
        <w:t>is</w:t>
      </w:r>
      <w:r>
        <w:rPr>
          <w:rFonts w:ascii="Times New Roman" w:hAnsi="Times New Roman"/>
          <w:sz w:val="24"/>
          <w:szCs w:val="24"/>
        </w:rPr>
        <w:t xml:space="preserve"> </w:t>
      </w:r>
      <w:r w:rsidRPr="00D2295F">
        <w:rPr>
          <w:rFonts w:ascii="Times New Roman" w:hAnsi="Times New Roman"/>
          <w:sz w:val="24"/>
          <w:szCs w:val="24"/>
        </w:rPr>
        <w:t>clear</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r w:rsidRPr="00D2295F">
        <w:rPr>
          <w:rFonts w:ascii="Times New Roman" w:hAnsi="Times New Roman"/>
          <w:sz w:val="24"/>
          <w:szCs w:val="24"/>
        </w:rPr>
        <w:t>Appellees’</w:t>
      </w:r>
      <w:proofErr w:type="gramEnd"/>
      <w:r>
        <w:rPr>
          <w:rFonts w:ascii="Times New Roman" w:hAnsi="Times New Roman"/>
          <w:sz w:val="24"/>
          <w:szCs w:val="24"/>
        </w:rPr>
        <w:t xml:space="preserve"> </w:t>
      </w:r>
      <w:r w:rsidRPr="00D2295F">
        <w:rPr>
          <w:rFonts w:ascii="Times New Roman" w:hAnsi="Times New Roman"/>
          <w:sz w:val="24"/>
          <w:szCs w:val="24"/>
        </w:rPr>
        <w:t>breach</w:t>
      </w:r>
      <w:r>
        <w:rPr>
          <w:rFonts w:ascii="Times New Roman" w:hAnsi="Times New Roman"/>
          <w:sz w:val="24"/>
          <w:szCs w:val="24"/>
        </w:rPr>
        <w:t xml:space="preserve"> </w:t>
      </w:r>
      <w:r w:rsidRPr="00D2295F">
        <w:rPr>
          <w:rFonts w:ascii="Times New Roman" w:hAnsi="Times New Roman"/>
          <w:sz w:val="24"/>
          <w:szCs w:val="24"/>
        </w:rPr>
        <w:t>of</w:t>
      </w:r>
      <w:r>
        <w:rPr>
          <w:rFonts w:ascii="Times New Roman" w:hAnsi="Times New Roman"/>
          <w:sz w:val="24"/>
          <w:szCs w:val="24"/>
        </w:rPr>
        <w:t xml:space="preserve"> </w:t>
      </w:r>
      <w:r w:rsidRPr="00D2295F">
        <w:rPr>
          <w:rFonts w:ascii="Times New Roman" w:hAnsi="Times New Roman"/>
          <w:sz w:val="24"/>
          <w:szCs w:val="24"/>
        </w:rPr>
        <w:t>contract</w:t>
      </w:r>
      <w:r>
        <w:rPr>
          <w:rFonts w:ascii="Times New Roman" w:hAnsi="Times New Roman"/>
          <w:sz w:val="24"/>
          <w:szCs w:val="24"/>
        </w:rPr>
        <w:t xml:space="preserve"> </w:t>
      </w:r>
      <w:r w:rsidRPr="00D2295F">
        <w:rPr>
          <w:rFonts w:ascii="Times New Roman" w:hAnsi="Times New Roman"/>
          <w:sz w:val="24"/>
          <w:szCs w:val="24"/>
        </w:rPr>
        <w:t>claims, arising from</w:t>
      </w:r>
      <w:r>
        <w:rPr>
          <w:rFonts w:ascii="Times New Roman" w:hAnsi="Times New Roman"/>
          <w:sz w:val="24"/>
          <w:szCs w:val="24"/>
        </w:rPr>
        <w:t xml:space="preserve"> </w:t>
      </w:r>
      <w:r w:rsidRPr="00D2295F">
        <w:rPr>
          <w:rFonts w:ascii="Times New Roman" w:hAnsi="Times New Roman"/>
          <w:sz w:val="24"/>
          <w:szCs w:val="24"/>
        </w:rPr>
        <w:t>the City’s</w:t>
      </w:r>
      <w:r>
        <w:rPr>
          <w:rFonts w:ascii="Times New Roman" w:hAnsi="Times New Roman"/>
          <w:sz w:val="24"/>
          <w:szCs w:val="24"/>
        </w:rPr>
        <w:t xml:space="preserve"> </w:t>
      </w:r>
      <w:r w:rsidRPr="00D2295F">
        <w:rPr>
          <w:rFonts w:ascii="Times New Roman" w:hAnsi="Times New Roman"/>
          <w:sz w:val="24"/>
          <w:szCs w:val="24"/>
        </w:rPr>
        <w:t>denial</w:t>
      </w:r>
      <w:r>
        <w:rPr>
          <w:rFonts w:ascii="Times New Roman" w:hAnsi="Times New Roman"/>
          <w:sz w:val="24"/>
          <w:szCs w:val="24"/>
        </w:rPr>
        <w:t xml:space="preserve"> </w:t>
      </w:r>
      <w:r w:rsidRPr="00D2295F">
        <w:rPr>
          <w:rFonts w:ascii="Times New Roman" w:hAnsi="Times New Roman"/>
          <w:sz w:val="24"/>
          <w:szCs w:val="24"/>
        </w:rPr>
        <w:t>of full-time employment</w:t>
      </w:r>
      <w:r>
        <w:rPr>
          <w:rFonts w:ascii="Times New Roman" w:hAnsi="Times New Roman"/>
          <w:sz w:val="24"/>
          <w:szCs w:val="24"/>
        </w:rPr>
        <w:t xml:space="preserve"> </w:t>
      </w:r>
      <w:r w:rsidRPr="00D2295F">
        <w:rPr>
          <w:rFonts w:ascii="Times New Roman" w:hAnsi="Times New Roman"/>
          <w:sz w:val="24"/>
          <w:szCs w:val="24"/>
        </w:rPr>
        <w:t>benefits, are</w:t>
      </w:r>
      <w:r>
        <w:rPr>
          <w:rFonts w:ascii="Times New Roman" w:hAnsi="Times New Roman"/>
          <w:sz w:val="24"/>
          <w:szCs w:val="24"/>
        </w:rPr>
        <w:t xml:space="preserve"> </w:t>
      </w:r>
      <w:r w:rsidRPr="00D2295F">
        <w:rPr>
          <w:rFonts w:ascii="Times New Roman" w:hAnsi="Times New Roman"/>
          <w:sz w:val="24"/>
          <w:szCs w:val="24"/>
        </w:rPr>
        <w:t>virtually</w:t>
      </w:r>
      <w:r>
        <w:rPr>
          <w:rFonts w:ascii="Times New Roman" w:hAnsi="Times New Roman"/>
          <w:sz w:val="24"/>
          <w:szCs w:val="24"/>
        </w:rPr>
        <w:t xml:space="preserve"> </w:t>
      </w:r>
      <w:r w:rsidRPr="00D2295F">
        <w:rPr>
          <w:rFonts w:ascii="Times New Roman" w:hAnsi="Times New Roman"/>
          <w:sz w:val="24"/>
          <w:szCs w:val="24"/>
        </w:rPr>
        <w:t>identical</w:t>
      </w:r>
      <w:r>
        <w:rPr>
          <w:rFonts w:ascii="Times New Roman" w:hAnsi="Times New Roman"/>
          <w:sz w:val="24"/>
          <w:szCs w:val="24"/>
        </w:rPr>
        <w:t xml:space="preserve"> </w:t>
      </w:r>
      <w:r w:rsidRPr="00D2295F">
        <w:rPr>
          <w:rFonts w:ascii="Times New Roman" w:hAnsi="Times New Roman"/>
          <w:sz w:val="24"/>
          <w:szCs w:val="24"/>
        </w:rPr>
        <w:t>to</w:t>
      </w:r>
      <w:r>
        <w:rPr>
          <w:rFonts w:ascii="Times New Roman" w:hAnsi="Times New Roman"/>
          <w:sz w:val="24"/>
          <w:szCs w:val="24"/>
        </w:rPr>
        <w:t xml:space="preserve"> </w:t>
      </w:r>
      <w:r w:rsidRPr="00D2295F">
        <w:rPr>
          <w:rFonts w:ascii="Times New Roman" w:hAnsi="Times New Roman"/>
          <w:sz w:val="24"/>
          <w:szCs w:val="24"/>
        </w:rPr>
        <w:t>the claims</w:t>
      </w:r>
      <w:r>
        <w:rPr>
          <w:rFonts w:ascii="Times New Roman" w:hAnsi="Times New Roman"/>
          <w:sz w:val="24"/>
          <w:szCs w:val="24"/>
        </w:rPr>
        <w:t xml:space="preserve"> </w:t>
      </w:r>
      <w:r w:rsidRPr="00D2295F">
        <w:rPr>
          <w:rFonts w:ascii="Times New Roman" w:hAnsi="Times New Roman"/>
          <w:sz w:val="24"/>
          <w:szCs w:val="24"/>
        </w:rPr>
        <w:t>of each</w:t>
      </w:r>
      <w:r>
        <w:rPr>
          <w:rFonts w:ascii="Times New Roman" w:hAnsi="Times New Roman"/>
          <w:sz w:val="24"/>
          <w:szCs w:val="24"/>
        </w:rPr>
        <w:t xml:space="preserve"> </w:t>
      </w:r>
      <w:r w:rsidRPr="00D2295F">
        <w:rPr>
          <w:rFonts w:ascii="Times New Roman" w:hAnsi="Times New Roman"/>
          <w:sz w:val="24"/>
          <w:szCs w:val="24"/>
        </w:rPr>
        <w:t>proposed</w:t>
      </w:r>
      <w:r>
        <w:rPr>
          <w:rFonts w:ascii="Times New Roman" w:hAnsi="Times New Roman"/>
          <w:sz w:val="24"/>
          <w:szCs w:val="24"/>
        </w:rPr>
        <w:t xml:space="preserve"> </w:t>
      </w:r>
      <w:r w:rsidRPr="00D2295F">
        <w:rPr>
          <w:rFonts w:ascii="Times New Roman" w:hAnsi="Times New Roman"/>
          <w:sz w:val="24"/>
          <w:szCs w:val="24"/>
        </w:rPr>
        <w:t>class</w:t>
      </w:r>
      <w:r>
        <w:rPr>
          <w:rFonts w:ascii="Times New Roman" w:hAnsi="Times New Roman"/>
          <w:sz w:val="24"/>
          <w:szCs w:val="24"/>
        </w:rPr>
        <w:t xml:space="preserve"> </w:t>
      </w:r>
      <w:r w:rsidRPr="00D2295F">
        <w:rPr>
          <w:rFonts w:ascii="Times New Roman" w:hAnsi="Times New Roman"/>
          <w:sz w:val="24"/>
          <w:szCs w:val="24"/>
        </w:rPr>
        <w:t xml:space="preserve">member. </w:t>
      </w:r>
      <w:r>
        <w:rPr>
          <w:rFonts w:ascii="Times New Roman" w:hAnsi="Times New Roman"/>
          <w:sz w:val="24"/>
          <w:szCs w:val="24"/>
        </w:rPr>
        <w:t xml:space="preserve"> *** </w:t>
      </w:r>
      <w:r w:rsidRPr="00D2295F">
        <w:rPr>
          <w:rFonts w:ascii="Times New Roman" w:hAnsi="Times New Roman"/>
          <w:sz w:val="24"/>
          <w:szCs w:val="24"/>
        </w:rPr>
        <w:t xml:space="preserve">The </w:t>
      </w:r>
      <w:proofErr w:type="gramStart"/>
      <w:r w:rsidRPr="00D2295F">
        <w:rPr>
          <w:rFonts w:ascii="Times New Roman" w:hAnsi="Times New Roman"/>
          <w:sz w:val="24"/>
          <w:szCs w:val="24"/>
        </w:rPr>
        <w:t>City</w:t>
      </w:r>
      <w:proofErr w:type="gramEnd"/>
      <w:r w:rsidRPr="00D2295F">
        <w:rPr>
          <w:rFonts w:ascii="Times New Roman" w:hAnsi="Times New Roman"/>
          <w:sz w:val="24"/>
          <w:szCs w:val="24"/>
        </w:rPr>
        <w:t xml:space="preserve"> argued</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proofErr w:type="gramStart"/>
      <w:r w:rsidRPr="00D2295F">
        <w:rPr>
          <w:rFonts w:ascii="Times New Roman" w:hAnsi="Times New Roman"/>
          <w:sz w:val="24"/>
          <w:szCs w:val="24"/>
        </w:rPr>
        <w:t>in</w:t>
      </w:r>
      <w:r>
        <w:rPr>
          <w:rFonts w:ascii="Times New Roman" w:hAnsi="Times New Roman"/>
          <w:sz w:val="24"/>
          <w:szCs w:val="24"/>
        </w:rPr>
        <w:t xml:space="preserve"> </w:t>
      </w:r>
      <w:r w:rsidRPr="00D2295F">
        <w:rPr>
          <w:rFonts w:ascii="Times New Roman" w:hAnsi="Times New Roman"/>
          <w:sz w:val="24"/>
          <w:szCs w:val="24"/>
        </w:rPr>
        <w:t>order to</w:t>
      </w:r>
      <w:proofErr w:type="gramEnd"/>
      <w:r>
        <w:rPr>
          <w:rFonts w:ascii="Times New Roman" w:hAnsi="Times New Roman"/>
          <w:sz w:val="24"/>
          <w:szCs w:val="24"/>
        </w:rPr>
        <w:t xml:space="preserve"> </w:t>
      </w:r>
      <w:r w:rsidRPr="00D2295F">
        <w:rPr>
          <w:rFonts w:ascii="Times New Roman" w:hAnsi="Times New Roman"/>
          <w:sz w:val="24"/>
          <w:szCs w:val="24"/>
        </w:rPr>
        <w:t>be considered</w:t>
      </w:r>
      <w:r>
        <w:rPr>
          <w:rFonts w:ascii="Times New Roman" w:hAnsi="Times New Roman"/>
          <w:sz w:val="24"/>
          <w:szCs w:val="24"/>
        </w:rPr>
        <w:t xml:space="preserve"> </w:t>
      </w:r>
      <w:r w:rsidRPr="00D2295F">
        <w:rPr>
          <w:rFonts w:ascii="Times New Roman" w:hAnsi="Times New Roman"/>
          <w:sz w:val="24"/>
          <w:szCs w:val="24"/>
        </w:rPr>
        <w:t>a full-time employee, the</w:t>
      </w:r>
      <w:r>
        <w:rPr>
          <w:rFonts w:ascii="Times New Roman" w:hAnsi="Times New Roman"/>
          <w:sz w:val="24"/>
          <w:szCs w:val="24"/>
        </w:rPr>
        <w:t xml:space="preserve"> </w:t>
      </w:r>
      <w:r w:rsidRPr="00D2295F">
        <w:rPr>
          <w:rFonts w:ascii="Times New Roman" w:hAnsi="Times New Roman"/>
          <w:sz w:val="24"/>
          <w:szCs w:val="24"/>
        </w:rPr>
        <w:t>employee should</w:t>
      </w:r>
      <w:r>
        <w:rPr>
          <w:rFonts w:ascii="Times New Roman" w:hAnsi="Times New Roman"/>
          <w:sz w:val="24"/>
          <w:szCs w:val="24"/>
        </w:rPr>
        <w:t xml:space="preserve"> </w:t>
      </w:r>
      <w:r w:rsidRPr="00D2295F">
        <w:rPr>
          <w:rFonts w:ascii="Times New Roman" w:hAnsi="Times New Roman"/>
          <w:sz w:val="24"/>
          <w:szCs w:val="24"/>
        </w:rPr>
        <w:t>have worked</w:t>
      </w:r>
      <w:r>
        <w:rPr>
          <w:rFonts w:ascii="Times New Roman" w:hAnsi="Times New Roman"/>
          <w:sz w:val="24"/>
          <w:szCs w:val="24"/>
        </w:rPr>
        <w:t xml:space="preserve"> </w:t>
      </w:r>
      <w:r w:rsidRPr="00D2295F">
        <w:rPr>
          <w:rFonts w:ascii="Times New Roman" w:hAnsi="Times New Roman"/>
          <w:sz w:val="24"/>
          <w:szCs w:val="24"/>
        </w:rPr>
        <w:t>2,080</w:t>
      </w:r>
      <w:r>
        <w:rPr>
          <w:rFonts w:ascii="Times New Roman" w:hAnsi="Times New Roman"/>
          <w:sz w:val="24"/>
          <w:szCs w:val="24"/>
        </w:rPr>
        <w:t xml:space="preserve"> </w:t>
      </w:r>
      <w:r w:rsidRPr="00D2295F">
        <w:rPr>
          <w:rFonts w:ascii="Times New Roman" w:hAnsi="Times New Roman"/>
          <w:sz w:val="24"/>
          <w:szCs w:val="24"/>
        </w:rPr>
        <w:t>hours</w:t>
      </w:r>
      <w:r>
        <w:rPr>
          <w:rFonts w:ascii="Times New Roman" w:hAnsi="Times New Roman"/>
          <w:sz w:val="24"/>
          <w:szCs w:val="24"/>
        </w:rPr>
        <w:t xml:space="preserve"> </w:t>
      </w:r>
      <w:r w:rsidRPr="00D2295F">
        <w:rPr>
          <w:rFonts w:ascii="Times New Roman" w:hAnsi="Times New Roman"/>
          <w:sz w:val="24"/>
          <w:szCs w:val="24"/>
        </w:rPr>
        <w:t>each</w:t>
      </w:r>
      <w:r>
        <w:rPr>
          <w:rFonts w:ascii="Times New Roman" w:hAnsi="Times New Roman"/>
          <w:sz w:val="24"/>
          <w:szCs w:val="24"/>
        </w:rPr>
        <w:t xml:space="preserve"> </w:t>
      </w:r>
      <w:r w:rsidRPr="00D2295F">
        <w:rPr>
          <w:rFonts w:ascii="Times New Roman" w:hAnsi="Times New Roman"/>
          <w:sz w:val="24"/>
          <w:szCs w:val="24"/>
        </w:rPr>
        <w:t>year (a number that would</w:t>
      </w:r>
      <w:r>
        <w:rPr>
          <w:rFonts w:ascii="Times New Roman" w:hAnsi="Times New Roman"/>
          <w:sz w:val="24"/>
          <w:szCs w:val="24"/>
        </w:rPr>
        <w:t xml:space="preserve"> </w:t>
      </w:r>
      <w:r w:rsidRPr="00D2295F">
        <w:rPr>
          <w:rFonts w:ascii="Times New Roman" w:hAnsi="Times New Roman"/>
          <w:sz w:val="24"/>
          <w:szCs w:val="24"/>
        </w:rPr>
        <w:t>require</w:t>
      </w:r>
      <w:r>
        <w:rPr>
          <w:rFonts w:ascii="Times New Roman" w:hAnsi="Times New Roman"/>
          <w:sz w:val="24"/>
          <w:szCs w:val="24"/>
        </w:rPr>
        <w:t xml:space="preserve"> </w:t>
      </w:r>
      <w:r w:rsidRPr="00D2295F">
        <w:rPr>
          <w:rFonts w:ascii="Times New Roman" w:hAnsi="Times New Roman"/>
          <w:sz w:val="24"/>
          <w:szCs w:val="24"/>
        </w:rPr>
        <w:t>the employee to</w:t>
      </w:r>
      <w:r>
        <w:rPr>
          <w:rFonts w:ascii="Times New Roman" w:hAnsi="Times New Roman"/>
          <w:sz w:val="24"/>
          <w:szCs w:val="24"/>
        </w:rPr>
        <w:t xml:space="preserve"> </w:t>
      </w:r>
      <w:r w:rsidRPr="00D2295F">
        <w:rPr>
          <w:rFonts w:ascii="Times New Roman" w:hAnsi="Times New Roman"/>
          <w:sz w:val="24"/>
          <w:szCs w:val="24"/>
        </w:rPr>
        <w:t>work</w:t>
      </w:r>
      <w:r>
        <w:rPr>
          <w:rFonts w:ascii="Times New Roman" w:hAnsi="Times New Roman"/>
          <w:sz w:val="24"/>
          <w:szCs w:val="24"/>
        </w:rPr>
        <w:t xml:space="preserve"> </w:t>
      </w:r>
      <w:r w:rsidRPr="00D2295F">
        <w:rPr>
          <w:rFonts w:ascii="Times New Roman" w:hAnsi="Times New Roman"/>
          <w:sz w:val="24"/>
          <w:szCs w:val="24"/>
        </w:rPr>
        <w:t>40hours</w:t>
      </w:r>
      <w:r>
        <w:rPr>
          <w:rFonts w:ascii="Times New Roman" w:hAnsi="Times New Roman"/>
          <w:sz w:val="24"/>
          <w:szCs w:val="24"/>
        </w:rPr>
        <w:t xml:space="preserve"> </w:t>
      </w:r>
      <w:r w:rsidRPr="00D2295F">
        <w:rPr>
          <w:rFonts w:ascii="Times New Roman" w:hAnsi="Times New Roman"/>
          <w:sz w:val="24"/>
          <w:szCs w:val="24"/>
        </w:rPr>
        <w:t>per week</w:t>
      </w:r>
      <w:r>
        <w:rPr>
          <w:rFonts w:ascii="Times New Roman" w:hAnsi="Times New Roman"/>
          <w:sz w:val="24"/>
          <w:szCs w:val="24"/>
        </w:rPr>
        <w:t xml:space="preserve"> </w:t>
      </w:r>
      <w:r w:rsidRPr="00D2295F">
        <w:rPr>
          <w:rFonts w:ascii="Times New Roman" w:hAnsi="Times New Roman"/>
          <w:sz w:val="24"/>
          <w:szCs w:val="24"/>
        </w:rPr>
        <w:t>for each</w:t>
      </w:r>
      <w:r>
        <w:rPr>
          <w:rFonts w:ascii="Times New Roman" w:hAnsi="Times New Roman"/>
          <w:sz w:val="24"/>
          <w:szCs w:val="24"/>
        </w:rPr>
        <w:t xml:space="preserve"> </w:t>
      </w:r>
      <w:r w:rsidRPr="00D2295F">
        <w:rPr>
          <w:rFonts w:ascii="Times New Roman" w:hAnsi="Times New Roman"/>
          <w:sz w:val="24"/>
          <w:szCs w:val="24"/>
        </w:rPr>
        <w:t>of the 52</w:t>
      </w:r>
      <w:r>
        <w:rPr>
          <w:rFonts w:ascii="Times New Roman" w:hAnsi="Times New Roman"/>
          <w:sz w:val="24"/>
          <w:szCs w:val="24"/>
        </w:rPr>
        <w:t xml:space="preserve"> </w:t>
      </w:r>
      <w:r w:rsidRPr="00D2295F">
        <w:rPr>
          <w:rFonts w:ascii="Times New Roman" w:hAnsi="Times New Roman"/>
          <w:sz w:val="24"/>
          <w:szCs w:val="24"/>
        </w:rPr>
        <w:t>weeks</w:t>
      </w:r>
      <w:r>
        <w:rPr>
          <w:rFonts w:ascii="Times New Roman" w:hAnsi="Times New Roman"/>
          <w:sz w:val="24"/>
          <w:szCs w:val="24"/>
        </w:rPr>
        <w:t xml:space="preserve"> </w:t>
      </w:r>
      <w:r w:rsidRPr="00D2295F">
        <w:rPr>
          <w:rFonts w:ascii="Times New Roman" w:hAnsi="Times New Roman"/>
          <w:sz w:val="24"/>
          <w:szCs w:val="24"/>
        </w:rPr>
        <w:t>per year). However,</w:t>
      </w:r>
      <w:r>
        <w:rPr>
          <w:rFonts w:ascii="Times New Roman" w:hAnsi="Times New Roman"/>
          <w:sz w:val="24"/>
          <w:szCs w:val="24"/>
        </w:rPr>
        <w:t xml:space="preserve"> </w:t>
      </w:r>
      <w:r w:rsidRPr="00D2295F">
        <w:rPr>
          <w:rFonts w:ascii="Times New Roman" w:hAnsi="Times New Roman"/>
          <w:sz w:val="24"/>
          <w:szCs w:val="24"/>
        </w:rPr>
        <w:t>even</w:t>
      </w:r>
      <w:r>
        <w:rPr>
          <w:rFonts w:ascii="Times New Roman" w:hAnsi="Times New Roman"/>
          <w:sz w:val="24"/>
          <w:szCs w:val="24"/>
        </w:rPr>
        <w:t xml:space="preserve"> </w:t>
      </w:r>
      <w:r w:rsidRPr="00D2295F">
        <w:rPr>
          <w:rFonts w:ascii="Times New Roman" w:hAnsi="Times New Roman"/>
          <w:sz w:val="24"/>
          <w:szCs w:val="24"/>
        </w:rPr>
        <w:t>under the City’s</w:t>
      </w:r>
      <w:r>
        <w:rPr>
          <w:rFonts w:ascii="Times New Roman" w:hAnsi="Times New Roman"/>
          <w:sz w:val="24"/>
          <w:szCs w:val="24"/>
        </w:rPr>
        <w:t xml:space="preserve"> </w:t>
      </w:r>
      <w:r w:rsidRPr="00D2295F">
        <w:rPr>
          <w:rFonts w:ascii="Times New Roman" w:hAnsi="Times New Roman"/>
          <w:sz w:val="24"/>
          <w:szCs w:val="24"/>
        </w:rPr>
        <w:t>proposed</w:t>
      </w:r>
      <w:r>
        <w:rPr>
          <w:rFonts w:ascii="Times New Roman" w:hAnsi="Times New Roman"/>
          <w:sz w:val="24"/>
          <w:szCs w:val="24"/>
        </w:rPr>
        <w:t xml:space="preserve"> </w:t>
      </w:r>
      <w:r w:rsidRPr="00D2295F">
        <w:rPr>
          <w:rFonts w:ascii="Times New Roman" w:hAnsi="Times New Roman"/>
          <w:sz w:val="24"/>
          <w:szCs w:val="24"/>
        </w:rPr>
        <w:t>definition, the Appellees</w:t>
      </w:r>
      <w:r>
        <w:rPr>
          <w:rFonts w:ascii="Times New Roman" w:hAnsi="Times New Roman"/>
          <w:sz w:val="24"/>
          <w:szCs w:val="24"/>
        </w:rPr>
        <w:t xml:space="preserve"> </w:t>
      </w:r>
      <w:r w:rsidRPr="00D2295F">
        <w:rPr>
          <w:rFonts w:ascii="Times New Roman" w:hAnsi="Times New Roman"/>
          <w:sz w:val="24"/>
          <w:szCs w:val="24"/>
        </w:rPr>
        <w:t>maintained</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r w:rsidRPr="00D2295F">
        <w:rPr>
          <w:rFonts w:ascii="Times New Roman" w:hAnsi="Times New Roman"/>
          <w:sz w:val="24"/>
          <w:szCs w:val="24"/>
        </w:rPr>
        <w:t>the class</w:t>
      </w:r>
      <w:r>
        <w:rPr>
          <w:rFonts w:ascii="Times New Roman" w:hAnsi="Times New Roman"/>
          <w:sz w:val="24"/>
          <w:szCs w:val="24"/>
        </w:rPr>
        <w:t xml:space="preserve"> </w:t>
      </w:r>
      <w:r w:rsidRPr="00D2295F">
        <w:rPr>
          <w:rFonts w:ascii="Times New Roman" w:hAnsi="Times New Roman"/>
          <w:sz w:val="24"/>
          <w:szCs w:val="24"/>
        </w:rPr>
        <w:t>would include 86 members.</w:t>
      </w:r>
      <w:r>
        <w:rPr>
          <w:rFonts w:ascii="Times New Roman" w:hAnsi="Times New Roman"/>
          <w:sz w:val="24"/>
          <w:szCs w:val="24"/>
        </w:rPr>
        <w:t>”</w:t>
      </w:r>
      <w:r w:rsidR="00E75F94">
        <w:rPr>
          <w:rFonts w:ascii="Times New Roman" w:hAnsi="Times New Roman"/>
          <w:sz w:val="24"/>
          <w:szCs w:val="24"/>
        </w:rPr>
        <w:t xml:space="preserve"> </w:t>
      </w:r>
      <w:hyperlink r:id="rId1812" w:history="1">
        <w:r w:rsidR="00E75F94" w:rsidRPr="00DB571D">
          <w:rPr>
            <w:rStyle w:val="Hyperlink"/>
            <w:rFonts w:ascii="Times New Roman" w:eastAsia="Times New Roman" w:hAnsi="Times New Roman"/>
            <w:sz w:val="24"/>
            <w:szCs w:val="24"/>
          </w:rPr>
          <w:t>https://cases.justia.com/georgia/court-of-appeals/2019-a19a1310.pdf?ts=1568657244</w:t>
        </w:r>
      </w:hyperlink>
      <w:bookmarkEnd w:id="407"/>
    </w:p>
    <w:p w14:paraId="3C915AFB" w14:textId="77777777" w:rsidR="00A16B10" w:rsidRDefault="00C80464" w:rsidP="00C80464">
      <w:pPr>
        <w:pStyle w:val="NoSpacing"/>
        <w:rPr>
          <w:rFonts w:ascii="Times New Roman" w:hAnsi="Times New Roman"/>
          <w:b/>
          <w:bCs/>
          <w:sz w:val="24"/>
          <w:szCs w:val="24"/>
        </w:rPr>
      </w:pPr>
      <w:bookmarkStart w:id="408" w:name="_Hlk40513525"/>
      <w:r>
        <w:rPr>
          <w:rFonts w:ascii="Times New Roman" w:hAnsi="Times New Roman"/>
          <w:b/>
          <w:bCs/>
          <w:sz w:val="24"/>
          <w:szCs w:val="24"/>
        </w:rPr>
        <w:t xml:space="preserve">Legal Lessons Learned: Class actions are an effective method of resolving a matter affecting numerous class members. This case will now proceed to trial, unless settled by the parties.  </w:t>
      </w:r>
    </w:p>
    <w:p w14:paraId="3E0AFB0D" w14:textId="0AF730F0" w:rsidR="00C80464" w:rsidRPr="00A16B10" w:rsidRDefault="00A16B10" w:rsidP="00C80464">
      <w:pPr>
        <w:pStyle w:val="NoSpacing"/>
        <w:rPr>
          <w:rFonts w:ascii="Times New Roman" w:hAnsi="Times New Roman"/>
          <w:sz w:val="24"/>
          <w:szCs w:val="24"/>
        </w:rPr>
      </w:pPr>
      <w:r w:rsidRPr="00A16B10">
        <w:rPr>
          <w:rFonts w:ascii="Times New Roman" w:hAnsi="Times New Roman"/>
          <w:sz w:val="24"/>
          <w:szCs w:val="24"/>
        </w:rPr>
        <w:t xml:space="preserve">Note: </w:t>
      </w:r>
      <w:r w:rsidR="00C80464" w:rsidRPr="00A16B10">
        <w:rPr>
          <w:rFonts w:ascii="Times New Roman" w:hAnsi="Times New Roman"/>
          <w:sz w:val="24"/>
          <w:szCs w:val="24"/>
        </w:rPr>
        <w:t>In Ohio, see Ohio Revised Code</w:t>
      </w:r>
      <w:r>
        <w:rPr>
          <w:rFonts w:ascii="Times New Roman" w:hAnsi="Times New Roman"/>
          <w:sz w:val="24"/>
          <w:szCs w:val="24"/>
        </w:rPr>
        <w:t xml:space="preserve">’s </w:t>
      </w:r>
      <w:r w:rsidR="00C80464" w:rsidRPr="00A16B10">
        <w:rPr>
          <w:rFonts w:ascii="Times New Roman" w:hAnsi="Times New Roman"/>
          <w:sz w:val="24"/>
          <w:szCs w:val="24"/>
        </w:rPr>
        <w:t>“1500 Hour Rule”</w:t>
      </w:r>
      <w:r>
        <w:rPr>
          <w:rFonts w:ascii="Times New Roman" w:hAnsi="Times New Roman"/>
          <w:sz w:val="24"/>
          <w:szCs w:val="24"/>
        </w:rPr>
        <w:t xml:space="preserve"> </w:t>
      </w:r>
      <w:r w:rsidR="00C80464" w:rsidRPr="00A16B10">
        <w:rPr>
          <w:rFonts w:ascii="Times New Roman" w:hAnsi="Times New Roman"/>
          <w:sz w:val="24"/>
          <w:szCs w:val="24"/>
        </w:rPr>
        <w:t>applies to Township firefighters:</w:t>
      </w:r>
    </w:p>
    <w:p w14:paraId="464DF3D8" w14:textId="77777777" w:rsidR="00C80464" w:rsidRPr="00A16B10" w:rsidRDefault="00C80464" w:rsidP="00C80464">
      <w:pPr>
        <w:pStyle w:val="NoSpacing"/>
        <w:rPr>
          <w:rFonts w:ascii="Times New Roman" w:hAnsi="Times New Roman"/>
          <w:sz w:val="24"/>
          <w:szCs w:val="24"/>
        </w:rPr>
      </w:pPr>
    </w:p>
    <w:p w14:paraId="0CED5D89" w14:textId="77777777" w:rsidR="00A16B10" w:rsidRDefault="00C80464" w:rsidP="00A16B10">
      <w:pPr>
        <w:ind w:left="720" w:firstLine="720"/>
        <w:rPr>
          <w:rFonts w:asciiTheme="minorHAnsi" w:hAnsiTheme="minorHAnsi" w:cstheme="minorHAnsi"/>
          <w:sz w:val="24"/>
          <w:szCs w:val="24"/>
        </w:rPr>
      </w:pPr>
      <w:hyperlink r:id="rId1813" w:history="1">
        <w:r w:rsidRPr="00A16B10">
          <w:rPr>
            <w:rStyle w:val="Hyperlink"/>
            <w:rFonts w:asciiTheme="minorHAnsi" w:hAnsiTheme="minorHAnsi" w:cstheme="minorHAnsi"/>
            <w:sz w:val="24"/>
            <w:szCs w:val="24"/>
          </w:rPr>
          <w:t>http://codes.ohio.gov/orc/505.60</w:t>
        </w:r>
      </w:hyperlink>
      <w:r w:rsidRPr="00A16B10">
        <w:rPr>
          <w:rFonts w:asciiTheme="minorHAnsi" w:hAnsiTheme="minorHAnsi" w:cstheme="minorHAnsi"/>
          <w:sz w:val="24"/>
          <w:szCs w:val="24"/>
        </w:rPr>
        <w:t xml:space="preserve"> </w:t>
      </w:r>
    </w:p>
    <w:p w14:paraId="3DE3C633" w14:textId="0CAE11CB" w:rsidR="00C80464" w:rsidRPr="00A16B10" w:rsidRDefault="00C80464" w:rsidP="00A16B10">
      <w:pPr>
        <w:ind w:left="720" w:firstLine="720"/>
        <w:rPr>
          <w:rFonts w:asciiTheme="minorHAnsi" w:hAnsiTheme="minorHAnsi" w:cstheme="minorHAnsi"/>
        </w:rPr>
      </w:pPr>
      <w:r w:rsidRPr="00A16B10">
        <w:rPr>
          <w:rFonts w:asciiTheme="minorHAnsi" w:hAnsiTheme="minorHAnsi" w:cstheme="minorHAnsi"/>
        </w:rPr>
        <w:t xml:space="preserve">(G) As used in this section and section </w:t>
      </w:r>
      <w:hyperlink r:id="rId1814" w:history="1">
        <w:r w:rsidRPr="00A16B10">
          <w:rPr>
            <w:rStyle w:val="Hyperlink"/>
            <w:rFonts w:asciiTheme="minorHAnsi" w:hAnsiTheme="minorHAnsi" w:cstheme="minorHAnsi"/>
          </w:rPr>
          <w:t>505.601</w:t>
        </w:r>
      </w:hyperlink>
      <w:r w:rsidRPr="00A16B10">
        <w:rPr>
          <w:rFonts w:asciiTheme="minorHAnsi" w:hAnsiTheme="minorHAnsi" w:cstheme="minorHAnsi"/>
        </w:rPr>
        <w:t xml:space="preserve"> of the Revised Code: </w:t>
      </w:r>
    </w:p>
    <w:p w14:paraId="66376087" w14:textId="77777777" w:rsidR="00C80464" w:rsidRPr="00A16B10" w:rsidRDefault="00C80464" w:rsidP="00C80464">
      <w:pPr>
        <w:pStyle w:val="NormalWeb"/>
        <w:ind w:left="1440"/>
        <w:rPr>
          <w:rFonts w:asciiTheme="minorHAnsi" w:hAnsiTheme="minorHAnsi" w:cstheme="minorHAnsi"/>
        </w:rPr>
      </w:pPr>
      <w:r w:rsidRPr="00A16B10">
        <w:rPr>
          <w:rFonts w:asciiTheme="minorHAnsi" w:hAnsiTheme="minorHAnsi" w:cstheme="minorHAnsi"/>
        </w:rPr>
        <w:t xml:space="preserve">(1) "Part-time township employee" means a township employee who is hired with the expectation that the employee will work not more than one thousand five hundred hours in any year. </w:t>
      </w:r>
    </w:p>
    <w:bookmarkEnd w:id="408"/>
    <w:p w14:paraId="79E17F21" w14:textId="77777777" w:rsidR="00A67C57" w:rsidRDefault="00A67C57" w:rsidP="00F326E5">
      <w:pPr>
        <w:rPr>
          <w:rFonts w:ascii="Arial Black" w:hAnsi="Arial Black"/>
          <w:b/>
          <w:sz w:val="24"/>
          <w:szCs w:val="24"/>
        </w:rPr>
      </w:pPr>
    </w:p>
    <w:p w14:paraId="4E5ED752" w14:textId="753BA38B" w:rsidR="009F0F05" w:rsidRDefault="009F0F05" w:rsidP="00F326E5">
      <w:pPr>
        <w:rPr>
          <w:rFonts w:ascii="Arial Black" w:hAnsi="Arial Black"/>
          <w:b/>
          <w:sz w:val="24"/>
          <w:szCs w:val="24"/>
        </w:rPr>
      </w:pPr>
      <w:r>
        <w:rPr>
          <w:rFonts w:ascii="Arial Black" w:hAnsi="Arial Black"/>
          <w:b/>
          <w:sz w:val="24"/>
          <w:szCs w:val="24"/>
        </w:rPr>
        <w:t>11-</w:t>
      </w:r>
      <w:r w:rsidR="00E9307E">
        <w:rPr>
          <w:rFonts w:ascii="Arial Black" w:hAnsi="Arial Black"/>
          <w:b/>
          <w:sz w:val="24"/>
          <w:szCs w:val="24"/>
        </w:rPr>
        <w:t>6</w:t>
      </w:r>
    </w:p>
    <w:p w14:paraId="45A1D981" w14:textId="77777777" w:rsidR="009F0F05" w:rsidRDefault="009F0F05" w:rsidP="009F0F05">
      <w:pPr>
        <w:rPr>
          <w:rFonts w:ascii="Arial Black" w:hAnsi="Arial Black"/>
          <w:sz w:val="28"/>
          <w:szCs w:val="28"/>
        </w:rPr>
      </w:pPr>
      <w:r>
        <w:rPr>
          <w:rFonts w:ascii="Arial Black" w:hAnsi="Arial Black"/>
          <w:sz w:val="28"/>
          <w:szCs w:val="28"/>
        </w:rPr>
        <w:t xml:space="preserve">FLSA:  DOL OPINION LETTER – WHEN EMPLOYEE IS BOTH FF / POLICE OFFICER SAME PUBLIC AGENCY – CALCULATING OVERTIME </w:t>
      </w:r>
    </w:p>
    <w:p w14:paraId="6D21F96F" w14:textId="77777777" w:rsidR="009F0F05" w:rsidRDefault="009F0F05" w:rsidP="009F0F05">
      <w:pPr>
        <w:rPr>
          <w:rFonts w:ascii="Times New Roman" w:hAnsi="Times New Roman"/>
          <w:sz w:val="24"/>
          <w:szCs w:val="24"/>
        </w:rPr>
      </w:pPr>
      <w:r w:rsidRPr="00AB528C">
        <w:rPr>
          <w:rFonts w:ascii="Times New Roman" w:hAnsi="Times New Roman"/>
          <w:sz w:val="24"/>
          <w:szCs w:val="24"/>
        </w:rPr>
        <w:lastRenderedPageBreak/>
        <w:t>On</w:t>
      </w:r>
      <w:r>
        <w:rPr>
          <w:rFonts w:ascii="Times New Roman" w:hAnsi="Times New Roman"/>
          <w:sz w:val="24"/>
          <w:szCs w:val="24"/>
        </w:rPr>
        <w:t xml:space="preserve"> Aug. 8, 2019, the U.S. Department of Labor issued Opinion Letter </w:t>
      </w:r>
      <w:r w:rsidRPr="000235F1">
        <w:rPr>
          <w:rFonts w:ascii="Times New Roman" w:hAnsi="Times New Roman"/>
          <w:sz w:val="24"/>
          <w:szCs w:val="24"/>
        </w:rPr>
        <w:t>FLSA2019- 11</w:t>
      </w:r>
      <w:r>
        <w:rPr>
          <w:rFonts w:ascii="Times New Roman" w:hAnsi="Times New Roman"/>
          <w:sz w:val="24"/>
          <w:szCs w:val="24"/>
        </w:rPr>
        <w:t xml:space="preserve">, confirmed that if working for same public agency, then the total hours worked are aggregated when determining overtime pay. </w:t>
      </w:r>
      <w:hyperlink r:id="rId1815" w:history="1">
        <w:r w:rsidRPr="00A05487">
          <w:rPr>
            <w:rStyle w:val="Hyperlink"/>
            <w:rFonts w:ascii="Times New Roman" w:hAnsi="Times New Roman"/>
            <w:sz w:val="24"/>
            <w:szCs w:val="24"/>
          </w:rPr>
          <w:t>https://www.dol.gov/whd/opinion/FLSA/2019/2019_08_08_11_FLSA.pdf</w:t>
        </w:r>
      </w:hyperlink>
      <w:r>
        <w:rPr>
          <w:rFonts w:ascii="Times New Roman" w:hAnsi="Times New Roman"/>
          <w:sz w:val="24"/>
          <w:szCs w:val="24"/>
        </w:rPr>
        <w:t xml:space="preserve"> </w:t>
      </w:r>
    </w:p>
    <w:p w14:paraId="4B6B13C8" w14:textId="77777777" w:rsidR="009F0F05" w:rsidRDefault="009F0F05" w:rsidP="009F0F05">
      <w:pPr>
        <w:ind w:left="720"/>
        <w:rPr>
          <w:rFonts w:ascii="Times New Roman" w:hAnsi="Times New Roman"/>
          <w:sz w:val="24"/>
          <w:szCs w:val="24"/>
        </w:rPr>
      </w:pPr>
      <w:r>
        <w:rPr>
          <w:rFonts w:ascii="Times New Roman" w:hAnsi="Times New Roman"/>
          <w:sz w:val="24"/>
          <w:szCs w:val="24"/>
        </w:rPr>
        <w:t>“</w:t>
      </w:r>
      <w:r w:rsidRPr="00A4365A">
        <w:rPr>
          <w:rFonts w:ascii="Times New Roman" w:hAnsi="Times New Roman"/>
          <w:sz w:val="24"/>
          <w:szCs w:val="24"/>
        </w:rPr>
        <w:t>If an employee works for separate and distinct employers, each employer may disregard work performed by the employee for the other employer when determining its responsibility under the Fair Labor Standards Act (FLSA). 29 C.F.R. § 791.2. However, where the employee performs “fire protection activities” for the fire department and “law enforcement activities” for the police department of the same public agency, as you state is the case here, the hours are aggregated.</w:t>
      </w:r>
      <w:r>
        <w:rPr>
          <w:rFonts w:ascii="Times New Roman" w:hAnsi="Times New Roman"/>
          <w:sz w:val="24"/>
          <w:szCs w:val="24"/>
        </w:rPr>
        <w:t>”</w:t>
      </w:r>
    </w:p>
    <w:p w14:paraId="4443E235" w14:textId="73B61801" w:rsidR="009F0F05" w:rsidRDefault="009F0F05" w:rsidP="009F0F05">
      <w:pPr>
        <w:rPr>
          <w:rFonts w:ascii="Times New Roman" w:hAnsi="Times New Roman"/>
          <w:b/>
          <w:bCs/>
          <w:sz w:val="24"/>
          <w:szCs w:val="24"/>
        </w:rPr>
      </w:pPr>
      <w:r w:rsidRPr="003E4638">
        <w:rPr>
          <w:rFonts w:ascii="Times New Roman" w:hAnsi="Times New Roman"/>
          <w:b/>
          <w:bCs/>
          <w:sz w:val="24"/>
          <w:szCs w:val="24"/>
        </w:rPr>
        <w:t>Legal Lessons Learned:</w:t>
      </w:r>
      <w:r>
        <w:rPr>
          <w:rFonts w:ascii="Times New Roman" w:hAnsi="Times New Roman"/>
          <w:b/>
          <w:bCs/>
          <w:sz w:val="24"/>
          <w:szCs w:val="24"/>
        </w:rPr>
        <w:t xml:space="preserve">  When in doubt about paying overtime, review FLSA opinion letters.  </w:t>
      </w:r>
      <w:hyperlink r:id="rId1816" w:history="1">
        <w:r w:rsidRPr="00A05487">
          <w:rPr>
            <w:rStyle w:val="Hyperlink"/>
            <w:rFonts w:ascii="Times New Roman" w:hAnsi="Times New Roman"/>
            <w:b/>
            <w:bCs/>
            <w:sz w:val="24"/>
            <w:szCs w:val="24"/>
          </w:rPr>
          <w:t>https://www.dol.gov/whd/opinion/search/index.htm?FLSA</w:t>
        </w:r>
      </w:hyperlink>
      <w:r>
        <w:rPr>
          <w:rFonts w:ascii="Times New Roman" w:hAnsi="Times New Roman"/>
          <w:b/>
          <w:bCs/>
          <w:sz w:val="24"/>
          <w:szCs w:val="24"/>
        </w:rPr>
        <w:t xml:space="preserve">   If still not clear, call </w:t>
      </w:r>
      <w:proofErr w:type="spellStart"/>
      <w:r>
        <w:rPr>
          <w:rFonts w:ascii="Times New Roman" w:hAnsi="Times New Roman"/>
          <w:b/>
          <w:bCs/>
          <w:sz w:val="24"/>
          <w:szCs w:val="24"/>
        </w:rPr>
        <w:t>DoL</w:t>
      </w:r>
      <w:proofErr w:type="spellEnd"/>
      <w:r>
        <w:rPr>
          <w:rFonts w:ascii="Times New Roman" w:hAnsi="Times New Roman"/>
          <w:b/>
          <w:bCs/>
          <w:sz w:val="24"/>
          <w:szCs w:val="24"/>
        </w:rPr>
        <w:t xml:space="preserve"> Wage </w:t>
      </w:r>
      <w:proofErr w:type="gramStart"/>
      <w:r>
        <w:rPr>
          <w:rFonts w:ascii="Times New Roman" w:hAnsi="Times New Roman"/>
          <w:b/>
          <w:bCs/>
          <w:sz w:val="24"/>
          <w:szCs w:val="24"/>
        </w:rPr>
        <w:t>And</w:t>
      </w:r>
      <w:proofErr w:type="gramEnd"/>
      <w:r>
        <w:rPr>
          <w:rFonts w:ascii="Times New Roman" w:hAnsi="Times New Roman"/>
          <w:b/>
          <w:bCs/>
          <w:sz w:val="24"/>
          <w:szCs w:val="24"/>
        </w:rPr>
        <w:t xml:space="preserve"> Hour Division and consult with experienced Legal Counsel.  </w:t>
      </w:r>
    </w:p>
    <w:p w14:paraId="1224AA89" w14:textId="127DE820" w:rsidR="00E052A6" w:rsidRDefault="00E052A6" w:rsidP="00E052A6">
      <w:pPr>
        <w:rPr>
          <w:rFonts w:ascii="Times New Roman" w:hAnsi="Times New Roman"/>
          <w:bCs/>
          <w:sz w:val="24"/>
          <w:szCs w:val="24"/>
        </w:rPr>
      </w:pPr>
    </w:p>
    <w:p w14:paraId="5714D2E1" w14:textId="77777777" w:rsidR="00EC50D5" w:rsidRPr="004647F6" w:rsidRDefault="00EC50D5" w:rsidP="00EC50D5">
      <w:pPr>
        <w:rPr>
          <w:rFonts w:ascii="Arial Black" w:hAnsi="Arial Black"/>
          <w:b/>
          <w:sz w:val="28"/>
          <w:szCs w:val="28"/>
        </w:rPr>
      </w:pPr>
      <w:r w:rsidRPr="004647F6">
        <w:rPr>
          <w:rFonts w:ascii="Arial Black" w:hAnsi="Arial Black"/>
          <w:b/>
          <w:sz w:val="28"/>
          <w:szCs w:val="28"/>
        </w:rPr>
        <w:t xml:space="preserve">FL – </w:t>
      </w:r>
      <w:r>
        <w:rPr>
          <w:rFonts w:ascii="Arial Black" w:hAnsi="Arial Black"/>
          <w:b/>
          <w:sz w:val="28"/>
          <w:szCs w:val="28"/>
        </w:rPr>
        <w:t xml:space="preserve">FF / U.S. ARMY RESERVE - </w:t>
      </w:r>
      <w:r w:rsidRPr="004647F6">
        <w:rPr>
          <w:rFonts w:ascii="Arial Black" w:hAnsi="Arial Black"/>
          <w:b/>
          <w:sz w:val="28"/>
          <w:szCs w:val="28"/>
        </w:rPr>
        <w:t>USERRA LAWSUIT DISMISSED –</w:t>
      </w:r>
      <w:r>
        <w:rPr>
          <w:rFonts w:ascii="Arial Black" w:hAnsi="Arial Black"/>
          <w:b/>
          <w:sz w:val="28"/>
          <w:szCs w:val="28"/>
        </w:rPr>
        <w:t xml:space="preserve"> NOT </w:t>
      </w:r>
      <w:r w:rsidRPr="004647F6">
        <w:rPr>
          <w:rFonts w:ascii="Arial Black" w:hAnsi="Arial Black"/>
          <w:b/>
          <w:sz w:val="28"/>
          <w:szCs w:val="28"/>
        </w:rPr>
        <w:t>PROMOTE</w:t>
      </w:r>
      <w:r>
        <w:rPr>
          <w:rFonts w:ascii="Arial Black" w:hAnsi="Arial Black"/>
          <w:b/>
          <w:sz w:val="28"/>
          <w:szCs w:val="28"/>
        </w:rPr>
        <w:t>D TO DISTRICT CHIEF – CITY USES “RULE OF 5”</w:t>
      </w:r>
    </w:p>
    <w:p w14:paraId="54EAF161" w14:textId="77777777" w:rsidR="00EC50D5" w:rsidRPr="002119A9" w:rsidRDefault="00EC50D5" w:rsidP="00EC50D5">
      <w:pPr>
        <w:pStyle w:val="NoSpacing"/>
        <w:rPr>
          <w:rFonts w:ascii="Times New Roman" w:hAnsi="Times New Roman"/>
          <w:sz w:val="24"/>
          <w:szCs w:val="24"/>
        </w:rPr>
      </w:pPr>
      <w:r w:rsidRPr="002119A9">
        <w:rPr>
          <w:rFonts w:ascii="Times New Roman" w:hAnsi="Times New Roman"/>
          <w:sz w:val="24"/>
          <w:szCs w:val="24"/>
        </w:rPr>
        <w:t xml:space="preserve">On April 29, 2019, in </w:t>
      </w:r>
      <w:r w:rsidRPr="002119A9">
        <w:rPr>
          <w:rFonts w:ascii="Times New Roman" w:hAnsi="Times New Roman"/>
          <w:sz w:val="24"/>
          <w:szCs w:val="24"/>
          <w:u w:val="single"/>
        </w:rPr>
        <w:t>John H. Ramirez v. City of Fort Lauderdale</w:t>
      </w:r>
      <w:r w:rsidRPr="002119A9">
        <w:rPr>
          <w:rFonts w:ascii="Times New Roman" w:hAnsi="Times New Roman"/>
          <w:sz w:val="24"/>
          <w:szCs w:val="24"/>
        </w:rPr>
        <w:t xml:space="preserve">, U.S. District Court judge William P. </w:t>
      </w:r>
      <w:proofErr w:type="spellStart"/>
      <w:r w:rsidRPr="002119A9">
        <w:rPr>
          <w:rFonts w:ascii="Times New Roman" w:hAnsi="Times New Roman"/>
          <w:sz w:val="24"/>
          <w:szCs w:val="24"/>
        </w:rPr>
        <w:t>Dimitrouleas</w:t>
      </w:r>
      <w:proofErr w:type="spellEnd"/>
      <w:r w:rsidRPr="002119A9">
        <w:rPr>
          <w:rFonts w:ascii="Times New Roman" w:hAnsi="Times New Roman"/>
          <w:sz w:val="24"/>
          <w:szCs w:val="24"/>
        </w:rPr>
        <w:t xml:space="preserve">, Southern District of Florida, granted the City’s motion to dismiss, but Plaintiff was afforded an opportunity to file an amended Complaint to show he was denied promotions because of his military service. </w:t>
      </w:r>
    </w:p>
    <w:p w14:paraId="543B08CD" w14:textId="77777777" w:rsidR="00EC50D5" w:rsidRPr="002119A9" w:rsidRDefault="00EC50D5" w:rsidP="00EC50D5">
      <w:pPr>
        <w:pStyle w:val="NoSpacing"/>
        <w:rPr>
          <w:rFonts w:ascii="Times New Roman" w:hAnsi="Times New Roman"/>
          <w:sz w:val="24"/>
          <w:szCs w:val="24"/>
        </w:rPr>
      </w:pPr>
    </w:p>
    <w:p w14:paraId="77CD9642" w14:textId="77777777" w:rsidR="00EC50D5" w:rsidRPr="002119A9" w:rsidRDefault="00EC50D5" w:rsidP="00EC50D5">
      <w:pPr>
        <w:pStyle w:val="NoSpacing"/>
        <w:ind w:left="720"/>
        <w:rPr>
          <w:rFonts w:ascii="Times New Roman" w:hAnsi="Times New Roman"/>
          <w:sz w:val="24"/>
          <w:szCs w:val="24"/>
        </w:rPr>
      </w:pPr>
      <w:r w:rsidRPr="002119A9">
        <w:rPr>
          <w:rFonts w:ascii="Times New Roman" w:hAnsi="Times New Roman"/>
          <w:sz w:val="24"/>
          <w:szCs w:val="24"/>
        </w:rPr>
        <w:t xml:space="preserve">During Plaintiff's employment, he served in the United States Army and was called for various deployments.  Plaintiff has repeatedly applied for promotion to Division Chief and was passed over for promotion several times. *** Defendant uses the rule of five to select personnel for promotion, which, according to Plaintiff violates Plaintiff's rights under USERRA by ‘not following the State of Florida Veterans preference.’  Plaintiff has complained to the Defendant that his military service was a factor in the decision to deny him promotion. </w:t>
      </w:r>
    </w:p>
    <w:p w14:paraId="250A507F" w14:textId="77777777" w:rsidR="00EC50D5" w:rsidRPr="002119A9" w:rsidRDefault="00EC50D5" w:rsidP="00EC50D5">
      <w:pPr>
        <w:pStyle w:val="NoSpacing"/>
        <w:ind w:left="720"/>
        <w:rPr>
          <w:rFonts w:ascii="Times New Roman" w:hAnsi="Times New Roman"/>
          <w:sz w:val="24"/>
          <w:szCs w:val="24"/>
        </w:rPr>
      </w:pPr>
    </w:p>
    <w:p w14:paraId="17BEEEFB" w14:textId="77777777" w:rsidR="00EC50D5" w:rsidRPr="002119A9" w:rsidRDefault="00EC50D5" w:rsidP="00EC50D5">
      <w:pPr>
        <w:pStyle w:val="NoSpacing"/>
        <w:ind w:left="720"/>
        <w:rPr>
          <w:rFonts w:ascii="Times New Roman" w:hAnsi="Times New Roman"/>
          <w:sz w:val="24"/>
          <w:szCs w:val="24"/>
        </w:rPr>
      </w:pPr>
      <w:r w:rsidRPr="002119A9">
        <w:rPr>
          <w:rFonts w:ascii="Times New Roman" w:hAnsi="Times New Roman"/>
          <w:sz w:val="24"/>
          <w:szCs w:val="24"/>
        </w:rPr>
        <w:t>***</w:t>
      </w:r>
    </w:p>
    <w:p w14:paraId="12E2DAAB" w14:textId="77777777" w:rsidR="00EC50D5" w:rsidRPr="002119A9" w:rsidRDefault="00EC50D5" w:rsidP="00EC50D5">
      <w:pPr>
        <w:pStyle w:val="NoSpacing"/>
        <w:rPr>
          <w:rFonts w:ascii="Times New Roman" w:hAnsi="Times New Roman"/>
          <w:sz w:val="24"/>
          <w:szCs w:val="24"/>
        </w:rPr>
      </w:pPr>
    </w:p>
    <w:p w14:paraId="23EB908A" w14:textId="77777777" w:rsidR="00EC50D5" w:rsidRPr="002119A9" w:rsidRDefault="00EC50D5" w:rsidP="00EC50D5">
      <w:pPr>
        <w:pStyle w:val="NoSpacing"/>
        <w:ind w:left="720"/>
        <w:rPr>
          <w:rFonts w:ascii="Times New Roman" w:eastAsia="Times New Roman" w:hAnsi="Times New Roman"/>
          <w:b/>
          <w:bCs/>
          <w:sz w:val="24"/>
          <w:szCs w:val="24"/>
        </w:rPr>
      </w:pPr>
      <w:r w:rsidRPr="002119A9">
        <w:rPr>
          <w:rFonts w:ascii="Times New Roman" w:hAnsi="Times New Roman"/>
          <w:sz w:val="24"/>
          <w:szCs w:val="24"/>
        </w:rPr>
        <w:t xml:space="preserve">To establish a prima facie case under USERRA, "a plaintiff must show by a preponderance of the evidence that his protected status was a motivating factor in the challenged action." Dominguez v. Miami-Dade </w:t>
      </w:r>
      <w:proofErr w:type="spellStart"/>
      <w:r w:rsidRPr="002119A9">
        <w:rPr>
          <w:rFonts w:ascii="Times New Roman" w:hAnsi="Times New Roman"/>
          <w:sz w:val="24"/>
          <w:szCs w:val="24"/>
        </w:rPr>
        <w:t>Cty</w:t>
      </w:r>
      <w:proofErr w:type="spellEnd"/>
      <w:r w:rsidRPr="002119A9">
        <w:rPr>
          <w:rFonts w:ascii="Times New Roman" w:hAnsi="Times New Roman"/>
          <w:sz w:val="24"/>
          <w:szCs w:val="24"/>
        </w:rPr>
        <w:t xml:space="preserve">., 669 F. Supp. 2d 1340, 1347 (S.D. Fla. 2009), aff'd, 416 F. </w:t>
      </w:r>
      <w:proofErr w:type="spellStart"/>
      <w:r w:rsidRPr="002119A9">
        <w:rPr>
          <w:rFonts w:ascii="Times New Roman" w:hAnsi="Times New Roman"/>
          <w:sz w:val="24"/>
          <w:szCs w:val="24"/>
        </w:rPr>
        <w:t>App'x</w:t>
      </w:r>
      <w:proofErr w:type="spellEnd"/>
      <w:r w:rsidRPr="002119A9">
        <w:rPr>
          <w:rFonts w:ascii="Times New Roman" w:hAnsi="Times New Roman"/>
          <w:sz w:val="24"/>
          <w:szCs w:val="24"/>
        </w:rPr>
        <w:t xml:space="preserve"> 884 (11th Cir. 2011). *** The Court finds that Plaintiff has failed to meet the burden to allege that his protected status as a servicemember was the motivating factor behind Defendant's choice not to promote him.  </w:t>
      </w:r>
      <w:hyperlink r:id="rId1817" w:history="1">
        <w:r w:rsidRPr="002119A9">
          <w:rPr>
            <w:rStyle w:val="Hyperlink"/>
            <w:rFonts w:ascii="Times New Roman" w:eastAsia="Times New Roman" w:hAnsi="Times New Roman"/>
            <w:b/>
            <w:bCs/>
            <w:sz w:val="24"/>
            <w:szCs w:val="24"/>
          </w:rPr>
          <w:t>http://41af3k34gprx4f6bg12df75i.wpengine.netdna-cdn.com/wp-content/uploads/sites/19/2019/05/Ramirez-v.-City-of-Fort-Lauderdale-Fire-Rescue_-2019-U.pdf</w:t>
        </w:r>
      </w:hyperlink>
      <w:r w:rsidRPr="002119A9">
        <w:rPr>
          <w:rFonts w:ascii="Times New Roman" w:eastAsia="Times New Roman" w:hAnsi="Times New Roman"/>
          <w:b/>
          <w:bCs/>
          <w:sz w:val="24"/>
          <w:szCs w:val="24"/>
        </w:rPr>
        <w:t xml:space="preserve"> </w:t>
      </w:r>
    </w:p>
    <w:p w14:paraId="66F16DF9" w14:textId="1F14BD60" w:rsidR="00EC50D5" w:rsidRPr="00715CF2" w:rsidRDefault="00EC50D5" w:rsidP="00EC50D5">
      <w:pPr>
        <w:rPr>
          <w:rFonts w:ascii="Times New Roman" w:hAnsi="Times New Roman"/>
          <w:bCs/>
          <w:sz w:val="24"/>
          <w:szCs w:val="24"/>
        </w:rPr>
      </w:pPr>
      <w:r w:rsidRPr="0052665B">
        <w:rPr>
          <w:rFonts w:ascii="Times New Roman" w:hAnsi="Times New Roman"/>
          <w:b/>
          <w:sz w:val="24"/>
          <w:szCs w:val="24"/>
        </w:rPr>
        <w:t>Legal Lesson Learned:  Plaintiff failed to show that his protected military status was a motivating factor in not being promoted</w:t>
      </w:r>
    </w:p>
    <w:p w14:paraId="115D1A0E" w14:textId="77777777" w:rsidR="005B0774" w:rsidRDefault="005B0774" w:rsidP="00F326E5">
      <w:pPr>
        <w:rPr>
          <w:rFonts w:ascii="Arial Black" w:hAnsi="Arial Black"/>
          <w:b/>
          <w:sz w:val="24"/>
          <w:szCs w:val="24"/>
        </w:rPr>
      </w:pPr>
    </w:p>
    <w:p w14:paraId="6968C5B4" w14:textId="3C2D78DC" w:rsidR="005B0774" w:rsidRDefault="005B0774" w:rsidP="00F326E5">
      <w:pPr>
        <w:rPr>
          <w:rFonts w:ascii="Arial Black" w:hAnsi="Arial Black"/>
          <w:b/>
          <w:sz w:val="24"/>
          <w:szCs w:val="24"/>
        </w:rPr>
      </w:pPr>
      <w:r>
        <w:rPr>
          <w:rFonts w:ascii="Arial Black" w:hAnsi="Arial Black"/>
          <w:b/>
          <w:sz w:val="24"/>
          <w:szCs w:val="24"/>
        </w:rPr>
        <w:t>11-5</w:t>
      </w:r>
    </w:p>
    <w:p w14:paraId="16813B02" w14:textId="2766604B" w:rsidR="005B0774" w:rsidRPr="00E9307E" w:rsidRDefault="005B0774" w:rsidP="00F326E5">
      <w:pPr>
        <w:rPr>
          <w:rFonts w:ascii="Arial Black" w:hAnsi="Arial Black"/>
          <w:sz w:val="28"/>
          <w:szCs w:val="28"/>
        </w:rPr>
      </w:pPr>
      <w:r w:rsidRPr="00E9307E">
        <w:rPr>
          <w:rFonts w:ascii="Arial Black" w:hAnsi="Arial Black" w:cs="Arial"/>
          <w:sz w:val="28"/>
          <w:szCs w:val="28"/>
        </w:rPr>
        <w:t xml:space="preserve">WA: FED. JUDGE REFUSES DECLARATORY JUDGMENT – BATTALION </w:t>
      </w:r>
      <w:r w:rsidRPr="00E9307E">
        <w:rPr>
          <w:rFonts w:ascii="Arial Black" w:hAnsi="Arial Black"/>
          <w:sz w:val="28"/>
          <w:szCs w:val="28"/>
        </w:rPr>
        <w:t xml:space="preserve">CHIEFS / FIRE MARSHALS ARE “EXEMPT” FLSA </w:t>
      </w:r>
    </w:p>
    <w:p w14:paraId="195ACE47" w14:textId="77777777" w:rsidR="00E658E1" w:rsidRDefault="005B0774" w:rsidP="00F326E5">
      <w:pPr>
        <w:rPr>
          <w:rFonts w:ascii="Times New Roman" w:hAnsi="Times New Roman"/>
          <w:sz w:val="24"/>
          <w:szCs w:val="24"/>
        </w:rPr>
      </w:pPr>
      <w:r w:rsidRPr="0036327D">
        <w:rPr>
          <w:rFonts w:ascii="Times New Roman" w:hAnsi="Times New Roman"/>
          <w:sz w:val="24"/>
          <w:szCs w:val="24"/>
        </w:rPr>
        <w:lastRenderedPageBreak/>
        <w:t>On April 18, 2019, in Spokane Valley Fire Department v. IAFF Local 3701, U.S. District Court Judge Salvador Mendoza, Jr., held:</w:t>
      </w:r>
    </w:p>
    <w:p w14:paraId="7AACB06E" w14:textId="033EC010" w:rsidR="005B0774" w:rsidRPr="0036327D" w:rsidRDefault="005B0774" w:rsidP="00E658E1">
      <w:pPr>
        <w:ind w:left="720"/>
        <w:rPr>
          <w:rFonts w:ascii="Times New Roman" w:hAnsi="Times New Roman"/>
          <w:sz w:val="24"/>
          <w:szCs w:val="24"/>
        </w:rPr>
      </w:pPr>
      <w:r w:rsidRPr="0036327D">
        <w:rPr>
          <w:rFonts w:ascii="Times New Roman" w:hAnsi="Times New Roman"/>
          <w:sz w:val="24"/>
          <w:szCs w:val="24"/>
        </w:rPr>
        <w:t xml:space="preserve">“But the problem for the Department is that it fails to demonstrate any potential FLSA overtime claims have accrued or are certainly impending and pose an imminent threat, </w:t>
      </w:r>
      <w:proofErr w:type="gramStart"/>
      <w:r w:rsidRPr="0036327D">
        <w:rPr>
          <w:rFonts w:ascii="Times New Roman" w:hAnsi="Times New Roman"/>
          <w:sz w:val="24"/>
          <w:szCs w:val="24"/>
        </w:rPr>
        <w:t>so as to</w:t>
      </w:r>
      <w:proofErr w:type="gramEnd"/>
      <w:r w:rsidRPr="0036327D">
        <w:rPr>
          <w:rFonts w:ascii="Times New Roman" w:hAnsi="Times New Roman"/>
          <w:sz w:val="24"/>
          <w:szCs w:val="24"/>
        </w:rPr>
        <w:t xml:space="preserve"> establish standing and ripeness. By continuing to operate under the existing collective bargaining agreement, the Department is preserving an injury-free status quo.”</w:t>
      </w:r>
      <w:r w:rsidR="00C95AF6" w:rsidRPr="0036327D">
        <w:rPr>
          <w:rFonts w:ascii="Times New Roman" w:hAnsi="Times New Roman"/>
          <w:sz w:val="24"/>
          <w:szCs w:val="24"/>
        </w:rPr>
        <w:t xml:space="preserve"> </w:t>
      </w:r>
      <w:hyperlink r:id="rId1818" w:history="1">
        <w:r w:rsidR="00C95AF6" w:rsidRPr="0036327D">
          <w:rPr>
            <w:rStyle w:val="Hyperlink"/>
            <w:rFonts w:ascii="Times New Roman" w:hAnsi="Times New Roman"/>
            <w:sz w:val="24"/>
            <w:szCs w:val="24"/>
          </w:rPr>
          <w:t>http://41af3k34gprx4f6bg12df75i.wpengine.netdna-cdn.com/wp-content/uploads/sites/19/2019/04/Spokane-Valley-Fire-Department-v-IAFF-Local-3701-RULING.pdf</w:t>
        </w:r>
      </w:hyperlink>
      <w:r w:rsidR="00C95AF6" w:rsidRPr="0036327D">
        <w:rPr>
          <w:rFonts w:ascii="Times New Roman" w:hAnsi="Times New Roman"/>
          <w:sz w:val="24"/>
          <w:szCs w:val="24"/>
        </w:rPr>
        <w:t xml:space="preserve"> </w:t>
      </w:r>
    </w:p>
    <w:p w14:paraId="611A277B" w14:textId="77777777" w:rsidR="00C95AF6" w:rsidRPr="0036327D" w:rsidRDefault="00C95AF6" w:rsidP="00F326E5">
      <w:pPr>
        <w:rPr>
          <w:rFonts w:ascii="Times New Roman" w:hAnsi="Times New Roman"/>
          <w:b/>
          <w:bCs/>
          <w:sz w:val="24"/>
          <w:szCs w:val="24"/>
        </w:rPr>
      </w:pPr>
      <w:r w:rsidRPr="0036327D">
        <w:rPr>
          <w:rFonts w:ascii="Times New Roman" w:hAnsi="Times New Roman"/>
          <w:b/>
          <w:bCs/>
          <w:sz w:val="24"/>
          <w:szCs w:val="24"/>
        </w:rPr>
        <w:t>Legal Lessons Learned: The Fire Department can always consult with U.S. Department of Labor, Wage &amp; Hour Division, or seek a formal opinion letter concerning the proper classification of their Battalion Chiefs and Fire Marshals based on a detailed description of their job duties.</w:t>
      </w:r>
    </w:p>
    <w:p w14:paraId="7C470B39" w14:textId="0F5AB7AC" w:rsidR="00C95AF6" w:rsidRPr="0036327D" w:rsidRDefault="00C95AF6" w:rsidP="00C95AF6">
      <w:pPr>
        <w:ind w:left="720"/>
        <w:rPr>
          <w:rFonts w:ascii="Times New Roman" w:hAnsi="Times New Roman"/>
          <w:sz w:val="24"/>
          <w:szCs w:val="24"/>
        </w:rPr>
      </w:pPr>
      <w:r w:rsidRPr="0036327D">
        <w:rPr>
          <w:rFonts w:ascii="Times New Roman" w:hAnsi="Times New Roman"/>
          <w:sz w:val="24"/>
          <w:szCs w:val="24"/>
        </w:rPr>
        <w:t xml:space="preserve">For example, see Opinion Letter FLSA 2005-40: “Accordingly, the duties described in your letter are sufficient to qualify the City’s Police Lieutenants, Police Captains, and Fire Battalion Chiefs as exempt from the minimum wage and overtime provisions of the FLSA. Therefore, so long as the actual duties performed by these employees are consistent with those described, the referenced employees are exempt from these provisions of the FLSA.” </w:t>
      </w:r>
      <w:hyperlink r:id="rId1819" w:history="1">
        <w:r w:rsidRPr="0036327D">
          <w:rPr>
            <w:rStyle w:val="Hyperlink"/>
            <w:rFonts w:ascii="Times New Roman" w:hAnsi="Times New Roman"/>
            <w:sz w:val="24"/>
            <w:szCs w:val="24"/>
          </w:rPr>
          <w:t>https://www.dol.gov/whd/opinion/FLSA/2005/2005_10_14_40_FLSA.pdf</w:t>
        </w:r>
      </w:hyperlink>
      <w:r w:rsidRPr="0036327D">
        <w:rPr>
          <w:rFonts w:ascii="Times New Roman" w:hAnsi="Times New Roman"/>
          <w:sz w:val="24"/>
          <w:szCs w:val="24"/>
        </w:rPr>
        <w:t xml:space="preserve"> </w:t>
      </w:r>
    </w:p>
    <w:p w14:paraId="719DFCB2" w14:textId="77777777" w:rsidR="005B0774" w:rsidRPr="0036327D" w:rsidRDefault="005B0774" w:rsidP="00F326E5">
      <w:pPr>
        <w:rPr>
          <w:rFonts w:ascii="Times New Roman" w:hAnsi="Times New Roman"/>
          <w:b/>
          <w:sz w:val="24"/>
          <w:szCs w:val="24"/>
        </w:rPr>
      </w:pPr>
    </w:p>
    <w:p w14:paraId="6D127516" w14:textId="4DF9577C" w:rsidR="00DE0F03" w:rsidRDefault="00DE0F03" w:rsidP="00F326E5">
      <w:pPr>
        <w:rPr>
          <w:rFonts w:ascii="Arial Black" w:hAnsi="Arial Black"/>
          <w:sz w:val="40"/>
          <w:szCs w:val="40"/>
        </w:rPr>
      </w:pPr>
      <w:r>
        <w:rPr>
          <w:rFonts w:ascii="Arial Black" w:hAnsi="Arial Black"/>
          <w:b/>
          <w:sz w:val="24"/>
          <w:szCs w:val="24"/>
        </w:rPr>
        <w:t>11</w:t>
      </w:r>
      <w:r w:rsidRPr="00EF1133">
        <w:rPr>
          <w:rFonts w:ascii="Arial Black" w:hAnsi="Arial Black"/>
          <w:b/>
          <w:sz w:val="24"/>
          <w:szCs w:val="24"/>
        </w:rPr>
        <w:t>-</w:t>
      </w:r>
      <w:r>
        <w:rPr>
          <w:rFonts w:ascii="Arial Black" w:hAnsi="Arial Black"/>
          <w:b/>
          <w:sz w:val="24"/>
          <w:szCs w:val="24"/>
        </w:rPr>
        <w:t>4</w:t>
      </w:r>
    </w:p>
    <w:p w14:paraId="1C7DB8BA" w14:textId="0633FCA0" w:rsidR="00F326E5" w:rsidRDefault="00F326E5" w:rsidP="00F326E5">
      <w:pPr>
        <w:pStyle w:val="NoSpacing"/>
        <w:rPr>
          <w:rFonts w:ascii="Arial Black" w:hAnsi="Arial Black"/>
          <w:sz w:val="28"/>
          <w:szCs w:val="28"/>
        </w:rPr>
      </w:pPr>
      <w:bookmarkStart w:id="409" w:name="_Hlk7345398"/>
      <w:r>
        <w:rPr>
          <w:rFonts w:ascii="Arial Black" w:hAnsi="Arial Black"/>
          <w:sz w:val="28"/>
          <w:szCs w:val="28"/>
        </w:rPr>
        <w:t>U.S. DEPT. OF LABOR: PROPOSED NEW RULE –</w:t>
      </w:r>
      <w:r w:rsidR="008F1BBB">
        <w:rPr>
          <w:rFonts w:ascii="Arial Black" w:hAnsi="Arial Black"/>
          <w:sz w:val="28"/>
          <w:szCs w:val="28"/>
        </w:rPr>
        <w:t xml:space="preserve"> </w:t>
      </w:r>
      <w:r>
        <w:rPr>
          <w:rFonts w:ascii="Arial Black" w:hAnsi="Arial Black"/>
          <w:sz w:val="28"/>
          <w:szCs w:val="28"/>
        </w:rPr>
        <w:t xml:space="preserve">ITEMS NOT INCLUDED IN “REGULAR RATE OF PAY” </w:t>
      </w:r>
    </w:p>
    <w:p w14:paraId="1E24790F" w14:textId="77777777" w:rsidR="00F326E5" w:rsidRPr="00E658E1" w:rsidRDefault="00F326E5" w:rsidP="00F326E5">
      <w:pPr>
        <w:spacing w:before="100" w:beforeAutospacing="1" w:after="100" w:afterAutospacing="1"/>
        <w:rPr>
          <w:rFonts w:ascii="Times New Roman" w:eastAsia="Times New Roman" w:hAnsi="Times New Roman"/>
          <w:sz w:val="24"/>
          <w:szCs w:val="24"/>
        </w:rPr>
      </w:pPr>
      <w:r w:rsidRPr="00E658E1">
        <w:rPr>
          <w:rFonts w:ascii="Times New Roman" w:eastAsia="Times New Roman" w:hAnsi="Times New Roman"/>
          <w:sz w:val="24"/>
          <w:szCs w:val="24"/>
        </w:rPr>
        <w:t xml:space="preserve">On March 28, 2019, the U.S. Department of Labor (Department) announced a proposed rule to amend 29 CFR part 778 to clarify and update regular rate requirements under section 7(e) of the Fair Labor Standards Act (FLSA).  </w:t>
      </w:r>
      <w:hyperlink r:id="rId1820" w:history="1">
        <w:r w:rsidRPr="00E658E1">
          <w:rPr>
            <w:rStyle w:val="Hyperlink"/>
            <w:rFonts w:ascii="Times New Roman" w:hAnsi="Times New Roman"/>
            <w:sz w:val="24"/>
            <w:szCs w:val="24"/>
          </w:rPr>
          <w:t>https://www.dol.gov/whd/overtime/regularrate2019.htm</w:t>
        </w:r>
      </w:hyperlink>
      <w:r w:rsidRPr="00E658E1">
        <w:rPr>
          <w:rFonts w:ascii="Times New Roman" w:eastAsia="Times New Roman" w:hAnsi="Times New Roman"/>
          <w:sz w:val="24"/>
          <w:szCs w:val="24"/>
        </w:rPr>
        <w:t xml:space="preserve"> </w:t>
      </w:r>
    </w:p>
    <w:p w14:paraId="784504D8" w14:textId="77777777" w:rsidR="00F326E5" w:rsidRPr="00E658E1" w:rsidRDefault="00F326E5" w:rsidP="00F326E5">
      <w:pPr>
        <w:spacing w:before="100" w:beforeAutospacing="1" w:after="100" w:afterAutospacing="1"/>
        <w:ind w:left="720"/>
        <w:rPr>
          <w:rFonts w:ascii="Times New Roman" w:eastAsia="Times New Roman" w:hAnsi="Times New Roman"/>
          <w:sz w:val="24"/>
          <w:szCs w:val="24"/>
        </w:rPr>
      </w:pPr>
      <w:r w:rsidRPr="00E658E1">
        <w:rPr>
          <w:rFonts w:ascii="Times New Roman" w:eastAsia="Times New Roman" w:hAnsi="Times New Roman"/>
          <w:sz w:val="24"/>
          <w:szCs w:val="24"/>
        </w:rPr>
        <w:t xml:space="preserve">“The FLSA generally requires overtime pay of at least one and one-half times the regular rate of pay for hours worked </w:t>
      </w:r>
      <w:proofErr w:type="gramStart"/>
      <w:r w:rsidRPr="00E658E1">
        <w:rPr>
          <w:rFonts w:ascii="Times New Roman" w:eastAsia="Times New Roman" w:hAnsi="Times New Roman"/>
          <w:sz w:val="24"/>
          <w:szCs w:val="24"/>
        </w:rPr>
        <w:t>in excess of</w:t>
      </w:r>
      <w:proofErr w:type="gramEnd"/>
      <w:r w:rsidRPr="00E658E1">
        <w:rPr>
          <w:rFonts w:ascii="Times New Roman" w:eastAsia="Times New Roman" w:hAnsi="Times New Roman"/>
          <w:sz w:val="24"/>
          <w:szCs w:val="24"/>
        </w:rPr>
        <w:t xml:space="preserve"> 40 hours per workweek. Regular rate requirements define what forms of payment employers include and exclude in the “time and one-half” calculation when determining workers’ overtime rates. Under current rules, employers are discouraged from offering more perks to their employees as it may be unclear whether those perks must be included in the calculation of an employees’ regular rate of pay. The proposed rule focuses primarily on clarifying whether certain kinds of perks, benefits, or other miscellaneous items must be included in the regular rate. Because these regulations have not been updated in decades, the proposal would better define the regular rate for today’s workplace practices.</w:t>
      </w:r>
    </w:p>
    <w:p w14:paraId="0AD7CEDA" w14:textId="77777777" w:rsidR="00F326E5" w:rsidRPr="00E658E1" w:rsidRDefault="00F326E5" w:rsidP="00F326E5">
      <w:pPr>
        <w:spacing w:before="100" w:beforeAutospacing="1" w:after="100" w:afterAutospacing="1"/>
        <w:ind w:left="720"/>
        <w:rPr>
          <w:rFonts w:ascii="Times New Roman" w:eastAsia="Times New Roman" w:hAnsi="Times New Roman"/>
          <w:sz w:val="24"/>
          <w:szCs w:val="24"/>
        </w:rPr>
      </w:pPr>
      <w:r w:rsidRPr="00E658E1">
        <w:rPr>
          <w:rFonts w:ascii="Times New Roman" w:eastAsia="Times New Roman" w:hAnsi="Times New Roman"/>
          <w:sz w:val="24"/>
          <w:szCs w:val="24"/>
        </w:rPr>
        <w:t>The Department proposes clarifications to the regulations to confirm that employers may exclude the following from an employee’s regular rate of pay:</w:t>
      </w:r>
    </w:p>
    <w:p w14:paraId="142748C1"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the cost of providing wellness programs, onsite specialist treatment, gym access and fitness classes, and employee discounts on retail goods and services;</w:t>
      </w:r>
    </w:p>
    <w:p w14:paraId="421ED97F"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payments for unused paid leave, including paid sick leave;</w:t>
      </w:r>
    </w:p>
    <w:p w14:paraId="348ABE9F"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lastRenderedPageBreak/>
        <w:t>reimbursed expenses, even if not incurred “solely” for the employer’s benefit;</w:t>
      </w:r>
    </w:p>
    <w:p w14:paraId="49BF994D"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reimbursed travel expenses that do not exceed the maximum travel reimbursement permitted under the Federal Travel Regulation System regulations and that satisfy other regulatory requirements;</w:t>
      </w:r>
    </w:p>
    <w:p w14:paraId="5668FA02"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discretionary bonuses;</w:t>
      </w:r>
    </w:p>
    <w:p w14:paraId="144C132B"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Benefit plans, including accident, unemployment, and legal services; and</w:t>
      </w:r>
    </w:p>
    <w:p w14:paraId="45881670"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 xml:space="preserve">Tuition programs, such as reimbursement programs or repayment of educational </w:t>
      </w:r>
      <w:proofErr w:type="gramStart"/>
      <w:r w:rsidRPr="00E658E1">
        <w:rPr>
          <w:rFonts w:ascii="Times New Roman" w:eastAsia="Times New Roman" w:hAnsi="Times New Roman"/>
          <w:sz w:val="24"/>
          <w:szCs w:val="24"/>
        </w:rPr>
        <w:t>deb</w:t>
      </w:r>
      <w:proofErr w:type="gramEnd"/>
    </w:p>
    <w:p w14:paraId="10D19AE9" w14:textId="77777777" w:rsidR="00F326E5" w:rsidRPr="00E658E1" w:rsidRDefault="00F326E5" w:rsidP="00F326E5">
      <w:pPr>
        <w:spacing w:before="100" w:beforeAutospacing="1" w:after="100" w:afterAutospacing="1"/>
        <w:ind w:left="360"/>
        <w:rPr>
          <w:rFonts w:ascii="Times New Roman" w:eastAsia="Times New Roman" w:hAnsi="Times New Roman"/>
          <w:sz w:val="24"/>
          <w:szCs w:val="24"/>
        </w:rPr>
      </w:pPr>
      <w:r w:rsidRPr="00E658E1">
        <w:rPr>
          <w:rFonts w:ascii="Times New Roman" w:eastAsia="Times New Roman" w:hAnsi="Times New Roman"/>
          <w:sz w:val="24"/>
          <w:szCs w:val="24"/>
        </w:rPr>
        <w:t xml:space="preserve">The proposed rule also includes additional clarification about other forms of compensation, including payment for meal </w:t>
      </w:r>
      <w:proofErr w:type="gramStart"/>
      <w:r w:rsidRPr="00E658E1">
        <w:rPr>
          <w:rFonts w:ascii="Times New Roman" w:eastAsia="Times New Roman" w:hAnsi="Times New Roman"/>
          <w:sz w:val="24"/>
          <w:szCs w:val="24"/>
        </w:rPr>
        <w:t>periods, ‘</w:t>
      </w:r>
      <w:proofErr w:type="gramEnd"/>
      <w:r w:rsidRPr="00E658E1">
        <w:rPr>
          <w:rFonts w:ascii="Times New Roman" w:eastAsia="Times New Roman" w:hAnsi="Times New Roman"/>
          <w:sz w:val="24"/>
          <w:szCs w:val="24"/>
        </w:rPr>
        <w:t>call back’ pay, and others.</w:t>
      </w:r>
    </w:p>
    <w:p w14:paraId="5430966A" w14:textId="77777777" w:rsidR="00F326E5" w:rsidRPr="00E658E1" w:rsidRDefault="00F326E5" w:rsidP="00F326E5">
      <w:pPr>
        <w:spacing w:before="100" w:beforeAutospacing="1" w:after="100" w:afterAutospacing="1"/>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This new rule will hopefully provide more clarification for Fire &amp; EMS Departments and avoid litigation about “regular rate” of pay. </w:t>
      </w:r>
    </w:p>
    <w:p w14:paraId="67073C11" w14:textId="77777777" w:rsidR="00F326E5" w:rsidRPr="00E658E1" w:rsidRDefault="00F326E5" w:rsidP="00F326E5">
      <w:pPr>
        <w:spacing w:before="100" w:beforeAutospacing="1" w:after="100" w:afterAutospacing="1"/>
        <w:ind w:left="720"/>
        <w:rPr>
          <w:rFonts w:ascii="Times New Roman" w:hAnsi="Times New Roman"/>
          <w:sz w:val="24"/>
          <w:szCs w:val="24"/>
        </w:rPr>
      </w:pPr>
      <w:r w:rsidRPr="00E658E1">
        <w:rPr>
          <w:rFonts w:ascii="Times New Roman" w:eastAsia="Times New Roman" w:hAnsi="Times New Roman"/>
          <w:sz w:val="24"/>
          <w:szCs w:val="24"/>
        </w:rPr>
        <w:t xml:space="preserve">See, for example, </w:t>
      </w:r>
      <w:proofErr w:type="spellStart"/>
      <w:r w:rsidRPr="00E658E1">
        <w:rPr>
          <w:rFonts w:ascii="Times New Roman" w:eastAsia="Times New Roman" w:hAnsi="Times New Roman"/>
          <w:sz w:val="24"/>
          <w:szCs w:val="24"/>
        </w:rPr>
        <w:t>DoL</w:t>
      </w:r>
      <w:proofErr w:type="spellEnd"/>
      <w:r w:rsidRPr="00E658E1">
        <w:rPr>
          <w:rFonts w:ascii="Times New Roman" w:eastAsia="Times New Roman" w:hAnsi="Times New Roman"/>
          <w:sz w:val="24"/>
          <w:szCs w:val="24"/>
        </w:rPr>
        <w:t xml:space="preserve"> Advisory Opinion </w:t>
      </w:r>
      <w:r w:rsidRPr="00E658E1">
        <w:rPr>
          <w:rFonts w:ascii="Times New Roman" w:hAnsi="Times New Roman"/>
          <w:sz w:val="24"/>
          <w:szCs w:val="24"/>
        </w:rPr>
        <w:t xml:space="preserve">FLSA2018-5 (Jan. 5, 2018) regarding a Fire Department’s calculation of “regular rate of pay” concerning annual bonuses, such as certification pay, education pay, and longevity pay: </w:t>
      </w:r>
      <w:hyperlink r:id="rId1821" w:history="1">
        <w:r w:rsidRPr="00E658E1">
          <w:rPr>
            <w:rStyle w:val="Hyperlink"/>
            <w:rFonts w:ascii="Times New Roman" w:hAnsi="Times New Roman"/>
            <w:sz w:val="24"/>
            <w:szCs w:val="24"/>
          </w:rPr>
          <w:t>https://www.dol.gov/whd/opinion/FLSA/2018/2018_01_05_05_FLSA.pdf</w:t>
        </w:r>
      </w:hyperlink>
      <w:r w:rsidRPr="00E658E1">
        <w:rPr>
          <w:rFonts w:ascii="Times New Roman" w:hAnsi="Times New Roman"/>
          <w:sz w:val="24"/>
          <w:szCs w:val="24"/>
        </w:rPr>
        <w:t xml:space="preserve"> </w:t>
      </w:r>
      <w:bookmarkEnd w:id="409"/>
    </w:p>
    <w:p w14:paraId="350BF387" w14:textId="77777777" w:rsidR="005B0774" w:rsidRDefault="005B0774" w:rsidP="00F326E5">
      <w:pPr>
        <w:rPr>
          <w:rFonts w:ascii="Arial Black" w:hAnsi="Arial Black"/>
          <w:b/>
          <w:sz w:val="24"/>
          <w:szCs w:val="24"/>
        </w:rPr>
      </w:pPr>
    </w:p>
    <w:p w14:paraId="3E4F953D" w14:textId="5D30D298" w:rsidR="00F326E5" w:rsidRDefault="00DE0F03" w:rsidP="00F326E5">
      <w:pPr>
        <w:rPr>
          <w:rFonts w:ascii="Arial Black" w:hAnsi="Arial Black"/>
          <w:sz w:val="40"/>
          <w:szCs w:val="40"/>
        </w:rPr>
      </w:pPr>
      <w:r>
        <w:rPr>
          <w:rFonts w:ascii="Arial Black" w:hAnsi="Arial Black"/>
          <w:b/>
          <w:sz w:val="24"/>
          <w:szCs w:val="24"/>
        </w:rPr>
        <w:t>11</w:t>
      </w:r>
      <w:r w:rsidRPr="00EF1133">
        <w:rPr>
          <w:rFonts w:ascii="Arial Black" w:hAnsi="Arial Black"/>
          <w:b/>
          <w:sz w:val="24"/>
          <w:szCs w:val="24"/>
        </w:rPr>
        <w:t>-</w:t>
      </w:r>
      <w:r>
        <w:rPr>
          <w:rFonts w:ascii="Arial Black" w:hAnsi="Arial Black"/>
          <w:b/>
          <w:sz w:val="24"/>
          <w:szCs w:val="24"/>
        </w:rPr>
        <w:t>3</w:t>
      </w:r>
    </w:p>
    <w:p w14:paraId="0E1D1C01" w14:textId="136F4CB6" w:rsidR="00F326E5" w:rsidRDefault="00F326E5" w:rsidP="00F326E5">
      <w:pPr>
        <w:pStyle w:val="NoSpacing"/>
        <w:rPr>
          <w:rFonts w:ascii="Arial Black" w:eastAsia="Times New Roman" w:hAnsi="Arial Black"/>
          <w:sz w:val="28"/>
          <w:szCs w:val="28"/>
        </w:rPr>
      </w:pPr>
      <w:bookmarkStart w:id="410" w:name="_Hlk7345530"/>
      <w:r>
        <w:rPr>
          <w:rFonts w:ascii="Arial Black" w:eastAsia="Times New Roman" w:hAnsi="Arial Black"/>
          <w:sz w:val="28"/>
          <w:szCs w:val="28"/>
        </w:rPr>
        <w:t xml:space="preserve">NC: FLSA – NONPROFIT, PRIVATE VOL. FD – NOT ELIGIBLE OVERTIME EXEMPTION – NOT “PUBLIC AGENCY” </w:t>
      </w:r>
    </w:p>
    <w:p w14:paraId="0DC819D9" w14:textId="77777777" w:rsidR="00F326E5" w:rsidRPr="00E658E1" w:rsidRDefault="00F326E5" w:rsidP="00F326E5">
      <w:pPr>
        <w:rPr>
          <w:rFonts w:ascii="Times New Roman" w:eastAsia="Times New Roman" w:hAnsi="Times New Roman"/>
          <w:sz w:val="24"/>
          <w:szCs w:val="24"/>
        </w:rPr>
      </w:pPr>
      <w:r w:rsidRPr="00E658E1">
        <w:rPr>
          <w:rFonts w:ascii="Times New Roman" w:eastAsia="Times New Roman" w:hAnsi="Times New Roman"/>
          <w:sz w:val="24"/>
          <w:szCs w:val="24"/>
        </w:rPr>
        <w:t xml:space="preserve">On Nov. 8, 2018, the U.S. Department of Labor issued Opinion Letter FLSA 2018-24, concluding: “Based on the facts you have provided, the nonprofit, privately owned fire departments that you describe are not public agencies within the meaning of Section 7(k) and are therefore not entitled to its partial overtime exemption.” </w:t>
      </w:r>
      <w:hyperlink r:id="rId1822" w:history="1">
        <w:r w:rsidRPr="00E658E1">
          <w:rPr>
            <w:rStyle w:val="Hyperlink"/>
            <w:rFonts w:ascii="Times New Roman" w:hAnsi="Times New Roman"/>
            <w:sz w:val="24"/>
            <w:szCs w:val="24"/>
          </w:rPr>
          <w:t>https://www.dol.gov/whd/opinion/FLSA/2018/2018_11_08_24_FLSA.pdf</w:t>
        </w:r>
      </w:hyperlink>
      <w:r w:rsidRPr="00E658E1">
        <w:rPr>
          <w:rFonts w:ascii="Times New Roman" w:eastAsia="Times New Roman" w:hAnsi="Times New Roman"/>
          <w:sz w:val="24"/>
          <w:szCs w:val="24"/>
        </w:rPr>
        <w:t xml:space="preserve"> </w:t>
      </w:r>
    </w:p>
    <w:p w14:paraId="5094583F" w14:textId="77777777" w:rsidR="00F326E5" w:rsidRPr="00E658E1" w:rsidRDefault="00F326E5" w:rsidP="00F326E5">
      <w:pPr>
        <w:jc w:val="both"/>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When in doubt, it is helpful to seek an “official” Opinion Letter;   helps avoid litigation. These North Carolina nonprofit FDs must therefore continue to  pay overtime to employees working over 40 hours in a work week.  They don’t enjoy the “7(k) exemption” which allows public-sector FDs, for example, to pay overtime after 212 hours in a 28-day pay period (after 53 hours in a work week). </w:t>
      </w:r>
    </w:p>
    <w:p w14:paraId="131B33C0" w14:textId="77777777" w:rsidR="00F326E5" w:rsidRPr="00071B42" w:rsidRDefault="00F326E5" w:rsidP="00F326E5">
      <w:pPr>
        <w:ind w:firstLine="720"/>
        <w:jc w:val="both"/>
        <w:rPr>
          <w:rFonts w:eastAsia="Times New Roman"/>
          <w:sz w:val="24"/>
          <w:szCs w:val="24"/>
        </w:rPr>
      </w:pPr>
      <w:r w:rsidRPr="00071B42">
        <w:rPr>
          <w:rFonts w:eastAsia="Times New Roman"/>
          <w:sz w:val="24"/>
          <w:szCs w:val="24"/>
        </w:rPr>
        <w:t xml:space="preserve">See IAFF Manual (page 8); court cases involving 7k exemption: </w:t>
      </w:r>
    </w:p>
    <w:p w14:paraId="159D0912" w14:textId="77777777" w:rsidR="00F326E5" w:rsidRPr="00071B42" w:rsidRDefault="00F326E5" w:rsidP="00F326E5">
      <w:pPr>
        <w:ind w:firstLine="720"/>
        <w:jc w:val="both"/>
        <w:rPr>
          <w:rFonts w:eastAsia="Times New Roman"/>
          <w:sz w:val="24"/>
          <w:szCs w:val="24"/>
        </w:rPr>
      </w:pPr>
      <w:hyperlink r:id="rId1823" w:history="1">
        <w:r w:rsidRPr="00071B42">
          <w:rPr>
            <w:rStyle w:val="Hyperlink"/>
            <w:sz w:val="24"/>
            <w:szCs w:val="24"/>
          </w:rPr>
          <w:t>http://www.iaff.org/Legal/PDF/1996FLSAManual.pdf</w:t>
        </w:r>
      </w:hyperlink>
      <w:r w:rsidRPr="00071B42">
        <w:rPr>
          <w:rFonts w:eastAsia="Times New Roman"/>
          <w:sz w:val="24"/>
          <w:szCs w:val="24"/>
        </w:rPr>
        <w:t xml:space="preserve"> </w:t>
      </w:r>
    </w:p>
    <w:bookmarkEnd w:id="410"/>
    <w:p w14:paraId="4471B37B" w14:textId="77777777" w:rsidR="00F326E5" w:rsidRPr="00071B42" w:rsidRDefault="00F326E5" w:rsidP="00F326E5">
      <w:pPr>
        <w:rPr>
          <w:rFonts w:eastAsia="Times New Roman"/>
          <w:sz w:val="24"/>
          <w:szCs w:val="24"/>
        </w:rPr>
      </w:pPr>
    </w:p>
    <w:p w14:paraId="6C6E99A8" w14:textId="77777777" w:rsidR="00F326E5" w:rsidRDefault="00F326E5" w:rsidP="00F326E5">
      <w:pPr>
        <w:pStyle w:val="NoSpacing"/>
        <w:rPr>
          <w:sz w:val="24"/>
          <w:szCs w:val="24"/>
        </w:rPr>
      </w:pPr>
    </w:p>
    <w:p w14:paraId="365AB88B" w14:textId="6E96CDB6" w:rsidR="00DE0F03" w:rsidRDefault="00DE0F03" w:rsidP="00DE0F03">
      <w:pPr>
        <w:rPr>
          <w:sz w:val="24"/>
          <w:szCs w:val="24"/>
        </w:rPr>
      </w:pPr>
      <w:r>
        <w:rPr>
          <w:rFonts w:ascii="Arial Black" w:hAnsi="Arial Black"/>
          <w:b/>
          <w:sz w:val="24"/>
          <w:szCs w:val="24"/>
        </w:rPr>
        <w:t>11</w:t>
      </w:r>
      <w:r w:rsidRPr="00EF1133">
        <w:rPr>
          <w:rFonts w:ascii="Arial Black" w:hAnsi="Arial Black"/>
          <w:b/>
          <w:sz w:val="24"/>
          <w:szCs w:val="24"/>
        </w:rPr>
        <w:t>-</w:t>
      </w:r>
      <w:r>
        <w:rPr>
          <w:rFonts w:ascii="Arial Black" w:hAnsi="Arial Black"/>
          <w:b/>
          <w:sz w:val="24"/>
          <w:szCs w:val="24"/>
        </w:rPr>
        <w:t>2</w:t>
      </w:r>
    </w:p>
    <w:p w14:paraId="6A09C022" w14:textId="77777777" w:rsidR="00F326E5" w:rsidRDefault="00F326E5" w:rsidP="00F326E5">
      <w:pPr>
        <w:pStyle w:val="NoSpacing"/>
        <w:rPr>
          <w:sz w:val="24"/>
          <w:szCs w:val="24"/>
        </w:rPr>
      </w:pPr>
    </w:p>
    <w:p w14:paraId="131CCD2B" w14:textId="2FDE99A4" w:rsidR="00F326E5" w:rsidRDefault="00F326E5" w:rsidP="00F326E5">
      <w:pPr>
        <w:pStyle w:val="NoSpacing"/>
        <w:rPr>
          <w:b/>
          <w:sz w:val="24"/>
          <w:szCs w:val="24"/>
        </w:rPr>
      </w:pPr>
      <w:bookmarkStart w:id="411" w:name="_Hlk7345571"/>
      <w:r w:rsidRPr="00B018B0">
        <w:rPr>
          <w:rFonts w:ascii="Arial Black" w:hAnsi="Arial Black"/>
          <w:b/>
          <w:sz w:val="28"/>
          <w:szCs w:val="28"/>
        </w:rPr>
        <w:t xml:space="preserve">NY:  MEAL ALLOWANCES FOR FDNY EMS – MUST BE INCLUDED IN CALCULATING </w:t>
      </w:r>
      <w:r>
        <w:rPr>
          <w:rFonts w:ascii="Arial Black" w:hAnsi="Arial Black"/>
          <w:b/>
          <w:sz w:val="28"/>
          <w:szCs w:val="28"/>
        </w:rPr>
        <w:t>“REGUL</w:t>
      </w:r>
      <w:r w:rsidR="000F0910">
        <w:rPr>
          <w:rFonts w:ascii="Arial Black" w:hAnsi="Arial Black"/>
          <w:b/>
          <w:sz w:val="28"/>
          <w:szCs w:val="28"/>
        </w:rPr>
        <w:t>A</w:t>
      </w:r>
      <w:r>
        <w:rPr>
          <w:rFonts w:ascii="Arial Black" w:hAnsi="Arial Black"/>
          <w:b/>
          <w:sz w:val="28"/>
          <w:szCs w:val="28"/>
        </w:rPr>
        <w:t xml:space="preserve">R </w:t>
      </w:r>
      <w:r w:rsidRPr="00B018B0">
        <w:rPr>
          <w:rFonts w:ascii="Arial Black" w:hAnsi="Arial Black"/>
          <w:b/>
          <w:sz w:val="28"/>
          <w:szCs w:val="28"/>
        </w:rPr>
        <w:t>RATE OF PAY</w:t>
      </w:r>
      <w:r>
        <w:rPr>
          <w:rFonts w:ascii="Arial Black" w:hAnsi="Arial Black"/>
          <w:b/>
          <w:sz w:val="28"/>
          <w:szCs w:val="28"/>
        </w:rPr>
        <w:t>”</w:t>
      </w:r>
    </w:p>
    <w:p w14:paraId="52F7A4EA" w14:textId="77777777" w:rsidR="00F326E5" w:rsidRPr="00E658E1" w:rsidRDefault="00F326E5" w:rsidP="00F326E5">
      <w:pPr>
        <w:pStyle w:val="NoSpacing"/>
        <w:rPr>
          <w:rFonts w:ascii="Times New Roman" w:hAnsi="Times New Roman"/>
          <w:sz w:val="24"/>
          <w:szCs w:val="24"/>
        </w:rPr>
      </w:pPr>
      <w:r w:rsidRPr="00E658E1">
        <w:rPr>
          <w:rFonts w:ascii="Times New Roman" w:hAnsi="Times New Roman"/>
          <w:sz w:val="24"/>
          <w:szCs w:val="24"/>
        </w:rPr>
        <w:t xml:space="preserve">On March 26, 2018, in </w:t>
      </w:r>
      <w:r w:rsidRPr="00E658E1">
        <w:rPr>
          <w:rFonts w:ascii="Times New Roman" w:hAnsi="Times New Roman"/>
          <w:sz w:val="24"/>
          <w:szCs w:val="24"/>
          <w:u w:val="single"/>
        </w:rPr>
        <w:t>Chaz Perry et al. v. City of New York</w:t>
      </w:r>
      <w:r w:rsidRPr="00E658E1">
        <w:rPr>
          <w:rFonts w:ascii="Times New Roman" w:hAnsi="Times New Roman"/>
          <w:sz w:val="24"/>
          <w:szCs w:val="24"/>
        </w:rPr>
        <w:t xml:space="preserve">, U.S. District Court for Southern District of New York, Federal District Judge Vernon S. Broderick held that the </w:t>
      </w:r>
      <w:proofErr w:type="gramStart"/>
      <w:r w:rsidRPr="00E658E1">
        <w:rPr>
          <w:rFonts w:ascii="Times New Roman" w:hAnsi="Times New Roman"/>
          <w:sz w:val="24"/>
          <w:szCs w:val="24"/>
        </w:rPr>
        <w:t>City</w:t>
      </w:r>
      <w:proofErr w:type="gramEnd"/>
      <w:r w:rsidRPr="00E658E1">
        <w:rPr>
          <w:rFonts w:ascii="Times New Roman" w:hAnsi="Times New Roman"/>
          <w:sz w:val="24"/>
          <w:szCs w:val="24"/>
        </w:rPr>
        <w:t xml:space="preserve"> must include meal allowances when calculating the “regular rate” of pay for overtime, just as City does for night shift differential pay.  In this </w:t>
      </w:r>
      <w:r w:rsidRPr="00E658E1">
        <w:rPr>
          <w:rFonts w:ascii="Times New Roman" w:hAnsi="Times New Roman"/>
          <w:sz w:val="24"/>
          <w:szCs w:val="24"/>
        </w:rPr>
        <w:lastRenderedPageBreak/>
        <w:t xml:space="preserve">lawsuit by over 2,600 FDNY paramedics, EMTs and Fire Inspectors, other claims in the lawsuit, including compensable work performed before and after Plaintiffs’ shifts, will go to trial. </w:t>
      </w:r>
      <w:hyperlink r:id="rId1824" w:history="1">
        <w:r w:rsidRPr="00E658E1">
          <w:rPr>
            <w:rStyle w:val="Hyperlink"/>
            <w:rFonts w:ascii="Times New Roman" w:hAnsi="Times New Roman"/>
            <w:sz w:val="24"/>
            <w:szCs w:val="24"/>
          </w:rPr>
          <w:t>https://law.justia.com/cases/federal/district-courts/new-york/nysdce/1:2013cv01015/407972/168/</w:t>
        </w:r>
      </w:hyperlink>
      <w:r w:rsidRPr="00E658E1">
        <w:rPr>
          <w:rFonts w:ascii="Times New Roman" w:hAnsi="Times New Roman"/>
          <w:sz w:val="24"/>
          <w:szCs w:val="24"/>
        </w:rPr>
        <w:t xml:space="preserve"> </w:t>
      </w:r>
    </w:p>
    <w:p w14:paraId="351228D4" w14:textId="77777777" w:rsidR="00E658E1" w:rsidRDefault="00E658E1" w:rsidP="00F326E5">
      <w:pPr>
        <w:rPr>
          <w:rFonts w:ascii="Times New Roman" w:hAnsi="Times New Roman"/>
          <w:b/>
          <w:sz w:val="24"/>
          <w:szCs w:val="24"/>
        </w:rPr>
      </w:pPr>
    </w:p>
    <w:p w14:paraId="017E8AFD" w14:textId="64B2A934" w:rsidR="00F326E5" w:rsidRPr="00E658E1" w:rsidRDefault="00F326E5" w:rsidP="00F326E5">
      <w:pPr>
        <w:rPr>
          <w:rFonts w:ascii="Times New Roman" w:hAnsi="Times New Roman"/>
          <w:b/>
          <w:sz w:val="24"/>
          <w:szCs w:val="24"/>
        </w:rPr>
      </w:pPr>
      <w:r w:rsidRPr="00E658E1">
        <w:rPr>
          <w:rFonts w:ascii="Times New Roman" w:hAnsi="Times New Roman"/>
          <w:b/>
          <w:sz w:val="24"/>
          <w:szCs w:val="24"/>
        </w:rPr>
        <w:t xml:space="preserve">Legal Lessons Learned:  Overtime pay is calculated by not only your hourly rate, but also other bonuses received, such as paramedic </w:t>
      </w:r>
      <w:proofErr w:type="gramStart"/>
      <w:r w:rsidRPr="00E658E1">
        <w:rPr>
          <w:rFonts w:ascii="Times New Roman" w:hAnsi="Times New Roman"/>
          <w:b/>
          <w:sz w:val="24"/>
          <w:szCs w:val="24"/>
        </w:rPr>
        <w:t>bonus</w:t>
      </w:r>
      <w:proofErr w:type="gramEnd"/>
      <w:r w:rsidRPr="00E658E1">
        <w:rPr>
          <w:rFonts w:ascii="Times New Roman" w:hAnsi="Times New Roman"/>
          <w:b/>
          <w:sz w:val="24"/>
          <w:szCs w:val="24"/>
        </w:rPr>
        <w:t xml:space="preserve"> and night shift differential. </w:t>
      </w:r>
    </w:p>
    <w:p w14:paraId="6EA6C78D" w14:textId="225D146E" w:rsidR="00F326E5" w:rsidRPr="00E658E1" w:rsidRDefault="00F326E5" w:rsidP="00F326E5">
      <w:pPr>
        <w:ind w:left="720"/>
        <w:rPr>
          <w:rFonts w:ascii="Times New Roman" w:hAnsi="Times New Roman"/>
          <w:sz w:val="24"/>
          <w:szCs w:val="24"/>
        </w:rPr>
      </w:pPr>
      <w:r w:rsidRPr="00E658E1">
        <w:rPr>
          <w:rFonts w:ascii="Times New Roman" w:hAnsi="Times New Roman"/>
          <w:sz w:val="24"/>
          <w:szCs w:val="24"/>
        </w:rPr>
        <w:t xml:space="preserve">See U.S. Department of Labor, Fact Sheet No. 23, and regulations. </w:t>
      </w:r>
      <w:hyperlink r:id="rId1825" w:history="1">
        <w:r w:rsidRPr="00E658E1">
          <w:rPr>
            <w:rStyle w:val="Hyperlink"/>
            <w:rFonts w:ascii="Times New Roman" w:hAnsi="Times New Roman"/>
            <w:sz w:val="24"/>
            <w:szCs w:val="24"/>
          </w:rPr>
          <w:t>file:///C:/Users/lawre/AppData/Local/Microsoft/Windows/INetCache/IE/CTCRXJ99/whdfs23.pdf</w:t>
        </w:r>
      </w:hyperlink>
      <w:r w:rsidRPr="00E658E1">
        <w:rPr>
          <w:rFonts w:ascii="Times New Roman" w:hAnsi="Times New Roman"/>
          <w:sz w:val="24"/>
          <w:szCs w:val="24"/>
        </w:rPr>
        <w:t xml:space="preserve">  </w:t>
      </w:r>
    </w:p>
    <w:p w14:paraId="6EA47649" w14:textId="77777777" w:rsidR="00DE0F03" w:rsidRPr="00E658E1" w:rsidRDefault="00DE0F03" w:rsidP="00DE0F03">
      <w:pPr>
        <w:rPr>
          <w:rFonts w:ascii="Times New Roman" w:hAnsi="Times New Roman"/>
          <w:b/>
          <w:sz w:val="24"/>
          <w:szCs w:val="24"/>
        </w:rPr>
      </w:pPr>
    </w:p>
    <w:p w14:paraId="5BEB22CC" w14:textId="7C98027D" w:rsidR="00DE0F03" w:rsidRDefault="00DE0F03" w:rsidP="00DE0F03">
      <w:pPr>
        <w:rPr>
          <w:sz w:val="24"/>
          <w:szCs w:val="24"/>
        </w:rPr>
      </w:pPr>
      <w:r>
        <w:rPr>
          <w:rFonts w:ascii="Arial Black" w:hAnsi="Arial Black"/>
          <w:b/>
          <w:sz w:val="24"/>
          <w:szCs w:val="24"/>
        </w:rPr>
        <w:t>11</w:t>
      </w:r>
      <w:r w:rsidRPr="00EF1133">
        <w:rPr>
          <w:rFonts w:ascii="Arial Black" w:hAnsi="Arial Black"/>
          <w:b/>
          <w:sz w:val="24"/>
          <w:szCs w:val="24"/>
        </w:rPr>
        <w:t>-1</w:t>
      </w:r>
    </w:p>
    <w:p w14:paraId="7FE50A4C" w14:textId="09B8F2E9" w:rsidR="00F326E5" w:rsidRPr="0000463F" w:rsidRDefault="00F326E5" w:rsidP="00F326E5">
      <w:pPr>
        <w:rPr>
          <w:rFonts w:ascii="Arial Black" w:hAnsi="Arial Black"/>
          <w:sz w:val="28"/>
          <w:szCs w:val="28"/>
        </w:rPr>
      </w:pPr>
      <w:bookmarkStart w:id="412" w:name="_Hlk7345626"/>
      <w:bookmarkEnd w:id="411"/>
      <w:r w:rsidRPr="0000463F">
        <w:rPr>
          <w:rFonts w:ascii="Arial Black" w:hAnsi="Arial Black"/>
          <w:sz w:val="28"/>
          <w:szCs w:val="28"/>
        </w:rPr>
        <w:t xml:space="preserve">U.S. </w:t>
      </w:r>
      <w:r>
        <w:rPr>
          <w:rFonts w:ascii="Arial Black" w:hAnsi="Arial Black"/>
          <w:sz w:val="28"/>
          <w:szCs w:val="28"/>
        </w:rPr>
        <w:t xml:space="preserve">DOL:  FD CONTRACTS WITH PRIVATE COMPANY FOR EMS – </w:t>
      </w:r>
      <w:r w:rsidR="008F1BBB">
        <w:rPr>
          <w:rFonts w:ascii="Arial Black" w:hAnsi="Arial Black"/>
          <w:sz w:val="28"/>
          <w:szCs w:val="28"/>
        </w:rPr>
        <w:t xml:space="preserve">EMT </w:t>
      </w:r>
      <w:r>
        <w:rPr>
          <w:rFonts w:ascii="Arial Black" w:hAnsi="Arial Black"/>
          <w:sz w:val="28"/>
          <w:szCs w:val="28"/>
        </w:rPr>
        <w:t>CAN’T VOL</w:t>
      </w:r>
      <w:r w:rsidR="008F1BBB">
        <w:rPr>
          <w:rFonts w:ascii="Arial Black" w:hAnsi="Arial Black"/>
          <w:sz w:val="28"/>
          <w:szCs w:val="28"/>
        </w:rPr>
        <w:t xml:space="preserve">UNTEER </w:t>
      </w:r>
      <w:r>
        <w:rPr>
          <w:rFonts w:ascii="Arial Black" w:hAnsi="Arial Black"/>
          <w:sz w:val="28"/>
          <w:szCs w:val="28"/>
        </w:rPr>
        <w:t xml:space="preserve">IF </w:t>
      </w:r>
      <w:r w:rsidR="008F1BBB">
        <w:rPr>
          <w:rFonts w:ascii="Arial Black" w:hAnsi="Arial Black"/>
          <w:sz w:val="28"/>
          <w:szCs w:val="28"/>
        </w:rPr>
        <w:t xml:space="preserve">PERFORMING </w:t>
      </w:r>
      <w:r>
        <w:rPr>
          <w:rFonts w:ascii="Arial Black" w:hAnsi="Arial Black"/>
          <w:sz w:val="28"/>
          <w:szCs w:val="28"/>
        </w:rPr>
        <w:t>SAME SERVICES</w:t>
      </w:r>
    </w:p>
    <w:p w14:paraId="43E1D9EC" w14:textId="77777777" w:rsidR="00E658E1" w:rsidRDefault="00F326E5" w:rsidP="00F326E5">
      <w:pPr>
        <w:rPr>
          <w:rFonts w:ascii="Times New Roman" w:eastAsia="Times New Roman" w:hAnsi="Times New Roman"/>
          <w:sz w:val="24"/>
          <w:szCs w:val="24"/>
        </w:rPr>
      </w:pPr>
      <w:r w:rsidRPr="00E658E1">
        <w:rPr>
          <w:rFonts w:ascii="Times New Roman" w:eastAsia="Times New Roman" w:hAnsi="Times New Roman"/>
          <w:sz w:val="24"/>
          <w:szCs w:val="24"/>
        </w:rPr>
        <w:t xml:space="preserve">On Jan. 5, 2018, the U.S. Department of Labor issued Opinion Letter FLSA 2018-16, re-affirmed a 2009 Opinion Letter: </w:t>
      </w:r>
    </w:p>
    <w:p w14:paraId="10C90298" w14:textId="7265BBC8" w:rsidR="00F326E5" w:rsidRPr="00E658E1" w:rsidRDefault="00F326E5" w:rsidP="00E658E1">
      <w:pPr>
        <w:ind w:left="720"/>
        <w:rPr>
          <w:rFonts w:ascii="Times New Roman" w:eastAsia="Times New Roman" w:hAnsi="Times New Roman"/>
          <w:sz w:val="24"/>
          <w:szCs w:val="24"/>
        </w:rPr>
      </w:pPr>
      <w:r w:rsidRPr="00E658E1">
        <w:rPr>
          <w:rFonts w:ascii="Times New Roman" w:eastAsia="Times New Roman" w:hAnsi="Times New Roman"/>
          <w:sz w:val="24"/>
          <w:szCs w:val="24"/>
        </w:rPr>
        <w:t xml:space="preserve">“You [ask] whether the EMTs paid by the VFC’s contractor may continue to ‘volunteer’ as EMTs for the VFC without being compensated in accordance with the FLSA. The answer to this question depends on whether the VFC </w:t>
      </w:r>
      <w:proofErr w:type="gramStart"/>
      <w:r w:rsidRPr="00E658E1">
        <w:rPr>
          <w:rFonts w:ascii="Times New Roman" w:eastAsia="Times New Roman" w:hAnsi="Times New Roman"/>
          <w:sz w:val="24"/>
          <w:szCs w:val="24"/>
        </w:rPr>
        <w:t>is considered to be</w:t>
      </w:r>
      <w:proofErr w:type="gramEnd"/>
      <w:r w:rsidRPr="00E658E1">
        <w:rPr>
          <w:rFonts w:ascii="Times New Roman" w:eastAsia="Times New Roman" w:hAnsi="Times New Roman"/>
          <w:sz w:val="24"/>
          <w:szCs w:val="24"/>
        </w:rPr>
        <w:t xml:space="preserve"> an employer of the paid staff members. If the VFC is in fact deemed to be an employer (along with the contractor) of the paid staff members, the EMTs could not ‘volunteer’ to the VFC the same services that they perform </w:t>
      </w:r>
      <w:proofErr w:type="gramStart"/>
      <w:r w:rsidRPr="00E658E1">
        <w:rPr>
          <w:rFonts w:ascii="Times New Roman" w:eastAsia="Times New Roman" w:hAnsi="Times New Roman"/>
          <w:sz w:val="24"/>
          <w:szCs w:val="24"/>
        </w:rPr>
        <w:t>for</w:t>
      </w:r>
      <w:proofErr w:type="gramEnd"/>
      <w:r w:rsidRPr="00E658E1">
        <w:rPr>
          <w:rFonts w:ascii="Times New Roman" w:eastAsia="Times New Roman" w:hAnsi="Times New Roman"/>
          <w:sz w:val="24"/>
          <w:szCs w:val="24"/>
        </w:rPr>
        <w:t xml:space="preserve"> pay for the contractor. </w:t>
      </w:r>
      <w:hyperlink r:id="rId1826" w:history="1">
        <w:r w:rsidRPr="00E658E1">
          <w:rPr>
            <w:rStyle w:val="Hyperlink"/>
            <w:rFonts w:ascii="Times New Roman" w:hAnsi="Times New Roman"/>
            <w:sz w:val="24"/>
            <w:szCs w:val="24"/>
          </w:rPr>
          <w:t>https://www.dol.gov/whd/opinion/FLSA/2018/2018_01_05_16_FLSA.pdf</w:t>
        </w:r>
      </w:hyperlink>
      <w:r w:rsidRPr="00E658E1">
        <w:rPr>
          <w:rFonts w:ascii="Times New Roman" w:eastAsia="Times New Roman" w:hAnsi="Times New Roman"/>
          <w:sz w:val="24"/>
          <w:szCs w:val="24"/>
        </w:rPr>
        <w:t xml:space="preserve"> </w:t>
      </w:r>
    </w:p>
    <w:p w14:paraId="4AAFD519" w14:textId="77777777" w:rsidR="00F44623" w:rsidRDefault="00F326E5" w:rsidP="00F326E5">
      <w:pPr>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FLSA Opinion Letters are helpful, but as in this matter are not always definitive.  Fire &amp; EMS Departments are also encouraged to meet “face to face” with Wage &amp; Hour staff and get their informal </w:t>
      </w:r>
      <w:proofErr w:type="gramStart"/>
      <w:r w:rsidRPr="00E658E1">
        <w:rPr>
          <w:rFonts w:ascii="Times New Roman" w:eastAsia="Times New Roman" w:hAnsi="Times New Roman"/>
          <w:b/>
          <w:sz w:val="24"/>
          <w:szCs w:val="24"/>
        </w:rPr>
        <w:t xml:space="preserve">feedback, </w:t>
      </w:r>
      <w:r w:rsidR="00E658E1">
        <w:rPr>
          <w:rFonts w:ascii="Times New Roman" w:eastAsia="Times New Roman" w:hAnsi="Times New Roman"/>
          <w:b/>
          <w:sz w:val="24"/>
          <w:szCs w:val="24"/>
        </w:rPr>
        <w:t xml:space="preserve"> </w:t>
      </w:r>
      <w:r w:rsidRPr="00E658E1">
        <w:rPr>
          <w:rFonts w:ascii="Times New Roman" w:eastAsia="Times New Roman" w:hAnsi="Times New Roman"/>
          <w:b/>
          <w:sz w:val="24"/>
          <w:szCs w:val="24"/>
        </w:rPr>
        <w:t>and</w:t>
      </w:r>
      <w:proofErr w:type="gramEnd"/>
      <w:r w:rsidRPr="00E658E1">
        <w:rPr>
          <w:rFonts w:ascii="Times New Roman" w:eastAsia="Times New Roman" w:hAnsi="Times New Roman"/>
          <w:b/>
          <w:sz w:val="24"/>
          <w:szCs w:val="24"/>
        </w:rPr>
        <w:t xml:space="preserve"> consider retaining Legal Counsel experienced with FLSA issues. </w:t>
      </w:r>
    </w:p>
    <w:bookmarkEnd w:id="412"/>
    <w:p w14:paraId="3ABE2BFD" w14:textId="77777777" w:rsidR="00F44623" w:rsidRDefault="00F44623" w:rsidP="00F326E5">
      <w:pPr>
        <w:pStyle w:val="NoSpacing"/>
        <w:rPr>
          <w:rFonts w:ascii="Arial Black" w:hAnsi="Arial Black"/>
          <w:sz w:val="40"/>
          <w:szCs w:val="40"/>
        </w:rPr>
      </w:pPr>
    </w:p>
    <w:p w14:paraId="0F6AF8AF" w14:textId="4C154D1E" w:rsidR="00F44623" w:rsidRDefault="00F44623" w:rsidP="00F326E5">
      <w:pPr>
        <w:pStyle w:val="NoSpacing"/>
        <w:rPr>
          <w:rFonts w:ascii="Arial Black" w:hAnsi="Arial Black"/>
          <w:sz w:val="40"/>
          <w:szCs w:val="40"/>
        </w:rPr>
      </w:pPr>
      <w:r w:rsidRPr="00F44623">
        <w:rPr>
          <w:rFonts w:ascii="Times New Roman" w:hAnsi="Times New Roman"/>
          <w:b/>
          <w:bCs/>
          <w:sz w:val="24"/>
          <w:szCs w:val="24"/>
        </w:rPr>
        <w:t>See also 2018 PowerPoints by David Comstock, Esq.:</w:t>
      </w:r>
      <w:r>
        <w:rPr>
          <w:rFonts w:ascii="Arial Black" w:hAnsi="Arial Black"/>
          <w:sz w:val="40"/>
          <w:szCs w:val="40"/>
        </w:rPr>
        <w:t xml:space="preserve"> </w:t>
      </w:r>
      <w:hyperlink r:id="rId1827" w:history="1">
        <w:r w:rsidRPr="00F44623">
          <w:rPr>
            <w:rStyle w:val="Hyperlink"/>
            <w:rFonts w:ascii="Times New Roman" w:hAnsi="Times New Roman"/>
            <w:sz w:val="24"/>
            <w:szCs w:val="24"/>
          </w:rPr>
          <w:t>https://www.ohioauditor.gov/trainings/lgoc/2018/Fair%20Labor%20Standards%20Act%20for%20Firefighters.pdf</w:t>
        </w:r>
      </w:hyperlink>
      <w:r>
        <w:rPr>
          <w:rFonts w:ascii="Arial Black" w:hAnsi="Arial Black"/>
          <w:sz w:val="40"/>
          <w:szCs w:val="40"/>
        </w:rPr>
        <w:t xml:space="preserve"> </w:t>
      </w:r>
    </w:p>
    <w:p w14:paraId="71E4CC93" w14:textId="71892566" w:rsidR="00F44623" w:rsidRDefault="00F44623" w:rsidP="00F326E5">
      <w:pPr>
        <w:pStyle w:val="NoSpacing"/>
        <w:rPr>
          <w:rFonts w:ascii="Arial Black" w:hAnsi="Arial Black"/>
          <w:sz w:val="40"/>
          <w:szCs w:val="40"/>
        </w:rPr>
      </w:pPr>
    </w:p>
    <w:p w14:paraId="0D2D6C43" w14:textId="6A77043A" w:rsidR="00F44623" w:rsidRPr="00F44623" w:rsidRDefault="00F44623" w:rsidP="00F326E5">
      <w:pPr>
        <w:pStyle w:val="NoSpacing"/>
        <w:rPr>
          <w:rFonts w:ascii="Times New Roman" w:hAnsi="Times New Roman"/>
          <w:sz w:val="24"/>
          <w:szCs w:val="24"/>
        </w:rPr>
      </w:pPr>
      <w:r>
        <w:rPr>
          <w:rFonts w:ascii="Times New Roman" w:hAnsi="Times New Roman"/>
          <w:sz w:val="24"/>
          <w:szCs w:val="24"/>
        </w:rPr>
        <w:t xml:space="preserve">Nov. 14, 2014: </w:t>
      </w:r>
      <w:r w:rsidRPr="00F44623">
        <w:rPr>
          <w:rFonts w:ascii="Times New Roman" w:hAnsi="Times New Roman"/>
          <w:sz w:val="24"/>
          <w:szCs w:val="24"/>
          <w:u w:val="single"/>
        </w:rPr>
        <w:t>Jon Misewicz, et al. v. City of Memphis</w:t>
      </w:r>
      <w:r w:rsidRPr="00F44623">
        <w:rPr>
          <w:rFonts w:ascii="Times New Roman" w:hAnsi="Times New Roman"/>
          <w:sz w:val="24"/>
          <w:szCs w:val="24"/>
        </w:rPr>
        <w:t xml:space="preserve"> (6</w:t>
      </w:r>
      <w:r w:rsidRPr="00F44623">
        <w:rPr>
          <w:rFonts w:ascii="Times New Roman" w:hAnsi="Times New Roman"/>
          <w:sz w:val="24"/>
          <w:szCs w:val="24"/>
          <w:vertAlign w:val="superscript"/>
        </w:rPr>
        <w:t>th</w:t>
      </w:r>
      <w:r w:rsidRPr="00F44623">
        <w:rPr>
          <w:rFonts w:ascii="Times New Roman" w:hAnsi="Times New Roman"/>
          <w:sz w:val="24"/>
          <w:szCs w:val="24"/>
        </w:rPr>
        <w:t xml:space="preserve"> Circuit)</w:t>
      </w:r>
    </w:p>
    <w:p w14:paraId="19A23741" w14:textId="77777777" w:rsidR="00F44623" w:rsidRDefault="00F44623" w:rsidP="00F326E5">
      <w:pPr>
        <w:pStyle w:val="NoSpacing"/>
        <w:rPr>
          <w:rFonts w:ascii="Times New Roman" w:hAnsi="Times New Roman"/>
          <w:sz w:val="24"/>
          <w:szCs w:val="24"/>
        </w:rPr>
      </w:pPr>
    </w:p>
    <w:p w14:paraId="356CBFF4" w14:textId="3FACB675" w:rsidR="00F44623" w:rsidRPr="00F44623" w:rsidRDefault="00F44623" w:rsidP="00F44623">
      <w:pPr>
        <w:pStyle w:val="NoSpacing"/>
        <w:ind w:left="720"/>
        <w:rPr>
          <w:rFonts w:ascii="Times New Roman" w:hAnsi="Times New Roman"/>
          <w:sz w:val="24"/>
          <w:szCs w:val="24"/>
        </w:rPr>
      </w:pPr>
      <w:r>
        <w:rPr>
          <w:rFonts w:ascii="Times New Roman" w:hAnsi="Times New Roman"/>
          <w:sz w:val="24"/>
          <w:szCs w:val="24"/>
        </w:rPr>
        <w:t>“</w:t>
      </w:r>
      <w:r w:rsidRPr="00F44623">
        <w:rPr>
          <w:rFonts w:ascii="Times New Roman" w:hAnsi="Times New Roman"/>
          <w:sz w:val="24"/>
          <w:szCs w:val="24"/>
        </w:rPr>
        <w:t xml:space="preserve">In this case alleging violations of § 207 of the Fair Labor Standards Act, 29 U.S.C. § 207, plaintiffs-appellants (hereinafter </w:t>
      </w:r>
      <w:r w:rsidR="00AE3176">
        <w:rPr>
          <w:rFonts w:ascii="Times New Roman" w:hAnsi="Times New Roman"/>
          <w:sz w:val="24"/>
          <w:szCs w:val="24"/>
        </w:rPr>
        <w:t>‘</w:t>
      </w:r>
      <w:r w:rsidRPr="00F44623">
        <w:rPr>
          <w:rFonts w:ascii="Times New Roman" w:hAnsi="Times New Roman"/>
          <w:sz w:val="24"/>
          <w:szCs w:val="24"/>
        </w:rPr>
        <w:t>Plaintiffs</w:t>
      </w:r>
      <w:r w:rsidR="00AE3176">
        <w:rPr>
          <w:rFonts w:ascii="Times New Roman" w:hAnsi="Times New Roman"/>
          <w:sz w:val="24"/>
          <w:szCs w:val="24"/>
        </w:rPr>
        <w:t>’</w:t>
      </w:r>
      <w:r w:rsidRPr="00F44623">
        <w:rPr>
          <w:rFonts w:ascii="Times New Roman" w:hAnsi="Times New Roman"/>
          <w:sz w:val="24"/>
          <w:szCs w:val="24"/>
        </w:rPr>
        <w:t xml:space="preserve">), fire fighters employed by the Memphis Fire Department, appeal the district court’s grant of summary judgment to defendant-appellee the City of Memphis, Tennessee on their complaint asserting overtime pay for paramedic training time. For the reasons set forth below, we AFFIRM the district court’s grant of summary judgment to the City of Memphis. *** In relevant part, the form required an applicant to agree that </w:t>
      </w:r>
      <w:r w:rsidR="00AE3176">
        <w:rPr>
          <w:rFonts w:ascii="Times New Roman" w:hAnsi="Times New Roman"/>
          <w:sz w:val="24"/>
          <w:szCs w:val="24"/>
        </w:rPr>
        <w:t>‘</w:t>
      </w:r>
      <w:r w:rsidRPr="00F44623">
        <w:rPr>
          <w:rFonts w:ascii="Times New Roman" w:hAnsi="Times New Roman"/>
          <w:sz w:val="24"/>
          <w:szCs w:val="24"/>
        </w:rPr>
        <w:t>[w]</w:t>
      </w:r>
      <w:proofErr w:type="spellStart"/>
      <w:r w:rsidRPr="00F44623">
        <w:rPr>
          <w:rFonts w:ascii="Times New Roman" w:hAnsi="Times New Roman"/>
          <w:sz w:val="24"/>
          <w:szCs w:val="24"/>
        </w:rPr>
        <w:t>ithin</w:t>
      </w:r>
      <w:proofErr w:type="spellEnd"/>
      <w:r w:rsidRPr="00F44623">
        <w:rPr>
          <w:rFonts w:ascii="Times New Roman" w:hAnsi="Times New Roman"/>
          <w:sz w:val="24"/>
          <w:szCs w:val="24"/>
        </w:rPr>
        <w:t xml:space="preserve"> three (3) years of employment with the Memphis Fire Department, you must become licensed by the State of Tennessee as a Paramedic (EMT-Advanced), as a condition of continued employment.</w:t>
      </w:r>
      <w:r w:rsidR="00AE3176">
        <w:rPr>
          <w:rFonts w:ascii="Times New Roman" w:hAnsi="Times New Roman"/>
          <w:sz w:val="24"/>
          <w:szCs w:val="24"/>
        </w:rPr>
        <w:t>’</w:t>
      </w:r>
      <w:r w:rsidRPr="00F44623">
        <w:rPr>
          <w:rFonts w:ascii="Times New Roman" w:hAnsi="Times New Roman"/>
          <w:sz w:val="24"/>
          <w:szCs w:val="24"/>
        </w:rPr>
        <w:t xml:space="preserve">1Id. One hundred and eleven Plaintiffs signed the forms, and </w:t>
      </w:r>
      <w:r w:rsidR="00AE3176">
        <w:rPr>
          <w:rFonts w:ascii="Times New Roman" w:hAnsi="Times New Roman"/>
          <w:sz w:val="24"/>
          <w:szCs w:val="24"/>
        </w:rPr>
        <w:t>‘</w:t>
      </w:r>
      <w:r w:rsidRPr="00F44623">
        <w:rPr>
          <w:rFonts w:ascii="Times New Roman" w:hAnsi="Times New Roman"/>
          <w:sz w:val="24"/>
          <w:szCs w:val="24"/>
        </w:rPr>
        <w:t>[a]</w:t>
      </w:r>
      <w:proofErr w:type="spellStart"/>
      <w:r w:rsidRPr="00F44623">
        <w:rPr>
          <w:rFonts w:ascii="Times New Roman" w:hAnsi="Times New Roman"/>
          <w:sz w:val="24"/>
          <w:szCs w:val="24"/>
        </w:rPr>
        <w:t>ll</w:t>
      </w:r>
      <w:proofErr w:type="spellEnd"/>
      <w:r w:rsidRPr="00F44623">
        <w:rPr>
          <w:rFonts w:ascii="Times New Roman" w:hAnsi="Times New Roman"/>
          <w:sz w:val="24"/>
          <w:szCs w:val="24"/>
        </w:rPr>
        <w:t xml:space="preserve"> but four . . . signed in January or February 2007.</w:t>
      </w:r>
      <w:r w:rsidR="00AE3176">
        <w:rPr>
          <w:rFonts w:ascii="Times New Roman" w:hAnsi="Times New Roman"/>
          <w:sz w:val="24"/>
          <w:szCs w:val="24"/>
        </w:rPr>
        <w:t>’</w:t>
      </w:r>
      <w:r w:rsidRPr="00F44623">
        <w:rPr>
          <w:rFonts w:ascii="Times New Roman" w:hAnsi="Times New Roman"/>
          <w:sz w:val="24"/>
          <w:szCs w:val="24"/>
        </w:rPr>
        <w:t xml:space="preserve"> Id. ¶ 17 (Page ID #906). When </w:t>
      </w:r>
      <w:r w:rsidRPr="00F44623">
        <w:rPr>
          <w:rFonts w:ascii="Times New Roman" w:hAnsi="Times New Roman"/>
          <w:sz w:val="24"/>
          <w:szCs w:val="24"/>
        </w:rPr>
        <w:lastRenderedPageBreak/>
        <w:t xml:space="preserve">Plaintiffs signed the forms, the MFD did not tell them that the training would be uncompensated or </w:t>
      </w:r>
      <w:proofErr w:type="gramStart"/>
      <w:r w:rsidRPr="00F44623">
        <w:rPr>
          <w:rFonts w:ascii="Times New Roman" w:hAnsi="Times New Roman"/>
          <w:sz w:val="24"/>
          <w:szCs w:val="24"/>
        </w:rPr>
        <w:t>off-duty</w:t>
      </w:r>
      <w:proofErr w:type="gramEnd"/>
      <w:r w:rsidRPr="00F44623">
        <w:rPr>
          <w:rFonts w:ascii="Times New Roman" w:hAnsi="Times New Roman"/>
          <w:sz w:val="24"/>
          <w:szCs w:val="24"/>
        </w:rPr>
        <w:t xml:space="preserve">. Id. ¶ 16 (Page ID #906). </w:t>
      </w:r>
      <w:hyperlink r:id="rId1828" w:history="1">
        <w:r w:rsidRPr="00F44623">
          <w:rPr>
            <w:rStyle w:val="Hyperlink"/>
            <w:rFonts w:ascii="Times New Roman" w:hAnsi="Times New Roman"/>
            <w:sz w:val="24"/>
            <w:szCs w:val="24"/>
          </w:rPr>
          <w:t>https://cases.justia.com/federal/appellate-courts/ca6/14-5053/14-5053-2014-11-14.pdf?ts=1415984433</w:t>
        </w:r>
      </w:hyperlink>
      <w:r w:rsidRPr="00F44623">
        <w:rPr>
          <w:rFonts w:ascii="Times New Roman" w:hAnsi="Times New Roman"/>
          <w:sz w:val="24"/>
          <w:szCs w:val="24"/>
        </w:rPr>
        <w:t xml:space="preserve"> </w:t>
      </w:r>
    </w:p>
    <w:p w14:paraId="0BDDD442" w14:textId="5824A830" w:rsidR="00F44623" w:rsidRDefault="00F44623">
      <w:pPr>
        <w:spacing w:after="0" w:line="240" w:lineRule="auto"/>
        <w:rPr>
          <w:rFonts w:ascii="Arial Black" w:hAnsi="Arial Black"/>
          <w:sz w:val="40"/>
          <w:szCs w:val="40"/>
        </w:rPr>
      </w:pPr>
      <w:r>
        <w:rPr>
          <w:rFonts w:ascii="Arial Black" w:hAnsi="Arial Black"/>
          <w:sz w:val="40"/>
          <w:szCs w:val="40"/>
        </w:rPr>
        <w:br w:type="page"/>
      </w:r>
    </w:p>
    <w:p w14:paraId="1ABCC0DD" w14:textId="098F2555" w:rsidR="00411E0E" w:rsidRDefault="00411E0E" w:rsidP="00411E0E">
      <w:pPr>
        <w:rPr>
          <w:rFonts w:ascii="Arial Black" w:hAnsi="Arial Black"/>
          <w:b/>
          <w:sz w:val="24"/>
          <w:szCs w:val="24"/>
        </w:rPr>
      </w:pPr>
    </w:p>
    <w:p w14:paraId="563FADC8" w14:textId="77777777" w:rsidR="00411E0E" w:rsidRDefault="00411E0E" w:rsidP="00411E0E">
      <w:pPr>
        <w:rPr>
          <w:rFonts w:ascii="Arial Black" w:hAnsi="Arial Black"/>
          <w:b/>
          <w:sz w:val="28"/>
          <w:szCs w:val="28"/>
        </w:rPr>
      </w:pPr>
    </w:p>
    <w:p w14:paraId="7B0D7F06" w14:textId="77777777" w:rsidR="00411E0E" w:rsidRDefault="00411E0E">
      <w:pPr>
        <w:spacing w:after="0" w:line="240" w:lineRule="auto"/>
        <w:rPr>
          <w:rFonts w:ascii="Arial Black" w:hAnsi="Arial Black"/>
          <w:sz w:val="40"/>
          <w:szCs w:val="40"/>
        </w:rPr>
      </w:pPr>
    </w:p>
    <w:p w14:paraId="11552CD5" w14:textId="77777777" w:rsidR="00F44623" w:rsidRDefault="00F44623" w:rsidP="00F326E5">
      <w:pPr>
        <w:pStyle w:val="NoSpacing"/>
        <w:rPr>
          <w:rFonts w:ascii="Arial Black" w:hAnsi="Arial Black"/>
          <w:sz w:val="40"/>
          <w:szCs w:val="40"/>
        </w:rPr>
      </w:pPr>
    </w:p>
    <w:p w14:paraId="588CE49C" w14:textId="77777777" w:rsidR="00020106" w:rsidRDefault="00020106" w:rsidP="00F326E5">
      <w:pPr>
        <w:pStyle w:val="NoSpacing"/>
        <w:rPr>
          <w:rFonts w:ascii="Arial Black" w:hAnsi="Arial Black"/>
          <w:sz w:val="40"/>
          <w:szCs w:val="40"/>
        </w:rPr>
      </w:pPr>
    </w:p>
    <w:p w14:paraId="030B98E6" w14:textId="77777777" w:rsidR="00020106" w:rsidRDefault="00020106" w:rsidP="00F326E5">
      <w:pPr>
        <w:pStyle w:val="NoSpacing"/>
        <w:rPr>
          <w:rFonts w:ascii="Arial Black" w:hAnsi="Arial Black"/>
          <w:sz w:val="40"/>
          <w:szCs w:val="40"/>
        </w:rPr>
      </w:pPr>
    </w:p>
    <w:p w14:paraId="55D107FF" w14:textId="77777777" w:rsidR="00020106" w:rsidRDefault="00020106" w:rsidP="00F326E5">
      <w:pPr>
        <w:pStyle w:val="NoSpacing"/>
        <w:rPr>
          <w:rFonts w:ascii="Arial Black" w:hAnsi="Arial Black"/>
          <w:sz w:val="40"/>
          <w:szCs w:val="40"/>
        </w:rPr>
      </w:pPr>
    </w:p>
    <w:p w14:paraId="7CC5AF74" w14:textId="77777777" w:rsidR="00020106" w:rsidRDefault="00020106" w:rsidP="00F326E5">
      <w:pPr>
        <w:pStyle w:val="NoSpacing"/>
        <w:rPr>
          <w:rFonts w:ascii="Arial Black" w:hAnsi="Arial Black"/>
          <w:sz w:val="40"/>
          <w:szCs w:val="40"/>
        </w:rPr>
      </w:pPr>
    </w:p>
    <w:p w14:paraId="7429EAEB" w14:textId="77777777" w:rsidR="00020106" w:rsidRDefault="00020106" w:rsidP="00F326E5">
      <w:pPr>
        <w:pStyle w:val="NoSpacing"/>
        <w:rPr>
          <w:rFonts w:ascii="Arial Black" w:hAnsi="Arial Black"/>
          <w:sz w:val="40"/>
          <w:szCs w:val="40"/>
        </w:rPr>
      </w:pPr>
    </w:p>
    <w:p w14:paraId="5D0ED5AB" w14:textId="77777777" w:rsidR="00020106" w:rsidRDefault="00020106" w:rsidP="00F326E5">
      <w:pPr>
        <w:pStyle w:val="NoSpacing"/>
        <w:rPr>
          <w:rFonts w:ascii="Arial Black" w:hAnsi="Arial Black"/>
          <w:sz w:val="40"/>
          <w:szCs w:val="40"/>
        </w:rPr>
      </w:pPr>
    </w:p>
    <w:p w14:paraId="1DB17969" w14:textId="77777777" w:rsidR="00020106" w:rsidRDefault="00020106" w:rsidP="00F326E5">
      <w:pPr>
        <w:pStyle w:val="NoSpacing"/>
        <w:rPr>
          <w:rFonts w:ascii="Arial Black" w:hAnsi="Arial Black"/>
          <w:sz w:val="40"/>
          <w:szCs w:val="40"/>
        </w:rPr>
      </w:pPr>
    </w:p>
    <w:p w14:paraId="4E5D2E5E" w14:textId="77777777" w:rsidR="00020106" w:rsidRDefault="00020106" w:rsidP="00F326E5">
      <w:pPr>
        <w:pStyle w:val="NoSpacing"/>
        <w:rPr>
          <w:rFonts w:ascii="Arial Black" w:hAnsi="Arial Black"/>
          <w:sz w:val="40"/>
          <w:szCs w:val="40"/>
        </w:rPr>
      </w:pPr>
    </w:p>
    <w:p w14:paraId="18D3BE3B" w14:textId="77777777" w:rsidR="00020106" w:rsidRDefault="00020106" w:rsidP="00F326E5">
      <w:pPr>
        <w:pStyle w:val="NoSpacing"/>
        <w:rPr>
          <w:rFonts w:ascii="Arial Black" w:hAnsi="Arial Black"/>
          <w:sz w:val="40"/>
          <w:szCs w:val="40"/>
        </w:rPr>
      </w:pPr>
    </w:p>
    <w:p w14:paraId="3863E80D" w14:textId="77777777" w:rsidR="00020106" w:rsidRDefault="00020106" w:rsidP="00F326E5">
      <w:pPr>
        <w:pStyle w:val="NoSpacing"/>
        <w:rPr>
          <w:rFonts w:ascii="Arial Black" w:hAnsi="Arial Black"/>
          <w:sz w:val="40"/>
          <w:szCs w:val="40"/>
        </w:rPr>
      </w:pPr>
    </w:p>
    <w:p w14:paraId="3F506ED8" w14:textId="77777777" w:rsidR="00020106" w:rsidRDefault="00020106" w:rsidP="00F326E5">
      <w:pPr>
        <w:pStyle w:val="NoSpacing"/>
        <w:rPr>
          <w:rFonts w:ascii="Arial Black" w:hAnsi="Arial Black"/>
          <w:sz w:val="40"/>
          <w:szCs w:val="40"/>
        </w:rPr>
      </w:pPr>
    </w:p>
    <w:p w14:paraId="57EDB87E" w14:textId="77777777" w:rsidR="00020106" w:rsidRDefault="00020106" w:rsidP="00F326E5">
      <w:pPr>
        <w:pStyle w:val="NoSpacing"/>
        <w:rPr>
          <w:rFonts w:ascii="Arial Black" w:hAnsi="Arial Black"/>
          <w:sz w:val="40"/>
          <w:szCs w:val="40"/>
        </w:rPr>
      </w:pPr>
    </w:p>
    <w:p w14:paraId="01DE9230" w14:textId="77777777" w:rsidR="00020106" w:rsidRDefault="00020106" w:rsidP="00F326E5">
      <w:pPr>
        <w:pStyle w:val="NoSpacing"/>
        <w:rPr>
          <w:rFonts w:ascii="Arial Black" w:hAnsi="Arial Black"/>
          <w:sz w:val="40"/>
          <w:szCs w:val="40"/>
        </w:rPr>
      </w:pPr>
    </w:p>
    <w:p w14:paraId="1DCF0D0C" w14:textId="77777777" w:rsidR="00020106" w:rsidRDefault="00020106" w:rsidP="00F326E5">
      <w:pPr>
        <w:pStyle w:val="NoSpacing"/>
        <w:rPr>
          <w:rFonts w:ascii="Arial Black" w:hAnsi="Arial Black"/>
          <w:sz w:val="40"/>
          <w:szCs w:val="40"/>
        </w:rPr>
      </w:pPr>
    </w:p>
    <w:p w14:paraId="0CFF60B8" w14:textId="77777777" w:rsidR="00020106" w:rsidRDefault="00020106" w:rsidP="00F326E5">
      <w:pPr>
        <w:pStyle w:val="NoSpacing"/>
        <w:rPr>
          <w:rFonts w:ascii="Arial Black" w:hAnsi="Arial Black"/>
          <w:sz w:val="40"/>
          <w:szCs w:val="40"/>
        </w:rPr>
      </w:pPr>
    </w:p>
    <w:p w14:paraId="53C2AF77" w14:textId="77777777" w:rsidR="00020106" w:rsidRDefault="00020106" w:rsidP="00F326E5">
      <w:pPr>
        <w:pStyle w:val="NoSpacing"/>
        <w:rPr>
          <w:rFonts w:ascii="Arial Black" w:hAnsi="Arial Black"/>
          <w:sz w:val="40"/>
          <w:szCs w:val="40"/>
        </w:rPr>
      </w:pPr>
    </w:p>
    <w:p w14:paraId="158503F6" w14:textId="77777777" w:rsidR="00020106" w:rsidRDefault="00020106" w:rsidP="00F326E5">
      <w:pPr>
        <w:pStyle w:val="NoSpacing"/>
        <w:rPr>
          <w:rFonts w:ascii="Arial Black" w:hAnsi="Arial Black"/>
          <w:sz w:val="40"/>
          <w:szCs w:val="40"/>
        </w:rPr>
      </w:pPr>
    </w:p>
    <w:p w14:paraId="2E430EFC" w14:textId="77777777" w:rsidR="00020106" w:rsidRDefault="00020106" w:rsidP="00F326E5">
      <w:pPr>
        <w:pStyle w:val="NoSpacing"/>
        <w:rPr>
          <w:rFonts w:ascii="Arial Black" w:hAnsi="Arial Black"/>
          <w:sz w:val="40"/>
          <w:szCs w:val="40"/>
        </w:rPr>
      </w:pPr>
    </w:p>
    <w:p w14:paraId="4527B5E1" w14:textId="77777777" w:rsidR="00020106" w:rsidRDefault="00020106" w:rsidP="00F326E5">
      <w:pPr>
        <w:pStyle w:val="NoSpacing"/>
        <w:rPr>
          <w:rFonts w:ascii="Arial Black" w:hAnsi="Arial Black"/>
          <w:sz w:val="40"/>
          <w:szCs w:val="40"/>
        </w:rPr>
      </w:pPr>
    </w:p>
    <w:p w14:paraId="0C67892F" w14:textId="77777777" w:rsidR="00020106" w:rsidRDefault="00020106" w:rsidP="00F326E5">
      <w:pPr>
        <w:pStyle w:val="NoSpacing"/>
        <w:rPr>
          <w:rFonts w:ascii="Arial Black" w:hAnsi="Arial Black"/>
          <w:sz w:val="40"/>
          <w:szCs w:val="40"/>
        </w:rPr>
      </w:pPr>
    </w:p>
    <w:p w14:paraId="42A418E5" w14:textId="77777777" w:rsidR="00020106" w:rsidRDefault="00020106" w:rsidP="00F326E5">
      <w:pPr>
        <w:pStyle w:val="NoSpacing"/>
        <w:rPr>
          <w:rFonts w:ascii="Arial Black" w:hAnsi="Arial Black"/>
          <w:sz w:val="40"/>
          <w:szCs w:val="40"/>
        </w:rPr>
      </w:pPr>
    </w:p>
    <w:p w14:paraId="21EDD998" w14:textId="76740DD5"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12</w:t>
      </w:r>
      <w:r w:rsidRPr="007732FA">
        <w:rPr>
          <w:rFonts w:ascii="Arial Black" w:hAnsi="Arial Black"/>
          <w:sz w:val="40"/>
          <w:szCs w:val="40"/>
        </w:rPr>
        <w:tab/>
        <w:t>Drug-Free Workplace</w:t>
      </w:r>
    </w:p>
    <w:p w14:paraId="23B984FE" w14:textId="77777777" w:rsidR="00743B05" w:rsidRDefault="00743B05" w:rsidP="00F326E5">
      <w:pPr>
        <w:rPr>
          <w:rFonts w:ascii="Arial Black" w:hAnsi="Arial Black"/>
          <w:b/>
          <w:sz w:val="24"/>
          <w:szCs w:val="24"/>
        </w:rPr>
      </w:pPr>
    </w:p>
    <w:p w14:paraId="75398E76" w14:textId="53FA9FEA" w:rsidR="00A13485" w:rsidRDefault="00A13485" w:rsidP="00A13485">
      <w:pPr>
        <w:rPr>
          <w:rFonts w:ascii="Arial Black" w:hAnsi="Arial Black"/>
          <w:b/>
          <w:sz w:val="28"/>
          <w:szCs w:val="28"/>
        </w:rPr>
      </w:pPr>
      <w:r>
        <w:rPr>
          <w:rFonts w:ascii="Arial Black" w:hAnsi="Arial Black"/>
          <w:b/>
          <w:sz w:val="24"/>
          <w:szCs w:val="24"/>
        </w:rPr>
        <w:t>12-37</w:t>
      </w:r>
    </w:p>
    <w:p w14:paraId="7D8E5026" w14:textId="4BF0F025" w:rsidR="00A13485" w:rsidRPr="0086572F" w:rsidRDefault="00A13485" w:rsidP="00A13485">
      <w:pPr>
        <w:pStyle w:val="NoSpacing"/>
        <w:rPr>
          <w:rFonts w:ascii="Arial Black" w:hAnsi="Arial Black"/>
          <w:b/>
          <w:sz w:val="28"/>
          <w:szCs w:val="28"/>
        </w:rPr>
      </w:pPr>
      <w:r>
        <w:rPr>
          <w:rFonts w:ascii="Arial Black" w:hAnsi="Arial Black"/>
          <w:b/>
          <w:sz w:val="28"/>
          <w:szCs w:val="28"/>
        </w:rPr>
        <w:t>LA: CAPT PTSD – 2</w:t>
      </w:r>
      <w:r w:rsidRPr="00DC1547">
        <w:rPr>
          <w:rFonts w:ascii="Arial Black" w:hAnsi="Arial Black"/>
          <w:b/>
          <w:sz w:val="28"/>
          <w:szCs w:val="28"/>
          <w:vertAlign w:val="superscript"/>
        </w:rPr>
        <w:t>nd</w:t>
      </w:r>
      <w:r>
        <w:rPr>
          <w:rFonts w:ascii="Arial Black" w:hAnsi="Arial Black"/>
          <w:b/>
          <w:sz w:val="28"/>
          <w:szCs w:val="28"/>
        </w:rPr>
        <w:t xml:space="preserve"> POSITIVE MJ – TERMINATION UPHELD</w:t>
      </w:r>
    </w:p>
    <w:p w14:paraId="57A5BA10" w14:textId="77777777" w:rsidR="00A13485" w:rsidRDefault="00A13485" w:rsidP="00A13485">
      <w:pPr>
        <w:pStyle w:val="NoSpacing"/>
      </w:pPr>
    </w:p>
    <w:p w14:paraId="0BDFE62F" w14:textId="77777777" w:rsidR="00A13485" w:rsidRDefault="00A13485" w:rsidP="00A13485">
      <w:pPr>
        <w:pStyle w:val="NoSpacing"/>
        <w:rPr>
          <w:b/>
        </w:rPr>
      </w:pPr>
      <w:r>
        <w:t xml:space="preserve">On April 23, 2026, </w:t>
      </w:r>
      <w:r w:rsidRPr="001627E8">
        <w:rPr>
          <w:u w:val="single"/>
        </w:rPr>
        <w:t>In Re Appeal of Todd David</w:t>
      </w:r>
      <w:r>
        <w:t xml:space="preserve">, the </w:t>
      </w:r>
      <w:r w:rsidRPr="004D370E">
        <w:t>Court of Appeals of Louisiana, First Circuit</w:t>
      </w:r>
      <w:r>
        <w:t xml:space="preserve"> held (3 to 0) that the Fire &amp; Police Board had reasonable basis for the termination, and trial court judge improperly reversed the Board.  On September 14, 2022, the firefighter tested positive for marijuana; at the pre-termination hearing he stated that a doctor gave him the marijuana recommendation because he experienced issues during his sleep due to PTSD.  This was his second positive for marijuana; 1999 he testified positive and signed a rehabilitation agreement that under Board’s ordinance, police and firefighters, as ‘safety-sensitive” employees, can only have one positive in their employment.  The City of Baton Rouge has more lenient policy.  </w:t>
      </w:r>
      <w:hyperlink r:id="rId1829" w:history="1">
        <w:r w:rsidRPr="006400E9">
          <w:rPr>
            <w:rStyle w:val="Hyperlink"/>
            <w:b/>
          </w:rPr>
          <w:t>https://cases.justia.com/louisiana/first-circuit-court-of-appeal/2026-2025cw0332.pdf?ts=1776975731</w:t>
        </w:r>
      </w:hyperlink>
      <w:r>
        <w:rPr>
          <w:b/>
        </w:rPr>
        <w:t xml:space="preserve"> </w:t>
      </w:r>
    </w:p>
    <w:p w14:paraId="278E61E8" w14:textId="77777777" w:rsidR="00A13485" w:rsidRDefault="00A13485" w:rsidP="00A13485">
      <w:pPr>
        <w:pStyle w:val="NoSpacing"/>
        <w:rPr>
          <w:b/>
        </w:rPr>
      </w:pPr>
    </w:p>
    <w:p w14:paraId="1C4ECA0A" w14:textId="77777777" w:rsidR="00A13485" w:rsidRPr="004D370E" w:rsidRDefault="00A13485" w:rsidP="00A13485">
      <w:pPr>
        <w:pStyle w:val="NoSpacing"/>
        <w:rPr>
          <w:bCs/>
        </w:rPr>
      </w:pPr>
      <w:r>
        <w:t>THE COURT HELD:</w:t>
      </w:r>
    </w:p>
    <w:p w14:paraId="15A9A36C" w14:textId="77777777" w:rsidR="00A13485" w:rsidRDefault="00A13485" w:rsidP="00A13485">
      <w:pPr>
        <w:pStyle w:val="NoSpacing"/>
      </w:pPr>
    </w:p>
    <w:p w14:paraId="27EF2C25" w14:textId="77777777" w:rsidR="00A13485" w:rsidRDefault="00A13485" w:rsidP="00A13485">
      <w:pPr>
        <w:pStyle w:val="NoSpacing"/>
        <w:ind w:firstLine="720"/>
      </w:pPr>
      <w:r>
        <w:t>“The district court exceeded its authority by reversing the board's decision in this</w:t>
      </w:r>
    </w:p>
    <w:p w14:paraId="1D7D4CFA" w14:textId="77777777" w:rsidR="00A13485" w:rsidRDefault="00A13485" w:rsidP="00A13485">
      <w:pPr>
        <w:pStyle w:val="NoSpacing"/>
        <w:ind w:firstLine="720"/>
      </w:pPr>
      <w:r>
        <w:t>matter…. [T</w:t>
      </w:r>
      <w:proofErr w:type="gramStart"/>
      <w:r>
        <w:t xml:space="preserve">]he </w:t>
      </w:r>
      <w:proofErr w:type="gramEnd"/>
      <w:r>
        <w:t xml:space="preserve">evidence in the administrative record establishes </w:t>
      </w:r>
      <w:proofErr w:type="gramStart"/>
      <w:r>
        <w:t>the reasonableness</w:t>
      </w:r>
      <w:proofErr w:type="gramEnd"/>
    </w:p>
    <w:p w14:paraId="6AFEDBE0" w14:textId="77777777" w:rsidR="00A13485" w:rsidRDefault="00A13485" w:rsidP="00A13485">
      <w:pPr>
        <w:pStyle w:val="NoSpacing"/>
        <w:ind w:firstLine="720"/>
      </w:pPr>
      <w:r>
        <w:t>of the board' s determination. After all, David' s attorney did not dispute that there was a</w:t>
      </w:r>
    </w:p>
    <w:p w14:paraId="4E45FE09" w14:textId="77777777" w:rsidR="00A13485" w:rsidRDefault="00A13485" w:rsidP="00A13485">
      <w:pPr>
        <w:pStyle w:val="NoSpacing"/>
        <w:ind w:firstLine="720"/>
      </w:pPr>
      <w:r>
        <w:t>“</w:t>
      </w:r>
      <w:proofErr w:type="gramStart"/>
      <w:r>
        <w:t>positive</w:t>
      </w:r>
      <w:proofErr w:type="gramEnd"/>
      <w:r>
        <w:t xml:space="preserve"> test" at the hearing. Instead, David argued that he did not know his use of</w:t>
      </w:r>
    </w:p>
    <w:p w14:paraId="6E2F7B34" w14:textId="77777777" w:rsidR="00A13485" w:rsidRDefault="00A13485" w:rsidP="00A13485">
      <w:pPr>
        <w:pStyle w:val="NoSpacing"/>
        <w:ind w:left="720"/>
      </w:pPr>
      <w:proofErr w:type="gramStart"/>
      <w:r>
        <w:t>marijuana</w:t>
      </w:r>
      <w:proofErr w:type="gramEnd"/>
      <w:r>
        <w:t xml:space="preserve"> under these circumstances would jeopardize his employment.</w:t>
      </w:r>
    </w:p>
    <w:p w14:paraId="2E967539" w14:textId="77777777" w:rsidR="00A13485" w:rsidRDefault="00A13485" w:rsidP="00A13485">
      <w:pPr>
        <w:pStyle w:val="NoSpacing"/>
        <w:ind w:left="720"/>
      </w:pPr>
    </w:p>
    <w:p w14:paraId="5D1BE4F2" w14:textId="77777777" w:rsidR="00A13485" w:rsidRDefault="00A13485" w:rsidP="00A13485">
      <w:pPr>
        <w:pStyle w:val="NoSpacing"/>
        <w:ind w:left="720"/>
      </w:pPr>
      <w:r>
        <w:t>***</w:t>
      </w:r>
    </w:p>
    <w:p w14:paraId="122AFE92" w14:textId="77777777" w:rsidR="00A13485" w:rsidRDefault="00A13485" w:rsidP="00A13485">
      <w:pPr>
        <w:pStyle w:val="NoSpacing"/>
        <w:ind w:left="720"/>
      </w:pPr>
      <w:r>
        <w:t>Chief Kimble' s termination letter did not find David's actions were justified, stating:</w:t>
      </w:r>
    </w:p>
    <w:p w14:paraId="1674D4AC" w14:textId="77777777" w:rsidR="00A13485" w:rsidRDefault="00A13485" w:rsidP="00A13485">
      <w:pPr>
        <w:pStyle w:val="NoSpacing"/>
        <w:ind w:left="720"/>
      </w:pPr>
      <w:r>
        <w:t>“</w:t>
      </w:r>
      <w:proofErr w:type="gramStart"/>
      <w:r>
        <w:t>particularly</w:t>
      </w:r>
      <w:proofErr w:type="gramEnd"/>
      <w:r>
        <w:t xml:space="preserve"> since you [ David] previously acknowledged to me [ Chief Kimble] that you</w:t>
      </w:r>
    </w:p>
    <w:p w14:paraId="1B0F95B7" w14:textId="77777777" w:rsidR="00A13485" w:rsidRDefault="00A13485" w:rsidP="00A13485">
      <w:pPr>
        <w:pStyle w:val="NoSpacing"/>
        <w:ind w:left="720"/>
      </w:pPr>
      <w:r>
        <w:t>were aware [ taking] medical marijuana would place me in the difficult position to have</w:t>
      </w:r>
    </w:p>
    <w:p w14:paraId="3FEF4F0B" w14:textId="77777777" w:rsidR="00A13485" w:rsidRDefault="00A13485" w:rsidP="00A13485">
      <w:pPr>
        <w:pStyle w:val="NoSpacing"/>
        <w:ind w:left="720"/>
      </w:pPr>
      <w:r>
        <w:t xml:space="preserve">to make a decision regarding your employment." </w:t>
      </w:r>
    </w:p>
    <w:p w14:paraId="5AB8305C" w14:textId="77777777" w:rsidR="00A13485" w:rsidRDefault="00A13485" w:rsidP="00A13485">
      <w:pPr>
        <w:pStyle w:val="NoSpacing"/>
        <w:ind w:left="720"/>
      </w:pPr>
    </w:p>
    <w:p w14:paraId="672431AE" w14:textId="77777777" w:rsidR="00A13485" w:rsidRDefault="00A13485" w:rsidP="00A13485">
      <w:pPr>
        <w:pStyle w:val="NoSpacing"/>
        <w:ind w:left="720"/>
      </w:pPr>
      <w:r>
        <w:t>***</w:t>
      </w:r>
    </w:p>
    <w:p w14:paraId="7292CE81" w14:textId="77777777" w:rsidR="00A13485" w:rsidRDefault="00A13485" w:rsidP="00A13485">
      <w:pPr>
        <w:pStyle w:val="NoSpacing"/>
        <w:ind w:left="720"/>
      </w:pPr>
      <w:r>
        <w:t>David suggested that it would be unfair to terminate him for violating a rule that he was unable to find-- either on his employer's website, the State Examiner's website, or in the BRFD policy manual. In response, BRFD pointed out that the rehabilitation agreement David signed in 1999 specifically cited the Fire and Police Board' s Drug -Free Ordinance. BRFD also pointed out that its policy manual was implemented in 1997, when there were no valid recommendations for medical marijuana.”</w:t>
      </w:r>
    </w:p>
    <w:p w14:paraId="05091318" w14:textId="77777777" w:rsidR="00A13485" w:rsidRDefault="00A13485" w:rsidP="00A13485">
      <w:pPr>
        <w:pStyle w:val="NoSpacing"/>
        <w:ind w:left="720"/>
      </w:pPr>
    </w:p>
    <w:p w14:paraId="482E264F" w14:textId="77777777" w:rsidR="00A13485" w:rsidRPr="00AC3281" w:rsidRDefault="00A13485" w:rsidP="00A13485">
      <w:pPr>
        <w:pStyle w:val="NoSpacing"/>
        <w:rPr>
          <w:b/>
          <w:bCs/>
        </w:rPr>
      </w:pPr>
      <w:r>
        <w:rPr>
          <w:b/>
        </w:rPr>
        <w:t xml:space="preserve">Legal lesson learned: Fire Boards can implement tougher drug-free policy than city policy; it would also be helpful to update FD policy manual with the policy. </w:t>
      </w:r>
    </w:p>
    <w:p w14:paraId="2D806D15" w14:textId="77777777" w:rsidR="00A13485" w:rsidRDefault="00A13485" w:rsidP="00A13485">
      <w:pPr>
        <w:pStyle w:val="NoSpacing"/>
        <w:rPr>
          <w:bCs/>
        </w:rPr>
      </w:pPr>
    </w:p>
    <w:p w14:paraId="35FD28BA" w14:textId="77777777" w:rsidR="001C5665" w:rsidRDefault="001C5665" w:rsidP="00800ACD">
      <w:pPr>
        <w:rPr>
          <w:rFonts w:ascii="Arial Black" w:hAnsi="Arial Black"/>
          <w:b/>
          <w:sz w:val="24"/>
          <w:szCs w:val="24"/>
        </w:rPr>
      </w:pPr>
    </w:p>
    <w:p w14:paraId="231DD3AF" w14:textId="77777777" w:rsidR="001C5665" w:rsidRDefault="001C5665" w:rsidP="00800ACD">
      <w:pPr>
        <w:rPr>
          <w:rFonts w:ascii="Arial Black" w:hAnsi="Arial Black"/>
          <w:b/>
          <w:sz w:val="24"/>
          <w:szCs w:val="24"/>
        </w:rPr>
      </w:pPr>
    </w:p>
    <w:p w14:paraId="630D72B0" w14:textId="4C1029BB" w:rsidR="006C0A0C" w:rsidRDefault="006C0A0C" w:rsidP="00800ACD">
      <w:pPr>
        <w:rPr>
          <w:rFonts w:ascii="Arial Black" w:hAnsi="Arial Black"/>
          <w:b/>
          <w:sz w:val="24"/>
          <w:szCs w:val="24"/>
        </w:rPr>
      </w:pPr>
      <w:r>
        <w:rPr>
          <w:rFonts w:ascii="Arial Black" w:hAnsi="Arial Black"/>
          <w:b/>
          <w:sz w:val="24"/>
          <w:szCs w:val="24"/>
        </w:rPr>
        <w:t>12-36</w:t>
      </w:r>
    </w:p>
    <w:p w14:paraId="4D4EEE90" w14:textId="77777777" w:rsidR="00B170D7" w:rsidRDefault="00B170D7" w:rsidP="00B170D7">
      <w:pPr>
        <w:pStyle w:val="NoSpacing"/>
        <w:rPr>
          <w:rFonts w:ascii="Arial Black" w:hAnsi="Arial Black"/>
          <w:b/>
          <w:sz w:val="28"/>
          <w:szCs w:val="28"/>
        </w:rPr>
      </w:pPr>
      <w:r>
        <w:rPr>
          <w:rFonts w:ascii="Arial Black" w:hAnsi="Arial Black"/>
          <w:b/>
          <w:sz w:val="28"/>
          <w:szCs w:val="28"/>
        </w:rPr>
        <w:t>FL: DRUG-TEST - FF/EMT TOOK HUSBAND’S DRUG – FIRED</w:t>
      </w:r>
    </w:p>
    <w:p w14:paraId="6822E340" w14:textId="77777777" w:rsidR="00B170D7" w:rsidRDefault="00B170D7" w:rsidP="00B170D7">
      <w:pPr>
        <w:pStyle w:val="NoSpacing"/>
        <w:rPr>
          <w:bCs/>
        </w:rPr>
      </w:pPr>
    </w:p>
    <w:p w14:paraId="1D74FF65" w14:textId="77777777" w:rsidR="00B170D7" w:rsidRDefault="00B170D7" w:rsidP="00B170D7">
      <w:pPr>
        <w:pStyle w:val="NoSpacing"/>
      </w:pPr>
      <w:r w:rsidRPr="00442D02">
        <w:t xml:space="preserve">On March 4, 2026, in </w:t>
      </w:r>
      <w:r w:rsidRPr="00442D02">
        <w:rPr>
          <w:u w:val="single"/>
        </w:rPr>
        <w:t>Dawn Oakley v. Polk County Board of Commissioners</w:t>
      </w:r>
      <w:r>
        <w:rPr>
          <w:b/>
        </w:rPr>
        <w:t xml:space="preserve">,  </w:t>
      </w:r>
      <w:r w:rsidRPr="008864DD">
        <w:t>U.S. District Court Judge</w:t>
      </w:r>
      <w:r>
        <w:t xml:space="preserve"> Virginia M. Hernandez Covington</w:t>
      </w:r>
      <w:r w:rsidRPr="008864DD">
        <w:t>, United States District Court, Middle District of Florida, Tampa Division</w:t>
      </w:r>
      <w:r>
        <w:t xml:space="preserve">, granted the County’s </w:t>
      </w:r>
      <w:r>
        <w:lastRenderedPageBreak/>
        <w:t xml:space="preserve">motion for summary judgment. </w:t>
      </w:r>
      <w:r w:rsidRPr="00430AF4">
        <w:t> </w:t>
      </w:r>
      <w:r>
        <w:t>The Court wrote: “</w:t>
      </w:r>
      <w:r w:rsidRPr="00430AF4">
        <w:t xml:space="preserve">Ms. Oakley argues that termination was a draconian punishment for a good employee who made a mistake. The Court tends to agree and has sympathy for Ms. Oakley. But this Court cannot second guess whether the County's decision was </w:t>
      </w:r>
      <w:r>
        <w:t>“</w:t>
      </w:r>
      <w:r w:rsidRPr="00430AF4">
        <w:t>prudent or fair.</w:t>
      </w:r>
      <w:r>
        <w:t xml:space="preserve">”… </w:t>
      </w:r>
      <w:r w:rsidRPr="00E97B54">
        <w:t> This Court does “not sit as a super-personnel department that reexamines an entity's business decisions.</w:t>
      </w:r>
      <w:r>
        <w:t xml:space="preserve">” </w:t>
      </w:r>
      <w:hyperlink r:id="rId1830" w:history="1">
        <w:r w:rsidRPr="00502BCE">
          <w:rPr>
            <w:rStyle w:val="Hyperlink"/>
          </w:rPr>
          <w:t>https://ecf.flmd.uscourts.gov/cgi-bin/show_public_doc?2025-00120-37-8-cv</w:t>
        </w:r>
      </w:hyperlink>
      <w:r>
        <w:t xml:space="preserve"> </w:t>
      </w:r>
    </w:p>
    <w:p w14:paraId="2C7683CF" w14:textId="77777777" w:rsidR="00B170D7" w:rsidRDefault="00B170D7" w:rsidP="00B170D7">
      <w:pPr>
        <w:pStyle w:val="NoSpacing"/>
      </w:pPr>
    </w:p>
    <w:p w14:paraId="59AB65ED" w14:textId="77777777" w:rsidR="00B170D7" w:rsidRDefault="00B170D7" w:rsidP="00B170D7">
      <w:pPr>
        <w:pStyle w:val="NoSpacing"/>
      </w:pPr>
      <w:r>
        <w:t>THE COURT HELD: “</w:t>
      </w:r>
      <w:r w:rsidRPr="002965D8">
        <w:t>On March 28, 2022, Ms. Oakley was selected to undergo a random drug test</w:t>
      </w:r>
      <w:r>
        <w:t xml:space="preserve">…. </w:t>
      </w:r>
      <w:r w:rsidRPr="002965D8">
        <w:t>Before she drove to Bartow where the test would be administered, Ms. Oakley took two pills from her to-go pill bottle that she believed were Tylenol to alleviate her back pain</w:t>
      </w:r>
      <w:r>
        <w:t>….</w:t>
      </w:r>
      <w:r w:rsidRPr="002965D8">
        <w:t>But Ms. Oakley accidentally ingested her husband's Vyvanse, which she mistook for Tylenol</w:t>
      </w:r>
      <w:r>
        <w:t>….</w:t>
      </w:r>
      <w:r w:rsidRPr="002965D8">
        <w:t xml:space="preserve"> The weekend before her drug test, Ms. Oakley put one of her husband's Vyvanse pills in her to-go pill bottle in case they decided to spend the night in Orlando after a concert</w:t>
      </w:r>
      <w:r>
        <w:t xml:space="preserve">…. </w:t>
      </w:r>
      <w:r w:rsidRPr="002965D8">
        <w:t>Ms. Oakley had forgotten about her husband's Vyvanse, failing to remove it from her to-go bottle</w:t>
      </w:r>
      <w:r>
        <w:t xml:space="preserve">…. </w:t>
      </w:r>
      <w:r w:rsidRPr="002965D8">
        <w:t>Ms. Oakley completed a breathalyzer test and provided a urine sample</w:t>
      </w:r>
      <w:r>
        <w:t xml:space="preserve">…. </w:t>
      </w:r>
      <w:r w:rsidRPr="007803F7">
        <w:t>Ms. Oakley admitted to taking 70 milligrams of Vyvanse, and, although she did not feel any effects from the medication, she was still under its influence during her shift.</w:t>
      </w:r>
    </w:p>
    <w:p w14:paraId="1F722B1D" w14:textId="77777777" w:rsidR="00B170D7" w:rsidRDefault="00B170D7" w:rsidP="00B170D7">
      <w:pPr>
        <w:pStyle w:val="NoSpacing"/>
      </w:pPr>
    </w:p>
    <w:p w14:paraId="79ECAE3B" w14:textId="77777777" w:rsidR="00B170D7" w:rsidRDefault="00B170D7" w:rsidP="00B170D7">
      <w:pPr>
        <w:pStyle w:val="NoSpacing"/>
      </w:pPr>
      <w:r>
        <w:t>***</w:t>
      </w:r>
    </w:p>
    <w:p w14:paraId="07E4FE34" w14:textId="77777777" w:rsidR="00B170D7" w:rsidRDefault="00B170D7" w:rsidP="00B170D7">
      <w:pPr>
        <w:pStyle w:val="NoSpacing"/>
      </w:pPr>
    </w:p>
    <w:p w14:paraId="76F8D29A" w14:textId="77777777" w:rsidR="00B170D7" w:rsidRDefault="00B170D7" w:rsidP="00B170D7">
      <w:pPr>
        <w:pStyle w:val="NoSpacing"/>
      </w:pPr>
      <w:r w:rsidRPr="00F97586">
        <w:t>From January 2015 through December 2023, Polk County either terminated or allowed resignation in lieu of termination for 14 employees after positive random drug tests</w:t>
      </w:r>
      <w:r>
        <w:t>….</w:t>
      </w:r>
      <w:r w:rsidRPr="00F97586">
        <w:t>Eight of these employees, including Ms. Oakley, worked for PCFR</w:t>
      </w:r>
      <w:r>
        <w:t xml:space="preserve">…. </w:t>
      </w:r>
      <w:r w:rsidRPr="00F97586">
        <w:t xml:space="preserve">The group included two African American males, one Hispanic </w:t>
      </w:r>
      <w:r>
        <w:t xml:space="preserve"> </w:t>
      </w:r>
      <w:r w:rsidRPr="00F97586">
        <w:t>male, and one white male</w:t>
      </w:r>
      <w:r>
        <w:t xml:space="preserve">…. </w:t>
      </w:r>
      <w:r w:rsidRPr="00F97586">
        <w:t>The fifth male did not disclose his racial identity, so that remains unknown</w:t>
      </w:r>
      <w:r>
        <w:t xml:space="preserve">…. </w:t>
      </w:r>
      <w:r w:rsidRPr="00F97586">
        <w:t>In addition to Ms. Oakley, two white females have also been terminated for positive drug tests</w:t>
      </w:r>
      <w:r>
        <w:t xml:space="preserve">…. </w:t>
      </w:r>
      <w:r w:rsidRPr="00F97586">
        <w:t>Four white males and two Hispanic males who worked in the County's other divisions also lost their jobs after positive drug tests.</w:t>
      </w:r>
      <w:r>
        <w:t>”</w:t>
      </w:r>
    </w:p>
    <w:p w14:paraId="42B44340" w14:textId="77777777" w:rsidR="00B170D7" w:rsidRDefault="00B170D7" w:rsidP="00B170D7">
      <w:pPr>
        <w:pStyle w:val="NoSpacing"/>
      </w:pPr>
    </w:p>
    <w:p w14:paraId="1884B7E8" w14:textId="77777777" w:rsidR="00B170D7" w:rsidRPr="00F97586" w:rsidRDefault="00B170D7" w:rsidP="00B170D7">
      <w:pPr>
        <w:pStyle w:val="NoSpacing"/>
        <w:rPr>
          <w:b/>
          <w:bCs/>
        </w:rPr>
      </w:pPr>
      <w:r w:rsidRPr="003E0542">
        <w:rPr>
          <w:b/>
        </w:rPr>
        <w:t xml:space="preserve">Legal lesson learned: </w:t>
      </w:r>
      <w:r>
        <w:rPr>
          <w:b/>
        </w:rPr>
        <w:t xml:space="preserve">The County has consistently followed its drug free workplace policy (even if it may be called “harsh”). </w:t>
      </w:r>
    </w:p>
    <w:p w14:paraId="1E9A86A8" w14:textId="77777777" w:rsidR="006C0A0C" w:rsidRDefault="006C0A0C" w:rsidP="00800ACD">
      <w:pPr>
        <w:rPr>
          <w:rFonts w:ascii="Arial Black" w:hAnsi="Arial Black"/>
          <w:b/>
          <w:sz w:val="24"/>
          <w:szCs w:val="24"/>
        </w:rPr>
      </w:pPr>
    </w:p>
    <w:p w14:paraId="0D4247D4" w14:textId="77777777" w:rsidR="006C0A0C" w:rsidRDefault="006C0A0C" w:rsidP="00800ACD">
      <w:pPr>
        <w:rPr>
          <w:rFonts w:ascii="Arial Black" w:hAnsi="Arial Black"/>
          <w:b/>
          <w:sz w:val="24"/>
          <w:szCs w:val="24"/>
        </w:rPr>
      </w:pPr>
    </w:p>
    <w:p w14:paraId="7FCA3057" w14:textId="15F5AEDE" w:rsidR="005F4889" w:rsidRDefault="005F4889" w:rsidP="00800ACD">
      <w:pPr>
        <w:rPr>
          <w:rFonts w:ascii="Arial Black" w:hAnsi="Arial Black"/>
          <w:b/>
          <w:sz w:val="24"/>
          <w:szCs w:val="24"/>
        </w:rPr>
      </w:pPr>
      <w:r>
        <w:rPr>
          <w:rFonts w:ascii="Arial Black" w:hAnsi="Arial Black"/>
          <w:b/>
          <w:sz w:val="24"/>
          <w:szCs w:val="24"/>
        </w:rPr>
        <w:t>12-35</w:t>
      </w:r>
    </w:p>
    <w:p w14:paraId="5599C142" w14:textId="77777777" w:rsidR="00C812C2" w:rsidRPr="00E361DB" w:rsidRDefault="00C812C2" w:rsidP="00C812C2">
      <w:pPr>
        <w:rPr>
          <w:rFonts w:ascii="Arial Black" w:hAnsi="Arial Black"/>
          <w:b/>
          <w:sz w:val="28"/>
          <w:szCs w:val="28"/>
        </w:rPr>
      </w:pPr>
      <w:r>
        <w:rPr>
          <w:rFonts w:ascii="Arial Black" w:hAnsi="Arial Black"/>
          <w:b/>
          <w:sz w:val="28"/>
          <w:szCs w:val="28"/>
        </w:rPr>
        <w:t xml:space="preserve">FL: B/C MJ MEDICAL USE – DEMOTED -  NOT COVERED ADA </w:t>
      </w:r>
    </w:p>
    <w:p w14:paraId="0697D919" w14:textId="77777777" w:rsidR="00C812C2" w:rsidRDefault="00C812C2" w:rsidP="00C812C2">
      <w:pPr>
        <w:pStyle w:val="NoSpacing"/>
      </w:pPr>
      <w:r>
        <w:t>On January 13, 2026</w:t>
      </w:r>
      <w:proofErr w:type="gramStart"/>
      <w:r>
        <w:t>, in</w:t>
      </w:r>
      <w:proofErr w:type="gramEnd"/>
      <w:r>
        <w:t xml:space="preserve"> </w:t>
      </w:r>
      <w:r w:rsidRPr="005515CC">
        <w:rPr>
          <w:u w:val="single"/>
        </w:rPr>
        <w:t>John Beckman v. The Collier County Board of Commissioners</w:t>
      </w:r>
      <w:r>
        <w:t xml:space="preserve">, Senior U.S. District Court Judge John E. Steele, United States District Court for the Middle District of Florida, Fort Myers Division, granted summary judgment to the County; even though Florida allows medically prescribed marijuana, it is still an illegal Federal drug and under ADA persons using illegal drugs are not “qualified individual.” The record shows that Beckman’s disability disclosures to Fire Department occurred in October 2020, April 2021, and September 2022. He  was selected for random drug testing on September 1, 2023, and after testing positive, placed on unpaid administrative leave, returned to work on October 17, </w:t>
      </w:r>
      <w:proofErr w:type="gramStart"/>
      <w:r>
        <w:t>2023</w:t>
      </w:r>
      <w:proofErr w:type="gramEnd"/>
      <w:r>
        <w:t xml:space="preserve"> he was demoted.  He </w:t>
      </w:r>
      <w:proofErr w:type="gramStart"/>
      <w:r>
        <w:t>resigned</w:t>
      </w:r>
      <w:proofErr w:type="gramEnd"/>
      <w:r>
        <w:t xml:space="preserve"> November 9, 2023.  </w:t>
      </w:r>
      <w:hyperlink r:id="rId1831" w:history="1">
        <w:r w:rsidRPr="00EB79A3">
          <w:rPr>
            <w:rStyle w:val="Hyperlink"/>
          </w:rPr>
          <w:t>https://cases.justia.com/federal/district-courts/florida/flmdce/2:2024cv00585/429227/35/0.pdf?ts=1768388107</w:t>
        </w:r>
      </w:hyperlink>
      <w:r>
        <w:t xml:space="preserve"> </w:t>
      </w:r>
    </w:p>
    <w:p w14:paraId="0A703893" w14:textId="77777777" w:rsidR="00C812C2" w:rsidRDefault="00C812C2" w:rsidP="00C812C2">
      <w:pPr>
        <w:pStyle w:val="NoSpacing"/>
      </w:pPr>
    </w:p>
    <w:p w14:paraId="0E37247D" w14:textId="77777777" w:rsidR="00C812C2" w:rsidRDefault="00C812C2" w:rsidP="00C812C2">
      <w:pPr>
        <w:pStyle w:val="NoSpacing"/>
      </w:pPr>
      <w:r>
        <w:t>THE COURT HELD:</w:t>
      </w:r>
    </w:p>
    <w:p w14:paraId="747F9504" w14:textId="77777777" w:rsidR="00C812C2" w:rsidRDefault="00C812C2" w:rsidP="00C812C2">
      <w:pPr>
        <w:pStyle w:val="NoSpacing"/>
      </w:pPr>
    </w:p>
    <w:p w14:paraId="5D84B0D7" w14:textId="77777777" w:rsidR="00C812C2" w:rsidRDefault="00C812C2" w:rsidP="00C812C2">
      <w:pPr>
        <w:pStyle w:val="NoSpacing"/>
        <w:ind w:left="720"/>
      </w:pPr>
      <w:r>
        <w:t>“</w:t>
      </w:r>
      <w:r w:rsidRPr="00AF601A">
        <w:t>Beckman began his employment with the County in 2006 as an</w:t>
      </w:r>
      <w:r>
        <w:t xml:space="preserve"> </w:t>
      </w:r>
      <w:r w:rsidRPr="00AF601A">
        <w:t>Emergency Medical Technician. Beckman enjoyed a successful career</w:t>
      </w:r>
      <w:r>
        <w:t xml:space="preserve"> </w:t>
      </w:r>
      <w:r w:rsidRPr="00AF601A">
        <w:t>with the County, and by 2016 had been promoted to Battalion Chief.</w:t>
      </w:r>
      <w:r>
        <w:t xml:space="preserve"> </w:t>
      </w:r>
      <w:r w:rsidRPr="00AF601A">
        <w:t>At all relevant times Beckman had been able to perform the</w:t>
      </w:r>
      <w:r>
        <w:t xml:space="preserve"> </w:t>
      </w:r>
      <w:r w:rsidRPr="00AF601A">
        <w:t xml:space="preserve">essential functions of his employment position with </w:t>
      </w:r>
      <w:proofErr w:type="gramStart"/>
      <w:r w:rsidRPr="00AF601A">
        <w:t>an</w:t>
      </w:r>
      <w:r>
        <w:t xml:space="preserve"> </w:t>
      </w:r>
      <w:r w:rsidRPr="00AF601A">
        <w:t>accommodation</w:t>
      </w:r>
      <w:proofErr w:type="gramEnd"/>
      <w:r w:rsidRPr="00AF601A">
        <w:t xml:space="preserve"> for a gastrointestinal condition that substantially</w:t>
      </w:r>
      <w:r>
        <w:t xml:space="preserve"> </w:t>
      </w:r>
      <w:r w:rsidRPr="00AF601A">
        <w:t>limits his major life activities. After multiple medications</w:t>
      </w:r>
      <w:r>
        <w:t xml:space="preserve"> </w:t>
      </w:r>
      <w:r w:rsidRPr="00AF601A">
        <w:t>proved unsuccessful in managing the condition, on September 12,</w:t>
      </w:r>
      <w:r>
        <w:t xml:space="preserve"> </w:t>
      </w:r>
      <w:r w:rsidRPr="00AF601A">
        <w:t>2020, Beckman obtained a certification for medical marijuana use</w:t>
      </w:r>
      <w:r>
        <w:t xml:space="preserve"> </w:t>
      </w:r>
      <w:r w:rsidRPr="00AF601A">
        <w:t>from the State of Florida.</w:t>
      </w:r>
    </w:p>
    <w:p w14:paraId="468101A5" w14:textId="77777777" w:rsidR="00C812C2" w:rsidRDefault="00C812C2" w:rsidP="00C812C2">
      <w:pPr>
        <w:pStyle w:val="NoSpacing"/>
        <w:ind w:left="720"/>
      </w:pPr>
    </w:p>
    <w:p w14:paraId="5E28F31A" w14:textId="77777777" w:rsidR="00C812C2" w:rsidRDefault="00C812C2" w:rsidP="00C812C2">
      <w:pPr>
        <w:pStyle w:val="NoSpacing"/>
        <w:ind w:left="720"/>
      </w:pPr>
      <w:r>
        <w:lastRenderedPageBreak/>
        <w:t>***</w:t>
      </w:r>
    </w:p>
    <w:p w14:paraId="64031651" w14:textId="77777777" w:rsidR="00C812C2" w:rsidRDefault="00C812C2" w:rsidP="00C812C2">
      <w:pPr>
        <w:pStyle w:val="NoSpacing"/>
        <w:ind w:left="720"/>
      </w:pPr>
    </w:p>
    <w:p w14:paraId="657C1484" w14:textId="77777777" w:rsidR="00C812C2" w:rsidRDefault="00C812C2" w:rsidP="00C812C2">
      <w:pPr>
        <w:pStyle w:val="NoSpacing"/>
        <w:ind w:left="720"/>
      </w:pPr>
      <w:r>
        <w:t>In October 2020 Beckman notified both Deputy Chief Tony Camps (‘Deputy Chief Camps’) and Chief Tabatha Butcher (‘Chief Butcher’)about his medical marijuana use certification…. Beckman would periodically request and receive paid time off because of his medical condition. There were no issues about Beckman’s work performance, and Beckman continued to use the medical marijuana on and off as needed. Beckman was only tested at work because of the random drug testing protocol, and until September 1, 2023, he had never tested positive for the presence of marijuana in his system.</w:t>
      </w:r>
    </w:p>
    <w:p w14:paraId="642BE5CA" w14:textId="77777777" w:rsidR="00C812C2" w:rsidRDefault="00C812C2" w:rsidP="00C812C2">
      <w:pPr>
        <w:pStyle w:val="NoSpacing"/>
        <w:ind w:left="720"/>
      </w:pPr>
    </w:p>
    <w:p w14:paraId="031B6E6C" w14:textId="77777777" w:rsidR="00C812C2" w:rsidRDefault="00C812C2" w:rsidP="00C812C2">
      <w:pPr>
        <w:pStyle w:val="NoSpacing"/>
        <w:ind w:left="720"/>
      </w:pPr>
      <w:r>
        <w:t>On September 1, 2023, Beckman was selected for random drug testing as part of the County’s testing protocol. The test came back positive for the presence of marijuana in Beckman’s system, and he was immediately placed on unpaid administrative leave until completing counseling with a substance abuse professional and returning a negative drug screening.</w:t>
      </w:r>
    </w:p>
    <w:p w14:paraId="4E67D843" w14:textId="77777777" w:rsidR="00C812C2" w:rsidRDefault="00C812C2" w:rsidP="00C812C2">
      <w:pPr>
        <w:pStyle w:val="NoSpacing"/>
        <w:ind w:left="720"/>
      </w:pPr>
    </w:p>
    <w:p w14:paraId="00E05092" w14:textId="77777777" w:rsidR="00C812C2" w:rsidRDefault="00C812C2" w:rsidP="00C812C2">
      <w:pPr>
        <w:pStyle w:val="NoSpacing"/>
        <w:ind w:left="720"/>
      </w:pPr>
      <w:r>
        <w:t xml:space="preserve">Beckman was cleared to return to work after testing negative for illegal substances on October 17, 2023. By October 24, 2023, Beckman received and signed a Behavioral Action Plan (‘BAP’) which included: (1) a thirty-day suspension credited as time served, (2) demotion from Battalion Chief II to Paramedic II with an approximate 24.5% pay cut, (3) a six-month driving prohibition, (4) a six-month probationary period, and (5) ineligibility for promotional opportunities for up to twenty-four months. Beckman did not appeal this </w:t>
      </w:r>
      <w:proofErr w:type="gramStart"/>
      <w:r>
        <w:t>discipline, but</w:t>
      </w:r>
      <w:proofErr w:type="gramEnd"/>
      <w:r>
        <w:t xml:space="preserve"> was unwilling to accept the demotion in rank. Beckman submitted a letter of resignation on October 26, 2023, and terminated his employment with the County on November 9, 2023. Beckman characterizes this as a constructive discharge by the County.</w:t>
      </w:r>
    </w:p>
    <w:p w14:paraId="387FAD6F" w14:textId="77777777" w:rsidR="00C812C2" w:rsidRDefault="00C812C2" w:rsidP="00C812C2">
      <w:pPr>
        <w:pStyle w:val="NoSpacing"/>
        <w:ind w:left="720"/>
      </w:pPr>
    </w:p>
    <w:p w14:paraId="152D3E3D" w14:textId="77777777" w:rsidR="00C812C2" w:rsidRDefault="00C812C2" w:rsidP="00C812C2">
      <w:pPr>
        <w:pStyle w:val="NoSpacing"/>
        <w:ind w:left="720"/>
      </w:pPr>
      <w:r>
        <w:t>***</w:t>
      </w:r>
    </w:p>
    <w:p w14:paraId="03B970F9" w14:textId="77777777" w:rsidR="00C812C2" w:rsidRDefault="00C812C2" w:rsidP="00C812C2">
      <w:pPr>
        <w:pStyle w:val="NoSpacing"/>
        <w:ind w:left="720"/>
      </w:pPr>
      <w:r>
        <w:t xml:space="preserve">Beckman’s use of marijuana, even pursuant to his Florida certificate, was illegal under federal law, and the statutory exclusion is not satisfied by the Florida medical marijuana program. Accordingly, Beckman was not a qualified individual with a disability under the ADA…. But even construing this conduct as being a requested accommodation to allow the use of marijuana, it was not reasonable under the ADA because medical marijuana use was and still is illegal under federal law. Accordingly, any failure to accommodate claim based on the underlying facts fails as a matter of </w:t>
      </w:r>
      <w:proofErr w:type="gramStart"/>
      <w:r>
        <w:t>law.”</w:t>
      </w:r>
      <w:proofErr w:type="gramEnd"/>
    </w:p>
    <w:p w14:paraId="7C2FA684" w14:textId="77777777" w:rsidR="00C812C2" w:rsidRDefault="00C812C2" w:rsidP="00C812C2">
      <w:pPr>
        <w:pStyle w:val="NoSpacing"/>
        <w:ind w:left="720"/>
      </w:pPr>
    </w:p>
    <w:p w14:paraId="4B1420A5" w14:textId="77777777" w:rsidR="00C812C2" w:rsidRPr="003032F5" w:rsidRDefault="00C812C2" w:rsidP="00C812C2">
      <w:pPr>
        <w:pStyle w:val="NoSpacing"/>
        <w:rPr>
          <w:b/>
          <w:bCs/>
        </w:rPr>
      </w:pPr>
      <w:r>
        <w:rPr>
          <w:b/>
        </w:rPr>
        <w:t xml:space="preserve">Legal lesson learned: Unfortunate to discipline a Battalion Chief for use of proscribed medical marijuana; numerous fire departments have in their </w:t>
      </w:r>
      <w:proofErr w:type="gramStart"/>
      <w:r>
        <w:rPr>
          <w:b/>
        </w:rPr>
        <w:t>policies</w:t>
      </w:r>
      <w:proofErr w:type="gramEnd"/>
      <w:r>
        <w:rPr>
          <w:b/>
        </w:rPr>
        <w:t xml:space="preserve"> or Collective Bargaining Agreements recognized the use of proscribed medical marijuana.</w:t>
      </w:r>
    </w:p>
    <w:p w14:paraId="5E353C2C" w14:textId="77777777" w:rsidR="00C812C2" w:rsidRDefault="00C812C2" w:rsidP="00C812C2">
      <w:pPr>
        <w:pStyle w:val="NoSpacing"/>
      </w:pPr>
    </w:p>
    <w:p w14:paraId="3B5242D8" w14:textId="77777777" w:rsidR="00C812C2" w:rsidRDefault="00C812C2" w:rsidP="00C812C2">
      <w:pPr>
        <w:pStyle w:val="NoSpacing"/>
        <w:ind w:left="720"/>
      </w:pPr>
      <w:r>
        <w:t xml:space="preserve">Note: The Drug Enforcement Administration (DEA) recently proposed a new rule to reclassify Marijuana as a Schedule III drug, which would allow use of marijuana for medical treatment. On December 18, </w:t>
      </w:r>
      <w:proofErr w:type="gramStart"/>
      <w:r>
        <w:t>2025</w:t>
      </w:r>
      <w:proofErr w:type="gramEnd"/>
      <w:r>
        <w:t xml:space="preserve"> President Donald J. Trump has issued an Executive Order to speed up consideration of the reclassification of marijuana. Increasing</w:t>
      </w:r>
    </w:p>
    <w:p w14:paraId="5DDB30A8" w14:textId="77777777" w:rsidR="00C812C2" w:rsidRDefault="00C812C2" w:rsidP="00C812C2">
      <w:pPr>
        <w:pStyle w:val="NoSpacing"/>
        <w:ind w:left="720"/>
      </w:pPr>
      <w:r>
        <w:t xml:space="preserve">Medical Marijuana and Cannabidiol Research, 90 FR 60541. </w:t>
      </w:r>
      <w:hyperlink r:id="rId1832" w:history="1">
        <w:r w:rsidRPr="00EB79A3">
          <w:rPr>
            <w:rStyle w:val="Hyperlink"/>
          </w:rPr>
          <w:t>https://www.federalregister.gov/documents/2025/12/23/2025-23846/increasing-medical-marijuana-and-cannabidiol-research</w:t>
        </w:r>
      </w:hyperlink>
      <w:r>
        <w:t xml:space="preserve"> </w:t>
      </w:r>
    </w:p>
    <w:p w14:paraId="3CE69537" w14:textId="77777777" w:rsidR="00C812C2" w:rsidRDefault="00C812C2" w:rsidP="00C812C2">
      <w:pPr>
        <w:pStyle w:val="NoSpacing"/>
        <w:ind w:left="720"/>
      </w:pPr>
    </w:p>
    <w:p w14:paraId="74F7464E" w14:textId="77777777" w:rsidR="00C812C2" w:rsidRDefault="00C812C2" w:rsidP="00C812C2">
      <w:pPr>
        <w:pStyle w:val="NoSpacing"/>
        <w:ind w:left="720"/>
        <w:rPr>
          <w:bCs/>
        </w:rPr>
      </w:pPr>
      <w:r>
        <w:t xml:space="preserve">See also: Dec. 22, 2025: MD – </w:t>
      </w:r>
      <w:r w:rsidRPr="005841E1">
        <w:t xml:space="preserve">Howard County firefighters may use medical cannabis during off-hours, starting soon. </w:t>
      </w:r>
      <w:hyperlink r:id="rId1833" w:history="1">
        <w:r w:rsidRPr="00815351">
          <w:rPr>
            <w:rStyle w:val="Hyperlink"/>
          </w:rPr>
          <w:t>https://baltimorefishbowl.com/stories/howard-county-firefighters-medical-cannabis/</w:t>
        </w:r>
      </w:hyperlink>
      <w:r>
        <w:t xml:space="preserve"> </w:t>
      </w:r>
    </w:p>
    <w:p w14:paraId="4D510AAF" w14:textId="77777777" w:rsidR="00C812C2" w:rsidRPr="005841E1" w:rsidRDefault="00C812C2" w:rsidP="00C812C2">
      <w:pPr>
        <w:pStyle w:val="NoSpacing"/>
        <w:ind w:left="720"/>
        <w:rPr>
          <w:bCs/>
        </w:rPr>
      </w:pPr>
      <w:r w:rsidRPr="00BC6E53">
        <w:t>Howard County Executive Calvin Ball on Friday announced an agreement between Howard County Government and the Howard County International Association of Fire Fighters (IAFF) Local 2000 to allow County Department of Fire and Rescue Services (DFRS) uniformed personnel off-duty usage of medical cannabis. The employees may not use the substance 12 hours before reporting to work, and they must present a valid medical cannabis authorization form to the County’s Office of Human Resources.</w:t>
      </w:r>
    </w:p>
    <w:p w14:paraId="3913A83A" w14:textId="77777777" w:rsidR="00C812C2" w:rsidRDefault="00C812C2" w:rsidP="00C812C2">
      <w:pPr>
        <w:pStyle w:val="NoSpacing"/>
        <w:ind w:left="720"/>
      </w:pPr>
    </w:p>
    <w:p w14:paraId="42298BF1" w14:textId="77777777" w:rsidR="00C812C2" w:rsidRPr="00C83C95" w:rsidRDefault="00C812C2" w:rsidP="00C812C2">
      <w:pPr>
        <w:pStyle w:val="NoSpacing"/>
        <w:ind w:left="720"/>
        <w:rPr>
          <w:b/>
        </w:rPr>
      </w:pPr>
      <w:r w:rsidRPr="00C83C95">
        <w:t>New policy allows Howard County firefighters to use medical cannabis</w:t>
      </w:r>
      <w:r>
        <w:t xml:space="preserve">. </w:t>
      </w:r>
      <w:hyperlink r:id="rId1834" w:history="1">
        <w:r w:rsidRPr="00815351">
          <w:rPr>
            <w:rStyle w:val="Hyperlink"/>
          </w:rPr>
          <w:t>https://www.youtube.com/watch?v=wVEUB8WSdp8</w:t>
        </w:r>
      </w:hyperlink>
      <w:r>
        <w:t xml:space="preserve"> </w:t>
      </w:r>
    </w:p>
    <w:p w14:paraId="4EEA7258" w14:textId="77777777" w:rsidR="00C812C2" w:rsidRDefault="00C812C2" w:rsidP="00C812C2">
      <w:pPr>
        <w:pStyle w:val="NoSpacing"/>
        <w:ind w:left="720"/>
      </w:pPr>
    </w:p>
    <w:p w14:paraId="133172FD" w14:textId="77777777" w:rsidR="00C812C2" w:rsidRPr="00F71B22" w:rsidRDefault="00C812C2" w:rsidP="00C812C2">
      <w:pPr>
        <w:pStyle w:val="NoSpacing"/>
        <w:ind w:left="720"/>
        <w:rPr>
          <w:bCs/>
        </w:rPr>
      </w:pPr>
      <w:r>
        <w:t xml:space="preserve">Dec. 19, 2025: </w:t>
      </w:r>
      <w:r w:rsidRPr="00F71B22">
        <w:t>What Does President Trump’s New Marijuana Directive Mean for You as a Fire Chief?</w:t>
      </w:r>
      <w:r>
        <w:t xml:space="preserve"> </w:t>
      </w:r>
      <w:hyperlink r:id="rId1835" w:history="1">
        <w:r w:rsidRPr="00815351">
          <w:rPr>
            <w:rStyle w:val="Hyperlink"/>
          </w:rPr>
          <w:t>https://www.firefighternation.com/fire-leadership/what-does-president-trumps-new-marijuana-directive-mean-for-you-as-a-fire-chief/</w:t>
        </w:r>
      </w:hyperlink>
      <w:r>
        <w:t xml:space="preserve"> </w:t>
      </w:r>
    </w:p>
    <w:p w14:paraId="6B14FF4B" w14:textId="77777777" w:rsidR="00C812C2" w:rsidRDefault="00C812C2" w:rsidP="00C812C2">
      <w:pPr>
        <w:pStyle w:val="NoSpacing"/>
        <w:ind w:left="720"/>
      </w:pPr>
    </w:p>
    <w:p w14:paraId="1F92C09B" w14:textId="77777777" w:rsidR="00C812C2" w:rsidRPr="001B7700" w:rsidRDefault="00C812C2" w:rsidP="00C812C2">
      <w:pPr>
        <w:pStyle w:val="NoSpacing"/>
        <w:ind w:left="720"/>
        <w:rPr>
          <w:vanish/>
        </w:rPr>
      </w:pPr>
      <w:r>
        <w:t xml:space="preserve">Jan. 2025: KY - </w:t>
      </w:r>
      <w:r w:rsidRPr="00FE3452">
        <w:t xml:space="preserve">Louisville union sues city to allow firefighters to use medical cannabis. </w:t>
      </w:r>
      <w:hyperlink r:id="rId1836" w:history="1">
        <w:r w:rsidRPr="00FE3452">
          <w:rPr>
            <w:rStyle w:val="Hyperlink"/>
          </w:rPr>
          <w:t>https://www.youtube.com/watch?v=1jL6w0_sguI</w:t>
        </w:r>
      </w:hyperlink>
      <w:r w:rsidRPr="00FE3452">
        <w:t xml:space="preserve"> </w:t>
      </w:r>
    </w:p>
    <w:p w14:paraId="5BF3C490" w14:textId="77777777" w:rsidR="00C812C2" w:rsidRPr="001B7700" w:rsidRDefault="00C812C2" w:rsidP="00C812C2">
      <w:pPr>
        <w:ind w:left="720"/>
        <w:rPr>
          <w:vanish/>
        </w:rPr>
      </w:pPr>
      <w:r w:rsidRPr="001B7700">
        <w:rPr>
          <w:vanish/>
        </w:rPr>
        <w:t>Bottom of Form</w:t>
      </w:r>
    </w:p>
    <w:p w14:paraId="31C8A261" w14:textId="77777777" w:rsidR="00C812C2" w:rsidRPr="001B7700" w:rsidRDefault="00C812C2" w:rsidP="00C812C2">
      <w:pPr>
        <w:ind w:left="720"/>
        <w:rPr>
          <w:rStyle w:val="Hyperlink"/>
        </w:rPr>
      </w:pPr>
      <w:r w:rsidRPr="001B7700">
        <w:fldChar w:fldCharType="begin"/>
      </w:r>
      <w:r w:rsidRPr="001B7700">
        <w:instrText>HYPERLINK "https://www.youtube.com/" \o "YouTube Home"</w:instrText>
      </w:r>
      <w:r w:rsidRPr="001B7700">
        <w:fldChar w:fldCharType="separate"/>
      </w:r>
    </w:p>
    <w:p w14:paraId="44D30990" w14:textId="790A2373" w:rsidR="005F4889" w:rsidRDefault="00C812C2" w:rsidP="00C812C2">
      <w:pPr>
        <w:rPr>
          <w:rFonts w:ascii="Arial Black" w:hAnsi="Arial Black"/>
          <w:b/>
          <w:sz w:val="24"/>
          <w:szCs w:val="24"/>
        </w:rPr>
      </w:pPr>
      <w:r w:rsidRPr="001B7700">
        <w:fldChar w:fldCharType="end"/>
      </w:r>
    </w:p>
    <w:p w14:paraId="3BEA6EBD" w14:textId="77777777" w:rsidR="005F4889" w:rsidRDefault="005F4889" w:rsidP="00800ACD">
      <w:pPr>
        <w:rPr>
          <w:rFonts w:ascii="Arial Black" w:hAnsi="Arial Black"/>
          <w:b/>
          <w:sz w:val="24"/>
          <w:szCs w:val="24"/>
        </w:rPr>
      </w:pPr>
    </w:p>
    <w:p w14:paraId="43A1942B" w14:textId="77777777" w:rsidR="005F4889" w:rsidRDefault="005F4889" w:rsidP="00800ACD">
      <w:pPr>
        <w:rPr>
          <w:rFonts w:ascii="Arial Black" w:hAnsi="Arial Black"/>
          <w:b/>
          <w:sz w:val="24"/>
          <w:szCs w:val="24"/>
        </w:rPr>
      </w:pPr>
    </w:p>
    <w:p w14:paraId="08BAB7EB" w14:textId="2BA71371" w:rsidR="008E743B" w:rsidRDefault="00A34683" w:rsidP="00800ACD">
      <w:pPr>
        <w:rPr>
          <w:rFonts w:ascii="Arial Black" w:hAnsi="Arial Black"/>
          <w:b/>
          <w:sz w:val="24"/>
          <w:szCs w:val="24"/>
        </w:rPr>
      </w:pPr>
      <w:r>
        <w:rPr>
          <w:rFonts w:ascii="Arial Black" w:hAnsi="Arial Black"/>
          <w:b/>
          <w:sz w:val="24"/>
          <w:szCs w:val="24"/>
        </w:rPr>
        <w:t>12-34</w:t>
      </w:r>
    </w:p>
    <w:p w14:paraId="15394B7C" w14:textId="77777777" w:rsidR="00A34683" w:rsidRPr="005F4150" w:rsidRDefault="00A34683" w:rsidP="00A34683">
      <w:pPr>
        <w:rPr>
          <w:rFonts w:ascii="Arial Black" w:hAnsi="Arial Black"/>
          <w:b/>
          <w:sz w:val="28"/>
          <w:szCs w:val="28"/>
        </w:rPr>
      </w:pPr>
      <w:r>
        <w:rPr>
          <w:rFonts w:ascii="Arial Black" w:hAnsi="Arial Black"/>
          <w:b/>
          <w:sz w:val="28"/>
          <w:szCs w:val="28"/>
        </w:rPr>
        <w:t>CT: MEDICAL MJ – FF VIOL. LAST CHANCE AGREEMENT</w:t>
      </w:r>
    </w:p>
    <w:p w14:paraId="61FF3C09" w14:textId="77777777" w:rsidR="00D104F2" w:rsidRDefault="00A34683" w:rsidP="00D104F2">
      <w:pPr>
        <w:pStyle w:val="NoSpacing"/>
      </w:pPr>
      <w:r>
        <w:t xml:space="preserve">On June 11, 2025, in </w:t>
      </w:r>
      <w:r w:rsidRPr="00BC5D65">
        <w:rPr>
          <w:u w:val="single"/>
        </w:rPr>
        <w:t>Thomas Eccleston, III v. City of Waterbury</w:t>
      </w:r>
      <w:r>
        <w:t xml:space="preserve">, Judge Kiberly P. Massicotte, </w:t>
      </w:r>
      <w:r w:rsidRPr="00270B5A">
        <w:t>Superior Court of Connecticut, Judicial District of Waterbury, Waterbury</w:t>
      </w:r>
      <w:r>
        <w:t xml:space="preserve">, held after a bench </w:t>
      </w:r>
      <w:r w:rsidRPr="007F5AEF">
        <w:t xml:space="preserve">trial on February 20, </w:t>
      </w:r>
      <w:proofErr w:type="gramStart"/>
      <w:r w:rsidRPr="007F5AEF">
        <w:t>2025</w:t>
      </w:r>
      <w:proofErr w:type="gramEnd"/>
      <w:r>
        <w:t xml:space="preserve"> that the city properly fired the firefighter for violation of Las Chance agreement.   On </w:t>
      </w:r>
      <w:r w:rsidRPr="00CA655F">
        <w:t>November 19, 2015, to avoid termination, the plaintiff signed a "last chance agreement" after the plaintiff was arrested for domestic violence</w:t>
      </w:r>
      <w:r>
        <w:t xml:space="preserve">; the agreement prohibits use of alcohol or a controlled substance.  He tested positive in random drug test on </w:t>
      </w:r>
      <w:r w:rsidRPr="0094669A">
        <w:t>March 20, 2018</w:t>
      </w:r>
      <w:r>
        <w:t xml:space="preserve"> (obtained medical marijuana card March 6, 2018).  </w:t>
      </w:r>
      <w:hyperlink r:id="rId1837" w:history="1">
        <w:r w:rsidR="00D104F2" w:rsidRPr="00774087">
          <w:rPr>
            <w:rStyle w:val="Hyperlink"/>
          </w:rPr>
          <w: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w:t>
        </w:r>
      </w:hyperlink>
      <w:r w:rsidR="00D104F2">
        <w:t xml:space="preserve"> </w:t>
      </w:r>
    </w:p>
    <w:p w14:paraId="52119EE6" w14:textId="17AF1E5B" w:rsidR="00A34683" w:rsidRDefault="00A34683" w:rsidP="00A34683"/>
    <w:p w14:paraId="0909C901" w14:textId="77777777" w:rsidR="00A34683" w:rsidRPr="00FF6498" w:rsidRDefault="00A34683" w:rsidP="00A34683">
      <w:pPr>
        <w:rPr>
          <w:b/>
          <w:bCs/>
        </w:rPr>
      </w:pPr>
      <w:r w:rsidRPr="00FF6498">
        <w:rPr>
          <w:b/>
        </w:rPr>
        <w:t>THE COURT HELD:</w:t>
      </w:r>
    </w:p>
    <w:p w14:paraId="5770F0F8" w14:textId="77777777" w:rsidR="00A34683" w:rsidRDefault="00A34683" w:rsidP="00A34683">
      <w:pPr>
        <w:pStyle w:val="NoSpacing"/>
        <w:ind w:left="720"/>
      </w:pPr>
      <w:r>
        <w:t>“</w:t>
      </w:r>
      <w:r w:rsidRPr="002321AE">
        <w:t xml:space="preserve">The </w:t>
      </w:r>
      <w:r>
        <w:t xml:space="preserve">[Last Chance] </w:t>
      </w:r>
      <w:r w:rsidRPr="002321AE">
        <w:t xml:space="preserve">Agreement provides: </w:t>
      </w:r>
      <w:r>
        <w:t>‘</w:t>
      </w:r>
      <w:r w:rsidRPr="002321AE">
        <w:t>WHEREAS, Thomas F. Eccleston has issues with alcohol abuse and domestic violence; WHEREAS, the parties wish to enter into this stipulated agreement, in lieu of Thomas F. Eccleston's termination, setting forth the terms and conditions of Thomas F. Eccleston's continued employment with the City; and WHEREAS, Thomas F. Eccleston accepts responsibility for the issues and acknowledges the need for immediate improvement.</w:t>
      </w:r>
      <w:r>
        <w:t xml:space="preserve">’ … </w:t>
      </w:r>
      <w:r w:rsidRPr="002321AE">
        <w:t xml:space="preserve">The condition relevant to this case is that the plaintiff agreed that he may be subject to immediate termination </w:t>
      </w:r>
      <w:r>
        <w:t>‘</w:t>
      </w:r>
      <w:r w:rsidRPr="002321AE">
        <w:t>[</w:t>
      </w:r>
      <w:proofErr w:type="spellStart"/>
      <w:r w:rsidRPr="002321AE">
        <w:t>i</w:t>
      </w:r>
      <w:proofErr w:type="spellEnd"/>
      <w:r w:rsidRPr="002321AE">
        <w:t>]f Thomas F. Eccleston tests positive for alcohol (at the level of 0.04 or above) or a controlled substance.</w:t>
      </w:r>
      <w:r>
        <w:t>’</w:t>
      </w:r>
    </w:p>
    <w:p w14:paraId="22D9507C" w14:textId="77777777" w:rsidR="00A34683" w:rsidRDefault="00A34683" w:rsidP="00A34683">
      <w:pPr>
        <w:pStyle w:val="NoSpacing"/>
        <w:ind w:left="720"/>
      </w:pPr>
    </w:p>
    <w:p w14:paraId="05F1583A" w14:textId="77777777" w:rsidR="00A34683" w:rsidRDefault="00A34683" w:rsidP="00A34683">
      <w:pPr>
        <w:pStyle w:val="NoSpacing"/>
        <w:ind w:left="720"/>
      </w:pPr>
      <w:r>
        <w:t>***</w:t>
      </w:r>
    </w:p>
    <w:p w14:paraId="16D25EDF" w14:textId="77777777" w:rsidR="00A34683" w:rsidRDefault="00A34683" w:rsidP="00A34683">
      <w:pPr>
        <w:pStyle w:val="NoSpacing"/>
        <w:ind w:left="720"/>
      </w:pPr>
      <w:r w:rsidRPr="008036C4">
        <w:t>This can only mean that the plaintiff waived his rights under PUMA.</w:t>
      </w:r>
      <w:r>
        <w:t xml:space="preserve"> </w:t>
      </w:r>
      <w:r w:rsidRPr="00DC3909">
        <w:t>His agreement to waive his rights under PUMA did not run contrary to state law because the sound reasons for prohibiting the use of marijuana under the circumstances leave no room, without more, for the claim that the plaintiff's status as a qualifying patient was the sole reason for discharge pursuant to the Agreement. The plaintiff contractually agreed that he could be terminated for testing positive for the use of marijuana. He did so to save himself for other alleged and cumulative misconduct including substance abuse. Having done so, he cannot now invoke the statutory protections of PUMA which he effectively surrendered.</w:t>
      </w:r>
      <w:r>
        <w:t>”</w:t>
      </w:r>
      <w:r w:rsidRPr="00D8111A">
        <w:t xml:space="preserve"> </w:t>
      </w:r>
      <w:hyperlink r:id="rId1838" w:history="1">
        <w:r w:rsidRPr="00774087">
          <w:rPr>
            <w:rStyle w:val="Hyperlink"/>
          </w:rPr>
          <w:t>https://public.fastcase.com/jaEE2PXzRXmZ99jOLMt1It2Tjmgxo5hSPIplN9zr2RKL3xaZLK1Vh5eTa9w8Wk8pfXZv57sP%2BSheWcKHfFgy9Ah5Ev5ZnvIAKgdp6Yn%2FiQI%3D?utm_medium=email&amp;_hsenc=p2ANqtz-_xr08pWLevFeFI8Ge2XvipIP7qRBaDeRzA2aeNOeAMxf3drkc7WBb-</w:t>
        </w:r>
        <w:r w:rsidRPr="00774087">
          <w:rPr>
            <w:rStyle w:val="Hyperlink"/>
          </w:rPr>
          <w:lastRenderedPageBreak/>
          <w:t>blscAE4MgKHVvRlF4GyH0W6s2eAyYhQEv9ZP9w&amp;_hsmi=226712652&amp;utm_content=226712652&amp;utm_source=hs_email</w:t>
        </w:r>
      </w:hyperlink>
      <w:r>
        <w:t xml:space="preserve"> </w:t>
      </w:r>
    </w:p>
    <w:p w14:paraId="1F8E5486" w14:textId="77777777" w:rsidR="00A34683" w:rsidRDefault="00A34683" w:rsidP="00A34683">
      <w:pPr>
        <w:pStyle w:val="NoSpacing"/>
        <w:ind w:left="720"/>
      </w:pPr>
    </w:p>
    <w:p w14:paraId="324D6568" w14:textId="77777777" w:rsidR="00A34683" w:rsidRDefault="00A34683" w:rsidP="00A34683">
      <w:pPr>
        <w:pStyle w:val="NoSpacing"/>
        <w:rPr>
          <w:b/>
          <w:bCs/>
        </w:rPr>
      </w:pPr>
      <w:r>
        <w:rPr>
          <w:b/>
        </w:rPr>
        <w:t xml:space="preserve">KEY FACTS: </w:t>
      </w:r>
    </w:p>
    <w:p w14:paraId="5E38209E" w14:textId="77777777" w:rsidR="00A34683" w:rsidRDefault="00A34683" w:rsidP="00A34683">
      <w:pPr>
        <w:pStyle w:val="NoSpacing"/>
        <w:rPr>
          <w:b/>
          <w:bCs/>
        </w:rPr>
      </w:pPr>
    </w:p>
    <w:p w14:paraId="2A48456F" w14:textId="77777777" w:rsidR="00A34683" w:rsidRDefault="00A34683" w:rsidP="00A34683">
      <w:pPr>
        <w:pStyle w:val="NoSpacing"/>
        <w:ind w:left="720"/>
      </w:pPr>
      <w:r>
        <w:rPr>
          <w:b/>
        </w:rPr>
        <w:t>“</w:t>
      </w:r>
      <w:r w:rsidRPr="00C30B72">
        <w:t xml:space="preserve">The plaintiff obtained a medical marijuana card on March 6, 2018. During a random drug test on March 20, 2018, the plaintiff tested positive for marijuana. On March 30, 2018, Dr. Leela </w:t>
      </w:r>
      <w:proofErr w:type="spellStart"/>
      <w:r w:rsidRPr="00C30B72">
        <w:t>Panoor</w:t>
      </w:r>
      <w:proofErr w:type="spellEnd"/>
      <w:r w:rsidRPr="00C30B72">
        <w:t xml:space="preserve"> declared him fit for duty. On April 23, 2018, the plaintiff was terminated. The parties stipulated that the plaintiff obtained a valid medical marijuana card under PUMA, but the plaintiff did not tell his employer that he had the card until after he tested positive for marijuana and before he was terminated.</w:t>
      </w:r>
    </w:p>
    <w:p w14:paraId="319C8CB7" w14:textId="77777777" w:rsidR="00A34683" w:rsidRDefault="00A34683" w:rsidP="00A34683">
      <w:pPr>
        <w:pStyle w:val="NoSpacing"/>
        <w:ind w:left="720"/>
      </w:pPr>
    </w:p>
    <w:p w14:paraId="5DCF16B4" w14:textId="77777777" w:rsidR="00A34683" w:rsidRDefault="00A34683" w:rsidP="00A34683">
      <w:pPr>
        <w:pStyle w:val="NoSpacing"/>
        <w:ind w:left="720"/>
      </w:pPr>
      <w:r>
        <w:t>***</w:t>
      </w:r>
    </w:p>
    <w:p w14:paraId="6CA6E981" w14:textId="77777777" w:rsidR="00A34683" w:rsidRDefault="00A34683" w:rsidP="00A34683">
      <w:pPr>
        <w:pStyle w:val="NoSpacing"/>
      </w:pPr>
    </w:p>
    <w:p w14:paraId="5A58EC34" w14:textId="77777777" w:rsidR="00A34683" w:rsidRDefault="00A34683" w:rsidP="00A34683">
      <w:pPr>
        <w:pStyle w:val="NoSpacing"/>
        <w:ind w:left="720"/>
        <w:rPr>
          <w:vertAlign w:val="superscript"/>
        </w:rPr>
      </w:pPr>
      <w:r w:rsidRPr="00416AA3">
        <w:t xml:space="preserve">The plaintiff testified, and the court takes as true for the purpose of this motion, that he was diagnosed with PTSD on September 20, 2017. His doctor recommended medical marijuana as a treatment. He obtained two additional opinions. He talked to his crew about taking marijuana for medical treatment. He subsequently received all state law requirements necessary to obtain prescribed marijuana for the treatment of his PTSD on March 6, 2018. He took measures to prevent the possibility of being under the influence at work by not taking the prescribed marijuana the day before or the day of work. As an added measure, he asked his immediate supervisor to keep an eye on him because </w:t>
      </w:r>
      <w:r>
        <w:t>‘</w:t>
      </w:r>
      <w:r w:rsidRPr="00416AA3">
        <w:t>if he was under the influence, how would he know?</w:t>
      </w:r>
      <w:r>
        <w:t>’</w:t>
      </w:r>
      <w:r w:rsidRPr="00416AA3">
        <w:t xml:space="preserve"> Testimony, Thomas Eccleston, 2/20/25. He was not accused of being under the influence at work, nor was he accused of taking marijuana during work hours. The plaintiff testified that it was his understanding that if one ingested marijuana, one could test positive for it up to 30 days later. The plaintiff challenged his termination through administrative processes available to him. He was unsuccessful in his challenge and the termination was upheld. When he appealed the administrative decision upholding his termination to court, the case was dismissed because the union named the wrong party.</w:t>
      </w:r>
      <w:r>
        <w:rPr>
          <w:vertAlign w:val="superscript"/>
        </w:rPr>
        <w:t>”</w:t>
      </w:r>
    </w:p>
    <w:p w14:paraId="206A67ED" w14:textId="77777777" w:rsidR="00A34683" w:rsidRDefault="00A34683" w:rsidP="00A34683">
      <w:pPr>
        <w:pStyle w:val="NoSpacing"/>
        <w:ind w:left="720"/>
        <w:rPr>
          <w:vertAlign w:val="superscript"/>
        </w:rPr>
      </w:pPr>
    </w:p>
    <w:p w14:paraId="2D21AB31" w14:textId="77777777" w:rsidR="00A34683" w:rsidRPr="00416AA3" w:rsidRDefault="00A34683" w:rsidP="00A34683">
      <w:pPr>
        <w:pStyle w:val="NoSpacing"/>
      </w:pPr>
      <w:r>
        <w:rPr>
          <w:b/>
        </w:rPr>
        <w:t xml:space="preserve">Legal lesson learned: The firefighter might have avoided termination if he informed the fire department of his medical condition and need for prescribed marijuana, and they worked out a reasonable accommodation plan (including no use of marijuana for specific </w:t>
      </w:r>
      <w:proofErr w:type="gramStart"/>
      <w:r>
        <w:rPr>
          <w:b/>
        </w:rPr>
        <w:t>period of time</w:t>
      </w:r>
      <w:proofErr w:type="gramEnd"/>
      <w:r>
        <w:rPr>
          <w:b/>
        </w:rPr>
        <w:t xml:space="preserve"> before reporting for duty). </w:t>
      </w:r>
    </w:p>
    <w:p w14:paraId="7FB14433" w14:textId="77777777" w:rsidR="00A34683" w:rsidRDefault="00A34683" w:rsidP="00A34683">
      <w:pPr>
        <w:pStyle w:val="NoSpacing"/>
        <w:rPr>
          <w:b/>
          <w:bCs/>
        </w:rPr>
      </w:pPr>
    </w:p>
    <w:p w14:paraId="4E924AB8" w14:textId="77777777" w:rsidR="00A34683" w:rsidRPr="00914A87" w:rsidRDefault="00A34683" w:rsidP="00A34683">
      <w:pPr>
        <w:pStyle w:val="NoSpacing"/>
        <w:ind w:left="720"/>
      </w:pPr>
      <w:r w:rsidRPr="00914A87">
        <w:t xml:space="preserve">Note: See this article, “Medical Marijuana and Firefighters: Creating a Medical Marijuana Use Policy” Dec. 15, 2022; </w:t>
      </w:r>
      <w:hyperlink r:id="rId1839" w:history="1">
        <w:r w:rsidRPr="00914A87">
          <w:rPr>
            <w:rStyle w:val="Hyperlink"/>
          </w:rPr>
          <w:t>https://www.fireengineering.com/firefighting/medical-marijuana-and-firefighters-creating-a-medical-marijuana-use-policy/</w:t>
        </w:r>
      </w:hyperlink>
      <w:r w:rsidRPr="00914A87">
        <w:t xml:space="preserve"> </w:t>
      </w:r>
    </w:p>
    <w:p w14:paraId="2BC08EF6" w14:textId="77777777" w:rsidR="00A34683" w:rsidRDefault="00A34683" w:rsidP="00800ACD">
      <w:pPr>
        <w:rPr>
          <w:rFonts w:ascii="Arial Black" w:hAnsi="Arial Black"/>
          <w:b/>
          <w:sz w:val="24"/>
          <w:szCs w:val="24"/>
        </w:rPr>
      </w:pPr>
    </w:p>
    <w:p w14:paraId="57FA10FE" w14:textId="77777777" w:rsidR="008E743B" w:rsidRDefault="008E743B" w:rsidP="00800ACD">
      <w:pPr>
        <w:rPr>
          <w:rFonts w:ascii="Arial Black" w:hAnsi="Arial Black"/>
          <w:b/>
          <w:sz w:val="24"/>
          <w:szCs w:val="24"/>
        </w:rPr>
      </w:pPr>
    </w:p>
    <w:p w14:paraId="67DDF5FB" w14:textId="7E2E798D" w:rsidR="00800ACD" w:rsidRDefault="00800ACD" w:rsidP="00800ACD">
      <w:pPr>
        <w:rPr>
          <w:rFonts w:ascii="Arial Black" w:hAnsi="Arial Black"/>
          <w:b/>
          <w:sz w:val="24"/>
          <w:szCs w:val="24"/>
        </w:rPr>
      </w:pPr>
      <w:r>
        <w:rPr>
          <w:rFonts w:ascii="Arial Black" w:hAnsi="Arial Black"/>
          <w:b/>
          <w:sz w:val="24"/>
          <w:szCs w:val="24"/>
        </w:rPr>
        <w:t>12-33</w:t>
      </w:r>
    </w:p>
    <w:p w14:paraId="12FDA850" w14:textId="695C5977" w:rsidR="00985434" w:rsidRPr="00C707AE" w:rsidRDefault="00985434" w:rsidP="00985434">
      <w:pPr>
        <w:pStyle w:val="NoSpacing"/>
        <w:rPr>
          <w:rFonts w:ascii="Arial Black" w:hAnsi="Arial Black"/>
          <w:sz w:val="28"/>
          <w:szCs w:val="28"/>
        </w:rPr>
      </w:pPr>
      <w:r>
        <w:rPr>
          <w:rFonts w:ascii="Arial Black" w:hAnsi="Arial Black"/>
          <w:sz w:val="28"/>
          <w:szCs w:val="28"/>
        </w:rPr>
        <w:t xml:space="preserve">LA: AMBULANCE DAMAGED – DRUG TEST - COCAINE / METH </w:t>
      </w:r>
      <w:r w:rsidR="006D37B6">
        <w:rPr>
          <w:rFonts w:ascii="Arial Black" w:hAnsi="Arial Black"/>
          <w:sz w:val="28"/>
          <w:szCs w:val="28"/>
        </w:rPr>
        <w:t>- FIRED</w:t>
      </w:r>
    </w:p>
    <w:p w14:paraId="282EBF35" w14:textId="77777777" w:rsidR="00985434" w:rsidRDefault="00985434" w:rsidP="00985434">
      <w:pPr>
        <w:pStyle w:val="NoSpacing"/>
      </w:pPr>
    </w:p>
    <w:p w14:paraId="246A2C4C" w14:textId="77777777" w:rsidR="00985434" w:rsidRPr="00826327" w:rsidRDefault="00985434" w:rsidP="00985434">
      <w:pPr>
        <w:rPr>
          <w:rFonts w:ascii="Times New Roman" w:hAnsi="Times New Roman"/>
          <w:sz w:val="24"/>
          <w:szCs w:val="24"/>
        </w:rPr>
      </w:pPr>
      <w:r w:rsidRPr="00826327">
        <w:rPr>
          <w:rFonts w:ascii="Times New Roman" w:hAnsi="Times New Roman"/>
          <w:sz w:val="24"/>
          <w:szCs w:val="24"/>
        </w:rPr>
        <w:t xml:space="preserve">On June 13, 2025, </w:t>
      </w:r>
      <w:r w:rsidRPr="00826327">
        <w:rPr>
          <w:rFonts w:ascii="Times New Roman" w:hAnsi="Times New Roman"/>
          <w:sz w:val="24"/>
          <w:szCs w:val="24"/>
          <w:u w:val="single"/>
        </w:rPr>
        <w:t>in Benjamin Woods v. City of Baton Rouge, through the Department of Emergency Medical Services</w:t>
      </w:r>
      <w:r w:rsidRPr="00826327">
        <w:rPr>
          <w:rFonts w:ascii="Times New Roman" w:hAnsi="Times New Roman"/>
          <w:sz w:val="24"/>
          <w:szCs w:val="24"/>
        </w:rPr>
        <w:t xml:space="preserve">, the Court of Appeals of Louisiana, First Circuit held (3 to 0) that the Paramedic was properly fired by the Department and the City Personnel Board – tested positive for meth and cocaine after telling supervisor had no knowledge of how the ambulance he was driving was damaged. The Court reversed the trial court, which found that the administration of the drug test to Mr. Woods was unreasonable ($2,060 in damage in ambulance; “serious incident” was $2,500 or more damage).  The Court of Appeals found that management had “reasonable suspicion” to drug test, not because of the amount of damage, but because the Paramedic transporting a patient non-emergency to hospital on July 5, </w:t>
      </w:r>
      <w:proofErr w:type="gramStart"/>
      <w:r w:rsidRPr="00826327">
        <w:rPr>
          <w:rFonts w:ascii="Times New Roman" w:hAnsi="Times New Roman"/>
          <w:sz w:val="24"/>
          <w:szCs w:val="24"/>
        </w:rPr>
        <w:t>2018</w:t>
      </w:r>
      <w:proofErr w:type="gramEnd"/>
      <w:r w:rsidRPr="00826327">
        <w:rPr>
          <w:rFonts w:ascii="Times New Roman" w:hAnsi="Times New Roman"/>
          <w:sz w:val="24"/>
          <w:szCs w:val="24"/>
        </w:rPr>
        <w:t xml:space="preserve">  did not immediately stop when he reportedly felt a bump and heard a “pop.” He didn’t immediately inspect the ambulance for damage, initially denied any knowledge of damages, </w:t>
      </w:r>
      <w:r w:rsidRPr="00826327">
        <w:rPr>
          <w:rFonts w:ascii="Times New Roman" w:hAnsi="Times New Roman"/>
          <w:sz w:val="24"/>
          <w:szCs w:val="24"/>
        </w:rPr>
        <w:lastRenderedPageBreak/>
        <w:t xml:space="preserve">and had no explanation for how “one and a half to two feet of rub rail broke off.”  THE COURT HELD: “We find these circumstances sufficient to support a reasonable suspicion that the Mr. Wood' s behavior indicated that he may have been under the influence of drugs or alcohol while working for the City/Parish such that the administration of a drug test was reasonable and warranted.” </w:t>
      </w:r>
      <w:hyperlink r:id="rId1840" w:history="1">
        <w:r w:rsidRPr="00826327">
          <w:rPr>
            <w:rStyle w:val="Hyperlink"/>
            <w:rFonts w:ascii="Times New Roman" w:hAnsi="Times New Roman"/>
            <w:sz w:val="24"/>
            <w:szCs w:val="24"/>
          </w:rPr>
          <w:t>https://cases.justia.com/louisiana/first-circuit-court-of-appeal/2025-2023ca0459.pdf?ts=1749828408</w:t>
        </w:r>
      </w:hyperlink>
      <w:r w:rsidRPr="00826327">
        <w:rPr>
          <w:rFonts w:ascii="Times New Roman" w:hAnsi="Times New Roman"/>
          <w:sz w:val="24"/>
          <w:szCs w:val="24"/>
        </w:rPr>
        <w:t xml:space="preserve"> </w:t>
      </w:r>
    </w:p>
    <w:p w14:paraId="4AC7CBF3" w14:textId="77777777" w:rsidR="00826327" w:rsidRPr="00826327" w:rsidRDefault="00826327" w:rsidP="00826327">
      <w:pPr>
        <w:rPr>
          <w:rFonts w:ascii="Times New Roman" w:hAnsi="Times New Roman"/>
          <w:b/>
          <w:bCs/>
          <w:sz w:val="24"/>
          <w:szCs w:val="24"/>
        </w:rPr>
      </w:pPr>
      <w:r w:rsidRPr="00826327">
        <w:rPr>
          <w:rFonts w:ascii="Times New Roman" w:hAnsi="Times New Roman"/>
          <w:b/>
          <w:sz w:val="24"/>
          <w:szCs w:val="24"/>
        </w:rPr>
        <w:t xml:space="preserve">Legal lesson learned:  “Reasonable suspicion” includes questionable responses by ambulance driver concerning how ambulance was seriously damaged. </w:t>
      </w:r>
    </w:p>
    <w:p w14:paraId="136B016B" w14:textId="77777777" w:rsidR="00020106" w:rsidRDefault="00020106" w:rsidP="00F326E5">
      <w:pPr>
        <w:rPr>
          <w:rFonts w:ascii="Arial Black" w:hAnsi="Arial Black"/>
          <w:b/>
          <w:sz w:val="24"/>
          <w:szCs w:val="24"/>
        </w:rPr>
      </w:pPr>
    </w:p>
    <w:p w14:paraId="2286877B" w14:textId="6721B6B4" w:rsidR="00707821" w:rsidRDefault="00707821" w:rsidP="00F326E5">
      <w:pPr>
        <w:rPr>
          <w:rFonts w:ascii="Arial Black" w:hAnsi="Arial Black"/>
          <w:b/>
          <w:sz w:val="24"/>
          <w:szCs w:val="24"/>
        </w:rPr>
      </w:pPr>
      <w:r>
        <w:rPr>
          <w:rFonts w:ascii="Arial Black" w:hAnsi="Arial Black"/>
          <w:b/>
          <w:sz w:val="24"/>
          <w:szCs w:val="24"/>
        </w:rPr>
        <w:t>12-32</w:t>
      </w:r>
    </w:p>
    <w:p w14:paraId="244AD6AC" w14:textId="5D4CF884" w:rsidR="00707821" w:rsidRPr="009B58E5" w:rsidRDefault="00707821" w:rsidP="00707821">
      <w:pPr>
        <w:pStyle w:val="NoSpacing"/>
        <w:rPr>
          <w:rFonts w:ascii="Arial Black" w:hAnsi="Arial Black"/>
          <w:b/>
          <w:sz w:val="28"/>
          <w:szCs w:val="28"/>
        </w:rPr>
      </w:pPr>
      <w:r>
        <w:rPr>
          <w:rFonts w:ascii="Arial Black" w:hAnsi="Arial Black"/>
          <w:b/>
          <w:sz w:val="28"/>
          <w:szCs w:val="28"/>
        </w:rPr>
        <w:t xml:space="preserve">AL: FLIGHT RN - TAMPERED KETAMINE – </w:t>
      </w:r>
      <w:r w:rsidR="0017434A">
        <w:rPr>
          <w:rFonts w:ascii="Arial Black" w:hAnsi="Arial Black"/>
          <w:b/>
          <w:sz w:val="28"/>
          <w:szCs w:val="28"/>
        </w:rPr>
        <w:t>ONE YR FEDERAL PRISON</w:t>
      </w:r>
    </w:p>
    <w:p w14:paraId="661A44EC" w14:textId="77777777" w:rsidR="00707821" w:rsidRDefault="00707821" w:rsidP="00707821">
      <w:pPr>
        <w:pStyle w:val="NoSpacing"/>
        <w:rPr>
          <w:b/>
        </w:rPr>
      </w:pPr>
    </w:p>
    <w:p w14:paraId="18D2F3AB" w14:textId="77777777" w:rsidR="00707821" w:rsidRPr="00F065F7" w:rsidRDefault="00707821" w:rsidP="00707821">
      <w:pPr>
        <w:pStyle w:val="NoSpacing"/>
        <w:rPr>
          <w:rFonts w:ascii="Times New Roman" w:hAnsi="Times New Roman"/>
          <w:bCs/>
          <w:sz w:val="24"/>
          <w:szCs w:val="24"/>
        </w:rPr>
      </w:pPr>
      <w:r w:rsidRPr="00F065F7">
        <w:rPr>
          <w:rFonts w:ascii="Times New Roman" w:hAnsi="Times New Roman"/>
          <w:sz w:val="24"/>
          <w:szCs w:val="24"/>
        </w:rPr>
        <w:t xml:space="preserve">On March 21, 2025, </w:t>
      </w:r>
      <w:proofErr w:type="gramStart"/>
      <w:r w:rsidRPr="00F065F7">
        <w:rPr>
          <w:rFonts w:ascii="Times New Roman" w:hAnsi="Times New Roman"/>
          <w:sz w:val="24"/>
          <w:szCs w:val="24"/>
        </w:rPr>
        <w:t>in</w:t>
      </w:r>
      <w:proofErr w:type="gramEnd"/>
      <w:r w:rsidRPr="00F065F7">
        <w:rPr>
          <w:rFonts w:ascii="Times New Roman" w:hAnsi="Times New Roman"/>
          <w:sz w:val="24"/>
          <w:szCs w:val="24"/>
        </w:rPr>
        <w:t xml:space="preserve"> </w:t>
      </w:r>
      <w:r w:rsidRPr="00F065F7">
        <w:rPr>
          <w:rFonts w:ascii="Times New Roman" w:hAnsi="Times New Roman"/>
          <w:sz w:val="24"/>
          <w:szCs w:val="24"/>
          <w:u w:val="single"/>
        </w:rPr>
        <w:t xml:space="preserve">Ex </w:t>
      </w:r>
      <w:proofErr w:type="spellStart"/>
      <w:r w:rsidRPr="00F065F7">
        <w:rPr>
          <w:rFonts w:ascii="Times New Roman" w:hAnsi="Times New Roman"/>
          <w:sz w:val="24"/>
          <w:szCs w:val="24"/>
          <w:u w:val="single"/>
        </w:rPr>
        <w:t>parte</w:t>
      </w:r>
      <w:proofErr w:type="spellEnd"/>
      <w:r w:rsidRPr="00F065F7">
        <w:rPr>
          <w:rFonts w:ascii="Times New Roman" w:hAnsi="Times New Roman"/>
          <w:sz w:val="24"/>
          <w:szCs w:val="24"/>
          <w:u w:val="single"/>
        </w:rPr>
        <w:t xml:space="preserve"> Air Evac EMS, Inc. (In re: Ernest Charles Jones, by and through Ovetta Jones, as spouse and next friend) v. Bryan Heath Webster, et al.</w:t>
      </w:r>
      <w:r w:rsidRPr="00F065F7">
        <w:rPr>
          <w:rFonts w:ascii="Times New Roman" w:hAnsi="Times New Roman"/>
          <w:sz w:val="24"/>
          <w:szCs w:val="24"/>
        </w:rPr>
        <w:t xml:space="preserve">, the Supreme Court of Alabama held (7 to 0) that Air Evac’s motion for summary judgment on plaintiff’s amended complaint should have been granted; it was filed 6 years after the patient’s transport on Aug. 18, 2018 (well beyond the two-year statute of limitation) and dealt with flight nurse tampering with two vials of ketamine the day prior to the transport. The flight nurse, Bryan Heath Wester, pled guilty and was sentenced on Aug. 5, </w:t>
      </w:r>
      <w:proofErr w:type="gramStart"/>
      <w:r w:rsidRPr="00F065F7">
        <w:rPr>
          <w:rFonts w:ascii="Times New Roman" w:hAnsi="Times New Roman"/>
          <w:sz w:val="24"/>
          <w:szCs w:val="24"/>
        </w:rPr>
        <w:t>2019</w:t>
      </w:r>
      <w:proofErr w:type="gramEnd"/>
      <w:r w:rsidRPr="00F065F7">
        <w:rPr>
          <w:rFonts w:ascii="Times New Roman" w:hAnsi="Times New Roman"/>
          <w:sz w:val="24"/>
          <w:szCs w:val="24"/>
        </w:rPr>
        <w:t xml:space="preserve"> </w:t>
      </w:r>
      <w:proofErr w:type="gramStart"/>
      <w:r w:rsidRPr="00F065F7">
        <w:rPr>
          <w:rFonts w:ascii="Times New Roman" w:hAnsi="Times New Roman"/>
          <w:sz w:val="24"/>
          <w:szCs w:val="24"/>
        </w:rPr>
        <w:t>in</w:t>
      </w:r>
      <w:proofErr w:type="gramEnd"/>
      <w:r w:rsidRPr="00F065F7">
        <w:rPr>
          <w:rFonts w:ascii="Times New Roman" w:hAnsi="Times New Roman"/>
          <w:sz w:val="24"/>
          <w:szCs w:val="24"/>
        </w:rPr>
        <w:t xml:space="preserve"> federal court to one year in prison [see details in Note below]. “Because the Joneses’ amended complaint ‘clearly addresses conduct distinct in kind and in time from the conduct alleged in [their] original complaint,’ … and ‘listed several actions by [the defendants] that [the Joneses] alleged had breached the applicable standard of care owed to [Earnest] that were entirely different than some of the actions listed in the original complaint,’ their amended complaint cannot relate back to the filing of their initial complaint.” </w:t>
      </w:r>
      <w:hyperlink r:id="rId1841" w:history="1">
        <w:r w:rsidRPr="00F065F7">
          <w:rPr>
            <w:rStyle w:val="Hyperlink"/>
            <w:rFonts w:ascii="Times New Roman" w:hAnsi="Times New Roman"/>
            <w:sz w:val="24"/>
            <w:szCs w:val="24"/>
          </w:rPr>
          <w:t>https://caselaw.findlaw.com/court/al-supreme-court/117080306.html</w:t>
        </w:r>
      </w:hyperlink>
      <w:r w:rsidRPr="00F065F7">
        <w:rPr>
          <w:rFonts w:ascii="Times New Roman" w:hAnsi="Times New Roman"/>
          <w:sz w:val="24"/>
          <w:szCs w:val="24"/>
        </w:rPr>
        <w:t xml:space="preserve"> </w:t>
      </w:r>
    </w:p>
    <w:p w14:paraId="0A1D6225" w14:textId="77777777" w:rsidR="00707821" w:rsidRPr="00F065F7" w:rsidRDefault="00707821" w:rsidP="00F326E5">
      <w:pPr>
        <w:rPr>
          <w:rFonts w:ascii="Times New Roman" w:hAnsi="Times New Roman"/>
          <w:b/>
          <w:sz w:val="24"/>
          <w:szCs w:val="24"/>
        </w:rPr>
      </w:pPr>
    </w:p>
    <w:p w14:paraId="67A00B31" w14:textId="77777777" w:rsidR="00012C74" w:rsidRPr="00F065F7" w:rsidRDefault="00012C74" w:rsidP="00012C74">
      <w:pPr>
        <w:pStyle w:val="NoSpacing"/>
        <w:rPr>
          <w:rFonts w:ascii="Times New Roman" w:hAnsi="Times New Roman"/>
          <w:b/>
          <w:bCs/>
          <w:sz w:val="24"/>
          <w:szCs w:val="24"/>
        </w:rPr>
      </w:pPr>
      <w:r w:rsidRPr="00F065F7">
        <w:rPr>
          <w:rFonts w:ascii="Times New Roman" w:hAnsi="Times New Roman"/>
          <w:b/>
          <w:sz w:val="24"/>
          <w:szCs w:val="24"/>
        </w:rPr>
        <w:t xml:space="preserve">Legal Lesson Learned: Read below details of how the tampering occurred; share with your </w:t>
      </w:r>
      <w:proofErr w:type="gramStart"/>
      <w:r w:rsidRPr="00F065F7">
        <w:rPr>
          <w:rFonts w:ascii="Times New Roman" w:hAnsi="Times New Roman"/>
          <w:b/>
          <w:sz w:val="24"/>
          <w:szCs w:val="24"/>
        </w:rPr>
        <w:t>crews</w:t>
      </w:r>
      <w:proofErr w:type="gramEnd"/>
      <w:r w:rsidRPr="00F065F7">
        <w:rPr>
          <w:rFonts w:ascii="Times New Roman" w:hAnsi="Times New Roman"/>
          <w:b/>
          <w:sz w:val="24"/>
          <w:szCs w:val="24"/>
        </w:rPr>
        <w:t xml:space="preserve">. </w:t>
      </w:r>
    </w:p>
    <w:p w14:paraId="01DA3344" w14:textId="77777777" w:rsidR="00012C74" w:rsidRPr="00F065F7" w:rsidRDefault="00012C74" w:rsidP="00012C74">
      <w:pPr>
        <w:pStyle w:val="NoSpacing"/>
        <w:rPr>
          <w:rFonts w:ascii="Times New Roman" w:hAnsi="Times New Roman"/>
          <w:bCs/>
          <w:sz w:val="24"/>
          <w:szCs w:val="24"/>
        </w:rPr>
      </w:pPr>
    </w:p>
    <w:p w14:paraId="2AED70BA" w14:textId="77777777" w:rsidR="00012C74" w:rsidRPr="00F065F7" w:rsidRDefault="00012C74" w:rsidP="00012C74">
      <w:pPr>
        <w:pStyle w:val="NoSpacing"/>
        <w:rPr>
          <w:rFonts w:ascii="Times New Roman" w:hAnsi="Times New Roman"/>
          <w:bCs/>
          <w:sz w:val="24"/>
          <w:szCs w:val="24"/>
        </w:rPr>
      </w:pPr>
      <w:r w:rsidRPr="00F065F7">
        <w:rPr>
          <w:rFonts w:ascii="Times New Roman" w:hAnsi="Times New Roman"/>
          <w:sz w:val="24"/>
          <w:szCs w:val="24"/>
        </w:rPr>
        <w:tab/>
        <w:t>Note: Aug. 5, 2019: U.S. Department of Justice / Press Release.</w:t>
      </w:r>
    </w:p>
    <w:p w14:paraId="720A4BD0" w14:textId="77777777" w:rsidR="00012C74" w:rsidRPr="00F065F7" w:rsidRDefault="00012C74" w:rsidP="00012C74">
      <w:pPr>
        <w:pStyle w:val="NoSpacing"/>
        <w:rPr>
          <w:rFonts w:ascii="Times New Roman" w:hAnsi="Times New Roman"/>
          <w:bCs/>
          <w:sz w:val="24"/>
          <w:szCs w:val="24"/>
        </w:rPr>
      </w:pPr>
    </w:p>
    <w:p w14:paraId="100B5CE8"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Former Paramedic and Flight Nurse Receives One Year in Prison for Tampering with Ketamine Vials. </w:t>
      </w:r>
    </w:p>
    <w:p w14:paraId="1EF7EAF4" w14:textId="77777777" w:rsidR="00012C74" w:rsidRPr="00F065F7" w:rsidRDefault="00012C74" w:rsidP="00012C74">
      <w:pPr>
        <w:pStyle w:val="NoSpacing"/>
        <w:rPr>
          <w:rFonts w:ascii="Times New Roman" w:hAnsi="Times New Roman"/>
          <w:b/>
          <w:sz w:val="24"/>
          <w:szCs w:val="24"/>
        </w:rPr>
      </w:pPr>
    </w:p>
    <w:p w14:paraId="27FD4EBC"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United States Attorney Richard W. Moore of the Southern District of Alabama announces today that United States District Judge Jeffrey U. </w:t>
      </w:r>
      <w:proofErr w:type="spellStart"/>
      <w:r w:rsidRPr="00F065F7">
        <w:rPr>
          <w:rFonts w:ascii="Times New Roman" w:hAnsi="Times New Roman"/>
          <w:sz w:val="24"/>
          <w:szCs w:val="24"/>
        </w:rPr>
        <w:t>Beaverstock</w:t>
      </w:r>
      <w:proofErr w:type="spellEnd"/>
      <w:r w:rsidRPr="00F065F7">
        <w:rPr>
          <w:rFonts w:ascii="Times New Roman" w:hAnsi="Times New Roman"/>
          <w:sz w:val="24"/>
          <w:szCs w:val="24"/>
        </w:rPr>
        <w:t xml:space="preserve"> sentenced defendant Bryan Heath Wester, 43, a resident of Springville, Alabama, to imprisonment for 12 months and one day for tampering with a consumer product. As part of the sentence, the judge ordered that Wester undergo three years of supervised release after finishing his term of imprisonment, pay a $100 mandatory special assessment, receive substance abuse and mental health treatment as directed by the U.S. Probation Office, and pay restitution totaling $511.48 to a patient-victim in the case.</w:t>
      </w:r>
    </w:p>
    <w:p w14:paraId="3BC24FB3" w14:textId="77777777" w:rsidR="00012C74" w:rsidRPr="00F065F7" w:rsidRDefault="00012C74" w:rsidP="00012C74">
      <w:pPr>
        <w:pStyle w:val="NoSpacing"/>
        <w:rPr>
          <w:rFonts w:ascii="Times New Roman" w:hAnsi="Times New Roman"/>
          <w:b/>
          <w:sz w:val="24"/>
          <w:szCs w:val="24"/>
        </w:rPr>
      </w:pPr>
    </w:p>
    <w:p w14:paraId="287851DB" w14:textId="77777777" w:rsidR="00012C74" w:rsidRPr="00F065F7" w:rsidRDefault="00012C74" w:rsidP="00012C74">
      <w:pPr>
        <w:pStyle w:val="NoSpacing"/>
        <w:ind w:firstLine="720"/>
        <w:rPr>
          <w:rFonts w:ascii="Times New Roman" w:hAnsi="Times New Roman"/>
          <w:b/>
          <w:sz w:val="24"/>
          <w:szCs w:val="24"/>
        </w:rPr>
      </w:pPr>
      <w:r w:rsidRPr="00F065F7">
        <w:rPr>
          <w:rFonts w:ascii="Times New Roman" w:hAnsi="Times New Roman"/>
          <w:b/>
          <w:sz w:val="24"/>
          <w:szCs w:val="24"/>
        </w:rPr>
        <w:t>***</w:t>
      </w:r>
    </w:p>
    <w:p w14:paraId="2AE91181" w14:textId="77777777" w:rsidR="00012C74" w:rsidRPr="00F065F7" w:rsidRDefault="00012C74" w:rsidP="00012C74">
      <w:pPr>
        <w:pStyle w:val="NoSpacing"/>
        <w:rPr>
          <w:rFonts w:ascii="Times New Roman" w:hAnsi="Times New Roman"/>
          <w:b/>
          <w:sz w:val="24"/>
          <w:szCs w:val="24"/>
        </w:rPr>
      </w:pPr>
    </w:p>
    <w:p w14:paraId="4A515EA0"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Wester </w:t>
      </w:r>
      <w:proofErr w:type="gramStart"/>
      <w:r w:rsidRPr="00F065F7">
        <w:rPr>
          <w:rFonts w:ascii="Times New Roman" w:hAnsi="Times New Roman"/>
          <w:sz w:val="24"/>
          <w:szCs w:val="24"/>
        </w:rPr>
        <w:t>admitted to</w:t>
      </w:r>
      <w:proofErr w:type="gramEnd"/>
      <w:r w:rsidRPr="00F065F7">
        <w:rPr>
          <w:rFonts w:ascii="Times New Roman" w:hAnsi="Times New Roman"/>
          <w:sz w:val="24"/>
          <w:szCs w:val="24"/>
        </w:rPr>
        <w:t xml:space="preserve"> the following facts at his plea hearing. He was previously a licensed nurse and a paramedic who worked for an air ambulance service in Demopolis, Alabama. On August 26, 2018, Wester, with reckless disregard for the risk that another person would be placed in danger of death and bodily injury, and under circumstances manifesting extreme indifference to such risk, tampered with ketamine hydrochloride (ketamine), a consumer product that was manufactured outside of Alabama and affected interstate commerce. Wester accessed the controlled substances box inside a locked safe located on board an emergency helicopter, removed ketamine from two vials, and replaced the removed </w:t>
      </w:r>
      <w:r w:rsidRPr="00F065F7">
        <w:rPr>
          <w:rFonts w:ascii="Times New Roman" w:hAnsi="Times New Roman"/>
          <w:sz w:val="24"/>
          <w:szCs w:val="24"/>
        </w:rPr>
        <w:lastRenderedPageBreak/>
        <w:t xml:space="preserve">ketamine with saline, knowing that the ketamine was intended to be administered via injection to critically ill and injured patients being transported by helicopter for emergency treatment. </w:t>
      </w:r>
    </w:p>
    <w:p w14:paraId="2EA7F505" w14:textId="77777777" w:rsidR="00012C74" w:rsidRPr="00F065F7" w:rsidRDefault="00012C74" w:rsidP="00012C74">
      <w:pPr>
        <w:pStyle w:val="NoSpacing"/>
        <w:rPr>
          <w:rFonts w:ascii="Times New Roman" w:hAnsi="Times New Roman"/>
          <w:bCs/>
          <w:sz w:val="24"/>
          <w:szCs w:val="24"/>
        </w:rPr>
      </w:pPr>
    </w:p>
    <w:p w14:paraId="7C6F92EF"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On August 27, 2018, a critically injured patient required air transport to Mobile, Alabama. The patient had been run over by a cow and suffered head trauma and loss of consciousness. The on-board nurse attempted to administer ketamine. The vial appeared to have a blue glue on the cap. When the needle was inserted, the vial did not appear to be vacuum sealed. The nurse administered the </w:t>
      </w:r>
      <w:proofErr w:type="gramStart"/>
      <w:r w:rsidRPr="00F065F7">
        <w:rPr>
          <w:rFonts w:ascii="Times New Roman" w:hAnsi="Times New Roman"/>
          <w:sz w:val="24"/>
          <w:szCs w:val="24"/>
        </w:rPr>
        <w:t>dose</w:t>
      </w:r>
      <w:proofErr w:type="gramEnd"/>
      <w:r w:rsidRPr="00F065F7">
        <w:rPr>
          <w:rFonts w:ascii="Times New Roman" w:hAnsi="Times New Roman"/>
          <w:sz w:val="24"/>
          <w:szCs w:val="24"/>
        </w:rPr>
        <w:t xml:space="preserve"> but it did not have the anticipated effect. The nurse then obtained a second vial of ketamine and found that the cap had been glued on. </w:t>
      </w:r>
    </w:p>
    <w:p w14:paraId="5F64DE06" w14:textId="77777777" w:rsidR="00012C74" w:rsidRPr="00F065F7" w:rsidRDefault="00012C74" w:rsidP="00012C74">
      <w:pPr>
        <w:pStyle w:val="NoSpacing"/>
        <w:rPr>
          <w:rFonts w:ascii="Times New Roman" w:hAnsi="Times New Roman"/>
          <w:bCs/>
          <w:sz w:val="24"/>
          <w:szCs w:val="24"/>
        </w:rPr>
      </w:pPr>
    </w:p>
    <w:p w14:paraId="3BA6681E"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On August 30, 2018, a special agent with the Food and Drug Administration (FDA)’s Office of Criminal Investigations interviewed Wester, who admitted to removing ketamine from two vials on August 26. According to his statements, around midday on August 26 Wester asked another nurse on duty for the nurse’s set of keys to the locked narcotics on the helicopter, telling the other nurse that he would do the equipment check. The nurse gave Wester the keys. Wester opened the safe and did not lock one side back. The two-key lock system allowed Wester to return later with his own keys and access the safe. Later that evening, Wester went out to the helicopter, withdrew the ketamine from two vials, and replaced it with saline. Wester re-glued the tops of the vials with </w:t>
      </w:r>
      <w:proofErr w:type="spellStart"/>
      <w:r w:rsidRPr="00F065F7">
        <w:rPr>
          <w:rFonts w:ascii="Times New Roman" w:hAnsi="Times New Roman"/>
          <w:sz w:val="24"/>
          <w:szCs w:val="24"/>
        </w:rPr>
        <w:t>dermabond</w:t>
      </w:r>
      <w:proofErr w:type="spellEnd"/>
      <w:r w:rsidRPr="00F065F7">
        <w:rPr>
          <w:rFonts w:ascii="Times New Roman" w:hAnsi="Times New Roman"/>
          <w:sz w:val="24"/>
          <w:szCs w:val="24"/>
        </w:rPr>
        <w:t>. There was a zip-tie securing the plastic narcotics box inside the safe; Wester cut the zip-tie off and replaced it with a new one. Wester also changed the number in the logbook to reflect the new number. The old number ended in a “2.” Wester changed it to a “1.”</w:t>
      </w:r>
    </w:p>
    <w:p w14:paraId="79F51BDD" w14:textId="77777777" w:rsidR="00012C74" w:rsidRPr="003D63D9" w:rsidRDefault="00012C74" w:rsidP="00012C74">
      <w:pPr>
        <w:pStyle w:val="NoSpacing"/>
        <w:rPr>
          <w:bCs/>
        </w:rPr>
      </w:pPr>
    </w:p>
    <w:p w14:paraId="4B3AECBD" w14:textId="77777777" w:rsidR="00012C74" w:rsidRDefault="00012C74" w:rsidP="00012C74">
      <w:pPr>
        <w:pStyle w:val="NoSpacing"/>
        <w:rPr>
          <w:b/>
        </w:rPr>
      </w:pPr>
    </w:p>
    <w:p w14:paraId="302A738F" w14:textId="77777777" w:rsidR="00012C74" w:rsidRDefault="00012C74" w:rsidP="00F326E5">
      <w:pPr>
        <w:rPr>
          <w:rFonts w:ascii="Arial Black" w:hAnsi="Arial Black"/>
          <w:b/>
          <w:sz w:val="24"/>
          <w:szCs w:val="24"/>
        </w:rPr>
      </w:pPr>
    </w:p>
    <w:p w14:paraId="3EE69F75" w14:textId="77777777" w:rsidR="00707821" w:rsidRDefault="00707821" w:rsidP="00F326E5">
      <w:pPr>
        <w:rPr>
          <w:rFonts w:ascii="Arial Black" w:hAnsi="Arial Black"/>
          <w:b/>
          <w:sz w:val="24"/>
          <w:szCs w:val="24"/>
        </w:rPr>
      </w:pPr>
    </w:p>
    <w:p w14:paraId="3F4DB0D5" w14:textId="77777777" w:rsidR="00707821" w:rsidRDefault="00707821" w:rsidP="00F326E5">
      <w:pPr>
        <w:rPr>
          <w:rFonts w:ascii="Arial Black" w:hAnsi="Arial Black"/>
          <w:b/>
          <w:sz w:val="24"/>
          <w:szCs w:val="24"/>
        </w:rPr>
      </w:pPr>
    </w:p>
    <w:p w14:paraId="6A5A9D4D" w14:textId="30802665" w:rsidR="00131912" w:rsidRDefault="00131912" w:rsidP="00F326E5">
      <w:pPr>
        <w:rPr>
          <w:rFonts w:ascii="Arial Black" w:hAnsi="Arial Black"/>
          <w:b/>
          <w:sz w:val="24"/>
          <w:szCs w:val="24"/>
        </w:rPr>
      </w:pPr>
      <w:r>
        <w:rPr>
          <w:rFonts w:ascii="Arial Black" w:hAnsi="Arial Black"/>
          <w:b/>
          <w:sz w:val="24"/>
          <w:szCs w:val="24"/>
        </w:rPr>
        <w:t>12-31</w:t>
      </w:r>
    </w:p>
    <w:p w14:paraId="22710BCE" w14:textId="77777777" w:rsidR="00131912" w:rsidRPr="0089400B" w:rsidRDefault="00131912" w:rsidP="00131912">
      <w:pPr>
        <w:pStyle w:val="NoSpacing"/>
        <w:rPr>
          <w:rFonts w:ascii="Arial Black" w:hAnsi="Arial Black"/>
          <w:sz w:val="28"/>
          <w:szCs w:val="28"/>
        </w:rPr>
      </w:pPr>
      <w:r w:rsidRPr="0089400B">
        <w:rPr>
          <w:rFonts w:ascii="Arial Black" w:hAnsi="Arial Black"/>
          <w:sz w:val="28"/>
          <w:szCs w:val="28"/>
        </w:rPr>
        <w:t>MA: FF PINPOINT PUPILS – DELAY DRUG TEST / CBD - FIRED</w:t>
      </w:r>
    </w:p>
    <w:p w14:paraId="65DE9069" w14:textId="77777777" w:rsidR="00131912" w:rsidRPr="0089400B" w:rsidRDefault="00131912" w:rsidP="00131912">
      <w:pPr>
        <w:pStyle w:val="NoSpacing"/>
        <w:rPr>
          <w:rFonts w:ascii="Times New Roman" w:hAnsi="Times New Roman"/>
          <w:sz w:val="24"/>
          <w:szCs w:val="24"/>
        </w:rPr>
      </w:pPr>
    </w:p>
    <w:p w14:paraId="36950906" w14:textId="77777777" w:rsidR="003E0872" w:rsidRDefault="00131912" w:rsidP="003E0872">
      <w:pPr>
        <w:pStyle w:val="NoSpacing"/>
      </w:pPr>
      <w:r w:rsidRPr="0089400B">
        <w:rPr>
          <w:rFonts w:ascii="Times New Roman" w:hAnsi="Times New Roman"/>
          <w:sz w:val="24"/>
          <w:szCs w:val="24"/>
        </w:rPr>
        <w:t xml:space="preserve">On March 20, 2025, in </w:t>
      </w:r>
      <w:r w:rsidRPr="0089400B">
        <w:rPr>
          <w:rFonts w:ascii="Times New Roman" w:hAnsi="Times New Roman"/>
          <w:sz w:val="24"/>
          <w:szCs w:val="24"/>
          <w:u w:val="single"/>
        </w:rPr>
        <w:t>Patrick F. Burns, Sr, v. The City of Worchester, et al</w:t>
      </w:r>
      <w:r w:rsidRPr="0089400B">
        <w:rPr>
          <w:rFonts w:ascii="Times New Roman" w:hAnsi="Times New Roman"/>
          <w:sz w:val="24"/>
          <w:szCs w:val="24"/>
        </w:rPr>
        <w:t xml:space="preserve">., U.S. District Court Judge Margaret R. Guzman, U.S. District Court for the District of Massachusetts, granted the city’s motion to dismiss.  A Deputy Fire Chief observed the firefighter with “pinpoint” pupils during Recue 1 training on September 7, </w:t>
      </w:r>
      <w:proofErr w:type="gramStart"/>
      <w:r w:rsidRPr="0089400B">
        <w:rPr>
          <w:rFonts w:ascii="Times New Roman" w:hAnsi="Times New Roman"/>
          <w:sz w:val="24"/>
          <w:szCs w:val="24"/>
        </w:rPr>
        <w:t>2023</w:t>
      </w:r>
      <w:proofErr w:type="gramEnd"/>
      <w:r w:rsidRPr="0089400B">
        <w:rPr>
          <w:rFonts w:ascii="Times New Roman" w:hAnsi="Times New Roman"/>
          <w:sz w:val="24"/>
          <w:szCs w:val="24"/>
        </w:rPr>
        <w:t xml:space="preserve"> and ordered him to take drug test.  The firefighter didn’t take urine test until Nov. 8.  “Burns had recently begun the lawful off-duty use of prescribed oral cannabidiol (CBD), a non-intoxicating derivative of cannabis, as a sleep aid; he was unsure how this could affect drug test results or how such results might be interpreted or portrayed. He was suspended without pay since Oct. 8, 2023, and on Jan. 21, </w:t>
      </w:r>
      <w:proofErr w:type="gramStart"/>
      <w:r w:rsidRPr="0089400B">
        <w:rPr>
          <w:rFonts w:ascii="Times New Roman" w:hAnsi="Times New Roman"/>
          <w:sz w:val="24"/>
          <w:szCs w:val="24"/>
        </w:rPr>
        <w:t>2024</w:t>
      </w:r>
      <w:proofErr w:type="gramEnd"/>
      <w:r w:rsidRPr="0089400B">
        <w:rPr>
          <w:rFonts w:ascii="Times New Roman" w:hAnsi="Times New Roman"/>
          <w:sz w:val="24"/>
          <w:szCs w:val="24"/>
        </w:rPr>
        <w:t xml:space="preserve"> the FD offered him a substance abuse agreement [which he rejected].  The agreement “required Burns to accept its premise that he was an admitted drug abuser…. The agreement called for Burns to complete treatment with a licensed substance abuse rehabilitation program and provide negative results from hair, urine, and breathalyzer tests, or to accept a ‘last chance agreement’ requiring three years of highly intrusive drug testing on demand with ‘physical inspection’ before providing a urine sample and provision of each sample ‘under direct observation.’ …  The agreement also included ‘permanent transfer off the Rescue [unit] and outside the Franklin Street Fire Station’ with Burns to be barred from assignment to that station ‘even on a temporary basis.’ The letter stated the </w:t>
      </w:r>
      <w:proofErr w:type="gramStart"/>
      <w:r w:rsidRPr="0089400B">
        <w:rPr>
          <w:rFonts w:ascii="Times New Roman" w:hAnsi="Times New Roman"/>
          <w:sz w:val="24"/>
          <w:szCs w:val="24"/>
        </w:rPr>
        <w:t>City</w:t>
      </w:r>
      <w:proofErr w:type="gramEnd"/>
      <w:r w:rsidRPr="0089400B">
        <w:rPr>
          <w:rFonts w:ascii="Times New Roman" w:hAnsi="Times New Roman"/>
          <w:sz w:val="24"/>
          <w:szCs w:val="24"/>
        </w:rPr>
        <w:t xml:space="preserve"> would ‘move for your termination’ if Burns did not return the signed agreement within 10 days.”  His termination was upheld by a city Hearing Officer upheld after full hearing on June 7, 2023; and by Civil Service Commission on June 27, </w:t>
      </w:r>
      <w:proofErr w:type="gramStart"/>
      <w:r w:rsidRPr="0089400B">
        <w:rPr>
          <w:rFonts w:ascii="Times New Roman" w:hAnsi="Times New Roman"/>
          <w:sz w:val="24"/>
          <w:szCs w:val="24"/>
        </w:rPr>
        <w:t>2024</w:t>
      </w:r>
      <w:proofErr w:type="gramEnd"/>
      <w:r w:rsidRPr="0089400B">
        <w:rPr>
          <w:rFonts w:ascii="Times New Roman" w:hAnsi="Times New Roman"/>
          <w:sz w:val="24"/>
          <w:szCs w:val="24"/>
        </w:rPr>
        <w:t xml:space="preserve"> after a hearing.”</w:t>
      </w:r>
      <w:r w:rsidR="003E0872">
        <w:rPr>
          <w:rFonts w:ascii="Times New Roman" w:hAnsi="Times New Roman"/>
          <w:sz w:val="24"/>
          <w:szCs w:val="24"/>
        </w:rPr>
        <w:t xml:space="preserve"> </w:t>
      </w:r>
      <w:hyperlink r:id="rId1842" w:history="1">
        <w:r w:rsidR="003E0872" w:rsidRPr="00A02498">
          <w:rPr>
            <w:rStyle w:val="Hyperlink"/>
          </w:rPr>
          <w:t>https://public.fastcase.com/jaEE2PXzRXmZ99jOLMt1IkwLjDIafZivsAf6axO%2B3QZjm6x80NhvTxxrXJiS64do?utm_mediu</w:t>
        </w:r>
        <w:r w:rsidR="003E0872" w:rsidRPr="00A02498">
          <w:rPr>
            <w:rStyle w:val="Hyperlink"/>
          </w:rPr>
          <w:lastRenderedPageBreak/>
          <w:t>m=email&amp;_hsenc=p2ANqtz-_ZLiMFX9yN1wO2MCWrhyQko1U4dUXhzxPQAtrBDBjCrjbe9Dh7_kNIbfrc-1zaAPZ0Y1FmrwNmXCeWeaeUVjh5p5R-nw&amp;_hsmi=226712652&amp;utm_content=226712652&amp;utm_source=hs_email</w:t>
        </w:r>
      </w:hyperlink>
      <w:r w:rsidR="003E0872">
        <w:t xml:space="preserve"> </w:t>
      </w:r>
    </w:p>
    <w:p w14:paraId="0E880446" w14:textId="77777777" w:rsidR="003E0872" w:rsidRDefault="003E0872" w:rsidP="003E0872">
      <w:pPr>
        <w:pStyle w:val="NoSpacing"/>
      </w:pPr>
    </w:p>
    <w:p w14:paraId="2656FD4A" w14:textId="1318A3C9" w:rsidR="00131912" w:rsidRPr="0089400B" w:rsidRDefault="00131912" w:rsidP="00131912">
      <w:pPr>
        <w:pStyle w:val="NoSpacing"/>
        <w:rPr>
          <w:rFonts w:ascii="Times New Roman" w:hAnsi="Times New Roman"/>
          <w:sz w:val="24"/>
          <w:szCs w:val="24"/>
        </w:rPr>
      </w:pPr>
    </w:p>
    <w:p w14:paraId="56CACE56" w14:textId="77777777" w:rsidR="0089400B" w:rsidRPr="0089400B" w:rsidRDefault="0089400B" w:rsidP="0089400B">
      <w:pPr>
        <w:pStyle w:val="NoSpacing"/>
        <w:rPr>
          <w:rFonts w:ascii="Times New Roman" w:hAnsi="Times New Roman"/>
          <w:b/>
          <w:sz w:val="24"/>
          <w:szCs w:val="24"/>
        </w:rPr>
      </w:pPr>
    </w:p>
    <w:p w14:paraId="6E5747C4" w14:textId="07DA2504" w:rsidR="0089400B" w:rsidRPr="0089400B" w:rsidRDefault="0089400B" w:rsidP="0089400B">
      <w:pPr>
        <w:pStyle w:val="NoSpacing"/>
        <w:rPr>
          <w:rFonts w:ascii="Times New Roman" w:hAnsi="Times New Roman"/>
          <w:b/>
          <w:bCs/>
          <w:sz w:val="24"/>
          <w:szCs w:val="24"/>
        </w:rPr>
      </w:pPr>
      <w:r w:rsidRPr="0089400B">
        <w:rPr>
          <w:rFonts w:ascii="Times New Roman" w:hAnsi="Times New Roman"/>
          <w:b/>
          <w:sz w:val="24"/>
          <w:szCs w:val="24"/>
        </w:rPr>
        <w:t xml:space="preserve">Legal Lesson Learned: Firefighting is a “safety-sensitive” job and employer may order drug test if there is reasonable suspicion.  </w:t>
      </w:r>
    </w:p>
    <w:p w14:paraId="25692397" w14:textId="77777777" w:rsidR="0089400B" w:rsidRPr="0089400B" w:rsidRDefault="0089400B" w:rsidP="0089400B">
      <w:pPr>
        <w:pStyle w:val="NoSpacing"/>
        <w:rPr>
          <w:rFonts w:ascii="Times New Roman" w:hAnsi="Times New Roman"/>
          <w:sz w:val="24"/>
          <w:szCs w:val="24"/>
        </w:rPr>
      </w:pPr>
    </w:p>
    <w:p w14:paraId="38429B94" w14:textId="77777777" w:rsidR="0089400B" w:rsidRDefault="0089400B" w:rsidP="00131912">
      <w:pPr>
        <w:pStyle w:val="NoSpacing"/>
      </w:pPr>
    </w:p>
    <w:p w14:paraId="101F78FC" w14:textId="77777777" w:rsidR="00131912" w:rsidRDefault="00131912" w:rsidP="00F326E5">
      <w:pPr>
        <w:rPr>
          <w:rFonts w:ascii="Arial Black" w:hAnsi="Arial Black"/>
          <w:b/>
          <w:sz w:val="24"/>
          <w:szCs w:val="24"/>
        </w:rPr>
      </w:pPr>
    </w:p>
    <w:p w14:paraId="1D88A510" w14:textId="77777777" w:rsidR="00131912" w:rsidRDefault="00131912" w:rsidP="00F326E5">
      <w:pPr>
        <w:rPr>
          <w:rFonts w:ascii="Arial Black" w:hAnsi="Arial Black"/>
          <w:b/>
          <w:sz w:val="24"/>
          <w:szCs w:val="24"/>
        </w:rPr>
      </w:pPr>
    </w:p>
    <w:p w14:paraId="5BB7BB4B" w14:textId="77777777" w:rsidR="00131912" w:rsidRDefault="00131912" w:rsidP="00F326E5">
      <w:pPr>
        <w:rPr>
          <w:rFonts w:ascii="Arial Black" w:hAnsi="Arial Black"/>
          <w:b/>
          <w:sz w:val="24"/>
          <w:szCs w:val="24"/>
        </w:rPr>
      </w:pPr>
    </w:p>
    <w:p w14:paraId="08E6AC15" w14:textId="1E311322" w:rsidR="00EE6BDE" w:rsidRDefault="00EE6BDE" w:rsidP="00F326E5">
      <w:pPr>
        <w:rPr>
          <w:rFonts w:ascii="Arial Black" w:hAnsi="Arial Black"/>
          <w:b/>
          <w:sz w:val="24"/>
          <w:szCs w:val="24"/>
        </w:rPr>
      </w:pPr>
      <w:r>
        <w:rPr>
          <w:rFonts w:ascii="Arial Black" w:hAnsi="Arial Black"/>
          <w:b/>
          <w:sz w:val="24"/>
          <w:szCs w:val="24"/>
        </w:rPr>
        <w:t>12-30</w:t>
      </w:r>
    </w:p>
    <w:p w14:paraId="10BA2680" w14:textId="77777777" w:rsidR="00EE6BDE" w:rsidRPr="000B7F2C" w:rsidRDefault="00EE6BDE" w:rsidP="00EE6BDE">
      <w:pPr>
        <w:rPr>
          <w:rFonts w:ascii="Arial Black" w:hAnsi="Arial Black"/>
          <w:sz w:val="28"/>
          <w:szCs w:val="28"/>
        </w:rPr>
      </w:pPr>
      <w:r w:rsidRPr="000B7F2C">
        <w:rPr>
          <w:rFonts w:ascii="Arial Black" w:hAnsi="Arial Black"/>
          <w:sz w:val="28"/>
          <w:szCs w:val="28"/>
        </w:rPr>
        <w:t xml:space="preserve">PA: MEDICAL MJ – PTSD – LAB HIRE DEMOTED – NO ADA </w:t>
      </w:r>
    </w:p>
    <w:p w14:paraId="5063C9C0" w14:textId="77777777" w:rsidR="00EE6BDE" w:rsidRPr="00BA592A" w:rsidRDefault="00EE6BDE" w:rsidP="00EE6BDE">
      <w:pPr>
        <w:rPr>
          <w:rFonts w:ascii="Times New Roman" w:hAnsi="Times New Roman"/>
          <w:sz w:val="24"/>
          <w:szCs w:val="24"/>
        </w:rPr>
      </w:pPr>
      <w:r w:rsidRPr="00BA592A">
        <w:rPr>
          <w:rFonts w:ascii="Times New Roman" w:hAnsi="Times New Roman"/>
          <w:sz w:val="24"/>
          <w:szCs w:val="24"/>
        </w:rPr>
        <w:t xml:space="preserve">On Feb. 12, 2025, in </w:t>
      </w:r>
      <w:r w:rsidRPr="00BA592A">
        <w:rPr>
          <w:rFonts w:ascii="Times New Roman" w:hAnsi="Times New Roman"/>
          <w:sz w:val="24"/>
          <w:szCs w:val="24"/>
          <w:u w:val="single"/>
        </w:rPr>
        <w:t>Nicole Zimmerman v. Health Network Laboratories, L.P</w:t>
      </w:r>
      <w:r w:rsidRPr="00BA592A">
        <w:rPr>
          <w:rFonts w:ascii="Times New Roman" w:hAnsi="Times New Roman"/>
          <w:sz w:val="24"/>
          <w:szCs w:val="24"/>
        </w:rPr>
        <w:t xml:space="preserve">., United States District Court Judge Gail A. Weilheimer, U.S. District Court for Eastern District of Pennsylvania, granted defense motion for summary judgment’ medical marijuana use is not protected under the Americans with Disabilities Act (ADA).   The company (50 locations; 1,500 employees) hired the plaintiff on March 3, </w:t>
      </w:r>
      <w:proofErr w:type="gramStart"/>
      <w:r w:rsidRPr="00BA592A">
        <w:rPr>
          <w:rFonts w:ascii="Times New Roman" w:hAnsi="Times New Roman"/>
          <w:sz w:val="24"/>
          <w:szCs w:val="24"/>
        </w:rPr>
        <w:t>2022</w:t>
      </w:r>
      <w:proofErr w:type="gramEnd"/>
      <w:r w:rsidRPr="00BA592A">
        <w:rPr>
          <w:rFonts w:ascii="Times New Roman" w:hAnsi="Times New Roman"/>
          <w:sz w:val="24"/>
          <w:szCs w:val="24"/>
        </w:rPr>
        <w:t xml:space="preserve"> as a </w:t>
      </w:r>
      <w:proofErr w:type="gramStart"/>
      <w:r w:rsidRPr="00BA592A">
        <w:rPr>
          <w:rFonts w:ascii="Times New Roman" w:hAnsi="Times New Roman"/>
          <w:sz w:val="24"/>
          <w:szCs w:val="24"/>
        </w:rPr>
        <w:t>Phlebotomist</w:t>
      </w:r>
      <w:proofErr w:type="gramEnd"/>
      <w:r w:rsidRPr="00BA592A">
        <w:rPr>
          <w:rFonts w:ascii="Times New Roman" w:hAnsi="Times New Roman"/>
          <w:sz w:val="24"/>
          <w:szCs w:val="24"/>
        </w:rPr>
        <w:t xml:space="preserve"> II.  She suffers from Post-Traumatic Stress Disorder ("PTSD") and Generalized Anxiety Disorder ("GAD") and uses medical marijuana to support her treatment for these diagnoses.  On April 13, 2022, Ms. Zimmerman was instead offered a position as a Laboratory Assistant</w:t>
      </w:r>
      <w:r w:rsidRPr="00BA592A">
        <w:rPr>
          <w:rFonts w:ascii="Times New Roman" w:hAnsi="Times New Roman"/>
          <w:sz w:val="24"/>
          <w:szCs w:val="24"/>
          <w:vertAlign w:val="superscript"/>
        </w:rPr>
        <w:t xml:space="preserve"> </w:t>
      </w:r>
      <w:r w:rsidRPr="00BA592A">
        <w:rPr>
          <w:rFonts w:ascii="Times New Roman" w:hAnsi="Times New Roman"/>
          <w:sz w:val="24"/>
          <w:szCs w:val="24"/>
        </w:rPr>
        <w:t xml:space="preserve">[classified as non-safety sensitive] which constituted a demotion with a lower hourly rate of pay.  </w:t>
      </w:r>
      <w:hyperlink r:id="rId1843" w:history="1">
        <w:r w:rsidRPr="00BA592A">
          <w:rPr>
            <w:rStyle w:val="Hyperlink"/>
            <w:rFonts w:ascii="Times New Roman" w:hAnsi="Times New Roman"/>
            <w:sz w:val="24"/>
            <w:szCs w:val="24"/>
          </w:rPr>
          <w:t>https://public.fastcase.com/jaEE2PXzRXmZ99jOLMt1IkeXMb88bktridCVT2cNJQMzpCQ6GgqcAq9z2DsPb3SV?utm_medium=email&amp;_hsenc=p2ANqtz-85xVo1nyN3HdtXmyEBbnKz3steTpDAfhmpvG3xr6TrZ9DYf7Sn2b546JhEk92EHRSHghCxIzSuD7PvUX919GE5tGfx5g&amp;_hsmi=226712652&amp;utm_content=226712652&amp;utm_source=hs_email</w:t>
        </w:r>
      </w:hyperlink>
      <w:r w:rsidRPr="00BA592A">
        <w:rPr>
          <w:rFonts w:ascii="Times New Roman" w:hAnsi="Times New Roman"/>
          <w:sz w:val="24"/>
          <w:szCs w:val="24"/>
        </w:rPr>
        <w:t xml:space="preserve"> </w:t>
      </w:r>
    </w:p>
    <w:p w14:paraId="1F3FAF02" w14:textId="77777777" w:rsidR="00EE6BDE" w:rsidRPr="00BA592A" w:rsidRDefault="00EE6BDE" w:rsidP="00EE6BDE">
      <w:pPr>
        <w:pStyle w:val="NoSpacing"/>
        <w:rPr>
          <w:rFonts w:ascii="Times New Roman" w:hAnsi="Times New Roman"/>
          <w:sz w:val="24"/>
          <w:szCs w:val="24"/>
        </w:rPr>
      </w:pPr>
      <w:r w:rsidRPr="00BA592A">
        <w:rPr>
          <w:rFonts w:ascii="Times New Roman" w:hAnsi="Times New Roman"/>
          <w:sz w:val="24"/>
          <w:szCs w:val="24"/>
        </w:rPr>
        <w:t>The Court wrote:</w:t>
      </w:r>
    </w:p>
    <w:p w14:paraId="6929948C" w14:textId="77777777" w:rsidR="00EE6BDE" w:rsidRPr="00BA592A" w:rsidRDefault="00EE6BDE" w:rsidP="00EE6BDE">
      <w:pPr>
        <w:pStyle w:val="NoSpacing"/>
        <w:rPr>
          <w:rFonts w:ascii="Times New Roman" w:hAnsi="Times New Roman"/>
          <w:sz w:val="24"/>
          <w:szCs w:val="24"/>
        </w:rPr>
      </w:pPr>
    </w:p>
    <w:p w14:paraId="7B34C13B"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“Because the adverse employment action here was precipitated by Ms. Zimmerman's use of medical marijuana, she is not a qualified individual per the ADA. </w:t>
      </w:r>
    </w:p>
    <w:p w14:paraId="31E5F6BC" w14:textId="77777777" w:rsidR="00EE6BDE" w:rsidRPr="00BA592A" w:rsidRDefault="00EE6BDE" w:rsidP="00EE6BDE">
      <w:pPr>
        <w:pStyle w:val="NoSpacing"/>
        <w:rPr>
          <w:rFonts w:ascii="Times New Roman" w:hAnsi="Times New Roman"/>
          <w:sz w:val="24"/>
          <w:szCs w:val="24"/>
        </w:rPr>
      </w:pPr>
    </w:p>
    <w:p w14:paraId="5E375F57"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[Fire Department case – in] </w:t>
      </w:r>
      <w:r w:rsidRPr="00BA592A">
        <w:rPr>
          <w:rFonts w:ascii="Times New Roman" w:hAnsi="Times New Roman"/>
          <w:i/>
          <w:iCs/>
          <w:sz w:val="24"/>
          <w:szCs w:val="24"/>
        </w:rPr>
        <w:t>Eccleston v. City of Waterbury,</w:t>
      </w:r>
      <w:r w:rsidRPr="00BA592A">
        <w:rPr>
          <w:rFonts w:ascii="Times New Roman" w:hAnsi="Times New Roman"/>
          <w:sz w:val="24"/>
          <w:szCs w:val="24"/>
        </w:rPr>
        <w:t xml:space="preserve"> No. 3:19-cv-1614, 2021 WL 1090754, at *6 (D. Conn. Mar. 22, 2021). In </w:t>
      </w:r>
      <w:r w:rsidRPr="00BA592A">
        <w:rPr>
          <w:rFonts w:ascii="Times New Roman" w:hAnsi="Times New Roman"/>
          <w:i/>
          <w:iCs/>
          <w:sz w:val="24"/>
          <w:szCs w:val="24"/>
        </w:rPr>
        <w:t>Eccleston,</w:t>
      </w:r>
      <w:r w:rsidRPr="00BA592A">
        <w:rPr>
          <w:rFonts w:ascii="Times New Roman" w:hAnsi="Times New Roman"/>
          <w:sz w:val="24"/>
          <w:szCs w:val="24"/>
        </w:rPr>
        <w:t xml:space="preserve"> the District Court of Connecticut held that a firefighter, lawfully prescribed medical marijuana under Connecticut state law, was not protected as a qualified individual under the ADA. </w:t>
      </w:r>
      <w:r w:rsidRPr="00BA592A">
        <w:rPr>
          <w:rFonts w:ascii="Times New Roman" w:hAnsi="Times New Roman"/>
          <w:i/>
          <w:iCs/>
          <w:sz w:val="24"/>
          <w:szCs w:val="24"/>
        </w:rPr>
        <w:t>See Eccleston,</w:t>
      </w:r>
      <w:r w:rsidRPr="00BA592A">
        <w:rPr>
          <w:rFonts w:ascii="Times New Roman" w:hAnsi="Times New Roman"/>
          <w:sz w:val="24"/>
          <w:szCs w:val="24"/>
        </w:rPr>
        <w:t xml:space="preserve"> at *6. The Court explained that to hold ‘otherwise would place [the ADA] in direct tension with the clear provisions of the CSA-a statute the ADA relies upon </w:t>
      </w:r>
      <w:proofErr w:type="gramStart"/>
      <w:r w:rsidRPr="00BA592A">
        <w:rPr>
          <w:rFonts w:ascii="Times New Roman" w:hAnsi="Times New Roman"/>
          <w:sz w:val="24"/>
          <w:szCs w:val="24"/>
        </w:rPr>
        <w:t>to define</w:t>
      </w:r>
      <w:proofErr w:type="gramEnd"/>
      <w:r w:rsidRPr="00BA592A">
        <w:rPr>
          <w:rFonts w:ascii="Times New Roman" w:hAnsi="Times New Roman"/>
          <w:sz w:val="24"/>
          <w:szCs w:val="24"/>
        </w:rPr>
        <w:t xml:space="preserve"> the term "illegal drug use.’ </w:t>
      </w:r>
    </w:p>
    <w:p w14:paraId="0D516CAB" w14:textId="77777777" w:rsidR="00EE6BDE" w:rsidRPr="00BA592A" w:rsidRDefault="00EE6BDE" w:rsidP="00EE6BDE">
      <w:pPr>
        <w:pStyle w:val="NoSpacing"/>
        <w:rPr>
          <w:rFonts w:ascii="Times New Roman" w:hAnsi="Times New Roman"/>
          <w:sz w:val="24"/>
          <w:szCs w:val="24"/>
        </w:rPr>
      </w:pPr>
    </w:p>
    <w:p w14:paraId="07C28A5B" w14:textId="77777777" w:rsidR="00EE6BDE" w:rsidRPr="00BA592A" w:rsidRDefault="00EE6BDE" w:rsidP="00EE6BDE">
      <w:pPr>
        <w:pStyle w:val="NoSpacing"/>
        <w:ind w:firstLine="720"/>
        <w:rPr>
          <w:rFonts w:ascii="Times New Roman" w:hAnsi="Times New Roman"/>
          <w:sz w:val="24"/>
          <w:szCs w:val="24"/>
        </w:rPr>
      </w:pPr>
      <w:r w:rsidRPr="00BA592A">
        <w:rPr>
          <w:rFonts w:ascii="Times New Roman" w:hAnsi="Times New Roman"/>
          <w:sz w:val="24"/>
          <w:szCs w:val="24"/>
        </w:rPr>
        <w:t>***</w:t>
      </w:r>
    </w:p>
    <w:p w14:paraId="4D427B4E" w14:textId="77777777" w:rsidR="00EE6BDE" w:rsidRPr="00BA592A" w:rsidRDefault="00EE6BDE" w:rsidP="00EE6BDE">
      <w:pPr>
        <w:pStyle w:val="NoSpacing"/>
        <w:rPr>
          <w:rFonts w:ascii="Times New Roman" w:hAnsi="Times New Roman"/>
          <w:sz w:val="24"/>
          <w:szCs w:val="24"/>
        </w:rPr>
      </w:pPr>
    </w:p>
    <w:p w14:paraId="0A814CA9"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Similarly, the District Court of Colorado held termination on account of complainant's medical marijuana use did not constitute discrimination under the ADA. </w:t>
      </w:r>
      <w:r w:rsidRPr="00BA592A">
        <w:rPr>
          <w:rFonts w:ascii="Times New Roman" w:hAnsi="Times New Roman"/>
          <w:i/>
          <w:iCs/>
          <w:sz w:val="24"/>
          <w:szCs w:val="24"/>
        </w:rPr>
        <w:t>Steele v. Stallion Rockies Ltd,</w:t>
      </w:r>
      <w:r w:rsidRPr="00BA592A">
        <w:rPr>
          <w:rFonts w:ascii="Times New Roman" w:hAnsi="Times New Roman"/>
          <w:sz w:val="24"/>
          <w:szCs w:val="24"/>
        </w:rPr>
        <w:t xml:space="preserve"> 106 F.Supp.3d 1205, 1218 (D. Colo. 2015); </w:t>
      </w:r>
      <w:r w:rsidRPr="00BA592A">
        <w:rPr>
          <w:rFonts w:ascii="Times New Roman" w:hAnsi="Times New Roman"/>
          <w:i/>
          <w:iCs/>
          <w:sz w:val="24"/>
          <w:szCs w:val="24"/>
        </w:rPr>
        <w:t xml:space="preserve">see also </w:t>
      </w:r>
      <w:proofErr w:type="spellStart"/>
      <w:r w:rsidRPr="00BA592A">
        <w:rPr>
          <w:rFonts w:ascii="Times New Roman" w:hAnsi="Times New Roman"/>
          <w:i/>
          <w:iCs/>
          <w:sz w:val="24"/>
          <w:szCs w:val="24"/>
        </w:rPr>
        <w:t>Aiiderson</w:t>
      </w:r>
      <w:proofErr w:type="spellEnd"/>
      <w:r w:rsidRPr="00BA592A">
        <w:rPr>
          <w:rFonts w:ascii="Times New Roman" w:hAnsi="Times New Roman"/>
          <w:i/>
          <w:iCs/>
          <w:sz w:val="24"/>
          <w:szCs w:val="24"/>
        </w:rPr>
        <w:t xml:space="preserve"> v. Diamondback Investment Group,</w:t>
      </w:r>
      <w:r w:rsidRPr="00BA592A">
        <w:rPr>
          <w:rFonts w:ascii="Times New Roman" w:hAnsi="Times New Roman"/>
          <w:sz w:val="24"/>
          <w:szCs w:val="24"/>
        </w:rPr>
        <w:t xml:space="preserve"> 117 F.4</w:t>
      </w:r>
      <w:r w:rsidRPr="00BA592A">
        <w:rPr>
          <w:rFonts w:ascii="Times New Roman" w:hAnsi="Times New Roman"/>
          <w:sz w:val="24"/>
          <w:szCs w:val="24"/>
          <w:vertAlign w:val="superscript"/>
        </w:rPr>
        <w:t>th</w:t>
      </w:r>
      <w:r w:rsidRPr="00BA592A">
        <w:rPr>
          <w:rFonts w:ascii="Times New Roman" w:hAnsi="Times New Roman"/>
          <w:sz w:val="24"/>
          <w:szCs w:val="24"/>
        </w:rPr>
        <w:t xml:space="preserve"> </w:t>
      </w:r>
      <w:r w:rsidRPr="00BA592A">
        <w:rPr>
          <w:rFonts w:ascii="Times New Roman" w:hAnsi="Times New Roman"/>
          <w:sz w:val="24"/>
          <w:szCs w:val="24"/>
        </w:rPr>
        <w:lastRenderedPageBreak/>
        <w:t xml:space="preserve">165 (4th Cir. 2024) (terminating individuals taking illegal drugs to treat a disability is permissible, so long as the goal of the drug testing scheme does not intentionally exclude any individual taking a </w:t>
      </w:r>
      <w:r w:rsidRPr="00BA592A">
        <w:rPr>
          <w:rFonts w:ascii="Times New Roman" w:hAnsi="Times New Roman"/>
          <w:i/>
          <w:iCs/>
          <w:sz w:val="24"/>
          <w:szCs w:val="24"/>
        </w:rPr>
        <w:t>lawfully prescribed</w:t>
      </w:r>
      <w:r w:rsidRPr="00BA592A">
        <w:rPr>
          <w:rFonts w:ascii="Times New Roman" w:hAnsi="Times New Roman"/>
          <w:sz w:val="24"/>
          <w:szCs w:val="24"/>
        </w:rPr>
        <w:t xml:space="preserve"> drug to treat a disability); </w:t>
      </w:r>
      <w:r w:rsidRPr="00BA592A">
        <w:rPr>
          <w:rFonts w:ascii="Times New Roman" w:hAnsi="Times New Roman"/>
          <w:i/>
          <w:iCs/>
          <w:sz w:val="24"/>
          <w:szCs w:val="24"/>
        </w:rPr>
        <w:t>Zarazua v. Ricketts,</w:t>
      </w:r>
      <w:r w:rsidRPr="00BA592A">
        <w:rPr>
          <w:rFonts w:ascii="Times New Roman" w:hAnsi="Times New Roman"/>
          <w:sz w:val="24"/>
          <w:szCs w:val="24"/>
        </w:rPr>
        <w:t xml:space="preserve"> 8:17CV318, 2017 WL 6503395, at *2 (D. Neb. Oct. 2, 2017) (exception for medical marijuana in state law is not a reasonable accommodation under the ADA); </w:t>
      </w:r>
      <w:r w:rsidRPr="00BA592A">
        <w:rPr>
          <w:rFonts w:ascii="Times New Roman" w:hAnsi="Times New Roman"/>
          <w:i/>
          <w:iCs/>
          <w:sz w:val="24"/>
          <w:szCs w:val="24"/>
        </w:rPr>
        <w:t>Barber v. Gonzalez</w:t>
      </w:r>
      <w:r w:rsidRPr="00BA592A">
        <w:rPr>
          <w:rFonts w:ascii="Times New Roman" w:hAnsi="Times New Roman"/>
          <w:sz w:val="24"/>
          <w:szCs w:val="24"/>
        </w:rPr>
        <w:t xml:space="preserve"> No. CV-05-0173, 2005 WL 1607189, at *1 (E.D. Wash. Jul. 1, 2005) (physician supervised drug use must be authorized under the Controlled Substances Act or other provisions of Federal law, regardless of any state law authorization).</w:t>
      </w:r>
    </w:p>
    <w:p w14:paraId="1D66A366" w14:textId="77777777" w:rsidR="00EE6BDE" w:rsidRPr="00BA592A" w:rsidRDefault="00EE6BDE" w:rsidP="00EE6BDE">
      <w:pPr>
        <w:pStyle w:val="NoSpacing"/>
        <w:rPr>
          <w:rFonts w:ascii="Times New Roman" w:hAnsi="Times New Roman"/>
          <w:sz w:val="24"/>
          <w:szCs w:val="24"/>
        </w:rPr>
      </w:pPr>
    </w:p>
    <w:p w14:paraId="059735C8" w14:textId="77777777" w:rsidR="00EE6BDE" w:rsidRPr="00BA592A" w:rsidRDefault="00EE6BDE" w:rsidP="00EE6BDE">
      <w:pPr>
        <w:pStyle w:val="NoSpacing"/>
        <w:ind w:firstLine="720"/>
        <w:rPr>
          <w:rFonts w:ascii="Times New Roman" w:hAnsi="Times New Roman"/>
          <w:sz w:val="24"/>
          <w:szCs w:val="24"/>
        </w:rPr>
      </w:pPr>
      <w:r w:rsidRPr="00BA592A">
        <w:rPr>
          <w:rFonts w:ascii="Times New Roman" w:hAnsi="Times New Roman"/>
          <w:sz w:val="24"/>
          <w:szCs w:val="24"/>
        </w:rPr>
        <w:t>***</w:t>
      </w:r>
    </w:p>
    <w:p w14:paraId="14F6F634" w14:textId="77777777" w:rsidR="00EE6BDE" w:rsidRPr="00BA592A" w:rsidRDefault="00EE6BDE" w:rsidP="00EE6BDE">
      <w:pPr>
        <w:pStyle w:val="NoSpacing"/>
        <w:rPr>
          <w:rFonts w:ascii="Times New Roman" w:hAnsi="Times New Roman"/>
          <w:sz w:val="24"/>
          <w:szCs w:val="24"/>
        </w:rPr>
      </w:pPr>
    </w:p>
    <w:p w14:paraId="614FD360"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Accordingly, this Court concludes that employees properly prescribed marijuana in compliance with Pennsylvania law, who then experience adverse employment determinations based on that use, are not "qualified individuals" contemplated at 42 U.S.C, § 12101, et seq. Although this specific issue has not been decided by the Third Circuit, this Court's conclusion accords with case law within the Circuit examining failed drug tests in slightly different factual contexts. </w:t>
      </w:r>
      <w:r w:rsidRPr="00BA592A">
        <w:rPr>
          <w:rFonts w:ascii="Times New Roman" w:hAnsi="Times New Roman"/>
          <w:i/>
          <w:iCs/>
          <w:sz w:val="24"/>
          <w:szCs w:val="24"/>
        </w:rPr>
        <w:t>See Drift, supra</w:t>
      </w:r>
      <w:r w:rsidRPr="00BA592A">
        <w:rPr>
          <w:rFonts w:ascii="Times New Roman" w:hAnsi="Times New Roman"/>
          <w:sz w:val="24"/>
          <w:szCs w:val="24"/>
        </w:rPr>
        <w:t xml:space="preserve"> (use of marijuana precludes and individual from being "qualified" under the ADA if the employer acts on this use); </w:t>
      </w:r>
      <w:proofErr w:type="spellStart"/>
      <w:r w:rsidRPr="00BA592A">
        <w:rPr>
          <w:rFonts w:ascii="Times New Roman" w:hAnsi="Times New Roman"/>
          <w:i/>
          <w:iCs/>
          <w:sz w:val="24"/>
          <w:szCs w:val="24"/>
        </w:rPr>
        <w:t>Lehenky</w:t>
      </w:r>
      <w:proofErr w:type="spellEnd"/>
      <w:r w:rsidRPr="00BA592A">
        <w:rPr>
          <w:rFonts w:ascii="Times New Roman" w:hAnsi="Times New Roman"/>
          <w:i/>
          <w:iCs/>
          <w:sz w:val="24"/>
          <w:szCs w:val="24"/>
        </w:rPr>
        <w:t xml:space="preserve"> v. Toshiba America Energy Systems Corp.,</w:t>
      </w:r>
      <w:r w:rsidRPr="00BA592A">
        <w:rPr>
          <w:rFonts w:ascii="Times New Roman" w:hAnsi="Times New Roman"/>
          <w:sz w:val="24"/>
          <w:szCs w:val="24"/>
        </w:rPr>
        <w:t xml:space="preserve"> No. 20-4573, 2022 WL 523739, at *3 (E.D. Pa. 2022) (over-the-counter CBD product resulting in positive drug test and subsequent termination not covered by ADA), </w:t>
      </w:r>
      <w:r w:rsidRPr="00BA592A">
        <w:rPr>
          <w:rFonts w:ascii="Times New Roman" w:hAnsi="Times New Roman"/>
          <w:i/>
          <w:iCs/>
          <w:sz w:val="24"/>
          <w:szCs w:val="24"/>
        </w:rPr>
        <w:t>aff'd,</w:t>
      </w:r>
      <w:r w:rsidRPr="00BA592A">
        <w:rPr>
          <w:rFonts w:ascii="Times New Roman" w:hAnsi="Times New Roman"/>
          <w:sz w:val="24"/>
          <w:szCs w:val="24"/>
        </w:rPr>
        <w:t xml:space="preserve"> 2023 WL 3562981 (3d Cir. May 19, 2023). As such, Plaintiff cannot make </w:t>
      </w:r>
      <w:r w:rsidRPr="00BA592A">
        <w:rPr>
          <w:rFonts w:ascii="Times New Roman" w:hAnsi="Times New Roman"/>
          <w:i/>
          <w:iCs/>
          <w:sz w:val="24"/>
          <w:szCs w:val="24"/>
        </w:rPr>
        <w:t>a prima facie</w:t>
      </w:r>
      <w:r w:rsidRPr="00BA592A">
        <w:rPr>
          <w:rFonts w:ascii="Times New Roman" w:hAnsi="Times New Roman"/>
          <w:sz w:val="24"/>
          <w:szCs w:val="24"/>
        </w:rPr>
        <w:t xml:space="preserve"> showing of discrimination to even engage the </w:t>
      </w:r>
      <w:r w:rsidRPr="00BA592A">
        <w:rPr>
          <w:rFonts w:ascii="Times New Roman" w:hAnsi="Times New Roman"/>
          <w:i/>
          <w:iCs/>
          <w:sz w:val="24"/>
          <w:szCs w:val="24"/>
        </w:rPr>
        <w:t>McDonnell Douglas</w:t>
      </w:r>
      <w:r w:rsidRPr="00BA592A">
        <w:rPr>
          <w:rFonts w:ascii="Times New Roman" w:hAnsi="Times New Roman"/>
          <w:sz w:val="24"/>
          <w:szCs w:val="24"/>
        </w:rPr>
        <w:t xml:space="preserve"> burden shifting framework in the first place.”</w:t>
      </w:r>
    </w:p>
    <w:p w14:paraId="4E6CE357" w14:textId="77777777" w:rsidR="00EE6BDE" w:rsidRPr="00BA592A" w:rsidRDefault="00EE6BDE" w:rsidP="00EE6BDE">
      <w:pPr>
        <w:pStyle w:val="NoSpacing"/>
        <w:rPr>
          <w:rFonts w:ascii="Times New Roman" w:hAnsi="Times New Roman"/>
          <w:sz w:val="24"/>
          <w:szCs w:val="24"/>
        </w:rPr>
      </w:pPr>
    </w:p>
    <w:p w14:paraId="425A55CD" w14:textId="77777777" w:rsidR="00EE6BDE" w:rsidRPr="00BA592A" w:rsidRDefault="00EE6BDE" w:rsidP="00EE6BDE">
      <w:pPr>
        <w:pStyle w:val="NoSpacing"/>
        <w:rPr>
          <w:rFonts w:ascii="Times New Roman" w:hAnsi="Times New Roman"/>
          <w:b/>
          <w:sz w:val="24"/>
          <w:szCs w:val="24"/>
        </w:rPr>
      </w:pPr>
      <w:r w:rsidRPr="00BA592A">
        <w:rPr>
          <w:rFonts w:ascii="Times New Roman" w:hAnsi="Times New Roman"/>
          <w:b/>
          <w:sz w:val="24"/>
          <w:szCs w:val="24"/>
        </w:rPr>
        <w:t xml:space="preserve">Legal Lesson Learned:  Fire &amp; EMS department dug use policies should address medical marijuana and recreational marijuana. </w:t>
      </w:r>
    </w:p>
    <w:p w14:paraId="4AE6BBA9" w14:textId="77777777" w:rsidR="00EE6BDE" w:rsidRDefault="00EE6BDE" w:rsidP="00F326E5">
      <w:pPr>
        <w:rPr>
          <w:rFonts w:ascii="Arial Black" w:hAnsi="Arial Black"/>
          <w:b/>
          <w:sz w:val="24"/>
          <w:szCs w:val="24"/>
        </w:rPr>
      </w:pPr>
    </w:p>
    <w:p w14:paraId="67D701D7" w14:textId="77777777" w:rsidR="00EE6BDE" w:rsidRDefault="00EE6BDE" w:rsidP="00F326E5">
      <w:pPr>
        <w:rPr>
          <w:rFonts w:ascii="Arial Black" w:hAnsi="Arial Black"/>
          <w:b/>
          <w:sz w:val="24"/>
          <w:szCs w:val="24"/>
        </w:rPr>
      </w:pPr>
    </w:p>
    <w:p w14:paraId="188AF957" w14:textId="14645329" w:rsidR="00743B05" w:rsidRDefault="00743B05" w:rsidP="00F326E5">
      <w:pPr>
        <w:rPr>
          <w:rFonts w:ascii="Arial Black" w:hAnsi="Arial Black"/>
          <w:b/>
          <w:sz w:val="24"/>
          <w:szCs w:val="24"/>
        </w:rPr>
      </w:pPr>
      <w:r>
        <w:rPr>
          <w:rFonts w:ascii="Arial Black" w:hAnsi="Arial Black"/>
          <w:b/>
          <w:sz w:val="24"/>
          <w:szCs w:val="24"/>
        </w:rPr>
        <w:t>12-29</w:t>
      </w:r>
    </w:p>
    <w:p w14:paraId="57BA6686" w14:textId="77777777" w:rsidR="00743B05" w:rsidRPr="00444233" w:rsidRDefault="00743B05" w:rsidP="00743B05">
      <w:pPr>
        <w:rPr>
          <w:rFonts w:ascii="Arial Black" w:hAnsi="Arial Black"/>
          <w:b/>
          <w:sz w:val="28"/>
          <w:szCs w:val="28"/>
        </w:rPr>
      </w:pPr>
      <w:r>
        <w:rPr>
          <w:rFonts w:ascii="Arial Black" w:hAnsi="Arial Black"/>
          <w:b/>
          <w:sz w:val="28"/>
          <w:szCs w:val="28"/>
        </w:rPr>
        <w:t xml:space="preserve">WA: ALCOHOL – FRAT - STUDENT DEAD – CAN SUE UNIV. </w:t>
      </w:r>
    </w:p>
    <w:p w14:paraId="4F9EEA30" w14:textId="0711D694" w:rsidR="00151EBE" w:rsidRDefault="00743B05" w:rsidP="00151EBE">
      <w:pPr>
        <w:pStyle w:val="NoSpacing"/>
        <w:rPr>
          <w:rFonts w:ascii="Times New Roman" w:hAnsi="Times New Roman"/>
          <w:sz w:val="24"/>
          <w:szCs w:val="24"/>
        </w:rPr>
      </w:pPr>
      <w:r w:rsidRPr="00151EBE">
        <w:rPr>
          <w:rFonts w:ascii="Times New Roman" w:hAnsi="Times New Roman"/>
          <w:sz w:val="24"/>
          <w:szCs w:val="24"/>
        </w:rPr>
        <w:t xml:space="preserve">On Jan. 21, 2025, in </w:t>
      </w:r>
      <w:r w:rsidRPr="00151EBE">
        <w:rPr>
          <w:rFonts w:ascii="Times New Roman" w:hAnsi="Times New Roman"/>
          <w:sz w:val="24"/>
          <w:szCs w:val="24"/>
          <w:u w:val="single"/>
        </w:rPr>
        <w:t xml:space="preserve">Hector Martinez and Jolayne Houtz, husband and wife and co-personal representatives of the Estate of Samuel H. Marinez v. Washington State University, Gamma Chi Chapter of Alpha Tau Omega Fraternity, et al., </w:t>
      </w:r>
      <w:r w:rsidRPr="00151EBE">
        <w:rPr>
          <w:rFonts w:ascii="Times New Roman" w:hAnsi="Times New Roman"/>
          <w:sz w:val="24"/>
          <w:szCs w:val="24"/>
        </w:rPr>
        <w:t xml:space="preserve">the Court of Appeals of Washington, Division 1 held (3 to 0) that the lawsuit should be reinstated against the University, and not just against the Gamma Chi fraternity.  The university can be sued because it has a “special relationship” with its recognized fraternal organizations – a similar legal doctrine to the duty of EMS when transporting a patient, or a jail holding a prisoner.  </w:t>
      </w:r>
      <w:hyperlink r:id="rId1844" w:history="1">
        <w:r w:rsidRPr="00151EBE">
          <w:rPr>
            <w:rStyle w:val="Hyperlink"/>
            <w:rFonts w:ascii="Times New Roman" w:hAnsi="Times New Roman"/>
            <w:sz w:val="24"/>
            <w:szCs w:val="24"/>
          </w:rPr>
          <w:t>https://cases.justia.com/washington/court-of-appeals-division-i/2025-83853-9.pdf?ts=1737494121</w:t>
        </w:r>
      </w:hyperlink>
      <w:r w:rsidRPr="00151EBE">
        <w:rPr>
          <w:rFonts w:ascii="Times New Roman" w:hAnsi="Times New Roman"/>
          <w:sz w:val="24"/>
          <w:szCs w:val="24"/>
        </w:rPr>
        <w:t xml:space="preserve"> </w:t>
      </w:r>
    </w:p>
    <w:p w14:paraId="07C1ECB5" w14:textId="77777777" w:rsidR="00151EBE" w:rsidRPr="00151EBE" w:rsidRDefault="00151EBE" w:rsidP="00151EBE">
      <w:pPr>
        <w:pStyle w:val="NoSpacing"/>
        <w:rPr>
          <w:rFonts w:ascii="Times New Roman" w:hAnsi="Times New Roman"/>
          <w:bCs/>
          <w:sz w:val="24"/>
          <w:szCs w:val="24"/>
        </w:rPr>
      </w:pPr>
    </w:p>
    <w:p w14:paraId="129DF7D2" w14:textId="77777777" w:rsidR="00743B05" w:rsidRPr="00151EBE" w:rsidRDefault="00743B05" w:rsidP="00743B05">
      <w:pPr>
        <w:rPr>
          <w:rFonts w:ascii="Times New Roman" w:hAnsi="Times New Roman"/>
          <w:bCs/>
          <w:sz w:val="24"/>
          <w:szCs w:val="24"/>
        </w:rPr>
      </w:pPr>
      <w:r w:rsidRPr="00151EBE">
        <w:rPr>
          <w:rFonts w:ascii="Times New Roman" w:hAnsi="Times New Roman"/>
          <w:sz w:val="24"/>
          <w:szCs w:val="24"/>
        </w:rPr>
        <w:t>The Court wrote:</w:t>
      </w:r>
    </w:p>
    <w:p w14:paraId="5138EAA9"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 xml:space="preserve">“Samuel ‘Sam’ Martinez died of acute alcohol poisoning in November 2019 following a hazing ritual at a fraternity house located near the Pullman campus of Washington State University (WSU). Sam’s estate representatives and parents Hector Martinez and Jolayne Houtz (collectively Estate) appeal summary judgment dismissal of their lawsuit against WSU. WSU contends that it </w:t>
      </w:r>
      <w:proofErr w:type="gramStart"/>
      <w:r w:rsidRPr="00151EBE">
        <w:rPr>
          <w:rFonts w:ascii="Times New Roman" w:hAnsi="Times New Roman"/>
          <w:sz w:val="24"/>
          <w:szCs w:val="24"/>
        </w:rPr>
        <w:t>owed</w:t>
      </w:r>
      <w:proofErr w:type="gramEnd"/>
      <w:r w:rsidRPr="00151EBE">
        <w:rPr>
          <w:rFonts w:ascii="Times New Roman" w:hAnsi="Times New Roman"/>
          <w:sz w:val="24"/>
          <w:szCs w:val="24"/>
        </w:rPr>
        <w:t xml:space="preserve"> no duty to protect Sam. Because WSU has a special</w:t>
      </w:r>
    </w:p>
    <w:p w14:paraId="0F8F3827"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relationship with its recognized fraternal organizations, we conclude that it owed a duty to use reasonable care to control the fraternity and protect Sam from the foreseeable harms of fraternal hazing and alcohol misuse. We reverse and remand.</w:t>
      </w:r>
    </w:p>
    <w:p w14:paraId="0469F315" w14:textId="77777777" w:rsidR="00743B05" w:rsidRPr="00151EBE" w:rsidRDefault="00743B05" w:rsidP="00743B05">
      <w:pPr>
        <w:rPr>
          <w:rFonts w:ascii="Times New Roman" w:hAnsi="Times New Roman"/>
          <w:bCs/>
          <w:sz w:val="24"/>
          <w:szCs w:val="24"/>
        </w:rPr>
      </w:pPr>
    </w:p>
    <w:p w14:paraId="6F9F27F8" w14:textId="77777777" w:rsidR="00743B05" w:rsidRPr="00151EBE" w:rsidRDefault="00743B05" w:rsidP="00743B05">
      <w:pPr>
        <w:rPr>
          <w:rFonts w:ascii="Times New Roman" w:hAnsi="Times New Roman"/>
          <w:bCs/>
          <w:sz w:val="24"/>
          <w:szCs w:val="24"/>
        </w:rPr>
      </w:pPr>
      <w:r w:rsidRPr="00151EBE">
        <w:rPr>
          <w:rFonts w:ascii="Times New Roman" w:hAnsi="Times New Roman"/>
          <w:sz w:val="24"/>
          <w:szCs w:val="24"/>
        </w:rPr>
        <w:lastRenderedPageBreak/>
        <w:tab/>
        <w:t>***</w:t>
      </w:r>
    </w:p>
    <w:p w14:paraId="47CD4FE7"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During the ritual [on Nov. 11, 2019] Sam drank straight from the bottle. After 30 to 45 minutes in the live-out house, the event moved to Gamma Chi’s chapter house, where the drinking continued. Sam ‘tried to shotgun a beer’ and drank ‘clear hard alcohol.’ He began ‘slurring his words’ and ‘lost coordination.’ After seeing Sam ‘getting visibly more intoxicated,’ Oswald ‘cut him off’ around 11:00 p.m., telling Sam, ‘Hey, let’s take a break for a little bit.’ Sam eventually passed out on a couch in Oswald’s room. ‘He was asleep</w:t>
      </w:r>
    </w:p>
    <w:p w14:paraId="2A7F1FAB"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 xml:space="preserve">for a while, woke back up, and was still visibly drunk.’ So, Oswald and another fraternity member carried Sam to the bathroom and tried to force him to vomit for 5 to 10 minutes. Their efforts failed. A few people then helped Oswald move Sam to the </w:t>
      </w:r>
      <w:proofErr w:type="gramStart"/>
      <w:r w:rsidRPr="00151EBE">
        <w:rPr>
          <w:rFonts w:ascii="Times New Roman" w:hAnsi="Times New Roman"/>
          <w:sz w:val="24"/>
          <w:szCs w:val="24"/>
        </w:rPr>
        <w:t>basement, ‘</w:t>
      </w:r>
      <w:proofErr w:type="gramEnd"/>
      <w:r w:rsidRPr="00151EBE">
        <w:rPr>
          <w:rFonts w:ascii="Times New Roman" w:hAnsi="Times New Roman"/>
          <w:sz w:val="24"/>
          <w:szCs w:val="24"/>
        </w:rPr>
        <w:t xml:space="preserve">where a variety of pledges were already asleep.’ They placed Sam on a couch, where he remained ‘for the rest of the night.’ Oswald said he checked on Sam ‘two to three </w:t>
      </w:r>
      <w:proofErr w:type="gramStart"/>
      <w:r w:rsidRPr="00151EBE">
        <w:rPr>
          <w:rFonts w:ascii="Times New Roman" w:hAnsi="Times New Roman"/>
          <w:sz w:val="24"/>
          <w:szCs w:val="24"/>
        </w:rPr>
        <w:t>times’</w:t>
      </w:r>
      <w:proofErr w:type="gramEnd"/>
      <w:r w:rsidRPr="00151EBE">
        <w:rPr>
          <w:rFonts w:ascii="Times New Roman" w:hAnsi="Times New Roman"/>
          <w:sz w:val="24"/>
          <w:szCs w:val="24"/>
        </w:rPr>
        <w:t xml:space="preserve"> before going to bed around 3:00 a.m. on November 12. Hours later at about 9:00 a.m., Gamma Chi member Soreano found Sam face down on the couch with </w:t>
      </w:r>
      <w:proofErr w:type="gramStart"/>
      <w:r w:rsidRPr="00151EBE">
        <w:rPr>
          <w:rFonts w:ascii="Times New Roman" w:hAnsi="Times New Roman"/>
          <w:sz w:val="24"/>
          <w:szCs w:val="24"/>
        </w:rPr>
        <w:t>vomit</w:t>
      </w:r>
      <w:proofErr w:type="gramEnd"/>
      <w:r w:rsidRPr="00151EBE">
        <w:rPr>
          <w:rFonts w:ascii="Times New Roman" w:hAnsi="Times New Roman"/>
          <w:sz w:val="24"/>
          <w:szCs w:val="24"/>
        </w:rPr>
        <w:t xml:space="preserve"> in his mouth and unresponsive. He called 911 and tried to resuscitate Sam. Paramedics arrived but ceased their efforts to resuscitate Sam soon after. The medical examiner determined Sam died from ‘acute ethanol intoxication’ at about 4:30 a.m. on November 12, 2019. His</w:t>
      </w:r>
    </w:p>
    <w:p w14:paraId="69EEB949"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femoral blood alcohol concentration measured 0.372. Sam had just turned 19 years old in October.”</w:t>
      </w:r>
    </w:p>
    <w:p w14:paraId="06472161" w14:textId="77777777" w:rsidR="00743B05" w:rsidRPr="00151EBE" w:rsidRDefault="00743B05" w:rsidP="00743B05">
      <w:pPr>
        <w:rPr>
          <w:rFonts w:ascii="Times New Roman" w:hAnsi="Times New Roman"/>
          <w:b/>
          <w:sz w:val="24"/>
          <w:szCs w:val="24"/>
        </w:rPr>
      </w:pPr>
    </w:p>
    <w:p w14:paraId="71D84361" w14:textId="57D37232" w:rsidR="00743B05" w:rsidRPr="00151EBE" w:rsidRDefault="00743B05" w:rsidP="00743B05">
      <w:pPr>
        <w:rPr>
          <w:rFonts w:ascii="Times New Roman" w:hAnsi="Times New Roman"/>
          <w:b/>
          <w:sz w:val="24"/>
          <w:szCs w:val="24"/>
        </w:rPr>
      </w:pPr>
      <w:r w:rsidRPr="00151EBE">
        <w:rPr>
          <w:rFonts w:ascii="Times New Roman" w:hAnsi="Times New Roman"/>
          <w:b/>
          <w:sz w:val="24"/>
          <w:szCs w:val="24"/>
        </w:rPr>
        <w:t>Legal Lesson Learned: Fire &amp; EMS responders are all too familiar with deaths by students in fraternities and elsewhere from acute ethanol intoxication.</w:t>
      </w:r>
      <w:r w:rsidR="00151EBE">
        <w:rPr>
          <w:rFonts w:ascii="Times New Roman" w:hAnsi="Times New Roman"/>
          <w:b/>
          <w:sz w:val="24"/>
          <w:szCs w:val="24"/>
        </w:rPr>
        <w:t xml:space="preserve"> Perhaps this decision will “get the attention” of </w:t>
      </w:r>
      <w:proofErr w:type="gramStart"/>
      <w:r w:rsidR="00CC049C">
        <w:rPr>
          <w:rFonts w:ascii="Times New Roman" w:hAnsi="Times New Roman"/>
          <w:b/>
          <w:sz w:val="24"/>
          <w:szCs w:val="24"/>
        </w:rPr>
        <w:t>University</w:t>
      </w:r>
      <w:proofErr w:type="gramEnd"/>
      <w:r w:rsidR="00CC049C">
        <w:rPr>
          <w:rFonts w:ascii="Times New Roman" w:hAnsi="Times New Roman"/>
          <w:b/>
          <w:sz w:val="24"/>
          <w:szCs w:val="24"/>
        </w:rPr>
        <w:t xml:space="preserve"> officials who </w:t>
      </w:r>
      <w:r w:rsidR="00896888">
        <w:rPr>
          <w:rFonts w:ascii="Times New Roman" w:hAnsi="Times New Roman"/>
          <w:b/>
          <w:sz w:val="24"/>
          <w:szCs w:val="24"/>
        </w:rPr>
        <w:t xml:space="preserve">have responsibilities </w:t>
      </w:r>
      <w:r w:rsidR="00275738">
        <w:rPr>
          <w:rFonts w:ascii="Times New Roman" w:hAnsi="Times New Roman"/>
          <w:b/>
          <w:sz w:val="24"/>
          <w:szCs w:val="24"/>
        </w:rPr>
        <w:t xml:space="preserve">concerning </w:t>
      </w:r>
      <w:r w:rsidR="00CC049C">
        <w:rPr>
          <w:rFonts w:ascii="Times New Roman" w:hAnsi="Times New Roman"/>
          <w:b/>
          <w:sz w:val="24"/>
          <w:szCs w:val="24"/>
        </w:rPr>
        <w:t xml:space="preserve">fraternities. </w:t>
      </w:r>
    </w:p>
    <w:p w14:paraId="61ECE281" w14:textId="77777777" w:rsidR="00743B05" w:rsidRDefault="00743B05" w:rsidP="00F326E5">
      <w:pPr>
        <w:rPr>
          <w:rFonts w:ascii="Arial Black" w:hAnsi="Arial Black"/>
          <w:b/>
          <w:sz w:val="24"/>
          <w:szCs w:val="24"/>
        </w:rPr>
      </w:pPr>
    </w:p>
    <w:p w14:paraId="56C1FBB0" w14:textId="7C074363" w:rsidR="00BF78AE" w:rsidRDefault="00BF78AE" w:rsidP="00F326E5">
      <w:pPr>
        <w:rPr>
          <w:rFonts w:ascii="Arial Black" w:hAnsi="Arial Black"/>
          <w:b/>
          <w:sz w:val="24"/>
          <w:szCs w:val="24"/>
        </w:rPr>
      </w:pPr>
      <w:r>
        <w:rPr>
          <w:rFonts w:ascii="Arial Black" w:hAnsi="Arial Black"/>
          <w:b/>
          <w:sz w:val="24"/>
          <w:szCs w:val="24"/>
        </w:rPr>
        <w:t>12-28</w:t>
      </w:r>
    </w:p>
    <w:p w14:paraId="3C188998" w14:textId="77777777" w:rsidR="00BF78AE" w:rsidRPr="00E17720" w:rsidRDefault="00BF78AE" w:rsidP="00BF78AE">
      <w:pPr>
        <w:pStyle w:val="NoSpacing"/>
        <w:rPr>
          <w:rFonts w:ascii="Arial Black" w:hAnsi="Arial Black"/>
          <w:b/>
          <w:sz w:val="28"/>
          <w:szCs w:val="28"/>
        </w:rPr>
      </w:pPr>
      <w:r>
        <w:rPr>
          <w:rFonts w:ascii="Arial Black" w:hAnsi="Arial Black"/>
          <w:b/>
          <w:sz w:val="28"/>
          <w:szCs w:val="28"/>
        </w:rPr>
        <w:t>MT: NEW RANDOM POLICY – MUST BARGAIN</w:t>
      </w:r>
    </w:p>
    <w:p w14:paraId="14635188" w14:textId="77777777" w:rsidR="00BF78AE" w:rsidRDefault="00BF78AE" w:rsidP="00BF78AE">
      <w:pPr>
        <w:pStyle w:val="NoSpacing"/>
        <w:rPr>
          <w:b/>
        </w:rPr>
      </w:pPr>
      <w:r>
        <w:rPr>
          <w:b/>
        </w:rPr>
        <w:t xml:space="preserve"> </w:t>
      </w:r>
    </w:p>
    <w:p w14:paraId="470B9448" w14:textId="0927FC7E" w:rsidR="0026092A" w:rsidRPr="0026092A" w:rsidRDefault="0026092A" w:rsidP="00BF78AE">
      <w:pPr>
        <w:pStyle w:val="NoSpacing"/>
        <w:rPr>
          <w:rFonts w:ascii="Times New Roman" w:hAnsi="Times New Roman"/>
          <w:sz w:val="24"/>
          <w:szCs w:val="24"/>
        </w:rPr>
      </w:pPr>
      <w:r w:rsidRPr="0026092A">
        <w:rPr>
          <w:rFonts w:ascii="Times New Roman" w:hAnsi="Times New Roman"/>
          <w:sz w:val="24"/>
          <w:szCs w:val="24"/>
        </w:rPr>
        <w:t xml:space="preserve">On Dec. 10, 2024, in </w:t>
      </w:r>
      <w:r w:rsidRPr="0026092A">
        <w:rPr>
          <w:rFonts w:ascii="Times New Roman" w:hAnsi="Times New Roman"/>
          <w:sz w:val="24"/>
          <w:szCs w:val="24"/>
          <w:u w:val="single"/>
        </w:rPr>
        <w:t xml:space="preserve">City of Great Falls v. Int'l </w:t>
      </w:r>
      <w:proofErr w:type="spellStart"/>
      <w:r w:rsidRPr="0026092A">
        <w:rPr>
          <w:rFonts w:ascii="Times New Roman" w:hAnsi="Times New Roman"/>
          <w:sz w:val="24"/>
          <w:szCs w:val="24"/>
          <w:u w:val="single"/>
        </w:rPr>
        <w:t>Ass'n</w:t>
      </w:r>
      <w:proofErr w:type="spellEnd"/>
      <w:r w:rsidRPr="0026092A">
        <w:rPr>
          <w:rFonts w:ascii="Times New Roman" w:hAnsi="Times New Roman"/>
          <w:sz w:val="24"/>
          <w:szCs w:val="24"/>
          <w:u w:val="single"/>
        </w:rPr>
        <w:t xml:space="preserve"> of Fire Fighters, Local #8</w:t>
      </w:r>
      <w:r w:rsidRPr="0026092A">
        <w:rPr>
          <w:rFonts w:ascii="Times New Roman" w:hAnsi="Times New Roman"/>
          <w:sz w:val="24"/>
          <w:szCs w:val="24"/>
        </w:rPr>
        <w:t xml:space="preserve">, the Supreme Court of Montana held (5 to 0) that the city failed to collectively bargain the new policy and failed to exhaust its administrative remedies. The pre-2019 collectively bargained random drug testing policy applied only to employees with CDLs [commercial driver licenses] and specific “safety-sensitive positions.”   The new policy included all city drivers of city vehicles, including firefighters. Multiple city unions filed unfair labor practice charges with the Montana Board of Personnel Appeals (MBPA), and on October 22, </w:t>
      </w:r>
      <w:proofErr w:type="gramStart"/>
      <w:r w:rsidRPr="0026092A">
        <w:rPr>
          <w:rFonts w:ascii="Times New Roman" w:hAnsi="Times New Roman"/>
          <w:sz w:val="24"/>
          <w:szCs w:val="24"/>
        </w:rPr>
        <w:t>2020</w:t>
      </w:r>
      <w:proofErr w:type="gramEnd"/>
      <w:r w:rsidRPr="0026092A">
        <w:rPr>
          <w:rFonts w:ascii="Times New Roman" w:hAnsi="Times New Roman"/>
          <w:sz w:val="24"/>
          <w:szCs w:val="24"/>
        </w:rPr>
        <w:t xml:space="preserve"> the hearing officer found for the unions. The city did not appeal to the MBPA, but instead on November 20, 2020, petitioned for district court judicial review. The District Court judge denied the petition since the city failed to exhaust administrative rights. </w:t>
      </w:r>
      <w:hyperlink r:id="rId1845" w:history="1">
        <w:r w:rsidRPr="0026092A">
          <w:rPr>
            <w:rStyle w:val="Hyperlink"/>
            <w:rFonts w:ascii="Times New Roman" w:hAnsi="Times New Roman"/>
            <w:sz w:val="24"/>
            <w:szCs w:val="24"/>
          </w:rPr>
          <w:t>https://casetext.com/case/city-of-great-falls-v-intl-assn-of-fire-fighters-loca</w:t>
        </w:r>
      </w:hyperlink>
    </w:p>
    <w:p w14:paraId="37F1554E" w14:textId="77777777" w:rsidR="0026092A" w:rsidRPr="0026092A" w:rsidRDefault="0026092A" w:rsidP="00BF78AE">
      <w:pPr>
        <w:pStyle w:val="NoSpacing"/>
        <w:rPr>
          <w:rFonts w:ascii="Times New Roman" w:hAnsi="Times New Roman"/>
          <w:sz w:val="24"/>
          <w:szCs w:val="24"/>
        </w:rPr>
      </w:pPr>
    </w:p>
    <w:p w14:paraId="413B828E" w14:textId="014F1AB3" w:rsidR="00BF78AE" w:rsidRPr="005A220C" w:rsidRDefault="00BF78AE" w:rsidP="00BF78AE">
      <w:pPr>
        <w:pStyle w:val="NoSpacing"/>
        <w:rPr>
          <w:rFonts w:ascii="Times New Roman" w:hAnsi="Times New Roman"/>
          <w:sz w:val="24"/>
          <w:szCs w:val="24"/>
        </w:rPr>
      </w:pPr>
      <w:r w:rsidRPr="005A220C">
        <w:rPr>
          <w:rFonts w:ascii="Times New Roman" w:hAnsi="Times New Roman"/>
          <w:sz w:val="24"/>
          <w:szCs w:val="24"/>
        </w:rPr>
        <w:t xml:space="preserve">The </w:t>
      </w:r>
      <w:r w:rsidR="0026092A">
        <w:rPr>
          <w:rFonts w:ascii="Times New Roman" w:hAnsi="Times New Roman"/>
          <w:sz w:val="24"/>
          <w:szCs w:val="24"/>
        </w:rPr>
        <w:t xml:space="preserve">MT </w:t>
      </w:r>
      <w:r w:rsidRPr="005A220C">
        <w:rPr>
          <w:rFonts w:ascii="Times New Roman" w:hAnsi="Times New Roman"/>
          <w:sz w:val="24"/>
          <w:szCs w:val="24"/>
        </w:rPr>
        <w:t>Supreme Court wrote:</w:t>
      </w:r>
    </w:p>
    <w:p w14:paraId="230C6B9D" w14:textId="77777777" w:rsidR="00BF78AE" w:rsidRPr="005A220C" w:rsidRDefault="00BF78AE" w:rsidP="00BF78AE">
      <w:pPr>
        <w:pStyle w:val="NoSpacing"/>
        <w:rPr>
          <w:rFonts w:ascii="Times New Roman" w:hAnsi="Times New Roman"/>
          <w:sz w:val="24"/>
          <w:szCs w:val="24"/>
        </w:rPr>
      </w:pPr>
    </w:p>
    <w:p w14:paraId="2E891A56" w14:textId="77777777" w:rsidR="00BF78AE" w:rsidRPr="005A220C" w:rsidRDefault="00BF78AE" w:rsidP="00BF78AE">
      <w:pPr>
        <w:pStyle w:val="NoSpacing"/>
        <w:ind w:left="720"/>
        <w:rPr>
          <w:rFonts w:ascii="Times New Roman" w:hAnsi="Times New Roman"/>
          <w:sz w:val="24"/>
          <w:szCs w:val="24"/>
        </w:rPr>
      </w:pPr>
      <w:r w:rsidRPr="005A220C">
        <w:rPr>
          <w:rFonts w:ascii="Times New Roman" w:hAnsi="Times New Roman"/>
          <w:sz w:val="24"/>
          <w:szCs w:val="24"/>
        </w:rPr>
        <w:t xml:space="preserve">“We must thus consider whether the District Court correctly concluded that the October 2020 hearing examiner's decision and order was not eligible for judicial review under </w:t>
      </w:r>
      <w:hyperlink r:id="rId1846" w:history="1">
        <w:r w:rsidRPr="005A220C">
          <w:rPr>
            <w:rStyle w:val="Hyperlink"/>
            <w:rFonts w:ascii="Times New Roman" w:hAnsi="Times New Roman"/>
            <w:sz w:val="24"/>
            <w:szCs w:val="24"/>
          </w:rPr>
          <w:t>§ 2-4-702(1)(a), MCA</w:t>
        </w:r>
      </w:hyperlink>
      <w:r w:rsidRPr="005A220C">
        <w:rPr>
          <w:rFonts w:ascii="Times New Roman" w:hAnsi="Times New Roman"/>
          <w:sz w:val="24"/>
          <w:szCs w:val="24"/>
        </w:rPr>
        <w:t xml:space="preserve">, due to the City's failure to exhaust the administrative ‘exceptions’ and final agency review remedy provided by </w:t>
      </w:r>
      <w:hyperlink r:id="rId1847" w:history="1">
        <w:r w:rsidRPr="005A220C">
          <w:rPr>
            <w:rStyle w:val="Hyperlink"/>
            <w:rFonts w:ascii="Times New Roman" w:hAnsi="Times New Roman"/>
            <w:sz w:val="24"/>
            <w:szCs w:val="24"/>
          </w:rPr>
          <w:t>§§ 39-31-406(6)</w:t>
        </w:r>
      </w:hyperlink>
      <w:r w:rsidRPr="005A220C">
        <w:rPr>
          <w:rFonts w:ascii="Times New Roman" w:hAnsi="Times New Roman"/>
          <w:sz w:val="24"/>
          <w:szCs w:val="24"/>
        </w:rPr>
        <w:t xml:space="preserve">, </w:t>
      </w:r>
      <w:hyperlink r:id="rId1848" w:history="1">
        <w:r w:rsidRPr="005A220C">
          <w:rPr>
            <w:rStyle w:val="Hyperlink"/>
            <w:rFonts w:ascii="Times New Roman" w:hAnsi="Times New Roman"/>
            <w:sz w:val="24"/>
            <w:szCs w:val="24"/>
          </w:rPr>
          <w:t>2-4-621(1)</w:t>
        </w:r>
      </w:hyperlink>
      <w:r w:rsidRPr="005A220C">
        <w:rPr>
          <w:rFonts w:ascii="Times New Roman" w:hAnsi="Times New Roman"/>
          <w:sz w:val="24"/>
          <w:szCs w:val="24"/>
        </w:rPr>
        <w:t xml:space="preserve">-(3), and -623(1)(a), MCA. *** We hold that the District Court correctly concluded that the hearing examiner's October 2020 proposed agency/MBPA decision and order was not eligible for judicial review as a preliminary order under </w:t>
      </w:r>
      <w:hyperlink r:id="rId1849" w:history="1">
        <w:r w:rsidRPr="005A220C">
          <w:rPr>
            <w:rStyle w:val="Hyperlink"/>
            <w:rFonts w:ascii="Times New Roman" w:hAnsi="Times New Roman"/>
            <w:sz w:val="24"/>
            <w:szCs w:val="24"/>
          </w:rPr>
          <w:t>§ 2-4-701, MCA.</w:t>
        </w:r>
      </w:hyperlink>
      <w:r w:rsidRPr="005A220C">
        <w:rPr>
          <w:rFonts w:ascii="Times New Roman" w:hAnsi="Times New Roman"/>
          <w:sz w:val="24"/>
          <w:szCs w:val="24"/>
        </w:rPr>
        <w:t xml:space="preserve"> We hold further that the District Court also correctly concluded that the resulting October 2020 final agency/MBPA decision and order was not eligible for judicial review under </w:t>
      </w:r>
      <w:hyperlink r:id="rId1850" w:history="1">
        <w:r w:rsidRPr="005A220C">
          <w:rPr>
            <w:rStyle w:val="Hyperlink"/>
            <w:rFonts w:ascii="Times New Roman" w:hAnsi="Times New Roman"/>
            <w:sz w:val="24"/>
            <w:szCs w:val="24"/>
          </w:rPr>
          <w:t>§ 2-4-702(1)(a), MCA</w:t>
        </w:r>
      </w:hyperlink>
      <w:r w:rsidRPr="005A220C">
        <w:rPr>
          <w:rFonts w:ascii="Times New Roman" w:hAnsi="Times New Roman"/>
          <w:sz w:val="24"/>
          <w:szCs w:val="24"/>
        </w:rPr>
        <w:t xml:space="preserve">, due to the City's failure to exhaust the ‘exceptions’ and final agency review remedy available under </w:t>
      </w:r>
      <w:hyperlink r:id="rId1851" w:history="1">
        <w:r w:rsidRPr="005A220C">
          <w:rPr>
            <w:rStyle w:val="Hyperlink"/>
            <w:rFonts w:ascii="Times New Roman" w:hAnsi="Times New Roman"/>
            <w:sz w:val="24"/>
            <w:szCs w:val="24"/>
          </w:rPr>
          <w:t>§§ 39-31-406(6)</w:t>
        </w:r>
      </w:hyperlink>
      <w:r w:rsidRPr="005A220C">
        <w:rPr>
          <w:rFonts w:ascii="Times New Roman" w:hAnsi="Times New Roman"/>
          <w:sz w:val="24"/>
          <w:szCs w:val="24"/>
        </w:rPr>
        <w:t xml:space="preserve">, </w:t>
      </w:r>
      <w:hyperlink r:id="rId1852" w:history="1">
        <w:r w:rsidRPr="005A220C">
          <w:rPr>
            <w:rStyle w:val="Hyperlink"/>
            <w:rFonts w:ascii="Times New Roman" w:hAnsi="Times New Roman"/>
            <w:sz w:val="24"/>
            <w:szCs w:val="24"/>
          </w:rPr>
          <w:t>2-4-621(1)</w:t>
        </w:r>
      </w:hyperlink>
      <w:r w:rsidRPr="005A220C">
        <w:rPr>
          <w:rFonts w:ascii="Times New Roman" w:hAnsi="Times New Roman"/>
          <w:sz w:val="24"/>
          <w:szCs w:val="24"/>
        </w:rPr>
        <w:t>-</w:t>
      </w:r>
      <w:r w:rsidRPr="005A220C">
        <w:rPr>
          <w:rFonts w:ascii="Times New Roman" w:hAnsi="Times New Roman"/>
          <w:sz w:val="24"/>
          <w:szCs w:val="24"/>
        </w:rPr>
        <w:lastRenderedPageBreak/>
        <w:t>(3), and -623(1)(a), MCA. The District Court's 2022 order and judgment denying the City's petition for judicial review of the October 2020 MBPA hearing examiner decision and order is therefore AFFIRMED.”</w:t>
      </w:r>
    </w:p>
    <w:p w14:paraId="6C12D886" w14:textId="0D77E60D" w:rsidR="00BF78AE" w:rsidRDefault="00BF78AE" w:rsidP="0026092A">
      <w:pPr>
        <w:pStyle w:val="NoSpacing"/>
        <w:ind w:left="720"/>
      </w:pPr>
      <w:r w:rsidRPr="005A220C">
        <w:rPr>
          <w:rFonts w:ascii="Times New Roman" w:hAnsi="Times New Roman"/>
          <w:sz w:val="24"/>
          <w:szCs w:val="24"/>
        </w:rPr>
        <w:t xml:space="preserve"> </w:t>
      </w:r>
    </w:p>
    <w:p w14:paraId="5A0B81C0" w14:textId="77777777" w:rsidR="003923C6" w:rsidRPr="003923C6" w:rsidRDefault="003923C6" w:rsidP="003923C6">
      <w:pPr>
        <w:pStyle w:val="NoSpacing"/>
        <w:rPr>
          <w:rFonts w:ascii="Times New Roman" w:hAnsi="Times New Roman"/>
          <w:bCs/>
          <w:sz w:val="24"/>
          <w:szCs w:val="24"/>
        </w:rPr>
      </w:pPr>
      <w:r w:rsidRPr="003923C6">
        <w:rPr>
          <w:rFonts w:ascii="Times New Roman" w:hAnsi="Times New Roman"/>
          <w:sz w:val="24"/>
          <w:szCs w:val="24"/>
        </w:rPr>
        <w:t>HOLDING:</w:t>
      </w:r>
    </w:p>
    <w:p w14:paraId="067D8DC0" w14:textId="77777777" w:rsidR="003923C6" w:rsidRPr="003923C6" w:rsidRDefault="003923C6" w:rsidP="003923C6">
      <w:pPr>
        <w:pStyle w:val="NoSpacing"/>
        <w:rPr>
          <w:rFonts w:ascii="Times New Roman" w:hAnsi="Times New Roman"/>
          <w:bCs/>
          <w:sz w:val="24"/>
          <w:szCs w:val="24"/>
        </w:rPr>
      </w:pPr>
    </w:p>
    <w:p w14:paraId="19B3C0EA" w14:textId="77777777" w:rsidR="003923C6" w:rsidRPr="003923C6" w:rsidRDefault="003923C6" w:rsidP="003923C6">
      <w:pPr>
        <w:pStyle w:val="NoSpacing"/>
        <w:ind w:left="720"/>
        <w:rPr>
          <w:rFonts w:ascii="Times New Roman" w:hAnsi="Times New Roman"/>
          <w:bCs/>
          <w:sz w:val="24"/>
          <w:szCs w:val="24"/>
        </w:rPr>
      </w:pPr>
      <w:r w:rsidRPr="003923C6">
        <w:rPr>
          <w:rFonts w:ascii="Times New Roman" w:hAnsi="Times New Roman"/>
          <w:sz w:val="24"/>
          <w:szCs w:val="24"/>
        </w:rPr>
        <w:t xml:space="preserve">“We hold that the District Court correctly concluded that the hearing examiner's October 2020 proposed agency/MBPA decision and order was not eligible for judicial review as a preliminary order under </w:t>
      </w:r>
      <w:hyperlink r:id="rId1853" w:history="1">
        <w:r w:rsidRPr="003923C6">
          <w:rPr>
            <w:rStyle w:val="Hyperlink"/>
            <w:rFonts w:ascii="Times New Roman" w:hAnsi="Times New Roman"/>
            <w:sz w:val="24"/>
            <w:szCs w:val="24"/>
          </w:rPr>
          <w:t>§ 2-4-701, MCA.</w:t>
        </w:r>
      </w:hyperlink>
      <w:r w:rsidRPr="003923C6">
        <w:rPr>
          <w:rFonts w:ascii="Times New Roman" w:hAnsi="Times New Roman"/>
          <w:sz w:val="24"/>
          <w:szCs w:val="24"/>
        </w:rPr>
        <w:t>”</w:t>
      </w:r>
    </w:p>
    <w:p w14:paraId="1FFC9366" w14:textId="77777777" w:rsidR="003923C6" w:rsidRPr="003923C6" w:rsidRDefault="003923C6" w:rsidP="003923C6">
      <w:pPr>
        <w:pStyle w:val="NoSpacing"/>
        <w:ind w:left="720"/>
        <w:rPr>
          <w:rFonts w:ascii="Times New Roman" w:hAnsi="Times New Roman"/>
          <w:bCs/>
          <w:sz w:val="24"/>
          <w:szCs w:val="24"/>
        </w:rPr>
      </w:pPr>
    </w:p>
    <w:p w14:paraId="37AF60FC" w14:textId="77777777" w:rsidR="003923C6" w:rsidRPr="003923C6" w:rsidRDefault="003923C6" w:rsidP="003923C6">
      <w:pPr>
        <w:pStyle w:val="NoSpacing"/>
        <w:rPr>
          <w:rFonts w:ascii="Times New Roman" w:hAnsi="Times New Roman"/>
          <w:b/>
          <w:sz w:val="24"/>
          <w:szCs w:val="24"/>
        </w:rPr>
      </w:pPr>
      <w:r w:rsidRPr="003923C6">
        <w:rPr>
          <w:rFonts w:ascii="Times New Roman" w:hAnsi="Times New Roman"/>
          <w:b/>
          <w:sz w:val="24"/>
          <w:szCs w:val="24"/>
        </w:rPr>
        <w:t xml:space="preserve">Legal Lesson Learned:  A collectively bargained random drug testing policy can be modified through additional collective bargaining. </w:t>
      </w:r>
    </w:p>
    <w:p w14:paraId="188186AE" w14:textId="77777777" w:rsidR="00BF78AE" w:rsidRDefault="00BF78AE" w:rsidP="00F326E5">
      <w:pPr>
        <w:rPr>
          <w:rFonts w:ascii="Arial Black" w:hAnsi="Arial Black"/>
          <w:b/>
          <w:sz w:val="24"/>
          <w:szCs w:val="24"/>
        </w:rPr>
      </w:pPr>
    </w:p>
    <w:p w14:paraId="63CE13DA" w14:textId="77777777" w:rsidR="00BF78AE" w:rsidRDefault="00BF78AE" w:rsidP="00F326E5">
      <w:pPr>
        <w:rPr>
          <w:rFonts w:ascii="Arial Black" w:hAnsi="Arial Black"/>
          <w:b/>
          <w:sz w:val="24"/>
          <w:szCs w:val="24"/>
        </w:rPr>
      </w:pPr>
    </w:p>
    <w:p w14:paraId="6D4882FD" w14:textId="77777777" w:rsidR="00BF78AE" w:rsidRDefault="00BF78AE" w:rsidP="00F326E5">
      <w:pPr>
        <w:rPr>
          <w:rFonts w:ascii="Arial Black" w:hAnsi="Arial Black"/>
          <w:b/>
          <w:sz w:val="24"/>
          <w:szCs w:val="24"/>
        </w:rPr>
      </w:pPr>
    </w:p>
    <w:p w14:paraId="0F8553BF" w14:textId="73DC80DD" w:rsidR="00081AD1" w:rsidRDefault="00081AD1" w:rsidP="00F326E5">
      <w:pPr>
        <w:rPr>
          <w:rFonts w:ascii="Arial Black" w:hAnsi="Arial Black"/>
          <w:b/>
          <w:sz w:val="24"/>
          <w:szCs w:val="24"/>
        </w:rPr>
      </w:pPr>
      <w:r>
        <w:rPr>
          <w:rFonts w:ascii="Arial Black" w:hAnsi="Arial Black"/>
          <w:b/>
          <w:sz w:val="24"/>
          <w:szCs w:val="24"/>
        </w:rPr>
        <w:t>12-27</w:t>
      </w:r>
    </w:p>
    <w:p w14:paraId="49253D6F" w14:textId="77777777" w:rsidR="003378B6" w:rsidRPr="00340F44" w:rsidRDefault="003378B6" w:rsidP="003378B6">
      <w:pPr>
        <w:rPr>
          <w:rFonts w:ascii="Arial Black" w:hAnsi="Arial Black"/>
          <w:b/>
          <w:bCs/>
          <w:sz w:val="28"/>
        </w:rPr>
      </w:pPr>
      <w:r>
        <w:rPr>
          <w:rFonts w:ascii="Arial Black" w:hAnsi="Arial Black"/>
          <w:b/>
          <w:bCs/>
          <w:sz w:val="28"/>
        </w:rPr>
        <w:t>IN: FF DRUG TEST - MARIJUANA – ADMIN. INVEST. STOPPED, MIGHT NOT HAVE USED – CANNOT SUE CITY</w:t>
      </w:r>
    </w:p>
    <w:p w14:paraId="34B2A16B" w14:textId="77777777" w:rsidR="003378B6" w:rsidRPr="003378B6" w:rsidRDefault="003378B6" w:rsidP="003378B6">
      <w:pPr>
        <w:rPr>
          <w:rFonts w:ascii="Times New Roman" w:hAnsi="Times New Roman"/>
          <w:sz w:val="24"/>
          <w:szCs w:val="24"/>
        </w:rPr>
      </w:pPr>
      <w:r w:rsidRPr="003378B6">
        <w:rPr>
          <w:rFonts w:ascii="Times New Roman" w:hAnsi="Times New Roman"/>
          <w:sz w:val="24"/>
          <w:szCs w:val="24"/>
        </w:rPr>
        <w:t xml:space="preserve">On Aug. 8, 2024, in </w:t>
      </w:r>
      <w:r w:rsidRPr="003378B6">
        <w:rPr>
          <w:rFonts w:ascii="Times New Roman" w:hAnsi="Times New Roman"/>
          <w:sz w:val="24"/>
          <w:szCs w:val="24"/>
          <w:u w:val="single"/>
        </w:rPr>
        <w:t xml:space="preserve">Paul Russell v. John Doe, M.D., John Doe Hospital, John Doe Retracted Network, Inc. d/b/a John Doe Redacted Health, Omega Laboratories Inc., and City of East Chicago, </w:t>
      </w:r>
      <w:r w:rsidRPr="003378B6">
        <w:rPr>
          <w:rFonts w:ascii="Times New Roman" w:hAnsi="Times New Roman"/>
          <w:sz w:val="24"/>
          <w:szCs w:val="24"/>
        </w:rPr>
        <w:t xml:space="preserve">the Court of Appeals of Indiana held (3 to 0) that trial court properly dismissed his complaint against the City of East Chicago. The Court wrote: “In his complaint, Russell made clear that he was ‘not alleging that [the City] wrongly or negligently initiated an administrative process’ but that ‘there came a point in [that] administrative process when [the City] knew or had reason to know that [Russell] had not ingested marijuana.’ Appellant's App. Vol. 2, p. 40; </w:t>
      </w:r>
      <w:r w:rsidRPr="003378B6">
        <w:rPr>
          <w:rFonts w:ascii="Times New Roman" w:hAnsi="Times New Roman"/>
          <w:i/>
          <w:iCs/>
          <w:sz w:val="24"/>
          <w:szCs w:val="24"/>
        </w:rPr>
        <w:t>see also</w:t>
      </w:r>
      <w:r w:rsidRPr="003378B6">
        <w:rPr>
          <w:rFonts w:ascii="Times New Roman" w:hAnsi="Times New Roman"/>
          <w:sz w:val="24"/>
          <w:szCs w:val="24"/>
        </w:rPr>
        <w:t xml:space="preserve"> Appellant's Br. at 45. Russell thus alleged that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had caused him monetary harm by continuing with the administrative process after having received the conflicting evidence. *** Indiana Code section 34-13-3-3(a)(6) provides that a governmental entity "is not liable if a loss </w:t>
      </w:r>
      <w:r w:rsidRPr="003378B6">
        <w:rPr>
          <w:rFonts w:ascii="Times New Roman" w:hAnsi="Times New Roman"/>
          <w:i/>
          <w:iCs/>
          <w:sz w:val="24"/>
          <w:szCs w:val="24"/>
        </w:rPr>
        <w:t>results from</w:t>
      </w:r>
      <w:r w:rsidRPr="003378B6">
        <w:rPr>
          <w:rFonts w:ascii="Times New Roman" w:hAnsi="Times New Roman"/>
          <w:sz w:val="24"/>
          <w:szCs w:val="24"/>
        </w:rPr>
        <w:t xml:space="preserve"> . . . [t]</w:t>
      </w:r>
      <w:proofErr w:type="gramStart"/>
      <w:r w:rsidRPr="003378B6">
        <w:rPr>
          <w:rFonts w:ascii="Times New Roman" w:hAnsi="Times New Roman"/>
          <w:sz w:val="24"/>
          <w:szCs w:val="24"/>
        </w:rPr>
        <w:t>he</w:t>
      </w:r>
      <w:proofErr w:type="gramEnd"/>
      <w:r w:rsidRPr="003378B6">
        <w:rPr>
          <w:rFonts w:ascii="Times New Roman" w:hAnsi="Times New Roman"/>
          <w:sz w:val="24"/>
          <w:szCs w:val="24"/>
        </w:rPr>
        <w:t xml:space="preserve"> initiation of a judicial or an administrative proceeding." (Emphasis added.) We think that language is clear: a governmental entity is not liable for any loss that arises from the initiation of an administrative proceeding or "results from" the initiation of that proceeding. A loss plainly "results from" the initiation of a proceeding if it occurred </w:t>
      </w:r>
      <w:r w:rsidRPr="003378B6">
        <w:rPr>
          <w:rFonts w:ascii="Times New Roman" w:hAnsi="Times New Roman"/>
          <w:i/>
          <w:iCs/>
          <w:sz w:val="24"/>
          <w:szCs w:val="24"/>
        </w:rPr>
        <w:t>during</w:t>
      </w:r>
      <w:r w:rsidRPr="003378B6">
        <w:rPr>
          <w:rFonts w:ascii="Times New Roman" w:hAnsi="Times New Roman"/>
          <w:sz w:val="24"/>
          <w:szCs w:val="24"/>
        </w:rPr>
        <w:t xml:space="preserve"> the proceeding and </w:t>
      </w:r>
      <w:r w:rsidRPr="003378B6">
        <w:rPr>
          <w:rFonts w:ascii="Times New Roman" w:hAnsi="Times New Roman"/>
          <w:i/>
          <w:iCs/>
          <w:sz w:val="24"/>
          <w:szCs w:val="24"/>
        </w:rPr>
        <w:t>after</w:t>
      </w:r>
      <w:r w:rsidRPr="003378B6">
        <w:rPr>
          <w:rFonts w:ascii="Times New Roman" w:hAnsi="Times New Roman"/>
          <w:sz w:val="24"/>
          <w:szCs w:val="24"/>
        </w:rPr>
        <w:t xml:space="preserve"> its initiation.” </w:t>
      </w:r>
      <w:hyperlink r:id="rId1854" w:history="1">
        <w:r w:rsidRPr="003378B6">
          <w:rPr>
            <w:rStyle w:val="Hyperlink"/>
            <w:rFonts w:ascii="Times New Roman" w:hAnsi="Times New Roman"/>
            <w:sz w:val="24"/>
            <w:szCs w:val="24"/>
          </w:rPr>
          <w:t>https://caselaw.findlaw.com/court/in-court-of-appeals/116468399.html</w:t>
        </w:r>
      </w:hyperlink>
      <w:r w:rsidRPr="003378B6">
        <w:rPr>
          <w:rFonts w:ascii="Times New Roman" w:hAnsi="Times New Roman"/>
          <w:sz w:val="24"/>
          <w:szCs w:val="24"/>
        </w:rPr>
        <w:t xml:space="preserve"> </w:t>
      </w:r>
    </w:p>
    <w:p w14:paraId="43E75465" w14:textId="77777777" w:rsidR="003378B6" w:rsidRPr="003378B6" w:rsidRDefault="003378B6" w:rsidP="003378B6">
      <w:pPr>
        <w:rPr>
          <w:rFonts w:ascii="Times New Roman" w:hAnsi="Times New Roman"/>
          <w:sz w:val="24"/>
          <w:szCs w:val="24"/>
        </w:rPr>
      </w:pPr>
      <w:r w:rsidRPr="003378B6">
        <w:rPr>
          <w:rFonts w:ascii="Times New Roman" w:hAnsi="Times New Roman"/>
          <w:sz w:val="24"/>
          <w:szCs w:val="24"/>
        </w:rPr>
        <w:t>THE COURT HELD:</w:t>
      </w:r>
    </w:p>
    <w:p w14:paraId="1C9D8E52" w14:textId="77777777" w:rsidR="003378B6" w:rsidRPr="003378B6" w:rsidRDefault="003378B6" w:rsidP="003378B6">
      <w:pPr>
        <w:ind w:left="720"/>
        <w:rPr>
          <w:rFonts w:ascii="Times New Roman" w:hAnsi="Times New Roman"/>
          <w:sz w:val="24"/>
          <w:szCs w:val="24"/>
        </w:rPr>
      </w:pPr>
      <w:r w:rsidRPr="003378B6">
        <w:rPr>
          <w:rFonts w:ascii="Times New Roman" w:hAnsi="Times New Roman"/>
          <w:sz w:val="24"/>
          <w:szCs w:val="24"/>
        </w:rPr>
        <w:t xml:space="preserve">“Russell's claims against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are expressly premised on information obtained by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after it had initiated the administrative proceedings against him and while those administrative proceedings were ongoing. Russell's claims against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therefore seek to hold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liable for losses that ‘result from’ the City's initiation of the administrative proceedings against Russell.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is therefore immune from Russell's claims, and the trial court properly dismissed them. </w:t>
      </w:r>
    </w:p>
    <w:p w14:paraId="63699B48" w14:textId="77777777" w:rsidR="003378B6" w:rsidRPr="003378B6" w:rsidRDefault="003378B6" w:rsidP="003378B6">
      <w:pPr>
        <w:ind w:left="720"/>
        <w:rPr>
          <w:rFonts w:ascii="Times New Roman" w:hAnsi="Times New Roman"/>
          <w:sz w:val="24"/>
          <w:szCs w:val="24"/>
        </w:rPr>
      </w:pPr>
      <w:r w:rsidRPr="003378B6">
        <w:rPr>
          <w:rFonts w:ascii="Times New Roman" w:hAnsi="Times New Roman"/>
          <w:sz w:val="24"/>
          <w:szCs w:val="24"/>
        </w:rPr>
        <w:t>Still, Russell asserts that, insofar as his claims against the City are premised on ‘intentional misrepresentation’ by the City, they should proceed because Indiana Code section 34-</w:t>
      </w:r>
      <w:proofErr w:type="gramStart"/>
      <w:r w:rsidRPr="003378B6">
        <w:rPr>
          <w:rFonts w:ascii="Times New Roman" w:hAnsi="Times New Roman"/>
          <w:sz w:val="24"/>
          <w:szCs w:val="24"/>
        </w:rPr>
        <w:t>13-3-3</w:t>
      </w:r>
      <w:proofErr w:type="gramEnd"/>
      <w:r w:rsidRPr="003378B6">
        <w:rPr>
          <w:rFonts w:ascii="Times New Roman" w:hAnsi="Times New Roman"/>
          <w:sz w:val="24"/>
          <w:szCs w:val="24"/>
        </w:rPr>
        <w:t xml:space="preserve">(a)(14) </w:t>
      </w:r>
      <w:r w:rsidRPr="003378B6">
        <w:rPr>
          <w:rFonts w:ascii="Times New Roman" w:hAnsi="Times New Roman"/>
          <w:sz w:val="24"/>
          <w:szCs w:val="24"/>
        </w:rPr>
        <w:lastRenderedPageBreak/>
        <w:t xml:space="preserve">provides that a governmental entity is not liable for only ‘unintentional’ misrepresentations. Appellant's Br. at 10-11. But we conclude that section 34-13-3-3(a)(14) is irrelevant where, as here, the governmental entity has established that it is entitled to immunity under a different subsection of the ITCA on the same facts. </w:t>
      </w:r>
    </w:p>
    <w:p w14:paraId="6576FB89" w14:textId="77777777" w:rsidR="003378B6" w:rsidRPr="003378B6" w:rsidRDefault="003378B6" w:rsidP="003378B6">
      <w:pPr>
        <w:ind w:left="720"/>
        <w:rPr>
          <w:rFonts w:ascii="Times New Roman" w:hAnsi="Times New Roman"/>
          <w:sz w:val="24"/>
          <w:szCs w:val="24"/>
        </w:rPr>
      </w:pPr>
      <w:r w:rsidRPr="003378B6">
        <w:rPr>
          <w:rFonts w:ascii="Times New Roman" w:hAnsi="Times New Roman"/>
          <w:sz w:val="24"/>
          <w:szCs w:val="24"/>
        </w:rPr>
        <w:t xml:space="preserve">For </w:t>
      </w:r>
      <w:proofErr w:type="gramStart"/>
      <w:r w:rsidRPr="003378B6">
        <w:rPr>
          <w:rFonts w:ascii="Times New Roman" w:hAnsi="Times New Roman"/>
          <w:sz w:val="24"/>
          <w:szCs w:val="24"/>
        </w:rPr>
        <w:t>all of</w:t>
      </w:r>
      <w:proofErr w:type="gramEnd"/>
      <w:r w:rsidRPr="003378B6">
        <w:rPr>
          <w:rFonts w:ascii="Times New Roman" w:hAnsi="Times New Roman"/>
          <w:sz w:val="24"/>
          <w:szCs w:val="24"/>
        </w:rPr>
        <w:t xml:space="preserve"> these reasons, we affirm the trial court's dismissal of Russell's complaint against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w:t>
      </w:r>
    </w:p>
    <w:p w14:paraId="0D3531F3" w14:textId="77777777" w:rsidR="003378B6" w:rsidRPr="003378B6" w:rsidRDefault="003378B6" w:rsidP="003378B6">
      <w:pPr>
        <w:rPr>
          <w:rFonts w:ascii="Times New Roman" w:hAnsi="Times New Roman"/>
          <w:b/>
          <w:bCs/>
          <w:sz w:val="24"/>
          <w:szCs w:val="24"/>
        </w:rPr>
      </w:pPr>
      <w:r w:rsidRPr="003378B6">
        <w:rPr>
          <w:rFonts w:ascii="Times New Roman" w:hAnsi="Times New Roman"/>
          <w:b/>
          <w:bCs/>
          <w:sz w:val="24"/>
          <w:szCs w:val="24"/>
        </w:rPr>
        <w:t xml:space="preserve">Legal Lesson Learned: City not liable for bringing administrative charges; </w:t>
      </w:r>
      <w:proofErr w:type="gramStart"/>
      <w:r w:rsidRPr="003378B6">
        <w:rPr>
          <w:rFonts w:ascii="Times New Roman" w:hAnsi="Times New Roman"/>
          <w:b/>
          <w:bCs/>
          <w:sz w:val="24"/>
          <w:szCs w:val="24"/>
        </w:rPr>
        <w:t>firefighter</w:t>
      </w:r>
      <w:proofErr w:type="gramEnd"/>
      <w:r w:rsidRPr="003378B6">
        <w:rPr>
          <w:rFonts w:ascii="Times New Roman" w:hAnsi="Times New Roman"/>
          <w:b/>
          <w:bCs/>
          <w:sz w:val="24"/>
          <w:szCs w:val="24"/>
        </w:rPr>
        <w:t xml:space="preserve"> however can still bring lawsuit against drug testing facility. </w:t>
      </w:r>
    </w:p>
    <w:p w14:paraId="0572A433" w14:textId="77777777" w:rsidR="00081AD1" w:rsidRDefault="00081AD1" w:rsidP="00F326E5">
      <w:pPr>
        <w:rPr>
          <w:rFonts w:ascii="Arial Black" w:hAnsi="Arial Black"/>
          <w:b/>
          <w:sz w:val="24"/>
          <w:szCs w:val="24"/>
        </w:rPr>
      </w:pPr>
    </w:p>
    <w:p w14:paraId="27715807" w14:textId="77777777" w:rsidR="00081AD1" w:rsidRDefault="00081AD1" w:rsidP="00F326E5">
      <w:pPr>
        <w:rPr>
          <w:rFonts w:ascii="Arial Black" w:hAnsi="Arial Black"/>
          <w:b/>
          <w:sz w:val="24"/>
          <w:szCs w:val="24"/>
        </w:rPr>
      </w:pPr>
    </w:p>
    <w:p w14:paraId="2109E1A9" w14:textId="08EA815C" w:rsidR="00CF5424" w:rsidRDefault="00CF5424" w:rsidP="00F326E5">
      <w:pPr>
        <w:rPr>
          <w:rFonts w:ascii="Arial Black" w:hAnsi="Arial Black"/>
          <w:b/>
          <w:sz w:val="24"/>
          <w:szCs w:val="24"/>
        </w:rPr>
      </w:pPr>
      <w:r>
        <w:rPr>
          <w:rFonts w:ascii="Arial Black" w:hAnsi="Arial Black"/>
          <w:b/>
          <w:sz w:val="24"/>
          <w:szCs w:val="24"/>
        </w:rPr>
        <w:t>12-26</w:t>
      </w:r>
    </w:p>
    <w:p w14:paraId="337444A1" w14:textId="77777777" w:rsidR="0041296B" w:rsidRPr="00767FB4" w:rsidRDefault="0041296B" w:rsidP="0041296B">
      <w:pPr>
        <w:pStyle w:val="NormalWeb"/>
        <w:spacing w:before="0" w:beforeAutospacing="0"/>
        <w:rPr>
          <w:rFonts w:ascii="Arial Black" w:hAnsi="Arial Black"/>
          <w:sz w:val="28"/>
          <w:szCs w:val="28"/>
        </w:rPr>
      </w:pPr>
      <w:r>
        <w:rPr>
          <w:rFonts w:ascii="Arial Black" w:hAnsi="Arial Black"/>
          <w:sz w:val="28"/>
          <w:szCs w:val="28"/>
        </w:rPr>
        <w:t xml:space="preserve">CA: FIREFIGHTER - U.S. ARMY - FIRED POSITIVE RANDOM DRUG TEST METH – WAS IN TREATMENT - NO CASE </w:t>
      </w:r>
    </w:p>
    <w:p w14:paraId="0E799514" w14:textId="20378D7F" w:rsidR="0041296B" w:rsidRPr="0041296B" w:rsidRDefault="0041296B" w:rsidP="0041296B">
      <w:pPr>
        <w:pStyle w:val="NormalWeb"/>
      </w:pPr>
      <w:r w:rsidRPr="0041296B">
        <w:t xml:space="preserve">On May 22, 2024, in </w:t>
      </w:r>
      <w:r w:rsidRPr="0041296B">
        <w:rPr>
          <w:u w:val="single"/>
        </w:rPr>
        <w:t xml:space="preserve">Roger E. Greer v. Christine Wormuth </w:t>
      </w:r>
      <w:r w:rsidRPr="0041296B">
        <w:t>(Secretary of U.S. Army), United States District Court Judge Maxine M. Chesney, U.S. District Court for Northern District of California, granted defense motion to dismiss (firefighter filed lawsuit pro se; without an attorney).  Ten months (Aug. 2014) prior to his notice of removal (June 26, 2015), he told Supervisor he was in treatment and detoxification for drug use under 'Safe Harbor' under the government's DFWP [Drug-Free Workplace Program. On April 16, 2015, he tested positive for tested positive for amphetamine and methamphetamine</w:t>
      </w:r>
      <w:proofErr w:type="gramStart"/>
      <w:r w:rsidRPr="0041296B">
        <w:t>/d-</w:t>
      </w:r>
      <w:proofErr w:type="gramEnd"/>
      <w:r w:rsidRPr="0041296B">
        <w:t>methamphetamine. The Court held:</w:t>
      </w:r>
    </w:p>
    <w:p w14:paraId="5688E531" w14:textId="6958E9C5" w:rsidR="00CF5424" w:rsidRPr="0041296B" w:rsidRDefault="0041296B" w:rsidP="0041296B">
      <w:pPr>
        <w:ind w:left="720"/>
        <w:rPr>
          <w:rFonts w:ascii="Times New Roman" w:hAnsi="Times New Roman"/>
          <w:b/>
          <w:sz w:val="24"/>
          <w:szCs w:val="24"/>
        </w:rPr>
      </w:pPr>
      <w:r w:rsidRPr="0041296B">
        <w:rPr>
          <w:rFonts w:ascii="Times New Roman" w:hAnsi="Times New Roman"/>
          <w:sz w:val="24"/>
          <w:szCs w:val="24"/>
        </w:rPr>
        <w:t xml:space="preserve">“Further, even assuming Greer is, in some manner, disabled, his reliance on the Rehabilitation Act's ‘safe harbor’ provision is unavailing. </w:t>
      </w:r>
      <w:proofErr w:type="gramStart"/>
      <w:r w:rsidRPr="0041296B">
        <w:rPr>
          <w:rFonts w:ascii="Times New Roman" w:hAnsi="Times New Roman"/>
          <w:sz w:val="24"/>
          <w:szCs w:val="24"/>
        </w:rPr>
        <w:t>In particular, said</w:t>
      </w:r>
      <w:proofErr w:type="gramEnd"/>
      <w:r w:rsidRPr="0041296B">
        <w:rPr>
          <w:rFonts w:ascii="Times New Roman" w:hAnsi="Times New Roman"/>
          <w:sz w:val="24"/>
          <w:szCs w:val="24"/>
        </w:rPr>
        <w:t xml:space="preserve"> statutory provision sets forth three ‘exceptions’ to the general rule that, if ‘currently engaged in the illegal use of drugs,’ an employee is not disabled where the employer ‘acts on the basis of such use.’ </w:t>
      </w:r>
      <w:r w:rsidRPr="0041296B">
        <w:rPr>
          <w:rStyle w:val="Emphasis"/>
          <w:rFonts w:ascii="Times New Roman" w:eastAsiaTheme="majorEastAsia" w:hAnsi="Times New Roman"/>
          <w:sz w:val="24"/>
          <w:szCs w:val="24"/>
        </w:rPr>
        <w:t>See</w:t>
      </w:r>
      <w:r w:rsidRPr="0041296B">
        <w:rPr>
          <w:rFonts w:ascii="Times New Roman" w:hAnsi="Times New Roman"/>
          <w:sz w:val="24"/>
          <w:szCs w:val="24"/>
        </w:rPr>
        <w:t xml:space="preserve"> 29 U.S.C. § 705(20)(C)(</w:t>
      </w:r>
      <w:proofErr w:type="spellStart"/>
      <w:r w:rsidRPr="0041296B">
        <w:rPr>
          <w:rFonts w:ascii="Times New Roman" w:hAnsi="Times New Roman"/>
          <w:sz w:val="24"/>
          <w:szCs w:val="24"/>
        </w:rPr>
        <w:t>i</w:t>
      </w:r>
      <w:proofErr w:type="spellEnd"/>
      <w:r w:rsidRPr="0041296B">
        <w:rPr>
          <w:rFonts w:ascii="Times New Roman" w:hAnsi="Times New Roman"/>
          <w:sz w:val="24"/>
          <w:szCs w:val="24"/>
        </w:rPr>
        <w:t xml:space="preserve">). Each such exception, however, requires a showing that the employee ‘is no longer’ or ‘is not’ engaging in the illegal use of drugs, </w:t>
      </w:r>
      <w:r w:rsidRPr="0041296B">
        <w:rPr>
          <w:rStyle w:val="Emphasis"/>
          <w:rFonts w:ascii="Times New Roman" w:eastAsiaTheme="majorEastAsia" w:hAnsi="Times New Roman"/>
          <w:sz w:val="24"/>
          <w:szCs w:val="24"/>
        </w:rPr>
        <w:t>see</w:t>
      </w:r>
      <w:r w:rsidRPr="0041296B">
        <w:rPr>
          <w:rFonts w:ascii="Times New Roman" w:hAnsi="Times New Roman"/>
          <w:sz w:val="24"/>
          <w:szCs w:val="24"/>
        </w:rPr>
        <w:t xml:space="preserve"> 29 U.S.C. § 705(20)(C)(ii),</w:t>
      </w:r>
      <w:r w:rsidRPr="0041296B">
        <w:rPr>
          <w:rFonts w:ascii="Times New Roman" w:hAnsi="Times New Roman"/>
          <w:sz w:val="24"/>
          <w:szCs w:val="24"/>
          <w:vertAlign w:val="superscript"/>
        </w:rPr>
        <w:t>[</w:t>
      </w:r>
      <w:bookmarkStart w:id="413" w:name="FN1"/>
      <w:r w:rsidRPr="0041296B">
        <w:rPr>
          <w:rFonts w:ascii="Times New Roman" w:hAnsi="Times New Roman"/>
          <w:sz w:val="24"/>
          <w:szCs w:val="24"/>
          <w:vertAlign w:val="superscript"/>
        </w:rPr>
        <w:fldChar w:fldCharType="begin"/>
      </w:r>
      <w:r w:rsidRPr="0041296B">
        <w:rPr>
          <w:rFonts w:ascii="Times New Roman" w:hAnsi="Times New Roman"/>
          <w:sz w:val="24"/>
          <w:szCs w:val="24"/>
          <w:vertAlign w:val="superscript"/>
        </w:rPr>
        <w:instrText>HYPERLINK "https://public.fastcase.com/" \l "ftn.FN1"</w:instrText>
      </w:r>
      <w:r w:rsidRPr="0041296B">
        <w:rPr>
          <w:rFonts w:ascii="Times New Roman" w:hAnsi="Times New Roman"/>
          <w:sz w:val="24"/>
          <w:szCs w:val="24"/>
          <w:vertAlign w:val="superscript"/>
        </w:rPr>
      </w:r>
      <w:r w:rsidRPr="0041296B">
        <w:rPr>
          <w:rFonts w:ascii="Times New Roman" w:hAnsi="Times New Roman"/>
          <w:sz w:val="24"/>
          <w:szCs w:val="24"/>
          <w:vertAlign w:val="superscript"/>
        </w:rPr>
        <w:fldChar w:fldCharType="separate"/>
      </w:r>
      <w:r w:rsidRPr="0041296B">
        <w:rPr>
          <w:rStyle w:val="Hyperlink"/>
          <w:rFonts w:ascii="Times New Roman" w:eastAsiaTheme="majorEastAsia" w:hAnsi="Times New Roman"/>
          <w:sz w:val="24"/>
          <w:szCs w:val="24"/>
          <w:vertAlign w:val="superscript"/>
        </w:rPr>
        <w:t>1</w:t>
      </w:r>
      <w:r w:rsidRPr="0041296B">
        <w:rPr>
          <w:rFonts w:ascii="Times New Roman" w:hAnsi="Times New Roman"/>
          <w:sz w:val="24"/>
          <w:szCs w:val="24"/>
          <w:vertAlign w:val="superscript"/>
        </w:rPr>
        <w:fldChar w:fldCharType="end"/>
      </w:r>
      <w:bookmarkEnd w:id="413"/>
      <w:r w:rsidRPr="0041296B">
        <w:rPr>
          <w:rFonts w:ascii="Times New Roman" w:hAnsi="Times New Roman"/>
          <w:sz w:val="24"/>
          <w:szCs w:val="24"/>
          <w:vertAlign w:val="superscript"/>
        </w:rPr>
        <w:t>]</w:t>
      </w:r>
      <w:r w:rsidRPr="0041296B">
        <w:rPr>
          <w:rFonts w:ascii="Times New Roman" w:hAnsi="Times New Roman"/>
          <w:sz w:val="24"/>
          <w:szCs w:val="24"/>
        </w:rPr>
        <w:t xml:space="preserve"> and Greer, at best, alleges he stated to his supervisor that he was ‘seeking treatment and detoxification,’ not that he was no longer using illegal drugs.” </w:t>
      </w:r>
      <w:hyperlink r:id="rId1855" w:history="1">
        <w:r w:rsidRPr="0041296B">
          <w:rPr>
            <w:rStyle w:val="Hyperlink"/>
            <w:rFonts w:ascii="Times New Roman" w:hAnsi="Times New Roman"/>
            <w:sz w:val="24"/>
            <w:szCs w:val="24"/>
          </w:rPr>
          <w:t>https://cases.justia.com/federal/district-courts/california/candce/3:2024cv00614/424391/24/0.pdf</w:t>
        </w:r>
      </w:hyperlink>
    </w:p>
    <w:p w14:paraId="146E6E78" w14:textId="77777777" w:rsidR="00303E7B" w:rsidRDefault="00303E7B" w:rsidP="00303E7B">
      <w:pPr>
        <w:spacing w:after="100" w:line="240" w:lineRule="auto"/>
        <w:rPr>
          <w:rFonts w:ascii="Times New Roman" w:eastAsia="Times New Roman" w:hAnsi="Times New Roman"/>
          <w:b/>
          <w:bCs/>
          <w:sz w:val="24"/>
          <w:szCs w:val="24"/>
        </w:rPr>
      </w:pPr>
      <w:r w:rsidRPr="00A92D10">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 “Safe Harbor” provisions of the federal Rehabilitation Act, </w:t>
      </w:r>
      <w:proofErr w:type="gramStart"/>
      <w:r>
        <w:rPr>
          <w:rFonts w:ascii="Times New Roman" w:eastAsia="Times New Roman" w:hAnsi="Times New Roman"/>
          <w:b/>
          <w:bCs/>
          <w:sz w:val="24"/>
          <w:szCs w:val="24"/>
        </w:rPr>
        <w:t>similar to</w:t>
      </w:r>
      <w:proofErr w:type="gramEnd"/>
      <w:r>
        <w:rPr>
          <w:rFonts w:ascii="Times New Roman" w:eastAsia="Times New Roman" w:hAnsi="Times New Roman"/>
          <w:b/>
          <w:bCs/>
          <w:sz w:val="24"/>
          <w:szCs w:val="24"/>
        </w:rPr>
        <w:t xml:space="preserve"> ADA, does not protect employees who continue to use illegal drugs. </w:t>
      </w:r>
    </w:p>
    <w:p w14:paraId="25A0E628" w14:textId="47C19348" w:rsidR="00303E7B" w:rsidRPr="00303E7B" w:rsidRDefault="00303E7B" w:rsidP="00303E7B">
      <w:pPr>
        <w:pStyle w:val="Heading1"/>
        <w:ind w:left="720"/>
        <w:rPr>
          <w:b w:val="0"/>
          <w:bCs w:val="0"/>
          <w:sz w:val="24"/>
          <w:szCs w:val="24"/>
        </w:rPr>
      </w:pPr>
      <w:r w:rsidRPr="00303E7B">
        <w:rPr>
          <w:b w:val="0"/>
          <w:bCs w:val="0"/>
          <w:kern w:val="0"/>
          <w:sz w:val="24"/>
          <w:szCs w:val="24"/>
        </w:rPr>
        <w:t>Note: “</w:t>
      </w:r>
      <w:r w:rsidRPr="00303E7B">
        <w:rPr>
          <w:b w:val="0"/>
          <w:bCs w:val="0"/>
          <w:sz w:val="24"/>
          <w:szCs w:val="24"/>
        </w:rPr>
        <w:t xml:space="preserve">Addiction and the ADA: The “Current User,” Safe Harbor.” </w:t>
      </w:r>
      <w:hyperlink r:id="rId1856" w:history="1">
        <w:r w:rsidRPr="00303E7B">
          <w:rPr>
            <w:rStyle w:val="Hyperlink"/>
            <w:b w:val="0"/>
            <w:bCs w:val="0"/>
            <w:sz w:val="24"/>
            <w:szCs w:val="24"/>
          </w:rPr>
          <w:t>https://www.understandingtheada.com/blog/2015/02/03/addiction-ada-current-user-safe-harbor/</w:t>
        </w:r>
      </w:hyperlink>
      <w:r w:rsidRPr="00303E7B">
        <w:rPr>
          <w:b w:val="0"/>
          <w:bCs w:val="0"/>
          <w:sz w:val="24"/>
          <w:szCs w:val="24"/>
        </w:rPr>
        <w:t xml:space="preserve">  </w:t>
      </w:r>
    </w:p>
    <w:p w14:paraId="28AA4268" w14:textId="77777777" w:rsidR="00303E7B" w:rsidRPr="003F5245" w:rsidRDefault="00303E7B" w:rsidP="00303E7B">
      <w:pPr>
        <w:spacing w:after="100" w:line="240" w:lineRule="auto"/>
        <w:ind w:left="720"/>
        <w:rPr>
          <w:rFonts w:ascii="Times New Roman" w:eastAsia="Times New Roman" w:hAnsi="Times New Roman"/>
          <w:b/>
          <w:bCs/>
          <w:sz w:val="24"/>
          <w:szCs w:val="24"/>
        </w:rPr>
      </w:pPr>
      <w:r>
        <w:rPr>
          <w:rFonts w:ascii="Times New Roman" w:hAnsi="Times New Roman"/>
          <w:sz w:val="24"/>
          <w:szCs w:val="24"/>
        </w:rPr>
        <w:t>“</w:t>
      </w:r>
      <w:r w:rsidRPr="005C7112">
        <w:rPr>
          <w:rFonts w:ascii="Times New Roman" w:hAnsi="Times New Roman"/>
          <w:sz w:val="24"/>
          <w:szCs w:val="24"/>
        </w:rPr>
        <w:t xml:space="preserve">When it comes to drugs and alcohol, those addicted to drugs and alcohol are not treated the same way as persons with other disabilities. For example, an employer has the right to evaluate an alcoholic employee or an employee addicted to drugs as if the disability didn’t exist. 42 U.S.C. § 12114(c)(4); EEOC interpretive guidance on 29 C.F.R. § 1630.16(b). Also, under </w:t>
      </w:r>
      <w:hyperlink r:id="rId1857" w:tooltip="42 U.S.C. § 12114" w:history="1">
        <w:r w:rsidRPr="005C7112">
          <w:rPr>
            <w:rStyle w:val="Hyperlink"/>
            <w:rFonts w:ascii="Times New Roman" w:hAnsi="Times New Roman"/>
            <w:sz w:val="24"/>
            <w:szCs w:val="24"/>
          </w:rPr>
          <w:t>42 U.S.C. § 12114(a)</w:t>
        </w:r>
      </w:hyperlink>
      <w:r w:rsidRPr="005C7112">
        <w:rPr>
          <w:rFonts w:ascii="Times New Roman" w:hAnsi="Times New Roman"/>
          <w:sz w:val="24"/>
          <w:szCs w:val="24"/>
        </w:rPr>
        <w:t xml:space="preserve"> a person currently using illegal drugs or alcohol is not protected. Finally, a person who is in a rehabilitation program or has completed a rehabilitation program and is no longer engaging in the use of alcohol or drugs can be protected under the ADA. 42 U.S.C. § 12114(b)(1),(2). In short, a person using drugs or alcohol is not protected, but a person with a record of using drugs or alcohol can be. Case law often </w:t>
      </w:r>
      <w:r w:rsidRPr="005C7112">
        <w:rPr>
          <w:rFonts w:ascii="Times New Roman" w:hAnsi="Times New Roman"/>
          <w:sz w:val="24"/>
          <w:szCs w:val="24"/>
        </w:rPr>
        <w:lastRenderedPageBreak/>
        <w:t>refers to this as a safe harbor. Case law may also refer to it as a person not being qualified since that is the statutory language.</w:t>
      </w:r>
      <w:r>
        <w:rPr>
          <w:rFonts w:ascii="Times New Roman" w:hAnsi="Times New Roman"/>
          <w:sz w:val="24"/>
          <w:szCs w:val="24"/>
        </w:rPr>
        <w:t>”</w:t>
      </w:r>
    </w:p>
    <w:p w14:paraId="399E3E37" w14:textId="77777777" w:rsidR="00CF5424" w:rsidRDefault="00CF5424" w:rsidP="00F326E5">
      <w:pPr>
        <w:rPr>
          <w:rFonts w:ascii="Arial Black" w:hAnsi="Arial Black"/>
          <w:b/>
          <w:sz w:val="24"/>
          <w:szCs w:val="24"/>
        </w:rPr>
      </w:pPr>
    </w:p>
    <w:p w14:paraId="672A489D" w14:textId="77777777" w:rsidR="00CF5424" w:rsidRDefault="00CF5424" w:rsidP="00F326E5">
      <w:pPr>
        <w:rPr>
          <w:rFonts w:ascii="Arial Black" w:hAnsi="Arial Black"/>
          <w:b/>
          <w:sz w:val="24"/>
          <w:szCs w:val="24"/>
        </w:rPr>
      </w:pPr>
    </w:p>
    <w:p w14:paraId="18134E19" w14:textId="06C5A3D1" w:rsidR="005677A6" w:rsidRDefault="005677A6" w:rsidP="00F326E5">
      <w:pPr>
        <w:rPr>
          <w:rFonts w:ascii="Arial Black" w:hAnsi="Arial Black"/>
          <w:b/>
          <w:sz w:val="24"/>
          <w:szCs w:val="24"/>
        </w:rPr>
      </w:pPr>
      <w:r>
        <w:rPr>
          <w:rFonts w:ascii="Arial Black" w:hAnsi="Arial Black"/>
          <w:b/>
          <w:sz w:val="24"/>
          <w:szCs w:val="24"/>
        </w:rPr>
        <w:t>12-25</w:t>
      </w:r>
    </w:p>
    <w:p w14:paraId="192FE1E1" w14:textId="77777777" w:rsidR="005677A6" w:rsidRPr="00057368" w:rsidRDefault="005677A6" w:rsidP="005677A6">
      <w:pPr>
        <w:pStyle w:val="NormalWeb"/>
        <w:rPr>
          <w:rFonts w:ascii="Arial Black" w:hAnsi="Arial Black"/>
          <w:sz w:val="28"/>
          <w:szCs w:val="28"/>
        </w:rPr>
      </w:pPr>
      <w:r>
        <w:rPr>
          <w:rFonts w:ascii="Arial Black" w:hAnsi="Arial Black"/>
          <w:sz w:val="28"/>
          <w:szCs w:val="28"/>
        </w:rPr>
        <w:t>MD: FF SUPPORTIVE 1</w:t>
      </w:r>
      <w:r w:rsidRPr="00DA29D6">
        <w:rPr>
          <w:rFonts w:ascii="Arial Black" w:hAnsi="Arial Black"/>
          <w:sz w:val="28"/>
          <w:szCs w:val="28"/>
          <w:vertAlign w:val="superscript"/>
        </w:rPr>
        <w:t>st</w:t>
      </w:r>
      <w:r>
        <w:rPr>
          <w:rFonts w:ascii="Arial Black" w:hAnsi="Arial Black"/>
          <w:sz w:val="28"/>
          <w:szCs w:val="28"/>
        </w:rPr>
        <w:t xml:space="preserve"> DUI - WENT TO IAFF CENTER OF EXCELLENCE – 2</w:t>
      </w:r>
      <w:r w:rsidRPr="00025810">
        <w:rPr>
          <w:rFonts w:ascii="Arial Black" w:hAnsi="Arial Black"/>
          <w:sz w:val="28"/>
          <w:szCs w:val="28"/>
          <w:vertAlign w:val="superscript"/>
        </w:rPr>
        <w:t>nd</w:t>
      </w:r>
      <w:r>
        <w:rPr>
          <w:rFonts w:ascii="Arial Black" w:hAnsi="Arial Black"/>
          <w:sz w:val="28"/>
          <w:szCs w:val="28"/>
        </w:rPr>
        <w:t xml:space="preserve"> DUI / FIRED, NOT BECAUSE PTSD</w:t>
      </w:r>
    </w:p>
    <w:p w14:paraId="5CF93CE5" w14:textId="77777777" w:rsidR="005677A6" w:rsidRDefault="005677A6" w:rsidP="005677A6">
      <w:pPr>
        <w:pStyle w:val="NormalWeb"/>
      </w:pPr>
      <w:r>
        <w:t xml:space="preserve">On March 28, </w:t>
      </w:r>
      <w:proofErr w:type="gramStart"/>
      <w:r>
        <w:t>2024</w:t>
      </w:r>
      <w:proofErr w:type="gramEnd"/>
      <w:r>
        <w:t xml:space="preserve"> in </w:t>
      </w:r>
      <w:r w:rsidRPr="00546246">
        <w:rPr>
          <w:u w:val="single"/>
        </w:rPr>
        <w:t>Deanna Jones v. Cecil County, Maryland</w:t>
      </w:r>
      <w:r>
        <w:t xml:space="preserve">, United States District Court Judge Richard D. Bennett, U.S. District Court for District of Maryland, granted County’s motion for summary judgment. </w:t>
      </w:r>
    </w:p>
    <w:p w14:paraId="5BF8AA74"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60A1F3F5" w14:textId="77777777" w:rsidR="005677A6" w:rsidRDefault="005677A6" w:rsidP="005677A6">
      <w:pPr>
        <w:pStyle w:val="NormalWeb"/>
        <w:ind w:left="720"/>
      </w:pPr>
      <w:r>
        <w:t xml:space="preserve">“Even assuming arguendo that Jones is a qualified individual with a disability under the meaning of the ADA, she has not plausibly stated that she was terminated because of her disability. Jones provides nothing more than conclusory statements that she was terminated because of her alcohol use disorder. As discussed, the facts alleged by Jones indicate that she was terminated because of her second DUI, not because of her disability. Moreover, the Department's support of Jones after her first DUI undermines her claim of discrimination. Jones admits that the Department was supportive of her following her first DUI and that it was only after her second DUI that she was terminated.” </w:t>
      </w:r>
      <w:hyperlink r:id="rId1858" w:history="1">
        <w:r w:rsidRPr="007E7996">
          <w:rPr>
            <w:rStyle w:val="Hyperlink"/>
          </w:rPr>
          <w:t>https://public.fastcase.com/H1P9uiW3J20SFp%2BGCG%2BxLWxsjT87vgsYeUyD6XhJjN4sWvyHUDi1iD6eePPdFLtF?utm_medium=email&amp;_hsmi=226712652&amp;_hsenc=p2ANqtz-_iI2JExLit36jQEG92m9s-4sdtZgfob1tVRc-o7xFd5g7DvtyOGh3o-vGJ1z88YzXriHS74jMuVuWJoviL5aHAnGRzpg&amp;utm_content=226712652&amp;utm_source=hs_email</w:t>
        </w:r>
      </w:hyperlink>
      <w:r>
        <w:t xml:space="preserve"> </w:t>
      </w:r>
    </w:p>
    <w:p w14:paraId="4F3D12BE" w14:textId="77777777" w:rsidR="005677A6" w:rsidRPr="009614DD" w:rsidRDefault="005677A6" w:rsidP="005677A6">
      <w:pPr>
        <w:pStyle w:val="NormalWeb"/>
        <w:rPr>
          <w:b/>
          <w:bCs/>
        </w:rPr>
      </w:pPr>
      <w:r>
        <w:rPr>
          <w:b/>
          <w:bCs/>
        </w:rPr>
        <w:t xml:space="preserve">Legal Lesson Learned: Fire &amp; EMS departments should require in their policies an immediate written notice of DUI arrests, not just convictions. </w:t>
      </w:r>
    </w:p>
    <w:p w14:paraId="5272CD04" w14:textId="77777777" w:rsidR="005677A6" w:rsidRDefault="005677A6" w:rsidP="00F326E5">
      <w:pPr>
        <w:rPr>
          <w:rFonts w:ascii="Arial Black" w:hAnsi="Arial Black"/>
          <w:b/>
          <w:sz w:val="24"/>
          <w:szCs w:val="24"/>
        </w:rPr>
      </w:pPr>
    </w:p>
    <w:p w14:paraId="3B839F16" w14:textId="77777777" w:rsidR="005677A6" w:rsidRDefault="005677A6" w:rsidP="00F326E5">
      <w:pPr>
        <w:rPr>
          <w:rFonts w:ascii="Arial Black" w:hAnsi="Arial Black"/>
          <w:b/>
          <w:sz w:val="24"/>
          <w:szCs w:val="24"/>
        </w:rPr>
      </w:pPr>
    </w:p>
    <w:p w14:paraId="2602E47B" w14:textId="37A7CD81" w:rsidR="009C19A1" w:rsidRDefault="009C19A1" w:rsidP="00F326E5">
      <w:pPr>
        <w:rPr>
          <w:rFonts w:ascii="Arial Black" w:hAnsi="Arial Black"/>
          <w:b/>
          <w:sz w:val="24"/>
          <w:szCs w:val="24"/>
        </w:rPr>
      </w:pPr>
      <w:r>
        <w:rPr>
          <w:rFonts w:ascii="Arial Black" w:hAnsi="Arial Black"/>
          <w:b/>
          <w:sz w:val="24"/>
          <w:szCs w:val="24"/>
        </w:rPr>
        <w:t>12-24</w:t>
      </w:r>
    </w:p>
    <w:p w14:paraId="7F14028C" w14:textId="77777777" w:rsidR="00C72905" w:rsidRDefault="00C72905" w:rsidP="00C72905">
      <w:pPr>
        <w:pStyle w:val="NormalWeb"/>
        <w:rPr>
          <w:b/>
          <w:bCs/>
        </w:rPr>
      </w:pPr>
      <w:r>
        <w:rPr>
          <w:rFonts w:ascii="Arial Black" w:hAnsi="Arial Black"/>
          <w:b/>
          <w:bCs/>
          <w:sz w:val="28"/>
          <w:szCs w:val="28"/>
        </w:rPr>
        <w:t>TX: OFF DUTY DALLAS FF – DRUNK DRIVING, KILLED PREGNANT TEEN – 12 YRS, PLED GUILTY AVOID 40 YRS</w:t>
      </w:r>
      <w:r>
        <w:rPr>
          <w:b/>
          <w:bCs/>
        </w:rPr>
        <w:t xml:space="preserve"> </w:t>
      </w:r>
    </w:p>
    <w:p w14:paraId="3DB2B4C3" w14:textId="77777777" w:rsidR="00C72905" w:rsidRDefault="00C72905" w:rsidP="00C72905">
      <w:pPr>
        <w:pStyle w:val="NoSpacing"/>
        <w:rPr>
          <w:rFonts w:ascii="Times New Roman" w:hAnsi="Times New Roman"/>
          <w:sz w:val="24"/>
          <w:szCs w:val="24"/>
        </w:rPr>
      </w:pPr>
      <w:r>
        <w:rPr>
          <w:rFonts w:ascii="Times New Roman" w:hAnsi="Times New Roman"/>
          <w:sz w:val="24"/>
          <w:szCs w:val="24"/>
        </w:rPr>
        <w:t xml:space="preserve">On Feb. 20, 2024, in </w:t>
      </w:r>
      <w:r w:rsidRPr="00461ABE">
        <w:rPr>
          <w:rFonts w:ascii="Times New Roman" w:hAnsi="Times New Roman"/>
          <w:sz w:val="24"/>
          <w:szCs w:val="24"/>
          <w:u w:val="single"/>
        </w:rPr>
        <w:t>Horace Shaw v. The State of Texas</w:t>
      </w:r>
      <w:r>
        <w:rPr>
          <w:rFonts w:ascii="Times New Roman" w:hAnsi="Times New Roman"/>
          <w:sz w:val="24"/>
          <w:szCs w:val="24"/>
        </w:rPr>
        <w:t xml:space="preserve">, the </w:t>
      </w:r>
      <w:r w:rsidRPr="003A17CB">
        <w:rPr>
          <w:rFonts w:ascii="Times New Roman" w:hAnsi="Times New Roman"/>
          <w:sz w:val="24"/>
          <w:szCs w:val="24"/>
        </w:rPr>
        <w:t>Court of Appeals</w:t>
      </w:r>
      <w:r>
        <w:rPr>
          <w:rFonts w:ascii="Times New Roman" w:hAnsi="Times New Roman"/>
          <w:sz w:val="24"/>
          <w:szCs w:val="24"/>
        </w:rPr>
        <w:t xml:space="preserve">, </w:t>
      </w:r>
      <w:r w:rsidRPr="003A17CB">
        <w:rPr>
          <w:rFonts w:ascii="Times New Roman" w:hAnsi="Times New Roman"/>
          <w:sz w:val="24"/>
          <w:szCs w:val="24"/>
        </w:rPr>
        <w:t>Fifth District of Texas at Dallas</w:t>
      </w:r>
      <w:r>
        <w:rPr>
          <w:rFonts w:ascii="Times New Roman" w:hAnsi="Times New Roman"/>
          <w:sz w:val="24"/>
          <w:szCs w:val="24"/>
        </w:rPr>
        <w:t xml:space="preserve"> held (3 to 0; unpublished opinion) denied the defendant’s appeal based on alleged in effective of counsel; he pled guilty to manslaughter, and if convicted of intoxicated manslaughter he could have sentenced up to 40 years. </w:t>
      </w:r>
    </w:p>
    <w:p w14:paraId="0BCD7915" w14:textId="77777777" w:rsidR="00C72905" w:rsidRDefault="00C72905" w:rsidP="00C72905">
      <w:pPr>
        <w:pStyle w:val="NoSpacing"/>
        <w:rPr>
          <w:rFonts w:ascii="Times New Roman" w:hAnsi="Times New Roman"/>
          <w:sz w:val="24"/>
          <w:szCs w:val="24"/>
        </w:rPr>
      </w:pPr>
    </w:p>
    <w:p w14:paraId="64AABEBE" w14:textId="77777777" w:rsidR="00C72905" w:rsidRDefault="00C72905" w:rsidP="00C72905">
      <w:pPr>
        <w:pStyle w:val="NoSpacing"/>
        <w:rPr>
          <w:rFonts w:ascii="Times New Roman" w:hAnsi="Times New Roman"/>
          <w:sz w:val="24"/>
          <w:szCs w:val="24"/>
        </w:rPr>
      </w:pPr>
      <w:r>
        <w:rPr>
          <w:rFonts w:ascii="Times New Roman" w:hAnsi="Times New Roman"/>
          <w:sz w:val="24"/>
          <w:szCs w:val="24"/>
        </w:rPr>
        <w:t>The Court held:</w:t>
      </w:r>
    </w:p>
    <w:p w14:paraId="05646DFF" w14:textId="77777777" w:rsidR="00C72905" w:rsidRDefault="00C72905" w:rsidP="00C72905">
      <w:pPr>
        <w:pStyle w:val="NoSpacing"/>
        <w:rPr>
          <w:rFonts w:ascii="Times New Roman" w:hAnsi="Times New Roman"/>
          <w:sz w:val="24"/>
          <w:szCs w:val="24"/>
        </w:rPr>
      </w:pPr>
    </w:p>
    <w:p w14:paraId="78DC837C" w14:textId="77777777" w:rsidR="00C72905" w:rsidRPr="00527850" w:rsidRDefault="00C72905" w:rsidP="00C72905">
      <w:pPr>
        <w:pStyle w:val="NoSpacing"/>
        <w:ind w:firstLine="720"/>
        <w:rPr>
          <w:rFonts w:ascii="Times New Roman" w:hAnsi="Times New Roman"/>
          <w:sz w:val="24"/>
          <w:szCs w:val="24"/>
        </w:rPr>
      </w:pPr>
      <w:r>
        <w:rPr>
          <w:rFonts w:ascii="Times New Roman" w:hAnsi="Times New Roman"/>
          <w:sz w:val="24"/>
          <w:szCs w:val="24"/>
        </w:rPr>
        <w:t>“</w:t>
      </w:r>
      <w:r w:rsidRPr="00527850">
        <w:rPr>
          <w:rFonts w:ascii="Times New Roman" w:hAnsi="Times New Roman"/>
          <w:sz w:val="24"/>
          <w:szCs w:val="24"/>
        </w:rPr>
        <w:t>Notably, the record shows these cases were filed by information and the state</w:t>
      </w:r>
    </w:p>
    <w:p w14:paraId="3EAD2090"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lastRenderedPageBreak/>
        <w:t>only charged Mr. Shaw with manslaughter for which the sentences could only run</w:t>
      </w:r>
    </w:p>
    <w:p w14:paraId="12C6F92D"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concurrently. See TEX. PENAL CODE § 3.03(a). Had the state charged Mr. Shaw with</w:t>
      </w:r>
    </w:p>
    <w:p w14:paraId="7651E40C"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intoxication manslaughter, also a second-degree felony, the judge could have</w:t>
      </w:r>
    </w:p>
    <w:p w14:paraId="3EA6A31C"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ordered the sentences to run consecutively, opening Mr. Shaw up to a potential forty</w:t>
      </w:r>
    </w:p>
    <w:p w14:paraId="19CC41AA" w14:textId="77777777" w:rsidR="00C72905" w:rsidRDefault="00C72905" w:rsidP="00C72905">
      <w:pPr>
        <w:pStyle w:val="NoSpacing"/>
        <w:ind w:left="720"/>
        <w:rPr>
          <w:rFonts w:ascii="Times New Roman" w:hAnsi="Times New Roman"/>
          <w:sz w:val="24"/>
          <w:szCs w:val="24"/>
        </w:rPr>
      </w:pPr>
      <w:r w:rsidRPr="00527850">
        <w:rPr>
          <w:rFonts w:ascii="Times New Roman" w:hAnsi="Times New Roman"/>
          <w:sz w:val="24"/>
          <w:szCs w:val="24"/>
        </w:rPr>
        <w:t>years in prison.</w:t>
      </w:r>
      <w:r>
        <w:rPr>
          <w:rFonts w:ascii="Times New Roman" w:hAnsi="Times New Roman"/>
          <w:sz w:val="24"/>
          <w:szCs w:val="24"/>
        </w:rPr>
        <w:t xml:space="preserve"> *** </w:t>
      </w:r>
      <w:r w:rsidRPr="006C19C6">
        <w:rPr>
          <w:rFonts w:ascii="Times New Roman" w:hAnsi="Times New Roman"/>
          <w:sz w:val="24"/>
          <w:szCs w:val="24"/>
        </w:rPr>
        <w:t>We agree the appeal is frivolous and</w:t>
      </w:r>
      <w:r>
        <w:rPr>
          <w:rFonts w:ascii="Times New Roman" w:hAnsi="Times New Roman"/>
          <w:sz w:val="24"/>
          <w:szCs w:val="24"/>
        </w:rPr>
        <w:t xml:space="preserve"> </w:t>
      </w:r>
      <w:r w:rsidRPr="006C19C6">
        <w:rPr>
          <w:rFonts w:ascii="Times New Roman" w:hAnsi="Times New Roman"/>
          <w:sz w:val="24"/>
          <w:szCs w:val="24"/>
        </w:rPr>
        <w:t>without merit, and we find nothing in the record that might arguably support the</w:t>
      </w:r>
      <w:r>
        <w:rPr>
          <w:rFonts w:ascii="Times New Roman" w:hAnsi="Times New Roman"/>
          <w:sz w:val="24"/>
          <w:szCs w:val="24"/>
        </w:rPr>
        <w:t xml:space="preserve"> </w:t>
      </w:r>
      <w:r w:rsidRPr="006C19C6">
        <w:rPr>
          <w:rFonts w:ascii="Times New Roman" w:hAnsi="Times New Roman"/>
          <w:sz w:val="24"/>
          <w:szCs w:val="24"/>
        </w:rPr>
        <w:t>appea</w:t>
      </w:r>
      <w:r>
        <w:rPr>
          <w:rFonts w:ascii="Times New Roman" w:hAnsi="Times New Roman"/>
          <w:sz w:val="24"/>
          <w:szCs w:val="24"/>
        </w:rPr>
        <w:t xml:space="preserve">l.” </w:t>
      </w:r>
      <w:hyperlink r:id="rId1859" w:history="1">
        <w:r w:rsidRPr="00216BB3">
          <w:rPr>
            <w:rStyle w:val="Hyperlink"/>
            <w:rFonts w:ascii="Times New Roman" w:hAnsi="Times New Roman"/>
            <w:sz w:val="24"/>
            <w:szCs w:val="24"/>
          </w:rPr>
          <w:t>https://cases.justia.com/texas/fifth-court-of-appeals/2024-05-22-01220-cr.pdf?ts=1708523726</w:t>
        </w:r>
      </w:hyperlink>
      <w:r>
        <w:rPr>
          <w:rFonts w:ascii="Times New Roman" w:hAnsi="Times New Roman"/>
          <w:sz w:val="24"/>
          <w:szCs w:val="24"/>
        </w:rPr>
        <w:t xml:space="preserve"> </w:t>
      </w:r>
    </w:p>
    <w:p w14:paraId="4BFFDE17" w14:textId="77777777" w:rsidR="00C72905" w:rsidRDefault="00C72905" w:rsidP="00C72905">
      <w:pPr>
        <w:jc w:val="center"/>
        <w:rPr>
          <w:rFonts w:cs="Calibri"/>
        </w:rPr>
      </w:pPr>
    </w:p>
    <w:p w14:paraId="345180C2" w14:textId="77777777" w:rsidR="00C72905" w:rsidRDefault="00C72905" w:rsidP="00C72905">
      <w:pPr>
        <w:pStyle w:val="NoSpacing"/>
        <w:rPr>
          <w:rFonts w:ascii="Times New Roman" w:hAnsi="Times New Roman"/>
          <w:b/>
          <w:bCs/>
          <w:sz w:val="24"/>
          <w:szCs w:val="24"/>
        </w:rPr>
      </w:pPr>
      <w:r w:rsidRPr="00A15543">
        <w:rPr>
          <w:rFonts w:ascii="Times New Roman" w:hAnsi="Times New Roman"/>
          <w:b/>
          <w:bCs/>
          <w:sz w:val="24"/>
          <w:szCs w:val="24"/>
        </w:rPr>
        <w:t>Legal Lesson Learned:</w:t>
      </w:r>
      <w:r>
        <w:rPr>
          <w:rFonts w:ascii="Times New Roman" w:hAnsi="Times New Roman"/>
          <w:b/>
          <w:bCs/>
          <w:sz w:val="24"/>
          <w:szCs w:val="24"/>
        </w:rPr>
        <w:t xml:space="preserve"> If you plead guilty to a lesser offense to avoid much longer prison sentence, with advice of legal counsel, then </w:t>
      </w:r>
      <w:proofErr w:type="gramStart"/>
      <w:r>
        <w:rPr>
          <w:rFonts w:ascii="Times New Roman" w:hAnsi="Times New Roman"/>
          <w:b/>
          <w:bCs/>
          <w:sz w:val="24"/>
          <w:szCs w:val="24"/>
        </w:rPr>
        <w:t>very</w:t>
      </w:r>
      <w:proofErr w:type="gramEnd"/>
      <w:r>
        <w:rPr>
          <w:rFonts w:ascii="Times New Roman" w:hAnsi="Times New Roman"/>
          <w:b/>
          <w:bCs/>
          <w:sz w:val="24"/>
          <w:szCs w:val="24"/>
        </w:rPr>
        <w:t xml:space="preserve"> difficult to appeal on basis of ineffective legal counsel. </w:t>
      </w:r>
    </w:p>
    <w:p w14:paraId="35C5711D" w14:textId="77777777" w:rsidR="00C72905" w:rsidRDefault="00C72905" w:rsidP="00C72905">
      <w:pPr>
        <w:pStyle w:val="NoSpacing"/>
        <w:rPr>
          <w:rFonts w:ascii="Times New Roman" w:hAnsi="Times New Roman"/>
          <w:b/>
          <w:bCs/>
          <w:sz w:val="24"/>
          <w:szCs w:val="24"/>
        </w:rPr>
      </w:pPr>
    </w:p>
    <w:p w14:paraId="729128D1" w14:textId="77777777" w:rsidR="00C72905" w:rsidRPr="00A15543" w:rsidRDefault="00C72905" w:rsidP="00C72905">
      <w:pPr>
        <w:pStyle w:val="NoSpacing"/>
        <w:rPr>
          <w:rFonts w:ascii="Times New Roman" w:hAnsi="Times New Roman"/>
          <w:b/>
          <w:bCs/>
          <w:sz w:val="24"/>
          <w:szCs w:val="24"/>
        </w:rPr>
      </w:pPr>
      <w:r>
        <w:rPr>
          <w:rFonts w:ascii="Times New Roman" w:hAnsi="Times New Roman"/>
          <w:b/>
          <w:bCs/>
          <w:sz w:val="24"/>
          <w:szCs w:val="24"/>
        </w:rPr>
        <w:tab/>
      </w:r>
      <w:r w:rsidRPr="00F3105C">
        <w:rPr>
          <w:rFonts w:ascii="Times New Roman" w:hAnsi="Times New Roman"/>
          <w:sz w:val="24"/>
          <w:szCs w:val="24"/>
        </w:rPr>
        <w:t>Note: See articles on this tragic event</w:t>
      </w:r>
      <w:r>
        <w:rPr>
          <w:rFonts w:ascii="Times New Roman" w:hAnsi="Times New Roman"/>
          <w:b/>
          <w:bCs/>
          <w:sz w:val="24"/>
          <w:szCs w:val="24"/>
        </w:rPr>
        <w:t xml:space="preserve">.  </w:t>
      </w:r>
    </w:p>
    <w:p w14:paraId="45D7DE79" w14:textId="77777777" w:rsidR="00C72905" w:rsidRPr="00F3105C" w:rsidRDefault="00C72905" w:rsidP="00C72905">
      <w:pPr>
        <w:pStyle w:val="NoSpacing"/>
        <w:ind w:left="720"/>
        <w:rPr>
          <w:rFonts w:ascii="Times New Roman" w:eastAsia="Times New Roman" w:hAnsi="Times New Roman"/>
          <w:sz w:val="24"/>
          <w:szCs w:val="24"/>
        </w:rPr>
      </w:pPr>
      <w:r>
        <w:rPr>
          <w:rFonts w:ascii="Times New Roman" w:eastAsia="Times New Roman" w:hAnsi="Times New Roman"/>
          <w:kern w:val="36"/>
          <w:sz w:val="24"/>
          <w:szCs w:val="24"/>
        </w:rPr>
        <w:t xml:space="preserve">Dec. 14, 2017: </w:t>
      </w:r>
      <w:r w:rsidRPr="00F3105C">
        <w:rPr>
          <w:rFonts w:ascii="Times New Roman" w:eastAsia="Times New Roman" w:hAnsi="Times New Roman"/>
          <w:kern w:val="36"/>
          <w:sz w:val="24"/>
          <w:szCs w:val="24"/>
        </w:rPr>
        <w:t>“Firefighter charged with killing pregnant teen in DUI crash</w:t>
      </w:r>
      <w:r>
        <w:rPr>
          <w:rFonts w:ascii="Times New Roman" w:eastAsia="Times New Roman" w:hAnsi="Times New Roman"/>
          <w:kern w:val="36"/>
          <w:sz w:val="24"/>
          <w:szCs w:val="24"/>
        </w:rPr>
        <w:t xml:space="preserve">.” </w:t>
      </w:r>
      <w:hyperlink r:id="rId1860" w:history="1">
        <w:r w:rsidRPr="00216BB3">
          <w:rPr>
            <w:rStyle w:val="Hyperlink"/>
            <w:rFonts w:ascii="Times New Roman" w:eastAsia="Times New Roman" w:hAnsi="Times New Roman"/>
            <w:sz w:val="24"/>
            <w:szCs w:val="24"/>
          </w:rPr>
          <w:t>https://www.10tv.com/article/news/nation-world/firefighter-charged-killing-pregnant-teen-dui-crash/530-c59458ea-0d76-4ce2-8b1e-022640f424f8</w:t>
        </w:r>
      </w:hyperlink>
      <w:r w:rsidRPr="00F3105C">
        <w:rPr>
          <w:rFonts w:ascii="Times New Roman" w:eastAsia="Times New Roman" w:hAnsi="Times New Roman"/>
          <w:sz w:val="24"/>
          <w:szCs w:val="24"/>
        </w:rPr>
        <w:t xml:space="preserve"> </w:t>
      </w:r>
    </w:p>
    <w:p w14:paraId="057EAE3D" w14:textId="77777777" w:rsidR="00C72905" w:rsidRDefault="00C72905" w:rsidP="00C72905">
      <w:pPr>
        <w:spacing w:after="0" w:line="240" w:lineRule="auto"/>
        <w:rPr>
          <w:rFonts w:ascii="Times New Roman" w:eastAsia="Times New Roman" w:hAnsi="Times New Roman"/>
          <w:sz w:val="24"/>
          <w:szCs w:val="24"/>
        </w:rPr>
      </w:pPr>
    </w:p>
    <w:p w14:paraId="67EF0B50" w14:textId="77777777" w:rsidR="00C72905" w:rsidRPr="00A870A8" w:rsidRDefault="00C72905" w:rsidP="00C72905">
      <w:pPr>
        <w:pStyle w:val="Heading1"/>
        <w:ind w:left="720"/>
        <w:rPr>
          <w:b w:val="0"/>
          <w:bCs w:val="0"/>
          <w:kern w:val="0"/>
          <w:sz w:val="24"/>
          <w:szCs w:val="24"/>
        </w:rPr>
      </w:pPr>
      <w:r>
        <w:rPr>
          <w:b w:val="0"/>
          <w:bCs w:val="0"/>
          <w:sz w:val="24"/>
          <w:szCs w:val="24"/>
        </w:rPr>
        <w:t xml:space="preserve">Nov. 7, 2022: </w:t>
      </w:r>
      <w:r w:rsidRPr="00A870A8">
        <w:rPr>
          <w:b w:val="0"/>
          <w:bCs w:val="0"/>
          <w:sz w:val="24"/>
          <w:szCs w:val="24"/>
        </w:rPr>
        <w:t>“Former DFR firefighter sent to prison for DWI accident</w:t>
      </w:r>
      <w:r>
        <w:rPr>
          <w:b w:val="0"/>
          <w:bCs w:val="0"/>
          <w:sz w:val="24"/>
          <w:szCs w:val="24"/>
        </w:rPr>
        <w:t xml:space="preserve">. </w:t>
      </w:r>
      <w:r w:rsidRPr="00A870A8">
        <w:rPr>
          <w:b w:val="0"/>
          <w:bCs w:val="0"/>
          <w:sz w:val="24"/>
          <w:szCs w:val="24"/>
        </w:rPr>
        <w:t xml:space="preserve"> </w:t>
      </w:r>
      <w:hyperlink r:id="rId1861" w:history="1">
        <w:r w:rsidRPr="00216BB3">
          <w:rPr>
            <w:rStyle w:val="Hyperlink"/>
            <w:b w:val="0"/>
            <w:bCs w:val="0"/>
            <w:kern w:val="0"/>
            <w:sz w:val="24"/>
            <w:szCs w:val="24"/>
          </w:rPr>
          <w:t>https://www.audacy.com/krld/news/local/former-dfr-firefighter-sent-to-prison-for-dwi-accident</w:t>
        </w:r>
      </w:hyperlink>
      <w:r w:rsidRPr="00A870A8">
        <w:rPr>
          <w:b w:val="0"/>
          <w:bCs w:val="0"/>
          <w:kern w:val="0"/>
          <w:sz w:val="24"/>
          <w:szCs w:val="24"/>
        </w:rPr>
        <w:t xml:space="preserve"> </w:t>
      </w:r>
    </w:p>
    <w:p w14:paraId="44678573" w14:textId="77777777" w:rsidR="009C19A1" w:rsidRDefault="009C19A1" w:rsidP="00F326E5">
      <w:pPr>
        <w:rPr>
          <w:rFonts w:ascii="Arial Black" w:hAnsi="Arial Black"/>
          <w:b/>
          <w:sz w:val="24"/>
          <w:szCs w:val="24"/>
        </w:rPr>
      </w:pPr>
    </w:p>
    <w:p w14:paraId="2ED008FC" w14:textId="77777777" w:rsidR="009C19A1" w:rsidRDefault="009C19A1" w:rsidP="00F326E5">
      <w:pPr>
        <w:rPr>
          <w:rFonts w:ascii="Arial Black" w:hAnsi="Arial Black"/>
          <w:b/>
          <w:sz w:val="24"/>
          <w:szCs w:val="24"/>
        </w:rPr>
      </w:pPr>
    </w:p>
    <w:p w14:paraId="70FD9879" w14:textId="58040F69" w:rsidR="000644B6" w:rsidRDefault="000644B6" w:rsidP="00F326E5">
      <w:pPr>
        <w:rPr>
          <w:rFonts w:ascii="Arial Black" w:hAnsi="Arial Black"/>
          <w:b/>
          <w:sz w:val="24"/>
          <w:szCs w:val="24"/>
        </w:rPr>
      </w:pPr>
      <w:r>
        <w:rPr>
          <w:rFonts w:ascii="Arial Black" w:hAnsi="Arial Black"/>
          <w:b/>
          <w:sz w:val="24"/>
          <w:szCs w:val="24"/>
        </w:rPr>
        <w:t>12-23</w:t>
      </w:r>
    </w:p>
    <w:p w14:paraId="3B39510E" w14:textId="77777777" w:rsidR="000644B6" w:rsidRDefault="000644B6" w:rsidP="000644B6">
      <w:pPr>
        <w:pStyle w:val="NormalWeb"/>
        <w:rPr>
          <w:rFonts w:ascii="Arial Black" w:hAnsi="Arial Black"/>
          <w:b/>
          <w:bCs/>
          <w:sz w:val="28"/>
          <w:szCs w:val="28"/>
        </w:rPr>
      </w:pPr>
      <w:r>
        <w:rPr>
          <w:rFonts w:ascii="Arial Black" w:hAnsi="Arial Black"/>
          <w:b/>
          <w:bCs/>
          <w:sz w:val="28"/>
          <w:szCs w:val="28"/>
        </w:rPr>
        <w:t>TX: OFF DUTY FF AT CITY HALL TO COPY EEOC DOCUMENT – APPEARED INTOXICATED – REFUSED BE TESTED – FIRED</w:t>
      </w:r>
    </w:p>
    <w:p w14:paraId="20E748A0" w14:textId="77777777" w:rsidR="000644B6" w:rsidRDefault="000644B6" w:rsidP="000644B6">
      <w:pPr>
        <w:pStyle w:val="NormalWeb"/>
      </w:pPr>
      <w:r w:rsidRPr="00A65A26">
        <w:t xml:space="preserve">On </w:t>
      </w:r>
      <w:r>
        <w:t xml:space="preserve">July 24, 2023, in </w:t>
      </w:r>
      <w:r w:rsidRPr="00A65A26">
        <w:rPr>
          <w:u w:val="single"/>
        </w:rPr>
        <w:t>Jason January v. City of Huntsville</w:t>
      </w:r>
      <w:r>
        <w:t>, the U.S. Court of Appeals for 5</w:t>
      </w:r>
      <w:r w:rsidRPr="00A65A26">
        <w:rPr>
          <w:vertAlign w:val="superscript"/>
        </w:rPr>
        <w:t>th</w:t>
      </w:r>
      <w:r>
        <w:t xml:space="preserve"> Circuit (New Orleans), held (2 to 1) that the City was properly granted summary judgment since the FF could not prove City’s explication for firing him was a pretext.  According to secretary in City Hall, the FF boxed her in and blocked the copy room </w:t>
      </w:r>
      <w:proofErr w:type="gramStart"/>
      <w:r>
        <w:t>exit, and</w:t>
      </w:r>
      <w:proofErr w:type="gramEnd"/>
      <w:r>
        <w:t xml:space="preserve"> told her that “when all of this comes out, they're going to be sorry that they messed with me." Ms. Poe, feeling threatened, escaped past him when she could and ran to hide in the women's bathroom nearby.  A video camera in the City Manager’s office showed the City Manager, with several other officials, ordering him to stay until his wife could drive him home.  He repeatedly refused to take a drug test (took test the following day). </w:t>
      </w:r>
    </w:p>
    <w:p w14:paraId="63D9E0FD" w14:textId="77777777" w:rsidR="000644B6" w:rsidRDefault="000644B6" w:rsidP="000644B6">
      <w:pPr>
        <w:pStyle w:val="NormalWeb"/>
      </w:pPr>
      <w:r>
        <w:t xml:space="preserve">The Court noted: “All told then, beyond temporal proximity, January produces no evidence that Lunsford's reasoning concerning his intoxication was false (such that he was not actually intoxicated at the time) or pretextual (such that January's protected activities were the real reason for his firing).  *** [The City’s explanation was as follows.] The </w:t>
      </w:r>
      <w:proofErr w:type="gramStart"/>
      <w:r>
        <w:t>City</w:t>
      </w:r>
      <w:proofErr w:type="gramEnd"/>
      <w:r>
        <w:t xml:space="preserve"> placed January on administrative leave and investigated. Two weeks later, it fired him. Director of Public Safety Kevin Lunsford, the decisionmaker, explained that January was fired because: 1) despite a drug test taken the next day showing no intoxication, there remained a ‘high probability’ that January was impaired at City Hall; 2) January was insubordinate because he refused to leave City Hall when told to do so; 3) January's lack of cooperation and intoxication harmed the City's reputation; and 4) January was disrespectful in intimidating and scaring Poe. Given January's past warning that any further violation could end his employment, the </w:t>
      </w:r>
      <w:proofErr w:type="gramStart"/>
      <w:r>
        <w:t>City</w:t>
      </w:r>
      <w:proofErr w:type="gramEnd"/>
      <w:r>
        <w:t xml:space="preserve"> terminated him. </w:t>
      </w:r>
      <w:hyperlink r:id="rId1862" w:history="1">
        <w:r w:rsidRPr="00B46EE7">
          <w:rPr>
            <w:rStyle w:val="Hyperlink"/>
            <w:rFonts w:eastAsiaTheme="majorEastAsia"/>
          </w:rPr>
          <w:t>https://cases.justia.com/federal/appellate-courts/ca5/22-20380/22-20380-2023-07-24.pdf?ts=1690219861</w:t>
        </w:r>
      </w:hyperlink>
      <w:r>
        <w:t xml:space="preserve"> </w:t>
      </w:r>
    </w:p>
    <w:p w14:paraId="18BF19E3" w14:textId="77777777" w:rsidR="000644B6" w:rsidRDefault="000644B6" w:rsidP="000644B6">
      <w:pPr>
        <w:pStyle w:val="NormalWeb"/>
      </w:pPr>
      <w:r>
        <w:lastRenderedPageBreak/>
        <w:t xml:space="preserve">Dissent:  </w:t>
      </w:r>
    </w:p>
    <w:p w14:paraId="7650D2A2" w14:textId="77777777" w:rsidR="000644B6" w:rsidRDefault="000644B6" w:rsidP="000644B6">
      <w:pPr>
        <w:pStyle w:val="NormalWeb"/>
        <w:ind w:left="720"/>
      </w:pPr>
      <w:r>
        <w:t>“As [</w:t>
      </w:r>
      <w:proofErr w:type="gramStart"/>
      <w:r>
        <w:t>secretary</w:t>
      </w:r>
      <w:proofErr w:type="gramEnd"/>
      <w:r>
        <w:t xml:space="preserve"> Ms.] Poe acknowledged, it was entirely normal for January to wait in the copy machine room with her while she was making copies. That is what most people do, so there is nothing to support the notion that he was threatening her by doing so. At some point January made his allegedly threatening statement, but, as Poe also admitted, she understood this statement to be directed </w:t>
      </w:r>
      <w:r>
        <w:rPr>
          <w:rStyle w:val="Emphasis"/>
        </w:rPr>
        <w:t>at Huntsville</w:t>
      </w:r>
      <w:r>
        <w:t xml:space="preserve">, rather than </w:t>
      </w:r>
      <w:r>
        <w:rPr>
          <w:rStyle w:val="Emphasis"/>
        </w:rPr>
        <w:t>herself</w:t>
      </w:r>
      <w:r>
        <w:t xml:space="preserve">. Put another way, he was threatening to sue the </w:t>
      </w:r>
      <w:proofErr w:type="gramStart"/>
      <w:r>
        <w:t>City</w:t>
      </w:r>
      <w:proofErr w:type="gramEnd"/>
      <w:r>
        <w:t>, not to hurt her physically (or otherwise). If telling one of the employees of a company or city that you are going to sue their employer is a threat that allows firing, that would be the opposite of the exact point of the retaliation clause: to preserve the protected activities of employees to file EEOC claims.”</w:t>
      </w:r>
    </w:p>
    <w:p w14:paraId="15AD8166" w14:textId="77777777" w:rsidR="000644B6" w:rsidRPr="006B356E" w:rsidRDefault="000644B6" w:rsidP="000644B6">
      <w:pPr>
        <w:pStyle w:val="NormalWeb"/>
        <w:rPr>
          <w:b/>
          <w:bCs/>
        </w:rPr>
      </w:pPr>
      <w:r w:rsidRPr="006B356E">
        <w:rPr>
          <w:b/>
          <w:bCs/>
        </w:rPr>
        <w:t xml:space="preserve">Legal Lesson Learned: </w:t>
      </w:r>
      <w:r>
        <w:rPr>
          <w:b/>
          <w:bCs/>
        </w:rPr>
        <w:t xml:space="preserve">The City officials had a reasonable basis to order a drug test; no retaliation for filing EEOC complaint was proven.  </w:t>
      </w:r>
    </w:p>
    <w:p w14:paraId="7D319C06" w14:textId="77777777" w:rsidR="000644B6" w:rsidRDefault="000644B6" w:rsidP="00F326E5">
      <w:pPr>
        <w:rPr>
          <w:rFonts w:ascii="Arial Black" w:hAnsi="Arial Black"/>
          <w:b/>
          <w:sz w:val="24"/>
          <w:szCs w:val="24"/>
        </w:rPr>
      </w:pPr>
    </w:p>
    <w:p w14:paraId="687B79FD" w14:textId="77777777" w:rsidR="000644B6" w:rsidRDefault="000644B6" w:rsidP="00F326E5">
      <w:pPr>
        <w:rPr>
          <w:rFonts w:ascii="Arial Black" w:hAnsi="Arial Black"/>
          <w:b/>
          <w:sz w:val="24"/>
          <w:szCs w:val="24"/>
        </w:rPr>
      </w:pPr>
    </w:p>
    <w:p w14:paraId="7F6E7CED" w14:textId="77777777" w:rsidR="000644B6" w:rsidRDefault="000644B6" w:rsidP="00F326E5">
      <w:pPr>
        <w:rPr>
          <w:rFonts w:ascii="Arial Black" w:hAnsi="Arial Black"/>
          <w:b/>
          <w:sz w:val="24"/>
          <w:szCs w:val="24"/>
        </w:rPr>
      </w:pPr>
    </w:p>
    <w:p w14:paraId="5C9B86D8" w14:textId="6403C376" w:rsidR="00237599" w:rsidRDefault="00237599" w:rsidP="00F326E5">
      <w:pPr>
        <w:rPr>
          <w:rFonts w:ascii="Arial Black" w:hAnsi="Arial Black"/>
          <w:b/>
          <w:sz w:val="24"/>
          <w:szCs w:val="24"/>
        </w:rPr>
      </w:pPr>
      <w:r>
        <w:rPr>
          <w:rFonts w:ascii="Arial Black" w:hAnsi="Arial Black"/>
          <w:b/>
          <w:sz w:val="24"/>
          <w:szCs w:val="24"/>
        </w:rPr>
        <w:t>12-22</w:t>
      </w:r>
    </w:p>
    <w:p w14:paraId="5CCE0507" w14:textId="77777777" w:rsidR="00237599" w:rsidRDefault="00237599" w:rsidP="00237599">
      <w:pPr>
        <w:pStyle w:val="NormalWeb"/>
        <w:rPr>
          <w:rFonts w:ascii="Arial Black" w:hAnsi="Arial Black"/>
          <w:sz w:val="28"/>
          <w:szCs w:val="28"/>
        </w:rPr>
      </w:pPr>
      <w:bookmarkStart w:id="414" w:name="_Hlk136860476"/>
      <w:r>
        <w:rPr>
          <w:rFonts w:ascii="Arial Black" w:hAnsi="Arial Black"/>
          <w:sz w:val="28"/>
          <w:szCs w:val="28"/>
        </w:rPr>
        <w:t>NY: OXYCONTIN – CO. BANKRUPTCY APPROVED, ALONG WITH SACKLER FAMILY RELEASE - $5 - $6B TO STATES</w:t>
      </w:r>
    </w:p>
    <w:bookmarkEnd w:id="414"/>
    <w:p w14:paraId="66A3C9AA" w14:textId="77777777" w:rsidR="00237599" w:rsidRPr="005B0088" w:rsidRDefault="00237599" w:rsidP="00237599">
      <w:pPr>
        <w:pStyle w:val="NormalWeb"/>
        <w:rPr>
          <w:rFonts w:ascii="Arial Black" w:hAnsi="Arial Black"/>
          <w:sz w:val="28"/>
          <w:szCs w:val="28"/>
        </w:rPr>
      </w:pPr>
      <w:r>
        <w:t xml:space="preserve">On May 30, 2023, in bankruptcy case </w:t>
      </w:r>
      <w:r w:rsidRPr="002F4F98">
        <w:rPr>
          <w:rStyle w:val="markedcontent"/>
          <w:u w:val="single"/>
        </w:rPr>
        <w:t>In Re: Purdue Pharma L.P., et a</w:t>
      </w:r>
      <w:r>
        <w:rPr>
          <w:rStyle w:val="markedcontent"/>
        </w:rPr>
        <w:t xml:space="preserve">l., </w:t>
      </w:r>
      <w:r>
        <w:t>the U.S. Court of Appeals for Second Circuit (in New York City), approved (3 to 0) settlement of mass tort litigation from overdose deaths from OxyContin, and the Sackler family owners will pay about $5 to $6 billion to state and local governments and others and give up control of Purdue Pharma (based in Stamford, CT) , and about $750 million will go to individuals (ranging from $3,500 to $48,000). Several states had opposed the plan, but with revisions all agreed to the plan. In 2021, U.S. District Judge Colleen McMahon in New York found that federal bankruptcy law does not give the bankruptcy judge who had accepted the plan the authority to grant that kind of release to Sackler family; the 2</w:t>
      </w:r>
      <w:r w:rsidRPr="007A5B02">
        <w:rPr>
          <w:vertAlign w:val="superscript"/>
        </w:rPr>
        <w:t>nd</w:t>
      </w:r>
      <w:r>
        <w:t xml:space="preserve"> Circuit reversed that ruling.  </w:t>
      </w:r>
      <w:hyperlink r:id="rId1863" w:anchor="xml=https://www.ca2.uscourts.gov/decisions/isysquery/8c1d712c-7872-4b25-a064-fe1fbb801f2a/1/hilite/" w:history="1">
        <w:r w:rsidRPr="00BA70FB">
          <w:rPr>
            <w:rStyle w:val="Hyperlink"/>
            <w:rFonts w:eastAsiaTheme="majorEastAsia"/>
          </w:rPr>
          <w:t>https://www.ca2.uscourts.gov/decisions/isysquery/8c1d712c-7872-4b25-a064-fe1fbb801f2a/1/doc/22-110_complete_opn.pdf#xml=https://www.ca2.uscourts.gov/decisions/isysquery/8c1d712c-7872-4b25-a064-fe1fbb801f2a/1/hilite/</w:t>
        </w:r>
      </w:hyperlink>
      <w:r>
        <w:t xml:space="preserve">  </w:t>
      </w:r>
    </w:p>
    <w:p w14:paraId="347C5CB8" w14:textId="77777777" w:rsidR="00237599" w:rsidRPr="005B0088" w:rsidRDefault="00237599" w:rsidP="00237599">
      <w:pPr>
        <w:pStyle w:val="NormalWeb"/>
        <w:ind w:left="720"/>
        <w:jc w:val="both"/>
        <w:rPr>
          <w:rFonts w:ascii="Arial Black" w:hAnsi="Arial Black"/>
          <w:sz w:val="28"/>
          <w:szCs w:val="28"/>
        </w:rPr>
      </w:pPr>
      <w:r>
        <w:t>“</w:t>
      </w:r>
      <w:r>
        <w:rPr>
          <w:rStyle w:val="markedcontent"/>
        </w:rPr>
        <w:t xml:space="preserve">In sum, we reverse the district court’s holding that the bankruptcy court lacked the authority to approve the Plan that included the nonconsensual third-party releases. We instead hold that the bankruptcy court properly approved the Plan and made the requisite detailed factual findings to approve of the Shareholder Releases.” </w:t>
      </w:r>
    </w:p>
    <w:p w14:paraId="2863C9AB" w14:textId="77777777" w:rsidR="00237599" w:rsidRPr="001F18CE" w:rsidRDefault="00237599" w:rsidP="00237599">
      <w:pPr>
        <w:pStyle w:val="NormalWeb"/>
        <w:rPr>
          <w:rStyle w:val="markedcontent"/>
          <w:b/>
          <w:bCs/>
        </w:rPr>
      </w:pPr>
      <w:r w:rsidRPr="001F18CE">
        <w:rPr>
          <w:rStyle w:val="markedcontent"/>
          <w:b/>
          <w:bCs/>
        </w:rPr>
        <w:t xml:space="preserve">Legal Lesson Learned: </w:t>
      </w:r>
      <w:r>
        <w:rPr>
          <w:rStyle w:val="markedcontent"/>
          <w:b/>
          <w:bCs/>
        </w:rPr>
        <w:t xml:space="preserve">OxyContin has led to death of many; this bankruptcy ends numerous mass tort cases.  </w:t>
      </w:r>
    </w:p>
    <w:p w14:paraId="173C6EB4" w14:textId="77777777" w:rsidR="00237599" w:rsidRDefault="00237599" w:rsidP="00237599">
      <w:pPr>
        <w:pStyle w:val="NormalWeb"/>
        <w:ind w:left="720"/>
        <w:rPr>
          <w:b/>
          <w:bCs/>
        </w:rPr>
      </w:pPr>
      <w:r>
        <w:rPr>
          <w:rStyle w:val="markedcontent"/>
        </w:rPr>
        <w:t xml:space="preserve">Note: </w:t>
      </w:r>
      <w:r w:rsidRPr="005B0088">
        <w:t xml:space="preserve">See May 30, </w:t>
      </w:r>
      <w:proofErr w:type="gramStart"/>
      <w:r w:rsidRPr="005B0088">
        <w:t>2023</w:t>
      </w:r>
      <w:proofErr w:type="gramEnd"/>
      <w:r w:rsidRPr="005B0088">
        <w:t xml:space="preserve"> article, “A landmark appeals court ruling clears way for Purdue Pharma-Sackler bankruptcy deal.”</w:t>
      </w:r>
      <w:r>
        <w:rPr>
          <w:b/>
          <w:bCs/>
        </w:rPr>
        <w:t xml:space="preserve"> </w:t>
      </w:r>
      <w:hyperlink r:id="rId1864" w:history="1">
        <w:r w:rsidRPr="00BA70FB">
          <w:rPr>
            <w:rStyle w:val="Hyperlink"/>
            <w:rFonts w:eastAsiaTheme="majorEastAsia"/>
          </w:rPr>
          <w:t>https://www.npr.org/2023/05/30/1178850879/sackler-family-purdue-pharma-immunity-lawsuits-oxycontin-opioid</w:t>
        </w:r>
      </w:hyperlink>
      <w:r>
        <w:rPr>
          <w:b/>
          <w:bCs/>
        </w:rPr>
        <w:t xml:space="preserve"> </w:t>
      </w:r>
    </w:p>
    <w:p w14:paraId="046FBC9C" w14:textId="77777777" w:rsidR="00237599" w:rsidRPr="005B0088" w:rsidRDefault="00237599" w:rsidP="00237599">
      <w:pPr>
        <w:pStyle w:val="NormalWeb"/>
        <w:ind w:left="1440"/>
        <w:rPr>
          <w:color w:val="000000" w:themeColor="text1"/>
        </w:rPr>
      </w:pPr>
      <w:r w:rsidRPr="005B0088">
        <w:rPr>
          <w:color w:val="000000" w:themeColor="text1"/>
        </w:rPr>
        <w:lastRenderedPageBreak/>
        <w:t xml:space="preserve">“As part of the bankruptcy settlement, the </w:t>
      </w:r>
      <w:proofErr w:type="spellStart"/>
      <w:r w:rsidRPr="005B0088">
        <w:rPr>
          <w:color w:val="000000" w:themeColor="text1"/>
        </w:rPr>
        <w:t>Sacklers</w:t>
      </w:r>
      <w:proofErr w:type="spellEnd"/>
      <w:r w:rsidRPr="005B0088">
        <w:rPr>
          <w:color w:val="000000" w:themeColor="text1"/>
        </w:rPr>
        <w:t xml:space="preserve"> are </w:t>
      </w:r>
      <w:hyperlink r:id="rId1865" w:anchor=":~:text=The%20Sackler%20families%20must%20pay,to%20the%20previous%20bankruptcy%20plan." w:history="1">
        <w:r w:rsidRPr="005B0088">
          <w:rPr>
            <w:rStyle w:val="Hyperlink"/>
            <w:rFonts w:eastAsiaTheme="majorEastAsia"/>
            <w:color w:val="000000" w:themeColor="text1"/>
          </w:rPr>
          <w:t>expected to pay roughly $5 to $6 billion and give up control of Purdue Pharma</w:t>
        </w:r>
      </w:hyperlink>
      <w:r w:rsidRPr="005B0088">
        <w:rPr>
          <w:color w:val="000000" w:themeColor="text1"/>
        </w:rPr>
        <w:t>. Roughly $750 million from that payout will go to individuals across the U.S. who became addicted to OxyContin and to the families of those who died from overdoses.”</w:t>
      </w:r>
    </w:p>
    <w:p w14:paraId="4DA353E5" w14:textId="77777777" w:rsidR="00237599" w:rsidRPr="00BD34DC" w:rsidRDefault="00237599" w:rsidP="00237599">
      <w:pPr>
        <w:pStyle w:val="Heading1"/>
        <w:ind w:left="720"/>
        <w:rPr>
          <w:b w:val="0"/>
          <w:bCs w:val="0"/>
          <w:sz w:val="24"/>
          <w:szCs w:val="24"/>
        </w:rPr>
      </w:pPr>
      <w:r w:rsidRPr="00BD34DC">
        <w:rPr>
          <w:b w:val="0"/>
          <w:bCs w:val="0"/>
          <w:sz w:val="24"/>
          <w:szCs w:val="24"/>
        </w:rPr>
        <w:t xml:space="preserve">See March 3, </w:t>
      </w:r>
      <w:proofErr w:type="gramStart"/>
      <w:r w:rsidRPr="00BD34DC">
        <w:rPr>
          <w:b w:val="0"/>
          <w:bCs w:val="0"/>
          <w:sz w:val="24"/>
          <w:szCs w:val="24"/>
        </w:rPr>
        <w:t>2022</w:t>
      </w:r>
      <w:proofErr w:type="gramEnd"/>
      <w:r w:rsidRPr="00BD34DC">
        <w:rPr>
          <w:b w:val="0"/>
          <w:bCs w:val="0"/>
          <w:sz w:val="24"/>
          <w:szCs w:val="24"/>
        </w:rPr>
        <w:t xml:space="preserve"> New York Times article, </w:t>
      </w:r>
      <w:r>
        <w:rPr>
          <w:b w:val="0"/>
          <w:bCs w:val="0"/>
          <w:sz w:val="24"/>
          <w:szCs w:val="24"/>
        </w:rPr>
        <w:t>“</w:t>
      </w:r>
      <w:proofErr w:type="spellStart"/>
      <w:r w:rsidRPr="00BD34DC">
        <w:rPr>
          <w:b w:val="0"/>
          <w:bCs w:val="0"/>
          <w:sz w:val="24"/>
          <w:szCs w:val="24"/>
        </w:rPr>
        <w:t>Sacklers</w:t>
      </w:r>
      <w:proofErr w:type="spellEnd"/>
      <w:r w:rsidRPr="00BD34DC">
        <w:rPr>
          <w:b w:val="0"/>
          <w:bCs w:val="0"/>
          <w:sz w:val="24"/>
          <w:szCs w:val="24"/>
        </w:rPr>
        <w:t xml:space="preserve"> and Purdue Pharma Reach New Deal </w:t>
      </w:r>
      <w:proofErr w:type="gramStart"/>
      <w:r w:rsidRPr="00BD34DC">
        <w:rPr>
          <w:b w:val="0"/>
          <w:bCs w:val="0"/>
          <w:sz w:val="24"/>
          <w:szCs w:val="24"/>
        </w:rPr>
        <w:t>With</w:t>
      </w:r>
      <w:proofErr w:type="gramEnd"/>
      <w:r w:rsidRPr="00BD34DC">
        <w:rPr>
          <w:b w:val="0"/>
          <w:bCs w:val="0"/>
          <w:sz w:val="24"/>
          <w:szCs w:val="24"/>
        </w:rPr>
        <w:t xml:space="preserve"> States Over Opioids</w:t>
      </w:r>
      <w:r>
        <w:rPr>
          <w:b w:val="0"/>
          <w:bCs w:val="0"/>
          <w:sz w:val="24"/>
          <w:szCs w:val="24"/>
        </w:rPr>
        <w:t xml:space="preserve">.” </w:t>
      </w:r>
      <w:hyperlink r:id="rId1866" w:history="1">
        <w:r w:rsidRPr="006E17D1">
          <w:rPr>
            <w:rStyle w:val="Hyperlink"/>
            <w:rFonts w:eastAsiaTheme="majorEastAsia"/>
            <w:b w:val="0"/>
            <w:bCs w:val="0"/>
            <w:sz w:val="24"/>
            <w:szCs w:val="24"/>
          </w:rPr>
          <w:t>https://www.nytimes.com/2022/03/03/health/sacklers-purdue-oxycontin-settlement.html</w:t>
        </w:r>
      </w:hyperlink>
      <w:r>
        <w:rPr>
          <w:b w:val="0"/>
          <w:bCs w:val="0"/>
          <w:sz w:val="24"/>
          <w:szCs w:val="24"/>
        </w:rPr>
        <w:t xml:space="preserve"> </w:t>
      </w:r>
    </w:p>
    <w:p w14:paraId="0DD668A0" w14:textId="77777777" w:rsidR="00237599" w:rsidRDefault="00237599" w:rsidP="00237599">
      <w:pPr>
        <w:pStyle w:val="css-1n0orw4"/>
        <w:ind w:left="1440"/>
      </w:pPr>
      <w:r>
        <w:t xml:space="preserve">“The agreement brought holdout states on </w:t>
      </w:r>
      <w:proofErr w:type="gramStart"/>
      <w:r>
        <w:t>board, and</w:t>
      </w:r>
      <w:proofErr w:type="gramEnd"/>
      <w:r>
        <w:t xml:space="preserve"> would settle thousands of lawsuits over the company’s and family’s roles in the opioid epidemic. The </w:t>
      </w:r>
      <w:proofErr w:type="spellStart"/>
      <w:r>
        <w:t>Sacklers</w:t>
      </w:r>
      <w:proofErr w:type="spellEnd"/>
      <w:r>
        <w:t xml:space="preserve"> agreed to pay an extra $1 billion. Members of the billionaire Sackler family and their company, Purdue Pharma, have reached a deal with a group of states that had long resisted the company’s bankruptcy plan — a crucial step toward funneling billions of dollars from the family’s fortune to addiction treatment programs nationwide, according to a </w:t>
      </w:r>
      <w:hyperlink r:id="rId1867" w:tgtFrame="_blank" w:history="1">
        <w:r>
          <w:rPr>
            <w:rStyle w:val="Hyperlink"/>
            <w:rFonts w:eastAsiaTheme="majorEastAsia"/>
          </w:rPr>
          <w:t>court filing</w:t>
        </w:r>
      </w:hyperlink>
      <w:r>
        <w:t xml:space="preserve"> on Thursday. If Judge Robert Drain, who has presided over Purdue’s bankruptcy proceedings in White Plains, N.Y., approves the agreement, the </w:t>
      </w:r>
      <w:proofErr w:type="spellStart"/>
      <w:r>
        <w:t>Sacklers</w:t>
      </w:r>
      <w:proofErr w:type="spellEnd"/>
      <w:r>
        <w:t xml:space="preserve"> would pay as much as $6 billion to help communities address the damage from the opioid crisis. In return, Sackler family members would get the</w:t>
      </w:r>
      <w:hyperlink r:id="rId1868" w:history="1">
        <w:r>
          <w:rPr>
            <w:rStyle w:val="Hyperlink"/>
            <w:rFonts w:eastAsiaTheme="majorEastAsia"/>
          </w:rPr>
          <w:t xml:space="preserve"> prize they insisted upon for nearly three years</w:t>
        </w:r>
      </w:hyperlink>
      <w:r>
        <w:t xml:space="preserve">: an end to all current and future civil claims against them over the company’s prescription opioid </w:t>
      </w:r>
      <w:proofErr w:type="gramStart"/>
      <w:r>
        <w:t>business.”</w:t>
      </w:r>
      <w:proofErr w:type="gramEnd"/>
    </w:p>
    <w:p w14:paraId="7578779F" w14:textId="77777777" w:rsidR="00237599" w:rsidRDefault="00237599" w:rsidP="00237599">
      <w:pPr>
        <w:pStyle w:val="Heading1"/>
        <w:ind w:left="720"/>
        <w:rPr>
          <w:b w:val="0"/>
          <w:bCs w:val="0"/>
          <w:sz w:val="24"/>
          <w:szCs w:val="24"/>
        </w:rPr>
      </w:pPr>
      <w:r>
        <w:rPr>
          <w:b w:val="0"/>
          <w:bCs w:val="0"/>
          <w:sz w:val="24"/>
          <w:szCs w:val="24"/>
        </w:rPr>
        <w:t xml:space="preserve">See </w:t>
      </w:r>
      <w:r w:rsidRPr="00022A47">
        <w:rPr>
          <w:b w:val="0"/>
          <w:bCs w:val="0"/>
          <w:sz w:val="24"/>
          <w:szCs w:val="24"/>
        </w:rPr>
        <w:t xml:space="preserve">Oct. 21, </w:t>
      </w:r>
      <w:proofErr w:type="gramStart"/>
      <w:r w:rsidRPr="00022A47">
        <w:rPr>
          <w:b w:val="0"/>
          <w:bCs w:val="0"/>
          <w:sz w:val="24"/>
          <w:szCs w:val="24"/>
        </w:rPr>
        <w:t>20</w:t>
      </w:r>
      <w:r>
        <w:rPr>
          <w:b w:val="0"/>
          <w:bCs w:val="0"/>
          <w:sz w:val="24"/>
          <w:szCs w:val="24"/>
        </w:rPr>
        <w:t>20</w:t>
      </w:r>
      <w:proofErr w:type="gramEnd"/>
      <w:r>
        <w:rPr>
          <w:b w:val="0"/>
          <w:bCs w:val="0"/>
          <w:sz w:val="24"/>
          <w:szCs w:val="24"/>
        </w:rPr>
        <w:t xml:space="preserve"> Press Release, “</w:t>
      </w:r>
      <w:r w:rsidRPr="00022A47">
        <w:rPr>
          <w:b w:val="0"/>
          <w:bCs w:val="0"/>
          <w:sz w:val="24"/>
          <w:szCs w:val="24"/>
        </w:rPr>
        <w:t>Justice Department Announces Global Resolution of Criminal and Civil Investigations with Opioid Manufacturer Purdue Pharma and Civil Settlement with Members of the Sackler Family</w:t>
      </w:r>
      <w:r>
        <w:rPr>
          <w:b w:val="0"/>
          <w:bCs w:val="0"/>
          <w:sz w:val="24"/>
          <w:szCs w:val="24"/>
        </w:rPr>
        <w:t>.”</w:t>
      </w:r>
      <w:r w:rsidRPr="00022A47">
        <w:t xml:space="preserve"> </w:t>
      </w:r>
      <w:hyperlink r:id="rId1869" w:history="1">
        <w:r w:rsidRPr="005639A2">
          <w:rPr>
            <w:rStyle w:val="Hyperlink"/>
            <w:rFonts w:eastAsiaTheme="majorEastAsia"/>
            <w:b w:val="0"/>
            <w:bCs w:val="0"/>
            <w:sz w:val="24"/>
            <w:szCs w:val="24"/>
          </w:rPr>
          <w:t>https://www.justice.gov/opa/pr/justice-department-announces-global-resolution-criminal-and-civil-investigations-opioid</w:t>
        </w:r>
      </w:hyperlink>
      <w:r>
        <w:rPr>
          <w:b w:val="0"/>
          <w:bCs w:val="0"/>
          <w:sz w:val="24"/>
          <w:szCs w:val="24"/>
        </w:rPr>
        <w:t xml:space="preserve"> </w:t>
      </w:r>
    </w:p>
    <w:p w14:paraId="29920321" w14:textId="77777777" w:rsidR="00237599" w:rsidRPr="00022A47" w:rsidRDefault="00237599" w:rsidP="00237599">
      <w:pPr>
        <w:pStyle w:val="Heading1"/>
        <w:ind w:left="1440"/>
        <w:rPr>
          <w:b w:val="0"/>
          <w:bCs w:val="0"/>
          <w:sz w:val="24"/>
          <w:szCs w:val="24"/>
        </w:rPr>
      </w:pPr>
      <w:r>
        <w:rPr>
          <w:b w:val="0"/>
          <w:bCs w:val="0"/>
          <w:sz w:val="24"/>
          <w:szCs w:val="24"/>
        </w:rPr>
        <w:t>“</w:t>
      </w:r>
      <w:r w:rsidRPr="00022A47">
        <w:rPr>
          <w:b w:val="0"/>
          <w:bCs w:val="0"/>
          <w:sz w:val="24"/>
          <w:szCs w:val="24"/>
        </w:rPr>
        <w:t xml:space="preserve">Under a separate civil settlement, individual members of the Sackler family will pay the United States $225 million arising from the alleged conduct of Dr. Richard Sackler, David Sackler, Mortimer D.A. Sackler, Dr. Kathe Sackler, and Jonathan Sackler (the Named </w:t>
      </w:r>
      <w:proofErr w:type="spellStart"/>
      <w:r w:rsidRPr="00022A47">
        <w:rPr>
          <w:b w:val="0"/>
          <w:bCs w:val="0"/>
          <w:sz w:val="24"/>
          <w:szCs w:val="24"/>
        </w:rPr>
        <w:t>Sacklers</w:t>
      </w:r>
      <w:proofErr w:type="spellEnd"/>
      <w:r w:rsidRPr="00022A47">
        <w:rPr>
          <w:b w:val="0"/>
          <w:bCs w:val="0"/>
          <w:sz w:val="24"/>
          <w:szCs w:val="24"/>
        </w:rPr>
        <w:t xml:space="preserve">).  This settlement resolves allegations that, in 2012, the Named </w:t>
      </w:r>
      <w:proofErr w:type="spellStart"/>
      <w:r w:rsidRPr="00022A47">
        <w:rPr>
          <w:b w:val="0"/>
          <w:bCs w:val="0"/>
          <w:sz w:val="24"/>
          <w:szCs w:val="24"/>
        </w:rPr>
        <w:t>Sacklers</w:t>
      </w:r>
      <w:proofErr w:type="spellEnd"/>
      <w:r w:rsidRPr="00022A47">
        <w:rPr>
          <w:b w:val="0"/>
          <w:bCs w:val="0"/>
          <w:sz w:val="24"/>
          <w:szCs w:val="24"/>
        </w:rPr>
        <w:t xml:space="preserve"> knew that the legitimate market for Purdue’s opioids had contracted.  Nevertheless, they requested that Purdue executives recapture lost sales and increase Purdue’s share of the opioid market.  The Named </w:t>
      </w:r>
      <w:proofErr w:type="spellStart"/>
      <w:r w:rsidRPr="00022A47">
        <w:rPr>
          <w:b w:val="0"/>
          <w:bCs w:val="0"/>
          <w:sz w:val="24"/>
          <w:szCs w:val="24"/>
        </w:rPr>
        <w:t>Sacklers</w:t>
      </w:r>
      <w:proofErr w:type="spellEnd"/>
      <w:r w:rsidRPr="00022A47">
        <w:rPr>
          <w:b w:val="0"/>
          <w:bCs w:val="0"/>
          <w:sz w:val="24"/>
          <w:szCs w:val="24"/>
        </w:rPr>
        <w:t xml:space="preserve"> then approved a new marketing program beginning in 2013 called </w:t>
      </w:r>
      <w:r>
        <w:rPr>
          <w:b w:val="0"/>
          <w:bCs w:val="0"/>
          <w:sz w:val="24"/>
          <w:szCs w:val="24"/>
        </w:rPr>
        <w:t>‘</w:t>
      </w:r>
      <w:r w:rsidRPr="00022A47">
        <w:rPr>
          <w:b w:val="0"/>
          <w:bCs w:val="0"/>
          <w:sz w:val="24"/>
          <w:szCs w:val="24"/>
        </w:rPr>
        <w:t>Evolve to Excellence,</w:t>
      </w:r>
      <w:r>
        <w:rPr>
          <w:b w:val="0"/>
          <w:bCs w:val="0"/>
          <w:sz w:val="24"/>
          <w:szCs w:val="24"/>
        </w:rPr>
        <w:t>’</w:t>
      </w:r>
      <w:r w:rsidRPr="00022A47">
        <w:rPr>
          <w:b w:val="0"/>
          <w:bCs w:val="0"/>
          <w:sz w:val="24"/>
          <w:szCs w:val="24"/>
        </w:rPr>
        <w:t xml:space="preserve"> through which Purdue sales representatives intensified their marketing of OxyContin to extreme, high-volume prescribers who were already writing “25 times as many OxyContin scripts” as their peers, causing health care providers to prescribe opioids for uses that were unsafe, ineffective, and medically unnecessary, and that often led to abuse and diversion.</w:t>
      </w:r>
      <w:r>
        <w:rPr>
          <w:b w:val="0"/>
          <w:bCs w:val="0"/>
          <w:sz w:val="24"/>
          <w:szCs w:val="24"/>
        </w:rPr>
        <w:t>”</w:t>
      </w:r>
      <w:r w:rsidRPr="00022A47">
        <w:rPr>
          <w:b w:val="0"/>
          <w:bCs w:val="0"/>
          <w:sz w:val="24"/>
          <w:szCs w:val="24"/>
        </w:rPr>
        <w:t xml:space="preserve">    </w:t>
      </w:r>
    </w:p>
    <w:p w14:paraId="6BD81C99" w14:textId="77777777" w:rsidR="00237599" w:rsidRDefault="00237599" w:rsidP="00F326E5">
      <w:pPr>
        <w:rPr>
          <w:rFonts w:ascii="Arial Black" w:hAnsi="Arial Black"/>
          <w:b/>
          <w:sz w:val="24"/>
          <w:szCs w:val="24"/>
        </w:rPr>
      </w:pPr>
    </w:p>
    <w:p w14:paraId="37276519" w14:textId="77777777" w:rsidR="00237599" w:rsidRDefault="00237599" w:rsidP="00F326E5">
      <w:pPr>
        <w:rPr>
          <w:rFonts w:ascii="Arial Black" w:hAnsi="Arial Black"/>
          <w:b/>
          <w:sz w:val="24"/>
          <w:szCs w:val="24"/>
        </w:rPr>
      </w:pPr>
    </w:p>
    <w:p w14:paraId="73A66DE2" w14:textId="559102DB" w:rsidR="00F55395" w:rsidRDefault="00F55395" w:rsidP="00F326E5">
      <w:pPr>
        <w:rPr>
          <w:rFonts w:ascii="Arial Black" w:hAnsi="Arial Black"/>
          <w:b/>
          <w:sz w:val="24"/>
          <w:szCs w:val="24"/>
        </w:rPr>
      </w:pPr>
      <w:r>
        <w:rPr>
          <w:rFonts w:ascii="Arial Black" w:hAnsi="Arial Black"/>
          <w:b/>
          <w:sz w:val="24"/>
          <w:szCs w:val="24"/>
        </w:rPr>
        <w:t>12-21</w:t>
      </w:r>
    </w:p>
    <w:p w14:paraId="6EA76482" w14:textId="77777777" w:rsidR="00F55395" w:rsidRDefault="00F55395" w:rsidP="00F55395">
      <w:pPr>
        <w:pStyle w:val="NormalWeb"/>
        <w:rPr>
          <w:rFonts w:ascii="Arial Black" w:hAnsi="Arial Black"/>
          <w:sz w:val="28"/>
          <w:szCs w:val="28"/>
        </w:rPr>
      </w:pPr>
      <w:r>
        <w:rPr>
          <w:rFonts w:ascii="Arial Black" w:hAnsi="Arial Black"/>
          <w:sz w:val="28"/>
          <w:szCs w:val="28"/>
        </w:rPr>
        <w:t>PA: 7 DISPATCHERS FIRED – EGG NOG / ALCOHOL – THEIR PRIOR CALL CENTER ISSUES NOT “CITIZEN SPEECH”</w:t>
      </w:r>
    </w:p>
    <w:p w14:paraId="26C7C252" w14:textId="77777777" w:rsidR="00F55395" w:rsidRDefault="00F55395" w:rsidP="00F55395">
      <w:pPr>
        <w:pStyle w:val="NormalWeb"/>
      </w:pPr>
      <w:r>
        <w:t xml:space="preserve">On March 9, 2023, in </w:t>
      </w:r>
      <w:r w:rsidRPr="00D85D57">
        <w:rPr>
          <w:u w:val="single"/>
        </w:rPr>
        <w:t>Justin Zucal, et al. v. County of Lehigh, et al</w:t>
      </w:r>
      <w:r>
        <w:t xml:space="preserve">., U.S. District Court Judge John M. Gallaher, Eastern District of Pennsylvania, granted the defense motion to dismiss the lawsuit filed by seven dispatchers who were fired on Jan. 21, </w:t>
      </w:r>
      <w:proofErr w:type="gramStart"/>
      <w:r>
        <w:t>2020</w:t>
      </w:r>
      <w:proofErr w:type="gramEnd"/>
      <w:r>
        <w:t xml:space="preserve"> after the New Year’s Eve toast.  In January 2019, the Allentown 911 Emergency Call Center merged with the Lehigh County 911 Emergency Call Center; some dispatchers </w:t>
      </w:r>
      <w:r>
        <w:lastRenderedPageBreak/>
        <w:t xml:space="preserve">complained to County officials, and police and fire agencies about call center issues, and alleged discrimination against a Latino dispatcher.  The Court rejected their claim that they were fired in retaliation for exercising their First Amendment rights to complain to public.  “[T]he Court finds that Plaintiffs' complaints that serve as the basis for their retaliation claim are not protected by the First Amendment as citizen speech. And because the Plaintiffs' statements were made within their duties as government employees, the Court need not address whether their statements involved a matter of public concern or whether the government lacked an ‘adequate justification' for treating the employee differently than the </w:t>
      </w:r>
      <w:proofErr w:type="gramStart"/>
      <w:r>
        <w:t>general public</w:t>
      </w:r>
      <w:proofErr w:type="gramEnd"/>
      <w:r>
        <w:t xml:space="preserve"> based on its needs as an employer under the </w:t>
      </w:r>
      <w:r>
        <w:rPr>
          <w:rStyle w:val="Emphasis"/>
        </w:rPr>
        <w:t>Pickering</w:t>
      </w:r>
      <w:r>
        <w:t xml:space="preserve"> balancing test.’ </w:t>
      </w:r>
      <w:r>
        <w:rPr>
          <w:rStyle w:val="Emphasis"/>
        </w:rPr>
        <w:t>Dougherty</w:t>
      </w:r>
      <w:r>
        <w:t xml:space="preserve">, 772 F.3d at 987 (quoting </w:t>
      </w:r>
      <w:r>
        <w:rPr>
          <w:rStyle w:val="Emphasis"/>
        </w:rPr>
        <w:t>Gorum</w:t>
      </w:r>
      <w:r>
        <w:t xml:space="preserve">, 561 F.3d at 185). Accordingly, Defendants' motion to dismiss this claim is granted.” </w:t>
      </w:r>
      <w:hyperlink r:id="rId1870" w:history="1">
        <w:r w:rsidRPr="005C1F1B">
          <w:rPr>
            <w:rStyle w:val="Hyperlink"/>
            <w:rFonts w:eastAsiaTheme="majorEastAsia"/>
          </w:rPr>
          <w:t>https://public.fastcase.com/J%2FJP6pdidelsXxEE4k%2BLMjguDlksD8dKELdpfFWP9cYBmH83FdbmlTzl%2FYR%2FGHKVJmTrfPX2dR0kqVK5JcTrQwWj0Xyj7G2BHa1wkLBWvR8%3D?utm_medium=email&amp;_hsmi=226712652&amp;_hsenc=p2ANqtz-8X8hd1OyKx9xBVWTYyyRcKWZqDrqGklavKHA9oFy03k-3f0cMxPP9GwSn13jNQOldot2axaAKjxlo1irLgFnquT2grYg&amp;utm_content=226712652&amp;utm_source=hs_email</w:t>
        </w:r>
      </w:hyperlink>
      <w:r>
        <w:t xml:space="preserve"> </w:t>
      </w:r>
    </w:p>
    <w:p w14:paraId="587682CD" w14:textId="77777777" w:rsidR="00F55395" w:rsidRDefault="00F55395" w:rsidP="00F55395">
      <w:pPr>
        <w:pStyle w:val="NormalWeb"/>
      </w:pPr>
      <w:r>
        <w:t xml:space="preserve">The Court described the “Fact Finding” meeting that led to their termination. </w:t>
      </w:r>
    </w:p>
    <w:p w14:paraId="5584E975" w14:textId="77777777" w:rsidR="00F55395" w:rsidRDefault="00F55395" w:rsidP="00F55395">
      <w:pPr>
        <w:pStyle w:val="NormalWeb"/>
        <w:ind w:left="720"/>
      </w:pPr>
      <w:r>
        <w:t>On December 31, 2019, Alvarez-Carril, Plaintiffs and other 911 dispatchers shared a New Year's Eve toast over small cups of eggnog….Plaintiffs claim that Gieringer granted permission to Alvarez-Carril to use alcohol for the toast….Plaintiffs also claim that prior to the toast, they had observed supervisors and other Lehigh County employees use, possess, or distribute alcohol on county property without any discipline….</w:t>
      </w:r>
    </w:p>
    <w:p w14:paraId="66FD186D" w14:textId="77777777" w:rsidR="00F55395" w:rsidRDefault="00F55395" w:rsidP="00F55395">
      <w:pPr>
        <w:pStyle w:val="NormalWeb"/>
        <w:ind w:left="720"/>
      </w:pPr>
      <w:r>
        <w:t>***</w:t>
      </w:r>
    </w:p>
    <w:p w14:paraId="169EEF28" w14:textId="77777777" w:rsidR="00F55395" w:rsidRDefault="00F55395" w:rsidP="00F55395">
      <w:pPr>
        <w:pStyle w:val="NormalWeb"/>
        <w:ind w:left="720"/>
      </w:pPr>
      <w:r>
        <w:t>On January 21, 2020, Plaintiffs were all ordered to attend individual meetings with Redding the next day…. Plaintiffs claim that during these meetings with Redding, they learned that county supervisors were alleging they had “drinking problems….” During these meetings, Plaintiffs Zucal, Francis C. Gatens, Geiger, Landis and Palmer were told their positions were being terminated and they were given an opportunity to resign….These plaintiffs claim Redding told them they could reapply for their positions, and that resignation would look better than termination…. They subsequently resigned, wrote a resignation letter, and immediately applied for reinstatement…. Plaintiffs claim the applications for reinstatement were ignored and dismissed….During their meetings with Redding that day, Plaintiffs David M. Gatens and Kirchner were informed their employment was being terminated and were subsequently escorted from the premises.”</w:t>
      </w:r>
    </w:p>
    <w:p w14:paraId="6A499809" w14:textId="77777777" w:rsidR="00F55395" w:rsidRPr="00D35EF0" w:rsidRDefault="00F55395" w:rsidP="00F55395">
      <w:pPr>
        <w:pStyle w:val="NormalWeb"/>
        <w:rPr>
          <w:b/>
          <w:bCs/>
        </w:rPr>
      </w:pPr>
      <w:r w:rsidRPr="00D35EF0">
        <w:rPr>
          <w:b/>
          <w:bCs/>
        </w:rPr>
        <w:t xml:space="preserve">Legal Lesson Learned:  </w:t>
      </w:r>
      <w:r>
        <w:rPr>
          <w:b/>
          <w:bCs/>
        </w:rPr>
        <w:t xml:space="preserve">Dispatchers drinking alcohol on duty, of any amount, can lead to termination. </w:t>
      </w:r>
    </w:p>
    <w:p w14:paraId="245A8E8D" w14:textId="77777777" w:rsidR="00F55395" w:rsidRPr="00D35EF0" w:rsidRDefault="00F55395" w:rsidP="00F55395">
      <w:pPr>
        <w:pStyle w:val="Heading1"/>
        <w:ind w:left="720"/>
        <w:rPr>
          <w:b w:val="0"/>
          <w:bCs w:val="0"/>
          <w:sz w:val="24"/>
          <w:szCs w:val="24"/>
        </w:rPr>
      </w:pPr>
      <w:r w:rsidRPr="00D35EF0">
        <w:rPr>
          <w:b w:val="0"/>
          <w:bCs w:val="0"/>
          <w:sz w:val="24"/>
          <w:szCs w:val="24"/>
        </w:rPr>
        <w:t xml:space="preserve">Note: See </w:t>
      </w:r>
      <w:r>
        <w:rPr>
          <w:b w:val="0"/>
          <w:bCs w:val="0"/>
          <w:sz w:val="24"/>
          <w:szCs w:val="24"/>
        </w:rPr>
        <w:t xml:space="preserve">Oct. 22, </w:t>
      </w:r>
      <w:proofErr w:type="gramStart"/>
      <w:r>
        <w:rPr>
          <w:b w:val="0"/>
          <w:bCs w:val="0"/>
          <w:sz w:val="24"/>
          <w:szCs w:val="24"/>
        </w:rPr>
        <w:t>2021</w:t>
      </w:r>
      <w:proofErr w:type="gramEnd"/>
      <w:r>
        <w:rPr>
          <w:b w:val="0"/>
          <w:bCs w:val="0"/>
          <w:sz w:val="24"/>
          <w:szCs w:val="24"/>
        </w:rPr>
        <w:t xml:space="preserve"> </w:t>
      </w:r>
      <w:r w:rsidRPr="00D35EF0">
        <w:rPr>
          <w:b w:val="0"/>
          <w:bCs w:val="0"/>
          <w:sz w:val="24"/>
          <w:szCs w:val="24"/>
        </w:rPr>
        <w:t>article</w:t>
      </w:r>
      <w:r>
        <w:rPr>
          <w:b w:val="0"/>
          <w:bCs w:val="0"/>
          <w:sz w:val="24"/>
          <w:szCs w:val="24"/>
        </w:rPr>
        <w:t>, “</w:t>
      </w:r>
      <w:r w:rsidRPr="00D35EF0">
        <w:rPr>
          <w:b w:val="0"/>
          <w:bCs w:val="0"/>
          <w:sz w:val="24"/>
          <w:szCs w:val="24"/>
        </w:rPr>
        <w:t>Lehigh County Pushes Back Against Lawsuit Alleging that Racism, Negligence at Emergency Call Center Led to Deaths</w:t>
      </w:r>
      <w:r>
        <w:rPr>
          <w:b w:val="0"/>
          <w:bCs w:val="0"/>
          <w:sz w:val="24"/>
          <w:szCs w:val="24"/>
        </w:rPr>
        <w:t xml:space="preserve">.” </w:t>
      </w:r>
      <w:hyperlink r:id="rId1871" w:history="1">
        <w:r w:rsidRPr="005C1F1B">
          <w:rPr>
            <w:rStyle w:val="Hyperlink"/>
            <w:rFonts w:eastAsiaTheme="majorEastAsia"/>
            <w:b w:val="0"/>
            <w:bCs w:val="0"/>
            <w:sz w:val="24"/>
            <w:szCs w:val="24"/>
          </w:rPr>
          <w:t>https://lawandcrime.com/lawsuit/racism-negligence-at-pennsylvania-emergency-call-center-led-to-deaths-lawsuit/</w:t>
        </w:r>
      </w:hyperlink>
      <w:r>
        <w:rPr>
          <w:b w:val="0"/>
          <w:bCs w:val="0"/>
          <w:sz w:val="24"/>
          <w:szCs w:val="24"/>
        </w:rPr>
        <w:t xml:space="preserve"> </w:t>
      </w:r>
    </w:p>
    <w:p w14:paraId="00F91500" w14:textId="77777777" w:rsidR="00F55395" w:rsidRDefault="00F55395" w:rsidP="00F326E5">
      <w:pPr>
        <w:rPr>
          <w:rFonts w:ascii="Arial Black" w:hAnsi="Arial Black"/>
          <w:b/>
          <w:sz w:val="24"/>
          <w:szCs w:val="24"/>
        </w:rPr>
      </w:pPr>
    </w:p>
    <w:p w14:paraId="6F3D7CD2" w14:textId="77777777" w:rsidR="00F55395" w:rsidRDefault="00F55395" w:rsidP="00F326E5">
      <w:pPr>
        <w:rPr>
          <w:rFonts w:ascii="Arial Black" w:hAnsi="Arial Black"/>
          <w:b/>
          <w:sz w:val="24"/>
          <w:szCs w:val="24"/>
        </w:rPr>
      </w:pPr>
    </w:p>
    <w:p w14:paraId="74BE185E" w14:textId="52D27774" w:rsidR="00D47B53" w:rsidRDefault="00D47B53" w:rsidP="00F326E5">
      <w:pPr>
        <w:rPr>
          <w:rFonts w:ascii="Arial Black" w:hAnsi="Arial Black"/>
          <w:b/>
          <w:sz w:val="24"/>
          <w:szCs w:val="24"/>
        </w:rPr>
      </w:pPr>
      <w:r>
        <w:rPr>
          <w:rFonts w:ascii="Arial Black" w:hAnsi="Arial Black"/>
          <w:b/>
          <w:sz w:val="24"/>
          <w:szCs w:val="24"/>
        </w:rPr>
        <w:t>12-20</w:t>
      </w:r>
    </w:p>
    <w:p w14:paraId="75EA4B90" w14:textId="77777777" w:rsidR="00D47B53" w:rsidRDefault="00D47B53" w:rsidP="00D47B53">
      <w:pPr>
        <w:pStyle w:val="NormalWeb"/>
      </w:pPr>
      <w:bookmarkStart w:id="415" w:name="_Hlk120878043"/>
      <w:r>
        <w:rPr>
          <w:rFonts w:ascii="Arial Black" w:hAnsi="Arial Black"/>
          <w:sz w:val="28"/>
          <w:szCs w:val="28"/>
        </w:rPr>
        <w:t>CT: FF BREACHED LAST CHANCE AGREEMENT – FIRED – PRESCRIPTION MARIJUANA – WINS UNEMPLOYMENT</w:t>
      </w:r>
      <w:r>
        <w:t xml:space="preserve"> </w:t>
      </w:r>
    </w:p>
    <w:p w14:paraId="3861BE3C" w14:textId="77777777" w:rsidR="00D47B53" w:rsidRDefault="00D47B53" w:rsidP="00D47B53">
      <w:pPr>
        <w:pStyle w:val="NormalWeb"/>
      </w:pPr>
      <w:r>
        <w:lastRenderedPageBreak/>
        <w:t xml:space="preserve">On Nov. 29, 2022, in </w:t>
      </w:r>
      <w:r w:rsidRPr="00544DBB">
        <w:rPr>
          <w:u w:val="single"/>
        </w:rPr>
        <w:t>City of Waterbury v. Administrator, Unemployment Compensation Act, et al.</w:t>
      </w:r>
      <w:r>
        <w:t xml:space="preserve">, the Court of Appeals of Connecticut held (3 to 0) that the referee decision and the Board of Review correctly held that firefighter </w:t>
      </w:r>
      <w:r w:rsidRPr="00AC0FB0">
        <w:t>Thomas F. Eccleston II, fired for use of marijuana, was</w:t>
      </w:r>
      <w:r>
        <w:t xml:space="preserve"> entitled to unemployment compensation. He was using prescribed marijuana under the state’s Palliative Use of Marijuana Act (PUMA); the Last Chance Agreement was signed prior to new marijuana prescription statute.   Under state law, employees may receive unemployment unless not discharged for “</w:t>
      </w:r>
      <w:proofErr w:type="spellStart"/>
      <w:r>
        <w:t>wilful</w:t>
      </w:r>
      <w:proofErr w:type="spellEnd"/>
      <w:r>
        <w:t xml:space="preserve"> misconduct.” </w:t>
      </w:r>
    </w:p>
    <w:p w14:paraId="18CBE56E" w14:textId="77777777" w:rsidR="00D47B53" w:rsidRDefault="00D47B53" w:rsidP="00D47B53">
      <w:pPr>
        <w:pStyle w:val="NormalWeb"/>
        <w:ind w:left="720"/>
      </w:pPr>
      <w:r>
        <w:t xml:space="preserve">“It is undisputed that the claimant is a qualifying patient entitled to protections under PUMA, which likewise entails protection against employment penalties resulting from the claimant's legal, off-duty use of medical marijuana. General Statutes § 21a-408p (b) (3); see also General Statutes § 21a-408a (a) (‘ [a] qualifying patient who has a valid registration certificate from the Department of Consumer Protection . . . and complies with the requirements of [PUMA] . . . shall not be subject to arrest or prosecution, penalized in any manner, including, but not limited to, being subject to any civil penalty, or denied any right or privilege, including, but not limited to, being subject to any disciplinary action by a professional licensing board, for the palliative </w:t>
      </w:r>
      <w:r>
        <w:rPr>
          <w:rStyle w:val="Emphasis"/>
        </w:rPr>
        <w:t>use</w:t>
      </w:r>
      <w:r>
        <w:t xml:space="preserve"> of marijuana’ (emphasis added)). Consequently, the board reasonably concluded that, insofar as the last chance agreement operated to allow the plaintiff to terminate the claimant's employment for his palliative use of marijuana, it was unreasonable. See Regs., Conn. State Agencies § 31-236-26b (d). Further, the unreasonable application of the last chance agreement to the claimant's palliative marijuana use forecloses the possibility that the claimant's employment was terminated for </w:t>
      </w:r>
      <w:proofErr w:type="spellStart"/>
      <w:r>
        <w:t>wilful</w:t>
      </w:r>
      <w:proofErr w:type="spellEnd"/>
      <w:r>
        <w:t xml:space="preserve"> misconduct. See General Statutes § 31-236 (a) (16).</w:t>
      </w:r>
      <w:r>
        <w:rPr>
          <w:vertAlign w:val="superscript"/>
        </w:rPr>
        <w:t xml:space="preserve">” </w:t>
      </w:r>
      <w:hyperlink r:id="rId1872" w:history="1">
        <w:r w:rsidRPr="00AF231E">
          <w:rPr>
            <w:rStyle w:val="Hyperlink"/>
            <w:rFonts w:eastAsiaTheme="majorEastAsia"/>
          </w:rPr>
          <w:t>https://www.jud.ct.gov/external/supapp/Cases/AROap/AP216/216AP25.pdf</w:t>
        </w:r>
      </w:hyperlink>
      <w:r>
        <w:t xml:space="preserve"> </w:t>
      </w:r>
    </w:p>
    <w:bookmarkEnd w:id="415"/>
    <w:p w14:paraId="1D75FEF6" w14:textId="77777777" w:rsidR="00D47B53" w:rsidRPr="00F5602A" w:rsidRDefault="00D47B53" w:rsidP="00D47B53">
      <w:pPr>
        <w:pStyle w:val="NormalWeb"/>
        <w:rPr>
          <w:b/>
          <w:bCs/>
        </w:rPr>
      </w:pPr>
      <w:r w:rsidRPr="00F5602A">
        <w:rPr>
          <w:b/>
          <w:bCs/>
        </w:rPr>
        <w:t>Legal Lesson Learned:</w:t>
      </w:r>
      <w:r>
        <w:rPr>
          <w:b/>
          <w:bCs/>
        </w:rPr>
        <w:t xml:space="preserve"> The last chance agreement was signed prior to the State’s new palliative marijuana legislation; future last chance agreements should address prescription marijuana. </w:t>
      </w:r>
    </w:p>
    <w:p w14:paraId="79CB2FF6" w14:textId="77777777" w:rsidR="00D47B53" w:rsidRDefault="00D47B53" w:rsidP="00F326E5">
      <w:pPr>
        <w:rPr>
          <w:rFonts w:ascii="Arial Black" w:hAnsi="Arial Black"/>
          <w:b/>
          <w:sz w:val="24"/>
          <w:szCs w:val="24"/>
        </w:rPr>
      </w:pPr>
    </w:p>
    <w:p w14:paraId="5E27A2D7" w14:textId="77777777" w:rsidR="00D47B53" w:rsidRDefault="00D47B53" w:rsidP="00F326E5">
      <w:pPr>
        <w:rPr>
          <w:rFonts w:ascii="Arial Black" w:hAnsi="Arial Black"/>
          <w:b/>
          <w:sz w:val="24"/>
          <w:szCs w:val="24"/>
        </w:rPr>
      </w:pPr>
    </w:p>
    <w:p w14:paraId="28A59F4E" w14:textId="3BB9B37D" w:rsidR="00AC5FED" w:rsidRDefault="00AC5FED" w:rsidP="00F326E5">
      <w:pPr>
        <w:rPr>
          <w:rFonts w:ascii="Arial Black" w:hAnsi="Arial Black"/>
          <w:b/>
          <w:sz w:val="24"/>
          <w:szCs w:val="24"/>
        </w:rPr>
      </w:pPr>
      <w:r>
        <w:rPr>
          <w:rFonts w:ascii="Arial Black" w:hAnsi="Arial Black"/>
          <w:b/>
          <w:sz w:val="24"/>
          <w:szCs w:val="24"/>
        </w:rPr>
        <w:t>12-19</w:t>
      </w:r>
    </w:p>
    <w:p w14:paraId="7A191B74" w14:textId="77777777" w:rsidR="00AC5FED" w:rsidRDefault="00AC5FED" w:rsidP="00AC5FED">
      <w:pPr>
        <w:pStyle w:val="NormalWeb"/>
        <w:rPr>
          <w:rFonts w:ascii="Arial Black" w:hAnsi="Arial Black"/>
          <w:b/>
          <w:bCs/>
          <w:sz w:val="28"/>
          <w:szCs w:val="28"/>
        </w:rPr>
      </w:pPr>
      <w:r>
        <w:rPr>
          <w:rFonts w:ascii="Arial Black" w:hAnsi="Arial Black"/>
          <w:b/>
          <w:bCs/>
          <w:sz w:val="28"/>
          <w:szCs w:val="28"/>
        </w:rPr>
        <w:t>FL: DRUG OVERDOSE / 911 CALLED - GOOD SAMARITAN ACT DOES NOT PREVENT PD ARREST OUTSTANDING WARRANT</w:t>
      </w:r>
    </w:p>
    <w:p w14:paraId="303F189E" w14:textId="77777777" w:rsidR="00AC5FED" w:rsidRDefault="00AC5FED" w:rsidP="00AC5FED">
      <w:pPr>
        <w:pStyle w:val="NormalWeb"/>
        <w:rPr>
          <w:rFonts w:eastAsiaTheme="minorHAnsi"/>
        </w:rPr>
      </w:pPr>
      <w:r>
        <w:t xml:space="preserve">On Sept. 23, 2022, in </w:t>
      </w:r>
      <w:r>
        <w:rPr>
          <w:u w:val="single"/>
        </w:rPr>
        <w:t>State of Florida v. Anthony L. Waiters</w:t>
      </w:r>
      <w:r>
        <w:t xml:space="preserve">, the Florida Court of Appeals, Second District, held (3 to 0) that the trial court improperly dismissed </w:t>
      </w:r>
      <w:r>
        <w:rPr>
          <w:rFonts w:eastAsiaTheme="minorHAnsi"/>
        </w:rPr>
        <w:t xml:space="preserve">the drug-related offenses under the 911 Good Samaritan Act, § 893.21(2), Fla. Stat. (2020). </w:t>
      </w:r>
    </w:p>
    <w:p w14:paraId="72DF42F8" w14:textId="29F24255" w:rsidR="00AC5FED" w:rsidRPr="00AC5FED" w:rsidRDefault="00AC5FED" w:rsidP="00AC5FED">
      <w:pPr>
        <w:ind w:left="720"/>
        <w:rPr>
          <w:rStyle w:val="Hyperlink"/>
          <w:rFonts w:ascii="Times New Roman" w:hAnsi="Times New Roman"/>
          <w:sz w:val="24"/>
          <w:szCs w:val="24"/>
        </w:rPr>
      </w:pPr>
      <w:r w:rsidRPr="00AC5FED">
        <w:rPr>
          <w:rFonts w:ascii="Times New Roman" w:eastAsiaTheme="minorHAnsi" w:hAnsi="Times New Roman"/>
          <w:sz w:val="24"/>
          <w:szCs w:val="24"/>
        </w:rPr>
        <w:t>“[T]</w:t>
      </w:r>
      <w:r w:rsidRPr="00AC5FED">
        <w:rPr>
          <w:rFonts w:ascii="Times New Roman" w:hAnsi="Times New Roman"/>
          <w:sz w:val="24"/>
          <w:szCs w:val="24"/>
        </w:rPr>
        <w:t xml:space="preserve">he legislature did not intend to immunize individuals seeking medical assistance for a drug overdose from arrest pursuant to an outstanding arrest warrant.” </w:t>
      </w:r>
      <w:hyperlink r:id="rId1873" w:history="1">
        <w:r w:rsidRPr="00AC5FED">
          <w:rPr>
            <w:rStyle w:val="Hyperlink"/>
            <w:rFonts w:ascii="Times New Roman" w:hAnsi="Times New Roman"/>
            <w:sz w:val="24"/>
            <w:szCs w:val="24"/>
          </w:rPr>
          <w:t>https://www.2dca.org/content/download/849844/opinion/211477_DC13_09232022_081840_i.pdf</w:t>
        </w:r>
      </w:hyperlink>
    </w:p>
    <w:p w14:paraId="0502456E" w14:textId="77777777" w:rsidR="00AC5FED" w:rsidRDefault="00AC5FED" w:rsidP="00AC5FED">
      <w:pPr>
        <w:pStyle w:val="NormalWeb"/>
        <w:rPr>
          <w:b/>
          <w:bCs/>
        </w:rPr>
      </w:pPr>
      <w:r>
        <w:rPr>
          <w:b/>
          <w:bCs/>
        </w:rPr>
        <w:t>Legal Lesson Learned: Several states have enacted drug overdose “Good Samaritan Acts.”  In Florida, you are still subject to arrest for an outstanding warrant.</w:t>
      </w:r>
    </w:p>
    <w:p w14:paraId="432E2EE7" w14:textId="77777777" w:rsidR="00AC5FED" w:rsidRPr="00AC5FED" w:rsidRDefault="00AC5FED" w:rsidP="00AC5FED">
      <w:pPr>
        <w:pStyle w:val="NormalWeb"/>
      </w:pPr>
      <w:r>
        <w:rPr>
          <w:b/>
          <w:bCs/>
        </w:rPr>
        <w:tab/>
      </w:r>
      <w:r w:rsidRPr="00AC5FED">
        <w:t>Note: See Court’s Opinion, footnote 4:</w:t>
      </w:r>
    </w:p>
    <w:p w14:paraId="4B1BCFDE" w14:textId="5DCA389F" w:rsidR="00AC5FED" w:rsidRPr="00AC5FED" w:rsidRDefault="00AC5FED" w:rsidP="00AC5FED">
      <w:pPr>
        <w:ind w:left="720"/>
        <w:rPr>
          <w:rFonts w:ascii="Times New Roman" w:hAnsi="Times New Roman"/>
          <w:b/>
          <w:sz w:val="24"/>
          <w:szCs w:val="24"/>
        </w:rPr>
      </w:pPr>
      <w:r w:rsidRPr="00AC5FED">
        <w:rPr>
          <w:rFonts w:ascii="Times New Roman" w:eastAsiaTheme="minorHAnsi" w:hAnsi="Times New Roman"/>
          <w:sz w:val="24"/>
          <w:szCs w:val="24"/>
        </w:rPr>
        <w:t xml:space="preserve">“Other states have adopted similar laws; however, the statutory language in some is more explicit. </w:t>
      </w:r>
      <w:r w:rsidRPr="00AC5FED">
        <w:rPr>
          <w:rFonts w:ascii="Times New Roman" w:eastAsiaTheme="minorHAnsi" w:hAnsi="Times New Roman"/>
          <w:i/>
          <w:iCs/>
          <w:sz w:val="24"/>
          <w:szCs w:val="24"/>
        </w:rPr>
        <w:t>See</w:t>
      </w:r>
      <w:r w:rsidRPr="00AC5FED">
        <w:rPr>
          <w:rFonts w:ascii="Times New Roman" w:eastAsiaTheme="minorHAnsi" w:hAnsi="Times New Roman"/>
          <w:sz w:val="24"/>
          <w:szCs w:val="24"/>
        </w:rPr>
        <w:t xml:space="preserve">, </w:t>
      </w:r>
      <w:r w:rsidRPr="00AC5FED">
        <w:rPr>
          <w:rFonts w:ascii="Times New Roman" w:eastAsiaTheme="minorHAnsi" w:hAnsi="Times New Roman"/>
          <w:i/>
          <w:iCs/>
          <w:sz w:val="24"/>
          <w:szCs w:val="24"/>
        </w:rPr>
        <w:t>e.g.</w:t>
      </w:r>
      <w:r w:rsidRPr="00AC5FED">
        <w:rPr>
          <w:rFonts w:ascii="Times New Roman" w:eastAsiaTheme="minorHAnsi" w:hAnsi="Times New Roman"/>
          <w:sz w:val="24"/>
          <w:szCs w:val="24"/>
        </w:rPr>
        <w:t xml:space="preserve">, Ga. Code Ann. § 16-13-5(b) (West 2014) (‘Any person who is experiencing a drug overdose and, in </w:t>
      </w:r>
      <w:r w:rsidRPr="00AC5FED">
        <w:rPr>
          <w:rFonts w:ascii="Times New Roman" w:eastAsiaTheme="minorHAnsi" w:hAnsi="Times New Roman"/>
          <w:sz w:val="24"/>
          <w:szCs w:val="24"/>
        </w:rPr>
        <w:lastRenderedPageBreak/>
        <w:t xml:space="preserve">good faith, seeks medical assistance for himself or herself or is the subject of such a request shall not be arrested, charged, or prosecuted for a drug violation if the evidence for the arrest, charge, or prosecution of such drug violation </w:t>
      </w:r>
      <w:r w:rsidRPr="00AC5FED">
        <w:rPr>
          <w:rFonts w:ascii="Times New Roman" w:eastAsiaTheme="minorHAnsi" w:hAnsi="Times New Roman"/>
          <w:i/>
          <w:iCs/>
          <w:sz w:val="24"/>
          <w:szCs w:val="24"/>
        </w:rPr>
        <w:t>resulted solely from</w:t>
      </w:r>
      <w:r w:rsidRPr="00AC5FED">
        <w:rPr>
          <w:rFonts w:ascii="Times New Roman" w:eastAsiaTheme="minorHAnsi" w:hAnsi="Times New Roman"/>
          <w:sz w:val="24"/>
          <w:szCs w:val="24"/>
        </w:rPr>
        <w:t xml:space="preserve"> seeking such medical assistance.’ (emphasis added)); Md. Code Ann., Crim. Proc. § 1-210(b) (West 2016) (‘A person who, in good faith, seeks, provides, or assists with the provision of medical assistance for a person reasonably believed to be experiencing a medical emergency after ingesting or using alcohol or drugs shall be immune from criminal arrest, charge, or prosecution for a violation of § 5-601, § 5-619, § 5-620, § 10-114, § 10-116, or § 10-117 of the Criminal Law Article if the evidence for the criminal arrest, charge, or prosecution was obtained </w:t>
      </w:r>
      <w:r w:rsidRPr="00AC5FED">
        <w:rPr>
          <w:rFonts w:ascii="Times New Roman" w:eastAsiaTheme="minorHAnsi" w:hAnsi="Times New Roman"/>
          <w:i/>
          <w:iCs/>
          <w:sz w:val="24"/>
          <w:szCs w:val="24"/>
        </w:rPr>
        <w:t>solely as a result</w:t>
      </w:r>
      <w:r w:rsidRPr="00AC5FED">
        <w:rPr>
          <w:rFonts w:ascii="Times New Roman" w:eastAsiaTheme="minorHAnsi" w:hAnsi="Times New Roman"/>
          <w:sz w:val="24"/>
          <w:szCs w:val="24"/>
        </w:rPr>
        <w:t xml:space="preserve"> of the person's seeking, providing, or assisting with the provision of medical assistance.’ (emphasis added)); N.H. Rev. Stat. Ann. § 318-B:28-b (2021) (creating a defense to enumerated drug possession charges ‘if the evidence for the charge was gained as a </w:t>
      </w:r>
      <w:r w:rsidRPr="00AC5FED">
        <w:rPr>
          <w:rFonts w:ascii="Times New Roman" w:eastAsiaTheme="minorHAnsi" w:hAnsi="Times New Roman"/>
          <w:i/>
          <w:iCs/>
          <w:sz w:val="24"/>
          <w:szCs w:val="24"/>
        </w:rPr>
        <w:t>proximate result</w:t>
      </w:r>
      <w:r w:rsidRPr="00AC5FED">
        <w:rPr>
          <w:rFonts w:ascii="Times New Roman" w:eastAsiaTheme="minorHAnsi" w:hAnsi="Times New Roman"/>
          <w:sz w:val="24"/>
          <w:szCs w:val="24"/>
        </w:rPr>
        <w:t xml:space="preserve"> of the request for medical assistance or the report to law enforcement’ (emphasis added)).”</w:t>
      </w:r>
    </w:p>
    <w:p w14:paraId="66DE406D" w14:textId="77777777" w:rsidR="00AC5FED" w:rsidRDefault="00AC5FED" w:rsidP="00F326E5">
      <w:pPr>
        <w:rPr>
          <w:rFonts w:ascii="Arial Black" w:hAnsi="Arial Black"/>
          <w:b/>
          <w:sz w:val="24"/>
          <w:szCs w:val="24"/>
        </w:rPr>
      </w:pPr>
    </w:p>
    <w:p w14:paraId="65F010A6" w14:textId="77777777" w:rsidR="00AC5FED" w:rsidRDefault="00AC5FED" w:rsidP="00F326E5">
      <w:pPr>
        <w:rPr>
          <w:rFonts w:ascii="Arial Black" w:hAnsi="Arial Black"/>
          <w:b/>
          <w:sz w:val="24"/>
          <w:szCs w:val="24"/>
        </w:rPr>
      </w:pPr>
    </w:p>
    <w:p w14:paraId="55F8EA15" w14:textId="775A8011" w:rsidR="007F3F5A" w:rsidRDefault="00A707E2" w:rsidP="00F326E5">
      <w:pPr>
        <w:rPr>
          <w:rFonts w:ascii="Arial Black" w:hAnsi="Arial Black"/>
          <w:b/>
          <w:sz w:val="24"/>
          <w:szCs w:val="24"/>
        </w:rPr>
      </w:pPr>
      <w:r>
        <w:rPr>
          <w:rFonts w:ascii="Arial Black" w:hAnsi="Arial Black"/>
          <w:b/>
          <w:sz w:val="24"/>
          <w:szCs w:val="24"/>
        </w:rPr>
        <w:t>12-18</w:t>
      </w:r>
    </w:p>
    <w:p w14:paraId="368F49EB" w14:textId="77777777" w:rsidR="00A707E2" w:rsidRDefault="00A707E2" w:rsidP="00A707E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NJ: RANDOM DRUG TEST - “INDUSTRY STANDARDS” FOR EQUIPMENT CALIBRATION UNCLEAR - FF REINSTATED</w:t>
      </w:r>
    </w:p>
    <w:p w14:paraId="1D63D7C4" w14:textId="6B4AC4C6" w:rsidR="00A707E2" w:rsidRDefault="00A707E2" w:rsidP="00A707E2">
      <w:pPr>
        <w:rPr>
          <w:rStyle w:val="Hyperlink"/>
          <w:sz w:val="24"/>
          <w:szCs w:val="24"/>
        </w:rPr>
      </w:pPr>
      <w:r>
        <w:rPr>
          <w:rFonts w:ascii="Times New Roman" w:eastAsia="Times New Roman" w:hAnsi="Times New Roman"/>
          <w:sz w:val="24"/>
          <w:szCs w:val="24"/>
        </w:rPr>
        <w:t xml:space="preserve">On June 28, 2022, </w:t>
      </w:r>
      <w:r>
        <w:rPr>
          <w:rFonts w:ascii="Times New Roman" w:eastAsia="Times New Roman" w:hAnsi="Times New Roman"/>
          <w:sz w:val="24"/>
          <w:szCs w:val="24"/>
          <w:u w:val="single"/>
        </w:rPr>
        <w:t>In The Matter Of Eric Beagin, City of Paterson, Fire Department</w:t>
      </w:r>
      <w:r>
        <w:rPr>
          <w:rFonts w:ascii="Times New Roman" w:eastAsia="Times New Roman" w:hAnsi="Times New Roman"/>
          <w:sz w:val="24"/>
          <w:szCs w:val="24"/>
        </w:rPr>
        <w:t>, the Superior Court of New Jersey, Appellate Division, held (2 to 0) the Court stated that the Civil Service Commission’s decisions [reversing Administrative Law Judge who found calibrations of drug testing equipment questionable] “</w:t>
      </w:r>
      <w:r>
        <w:rPr>
          <w:rFonts w:ascii="Times New Roman" w:hAnsi="Times New Roman"/>
          <w:sz w:val="24"/>
          <w:szCs w:val="24"/>
        </w:rPr>
        <w:t xml:space="preserve">are not supported by sufficient, credible evidence in the record and are arbitrary, capricious, and unreasonable. The urine sample was sent to the New Jersey State Toxicology Laboratory (State Lab) and on July 17, 2015, the State Lab reported </w:t>
      </w:r>
      <w:proofErr w:type="spellStart"/>
      <w:r>
        <w:rPr>
          <w:rFonts w:ascii="Times New Roman" w:hAnsi="Times New Roman"/>
          <w:sz w:val="24"/>
          <w:szCs w:val="24"/>
        </w:rPr>
        <w:t>Beagin's</w:t>
      </w:r>
      <w:proofErr w:type="spellEnd"/>
      <w:r>
        <w:rPr>
          <w:rFonts w:ascii="Times New Roman" w:hAnsi="Times New Roman"/>
          <w:sz w:val="24"/>
          <w:szCs w:val="24"/>
        </w:rPr>
        <w:t xml:space="preserve"> random urine screen positive for oxycodone at 114 ng/mL, 14 nanograms over the State Lab's defined cutoff of 100 ng/</w:t>
      </w:r>
      <w:proofErr w:type="spellStart"/>
      <w:r>
        <w:rPr>
          <w:rFonts w:ascii="Times New Roman" w:hAnsi="Times New Roman"/>
          <w:sz w:val="24"/>
          <w:szCs w:val="24"/>
        </w:rPr>
        <w:t>mL.</w:t>
      </w:r>
      <w:proofErr w:type="spellEnd"/>
      <w:r>
        <w:rPr>
          <w:rFonts w:ascii="Times New Roman" w:hAnsi="Times New Roman"/>
          <w:sz w:val="24"/>
          <w:szCs w:val="24"/>
        </w:rPr>
        <w:t xml:space="preserve">  He was immediately suspended.  On March 11 and 15, 2019, a hearing was held before ALJ Celentano. Dr. Robert  Havier, with State Lab for 40 years and Acting Director for 8 years, was cross examined about “industry standards” on calibrating testing equipment used by federal government in testing military, but FD never had him write a report on those standards. The ALJ recommended </w:t>
      </w:r>
      <w:proofErr w:type="spellStart"/>
      <w:r>
        <w:rPr>
          <w:rFonts w:ascii="Times New Roman" w:hAnsi="Times New Roman"/>
          <w:sz w:val="24"/>
          <w:szCs w:val="24"/>
        </w:rPr>
        <w:t>Beagin</w:t>
      </w:r>
      <w:proofErr w:type="spellEnd"/>
      <w:r>
        <w:rPr>
          <w:rFonts w:ascii="Times New Roman" w:hAnsi="Times New Roman"/>
          <w:sz w:val="24"/>
          <w:szCs w:val="24"/>
        </w:rPr>
        <w:t xml:space="preserve"> be reinstated to the position of firefighter. The Civil Service Commission rejected the ALJ’s recommendation, placing burden on the firefighter to prove “industry standards” were not followed.  </w:t>
      </w:r>
      <w:hyperlink r:id="rId1874" w:history="1">
        <w:r>
          <w:rPr>
            <w:rStyle w:val="Hyperlink"/>
            <w:sz w:val="24"/>
            <w:szCs w:val="24"/>
          </w:rPr>
          <w:t>https://public.fastcase.com/J%2FJP6pdidelsXxEE4k%2BLMm7PttKNvW62%2BDA0%2BSJrBHAICFIaFusuxX5Jb%2BuxRPK6Bzlob%2BslGSm9QeXJwFgRUwDQqdPl09RLYbpqdskqtWk%3D</w:t>
        </w:r>
      </w:hyperlink>
    </w:p>
    <w:p w14:paraId="1D1093FF" w14:textId="77777777" w:rsidR="00936792" w:rsidRDefault="00936792" w:rsidP="00936792">
      <w:pPr>
        <w:spacing w:after="100" w:line="240" w:lineRule="auto"/>
        <w:rPr>
          <w:rFonts w:ascii="Times New Roman" w:hAnsi="Times New Roman"/>
          <w:sz w:val="24"/>
          <w:szCs w:val="24"/>
        </w:rPr>
      </w:pPr>
      <w:r>
        <w:rPr>
          <w:rFonts w:ascii="Times New Roman" w:hAnsi="Times New Roman"/>
          <w:b/>
          <w:bCs/>
          <w:sz w:val="24"/>
          <w:szCs w:val="24"/>
        </w:rPr>
        <w:t xml:space="preserve">Legal Lesson Learned: Since the main issue was “industry standards” on calibration of testing equipment, the State Lab expert should have been asked to provide a report to the ALJ on those standards.  </w:t>
      </w:r>
    </w:p>
    <w:p w14:paraId="200A6472" w14:textId="77777777" w:rsidR="00936792" w:rsidRPr="004535AA" w:rsidRDefault="00936792" w:rsidP="00936792">
      <w:pPr>
        <w:pStyle w:val="Heading1"/>
        <w:ind w:left="720"/>
        <w:rPr>
          <w:b w:val="0"/>
          <w:bCs w:val="0"/>
          <w:sz w:val="24"/>
          <w:szCs w:val="24"/>
        </w:rPr>
      </w:pPr>
      <w:r>
        <w:rPr>
          <w:b w:val="0"/>
          <w:bCs w:val="0"/>
          <w:sz w:val="24"/>
          <w:szCs w:val="24"/>
        </w:rPr>
        <w:t xml:space="preserve">Note: See article after ALJ decision: “Judge orders Paterson firefighter terminated for failing drug test reinstated” (Dec. 9, 2019): </w:t>
      </w:r>
      <w:hyperlink r:id="rId1875" w:history="1">
        <w:r w:rsidRPr="004535AA">
          <w:rPr>
            <w:rStyle w:val="Hyperlink"/>
            <w:b w:val="0"/>
            <w:bCs w:val="0"/>
            <w:sz w:val="24"/>
            <w:szCs w:val="24"/>
          </w:rPr>
          <w:t>https://patersontimes.com/2019/12/09/judge-orders-paterson-firefighter-terminated-for-failing-drug-test-reinstated/</w:t>
        </w:r>
      </w:hyperlink>
      <w:r w:rsidRPr="004535AA">
        <w:rPr>
          <w:b w:val="0"/>
          <w:bCs w:val="0"/>
          <w:sz w:val="24"/>
          <w:szCs w:val="24"/>
        </w:rPr>
        <w:t xml:space="preserve"> </w:t>
      </w:r>
    </w:p>
    <w:p w14:paraId="49CE837F" w14:textId="77777777" w:rsidR="00A707E2" w:rsidRDefault="00A707E2" w:rsidP="00A707E2">
      <w:pPr>
        <w:rPr>
          <w:rFonts w:ascii="Arial Black" w:hAnsi="Arial Black"/>
          <w:b/>
          <w:sz w:val="24"/>
          <w:szCs w:val="24"/>
        </w:rPr>
      </w:pPr>
    </w:p>
    <w:p w14:paraId="2D2D90EB" w14:textId="1E43D974" w:rsidR="007F3F5A" w:rsidRDefault="007F3F5A" w:rsidP="00F326E5">
      <w:pPr>
        <w:rPr>
          <w:rFonts w:ascii="Arial Black" w:hAnsi="Arial Black"/>
          <w:b/>
          <w:sz w:val="24"/>
          <w:szCs w:val="24"/>
        </w:rPr>
      </w:pPr>
      <w:r>
        <w:rPr>
          <w:rFonts w:ascii="Arial Black" w:hAnsi="Arial Black"/>
          <w:b/>
          <w:sz w:val="24"/>
          <w:szCs w:val="24"/>
        </w:rPr>
        <w:lastRenderedPageBreak/>
        <w:t>12-17</w:t>
      </w:r>
    </w:p>
    <w:p w14:paraId="0244E688" w14:textId="77777777" w:rsidR="00A707E2" w:rsidRDefault="00A707E2" w:rsidP="00A707E2">
      <w:pPr>
        <w:pStyle w:val="Heading1"/>
        <w:jc w:val="both"/>
        <w:rPr>
          <w:rFonts w:ascii="Arial Black" w:hAnsi="Arial Black"/>
          <w:b w:val="0"/>
          <w:bCs w:val="0"/>
          <w:sz w:val="28"/>
          <w:szCs w:val="28"/>
        </w:rPr>
      </w:pPr>
      <w:bookmarkStart w:id="416" w:name="_Hlk107815505"/>
      <w:r>
        <w:rPr>
          <w:rFonts w:ascii="Arial Black" w:hAnsi="Arial Black"/>
          <w:b w:val="0"/>
          <w:bCs w:val="0"/>
          <w:sz w:val="28"/>
          <w:szCs w:val="28"/>
        </w:rPr>
        <w:t xml:space="preserve">U.S. SUP. COURT: THREE “PAIN MILL” DOCTORS – RE-TRIAL - MUST PROVE KNEW ACTING IN “UNAUHORIZED MANNER” </w:t>
      </w:r>
    </w:p>
    <w:p w14:paraId="284C940C" w14:textId="109E851B" w:rsidR="00A707E2" w:rsidRDefault="00A707E2" w:rsidP="00A707E2">
      <w:pPr>
        <w:pStyle w:val="Heading1"/>
        <w:rPr>
          <w:rStyle w:val="markedcontent"/>
          <w:sz w:val="24"/>
          <w:szCs w:val="24"/>
        </w:rPr>
      </w:pPr>
      <w:r>
        <w:rPr>
          <w:b w:val="0"/>
          <w:bCs w:val="0"/>
          <w:sz w:val="24"/>
          <w:szCs w:val="24"/>
        </w:rPr>
        <w:t xml:space="preserve">On June 27, 2022, in </w:t>
      </w:r>
      <w:proofErr w:type="spellStart"/>
      <w:r>
        <w:rPr>
          <w:b w:val="0"/>
          <w:bCs w:val="0"/>
          <w:sz w:val="24"/>
          <w:szCs w:val="24"/>
          <w:u w:val="single"/>
        </w:rPr>
        <w:t>Xiulu</w:t>
      </w:r>
      <w:proofErr w:type="spellEnd"/>
      <w:r>
        <w:rPr>
          <w:b w:val="0"/>
          <w:bCs w:val="0"/>
          <w:sz w:val="24"/>
          <w:szCs w:val="24"/>
          <w:u w:val="single"/>
        </w:rPr>
        <w:t xml:space="preserve"> Ruan v. United States</w:t>
      </w:r>
      <w:r>
        <w:rPr>
          <w:b w:val="0"/>
          <w:bCs w:val="0"/>
          <w:sz w:val="24"/>
          <w:szCs w:val="24"/>
        </w:rPr>
        <w:t xml:space="preserve">, the U.S. Supreme Court held (9 to 0) that a Mobile, Alabama pain mill doctor, </w:t>
      </w:r>
      <w:proofErr w:type="spellStart"/>
      <w:r>
        <w:rPr>
          <w:rStyle w:val="markedcontent"/>
          <w:b w:val="0"/>
          <w:bCs w:val="0"/>
          <w:sz w:val="24"/>
          <w:szCs w:val="24"/>
        </w:rPr>
        <w:t>Xiulu</w:t>
      </w:r>
      <w:proofErr w:type="spellEnd"/>
      <w:r>
        <w:rPr>
          <w:rStyle w:val="markedcontent"/>
          <w:b w:val="0"/>
          <w:bCs w:val="0"/>
          <w:sz w:val="24"/>
          <w:szCs w:val="24"/>
        </w:rPr>
        <w:t xml:space="preserve"> Ruan, who was sentenced in to 21 years in federal prison in 2017 and pain mill doctor from Arizona and Wyoming, Dr. Shakeel Kahn, 25 years in prison, may be entitled to new trials because the jury instructions did not clearly state the Government must prove they were acting in an “unauthorized manner” when issuing thousands of proscriptions, including for fentanyl. </w:t>
      </w:r>
      <w:hyperlink r:id="rId1876" w:history="1">
        <w:r>
          <w:rPr>
            <w:rStyle w:val="Hyperlink"/>
            <w:sz w:val="24"/>
            <w:szCs w:val="24"/>
          </w:rPr>
          <w:t>https://www.supremecourt.gov/opinions/21pdf/20-1410_1an2.pdf</w:t>
        </w:r>
      </w:hyperlink>
      <w:r>
        <w:rPr>
          <w:rStyle w:val="markedcontent"/>
          <w:b w:val="0"/>
          <w:bCs w:val="0"/>
          <w:sz w:val="24"/>
          <w:szCs w:val="24"/>
        </w:rPr>
        <w:t xml:space="preserve">.  Dr. Ruan’s partner, Dr. Patrick Couch, 20 years in prison, had his conviction also set aside, by separate Court order, and will likely also get a new trial. </w:t>
      </w:r>
      <w:hyperlink r:id="rId1877" w:history="1">
        <w:r>
          <w:rPr>
            <w:rStyle w:val="Hyperlink"/>
            <w:sz w:val="24"/>
            <w:szCs w:val="24"/>
          </w:rPr>
          <w:t>https://www.supremecourt.gov/docket/docketfiles/html/public/20-7934.html</w:t>
        </w:r>
      </w:hyperlink>
      <w:r>
        <w:rPr>
          <w:rStyle w:val="markedcontent"/>
          <w:b w:val="0"/>
          <w:bCs w:val="0"/>
          <w:sz w:val="24"/>
          <w:szCs w:val="24"/>
        </w:rPr>
        <w:t xml:space="preserve"> </w:t>
      </w:r>
    </w:p>
    <w:p w14:paraId="1D407EBB" w14:textId="44B1A327" w:rsidR="00A707E2" w:rsidRDefault="00A707E2" w:rsidP="00A707E2">
      <w:pPr>
        <w:pStyle w:val="Heading1"/>
        <w:rPr>
          <w:rStyle w:val="markedcontent"/>
          <w:sz w:val="24"/>
          <w:szCs w:val="24"/>
        </w:rPr>
      </w:pPr>
      <w:bookmarkStart w:id="417" w:name="_Hlk107815724"/>
      <w:bookmarkEnd w:id="416"/>
      <w:r>
        <w:rPr>
          <w:rStyle w:val="markedcontent"/>
          <w:sz w:val="24"/>
          <w:szCs w:val="24"/>
        </w:rPr>
        <w:t xml:space="preserve">Legal Lesson Learned: This decision may impact numerous other “pain mill” physicians. </w:t>
      </w:r>
    </w:p>
    <w:bookmarkEnd w:id="417"/>
    <w:p w14:paraId="3531F9CE" w14:textId="77777777" w:rsidR="00A707E2" w:rsidRDefault="007F3F5A" w:rsidP="00A707E2">
      <w:pPr>
        <w:pStyle w:val="Heading1"/>
        <w:ind w:left="720"/>
        <w:rPr>
          <w:b w:val="0"/>
          <w:bCs w:val="0"/>
        </w:rPr>
      </w:pPr>
      <w:r>
        <w:rPr>
          <w:rStyle w:val="markedcontent"/>
          <w:b w:val="0"/>
          <w:bCs w:val="0"/>
          <w:sz w:val="24"/>
          <w:szCs w:val="24"/>
        </w:rPr>
        <w:t xml:space="preserve"> </w:t>
      </w:r>
      <w:r w:rsidR="00A707E2">
        <w:rPr>
          <w:b w:val="0"/>
          <w:bCs w:val="0"/>
          <w:sz w:val="24"/>
          <w:szCs w:val="24"/>
        </w:rPr>
        <w:t xml:space="preserve">Note: “Mobile doctor’s Supreme Court win could impact other ‘pill mill’ convictions” (June 27, 2022) – VIDEO: </w:t>
      </w:r>
      <w:hyperlink r:id="rId1878" w:history="1">
        <w:r w:rsidR="00A707E2">
          <w:rPr>
            <w:rStyle w:val="Hyperlink"/>
            <w:sz w:val="24"/>
            <w:szCs w:val="24"/>
          </w:rPr>
          <w:t>https://www.fox10tv.com/2022/06/27/mobile-doctors-supreme-court-win-could-impact-other-pill-mill-convictions/</w:t>
        </w:r>
      </w:hyperlink>
      <w:r w:rsidR="00A707E2">
        <w:rPr>
          <w:b w:val="0"/>
          <w:bCs w:val="0"/>
          <w:sz w:val="24"/>
          <w:szCs w:val="24"/>
        </w:rPr>
        <w:t xml:space="preserve"> . “The justices sent the case against Dr. </w:t>
      </w:r>
      <w:proofErr w:type="spellStart"/>
      <w:r w:rsidR="00A707E2">
        <w:rPr>
          <w:b w:val="0"/>
          <w:bCs w:val="0"/>
          <w:sz w:val="24"/>
          <w:szCs w:val="24"/>
        </w:rPr>
        <w:t>Xiulu</w:t>
      </w:r>
      <w:proofErr w:type="spellEnd"/>
      <w:r w:rsidR="00A707E2">
        <w:rPr>
          <w:b w:val="0"/>
          <w:bCs w:val="0"/>
          <w:sz w:val="24"/>
          <w:szCs w:val="24"/>
        </w:rPr>
        <w:t xml:space="preserve"> Ruan back to the Atlanta-based 11th U.S. Circuit Court of Appeals, which likely will instruct a federal judge in Mobile to order a new trial. A spokesman for the U.S. Attorney’s Office in Mobile declined to comment.”</w:t>
      </w:r>
    </w:p>
    <w:p w14:paraId="713499C6" w14:textId="5949159F" w:rsidR="007F3F5A" w:rsidRPr="00A707E2" w:rsidRDefault="00A707E2" w:rsidP="00A707E2">
      <w:pPr>
        <w:pStyle w:val="Heading1"/>
        <w:ind w:left="720"/>
        <w:rPr>
          <w:rStyle w:val="markedcontent"/>
          <w:b w:val="0"/>
          <w:bCs w:val="0"/>
          <w:sz w:val="24"/>
          <w:szCs w:val="24"/>
        </w:rPr>
      </w:pPr>
      <w:r w:rsidRPr="00A707E2">
        <w:rPr>
          <w:b w:val="0"/>
          <w:bCs w:val="0"/>
          <w:sz w:val="24"/>
          <w:szCs w:val="24"/>
        </w:rPr>
        <w:t xml:space="preserve">Regarding Dr. </w:t>
      </w:r>
      <w:r w:rsidRPr="00A707E2">
        <w:rPr>
          <w:rStyle w:val="markedcontent"/>
          <w:b w:val="0"/>
          <w:bCs w:val="0"/>
          <w:sz w:val="24"/>
          <w:szCs w:val="24"/>
        </w:rPr>
        <w:t xml:space="preserve">Shakeel Kahn in Wyoming, see this article: </w:t>
      </w:r>
      <w:r w:rsidRPr="00A707E2">
        <w:rPr>
          <w:b w:val="0"/>
          <w:bCs w:val="0"/>
          <w:sz w:val="24"/>
          <w:szCs w:val="24"/>
        </w:rPr>
        <w:t xml:space="preserve"> “Federal Appellate Court Upholds Former Casper Doctor’s Drug Conspiracy Verdict” (Feb. 23, 2021): </w:t>
      </w:r>
      <w:hyperlink r:id="rId1879" w:history="1">
        <w:r w:rsidRPr="00A707E2">
          <w:rPr>
            <w:rStyle w:val="Hyperlink"/>
            <w:b w:val="0"/>
            <w:bCs w:val="0"/>
            <w:sz w:val="24"/>
            <w:szCs w:val="24"/>
          </w:rPr>
          <w:t>https://k2radio.com/federal-appellate-court-upholds-former-casper-doctors-drug-conspiracy-verdict/</w:t>
        </w:r>
      </w:hyperlink>
      <w:r w:rsidRPr="00A707E2">
        <w:rPr>
          <w:b w:val="0"/>
          <w:bCs w:val="0"/>
          <w:sz w:val="24"/>
          <w:szCs w:val="24"/>
        </w:rPr>
        <w:t xml:space="preserve">.  In late 2016, federal authorities </w:t>
      </w:r>
      <w:proofErr w:type="gramStart"/>
      <w:r w:rsidRPr="00A707E2">
        <w:rPr>
          <w:b w:val="0"/>
          <w:bCs w:val="0"/>
          <w:sz w:val="24"/>
          <w:szCs w:val="24"/>
        </w:rPr>
        <w:t>searched</w:t>
      </w:r>
      <w:proofErr w:type="gramEnd"/>
      <w:r w:rsidRPr="00A707E2">
        <w:rPr>
          <w:b w:val="0"/>
          <w:bCs w:val="0"/>
          <w:sz w:val="24"/>
          <w:szCs w:val="24"/>
        </w:rPr>
        <w:t xml:space="preserve"> the Kahns’ properties in Casper and Arizona, and seized financial and business records, cars, firearms and more than $1 million in cash.</w:t>
      </w:r>
      <w:r w:rsidRPr="00A707E2">
        <w:rPr>
          <w:b w:val="0"/>
          <w:bCs w:val="0"/>
          <w:sz w:val="24"/>
          <w:szCs w:val="24"/>
        </w:rPr>
        <w:br/>
      </w:r>
    </w:p>
    <w:p w14:paraId="2BF9F243" w14:textId="77777777" w:rsidR="007F3F5A" w:rsidRDefault="007F3F5A" w:rsidP="00F326E5">
      <w:pPr>
        <w:rPr>
          <w:rFonts w:ascii="Arial Black" w:hAnsi="Arial Black"/>
          <w:b/>
          <w:sz w:val="24"/>
          <w:szCs w:val="24"/>
        </w:rPr>
      </w:pPr>
    </w:p>
    <w:p w14:paraId="29C56AB0" w14:textId="77777777" w:rsidR="007F3F5A" w:rsidRDefault="007F3F5A" w:rsidP="00F326E5">
      <w:pPr>
        <w:rPr>
          <w:rFonts w:ascii="Arial Black" w:hAnsi="Arial Black"/>
          <w:b/>
          <w:sz w:val="24"/>
          <w:szCs w:val="24"/>
        </w:rPr>
      </w:pPr>
    </w:p>
    <w:p w14:paraId="113351E4" w14:textId="481D5EAA" w:rsidR="00174109" w:rsidRDefault="00174109" w:rsidP="00F326E5">
      <w:pPr>
        <w:rPr>
          <w:rFonts w:ascii="Arial Black" w:hAnsi="Arial Black"/>
          <w:b/>
          <w:sz w:val="24"/>
          <w:szCs w:val="24"/>
        </w:rPr>
      </w:pPr>
      <w:r>
        <w:rPr>
          <w:rFonts w:ascii="Arial Black" w:hAnsi="Arial Black"/>
          <w:b/>
          <w:sz w:val="24"/>
          <w:szCs w:val="24"/>
        </w:rPr>
        <w:t>12-16</w:t>
      </w:r>
    </w:p>
    <w:p w14:paraId="4911B6F8" w14:textId="77777777" w:rsidR="00174109" w:rsidRDefault="00174109" w:rsidP="0017410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LA: DRUG TEST - EMT FAILED / FIRED - INJURED BACK WITH PATIENT – TOOK WIFE’S BARBITURATE PILLS BEFORE TEST </w:t>
      </w:r>
    </w:p>
    <w:p w14:paraId="47A523BB" w14:textId="77777777" w:rsidR="00174109" w:rsidRPr="00021FC8" w:rsidRDefault="00174109" w:rsidP="00174109">
      <w:pPr>
        <w:spacing w:before="100" w:beforeAutospacing="1" w:after="100" w:afterAutospacing="1" w:line="240" w:lineRule="auto"/>
        <w:rPr>
          <w:rFonts w:ascii="Times New Roman" w:eastAsia="Times New Roman" w:hAnsi="Times New Roman"/>
          <w:sz w:val="24"/>
          <w:szCs w:val="24"/>
        </w:rPr>
      </w:pPr>
      <w:r w:rsidRPr="00021FC8">
        <w:rPr>
          <w:rFonts w:ascii="Times New Roman" w:eastAsia="Times New Roman" w:hAnsi="Times New Roman"/>
          <w:sz w:val="24"/>
          <w:szCs w:val="24"/>
        </w:rPr>
        <w:t xml:space="preserve">On </w:t>
      </w:r>
      <w:r>
        <w:rPr>
          <w:rFonts w:ascii="Times New Roman" w:eastAsia="Times New Roman" w:hAnsi="Times New Roman"/>
          <w:sz w:val="24"/>
          <w:szCs w:val="24"/>
        </w:rPr>
        <w:t xml:space="preserve">Dec. 22, 2021, in </w:t>
      </w:r>
      <w:r w:rsidRPr="00021FC8">
        <w:rPr>
          <w:rFonts w:ascii="Times New Roman" w:eastAsia="Times New Roman" w:hAnsi="Times New Roman"/>
          <w:sz w:val="24"/>
          <w:szCs w:val="24"/>
          <w:u w:val="single"/>
        </w:rPr>
        <w:t>Antoine Dufrene v. Northshore EMS, LLC</w:t>
      </w:r>
      <w:r>
        <w:rPr>
          <w:rFonts w:ascii="Times New Roman" w:eastAsia="Times New Roman" w:hAnsi="Times New Roman"/>
          <w:sz w:val="24"/>
          <w:szCs w:val="24"/>
        </w:rPr>
        <w:t xml:space="preserve">, Court of Appeals of Louisiana, Fire Circuit, held (3 to 0) that trial judge properly granted summary judgment to the employer which terminated the EMT for breach of Drug-Free Workplace policy; plaintiff failed to that he  was fired in retaliation for filing workers comp claim. </w:t>
      </w:r>
    </w:p>
    <w:p w14:paraId="25589C65" w14:textId="77777777" w:rsidR="00174109" w:rsidRPr="00021FC8" w:rsidRDefault="00174109" w:rsidP="00174109">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w:t>
      </w:r>
      <w:r w:rsidRPr="00021FC8">
        <w:rPr>
          <w:rFonts w:ascii="Times New Roman" w:hAnsi="Times New Roman"/>
          <w:sz w:val="24"/>
          <w:szCs w:val="24"/>
        </w:rPr>
        <w:t xml:space="preserve">e find that the plaintiff failed to produce sufficient factual support demonstrating the existence of a genuine issue of material fact on the question of whether he was terminated from his employment due to him filing a workers' compensation claim. The evidence offered by the plaintiff in opposition to the motion for summary judgment did not establish that he could demonstrate a causal connection between his termination of employment and his workers' compensation claim with any reasonable probability. In fact, the plaintiff offered no evidence to rebut the defendant's claim that his employment was terminated </w:t>
      </w:r>
      <w:r w:rsidRPr="00021FC8">
        <w:rPr>
          <w:rFonts w:ascii="Times New Roman" w:hAnsi="Times New Roman"/>
          <w:sz w:val="24"/>
          <w:szCs w:val="24"/>
        </w:rPr>
        <w:lastRenderedPageBreak/>
        <w:t>due to the plaintiff</w:t>
      </w:r>
      <w:r>
        <w:rPr>
          <w:rFonts w:ascii="Times New Roman" w:hAnsi="Times New Roman"/>
          <w:sz w:val="24"/>
          <w:szCs w:val="24"/>
        </w:rPr>
        <w:t>’</w:t>
      </w:r>
      <w:r w:rsidRPr="00021FC8">
        <w:rPr>
          <w:rFonts w:ascii="Times New Roman" w:hAnsi="Times New Roman"/>
          <w:sz w:val="24"/>
          <w:szCs w:val="24"/>
        </w:rPr>
        <w:t>s violation of the defendant's Drug-Free Workplace policy. Therefore, the trial court correctly granted summary judgment in favor of the</w:t>
      </w:r>
      <w:r>
        <w:rPr>
          <w:rFonts w:ascii="Times New Roman" w:hAnsi="Times New Roman"/>
          <w:sz w:val="24"/>
          <w:szCs w:val="24"/>
        </w:rPr>
        <w:t xml:space="preserve"> </w:t>
      </w:r>
      <w:proofErr w:type="gramStart"/>
      <w:r w:rsidRPr="00021FC8">
        <w:rPr>
          <w:rFonts w:ascii="Times New Roman" w:hAnsi="Times New Roman"/>
          <w:sz w:val="24"/>
          <w:szCs w:val="24"/>
        </w:rPr>
        <w:t>defendant.</w:t>
      </w:r>
      <w:r>
        <w:rPr>
          <w:rFonts w:ascii="Times New Roman" w:hAnsi="Times New Roman"/>
          <w:sz w:val="24"/>
          <w:szCs w:val="24"/>
        </w:rPr>
        <w:t>”</w:t>
      </w:r>
      <w:proofErr w:type="gramEnd"/>
      <w:r>
        <w:rPr>
          <w:rFonts w:ascii="Times New Roman" w:hAnsi="Times New Roman"/>
          <w:sz w:val="24"/>
          <w:szCs w:val="24"/>
        </w:rPr>
        <w:t xml:space="preserve"> </w:t>
      </w:r>
      <w:hyperlink r:id="rId1880" w:history="1">
        <w:r w:rsidRPr="00EC5853">
          <w:rPr>
            <w:rStyle w:val="Hyperlink"/>
            <w:rFonts w:ascii="Times New Roman" w:hAnsi="Times New Roman"/>
            <w:sz w:val="24"/>
            <w:szCs w:val="24"/>
          </w:rPr>
          <w:t>https://casetext.com/case/dufrene-v-northshore-ems-llc</w:t>
        </w:r>
      </w:hyperlink>
      <w:r>
        <w:rPr>
          <w:rFonts w:ascii="Times New Roman" w:hAnsi="Times New Roman"/>
          <w:sz w:val="24"/>
          <w:szCs w:val="24"/>
        </w:rPr>
        <w:t xml:space="preserve"> </w:t>
      </w:r>
    </w:p>
    <w:p w14:paraId="481ABC2A" w14:textId="77777777" w:rsidR="00001D9A" w:rsidRDefault="00001D9A" w:rsidP="00001D9A">
      <w:pPr>
        <w:spacing w:before="100" w:beforeAutospacing="1" w:after="100" w:afterAutospacing="1" w:line="240" w:lineRule="auto"/>
        <w:rPr>
          <w:rFonts w:ascii="Times New Roman" w:hAnsi="Times New Roman"/>
          <w:b/>
          <w:bCs/>
          <w:sz w:val="24"/>
          <w:szCs w:val="24"/>
        </w:rPr>
      </w:pPr>
      <w:r w:rsidRPr="00B27F71">
        <w:rPr>
          <w:rFonts w:ascii="Times New Roman" w:hAnsi="Times New Roman"/>
          <w:b/>
          <w:bCs/>
          <w:sz w:val="24"/>
          <w:szCs w:val="24"/>
        </w:rPr>
        <w:t>Legal Lesson Learned:</w:t>
      </w:r>
      <w:r>
        <w:rPr>
          <w:rFonts w:ascii="Times New Roman" w:hAnsi="Times New Roman"/>
          <w:b/>
          <w:bCs/>
          <w:sz w:val="24"/>
          <w:szCs w:val="24"/>
        </w:rPr>
        <w:t xml:space="preserve"> Drug-Free Workplace policies, including post injury drug testing, are lawful for EMS and other emergency responders. </w:t>
      </w:r>
    </w:p>
    <w:p w14:paraId="44B174D8" w14:textId="77777777" w:rsidR="00001D9A" w:rsidRDefault="00001D9A" w:rsidP="00001D9A">
      <w:pPr>
        <w:spacing w:before="100" w:beforeAutospacing="1" w:after="100" w:afterAutospacing="1" w:line="240" w:lineRule="auto"/>
        <w:ind w:left="720"/>
        <w:rPr>
          <w:rFonts w:ascii="Times New Roman" w:hAnsi="Times New Roman"/>
          <w:sz w:val="24"/>
          <w:szCs w:val="24"/>
        </w:rPr>
      </w:pPr>
      <w:r w:rsidRPr="00D456FB">
        <w:rPr>
          <w:rFonts w:ascii="Times New Roman" w:hAnsi="Times New Roman"/>
          <w:sz w:val="24"/>
          <w:szCs w:val="24"/>
        </w:rPr>
        <w:t xml:space="preserve">Note: Drug-Free Workplace policies should require all personnel to report in writing if they are on prescribed medication. </w:t>
      </w:r>
    </w:p>
    <w:p w14:paraId="66DC5749" w14:textId="77777777" w:rsidR="00001D9A" w:rsidRDefault="00001D9A" w:rsidP="00001D9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For example, s</w:t>
      </w:r>
      <w:r w:rsidRPr="00D456FB">
        <w:rPr>
          <w:rFonts w:ascii="Times New Roman" w:hAnsi="Times New Roman"/>
          <w:sz w:val="24"/>
          <w:szCs w:val="24"/>
        </w:rPr>
        <w:t xml:space="preserve">ee </w:t>
      </w:r>
      <w:r>
        <w:rPr>
          <w:rFonts w:ascii="Times New Roman" w:hAnsi="Times New Roman"/>
          <w:sz w:val="24"/>
          <w:szCs w:val="24"/>
        </w:rPr>
        <w:t xml:space="preserve">Court’s comment in this case. </w:t>
      </w:r>
    </w:p>
    <w:p w14:paraId="2E0D7D0A" w14:textId="77777777" w:rsidR="00001D9A" w:rsidRPr="00021FC8" w:rsidRDefault="00001D9A" w:rsidP="00001D9A">
      <w:pPr>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sz w:val="24"/>
          <w:szCs w:val="24"/>
        </w:rPr>
        <w:t>“</w:t>
      </w:r>
      <w:r w:rsidRPr="00D456FB">
        <w:rPr>
          <w:rFonts w:ascii="Times New Roman" w:hAnsi="Times New Roman"/>
          <w:sz w:val="24"/>
          <w:szCs w:val="24"/>
        </w:rPr>
        <w:t>Dr. Jasmin further stated that the plaintiff was undergoing opioid treatment with suboxone, which is buprenorphine. The plaintiff had been treated for his opioid addiction with suboxone for over five years.</w:t>
      </w:r>
      <w:r>
        <w:rPr>
          <w:rFonts w:ascii="Times New Roman" w:hAnsi="Times New Roman"/>
          <w:sz w:val="24"/>
          <w:szCs w:val="24"/>
        </w:rPr>
        <w:t>”</w:t>
      </w:r>
      <w:r w:rsidRPr="00D456FB">
        <w:rPr>
          <w:rFonts w:ascii="Times New Roman" w:hAnsi="Times New Roman"/>
          <w:sz w:val="24"/>
          <w:szCs w:val="24"/>
        </w:rPr>
        <w:t xml:space="preserve"> </w:t>
      </w:r>
      <w:hyperlink r:id="rId1881" w:history="1">
        <w:r w:rsidRPr="004065C6">
          <w:rPr>
            <w:rStyle w:val="Hyperlink"/>
            <w:rFonts w:ascii="Times New Roman" w:hAnsi="Times New Roman"/>
            <w:sz w:val="24"/>
            <w:szCs w:val="24"/>
          </w:rPr>
          <w:t>https://casetext.com/case/dufrene-v-northshore-ems-llc</w:t>
        </w:r>
      </w:hyperlink>
      <w:r>
        <w:rPr>
          <w:rFonts w:ascii="Times New Roman" w:hAnsi="Times New Roman"/>
          <w:sz w:val="24"/>
          <w:szCs w:val="24"/>
        </w:rPr>
        <w:t xml:space="preserve"> </w:t>
      </w:r>
    </w:p>
    <w:p w14:paraId="5682A33A" w14:textId="77777777" w:rsidR="00001D9A" w:rsidRDefault="00001D9A" w:rsidP="00001D9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See also this info on suboxone: </w:t>
      </w:r>
    </w:p>
    <w:p w14:paraId="6CBCC38E" w14:textId="77777777" w:rsidR="00001D9A" w:rsidRDefault="00001D9A" w:rsidP="00001D9A">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C914C9">
        <w:rPr>
          <w:rFonts w:ascii="Times New Roman" w:eastAsia="Times New Roman" w:hAnsi="Times New Roman"/>
          <w:sz w:val="24"/>
          <w:szCs w:val="24"/>
        </w:rPr>
        <w:t>Suboxone does sometimes create mild side effects such as dizziness that could affect your ability to do certain types of work. You will begin using suboxone while you are in the treatment center and under the care of your medical team. This allows you to learn how your body responds to the suboxone before you ever return home and go back to work.</w:t>
      </w:r>
      <w:r>
        <w:rPr>
          <w:rFonts w:ascii="Times New Roman" w:eastAsia="Times New Roman" w:hAnsi="Times New Roman"/>
          <w:sz w:val="24"/>
          <w:szCs w:val="24"/>
        </w:rPr>
        <w:t xml:space="preserve"> </w:t>
      </w:r>
      <w:r w:rsidRPr="00C914C9">
        <w:rPr>
          <w:rFonts w:ascii="Times New Roman" w:eastAsia="Times New Roman" w:hAnsi="Times New Roman"/>
          <w:sz w:val="24"/>
          <w:szCs w:val="24"/>
        </w:rPr>
        <w:t>In most cases, you will find that any side effects that you experience are mild enough that they do not affect your ability to perform your job duties. In fact, you will be better able to maintain a career when you are not stuck in the throes of dealing with addiction. Keep in mind that adjustments to your dosage could alter your reaction so always follow the medication instructions and be cautious about activities such as driving until you know how you react.</w:t>
      </w:r>
      <w:r>
        <w:rPr>
          <w:rFonts w:ascii="Times New Roman" w:eastAsia="Times New Roman" w:hAnsi="Times New Roman"/>
          <w:sz w:val="24"/>
          <w:szCs w:val="24"/>
        </w:rPr>
        <w:t xml:space="preserve">” </w:t>
      </w:r>
      <w:hyperlink r:id="rId1882" w:history="1">
        <w:r w:rsidRPr="004065C6">
          <w:rPr>
            <w:rStyle w:val="Hyperlink"/>
            <w:rFonts w:ascii="Times New Roman" w:eastAsia="Times New Roman" w:hAnsi="Times New Roman"/>
            <w:sz w:val="24"/>
            <w:szCs w:val="24"/>
          </w:rPr>
          <w:t>https://dreamcenterforrecovery.com/can-take-suboxone-still-go-work/</w:t>
        </w:r>
      </w:hyperlink>
      <w:r>
        <w:rPr>
          <w:rFonts w:ascii="Times New Roman" w:eastAsia="Times New Roman" w:hAnsi="Times New Roman"/>
          <w:sz w:val="24"/>
          <w:szCs w:val="24"/>
        </w:rPr>
        <w:t xml:space="preserve"> </w:t>
      </w:r>
    </w:p>
    <w:p w14:paraId="20A71679" w14:textId="77777777" w:rsidR="00001D9A" w:rsidRDefault="00001D9A" w:rsidP="00001D9A">
      <w:pPr>
        <w:spacing w:before="100" w:beforeAutospacing="1" w:after="100" w:afterAutospacing="1" w:line="240" w:lineRule="auto"/>
        <w:rPr>
          <w:rFonts w:ascii="Arial Black" w:eastAsia="Times New Roman" w:hAnsi="Arial Black"/>
          <w:sz w:val="28"/>
          <w:szCs w:val="28"/>
        </w:rPr>
      </w:pPr>
    </w:p>
    <w:p w14:paraId="3E34AC99" w14:textId="77777777" w:rsidR="00174109" w:rsidRDefault="00174109" w:rsidP="00F326E5">
      <w:pPr>
        <w:rPr>
          <w:rFonts w:ascii="Arial Black" w:hAnsi="Arial Black"/>
          <w:b/>
          <w:sz w:val="24"/>
          <w:szCs w:val="24"/>
        </w:rPr>
      </w:pPr>
    </w:p>
    <w:p w14:paraId="4563E767" w14:textId="77777777" w:rsidR="00174109" w:rsidRDefault="00174109" w:rsidP="00F326E5">
      <w:pPr>
        <w:rPr>
          <w:rFonts w:ascii="Arial Black" w:hAnsi="Arial Black"/>
          <w:b/>
          <w:sz w:val="24"/>
          <w:szCs w:val="24"/>
        </w:rPr>
      </w:pPr>
    </w:p>
    <w:p w14:paraId="5DD01093" w14:textId="78D95A23" w:rsidR="00174109" w:rsidRDefault="00174109" w:rsidP="00F326E5">
      <w:pPr>
        <w:rPr>
          <w:rFonts w:ascii="Arial Black" w:hAnsi="Arial Black"/>
          <w:b/>
          <w:sz w:val="24"/>
          <w:szCs w:val="24"/>
        </w:rPr>
      </w:pPr>
      <w:r>
        <w:rPr>
          <w:rFonts w:ascii="Arial Black" w:hAnsi="Arial Black"/>
          <w:b/>
          <w:sz w:val="24"/>
          <w:szCs w:val="24"/>
        </w:rPr>
        <w:t>12-15</w:t>
      </w:r>
    </w:p>
    <w:p w14:paraId="7A969389" w14:textId="77777777" w:rsidR="00174109" w:rsidRDefault="00174109" w:rsidP="00174109">
      <w:pPr>
        <w:ind w:left="90"/>
        <w:rPr>
          <w:rFonts w:ascii="Arial Black" w:hAnsi="Arial Black"/>
          <w:sz w:val="28"/>
          <w:szCs w:val="28"/>
        </w:rPr>
      </w:pPr>
      <w:r>
        <w:rPr>
          <w:rFonts w:ascii="Arial Black" w:hAnsi="Arial Black"/>
          <w:sz w:val="28"/>
          <w:szCs w:val="28"/>
        </w:rPr>
        <w:t>LA: URINE TEST – “SHY BLADDER” - 1</w:t>
      </w:r>
      <w:r w:rsidRPr="00D20B2B">
        <w:rPr>
          <w:rFonts w:ascii="Arial Black" w:hAnsi="Arial Black"/>
          <w:sz w:val="28"/>
          <w:szCs w:val="28"/>
          <w:vertAlign w:val="superscript"/>
        </w:rPr>
        <w:t>st</w:t>
      </w:r>
      <w:r>
        <w:rPr>
          <w:rFonts w:ascii="Arial Black" w:hAnsi="Arial Black"/>
          <w:sz w:val="28"/>
          <w:szCs w:val="28"/>
        </w:rPr>
        <w:t xml:space="preserve"> SAMPLE TOO COLD - 3 HRS NO SAMPLES – REHIRED – BREACH FED. PROTOCOL  </w:t>
      </w:r>
    </w:p>
    <w:p w14:paraId="7DA6F4BD" w14:textId="77777777" w:rsidR="00174109" w:rsidRPr="00EF39AB" w:rsidRDefault="00174109" w:rsidP="00174109">
      <w:pPr>
        <w:ind w:left="90"/>
        <w:rPr>
          <w:rFonts w:ascii="Times New Roman" w:hAnsi="Times New Roman"/>
          <w:sz w:val="24"/>
          <w:szCs w:val="24"/>
        </w:rPr>
      </w:pPr>
      <w:r w:rsidRPr="00EF39AB">
        <w:rPr>
          <w:rFonts w:ascii="Times New Roman" w:hAnsi="Times New Roman"/>
          <w:sz w:val="24"/>
          <w:szCs w:val="24"/>
        </w:rPr>
        <w:t xml:space="preserve">On Dec. 1, 2021, in </w:t>
      </w:r>
      <w:r w:rsidRPr="00EF39AB">
        <w:rPr>
          <w:rFonts w:ascii="Times New Roman" w:hAnsi="Times New Roman"/>
          <w:sz w:val="24"/>
          <w:szCs w:val="24"/>
          <w:u w:val="single"/>
        </w:rPr>
        <w:t>Roy Neely v. Department of Fire [New Orleans]</w:t>
      </w:r>
      <w:r w:rsidRPr="00EF39AB">
        <w:rPr>
          <w:rFonts w:ascii="Times New Roman" w:hAnsi="Times New Roman"/>
          <w:sz w:val="24"/>
          <w:szCs w:val="24"/>
        </w:rPr>
        <w:t xml:space="preserve">, the Court of Appeals of Louisiana, Fourth Circuit, held (3 to 0) that the City Civil Service Commission properly ordered the 11-year firefighter (no prior discipline) reinstated. “Had the SAMHSA [federal Substance Abuse and Mental Health Services Administration] guidelines been followed, an alternate specimen would have been quickly </w:t>
      </w:r>
      <w:proofErr w:type="gramStart"/>
      <w:r w:rsidRPr="00EF39AB">
        <w:rPr>
          <w:rFonts w:ascii="Times New Roman" w:hAnsi="Times New Roman"/>
          <w:sz w:val="24"/>
          <w:szCs w:val="24"/>
        </w:rPr>
        <w:t>collected</w:t>
      </w:r>
      <w:proofErr w:type="gramEnd"/>
      <w:r w:rsidRPr="00EF39AB">
        <w:rPr>
          <w:rFonts w:ascii="Times New Roman" w:hAnsi="Times New Roman"/>
          <w:sz w:val="24"/>
          <w:szCs w:val="24"/>
        </w:rPr>
        <w:t xml:space="preserve"> or a medical evaluation would have occurred within five days, thereby facilitating the agency's efficient operation.” The Court noted that the FD could have provided in its protocol for hair or blood testing for “shy bladder” cases. </w:t>
      </w:r>
    </w:p>
    <w:p w14:paraId="0907EE2D" w14:textId="77777777" w:rsidR="00174109" w:rsidRPr="00EF39AB" w:rsidRDefault="00174109" w:rsidP="00174109">
      <w:pPr>
        <w:spacing w:before="100" w:beforeAutospacing="1" w:after="100" w:afterAutospacing="1" w:line="240" w:lineRule="auto"/>
        <w:ind w:left="720"/>
        <w:rPr>
          <w:rFonts w:ascii="Times New Roman" w:eastAsia="Times New Roman" w:hAnsi="Times New Roman"/>
          <w:b/>
          <w:bCs/>
          <w:sz w:val="24"/>
          <w:szCs w:val="24"/>
        </w:rPr>
      </w:pPr>
      <w:r w:rsidRPr="00EF39AB">
        <w:rPr>
          <w:rFonts w:ascii="Times New Roman" w:hAnsi="Times New Roman"/>
          <w:sz w:val="24"/>
          <w:szCs w:val="24"/>
        </w:rPr>
        <w:lastRenderedPageBreak/>
        <w:t xml:space="preserve">“Analyzing these guidelines together, it is evident that the appellee's conduct did not characterize a refusal to test. He appeared for the test, underwent and passed the first portion of it, stayed on the premises for the duration of the test, drank more than the minimum amount of fluid to facilitate urination, made three observed attempts to provide a sample, and expressed a willingness to undergo additional testing when he was unable to provide a second specimen. The appellee believed that he would have an opportunity to provide an alternate specimen, and when one was not requested, he paid for an additional test himself. The appellant failed to follow the mandatory testing protocol set forth in SAMHSA by not requesting an alternate sample or ordering a medical </w:t>
      </w:r>
      <w:proofErr w:type="gramStart"/>
      <w:r w:rsidRPr="00EF39AB">
        <w:rPr>
          <w:rFonts w:ascii="Times New Roman" w:hAnsi="Times New Roman"/>
          <w:sz w:val="24"/>
          <w:szCs w:val="24"/>
        </w:rPr>
        <w:t>evaluation, and</w:t>
      </w:r>
      <w:proofErr w:type="gramEnd"/>
      <w:r w:rsidRPr="00EF39AB">
        <w:rPr>
          <w:rFonts w:ascii="Times New Roman" w:hAnsi="Times New Roman"/>
          <w:sz w:val="24"/>
          <w:szCs w:val="24"/>
        </w:rPr>
        <w:t xml:space="preserve"> incorrectly concluded that the appellee's behavior constituted a refusal to test. *** The comments reveal that in drafting updates to the guidelines, a commenter requested that immediate alternate collections be made mandatory, to avoid additional costs associated with medical evaluations of "shy bladder" that would otherwise be necessary. Instead, the Department gave agencies the authority to decide whether to implement a standard protocol requiring an immediate alternate specimen, or to decide on a case-by-case basis whether to request an alternate specimen. This commentary illustrates a collective understanding that a ‘shy bladder’ is a condition requiring further evaluation.” </w:t>
      </w:r>
      <w:hyperlink r:id="rId1883" w:history="1">
        <w:r w:rsidRPr="00EC5853">
          <w:rPr>
            <w:rStyle w:val="Hyperlink"/>
            <w:rFonts w:ascii="Times New Roman" w:hAnsi="Times New Roman"/>
            <w:sz w:val="24"/>
            <w:szCs w:val="24"/>
          </w:rPr>
          <w:t>https://law.justia.com/cases/louisiana/fourth-circuit-court-of-appeal/2021/2021-ca-0454.html</w:t>
        </w:r>
      </w:hyperlink>
      <w:r>
        <w:rPr>
          <w:rFonts w:ascii="Times New Roman" w:hAnsi="Times New Roman"/>
          <w:sz w:val="24"/>
          <w:szCs w:val="24"/>
        </w:rPr>
        <w:t xml:space="preserve"> </w:t>
      </w:r>
    </w:p>
    <w:p w14:paraId="38B27D86" w14:textId="77777777" w:rsidR="00174109" w:rsidRPr="00131B6D" w:rsidRDefault="00174109" w:rsidP="00174109">
      <w:pPr>
        <w:spacing w:before="100" w:beforeAutospacing="1" w:after="100" w:afterAutospacing="1" w:line="240" w:lineRule="auto"/>
        <w:rPr>
          <w:rFonts w:ascii="Times New Roman" w:eastAsia="Times New Roman" w:hAnsi="Times New Roman"/>
          <w:b/>
          <w:bCs/>
          <w:sz w:val="24"/>
          <w:szCs w:val="24"/>
        </w:rPr>
      </w:pPr>
      <w:r w:rsidRPr="00131B6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To avoid similar litigation, FDs should adopt a policy that gives firefighters with a “shy bladder” the option taking a hair or blood test, or a medical exam at the firefighter’s expense. </w:t>
      </w:r>
    </w:p>
    <w:p w14:paraId="5CDAD513" w14:textId="77777777" w:rsidR="00174109" w:rsidRDefault="00174109" w:rsidP="00F326E5">
      <w:pPr>
        <w:rPr>
          <w:rFonts w:ascii="Arial Black" w:hAnsi="Arial Black"/>
          <w:b/>
          <w:sz w:val="24"/>
          <w:szCs w:val="24"/>
        </w:rPr>
      </w:pPr>
    </w:p>
    <w:p w14:paraId="4C38BEE5" w14:textId="1218CF71" w:rsidR="00885321" w:rsidRDefault="00885321" w:rsidP="00F326E5">
      <w:pPr>
        <w:rPr>
          <w:rFonts w:ascii="Arial Black" w:hAnsi="Arial Black"/>
          <w:b/>
          <w:sz w:val="24"/>
          <w:szCs w:val="24"/>
        </w:rPr>
      </w:pPr>
      <w:r>
        <w:rPr>
          <w:rFonts w:ascii="Arial Black" w:hAnsi="Arial Black"/>
          <w:b/>
          <w:sz w:val="24"/>
          <w:szCs w:val="24"/>
        </w:rPr>
        <w:t>12-14</w:t>
      </w:r>
    </w:p>
    <w:p w14:paraId="1FBB9DF8" w14:textId="77777777" w:rsidR="00885321" w:rsidRDefault="00885321" w:rsidP="00885321">
      <w:pPr>
        <w:pStyle w:val="NormalWeb"/>
        <w:rPr>
          <w:rFonts w:ascii="Arial Black" w:hAnsi="Arial Black"/>
          <w:sz w:val="28"/>
          <w:szCs w:val="28"/>
        </w:rPr>
      </w:pPr>
      <w:r>
        <w:rPr>
          <w:rFonts w:ascii="Arial Black" w:hAnsi="Arial Black"/>
          <w:sz w:val="28"/>
          <w:szCs w:val="28"/>
        </w:rPr>
        <w:t>OK: STATE AG SUES OPIOID MANUFACTURERS – MARKETING DRUGS - $465M VERDICT SET ASIDE – J&amp;J</w:t>
      </w:r>
    </w:p>
    <w:p w14:paraId="7BA7E78A" w14:textId="77777777" w:rsidR="00885321" w:rsidRDefault="00885321" w:rsidP="00885321">
      <w:pPr>
        <w:pStyle w:val="NormalWeb"/>
      </w:pPr>
      <w:r>
        <w:t xml:space="preserve">On Nov. 9, 2021, in </w:t>
      </w:r>
      <w:r w:rsidRPr="00CA6C2D">
        <w:rPr>
          <w:u w:val="single"/>
        </w:rPr>
        <w:t>State ex rel. Attorney General of Oklahoma v. Johnson &amp; Johnson</w:t>
      </w:r>
      <w:r>
        <w:t>, the Supreme Court of the State of Oklahoma (5 to 1) overturned $465 million judgment won by the State.  In 2019, state District Judge Thad Balkman ruled in a bench trial supporting the State’s argument that J&amp;J created a "public nuisance" through its marketing of prescription pain pills.</w:t>
      </w:r>
    </w:p>
    <w:p w14:paraId="736A9F07" w14:textId="77777777" w:rsidR="00885321" w:rsidRDefault="00885321" w:rsidP="00885321">
      <w:pPr>
        <w:pStyle w:val="NormalWeb"/>
        <w:ind w:left="720"/>
      </w:pPr>
      <w:r>
        <w:t xml:space="preserve">“To address this problem, the State of Oklahoma ex rel. Mike Hunter, Attorney General of Oklahoma ("State"), sued three prescription opioid manufacturers and requested that the district court hold opioid manufacturers liable for violating Oklahoma's public nuisance statute. The question before the Court is whether the conduct of an opioid manufacturer in marketing and selling its products constituted a public nuisance under 50 O.S.2011, §§ 1 &amp; 2. We hold that the district court's expansion of public nuisance law went too far. Oklahoma public nuisance law does not extend to the manufacturing, marketing, and selling of prescription opioids.” </w:t>
      </w:r>
      <w:hyperlink r:id="rId1884" w:history="1">
        <w:r w:rsidRPr="0085682C">
          <w:rPr>
            <w:rStyle w:val="Hyperlink"/>
          </w:rPr>
          <w:t>https://law.justia.com/cases/oklahoma/supreme-court/2021/118474.html</w:t>
        </w:r>
      </w:hyperlink>
      <w:r>
        <w:t xml:space="preserve"> </w:t>
      </w:r>
    </w:p>
    <w:p w14:paraId="4270A239" w14:textId="77777777" w:rsidR="00885321" w:rsidRPr="00D37C80" w:rsidRDefault="00885321" w:rsidP="00885321">
      <w:pPr>
        <w:spacing w:before="100" w:beforeAutospacing="1" w:after="100" w:afterAutospacing="1" w:line="240" w:lineRule="auto"/>
        <w:rPr>
          <w:rFonts w:ascii="Times New Roman" w:eastAsia="Times New Roman" w:hAnsi="Times New Roman"/>
          <w:b/>
          <w:bCs/>
          <w:sz w:val="24"/>
          <w:szCs w:val="24"/>
        </w:rPr>
      </w:pPr>
      <w:r w:rsidRPr="00D37C8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Numerous states have sued drug manufacturers and drug retail stores; the Oklahoma Supreme Court decision applies only to Oklahoma.</w:t>
      </w:r>
    </w:p>
    <w:p w14:paraId="760C2990" w14:textId="77777777" w:rsidR="00885321" w:rsidRDefault="00885321" w:rsidP="00885321">
      <w:pPr>
        <w:pStyle w:val="Heading1"/>
        <w:ind w:left="720"/>
        <w:rPr>
          <w:b w:val="0"/>
          <w:bCs w:val="0"/>
          <w:sz w:val="24"/>
          <w:szCs w:val="24"/>
        </w:rPr>
      </w:pPr>
      <w:r>
        <w:rPr>
          <w:b w:val="0"/>
          <w:bCs w:val="0"/>
          <w:sz w:val="24"/>
          <w:szCs w:val="24"/>
        </w:rPr>
        <w:t>See article on this decision:</w:t>
      </w:r>
      <w:r w:rsidRPr="00190C74">
        <w:rPr>
          <w:b w:val="0"/>
          <w:bCs w:val="0"/>
          <w:sz w:val="24"/>
          <w:szCs w:val="24"/>
        </w:rPr>
        <w:t xml:space="preserve"> </w:t>
      </w:r>
    </w:p>
    <w:p w14:paraId="4BA376BE" w14:textId="77777777" w:rsidR="00885321" w:rsidRDefault="00885321" w:rsidP="00885321">
      <w:pPr>
        <w:pStyle w:val="Heading1"/>
        <w:ind w:left="720"/>
        <w:rPr>
          <w:b w:val="0"/>
          <w:bCs w:val="0"/>
          <w:sz w:val="24"/>
          <w:szCs w:val="24"/>
        </w:rPr>
      </w:pPr>
      <w:r>
        <w:rPr>
          <w:b w:val="0"/>
          <w:bCs w:val="0"/>
          <w:sz w:val="24"/>
          <w:szCs w:val="24"/>
        </w:rPr>
        <w:t>Nov. 9, 2021: “</w:t>
      </w:r>
      <w:r w:rsidRPr="00190C74">
        <w:rPr>
          <w:b w:val="0"/>
          <w:bCs w:val="0"/>
          <w:sz w:val="24"/>
          <w:szCs w:val="24"/>
        </w:rPr>
        <w:t>Oklahoma's Supreme Court tossed out a landmark $465 million opioid ruling</w:t>
      </w:r>
      <w:r>
        <w:rPr>
          <w:b w:val="0"/>
          <w:bCs w:val="0"/>
          <w:sz w:val="24"/>
          <w:szCs w:val="24"/>
        </w:rPr>
        <w:t xml:space="preserve">.” </w:t>
      </w:r>
      <w:r w:rsidRPr="00190C74">
        <w:rPr>
          <w:b w:val="0"/>
          <w:bCs w:val="0"/>
          <w:sz w:val="24"/>
          <w:szCs w:val="24"/>
        </w:rPr>
        <w:t xml:space="preserve"> </w:t>
      </w:r>
      <w:hyperlink r:id="rId1885" w:history="1">
        <w:r w:rsidRPr="0085682C">
          <w:rPr>
            <w:rStyle w:val="Hyperlink"/>
            <w:b w:val="0"/>
            <w:bCs w:val="0"/>
            <w:sz w:val="24"/>
            <w:szCs w:val="24"/>
          </w:rPr>
          <w:t>https://www.npr.org/2021/11/09/1054000996/oklahoma-supreme-court-465-million-opioid-ruling</w:t>
        </w:r>
      </w:hyperlink>
      <w:r w:rsidRPr="00190C74">
        <w:rPr>
          <w:b w:val="0"/>
          <w:bCs w:val="0"/>
          <w:sz w:val="24"/>
          <w:szCs w:val="24"/>
        </w:rPr>
        <w:t xml:space="preserve"> </w:t>
      </w:r>
    </w:p>
    <w:p w14:paraId="590F338F" w14:textId="77777777" w:rsidR="00885321" w:rsidRDefault="00885321" w:rsidP="00885321">
      <w:pPr>
        <w:pStyle w:val="Heading1"/>
        <w:ind w:left="720"/>
        <w:rPr>
          <w:b w:val="0"/>
          <w:bCs w:val="0"/>
          <w:sz w:val="24"/>
          <w:szCs w:val="24"/>
        </w:rPr>
      </w:pPr>
      <w:r>
        <w:rPr>
          <w:b w:val="0"/>
          <w:bCs w:val="0"/>
          <w:sz w:val="24"/>
          <w:szCs w:val="24"/>
        </w:rPr>
        <w:t xml:space="preserve">But see other Court decisions: </w:t>
      </w:r>
    </w:p>
    <w:p w14:paraId="3739DB4D" w14:textId="77777777" w:rsidR="00885321" w:rsidRDefault="00885321" w:rsidP="00885321">
      <w:pPr>
        <w:pStyle w:val="Heading1"/>
        <w:ind w:left="720"/>
        <w:rPr>
          <w:b w:val="0"/>
          <w:bCs w:val="0"/>
          <w:sz w:val="24"/>
          <w:szCs w:val="24"/>
        </w:rPr>
      </w:pPr>
      <w:r>
        <w:rPr>
          <w:b w:val="0"/>
          <w:bCs w:val="0"/>
          <w:sz w:val="24"/>
          <w:szCs w:val="24"/>
        </w:rPr>
        <w:lastRenderedPageBreak/>
        <w:t xml:space="preserve">Nov. 23, 2021: </w:t>
      </w:r>
      <w:r w:rsidRPr="00C201AC">
        <w:rPr>
          <w:b w:val="0"/>
          <w:bCs w:val="0"/>
          <w:sz w:val="24"/>
          <w:szCs w:val="24"/>
        </w:rPr>
        <w:t xml:space="preserve">“3 of America's biggest pharmacy chains </w:t>
      </w:r>
      <w:proofErr w:type="gramStart"/>
      <w:r w:rsidRPr="00C201AC">
        <w:rPr>
          <w:b w:val="0"/>
          <w:bCs w:val="0"/>
          <w:sz w:val="24"/>
          <w:szCs w:val="24"/>
        </w:rPr>
        <w:t>have</w:t>
      </w:r>
      <w:proofErr w:type="gramEnd"/>
      <w:r w:rsidRPr="00C201AC">
        <w:rPr>
          <w:b w:val="0"/>
          <w:bCs w:val="0"/>
          <w:sz w:val="24"/>
          <w:szCs w:val="24"/>
        </w:rPr>
        <w:t xml:space="preserve"> been found liable for the opioid crisis.” </w:t>
      </w:r>
      <w:hyperlink r:id="rId1886" w:history="1">
        <w:r w:rsidRPr="0085682C">
          <w:rPr>
            <w:rStyle w:val="Hyperlink"/>
            <w:b w:val="0"/>
            <w:bCs w:val="0"/>
            <w:sz w:val="24"/>
            <w:szCs w:val="24"/>
          </w:rPr>
          <w:t>https://www.npr.org/2021/11/23/1058539458/a-jury-in-ohio-says-americas-big-pharmacy-chains-are-liable-for-the-opioid-epide</w:t>
        </w:r>
      </w:hyperlink>
      <w:r w:rsidRPr="00C201AC">
        <w:rPr>
          <w:b w:val="0"/>
          <w:bCs w:val="0"/>
          <w:sz w:val="24"/>
          <w:szCs w:val="24"/>
        </w:rPr>
        <w:t xml:space="preserve"> </w:t>
      </w:r>
    </w:p>
    <w:p w14:paraId="419EF775" w14:textId="77777777" w:rsidR="00885321" w:rsidRPr="00C201AC" w:rsidRDefault="00885321" w:rsidP="00885321">
      <w:pPr>
        <w:pStyle w:val="Heading1"/>
        <w:ind w:left="1440"/>
        <w:rPr>
          <w:b w:val="0"/>
          <w:bCs w:val="0"/>
          <w:sz w:val="24"/>
          <w:szCs w:val="24"/>
        </w:rPr>
      </w:pPr>
      <w:r>
        <w:rPr>
          <w:b w:val="0"/>
          <w:bCs w:val="0"/>
          <w:sz w:val="24"/>
          <w:szCs w:val="24"/>
        </w:rPr>
        <w:t>“</w:t>
      </w:r>
      <w:r w:rsidRPr="00C201AC">
        <w:rPr>
          <w:b w:val="0"/>
          <w:bCs w:val="0"/>
          <w:sz w:val="24"/>
          <w:szCs w:val="24"/>
        </w:rPr>
        <w:t>A federal jury on Tuesday found three of the nation's biggest pharmacy chains, CVS, Walgreens and Walmart, liable for helping to fuel the U.S. opioid crisis — a decision that's expected to have legal repercussions as thousands of similar lawsuits move forward in courts across the country.</w:t>
      </w:r>
      <w:r>
        <w:rPr>
          <w:b w:val="0"/>
          <w:bCs w:val="0"/>
          <w:sz w:val="24"/>
          <w:szCs w:val="24"/>
        </w:rPr>
        <w:t>”</w:t>
      </w:r>
    </w:p>
    <w:p w14:paraId="0A881F38" w14:textId="77777777" w:rsidR="00885321" w:rsidRPr="00190C74" w:rsidRDefault="00885321" w:rsidP="00885321">
      <w:pPr>
        <w:pStyle w:val="Heading1"/>
        <w:ind w:left="720"/>
        <w:rPr>
          <w:b w:val="0"/>
          <w:bCs w:val="0"/>
          <w:sz w:val="24"/>
          <w:szCs w:val="24"/>
        </w:rPr>
      </w:pPr>
      <w:r>
        <w:rPr>
          <w:b w:val="0"/>
          <w:bCs w:val="0"/>
          <w:sz w:val="24"/>
          <w:szCs w:val="24"/>
        </w:rPr>
        <w:t xml:space="preserve"> Nov. 1, 2021: “</w:t>
      </w:r>
      <w:r w:rsidRPr="00190C74">
        <w:rPr>
          <w:b w:val="0"/>
          <w:bCs w:val="0"/>
          <w:sz w:val="24"/>
          <w:szCs w:val="24"/>
        </w:rPr>
        <w:t xml:space="preserve">A California court says drug companies aren't liable for the state's opioid crisis. </w:t>
      </w:r>
      <w:hyperlink r:id="rId1887" w:history="1">
        <w:r w:rsidRPr="0085682C">
          <w:rPr>
            <w:rStyle w:val="Hyperlink"/>
            <w:b w:val="0"/>
            <w:bCs w:val="0"/>
            <w:sz w:val="24"/>
            <w:szCs w:val="24"/>
          </w:rPr>
          <w:t>https://www.npr.org/2021/11/01/1051321580/california-judge-drug-companies-opioid-crisis-allergan-endo-johnson-teva</w:t>
        </w:r>
      </w:hyperlink>
      <w:r w:rsidRPr="00190C74">
        <w:rPr>
          <w:b w:val="0"/>
          <w:bCs w:val="0"/>
          <w:sz w:val="24"/>
          <w:szCs w:val="24"/>
        </w:rPr>
        <w:t xml:space="preserve"> </w:t>
      </w:r>
    </w:p>
    <w:p w14:paraId="23226769" w14:textId="77777777" w:rsidR="00885321" w:rsidRPr="00C201AC" w:rsidRDefault="00885321" w:rsidP="00885321">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C201AC">
        <w:rPr>
          <w:rFonts w:ascii="Times New Roman" w:eastAsia="Times New Roman" w:hAnsi="Times New Roman"/>
          <w:sz w:val="24"/>
          <w:szCs w:val="24"/>
        </w:rPr>
        <w:t xml:space="preserve">A state judge in California ruled late Monday that four drug companies can't be held liable for that state's opioid epidemic. Communities had hoped for tens of billions of dollars in compensation to help ease the addiction crisis. </w:t>
      </w:r>
      <w:r>
        <w:rPr>
          <w:rFonts w:ascii="Times New Roman" w:eastAsia="Times New Roman" w:hAnsi="Times New Roman"/>
          <w:sz w:val="24"/>
          <w:szCs w:val="24"/>
        </w:rPr>
        <w:t xml:space="preserve"> </w:t>
      </w:r>
      <w:r w:rsidRPr="00C201AC">
        <w:rPr>
          <w:rFonts w:ascii="Times New Roman" w:eastAsia="Times New Roman" w:hAnsi="Times New Roman"/>
          <w:sz w:val="24"/>
          <w:szCs w:val="24"/>
        </w:rPr>
        <w:t>Attorneys representing four California counties argued the drug companies Allergan, Endo, Johnson &amp; Johnson and Teva used false and misleading marketing to push up the sale of prescription opioids.</w:t>
      </w:r>
      <w:r>
        <w:rPr>
          <w:rFonts w:ascii="Times New Roman" w:eastAsia="Times New Roman" w:hAnsi="Times New Roman"/>
          <w:sz w:val="24"/>
          <w:szCs w:val="24"/>
        </w:rPr>
        <w:t>”</w:t>
      </w:r>
    </w:p>
    <w:p w14:paraId="5CAE2483" w14:textId="77777777" w:rsidR="00885321" w:rsidRDefault="00885321" w:rsidP="00F326E5">
      <w:pPr>
        <w:rPr>
          <w:rFonts w:ascii="Arial Black" w:hAnsi="Arial Black"/>
          <w:b/>
          <w:sz w:val="24"/>
          <w:szCs w:val="24"/>
        </w:rPr>
      </w:pPr>
    </w:p>
    <w:p w14:paraId="7ECE1CD5" w14:textId="357215CC" w:rsidR="00774A91" w:rsidRDefault="00774A91" w:rsidP="00F326E5">
      <w:pPr>
        <w:rPr>
          <w:rFonts w:ascii="Arial Black" w:hAnsi="Arial Black"/>
          <w:b/>
          <w:sz w:val="24"/>
          <w:szCs w:val="24"/>
        </w:rPr>
      </w:pPr>
      <w:r>
        <w:rPr>
          <w:rFonts w:ascii="Arial Black" w:hAnsi="Arial Black"/>
          <w:b/>
          <w:sz w:val="24"/>
          <w:szCs w:val="24"/>
        </w:rPr>
        <w:t>12-13</w:t>
      </w:r>
    </w:p>
    <w:p w14:paraId="3D0AFAC3" w14:textId="77777777" w:rsidR="00774A91" w:rsidRPr="005C4D5B" w:rsidRDefault="00774A91" w:rsidP="00774A91">
      <w:pPr>
        <w:spacing w:before="100" w:beforeAutospacing="1" w:after="100" w:afterAutospacing="1" w:line="240" w:lineRule="auto"/>
        <w:rPr>
          <w:rFonts w:ascii="Arial Black" w:eastAsia="Times New Roman" w:hAnsi="Arial Black"/>
          <w:b/>
          <w:bCs/>
          <w:sz w:val="28"/>
          <w:szCs w:val="28"/>
        </w:rPr>
      </w:pPr>
      <w:r w:rsidRPr="005C4D5B">
        <w:rPr>
          <w:rFonts w:ascii="Arial Black" w:eastAsia="Times New Roman" w:hAnsi="Arial Black"/>
          <w:b/>
          <w:bCs/>
          <w:sz w:val="28"/>
          <w:szCs w:val="28"/>
        </w:rPr>
        <w:t>MI: FREELANCE PHOTOGRAPHER –</w:t>
      </w:r>
      <w:r>
        <w:rPr>
          <w:rFonts w:ascii="Arial Black" w:eastAsia="Times New Roman" w:hAnsi="Arial Black"/>
          <w:b/>
          <w:bCs/>
          <w:sz w:val="28"/>
          <w:szCs w:val="28"/>
        </w:rPr>
        <w:t xml:space="preserve"> LAWFULLY BANNED FROM FIREHOUSES FOR DRINKING – NOT RETALIATION</w:t>
      </w:r>
    </w:p>
    <w:p w14:paraId="6942F097" w14:textId="77777777" w:rsidR="00774A91" w:rsidRDefault="00774A91" w:rsidP="00774A91">
      <w:pPr>
        <w:pStyle w:val="NormalWeb"/>
      </w:pPr>
      <w:r>
        <w:t xml:space="preserve">On Oct. 27, 2021, in </w:t>
      </w:r>
      <w:r w:rsidRPr="005C4D5B">
        <w:rPr>
          <w:u w:val="single"/>
        </w:rPr>
        <w:t>Alexander Haggart v. City of Detroit, et al</w:t>
      </w:r>
      <w:r>
        <w:t xml:space="preserve">., U.S. District Court Judge Steven J. Murphy, U.S. District Court, Eastern District of Michigan (Southern Division) granted defendants’ motion for summary judgment, </w:t>
      </w:r>
      <w:r w:rsidRPr="00B97D8A">
        <w:t xml:space="preserve">including </w:t>
      </w:r>
      <w:r>
        <w:t xml:space="preserve">Fire </w:t>
      </w:r>
      <w:r w:rsidRPr="00B97D8A">
        <w:t>Chief Patrick McNulty</w:t>
      </w:r>
      <w:r>
        <w:t xml:space="preserve"> and </w:t>
      </w:r>
      <w:r w:rsidRPr="00B97D8A">
        <w:t>Deputy Chief Robert Shinske</w:t>
      </w:r>
      <w:r>
        <w:t xml:space="preserve">.  The Court held the </w:t>
      </w:r>
      <w:proofErr w:type="gramStart"/>
      <w:r>
        <w:t>banning</w:t>
      </w:r>
      <w:proofErr w:type="gramEnd"/>
      <w:r>
        <w:t xml:space="preserve"> was not in retaliation for taking photo of Deputy Chief Shinske’s command vehicle at bar 18 months earlier, where Deputy Chief received a 5-day suspension. Note: the photo was picked up by press and “went viral.”  See Oct. 18, </w:t>
      </w:r>
      <w:proofErr w:type="gramStart"/>
      <w:r>
        <w:t>2017</w:t>
      </w:r>
      <w:proofErr w:type="gramEnd"/>
      <w:r>
        <w:t xml:space="preserve"> article, “Detroit fire chief investigated for taking department car to bar.” </w:t>
      </w:r>
      <w:hyperlink r:id="rId1888" w:history="1">
        <w:r w:rsidRPr="00EF1618">
          <w:rPr>
            <w:rStyle w:val="Hyperlink"/>
          </w:rPr>
          <w:t>https://www.fox2detroit.com/news/detroit-fire-chief-investigated-for-taking-department-car-to-bar</w:t>
        </w:r>
      </w:hyperlink>
      <w:r>
        <w:t xml:space="preserve"> </w:t>
      </w:r>
    </w:p>
    <w:p w14:paraId="4814C452" w14:textId="77777777" w:rsidR="00774A91" w:rsidRDefault="00774A91" w:rsidP="00774A91">
      <w:pPr>
        <w:pStyle w:val="NormalWeb"/>
        <w:ind w:left="720"/>
      </w:pPr>
      <w:r>
        <w:t xml:space="preserve">“And the evidence shows that Deputy Chief Shinske had a legitimate reason to ban Plaintiff from firehouses based on Plaintiff's drinking and horsing around on department equipment. </w:t>
      </w:r>
      <w:r w:rsidRPr="005C4D5B">
        <w:t xml:space="preserve">In all, Plaintiff has failed to show that Deputy Chief Shinske would not have banned him but for posting </w:t>
      </w:r>
      <w:proofErr w:type="gramStart"/>
      <w:r w:rsidRPr="005C4D5B">
        <w:t>the photos</w:t>
      </w:r>
      <w:proofErr w:type="gramEnd"/>
      <w:r w:rsidRPr="005C4D5B">
        <w:t xml:space="preserve"> on social media. Because no evidence shows a </w:t>
      </w:r>
      <w:proofErr w:type="spellStart"/>
      <w:r w:rsidRPr="005C4D5B">
        <w:t>but</w:t>
      </w:r>
      <w:proofErr w:type="spellEnd"/>
      <w:r w:rsidRPr="005C4D5B">
        <w:t>-for causation, Deputy Chief Shinske did not violate Plaintiff's constitutional rights and is therefore entitled to qualified immunity.</w:t>
      </w:r>
      <w:r>
        <w:t xml:space="preserve">” </w:t>
      </w:r>
      <w:hyperlink r:id="rId1889" w:history="1">
        <w:r w:rsidRPr="009545D0">
          <w:rPr>
            <w:rStyle w:val="Hyperlink"/>
          </w:rPr>
          <w:t>https://public.fastcase.com/9SKwsfNqTc6OieYDhNMyM8QDIumtbytcTIYRS7vEe0pQ3%2BAszz%2FAIWxBBPTdhGkJW%2FsZnkZT639gd%2FCKUheamGpg8tPb2WiD4LZsCmDtik8%3D</w:t>
        </w:r>
      </w:hyperlink>
      <w:r>
        <w:t xml:space="preserve"> </w:t>
      </w:r>
    </w:p>
    <w:p w14:paraId="74BB0873" w14:textId="77777777" w:rsidR="00774A91" w:rsidRDefault="00774A91" w:rsidP="00774A91">
      <w:pPr>
        <w:pStyle w:val="NormalWeb"/>
        <w:rPr>
          <w:b/>
          <w:bCs/>
        </w:rPr>
      </w:pPr>
      <w:r w:rsidRPr="00FC31F8">
        <w:rPr>
          <w:b/>
          <w:bCs/>
        </w:rPr>
        <w:t>Legal Lesson Learned:</w:t>
      </w:r>
      <w:r>
        <w:rPr>
          <w:b/>
          <w:bCs/>
        </w:rPr>
        <w:t xml:space="preserve"> (1) Even if off duty, don’t drive your marked FD vehicle to bar unless conducting official business; (2) station officers who allow </w:t>
      </w:r>
      <w:proofErr w:type="gramStart"/>
      <w:r>
        <w:rPr>
          <w:b/>
          <w:bCs/>
        </w:rPr>
        <w:t>civilian</w:t>
      </w:r>
      <w:proofErr w:type="gramEnd"/>
      <w:r>
        <w:rPr>
          <w:b/>
          <w:bCs/>
        </w:rPr>
        <w:t xml:space="preserve"> to drink </w:t>
      </w:r>
      <w:proofErr w:type="gramStart"/>
      <w:r>
        <w:rPr>
          <w:b/>
          <w:bCs/>
        </w:rPr>
        <w:t>a beer</w:t>
      </w:r>
      <w:proofErr w:type="gramEnd"/>
      <w:r>
        <w:rPr>
          <w:b/>
          <w:bCs/>
        </w:rPr>
        <w:t xml:space="preserve"> at the station should also face discipline. </w:t>
      </w:r>
    </w:p>
    <w:p w14:paraId="2DF5780B" w14:textId="0A5E47ED" w:rsidR="00774A91" w:rsidRDefault="00774A91" w:rsidP="00F326E5">
      <w:pPr>
        <w:rPr>
          <w:rFonts w:ascii="Arial Black" w:hAnsi="Arial Black"/>
          <w:b/>
          <w:sz w:val="24"/>
          <w:szCs w:val="24"/>
        </w:rPr>
      </w:pPr>
    </w:p>
    <w:p w14:paraId="1F406173" w14:textId="666A1562" w:rsidR="00774A91" w:rsidRDefault="00774A91" w:rsidP="00F326E5">
      <w:pPr>
        <w:rPr>
          <w:rFonts w:ascii="Arial Black" w:hAnsi="Arial Black"/>
          <w:b/>
          <w:sz w:val="24"/>
          <w:szCs w:val="24"/>
        </w:rPr>
      </w:pPr>
      <w:r>
        <w:rPr>
          <w:rFonts w:ascii="Arial Black" w:hAnsi="Arial Black"/>
          <w:b/>
          <w:sz w:val="24"/>
          <w:szCs w:val="24"/>
        </w:rPr>
        <w:t>12-12</w:t>
      </w:r>
    </w:p>
    <w:p w14:paraId="15F7599E" w14:textId="77777777" w:rsidR="00774A91" w:rsidRPr="002B1B5D" w:rsidRDefault="00774A91" w:rsidP="00774A9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lastRenderedPageBreak/>
        <w:t xml:space="preserve">LA: FF 3rd DUI – AFTER FIRST DUI SIGNED “RETURN TO WORK AGREEMENT” - TERMINATION UPHELD </w:t>
      </w:r>
    </w:p>
    <w:p w14:paraId="4D35CBAE" w14:textId="77777777" w:rsidR="00774A91" w:rsidRDefault="00774A91" w:rsidP="00774A9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20, 2021, in </w:t>
      </w:r>
      <w:r w:rsidRPr="00C0791C">
        <w:rPr>
          <w:rFonts w:ascii="Times New Roman" w:eastAsia="Times New Roman" w:hAnsi="Times New Roman"/>
          <w:sz w:val="24"/>
          <w:szCs w:val="24"/>
          <w:u w:val="single"/>
        </w:rPr>
        <w:t>Lance Martin v. Department of Fire [New Orleans]</w:t>
      </w:r>
      <w:r>
        <w:rPr>
          <w:rFonts w:ascii="Times New Roman" w:eastAsia="Times New Roman" w:hAnsi="Times New Roman"/>
          <w:sz w:val="24"/>
          <w:szCs w:val="24"/>
        </w:rPr>
        <w:t>, the Court of Appeals of Louisiana, Fourth Circuit, held (3 to 0) that the Civil Service Commission properly upheld the  firefighter’s termination.  After his first DUI (July 18, 2018), he agreed to seek help from EAP and signed a “</w:t>
      </w:r>
      <w:r w:rsidRPr="00C0791C">
        <w:rPr>
          <w:rFonts w:ascii="Times New Roman" w:hAnsi="Times New Roman"/>
          <w:sz w:val="24"/>
          <w:szCs w:val="24"/>
        </w:rPr>
        <w:t>Return to Work Consent for Information Disclosure</w:t>
      </w:r>
      <w:r>
        <w:rPr>
          <w:rFonts w:ascii="Times New Roman" w:hAnsi="Times New Roman"/>
          <w:sz w:val="24"/>
          <w:szCs w:val="24"/>
        </w:rPr>
        <w:t>’</w:t>
      </w:r>
      <w:r w:rsidRPr="00C0791C">
        <w:rPr>
          <w:rFonts w:ascii="Times New Roman" w:hAnsi="Times New Roman"/>
          <w:sz w:val="24"/>
          <w:szCs w:val="24"/>
        </w:rPr>
        <w:t xml:space="preserve"> </w:t>
      </w:r>
      <w:r>
        <w:rPr>
          <w:rFonts w:ascii="Times New Roman" w:hAnsi="Times New Roman"/>
          <w:sz w:val="24"/>
          <w:szCs w:val="24"/>
        </w:rPr>
        <w:t>A</w:t>
      </w:r>
      <w:r w:rsidRPr="00C0791C">
        <w:rPr>
          <w:rFonts w:ascii="Times New Roman" w:hAnsi="Times New Roman"/>
          <w:sz w:val="24"/>
          <w:szCs w:val="24"/>
        </w:rPr>
        <w:t>greement</w:t>
      </w:r>
      <w:r>
        <w:rPr>
          <w:rFonts w:ascii="Times New Roman" w:hAnsi="Times New Roman"/>
          <w:sz w:val="24"/>
          <w:szCs w:val="24"/>
        </w:rPr>
        <w:t xml:space="preserve"> </w:t>
      </w:r>
      <w:r w:rsidRPr="00D431D9">
        <w:rPr>
          <w:rFonts w:ascii="Times New Roman" w:hAnsi="Times New Roman"/>
          <w:sz w:val="24"/>
          <w:szCs w:val="24"/>
        </w:rPr>
        <w:t>which obligated him to abstain from alcohol consumption during the term of his employment</w:t>
      </w:r>
      <w:r>
        <w:rPr>
          <w:rFonts w:ascii="Times New Roman" w:hAnsi="Times New Roman"/>
          <w:sz w:val="24"/>
          <w:szCs w:val="24"/>
        </w:rPr>
        <w:t>.  Thereafter he had two more DUIs: Oct. 10, 2018, and July 12, 2019.</w:t>
      </w:r>
    </w:p>
    <w:p w14:paraId="23D3B56B" w14:textId="77777777" w:rsidR="00774A91" w:rsidRDefault="00774A91" w:rsidP="00774A91">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2B1B5D">
        <w:rPr>
          <w:rFonts w:ascii="Times New Roman" w:eastAsia="Times New Roman" w:hAnsi="Times New Roman"/>
          <w:sz w:val="24"/>
          <w:szCs w:val="24"/>
        </w:rPr>
        <w:t xml:space="preserve">Upon review of the record, we find the Commission's decision to uphold Mr. Martin's termination is rationally based on the facts established in the record. The record reflects that after </w:t>
      </w:r>
      <w:proofErr w:type="gramStart"/>
      <w:r w:rsidRPr="002B1B5D">
        <w:rPr>
          <w:rFonts w:ascii="Times New Roman" w:eastAsia="Times New Roman" w:hAnsi="Times New Roman"/>
          <w:sz w:val="24"/>
          <w:szCs w:val="24"/>
        </w:rPr>
        <w:t>entering into</w:t>
      </w:r>
      <w:proofErr w:type="gramEnd"/>
      <w:r w:rsidRPr="002B1B5D">
        <w:rPr>
          <w:rFonts w:ascii="Times New Roman" w:eastAsia="Times New Roman" w:hAnsi="Times New Roman"/>
          <w:sz w:val="24"/>
          <w:szCs w:val="24"/>
        </w:rPr>
        <w:t xml:space="preserve"> the </w:t>
      </w:r>
      <w:proofErr w:type="gramStart"/>
      <w:r w:rsidRPr="002B1B5D">
        <w:rPr>
          <w:rFonts w:ascii="Times New Roman" w:eastAsia="Times New Roman" w:hAnsi="Times New Roman"/>
          <w:sz w:val="24"/>
          <w:szCs w:val="24"/>
        </w:rPr>
        <w:t>return to work</w:t>
      </w:r>
      <w:proofErr w:type="gramEnd"/>
      <w:r w:rsidRPr="002B1B5D">
        <w:rPr>
          <w:rFonts w:ascii="Times New Roman" w:eastAsia="Times New Roman" w:hAnsi="Times New Roman"/>
          <w:sz w:val="24"/>
          <w:szCs w:val="24"/>
        </w:rPr>
        <w:t xml:space="preserve"> agreement, Mr. Martin had two additional incidents of alcohol misuse, which led to him being arrested. Consequently, he violated his </w:t>
      </w:r>
      <w:proofErr w:type="gramStart"/>
      <w:r w:rsidRPr="002B1B5D">
        <w:rPr>
          <w:rFonts w:ascii="Times New Roman" w:eastAsia="Times New Roman" w:hAnsi="Times New Roman"/>
          <w:sz w:val="24"/>
          <w:szCs w:val="24"/>
        </w:rPr>
        <w:t>return to work</w:t>
      </w:r>
      <w:proofErr w:type="gramEnd"/>
      <w:r w:rsidRPr="002B1B5D">
        <w:rPr>
          <w:rFonts w:ascii="Times New Roman" w:eastAsia="Times New Roman" w:hAnsi="Times New Roman"/>
          <w:sz w:val="24"/>
          <w:szCs w:val="24"/>
        </w:rPr>
        <w:t xml:space="preserve"> agreement. While we acknowledge that termination from permanent employment is the most extreme form of disciplinary action taken against an employee, we cannot say the Commission's decision to uphold the termination in this case was arbitrary, capricious, or an abuse of discretion.</w:t>
      </w:r>
      <w:r>
        <w:rPr>
          <w:rFonts w:ascii="Times New Roman" w:eastAsia="Times New Roman" w:hAnsi="Times New Roman"/>
          <w:sz w:val="24"/>
          <w:szCs w:val="24"/>
        </w:rPr>
        <w:t xml:space="preserve">” </w:t>
      </w:r>
      <w:hyperlink r:id="rId1890" w:history="1">
        <w:r w:rsidRPr="00ED2C8C">
          <w:rPr>
            <w:rStyle w:val="Hyperlink"/>
            <w:sz w:val="24"/>
            <w:szCs w:val="24"/>
          </w:rPr>
          <w:t>https://law.justia.com/cases/louisiana/fourth-circuit-court-of-appeal/2021/2021-ca-0070.html</w:t>
        </w:r>
      </w:hyperlink>
      <w:r>
        <w:rPr>
          <w:rFonts w:ascii="Times New Roman" w:eastAsia="Times New Roman" w:hAnsi="Times New Roman"/>
          <w:sz w:val="24"/>
          <w:szCs w:val="24"/>
        </w:rPr>
        <w:t xml:space="preserve"> </w:t>
      </w:r>
    </w:p>
    <w:p w14:paraId="07062970" w14:textId="77777777" w:rsidR="00774A91" w:rsidRPr="00C0791C" w:rsidRDefault="00774A91" w:rsidP="00774A91">
      <w:pPr>
        <w:spacing w:before="100" w:beforeAutospacing="1" w:after="100" w:afterAutospacing="1" w:line="240" w:lineRule="auto"/>
        <w:rPr>
          <w:rFonts w:ascii="Times New Roman" w:eastAsia="Times New Roman" w:hAnsi="Times New Roman"/>
          <w:b/>
          <w:bCs/>
          <w:sz w:val="24"/>
          <w:szCs w:val="24"/>
        </w:rPr>
      </w:pPr>
      <w:r w:rsidRPr="00D431D9">
        <w:rPr>
          <w:rFonts w:ascii="Times New Roman" w:hAnsi="Times New Roman"/>
          <w:b/>
          <w:bCs/>
          <w:sz w:val="24"/>
          <w:szCs w:val="24"/>
        </w:rPr>
        <w:t>Legal Lesson Learned:</w:t>
      </w:r>
      <w:r>
        <w:rPr>
          <w:rFonts w:ascii="Times New Roman" w:hAnsi="Times New Roman"/>
          <w:b/>
          <w:bCs/>
          <w:sz w:val="24"/>
          <w:szCs w:val="24"/>
        </w:rPr>
        <w:t xml:space="preserve"> Return to work agreements and other “last chance agreements” are enforceable. </w:t>
      </w:r>
    </w:p>
    <w:p w14:paraId="41723C7F" w14:textId="77777777" w:rsidR="00774A91" w:rsidRDefault="00774A91" w:rsidP="00F326E5">
      <w:pPr>
        <w:rPr>
          <w:rFonts w:ascii="Arial Black" w:hAnsi="Arial Black"/>
          <w:b/>
          <w:sz w:val="24"/>
          <w:szCs w:val="24"/>
        </w:rPr>
      </w:pPr>
    </w:p>
    <w:p w14:paraId="2D0D6631" w14:textId="4435079F" w:rsidR="003E0A22" w:rsidRDefault="00A82898" w:rsidP="00F326E5">
      <w:pPr>
        <w:rPr>
          <w:rFonts w:ascii="Arial Black" w:hAnsi="Arial Black"/>
          <w:b/>
          <w:sz w:val="24"/>
          <w:szCs w:val="24"/>
        </w:rPr>
      </w:pPr>
      <w:r>
        <w:rPr>
          <w:rFonts w:ascii="Arial Black" w:hAnsi="Arial Black"/>
          <w:b/>
          <w:sz w:val="24"/>
          <w:szCs w:val="24"/>
        </w:rPr>
        <w:t>12-11</w:t>
      </w:r>
    </w:p>
    <w:p w14:paraId="16D4701E"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r>
        <w:rPr>
          <w:rStyle w:val="markedcontent"/>
          <w:rFonts w:ascii="Arial Black" w:hAnsi="Arial Black"/>
          <w:sz w:val="28"/>
          <w:szCs w:val="28"/>
        </w:rPr>
        <w:t xml:space="preserve">CO: MARIJUANA - 44 STATES ALLOW USE – U.S. SUPREME COURT JUSTICE THOMAS: FEDS ARE “HALF-IN, HALF OUT” </w:t>
      </w:r>
    </w:p>
    <w:p w14:paraId="6EDDF135"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p>
    <w:p w14:paraId="537B74F1" w14:textId="77777777" w:rsidR="00A82898" w:rsidRPr="005B0F3E" w:rsidRDefault="00A82898" w:rsidP="00A82898">
      <w:pPr>
        <w:pStyle w:val="NormalWeb"/>
        <w:spacing w:before="0" w:beforeAutospacing="0" w:after="0" w:afterAutospacing="0" w:line="255" w:lineRule="atLeast"/>
        <w:rPr>
          <w:rStyle w:val="markedcontent"/>
        </w:rPr>
      </w:pPr>
      <w:r w:rsidRPr="00C13F94">
        <w:rPr>
          <w:rStyle w:val="markedcontent"/>
        </w:rPr>
        <w:t xml:space="preserve">On June 28, 2021, in </w:t>
      </w:r>
      <w:r w:rsidRPr="00C13F94">
        <w:rPr>
          <w:rStyle w:val="markedcontent"/>
          <w:u w:val="single"/>
        </w:rPr>
        <w:t>Standing Akimbo, LLC et al. v. United States</w:t>
      </w:r>
      <w:r w:rsidRPr="00C13F94">
        <w:rPr>
          <w:rStyle w:val="markedcontent"/>
        </w:rPr>
        <w:t xml:space="preserve">, filed a dissent when the </w:t>
      </w:r>
      <w:r w:rsidRPr="005B0F3E">
        <w:rPr>
          <w:rStyle w:val="markedcontent"/>
        </w:rPr>
        <w:t xml:space="preserve">Court declined to hear appeal (requires 4 Justices to hear an appeal) of a medical marijuana dispensary in Colorado, that under Federal law cannot deduct cost of doing business from IRS taxes.  His dissent pointed out that “36 States allow medicinal marijuana use and 18 of those States also allow recreational use.”  </w:t>
      </w:r>
    </w:p>
    <w:p w14:paraId="4242109A" w14:textId="77777777" w:rsidR="00A82898" w:rsidRPr="005B0F3E" w:rsidRDefault="00A82898" w:rsidP="00A82898">
      <w:pPr>
        <w:pStyle w:val="NormalWeb"/>
        <w:spacing w:before="0" w:beforeAutospacing="0" w:after="0" w:afterAutospacing="0" w:line="255" w:lineRule="atLeast"/>
        <w:rPr>
          <w:rStyle w:val="markedcontent"/>
        </w:rPr>
      </w:pPr>
    </w:p>
    <w:p w14:paraId="7B83AF9F" w14:textId="77777777" w:rsidR="00A82898" w:rsidRPr="005B0F3E" w:rsidRDefault="00A82898" w:rsidP="00A82898">
      <w:pPr>
        <w:pStyle w:val="NormalWeb"/>
        <w:spacing w:before="0" w:beforeAutospacing="0" w:after="0" w:afterAutospacing="0" w:line="255" w:lineRule="atLeast"/>
        <w:ind w:left="720"/>
        <w:rPr>
          <w:rStyle w:val="Strong"/>
          <w:rFonts w:ascii="Arial" w:eastAsiaTheme="majorEastAsia" w:hAnsi="Arial" w:cs="Arial"/>
          <w:color w:val="555555"/>
        </w:rPr>
      </w:pPr>
      <w:r w:rsidRPr="005B0F3E">
        <w:rPr>
          <w:rStyle w:val="markedcontent"/>
        </w:rPr>
        <w:t xml:space="preserve">“Once comprehensive, the Federal Government’s current approach is a half-in, half-out regime that simultaneously tolerates and forbids local use of marijuana. This contradictory and unstable </w:t>
      </w:r>
      <w:proofErr w:type="gramStart"/>
      <w:r w:rsidRPr="005B0F3E">
        <w:rPr>
          <w:rStyle w:val="markedcontent"/>
        </w:rPr>
        <w:t>state of affairs</w:t>
      </w:r>
      <w:proofErr w:type="gramEnd"/>
      <w:r w:rsidRPr="005B0F3E">
        <w:rPr>
          <w:rStyle w:val="markedcontent"/>
        </w:rPr>
        <w:t xml:space="preserve"> strains basic principles of federalism and conceals traps for the unwary.  ***A prohibition on intrastate use or cultivation of marijuana may no longer be necessary or proper to support the Federal Government’s piecemeal approach.” </w:t>
      </w:r>
      <w:hyperlink r:id="rId1891" w:history="1">
        <w:r w:rsidRPr="005B0F3E">
          <w:rPr>
            <w:rStyle w:val="Hyperlink"/>
          </w:rPr>
          <w:t>https://www.supremecourt.gov/opinions/20pdf/20-645_9p6b.pdf</w:t>
        </w:r>
      </w:hyperlink>
      <w:r w:rsidRPr="005B0F3E">
        <w:rPr>
          <w:rStyle w:val="markedcontent"/>
        </w:rPr>
        <w:t xml:space="preserve"> </w:t>
      </w:r>
    </w:p>
    <w:p w14:paraId="05F55223" w14:textId="77777777" w:rsidR="00A82898" w:rsidRPr="005B0F3E" w:rsidRDefault="00A82898" w:rsidP="00A82898">
      <w:pPr>
        <w:pStyle w:val="NormalWeb"/>
        <w:spacing w:before="0" w:beforeAutospacing="0" w:after="0" w:afterAutospacing="0" w:line="255" w:lineRule="atLeast"/>
        <w:rPr>
          <w:rStyle w:val="markedcontent"/>
        </w:rPr>
      </w:pPr>
    </w:p>
    <w:p w14:paraId="2F5CC76E" w14:textId="77777777" w:rsidR="00A82898" w:rsidRPr="005B0F3E" w:rsidRDefault="00A82898" w:rsidP="00A82898">
      <w:pPr>
        <w:pStyle w:val="NormalWeb"/>
        <w:spacing w:before="0" w:beforeAutospacing="0" w:after="0" w:afterAutospacing="0" w:line="255" w:lineRule="atLeast"/>
        <w:rPr>
          <w:rStyle w:val="markedcontent"/>
        </w:rPr>
      </w:pPr>
      <w:r w:rsidRPr="005B0F3E">
        <w:rPr>
          <w:rStyle w:val="markedcontent"/>
        </w:rPr>
        <w:t>Facts [from 10</w:t>
      </w:r>
      <w:r w:rsidRPr="005B0F3E">
        <w:rPr>
          <w:rStyle w:val="markedcontent"/>
          <w:vertAlign w:val="superscript"/>
        </w:rPr>
        <w:t>th</w:t>
      </w:r>
      <w:r w:rsidRPr="005B0F3E">
        <w:rPr>
          <w:rStyle w:val="markedcontent"/>
        </w:rPr>
        <w:t xml:space="preserve"> Circuit decision, April 7, 2020: </w:t>
      </w:r>
    </w:p>
    <w:p w14:paraId="155BA214" w14:textId="77777777" w:rsidR="00A82898" w:rsidRPr="005B0F3E" w:rsidRDefault="00A82898" w:rsidP="00A82898">
      <w:pPr>
        <w:pStyle w:val="NormalWeb"/>
        <w:spacing w:before="0" w:beforeAutospacing="0" w:after="0" w:afterAutospacing="0" w:line="255" w:lineRule="atLeast"/>
        <w:rPr>
          <w:rStyle w:val="markedcontent"/>
        </w:rPr>
      </w:pPr>
    </w:p>
    <w:p w14:paraId="776587F1" w14:textId="77777777" w:rsidR="00A82898" w:rsidRPr="005B0F3E" w:rsidRDefault="00A82898" w:rsidP="00A82898">
      <w:pPr>
        <w:pStyle w:val="NormalWeb"/>
        <w:spacing w:before="0" w:beforeAutospacing="0" w:after="0" w:afterAutospacing="0" w:line="255" w:lineRule="atLeast"/>
        <w:ind w:left="720"/>
      </w:pPr>
      <w:r w:rsidRPr="005B0F3E">
        <w:t xml:space="preserve">“The Internal Revenue Service (IRS) is responsible to enforce the federal tax code against marijuana businesses operating legally under state law. This led to a civil audit of Peter Hermes, Kevin Desilet, Samantha Murphy, and John Murphy (collectively, the ‘Taxpayers’) to verify their tax liabilities for their medical-marijuana dispensary, Standing Akimbo, LLC. The IRS was investigating whether the Taxpayers had taken improper deductions for business expenses arising from a ‘trade or business’ that ‘consists of trafficking in controlled substances.’ 26 U.S.C. § 280E. But claiming to fear criminal prosecution, the Taxpayers declined to provide the audit information to the IRS. This left the IRS to seek the information elsewhere—it issued four summonses for plant reports, gross-sales reports and license </w:t>
      </w:r>
      <w:r w:rsidRPr="005B0F3E">
        <w:lastRenderedPageBreak/>
        <w:t>information to the Colorado Department of Revenue’s Marijuana Enforcement Division (the ‘Enforcement Division’), which is the state entity responsible for regulating licensed marijuana sales.</w:t>
      </w:r>
    </w:p>
    <w:p w14:paraId="0D1D2EFA" w14:textId="77777777" w:rsidR="00A82898" w:rsidRPr="005B0F3E" w:rsidRDefault="00A82898" w:rsidP="00A82898">
      <w:pPr>
        <w:pStyle w:val="NormalWeb"/>
        <w:spacing w:before="0" w:beforeAutospacing="0" w:after="0" w:afterAutospacing="0" w:line="255" w:lineRule="atLeast"/>
        <w:ind w:left="720"/>
      </w:pPr>
    </w:p>
    <w:p w14:paraId="339FDB34" w14:textId="77777777" w:rsidR="00A82898" w:rsidRDefault="00A82898" w:rsidP="00A82898">
      <w:pPr>
        <w:pStyle w:val="NormalWeb"/>
        <w:spacing w:before="0" w:beforeAutospacing="0" w:after="0" w:afterAutospacing="0" w:line="255" w:lineRule="atLeast"/>
        <w:ind w:left="720"/>
        <w:rPr>
          <w:rStyle w:val="markedcontent"/>
          <w:sz w:val="27"/>
          <w:szCs w:val="27"/>
        </w:rPr>
      </w:pPr>
      <w:r w:rsidRPr="005B0F3E">
        <w:t>In Colorado federal district court, the Taxpayers filed a petition to quash the summonses. The government moved to dismiss the petition and to enforce the summonses. The district court granted the motion to dismiss and ordered the summonses enforced. Exercising jurisdiction under 28 U.S.C. § 1291, we affirm.”</w:t>
      </w:r>
      <w:r w:rsidRPr="005B0F3E">
        <w:rPr>
          <w:rStyle w:val="markedcontent"/>
        </w:rPr>
        <w:t xml:space="preserve"> </w:t>
      </w:r>
      <w:hyperlink r:id="rId1892" w:history="1">
        <w:r w:rsidRPr="005B0F3E">
          <w:rPr>
            <w:rStyle w:val="Hyperlink"/>
          </w:rPr>
          <w:t>https://cases.justia.com/federal/appellate-courts/ca10/19-1049/19-1049-2020-04-07.pdf?ts=1586277066</w:t>
        </w:r>
      </w:hyperlink>
      <w:r>
        <w:rPr>
          <w:rStyle w:val="markedcontent"/>
          <w:sz w:val="27"/>
          <w:szCs w:val="27"/>
        </w:rPr>
        <w:t xml:space="preserve"> ]</w:t>
      </w:r>
    </w:p>
    <w:p w14:paraId="16A91E14" w14:textId="77777777" w:rsidR="00A82898" w:rsidRPr="00AE19EB" w:rsidRDefault="00A82898" w:rsidP="00A82898">
      <w:pPr>
        <w:pStyle w:val="NormalWeb"/>
        <w:spacing w:before="0" w:beforeAutospacing="0" w:after="0" w:afterAutospacing="0" w:line="255" w:lineRule="atLeast"/>
        <w:ind w:left="720"/>
        <w:rPr>
          <w:rStyle w:val="markedcontent"/>
        </w:rPr>
      </w:pPr>
    </w:p>
    <w:p w14:paraId="70F3A3FA" w14:textId="77777777" w:rsidR="00A82898" w:rsidRPr="00AE19EB" w:rsidRDefault="00A82898" w:rsidP="00A82898">
      <w:pPr>
        <w:pStyle w:val="NormalWeb"/>
        <w:spacing w:before="0" w:beforeAutospacing="0" w:after="0" w:afterAutospacing="0" w:line="255" w:lineRule="atLeast"/>
        <w:rPr>
          <w:rStyle w:val="markedcontent"/>
          <w:b/>
          <w:bCs/>
        </w:rPr>
      </w:pPr>
      <w:r w:rsidRPr="00AE19EB">
        <w:rPr>
          <w:rStyle w:val="markedcontent"/>
          <w:b/>
          <w:bCs/>
        </w:rPr>
        <w:t xml:space="preserve">Legal Lesson Learned: Fire Departments should </w:t>
      </w:r>
      <w:r>
        <w:rPr>
          <w:rStyle w:val="markedcontent"/>
          <w:b/>
          <w:bCs/>
        </w:rPr>
        <w:t xml:space="preserve">consider </w:t>
      </w:r>
      <w:proofErr w:type="gramStart"/>
      <w:r w:rsidRPr="00AE19EB">
        <w:rPr>
          <w:rStyle w:val="markedcontent"/>
          <w:b/>
          <w:bCs/>
        </w:rPr>
        <w:t>adopt</w:t>
      </w:r>
      <w:proofErr w:type="gramEnd"/>
      <w:r w:rsidRPr="00AE19EB">
        <w:rPr>
          <w:rStyle w:val="markedcontent"/>
          <w:b/>
          <w:bCs/>
        </w:rPr>
        <w:t xml:space="preserve"> policies that </w:t>
      </w:r>
      <w:proofErr w:type="gramStart"/>
      <w:r w:rsidRPr="00AE19EB">
        <w:rPr>
          <w:rStyle w:val="markedcontent"/>
          <w:b/>
          <w:bCs/>
        </w:rPr>
        <w:t>requires</w:t>
      </w:r>
      <w:proofErr w:type="gramEnd"/>
      <w:r w:rsidRPr="00AE19EB">
        <w:rPr>
          <w:rStyle w:val="markedcontent"/>
          <w:b/>
          <w:bCs/>
        </w:rPr>
        <w:t xml:space="preserve"> firefighters to disclose any prescription for medicinal marijuana use, and </w:t>
      </w:r>
      <w:r>
        <w:rPr>
          <w:rStyle w:val="markedcontent"/>
          <w:b/>
          <w:bCs/>
        </w:rPr>
        <w:t xml:space="preserve">the </w:t>
      </w:r>
      <w:r w:rsidRPr="00AE19EB">
        <w:rPr>
          <w:rStyle w:val="markedcontent"/>
          <w:b/>
          <w:bCs/>
        </w:rPr>
        <w:t>duty restrictions</w:t>
      </w:r>
      <w:r>
        <w:rPr>
          <w:rStyle w:val="markedcontent"/>
          <w:b/>
          <w:bCs/>
        </w:rPr>
        <w:t xml:space="preserve"> for such firefighters. </w:t>
      </w:r>
    </w:p>
    <w:p w14:paraId="4DE6AF4C" w14:textId="77777777" w:rsidR="00A82898" w:rsidRDefault="00A82898" w:rsidP="00A82898">
      <w:pPr>
        <w:pStyle w:val="NoSpacing"/>
        <w:rPr>
          <w:rStyle w:val="markedcontent"/>
          <w:rFonts w:ascii="Times New Roman" w:hAnsi="Times New Roman"/>
          <w:sz w:val="24"/>
          <w:szCs w:val="24"/>
        </w:rPr>
      </w:pPr>
      <w:r w:rsidRPr="0041393A">
        <w:rPr>
          <w:rStyle w:val="markedcontent"/>
          <w:rFonts w:ascii="Times New Roman" w:hAnsi="Times New Roman"/>
          <w:sz w:val="24"/>
          <w:szCs w:val="24"/>
        </w:rPr>
        <w:tab/>
        <w:t>Note:</w:t>
      </w:r>
    </w:p>
    <w:p w14:paraId="25DFCBA8" w14:textId="77777777" w:rsidR="00A82898" w:rsidRDefault="00A82898" w:rsidP="00A82898">
      <w:pPr>
        <w:pStyle w:val="NoSpacing"/>
        <w:rPr>
          <w:rStyle w:val="markedcontent"/>
        </w:rPr>
      </w:pPr>
    </w:p>
    <w:p w14:paraId="1594A5BB" w14:textId="77777777" w:rsidR="00A82898" w:rsidRPr="0041393A" w:rsidRDefault="00A82898" w:rsidP="00A82898">
      <w:pPr>
        <w:pStyle w:val="NoSpacing"/>
        <w:ind w:firstLine="720"/>
        <w:rPr>
          <w:rFonts w:ascii="Times New Roman" w:hAnsi="Times New Roman"/>
          <w:sz w:val="24"/>
          <w:szCs w:val="24"/>
        </w:rPr>
      </w:pPr>
      <w:r w:rsidRPr="0041393A">
        <w:rPr>
          <w:rStyle w:val="markedcontent"/>
          <w:rFonts w:ascii="Times New Roman" w:hAnsi="Times New Roman"/>
          <w:sz w:val="24"/>
          <w:szCs w:val="24"/>
        </w:rPr>
        <w:t xml:space="preserve">June 29, 2021: </w:t>
      </w:r>
      <w:r w:rsidRPr="0041393A">
        <w:rPr>
          <w:rFonts w:ascii="Times New Roman" w:hAnsi="Times New Roman"/>
          <w:sz w:val="24"/>
          <w:szCs w:val="24"/>
        </w:rPr>
        <w:t>Mexico's supreme court decriminalizes recreational use of cannabis</w:t>
      </w:r>
    </w:p>
    <w:p w14:paraId="02A6A52B" w14:textId="77777777" w:rsidR="00A82898" w:rsidRDefault="00A82898" w:rsidP="00A82898">
      <w:pPr>
        <w:pStyle w:val="NoSpacing"/>
        <w:ind w:left="720"/>
      </w:pPr>
      <w:hyperlink r:id="rId1893" w:history="1">
        <w:r w:rsidRPr="004E5B98">
          <w:rPr>
            <w:rStyle w:val="Hyperlink"/>
            <w:sz w:val="24"/>
            <w:szCs w:val="24"/>
          </w:rPr>
          <w:t>https://www.cnn.com/2021/06/29/americas/mexico-cannabis-decriminalization-intl/index.html?utm_content=2021-06-29T08%3A51%3A14&amp;utm_term=link&amp;utm_source=twcnnbrk&amp;utm_medium=social</w:t>
        </w:r>
      </w:hyperlink>
      <w:r>
        <w:t xml:space="preserve"> </w:t>
      </w:r>
    </w:p>
    <w:p w14:paraId="4E1B18DE" w14:textId="77777777" w:rsidR="00A82898" w:rsidRPr="007E3D25" w:rsidRDefault="00A82898" w:rsidP="00A82898">
      <w:pPr>
        <w:pStyle w:val="NormalWeb"/>
        <w:spacing w:before="0" w:beforeAutospacing="0" w:after="0" w:afterAutospacing="0" w:line="255" w:lineRule="atLeast"/>
        <w:rPr>
          <w:rStyle w:val="markedcontent"/>
        </w:rPr>
      </w:pPr>
    </w:p>
    <w:p w14:paraId="0095E9FA" w14:textId="77777777" w:rsidR="00A82898" w:rsidRPr="00A82898" w:rsidRDefault="00A82898" w:rsidP="00A82898">
      <w:pPr>
        <w:pStyle w:val="Heading1"/>
        <w:ind w:left="720"/>
        <w:rPr>
          <w:b w:val="0"/>
          <w:bCs w:val="0"/>
          <w:sz w:val="24"/>
          <w:szCs w:val="24"/>
        </w:rPr>
      </w:pPr>
      <w:r>
        <w:rPr>
          <w:b w:val="0"/>
          <w:bCs w:val="0"/>
          <w:sz w:val="24"/>
          <w:szCs w:val="24"/>
        </w:rPr>
        <w:t>Sept. 23, 2020: “</w:t>
      </w:r>
      <w:r w:rsidRPr="00AE19EB">
        <w:rPr>
          <w:b w:val="0"/>
          <w:bCs w:val="0"/>
          <w:sz w:val="24"/>
          <w:szCs w:val="24"/>
        </w:rPr>
        <w:t>Can Fire Departments Prohibit Firefighter Off-Duty Medical Marijuana Use?</w:t>
      </w:r>
      <w:r>
        <w:rPr>
          <w:b w:val="0"/>
          <w:bCs w:val="0"/>
          <w:sz w:val="24"/>
          <w:szCs w:val="24"/>
        </w:rPr>
        <w:t xml:space="preserve">” </w:t>
      </w:r>
      <w:hyperlink r:id="rId1894" w:history="1">
        <w:r w:rsidRPr="00A82898">
          <w:rPr>
            <w:rStyle w:val="Hyperlink"/>
            <w:b w:val="0"/>
            <w:bCs w:val="0"/>
            <w:sz w:val="24"/>
            <w:szCs w:val="24"/>
          </w:rPr>
          <w:t>https://www.lexipol.com/resources/blog/can-fire-departments-prohibit-firefighter-off-duty-medical-marijuana-use/</w:t>
        </w:r>
      </w:hyperlink>
      <w:r w:rsidRPr="00A82898">
        <w:rPr>
          <w:b w:val="0"/>
          <w:bCs w:val="0"/>
          <w:sz w:val="24"/>
          <w:szCs w:val="24"/>
        </w:rPr>
        <w:t xml:space="preserve"> </w:t>
      </w:r>
    </w:p>
    <w:p w14:paraId="123DC077" w14:textId="77777777" w:rsidR="00A82898" w:rsidRPr="003D5D8C" w:rsidRDefault="00A82898" w:rsidP="00A82898">
      <w:pPr>
        <w:pStyle w:val="Heading1"/>
        <w:ind w:left="720"/>
        <w:rPr>
          <w:b w:val="0"/>
          <w:bCs w:val="0"/>
          <w:sz w:val="24"/>
          <w:szCs w:val="24"/>
        </w:rPr>
      </w:pPr>
      <w:r>
        <w:rPr>
          <w:b w:val="0"/>
          <w:bCs w:val="0"/>
          <w:sz w:val="24"/>
          <w:szCs w:val="24"/>
        </w:rPr>
        <w:t>Feb. 5, 2020: “</w:t>
      </w:r>
      <w:r w:rsidRPr="00434B0D">
        <w:rPr>
          <w:b w:val="0"/>
          <w:bCs w:val="0"/>
          <w:sz w:val="24"/>
          <w:szCs w:val="24"/>
        </w:rPr>
        <w:t>Marijuana in the Fire Service: Up in Smoke, Part II</w:t>
      </w:r>
      <w:r>
        <w:rPr>
          <w:b w:val="0"/>
          <w:bCs w:val="0"/>
          <w:sz w:val="24"/>
          <w:szCs w:val="24"/>
        </w:rPr>
        <w:t xml:space="preserve">.” </w:t>
      </w:r>
      <w:hyperlink r:id="rId1895" w:anchor="gref" w:history="1">
        <w:r w:rsidRPr="00A82898">
          <w:rPr>
            <w:rStyle w:val="Hyperlink"/>
            <w:b w:val="0"/>
            <w:bCs w:val="0"/>
            <w:sz w:val="24"/>
            <w:szCs w:val="24"/>
          </w:rPr>
          <w:t>https://www.fireengineering.com/leadership/marijuana-in-the-fire-service-up-in-smoke-part-ii/#gref</w:t>
        </w:r>
      </w:hyperlink>
      <w:r w:rsidRPr="00A82898">
        <w:rPr>
          <w:b w:val="0"/>
          <w:bCs w:val="0"/>
          <w:sz w:val="24"/>
          <w:szCs w:val="24"/>
        </w:rPr>
        <w:t xml:space="preserve"> </w:t>
      </w:r>
    </w:p>
    <w:p w14:paraId="427E286B" w14:textId="7CE17B31" w:rsidR="00A82898" w:rsidRDefault="00A82898" w:rsidP="00F326E5">
      <w:pPr>
        <w:rPr>
          <w:rFonts w:ascii="Arial Black" w:hAnsi="Arial Black"/>
          <w:b/>
          <w:sz w:val="24"/>
          <w:szCs w:val="24"/>
        </w:rPr>
      </w:pPr>
    </w:p>
    <w:p w14:paraId="338F2D95" w14:textId="77777777" w:rsidR="00A82898" w:rsidRDefault="00A82898" w:rsidP="00F326E5">
      <w:pPr>
        <w:rPr>
          <w:rFonts w:ascii="Arial Black" w:hAnsi="Arial Black"/>
          <w:b/>
          <w:sz w:val="24"/>
          <w:szCs w:val="24"/>
        </w:rPr>
      </w:pPr>
    </w:p>
    <w:p w14:paraId="4AAED520" w14:textId="37F24BB6" w:rsidR="003E0A22" w:rsidRDefault="003E0A22" w:rsidP="00F326E5">
      <w:pPr>
        <w:rPr>
          <w:rFonts w:ascii="Arial Black" w:hAnsi="Arial Black"/>
          <w:b/>
          <w:sz w:val="24"/>
          <w:szCs w:val="24"/>
        </w:rPr>
      </w:pPr>
      <w:r>
        <w:rPr>
          <w:rFonts w:ascii="Arial Black" w:hAnsi="Arial Black"/>
          <w:b/>
          <w:sz w:val="24"/>
          <w:szCs w:val="24"/>
        </w:rPr>
        <w:t>12-10</w:t>
      </w:r>
    </w:p>
    <w:p w14:paraId="11740AD7" w14:textId="77777777" w:rsidR="003E0A22" w:rsidRDefault="003E0A22" w:rsidP="003E0A22">
      <w:pPr>
        <w:rPr>
          <w:rFonts w:ascii="Arial Black" w:hAnsi="Arial Black"/>
          <w:b/>
          <w:sz w:val="28"/>
          <w:szCs w:val="28"/>
        </w:rPr>
      </w:pPr>
      <w:r>
        <w:rPr>
          <w:rFonts w:ascii="Arial Black" w:hAnsi="Arial Black"/>
          <w:b/>
          <w:sz w:val="28"/>
          <w:szCs w:val="28"/>
        </w:rPr>
        <w:t>NC: DIVISION CHIEF’S DUI CONVICTION – NOT ELIGIBLE TWO PROMOTIONS 2019 – TITLE VII (RACE) DISMISSED</w:t>
      </w:r>
    </w:p>
    <w:p w14:paraId="2BD0929A" w14:textId="77777777" w:rsidR="003E0A22" w:rsidRDefault="003E0A22" w:rsidP="003E0A22">
      <w:pPr>
        <w:rPr>
          <w:rFonts w:ascii="Times New Roman" w:hAnsi="Times New Roman"/>
          <w:bCs/>
          <w:sz w:val="24"/>
          <w:szCs w:val="24"/>
        </w:rPr>
      </w:pPr>
      <w:r>
        <w:rPr>
          <w:rFonts w:ascii="Times New Roman" w:hAnsi="Times New Roman"/>
          <w:bCs/>
          <w:sz w:val="24"/>
          <w:szCs w:val="24"/>
        </w:rPr>
        <w:t xml:space="preserve">On April 1, 2021, in </w:t>
      </w:r>
      <w:r>
        <w:rPr>
          <w:rFonts w:ascii="Times New Roman" w:hAnsi="Times New Roman"/>
          <w:bCs/>
          <w:sz w:val="24"/>
          <w:szCs w:val="24"/>
          <w:u w:val="single"/>
        </w:rPr>
        <w:t>Kevin Coppage v. City of Raleigh</w:t>
      </w:r>
      <w:r>
        <w:rPr>
          <w:rFonts w:ascii="Times New Roman" w:hAnsi="Times New Roman"/>
          <w:bCs/>
          <w:sz w:val="24"/>
          <w:szCs w:val="24"/>
        </w:rPr>
        <w:t xml:space="preserve">, U.S. District Court Chief Judge Richard E, Myers, II, </w:t>
      </w:r>
      <w:r>
        <w:rPr>
          <w:rFonts w:ascii="Times New Roman" w:hAnsi="Times New Roman"/>
          <w:sz w:val="24"/>
          <w:szCs w:val="24"/>
        </w:rPr>
        <w:t xml:space="preserve">United States District Court for the Eastern District of North Carolina, </w:t>
      </w:r>
      <w:r>
        <w:rPr>
          <w:rFonts w:ascii="Times New Roman" w:hAnsi="Times New Roman"/>
          <w:bCs/>
          <w:sz w:val="24"/>
          <w:szCs w:val="24"/>
        </w:rPr>
        <w:t xml:space="preserve">granted the City’s motion to for partial dismissal of the Amended Complaint. The plaintiff, a Division Chief (highest ranking </w:t>
      </w:r>
      <w:proofErr w:type="gramStart"/>
      <w:r>
        <w:rPr>
          <w:rFonts w:ascii="Times New Roman" w:hAnsi="Times New Roman"/>
          <w:bCs/>
          <w:sz w:val="24"/>
          <w:szCs w:val="24"/>
        </w:rPr>
        <w:t>African-American</w:t>
      </w:r>
      <w:proofErr w:type="gramEnd"/>
      <w:r>
        <w:rPr>
          <w:rFonts w:ascii="Times New Roman" w:hAnsi="Times New Roman"/>
          <w:bCs/>
          <w:sz w:val="24"/>
          <w:szCs w:val="24"/>
        </w:rPr>
        <w:t xml:space="preserve"> on the fire department), was convicted of an off-duty DUI on July 10, 2019.  In Oct. 2019, he was denied promotion to Assistant Fire </w:t>
      </w:r>
      <w:proofErr w:type="gramStart"/>
      <w:r>
        <w:rPr>
          <w:rFonts w:ascii="Times New Roman" w:hAnsi="Times New Roman"/>
          <w:bCs/>
          <w:sz w:val="24"/>
          <w:szCs w:val="24"/>
        </w:rPr>
        <w:t>based</w:t>
      </w:r>
      <w:proofErr w:type="gramEnd"/>
      <w:r>
        <w:rPr>
          <w:rFonts w:ascii="Times New Roman" w:hAnsi="Times New Roman"/>
          <w:bCs/>
          <w:sz w:val="24"/>
          <w:szCs w:val="24"/>
        </w:rPr>
        <w:t xml:space="preserve"> the FD’s Administrative Directive of March 21, </w:t>
      </w:r>
      <w:proofErr w:type="gramStart"/>
      <w:r>
        <w:rPr>
          <w:rFonts w:ascii="Times New Roman" w:hAnsi="Times New Roman"/>
          <w:bCs/>
          <w:sz w:val="24"/>
          <w:szCs w:val="24"/>
        </w:rPr>
        <w:t>2019</w:t>
      </w:r>
      <w:proofErr w:type="gramEnd"/>
      <w:r>
        <w:rPr>
          <w:rFonts w:ascii="Times New Roman" w:hAnsi="Times New Roman"/>
          <w:bCs/>
          <w:sz w:val="24"/>
          <w:szCs w:val="24"/>
        </w:rPr>
        <w:t xml:space="preserve"> that </w:t>
      </w:r>
      <w:proofErr w:type="gramStart"/>
      <w:r>
        <w:rPr>
          <w:rFonts w:ascii="Times New Roman" w:hAnsi="Times New Roman"/>
          <w:bCs/>
          <w:sz w:val="24"/>
          <w:szCs w:val="24"/>
        </w:rPr>
        <w:t>employees are current promotion lists</w:t>
      </w:r>
      <w:proofErr w:type="gramEnd"/>
      <w:r>
        <w:rPr>
          <w:rFonts w:ascii="Times New Roman" w:hAnsi="Times New Roman"/>
          <w:bCs/>
          <w:sz w:val="24"/>
          <w:szCs w:val="24"/>
        </w:rPr>
        <w:t xml:space="preserve"> are ineligible upon conviction. On </w:t>
      </w:r>
      <w:r>
        <w:rPr>
          <w:rFonts w:ascii="Times New Roman" w:hAnsi="Times New Roman"/>
          <w:sz w:val="24"/>
          <w:szCs w:val="24"/>
        </w:rPr>
        <w:t>November 29, 2019, plaintiff applied for the position of Division Chief of Service and was again denied based on his DUI conviction.  In Dec. 2019, he filed EEOC charge claiming he was denied seven (7) promotions because of his race.</w:t>
      </w:r>
    </w:p>
    <w:p w14:paraId="7B94F622" w14:textId="77777777" w:rsidR="003E0A22" w:rsidRDefault="003E0A22" w:rsidP="003E0A22">
      <w:pPr>
        <w:ind w:left="1440"/>
        <w:rPr>
          <w:rFonts w:ascii="Times New Roman" w:hAnsi="Times New Roman"/>
          <w:sz w:val="24"/>
          <w:szCs w:val="24"/>
        </w:rPr>
      </w:pPr>
      <w:r>
        <w:rPr>
          <w:rFonts w:ascii="Times New Roman" w:hAnsi="Times New Roman"/>
          <w:sz w:val="24"/>
          <w:szCs w:val="24"/>
        </w:rPr>
        <w:t xml:space="preserve">“On or about March 4, 2019, when Plaintiff was off duty, he was charged with ‘driving under the influence’ (‘DUI’); he was eventually convicted of the charge on or about July 10, 2019. On or about March 21, 2019, the Fire Department's Office of the Fire Chief published an Administrative Directive titled, ‘Impaired Driving Offenses,’ which directed that ‘[a]n employee </w:t>
      </w:r>
      <w:r>
        <w:rPr>
          <w:rFonts w:ascii="Times New Roman" w:hAnsi="Times New Roman"/>
          <w:sz w:val="24"/>
          <w:szCs w:val="24"/>
        </w:rPr>
        <w:lastRenderedPageBreak/>
        <w:t xml:space="preserve">. . . [who] is eligible for promotion on a concurrent promotional list will be ineligible for the current promotion if charged and convicted with an impaired driving offense.’ While the Administrative Directive was published with an effective date of March 1, 2019, the Office of the Fire Chief issued two other policies on March 21, </w:t>
      </w:r>
      <w:proofErr w:type="gramStart"/>
      <w:r>
        <w:rPr>
          <w:rFonts w:ascii="Times New Roman" w:hAnsi="Times New Roman"/>
          <w:sz w:val="24"/>
          <w:szCs w:val="24"/>
        </w:rPr>
        <w:t>2019</w:t>
      </w:r>
      <w:proofErr w:type="gramEnd"/>
      <w:r>
        <w:rPr>
          <w:rFonts w:ascii="Times New Roman" w:hAnsi="Times New Roman"/>
          <w:sz w:val="24"/>
          <w:szCs w:val="24"/>
        </w:rPr>
        <w:t xml:space="preserve"> that had effective dates of March 21, 2019. Plaintiff believes that the Office of </w:t>
      </w:r>
      <w:proofErr w:type="gramStart"/>
      <w:r>
        <w:rPr>
          <w:rFonts w:ascii="Times New Roman" w:hAnsi="Times New Roman"/>
          <w:sz w:val="24"/>
          <w:szCs w:val="24"/>
        </w:rPr>
        <w:t>the Fire</w:t>
      </w:r>
      <w:proofErr w:type="gramEnd"/>
      <w:r>
        <w:rPr>
          <w:rFonts w:ascii="Times New Roman" w:hAnsi="Times New Roman"/>
          <w:sz w:val="24"/>
          <w:szCs w:val="24"/>
        </w:rPr>
        <w:t xml:space="preserve"> Chief had never issued new policies with effective dates prior to the publication date and that the purpose of backdating the ‘Impaired Driving Offenses’ Administrative Directive was to provide a racially neutral pretext for denying Plaintiff further promotions. Plaintiff also believes that the Fire Department has promoted white firefighters who have been subject to the March 2019 Administrative Directive.</w:t>
      </w:r>
    </w:p>
    <w:p w14:paraId="1CB36E8A" w14:textId="77777777" w:rsidR="003E0A22" w:rsidRDefault="003E0A22" w:rsidP="003E0A22">
      <w:pPr>
        <w:ind w:left="720"/>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t>***</w:t>
      </w:r>
    </w:p>
    <w:p w14:paraId="2AA46519" w14:textId="77777777" w:rsidR="003E0A22" w:rsidRDefault="003E0A22" w:rsidP="003E0A22">
      <w:pPr>
        <w:ind w:left="1440"/>
        <w:rPr>
          <w:rFonts w:ascii="Times New Roman" w:hAnsi="Times New Roman"/>
          <w:sz w:val="24"/>
          <w:szCs w:val="24"/>
        </w:rPr>
      </w:pPr>
      <w:r>
        <w:rPr>
          <w:rFonts w:ascii="Times New Roman" w:hAnsi="Times New Roman"/>
          <w:sz w:val="24"/>
          <w:szCs w:val="24"/>
        </w:rPr>
        <w:t>Plaintiff's [Dec. 2019 EEOC] charge of discrimination lists only the discrete acts of failures to promote [on 7 occasions] and does not mention Defendant's treatment of other non-white firefighters, statistics concerning non-white employees in the Department, or the application of the Administrative Directive to Plaintiff or any other employee.</w:t>
      </w:r>
    </w:p>
    <w:p w14:paraId="7FC73610" w14:textId="77777777" w:rsidR="003E0A22" w:rsidRDefault="003E0A22" w:rsidP="003E0A22">
      <w:pPr>
        <w:ind w:left="1440"/>
        <w:rPr>
          <w:rFonts w:ascii="Times New Roman" w:hAnsi="Times New Roman"/>
          <w:sz w:val="24"/>
          <w:szCs w:val="24"/>
        </w:rPr>
      </w:pPr>
      <w:r>
        <w:rPr>
          <w:rFonts w:ascii="Times New Roman" w:hAnsi="Times New Roman"/>
          <w:sz w:val="24"/>
          <w:szCs w:val="24"/>
        </w:rPr>
        <w:t>***</w:t>
      </w:r>
    </w:p>
    <w:p w14:paraId="1871F6AE" w14:textId="77777777" w:rsidR="003E0A22" w:rsidRDefault="003E0A22" w:rsidP="003E0A22">
      <w:pPr>
        <w:ind w:left="1440"/>
        <w:rPr>
          <w:rFonts w:ascii="Times New Roman" w:hAnsi="Times New Roman"/>
          <w:bCs/>
          <w:sz w:val="24"/>
          <w:szCs w:val="24"/>
        </w:rPr>
      </w:pPr>
      <w:r>
        <w:rPr>
          <w:rFonts w:ascii="Times New Roman" w:hAnsi="Times New Roman"/>
          <w:sz w:val="24"/>
          <w:szCs w:val="24"/>
        </w:rPr>
        <w:t xml:space="preserve">The court must conclude that the factual allegations in the Amended Complaint are not reasonably related to the factual allegations in </w:t>
      </w:r>
      <w:proofErr w:type="gramStart"/>
      <w:r>
        <w:rPr>
          <w:rFonts w:ascii="Times New Roman" w:hAnsi="Times New Roman"/>
          <w:sz w:val="24"/>
          <w:szCs w:val="24"/>
        </w:rPr>
        <w:t>the charge</w:t>
      </w:r>
      <w:proofErr w:type="gramEnd"/>
      <w:r>
        <w:rPr>
          <w:rFonts w:ascii="Times New Roman" w:hAnsi="Times New Roman"/>
          <w:sz w:val="24"/>
          <w:szCs w:val="24"/>
        </w:rPr>
        <w:t xml:space="preserve"> of discrimination and, therefore, the Plaintiff's hostile work environment claim has exceeded the scope of the EEOC charge. As such, Plaintiff fails to state a plausible second claim for relief having failed to exhaust required administrative remedies.” </w:t>
      </w:r>
      <w:hyperlink r:id="rId1896" w:history="1">
        <w:r w:rsidRPr="0041276B">
          <w:rPr>
            <w:rStyle w:val="Hyperlink"/>
            <w:rFonts w:ascii="Times New Roman" w:hAnsi="Times New Roman"/>
            <w:sz w:val="24"/>
            <w:szCs w:val="24"/>
          </w:rPr>
          <w:t>https://casetext.com/case/coppage-v-city-of-raleigh-1</w:t>
        </w:r>
      </w:hyperlink>
      <w:r>
        <w:rPr>
          <w:rFonts w:ascii="Times New Roman" w:hAnsi="Times New Roman"/>
          <w:sz w:val="24"/>
          <w:szCs w:val="24"/>
        </w:rPr>
        <w:t xml:space="preserve"> </w:t>
      </w:r>
    </w:p>
    <w:p w14:paraId="3F8D963A" w14:textId="77777777" w:rsidR="003E0A22" w:rsidRDefault="003E0A22" w:rsidP="003E0A22">
      <w:pPr>
        <w:rPr>
          <w:rFonts w:ascii="Times New Roman" w:hAnsi="Times New Roman"/>
          <w:b/>
          <w:bCs/>
          <w:sz w:val="24"/>
          <w:szCs w:val="24"/>
        </w:rPr>
      </w:pPr>
      <w:r>
        <w:rPr>
          <w:rFonts w:ascii="Times New Roman" w:hAnsi="Times New Roman"/>
          <w:b/>
          <w:bCs/>
          <w:sz w:val="24"/>
          <w:szCs w:val="24"/>
        </w:rPr>
        <w:t xml:space="preserve">Legal Lesson Learned: FDs may adopt DUI policy prohibiting promotion based on a DUI conviction. </w:t>
      </w:r>
    </w:p>
    <w:p w14:paraId="35C8FF2B" w14:textId="77777777" w:rsidR="003E0A22" w:rsidRPr="0026670B" w:rsidRDefault="003E0A22" w:rsidP="003E0A22">
      <w:pPr>
        <w:ind w:left="720"/>
        <w:rPr>
          <w:rFonts w:ascii="Times New Roman" w:hAnsi="Times New Roman"/>
          <w:b/>
          <w:bCs/>
          <w:sz w:val="24"/>
          <w:szCs w:val="24"/>
        </w:rPr>
      </w:pPr>
      <w:r>
        <w:rPr>
          <w:rFonts w:ascii="Times New Roman" w:hAnsi="Times New Roman"/>
          <w:sz w:val="24"/>
          <w:szCs w:val="24"/>
        </w:rPr>
        <w:t xml:space="preserve">Note:  See article on San Antonio policy (Jan. 15, 2015): “Fire dept. changes rules after firefighter DWI arrests. The change in protocol comes after three firefighters were arrested for suspected drunk driving during a seven-week period last summer.” </w:t>
      </w:r>
      <w:hyperlink r:id="rId1897" w:history="1">
        <w:r w:rsidRPr="0026670B">
          <w:rPr>
            <w:rStyle w:val="Hyperlink"/>
            <w:sz w:val="24"/>
            <w:szCs w:val="24"/>
          </w:rPr>
          <w:t>https://www.firerescue1.com/dwi/articles/fire-dept-changes-rules-after-firefighter-dwi-arrests-rmaW6QcL6R9YmTqf/</w:t>
        </w:r>
      </w:hyperlink>
      <w:r w:rsidRPr="0026670B">
        <w:rPr>
          <w:rFonts w:ascii="Times New Roman" w:hAnsi="Times New Roman"/>
          <w:sz w:val="24"/>
          <w:szCs w:val="24"/>
        </w:rPr>
        <w:t xml:space="preserve"> </w:t>
      </w:r>
    </w:p>
    <w:p w14:paraId="7AF1F520" w14:textId="77777777" w:rsidR="003E0A22" w:rsidRDefault="003E0A22" w:rsidP="003E0A22">
      <w:pPr>
        <w:ind w:left="1440"/>
        <w:rPr>
          <w:rFonts w:ascii="Times New Roman" w:hAnsi="Times New Roman"/>
          <w:b/>
          <w:bCs/>
          <w:sz w:val="24"/>
          <w:szCs w:val="24"/>
        </w:rPr>
      </w:pPr>
      <w:r>
        <w:rPr>
          <w:rFonts w:ascii="Times New Roman" w:hAnsi="Times New Roman"/>
          <w:sz w:val="24"/>
          <w:szCs w:val="24"/>
        </w:rPr>
        <w:t xml:space="preserve">“SAFD has increased suspension lengths for firefighters arrested for Driving While Intoxicated. </w:t>
      </w:r>
      <w:proofErr w:type="gramStart"/>
      <w:r>
        <w:rPr>
          <w:rFonts w:ascii="Times New Roman" w:hAnsi="Times New Roman"/>
          <w:sz w:val="24"/>
          <w:szCs w:val="24"/>
        </w:rPr>
        <w:t>A first</w:t>
      </w:r>
      <w:proofErr w:type="gramEnd"/>
      <w:r>
        <w:rPr>
          <w:rFonts w:ascii="Times New Roman" w:hAnsi="Times New Roman"/>
          <w:sz w:val="24"/>
          <w:szCs w:val="24"/>
        </w:rPr>
        <w:t xml:space="preserve"> DWI arrest now results in a 60-day suspension and mandatory alcohol abuse counseling. This suspension length is four times longer than the 15-day suspension previously given for a first offense. A second DWI arrest results in termination.” </w:t>
      </w:r>
    </w:p>
    <w:p w14:paraId="2F55CB08" w14:textId="77777777" w:rsidR="003E0A22" w:rsidRPr="0078387A" w:rsidRDefault="003E0A22" w:rsidP="003E0A22">
      <w:pPr>
        <w:pStyle w:val="Heading1"/>
        <w:ind w:left="720"/>
        <w:rPr>
          <w:b w:val="0"/>
          <w:bCs w:val="0"/>
          <w:sz w:val="24"/>
          <w:szCs w:val="24"/>
        </w:rPr>
      </w:pPr>
      <w:r w:rsidRPr="0078387A">
        <w:rPr>
          <w:b w:val="0"/>
          <w:bCs w:val="0"/>
          <w:sz w:val="24"/>
          <w:szCs w:val="24"/>
        </w:rPr>
        <w:t xml:space="preserve">See this article on firefighter DUIs in California, written by Retired Captain Rafael Ortiz, Los Angeles County Fire Department.  “What Happens if a Firefighter Drinks/Drives in their Personal Life?”  </w:t>
      </w:r>
      <w:hyperlink r:id="rId1898" w:history="1">
        <w:r w:rsidRPr="003E0A22">
          <w:rPr>
            <w:rStyle w:val="Hyperlink"/>
            <w:b w:val="0"/>
            <w:bCs w:val="0"/>
            <w:sz w:val="24"/>
            <w:szCs w:val="24"/>
          </w:rPr>
          <w:t>http://futurefirefighters.org/firefighter-drinking-driving/</w:t>
        </w:r>
      </w:hyperlink>
      <w:r w:rsidRPr="003E0A22">
        <w:rPr>
          <w:b w:val="0"/>
          <w:bCs w:val="0"/>
          <w:sz w:val="24"/>
          <w:szCs w:val="24"/>
        </w:rPr>
        <w:t xml:space="preserve"> </w:t>
      </w:r>
    </w:p>
    <w:p w14:paraId="095AB5DF" w14:textId="77777777" w:rsidR="003E0A22" w:rsidRDefault="003E0A22" w:rsidP="003E0A22">
      <w:pPr>
        <w:pStyle w:val="Heading3"/>
        <w:ind w:left="720" w:firstLine="720"/>
        <w:rPr>
          <w:rFonts w:ascii="Times New Roman" w:hAnsi="Times New Roman" w:cs="Times New Roman"/>
          <w:color w:val="auto"/>
        </w:rPr>
      </w:pPr>
      <w:r>
        <w:rPr>
          <w:rFonts w:ascii="Times New Roman" w:hAnsi="Times New Roman" w:cs="Times New Roman"/>
          <w:color w:val="auto"/>
        </w:rPr>
        <w:t xml:space="preserve">“Typical Costs and Consequences of First Offense DUI. </w:t>
      </w:r>
    </w:p>
    <w:p w14:paraId="77FFD5D2" w14:textId="77777777" w:rsidR="003E0A22" w:rsidRDefault="003E0A22" w:rsidP="003E0A22">
      <w:pPr>
        <w:pStyle w:val="NormalWeb"/>
        <w:ind w:left="1440"/>
      </w:pPr>
      <w:r>
        <w:t>These would be without any aggravated circumstances, such as collision, injury, etc.</w:t>
      </w:r>
    </w:p>
    <w:p w14:paraId="2CBAC0C4" w14:textId="77777777" w:rsidR="003E0A22" w:rsidRDefault="003E0A22" w:rsidP="003E0A22">
      <w:pPr>
        <w:pStyle w:val="NormalWeb"/>
        <w:ind w:left="1440"/>
      </w:pPr>
      <w:r>
        <w:t>• Attorney Fees: $8,500.00</w:t>
      </w:r>
      <w:r>
        <w:br/>
        <w:t>• Court fines/fees: $1,500.00</w:t>
      </w:r>
      <w:r>
        <w:br/>
        <w:t>• Court mandated classes: $500.00</w:t>
      </w:r>
      <w:r>
        <w:br/>
        <w:t>• Additional insurance of: $1200.00 (per year for three years)</w:t>
      </w:r>
      <w:r>
        <w:br/>
      </w:r>
      <w:r>
        <w:lastRenderedPageBreak/>
        <w:t>• 6 months restricted license</w:t>
      </w:r>
      <w:r>
        <w:br/>
        <w:t>• Time off work during DMV license suspension (typically 30 days)</w:t>
      </w:r>
      <w:r>
        <w:br/>
        <w:t>• Attend eight classes at Alcohol Anonymous – 12 hours</w:t>
      </w:r>
      <w:r>
        <w:br/>
        <w:t>• Attend ten classes for Alcohol Awareness – 30 hours</w:t>
      </w:r>
      <w:r>
        <w:br/>
        <w:t>• Suspension or discharges from Fire Department or various lesser charges</w:t>
      </w:r>
    </w:p>
    <w:p w14:paraId="1381F333" w14:textId="77777777" w:rsidR="003E0A22" w:rsidRDefault="003E0A22" w:rsidP="003E0A22">
      <w:pPr>
        <w:pStyle w:val="NormalWeb"/>
        <w:ind w:left="1440"/>
        <w:rPr>
          <w:rFonts w:ascii="Arial Black" w:hAnsi="Arial Black"/>
          <w:b/>
          <w:bCs/>
          <w:sz w:val="40"/>
          <w:szCs w:val="40"/>
        </w:rPr>
      </w:pPr>
      <w:r>
        <w:t xml:space="preserve">The point is, if you want to be a firefighter (or remain a firefighter), don’t drink and drive.”  </w:t>
      </w:r>
    </w:p>
    <w:p w14:paraId="654F51C4" w14:textId="77777777" w:rsidR="003E0A22" w:rsidRDefault="003E0A22" w:rsidP="00F326E5">
      <w:pPr>
        <w:rPr>
          <w:rFonts w:ascii="Arial Black" w:hAnsi="Arial Black"/>
          <w:b/>
          <w:sz w:val="24"/>
          <w:szCs w:val="24"/>
        </w:rPr>
      </w:pPr>
    </w:p>
    <w:p w14:paraId="3212C351" w14:textId="77777777" w:rsidR="003E0A22" w:rsidRDefault="003E0A22" w:rsidP="00F326E5">
      <w:pPr>
        <w:rPr>
          <w:rFonts w:ascii="Arial Black" w:hAnsi="Arial Black"/>
          <w:b/>
          <w:sz w:val="24"/>
          <w:szCs w:val="24"/>
        </w:rPr>
      </w:pPr>
    </w:p>
    <w:p w14:paraId="32A05B25" w14:textId="303310A8" w:rsidR="00AD5461" w:rsidRDefault="00AD5461" w:rsidP="00F326E5">
      <w:pPr>
        <w:rPr>
          <w:rFonts w:ascii="Arial Black" w:hAnsi="Arial Black"/>
          <w:b/>
          <w:sz w:val="24"/>
          <w:szCs w:val="24"/>
        </w:rPr>
      </w:pPr>
      <w:r>
        <w:rPr>
          <w:rFonts w:ascii="Arial Black" w:hAnsi="Arial Black"/>
          <w:b/>
          <w:sz w:val="24"/>
          <w:szCs w:val="24"/>
        </w:rPr>
        <w:t>12-9</w:t>
      </w:r>
    </w:p>
    <w:p w14:paraId="0C5E5BF4" w14:textId="77777777" w:rsidR="00AD5461" w:rsidRPr="006C3DB9" w:rsidRDefault="00AD5461" w:rsidP="00AD5461">
      <w:pPr>
        <w:pStyle w:val="NoSpacing"/>
        <w:rPr>
          <w:rFonts w:ascii="Arial Black" w:hAnsi="Arial Black"/>
          <w:sz w:val="28"/>
          <w:szCs w:val="28"/>
        </w:rPr>
      </w:pPr>
      <w:r>
        <w:rPr>
          <w:rFonts w:ascii="Arial Black" w:hAnsi="Arial Black"/>
          <w:sz w:val="28"/>
          <w:szCs w:val="28"/>
        </w:rPr>
        <w:t>PA: PHILADELPHIA CANNOT OPEN A “SAFEHOUSE” WHERE DRUG ADDICTS CAN USE DRUGS – VIOL. FEDERAL LAW</w:t>
      </w:r>
    </w:p>
    <w:p w14:paraId="1AFA66E6" w14:textId="77777777" w:rsidR="00AD5461" w:rsidRPr="0043365C" w:rsidRDefault="00AD5461" w:rsidP="00AD5461">
      <w:pPr>
        <w:tabs>
          <w:tab w:val="left" w:pos="3820"/>
        </w:tabs>
        <w:spacing w:before="100" w:beforeAutospacing="1" w:after="100" w:afterAutospacing="1" w:line="240" w:lineRule="auto"/>
        <w:rPr>
          <w:rFonts w:ascii="Times New Roman" w:hAnsi="Times New Roman"/>
          <w:sz w:val="24"/>
          <w:szCs w:val="24"/>
        </w:rPr>
      </w:pPr>
      <w:r w:rsidRPr="0043365C">
        <w:rPr>
          <w:rFonts w:ascii="Times New Roman" w:hAnsi="Times New Roman"/>
          <w:sz w:val="24"/>
          <w:szCs w:val="24"/>
        </w:rPr>
        <w:t xml:space="preserve">On Jan. 12, 2021, in </w:t>
      </w:r>
      <w:r w:rsidRPr="0043365C">
        <w:rPr>
          <w:rFonts w:ascii="Times New Roman" w:hAnsi="Times New Roman"/>
          <w:sz w:val="24"/>
          <w:szCs w:val="24"/>
          <w:u w:val="single"/>
        </w:rPr>
        <w:t>Safehouse, a Pennsylvania nonprofit corporation, et al. v. U.S. Department of Justice</w:t>
      </w:r>
      <w:r w:rsidRPr="0043365C">
        <w:rPr>
          <w:rFonts w:ascii="Times New Roman" w:hAnsi="Times New Roman"/>
          <w:sz w:val="24"/>
          <w:szCs w:val="24"/>
        </w:rPr>
        <w:t xml:space="preserve">, </w:t>
      </w:r>
      <w:r>
        <w:rPr>
          <w:rFonts w:ascii="Times New Roman" w:hAnsi="Times New Roman"/>
          <w:sz w:val="24"/>
          <w:szCs w:val="24"/>
        </w:rPr>
        <w:t xml:space="preserve">the U.S. Court of Appeals for the Third Circuit, held (2 to 1) that the U.S. District Court improperly held that Safehouses conduct would not violate the Controlled Substance Act of 1970, and denied the Government’s motion for declaratory judgment.  </w:t>
      </w:r>
    </w:p>
    <w:p w14:paraId="134A556E" w14:textId="77777777" w:rsidR="00AD5461" w:rsidRDefault="00AD5461" w:rsidP="00AD5461">
      <w:pPr>
        <w:pStyle w:val="NoSpacing"/>
        <w:ind w:left="720"/>
        <w:rPr>
          <w:rFonts w:ascii="Times New Roman" w:hAnsi="Times New Roman"/>
          <w:sz w:val="24"/>
          <w:szCs w:val="24"/>
        </w:rPr>
      </w:pPr>
      <w:r w:rsidRPr="0043365C">
        <w:rPr>
          <w:rFonts w:ascii="Times New Roman" w:hAnsi="Times New Roman"/>
          <w:sz w:val="24"/>
          <w:szCs w:val="24"/>
        </w:rPr>
        <w:t xml:space="preserve">“The opioid crisis is a grave problem that calls for creative solutions. Safehouse wants to experiment with one. Its goal, saving lives, is laudable. But it is not our job to </w:t>
      </w:r>
      <w:proofErr w:type="gramStart"/>
      <w:r w:rsidRPr="0043365C">
        <w:rPr>
          <w:rFonts w:ascii="Times New Roman" w:hAnsi="Times New Roman"/>
          <w:sz w:val="24"/>
          <w:szCs w:val="24"/>
        </w:rPr>
        <w:t>opine on</w:t>
      </w:r>
      <w:proofErr w:type="gramEnd"/>
      <w:r w:rsidRPr="0043365C">
        <w:rPr>
          <w:rFonts w:ascii="Times New Roman" w:hAnsi="Times New Roman"/>
          <w:sz w:val="24"/>
          <w:szCs w:val="24"/>
        </w:rPr>
        <w:t xml:space="preserve"> whether its experiment is wise. The statute forbids opening and maintaining any place for visitors to come use drugs. Its words are not limited to crack houses. Congress has chosen one rational approach to reducing drug use and trafficking: a flat ban. We cannot rewrite the statute. Only Congress can. </w:t>
      </w:r>
      <w:proofErr w:type="gramStart"/>
      <w:r w:rsidRPr="0043365C">
        <w:rPr>
          <w:rFonts w:ascii="Times New Roman" w:hAnsi="Times New Roman"/>
          <w:sz w:val="24"/>
          <w:szCs w:val="24"/>
        </w:rPr>
        <w:t>So</w:t>
      </w:r>
      <w:proofErr w:type="gramEnd"/>
      <w:r w:rsidRPr="0043365C">
        <w:rPr>
          <w:rFonts w:ascii="Times New Roman" w:hAnsi="Times New Roman"/>
          <w:sz w:val="24"/>
          <w:szCs w:val="24"/>
        </w:rPr>
        <w:t xml:space="preserve"> we will reverse and remand for the District Court to consider the RFRA counterclaim.”  </w:t>
      </w:r>
      <w:hyperlink r:id="rId1899" w:history="1">
        <w:r w:rsidRPr="00AA6AFA">
          <w:rPr>
            <w:rStyle w:val="Hyperlink"/>
            <w:rFonts w:ascii="Times New Roman" w:hAnsi="Times New Roman"/>
            <w:sz w:val="24"/>
            <w:szCs w:val="24"/>
          </w:rPr>
          <w:t>https://law.justia.com/cases/federal/appellate-courts/ca3/20-1422/20-1422-2021-01-12.html</w:t>
        </w:r>
      </w:hyperlink>
      <w:r>
        <w:rPr>
          <w:rFonts w:ascii="Times New Roman" w:hAnsi="Times New Roman"/>
          <w:sz w:val="24"/>
          <w:szCs w:val="24"/>
        </w:rPr>
        <w:t xml:space="preserve"> </w:t>
      </w:r>
    </w:p>
    <w:p w14:paraId="0206A222" w14:textId="77777777" w:rsidR="00AD5461" w:rsidRDefault="00AD5461" w:rsidP="00AD5461">
      <w:pPr>
        <w:spacing w:before="100" w:beforeAutospacing="1" w:after="100" w:afterAutospacing="1" w:line="240" w:lineRule="auto"/>
        <w:rPr>
          <w:rFonts w:ascii="Times New Roman" w:eastAsia="Times New Roman" w:hAnsi="Times New Roman"/>
          <w:b/>
          <w:bCs/>
          <w:sz w:val="24"/>
          <w:szCs w:val="24"/>
        </w:rPr>
      </w:pPr>
      <w:r w:rsidRPr="0015227C">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Amsterdam and other locations in Europe proved “safe sites” for drug use, but in U.S. this violates federal law.</w:t>
      </w:r>
    </w:p>
    <w:p w14:paraId="5386A4B4" w14:textId="77777777" w:rsidR="00AD5461" w:rsidRDefault="00AD5461" w:rsidP="00AD546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Report – “Drug Consumption Rooms </w:t>
      </w:r>
      <w:proofErr w:type="gramStart"/>
      <w:r>
        <w:rPr>
          <w:rFonts w:ascii="Times New Roman" w:eastAsia="Times New Roman" w:hAnsi="Times New Roman"/>
          <w:sz w:val="24"/>
          <w:szCs w:val="24"/>
        </w:rPr>
        <w:t>In</w:t>
      </w:r>
      <w:proofErr w:type="gramEnd"/>
      <w:r>
        <w:rPr>
          <w:rFonts w:ascii="Times New Roman" w:eastAsia="Times New Roman" w:hAnsi="Times New Roman"/>
          <w:sz w:val="24"/>
          <w:szCs w:val="24"/>
        </w:rPr>
        <w:t xml:space="preserve"> Europe.” </w:t>
      </w:r>
    </w:p>
    <w:p w14:paraId="6F6969A1" w14:textId="77777777" w:rsidR="00AD5461" w:rsidRPr="0015227C" w:rsidRDefault="00AD5461" w:rsidP="00AD546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15227C">
        <w:rPr>
          <w:rFonts w:ascii="Times New Roman" w:hAnsi="Times New Roman"/>
          <w:sz w:val="24"/>
          <w:szCs w:val="24"/>
        </w:rPr>
        <w:t>Clients generally report low levels of public drug use, particularly during the hours when DCR [drug consumption room] facilities are open. Respondents indicated that the main reasons for</w:t>
      </w:r>
      <w:r>
        <w:rPr>
          <w:rFonts w:ascii="Times New Roman" w:hAnsi="Times New Roman"/>
          <w:sz w:val="24"/>
          <w:szCs w:val="24"/>
        </w:rPr>
        <w:t xml:space="preserve"> </w:t>
      </w:r>
      <w:r w:rsidRPr="0015227C">
        <w:rPr>
          <w:rFonts w:ascii="Times New Roman" w:hAnsi="Times New Roman"/>
          <w:sz w:val="24"/>
          <w:szCs w:val="24"/>
        </w:rPr>
        <w:t>attending DCR facilities included safety, social interaction, and police avoidance. Clients rely heavily on the social functions of the DCR –many clients who have their own home or other private place to use their drugs still choose to regularly access DCR services and to maintain contact with peers.</w:t>
      </w:r>
      <w:r>
        <w:rPr>
          <w:rFonts w:ascii="Times New Roman" w:hAnsi="Times New Roman"/>
          <w:sz w:val="24"/>
          <w:szCs w:val="24"/>
        </w:rPr>
        <w:t xml:space="preserve">” </w:t>
      </w:r>
      <w:hyperlink r:id="rId1900" w:history="1">
        <w:r w:rsidRPr="00AA6AFA">
          <w:rPr>
            <w:rStyle w:val="Hyperlink"/>
            <w:rFonts w:ascii="Times New Roman" w:eastAsia="Times New Roman" w:hAnsi="Times New Roman"/>
            <w:sz w:val="24"/>
            <w:szCs w:val="24"/>
          </w:rPr>
          <w:t>http://www.drugconsumptionroom-international.org/images/pdf/dcr_in_rotterdam_amsterdam.pdf</w:t>
        </w:r>
      </w:hyperlink>
      <w:r>
        <w:rPr>
          <w:rFonts w:ascii="Times New Roman" w:eastAsia="Times New Roman" w:hAnsi="Times New Roman"/>
          <w:sz w:val="24"/>
          <w:szCs w:val="24"/>
        </w:rPr>
        <w:t xml:space="preserve"> </w:t>
      </w:r>
    </w:p>
    <w:p w14:paraId="1F650893" w14:textId="77777777" w:rsidR="00AD5461" w:rsidRDefault="00AD5461" w:rsidP="00F326E5">
      <w:pPr>
        <w:rPr>
          <w:rFonts w:ascii="Arial Black" w:hAnsi="Arial Black"/>
          <w:b/>
          <w:sz w:val="24"/>
          <w:szCs w:val="24"/>
        </w:rPr>
      </w:pPr>
    </w:p>
    <w:p w14:paraId="2B8A163C" w14:textId="561F4D04" w:rsidR="00557CA2" w:rsidRDefault="00557CA2" w:rsidP="00F326E5">
      <w:pPr>
        <w:rPr>
          <w:rFonts w:ascii="Arial Black" w:hAnsi="Arial Black"/>
          <w:b/>
          <w:sz w:val="24"/>
          <w:szCs w:val="24"/>
        </w:rPr>
      </w:pPr>
      <w:r>
        <w:rPr>
          <w:rFonts w:ascii="Arial Black" w:hAnsi="Arial Black"/>
          <w:b/>
          <w:sz w:val="24"/>
          <w:szCs w:val="24"/>
        </w:rPr>
        <w:t>12-8</w:t>
      </w:r>
    </w:p>
    <w:p w14:paraId="40883192" w14:textId="77777777" w:rsidR="00557CA2" w:rsidRDefault="00557CA2" w:rsidP="00557CA2">
      <w:pPr>
        <w:pStyle w:val="Heading1"/>
        <w:rPr>
          <w:rFonts w:ascii="Arial Black" w:hAnsi="Arial Black"/>
          <w:sz w:val="28"/>
          <w:szCs w:val="28"/>
        </w:rPr>
      </w:pPr>
      <w:r>
        <w:rPr>
          <w:rFonts w:ascii="Arial Black" w:hAnsi="Arial Black"/>
          <w:sz w:val="28"/>
          <w:szCs w:val="28"/>
        </w:rPr>
        <w:t xml:space="preserve">PA: TACO BELL MANAGER CALLS 911 – CUSTOMER “ASLEEP STANDING UP” – PD FIND DRUGS – CUSTOMER CONVICTED </w:t>
      </w:r>
    </w:p>
    <w:p w14:paraId="43E28C99" w14:textId="77777777" w:rsidR="00557CA2" w:rsidRDefault="00557CA2" w:rsidP="00557CA2">
      <w:pPr>
        <w:pStyle w:val="Heading1"/>
        <w:rPr>
          <w:b w:val="0"/>
          <w:bCs w:val="0"/>
          <w:sz w:val="24"/>
          <w:szCs w:val="24"/>
        </w:rPr>
      </w:pPr>
      <w:r>
        <w:rPr>
          <w:b w:val="0"/>
          <w:bCs w:val="0"/>
          <w:sz w:val="24"/>
          <w:szCs w:val="24"/>
        </w:rPr>
        <w:lastRenderedPageBreak/>
        <w:t xml:space="preserve">On Aug. 14, 2020, in </w:t>
      </w:r>
      <w:r>
        <w:rPr>
          <w:b w:val="0"/>
          <w:bCs w:val="0"/>
          <w:sz w:val="24"/>
          <w:szCs w:val="24"/>
          <w:u w:val="single"/>
        </w:rPr>
        <w:t>Commonwealth of Pennsylvania v. Obed Nunez</w:t>
      </w:r>
      <w:r>
        <w:rPr>
          <w:b w:val="0"/>
          <w:bCs w:val="0"/>
          <w:sz w:val="24"/>
          <w:szCs w:val="24"/>
        </w:rPr>
        <w:t xml:space="preserve">, Superior Court of Pennsylvania, 2020 PA Super 198, held (3 to 0) that the trial court judge properly held that the PA Overdose Immunity statute does not apply since the Taco Bell Manager William Jay called 911 because a customer was “asleep standing up,” not because the customer was necessarily having an overdose.  </w:t>
      </w:r>
      <w:proofErr w:type="gramStart"/>
      <w:r>
        <w:rPr>
          <w:b w:val="0"/>
          <w:bCs w:val="0"/>
          <w:sz w:val="24"/>
          <w:szCs w:val="24"/>
        </w:rPr>
        <w:t>Also</w:t>
      </w:r>
      <w:proofErr w:type="gramEnd"/>
      <w:r>
        <w:rPr>
          <w:b w:val="0"/>
          <w:bCs w:val="0"/>
          <w:sz w:val="24"/>
          <w:szCs w:val="24"/>
        </w:rPr>
        <w:t xml:space="preserve"> PA statute requires 911 </w:t>
      </w:r>
      <w:proofErr w:type="gramStart"/>
      <w:r>
        <w:rPr>
          <w:b w:val="0"/>
          <w:bCs w:val="0"/>
          <w:sz w:val="24"/>
          <w:szCs w:val="24"/>
        </w:rPr>
        <w:t>caller</w:t>
      </w:r>
      <w:proofErr w:type="gramEnd"/>
      <w:r>
        <w:rPr>
          <w:b w:val="0"/>
          <w:bCs w:val="0"/>
          <w:sz w:val="24"/>
          <w:szCs w:val="24"/>
        </w:rPr>
        <w:t xml:space="preserve"> to remain with overdose person. </w:t>
      </w:r>
    </w:p>
    <w:p w14:paraId="6538AC43" w14:textId="27055F52" w:rsidR="00557CA2" w:rsidRDefault="00557CA2" w:rsidP="00557CA2">
      <w:pPr>
        <w:spacing w:after="100" w:line="240" w:lineRule="auto"/>
        <w:ind w:left="720"/>
        <w:rPr>
          <w:rFonts w:ascii="Times New Roman" w:hAnsi="Times New Roman"/>
          <w:sz w:val="24"/>
          <w:szCs w:val="24"/>
        </w:rPr>
      </w:pPr>
      <w:r>
        <w:rPr>
          <w:rFonts w:ascii="Times New Roman" w:hAnsi="Times New Roman"/>
          <w:sz w:val="24"/>
          <w:szCs w:val="24"/>
        </w:rPr>
        <w:t xml:space="preserve">“However, Mr. Jay [Taco Bell Manager] did not make any statement during this call that he reasonably believed Appellant required immediate medical attention, </w:t>
      </w:r>
      <w:r>
        <w:rPr>
          <w:rFonts w:ascii="Times New Roman" w:hAnsi="Times New Roman"/>
          <w:i/>
          <w:iCs/>
          <w:sz w:val="24"/>
          <w:szCs w:val="24"/>
        </w:rPr>
        <w:t>see id.,</w:t>
      </w:r>
      <w:r>
        <w:rPr>
          <w:rFonts w:ascii="Times New Roman" w:hAnsi="Times New Roman"/>
          <w:sz w:val="24"/>
          <w:szCs w:val="24"/>
        </w:rPr>
        <w:t xml:space="preserve"> nor did Mr. Jay relay to the dispatcher that he reasonably believed Appellant was experiencing a drug overdose event, as defined by the Act.” </w:t>
      </w:r>
      <w:hyperlink r:id="rId1901" w:history="1">
        <w:r>
          <w:rPr>
            <w:rStyle w:val="Hyperlink"/>
            <w:sz w:val="24"/>
            <w:szCs w:val="24"/>
          </w:rPr>
          <w:t>https://scholar.google.com/scholar_case?case=14934683326774120071&amp;q=Pennsylvania+%22overdose+response%22&amp;hl=en&amp;scisbd=2&amp;as_sdt=6,36&amp;as_ylo=2020</w:t>
        </w:r>
      </w:hyperlink>
      <w:r>
        <w:rPr>
          <w:rFonts w:ascii="Times New Roman" w:hAnsi="Times New Roman"/>
          <w:sz w:val="24"/>
          <w:szCs w:val="24"/>
        </w:rPr>
        <w:t xml:space="preserve"> </w:t>
      </w:r>
    </w:p>
    <w:p w14:paraId="273E1DE8" w14:textId="77777777" w:rsidR="00557CA2" w:rsidRDefault="00557CA2" w:rsidP="00557CA2">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Over 40 states have enacted Drug Overdose Immunity statutes, designed to encourage fellow drug users to call 911, without fear of their own arrest.   </w:t>
      </w:r>
    </w:p>
    <w:p w14:paraId="150E1B6F" w14:textId="77777777" w:rsidR="00557CA2" w:rsidRDefault="00557CA2" w:rsidP="00557CA2">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A similar decision involving a customer in a McDonald’s restaurant, Aug. 13, 2020: Commonwealth of Pennsylvania v. Francis South, 2020 PA Super 194: </w:t>
      </w:r>
    </w:p>
    <w:p w14:paraId="593F361B" w14:textId="77777777" w:rsidR="00557CA2" w:rsidRDefault="00557CA2" w:rsidP="00557CA2">
      <w:pPr>
        <w:spacing w:after="100" w:line="240" w:lineRule="auto"/>
        <w:ind w:left="720"/>
        <w:rPr>
          <w:rFonts w:ascii="Times New Roman" w:eastAsia="Times New Roman" w:hAnsi="Times New Roman"/>
          <w:sz w:val="24"/>
          <w:szCs w:val="24"/>
        </w:rPr>
      </w:pPr>
      <w:r>
        <w:rPr>
          <w:rFonts w:ascii="Times New Roman" w:hAnsi="Times New Roman"/>
          <w:sz w:val="24"/>
          <w:szCs w:val="24"/>
        </w:rPr>
        <w:t>“During her shift, Ms. Glass called 911 and [reported that an adult white male was passed out in the restaurant, and during the call, he got up and proceeded to exit the building and stumble through the parking lot….  To qualify for immunity, it was Appellant's burden to show that Ms. Glass reasonably believed he required emergency medical care due to a drug overdose. 35 P.S. § 780-113.7(2)(</w:t>
      </w:r>
      <w:proofErr w:type="spellStart"/>
      <w:r>
        <w:rPr>
          <w:rFonts w:ascii="Times New Roman" w:hAnsi="Times New Roman"/>
          <w:sz w:val="24"/>
          <w:szCs w:val="24"/>
        </w:rPr>
        <w:t>i</w:t>
      </w:r>
      <w:proofErr w:type="spellEnd"/>
      <w:r>
        <w:rPr>
          <w:rFonts w:ascii="Times New Roman" w:hAnsi="Times New Roman"/>
          <w:sz w:val="24"/>
          <w:szCs w:val="24"/>
        </w:rPr>
        <w:t xml:space="preserve">); </w:t>
      </w:r>
      <w:hyperlink r:id="rId1902" w:history="1">
        <w:r>
          <w:rPr>
            <w:rStyle w:val="Hyperlink"/>
            <w:i/>
            <w:iCs/>
            <w:sz w:val="24"/>
            <w:szCs w:val="24"/>
          </w:rPr>
          <w:t>Lewis,</w:t>
        </w:r>
        <w:r>
          <w:rPr>
            <w:rStyle w:val="Hyperlink"/>
            <w:sz w:val="24"/>
            <w:szCs w:val="24"/>
          </w:rPr>
          <w:t xml:space="preserve"> 180 A.3d at 791</w:t>
        </w:r>
      </w:hyperlink>
      <w:r>
        <w:rPr>
          <w:rFonts w:ascii="Times New Roman" w:hAnsi="Times New Roman"/>
          <w:sz w:val="24"/>
          <w:szCs w:val="24"/>
        </w:rPr>
        <w:t xml:space="preserve">. We agree with the trial court's conclusion that there was no evidence submitted at Appellant's trial ‘which would support that Ms. Glass, as the reporter, had any reasonable belief that Appellant was in need of immediate medical attention to prevent death or serious bodily injury from a drug overdose." Trial Court Opinion, 1/10/20, at 8.’”  </w:t>
      </w:r>
      <w:hyperlink r:id="rId1903" w:history="1">
        <w:r>
          <w:rPr>
            <w:rStyle w:val="Hyperlink"/>
            <w:sz w:val="24"/>
            <w:szCs w:val="24"/>
          </w:rPr>
          <w:t>https://scholar.google.com/scholar_case?case=1228128574784444684&amp;q=Pennsylvania+%22overdose+response%22&amp;hl=en&amp;scisbd=2&amp;as_sdt=6,36&amp;as_ylo=2020</w:t>
        </w:r>
      </w:hyperlink>
      <w:r>
        <w:rPr>
          <w:rFonts w:ascii="Times New Roman" w:eastAsia="Times New Roman" w:hAnsi="Times New Roman"/>
          <w:sz w:val="24"/>
          <w:szCs w:val="24"/>
        </w:rPr>
        <w:t xml:space="preserve"> </w:t>
      </w:r>
    </w:p>
    <w:p w14:paraId="690BA045" w14:textId="77777777" w:rsidR="00557CA2" w:rsidRDefault="00557CA2" w:rsidP="00557CA2">
      <w:pPr>
        <w:spacing w:after="100" w:line="240" w:lineRule="auto"/>
        <w:ind w:left="720"/>
        <w:rPr>
          <w:rFonts w:ascii="Times New Roman" w:eastAsia="Times New Roman" w:hAnsi="Times New Roman"/>
          <w:b/>
          <w:bCs/>
          <w:sz w:val="24"/>
          <w:szCs w:val="24"/>
        </w:rPr>
      </w:pPr>
    </w:p>
    <w:p w14:paraId="7E105792" w14:textId="77777777" w:rsidR="00557CA2" w:rsidRPr="007C158F" w:rsidRDefault="00557CA2" w:rsidP="00557CA2">
      <w:pPr>
        <w:pStyle w:val="Heading2"/>
        <w:ind w:left="720"/>
        <w:rPr>
          <w:rFonts w:ascii="Times New Roman" w:eastAsiaTheme="majorEastAsia" w:hAnsi="Times New Roman"/>
          <w:b w:val="0"/>
          <w:bCs w:val="0"/>
          <w:i w:val="0"/>
          <w:iCs w:val="0"/>
          <w:sz w:val="24"/>
          <w:szCs w:val="24"/>
        </w:rPr>
      </w:pPr>
      <w:r w:rsidRPr="007C158F">
        <w:rPr>
          <w:rFonts w:ascii="Times New Roman" w:hAnsi="Times New Roman"/>
          <w:b w:val="0"/>
          <w:bCs w:val="0"/>
          <w:i w:val="0"/>
          <w:iCs w:val="0"/>
          <w:sz w:val="24"/>
          <w:szCs w:val="24"/>
        </w:rPr>
        <w:t xml:space="preserve">See also Ohio law – ORC 2925.11 Possession of controlled substances. </w:t>
      </w:r>
      <w:hyperlink r:id="rId1904" w:history="1">
        <w:r w:rsidRPr="007C158F">
          <w:rPr>
            <w:rStyle w:val="Hyperlink"/>
            <w:rFonts w:ascii="Times New Roman" w:hAnsi="Times New Roman"/>
            <w:b w:val="0"/>
            <w:bCs w:val="0"/>
            <w:i w:val="0"/>
            <w:iCs w:val="0"/>
            <w:sz w:val="24"/>
            <w:szCs w:val="24"/>
          </w:rPr>
          <w:t>https://codes.ohio.gov/orc/2925.11</w:t>
        </w:r>
      </w:hyperlink>
      <w:r w:rsidRPr="007C158F">
        <w:rPr>
          <w:rFonts w:ascii="Times New Roman" w:hAnsi="Times New Roman"/>
          <w:b w:val="0"/>
          <w:bCs w:val="0"/>
          <w:i w:val="0"/>
          <w:iCs w:val="0"/>
          <w:sz w:val="24"/>
          <w:szCs w:val="24"/>
        </w:rPr>
        <w:t xml:space="preserve"> </w:t>
      </w:r>
    </w:p>
    <w:p w14:paraId="53FC7A71" w14:textId="77777777" w:rsidR="00557CA2" w:rsidRDefault="00557CA2" w:rsidP="00557CA2">
      <w:pPr>
        <w:pStyle w:val="Heading1"/>
        <w:ind w:left="1440"/>
        <w:rPr>
          <w:b w:val="0"/>
          <w:bCs w:val="0"/>
          <w:sz w:val="24"/>
          <w:szCs w:val="24"/>
        </w:rPr>
      </w:pPr>
      <w:r>
        <w:rPr>
          <w:b w:val="0"/>
          <w:bCs w:val="0"/>
          <w:sz w:val="24"/>
          <w:szCs w:val="24"/>
        </w:rPr>
        <w:t>(viii) "Qualified individual" means a person who is not on community control or post-release control and is a person acting in good faith who seeks or obtains medical assistance for another person who is experiencing a drug overdose, a person who experiences a drug overdose and who seeks medical assistance for that overdose, or a person who is the subject of another person seeking or obtaining medical assistance for that overdose as described in division (B)(2)(b) of  this section</w:t>
      </w:r>
      <w:r>
        <w:rPr>
          <w:sz w:val="24"/>
          <w:szCs w:val="24"/>
        </w:rPr>
        <w:t>.</w:t>
      </w:r>
    </w:p>
    <w:p w14:paraId="17F22B60" w14:textId="77777777" w:rsidR="00557CA2" w:rsidRDefault="00557CA2" w:rsidP="00557CA2">
      <w:pPr>
        <w:pStyle w:val="Heading1"/>
        <w:rPr>
          <w:b w:val="0"/>
          <w:bCs w:val="0"/>
          <w:sz w:val="24"/>
          <w:szCs w:val="24"/>
        </w:rPr>
      </w:pPr>
      <w:r>
        <w:rPr>
          <w:b w:val="0"/>
          <w:bCs w:val="0"/>
          <w:sz w:val="24"/>
          <w:szCs w:val="24"/>
        </w:rPr>
        <w:tab/>
        <w:t>But there is a treatment requirement:</w:t>
      </w:r>
    </w:p>
    <w:p w14:paraId="226ACEAA" w14:textId="4AAD1061" w:rsidR="00557CA2" w:rsidRDefault="00557CA2" w:rsidP="00557CA2">
      <w:pPr>
        <w:pStyle w:val="Heading1"/>
        <w:ind w:left="1440"/>
        <w:rPr>
          <w:b w:val="0"/>
          <w:bCs w:val="0"/>
          <w:sz w:val="24"/>
          <w:szCs w:val="24"/>
        </w:rPr>
      </w:pPr>
      <w:r>
        <w:rPr>
          <w:b w:val="0"/>
          <w:bCs w:val="0"/>
          <w:sz w:val="24"/>
          <w:szCs w:val="24"/>
        </w:rPr>
        <w:t xml:space="preserve">(ii) Subject to division (B)(2)(g) of this section, within thirty days after seeking or obtaining </w:t>
      </w:r>
      <w:proofErr w:type="gramStart"/>
      <w:r>
        <w:rPr>
          <w:b w:val="0"/>
          <w:bCs w:val="0"/>
          <w:sz w:val="24"/>
          <w:szCs w:val="24"/>
        </w:rPr>
        <w:t>the medical</w:t>
      </w:r>
      <w:proofErr w:type="gramEnd"/>
      <w:r>
        <w:rPr>
          <w:b w:val="0"/>
          <w:bCs w:val="0"/>
          <w:sz w:val="24"/>
          <w:szCs w:val="24"/>
        </w:rPr>
        <w:t xml:space="preserve"> assistance, the qualified individual seeks and obtains a screening and receives a referral for treatment from a community addiction services provider or a properly credentialed addiction treatment professional.</w:t>
      </w:r>
    </w:p>
    <w:p w14:paraId="76871404" w14:textId="77777777" w:rsidR="00557CA2" w:rsidRDefault="00557CA2" w:rsidP="00557CA2">
      <w:pPr>
        <w:pStyle w:val="Heading1"/>
        <w:ind w:left="720"/>
      </w:pPr>
      <w:r>
        <w:rPr>
          <w:b w:val="0"/>
          <w:bCs w:val="0"/>
          <w:sz w:val="24"/>
          <w:szCs w:val="24"/>
        </w:rPr>
        <w:t xml:space="preserve">But see criticism: The Network </w:t>
      </w:r>
      <w:proofErr w:type="gramStart"/>
      <w:r>
        <w:rPr>
          <w:b w:val="0"/>
          <w:bCs w:val="0"/>
          <w:sz w:val="24"/>
          <w:szCs w:val="24"/>
        </w:rPr>
        <w:t>For</w:t>
      </w:r>
      <w:proofErr w:type="gramEnd"/>
      <w:r>
        <w:rPr>
          <w:b w:val="0"/>
          <w:bCs w:val="0"/>
          <w:sz w:val="24"/>
          <w:szCs w:val="24"/>
        </w:rPr>
        <w:t xml:space="preserve"> Public Health Law - “Overdose ‘Good Samaritan’ Laws Should Protect, Not Punish” (Jan. 26, 2020): </w:t>
      </w:r>
      <w:hyperlink r:id="rId1905" w:history="1">
        <w:r>
          <w:rPr>
            <w:rStyle w:val="Hyperlink"/>
            <w:rFonts w:eastAsiaTheme="majorEastAsia"/>
            <w:b w:val="0"/>
            <w:bCs w:val="0"/>
            <w:sz w:val="24"/>
            <w:szCs w:val="24"/>
          </w:rPr>
          <w:t>https://www.networkforphl.org/news-insights/overdose-good-samaritan-laws-should-protect-not-punish/</w:t>
        </w:r>
      </w:hyperlink>
      <w:r>
        <w:rPr>
          <w:b w:val="0"/>
          <w:bCs w:val="0"/>
          <w:sz w:val="24"/>
          <w:szCs w:val="24"/>
        </w:rPr>
        <w:t xml:space="preserve"> </w:t>
      </w:r>
    </w:p>
    <w:p w14:paraId="3717C980" w14:textId="77777777" w:rsidR="00557CA2" w:rsidRDefault="00557CA2" w:rsidP="00557CA2">
      <w:pPr>
        <w:pStyle w:val="NormalWeb"/>
        <w:ind w:left="1440"/>
      </w:pPr>
      <w:r>
        <w:t xml:space="preserve">“These laws have further limitations as well. In at least a </w:t>
      </w:r>
      <w:hyperlink r:id="rId1906" w:history="1">
        <w:r>
          <w:rPr>
            <w:rStyle w:val="Hyperlink"/>
            <w:rFonts w:eastAsiaTheme="majorEastAsia"/>
          </w:rPr>
          <w:t>dozen states</w:t>
        </w:r>
      </w:hyperlink>
      <w:r>
        <w:t xml:space="preserve">, the Good Samaritan is required not only to call for help but also to jump through additional hoops such as providing </w:t>
      </w:r>
      <w:r>
        <w:lastRenderedPageBreak/>
        <w:t>their full name to law enforcement, staying on the scene, and cooperating with responding officers. None of those requirements are necessary to help the person suffering from an overdose; all are likely to discourage people from calling for help.”</w:t>
      </w:r>
    </w:p>
    <w:p w14:paraId="269A0AA5" w14:textId="77777777" w:rsidR="00557CA2" w:rsidRDefault="00557CA2" w:rsidP="00557CA2">
      <w:pPr>
        <w:rPr>
          <w:rFonts w:ascii="Times New Roman" w:hAnsi="Times New Roman"/>
          <w:b/>
          <w:sz w:val="20"/>
          <w:szCs w:val="20"/>
        </w:rPr>
      </w:pPr>
    </w:p>
    <w:p w14:paraId="3B3D44AC" w14:textId="77777777" w:rsidR="00557CA2" w:rsidRDefault="00557CA2" w:rsidP="00F326E5">
      <w:pPr>
        <w:rPr>
          <w:rFonts w:ascii="Arial Black" w:hAnsi="Arial Black"/>
          <w:b/>
          <w:sz w:val="24"/>
          <w:szCs w:val="24"/>
        </w:rPr>
      </w:pPr>
    </w:p>
    <w:p w14:paraId="605C3CF9" w14:textId="6B83D2DC" w:rsidR="007105B3" w:rsidRDefault="007105B3" w:rsidP="00F326E5">
      <w:pPr>
        <w:rPr>
          <w:rFonts w:ascii="Arial Black" w:hAnsi="Arial Black"/>
          <w:b/>
          <w:sz w:val="24"/>
          <w:szCs w:val="24"/>
        </w:rPr>
      </w:pPr>
      <w:r>
        <w:rPr>
          <w:rFonts w:ascii="Arial Black" w:hAnsi="Arial Black"/>
          <w:b/>
          <w:sz w:val="24"/>
          <w:szCs w:val="24"/>
        </w:rPr>
        <w:t>12-7</w:t>
      </w:r>
    </w:p>
    <w:p w14:paraId="131EB7B1" w14:textId="77777777" w:rsidR="001C563D" w:rsidRDefault="001C563D" w:rsidP="001C563D">
      <w:pPr>
        <w:pStyle w:val="Heading1"/>
        <w:rPr>
          <w:rFonts w:ascii="Arial Black" w:hAnsi="Arial Black"/>
          <w:sz w:val="28"/>
          <w:szCs w:val="28"/>
        </w:rPr>
      </w:pPr>
      <w:r w:rsidRPr="003B2D7D">
        <w:rPr>
          <w:rFonts w:ascii="Arial Black" w:hAnsi="Arial Black"/>
          <w:sz w:val="28"/>
          <w:szCs w:val="28"/>
        </w:rPr>
        <w:t xml:space="preserve">PA: </w:t>
      </w:r>
      <w:r>
        <w:rPr>
          <w:rFonts w:ascii="Arial Black" w:hAnsi="Arial Black"/>
          <w:sz w:val="28"/>
          <w:szCs w:val="28"/>
        </w:rPr>
        <w:t>PHILADELPHIA NEW “SAFE INJECTION SITE” PROGRAM – INJUNCTION DURING COVID-19 &amp; NATIONWIDE PROTESTS</w:t>
      </w:r>
    </w:p>
    <w:p w14:paraId="1C79BBE6" w14:textId="77777777" w:rsidR="001C563D" w:rsidRPr="00F72F3E" w:rsidRDefault="001C563D" w:rsidP="001C563D">
      <w:pPr>
        <w:pStyle w:val="NoSpacing"/>
        <w:rPr>
          <w:rFonts w:ascii="Times New Roman" w:hAnsi="Times New Roman"/>
          <w:sz w:val="24"/>
          <w:szCs w:val="24"/>
        </w:rPr>
      </w:pPr>
      <w:r w:rsidRPr="003B2D7D">
        <w:rPr>
          <w:rFonts w:ascii="Times New Roman" w:hAnsi="Times New Roman"/>
          <w:sz w:val="24"/>
          <w:szCs w:val="24"/>
        </w:rPr>
        <w:t xml:space="preserve">On </w:t>
      </w:r>
      <w:r>
        <w:rPr>
          <w:rFonts w:ascii="Times New Roman" w:hAnsi="Times New Roman"/>
          <w:sz w:val="24"/>
          <w:szCs w:val="24"/>
        </w:rPr>
        <w:t xml:space="preserve">June 24, 2020, in </w:t>
      </w:r>
      <w:r w:rsidRPr="003B2D7D">
        <w:rPr>
          <w:rFonts w:ascii="Times New Roman" w:hAnsi="Times New Roman"/>
          <w:sz w:val="24"/>
          <w:szCs w:val="24"/>
          <w:u w:val="single"/>
        </w:rPr>
        <w:t>United States of America v. SAFEHOUSE</w:t>
      </w:r>
      <w:r>
        <w:rPr>
          <w:rFonts w:ascii="Times New Roman" w:hAnsi="Times New Roman"/>
          <w:sz w:val="24"/>
          <w:szCs w:val="24"/>
        </w:rPr>
        <w:t>, U.S. District Court Judge George Austin McHugh, U.S. District Court for Eastern District of Pennsylvania, ordered that the injection program in South Philadelphia be stayed.  “</w:t>
      </w:r>
      <w:r w:rsidRPr="00F72F3E">
        <w:rPr>
          <w:rFonts w:ascii="Times New Roman" w:hAnsi="Times New Roman"/>
          <w:sz w:val="24"/>
          <w:szCs w:val="24"/>
        </w:rPr>
        <w:t>Although the Government has failed to show that it will suffer harms that cannot be prevented or fully rectified by a successful appeal, the ongoing challenges posed by COVID-19 and the deep social currents and introspection following the tragic killing of Mr. Floyd make this the wrong moment for another change in the status quo. Accordingly, the Government’s request for a stay will be granted.</w:t>
      </w:r>
      <w:r>
        <w:rPr>
          <w:rFonts w:ascii="Times New Roman" w:hAnsi="Times New Roman"/>
          <w:sz w:val="24"/>
          <w:szCs w:val="24"/>
        </w:rPr>
        <w:t>”</w:t>
      </w:r>
      <w:r w:rsidRPr="00F72F3E">
        <w:t xml:space="preserve"> </w:t>
      </w:r>
      <w:hyperlink r:id="rId1907" w:history="1">
        <w:r w:rsidRPr="003B7380">
          <w:rPr>
            <w:rStyle w:val="Hyperlink"/>
            <w:rFonts w:ascii="Times New Roman" w:hAnsi="Times New Roman"/>
            <w:sz w:val="24"/>
            <w:szCs w:val="24"/>
          </w:rPr>
          <w:t>https://www.courthousenews.com/wp-content/uploads/2020/06/safehouse-pa.pdf</w:t>
        </w:r>
      </w:hyperlink>
      <w:r>
        <w:rPr>
          <w:rFonts w:ascii="Times New Roman" w:hAnsi="Times New Roman"/>
          <w:sz w:val="24"/>
          <w:szCs w:val="24"/>
        </w:rPr>
        <w:t xml:space="preserve"> </w:t>
      </w:r>
    </w:p>
    <w:p w14:paraId="15CF32E1" w14:textId="77777777" w:rsidR="001C563D" w:rsidRDefault="001C563D" w:rsidP="001C563D">
      <w:pPr>
        <w:pStyle w:val="NoSpacing"/>
        <w:rPr>
          <w:rFonts w:ascii="Times New Roman" w:hAnsi="Times New Roman"/>
          <w:b/>
          <w:bCs/>
          <w:sz w:val="24"/>
          <w:szCs w:val="24"/>
        </w:rPr>
      </w:pPr>
    </w:p>
    <w:p w14:paraId="538C0A36" w14:textId="5D68BAB2" w:rsidR="001C563D" w:rsidRPr="002B1D2F" w:rsidRDefault="001C563D" w:rsidP="001C563D">
      <w:pPr>
        <w:pStyle w:val="NoSpacing"/>
        <w:rPr>
          <w:rFonts w:ascii="Times New Roman" w:hAnsi="Times New Roman"/>
          <w:b/>
          <w:bCs/>
          <w:sz w:val="24"/>
          <w:szCs w:val="24"/>
        </w:rPr>
      </w:pPr>
      <w:r w:rsidRPr="002B1D2F">
        <w:rPr>
          <w:rFonts w:ascii="Times New Roman" w:hAnsi="Times New Roman"/>
          <w:b/>
          <w:bCs/>
          <w:sz w:val="24"/>
          <w:szCs w:val="24"/>
        </w:rPr>
        <w:t xml:space="preserve">Legal Lessons Learned: The Court has wise issued an injunction preventing the opening a “safe injection site” during the COVID-19 pandemic.  </w:t>
      </w:r>
    </w:p>
    <w:p w14:paraId="3E70ACC8" w14:textId="77777777" w:rsidR="001C563D" w:rsidRDefault="001C563D" w:rsidP="001C563D">
      <w:pPr>
        <w:pStyle w:val="NoSpacing"/>
        <w:ind w:left="720"/>
        <w:rPr>
          <w:rFonts w:ascii="Times New Roman" w:hAnsi="Times New Roman"/>
          <w:sz w:val="24"/>
          <w:szCs w:val="24"/>
        </w:rPr>
      </w:pPr>
    </w:p>
    <w:p w14:paraId="03A15578" w14:textId="77777777" w:rsidR="001C563D" w:rsidRPr="002B1D2F" w:rsidRDefault="001C563D" w:rsidP="001C563D">
      <w:pPr>
        <w:pStyle w:val="NoSpacing"/>
        <w:ind w:left="720"/>
        <w:rPr>
          <w:rFonts w:ascii="Times New Roman" w:hAnsi="Times New Roman"/>
          <w:sz w:val="24"/>
          <w:szCs w:val="24"/>
        </w:rPr>
      </w:pPr>
      <w:r w:rsidRPr="002B1D2F">
        <w:rPr>
          <w:rFonts w:ascii="Times New Roman" w:hAnsi="Times New Roman"/>
          <w:sz w:val="24"/>
          <w:szCs w:val="24"/>
        </w:rPr>
        <w:t xml:space="preserve">Note: See June 25, 2020 article, </w:t>
      </w:r>
      <w:r>
        <w:rPr>
          <w:rFonts w:ascii="Times New Roman" w:hAnsi="Times New Roman"/>
          <w:sz w:val="24"/>
          <w:szCs w:val="24"/>
        </w:rPr>
        <w:t>“</w:t>
      </w:r>
      <w:r w:rsidRPr="002B1D2F">
        <w:rPr>
          <w:rFonts w:ascii="Times New Roman" w:hAnsi="Times New Roman"/>
          <w:sz w:val="24"/>
          <w:szCs w:val="24"/>
        </w:rPr>
        <w:t>Judge Halts Opening of Safe Injection Site, Citing COVID-19 Pandemic and Protests</w:t>
      </w:r>
      <w:r>
        <w:rPr>
          <w:rFonts w:ascii="Times New Roman" w:hAnsi="Times New Roman"/>
          <w:sz w:val="24"/>
          <w:szCs w:val="24"/>
        </w:rPr>
        <w:t xml:space="preserve">” </w:t>
      </w:r>
      <w:r w:rsidRPr="002B1D2F">
        <w:rPr>
          <w:rFonts w:ascii="Times New Roman" w:hAnsi="Times New Roman"/>
          <w:sz w:val="24"/>
          <w:szCs w:val="24"/>
        </w:rPr>
        <w:t xml:space="preserve">-  A federal judge has hit pause on efforts to open the nation’s first so-called </w:t>
      </w:r>
      <w:hyperlink r:id="rId1908" w:history="1">
        <w:r w:rsidRPr="002B1D2F">
          <w:rPr>
            <w:rStyle w:val="Hyperlink"/>
            <w:rFonts w:ascii="Times New Roman" w:hAnsi="Times New Roman"/>
            <w:sz w:val="24"/>
            <w:szCs w:val="24"/>
          </w:rPr>
          <w:t>safe injection</w:t>
        </w:r>
      </w:hyperlink>
      <w:r w:rsidRPr="002B1D2F">
        <w:rPr>
          <w:rFonts w:ascii="Times New Roman" w:hAnsi="Times New Roman"/>
          <w:sz w:val="24"/>
          <w:szCs w:val="24"/>
        </w:rPr>
        <w:t xml:space="preserve"> site, where heroin users would be able to inject the drug under </w:t>
      </w:r>
      <w:hyperlink r:id="rId1909" w:history="1">
        <w:r w:rsidRPr="002B1D2F">
          <w:rPr>
            <w:rStyle w:val="Hyperlink"/>
            <w:rFonts w:ascii="Times New Roman" w:hAnsi="Times New Roman"/>
            <w:sz w:val="24"/>
            <w:szCs w:val="24"/>
          </w:rPr>
          <w:t>medical supervision</w:t>
        </w:r>
      </w:hyperlink>
      <w:r w:rsidRPr="002B1D2F">
        <w:rPr>
          <w:rFonts w:ascii="Times New Roman" w:hAnsi="Times New Roman"/>
          <w:sz w:val="24"/>
          <w:szCs w:val="24"/>
        </w:rPr>
        <w:t>, citing Philadelphia’s “frayed” nerves in the midst of a global pandemic and mounting protests for social justice reform.</w:t>
      </w:r>
    </w:p>
    <w:p w14:paraId="5F5883C8" w14:textId="77777777" w:rsidR="001C563D" w:rsidRPr="002B1D2F" w:rsidRDefault="001C563D" w:rsidP="001C563D">
      <w:pPr>
        <w:pStyle w:val="NoSpacing"/>
        <w:ind w:left="720"/>
        <w:rPr>
          <w:rFonts w:ascii="Times New Roman" w:hAnsi="Times New Roman"/>
          <w:sz w:val="24"/>
          <w:szCs w:val="24"/>
        </w:rPr>
      </w:pPr>
      <w:hyperlink r:id="rId1910" w:history="1">
        <w:r w:rsidRPr="003B7380">
          <w:rPr>
            <w:rStyle w:val="Hyperlink"/>
            <w:rFonts w:ascii="Times New Roman" w:hAnsi="Times New Roman"/>
            <w:sz w:val="24"/>
            <w:szCs w:val="24"/>
          </w:rPr>
          <w:t>https://www.law.com/thelegalintelligencer/2020/06/25/judge-halts-opening-of-safe-injection-site-citing-covid-19-pandemic-and-protests/</w:t>
        </w:r>
      </w:hyperlink>
      <w:r w:rsidRPr="002B1D2F">
        <w:rPr>
          <w:rFonts w:ascii="Times New Roman" w:hAnsi="Times New Roman"/>
          <w:sz w:val="24"/>
          <w:szCs w:val="24"/>
        </w:rPr>
        <w:t xml:space="preserve"> </w:t>
      </w:r>
    </w:p>
    <w:p w14:paraId="720C0E43" w14:textId="77777777" w:rsidR="001C563D" w:rsidRDefault="001C563D" w:rsidP="00F326E5">
      <w:pPr>
        <w:rPr>
          <w:rFonts w:ascii="Arial Black" w:hAnsi="Arial Black"/>
          <w:b/>
          <w:sz w:val="24"/>
          <w:szCs w:val="24"/>
        </w:rPr>
      </w:pPr>
    </w:p>
    <w:p w14:paraId="746F85D4" w14:textId="77777777" w:rsidR="007105B3" w:rsidRDefault="007105B3" w:rsidP="00F326E5">
      <w:pPr>
        <w:rPr>
          <w:rFonts w:ascii="Arial Black" w:hAnsi="Arial Black"/>
          <w:b/>
          <w:sz w:val="24"/>
          <w:szCs w:val="24"/>
        </w:rPr>
      </w:pPr>
    </w:p>
    <w:p w14:paraId="423860FC" w14:textId="4D9BFE17" w:rsidR="00FA7B26" w:rsidRDefault="00FA7B26" w:rsidP="00F326E5">
      <w:pPr>
        <w:rPr>
          <w:rFonts w:ascii="Arial Black" w:hAnsi="Arial Black"/>
          <w:b/>
          <w:sz w:val="24"/>
          <w:szCs w:val="24"/>
        </w:rPr>
      </w:pPr>
      <w:r>
        <w:rPr>
          <w:rFonts w:ascii="Arial Black" w:hAnsi="Arial Black"/>
          <w:b/>
          <w:sz w:val="24"/>
          <w:szCs w:val="24"/>
        </w:rPr>
        <w:t>12-6</w:t>
      </w:r>
    </w:p>
    <w:p w14:paraId="4DF99FA8" w14:textId="77777777" w:rsidR="00FA7B26" w:rsidRPr="00BE492A" w:rsidRDefault="00FA7B26" w:rsidP="00FA7B26">
      <w:pPr>
        <w:spacing w:before="100" w:beforeAutospacing="1" w:after="100" w:afterAutospacing="1" w:line="240" w:lineRule="auto"/>
        <w:rPr>
          <w:rFonts w:ascii="Arial Black" w:eastAsia="Times New Roman" w:hAnsi="Arial Black"/>
          <w:b/>
          <w:bCs/>
          <w:sz w:val="28"/>
          <w:szCs w:val="28"/>
        </w:rPr>
      </w:pPr>
      <w:bookmarkStart w:id="418" w:name="_Hlk66949143"/>
      <w:r w:rsidRPr="00BE492A">
        <w:rPr>
          <w:rFonts w:ascii="Arial Black" w:eastAsia="Times New Roman" w:hAnsi="Arial Black"/>
          <w:b/>
          <w:bCs/>
          <w:sz w:val="28"/>
          <w:szCs w:val="28"/>
        </w:rPr>
        <w:t xml:space="preserve">LA: </w:t>
      </w:r>
      <w:r>
        <w:rPr>
          <w:rFonts w:ascii="Arial Black" w:eastAsia="Times New Roman" w:hAnsi="Arial Black"/>
          <w:b/>
          <w:bCs/>
          <w:sz w:val="28"/>
          <w:szCs w:val="28"/>
        </w:rPr>
        <w:t>FF REINSTATED – FIRED FOR POSITIVE MARIJUANA – HIS DOCTOR HAD APPROVED USE OF OVER-THE-COUNTER CANNABIODAL (CBD) FOR PAIN</w:t>
      </w:r>
    </w:p>
    <w:p w14:paraId="7C6EE212" w14:textId="77777777" w:rsidR="00FA7B26" w:rsidRDefault="00FA7B26" w:rsidP="00FA7B26">
      <w:pPr>
        <w:spacing w:before="100" w:beforeAutospacing="1" w:after="100" w:afterAutospacing="1" w:line="240" w:lineRule="auto"/>
        <w:jc w:val="both"/>
        <w:rPr>
          <w:rFonts w:ascii="Times New Roman" w:hAnsi="Times New Roman"/>
          <w:sz w:val="24"/>
          <w:szCs w:val="24"/>
        </w:rPr>
      </w:pPr>
      <w:r w:rsidRPr="00BE492A">
        <w:rPr>
          <w:rFonts w:ascii="Times New Roman" w:hAnsi="Times New Roman"/>
          <w:sz w:val="24"/>
          <w:szCs w:val="24"/>
        </w:rPr>
        <w:t xml:space="preserve">On May 20, 2020, in </w:t>
      </w:r>
      <w:r w:rsidRPr="00BE492A">
        <w:rPr>
          <w:rFonts w:ascii="Times New Roman" w:hAnsi="Times New Roman"/>
          <w:sz w:val="24"/>
          <w:szCs w:val="24"/>
          <w:u w:val="single"/>
        </w:rPr>
        <w:t>Gregory Matusoff v. New Orleans Department of Fire</w:t>
      </w:r>
      <w:r>
        <w:rPr>
          <w:rFonts w:ascii="Times New Roman" w:hAnsi="Times New Roman"/>
          <w:sz w:val="24"/>
          <w:szCs w:val="24"/>
        </w:rPr>
        <w:t xml:space="preserve">, the Court of Appeal, Fourth Circuit, State of Louisiana, held (3 to 0) that City’s Civil Service Commission abused its discretion in deny the firefighter’s appeal. </w:t>
      </w:r>
      <w:hyperlink r:id="rId1911" w:history="1">
        <w:r w:rsidRPr="004A7721">
          <w:rPr>
            <w:rStyle w:val="Hyperlink"/>
            <w:sz w:val="24"/>
            <w:szCs w:val="24"/>
          </w:rPr>
          <w:t>https://www.la4th.org/opinion/2019/486077.pdf</w:t>
        </w:r>
      </w:hyperlink>
      <w:r>
        <w:rPr>
          <w:rFonts w:ascii="Times New Roman" w:hAnsi="Times New Roman"/>
          <w:sz w:val="24"/>
          <w:szCs w:val="24"/>
        </w:rPr>
        <w:t xml:space="preserve"> </w:t>
      </w:r>
    </w:p>
    <w:p w14:paraId="2895FCD6" w14:textId="1BE1D3DE" w:rsidR="00FA7B26" w:rsidRPr="00B53124" w:rsidRDefault="00FA7B26" w:rsidP="00FA7B26">
      <w:pPr>
        <w:spacing w:before="100" w:beforeAutospacing="1" w:after="100" w:afterAutospacing="1" w:line="240" w:lineRule="auto"/>
        <w:jc w:val="both"/>
        <w:rPr>
          <w:rFonts w:ascii="Times New Roman" w:eastAsia="Times New Roman" w:hAnsi="Times New Roman"/>
          <w:b/>
          <w:bCs/>
          <w:sz w:val="24"/>
          <w:szCs w:val="24"/>
        </w:rPr>
      </w:pPr>
      <w:r w:rsidRPr="00B53124">
        <w:rPr>
          <w:rFonts w:ascii="Times New Roman" w:hAnsi="Times New Roman"/>
          <w:b/>
          <w:bCs/>
          <w:sz w:val="24"/>
          <w:szCs w:val="24"/>
        </w:rPr>
        <w:t>Legal Lessons Learned:</w:t>
      </w:r>
      <w:r>
        <w:rPr>
          <w:rFonts w:ascii="Times New Roman" w:hAnsi="Times New Roman"/>
          <w:b/>
          <w:bCs/>
          <w:sz w:val="24"/>
          <w:szCs w:val="24"/>
        </w:rPr>
        <w:t xml:space="preserve">  This termination makes one wonder what the FD and the Civil Service Commission were thinking.  Suggestion to FF using CBD; ask your physician for a “prescription” or other written authorization, that you can then </w:t>
      </w:r>
      <w:r w:rsidR="00D44294">
        <w:rPr>
          <w:rFonts w:ascii="Times New Roman" w:hAnsi="Times New Roman"/>
          <w:b/>
          <w:bCs/>
          <w:sz w:val="24"/>
          <w:szCs w:val="24"/>
        </w:rPr>
        <w:t xml:space="preserve">provide to </w:t>
      </w:r>
      <w:r>
        <w:rPr>
          <w:rFonts w:ascii="Times New Roman" w:hAnsi="Times New Roman"/>
          <w:b/>
          <w:bCs/>
          <w:sz w:val="24"/>
          <w:szCs w:val="24"/>
        </w:rPr>
        <w:t xml:space="preserve">your FD. </w:t>
      </w:r>
    </w:p>
    <w:bookmarkEnd w:id="418"/>
    <w:p w14:paraId="3B830110" w14:textId="77777777" w:rsidR="00FA7B26" w:rsidRDefault="00FA7B26" w:rsidP="00F326E5">
      <w:pPr>
        <w:rPr>
          <w:rFonts w:ascii="Arial Black" w:hAnsi="Arial Black"/>
          <w:b/>
          <w:sz w:val="24"/>
          <w:szCs w:val="24"/>
        </w:rPr>
      </w:pPr>
    </w:p>
    <w:p w14:paraId="0249E464" w14:textId="07ED73E0" w:rsidR="005C30A4" w:rsidRDefault="005C30A4" w:rsidP="00F326E5">
      <w:pPr>
        <w:rPr>
          <w:rFonts w:ascii="Arial Black" w:hAnsi="Arial Black"/>
          <w:b/>
          <w:sz w:val="24"/>
          <w:szCs w:val="24"/>
        </w:rPr>
      </w:pPr>
      <w:r>
        <w:rPr>
          <w:rFonts w:ascii="Arial Black" w:hAnsi="Arial Black"/>
          <w:b/>
          <w:sz w:val="24"/>
          <w:szCs w:val="24"/>
        </w:rPr>
        <w:t>12-5</w:t>
      </w:r>
    </w:p>
    <w:p w14:paraId="197B1E2A" w14:textId="77777777" w:rsidR="005C30A4" w:rsidRPr="00514F51" w:rsidRDefault="005C30A4" w:rsidP="005C30A4">
      <w:pPr>
        <w:pStyle w:val="NoSpacing"/>
        <w:rPr>
          <w:rFonts w:ascii="Arial Black" w:hAnsi="Arial Black"/>
          <w:sz w:val="28"/>
          <w:szCs w:val="28"/>
        </w:rPr>
      </w:pPr>
      <w:bookmarkStart w:id="419" w:name="_Hlk39772175"/>
      <w:r w:rsidRPr="00514F51">
        <w:rPr>
          <w:rFonts w:ascii="Arial Black" w:hAnsi="Arial Black"/>
          <w:sz w:val="28"/>
          <w:szCs w:val="28"/>
        </w:rPr>
        <w:t>KY:</w:t>
      </w:r>
      <w:r>
        <w:rPr>
          <w:rFonts w:ascii="Arial Black" w:hAnsi="Arial Black"/>
          <w:sz w:val="28"/>
          <w:szCs w:val="28"/>
        </w:rPr>
        <w:t xml:space="preserve"> DRUG USER - GOOD SAMARITAN STATUTE – IMMUNITY FROM PROSECUTION – EVEN IF 911 CALLER LEAVES</w:t>
      </w:r>
    </w:p>
    <w:p w14:paraId="2340F6DE" w14:textId="77777777" w:rsidR="005C30A4" w:rsidRDefault="005C30A4" w:rsidP="005C30A4">
      <w:pPr>
        <w:pStyle w:val="NoSpacing"/>
        <w:ind w:left="720"/>
        <w:rPr>
          <w:rFonts w:ascii="KYArial Black" w:hAnsi="KYArial Black"/>
          <w:sz w:val="28"/>
          <w:szCs w:val="28"/>
        </w:rPr>
      </w:pPr>
    </w:p>
    <w:p w14:paraId="0E4B72AD" w14:textId="77777777" w:rsidR="005C30A4" w:rsidRPr="00465FB3" w:rsidRDefault="005C30A4" w:rsidP="005C30A4">
      <w:pPr>
        <w:pStyle w:val="NoSpacing"/>
        <w:rPr>
          <w:rFonts w:ascii="Times New Roman" w:hAnsi="Times New Roman"/>
          <w:b/>
          <w:bCs/>
          <w:sz w:val="24"/>
          <w:szCs w:val="24"/>
        </w:rPr>
      </w:pPr>
      <w:r w:rsidRPr="00465FB3">
        <w:rPr>
          <w:rFonts w:ascii="Times New Roman" w:hAnsi="Times New Roman"/>
          <w:bCs/>
          <w:sz w:val="24"/>
          <w:szCs w:val="24"/>
        </w:rPr>
        <w:t xml:space="preserve">On </w:t>
      </w:r>
      <w:bookmarkStart w:id="420" w:name="_Hlk39848381"/>
      <w:r w:rsidRPr="00465FB3">
        <w:rPr>
          <w:rFonts w:ascii="Times New Roman" w:hAnsi="Times New Roman"/>
          <w:bCs/>
          <w:sz w:val="24"/>
          <w:szCs w:val="24"/>
        </w:rPr>
        <w:t xml:space="preserve">Feb. 21, 2020, in </w:t>
      </w:r>
      <w:r w:rsidRPr="00465FB3">
        <w:rPr>
          <w:rFonts w:ascii="Times New Roman" w:hAnsi="Times New Roman"/>
          <w:bCs/>
          <w:sz w:val="24"/>
          <w:szCs w:val="24"/>
          <w:u w:val="single"/>
        </w:rPr>
        <w:t>Jeremy Logsdon v. Commonwealth of Kentucky</w:t>
      </w:r>
      <w:bookmarkEnd w:id="420"/>
      <w:r w:rsidRPr="00465FB3">
        <w:rPr>
          <w:rFonts w:ascii="Times New Roman" w:hAnsi="Times New Roman"/>
          <w:bCs/>
          <w:sz w:val="24"/>
          <w:szCs w:val="24"/>
        </w:rPr>
        <w:t>, the Kentucky Court of Appeals held (3 to 0) that the defendant enjoys immunity from prosecution, even if the 911 caller took off (had outstanding warrants) before police &amp; EMS arrived, reversing the decision of the [Boone Circuit Court] judge.</w:t>
      </w:r>
    </w:p>
    <w:p w14:paraId="7F7B0A05" w14:textId="77777777" w:rsidR="005C30A4" w:rsidRPr="00465FB3" w:rsidRDefault="005C30A4" w:rsidP="005C30A4">
      <w:pPr>
        <w:spacing w:before="100" w:beforeAutospacing="1" w:after="100" w:afterAutospacing="1" w:line="240" w:lineRule="auto"/>
        <w:ind w:left="720"/>
        <w:rPr>
          <w:rFonts w:ascii="Times New Roman" w:eastAsia="Times New Roman" w:hAnsi="Times New Roman"/>
          <w:sz w:val="24"/>
          <w:szCs w:val="24"/>
        </w:rPr>
      </w:pPr>
      <w:r w:rsidRPr="00465FB3">
        <w:rPr>
          <w:rFonts w:ascii="Times New Roman" w:eastAsia="Times New Roman" w:hAnsi="Times New Roman"/>
          <w:sz w:val="24"/>
          <w:szCs w:val="24"/>
        </w:rPr>
        <w:t xml:space="preserve">“We agree with both Appellant … that the Boone Circuit Court's ruling is not supported by a strict interpretation of KRS 218A.133(2). Throughout this </w:t>
      </w:r>
      <w:proofErr w:type="gramStart"/>
      <w:r w:rsidRPr="00465FB3">
        <w:rPr>
          <w:rFonts w:ascii="Times New Roman" w:eastAsia="Times New Roman" w:hAnsi="Times New Roman"/>
          <w:sz w:val="24"/>
          <w:szCs w:val="24"/>
        </w:rPr>
        <w:t>statute, ‘</w:t>
      </w:r>
      <w:proofErr w:type="gramEnd"/>
      <w:r w:rsidRPr="00465FB3">
        <w:rPr>
          <w:rFonts w:ascii="Times New Roman" w:eastAsia="Times New Roman" w:hAnsi="Times New Roman"/>
          <w:sz w:val="24"/>
          <w:szCs w:val="24"/>
        </w:rPr>
        <w:t>the person’ may reasonably be construed as the individual experiencing a drug overdose, and for whom a third-party caller requested medical assistance. When read in this light, KRS 218A.133(2) does not require a third-party caller to be present with the individual experiencing a drug overdose when medical personnel arrive. As such, the circuit court erred in concluding that Appellant was not entitled to the KRS 218A.133(2) exemption from prosecution. Accordingly, we REVERSE the judgment of the Boone Circuit Court.”</w:t>
      </w:r>
      <w:r w:rsidRPr="00465FB3">
        <w:rPr>
          <w:rFonts w:ascii="Times New Roman" w:hAnsi="Times New Roman"/>
          <w:sz w:val="24"/>
          <w:szCs w:val="24"/>
        </w:rPr>
        <w:t xml:space="preserve"> </w:t>
      </w:r>
      <w:bookmarkStart w:id="421" w:name="_Hlk39848396"/>
      <w:r w:rsidR="00BC38B6">
        <w:fldChar w:fldCharType="begin"/>
      </w:r>
      <w:r w:rsidR="00BC38B6">
        <w:instrText xml:space="preserve"> HYPERLINK "https://public.fastcase.com/Wl%2B2t%2BeVuI35%2FN70vAMFZhWagCVrrnIVHI5ze3ezrqb5nbCRO4xyuBvAFcv5WsVX" </w:instrText>
      </w:r>
      <w:r w:rsidR="00BC38B6">
        <w:fldChar w:fldCharType="separate"/>
      </w:r>
      <w:r w:rsidRPr="00465FB3">
        <w:rPr>
          <w:rStyle w:val="Hyperlink"/>
          <w:rFonts w:ascii="Times New Roman" w:eastAsia="Times New Roman" w:hAnsi="Times New Roman"/>
          <w:sz w:val="24"/>
          <w:szCs w:val="24"/>
        </w:rPr>
        <w:t>https://public.fastcase.com/Wl%2B2t%2BeVuI35%2FN70vAMFZhWagCVrrnIVHI5ze3ezrqb5nbCRO4xyuBvAFcv5WsVX</w:t>
      </w:r>
      <w:r w:rsidR="00BC38B6">
        <w:rPr>
          <w:rStyle w:val="Hyperlink"/>
          <w:rFonts w:ascii="Times New Roman" w:eastAsia="Times New Roman" w:hAnsi="Times New Roman"/>
          <w:sz w:val="24"/>
          <w:szCs w:val="24"/>
        </w:rPr>
        <w:fldChar w:fldCharType="end"/>
      </w:r>
      <w:bookmarkEnd w:id="419"/>
      <w:r w:rsidRPr="00465FB3">
        <w:rPr>
          <w:rFonts w:ascii="Times New Roman" w:eastAsia="Times New Roman" w:hAnsi="Times New Roman"/>
          <w:sz w:val="24"/>
          <w:szCs w:val="24"/>
        </w:rPr>
        <w:t xml:space="preserve"> </w:t>
      </w:r>
      <w:bookmarkEnd w:id="421"/>
    </w:p>
    <w:p w14:paraId="5DE247A1" w14:textId="15558E64" w:rsidR="005C30A4" w:rsidRPr="00465FB3" w:rsidRDefault="005C30A4" w:rsidP="005C30A4">
      <w:pPr>
        <w:pStyle w:val="NoSpacing"/>
        <w:rPr>
          <w:rFonts w:ascii="Times New Roman" w:eastAsia="Times New Roman" w:hAnsi="Times New Roman"/>
          <w:b/>
          <w:bCs/>
          <w:sz w:val="24"/>
          <w:szCs w:val="24"/>
        </w:rPr>
      </w:pPr>
      <w:bookmarkStart w:id="422" w:name="_Hlk40513640"/>
      <w:r w:rsidRPr="00465FB3">
        <w:rPr>
          <w:rFonts w:ascii="Times New Roman" w:hAnsi="Times New Roman"/>
          <w:b/>
          <w:bCs/>
          <w:sz w:val="24"/>
          <w:szCs w:val="24"/>
        </w:rPr>
        <w:t>Legal Lesson</w:t>
      </w:r>
      <w:r w:rsidR="00E71BA9">
        <w:rPr>
          <w:rFonts w:ascii="Times New Roman" w:hAnsi="Times New Roman"/>
          <w:b/>
          <w:bCs/>
          <w:sz w:val="24"/>
          <w:szCs w:val="24"/>
        </w:rPr>
        <w:t xml:space="preserve"> </w:t>
      </w:r>
      <w:r w:rsidRPr="00465FB3">
        <w:rPr>
          <w:rFonts w:ascii="Times New Roman" w:hAnsi="Times New Roman"/>
          <w:b/>
          <w:bCs/>
          <w:sz w:val="24"/>
          <w:szCs w:val="24"/>
        </w:rPr>
        <w:t xml:space="preserve">Learned: Many states have enacted drug-user Good Samaritan statutes, to encourage the user or friend to call 911. </w:t>
      </w:r>
    </w:p>
    <w:bookmarkEnd w:id="422"/>
    <w:p w14:paraId="02A5BE40" w14:textId="77777777" w:rsidR="005C30A4" w:rsidRDefault="005C30A4" w:rsidP="00F326E5">
      <w:pPr>
        <w:rPr>
          <w:rFonts w:ascii="Arial Black" w:hAnsi="Arial Black"/>
          <w:b/>
          <w:sz w:val="24"/>
          <w:szCs w:val="24"/>
        </w:rPr>
      </w:pPr>
    </w:p>
    <w:p w14:paraId="065B3E34" w14:textId="77777777" w:rsidR="005C30A4" w:rsidRDefault="005C30A4" w:rsidP="00F326E5">
      <w:pPr>
        <w:rPr>
          <w:rFonts w:ascii="Arial Black" w:hAnsi="Arial Black"/>
          <w:b/>
          <w:sz w:val="24"/>
          <w:szCs w:val="24"/>
        </w:rPr>
      </w:pPr>
    </w:p>
    <w:p w14:paraId="7B9EE014" w14:textId="67CB8932" w:rsidR="005C30A4" w:rsidRDefault="005C30A4" w:rsidP="00F326E5">
      <w:pPr>
        <w:rPr>
          <w:rFonts w:ascii="Arial Black" w:hAnsi="Arial Black"/>
          <w:b/>
          <w:sz w:val="24"/>
          <w:szCs w:val="24"/>
        </w:rPr>
      </w:pPr>
      <w:r>
        <w:rPr>
          <w:rFonts w:ascii="Arial Black" w:hAnsi="Arial Black"/>
          <w:b/>
          <w:sz w:val="24"/>
          <w:szCs w:val="24"/>
        </w:rPr>
        <w:t>12-4</w:t>
      </w:r>
    </w:p>
    <w:p w14:paraId="1777747A" w14:textId="77777777" w:rsidR="005C30A4" w:rsidRPr="00021226" w:rsidRDefault="005C30A4" w:rsidP="005C30A4">
      <w:pPr>
        <w:pStyle w:val="NoSpacing"/>
        <w:rPr>
          <w:rFonts w:ascii="Arial Black" w:hAnsi="Arial Black"/>
          <w:sz w:val="28"/>
          <w:szCs w:val="28"/>
        </w:rPr>
      </w:pPr>
      <w:r>
        <w:rPr>
          <w:rFonts w:ascii="Arial Black" w:hAnsi="Arial Black"/>
          <w:sz w:val="28"/>
          <w:szCs w:val="28"/>
        </w:rPr>
        <w:t>RI: DRUG USER - GOOD SAMARITAN ACT - PD FOUND 6 MARIJUANA PLANTS – IMMUNITY EVEN IF DEALER</w:t>
      </w:r>
    </w:p>
    <w:p w14:paraId="5CBC19BA" w14:textId="77777777" w:rsidR="005C30A4" w:rsidRDefault="005C30A4" w:rsidP="005C30A4">
      <w:pPr>
        <w:pStyle w:val="NoSpacing"/>
        <w:rPr>
          <w:b/>
          <w:bCs/>
          <w:sz w:val="24"/>
          <w:szCs w:val="24"/>
        </w:rPr>
      </w:pPr>
    </w:p>
    <w:p w14:paraId="3733D142" w14:textId="77777777" w:rsidR="005C30A4" w:rsidRPr="00465FB3" w:rsidRDefault="005C30A4" w:rsidP="005C30A4">
      <w:pPr>
        <w:pStyle w:val="NoSpacing"/>
        <w:rPr>
          <w:rFonts w:ascii="Times New Roman" w:hAnsi="Times New Roman"/>
          <w:b/>
          <w:bCs/>
          <w:sz w:val="24"/>
          <w:szCs w:val="24"/>
        </w:rPr>
      </w:pPr>
      <w:r w:rsidRPr="00465FB3">
        <w:rPr>
          <w:rFonts w:ascii="Times New Roman" w:hAnsi="Times New Roman"/>
          <w:bCs/>
          <w:sz w:val="24"/>
          <w:szCs w:val="24"/>
        </w:rPr>
        <w:t xml:space="preserve">On </w:t>
      </w:r>
      <w:bookmarkStart w:id="423" w:name="_Hlk39848608"/>
      <w:r w:rsidRPr="00465FB3">
        <w:rPr>
          <w:rFonts w:ascii="Times New Roman" w:hAnsi="Times New Roman"/>
          <w:bCs/>
          <w:sz w:val="24"/>
          <w:szCs w:val="24"/>
        </w:rPr>
        <w:t xml:space="preserve">Feb. 7, 2020, in </w:t>
      </w:r>
      <w:r w:rsidRPr="00465FB3">
        <w:rPr>
          <w:rFonts w:ascii="Times New Roman" w:hAnsi="Times New Roman"/>
          <w:bCs/>
          <w:sz w:val="24"/>
          <w:szCs w:val="24"/>
          <w:u w:val="single"/>
        </w:rPr>
        <w:t xml:space="preserve">State of Rhode Island v. Daniel </w:t>
      </w:r>
      <w:proofErr w:type="spellStart"/>
      <w:r w:rsidRPr="00465FB3">
        <w:rPr>
          <w:rFonts w:ascii="Times New Roman" w:hAnsi="Times New Roman"/>
          <w:bCs/>
          <w:sz w:val="24"/>
          <w:szCs w:val="24"/>
          <w:u w:val="single"/>
        </w:rPr>
        <w:t>Disalvo</w:t>
      </w:r>
      <w:proofErr w:type="spellEnd"/>
      <w:r w:rsidRPr="00465FB3">
        <w:rPr>
          <w:rFonts w:ascii="Times New Roman" w:hAnsi="Times New Roman"/>
          <w:bCs/>
          <w:sz w:val="24"/>
          <w:szCs w:val="24"/>
        </w:rPr>
        <w:t xml:space="preserve">, </w:t>
      </w:r>
      <w:bookmarkEnd w:id="423"/>
      <w:r w:rsidRPr="00465FB3">
        <w:rPr>
          <w:rFonts w:ascii="Times New Roman" w:hAnsi="Times New Roman"/>
          <w:bCs/>
          <w:sz w:val="24"/>
          <w:szCs w:val="24"/>
        </w:rPr>
        <w:t>the Superior Court (Washington County) Judge Melanie Thunberg held that the criminal complaint must be dismissed, since the defendant is covered by the Good Samaritan Act even though he appears to be a dealer.</w:t>
      </w:r>
    </w:p>
    <w:p w14:paraId="59EF9EE7" w14:textId="77777777" w:rsidR="005C30A4" w:rsidRPr="00465FB3" w:rsidRDefault="005C30A4" w:rsidP="005C30A4">
      <w:pPr>
        <w:pStyle w:val="NoSpacing"/>
        <w:rPr>
          <w:rFonts w:ascii="Times New Roman" w:hAnsi="Times New Roman"/>
          <w:b/>
          <w:bCs/>
          <w:sz w:val="24"/>
          <w:szCs w:val="24"/>
        </w:rPr>
      </w:pPr>
    </w:p>
    <w:p w14:paraId="58AFDA29" w14:textId="77777777" w:rsidR="005C30A4" w:rsidRPr="00465FB3" w:rsidRDefault="005C30A4" w:rsidP="005C30A4">
      <w:pPr>
        <w:pStyle w:val="NoSpacing"/>
        <w:ind w:left="720"/>
        <w:rPr>
          <w:rFonts w:ascii="Times New Roman" w:hAnsi="Times New Roman"/>
          <w:b/>
          <w:bCs/>
          <w:sz w:val="24"/>
          <w:szCs w:val="24"/>
        </w:rPr>
      </w:pPr>
      <w:r w:rsidRPr="00465FB3">
        <w:rPr>
          <w:rFonts w:ascii="Times New Roman" w:hAnsi="Times New Roman"/>
          <w:bCs/>
          <w:sz w:val="24"/>
          <w:szCs w:val="24"/>
        </w:rPr>
        <w:t xml:space="preserve">“At issue here is whether the State may prosecute Defendant for possession of controlled substances with the intent to deliver </w:t>
      </w:r>
      <w:proofErr w:type="gramStart"/>
      <w:r w:rsidRPr="00465FB3">
        <w:rPr>
          <w:rFonts w:ascii="Times New Roman" w:hAnsi="Times New Roman"/>
          <w:bCs/>
          <w:sz w:val="24"/>
          <w:szCs w:val="24"/>
        </w:rPr>
        <w:t>despite the fact that</w:t>
      </w:r>
      <w:proofErr w:type="gramEnd"/>
      <w:r w:rsidRPr="00465FB3">
        <w:rPr>
          <w:rFonts w:ascii="Times New Roman" w:hAnsi="Times New Roman"/>
          <w:bCs/>
          <w:sz w:val="24"/>
          <w:szCs w:val="24"/>
        </w:rPr>
        <w:t xml:space="preserve"> law enforcement would not have discovered the contraband but for Defendant’s need for medical attention. The parties dispute the application of G.L. 1956 § 21-28.9-4, the Good Samaritan Overdose Prevention Act of 2016 (the Act). Their arguments turn on whether the individual who experiences an overdose may seek immunity under the Act; whether the drug or alcohol user needs to </w:t>
      </w:r>
      <w:proofErr w:type="gramStart"/>
      <w:r w:rsidRPr="00465FB3">
        <w:rPr>
          <w:rFonts w:ascii="Times New Roman" w:hAnsi="Times New Roman"/>
          <w:bCs/>
          <w:sz w:val="24"/>
          <w:szCs w:val="24"/>
        </w:rPr>
        <w:t>actually overdose</w:t>
      </w:r>
      <w:proofErr w:type="gramEnd"/>
      <w:r w:rsidRPr="00465FB3">
        <w:rPr>
          <w:rFonts w:ascii="Times New Roman" w:hAnsi="Times New Roman"/>
          <w:bCs/>
          <w:sz w:val="24"/>
          <w:szCs w:val="24"/>
        </w:rPr>
        <w:t xml:space="preserve"> </w:t>
      </w:r>
      <w:proofErr w:type="gramStart"/>
      <w:r w:rsidRPr="00465FB3">
        <w:rPr>
          <w:rFonts w:ascii="Times New Roman" w:hAnsi="Times New Roman"/>
          <w:bCs/>
          <w:sz w:val="24"/>
          <w:szCs w:val="24"/>
        </w:rPr>
        <w:t>in order for</w:t>
      </w:r>
      <w:proofErr w:type="gramEnd"/>
      <w:r w:rsidRPr="00465FB3">
        <w:rPr>
          <w:rFonts w:ascii="Times New Roman" w:hAnsi="Times New Roman"/>
          <w:bCs/>
          <w:sz w:val="24"/>
          <w:szCs w:val="24"/>
        </w:rPr>
        <w:t xml:space="preserve"> the </w:t>
      </w:r>
      <w:proofErr w:type="gramStart"/>
      <w:r w:rsidRPr="00465FB3">
        <w:rPr>
          <w:rFonts w:ascii="Times New Roman" w:hAnsi="Times New Roman"/>
          <w:bCs/>
          <w:sz w:val="24"/>
          <w:szCs w:val="24"/>
        </w:rPr>
        <w:t>protections</w:t>
      </w:r>
      <w:proofErr w:type="gramEnd"/>
      <w:r w:rsidRPr="00465FB3">
        <w:rPr>
          <w:rFonts w:ascii="Times New Roman" w:hAnsi="Times New Roman"/>
          <w:bCs/>
          <w:sz w:val="24"/>
          <w:szCs w:val="24"/>
        </w:rPr>
        <w:t xml:space="preserve"> of the Act to apply; and whether the Act immunizes only possession related </w:t>
      </w:r>
      <w:proofErr w:type="gramStart"/>
      <w:r w:rsidRPr="00465FB3">
        <w:rPr>
          <w:rFonts w:ascii="Times New Roman" w:hAnsi="Times New Roman"/>
          <w:bCs/>
          <w:sz w:val="24"/>
          <w:szCs w:val="24"/>
        </w:rPr>
        <w:t>crimes—</w:t>
      </w:r>
      <w:proofErr w:type="gramEnd"/>
      <w:r w:rsidRPr="00465FB3">
        <w:rPr>
          <w:rFonts w:ascii="Times New Roman" w:hAnsi="Times New Roman"/>
          <w:bCs/>
          <w:sz w:val="24"/>
          <w:szCs w:val="24"/>
        </w:rPr>
        <w:t xml:space="preserve">not the crime of possession with the intent to deliver.  *** Again, the language contained in § 21-28.9-4(b) is dispositive. This section provides that qualifying individuals ‘shall not be charged or prosecuted for any crime related to the possession of a controlled substance or drug paraphernalia, possession or transportation of alcohol by an underage person, or the operation of a drug-involved premises, if the evidence. . .was gained as a result of the overdose and the need for medical assistance.’Section21-28.9-4(b) (emphasis added). *** The outcome of this dispute turns on whether the crime of unlawful possession of a controlled substance with the </w:t>
      </w:r>
      <w:r w:rsidRPr="00465FB3">
        <w:rPr>
          <w:rFonts w:ascii="Times New Roman" w:hAnsi="Times New Roman"/>
          <w:bCs/>
          <w:sz w:val="24"/>
          <w:szCs w:val="24"/>
        </w:rPr>
        <w:lastRenderedPageBreak/>
        <w:t xml:space="preserve">intent to distribute is a crime ‘related to the possession of a controlled substance.’ Id. Clearly, it is.  An individual must possess the controlled substances with which he or she intends to distribute </w:t>
      </w:r>
      <w:proofErr w:type="gramStart"/>
      <w:r w:rsidRPr="00465FB3">
        <w:rPr>
          <w:rFonts w:ascii="Times New Roman" w:hAnsi="Times New Roman"/>
          <w:bCs/>
          <w:sz w:val="24"/>
          <w:szCs w:val="24"/>
        </w:rPr>
        <w:t>in order to</w:t>
      </w:r>
      <w:proofErr w:type="gramEnd"/>
      <w:r w:rsidRPr="00465FB3">
        <w:rPr>
          <w:rFonts w:ascii="Times New Roman" w:hAnsi="Times New Roman"/>
          <w:bCs/>
          <w:sz w:val="24"/>
          <w:szCs w:val="24"/>
        </w:rPr>
        <w:t xml:space="preserve"> be guilty of possession with the intent to deliver. Moreover, the unambiguous language of § 21-28.9-4(b) establishes that the Legislature intended that the individual who </w:t>
      </w:r>
      <w:proofErr w:type="gramStart"/>
      <w:r w:rsidRPr="00465FB3">
        <w:rPr>
          <w:rFonts w:ascii="Times New Roman" w:hAnsi="Times New Roman"/>
          <w:bCs/>
          <w:sz w:val="24"/>
          <w:szCs w:val="24"/>
        </w:rPr>
        <w:t>overdoses</w:t>
      </w:r>
      <w:proofErr w:type="gramEnd"/>
      <w:r w:rsidRPr="00465FB3">
        <w:rPr>
          <w:rFonts w:ascii="Times New Roman" w:hAnsi="Times New Roman"/>
          <w:bCs/>
          <w:sz w:val="24"/>
          <w:szCs w:val="24"/>
        </w:rPr>
        <w:t xml:space="preserve"> or experiences a drug-or alcohol-related medical emergency receive immunity for ‘any crime related to the possession of a controlled substance or drug paraphernalia. . . .’ Section 21-28.9-4(b) (emphasis added). The Legislature chose to use the words ‘any crime related to the possession of a controlled substance’ to delineate the crimes that would fall under the umbrella of protection afforded by the Act. The Legislature could have carved out crimes related to the delivery or distribution of controlled substances; however, as demonstrated by the existing statute, it did not.</w:t>
      </w:r>
    </w:p>
    <w:bookmarkStart w:id="424" w:name="_Hlk39848627"/>
    <w:p w14:paraId="6D51335B" w14:textId="77777777" w:rsidR="005C30A4" w:rsidRPr="00465FB3" w:rsidRDefault="00BC38B6" w:rsidP="005C30A4">
      <w:pPr>
        <w:pStyle w:val="NoSpacing"/>
        <w:ind w:left="720"/>
        <w:rPr>
          <w:rFonts w:ascii="Times New Roman" w:hAnsi="Times New Roman"/>
          <w:b/>
          <w:bCs/>
          <w:sz w:val="24"/>
          <w:szCs w:val="24"/>
        </w:rPr>
      </w:pPr>
      <w:r>
        <w:fldChar w:fldCharType="begin"/>
      </w:r>
      <w:r>
        <w:instrText xml:space="preserve"> HYPERLINK "https://cases.justia.com/rhode-island/superior-court/2020-18-0273.pdf?ts=1581362174" </w:instrText>
      </w:r>
      <w:r>
        <w:fldChar w:fldCharType="separate"/>
      </w:r>
      <w:r w:rsidR="005C30A4" w:rsidRPr="00465FB3">
        <w:rPr>
          <w:rStyle w:val="Hyperlink"/>
          <w:rFonts w:ascii="Times New Roman" w:hAnsi="Times New Roman"/>
          <w:bCs/>
          <w:sz w:val="24"/>
          <w:szCs w:val="24"/>
        </w:rPr>
        <w:t>https://cases.justia.com/rhode-island/superior-court/2020-18-0273.pdf?ts=1581362174</w:t>
      </w:r>
      <w:r>
        <w:rPr>
          <w:rStyle w:val="Hyperlink"/>
          <w:rFonts w:ascii="Times New Roman" w:hAnsi="Times New Roman"/>
          <w:bCs/>
          <w:sz w:val="24"/>
          <w:szCs w:val="24"/>
        </w:rPr>
        <w:fldChar w:fldCharType="end"/>
      </w:r>
      <w:r w:rsidR="005C30A4" w:rsidRPr="00465FB3">
        <w:rPr>
          <w:rFonts w:ascii="Times New Roman" w:hAnsi="Times New Roman"/>
          <w:bCs/>
          <w:sz w:val="24"/>
          <w:szCs w:val="24"/>
        </w:rPr>
        <w:t xml:space="preserve"> </w:t>
      </w:r>
    </w:p>
    <w:bookmarkEnd w:id="424"/>
    <w:p w14:paraId="5F2C0971" w14:textId="77777777" w:rsidR="005C30A4" w:rsidRPr="00465FB3" w:rsidRDefault="005C30A4" w:rsidP="005C30A4">
      <w:pPr>
        <w:pStyle w:val="NoSpacing"/>
        <w:ind w:left="720"/>
        <w:rPr>
          <w:rFonts w:ascii="Times New Roman" w:hAnsi="Times New Roman"/>
          <w:b/>
          <w:bCs/>
          <w:sz w:val="24"/>
          <w:szCs w:val="24"/>
        </w:rPr>
      </w:pPr>
    </w:p>
    <w:p w14:paraId="553BE63D" w14:textId="77777777" w:rsidR="005C30A4" w:rsidRPr="00465FB3" w:rsidRDefault="005C30A4" w:rsidP="005C30A4">
      <w:pPr>
        <w:pStyle w:val="NoSpacing"/>
        <w:rPr>
          <w:rFonts w:ascii="Times New Roman" w:hAnsi="Times New Roman"/>
          <w:b/>
          <w:bCs/>
          <w:sz w:val="24"/>
          <w:szCs w:val="24"/>
        </w:rPr>
      </w:pPr>
      <w:r w:rsidRPr="00465FB3">
        <w:rPr>
          <w:rFonts w:ascii="Times New Roman" w:hAnsi="Times New Roman"/>
          <w:b/>
          <w:bCs/>
          <w:sz w:val="24"/>
          <w:szCs w:val="24"/>
        </w:rPr>
        <w:t xml:space="preserve">Legal Lessons Learned: This Good Samaritan Act was written to broadly protect drug users and others who call 911 for help. </w:t>
      </w:r>
    </w:p>
    <w:p w14:paraId="607C312D" w14:textId="77777777" w:rsidR="005C30A4" w:rsidRDefault="005C30A4" w:rsidP="00F326E5">
      <w:pPr>
        <w:rPr>
          <w:rFonts w:ascii="Arial Black" w:hAnsi="Arial Black"/>
          <w:b/>
          <w:sz w:val="24"/>
          <w:szCs w:val="24"/>
        </w:rPr>
      </w:pPr>
    </w:p>
    <w:p w14:paraId="483A2F1F" w14:textId="77777777" w:rsidR="005C30A4" w:rsidRDefault="005C30A4" w:rsidP="00F326E5">
      <w:pPr>
        <w:rPr>
          <w:rFonts w:ascii="Arial Black" w:hAnsi="Arial Black"/>
          <w:b/>
          <w:sz w:val="24"/>
          <w:szCs w:val="24"/>
        </w:rPr>
      </w:pPr>
    </w:p>
    <w:p w14:paraId="4323B294" w14:textId="77777777" w:rsidR="005C30A4" w:rsidRDefault="005C30A4" w:rsidP="00F326E5">
      <w:pPr>
        <w:rPr>
          <w:rFonts w:ascii="Arial Black" w:hAnsi="Arial Black"/>
          <w:b/>
          <w:sz w:val="24"/>
          <w:szCs w:val="24"/>
        </w:rPr>
      </w:pPr>
    </w:p>
    <w:p w14:paraId="2E040259" w14:textId="7B2E87FB" w:rsidR="00A52325" w:rsidRDefault="00A52325" w:rsidP="00F326E5">
      <w:pPr>
        <w:rPr>
          <w:rFonts w:ascii="Arial Black" w:hAnsi="Arial Black"/>
          <w:b/>
          <w:sz w:val="24"/>
          <w:szCs w:val="24"/>
        </w:rPr>
      </w:pPr>
      <w:r>
        <w:rPr>
          <w:rFonts w:ascii="Arial Black" w:hAnsi="Arial Black"/>
          <w:b/>
          <w:sz w:val="24"/>
          <w:szCs w:val="24"/>
        </w:rPr>
        <w:t>12-3</w:t>
      </w:r>
    </w:p>
    <w:p w14:paraId="6C5A2033" w14:textId="77777777" w:rsidR="00A52325" w:rsidRDefault="00A52325" w:rsidP="00A52325">
      <w:pPr>
        <w:pStyle w:val="NoSpacing"/>
        <w:rPr>
          <w:rFonts w:ascii="Arial Black" w:hAnsi="Arial Black"/>
          <w:sz w:val="28"/>
          <w:szCs w:val="28"/>
        </w:rPr>
      </w:pPr>
      <w:bookmarkStart w:id="425" w:name="_Hlk39772024"/>
      <w:bookmarkStart w:id="426" w:name="_Hlk41155561"/>
      <w:r>
        <w:rPr>
          <w:rFonts w:ascii="Arial Black" w:hAnsi="Arial Black"/>
          <w:sz w:val="28"/>
          <w:szCs w:val="28"/>
        </w:rPr>
        <w:t>IL: PARAMEDIC USING SQUAD FENTANYL – HOSPITAL FOUND PIN HOLES IN VIALS – CONVICTION UPHELD</w:t>
      </w:r>
    </w:p>
    <w:p w14:paraId="58922B2E" w14:textId="77777777" w:rsidR="00A52325" w:rsidRDefault="00A52325" w:rsidP="00A52325">
      <w:pPr>
        <w:pStyle w:val="NoSpacing"/>
        <w:rPr>
          <w:rFonts w:ascii="Times New Roman" w:hAnsi="Times New Roman"/>
          <w:sz w:val="24"/>
          <w:szCs w:val="24"/>
        </w:rPr>
      </w:pPr>
    </w:p>
    <w:p w14:paraId="7A8F57DA" w14:textId="77777777" w:rsidR="00A52325" w:rsidRDefault="00A52325" w:rsidP="00A52325">
      <w:pPr>
        <w:pStyle w:val="NoSpacing"/>
        <w:rPr>
          <w:rFonts w:ascii="Times New Roman" w:hAnsi="Times New Roman"/>
          <w:sz w:val="24"/>
          <w:szCs w:val="24"/>
        </w:rPr>
      </w:pPr>
      <w:r>
        <w:rPr>
          <w:rFonts w:ascii="Times New Roman" w:hAnsi="Times New Roman"/>
          <w:sz w:val="24"/>
          <w:szCs w:val="24"/>
        </w:rPr>
        <w:t xml:space="preserve">On </w:t>
      </w:r>
      <w:bookmarkStart w:id="427" w:name="_Hlk39849052"/>
      <w:r>
        <w:rPr>
          <w:rFonts w:ascii="Times New Roman" w:hAnsi="Times New Roman"/>
          <w:sz w:val="24"/>
          <w:szCs w:val="24"/>
        </w:rPr>
        <w:t xml:space="preserve">Dec. 6, 2019, in </w:t>
      </w:r>
      <w:r>
        <w:rPr>
          <w:rFonts w:ascii="Times New Roman" w:hAnsi="Times New Roman"/>
          <w:sz w:val="24"/>
          <w:szCs w:val="24"/>
          <w:u w:val="single"/>
        </w:rPr>
        <w:t>United States v. Jason Laut</w:t>
      </w:r>
      <w:bookmarkEnd w:id="427"/>
      <w:r>
        <w:rPr>
          <w:rFonts w:ascii="Times New Roman" w:hAnsi="Times New Roman"/>
          <w:sz w:val="24"/>
          <w:szCs w:val="24"/>
        </w:rPr>
        <w:t>, the U.S. Court of Appeals for the 7</w:t>
      </w:r>
      <w:r>
        <w:rPr>
          <w:rFonts w:ascii="Times New Roman" w:hAnsi="Times New Roman"/>
          <w:sz w:val="24"/>
          <w:szCs w:val="24"/>
          <w:vertAlign w:val="superscript"/>
        </w:rPr>
        <w:t>th</w:t>
      </w:r>
      <w:r>
        <w:rPr>
          <w:rFonts w:ascii="Times New Roman" w:hAnsi="Times New Roman"/>
          <w:sz w:val="24"/>
          <w:szCs w:val="24"/>
        </w:rPr>
        <w:t xml:space="preserve"> Circuit (Chicago), held (3 to 0) that in a nonprecedential disposition that his jury conviction was affirmed. </w:t>
      </w:r>
    </w:p>
    <w:p w14:paraId="682A45B9" w14:textId="77777777" w:rsidR="00A52325" w:rsidRDefault="00A52325" w:rsidP="00A52325">
      <w:pPr>
        <w:pStyle w:val="NoSpacing"/>
        <w:rPr>
          <w:rFonts w:ascii="Times New Roman" w:hAnsi="Times New Roman"/>
          <w:sz w:val="24"/>
          <w:szCs w:val="24"/>
        </w:rPr>
      </w:pPr>
    </w:p>
    <w:p w14:paraId="38C1AA0B" w14:textId="77777777" w:rsidR="00A52325" w:rsidRDefault="00A52325" w:rsidP="00A52325">
      <w:pPr>
        <w:pStyle w:val="NoSpacing"/>
        <w:ind w:left="720"/>
        <w:rPr>
          <w:rFonts w:ascii="Times New Roman" w:hAnsi="Times New Roman"/>
          <w:sz w:val="24"/>
          <w:szCs w:val="24"/>
        </w:rPr>
      </w:pPr>
      <w:r>
        <w:rPr>
          <w:rFonts w:ascii="Times New Roman" w:hAnsi="Times New Roman"/>
          <w:sz w:val="24"/>
          <w:szCs w:val="24"/>
        </w:rPr>
        <w:t>“Specifically, the government stated that Laut had tampered with fentanyl vials ‘57 times in 2014, 28 times in 2015; and repeatedly referred to the ‘85 tampered vials.’ Also, when describing the 2015 tampering, the government stated that pharmacists discovered the tampered vials ‘after Jason Laut’s tampering had already been caught once ... but he got away with it.’ *** The jury found Laut guilty on all 38 counts.</w:t>
      </w:r>
    </w:p>
    <w:bookmarkStart w:id="428" w:name="_Hlk39849070"/>
    <w:p w14:paraId="78A527AF" w14:textId="77777777" w:rsidR="00A52325" w:rsidRDefault="00BC38B6" w:rsidP="00A52325">
      <w:pPr>
        <w:pStyle w:val="NoSpacing"/>
        <w:ind w:left="720"/>
        <w:rPr>
          <w:rFonts w:ascii="Times New Roman" w:hAnsi="Times New Roman"/>
          <w:sz w:val="24"/>
          <w:szCs w:val="24"/>
        </w:rPr>
      </w:pPr>
      <w:r>
        <w:fldChar w:fldCharType="begin"/>
      </w:r>
      <w:r>
        <w:instrText xml:space="preserve"> HYPERLINK "http://media.ca7.uscourts.gov/cgi-bin/rssExec.pl?Submit=Display&amp;Path=Y2019/D12-06/C:18-2843:J:PerCuriam:aut:T:npDp:N:2440892:S:0" </w:instrText>
      </w:r>
      <w:r>
        <w:fldChar w:fldCharType="separate"/>
      </w:r>
      <w:r w:rsidR="00A52325">
        <w:rPr>
          <w:rStyle w:val="Hyperlink"/>
          <w:rFonts w:ascii="Times New Roman" w:hAnsi="Times New Roman"/>
          <w:sz w:val="24"/>
          <w:szCs w:val="24"/>
        </w:rPr>
        <w:t>http://media.ca7.uscourts.gov/cgi-bin/rssExec.pl?Submit=Display&amp;Path=Y2019/D12-06/C:18-2843:J:PerCuriam:aut:T:npDp:N:2440892:S:0</w:t>
      </w:r>
      <w:r>
        <w:rPr>
          <w:rStyle w:val="Hyperlink"/>
          <w:rFonts w:ascii="Times New Roman" w:hAnsi="Times New Roman"/>
          <w:sz w:val="24"/>
          <w:szCs w:val="24"/>
        </w:rPr>
        <w:fldChar w:fldCharType="end"/>
      </w:r>
      <w:r w:rsidR="00A52325">
        <w:rPr>
          <w:rFonts w:ascii="Times New Roman" w:hAnsi="Times New Roman"/>
          <w:sz w:val="24"/>
          <w:szCs w:val="24"/>
        </w:rPr>
        <w:t xml:space="preserve"> </w:t>
      </w:r>
    </w:p>
    <w:p w14:paraId="208CA5FC" w14:textId="56C65859" w:rsidR="00A52325" w:rsidRPr="00E71BA9" w:rsidRDefault="00A52325" w:rsidP="00A52325">
      <w:pPr>
        <w:spacing w:before="100" w:beforeAutospacing="1" w:after="100" w:afterAutospacing="1" w:line="240" w:lineRule="auto"/>
        <w:rPr>
          <w:rFonts w:ascii="Times New Roman" w:hAnsi="Times New Roman"/>
          <w:b/>
          <w:bCs/>
          <w:sz w:val="24"/>
          <w:szCs w:val="24"/>
        </w:rPr>
      </w:pPr>
      <w:bookmarkStart w:id="429" w:name="_Hlk40513758"/>
      <w:bookmarkEnd w:id="425"/>
      <w:bookmarkEnd w:id="428"/>
      <w:r>
        <w:rPr>
          <w:rFonts w:ascii="Times New Roman" w:hAnsi="Times New Roman"/>
          <w:b/>
          <w:bCs/>
          <w:sz w:val="24"/>
          <w:szCs w:val="24"/>
        </w:rPr>
        <w:t xml:space="preserve">Legal Lesson Learned: Conduct training of all </w:t>
      </w:r>
      <w:r w:rsidR="00E71BA9">
        <w:rPr>
          <w:rFonts w:ascii="Times New Roman" w:hAnsi="Times New Roman"/>
          <w:b/>
          <w:bCs/>
          <w:sz w:val="24"/>
          <w:szCs w:val="24"/>
        </w:rPr>
        <w:t xml:space="preserve">FD </w:t>
      </w:r>
      <w:r>
        <w:rPr>
          <w:rFonts w:ascii="Times New Roman" w:hAnsi="Times New Roman"/>
          <w:b/>
          <w:bCs/>
          <w:sz w:val="24"/>
          <w:szCs w:val="24"/>
        </w:rPr>
        <w:t>personnel on tamperin</w:t>
      </w:r>
      <w:r w:rsidR="00E71BA9">
        <w:rPr>
          <w:rFonts w:ascii="Times New Roman" w:hAnsi="Times New Roman"/>
          <w:b/>
          <w:bCs/>
          <w:sz w:val="24"/>
          <w:szCs w:val="24"/>
        </w:rPr>
        <w:t xml:space="preserve">g.   </w:t>
      </w:r>
      <w:r w:rsidR="00E71BA9" w:rsidRPr="00E71BA9">
        <w:rPr>
          <w:rFonts w:ascii="Times New Roman" w:hAnsi="Times New Roman"/>
          <w:sz w:val="24"/>
          <w:szCs w:val="24"/>
        </w:rPr>
        <w:t xml:space="preserve">Note:  See this web site: </w:t>
      </w:r>
      <w:hyperlink r:id="rId1912" w:history="1">
        <w:r w:rsidRPr="00E71BA9">
          <w:rPr>
            <w:rStyle w:val="Hyperlink"/>
            <w:rFonts w:ascii="Times New Roman" w:hAnsi="Times New Roman"/>
            <w:sz w:val="24"/>
            <w:szCs w:val="24"/>
          </w:rPr>
          <w:t>http://www.diversionspecialists.com/wp-content/uploads/Considerations-When-Tampering-Occurs.pdf</w:t>
        </w:r>
      </w:hyperlink>
      <w:r w:rsidRPr="00E71BA9">
        <w:rPr>
          <w:rFonts w:ascii="Times New Roman" w:hAnsi="Times New Roman"/>
          <w:b/>
          <w:bCs/>
          <w:sz w:val="24"/>
          <w:szCs w:val="24"/>
        </w:rPr>
        <w:t xml:space="preserve"> </w:t>
      </w:r>
    </w:p>
    <w:bookmarkEnd w:id="426"/>
    <w:bookmarkEnd w:id="429"/>
    <w:p w14:paraId="160E7F52" w14:textId="2BFBF2E1" w:rsidR="00A52325" w:rsidRDefault="00A52325" w:rsidP="00F326E5">
      <w:pPr>
        <w:rPr>
          <w:rFonts w:ascii="Times New Roman" w:hAnsi="Times New Roman"/>
          <w:bCs/>
          <w:sz w:val="24"/>
          <w:szCs w:val="24"/>
        </w:rPr>
      </w:pPr>
    </w:p>
    <w:p w14:paraId="7BA16672" w14:textId="77777777" w:rsidR="00E658E1" w:rsidRPr="00A52325" w:rsidRDefault="00E658E1" w:rsidP="00F326E5">
      <w:pPr>
        <w:rPr>
          <w:rFonts w:ascii="Times New Roman" w:hAnsi="Times New Roman"/>
          <w:bCs/>
          <w:sz w:val="24"/>
          <w:szCs w:val="24"/>
        </w:rPr>
      </w:pPr>
    </w:p>
    <w:p w14:paraId="6C0B8382" w14:textId="77777777" w:rsidR="00A52325" w:rsidRDefault="00A52325" w:rsidP="00F326E5">
      <w:pPr>
        <w:rPr>
          <w:rFonts w:ascii="Arial Black" w:hAnsi="Arial Black"/>
          <w:b/>
          <w:sz w:val="24"/>
          <w:szCs w:val="24"/>
        </w:rPr>
      </w:pPr>
    </w:p>
    <w:p w14:paraId="689E5B5E" w14:textId="6ADAEEE4" w:rsidR="009F0F05" w:rsidRDefault="009F0F05" w:rsidP="00F326E5">
      <w:pPr>
        <w:rPr>
          <w:rFonts w:ascii="Arial Black" w:hAnsi="Arial Black"/>
          <w:b/>
          <w:sz w:val="24"/>
          <w:szCs w:val="24"/>
        </w:rPr>
      </w:pPr>
      <w:r>
        <w:rPr>
          <w:rFonts w:ascii="Arial Black" w:hAnsi="Arial Black"/>
          <w:b/>
          <w:sz w:val="24"/>
          <w:szCs w:val="24"/>
        </w:rPr>
        <w:t>12-2</w:t>
      </w:r>
    </w:p>
    <w:p w14:paraId="511B0FF8" w14:textId="77777777" w:rsidR="009F0F05" w:rsidRPr="00412490" w:rsidRDefault="009F0F05" w:rsidP="009F0F05">
      <w:pPr>
        <w:rPr>
          <w:rFonts w:ascii="Arial Black" w:hAnsi="Arial Black"/>
          <w:sz w:val="28"/>
          <w:szCs w:val="28"/>
        </w:rPr>
      </w:pPr>
      <w:r w:rsidRPr="00412490">
        <w:rPr>
          <w:rFonts w:ascii="Arial Black" w:hAnsi="Arial Black"/>
          <w:sz w:val="28"/>
          <w:szCs w:val="28"/>
        </w:rPr>
        <w:t xml:space="preserve">NY: </w:t>
      </w:r>
      <w:r>
        <w:rPr>
          <w:rFonts w:ascii="Arial Black" w:hAnsi="Arial Black"/>
          <w:sz w:val="28"/>
          <w:szCs w:val="28"/>
        </w:rPr>
        <w:t xml:space="preserve">COURT REFUSES TO DROP DUI CHARGES AGAINST POLICE OFFICER / EMT – NOT “INTEREST OF JUSTICE” </w:t>
      </w:r>
    </w:p>
    <w:p w14:paraId="1640859F" w14:textId="77777777" w:rsidR="009F0F05" w:rsidRPr="00412490" w:rsidRDefault="009F0F05" w:rsidP="009F0F05">
      <w:pPr>
        <w:rPr>
          <w:rFonts w:ascii="Times New Roman" w:hAnsi="Times New Roman"/>
          <w:sz w:val="24"/>
          <w:szCs w:val="24"/>
        </w:rPr>
      </w:pPr>
      <w:r w:rsidRPr="00412490">
        <w:rPr>
          <w:rFonts w:ascii="Times New Roman" w:hAnsi="Times New Roman"/>
          <w:sz w:val="24"/>
          <w:szCs w:val="24"/>
        </w:rPr>
        <w:lastRenderedPageBreak/>
        <w:t xml:space="preserve">On </w:t>
      </w:r>
      <w:r>
        <w:rPr>
          <w:rFonts w:ascii="Times New Roman" w:hAnsi="Times New Roman"/>
          <w:sz w:val="24"/>
          <w:szCs w:val="24"/>
        </w:rPr>
        <w:t xml:space="preserve">Aug. 13, 2019, in </w:t>
      </w:r>
      <w:r w:rsidRPr="00412490">
        <w:rPr>
          <w:rFonts w:ascii="Times New Roman" w:hAnsi="Times New Roman"/>
          <w:sz w:val="24"/>
          <w:szCs w:val="24"/>
          <w:u w:val="single"/>
        </w:rPr>
        <w:t xml:space="preserve">The People </w:t>
      </w:r>
      <w:proofErr w:type="gramStart"/>
      <w:r w:rsidRPr="00412490">
        <w:rPr>
          <w:rFonts w:ascii="Times New Roman" w:hAnsi="Times New Roman"/>
          <w:sz w:val="24"/>
          <w:szCs w:val="24"/>
          <w:u w:val="single"/>
        </w:rPr>
        <w:t>Of</w:t>
      </w:r>
      <w:proofErr w:type="gramEnd"/>
      <w:r w:rsidRPr="00412490">
        <w:rPr>
          <w:rFonts w:ascii="Times New Roman" w:hAnsi="Times New Roman"/>
          <w:sz w:val="24"/>
          <w:szCs w:val="24"/>
          <w:u w:val="single"/>
        </w:rPr>
        <w:t xml:space="preserve"> </w:t>
      </w:r>
      <w:proofErr w:type="gramStart"/>
      <w:r w:rsidRPr="00412490">
        <w:rPr>
          <w:rFonts w:ascii="Times New Roman" w:hAnsi="Times New Roman"/>
          <w:sz w:val="24"/>
          <w:szCs w:val="24"/>
          <w:u w:val="single"/>
        </w:rPr>
        <w:t>The</w:t>
      </w:r>
      <w:proofErr w:type="gramEnd"/>
      <w:r w:rsidRPr="00412490">
        <w:rPr>
          <w:rFonts w:ascii="Times New Roman" w:hAnsi="Times New Roman"/>
          <w:sz w:val="24"/>
          <w:szCs w:val="24"/>
          <w:u w:val="single"/>
        </w:rPr>
        <w:t xml:space="preserve"> State Of New York v. Shreeganes Meade</w:t>
      </w:r>
      <w:r>
        <w:rPr>
          <w:rFonts w:ascii="Times New Roman" w:hAnsi="Times New Roman"/>
          <w:sz w:val="24"/>
          <w:szCs w:val="24"/>
        </w:rPr>
        <w:t xml:space="preserve">, </w:t>
      </w:r>
      <w:r w:rsidRPr="00A31BF5">
        <w:rPr>
          <w:rFonts w:ascii="Times New Roman" w:hAnsi="Times New Roman"/>
          <w:sz w:val="24"/>
          <w:szCs w:val="24"/>
        </w:rPr>
        <w:t>2019 NY Slip Op 51419(U)</w:t>
      </w:r>
      <w:r>
        <w:rPr>
          <w:rFonts w:ascii="Times New Roman" w:hAnsi="Times New Roman"/>
          <w:sz w:val="24"/>
          <w:szCs w:val="24"/>
        </w:rPr>
        <w:t>,</w:t>
      </w:r>
      <w:r>
        <w:t xml:space="preserve"> </w:t>
      </w:r>
      <w:r w:rsidRPr="00A31BF5">
        <w:rPr>
          <w:rFonts w:ascii="Times New Roman" w:hAnsi="Times New Roman"/>
          <w:sz w:val="24"/>
          <w:szCs w:val="24"/>
        </w:rPr>
        <w:t>N.Y. Crim. Ct., 2019</w:t>
      </w:r>
      <w:r>
        <w:t xml:space="preserve">, </w:t>
      </w:r>
      <w:r>
        <w:rPr>
          <w:rFonts w:ascii="Times New Roman" w:hAnsi="Times New Roman"/>
          <w:sz w:val="24"/>
          <w:szCs w:val="24"/>
        </w:rPr>
        <w:t xml:space="preserve"> trial judge Kate Paek, Criminal Court of the City of New York, denied the defense motion to dismiss the two misdemeanor counts “in the interest of justice.”  </w:t>
      </w:r>
      <w:hyperlink r:id="rId1913" w:history="1">
        <w:r w:rsidRPr="00412490">
          <w:rPr>
            <w:rStyle w:val="Hyperlink"/>
            <w:rFonts w:ascii="Times New Roman" w:hAnsi="Times New Roman"/>
            <w:sz w:val="24"/>
            <w:szCs w:val="24"/>
          </w:rPr>
          <w:t>https://law.justia.com/cases/new-york/other-courts/2019/2019-ny-slip-op-51419-u.html</w:t>
        </w:r>
      </w:hyperlink>
      <w:r w:rsidRPr="00412490">
        <w:rPr>
          <w:rFonts w:ascii="Times New Roman" w:hAnsi="Times New Roman"/>
          <w:sz w:val="24"/>
          <w:szCs w:val="24"/>
        </w:rPr>
        <w:t xml:space="preserve"> </w:t>
      </w:r>
    </w:p>
    <w:p w14:paraId="4452E726" w14:textId="77777777" w:rsidR="009F0F05" w:rsidRDefault="009F0F05" w:rsidP="009F0F05">
      <w:pPr>
        <w:ind w:firstLine="720"/>
        <w:rPr>
          <w:rFonts w:ascii="Times New Roman" w:hAnsi="Times New Roman"/>
          <w:sz w:val="24"/>
          <w:szCs w:val="24"/>
        </w:rPr>
      </w:pPr>
      <w:r>
        <w:rPr>
          <w:rFonts w:ascii="Times New Roman" w:hAnsi="Times New Roman"/>
          <w:sz w:val="24"/>
          <w:szCs w:val="24"/>
        </w:rPr>
        <w:t>The judge held:</w:t>
      </w:r>
    </w:p>
    <w:p w14:paraId="3B7A7419" w14:textId="77777777" w:rsidR="009F0F05" w:rsidRPr="00412490" w:rsidRDefault="009F0F05" w:rsidP="009F0F05">
      <w:pPr>
        <w:ind w:left="720"/>
        <w:rPr>
          <w:rFonts w:ascii="Times New Roman" w:hAnsi="Times New Roman"/>
          <w:sz w:val="24"/>
          <w:szCs w:val="24"/>
        </w:rPr>
      </w:pPr>
      <w:r>
        <w:rPr>
          <w:rFonts w:ascii="Times New Roman" w:hAnsi="Times New Roman"/>
          <w:sz w:val="24"/>
          <w:szCs w:val="24"/>
        </w:rPr>
        <w:t>“</w:t>
      </w:r>
      <w:r w:rsidRPr="00412490">
        <w:rPr>
          <w:rFonts w:ascii="Times New Roman" w:hAnsi="Times New Roman"/>
          <w:sz w:val="24"/>
          <w:szCs w:val="24"/>
        </w:rPr>
        <w:t xml:space="preserve">The defendant asserts that he will face discipline, including possible termination from the NYPD, if he is convicted of a misdemeanor DWI offense. He also states that he will face removal from the New York State Guard and could lose his license to work as an Emergency Medical Technician. Defense counsel asserts that these consequences would not only impact the defendant </w:t>
      </w:r>
      <w:proofErr w:type="gramStart"/>
      <w:r w:rsidRPr="00412490">
        <w:rPr>
          <w:rFonts w:ascii="Times New Roman" w:hAnsi="Times New Roman"/>
          <w:sz w:val="24"/>
          <w:szCs w:val="24"/>
        </w:rPr>
        <w:t>personally,</w:t>
      </w:r>
      <w:r>
        <w:rPr>
          <w:rFonts w:ascii="Times New Roman" w:hAnsi="Times New Roman"/>
          <w:sz w:val="24"/>
          <w:szCs w:val="24"/>
        </w:rPr>
        <w:t xml:space="preserve"> </w:t>
      </w:r>
      <w:r w:rsidRPr="00412490">
        <w:rPr>
          <w:rFonts w:ascii="Times New Roman" w:hAnsi="Times New Roman"/>
          <w:sz w:val="24"/>
          <w:szCs w:val="24"/>
        </w:rPr>
        <w:t>but</w:t>
      </w:r>
      <w:proofErr w:type="gramEnd"/>
      <w:r w:rsidRPr="00412490">
        <w:rPr>
          <w:rFonts w:ascii="Times New Roman" w:hAnsi="Times New Roman"/>
          <w:sz w:val="24"/>
          <w:szCs w:val="24"/>
        </w:rPr>
        <w:t xml:space="preserve"> would deprive the community of the defendant's service in those roles. The court is mindful of these potential collateral </w:t>
      </w:r>
      <w:proofErr w:type="gramStart"/>
      <w:r w:rsidRPr="00412490">
        <w:rPr>
          <w:rFonts w:ascii="Times New Roman" w:hAnsi="Times New Roman"/>
          <w:sz w:val="24"/>
          <w:szCs w:val="24"/>
        </w:rPr>
        <w:t>consequences, but</w:t>
      </w:r>
      <w:proofErr w:type="gramEnd"/>
      <w:r w:rsidRPr="00412490">
        <w:rPr>
          <w:rFonts w:ascii="Times New Roman" w:hAnsi="Times New Roman"/>
          <w:sz w:val="24"/>
          <w:szCs w:val="24"/>
        </w:rPr>
        <w:t xml:space="preserve"> finds that they do not mandate dismissal in this case.</w:t>
      </w:r>
      <w:r>
        <w:rPr>
          <w:rFonts w:ascii="Times New Roman" w:hAnsi="Times New Roman"/>
          <w:sz w:val="24"/>
          <w:szCs w:val="24"/>
        </w:rPr>
        <w:t>”</w:t>
      </w:r>
    </w:p>
    <w:p w14:paraId="0B547525" w14:textId="77777777" w:rsidR="009F0F05" w:rsidRDefault="009F0F05" w:rsidP="009F0F05">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job consequences of an emergency responder being convicted of driving while intoxicated can be very severe.  The case will now go to a jury, unless the police officer elects to have a “bench trial” or pleads guilty.   </w:t>
      </w:r>
    </w:p>
    <w:p w14:paraId="3DB632E9" w14:textId="77777777" w:rsidR="00E658E1" w:rsidRDefault="00E658E1" w:rsidP="00F326E5">
      <w:pPr>
        <w:rPr>
          <w:rFonts w:ascii="Arial Black" w:hAnsi="Arial Black"/>
          <w:b/>
          <w:sz w:val="24"/>
          <w:szCs w:val="24"/>
        </w:rPr>
      </w:pPr>
    </w:p>
    <w:p w14:paraId="3CC152EB" w14:textId="79E412E7" w:rsidR="00F326E5" w:rsidRDefault="00DE0F03" w:rsidP="00F326E5">
      <w:pPr>
        <w:rPr>
          <w:rFonts w:ascii="Arial Black" w:hAnsi="Arial Black"/>
          <w:sz w:val="40"/>
          <w:szCs w:val="40"/>
        </w:rPr>
      </w:pPr>
      <w:r>
        <w:rPr>
          <w:rFonts w:ascii="Arial Black" w:hAnsi="Arial Black"/>
          <w:b/>
          <w:sz w:val="24"/>
          <w:szCs w:val="24"/>
        </w:rPr>
        <w:t xml:space="preserve">12-1 </w:t>
      </w:r>
    </w:p>
    <w:p w14:paraId="5F96CBC6" w14:textId="174B8F51" w:rsidR="00F326E5" w:rsidRDefault="00F326E5" w:rsidP="00F326E5">
      <w:pPr>
        <w:pStyle w:val="NoSpacing"/>
        <w:rPr>
          <w:rFonts w:ascii="Arial Black" w:hAnsi="Arial Black"/>
          <w:sz w:val="28"/>
          <w:szCs w:val="28"/>
        </w:rPr>
      </w:pPr>
      <w:bookmarkStart w:id="430" w:name="_Hlk39772079"/>
      <w:bookmarkStart w:id="431" w:name="_Hlk7345754"/>
      <w:r w:rsidRPr="00541B0F">
        <w:rPr>
          <w:rFonts w:ascii="Arial Black" w:hAnsi="Arial Black"/>
          <w:b/>
          <w:sz w:val="28"/>
          <w:szCs w:val="28"/>
        </w:rPr>
        <w:t>MD</w:t>
      </w:r>
      <w:r>
        <w:rPr>
          <w:rFonts w:ascii="Arial Black" w:hAnsi="Arial Black"/>
          <w:b/>
          <w:sz w:val="28"/>
          <w:szCs w:val="28"/>
        </w:rPr>
        <w:t xml:space="preserve">: </w:t>
      </w:r>
      <w:r w:rsidRPr="00541B0F">
        <w:rPr>
          <w:rFonts w:ascii="Arial Black" w:hAnsi="Arial Black"/>
          <w:b/>
          <w:sz w:val="28"/>
          <w:szCs w:val="28"/>
        </w:rPr>
        <w:t>F</w:t>
      </w:r>
      <w:r>
        <w:rPr>
          <w:rFonts w:ascii="Arial Black" w:hAnsi="Arial Black"/>
          <w:b/>
          <w:sz w:val="28"/>
          <w:szCs w:val="28"/>
        </w:rPr>
        <w:t xml:space="preserve">F </w:t>
      </w:r>
      <w:r w:rsidRPr="00541B0F">
        <w:rPr>
          <w:rFonts w:ascii="Arial Black" w:hAnsi="Arial Black"/>
          <w:b/>
          <w:sz w:val="28"/>
          <w:szCs w:val="28"/>
        </w:rPr>
        <w:t>TERMINATED FOR ALCOHOL</w:t>
      </w:r>
      <w:r>
        <w:rPr>
          <w:rFonts w:ascii="Arial Black" w:hAnsi="Arial Black"/>
          <w:sz w:val="28"/>
          <w:szCs w:val="28"/>
        </w:rPr>
        <w:t xml:space="preserve"> – GIVEN SECOND CHANCE – PRE-TERMINATION HEARING</w:t>
      </w:r>
    </w:p>
    <w:p w14:paraId="09636522" w14:textId="77777777" w:rsidR="00E658E1" w:rsidRDefault="00F326E5" w:rsidP="00F326E5">
      <w:pPr>
        <w:pStyle w:val="NoSpacing"/>
        <w:rPr>
          <w:rFonts w:ascii="Times New Roman" w:hAnsi="Times New Roman"/>
          <w:sz w:val="24"/>
          <w:szCs w:val="24"/>
        </w:rPr>
      </w:pPr>
      <w:r w:rsidRPr="00E658E1">
        <w:rPr>
          <w:rFonts w:ascii="Times New Roman" w:hAnsi="Times New Roman"/>
          <w:sz w:val="24"/>
          <w:szCs w:val="24"/>
        </w:rPr>
        <w:t xml:space="preserve">On Oct. 19, 2018, in </w:t>
      </w:r>
      <w:r w:rsidRPr="00E658E1">
        <w:rPr>
          <w:rFonts w:ascii="Times New Roman" w:hAnsi="Times New Roman"/>
          <w:sz w:val="24"/>
          <w:szCs w:val="24"/>
          <w:u w:val="single"/>
        </w:rPr>
        <w:t>Darryl K. Lewis, Jr. v. City of Baltimore Civil Service Commission, et al</w:t>
      </w:r>
      <w:r w:rsidRPr="00E658E1">
        <w:rPr>
          <w:rFonts w:ascii="Times New Roman" w:hAnsi="Times New Roman"/>
          <w:sz w:val="24"/>
          <w:szCs w:val="24"/>
        </w:rPr>
        <w:t xml:space="preserve">, the Circuit Court for Baltimore City, held (3 to 0) in unreported decision that the firefighter was provided due process, affirming the Hearing Officer’s findings: </w:t>
      </w:r>
    </w:p>
    <w:p w14:paraId="2EBA2134" w14:textId="77777777" w:rsidR="00E658E1" w:rsidRDefault="00E658E1" w:rsidP="00F326E5">
      <w:pPr>
        <w:pStyle w:val="NoSpacing"/>
        <w:rPr>
          <w:rFonts w:ascii="Times New Roman" w:hAnsi="Times New Roman"/>
          <w:sz w:val="24"/>
          <w:szCs w:val="24"/>
        </w:rPr>
      </w:pPr>
    </w:p>
    <w:p w14:paraId="371452EE" w14:textId="452B71D0" w:rsidR="00F326E5" w:rsidRPr="00E658E1" w:rsidRDefault="00F326E5" w:rsidP="00E658E1">
      <w:pPr>
        <w:pStyle w:val="NoSpacing"/>
        <w:ind w:left="720"/>
        <w:rPr>
          <w:rFonts w:ascii="Times New Roman" w:eastAsia="Times New Roman" w:hAnsi="Times New Roman"/>
          <w:sz w:val="24"/>
          <w:szCs w:val="24"/>
        </w:rPr>
      </w:pPr>
      <w:r w:rsidRPr="00E658E1">
        <w:rPr>
          <w:rFonts w:ascii="Times New Roman" w:hAnsi="Times New Roman"/>
          <w:sz w:val="24"/>
          <w:szCs w:val="24"/>
        </w:rPr>
        <w:t>“</w:t>
      </w:r>
      <w:r w:rsidRPr="00E658E1">
        <w:rPr>
          <w:rFonts w:ascii="Times New Roman" w:eastAsia="Times New Roman" w:hAnsi="Times New Roman"/>
          <w:sz w:val="24"/>
          <w:szCs w:val="24"/>
        </w:rPr>
        <w:t xml:space="preserve">The Hearing Officer’s Recommendation states, ‘Procedural due process was afforded in that Lewis received notice of the underlying charges and an opportunity to be heard at a pre-termination hearing. He received sufficient notification of the outcome of that hearing and was advised of his right to this investigation.’” </w:t>
      </w:r>
      <w:hyperlink r:id="rId1914" w:history="1">
        <w:r w:rsidRPr="00E658E1">
          <w:rPr>
            <w:rStyle w:val="Hyperlink"/>
            <w:rFonts w:ascii="Times New Roman" w:hAnsi="Times New Roman"/>
            <w:sz w:val="24"/>
            <w:szCs w:val="24"/>
          </w:rPr>
          <w:t>https://www.courts.state.md.us/sites/default/files/unreported-opinions/2605s16.pdf</w:t>
        </w:r>
      </w:hyperlink>
      <w:r w:rsidRPr="00E658E1">
        <w:rPr>
          <w:rFonts w:ascii="Times New Roman" w:eastAsia="Times New Roman" w:hAnsi="Times New Roman"/>
          <w:sz w:val="24"/>
          <w:szCs w:val="24"/>
        </w:rPr>
        <w:t xml:space="preserve"> </w:t>
      </w:r>
    </w:p>
    <w:p w14:paraId="4E968E6B" w14:textId="77777777" w:rsidR="00E658E1" w:rsidRDefault="00E658E1" w:rsidP="00F326E5">
      <w:pPr>
        <w:pStyle w:val="NoSpacing"/>
        <w:rPr>
          <w:rFonts w:ascii="Times New Roman" w:hAnsi="Times New Roman"/>
          <w:b/>
          <w:sz w:val="24"/>
          <w:szCs w:val="24"/>
        </w:rPr>
      </w:pPr>
    </w:p>
    <w:p w14:paraId="21BE52CC" w14:textId="3494E15D" w:rsidR="00F326E5" w:rsidRPr="00E658E1" w:rsidRDefault="00F326E5" w:rsidP="00F326E5">
      <w:pPr>
        <w:pStyle w:val="NoSpacing"/>
        <w:rPr>
          <w:rFonts w:ascii="Times New Roman" w:hAnsi="Times New Roman"/>
          <w:b/>
          <w:sz w:val="24"/>
          <w:szCs w:val="24"/>
        </w:rPr>
      </w:pPr>
      <w:bookmarkStart w:id="432" w:name="_Hlk40513865"/>
      <w:bookmarkEnd w:id="430"/>
      <w:r w:rsidRPr="00E658E1">
        <w:rPr>
          <w:rFonts w:ascii="Times New Roman" w:hAnsi="Times New Roman"/>
          <w:b/>
          <w:sz w:val="24"/>
          <w:szCs w:val="24"/>
        </w:rPr>
        <w:t xml:space="preserve">Legal Lesson Learned: “After Care Contracts” and other forms of last chance agreements are enforceable, and procedural due process rights were followed in this case.   </w:t>
      </w:r>
    </w:p>
    <w:p w14:paraId="79D791FF" w14:textId="0B8F9210" w:rsidR="000F0910" w:rsidRPr="00E658E1" w:rsidRDefault="00F326E5" w:rsidP="00E71BA9">
      <w:pPr>
        <w:pStyle w:val="NoSpacing"/>
        <w:ind w:left="720"/>
        <w:rPr>
          <w:rFonts w:ascii="Times New Roman" w:hAnsi="Times New Roman"/>
          <w:sz w:val="24"/>
          <w:szCs w:val="24"/>
        </w:rPr>
      </w:pPr>
      <w:r w:rsidRPr="00E658E1">
        <w:rPr>
          <w:rFonts w:ascii="Times New Roman" w:hAnsi="Times New Roman"/>
          <w:sz w:val="24"/>
          <w:szCs w:val="24"/>
        </w:rPr>
        <w:t>Note:  Consider in such agreements a requirement that the employee enroll in a continuing care program</w:t>
      </w:r>
      <w:bookmarkEnd w:id="431"/>
      <w:bookmarkEnd w:id="432"/>
      <w:r w:rsidR="00E71BA9">
        <w:rPr>
          <w:rFonts w:ascii="Times New Roman" w:hAnsi="Times New Roman"/>
          <w:sz w:val="24"/>
          <w:szCs w:val="24"/>
        </w:rPr>
        <w:t>.</w:t>
      </w:r>
    </w:p>
    <w:p w14:paraId="10F8BFED" w14:textId="77777777" w:rsidR="000F0910" w:rsidRDefault="000F0910" w:rsidP="00F326E5">
      <w:pPr>
        <w:pStyle w:val="NoSpacing"/>
        <w:rPr>
          <w:rFonts w:ascii="Arial Black" w:hAnsi="Arial Black"/>
          <w:sz w:val="40"/>
          <w:szCs w:val="40"/>
        </w:rPr>
      </w:pPr>
    </w:p>
    <w:p w14:paraId="4E25EFB5" w14:textId="2D2AEA7B" w:rsidR="00FA7B26" w:rsidRDefault="00FA7B26">
      <w:pPr>
        <w:spacing w:after="0" w:line="240" w:lineRule="auto"/>
        <w:rPr>
          <w:rFonts w:ascii="Arial Black" w:hAnsi="Arial Black"/>
          <w:sz w:val="40"/>
          <w:szCs w:val="40"/>
        </w:rPr>
      </w:pPr>
      <w:r>
        <w:rPr>
          <w:rFonts w:ascii="Arial Black" w:hAnsi="Arial Black"/>
          <w:sz w:val="40"/>
          <w:szCs w:val="40"/>
        </w:rPr>
        <w:br w:type="page"/>
      </w:r>
    </w:p>
    <w:p w14:paraId="18E891B7" w14:textId="77777777" w:rsidR="00FA7B26" w:rsidRDefault="00FA7B26" w:rsidP="00F326E5">
      <w:pPr>
        <w:pStyle w:val="NoSpacing"/>
        <w:rPr>
          <w:rFonts w:ascii="Arial Black" w:hAnsi="Arial Black"/>
          <w:sz w:val="40"/>
          <w:szCs w:val="40"/>
        </w:rPr>
      </w:pPr>
    </w:p>
    <w:p w14:paraId="6111C988" w14:textId="77777777" w:rsidR="00F55DAF" w:rsidRDefault="00F55DAF" w:rsidP="00F326E5">
      <w:pPr>
        <w:pStyle w:val="NoSpacing"/>
        <w:rPr>
          <w:rFonts w:ascii="Arial Black" w:hAnsi="Arial Black"/>
          <w:sz w:val="40"/>
          <w:szCs w:val="40"/>
        </w:rPr>
      </w:pPr>
    </w:p>
    <w:p w14:paraId="3485BFB7" w14:textId="77777777" w:rsidR="00F55DAF" w:rsidRDefault="00F55DAF" w:rsidP="00F326E5">
      <w:pPr>
        <w:pStyle w:val="NoSpacing"/>
        <w:rPr>
          <w:rFonts w:ascii="Arial Black" w:hAnsi="Arial Black"/>
          <w:sz w:val="40"/>
          <w:szCs w:val="40"/>
        </w:rPr>
      </w:pPr>
    </w:p>
    <w:p w14:paraId="6CFCB04B" w14:textId="77777777" w:rsidR="00F55DAF" w:rsidRDefault="00F55DAF" w:rsidP="00F326E5">
      <w:pPr>
        <w:pStyle w:val="NoSpacing"/>
        <w:rPr>
          <w:rFonts w:ascii="Arial Black" w:hAnsi="Arial Black"/>
          <w:sz w:val="40"/>
          <w:szCs w:val="40"/>
        </w:rPr>
      </w:pPr>
    </w:p>
    <w:p w14:paraId="78BB6FB3" w14:textId="77777777" w:rsidR="00F55DAF" w:rsidRDefault="00F55DAF" w:rsidP="00F326E5">
      <w:pPr>
        <w:pStyle w:val="NoSpacing"/>
        <w:rPr>
          <w:rFonts w:ascii="Arial Black" w:hAnsi="Arial Black"/>
          <w:sz w:val="40"/>
          <w:szCs w:val="40"/>
        </w:rPr>
      </w:pPr>
    </w:p>
    <w:p w14:paraId="60750650" w14:textId="77777777" w:rsidR="00F55DAF" w:rsidRDefault="00F55DAF" w:rsidP="00F326E5">
      <w:pPr>
        <w:pStyle w:val="NoSpacing"/>
        <w:rPr>
          <w:rFonts w:ascii="Arial Black" w:hAnsi="Arial Black"/>
          <w:sz w:val="40"/>
          <w:szCs w:val="40"/>
        </w:rPr>
      </w:pPr>
    </w:p>
    <w:p w14:paraId="3FE3F119" w14:textId="77777777" w:rsidR="00F55DAF" w:rsidRDefault="00F55DAF" w:rsidP="00F326E5">
      <w:pPr>
        <w:pStyle w:val="NoSpacing"/>
        <w:rPr>
          <w:rFonts w:ascii="Arial Black" w:hAnsi="Arial Black"/>
          <w:sz w:val="40"/>
          <w:szCs w:val="40"/>
        </w:rPr>
      </w:pPr>
    </w:p>
    <w:p w14:paraId="2687991C" w14:textId="77777777" w:rsidR="00F55DAF" w:rsidRDefault="00F55DAF" w:rsidP="00F326E5">
      <w:pPr>
        <w:pStyle w:val="NoSpacing"/>
        <w:rPr>
          <w:rFonts w:ascii="Arial Black" w:hAnsi="Arial Black"/>
          <w:sz w:val="40"/>
          <w:szCs w:val="40"/>
        </w:rPr>
      </w:pPr>
    </w:p>
    <w:p w14:paraId="789B827A" w14:textId="77777777" w:rsidR="00F55DAF" w:rsidRDefault="00F55DAF" w:rsidP="00F326E5">
      <w:pPr>
        <w:pStyle w:val="NoSpacing"/>
        <w:rPr>
          <w:rFonts w:ascii="Arial Black" w:hAnsi="Arial Black"/>
          <w:sz w:val="40"/>
          <w:szCs w:val="40"/>
        </w:rPr>
      </w:pPr>
    </w:p>
    <w:p w14:paraId="1A35755D" w14:textId="77777777" w:rsidR="00F55DAF" w:rsidRDefault="00F55DAF" w:rsidP="00F326E5">
      <w:pPr>
        <w:pStyle w:val="NoSpacing"/>
        <w:rPr>
          <w:rFonts w:ascii="Arial Black" w:hAnsi="Arial Black"/>
          <w:sz w:val="40"/>
          <w:szCs w:val="40"/>
        </w:rPr>
      </w:pPr>
    </w:p>
    <w:p w14:paraId="3D7E24F4" w14:textId="77777777" w:rsidR="00F55DAF" w:rsidRDefault="00F55DAF" w:rsidP="00F326E5">
      <w:pPr>
        <w:pStyle w:val="NoSpacing"/>
        <w:rPr>
          <w:rFonts w:ascii="Arial Black" w:hAnsi="Arial Black"/>
          <w:sz w:val="40"/>
          <w:szCs w:val="40"/>
        </w:rPr>
      </w:pPr>
    </w:p>
    <w:p w14:paraId="17A4E84A" w14:textId="77777777" w:rsidR="00F55DAF" w:rsidRDefault="00F55DAF" w:rsidP="00F326E5">
      <w:pPr>
        <w:pStyle w:val="NoSpacing"/>
        <w:rPr>
          <w:rFonts w:ascii="Arial Black" w:hAnsi="Arial Black"/>
          <w:sz w:val="40"/>
          <w:szCs w:val="40"/>
        </w:rPr>
      </w:pPr>
    </w:p>
    <w:p w14:paraId="63E1950E" w14:textId="77777777" w:rsidR="00F55DAF" w:rsidRDefault="00F55DAF" w:rsidP="00F326E5">
      <w:pPr>
        <w:pStyle w:val="NoSpacing"/>
        <w:rPr>
          <w:rFonts w:ascii="Arial Black" w:hAnsi="Arial Black"/>
          <w:sz w:val="40"/>
          <w:szCs w:val="40"/>
        </w:rPr>
      </w:pPr>
    </w:p>
    <w:p w14:paraId="4D80508A" w14:textId="77777777" w:rsidR="00F55DAF" w:rsidRDefault="00F55DAF" w:rsidP="00F326E5">
      <w:pPr>
        <w:pStyle w:val="NoSpacing"/>
        <w:rPr>
          <w:rFonts w:ascii="Arial Black" w:hAnsi="Arial Black"/>
          <w:sz w:val="40"/>
          <w:szCs w:val="40"/>
        </w:rPr>
      </w:pPr>
    </w:p>
    <w:p w14:paraId="36A8EC93" w14:textId="77777777" w:rsidR="00F55DAF" w:rsidRDefault="00F55DAF" w:rsidP="00F326E5">
      <w:pPr>
        <w:pStyle w:val="NoSpacing"/>
        <w:rPr>
          <w:rFonts w:ascii="Arial Black" w:hAnsi="Arial Black"/>
          <w:sz w:val="40"/>
          <w:szCs w:val="40"/>
        </w:rPr>
      </w:pPr>
    </w:p>
    <w:p w14:paraId="5A63D56B" w14:textId="77777777" w:rsidR="00F55DAF" w:rsidRDefault="00F55DAF" w:rsidP="00F326E5">
      <w:pPr>
        <w:pStyle w:val="NoSpacing"/>
        <w:rPr>
          <w:rFonts w:ascii="Arial Black" w:hAnsi="Arial Black"/>
          <w:sz w:val="40"/>
          <w:szCs w:val="40"/>
        </w:rPr>
      </w:pPr>
    </w:p>
    <w:p w14:paraId="5528F68C" w14:textId="77777777" w:rsidR="00F55DAF" w:rsidRDefault="00F55DAF" w:rsidP="00F326E5">
      <w:pPr>
        <w:pStyle w:val="NoSpacing"/>
        <w:rPr>
          <w:rFonts w:ascii="Arial Black" w:hAnsi="Arial Black"/>
          <w:sz w:val="40"/>
          <w:szCs w:val="40"/>
        </w:rPr>
      </w:pPr>
    </w:p>
    <w:p w14:paraId="232EF1FE" w14:textId="77777777" w:rsidR="00F55DAF" w:rsidRDefault="00F55DAF" w:rsidP="00F326E5">
      <w:pPr>
        <w:pStyle w:val="NoSpacing"/>
        <w:rPr>
          <w:rFonts w:ascii="Arial Black" w:hAnsi="Arial Black"/>
          <w:sz w:val="40"/>
          <w:szCs w:val="40"/>
        </w:rPr>
      </w:pPr>
    </w:p>
    <w:p w14:paraId="1D239E1D" w14:textId="77777777" w:rsidR="00F55DAF" w:rsidRDefault="00F55DAF" w:rsidP="00F326E5">
      <w:pPr>
        <w:pStyle w:val="NoSpacing"/>
        <w:rPr>
          <w:rFonts w:ascii="Arial Black" w:hAnsi="Arial Black"/>
          <w:sz w:val="40"/>
          <w:szCs w:val="40"/>
        </w:rPr>
      </w:pPr>
    </w:p>
    <w:p w14:paraId="08195DF4" w14:textId="77777777" w:rsidR="00F55DAF" w:rsidRDefault="00F55DAF" w:rsidP="00F326E5">
      <w:pPr>
        <w:pStyle w:val="NoSpacing"/>
        <w:rPr>
          <w:rFonts w:ascii="Arial Black" w:hAnsi="Arial Black"/>
          <w:sz w:val="40"/>
          <w:szCs w:val="40"/>
        </w:rPr>
      </w:pPr>
    </w:p>
    <w:p w14:paraId="44C48805" w14:textId="77777777" w:rsidR="00F55DAF" w:rsidRDefault="00F55DAF" w:rsidP="00F326E5">
      <w:pPr>
        <w:pStyle w:val="NoSpacing"/>
        <w:rPr>
          <w:rFonts w:ascii="Arial Black" w:hAnsi="Arial Black"/>
          <w:sz w:val="40"/>
          <w:szCs w:val="40"/>
        </w:rPr>
      </w:pPr>
    </w:p>
    <w:p w14:paraId="00C8AFA0" w14:textId="77777777" w:rsidR="00F55DAF" w:rsidRDefault="00F55DAF" w:rsidP="00F326E5">
      <w:pPr>
        <w:pStyle w:val="NoSpacing"/>
        <w:rPr>
          <w:rFonts w:ascii="Arial Black" w:hAnsi="Arial Black"/>
          <w:sz w:val="40"/>
          <w:szCs w:val="40"/>
        </w:rPr>
      </w:pPr>
    </w:p>
    <w:p w14:paraId="3E3744A8" w14:textId="77777777" w:rsidR="00F55DAF" w:rsidRDefault="00F55DAF" w:rsidP="00F326E5">
      <w:pPr>
        <w:pStyle w:val="NoSpacing"/>
        <w:rPr>
          <w:rFonts w:ascii="Arial Black" w:hAnsi="Arial Black"/>
          <w:sz w:val="40"/>
          <w:szCs w:val="40"/>
        </w:rPr>
      </w:pPr>
    </w:p>
    <w:p w14:paraId="7FE0DA20" w14:textId="77777777" w:rsidR="00F55DAF" w:rsidRDefault="00F55DAF" w:rsidP="00F326E5">
      <w:pPr>
        <w:pStyle w:val="NoSpacing"/>
        <w:rPr>
          <w:rFonts w:ascii="Arial Black" w:hAnsi="Arial Black"/>
          <w:sz w:val="40"/>
          <w:szCs w:val="40"/>
        </w:rPr>
      </w:pPr>
    </w:p>
    <w:p w14:paraId="50B99505" w14:textId="6951BD87"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13</w:t>
      </w:r>
      <w:r w:rsidRPr="007732FA">
        <w:rPr>
          <w:rFonts w:ascii="Arial Black" w:hAnsi="Arial Black"/>
          <w:sz w:val="40"/>
          <w:szCs w:val="40"/>
        </w:rPr>
        <w:tab/>
        <w:t>EMS</w:t>
      </w:r>
      <w:r w:rsidR="003F660F">
        <w:rPr>
          <w:rFonts w:ascii="Arial Black" w:hAnsi="Arial Black"/>
          <w:sz w:val="40"/>
          <w:szCs w:val="40"/>
        </w:rPr>
        <w:t xml:space="preserve">, including </w:t>
      </w:r>
      <w:r w:rsidR="00636395">
        <w:rPr>
          <w:rFonts w:ascii="Arial Black" w:hAnsi="Arial Black"/>
          <w:sz w:val="40"/>
          <w:szCs w:val="40"/>
        </w:rPr>
        <w:t>Community Paramedicine</w:t>
      </w:r>
      <w:r w:rsidR="003F660F">
        <w:rPr>
          <w:rFonts w:ascii="Arial Black" w:hAnsi="Arial Black"/>
          <w:sz w:val="40"/>
          <w:szCs w:val="40"/>
        </w:rPr>
        <w:t>, Corona Virus</w:t>
      </w:r>
      <w:r w:rsidRPr="007732FA">
        <w:rPr>
          <w:rFonts w:ascii="Arial Black" w:hAnsi="Arial Black"/>
          <w:sz w:val="40"/>
          <w:szCs w:val="40"/>
        </w:rPr>
        <w:tab/>
      </w:r>
    </w:p>
    <w:p w14:paraId="4145B648" w14:textId="77777777" w:rsidR="00AC1F80" w:rsidRDefault="00AC1F80" w:rsidP="002B1283">
      <w:pPr>
        <w:rPr>
          <w:rFonts w:ascii="Arial Black" w:hAnsi="Arial Black"/>
          <w:b/>
          <w:bCs/>
          <w:sz w:val="28"/>
          <w:szCs w:val="28"/>
        </w:rPr>
      </w:pPr>
      <w:bookmarkStart w:id="433" w:name="_Hlk7346153"/>
    </w:p>
    <w:p w14:paraId="660DFBA3" w14:textId="12AE44B1" w:rsidR="0091755D" w:rsidRDefault="0091755D" w:rsidP="0091755D">
      <w:pPr>
        <w:rPr>
          <w:rFonts w:ascii="Arial Black" w:hAnsi="Arial Black"/>
          <w:b/>
          <w:bCs/>
          <w:sz w:val="24"/>
          <w:szCs w:val="24"/>
        </w:rPr>
      </w:pPr>
      <w:r>
        <w:rPr>
          <w:rFonts w:ascii="Arial Black" w:hAnsi="Arial Black"/>
          <w:b/>
          <w:bCs/>
          <w:sz w:val="24"/>
          <w:szCs w:val="24"/>
        </w:rPr>
        <w:t>13-256</w:t>
      </w:r>
    </w:p>
    <w:p w14:paraId="6BD1AE06" w14:textId="77777777" w:rsidR="0091755D" w:rsidRDefault="0091755D" w:rsidP="002B1283">
      <w:pPr>
        <w:rPr>
          <w:rFonts w:ascii="Arial Black" w:hAnsi="Arial Black"/>
          <w:b/>
          <w:bCs/>
          <w:sz w:val="28"/>
          <w:szCs w:val="28"/>
        </w:rPr>
      </w:pPr>
    </w:p>
    <w:p w14:paraId="65B951EF" w14:textId="77777777" w:rsidR="007F7423" w:rsidRDefault="007F7423" w:rsidP="007F7423">
      <w:pPr>
        <w:pStyle w:val="NoSpacing"/>
        <w:rPr>
          <w:rFonts w:ascii="Arial Black" w:hAnsi="Arial Black"/>
          <w:bCs/>
          <w:sz w:val="28"/>
          <w:szCs w:val="28"/>
        </w:rPr>
      </w:pPr>
      <w:r>
        <w:rPr>
          <w:rFonts w:ascii="Arial Black" w:hAnsi="Arial Black"/>
          <w:sz w:val="28"/>
          <w:szCs w:val="28"/>
        </w:rPr>
        <w:t>NY: EMT DISCIPLINE - STATE DPT HEALTH - NO JURY TRIAL</w:t>
      </w:r>
    </w:p>
    <w:p w14:paraId="118919D7" w14:textId="77777777" w:rsidR="007F7423" w:rsidRDefault="007F7423" w:rsidP="007F7423">
      <w:pPr>
        <w:pStyle w:val="NoSpacing"/>
        <w:rPr>
          <w:bCs/>
        </w:rPr>
      </w:pPr>
    </w:p>
    <w:p w14:paraId="53B102AE" w14:textId="77777777" w:rsidR="007F7423" w:rsidRPr="00BE66C3" w:rsidRDefault="007F7423" w:rsidP="007F7423">
      <w:pPr>
        <w:pStyle w:val="NoSpacing"/>
        <w:rPr>
          <w:b/>
        </w:rPr>
      </w:pPr>
      <w:r>
        <w:t xml:space="preserve">On April 23, 2026, in </w:t>
      </w:r>
      <w:r w:rsidRPr="00D17474">
        <w:rPr>
          <w:u w:val="single"/>
        </w:rPr>
        <w:t>Justin Ball v. New York State Department of Health</w:t>
      </w:r>
      <w:r w:rsidRPr="00D17474">
        <w:t xml:space="preserve">, </w:t>
      </w:r>
      <w:r>
        <w:t xml:space="preserve">the </w:t>
      </w:r>
      <w:r w:rsidRPr="00D17474">
        <w:t>Supreme Court of New York, Third Department</w:t>
      </w:r>
      <w:r>
        <w:t xml:space="preserve"> held (5 to 0) that a Supreme Court Judge for </w:t>
      </w:r>
      <w:r w:rsidRPr="00537671">
        <w:t>Schoharie County</w:t>
      </w:r>
      <w:r>
        <w:t xml:space="preserve"> improperly held the EMT was entitled </w:t>
      </w:r>
      <w:r w:rsidRPr="00537671">
        <w:t>to a civil jury trial in a pending administrative license revocation proceeding.</w:t>
      </w:r>
      <w:r>
        <w:t xml:space="preserve">  He is under investigation for a complaint that on a </w:t>
      </w:r>
      <w:r w:rsidRPr="00BB5F73">
        <w:t xml:space="preserve">call </w:t>
      </w:r>
      <w:r>
        <w:t xml:space="preserve">to help a </w:t>
      </w:r>
      <w:r w:rsidRPr="00BB5F73">
        <w:t>63-year-old man who was allegedly unable to get up after having fallen down</w:t>
      </w:r>
      <w:r>
        <w:t>, the EMT “</w:t>
      </w:r>
      <w:r w:rsidRPr="00BB5F73">
        <w:t>believed that the patient was faking his condition and, rather than providing any meaningful assistance to the patient, plaintiff ridiculed him and offered minimal, rough aid.</w:t>
      </w:r>
      <w:r>
        <w:t xml:space="preserve">” </w:t>
      </w:r>
      <w:hyperlink r:id="rId1915" w:history="1">
        <w:r w:rsidRPr="003A1948">
          <w:rPr>
            <w:rStyle w:val="Hyperlink"/>
          </w:rPr>
          <w:t>https://www.nycourts.gov/reporter/current/3dseries/2026/2026_02494.shtml</w:t>
        </w:r>
      </w:hyperlink>
      <w:r>
        <w:t xml:space="preserve"> </w:t>
      </w:r>
    </w:p>
    <w:p w14:paraId="48C0A22E" w14:textId="77777777" w:rsidR="007F7423" w:rsidRDefault="007F7423" w:rsidP="007F7423">
      <w:pPr>
        <w:pStyle w:val="NoSpacing"/>
      </w:pPr>
      <w:r>
        <w:t xml:space="preserve"> </w:t>
      </w:r>
    </w:p>
    <w:p w14:paraId="211A97CE" w14:textId="77777777" w:rsidR="007F7423" w:rsidRDefault="007F7423" w:rsidP="007F7423">
      <w:pPr>
        <w:pStyle w:val="NoSpacing"/>
      </w:pPr>
    </w:p>
    <w:p w14:paraId="143E6C31" w14:textId="77777777" w:rsidR="007F7423" w:rsidRDefault="007F7423" w:rsidP="007F7423">
      <w:pPr>
        <w:pStyle w:val="NoSpacing"/>
      </w:pPr>
      <w:r>
        <w:t>THE COURT HELD:</w:t>
      </w:r>
    </w:p>
    <w:p w14:paraId="39C949AD" w14:textId="77777777" w:rsidR="007F7423" w:rsidRDefault="007F7423" w:rsidP="007F7423">
      <w:pPr>
        <w:pStyle w:val="NoSpacing"/>
      </w:pPr>
    </w:p>
    <w:p w14:paraId="7A1C3C53" w14:textId="77777777" w:rsidR="007F7423" w:rsidRDefault="007F7423" w:rsidP="007F7423">
      <w:pPr>
        <w:pStyle w:val="NoSpacing"/>
        <w:ind w:left="720"/>
      </w:pPr>
      <w:r>
        <w:t>“</w:t>
      </w:r>
      <w:r w:rsidRPr="00152C4C">
        <w:t>Defendant argues that Supreme Court improperly disregarded binding precedent from the Supreme Court of the United States that the Seventh Amendment does not apply to the states. We agree. The Seventh Amendment to the US Constitution preserves the right of trial by jury in suits at common law where the value of the controversy exceeds $20 (</w:t>
      </w:r>
      <w:r w:rsidRPr="00152C4C">
        <w:rPr>
          <w:i/>
          <w:iCs/>
        </w:rPr>
        <w:t>see</w:t>
      </w:r>
      <w:r w:rsidRPr="00152C4C">
        <w:t xml:space="preserve"> US Const, 7th Amend). Longstanding precedent from the Supreme Court of the United States holds that the Seventh Amendment "applies only to proceedings in courts of the United States, and does not in any manner whatever govern or regulate trials by jury in state courts, or the standards which must be applied concerning the same"(</w:t>
      </w:r>
      <w:r w:rsidRPr="00152C4C">
        <w:rPr>
          <w:i/>
          <w:iCs/>
        </w:rPr>
        <w:t xml:space="preserve">Minneapolis &amp; St. Louis R. Co. v </w:t>
      </w:r>
      <w:proofErr w:type="spellStart"/>
      <w:r w:rsidRPr="00152C4C">
        <w:rPr>
          <w:i/>
          <w:iCs/>
        </w:rPr>
        <w:t>Bombolis</w:t>
      </w:r>
      <w:proofErr w:type="spellEnd"/>
      <w:r w:rsidRPr="00152C4C">
        <w:t xml:space="preserve">, 241 US 211, 217 [1916]; </w:t>
      </w:r>
      <w:r w:rsidRPr="00152C4C">
        <w:rPr>
          <w:i/>
          <w:iCs/>
        </w:rPr>
        <w:t>see</w:t>
      </w:r>
      <w:r w:rsidRPr="00152C4C">
        <w:t xml:space="preserve"> </w:t>
      </w:r>
      <w:r w:rsidRPr="00152C4C">
        <w:rPr>
          <w:i/>
          <w:iCs/>
        </w:rPr>
        <w:t xml:space="preserve">Walker v </w:t>
      </w:r>
      <w:proofErr w:type="spellStart"/>
      <w:r w:rsidRPr="00152C4C">
        <w:rPr>
          <w:i/>
          <w:iCs/>
        </w:rPr>
        <w:t>Sauvinet</w:t>
      </w:r>
      <w:proofErr w:type="spellEnd"/>
      <w:r w:rsidRPr="00152C4C">
        <w:t>, 92 US 90, 92 [1875]).</w:t>
      </w:r>
    </w:p>
    <w:p w14:paraId="28432B1F" w14:textId="77777777" w:rsidR="007F7423" w:rsidRDefault="007F7423" w:rsidP="007F7423">
      <w:pPr>
        <w:pStyle w:val="NoSpacing"/>
      </w:pPr>
    </w:p>
    <w:p w14:paraId="33DA1E8D" w14:textId="77777777" w:rsidR="007F7423" w:rsidRDefault="007F7423" w:rsidP="007F7423">
      <w:pPr>
        <w:pStyle w:val="NoSpacing"/>
        <w:ind w:firstLine="720"/>
      </w:pPr>
      <w:r>
        <w:t>***</w:t>
      </w:r>
    </w:p>
    <w:p w14:paraId="51D2DC57" w14:textId="77777777" w:rsidR="007F7423" w:rsidRDefault="007F7423" w:rsidP="007F7423">
      <w:pPr>
        <w:pStyle w:val="NoSpacing"/>
        <w:ind w:left="720"/>
      </w:pPr>
      <w:r w:rsidRPr="005D4F0C">
        <w:t xml:space="preserve">Indeed, the right to a trial by jury provided in the NY Constitution does not extend to those proceedings concerning professional licensure </w:t>
      </w:r>
      <w:r>
        <w:t>‘</w:t>
      </w:r>
      <w:r w:rsidRPr="005D4F0C">
        <w:t>where the object is not the punishment of the offender, but to purge of an unworthy member a profession in which purity of conduct and character are all important</w:t>
      </w:r>
      <w:r>
        <w:t>’</w:t>
      </w:r>
      <w:r w:rsidRPr="005D4F0C">
        <w:t xml:space="preserve"> (</w:t>
      </w:r>
      <w:r w:rsidRPr="005D4F0C">
        <w:rPr>
          <w:i/>
          <w:iCs/>
        </w:rPr>
        <w:t>Matter of Smith</w:t>
      </w:r>
      <w:r w:rsidRPr="005D4F0C">
        <w:t>, 10 Wend at 454). The fact that plaintiff's alleged conduct may also form the basis for common-law claims sounding in tort does not alter the fact that this proceeding arises through defendant's statutory obligation to regulate EMT licenses. Accordingly, because plaintiff has failed to establish that a regulatory revocation proceeding for an EMT license is analogous to common-law cases traditionally entitled to trial by jury before 1777, plaintiff is not entitled to a jury trial under the NY Constitution (</w:t>
      </w:r>
      <w:r w:rsidRPr="005D4F0C">
        <w:rPr>
          <w:i/>
          <w:iCs/>
        </w:rPr>
        <w:t>see Matter of DES Mkt. Share Litig.</w:t>
      </w:r>
      <w:r w:rsidRPr="005D4F0C">
        <w:t xml:space="preserve">, 79 NY2d at 304-305; </w:t>
      </w:r>
      <w:r w:rsidRPr="005D4F0C">
        <w:rPr>
          <w:i/>
          <w:iCs/>
        </w:rPr>
        <w:t>Matter of State of New York v Myron P.</w:t>
      </w:r>
      <w:r w:rsidRPr="005D4F0C">
        <w:t>, 86 AD3d at 29-30).</w:t>
      </w:r>
      <w:r>
        <w:t>”</w:t>
      </w:r>
    </w:p>
    <w:p w14:paraId="215BDCA2" w14:textId="77777777" w:rsidR="007F7423" w:rsidRDefault="007F7423" w:rsidP="007F7423">
      <w:pPr>
        <w:pStyle w:val="NoSpacing"/>
      </w:pPr>
    </w:p>
    <w:p w14:paraId="5C2C0353" w14:textId="77777777" w:rsidR="007F7423" w:rsidRPr="00CE4216" w:rsidRDefault="007F7423" w:rsidP="007F7423">
      <w:pPr>
        <w:pStyle w:val="NoSpacing"/>
        <w:rPr>
          <w:b/>
          <w:bCs/>
        </w:rPr>
      </w:pPr>
      <w:r>
        <w:rPr>
          <w:b/>
        </w:rPr>
        <w:t xml:space="preserve">Legal </w:t>
      </w:r>
      <w:proofErr w:type="gramStart"/>
      <w:r>
        <w:rPr>
          <w:b/>
        </w:rPr>
        <w:t>lesson</w:t>
      </w:r>
      <w:proofErr w:type="gramEnd"/>
      <w:r>
        <w:rPr>
          <w:b/>
        </w:rPr>
        <w:t xml:space="preserve"> learned: EMS are entitled to a hearing before the state board, but not a civil jury trial in state court.  If license is revoked, can then appeal to court.</w:t>
      </w:r>
    </w:p>
    <w:p w14:paraId="1F886424" w14:textId="77777777" w:rsidR="007F7423" w:rsidRDefault="007F7423" w:rsidP="007F7423">
      <w:pPr>
        <w:pStyle w:val="NoSpacing"/>
      </w:pPr>
    </w:p>
    <w:p w14:paraId="4E767C83" w14:textId="77777777" w:rsidR="007F7423" w:rsidRDefault="007F7423" w:rsidP="007F7423">
      <w:pPr>
        <w:pStyle w:val="NoSpacing"/>
        <w:ind w:left="720"/>
      </w:pPr>
      <w:r>
        <w:t xml:space="preserve">Note:  For example, </w:t>
      </w:r>
      <w:r w:rsidRPr="007B3D37">
        <w:t>see H</w:t>
      </w:r>
      <w:r>
        <w:t xml:space="preserve">olycross v. State Board of EMS (2005): </w:t>
      </w:r>
      <w:r>
        <w:rPr>
          <w:b/>
        </w:rPr>
        <w:t xml:space="preserve"> </w:t>
      </w:r>
      <w:hyperlink r:id="rId1916" w:history="1">
        <w:r w:rsidRPr="003C3573">
          <w:rPr>
            <w:rStyle w:val="Hyperlink"/>
            <w:b/>
          </w:rPr>
          <w:t>https://www.studicata.com/summaries/court-of-appeals-of-ohio/holycross-v-state-board-of-emergency-med-2005-oor7s1/</w:t>
        </w:r>
      </w:hyperlink>
      <w:r>
        <w:rPr>
          <w:b/>
        </w:rPr>
        <w:t xml:space="preserve">  </w:t>
      </w:r>
      <w:r>
        <w:t>“</w:t>
      </w:r>
      <w:r w:rsidRPr="0013381F">
        <w:t xml:space="preserve">We agree with Holycross that the board's decision to revoke his license is not supported by the probative, credible evidence in the record. </w:t>
      </w:r>
      <w:r w:rsidRPr="0013381F">
        <w:t> </w:t>
      </w:r>
      <w:r w:rsidRPr="0013381F">
        <w:t xml:space="preserve"> We therefore reverse the judgment of the trial court and remand this cause, without reaching his constitutional claim, which we find to be moot.</w:t>
      </w:r>
      <w:r>
        <w:t xml:space="preserve">” </w:t>
      </w:r>
    </w:p>
    <w:p w14:paraId="329399B6" w14:textId="77777777" w:rsidR="007F7423" w:rsidRDefault="007F7423" w:rsidP="007F7423">
      <w:pPr>
        <w:pStyle w:val="NoSpacing"/>
        <w:ind w:left="720"/>
      </w:pPr>
    </w:p>
    <w:p w14:paraId="02428C54" w14:textId="77777777" w:rsidR="0091755D" w:rsidRDefault="0091755D" w:rsidP="00756ACB">
      <w:pPr>
        <w:rPr>
          <w:rFonts w:ascii="Arial Black" w:hAnsi="Arial Black"/>
          <w:b/>
          <w:bCs/>
          <w:sz w:val="24"/>
          <w:szCs w:val="24"/>
        </w:rPr>
      </w:pPr>
    </w:p>
    <w:p w14:paraId="1080CB31" w14:textId="77777777" w:rsidR="0091755D" w:rsidRDefault="0091755D" w:rsidP="00756ACB">
      <w:pPr>
        <w:rPr>
          <w:rFonts w:ascii="Arial Black" w:hAnsi="Arial Black"/>
          <w:b/>
          <w:bCs/>
          <w:sz w:val="24"/>
          <w:szCs w:val="24"/>
        </w:rPr>
      </w:pPr>
    </w:p>
    <w:p w14:paraId="658809D2" w14:textId="4E0E2A7D" w:rsidR="00756ACB" w:rsidRDefault="00756ACB" w:rsidP="00756ACB">
      <w:pPr>
        <w:rPr>
          <w:rFonts w:ascii="Arial Black" w:hAnsi="Arial Black"/>
          <w:b/>
          <w:bCs/>
          <w:sz w:val="24"/>
          <w:szCs w:val="24"/>
        </w:rPr>
      </w:pPr>
      <w:r>
        <w:rPr>
          <w:rFonts w:ascii="Arial Black" w:hAnsi="Arial Black"/>
          <w:b/>
          <w:bCs/>
          <w:sz w:val="24"/>
          <w:szCs w:val="24"/>
        </w:rPr>
        <w:t>13-25</w:t>
      </w:r>
      <w:r w:rsidR="0091755D">
        <w:rPr>
          <w:rFonts w:ascii="Arial Black" w:hAnsi="Arial Black"/>
          <w:b/>
          <w:bCs/>
          <w:sz w:val="24"/>
          <w:szCs w:val="24"/>
        </w:rPr>
        <w:t>5</w:t>
      </w:r>
    </w:p>
    <w:p w14:paraId="246F87CC" w14:textId="77777777" w:rsidR="007F7423" w:rsidRDefault="007F7423" w:rsidP="002B1283">
      <w:pPr>
        <w:rPr>
          <w:rFonts w:ascii="Arial Black" w:hAnsi="Arial Black"/>
          <w:b/>
          <w:bCs/>
          <w:sz w:val="28"/>
          <w:szCs w:val="28"/>
        </w:rPr>
      </w:pPr>
    </w:p>
    <w:p w14:paraId="75158E20" w14:textId="77777777" w:rsidR="00E14BE6" w:rsidRPr="00EC03B8" w:rsidRDefault="00E14BE6" w:rsidP="00E14BE6">
      <w:pPr>
        <w:pStyle w:val="NoSpacing"/>
        <w:rPr>
          <w:rFonts w:ascii="Arial Black" w:hAnsi="Arial Black"/>
          <w:sz w:val="28"/>
          <w:szCs w:val="28"/>
        </w:rPr>
      </w:pPr>
      <w:r>
        <w:rPr>
          <w:rFonts w:ascii="Arial Black" w:hAnsi="Arial Black"/>
          <w:sz w:val="28"/>
          <w:szCs w:val="28"/>
        </w:rPr>
        <w:t>PA: MOTORCYCLE PT TO NON-TRAUMA HOSP - IMMUNITY</w:t>
      </w:r>
    </w:p>
    <w:p w14:paraId="56FA4893" w14:textId="77777777" w:rsidR="00E14BE6" w:rsidRDefault="00E14BE6" w:rsidP="00E14BE6">
      <w:pPr>
        <w:pStyle w:val="NoSpacing"/>
      </w:pPr>
    </w:p>
    <w:p w14:paraId="5ABF1F6B" w14:textId="77777777" w:rsidR="00E14BE6" w:rsidRPr="008F6F62" w:rsidRDefault="00E14BE6" w:rsidP="00E14BE6">
      <w:pPr>
        <w:pStyle w:val="NoSpacing"/>
        <w:rPr>
          <w:bCs/>
        </w:rPr>
      </w:pPr>
      <w:r>
        <w:t xml:space="preserve">On April 23, 2026, in </w:t>
      </w:r>
      <w:r w:rsidRPr="006C06CA">
        <w:rPr>
          <w:u w:val="single"/>
        </w:rPr>
        <w:t>Kristin Claypoole and Melissa Knepp as Co-Administrators of the Estate of Glenn M. Noel v. Altoona-Logan Township Mobile Medical Emergency Department Authority d/b/a AMED</w:t>
      </w:r>
      <w:r>
        <w:t xml:space="preserve">, the </w:t>
      </w:r>
      <w:r w:rsidRPr="008F6F62">
        <w:t>Commonwealth Court of Pennsylvania</w:t>
      </w:r>
      <w:r>
        <w:t xml:space="preserve"> held (3 to 0) that trial court judge properly dismissed the lawsuit; the local EMS agency enjoys broad immunity under state law, unless proof of gross negligence or willful </w:t>
      </w:r>
      <w:proofErr w:type="spellStart"/>
      <w:r>
        <w:t>miscondict</w:t>
      </w:r>
      <w:proofErr w:type="spellEnd"/>
      <w:r>
        <w:t xml:space="preserve">. Accident was on October 25, transported at </w:t>
      </w:r>
      <w:r w:rsidRPr="00AF132A">
        <w:t>6:49 a.m.</w:t>
      </w:r>
      <w:r>
        <w:t xml:space="preserve"> to local hospital (7 minutes); not to Level II trauma hospital !9 minutes).   Approximately 3 1/2 hours later was transferred by ground transport (Air Care not available due to weather) to UPMC Altoona, where he died at 2:04 p.m. on October 26, </w:t>
      </w:r>
      <w:proofErr w:type="gramStart"/>
      <w:r>
        <w:t>2022</w:t>
      </w:r>
      <w:proofErr w:type="gramEnd"/>
      <w:r>
        <w:t xml:space="preserve"> from traumatic brain injury.  </w:t>
      </w:r>
      <w:hyperlink r:id="rId1917" w:history="1">
        <w:r w:rsidRPr="003C3573">
          <w:rPr>
            <w:rStyle w:val="Hyperlink"/>
          </w:rPr>
          <w:t>https://www.pacourts.us/assets/opinions/Commonwealth/out/196CD25_4-23-26.pdf?cb=1</w:t>
        </w:r>
      </w:hyperlink>
      <w:r>
        <w:t xml:space="preserve"> </w:t>
      </w:r>
    </w:p>
    <w:p w14:paraId="71253AEA" w14:textId="77777777" w:rsidR="00E14BE6" w:rsidRDefault="00E14BE6" w:rsidP="00E14BE6">
      <w:pPr>
        <w:pStyle w:val="NoSpacing"/>
      </w:pPr>
    </w:p>
    <w:p w14:paraId="3C520431" w14:textId="77777777" w:rsidR="00E14BE6" w:rsidRDefault="00E14BE6" w:rsidP="00E14BE6">
      <w:pPr>
        <w:pStyle w:val="NoSpacing"/>
      </w:pPr>
      <w:r>
        <w:t>THE COURT HELD:</w:t>
      </w:r>
    </w:p>
    <w:p w14:paraId="317795E8" w14:textId="77777777" w:rsidR="00E14BE6" w:rsidRDefault="00E14BE6" w:rsidP="00E14BE6">
      <w:pPr>
        <w:pStyle w:val="NoSpacing"/>
      </w:pPr>
    </w:p>
    <w:p w14:paraId="53BEB168" w14:textId="77777777" w:rsidR="00E14BE6" w:rsidRDefault="00E14BE6" w:rsidP="00E14BE6">
      <w:pPr>
        <w:pStyle w:val="NoSpacing"/>
        <w:ind w:left="720"/>
      </w:pPr>
      <w:r>
        <w:t>“</w:t>
      </w:r>
      <w:r w:rsidRPr="00F118CC">
        <w:t xml:space="preserve">The Complaint asserts </w:t>
      </w:r>
      <w:proofErr w:type="gramStart"/>
      <w:r w:rsidRPr="00F118CC">
        <w:t>claims</w:t>
      </w:r>
      <w:proofErr w:type="gramEnd"/>
      <w:r w:rsidRPr="00F118CC">
        <w:t xml:space="preserve"> for negligence/gross negligence (survival)</w:t>
      </w:r>
      <w:r>
        <w:t xml:space="preserve"> </w:t>
      </w:r>
      <w:r w:rsidRPr="00F118CC">
        <w:t>(Count I) and wrongful death (Count II) against AMED, chiefly alleging that AMED’s</w:t>
      </w:r>
      <w:r>
        <w:t xml:space="preserve"> </w:t>
      </w:r>
      <w:r w:rsidRPr="00F118CC">
        <w:t>failure to immediately transport Decedent to a Level I or II trauma center was</w:t>
      </w:r>
      <w:r>
        <w:t xml:space="preserve"> ‘</w:t>
      </w:r>
      <w:r w:rsidRPr="00F118CC">
        <w:t>negligent, grossly negligent, and reckless.</w:t>
      </w:r>
      <w:r>
        <w:t xml:space="preserve">’ </w:t>
      </w:r>
    </w:p>
    <w:p w14:paraId="55A8D199" w14:textId="77777777" w:rsidR="00E14BE6" w:rsidRDefault="00E14BE6" w:rsidP="00E14BE6">
      <w:pPr>
        <w:pStyle w:val="NoSpacing"/>
        <w:ind w:left="720"/>
      </w:pPr>
    </w:p>
    <w:p w14:paraId="487DCD39" w14:textId="77777777" w:rsidR="00E14BE6" w:rsidRDefault="00E14BE6" w:rsidP="00E14BE6">
      <w:pPr>
        <w:pStyle w:val="NoSpacing"/>
        <w:ind w:left="720"/>
      </w:pPr>
      <w:r>
        <w:t>***</w:t>
      </w:r>
    </w:p>
    <w:p w14:paraId="1D36DA1A" w14:textId="77777777" w:rsidR="00E14BE6" w:rsidRPr="00F118CC" w:rsidRDefault="00E14BE6" w:rsidP="00E14BE6">
      <w:pPr>
        <w:pStyle w:val="NoSpacing"/>
        <w:ind w:left="720"/>
      </w:pPr>
    </w:p>
    <w:p w14:paraId="5C59DB7B" w14:textId="77777777" w:rsidR="00E14BE6" w:rsidRDefault="00E14BE6" w:rsidP="00E14BE6">
      <w:pPr>
        <w:pStyle w:val="NoSpacing"/>
        <w:ind w:left="720"/>
      </w:pPr>
      <w:r w:rsidRPr="002D328B">
        <w:t>Because it also is undisputed</w:t>
      </w:r>
      <w:r>
        <w:t xml:space="preserve"> </w:t>
      </w:r>
      <w:r w:rsidRPr="002D328B">
        <w:t>that none of those exceptions apply here, we must determine whether, as the Estate</w:t>
      </w:r>
      <w:r>
        <w:t xml:space="preserve"> </w:t>
      </w:r>
      <w:r w:rsidRPr="002D328B">
        <w:t>argues, the General Assembly specifically intended to abrogate immunity for local</w:t>
      </w:r>
      <w:r>
        <w:t xml:space="preserve"> </w:t>
      </w:r>
      <w:r w:rsidRPr="002D328B">
        <w:t>agencies via Section 8151(2) of the EMSSA and permit claims for gross negligence or</w:t>
      </w:r>
      <w:r>
        <w:t xml:space="preserve"> </w:t>
      </w:r>
      <w:r w:rsidRPr="002D328B">
        <w:t>willful misconduct arising out of the provision of EMS care. See Doe v. Franklin</w:t>
      </w:r>
      <w:r>
        <w:t xml:space="preserve"> </w:t>
      </w:r>
      <w:r w:rsidRPr="002D328B">
        <w:t>County, 174 A.3d 593, 605 (Pa. 2017). We conclude that it did not.</w:t>
      </w:r>
      <w:r>
        <w:t>’</w:t>
      </w:r>
    </w:p>
    <w:p w14:paraId="7E45D4D2" w14:textId="77777777" w:rsidR="00E14BE6" w:rsidRDefault="00E14BE6" w:rsidP="00E14BE6">
      <w:pPr>
        <w:pStyle w:val="NoSpacing"/>
        <w:ind w:left="720"/>
      </w:pPr>
    </w:p>
    <w:p w14:paraId="58028602" w14:textId="77777777" w:rsidR="00E14BE6" w:rsidRDefault="00E14BE6" w:rsidP="00E14BE6">
      <w:pPr>
        <w:pStyle w:val="NoSpacing"/>
        <w:ind w:left="720"/>
      </w:pPr>
      <w:r>
        <w:t>***</w:t>
      </w:r>
    </w:p>
    <w:p w14:paraId="73DBCF2B" w14:textId="77777777" w:rsidR="00E14BE6" w:rsidRDefault="00E14BE6" w:rsidP="00E14BE6">
      <w:pPr>
        <w:pStyle w:val="NoSpacing"/>
      </w:pPr>
    </w:p>
    <w:p w14:paraId="52A799A9" w14:textId="77777777" w:rsidR="00E14BE6" w:rsidRDefault="00E14BE6" w:rsidP="00E14BE6">
      <w:pPr>
        <w:pStyle w:val="NoSpacing"/>
        <w:ind w:left="720"/>
      </w:pPr>
      <w:r>
        <w:t>The EMSSA [E</w:t>
      </w:r>
      <w:r w:rsidRPr="00E472D0">
        <w:t>mergency Medical Services System Act</w:t>
      </w:r>
      <w:r>
        <w:t xml:space="preserve">] enacted in 2009, is a comprehensive statute that regulates the provision of EMS in Pennsylvania… a single miscellaneous provision of the EMSSA, Section 8151(2), prohibits the liability of EMS agencies related to the good faith rendering of EMS care unless gross negligence or willful misconduct is established. 35 </w:t>
      </w:r>
      <w:proofErr w:type="spellStart"/>
      <w:r>
        <w:t>Pa.C.S</w:t>
      </w:r>
      <w:proofErr w:type="spellEnd"/>
      <w:r>
        <w:t>. § 8151(2).</w:t>
      </w:r>
    </w:p>
    <w:p w14:paraId="02BEB7BF" w14:textId="77777777" w:rsidR="00E14BE6" w:rsidRDefault="00E14BE6" w:rsidP="00E14BE6">
      <w:pPr>
        <w:pStyle w:val="NoSpacing"/>
        <w:ind w:left="720"/>
      </w:pPr>
    </w:p>
    <w:p w14:paraId="699BDB92" w14:textId="77777777" w:rsidR="00E14BE6" w:rsidRPr="000573EE" w:rsidRDefault="00E14BE6" w:rsidP="00E14BE6">
      <w:pPr>
        <w:pStyle w:val="NoSpacing"/>
        <w:ind w:left="1440"/>
      </w:pPr>
      <w:r w:rsidRPr="000573EE">
        <w:t>(2) No EMS agency, EMS agency medical director or EMS</w:t>
      </w:r>
      <w:r>
        <w:t xml:space="preserve"> </w:t>
      </w:r>
      <w:r w:rsidRPr="000573EE">
        <w:t>provider[4] who in good faith attempts to render or facilitate</w:t>
      </w:r>
      <w:r>
        <w:t xml:space="preserve"> </w:t>
      </w:r>
      <w:r w:rsidRPr="000573EE">
        <w:t>emergency medical care authorized by this chapter shall be</w:t>
      </w:r>
      <w:r>
        <w:t xml:space="preserve"> </w:t>
      </w:r>
      <w:r w:rsidRPr="000573EE">
        <w:t xml:space="preserve">liable for civil damages </w:t>
      </w:r>
      <w:proofErr w:type="gramStart"/>
      <w:r w:rsidRPr="000573EE">
        <w:t>as a result of</w:t>
      </w:r>
      <w:proofErr w:type="gramEnd"/>
      <w:r w:rsidRPr="000573EE">
        <w:t xml:space="preserve"> an act or omission,</w:t>
      </w:r>
      <w:r>
        <w:t xml:space="preserve"> </w:t>
      </w:r>
      <w:r w:rsidRPr="000573EE">
        <w:t>absent a showing of gross negligence or willful</w:t>
      </w:r>
      <w:r>
        <w:t xml:space="preserve"> </w:t>
      </w:r>
      <w:r w:rsidRPr="000573EE">
        <w:t>misconduct. This paragraph shall also apply to students</w:t>
      </w:r>
      <w:r>
        <w:t xml:space="preserve"> </w:t>
      </w:r>
      <w:r w:rsidRPr="000573EE">
        <w:t>enrolled in approved courses of instruction and supervised</w:t>
      </w:r>
      <w:r>
        <w:t xml:space="preserve"> </w:t>
      </w:r>
      <w:r w:rsidRPr="000573EE">
        <w:t>pursuant to rules and regulations.</w:t>
      </w:r>
      <w:r>
        <w:t>”</w:t>
      </w:r>
    </w:p>
    <w:p w14:paraId="1B43714C" w14:textId="77777777" w:rsidR="00E14BE6" w:rsidRPr="000573EE" w:rsidRDefault="00E14BE6" w:rsidP="00E14BE6">
      <w:pPr>
        <w:pStyle w:val="NoSpacing"/>
      </w:pPr>
    </w:p>
    <w:p w14:paraId="055E2164" w14:textId="77777777" w:rsidR="00E14BE6" w:rsidRPr="00F71EF9" w:rsidRDefault="00E14BE6" w:rsidP="00E14BE6">
      <w:pPr>
        <w:pStyle w:val="NoSpacing"/>
        <w:rPr>
          <w:b/>
        </w:rPr>
      </w:pPr>
      <w:r>
        <w:rPr>
          <w:b/>
        </w:rPr>
        <w:t xml:space="preserve">Legal lesson learned: EMS agencies have broad immunity; follow your protocol on when to call Air Care for head trauma, and when to transport to Level I or II trauma hospital. </w:t>
      </w:r>
    </w:p>
    <w:p w14:paraId="4FA7D7FB" w14:textId="77777777" w:rsidR="00E14BE6" w:rsidRDefault="00E14BE6" w:rsidP="002B1283">
      <w:pPr>
        <w:rPr>
          <w:rFonts w:ascii="Arial Black" w:hAnsi="Arial Black"/>
          <w:b/>
          <w:bCs/>
          <w:sz w:val="28"/>
          <w:szCs w:val="28"/>
        </w:rPr>
      </w:pPr>
    </w:p>
    <w:p w14:paraId="5E665B1B" w14:textId="7BE288C2" w:rsidR="00756ACB" w:rsidRDefault="00756ACB" w:rsidP="00756ACB">
      <w:pPr>
        <w:rPr>
          <w:rFonts w:ascii="Arial Black" w:hAnsi="Arial Black"/>
          <w:b/>
          <w:bCs/>
          <w:sz w:val="24"/>
          <w:szCs w:val="24"/>
        </w:rPr>
      </w:pPr>
      <w:r>
        <w:rPr>
          <w:rFonts w:ascii="Arial Black" w:hAnsi="Arial Black"/>
          <w:b/>
          <w:bCs/>
          <w:sz w:val="24"/>
          <w:szCs w:val="24"/>
        </w:rPr>
        <w:t>13-254</w:t>
      </w:r>
    </w:p>
    <w:p w14:paraId="6B9A7B5F" w14:textId="77777777" w:rsidR="00A93BF7" w:rsidRPr="003E1686" w:rsidRDefault="00A93BF7" w:rsidP="00A93BF7">
      <w:pPr>
        <w:pStyle w:val="NoSpacing"/>
        <w:rPr>
          <w:rFonts w:ascii="Arial Black" w:hAnsi="Arial Black"/>
          <w:sz w:val="28"/>
          <w:szCs w:val="28"/>
        </w:rPr>
      </w:pPr>
      <w:r>
        <w:rPr>
          <w:rFonts w:ascii="Arial Black" w:hAnsi="Arial Black"/>
          <w:sz w:val="28"/>
          <w:szCs w:val="28"/>
        </w:rPr>
        <w:lastRenderedPageBreak/>
        <w:t xml:space="preserve">VA: MED RECORS – JUSTICE GINSBURG - 2 YRS PRISON </w:t>
      </w:r>
    </w:p>
    <w:p w14:paraId="207BD8D6" w14:textId="77777777" w:rsidR="00A93BF7" w:rsidRDefault="00A93BF7" w:rsidP="00A93BF7">
      <w:pPr>
        <w:pStyle w:val="NoSpacing"/>
      </w:pPr>
    </w:p>
    <w:p w14:paraId="4A3A3DD1" w14:textId="77777777" w:rsidR="00A93BF7" w:rsidRDefault="00A93BF7" w:rsidP="00A93BF7">
      <w:pPr>
        <w:pStyle w:val="NoSpacing"/>
      </w:pPr>
      <w:r>
        <w:t xml:space="preserve">On April 14, 2026 in </w:t>
      </w:r>
      <w:r w:rsidRPr="003E1686">
        <w:rPr>
          <w:u w:val="single"/>
        </w:rPr>
        <w:t>United States of America v. Trent James Russell</w:t>
      </w:r>
      <w:r>
        <w:t xml:space="preserve">, the U.S. Court of Appeals for the Fourth Circuit (Richmond, VA) held (3 to 0) that jury properly found Russell guilty of (1) destroying and altering records, and (2) obtaining individually identifiable health information, and trial court sentenced him to </w:t>
      </w:r>
      <w:r w:rsidRPr="00EE3E0E">
        <w:t>twenty-four months’ imprisonment</w:t>
      </w:r>
      <w:r>
        <w:t xml:space="preserve"> for posting on Twitter a screenshot of the George Washington University hospital’s patient search screen, which highlighted Justice Ginsburg’s name and showed the dates of ten visits, along with medical services she received (which included radiology, oncology, and surgery services). Based</w:t>
      </w:r>
    </w:p>
    <w:p w14:paraId="37625DFB" w14:textId="77777777" w:rsidR="00A93BF7" w:rsidRDefault="00A93BF7" w:rsidP="00A93BF7">
      <w:pPr>
        <w:pStyle w:val="NoSpacing"/>
      </w:pPr>
      <w:r>
        <w:t>on the dates captured in the screenshot, it was taken between December 31, 2018, and</w:t>
      </w:r>
    </w:p>
    <w:p w14:paraId="53BC44F8" w14:textId="77777777" w:rsidR="00A93BF7" w:rsidRDefault="00A93BF7" w:rsidP="00A93BF7">
      <w:pPr>
        <w:pStyle w:val="NoSpacing"/>
      </w:pPr>
      <w:r>
        <w:t xml:space="preserve">January 9, 2019. </w:t>
      </w:r>
      <w:hyperlink r:id="rId1918" w:history="1">
        <w:r w:rsidRPr="009126C9">
          <w:rPr>
            <w:rStyle w:val="Hyperlink"/>
          </w:rPr>
          <w:t>https://www.ca4.uscourts.gov/opinions/244620.P.pd</w:t>
        </w:r>
      </w:hyperlink>
      <w:r>
        <w:t xml:space="preserve"> </w:t>
      </w:r>
    </w:p>
    <w:p w14:paraId="78AEAF50" w14:textId="77777777" w:rsidR="00A93BF7" w:rsidRDefault="00A93BF7" w:rsidP="00A93BF7">
      <w:pPr>
        <w:pStyle w:val="NoSpacing"/>
      </w:pPr>
    </w:p>
    <w:p w14:paraId="60888C5E" w14:textId="77777777" w:rsidR="00A93BF7" w:rsidRDefault="00A93BF7" w:rsidP="00A93BF7">
      <w:pPr>
        <w:pStyle w:val="NoSpacing"/>
      </w:pPr>
      <w:r>
        <w:t>THE COURT WROTE:</w:t>
      </w:r>
    </w:p>
    <w:p w14:paraId="717DD92C" w14:textId="77777777" w:rsidR="00A93BF7" w:rsidRDefault="00A93BF7" w:rsidP="00A93BF7">
      <w:pPr>
        <w:pStyle w:val="NoSpacing"/>
        <w:ind w:firstLine="720"/>
      </w:pPr>
    </w:p>
    <w:p w14:paraId="040163D3" w14:textId="77777777" w:rsidR="00A93BF7" w:rsidRDefault="00A93BF7" w:rsidP="00A93BF7">
      <w:pPr>
        <w:pStyle w:val="NoSpacing"/>
        <w:ind w:firstLine="720"/>
      </w:pPr>
      <w:r>
        <w:t>“Before Supreme Court Justice Ruth Bader Ginsburg passed away, someone posted</w:t>
      </w:r>
    </w:p>
    <w:p w14:paraId="445F4C6D" w14:textId="77777777" w:rsidR="00A93BF7" w:rsidRDefault="00A93BF7" w:rsidP="00A93BF7">
      <w:pPr>
        <w:pStyle w:val="NoSpacing"/>
        <w:ind w:firstLine="720"/>
      </w:pPr>
      <w:r>
        <w:t>a screenshot of her private medical information on the internet. The information related to</w:t>
      </w:r>
    </w:p>
    <w:p w14:paraId="1703C2F9" w14:textId="77777777" w:rsidR="00A93BF7" w:rsidRDefault="00A93BF7" w:rsidP="00A93BF7">
      <w:pPr>
        <w:pStyle w:val="NoSpacing"/>
        <w:ind w:left="720"/>
      </w:pPr>
      <w:r>
        <w:t>treatment the Justice received at George Washington University Hospital. An investigation led federal agents to Trent Russell, who worked for a company with access to the hospital’s medical records.</w:t>
      </w:r>
    </w:p>
    <w:p w14:paraId="065B87FA" w14:textId="77777777" w:rsidR="00A93BF7" w:rsidRDefault="00A93BF7" w:rsidP="00A93BF7">
      <w:pPr>
        <w:pStyle w:val="NoSpacing"/>
        <w:ind w:left="720"/>
      </w:pPr>
    </w:p>
    <w:p w14:paraId="007C3A2C" w14:textId="77777777" w:rsidR="00A93BF7" w:rsidRDefault="00A93BF7" w:rsidP="00A93BF7">
      <w:pPr>
        <w:pStyle w:val="NoSpacing"/>
        <w:ind w:left="720"/>
      </w:pPr>
      <w:r>
        <w:t>***</w:t>
      </w:r>
    </w:p>
    <w:p w14:paraId="38D04DE0" w14:textId="77777777" w:rsidR="00A93BF7" w:rsidRDefault="00A93BF7" w:rsidP="00A93BF7">
      <w:pPr>
        <w:pStyle w:val="NoSpacing"/>
        <w:ind w:left="720"/>
      </w:pPr>
      <w:r>
        <w:t>That led him to Russell, who worked for a non-profit that facilitates organ donations.</w:t>
      </w:r>
    </w:p>
    <w:p w14:paraId="2A486471" w14:textId="77777777" w:rsidR="00A93BF7" w:rsidRDefault="00A93BF7" w:rsidP="00A93BF7">
      <w:pPr>
        <w:pStyle w:val="NoSpacing"/>
        <w:ind w:left="720"/>
      </w:pPr>
      <w:r>
        <w:t>Russell’s position gave him both on-site and remote access to patient medical records and</w:t>
      </w:r>
    </w:p>
    <w:p w14:paraId="36420EBB" w14:textId="77777777" w:rsidR="00A93BF7" w:rsidRDefault="00A93BF7" w:rsidP="00A93BF7">
      <w:pPr>
        <w:pStyle w:val="NoSpacing"/>
        <w:ind w:left="720"/>
      </w:pPr>
      <w:r>
        <w:t>other hospital data.”</w:t>
      </w:r>
    </w:p>
    <w:p w14:paraId="1F3BE0F2" w14:textId="77777777" w:rsidR="00A93BF7" w:rsidRDefault="00A93BF7" w:rsidP="00A93BF7">
      <w:pPr>
        <w:pStyle w:val="NoSpacing"/>
        <w:ind w:left="720"/>
      </w:pPr>
    </w:p>
    <w:p w14:paraId="5731628E" w14:textId="77777777" w:rsidR="00A93BF7" w:rsidRPr="00301C5F" w:rsidRDefault="00A93BF7" w:rsidP="00A93BF7">
      <w:pPr>
        <w:rPr>
          <w:b/>
          <w:bCs/>
        </w:rPr>
      </w:pPr>
      <w:r>
        <w:rPr>
          <w:b/>
        </w:rPr>
        <w:t xml:space="preserve">Legal lesson learned:  </w:t>
      </w:r>
      <w:r w:rsidRPr="00677791">
        <w:rPr>
          <w:b/>
        </w:rPr>
        <w:t>Disclosure of individually identifiable health information can lead to criminal indictment and prison</w:t>
      </w:r>
      <w:r>
        <w:rPr>
          <w:b/>
        </w:rPr>
        <w:t xml:space="preserve">. </w:t>
      </w:r>
    </w:p>
    <w:p w14:paraId="1C9EB5BC" w14:textId="77777777" w:rsidR="00A93BF7" w:rsidRDefault="00A93BF7" w:rsidP="00A93BF7">
      <w:pPr>
        <w:pStyle w:val="NoSpacing"/>
        <w:ind w:left="720"/>
      </w:pPr>
      <w:r>
        <w:t xml:space="preserve">Note: See HIPAA Violations – 2026.  </w:t>
      </w:r>
      <w:hyperlink r:id="rId1919" w:history="1">
        <w:r w:rsidRPr="009126C9">
          <w:rPr>
            <w:rStyle w:val="Hyperlink"/>
          </w:rPr>
          <w:t>https://www.hipaajournal.com/hipaa-violation-cases/</w:t>
        </w:r>
      </w:hyperlink>
      <w:r>
        <w:t xml:space="preserve"> </w:t>
      </w:r>
    </w:p>
    <w:p w14:paraId="2B0D70F5" w14:textId="77777777" w:rsidR="00A93BF7" w:rsidRDefault="00A93BF7" w:rsidP="002B1283">
      <w:pPr>
        <w:rPr>
          <w:rFonts w:ascii="Arial Black" w:hAnsi="Arial Black"/>
          <w:b/>
          <w:bCs/>
          <w:sz w:val="28"/>
          <w:szCs w:val="28"/>
        </w:rPr>
      </w:pPr>
    </w:p>
    <w:p w14:paraId="32F04E91" w14:textId="02048C69" w:rsidR="00756ACB" w:rsidRDefault="00756ACB" w:rsidP="00756ACB">
      <w:pPr>
        <w:rPr>
          <w:rFonts w:ascii="Arial Black" w:hAnsi="Arial Black"/>
          <w:b/>
          <w:bCs/>
          <w:sz w:val="24"/>
          <w:szCs w:val="24"/>
        </w:rPr>
      </w:pPr>
      <w:r>
        <w:rPr>
          <w:rFonts w:ascii="Arial Black" w:hAnsi="Arial Black"/>
          <w:b/>
          <w:bCs/>
          <w:sz w:val="24"/>
          <w:szCs w:val="24"/>
        </w:rPr>
        <w:t>13-253</w:t>
      </w:r>
    </w:p>
    <w:p w14:paraId="707A49E4" w14:textId="77777777" w:rsidR="00756ACB" w:rsidRDefault="00756ACB" w:rsidP="00756ACB">
      <w:pPr>
        <w:pStyle w:val="NoSpacing"/>
        <w:rPr>
          <w:rFonts w:ascii="Arial Black" w:hAnsi="Arial Black"/>
          <w:b/>
          <w:color w:val="000000" w:themeColor="text1"/>
          <w:sz w:val="28"/>
          <w:szCs w:val="28"/>
        </w:rPr>
      </w:pPr>
      <w:r>
        <w:rPr>
          <w:rFonts w:ascii="Arial Black" w:hAnsi="Arial Black"/>
          <w:b/>
          <w:color w:val="000000" w:themeColor="text1"/>
          <w:sz w:val="28"/>
          <w:szCs w:val="28"/>
        </w:rPr>
        <w:t>NV: EMS OPER MGR – FIRED / ALS CREW – NO RETALIATION</w:t>
      </w:r>
    </w:p>
    <w:p w14:paraId="1E71B341" w14:textId="77777777" w:rsidR="00756ACB" w:rsidRDefault="00756ACB" w:rsidP="00756ACB">
      <w:pPr>
        <w:pStyle w:val="NoSpacing"/>
        <w:rPr>
          <w:rFonts w:ascii="Arial Black" w:hAnsi="Arial Black"/>
          <w:b/>
          <w:color w:val="000000" w:themeColor="text1"/>
          <w:sz w:val="28"/>
          <w:szCs w:val="28"/>
        </w:rPr>
      </w:pPr>
    </w:p>
    <w:p w14:paraId="0AF68F2C" w14:textId="77777777" w:rsidR="00756ACB" w:rsidRDefault="00756ACB" w:rsidP="00756ACB">
      <w:pPr>
        <w:pStyle w:val="NoSpacing"/>
      </w:pPr>
      <w:r>
        <w:rPr>
          <w:color w:val="000000" w:themeColor="text1"/>
        </w:rPr>
        <w:t xml:space="preserve">On March 27, 2026, in </w:t>
      </w:r>
      <w:r w:rsidRPr="006D5B67">
        <w:rPr>
          <w:color w:val="000000" w:themeColor="text1"/>
          <w:u w:val="single"/>
        </w:rPr>
        <w:t>Dusty Allen v. Mercy, Inc</w:t>
      </w:r>
      <w:r>
        <w:rPr>
          <w:color w:val="000000" w:themeColor="text1"/>
        </w:rPr>
        <w:t xml:space="preserve">., U.S. District Court Judge </w:t>
      </w:r>
      <w:r w:rsidRPr="000F569F">
        <w:rPr>
          <w:color w:val="000000" w:themeColor="text1"/>
        </w:rPr>
        <w:t>Gloria M. Navarro,</w:t>
      </w:r>
      <w:r>
        <w:rPr>
          <w:color w:val="000000" w:themeColor="text1"/>
        </w:rPr>
        <w:t xml:space="preserve"> United States District Court for the District of Nevada, granted the employer’s motion for summary judgment; fired because of a weekend staffing shortage of ALS medics for one hour – a </w:t>
      </w:r>
      <w:r w:rsidRPr="00A92472">
        <w:rPr>
          <w:color w:val="000000" w:themeColor="text1"/>
        </w:rPr>
        <w:t>“critical system failure.”</w:t>
      </w:r>
      <w:r>
        <w:rPr>
          <w:color w:val="000000" w:themeColor="text1"/>
        </w:rPr>
        <w:t xml:space="preserve"> </w:t>
      </w:r>
      <w:r w:rsidRPr="00806927">
        <w:rPr>
          <w:color w:val="000000" w:themeColor="text1"/>
        </w:rPr>
        <w:t xml:space="preserve">Plaintiff </w:t>
      </w:r>
      <w:r>
        <w:rPr>
          <w:color w:val="000000" w:themeColor="text1"/>
        </w:rPr>
        <w:t>alleges</w:t>
      </w:r>
      <w:r w:rsidRPr="00806927">
        <w:rPr>
          <w:color w:val="000000" w:themeColor="text1"/>
        </w:rPr>
        <w:t xml:space="preserve"> he was terminated because </w:t>
      </w:r>
      <w:r>
        <w:rPr>
          <w:color w:val="000000" w:themeColor="text1"/>
        </w:rPr>
        <w:t xml:space="preserve">one month earlier </w:t>
      </w:r>
      <w:r w:rsidRPr="00806927">
        <w:rPr>
          <w:color w:val="000000" w:themeColor="text1"/>
        </w:rPr>
        <w:t>he confronted his supervisor, Kirk Schmitt, Regional Director of Southern Nevada, about two female coworkers</w:t>
      </w:r>
      <w:r>
        <w:rPr>
          <w:color w:val="000000" w:themeColor="text1"/>
        </w:rPr>
        <w:t xml:space="preserve"> uncomfortable with manager comments.  But Court referenced plaintiff’s deposition testimony -  he wasn’t making a formal report of sexual harassment complaints by two women, he was</w:t>
      </w:r>
      <w:r>
        <w:t xml:space="preserve"> merely trying to </w:t>
      </w:r>
      <w:r w:rsidRPr="00FF08F8">
        <w:t>“fix. . . a toxic work environment</w:t>
      </w:r>
      <w:r>
        <w:t xml:space="preserve">.” </w:t>
      </w:r>
      <w:hyperlink r:id="rId1920" w:history="1">
        <w:r w:rsidRPr="00A849F7">
          <w:rPr>
            <w:rStyle w:val="Hyperlink"/>
          </w:rPr>
          <w:t>https://public.fastcase.com/Jhe1Qn%2BmJndQYQU6z%2FeNm2IRLtoYkrU6PXL9o8jwzst%2FNdrzc21hLfx%2B7rIFE%2Fjg?utm_medium=email&amp;_hsenc=p2ANqtz--U5QylLiDrvLvgZPxLp1UD1XwB_7biW9lkq8qHdnYocPTAWXoAY4eWtL30hGAHlHHG6f150Lk3QwJZsSzIIPSSPKfBlQ&amp;_hsmi=226712652&amp;utm_content=226712652&amp;utm_source=hs_email</w:t>
        </w:r>
      </w:hyperlink>
      <w:r>
        <w:t xml:space="preserve"> </w:t>
      </w:r>
    </w:p>
    <w:p w14:paraId="2FDF3432" w14:textId="77777777" w:rsidR="00756ACB" w:rsidRDefault="00756ACB" w:rsidP="00756ACB">
      <w:pPr>
        <w:pStyle w:val="NoSpacing"/>
        <w:rPr>
          <w:color w:val="000000" w:themeColor="text1"/>
        </w:rPr>
      </w:pPr>
    </w:p>
    <w:p w14:paraId="20E23842" w14:textId="77777777" w:rsidR="00756ACB" w:rsidRDefault="00756ACB" w:rsidP="00756ACB">
      <w:pPr>
        <w:pStyle w:val="NoSpacing"/>
        <w:rPr>
          <w:color w:val="000000" w:themeColor="text1"/>
        </w:rPr>
      </w:pPr>
      <w:r>
        <w:rPr>
          <w:color w:val="000000" w:themeColor="text1"/>
        </w:rPr>
        <w:t xml:space="preserve">THE COURT HELD: </w:t>
      </w:r>
    </w:p>
    <w:p w14:paraId="21950A81" w14:textId="77777777" w:rsidR="00756ACB" w:rsidRDefault="00756ACB" w:rsidP="00756ACB">
      <w:pPr>
        <w:pStyle w:val="NoSpacing"/>
        <w:rPr>
          <w:color w:val="000000" w:themeColor="text1"/>
        </w:rPr>
      </w:pPr>
    </w:p>
    <w:p w14:paraId="6DC0B820" w14:textId="77777777" w:rsidR="00756ACB" w:rsidRDefault="00756ACB" w:rsidP="00756ACB">
      <w:pPr>
        <w:pStyle w:val="NoSpacing"/>
        <w:ind w:left="720"/>
      </w:pPr>
      <w:r>
        <w:rPr>
          <w:color w:val="000000" w:themeColor="text1"/>
        </w:rPr>
        <w:t xml:space="preserve">“Plaintiff’s job duties </w:t>
      </w:r>
      <w:r>
        <w:t>a</w:t>
      </w:r>
      <w:r w:rsidRPr="00F772E3">
        <w:t>s an Operations Manager, Plaintiff's job duties included working with the scheduling department and his team of operations supervisors to ensure that there was adequate employee coverage</w:t>
      </w:r>
      <w:r>
        <w:t xml:space="preserve"> for </w:t>
      </w:r>
      <w:r w:rsidRPr="00FB30E3">
        <w:t xml:space="preserve">has two locations in Las Vegas: </w:t>
      </w:r>
      <w:proofErr w:type="spellStart"/>
      <w:r w:rsidRPr="00FB30E3">
        <w:t>MedicWest</w:t>
      </w:r>
      <w:proofErr w:type="spellEnd"/>
      <w:r w:rsidRPr="00FB30E3">
        <w:t xml:space="preserve"> and American Medical Response (</w:t>
      </w:r>
      <w:r>
        <w:t>‘</w:t>
      </w:r>
      <w:r w:rsidRPr="00FB30E3">
        <w:t>AMR</w:t>
      </w:r>
      <w:r>
        <w:t>’</w:t>
      </w:r>
      <w:r w:rsidRPr="00FB30E3">
        <w:t>).</w:t>
      </w:r>
      <w:r>
        <w:t xml:space="preserve">  </w:t>
      </w:r>
    </w:p>
    <w:p w14:paraId="1564857C" w14:textId="77777777" w:rsidR="00756ACB" w:rsidRDefault="00756ACB" w:rsidP="00756ACB">
      <w:pPr>
        <w:pStyle w:val="NoSpacing"/>
        <w:ind w:left="720"/>
      </w:pPr>
    </w:p>
    <w:p w14:paraId="4C61A237" w14:textId="77777777" w:rsidR="00756ACB" w:rsidRDefault="00756ACB" w:rsidP="00756ACB">
      <w:pPr>
        <w:pStyle w:val="NoSpacing"/>
        <w:ind w:left="720"/>
      </w:pPr>
      <w:r>
        <w:lastRenderedPageBreak/>
        <w:t>***</w:t>
      </w:r>
    </w:p>
    <w:p w14:paraId="5898EC59" w14:textId="77777777" w:rsidR="00756ACB" w:rsidRDefault="00756ACB" w:rsidP="00756ACB">
      <w:pPr>
        <w:pStyle w:val="NoSpacing"/>
        <w:ind w:left="720"/>
      </w:pPr>
      <w:r w:rsidRPr="00211E94">
        <w:t xml:space="preserve">On September 25, 2023, Plaintiff had a conversation with a female coworker, Audra, who expressed to Plaintiff that she does not like Schmitt because he makes </w:t>
      </w:r>
      <w:r>
        <w:t>‘</w:t>
      </w:r>
      <w:r w:rsidRPr="00211E94">
        <w:t>comments that [are] sexist in nature,</w:t>
      </w:r>
      <w:r>
        <w:t>’</w:t>
      </w:r>
      <w:r w:rsidRPr="00211E94">
        <w:t xml:space="preserve"> and feels uncomfortable around him</w:t>
      </w:r>
      <w:r>
        <w:t xml:space="preserve">…. </w:t>
      </w:r>
      <w:r w:rsidRPr="00211E94">
        <w:t>Another female coworker, Stephanie, also expressed to Audra that she was uncomfortable being around Schmitt because of the sexist comments he makes</w:t>
      </w:r>
      <w:r>
        <w:t>…. Pla</w:t>
      </w:r>
      <w:r w:rsidRPr="00211E94">
        <w:t xml:space="preserve">intiff does not know what the sexist comments made were. </w:t>
      </w:r>
      <w:r w:rsidRPr="009B08C7">
        <w:t>But Plaintiff encouraged Audra to report the allegations to HR and told her to advise Stephanie to do the same.</w:t>
      </w:r>
    </w:p>
    <w:p w14:paraId="7DB00066" w14:textId="77777777" w:rsidR="00756ACB" w:rsidRDefault="00756ACB" w:rsidP="00756ACB">
      <w:pPr>
        <w:pStyle w:val="NoSpacing"/>
        <w:ind w:left="720"/>
      </w:pPr>
    </w:p>
    <w:p w14:paraId="640C42BD" w14:textId="77777777" w:rsidR="00756ACB" w:rsidRDefault="00756ACB" w:rsidP="00756ACB">
      <w:pPr>
        <w:pStyle w:val="NoSpacing"/>
        <w:ind w:left="720"/>
      </w:pPr>
      <w:r>
        <w:t>***</w:t>
      </w:r>
    </w:p>
    <w:p w14:paraId="456925E6" w14:textId="77777777" w:rsidR="00756ACB" w:rsidRDefault="00756ACB" w:rsidP="00756ACB">
      <w:pPr>
        <w:pStyle w:val="NoSpacing"/>
        <w:ind w:left="720"/>
      </w:pPr>
      <w:r>
        <w:t xml:space="preserve">[Two days later] </w:t>
      </w:r>
      <w:r w:rsidRPr="00B51821">
        <w:t>Plaintiff confronted Schmitt about the allegations two days after his conversation with Audra</w:t>
      </w:r>
      <w:r>
        <w:t xml:space="preserve">…. </w:t>
      </w:r>
      <w:r w:rsidRPr="00B51821">
        <w:t>Plaintiff also spoke with Schmitt about the way he generally spoke to people, both men and women</w:t>
      </w:r>
      <w:r>
        <w:t xml:space="preserve">…. </w:t>
      </w:r>
      <w:r w:rsidRPr="00B51821">
        <w:t>Plaintiff details that Schmitt was rude and condescending to a coworker, made another coworker cry, and raised his voice frequently</w:t>
      </w:r>
      <w:r>
        <w:t>….</w:t>
      </w:r>
      <w:r w:rsidRPr="00B51821">
        <w:t xml:space="preserve">Plaintiff's goal in speaking with Schmitt was to get him </w:t>
      </w:r>
      <w:r>
        <w:t>‘</w:t>
      </w:r>
      <w:r w:rsidRPr="00B51821">
        <w:t>to be a little bit more mindful of the interactions he had.</w:t>
      </w:r>
      <w:r>
        <w:t xml:space="preserve">’ </w:t>
      </w:r>
      <w:r w:rsidRPr="00B51821">
        <w:t xml:space="preserve">Plaintiff states that </w:t>
      </w:r>
      <w:r>
        <w:t>‘</w:t>
      </w:r>
      <w:r w:rsidRPr="00B51821">
        <w:t>the spirit of the conversation</w:t>
      </w:r>
      <w:r>
        <w:t>’</w:t>
      </w:r>
      <w:r w:rsidRPr="00B51821">
        <w:t xml:space="preserve"> with Schmitt was to </w:t>
      </w:r>
      <w:r>
        <w:t>‘</w:t>
      </w:r>
      <w:r w:rsidRPr="00B51821">
        <w:t>fix. . . a toxic work environment. . . [and] if there was any sort of inappropriate [sic] with the [sexist] comments, that was up for the corporate HR to discuss and investigate.</w:t>
      </w:r>
      <w:r>
        <w:t>’</w:t>
      </w:r>
    </w:p>
    <w:p w14:paraId="6DDFCF34" w14:textId="77777777" w:rsidR="00756ACB" w:rsidRDefault="00756ACB" w:rsidP="00756ACB">
      <w:pPr>
        <w:pStyle w:val="NoSpacing"/>
        <w:ind w:left="720"/>
      </w:pPr>
    </w:p>
    <w:p w14:paraId="3E1CF840" w14:textId="77777777" w:rsidR="00756ACB" w:rsidRDefault="00756ACB" w:rsidP="00756ACB">
      <w:pPr>
        <w:pStyle w:val="NoSpacing"/>
        <w:ind w:left="720"/>
      </w:pPr>
      <w:r>
        <w:t>***</w:t>
      </w:r>
    </w:p>
    <w:p w14:paraId="786C7A8D" w14:textId="77777777" w:rsidR="00756ACB" w:rsidRDefault="00756ACB" w:rsidP="00756ACB">
      <w:pPr>
        <w:pStyle w:val="NoSpacing"/>
        <w:ind w:left="720"/>
      </w:pPr>
      <w:r w:rsidRPr="00154A82">
        <w:t xml:space="preserve">Making an informal complaint to a supervisor can be considered a protected activity, </w:t>
      </w:r>
      <w:r w:rsidRPr="00154A82">
        <w:rPr>
          <w:i/>
          <w:iCs/>
        </w:rPr>
        <w:t>if</w:t>
      </w:r>
      <w:r w:rsidRPr="00154A82">
        <w:t xml:space="preserve"> Plaintiff was acting on a reasonable belief that an unlawful employment practice had occurred.</w:t>
      </w:r>
      <w:r>
        <w:t xml:space="preserve"> </w:t>
      </w:r>
      <w:r w:rsidRPr="00BA635F">
        <w:t>Indeed, Plaintiff did not know whether any unlawful employment practices had occurred, took no position on whether he thought an unlawful act occurred, and instead deferred to HR to investigate whether there was anything inappropriate about the sexist comments. Thus, Defendant meets its initial burden of negating an essential element of Plaintiff's claim-the element of protected activity.</w:t>
      </w:r>
      <w:r>
        <w:t>”</w:t>
      </w:r>
    </w:p>
    <w:p w14:paraId="74A6621D" w14:textId="77777777" w:rsidR="00756ACB" w:rsidRDefault="00756ACB" w:rsidP="00756ACB">
      <w:pPr>
        <w:pStyle w:val="NoSpacing"/>
        <w:ind w:left="720"/>
      </w:pPr>
    </w:p>
    <w:p w14:paraId="2E0EEC25" w14:textId="77777777" w:rsidR="00756ACB" w:rsidRPr="00BA635F" w:rsidRDefault="00756ACB" w:rsidP="00756ACB">
      <w:pPr>
        <w:rPr>
          <w:b/>
          <w:bCs/>
        </w:rPr>
      </w:pPr>
      <w:r>
        <w:rPr>
          <w:b/>
        </w:rPr>
        <w:t xml:space="preserve">Legal lesson learned:  Employer terminated plaintiff for gross misconduct. </w:t>
      </w:r>
    </w:p>
    <w:p w14:paraId="22AD614B" w14:textId="77777777" w:rsidR="00756ACB" w:rsidRDefault="00756ACB" w:rsidP="002B1283">
      <w:pPr>
        <w:rPr>
          <w:rFonts w:ascii="Arial Black" w:hAnsi="Arial Black"/>
          <w:b/>
          <w:bCs/>
          <w:sz w:val="28"/>
          <w:szCs w:val="28"/>
        </w:rPr>
      </w:pPr>
    </w:p>
    <w:p w14:paraId="38C4BEA5" w14:textId="77777777" w:rsidR="001150EA" w:rsidRDefault="001150EA" w:rsidP="00004498">
      <w:pPr>
        <w:rPr>
          <w:rFonts w:ascii="Arial Black" w:hAnsi="Arial Black"/>
          <w:b/>
          <w:bCs/>
          <w:sz w:val="24"/>
          <w:szCs w:val="24"/>
        </w:rPr>
      </w:pPr>
    </w:p>
    <w:p w14:paraId="1FC16693" w14:textId="77777777" w:rsidR="001150EA" w:rsidRDefault="001150EA" w:rsidP="00004498">
      <w:pPr>
        <w:rPr>
          <w:rFonts w:ascii="Arial Black" w:hAnsi="Arial Black"/>
          <w:b/>
          <w:bCs/>
          <w:sz w:val="24"/>
          <w:szCs w:val="24"/>
        </w:rPr>
      </w:pPr>
    </w:p>
    <w:p w14:paraId="6F9AB0E4" w14:textId="77777777" w:rsidR="001150EA" w:rsidRDefault="001150EA" w:rsidP="00004498">
      <w:pPr>
        <w:rPr>
          <w:rFonts w:ascii="Arial Black" w:hAnsi="Arial Black"/>
          <w:b/>
          <w:bCs/>
          <w:sz w:val="24"/>
          <w:szCs w:val="24"/>
        </w:rPr>
      </w:pPr>
    </w:p>
    <w:p w14:paraId="3C30CCCA" w14:textId="5988C92D" w:rsidR="00B170D7" w:rsidRDefault="00B170D7"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252</w:t>
      </w:r>
    </w:p>
    <w:p w14:paraId="00C9DBE0" w14:textId="77777777" w:rsidR="00DD2FCE" w:rsidRPr="00226169" w:rsidRDefault="00DD2FCE" w:rsidP="00DD2FCE">
      <w:pPr>
        <w:pStyle w:val="NoSpacing"/>
        <w:rPr>
          <w:rFonts w:ascii="Arial Black" w:hAnsi="Arial Black"/>
          <w:sz w:val="28"/>
          <w:szCs w:val="28"/>
        </w:rPr>
      </w:pPr>
      <w:r>
        <w:rPr>
          <w:rFonts w:ascii="Arial Black" w:hAnsi="Arial Black"/>
          <w:sz w:val="28"/>
          <w:szCs w:val="28"/>
        </w:rPr>
        <w:t xml:space="preserve">OK: COMBATIVE PT - “POSITIONAL ASPHYXIA” – DIED </w:t>
      </w:r>
    </w:p>
    <w:p w14:paraId="5B04D20D" w14:textId="77777777" w:rsidR="00DD2FCE" w:rsidRDefault="00DD2FCE" w:rsidP="00DD2FCE">
      <w:pPr>
        <w:pStyle w:val="NoSpacing"/>
        <w:ind w:left="720"/>
      </w:pPr>
    </w:p>
    <w:p w14:paraId="62FB26F8" w14:textId="77777777" w:rsidR="00DD2FCE" w:rsidRDefault="00DD2FCE" w:rsidP="00DD2FCE">
      <w:pPr>
        <w:pStyle w:val="NoSpacing"/>
      </w:pPr>
      <w:r>
        <w:t xml:space="preserve">On March 18, 2026, in </w:t>
      </w:r>
      <w:r w:rsidRPr="00C503C4">
        <w:rPr>
          <w:u w:val="single"/>
        </w:rPr>
        <w:t>Charles Kaleb Vanlandingham, Administrator for the Estate of Charles Lamar Vanlandingham v. The City of Oklahoma City, et al.</w:t>
      </w:r>
      <w:r>
        <w:t xml:space="preserve">, U.S. District Court Judge Timothy D. </w:t>
      </w:r>
      <w:proofErr w:type="spellStart"/>
      <w:r>
        <w:t>DeGiusti</w:t>
      </w:r>
      <w:proofErr w:type="spellEnd"/>
      <w:r>
        <w:t xml:space="preserve">, United States District Court for Western District of Oklahoma, denied the defense motion for summary judgment, finding that there was a lack of training by police officers and EMS/fire </w:t>
      </w:r>
      <w:r w:rsidRPr="009C398A">
        <w:t>of positional asphyxia</w:t>
      </w:r>
      <w:r>
        <w:t>. There is “</w:t>
      </w:r>
      <w:r w:rsidRPr="00BD5698">
        <w:t>sufficient evidence for a jury to conclude that the City acted with deliberate indifference.</w:t>
      </w:r>
      <w:r>
        <w:t xml:space="preserve">”  Court did </w:t>
      </w:r>
      <w:proofErr w:type="gramStart"/>
      <w:r>
        <w:t>dismiss</w:t>
      </w:r>
      <w:proofErr w:type="gramEnd"/>
      <w:r>
        <w:t xml:space="preserve"> claims that Officer Lee violated state negligence law. “</w:t>
      </w:r>
      <w:r w:rsidRPr="00854B99">
        <w:t>The body-worn camera footage shows Officer Lee entering the home, placing handcuffs on Mr. Vanlandingham, and placing his weight and shin on Plaintiff's back to restrain him. The Court finds these actions consistent with an officer taking an individual into protective custody.</w:t>
      </w:r>
      <w:r>
        <w:t>”</w:t>
      </w:r>
    </w:p>
    <w:p w14:paraId="5812F320" w14:textId="77777777" w:rsidR="00DD2FCE" w:rsidRDefault="00DD2FCE" w:rsidP="00DD2FCE">
      <w:pPr>
        <w:pStyle w:val="NoSpacing"/>
      </w:pPr>
      <w:hyperlink r:id="rId1921" w:history="1">
        <w:r w:rsidRPr="004C7C67">
          <w:rPr>
            <w:rStyle w:val="Hyperlink"/>
          </w:rPr>
          <w:t>https://public.fastcase.com/Jhe1Qn%2BmJndQYQU6z%2FeNm94x%2BjtPzHFQX2c8S%2Bx9Phdmrv4s2ioOEI%2FF1Ai%2FXC71?utm_medium=email&amp;_hsenc=p2ANqtz-9AeMkmBBV7ab-HOOGxYui1F4KaPFQMcLoSV_UpG8Q7nnWqxWkhxKerqRyhPDwCCdLiDrxj3K5C-zreoAE1nVCtmbRsSQ&amp;_hsmi=226712652&amp;utm_content=226712652&amp;utm_source=hs_email</w:t>
        </w:r>
      </w:hyperlink>
      <w:r>
        <w:t xml:space="preserve"> </w:t>
      </w:r>
    </w:p>
    <w:p w14:paraId="6A05F634" w14:textId="77777777" w:rsidR="00DD2FCE" w:rsidRDefault="00DD2FCE" w:rsidP="00DD2FCE">
      <w:pPr>
        <w:pStyle w:val="NoSpacing"/>
      </w:pPr>
    </w:p>
    <w:p w14:paraId="01C31218" w14:textId="77777777" w:rsidR="00DD2FCE" w:rsidRDefault="00DD2FCE" w:rsidP="00DD2FCE">
      <w:pPr>
        <w:pStyle w:val="NoSpacing"/>
      </w:pPr>
      <w:r>
        <w:lastRenderedPageBreak/>
        <w:t>THE COURT HELD:  “</w:t>
      </w:r>
      <w:r w:rsidRPr="00E033CA">
        <w:t>The Court finds there is evidence from which a reasonable jury could conclude that the need for additional training was so obvious as to support a finding of deliberate indifference. Although Defendant offers extensive evidence regarding its training for officers that has been accredited by a national accrediting organization, Plaintiff provides evidence that the OCPD has known of the dangers of positional asphyxia and has failed to update or change their use of force policy.</w:t>
      </w:r>
    </w:p>
    <w:p w14:paraId="3399D718" w14:textId="77777777" w:rsidR="00DD2FCE" w:rsidRDefault="00DD2FCE" w:rsidP="00DD2FCE">
      <w:pPr>
        <w:pStyle w:val="NoSpacing"/>
      </w:pPr>
    </w:p>
    <w:p w14:paraId="2FDD8C4A" w14:textId="77777777" w:rsidR="00DD2FCE" w:rsidRDefault="00DD2FCE" w:rsidP="00DD2FCE">
      <w:pPr>
        <w:pStyle w:val="NoSpacing"/>
      </w:pPr>
      <w:r>
        <w:t>***</w:t>
      </w:r>
    </w:p>
    <w:p w14:paraId="615BB1D2" w14:textId="77777777" w:rsidR="00DD2FCE" w:rsidRDefault="00DD2FCE" w:rsidP="00DD2FCE">
      <w:pPr>
        <w:pStyle w:val="NoSpacing"/>
      </w:pPr>
    </w:p>
    <w:p w14:paraId="15C1B54F" w14:textId="77777777" w:rsidR="00DD2FCE" w:rsidRDefault="00DD2FCE" w:rsidP="00DD2FCE">
      <w:pPr>
        <w:pStyle w:val="NoSpacing"/>
      </w:pPr>
      <w:r w:rsidRPr="00CD137A">
        <w:t>On September 15, 2019, at approximately 3:54 a.m., Theresa Hancock called 911 seeking help for her boyfriend, Charles Vanlandingham, who was having a medical emergency</w:t>
      </w:r>
      <w:r>
        <w:t xml:space="preserve"> ….</w:t>
      </w:r>
      <w:r w:rsidRPr="00CD137A">
        <w:t>Paramedics employed by American Medical Response Ambulance Service were dispatched to the home where they found Mr. Vanlandingham on a bed</w:t>
      </w:r>
      <w:r>
        <w:t xml:space="preserve"> ….</w:t>
      </w:r>
      <w:r w:rsidRPr="00CD137A">
        <w:t>One of the paramedics attempted to move him from the bed to a cot</w:t>
      </w:r>
      <w:r>
        <w:t>…. it i</w:t>
      </w:r>
      <w:r w:rsidRPr="00CD137A">
        <w:t>s undisputed that at some point during this attempt, the paramedic pushed his panic button and sent another paramedic to the ambulance to call for assistance from both the fire department and Oklahoma City police officers</w:t>
      </w:r>
      <w:r>
        <w:t xml:space="preserve">…. </w:t>
      </w:r>
      <w:r w:rsidRPr="00CD137A">
        <w:t>Shortly thereafter, four firefighters arrived at the scene</w:t>
      </w:r>
      <w:r>
        <w:t xml:space="preserve"> … t</w:t>
      </w:r>
      <w:r w:rsidRPr="00CD137A">
        <w:t>he first firefighter entered the home and found the paramedic struggling with Mr. Vanlandingham</w:t>
      </w:r>
      <w:r>
        <w:t xml:space="preserve">… </w:t>
      </w:r>
      <w:r w:rsidRPr="00CD137A">
        <w:t>After several minutes, the firefighter placed Mr. Vanlandingham on the ground in a prone position</w:t>
      </w:r>
      <w:r>
        <w:t xml:space="preserve">…. </w:t>
      </w:r>
      <w:r w:rsidRPr="00CD137A">
        <w:t>Upon entering the home, Officer Lee went to the room where Mr. Vanlandingham was located and saw him wheezing and experiencing labored breaching</w:t>
      </w:r>
      <w:r>
        <w:t xml:space="preserve">…. </w:t>
      </w:r>
      <w:r w:rsidRPr="00CD137A">
        <w:t>A paramedic asked Officer Lee if he had a set of handcuffs, to which Officer Lee immediately responded by securing two sets of handcuffs on Mr. Vanlandingham</w:t>
      </w:r>
      <w:r>
        <w:t xml:space="preserve"> …. </w:t>
      </w:r>
      <w:r w:rsidRPr="00CD137A">
        <w:t>Although someone on the scene asked whether soft restraints should be used, the paramedic stated that it was his call and he wanted Mr. Vanlandingham to remain handcuffed until he was in the ambulance</w:t>
      </w:r>
      <w:r>
        <w:t xml:space="preserve">…. </w:t>
      </w:r>
      <w:r w:rsidRPr="00CD137A">
        <w:t>Officer Lee told dispatch that he was in custody but needed the assistance of another officer</w:t>
      </w:r>
      <w:r>
        <w:t xml:space="preserve">…. </w:t>
      </w:r>
      <w:r w:rsidRPr="00CD137A">
        <w:t>He proceeded to place his shin across Mr. Vanlandingham's back while four other firefighters held him down</w:t>
      </w:r>
      <w:r>
        <w:t xml:space="preserve">…. </w:t>
      </w:r>
      <w:r w:rsidRPr="00CD137A">
        <w:t>Officer Lee estimates that he placed 10% to 20% of his total body weight on Mr. Vanlandingham for approximately 90 seconds</w:t>
      </w:r>
      <w:r>
        <w:t xml:space="preserve">…. </w:t>
      </w:r>
      <w:r w:rsidRPr="00CD137A">
        <w:t xml:space="preserve"> Another firefighter was holding and bending Mr. Vanlandingham's right leg to his buttocks while his other leg was held down by another firefighter</w:t>
      </w:r>
      <w:r>
        <w:t xml:space="preserve"> …. </w:t>
      </w:r>
      <w:r w:rsidRPr="00CD137A">
        <w:t>While Mr. Vanlandingham was still handcuffed, the paramedics administered 5mg of Versed, and within seconds he became unresponsive</w:t>
      </w:r>
      <w:r>
        <w:t xml:space="preserve">…. </w:t>
      </w:r>
      <w:r w:rsidRPr="00CD137A">
        <w:t>Officer Lee removed the handcuffs and left the room</w:t>
      </w:r>
      <w:r>
        <w:t xml:space="preserve"> …. </w:t>
      </w:r>
      <w:r w:rsidRPr="00CD137A">
        <w:t>Paramedics then began to render emergency aid for approximately 30 minutes, but it was unsuccessful and Mr. Vanlandingham was pronounced dead at the scene.</w:t>
      </w:r>
      <w:r>
        <w:t>”</w:t>
      </w:r>
    </w:p>
    <w:p w14:paraId="43556061" w14:textId="77777777" w:rsidR="00DD2FCE" w:rsidRDefault="00DD2FCE" w:rsidP="00DD2FCE">
      <w:pPr>
        <w:pStyle w:val="NoSpacing"/>
      </w:pPr>
    </w:p>
    <w:p w14:paraId="3D5F4A6C" w14:textId="77777777" w:rsidR="00DD2FCE" w:rsidRPr="00846D95" w:rsidRDefault="00DD2FCE" w:rsidP="00DD2FCE">
      <w:pPr>
        <w:pStyle w:val="NoSpacing"/>
        <w:rPr>
          <w:b/>
          <w:bCs/>
        </w:rPr>
      </w:pPr>
      <w:r>
        <w:rPr>
          <w:b/>
        </w:rPr>
        <w:t xml:space="preserve">Legal lesson learned: EMS should review their protocols, and conduct joint training with law enforcement, on handling a combative patient. </w:t>
      </w:r>
    </w:p>
    <w:p w14:paraId="0BB6DB44" w14:textId="77777777" w:rsidR="00DD2FCE" w:rsidRPr="00CD137A" w:rsidRDefault="00DD2FCE" w:rsidP="00DD2FCE">
      <w:pPr>
        <w:pStyle w:val="NoSpacing"/>
      </w:pPr>
    </w:p>
    <w:p w14:paraId="010684DE" w14:textId="77777777" w:rsidR="00DD2FCE" w:rsidRPr="00576F3F" w:rsidRDefault="00DD2FCE" w:rsidP="00DD2FCE">
      <w:pPr>
        <w:pStyle w:val="NoSpacing"/>
        <w:ind w:left="720"/>
      </w:pPr>
      <w:r>
        <w:t xml:space="preserve">Note: See 2025 YouTube video: </w:t>
      </w:r>
      <w:r w:rsidRPr="00576F3F">
        <w:t xml:space="preserve">“What Is Positional Asphyxia </w:t>
      </w:r>
      <w:proofErr w:type="gramStart"/>
      <w:r w:rsidRPr="00576F3F">
        <w:t>And</w:t>
      </w:r>
      <w:proofErr w:type="gramEnd"/>
      <w:r w:rsidRPr="00576F3F">
        <w:t xml:space="preserve"> How </w:t>
      </w:r>
      <w:proofErr w:type="gramStart"/>
      <w:r w:rsidRPr="00576F3F">
        <w:t>To</w:t>
      </w:r>
      <w:proofErr w:type="gramEnd"/>
      <w:r w:rsidRPr="00576F3F">
        <w:t xml:space="preserve"> Prevent It? - Law Enforcement Insider.”</w:t>
      </w:r>
      <w:r>
        <w:t xml:space="preserve"> </w:t>
      </w:r>
      <w:hyperlink r:id="rId1922" w:history="1">
        <w:r w:rsidRPr="004C7C67">
          <w:rPr>
            <w:rStyle w:val="Hyperlink"/>
          </w:rPr>
          <w:t>https://www.youtube.com/watch?v=_LFgzOE_WU8</w:t>
        </w:r>
      </w:hyperlink>
      <w:r>
        <w:t xml:space="preserve"> </w:t>
      </w:r>
    </w:p>
    <w:p w14:paraId="7223DEDC" w14:textId="77777777" w:rsidR="00DD2FCE" w:rsidRPr="00576F3F" w:rsidRDefault="00DD2FCE" w:rsidP="00DD2FCE">
      <w:pPr>
        <w:pStyle w:val="NoSpacing"/>
        <w:ind w:left="720"/>
      </w:pPr>
    </w:p>
    <w:p w14:paraId="65299030" w14:textId="77777777" w:rsidR="00DD2FCE" w:rsidRDefault="00DD2FCE" w:rsidP="00DD2FCE">
      <w:pPr>
        <w:pStyle w:val="NoSpacing"/>
        <w:ind w:left="720"/>
      </w:pPr>
      <w:r>
        <w:t>See also U.S. Department of Justice June 1995 bulletin: “</w:t>
      </w:r>
      <w:r w:rsidRPr="00C31F2D">
        <w:t>Positional Asphyxia—Sudden Death</w:t>
      </w:r>
      <w:r>
        <w:t xml:space="preserve">.” </w:t>
      </w:r>
      <w:hyperlink r:id="rId1923" w:history="1">
        <w:r w:rsidRPr="004C7C67">
          <w:rPr>
            <w:rStyle w:val="Hyperlink"/>
          </w:rPr>
          <w:t>https://www.ojp.gov/pdffiles/posasph.pdf</w:t>
        </w:r>
      </w:hyperlink>
      <w:r>
        <w:t xml:space="preserve"> </w:t>
      </w:r>
    </w:p>
    <w:p w14:paraId="068D66F8" w14:textId="77777777" w:rsidR="00DD2FCE" w:rsidRDefault="00DD2FCE" w:rsidP="00DD2FCE">
      <w:pPr>
        <w:pStyle w:val="NoSpacing"/>
      </w:pPr>
    </w:p>
    <w:p w14:paraId="79B3F049" w14:textId="77777777" w:rsidR="00DD2FCE" w:rsidRDefault="00DD2FCE" w:rsidP="00DD2FCE">
      <w:pPr>
        <w:pStyle w:val="NoSpacing"/>
      </w:pPr>
    </w:p>
    <w:p w14:paraId="34A9565A" w14:textId="77777777" w:rsidR="00B170D7" w:rsidRDefault="00B170D7" w:rsidP="00004498">
      <w:pPr>
        <w:rPr>
          <w:rFonts w:ascii="Arial Black" w:hAnsi="Arial Black"/>
          <w:b/>
          <w:bCs/>
          <w:sz w:val="24"/>
          <w:szCs w:val="24"/>
        </w:rPr>
      </w:pPr>
    </w:p>
    <w:p w14:paraId="6DE3A8F7" w14:textId="3633BCF4" w:rsidR="00DD2FCE" w:rsidRDefault="00DD2FCE"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251</w:t>
      </w:r>
    </w:p>
    <w:p w14:paraId="018D5317" w14:textId="77777777" w:rsidR="00552D25" w:rsidRPr="00C15F7A" w:rsidRDefault="00552D25" w:rsidP="00552D25">
      <w:pPr>
        <w:pStyle w:val="NoSpacing"/>
        <w:rPr>
          <w:rFonts w:ascii="Arial Black" w:hAnsi="Arial Black"/>
          <w:sz w:val="28"/>
          <w:szCs w:val="28"/>
        </w:rPr>
      </w:pPr>
      <w:r>
        <w:rPr>
          <w:rFonts w:ascii="Arial Black" w:hAnsi="Arial Black"/>
          <w:sz w:val="28"/>
          <w:szCs w:val="28"/>
        </w:rPr>
        <w:t xml:space="preserve">MN: PT TOLD MEDIC USING HEROIN – RUN RPT ADMISSIBLE </w:t>
      </w:r>
    </w:p>
    <w:p w14:paraId="25B94484" w14:textId="77777777" w:rsidR="00552D25" w:rsidRDefault="00552D25" w:rsidP="00552D25">
      <w:pPr>
        <w:pStyle w:val="NoSpacing"/>
      </w:pPr>
    </w:p>
    <w:p w14:paraId="4F864768" w14:textId="77777777" w:rsidR="00552D25" w:rsidRDefault="00552D25" w:rsidP="00552D25">
      <w:pPr>
        <w:pStyle w:val="NoSpacing"/>
      </w:pPr>
      <w:r>
        <w:t xml:space="preserve">On March 18, 2026, in </w:t>
      </w:r>
      <w:r w:rsidRPr="005442BF">
        <w:rPr>
          <w:u w:val="single"/>
        </w:rPr>
        <w:t>State of Minnesota v. Anthony Richard Smeby</w:t>
      </w:r>
      <w:r>
        <w:t xml:space="preserve">, the </w:t>
      </w:r>
      <w:r w:rsidRPr="00454086">
        <w:t>Supreme Court of Minnesota</w:t>
      </w:r>
      <w:r>
        <w:t xml:space="preserve"> held (6 to 1) that the trial court judge properly denied the defendant’s motion to suppress the EMS run record confirming that prior to the three-car crash Smeby told the paramedics and his girlfriend that he had used heroin. The jury convicted </w:t>
      </w:r>
      <w:proofErr w:type="gramStart"/>
      <w:r>
        <w:t>him</w:t>
      </w:r>
      <w:proofErr w:type="gramEnd"/>
      <w:r>
        <w:t xml:space="preserve"> driving while under the influence of a controlled substance.   The Court of Appeals rejected Smeby’s argument on appeal that the disclosure of his statements to the paramedics and his girlfriend violated the physician-patient privilege statute; holding that “paramedics are categorically excluded from the</w:t>
      </w:r>
    </w:p>
    <w:p w14:paraId="6D6E42BF" w14:textId="77777777" w:rsidR="00552D25" w:rsidRDefault="00552D25" w:rsidP="00552D25">
      <w:pPr>
        <w:pStyle w:val="NoSpacing"/>
      </w:pPr>
      <w:r>
        <w:lastRenderedPageBreak/>
        <w:t xml:space="preserve">physician-patient privilege statute” since EMS not mentioned in the statute.  Minnesota Supreme Court clarified that if EMS were performing activities are the specific direction of a physician [such as in Emergency Department] that a defendant’s comments about his heroin use could be privileged. </w:t>
      </w:r>
      <w:hyperlink r:id="rId1924" w:history="1">
        <w:r w:rsidRPr="004C7C67">
          <w:rPr>
            <w:rStyle w:val="Hyperlink"/>
          </w:rPr>
          <w:t>https://cases.justia.com/minnesota/supreme-court/2026-a23-0516.pdf?ts=1773911973</w:t>
        </w:r>
      </w:hyperlink>
      <w:r>
        <w:t xml:space="preserve"> </w:t>
      </w:r>
    </w:p>
    <w:p w14:paraId="3A03995D" w14:textId="77777777" w:rsidR="00552D25" w:rsidRDefault="00552D25" w:rsidP="00552D25">
      <w:pPr>
        <w:pStyle w:val="NoSpacing"/>
      </w:pPr>
      <w:r>
        <w:t xml:space="preserve"> </w:t>
      </w:r>
    </w:p>
    <w:p w14:paraId="371F67EB" w14:textId="77777777" w:rsidR="00552D25" w:rsidRDefault="00552D25" w:rsidP="00552D25">
      <w:pPr>
        <w:pStyle w:val="NoSpacing"/>
      </w:pPr>
    </w:p>
    <w:p w14:paraId="4AE261C3" w14:textId="77777777" w:rsidR="00552D25" w:rsidRDefault="00552D25" w:rsidP="00552D25">
      <w:pPr>
        <w:pStyle w:val="NoSpacing"/>
      </w:pPr>
      <w:r>
        <w:t>THE COURT HELD: “In August 2021, law enforcement officers responded to the scene of a three-car accident and found appellant Anthony Richard Smeby unconscious behind the wheel of</w:t>
      </w:r>
    </w:p>
    <w:p w14:paraId="69CD42F0" w14:textId="77777777" w:rsidR="00552D25" w:rsidRDefault="00552D25" w:rsidP="00552D25">
      <w:pPr>
        <w:pStyle w:val="NoSpacing"/>
      </w:pPr>
      <w:r>
        <w:t>one of the cars. After an officer administered two doses of Narcan,1 Smeby regained</w:t>
      </w:r>
    </w:p>
    <w:p w14:paraId="028DEDDF" w14:textId="77777777" w:rsidR="00552D25" w:rsidRDefault="00552D25" w:rsidP="00552D25">
      <w:pPr>
        <w:pStyle w:val="NoSpacing"/>
      </w:pPr>
      <w:r>
        <w:t>consciousness. Ambulance paramedics transported Smeby to a hospital. A district court</w:t>
      </w:r>
    </w:p>
    <w:p w14:paraId="19EB4115" w14:textId="77777777" w:rsidR="00552D25" w:rsidRDefault="00552D25" w:rsidP="00552D25">
      <w:pPr>
        <w:pStyle w:val="NoSpacing"/>
      </w:pPr>
      <w:r>
        <w:t>later signed a search warrant presented by law enforcement that authorized the State to</w:t>
      </w:r>
    </w:p>
    <w:p w14:paraId="712C7787" w14:textId="77777777" w:rsidR="00552D25" w:rsidRDefault="00552D25" w:rsidP="00552D25">
      <w:pPr>
        <w:pStyle w:val="NoSpacing"/>
      </w:pPr>
      <w:r>
        <w:t>search the medical records and ambulance run sheets related to Smeby from the date of the</w:t>
      </w:r>
    </w:p>
    <w:p w14:paraId="51F27007" w14:textId="77777777" w:rsidR="00552D25" w:rsidRDefault="00552D25" w:rsidP="00552D25">
      <w:pPr>
        <w:pStyle w:val="NoSpacing"/>
      </w:pPr>
      <w:r>
        <w:t>accident. The search revealed that Smeby told the paramedics and his girlfriend that he</w:t>
      </w:r>
    </w:p>
    <w:p w14:paraId="5CC08B4B" w14:textId="77777777" w:rsidR="00552D25" w:rsidRDefault="00552D25" w:rsidP="00552D25">
      <w:pPr>
        <w:pStyle w:val="NoSpacing"/>
      </w:pPr>
      <w:r>
        <w:t>had used heroin.</w:t>
      </w:r>
    </w:p>
    <w:p w14:paraId="61AC9269" w14:textId="77777777" w:rsidR="00552D25" w:rsidRDefault="00552D25" w:rsidP="00552D25">
      <w:pPr>
        <w:pStyle w:val="NoSpacing"/>
      </w:pPr>
    </w:p>
    <w:p w14:paraId="3479C201" w14:textId="77777777" w:rsidR="00552D25" w:rsidRDefault="00552D25" w:rsidP="00552D25">
      <w:pPr>
        <w:pStyle w:val="NoSpacing"/>
      </w:pPr>
      <w:r>
        <w:t>***</w:t>
      </w:r>
    </w:p>
    <w:p w14:paraId="3E145D81" w14:textId="77777777" w:rsidR="00552D25" w:rsidRDefault="00552D25" w:rsidP="00552D25">
      <w:pPr>
        <w:pStyle w:val="NoSpacing"/>
      </w:pPr>
      <w:r>
        <w:t>We now clarify that Minn. Stat. § 595.02, subd. 1(d), applies to communications between paramedics and patients if the paramedic is acting ‘under the direction’ of the treating physician such that there is an agency relationship with the physician….</w:t>
      </w:r>
    </w:p>
    <w:p w14:paraId="2E540018" w14:textId="77777777" w:rsidR="00552D25" w:rsidRDefault="00552D25" w:rsidP="00552D25">
      <w:pPr>
        <w:pStyle w:val="NoSpacing"/>
      </w:pPr>
    </w:p>
    <w:p w14:paraId="67947793" w14:textId="77777777" w:rsidR="00552D25" w:rsidRDefault="00552D25" w:rsidP="00552D25">
      <w:pPr>
        <w:pStyle w:val="NoSpacing"/>
      </w:pPr>
      <w:r>
        <w:t>The same is true for Smeby’s girlfriend’s statements to the nurse about his heroin use. For the reasons already explained, those statements are not protected by the physician-patient privilege or the nurse-patient privilege. The inclusion of the girlfriend’s comment in Smeby’s medical record does not render the girlfriend’s comment privileged.”</w:t>
      </w:r>
    </w:p>
    <w:p w14:paraId="45BC40F5" w14:textId="77777777" w:rsidR="00552D25" w:rsidRDefault="00552D25" w:rsidP="00552D25">
      <w:pPr>
        <w:pStyle w:val="NoSpacing"/>
      </w:pPr>
    </w:p>
    <w:p w14:paraId="6214C8D3" w14:textId="77777777" w:rsidR="00552D25" w:rsidRPr="00273001" w:rsidRDefault="00552D25" w:rsidP="00552D25">
      <w:pPr>
        <w:pStyle w:val="NoSpacing"/>
        <w:rPr>
          <w:b/>
          <w:bCs/>
        </w:rPr>
      </w:pPr>
      <w:r w:rsidRPr="00273001">
        <w:rPr>
          <w:b/>
        </w:rPr>
        <w:t xml:space="preserve">Legal lesson learned: </w:t>
      </w:r>
      <w:r>
        <w:rPr>
          <w:b/>
        </w:rPr>
        <w:t xml:space="preserve">EMS wisely documented in EMS run report that both the patient and his girlfriend stated he was using heroin prior to crash.  </w:t>
      </w:r>
    </w:p>
    <w:p w14:paraId="52692DFA" w14:textId="77777777" w:rsidR="00552D25" w:rsidRDefault="00552D25" w:rsidP="00552D25">
      <w:pPr>
        <w:pStyle w:val="NoSpacing"/>
      </w:pPr>
    </w:p>
    <w:p w14:paraId="2815BC2B" w14:textId="77777777" w:rsidR="00552D25" w:rsidRDefault="00552D25" w:rsidP="00552D25">
      <w:pPr>
        <w:pStyle w:val="NoSpacing"/>
      </w:pPr>
      <w:r>
        <w:tab/>
        <w:t>Note:  See the Minnesota privilege statue.</w:t>
      </w:r>
    </w:p>
    <w:p w14:paraId="64E08A1F" w14:textId="77777777" w:rsidR="00552D25" w:rsidRDefault="00552D25" w:rsidP="00552D25">
      <w:pPr>
        <w:pStyle w:val="NoSpacing"/>
        <w:ind w:firstLine="720"/>
      </w:pPr>
      <w:hyperlink r:id="rId1925" w:history="1">
        <w:r w:rsidRPr="004C7C67">
          <w:rPr>
            <w:rStyle w:val="Hyperlink"/>
          </w:rPr>
          <w:t>https://www.revisor.mn.gov/statutes/cite/595.02</w:t>
        </w:r>
      </w:hyperlink>
      <w:r>
        <w:t xml:space="preserve"> </w:t>
      </w:r>
    </w:p>
    <w:p w14:paraId="151FB290" w14:textId="77777777" w:rsidR="00552D25" w:rsidRDefault="00552D25" w:rsidP="00552D25">
      <w:pPr>
        <w:pStyle w:val="NoSpacing"/>
      </w:pPr>
    </w:p>
    <w:p w14:paraId="7C11F5FB" w14:textId="77777777" w:rsidR="00552D25" w:rsidRDefault="00552D25" w:rsidP="00552D25">
      <w:pPr>
        <w:pStyle w:val="NoSpacing"/>
        <w:ind w:left="720"/>
      </w:pPr>
      <w:r>
        <w:t>“</w:t>
      </w:r>
      <w:r w:rsidRPr="008235AE">
        <w:t>(d) A licensed physician or surgeon, dentist, or chiropractor shall not, without the consent of the patient, be allowed to disclose any information or any opinion based thereon which the professional acquired in attending the patient in a professional capacity, and which was necessary to enable the professional to act in that capacity; after the decease of the patient, in an action to recover insurance benefits, where the insurance has been in existence two years or more, the beneficiaries shall be deemed to be the personal representatives of the deceased person for the purpose of waiving this privilege, and no oral or written waiver of the privilege shall have any binding force or effect except when made upon the trial or examination where the evidence is offered or received.</w:t>
      </w:r>
      <w:r>
        <w:t>”</w:t>
      </w:r>
    </w:p>
    <w:p w14:paraId="58169CD0" w14:textId="77777777" w:rsidR="00552D25" w:rsidRPr="00BC4B85" w:rsidRDefault="00552D25" w:rsidP="00552D25">
      <w:pPr>
        <w:pStyle w:val="NoSpacing"/>
        <w:rPr>
          <w:b/>
          <w:bCs/>
        </w:rPr>
      </w:pPr>
    </w:p>
    <w:p w14:paraId="29447C2D" w14:textId="77777777" w:rsidR="00DD2FCE" w:rsidRDefault="00DD2FCE" w:rsidP="00004498">
      <w:pPr>
        <w:rPr>
          <w:rFonts w:ascii="Arial Black" w:hAnsi="Arial Black"/>
          <w:b/>
          <w:bCs/>
          <w:sz w:val="24"/>
          <w:szCs w:val="24"/>
        </w:rPr>
      </w:pPr>
    </w:p>
    <w:p w14:paraId="159D361F" w14:textId="066733D5" w:rsidR="00552D25" w:rsidRDefault="00552D25"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250</w:t>
      </w:r>
    </w:p>
    <w:p w14:paraId="05500C7A" w14:textId="77777777" w:rsidR="00E306E9" w:rsidRPr="00752ABB" w:rsidRDefault="00E306E9" w:rsidP="00E306E9">
      <w:pPr>
        <w:pStyle w:val="NoSpacing"/>
        <w:rPr>
          <w:rFonts w:ascii="Arial Black" w:hAnsi="Arial Black"/>
          <w:b/>
          <w:sz w:val="28"/>
          <w:szCs w:val="28"/>
        </w:rPr>
      </w:pPr>
      <w:r>
        <w:rPr>
          <w:rFonts w:ascii="Arial Black" w:hAnsi="Arial Black"/>
          <w:b/>
          <w:sz w:val="28"/>
          <w:szCs w:val="28"/>
        </w:rPr>
        <w:t>FL: EMS &amp; HOSP BLOOD DRAWS – SUBPOENA MURDER</w:t>
      </w:r>
    </w:p>
    <w:p w14:paraId="6AFB49B5" w14:textId="77777777" w:rsidR="00E306E9" w:rsidRDefault="00E306E9" w:rsidP="00E306E9">
      <w:pPr>
        <w:pStyle w:val="NoSpacing"/>
        <w:rPr>
          <w:b/>
        </w:rPr>
      </w:pPr>
    </w:p>
    <w:p w14:paraId="45479718" w14:textId="21CF744F" w:rsidR="00E306E9" w:rsidRDefault="00E306E9" w:rsidP="00E306E9">
      <w:pPr>
        <w:pStyle w:val="NoSpacing"/>
        <w:rPr>
          <w:b/>
        </w:rPr>
      </w:pPr>
      <w:r>
        <w:t xml:space="preserve">On March 18, 2026, in </w:t>
      </w:r>
      <w:r w:rsidRPr="007F0612">
        <w:rPr>
          <w:u w:val="single"/>
        </w:rPr>
        <w:t>Kyle Matthew Hill v. State of Florida</w:t>
      </w:r>
      <w:r>
        <w:t xml:space="preserve">, the </w:t>
      </w:r>
      <w:r w:rsidRPr="006D0767">
        <w:t>Florida Court of Appeals, Second District</w:t>
      </w:r>
      <w:r>
        <w:t xml:space="preserve">, held (3 to 0) that trial court judge properly refused the defendant’s motion to quash the state’s subpoena for EMS blood draw and EMS run report, and the Hospital’s blood draw records.  </w:t>
      </w:r>
      <w:r w:rsidRPr="00307C91">
        <w:t>The State indicted Mr. Hill for first-degree murder, attempted first-degree murder, DUI manslaughter, and DUI with serious bodily injury</w:t>
      </w:r>
      <w:r>
        <w:t xml:space="preserve">, and the </w:t>
      </w:r>
      <w:r w:rsidRPr="00307C91">
        <w:t>State seeks the death penalty</w:t>
      </w:r>
      <w:r>
        <w:t xml:space="preserve">.  </w:t>
      </w:r>
      <w:hyperlink r:id="rId1926" w:history="1">
        <w:r w:rsidRPr="004C7C67">
          <w:rPr>
            <w:rStyle w:val="Hyperlink"/>
            <w:b/>
          </w:rPr>
          <w:t>https://flcourts-media.flcourts.gov/content/download/2486201/opinion/Opinion_2025-1955.pdf</w:t>
        </w:r>
      </w:hyperlink>
      <w:r>
        <w:rPr>
          <w:b/>
        </w:rPr>
        <w:t xml:space="preserve"> </w:t>
      </w:r>
    </w:p>
    <w:p w14:paraId="667C54C0" w14:textId="77777777" w:rsidR="00E306E9" w:rsidRDefault="00E306E9" w:rsidP="00E306E9">
      <w:pPr>
        <w:pStyle w:val="NoSpacing"/>
        <w:rPr>
          <w:bCs/>
        </w:rPr>
      </w:pPr>
    </w:p>
    <w:p w14:paraId="4ACC2C35" w14:textId="77777777" w:rsidR="00E306E9" w:rsidRPr="00752ABB" w:rsidRDefault="00E306E9" w:rsidP="00E306E9">
      <w:pPr>
        <w:pStyle w:val="NoSpacing"/>
      </w:pPr>
      <w:r>
        <w:t>THE COURT HELD:  “</w:t>
      </w:r>
      <w:r w:rsidRPr="00752ABB">
        <w:t>Allegedly, Mr. Hill purposefully sideswiped another vehicle, causing</w:t>
      </w:r>
    </w:p>
    <w:p w14:paraId="15C8BAA8" w14:textId="77777777" w:rsidR="00E306E9" w:rsidRDefault="00E306E9" w:rsidP="00E306E9">
      <w:pPr>
        <w:pStyle w:val="NoSpacing"/>
      </w:pPr>
      <w:proofErr w:type="gramStart"/>
      <w:r w:rsidRPr="00752ABB">
        <w:lastRenderedPageBreak/>
        <w:t>it</w:t>
      </w:r>
      <w:proofErr w:type="gramEnd"/>
      <w:r w:rsidRPr="00752ABB">
        <w:t xml:space="preserve"> </w:t>
      </w:r>
      <w:proofErr w:type="gramStart"/>
      <w:r w:rsidRPr="00752ABB">
        <w:t>to</w:t>
      </w:r>
      <w:proofErr w:type="gramEnd"/>
      <w:r w:rsidRPr="00752ABB">
        <w:t xml:space="preserve"> leave the roadway and crash into a pole. The collision injured the</w:t>
      </w:r>
      <w:r>
        <w:t xml:space="preserve"> </w:t>
      </w:r>
      <w:r w:rsidRPr="00752ABB">
        <w:t>driver and killed her passenger.</w:t>
      </w:r>
      <w:r>
        <w:t xml:space="preserve"> </w:t>
      </w:r>
      <w:r w:rsidRPr="00752ABB">
        <w:t>Police suspected that Mr. Hill was driving under the influence of</w:t>
      </w:r>
      <w:r>
        <w:t xml:space="preserve"> </w:t>
      </w:r>
      <w:r w:rsidRPr="00752ABB">
        <w:t>alcohol. They directed emergency medical services (EMS) personnel to</w:t>
      </w:r>
      <w:r>
        <w:t xml:space="preserve"> </w:t>
      </w:r>
      <w:r w:rsidRPr="00752ABB">
        <w:t xml:space="preserve">conduct </w:t>
      </w:r>
      <w:proofErr w:type="gramStart"/>
      <w:r w:rsidRPr="00752ABB">
        <w:t>a blood</w:t>
      </w:r>
      <w:proofErr w:type="gramEnd"/>
      <w:r w:rsidRPr="00752ABB">
        <w:t xml:space="preserve"> draw. EMS personnel then took Mr. Hill to the hospital</w:t>
      </w:r>
      <w:r>
        <w:t xml:space="preserve"> </w:t>
      </w:r>
      <w:r w:rsidRPr="00752ABB">
        <w:t>where staff performed another blood draw.</w:t>
      </w:r>
    </w:p>
    <w:p w14:paraId="50AD8ADC" w14:textId="77777777" w:rsidR="00E306E9" w:rsidRDefault="00E306E9" w:rsidP="00E306E9">
      <w:pPr>
        <w:pStyle w:val="NoSpacing"/>
      </w:pPr>
    </w:p>
    <w:p w14:paraId="2CB4ECDE" w14:textId="77777777" w:rsidR="00E306E9" w:rsidRDefault="00E306E9" w:rsidP="00E306E9">
      <w:pPr>
        <w:pStyle w:val="NoSpacing"/>
      </w:pPr>
      <w:r>
        <w:t>***</w:t>
      </w:r>
    </w:p>
    <w:p w14:paraId="33EFDD69" w14:textId="77777777" w:rsidR="00E306E9" w:rsidRDefault="00E306E9" w:rsidP="00E306E9">
      <w:pPr>
        <w:pStyle w:val="NoSpacing"/>
        <w:rPr>
          <w:bCs/>
        </w:rPr>
      </w:pPr>
      <w:r w:rsidRPr="00104E34">
        <w:t>Thus, the charging documents indicate that Mr. Hill's medical</w:t>
      </w:r>
      <w:r>
        <w:t xml:space="preserve"> </w:t>
      </w:r>
      <w:r w:rsidRPr="00104E34">
        <w:t>records will provide evidence of intoxication.</w:t>
      </w:r>
      <w:r>
        <w:t xml:space="preserve"> </w:t>
      </w:r>
      <w:r w:rsidRPr="00104E34">
        <w:t>Mr. Hill contends that the State's quantum of evidence was</w:t>
      </w:r>
      <w:r>
        <w:t xml:space="preserve"> </w:t>
      </w:r>
      <w:r w:rsidRPr="00104E34">
        <w:t xml:space="preserve">insufficient to support issuance of the subpoenas. He laments </w:t>
      </w:r>
      <w:proofErr w:type="gramStart"/>
      <w:r w:rsidRPr="00104E34">
        <w:t xml:space="preserve">that </w:t>
      </w:r>
      <w:r>
        <w:t>‘</w:t>
      </w:r>
      <w:r w:rsidRPr="00104E34">
        <w:t>[t]he</w:t>
      </w:r>
      <w:proofErr w:type="gramEnd"/>
      <w:r>
        <w:t xml:space="preserve"> </w:t>
      </w:r>
      <w:r w:rsidRPr="00104E34">
        <w:t xml:space="preserve">State advanced a brief </w:t>
      </w:r>
      <w:proofErr w:type="gramStart"/>
      <w:r w:rsidRPr="00104E34">
        <w:t>argument, and</w:t>
      </w:r>
      <w:proofErr w:type="gramEnd"/>
      <w:r w:rsidRPr="00104E34">
        <w:t xml:space="preserve"> presented no evidence . . . other</w:t>
      </w:r>
      <w:r>
        <w:t xml:space="preserve"> </w:t>
      </w:r>
      <w:r w:rsidRPr="00104E34">
        <w:t>than the arrest affidavits.</w:t>
      </w:r>
      <w:r>
        <w:t>’</w:t>
      </w:r>
      <w:r w:rsidRPr="00104E34">
        <w:t xml:space="preserve"> We are unpersuaded</w:t>
      </w:r>
      <w:r>
        <w:t>.”</w:t>
      </w:r>
    </w:p>
    <w:p w14:paraId="140DDA0B" w14:textId="77777777" w:rsidR="00E306E9" w:rsidRDefault="00E306E9" w:rsidP="00E306E9">
      <w:pPr>
        <w:pStyle w:val="NoSpacing"/>
        <w:rPr>
          <w:bCs/>
        </w:rPr>
      </w:pPr>
    </w:p>
    <w:p w14:paraId="727283C0" w14:textId="77777777" w:rsidR="00E306E9" w:rsidRDefault="00E306E9" w:rsidP="00E306E9">
      <w:pPr>
        <w:pStyle w:val="NoSpacing"/>
        <w:rPr>
          <w:b/>
        </w:rPr>
      </w:pPr>
      <w:r w:rsidRPr="00B018C5">
        <w:rPr>
          <w:b/>
        </w:rPr>
        <w:t xml:space="preserve">Legal lesson learned: </w:t>
      </w:r>
      <w:r>
        <w:rPr>
          <w:b/>
        </w:rPr>
        <w:t xml:space="preserve">The defendant is facing death penalty, and the blood draw records will be provided to the jury. </w:t>
      </w:r>
    </w:p>
    <w:p w14:paraId="07F3F69F" w14:textId="77777777" w:rsidR="00552D25" w:rsidRDefault="00552D25" w:rsidP="00004498">
      <w:pPr>
        <w:rPr>
          <w:rFonts w:ascii="Arial Black" w:hAnsi="Arial Black"/>
          <w:b/>
          <w:bCs/>
          <w:sz w:val="24"/>
          <w:szCs w:val="24"/>
        </w:rPr>
      </w:pPr>
    </w:p>
    <w:p w14:paraId="5D850888" w14:textId="492F529D" w:rsidR="00B170D7" w:rsidRDefault="005127F9"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249</w:t>
      </w:r>
    </w:p>
    <w:p w14:paraId="73789317" w14:textId="77777777" w:rsidR="007C0834" w:rsidRPr="002870FF" w:rsidRDefault="007C0834" w:rsidP="007C0834">
      <w:pPr>
        <w:pStyle w:val="NoSpacing"/>
        <w:rPr>
          <w:rFonts w:ascii="Arial Black" w:hAnsi="Arial Black"/>
          <w:b/>
          <w:sz w:val="28"/>
          <w:szCs w:val="28"/>
        </w:rPr>
      </w:pPr>
      <w:r>
        <w:rPr>
          <w:rFonts w:ascii="Arial Black" w:hAnsi="Arial Black"/>
          <w:b/>
          <w:sz w:val="28"/>
          <w:szCs w:val="28"/>
        </w:rPr>
        <w:t xml:space="preserve">TN: SEIZURE PT - TASED - SPIT SOCK - FACE DOWN – DIED </w:t>
      </w:r>
    </w:p>
    <w:p w14:paraId="73AFC9BF" w14:textId="77777777" w:rsidR="007C0834" w:rsidRDefault="007C0834" w:rsidP="007C0834">
      <w:pPr>
        <w:pStyle w:val="NoSpacing"/>
        <w:rPr>
          <w:b/>
        </w:rPr>
      </w:pPr>
    </w:p>
    <w:p w14:paraId="39DB9B73" w14:textId="77777777" w:rsidR="007C0834" w:rsidRDefault="007C0834" w:rsidP="007C0834">
      <w:pPr>
        <w:pStyle w:val="NoSpacing"/>
        <w:rPr>
          <w:bCs/>
        </w:rPr>
      </w:pPr>
      <w:r w:rsidRPr="00E565A4">
        <w:t xml:space="preserve">On March 16, 2026, in </w:t>
      </w:r>
      <w:r w:rsidRPr="00E565A4">
        <w:rPr>
          <w:u w:val="single"/>
        </w:rPr>
        <w:t>Karen Goodwin, individually and on behalf of Austin Hunter Turner, deceased v. City of Bristol, Tennessee</w:t>
      </w:r>
      <w:r w:rsidRPr="00E565A4">
        <w:t xml:space="preserve">, </w:t>
      </w:r>
      <w:r>
        <w:t xml:space="preserve">U.S. District Court Judge Clifton L. Corker, United States District Court for the Eastern District of Tennessee, </w:t>
      </w:r>
      <w:r w:rsidRPr="00646F7A">
        <w:t>Greeneville Division</w:t>
      </w:r>
      <w:r>
        <w:t xml:space="preserve">, granted defense motion for summary judgment.  Combative patient, face down, restraints on hands and feet – died. Family did not file lawsuit within one year – August 30, </w:t>
      </w:r>
      <w:proofErr w:type="gramStart"/>
      <w:r>
        <w:t>2017</w:t>
      </w:r>
      <w:proofErr w:type="gramEnd"/>
      <w:r>
        <w:t xml:space="preserve"> death; case filed six years later.  </w:t>
      </w:r>
      <w:hyperlink r:id="rId1927" w:history="1">
        <w:r w:rsidRPr="00A9331C">
          <w:rPr>
            <w:rStyle w:val="Hyperlink"/>
          </w:rPr>
          <w:t>https://public.fastcase.com/Jhe1Qn%2BmJndQYQU6z%2FeNm%2BJGkZOBI%2FIR3xMI1hqgTrQGqCoob0t8sJ6Oq4%2B3vNWN?utm_medium=email&amp;_hsenc=p2ANqtz-9C5O8INd3-mOP0XdLpifj0NkMcgvHJMlYVXVlVDxFjxItyF7mxImlUcaWgD0DywBt6olIyvEknUS-SxKw_pSJ1xCMABg&amp;_hsmi=226712652&amp;utm_content=226712652&amp;utm_source=hs_email</w:t>
        </w:r>
      </w:hyperlink>
      <w:r>
        <w:t xml:space="preserve"> </w:t>
      </w:r>
    </w:p>
    <w:p w14:paraId="38E75661" w14:textId="77777777" w:rsidR="007C0834" w:rsidRDefault="007C0834" w:rsidP="007C0834">
      <w:pPr>
        <w:pStyle w:val="NoSpacing"/>
        <w:rPr>
          <w:bCs/>
        </w:rPr>
      </w:pPr>
    </w:p>
    <w:p w14:paraId="1DE9ABA5" w14:textId="77777777" w:rsidR="007C0834" w:rsidRDefault="007C0834" w:rsidP="007C0834">
      <w:pPr>
        <w:pStyle w:val="NoSpacing"/>
      </w:pPr>
      <w:r>
        <w:t>THE COURT HELD:  “</w:t>
      </w:r>
      <w:r w:rsidRPr="00EE41D8">
        <w:t>Tennessee's one-year statute of limitations therefore expired on August 30, 2018—nearly six years before this action was filed. Plaintiff's § 1983 claims must therefore be dismissed for failure to state a claim.</w:t>
      </w:r>
    </w:p>
    <w:p w14:paraId="286A9BB4" w14:textId="77777777" w:rsidR="007C0834" w:rsidRDefault="007C0834" w:rsidP="007C0834">
      <w:pPr>
        <w:pStyle w:val="NoSpacing"/>
      </w:pPr>
    </w:p>
    <w:p w14:paraId="1CE41C2A" w14:textId="77777777" w:rsidR="007C0834" w:rsidRDefault="007C0834" w:rsidP="007C0834">
      <w:pPr>
        <w:pStyle w:val="NoSpacing"/>
        <w:rPr>
          <w:bCs/>
        </w:rPr>
      </w:pPr>
      <w:r>
        <w:t>***</w:t>
      </w:r>
    </w:p>
    <w:p w14:paraId="76192D94" w14:textId="77777777" w:rsidR="007C0834" w:rsidRDefault="007C0834" w:rsidP="007C0834">
      <w:pPr>
        <w:pStyle w:val="NoSpacing"/>
        <w:rPr>
          <w:bCs/>
        </w:rPr>
      </w:pPr>
    </w:p>
    <w:p w14:paraId="3EF67B0E" w14:textId="77777777" w:rsidR="007C0834" w:rsidRDefault="007C0834" w:rsidP="007C0834">
      <w:pPr>
        <w:pStyle w:val="NoSpacing"/>
      </w:pPr>
      <w:r w:rsidRPr="00F1137B">
        <w:t xml:space="preserve">Though Plaintiff is not seen on camera when Turner was </w:t>
      </w:r>
      <w:proofErr w:type="gramStart"/>
      <w:r w:rsidRPr="00F1137B">
        <w:t>tased</w:t>
      </w:r>
      <w:proofErr w:type="gramEnd"/>
      <w:r w:rsidRPr="00F1137B">
        <w:t xml:space="preserve">, the footage makes clear that she was standing only a few feet away. </w:t>
      </w:r>
      <w:r>
        <w:t>[</w:t>
      </w:r>
      <w:r w:rsidRPr="00EC243A">
        <w:t xml:space="preserve">Bristol Police </w:t>
      </w:r>
      <w:r>
        <w:t xml:space="preserve">Officer Eric] </w:t>
      </w:r>
      <w:r w:rsidRPr="00F1137B">
        <w:t>Keller's warning, the sound of the taser, and Turner's audible reaction would have been plainly perceptible to anyone in the room. The struggle continued for roughly another minute as officers and paramedics attempted to secure Turner in handcuffs</w:t>
      </w:r>
      <w:r>
        <w:t xml:space="preserve">…. </w:t>
      </w:r>
      <w:r w:rsidRPr="00A91024">
        <w:t>The footage next shows Plaintiff outside after the paramedics moved Turner towards the ambulance. She got out of her car and walked towards Turner as he lay face down on the cot with a spit sock over his head and restraints on both his hands and feet</w:t>
      </w:r>
      <w:r>
        <w:t xml:space="preserve">…. </w:t>
      </w:r>
      <w:r w:rsidRPr="00A91024">
        <w:t>Plaintiff stood beside him facing the cot</w:t>
      </w:r>
      <w:r>
        <w:t xml:space="preserve">…. </w:t>
      </w:r>
      <w:r w:rsidRPr="00A91024">
        <w:t>She is also seen outside the ambulance looking inside while officers and paramedics applied pressure to Turner's head</w:t>
      </w:r>
      <w:r>
        <w:t xml:space="preserve">…. </w:t>
      </w:r>
      <w:r w:rsidRPr="00A91024">
        <w:t xml:space="preserve"> She was also outside the ambulance door seconds after someone shut the door.</w:t>
      </w:r>
      <w:r>
        <w:t>”</w:t>
      </w:r>
    </w:p>
    <w:p w14:paraId="10DB9E55" w14:textId="77777777" w:rsidR="007C0834" w:rsidRDefault="007C0834" w:rsidP="007C0834">
      <w:pPr>
        <w:pStyle w:val="NoSpacing"/>
      </w:pPr>
    </w:p>
    <w:p w14:paraId="5455D8FA" w14:textId="77777777" w:rsidR="007C0834" w:rsidRDefault="007C0834" w:rsidP="007C0834">
      <w:pPr>
        <w:pStyle w:val="NoSpacing"/>
        <w:rPr>
          <w:b/>
          <w:bCs/>
        </w:rPr>
      </w:pPr>
      <w:r w:rsidRPr="00BC4B85">
        <w:rPr>
          <w:b/>
        </w:rPr>
        <w:t xml:space="preserve">Legal lesson learned: </w:t>
      </w:r>
      <w:r>
        <w:rPr>
          <w:b/>
        </w:rPr>
        <w:t xml:space="preserve">Case was not timely filed.  Review your protocol about transporting combative patients, handcuffed, face down with spit sock. </w:t>
      </w:r>
    </w:p>
    <w:p w14:paraId="7C71CE33" w14:textId="77777777" w:rsidR="007C0834" w:rsidRDefault="007C0834" w:rsidP="007C0834">
      <w:pPr>
        <w:pStyle w:val="NoSpacing"/>
        <w:rPr>
          <w:b/>
          <w:bCs/>
        </w:rPr>
      </w:pPr>
    </w:p>
    <w:p w14:paraId="3500837F" w14:textId="77777777" w:rsidR="007C0834" w:rsidRDefault="007C0834" w:rsidP="007C0834">
      <w:pPr>
        <w:pStyle w:val="NoSpacing"/>
        <w:rPr>
          <w:rFonts w:ascii="Arial Black" w:hAnsi="Arial Black"/>
          <w:sz w:val="28"/>
          <w:szCs w:val="28"/>
        </w:rPr>
      </w:pPr>
    </w:p>
    <w:p w14:paraId="7F18D8ED" w14:textId="70E45617" w:rsidR="009256C3" w:rsidRDefault="007C0834"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248</w:t>
      </w:r>
    </w:p>
    <w:p w14:paraId="4ACA8CD6" w14:textId="77777777" w:rsidR="009256C3" w:rsidRPr="008A6E9C" w:rsidRDefault="009256C3" w:rsidP="009256C3">
      <w:pPr>
        <w:pStyle w:val="NoSpacing"/>
        <w:rPr>
          <w:rFonts w:ascii="Arial Black" w:hAnsi="Arial Black"/>
          <w:b/>
          <w:sz w:val="28"/>
          <w:szCs w:val="28"/>
        </w:rPr>
      </w:pPr>
      <w:r>
        <w:rPr>
          <w:rFonts w:ascii="Arial Black" w:hAnsi="Arial Black"/>
          <w:b/>
          <w:sz w:val="28"/>
          <w:szCs w:val="28"/>
        </w:rPr>
        <w:t xml:space="preserve">CA: EMS DIVERTED BY HOSP - PREGNANT PT – EMTALA </w:t>
      </w:r>
    </w:p>
    <w:p w14:paraId="5789CEC6" w14:textId="77777777" w:rsidR="009256C3" w:rsidRDefault="009256C3" w:rsidP="009256C3">
      <w:pPr>
        <w:pStyle w:val="NoSpacing"/>
        <w:rPr>
          <w:b/>
        </w:rPr>
      </w:pPr>
    </w:p>
    <w:p w14:paraId="5CCE6462" w14:textId="77777777" w:rsidR="009256C3" w:rsidRDefault="009256C3" w:rsidP="009256C3">
      <w:pPr>
        <w:pStyle w:val="NoSpacing"/>
        <w:rPr>
          <w:bCs/>
        </w:rPr>
      </w:pPr>
      <w:r>
        <w:t xml:space="preserve">On March 13, 2026 in </w:t>
      </w:r>
      <w:r w:rsidRPr="00134CC5">
        <w:rPr>
          <w:u w:val="single"/>
        </w:rPr>
        <w:t>Keiko Kawamura v. Mammoth Hospital, et al</w:t>
      </w:r>
      <w:r>
        <w:t xml:space="preserve">., U.S. Magistrate Judge has issued a Report and Recommendation to U.S. District Court judge, United States District Court for the Eastern District of California, that the lawsuit filed by pro se plaintiff (not represented by an attorney) may proceed against the Hospital under </w:t>
      </w:r>
      <w:r w:rsidRPr="008F7969">
        <w:t xml:space="preserve">Emergency </w:t>
      </w:r>
      <w:r w:rsidRPr="008F7969">
        <w:lastRenderedPageBreak/>
        <w:t>Medical Treatment and Active Labor Act (EMTALA) because Mammoth Hospital failed to screen her under 42 U.S.C. § 1395dd(a) and failed to stabilize her under § 1395dd(b).</w:t>
      </w:r>
      <w:r>
        <w:t xml:space="preserve">  However, the EMTALA does not provide for litigation against any individual doctors.  She claims the ambulance was three minutes from the hospital, in third stage of labor and EMS were directed to take her to another hospital, </w:t>
      </w:r>
      <w:r w:rsidRPr="000F6DB1">
        <w:t>resulting in an almost 2-hour delay between when EMS personnel</w:t>
      </w:r>
      <w:r>
        <w:t xml:space="preserve"> first</w:t>
      </w:r>
      <w:r w:rsidRPr="000F6DB1">
        <w:t xml:space="preserve"> </w:t>
      </w:r>
      <w:proofErr w:type="gramStart"/>
      <w:r w:rsidRPr="000F6DB1">
        <w:t>made contact with</w:t>
      </w:r>
      <w:proofErr w:type="gramEnd"/>
      <w:r w:rsidRPr="000F6DB1">
        <w:t xml:space="preserve"> Plaintiff and the time </w:t>
      </w:r>
      <w:r>
        <w:t xml:space="preserve">physicians </w:t>
      </w:r>
      <w:r w:rsidRPr="000F6DB1">
        <w:t>evaluated her.</w:t>
      </w:r>
      <w:r>
        <w:t xml:space="preserve"> </w:t>
      </w:r>
      <w:hyperlink r:id="rId1928" w:history="1">
        <w:r w:rsidRPr="00502BCE">
          <w:rPr>
            <w:rStyle w:val="Hyperlink"/>
          </w:rPr>
          <w:t>https://cases.justia.com/federal/district-courts/california/caedce/1:2025cv00789/467494/25/0.pdf?ts=1773524860</w:t>
        </w:r>
      </w:hyperlink>
      <w:r>
        <w:t xml:space="preserve"> </w:t>
      </w:r>
    </w:p>
    <w:p w14:paraId="74EDF75D" w14:textId="77777777" w:rsidR="009256C3" w:rsidRDefault="009256C3" w:rsidP="009256C3">
      <w:pPr>
        <w:pStyle w:val="NoSpacing"/>
        <w:rPr>
          <w:bCs/>
        </w:rPr>
      </w:pPr>
    </w:p>
    <w:p w14:paraId="68379CF9" w14:textId="77777777" w:rsidR="009256C3" w:rsidRDefault="009256C3" w:rsidP="009256C3">
      <w:pPr>
        <w:pStyle w:val="NoSpacing"/>
        <w:rPr>
          <w:bCs/>
        </w:rPr>
      </w:pPr>
      <w:r>
        <w:t>THE COURT HELD: “</w:t>
      </w:r>
      <w:r w:rsidRPr="006A1EB3">
        <w:t>The Court has screened Plaintiff's second amended complaint and concludes that it sufficiently states a claim that Defendant Mammoth Hospital violated EMTALA, specifically that it failed to screen her under 42 U.S.C. § 1395dd(a) and failed to stabilize her under § 1395dd(b). However, the Court recommends that all other claims and Defendants be dismissed without further leave to amend.</w:t>
      </w:r>
    </w:p>
    <w:p w14:paraId="388DF5C4" w14:textId="77777777" w:rsidR="009256C3" w:rsidRDefault="009256C3" w:rsidP="009256C3">
      <w:pPr>
        <w:pStyle w:val="NoSpacing"/>
        <w:rPr>
          <w:bCs/>
        </w:rPr>
      </w:pPr>
    </w:p>
    <w:p w14:paraId="391A3CF7" w14:textId="77777777" w:rsidR="009256C3" w:rsidRDefault="009256C3" w:rsidP="009256C3">
      <w:pPr>
        <w:pStyle w:val="NoSpacing"/>
        <w:rPr>
          <w:bCs/>
        </w:rPr>
      </w:pPr>
      <w:r>
        <w:t>***</w:t>
      </w:r>
    </w:p>
    <w:p w14:paraId="3EA1A4A0" w14:textId="77777777" w:rsidR="009256C3" w:rsidRPr="000F6DB1" w:rsidRDefault="009256C3" w:rsidP="009256C3">
      <w:pPr>
        <w:pStyle w:val="NoSpacing"/>
      </w:pPr>
      <w:r w:rsidRPr="000F6DB1">
        <w:t>Moreover, Plaintiff's second amended complaint alleges that Plaintiff was approximately three minutes from Mammoth hospital while in labor</w:t>
      </w:r>
      <w:r>
        <w:t xml:space="preserve">…. </w:t>
      </w:r>
      <w:r w:rsidRPr="000F6DB1">
        <w:t xml:space="preserve">Communications between EMS services and Mammoth Hospital indicate that Mammoth Hospital knew that Plaintiff had an emergency medical condition, including “that Plaintiff was still in the third stage of labor, had not yet </w:t>
      </w:r>
    </w:p>
    <w:p w14:paraId="5A35603F" w14:textId="77777777" w:rsidR="009256C3" w:rsidRDefault="009256C3" w:rsidP="009256C3">
      <w:pPr>
        <w:pStyle w:val="NoSpacing"/>
        <w:rPr>
          <w:b/>
        </w:rPr>
      </w:pPr>
      <w:r w:rsidRPr="000F6DB1">
        <w:t>delivered the placenta, was actively hemorrhaging, and that the umbilical cord remained attached to the newborn.”</w:t>
      </w:r>
      <w:r>
        <w:t xml:space="preserve"> … </w:t>
      </w:r>
      <w:r w:rsidRPr="000F6DB1">
        <w:t xml:space="preserve">Despite knowing this, Mammoth Hospital declined to screen Plaintiff for medical care or provide stabilizing treatment, and instead diverted the ambulance that Plaintiff was </w:t>
      </w:r>
      <w:proofErr w:type="gramStart"/>
      <w:r w:rsidRPr="000F6DB1">
        <w:t>in to</w:t>
      </w:r>
      <w:proofErr w:type="gramEnd"/>
      <w:r w:rsidRPr="000F6DB1">
        <w:t xml:space="preserve"> NIHD,</w:t>
      </w:r>
      <w:r>
        <w:t xml:space="preserve"> [</w:t>
      </w:r>
      <w:r w:rsidRPr="00C45FE9">
        <w:t>Northern Inyo Healthcare District</w:t>
      </w:r>
      <w:r>
        <w:t xml:space="preserve">] </w:t>
      </w:r>
      <w:r w:rsidRPr="000F6DB1">
        <w:t xml:space="preserve">resulting in an almost 2-hour delay between when EMS personnel </w:t>
      </w:r>
      <w:proofErr w:type="gramStart"/>
      <w:r w:rsidRPr="000F6DB1">
        <w:t>made contact with</w:t>
      </w:r>
      <w:proofErr w:type="gramEnd"/>
      <w:r w:rsidRPr="000F6DB1">
        <w:t xml:space="preserve"> Plaintiff and the time NIHD evaluated her</w:t>
      </w:r>
      <w:r>
        <w:t xml:space="preserve">…. </w:t>
      </w:r>
      <w:r w:rsidRPr="000F6DB1">
        <w:t xml:space="preserve"> Liberally construing the allegations in Plaintiff's second amended complaint, the Court concludes that she has sufficiently stated a claim against Defendant Mammoth Hospital for violation of 42 U.S.C. § § 1395dd(a) and (b) to proceed past screening. </w:t>
      </w:r>
    </w:p>
    <w:p w14:paraId="4CBA2DB9" w14:textId="77777777" w:rsidR="009256C3" w:rsidRDefault="009256C3" w:rsidP="009256C3">
      <w:pPr>
        <w:pStyle w:val="NoSpacing"/>
        <w:rPr>
          <w:b/>
        </w:rPr>
      </w:pPr>
    </w:p>
    <w:p w14:paraId="1D78EE12" w14:textId="77777777" w:rsidR="009256C3" w:rsidRDefault="009256C3" w:rsidP="009256C3">
      <w:pPr>
        <w:pStyle w:val="NoSpacing"/>
      </w:pPr>
      <w:r w:rsidRPr="00F525DB">
        <w:t>However, as noted in the Court's previous screening order, because a private EMTALA right of action is authorized as to “a participating hospital's violation” under 42 U.S.C.A. § 1395dd(d)(2)(A), Plaintiff cannot sue non-hospital Defendants, i.e., Dr. Howell, Tom Parker, and Does 1-10.</w:t>
      </w:r>
      <w:r>
        <w:t>”</w:t>
      </w:r>
    </w:p>
    <w:p w14:paraId="4351F68A" w14:textId="77777777" w:rsidR="009256C3" w:rsidRDefault="009256C3" w:rsidP="009256C3">
      <w:pPr>
        <w:pStyle w:val="NoSpacing"/>
      </w:pPr>
    </w:p>
    <w:p w14:paraId="3A6BE958" w14:textId="77777777" w:rsidR="009256C3" w:rsidRDefault="009256C3" w:rsidP="009256C3">
      <w:pPr>
        <w:pStyle w:val="NoSpacing"/>
        <w:rPr>
          <w:b/>
          <w:bCs/>
        </w:rPr>
      </w:pPr>
      <w:r w:rsidRPr="00EA02A3">
        <w:rPr>
          <w:b/>
        </w:rPr>
        <w:t xml:space="preserve">Legal lesson learned: </w:t>
      </w:r>
      <w:r>
        <w:rPr>
          <w:b/>
        </w:rPr>
        <w:t>The case will now proceed to pre-trial discovery with the hospital.</w:t>
      </w:r>
    </w:p>
    <w:p w14:paraId="58E3AD4F" w14:textId="77777777" w:rsidR="009256C3" w:rsidRDefault="009256C3" w:rsidP="009256C3">
      <w:pPr>
        <w:pStyle w:val="NoSpacing"/>
        <w:rPr>
          <w:b/>
          <w:bCs/>
        </w:rPr>
      </w:pPr>
    </w:p>
    <w:p w14:paraId="317C8F75" w14:textId="77777777" w:rsidR="009256C3" w:rsidRPr="001F7B5B" w:rsidRDefault="009256C3" w:rsidP="009256C3">
      <w:pPr>
        <w:pStyle w:val="NoSpacing"/>
        <w:ind w:left="720"/>
      </w:pPr>
      <w:r w:rsidRPr="00BA4F71">
        <w:t>Note: Plaintiff also claimed a HIPAA violation.</w:t>
      </w:r>
      <w:r>
        <w:rPr>
          <w:b/>
        </w:rPr>
        <w:t xml:space="preserve"> “</w:t>
      </w:r>
      <w:r w:rsidRPr="001F7B5B">
        <w:t>In addition, Plaintiff's claims under HIPAA are subject to dismissal because, as the Court previously advised Plaintiff in the screening order, HIPAA does not authorize a private right of action for HIPAA violations.</w:t>
      </w:r>
      <w:r>
        <w:t>”</w:t>
      </w:r>
    </w:p>
    <w:p w14:paraId="789D6F7A" w14:textId="77777777" w:rsidR="009256C3" w:rsidRDefault="009256C3" w:rsidP="00004498">
      <w:pPr>
        <w:rPr>
          <w:rFonts w:ascii="Arial Black" w:hAnsi="Arial Black"/>
          <w:b/>
          <w:bCs/>
          <w:sz w:val="24"/>
          <w:szCs w:val="24"/>
        </w:rPr>
      </w:pPr>
    </w:p>
    <w:p w14:paraId="04DDD02E" w14:textId="77777777" w:rsidR="00B170D7" w:rsidRDefault="00B170D7" w:rsidP="00004498">
      <w:pPr>
        <w:rPr>
          <w:rFonts w:ascii="Arial Black" w:hAnsi="Arial Black"/>
          <w:b/>
          <w:bCs/>
          <w:sz w:val="24"/>
          <w:szCs w:val="24"/>
        </w:rPr>
      </w:pPr>
    </w:p>
    <w:p w14:paraId="1C4164B8" w14:textId="77777777" w:rsidR="00B170D7" w:rsidRDefault="00B170D7" w:rsidP="00004498">
      <w:pPr>
        <w:rPr>
          <w:rFonts w:ascii="Arial Black" w:hAnsi="Arial Black"/>
          <w:b/>
          <w:bCs/>
          <w:sz w:val="24"/>
          <w:szCs w:val="24"/>
        </w:rPr>
      </w:pPr>
    </w:p>
    <w:p w14:paraId="4EDE43A2" w14:textId="4C88195A" w:rsidR="0064577F" w:rsidRDefault="0064577F" w:rsidP="00004498">
      <w:pPr>
        <w:rPr>
          <w:rFonts w:ascii="Arial Black" w:hAnsi="Arial Black"/>
          <w:b/>
          <w:bCs/>
          <w:sz w:val="24"/>
          <w:szCs w:val="24"/>
        </w:rPr>
      </w:pPr>
      <w:r>
        <w:rPr>
          <w:rFonts w:ascii="Arial Black" w:hAnsi="Arial Black"/>
          <w:b/>
          <w:bCs/>
          <w:sz w:val="24"/>
          <w:szCs w:val="24"/>
        </w:rPr>
        <w:t>13-</w:t>
      </w:r>
      <w:r w:rsidR="00E6034E">
        <w:rPr>
          <w:rFonts w:ascii="Arial Black" w:hAnsi="Arial Black"/>
          <w:b/>
          <w:bCs/>
          <w:sz w:val="24"/>
          <w:szCs w:val="24"/>
        </w:rPr>
        <w:t>24</w:t>
      </w:r>
      <w:r w:rsidR="008D7CEA">
        <w:rPr>
          <w:rFonts w:ascii="Arial Black" w:hAnsi="Arial Black"/>
          <w:b/>
          <w:bCs/>
          <w:sz w:val="24"/>
          <w:szCs w:val="24"/>
        </w:rPr>
        <w:t>7</w:t>
      </w:r>
    </w:p>
    <w:p w14:paraId="096C4509" w14:textId="77777777" w:rsidR="00E6034E" w:rsidRPr="000E4586" w:rsidRDefault="00E6034E" w:rsidP="00E6034E">
      <w:pPr>
        <w:pStyle w:val="NoSpacing"/>
        <w:rPr>
          <w:rFonts w:ascii="Arial Black" w:hAnsi="Arial Black"/>
          <w:bCs/>
          <w:sz w:val="28"/>
          <w:szCs w:val="28"/>
        </w:rPr>
      </w:pPr>
      <w:r w:rsidRPr="000E4586">
        <w:rPr>
          <w:rFonts w:ascii="Arial Black" w:hAnsi="Arial Black"/>
          <w:sz w:val="28"/>
          <w:szCs w:val="28"/>
        </w:rPr>
        <w:t xml:space="preserve">NY: </w:t>
      </w:r>
      <w:r>
        <w:rPr>
          <w:rFonts w:ascii="Arial Black" w:hAnsi="Arial Black"/>
          <w:sz w:val="28"/>
          <w:szCs w:val="28"/>
        </w:rPr>
        <w:t>EMT LICENSE REVOKED – 26 PATIENTS / VITAL SIGNS</w:t>
      </w:r>
    </w:p>
    <w:p w14:paraId="19A112A9" w14:textId="77777777" w:rsidR="00E6034E" w:rsidRDefault="00E6034E" w:rsidP="00E6034E">
      <w:pPr>
        <w:pStyle w:val="NoSpacing"/>
      </w:pPr>
    </w:p>
    <w:p w14:paraId="53558D33" w14:textId="77777777" w:rsidR="00E6034E" w:rsidRDefault="00E6034E" w:rsidP="00E6034E">
      <w:pPr>
        <w:pStyle w:val="NoSpacing"/>
      </w:pPr>
      <w:r>
        <w:t xml:space="preserve">On February 26, 2026, in </w:t>
      </w:r>
      <w:r w:rsidRPr="0087051E">
        <w:rPr>
          <w:u w:val="single"/>
        </w:rPr>
        <w:t xml:space="preserve">In </w:t>
      </w:r>
      <w:proofErr w:type="gramStart"/>
      <w:r w:rsidRPr="0087051E">
        <w:rPr>
          <w:u w:val="single"/>
        </w:rPr>
        <w:t>The</w:t>
      </w:r>
      <w:proofErr w:type="gramEnd"/>
      <w:r w:rsidRPr="0087051E">
        <w:rPr>
          <w:u w:val="single"/>
        </w:rPr>
        <w:t xml:space="preserve"> Matter of Andrew P. DeWolf v. James McDonald, Commissioner of Health, et al</w:t>
      </w:r>
      <w:r>
        <w:t xml:space="preserve">., </w:t>
      </w:r>
      <w:r w:rsidRPr="001E064D">
        <w:t>the Supreme Court of New York, Third Department</w:t>
      </w:r>
      <w:r>
        <w:t xml:space="preserve"> held (5 to 0) that the revocation and $26,000 fine is supported by the administrative record (May 2024 and December 2024 final orders) and the appeal is moot.  </w:t>
      </w:r>
      <w:hyperlink r:id="rId1929" w:history="1">
        <w:r w:rsidRPr="000D51C6">
          <w:rPr>
            <w:rStyle w:val="Hyperlink"/>
          </w:rPr>
          <w:t>https://law.justia.com/cases/new-york/appellate-division-third-department/2026/cv-24-1117-cv-25-0151.html</w:t>
        </w:r>
      </w:hyperlink>
      <w:r>
        <w:t xml:space="preserve"> </w:t>
      </w:r>
    </w:p>
    <w:p w14:paraId="1416B306" w14:textId="77777777" w:rsidR="00E6034E" w:rsidRDefault="00E6034E" w:rsidP="00E6034E">
      <w:pPr>
        <w:pStyle w:val="NoSpacing"/>
      </w:pPr>
    </w:p>
    <w:p w14:paraId="45DEAA52" w14:textId="77777777" w:rsidR="00E6034E" w:rsidRDefault="00E6034E" w:rsidP="00E6034E">
      <w:pPr>
        <w:pStyle w:val="NoSpacing"/>
        <w:rPr>
          <w:bCs/>
        </w:rPr>
      </w:pPr>
      <w:r>
        <w:t>THE COURT HELD: “</w:t>
      </w:r>
      <w:r w:rsidRPr="00280636">
        <w:t xml:space="preserve">In June 2021, respondent Department of Health (hereinafter DOH) served petitioner with a notice of hearing and statement of charges, alleging that, between 2018 and 2019, petitioner endangered the lives of 26 patients in his care as an emergency medical technician (hereinafter EMT). </w:t>
      </w:r>
      <w:r w:rsidRPr="00280636">
        <w:rPr>
          <w:vertAlign w:val="superscript"/>
        </w:rPr>
        <w:t>[</w:t>
      </w:r>
      <w:bookmarkStart w:id="434" w:name="ftn.FN1"/>
      <w:r w:rsidRPr="00280636">
        <w:rPr>
          <w:bCs/>
          <w:vertAlign w:val="superscript"/>
        </w:rPr>
        <w:fldChar w:fldCharType="begin"/>
      </w:r>
      <w:r w:rsidRPr="00280636">
        <w:rPr>
          <w:vertAlign w:val="superscript"/>
        </w:rPr>
        <w:instrText>HYPERLINK "https://public.fastcase.com/" \l "FN1"</w:instrText>
      </w:r>
      <w:r w:rsidRPr="00280636">
        <w:rPr>
          <w:bCs/>
          <w:vertAlign w:val="superscript"/>
        </w:rPr>
      </w:r>
      <w:r w:rsidRPr="00280636">
        <w:rPr>
          <w:bCs/>
          <w:vertAlign w:val="superscript"/>
        </w:rPr>
        <w:fldChar w:fldCharType="separate"/>
      </w:r>
      <w:r w:rsidRPr="00280636">
        <w:rPr>
          <w:rStyle w:val="Hyperlink"/>
          <w:vertAlign w:val="superscript"/>
        </w:rPr>
        <w:t>1</w:t>
      </w:r>
      <w:r w:rsidRPr="00280636">
        <w:rPr>
          <w:bCs/>
        </w:rPr>
        <w:fldChar w:fldCharType="end"/>
      </w:r>
      <w:bookmarkEnd w:id="434"/>
      <w:r w:rsidRPr="00280636">
        <w:rPr>
          <w:vertAlign w:val="superscript"/>
        </w:rPr>
        <w:t>]</w:t>
      </w:r>
      <w:r w:rsidRPr="00280636">
        <w:t xml:space="preserve"> </w:t>
      </w:r>
    </w:p>
    <w:p w14:paraId="0A38EE06" w14:textId="77777777" w:rsidR="00E6034E" w:rsidRDefault="00E6034E" w:rsidP="00E6034E">
      <w:pPr>
        <w:pStyle w:val="NoSpacing"/>
        <w:rPr>
          <w:bCs/>
        </w:rPr>
      </w:pPr>
    </w:p>
    <w:p w14:paraId="451014AD" w14:textId="77777777" w:rsidR="00E6034E" w:rsidRPr="00280636" w:rsidRDefault="00E6034E" w:rsidP="00E6034E">
      <w:pPr>
        <w:pStyle w:val="NoSpacing"/>
        <w:ind w:left="720"/>
        <w:rPr>
          <w:bCs/>
        </w:rPr>
      </w:pPr>
      <w:r>
        <w:t xml:space="preserve">Footnote 1: </w:t>
      </w:r>
      <w:r w:rsidRPr="00280636">
        <w:t xml:space="preserve">DOH charged petitioner with 134 violations of basic and advanced life support treatment protocols; </w:t>
      </w:r>
      <w:proofErr w:type="gramStart"/>
      <w:r w:rsidRPr="00280636">
        <w:t>namely, that</w:t>
      </w:r>
      <w:proofErr w:type="gramEnd"/>
      <w:r w:rsidRPr="00280636">
        <w:t xml:space="preserve"> he failed to regularly monitor patients' vital signs, failed to follow instructions from supervising physicians and overdosed patients on various controlled substances.</w:t>
      </w:r>
    </w:p>
    <w:p w14:paraId="14F6090B" w14:textId="77777777" w:rsidR="00E6034E" w:rsidRDefault="00E6034E" w:rsidP="00E6034E">
      <w:pPr>
        <w:pStyle w:val="NoSpacing"/>
        <w:rPr>
          <w:bCs/>
        </w:rPr>
      </w:pPr>
    </w:p>
    <w:p w14:paraId="3DC59674" w14:textId="77777777" w:rsidR="00E6034E" w:rsidRDefault="00E6034E" w:rsidP="00E6034E">
      <w:pPr>
        <w:pStyle w:val="NoSpacing"/>
      </w:pPr>
      <w:r w:rsidRPr="00280636">
        <w:t>Petitioner contested the charges and, after an evidentiary hearing, an Administrative Law Judge (hereinafter ALJ) issued a report and recommendation that the charges be sustained, petitioner's EMT certification be revoked and he be fined $26,000</w:t>
      </w:r>
      <w:r>
        <w:t xml:space="preserve">…. </w:t>
      </w:r>
      <w:r w:rsidRPr="00F35C35">
        <w:t>Subsequently, in July 2024, respondent Commissioner of Health issued a final determination which adopted the ALJ's report and recommendation.</w:t>
      </w:r>
      <w:r>
        <w:t xml:space="preserve">” </w:t>
      </w:r>
    </w:p>
    <w:p w14:paraId="6029C777" w14:textId="77777777" w:rsidR="00E6034E" w:rsidRDefault="00E6034E" w:rsidP="00E6034E">
      <w:pPr>
        <w:pStyle w:val="NoSpacing"/>
      </w:pPr>
    </w:p>
    <w:p w14:paraId="3DD60C94" w14:textId="77777777" w:rsidR="00E6034E" w:rsidRPr="00BC60DC" w:rsidRDefault="00E6034E" w:rsidP="00E6034E">
      <w:pPr>
        <w:pStyle w:val="NoSpacing"/>
        <w:rPr>
          <w:b/>
          <w:bCs/>
        </w:rPr>
      </w:pPr>
      <w:r>
        <w:rPr>
          <w:b/>
        </w:rPr>
        <w:t xml:space="preserve">Legal lesson learned: EMTs must follow their protocol on monitoring patients’ vital signs </w:t>
      </w:r>
      <w:proofErr w:type="gramStart"/>
      <w:r>
        <w:rPr>
          <w:b/>
        </w:rPr>
        <w:t>and also</w:t>
      </w:r>
      <w:proofErr w:type="gramEnd"/>
      <w:r>
        <w:rPr>
          <w:b/>
        </w:rPr>
        <w:t xml:space="preserve"> follow medical directions.</w:t>
      </w:r>
    </w:p>
    <w:p w14:paraId="3E882E7D" w14:textId="77777777" w:rsidR="00E6034E" w:rsidRDefault="00E6034E" w:rsidP="00004498">
      <w:pPr>
        <w:rPr>
          <w:rFonts w:ascii="Arial Black" w:hAnsi="Arial Black"/>
          <w:b/>
          <w:bCs/>
          <w:sz w:val="24"/>
          <w:szCs w:val="24"/>
        </w:rPr>
      </w:pPr>
    </w:p>
    <w:p w14:paraId="7A6C1DD5" w14:textId="742EADA7" w:rsidR="0064577F" w:rsidRDefault="00A2043F" w:rsidP="00004498">
      <w:pPr>
        <w:rPr>
          <w:rFonts w:ascii="Arial Black" w:hAnsi="Arial Black"/>
          <w:b/>
          <w:bCs/>
          <w:sz w:val="24"/>
          <w:szCs w:val="24"/>
        </w:rPr>
      </w:pPr>
      <w:r>
        <w:rPr>
          <w:rFonts w:ascii="Arial Black" w:hAnsi="Arial Black"/>
          <w:b/>
          <w:bCs/>
          <w:sz w:val="24"/>
          <w:szCs w:val="24"/>
        </w:rPr>
        <w:t>13-24</w:t>
      </w:r>
      <w:r w:rsidR="008D7CEA">
        <w:rPr>
          <w:rFonts w:ascii="Arial Black" w:hAnsi="Arial Black"/>
          <w:b/>
          <w:bCs/>
          <w:sz w:val="24"/>
          <w:szCs w:val="24"/>
        </w:rPr>
        <w:t>6</w:t>
      </w:r>
    </w:p>
    <w:p w14:paraId="18E9DD20" w14:textId="77777777" w:rsidR="00A2043F" w:rsidRPr="00DB2B54" w:rsidRDefault="00A2043F" w:rsidP="00A2043F">
      <w:pPr>
        <w:pStyle w:val="NoSpacing"/>
        <w:rPr>
          <w:rFonts w:ascii="Arial Black" w:hAnsi="Arial Black"/>
          <w:b/>
          <w:sz w:val="28"/>
          <w:szCs w:val="28"/>
        </w:rPr>
      </w:pPr>
      <w:r>
        <w:rPr>
          <w:rFonts w:ascii="Arial Black" w:hAnsi="Arial Black"/>
          <w:b/>
          <w:sz w:val="28"/>
          <w:szCs w:val="28"/>
        </w:rPr>
        <w:t xml:space="preserve">TX: PATIENT FELL OFF COT – P’S EXPERT CAN BE A MEDIC </w:t>
      </w:r>
    </w:p>
    <w:p w14:paraId="5ED4DFB4" w14:textId="77777777" w:rsidR="00A2043F" w:rsidRDefault="00A2043F" w:rsidP="00A2043F">
      <w:pPr>
        <w:pStyle w:val="NoSpacing"/>
        <w:rPr>
          <w:b/>
        </w:rPr>
      </w:pPr>
    </w:p>
    <w:p w14:paraId="2796D662" w14:textId="77777777" w:rsidR="00A2043F" w:rsidRPr="000D6884" w:rsidRDefault="00A2043F" w:rsidP="00A2043F">
      <w:pPr>
        <w:pStyle w:val="NoSpacing"/>
        <w:rPr>
          <w:bCs/>
        </w:rPr>
      </w:pPr>
      <w:r>
        <w:t xml:space="preserve">On February 26, 2026, in </w:t>
      </w:r>
      <w:proofErr w:type="spellStart"/>
      <w:r w:rsidRPr="000D6884">
        <w:rPr>
          <w:u w:val="single"/>
        </w:rPr>
        <w:t>Medcare</w:t>
      </w:r>
      <w:proofErr w:type="spellEnd"/>
      <w:r w:rsidRPr="000D6884">
        <w:rPr>
          <w:u w:val="single"/>
        </w:rPr>
        <w:t xml:space="preserve"> EMS v. Carolina Flores</w:t>
      </w:r>
      <w:r>
        <w:t xml:space="preserve">, the </w:t>
      </w:r>
      <w:r w:rsidRPr="000D6884">
        <w:t>Court of Appeals of Texas, Thirteenth District, Corpus Christi-Edinburg</w:t>
      </w:r>
      <w:r>
        <w:t xml:space="preserve">, held (3 to 0) that the lawsuit may proceed since the plaintiff timely filed an expert’s report from a paramedic within the 120 days required under the Texas Medical Liability Act.  Trial court denied </w:t>
      </w:r>
      <w:proofErr w:type="spellStart"/>
      <w:r>
        <w:t>Medcare’s</w:t>
      </w:r>
      <w:proofErr w:type="spellEnd"/>
      <w:r>
        <w:t xml:space="preserve"> motion to dismiss, arguing the expert had to be a physician.  </w:t>
      </w:r>
      <w:hyperlink r:id="rId1930" w:history="1">
        <w:r w:rsidRPr="000D51C6">
          <w:rPr>
            <w:rStyle w:val="Hyperlink"/>
          </w:rPr>
          <w:t>https://cases.justia.com/texas/thirteenth-court-of-appeals/2026-13-25-00099-cv.pdf?ts=1772125541</w:t>
        </w:r>
      </w:hyperlink>
      <w:r>
        <w:t xml:space="preserve"> </w:t>
      </w:r>
    </w:p>
    <w:p w14:paraId="60AB26D8" w14:textId="77777777" w:rsidR="00A2043F" w:rsidRDefault="00A2043F" w:rsidP="00A2043F">
      <w:pPr>
        <w:pStyle w:val="NoSpacing"/>
        <w:rPr>
          <w:bCs/>
        </w:rPr>
      </w:pPr>
    </w:p>
    <w:p w14:paraId="20FE23FB" w14:textId="77777777" w:rsidR="00A2043F" w:rsidRDefault="00A2043F" w:rsidP="00A2043F">
      <w:pPr>
        <w:pStyle w:val="NoSpacing"/>
      </w:pPr>
      <w:r>
        <w:t>THE COURT HELD: “</w:t>
      </w:r>
      <w:r w:rsidRPr="00D3244C">
        <w:t xml:space="preserve">It is undisputed that </w:t>
      </w:r>
      <w:proofErr w:type="spellStart"/>
      <w:r w:rsidRPr="00D3244C">
        <w:t>Everlove</w:t>
      </w:r>
      <w:proofErr w:type="spellEnd"/>
      <w:r w:rsidRPr="00D3244C">
        <w:t xml:space="preserve"> was qualified to opine as to the standard of care</w:t>
      </w:r>
      <w:r>
        <w:t xml:space="preserve"> </w:t>
      </w:r>
      <w:r w:rsidRPr="00D3244C">
        <w:t xml:space="preserve">applicable to </w:t>
      </w:r>
      <w:proofErr w:type="spellStart"/>
      <w:r w:rsidRPr="00D3244C">
        <w:t>MedCare</w:t>
      </w:r>
      <w:proofErr w:type="spellEnd"/>
      <w:r>
        <w:t xml:space="preserve">…. </w:t>
      </w:r>
      <w:r w:rsidRPr="00C72FB6">
        <w:t xml:space="preserve">On December 9, 2021, Flores called emergency services after experiencing abdominal pain. A </w:t>
      </w:r>
      <w:proofErr w:type="spellStart"/>
      <w:r w:rsidRPr="00C72FB6">
        <w:t>MedCare</w:t>
      </w:r>
      <w:proofErr w:type="spellEnd"/>
      <w:r w:rsidRPr="00C72FB6">
        <w:t xml:space="preserve"> emergency medical technician (EMT) and paramedic arrived at her apartment and assessed her. Flores was subsequently placed and strapped onto a stretcher, which was wheeled from her apartment to the parking lot of Flores's apartment complex. Flores </w:t>
      </w:r>
      <w:proofErr w:type="gramStart"/>
      <w:r w:rsidRPr="00C72FB6">
        <w:t>was</w:t>
      </w:r>
      <w:proofErr w:type="gramEnd"/>
      <w:r w:rsidRPr="00C72FB6">
        <w:t xml:space="preserve"> left in the stretcher under the paramedic's supervision while the EMT moved the ambulance closer to Flores's location. Flores's stretcher ultimately tipped over, and she sustained injuries from the fall</w:t>
      </w:r>
      <w:r>
        <w:t xml:space="preserve">.  </w:t>
      </w:r>
      <w:r w:rsidRPr="00474CA1">
        <w:t xml:space="preserve">On December 20, 2022, Flores sent </w:t>
      </w:r>
      <w:proofErr w:type="spellStart"/>
      <w:r w:rsidRPr="00474CA1">
        <w:t>MedCare</w:t>
      </w:r>
      <w:proofErr w:type="spellEnd"/>
      <w:r w:rsidRPr="00474CA1">
        <w:t xml:space="preserve"> a pre-suit letter by certified mail which included an expert report authored by registered paramedic John B. </w:t>
      </w:r>
      <w:proofErr w:type="spellStart"/>
      <w:r w:rsidRPr="00474CA1">
        <w:t>Everlove</w:t>
      </w:r>
      <w:proofErr w:type="spellEnd"/>
      <w:r w:rsidRPr="00474CA1">
        <w:t xml:space="preserve">, as well as his curriculum vitae. In his report, </w:t>
      </w:r>
      <w:proofErr w:type="spellStart"/>
      <w:r w:rsidRPr="00474CA1">
        <w:t>Everlove</w:t>
      </w:r>
      <w:proofErr w:type="spellEnd"/>
      <w:r w:rsidRPr="00474CA1">
        <w:t xml:space="preserve"> described the standard of care applicable to </w:t>
      </w:r>
      <w:proofErr w:type="spellStart"/>
      <w:r w:rsidRPr="00474CA1">
        <w:t>MedCare</w:t>
      </w:r>
      <w:proofErr w:type="spellEnd"/>
      <w:r w:rsidRPr="00474CA1">
        <w:t xml:space="preserve"> and deviations from that standard by </w:t>
      </w:r>
      <w:proofErr w:type="spellStart"/>
      <w:r w:rsidRPr="00474CA1">
        <w:t>MedCare</w:t>
      </w:r>
      <w:proofErr w:type="spellEnd"/>
      <w:r w:rsidRPr="00474CA1">
        <w:t xml:space="preserve"> personnel concerning the </w:t>
      </w:r>
      <w:r>
        <w:t>‘</w:t>
      </w:r>
      <w:r w:rsidRPr="00474CA1">
        <w:t>care, treatment, and management of . . . Flores.</w:t>
      </w:r>
      <w:r>
        <w:t>’ ***</w:t>
      </w:r>
    </w:p>
    <w:p w14:paraId="50B72328" w14:textId="77777777" w:rsidR="00A2043F" w:rsidRPr="000D6884" w:rsidRDefault="00A2043F" w:rsidP="00A2043F">
      <w:pPr>
        <w:pStyle w:val="NoSpacing"/>
        <w:rPr>
          <w:bCs/>
        </w:rPr>
      </w:pPr>
      <w:r w:rsidRPr="009B7BDF">
        <w:t xml:space="preserve">It is undisputed that </w:t>
      </w:r>
      <w:proofErr w:type="spellStart"/>
      <w:r w:rsidRPr="009B7BDF">
        <w:t>Everlove</w:t>
      </w:r>
      <w:proofErr w:type="spellEnd"/>
      <w:r w:rsidRPr="009B7BDF">
        <w:t xml:space="preserve"> was qualified to opine as to the standard of care applicable to </w:t>
      </w:r>
      <w:proofErr w:type="spellStart"/>
      <w:r w:rsidRPr="009B7BDF">
        <w:t>MedCare</w:t>
      </w:r>
      <w:proofErr w:type="spellEnd"/>
      <w:r w:rsidRPr="009B7BDF">
        <w:t xml:space="preserve">. </w:t>
      </w:r>
      <w:r w:rsidRPr="009B7BDF">
        <w:rPr>
          <w:i/>
          <w:iCs/>
        </w:rPr>
        <w:t>See</w:t>
      </w:r>
      <w:r w:rsidRPr="009B7BDF">
        <w:t xml:space="preserve"> Tex. Civ. </w:t>
      </w:r>
      <w:proofErr w:type="spellStart"/>
      <w:r w:rsidRPr="009B7BDF">
        <w:t>Prac</w:t>
      </w:r>
      <w:proofErr w:type="spellEnd"/>
      <w:r w:rsidRPr="009B7BDF">
        <w:t xml:space="preserve">. &amp; Rem. Code § 74.402. Moreover, </w:t>
      </w:r>
      <w:proofErr w:type="spellStart"/>
      <w:r w:rsidRPr="009B7BDF">
        <w:t>Everlove</w:t>
      </w:r>
      <w:proofErr w:type="spellEnd"/>
      <w:r w:rsidRPr="009B7BDF">
        <w:t xml:space="preserve"> opined in his report that </w:t>
      </w:r>
      <w:proofErr w:type="spellStart"/>
      <w:r w:rsidRPr="009B7BDF">
        <w:t>MedCare</w:t>
      </w:r>
      <w:proofErr w:type="spellEnd"/>
      <w:r w:rsidRPr="009B7BDF">
        <w:t xml:space="preserve"> personnel deviated from that standard concerning their "care, treatment, and management of . . . Flores." In other words, </w:t>
      </w:r>
      <w:proofErr w:type="spellStart"/>
      <w:r w:rsidRPr="009B7BDF">
        <w:t>Everlove</w:t>
      </w:r>
      <w:proofErr w:type="spellEnd"/>
      <w:r w:rsidRPr="009B7BDF">
        <w:t xml:space="preserve"> opined that </w:t>
      </w:r>
      <w:proofErr w:type="spellStart"/>
      <w:r w:rsidRPr="009B7BDF">
        <w:t>MedCare</w:t>
      </w:r>
      <w:proofErr w:type="spellEnd"/>
      <w:r w:rsidRPr="009B7BDF">
        <w:t xml:space="preserve"> was negligent. Accordingly, we hold that </w:t>
      </w:r>
      <w:proofErr w:type="spellStart"/>
      <w:r w:rsidRPr="009B7BDF">
        <w:t>Everlove's</w:t>
      </w:r>
      <w:proofErr w:type="spellEnd"/>
      <w:r w:rsidRPr="009B7BDF">
        <w:t xml:space="preserve"> report constitutes a statement of opinion by an individual with expertise indicating that the claim asserted by Flores against </w:t>
      </w:r>
      <w:proofErr w:type="spellStart"/>
      <w:r w:rsidRPr="009B7BDF">
        <w:t>MedCare</w:t>
      </w:r>
      <w:proofErr w:type="spellEnd"/>
      <w:r w:rsidRPr="009B7BDF">
        <w:t xml:space="preserve"> has merit.</w:t>
      </w:r>
      <w:r>
        <w:t xml:space="preserve">”  </w:t>
      </w:r>
    </w:p>
    <w:p w14:paraId="1CCCA09B" w14:textId="77777777" w:rsidR="00A2043F" w:rsidRDefault="00A2043F" w:rsidP="00A2043F">
      <w:pPr>
        <w:pStyle w:val="NoSpacing"/>
        <w:rPr>
          <w:bCs/>
        </w:rPr>
      </w:pPr>
    </w:p>
    <w:p w14:paraId="713A2370" w14:textId="77777777" w:rsidR="00A2043F" w:rsidRDefault="00A2043F" w:rsidP="00A2043F">
      <w:pPr>
        <w:pStyle w:val="NoSpacing"/>
        <w:rPr>
          <w:b/>
        </w:rPr>
      </w:pPr>
      <w:r>
        <w:rPr>
          <w:b/>
        </w:rPr>
        <w:t xml:space="preserve">Legal lesson learned:  This is yet another case of a patient falling off a cot and being injured. </w:t>
      </w:r>
    </w:p>
    <w:p w14:paraId="5E6E6451" w14:textId="77777777" w:rsidR="00A2043F" w:rsidRDefault="00A2043F" w:rsidP="00A2043F">
      <w:pPr>
        <w:pStyle w:val="NoSpacing"/>
        <w:rPr>
          <w:b/>
        </w:rPr>
      </w:pPr>
    </w:p>
    <w:p w14:paraId="381857B7" w14:textId="77777777" w:rsidR="00A2043F" w:rsidRDefault="00A2043F" w:rsidP="00004498">
      <w:pPr>
        <w:rPr>
          <w:rFonts w:ascii="Arial Black" w:hAnsi="Arial Black"/>
          <w:b/>
          <w:bCs/>
          <w:sz w:val="24"/>
          <w:szCs w:val="24"/>
        </w:rPr>
      </w:pPr>
    </w:p>
    <w:p w14:paraId="3BD1F70E" w14:textId="2213E646" w:rsidR="008D7CEA" w:rsidRDefault="008D7CEA" w:rsidP="00004498">
      <w:pPr>
        <w:rPr>
          <w:rFonts w:ascii="Arial Black" w:hAnsi="Arial Black"/>
          <w:b/>
          <w:bCs/>
          <w:sz w:val="24"/>
          <w:szCs w:val="24"/>
        </w:rPr>
      </w:pPr>
      <w:r>
        <w:rPr>
          <w:rFonts w:ascii="Arial Black" w:hAnsi="Arial Black"/>
          <w:b/>
          <w:bCs/>
          <w:sz w:val="24"/>
          <w:szCs w:val="24"/>
        </w:rPr>
        <w:t>13-245</w:t>
      </w:r>
    </w:p>
    <w:p w14:paraId="01A6D54F" w14:textId="77777777" w:rsidR="008D7CEA" w:rsidRDefault="008D7CEA" w:rsidP="008D7CEA">
      <w:pPr>
        <w:pStyle w:val="NoSpacing"/>
        <w:rPr>
          <w:rFonts w:ascii="Arial Black" w:hAnsi="Arial Black"/>
          <w:b/>
          <w:sz w:val="28"/>
          <w:szCs w:val="28"/>
        </w:rPr>
      </w:pPr>
      <w:r>
        <w:rPr>
          <w:rFonts w:ascii="Arial Black" w:hAnsi="Arial Black"/>
          <w:b/>
          <w:sz w:val="28"/>
          <w:szCs w:val="28"/>
        </w:rPr>
        <w:t xml:space="preserve">FL: B/C FIRED – REFUSED TO ISSUE COVID REPRIMANDS </w:t>
      </w:r>
    </w:p>
    <w:p w14:paraId="7851E63A" w14:textId="77777777" w:rsidR="008D7CEA" w:rsidRDefault="008D7CEA" w:rsidP="008D7CEA">
      <w:pPr>
        <w:pStyle w:val="NoSpacing"/>
        <w:rPr>
          <w:rFonts w:ascii="Arial Black" w:hAnsi="Arial Black"/>
          <w:b/>
          <w:sz w:val="28"/>
          <w:szCs w:val="28"/>
        </w:rPr>
      </w:pPr>
    </w:p>
    <w:p w14:paraId="78FA378E" w14:textId="77777777" w:rsidR="008D7CEA" w:rsidRDefault="008D7CEA" w:rsidP="008D7CEA">
      <w:pPr>
        <w:pStyle w:val="NoSpacing"/>
        <w:rPr>
          <w:bCs/>
        </w:rPr>
      </w:pPr>
      <w:r>
        <w:t xml:space="preserve">On February 13, 2026, in </w:t>
      </w:r>
      <w:r w:rsidRPr="00805F39">
        <w:rPr>
          <w:u w:val="single"/>
        </w:rPr>
        <w:t>Stephen M. Davis v. Orange County</w:t>
      </w:r>
      <w:r>
        <w:t xml:space="preserve">, the United States Court of Appeals for the Eleventh Circuit (Atlanta) held (3 to 0; unpublished decision) that his lawsuit was properly dismissed.  </w:t>
      </w:r>
      <w:r w:rsidRPr="00CD2C4C">
        <w:t xml:space="preserve">Davis worked for the department for 15 years and advanced through the ranks to battalion chief. In 2021, Davis was terminated after he did not </w:t>
      </w:r>
      <w:r w:rsidRPr="00CD2C4C">
        <w:lastRenderedPageBreak/>
        <w:t xml:space="preserve">reprimand department personnel who refused the Orange County’s mandated COVID-19 vaccine. </w:t>
      </w:r>
      <w:r>
        <w:t xml:space="preserve"> Davis has failed to allege an” objectively reasonable” belief that issuing the written reprimands to firefighters who hadn’t timely provided a vaccination certificate or exemption request, because the union had negotiated an MOU with the County that COVID reprimands could not be considered or used in a union member’s performance evaluation, and that no further disciplinary action could be taken against employees who didn’t file a timely vaccination certificate or exemption request. </w:t>
      </w:r>
      <w:hyperlink r:id="rId1931" w:history="1">
        <w:r w:rsidRPr="002B0907">
          <w:rPr>
            <w:rStyle w:val="Hyperlink"/>
          </w:rPr>
          <w:t>https://www.govinfo.gov/content/pkg/USCOURTS-ca11-25-11434/pdf/USCOURTS-ca11-25-11434-0.pdf</w:t>
        </w:r>
      </w:hyperlink>
      <w:r>
        <w:t xml:space="preserve"> </w:t>
      </w:r>
    </w:p>
    <w:p w14:paraId="32322AF6" w14:textId="77777777" w:rsidR="008D7CEA" w:rsidRDefault="008D7CEA" w:rsidP="008D7CEA">
      <w:pPr>
        <w:pStyle w:val="NoSpacing"/>
        <w:rPr>
          <w:bCs/>
        </w:rPr>
      </w:pPr>
    </w:p>
    <w:p w14:paraId="49A6FA41" w14:textId="77777777" w:rsidR="008D7CEA" w:rsidRDefault="008D7CEA" w:rsidP="008D7CEA">
      <w:pPr>
        <w:pStyle w:val="NoSpacing"/>
      </w:pPr>
      <w:r>
        <w:t>THE COURT HELD: “It is undisputed that Davis’s termination was an adverse employment action caused by his refusal to issue reprimands for violations of the department’s COVID-19 policy, so this case comes down to whether that refusal was protected activity…. Here, Davis asserts that he believed the reprimands he was ordered to issue violated Title VII’s anti-discrimination provision. That belief wasn’t objectively reasonable….  The memorandum of understanding between the union representing Orange County firefighters and the county stated that the reprimands could not be considered or used in a union member’s performance</w:t>
      </w:r>
    </w:p>
    <w:p w14:paraId="25DB761E" w14:textId="77777777" w:rsidR="008D7CEA" w:rsidRDefault="008D7CEA" w:rsidP="008D7CEA">
      <w:pPr>
        <w:pStyle w:val="NoSpacing"/>
      </w:pPr>
      <w:r>
        <w:t xml:space="preserve">evaluation, and that no further disciplinary action could be taken against employees who didn’t file a timely vaccination certificate or exemption request. In other words, the reprimands were toothless—they themselves didn’t rise to the level of an adverse employment action, and a future adverse employment action couldn’t be based on them…. In other words, the reprimands were toothless—they themselves didn’t rise to the level of an adverse employment action, and a future adverse employment action couldn’t be based on them. </w:t>
      </w:r>
      <w:proofErr w:type="gramStart"/>
      <w:r>
        <w:t>So</w:t>
      </w:r>
      <w:proofErr w:type="gramEnd"/>
      <w:r>
        <w:t xml:space="preserve"> Davis has failed to allege an objectively reasonable belief that a written reprimand—that by its own terms could</w:t>
      </w:r>
    </w:p>
    <w:p w14:paraId="6F4F22F4" w14:textId="77777777" w:rsidR="008D7CEA" w:rsidRDefault="008D7CEA" w:rsidP="008D7CEA">
      <w:pPr>
        <w:pStyle w:val="NoSpacing"/>
      </w:pPr>
      <w:r>
        <w:t>not impact the terms or conditions of a firefighter’s employment— would disadvantage, harm, or make “worse off” his subordinates’ employment in any way.”</w:t>
      </w:r>
    </w:p>
    <w:p w14:paraId="49FCE479" w14:textId="77777777" w:rsidR="008D7CEA" w:rsidRDefault="008D7CEA" w:rsidP="008D7CEA">
      <w:pPr>
        <w:pStyle w:val="NoSpacing"/>
      </w:pPr>
    </w:p>
    <w:p w14:paraId="05D5DD49" w14:textId="77777777" w:rsidR="008D7CEA" w:rsidRDefault="008D7CEA" w:rsidP="008D7CEA">
      <w:pPr>
        <w:pStyle w:val="NoSpacing"/>
        <w:rPr>
          <w:b/>
          <w:bCs/>
        </w:rPr>
      </w:pPr>
      <w:r>
        <w:rPr>
          <w:b/>
        </w:rPr>
        <w:t>Legal lesson learned:  Davis should have consulted an employment layer before refusing to issue the COVID reprimands.</w:t>
      </w:r>
    </w:p>
    <w:p w14:paraId="7896FF80" w14:textId="77777777" w:rsidR="008D7CEA" w:rsidRDefault="008D7CEA" w:rsidP="008D7CEA">
      <w:pPr>
        <w:pStyle w:val="NoSpacing"/>
        <w:rPr>
          <w:b/>
          <w:bCs/>
        </w:rPr>
      </w:pPr>
    </w:p>
    <w:p w14:paraId="53D4C45D" w14:textId="77777777" w:rsidR="008D7CEA" w:rsidRDefault="008D7CEA" w:rsidP="008D7CEA">
      <w:pPr>
        <w:pStyle w:val="NoSpacing"/>
        <w:ind w:left="720"/>
      </w:pPr>
      <w:r>
        <w:t xml:space="preserve">Note: See June 15, </w:t>
      </w:r>
      <w:proofErr w:type="gramStart"/>
      <w:r>
        <w:t>2024</w:t>
      </w:r>
      <w:proofErr w:type="gramEnd"/>
      <w:r>
        <w:t xml:space="preserve"> article</w:t>
      </w:r>
      <w:r w:rsidRPr="001260AC">
        <w:rPr>
          <w:b/>
        </w:rPr>
        <w:t xml:space="preserve">: </w:t>
      </w:r>
      <w:r>
        <w:rPr>
          <w:b/>
        </w:rPr>
        <w:t>“</w:t>
      </w:r>
      <w:r w:rsidRPr="001260AC">
        <w:t>BREAKING: Former Orange County Fire Rescue battalion chief announces candidacy for County Commission District 1</w:t>
      </w:r>
      <w:r>
        <w:t xml:space="preserve">. </w:t>
      </w:r>
      <w:hyperlink r:id="rId1932" w:history="1">
        <w:r w:rsidRPr="002B0907">
          <w:rPr>
            <w:rStyle w:val="Hyperlink"/>
          </w:rPr>
          <w:t>https://www.orangeobserver.com/news/2024/jun/15/breaking-former-orange-county-fire-rescue-battalion-chief-announces-candidacy-for-county-commission-district-1/</w:t>
        </w:r>
      </w:hyperlink>
      <w:r>
        <w:t xml:space="preserve"> </w:t>
      </w:r>
    </w:p>
    <w:p w14:paraId="247E0F29" w14:textId="77777777" w:rsidR="008D7CEA" w:rsidRDefault="008D7CEA" w:rsidP="008D7CEA">
      <w:pPr>
        <w:pStyle w:val="NoSpacing"/>
        <w:ind w:left="720"/>
      </w:pPr>
    </w:p>
    <w:p w14:paraId="1318568A" w14:textId="77777777" w:rsidR="008D7CEA" w:rsidRPr="00A21182" w:rsidRDefault="008D7CEA" w:rsidP="008D7CEA">
      <w:pPr>
        <w:pStyle w:val="NoSpacing"/>
        <w:ind w:left="720"/>
      </w:pPr>
      <w:r>
        <w:t>“</w:t>
      </w:r>
      <w:r w:rsidRPr="00722EC8">
        <w:t xml:space="preserve">Stephen Davis, a former Orange County Fire Rescue battalion chief has filed as a qualified write-in candidate for the </w:t>
      </w:r>
      <w:proofErr w:type="gramStart"/>
      <w:r w:rsidRPr="00722EC8">
        <w:t>District</w:t>
      </w:r>
      <w:proofErr w:type="gramEnd"/>
      <w:r w:rsidRPr="00722EC8">
        <w:t xml:space="preserve"> 1 Orange County Commission seat.</w:t>
      </w:r>
      <w:r>
        <w:t xml:space="preserve"> </w:t>
      </w:r>
      <w:r w:rsidRPr="00722EC8">
        <w:t xml:space="preserve">Davis joins incumbent Nicole Wilson and challenger Austin Arthur in the race. </w:t>
      </w:r>
      <w:proofErr w:type="spellStart"/>
      <w:r w:rsidRPr="00722EC8">
        <w:t>Davis’</w:t>
      </w:r>
      <w:proofErr w:type="spellEnd"/>
      <w:r w:rsidRPr="00722EC8">
        <w:t xml:space="preserve"> candidacy also moves the race from November general election up to the primary ballot, Aug. 20.</w:t>
      </w:r>
      <w:r>
        <w:t xml:space="preserve"> </w:t>
      </w:r>
      <w:r w:rsidRPr="00722EC8">
        <w:t xml:space="preserve">If one candidate gets 50% plus one vote in the primary, that person wins the seat, Orange County Supervisor of Elections Public Information Officer Christopher Heath said. </w:t>
      </w:r>
      <w:r>
        <w:t xml:space="preserve"> </w:t>
      </w:r>
      <w:r w:rsidRPr="00722EC8">
        <w:t>Davis worked for the department for 15 years and advanced through the ranks to battalion chief. In 2021, Davis was terminated after he did not reprimand department personnel who refused the Orange County’s mandated COVID-19 vaccine.</w:t>
      </w:r>
      <w:r w:rsidRPr="00A21182">
        <w:rPr>
          <w:rFonts w:eastAsia="Times New Roman"/>
        </w:rPr>
        <w:t xml:space="preserve"> </w:t>
      </w:r>
      <w:r w:rsidRPr="00A21182">
        <w:t xml:space="preserve">He later filed a lawsuit against the county for wrongful termination </w:t>
      </w:r>
      <w:proofErr w:type="gramStart"/>
      <w:r w:rsidRPr="00A21182">
        <w:t>and also</w:t>
      </w:r>
      <w:proofErr w:type="gramEnd"/>
      <w:r w:rsidRPr="00A21182">
        <w:t xml:space="preserve"> has written a book about his experience.</w:t>
      </w:r>
      <w:r>
        <w:t xml:space="preserve"> ‘</w:t>
      </w:r>
      <w:r w:rsidRPr="00A21182">
        <w:t>History has now proven Orange County was wrong to mandate the so-called vaccine,</w:t>
      </w:r>
      <w:r>
        <w:t>’</w:t>
      </w:r>
      <w:r w:rsidRPr="00A21182">
        <w:t xml:space="preserve"> Davis said. </w:t>
      </w:r>
      <w:r>
        <w:t>‘</w:t>
      </w:r>
      <w:r w:rsidRPr="00A21182">
        <w:t>It did not stop the spread. Worse, Commissioner Nicole Wilson ridiculed and showed disdain for the firefighters who refused it. That’s why I’m running — to make sure this issue does not go away.</w:t>
      </w:r>
      <w:r>
        <w:t>’”</w:t>
      </w:r>
    </w:p>
    <w:p w14:paraId="7943B121" w14:textId="77777777" w:rsidR="00DB1FBE" w:rsidRDefault="00DB1FBE" w:rsidP="00004498">
      <w:pPr>
        <w:rPr>
          <w:rFonts w:ascii="Arial Black" w:hAnsi="Arial Black"/>
          <w:b/>
          <w:bCs/>
          <w:sz w:val="24"/>
          <w:szCs w:val="24"/>
        </w:rPr>
      </w:pPr>
    </w:p>
    <w:p w14:paraId="58697735" w14:textId="77777777" w:rsidR="00DB1FBE" w:rsidRDefault="00DB1FBE" w:rsidP="00004498">
      <w:pPr>
        <w:rPr>
          <w:rFonts w:ascii="Arial Black" w:hAnsi="Arial Black"/>
          <w:b/>
          <w:bCs/>
          <w:sz w:val="24"/>
          <w:szCs w:val="24"/>
        </w:rPr>
      </w:pPr>
    </w:p>
    <w:p w14:paraId="039E4D67" w14:textId="42AA3F76" w:rsidR="00F448F2" w:rsidRDefault="00F448F2" w:rsidP="00004498">
      <w:pPr>
        <w:rPr>
          <w:rFonts w:ascii="Arial Black" w:hAnsi="Arial Black"/>
          <w:b/>
          <w:bCs/>
          <w:sz w:val="24"/>
          <w:szCs w:val="24"/>
        </w:rPr>
      </w:pPr>
      <w:r>
        <w:rPr>
          <w:rFonts w:ascii="Arial Black" w:hAnsi="Arial Black"/>
          <w:b/>
          <w:bCs/>
          <w:sz w:val="24"/>
          <w:szCs w:val="24"/>
        </w:rPr>
        <w:t>13-244</w:t>
      </w:r>
    </w:p>
    <w:p w14:paraId="4FC97D69" w14:textId="77777777" w:rsidR="00F448F2" w:rsidRPr="005A0B1B" w:rsidRDefault="00F448F2" w:rsidP="00F448F2">
      <w:pPr>
        <w:pStyle w:val="NoSpacing"/>
        <w:rPr>
          <w:rFonts w:ascii="Arial Black" w:hAnsi="Arial Black"/>
          <w:b/>
          <w:sz w:val="28"/>
          <w:szCs w:val="28"/>
        </w:rPr>
      </w:pPr>
      <w:r>
        <w:rPr>
          <w:rFonts w:ascii="Arial Black" w:hAnsi="Arial Black"/>
          <w:b/>
          <w:sz w:val="28"/>
          <w:szCs w:val="28"/>
        </w:rPr>
        <w:t>MA: 8-MO CHILD – 2 EMTs DIDN’T CANCEL ALS – NO CASE</w:t>
      </w:r>
    </w:p>
    <w:p w14:paraId="7FDD11F0" w14:textId="77777777" w:rsidR="00F448F2" w:rsidRDefault="00F448F2" w:rsidP="00F448F2">
      <w:pPr>
        <w:pStyle w:val="NoSpacing"/>
        <w:rPr>
          <w:b/>
        </w:rPr>
      </w:pPr>
    </w:p>
    <w:p w14:paraId="5F061A7F" w14:textId="77777777" w:rsidR="00F448F2" w:rsidRDefault="00F448F2" w:rsidP="00F448F2">
      <w:pPr>
        <w:pStyle w:val="NoSpacing"/>
      </w:pPr>
      <w:r>
        <w:t xml:space="preserve">On February 6, 2026, in </w:t>
      </w:r>
      <w:r w:rsidRPr="00A658F9">
        <w:rPr>
          <w:u w:val="single"/>
        </w:rPr>
        <w:t>Matthew Lincoff and Taylor Lincoff, co-personal representatives of the estate of Landon Lincoff v. Town of Topsfield, et al</w:t>
      </w:r>
      <w:r>
        <w:t xml:space="preserve">., U.S. District Court Judge Brian E. Murphy, </w:t>
      </w:r>
    </w:p>
    <w:p w14:paraId="08337326" w14:textId="77777777" w:rsidR="00F448F2" w:rsidRDefault="00F448F2" w:rsidP="00F448F2">
      <w:pPr>
        <w:pStyle w:val="NoSpacing"/>
      </w:pPr>
      <w:r w:rsidRPr="00B672B3">
        <w:t>United States District Court for the District of Massachusetts</w:t>
      </w:r>
      <w:r>
        <w:t xml:space="preserve"> granted the defendants motion to dismiss federal case; there no proof that the Town’s policy in 2020 to handle their own EMS transports, with mutual aid ALS back up, led to a </w:t>
      </w:r>
      <w:r>
        <w:lastRenderedPageBreak/>
        <w:t xml:space="preserve">practice of cancelling ALS mutual aid. In the </w:t>
      </w:r>
      <w:r w:rsidRPr="00B73581">
        <w:t xml:space="preserve">early hours of June 5, 2021, eight-month-old Landon stopped breathing at </w:t>
      </w:r>
      <w:proofErr w:type="gramStart"/>
      <w:r w:rsidRPr="00B73581">
        <w:t>his home</w:t>
      </w:r>
      <w:proofErr w:type="gramEnd"/>
      <w:r w:rsidRPr="00B73581">
        <w:t xml:space="preserve"> after having been sick with a cough and respiratory illness in the preceding days.</w:t>
      </w:r>
      <w:r>
        <w:t xml:space="preserve"> </w:t>
      </w:r>
      <w:r w:rsidRPr="0005295A">
        <w:t xml:space="preserve">Two Topsfield </w:t>
      </w:r>
      <w:r>
        <w:t xml:space="preserve">police </w:t>
      </w:r>
      <w:r w:rsidRPr="0005295A">
        <w:t xml:space="preserve">officers arrived at the residence around 2:11 a.m. </w:t>
      </w:r>
      <w:r>
        <w:t xml:space="preserve">and </w:t>
      </w:r>
      <w:r w:rsidRPr="0005295A">
        <w:t>found Landon pulseless and not breathing.</w:t>
      </w:r>
      <w:r>
        <w:t xml:space="preserve">  At 2:12 am, off duty TDF paramedic </w:t>
      </w:r>
      <w:r w:rsidRPr="00064812">
        <w:t>Jonathan Hallina</w:t>
      </w:r>
      <w:r>
        <w:t xml:space="preserve">n heard the call at home, requested mutual aid and drove to the fire station, while two EMT-Basics at the station responded in ambulance and arrived at </w:t>
      </w:r>
      <w:r w:rsidRPr="00A24981">
        <w:t>2:16 a.m.</w:t>
      </w:r>
      <w:r>
        <w:t xml:space="preserve">, and departed for </w:t>
      </w:r>
      <w:r w:rsidRPr="009A12DF">
        <w:t xml:space="preserve">Beverly Hospital </w:t>
      </w:r>
      <w:r>
        <w:t xml:space="preserve">at 2:19 pm </w:t>
      </w:r>
      <w:r w:rsidRPr="009A12DF">
        <w:t>with a police escor</w:t>
      </w:r>
      <w:r>
        <w:t xml:space="preserve">t, along with Mrs. </w:t>
      </w:r>
      <w:proofErr w:type="spellStart"/>
      <w:r>
        <w:t>Lincoff</w:t>
      </w:r>
      <w:proofErr w:type="spellEnd"/>
      <w:r>
        <w:t xml:space="preserve"> on board. At 2:22 the ambulance picked up Paramedic </w:t>
      </w:r>
      <w:r w:rsidRPr="00064812">
        <w:t>Hallina</w:t>
      </w:r>
      <w:r>
        <w:t xml:space="preserve">n and at </w:t>
      </w:r>
      <w:r w:rsidRPr="00B62E7F">
        <w:t xml:space="preserve">2:23 a.m., picked up </w:t>
      </w:r>
      <w:r>
        <w:t xml:space="preserve">Lt. Paramedic </w:t>
      </w:r>
      <w:r w:rsidRPr="00472E7E">
        <w:t>John Boyle</w:t>
      </w:r>
      <w:r>
        <w:t xml:space="preserve"> and went to hospital. The mutual aid ambulance from </w:t>
      </w:r>
      <w:r w:rsidRPr="001C5499">
        <w:t>Northeast Regional Ambulance Service (</w:t>
      </w:r>
      <w:r>
        <w:t>‘</w:t>
      </w:r>
      <w:r w:rsidRPr="001C5499">
        <w:t>NRAS</w:t>
      </w:r>
      <w:r>
        <w:t>’</w:t>
      </w:r>
      <w:r w:rsidRPr="001C5499">
        <w:t>)</w:t>
      </w:r>
      <w:r>
        <w:t xml:space="preserve"> was not needed – but advised they w</w:t>
      </w:r>
      <w:r w:rsidRPr="006B140B">
        <w:t xml:space="preserve">ould “be coming down </w:t>
      </w:r>
      <w:r>
        <w:t>[R</w:t>
      </w:r>
      <w:r w:rsidRPr="006B140B">
        <w:t xml:space="preserve">oute] 97 also, we will intercept you as easy as possible. If you do not need to stop, </w:t>
      </w:r>
      <w:proofErr w:type="gramStart"/>
      <w:r w:rsidRPr="006B140B">
        <w:t>continue on</w:t>
      </w:r>
      <w:proofErr w:type="gramEnd"/>
      <w:r w:rsidRPr="006B140B">
        <w:t>, we will stop if you need to.”</w:t>
      </w:r>
      <w:r>
        <w:t xml:space="preserve"> </w:t>
      </w:r>
      <w:hyperlink r:id="rId1933" w:history="1">
        <w:r w:rsidRPr="00C72C21">
          <w:rPr>
            <w:rStyle w:val="Hyperlink"/>
          </w:rPr>
          <w:t>https://cases.justia.com/federal/district-courts/massachusetts/madce/1:2023cv12125/261357/75/0.pdf?ts=1770465752</w:t>
        </w:r>
      </w:hyperlink>
      <w:r>
        <w:t xml:space="preserve"> </w:t>
      </w:r>
    </w:p>
    <w:p w14:paraId="38D539B1" w14:textId="77777777" w:rsidR="00F448F2" w:rsidRDefault="00F448F2" w:rsidP="00F448F2">
      <w:pPr>
        <w:pStyle w:val="NoSpacing"/>
      </w:pPr>
    </w:p>
    <w:p w14:paraId="671320AD" w14:textId="77777777" w:rsidR="00F448F2" w:rsidRDefault="00F448F2" w:rsidP="00F448F2">
      <w:pPr>
        <w:pStyle w:val="NoSpacing"/>
      </w:pPr>
      <w:r>
        <w:t>THE COURT HELD: “</w:t>
      </w:r>
      <w:r w:rsidRPr="005C6982">
        <w:t>Since 2020, TFD has been the primary transport service, though the Town maintains agreements with other emergency first responder services to provide backup emergency services</w:t>
      </w:r>
      <w:r>
        <w:t xml:space="preserve">…. </w:t>
      </w:r>
      <w:r w:rsidRPr="005C6982">
        <w:t xml:space="preserve"> Backup emergency services are available via an </w:t>
      </w:r>
      <w:r>
        <w:t>‘</w:t>
      </w:r>
      <w:r w:rsidRPr="005C6982">
        <w:t>intercept,</w:t>
      </w:r>
      <w:r>
        <w:t>’</w:t>
      </w:r>
      <w:r w:rsidRPr="005C6982">
        <w:t xml:space="preserve"> which refers to any ambulance or individual dispatched for the purpose of supplementing staff</w:t>
      </w:r>
      <w:r>
        <w:t xml:space="preserve">…. </w:t>
      </w:r>
      <w:r w:rsidRPr="00A45B59">
        <w:t>One such service is Northeast Regional Ambulance Service (</w:t>
      </w:r>
      <w:r>
        <w:t>‘</w:t>
      </w:r>
      <w:r w:rsidRPr="00A45B59">
        <w:t>NRAS</w:t>
      </w:r>
      <w:r>
        <w:t>’</w:t>
      </w:r>
      <w:r w:rsidRPr="00A45B59">
        <w:t>)</w:t>
      </w:r>
      <w:r>
        <w:t xml:space="preserve">…. </w:t>
      </w:r>
      <w:r w:rsidRPr="00A45B59">
        <w:t>The Town claims to have decided to make TFD the primary transportation service because when NRAS was the primary transport provider, NRAS's delayed response time would result in TFD personnel arriving to provide services but then needing to wait for NRAS to arrive to make the transport</w:t>
      </w:r>
      <w:r>
        <w:t>….</w:t>
      </w:r>
      <w:r w:rsidRPr="00A45B59">
        <w:t>The Town experienced additional difficulties relying on NRAS's staffing of ambulances, including sending BLS services instead of ALS</w:t>
      </w:r>
      <w:r>
        <w:t xml:space="preserve">…. </w:t>
      </w:r>
      <w:r w:rsidRPr="00101460">
        <w:t>Around the same time, Collins-Brown expressed a desire to ensure that TFD paramedics gain more experience in the field, to provide better and faster care to Topsfield residents.</w:t>
      </w:r>
      <w:r>
        <w:t xml:space="preserve"> *** </w:t>
      </w:r>
      <w:r w:rsidRPr="00E502A2">
        <w:t xml:space="preserve"> The </w:t>
      </w:r>
      <w:proofErr w:type="spellStart"/>
      <w:r w:rsidRPr="00E502A2">
        <w:t>Lincoffs</w:t>
      </w:r>
      <w:proofErr w:type="spellEnd"/>
      <w:r w:rsidRPr="00E502A2">
        <w:t xml:space="preserve"> contend that this preference became a policy or practice of cancelling NRAS intercepts to allow the TFD paramedics to gain more experience</w:t>
      </w:r>
      <w:r>
        <w:t xml:space="preserve">…. </w:t>
      </w:r>
      <w:r w:rsidRPr="00E502A2">
        <w:t xml:space="preserve">However, none of the TFD personnel involved in this case were aware of a policy or practice of cancelling intercepts for any reason other than because it was deemed unnecessary for patient care. </w:t>
      </w:r>
      <w:r>
        <w:t xml:space="preserve">*** </w:t>
      </w:r>
      <w:r w:rsidRPr="001607ED">
        <w:t>Based on the undisputed record before the Court, Boyle's actions cannot be said to have been deliberately indifferent to a substantial risk of serious harm.</w:t>
      </w:r>
      <w:r>
        <w:t>”</w:t>
      </w:r>
    </w:p>
    <w:p w14:paraId="63D983D5" w14:textId="77777777" w:rsidR="00F448F2" w:rsidRDefault="00F448F2" w:rsidP="00F448F2">
      <w:pPr>
        <w:pStyle w:val="NoSpacing"/>
      </w:pPr>
    </w:p>
    <w:p w14:paraId="2AA36D4E" w14:textId="77777777" w:rsidR="00F448F2" w:rsidRPr="00E502A2" w:rsidRDefault="00F448F2" w:rsidP="00F448F2">
      <w:pPr>
        <w:pStyle w:val="NoSpacing"/>
        <w:rPr>
          <w:b/>
          <w:bCs/>
        </w:rPr>
      </w:pPr>
      <w:r w:rsidRPr="00AD2716">
        <w:rPr>
          <w:b/>
        </w:rPr>
        <w:t xml:space="preserve">Legal lesson learned: </w:t>
      </w:r>
      <w:r>
        <w:rPr>
          <w:b/>
        </w:rPr>
        <w:t xml:space="preserve">There was no evidence of any of the EMS being “deliberate indifferent” to the needs of the patient. </w:t>
      </w:r>
    </w:p>
    <w:p w14:paraId="5AA50487" w14:textId="77777777" w:rsidR="00F448F2" w:rsidRPr="00A45B59" w:rsidRDefault="00F448F2" w:rsidP="00F448F2">
      <w:pPr>
        <w:pStyle w:val="NoSpacing"/>
      </w:pPr>
    </w:p>
    <w:p w14:paraId="0D48D4C6" w14:textId="77777777" w:rsidR="00F448F2" w:rsidRDefault="00F448F2" w:rsidP="00004498">
      <w:pPr>
        <w:rPr>
          <w:rFonts w:ascii="Arial Black" w:hAnsi="Arial Black"/>
          <w:b/>
          <w:bCs/>
          <w:sz w:val="24"/>
          <w:szCs w:val="24"/>
        </w:rPr>
      </w:pPr>
    </w:p>
    <w:p w14:paraId="2A36AC61" w14:textId="3AF748A3" w:rsidR="00BF6824" w:rsidRDefault="00BF6824" w:rsidP="00004498">
      <w:pPr>
        <w:rPr>
          <w:rFonts w:ascii="Arial Black" w:hAnsi="Arial Black"/>
          <w:b/>
          <w:bCs/>
          <w:sz w:val="24"/>
          <w:szCs w:val="24"/>
        </w:rPr>
      </w:pPr>
      <w:r>
        <w:rPr>
          <w:rFonts w:ascii="Arial Black" w:hAnsi="Arial Black"/>
          <w:b/>
          <w:bCs/>
          <w:sz w:val="24"/>
          <w:szCs w:val="24"/>
        </w:rPr>
        <w:t>13-243</w:t>
      </w:r>
    </w:p>
    <w:p w14:paraId="2E90720B" w14:textId="77777777" w:rsidR="00BF6824" w:rsidRPr="005D5832" w:rsidRDefault="00BF6824" w:rsidP="00BF6824">
      <w:pPr>
        <w:pStyle w:val="NoSpacing"/>
        <w:rPr>
          <w:rFonts w:ascii="Arial Black" w:hAnsi="Arial Black"/>
          <w:sz w:val="28"/>
          <w:szCs w:val="28"/>
        </w:rPr>
      </w:pPr>
      <w:r>
        <w:rPr>
          <w:rFonts w:ascii="Arial Black" w:hAnsi="Arial Black"/>
          <w:sz w:val="28"/>
          <w:szCs w:val="28"/>
        </w:rPr>
        <w:t>NY: COVID – FF CLAIM VAC FETAL CELLS – CASE PROCEED</w:t>
      </w:r>
    </w:p>
    <w:p w14:paraId="7673D1EE" w14:textId="77777777" w:rsidR="00BF6824" w:rsidRDefault="00BF6824" w:rsidP="00BF6824">
      <w:pPr>
        <w:pStyle w:val="NoSpacing"/>
      </w:pPr>
    </w:p>
    <w:p w14:paraId="544991AB" w14:textId="77777777" w:rsidR="00BF6824" w:rsidRDefault="00BF6824" w:rsidP="00BF6824">
      <w:pPr>
        <w:pStyle w:val="NoSpacing"/>
      </w:pPr>
      <w:r>
        <w:t xml:space="preserve">On February 2, 2026, in Salvatore Maita v. City of New York, U.S. Magistrate Judge Vera M. Scanlon, </w:t>
      </w:r>
      <w:r w:rsidRPr="00914791">
        <w:t>United States District Court for Eastern District of New York</w:t>
      </w:r>
      <w:r>
        <w:rPr>
          <w:b/>
        </w:rPr>
        <w:t xml:space="preserve">, </w:t>
      </w:r>
      <w:r w:rsidRPr="001B0201">
        <w:t xml:space="preserve">issued a Report and Recommendation </w:t>
      </w:r>
      <w:r>
        <w:t xml:space="preserve">that the lawsuit proceed to pre-trial discovery.  FDNY on November 1, </w:t>
      </w:r>
      <w:proofErr w:type="gramStart"/>
      <w:r>
        <w:t>2021</w:t>
      </w:r>
      <w:proofErr w:type="gramEnd"/>
      <w:r>
        <w:t xml:space="preserve"> he was placed on leave without pay; his request for accommodation because it was not based on his religion – Catholic – but on his claim the vaccination was “produced </w:t>
      </w:r>
      <w:r w:rsidRPr="006E2758">
        <w:t>researched, manufactured, and/or tested using aborted fetal cell lines</w:t>
      </w:r>
      <w:r>
        <w:t>.</w:t>
      </w:r>
      <w:r w:rsidRPr="006E2758">
        <w:t>”</w:t>
      </w:r>
      <w:r>
        <w:t xml:space="preserve"> He was fired on February 11, 2022. In 2023 he requested reinstatement, but it was denied on April 17, 2023 when he refused to sign a waiver </w:t>
      </w:r>
      <w:r w:rsidRPr="00300A52">
        <w:t>waiving his right to all backpay from the time he was placed on Leave Without Pay</w:t>
      </w:r>
      <w:r>
        <w:t xml:space="preserve">.  </w:t>
      </w:r>
      <w:hyperlink r:id="rId1934" w:history="1">
        <w:r w:rsidRPr="00125CD1">
          <w:rPr>
            <w:rStyle w:val="Hyperlink"/>
          </w:rPr>
          <w:t>https://public.fastcase.com/Jhe1Qn%2BmJndQYQU6z%2FeNm1LICE259A5ulYHxnw3lcJtDWEaUq57rExGHQXd3hU8EgaPHTdGS%2FRk5aoRP0crRKmeZauTqc6nD5gh3xIKTEMg%3D?utm_medium=email&amp;_hsenc=p2ANqtz-9zYvhQr5QF-kHvOgqVEwwEjeDJW6aa7G89aGppWtTq6GnIfdSTK1neKuS-jEFNuUA2B3hULaVGvwBQIPV_0qoJel6h4w&amp;_hsmi=226712652&amp;utm_content=226712652&amp;utm_source=hs_email</w:t>
        </w:r>
      </w:hyperlink>
      <w:r>
        <w:t xml:space="preserve"> </w:t>
      </w:r>
    </w:p>
    <w:p w14:paraId="256630DA" w14:textId="77777777" w:rsidR="00BF6824" w:rsidRDefault="00BF6824" w:rsidP="00BF6824">
      <w:pPr>
        <w:pStyle w:val="NoSpacing"/>
      </w:pPr>
    </w:p>
    <w:p w14:paraId="5C6CEBF7" w14:textId="77777777" w:rsidR="00BF6824" w:rsidRDefault="00BF6824" w:rsidP="00BF6824">
      <w:pPr>
        <w:pStyle w:val="NoSpacing"/>
      </w:pPr>
      <w:r>
        <w:t>THE COURT HELD:  “[Plaintiff claims] that</w:t>
      </w:r>
      <w:r w:rsidRPr="00106892">
        <w:t xml:space="preserve"> Defendant granted approximately 105 religious and medical accommodations to other employees of the FDNY, including </w:t>
      </w:r>
      <w:r>
        <w:t>‘</w:t>
      </w:r>
      <w:r w:rsidRPr="00106892">
        <w:t>active-duty firefighters,</w:t>
      </w:r>
      <w:r>
        <w:t>’</w:t>
      </w:r>
      <w:r w:rsidRPr="00106892">
        <w:t xml:space="preserve"> as of January 11, 2022, including at least thirty medical accommodations and at least six religious accommodations, and permitted them </w:t>
      </w:r>
      <w:r>
        <w:t>‘</w:t>
      </w:r>
      <w:r w:rsidRPr="00106892">
        <w:t>to submit to weekly PCR testing</w:t>
      </w:r>
      <w:r>
        <w:t>’</w:t>
      </w:r>
      <w:r w:rsidRPr="00106892">
        <w:t xml:space="preserve"> in lieu of receiving the COVID-19 vaccine, such that providing this accommodation was not an undue hardship, </w:t>
      </w:r>
      <w:r w:rsidRPr="00106892">
        <w:lastRenderedPageBreak/>
        <w:t xml:space="preserve">particularly given that only the initial dose was required, that </w:t>
      </w:r>
      <w:r>
        <w:t>‘</w:t>
      </w:r>
      <w:r w:rsidRPr="00106892">
        <w:t>[t]he COVID-19 vaccine does not cause prevention or [sic] transmission of the COVID-19 virus,</w:t>
      </w:r>
      <w:r>
        <w:t xml:space="preserve">’ </w:t>
      </w:r>
      <w:r w:rsidRPr="00106892">
        <w:t xml:space="preserve"> and that </w:t>
      </w:r>
      <w:r>
        <w:t>‘</w:t>
      </w:r>
      <w:r w:rsidRPr="00106892">
        <w:t>vaccinated and unvaccinated people infected with COVID-19</w:t>
      </w:r>
      <w:r>
        <w:t>’</w:t>
      </w:r>
      <w:r w:rsidRPr="00106892">
        <w:t xml:space="preserve"> had </w:t>
      </w:r>
      <w:r>
        <w:t>‘</w:t>
      </w:r>
      <w:r w:rsidRPr="00106892">
        <w:t>similar viral loads.</w:t>
      </w:r>
      <w:r>
        <w:t xml:space="preserve">’ … </w:t>
      </w:r>
      <w:r w:rsidRPr="00106892">
        <w:t>Employees of the New York City Police Department were similarly accommodated</w:t>
      </w:r>
      <w:r>
        <w:t xml:space="preserve">…. *** </w:t>
      </w:r>
      <w:r w:rsidRPr="00823740">
        <w:t xml:space="preserve">Once Plaintiff has pleaded his claims, and the possible affirmative defenses are not evident on the face of the amended complaint, the claims may move forward. </w:t>
      </w:r>
      <w:proofErr w:type="gramStart"/>
      <w:r w:rsidRPr="00823740">
        <w:t>Defendant</w:t>
      </w:r>
      <w:proofErr w:type="gramEnd"/>
      <w:r w:rsidRPr="00823740">
        <w:t xml:space="preserve"> may, indeed, have valid defenses, but they require the presentation of facts beyond the amended complaint. For example, Plaintiff bases his claims on a claim that aborted fetal cell lines were used in the production, research, manufacture and/or testing of the COVID-19 vaccine. This is posited as a fact, not a religious belief in and of itself such that Plaintiff will have to prove such alleged fact at a later stage of the proceedings. This allegation cannot be resolved on the current record. By way of another factual dispute that cannot be resolved on the face of the amended complaint or as a matter of law is the defense of undue hardship. At this juncture, determination of whether accommodating Plaintiff would have been an undue hardship for Defendant would be premature.</w:t>
      </w:r>
      <w:r>
        <w:t>”</w:t>
      </w:r>
    </w:p>
    <w:p w14:paraId="59A55B97" w14:textId="77777777" w:rsidR="00BF6824" w:rsidRDefault="00BF6824" w:rsidP="00BF6824">
      <w:pPr>
        <w:pStyle w:val="NoSpacing"/>
      </w:pPr>
    </w:p>
    <w:p w14:paraId="37B7892C" w14:textId="77777777" w:rsidR="00BF6824" w:rsidRPr="00106892" w:rsidRDefault="00BF6824" w:rsidP="00BF6824">
      <w:pPr>
        <w:pStyle w:val="NoSpacing"/>
        <w:rPr>
          <w:b/>
          <w:bCs/>
        </w:rPr>
      </w:pPr>
      <w:r w:rsidRPr="00B57F27">
        <w:rPr>
          <w:b/>
        </w:rPr>
        <w:t xml:space="preserve">Legal lesson learned: </w:t>
      </w:r>
      <w:r>
        <w:rPr>
          <w:b/>
        </w:rPr>
        <w:t xml:space="preserve">Case will now proceed to pre-trial discovery; many COVID cases against FDNY have resulted in dismissal of the cases. </w:t>
      </w:r>
    </w:p>
    <w:p w14:paraId="10A1E9BB" w14:textId="77777777" w:rsidR="00BF6824" w:rsidRDefault="00BF6824" w:rsidP="00004498">
      <w:pPr>
        <w:rPr>
          <w:rFonts w:ascii="Arial Black" w:hAnsi="Arial Black"/>
          <w:b/>
          <w:bCs/>
          <w:sz w:val="24"/>
          <w:szCs w:val="24"/>
        </w:rPr>
      </w:pPr>
    </w:p>
    <w:p w14:paraId="541EAFB2" w14:textId="3FD57166" w:rsidR="00C812C2" w:rsidRDefault="00627649" w:rsidP="00004498">
      <w:pPr>
        <w:rPr>
          <w:rFonts w:ascii="Arial Black" w:hAnsi="Arial Black"/>
          <w:b/>
          <w:bCs/>
          <w:sz w:val="24"/>
          <w:szCs w:val="24"/>
        </w:rPr>
      </w:pPr>
      <w:r>
        <w:rPr>
          <w:rFonts w:ascii="Arial Black" w:hAnsi="Arial Black"/>
          <w:b/>
          <w:bCs/>
          <w:sz w:val="24"/>
          <w:szCs w:val="24"/>
        </w:rPr>
        <w:t>13-242</w:t>
      </w:r>
    </w:p>
    <w:p w14:paraId="39FB2AB2" w14:textId="0277EA31" w:rsidR="00627649" w:rsidRPr="00454803" w:rsidRDefault="00627649" w:rsidP="00627649">
      <w:pPr>
        <w:rPr>
          <w:rFonts w:ascii="Arial Black" w:hAnsi="Arial Black"/>
          <w:b/>
          <w:sz w:val="28"/>
          <w:szCs w:val="28"/>
        </w:rPr>
      </w:pPr>
      <w:r>
        <w:rPr>
          <w:rFonts w:ascii="Arial Black" w:hAnsi="Arial Black"/>
          <w:b/>
          <w:sz w:val="28"/>
          <w:szCs w:val="28"/>
        </w:rPr>
        <w:t>OH: ASHMA PT – 911 / HANG UP – DISPATCHERS NEG</w:t>
      </w:r>
      <w:r w:rsidR="005A04E2">
        <w:rPr>
          <w:rFonts w:ascii="Arial Black" w:hAnsi="Arial Black"/>
          <w:b/>
          <w:sz w:val="28"/>
          <w:szCs w:val="28"/>
        </w:rPr>
        <w:t>LIGENCE</w:t>
      </w:r>
      <w:r>
        <w:rPr>
          <w:rFonts w:ascii="Arial Black" w:hAnsi="Arial Black"/>
          <w:b/>
          <w:sz w:val="28"/>
          <w:szCs w:val="28"/>
        </w:rPr>
        <w:t xml:space="preserve"> </w:t>
      </w:r>
    </w:p>
    <w:p w14:paraId="73A1C282" w14:textId="77777777" w:rsidR="00627649" w:rsidRDefault="00627649" w:rsidP="00627649">
      <w:pPr>
        <w:pStyle w:val="NoSpacing"/>
      </w:pPr>
      <w:r>
        <w:t xml:space="preserve">On January 12, 2026, in </w:t>
      </w:r>
      <w:r w:rsidRPr="0005582E">
        <w:rPr>
          <w:u w:val="single"/>
        </w:rPr>
        <w:t>Clinton T. Widdowson, as Administrator of the Estate of Tyler Joe-Austin Widdowson, et al. v. Lake County, Ohio</w:t>
      </w:r>
      <w:r>
        <w:t xml:space="preserve">, the </w:t>
      </w:r>
      <w:r w:rsidRPr="0005582E">
        <w:t>Court of Appeals of Ohio, Eleventh District, Lake</w:t>
      </w:r>
      <w:r>
        <w:t xml:space="preserve"> County held (2 to 1) that trial court judge should not have dismissed the two dispatchers from this lawsuit for their alleged “</w:t>
      </w:r>
      <w:r w:rsidRPr="00C47724">
        <w:t>wanton and reckless conduct</w:t>
      </w:r>
      <w:r>
        <w:t>”</w:t>
      </w:r>
      <w:r w:rsidRPr="00C47724">
        <w:t xml:space="preserve"> </w:t>
      </w:r>
      <w:r>
        <w:t xml:space="preserve">- </w:t>
      </w:r>
      <w:r w:rsidRPr="00471BDC">
        <w:t>Angela King and Brandy</w:t>
      </w:r>
      <w:r>
        <w:t xml:space="preserve"> </w:t>
      </w:r>
      <w:r w:rsidRPr="00471BDC">
        <w:t xml:space="preserve">Catanese. </w:t>
      </w:r>
      <w:r>
        <w:t xml:space="preserve"> On </w:t>
      </w:r>
      <w:r w:rsidRPr="00CC1EE2">
        <w:t>Saturday, April 30, 2022, at 5:26 a.m.,</w:t>
      </w:r>
      <w:r>
        <w:t xml:space="preserve"> </w:t>
      </w:r>
      <w:r w:rsidRPr="00CC1EE2">
        <w:t xml:space="preserve">Tiler Widdowson </w:t>
      </w:r>
      <w:r>
        <w:t xml:space="preserve">(age 24) </w:t>
      </w:r>
      <w:r w:rsidRPr="00CC1EE2">
        <w:t>called 911 on his cell phone for assistance. The</w:t>
      </w:r>
      <w:r>
        <w:t xml:space="preserve"> </w:t>
      </w:r>
      <w:r w:rsidRPr="00CC1EE2">
        <w:t>call was received by Sgt. King who had difficulty discerning what</w:t>
      </w:r>
      <w:r>
        <w:t xml:space="preserve"> </w:t>
      </w:r>
      <w:r w:rsidRPr="00CC1EE2">
        <w:t>Widdowson was saying. She was only able to discern the word</w:t>
      </w:r>
      <w:r>
        <w:t xml:space="preserve"> '</w:t>
      </w:r>
      <w:r w:rsidRPr="00CC1EE2">
        <w:t xml:space="preserve">help.” She </w:t>
      </w:r>
      <w:proofErr w:type="gramStart"/>
      <w:r w:rsidRPr="00CC1EE2">
        <w:t>entered into</w:t>
      </w:r>
      <w:proofErr w:type="gramEnd"/>
      <w:r w:rsidRPr="00CC1EE2">
        <w:t xml:space="preserve"> the Computer Aided Dispatch (CAD) system</w:t>
      </w:r>
      <w:r>
        <w:t xml:space="preserve"> </w:t>
      </w:r>
      <w:r w:rsidRPr="00CC1EE2">
        <w:t>“Male just yelling help.” Despite her repeated requests, Widdowson</w:t>
      </w:r>
      <w:r>
        <w:t xml:space="preserve"> </w:t>
      </w:r>
      <w:r w:rsidRPr="00CC1EE2">
        <w:t>was unable to provide his location</w:t>
      </w:r>
      <w:r>
        <w:t xml:space="preserve">, and sent deputies to Cambridge Condominiums on low level welfare check. At 6:06 a.m., she relistened to the call and added in the CAD the comment “just says please help, please help, can’t breathe” and further commented “sounds like it’s not directly into the phone either.” She did not reclassify the call from a welfare check to a medical emergency and did send fire or </w:t>
      </w:r>
      <w:proofErr w:type="gramStart"/>
      <w:r>
        <w:t>EMS, and</w:t>
      </w:r>
      <w:proofErr w:type="gramEnd"/>
      <w:r>
        <w:t xml:space="preserve"> did have second dispatcher radio this information to the deputies. </w:t>
      </w:r>
      <w:hyperlink r:id="rId1935" w:history="1">
        <w:r w:rsidRPr="00815351">
          <w:rPr>
            <w:rStyle w:val="Hyperlink"/>
          </w:rPr>
          <w:t>https://www.supremecourt.ohio.gov/rod/docs/pdf/11/2026/2026-Ohio-67.pdf</w:t>
        </w:r>
      </w:hyperlink>
      <w:r>
        <w:t xml:space="preserve"> </w:t>
      </w:r>
    </w:p>
    <w:p w14:paraId="1FAFD8E2" w14:textId="77777777" w:rsidR="00627649" w:rsidRDefault="00627649" w:rsidP="00627649">
      <w:pPr>
        <w:pStyle w:val="NoSpacing"/>
      </w:pPr>
    </w:p>
    <w:p w14:paraId="3820200E" w14:textId="77777777" w:rsidR="00627649" w:rsidRDefault="00627649" w:rsidP="00627649">
      <w:pPr>
        <w:pStyle w:val="NoSpacing"/>
      </w:pPr>
      <w:r>
        <w:t>THE COURT HELD:</w:t>
      </w:r>
    </w:p>
    <w:p w14:paraId="437A9DA4" w14:textId="77777777" w:rsidR="00627649" w:rsidRDefault="00627649" w:rsidP="00627649">
      <w:pPr>
        <w:pStyle w:val="NoSpacing"/>
      </w:pPr>
    </w:p>
    <w:p w14:paraId="51FE6D46" w14:textId="77777777" w:rsidR="00627649" w:rsidRDefault="00627649" w:rsidP="00627649">
      <w:pPr>
        <w:pStyle w:val="NoSpacing"/>
        <w:ind w:firstLine="720"/>
      </w:pPr>
      <w:r>
        <w:t>“King was the fire and EMS dispatcher and could have directly dispatched</w:t>
      </w:r>
    </w:p>
    <w:p w14:paraId="28B30853" w14:textId="77777777" w:rsidR="00627649" w:rsidRDefault="00627649" w:rsidP="00627649">
      <w:pPr>
        <w:pStyle w:val="NoSpacing"/>
        <w:ind w:firstLine="720"/>
      </w:pPr>
      <w:r>
        <w:t>those units (located about two minutes away) to the scene or, at the least, staged them</w:t>
      </w:r>
    </w:p>
    <w:p w14:paraId="77530F39" w14:textId="77777777" w:rsidR="00627649" w:rsidRDefault="00627649" w:rsidP="00627649">
      <w:pPr>
        <w:pStyle w:val="NoSpacing"/>
        <w:ind w:firstLine="720"/>
      </w:pPr>
      <w:r>
        <w:t>(</w:t>
      </w:r>
      <w:proofErr w:type="gramStart"/>
      <w:r>
        <w:t>put</w:t>
      </w:r>
      <w:proofErr w:type="gramEnd"/>
      <w:r>
        <w:t xml:space="preserve"> them on notice</w:t>
      </w:r>
      <w:proofErr w:type="gramStart"/>
      <w:r>
        <w:t>), but</w:t>
      </w:r>
      <w:proofErr w:type="gramEnd"/>
      <w:r>
        <w:t xml:space="preserve"> did not do so. Nor did she reclassify the call as a medical</w:t>
      </w:r>
    </w:p>
    <w:p w14:paraId="487BEAF4" w14:textId="77777777" w:rsidR="00627649" w:rsidRDefault="00627649" w:rsidP="00627649">
      <w:pPr>
        <w:pStyle w:val="NoSpacing"/>
        <w:ind w:firstLine="720"/>
      </w:pPr>
      <w:r>
        <w:t>emergency. Although deputies were already on the scene, the deputies, according to</w:t>
      </w:r>
    </w:p>
    <w:p w14:paraId="54F1662F" w14:textId="77777777" w:rsidR="00627649" w:rsidRDefault="00627649" w:rsidP="00627649">
      <w:pPr>
        <w:pStyle w:val="NoSpacing"/>
        <w:ind w:firstLine="720"/>
      </w:pPr>
      <w:proofErr w:type="gramStart"/>
      <w:r>
        <w:t>Bowers,</w:t>
      </w:r>
      <w:proofErr w:type="gramEnd"/>
      <w:r>
        <w:t xml:space="preserve"> were not ‘trained medically’ to deal with a medical emergency.</w:t>
      </w:r>
    </w:p>
    <w:p w14:paraId="4BEA0738" w14:textId="77777777" w:rsidR="00627649" w:rsidRDefault="00627649" w:rsidP="00627649">
      <w:pPr>
        <w:pStyle w:val="NoSpacing"/>
        <w:ind w:firstLine="720"/>
      </w:pPr>
    </w:p>
    <w:p w14:paraId="6C23C9A1" w14:textId="77777777" w:rsidR="00627649" w:rsidRDefault="00627649" w:rsidP="00627649">
      <w:pPr>
        <w:pStyle w:val="NoSpacing"/>
        <w:ind w:firstLine="720"/>
      </w:pPr>
      <w:r>
        <w:t>We do find that the plaintiffs merit the opportunity of making that case to the</w:t>
      </w:r>
    </w:p>
    <w:p w14:paraId="33FB20F9" w14:textId="77777777" w:rsidR="00627649" w:rsidRDefault="00627649" w:rsidP="00627649">
      <w:pPr>
        <w:pStyle w:val="NoSpacing"/>
        <w:ind w:firstLine="720"/>
      </w:pPr>
      <w:r>
        <w:t>jury. Accordingly, summary judgment was improperly granted with respect to King.</w:t>
      </w:r>
    </w:p>
    <w:p w14:paraId="442CB11F" w14:textId="77777777" w:rsidR="00627649" w:rsidRDefault="00627649" w:rsidP="00627649">
      <w:pPr>
        <w:pStyle w:val="NoSpacing"/>
        <w:ind w:firstLine="720"/>
      </w:pPr>
    </w:p>
    <w:p w14:paraId="0193C2BD" w14:textId="77777777" w:rsidR="00627649" w:rsidRDefault="00627649" w:rsidP="00627649">
      <w:pPr>
        <w:pStyle w:val="NoSpacing"/>
        <w:ind w:firstLine="720"/>
      </w:pPr>
      <w:r>
        <w:t>***</w:t>
      </w:r>
    </w:p>
    <w:p w14:paraId="1CA28349" w14:textId="77777777" w:rsidR="00627649" w:rsidRDefault="00627649" w:rsidP="00627649">
      <w:pPr>
        <w:pStyle w:val="NoSpacing"/>
      </w:pPr>
    </w:p>
    <w:p w14:paraId="21934AF5" w14:textId="77777777" w:rsidR="00627649" w:rsidRDefault="00627649" w:rsidP="00627649">
      <w:pPr>
        <w:pStyle w:val="NoSpacing"/>
        <w:ind w:left="720"/>
      </w:pPr>
      <w:r>
        <w:t>We find that prior to hearing Tiler’s complaint that he could not breathe at about 6:06 a.m., King’s conduct was at most negligent. The initial classification of the call as a welfare check was in accordance with call center policies. In addition to classifying the event, King noted that the male caller was yelling ‘help’ and Catanese duly broadcast this information when dispatching Deputy Bowers.</w:t>
      </w:r>
    </w:p>
    <w:p w14:paraId="2AAF6A44" w14:textId="77777777" w:rsidR="00627649" w:rsidRDefault="00627649" w:rsidP="00627649">
      <w:pPr>
        <w:pStyle w:val="NoSpacing"/>
      </w:pPr>
    </w:p>
    <w:p w14:paraId="268C78F3" w14:textId="77777777" w:rsidR="00627649" w:rsidRDefault="00627649" w:rsidP="00627649">
      <w:pPr>
        <w:pStyle w:val="NoSpacing"/>
        <w:ind w:left="720"/>
      </w:pPr>
      <w:r>
        <w:lastRenderedPageBreak/>
        <w:t>After realizing the severity of the situation, however, King’s conduct could be described as the failure to exercise any care in circumstances in which there was a great probability of harm and/or the conscious disregard of or indifference to an obvious risk of harm. The critical issue of whether Tiler’s not being able to breathe constituted a medical emergency, i.e., a situation requiring an emergency medical response, is not one that needs to be resolved.”</w:t>
      </w:r>
    </w:p>
    <w:p w14:paraId="7608D3FC" w14:textId="77777777" w:rsidR="00627649" w:rsidRDefault="00627649" w:rsidP="00627649">
      <w:pPr>
        <w:pStyle w:val="NoSpacing"/>
        <w:ind w:left="720"/>
      </w:pPr>
    </w:p>
    <w:p w14:paraId="4BB95A9A" w14:textId="77777777" w:rsidR="00627649" w:rsidRPr="00EB0A64" w:rsidRDefault="00627649" w:rsidP="00627649">
      <w:pPr>
        <w:pStyle w:val="NoSpacing"/>
        <w:rPr>
          <w:b/>
          <w:bCs/>
        </w:rPr>
      </w:pPr>
      <w:r>
        <w:rPr>
          <w:b/>
        </w:rPr>
        <w:t xml:space="preserve">Legal lesson learned: Please share this case with your dispatchers; a 911 call for “can’t </w:t>
      </w:r>
      <w:proofErr w:type="spellStart"/>
      <w:proofErr w:type="gramStart"/>
      <w:r>
        <w:rPr>
          <w:b/>
        </w:rPr>
        <w:t>breath</w:t>
      </w:r>
      <w:proofErr w:type="spellEnd"/>
      <w:proofErr w:type="gramEnd"/>
      <w:r>
        <w:rPr>
          <w:b/>
        </w:rPr>
        <w:t xml:space="preserve">” should be handled as a medical emergency with EMS responding. </w:t>
      </w:r>
    </w:p>
    <w:p w14:paraId="20D5A555" w14:textId="77777777" w:rsidR="00627649" w:rsidRDefault="00627649" w:rsidP="00627649">
      <w:pPr>
        <w:pStyle w:val="NoSpacing"/>
      </w:pPr>
    </w:p>
    <w:p w14:paraId="3F346A1F" w14:textId="77777777" w:rsidR="00627649" w:rsidRDefault="00627649" w:rsidP="00627649">
      <w:pPr>
        <w:pStyle w:val="NoSpacing"/>
        <w:ind w:left="720"/>
      </w:pPr>
      <w:r>
        <w:t xml:space="preserve">Note: Dissenting Justice: “While Tiler Widdowson’s death is undeniably tragic, and while the emergency response may not have been perfect, the legal standards governing this case do not permit liability under these circumstances.” </w:t>
      </w:r>
    </w:p>
    <w:p w14:paraId="58D80299" w14:textId="77777777" w:rsidR="00627649" w:rsidRDefault="00627649" w:rsidP="00627649">
      <w:pPr>
        <w:pStyle w:val="NoSpacing"/>
      </w:pPr>
    </w:p>
    <w:p w14:paraId="631BBBA9" w14:textId="77777777" w:rsidR="00627649" w:rsidRDefault="00627649" w:rsidP="00004498">
      <w:pPr>
        <w:rPr>
          <w:rFonts w:ascii="Arial Black" w:hAnsi="Arial Black"/>
          <w:b/>
          <w:bCs/>
          <w:sz w:val="24"/>
          <w:szCs w:val="24"/>
        </w:rPr>
      </w:pPr>
    </w:p>
    <w:p w14:paraId="4125F5CB" w14:textId="2EC099D8" w:rsidR="009F546C" w:rsidRDefault="00424793" w:rsidP="00004498">
      <w:pPr>
        <w:rPr>
          <w:rFonts w:ascii="Arial Black" w:hAnsi="Arial Black"/>
          <w:b/>
          <w:bCs/>
          <w:sz w:val="24"/>
          <w:szCs w:val="24"/>
        </w:rPr>
      </w:pPr>
      <w:r>
        <w:rPr>
          <w:rFonts w:ascii="Arial Black" w:hAnsi="Arial Black"/>
          <w:b/>
          <w:bCs/>
          <w:sz w:val="24"/>
          <w:szCs w:val="24"/>
        </w:rPr>
        <w:t xml:space="preserve">13 – </w:t>
      </w:r>
      <w:r w:rsidR="002E2246">
        <w:rPr>
          <w:rFonts w:ascii="Arial Black" w:hAnsi="Arial Black"/>
          <w:b/>
          <w:bCs/>
          <w:sz w:val="24"/>
          <w:szCs w:val="24"/>
        </w:rPr>
        <w:t>24</w:t>
      </w:r>
      <w:r w:rsidR="00524647">
        <w:rPr>
          <w:rFonts w:ascii="Arial Black" w:hAnsi="Arial Black"/>
          <w:b/>
          <w:bCs/>
          <w:sz w:val="24"/>
          <w:szCs w:val="24"/>
        </w:rPr>
        <w:t>1</w:t>
      </w:r>
    </w:p>
    <w:p w14:paraId="42C17C39" w14:textId="61D17F23" w:rsidR="00424793" w:rsidRDefault="00424793" w:rsidP="00424793">
      <w:pPr>
        <w:rPr>
          <w:rFonts w:ascii="Arial Black" w:hAnsi="Arial Black"/>
          <w:b/>
          <w:sz w:val="28"/>
          <w:szCs w:val="28"/>
        </w:rPr>
      </w:pPr>
      <w:r>
        <w:rPr>
          <w:rFonts w:ascii="Arial Black" w:hAnsi="Arial Black"/>
          <w:b/>
          <w:sz w:val="28"/>
          <w:szCs w:val="28"/>
        </w:rPr>
        <w:t xml:space="preserve">IL: VICTIM DIED – MEDIC </w:t>
      </w:r>
      <w:r w:rsidR="00437034">
        <w:rPr>
          <w:rFonts w:ascii="Arial Black" w:hAnsi="Arial Black"/>
          <w:b/>
          <w:sz w:val="28"/>
          <w:szCs w:val="28"/>
        </w:rPr>
        <w:t xml:space="preserve">CAN TESTIFY </w:t>
      </w:r>
      <w:r w:rsidR="00014738">
        <w:rPr>
          <w:rFonts w:ascii="Arial Black" w:hAnsi="Arial Black"/>
          <w:b/>
          <w:sz w:val="28"/>
          <w:szCs w:val="28"/>
        </w:rPr>
        <w:t xml:space="preserve">TO </w:t>
      </w:r>
      <w:r>
        <w:rPr>
          <w:rFonts w:ascii="Arial Black" w:hAnsi="Arial Black"/>
          <w:b/>
          <w:sz w:val="28"/>
          <w:szCs w:val="28"/>
        </w:rPr>
        <w:t xml:space="preserve">JURY </w:t>
      </w:r>
      <w:r w:rsidR="00014738">
        <w:rPr>
          <w:rFonts w:ascii="Arial Black" w:hAnsi="Arial Black"/>
          <w:b/>
          <w:sz w:val="28"/>
          <w:szCs w:val="28"/>
        </w:rPr>
        <w:t xml:space="preserve">– PT’s </w:t>
      </w:r>
      <w:r>
        <w:rPr>
          <w:rFonts w:ascii="Arial Black" w:hAnsi="Arial Black"/>
          <w:b/>
          <w:sz w:val="28"/>
          <w:szCs w:val="28"/>
        </w:rPr>
        <w:t xml:space="preserve">“EXCITED UTTERANCE” </w:t>
      </w:r>
    </w:p>
    <w:p w14:paraId="13C761B7" w14:textId="77777777" w:rsidR="00424793" w:rsidRDefault="00424793" w:rsidP="00424793">
      <w:pPr>
        <w:rPr>
          <w:b/>
        </w:rPr>
      </w:pPr>
      <w:r>
        <w:t xml:space="preserve">On December 23, 2025, in </w:t>
      </w:r>
      <w:r w:rsidRPr="001D5214">
        <w:rPr>
          <w:u w:val="single"/>
        </w:rPr>
        <w:t>The People of the State of Illinois v. Londre Brown</w:t>
      </w:r>
      <w:r>
        <w:t xml:space="preserve">, the </w:t>
      </w:r>
      <w:r w:rsidRPr="001D5214">
        <w:t>Court of Appeals of Illinois, First District, Fifth Division</w:t>
      </w:r>
      <w:r>
        <w:t xml:space="preserve"> held (3 to 0) that the defendant was properly convicted by a jury of </w:t>
      </w:r>
      <w:r w:rsidRPr="00CD235D">
        <w:t>two counts of aggravated criminal</w:t>
      </w:r>
      <w:r>
        <w:t xml:space="preserve"> </w:t>
      </w:r>
      <w:r w:rsidRPr="00CD235D">
        <w:t>sexual assault and one count of aggravated battery of a person 60 years of age or older</w:t>
      </w:r>
      <w:r>
        <w:t xml:space="preserve">, and the sentence of 54 years.  The paramedic was properly allowed to testify about  the victim’s comments to her at the scene – excited utterance exception to hearsay rule and EMS run report was admissible as nontestimonial medical record (she died before trail, apparently from unrelated cause).   </w:t>
      </w:r>
      <w:hyperlink r:id="rId1936" w:history="1">
        <w:r w:rsidRPr="00D31421">
          <w:rPr>
            <w:rStyle w:val="Hyperlink"/>
            <w:b/>
          </w:rPr>
          <w:t>https://ilcourtsaudio.blob.core.windows.net/</w:t>
        </w:r>
      </w:hyperlink>
      <w:r>
        <w:rPr>
          <w:b/>
        </w:rPr>
        <w:t xml:space="preserve"> </w:t>
      </w:r>
    </w:p>
    <w:p w14:paraId="62FC5623" w14:textId="77777777" w:rsidR="00424793" w:rsidRDefault="00424793" w:rsidP="00424793">
      <w:pPr>
        <w:rPr>
          <w:bCs/>
        </w:rPr>
      </w:pPr>
      <w:r>
        <w:t>THE COURT HELD:</w:t>
      </w:r>
    </w:p>
    <w:p w14:paraId="05816073" w14:textId="77777777" w:rsidR="00424793" w:rsidRPr="001C2565" w:rsidRDefault="00424793" w:rsidP="00424793">
      <w:pPr>
        <w:pStyle w:val="NoSpacing"/>
        <w:ind w:firstLine="720"/>
        <w:rPr>
          <w:bCs/>
        </w:rPr>
      </w:pPr>
      <w:r>
        <w:t>“</w:t>
      </w:r>
      <w:r w:rsidRPr="001C2565">
        <w:t>Christopher Daly, a paramedic, testified that, on December 13, 2019, at approximately</w:t>
      </w:r>
    </w:p>
    <w:p w14:paraId="4F5DC630" w14:textId="77777777" w:rsidR="00424793" w:rsidRDefault="00424793" w:rsidP="00424793">
      <w:pPr>
        <w:pStyle w:val="NoSpacing"/>
        <w:ind w:left="720"/>
        <w:rPr>
          <w:bCs/>
        </w:rPr>
      </w:pPr>
      <w:r w:rsidRPr="001C2565">
        <w:t>8:30 p.m. when he arrived at the scene, he observed an elderly woman sitting at the top of the</w:t>
      </w:r>
      <w:r>
        <w:t xml:space="preserve"> </w:t>
      </w:r>
      <w:r w:rsidRPr="001C2565">
        <w:t xml:space="preserve">stairs, who was </w:t>
      </w:r>
      <w:r>
        <w:t>‘</w:t>
      </w:r>
      <w:r w:rsidRPr="001C2565">
        <w:t>stressed out</w:t>
      </w:r>
      <w:r>
        <w:t>’</w:t>
      </w:r>
      <w:r w:rsidRPr="001C2565">
        <w:t xml:space="preserve"> and </w:t>
      </w:r>
      <w:r>
        <w:t>‘</w:t>
      </w:r>
      <w:r w:rsidRPr="001C2565">
        <w:t>near hysterical.</w:t>
      </w:r>
      <w:r>
        <w:t>’</w:t>
      </w:r>
      <w:r w:rsidRPr="001C2565">
        <w:t xml:space="preserve"> The victim did not want anyone to touch her;</w:t>
      </w:r>
      <w:r>
        <w:t xml:space="preserve"> </w:t>
      </w:r>
      <w:r w:rsidRPr="001C2565">
        <w:t xml:space="preserve">she was </w:t>
      </w:r>
      <w:r>
        <w:t>‘</w:t>
      </w:r>
      <w:r w:rsidRPr="001C2565">
        <w:t>shaking</w:t>
      </w:r>
      <w:r>
        <w:t>’</w:t>
      </w:r>
      <w:r w:rsidRPr="001C2565">
        <w:t xml:space="preserve"> and </w:t>
      </w:r>
      <w:r>
        <w:t>‘</w:t>
      </w:r>
      <w:r w:rsidRPr="001C2565">
        <w:t>very scared.</w:t>
      </w:r>
      <w:r>
        <w:t>’</w:t>
      </w:r>
      <w:r w:rsidRPr="001C2565">
        <w:t xml:space="preserve"> Daly’s partner, Anthony Hoard, coaxed her down the stairs.</w:t>
      </w:r>
      <w:r>
        <w:t xml:space="preserve"> </w:t>
      </w:r>
      <w:r w:rsidRPr="001C2565">
        <w:t>After the victim stepped outside, she sat in a chair they had brought, and they took her to the</w:t>
      </w:r>
      <w:r>
        <w:t xml:space="preserve"> </w:t>
      </w:r>
      <w:r w:rsidRPr="001C2565">
        <w:t>ambulance. Her demeanor in the ambulance was the same as it had been at the top of stairs:</w:t>
      </w:r>
      <w:r>
        <w:t xml:space="preserve"> ‘</w:t>
      </w:r>
      <w:r w:rsidRPr="001C2565">
        <w:t>anxious, nervous, seemed very scared.</w:t>
      </w:r>
      <w:r>
        <w:t xml:space="preserve">’ </w:t>
      </w:r>
      <w:r w:rsidRPr="001C2565">
        <w:t>Daly explained that, because he was the paramedic, he</w:t>
      </w:r>
      <w:r>
        <w:t xml:space="preserve"> </w:t>
      </w:r>
      <w:r w:rsidRPr="001C2565">
        <w:t>assessed the patient while his partner did the documentation. While Daly was assessing her and</w:t>
      </w:r>
      <w:r>
        <w:t xml:space="preserve"> </w:t>
      </w:r>
      <w:r w:rsidRPr="001C2565">
        <w:t xml:space="preserve">asking, </w:t>
      </w:r>
      <w:r>
        <w:t>‘</w:t>
      </w:r>
      <w:r w:rsidRPr="001C2565">
        <w:t>what happened,</w:t>
      </w:r>
      <w:r>
        <w:t>’</w:t>
      </w:r>
      <w:r w:rsidRPr="001C2565">
        <w:t xml:space="preserve"> the victim said that defendant had bitten her and had </w:t>
      </w:r>
      <w:r>
        <w:t>‘</w:t>
      </w:r>
      <w:r w:rsidRPr="001C2565">
        <w:t>stuck his penis in</w:t>
      </w:r>
      <w:r>
        <w:t xml:space="preserve"> </w:t>
      </w:r>
      <w:r w:rsidRPr="001C2565">
        <w:t>her mouth.</w:t>
      </w:r>
      <w:r>
        <w:t>’</w:t>
      </w:r>
      <w:r w:rsidRPr="001C2565">
        <w:t xml:space="preserve"> The victim said defendant was holding her down and she was fighting him off and</w:t>
      </w:r>
      <w:r>
        <w:t xml:space="preserve"> ‘</w:t>
      </w:r>
      <w:r w:rsidRPr="001C2565">
        <w:t>that’s why she was hurt all over.”</w:t>
      </w:r>
      <w:r>
        <w:t xml:space="preserve"> </w:t>
      </w:r>
    </w:p>
    <w:p w14:paraId="5B88F1EF" w14:textId="77777777" w:rsidR="00424793" w:rsidRDefault="00424793" w:rsidP="00424793">
      <w:pPr>
        <w:pStyle w:val="NoSpacing"/>
        <w:rPr>
          <w:bCs/>
        </w:rPr>
      </w:pPr>
    </w:p>
    <w:p w14:paraId="2FB63724" w14:textId="77777777" w:rsidR="00424793" w:rsidRPr="00465B82" w:rsidRDefault="00424793" w:rsidP="00424793">
      <w:pPr>
        <w:pStyle w:val="NoSpacing"/>
        <w:ind w:firstLine="720"/>
        <w:rPr>
          <w:bCs/>
        </w:rPr>
      </w:pPr>
      <w:r w:rsidRPr="00465B82">
        <w:t>Daly described the injuries he observed, including a very deep cut in her right thigh</w:t>
      </w:r>
    </w:p>
    <w:p w14:paraId="7C6E2755" w14:textId="77777777" w:rsidR="00424793" w:rsidRDefault="00424793" w:rsidP="00424793">
      <w:pPr>
        <w:pStyle w:val="NoSpacing"/>
        <w:ind w:left="720"/>
        <w:rPr>
          <w:bCs/>
        </w:rPr>
      </w:pPr>
      <w:r w:rsidRPr="00465B82">
        <w:t xml:space="preserve">that seemed almost to </w:t>
      </w:r>
      <w:proofErr w:type="gramStart"/>
      <w:r w:rsidRPr="00465B82">
        <w:t>the</w:t>
      </w:r>
      <w:proofErr w:type="gramEnd"/>
      <w:r w:rsidRPr="00465B82">
        <w:t xml:space="preserve"> bone. Daly explained that doctors at the hospital would want to know</w:t>
      </w:r>
      <w:r>
        <w:t xml:space="preserve"> </w:t>
      </w:r>
      <w:r w:rsidRPr="00465B82">
        <w:t xml:space="preserve">how big the knife was, what kind of knife was used, and whether it was clean or dirty. </w:t>
      </w:r>
    </w:p>
    <w:p w14:paraId="28E7DE1E" w14:textId="77777777" w:rsidR="00424793" w:rsidRDefault="00424793" w:rsidP="00424793">
      <w:pPr>
        <w:pStyle w:val="NoSpacing"/>
        <w:ind w:left="720"/>
        <w:rPr>
          <w:bCs/>
        </w:rPr>
      </w:pPr>
    </w:p>
    <w:p w14:paraId="6240F0A6" w14:textId="77777777" w:rsidR="00424793" w:rsidRDefault="00424793" w:rsidP="00424793">
      <w:pPr>
        <w:pStyle w:val="NoSpacing"/>
        <w:ind w:left="720"/>
        <w:rPr>
          <w:bCs/>
        </w:rPr>
      </w:pPr>
      <w:r w:rsidRPr="00465B82">
        <w:t>For this</w:t>
      </w:r>
      <w:r>
        <w:t xml:space="preserve"> </w:t>
      </w:r>
      <w:r w:rsidRPr="00465B82">
        <w:t>reason, Daly went back inside the victim’s house and asked defendant ‘What kind of knife did</w:t>
      </w:r>
      <w:r>
        <w:t xml:space="preserve"> </w:t>
      </w:r>
      <w:r w:rsidRPr="00465B82">
        <w:t xml:space="preserve">you use to cut her?’ </w:t>
      </w:r>
      <w:r>
        <w:t>‘</w:t>
      </w:r>
      <w:r w:rsidRPr="00465B82">
        <w:t xml:space="preserve"> Defendant replied: ‘I didn’t use a knife</w:t>
      </w:r>
      <w:proofErr w:type="gramStart"/>
      <w:r w:rsidRPr="00465B82">
        <w:t>.</w:t>
      </w:r>
      <w:proofErr w:type="gramEnd"/>
      <w:r w:rsidRPr="00465B82">
        <w:t xml:space="preserve"> I bit her.’ Daly described</w:t>
      </w:r>
      <w:r>
        <w:t xml:space="preserve"> </w:t>
      </w:r>
      <w:r w:rsidRPr="00465B82">
        <w:t xml:space="preserve">defendant’s demeanor as </w:t>
      </w:r>
      <w:r>
        <w:t>‘</w:t>
      </w:r>
      <w:r w:rsidRPr="00465B82">
        <w:t>[a]</w:t>
      </w:r>
      <w:proofErr w:type="spellStart"/>
      <w:r w:rsidRPr="00465B82">
        <w:t>lmost</w:t>
      </w:r>
      <w:proofErr w:type="spellEnd"/>
      <w:r w:rsidRPr="00465B82">
        <w:t xml:space="preserve"> smug,</w:t>
      </w:r>
      <w:r>
        <w:t>’</w:t>
      </w:r>
      <w:r w:rsidRPr="00465B82">
        <w:t xml:space="preserve"> like he </w:t>
      </w:r>
      <w:r>
        <w:t>‘</w:t>
      </w:r>
      <w:r w:rsidRPr="00465B82">
        <w:t>didn’t care.</w:t>
      </w:r>
      <w:r>
        <w:t>’</w:t>
      </w:r>
      <w:r w:rsidRPr="00465B82">
        <w:t xml:space="preserve"> After speaking with defendant</w:t>
      </w:r>
      <w:r>
        <w:t>.</w:t>
      </w:r>
    </w:p>
    <w:p w14:paraId="705D02A5" w14:textId="77777777" w:rsidR="00424793" w:rsidRDefault="00424793" w:rsidP="00424793">
      <w:pPr>
        <w:pStyle w:val="NoSpacing"/>
        <w:ind w:left="720"/>
        <w:rPr>
          <w:bCs/>
        </w:rPr>
      </w:pPr>
    </w:p>
    <w:p w14:paraId="3B3B54D3" w14:textId="77777777" w:rsidR="00424793" w:rsidRDefault="00424793" w:rsidP="00424793">
      <w:pPr>
        <w:pStyle w:val="NoSpacing"/>
        <w:ind w:left="720"/>
        <w:rPr>
          <w:bCs/>
        </w:rPr>
      </w:pPr>
      <w:r>
        <w:t>***</w:t>
      </w:r>
    </w:p>
    <w:p w14:paraId="6E31F73E" w14:textId="77777777" w:rsidR="00424793" w:rsidRPr="00465B82" w:rsidRDefault="00424793" w:rsidP="00424793">
      <w:pPr>
        <w:pStyle w:val="NoSpacing"/>
        <w:ind w:left="720"/>
        <w:rPr>
          <w:bCs/>
        </w:rPr>
      </w:pPr>
    </w:p>
    <w:p w14:paraId="0DE70880" w14:textId="77777777" w:rsidR="00424793" w:rsidRPr="003A1E73" w:rsidRDefault="00424793" w:rsidP="00424793">
      <w:pPr>
        <w:pStyle w:val="NoSpacing"/>
        <w:ind w:firstLine="720"/>
        <w:rPr>
          <w:bCs/>
        </w:rPr>
      </w:pPr>
      <w:r w:rsidRPr="003A1E73">
        <w:t xml:space="preserve">The </w:t>
      </w:r>
      <w:r>
        <w:t>‘</w:t>
      </w:r>
      <w:r w:rsidRPr="003A1E73">
        <w:t>Excited Utterance</w:t>
      </w:r>
      <w:r>
        <w:t>’</w:t>
      </w:r>
      <w:r w:rsidRPr="003A1E73">
        <w:t xml:space="preserve"> exception permits the introduction of </w:t>
      </w:r>
      <w:r>
        <w:t>‘</w:t>
      </w:r>
      <w:r w:rsidRPr="003A1E73">
        <w:t>[a] statement relating</w:t>
      </w:r>
    </w:p>
    <w:p w14:paraId="733DDD74" w14:textId="77777777" w:rsidR="00424793" w:rsidRDefault="00424793" w:rsidP="00424793">
      <w:pPr>
        <w:pStyle w:val="NoSpacing"/>
        <w:ind w:left="720"/>
        <w:rPr>
          <w:bCs/>
        </w:rPr>
      </w:pPr>
      <w:r w:rsidRPr="003A1E73">
        <w:lastRenderedPageBreak/>
        <w:t>to a startling event or condition made while the declarant was under the stress of excitement caused</w:t>
      </w:r>
      <w:r>
        <w:t xml:space="preserve"> </w:t>
      </w:r>
      <w:r w:rsidRPr="003A1E73">
        <w:t>by the event or condition.</w:t>
      </w:r>
      <w:r>
        <w:t>’</w:t>
      </w:r>
      <w:r w:rsidRPr="003A1E73">
        <w:t xml:space="preserve"> Ill. R. Evid. 803(2) (eff. Jan. 25, 2023). For a hearsay statement to be</w:t>
      </w:r>
      <w:r>
        <w:t xml:space="preserve"> </w:t>
      </w:r>
      <w:r w:rsidRPr="003A1E73">
        <w:t xml:space="preserve">admissible under this exception, our supreme court has set forth three </w:t>
      </w:r>
      <w:r>
        <w:t>‘</w:t>
      </w:r>
      <w:r w:rsidRPr="003A1E73">
        <w:t>must</w:t>
      </w:r>
      <w:r>
        <w:t>’</w:t>
      </w:r>
      <w:r w:rsidRPr="003A1E73">
        <w:t xml:space="preserve"> requirements:</w:t>
      </w:r>
      <w:r>
        <w:t xml:space="preserve"> </w:t>
      </w:r>
      <w:r w:rsidRPr="003A1E73">
        <w:t xml:space="preserve">(1) </w:t>
      </w:r>
      <w:r>
        <w:t>‘</w:t>
      </w:r>
      <w:r w:rsidRPr="003A1E73">
        <w:t>there must be an occurrence sufficiently startling to produce a spontaneous and unreflecting</w:t>
      </w:r>
      <w:r>
        <w:t xml:space="preserve"> </w:t>
      </w:r>
      <w:r w:rsidRPr="003A1E73">
        <w:t>statement,</w:t>
      </w:r>
      <w:r>
        <w:t>’</w:t>
      </w:r>
      <w:r w:rsidRPr="003A1E73">
        <w:t xml:space="preserve">(2) </w:t>
      </w:r>
      <w:r>
        <w:t>‘</w:t>
      </w:r>
      <w:r w:rsidRPr="003A1E73">
        <w:t>there must be an absence of time for the declarant to fabricate the statement,</w:t>
      </w:r>
      <w:r>
        <w:t>’</w:t>
      </w:r>
      <w:r w:rsidRPr="003A1E73">
        <w:t xml:space="preserve"> and</w:t>
      </w:r>
      <w:r>
        <w:t xml:space="preserve"> </w:t>
      </w:r>
      <w:r w:rsidRPr="003A1E73">
        <w:t xml:space="preserve">(3) </w:t>
      </w:r>
      <w:r>
        <w:t>‘</w:t>
      </w:r>
      <w:r w:rsidRPr="003A1E73">
        <w:t>the statement must relate to the circumstances of the occurrence.</w:t>
      </w:r>
      <w:r>
        <w:t>’</w:t>
      </w:r>
      <w:r w:rsidRPr="003A1E73">
        <w:t xml:space="preserve"> (Emphases added.) People</w:t>
      </w:r>
      <w:r>
        <w:t xml:space="preserve"> </w:t>
      </w:r>
      <w:r w:rsidRPr="003A1E73">
        <w:t>v. Sutton, 233 Ill. 2d 89, 107 (2009); People v. Williams, 193 Ill. 2d 306, 352 (2000); Jones, 2025</w:t>
      </w:r>
      <w:r>
        <w:t xml:space="preserve"> </w:t>
      </w:r>
      <w:r w:rsidRPr="003A1E73">
        <w:t>IL App (1st) 230771, ¶ 114; People v. Morales, 2021 IL App (2d) 190408, ¶ 12.</w:t>
      </w:r>
    </w:p>
    <w:p w14:paraId="2765ABDF" w14:textId="77777777" w:rsidR="00424793" w:rsidRDefault="00424793" w:rsidP="00424793">
      <w:pPr>
        <w:pStyle w:val="NoSpacing"/>
        <w:ind w:left="720"/>
        <w:rPr>
          <w:bCs/>
        </w:rPr>
      </w:pPr>
    </w:p>
    <w:p w14:paraId="027F3FE4" w14:textId="77777777" w:rsidR="00424793" w:rsidRDefault="00424793" w:rsidP="00424793">
      <w:pPr>
        <w:pStyle w:val="NoSpacing"/>
        <w:ind w:left="720"/>
        <w:rPr>
          <w:bCs/>
        </w:rPr>
      </w:pPr>
      <w:r>
        <w:t>***</w:t>
      </w:r>
    </w:p>
    <w:p w14:paraId="66C2B1F1" w14:textId="77777777" w:rsidR="00424793" w:rsidRDefault="00424793" w:rsidP="00424793">
      <w:pPr>
        <w:pStyle w:val="NoSpacing"/>
        <w:ind w:left="720"/>
        <w:rPr>
          <w:bCs/>
        </w:rPr>
      </w:pPr>
    </w:p>
    <w:p w14:paraId="56315985" w14:textId="77777777" w:rsidR="00424793" w:rsidRDefault="00424793" w:rsidP="00424793">
      <w:pPr>
        <w:pStyle w:val="NoSpacing"/>
        <w:ind w:left="720"/>
        <w:rPr>
          <w:bCs/>
        </w:rPr>
      </w:pPr>
      <w:r>
        <w:t>[T]</w:t>
      </w:r>
      <w:r w:rsidRPr="000A6A49">
        <w:t xml:space="preserve">here is no indication that their </w:t>
      </w:r>
      <w:r>
        <w:t xml:space="preserve">[EMS] </w:t>
      </w:r>
      <w:r w:rsidRPr="000A6A49">
        <w:t>report was intended as a substitute for victim</w:t>
      </w:r>
      <w:r>
        <w:t xml:space="preserve"> </w:t>
      </w:r>
      <w:r w:rsidRPr="000A6A49">
        <w:t>testimony, as opposed to a medical record intended to enable accurate treatment once they reached</w:t>
      </w:r>
      <w:r>
        <w:t xml:space="preserve"> </w:t>
      </w:r>
      <w:r w:rsidRPr="000A6A49">
        <w:t>the hospital and doctors.</w:t>
      </w:r>
      <w:r>
        <w:t>”</w:t>
      </w:r>
    </w:p>
    <w:p w14:paraId="3E443489" w14:textId="77777777" w:rsidR="00424793" w:rsidRDefault="00424793" w:rsidP="00424793">
      <w:pPr>
        <w:pStyle w:val="NoSpacing"/>
        <w:ind w:left="720"/>
        <w:rPr>
          <w:bCs/>
        </w:rPr>
      </w:pPr>
    </w:p>
    <w:p w14:paraId="59A030DA" w14:textId="77777777" w:rsidR="00424793" w:rsidRPr="005D1520" w:rsidRDefault="00424793" w:rsidP="00424793">
      <w:pPr>
        <w:pStyle w:val="NoSpacing"/>
        <w:rPr>
          <w:b/>
        </w:rPr>
      </w:pPr>
      <w:r>
        <w:rPr>
          <w:b/>
        </w:rPr>
        <w:t xml:space="preserve">Legal lesson learned: Excited utterances are admissible as an exception to the Hearsay Rule; </w:t>
      </w:r>
      <w:proofErr w:type="gramStart"/>
      <w:r>
        <w:rPr>
          <w:b/>
        </w:rPr>
        <w:t>a best</w:t>
      </w:r>
      <w:proofErr w:type="gramEnd"/>
      <w:r>
        <w:rPr>
          <w:b/>
        </w:rPr>
        <w:t xml:space="preserve"> practice is to </w:t>
      </w:r>
      <w:proofErr w:type="gramStart"/>
      <w:r>
        <w:rPr>
          <w:b/>
        </w:rPr>
        <w:t>document to</w:t>
      </w:r>
      <w:proofErr w:type="gramEnd"/>
      <w:r>
        <w:rPr>
          <w:b/>
        </w:rPr>
        <w:t xml:space="preserve"> victim’s comments in the EMR run report. </w:t>
      </w:r>
    </w:p>
    <w:p w14:paraId="717F072A" w14:textId="77777777" w:rsidR="00424793" w:rsidRDefault="00424793" w:rsidP="00424793">
      <w:pPr>
        <w:pStyle w:val="NoSpacing"/>
        <w:ind w:left="720"/>
        <w:rPr>
          <w:bCs/>
        </w:rPr>
      </w:pPr>
    </w:p>
    <w:p w14:paraId="7219418B" w14:textId="77777777" w:rsidR="00424793" w:rsidRDefault="00424793" w:rsidP="00004498">
      <w:pPr>
        <w:rPr>
          <w:rFonts w:ascii="Arial Black" w:hAnsi="Arial Black"/>
          <w:b/>
          <w:bCs/>
          <w:sz w:val="24"/>
          <w:szCs w:val="24"/>
        </w:rPr>
      </w:pPr>
    </w:p>
    <w:p w14:paraId="7C5C0CC2" w14:textId="11759C71" w:rsidR="00424793" w:rsidRDefault="00424793" w:rsidP="00004498">
      <w:pPr>
        <w:rPr>
          <w:rFonts w:ascii="Arial Black" w:hAnsi="Arial Black"/>
          <w:b/>
          <w:bCs/>
          <w:sz w:val="24"/>
          <w:szCs w:val="24"/>
        </w:rPr>
      </w:pPr>
      <w:r>
        <w:rPr>
          <w:rFonts w:ascii="Arial Black" w:hAnsi="Arial Black"/>
          <w:b/>
          <w:bCs/>
          <w:sz w:val="24"/>
          <w:szCs w:val="24"/>
        </w:rPr>
        <w:t>13-</w:t>
      </w:r>
      <w:r w:rsidR="002E2246">
        <w:rPr>
          <w:rFonts w:ascii="Arial Black" w:hAnsi="Arial Black"/>
          <w:b/>
          <w:bCs/>
          <w:sz w:val="24"/>
          <w:szCs w:val="24"/>
        </w:rPr>
        <w:t>24</w:t>
      </w:r>
      <w:r w:rsidR="00524647">
        <w:rPr>
          <w:rFonts w:ascii="Arial Black" w:hAnsi="Arial Black"/>
          <w:b/>
          <w:bCs/>
          <w:sz w:val="24"/>
          <w:szCs w:val="24"/>
        </w:rPr>
        <w:t>0</w:t>
      </w:r>
    </w:p>
    <w:p w14:paraId="60C44056" w14:textId="77777777" w:rsidR="006F6E5A" w:rsidRPr="00EA63F0" w:rsidRDefault="006F6E5A" w:rsidP="006F6E5A">
      <w:pPr>
        <w:rPr>
          <w:rFonts w:ascii="Arial Black" w:hAnsi="Arial Black"/>
          <w:b/>
          <w:sz w:val="28"/>
          <w:szCs w:val="28"/>
        </w:rPr>
      </w:pPr>
      <w:r>
        <w:rPr>
          <w:rFonts w:ascii="Arial Black" w:hAnsi="Arial Black"/>
          <w:b/>
          <w:sz w:val="28"/>
          <w:szCs w:val="28"/>
        </w:rPr>
        <w:t xml:space="preserve">NY: NO TRANSPORT – PT AGREED WITH EMS – IMMUNITY </w:t>
      </w:r>
    </w:p>
    <w:p w14:paraId="63E51B80" w14:textId="7F621EB5" w:rsidR="006F6E5A" w:rsidRDefault="006F6E5A" w:rsidP="006F6E5A">
      <w:pPr>
        <w:rPr>
          <w:bCs/>
        </w:rPr>
      </w:pPr>
      <w:r>
        <w:t xml:space="preserve">On December 23, 2025, in </w:t>
      </w:r>
      <w:r w:rsidRPr="000C240F">
        <w:rPr>
          <w:u w:val="single"/>
        </w:rPr>
        <w:t>Kathleen Gumkowski, Administrator Of The Estate Of Gregory Gumkowski, Deceased, et al. v. Thomas Shwaab, M.D., et al</w:t>
      </w:r>
      <w:r>
        <w:t xml:space="preserve">., the </w:t>
      </w:r>
      <w:r w:rsidRPr="000C240F">
        <w:t>Supreme Court of New York, Fourth Department</w:t>
      </w:r>
      <w:r>
        <w:t xml:space="preserve">, held (5 to 0) that the trial improperly denied summary judgment for the Town of Tonawanda, Town of Tonawanda EMS and two paramedics on the run.   EMS and the patient jointly </w:t>
      </w:r>
      <w:proofErr w:type="gramStart"/>
      <w:r>
        <w:t>agreed</w:t>
      </w:r>
      <w:proofErr w:type="gramEnd"/>
      <w:r>
        <w:t xml:space="preserve"> no transport was necessary. </w:t>
      </w:r>
      <w:hyperlink r:id="rId1937" w:history="1">
        <w:r w:rsidR="008343E2" w:rsidRPr="000F3B38">
          <w:rPr>
            <w:rStyle w:val="Hyperlink"/>
            <w:b/>
          </w:rPr>
          <w:t>https://law.justia.com/cases/new-york/appellate-division-fourth-department/2025/816-1-ca-24-01193.html</w:t>
        </w:r>
      </w:hyperlink>
    </w:p>
    <w:p w14:paraId="675CEBCB" w14:textId="77777777" w:rsidR="006F6E5A" w:rsidRDefault="006F6E5A" w:rsidP="006F6E5A">
      <w:pPr>
        <w:rPr>
          <w:bCs/>
        </w:rPr>
      </w:pPr>
      <w:r>
        <w:t>THE COURT HELD:</w:t>
      </w:r>
    </w:p>
    <w:p w14:paraId="72CEB2F8" w14:textId="77777777" w:rsidR="006F6E5A" w:rsidRDefault="006F6E5A" w:rsidP="006F6E5A">
      <w:pPr>
        <w:pStyle w:val="NoSpacing"/>
        <w:ind w:left="720"/>
      </w:pPr>
      <w:r>
        <w:t>“</w:t>
      </w:r>
      <w:r w:rsidRPr="00604A64">
        <w:t>Following his discharge</w:t>
      </w:r>
      <w:r>
        <w:t xml:space="preserve"> [on Jan. 11, </w:t>
      </w:r>
      <w:proofErr w:type="gramStart"/>
      <w:r>
        <w:t>2016</w:t>
      </w:r>
      <w:proofErr w:type="gramEnd"/>
      <w:r>
        <w:t xml:space="preserve"> from </w:t>
      </w:r>
      <w:r w:rsidRPr="001B33C6">
        <w:t>Roswell Park Cancer Institute</w:t>
      </w:r>
      <w:r>
        <w:t>]</w:t>
      </w:r>
      <w:r w:rsidRPr="00604A64">
        <w:t xml:space="preserve">, decedent called Roswell Park on several occasions, including a call to Pieri </w:t>
      </w:r>
      <w:r>
        <w:t>[</w:t>
      </w:r>
      <w:r w:rsidRPr="00DA5A83">
        <w:t>Christine Pieri, R.N</w:t>
      </w:r>
      <w:r>
        <w:t xml:space="preserve">.] </w:t>
      </w:r>
      <w:r w:rsidRPr="00604A64">
        <w:t xml:space="preserve">on January 13, 2016, wherein decedent reported shallow breathing and lightheadedness. A few hours later, decedent called 911 with a chief complaint of shortness of breath. </w:t>
      </w:r>
      <w:proofErr w:type="spellStart"/>
      <w:r w:rsidRPr="00604A64">
        <w:t>Rutenkroger</w:t>
      </w:r>
      <w:proofErr w:type="spellEnd"/>
      <w:r w:rsidRPr="00604A64">
        <w:t xml:space="preserve"> and Rice, paramedics employed by the Town of Tonawanda, arrived at the decedent's residence, took his vital signs, and assessed his condition. Given decedent's history of anxiety and the absence of any other clinical indications of respiratory distress, the paramedics concluded that decedent's shortness of breath was caused by anxiety. According to plaintiff's deposition testimony, decedent and the paramedics made "a joint decision" that decedent would not be taken to the emergency room that day, and decedent signed a treatment refusal acknowledgment.</w:t>
      </w:r>
    </w:p>
    <w:p w14:paraId="7EB4C754" w14:textId="77777777" w:rsidR="006F6E5A" w:rsidRDefault="006F6E5A" w:rsidP="006F6E5A">
      <w:pPr>
        <w:pStyle w:val="NoSpacing"/>
        <w:ind w:left="720"/>
      </w:pPr>
    </w:p>
    <w:p w14:paraId="784FEFCD" w14:textId="77777777" w:rsidR="006F6E5A" w:rsidRDefault="006F6E5A" w:rsidP="006F6E5A">
      <w:pPr>
        <w:pStyle w:val="NoSpacing"/>
        <w:ind w:left="720"/>
      </w:pPr>
      <w:r>
        <w:t>***</w:t>
      </w:r>
    </w:p>
    <w:p w14:paraId="2DAF8947" w14:textId="77777777" w:rsidR="006F6E5A" w:rsidRDefault="006F6E5A" w:rsidP="006F6E5A">
      <w:pPr>
        <w:pStyle w:val="NoSpacing"/>
        <w:ind w:left="720"/>
      </w:pPr>
    </w:p>
    <w:p w14:paraId="423241BC" w14:textId="77777777" w:rsidR="006F6E5A" w:rsidRDefault="006F6E5A" w:rsidP="006F6E5A">
      <w:pPr>
        <w:pStyle w:val="NoSpacing"/>
        <w:ind w:left="720"/>
      </w:pPr>
      <w:r w:rsidRPr="006D0006">
        <w:t xml:space="preserve">Under the circumstances presented here, we conclude that the Town defendants established that </w:t>
      </w:r>
      <w:proofErr w:type="spellStart"/>
      <w:r w:rsidRPr="006D0006">
        <w:t>Rutenkroger's</w:t>
      </w:r>
      <w:proofErr w:type="spellEnd"/>
      <w:r w:rsidRPr="006D0006">
        <w:t xml:space="preserve"> and Rice's actions were discretionary and, thus, the Town defendants are entitled to governmental function immunity.</w:t>
      </w:r>
    </w:p>
    <w:p w14:paraId="1D109414" w14:textId="77777777" w:rsidR="006F6E5A" w:rsidRDefault="006F6E5A" w:rsidP="006F6E5A">
      <w:pPr>
        <w:pStyle w:val="NoSpacing"/>
        <w:ind w:left="720"/>
      </w:pPr>
    </w:p>
    <w:p w14:paraId="200D8162" w14:textId="77777777" w:rsidR="006F6E5A" w:rsidRDefault="006F6E5A" w:rsidP="006F6E5A">
      <w:pPr>
        <w:pStyle w:val="NoSpacing"/>
        <w:ind w:left="720"/>
      </w:pPr>
      <w:r>
        <w:t>***</w:t>
      </w:r>
    </w:p>
    <w:p w14:paraId="41295655" w14:textId="77777777" w:rsidR="006F6E5A" w:rsidRDefault="006F6E5A" w:rsidP="006F6E5A">
      <w:pPr>
        <w:pStyle w:val="NoSpacing"/>
        <w:ind w:left="720"/>
      </w:pPr>
    </w:p>
    <w:p w14:paraId="69E1CA87" w14:textId="77777777" w:rsidR="006F6E5A" w:rsidRDefault="006F6E5A" w:rsidP="006F6E5A">
      <w:pPr>
        <w:ind w:left="720"/>
        <w:rPr>
          <w:b/>
        </w:rPr>
      </w:pPr>
      <w:r>
        <w:t>[W]</w:t>
      </w:r>
      <w:r w:rsidRPr="003E3A48">
        <w:t xml:space="preserve">e </w:t>
      </w:r>
      <w:proofErr w:type="gramStart"/>
      <w:r w:rsidRPr="003E3A48">
        <w:t>agree</w:t>
      </w:r>
      <w:proofErr w:type="gramEnd"/>
      <w:r w:rsidRPr="003E3A48">
        <w:t xml:space="preserve"> with the Town defendants that they are entitled to governmental function immunity and the court therefore erred in denying their motion for summary judgment dismissing the complaint and </w:t>
      </w:r>
      <w:proofErr w:type="gramStart"/>
      <w:r w:rsidRPr="003E3A48">
        <w:t>cross-claims</w:t>
      </w:r>
      <w:proofErr w:type="gramEnd"/>
      <w:r w:rsidRPr="003E3A48">
        <w:t xml:space="preserve"> against them. </w:t>
      </w:r>
      <w:r>
        <w:t>‘</w:t>
      </w:r>
      <w:r w:rsidRPr="003E3A48">
        <w:t xml:space="preserve">A municipality is immune from liability where the actions of its employees in performing </w:t>
      </w:r>
      <w:r w:rsidRPr="003E3A48">
        <w:lastRenderedPageBreak/>
        <w:t>governmental functions involve[ ] the exercise of discretion</w:t>
      </w:r>
      <w:r>
        <w:t>’</w:t>
      </w:r>
      <w:r w:rsidRPr="003E3A48">
        <w:t xml:space="preserve"> (</w:t>
      </w:r>
      <w:r w:rsidRPr="003E3A48">
        <w:rPr>
          <w:i/>
          <w:iCs/>
        </w:rPr>
        <w:t>Morales v City of New York</w:t>
      </w:r>
      <w:r w:rsidRPr="003E3A48">
        <w:t xml:space="preserve">, 235 AD3d 595, 597 [1st Dept 2025]; </w:t>
      </w:r>
      <w:r w:rsidRPr="003E3A48">
        <w:rPr>
          <w:i/>
          <w:iCs/>
        </w:rPr>
        <w:t>see McLean v City of New York</w:t>
      </w:r>
      <w:r w:rsidRPr="003E3A48">
        <w:t xml:space="preserve">, 12 NY3d 194, 202-203 [2009]). </w:t>
      </w:r>
      <w:r>
        <w:t>‘</w:t>
      </w:r>
      <w:r w:rsidRPr="003E3A48">
        <w:t>[A]</w:t>
      </w:r>
      <w:proofErr w:type="spellStart"/>
      <w:r w:rsidRPr="003E3A48">
        <w:t>mbulance</w:t>
      </w:r>
      <w:proofErr w:type="spellEnd"/>
      <w:r w:rsidRPr="003E3A48">
        <w:t xml:space="preserve"> assistance rendered by first responders . . . should be viewed as a classic governmental, rather than proprietary, function</w:t>
      </w:r>
      <w:r>
        <w:t>’</w:t>
      </w:r>
      <w:r w:rsidRPr="003E3A48">
        <w:t xml:space="preserve"> (</w:t>
      </w:r>
      <w:r w:rsidRPr="003E3A48">
        <w:rPr>
          <w:i/>
          <w:iCs/>
        </w:rPr>
        <w:t xml:space="preserve">Applewhite v </w:t>
      </w:r>
      <w:proofErr w:type="spellStart"/>
      <w:r w:rsidRPr="003E3A48">
        <w:rPr>
          <w:i/>
          <w:iCs/>
        </w:rPr>
        <w:t>Accuhealth</w:t>
      </w:r>
      <w:proofErr w:type="spellEnd"/>
      <w:r w:rsidRPr="003E3A48">
        <w:t>,</w:t>
      </w:r>
      <w:r w:rsidRPr="003E3A48">
        <w:rPr>
          <w:i/>
          <w:iCs/>
        </w:rPr>
        <w:t xml:space="preserve"> Inc</w:t>
      </w:r>
      <w:r w:rsidRPr="003E3A48">
        <w:t>., 21 NY3d 420, 430 [2013] [internal quotation marks omitted]).</w:t>
      </w:r>
      <w:r>
        <w:t xml:space="preserve">” </w:t>
      </w:r>
      <w:hyperlink r:id="rId1938" w:history="1">
        <w:r w:rsidRPr="009B6A10">
          <w:rPr>
            <w:rStyle w:val="Hyperlink"/>
            <w:b/>
          </w:rPr>
          <w:t>https://law.justia.com/cases/new-york/appellate-division-fourth-department/2025/816-1-ca-24-01193.html</w:t>
        </w:r>
      </w:hyperlink>
      <w:r>
        <w:rPr>
          <w:b/>
        </w:rPr>
        <w:t xml:space="preserve"> </w:t>
      </w:r>
    </w:p>
    <w:p w14:paraId="16237A1B" w14:textId="77777777" w:rsidR="006F6E5A" w:rsidRDefault="006F6E5A" w:rsidP="006F6E5A">
      <w:pPr>
        <w:pStyle w:val="NoSpacing"/>
        <w:ind w:left="720"/>
      </w:pPr>
    </w:p>
    <w:p w14:paraId="6A102836" w14:textId="77777777" w:rsidR="006F6E5A" w:rsidRPr="0080119F" w:rsidRDefault="006F6E5A" w:rsidP="006F6E5A">
      <w:pPr>
        <w:pStyle w:val="NoSpacing"/>
        <w:rPr>
          <w:b/>
          <w:bCs/>
        </w:rPr>
      </w:pPr>
      <w:r>
        <w:rPr>
          <w:b/>
        </w:rPr>
        <w:t>Legal lesson learned: Medics and patient made “joint decision” to not transport – hopefully they also had patient sign a refusal form.   When in doubt, also call Hospital Medical Control.</w:t>
      </w:r>
    </w:p>
    <w:p w14:paraId="08E3879F" w14:textId="77777777" w:rsidR="006F6E5A" w:rsidRDefault="006F6E5A" w:rsidP="006F6E5A">
      <w:pPr>
        <w:pStyle w:val="NoSpacing"/>
      </w:pPr>
    </w:p>
    <w:p w14:paraId="369F8F71" w14:textId="77777777" w:rsidR="00CD1570" w:rsidRDefault="00CD1570" w:rsidP="00004498">
      <w:pPr>
        <w:rPr>
          <w:rFonts w:ascii="Arial Black" w:hAnsi="Arial Black"/>
          <w:b/>
          <w:bCs/>
          <w:sz w:val="24"/>
          <w:szCs w:val="24"/>
        </w:rPr>
      </w:pPr>
    </w:p>
    <w:p w14:paraId="4DD3D089" w14:textId="1628CF26" w:rsidR="00424793" w:rsidRDefault="006F6E5A" w:rsidP="00004498">
      <w:pPr>
        <w:rPr>
          <w:rFonts w:ascii="Arial Black" w:hAnsi="Arial Black"/>
          <w:b/>
          <w:bCs/>
          <w:sz w:val="24"/>
          <w:szCs w:val="24"/>
        </w:rPr>
      </w:pPr>
      <w:r>
        <w:rPr>
          <w:rFonts w:ascii="Arial Black" w:hAnsi="Arial Black"/>
          <w:b/>
          <w:bCs/>
          <w:sz w:val="24"/>
          <w:szCs w:val="24"/>
        </w:rPr>
        <w:t>13-</w:t>
      </w:r>
      <w:r w:rsidR="002E2246">
        <w:rPr>
          <w:rFonts w:ascii="Arial Black" w:hAnsi="Arial Black"/>
          <w:b/>
          <w:bCs/>
          <w:sz w:val="24"/>
          <w:szCs w:val="24"/>
        </w:rPr>
        <w:t>2</w:t>
      </w:r>
      <w:r w:rsidR="00524647">
        <w:rPr>
          <w:rFonts w:ascii="Arial Black" w:hAnsi="Arial Black"/>
          <w:b/>
          <w:bCs/>
          <w:sz w:val="24"/>
          <w:szCs w:val="24"/>
        </w:rPr>
        <w:t>39</w:t>
      </w:r>
    </w:p>
    <w:p w14:paraId="0887E386" w14:textId="77777777" w:rsidR="007D294B" w:rsidRDefault="007D294B" w:rsidP="00004498">
      <w:pPr>
        <w:rPr>
          <w:rFonts w:ascii="Arial Black" w:hAnsi="Arial Black"/>
          <w:b/>
          <w:bCs/>
          <w:sz w:val="24"/>
          <w:szCs w:val="24"/>
        </w:rPr>
      </w:pPr>
    </w:p>
    <w:p w14:paraId="25DF064C" w14:textId="77777777" w:rsidR="00092D5A" w:rsidRPr="008159A8" w:rsidRDefault="00092D5A" w:rsidP="00092D5A">
      <w:pPr>
        <w:rPr>
          <w:rFonts w:ascii="Arial Black" w:hAnsi="Arial Black"/>
          <w:b/>
          <w:sz w:val="28"/>
          <w:szCs w:val="28"/>
        </w:rPr>
      </w:pPr>
      <w:r>
        <w:rPr>
          <w:rFonts w:ascii="Arial Black" w:hAnsi="Arial Black"/>
          <w:b/>
          <w:sz w:val="28"/>
          <w:szCs w:val="28"/>
        </w:rPr>
        <w:t>NY: DISPATCH DID NOT TELL PT 1</w:t>
      </w:r>
      <w:r w:rsidRPr="001E7EF7">
        <w:rPr>
          <w:rFonts w:ascii="Arial Black" w:hAnsi="Arial Black"/>
          <w:b/>
          <w:sz w:val="28"/>
          <w:szCs w:val="28"/>
          <w:vertAlign w:val="superscript"/>
        </w:rPr>
        <w:t>st</w:t>
      </w:r>
      <w:r>
        <w:rPr>
          <w:rFonts w:ascii="Arial Black" w:hAnsi="Arial Black"/>
          <w:b/>
          <w:sz w:val="28"/>
          <w:szCs w:val="28"/>
        </w:rPr>
        <w:t xml:space="preserve"> UNIT ALS - IMMUNITY</w:t>
      </w:r>
    </w:p>
    <w:p w14:paraId="78016B85" w14:textId="3CF15A8B" w:rsidR="00092D5A" w:rsidRPr="00A528FE" w:rsidRDefault="00092D5A" w:rsidP="00092D5A">
      <w:pPr>
        <w:rPr>
          <w:bCs/>
        </w:rPr>
      </w:pPr>
      <w:r w:rsidRPr="00A528FE">
        <w:t xml:space="preserve">On December 18, 2025, in </w:t>
      </w:r>
      <w:r w:rsidRPr="00A528FE">
        <w:rPr>
          <w:u w:val="single"/>
        </w:rPr>
        <w:t>Ebony Hinkson, et al. v. New York-Presbyterian Queens, et al</w:t>
      </w:r>
      <w:r w:rsidRPr="00A528FE">
        <w:t xml:space="preserve">., </w:t>
      </w:r>
      <w:r>
        <w:t xml:space="preserve">the </w:t>
      </w:r>
      <w:r w:rsidRPr="00A528FE">
        <w:t>Supreme Court of New York, First Department</w:t>
      </w:r>
      <w:r>
        <w:t xml:space="preserve"> held (4 to ) that that trial court judge improperly denied motion to dismiss by </w:t>
      </w:r>
      <w:r w:rsidRPr="006D09AC">
        <w:t>City of New York and FDNY EMS</w:t>
      </w:r>
      <w:r>
        <w:t xml:space="preserve">.  Dispatch did not advise patient that ALS would be first on scene.  </w:t>
      </w:r>
      <w:hyperlink r:id="rId1939" w:history="1">
        <w:r w:rsidR="008343E2" w:rsidRPr="000F3B38">
          <w:rPr>
            <w:rStyle w:val="Hyperlink"/>
          </w:rPr>
          <w:t>https://law.justia.com/cases/new-york/appellate-division-first-department/2025/index-no-153104-18-appeal-no-5428-case-no-2024-01885.html</w:t>
        </w:r>
      </w:hyperlink>
      <w:r>
        <w:t xml:space="preserve"> </w:t>
      </w:r>
    </w:p>
    <w:p w14:paraId="6986CC51" w14:textId="77777777" w:rsidR="00092D5A" w:rsidRPr="00A528FE" w:rsidRDefault="00092D5A" w:rsidP="00092D5A">
      <w:pPr>
        <w:rPr>
          <w:bCs/>
        </w:rPr>
      </w:pPr>
      <w:r>
        <w:t>THE COURT HELD:</w:t>
      </w:r>
    </w:p>
    <w:p w14:paraId="73593B21" w14:textId="77777777" w:rsidR="00092D5A" w:rsidRDefault="00092D5A" w:rsidP="00092D5A">
      <w:pPr>
        <w:ind w:left="720"/>
      </w:pPr>
      <w:r>
        <w:rPr>
          <w:b/>
        </w:rPr>
        <w:t>“</w:t>
      </w:r>
      <w:r w:rsidRPr="006939D7">
        <w:t xml:space="preserve">To establish the requisite </w:t>
      </w:r>
      <w:r>
        <w:t>‘</w:t>
      </w:r>
      <w:r w:rsidRPr="006939D7">
        <w:t>assumption by the municipality, through promises or actions, of an affirmative duty to act on behalf of the party who was injured</w:t>
      </w:r>
      <w:r>
        <w:t>’ … p</w:t>
      </w:r>
      <w:r w:rsidRPr="006939D7">
        <w:t>laintiff relies solely on the 911 operator's purported assurance to the decedent's grandmother that an ambulance was on its way; the grandmother does not claim to have received any additional assurances from the FDNY paramedics themselves. It is not enough that they arrived and provided treatment because that is what emergency responders do for any member of the public (</w:t>
      </w:r>
      <w:r w:rsidRPr="006939D7">
        <w:rPr>
          <w:i/>
          <w:iCs/>
        </w:rPr>
        <w:t xml:space="preserve">see Estate of Kyle A. v New York City </w:t>
      </w:r>
      <w:proofErr w:type="spellStart"/>
      <w:r w:rsidRPr="006939D7">
        <w:rPr>
          <w:i/>
          <w:iCs/>
        </w:rPr>
        <w:t>Hous</w:t>
      </w:r>
      <w:proofErr w:type="spellEnd"/>
      <w:r w:rsidRPr="006939D7">
        <w:rPr>
          <w:i/>
          <w:iCs/>
        </w:rPr>
        <w:t>. Auth.</w:t>
      </w:r>
      <w:r w:rsidRPr="006939D7">
        <w:t>, 181 AD3d 492, 493 [1st Dept 2020]). Even ignoring any purported inconsistencies between the grandmother's deposition testimony and her summary judgment opposition affidavit with respect to what the 911 operator said, any special duty created by the 911 operator's purported assurance that the ambulance was on its way was fulfilled when the first ambulance (operated by defendant New York-Presbyterian d/b/a New York Presbyterian EMS [NYP-EMS]) arrived five minutes later.</w:t>
      </w:r>
    </w:p>
    <w:p w14:paraId="413E5CEC" w14:textId="77777777" w:rsidR="00092D5A" w:rsidRPr="006939D7" w:rsidRDefault="00092D5A" w:rsidP="00092D5A">
      <w:pPr>
        <w:ind w:left="720"/>
      </w:pPr>
      <w:r>
        <w:t>***</w:t>
      </w:r>
    </w:p>
    <w:p w14:paraId="107F8DFF" w14:textId="77777777" w:rsidR="00092D5A" w:rsidRPr="006939D7" w:rsidRDefault="00092D5A" w:rsidP="00092D5A">
      <w:pPr>
        <w:pStyle w:val="NoSpacing"/>
        <w:ind w:left="720"/>
      </w:pPr>
      <w:r w:rsidRPr="006939D7">
        <w:t>Plaintiff does not claim that the 911 operator promised that the ambulance would be capable of rendering advanced life support (ALS) rather than basic life support or that it would be operated by the FDNY as opposed to some other provider. The 911 operator at any rate also dispatched an FDNY ALS ambulance at the same time; it was just farther away and took longer (14 minutes) to arrive. Plaintiff does not claim that there was anything negligent about the amount of time it took the FDNY ambulance to arrive, challenging only the NYP-EMS ambulance's delay of transport (for which the City is not responsible) (</w:t>
      </w:r>
      <w:r w:rsidRPr="006939D7">
        <w:rPr>
          <w:i/>
          <w:iCs/>
        </w:rPr>
        <w:t xml:space="preserve">see Brown v </w:t>
      </w:r>
      <w:proofErr w:type="spellStart"/>
      <w:r w:rsidRPr="006939D7">
        <w:rPr>
          <w:i/>
          <w:iCs/>
        </w:rPr>
        <w:t>Transcare</w:t>
      </w:r>
      <w:proofErr w:type="spellEnd"/>
      <w:r w:rsidRPr="006939D7">
        <w:rPr>
          <w:i/>
          <w:iCs/>
        </w:rPr>
        <w:t xml:space="preserve"> N.Y., Inc.</w:t>
      </w:r>
      <w:r w:rsidRPr="006939D7">
        <w:t>, 27 AD3d 350, 351 [1st Dept 2006]), and the FDNY paramedics' failure to properly intubate the decedent (which had nothing to do with their time of arrival).</w:t>
      </w:r>
      <w:r>
        <w:t>”</w:t>
      </w:r>
    </w:p>
    <w:p w14:paraId="08773553" w14:textId="77777777" w:rsidR="00092D5A" w:rsidRDefault="00092D5A" w:rsidP="00092D5A">
      <w:pPr>
        <w:rPr>
          <w:b/>
        </w:rPr>
      </w:pPr>
    </w:p>
    <w:p w14:paraId="604561C7" w14:textId="2264219F" w:rsidR="00092D5A" w:rsidRPr="00F02ABA" w:rsidRDefault="00092D5A" w:rsidP="00092D5A">
      <w:pPr>
        <w:rPr>
          <w:b/>
        </w:rPr>
      </w:pPr>
      <w:r>
        <w:rPr>
          <w:b/>
        </w:rPr>
        <w:t>Legal lesson learned: Dispatchers and EMS enjoy immunity – owe no “special duty” t</w:t>
      </w:r>
      <w:r w:rsidR="00A33C55">
        <w:rPr>
          <w:b/>
        </w:rPr>
        <w:t>o</w:t>
      </w:r>
      <w:r>
        <w:rPr>
          <w:b/>
        </w:rPr>
        <w:t xml:space="preserve"> patients. </w:t>
      </w:r>
    </w:p>
    <w:p w14:paraId="60C50B13" w14:textId="77777777" w:rsidR="00092D5A" w:rsidRDefault="00092D5A" w:rsidP="00092D5A">
      <w:pPr>
        <w:pStyle w:val="NoSpacing"/>
      </w:pPr>
    </w:p>
    <w:p w14:paraId="0246B471" w14:textId="77777777" w:rsidR="00092D5A" w:rsidRDefault="00092D5A" w:rsidP="00092D5A">
      <w:pPr>
        <w:pStyle w:val="NoSpacing"/>
      </w:pPr>
    </w:p>
    <w:p w14:paraId="66D5347F" w14:textId="240E3528" w:rsidR="00BE2EF9" w:rsidRDefault="00092D5A" w:rsidP="00004498">
      <w:pPr>
        <w:rPr>
          <w:rFonts w:ascii="Arial Black" w:hAnsi="Arial Black"/>
          <w:b/>
          <w:bCs/>
          <w:sz w:val="24"/>
          <w:szCs w:val="24"/>
        </w:rPr>
      </w:pPr>
      <w:r>
        <w:rPr>
          <w:rFonts w:ascii="Arial Black" w:hAnsi="Arial Black"/>
          <w:b/>
          <w:bCs/>
          <w:sz w:val="24"/>
          <w:szCs w:val="24"/>
        </w:rPr>
        <w:t xml:space="preserve">13 </w:t>
      </w:r>
      <w:r w:rsidR="00BE2EF9">
        <w:rPr>
          <w:rFonts w:ascii="Arial Black" w:hAnsi="Arial Black"/>
          <w:b/>
          <w:bCs/>
          <w:sz w:val="24"/>
          <w:szCs w:val="24"/>
        </w:rPr>
        <w:t>–</w:t>
      </w:r>
      <w:r>
        <w:rPr>
          <w:rFonts w:ascii="Arial Black" w:hAnsi="Arial Black"/>
          <w:b/>
          <w:bCs/>
          <w:sz w:val="24"/>
          <w:szCs w:val="24"/>
        </w:rPr>
        <w:t xml:space="preserve"> </w:t>
      </w:r>
      <w:r w:rsidR="002E2246">
        <w:rPr>
          <w:rFonts w:ascii="Arial Black" w:hAnsi="Arial Black"/>
          <w:b/>
          <w:bCs/>
          <w:sz w:val="24"/>
          <w:szCs w:val="24"/>
        </w:rPr>
        <w:t>23</w:t>
      </w:r>
      <w:r w:rsidR="00524647">
        <w:rPr>
          <w:rFonts w:ascii="Arial Black" w:hAnsi="Arial Black"/>
          <w:b/>
          <w:bCs/>
          <w:sz w:val="24"/>
          <w:szCs w:val="24"/>
        </w:rPr>
        <w:t>8</w:t>
      </w:r>
    </w:p>
    <w:p w14:paraId="2A628E46" w14:textId="77777777" w:rsidR="00BE2EF9" w:rsidRDefault="00BE2EF9" w:rsidP="00BE2EF9">
      <w:pPr>
        <w:rPr>
          <w:rFonts w:ascii="Arial Black" w:hAnsi="Arial Black"/>
          <w:b/>
          <w:sz w:val="28"/>
          <w:szCs w:val="28"/>
        </w:rPr>
      </w:pPr>
      <w:r>
        <w:rPr>
          <w:rFonts w:ascii="Arial Black" w:hAnsi="Arial Black"/>
          <w:b/>
          <w:sz w:val="28"/>
          <w:szCs w:val="28"/>
        </w:rPr>
        <w:t xml:space="preserve">CA: AMR – WAS COUNTY EMS - </w:t>
      </w:r>
      <w:proofErr w:type="spellStart"/>
      <w:r>
        <w:rPr>
          <w:rFonts w:ascii="Arial Black" w:hAnsi="Arial Black"/>
          <w:b/>
          <w:sz w:val="28"/>
          <w:szCs w:val="28"/>
        </w:rPr>
        <w:t>ConFIRE</w:t>
      </w:r>
      <w:proofErr w:type="spellEnd"/>
      <w:r>
        <w:rPr>
          <w:rFonts w:ascii="Arial Black" w:hAnsi="Arial Black"/>
          <w:b/>
          <w:sz w:val="28"/>
          <w:szCs w:val="28"/>
        </w:rPr>
        <w:t xml:space="preserve"> WINS CONTRACT</w:t>
      </w:r>
    </w:p>
    <w:p w14:paraId="21F8D538" w14:textId="77777777" w:rsidR="00BE2EF9" w:rsidRPr="00E654C4" w:rsidRDefault="00BE2EF9" w:rsidP="00BE2EF9">
      <w:pPr>
        <w:rPr>
          <w:b/>
        </w:rPr>
      </w:pPr>
      <w:r w:rsidRPr="001079CA">
        <w:t xml:space="preserve">On December 18, 205 in </w:t>
      </w:r>
      <w:r w:rsidRPr="000020FF">
        <w:rPr>
          <w:u w:val="single"/>
        </w:rPr>
        <w:t>American Medical Response of Inland Empire v. County of San Bernardino, et al</w:t>
      </w:r>
      <w:r>
        <w:t xml:space="preserve">.; the </w:t>
      </w:r>
      <w:r w:rsidRPr="000020FF">
        <w:t>California Court of Appeals, Fourth District, First Division</w:t>
      </w:r>
      <w:r>
        <w:t xml:space="preserve"> held (3 to 0; unpublished decision) that trial court improperly granted AMR a preliminary injunction during the pendency of this lawsuit to stop the County from switching to </w:t>
      </w:r>
      <w:proofErr w:type="spellStart"/>
      <w:r>
        <w:t>ConFire</w:t>
      </w:r>
      <w:proofErr w:type="spellEnd"/>
      <w:r>
        <w:t xml:space="preserve"> as their new EMS provider. </w:t>
      </w:r>
      <w:hyperlink r:id="rId1940" w:history="1">
        <w:r w:rsidRPr="00FC78E3">
          <w:rPr>
            <w:rStyle w:val="Hyperlink"/>
            <w:b/>
          </w:rPr>
          <w:t>https://www4.courts.ca.gov/opinions/nonpub/D085716.PDF</w:t>
        </w:r>
      </w:hyperlink>
      <w:r>
        <w:rPr>
          <w:b/>
        </w:rPr>
        <w:t xml:space="preserve"> </w:t>
      </w:r>
    </w:p>
    <w:p w14:paraId="62188B40" w14:textId="77777777" w:rsidR="00BE2EF9" w:rsidRPr="00E654C4" w:rsidRDefault="00BE2EF9" w:rsidP="00BE2EF9">
      <w:pPr>
        <w:rPr>
          <w:b/>
        </w:rPr>
      </w:pPr>
      <w:r>
        <w:t xml:space="preserve">THE COURT HELD: </w:t>
      </w:r>
    </w:p>
    <w:p w14:paraId="62A30225" w14:textId="77777777" w:rsidR="00BE2EF9" w:rsidRDefault="00BE2EF9" w:rsidP="00BE2EF9">
      <w:pPr>
        <w:pStyle w:val="NoSpacing"/>
        <w:ind w:left="720"/>
      </w:pPr>
      <w:r>
        <w:t>“</w:t>
      </w:r>
      <w:r w:rsidRPr="00BF5999">
        <w:t>AMR began operating as the ambulance service provider for the County in the late 1970s. Since that time, the County has retained AMR as its exclusive EMS provider, grandfathered into its system in accordance with section 1797.224 of the EMS Act</w:t>
      </w:r>
      <w:r>
        <w:t>.</w:t>
      </w:r>
    </w:p>
    <w:p w14:paraId="229634DD" w14:textId="77777777" w:rsidR="00BE2EF9" w:rsidRDefault="00BE2EF9" w:rsidP="00BE2EF9">
      <w:pPr>
        <w:pStyle w:val="NoSpacing"/>
        <w:ind w:left="720"/>
      </w:pPr>
    </w:p>
    <w:p w14:paraId="7776B994" w14:textId="77777777" w:rsidR="00BE2EF9" w:rsidRDefault="00BE2EF9" w:rsidP="00BE2EF9">
      <w:pPr>
        <w:pStyle w:val="NoSpacing"/>
        <w:ind w:left="720"/>
      </w:pPr>
      <w:r>
        <w:t>***</w:t>
      </w:r>
    </w:p>
    <w:p w14:paraId="20BA64EB" w14:textId="77777777" w:rsidR="00BE2EF9" w:rsidRDefault="00BE2EF9" w:rsidP="00BE2EF9">
      <w:pPr>
        <w:pStyle w:val="NoSpacing"/>
        <w:ind w:left="720"/>
      </w:pPr>
      <w:r w:rsidRPr="00356A3B">
        <w:t>In 2022, the County initiated a competitive process to improve its EMS system and issued a request for proposal (RFP) seeking bidders for a new exclusive contract to provide EMS services. The RFP set forth three overarching goals for its procurement process-to improve service delivery to customers and partners, to establish a more efficient EMS system, and to make investments back into the system.</w:t>
      </w:r>
    </w:p>
    <w:p w14:paraId="29BE527B" w14:textId="77777777" w:rsidR="00BE2EF9" w:rsidRDefault="00BE2EF9" w:rsidP="00BE2EF9">
      <w:pPr>
        <w:pStyle w:val="NoSpacing"/>
        <w:ind w:left="720"/>
      </w:pPr>
    </w:p>
    <w:p w14:paraId="056EFAA0" w14:textId="77777777" w:rsidR="00BE2EF9" w:rsidRDefault="00BE2EF9" w:rsidP="00BE2EF9">
      <w:pPr>
        <w:pStyle w:val="NoSpacing"/>
        <w:ind w:left="720"/>
      </w:pPr>
      <w:r>
        <w:t>***</w:t>
      </w:r>
    </w:p>
    <w:p w14:paraId="0D91799C" w14:textId="77777777" w:rsidR="00BE2EF9" w:rsidRDefault="00BE2EF9" w:rsidP="00BE2EF9">
      <w:pPr>
        <w:pStyle w:val="NoSpacing"/>
        <w:ind w:left="720"/>
      </w:pPr>
      <w:r>
        <w:t>T</w:t>
      </w:r>
      <w:r w:rsidRPr="00476B0A">
        <w:t xml:space="preserve">he County and </w:t>
      </w:r>
      <w:proofErr w:type="spellStart"/>
      <w:r w:rsidRPr="00476B0A">
        <w:t>ConFire</w:t>
      </w:r>
      <w:proofErr w:type="spellEnd"/>
      <w:r w:rsidRPr="00476B0A">
        <w:t xml:space="preserve"> appeal from the preliminary injunction order, asserting the trial court improperly determined the County had a ministerial duty to advance only AMR's proposal to the County's Board of Supervisors because it was the </w:t>
      </w:r>
      <w:r>
        <w:t>‘</w:t>
      </w:r>
      <w:proofErr w:type="gramStart"/>
      <w:r w:rsidRPr="00476B0A">
        <w:t>highest-scoring</w:t>
      </w:r>
      <w:proofErr w:type="gramEnd"/>
      <w:r>
        <w:t xml:space="preserve">’ </w:t>
      </w:r>
      <w:r w:rsidRPr="00476B0A">
        <w:t xml:space="preserve">proposal. Further, the County and </w:t>
      </w:r>
      <w:proofErr w:type="spellStart"/>
      <w:r w:rsidRPr="00476B0A">
        <w:t>ConFire</w:t>
      </w:r>
      <w:proofErr w:type="spellEnd"/>
      <w:r w:rsidRPr="00476B0A">
        <w:t xml:space="preserve"> assert the County did not abuse its discretion by advancing both </w:t>
      </w:r>
      <w:proofErr w:type="spellStart"/>
      <w:r w:rsidRPr="00476B0A">
        <w:t>ConFire's</w:t>
      </w:r>
      <w:proofErr w:type="spellEnd"/>
      <w:r w:rsidRPr="00476B0A">
        <w:t xml:space="preserve"> and AMR's proposals to the Board and ultimately selecting </w:t>
      </w:r>
      <w:proofErr w:type="spellStart"/>
      <w:r w:rsidRPr="00476B0A">
        <w:t>ConFire</w:t>
      </w:r>
      <w:proofErr w:type="spellEnd"/>
      <w:r w:rsidRPr="00476B0A">
        <w:t xml:space="preserve"> as the provider.</w:t>
      </w:r>
      <w:r>
        <w:t>”</w:t>
      </w:r>
    </w:p>
    <w:p w14:paraId="20F312F7" w14:textId="77777777" w:rsidR="00BE2EF9" w:rsidRDefault="00BE2EF9" w:rsidP="00BE2EF9">
      <w:pPr>
        <w:pStyle w:val="NoSpacing"/>
        <w:ind w:left="720"/>
      </w:pPr>
    </w:p>
    <w:p w14:paraId="282B5789" w14:textId="77777777" w:rsidR="00BE2EF9" w:rsidRDefault="00BE2EF9" w:rsidP="00BE2EF9">
      <w:pPr>
        <w:pStyle w:val="NoSpacing"/>
        <w:ind w:left="720"/>
      </w:pPr>
      <w:r>
        <w:t>***</w:t>
      </w:r>
    </w:p>
    <w:p w14:paraId="21C9F964" w14:textId="77777777" w:rsidR="00BE2EF9" w:rsidRDefault="00BE2EF9" w:rsidP="00BE2EF9">
      <w:pPr>
        <w:pStyle w:val="NoSpacing"/>
        <w:ind w:left="720"/>
      </w:pPr>
      <w:r>
        <w:t xml:space="preserve">The County received responses to the RFP from AMR and </w:t>
      </w:r>
      <w:proofErr w:type="spellStart"/>
      <w:r>
        <w:t>ConFire</w:t>
      </w:r>
      <w:proofErr w:type="spellEnd"/>
      <w:r>
        <w:t xml:space="preserve">. Four evaluators scored both proposals. Three of the four evaluators gave </w:t>
      </w:r>
      <w:proofErr w:type="spellStart"/>
      <w:r>
        <w:t>ConFire</w:t>
      </w:r>
      <w:proofErr w:type="spellEnd"/>
      <w:r>
        <w:t xml:space="preserve"> a higher score. The total cumulative score for AMR, however, was higher by four points. </w:t>
      </w:r>
      <w:proofErr w:type="spellStart"/>
      <w:r>
        <w:t>ConFire</w:t>
      </w:r>
      <w:proofErr w:type="spellEnd"/>
      <w:r>
        <w:t xml:space="preserve"> received individual scores </w:t>
      </w:r>
      <w:proofErr w:type="gramStart"/>
      <w:r>
        <w:t>of:</w:t>
      </w:r>
      <w:proofErr w:type="gramEnd"/>
      <w:r>
        <w:t xml:space="preserve"> 383, 384, 363 and 385. AMR’s scores were: 373, 419, 346, 381. After the proposals were scored, in June 2023, the County sent a letter to both AMR and </w:t>
      </w:r>
      <w:proofErr w:type="spellStart"/>
      <w:r>
        <w:t>ConFire</w:t>
      </w:r>
      <w:proofErr w:type="spellEnd"/>
      <w:r>
        <w:t xml:space="preserve"> stating that because the scores for both proposers were ‘substantially </w:t>
      </w:r>
      <w:proofErr w:type="gramStart"/>
      <w:r>
        <w:t>equivalent’</w:t>
      </w:r>
      <w:proofErr w:type="gramEnd"/>
      <w:r>
        <w:t xml:space="preserve"> it intended to ‘move forward with </w:t>
      </w:r>
      <w:proofErr w:type="gramStart"/>
      <w:r>
        <w:t xml:space="preserve">negotiations’ </w:t>
      </w:r>
      <w:proofErr w:type="gramEnd"/>
      <w:r>
        <w:t xml:space="preserve"> with both entities.</w:t>
      </w:r>
    </w:p>
    <w:p w14:paraId="5C7123E7" w14:textId="77777777" w:rsidR="00BE2EF9" w:rsidRDefault="00BE2EF9" w:rsidP="00BE2EF9">
      <w:pPr>
        <w:pStyle w:val="NoSpacing"/>
        <w:ind w:left="720"/>
      </w:pPr>
    </w:p>
    <w:p w14:paraId="7B7B460E" w14:textId="77777777" w:rsidR="00BE2EF9" w:rsidRDefault="00BE2EF9" w:rsidP="00BE2EF9">
      <w:pPr>
        <w:pStyle w:val="NoSpacing"/>
        <w:ind w:left="720"/>
      </w:pPr>
      <w:r>
        <w:t>***</w:t>
      </w:r>
    </w:p>
    <w:p w14:paraId="433B91EE" w14:textId="77777777" w:rsidR="00BE2EF9" w:rsidRDefault="00BE2EF9" w:rsidP="00BE2EF9">
      <w:pPr>
        <w:pStyle w:val="NoSpacing"/>
        <w:ind w:left="720"/>
      </w:pPr>
      <w:r>
        <w:t>On November 3, 2023, AMR submitted a letter protesting the County’s decision to advance both proposals to the Board…. On November 28, 2023, the County sent a letter to AMR denying its protest.</w:t>
      </w:r>
    </w:p>
    <w:p w14:paraId="5F5A2144" w14:textId="77777777" w:rsidR="00BE2EF9" w:rsidRDefault="00BE2EF9" w:rsidP="00BE2EF9">
      <w:pPr>
        <w:pStyle w:val="NoSpacing"/>
        <w:ind w:left="720"/>
      </w:pPr>
    </w:p>
    <w:p w14:paraId="1FBB0453" w14:textId="77777777" w:rsidR="00BE2EF9" w:rsidRDefault="00BE2EF9" w:rsidP="00BE2EF9">
      <w:pPr>
        <w:pStyle w:val="NoSpacing"/>
        <w:ind w:left="720"/>
      </w:pPr>
      <w:r>
        <w:t>***</w:t>
      </w:r>
    </w:p>
    <w:p w14:paraId="64A196BA" w14:textId="77777777" w:rsidR="00BE2EF9" w:rsidRDefault="00BE2EF9" w:rsidP="00BE2EF9">
      <w:pPr>
        <w:pStyle w:val="NoSpacing"/>
        <w:ind w:left="720"/>
      </w:pPr>
      <w:r>
        <w:t xml:space="preserve">At a regular meeting of the County’s Board on December 5, 2023, AMR and </w:t>
      </w:r>
      <w:proofErr w:type="spellStart"/>
      <w:r>
        <w:t>ConFire</w:t>
      </w:r>
      <w:proofErr w:type="spellEnd"/>
      <w:r>
        <w:t xml:space="preserve"> each presented their proposals. Thereafter, the Board heard several public comments in support of each proposal, including from representatives of cities within the exclusive operation area for which the RFP was issued. At the conclusion of the hearing, the Board voted to deny AMR’s protest and award the service contract to </w:t>
      </w:r>
      <w:proofErr w:type="spellStart"/>
      <w:r>
        <w:t>ConFire</w:t>
      </w:r>
      <w:proofErr w:type="spellEnd"/>
      <w:r>
        <w:t>.</w:t>
      </w:r>
    </w:p>
    <w:p w14:paraId="26204EB7" w14:textId="77777777" w:rsidR="00BE2EF9" w:rsidRDefault="00BE2EF9" w:rsidP="00BE2EF9">
      <w:pPr>
        <w:pStyle w:val="NoSpacing"/>
        <w:ind w:left="720"/>
      </w:pPr>
    </w:p>
    <w:p w14:paraId="40788099" w14:textId="77777777" w:rsidR="00BE2EF9" w:rsidRDefault="00BE2EF9" w:rsidP="00BE2EF9">
      <w:pPr>
        <w:pStyle w:val="NoSpacing"/>
        <w:ind w:left="720"/>
      </w:pPr>
      <w:r>
        <w:t>***</w:t>
      </w:r>
    </w:p>
    <w:p w14:paraId="69EA374F" w14:textId="77777777" w:rsidR="00BE2EF9" w:rsidRDefault="00BE2EF9" w:rsidP="00BE2EF9">
      <w:pPr>
        <w:pStyle w:val="NoSpacing"/>
        <w:ind w:left="720"/>
      </w:pPr>
      <w:r>
        <w:t xml:space="preserve">In short, the RFP’s plain language provides that the County may negotiate with more than one proposer and that the final determination is left to the discretion of the Board based on the scoring, and the Board’s determination </w:t>
      </w:r>
      <w:r>
        <w:lastRenderedPageBreak/>
        <w:t xml:space="preserve">of the proposer’s ability to meet the needs of the County and provide the best value. Contrary to the trial court’s </w:t>
      </w:r>
      <w:proofErr w:type="gramStart"/>
      <w:r>
        <w:t>finding</w:t>
      </w:r>
      <w:proofErr w:type="gramEnd"/>
      <w:r>
        <w:t>, the RFP does not impose a ministerial duty on the County to negotiate solely with the proposer</w:t>
      </w:r>
    </w:p>
    <w:p w14:paraId="5958C7B6" w14:textId="77777777" w:rsidR="00BE2EF9" w:rsidRDefault="00BE2EF9" w:rsidP="00BE2EF9">
      <w:pPr>
        <w:pStyle w:val="NoSpacing"/>
        <w:ind w:left="720"/>
      </w:pPr>
      <w:r>
        <w:t>who received the highest total score…. Given our conclusion that AMR cannot show a</w:t>
      </w:r>
    </w:p>
    <w:p w14:paraId="3DF26E2E" w14:textId="77777777" w:rsidR="00BE2EF9" w:rsidRDefault="00BE2EF9" w:rsidP="00BE2EF9">
      <w:pPr>
        <w:pStyle w:val="NoSpacing"/>
        <w:ind w:left="720"/>
      </w:pPr>
      <w:r>
        <w:t>likelihood of prevailing on the merits of its mandate claim and the general rule against enjoining public agencies, AMR has not shown that its risk of injury supports the imposition of a preliminary injunction.”</w:t>
      </w:r>
    </w:p>
    <w:p w14:paraId="1879A51E" w14:textId="77777777" w:rsidR="00BE2EF9" w:rsidRDefault="00BE2EF9" w:rsidP="00BE2EF9">
      <w:pPr>
        <w:pStyle w:val="NoSpacing"/>
        <w:ind w:left="720"/>
      </w:pPr>
    </w:p>
    <w:p w14:paraId="0DC0318A" w14:textId="77777777" w:rsidR="00BE2EF9" w:rsidRPr="00E778FA" w:rsidRDefault="00BE2EF9" w:rsidP="00BE2EF9">
      <w:pPr>
        <w:pStyle w:val="NoSpacing"/>
        <w:rPr>
          <w:b/>
          <w:bCs/>
        </w:rPr>
      </w:pPr>
      <w:r>
        <w:rPr>
          <w:b/>
        </w:rPr>
        <w:t xml:space="preserve">Legal lesson learned:  The RFP was clear and Courts </w:t>
      </w:r>
      <w:proofErr w:type="gramStart"/>
      <w:r>
        <w:rPr>
          <w:b/>
        </w:rPr>
        <w:t>as a general rule</w:t>
      </w:r>
      <w:proofErr w:type="gramEnd"/>
      <w:r>
        <w:rPr>
          <w:b/>
        </w:rPr>
        <w:t xml:space="preserve"> oppose issuing injunctions against public agencies. </w:t>
      </w:r>
    </w:p>
    <w:p w14:paraId="2139331B" w14:textId="77777777" w:rsidR="00BE2EF9" w:rsidRDefault="00BE2EF9" w:rsidP="00BE2EF9">
      <w:pPr>
        <w:pStyle w:val="NoSpacing"/>
      </w:pPr>
    </w:p>
    <w:p w14:paraId="04510C60" w14:textId="77777777" w:rsidR="002E2246" w:rsidRDefault="002E2246" w:rsidP="00004498">
      <w:pPr>
        <w:rPr>
          <w:rFonts w:ascii="Arial Black" w:hAnsi="Arial Black"/>
          <w:b/>
          <w:bCs/>
          <w:sz w:val="24"/>
          <w:szCs w:val="24"/>
        </w:rPr>
      </w:pPr>
    </w:p>
    <w:p w14:paraId="269419CB" w14:textId="77777777" w:rsidR="002E2246" w:rsidRDefault="002E2246" w:rsidP="00004498">
      <w:pPr>
        <w:rPr>
          <w:rFonts w:ascii="Arial Black" w:hAnsi="Arial Black"/>
          <w:b/>
          <w:bCs/>
          <w:sz w:val="24"/>
          <w:szCs w:val="24"/>
        </w:rPr>
      </w:pPr>
    </w:p>
    <w:p w14:paraId="1D9CFB54" w14:textId="0A5DDDB2" w:rsidR="00BE2EF9" w:rsidRDefault="008E7464" w:rsidP="00004498">
      <w:pPr>
        <w:rPr>
          <w:rFonts w:ascii="Arial Black" w:hAnsi="Arial Black"/>
          <w:b/>
          <w:bCs/>
          <w:sz w:val="24"/>
          <w:szCs w:val="24"/>
        </w:rPr>
      </w:pPr>
      <w:r>
        <w:rPr>
          <w:rFonts w:ascii="Arial Black" w:hAnsi="Arial Black"/>
          <w:b/>
          <w:bCs/>
          <w:sz w:val="24"/>
          <w:szCs w:val="24"/>
        </w:rPr>
        <w:t>13-</w:t>
      </w:r>
      <w:r w:rsidR="002E2246">
        <w:rPr>
          <w:rFonts w:ascii="Arial Black" w:hAnsi="Arial Black"/>
          <w:b/>
          <w:bCs/>
          <w:sz w:val="24"/>
          <w:szCs w:val="24"/>
        </w:rPr>
        <w:t>23</w:t>
      </w:r>
      <w:r w:rsidR="00524647">
        <w:rPr>
          <w:rFonts w:ascii="Arial Black" w:hAnsi="Arial Black"/>
          <w:b/>
          <w:bCs/>
          <w:sz w:val="24"/>
          <w:szCs w:val="24"/>
        </w:rPr>
        <w:t>7</w:t>
      </w:r>
    </w:p>
    <w:p w14:paraId="67E1B4F5" w14:textId="77777777" w:rsidR="00907B6A" w:rsidRDefault="00907B6A" w:rsidP="00004498">
      <w:pPr>
        <w:rPr>
          <w:rFonts w:ascii="Arial Black" w:hAnsi="Arial Black"/>
          <w:b/>
          <w:bCs/>
          <w:sz w:val="24"/>
          <w:szCs w:val="24"/>
        </w:rPr>
      </w:pPr>
    </w:p>
    <w:p w14:paraId="426FE7A2" w14:textId="77777777" w:rsidR="00907B6A" w:rsidRPr="00737DC2" w:rsidRDefault="00907B6A" w:rsidP="00907B6A">
      <w:pPr>
        <w:pStyle w:val="NoSpacing"/>
        <w:rPr>
          <w:rFonts w:ascii="Arial Black" w:hAnsi="Arial Black"/>
          <w:sz w:val="28"/>
          <w:szCs w:val="28"/>
        </w:rPr>
      </w:pPr>
      <w:r>
        <w:rPr>
          <w:rFonts w:ascii="Arial Black" w:hAnsi="Arial Black"/>
          <w:sz w:val="28"/>
          <w:szCs w:val="28"/>
        </w:rPr>
        <w:t xml:space="preserve">UT: EMS – SUES INSUR. CO. NOT PAYING STATE RATES </w:t>
      </w:r>
    </w:p>
    <w:p w14:paraId="5A161CFF" w14:textId="77777777" w:rsidR="00907B6A" w:rsidRDefault="00907B6A" w:rsidP="00907B6A">
      <w:pPr>
        <w:pStyle w:val="NoSpacing"/>
      </w:pPr>
    </w:p>
    <w:p w14:paraId="1D63591A" w14:textId="77777777" w:rsidR="00907B6A" w:rsidRDefault="00907B6A" w:rsidP="00907B6A">
      <w:pPr>
        <w:rPr>
          <w:b/>
        </w:rPr>
      </w:pPr>
      <w:r>
        <w:t xml:space="preserve">On December 12, 2025, </w:t>
      </w:r>
      <w:proofErr w:type="gramStart"/>
      <w:r>
        <w:t>in</w:t>
      </w:r>
      <w:proofErr w:type="gramEnd"/>
      <w:r>
        <w:t xml:space="preserve"> </w:t>
      </w:r>
      <w:r w:rsidRPr="005A464F">
        <w:rPr>
          <w:u w:val="single"/>
        </w:rPr>
        <w:t>Gold Cross Services, Inc. v</w:t>
      </w:r>
      <w:r>
        <w:rPr>
          <w:u w:val="single"/>
        </w:rPr>
        <w:t xml:space="preserve">. </w:t>
      </w:r>
      <w:r w:rsidRPr="005A464F">
        <w:rPr>
          <w:u w:val="single"/>
        </w:rPr>
        <w:t>The Cigna Group</w:t>
      </w:r>
      <w:r>
        <w:t xml:space="preserve">, U.S. District court Judge  Dale A. Kimball, </w:t>
      </w:r>
      <w:r w:rsidRPr="0057656F">
        <w:t>United States District Court, D. Utah</w:t>
      </w:r>
      <w:r>
        <w:t xml:space="preserve">, denied The Cigna Group’s motion to dismiss; the EMS services provided by Gold Cross to patients insured by Cigna were billed at State levels, and Cigna’s not paying full price is a breach of the “implied contract” claim.  As of July 1, </w:t>
      </w:r>
      <w:proofErr w:type="gramStart"/>
      <w:r>
        <w:t>2024</w:t>
      </w:r>
      <w:proofErr w:type="gramEnd"/>
      <w:r>
        <w:t xml:space="preserve"> the state’s </w:t>
      </w:r>
      <w:r w:rsidRPr="004F491B">
        <w:t>maximum ambulance base rate permitted for EMT services is $1,176.11, for</w:t>
      </w:r>
      <w:r>
        <w:t xml:space="preserve"> </w:t>
      </w:r>
      <w:r w:rsidRPr="004F491B">
        <w:t>AEMT services is $1,552.68, and for Paramedic services is $2,270.22. See Utah Admin. Code</w:t>
      </w:r>
      <w:r>
        <w:t xml:space="preserve"> </w:t>
      </w:r>
      <w:r w:rsidRPr="004F491B">
        <w:t>R911-8-200(6)</w:t>
      </w:r>
      <w:r>
        <w:t xml:space="preserve">.   The Cigna Group’s counterclaim of “up charging” is dismissed since they failed to provide any proof of a charge over the state’s rates (reviewed 50 claims and alleged </w:t>
      </w:r>
      <w:r w:rsidRPr="00FC6A24">
        <w:t>$406, 328.73 in overbillings</w:t>
      </w:r>
      <w:r>
        <w:t xml:space="preserve">.  Case will now go to pre-trial discovery. </w:t>
      </w:r>
      <w:hyperlink r:id="rId1941" w:history="1">
        <w:r w:rsidRPr="00AE4181">
          <w:rPr>
            <w:rStyle w:val="Hyperlink"/>
            <w:b/>
          </w:rPr>
          <w:t>https://cases.justia.com/federal/district-courts/utah/utdce/2:2025cv00111/154289/32/0.pdf?ts=1765634947</w:t>
        </w:r>
      </w:hyperlink>
      <w:r>
        <w:rPr>
          <w:b/>
        </w:rPr>
        <w:t xml:space="preserve"> </w:t>
      </w:r>
    </w:p>
    <w:p w14:paraId="075DF498" w14:textId="77777777" w:rsidR="00907B6A" w:rsidRDefault="00907B6A" w:rsidP="00907B6A">
      <w:pPr>
        <w:pStyle w:val="NoSpacing"/>
        <w:rPr>
          <w:bCs/>
        </w:rPr>
      </w:pPr>
      <w:r>
        <w:t xml:space="preserve"> THE COURT HELD:</w:t>
      </w:r>
    </w:p>
    <w:p w14:paraId="3A7D1CE6" w14:textId="77777777" w:rsidR="00907B6A" w:rsidRDefault="00907B6A" w:rsidP="00907B6A">
      <w:pPr>
        <w:pStyle w:val="NoSpacing"/>
        <w:rPr>
          <w:bCs/>
        </w:rPr>
      </w:pPr>
    </w:p>
    <w:p w14:paraId="6CCA6770" w14:textId="77777777" w:rsidR="00907B6A" w:rsidRPr="008544FB" w:rsidRDefault="00907B6A" w:rsidP="00907B6A">
      <w:pPr>
        <w:pStyle w:val="NoSpacing"/>
        <w:ind w:left="720"/>
        <w:rPr>
          <w:bCs/>
        </w:rPr>
      </w:pPr>
      <w:r>
        <w:t>“</w:t>
      </w:r>
      <w:r w:rsidRPr="008544FB">
        <w:t>Under this regulatory framework, an ambulance provider may not charge more than the</w:t>
      </w:r>
    </w:p>
    <w:p w14:paraId="2BEF2342" w14:textId="77777777" w:rsidR="00907B6A" w:rsidRDefault="00907B6A" w:rsidP="00907B6A">
      <w:pPr>
        <w:pStyle w:val="NoSpacing"/>
        <w:ind w:left="720"/>
        <w:rPr>
          <w:bCs/>
        </w:rPr>
      </w:pPr>
      <w:r w:rsidRPr="008544FB">
        <w:t xml:space="preserve">maximum base rate for </w:t>
      </w:r>
      <w:proofErr w:type="gramStart"/>
      <w:r w:rsidRPr="008544FB">
        <w:t>an ambulance</w:t>
      </w:r>
      <w:proofErr w:type="gramEnd"/>
      <w:r w:rsidRPr="008544FB">
        <w:t xml:space="preserve"> transfer and may not include costs for procedures or</w:t>
      </w:r>
      <w:r>
        <w:t xml:space="preserve"> </w:t>
      </w:r>
      <w:r w:rsidRPr="008544FB">
        <w:t xml:space="preserve">medications administered to patients </w:t>
      </w:r>
      <w:proofErr w:type="gramStart"/>
      <w:r w:rsidRPr="008544FB">
        <w:t>in</w:t>
      </w:r>
      <w:proofErr w:type="gramEnd"/>
      <w:r w:rsidRPr="008544FB">
        <w:t xml:space="preserve"> that base rate. Utah’s regulatory framework also</w:t>
      </w:r>
      <w:r>
        <w:t xml:space="preserve"> </w:t>
      </w:r>
      <w:r w:rsidRPr="008544FB">
        <w:t xml:space="preserve">recognizes that ambulance providers may incur additional costs during ambulance </w:t>
      </w:r>
      <w:proofErr w:type="gramStart"/>
      <w:r w:rsidRPr="008544FB">
        <w:t>transports</w:t>
      </w:r>
      <w:proofErr w:type="gramEnd"/>
      <w:r>
        <w:t xml:space="preserve"> </w:t>
      </w:r>
      <w:r w:rsidRPr="008544FB">
        <w:t>beyond what is covered by the maximum base rates. To account for these costs, an ambulance</w:t>
      </w:r>
      <w:r>
        <w:t xml:space="preserve"> </w:t>
      </w:r>
      <w:r w:rsidRPr="008544FB">
        <w:t>provider may charge for mileage, supplies, and medications as prescribed by law in addition to</w:t>
      </w:r>
      <w:r>
        <w:t xml:space="preserve"> </w:t>
      </w:r>
      <w:r w:rsidRPr="008544FB">
        <w:t>the base rate.</w:t>
      </w:r>
    </w:p>
    <w:p w14:paraId="1028604A" w14:textId="77777777" w:rsidR="00907B6A" w:rsidRDefault="00907B6A" w:rsidP="00907B6A">
      <w:pPr>
        <w:pStyle w:val="NoSpacing"/>
        <w:ind w:left="720"/>
        <w:rPr>
          <w:bCs/>
        </w:rPr>
      </w:pPr>
    </w:p>
    <w:p w14:paraId="7802AB08" w14:textId="77777777" w:rsidR="00907B6A" w:rsidRDefault="00907B6A" w:rsidP="00907B6A">
      <w:pPr>
        <w:pStyle w:val="NoSpacing"/>
        <w:ind w:left="720"/>
        <w:rPr>
          <w:bCs/>
        </w:rPr>
      </w:pPr>
      <w:r>
        <w:t>***</w:t>
      </w:r>
    </w:p>
    <w:p w14:paraId="19683BEF" w14:textId="77777777" w:rsidR="00907B6A" w:rsidRDefault="00907B6A" w:rsidP="00907B6A">
      <w:pPr>
        <w:pStyle w:val="NoSpacing"/>
        <w:ind w:left="720"/>
        <w:rPr>
          <w:bCs/>
        </w:rPr>
      </w:pPr>
    </w:p>
    <w:p w14:paraId="4ECFF433" w14:textId="77777777" w:rsidR="00907B6A" w:rsidRDefault="00907B6A" w:rsidP="00907B6A">
      <w:pPr>
        <w:pStyle w:val="NoSpacing"/>
        <w:ind w:left="720"/>
      </w:pPr>
      <w:r>
        <w:t xml:space="preserve">Utah law provides a rate for ambulance transport that is charged regardless of which HCPCS code is used. The statutory rate is what Gold Cross is entitled to charge. While Cigna claims that the use of certain HCPCS codes caused Cigna to incorrectly evaluate the claim under the respective insured’s policy, this is Cigna’s own </w:t>
      </w:r>
      <w:proofErr w:type="gramStart"/>
      <w:r>
        <w:t>mistake</w:t>
      </w:r>
      <w:proofErr w:type="gramEnd"/>
      <w:r>
        <w:t xml:space="preserve"> and it stems from Cigna’s failure to account for Utah’s statutory framework. Utah’s regulatory</w:t>
      </w:r>
    </w:p>
    <w:p w14:paraId="1AD82118" w14:textId="77777777" w:rsidR="00907B6A" w:rsidRDefault="00907B6A" w:rsidP="00907B6A">
      <w:pPr>
        <w:pStyle w:val="NoSpacing"/>
        <w:ind w:left="720"/>
      </w:pPr>
      <w:r>
        <w:t>framework allows ambulance providers to bill at the level of service dispatched, not the level of service rendered.</w:t>
      </w:r>
    </w:p>
    <w:p w14:paraId="707A6404" w14:textId="77777777" w:rsidR="00907B6A" w:rsidRDefault="00907B6A" w:rsidP="00907B6A">
      <w:pPr>
        <w:pStyle w:val="NoSpacing"/>
        <w:ind w:left="720"/>
      </w:pPr>
    </w:p>
    <w:p w14:paraId="225BE68A" w14:textId="77777777" w:rsidR="00907B6A" w:rsidRDefault="00907B6A" w:rsidP="00907B6A">
      <w:pPr>
        <w:pStyle w:val="NoSpacing"/>
        <w:ind w:left="720"/>
      </w:pPr>
      <w:r>
        <w:t>***</w:t>
      </w:r>
    </w:p>
    <w:p w14:paraId="3AA803FD" w14:textId="77777777" w:rsidR="00907B6A" w:rsidRDefault="00907B6A" w:rsidP="00907B6A">
      <w:pPr>
        <w:pStyle w:val="NoSpacing"/>
      </w:pPr>
    </w:p>
    <w:p w14:paraId="5AADE22A" w14:textId="77777777" w:rsidR="00907B6A" w:rsidRDefault="00907B6A" w:rsidP="00907B6A">
      <w:pPr>
        <w:pStyle w:val="NoSpacing"/>
        <w:ind w:left="720"/>
      </w:pPr>
      <w:r>
        <w:t xml:space="preserve">However, Cigna fails to appreciate that these duties [to pay state’s rates] were alleged to have been breached when Cigna inconsistently assigned different allowed amounts for the exact same HCPCS code and ambulance service. These duties were also allegedly breached when Cigna refused to consider Utah’s statutory framework </w:t>
      </w:r>
      <w:r>
        <w:lastRenderedPageBreak/>
        <w:t xml:space="preserve">when evaluating claims. As a result, Cigna has assigned different allowed amounts to identical HCPCS codes that are less than what are customary under Utah law. The parties can explore these duties and the alleged factual allegations in discovery. At the motion to dismiss stage, Gold Cross’ allegations are sufficiently </w:t>
      </w:r>
      <w:proofErr w:type="gramStart"/>
      <w:r>
        <w:t>pled</w:t>
      </w:r>
      <w:proofErr w:type="gramEnd"/>
      <w:r>
        <w:t xml:space="preserve">. The court, therefore, denies Cigna’s motion to dismiss the claim.”  </w:t>
      </w:r>
    </w:p>
    <w:p w14:paraId="5BCA5C9E" w14:textId="77777777" w:rsidR="00907B6A" w:rsidRDefault="00907B6A" w:rsidP="00907B6A">
      <w:pPr>
        <w:pStyle w:val="NoSpacing"/>
        <w:ind w:left="720"/>
      </w:pPr>
    </w:p>
    <w:p w14:paraId="7D5000CC" w14:textId="77777777" w:rsidR="00907B6A" w:rsidRDefault="00907B6A" w:rsidP="00907B6A">
      <w:pPr>
        <w:pStyle w:val="NoSpacing"/>
        <w:rPr>
          <w:b/>
        </w:rPr>
      </w:pPr>
      <w:r>
        <w:rPr>
          <w:b/>
        </w:rPr>
        <w:t xml:space="preserve">Legal lesson learned:  Pre-trial discovery will focus on any evidence of “up charging: by the ambulance company. </w:t>
      </w:r>
    </w:p>
    <w:p w14:paraId="58D36FAB" w14:textId="77777777" w:rsidR="00907B6A" w:rsidRDefault="00907B6A" w:rsidP="00004498">
      <w:pPr>
        <w:rPr>
          <w:rFonts w:ascii="Arial Black" w:hAnsi="Arial Black"/>
          <w:b/>
          <w:bCs/>
          <w:sz w:val="24"/>
          <w:szCs w:val="24"/>
        </w:rPr>
      </w:pPr>
    </w:p>
    <w:p w14:paraId="38E76735" w14:textId="7169D20F" w:rsidR="002C0B2A" w:rsidRDefault="002C0B2A" w:rsidP="00004498">
      <w:pPr>
        <w:rPr>
          <w:rFonts w:ascii="Arial Black" w:hAnsi="Arial Black"/>
          <w:b/>
          <w:bCs/>
          <w:sz w:val="24"/>
          <w:szCs w:val="24"/>
        </w:rPr>
      </w:pPr>
      <w:r>
        <w:rPr>
          <w:rFonts w:ascii="Arial Black" w:hAnsi="Arial Black"/>
          <w:b/>
          <w:bCs/>
          <w:sz w:val="24"/>
          <w:szCs w:val="24"/>
        </w:rPr>
        <w:t xml:space="preserve">13 – </w:t>
      </w:r>
      <w:r w:rsidR="00C16AA1">
        <w:rPr>
          <w:rFonts w:ascii="Arial Black" w:hAnsi="Arial Black"/>
          <w:b/>
          <w:bCs/>
          <w:sz w:val="24"/>
          <w:szCs w:val="24"/>
        </w:rPr>
        <w:t>23</w:t>
      </w:r>
      <w:r w:rsidR="00524647">
        <w:rPr>
          <w:rFonts w:ascii="Arial Black" w:hAnsi="Arial Black"/>
          <w:b/>
          <w:bCs/>
          <w:sz w:val="24"/>
          <w:szCs w:val="24"/>
        </w:rPr>
        <w:t>6</w:t>
      </w:r>
    </w:p>
    <w:p w14:paraId="2E2DE977" w14:textId="0A045C59" w:rsidR="002C0B2A" w:rsidRPr="008743D2" w:rsidRDefault="002C0B2A" w:rsidP="002C0B2A">
      <w:pPr>
        <w:rPr>
          <w:rFonts w:ascii="Arial Black" w:hAnsi="Arial Black"/>
          <w:b/>
          <w:sz w:val="28"/>
          <w:szCs w:val="28"/>
        </w:rPr>
      </w:pPr>
      <w:r>
        <w:rPr>
          <w:rFonts w:ascii="Arial Black" w:hAnsi="Arial Black"/>
          <w:b/>
          <w:sz w:val="28"/>
          <w:szCs w:val="28"/>
        </w:rPr>
        <w:t xml:space="preserve">MI: </w:t>
      </w:r>
      <w:r w:rsidR="002720DE">
        <w:rPr>
          <w:rFonts w:ascii="Arial Black" w:hAnsi="Arial Black"/>
          <w:b/>
          <w:sz w:val="28"/>
          <w:szCs w:val="28"/>
        </w:rPr>
        <w:t>DEFENDANT</w:t>
      </w:r>
      <w:r>
        <w:rPr>
          <w:rFonts w:ascii="Arial Black" w:hAnsi="Arial Black"/>
          <w:b/>
          <w:sz w:val="28"/>
          <w:szCs w:val="28"/>
        </w:rPr>
        <w:t xml:space="preserve"> IMPERSONATED EMT / FOOTBALL – CHILD PORN</w:t>
      </w:r>
    </w:p>
    <w:p w14:paraId="32625292" w14:textId="77777777" w:rsidR="002C0B2A" w:rsidRDefault="002C0B2A" w:rsidP="002C0B2A">
      <w:r>
        <w:t xml:space="preserve">On December 10, 2025, in </w:t>
      </w:r>
      <w:r w:rsidRPr="00A17D21">
        <w:rPr>
          <w:u w:val="single"/>
        </w:rPr>
        <w:t>United States of America v. Scott A. Lantzy</w:t>
      </w:r>
      <w:r>
        <w:t xml:space="preserve">, U.S. District Court Judge </w:t>
      </w:r>
      <w:r w:rsidRPr="00E8243B">
        <w:t>Thomas L. Ludington</w:t>
      </w:r>
      <w:r>
        <w:t xml:space="preserve">, </w:t>
      </w:r>
      <w:r w:rsidRPr="00DB542E">
        <w:t>United States District Court, E.D. Michigan, Northern Division</w:t>
      </w:r>
      <w:r>
        <w:t xml:space="preserve">. Denied new trial for the convicted child pornographer.  </w:t>
      </w:r>
      <w:r w:rsidRPr="002925B6">
        <w:t>On October 26, 2021, a jury convicted Defendant on all five counts</w:t>
      </w:r>
      <w:r>
        <w:t xml:space="preserve">, and he </w:t>
      </w:r>
      <w:r w:rsidRPr="002925B6">
        <w:t>was sentenced to 235 months of imprisonment, followed by a lifetime term</w:t>
      </w:r>
      <w:r>
        <w:t xml:space="preserve"> </w:t>
      </w:r>
      <w:r w:rsidRPr="002925B6">
        <w:t xml:space="preserve">of supervised release. </w:t>
      </w:r>
      <w:r>
        <w:t xml:space="preserve">On </w:t>
      </w:r>
      <w:r w:rsidRPr="002925B6">
        <w:t>October 4, 2023, the United States Court of Appeals for the Sixth Circuit affirmed his</w:t>
      </w:r>
      <w:r>
        <w:t xml:space="preserve"> </w:t>
      </w:r>
      <w:r w:rsidRPr="002925B6">
        <w:t xml:space="preserve">conviction. </w:t>
      </w:r>
      <w:r>
        <w:t xml:space="preserve">Two years after his </w:t>
      </w:r>
      <w:proofErr w:type="gramStart"/>
      <w:r>
        <w:t>trial, that</w:t>
      </w:r>
      <w:proofErr w:type="gramEnd"/>
      <w:r>
        <w:t xml:space="preserve"> he had ineffective defense attorney. </w:t>
      </w:r>
      <w:hyperlink r:id="rId1942" w:history="1">
        <w:r w:rsidRPr="00AE4181">
          <w:rPr>
            <w:rStyle w:val="Hyperlink"/>
          </w:rPr>
          <w:t>https://www.govinfo.gov/content/pkg/USCOURTS-mied-1_19-cr-20167/pdf/USCOURTS-mied-1_19-cr-20167-2.pdf</w:t>
        </w:r>
      </w:hyperlink>
      <w:r>
        <w:t xml:space="preserve"> </w:t>
      </w:r>
    </w:p>
    <w:p w14:paraId="01068ACD" w14:textId="77777777" w:rsidR="002C0B2A" w:rsidRDefault="002C0B2A" w:rsidP="002C0B2A">
      <w:r>
        <w:t>THE COURT HELD:</w:t>
      </w:r>
    </w:p>
    <w:p w14:paraId="73079331" w14:textId="77777777" w:rsidR="002C0B2A" w:rsidRPr="00096EC3" w:rsidRDefault="002C0B2A" w:rsidP="002C0B2A">
      <w:pPr>
        <w:pStyle w:val="NoSpacing"/>
        <w:ind w:firstLine="720"/>
      </w:pPr>
      <w:r>
        <w:t>“</w:t>
      </w:r>
      <w:r w:rsidRPr="00096EC3">
        <w:t>In 2018, Defendant Scott A. Lantzy impersonated an Emergency Medical Technician</w:t>
      </w:r>
    </w:p>
    <w:p w14:paraId="04A6ABE7" w14:textId="77777777" w:rsidR="002C0B2A" w:rsidRDefault="002C0B2A" w:rsidP="002C0B2A">
      <w:pPr>
        <w:pStyle w:val="NoSpacing"/>
        <w:ind w:left="720"/>
      </w:pPr>
      <w:r w:rsidRPr="00096EC3">
        <w:t>(EMT) at a high school football game</w:t>
      </w:r>
      <w:r>
        <w:t xml:space="preserve">…. </w:t>
      </w:r>
      <w:r w:rsidRPr="00096EC3">
        <w:t>In so doing, Defendant pretended to assist a player who had broken</w:t>
      </w:r>
      <w:r>
        <w:t xml:space="preserve"> </w:t>
      </w:r>
      <w:r w:rsidRPr="00096EC3">
        <w:t>his leg during that game and then followed him to the hospital</w:t>
      </w:r>
      <w:r>
        <w:t xml:space="preserve">…. </w:t>
      </w:r>
      <w:r w:rsidRPr="00096EC3">
        <w:t xml:space="preserve">  Once at the hospital, Defendant</w:t>
      </w:r>
      <w:r>
        <w:t xml:space="preserve"> ‘</w:t>
      </w:r>
      <w:r w:rsidRPr="00096EC3">
        <w:t>remained in the player’s</w:t>
      </w:r>
      <w:r>
        <w:t>’</w:t>
      </w:r>
      <w:r w:rsidRPr="00096EC3">
        <w:t xml:space="preserve"> room </w:t>
      </w:r>
      <w:r>
        <w:t>‘</w:t>
      </w:r>
      <w:r w:rsidRPr="00096EC3">
        <w:t>for over two hours before he was identified as an imposter.</w:t>
      </w:r>
      <w:r>
        <w:t>’</w:t>
      </w:r>
    </w:p>
    <w:p w14:paraId="091D678E" w14:textId="77777777" w:rsidR="002C0B2A" w:rsidRDefault="002C0B2A" w:rsidP="002C0B2A">
      <w:pPr>
        <w:pStyle w:val="NoSpacing"/>
        <w:ind w:left="720"/>
      </w:pPr>
    </w:p>
    <w:p w14:paraId="481A73A0" w14:textId="77777777" w:rsidR="002C0B2A" w:rsidRDefault="002C0B2A" w:rsidP="002C0B2A">
      <w:pPr>
        <w:pStyle w:val="NoSpacing"/>
        <w:ind w:left="720"/>
      </w:pPr>
      <w:r>
        <w:t>***</w:t>
      </w:r>
    </w:p>
    <w:p w14:paraId="39D28E14" w14:textId="77777777" w:rsidR="002C0B2A" w:rsidRPr="004C1AF9" w:rsidRDefault="002C0B2A" w:rsidP="002C0B2A">
      <w:pPr>
        <w:pStyle w:val="NoSpacing"/>
        <w:ind w:firstLine="720"/>
      </w:pPr>
      <w:r w:rsidRPr="004C1AF9">
        <w:t>As a part of the investigation into the EMT incident, law enforcement learned that before</w:t>
      </w:r>
    </w:p>
    <w:p w14:paraId="5DA15DA5" w14:textId="77777777" w:rsidR="002C0B2A" w:rsidRDefault="002C0B2A" w:rsidP="002C0B2A">
      <w:pPr>
        <w:pStyle w:val="NoSpacing"/>
        <w:ind w:left="720"/>
      </w:pPr>
      <w:r w:rsidRPr="004C1AF9">
        <w:t xml:space="preserve">that, Defendant had </w:t>
      </w:r>
      <w:r>
        <w:t>‘</w:t>
      </w:r>
      <w:r w:rsidRPr="004C1AF9">
        <w:t>developed a close relationship with another student.</w:t>
      </w:r>
      <w:r>
        <w:t xml:space="preserve">’ … </w:t>
      </w:r>
      <w:r w:rsidRPr="004C1AF9">
        <w:t>Defendant gave the</w:t>
      </w:r>
      <w:r>
        <w:t xml:space="preserve"> </w:t>
      </w:r>
      <w:r w:rsidRPr="004C1AF9">
        <w:t xml:space="preserve">student gifts and </w:t>
      </w:r>
      <w:r>
        <w:t>‘</w:t>
      </w:r>
      <w:r w:rsidRPr="004C1AF9">
        <w:t>asked the student and his friend to house sit for several days.</w:t>
      </w:r>
      <w:r>
        <w:t>’…</w:t>
      </w:r>
      <w:r w:rsidRPr="004C1AF9">
        <w:t>When the</w:t>
      </w:r>
      <w:r>
        <w:t xml:space="preserve"> </w:t>
      </w:r>
      <w:r w:rsidRPr="004C1AF9">
        <w:t>student agreed, Defendant gave him a camera and directed him to take pictures of what he and his</w:t>
      </w:r>
      <w:r>
        <w:t xml:space="preserve"> </w:t>
      </w:r>
      <w:r w:rsidRPr="004C1AF9">
        <w:t>friend did while housesitting</w:t>
      </w:r>
      <w:r>
        <w:t xml:space="preserve">…. </w:t>
      </w:r>
      <w:r w:rsidRPr="004C1AF9">
        <w:t>Defendant then texted the student daily to see if he had taken</w:t>
      </w:r>
      <w:r>
        <w:t xml:space="preserve"> </w:t>
      </w:r>
      <w:r w:rsidRPr="004C1AF9">
        <w:t xml:space="preserve">pictures and responded to one picture that it was </w:t>
      </w:r>
      <w:r>
        <w:t>‘</w:t>
      </w:r>
      <w:r w:rsidRPr="004C1AF9">
        <w:t>nice to see that</w:t>
      </w:r>
      <w:r>
        <w:t>’</w:t>
      </w:r>
      <w:r w:rsidRPr="004C1AF9">
        <w:t xml:space="preserve"> the student and his friend were</w:t>
      </w:r>
      <w:r>
        <w:t xml:space="preserve"> </w:t>
      </w:r>
      <w:r w:rsidRPr="00560EE7">
        <w:t>clothed</w:t>
      </w:r>
      <w:r>
        <w:t xml:space="preserve">…. </w:t>
      </w:r>
      <w:r w:rsidRPr="00560EE7">
        <w:t xml:space="preserve">In addition to that line of text messages, Defendant discussed </w:t>
      </w:r>
      <w:r>
        <w:t>‘</w:t>
      </w:r>
      <w:r w:rsidRPr="00560EE7">
        <w:t>sex</w:t>
      </w:r>
      <w:r>
        <w:t xml:space="preserve"> </w:t>
      </w:r>
      <w:r w:rsidRPr="00560EE7">
        <w:t>with the student.</w:t>
      </w:r>
      <w:r>
        <w:t>’</w:t>
      </w:r>
    </w:p>
    <w:p w14:paraId="12926E9E" w14:textId="77777777" w:rsidR="002C0B2A" w:rsidRDefault="002C0B2A" w:rsidP="002C0B2A">
      <w:pPr>
        <w:pStyle w:val="NoSpacing"/>
        <w:ind w:left="720"/>
      </w:pPr>
    </w:p>
    <w:p w14:paraId="16AA578D" w14:textId="77777777" w:rsidR="002C0B2A" w:rsidRDefault="002C0B2A" w:rsidP="002C0B2A">
      <w:pPr>
        <w:pStyle w:val="NoSpacing"/>
        <w:ind w:left="720"/>
      </w:pPr>
      <w:r>
        <w:t>***</w:t>
      </w:r>
    </w:p>
    <w:p w14:paraId="1FED7FE3" w14:textId="77777777" w:rsidR="002C0B2A" w:rsidRDefault="002C0B2A" w:rsidP="002C0B2A">
      <w:pPr>
        <w:pStyle w:val="NoSpacing"/>
        <w:ind w:left="720"/>
      </w:pPr>
      <w:r>
        <w:t xml:space="preserve">In sum, Defendant’s Motion is time-barred. Defendant moved for a new trial over two years after his 14-day deadline under Criminal Rule 33. And he does not </w:t>
      </w:r>
      <w:proofErr w:type="gramStart"/>
      <w:r>
        <w:t>argue—nor could he—</w:t>
      </w:r>
      <w:proofErr w:type="gramEnd"/>
      <w:r>
        <w:t xml:space="preserve">that this inordinate delay was the product of excusable neglect. As a result, Defendant’s Motion for a New Trial, ECF No. 125, will be </w:t>
      </w:r>
      <w:proofErr w:type="gramStart"/>
      <w:r>
        <w:t>denied.”</w:t>
      </w:r>
      <w:proofErr w:type="gramEnd"/>
    </w:p>
    <w:p w14:paraId="754FDBC3" w14:textId="77777777" w:rsidR="002C0B2A" w:rsidRDefault="002C0B2A" w:rsidP="002C0B2A">
      <w:pPr>
        <w:pStyle w:val="NoSpacing"/>
        <w:ind w:left="720"/>
      </w:pPr>
    </w:p>
    <w:p w14:paraId="13AEBFCE" w14:textId="77777777" w:rsidR="002C0B2A" w:rsidRPr="002B074F" w:rsidRDefault="002C0B2A" w:rsidP="002C0B2A">
      <w:pPr>
        <w:pStyle w:val="NoSpacing"/>
        <w:rPr>
          <w:b/>
          <w:bCs/>
        </w:rPr>
      </w:pPr>
      <w:r>
        <w:rPr>
          <w:b/>
        </w:rPr>
        <w:t>Legal lesson learned:  C</w:t>
      </w:r>
      <w:r w:rsidRPr="00EA74B9">
        <w:rPr>
          <w:b/>
        </w:rPr>
        <w:t>hild pornography</w:t>
      </w:r>
      <w:r>
        <w:rPr>
          <w:b/>
        </w:rPr>
        <w:t xml:space="preserve"> is a terrible offense; impersonating an EMT in pursuit of children is particularly offense. </w:t>
      </w:r>
    </w:p>
    <w:p w14:paraId="3200EDF8" w14:textId="77777777" w:rsidR="002C0B2A" w:rsidRDefault="002C0B2A" w:rsidP="002C0B2A">
      <w:pPr>
        <w:rPr>
          <w:b/>
        </w:rPr>
      </w:pPr>
    </w:p>
    <w:p w14:paraId="330B028C" w14:textId="07A80247" w:rsidR="002C0B2A" w:rsidRDefault="00182433" w:rsidP="00004498">
      <w:pPr>
        <w:rPr>
          <w:rFonts w:ascii="Arial Black" w:hAnsi="Arial Black"/>
          <w:b/>
          <w:bCs/>
          <w:sz w:val="24"/>
          <w:szCs w:val="24"/>
        </w:rPr>
      </w:pPr>
      <w:r>
        <w:rPr>
          <w:rFonts w:ascii="Arial Black" w:hAnsi="Arial Black"/>
          <w:b/>
          <w:bCs/>
          <w:sz w:val="24"/>
          <w:szCs w:val="24"/>
        </w:rPr>
        <w:t>13-</w:t>
      </w:r>
      <w:r w:rsidR="00C16AA1">
        <w:rPr>
          <w:rFonts w:ascii="Arial Black" w:hAnsi="Arial Black"/>
          <w:b/>
          <w:bCs/>
          <w:sz w:val="24"/>
          <w:szCs w:val="24"/>
        </w:rPr>
        <w:t>23</w:t>
      </w:r>
      <w:r w:rsidR="00524647">
        <w:rPr>
          <w:rFonts w:ascii="Arial Black" w:hAnsi="Arial Black"/>
          <w:b/>
          <w:bCs/>
          <w:sz w:val="24"/>
          <w:szCs w:val="24"/>
        </w:rPr>
        <w:t>5</w:t>
      </w:r>
    </w:p>
    <w:p w14:paraId="79D99B97" w14:textId="60410BC3" w:rsidR="009F725F" w:rsidRDefault="009F725F" w:rsidP="009F725F">
      <w:pPr>
        <w:rPr>
          <w:rFonts w:ascii="Arial Black" w:hAnsi="Arial Black"/>
          <w:bCs/>
          <w:sz w:val="28"/>
          <w:szCs w:val="28"/>
        </w:rPr>
      </w:pPr>
      <w:r>
        <w:rPr>
          <w:rFonts w:ascii="Arial Black" w:hAnsi="Arial Black"/>
          <w:sz w:val="28"/>
          <w:szCs w:val="28"/>
        </w:rPr>
        <w:t>GA: AGITATED PT – VERSED / PRONE / DIED – QUAL IMMUN</w:t>
      </w:r>
      <w:r w:rsidR="002F4ACE">
        <w:rPr>
          <w:rFonts w:ascii="Arial Black" w:hAnsi="Arial Black"/>
          <w:sz w:val="28"/>
          <w:szCs w:val="28"/>
        </w:rPr>
        <w:t>ITY</w:t>
      </w:r>
    </w:p>
    <w:p w14:paraId="2C32F48E" w14:textId="77777777" w:rsidR="009F725F" w:rsidRPr="003D3384" w:rsidRDefault="009F725F" w:rsidP="009F725F">
      <w:pPr>
        <w:pStyle w:val="NoSpacing"/>
        <w:rPr>
          <w:bCs/>
        </w:rPr>
      </w:pPr>
      <w:r>
        <w:t xml:space="preserve">On December 1, 2025, in </w:t>
      </w:r>
      <w:r w:rsidRPr="004F2FE9">
        <w:rPr>
          <w:u w:val="single"/>
        </w:rPr>
        <w:t>Yvonne M. West, individually and as administrator of the estate of Jamon West v. Dekalb County, Georgia, et al</w:t>
      </w:r>
      <w:r>
        <w:t>., the U.S. Court of Appeals for 11</w:t>
      </w:r>
      <w:r w:rsidRPr="00567FD4">
        <w:rPr>
          <w:vertAlign w:val="superscript"/>
        </w:rPr>
        <w:t>th</w:t>
      </w:r>
      <w:r>
        <w:t xml:space="preserve"> Circuit (Atlanta) held (3 to 0; unpublished opinion) that the trial court judge properly dismissed the lawsuit; no deliberate indifference to the needs of the patient and therefore </w:t>
      </w:r>
      <w:r>
        <w:lastRenderedPageBreak/>
        <w:t xml:space="preserve">firefighters have qualified immunity. While the fire department’s policy manual warns that </w:t>
      </w:r>
      <w:r w:rsidRPr="000F2663">
        <w:t>patients with excited delirium “should never be oriented in a prone</w:t>
      </w:r>
      <w:r>
        <w:t xml:space="preserve"> </w:t>
      </w:r>
      <w:r w:rsidRPr="000F2663">
        <w:t xml:space="preserve">position” and should only be restrained with “soft medical restraints” </w:t>
      </w:r>
      <w:r>
        <w:t xml:space="preserve">there was no proof that EMS violated  </w:t>
      </w:r>
      <w:r w:rsidRPr="003D3384">
        <w:t>any clearly established law regarding deliberate indifference to</w:t>
      </w:r>
      <w:r>
        <w:t xml:space="preserve"> </w:t>
      </w:r>
      <w:r w:rsidRPr="003D3384">
        <w:t>medical need</w:t>
      </w:r>
      <w:r>
        <w:t xml:space="preserve">. On August 16, 2019, the patient was at his mother’s home, she called 911 when he </w:t>
      </w:r>
      <w:r w:rsidRPr="000F055C">
        <w:t>suffered “an episode of behavioral crisis,”</w:t>
      </w:r>
      <w:r>
        <w:t xml:space="preserve"> </w:t>
      </w:r>
      <w:r w:rsidRPr="000F055C">
        <w:t>known as “excited delirium</w:t>
      </w:r>
      <w:r>
        <w:t>.</w:t>
      </w:r>
      <w:r w:rsidRPr="000F055C">
        <w:t>”</w:t>
      </w:r>
      <w:r>
        <w:t xml:space="preserve">  Firefighters held him prone in grass, administered Haldol and Versed, and when quieted down, police removed the handcuffs and soft restraints were used.  When moving him to ambulance, he went into cardia arrest, then a coma and died few days later.  </w:t>
      </w:r>
    </w:p>
    <w:p w14:paraId="39DCB970" w14:textId="77777777" w:rsidR="009F725F" w:rsidRDefault="009F725F" w:rsidP="009F725F">
      <w:pPr>
        <w:pStyle w:val="NoSpacing"/>
        <w:rPr>
          <w:bCs/>
        </w:rPr>
      </w:pPr>
      <w:hyperlink r:id="rId1943" w:history="1">
        <w:r w:rsidRPr="00E22D14">
          <w:rPr>
            <w:rStyle w:val="Hyperlink"/>
          </w:rPr>
          <w:t>https://media.ca11.uscourts.gov/opinions/unpub/files/202413197.pdf</w:t>
        </w:r>
      </w:hyperlink>
      <w:r>
        <w:t xml:space="preserve"> </w:t>
      </w:r>
    </w:p>
    <w:p w14:paraId="63C2CCF6" w14:textId="77777777" w:rsidR="009F725F" w:rsidRDefault="009F725F" w:rsidP="009F725F">
      <w:pPr>
        <w:pStyle w:val="NoSpacing"/>
        <w:rPr>
          <w:bCs/>
        </w:rPr>
      </w:pPr>
    </w:p>
    <w:p w14:paraId="433DD9F3" w14:textId="77777777" w:rsidR="009F725F" w:rsidRDefault="009F725F" w:rsidP="009F725F">
      <w:pPr>
        <w:rPr>
          <w:bCs/>
        </w:rPr>
      </w:pPr>
      <w:r>
        <w:t>THE COURT HELD:</w:t>
      </w:r>
    </w:p>
    <w:p w14:paraId="36DF1E4A" w14:textId="77777777" w:rsidR="009F725F" w:rsidRDefault="009F725F" w:rsidP="009F725F">
      <w:pPr>
        <w:pStyle w:val="NoSpacing"/>
        <w:ind w:left="720"/>
      </w:pPr>
      <w:r>
        <w:t>“When Firefighters Winkler and Lakatos initially responded to the call, West appeared ‘highly agitated, hyperactive, confused, and not in control of his behavior.’ Firefighters Winkler and Lakatos restrained West ‘in a prone position, face down on the ground’ with the help of fire department Captain Ditmore and Firefighters Kelly, Van Wie, and Fleming, who arrived shortly after Winkler and Lakatos had started  restraining West. ‘[F]</w:t>
      </w:r>
      <w:proofErr w:type="spellStart"/>
      <w:r>
        <w:t>our</w:t>
      </w:r>
      <w:proofErr w:type="spellEnd"/>
      <w:r>
        <w:t xml:space="preserve"> or five firefighters appl[</w:t>
      </w:r>
      <w:proofErr w:type="spellStart"/>
      <w:r>
        <w:t>ied</w:t>
      </w:r>
      <w:proofErr w:type="spellEnd"/>
      <w:proofErr w:type="gramStart"/>
      <w:r>
        <w:t>] force</w:t>
      </w:r>
      <w:proofErr w:type="gramEnd"/>
      <w:r>
        <w:t xml:space="preserve"> to all four [of West’s] extremities and to his back.’ West’s mother cried for the firefighters to stop because her son couldn’t breathe with his face pressed </w:t>
      </w:r>
      <w:proofErr w:type="gramStart"/>
      <w:r>
        <w:t>in</w:t>
      </w:r>
      <w:proofErr w:type="gramEnd"/>
      <w:r>
        <w:t xml:space="preserve"> the grass. One of the firefighters told West’s mother ‘that she would be arrested if she did not back away.’ Captain Ditmore then ‘took command of the scene,’ directing Firefighter Payne to inject West with a ‘chemical restraint.’ Firefighter Payne gave West the maximum dosage permitted by county policy of two sedatives, Haldol and Versed. </w:t>
      </w:r>
    </w:p>
    <w:p w14:paraId="2899BCA6" w14:textId="77777777" w:rsidR="009F725F" w:rsidRDefault="009F725F" w:rsidP="009F725F">
      <w:pPr>
        <w:pStyle w:val="NoSpacing"/>
        <w:ind w:left="720"/>
      </w:pPr>
    </w:p>
    <w:p w14:paraId="2CE6F5E3" w14:textId="77777777" w:rsidR="009F725F" w:rsidRDefault="009F725F" w:rsidP="009F725F">
      <w:pPr>
        <w:pStyle w:val="NoSpacing"/>
        <w:ind w:left="720"/>
      </w:pPr>
      <w:r>
        <w:t>***</w:t>
      </w:r>
    </w:p>
    <w:p w14:paraId="3373C72E" w14:textId="77777777" w:rsidR="009F725F" w:rsidRDefault="009F725F" w:rsidP="009F725F">
      <w:pPr>
        <w:pStyle w:val="NoSpacing"/>
        <w:ind w:left="720"/>
      </w:pPr>
      <w:r w:rsidRPr="00560F9E">
        <w:t>After the firefighters had given West the sedatives, county</w:t>
      </w:r>
      <w:r>
        <w:t xml:space="preserve"> </w:t>
      </w:r>
      <w:r w:rsidRPr="00560F9E">
        <w:t>police officers arrived. Captain Ditmore asked the police to handcuff West. Police Officers Lattimore and Williams handcuffed</w:t>
      </w:r>
      <w:r>
        <w:t xml:space="preserve"> </w:t>
      </w:r>
      <w:r w:rsidRPr="00560F9E">
        <w:t>West’s hands behind his back with Captain Ditmore’s assistance.</w:t>
      </w:r>
      <w:r>
        <w:t xml:space="preserve"> </w:t>
      </w:r>
      <w:r w:rsidRPr="00560F9E">
        <w:t xml:space="preserve">Captain Ditmore walked away to make a status report </w:t>
      </w:r>
      <w:proofErr w:type="gramStart"/>
      <w:r w:rsidRPr="00560F9E">
        <w:t>by radio</w:t>
      </w:r>
      <w:proofErr w:type="gramEnd"/>
      <w:r w:rsidRPr="00560F9E">
        <w:t>.</w:t>
      </w:r>
      <w:r>
        <w:t xml:space="preserve"> </w:t>
      </w:r>
      <w:r w:rsidRPr="00560F9E">
        <w:t xml:space="preserve">The officers left West </w:t>
      </w:r>
      <w:r>
        <w:t>‘</w:t>
      </w:r>
      <w:r w:rsidRPr="00560F9E">
        <w:t>in a prone position with his hands cuffed</w:t>
      </w:r>
      <w:r>
        <w:t xml:space="preserve"> </w:t>
      </w:r>
      <w:r w:rsidRPr="00560F9E">
        <w:t>behind his back,</w:t>
      </w:r>
      <w:r>
        <w:t>’</w:t>
      </w:r>
      <w:r w:rsidRPr="00560F9E">
        <w:t xml:space="preserve"> and West continued to be restrained </w:t>
      </w:r>
      <w:r>
        <w:t>‘</w:t>
      </w:r>
      <w:r w:rsidRPr="00560F9E">
        <w:t>in this manner long enough for the sedatives to take effect.</w:t>
      </w:r>
      <w:r>
        <w:t>’</w:t>
      </w:r>
      <w:r w:rsidRPr="00560F9E">
        <w:t xml:space="preserve"> After Captain</w:t>
      </w:r>
      <w:r>
        <w:t xml:space="preserve"> Ditmore finished his call and ‘observed that . . . West was calm,’ he ‘ordered the handcuffs removed and replaced with soft restraints.’ As the defendants began to transport West across his mother’s </w:t>
      </w:r>
      <w:proofErr w:type="gramStart"/>
      <w:r>
        <w:t>yard, ‘</w:t>
      </w:r>
      <w:proofErr w:type="gramEnd"/>
      <w:r>
        <w:t>his respiratory rate dropped and he went into cardiac arrest.’  West was transported to the hospital, fell into a coma, and died a few days later. After performing an autopsy, the county medical examiner concluded that West had ‘died of ‘[d]</w:t>
      </w:r>
      <w:proofErr w:type="spellStart"/>
      <w:r>
        <w:t>elayed</w:t>
      </w:r>
      <w:proofErr w:type="spellEnd"/>
      <w:r>
        <w:t xml:space="preserve"> complications of cardiorespiratory arrest due [to] probable excited delirium and physical restraint,’ describing West’s death as a homicide.</w:t>
      </w:r>
    </w:p>
    <w:p w14:paraId="7BACEEA6" w14:textId="77777777" w:rsidR="009F725F" w:rsidRDefault="009F725F" w:rsidP="009F725F">
      <w:pPr>
        <w:pStyle w:val="NoSpacing"/>
        <w:ind w:left="720"/>
      </w:pPr>
    </w:p>
    <w:p w14:paraId="344C4653" w14:textId="77777777" w:rsidR="009F725F" w:rsidRDefault="009F725F" w:rsidP="009F725F">
      <w:pPr>
        <w:pStyle w:val="NoSpacing"/>
        <w:ind w:left="720"/>
      </w:pPr>
      <w:r>
        <w:t>***</w:t>
      </w:r>
    </w:p>
    <w:p w14:paraId="6D32A6E8" w14:textId="77777777" w:rsidR="009F725F" w:rsidRDefault="009F725F" w:rsidP="009F725F">
      <w:pPr>
        <w:pStyle w:val="NoSpacing"/>
      </w:pPr>
    </w:p>
    <w:p w14:paraId="4B39FA6E" w14:textId="77777777" w:rsidR="009F725F" w:rsidRDefault="009F725F" w:rsidP="009F725F">
      <w:pPr>
        <w:pStyle w:val="NoSpacing"/>
        <w:ind w:left="720"/>
        <w:rPr>
          <w:bCs/>
        </w:rPr>
      </w:pPr>
      <w:r w:rsidRPr="000F2663">
        <w:t>DeKalb County officials</w:t>
      </w:r>
      <w:r>
        <w:t xml:space="preserve"> </w:t>
      </w:r>
      <w:r w:rsidRPr="000F2663">
        <w:t>conducted an internal investigation and determined that the first</w:t>
      </w:r>
      <w:r>
        <w:t xml:space="preserve"> </w:t>
      </w:r>
      <w:r w:rsidRPr="000F2663">
        <w:t>responders involved in West’s death had complied with county policy</w:t>
      </w:r>
      <w:r>
        <w:t>.</w:t>
      </w:r>
    </w:p>
    <w:p w14:paraId="0A493A63" w14:textId="77777777" w:rsidR="009F725F" w:rsidRDefault="009F725F" w:rsidP="009F725F">
      <w:pPr>
        <w:pStyle w:val="NoSpacing"/>
        <w:ind w:left="720"/>
        <w:rPr>
          <w:bCs/>
        </w:rPr>
      </w:pPr>
    </w:p>
    <w:p w14:paraId="36519513" w14:textId="77777777" w:rsidR="009F725F" w:rsidRDefault="009F725F" w:rsidP="009F725F">
      <w:pPr>
        <w:pStyle w:val="NoSpacing"/>
        <w:ind w:left="720"/>
        <w:rPr>
          <w:bCs/>
        </w:rPr>
      </w:pPr>
      <w:r>
        <w:t>***</w:t>
      </w:r>
    </w:p>
    <w:p w14:paraId="72D0BAB6" w14:textId="77777777" w:rsidR="009F725F" w:rsidRDefault="009F725F" w:rsidP="009F725F">
      <w:pPr>
        <w:pStyle w:val="NoSpacing"/>
        <w:ind w:left="720"/>
      </w:pPr>
      <w:r>
        <w:t xml:space="preserve">Turning to the specific practices at issue here, Ms. West does not actually allege that the use of prone restraints or behind-the-back handcuffing on individuals with excited delirium was ‘so obvious” that liability attaches for a single incident. See Weiland v. Palm Beach </w:t>
      </w:r>
      <w:proofErr w:type="spellStart"/>
      <w:r>
        <w:t>Cnty</w:t>
      </w:r>
      <w:proofErr w:type="spellEnd"/>
      <w:r>
        <w:t>. Sheriff’s Off., 792 F.3d 1313, 1329 (11th Cir. 2015) (rejecting failure-to-train claim where the complaint ‘d[id] not allege that the need for specialized training in the constitutional restrictions on the use of force when dealing with mentally ill citizens [</w:t>
      </w:r>
      <w:proofErr w:type="spellStart"/>
      <w:r>
        <w:t>wa</w:t>
      </w:r>
      <w:proofErr w:type="spellEnd"/>
      <w:r>
        <w:t xml:space="preserve">]s ‘so obvious’ that the failure to provide such training amounts to deliberate indifference’). And even if she did, training in the proper use of restraints on individuals with excited delirium ‘falls far short of the kind of ‘obvious’ need for training that would support </w:t>
      </w:r>
      <w:proofErr w:type="gramStart"/>
      <w:r>
        <w:t>a finding</w:t>
      </w:r>
      <w:proofErr w:type="gramEnd"/>
      <w:r>
        <w:t xml:space="preserve"> of deliberate indifference to constitutional rights on the part of the [county].’ Canton, 489 U.S. at 396–97 (O’Connor, J., concurring in part and dissenting in part) (finding no obvious need to train police in diagnosing mental illness)….</w:t>
      </w:r>
    </w:p>
    <w:p w14:paraId="4C97DCE4" w14:textId="77777777" w:rsidR="009F725F" w:rsidRDefault="009F725F" w:rsidP="009F725F">
      <w:pPr>
        <w:pStyle w:val="NoSpacing"/>
        <w:ind w:left="720"/>
      </w:pPr>
    </w:p>
    <w:p w14:paraId="7901EB92" w14:textId="77777777" w:rsidR="009F725F" w:rsidRDefault="009F725F" w:rsidP="009F725F">
      <w:pPr>
        <w:pStyle w:val="NoSpacing"/>
        <w:ind w:left="720"/>
      </w:pPr>
      <w:r>
        <w:t>***</w:t>
      </w:r>
    </w:p>
    <w:p w14:paraId="59B72A96" w14:textId="77777777" w:rsidR="009F725F" w:rsidRDefault="009F725F" w:rsidP="009F725F">
      <w:pPr>
        <w:pStyle w:val="NoSpacing"/>
        <w:ind w:left="720"/>
      </w:pPr>
      <w:r>
        <w:t xml:space="preserve">Because Captain Ditmore and Firefighter Payne did not violate any clearly established law regarding deliberate indifference to medical need, Ms. West cannot overcome their qualified immunity at the dismissal </w:t>
      </w:r>
      <w:proofErr w:type="gramStart"/>
      <w:r>
        <w:t>stage.”</w:t>
      </w:r>
      <w:proofErr w:type="gramEnd"/>
    </w:p>
    <w:p w14:paraId="62E9A1B8" w14:textId="77777777" w:rsidR="009F725F" w:rsidRDefault="009F725F" w:rsidP="009F725F">
      <w:pPr>
        <w:pStyle w:val="NoSpacing"/>
        <w:ind w:left="720"/>
      </w:pPr>
    </w:p>
    <w:p w14:paraId="37EDF8E5" w14:textId="77777777" w:rsidR="009F725F" w:rsidRPr="00F03ED4" w:rsidRDefault="009F725F" w:rsidP="009F725F">
      <w:pPr>
        <w:pStyle w:val="NoSpacing"/>
        <w:rPr>
          <w:b/>
          <w:bCs/>
        </w:rPr>
      </w:pPr>
      <w:r>
        <w:rPr>
          <w:b/>
        </w:rPr>
        <w:t>Legal lesson learned</w:t>
      </w:r>
      <w:r w:rsidRPr="00F03ED4">
        <w:rPr>
          <w:b/>
        </w:rPr>
        <w:t>:  Review your EMS protocols concerning holding combative patient in prone position after administering Haldol and Versed</w:t>
      </w:r>
    </w:p>
    <w:p w14:paraId="3F7235FE" w14:textId="77777777" w:rsidR="009F725F" w:rsidRPr="00F03ED4" w:rsidRDefault="009F725F" w:rsidP="009F725F">
      <w:pPr>
        <w:rPr>
          <w:b/>
          <w:bCs/>
        </w:rPr>
      </w:pPr>
    </w:p>
    <w:p w14:paraId="1BD7EE0F" w14:textId="1AA527A7" w:rsidR="00182433" w:rsidRDefault="009F725F" w:rsidP="00004498">
      <w:pPr>
        <w:rPr>
          <w:rFonts w:ascii="Arial Black" w:hAnsi="Arial Black"/>
          <w:b/>
          <w:bCs/>
          <w:sz w:val="24"/>
          <w:szCs w:val="24"/>
        </w:rPr>
      </w:pPr>
      <w:r>
        <w:rPr>
          <w:rFonts w:ascii="Arial Black" w:hAnsi="Arial Black"/>
          <w:b/>
          <w:bCs/>
          <w:sz w:val="24"/>
          <w:szCs w:val="24"/>
        </w:rPr>
        <w:t>13-</w:t>
      </w:r>
      <w:r w:rsidR="00C16AA1">
        <w:rPr>
          <w:rFonts w:ascii="Arial Black" w:hAnsi="Arial Black"/>
          <w:b/>
          <w:bCs/>
          <w:sz w:val="24"/>
          <w:szCs w:val="24"/>
        </w:rPr>
        <w:t>23</w:t>
      </w:r>
      <w:r w:rsidR="00524647">
        <w:rPr>
          <w:rFonts w:ascii="Arial Black" w:hAnsi="Arial Black"/>
          <w:b/>
          <w:bCs/>
          <w:sz w:val="24"/>
          <w:szCs w:val="24"/>
        </w:rPr>
        <w:t>4</w:t>
      </w:r>
    </w:p>
    <w:p w14:paraId="509B8F2A" w14:textId="66F291E9" w:rsidR="00C16AA1" w:rsidRPr="00C83248" w:rsidRDefault="00C16AA1" w:rsidP="00C16AA1">
      <w:pPr>
        <w:rPr>
          <w:rFonts w:ascii="Arial Black" w:hAnsi="Arial Black"/>
          <w:b/>
          <w:sz w:val="28"/>
          <w:szCs w:val="28"/>
        </w:rPr>
      </w:pPr>
      <w:r>
        <w:rPr>
          <w:rFonts w:ascii="Arial Black" w:hAnsi="Arial Black"/>
          <w:b/>
          <w:sz w:val="28"/>
          <w:szCs w:val="28"/>
        </w:rPr>
        <w:t xml:space="preserve">IL: </w:t>
      </w:r>
      <w:r>
        <w:rPr>
          <w:b/>
        </w:rPr>
        <w:t xml:space="preserve"> </w:t>
      </w:r>
      <w:r>
        <w:rPr>
          <w:rFonts w:ascii="Arial Black" w:hAnsi="Arial Black"/>
          <w:b/>
          <w:sz w:val="28"/>
          <w:szCs w:val="28"/>
        </w:rPr>
        <w:t>330 LB PATIENT – GURNEY F</w:t>
      </w:r>
      <w:r w:rsidR="00F92E13">
        <w:rPr>
          <w:rFonts w:ascii="Arial Black" w:hAnsi="Arial Black"/>
          <w:b/>
          <w:sz w:val="28"/>
          <w:szCs w:val="28"/>
        </w:rPr>
        <w:t>E</w:t>
      </w:r>
      <w:r>
        <w:rPr>
          <w:rFonts w:ascii="Arial Black" w:hAnsi="Arial Black"/>
          <w:b/>
          <w:sz w:val="28"/>
          <w:szCs w:val="28"/>
        </w:rPr>
        <w:t>LL</w:t>
      </w:r>
      <w:r w:rsidR="00F92E13">
        <w:rPr>
          <w:rFonts w:ascii="Arial Black" w:hAnsi="Arial Black"/>
          <w:b/>
          <w:sz w:val="28"/>
          <w:szCs w:val="28"/>
        </w:rPr>
        <w:t xml:space="preserve"> OVER</w:t>
      </w:r>
      <w:r>
        <w:rPr>
          <w:rFonts w:ascii="Arial Black" w:hAnsi="Arial Black"/>
          <w:b/>
          <w:sz w:val="28"/>
          <w:szCs w:val="28"/>
        </w:rPr>
        <w:t xml:space="preserve"> – QUAL. IMMUNITY </w:t>
      </w:r>
    </w:p>
    <w:p w14:paraId="7AD01D1D" w14:textId="1D70EA98" w:rsidR="00C16AA1" w:rsidRDefault="00C16AA1" w:rsidP="00C16AA1">
      <w:pPr>
        <w:rPr>
          <w:bCs/>
        </w:rPr>
      </w:pPr>
      <w:r>
        <w:t xml:space="preserve">On November 26, 2025, in </w:t>
      </w:r>
      <w:r w:rsidRPr="00A6056A">
        <w:rPr>
          <w:u w:val="single"/>
        </w:rPr>
        <w:t>Nancy Gabriel, Administrator of the Estate of James Gabriel v. Alton Memorial Hospital, et al</w:t>
      </w:r>
      <w:r>
        <w:t xml:space="preserve">., the </w:t>
      </w:r>
      <w:r w:rsidRPr="00A6056A">
        <w:t>Court of Appeals of Illinois, Fifth District</w:t>
      </w:r>
      <w:r>
        <w:t xml:space="preserve"> held (3 to 0) that the trial court properly granted summary judgment to the defendants; there was no evidence of willful and wanton misconduct by EMS.  On </w:t>
      </w:r>
      <w:r w:rsidRPr="007611BD">
        <w:t>February 2, 2019,</w:t>
      </w:r>
      <w:r>
        <w:t xml:space="preserve"> after</w:t>
      </w:r>
      <w:r w:rsidRPr="007611BD">
        <w:t xml:space="preserve"> ambulance transport from </w:t>
      </w:r>
      <w:r>
        <w:t xml:space="preserve">the </w:t>
      </w:r>
      <w:r w:rsidRPr="007611BD">
        <w:t>hospital to a</w:t>
      </w:r>
      <w:r>
        <w:t xml:space="preserve"> </w:t>
      </w:r>
      <w:r w:rsidRPr="007611BD">
        <w:t xml:space="preserve">nursing home, </w:t>
      </w:r>
      <w:r>
        <w:t xml:space="preserve">the EMS lost control of the gurney and the strapped patient fell on his </w:t>
      </w:r>
      <w:proofErr w:type="gramStart"/>
      <w:r>
        <w:t>head, and</w:t>
      </w:r>
      <w:proofErr w:type="gramEnd"/>
      <w:r>
        <w:t xml:space="preserve"> died March 23, 2019.  </w:t>
      </w:r>
      <w:hyperlink r:id="rId1944" w:history="1">
        <w:r w:rsidRPr="00347812">
          <w:rPr>
            <w:rStyle w:val="Hyperlink"/>
          </w:rPr>
          <w:t>https://cases.justia.com/illinois/court-of-appeals-fifth-appellate-district/2025-5-24-0729-0.pdf?ts=1764692248</w:t>
        </w:r>
      </w:hyperlink>
      <w:r>
        <w:t xml:space="preserve"> </w:t>
      </w:r>
    </w:p>
    <w:p w14:paraId="1CF9E017" w14:textId="77777777" w:rsidR="00C16AA1" w:rsidRDefault="00C16AA1" w:rsidP="00C16AA1">
      <w:pPr>
        <w:rPr>
          <w:bCs/>
        </w:rPr>
      </w:pPr>
      <w:r>
        <w:t>THE COURT HELD:</w:t>
      </w:r>
    </w:p>
    <w:p w14:paraId="3916A441" w14:textId="77777777" w:rsidR="00C16AA1" w:rsidRDefault="00C16AA1" w:rsidP="00C16AA1">
      <w:pPr>
        <w:pStyle w:val="NoSpacing"/>
        <w:ind w:left="720"/>
      </w:pPr>
      <w:r>
        <w:t>“</w:t>
      </w:r>
      <w:r w:rsidRPr="007B1F2E">
        <w:t>The sidewalk leading to the ambulance entrance of the nursing facility had a right-hand turn. As Brooks and Bell approached the turn, they slowed down. As they began the turn, Bell saw that</w:t>
      </w:r>
      <w:r>
        <w:t xml:space="preserve"> </w:t>
      </w:r>
      <w:proofErr w:type="gramStart"/>
      <w:r w:rsidRPr="007B1F2E">
        <w:t>The</w:t>
      </w:r>
      <w:proofErr w:type="gramEnd"/>
      <w:r w:rsidRPr="007B1F2E">
        <w:t xml:space="preserve"> sidewalk leading to the ambulance entrance of the nursing facility had a Bell saw that James had shifted his body, which tilted the gurney to the left. Bell attempted to balance the gurney and called out to Brooks for assistance. In Bell's deposition, he testified that James was </w:t>
      </w:r>
      <w:r>
        <w:t>‘</w:t>
      </w:r>
      <w:r w:rsidRPr="007B1F2E">
        <w:t>such a heavy guy, I can't do it by myself.</w:t>
      </w:r>
    </w:p>
    <w:p w14:paraId="34A8198C" w14:textId="77777777" w:rsidR="00C16AA1" w:rsidRDefault="00C16AA1" w:rsidP="00C16AA1">
      <w:pPr>
        <w:pStyle w:val="NoSpacing"/>
        <w:ind w:left="720"/>
      </w:pPr>
      <w:r>
        <w:t xml:space="preserve"> </w:t>
      </w:r>
      <w:r w:rsidRPr="007B1F2E">
        <w:t>Brooks started to turn around, and "felt the [gurney's]bar twist in [his] hand.</w:t>
      </w:r>
      <w:r>
        <w:t>’</w:t>
      </w:r>
      <w:r w:rsidRPr="007B1F2E">
        <w:t xml:space="preserve"> Brooks and Bell held onto the bars in a futile attempt to prevent th</w:t>
      </w:r>
      <w:r>
        <w:t>e fall.</w:t>
      </w:r>
    </w:p>
    <w:p w14:paraId="2FE8D1B9" w14:textId="77777777" w:rsidR="00C16AA1" w:rsidRDefault="00C16AA1" w:rsidP="00C16AA1">
      <w:pPr>
        <w:pStyle w:val="NoSpacing"/>
      </w:pPr>
    </w:p>
    <w:p w14:paraId="11C27316" w14:textId="77777777" w:rsidR="00C16AA1" w:rsidRDefault="00C16AA1" w:rsidP="00C16AA1">
      <w:pPr>
        <w:pStyle w:val="NoSpacing"/>
        <w:ind w:left="720"/>
      </w:pPr>
      <w:r w:rsidRPr="00671BAC">
        <w:t>James fell face down onto the ground but avoided striking the concrete. He remained strapped into the gurney, and with effort, Brooks and Bell were slowly able to get the gurney back into an upright position. Following his fall, the nursing facility refused to accept James, and Brooks and Bell transported him back to St. Anthony's Hospital. James sustained a laceration above his left eye from the fall.</w:t>
      </w:r>
    </w:p>
    <w:p w14:paraId="6BC5D467" w14:textId="77777777" w:rsidR="00C16AA1" w:rsidRDefault="00C16AA1" w:rsidP="00C16AA1">
      <w:pPr>
        <w:pStyle w:val="NoSpacing"/>
        <w:ind w:left="720"/>
      </w:pPr>
    </w:p>
    <w:p w14:paraId="1F726337" w14:textId="77777777" w:rsidR="00C16AA1" w:rsidRDefault="00C16AA1" w:rsidP="00C16AA1">
      <w:pPr>
        <w:pStyle w:val="NoSpacing"/>
        <w:ind w:left="720"/>
      </w:pPr>
      <w:r>
        <w:t>***</w:t>
      </w:r>
    </w:p>
    <w:p w14:paraId="0254E8C3" w14:textId="77777777" w:rsidR="00C16AA1" w:rsidRDefault="00C16AA1" w:rsidP="00C16AA1">
      <w:pPr>
        <w:pStyle w:val="NoSpacing"/>
        <w:ind w:left="720"/>
      </w:pPr>
      <w:r>
        <w:t>Alton Memorial can only be held liable for damages in this case pursuant to section</w:t>
      </w:r>
    </w:p>
    <w:p w14:paraId="0E7221A9" w14:textId="77777777" w:rsidR="00C16AA1" w:rsidRDefault="00C16AA1" w:rsidP="00C16AA1">
      <w:pPr>
        <w:pStyle w:val="NoSpacing"/>
        <w:ind w:left="720"/>
      </w:pPr>
      <w:r>
        <w:t>3.150(a) of the EMS Systems Act, which provides: ‘Any person, agency or governmental body certified, licensed or authorized pursuant to this Act … who in good faith provides emergency or non-emergency medical services …in the normal course of conducting their duties …shall not be civilly liable as a result of their acts or omissions in providing such services unless such acts or omissions … constitute willful and wanton misconduct.” 210 ILCS 50/3.150(a).</w:t>
      </w:r>
    </w:p>
    <w:p w14:paraId="4B82194D" w14:textId="77777777" w:rsidR="00C16AA1" w:rsidRDefault="00C16AA1" w:rsidP="00C16AA1">
      <w:pPr>
        <w:pStyle w:val="NoSpacing"/>
        <w:ind w:left="720"/>
      </w:pPr>
    </w:p>
    <w:p w14:paraId="591185B3" w14:textId="77777777" w:rsidR="00C16AA1" w:rsidRDefault="00C16AA1" w:rsidP="00C16AA1">
      <w:pPr>
        <w:pStyle w:val="NoSpacing"/>
        <w:ind w:left="720"/>
      </w:pPr>
      <w:r>
        <w:t>***</w:t>
      </w:r>
    </w:p>
    <w:p w14:paraId="1042FEFE" w14:textId="77777777" w:rsidR="00C16AA1" w:rsidRDefault="00C16AA1" w:rsidP="00C16AA1">
      <w:pPr>
        <w:pStyle w:val="NoSpacing"/>
        <w:ind w:left="720"/>
      </w:pPr>
      <w:r>
        <w:t>We find that summary judgment was appropriate where the pleadings, depositions and any admissions and/or affidavits on file, when viewed in the light most favorable to Nancy, established that there was no genuine issue of material fact to support an allegation of willful and wanton misconduct on behalf of Alton Memorial’s ambulance crew.”</w:t>
      </w:r>
    </w:p>
    <w:p w14:paraId="753D1D61" w14:textId="77777777" w:rsidR="00C16AA1" w:rsidRDefault="00C16AA1" w:rsidP="00C16AA1">
      <w:pPr>
        <w:rPr>
          <w:b/>
        </w:rPr>
      </w:pPr>
    </w:p>
    <w:p w14:paraId="449CFA8A" w14:textId="44AACF47" w:rsidR="00C16AA1" w:rsidRPr="00F5657D" w:rsidRDefault="00C16AA1" w:rsidP="00C16AA1">
      <w:pPr>
        <w:rPr>
          <w:b/>
        </w:rPr>
      </w:pPr>
      <w:r>
        <w:rPr>
          <w:b/>
        </w:rPr>
        <w:t xml:space="preserve">Legal lesson learned: Moving a </w:t>
      </w:r>
      <w:r w:rsidR="003271B2">
        <w:rPr>
          <w:b/>
        </w:rPr>
        <w:t>330-pound</w:t>
      </w:r>
      <w:r>
        <w:rPr>
          <w:b/>
        </w:rPr>
        <w:t xml:space="preserve"> patient </w:t>
      </w:r>
      <w:r w:rsidR="004348E5">
        <w:rPr>
          <w:b/>
        </w:rPr>
        <w:t xml:space="preserve">can be </w:t>
      </w:r>
      <w:r>
        <w:rPr>
          <w:b/>
        </w:rPr>
        <w:t xml:space="preserve">particularly challenging; no liability for negligent conduct that is not deemed willful and wanton misconduct. </w:t>
      </w:r>
    </w:p>
    <w:p w14:paraId="5E2C55A3" w14:textId="77777777" w:rsidR="009F546C" w:rsidRDefault="009F546C" w:rsidP="00004498">
      <w:pPr>
        <w:rPr>
          <w:rFonts w:ascii="Arial Black" w:hAnsi="Arial Black"/>
          <w:b/>
          <w:bCs/>
          <w:sz w:val="24"/>
          <w:szCs w:val="24"/>
        </w:rPr>
      </w:pPr>
    </w:p>
    <w:p w14:paraId="1803C3A1" w14:textId="77777777" w:rsidR="009F546C" w:rsidRDefault="009F546C" w:rsidP="00004498">
      <w:pPr>
        <w:rPr>
          <w:rFonts w:ascii="Arial Black" w:hAnsi="Arial Black"/>
          <w:b/>
          <w:bCs/>
          <w:sz w:val="24"/>
          <w:szCs w:val="24"/>
        </w:rPr>
      </w:pPr>
    </w:p>
    <w:p w14:paraId="256049CE" w14:textId="1300CE9C" w:rsidR="00C6504D" w:rsidRDefault="00C6504D" w:rsidP="00004498">
      <w:pPr>
        <w:rPr>
          <w:rFonts w:ascii="Arial Black" w:hAnsi="Arial Black"/>
          <w:b/>
          <w:bCs/>
          <w:sz w:val="24"/>
          <w:szCs w:val="24"/>
        </w:rPr>
      </w:pPr>
      <w:r>
        <w:rPr>
          <w:rFonts w:ascii="Arial Black" w:hAnsi="Arial Black"/>
          <w:b/>
          <w:bCs/>
          <w:sz w:val="24"/>
          <w:szCs w:val="24"/>
        </w:rPr>
        <w:lastRenderedPageBreak/>
        <w:t>13-23</w:t>
      </w:r>
      <w:r w:rsidR="00524647">
        <w:rPr>
          <w:rFonts w:ascii="Arial Black" w:hAnsi="Arial Black"/>
          <w:b/>
          <w:bCs/>
          <w:sz w:val="24"/>
          <w:szCs w:val="24"/>
        </w:rPr>
        <w:t>3</w:t>
      </w:r>
    </w:p>
    <w:p w14:paraId="73336DA4" w14:textId="77777777" w:rsidR="00C6504D" w:rsidRPr="00864A31" w:rsidRDefault="00C6504D" w:rsidP="00C6504D">
      <w:pPr>
        <w:pStyle w:val="NoSpacing"/>
        <w:rPr>
          <w:rFonts w:ascii="Arial Black" w:hAnsi="Arial Black"/>
          <w:sz w:val="28"/>
          <w:szCs w:val="28"/>
        </w:rPr>
      </w:pPr>
      <w:r>
        <w:rPr>
          <w:rFonts w:ascii="Arial Black" w:hAnsi="Arial Black"/>
          <w:sz w:val="28"/>
          <w:szCs w:val="28"/>
        </w:rPr>
        <w:t>CA: HANCUFFED PRONE PT – VERSED / DIED – LIAB CAP</w:t>
      </w:r>
    </w:p>
    <w:p w14:paraId="170233E7" w14:textId="77777777" w:rsidR="00C6504D" w:rsidRDefault="00C6504D" w:rsidP="00C6504D">
      <w:pPr>
        <w:pStyle w:val="NoSpacing"/>
      </w:pPr>
    </w:p>
    <w:p w14:paraId="4A8DDA31" w14:textId="0EEC163B" w:rsidR="00C6504D" w:rsidRDefault="00C6504D" w:rsidP="00C6504D">
      <w:pPr>
        <w:pStyle w:val="NoSpacing"/>
      </w:pPr>
      <w:r>
        <w:t xml:space="preserve">On November 25, 2025, in </w:t>
      </w:r>
      <w:r w:rsidRPr="00266691">
        <w:rPr>
          <w:u w:val="single"/>
        </w:rPr>
        <w:t>Ivan Gutzalenko, et al. v. City of Richmond, et al</w:t>
      </w:r>
      <w:r>
        <w:t xml:space="preserve">., U.S. District Court Judge Edward M. Chen, United States District Court for Northern District of California, held that the $500,000 caps on medical negligence claims under California state law applies to this medical negligence claim.  A paramedic injected the handcuffed prone patient with </w:t>
      </w:r>
      <w:proofErr w:type="gramStart"/>
      <w:r w:rsidR="002B5A76">
        <w:t>v</w:t>
      </w:r>
      <w:r>
        <w:t>ersed, and</w:t>
      </w:r>
      <w:proofErr w:type="gramEnd"/>
      <w:r>
        <w:t xml:space="preserve"> allegedly </w:t>
      </w:r>
      <w:r w:rsidRPr="002204F5">
        <w:t xml:space="preserve">did not “aspirate” the syringe when he administered the </w:t>
      </w:r>
      <w:r w:rsidR="002B5A76">
        <w:t>v</w:t>
      </w:r>
      <w:r w:rsidRPr="002204F5">
        <w:t xml:space="preserve">ersed to ensure it was not in the vein. </w:t>
      </w:r>
      <w:r>
        <w:t xml:space="preserve"> The Court rejected plaintiff’s attempt to recover more than the medical negligence caps by claiming “assault” and “battery.” THE COURT WROTE: “Although intentional torts are generally not subject to the section 3333.2 cap on noneconomic damages, see Perry, 88 Cal. App. 4th at 662, the gravamen of Plaintiffs’ assault and battery claim is essentially a claim of medical negligence such that MICRA applies….  Further, the MICRA cap on noneconomic damages does not apply to settlement awards. Finally, if Plaintiffs establish wrongful death and survival claims that include noneconomic damages, they are entitled to separate MICRA noneconomic damages caps for the wrongful death and survival claims.” </w:t>
      </w:r>
      <w:hyperlink r:id="rId1945" w:history="1">
        <w:r w:rsidRPr="0075505A">
          <w:rPr>
            <w:rStyle w:val="Hyperlink"/>
          </w:rPr>
          <w:t>https://cases.justia.com/federal/district-courts/california/candce/3:2022cv02130/394009/131/0.pdf</w:t>
        </w:r>
      </w:hyperlink>
      <w:r>
        <w:t xml:space="preserve"> </w:t>
      </w:r>
    </w:p>
    <w:p w14:paraId="3EF86943" w14:textId="77777777" w:rsidR="00C6504D" w:rsidRDefault="00C6504D" w:rsidP="00C6504D">
      <w:pPr>
        <w:pStyle w:val="NoSpacing"/>
      </w:pPr>
    </w:p>
    <w:p w14:paraId="5AEAF28D" w14:textId="77777777" w:rsidR="00C6504D" w:rsidRDefault="00C6504D" w:rsidP="00C6504D">
      <w:pPr>
        <w:pStyle w:val="NoSpacing"/>
      </w:pPr>
      <w:r>
        <w:t>THE COURT HELD:</w:t>
      </w:r>
    </w:p>
    <w:p w14:paraId="0267E271" w14:textId="77777777" w:rsidR="00C6504D" w:rsidRDefault="00C6504D" w:rsidP="00C6504D">
      <w:pPr>
        <w:pStyle w:val="NoSpacing"/>
      </w:pPr>
    </w:p>
    <w:p w14:paraId="6666CD02" w14:textId="77777777" w:rsidR="00C6504D" w:rsidRDefault="00C6504D" w:rsidP="00C6504D">
      <w:pPr>
        <w:pStyle w:val="NoSpacing"/>
        <w:ind w:left="720"/>
      </w:pPr>
      <w:r>
        <w:t xml:space="preserve">“On March 10, 2021, a Richmond police officer responded to a call for service about a man causing a disturbance in a furniture store on San Pablo Avenue in Richmond, California….  When the police officer arrived at the scene, he encountered Mr. Gutzalenko, the decedent. Id. Mr. </w:t>
      </w:r>
      <w:proofErr w:type="spellStart"/>
      <w:r>
        <w:t>Gutzalenko</w:t>
      </w:r>
      <w:proofErr w:type="spellEnd"/>
      <w:r>
        <w:t xml:space="preserve"> needed medical aid and was  ‘possibly intoxicated or experiencing a medical emergency.’ … Specifically, Mr. </w:t>
      </w:r>
      <w:proofErr w:type="spellStart"/>
      <w:r>
        <w:t>Gutzalenko</w:t>
      </w:r>
      <w:proofErr w:type="spellEnd"/>
    </w:p>
    <w:p w14:paraId="10D3BC45" w14:textId="77777777" w:rsidR="00C6504D" w:rsidRDefault="00C6504D" w:rsidP="00C6504D">
      <w:pPr>
        <w:pStyle w:val="NoSpacing"/>
        <w:ind w:left="720"/>
      </w:pPr>
      <w:r>
        <w:t xml:space="preserve">had a dark purple mark on his forehead, was bleeding profusely from one of his hands, and had difficulty focusing on and communicating with the police officer…. Mr. </w:t>
      </w:r>
      <w:proofErr w:type="spellStart"/>
      <w:r>
        <w:t>Gutzalenko</w:t>
      </w:r>
      <w:proofErr w:type="spellEnd"/>
      <w:r>
        <w:t xml:space="preserve"> was also having a hard time breathing. </w:t>
      </w:r>
    </w:p>
    <w:p w14:paraId="25EA54D2" w14:textId="77777777" w:rsidR="00C6504D" w:rsidRDefault="00C6504D" w:rsidP="00C6504D">
      <w:pPr>
        <w:pStyle w:val="NoSpacing"/>
        <w:ind w:left="720"/>
      </w:pPr>
    </w:p>
    <w:p w14:paraId="29C4C725" w14:textId="77777777" w:rsidR="00C6504D" w:rsidRDefault="00C6504D" w:rsidP="00C6504D">
      <w:pPr>
        <w:pStyle w:val="NoSpacing"/>
        <w:ind w:left="720"/>
      </w:pPr>
      <w:r>
        <w:t>***</w:t>
      </w:r>
    </w:p>
    <w:p w14:paraId="7D189B86" w14:textId="77777777" w:rsidR="00C6504D" w:rsidRDefault="00C6504D" w:rsidP="00C6504D">
      <w:pPr>
        <w:pStyle w:val="NoSpacing"/>
        <w:ind w:left="720"/>
      </w:pPr>
    </w:p>
    <w:p w14:paraId="34134FA7" w14:textId="77777777" w:rsidR="00C6504D" w:rsidRDefault="00C6504D" w:rsidP="00C6504D">
      <w:pPr>
        <w:pStyle w:val="NoSpacing"/>
        <w:ind w:left="720"/>
      </w:pPr>
      <w:r w:rsidRPr="002204F5">
        <w:t xml:space="preserve">Medical Defendants, AMR West and the paramedic Mr. Richardson, arrived in an ambulance and attempted to bandage Mr. </w:t>
      </w:r>
      <w:proofErr w:type="spellStart"/>
      <w:r w:rsidRPr="002204F5">
        <w:t>Gutzalenko's</w:t>
      </w:r>
      <w:proofErr w:type="spellEnd"/>
      <w:r w:rsidRPr="002204F5">
        <w:t xml:space="preserve"> hands</w:t>
      </w:r>
      <w:r>
        <w:t xml:space="preserve">…. </w:t>
      </w:r>
      <w:r w:rsidRPr="002204F5">
        <w:t xml:space="preserve">Mr. </w:t>
      </w:r>
      <w:proofErr w:type="spellStart"/>
      <w:r w:rsidRPr="002204F5">
        <w:t>Gutzalenko</w:t>
      </w:r>
      <w:proofErr w:type="spellEnd"/>
      <w:r w:rsidRPr="002204F5">
        <w:t xml:space="preserve"> became agitated and tried to keep his hands away</w:t>
      </w:r>
      <w:r>
        <w:t xml:space="preserve">…. </w:t>
      </w:r>
      <w:r w:rsidRPr="002204F5">
        <w:t xml:space="preserve">After Mr. </w:t>
      </w:r>
      <w:proofErr w:type="spellStart"/>
      <w:r w:rsidRPr="002204F5">
        <w:t>Gutzalenko</w:t>
      </w:r>
      <w:proofErr w:type="spellEnd"/>
      <w:r w:rsidRPr="002204F5">
        <w:t xml:space="preserve"> began to resist, the police officers attempted to handcuff him</w:t>
      </w:r>
      <w:r>
        <w:t xml:space="preserve">…. </w:t>
      </w:r>
      <w:r w:rsidRPr="002204F5">
        <w:t xml:space="preserve">During this struggle, Plaintiffs allege that Officer Tran applied his knee to Mr. </w:t>
      </w:r>
      <w:proofErr w:type="spellStart"/>
      <w:r w:rsidRPr="002204F5">
        <w:t>Gutzalenko's</w:t>
      </w:r>
      <w:proofErr w:type="spellEnd"/>
      <w:r w:rsidRPr="002204F5">
        <w:t xml:space="preserve"> back while he was in a prone position</w:t>
      </w:r>
      <w:r>
        <w:t xml:space="preserve">…. </w:t>
      </w:r>
      <w:r w:rsidRPr="002204F5">
        <w:t>By the time the handcuffs were placed on Mr. Gutzalenko, Plaintiffs claim that he had become non-responsive and no longer resistive. </w:t>
      </w:r>
    </w:p>
    <w:p w14:paraId="63E389C4" w14:textId="77777777" w:rsidR="00C6504D" w:rsidRDefault="00C6504D" w:rsidP="00C6504D">
      <w:pPr>
        <w:pStyle w:val="NoSpacing"/>
        <w:ind w:left="720"/>
      </w:pPr>
    </w:p>
    <w:p w14:paraId="2B2904B6" w14:textId="77777777" w:rsidR="00C6504D" w:rsidRDefault="00C6504D" w:rsidP="00C6504D">
      <w:pPr>
        <w:pStyle w:val="NoSpacing"/>
        <w:ind w:left="720"/>
      </w:pPr>
      <w:r w:rsidRPr="002204F5">
        <w:t xml:space="preserve">After Mr. </w:t>
      </w:r>
      <w:proofErr w:type="spellStart"/>
      <w:r w:rsidRPr="002204F5">
        <w:t>Gutzalenko</w:t>
      </w:r>
      <w:proofErr w:type="spellEnd"/>
      <w:r w:rsidRPr="002204F5">
        <w:t xml:space="preserve"> was handcuffed on the ground, Defendant Mr. Richardson injected Mr. </w:t>
      </w:r>
      <w:proofErr w:type="spellStart"/>
      <w:r w:rsidRPr="002204F5">
        <w:t>Gutzalenko</w:t>
      </w:r>
      <w:proofErr w:type="spellEnd"/>
      <w:r w:rsidRPr="002204F5">
        <w:t xml:space="preserve"> with Versed, a chemical restraint</w:t>
      </w:r>
      <w:r>
        <w:t xml:space="preserve">…. </w:t>
      </w:r>
      <w:r w:rsidRPr="002204F5">
        <w:t xml:space="preserve">At this juncture, there is no dispute that Mr. Richardson administered the chemical restraint for safety reasons, rather than to restrain Mr. </w:t>
      </w:r>
      <w:proofErr w:type="spellStart"/>
      <w:r w:rsidRPr="002204F5">
        <w:t>Gutzalenko</w:t>
      </w:r>
      <w:proofErr w:type="spellEnd"/>
      <w:r w:rsidRPr="002204F5">
        <w:t xml:space="preserve"> in a law enforcement capacity; he injected Mr. </w:t>
      </w:r>
      <w:proofErr w:type="spellStart"/>
      <w:r w:rsidRPr="002204F5">
        <w:t>Gutzalenko</w:t>
      </w:r>
      <w:proofErr w:type="spellEnd"/>
      <w:r w:rsidRPr="002204F5">
        <w:t xml:space="preserve"> to protect himself and others in the ambulance during transport of Mr. </w:t>
      </w:r>
      <w:proofErr w:type="spellStart"/>
      <w:r w:rsidRPr="002204F5">
        <w:t>Gutzalenko</w:t>
      </w:r>
      <w:proofErr w:type="spellEnd"/>
      <w:r w:rsidRPr="002204F5">
        <w:t xml:space="preserve"> to the hospital</w:t>
      </w:r>
      <w:r>
        <w:t xml:space="preserve">…. </w:t>
      </w:r>
    </w:p>
    <w:p w14:paraId="5FA69228" w14:textId="77777777" w:rsidR="00C6504D" w:rsidRDefault="00C6504D" w:rsidP="00C6504D">
      <w:pPr>
        <w:pStyle w:val="NoSpacing"/>
        <w:ind w:left="720"/>
      </w:pPr>
    </w:p>
    <w:p w14:paraId="1441F2C8" w14:textId="77777777" w:rsidR="00C6504D" w:rsidRDefault="00C6504D" w:rsidP="00C6504D">
      <w:pPr>
        <w:pStyle w:val="NoSpacing"/>
        <w:ind w:left="720"/>
      </w:pPr>
      <w:r w:rsidRPr="002204F5">
        <w:t xml:space="preserve">Plaintiffs claim that Mr. Richardson did not </w:t>
      </w:r>
      <w:r>
        <w:t>‘</w:t>
      </w:r>
      <w:r w:rsidRPr="002204F5">
        <w:t>aspirate</w:t>
      </w:r>
      <w:r>
        <w:t xml:space="preserve">’ </w:t>
      </w:r>
      <w:r w:rsidRPr="002204F5">
        <w:t>the syringe when he administered the Versed to ensure it was not in the vein</w:t>
      </w:r>
      <w:r>
        <w:t xml:space="preserve">…. </w:t>
      </w:r>
      <w:r w:rsidRPr="002204F5">
        <w:t xml:space="preserve">Plaintiffs allege that Mr. </w:t>
      </w:r>
      <w:proofErr w:type="spellStart"/>
      <w:r w:rsidRPr="002204F5">
        <w:t>Gutzalenko</w:t>
      </w:r>
      <w:proofErr w:type="spellEnd"/>
      <w:r w:rsidRPr="002204F5">
        <w:t xml:space="preserve"> stopped breathing within 90 seconds of the Versed administration</w:t>
      </w:r>
      <w:r>
        <w:t xml:space="preserve">… </w:t>
      </w:r>
      <w:r w:rsidRPr="002204F5">
        <w:t xml:space="preserve">Mr. </w:t>
      </w:r>
      <w:proofErr w:type="spellStart"/>
      <w:r w:rsidRPr="002204F5">
        <w:t>Gutzalenko</w:t>
      </w:r>
      <w:proofErr w:type="spellEnd"/>
      <w:r w:rsidRPr="002204F5">
        <w:t xml:space="preserve"> was pronounced dead after he was taken to Summit Hospital in Oakland</w:t>
      </w:r>
      <w:r>
        <w:t xml:space="preserve">…. </w:t>
      </w:r>
      <w:r w:rsidRPr="002204F5">
        <w:t xml:space="preserve"> An autopsy determined the cause of death was prone restraint asphyxia and cardiac arrest while under the influence of methamphetamine.</w:t>
      </w:r>
      <w:r>
        <w:t>”</w:t>
      </w:r>
    </w:p>
    <w:p w14:paraId="410BABDD" w14:textId="77777777" w:rsidR="00C6504D" w:rsidRDefault="00C6504D" w:rsidP="00C6504D">
      <w:pPr>
        <w:pStyle w:val="NoSpacing"/>
        <w:ind w:left="720"/>
      </w:pPr>
    </w:p>
    <w:p w14:paraId="77CD0284" w14:textId="16649AAD" w:rsidR="00C6504D" w:rsidRPr="004622D5" w:rsidRDefault="00C6504D" w:rsidP="00C6504D">
      <w:pPr>
        <w:pStyle w:val="NoSpacing"/>
        <w:rPr>
          <w:b/>
          <w:bCs/>
        </w:rPr>
      </w:pPr>
      <w:r>
        <w:rPr>
          <w:b/>
        </w:rPr>
        <w:t xml:space="preserve">Legal lesson learned: Follow your protocol on administering </w:t>
      </w:r>
      <w:r w:rsidR="002B5A76">
        <w:rPr>
          <w:b/>
        </w:rPr>
        <w:t>v</w:t>
      </w:r>
      <w:r>
        <w:rPr>
          <w:b/>
        </w:rPr>
        <w:t xml:space="preserve">ersed to a handcuffed prone patient. </w:t>
      </w:r>
    </w:p>
    <w:p w14:paraId="0EE67BDD" w14:textId="77777777" w:rsidR="00C6504D" w:rsidRDefault="00C6504D" w:rsidP="00C6504D">
      <w:pPr>
        <w:rPr>
          <w:b/>
        </w:rPr>
      </w:pPr>
    </w:p>
    <w:p w14:paraId="61FE4895" w14:textId="77777777" w:rsidR="00C6504D" w:rsidRDefault="00C6504D" w:rsidP="00004498">
      <w:pPr>
        <w:rPr>
          <w:rFonts w:ascii="Arial Black" w:hAnsi="Arial Black"/>
          <w:b/>
          <w:bCs/>
          <w:sz w:val="24"/>
          <w:szCs w:val="24"/>
        </w:rPr>
      </w:pPr>
    </w:p>
    <w:p w14:paraId="5C63ECB1" w14:textId="77777777" w:rsidR="00C6504D" w:rsidRDefault="00C6504D" w:rsidP="00004498">
      <w:pPr>
        <w:rPr>
          <w:rFonts w:ascii="Arial Black" w:hAnsi="Arial Black"/>
          <w:b/>
          <w:bCs/>
          <w:sz w:val="24"/>
          <w:szCs w:val="24"/>
        </w:rPr>
      </w:pPr>
    </w:p>
    <w:p w14:paraId="6BE7BD6D" w14:textId="5FF2DFBB" w:rsidR="004612E3" w:rsidRDefault="00F04117" w:rsidP="00004498">
      <w:pPr>
        <w:rPr>
          <w:rFonts w:ascii="Arial Black" w:hAnsi="Arial Black"/>
          <w:b/>
          <w:bCs/>
          <w:sz w:val="24"/>
          <w:szCs w:val="24"/>
        </w:rPr>
      </w:pPr>
      <w:r>
        <w:rPr>
          <w:rFonts w:ascii="Arial Black" w:hAnsi="Arial Black"/>
          <w:b/>
          <w:bCs/>
          <w:sz w:val="24"/>
          <w:szCs w:val="24"/>
        </w:rPr>
        <w:lastRenderedPageBreak/>
        <w:t>13-23</w:t>
      </w:r>
      <w:r w:rsidR="00524647">
        <w:rPr>
          <w:rFonts w:ascii="Arial Black" w:hAnsi="Arial Black"/>
          <w:b/>
          <w:bCs/>
          <w:sz w:val="24"/>
          <w:szCs w:val="24"/>
        </w:rPr>
        <w:t>2</w:t>
      </w:r>
    </w:p>
    <w:p w14:paraId="2FBEF3A7" w14:textId="4E484F18" w:rsidR="00F04117" w:rsidRDefault="00F04117" w:rsidP="00F04117">
      <w:pPr>
        <w:pStyle w:val="NoSpacing"/>
        <w:rPr>
          <w:rFonts w:ascii="Arial Black" w:hAnsi="Arial Black"/>
          <w:sz w:val="28"/>
          <w:szCs w:val="28"/>
        </w:rPr>
      </w:pPr>
      <w:r>
        <w:rPr>
          <w:rFonts w:ascii="Arial Black" w:hAnsi="Arial Black"/>
          <w:sz w:val="28"/>
          <w:szCs w:val="28"/>
        </w:rPr>
        <w:t xml:space="preserve">GA: PULSE OX MONITOR – NOT IN PCR – JURY </w:t>
      </w:r>
      <w:r w:rsidR="003054C5">
        <w:rPr>
          <w:rFonts w:ascii="Arial Black" w:hAnsi="Arial Black"/>
          <w:sz w:val="28"/>
          <w:szCs w:val="28"/>
        </w:rPr>
        <w:t>FINDS</w:t>
      </w:r>
      <w:r>
        <w:rPr>
          <w:rFonts w:ascii="Arial Black" w:hAnsi="Arial Black"/>
          <w:sz w:val="28"/>
          <w:szCs w:val="28"/>
        </w:rPr>
        <w:t xml:space="preserve"> NO LIAB </w:t>
      </w:r>
    </w:p>
    <w:p w14:paraId="4B962ABB" w14:textId="77777777" w:rsidR="00F04117" w:rsidRDefault="00F04117" w:rsidP="00F04117">
      <w:pPr>
        <w:pStyle w:val="NoSpacing"/>
        <w:rPr>
          <w:rFonts w:ascii="Arial Black" w:hAnsi="Arial Black"/>
          <w:sz w:val="28"/>
          <w:szCs w:val="28"/>
        </w:rPr>
      </w:pPr>
    </w:p>
    <w:p w14:paraId="464C2AC4" w14:textId="77777777" w:rsidR="007438A3" w:rsidRDefault="00F04117" w:rsidP="00F04117">
      <w:pPr>
        <w:pStyle w:val="NoSpacing"/>
      </w:pPr>
      <w:r>
        <w:t xml:space="preserve">On October 30, 2025, in </w:t>
      </w:r>
      <w:r w:rsidRPr="00062B36">
        <w:rPr>
          <w:u w:val="single"/>
        </w:rPr>
        <w:t>Wright v. Metro Ambulance Services, Inc</w:t>
      </w:r>
      <w:r>
        <w:t xml:space="preserve">., the </w:t>
      </w:r>
      <w:r w:rsidRPr="00B92007">
        <w:t>Court of Appeals of Georgia</w:t>
      </w:r>
      <w:r>
        <w:t xml:space="preserve"> held (3 to 0) that jury verdict for defense is affirmed. The lawsuit was brought by Dr. Joray Wright, as survivor and administrator of the Estate of Vanessa Banks.  Plaintiffs’ expert, cardiologist Dr. B</w:t>
      </w:r>
      <w:r w:rsidRPr="00B54144">
        <w:t>rian Swirsky,</w:t>
      </w:r>
      <w:r>
        <w:t xml:space="preserve"> testified by videotaped deposition that a patient’s oxygen saturation is a vital sign that must be taken by a pulse oximeter, and there was no such reading recorded </w:t>
      </w:r>
      <w:r w:rsidRPr="00E25A64">
        <w:t>as having been taken by Kern in Banks’s patient care record.</w:t>
      </w:r>
      <w:r>
        <w:t xml:space="preserve">  The cardiologist testified that Kern may have “fabricated” the 99% oxygen saturation level he reported to the hospital when requesting to administer a morphine 20 minutes from the hospital.  Defense expert, cardiologist Dr. </w:t>
      </w:r>
      <w:r w:rsidRPr="000B73D5">
        <w:t>Charles Wilmer</w:t>
      </w:r>
      <w:r>
        <w:t xml:space="preserve">, testified in person to the jury that paramedic continued speaking with </w:t>
      </w:r>
      <w:proofErr w:type="gramStart"/>
      <w:r>
        <w:t>patient</w:t>
      </w:r>
      <w:proofErr w:type="gramEnd"/>
      <w:r>
        <w:t xml:space="preserve"> during transport until she suddenly experienced respiratory depression leading to a fatal cardiac arrhythmia (VFIB).  The Court of Appeals rejected plaintiff’s argument that trial court abused its discretion by excluding the in-person testimony of their cardiologist (his videotaped testimony was shown to the jury) as a rebuttal witness after the defense cardiologist testified in person.  </w:t>
      </w:r>
    </w:p>
    <w:p w14:paraId="5AF21256" w14:textId="458B2C0F" w:rsidR="00F04117" w:rsidRPr="00B92007" w:rsidRDefault="005D3D7E" w:rsidP="00F04117">
      <w:pPr>
        <w:pStyle w:val="NoSpacing"/>
      </w:pPr>
      <w:hyperlink r:id="rId1946" w:history="1">
        <w:r w:rsidRPr="000F3B38">
          <w:rPr>
            <w:rStyle w:val="Hyperlink"/>
            <w:b/>
          </w:rPr>
          <w:t>https://cases.justia.com/georgia/court-of-appeals/2025-a25a1173.pdf?ts=1761847932</w:t>
        </w:r>
      </w:hyperlink>
    </w:p>
    <w:p w14:paraId="13B6553F" w14:textId="77777777" w:rsidR="00F04117" w:rsidRDefault="00F04117" w:rsidP="00F04117">
      <w:pPr>
        <w:pStyle w:val="NoSpacing"/>
      </w:pPr>
    </w:p>
    <w:p w14:paraId="54F109DB" w14:textId="77777777" w:rsidR="00F04117" w:rsidRDefault="00F04117" w:rsidP="00F04117">
      <w:pPr>
        <w:pStyle w:val="NoSpacing"/>
      </w:pPr>
      <w:r>
        <w:t>THE COURT HELD:</w:t>
      </w:r>
    </w:p>
    <w:p w14:paraId="3E140AB3" w14:textId="77777777" w:rsidR="00F04117" w:rsidRDefault="00F04117" w:rsidP="00F04117">
      <w:pPr>
        <w:pStyle w:val="NoSpacing"/>
      </w:pPr>
    </w:p>
    <w:p w14:paraId="21EB3D56" w14:textId="77777777" w:rsidR="00F04117" w:rsidRDefault="00F04117" w:rsidP="00F04117">
      <w:pPr>
        <w:pStyle w:val="NoSpacing"/>
        <w:ind w:left="720"/>
      </w:pPr>
      <w:r>
        <w:t xml:space="preserve">“The more prudent course in this case would have been for the trial court to allow Dr. Swirsky to testify in rebuttal to Dr. Wilmer’s theory regarding the GCS. Nevertheless, our de novo review of the full record does not evidence harm </w:t>
      </w:r>
      <w:proofErr w:type="gramStart"/>
      <w:r>
        <w:t>as a result of</w:t>
      </w:r>
      <w:proofErr w:type="gramEnd"/>
      <w:r>
        <w:t xml:space="preserve"> the trial court’s refusal to allow Swirsky’s testimony.</w:t>
      </w:r>
    </w:p>
    <w:p w14:paraId="589CCA95" w14:textId="77777777" w:rsidR="00F04117" w:rsidRDefault="00F04117" w:rsidP="00F04117">
      <w:pPr>
        <w:pStyle w:val="NoSpacing"/>
        <w:ind w:left="720"/>
      </w:pPr>
    </w:p>
    <w:p w14:paraId="121494C4" w14:textId="77777777" w:rsidR="00F04117" w:rsidRDefault="00F04117" w:rsidP="00F04117">
      <w:pPr>
        <w:pStyle w:val="NoSpacing"/>
        <w:ind w:left="720"/>
      </w:pPr>
      <w:r>
        <w:t>***</w:t>
      </w:r>
    </w:p>
    <w:p w14:paraId="3A9BE67D" w14:textId="77777777" w:rsidR="00F04117" w:rsidRDefault="00F04117" w:rsidP="00F04117">
      <w:pPr>
        <w:pStyle w:val="NoSpacing"/>
      </w:pPr>
    </w:p>
    <w:p w14:paraId="09E62799" w14:textId="77777777" w:rsidR="00F04117" w:rsidRDefault="00F04117" w:rsidP="00F04117">
      <w:pPr>
        <w:pStyle w:val="NoSpacing"/>
        <w:ind w:left="720"/>
      </w:pPr>
      <w:r>
        <w:t xml:space="preserve">[T]he </w:t>
      </w:r>
      <w:r w:rsidRPr="009433B1">
        <w:t>evidence showed that after the death of his mother, 63-year-old</w:t>
      </w:r>
      <w:r>
        <w:t xml:space="preserve"> </w:t>
      </w:r>
      <w:r w:rsidRPr="009433B1">
        <w:t>Vanessa Banks, Wright filed the instant wrongful death action against Metro on a</w:t>
      </w:r>
      <w:r>
        <w:t xml:space="preserve"> </w:t>
      </w:r>
      <w:r w:rsidRPr="009433B1">
        <w:t>theory of vicarious liability based on the negligence of its paramedic, Michael Kern.</w:t>
      </w:r>
      <w:r>
        <w:t xml:space="preserve"> </w:t>
      </w:r>
      <w:r w:rsidRPr="009433B1">
        <w:t>Testimony at trial showed that in the early morning hours of April 15, 2019, Banks was</w:t>
      </w:r>
      <w:r>
        <w:t xml:space="preserve"> </w:t>
      </w:r>
      <w:r w:rsidRPr="009433B1">
        <w:t>pushed from a second story window onto vegetation below. She survived the fall, and</w:t>
      </w:r>
      <w:r>
        <w:t xml:space="preserve"> </w:t>
      </w:r>
      <w:r w:rsidRPr="009433B1">
        <w:t>Metro’s ambulance arrived at 12:33 a.m. Banks was alert and oriented at the time of</w:t>
      </w:r>
      <w:r>
        <w:t xml:space="preserve"> </w:t>
      </w:r>
      <w:r w:rsidRPr="009433B1">
        <w:t xml:space="preserve">transport but complained of ten out of ten </w:t>
      </w:r>
      <w:proofErr w:type="gramStart"/>
      <w:r w:rsidRPr="009433B1">
        <w:t>pain</w:t>
      </w:r>
      <w:proofErr w:type="gramEnd"/>
      <w:r w:rsidRPr="009433B1">
        <w:t xml:space="preserve"> in her left side and abdomen.</w:t>
      </w:r>
    </w:p>
    <w:p w14:paraId="5D89D86B" w14:textId="77777777" w:rsidR="00F04117" w:rsidRDefault="00F04117" w:rsidP="00F04117">
      <w:pPr>
        <w:pStyle w:val="NoSpacing"/>
      </w:pPr>
    </w:p>
    <w:p w14:paraId="0C4077C9" w14:textId="77777777" w:rsidR="00F04117" w:rsidRDefault="00F04117" w:rsidP="00F04117">
      <w:pPr>
        <w:pStyle w:val="NoSpacing"/>
        <w:ind w:left="720"/>
      </w:pPr>
      <w:r>
        <w:t>Kern and technician Chayce Burton placed Banks on a backboard and collar to protect her spine. Kern testified that he took a baseline blood oxygen level with a handheld pulse oximeter prior to leaving the scene with Banks, and based on his observations of her, he did not consider her unstable. The ambulance left the scene around 12:45 a.m., and Kern treated Banks therein, attaching a four-line cardiac monitor and establishing an IV. Kern did not place a pulse oximeter to measure blood oxygen saturation during the trip.</w:t>
      </w:r>
    </w:p>
    <w:p w14:paraId="2040179D" w14:textId="77777777" w:rsidR="00F04117" w:rsidRDefault="00F04117" w:rsidP="00F04117">
      <w:pPr>
        <w:pStyle w:val="NoSpacing"/>
      </w:pPr>
    </w:p>
    <w:p w14:paraId="55D6A159" w14:textId="77777777" w:rsidR="00F04117" w:rsidRDefault="00F04117" w:rsidP="00F04117">
      <w:pPr>
        <w:pStyle w:val="NoSpacing"/>
        <w:ind w:left="720"/>
      </w:pPr>
      <w:r>
        <w:t xml:space="preserve">About 20 minutes away from the destination hospital, Kern sought approval from a doctor to give Banks morphine. Kern reported that Banks had a history of diabetes; was conscious, alert, and oriented with a Glasgow Coma Score (“GCS”) of 15; had pain in her lower lumbar and upper back; was tender on palpation; had a pulse rate of 88, normal sinus heart rhythm on the monitor, blood pressure of 150/90, and oxygen saturation of 99 percent on room air; and her breath was fast and shallow, which he scored at a 30 respiration rate. Instead of morphine, the doctor instructed Kern to administer 50 micrograms of fentanyl, which Kern gave Banks intravenously at 12:48 a.m. Kern testified the fentanyl did not reduce Banks’s pain, and she was alert and speaking after he administered it. The monitor recorded Banks’s heart rate approximately six times (12:42, 12:46, 12:51, 12:52, 12:56, and 1:02), and it recorded her blood pressure and </w:t>
      </w:r>
      <w:proofErr w:type="gramStart"/>
      <w:r>
        <w:t>mean</w:t>
      </w:r>
      <w:proofErr w:type="gramEnd"/>
      <w:r>
        <w:t xml:space="preserve"> arterial pressure three times (12:42, 12:52, and 1:02). Kern noted Banks’s respiratory rate, depth, and effort over the course of the ride.</w:t>
      </w:r>
    </w:p>
    <w:p w14:paraId="25F8BFD5" w14:textId="77777777" w:rsidR="00F04117" w:rsidRDefault="00F04117" w:rsidP="00F04117">
      <w:pPr>
        <w:pStyle w:val="NoSpacing"/>
      </w:pPr>
    </w:p>
    <w:p w14:paraId="52E40274" w14:textId="77777777" w:rsidR="00F04117" w:rsidRDefault="00F04117" w:rsidP="00F04117">
      <w:pPr>
        <w:pStyle w:val="NoSpacing"/>
        <w:ind w:left="720"/>
      </w:pPr>
      <w:r>
        <w:t xml:space="preserve">Around 1:06 a.m., Kern testified that they were about two minutes away from the hospital when Banks gasped, turned her head to the side, and became flushed and purple. Her breathing was agonal, she had no palpable pulse, and the heart monitor indicated that she was in ventricular fibrillation (“VFIB”). Kern started </w:t>
      </w:r>
      <w:r>
        <w:lastRenderedPageBreak/>
        <w:t xml:space="preserve">cardiopulmonary resuscitation (“CPR”), and after parking the ambulance (about two minutes after CPR began), Burton came back to assist </w:t>
      </w:r>
      <w:proofErr w:type="gramStart"/>
      <w:r>
        <w:t>in order for</w:t>
      </w:r>
      <w:proofErr w:type="gramEnd"/>
      <w:r>
        <w:t xml:space="preserve"> Kern to attempt to defibrillate Banks. Hospital </w:t>
      </w:r>
      <w:proofErr w:type="gramStart"/>
      <w:r>
        <w:t>personal</w:t>
      </w:r>
      <w:proofErr w:type="gramEnd"/>
      <w:r>
        <w:t xml:space="preserve"> from the ambulance bay joined the effort to resuscitate Banks, performing bag-assisted ventilation while Kern administered intravenous amiodarone, an antiarrhythmic medication, at 1:10 a.m. Metro’s crew turned care of Banks over to the hospital by 1:15 a.m. At 1:19 a.m., Banks was pronounced dead from what the medical examiner later determined to be ‘acute cardiac dysrhythmia complicating fall from height.’”</w:t>
      </w:r>
    </w:p>
    <w:p w14:paraId="103EFF33" w14:textId="77777777" w:rsidR="00F04117" w:rsidRDefault="00F04117" w:rsidP="00F04117">
      <w:pPr>
        <w:pStyle w:val="NoSpacing"/>
        <w:ind w:left="720"/>
      </w:pPr>
    </w:p>
    <w:p w14:paraId="5BD0FFF2" w14:textId="2D92B6E9" w:rsidR="00F04117" w:rsidRPr="006572CC" w:rsidRDefault="00F04117" w:rsidP="00F04117">
      <w:pPr>
        <w:pStyle w:val="NoSpacing"/>
        <w:rPr>
          <w:b/>
          <w:bCs/>
        </w:rPr>
      </w:pPr>
      <w:r>
        <w:rPr>
          <w:b/>
        </w:rPr>
        <w:t xml:space="preserve">Lesson learned: Avoid litigation, use pulse ox monitor during transport and record that in patient care report. </w:t>
      </w:r>
    </w:p>
    <w:p w14:paraId="0F7251F6" w14:textId="77777777" w:rsidR="00F04117" w:rsidRDefault="00F04117" w:rsidP="00004498">
      <w:pPr>
        <w:rPr>
          <w:rFonts w:ascii="Arial Black" w:hAnsi="Arial Black"/>
          <w:b/>
          <w:bCs/>
          <w:sz w:val="24"/>
          <w:szCs w:val="24"/>
        </w:rPr>
      </w:pPr>
    </w:p>
    <w:p w14:paraId="69141FB2" w14:textId="77777777" w:rsidR="00F04117" w:rsidRDefault="00F04117" w:rsidP="00004498">
      <w:pPr>
        <w:rPr>
          <w:rFonts w:ascii="Arial Black" w:hAnsi="Arial Black"/>
          <w:b/>
          <w:bCs/>
          <w:sz w:val="24"/>
          <w:szCs w:val="24"/>
        </w:rPr>
      </w:pPr>
    </w:p>
    <w:p w14:paraId="0EC8D52B" w14:textId="5B81DF82" w:rsidR="00F04117" w:rsidRDefault="00E42133" w:rsidP="00004498">
      <w:pPr>
        <w:rPr>
          <w:rFonts w:ascii="Arial Black" w:hAnsi="Arial Black"/>
          <w:b/>
          <w:bCs/>
          <w:sz w:val="24"/>
          <w:szCs w:val="24"/>
        </w:rPr>
      </w:pPr>
      <w:r>
        <w:rPr>
          <w:rFonts w:ascii="Arial Black" w:hAnsi="Arial Black"/>
          <w:b/>
          <w:bCs/>
          <w:sz w:val="24"/>
          <w:szCs w:val="24"/>
        </w:rPr>
        <w:t>13</w:t>
      </w:r>
      <w:r w:rsidR="00B77073">
        <w:rPr>
          <w:rFonts w:ascii="Arial Black" w:hAnsi="Arial Black"/>
          <w:b/>
          <w:bCs/>
          <w:sz w:val="24"/>
          <w:szCs w:val="24"/>
        </w:rPr>
        <w:t>—</w:t>
      </w:r>
      <w:r w:rsidR="00B15D17">
        <w:rPr>
          <w:rFonts w:ascii="Arial Black" w:hAnsi="Arial Black"/>
          <w:b/>
          <w:bCs/>
          <w:sz w:val="24"/>
          <w:szCs w:val="24"/>
        </w:rPr>
        <w:t>23</w:t>
      </w:r>
      <w:r w:rsidR="00524647">
        <w:rPr>
          <w:rFonts w:ascii="Arial Black" w:hAnsi="Arial Black"/>
          <w:b/>
          <w:bCs/>
          <w:sz w:val="24"/>
          <w:szCs w:val="24"/>
        </w:rPr>
        <w:t>1</w:t>
      </w:r>
    </w:p>
    <w:p w14:paraId="6E8BA226" w14:textId="1E1BAAB0" w:rsidR="00E42133" w:rsidRDefault="00E42133" w:rsidP="00E42133">
      <w:pPr>
        <w:pStyle w:val="NoSpacing"/>
        <w:rPr>
          <w:rFonts w:ascii="Arial Black" w:hAnsi="Arial Black"/>
          <w:b/>
          <w:sz w:val="28"/>
          <w:szCs w:val="28"/>
        </w:rPr>
      </w:pPr>
      <w:r>
        <w:rPr>
          <w:rFonts w:ascii="Arial Black" w:hAnsi="Arial Black"/>
          <w:b/>
          <w:sz w:val="28"/>
          <w:szCs w:val="28"/>
        </w:rPr>
        <w:t xml:space="preserve">PA: PT PUNCHED MEDIC IN AMBULANCE </w:t>
      </w:r>
      <w:r w:rsidR="008019DB">
        <w:rPr>
          <w:rFonts w:ascii="Arial Black" w:hAnsi="Arial Black"/>
          <w:b/>
          <w:sz w:val="28"/>
          <w:szCs w:val="28"/>
        </w:rPr>
        <w:t xml:space="preserve">– </w:t>
      </w:r>
      <w:r w:rsidR="004B5399">
        <w:rPr>
          <w:rFonts w:ascii="Arial Black" w:hAnsi="Arial Black"/>
          <w:b/>
          <w:sz w:val="28"/>
          <w:szCs w:val="28"/>
        </w:rPr>
        <w:t>RETRIAL – STANDBY ATTY</w:t>
      </w:r>
    </w:p>
    <w:p w14:paraId="7DD87E5E" w14:textId="77777777" w:rsidR="00E42133" w:rsidRDefault="00E42133" w:rsidP="00E42133">
      <w:pPr>
        <w:pStyle w:val="NoSpacing"/>
        <w:rPr>
          <w:rFonts w:ascii="Arial Black" w:hAnsi="Arial Black"/>
          <w:b/>
          <w:sz w:val="28"/>
          <w:szCs w:val="28"/>
        </w:rPr>
      </w:pPr>
    </w:p>
    <w:p w14:paraId="2E10FAF5" w14:textId="77777777" w:rsidR="00A5402C" w:rsidRDefault="00E42133" w:rsidP="00E42133">
      <w:pPr>
        <w:pStyle w:val="NoSpacing"/>
      </w:pPr>
      <w:r w:rsidRPr="00FD0472">
        <w:t xml:space="preserve">On October 25, 2025, in </w:t>
      </w:r>
      <w:r w:rsidRPr="00A107E9">
        <w:rPr>
          <w:u w:val="single"/>
        </w:rPr>
        <w:t>Commonwealth of Pennsylvania v. Roger Dean Hornberger</w:t>
      </w:r>
      <w:r>
        <w:t xml:space="preserve">, the </w:t>
      </w:r>
      <w:r w:rsidRPr="000761B1">
        <w:t>Superior Court of Pennsylvania</w:t>
      </w:r>
      <w:r>
        <w:t xml:space="preserve"> held (3 to 0; non-precedential decision) that defendant’s conviction for assaulting the paramedic and sentence of 21-42 months in prison must be set aside for a new trial.  Defendant pro se - represented himself at trial (trial court did appoint a “standby attorney” during the trial) but prior to selection of a jury the trial court judge did review with him each charge and possible sentences if convicted.</w:t>
      </w:r>
    </w:p>
    <w:p w14:paraId="7574D202" w14:textId="17A4F328" w:rsidR="00E42133" w:rsidRDefault="00E42133" w:rsidP="00E42133">
      <w:pPr>
        <w:pStyle w:val="NoSpacing"/>
        <w:rPr>
          <w:b/>
        </w:rPr>
      </w:pPr>
      <w:r>
        <w:t xml:space="preserve"> </w:t>
      </w:r>
      <w:hyperlink r:id="rId1947" w:history="1">
        <w:r w:rsidRPr="00937559">
          <w:rPr>
            <w:rStyle w:val="Hyperlink"/>
            <w:b/>
          </w:rPr>
          <w:t>https://www.pacourts.us/assets/opinions/Superior/out/J-A19045-25m%20-%20106549181332513446.pdf?cb=1</w:t>
        </w:r>
      </w:hyperlink>
      <w:r>
        <w:rPr>
          <w:b/>
        </w:rPr>
        <w:t xml:space="preserve"> </w:t>
      </w:r>
    </w:p>
    <w:p w14:paraId="1DA98C4B" w14:textId="77777777" w:rsidR="00E42133" w:rsidRDefault="00E42133" w:rsidP="00E42133">
      <w:pPr>
        <w:pStyle w:val="NoSpacing"/>
        <w:rPr>
          <w:b/>
        </w:rPr>
      </w:pPr>
    </w:p>
    <w:p w14:paraId="0C77CC93" w14:textId="77777777" w:rsidR="00E42133" w:rsidRDefault="00E42133" w:rsidP="00E42133">
      <w:pPr>
        <w:pStyle w:val="NoSpacing"/>
        <w:rPr>
          <w:bCs/>
        </w:rPr>
      </w:pPr>
      <w:r w:rsidRPr="00073BE7">
        <w:t>THE COURT HELD:</w:t>
      </w:r>
    </w:p>
    <w:p w14:paraId="6AEFE723" w14:textId="77777777" w:rsidR="00E42133" w:rsidRDefault="00E42133" w:rsidP="00E42133">
      <w:pPr>
        <w:pStyle w:val="NoSpacing"/>
        <w:rPr>
          <w:bCs/>
        </w:rPr>
      </w:pPr>
    </w:p>
    <w:p w14:paraId="10830B5A" w14:textId="77777777" w:rsidR="00E42133" w:rsidRDefault="00E42133" w:rsidP="00E42133">
      <w:pPr>
        <w:pStyle w:val="NoSpacing"/>
        <w:ind w:left="720"/>
        <w:rPr>
          <w:bCs/>
        </w:rPr>
      </w:pPr>
      <w:r>
        <w:t>“</w:t>
      </w:r>
      <w:r w:rsidRPr="008028D9">
        <w:t>This matter arises from a domestic violence call on September 3, 2023.</w:t>
      </w:r>
      <w:r>
        <w:t xml:space="preserve"> </w:t>
      </w:r>
      <w:r w:rsidRPr="008028D9">
        <w:t>Trooper John Ryan Herold of the Pennsylvania State Police responded to</w:t>
      </w:r>
      <w:r>
        <w:t xml:space="preserve"> </w:t>
      </w:r>
      <w:r w:rsidRPr="008028D9">
        <w:t>Appellant’s house, where he and other troopers discovered that Appellant had</w:t>
      </w:r>
      <w:r>
        <w:t xml:space="preserve"> </w:t>
      </w:r>
      <w:r w:rsidRPr="008028D9">
        <w:t>fallen or jumped from the second story window. Upon contact with Appellant</w:t>
      </w:r>
      <w:r>
        <w:t xml:space="preserve"> </w:t>
      </w:r>
      <w:r w:rsidRPr="008028D9">
        <w:t>outside, Trooper Herold saw that he was holding a red container filled with a</w:t>
      </w:r>
      <w:r>
        <w:t xml:space="preserve"> </w:t>
      </w:r>
      <w:r w:rsidRPr="008028D9">
        <w:t xml:space="preserve">white powdery substance, later identified as </w:t>
      </w:r>
      <w:r>
        <w:t>m</w:t>
      </w:r>
      <w:r w:rsidRPr="008028D9">
        <w:t>ethamphetamine. Instead of</w:t>
      </w:r>
      <w:r>
        <w:t xml:space="preserve"> </w:t>
      </w:r>
      <w:r w:rsidRPr="008028D9">
        <w:t>immediately detaining Appellant and placing him in a cruiser, the troopers</w:t>
      </w:r>
      <w:r>
        <w:t xml:space="preserve"> </w:t>
      </w:r>
      <w:r w:rsidRPr="008028D9">
        <w:t>called an ambulance to transport him to the hospital based on a complaint of</w:t>
      </w:r>
      <w:r>
        <w:t xml:space="preserve"> </w:t>
      </w:r>
      <w:r w:rsidRPr="00FE6C43">
        <w:t xml:space="preserve">back pain. </w:t>
      </w:r>
    </w:p>
    <w:p w14:paraId="0E5722E3" w14:textId="77777777" w:rsidR="00E42133" w:rsidRDefault="00E42133" w:rsidP="00E42133">
      <w:pPr>
        <w:pStyle w:val="NoSpacing"/>
        <w:ind w:left="720"/>
        <w:rPr>
          <w:bCs/>
        </w:rPr>
      </w:pPr>
    </w:p>
    <w:p w14:paraId="3FE211DE" w14:textId="77777777" w:rsidR="00E42133" w:rsidRPr="00FE6C43" w:rsidRDefault="00E42133" w:rsidP="00E42133">
      <w:pPr>
        <w:pStyle w:val="NoSpacing"/>
        <w:ind w:left="720"/>
        <w:rPr>
          <w:bCs/>
        </w:rPr>
      </w:pPr>
      <w:r w:rsidRPr="00FE6C43">
        <w:t>He was strapped to a stretcher in the back of the ambulance and</w:t>
      </w:r>
      <w:r>
        <w:t xml:space="preserve"> </w:t>
      </w:r>
      <w:r w:rsidRPr="00FE6C43">
        <w:t>fell asleep.</w:t>
      </w:r>
      <w:r>
        <w:t xml:space="preserve"> </w:t>
      </w:r>
      <w:r w:rsidRPr="00FE6C43">
        <w:t>Once in motion, Tracy Finnefrach, a paramedic, began her diagnostics</w:t>
      </w:r>
      <w:r>
        <w:t xml:space="preserve"> </w:t>
      </w:r>
      <w:r w:rsidRPr="00FE6C43">
        <w:t>as Appellant awoke from his slumber. He suddenly broke free of his restraints,</w:t>
      </w:r>
      <w:r>
        <w:t xml:space="preserve"> </w:t>
      </w:r>
      <w:r w:rsidRPr="00FE6C43">
        <w:t xml:space="preserve">jumped up from the stretcher, and claimed that Ms. </w:t>
      </w:r>
      <w:proofErr w:type="spellStart"/>
      <w:r w:rsidRPr="00FE6C43">
        <w:t>Finnefrach</w:t>
      </w:r>
      <w:proofErr w:type="spellEnd"/>
      <w:r w:rsidRPr="00FE6C43">
        <w:t xml:space="preserve"> was trying to</w:t>
      </w:r>
      <w:r>
        <w:t xml:space="preserve"> </w:t>
      </w:r>
      <w:r w:rsidRPr="00FE6C43">
        <w:t>kill him. He eventually punched her once in the forehead and again in the</w:t>
      </w:r>
      <w:r>
        <w:t xml:space="preserve"> </w:t>
      </w:r>
      <w:r w:rsidRPr="00FE6C43">
        <w:t>jaw. The ambulance driver, Jayden Cornman, observed Appellant attacking</w:t>
      </w:r>
      <w:r>
        <w:t xml:space="preserve"> </w:t>
      </w:r>
      <w:r w:rsidRPr="00FE6C43">
        <w:t xml:space="preserve">Ms. </w:t>
      </w:r>
      <w:proofErr w:type="spellStart"/>
      <w:r w:rsidRPr="00FE6C43">
        <w:t>Finnefrach</w:t>
      </w:r>
      <w:proofErr w:type="spellEnd"/>
      <w:r w:rsidRPr="00FE6C43">
        <w:t>. He tried to pull the vehicle over, but Appellant reached</w:t>
      </w:r>
      <w:r>
        <w:t xml:space="preserve"> </w:t>
      </w:r>
      <w:r w:rsidRPr="00FE6C43">
        <w:t>through the partition window and pulled on the collar of Mr. Cornman’s shirt,</w:t>
      </w:r>
    </w:p>
    <w:p w14:paraId="5ED43C5A" w14:textId="77777777" w:rsidR="00E42133" w:rsidRDefault="00E42133" w:rsidP="00E42133">
      <w:pPr>
        <w:pStyle w:val="NoSpacing"/>
        <w:ind w:left="720"/>
        <w:rPr>
          <w:bCs/>
        </w:rPr>
      </w:pPr>
      <w:r w:rsidRPr="00FE6C43">
        <w:t>restricting his breathing. Once the driver finally stopped the vehicle, Appellant</w:t>
      </w:r>
      <w:r>
        <w:t xml:space="preserve"> </w:t>
      </w:r>
      <w:r w:rsidRPr="00FE6C43">
        <w:t>jumped through the divider opening and exited the driver’s side door.</w:t>
      </w:r>
      <w:r>
        <w:t xml:space="preserve"> </w:t>
      </w:r>
      <w:r w:rsidRPr="00FE6C43">
        <w:t>Troopers arrived shortly thereafter and transported him to the hospital in a</w:t>
      </w:r>
      <w:r>
        <w:t xml:space="preserve"> </w:t>
      </w:r>
      <w:r w:rsidRPr="00FE6C43">
        <w:t>patrol car.</w:t>
      </w:r>
    </w:p>
    <w:p w14:paraId="0F1C2636" w14:textId="77777777" w:rsidR="00E42133" w:rsidRDefault="00E42133" w:rsidP="00E42133">
      <w:pPr>
        <w:pStyle w:val="NoSpacing"/>
        <w:ind w:left="720"/>
        <w:rPr>
          <w:bCs/>
        </w:rPr>
      </w:pPr>
    </w:p>
    <w:p w14:paraId="45F28D1B" w14:textId="77777777" w:rsidR="00E42133" w:rsidRDefault="00E42133" w:rsidP="00E42133">
      <w:pPr>
        <w:pStyle w:val="NoSpacing"/>
        <w:ind w:left="720"/>
        <w:rPr>
          <w:bCs/>
        </w:rPr>
      </w:pPr>
      <w:r>
        <w:t>***</w:t>
      </w:r>
    </w:p>
    <w:p w14:paraId="051C1416" w14:textId="77777777" w:rsidR="00E42133" w:rsidRDefault="00E42133" w:rsidP="00E42133">
      <w:pPr>
        <w:pStyle w:val="NoSpacing"/>
        <w:ind w:left="720"/>
        <w:rPr>
          <w:bCs/>
        </w:rPr>
      </w:pPr>
      <w:r w:rsidRPr="00061D0A">
        <w:t xml:space="preserve">Based on the </w:t>
      </w:r>
      <w:proofErr w:type="gramStart"/>
      <w:r w:rsidRPr="00061D0A">
        <w:t>aforementioned events</w:t>
      </w:r>
      <w:proofErr w:type="gramEnd"/>
      <w:r w:rsidRPr="00061D0A">
        <w:t>, Appellant was charged with two</w:t>
      </w:r>
      <w:r>
        <w:t xml:space="preserve"> </w:t>
      </w:r>
      <w:r w:rsidRPr="00061D0A">
        <w:t>counts of recklessly endangering another person, and one count each of</w:t>
      </w:r>
      <w:r>
        <w:t xml:space="preserve"> </w:t>
      </w:r>
      <w:r w:rsidRPr="00061D0A">
        <w:t>aggravated assault, simple assault, resisting arrest, possession/use of drug</w:t>
      </w:r>
      <w:r>
        <w:t xml:space="preserve"> </w:t>
      </w:r>
      <w:r w:rsidRPr="00061D0A">
        <w:t>paraphernalia, and possession of a controlled substance. Appellant neglected</w:t>
      </w:r>
      <w:r>
        <w:t xml:space="preserve"> </w:t>
      </w:r>
      <w:r w:rsidRPr="00061D0A">
        <w:t>to appear at the pretrial conference. Consequently, the court issued a bench</w:t>
      </w:r>
      <w:r>
        <w:t xml:space="preserve"> </w:t>
      </w:r>
      <w:r w:rsidRPr="00061D0A">
        <w:t>warrant and Appellant was arrested.</w:t>
      </w:r>
    </w:p>
    <w:p w14:paraId="213B4A37" w14:textId="77777777" w:rsidR="00E42133" w:rsidRDefault="00E42133" w:rsidP="00E42133">
      <w:pPr>
        <w:pStyle w:val="NoSpacing"/>
        <w:ind w:left="720"/>
        <w:rPr>
          <w:bCs/>
        </w:rPr>
      </w:pPr>
    </w:p>
    <w:p w14:paraId="7A9AD89F" w14:textId="77777777" w:rsidR="00E42133" w:rsidRDefault="00E42133" w:rsidP="00E42133">
      <w:pPr>
        <w:pStyle w:val="NoSpacing"/>
        <w:ind w:left="720"/>
        <w:rPr>
          <w:bCs/>
        </w:rPr>
      </w:pPr>
      <w:r>
        <w:t>***</w:t>
      </w:r>
    </w:p>
    <w:p w14:paraId="21755841" w14:textId="77777777" w:rsidR="00E42133" w:rsidRPr="00073BE7" w:rsidRDefault="00E42133" w:rsidP="00E42133">
      <w:pPr>
        <w:pStyle w:val="NoSpacing"/>
        <w:ind w:left="720"/>
        <w:rPr>
          <w:bCs/>
        </w:rPr>
      </w:pPr>
    </w:p>
    <w:p w14:paraId="2DC77F45" w14:textId="77777777" w:rsidR="00E42133" w:rsidRPr="00716FF2" w:rsidRDefault="00E42133" w:rsidP="00E42133">
      <w:pPr>
        <w:pStyle w:val="NoSpacing"/>
        <w:ind w:left="720"/>
        <w:rPr>
          <w:bCs/>
        </w:rPr>
      </w:pPr>
      <w:r w:rsidRPr="004145EE">
        <w:t>The court failed to</w:t>
      </w:r>
      <w:r>
        <w:t xml:space="preserve"> </w:t>
      </w:r>
      <w:r w:rsidRPr="004145EE">
        <w:t>list the specific crimes, explain the nature of the charges, and identify the</w:t>
      </w:r>
      <w:r>
        <w:t xml:space="preserve"> </w:t>
      </w:r>
      <w:r w:rsidRPr="004145EE">
        <w:t>elements that constitute those offenses. We appreciate the Commonwealth’s</w:t>
      </w:r>
      <w:r>
        <w:t xml:space="preserve"> </w:t>
      </w:r>
      <w:r w:rsidRPr="004145EE">
        <w:t xml:space="preserve">effort to supplement the court’s colloquy by </w:t>
      </w:r>
      <w:r w:rsidRPr="004145EE">
        <w:lastRenderedPageBreak/>
        <w:t>reiterating the name of the</w:t>
      </w:r>
      <w:r>
        <w:t xml:space="preserve"> </w:t>
      </w:r>
      <w:r w:rsidRPr="004145EE">
        <w:t>assault- and drug-related charges brought against Appellant. However, the</w:t>
      </w:r>
      <w:r>
        <w:t xml:space="preserve"> </w:t>
      </w:r>
      <w:r w:rsidRPr="004145EE">
        <w:t>Commonwealth also neglected to articulate the nature of those crimes or the</w:t>
      </w:r>
      <w:r>
        <w:t xml:space="preserve"> </w:t>
      </w:r>
      <w:r w:rsidRPr="004145EE">
        <w:t>elements thereof</w:t>
      </w:r>
      <w:r>
        <w:t xml:space="preserve">…. </w:t>
      </w:r>
      <w:r w:rsidRPr="008F6604">
        <w:t xml:space="preserve">Additionally, the court omitted from the colloquy the </w:t>
      </w:r>
      <w:r>
        <w:t>‘</w:t>
      </w:r>
      <w:r w:rsidRPr="008F6604">
        <w:t>permissible range</w:t>
      </w:r>
      <w:r>
        <w:t xml:space="preserve"> </w:t>
      </w:r>
      <w:r w:rsidRPr="008F6604">
        <w:t>of sentences and/or fines for the offenses charged[.]</w:t>
      </w:r>
      <w:r>
        <w:t>’</w:t>
      </w:r>
      <w:r w:rsidRPr="008F6604">
        <w:t xml:space="preserve"> See </w:t>
      </w:r>
      <w:proofErr w:type="spellStart"/>
      <w:r w:rsidRPr="008F6604">
        <w:t>Pa.R.Crim.P</w:t>
      </w:r>
      <w:proofErr w:type="spellEnd"/>
      <w:r w:rsidRPr="008F6604">
        <w:t>.</w:t>
      </w:r>
      <w:r>
        <w:t xml:space="preserve"> </w:t>
      </w:r>
      <w:r w:rsidRPr="00716FF2">
        <w:t>J-A19045-25</w:t>
      </w:r>
      <w:r>
        <w:t xml:space="preserve">.” </w:t>
      </w:r>
    </w:p>
    <w:p w14:paraId="596A42BF" w14:textId="77777777" w:rsidR="00E42133" w:rsidRDefault="00E42133" w:rsidP="00E42133">
      <w:pPr>
        <w:pStyle w:val="NoSpacing"/>
        <w:ind w:left="720"/>
        <w:rPr>
          <w:bCs/>
        </w:rPr>
      </w:pPr>
    </w:p>
    <w:p w14:paraId="5C8F7A91" w14:textId="1A7524F7" w:rsidR="00E42133" w:rsidRPr="00716FF2" w:rsidRDefault="00E42133" w:rsidP="00E42133">
      <w:pPr>
        <w:pStyle w:val="NoSpacing"/>
        <w:rPr>
          <w:b/>
        </w:rPr>
      </w:pPr>
      <w:r>
        <w:rPr>
          <w:b/>
        </w:rPr>
        <w:t xml:space="preserve">Lesson learned:  Helpful to have PD ride in the ambulance when transporting patient they arrested. </w:t>
      </w:r>
    </w:p>
    <w:p w14:paraId="075DFD12" w14:textId="77777777" w:rsidR="00E42133" w:rsidRDefault="00E42133" w:rsidP="00E42133">
      <w:pPr>
        <w:pStyle w:val="NoSpacing"/>
        <w:ind w:left="720"/>
        <w:rPr>
          <w:bCs/>
        </w:rPr>
      </w:pPr>
    </w:p>
    <w:p w14:paraId="3BC260B3" w14:textId="77777777" w:rsidR="00E42133" w:rsidRDefault="00E42133" w:rsidP="00E42133">
      <w:pPr>
        <w:pStyle w:val="NoSpacing"/>
        <w:rPr>
          <w:b/>
        </w:rPr>
      </w:pPr>
    </w:p>
    <w:p w14:paraId="6E55E687" w14:textId="58538B23" w:rsidR="00B15D17" w:rsidRDefault="00E42133" w:rsidP="00004498">
      <w:pPr>
        <w:rPr>
          <w:rFonts w:ascii="Arial Black" w:hAnsi="Arial Black"/>
          <w:b/>
          <w:bCs/>
          <w:sz w:val="24"/>
          <w:szCs w:val="24"/>
        </w:rPr>
      </w:pPr>
      <w:r>
        <w:rPr>
          <w:rFonts w:ascii="Arial Black" w:hAnsi="Arial Black"/>
          <w:b/>
          <w:bCs/>
          <w:sz w:val="24"/>
          <w:szCs w:val="24"/>
        </w:rPr>
        <w:t>13-2</w:t>
      </w:r>
      <w:r w:rsidR="00C519F1">
        <w:rPr>
          <w:rFonts w:ascii="Arial Black" w:hAnsi="Arial Black"/>
          <w:b/>
          <w:bCs/>
          <w:sz w:val="24"/>
          <w:szCs w:val="24"/>
        </w:rPr>
        <w:t>3</w:t>
      </w:r>
      <w:r w:rsidR="00524647">
        <w:rPr>
          <w:rFonts w:ascii="Arial Black" w:hAnsi="Arial Black"/>
          <w:b/>
          <w:bCs/>
          <w:sz w:val="24"/>
          <w:szCs w:val="24"/>
        </w:rPr>
        <w:t>0</w:t>
      </w:r>
    </w:p>
    <w:p w14:paraId="6B8526AA" w14:textId="378D3AD7" w:rsidR="006B067A" w:rsidRPr="008D675E" w:rsidRDefault="006B067A" w:rsidP="006B067A">
      <w:pPr>
        <w:pStyle w:val="NoSpacing"/>
        <w:rPr>
          <w:rFonts w:ascii="Arial Black" w:hAnsi="Arial Black"/>
          <w:sz w:val="28"/>
          <w:szCs w:val="28"/>
        </w:rPr>
      </w:pPr>
      <w:r>
        <w:rPr>
          <w:rFonts w:ascii="Arial Black" w:hAnsi="Arial Black"/>
          <w:sz w:val="28"/>
          <w:szCs w:val="28"/>
        </w:rPr>
        <w:t xml:space="preserve">KS: EMS WELFARE CHECK –  WARRANT / </w:t>
      </w:r>
      <w:r w:rsidR="00DD4DF6">
        <w:rPr>
          <w:rFonts w:ascii="Arial Black" w:hAnsi="Arial Black"/>
          <w:sz w:val="28"/>
          <w:szCs w:val="28"/>
        </w:rPr>
        <w:t>METH</w:t>
      </w:r>
      <w:r w:rsidR="009C6F45">
        <w:rPr>
          <w:rFonts w:ascii="Arial Black" w:hAnsi="Arial Black"/>
          <w:sz w:val="28"/>
          <w:szCs w:val="28"/>
        </w:rPr>
        <w:t xml:space="preserve"> CONV</w:t>
      </w:r>
      <w:r w:rsidR="00DD4DF6">
        <w:rPr>
          <w:rFonts w:ascii="Arial Black" w:hAnsi="Arial Black"/>
          <w:sz w:val="28"/>
          <w:szCs w:val="28"/>
        </w:rPr>
        <w:t xml:space="preserve"> </w:t>
      </w:r>
      <w:r>
        <w:rPr>
          <w:rFonts w:ascii="Arial Black" w:hAnsi="Arial Black"/>
          <w:sz w:val="28"/>
          <w:szCs w:val="28"/>
        </w:rPr>
        <w:t>SET ASIDE</w:t>
      </w:r>
    </w:p>
    <w:p w14:paraId="6E292CC2" w14:textId="77777777" w:rsidR="006B067A" w:rsidRDefault="006B067A" w:rsidP="006B067A">
      <w:pPr>
        <w:spacing w:after="0"/>
      </w:pPr>
    </w:p>
    <w:p w14:paraId="3CA708FC" w14:textId="77777777" w:rsidR="006B067A" w:rsidRDefault="006B067A" w:rsidP="006B067A">
      <w:pPr>
        <w:spacing w:after="0"/>
        <w:rPr>
          <w:b/>
        </w:rPr>
      </w:pPr>
      <w:r>
        <w:t xml:space="preserve">On Oct. 24, 2025, in </w:t>
      </w:r>
      <w:r w:rsidRPr="002D085A">
        <w:rPr>
          <w:u w:val="single"/>
        </w:rPr>
        <w:t>State of Kansas v. Nicole Willard</w:t>
      </w:r>
      <w:r>
        <w:t xml:space="preserve">, the </w:t>
      </w:r>
      <w:r w:rsidRPr="002D085A">
        <w:t>Court of Appeals of Kansas</w:t>
      </w:r>
      <w:r>
        <w:t xml:space="preserve"> held (2 to 1; unpublished decision) that the warrant check by police, after EMS vitals were checked, was a violation of 4</w:t>
      </w:r>
      <w:r w:rsidRPr="00AD4D18">
        <w:rPr>
          <w:vertAlign w:val="superscript"/>
        </w:rPr>
        <w:t>th</w:t>
      </w:r>
      <w:r>
        <w:t xml:space="preserve"> Amendment, and her conviction for possession of methamphetamine and drug paraphernalia, discovered at the jail, is reversed.  </w:t>
      </w:r>
      <w:hyperlink r:id="rId1948" w:history="1">
        <w:r w:rsidRPr="00E37B9B">
          <w:rPr>
            <w:rStyle w:val="Hyperlink"/>
            <w:b/>
          </w:rPr>
          <w:t>https://searchdro.kscourts.gov/documents/pdf/caseDecisions/d2d9aca8-0558-406d-9148-9139f4e8d305_125812.pdf</w:t>
        </w:r>
      </w:hyperlink>
      <w:r>
        <w:rPr>
          <w:b/>
        </w:rPr>
        <w:t xml:space="preserve"> </w:t>
      </w:r>
    </w:p>
    <w:p w14:paraId="6F1084C9" w14:textId="77777777" w:rsidR="006B067A" w:rsidRDefault="006B067A" w:rsidP="006B067A">
      <w:pPr>
        <w:spacing w:after="0"/>
      </w:pPr>
    </w:p>
    <w:p w14:paraId="67C2F9AB" w14:textId="77777777" w:rsidR="006B067A" w:rsidRDefault="006B067A" w:rsidP="006B067A">
      <w:pPr>
        <w:spacing w:after="0"/>
      </w:pPr>
      <w:r>
        <w:t>THE COURT HELD:</w:t>
      </w:r>
    </w:p>
    <w:p w14:paraId="3DF10FA1" w14:textId="77777777" w:rsidR="006B067A" w:rsidRDefault="006B067A" w:rsidP="006B067A">
      <w:pPr>
        <w:spacing w:after="0"/>
      </w:pPr>
    </w:p>
    <w:p w14:paraId="63F16CA7" w14:textId="77777777" w:rsidR="006B067A" w:rsidRDefault="006B067A" w:rsidP="006B067A">
      <w:pPr>
        <w:spacing w:after="0"/>
        <w:ind w:left="720"/>
      </w:pPr>
      <w:r>
        <w:t xml:space="preserve">“On May 13, 2021, Nicole Willard was the subject of a welfare check after a civilian reported that someone was unconscious under a bridge in Hutchinson, Kansas. Hutchinson Fire Department (HFD) firefighters initially responded, </w:t>
      </w:r>
      <w:proofErr w:type="gramStart"/>
      <w:r>
        <w:t>making contact with</w:t>
      </w:r>
      <w:proofErr w:type="gramEnd"/>
      <w:r>
        <w:t xml:space="preserve"> Willard and offering her aid, which she refused. A few minutes later, Sergeant Cole Long of the Hutchinson Police Department (HPD) arrived.</w:t>
      </w:r>
    </w:p>
    <w:p w14:paraId="3FE2225A" w14:textId="77777777" w:rsidR="006B067A" w:rsidRDefault="006B067A" w:rsidP="006B067A">
      <w:pPr>
        <w:spacing w:after="0"/>
      </w:pPr>
    </w:p>
    <w:p w14:paraId="614CAECF" w14:textId="77777777" w:rsidR="006B067A" w:rsidRDefault="006B067A" w:rsidP="006B067A">
      <w:pPr>
        <w:spacing w:after="0"/>
        <w:ind w:firstLine="720"/>
      </w:pPr>
      <w:r>
        <w:t>Less than three minutes after Long arrived on the scene, Captain Ian Arndt of the</w:t>
      </w:r>
    </w:p>
    <w:p w14:paraId="55DB2C6A" w14:textId="77777777" w:rsidR="006B067A" w:rsidRDefault="006B067A" w:rsidP="006B067A">
      <w:pPr>
        <w:spacing w:after="0"/>
        <w:ind w:left="720"/>
      </w:pPr>
      <w:r>
        <w:t>Hutchinson Fire Department provided Willard's name to Long, and Long immediately stepped away, contacted dispatch, and requested a warrant check. Long learned that Willard was the subject of a warrant.</w:t>
      </w:r>
    </w:p>
    <w:p w14:paraId="5443C9F4" w14:textId="77777777" w:rsidR="006B067A" w:rsidRDefault="006B067A" w:rsidP="006B067A">
      <w:pPr>
        <w:pStyle w:val="NoSpacing"/>
        <w:ind w:firstLine="720"/>
      </w:pPr>
    </w:p>
    <w:p w14:paraId="47A7819D" w14:textId="77777777" w:rsidR="006B067A" w:rsidRDefault="006B067A" w:rsidP="006B067A">
      <w:pPr>
        <w:pStyle w:val="NoSpacing"/>
        <w:ind w:firstLine="720"/>
      </w:pPr>
      <w:r>
        <w:t>***</w:t>
      </w:r>
    </w:p>
    <w:p w14:paraId="00243410" w14:textId="77777777" w:rsidR="006B067A" w:rsidRPr="00BD54FC" w:rsidRDefault="006B067A" w:rsidP="006B067A">
      <w:pPr>
        <w:pStyle w:val="NoSpacing"/>
        <w:ind w:firstLine="720"/>
      </w:pPr>
      <w:r w:rsidRPr="00BD54FC">
        <w:t>Thus, in Kansas, a welfare check cannot lawfully be extended by running a</w:t>
      </w:r>
    </w:p>
    <w:p w14:paraId="07EDFCFE" w14:textId="77777777" w:rsidR="006B067A" w:rsidRPr="00BD54FC" w:rsidRDefault="006B067A" w:rsidP="006B067A">
      <w:pPr>
        <w:pStyle w:val="NoSpacing"/>
        <w:ind w:firstLine="720"/>
      </w:pPr>
      <w:r w:rsidRPr="00BD54FC">
        <w:t xml:space="preserve">warrant check without good reason. </w:t>
      </w:r>
      <w:r>
        <w:t>‘</w:t>
      </w:r>
      <w:r w:rsidRPr="00BD54FC">
        <w:t>Our caselaw makes it clear that police may not</w:t>
      </w:r>
    </w:p>
    <w:p w14:paraId="500F5213" w14:textId="77777777" w:rsidR="006B067A" w:rsidRPr="00BD54FC" w:rsidRDefault="006B067A" w:rsidP="006B067A">
      <w:pPr>
        <w:pStyle w:val="NoSpacing"/>
        <w:ind w:firstLine="720"/>
      </w:pPr>
      <w:r w:rsidRPr="00BD54FC">
        <w:t>lawfully extend a welfare check by running a warrant check on an individual who is the</w:t>
      </w:r>
    </w:p>
    <w:p w14:paraId="76CC74C9" w14:textId="77777777" w:rsidR="006B067A" w:rsidRPr="00BD54FC" w:rsidRDefault="006B067A" w:rsidP="006B067A">
      <w:pPr>
        <w:pStyle w:val="NoSpacing"/>
        <w:ind w:firstLine="720"/>
      </w:pPr>
      <w:r w:rsidRPr="00BD54FC">
        <w:t>subject of the check unless some other circumstances support prolonging the check and</w:t>
      </w:r>
    </w:p>
    <w:p w14:paraId="1CA94865" w14:textId="77777777" w:rsidR="006B067A" w:rsidRDefault="006B067A" w:rsidP="006B067A">
      <w:pPr>
        <w:pStyle w:val="NoSpacing"/>
        <w:ind w:firstLine="720"/>
      </w:pPr>
      <w:r w:rsidRPr="00BD54FC">
        <w:t>converting it into a detention.</w:t>
      </w:r>
      <w:r>
        <w:t>’</w:t>
      </w:r>
      <w:r w:rsidRPr="00BD54FC">
        <w:t xml:space="preserve"> 311 Kan. at 932.</w:t>
      </w:r>
    </w:p>
    <w:p w14:paraId="254B0A75" w14:textId="77777777" w:rsidR="006B067A" w:rsidRDefault="006B067A" w:rsidP="006B067A">
      <w:pPr>
        <w:pStyle w:val="NoSpacing"/>
      </w:pPr>
    </w:p>
    <w:p w14:paraId="4ADCF415" w14:textId="77777777" w:rsidR="006B067A" w:rsidRDefault="006B067A" w:rsidP="006B067A">
      <w:pPr>
        <w:pStyle w:val="NoSpacing"/>
        <w:ind w:firstLine="720"/>
      </w:pPr>
      <w:r>
        <w:t>***</w:t>
      </w:r>
    </w:p>
    <w:p w14:paraId="198CB1B5" w14:textId="77777777" w:rsidR="006B067A" w:rsidRDefault="006B067A" w:rsidP="006B067A">
      <w:pPr>
        <w:pStyle w:val="NoSpacing"/>
        <w:ind w:firstLine="720"/>
      </w:pPr>
      <w:r>
        <w:t>This brings us to the third factor—once the officer is assured that the citizen is not</w:t>
      </w:r>
    </w:p>
    <w:p w14:paraId="458A2BB2" w14:textId="77777777" w:rsidR="006B067A" w:rsidRDefault="006B067A" w:rsidP="006B067A">
      <w:pPr>
        <w:pStyle w:val="NoSpacing"/>
        <w:ind w:firstLine="720"/>
      </w:pPr>
      <w:r>
        <w:t>in peril or is no longer in need of assistance, any actions beyond that constitute a seizure,</w:t>
      </w:r>
    </w:p>
    <w:p w14:paraId="60BB1551" w14:textId="77777777" w:rsidR="006B067A" w:rsidRDefault="006B067A" w:rsidP="006B067A">
      <w:pPr>
        <w:pStyle w:val="NoSpacing"/>
        <w:ind w:firstLine="720"/>
      </w:pPr>
      <w:r>
        <w:t>implicating the protections provided by the Fourth Amendment. Gonzales, 36 Kan. App.</w:t>
      </w:r>
    </w:p>
    <w:p w14:paraId="042DB379" w14:textId="77777777" w:rsidR="006B067A" w:rsidRDefault="006B067A" w:rsidP="006B067A">
      <w:pPr>
        <w:pStyle w:val="NoSpacing"/>
        <w:ind w:firstLine="720"/>
      </w:pPr>
      <w:r>
        <w:t xml:space="preserve">2d at 456. Once Willard refused care, and </w:t>
      </w:r>
      <w:proofErr w:type="gramStart"/>
      <w:r>
        <w:t>Long</w:t>
      </w:r>
      <w:proofErr w:type="gramEnd"/>
      <w:r>
        <w:t xml:space="preserve"> and the firefighters </w:t>
      </w:r>
      <w:proofErr w:type="gramStart"/>
      <w:r>
        <w:t>decided</w:t>
      </w:r>
      <w:proofErr w:type="gramEnd"/>
      <w:r>
        <w:t xml:space="preserve"> her friend</w:t>
      </w:r>
    </w:p>
    <w:p w14:paraId="684AE3C6" w14:textId="77777777" w:rsidR="006B067A" w:rsidRDefault="006B067A" w:rsidP="006B067A">
      <w:pPr>
        <w:pStyle w:val="NoSpacing"/>
        <w:ind w:firstLine="720"/>
      </w:pPr>
      <w:r>
        <w:t>could come pick her up, it was clear that she was not in peril and no longer in need of</w:t>
      </w:r>
    </w:p>
    <w:p w14:paraId="1C111353" w14:textId="77777777" w:rsidR="006B067A" w:rsidRDefault="006B067A" w:rsidP="006B067A">
      <w:pPr>
        <w:pStyle w:val="NoSpacing"/>
        <w:ind w:firstLine="720"/>
      </w:pPr>
      <w:r>
        <w:t>assistance. It was at this point the encounter should have ended.”</w:t>
      </w:r>
    </w:p>
    <w:p w14:paraId="561F1C4F" w14:textId="77777777" w:rsidR="006B067A" w:rsidRDefault="006B067A" w:rsidP="006B067A">
      <w:pPr>
        <w:pStyle w:val="NoSpacing"/>
      </w:pPr>
    </w:p>
    <w:p w14:paraId="028DF5A5" w14:textId="77777777" w:rsidR="006B067A" w:rsidRDefault="006B067A" w:rsidP="006B067A">
      <w:pPr>
        <w:pStyle w:val="NoSpacing"/>
      </w:pPr>
    </w:p>
    <w:p w14:paraId="1B15607C" w14:textId="77777777" w:rsidR="006B067A" w:rsidRPr="00EA0F8C" w:rsidRDefault="006B067A" w:rsidP="006B067A">
      <w:pPr>
        <w:pStyle w:val="NoSpacing"/>
        <w:rPr>
          <w:b/>
        </w:rPr>
      </w:pPr>
      <w:r>
        <w:t xml:space="preserve">DISSENT [Judge </w:t>
      </w:r>
      <w:r w:rsidRPr="00EA0F8C">
        <w:t>Kathryn A. Gardner</w:t>
      </w:r>
      <w:r>
        <w:t>]</w:t>
      </w:r>
    </w:p>
    <w:p w14:paraId="1E23289A" w14:textId="77777777" w:rsidR="006B067A" w:rsidRDefault="006B067A" w:rsidP="006B067A">
      <w:pPr>
        <w:pStyle w:val="NoSpacing"/>
      </w:pPr>
    </w:p>
    <w:p w14:paraId="45D9653A" w14:textId="77777777" w:rsidR="006B067A" w:rsidRDefault="006B067A" w:rsidP="006B067A">
      <w:pPr>
        <w:pStyle w:val="NoSpacing"/>
        <w:ind w:firstLine="720"/>
      </w:pPr>
      <w:r>
        <w:t xml:space="preserve"> “I would find that a seizure did not occur, so the Fourth Amendment to the United</w:t>
      </w:r>
    </w:p>
    <w:p w14:paraId="400D2E46" w14:textId="77777777" w:rsidR="006B067A" w:rsidRDefault="006B067A" w:rsidP="006B067A">
      <w:pPr>
        <w:pStyle w:val="NoSpacing"/>
        <w:ind w:firstLine="720"/>
      </w:pPr>
      <w:r>
        <w:t>States Constitution was not implicated. But even if a seizure did occur, all acts were</w:t>
      </w:r>
    </w:p>
    <w:p w14:paraId="54B502DA" w14:textId="77777777" w:rsidR="006B067A" w:rsidRDefault="006B067A" w:rsidP="006B067A">
      <w:pPr>
        <w:pStyle w:val="NoSpacing"/>
        <w:ind w:firstLine="720"/>
      </w:pPr>
      <w:r>
        <w:t>lawful. Officer Long's decision to run the warrant check was consistent with public safety</w:t>
      </w:r>
    </w:p>
    <w:p w14:paraId="3F3B53B7" w14:textId="77777777" w:rsidR="006B067A" w:rsidRDefault="006B067A" w:rsidP="006B067A">
      <w:pPr>
        <w:pStyle w:val="NoSpacing"/>
        <w:ind w:firstLine="720"/>
      </w:pPr>
      <w:r>
        <w:t>and did not unlawfully broaden or extend the scope of the encounter with Willard. Both</w:t>
      </w:r>
    </w:p>
    <w:p w14:paraId="62076A3F" w14:textId="77777777" w:rsidR="006B067A" w:rsidRDefault="006B067A" w:rsidP="006B067A">
      <w:pPr>
        <w:pStyle w:val="NoSpacing"/>
        <w:ind w:firstLine="720"/>
      </w:pPr>
      <w:proofErr w:type="gramStart"/>
      <w:r>
        <w:lastRenderedPageBreak/>
        <w:t>before</w:t>
      </w:r>
      <w:proofErr w:type="gramEnd"/>
      <w:r>
        <w:t xml:space="preserve"> and after the warrant check, Officer Long's contact with Willard was justified by</w:t>
      </w:r>
    </w:p>
    <w:p w14:paraId="5183D9C3" w14:textId="77777777" w:rsidR="006B067A" w:rsidRDefault="006B067A" w:rsidP="006B067A">
      <w:pPr>
        <w:pStyle w:val="NoSpacing"/>
        <w:ind w:firstLine="720"/>
      </w:pPr>
      <w:r>
        <w:t>safety reasons based on objective, specific, and articulable facts. The majority's</w:t>
      </w:r>
    </w:p>
    <w:p w14:paraId="4A45F6BD" w14:textId="77777777" w:rsidR="006B067A" w:rsidRDefault="006B067A" w:rsidP="006B067A">
      <w:pPr>
        <w:pStyle w:val="NoSpacing"/>
        <w:ind w:firstLine="720"/>
      </w:pPr>
      <w:r>
        <w:t>contention that the justification dissipated when Willard said she did not want assistance</w:t>
      </w:r>
    </w:p>
    <w:p w14:paraId="791795E3" w14:textId="77777777" w:rsidR="006B067A" w:rsidRDefault="006B067A" w:rsidP="006B067A">
      <w:pPr>
        <w:pStyle w:val="NoSpacing"/>
        <w:ind w:firstLine="720"/>
      </w:pPr>
      <w:r>
        <w:t>is unfounded.”</w:t>
      </w:r>
    </w:p>
    <w:p w14:paraId="18DE0E84" w14:textId="77777777" w:rsidR="006B067A" w:rsidRDefault="006B067A" w:rsidP="006B067A">
      <w:pPr>
        <w:pStyle w:val="NoSpacing"/>
        <w:ind w:firstLine="720"/>
      </w:pPr>
    </w:p>
    <w:p w14:paraId="19DFAAE8" w14:textId="31800470" w:rsidR="006B067A" w:rsidRPr="0057222C" w:rsidRDefault="006B067A" w:rsidP="006B067A">
      <w:pPr>
        <w:pStyle w:val="NoSpacing"/>
        <w:rPr>
          <w:b/>
          <w:bCs/>
        </w:rPr>
      </w:pPr>
      <w:r w:rsidRPr="00EA0F8C">
        <w:rPr>
          <w:b/>
        </w:rPr>
        <w:t>L</w:t>
      </w:r>
      <w:r>
        <w:rPr>
          <w:b/>
        </w:rPr>
        <w:t xml:space="preserve">esson learned:  </w:t>
      </w:r>
      <w:r w:rsidRPr="0057222C">
        <w:rPr>
          <w:b/>
        </w:rPr>
        <w:t>Powerful dissent – “warrant check was consistent with public safety.”</w:t>
      </w:r>
    </w:p>
    <w:p w14:paraId="34AC4EAA" w14:textId="77777777" w:rsidR="006B067A" w:rsidRDefault="006B067A" w:rsidP="006B067A">
      <w:pPr>
        <w:pStyle w:val="NoSpacing"/>
      </w:pPr>
    </w:p>
    <w:p w14:paraId="721EEB47" w14:textId="77777777" w:rsidR="006D545F" w:rsidRDefault="006D545F" w:rsidP="00004498">
      <w:pPr>
        <w:rPr>
          <w:rFonts w:ascii="Arial Black" w:hAnsi="Arial Black"/>
          <w:b/>
          <w:bCs/>
          <w:sz w:val="24"/>
          <w:szCs w:val="24"/>
        </w:rPr>
      </w:pPr>
    </w:p>
    <w:p w14:paraId="2DF4DAF2" w14:textId="7F819423" w:rsidR="00F515BD" w:rsidRDefault="00F62795" w:rsidP="00004498">
      <w:pPr>
        <w:rPr>
          <w:rFonts w:ascii="Arial Black" w:hAnsi="Arial Black"/>
          <w:b/>
          <w:bCs/>
          <w:sz w:val="24"/>
          <w:szCs w:val="24"/>
        </w:rPr>
      </w:pPr>
      <w:r>
        <w:rPr>
          <w:rFonts w:ascii="Arial Black" w:hAnsi="Arial Black"/>
          <w:b/>
          <w:bCs/>
          <w:sz w:val="24"/>
          <w:szCs w:val="24"/>
        </w:rPr>
        <w:t>13-2</w:t>
      </w:r>
      <w:r w:rsidR="00524647">
        <w:rPr>
          <w:rFonts w:ascii="Arial Black" w:hAnsi="Arial Black"/>
          <w:b/>
          <w:bCs/>
          <w:sz w:val="24"/>
          <w:szCs w:val="24"/>
        </w:rPr>
        <w:t>29</w:t>
      </w:r>
    </w:p>
    <w:p w14:paraId="7C30A87A" w14:textId="09BAA6F2" w:rsidR="00F515BD" w:rsidRDefault="00F515BD" w:rsidP="00F515BD">
      <w:pPr>
        <w:spacing w:after="0"/>
        <w:rPr>
          <w:rFonts w:ascii="Arial Black" w:hAnsi="Arial Black"/>
          <w:b/>
          <w:sz w:val="28"/>
          <w:szCs w:val="28"/>
        </w:rPr>
      </w:pPr>
      <w:r>
        <w:rPr>
          <w:rFonts w:ascii="Arial Black" w:hAnsi="Arial Black"/>
          <w:sz w:val="28"/>
          <w:szCs w:val="28"/>
        </w:rPr>
        <w:t xml:space="preserve">MI: COVID </w:t>
      </w:r>
      <w:r w:rsidRPr="001D2498">
        <w:rPr>
          <w:rFonts w:ascii="Arial Black" w:hAnsi="Arial Black"/>
          <w:b/>
          <w:sz w:val="28"/>
          <w:szCs w:val="28"/>
        </w:rPr>
        <w:t>PT</w:t>
      </w:r>
      <w:r>
        <w:rPr>
          <w:rFonts w:ascii="Arial Black" w:hAnsi="Arial Black"/>
          <w:b/>
          <w:sz w:val="28"/>
          <w:szCs w:val="28"/>
        </w:rPr>
        <w:t xml:space="preserve"> NOT TRANS (2X) – </w:t>
      </w:r>
      <w:r w:rsidR="006043BC">
        <w:rPr>
          <w:rFonts w:ascii="Arial Black" w:hAnsi="Arial Black"/>
          <w:b/>
          <w:sz w:val="28"/>
          <w:szCs w:val="28"/>
        </w:rPr>
        <w:t xml:space="preserve">GROSS NEG. </w:t>
      </w:r>
      <w:r w:rsidR="00054335">
        <w:rPr>
          <w:rFonts w:ascii="Arial Black" w:hAnsi="Arial Black"/>
          <w:b/>
          <w:sz w:val="28"/>
          <w:szCs w:val="28"/>
        </w:rPr>
        <w:t xml:space="preserve">LAWSUIT REINSTATED </w:t>
      </w:r>
    </w:p>
    <w:p w14:paraId="71BC52EB" w14:textId="77777777" w:rsidR="00F515BD" w:rsidRDefault="00F515BD" w:rsidP="00F515BD">
      <w:pPr>
        <w:spacing w:after="0"/>
      </w:pPr>
    </w:p>
    <w:p w14:paraId="60C5F249" w14:textId="77777777" w:rsidR="00F515BD" w:rsidRDefault="00F515BD" w:rsidP="00F515BD">
      <w:pPr>
        <w:spacing w:after="0"/>
      </w:pPr>
      <w:r>
        <w:t xml:space="preserve">On Oct. 23, 2025, in </w:t>
      </w:r>
      <w:r w:rsidRPr="00B851B0">
        <w:rPr>
          <w:u w:val="single"/>
        </w:rPr>
        <w:t>Daniel Wehner, Personal Representative of the Estate of Dale Wehner v. Tr-Hospital Emergency Medical Services Corporation, et al</w:t>
      </w:r>
      <w:r>
        <w:t xml:space="preserve">, the Court of Appeals of Michigan held (3 to 0) that lawsuit should be reinstated, since there is some evidence of “gross negligence” when EMS did not transport a COVID patient on two calls (Oct. 3, 2021 and Oct. 5, 2021). Whether Dale </w:t>
      </w:r>
      <w:proofErr w:type="gramStart"/>
      <w:r>
        <w:t>actually signed</w:t>
      </w:r>
      <w:proofErr w:type="gramEnd"/>
      <w:r>
        <w:t xml:space="preserve"> or initialed the refusal forms is in dispute; his name is badly misspelled on Oct. 3 report; and only initials were on the Oct. 5 report. </w:t>
      </w:r>
      <w:hyperlink r:id="rId1949" w:history="1">
        <w:r w:rsidRPr="00356365">
          <w:rPr>
            <w:rStyle w:val="Hyperlink"/>
          </w:rPr>
          <w:t>https://www.michbar.org/Portals/0/opinions/appeals/2025/102325/84576.pdf</w:t>
        </w:r>
      </w:hyperlink>
      <w:r>
        <w:t xml:space="preserve"> </w:t>
      </w:r>
    </w:p>
    <w:p w14:paraId="24ECD089" w14:textId="77777777" w:rsidR="00F515BD" w:rsidRDefault="00F515BD" w:rsidP="00F515BD">
      <w:pPr>
        <w:spacing w:after="0"/>
      </w:pPr>
    </w:p>
    <w:p w14:paraId="2C08CE78" w14:textId="77777777" w:rsidR="00F515BD" w:rsidRDefault="00F515BD" w:rsidP="00F515BD">
      <w:pPr>
        <w:spacing w:after="0"/>
      </w:pPr>
      <w:r>
        <w:t xml:space="preserve">COURT HELD:  </w:t>
      </w:r>
    </w:p>
    <w:p w14:paraId="68E59BFF" w14:textId="77777777" w:rsidR="00F515BD" w:rsidRDefault="00F515BD" w:rsidP="00F515BD">
      <w:pPr>
        <w:spacing w:after="0"/>
      </w:pPr>
    </w:p>
    <w:p w14:paraId="4B9E6DA3" w14:textId="77777777" w:rsidR="00F515BD" w:rsidRDefault="00F515BD" w:rsidP="00F515BD">
      <w:pPr>
        <w:spacing w:after="0"/>
        <w:ind w:left="720"/>
      </w:pPr>
      <w:r>
        <w:t xml:space="preserve">“Here, plaintiff alleges that defendants told Dale that he would be fine and that he should not go to the hospital because it was full. In contrast, each defendant [EMS] testified that Dale’s condition was so dire that it was imperative that he </w:t>
      </w:r>
      <w:proofErr w:type="gramStart"/>
      <w:r>
        <w:t>go</w:t>
      </w:r>
      <w:proofErr w:type="gramEnd"/>
      <w:r>
        <w:t xml:space="preserve"> to the hospital. In fact, they have consistently argued that Dale was advised of the risks of declining treatment, yet he voluntarily chose not to be transported to the hospital for further evaluation or treatment. In support, defendants [EMS] rely on their own testimony and the assertion that Dale, on October 3rd, purportedly signed his name in the signature box acknowledging that he was declining treatment and transport, and on October 5th, he purportedly placed his initials in the relevant signature box. Whether Dale </w:t>
      </w:r>
      <w:proofErr w:type="gramStart"/>
      <w:r>
        <w:t>actually signed</w:t>
      </w:r>
      <w:proofErr w:type="gramEnd"/>
      <w:r>
        <w:t xml:space="preserve"> or initialed the documents is in dispute. It is notable that Dale’s name is badly misspelled in the signature box of the Patient Care Report (PCR) generated for the October 3rd ambulance run (‘</w:t>
      </w:r>
      <w:proofErr w:type="spellStart"/>
      <w:r>
        <w:t>Sehren</w:t>
      </w:r>
      <w:proofErr w:type="spellEnd"/>
      <w:r>
        <w:t xml:space="preserve">’ rather than ‘Wehner’), and only the initials ‘DW; were placed in the signature box relative to the October 5th run. *** Added to these discrepancies, Grace Warmbier, a trained document examiner, examined the signature and initials in the signature boxes acknowledging the refusal of treatment or transport. She compared those signatures to known handwriting samples and concluded that Dale did not sign the refusal of services. The foregoing evidence casts sufficient doubt on the assertion that Dale placed his signature and initials in the signature boxes acknowledging that the risks had been explained and he was nonetheless refusing services and transportation to the hospital. If Dale did not sign the acknowledgments, then this would be a particularly relevant piece of </w:t>
      </w:r>
      <w:proofErr w:type="gramStart"/>
      <w:r>
        <w:t>evidence.”</w:t>
      </w:r>
      <w:proofErr w:type="gramEnd"/>
      <w:r>
        <w:t xml:space="preserve"> </w:t>
      </w:r>
    </w:p>
    <w:p w14:paraId="17E0E48D" w14:textId="77777777" w:rsidR="00F515BD" w:rsidRDefault="00F515BD" w:rsidP="00F515BD">
      <w:pPr>
        <w:spacing w:after="0"/>
        <w:rPr>
          <w:b/>
          <w:bCs/>
        </w:rPr>
      </w:pPr>
    </w:p>
    <w:p w14:paraId="29ACC300" w14:textId="50A84284" w:rsidR="00F515BD" w:rsidRDefault="00F515BD" w:rsidP="00F515BD">
      <w:pPr>
        <w:spacing w:after="0"/>
        <w:rPr>
          <w:b/>
          <w:bCs/>
        </w:rPr>
      </w:pPr>
      <w:r>
        <w:rPr>
          <w:b/>
        </w:rPr>
        <w:t>Lesson Learned: If patient signature is misspelled, or initials unclear, ask spouse to co-sign.</w:t>
      </w:r>
    </w:p>
    <w:p w14:paraId="63C19F4E" w14:textId="77777777" w:rsidR="00F515BD" w:rsidRDefault="00F515BD" w:rsidP="00F515BD">
      <w:pPr>
        <w:spacing w:after="0"/>
        <w:rPr>
          <w:b/>
          <w:bCs/>
        </w:rPr>
      </w:pPr>
    </w:p>
    <w:p w14:paraId="49DFB6BD" w14:textId="77777777" w:rsidR="00F515BD" w:rsidRDefault="00F515BD" w:rsidP="00004498">
      <w:pPr>
        <w:rPr>
          <w:rFonts w:ascii="Arial Black" w:hAnsi="Arial Black"/>
          <w:b/>
          <w:bCs/>
          <w:sz w:val="24"/>
          <w:szCs w:val="24"/>
        </w:rPr>
      </w:pPr>
    </w:p>
    <w:p w14:paraId="355C7E01" w14:textId="3CED3CB6" w:rsidR="006D545F" w:rsidRDefault="00F62795" w:rsidP="00004498">
      <w:pPr>
        <w:rPr>
          <w:rFonts w:ascii="Arial Black" w:hAnsi="Arial Black"/>
          <w:b/>
          <w:bCs/>
          <w:sz w:val="24"/>
          <w:szCs w:val="24"/>
        </w:rPr>
      </w:pPr>
      <w:r>
        <w:rPr>
          <w:rFonts w:ascii="Arial Black" w:hAnsi="Arial Black"/>
          <w:b/>
          <w:bCs/>
          <w:sz w:val="24"/>
          <w:szCs w:val="24"/>
        </w:rPr>
        <w:t>13-22</w:t>
      </w:r>
      <w:r w:rsidR="00524647">
        <w:rPr>
          <w:rFonts w:ascii="Arial Black" w:hAnsi="Arial Black"/>
          <w:b/>
          <w:bCs/>
          <w:sz w:val="24"/>
          <w:szCs w:val="24"/>
        </w:rPr>
        <w:t>8</w:t>
      </w:r>
    </w:p>
    <w:p w14:paraId="3798C4BA" w14:textId="5A41B9BD" w:rsidR="00550025" w:rsidRPr="0073614C" w:rsidRDefault="00550025" w:rsidP="00550025">
      <w:pPr>
        <w:pStyle w:val="NoSpacing"/>
        <w:rPr>
          <w:rFonts w:ascii="Arial Black" w:hAnsi="Arial Black"/>
          <w:b/>
          <w:sz w:val="28"/>
          <w:szCs w:val="28"/>
        </w:rPr>
      </w:pPr>
      <w:r>
        <w:rPr>
          <w:rFonts w:ascii="Arial Black" w:hAnsi="Arial Black"/>
          <w:b/>
          <w:sz w:val="28"/>
          <w:szCs w:val="28"/>
        </w:rPr>
        <w:t xml:space="preserve">NJ: PT TRIED JUMP </w:t>
      </w:r>
      <w:r w:rsidR="00FA7170">
        <w:rPr>
          <w:rFonts w:ascii="Arial Black" w:hAnsi="Arial Black"/>
          <w:b/>
          <w:sz w:val="28"/>
          <w:szCs w:val="28"/>
        </w:rPr>
        <w:t xml:space="preserve">OUT </w:t>
      </w:r>
      <w:r>
        <w:rPr>
          <w:rFonts w:ascii="Arial Black" w:hAnsi="Arial Black"/>
          <w:b/>
          <w:sz w:val="28"/>
          <w:szCs w:val="28"/>
        </w:rPr>
        <w:t>AMBUL – STOPPED – NO LIAB / ANKLE</w:t>
      </w:r>
    </w:p>
    <w:p w14:paraId="7ABFEEC1" w14:textId="77777777" w:rsidR="00550025" w:rsidRDefault="00550025" w:rsidP="00550025">
      <w:pPr>
        <w:pStyle w:val="NoSpacing"/>
        <w:rPr>
          <w:b/>
        </w:rPr>
      </w:pPr>
    </w:p>
    <w:p w14:paraId="3037647D" w14:textId="77777777" w:rsidR="00550025" w:rsidRDefault="00550025" w:rsidP="00550025">
      <w:pPr>
        <w:pStyle w:val="NoSpacing"/>
        <w:rPr>
          <w:b/>
        </w:rPr>
      </w:pPr>
      <w:r>
        <w:t xml:space="preserve">On Oct. 22, 2025, in </w:t>
      </w:r>
      <w:r w:rsidRPr="00741E4D">
        <w:rPr>
          <w:u w:val="single"/>
        </w:rPr>
        <w:t>Sandra Poling v. Atlantic Mobile Health, et al</w:t>
      </w:r>
      <w:r>
        <w:t xml:space="preserve">., the </w:t>
      </w:r>
      <w:r w:rsidRPr="00741E4D">
        <w:t>Superior Court of New Jersey, Appellate Division</w:t>
      </w:r>
      <w:r>
        <w:t xml:space="preserve"> held (3 to 0) that trial court properly granted summary judgment to the ambulance company and two EMTs.  The plaintiff claimed that EMT broke her ankle when preventing her from jumping out of a moving ambulance (MD testimony - doubtful he caused injury) and she provided no expert to testify that EMT acted inappropriately in retaining her by the ambulance side exert door.  </w:t>
      </w:r>
      <w:hyperlink r:id="rId1950" w:history="1">
        <w:r w:rsidRPr="00F346A5">
          <w:rPr>
            <w:rStyle w:val="Hyperlink"/>
            <w:b/>
          </w:rPr>
          <w:t>https://www.njcourts.gov/system/files/court-opinions/2025/a0275-24.pdf</w:t>
        </w:r>
      </w:hyperlink>
      <w:r>
        <w:rPr>
          <w:b/>
        </w:rPr>
        <w:t xml:space="preserve"> </w:t>
      </w:r>
    </w:p>
    <w:p w14:paraId="5816EB59" w14:textId="77777777" w:rsidR="00550025" w:rsidRDefault="00550025" w:rsidP="00550025">
      <w:pPr>
        <w:pStyle w:val="NoSpacing"/>
        <w:rPr>
          <w:b/>
        </w:rPr>
      </w:pPr>
    </w:p>
    <w:p w14:paraId="024F8A4E" w14:textId="77777777" w:rsidR="00550025" w:rsidRDefault="00550025" w:rsidP="00550025">
      <w:pPr>
        <w:pStyle w:val="NoSpacing"/>
        <w:rPr>
          <w:bCs/>
        </w:rPr>
      </w:pPr>
      <w:r w:rsidRPr="00BF18DF">
        <w:t xml:space="preserve">THE COURT HELD: </w:t>
      </w:r>
    </w:p>
    <w:p w14:paraId="40798510" w14:textId="77777777" w:rsidR="00550025" w:rsidRDefault="00550025" w:rsidP="00550025">
      <w:pPr>
        <w:pStyle w:val="NoSpacing"/>
        <w:rPr>
          <w:bCs/>
        </w:rPr>
      </w:pPr>
    </w:p>
    <w:p w14:paraId="10F28F88" w14:textId="77777777" w:rsidR="00550025" w:rsidRDefault="00550025" w:rsidP="00550025">
      <w:pPr>
        <w:pStyle w:val="NoSpacing"/>
        <w:ind w:left="720"/>
      </w:pPr>
      <w:r>
        <w:t>“The trial court dismissed plaintiff's complaint determining plaintiff raised claims of professional negligence for injuries sustained during ambulance transport but failed to</w:t>
      </w:r>
    </w:p>
    <w:p w14:paraId="44792148" w14:textId="77777777" w:rsidR="00550025" w:rsidRDefault="00550025" w:rsidP="00550025">
      <w:pPr>
        <w:pStyle w:val="NoSpacing"/>
        <w:ind w:left="720"/>
      </w:pPr>
      <w:r>
        <w:t>provide expert proof regarding the standard of care or breach by defendant emergency responders. We affirm.</w:t>
      </w:r>
    </w:p>
    <w:p w14:paraId="75FEAEEE" w14:textId="77777777" w:rsidR="00550025" w:rsidRDefault="00550025" w:rsidP="00550025">
      <w:pPr>
        <w:pStyle w:val="NoSpacing"/>
        <w:ind w:left="720"/>
      </w:pPr>
    </w:p>
    <w:p w14:paraId="4689D041" w14:textId="77777777" w:rsidR="00550025" w:rsidRDefault="00550025" w:rsidP="00550025">
      <w:pPr>
        <w:pStyle w:val="NoSpacing"/>
        <w:ind w:left="720"/>
      </w:pPr>
      <w:r>
        <w:t>***</w:t>
      </w:r>
    </w:p>
    <w:p w14:paraId="300727C1" w14:textId="77777777" w:rsidR="00550025" w:rsidRDefault="00550025" w:rsidP="00550025">
      <w:pPr>
        <w:pStyle w:val="NoSpacing"/>
        <w:ind w:left="720"/>
      </w:pPr>
      <w:r>
        <w:t>Although the precise movements utilized by [EMT] Vazquez to stabilize plaintiff were disputed, the critical material facts were not. Plaintiff was intoxicated, argumentative, and defiant of orders. She removed safety restraints, moved off the stretcher, and vaped all while the vehicle was moving on the roadway. This was a rapidly changing situation in which plaintiff's erratic conduct escalated and potentially threatened her safety. At the time plaintiff admittedly threatened to jump out of the moving ambulance, Vazquez, a licensed and trained emergency response professional, was faced ‘with a split-second decision,’ which implicated multiple complex factors and considerations. These included Vazquez's and Golightly's relevant prior training, applicable safety standards, plaintiff's unpredictable behavior and belligerence, her intoxication and unwillingness to comply with orders or maintain restraints for her own security, the EMTs' understanding of layout of the ambulance as it impacted the ability to control the situation to protect plaintiff from harm, and the options for most-safely subduing plaintiff and preventing her movement in light of all the failed attempts to gain her compliance.</w:t>
      </w:r>
    </w:p>
    <w:p w14:paraId="1D8CDE4C" w14:textId="77777777" w:rsidR="00550025" w:rsidRDefault="00550025" w:rsidP="00550025">
      <w:pPr>
        <w:pStyle w:val="NoSpacing"/>
        <w:ind w:left="720"/>
      </w:pPr>
    </w:p>
    <w:p w14:paraId="4038D284" w14:textId="77777777" w:rsidR="00550025" w:rsidRDefault="00550025" w:rsidP="00550025">
      <w:pPr>
        <w:pStyle w:val="NoSpacing"/>
        <w:ind w:left="720"/>
      </w:pPr>
      <w:r>
        <w:t>***</w:t>
      </w:r>
    </w:p>
    <w:p w14:paraId="5EF0E1AD" w14:textId="77777777" w:rsidR="00550025" w:rsidRDefault="00550025" w:rsidP="00550025">
      <w:pPr>
        <w:pStyle w:val="NoSpacing"/>
        <w:ind w:left="720"/>
      </w:pPr>
    </w:p>
    <w:p w14:paraId="5A0E8DE0" w14:textId="77777777" w:rsidR="00550025" w:rsidRDefault="00550025" w:rsidP="00550025">
      <w:pPr>
        <w:pStyle w:val="NoSpacing"/>
        <w:ind w:left="720"/>
      </w:pPr>
      <w:r>
        <w:t xml:space="preserve">Defendants also retained Paul A. Werfel, MS, NR-P, a professional paramedic and Assistant Professor of Clinical Emergency Medicine, as an expert on the standard of care for EMTs…. Professor Werfel recounted the details leading to the incident involving plaintiff. He noted that upon arrival, [EMT] Golightly and Vazquez encountered </w:t>
      </w:r>
      <w:proofErr w:type="gramStart"/>
      <w:r>
        <w:t>plaintiff</w:t>
      </w:r>
      <w:proofErr w:type="gramEnd"/>
      <w:r>
        <w:t xml:space="preserve"> accompanied by police and in a highly intoxicated state. Citing plaintiff's deposition, he found plaintiff became agitated, unbuckled the stretcher's straps, began vaping, became more upset as Vazquez attempted to calm her down, and ‘stated to EMT Vazquez 'you don't give a f[***] about me, I am jumping out of this ambulance.’</w:t>
      </w:r>
    </w:p>
    <w:p w14:paraId="7B65B705" w14:textId="77777777" w:rsidR="00550025" w:rsidRDefault="00550025" w:rsidP="00550025">
      <w:pPr>
        <w:pStyle w:val="NoSpacing"/>
      </w:pPr>
    </w:p>
    <w:p w14:paraId="082B2332" w14:textId="77777777" w:rsidR="00550025" w:rsidRDefault="00550025" w:rsidP="00550025">
      <w:pPr>
        <w:pStyle w:val="NoSpacing"/>
      </w:pPr>
    </w:p>
    <w:p w14:paraId="79F1E9B0" w14:textId="77777777" w:rsidR="00550025" w:rsidRDefault="00550025" w:rsidP="00550025">
      <w:pPr>
        <w:pStyle w:val="NoSpacing"/>
        <w:ind w:left="720"/>
      </w:pPr>
      <w:r>
        <w:t>The expert opined defendants' conduct was ‘what one should expect from an ambulance crew and [</w:t>
      </w:r>
      <w:proofErr w:type="spellStart"/>
      <w:proofErr w:type="gramStart"/>
      <w:r>
        <w:t>wa</w:t>
      </w:r>
      <w:proofErr w:type="spellEnd"/>
      <w:r>
        <w:t>]s</w:t>
      </w:r>
      <w:proofErr w:type="gramEnd"/>
      <w:r>
        <w:t xml:space="preserve"> well within the standard of care.’ He concluded Vazquez and Golightly ‘were faced with an intoxicated, and uncooperative patient [who] ultimately became verbally and physically abusive during transport.’ He determined that both Vazquez and Golightly were adequately trained and conducted themselves within the standard of care for EMTs throughout their interaction with plaintiff. Further, he found ‘Vazquez responded emergently to the fact that [plaintiff] created a very real threat to herself by attempting to open the door to the ambulance and jump out while the truck was moving’ and he ‘did very well to try and de-escalate the situation.’ </w:t>
      </w:r>
    </w:p>
    <w:p w14:paraId="509EEB70" w14:textId="77777777" w:rsidR="00550025" w:rsidRDefault="00550025" w:rsidP="00550025">
      <w:pPr>
        <w:pStyle w:val="NoSpacing"/>
        <w:ind w:left="720"/>
      </w:pPr>
    </w:p>
    <w:p w14:paraId="7BBB141B" w14:textId="77777777" w:rsidR="00550025" w:rsidRDefault="00550025" w:rsidP="00550025">
      <w:pPr>
        <w:pStyle w:val="NoSpacing"/>
        <w:ind w:left="720"/>
        <w:rPr>
          <w:b/>
        </w:rPr>
      </w:pPr>
      <w:r>
        <w:t>***</w:t>
      </w:r>
    </w:p>
    <w:p w14:paraId="52FF49A4" w14:textId="77777777" w:rsidR="00550025" w:rsidRDefault="00550025" w:rsidP="00550025">
      <w:pPr>
        <w:pStyle w:val="NoSpacing"/>
        <w:rPr>
          <w:b/>
        </w:rPr>
      </w:pPr>
    </w:p>
    <w:p w14:paraId="26B8FFE8" w14:textId="77777777" w:rsidR="00550025" w:rsidRDefault="00550025" w:rsidP="00550025">
      <w:pPr>
        <w:pStyle w:val="NoSpacing"/>
        <w:ind w:left="720"/>
      </w:pPr>
      <w:r>
        <w:t>Plaintiff neither presented an expert report nor attempted to depose defendants' expert. Thus, based on the record before it, the [trial] court properly dismissed plaintiff's claims.”</w:t>
      </w:r>
    </w:p>
    <w:p w14:paraId="223E2D44" w14:textId="77777777" w:rsidR="00550025" w:rsidRDefault="00550025" w:rsidP="00550025">
      <w:pPr>
        <w:pStyle w:val="NoSpacing"/>
        <w:ind w:left="720"/>
      </w:pPr>
    </w:p>
    <w:p w14:paraId="465B5634" w14:textId="43E68073" w:rsidR="00550025" w:rsidRPr="0075792F" w:rsidRDefault="00550025" w:rsidP="00550025">
      <w:pPr>
        <w:pStyle w:val="NoSpacing"/>
        <w:rPr>
          <w:b/>
          <w:bCs/>
        </w:rPr>
      </w:pPr>
      <w:r>
        <w:rPr>
          <w:b/>
        </w:rPr>
        <w:t xml:space="preserve">Lesson learned: The EMS run report thoroughly documented efforts to prevent the drunk and belligerent patient from jumping out of a moving ambulance. </w:t>
      </w:r>
    </w:p>
    <w:p w14:paraId="3906F430" w14:textId="77777777" w:rsidR="00550025" w:rsidRPr="00F02C51" w:rsidRDefault="00550025" w:rsidP="00550025">
      <w:pPr>
        <w:spacing w:after="0"/>
        <w:rPr>
          <w:b/>
          <w:bCs/>
        </w:rPr>
      </w:pPr>
    </w:p>
    <w:p w14:paraId="5AD2B379" w14:textId="77777777" w:rsidR="00550025" w:rsidRDefault="00550025" w:rsidP="00550025">
      <w:pPr>
        <w:spacing w:after="0"/>
      </w:pPr>
    </w:p>
    <w:p w14:paraId="28720B74" w14:textId="77777777" w:rsidR="004612E3" w:rsidRDefault="004612E3" w:rsidP="00004498">
      <w:pPr>
        <w:rPr>
          <w:rFonts w:ascii="Arial Black" w:hAnsi="Arial Black"/>
          <w:b/>
          <w:bCs/>
          <w:sz w:val="24"/>
          <w:szCs w:val="24"/>
        </w:rPr>
      </w:pPr>
    </w:p>
    <w:p w14:paraId="15B15960" w14:textId="77777777" w:rsidR="004612E3" w:rsidRDefault="004612E3" w:rsidP="00004498">
      <w:pPr>
        <w:rPr>
          <w:rFonts w:ascii="Arial Black" w:hAnsi="Arial Black"/>
          <w:b/>
          <w:bCs/>
          <w:sz w:val="24"/>
          <w:szCs w:val="24"/>
        </w:rPr>
      </w:pPr>
    </w:p>
    <w:p w14:paraId="56C491E4" w14:textId="77777777" w:rsidR="004612E3" w:rsidRDefault="004612E3" w:rsidP="00004498">
      <w:pPr>
        <w:rPr>
          <w:rFonts w:ascii="Arial Black" w:hAnsi="Arial Black"/>
          <w:b/>
          <w:bCs/>
          <w:sz w:val="24"/>
          <w:szCs w:val="24"/>
        </w:rPr>
      </w:pPr>
    </w:p>
    <w:p w14:paraId="7777C148" w14:textId="4455E4D2"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7</w:t>
      </w:r>
    </w:p>
    <w:p w14:paraId="5AEEA28F" w14:textId="3C114372" w:rsidR="00A96BBF" w:rsidRDefault="00A96BBF" w:rsidP="00A96BBF">
      <w:pPr>
        <w:pStyle w:val="NoSpacing"/>
        <w:rPr>
          <w:rFonts w:ascii="Arial Black" w:hAnsi="Arial Black"/>
          <w:bCs/>
          <w:sz w:val="28"/>
          <w:szCs w:val="28"/>
        </w:rPr>
      </w:pPr>
      <w:r>
        <w:rPr>
          <w:rFonts w:ascii="Arial Black" w:hAnsi="Arial Black"/>
          <w:sz w:val="28"/>
          <w:szCs w:val="28"/>
        </w:rPr>
        <w:t>A</w:t>
      </w:r>
      <w:r w:rsidR="00F95C6C">
        <w:rPr>
          <w:rFonts w:ascii="Arial Black" w:hAnsi="Arial Black"/>
          <w:sz w:val="28"/>
          <w:szCs w:val="28"/>
        </w:rPr>
        <w:t>Z</w:t>
      </w:r>
      <w:r>
        <w:rPr>
          <w:rFonts w:ascii="Arial Black" w:hAnsi="Arial Black"/>
          <w:sz w:val="28"/>
          <w:szCs w:val="28"/>
        </w:rPr>
        <w:t xml:space="preserve">: OVERDOSE – </w:t>
      </w:r>
      <w:r w:rsidR="008D3A9B">
        <w:rPr>
          <w:rFonts w:ascii="Arial Black" w:hAnsi="Arial Black"/>
          <w:sz w:val="28"/>
          <w:szCs w:val="28"/>
        </w:rPr>
        <w:t xml:space="preserve">PT </w:t>
      </w:r>
      <w:r>
        <w:rPr>
          <w:rFonts w:ascii="Arial Black" w:hAnsi="Arial Black"/>
          <w:sz w:val="28"/>
          <w:szCs w:val="28"/>
        </w:rPr>
        <w:t>CALL MEDICAL HELP – CAN’T PROSECUTE</w:t>
      </w:r>
    </w:p>
    <w:p w14:paraId="0FDF4036" w14:textId="77777777" w:rsidR="00A96BBF" w:rsidRDefault="00A96BBF" w:rsidP="00A96BBF">
      <w:pPr>
        <w:pStyle w:val="NoSpacing"/>
        <w:rPr>
          <w:bCs/>
        </w:rPr>
      </w:pPr>
    </w:p>
    <w:p w14:paraId="02AF1F8D" w14:textId="46D581CF" w:rsidR="00A96BBF" w:rsidRDefault="00A96BBF" w:rsidP="00A96BBF">
      <w:pPr>
        <w:pStyle w:val="NoSpacing"/>
        <w:rPr>
          <w:bCs/>
        </w:rPr>
      </w:pPr>
      <w:r>
        <w:t xml:space="preserve">On September 25, 2025, in </w:t>
      </w:r>
      <w:r w:rsidRPr="001470E9">
        <w:rPr>
          <w:u w:val="single"/>
        </w:rPr>
        <w:t>State of Arizona v. Corinthian Jerry Johnson</w:t>
      </w:r>
      <w:r>
        <w:t xml:space="preserve">, the </w:t>
      </w:r>
      <w:r w:rsidRPr="0069190C">
        <w:t>Court of Appeals of Arizona, First Division</w:t>
      </w:r>
      <w:r>
        <w:t xml:space="preserve"> held (3 to 0) that trial court properly dismissed possession and use of narcotic charges, since casino Security Guard called 911 when he observed the defendant passed out in his car.</w:t>
      </w:r>
      <w:r w:rsidR="00B9006C">
        <w:t xml:space="preserve"> </w:t>
      </w:r>
      <w:hyperlink r:id="rId1951" w:history="1">
        <w:r w:rsidR="00B9006C" w:rsidRPr="003870A5">
          <w:rPr>
            <w:rStyle w:val="Hyperlink"/>
          </w:rPr>
          <w:t>https://jpr.azcourts.gov/Portals/0/OpinionFiles/Div1/2025/1%20CA-CR%2024-0549%20Johnson.pdf</w:t>
        </w:r>
      </w:hyperlink>
      <w:r w:rsidR="00B9006C">
        <w:t xml:space="preserve"> </w:t>
      </w:r>
    </w:p>
    <w:p w14:paraId="135A2616" w14:textId="77777777" w:rsidR="00A96BBF" w:rsidRDefault="00A96BBF" w:rsidP="00A96BBF">
      <w:pPr>
        <w:pStyle w:val="NoSpacing"/>
        <w:rPr>
          <w:bCs/>
        </w:rPr>
      </w:pPr>
    </w:p>
    <w:p w14:paraId="0473E6E0" w14:textId="77777777" w:rsidR="00A96BBF" w:rsidRDefault="00A96BBF" w:rsidP="00A96BBF">
      <w:pPr>
        <w:pStyle w:val="NoSpacing"/>
      </w:pPr>
      <w:r w:rsidRPr="000E2BDC">
        <w:rPr>
          <w:b/>
        </w:rPr>
        <w:t>THE COURT HELD:</w:t>
      </w:r>
      <w:r>
        <w:rPr>
          <w:b/>
        </w:rPr>
        <w:t xml:space="preserve"> “</w:t>
      </w:r>
      <w:r w:rsidRPr="00686F6C">
        <w:t>In response to Johnson’s motion, the State insisted that A.R.S.</w:t>
      </w:r>
      <w:r>
        <w:t xml:space="preserve"> </w:t>
      </w:r>
      <w:r w:rsidRPr="00686F6C">
        <w:t>§ 13-3423(B) confers immunity only to defendants who are actively</w:t>
      </w:r>
      <w:r>
        <w:t xml:space="preserve"> </w:t>
      </w:r>
      <w:r w:rsidRPr="00686F6C">
        <w:t>overdosing at the time the evidence supporting their charges is discovered.</w:t>
      </w:r>
      <w:r>
        <w:t xml:space="preserve"> </w:t>
      </w:r>
      <w:r w:rsidRPr="00686F6C">
        <w:t xml:space="preserve">The State conceded that Johnson was </w:t>
      </w:r>
      <w:r>
        <w:t>o</w:t>
      </w:r>
      <w:r w:rsidRPr="00686F6C">
        <w:t>verdosing by the time he was treated</w:t>
      </w:r>
      <w:r>
        <w:t xml:space="preserve"> </w:t>
      </w:r>
      <w:r w:rsidRPr="00686F6C">
        <w:t>by the hospital, but it claimed that a question of fact still existed as to</w:t>
      </w:r>
      <w:r>
        <w:t xml:space="preserve"> </w:t>
      </w:r>
      <w:r w:rsidRPr="00686F6C">
        <w:t>whether Johnson was overdosing during the welfare check. The State</w:t>
      </w:r>
      <w:r>
        <w:t xml:space="preserve"> </w:t>
      </w:r>
      <w:r w:rsidRPr="00686F6C">
        <w:t>argued that dismissal would therefore be inappropriate without an</w:t>
      </w:r>
      <w:r>
        <w:t xml:space="preserve"> </w:t>
      </w:r>
      <w:r w:rsidRPr="00686F6C">
        <w:t>evidentiary hearing to determine the timing of Johnson’s overdose</w:t>
      </w:r>
      <w:r>
        <w:t>…. Here, undisputed facts established each element of A.R.S. §</w:t>
      </w:r>
    </w:p>
    <w:p w14:paraId="6D6CD16D" w14:textId="77777777" w:rsidR="00A96BBF" w:rsidRDefault="00A96BBF" w:rsidP="00A96BBF">
      <w:pPr>
        <w:pStyle w:val="NoSpacing"/>
      </w:pPr>
      <w:r>
        <w:t xml:space="preserve">13-3423(B). The police officer discovered Johnson’s drug paraphernalia due to the security guard’s request for a welfare check. The officer suspected that Johnson needed medical care for an overdose and sought medical care accordingly. And Johnson did experience an overdose and did need medical assistance, as his hospital treatment later confirmed.”  </w:t>
      </w:r>
      <w:hyperlink r:id="rId1952" w:history="1">
        <w:r w:rsidRPr="00313D33">
          <w:rPr>
            <w:rStyle w:val="Hyperlink"/>
          </w:rPr>
          <w:t>https://jpr.azcourts.gov/Portals/0/OpinionFiles/Div1/2025/1%20CA-CR%2024-0549%20Johnson.pdf</w:t>
        </w:r>
      </w:hyperlink>
      <w:r>
        <w:t xml:space="preserve"> </w:t>
      </w:r>
    </w:p>
    <w:p w14:paraId="02AB2954" w14:textId="77777777" w:rsidR="00A96BBF" w:rsidRDefault="00A96BBF" w:rsidP="00A96BBF">
      <w:pPr>
        <w:pStyle w:val="NoSpacing"/>
      </w:pPr>
    </w:p>
    <w:p w14:paraId="7B5D3030" w14:textId="77777777" w:rsidR="00A96BBF" w:rsidRDefault="00A96BBF" w:rsidP="00A96BBF">
      <w:pPr>
        <w:pStyle w:val="NoSpacing"/>
      </w:pPr>
      <w:r w:rsidRPr="00A044B1">
        <w:rPr>
          <w:b/>
        </w:rPr>
        <w:t>KEY FACTS</w:t>
      </w:r>
      <w:r>
        <w:t>:</w:t>
      </w:r>
    </w:p>
    <w:p w14:paraId="410E95E1" w14:textId="77777777" w:rsidR="00A96BBF" w:rsidRDefault="00A96BBF" w:rsidP="00A96BBF">
      <w:pPr>
        <w:pStyle w:val="NoSpacing"/>
      </w:pPr>
    </w:p>
    <w:p w14:paraId="6798ADA1" w14:textId="77777777" w:rsidR="00A96BBF" w:rsidRDefault="00A96BBF" w:rsidP="00A96BBF">
      <w:pPr>
        <w:pStyle w:val="NoSpacing"/>
        <w:ind w:left="720"/>
      </w:pPr>
      <w:r>
        <w:t>“In December 2022, a security guard was patrolling a casino’s parking garage at around 1:00 a.m. when he noticed Johnson ‘passed out’ in the front seat of a parked car with a glass pipe in his left hand and a lighter in his right hand. The guard requested a welfare check on Johnson. When a police officer arrived, an emergency medical technician (‘EMT’) from the casino advised him that Johnson was breathing but appeared to</w:t>
      </w:r>
    </w:p>
    <w:p w14:paraId="6749F1F9" w14:textId="77777777" w:rsidR="00A96BBF" w:rsidRDefault="00A96BBF" w:rsidP="00A96BBF">
      <w:pPr>
        <w:pStyle w:val="NoSpacing"/>
        <w:ind w:firstLine="720"/>
      </w:pPr>
      <w:proofErr w:type="gramStart"/>
      <w:r>
        <w:t>be</w:t>
      </w:r>
      <w:proofErr w:type="gramEnd"/>
      <w:r>
        <w:t xml:space="preserve"> asleep.</w:t>
      </w:r>
    </w:p>
    <w:p w14:paraId="1AD4BA4C" w14:textId="77777777" w:rsidR="00A96BBF" w:rsidRDefault="00A96BBF" w:rsidP="00A96BBF">
      <w:pPr>
        <w:pStyle w:val="NoSpacing"/>
        <w:ind w:firstLine="720"/>
      </w:pPr>
    </w:p>
    <w:p w14:paraId="6DFBAB1B" w14:textId="77777777" w:rsidR="00A96BBF" w:rsidRDefault="00A96BBF" w:rsidP="00A96BBF">
      <w:pPr>
        <w:pStyle w:val="NoSpacing"/>
        <w:ind w:left="720"/>
      </w:pPr>
      <w:r>
        <w:t>The officer opened the car’s unlocked passenger door and startled Johnson awake. As the officer helped Johnson step out of the car, he noticed Johnson ‘had very ridged [sic] muscle tone ([c]</w:t>
      </w:r>
      <w:proofErr w:type="spellStart"/>
      <w:r>
        <w:t>ommonly</w:t>
      </w:r>
      <w:proofErr w:type="spellEnd"/>
      <w:r>
        <w:t xml:space="preserve"> observed with </w:t>
      </w:r>
      <w:proofErr w:type="gramStart"/>
      <w:r>
        <w:t>persons</w:t>
      </w:r>
      <w:proofErr w:type="gramEnd"/>
      <w:r>
        <w:t xml:space="preserve"> that have used methamphetamine)’ and appeared to have trouble maintaining his balance.</w:t>
      </w:r>
    </w:p>
    <w:p w14:paraId="6AE01F2C" w14:textId="77777777" w:rsidR="00A96BBF" w:rsidRDefault="00A96BBF" w:rsidP="00A96BBF">
      <w:pPr>
        <w:pStyle w:val="NoSpacing"/>
        <w:ind w:left="720"/>
      </w:pPr>
    </w:p>
    <w:p w14:paraId="3318B845" w14:textId="77777777" w:rsidR="00A96BBF" w:rsidRDefault="00A96BBF" w:rsidP="00A96BBF">
      <w:pPr>
        <w:pStyle w:val="NoSpacing"/>
        <w:ind w:left="720"/>
      </w:pPr>
      <w:r>
        <w:t>The officer arrested Johnson and searched his pockets, finding a lighter, box cutter, glass tube, and piece of foil. The officer then placed Johnson in his patrol car and asked Johnson his name, but Johnson refused to answer and appeared to be incoherent. Suspecting Johnson was overdosing on fentanyl, the officer contacted the Peoria Fire Department and asked the EMT to continue monitoring Johnson’s medical condition. In</w:t>
      </w:r>
    </w:p>
    <w:p w14:paraId="56620E73" w14:textId="77777777" w:rsidR="00A96BBF" w:rsidRDefault="00A96BBF" w:rsidP="00A96BBF">
      <w:pPr>
        <w:pStyle w:val="NoSpacing"/>
        <w:ind w:left="720"/>
      </w:pPr>
      <w:r>
        <w:t>the meantime, the officer searched Johnson’s vehicle and found a pouch containing another glass pipe, several blue pills, several empty plastic baggies with residue, and pieces of foil. In the foil pieces, he found more blue pills and a white crystalline substance.”</w:t>
      </w:r>
    </w:p>
    <w:p w14:paraId="0AD13463" w14:textId="77777777" w:rsidR="00A96BBF" w:rsidRDefault="00A96BBF" w:rsidP="00A96BBF">
      <w:pPr>
        <w:pStyle w:val="NoSpacing"/>
        <w:ind w:left="720"/>
      </w:pPr>
    </w:p>
    <w:p w14:paraId="16D36EF1" w14:textId="77777777" w:rsidR="00A96BBF" w:rsidRDefault="00A96BBF" w:rsidP="00A96BBF">
      <w:pPr>
        <w:pStyle w:val="NoSpacing"/>
        <w:rPr>
          <w:b/>
          <w:bCs/>
        </w:rPr>
      </w:pPr>
      <w:r>
        <w:rPr>
          <w:b/>
        </w:rPr>
        <w:t>Legal lesson learned:  Many states have enacted statutes to encourage overdose victims and others to call 911.</w:t>
      </w:r>
    </w:p>
    <w:p w14:paraId="4853D723" w14:textId="77777777" w:rsidR="00A96BBF" w:rsidRDefault="00A96BBF" w:rsidP="00A96BBF">
      <w:pPr>
        <w:pStyle w:val="NoSpacing"/>
        <w:rPr>
          <w:b/>
          <w:bCs/>
        </w:rPr>
      </w:pPr>
    </w:p>
    <w:p w14:paraId="53712D69" w14:textId="77777777" w:rsidR="00A96BBF" w:rsidRPr="00766927" w:rsidRDefault="00A96BBF" w:rsidP="00A96BBF">
      <w:pPr>
        <w:pStyle w:val="NoSpacing"/>
      </w:pPr>
      <w:r>
        <w:rPr>
          <w:b/>
        </w:rPr>
        <w:tab/>
      </w:r>
      <w:r w:rsidRPr="00766927">
        <w:t>Note:  Arizona Revised Statutes</w:t>
      </w:r>
      <w:r>
        <w:t xml:space="preserve"> </w:t>
      </w:r>
      <w:r w:rsidRPr="00766927">
        <w:t>(“A.R.S.”) section 13-3423(B), states:</w:t>
      </w:r>
    </w:p>
    <w:p w14:paraId="37E7EADD" w14:textId="77777777" w:rsidR="00A96BBF" w:rsidRPr="00766927" w:rsidRDefault="00A96BBF" w:rsidP="00A96BBF">
      <w:pPr>
        <w:pStyle w:val="NoSpacing"/>
        <w:ind w:left="720"/>
      </w:pPr>
      <w:r>
        <w:t>“</w:t>
      </w:r>
      <w:r w:rsidRPr="00766927">
        <w:t>A person who experiences a drug-related overdose,</w:t>
      </w:r>
      <w:r>
        <w:t xml:space="preserve"> </w:t>
      </w:r>
      <w:r w:rsidRPr="00766927">
        <w:t xml:space="preserve">who </w:t>
      </w:r>
      <w:proofErr w:type="gramStart"/>
      <w:r w:rsidRPr="00766927">
        <w:t>is in need of</w:t>
      </w:r>
      <w:proofErr w:type="gramEnd"/>
      <w:r w:rsidRPr="00766927">
        <w:t xml:space="preserve"> medical assistance and for whom medical</w:t>
      </w:r>
      <w:r>
        <w:t xml:space="preserve"> </w:t>
      </w:r>
      <w:r w:rsidRPr="00766927">
        <w:t>assistance is sought . . . may not be charged or prosecuted for</w:t>
      </w:r>
    </w:p>
    <w:p w14:paraId="5729F255" w14:textId="77777777" w:rsidR="00A96BBF" w:rsidRPr="00766927" w:rsidRDefault="00A96BBF" w:rsidP="00A96BBF">
      <w:pPr>
        <w:pStyle w:val="NoSpacing"/>
        <w:ind w:left="720"/>
      </w:pPr>
      <w:r w:rsidRPr="00766927">
        <w:lastRenderedPageBreak/>
        <w:t>the possession or use of a controlled substance or drug</w:t>
      </w:r>
      <w:r>
        <w:t xml:space="preserve"> </w:t>
      </w:r>
      <w:r w:rsidRPr="00766927">
        <w:t xml:space="preserve">paraphernalia if the evidence for the violation was gained </w:t>
      </w:r>
      <w:proofErr w:type="gramStart"/>
      <w:r w:rsidRPr="00766927">
        <w:t>as</w:t>
      </w:r>
      <w:r>
        <w:t xml:space="preserve"> </w:t>
      </w:r>
      <w:r w:rsidRPr="00766927">
        <w:t>a result of</w:t>
      </w:r>
      <w:proofErr w:type="gramEnd"/>
      <w:r w:rsidRPr="00766927">
        <w:t xml:space="preserve"> the person’s overdose and need for medical</w:t>
      </w:r>
    </w:p>
    <w:p w14:paraId="7F427CBE" w14:textId="77777777" w:rsidR="00A96BBF" w:rsidRPr="00766927" w:rsidRDefault="00A96BBF" w:rsidP="00A96BBF">
      <w:pPr>
        <w:pStyle w:val="NoSpacing"/>
        <w:ind w:firstLine="720"/>
      </w:pPr>
      <w:r w:rsidRPr="00766927">
        <w:t>assistance.</w:t>
      </w:r>
      <w:r>
        <w:t>”</w:t>
      </w:r>
    </w:p>
    <w:p w14:paraId="34B88B5F" w14:textId="77777777" w:rsidR="00A96BBF" w:rsidRDefault="00A96BBF" w:rsidP="00A96BBF">
      <w:pPr>
        <w:pStyle w:val="NoSpacing"/>
      </w:pPr>
    </w:p>
    <w:p w14:paraId="5C73A0DA" w14:textId="77777777" w:rsidR="00A96BBF" w:rsidRDefault="00A96BBF" w:rsidP="002B1283">
      <w:pPr>
        <w:rPr>
          <w:rFonts w:ascii="Arial Black" w:hAnsi="Arial Black"/>
          <w:b/>
          <w:bCs/>
          <w:sz w:val="28"/>
          <w:szCs w:val="28"/>
        </w:rPr>
      </w:pPr>
    </w:p>
    <w:p w14:paraId="33BDB765" w14:textId="380FD4CB"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6</w:t>
      </w:r>
    </w:p>
    <w:p w14:paraId="0C90D742" w14:textId="536F18A5" w:rsidR="00177852" w:rsidRDefault="00177852" w:rsidP="00177852">
      <w:pPr>
        <w:pStyle w:val="NoSpacing"/>
        <w:rPr>
          <w:rFonts w:ascii="Arial Black" w:hAnsi="Arial Black"/>
          <w:bCs/>
          <w:sz w:val="28"/>
          <w:szCs w:val="28"/>
        </w:rPr>
      </w:pPr>
      <w:r>
        <w:rPr>
          <w:rFonts w:ascii="Arial Black" w:hAnsi="Arial Black"/>
          <w:sz w:val="28"/>
          <w:szCs w:val="28"/>
        </w:rPr>
        <w:t>PA: PD PAT-DOWN</w:t>
      </w:r>
      <w:r w:rsidR="0074334C">
        <w:rPr>
          <w:rFonts w:ascii="Arial Black" w:hAnsi="Arial Black"/>
          <w:sz w:val="28"/>
          <w:szCs w:val="28"/>
        </w:rPr>
        <w:t xml:space="preserve"> UNLAWFUL </w:t>
      </w:r>
      <w:r>
        <w:rPr>
          <w:rFonts w:ascii="Arial Black" w:hAnsi="Arial Black"/>
          <w:sz w:val="28"/>
          <w:szCs w:val="28"/>
        </w:rPr>
        <w:t xml:space="preserve">– PRIOR EMS </w:t>
      </w:r>
      <w:r w:rsidR="00BE5B68">
        <w:rPr>
          <w:rFonts w:ascii="Arial Black" w:hAnsi="Arial Black"/>
          <w:sz w:val="28"/>
          <w:szCs w:val="28"/>
        </w:rPr>
        <w:t xml:space="preserve">PT </w:t>
      </w:r>
      <w:r>
        <w:rPr>
          <w:rFonts w:ascii="Arial Black" w:hAnsi="Arial Black"/>
          <w:sz w:val="28"/>
          <w:szCs w:val="28"/>
        </w:rPr>
        <w:t xml:space="preserve">TRANS - DRUGS </w:t>
      </w:r>
    </w:p>
    <w:p w14:paraId="2B9EB72D" w14:textId="77777777" w:rsidR="00177852" w:rsidRDefault="00177852" w:rsidP="00177852">
      <w:pPr>
        <w:pStyle w:val="NoSpacing"/>
      </w:pPr>
    </w:p>
    <w:p w14:paraId="3D7CDB88" w14:textId="77777777" w:rsidR="0060697B" w:rsidRDefault="00177852" w:rsidP="0060697B">
      <w:pPr>
        <w:pStyle w:val="NoSpacing"/>
      </w:pPr>
      <w:r>
        <w:t xml:space="preserve">On September 19, 2025, in </w:t>
      </w:r>
      <w:r w:rsidRPr="0053267A">
        <w:rPr>
          <w:u w:val="single"/>
        </w:rPr>
        <w:t>Commonwealth of Pennsylvania v. Andre N. Fulton</w:t>
      </w:r>
      <w:r>
        <w:t xml:space="preserve">, the Superior Court of Pennsylvania held (3 to 0) that trial court properly granted defense motion to suppress a straw found in patient’s pocket during pat-down, and </w:t>
      </w:r>
      <w:r w:rsidRPr="006448AB">
        <w:t xml:space="preserve">narcotics found inside the </w:t>
      </w:r>
      <w:r>
        <w:t xml:space="preserve">black </w:t>
      </w:r>
      <w:r w:rsidRPr="006448AB">
        <w:t>plastic bag</w:t>
      </w:r>
      <w:r>
        <w:t xml:space="preserve"> in the patient’s vehicle.  Patient at PA Turnpike restaurant </w:t>
      </w:r>
      <w:proofErr w:type="gramStart"/>
      <w:r>
        <w:t>not</w:t>
      </w:r>
      <w:proofErr w:type="gramEnd"/>
      <w:r>
        <w:t xml:space="preserve"> feeling well; he consented to Troopers looking for his keys and cell phone in his car before EMS transport to hospital.  </w:t>
      </w:r>
      <w:hyperlink r:id="rId1953" w:history="1">
        <w:r w:rsidR="0060697B" w:rsidRPr="000F3B38">
          <w:rPr>
            <w:rStyle w:val="Hyperlink"/>
          </w:rPr>
          <w:t>https://www.pacourts.us/assets/opinions/Superior/out/J-S30019-25o%20-%20106515413327511102.pdf?cb=1</w:t>
        </w:r>
      </w:hyperlink>
      <w:r w:rsidR="0060697B">
        <w:t xml:space="preserve"> </w:t>
      </w:r>
    </w:p>
    <w:p w14:paraId="02E5F5AB" w14:textId="79FEC153" w:rsidR="00177852" w:rsidRDefault="00177852" w:rsidP="00177852">
      <w:pPr>
        <w:pStyle w:val="NoSpacing"/>
      </w:pPr>
    </w:p>
    <w:p w14:paraId="4B0E5D10" w14:textId="77777777" w:rsidR="00177852" w:rsidRDefault="00177852" w:rsidP="00177852">
      <w:pPr>
        <w:pStyle w:val="NoSpacing"/>
      </w:pPr>
    </w:p>
    <w:p w14:paraId="011514A6" w14:textId="77777777" w:rsidR="00177852" w:rsidRDefault="00177852" w:rsidP="00177852">
      <w:pPr>
        <w:pStyle w:val="NoSpacing"/>
      </w:pPr>
      <w:r w:rsidRPr="00913B5B">
        <w:rPr>
          <w:b/>
        </w:rPr>
        <w:t>THE COURT HELD</w:t>
      </w:r>
      <w:r>
        <w:t>: “The Commonwealth argues the suppression court erred by finding police unlawfully (1) performed a pat-down search of Appellee’s person, where he was not under arrest and police had no suspicion he was armed or dangerous; (2) exceeded the scope of Appellee’s consent, when conducting a warrantless search of Appellee’s vehicle for certain items that Appellee asked police to retrieve; and (3) seized contraband from an opaque plastic bag in Appellee’s vehicle that police discovered during the search. After careful review, we affirm.</w:t>
      </w:r>
    </w:p>
    <w:p w14:paraId="20C5C2A7" w14:textId="77777777" w:rsidR="00177852" w:rsidRDefault="00177852" w:rsidP="00177852">
      <w:pPr>
        <w:pStyle w:val="NoSpacing"/>
      </w:pPr>
    </w:p>
    <w:p w14:paraId="5DC949CC" w14:textId="77777777" w:rsidR="00177852" w:rsidRDefault="00177852" w:rsidP="00177852">
      <w:pPr>
        <w:pStyle w:val="NoSpacing"/>
      </w:pPr>
      <w:r>
        <w:t>***</w:t>
      </w:r>
    </w:p>
    <w:p w14:paraId="0886C257" w14:textId="77777777" w:rsidR="00D553CE" w:rsidRDefault="00177852" w:rsidP="00177852">
      <w:pPr>
        <w:pStyle w:val="NoSpacing"/>
      </w:pPr>
      <w:r>
        <w:t xml:space="preserve">ln this case, there was no reasonable belief that [Appellee] was armed and dangerous. Thus, the pat-down was unlawful. Without probable cause to arrest, or without reasonable suspicion that [Appellee] had weapons on him, the pat-down was illegal and unconstitutional[; accordingly,] the item seized, namely the straw, was properly suppressed. Suppression Court Opinion, 4/1/25, at 16-17….  The suppression court’s foregoing analysis is supported by the record and the law, and we agree with its </w:t>
      </w:r>
      <w:proofErr w:type="gramStart"/>
      <w:r>
        <w:t>determination.”</w:t>
      </w:r>
      <w:proofErr w:type="gramEnd"/>
      <w:r>
        <w:t xml:space="preserve"> </w:t>
      </w:r>
    </w:p>
    <w:p w14:paraId="241F9584" w14:textId="77777777" w:rsidR="00177852" w:rsidRDefault="00177852" w:rsidP="00177852">
      <w:pPr>
        <w:pStyle w:val="NoSpacing"/>
      </w:pPr>
    </w:p>
    <w:p w14:paraId="6AB7A112" w14:textId="77777777" w:rsidR="00177852" w:rsidRDefault="00177852" w:rsidP="00177852">
      <w:pPr>
        <w:pStyle w:val="NoSpacing"/>
      </w:pPr>
      <w:r w:rsidRPr="00913B5B">
        <w:rPr>
          <w:b/>
        </w:rPr>
        <w:t>KEY FACTS</w:t>
      </w:r>
      <w:r>
        <w:t xml:space="preserve">: </w:t>
      </w:r>
    </w:p>
    <w:p w14:paraId="21AB319E" w14:textId="77777777" w:rsidR="00177852" w:rsidRDefault="00177852" w:rsidP="00177852">
      <w:pPr>
        <w:pStyle w:val="NoSpacing"/>
      </w:pPr>
    </w:p>
    <w:p w14:paraId="3F9B3A76" w14:textId="77777777" w:rsidR="00177852" w:rsidRDefault="00177852" w:rsidP="00177852">
      <w:pPr>
        <w:pStyle w:val="NoSpacing"/>
        <w:ind w:firstLine="720"/>
      </w:pPr>
      <w:r>
        <w:t>“The suppression court summarized the evidence presented at Appellee’s</w:t>
      </w:r>
    </w:p>
    <w:p w14:paraId="411EA652" w14:textId="77777777" w:rsidR="00177852" w:rsidRDefault="00177852" w:rsidP="00177852">
      <w:pPr>
        <w:pStyle w:val="NoSpacing"/>
        <w:ind w:firstLine="720"/>
      </w:pPr>
      <w:r>
        <w:t>suppression hearing in its order granting suppression:</w:t>
      </w:r>
    </w:p>
    <w:p w14:paraId="4FDF6F61" w14:textId="77777777" w:rsidR="00177852" w:rsidRDefault="00177852" w:rsidP="00177852">
      <w:pPr>
        <w:pStyle w:val="NoSpacing"/>
      </w:pPr>
    </w:p>
    <w:p w14:paraId="49C0C30A" w14:textId="77777777" w:rsidR="00177852" w:rsidRDefault="00177852" w:rsidP="00177852">
      <w:pPr>
        <w:pStyle w:val="NoSpacing"/>
        <w:ind w:left="720"/>
      </w:pPr>
      <w:r>
        <w:t xml:space="preserve">On March 16, 2023, at 12:45 a.m., [Pennsylvania State Police] Trooper Adam Shutter [(Trooper Shutter)] and Trooper Curtis Matthews [(Trooper Matthews) (collectively, ‘the Troopers’)] received a report of a male having a medical emergency at the Peter J. Camiel Service Plaza, [a] Pennsylvania Turnpike rest area [(the Plaza). N.T. (suppression hearing), 2/10/25, at 6, 21]. [Appellee] was seated at a table inside the Plaza. [Id. at 6-7, 22.] Trooper Shutter testified at [the suppression hearing] … that [Appellee] was sweaty and said he had taken an ecstasy pill earlier in </w:t>
      </w:r>
      <w:proofErr w:type="gramStart"/>
      <w:r>
        <w:t>Philadelphia, and</w:t>
      </w:r>
      <w:proofErr w:type="gramEnd"/>
      <w:r>
        <w:t xml:space="preserve"> was not feeling well. [Id. at 22; see also id. at 8 (Trooper Matthews’s consistent testimony).] [Appellee] requested emergency medical [services</w:t>
      </w:r>
      <w:proofErr w:type="gramStart"/>
      <w:r>
        <w:t>] (‘</w:t>
      </w:r>
      <w:proofErr w:type="gramEnd"/>
      <w:r>
        <w:t xml:space="preserve">EMS’). [Id. at 8, 22.] EMS [personnel] arrived and determined that [Appellee] needed to be transported to Reading Hospital for treatment. [Id. at 8, 24.] Trooper Shutter testified that he [performed] a </w:t>
      </w:r>
      <w:proofErr w:type="spellStart"/>
      <w:r>
        <w:t>‘pat</w:t>
      </w:r>
      <w:proofErr w:type="spellEnd"/>
      <w:r>
        <w:t xml:space="preserve"> down’ of [Appellee’s] person to ensure he had no weapons before he got into the ambulance. [Id. at 24-25.]</w:t>
      </w:r>
    </w:p>
    <w:p w14:paraId="03073891" w14:textId="77777777" w:rsidR="00177852" w:rsidRDefault="00177852" w:rsidP="00177852">
      <w:pPr>
        <w:pStyle w:val="NoSpacing"/>
        <w:ind w:left="720"/>
      </w:pPr>
    </w:p>
    <w:p w14:paraId="4711D5A9" w14:textId="6AE85825" w:rsidR="00177852" w:rsidRDefault="00177852" w:rsidP="00177852">
      <w:pPr>
        <w:pStyle w:val="NoSpacing"/>
        <w:ind w:left="720"/>
      </w:pPr>
      <w:r>
        <w:t xml:space="preserve">Both Trooper Matthews and Trooper Shutter testified that [Appellee] stated he did not have his cell phone and keys [to his </w:t>
      </w:r>
      <w:proofErr w:type="gramStart"/>
      <w:r>
        <w:t>vehicle (‘keys’</w:t>
      </w:r>
      <w:proofErr w:type="gramEnd"/>
      <w:r>
        <w:t xml:space="preserve"> or ‘key’)] with him in the Plaza. [Id. at 10 (Trooper Matthews confirming that Appellee was ‘the first person to bring up his cell phone and his keys.’); id. at 26 (Trooper Shutter’s consistent testimony).] [Appellee] requested that [the Troopers] enter his vehicle to locate the cell phone and keys. [See id. at 11, 26-27.]2 [The Troopers walked to Appellee’s car, discovered it was unlocked, and opened the driver’s side door. Id. at 29.] [Trooper Matthews immediately] found [Appellee’s] cell phone on the [driver’s seat] floor. [Id.] [The </w:t>
      </w:r>
      <w:r>
        <w:lastRenderedPageBreak/>
        <w:t>Troopers continued] search[</w:t>
      </w:r>
      <w:proofErr w:type="spellStart"/>
      <w:r>
        <w:t>ing</w:t>
      </w:r>
      <w:proofErr w:type="spellEnd"/>
      <w:r>
        <w:t xml:space="preserve">] the vehicle for [Appellee’s] keys and found a [black] plastic [grocery] bag … on the rear floor. Id. at 30.]3 The contents of the bag were not visible. [Id. at 44.]4 Trooper Shutter [immediately] opened the bag and found white powder in the bag. Id. at 32. Trooper Shutter found the keys to [Appellee’s] vehicle underneath an ashtray in the center console. [Id.] The [white powder was] seized and </w:t>
      </w:r>
      <w:proofErr w:type="gramStart"/>
      <w:r>
        <w:t>entered into</w:t>
      </w:r>
      <w:proofErr w:type="gramEnd"/>
      <w:r>
        <w:t xml:space="preserve"> evidence. [Id. at 34.] [Appellee’s] vehicle was towed and </w:t>
      </w:r>
      <w:proofErr w:type="gramStart"/>
      <w:r>
        <w:t>entered into</w:t>
      </w:r>
      <w:proofErr w:type="gramEnd"/>
      <w:r>
        <w:t xml:space="preserve"> evidence. [Id. at 35.] On March 17, 2023, police obtained a search warrant to search [Appellee’s] vehicle. [Id. at 35-36.] The seized [white powder was subsequently] tested and identified as heroin,</w:t>
      </w:r>
      <w:r w:rsidR="000A35E0">
        <w:t xml:space="preserve"> </w:t>
      </w:r>
      <w:r>
        <w:t>fentanyl and xylazine.”</w:t>
      </w:r>
    </w:p>
    <w:p w14:paraId="123E9D13" w14:textId="77777777" w:rsidR="00177852" w:rsidRDefault="00177852" w:rsidP="00177852">
      <w:pPr>
        <w:pStyle w:val="NoSpacing"/>
      </w:pPr>
    </w:p>
    <w:p w14:paraId="071CA2DE" w14:textId="77777777" w:rsidR="00177852" w:rsidRDefault="00177852" w:rsidP="00177852">
      <w:pPr>
        <w:pStyle w:val="NoSpacing"/>
        <w:rPr>
          <w:b/>
          <w:bCs/>
        </w:rPr>
      </w:pPr>
      <w:r>
        <w:rPr>
          <w:b/>
        </w:rPr>
        <w:t xml:space="preserve">Legal lesson learned:  Pat-down by police prior to EMS transport is an excellent safety practice; PD and EMS should consider having a written protocol.  </w:t>
      </w:r>
    </w:p>
    <w:p w14:paraId="70A0E4A1" w14:textId="77777777" w:rsidR="00177852" w:rsidRDefault="00177852" w:rsidP="00177852">
      <w:pPr>
        <w:pStyle w:val="NoSpacing"/>
        <w:rPr>
          <w:b/>
          <w:bCs/>
        </w:rPr>
      </w:pPr>
    </w:p>
    <w:p w14:paraId="676FE75A" w14:textId="77777777" w:rsidR="00177852" w:rsidRDefault="00177852" w:rsidP="00177852">
      <w:pPr>
        <w:pStyle w:val="NoSpacing"/>
      </w:pPr>
      <w:r>
        <w:tab/>
        <w:t>Note: Pat downs can save EMS lives.</w:t>
      </w:r>
    </w:p>
    <w:p w14:paraId="4B0B5311" w14:textId="77777777" w:rsidR="00177852" w:rsidRDefault="00177852" w:rsidP="00177852">
      <w:pPr>
        <w:pStyle w:val="NoSpacing"/>
        <w:ind w:firstLine="720"/>
      </w:pPr>
      <w:r>
        <w:t>See Commonwealth of Massachusetts v. Raymond J. Verrier (September 8, 2025):</w:t>
      </w:r>
    </w:p>
    <w:p w14:paraId="0C7E982F" w14:textId="77777777" w:rsidR="00177852" w:rsidRPr="00D45DDD" w:rsidRDefault="00177852" w:rsidP="00177852">
      <w:pPr>
        <w:pStyle w:val="NoSpacing"/>
        <w:ind w:left="720"/>
      </w:pPr>
      <w:r>
        <w:t>Mental patient.  “</w:t>
      </w:r>
      <w:r w:rsidRPr="00D45DDD">
        <w:t>It is undisputed that before placing the defendant in an</w:t>
      </w:r>
      <w:r>
        <w:t xml:space="preserve"> </w:t>
      </w:r>
      <w:r w:rsidRPr="00D45DDD">
        <w:t>ambulance, Chelsea police officer Timothy McCarthy pat frisked</w:t>
      </w:r>
      <w:r>
        <w:t xml:space="preserve"> </w:t>
      </w:r>
      <w:r w:rsidRPr="00D45DDD">
        <w:t>the defendant, finding a loaded firearm. Officer McCarthy then</w:t>
      </w:r>
      <w:r>
        <w:t xml:space="preserve"> </w:t>
      </w:r>
      <w:r w:rsidRPr="00D45DDD">
        <w:t>placed the defendant under arrest and searched him incident to</w:t>
      </w:r>
      <w:r>
        <w:t xml:space="preserve"> </w:t>
      </w:r>
      <w:r w:rsidRPr="00D45DDD">
        <w:t>that arrest, finding drugs on his person.</w:t>
      </w:r>
      <w:r>
        <w:t xml:space="preserve">”  </w:t>
      </w:r>
      <w:hyperlink r:id="rId1954" w:history="1">
        <w:r w:rsidRPr="00FF39E5">
          <w:rPr>
            <w:rStyle w:val="Hyperlink"/>
          </w:rPr>
          <w:t>https://www.mass.gov/doc/commonwealth-v-verrier-ac-g24p446/download</w:t>
        </w:r>
      </w:hyperlink>
      <w:r>
        <w:t xml:space="preserve"> </w:t>
      </w:r>
    </w:p>
    <w:p w14:paraId="4D6DE902" w14:textId="77777777" w:rsidR="00177852" w:rsidRDefault="00177852" w:rsidP="00542851">
      <w:pPr>
        <w:rPr>
          <w:rFonts w:ascii="Times New Roman" w:hAnsi="Times New Roman"/>
          <w:b/>
          <w:bCs/>
          <w:sz w:val="24"/>
          <w:szCs w:val="24"/>
        </w:rPr>
      </w:pPr>
    </w:p>
    <w:p w14:paraId="30AE3843" w14:textId="3FF6BCFF"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5</w:t>
      </w:r>
    </w:p>
    <w:p w14:paraId="4C4AF662" w14:textId="4A92C62D" w:rsidR="00E930D2" w:rsidRDefault="00E930D2" w:rsidP="00E930D2">
      <w:pPr>
        <w:pStyle w:val="NoSpacing"/>
        <w:rPr>
          <w:rFonts w:ascii="Arial Black" w:hAnsi="Arial Black"/>
          <w:sz w:val="28"/>
          <w:szCs w:val="28"/>
        </w:rPr>
      </w:pPr>
      <w:r>
        <w:rPr>
          <w:rFonts w:ascii="Arial Black" w:hAnsi="Arial Black"/>
          <w:sz w:val="28"/>
          <w:szCs w:val="28"/>
        </w:rPr>
        <w:t xml:space="preserve">WA: COVID19 – RELIGIOUS ACCOMMODATION </w:t>
      </w:r>
      <w:r w:rsidR="00EC0577">
        <w:rPr>
          <w:rFonts w:ascii="Arial Black" w:hAnsi="Arial Black"/>
          <w:sz w:val="28"/>
          <w:szCs w:val="28"/>
        </w:rPr>
        <w:t>NOT REASONABLE</w:t>
      </w:r>
    </w:p>
    <w:p w14:paraId="72DAE56A" w14:textId="77777777" w:rsidR="00E930D2" w:rsidRDefault="00E930D2" w:rsidP="00E930D2">
      <w:pPr>
        <w:pStyle w:val="NoSpacing"/>
      </w:pPr>
    </w:p>
    <w:p w14:paraId="5EB0D1D5" w14:textId="77777777" w:rsidR="005D334E" w:rsidRDefault="00E930D2" w:rsidP="005D334E">
      <w:pPr>
        <w:pStyle w:val="NoSpacing"/>
      </w:pPr>
      <w:r>
        <w:t xml:space="preserve">On September 2, 2025, in </w:t>
      </w:r>
      <w:r w:rsidRPr="00D15CD1">
        <w:rPr>
          <w:u w:val="single"/>
        </w:rPr>
        <w:t>David Peterso, et al. v. Snohomish Regional Fire and Rescue; Kevin O’Brien, Chief,</w:t>
      </w:r>
      <w:r>
        <w:t xml:space="preserve"> the United States Court of Appeals for 9</w:t>
      </w:r>
      <w:r w:rsidRPr="00D15CD1">
        <w:rPr>
          <w:vertAlign w:val="superscript"/>
        </w:rPr>
        <w:t>th</w:t>
      </w:r>
      <w:r>
        <w:t xml:space="preserve"> Circuit (San Francisco) </w:t>
      </w:r>
      <w:r w:rsidRPr="003C5A0D">
        <w:t>affirmed the district court’s summary</w:t>
      </w:r>
      <w:r>
        <w:t xml:space="preserve"> </w:t>
      </w:r>
      <w:r w:rsidRPr="003C5A0D">
        <w:t>judgment in favor of Snohomish Regional Fire and Rescue</w:t>
      </w:r>
      <w:r>
        <w:t xml:space="preserve"> </w:t>
      </w:r>
      <w:r w:rsidRPr="003C5A0D">
        <w:t>(SRFR)</w:t>
      </w:r>
      <w:r>
        <w:t xml:space="preserve">.  The FD could not “reasonably accommodate” the 8-plaintiff firefighter’s proposed religious accommodation (no vaccination, frequent testing) “without undue hardship on the conduct of” its business. 42 U.S.C. § 2000e(j).  </w:t>
      </w:r>
      <w:hyperlink r:id="rId1955" w:history="1">
        <w:r w:rsidR="005D334E" w:rsidRPr="00FE798F">
          <w:rPr>
            <w:rStyle w:val="Hyperlink"/>
          </w:rPr>
          <w:t>https://cdn.ca9.uscourts.gov/datastore/opinions/2025/09/02/24-1044.pdf</w:t>
        </w:r>
      </w:hyperlink>
      <w:r w:rsidR="005D334E">
        <w:t xml:space="preserve"> </w:t>
      </w:r>
    </w:p>
    <w:p w14:paraId="406EC566" w14:textId="77777777" w:rsidR="005D334E" w:rsidRDefault="005D334E" w:rsidP="005D334E">
      <w:pPr>
        <w:pStyle w:val="NoSpacing"/>
      </w:pPr>
    </w:p>
    <w:p w14:paraId="52A00F37" w14:textId="7497BEE8" w:rsidR="00E930D2" w:rsidRDefault="00E930D2" w:rsidP="00E930D2">
      <w:pPr>
        <w:pStyle w:val="NoSpacing"/>
      </w:pPr>
    </w:p>
    <w:p w14:paraId="6174869F" w14:textId="77777777" w:rsidR="00E930D2" w:rsidRDefault="00E930D2" w:rsidP="00E930D2">
      <w:pPr>
        <w:pStyle w:val="NoSpacing"/>
      </w:pPr>
    </w:p>
    <w:p w14:paraId="72196BE0" w14:textId="5B6490A0" w:rsidR="00E930D2" w:rsidRDefault="00E930D2" w:rsidP="00E930D2">
      <w:pPr>
        <w:pStyle w:val="NoSpacing"/>
      </w:pPr>
      <w:r w:rsidRPr="005A5894">
        <w:rPr>
          <w:b/>
        </w:rPr>
        <w:t>THE COURT HELD:</w:t>
      </w:r>
      <w:r>
        <w:t xml:space="preserve">  “Dr. Lynch is a board-certified physician in infectious disease, Professor of Medicine at the University of Washington School of Medicine, and Associate Medical Director at Harborview Medical Center…. Dr. Lynch explained in some detail why Plaintiffs’ proposed accommodation—testing, masking, and social distancing in lieu of vaccination— was inadequate. Regular COVID-19 testing was ‘not sufficient’ because tests are not always accurate and unvaccinated people subject to testing were ‘among positive cases that . . . caused outbreaks in’ Washington. Dr. Lynch described PPE, like masks, as ‘complements, not substitutes, for getting vaccinated,’ since ‘[m]asks shore up protection on the outside,’ and vaccines do so on the ‘inside.’ According to Dr. Lynch, vaccines are ‘effective around the clock,’ and masks are not because ‘a work-based masking requirement applies only while employees are at work.’ He cited various studies that supported these conclusions.” </w:t>
      </w:r>
    </w:p>
    <w:p w14:paraId="544C7659" w14:textId="77777777" w:rsidR="00E930D2" w:rsidRPr="005A5894" w:rsidRDefault="00E930D2" w:rsidP="00E930D2">
      <w:pPr>
        <w:pStyle w:val="NoSpacing"/>
        <w:rPr>
          <w:b/>
          <w:bCs/>
        </w:rPr>
      </w:pPr>
      <w:r w:rsidRPr="005A5894">
        <w:rPr>
          <w:b/>
        </w:rPr>
        <w:t xml:space="preserve">KEY FACTS: </w:t>
      </w:r>
    </w:p>
    <w:p w14:paraId="1465057B" w14:textId="77777777" w:rsidR="00E930D2" w:rsidRDefault="00E930D2" w:rsidP="00E930D2">
      <w:pPr>
        <w:pStyle w:val="NoSpacing"/>
      </w:pPr>
    </w:p>
    <w:p w14:paraId="02900EA9" w14:textId="77777777" w:rsidR="00E930D2" w:rsidRDefault="00E930D2" w:rsidP="00E930D2">
      <w:pPr>
        <w:pStyle w:val="NoSpacing"/>
        <w:ind w:left="720"/>
      </w:pPr>
      <w:r>
        <w:t>“SRFR provided its firefighters with information about the vaccination requirement and the process for requesting exemptions. Forty-six of SRFR’s 192 firefighters requested</w:t>
      </w:r>
    </w:p>
    <w:p w14:paraId="6B8F2E1A" w14:textId="77777777" w:rsidR="00E930D2" w:rsidRDefault="00E930D2" w:rsidP="00E930D2">
      <w:pPr>
        <w:pStyle w:val="NoSpacing"/>
        <w:ind w:left="720"/>
      </w:pPr>
      <w:r>
        <w:t>exemptions, including the eight Plaintiffs. All the firefighters served in various firefighting and emergency medical technician (EMT) positions, and all held EMT or</w:t>
      </w:r>
    </w:p>
    <w:p w14:paraId="6EE88AF0" w14:textId="77777777" w:rsidR="00E930D2" w:rsidRDefault="00E930D2" w:rsidP="00E930D2">
      <w:pPr>
        <w:pStyle w:val="NoSpacing"/>
        <w:ind w:firstLine="720"/>
      </w:pPr>
      <w:r>
        <w:t>paramedic certifications. SRFR’s Human Resources staff met with each employee</w:t>
      </w:r>
    </w:p>
    <w:p w14:paraId="6A2714E4" w14:textId="77777777" w:rsidR="00E930D2" w:rsidRDefault="00E930D2" w:rsidP="00E930D2">
      <w:pPr>
        <w:pStyle w:val="NoSpacing"/>
        <w:ind w:left="720"/>
      </w:pPr>
      <w:r>
        <w:t>who requested an exemption to discuss their request and any possible accommodation. SRFR simultaneously negotiated with the International Association of Fire Fighters, Local 2781 (the Union) regarding the vaccination requirement, and eventually ‘approved a Memorandum of Understanding (‘MOU’) that modified the collective bargaining agreement to provide accommodation options for firefighters if [SRFR] determined they could not be accommodated in their healthcare roles.’</w:t>
      </w:r>
    </w:p>
    <w:p w14:paraId="78596AD5" w14:textId="77777777" w:rsidR="00E930D2" w:rsidRDefault="00E930D2" w:rsidP="00E930D2">
      <w:pPr>
        <w:pStyle w:val="NoSpacing"/>
        <w:ind w:left="720"/>
      </w:pPr>
    </w:p>
    <w:p w14:paraId="19645ED3" w14:textId="77777777" w:rsidR="00E930D2" w:rsidRDefault="00E930D2" w:rsidP="00E930D2">
      <w:pPr>
        <w:pStyle w:val="NoSpacing"/>
        <w:ind w:left="720"/>
      </w:pPr>
      <w:r>
        <w:lastRenderedPageBreak/>
        <w:t>In these circumstances, the MOU explained that unvaccinated firefighters could use their accrued paid leave while remaining employed. After exhausting that leave, firefighters could take a one-year leave of absence without pay. The MOU also provided that if any firefighters chose to leave SRFR, they could be added to the disability rehire list, which gave them ‘priority’—meaning that they would not lose their rank, seniority, or benefit accrual status if they returned to SRFR within two years. Additionally, the MOU</w:t>
      </w:r>
    </w:p>
    <w:p w14:paraId="3A96786E" w14:textId="77777777" w:rsidR="00E930D2" w:rsidRDefault="00E930D2" w:rsidP="00E930D2">
      <w:pPr>
        <w:pStyle w:val="NoSpacing"/>
        <w:ind w:left="720"/>
      </w:pPr>
      <w:r>
        <w:t>‘</w:t>
      </w:r>
      <w:proofErr w:type="gramStart"/>
      <w:r>
        <w:t>specified</w:t>
      </w:r>
      <w:proofErr w:type="gramEnd"/>
      <w:r>
        <w:t xml:space="preserve"> that the unvaccinated frontline employees could return to work during their period of absence if [the] Proclamation . . . was updated and amended to that effect. </w:t>
      </w:r>
    </w:p>
    <w:p w14:paraId="3996DB25" w14:textId="77777777" w:rsidR="00E930D2" w:rsidRDefault="00E930D2" w:rsidP="00E930D2">
      <w:pPr>
        <w:pStyle w:val="NoSpacing"/>
        <w:ind w:left="720"/>
      </w:pPr>
    </w:p>
    <w:p w14:paraId="6B61E358" w14:textId="77777777" w:rsidR="00E930D2" w:rsidRDefault="00E930D2" w:rsidP="00E930D2">
      <w:pPr>
        <w:pStyle w:val="NoSpacing"/>
        <w:ind w:left="720"/>
      </w:pPr>
      <w:r>
        <w:t>In October 2021, SRFR determined that it could not accommodate unvaccinated firefighters in their firefighting roles without imposing an undue hardship on its operations. SRFR explained that because a firefighter’s work requires interfacing with the public, it did not have alternative positions for those seeking exemptions, nor could it facilitate their requested accommodation—masking, testing, and social distancing. SRFR encouraged all forty-six employees to use their accumulated leave days first and then apply for a one-year leave of absence. SRFR approved all such requests.”</w:t>
      </w:r>
    </w:p>
    <w:p w14:paraId="255B9D0F" w14:textId="77777777" w:rsidR="00E930D2" w:rsidRDefault="00E930D2" w:rsidP="00E930D2">
      <w:pPr>
        <w:pStyle w:val="NoSpacing"/>
        <w:ind w:firstLine="720"/>
      </w:pPr>
    </w:p>
    <w:p w14:paraId="46A5061D" w14:textId="77777777" w:rsidR="00E930D2" w:rsidRPr="00880A98" w:rsidRDefault="00E930D2" w:rsidP="00E930D2">
      <w:pPr>
        <w:pStyle w:val="NoSpacing"/>
        <w:rPr>
          <w:b/>
          <w:bCs/>
        </w:rPr>
      </w:pPr>
      <w:r>
        <w:rPr>
          <w:b/>
        </w:rPr>
        <w:t xml:space="preserve">Legal lesson learned: Yet another case holding that undue hardship for FDs to accommodate firefighters who refused to get vaccinated. </w:t>
      </w:r>
    </w:p>
    <w:p w14:paraId="29AF7C94" w14:textId="77777777" w:rsidR="00E930D2" w:rsidRDefault="00E930D2" w:rsidP="00542851">
      <w:pPr>
        <w:rPr>
          <w:rFonts w:ascii="Times New Roman" w:hAnsi="Times New Roman"/>
          <w:b/>
          <w:bCs/>
          <w:sz w:val="24"/>
          <w:szCs w:val="24"/>
        </w:rPr>
      </w:pPr>
    </w:p>
    <w:p w14:paraId="18BB4D82" w14:textId="1AAA77AC"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4</w:t>
      </w:r>
    </w:p>
    <w:p w14:paraId="297D7CCF" w14:textId="7540BCE0" w:rsidR="004704EF" w:rsidRPr="001515BA" w:rsidRDefault="004704EF" w:rsidP="004704EF">
      <w:pPr>
        <w:rPr>
          <w:rFonts w:ascii="Arial Black" w:hAnsi="Arial Black"/>
          <w:b/>
          <w:sz w:val="28"/>
          <w:szCs w:val="28"/>
        </w:rPr>
      </w:pPr>
      <w:r>
        <w:rPr>
          <w:rFonts w:ascii="Arial Black" w:hAnsi="Arial Black"/>
          <w:b/>
          <w:sz w:val="28"/>
          <w:szCs w:val="28"/>
        </w:rPr>
        <w:t xml:space="preserve">AL: </w:t>
      </w:r>
      <w:r w:rsidR="0083128E">
        <w:rPr>
          <w:rFonts w:ascii="Arial Black" w:hAnsi="Arial Black"/>
          <w:b/>
          <w:sz w:val="28"/>
          <w:szCs w:val="28"/>
        </w:rPr>
        <w:t xml:space="preserve">VOL </w:t>
      </w:r>
      <w:r>
        <w:rPr>
          <w:rFonts w:ascii="Arial Black" w:hAnsi="Arial Black"/>
          <w:b/>
          <w:sz w:val="28"/>
          <w:szCs w:val="28"/>
        </w:rPr>
        <w:t>EM</w:t>
      </w:r>
      <w:r w:rsidR="0083128E">
        <w:rPr>
          <w:rFonts w:ascii="Arial Black" w:hAnsi="Arial Black"/>
          <w:b/>
          <w:sz w:val="28"/>
          <w:szCs w:val="28"/>
        </w:rPr>
        <w:t xml:space="preserve">T STOPPED CPR </w:t>
      </w:r>
      <w:r w:rsidR="000B5EEC">
        <w:rPr>
          <w:rFonts w:ascii="Arial Black" w:hAnsi="Arial Black"/>
          <w:b/>
          <w:sz w:val="28"/>
          <w:szCs w:val="28"/>
        </w:rPr>
        <w:t>–</w:t>
      </w:r>
      <w:r w:rsidR="0083128E">
        <w:rPr>
          <w:rFonts w:ascii="Arial Black" w:hAnsi="Arial Black"/>
          <w:b/>
          <w:sz w:val="28"/>
          <w:szCs w:val="28"/>
        </w:rPr>
        <w:t xml:space="preserve"> IMMUN</w:t>
      </w:r>
      <w:r w:rsidR="000B5EEC">
        <w:rPr>
          <w:rFonts w:ascii="Arial Black" w:hAnsi="Arial Black"/>
          <w:b/>
          <w:sz w:val="28"/>
          <w:szCs w:val="28"/>
        </w:rPr>
        <w:t xml:space="preserve">ITY - </w:t>
      </w:r>
      <w:r>
        <w:rPr>
          <w:rFonts w:ascii="Arial Black" w:hAnsi="Arial Black"/>
          <w:b/>
          <w:sz w:val="28"/>
          <w:szCs w:val="28"/>
        </w:rPr>
        <w:t>GOOD SAMAR</w:t>
      </w:r>
      <w:r w:rsidR="00D63907">
        <w:rPr>
          <w:rFonts w:ascii="Arial Black" w:hAnsi="Arial Black"/>
          <w:b/>
          <w:sz w:val="28"/>
          <w:szCs w:val="28"/>
        </w:rPr>
        <w:t>ITAN</w:t>
      </w:r>
      <w:r w:rsidR="00DE7A31">
        <w:rPr>
          <w:rFonts w:ascii="Arial Black" w:hAnsi="Arial Black"/>
          <w:b/>
          <w:sz w:val="28"/>
          <w:szCs w:val="28"/>
        </w:rPr>
        <w:t xml:space="preserve"> </w:t>
      </w:r>
      <w:r>
        <w:rPr>
          <w:rFonts w:ascii="Arial Black" w:hAnsi="Arial Black"/>
          <w:b/>
          <w:sz w:val="28"/>
          <w:szCs w:val="28"/>
        </w:rPr>
        <w:t xml:space="preserve">LAW </w:t>
      </w:r>
    </w:p>
    <w:p w14:paraId="4E29D2C3" w14:textId="0283FEB7" w:rsidR="004704EF" w:rsidRDefault="004704EF" w:rsidP="004704EF">
      <w:pPr>
        <w:pStyle w:val="NoSpacing"/>
      </w:pPr>
      <w:r>
        <w:t xml:space="preserve">On Aug. 29, 2025, in </w:t>
      </w:r>
      <w:r w:rsidRPr="002B4CFC">
        <w:rPr>
          <w:u w:val="single"/>
        </w:rPr>
        <w:t>Carol Rogers, as administratrix of the Estate of Susan Bonner, deceased v. Cedar Bluff Volunteer Fire Department</w:t>
      </w:r>
      <w:r>
        <w:rPr>
          <w:u w:val="single"/>
        </w:rPr>
        <w:t xml:space="preserve"> and the T</w:t>
      </w:r>
      <w:r w:rsidRPr="001B127E">
        <w:rPr>
          <w:u w:val="single"/>
        </w:rPr>
        <w:t>own of</w:t>
      </w:r>
      <w:r>
        <w:rPr>
          <w:u w:val="single"/>
        </w:rPr>
        <w:t xml:space="preserve"> </w:t>
      </w:r>
      <w:r w:rsidRPr="001B127E">
        <w:rPr>
          <w:u w:val="single"/>
        </w:rPr>
        <w:t>Cedar Bluff</w:t>
      </w:r>
      <w:r>
        <w:t xml:space="preserve">, the Alabama Supreme Court held (9 to 0) that trial court properly dismissed the lawsuit against the Town and its Volunteer Fire Department.  June 6, </w:t>
      </w:r>
      <w:proofErr w:type="gramStart"/>
      <w:r>
        <w:t>2017</w:t>
      </w:r>
      <w:proofErr w:type="gramEnd"/>
      <w:r>
        <w:t xml:space="preserve"> motor vehicle accident where drive was submerged in creek; bystander CPR; she died two days later.  Under the state’s </w:t>
      </w:r>
      <w:r w:rsidRPr="00340D54">
        <w:t>"Good Samaritan Act</w:t>
      </w:r>
      <w:r>
        <w:t xml:space="preserve">” the volunteer firefighter / EMT has immunity for negligence, as does his volunteer fire department which is deemed a </w:t>
      </w:r>
      <w:r w:rsidRPr="00786D98">
        <w:t>subordinate entity</w:t>
      </w:r>
      <w:r>
        <w:t xml:space="preserve"> of the Town.  If his conduct was deemed wanton misconduct, the Town and other governmental entities in Alabama are not liable for intentional misconduct of employees and agents.  </w:t>
      </w:r>
      <w:hyperlink r:id="rId1956" w:history="1">
        <w:r w:rsidR="000B5EEC" w:rsidRPr="00204094">
          <w:rPr>
            <w:rStyle w:val="Hyperlink"/>
          </w:rPr>
          <w:t>https://cases.justia.com/alabama/supreme-court/2025-sc-2025-0055.pdf?ts=1756474207</w:t>
        </w:r>
      </w:hyperlink>
    </w:p>
    <w:p w14:paraId="35875A35" w14:textId="77777777" w:rsidR="004704EF" w:rsidRDefault="004704EF" w:rsidP="004704EF">
      <w:pPr>
        <w:pStyle w:val="NoSpacing"/>
      </w:pPr>
    </w:p>
    <w:p w14:paraId="0A454198" w14:textId="77777777" w:rsidR="00957259" w:rsidRDefault="004704EF" w:rsidP="004704EF">
      <w:pPr>
        <w:pStyle w:val="NoSpacing"/>
      </w:pPr>
      <w:r w:rsidRPr="00474D47">
        <w:rPr>
          <w:b/>
        </w:rPr>
        <w:t xml:space="preserve">THE COURT HELD: </w:t>
      </w:r>
      <w:r>
        <w:rPr>
          <w:b/>
        </w:rPr>
        <w:t>“</w:t>
      </w:r>
      <w:r w:rsidRPr="00DF2DDA">
        <w:t>Based on the foregoing, Rogers failed to</w:t>
      </w:r>
      <w:r>
        <w:t xml:space="preserve"> demonstrate that a genuine issue of material fact existed as to whether the Town is vicariously immune from liability for Guice's allegedly wanton acts or omissions in this case, and, thus, the summary judgment in its favor is due to be affirmed…. Even if Guice's conduct was not done in ‘good faith’ and was not done within the ‘scope of [his] official functions and duties’ as a volunteer firefighter with the CBVFD, thereby preventing him from being entitled to immunity under § 6-5-3236(d)(1) of the VSA, § 11-47-190, which was raised in the Town's filings below, makes clear that the Town could not have been liable for that conduct because it would have been intentional, wrongful conduct.”</w:t>
      </w:r>
    </w:p>
    <w:p w14:paraId="249C7527" w14:textId="05BBA212" w:rsidR="004704EF" w:rsidRDefault="004704EF" w:rsidP="004704EF">
      <w:pPr>
        <w:pStyle w:val="NoSpacing"/>
      </w:pPr>
      <w:r>
        <w:t xml:space="preserve"> </w:t>
      </w:r>
      <w:hyperlink r:id="rId1957" w:history="1">
        <w:r w:rsidRPr="00204094">
          <w:rPr>
            <w:rStyle w:val="Hyperlink"/>
          </w:rPr>
          <w:t>https://cases.justia.com/alabama/supreme-court/2025-sc-2025-0055.pdf?ts=1756474207</w:t>
        </w:r>
      </w:hyperlink>
      <w:r>
        <w:t xml:space="preserve"> </w:t>
      </w:r>
    </w:p>
    <w:p w14:paraId="2147211A" w14:textId="77777777" w:rsidR="004704EF" w:rsidRDefault="004704EF" w:rsidP="004704EF">
      <w:pPr>
        <w:ind w:left="720"/>
      </w:pPr>
    </w:p>
    <w:p w14:paraId="40CDA44F" w14:textId="77777777" w:rsidR="004704EF" w:rsidRDefault="004704EF" w:rsidP="004704EF">
      <w:pPr>
        <w:rPr>
          <w:b/>
          <w:bCs/>
        </w:rPr>
      </w:pPr>
      <w:r>
        <w:rPr>
          <w:b/>
        </w:rPr>
        <w:t>KEY FACTS:</w:t>
      </w:r>
    </w:p>
    <w:p w14:paraId="2C253794" w14:textId="77777777" w:rsidR="004704EF" w:rsidRDefault="004704EF" w:rsidP="004704EF">
      <w:pPr>
        <w:pStyle w:val="NoSpacing"/>
        <w:ind w:left="720"/>
      </w:pPr>
      <w:r>
        <w:t>“</w:t>
      </w:r>
      <w:r w:rsidRPr="00443296">
        <w:t xml:space="preserve">On June 6, 2017, </w:t>
      </w:r>
      <w:r>
        <w:t xml:space="preserve">[Susan} </w:t>
      </w:r>
      <w:r w:rsidRPr="00443296">
        <w:t>Bonner was driving on County Road 45 in</w:t>
      </w:r>
      <w:r>
        <w:t xml:space="preserve"> </w:t>
      </w:r>
      <w:r w:rsidRPr="00443296">
        <w:t>Cherokee County when her vehicle left the roadway and ended up</w:t>
      </w:r>
      <w:r>
        <w:t xml:space="preserve"> </w:t>
      </w:r>
      <w:r w:rsidRPr="00443296">
        <w:t>submerged in a creek. After Bonner was rescued by passing motorists, a</w:t>
      </w:r>
      <w:r>
        <w:t xml:space="preserve"> </w:t>
      </w:r>
      <w:r w:rsidRPr="00443296">
        <w:t>bystander who also happened to be a volunteer firefighter with the</w:t>
      </w:r>
      <w:r>
        <w:t xml:space="preserve"> </w:t>
      </w:r>
      <w:r w:rsidRPr="00443296">
        <w:t xml:space="preserve">McCord's Crossroads Volunteer Fire </w:t>
      </w:r>
      <w:proofErr w:type="gramStart"/>
      <w:r w:rsidRPr="00443296">
        <w:t>Department (</w:t>
      </w:r>
      <w:r>
        <w:t>‘</w:t>
      </w:r>
      <w:proofErr w:type="gramEnd"/>
      <w:r w:rsidRPr="00443296">
        <w:t>the MCVFD</w:t>
      </w:r>
      <w:r>
        <w:t>’</w:t>
      </w:r>
      <w:r w:rsidRPr="00443296">
        <w:t>) began</w:t>
      </w:r>
      <w:r>
        <w:t xml:space="preserve"> </w:t>
      </w:r>
      <w:r w:rsidRPr="00493493">
        <w:t xml:space="preserve">performing cardiopulmonary </w:t>
      </w:r>
      <w:proofErr w:type="gramStart"/>
      <w:r w:rsidRPr="00493493">
        <w:t>resuscitation</w:t>
      </w:r>
      <w:r>
        <w:t xml:space="preserve"> </w:t>
      </w:r>
      <w:r w:rsidRPr="00493493">
        <w:t>(</w:t>
      </w:r>
      <w:r>
        <w:t>‘</w:t>
      </w:r>
      <w:proofErr w:type="gramEnd"/>
      <w:r w:rsidRPr="00493493">
        <w:t>CPR</w:t>
      </w:r>
      <w:r>
        <w:t>’</w:t>
      </w:r>
      <w:r w:rsidRPr="00493493">
        <w:t>) on Bonner. At some</w:t>
      </w:r>
      <w:r>
        <w:t xml:space="preserve"> </w:t>
      </w:r>
      <w:r w:rsidRPr="00493493">
        <w:t xml:space="preserve">point thereafter, Cherokee County Emergency Medical </w:t>
      </w:r>
      <w:proofErr w:type="gramStart"/>
      <w:r w:rsidRPr="00493493">
        <w:t>Services</w:t>
      </w:r>
      <w:r>
        <w:t xml:space="preserve"> </w:t>
      </w:r>
      <w:r w:rsidRPr="00493493">
        <w:t>(</w:t>
      </w:r>
      <w:r>
        <w:t>‘</w:t>
      </w:r>
      <w:proofErr w:type="gramEnd"/>
      <w:r w:rsidRPr="00493493">
        <w:t>Cherokee County EMS</w:t>
      </w:r>
      <w:r>
        <w:t>’</w:t>
      </w:r>
      <w:r w:rsidRPr="00493493">
        <w:t>) was notified of the accident, and paramedics</w:t>
      </w:r>
      <w:r>
        <w:t xml:space="preserve"> </w:t>
      </w:r>
      <w:r w:rsidRPr="00493493">
        <w:t>were dispatched to the scene.</w:t>
      </w:r>
    </w:p>
    <w:p w14:paraId="2AD1EA2E" w14:textId="77777777" w:rsidR="004704EF" w:rsidRDefault="004704EF" w:rsidP="004704EF">
      <w:pPr>
        <w:pStyle w:val="NoSpacing"/>
      </w:pPr>
    </w:p>
    <w:p w14:paraId="5211B024" w14:textId="77777777" w:rsidR="004704EF" w:rsidRDefault="004704EF" w:rsidP="004704EF">
      <w:pPr>
        <w:pStyle w:val="NoSpacing"/>
        <w:ind w:left="720"/>
      </w:pPr>
      <w:r>
        <w:t xml:space="preserve">Guice [Howard Guice, volunteer firefighter and emergency medical technician with the CBVFD]  was nearby, allegedly on a personal errand, and heard the call about the accident on a radio issued to him by the CBVFD. </w:t>
      </w:r>
      <w:r>
        <w:lastRenderedPageBreak/>
        <w:t>Even though the scene was not within the CBVFD's service area and even though the CBVFD had not dispatched him to the scene, Guice decided to go to the scene to see if he could assist the paramedics. After Guice arrived, the bystander who had been performing CPR on Bonner asked Guice to take over, but Guice declined. Instead, he advised that all resuscitative efforts should cease and stated over his CBVFD-issued radio that a death had occurred at the scene. Guice then allegedly entered the water to help other bystanders search for a possible second victim in Bonner's submerged vehicle.</w:t>
      </w:r>
    </w:p>
    <w:p w14:paraId="0B9F2F38" w14:textId="77777777" w:rsidR="004704EF" w:rsidRDefault="004704EF" w:rsidP="004704EF">
      <w:pPr>
        <w:pStyle w:val="NoSpacing"/>
      </w:pPr>
    </w:p>
    <w:p w14:paraId="74E33E86" w14:textId="77777777" w:rsidR="004704EF" w:rsidRDefault="004704EF" w:rsidP="004704EF">
      <w:pPr>
        <w:pStyle w:val="NoSpacing"/>
        <w:ind w:left="720"/>
      </w:pPr>
      <w:r w:rsidRPr="00464476">
        <w:t>Five minutes after the bystander ceased performing CPR on</w:t>
      </w:r>
      <w:r>
        <w:t xml:space="preserve"> </w:t>
      </w:r>
      <w:r w:rsidRPr="00464476">
        <w:t>Bonner, Cherokee County EMS paramedics arrived at the scene. They</w:t>
      </w:r>
      <w:r>
        <w:t xml:space="preserve"> </w:t>
      </w:r>
      <w:r w:rsidRPr="0004786C">
        <w:t xml:space="preserve">examined Bonner and found that she was warm to </w:t>
      </w:r>
      <w:proofErr w:type="gramStart"/>
      <w:r w:rsidRPr="0004786C">
        <w:t>the touch</w:t>
      </w:r>
      <w:proofErr w:type="gramEnd"/>
      <w:r w:rsidRPr="0004786C">
        <w:t>, had a pulse,</w:t>
      </w:r>
      <w:r>
        <w:t xml:space="preserve"> </w:t>
      </w:r>
      <w:r w:rsidRPr="0004786C">
        <w:t>and had responsive pupils. As a result, the paramedics performed CPR</w:t>
      </w:r>
      <w:r>
        <w:t xml:space="preserve"> </w:t>
      </w:r>
      <w:r w:rsidRPr="0004786C">
        <w:t>on her until she experienced a return of spontaneous circulation. Bonner</w:t>
      </w:r>
      <w:r>
        <w:t xml:space="preserve"> </w:t>
      </w:r>
      <w:r w:rsidRPr="0004786C">
        <w:t>was transported to the hospital for further treatment but died two days</w:t>
      </w:r>
      <w:r>
        <w:t xml:space="preserve"> </w:t>
      </w:r>
      <w:r w:rsidRPr="0004786C">
        <w:t xml:space="preserve">later </w:t>
      </w:r>
      <w:proofErr w:type="gramStart"/>
      <w:r w:rsidRPr="0004786C">
        <w:t>as a result of</w:t>
      </w:r>
      <w:proofErr w:type="gramEnd"/>
      <w:r w:rsidRPr="0004786C">
        <w:t xml:space="preserve"> anoxic </w:t>
      </w:r>
      <w:r w:rsidRPr="008225D6">
        <w:t>encephalopathy.4</w:t>
      </w:r>
    </w:p>
    <w:p w14:paraId="4CE289F3" w14:textId="77777777" w:rsidR="004704EF" w:rsidRDefault="004704EF" w:rsidP="004704EF">
      <w:pPr>
        <w:pStyle w:val="NoSpacing"/>
      </w:pPr>
    </w:p>
    <w:p w14:paraId="29D2FF14" w14:textId="77777777" w:rsidR="004704EF" w:rsidRDefault="004704EF" w:rsidP="004704EF">
      <w:pPr>
        <w:pStyle w:val="NoSpacing"/>
      </w:pPr>
      <w:r>
        <w:tab/>
      </w:r>
      <w:r>
        <w:tab/>
        <w:t>[Footnote 4.] According to the record, anoxic encephalopathy occurs when blood</w:t>
      </w:r>
    </w:p>
    <w:p w14:paraId="1E9066E7" w14:textId="77777777" w:rsidR="004704EF" w:rsidRDefault="004704EF" w:rsidP="004704EF">
      <w:pPr>
        <w:pStyle w:val="NoSpacing"/>
        <w:ind w:left="720" w:firstLine="720"/>
      </w:pPr>
      <w:r>
        <w:t>ceases to flow to the brain.</w:t>
      </w:r>
    </w:p>
    <w:p w14:paraId="24C86E15" w14:textId="77777777" w:rsidR="004704EF" w:rsidRDefault="004704EF" w:rsidP="004704EF">
      <w:r>
        <w:tab/>
        <w:t>***</w:t>
      </w:r>
    </w:p>
    <w:p w14:paraId="3833DE04" w14:textId="77777777" w:rsidR="004704EF" w:rsidRDefault="004704EF" w:rsidP="004704EF">
      <w:pPr>
        <w:pStyle w:val="NoSpacing"/>
        <w:ind w:left="720"/>
      </w:pPr>
      <w:r>
        <w:t xml:space="preserve">Furthermore, Steven Kimmons, the CBVFD's chief, testified during his deposition that he </w:t>
      </w:r>
      <w:proofErr w:type="gramStart"/>
      <w:r>
        <w:t>reports</w:t>
      </w:r>
      <w:proofErr w:type="gramEnd"/>
      <w:r>
        <w:t xml:space="preserve"> directly to the mayor of the Town. Our Court has recognized that this connection between a fire department and a municipality does not prevent that fire department from being deemed a ‘volunteer’ fire department, thus entitling the municipality to be vicariously immune from liability for the acts of the fire department's volunteer firefighters.”</w:t>
      </w:r>
      <w:r>
        <w:tab/>
      </w:r>
    </w:p>
    <w:p w14:paraId="38D916BF" w14:textId="77777777" w:rsidR="004704EF" w:rsidRDefault="004704EF" w:rsidP="004704EF">
      <w:pPr>
        <w:pStyle w:val="NoSpacing"/>
        <w:ind w:left="720"/>
      </w:pPr>
    </w:p>
    <w:p w14:paraId="7B4A6850" w14:textId="451EDCAD" w:rsidR="004704EF" w:rsidRDefault="004704EF" w:rsidP="004704EF">
      <w:pPr>
        <w:pStyle w:val="NoSpacing"/>
      </w:pPr>
      <w:r>
        <w:rPr>
          <w:b/>
        </w:rPr>
        <w:t xml:space="preserve">Legal lesson learned:  Continue CPR until ambulance arrives and takes vital signs. </w:t>
      </w:r>
    </w:p>
    <w:p w14:paraId="6EFD1BD6" w14:textId="77777777" w:rsidR="00004498" w:rsidRDefault="00004498" w:rsidP="00004498">
      <w:pPr>
        <w:rPr>
          <w:rFonts w:ascii="Arial Black" w:hAnsi="Arial Black"/>
          <w:b/>
          <w:bCs/>
          <w:sz w:val="24"/>
          <w:szCs w:val="24"/>
        </w:rPr>
      </w:pPr>
    </w:p>
    <w:p w14:paraId="5419F979" w14:textId="518237F9"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3</w:t>
      </w:r>
    </w:p>
    <w:p w14:paraId="0C724300" w14:textId="2D3B7019" w:rsidR="00004498" w:rsidRPr="002B6421" w:rsidRDefault="00004498" w:rsidP="00004498">
      <w:pPr>
        <w:pStyle w:val="NoSpacing"/>
        <w:rPr>
          <w:rFonts w:ascii="Arial Black" w:hAnsi="Arial Black"/>
          <w:sz w:val="28"/>
          <w:szCs w:val="28"/>
        </w:rPr>
      </w:pPr>
      <w:r>
        <w:rPr>
          <w:rFonts w:ascii="Arial Black" w:hAnsi="Arial Black"/>
          <w:sz w:val="28"/>
          <w:szCs w:val="28"/>
        </w:rPr>
        <w:t xml:space="preserve">WA: SHOULDER STRAPS NOT USED – PT DEATH </w:t>
      </w:r>
      <w:r w:rsidR="00345C8F">
        <w:rPr>
          <w:rFonts w:ascii="Arial Black" w:hAnsi="Arial Black"/>
          <w:sz w:val="28"/>
          <w:szCs w:val="28"/>
        </w:rPr>
        <w:t>–</w:t>
      </w:r>
      <w:r>
        <w:rPr>
          <w:rFonts w:ascii="Arial Black" w:hAnsi="Arial Black"/>
          <w:sz w:val="28"/>
          <w:szCs w:val="28"/>
        </w:rPr>
        <w:t xml:space="preserve"> </w:t>
      </w:r>
      <w:r w:rsidR="00345C8F">
        <w:rPr>
          <w:rFonts w:ascii="Arial Black" w:hAnsi="Arial Black"/>
          <w:sz w:val="28"/>
          <w:szCs w:val="28"/>
        </w:rPr>
        <w:t xml:space="preserve">JURY </w:t>
      </w:r>
      <w:r>
        <w:rPr>
          <w:rFonts w:ascii="Arial Black" w:hAnsi="Arial Black"/>
          <w:sz w:val="28"/>
          <w:szCs w:val="28"/>
        </w:rPr>
        <w:t>$2.3M</w:t>
      </w:r>
    </w:p>
    <w:p w14:paraId="16811C29" w14:textId="77777777" w:rsidR="00004498" w:rsidRDefault="00004498" w:rsidP="00004498">
      <w:pPr>
        <w:pStyle w:val="NoSpacing"/>
      </w:pPr>
    </w:p>
    <w:p w14:paraId="082E3C59" w14:textId="77777777" w:rsidR="00542F1E" w:rsidRPr="00D8032C" w:rsidRDefault="00004498" w:rsidP="00542F1E">
      <w:pPr>
        <w:rPr>
          <w:rFonts w:ascii="Times New Roman" w:hAnsi="Times New Roman"/>
          <w:sz w:val="24"/>
          <w:szCs w:val="24"/>
        </w:rPr>
      </w:pPr>
      <w:r w:rsidRPr="00D8032C">
        <w:rPr>
          <w:rFonts w:ascii="Times New Roman" w:hAnsi="Times New Roman"/>
          <w:sz w:val="24"/>
          <w:szCs w:val="24"/>
        </w:rPr>
        <w:t xml:space="preserve">On July 28, 2025, in </w:t>
      </w:r>
      <w:r w:rsidRPr="00D8032C">
        <w:rPr>
          <w:rFonts w:ascii="Times New Roman" w:hAnsi="Times New Roman"/>
          <w:sz w:val="24"/>
          <w:szCs w:val="24"/>
          <w:u w:val="single"/>
        </w:rPr>
        <w:t>Michael J. Lang, individually and as personal representative of the estate of Frank E. Costa, et al. v. Platinum Nine Holdings, LLC, a Washington Limited Liability Corporation, doing business as Northwest Ambulance, et al</w:t>
      </w:r>
      <w:r w:rsidRPr="00D8032C">
        <w:rPr>
          <w:rFonts w:ascii="Times New Roman" w:hAnsi="Times New Roman"/>
          <w:sz w:val="24"/>
          <w:szCs w:val="24"/>
        </w:rPr>
        <w:t xml:space="preserve">., the Court of Appeals of Washington, Division 1 held (3 to 0; unpublished decision) that the trial court judge correctly held that the state’s EMS immunity statute does not apply to negligence in securing the patient to the gurney or negligence in driving ambulance; the jury awarded the estate $2.3 million in non-economic damages.  </w:t>
      </w:r>
      <w:hyperlink r:id="rId1958" w:history="1">
        <w:r w:rsidR="00542F1E" w:rsidRPr="00D8032C">
          <w:rPr>
            <w:rStyle w:val="Hyperlink"/>
            <w:rFonts w:ascii="Times New Roman" w:hAnsi="Times New Roman"/>
            <w:sz w:val="24"/>
            <w:szCs w:val="24"/>
          </w:rPr>
          <w:t>https://www.courts.wa.gov/opinions/pdf/862057.pdf</w:t>
        </w:r>
      </w:hyperlink>
    </w:p>
    <w:p w14:paraId="38755442" w14:textId="34786882" w:rsidR="00542F1E" w:rsidRDefault="006967A6" w:rsidP="00004498">
      <w:pPr>
        <w:rPr>
          <w:rFonts w:ascii="Times New Roman" w:hAnsi="Times New Roman"/>
          <w:sz w:val="24"/>
          <w:szCs w:val="24"/>
        </w:rPr>
      </w:pPr>
      <w:r>
        <w:rPr>
          <w:rFonts w:ascii="Times New Roman" w:hAnsi="Times New Roman"/>
          <w:sz w:val="24"/>
          <w:szCs w:val="24"/>
        </w:rPr>
        <w:t>COURT HELD:</w:t>
      </w:r>
    </w:p>
    <w:p w14:paraId="72221D78" w14:textId="119C6903" w:rsidR="00004498" w:rsidRPr="00D8032C" w:rsidRDefault="00004498" w:rsidP="00004498">
      <w:pPr>
        <w:rPr>
          <w:rFonts w:ascii="Times New Roman" w:hAnsi="Times New Roman"/>
          <w:sz w:val="24"/>
          <w:szCs w:val="24"/>
        </w:rPr>
      </w:pPr>
      <w:r w:rsidRPr="00D8032C">
        <w:rPr>
          <w:rFonts w:ascii="Times New Roman" w:hAnsi="Times New Roman"/>
          <w:sz w:val="24"/>
          <w:szCs w:val="24"/>
        </w:rPr>
        <w:t xml:space="preserve">In Nov. 2020, the private ambulance with three EMS on board transported the 78-year-old patient with metastatic breast cancer from Genesis Care Center to the hospital for bloodwork.  The ambulance crew moved Costa from his bed to the ambulance stretcher and secured him with two lap belts and guardrails but did not use shoulder straps to secure Costa to the gurney. [Lead EMT Jack] Wilson later testified that shoulder straps were for ‘specific patients’ who ‘weren’t able to control their upper body;’ that he had rarely seen anyone use shoulder straps; and that he could not recall being trained on how to use them. During transport, Costa’s condition deteriorated…  [EMT Henry] Shaw, driving the ambulance, turned on the lights and sirens, and when garbage truck started to yield to right, but then moved left Shaw hit the brakes, lost control and hit a highway divider head-on at 53 miles per hour. During the crash, Costa came off the gurney and hit the ambulance wall, sustained injuries to his head and neck, and died later that day.  THE COURT HELD:  “Because, under the facts of this case, RCW 18.71.210 does not extend qualified immunity to ambulance transportation or the use of gurney restraints, we conclude that the trial court acted appropriately in granting Lang’s motion in part and </w:t>
      </w:r>
      <w:r w:rsidRPr="00D8032C">
        <w:rPr>
          <w:rFonts w:ascii="Times New Roman" w:hAnsi="Times New Roman"/>
          <w:sz w:val="24"/>
          <w:szCs w:val="24"/>
        </w:rPr>
        <w:lastRenderedPageBreak/>
        <w:t xml:space="preserve">denying NWA’s motion…. NWA contends that the trial court misconstrued RCW 18.71.210 in denying its motion for summary judgment because ambulance transportation of patients receiving treatment and care to a medical facility is part of ‘emergency medical service’ as a matter of law. Because the statute differentiates between emergency medical service and transportation, we disagree. *** But because the statute does not provide qualified immunity for the behavior at issue and NWA conceded negligence, Lang did not need to plead or offer evidence of gross negligence.”  </w:t>
      </w:r>
    </w:p>
    <w:p w14:paraId="21D176DD" w14:textId="77777777" w:rsidR="00004498" w:rsidRPr="00D8032C" w:rsidRDefault="00004498" w:rsidP="00004498">
      <w:pPr>
        <w:pStyle w:val="NoSpacing"/>
        <w:rPr>
          <w:rFonts w:ascii="Times New Roman" w:hAnsi="Times New Roman"/>
          <w:b/>
          <w:bCs/>
          <w:sz w:val="24"/>
          <w:szCs w:val="24"/>
        </w:rPr>
      </w:pPr>
      <w:r w:rsidRPr="00D8032C">
        <w:rPr>
          <w:rFonts w:ascii="Times New Roman" w:hAnsi="Times New Roman"/>
          <w:b/>
          <w:sz w:val="24"/>
          <w:szCs w:val="24"/>
        </w:rPr>
        <w:t xml:space="preserve">Legal lesson learned:  If your gurney has shoulder straps, write a policy that specifies when they are to be used.  </w:t>
      </w:r>
    </w:p>
    <w:p w14:paraId="7BC9AFE8" w14:textId="77777777" w:rsidR="00004498" w:rsidRDefault="00004498" w:rsidP="00004498">
      <w:pPr>
        <w:rPr>
          <w:rFonts w:ascii="Times New Roman" w:hAnsi="Times New Roman"/>
          <w:b/>
          <w:bCs/>
          <w:sz w:val="24"/>
          <w:szCs w:val="24"/>
        </w:rPr>
      </w:pPr>
    </w:p>
    <w:p w14:paraId="78ED5774" w14:textId="77777777" w:rsidR="00004498" w:rsidRDefault="00004498" w:rsidP="00004498">
      <w:pPr>
        <w:rPr>
          <w:rFonts w:ascii="Arial Black" w:hAnsi="Arial Black"/>
          <w:b/>
          <w:bCs/>
          <w:sz w:val="24"/>
          <w:szCs w:val="24"/>
        </w:rPr>
      </w:pPr>
    </w:p>
    <w:p w14:paraId="0DFBB6DB" w14:textId="77777777" w:rsidR="00004498" w:rsidRDefault="00004498" w:rsidP="00004498">
      <w:pPr>
        <w:rPr>
          <w:rFonts w:ascii="Arial Black" w:hAnsi="Arial Black"/>
          <w:b/>
          <w:bCs/>
          <w:sz w:val="24"/>
          <w:szCs w:val="24"/>
        </w:rPr>
      </w:pPr>
    </w:p>
    <w:p w14:paraId="5982DD57" w14:textId="77777777" w:rsidR="00004498" w:rsidRDefault="00004498" w:rsidP="00004498">
      <w:pPr>
        <w:rPr>
          <w:rFonts w:ascii="Arial Black" w:hAnsi="Arial Black"/>
          <w:b/>
          <w:bCs/>
          <w:sz w:val="24"/>
          <w:szCs w:val="24"/>
        </w:rPr>
      </w:pPr>
    </w:p>
    <w:p w14:paraId="126B1008" w14:textId="66930298"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2</w:t>
      </w:r>
    </w:p>
    <w:p w14:paraId="09199574" w14:textId="2AC019FC" w:rsidR="00EB5A84" w:rsidRPr="002C5E98" w:rsidRDefault="00EB5A84" w:rsidP="00EB5A84">
      <w:pPr>
        <w:pStyle w:val="NoSpacing"/>
        <w:rPr>
          <w:rFonts w:ascii="Arial Black" w:hAnsi="Arial Black"/>
          <w:b/>
          <w:bCs/>
          <w:sz w:val="28"/>
          <w:szCs w:val="28"/>
        </w:rPr>
      </w:pPr>
      <w:r>
        <w:rPr>
          <w:rFonts w:ascii="Arial Black" w:hAnsi="Arial Black"/>
          <w:b/>
          <w:sz w:val="28"/>
          <w:szCs w:val="28"/>
        </w:rPr>
        <w:t xml:space="preserve">NY: </w:t>
      </w:r>
      <w:r w:rsidR="003204A1">
        <w:rPr>
          <w:rFonts w:ascii="Arial Black" w:hAnsi="Arial Black"/>
          <w:b/>
          <w:sz w:val="28"/>
          <w:szCs w:val="28"/>
        </w:rPr>
        <w:t>EXCI</w:t>
      </w:r>
      <w:r w:rsidR="00D77B56">
        <w:rPr>
          <w:rFonts w:ascii="Arial Black" w:hAnsi="Arial Black"/>
          <w:b/>
          <w:sz w:val="28"/>
          <w:szCs w:val="28"/>
        </w:rPr>
        <w:t xml:space="preserve">TED UTTERANCE - </w:t>
      </w:r>
      <w:r>
        <w:rPr>
          <w:rFonts w:ascii="Arial Black" w:hAnsi="Arial Black"/>
          <w:b/>
          <w:sz w:val="28"/>
          <w:szCs w:val="28"/>
        </w:rPr>
        <w:t>EM</w:t>
      </w:r>
      <w:r w:rsidR="00D77B56">
        <w:rPr>
          <w:rFonts w:ascii="Arial Black" w:hAnsi="Arial Black"/>
          <w:b/>
          <w:sz w:val="28"/>
          <w:szCs w:val="28"/>
        </w:rPr>
        <w:t>T</w:t>
      </w:r>
      <w:r>
        <w:rPr>
          <w:rFonts w:ascii="Arial Black" w:hAnsi="Arial Black"/>
          <w:b/>
          <w:sz w:val="28"/>
          <w:szCs w:val="28"/>
        </w:rPr>
        <w:t xml:space="preserve"> CAN TESTIFY - “MY BROTHER DID IT” </w:t>
      </w:r>
    </w:p>
    <w:p w14:paraId="3587308C" w14:textId="77777777" w:rsidR="00EB5A84" w:rsidRPr="009948C1" w:rsidRDefault="00EB5A84" w:rsidP="00EB5A84">
      <w:pPr>
        <w:pStyle w:val="NoSpacing"/>
      </w:pPr>
    </w:p>
    <w:p w14:paraId="05A5E4B9" w14:textId="77777777" w:rsidR="00D77B56" w:rsidRDefault="00EB5A84" w:rsidP="00D77B56">
      <w:pPr>
        <w:pStyle w:val="NoSpacing"/>
      </w:pPr>
      <w:r>
        <w:t xml:space="preserve">On June 27, 2025, in </w:t>
      </w:r>
      <w:r w:rsidRPr="009948C1">
        <w:rPr>
          <w:u w:val="single"/>
        </w:rPr>
        <w:t>The People of the State of New York</w:t>
      </w:r>
      <w:r w:rsidRPr="006C6A5A">
        <w:rPr>
          <w:u w:val="single"/>
        </w:rPr>
        <w:t xml:space="preserve"> </w:t>
      </w:r>
      <w:r w:rsidRPr="009948C1">
        <w:rPr>
          <w:u w:val="single"/>
        </w:rPr>
        <w:t>v.</w:t>
      </w:r>
      <w:r w:rsidRPr="006C6A5A">
        <w:rPr>
          <w:u w:val="single"/>
        </w:rPr>
        <w:t xml:space="preserve"> </w:t>
      </w:r>
      <w:r w:rsidRPr="009948C1">
        <w:rPr>
          <w:u w:val="single"/>
        </w:rPr>
        <w:t>Bruce Biggs</w:t>
      </w:r>
      <w:r w:rsidRPr="009948C1">
        <w:t xml:space="preserve">, </w:t>
      </w:r>
      <w:r>
        <w:t xml:space="preserve">Judge Dineen Ann Riviezzo, Supreme Court, Kings County, held (unpublished decision) that the “exited utterance”  exception to the hearsay rule allows police and EMS to in Second-Degree Murder trial about the dying patient’s comments. </w:t>
      </w:r>
      <w:hyperlink r:id="rId1959" w:history="1">
        <w:r w:rsidR="00D77B56" w:rsidRPr="008C7245">
          <w:rPr>
            <w:rStyle w:val="Hyperlink"/>
          </w:rPr>
          <w:t>https://law.justia.com/cases/new-york/other-courts/2025/2025-ny-slip-op-51480-u.html</w:t>
        </w:r>
      </w:hyperlink>
      <w:r w:rsidR="00D77B56">
        <w:t xml:space="preserve"> </w:t>
      </w:r>
    </w:p>
    <w:p w14:paraId="1E5E478C" w14:textId="484450CB" w:rsidR="00EB5A84" w:rsidRDefault="00EB5A84" w:rsidP="00EB5A84">
      <w:pPr>
        <w:pStyle w:val="NoSpacing"/>
      </w:pPr>
    </w:p>
    <w:p w14:paraId="21EB93C9" w14:textId="77777777" w:rsidR="00EB5A84" w:rsidRDefault="00EB5A84" w:rsidP="00EB5A84">
      <w:pPr>
        <w:pStyle w:val="NoSpacing"/>
      </w:pPr>
    </w:p>
    <w:p w14:paraId="65915C43" w14:textId="77777777" w:rsidR="00EB5A84" w:rsidRDefault="00EB5A84" w:rsidP="00EB5A84">
      <w:pPr>
        <w:pStyle w:val="NoSpacing"/>
      </w:pPr>
      <w:r w:rsidRPr="005A464F">
        <w:rPr>
          <w:b/>
        </w:rPr>
        <w:t xml:space="preserve">THE COURT HELD: </w:t>
      </w:r>
      <w:r>
        <w:t>“</w:t>
      </w:r>
      <w:r w:rsidRPr="00B158EA">
        <w:t xml:space="preserve">Here, based on the above factors, the court finds that the statement qualifies as an excited utterance. Decedent was shot five times and was suffering from traumatic and serious injuries. He made a spontaneous statement only thirteen minutes after the shooting while he was in the ambulance and the EMTs were tending to his multiple injuries. The body worn camera demonstrates that decedent was </w:t>
      </w:r>
      <w:proofErr w:type="gramStart"/>
      <w:r w:rsidRPr="00B158EA">
        <w:t>in the midst of</w:t>
      </w:r>
      <w:proofErr w:type="gramEnd"/>
      <w:r w:rsidRPr="00B158EA">
        <w:t xml:space="preserve"> a serious medical event and had no time to reflect </w:t>
      </w:r>
      <w:proofErr w:type="gramStart"/>
      <w:r w:rsidRPr="00B158EA">
        <w:t>so as to</w:t>
      </w:r>
      <w:proofErr w:type="gramEnd"/>
      <w:r w:rsidRPr="00B158EA">
        <w:t xml:space="preserve"> deliberately deviate from the truth.</w:t>
      </w:r>
      <w:r>
        <w:t xml:space="preserve">” </w:t>
      </w:r>
      <w:hyperlink r:id="rId1960" w:history="1">
        <w:r w:rsidRPr="008C7245">
          <w:rPr>
            <w:rStyle w:val="Hyperlink"/>
          </w:rPr>
          <w:t>https://law.justia.com/cases/new-york/other-courts/2025/2025-ny-slip-op-51480-u.html</w:t>
        </w:r>
      </w:hyperlink>
      <w:r>
        <w:t xml:space="preserve"> </w:t>
      </w:r>
    </w:p>
    <w:p w14:paraId="148D52CE" w14:textId="77777777" w:rsidR="00EB5A84" w:rsidRDefault="00EB5A84" w:rsidP="00EB5A84">
      <w:pPr>
        <w:pStyle w:val="NoSpacing"/>
      </w:pPr>
      <w:r>
        <w:t xml:space="preserve"> </w:t>
      </w:r>
    </w:p>
    <w:p w14:paraId="0CAE61DC" w14:textId="77777777" w:rsidR="00EB5A84" w:rsidRPr="005A464F" w:rsidRDefault="00EB5A84" w:rsidP="00EB5A84">
      <w:pPr>
        <w:pStyle w:val="NoSpacing"/>
        <w:rPr>
          <w:b/>
          <w:bCs/>
        </w:rPr>
      </w:pPr>
      <w:r w:rsidRPr="005A464F">
        <w:rPr>
          <w:b/>
        </w:rPr>
        <w:t>KEY FACTS:</w:t>
      </w:r>
    </w:p>
    <w:p w14:paraId="18ECF12B" w14:textId="77777777" w:rsidR="00EB5A84" w:rsidRDefault="00EB5A84" w:rsidP="00EB5A84">
      <w:pPr>
        <w:pStyle w:val="NoSpacing"/>
      </w:pPr>
    </w:p>
    <w:p w14:paraId="54ECB398" w14:textId="77777777" w:rsidR="00EB5A84" w:rsidRDefault="00EB5A84" w:rsidP="00EB5A84">
      <w:pPr>
        <w:pStyle w:val="NoSpacing"/>
        <w:ind w:left="720"/>
      </w:pPr>
      <w:r>
        <w:t>“</w:t>
      </w:r>
      <w:r w:rsidRPr="005B601F">
        <w:t>On May 2, 2021, at approximately 8:26p.m., Police Officer Christopher Murphy responded to the corner of Putnam and Patchen Avenues in response to reports of a male shot. Officer Murphy was one of the first officers to respond. His body worn camera was activated and captured the entirety of his interaction with decedent at the crime scene, during transport to the hospital and at the hospital.</w:t>
      </w:r>
    </w:p>
    <w:p w14:paraId="17B2B82C" w14:textId="77777777" w:rsidR="00EB5A84" w:rsidRPr="005B601F" w:rsidRDefault="00EB5A84" w:rsidP="00EB5A84">
      <w:pPr>
        <w:pStyle w:val="NoSpacing"/>
        <w:ind w:left="720"/>
      </w:pPr>
    </w:p>
    <w:p w14:paraId="3E501D51" w14:textId="77777777" w:rsidR="00EB5A84" w:rsidRDefault="00EB5A84" w:rsidP="00EB5A84">
      <w:pPr>
        <w:pStyle w:val="NoSpacing"/>
        <w:ind w:left="720"/>
      </w:pPr>
      <w:r w:rsidRPr="005B601F">
        <w:t xml:space="preserve">Officer Murphy approached decedent, who was lying on his stomach, and assessed him for injuries. Decedent rolled over onto his back and Officer Murphy applied a torniquet to his left leg which was bleeding profusely. Officer Murphy placed pressure on a wound to decedent's stomach area. During this time, decedent repeatedly asked for an ambulance, expressed that he was in pain and requested water. Officer Murphy told him to stay awake and to keep breathing. At one point, it appeared that decedent passed out. Officer Murphy asked what had happened, but </w:t>
      </w:r>
      <w:proofErr w:type="gramStart"/>
      <w:r w:rsidRPr="005B601F">
        <w:t>decedent</w:t>
      </w:r>
      <w:proofErr w:type="gramEnd"/>
      <w:r w:rsidRPr="005B601F">
        <w:t xml:space="preserve"> was unable to answer the most basic questions due to his pain and injuries.</w:t>
      </w:r>
    </w:p>
    <w:p w14:paraId="22818225" w14:textId="77777777" w:rsidR="00EB5A84" w:rsidRPr="005B601F" w:rsidRDefault="00EB5A84" w:rsidP="00EB5A84">
      <w:pPr>
        <w:pStyle w:val="NoSpacing"/>
        <w:ind w:left="720"/>
      </w:pPr>
    </w:p>
    <w:p w14:paraId="5D6A977D" w14:textId="77777777" w:rsidR="00EB5A84" w:rsidRDefault="00EB5A84" w:rsidP="00EB5A84">
      <w:pPr>
        <w:pStyle w:val="NoSpacing"/>
        <w:ind w:left="720"/>
      </w:pPr>
      <w:r w:rsidRPr="005B601F">
        <w:lastRenderedPageBreak/>
        <w:t>While Officer Murphy was attending decedent's injuries, another officer asked his name, where the shooting occurred, and who shot him. Decedent was unable to answer any of the questions posed. The officers learned his name from someone else on the scene and stopped asking decedent questions.</w:t>
      </w:r>
    </w:p>
    <w:p w14:paraId="5D426C47" w14:textId="77777777" w:rsidR="00EB5A84" w:rsidRPr="005B601F" w:rsidRDefault="00EB5A84" w:rsidP="00EB5A84">
      <w:pPr>
        <w:pStyle w:val="NoSpacing"/>
        <w:ind w:left="720"/>
      </w:pPr>
    </w:p>
    <w:p w14:paraId="5840BFC6" w14:textId="77777777" w:rsidR="00EB5A84" w:rsidRDefault="00EB5A84" w:rsidP="00EB5A84">
      <w:pPr>
        <w:pStyle w:val="NoSpacing"/>
        <w:ind w:left="720"/>
      </w:pPr>
      <w:r w:rsidRPr="005B601F">
        <w:t xml:space="preserve">At approximately 8:33 p.m., an ambulance arrived and the EMTs noted decedent's diminished breathing and low blood pressure. The EMTs encouraged decedent to </w:t>
      </w:r>
      <w:r>
        <w:t>‘</w:t>
      </w:r>
      <w:r w:rsidRPr="005B601F">
        <w:t>stay with us, stay awake, stay with me.</w:t>
      </w:r>
      <w:r>
        <w:t>’</w:t>
      </w:r>
      <w:r w:rsidRPr="005B601F">
        <w:t xml:space="preserve"> Decedent was given oxygen and was encouraged to take deep breaths. Decedent requested more oxygen, but the EMTs stated that it was already at a high level. They suggested he breathe through his nose.</w:t>
      </w:r>
    </w:p>
    <w:p w14:paraId="470A02EB" w14:textId="77777777" w:rsidR="00EB5A84" w:rsidRDefault="00EB5A84" w:rsidP="00EB5A84">
      <w:pPr>
        <w:pStyle w:val="NoSpacing"/>
        <w:ind w:left="720"/>
      </w:pPr>
    </w:p>
    <w:p w14:paraId="661ED21A" w14:textId="77777777" w:rsidR="00EB5A84" w:rsidRDefault="00EB5A84" w:rsidP="00EB5A84">
      <w:pPr>
        <w:pStyle w:val="NoSpacing"/>
        <w:ind w:left="720"/>
      </w:pPr>
      <w:r w:rsidRPr="00944CA6">
        <w:t xml:space="preserve">At 8:39 p.m., while still inside the ambulance, Decedent stated </w:t>
      </w:r>
      <w:r>
        <w:t>‘</w:t>
      </w:r>
      <w:r w:rsidRPr="00944CA6">
        <w:t>my brother did it, Bruce Biggs. Bruce Biggs shot me.</w:t>
      </w:r>
      <w:r>
        <w:t>’</w:t>
      </w:r>
      <w:r w:rsidRPr="00944CA6">
        <w:t xml:space="preserve"> The statement was spontaneous and not made in response to any questioning by Officer Murphy or the EMTs. Decedent then stated, </w:t>
      </w:r>
      <w:r>
        <w:t>‘</w:t>
      </w:r>
      <w:r w:rsidRPr="00944CA6">
        <w:t>I went to the precinct the other day and told the cop at the desk, a Spanish dude, he wouldn't listen to me. I told him he's after me [inaudible</w:t>
      </w:r>
      <w:proofErr w:type="gramStart"/>
      <w:r w:rsidRPr="00944CA6">
        <w:t>]</w:t>
      </w:r>
      <w:proofErr w:type="gramEnd"/>
      <w:r w:rsidRPr="00944CA6">
        <w:t xml:space="preserve"> but he wouldn't listen.</w:t>
      </w:r>
      <w:r>
        <w:t>’</w:t>
      </w:r>
      <w:r w:rsidRPr="00944CA6">
        <w:t xml:space="preserve"> After this statement, Officer Murphy asked </w:t>
      </w:r>
      <w:r>
        <w:t>‘</w:t>
      </w:r>
      <w:r w:rsidRPr="00944CA6">
        <w:t>Who did it?</w:t>
      </w:r>
      <w:r>
        <w:t xml:space="preserve">’ </w:t>
      </w:r>
      <w:r w:rsidRPr="00944CA6">
        <w:t xml:space="preserve"> to which Biggs responded, </w:t>
      </w:r>
      <w:r>
        <w:t>‘</w:t>
      </w:r>
      <w:r w:rsidRPr="00944CA6">
        <w:t>Bruce Biggs.</w:t>
      </w:r>
      <w:r>
        <w:t>’</w:t>
      </w:r>
      <w:r w:rsidRPr="00944CA6">
        <w:t xml:space="preserve"> Officer Murphy clarified by asking </w:t>
      </w:r>
      <w:r>
        <w:t>‘</w:t>
      </w:r>
      <w:r w:rsidRPr="00944CA6">
        <w:t>Bruce Biggs?</w:t>
      </w:r>
      <w:r>
        <w:t>’</w:t>
      </w:r>
      <w:r w:rsidRPr="00944CA6">
        <w:t xml:space="preserve"> and Biggs responded, </w:t>
      </w:r>
      <w:r>
        <w:t>‘</w:t>
      </w:r>
      <w:r w:rsidRPr="00944CA6">
        <w:t>74 Bainbridge Street.</w:t>
      </w:r>
      <w:r>
        <w:t>’”</w:t>
      </w:r>
    </w:p>
    <w:p w14:paraId="476F1C64" w14:textId="77777777" w:rsidR="00EB5A84" w:rsidRDefault="00EB5A84" w:rsidP="00EB5A84">
      <w:pPr>
        <w:pStyle w:val="NoSpacing"/>
        <w:ind w:left="720"/>
      </w:pPr>
    </w:p>
    <w:p w14:paraId="0CA10637" w14:textId="77777777" w:rsidR="00EB5A84" w:rsidRPr="00F43962" w:rsidRDefault="00EB5A84" w:rsidP="00EB5A84">
      <w:pPr>
        <w:pStyle w:val="NoSpacing"/>
        <w:rPr>
          <w:b/>
          <w:bCs/>
        </w:rPr>
      </w:pPr>
      <w:r>
        <w:rPr>
          <w:b/>
        </w:rPr>
        <w:t xml:space="preserve">Legal lesson learned: EMS should document in their run report the comments by the patient that his brother shot him.  </w:t>
      </w:r>
    </w:p>
    <w:p w14:paraId="18783650" w14:textId="77777777" w:rsidR="00EB5A84" w:rsidRDefault="00EB5A84" w:rsidP="00EB5A84">
      <w:pPr>
        <w:pStyle w:val="NoSpacing"/>
        <w:ind w:left="720"/>
      </w:pPr>
    </w:p>
    <w:p w14:paraId="56C855BB" w14:textId="77777777" w:rsidR="00EB5A84" w:rsidRDefault="00EB5A84" w:rsidP="00EB5A84">
      <w:pPr>
        <w:pStyle w:val="NoSpacing"/>
        <w:ind w:left="720"/>
      </w:pPr>
    </w:p>
    <w:p w14:paraId="35D2BF59" w14:textId="4001BAA7" w:rsidR="002E2CF4" w:rsidRPr="002E2CF4" w:rsidRDefault="002E2CF4" w:rsidP="00542851">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1</w:t>
      </w:r>
    </w:p>
    <w:p w14:paraId="760ACA58" w14:textId="77777777" w:rsidR="00BA6717" w:rsidRPr="00204D78" w:rsidRDefault="00BA6717" w:rsidP="00BA6717">
      <w:pPr>
        <w:pStyle w:val="NoSpacing"/>
        <w:rPr>
          <w:rFonts w:ascii="Arial Black" w:hAnsi="Arial Black"/>
          <w:bCs/>
          <w:sz w:val="28"/>
          <w:szCs w:val="28"/>
        </w:rPr>
      </w:pPr>
      <w:r>
        <w:rPr>
          <w:rFonts w:ascii="Arial Black" w:hAnsi="Arial Black"/>
          <w:sz w:val="28"/>
          <w:szCs w:val="28"/>
        </w:rPr>
        <w:t>TX: “MD” TOLD EMS NOT TREAT PT - NOT A PHYSICIAN</w:t>
      </w:r>
    </w:p>
    <w:p w14:paraId="170191E0" w14:textId="77777777" w:rsidR="00BA6717" w:rsidRDefault="00BA6717" w:rsidP="00BA6717">
      <w:pPr>
        <w:pStyle w:val="NoSpacing"/>
        <w:rPr>
          <w:bCs/>
        </w:rPr>
      </w:pPr>
    </w:p>
    <w:p w14:paraId="40B805BB" w14:textId="3F99B353" w:rsidR="00BA6717" w:rsidRPr="00662E1A" w:rsidRDefault="00BA6717" w:rsidP="00BA6717">
      <w:pPr>
        <w:pStyle w:val="NoSpacing"/>
        <w:rPr>
          <w:rFonts w:ascii="Times New Roman" w:hAnsi="Times New Roman"/>
          <w:bCs/>
          <w:sz w:val="24"/>
          <w:szCs w:val="24"/>
        </w:rPr>
      </w:pPr>
      <w:r w:rsidRPr="00662E1A">
        <w:rPr>
          <w:rFonts w:ascii="Times New Roman" w:hAnsi="Times New Roman"/>
          <w:sz w:val="24"/>
          <w:szCs w:val="24"/>
        </w:rPr>
        <w:t xml:space="preserve">On July 24, 2025, in </w:t>
      </w:r>
      <w:r w:rsidRPr="00662E1A">
        <w:rPr>
          <w:rFonts w:ascii="Times New Roman" w:hAnsi="Times New Roman"/>
          <w:sz w:val="24"/>
          <w:szCs w:val="24"/>
          <w:u w:val="single"/>
        </w:rPr>
        <w:t>Texas Medical Board v. Grayce Yannuzzi</w:t>
      </w:r>
      <w:r w:rsidRPr="00662E1A">
        <w:rPr>
          <w:rFonts w:ascii="Times New Roman" w:hAnsi="Times New Roman"/>
          <w:sz w:val="24"/>
          <w:szCs w:val="24"/>
        </w:rPr>
        <w:t>, the Court of Appeals of Texas, Fifteenth District, held (3 to 0) that the Medical Board properly issued a cease-and-desist order</w:t>
      </w:r>
      <w:r w:rsidR="001F4349">
        <w:rPr>
          <w:rFonts w:ascii="Times New Roman" w:hAnsi="Times New Roman"/>
          <w:sz w:val="24"/>
          <w:szCs w:val="24"/>
        </w:rPr>
        <w:t xml:space="preserve"> </w:t>
      </w:r>
      <w:r w:rsidRPr="00662E1A">
        <w:rPr>
          <w:rFonts w:ascii="Times New Roman" w:hAnsi="Times New Roman"/>
          <w:sz w:val="24"/>
          <w:szCs w:val="24"/>
        </w:rPr>
        <w:t xml:space="preserve">prohibiting Grayce Yannuzzi from holding herself out to be a licensed physician.  She is a licensed laser hair professional who works at Ginger Allure </w:t>
      </w:r>
      <w:proofErr w:type="gramStart"/>
      <w:r w:rsidRPr="00662E1A">
        <w:rPr>
          <w:rFonts w:ascii="Times New Roman" w:hAnsi="Times New Roman"/>
          <w:sz w:val="24"/>
          <w:szCs w:val="24"/>
        </w:rPr>
        <w:t>MedSpa (‘</w:t>
      </w:r>
      <w:proofErr w:type="gramEnd"/>
      <w:r w:rsidRPr="00662E1A">
        <w:rPr>
          <w:rFonts w:ascii="Times New Roman" w:hAnsi="Times New Roman"/>
          <w:sz w:val="24"/>
          <w:szCs w:val="24"/>
        </w:rPr>
        <w:t xml:space="preserve">MedSpa’), under the direction of a Dr. Clark.  She claims that she was merely telling the medic and his Medical Director that Dr. Clark would see the patient.  Trial Court judge set aside the Board’s order; Court of Appeals disagreed and reinstated the order. THE COURT HELD: “[Paramedic Christopher] Stevens and Dr. Abraham’s testimony ‘demonstrates a reasonable basis for’ the Board’s decision.” </w:t>
      </w:r>
    </w:p>
    <w:p w14:paraId="6EC09F89" w14:textId="77777777" w:rsidR="00BA6717" w:rsidRPr="00662E1A" w:rsidRDefault="00BA6717" w:rsidP="00BA6717">
      <w:pPr>
        <w:pStyle w:val="NoSpacing"/>
        <w:rPr>
          <w:rFonts w:ascii="Times New Roman" w:hAnsi="Times New Roman"/>
          <w:bCs/>
          <w:sz w:val="24"/>
          <w:szCs w:val="24"/>
        </w:rPr>
      </w:pPr>
      <w:hyperlink r:id="rId1961" w:history="1">
        <w:r w:rsidRPr="00662E1A">
          <w:rPr>
            <w:rStyle w:val="Hyperlink"/>
            <w:rFonts w:ascii="Times New Roman" w:hAnsi="Times New Roman"/>
            <w:sz w:val="24"/>
            <w:szCs w:val="24"/>
          </w:rPr>
          <w:t>https://cases.justia.com/texas/fifteenth-court-of-appeals/2025-15-24-00048-cv.pdf?ts=1753365777</w:t>
        </w:r>
      </w:hyperlink>
    </w:p>
    <w:p w14:paraId="2A69C4BC" w14:textId="77777777" w:rsidR="00180F76" w:rsidRDefault="00180F76" w:rsidP="000A0CD1">
      <w:pPr>
        <w:pStyle w:val="NoSpacing"/>
        <w:rPr>
          <w:rFonts w:ascii="Times New Roman" w:hAnsi="Times New Roman"/>
          <w:b/>
          <w:sz w:val="24"/>
          <w:szCs w:val="24"/>
        </w:rPr>
      </w:pPr>
    </w:p>
    <w:p w14:paraId="0C36EFE3" w14:textId="1FF58E88" w:rsidR="000A0CD1" w:rsidRPr="00662E1A" w:rsidRDefault="000A0CD1" w:rsidP="000A0CD1">
      <w:pPr>
        <w:pStyle w:val="NoSpacing"/>
        <w:rPr>
          <w:rFonts w:ascii="Times New Roman" w:hAnsi="Times New Roman"/>
          <w:b/>
          <w:sz w:val="24"/>
          <w:szCs w:val="24"/>
        </w:rPr>
      </w:pPr>
      <w:r w:rsidRPr="00662E1A">
        <w:rPr>
          <w:rFonts w:ascii="Times New Roman" w:hAnsi="Times New Roman"/>
          <w:b/>
          <w:sz w:val="24"/>
          <w:szCs w:val="24"/>
        </w:rPr>
        <w:t xml:space="preserve">Legal Lesson Learned:  Paramedic wisely contacted Medical Director when person said she was a physician.  </w:t>
      </w:r>
    </w:p>
    <w:p w14:paraId="329D8C24" w14:textId="77777777" w:rsidR="000A0CD1" w:rsidRPr="00662E1A" w:rsidRDefault="000A0CD1" w:rsidP="000A0CD1">
      <w:pPr>
        <w:pStyle w:val="NoSpacing"/>
        <w:ind w:left="720"/>
        <w:rPr>
          <w:rFonts w:ascii="Times New Roman" w:hAnsi="Times New Roman"/>
          <w:b/>
          <w:sz w:val="24"/>
          <w:szCs w:val="24"/>
        </w:rPr>
      </w:pPr>
    </w:p>
    <w:p w14:paraId="03CC4008" w14:textId="77777777" w:rsidR="002E2CF4" w:rsidRDefault="002E2CF4" w:rsidP="00705D47">
      <w:pPr>
        <w:rPr>
          <w:rFonts w:ascii="Arial Black" w:hAnsi="Arial Black"/>
          <w:b/>
          <w:bCs/>
          <w:sz w:val="24"/>
          <w:szCs w:val="24"/>
        </w:rPr>
      </w:pPr>
    </w:p>
    <w:p w14:paraId="63F8D772" w14:textId="66187F28" w:rsidR="00542851" w:rsidRPr="002E2CF4" w:rsidRDefault="002E2CF4" w:rsidP="00705D47">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0</w:t>
      </w:r>
    </w:p>
    <w:p w14:paraId="009C54BD" w14:textId="444F67CF" w:rsidR="004E4AEF" w:rsidRDefault="004E4AEF" w:rsidP="004E4AEF">
      <w:pPr>
        <w:pStyle w:val="NoSpacing"/>
        <w:rPr>
          <w:rFonts w:ascii="Arial Black" w:hAnsi="Arial Black"/>
          <w:b/>
          <w:sz w:val="28"/>
          <w:szCs w:val="28"/>
        </w:rPr>
      </w:pPr>
      <w:r>
        <w:rPr>
          <w:rFonts w:ascii="Arial Black" w:hAnsi="Arial Black"/>
          <w:b/>
          <w:sz w:val="28"/>
          <w:szCs w:val="28"/>
        </w:rPr>
        <w:t xml:space="preserve">NY: EMS OFFICER – DIDN’T WRITE RPT </w:t>
      </w:r>
      <w:r w:rsidR="0039559E">
        <w:rPr>
          <w:rFonts w:ascii="Arial Black" w:hAnsi="Arial Black"/>
          <w:b/>
          <w:sz w:val="28"/>
          <w:szCs w:val="28"/>
        </w:rPr>
        <w:t xml:space="preserve">TO </w:t>
      </w:r>
      <w:r>
        <w:rPr>
          <w:rFonts w:ascii="Arial Black" w:hAnsi="Arial Black"/>
          <w:b/>
          <w:sz w:val="28"/>
          <w:szCs w:val="28"/>
        </w:rPr>
        <w:t xml:space="preserve">CHIEF – 1-YR SUSP  </w:t>
      </w:r>
    </w:p>
    <w:p w14:paraId="086B832C" w14:textId="77777777" w:rsidR="004E4AEF" w:rsidRDefault="004E4AEF" w:rsidP="004E4AEF">
      <w:pPr>
        <w:pStyle w:val="NoSpacing"/>
        <w:rPr>
          <w:rFonts w:ascii="Arial Black" w:hAnsi="Arial Black"/>
          <w:b/>
          <w:sz w:val="28"/>
          <w:szCs w:val="28"/>
        </w:rPr>
      </w:pPr>
    </w:p>
    <w:p w14:paraId="1F93DE6B" w14:textId="77777777" w:rsidR="004E4AEF" w:rsidRPr="003D20B2" w:rsidRDefault="004E4AEF" w:rsidP="004E4AEF">
      <w:pPr>
        <w:pStyle w:val="NoSpacing"/>
        <w:rPr>
          <w:rFonts w:ascii="Times New Roman" w:hAnsi="Times New Roman"/>
          <w:sz w:val="24"/>
          <w:szCs w:val="24"/>
        </w:rPr>
      </w:pPr>
      <w:r w:rsidRPr="003D20B2">
        <w:rPr>
          <w:rFonts w:ascii="Times New Roman" w:hAnsi="Times New Roman"/>
          <w:sz w:val="24"/>
          <w:szCs w:val="24"/>
        </w:rPr>
        <w:t xml:space="preserve">On July 24, 2025, in </w:t>
      </w:r>
      <w:r w:rsidRPr="003D20B2">
        <w:rPr>
          <w:rFonts w:ascii="Times New Roman" w:hAnsi="Times New Roman"/>
          <w:sz w:val="24"/>
          <w:szCs w:val="24"/>
          <w:u w:val="single"/>
        </w:rPr>
        <w:t>Joseph Oginski v. Vigilant Engine And Hook And Ladder Company, Inc, et al</w:t>
      </w:r>
      <w:r w:rsidRPr="003D20B2">
        <w:rPr>
          <w:rFonts w:ascii="Times New Roman" w:hAnsi="Times New Roman"/>
          <w:sz w:val="24"/>
          <w:szCs w:val="24"/>
        </w:rPr>
        <w:t xml:space="preserve">.,  U.S. District Court Judge Joan M. </w:t>
      </w:r>
      <w:proofErr w:type="spellStart"/>
      <w:r w:rsidRPr="003D20B2">
        <w:rPr>
          <w:rFonts w:ascii="Times New Roman" w:hAnsi="Times New Roman"/>
          <w:sz w:val="24"/>
          <w:szCs w:val="24"/>
        </w:rPr>
        <w:t>Azrack</w:t>
      </w:r>
      <w:proofErr w:type="spellEnd"/>
      <w:r w:rsidRPr="003D20B2">
        <w:rPr>
          <w:rFonts w:ascii="Times New Roman" w:hAnsi="Times New Roman"/>
          <w:sz w:val="24"/>
          <w:szCs w:val="24"/>
        </w:rPr>
        <w:t>, United States District Court for Eastern District of New York, dismissed the lawsuit alleging retaliation in violation of his Constitutional right to free speech since his communications were not as a citizen but as a member on the department.  The plaintiff was EMS 1</w:t>
      </w:r>
      <w:r w:rsidRPr="003D20B2">
        <w:rPr>
          <w:rFonts w:ascii="Times New Roman" w:hAnsi="Times New Roman"/>
          <w:sz w:val="24"/>
          <w:szCs w:val="24"/>
          <w:vertAlign w:val="superscript"/>
        </w:rPr>
        <w:t>st</w:t>
      </w:r>
      <w:r w:rsidRPr="003D20B2">
        <w:rPr>
          <w:rFonts w:ascii="Times New Roman" w:hAnsi="Times New Roman"/>
          <w:sz w:val="24"/>
          <w:szCs w:val="24"/>
        </w:rPr>
        <w:t xml:space="preserve"> Assistant Chief of the department and had repeatedly urged the Board, including in a lengthy e-mail of August 7, 2022, to direct the Fire Chief to have all members use of the County Communication’s </w:t>
      </w:r>
      <w:proofErr w:type="spellStart"/>
      <w:r w:rsidRPr="003D20B2">
        <w:rPr>
          <w:rFonts w:ascii="Times New Roman" w:hAnsi="Times New Roman"/>
          <w:sz w:val="24"/>
          <w:szCs w:val="24"/>
        </w:rPr>
        <w:t>Bryx</w:t>
      </w:r>
      <w:proofErr w:type="spellEnd"/>
      <w:r w:rsidRPr="003D20B2">
        <w:rPr>
          <w:rFonts w:ascii="Times New Roman" w:hAnsi="Times New Roman"/>
          <w:sz w:val="24"/>
          <w:szCs w:val="24"/>
        </w:rPr>
        <w:t xml:space="preserve"> 911 App for early notification of runs. The Board declined to do this.  On September 18, </w:t>
      </w:r>
      <w:proofErr w:type="gramStart"/>
      <w:r w:rsidRPr="003D20B2">
        <w:rPr>
          <w:rFonts w:ascii="Times New Roman" w:hAnsi="Times New Roman"/>
          <w:sz w:val="24"/>
          <w:szCs w:val="24"/>
        </w:rPr>
        <w:t>2022</w:t>
      </w:r>
      <w:proofErr w:type="gramEnd"/>
      <w:r w:rsidRPr="003D20B2">
        <w:rPr>
          <w:rFonts w:ascii="Times New Roman" w:hAnsi="Times New Roman"/>
          <w:sz w:val="24"/>
          <w:szCs w:val="24"/>
        </w:rPr>
        <w:t xml:space="preserve"> the plaintiff responded to EMS call at nursing home for COVID patient; he refused to go in until fit tested COVID masks were brought from fire station to the ambulance.  The Fire Chief ordered him to submit a written report, which he refused to provide until meeting </w:t>
      </w:r>
      <w:r w:rsidRPr="003D20B2">
        <w:rPr>
          <w:rFonts w:ascii="Times New Roman" w:hAnsi="Times New Roman"/>
          <w:sz w:val="24"/>
          <w:szCs w:val="24"/>
        </w:rPr>
        <w:lastRenderedPageBreak/>
        <w:t xml:space="preserve">with Board’s Chair and attorney.  After a Board hearing on November 1, </w:t>
      </w:r>
      <w:proofErr w:type="gramStart"/>
      <w:r w:rsidRPr="003D20B2">
        <w:rPr>
          <w:rFonts w:ascii="Times New Roman" w:hAnsi="Times New Roman"/>
          <w:sz w:val="24"/>
          <w:szCs w:val="24"/>
        </w:rPr>
        <w:t>2022</w:t>
      </w:r>
      <w:proofErr w:type="gramEnd"/>
      <w:r w:rsidRPr="003D20B2">
        <w:rPr>
          <w:rFonts w:ascii="Times New Roman" w:hAnsi="Times New Roman"/>
          <w:sz w:val="24"/>
          <w:szCs w:val="24"/>
        </w:rPr>
        <w:t xml:space="preserve"> he was suspended for one year.  The case was first submitted to a U.S. Magistrate Judge who concluded that Oginski’s communications with the FD Board were part of official duties, and not as a private citizen; Federal Judge </w:t>
      </w:r>
      <w:proofErr w:type="spellStart"/>
      <w:r w:rsidRPr="003D20B2">
        <w:rPr>
          <w:rFonts w:ascii="Times New Roman" w:hAnsi="Times New Roman"/>
          <w:sz w:val="24"/>
          <w:szCs w:val="24"/>
        </w:rPr>
        <w:t>Azrack</w:t>
      </w:r>
      <w:proofErr w:type="spellEnd"/>
      <w:r w:rsidRPr="003D20B2">
        <w:rPr>
          <w:rFonts w:ascii="Times New Roman" w:hAnsi="Times New Roman"/>
          <w:sz w:val="24"/>
          <w:szCs w:val="24"/>
        </w:rPr>
        <w:t xml:space="preserve"> agreed. THE COURT HELD: “Here, however, the  communications at issue were made in the context of his employment and pursuant to Plaintiff's official duties.” </w:t>
      </w:r>
      <w:hyperlink r:id="rId1962" w:history="1">
        <w:r w:rsidRPr="003D20B2">
          <w:rPr>
            <w:rStyle w:val="Hyperlink"/>
            <w:rFonts w:ascii="Times New Roman" w:hAnsi="Times New Roman"/>
            <w:sz w:val="24"/>
            <w:szCs w:val="24"/>
          </w:rPr>
          <w:t>https://public.fastcase.com/jaEE2PXzRXmZ99jOLMt1Iur66SqTUHCh2%2F6i5JSa4l6hU%2FvLi%2B5AObhTx2DvFKDq?utm_medium=email&amp;_hsenc=p2ANqtz--swmEKE2bBH1yxnsdN_yPFP1ssqGq5KgURTPyK4vIy-QrvDWKI9I9IkKVZfzKsNc7HzZR6NsXw-W4jNuqGESlXN6G9zw&amp;_hsmi=226712652&amp;utm_content=226712652&amp;utm_source=hs_email</w:t>
        </w:r>
      </w:hyperlink>
      <w:r w:rsidRPr="003D20B2">
        <w:rPr>
          <w:rFonts w:ascii="Times New Roman" w:hAnsi="Times New Roman"/>
          <w:sz w:val="24"/>
          <w:szCs w:val="24"/>
        </w:rPr>
        <w:t xml:space="preserve"> </w:t>
      </w:r>
    </w:p>
    <w:p w14:paraId="06C86D07" w14:textId="77777777" w:rsidR="004E4AEF" w:rsidRPr="003D20B2" w:rsidRDefault="004E4AEF" w:rsidP="004E4AEF">
      <w:pPr>
        <w:pStyle w:val="NoSpacing"/>
        <w:rPr>
          <w:rFonts w:ascii="Times New Roman" w:hAnsi="Times New Roman"/>
          <w:sz w:val="24"/>
          <w:szCs w:val="24"/>
        </w:rPr>
      </w:pPr>
    </w:p>
    <w:p w14:paraId="2EDBDB94" w14:textId="77777777" w:rsidR="00297B95" w:rsidRPr="003D20B2" w:rsidRDefault="00297B95" w:rsidP="00297B95">
      <w:pPr>
        <w:pStyle w:val="NoSpacing"/>
        <w:rPr>
          <w:rFonts w:ascii="Times New Roman" w:hAnsi="Times New Roman"/>
          <w:b/>
          <w:bCs/>
          <w:sz w:val="24"/>
          <w:szCs w:val="24"/>
        </w:rPr>
      </w:pPr>
      <w:r w:rsidRPr="003D20B2">
        <w:rPr>
          <w:rFonts w:ascii="Times New Roman" w:hAnsi="Times New Roman"/>
          <w:b/>
          <w:sz w:val="24"/>
          <w:szCs w:val="24"/>
        </w:rPr>
        <w:t>Legal lesson learned:  EMS officer’s e-mails and other communications with Fire Department Board are not protected by First Amendment; his refusal to complete a written report to the Fire Chief about an EMS run is basis for discipline.</w:t>
      </w:r>
    </w:p>
    <w:p w14:paraId="438390E9" w14:textId="77777777" w:rsidR="00297B95" w:rsidRPr="003D20B2" w:rsidRDefault="00297B95" w:rsidP="00297B95">
      <w:pPr>
        <w:pStyle w:val="NoSpacing"/>
        <w:rPr>
          <w:rFonts w:ascii="Times New Roman" w:hAnsi="Times New Roman"/>
          <w:sz w:val="24"/>
          <w:szCs w:val="24"/>
        </w:rPr>
      </w:pPr>
    </w:p>
    <w:p w14:paraId="295B13D0"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See June 18, </w:t>
      </w:r>
      <w:proofErr w:type="gramStart"/>
      <w:r w:rsidRPr="003D20B2">
        <w:rPr>
          <w:rFonts w:ascii="Times New Roman" w:hAnsi="Times New Roman"/>
          <w:sz w:val="24"/>
          <w:szCs w:val="24"/>
        </w:rPr>
        <w:t>2025</w:t>
      </w:r>
      <w:proofErr w:type="gramEnd"/>
      <w:r w:rsidRPr="003D20B2">
        <w:rPr>
          <w:rFonts w:ascii="Times New Roman" w:hAnsi="Times New Roman"/>
          <w:sz w:val="24"/>
          <w:szCs w:val="24"/>
        </w:rPr>
        <w:t xml:space="preserve"> Report and Recommendation of U.S. Magistrate Judge Shield. </w:t>
      </w:r>
      <w:hyperlink r:id="rId1963" w:history="1">
        <w:r w:rsidRPr="003D20B2">
          <w:rPr>
            <w:rStyle w:val="Hyperlink"/>
            <w:rFonts w:ascii="Times New Roman" w:hAnsi="Times New Roman"/>
            <w:sz w:val="24"/>
            <w:szCs w:val="24"/>
          </w:rPr>
          <w:t>https://public.fastcase.com/jaEE2PXzRXmZ99jOLMt1Ii3GHq1DqUk6JcIatDazVs2MT6qOPN%2BlSHCpyD6INecs?utm_medium=email&amp;_hsenc=p2ANqtz--mlDS8haOQgu8WvAgxTOdChC-L5bDfnY4D7GnlMH_0KI2lqvAqiMoF8QlUmIn8nD4qRtsgkZAeTqUVI7tJfHdW7459rg&amp;_hsmi=226712652&amp;utm_content=226712652&amp;utm_source=hs_email</w:t>
        </w:r>
      </w:hyperlink>
      <w:r w:rsidRPr="003D20B2">
        <w:rPr>
          <w:rFonts w:ascii="Times New Roman" w:hAnsi="Times New Roman"/>
          <w:sz w:val="24"/>
          <w:szCs w:val="24"/>
        </w:rPr>
        <w:t xml:space="preserve"> </w:t>
      </w:r>
    </w:p>
    <w:p w14:paraId="2613CBE2" w14:textId="77777777" w:rsidR="00297B95" w:rsidRPr="003D20B2" w:rsidRDefault="00297B95" w:rsidP="00297B95">
      <w:pPr>
        <w:pStyle w:val="NoSpacing"/>
        <w:rPr>
          <w:rFonts w:ascii="Times New Roman" w:hAnsi="Times New Roman"/>
          <w:sz w:val="24"/>
          <w:szCs w:val="24"/>
        </w:rPr>
      </w:pPr>
      <w:r w:rsidRPr="003D20B2">
        <w:rPr>
          <w:rFonts w:ascii="Times New Roman" w:hAnsi="Times New Roman"/>
          <w:sz w:val="24"/>
          <w:szCs w:val="24"/>
        </w:rPr>
        <w:t xml:space="preserve"> </w:t>
      </w:r>
    </w:p>
    <w:p w14:paraId="60817537"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“Oginski was, at all relevant times, a member of the Company…. He first joined Vigilant in 2008. </w:t>
      </w:r>
      <w:proofErr w:type="gramStart"/>
      <w:r w:rsidRPr="003D20B2">
        <w:rPr>
          <w:rFonts w:ascii="Times New Roman" w:hAnsi="Times New Roman"/>
          <w:sz w:val="24"/>
          <w:szCs w:val="24"/>
        </w:rPr>
        <w:t>During the course of</w:t>
      </w:r>
      <w:proofErr w:type="gramEnd"/>
      <w:r w:rsidRPr="003D20B2">
        <w:rPr>
          <w:rFonts w:ascii="Times New Roman" w:hAnsi="Times New Roman"/>
          <w:sz w:val="24"/>
          <w:szCs w:val="24"/>
        </w:rPr>
        <w:t xml:space="preserve"> his membership Oginski held numerous ‘operational and leadership’ positions. Such positions included serving as Sergeant at Arms, Financial Secretary, EMS Corporal, Fire Lieutenant, EMS Captain and EMS 1st Assistant Chief.</w:t>
      </w:r>
    </w:p>
    <w:p w14:paraId="617AB032" w14:textId="77777777" w:rsidR="00297B95" w:rsidRPr="003D20B2" w:rsidRDefault="00297B95" w:rsidP="00297B95">
      <w:pPr>
        <w:pStyle w:val="NoSpacing"/>
        <w:ind w:left="720"/>
        <w:rPr>
          <w:rFonts w:ascii="Times New Roman" w:hAnsi="Times New Roman"/>
          <w:sz w:val="24"/>
          <w:szCs w:val="24"/>
        </w:rPr>
      </w:pPr>
    </w:p>
    <w:p w14:paraId="3AC6599D"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w:t>
      </w:r>
    </w:p>
    <w:p w14:paraId="6668A1A4" w14:textId="77777777" w:rsidR="00297B95" w:rsidRPr="003D20B2" w:rsidRDefault="00297B95" w:rsidP="00297B95">
      <w:pPr>
        <w:pStyle w:val="NoSpacing"/>
        <w:ind w:left="720"/>
        <w:rPr>
          <w:rFonts w:ascii="Times New Roman" w:hAnsi="Times New Roman"/>
          <w:sz w:val="24"/>
          <w:szCs w:val="24"/>
        </w:rPr>
      </w:pPr>
    </w:p>
    <w:p w14:paraId="570E06F7"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On September 18, </w:t>
      </w:r>
      <w:proofErr w:type="gramStart"/>
      <w:r w:rsidRPr="003D20B2">
        <w:rPr>
          <w:rFonts w:ascii="Times New Roman" w:hAnsi="Times New Roman"/>
          <w:sz w:val="24"/>
          <w:szCs w:val="24"/>
        </w:rPr>
        <w:t>2022</w:t>
      </w:r>
      <w:proofErr w:type="gramEnd"/>
      <w:r w:rsidRPr="003D20B2">
        <w:rPr>
          <w:rFonts w:ascii="Times New Roman" w:hAnsi="Times New Roman"/>
          <w:sz w:val="24"/>
          <w:szCs w:val="24"/>
        </w:rPr>
        <w:t xml:space="preserve"> Oginski and other Company members responded to an emergency call received from a nursing home (the ‘September 2022 Nursing Home Call’)…. That call requested an ambulance for a Covid patient. Oginski was the responding ambulance driver…. A paramedic was already on the scene…. Upon arrival at the nursing home Oginski and the other responders found that their N95 masks did not create a facial seal…. Oginski attributes this to the fact that the masks were not fit-tested as required by law. Oginski had previously complained about the lack of </w:t>
      </w:r>
      <w:proofErr w:type="gramStart"/>
      <w:r w:rsidRPr="003D20B2">
        <w:rPr>
          <w:rFonts w:ascii="Times New Roman" w:hAnsi="Times New Roman"/>
          <w:sz w:val="24"/>
          <w:szCs w:val="24"/>
        </w:rPr>
        <w:t>fit-testing</w:t>
      </w:r>
      <w:proofErr w:type="gramEnd"/>
      <w:r w:rsidRPr="003D20B2">
        <w:rPr>
          <w:rFonts w:ascii="Times New Roman" w:hAnsi="Times New Roman"/>
          <w:sz w:val="24"/>
          <w:szCs w:val="24"/>
        </w:rPr>
        <w:t xml:space="preserve"> to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and Cherry who ignored his complaints….  Upon arrival at the nursing home Oginski immediately contacted the firehouse and asked the dispatcher to send masks to the scene…. He also contacted Nassau County Medical </w:t>
      </w:r>
      <w:proofErr w:type="gramStart"/>
      <w:r w:rsidRPr="003D20B2">
        <w:rPr>
          <w:rFonts w:ascii="Times New Roman" w:hAnsi="Times New Roman"/>
          <w:sz w:val="24"/>
          <w:szCs w:val="24"/>
        </w:rPr>
        <w:t>Control (‘</w:t>
      </w:r>
      <w:proofErr w:type="gramEnd"/>
      <w:r w:rsidRPr="003D20B2">
        <w:rPr>
          <w:rFonts w:ascii="Times New Roman" w:hAnsi="Times New Roman"/>
          <w:sz w:val="24"/>
          <w:szCs w:val="24"/>
        </w:rPr>
        <w:t>Medical Control’) for guidance as to how to proceed. Medical Control advised Oginski that it was appropriate to wait at the scene for the arrival of masks before entering the nursing home…. Shortly thereafter, the responding crew was advised that the patient at issue was not Covid positive…. Once masks arrived, the Vigilant responders entered the nursing home to provide the requested emergency assistance.</w:t>
      </w:r>
    </w:p>
    <w:p w14:paraId="502E0B45" w14:textId="77777777" w:rsidR="00297B95" w:rsidRPr="003D20B2" w:rsidRDefault="00297B95" w:rsidP="00297B95">
      <w:pPr>
        <w:pStyle w:val="NoSpacing"/>
        <w:ind w:left="720"/>
        <w:rPr>
          <w:rFonts w:ascii="Times New Roman" w:hAnsi="Times New Roman"/>
          <w:sz w:val="24"/>
          <w:szCs w:val="24"/>
        </w:rPr>
      </w:pPr>
    </w:p>
    <w:p w14:paraId="1173323B"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w:t>
      </w:r>
    </w:p>
    <w:p w14:paraId="0B5AC4F3" w14:textId="77777777" w:rsidR="00297B95" w:rsidRPr="003D20B2" w:rsidRDefault="00297B95" w:rsidP="00297B95">
      <w:pPr>
        <w:pStyle w:val="NoSpacing"/>
        <w:rPr>
          <w:rFonts w:ascii="Times New Roman" w:hAnsi="Times New Roman"/>
          <w:sz w:val="24"/>
          <w:szCs w:val="24"/>
        </w:rPr>
      </w:pPr>
    </w:p>
    <w:p w14:paraId="344244A4"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Before they could meet, [Department Chief Justin]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is stated to have approached Oginski and ‘demanded’ that he write a statement about what happened at the nursing home…. Oginski told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that he did not wish to meet with him, and that he would provide statements to the Vigilant attorney and to the Chairman of the Board….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continued to ask Oginski to provide him with a </w:t>
      </w:r>
      <w:proofErr w:type="gramStart"/>
      <w:r w:rsidRPr="003D20B2">
        <w:rPr>
          <w:rFonts w:ascii="Times New Roman" w:hAnsi="Times New Roman"/>
          <w:sz w:val="24"/>
          <w:szCs w:val="24"/>
        </w:rPr>
        <w:t>statement, and</w:t>
      </w:r>
      <w:proofErr w:type="gramEnd"/>
      <w:r w:rsidRPr="003D20B2">
        <w:rPr>
          <w:rFonts w:ascii="Times New Roman" w:hAnsi="Times New Roman"/>
          <w:sz w:val="24"/>
          <w:szCs w:val="24"/>
        </w:rPr>
        <w:t xml:space="preserve"> threatened to suspend Oginski for failure to comply….  Oginski reiterated to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that he would provide a statement, but only after first speaking with Vigilant's counsel and the Board Chair….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responded by suspending Oginski for 10 days…. On September 20, 2022 (the next day) Vigilant's Recording Secretary emailed Oginski a statement of charges that was filed by </w:t>
      </w:r>
      <w:proofErr w:type="spellStart"/>
      <w:r w:rsidRPr="003D20B2">
        <w:rPr>
          <w:rFonts w:ascii="Times New Roman" w:hAnsi="Times New Roman"/>
          <w:sz w:val="24"/>
          <w:szCs w:val="24"/>
        </w:rPr>
        <w:lastRenderedPageBreak/>
        <w:t>Sachmechi</w:t>
      </w:r>
      <w:proofErr w:type="spellEnd"/>
      <w:r w:rsidRPr="003D20B2">
        <w:rPr>
          <w:rFonts w:ascii="Times New Roman" w:hAnsi="Times New Roman"/>
          <w:sz w:val="24"/>
          <w:szCs w:val="24"/>
        </w:rPr>
        <w:t xml:space="preserve">. In that statement Oginski was charged with insubordination and conduct unbecoming a member.” </w:t>
      </w:r>
    </w:p>
    <w:p w14:paraId="6D50216A" w14:textId="77777777" w:rsidR="00297B95" w:rsidRPr="003D20B2" w:rsidRDefault="00297B95" w:rsidP="00297B95">
      <w:pPr>
        <w:pStyle w:val="NoSpacing"/>
        <w:rPr>
          <w:rFonts w:ascii="Times New Roman" w:hAnsi="Times New Roman"/>
          <w:sz w:val="24"/>
          <w:szCs w:val="24"/>
        </w:rPr>
      </w:pPr>
    </w:p>
    <w:p w14:paraId="361ED78B" w14:textId="77777777" w:rsidR="00297B95" w:rsidRPr="003D20B2" w:rsidRDefault="00297B95" w:rsidP="00297B95">
      <w:pPr>
        <w:pStyle w:val="NoSpacing"/>
        <w:rPr>
          <w:rFonts w:ascii="Times New Roman" w:hAnsi="Times New Roman"/>
          <w:sz w:val="24"/>
          <w:szCs w:val="24"/>
        </w:rPr>
      </w:pPr>
    </w:p>
    <w:p w14:paraId="6E31D346" w14:textId="77777777" w:rsidR="00542851" w:rsidRDefault="00542851" w:rsidP="00705D47">
      <w:pPr>
        <w:rPr>
          <w:rFonts w:ascii="Arial Black" w:hAnsi="Arial Black"/>
          <w:b/>
          <w:bCs/>
          <w:sz w:val="28"/>
          <w:szCs w:val="28"/>
        </w:rPr>
      </w:pPr>
    </w:p>
    <w:p w14:paraId="067EBEC6" w14:textId="77B92400" w:rsidR="00705D47" w:rsidRDefault="00705D47" w:rsidP="00705D47">
      <w:pPr>
        <w:rPr>
          <w:rFonts w:ascii="Arial Black" w:hAnsi="Arial Black"/>
          <w:b/>
          <w:bCs/>
          <w:sz w:val="28"/>
          <w:szCs w:val="28"/>
        </w:rPr>
      </w:pPr>
      <w:r>
        <w:rPr>
          <w:rFonts w:ascii="Arial Black" w:hAnsi="Arial Black"/>
          <w:b/>
          <w:bCs/>
          <w:sz w:val="28"/>
          <w:szCs w:val="28"/>
        </w:rPr>
        <w:t>13-2</w:t>
      </w:r>
      <w:r w:rsidR="00524647">
        <w:rPr>
          <w:rFonts w:ascii="Arial Black" w:hAnsi="Arial Black"/>
          <w:b/>
          <w:bCs/>
          <w:sz w:val="28"/>
          <w:szCs w:val="28"/>
        </w:rPr>
        <w:t>19</w:t>
      </w:r>
    </w:p>
    <w:p w14:paraId="7CA62011" w14:textId="77777777" w:rsidR="005B4276" w:rsidRPr="002E2CF3" w:rsidRDefault="005B4276" w:rsidP="005B4276">
      <w:pPr>
        <w:rPr>
          <w:rFonts w:ascii="Arial Black" w:hAnsi="Arial Black"/>
          <w:b/>
          <w:sz w:val="28"/>
          <w:szCs w:val="28"/>
        </w:rPr>
      </w:pPr>
      <w:r>
        <w:rPr>
          <w:rFonts w:ascii="Arial Black" w:hAnsi="Arial Black"/>
          <w:b/>
          <w:sz w:val="28"/>
          <w:szCs w:val="28"/>
        </w:rPr>
        <w:t xml:space="preserve">NY: FDNY / EMS PAY – CAN’T DEPOSE FDNY COMMISSIONER </w:t>
      </w:r>
    </w:p>
    <w:p w14:paraId="0C291D8C" w14:textId="77777777" w:rsidR="005B4276" w:rsidRPr="005C6596" w:rsidRDefault="005B4276" w:rsidP="005B4276">
      <w:pPr>
        <w:rPr>
          <w:rFonts w:ascii="Times New Roman" w:hAnsi="Times New Roman"/>
          <w:bCs/>
          <w:sz w:val="24"/>
          <w:szCs w:val="24"/>
        </w:rPr>
      </w:pPr>
      <w:r w:rsidRPr="005C6596">
        <w:rPr>
          <w:rFonts w:ascii="Times New Roman" w:hAnsi="Times New Roman"/>
          <w:sz w:val="24"/>
          <w:szCs w:val="24"/>
        </w:rPr>
        <w:t xml:space="preserve">On June 20, 2025, in </w:t>
      </w:r>
      <w:r w:rsidRPr="005C6596">
        <w:rPr>
          <w:rFonts w:ascii="Times New Roman" w:hAnsi="Times New Roman"/>
          <w:sz w:val="24"/>
          <w:szCs w:val="24"/>
          <w:u w:val="single"/>
        </w:rPr>
        <w:t>Local 2507, Uniformed EMTs, Paramedics &amp; Fire Inspectors, et al. v. City of New York</w:t>
      </w:r>
      <w:r w:rsidRPr="005C6596">
        <w:rPr>
          <w:rFonts w:ascii="Times New Roman" w:hAnsi="Times New Roman"/>
          <w:sz w:val="24"/>
          <w:szCs w:val="24"/>
        </w:rPr>
        <w:t xml:space="preserve">, U. S. Magistrate Judge Gabriel W. Gorenstein, United States District Court for Southern District of New York, denied the Union motion to compel the deposition of FDNY Commissioner Robert Tucker.  He is a “high-level” government </w:t>
      </w:r>
      <w:proofErr w:type="gramStart"/>
      <w:r w:rsidRPr="005C6596">
        <w:rPr>
          <w:rFonts w:ascii="Times New Roman" w:hAnsi="Times New Roman"/>
          <w:sz w:val="24"/>
          <w:szCs w:val="24"/>
        </w:rPr>
        <w:t>official</w:t>
      </w:r>
      <w:proofErr w:type="gramEnd"/>
      <w:r w:rsidRPr="005C6596">
        <w:rPr>
          <w:rFonts w:ascii="Times New Roman" w:hAnsi="Times New Roman"/>
          <w:sz w:val="24"/>
          <w:szCs w:val="24"/>
        </w:rPr>
        <w:t xml:space="preserve"> and courts protect such individuals from depositions unless “exceptional circumstances.” He was appointed less than a year ago, well after the lawsuit was filed, and has not been involved in collective bargaining on this issue. THE COURT HELD: “A deposition of a high-level governmental or corporate officer is commonly referred to as an ‘apex deposition’ and may not be ordered absent a special showing by the party seeking the deposition. With respect to governmental officials, the Second Circuit noted in </w:t>
      </w:r>
      <w:r w:rsidRPr="005C6596">
        <w:rPr>
          <w:rFonts w:ascii="Times New Roman" w:hAnsi="Times New Roman"/>
          <w:i/>
          <w:iCs/>
          <w:sz w:val="24"/>
          <w:szCs w:val="24"/>
        </w:rPr>
        <w:t>Lederman v. N.Y. City Dept. of Parks and Recreation</w:t>
      </w:r>
      <w:r w:rsidRPr="005C6596">
        <w:rPr>
          <w:rFonts w:ascii="Times New Roman" w:hAnsi="Times New Roman"/>
          <w:sz w:val="24"/>
          <w:szCs w:val="24"/>
        </w:rPr>
        <w:t>, 731 F.3d 199 (2d Cir. 2013), that courts have commonly held that ‘a high-ranking government official should not - absent exceptional circumstances - be deposed or called to testify regarding the reasons for taking official action, including the manner and extent of his study of the record and his consultation with subordinates.’”</w:t>
      </w:r>
      <w:hyperlink r:id="rId1964" w:history="1">
        <w:r w:rsidRPr="005C6596">
          <w:rPr>
            <w:rStyle w:val="Hyperlink"/>
            <w:rFonts w:ascii="Times New Roman" w:hAnsi="Times New Roman"/>
            <w:sz w:val="24"/>
            <w:szCs w:val="24"/>
          </w:rPr>
          <w:t>https://caselaw.findlaw.com/court/us-dis-crt-sd-new-yor/117411673.html</w:t>
        </w:r>
      </w:hyperlink>
      <w:r w:rsidRPr="005C6596">
        <w:rPr>
          <w:rFonts w:ascii="Times New Roman" w:hAnsi="Times New Roman"/>
          <w:sz w:val="24"/>
          <w:szCs w:val="24"/>
        </w:rPr>
        <w:t xml:space="preserve"> </w:t>
      </w:r>
    </w:p>
    <w:p w14:paraId="6CE04202" w14:textId="77777777" w:rsidR="00571DF6" w:rsidRPr="005C6596" w:rsidRDefault="00571DF6" w:rsidP="00571DF6">
      <w:pPr>
        <w:pStyle w:val="NoSpacing"/>
        <w:rPr>
          <w:rFonts w:ascii="Times New Roman" w:hAnsi="Times New Roman"/>
          <w:b/>
          <w:bCs/>
          <w:sz w:val="24"/>
          <w:szCs w:val="24"/>
        </w:rPr>
      </w:pPr>
      <w:r w:rsidRPr="005C6596">
        <w:rPr>
          <w:rFonts w:ascii="Times New Roman" w:hAnsi="Times New Roman"/>
          <w:b/>
          <w:sz w:val="24"/>
          <w:szCs w:val="24"/>
        </w:rPr>
        <w:t xml:space="preserve">Legal </w:t>
      </w:r>
      <w:proofErr w:type="gramStart"/>
      <w:r w:rsidRPr="005C6596">
        <w:rPr>
          <w:rFonts w:ascii="Times New Roman" w:hAnsi="Times New Roman"/>
          <w:b/>
          <w:sz w:val="24"/>
          <w:szCs w:val="24"/>
        </w:rPr>
        <w:t>lesson</w:t>
      </w:r>
      <w:proofErr w:type="gramEnd"/>
      <w:r w:rsidRPr="005C6596">
        <w:rPr>
          <w:rFonts w:ascii="Times New Roman" w:hAnsi="Times New Roman"/>
          <w:b/>
          <w:sz w:val="24"/>
          <w:szCs w:val="24"/>
        </w:rPr>
        <w:t xml:space="preserve"> learned: High </w:t>
      </w:r>
      <w:r w:rsidRPr="005C6596">
        <w:rPr>
          <w:rFonts w:ascii="Times New Roman" w:hAnsi="Times New Roman"/>
          <w:b/>
          <w:bCs/>
          <w:sz w:val="24"/>
          <w:szCs w:val="24"/>
        </w:rPr>
        <w:t xml:space="preserve">level government officials </w:t>
      </w:r>
      <w:r w:rsidRPr="005C6596">
        <w:rPr>
          <w:rFonts w:ascii="Times New Roman" w:hAnsi="Times New Roman"/>
          <w:b/>
          <w:sz w:val="24"/>
          <w:szCs w:val="24"/>
        </w:rPr>
        <w:t>are generally protected from depositions</w:t>
      </w:r>
      <w:r w:rsidRPr="005C6596">
        <w:rPr>
          <w:rFonts w:ascii="Times New Roman" w:hAnsi="Times New Roman"/>
          <w:b/>
          <w:bCs/>
          <w:sz w:val="24"/>
          <w:szCs w:val="24"/>
        </w:rPr>
        <w:t xml:space="preserve"> so they can do their jobs without disruption.</w:t>
      </w:r>
    </w:p>
    <w:p w14:paraId="24C96E2D" w14:textId="77777777" w:rsidR="00F55DAF" w:rsidRDefault="00F55DAF" w:rsidP="002B1283">
      <w:pPr>
        <w:rPr>
          <w:rFonts w:ascii="Arial Black" w:hAnsi="Arial Black"/>
          <w:b/>
          <w:bCs/>
          <w:sz w:val="28"/>
          <w:szCs w:val="28"/>
        </w:rPr>
      </w:pPr>
    </w:p>
    <w:p w14:paraId="7A792E84" w14:textId="521AAD57" w:rsidR="00705D47" w:rsidRDefault="00705D47" w:rsidP="00705D47">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8</w:t>
      </w:r>
    </w:p>
    <w:p w14:paraId="54E2DAB6" w14:textId="30988BD6" w:rsidR="003F325A" w:rsidRDefault="003F325A" w:rsidP="003F325A">
      <w:pPr>
        <w:pStyle w:val="NoSpacing"/>
        <w:rPr>
          <w:rFonts w:ascii="Arial Black" w:hAnsi="Arial Black"/>
          <w:sz w:val="28"/>
          <w:szCs w:val="28"/>
        </w:rPr>
      </w:pPr>
      <w:r>
        <w:rPr>
          <w:rFonts w:ascii="Arial Black" w:hAnsi="Arial Black"/>
          <w:sz w:val="28"/>
          <w:szCs w:val="28"/>
        </w:rPr>
        <w:t xml:space="preserve">MO: HIPAA – FF PATIENT </w:t>
      </w:r>
      <w:r w:rsidR="00A10031">
        <w:rPr>
          <w:rFonts w:ascii="Arial Black" w:hAnsi="Arial Black"/>
          <w:sz w:val="28"/>
          <w:szCs w:val="28"/>
        </w:rPr>
        <w:t>–</w:t>
      </w:r>
      <w:r>
        <w:rPr>
          <w:rFonts w:ascii="Arial Black" w:hAnsi="Arial Black"/>
          <w:sz w:val="28"/>
          <w:szCs w:val="28"/>
        </w:rPr>
        <w:t xml:space="preserve"> INFO SHARED</w:t>
      </w:r>
      <w:r w:rsidR="00334308">
        <w:rPr>
          <w:rFonts w:ascii="Arial Black" w:hAnsi="Arial Black"/>
          <w:sz w:val="28"/>
          <w:szCs w:val="28"/>
        </w:rPr>
        <w:t xml:space="preserve"> IN FD</w:t>
      </w:r>
      <w:r>
        <w:rPr>
          <w:rFonts w:ascii="Arial Black" w:hAnsi="Arial Black"/>
          <w:sz w:val="28"/>
          <w:szCs w:val="28"/>
        </w:rPr>
        <w:t xml:space="preserve"> / </w:t>
      </w:r>
      <w:r w:rsidR="00A10031">
        <w:rPr>
          <w:rFonts w:ascii="Arial Black" w:hAnsi="Arial Black"/>
          <w:sz w:val="28"/>
          <w:szCs w:val="28"/>
        </w:rPr>
        <w:t xml:space="preserve">CAN’T SUE </w:t>
      </w:r>
      <w:r w:rsidR="00334308">
        <w:rPr>
          <w:rFonts w:ascii="Arial Black" w:hAnsi="Arial Black"/>
          <w:sz w:val="28"/>
          <w:szCs w:val="28"/>
        </w:rPr>
        <w:t>CITY</w:t>
      </w:r>
    </w:p>
    <w:p w14:paraId="1DED4825" w14:textId="77777777" w:rsidR="003F325A" w:rsidRDefault="003F325A" w:rsidP="003F325A">
      <w:pPr>
        <w:pStyle w:val="NoSpacing"/>
      </w:pPr>
    </w:p>
    <w:p w14:paraId="32F5669E" w14:textId="77777777" w:rsidR="003F325A" w:rsidRPr="0091209E" w:rsidRDefault="003F325A" w:rsidP="003F325A">
      <w:pPr>
        <w:pStyle w:val="NoSpacing"/>
        <w:rPr>
          <w:rFonts w:ascii="Times New Roman" w:hAnsi="Times New Roman"/>
          <w:sz w:val="24"/>
          <w:szCs w:val="24"/>
        </w:rPr>
      </w:pPr>
      <w:r w:rsidRPr="0091209E">
        <w:rPr>
          <w:rFonts w:ascii="Times New Roman" w:hAnsi="Times New Roman"/>
          <w:sz w:val="24"/>
          <w:szCs w:val="24"/>
        </w:rPr>
        <w:t xml:space="preserve">On June 17, 2025, in </w:t>
      </w:r>
      <w:r w:rsidRPr="0091209E">
        <w:rPr>
          <w:rFonts w:ascii="Times New Roman" w:hAnsi="Times New Roman"/>
          <w:sz w:val="24"/>
          <w:szCs w:val="24"/>
          <w:u w:val="single"/>
        </w:rPr>
        <w:t>Joseph Weixeldorfer v. City of Kansas City, Missouri, et al</w:t>
      </w:r>
      <w:r w:rsidRPr="0091209E">
        <w:rPr>
          <w:rFonts w:ascii="Times New Roman" w:hAnsi="Times New Roman"/>
          <w:sz w:val="24"/>
          <w:szCs w:val="24"/>
        </w:rPr>
        <w:t xml:space="preserve">., the Court of Appeals of Missouri, Western District, Second Division, held (3 to 0) that trial court properly granted City’s motion for summary judgment; as a patient when he signed a HIPAA acknowledgement, this did not constitute a “contract” for which he could sue the city.   On November 22, 2017, the plaintiff, a firefighter with the </w:t>
      </w:r>
      <w:proofErr w:type="gramStart"/>
      <w:r w:rsidRPr="0091209E">
        <w:rPr>
          <w:rFonts w:ascii="Times New Roman" w:hAnsi="Times New Roman"/>
          <w:sz w:val="24"/>
          <w:szCs w:val="24"/>
        </w:rPr>
        <w:t>City</w:t>
      </w:r>
      <w:proofErr w:type="gramEnd"/>
      <w:r w:rsidRPr="0091209E">
        <w:rPr>
          <w:rFonts w:ascii="Times New Roman" w:hAnsi="Times New Roman"/>
          <w:sz w:val="24"/>
          <w:szCs w:val="24"/>
        </w:rPr>
        <w:t xml:space="preserve">, was home and called 911 and was transported to the hospital.  Four years later, on November 12, 2021, he filed a lawsuit claiming he suffered humiliation and damage to his reputation when FD personnel and the dispatcher disclosed his “personal medical and mental health” information to both fellow personnel on the fire department, and to his father and others. The trial court judge also refused the plaintiff’s motion to file a Fifth Amended Complaint naming the lead paramedic on the run and the dispatcher – this was well after discovery was closed </w:t>
      </w:r>
      <w:proofErr w:type="gramStart"/>
      <w:r w:rsidRPr="0091209E">
        <w:rPr>
          <w:rFonts w:ascii="Times New Roman" w:hAnsi="Times New Roman"/>
          <w:sz w:val="24"/>
          <w:szCs w:val="24"/>
        </w:rPr>
        <w:t>and also</w:t>
      </w:r>
      <w:proofErr w:type="gramEnd"/>
      <w:r w:rsidRPr="0091209E">
        <w:rPr>
          <w:rFonts w:ascii="Times New Roman" w:hAnsi="Times New Roman"/>
          <w:sz w:val="24"/>
          <w:szCs w:val="24"/>
        </w:rPr>
        <w:t xml:space="preserve"> the 5-year statute of limitations. THE COURT HELD: "[T]he HIPAA Privacy Rule requires only that providers give patients a notice when it is practical to do so after the emergency situation has ended….The acknowledgment creates no duties other than those already required by HIPAA.” </w:t>
      </w:r>
    </w:p>
    <w:p w14:paraId="23F3A3E2" w14:textId="0B6E9790" w:rsidR="003F325A" w:rsidRPr="0091209E" w:rsidRDefault="003F325A" w:rsidP="003F325A">
      <w:pPr>
        <w:rPr>
          <w:rFonts w:ascii="Times New Roman" w:hAnsi="Times New Roman"/>
          <w:sz w:val="24"/>
          <w:szCs w:val="24"/>
        </w:rPr>
      </w:pPr>
      <w:hyperlink r:id="rId1965" w:history="1">
        <w:r w:rsidRPr="0091209E">
          <w:rPr>
            <w:rStyle w:val="Hyperlink"/>
            <w:rFonts w:ascii="Times New Roman" w:hAnsi="Times New Roman"/>
            <w:sz w:val="24"/>
            <w:szCs w:val="24"/>
          </w:rPr>
          <w:t>https://cases.justia.com/missouri/court-of-appeals/2025-wd87298.pdf?ts=1750174248</w:t>
        </w:r>
      </w:hyperlink>
    </w:p>
    <w:p w14:paraId="39BA91AC" w14:textId="77777777" w:rsidR="0091209E" w:rsidRPr="0091209E" w:rsidRDefault="0091209E" w:rsidP="0091209E">
      <w:pPr>
        <w:pStyle w:val="NoSpacing"/>
        <w:rPr>
          <w:rFonts w:ascii="Times New Roman" w:hAnsi="Times New Roman"/>
          <w:b/>
          <w:bCs/>
          <w:sz w:val="24"/>
          <w:szCs w:val="24"/>
        </w:rPr>
      </w:pPr>
      <w:r w:rsidRPr="0091209E">
        <w:rPr>
          <w:rFonts w:ascii="Times New Roman" w:hAnsi="Times New Roman"/>
          <w:b/>
          <w:sz w:val="24"/>
          <w:szCs w:val="24"/>
        </w:rPr>
        <w:t>Legal lesson learned. When transporting a patient who is also a member of the Fire Department special care must be exercised to not discuss the run with those who do not have an official need to know - particularly involving mental health.</w:t>
      </w:r>
    </w:p>
    <w:p w14:paraId="3F76557E" w14:textId="77777777" w:rsidR="0091209E" w:rsidRDefault="0091209E" w:rsidP="003F325A">
      <w:pPr>
        <w:rPr>
          <w:rFonts w:ascii="Arial Black" w:hAnsi="Arial Black"/>
          <w:b/>
          <w:bCs/>
          <w:sz w:val="28"/>
          <w:szCs w:val="28"/>
        </w:rPr>
      </w:pPr>
    </w:p>
    <w:p w14:paraId="241AF9C9" w14:textId="4552A2E7" w:rsidR="00705D47" w:rsidRDefault="00705D47" w:rsidP="00705D47">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7</w:t>
      </w:r>
    </w:p>
    <w:p w14:paraId="42EAE140" w14:textId="73E8E2A5" w:rsidR="00815DD8" w:rsidRPr="00A11F37" w:rsidRDefault="00815DD8" w:rsidP="00815DD8">
      <w:pPr>
        <w:rPr>
          <w:rFonts w:ascii="Arial Black" w:hAnsi="Arial Black"/>
          <w:b/>
          <w:sz w:val="28"/>
          <w:szCs w:val="28"/>
        </w:rPr>
      </w:pPr>
      <w:r>
        <w:rPr>
          <w:rFonts w:ascii="Arial Black" w:hAnsi="Arial Black"/>
          <w:b/>
          <w:sz w:val="28"/>
          <w:szCs w:val="28"/>
        </w:rPr>
        <w:t>WV: CO EXPOSURE –</w:t>
      </w:r>
      <w:r w:rsidR="00B242F8">
        <w:rPr>
          <w:rFonts w:ascii="Arial Black" w:hAnsi="Arial Black"/>
          <w:b/>
          <w:sz w:val="28"/>
          <w:szCs w:val="28"/>
        </w:rPr>
        <w:t xml:space="preserve"> DISPATCH SENT FF / NOT EMS – IMMUNITY </w:t>
      </w:r>
    </w:p>
    <w:p w14:paraId="47D022A0" w14:textId="77777777" w:rsidR="00815DD8" w:rsidRPr="00420162" w:rsidRDefault="00815DD8" w:rsidP="00815DD8">
      <w:pPr>
        <w:pStyle w:val="NoSpacing"/>
        <w:rPr>
          <w:rFonts w:ascii="Times New Roman" w:hAnsi="Times New Roman"/>
          <w:bCs/>
          <w:sz w:val="24"/>
          <w:szCs w:val="24"/>
        </w:rPr>
      </w:pPr>
      <w:r w:rsidRPr="00420162">
        <w:rPr>
          <w:rFonts w:ascii="Times New Roman" w:hAnsi="Times New Roman"/>
          <w:sz w:val="24"/>
          <w:szCs w:val="24"/>
        </w:rPr>
        <w:t xml:space="preserve">On June 6, 2015 in </w:t>
      </w:r>
      <w:r w:rsidRPr="00420162">
        <w:rPr>
          <w:rFonts w:ascii="Times New Roman" w:hAnsi="Times New Roman"/>
          <w:sz w:val="24"/>
          <w:szCs w:val="24"/>
          <w:u w:val="single"/>
        </w:rPr>
        <w:t xml:space="preserve">Rhoda M. Marchant, Timothy E. </w:t>
      </w:r>
      <w:proofErr w:type="spellStart"/>
      <w:r w:rsidRPr="00420162">
        <w:rPr>
          <w:rFonts w:ascii="Times New Roman" w:hAnsi="Times New Roman"/>
          <w:sz w:val="24"/>
          <w:szCs w:val="24"/>
          <w:u w:val="single"/>
        </w:rPr>
        <w:t>Marchart</w:t>
      </w:r>
      <w:proofErr w:type="spellEnd"/>
      <w:r w:rsidRPr="00420162">
        <w:rPr>
          <w:rFonts w:ascii="Times New Roman" w:hAnsi="Times New Roman"/>
          <w:sz w:val="24"/>
          <w:szCs w:val="24"/>
          <w:u w:val="single"/>
        </w:rPr>
        <w:t xml:space="preserve"> and Timothy S. </w:t>
      </w:r>
      <w:proofErr w:type="spellStart"/>
      <w:r w:rsidRPr="00420162">
        <w:rPr>
          <w:rFonts w:ascii="Times New Roman" w:hAnsi="Times New Roman"/>
          <w:sz w:val="24"/>
          <w:szCs w:val="24"/>
          <w:u w:val="single"/>
        </w:rPr>
        <w:t>Marchart</w:t>
      </w:r>
      <w:proofErr w:type="spellEnd"/>
      <w:r w:rsidRPr="00420162">
        <w:rPr>
          <w:rFonts w:ascii="Times New Roman" w:hAnsi="Times New Roman"/>
          <w:sz w:val="24"/>
          <w:szCs w:val="24"/>
          <w:u w:val="single"/>
        </w:rPr>
        <w:t xml:space="preserve"> v. Preston County Office of Emergency Management / E911 and Preston County Commission</w:t>
      </w:r>
      <w:r w:rsidRPr="00420162">
        <w:rPr>
          <w:rFonts w:ascii="Times New Roman" w:hAnsi="Times New Roman"/>
          <w:sz w:val="24"/>
          <w:szCs w:val="24"/>
        </w:rPr>
        <w:t xml:space="preserve">, the West Virginia Intermediate Court of Appeals held (3 to 0) that the trial court properly granted the County’s motion to dismiss; there was no proof of willful or wanton misconduct by the dispatchers who sent a fire department on Feb. 7, 2018 to their home in response to their 911 call about carbon monoxide from an electrical generator.  After the Fire Department arrived, Timothy E. Marchant drove himself and his family from Independence to Morgantown’s Ruby Memorial Hospital; they allege that all members of the family suffered physical and mental injuries as a result of the delay in treatment, but that Rhoda suffered most severely, as she was rendered permanently legally blind and disabled and is unable to work. THE COURT HELD:  “The Marchants requested a status conference, which was held on July 29, 2024. Thereafter, by order entered on August 14, 2024, the circuit court granted the motion to dismiss, asserting that respondents were entitled to immunity under West Virginia Code § 24-6-8.... Notably, the Marchants have not expressed what amendments [to their complaint] could be made or facts could be alleged to demonstrate a valid claim for willful or wanton  misconduct </w:t>
      </w:r>
      <w:proofErr w:type="gramStart"/>
      <w:r w:rsidRPr="00420162">
        <w:rPr>
          <w:rFonts w:ascii="Times New Roman" w:hAnsi="Times New Roman"/>
          <w:sz w:val="24"/>
          <w:szCs w:val="24"/>
        </w:rPr>
        <w:t>in light of</w:t>
      </w:r>
      <w:proofErr w:type="gramEnd"/>
      <w:r w:rsidRPr="00420162">
        <w:rPr>
          <w:rFonts w:ascii="Times New Roman" w:hAnsi="Times New Roman"/>
          <w:sz w:val="24"/>
          <w:szCs w:val="24"/>
        </w:rPr>
        <w:t xml:space="preserve"> the facts asserted in the operative </w:t>
      </w:r>
      <w:proofErr w:type="gramStart"/>
      <w:r w:rsidRPr="00420162">
        <w:rPr>
          <w:rFonts w:ascii="Times New Roman" w:hAnsi="Times New Roman"/>
          <w:sz w:val="24"/>
          <w:szCs w:val="24"/>
        </w:rPr>
        <w:t>complaint.”</w:t>
      </w:r>
      <w:proofErr w:type="gramEnd"/>
    </w:p>
    <w:p w14:paraId="16CD2DD1" w14:textId="77777777" w:rsidR="00815DD8" w:rsidRPr="00420162" w:rsidRDefault="00815DD8" w:rsidP="00815DD8">
      <w:pPr>
        <w:pStyle w:val="NoSpacing"/>
        <w:rPr>
          <w:rFonts w:ascii="Times New Roman" w:hAnsi="Times New Roman"/>
          <w:b/>
          <w:sz w:val="24"/>
          <w:szCs w:val="24"/>
        </w:rPr>
      </w:pPr>
      <w:hyperlink r:id="rId1966" w:history="1">
        <w:r w:rsidRPr="00420162">
          <w:rPr>
            <w:rStyle w:val="Hyperlink"/>
            <w:rFonts w:ascii="Times New Roman" w:hAnsi="Times New Roman"/>
            <w:sz w:val="24"/>
            <w:szCs w:val="24"/>
          </w:rPr>
          <w:t>https://cases.justia.com/west-virginia/intermediate-court-of-appeals/2025-24-ica-364.pdf?ts=1749239242</w:t>
        </w:r>
      </w:hyperlink>
      <w:r w:rsidRPr="00420162">
        <w:rPr>
          <w:rFonts w:ascii="Times New Roman" w:hAnsi="Times New Roman"/>
          <w:b/>
          <w:sz w:val="24"/>
          <w:szCs w:val="24"/>
        </w:rPr>
        <w:t xml:space="preserve"> </w:t>
      </w:r>
    </w:p>
    <w:p w14:paraId="58636EA9" w14:textId="77777777" w:rsidR="00815DD8" w:rsidRPr="00420162" w:rsidRDefault="00815DD8" w:rsidP="00815DD8">
      <w:pPr>
        <w:pStyle w:val="NoSpacing"/>
        <w:rPr>
          <w:rFonts w:ascii="Times New Roman" w:hAnsi="Times New Roman"/>
          <w:bCs/>
          <w:sz w:val="24"/>
          <w:szCs w:val="24"/>
        </w:rPr>
      </w:pPr>
    </w:p>
    <w:p w14:paraId="4336281B" w14:textId="77777777" w:rsidR="00420162" w:rsidRPr="00420162" w:rsidRDefault="00420162" w:rsidP="00420162">
      <w:pPr>
        <w:pStyle w:val="NoSpacing"/>
        <w:rPr>
          <w:rFonts w:ascii="Times New Roman" w:hAnsi="Times New Roman"/>
          <w:b/>
          <w:bCs/>
          <w:sz w:val="24"/>
          <w:szCs w:val="24"/>
        </w:rPr>
      </w:pPr>
      <w:r w:rsidRPr="00420162">
        <w:rPr>
          <w:rFonts w:ascii="Times New Roman" w:hAnsi="Times New Roman"/>
          <w:b/>
          <w:sz w:val="24"/>
          <w:szCs w:val="24"/>
        </w:rPr>
        <w:t xml:space="preserve">Legal lesson learned: Dispatchers and their employer are not liable in West Virginia unless there is proof of “willful or wanton misconduct.”  It is </w:t>
      </w:r>
      <w:proofErr w:type="gramStart"/>
      <w:r w:rsidRPr="00420162">
        <w:rPr>
          <w:rFonts w:ascii="Times New Roman" w:hAnsi="Times New Roman"/>
          <w:b/>
          <w:sz w:val="24"/>
          <w:szCs w:val="24"/>
        </w:rPr>
        <w:t>a best</w:t>
      </w:r>
      <w:proofErr w:type="gramEnd"/>
      <w:r w:rsidRPr="00420162">
        <w:rPr>
          <w:rFonts w:ascii="Times New Roman" w:hAnsi="Times New Roman"/>
          <w:b/>
          <w:sz w:val="24"/>
          <w:szCs w:val="24"/>
        </w:rPr>
        <w:t xml:space="preserve"> practice that dispatchers have a protocol on carbon monoxide calls, including when to dispatch an ambulance. </w:t>
      </w:r>
    </w:p>
    <w:p w14:paraId="0FAD7F2F" w14:textId="77777777" w:rsidR="00420162" w:rsidRPr="00420162" w:rsidRDefault="00420162" w:rsidP="00420162">
      <w:pPr>
        <w:pStyle w:val="NoSpacing"/>
        <w:rPr>
          <w:rFonts w:ascii="Times New Roman" w:hAnsi="Times New Roman"/>
          <w:b/>
          <w:bCs/>
          <w:sz w:val="24"/>
          <w:szCs w:val="24"/>
        </w:rPr>
      </w:pPr>
    </w:p>
    <w:p w14:paraId="0DF4ECB8" w14:textId="77777777" w:rsidR="00420162" w:rsidRPr="00420162" w:rsidRDefault="00420162" w:rsidP="00420162">
      <w:pPr>
        <w:pStyle w:val="NoSpacing"/>
        <w:ind w:firstLine="720"/>
        <w:rPr>
          <w:rFonts w:ascii="Times New Roman" w:hAnsi="Times New Roman"/>
          <w:bCs/>
          <w:sz w:val="24"/>
          <w:szCs w:val="24"/>
        </w:rPr>
      </w:pPr>
      <w:r w:rsidRPr="00420162">
        <w:rPr>
          <w:rFonts w:ascii="Times New Roman" w:hAnsi="Times New Roman"/>
          <w:sz w:val="24"/>
          <w:szCs w:val="24"/>
        </w:rPr>
        <w:t xml:space="preserve">Note: See West Virginia Code §24-6-8. </w:t>
      </w:r>
      <w:hyperlink r:id="rId1967" w:history="1">
        <w:r w:rsidRPr="00420162">
          <w:rPr>
            <w:rStyle w:val="Hyperlink"/>
            <w:rFonts w:ascii="Times New Roman" w:hAnsi="Times New Roman"/>
            <w:sz w:val="24"/>
            <w:szCs w:val="24"/>
          </w:rPr>
          <w:t>https://code.wvlegislature.gov/email/24-6/</w:t>
        </w:r>
      </w:hyperlink>
      <w:r w:rsidRPr="00420162">
        <w:rPr>
          <w:rFonts w:ascii="Times New Roman" w:hAnsi="Times New Roman"/>
          <w:sz w:val="24"/>
          <w:szCs w:val="24"/>
        </w:rPr>
        <w:t xml:space="preserve"> </w:t>
      </w:r>
    </w:p>
    <w:p w14:paraId="0829FCA1" w14:textId="77777777" w:rsidR="00420162" w:rsidRPr="00420162" w:rsidRDefault="00420162" w:rsidP="00420162">
      <w:pPr>
        <w:pStyle w:val="NoSpacing"/>
        <w:ind w:firstLine="720"/>
        <w:rPr>
          <w:rFonts w:ascii="Times New Roman" w:hAnsi="Times New Roman"/>
          <w:bCs/>
          <w:sz w:val="24"/>
          <w:szCs w:val="24"/>
        </w:rPr>
      </w:pPr>
    </w:p>
    <w:p w14:paraId="4DCD5F4A" w14:textId="77777777" w:rsidR="00420162" w:rsidRPr="00420162" w:rsidRDefault="00420162" w:rsidP="00420162">
      <w:pPr>
        <w:pStyle w:val="NoSpacing"/>
        <w:ind w:left="720"/>
        <w:rPr>
          <w:rFonts w:ascii="Times New Roman" w:hAnsi="Times New Roman"/>
          <w:bCs/>
          <w:sz w:val="24"/>
          <w:szCs w:val="24"/>
        </w:rPr>
      </w:pPr>
      <w:r w:rsidRPr="00420162">
        <w:rPr>
          <w:rFonts w:ascii="Times New Roman" w:hAnsi="Times New Roman"/>
          <w:sz w:val="24"/>
          <w:szCs w:val="24"/>
        </w:rPr>
        <w:t>“Limitation of liability. A public agency or a telephone company participating in an emergency telephone system or a county which has established an enhanced emergency telephone system, and any officer, agent or employee of the public agency, telephone company or county is not liable for damages in a civil action for injuries, death or loss to persons or property arising from any act or omission, except willful or wanton misconduct, in connection with developing, adopting or approving any final plan or any agreement made pursuant to this article, or otherwise bringing into operation or participating in the operation of an emergency telephone system or an enhanced emergency telephone system pursuant to this article.”</w:t>
      </w:r>
    </w:p>
    <w:p w14:paraId="5ACD7991" w14:textId="77777777" w:rsidR="00420162" w:rsidRPr="00420162" w:rsidRDefault="00420162" w:rsidP="00420162">
      <w:pPr>
        <w:pStyle w:val="NoSpacing"/>
        <w:rPr>
          <w:rFonts w:ascii="Times New Roman" w:hAnsi="Times New Roman"/>
          <w:b/>
          <w:bCs/>
          <w:sz w:val="24"/>
          <w:szCs w:val="24"/>
        </w:rPr>
      </w:pPr>
    </w:p>
    <w:p w14:paraId="2528AA53" w14:textId="77777777" w:rsidR="00705D47" w:rsidRDefault="00705D47" w:rsidP="00705D47">
      <w:pPr>
        <w:rPr>
          <w:rFonts w:ascii="Arial Black" w:hAnsi="Arial Black"/>
          <w:b/>
          <w:bCs/>
          <w:sz w:val="28"/>
          <w:szCs w:val="28"/>
        </w:rPr>
      </w:pPr>
    </w:p>
    <w:p w14:paraId="58DECBEB" w14:textId="03B97FC1" w:rsidR="00705D47" w:rsidRDefault="00705D47" w:rsidP="00705D47">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6</w:t>
      </w:r>
    </w:p>
    <w:p w14:paraId="322F1E3F" w14:textId="23ED63C5" w:rsidR="00DC020F" w:rsidRPr="00FD26B7" w:rsidRDefault="00DC020F" w:rsidP="00DC020F">
      <w:pPr>
        <w:rPr>
          <w:rFonts w:ascii="Arial Black" w:hAnsi="Arial Black"/>
          <w:b/>
          <w:sz w:val="28"/>
          <w:szCs w:val="28"/>
        </w:rPr>
      </w:pPr>
      <w:r>
        <w:rPr>
          <w:rFonts w:ascii="Arial Black" w:hAnsi="Arial Black"/>
          <w:b/>
          <w:sz w:val="28"/>
          <w:szCs w:val="28"/>
        </w:rPr>
        <w:t>OH: COMBATIVE P</w:t>
      </w:r>
      <w:r w:rsidR="006672D1">
        <w:rPr>
          <w:rFonts w:ascii="Arial Black" w:hAnsi="Arial Black"/>
          <w:b/>
          <w:sz w:val="28"/>
          <w:szCs w:val="28"/>
        </w:rPr>
        <w:t>T – HANDCUFFED TRANS</w:t>
      </w:r>
      <w:r w:rsidR="00F73364">
        <w:rPr>
          <w:rFonts w:ascii="Arial Black" w:hAnsi="Arial Black"/>
          <w:b/>
          <w:sz w:val="28"/>
          <w:szCs w:val="28"/>
        </w:rPr>
        <w:t xml:space="preserve"> - EMS / PD IMMUNITY </w:t>
      </w:r>
    </w:p>
    <w:p w14:paraId="54A8141A" w14:textId="628824E0" w:rsidR="00DC020F" w:rsidRPr="00705D47" w:rsidRDefault="00DC020F" w:rsidP="00DC020F">
      <w:pPr>
        <w:pStyle w:val="NoSpacing"/>
        <w:rPr>
          <w:rFonts w:ascii="Times New Roman" w:hAnsi="Times New Roman"/>
          <w:bCs/>
          <w:sz w:val="24"/>
          <w:szCs w:val="24"/>
        </w:rPr>
      </w:pPr>
      <w:r w:rsidRPr="00705D47">
        <w:rPr>
          <w:rFonts w:ascii="Times New Roman" w:hAnsi="Times New Roman"/>
          <w:sz w:val="24"/>
          <w:szCs w:val="24"/>
        </w:rPr>
        <w:t>On May 30, 2</w:t>
      </w:r>
      <w:r w:rsidR="003F4271">
        <w:rPr>
          <w:rFonts w:ascii="Times New Roman" w:hAnsi="Times New Roman"/>
          <w:sz w:val="24"/>
          <w:szCs w:val="24"/>
        </w:rPr>
        <w:t>0</w:t>
      </w:r>
      <w:r w:rsidRPr="00705D47">
        <w:rPr>
          <w:rFonts w:ascii="Times New Roman" w:hAnsi="Times New Roman"/>
          <w:sz w:val="24"/>
          <w:szCs w:val="24"/>
        </w:rPr>
        <w:t xml:space="preserve">25, in </w:t>
      </w:r>
      <w:r w:rsidRPr="00705D47">
        <w:rPr>
          <w:rFonts w:ascii="Times New Roman" w:hAnsi="Times New Roman"/>
          <w:sz w:val="24"/>
          <w:szCs w:val="24"/>
          <w:u w:val="single"/>
        </w:rPr>
        <w:t>Robert McGuire, et al. v. City of Mansfield, et al</w:t>
      </w:r>
      <w:r w:rsidRPr="00705D47">
        <w:rPr>
          <w:rFonts w:ascii="Times New Roman" w:hAnsi="Times New Roman"/>
          <w:sz w:val="24"/>
          <w:szCs w:val="24"/>
        </w:rPr>
        <w:t xml:space="preserve">., the Court of Appeals of Ohio, Fifth District, Richland held (3 to 0) that trial court erred in not dismissing the lawsuit; there was no evidence of willful or wanton misconduct by the EMS during transport on March 21, 2022, or of the Mansfield police officer at the hospital who handcuffed the combative patient as he was taken into the hospital. The entire encounter from arrival </w:t>
      </w:r>
      <w:proofErr w:type="gramStart"/>
      <w:r w:rsidRPr="00705D47">
        <w:rPr>
          <w:rFonts w:ascii="Times New Roman" w:hAnsi="Times New Roman"/>
          <w:sz w:val="24"/>
          <w:szCs w:val="24"/>
        </w:rPr>
        <w:t>to</w:t>
      </w:r>
      <w:proofErr w:type="gramEnd"/>
      <w:r w:rsidRPr="00705D47">
        <w:rPr>
          <w:rFonts w:ascii="Times New Roman" w:hAnsi="Times New Roman"/>
          <w:sz w:val="24"/>
          <w:szCs w:val="24"/>
        </w:rPr>
        <w:t xml:space="preserve"> McGuire's residence to taking McGuire into the emergency room was less than ten minutes. McGuire suffered injuries including cardiopulmonary arrest with consistent brain injury due to </w:t>
      </w:r>
      <w:r w:rsidRPr="00705D47">
        <w:rPr>
          <w:rFonts w:ascii="Times New Roman" w:hAnsi="Times New Roman"/>
          <w:sz w:val="24"/>
          <w:szCs w:val="24"/>
        </w:rPr>
        <w:lastRenderedPageBreak/>
        <w:t>hypoxia and hypotension.  To use a medical malpractice standard for a first responder would basically eviscerate the immunity statutes; that is why the wanton standard is the “failure to exercise any care.” THE COURT HELD: “The evidence presented also does not show the firefighters' conduct was wanton. They did not fail ‘to exercise any care toward’ McGuire ‘whom a duty of care is owed in circumstances in which there is great probability that harm will result.’ … While experts can argue over the more correct care, that is a negligence issue that does not rise to the standard of wanton care… To use a medical malpractice standard for a first responder would basically eviscerate the immunity statutes; that is why the wanton standard is the ‘failure to exercise any care.’”</w:t>
      </w:r>
      <w:hyperlink r:id="rId1968" w:history="1">
        <w:r w:rsidRPr="00705D47">
          <w:rPr>
            <w:rStyle w:val="Hyperlink"/>
            <w:rFonts w:ascii="Times New Roman" w:hAnsi="Times New Roman"/>
            <w:sz w:val="24"/>
            <w:szCs w:val="24"/>
          </w:rPr>
          <w:t>https://www.supremecourt.ohio.gov/rod/docs/pdf/5/2025/2025-Ohio-1961.pdf</w:t>
        </w:r>
      </w:hyperlink>
      <w:r w:rsidRPr="00705D47">
        <w:rPr>
          <w:rFonts w:ascii="Times New Roman" w:hAnsi="Times New Roman"/>
          <w:sz w:val="24"/>
          <w:szCs w:val="24"/>
        </w:rPr>
        <w:t xml:space="preserve"> </w:t>
      </w:r>
    </w:p>
    <w:p w14:paraId="4F1812A5" w14:textId="77777777" w:rsidR="00DC020F" w:rsidRPr="00705D47" w:rsidRDefault="00DC020F" w:rsidP="00DC020F">
      <w:pPr>
        <w:pStyle w:val="NoSpacing"/>
        <w:rPr>
          <w:rFonts w:ascii="Times New Roman" w:hAnsi="Times New Roman"/>
          <w:sz w:val="24"/>
          <w:szCs w:val="24"/>
        </w:rPr>
      </w:pPr>
    </w:p>
    <w:p w14:paraId="29FBE521" w14:textId="77777777" w:rsidR="00705D47" w:rsidRPr="00705D47" w:rsidRDefault="00705D47" w:rsidP="00705D47">
      <w:pPr>
        <w:pStyle w:val="NoSpacing"/>
        <w:rPr>
          <w:rFonts w:ascii="Times New Roman" w:hAnsi="Times New Roman"/>
          <w:sz w:val="24"/>
          <w:szCs w:val="24"/>
        </w:rPr>
      </w:pPr>
      <w:r w:rsidRPr="00705D47">
        <w:rPr>
          <w:rFonts w:ascii="Times New Roman" w:hAnsi="Times New Roman"/>
          <w:b/>
          <w:sz w:val="24"/>
          <w:szCs w:val="24"/>
        </w:rPr>
        <w:t>Legal lesson learned: Excellent decision; no evidence of EMS or PD “failure to exercise any care.”</w:t>
      </w:r>
    </w:p>
    <w:p w14:paraId="108750B0" w14:textId="77777777" w:rsidR="00DC020F" w:rsidRPr="00705D47" w:rsidRDefault="00DC020F" w:rsidP="003F325A">
      <w:pPr>
        <w:rPr>
          <w:rFonts w:ascii="Times New Roman" w:hAnsi="Times New Roman"/>
          <w:b/>
          <w:bCs/>
          <w:sz w:val="24"/>
          <w:szCs w:val="24"/>
        </w:rPr>
      </w:pPr>
    </w:p>
    <w:p w14:paraId="095A1B9D" w14:textId="77777777" w:rsidR="00705D47" w:rsidRDefault="00705D47" w:rsidP="002B1283">
      <w:pPr>
        <w:rPr>
          <w:rFonts w:ascii="Arial Black" w:hAnsi="Arial Black"/>
          <w:b/>
          <w:bCs/>
          <w:sz w:val="28"/>
          <w:szCs w:val="28"/>
        </w:rPr>
      </w:pPr>
    </w:p>
    <w:p w14:paraId="1B9C17EA" w14:textId="54DD598F" w:rsidR="00254EDF" w:rsidRDefault="00254EDF" w:rsidP="002B1283">
      <w:pPr>
        <w:rPr>
          <w:rFonts w:ascii="Arial Black" w:hAnsi="Arial Black"/>
          <w:b/>
          <w:bCs/>
          <w:sz w:val="28"/>
          <w:szCs w:val="28"/>
        </w:rPr>
      </w:pPr>
      <w:r>
        <w:rPr>
          <w:rFonts w:ascii="Arial Black" w:hAnsi="Arial Black"/>
          <w:b/>
          <w:bCs/>
          <w:sz w:val="28"/>
          <w:szCs w:val="28"/>
        </w:rPr>
        <w:t>13-</w:t>
      </w:r>
      <w:r w:rsidR="00816988">
        <w:rPr>
          <w:rFonts w:ascii="Arial Black" w:hAnsi="Arial Black"/>
          <w:b/>
          <w:bCs/>
          <w:sz w:val="28"/>
          <w:szCs w:val="28"/>
        </w:rPr>
        <w:t>21</w:t>
      </w:r>
      <w:r w:rsidR="00524647">
        <w:rPr>
          <w:rFonts w:ascii="Arial Black" w:hAnsi="Arial Black"/>
          <w:b/>
          <w:bCs/>
          <w:sz w:val="28"/>
          <w:szCs w:val="28"/>
        </w:rPr>
        <w:t>5</w:t>
      </w:r>
    </w:p>
    <w:p w14:paraId="6B30168E" w14:textId="12DD2810" w:rsidR="007B7FD8" w:rsidRPr="000A6F07" w:rsidRDefault="007B7FD8" w:rsidP="007B7FD8">
      <w:pPr>
        <w:pStyle w:val="NoSpacing"/>
        <w:rPr>
          <w:rFonts w:ascii="Arial Black" w:hAnsi="Arial Black"/>
          <w:b/>
          <w:bCs/>
          <w:sz w:val="28"/>
          <w:szCs w:val="28"/>
        </w:rPr>
      </w:pPr>
      <w:r w:rsidRPr="000A6F07">
        <w:rPr>
          <w:rFonts w:ascii="Arial Black" w:hAnsi="Arial Black"/>
          <w:b/>
          <w:sz w:val="28"/>
          <w:szCs w:val="28"/>
        </w:rPr>
        <w:t>WA:</w:t>
      </w:r>
      <w:r>
        <w:rPr>
          <w:rFonts w:ascii="Arial Black" w:hAnsi="Arial Black"/>
          <w:b/>
          <w:sz w:val="28"/>
          <w:szCs w:val="28"/>
        </w:rPr>
        <w:t xml:space="preserve"> 15 MO. </w:t>
      </w:r>
      <w:r w:rsidR="00E844E5">
        <w:rPr>
          <w:rFonts w:ascii="Arial Black" w:hAnsi="Arial Black"/>
          <w:b/>
          <w:sz w:val="28"/>
          <w:szCs w:val="28"/>
        </w:rPr>
        <w:t xml:space="preserve">TO </w:t>
      </w:r>
      <w:r>
        <w:rPr>
          <w:rFonts w:ascii="Arial Black" w:hAnsi="Arial Black"/>
          <w:b/>
          <w:sz w:val="28"/>
          <w:szCs w:val="28"/>
        </w:rPr>
        <w:t xml:space="preserve">GET </w:t>
      </w:r>
      <w:r w:rsidR="004E5E7F">
        <w:rPr>
          <w:rFonts w:ascii="Arial Black" w:hAnsi="Arial Black"/>
          <w:b/>
          <w:sz w:val="28"/>
          <w:szCs w:val="28"/>
        </w:rPr>
        <w:t xml:space="preserve">EMT </w:t>
      </w:r>
      <w:r>
        <w:rPr>
          <w:rFonts w:ascii="Arial Black" w:hAnsi="Arial Black"/>
          <w:b/>
          <w:sz w:val="28"/>
          <w:szCs w:val="28"/>
        </w:rPr>
        <w:t>LICENSE – CRIM RECORD</w:t>
      </w:r>
      <w:r w:rsidR="005745F5">
        <w:rPr>
          <w:rFonts w:ascii="Arial Black" w:hAnsi="Arial Black"/>
          <w:b/>
          <w:sz w:val="28"/>
          <w:szCs w:val="28"/>
        </w:rPr>
        <w:t xml:space="preserve"> CHECK</w:t>
      </w:r>
    </w:p>
    <w:p w14:paraId="2EDE25DF" w14:textId="77777777" w:rsidR="007B7FD8" w:rsidRPr="006F2B87" w:rsidRDefault="007B7FD8" w:rsidP="007B7FD8">
      <w:pPr>
        <w:pStyle w:val="NoSpacing"/>
        <w:rPr>
          <w:b/>
          <w:bCs/>
        </w:rPr>
      </w:pPr>
    </w:p>
    <w:p w14:paraId="1B5F9F3A" w14:textId="11BECB4D" w:rsidR="007B7FD8" w:rsidRPr="00AA6324" w:rsidRDefault="007B7FD8" w:rsidP="007B7FD8">
      <w:pPr>
        <w:pStyle w:val="NoSpacing"/>
        <w:rPr>
          <w:rFonts w:ascii="Times New Roman" w:hAnsi="Times New Roman"/>
          <w:bCs/>
          <w:sz w:val="24"/>
          <w:szCs w:val="24"/>
        </w:rPr>
      </w:pPr>
      <w:r w:rsidRPr="00AA6324">
        <w:rPr>
          <w:rFonts w:ascii="Times New Roman" w:hAnsi="Times New Roman"/>
          <w:sz w:val="24"/>
          <w:szCs w:val="24"/>
        </w:rPr>
        <w:t xml:space="preserve">On May 21, 2025, in </w:t>
      </w:r>
      <w:r w:rsidRPr="00AA6324">
        <w:rPr>
          <w:rFonts w:ascii="Times New Roman" w:hAnsi="Times New Roman"/>
          <w:sz w:val="24"/>
          <w:szCs w:val="24"/>
          <w:u w:val="single"/>
        </w:rPr>
        <w:t>Brooklyn C. Clark v. Washington State Department of Health, et al.</w:t>
      </w:r>
      <w:r w:rsidRPr="00AA6324">
        <w:rPr>
          <w:rFonts w:ascii="Times New Roman" w:hAnsi="Times New Roman"/>
          <w:sz w:val="24"/>
          <w:szCs w:val="24"/>
        </w:rPr>
        <w:t xml:space="preserve">, U.S. District Court Judge Tiffany M. Cartwright, United States District Court for Western District of Washington (Tacoma) granted the State’s motion for summary judgment since the EMT license was granted; 15 months delay caused by applicant not getting </w:t>
      </w:r>
      <w:r w:rsidR="005745F5">
        <w:rPr>
          <w:rFonts w:ascii="Times New Roman" w:hAnsi="Times New Roman"/>
          <w:sz w:val="24"/>
          <w:szCs w:val="24"/>
        </w:rPr>
        <w:t xml:space="preserve">his criminal history </w:t>
      </w:r>
      <w:r w:rsidRPr="00AA6324">
        <w:rPr>
          <w:rFonts w:ascii="Times New Roman" w:hAnsi="Times New Roman"/>
          <w:sz w:val="24"/>
          <w:szCs w:val="24"/>
        </w:rPr>
        <w:t xml:space="preserve">records from Oregon court.  </w:t>
      </w:r>
    </w:p>
    <w:p w14:paraId="3E6C24ED" w14:textId="77777777" w:rsidR="007B7FD8" w:rsidRPr="00AA6324" w:rsidRDefault="007B7FD8" w:rsidP="007B7FD8">
      <w:pPr>
        <w:pStyle w:val="NoSpacing"/>
        <w:rPr>
          <w:rFonts w:ascii="Times New Roman" w:hAnsi="Times New Roman"/>
          <w:bCs/>
          <w:sz w:val="24"/>
          <w:szCs w:val="24"/>
        </w:rPr>
      </w:pPr>
    </w:p>
    <w:p w14:paraId="55D15C0E" w14:textId="77777777" w:rsidR="007B7FD8" w:rsidRPr="00AA6324" w:rsidRDefault="007B7FD8" w:rsidP="007B7FD8">
      <w:pPr>
        <w:pStyle w:val="NoSpacing"/>
        <w:rPr>
          <w:rFonts w:ascii="Times New Roman" w:hAnsi="Times New Roman"/>
          <w:sz w:val="24"/>
          <w:szCs w:val="24"/>
        </w:rPr>
      </w:pPr>
      <w:r w:rsidRPr="00AA6324">
        <w:rPr>
          <w:rFonts w:ascii="Times New Roman" w:hAnsi="Times New Roman"/>
          <w:sz w:val="24"/>
          <w:szCs w:val="24"/>
        </w:rPr>
        <w:t xml:space="preserve">The Court wrote: “On July 3, 2023, Ms. Clark </w:t>
      </w:r>
      <w:proofErr w:type="gramStart"/>
      <w:r w:rsidRPr="00AA6324">
        <w:rPr>
          <w:rFonts w:ascii="Times New Roman" w:hAnsi="Times New Roman"/>
          <w:sz w:val="24"/>
          <w:szCs w:val="24"/>
        </w:rPr>
        <w:t>submitted an application</w:t>
      </w:r>
      <w:proofErr w:type="gramEnd"/>
      <w:r w:rsidRPr="00AA6324">
        <w:rPr>
          <w:rFonts w:ascii="Times New Roman" w:hAnsi="Times New Roman"/>
          <w:sz w:val="24"/>
          <w:szCs w:val="24"/>
        </w:rPr>
        <w:t xml:space="preserve"> to be certified as an Emergency Medical Technician (‘EMT’) in Washington….  Ms. Clark, who is transgender, had ‘disclose[d] her previous name and gender’ to the Department as part of her application.  On her application, Ms. Clark attested that she had never been ‘convicted, entered a plea of guilty, no contest, or a similar plea, or had prosecution or a sentence deferred or [suspended] as an adult or [juvenile] in any state or jurisdiction[.]’ … Because Ms. Clark lived in Oregon … the Department ran an FBI National Fingerprint Database search…. The background check returned an out-of-state criminal history record for Ms. Clark…. Ms. Clark contested the results of the background check…. Defendant Scott Bramhall was the assigned investigator…. Because of Bramhall’s role, he was able to request the necessary information from the Court directly…. Ms. Clark eventually provided the necessary documentation about her criminal history….  On September 20, 2024, the Department issued Ms. Clark her certification to work as an EMT in the state.” </w:t>
      </w:r>
      <w:hyperlink r:id="rId1969" w:history="1">
        <w:r w:rsidRPr="00AA6324">
          <w:rPr>
            <w:rStyle w:val="Hyperlink"/>
            <w:rFonts w:ascii="Times New Roman" w:hAnsi="Times New Roman"/>
            <w:sz w:val="24"/>
            <w:szCs w:val="24"/>
          </w:rPr>
          <w:t>https://cases.justia.com/federal/district-courts/washington/wawdce/2:2023cv01558/327312/54/0.pdf?ts=1747918716</w:t>
        </w:r>
      </w:hyperlink>
      <w:r w:rsidRPr="00AA6324">
        <w:rPr>
          <w:rFonts w:ascii="Times New Roman" w:hAnsi="Times New Roman"/>
          <w:sz w:val="24"/>
          <w:szCs w:val="24"/>
        </w:rPr>
        <w:t xml:space="preserve"> </w:t>
      </w:r>
    </w:p>
    <w:p w14:paraId="5BC57B9F" w14:textId="77777777" w:rsidR="007B7FD8" w:rsidRPr="006F2B87" w:rsidRDefault="007B7FD8" w:rsidP="007B7FD8">
      <w:pPr>
        <w:pStyle w:val="NoSpacing"/>
      </w:pPr>
    </w:p>
    <w:p w14:paraId="637DEB2A" w14:textId="77777777" w:rsidR="001D1462" w:rsidRPr="00DC2632" w:rsidRDefault="001D1462" w:rsidP="001D1462">
      <w:pPr>
        <w:pStyle w:val="NoSpacing"/>
        <w:rPr>
          <w:rFonts w:ascii="Times New Roman" w:hAnsi="Times New Roman"/>
          <w:b/>
          <w:bCs/>
          <w:sz w:val="24"/>
          <w:szCs w:val="24"/>
        </w:rPr>
      </w:pPr>
      <w:r w:rsidRPr="00DC2632">
        <w:rPr>
          <w:rFonts w:ascii="Times New Roman" w:hAnsi="Times New Roman"/>
          <w:b/>
          <w:sz w:val="24"/>
          <w:szCs w:val="24"/>
        </w:rPr>
        <w:t xml:space="preserve">Legal Lesson Learned: EMT applicants must disclose details of prior criminal history. </w:t>
      </w:r>
    </w:p>
    <w:p w14:paraId="70B39853" w14:textId="77777777" w:rsidR="001D1462" w:rsidRPr="00DC2632" w:rsidRDefault="001D1462" w:rsidP="001D1462">
      <w:pPr>
        <w:pStyle w:val="NoSpacing"/>
        <w:rPr>
          <w:rFonts w:ascii="Times New Roman" w:hAnsi="Times New Roman"/>
          <w:b/>
          <w:bCs/>
          <w:sz w:val="24"/>
          <w:szCs w:val="24"/>
        </w:rPr>
      </w:pPr>
    </w:p>
    <w:p w14:paraId="34E7A1D6" w14:textId="77777777" w:rsidR="001D1462" w:rsidRPr="00DC2632" w:rsidRDefault="001D1462" w:rsidP="001D1462">
      <w:pPr>
        <w:pStyle w:val="NoSpacing"/>
        <w:ind w:left="720"/>
        <w:rPr>
          <w:rFonts w:ascii="Times New Roman" w:hAnsi="Times New Roman"/>
          <w:sz w:val="24"/>
          <w:szCs w:val="24"/>
        </w:rPr>
      </w:pPr>
      <w:r w:rsidRPr="00DC2632">
        <w:rPr>
          <w:rFonts w:ascii="Times New Roman" w:hAnsi="Times New Roman"/>
          <w:sz w:val="24"/>
          <w:szCs w:val="24"/>
        </w:rPr>
        <w:t>Note: The Court did not describe the prior criminal history that came up on the FBI record check.</w:t>
      </w:r>
    </w:p>
    <w:p w14:paraId="353867FC" w14:textId="77777777" w:rsidR="001D1462" w:rsidRPr="00DC2632" w:rsidRDefault="001D1462" w:rsidP="001D1462">
      <w:pPr>
        <w:pStyle w:val="NoSpacing"/>
        <w:rPr>
          <w:rFonts w:ascii="Times New Roman" w:hAnsi="Times New Roman"/>
          <w:bCs/>
          <w:sz w:val="24"/>
          <w:szCs w:val="24"/>
        </w:rPr>
      </w:pPr>
    </w:p>
    <w:p w14:paraId="42246A3D" w14:textId="77777777" w:rsidR="007B7FD8" w:rsidRDefault="007B7FD8" w:rsidP="007B7FD8">
      <w:pPr>
        <w:pStyle w:val="NoSpacing"/>
      </w:pPr>
    </w:p>
    <w:p w14:paraId="57BC4E06" w14:textId="41109464" w:rsidR="00DC2632" w:rsidRPr="00254EDF" w:rsidRDefault="00254EDF" w:rsidP="007B7FD8">
      <w:pPr>
        <w:pStyle w:val="NoSpacing"/>
        <w:rPr>
          <w:rFonts w:ascii="Arial Black" w:hAnsi="Arial Black"/>
          <w:sz w:val="24"/>
          <w:szCs w:val="24"/>
        </w:rPr>
      </w:pPr>
      <w:r w:rsidRPr="00254EDF">
        <w:rPr>
          <w:rFonts w:ascii="Arial Black" w:hAnsi="Arial Black"/>
          <w:sz w:val="24"/>
          <w:szCs w:val="24"/>
        </w:rPr>
        <w:t>13-21</w:t>
      </w:r>
      <w:r w:rsidR="00524647">
        <w:rPr>
          <w:rFonts w:ascii="Arial Black" w:hAnsi="Arial Black"/>
          <w:sz w:val="24"/>
          <w:szCs w:val="24"/>
        </w:rPr>
        <w:t>4</w:t>
      </w:r>
    </w:p>
    <w:p w14:paraId="5D26D2B2" w14:textId="77777777" w:rsidR="00254EDF" w:rsidRDefault="00254EDF" w:rsidP="007B7FD8">
      <w:pPr>
        <w:pStyle w:val="NoSpacing"/>
      </w:pPr>
    </w:p>
    <w:p w14:paraId="46EF38A8" w14:textId="77777777" w:rsidR="008F24E3" w:rsidRPr="006F2B87" w:rsidRDefault="008F24E3" w:rsidP="008F24E3">
      <w:pPr>
        <w:pStyle w:val="NoSpacing"/>
        <w:rPr>
          <w:rFonts w:ascii="Arial Black" w:hAnsi="Arial Black"/>
          <w:b/>
          <w:bCs/>
          <w:sz w:val="28"/>
          <w:szCs w:val="28"/>
        </w:rPr>
      </w:pPr>
      <w:r w:rsidRPr="006F2B87">
        <w:rPr>
          <w:rFonts w:ascii="Arial Black" w:hAnsi="Arial Black"/>
          <w:b/>
          <w:sz w:val="28"/>
          <w:szCs w:val="28"/>
        </w:rPr>
        <w:t xml:space="preserve">NY: </w:t>
      </w:r>
      <w:r>
        <w:rPr>
          <w:rFonts w:ascii="Arial Black" w:hAnsi="Arial Black"/>
          <w:b/>
          <w:sz w:val="28"/>
          <w:szCs w:val="28"/>
        </w:rPr>
        <w:t xml:space="preserve">CITY / </w:t>
      </w:r>
      <w:r w:rsidRPr="006F2B87">
        <w:rPr>
          <w:rFonts w:ascii="Arial Black" w:hAnsi="Arial Black"/>
          <w:b/>
          <w:sz w:val="28"/>
          <w:szCs w:val="28"/>
        </w:rPr>
        <w:t xml:space="preserve">EMS </w:t>
      </w:r>
      <w:r>
        <w:rPr>
          <w:rFonts w:ascii="Arial Black" w:hAnsi="Arial Black"/>
          <w:b/>
          <w:sz w:val="28"/>
          <w:szCs w:val="28"/>
        </w:rPr>
        <w:t xml:space="preserve">- </w:t>
      </w:r>
      <w:r w:rsidRPr="006F2B87">
        <w:rPr>
          <w:rFonts w:ascii="Arial Black" w:hAnsi="Arial Black"/>
          <w:b/>
          <w:sz w:val="28"/>
          <w:szCs w:val="28"/>
        </w:rPr>
        <w:t>NO “SPECIAL DUTY” TO PT –</w:t>
      </w:r>
      <w:r>
        <w:rPr>
          <w:rFonts w:ascii="Arial Black" w:hAnsi="Arial Black"/>
          <w:b/>
          <w:sz w:val="28"/>
          <w:szCs w:val="28"/>
        </w:rPr>
        <w:t xml:space="preserve"> </w:t>
      </w:r>
      <w:r w:rsidRPr="006F2B87">
        <w:rPr>
          <w:rFonts w:ascii="Arial Black" w:hAnsi="Arial Black"/>
          <w:b/>
          <w:sz w:val="28"/>
          <w:szCs w:val="28"/>
        </w:rPr>
        <w:t>IMMUNITY</w:t>
      </w:r>
      <w:r>
        <w:rPr>
          <w:rFonts w:ascii="Arial Black" w:hAnsi="Arial Black"/>
          <w:b/>
          <w:sz w:val="28"/>
          <w:szCs w:val="28"/>
        </w:rPr>
        <w:t xml:space="preserve"> </w:t>
      </w:r>
    </w:p>
    <w:p w14:paraId="625D5D4C" w14:textId="77777777" w:rsidR="008F24E3" w:rsidRDefault="008F24E3" w:rsidP="008F24E3">
      <w:pPr>
        <w:pStyle w:val="NoSpacing"/>
        <w:rPr>
          <w:bCs/>
        </w:rPr>
      </w:pPr>
    </w:p>
    <w:p w14:paraId="32D10567" w14:textId="77777777" w:rsidR="008F24E3" w:rsidRPr="008F24E3" w:rsidRDefault="008F24E3" w:rsidP="008F24E3">
      <w:pPr>
        <w:pStyle w:val="NoSpacing"/>
        <w:rPr>
          <w:rFonts w:ascii="Times New Roman" w:hAnsi="Times New Roman"/>
          <w:bCs/>
          <w:sz w:val="24"/>
          <w:szCs w:val="24"/>
        </w:rPr>
      </w:pPr>
      <w:r w:rsidRPr="008F24E3">
        <w:rPr>
          <w:rFonts w:ascii="Times New Roman" w:hAnsi="Times New Roman"/>
          <w:sz w:val="24"/>
          <w:szCs w:val="24"/>
        </w:rPr>
        <w:t xml:space="preserve">On May 5, 2025, in </w:t>
      </w:r>
      <w:proofErr w:type="spellStart"/>
      <w:r w:rsidRPr="008F24E3">
        <w:rPr>
          <w:rFonts w:ascii="Times New Roman" w:hAnsi="Times New Roman"/>
          <w:sz w:val="24"/>
          <w:szCs w:val="24"/>
          <w:u w:val="single"/>
        </w:rPr>
        <w:t>Treverys</w:t>
      </w:r>
      <w:proofErr w:type="spellEnd"/>
      <w:r w:rsidRPr="008F24E3">
        <w:rPr>
          <w:rFonts w:ascii="Times New Roman" w:hAnsi="Times New Roman"/>
          <w:sz w:val="24"/>
          <w:szCs w:val="24"/>
          <w:u w:val="single"/>
        </w:rPr>
        <w:t xml:space="preserve"> Scott, as Administrator of the Estate of Alger Scott, deceased v. City of Schenectady, the Schenectady Fire Department, and Mohawk Ambulance Service</w:t>
      </w:r>
      <w:r w:rsidRPr="008F24E3">
        <w:rPr>
          <w:rFonts w:ascii="Times New Roman" w:hAnsi="Times New Roman"/>
          <w:sz w:val="24"/>
          <w:szCs w:val="24"/>
        </w:rPr>
        <w:t xml:space="preserve">, Supreme Court Justice Thomas D. Buchana dismissed the complaint.  </w:t>
      </w:r>
    </w:p>
    <w:p w14:paraId="17C8FD43" w14:textId="77777777" w:rsidR="008F24E3" w:rsidRPr="008F24E3" w:rsidRDefault="008F24E3" w:rsidP="008F24E3">
      <w:pPr>
        <w:pStyle w:val="NoSpacing"/>
        <w:rPr>
          <w:rFonts w:ascii="Times New Roman" w:hAnsi="Times New Roman"/>
          <w:bCs/>
          <w:sz w:val="24"/>
          <w:szCs w:val="24"/>
        </w:rPr>
      </w:pPr>
    </w:p>
    <w:p w14:paraId="14A8B9B3" w14:textId="77777777" w:rsidR="008F24E3" w:rsidRPr="008F24E3" w:rsidRDefault="008F24E3" w:rsidP="008F24E3">
      <w:pPr>
        <w:pStyle w:val="NoSpacing"/>
        <w:rPr>
          <w:rFonts w:ascii="Times New Roman" w:hAnsi="Times New Roman"/>
          <w:bCs/>
          <w:sz w:val="24"/>
          <w:szCs w:val="24"/>
        </w:rPr>
      </w:pPr>
      <w:r w:rsidRPr="008F24E3">
        <w:rPr>
          <w:rFonts w:ascii="Times New Roman" w:hAnsi="Times New Roman"/>
          <w:sz w:val="24"/>
          <w:szCs w:val="24"/>
        </w:rPr>
        <w:lastRenderedPageBreak/>
        <w:t xml:space="preserve">The Court wrote: “This case arises from the actions of emergency response personnel from defendants Schenectady Fire Department and Mohawk Ambulance Service (‘Mohawk’), who were dispatched to Plaintiff's home in response to a 911 call. Emergency medical treatment was administered at the </w:t>
      </w:r>
      <w:proofErr w:type="gramStart"/>
      <w:r w:rsidRPr="008F24E3">
        <w:rPr>
          <w:rFonts w:ascii="Times New Roman" w:hAnsi="Times New Roman"/>
          <w:sz w:val="24"/>
          <w:szCs w:val="24"/>
        </w:rPr>
        <w:t>residence</w:t>
      </w:r>
      <w:proofErr w:type="gramEnd"/>
      <w:r w:rsidRPr="008F24E3">
        <w:rPr>
          <w:rFonts w:ascii="Times New Roman" w:hAnsi="Times New Roman"/>
          <w:sz w:val="24"/>
          <w:szCs w:val="24"/>
        </w:rPr>
        <w:t xml:space="preserve"> and Mr. Scott was transported to Ellis Hospital, where he passed away. ***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alleges that the Complaint fails to state a cause of action (CPLR 3211[a][7]) because Plaintiff fails to plead the existence of a special duty running from the City to Plaintiff's decedent. *** The starting point for analysis of Plaintiff's claim against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is to determine whether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was involved in a proprietary function or a government function, as the answer to that question determines the standard to be applied. Providing emergency medical services has been established as a governmental function (</w:t>
      </w:r>
      <w:r w:rsidRPr="008F24E3">
        <w:rPr>
          <w:rFonts w:ascii="Times New Roman" w:hAnsi="Times New Roman"/>
          <w:i/>
          <w:iCs/>
          <w:sz w:val="24"/>
          <w:szCs w:val="24"/>
        </w:rPr>
        <w:t xml:space="preserve">Applewhite v. </w:t>
      </w:r>
      <w:proofErr w:type="spellStart"/>
      <w:r w:rsidRPr="008F24E3">
        <w:rPr>
          <w:rFonts w:ascii="Times New Roman" w:hAnsi="Times New Roman"/>
          <w:i/>
          <w:iCs/>
          <w:sz w:val="24"/>
          <w:szCs w:val="24"/>
        </w:rPr>
        <w:t>Accuhealth</w:t>
      </w:r>
      <w:proofErr w:type="spellEnd"/>
      <w:r w:rsidRPr="008F24E3">
        <w:rPr>
          <w:rFonts w:ascii="Times New Roman" w:hAnsi="Times New Roman"/>
          <w:i/>
          <w:iCs/>
          <w:sz w:val="24"/>
          <w:szCs w:val="24"/>
        </w:rPr>
        <w:t>, Inc.</w:t>
      </w:r>
      <w:r w:rsidRPr="008F24E3">
        <w:rPr>
          <w:rFonts w:ascii="Times New Roman" w:hAnsi="Times New Roman"/>
          <w:sz w:val="24"/>
          <w:szCs w:val="24"/>
        </w:rPr>
        <w:t xml:space="preserve">, 21 NY3d 420 [2013]). Therefore, </w:t>
      </w:r>
      <w:proofErr w:type="gramStart"/>
      <w:r w:rsidRPr="008F24E3">
        <w:rPr>
          <w:rFonts w:ascii="Times New Roman" w:hAnsi="Times New Roman"/>
          <w:sz w:val="24"/>
          <w:szCs w:val="24"/>
        </w:rPr>
        <w:t>in order to</w:t>
      </w:r>
      <w:proofErr w:type="gramEnd"/>
      <w:r w:rsidRPr="008F24E3">
        <w:rPr>
          <w:rFonts w:ascii="Times New Roman" w:hAnsi="Times New Roman"/>
          <w:sz w:val="24"/>
          <w:szCs w:val="24"/>
        </w:rPr>
        <w:t xml:space="preserve"> cast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in negligence, Plaintiff must assert that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owed Mr. Scott a ‘special </w:t>
      </w:r>
      <w:proofErr w:type="gramStart"/>
      <w:r w:rsidRPr="008F24E3">
        <w:rPr>
          <w:rFonts w:ascii="Times New Roman" w:hAnsi="Times New Roman"/>
          <w:sz w:val="24"/>
          <w:szCs w:val="24"/>
        </w:rPr>
        <w:t>duty’;</w:t>
      </w:r>
      <w:proofErr w:type="gramEnd"/>
      <w:r w:rsidRPr="008F24E3">
        <w:rPr>
          <w:rFonts w:ascii="Times New Roman" w:hAnsi="Times New Roman"/>
          <w:sz w:val="24"/>
          <w:szCs w:val="24"/>
        </w:rPr>
        <w:t xml:space="preserve"> that is, a duty beyond that owed </w:t>
      </w:r>
      <w:proofErr w:type="gramStart"/>
      <w:r w:rsidRPr="008F24E3">
        <w:rPr>
          <w:rFonts w:ascii="Times New Roman" w:hAnsi="Times New Roman"/>
          <w:sz w:val="24"/>
          <w:szCs w:val="24"/>
        </w:rPr>
        <w:t>to</w:t>
      </w:r>
      <w:proofErr w:type="gramEnd"/>
      <w:r w:rsidRPr="008F24E3">
        <w:rPr>
          <w:rFonts w:ascii="Times New Roman" w:hAnsi="Times New Roman"/>
          <w:sz w:val="24"/>
          <w:szCs w:val="24"/>
        </w:rPr>
        <w:t xml:space="preserve"> the public generally. A special duty can arise in three situations: (1) when the plaintiff belonged to a class for whose benefit a statute was enacted, (2) the government entity voluntarily assumed a duty to the plaintiff beyond what was owed to the public generally, and (3) the municipality took positive control of a known and dangerous safety condition (</w:t>
      </w:r>
      <w:r w:rsidRPr="008F24E3">
        <w:rPr>
          <w:rFonts w:ascii="Times New Roman" w:hAnsi="Times New Roman"/>
          <w:i/>
          <w:iCs/>
          <w:sz w:val="24"/>
          <w:szCs w:val="24"/>
        </w:rPr>
        <w:t>Id</w:t>
      </w:r>
      <w:r w:rsidRPr="008F24E3">
        <w:rPr>
          <w:rFonts w:ascii="Times New Roman" w:hAnsi="Times New Roman"/>
          <w:sz w:val="24"/>
          <w:szCs w:val="24"/>
        </w:rPr>
        <w:t xml:space="preserve">. at 426).  *** In the absence of a special duty, there is no viable claim of negligence (or negligent hiring or negligent retention, or negligent supervision) against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Likewise, Mr. Scott would not have had a viable claim against the City had he survived the events at issue, so that Plaintiff's claim for wrongful death against the City also fails (EPTL §5-4.1).” </w:t>
      </w:r>
      <w:hyperlink r:id="rId1970" w:history="1">
        <w:r w:rsidRPr="008F24E3">
          <w:rPr>
            <w:rStyle w:val="Hyperlink"/>
            <w:rFonts w:ascii="Times New Roman" w:hAnsi="Times New Roman"/>
            <w:sz w:val="24"/>
            <w:szCs w:val="24"/>
          </w:rPr>
          <w:t>https://law.justia.com/cases/new-york/other-courts/2025/2025-ny-slip-op-50759-u.html</w:t>
        </w:r>
      </w:hyperlink>
      <w:r w:rsidRPr="008F24E3">
        <w:rPr>
          <w:rFonts w:ascii="Times New Roman" w:hAnsi="Times New Roman"/>
          <w:sz w:val="24"/>
          <w:szCs w:val="24"/>
        </w:rPr>
        <w:t xml:space="preserve"> </w:t>
      </w:r>
    </w:p>
    <w:p w14:paraId="1640355E" w14:textId="77777777" w:rsidR="00DC2632" w:rsidRPr="006F2B87" w:rsidRDefault="00DC2632" w:rsidP="007B7FD8">
      <w:pPr>
        <w:pStyle w:val="NoSpacing"/>
      </w:pPr>
    </w:p>
    <w:p w14:paraId="294D0B39" w14:textId="77777777" w:rsidR="00B53CC8" w:rsidRPr="00B53CC8" w:rsidRDefault="00B53CC8" w:rsidP="00B53CC8">
      <w:pPr>
        <w:pStyle w:val="NoSpacing"/>
        <w:rPr>
          <w:rFonts w:ascii="Times New Roman" w:hAnsi="Times New Roman"/>
          <w:b/>
          <w:bCs/>
          <w:sz w:val="24"/>
          <w:szCs w:val="24"/>
        </w:rPr>
      </w:pPr>
      <w:r w:rsidRPr="00B53CC8">
        <w:rPr>
          <w:rFonts w:ascii="Times New Roman" w:hAnsi="Times New Roman"/>
          <w:b/>
          <w:sz w:val="24"/>
          <w:szCs w:val="24"/>
        </w:rPr>
        <w:t>Legal Lesson Learned: The “special duty” doctrine protects government agencies when performing a governmental function.</w:t>
      </w:r>
    </w:p>
    <w:p w14:paraId="0BB45131" w14:textId="77777777" w:rsidR="00B53CC8" w:rsidRPr="00B53CC8" w:rsidRDefault="00B53CC8" w:rsidP="00B53CC8">
      <w:pPr>
        <w:pStyle w:val="NoSpacing"/>
        <w:rPr>
          <w:rFonts w:ascii="Times New Roman" w:hAnsi="Times New Roman"/>
          <w:b/>
          <w:bCs/>
          <w:sz w:val="24"/>
          <w:szCs w:val="24"/>
        </w:rPr>
      </w:pPr>
    </w:p>
    <w:p w14:paraId="4D394153" w14:textId="77777777" w:rsidR="007B7FD8" w:rsidRDefault="007B7FD8" w:rsidP="002B1283">
      <w:pPr>
        <w:rPr>
          <w:rFonts w:ascii="Arial Black" w:hAnsi="Arial Black"/>
          <w:b/>
          <w:bCs/>
          <w:sz w:val="28"/>
          <w:szCs w:val="28"/>
        </w:rPr>
      </w:pPr>
    </w:p>
    <w:p w14:paraId="42857FA7" w14:textId="0526A7BE" w:rsidR="00254EDF" w:rsidRDefault="00254EDF" w:rsidP="002B1283">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3</w:t>
      </w:r>
    </w:p>
    <w:p w14:paraId="13A972C3" w14:textId="10988EEF" w:rsidR="001C6208" w:rsidRPr="006F2B87" w:rsidRDefault="001C6208" w:rsidP="001C6208">
      <w:pPr>
        <w:pStyle w:val="NoSpacing"/>
        <w:rPr>
          <w:rFonts w:ascii="Arial Black" w:hAnsi="Arial Black"/>
          <w:sz w:val="28"/>
          <w:szCs w:val="28"/>
        </w:rPr>
      </w:pPr>
      <w:r w:rsidRPr="006F2B87">
        <w:rPr>
          <w:rFonts w:ascii="Arial Black" w:hAnsi="Arial Black"/>
          <w:sz w:val="28"/>
          <w:szCs w:val="28"/>
        </w:rPr>
        <w:t>A</w:t>
      </w:r>
      <w:r>
        <w:rPr>
          <w:rFonts w:ascii="Arial Black" w:hAnsi="Arial Black"/>
          <w:sz w:val="28"/>
          <w:szCs w:val="28"/>
        </w:rPr>
        <w:t>K</w:t>
      </w:r>
      <w:r w:rsidRPr="006F2B87">
        <w:rPr>
          <w:rFonts w:ascii="Arial Black" w:hAnsi="Arial Black"/>
          <w:sz w:val="28"/>
          <w:szCs w:val="28"/>
        </w:rPr>
        <w:t xml:space="preserve">: </w:t>
      </w:r>
      <w:r w:rsidR="003D1F16">
        <w:rPr>
          <w:rFonts w:ascii="Arial Black" w:hAnsi="Arial Black"/>
          <w:sz w:val="28"/>
          <w:szCs w:val="28"/>
        </w:rPr>
        <w:t xml:space="preserve">MUNICIPAL IMMUNITY – INCLUDES </w:t>
      </w:r>
      <w:r>
        <w:rPr>
          <w:rFonts w:ascii="Arial Black" w:hAnsi="Arial Black"/>
          <w:sz w:val="28"/>
          <w:szCs w:val="28"/>
        </w:rPr>
        <w:t>EMS RUN</w:t>
      </w:r>
      <w:r w:rsidR="003D1F16">
        <w:rPr>
          <w:rFonts w:ascii="Arial Black" w:hAnsi="Arial Black"/>
          <w:sz w:val="28"/>
          <w:szCs w:val="28"/>
        </w:rPr>
        <w:t>S</w:t>
      </w:r>
      <w:r>
        <w:rPr>
          <w:rFonts w:ascii="Arial Black" w:hAnsi="Arial Black"/>
          <w:sz w:val="28"/>
          <w:szCs w:val="28"/>
        </w:rPr>
        <w:t xml:space="preserve"> OUTSIDE CITY</w:t>
      </w:r>
    </w:p>
    <w:p w14:paraId="66A4509E" w14:textId="77777777" w:rsidR="001C6208" w:rsidRPr="006F2B87" w:rsidRDefault="001C6208" w:rsidP="001C6208">
      <w:pPr>
        <w:pStyle w:val="NoSpacing"/>
      </w:pPr>
    </w:p>
    <w:p w14:paraId="48B5BCED" w14:textId="77777777" w:rsidR="001C6208" w:rsidRPr="00215578" w:rsidRDefault="001C6208" w:rsidP="001C6208">
      <w:pPr>
        <w:pStyle w:val="NoSpacing"/>
        <w:rPr>
          <w:rFonts w:ascii="Times New Roman" w:hAnsi="Times New Roman"/>
          <w:sz w:val="24"/>
          <w:szCs w:val="24"/>
        </w:rPr>
      </w:pPr>
      <w:r w:rsidRPr="00215578">
        <w:rPr>
          <w:rFonts w:ascii="Times New Roman" w:hAnsi="Times New Roman"/>
          <w:sz w:val="24"/>
          <w:szCs w:val="24"/>
        </w:rPr>
        <w:t xml:space="preserve">On May 2, 2025, in </w:t>
      </w:r>
      <w:r w:rsidRPr="00215578">
        <w:rPr>
          <w:rFonts w:ascii="Times New Roman" w:hAnsi="Times New Roman"/>
          <w:sz w:val="24"/>
          <w:szCs w:val="24"/>
          <w:u w:val="single"/>
        </w:rPr>
        <w:t>John D. Richon v. City of Nome, Allen Wright, and Jackie L. Reader</w:t>
      </w:r>
      <w:r w:rsidRPr="00215578">
        <w:rPr>
          <w:rFonts w:ascii="Times New Roman" w:hAnsi="Times New Roman"/>
          <w:sz w:val="24"/>
          <w:szCs w:val="24"/>
        </w:rPr>
        <w:t>, the Supreme Court of Alaska held (5 to 0) that trial court properly granted summary judgment to the city and the EMS personnel; the run was outside the city limits and under a unique Alaska statute there is no liability for “gratuitous extension of municipal services” even if the patient was charged for services. The ambulance department billed Rochon for its emergency services $1,775, which included base fee of $725 for advanced life support and $15 for each mile the ambulance travelled.  </w:t>
      </w:r>
    </w:p>
    <w:p w14:paraId="7F1DAFC7" w14:textId="77777777" w:rsidR="001C6208" w:rsidRPr="00215578" w:rsidRDefault="001C6208" w:rsidP="001C6208">
      <w:pPr>
        <w:pStyle w:val="NoSpacing"/>
        <w:rPr>
          <w:rFonts w:ascii="Times New Roman" w:hAnsi="Times New Roman"/>
          <w:sz w:val="24"/>
          <w:szCs w:val="24"/>
        </w:rPr>
      </w:pPr>
    </w:p>
    <w:p w14:paraId="30ED63C6" w14:textId="77777777" w:rsidR="001C6208" w:rsidRPr="00215578" w:rsidRDefault="001C6208" w:rsidP="001C6208">
      <w:pPr>
        <w:pStyle w:val="NoSpacing"/>
        <w:rPr>
          <w:rFonts w:ascii="Times New Roman" w:hAnsi="Times New Roman"/>
          <w:sz w:val="24"/>
          <w:szCs w:val="24"/>
        </w:rPr>
      </w:pPr>
      <w:r w:rsidRPr="00215578">
        <w:rPr>
          <w:rFonts w:ascii="Times New Roman" w:hAnsi="Times New Roman"/>
          <w:sz w:val="24"/>
          <w:szCs w:val="24"/>
        </w:rPr>
        <w:t xml:space="preserve">The Court wrote:  “It does not appear that any other state includes ‘extraterritorial’ in its municipal immunity statute. However, many states protect those who provide emergency care ‘gratuitously and in good faith’ from liability for damages resulting from that service.  These laws are generally referred to as ‘Good Samaritan laws.’ Such laws were created because common law did not require strangers to help people needing emergency assistance. But if someone chose to help another and the emergency assistance went wrong, the rescuer could be sued. Good Samaritan laws were passed to encourage rescues by eliminating the threat of liability. Courts outside Alaska that have interpreted these laws conclude that they protect rescuers who were under no duty to act.” </w:t>
      </w:r>
      <w:hyperlink r:id="rId1971" w:history="1">
        <w:r w:rsidRPr="00215578">
          <w:rPr>
            <w:rStyle w:val="Hyperlink"/>
            <w:rFonts w:ascii="Times New Roman" w:hAnsi="Times New Roman"/>
            <w:sz w:val="24"/>
            <w:szCs w:val="24"/>
          </w:rPr>
          <w:t>https://caselaw.findlaw.com/court/ak-supreme-court/117230404.html</w:t>
        </w:r>
      </w:hyperlink>
      <w:r w:rsidRPr="00215578">
        <w:rPr>
          <w:rFonts w:ascii="Times New Roman" w:hAnsi="Times New Roman"/>
          <w:sz w:val="24"/>
          <w:szCs w:val="24"/>
        </w:rPr>
        <w:t xml:space="preserve"> </w:t>
      </w:r>
    </w:p>
    <w:p w14:paraId="1E196DC9" w14:textId="77777777" w:rsidR="001C6208" w:rsidRPr="006F2B87" w:rsidRDefault="001C6208" w:rsidP="001C6208">
      <w:pPr>
        <w:pStyle w:val="NoSpacing"/>
      </w:pPr>
    </w:p>
    <w:p w14:paraId="16B4E7AF" w14:textId="77777777" w:rsidR="00467FCE" w:rsidRPr="00254EDF" w:rsidRDefault="00467FCE" w:rsidP="00467FCE">
      <w:pPr>
        <w:pStyle w:val="NoSpacing"/>
        <w:rPr>
          <w:rFonts w:ascii="Times New Roman" w:hAnsi="Times New Roman"/>
          <w:b/>
          <w:bCs/>
          <w:sz w:val="24"/>
          <w:szCs w:val="24"/>
        </w:rPr>
      </w:pPr>
      <w:r w:rsidRPr="00254EDF">
        <w:rPr>
          <w:rFonts w:ascii="Times New Roman" w:hAnsi="Times New Roman"/>
          <w:b/>
          <w:sz w:val="24"/>
          <w:szCs w:val="24"/>
        </w:rPr>
        <w:t xml:space="preserve">Legal Lesson Learned: Alaska’s unique statute </w:t>
      </w:r>
      <w:r w:rsidRPr="00254EDF">
        <w:rPr>
          <w:rFonts w:ascii="Times New Roman" w:hAnsi="Times New Roman"/>
          <w:b/>
          <w:bCs/>
          <w:sz w:val="24"/>
          <w:szCs w:val="24"/>
        </w:rPr>
        <w:t xml:space="preserve">protects </w:t>
      </w:r>
      <w:r w:rsidRPr="00254EDF">
        <w:rPr>
          <w:rFonts w:ascii="Times New Roman" w:hAnsi="Times New Roman"/>
          <w:b/>
          <w:sz w:val="24"/>
          <w:szCs w:val="24"/>
        </w:rPr>
        <w:t>municipalities and EMS personal from liability for ordinary negligence claims.  When using a backboard, strap down the patient and consider calling  an Air Ambulance to the scene instead of driving 35 miles on gravel road.</w:t>
      </w:r>
    </w:p>
    <w:p w14:paraId="3528DFC5" w14:textId="77777777" w:rsidR="00467FCE" w:rsidRPr="00254EDF" w:rsidRDefault="00467FCE" w:rsidP="00467FCE">
      <w:pPr>
        <w:pStyle w:val="NoSpacing"/>
        <w:rPr>
          <w:rFonts w:ascii="Times New Roman" w:hAnsi="Times New Roman"/>
          <w:sz w:val="24"/>
          <w:szCs w:val="24"/>
        </w:rPr>
      </w:pPr>
    </w:p>
    <w:p w14:paraId="7C1D4F12" w14:textId="77777777" w:rsidR="00467FCE" w:rsidRPr="00254EDF" w:rsidRDefault="00467FCE" w:rsidP="00467FCE">
      <w:pPr>
        <w:pStyle w:val="NoSpacing"/>
        <w:ind w:left="720"/>
        <w:rPr>
          <w:rFonts w:ascii="Times New Roman" w:hAnsi="Times New Roman"/>
          <w:sz w:val="24"/>
          <w:szCs w:val="24"/>
        </w:rPr>
      </w:pPr>
      <w:r w:rsidRPr="00254EDF">
        <w:rPr>
          <w:rFonts w:ascii="Times New Roman" w:hAnsi="Times New Roman"/>
          <w:sz w:val="24"/>
          <w:szCs w:val="24"/>
        </w:rPr>
        <w:t xml:space="preserve">Note:  The City’s attorneys made an “offer of judgment” to settle the case for $7.500. The plaintiff rejected that offer and now must reimburse City for attorney’s fees from the date of the offer. “Footnote 4: Under this rule, if the opposing party declines the offer and then receives a judgment that is 90% of </w:t>
      </w:r>
      <w:r w:rsidRPr="00254EDF">
        <w:rPr>
          <w:rFonts w:ascii="Times New Roman" w:hAnsi="Times New Roman"/>
          <w:sz w:val="24"/>
          <w:szCs w:val="24"/>
        </w:rPr>
        <w:lastRenderedPageBreak/>
        <w:t>the offer or less, it must pay a percentage of the offering party's attorney's fees. Alaska R. Civ. P. 68(a)-(b).”</w:t>
      </w:r>
    </w:p>
    <w:p w14:paraId="0B6F62D3" w14:textId="77777777" w:rsidR="00467FCE" w:rsidRPr="00254EDF" w:rsidRDefault="00467FCE" w:rsidP="00467FCE">
      <w:pPr>
        <w:pStyle w:val="NoSpacing"/>
        <w:rPr>
          <w:rFonts w:ascii="Times New Roman" w:hAnsi="Times New Roman"/>
          <w:sz w:val="24"/>
          <w:szCs w:val="24"/>
        </w:rPr>
      </w:pPr>
    </w:p>
    <w:p w14:paraId="17EC9C2D" w14:textId="77777777" w:rsidR="007B7FD8" w:rsidRDefault="007B7FD8" w:rsidP="002B1283">
      <w:pPr>
        <w:rPr>
          <w:rFonts w:ascii="Arial Black" w:hAnsi="Arial Black"/>
          <w:b/>
          <w:bCs/>
          <w:sz w:val="28"/>
          <w:szCs w:val="28"/>
        </w:rPr>
      </w:pPr>
    </w:p>
    <w:p w14:paraId="70D02C2D" w14:textId="447653FB" w:rsidR="00BA7C2E" w:rsidRDefault="00BA7C2E" w:rsidP="002B1283">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2</w:t>
      </w:r>
    </w:p>
    <w:p w14:paraId="5CDE112A" w14:textId="7F804292" w:rsidR="00940FEF" w:rsidRPr="00564629" w:rsidRDefault="00940FEF" w:rsidP="00940FEF">
      <w:pPr>
        <w:rPr>
          <w:rFonts w:ascii="Arial Black" w:hAnsi="Arial Black"/>
          <w:b/>
          <w:sz w:val="28"/>
          <w:szCs w:val="28"/>
        </w:rPr>
      </w:pPr>
      <w:r>
        <w:rPr>
          <w:rFonts w:ascii="Arial Black" w:hAnsi="Arial Black"/>
          <w:b/>
          <w:sz w:val="28"/>
          <w:szCs w:val="28"/>
        </w:rPr>
        <w:t xml:space="preserve">CA: AMR LOSES COUNTY CONTRACT – </w:t>
      </w:r>
      <w:r w:rsidR="00882D61">
        <w:rPr>
          <w:rFonts w:ascii="Arial Black" w:hAnsi="Arial Black"/>
          <w:b/>
          <w:sz w:val="28"/>
          <w:szCs w:val="28"/>
        </w:rPr>
        <w:t>NO</w:t>
      </w:r>
      <w:r w:rsidR="003101E1">
        <w:rPr>
          <w:rFonts w:ascii="Arial Black" w:hAnsi="Arial Black"/>
          <w:b/>
          <w:sz w:val="28"/>
          <w:szCs w:val="28"/>
        </w:rPr>
        <w:t>T</w:t>
      </w:r>
      <w:r w:rsidR="00882D61">
        <w:rPr>
          <w:rFonts w:ascii="Arial Black" w:hAnsi="Arial Black"/>
          <w:b/>
          <w:sz w:val="28"/>
          <w:szCs w:val="28"/>
        </w:rPr>
        <w:t xml:space="preserve"> FED ANTITUST </w:t>
      </w:r>
      <w:r>
        <w:rPr>
          <w:rFonts w:ascii="Arial Black" w:hAnsi="Arial Black"/>
          <w:b/>
          <w:sz w:val="28"/>
          <w:szCs w:val="28"/>
        </w:rPr>
        <w:t>CASE</w:t>
      </w:r>
    </w:p>
    <w:p w14:paraId="4E45534C" w14:textId="77777777" w:rsidR="00940FEF" w:rsidRPr="00940FEF" w:rsidRDefault="00940FEF" w:rsidP="00940FEF">
      <w:pPr>
        <w:rPr>
          <w:rFonts w:ascii="Times New Roman" w:hAnsi="Times New Roman"/>
          <w:bCs/>
          <w:sz w:val="24"/>
          <w:szCs w:val="24"/>
        </w:rPr>
      </w:pPr>
      <w:r w:rsidRPr="00940FEF">
        <w:rPr>
          <w:rFonts w:ascii="Times New Roman" w:hAnsi="Times New Roman"/>
          <w:sz w:val="24"/>
          <w:szCs w:val="24"/>
        </w:rPr>
        <w:t xml:space="preserve">On April 30, 2025, in </w:t>
      </w:r>
      <w:r w:rsidRPr="00940FEF">
        <w:rPr>
          <w:rFonts w:ascii="Times New Roman" w:hAnsi="Times New Roman"/>
          <w:sz w:val="24"/>
          <w:szCs w:val="24"/>
          <w:u w:val="single"/>
        </w:rPr>
        <w:t>American Medical Response of Inland Empire v. County of San Bernardino,</w:t>
      </w:r>
      <w:r w:rsidRPr="00940FEF">
        <w:rPr>
          <w:rFonts w:ascii="Times New Roman" w:hAnsi="Times New Roman"/>
          <w:sz w:val="24"/>
          <w:szCs w:val="24"/>
        </w:rPr>
        <w:t xml:space="preserve"> the U.S. Court of Appeals for the 9</w:t>
      </w:r>
      <w:r w:rsidRPr="00940FEF">
        <w:rPr>
          <w:rFonts w:ascii="Times New Roman" w:hAnsi="Times New Roman"/>
          <w:sz w:val="24"/>
          <w:szCs w:val="24"/>
          <w:vertAlign w:val="superscript"/>
        </w:rPr>
        <w:t>th</w:t>
      </w:r>
      <w:r w:rsidRPr="00940FEF">
        <w:rPr>
          <w:rFonts w:ascii="Times New Roman" w:hAnsi="Times New Roman"/>
          <w:sz w:val="24"/>
          <w:szCs w:val="24"/>
        </w:rPr>
        <w:t xml:space="preserve"> Circuit (San Francisco) held (3 to 0; not for publication decision) that the trial court properly dismissed the lawsuit claiming the County violated federal antitrust law by awarding all EMS services in a designated county area to Consolidated Fire Agencies (“</w:t>
      </w:r>
      <w:proofErr w:type="spellStart"/>
      <w:r w:rsidRPr="00940FEF">
        <w:rPr>
          <w:rFonts w:ascii="Times New Roman" w:hAnsi="Times New Roman"/>
          <w:sz w:val="24"/>
          <w:szCs w:val="24"/>
        </w:rPr>
        <w:t>ConFire</w:t>
      </w:r>
      <w:proofErr w:type="spellEnd"/>
      <w:r w:rsidRPr="00940FEF">
        <w:rPr>
          <w:rFonts w:ascii="Times New Roman" w:hAnsi="Times New Roman"/>
          <w:sz w:val="24"/>
          <w:szCs w:val="24"/>
        </w:rPr>
        <w:t xml:space="preserve">”), based in part on anticipated faster response times. AMR is also seeking relief in a state court case.  </w:t>
      </w:r>
      <w:hyperlink r:id="rId1972" w:history="1">
        <w:r w:rsidRPr="00940FEF">
          <w:rPr>
            <w:rStyle w:val="Hyperlink"/>
            <w:rFonts w:ascii="Times New Roman" w:hAnsi="Times New Roman"/>
            <w:sz w:val="24"/>
            <w:szCs w:val="24"/>
          </w:rPr>
          <w:t>https://cdn.ca9.uscourts.gov/datastore/memoranda/2025/04/30/24-3195.pdf</w:t>
        </w:r>
      </w:hyperlink>
      <w:r w:rsidRPr="00940FEF">
        <w:rPr>
          <w:rFonts w:ascii="Times New Roman" w:hAnsi="Times New Roman"/>
          <w:sz w:val="24"/>
          <w:szCs w:val="24"/>
        </w:rPr>
        <w:t xml:space="preserve"> </w:t>
      </w:r>
    </w:p>
    <w:p w14:paraId="0F6E9A2F" w14:textId="77777777" w:rsidR="000B3321" w:rsidRPr="003373B6" w:rsidRDefault="000B3321" w:rsidP="000B3321">
      <w:pPr>
        <w:pStyle w:val="NoSpacing"/>
        <w:rPr>
          <w:rFonts w:ascii="Times New Roman" w:hAnsi="Times New Roman"/>
          <w:b/>
          <w:bCs/>
          <w:sz w:val="24"/>
          <w:szCs w:val="24"/>
        </w:rPr>
      </w:pPr>
      <w:r w:rsidRPr="003373B6">
        <w:rPr>
          <w:rFonts w:ascii="Times New Roman" w:hAnsi="Times New Roman"/>
          <w:b/>
          <w:sz w:val="24"/>
          <w:szCs w:val="24"/>
        </w:rPr>
        <w:t xml:space="preserve">Legal Lesson Learned: Loss of an EMS contract </w:t>
      </w:r>
      <w:r w:rsidRPr="003373B6">
        <w:rPr>
          <w:rFonts w:ascii="Times New Roman" w:hAnsi="Times New Roman"/>
          <w:b/>
          <w:bCs/>
          <w:sz w:val="24"/>
          <w:szCs w:val="24"/>
        </w:rPr>
        <w:t xml:space="preserve">can be litigated </w:t>
      </w:r>
      <w:r w:rsidRPr="003373B6">
        <w:rPr>
          <w:rFonts w:ascii="Times New Roman" w:hAnsi="Times New Roman"/>
          <w:b/>
          <w:sz w:val="24"/>
          <w:szCs w:val="24"/>
        </w:rPr>
        <w:t xml:space="preserve">in state court. </w:t>
      </w:r>
    </w:p>
    <w:p w14:paraId="7C5C7665" w14:textId="77777777" w:rsidR="00BA7C2E" w:rsidRPr="003373B6" w:rsidRDefault="00BA7C2E" w:rsidP="002B1283">
      <w:pPr>
        <w:rPr>
          <w:rFonts w:ascii="Times New Roman" w:hAnsi="Times New Roman"/>
          <w:b/>
          <w:bCs/>
          <w:sz w:val="24"/>
          <w:szCs w:val="24"/>
        </w:rPr>
      </w:pPr>
    </w:p>
    <w:p w14:paraId="777084F7" w14:textId="77777777" w:rsidR="00BA7C2E" w:rsidRDefault="00BA7C2E" w:rsidP="002B1283">
      <w:pPr>
        <w:rPr>
          <w:rFonts w:ascii="Arial Black" w:hAnsi="Arial Black"/>
          <w:b/>
          <w:bCs/>
          <w:sz w:val="28"/>
          <w:szCs w:val="28"/>
        </w:rPr>
      </w:pPr>
    </w:p>
    <w:p w14:paraId="05B00ECD" w14:textId="6C344275" w:rsidR="00DB0A44" w:rsidRDefault="00DB0A44" w:rsidP="002B1283">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1</w:t>
      </w:r>
    </w:p>
    <w:p w14:paraId="0E80F0C8" w14:textId="77777777" w:rsidR="00233326" w:rsidRDefault="00233326" w:rsidP="00233326">
      <w:pPr>
        <w:rPr>
          <w:rFonts w:ascii="Arial Black" w:hAnsi="Arial Black"/>
          <w:sz w:val="28"/>
          <w:szCs w:val="28"/>
        </w:rPr>
      </w:pPr>
      <w:r>
        <w:rPr>
          <w:rFonts w:ascii="Arial Black" w:hAnsi="Arial Black"/>
          <w:sz w:val="28"/>
          <w:szCs w:val="28"/>
        </w:rPr>
        <w:t>NY: EMT FACING REV. LICENSE – CAN HAVE JURY TRIAL</w:t>
      </w:r>
    </w:p>
    <w:p w14:paraId="38EB5081" w14:textId="33A854B7" w:rsidR="00DB0A44" w:rsidRPr="00233326" w:rsidRDefault="00233326" w:rsidP="00233326">
      <w:pPr>
        <w:rPr>
          <w:rFonts w:ascii="Times New Roman" w:hAnsi="Times New Roman"/>
          <w:b/>
          <w:bCs/>
          <w:sz w:val="24"/>
          <w:szCs w:val="24"/>
        </w:rPr>
      </w:pPr>
      <w:r w:rsidRPr="00233326">
        <w:rPr>
          <w:rFonts w:ascii="Times New Roman" w:hAnsi="Times New Roman"/>
          <w:sz w:val="24"/>
          <w:szCs w:val="24"/>
        </w:rPr>
        <w:t xml:space="preserve">On April 14, 2025, in </w:t>
      </w:r>
      <w:r w:rsidRPr="00233326">
        <w:rPr>
          <w:rFonts w:ascii="Times New Roman" w:hAnsi="Times New Roman"/>
          <w:sz w:val="24"/>
          <w:szCs w:val="24"/>
          <w:u w:val="single"/>
        </w:rPr>
        <w:t>Justin Ball v. The New York State Department of Health</w:t>
      </w:r>
      <w:r w:rsidRPr="00233326">
        <w:rPr>
          <w:rFonts w:ascii="Times New Roman" w:hAnsi="Times New Roman"/>
          <w:b/>
          <w:sz w:val="24"/>
          <w:szCs w:val="24"/>
        </w:rPr>
        <w:t xml:space="preserve">,  </w:t>
      </w:r>
      <w:r w:rsidRPr="00233326">
        <w:rPr>
          <w:rFonts w:ascii="Times New Roman" w:hAnsi="Times New Roman"/>
          <w:sz w:val="24"/>
          <w:szCs w:val="24"/>
        </w:rPr>
        <w:t xml:space="preserve">N.Y. Supreme Court Justice Thomas Marcelle held that the EMT, facing loss of his license for improperly handling </w:t>
      </w:r>
      <w:proofErr w:type="gramStart"/>
      <w:r w:rsidRPr="00233326">
        <w:rPr>
          <w:rFonts w:ascii="Times New Roman" w:hAnsi="Times New Roman"/>
          <w:sz w:val="24"/>
          <w:szCs w:val="24"/>
        </w:rPr>
        <w:t>an</w:t>
      </w:r>
      <w:proofErr w:type="gramEnd"/>
      <w:r w:rsidRPr="00233326">
        <w:rPr>
          <w:rFonts w:ascii="Times New Roman" w:hAnsi="Times New Roman"/>
          <w:sz w:val="24"/>
          <w:szCs w:val="24"/>
        </w:rPr>
        <w:t xml:space="preserve"> patient with “scorn and ridicule” is entitled to a jury trial, rather than administrative hearing before the Department of Health. </w:t>
      </w:r>
      <w:hyperlink r:id="rId1973" w:history="1">
        <w:r w:rsidR="007807F7" w:rsidRPr="003870A5">
          <w:rPr>
            <w:rStyle w:val="Hyperlink"/>
            <w:rFonts w:ascii="Times New Roman" w:hAnsi="Times New Roman"/>
            <w:sz w:val="24"/>
            <w:szCs w:val="24"/>
          </w:rPr>
          <w:t>https://law.justia.com/cases/new-york/other-courts/2025/2025-ny-slip-op-25090.html</w:t>
        </w:r>
      </w:hyperlink>
      <w:r w:rsidR="007807F7">
        <w:rPr>
          <w:rFonts w:ascii="Times New Roman" w:hAnsi="Times New Roman"/>
          <w:sz w:val="24"/>
          <w:szCs w:val="24"/>
        </w:rPr>
        <w:t xml:space="preserve"> </w:t>
      </w:r>
    </w:p>
    <w:p w14:paraId="403649F7" w14:textId="77777777" w:rsidR="00BA7C2E" w:rsidRPr="00F62D6C" w:rsidRDefault="00BA7C2E" w:rsidP="00BA7C2E">
      <w:pPr>
        <w:rPr>
          <w:b/>
          <w:bCs/>
        </w:rPr>
      </w:pPr>
      <w:r w:rsidRPr="00BA7C2E">
        <w:rPr>
          <w:rFonts w:ascii="Times New Roman" w:hAnsi="Times New Roman"/>
          <w:b/>
          <w:sz w:val="24"/>
          <w:szCs w:val="24"/>
        </w:rPr>
        <w:t>Legal Lesson Learned:  A novel decision; State of NY is likely to appeal</w:t>
      </w:r>
      <w:r>
        <w:rPr>
          <w:b/>
        </w:rPr>
        <w:t xml:space="preserve">. </w:t>
      </w:r>
    </w:p>
    <w:p w14:paraId="50BD49B0" w14:textId="77777777" w:rsidR="00DB0A44" w:rsidRDefault="00DB0A44" w:rsidP="002B1283">
      <w:pPr>
        <w:rPr>
          <w:rFonts w:ascii="Arial Black" w:hAnsi="Arial Black"/>
          <w:b/>
          <w:bCs/>
          <w:sz w:val="28"/>
          <w:szCs w:val="28"/>
        </w:rPr>
      </w:pPr>
    </w:p>
    <w:p w14:paraId="6000CDD0" w14:textId="6CDED776" w:rsidR="00EB376E" w:rsidRDefault="00EF2CE3" w:rsidP="002B1283">
      <w:pPr>
        <w:rPr>
          <w:rFonts w:ascii="Arial Black" w:hAnsi="Arial Black"/>
          <w:b/>
          <w:bCs/>
          <w:sz w:val="28"/>
          <w:szCs w:val="28"/>
        </w:rPr>
      </w:pPr>
      <w:r>
        <w:rPr>
          <w:rFonts w:ascii="Arial Black" w:hAnsi="Arial Black"/>
          <w:b/>
          <w:bCs/>
          <w:sz w:val="28"/>
          <w:szCs w:val="28"/>
        </w:rPr>
        <w:t>13-2</w:t>
      </w:r>
      <w:r w:rsidR="00524647">
        <w:rPr>
          <w:rFonts w:ascii="Arial Black" w:hAnsi="Arial Black"/>
          <w:b/>
          <w:bCs/>
          <w:sz w:val="28"/>
          <w:szCs w:val="28"/>
        </w:rPr>
        <w:t>10</w:t>
      </w:r>
    </w:p>
    <w:p w14:paraId="15790D4E" w14:textId="77777777" w:rsidR="00FC77F5" w:rsidRPr="000F03D9" w:rsidRDefault="00FC77F5" w:rsidP="00FC77F5">
      <w:pPr>
        <w:pStyle w:val="NoSpacing"/>
        <w:rPr>
          <w:rFonts w:ascii="Arial Black" w:hAnsi="Arial Black"/>
          <w:sz w:val="28"/>
          <w:szCs w:val="28"/>
        </w:rPr>
      </w:pPr>
      <w:r w:rsidRPr="000F03D9">
        <w:rPr>
          <w:rFonts w:ascii="Arial Black" w:hAnsi="Arial Black"/>
          <w:sz w:val="28"/>
          <w:szCs w:val="28"/>
        </w:rPr>
        <w:t>DC: MEDIC FIRED – COVID - 6-YR OLD BOY NOT EVALUATED</w:t>
      </w:r>
    </w:p>
    <w:p w14:paraId="6000341D" w14:textId="77777777" w:rsidR="00FC77F5" w:rsidRPr="000F03D9" w:rsidRDefault="00FC77F5" w:rsidP="00FC77F5">
      <w:pPr>
        <w:pStyle w:val="NoSpacing"/>
        <w:rPr>
          <w:rFonts w:ascii="Arial Black" w:hAnsi="Arial Black"/>
          <w:sz w:val="28"/>
          <w:szCs w:val="28"/>
        </w:rPr>
      </w:pPr>
    </w:p>
    <w:p w14:paraId="3D0CA716" w14:textId="02DC2105" w:rsidR="00EF2CE3" w:rsidRPr="000F03D9" w:rsidRDefault="00FC77F5" w:rsidP="00FC77F5">
      <w:pPr>
        <w:rPr>
          <w:rFonts w:ascii="Times New Roman" w:hAnsi="Times New Roman"/>
          <w:b/>
          <w:bCs/>
          <w:sz w:val="24"/>
          <w:szCs w:val="24"/>
        </w:rPr>
      </w:pPr>
      <w:r w:rsidRPr="000F03D9">
        <w:rPr>
          <w:rFonts w:ascii="Times New Roman" w:hAnsi="Times New Roman"/>
          <w:sz w:val="24"/>
          <w:szCs w:val="24"/>
        </w:rPr>
        <w:t xml:space="preserve">On March 31, 2025, in </w:t>
      </w:r>
      <w:proofErr w:type="spellStart"/>
      <w:r w:rsidRPr="000F03D9">
        <w:rPr>
          <w:rFonts w:ascii="Times New Roman" w:hAnsi="Times New Roman"/>
          <w:sz w:val="24"/>
          <w:szCs w:val="24"/>
          <w:u w:val="single"/>
        </w:rPr>
        <w:t>Danaryae</w:t>
      </w:r>
      <w:proofErr w:type="spellEnd"/>
      <w:r w:rsidRPr="000F03D9">
        <w:rPr>
          <w:rFonts w:ascii="Times New Roman" w:hAnsi="Times New Roman"/>
          <w:sz w:val="24"/>
          <w:szCs w:val="24"/>
          <w:u w:val="single"/>
        </w:rPr>
        <w:t xml:space="preserve"> Lewis v. District of Columbia</w:t>
      </w:r>
      <w:r w:rsidRPr="000F03D9">
        <w:rPr>
          <w:rFonts w:ascii="Times New Roman" w:hAnsi="Times New Roman"/>
          <w:sz w:val="24"/>
          <w:szCs w:val="24"/>
        </w:rPr>
        <w:t xml:space="preserve">, U.S. District Court Judge Carl  J. Nichols, U.S. District Court for District of Columbia, denied the City’s motion for summary judgment.  She alleges that during COVID white and Hispanic EMS likewise did not put on PPE and enter homes to evaluate patients.  </w:t>
      </w:r>
      <w:hyperlink r:id="rId1974" w:history="1">
        <w:r w:rsidRPr="000F03D9">
          <w:rPr>
            <w:rStyle w:val="Hyperlink"/>
            <w:rFonts w:ascii="Times New Roman" w:hAnsi="Times New Roman"/>
            <w:sz w:val="24"/>
            <w:szCs w:val="24"/>
          </w:rPr>
          <w: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w:t>
        </w:r>
      </w:hyperlink>
    </w:p>
    <w:p w14:paraId="2CCCE686" w14:textId="77777777" w:rsidR="000F03D9" w:rsidRPr="000F03D9" w:rsidRDefault="000F03D9" w:rsidP="000F03D9">
      <w:pPr>
        <w:pStyle w:val="NoSpacing"/>
        <w:rPr>
          <w:rFonts w:ascii="Times New Roman" w:hAnsi="Times New Roman"/>
          <w:b/>
          <w:bCs/>
          <w:sz w:val="24"/>
          <w:szCs w:val="24"/>
        </w:rPr>
      </w:pPr>
      <w:r w:rsidRPr="000F03D9">
        <w:rPr>
          <w:rFonts w:ascii="Times New Roman" w:hAnsi="Times New Roman"/>
          <w:b/>
          <w:sz w:val="24"/>
          <w:szCs w:val="24"/>
        </w:rPr>
        <w:lastRenderedPageBreak/>
        <w:t xml:space="preserve">Legal Lesson Learned: Case will now proceed to pre-trial discovery.  COVID protocols must be followed, including </w:t>
      </w:r>
      <w:proofErr w:type="gramStart"/>
      <w:r w:rsidRPr="000F03D9">
        <w:rPr>
          <w:rFonts w:ascii="Times New Roman" w:hAnsi="Times New Roman"/>
          <w:b/>
          <w:sz w:val="24"/>
          <w:szCs w:val="24"/>
        </w:rPr>
        <w:t>donning</w:t>
      </w:r>
      <w:proofErr w:type="gramEnd"/>
      <w:r w:rsidRPr="000F03D9">
        <w:rPr>
          <w:rFonts w:ascii="Times New Roman" w:hAnsi="Times New Roman"/>
          <w:b/>
          <w:sz w:val="24"/>
          <w:szCs w:val="24"/>
        </w:rPr>
        <w:t xml:space="preserve"> PPE if needed to assess a patient. </w:t>
      </w:r>
    </w:p>
    <w:p w14:paraId="4BB46571" w14:textId="77777777" w:rsidR="000F03D9" w:rsidRDefault="000F03D9" w:rsidP="000F03D9"/>
    <w:p w14:paraId="7A118820" w14:textId="77777777" w:rsidR="00EF2CE3" w:rsidRDefault="00EF2CE3" w:rsidP="00EB376E">
      <w:pPr>
        <w:pStyle w:val="NoSpacing"/>
        <w:rPr>
          <w:rFonts w:ascii="Arial Black" w:hAnsi="Arial Black"/>
          <w:b/>
          <w:bCs/>
          <w:sz w:val="28"/>
          <w:szCs w:val="28"/>
        </w:rPr>
      </w:pPr>
    </w:p>
    <w:p w14:paraId="5702318D" w14:textId="77777777" w:rsidR="00EF2CE3" w:rsidRDefault="00EF2CE3" w:rsidP="00EB376E">
      <w:pPr>
        <w:pStyle w:val="NoSpacing"/>
        <w:rPr>
          <w:rFonts w:ascii="Arial Black" w:hAnsi="Arial Black"/>
          <w:b/>
          <w:bCs/>
          <w:sz w:val="28"/>
          <w:szCs w:val="28"/>
        </w:rPr>
      </w:pPr>
    </w:p>
    <w:p w14:paraId="533B9C74" w14:textId="1BB87358" w:rsidR="00EF2CE3" w:rsidRDefault="00EB376E" w:rsidP="00EB376E">
      <w:pPr>
        <w:pStyle w:val="NoSpacing"/>
        <w:rPr>
          <w:rFonts w:ascii="Arial Black" w:hAnsi="Arial Black"/>
          <w:sz w:val="28"/>
          <w:szCs w:val="28"/>
        </w:rPr>
      </w:pPr>
      <w:r>
        <w:rPr>
          <w:rFonts w:ascii="Arial Black" w:hAnsi="Arial Black"/>
          <w:b/>
          <w:bCs/>
          <w:sz w:val="28"/>
          <w:szCs w:val="28"/>
        </w:rPr>
        <w:t>13-2</w:t>
      </w:r>
      <w:r w:rsidR="00524647">
        <w:rPr>
          <w:rFonts w:ascii="Arial Black" w:hAnsi="Arial Black"/>
          <w:b/>
          <w:bCs/>
          <w:sz w:val="28"/>
          <w:szCs w:val="28"/>
        </w:rPr>
        <w:t>09</w:t>
      </w:r>
      <w:r w:rsidRPr="00EB376E">
        <w:rPr>
          <w:rFonts w:ascii="Arial Black" w:hAnsi="Arial Black"/>
          <w:sz w:val="28"/>
          <w:szCs w:val="28"/>
        </w:rPr>
        <w:t xml:space="preserve"> </w:t>
      </w:r>
    </w:p>
    <w:p w14:paraId="3544D330" w14:textId="77777777" w:rsidR="00EF2CE3" w:rsidRDefault="00EF2CE3" w:rsidP="00EB376E">
      <w:pPr>
        <w:pStyle w:val="NoSpacing"/>
        <w:rPr>
          <w:rFonts w:ascii="Arial Black" w:hAnsi="Arial Black"/>
          <w:sz w:val="28"/>
          <w:szCs w:val="28"/>
        </w:rPr>
      </w:pPr>
    </w:p>
    <w:p w14:paraId="40B968C9" w14:textId="30EDFE62" w:rsidR="00EB376E" w:rsidRPr="00D864F0" w:rsidRDefault="00EB376E" w:rsidP="00EB376E">
      <w:pPr>
        <w:pStyle w:val="NoSpacing"/>
        <w:rPr>
          <w:rFonts w:ascii="Arial Black" w:hAnsi="Arial Black"/>
          <w:sz w:val="28"/>
          <w:szCs w:val="28"/>
        </w:rPr>
      </w:pPr>
      <w:r>
        <w:rPr>
          <w:rFonts w:ascii="Arial Black" w:hAnsi="Arial Black"/>
          <w:sz w:val="28"/>
          <w:szCs w:val="28"/>
        </w:rPr>
        <w:t>LA: POSS. STROKE – NO CONSENT NEEDED TO TRANSPORT</w:t>
      </w:r>
    </w:p>
    <w:p w14:paraId="23F5D10C" w14:textId="77777777" w:rsidR="00EB376E" w:rsidRDefault="00EB376E" w:rsidP="00EB376E">
      <w:pPr>
        <w:pStyle w:val="NoSpacing"/>
      </w:pPr>
    </w:p>
    <w:p w14:paraId="28616DA9" w14:textId="77777777" w:rsidR="00EB376E" w:rsidRPr="00AB754A" w:rsidRDefault="00EB376E" w:rsidP="00EB376E">
      <w:pPr>
        <w:pStyle w:val="NoSpacing"/>
        <w:rPr>
          <w:rFonts w:ascii="Times New Roman" w:hAnsi="Times New Roman"/>
          <w:sz w:val="24"/>
          <w:szCs w:val="24"/>
        </w:rPr>
      </w:pPr>
      <w:r w:rsidRPr="00AB754A">
        <w:rPr>
          <w:rFonts w:ascii="Times New Roman" w:hAnsi="Times New Roman"/>
          <w:sz w:val="24"/>
          <w:szCs w:val="24"/>
        </w:rPr>
        <w:t xml:space="preserve">On March 6, 2025, in </w:t>
      </w:r>
      <w:r w:rsidRPr="00AB754A">
        <w:rPr>
          <w:rFonts w:ascii="Times New Roman" w:hAnsi="Times New Roman"/>
          <w:sz w:val="24"/>
          <w:szCs w:val="24"/>
          <w:u w:val="single"/>
        </w:rPr>
        <w:t>Isiah Cole, Jr. and his wife, Karen Cole v. New Orleans Emergency Medical Services, et al</w:t>
      </w:r>
      <w:r w:rsidRPr="00AB754A">
        <w:rPr>
          <w:rFonts w:ascii="Times New Roman" w:hAnsi="Times New Roman"/>
          <w:sz w:val="24"/>
          <w:szCs w:val="24"/>
        </w:rPr>
        <w:t xml:space="preserve">., the Court of Appeals of Louisiana, Fourth Circuit, held (3 to 0) that the trial court on May 10, 2024 after a bench trial, found defendants not liable for transporting him to hospital without his consent, and for allegedly dropping him off flexible Reeves Stretcher going down a flight of stairs. “At the time the June 23, </w:t>
      </w:r>
      <w:proofErr w:type="gramStart"/>
      <w:r w:rsidRPr="00AB754A">
        <w:rPr>
          <w:rFonts w:ascii="Times New Roman" w:hAnsi="Times New Roman"/>
          <w:sz w:val="24"/>
          <w:szCs w:val="24"/>
        </w:rPr>
        <w:t>2017</w:t>
      </w:r>
      <w:proofErr w:type="gramEnd"/>
      <w:r w:rsidRPr="00AB754A">
        <w:rPr>
          <w:rFonts w:ascii="Times New Roman" w:hAnsi="Times New Roman"/>
          <w:sz w:val="24"/>
          <w:szCs w:val="24"/>
        </w:rPr>
        <w:t xml:space="preserve"> incident occurred, Mr. Cole was a 75-year-old man with </w:t>
      </w:r>
      <w:proofErr w:type="gramStart"/>
      <w:r w:rsidRPr="00AB754A">
        <w:rPr>
          <w:rFonts w:ascii="Times New Roman" w:hAnsi="Times New Roman"/>
          <w:sz w:val="24"/>
          <w:szCs w:val="24"/>
        </w:rPr>
        <w:t>a number of</w:t>
      </w:r>
      <w:proofErr w:type="gramEnd"/>
      <w:r w:rsidRPr="00AB754A">
        <w:rPr>
          <w:rFonts w:ascii="Times New Roman" w:hAnsi="Times New Roman"/>
          <w:sz w:val="24"/>
          <w:szCs w:val="24"/>
        </w:rPr>
        <w:t xml:space="preserve"> health problems. EMS evaluated him thoroughly and determined that a new onset of seizure and his altered mental status necessitated his transport to the hospital. As [Paramedic Derick] Blanchard testified, ‘Time is brain cells.’ The trial court found that “EMS adhered to proper protocol, and their determination that Mr. Cole did not have the capacity to refuse treatment did not violate the standard of care. After a review of the record and the applicable law, we agree and find that EMS acted pursuant to La. R.S. 40:1159.5 because they reasonably believed that any delay in diagnosis or treatment could have been harmful to Mr. Cole. We do not find that the trial court failed to recognize Mr. Cole’s constitutional and statutory rights; instead, we agree with the trial court that NOEMS could supersede those rights </w:t>
      </w:r>
      <w:proofErr w:type="gramStart"/>
      <w:r w:rsidRPr="00AB754A">
        <w:rPr>
          <w:rFonts w:ascii="Times New Roman" w:hAnsi="Times New Roman"/>
          <w:sz w:val="24"/>
          <w:szCs w:val="24"/>
        </w:rPr>
        <w:t>in order to</w:t>
      </w:r>
      <w:proofErr w:type="gramEnd"/>
      <w:r w:rsidRPr="00AB754A">
        <w:rPr>
          <w:rFonts w:ascii="Times New Roman" w:hAnsi="Times New Roman"/>
          <w:sz w:val="24"/>
          <w:szCs w:val="24"/>
        </w:rPr>
        <w:t xml:space="preserve"> prevent harm to Mr. Cole. Therefore, we find no error in the trial court’s </w:t>
      </w:r>
      <w:proofErr w:type="gramStart"/>
      <w:r w:rsidRPr="00AB754A">
        <w:rPr>
          <w:rFonts w:ascii="Times New Roman" w:hAnsi="Times New Roman"/>
          <w:sz w:val="24"/>
          <w:szCs w:val="24"/>
        </w:rPr>
        <w:t>finding</w:t>
      </w:r>
      <w:proofErr w:type="gramEnd"/>
      <w:r w:rsidRPr="00AB754A">
        <w:rPr>
          <w:rFonts w:ascii="Times New Roman" w:hAnsi="Times New Roman"/>
          <w:sz w:val="24"/>
          <w:szCs w:val="24"/>
        </w:rPr>
        <w:t xml:space="preserve">.  For the reasons discussed herein, we affirm the judgment of the trial court.” </w:t>
      </w:r>
      <w:hyperlink r:id="rId1975" w:history="1">
        <w:r w:rsidRPr="00AB754A">
          <w:rPr>
            <w:rStyle w:val="Hyperlink"/>
            <w:rFonts w:ascii="Times New Roman" w:hAnsi="Times New Roman"/>
            <w:sz w:val="24"/>
            <w:szCs w:val="24"/>
          </w:rPr>
          <w:t>https://cases.justia.com/louisiana/fourth-circuit-court-of-appeal/2025-2024-ca-0437.pdf?ts=1741310103</w:t>
        </w:r>
      </w:hyperlink>
      <w:r w:rsidRPr="00AB754A">
        <w:rPr>
          <w:rFonts w:ascii="Times New Roman" w:hAnsi="Times New Roman"/>
          <w:sz w:val="24"/>
          <w:szCs w:val="24"/>
        </w:rPr>
        <w:t xml:space="preserve"> </w:t>
      </w:r>
    </w:p>
    <w:p w14:paraId="064B67C8" w14:textId="77777777" w:rsidR="00AB754A" w:rsidRPr="00AB754A" w:rsidRDefault="00AB754A" w:rsidP="00AB754A">
      <w:pPr>
        <w:pStyle w:val="NoSpacing"/>
        <w:rPr>
          <w:rFonts w:ascii="Times New Roman" w:hAnsi="Times New Roman"/>
          <w:b/>
          <w:sz w:val="24"/>
          <w:szCs w:val="24"/>
        </w:rPr>
      </w:pPr>
    </w:p>
    <w:p w14:paraId="4EDB7B4C" w14:textId="29A7ACA4" w:rsidR="00AB754A" w:rsidRPr="00AB754A" w:rsidRDefault="00AB754A" w:rsidP="00AB754A">
      <w:pPr>
        <w:pStyle w:val="NoSpacing"/>
        <w:rPr>
          <w:rFonts w:ascii="Times New Roman" w:hAnsi="Times New Roman"/>
          <w:b/>
          <w:bCs/>
          <w:sz w:val="24"/>
          <w:szCs w:val="24"/>
        </w:rPr>
      </w:pPr>
      <w:r w:rsidRPr="00AB754A">
        <w:rPr>
          <w:rFonts w:ascii="Times New Roman" w:hAnsi="Times New Roman"/>
          <w:b/>
          <w:sz w:val="24"/>
          <w:szCs w:val="24"/>
        </w:rPr>
        <w:t>Legal Lesson Learned:  Stroke patient was properly transported to hospital;  state statute does not require patient consent “where an emergency exists.”</w:t>
      </w:r>
    </w:p>
    <w:p w14:paraId="1CDFC028" w14:textId="77777777" w:rsidR="00AB754A" w:rsidRDefault="00AB754A" w:rsidP="002B1283">
      <w:pPr>
        <w:rPr>
          <w:rFonts w:ascii="Arial Black" w:hAnsi="Arial Black"/>
          <w:b/>
          <w:bCs/>
          <w:sz w:val="28"/>
          <w:szCs w:val="28"/>
        </w:rPr>
      </w:pPr>
    </w:p>
    <w:p w14:paraId="19BC067E" w14:textId="77777777" w:rsidR="00EB376E" w:rsidRDefault="00EB376E" w:rsidP="002B1283">
      <w:pPr>
        <w:rPr>
          <w:rFonts w:ascii="Arial Black" w:hAnsi="Arial Black"/>
          <w:b/>
          <w:bCs/>
          <w:sz w:val="28"/>
          <w:szCs w:val="28"/>
        </w:rPr>
      </w:pPr>
    </w:p>
    <w:p w14:paraId="5788523D" w14:textId="4AEC9C62" w:rsidR="00062DA4" w:rsidRDefault="00062DA4" w:rsidP="002B1283">
      <w:pPr>
        <w:rPr>
          <w:rFonts w:ascii="Arial Black" w:hAnsi="Arial Black"/>
          <w:b/>
          <w:bCs/>
          <w:sz w:val="28"/>
          <w:szCs w:val="28"/>
        </w:rPr>
      </w:pPr>
      <w:r>
        <w:rPr>
          <w:rFonts w:ascii="Arial Black" w:hAnsi="Arial Black"/>
          <w:b/>
          <w:bCs/>
          <w:sz w:val="28"/>
          <w:szCs w:val="28"/>
        </w:rPr>
        <w:t xml:space="preserve">13 - </w:t>
      </w:r>
      <w:r w:rsidR="00F607C4">
        <w:rPr>
          <w:rFonts w:ascii="Arial Black" w:hAnsi="Arial Black"/>
          <w:b/>
          <w:bCs/>
          <w:sz w:val="28"/>
          <w:szCs w:val="28"/>
        </w:rPr>
        <w:t>20</w:t>
      </w:r>
      <w:r w:rsidR="00524647">
        <w:rPr>
          <w:rFonts w:ascii="Arial Black" w:hAnsi="Arial Black"/>
          <w:b/>
          <w:bCs/>
          <w:sz w:val="28"/>
          <w:szCs w:val="28"/>
        </w:rPr>
        <w:t>8</w:t>
      </w:r>
      <w:r>
        <w:rPr>
          <w:rFonts w:ascii="Arial Black" w:hAnsi="Arial Black"/>
          <w:b/>
          <w:bCs/>
          <w:sz w:val="28"/>
          <w:szCs w:val="28"/>
        </w:rPr>
        <w:t xml:space="preserve"> [also filed, Chap. 15]</w:t>
      </w:r>
    </w:p>
    <w:p w14:paraId="731220F6" w14:textId="7023D80F" w:rsidR="00062DA4" w:rsidRPr="000B7F2C" w:rsidRDefault="00062DA4" w:rsidP="00062DA4">
      <w:pPr>
        <w:rPr>
          <w:rFonts w:ascii="Arial Black" w:hAnsi="Arial Black"/>
          <w:sz w:val="28"/>
          <w:szCs w:val="28"/>
        </w:rPr>
      </w:pPr>
      <w:r w:rsidRPr="000B7F2C">
        <w:rPr>
          <w:rFonts w:ascii="Arial Black" w:hAnsi="Arial Black"/>
          <w:sz w:val="28"/>
          <w:szCs w:val="28"/>
        </w:rPr>
        <w:t>CO: MEDIC</w:t>
      </w:r>
      <w:r w:rsidR="00A931FC">
        <w:rPr>
          <w:rFonts w:ascii="Arial Black" w:hAnsi="Arial Black"/>
          <w:sz w:val="28"/>
          <w:szCs w:val="28"/>
        </w:rPr>
        <w:t xml:space="preserve"> </w:t>
      </w:r>
      <w:r w:rsidR="005467E9">
        <w:rPr>
          <w:rFonts w:ascii="Arial Black" w:hAnsi="Arial Black"/>
          <w:sz w:val="28"/>
          <w:szCs w:val="28"/>
        </w:rPr>
        <w:t xml:space="preserve">ON CRISIS RESP TEAM - </w:t>
      </w:r>
      <w:r w:rsidRPr="000B7F2C">
        <w:rPr>
          <w:rFonts w:ascii="Arial Black" w:hAnsi="Arial Black"/>
          <w:sz w:val="28"/>
          <w:szCs w:val="28"/>
        </w:rPr>
        <w:t xml:space="preserve">TACKLED </w:t>
      </w:r>
      <w:r w:rsidR="005467E9">
        <w:rPr>
          <w:rFonts w:ascii="Arial Black" w:hAnsi="Arial Black"/>
          <w:sz w:val="28"/>
          <w:szCs w:val="28"/>
        </w:rPr>
        <w:t>PT / DIED - IMMUNITY</w:t>
      </w:r>
    </w:p>
    <w:p w14:paraId="19876359" w14:textId="77777777" w:rsidR="00062DA4" w:rsidRPr="00CA2B3F" w:rsidRDefault="00062DA4" w:rsidP="00062DA4">
      <w:pPr>
        <w:rPr>
          <w:rFonts w:ascii="Times New Roman" w:hAnsi="Times New Roman"/>
          <w:sz w:val="24"/>
          <w:szCs w:val="24"/>
        </w:rPr>
      </w:pPr>
      <w:r w:rsidRPr="00CA2B3F">
        <w:rPr>
          <w:rFonts w:ascii="Times New Roman" w:hAnsi="Times New Roman"/>
          <w:sz w:val="24"/>
          <w:szCs w:val="24"/>
        </w:rPr>
        <w:t xml:space="preserve">On Feb. 28, 2025, in </w:t>
      </w:r>
      <w:r w:rsidRPr="00CA2B3F">
        <w:rPr>
          <w:rFonts w:ascii="Times New Roman" w:hAnsi="Times New Roman"/>
          <w:sz w:val="24"/>
          <w:szCs w:val="24"/>
          <w:u w:val="single"/>
        </w:rPr>
        <w:t>Estate of Kevin Dizmang v. Sean Reed, a Colorado Springs Police Officer and Nick Fischer, a Colorado Springs Paramedic</w:t>
      </w:r>
      <w:r w:rsidRPr="00CA2B3F">
        <w:rPr>
          <w:rFonts w:ascii="Times New Roman" w:hAnsi="Times New Roman"/>
          <w:sz w:val="24"/>
          <w:szCs w:val="24"/>
        </w:rPr>
        <w:t xml:space="preserve">, United States District Court Judge Charlotte N. Sweeney, U.S. District Court for District of Colorado, granted motions to dismiss the paramedic and the police officer.  The paramedic was on a three-person crisis response team (CRT) with a police officer and a licensed clinician.  The paramedic tackled the mental patient to prevent him walking back into the street and then render care. Both the paramedic and the police officer have qualified immunity.  </w:t>
      </w:r>
      <w:hyperlink r:id="rId1976" w:history="1">
        <w:r w:rsidRPr="00CA2B3F">
          <w:rPr>
            <w:rStyle w:val="Hyperlink"/>
            <w:rFonts w:ascii="Times New Roman" w:hAnsi="Times New Roman"/>
            <w:sz w:val="24"/>
            <w:szCs w:val="24"/>
          </w:rPr>
          <w:t>https://storage.courtlistener.com/recap/gov.uscourts.cod.231472/gov.uscourts.cod.231472.63.0.pdf</w:t>
        </w:r>
      </w:hyperlink>
      <w:r w:rsidRPr="00CA2B3F">
        <w:rPr>
          <w:rFonts w:ascii="Times New Roman" w:hAnsi="Times New Roman"/>
          <w:sz w:val="24"/>
          <w:szCs w:val="24"/>
        </w:rPr>
        <w:t xml:space="preserve"> </w:t>
      </w:r>
    </w:p>
    <w:p w14:paraId="79FB090C"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 xml:space="preserve">The Court described facts:  </w:t>
      </w:r>
    </w:p>
    <w:p w14:paraId="2E9708A6" w14:textId="77777777" w:rsidR="00062DA4" w:rsidRPr="00CA2B3F" w:rsidRDefault="00062DA4" w:rsidP="00062DA4">
      <w:pPr>
        <w:pStyle w:val="NoSpacing"/>
        <w:rPr>
          <w:rFonts w:ascii="Times New Roman" w:hAnsi="Times New Roman"/>
          <w:sz w:val="24"/>
          <w:szCs w:val="24"/>
        </w:rPr>
      </w:pPr>
    </w:p>
    <w:p w14:paraId="7333825F" w14:textId="77777777" w:rsidR="00062DA4" w:rsidRPr="00CA2B3F" w:rsidRDefault="00062DA4" w:rsidP="00062DA4">
      <w:pPr>
        <w:pStyle w:val="NoSpacing"/>
        <w:ind w:left="720"/>
        <w:rPr>
          <w:rFonts w:ascii="Times New Roman" w:hAnsi="Times New Roman"/>
          <w:sz w:val="24"/>
          <w:szCs w:val="24"/>
        </w:rPr>
      </w:pPr>
      <w:proofErr w:type="gramStart"/>
      <w:r w:rsidRPr="00CA2B3F">
        <w:rPr>
          <w:rFonts w:ascii="Times New Roman" w:hAnsi="Times New Roman"/>
          <w:sz w:val="24"/>
          <w:szCs w:val="24"/>
        </w:rPr>
        <w:lastRenderedPageBreak/>
        <w:t>“[Officer]Reed</w:t>
      </w:r>
      <w:proofErr w:type="gramEnd"/>
      <w:r w:rsidRPr="00CA2B3F">
        <w:rPr>
          <w:rFonts w:ascii="Times New Roman" w:hAnsi="Times New Roman"/>
          <w:sz w:val="24"/>
          <w:szCs w:val="24"/>
        </w:rPr>
        <w:t xml:space="preserve"> approached Mr. Dizmang, who walked back into traffic and bent over with his hands on his knees, displaying respiratory distress. Id. Mr. Dizmang said, ‘HELP me,’ then walked farther into the road…. Mr. Dizmang repeatedly </w:t>
      </w:r>
      <w:proofErr w:type="gramStart"/>
      <w:r w:rsidRPr="00CA2B3F">
        <w:rPr>
          <w:rFonts w:ascii="Times New Roman" w:hAnsi="Times New Roman"/>
          <w:sz w:val="24"/>
          <w:szCs w:val="24"/>
        </w:rPr>
        <w:t>said ‘please’</w:t>
      </w:r>
      <w:proofErr w:type="gramEnd"/>
      <w:r w:rsidRPr="00CA2B3F">
        <w:rPr>
          <w:rFonts w:ascii="Times New Roman" w:hAnsi="Times New Roman"/>
          <w:sz w:val="24"/>
          <w:szCs w:val="24"/>
        </w:rPr>
        <w:t xml:space="preserve"> and walked in circles in a ‘clearly </w:t>
      </w:r>
      <w:proofErr w:type="gramStart"/>
      <w:r w:rsidRPr="00CA2B3F">
        <w:rPr>
          <w:rFonts w:ascii="Times New Roman" w:hAnsi="Times New Roman"/>
          <w:sz w:val="24"/>
          <w:szCs w:val="24"/>
        </w:rPr>
        <w:t>confused</w:t>
      </w:r>
      <w:proofErr w:type="gramEnd"/>
      <w:r w:rsidRPr="00CA2B3F">
        <w:rPr>
          <w:rFonts w:ascii="Times New Roman" w:hAnsi="Times New Roman"/>
          <w:sz w:val="24"/>
          <w:szCs w:val="24"/>
        </w:rPr>
        <w:t xml:space="preserve"> and panicked state.’ … Defendant Reed then told Mr. Dizmang, </w:t>
      </w:r>
      <w:proofErr w:type="gramStart"/>
      <w:r w:rsidRPr="00CA2B3F">
        <w:rPr>
          <w:rFonts w:ascii="Times New Roman" w:hAnsi="Times New Roman"/>
          <w:sz w:val="24"/>
          <w:szCs w:val="24"/>
        </w:rPr>
        <w:t>‘sit</w:t>
      </w:r>
      <w:proofErr w:type="gramEnd"/>
      <w:r w:rsidRPr="00CA2B3F">
        <w:rPr>
          <w:rFonts w:ascii="Times New Roman" w:hAnsi="Times New Roman"/>
          <w:sz w:val="24"/>
          <w:szCs w:val="24"/>
        </w:rPr>
        <w:t xml:space="preserve"> down or put your hands behind your back.’</w:t>
      </w:r>
    </w:p>
    <w:p w14:paraId="1A1D6DF3" w14:textId="77777777" w:rsidR="00062DA4" w:rsidRPr="00CA2B3F" w:rsidRDefault="00062DA4" w:rsidP="00062DA4">
      <w:pPr>
        <w:pStyle w:val="NoSpacing"/>
        <w:rPr>
          <w:rFonts w:ascii="Times New Roman" w:hAnsi="Times New Roman"/>
          <w:sz w:val="24"/>
          <w:szCs w:val="24"/>
        </w:rPr>
      </w:pPr>
    </w:p>
    <w:p w14:paraId="760FCB6E"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56FC3817"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The parties </w:t>
      </w:r>
      <w:proofErr w:type="gramStart"/>
      <w:r w:rsidRPr="00CA2B3F">
        <w:rPr>
          <w:rFonts w:ascii="Times New Roman" w:hAnsi="Times New Roman"/>
          <w:sz w:val="24"/>
          <w:szCs w:val="24"/>
        </w:rPr>
        <w:t>dispute</w:t>
      </w:r>
      <w:proofErr w:type="gramEnd"/>
      <w:r w:rsidRPr="00CA2B3F">
        <w:rPr>
          <w:rFonts w:ascii="Times New Roman" w:hAnsi="Times New Roman"/>
          <w:sz w:val="24"/>
          <w:szCs w:val="24"/>
        </w:rPr>
        <w:t xml:space="preserve"> what happened next. [Court now references the plaintiff’s complaint.] Plaintiff alleges that, as Mr. Dizmang stood in the tree line approximately 20 feet from the road, [Paramedic] Fischer ‘suddenly and violently tackled’ him to the ground…. As alleged, Defendant Fischer put Mr. Dizmang into a chokehold by wrapping his arms around his neck while Defendant Reed handcuffed Mr. Dizmang’s hands behind his back….  Defendant Fischer maintained this hold for approximately 30 seconds…. Mr. Dizmang stopped moving.</w:t>
      </w:r>
    </w:p>
    <w:p w14:paraId="2500B162" w14:textId="77777777" w:rsidR="00062DA4" w:rsidRPr="00CA2B3F" w:rsidRDefault="00062DA4" w:rsidP="00062DA4">
      <w:pPr>
        <w:pStyle w:val="NoSpacing"/>
        <w:rPr>
          <w:rFonts w:ascii="Times New Roman" w:hAnsi="Times New Roman"/>
          <w:sz w:val="24"/>
          <w:szCs w:val="24"/>
        </w:rPr>
      </w:pPr>
    </w:p>
    <w:p w14:paraId="26A1CD14"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then rolled Mr. Dizmang face down on the ground, with his</w:t>
      </w:r>
    </w:p>
    <w:p w14:paraId="28452EE4"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hands on the back of Mr. Dizmang’s neck and ‘driving his body weight downward, [Mr. Dizmang’s] neck and face into the ground. … Plaintiff alleges that Defendant Fischer stayed in that position, ‘with his body weight on [Mr. Dizmang’s] neck and back,’ for approximately forty-five seconds….Defendants Fischer and Reed then rolled Mr. Dizmang into a seated position….  At that point, Mr. Dizmang still had a faint pulse, but he was struggling to breathe and was unresponsive to questions and commands…. A bystander repeatedly told Mr. Dizmang, </w:t>
      </w:r>
      <w:proofErr w:type="gramStart"/>
      <w:r w:rsidRPr="00CA2B3F">
        <w:rPr>
          <w:rFonts w:ascii="Times New Roman" w:hAnsi="Times New Roman"/>
          <w:sz w:val="24"/>
          <w:szCs w:val="24"/>
        </w:rPr>
        <w:t>‘talk</w:t>
      </w:r>
      <w:proofErr w:type="gramEnd"/>
      <w:r w:rsidRPr="00CA2B3F">
        <w:rPr>
          <w:rFonts w:ascii="Times New Roman" w:hAnsi="Times New Roman"/>
          <w:sz w:val="24"/>
          <w:szCs w:val="24"/>
        </w:rPr>
        <w:t xml:space="preserve"> to me,’ but he never responded…. Defendant Reed called for an ambulance…. Defendants Reed and Fischer left Mr. Dizmang in handcuffs…. He remained handcuffed for nearly seven minutes before he was loaded onto a stretcher and moved into an ambulance…. As alleged,</w:t>
      </w:r>
    </w:p>
    <w:p w14:paraId="0124A44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took no actions to provide medical care or resuscitate Mr. Dizmang….</w:t>
      </w:r>
    </w:p>
    <w:p w14:paraId="75BE8A7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commented, ‘He’s not aspirating’ and ‘I want to attempt a</w:t>
      </w:r>
    </w:p>
    <w:p w14:paraId="29D2AED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nasal airway.’ …Medical staff attempted resuscitation measures once Mr. Dizmang was</w:t>
      </w:r>
    </w:p>
    <w:p w14:paraId="1289D7D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transferred to the ambulance…. Once at the hospital, emergency room staff also attempted life-saving measures, but Mr. Dizmang was pronounced dead at 6:16 p.m.”</w:t>
      </w:r>
    </w:p>
    <w:p w14:paraId="4D2AA20F" w14:textId="77777777" w:rsidR="00062DA4" w:rsidRPr="00CA2B3F" w:rsidRDefault="00062DA4" w:rsidP="00062DA4">
      <w:pPr>
        <w:pStyle w:val="NoSpacing"/>
        <w:rPr>
          <w:rFonts w:ascii="Times New Roman" w:hAnsi="Times New Roman"/>
          <w:sz w:val="24"/>
          <w:szCs w:val="24"/>
        </w:rPr>
      </w:pPr>
    </w:p>
    <w:p w14:paraId="7797E772"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The Court held:</w:t>
      </w:r>
    </w:p>
    <w:p w14:paraId="199703FE" w14:textId="77777777" w:rsidR="00062DA4" w:rsidRPr="00CA2B3F" w:rsidRDefault="00062DA4" w:rsidP="00062DA4">
      <w:pPr>
        <w:pStyle w:val="NoSpacing"/>
        <w:rPr>
          <w:rFonts w:ascii="Times New Roman" w:hAnsi="Times New Roman"/>
          <w:sz w:val="24"/>
          <w:szCs w:val="24"/>
        </w:rPr>
      </w:pPr>
    </w:p>
    <w:p w14:paraId="5180D940"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“Here, based on the allegations in the complaint, it appears that [Paramedic] Fischer</w:t>
      </w:r>
    </w:p>
    <w:p w14:paraId="571B4C02"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was not attempting to arrest Mr. Dizmang or otherwise enforce the law; he was trying to</w:t>
      </w:r>
    </w:p>
    <w:p w14:paraId="4D3FC7CF"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subdue him so that he could be properly treated…. </w:t>
      </w:r>
      <w:proofErr w:type="gramStart"/>
      <w:r w:rsidRPr="00CA2B3F">
        <w:rPr>
          <w:rFonts w:ascii="Times New Roman" w:hAnsi="Times New Roman"/>
          <w:sz w:val="24"/>
          <w:szCs w:val="24"/>
        </w:rPr>
        <w:t>It is clear that Mr. Dizmang</w:t>
      </w:r>
      <w:proofErr w:type="gramEnd"/>
      <w:r w:rsidRPr="00CA2B3F">
        <w:rPr>
          <w:rFonts w:ascii="Times New Roman" w:hAnsi="Times New Roman"/>
          <w:sz w:val="24"/>
          <w:szCs w:val="24"/>
        </w:rPr>
        <w:t xml:space="preserve"> needed </w:t>
      </w:r>
    </w:p>
    <w:p w14:paraId="22E13D4C"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treatment and that Defendant Fischer was attempting to fulfill his role as a treatment provider.</w:t>
      </w:r>
    </w:p>
    <w:p w14:paraId="35F95212" w14:textId="77777777" w:rsidR="00062DA4" w:rsidRPr="00CA2B3F" w:rsidRDefault="00062DA4" w:rsidP="00062DA4">
      <w:pPr>
        <w:pStyle w:val="NoSpacing"/>
        <w:rPr>
          <w:rFonts w:ascii="Times New Roman" w:hAnsi="Times New Roman"/>
          <w:sz w:val="24"/>
          <w:szCs w:val="24"/>
        </w:rPr>
      </w:pPr>
    </w:p>
    <w:p w14:paraId="38CE3EA0"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5B4561E8"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Even if a paramedic’s attempt to provide treatment amounts to a violation of a constitutional right to be free from </w:t>
      </w:r>
      <w:proofErr w:type="gramStart"/>
      <w:r w:rsidRPr="00CA2B3F">
        <w:rPr>
          <w:rFonts w:ascii="Times New Roman" w:hAnsi="Times New Roman"/>
          <w:sz w:val="24"/>
          <w:szCs w:val="24"/>
        </w:rPr>
        <w:t>an unlawful</w:t>
      </w:r>
      <w:proofErr w:type="gramEnd"/>
      <w:r w:rsidRPr="00CA2B3F">
        <w:rPr>
          <w:rFonts w:ascii="Times New Roman" w:hAnsi="Times New Roman"/>
          <w:sz w:val="24"/>
          <w:szCs w:val="24"/>
        </w:rPr>
        <w:t xml:space="preserve"> seizure, the right was not clearly established. The Tenth Circuit has not opined on whether or in what circumstances a paramedic can effectuate a Fourth Amendment seizure…. Thus, the Court grants Defendant Fischer’s motion to dismiss and declines to exercise supplemental jurisdiction over state law claims brought here.</w:t>
      </w:r>
    </w:p>
    <w:p w14:paraId="0FC9DCB2" w14:textId="77777777" w:rsidR="00062DA4" w:rsidRPr="00CA2B3F" w:rsidRDefault="00062DA4" w:rsidP="00062DA4">
      <w:pPr>
        <w:pStyle w:val="NoSpacing"/>
        <w:rPr>
          <w:rFonts w:ascii="Times New Roman" w:hAnsi="Times New Roman"/>
          <w:sz w:val="24"/>
          <w:szCs w:val="24"/>
        </w:rPr>
      </w:pPr>
    </w:p>
    <w:p w14:paraId="4E246338"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64FF2AEA" w14:textId="77777777" w:rsidR="00062DA4" w:rsidRPr="00CA2B3F" w:rsidRDefault="00062DA4" w:rsidP="00062DA4">
      <w:pPr>
        <w:pStyle w:val="NoSpacing"/>
        <w:rPr>
          <w:rFonts w:ascii="Times New Roman" w:hAnsi="Times New Roman"/>
          <w:sz w:val="24"/>
          <w:szCs w:val="24"/>
        </w:rPr>
      </w:pPr>
    </w:p>
    <w:p w14:paraId="2C1E4F77"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[Police Officer] Reed is also entitled to qualified immunity based on the second prong. Plaintiff has not pointed to any Tenth Circuit precedent establishing a Fourth Amendment claim based on a failure to intervene in a paramedic’s alleged use of excessive </w:t>
      </w:r>
      <w:proofErr w:type="gramStart"/>
      <w:r w:rsidRPr="00CA2B3F">
        <w:rPr>
          <w:rFonts w:ascii="Times New Roman" w:hAnsi="Times New Roman"/>
          <w:sz w:val="24"/>
          <w:szCs w:val="24"/>
        </w:rPr>
        <w:t>force.”</w:t>
      </w:r>
      <w:proofErr w:type="gramEnd"/>
    </w:p>
    <w:p w14:paraId="21DB56C2" w14:textId="77777777" w:rsidR="00062DA4" w:rsidRPr="00CA2B3F" w:rsidRDefault="00062DA4" w:rsidP="00062DA4">
      <w:pPr>
        <w:pStyle w:val="NoSpacing"/>
        <w:rPr>
          <w:rFonts w:ascii="Times New Roman" w:hAnsi="Times New Roman"/>
          <w:sz w:val="24"/>
          <w:szCs w:val="24"/>
        </w:rPr>
      </w:pPr>
    </w:p>
    <w:p w14:paraId="769C11BC" w14:textId="0AE82026" w:rsidR="00062DA4" w:rsidRPr="00CA2B3F" w:rsidRDefault="00062DA4" w:rsidP="00062DA4">
      <w:pPr>
        <w:rPr>
          <w:rFonts w:ascii="Times New Roman" w:hAnsi="Times New Roman"/>
          <w:b/>
          <w:bCs/>
          <w:sz w:val="24"/>
          <w:szCs w:val="24"/>
        </w:rPr>
      </w:pPr>
      <w:r w:rsidRPr="00CA2B3F">
        <w:rPr>
          <w:rFonts w:ascii="Times New Roman" w:hAnsi="Times New Roman"/>
          <w:b/>
          <w:sz w:val="24"/>
          <w:szCs w:val="24"/>
        </w:rPr>
        <w:t xml:space="preserve">Legal Lesson Learned:  Critical Response Teams are a wonderful community asset; when subduing a mental </w:t>
      </w:r>
      <w:proofErr w:type="gramStart"/>
      <w:r w:rsidRPr="00CA2B3F">
        <w:rPr>
          <w:rFonts w:ascii="Times New Roman" w:hAnsi="Times New Roman"/>
          <w:b/>
          <w:sz w:val="24"/>
          <w:szCs w:val="24"/>
        </w:rPr>
        <w:t>patient</w:t>
      </w:r>
      <w:proofErr w:type="gramEnd"/>
      <w:r w:rsidRPr="00CA2B3F">
        <w:rPr>
          <w:rFonts w:ascii="Times New Roman" w:hAnsi="Times New Roman"/>
          <w:b/>
          <w:sz w:val="24"/>
          <w:szCs w:val="24"/>
        </w:rPr>
        <w:t xml:space="preserve"> it is helpful to have a member of the team videotape the conduct</w:t>
      </w:r>
      <w:r w:rsidR="008226AC">
        <w:rPr>
          <w:rFonts w:ascii="Times New Roman" w:hAnsi="Times New Roman"/>
          <w:b/>
          <w:sz w:val="24"/>
          <w:szCs w:val="24"/>
        </w:rPr>
        <w:t>.</w:t>
      </w:r>
    </w:p>
    <w:p w14:paraId="07AFF63B" w14:textId="77777777" w:rsidR="00D85226" w:rsidRDefault="00D85226" w:rsidP="002B1283">
      <w:pPr>
        <w:rPr>
          <w:rFonts w:ascii="Arial Black" w:hAnsi="Arial Black"/>
          <w:b/>
          <w:bCs/>
          <w:sz w:val="28"/>
          <w:szCs w:val="28"/>
        </w:rPr>
      </w:pPr>
    </w:p>
    <w:p w14:paraId="7302C3F2" w14:textId="04B3FB33" w:rsidR="003D0C4C" w:rsidRDefault="003D0C4C" w:rsidP="002B1283">
      <w:pPr>
        <w:rPr>
          <w:rFonts w:ascii="Arial Black" w:hAnsi="Arial Black"/>
          <w:b/>
          <w:bCs/>
          <w:sz w:val="28"/>
          <w:szCs w:val="28"/>
        </w:rPr>
      </w:pPr>
      <w:r>
        <w:rPr>
          <w:rFonts w:ascii="Arial Black" w:hAnsi="Arial Black"/>
          <w:b/>
          <w:bCs/>
          <w:sz w:val="28"/>
          <w:szCs w:val="28"/>
        </w:rPr>
        <w:t>13-20</w:t>
      </w:r>
      <w:r w:rsidR="00524647">
        <w:rPr>
          <w:rFonts w:ascii="Arial Black" w:hAnsi="Arial Black"/>
          <w:b/>
          <w:bCs/>
          <w:sz w:val="28"/>
          <w:szCs w:val="28"/>
        </w:rPr>
        <w:t>7</w:t>
      </w:r>
    </w:p>
    <w:p w14:paraId="1CDF1CA2" w14:textId="286C4C04" w:rsidR="003D0C4C" w:rsidRPr="000B7F2C" w:rsidRDefault="003D0C4C" w:rsidP="003D0C4C">
      <w:pPr>
        <w:rPr>
          <w:rFonts w:ascii="Arial Black" w:hAnsi="Arial Black"/>
          <w:sz w:val="28"/>
          <w:szCs w:val="28"/>
        </w:rPr>
      </w:pPr>
      <w:r w:rsidRPr="000B7F2C">
        <w:rPr>
          <w:rFonts w:ascii="Arial Black" w:hAnsi="Arial Black"/>
          <w:sz w:val="28"/>
          <w:szCs w:val="28"/>
        </w:rPr>
        <w:t xml:space="preserve">CA: </w:t>
      </w:r>
      <w:r w:rsidR="004D6D56">
        <w:rPr>
          <w:rFonts w:ascii="Arial Black" w:hAnsi="Arial Black"/>
          <w:sz w:val="28"/>
          <w:szCs w:val="28"/>
        </w:rPr>
        <w:t xml:space="preserve">HEAD INJURY – NO C-COLLAR </w:t>
      </w:r>
      <w:r w:rsidR="00DB1A8A">
        <w:rPr>
          <w:rFonts w:ascii="Arial Black" w:hAnsi="Arial Black"/>
          <w:sz w:val="28"/>
          <w:szCs w:val="28"/>
        </w:rPr>
        <w:t xml:space="preserve">/ </w:t>
      </w:r>
      <w:r w:rsidR="009A6126">
        <w:rPr>
          <w:rFonts w:ascii="Arial Black" w:hAnsi="Arial Black"/>
          <w:sz w:val="28"/>
          <w:szCs w:val="28"/>
        </w:rPr>
        <w:t xml:space="preserve">PT </w:t>
      </w:r>
      <w:r w:rsidR="00110BB4">
        <w:rPr>
          <w:rFonts w:ascii="Arial Black" w:hAnsi="Arial Black"/>
          <w:sz w:val="28"/>
          <w:szCs w:val="28"/>
        </w:rPr>
        <w:t xml:space="preserve">NOW </w:t>
      </w:r>
      <w:r w:rsidRPr="000B7F2C">
        <w:rPr>
          <w:rFonts w:ascii="Arial Black" w:hAnsi="Arial Black"/>
          <w:sz w:val="28"/>
          <w:szCs w:val="28"/>
        </w:rPr>
        <w:t>QUAD</w:t>
      </w:r>
      <w:r w:rsidR="00110BB4">
        <w:rPr>
          <w:rFonts w:ascii="Arial Black" w:hAnsi="Arial Black"/>
          <w:sz w:val="28"/>
          <w:szCs w:val="28"/>
        </w:rPr>
        <w:t xml:space="preserve"> </w:t>
      </w:r>
      <w:r w:rsidR="008226AC">
        <w:rPr>
          <w:rFonts w:ascii="Arial Black" w:hAnsi="Arial Black"/>
          <w:sz w:val="28"/>
          <w:szCs w:val="28"/>
        </w:rPr>
        <w:t>–</w:t>
      </w:r>
      <w:r w:rsidR="00110BB4">
        <w:rPr>
          <w:rFonts w:ascii="Arial Black" w:hAnsi="Arial Black"/>
          <w:sz w:val="28"/>
          <w:szCs w:val="28"/>
        </w:rPr>
        <w:t xml:space="preserve"> </w:t>
      </w:r>
      <w:r w:rsidR="008226AC">
        <w:rPr>
          <w:rFonts w:ascii="Arial Black" w:hAnsi="Arial Black"/>
          <w:sz w:val="28"/>
          <w:szCs w:val="28"/>
        </w:rPr>
        <w:t xml:space="preserve">IMMUNITY - </w:t>
      </w:r>
      <w:r w:rsidR="00110BB4">
        <w:rPr>
          <w:rFonts w:ascii="Arial Black" w:hAnsi="Arial Black"/>
          <w:sz w:val="28"/>
          <w:szCs w:val="28"/>
        </w:rPr>
        <w:t>NOT GROSS NEG</w:t>
      </w:r>
      <w:r w:rsidRPr="000B7F2C">
        <w:rPr>
          <w:rFonts w:ascii="Arial Black" w:hAnsi="Arial Black"/>
          <w:sz w:val="28"/>
          <w:szCs w:val="28"/>
        </w:rPr>
        <w:t xml:space="preserve"> </w:t>
      </w:r>
    </w:p>
    <w:p w14:paraId="365A377D" w14:textId="77777777" w:rsidR="003D0C4C" w:rsidRPr="003D0C4C" w:rsidRDefault="003D0C4C" w:rsidP="003D0C4C">
      <w:pPr>
        <w:rPr>
          <w:rFonts w:ascii="Times New Roman" w:hAnsi="Times New Roman"/>
          <w:sz w:val="24"/>
          <w:szCs w:val="24"/>
        </w:rPr>
      </w:pPr>
      <w:r w:rsidRPr="003D0C4C">
        <w:rPr>
          <w:rFonts w:ascii="Times New Roman" w:hAnsi="Times New Roman"/>
          <w:sz w:val="24"/>
          <w:szCs w:val="24"/>
        </w:rPr>
        <w:t xml:space="preserve">On Feb. 20, 2025, in </w:t>
      </w:r>
      <w:r w:rsidRPr="003D0C4C">
        <w:rPr>
          <w:rFonts w:ascii="Times New Roman" w:hAnsi="Times New Roman"/>
          <w:sz w:val="24"/>
          <w:szCs w:val="24"/>
          <w:u w:val="single"/>
        </w:rPr>
        <w:t xml:space="preserve">Manju </w:t>
      </w:r>
      <w:proofErr w:type="spellStart"/>
      <w:r w:rsidRPr="003D0C4C">
        <w:rPr>
          <w:rFonts w:ascii="Times New Roman" w:hAnsi="Times New Roman"/>
          <w:sz w:val="24"/>
          <w:szCs w:val="24"/>
          <w:u w:val="single"/>
        </w:rPr>
        <w:t>Devga</w:t>
      </w:r>
      <w:proofErr w:type="spellEnd"/>
      <w:r w:rsidRPr="003D0C4C">
        <w:rPr>
          <w:rFonts w:ascii="Times New Roman" w:hAnsi="Times New Roman"/>
          <w:sz w:val="24"/>
          <w:szCs w:val="24"/>
          <w:u w:val="single"/>
        </w:rPr>
        <w:t xml:space="preserve"> v. City of Santa Monica</w:t>
      </w:r>
      <w:r w:rsidRPr="003D0C4C">
        <w:rPr>
          <w:rFonts w:ascii="Times New Roman" w:hAnsi="Times New Roman"/>
          <w:sz w:val="24"/>
          <w:szCs w:val="24"/>
        </w:rPr>
        <w:t xml:space="preserve">, the California Court of Appeals, Second District, Division Two, held (2 to 1; unpublished decision) that trial court properly dismissed the lawsuit.  The conduct of EMS may have been negligent and led to the permanent injuries of the patient (a Medical Doctor), as they ignored the warnings from his wife (another Medical Doctor), but under California law the EMS and the City are immune from liability unless proof of “bad faith or gross negligence.” </w:t>
      </w:r>
      <w:hyperlink r:id="rId1977" w:history="1">
        <w:r w:rsidRPr="003D0C4C">
          <w:rPr>
            <w:rStyle w:val="Hyperlink"/>
            <w:rFonts w:ascii="Times New Roman" w:hAnsi="Times New Roman"/>
            <w:sz w:val="24"/>
            <w:szCs w:val="24"/>
          </w:rPr>
          <w:t>https://www4.courts.ca.gov/opinions/nonpub/B332479.PDF</w:t>
        </w:r>
      </w:hyperlink>
      <w:r w:rsidRPr="003D0C4C">
        <w:rPr>
          <w:rFonts w:ascii="Times New Roman" w:hAnsi="Times New Roman"/>
          <w:sz w:val="24"/>
          <w:szCs w:val="24"/>
        </w:rPr>
        <w:t xml:space="preserve"> </w:t>
      </w:r>
    </w:p>
    <w:p w14:paraId="3E0F7893" w14:textId="77777777" w:rsidR="003D0C4C" w:rsidRPr="003D0C4C" w:rsidRDefault="003D0C4C" w:rsidP="003D0C4C">
      <w:pPr>
        <w:pStyle w:val="NoSpacing"/>
        <w:rPr>
          <w:rFonts w:ascii="Times New Roman" w:hAnsi="Times New Roman"/>
          <w:sz w:val="24"/>
          <w:szCs w:val="24"/>
        </w:rPr>
      </w:pPr>
      <w:r w:rsidRPr="003D0C4C">
        <w:rPr>
          <w:rFonts w:ascii="Times New Roman" w:hAnsi="Times New Roman"/>
          <w:sz w:val="24"/>
          <w:szCs w:val="24"/>
        </w:rPr>
        <w:t xml:space="preserve">Court described facts: </w:t>
      </w:r>
    </w:p>
    <w:p w14:paraId="729161C9" w14:textId="77777777" w:rsidR="003D0C4C" w:rsidRPr="003D0C4C" w:rsidRDefault="003D0C4C" w:rsidP="003D0C4C">
      <w:pPr>
        <w:pStyle w:val="NoSpacing"/>
        <w:rPr>
          <w:rFonts w:ascii="Times New Roman" w:hAnsi="Times New Roman"/>
          <w:sz w:val="24"/>
          <w:szCs w:val="24"/>
        </w:rPr>
      </w:pPr>
    </w:p>
    <w:p w14:paraId="4E6159AC"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“Manju and Baldev were medical doctors. On April 27,2022, Baldev fell at home, hitting his head on the bathtub. Manju found her husband on the bathroom floor and called 911. She did not move him because she was concerned that he may have sustained orthopedic injury or brain trauma. </w:t>
      </w:r>
    </w:p>
    <w:p w14:paraId="07BA0CDB" w14:textId="77777777" w:rsidR="003D0C4C" w:rsidRPr="003D0C4C" w:rsidRDefault="003D0C4C" w:rsidP="003D0C4C">
      <w:pPr>
        <w:pStyle w:val="NoSpacing"/>
        <w:rPr>
          <w:rFonts w:ascii="Times New Roman" w:hAnsi="Times New Roman"/>
          <w:sz w:val="24"/>
          <w:szCs w:val="24"/>
        </w:rPr>
      </w:pPr>
    </w:p>
    <w:p w14:paraId="078BDA38"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Manju informed City’s emergency medical technicians (EMT’s) that she is a doctor, and that they needed to protect and stabilize Baldev’s neck before moving him because he had hit his head. They replied that they ‘are professionals and you need to let us do our job,’ and pushed her out of the bathroom. </w:t>
      </w:r>
    </w:p>
    <w:p w14:paraId="1B3F53B6" w14:textId="77777777" w:rsidR="003D0C4C" w:rsidRPr="003D0C4C" w:rsidRDefault="003D0C4C" w:rsidP="003D0C4C">
      <w:pPr>
        <w:pStyle w:val="NoSpacing"/>
        <w:rPr>
          <w:rFonts w:ascii="Times New Roman" w:hAnsi="Times New Roman"/>
          <w:sz w:val="24"/>
          <w:szCs w:val="24"/>
        </w:rPr>
      </w:pPr>
    </w:p>
    <w:p w14:paraId="677B3DE3"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Manju witnessed the EMT’s actions through the doorway. They did not put a cervical spine (C-spine) immobilization collar on Baldev, or take precautions to protect his spine, contrary to Manju’s warning. They moved him, had him sit up, and tried to get him to stand. They opined that ‘he looks ok’ ” and was able to move his extremities. They sat him on a chair. </w:t>
      </w:r>
    </w:p>
    <w:p w14:paraId="7E022652" w14:textId="77777777" w:rsidR="003D0C4C" w:rsidRPr="003D0C4C" w:rsidRDefault="003D0C4C" w:rsidP="003D0C4C">
      <w:pPr>
        <w:pStyle w:val="NoSpacing"/>
        <w:rPr>
          <w:rFonts w:ascii="Times New Roman" w:hAnsi="Times New Roman"/>
          <w:sz w:val="24"/>
          <w:szCs w:val="24"/>
        </w:rPr>
      </w:pPr>
    </w:p>
    <w:p w14:paraId="33851778"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When EMT’s placed Baldev on a gurney, he voiced concern that no precautions were being taken to protect his spine from further injury. Nonetheless, they put the gurney in an upright position and moved him downstairs ‘with a bouncing, jarring motion with each step.’ Baldev expressed discomfort and distress, and Manju protested. The EMT’s put Baldev in a supine position to load him in the ambulance, further jarring him. He complained of </w:t>
      </w:r>
      <w:proofErr w:type="gramStart"/>
      <w:r w:rsidRPr="003D0C4C">
        <w:rPr>
          <w:rFonts w:ascii="Times New Roman" w:hAnsi="Times New Roman"/>
          <w:sz w:val="24"/>
          <w:szCs w:val="24"/>
        </w:rPr>
        <w:t>pain, and</w:t>
      </w:r>
      <w:proofErr w:type="gramEnd"/>
      <w:r w:rsidRPr="003D0C4C">
        <w:rPr>
          <w:rFonts w:ascii="Times New Roman" w:hAnsi="Times New Roman"/>
          <w:sz w:val="24"/>
          <w:szCs w:val="24"/>
        </w:rPr>
        <w:t xml:space="preserve"> asked the EMT’s to place </w:t>
      </w:r>
      <w:proofErr w:type="gramStart"/>
      <w:r w:rsidRPr="003D0C4C">
        <w:rPr>
          <w:rFonts w:ascii="Times New Roman" w:hAnsi="Times New Roman"/>
          <w:sz w:val="24"/>
          <w:szCs w:val="24"/>
        </w:rPr>
        <w:t>supports</w:t>
      </w:r>
      <w:proofErr w:type="gramEnd"/>
      <w:r w:rsidRPr="003D0C4C">
        <w:rPr>
          <w:rFonts w:ascii="Times New Roman" w:hAnsi="Times New Roman"/>
          <w:sz w:val="24"/>
          <w:szCs w:val="24"/>
        </w:rPr>
        <w:t xml:space="preserve"> on him for safety when the vehicle’s movement jostled him while it drove down the road. They ignored his requests. </w:t>
      </w:r>
    </w:p>
    <w:p w14:paraId="13E21DDB" w14:textId="77777777" w:rsidR="003D0C4C" w:rsidRPr="003D0C4C" w:rsidRDefault="003D0C4C" w:rsidP="003D0C4C">
      <w:pPr>
        <w:pStyle w:val="NoSpacing"/>
        <w:rPr>
          <w:rFonts w:ascii="Times New Roman" w:hAnsi="Times New Roman"/>
          <w:sz w:val="24"/>
          <w:szCs w:val="24"/>
        </w:rPr>
      </w:pPr>
    </w:p>
    <w:p w14:paraId="64A00411"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Baldev was evaluated at a nearby hospital. A CT scan showed a serious neck injury. Physicians placed a C-spine collar on him and transferred him to UCLA for emergency surgery for a spinal cord injury. He became quadriplegic after his fall.”</w:t>
      </w:r>
    </w:p>
    <w:p w14:paraId="69C8F224" w14:textId="77777777" w:rsidR="003D0C4C" w:rsidRPr="003D0C4C" w:rsidRDefault="003D0C4C" w:rsidP="003D0C4C">
      <w:pPr>
        <w:pStyle w:val="NoSpacing"/>
        <w:rPr>
          <w:rFonts w:ascii="Times New Roman" w:hAnsi="Times New Roman"/>
          <w:sz w:val="24"/>
          <w:szCs w:val="24"/>
        </w:rPr>
      </w:pPr>
    </w:p>
    <w:p w14:paraId="5CFE337B" w14:textId="77777777" w:rsidR="003D0C4C" w:rsidRPr="003D0C4C" w:rsidRDefault="003D0C4C" w:rsidP="003D0C4C">
      <w:pPr>
        <w:pStyle w:val="NoSpacing"/>
        <w:rPr>
          <w:rFonts w:ascii="Times New Roman" w:hAnsi="Times New Roman"/>
          <w:sz w:val="24"/>
          <w:szCs w:val="24"/>
        </w:rPr>
      </w:pPr>
      <w:r w:rsidRPr="003D0C4C">
        <w:rPr>
          <w:rFonts w:ascii="Times New Roman" w:hAnsi="Times New Roman"/>
          <w:sz w:val="24"/>
          <w:szCs w:val="24"/>
        </w:rPr>
        <w:t xml:space="preserve">The Court held: </w:t>
      </w:r>
    </w:p>
    <w:p w14:paraId="1F09DECF" w14:textId="77777777" w:rsidR="003D0C4C" w:rsidRPr="003D0C4C" w:rsidRDefault="003D0C4C" w:rsidP="003D0C4C">
      <w:pPr>
        <w:pStyle w:val="NoSpacing"/>
        <w:rPr>
          <w:rFonts w:ascii="Times New Roman" w:hAnsi="Times New Roman"/>
          <w:sz w:val="24"/>
          <w:szCs w:val="24"/>
        </w:rPr>
      </w:pPr>
    </w:p>
    <w:p w14:paraId="58B57EF8"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“The issue is whether EMT’s efforts were grossly negligent. However, the pleading does not show an ‘extreme departure’ from the standard of care. Baldev was awake, alert, talking, moving his extremities, and able to sit in a chair. If EMT’s undertake triage measures and arrange transport to a hospital, it is immaterial if their acts or omissions are alleged to be below the standard of care: Efforts that are ultimately unavailing are not</w:t>
      </w:r>
    </w:p>
    <w:p w14:paraId="45D4CCC8"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an ‘extreme departure’ from the standard of care.</w:t>
      </w:r>
    </w:p>
    <w:p w14:paraId="0FC0E296" w14:textId="77777777" w:rsidR="003D0C4C" w:rsidRPr="003D0C4C" w:rsidRDefault="003D0C4C" w:rsidP="003D0C4C">
      <w:pPr>
        <w:pStyle w:val="NoSpacing"/>
        <w:rPr>
          <w:rFonts w:ascii="Times New Roman" w:hAnsi="Times New Roman"/>
          <w:sz w:val="24"/>
          <w:szCs w:val="24"/>
        </w:rPr>
      </w:pPr>
    </w:p>
    <w:p w14:paraId="75C1445E"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w:t>
      </w:r>
    </w:p>
    <w:p w14:paraId="1268CCFA" w14:textId="77777777" w:rsidR="003D0C4C" w:rsidRPr="003D0C4C" w:rsidRDefault="003D0C4C" w:rsidP="003D0C4C">
      <w:pPr>
        <w:pStyle w:val="NoSpacing"/>
        <w:rPr>
          <w:rFonts w:ascii="Times New Roman" w:hAnsi="Times New Roman"/>
          <w:sz w:val="24"/>
          <w:szCs w:val="24"/>
        </w:rPr>
      </w:pPr>
    </w:p>
    <w:p w14:paraId="598C4BFD"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The facts here show ordinary negligence, not gross negligence. The Legislature has chosen to give immunity to EMT’s who must make rapid decisions without the benefit of a testing device, such as a CT scanner, that would show </w:t>
      </w:r>
      <w:proofErr w:type="gramStart"/>
      <w:r w:rsidRPr="003D0C4C">
        <w:rPr>
          <w:rFonts w:ascii="Times New Roman" w:hAnsi="Times New Roman"/>
          <w:sz w:val="24"/>
          <w:szCs w:val="24"/>
        </w:rPr>
        <w:t>injury.”</w:t>
      </w:r>
      <w:proofErr w:type="gramEnd"/>
    </w:p>
    <w:p w14:paraId="764C1973" w14:textId="77777777" w:rsidR="003D0C4C" w:rsidRPr="003D0C4C" w:rsidRDefault="003D0C4C" w:rsidP="003D0C4C">
      <w:pPr>
        <w:pStyle w:val="NoSpacing"/>
        <w:rPr>
          <w:rFonts w:ascii="Times New Roman" w:hAnsi="Times New Roman"/>
          <w:sz w:val="24"/>
          <w:szCs w:val="24"/>
        </w:rPr>
      </w:pPr>
    </w:p>
    <w:p w14:paraId="60794A3C" w14:textId="77777777" w:rsidR="003D0C4C" w:rsidRPr="003D0C4C" w:rsidRDefault="003D0C4C" w:rsidP="003D0C4C">
      <w:pPr>
        <w:pStyle w:val="NoSpacing"/>
        <w:rPr>
          <w:rFonts w:ascii="Times New Roman" w:hAnsi="Times New Roman"/>
          <w:bCs/>
          <w:sz w:val="24"/>
          <w:szCs w:val="24"/>
        </w:rPr>
      </w:pPr>
      <w:r w:rsidRPr="003D0C4C">
        <w:rPr>
          <w:rFonts w:ascii="Times New Roman" w:hAnsi="Times New Roman"/>
          <w:sz w:val="24"/>
          <w:szCs w:val="24"/>
        </w:rPr>
        <w:t>DISSENT:</w:t>
      </w:r>
    </w:p>
    <w:p w14:paraId="2821CA92" w14:textId="77777777" w:rsidR="003D0C4C" w:rsidRPr="003D0C4C" w:rsidRDefault="003D0C4C" w:rsidP="003D0C4C">
      <w:pPr>
        <w:pStyle w:val="NoSpacing"/>
        <w:rPr>
          <w:rFonts w:ascii="Times New Roman" w:hAnsi="Times New Roman"/>
          <w:sz w:val="24"/>
          <w:szCs w:val="24"/>
        </w:rPr>
      </w:pPr>
    </w:p>
    <w:p w14:paraId="336516A9"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“Despite this information, the EMTs failed to ‘put a cervical spine (‘c-spine’) immobilization collar’ on Baldev or ‘otherwise secure and protect his spine’ before proceeding to sit him up. The EMTs moved Baldev to a gurney, converted the gurney into a sitting position, and brought it down two flights of stairs ‘with a bouncing, jarring[] motion with each step.’ ‘With each jarring movement[,]’ Baldev indicated his </w:t>
      </w:r>
      <w:proofErr w:type="gramStart"/>
      <w:r w:rsidRPr="003D0C4C">
        <w:rPr>
          <w:rFonts w:ascii="Times New Roman" w:hAnsi="Times New Roman"/>
          <w:sz w:val="24"/>
          <w:szCs w:val="24"/>
        </w:rPr>
        <w:t>distress, ‘</w:t>
      </w:r>
      <w:proofErr w:type="gramEnd"/>
      <w:r w:rsidRPr="003D0C4C">
        <w:rPr>
          <w:rFonts w:ascii="Times New Roman" w:hAnsi="Times New Roman"/>
          <w:sz w:val="24"/>
          <w:szCs w:val="24"/>
        </w:rPr>
        <w:t>informing the [EMTs] of [the] discomfort the movements were causing him.’</w:t>
      </w:r>
    </w:p>
    <w:p w14:paraId="48232025"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Once loaded into the ambulance, Baldev again informed the EMTs of his discomfort, including spinal pain, and requested support as he continued to be jarred by the motion of the ambulance. These requests were ignored. As a result, Baldev was rendered quadriplegic.</w:t>
      </w:r>
    </w:p>
    <w:p w14:paraId="0695019D" w14:textId="77777777" w:rsidR="003D0C4C" w:rsidRPr="003D0C4C" w:rsidRDefault="003D0C4C" w:rsidP="003D0C4C">
      <w:pPr>
        <w:pStyle w:val="NoSpacing"/>
        <w:rPr>
          <w:rFonts w:ascii="Times New Roman" w:hAnsi="Times New Roman"/>
          <w:sz w:val="24"/>
          <w:szCs w:val="24"/>
        </w:rPr>
      </w:pPr>
    </w:p>
    <w:p w14:paraId="1D6B932B"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w:t>
      </w:r>
    </w:p>
    <w:p w14:paraId="42F995C3"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Because, liberally construed, the complaint here states a cause of action for gross negligence, it cannot be said at this early juncture that the City of Santa Monica is entitled to section 1799.107 immunity as a matter of law…. I proffer that appellant has sufficiently pled gross negligence or, at a minimum, should be permitted an opportunity</w:t>
      </w:r>
    </w:p>
    <w:p w14:paraId="7BF33C11"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to amend the complaint.”</w:t>
      </w:r>
    </w:p>
    <w:p w14:paraId="3D545D66" w14:textId="77777777" w:rsidR="003D0C4C" w:rsidRPr="003D0C4C" w:rsidRDefault="003D0C4C" w:rsidP="003D0C4C">
      <w:pPr>
        <w:pStyle w:val="NoSpacing"/>
        <w:rPr>
          <w:rFonts w:ascii="Times New Roman" w:hAnsi="Times New Roman"/>
          <w:sz w:val="24"/>
          <w:szCs w:val="24"/>
        </w:rPr>
      </w:pPr>
    </w:p>
    <w:p w14:paraId="688FEA65" w14:textId="77777777" w:rsidR="003D0C4C" w:rsidRPr="003D0C4C" w:rsidRDefault="003D0C4C" w:rsidP="003D0C4C">
      <w:pPr>
        <w:pStyle w:val="NoSpacing"/>
        <w:rPr>
          <w:rFonts w:ascii="Times New Roman" w:hAnsi="Times New Roman"/>
          <w:b/>
          <w:bCs/>
          <w:sz w:val="24"/>
          <w:szCs w:val="24"/>
        </w:rPr>
      </w:pPr>
      <w:r w:rsidRPr="003D0C4C">
        <w:rPr>
          <w:rFonts w:ascii="Times New Roman" w:hAnsi="Times New Roman"/>
          <w:b/>
          <w:sz w:val="24"/>
          <w:szCs w:val="24"/>
        </w:rPr>
        <w:t xml:space="preserve">Legal Lesson Learned: These are very disturbing facts; please share with your personnel in continuing education sessions. </w:t>
      </w:r>
    </w:p>
    <w:p w14:paraId="74200472" w14:textId="77777777" w:rsidR="003D0C4C" w:rsidRPr="003D0C4C" w:rsidRDefault="003D0C4C" w:rsidP="003D0C4C">
      <w:pPr>
        <w:pStyle w:val="NoSpacing"/>
        <w:rPr>
          <w:rFonts w:ascii="Times New Roman" w:hAnsi="Times New Roman"/>
          <w:b/>
          <w:bCs/>
          <w:sz w:val="24"/>
          <w:szCs w:val="24"/>
        </w:rPr>
      </w:pPr>
      <w:r w:rsidRPr="003D0C4C">
        <w:rPr>
          <w:rFonts w:ascii="Times New Roman" w:hAnsi="Times New Roman"/>
          <w:b/>
          <w:sz w:val="24"/>
          <w:szCs w:val="24"/>
        </w:rPr>
        <w:tab/>
      </w:r>
    </w:p>
    <w:p w14:paraId="0B578EDD"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Note: California code – Section 1799.106 </w:t>
      </w:r>
      <w:hyperlink r:id="rId1978" w:history="1">
        <w:r w:rsidRPr="003D0C4C">
          <w:rPr>
            <w:rStyle w:val="Hyperlink"/>
            <w:rFonts w:ascii="Times New Roman" w:hAnsi="Times New Roman"/>
            <w:sz w:val="24"/>
            <w:szCs w:val="24"/>
          </w:rPr>
          <w:t>https://leginfo.legislature.ca.gov/faces/codes_displaySection.xhtml?sectionNum=1799.106.&amp;lawCode=HSC</w:t>
        </w:r>
      </w:hyperlink>
      <w:r w:rsidRPr="003D0C4C">
        <w:rPr>
          <w:rFonts w:ascii="Times New Roman" w:hAnsi="Times New Roman"/>
          <w:sz w:val="24"/>
          <w:szCs w:val="24"/>
        </w:rPr>
        <w:t xml:space="preserve"> </w:t>
      </w:r>
    </w:p>
    <w:p w14:paraId="39107B18"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“CHAPTER 9. Liability Limitation</w:t>
      </w:r>
    </w:p>
    <w:p w14:paraId="484F1425" w14:textId="77777777" w:rsidR="003D0C4C" w:rsidRPr="003D0C4C" w:rsidRDefault="003D0C4C" w:rsidP="003D0C4C">
      <w:pPr>
        <w:pStyle w:val="NoSpacing"/>
        <w:rPr>
          <w:rFonts w:ascii="Times New Roman" w:hAnsi="Times New Roman"/>
          <w:sz w:val="24"/>
          <w:szCs w:val="24"/>
        </w:rPr>
      </w:pPr>
      <w:r w:rsidRPr="003D0C4C">
        <w:rPr>
          <w:rFonts w:ascii="Times New Roman" w:hAnsi="Times New Roman"/>
          <w:sz w:val="24"/>
          <w:szCs w:val="24"/>
        </w:rPr>
        <w:t>  </w:t>
      </w:r>
    </w:p>
    <w:p w14:paraId="1CC4B3C6"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1799.106.  </w:t>
      </w:r>
    </w:p>
    <w:p w14:paraId="41316EB9"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(a) In addition to the provisions of Section 1799.104 of this code, Section 2727.5 of the </w:t>
      </w:r>
      <w:r w:rsidRPr="003D0C4C">
        <w:rPr>
          <w:rFonts w:ascii="Times New Roman" w:hAnsi="Times New Roman"/>
          <w:sz w:val="24"/>
          <w:szCs w:val="24"/>
        </w:rPr>
        <w:tab/>
        <w:t xml:space="preserve"> and Professions Code, and Section 1714.2 of the Civil Code, and in order to encourage the provision of emergency medical services by firefighters, police officers or other law enforcement officers, EMT-I, EMT-II, EMT-P, or registered nurses, a firefighter, police officer or other law enforcement officer, EMT-I, EMT-II, EMT-P, or registered nurse who renders emergency medical services at the scene of an emergency or during an emergency air or ground ambulance transport shall only be liable in civil damages for acts or omissions performed in a grossly negligent manner or acts or omissions not performed in good faith. A public agency employing such a firefighter, police officer or other law enforcement officer, EMT-I, EMT-II, EMT-P, or registered nurse shall not be liable for civil damages if the firefighter, police officer or other law enforcement officer, EMT-I, EMT-II, EMT-P, or registered nurse is not liable.</w:t>
      </w:r>
    </w:p>
    <w:p w14:paraId="2071871A"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(b) For purposes of this section, “registered nurse” means a registered nurse trained in emergency medical services and licensed pursuant to Chapter 6 (commencing with Section 2700) of Division 2 of the Business and Professions Code.”</w:t>
      </w:r>
    </w:p>
    <w:p w14:paraId="60CC68D8" w14:textId="77777777" w:rsidR="003D0C4C" w:rsidRDefault="003D0C4C" w:rsidP="002B1283">
      <w:pPr>
        <w:rPr>
          <w:rFonts w:ascii="Arial Black" w:hAnsi="Arial Black"/>
          <w:b/>
          <w:bCs/>
          <w:sz w:val="28"/>
          <w:szCs w:val="28"/>
        </w:rPr>
      </w:pPr>
    </w:p>
    <w:p w14:paraId="55692033" w14:textId="77777777" w:rsidR="00D85226" w:rsidRPr="00F607C4" w:rsidRDefault="00D85226" w:rsidP="002B1283">
      <w:pPr>
        <w:rPr>
          <w:rFonts w:ascii="Times New Roman" w:hAnsi="Times New Roman"/>
          <w:b/>
          <w:bCs/>
          <w:sz w:val="24"/>
          <w:szCs w:val="24"/>
        </w:rPr>
      </w:pPr>
    </w:p>
    <w:p w14:paraId="247E06E4" w14:textId="0E6869D7" w:rsidR="006D52C4" w:rsidRDefault="006D52C4" w:rsidP="002B1283">
      <w:pPr>
        <w:rPr>
          <w:rFonts w:ascii="Arial Black" w:hAnsi="Arial Black"/>
          <w:b/>
          <w:bCs/>
          <w:sz w:val="28"/>
          <w:szCs w:val="28"/>
        </w:rPr>
      </w:pPr>
      <w:r>
        <w:rPr>
          <w:rFonts w:ascii="Arial Black" w:hAnsi="Arial Black"/>
          <w:b/>
          <w:bCs/>
          <w:sz w:val="28"/>
          <w:szCs w:val="28"/>
        </w:rPr>
        <w:lastRenderedPageBreak/>
        <w:t>13-206</w:t>
      </w:r>
    </w:p>
    <w:p w14:paraId="0F901C86" w14:textId="56BE8AC9" w:rsidR="00C35503" w:rsidRPr="000B7F2C" w:rsidRDefault="00C35503" w:rsidP="00C35503">
      <w:pPr>
        <w:rPr>
          <w:rFonts w:ascii="Arial Black" w:hAnsi="Arial Black"/>
          <w:b/>
          <w:sz w:val="28"/>
          <w:szCs w:val="28"/>
        </w:rPr>
      </w:pPr>
      <w:r w:rsidRPr="000B7F2C">
        <w:rPr>
          <w:rFonts w:ascii="Arial Black" w:hAnsi="Arial Black"/>
          <w:b/>
          <w:sz w:val="28"/>
          <w:szCs w:val="28"/>
        </w:rPr>
        <w:t>DE: EMT REPORT - WOMAN INTERFERED</w:t>
      </w:r>
      <w:r w:rsidR="00004638">
        <w:rPr>
          <w:rFonts w:ascii="Arial Black" w:hAnsi="Arial Black"/>
          <w:b/>
          <w:sz w:val="28"/>
          <w:szCs w:val="28"/>
        </w:rPr>
        <w:t xml:space="preserve"> WITH EMS</w:t>
      </w:r>
      <w:r>
        <w:rPr>
          <w:rFonts w:ascii="Arial Black" w:hAnsi="Arial Black"/>
          <w:b/>
          <w:sz w:val="28"/>
          <w:szCs w:val="28"/>
        </w:rPr>
        <w:t xml:space="preserve"> – 2-YR STATUTE</w:t>
      </w:r>
      <w:r w:rsidRPr="000B7F2C">
        <w:rPr>
          <w:rFonts w:ascii="Arial Black" w:hAnsi="Arial Black"/>
          <w:b/>
          <w:sz w:val="28"/>
          <w:szCs w:val="28"/>
        </w:rPr>
        <w:t xml:space="preserve"> </w:t>
      </w:r>
    </w:p>
    <w:p w14:paraId="26A2E77F" w14:textId="77777777" w:rsidR="00C35503" w:rsidRPr="00C35503" w:rsidRDefault="00C35503" w:rsidP="00C35503">
      <w:pPr>
        <w:rPr>
          <w:rFonts w:ascii="Times New Roman" w:hAnsi="Times New Roman"/>
          <w:sz w:val="24"/>
          <w:szCs w:val="24"/>
        </w:rPr>
      </w:pPr>
      <w:r w:rsidRPr="00C35503">
        <w:rPr>
          <w:rFonts w:ascii="Times New Roman" w:hAnsi="Times New Roman"/>
          <w:sz w:val="24"/>
          <w:szCs w:val="24"/>
        </w:rPr>
        <w:t xml:space="preserve">On Feb. 10, 2025, in </w:t>
      </w:r>
      <w:r w:rsidRPr="00C35503">
        <w:rPr>
          <w:rFonts w:ascii="Times New Roman" w:hAnsi="Times New Roman"/>
          <w:sz w:val="24"/>
          <w:szCs w:val="24"/>
          <w:u w:val="single"/>
        </w:rPr>
        <w:t>Keisha Cappel and Alfonso Jones v. Aston Township Fire Department, et al</w:t>
      </w:r>
      <w:r w:rsidRPr="00C35503">
        <w:rPr>
          <w:rFonts w:ascii="Times New Roman" w:hAnsi="Times New Roman"/>
          <w:sz w:val="24"/>
          <w:szCs w:val="24"/>
        </w:rPr>
        <w:t xml:space="preserve">, United States District Court Judge John F. Murphy approved the settlement of $950,000.  “After apparently convincing Ms. Jones not to go to the hospital, the paramedics left the scene and inaccurately documented the encounter.” The contingency fee agreement distributes 33.3% of sums recovered after costs to counsel, totaling a fee of $303,504.96. “Following our review of the proposed settlement agreement, as required by Pennsylvania’s Probate, Estates, and Fiduciaries Code, we find the proposed settlement amount to be adequate, the allocation of proceeds to be reasonable, and the attorneys’ fees and costs to be reasonable.”  </w:t>
      </w:r>
      <w:hyperlink r:id="rId1979" w:history="1">
        <w:r w:rsidRPr="00C35503">
          <w:rPr>
            <w:rStyle w:val="Hyperlink"/>
            <w:rFonts w:ascii="Times New Roman" w:hAnsi="Times New Roman"/>
            <w:sz w:val="24"/>
            <w:szCs w:val="24"/>
          </w:rPr>
          <w:t>https://cases.justia.com/federal/district-courts/pennsylvania/paedce/2:2023cv00155/604825/106/0.pdf?ts=1739281859</w:t>
        </w:r>
      </w:hyperlink>
      <w:r w:rsidRPr="00C35503">
        <w:rPr>
          <w:rFonts w:ascii="Times New Roman" w:hAnsi="Times New Roman"/>
          <w:sz w:val="24"/>
          <w:szCs w:val="24"/>
        </w:rPr>
        <w:t xml:space="preserve"> </w:t>
      </w:r>
    </w:p>
    <w:p w14:paraId="5297AA0F" w14:textId="77777777" w:rsidR="00C35503" w:rsidRPr="00C35503" w:rsidRDefault="00C35503" w:rsidP="00C35503">
      <w:pPr>
        <w:pStyle w:val="NoSpacing"/>
        <w:rPr>
          <w:rFonts w:ascii="Times New Roman" w:hAnsi="Times New Roman"/>
          <w:sz w:val="24"/>
          <w:szCs w:val="24"/>
        </w:rPr>
      </w:pPr>
      <w:r w:rsidRPr="00C35503">
        <w:rPr>
          <w:rFonts w:ascii="Times New Roman" w:hAnsi="Times New Roman"/>
          <w:sz w:val="24"/>
          <w:szCs w:val="24"/>
        </w:rPr>
        <w:t>The Court wrote:</w:t>
      </w:r>
    </w:p>
    <w:p w14:paraId="1F63E0C3" w14:textId="77777777" w:rsidR="00C35503" w:rsidRPr="00C35503" w:rsidRDefault="00C35503" w:rsidP="00C35503">
      <w:pPr>
        <w:pStyle w:val="NoSpacing"/>
        <w:rPr>
          <w:rFonts w:ascii="Times New Roman" w:hAnsi="Times New Roman"/>
          <w:sz w:val="24"/>
          <w:szCs w:val="24"/>
        </w:rPr>
      </w:pPr>
    </w:p>
    <w:p w14:paraId="55B24E1D"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“This case involves the death of a woman, Tamika Jones. Ms. Jones’s family called 911</w:t>
      </w:r>
    </w:p>
    <w:p w14:paraId="346B8DFF" w14:textId="77777777" w:rsidR="00C35503" w:rsidRPr="00C35503" w:rsidRDefault="00C35503" w:rsidP="00C35503">
      <w:pPr>
        <w:pStyle w:val="NoSpacing"/>
        <w:ind w:left="720"/>
        <w:rPr>
          <w:rFonts w:ascii="Times New Roman" w:hAnsi="Times New Roman"/>
          <w:sz w:val="24"/>
          <w:szCs w:val="24"/>
        </w:rPr>
      </w:pPr>
      <w:r w:rsidRPr="00C35503">
        <w:rPr>
          <w:rFonts w:ascii="Times New Roman" w:hAnsi="Times New Roman"/>
          <w:sz w:val="24"/>
          <w:szCs w:val="24"/>
        </w:rPr>
        <w:t xml:space="preserve">for help because she was experiencing significant and concerning COVID-19 symptoms. Two teams of paramedics were sent, including an advanced team, but only one junior paramedic evaluated Ms. Jones. After apparently convincing Ms. Jones not to go to the hospital, the paramedics left the scene and inaccurately documented the encounter. Ms. Jones died the next day. </w:t>
      </w:r>
    </w:p>
    <w:p w14:paraId="1D3332DA" w14:textId="77777777" w:rsidR="00C35503" w:rsidRPr="00C35503" w:rsidRDefault="00C35503" w:rsidP="00C35503">
      <w:pPr>
        <w:pStyle w:val="NoSpacing"/>
        <w:rPr>
          <w:rFonts w:ascii="Times New Roman" w:hAnsi="Times New Roman"/>
          <w:sz w:val="24"/>
          <w:szCs w:val="24"/>
        </w:rPr>
      </w:pPr>
    </w:p>
    <w:p w14:paraId="5032860C"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w:t>
      </w:r>
    </w:p>
    <w:p w14:paraId="3D4D64AF" w14:textId="77777777" w:rsidR="00C35503" w:rsidRPr="00C35503" w:rsidRDefault="00C35503" w:rsidP="00C35503">
      <w:pPr>
        <w:pStyle w:val="NoSpacing"/>
        <w:rPr>
          <w:rFonts w:ascii="Times New Roman" w:hAnsi="Times New Roman"/>
          <w:sz w:val="24"/>
          <w:szCs w:val="24"/>
        </w:rPr>
      </w:pPr>
    </w:p>
    <w:p w14:paraId="5D1C5DBF"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 xml:space="preserve">On the evening of January 22, 2021, while at the home of her mother and father — </w:t>
      </w:r>
      <w:proofErr w:type="gramStart"/>
      <w:r w:rsidRPr="00C35503">
        <w:rPr>
          <w:rFonts w:ascii="Times New Roman" w:hAnsi="Times New Roman"/>
          <w:sz w:val="24"/>
          <w:szCs w:val="24"/>
        </w:rPr>
        <w:t>where</w:t>
      </w:r>
      <w:proofErr w:type="gramEnd"/>
    </w:p>
    <w:p w14:paraId="24454FDD" w14:textId="77777777" w:rsidR="00C35503" w:rsidRPr="00C35503" w:rsidRDefault="00C35503" w:rsidP="00C35503">
      <w:pPr>
        <w:pStyle w:val="NoSpacing"/>
        <w:ind w:left="720"/>
        <w:rPr>
          <w:rFonts w:ascii="Times New Roman" w:hAnsi="Times New Roman"/>
          <w:sz w:val="24"/>
          <w:szCs w:val="24"/>
        </w:rPr>
      </w:pPr>
      <w:r w:rsidRPr="00C35503">
        <w:rPr>
          <w:rFonts w:ascii="Times New Roman" w:hAnsi="Times New Roman"/>
          <w:sz w:val="24"/>
          <w:szCs w:val="24"/>
        </w:rPr>
        <w:t>she was living to help her mother who was battling cancer — Tamika Jones was struggling to breathe and could not walk….  Five days earlier, Ms. Jones’s father, Mr. Jones, had been hospitalized for symptoms related to COVID-19.</w:t>
      </w:r>
    </w:p>
    <w:p w14:paraId="1215A535" w14:textId="77777777" w:rsidR="00C35503" w:rsidRPr="00C35503" w:rsidRDefault="00C35503" w:rsidP="00C35503">
      <w:pPr>
        <w:pStyle w:val="NoSpacing"/>
        <w:rPr>
          <w:rFonts w:ascii="Times New Roman" w:hAnsi="Times New Roman"/>
          <w:sz w:val="24"/>
          <w:szCs w:val="24"/>
        </w:rPr>
      </w:pPr>
    </w:p>
    <w:p w14:paraId="636FA683"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w:t>
      </w:r>
    </w:p>
    <w:p w14:paraId="4D53DBA3"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The Aston Township Fire Department unit arrived first, and Marshall, a new EMT-B,</w:t>
      </w:r>
    </w:p>
    <w:p w14:paraId="251DD335"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went inside the home…. According to the complaint, Marshall ‘consciously disregarded</w:t>
      </w:r>
    </w:p>
    <w:p w14:paraId="043C6DAD" w14:textId="77777777" w:rsidR="00C35503" w:rsidRPr="00C35503" w:rsidRDefault="00C35503" w:rsidP="00C35503">
      <w:pPr>
        <w:pStyle w:val="NoSpacing"/>
        <w:ind w:left="720"/>
        <w:rPr>
          <w:rFonts w:ascii="Times New Roman" w:hAnsi="Times New Roman"/>
          <w:sz w:val="24"/>
          <w:szCs w:val="24"/>
        </w:rPr>
      </w:pPr>
      <w:r w:rsidRPr="00C35503">
        <w:rPr>
          <w:rFonts w:ascii="Times New Roman" w:hAnsi="Times New Roman"/>
          <w:sz w:val="24"/>
          <w:szCs w:val="24"/>
        </w:rPr>
        <w:t xml:space="preserve">two blood oxygen readings [of Ms. Jones] which Marshall himself stated would be nearly fatal’ and “instead of investigating further by checking vital signs, [] acted with deliberate indifference by halting his evaluation.’ … Marshall purportedly told </w:t>
      </w:r>
      <w:proofErr w:type="gramStart"/>
      <w:r w:rsidRPr="00C35503">
        <w:rPr>
          <w:rFonts w:ascii="Times New Roman" w:hAnsi="Times New Roman"/>
          <w:sz w:val="24"/>
          <w:szCs w:val="24"/>
        </w:rPr>
        <w:t>Ms. Jones</w:t>
      </w:r>
      <w:proofErr w:type="gramEnd"/>
      <w:r w:rsidRPr="00C35503">
        <w:rPr>
          <w:rFonts w:ascii="Times New Roman" w:hAnsi="Times New Roman"/>
          <w:sz w:val="24"/>
          <w:szCs w:val="24"/>
        </w:rPr>
        <w:t xml:space="preserve"> ‘I can take you to the hospital, but they will just bring you back home’ and added ‘I’d stay here. </w:t>
      </w:r>
      <w:proofErr w:type="gramStart"/>
      <w:r w:rsidRPr="00C35503">
        <w:rPr>
          <w:rFonts w:ascii="Times New Roman" w:hAnsi="Times New Roman"/>
          <w:sz w:val="24"/>
          <w:szCs w:val="24"/>
        </w:rPr>
        <w:t>They are</w:t>
      </w:r>
      <w:proofErr w:type="gramEnd"/>
      <w:r w:rsidRPr="00C35503">
        <w:rPr>
          <w:rFonts w:ascii="Times New Roman" w:hAnsi="Times New Roman"/>
          <w:sz w:val="24"/>
          <w:szCs w:val="24"/>
        </w:rPr>
        <w:t xml:space="preserve"> really wanting people to </w:t>
      </w:r>
      <w:proofErr w:type="gramStart"/>
      <w:r w:rsidRPr="00C35503">
        <w:rPr>
          <w:rFonts w:ascii="Times New Roman" w:hAnsi="Times New Roman"/>
          <w:sz w:val="24"/>
          <w:szCs w:val="24"/>
        </w:rPr>
        <w:t>stay</w:t>
      </w:r>
      <w:proofErr w:type="gramEnd"/>
      <w:r w:rsidRPr="00C35503">
        <w:rPr>
          <w:rFonts w:ascii="Times New Roman" w:hAnsi="Times New Roman"/>
          <w:sz w:val="24"/>
          <w:szCs w:val="24"/>
        </w:rPr>
        <w:t xml:space="preserve"> home. Your best chance is to stay here.’ … Before leaving Ms. Jones, Marshall did not get a signed refusal form or contact Medical Command, which is supposed to be ‘the final sign-off in deciding not to transport a patient.’ Meanwhile, Kisela, the more experienced EMT-B, ‘waived off’ the Advanced Life Support unit….The incident report completed by Marshall and Kisela indicated ‘No Patient Assessed.’ …Ms. Jones died the next day.”</w:t>
      </w:r>
    </w:p>
    <w:p w14:paraId="1D483C06" w14:textId="77777777" w:rsidR="00C35503" w:rsidRPr="00C35503" w:rsidRDefault="00C35503" w:rsidP="00C35503">
      <w:pPr>
        <w:pStyle w:val="NoSpacing"/>
        <w:rPr>
          <w:rFonts w:ascii="Times New Roman" w:hAnsi="Times New Roman"/>
          <w:sz w:val="24"/>
          <w:szCs w:val="24"/>
        </w:rPr>
      </w:pPr>
    </w:p>
    <w:p w14:paraId="7733722A" w14:textId="77777777" w:rsidR="00C35503" w:rsidRPr="00C35503" w:rsidRDefault="00C35503" w:rsidP="00C35503">
      <w:pPr>
        <w:pStyle w:val="NoSpacing"/>
        <w:rPr>
          <w:rFonts w:ascii="Times New Roman" w:hAnsi="Times New Roman"/>
          <w:b/>
          <w:bCs/>
          <w:sz w:val="24"/>
          <w:szCs w:val="24"/>
        </w:rPr>
      </w:pPr>
      <w:r w:rsidRPr="00C35503">
        <w:rPr>
          <w:rFonts w:ascii="Times New Roman" w:hAnsi="Times New Roman"/>
          <w:b/>
          <w:sz w:val="24"/>
          <w:szCs w:val="24"/>
        </w:rPr>
        <w:t xml:space="preserve">Legal Lesson Learned: Get a set of vitals and if no transported is indicated, obtain a signed patient refusal. </w:t>
      </w:r>
    </w:p>
    <w:p w14:paraId="1FB26D20" w14:textId="77777777" w:rsidR="006D52C4" w:rsidRPr="00C35503" w:rsidRDefault="006D52C4" w:rsidP="002B1283">
      <w:pPr>
        <w:rPr>
          <w:rFonts w:ascii="Times New Roman" w:hAnsi="Times New Roman"/>
          <w:b/>
          <w:bCs/>
          <w:sz w:val="24"/>
          <w:szCs w:val="24"/>
        </w:rPr>
      </w:pPr>
    </w:p>
    <w:p w14:paraId="7C09D5C4" w14:textId="77777777" w:rsidR="006D52C4" w:rsidRDefault="006D52C4" w:rsidP="002B1283">
      <w:pPr>
        <w:rPr>
          <w:rFonts w:ascii="Arial Black" w:hAnsi="Arial Black"/>
          <w:b/>
          <w:bCs/>
          <w:sz w:val="28"/>
          <w:szCs w:val="28"/>
        </w:rPr>
      </w:pPr>
    </w:p>
    <w:p w14:paraId="60C32DD2" w14:textId="1B1126CA" w:rsidR="00300506" w:rsidRDefault="00300506" w:rsidP="002B1283">
      <w:pPr>
        <w:rPr>
          <w:rFonts w:ascii="Arial Black" w:hAnsi="Arial Black"/>
          <w:b/>
          <w:bCs/>
          <w:sz w:val="28"/>
          <w:szCs w:val="28"/>
        </w:rPr>
      </w:pPr>
      <w:r>
        <w:rPr>
          <w:rFonts w:ascii="Arial Black" w:hAnsi="Arial Black"/>
          <w:b/>
          <w:bCs/>
          <w:sz w:val="28"/>
          <w:szCs w:val="28"/>
        </w:rPr>
        <w:t>13-205</w:t>
      </w:r>
    </w:p>
    <w:p w14:paraId="7CEDE818" w14:textId="689F7F76" w:rsidR="002270FF" w:rsidRPr="000B7F2C" w:rsidRDefault="002270FF" w:rsidP="002270FF">
      <w:pPr>
        <w:rPr>
          <w:rFonts w:ascii="Arial Black" w:hAnsi="Arial Black"/>
          <w:bCs/>
          <w:sz w:val="28"/>
          <w:szCs w:val="28"/>
        </w:rPr>
      </w:pPr>
      <w:r w:rsidRPr="000B7F2C">
        <w:rPr>
          <w:rFonts w:ascii="Arial Black" w:hAnsi="Arial Black"/>
          <w:sz w:val="28"/>
          <w:szCs w:val="28"/>
        </w:rPr>
        <w:lastRenderedPageBreak/>
        <w:t xml:space="preserve">MA: </w:t>
      </w:r>
      <w:r>
        <w:rPr>
          <w:rFonts w:ascii="Arial Black" w:hAnsi="Arial Black"/>
          <w:sz w:val="28"/>
          <w:szCs w:val="28"/>
        </w:rPr>
        <w:t xml:space="preserve">FIRED </w:t>
      </w:r>
      <w:r w:rsidR="00E56ACD">
        <w:rPr>
          <w:rFonts w:ascii="Arial Black" w:hAnsi="Arial Black"/>
          <w:sz w:val="28"/>
          <w:szCs w:val="28"/>
        </w:rPr>
        <w:t>–</w:t>
      </w:r>
      <w:r>
        <w:rPr>
          <w:rFonts w:ascii="Arial Black" w:hAnsi="Arial Black"/>
          <w:sz w:val="28"/>
          <w:szCs w:val="28"/>
        </w:rPr>
        <w:t xml:space="preserve"> </w:t>
      </w:r>
      <w:r w:rsidRPr="000B7F2C">
        <w:rPr>
          <w:rFonts w:ascii="Arial Black" w:hAnsi="Arial Black"/>
          <w:sz w:val="28"/>
          <w:szCs w:val="28"/>
        </w:rPr>
        <w:t>WHISTLEBLOWER</w:t>
      </w:r>
      <w:r w:rsidR="004B4BE8">
        <w:rPr>
          <w:rFonts w:ascii="Arial Black" w:hAnsi="Arial Black"/>
          <w:sz w:val="28"/>
          <w:szCs w:val="28"/>
        </w:rPr>
        <w:t xml:space="preserve"> CASE PROCEED</w:t>
      </w:r>
      <w:r w:rsidR="00E56ACD">
        <w:rPr>
          <w:rFonts w:ascii="Arial Black" w:hAnsi="Arial Black"/>
          <w:sz w:val="28"/>
          <w:szCs w:val="28"/>
        </w:rPr>
        <w:t xml:space="preserve"> </w:t>
      </w:r>
      <w:r w:rsidR="004B4BE8">
        <w:rPr>
          <w:rFonts w:ascii="Arial Black" w:hAnsi="Arial Black"/>
          <w:sz w:val="28"/>
          <w:szCs w:val="28"/>
        </w:rPr>
        <w:t>–</w:t>
      </w:r>
      <w:r w:rsidR="00E56ACD">
        <w:rPr>
          <w:rFonts w:ascii="Arial Black" w:hAnsi="Arial Black"/>
          <w:sz w:val="28"/>
          <w:szCs w:val="28"/>
        </w:rPr>
        <w:t xml:space="preserve"> </w:t>
      </w:r>
      <w:r w:rsidR="004B4BE8">
        <w:rPr>
          <w:rFonts w:ascii="Arial Black" w:hAnsi="Arial Black"/>
          <w:sz w:val="28"/>
          <w:szCs w:val="28"/>
        </w:rPr>
        <w:t>PHOTO PT INJURY</w:t>
      </w:r>
    </w:p>
    <w:p w14:paraId="4DEDE99D" w14:textId="775005AD" w:rsidR="002270FF" w:rsidRPr="002270FF" w:rsidRDefault="002270FF" w:rsidP="002270FF">
      <w:pPr>
        <w:rPr>
          <w:rFonts w:ascii="Times New Roman" w:hAnsi="Times New Roman"/>
          <w:bCs/>
          <w:sz w:val="24"/>
          <w:szCs w:val="24"/>
        </w:rPr>
      </w:pPr>
      <w:r w:rsidRPr="002270FF">
        <w:rPr>
          <w:rFonts w:ascii="Times New Roman" w:hAnsi="Times New Roman"/>
          <w:sz w:val="24"/>
          <w:szCs w:val="24"/>
        </w:rPr>
        <w:t xml:space="preserve">On Jan. 30, 2025, in </w:t>
      </w:r>
      <w:r w:rsidRPr="002270FF">
        <w:rPr>
          <w:rFonts w:ascii="Times New Roman" w:hAnsi="Times New Roman"/>
          <w:sz w:val="24"/>
          <w:szCs w:val="24"/>
          <w:u w:val="single"/>
        </w:rPr>
        <w:t>Nial Luu v. Falon Service, Inc</w:t>
      </w:r>
      <w:r w:rsidRPr="002270FF">
        <w:rPr>
          <w:rFonts w:ascii="Times New Roman" w:hAnsi="Times New Roman"/>
          <w:sz w:val="24"/>
          <w:szCs w:val="24"/>
        </w:rPr>
        <w:t xml:space="preserve">., the Appeals Court of Massachusetts held (3 to 0) that trial court improperly dismissed the lawsuit.  On Nov. 30, 2019, the EMT was driving ambulance transporting patent from Encompass Health Rehabilitation Hospital experiencing an altered mental status to a hospital.   “Upon arrival at the hospital, the plaintiff became aware of a new hemorrhage wound on the patient's arm. The plaintiff questioned his partner about how the injury resulted, but the partner </w:t>
      </w:r>
      <w:proofErr w:type="gramStart"/>
      <w:r w:rsidRPr="002270FF">
        <w:rPr>
          <w:rFonts w:ascii="Times New Roman" w:hAnsi="Times New Roman"/>
          <w:sz w:val="24"/>
          <w:szCs w:val="24"/>
        </w:rPr>
        <w:t>was not able to</w:t>
      </w:r>
      <w:proofErr w:type="gramEnd"/>
      <w:r w:rsidRPr="002270FF">
        <w:rPr>
          <w:rFonts w:ascii="Times New Roman" w:hAnsi="Times New Roman"/>
          <w:sz w:val="24"/>
          <w:szCs w:val="24"/>
        </w:rPr>
        <w:t xml:space="preserve"> provide an explanation. Believing that the injury was a result of his partner's misconduct and neglect of the patient, the plaintiff used his personal cell phone to take photographs and one video recording of the patient's arm injury prior to taking the patient into the hospital.”   After reporting this to his </w:t>
      </w:r>
      <w:proofErr w:type="gramStart"/>
      <w:r w:rsidRPr="002270FF">
        <w:rPr>
          <w:rFonts w:ascii="Times New Roman" w:hAnsi="Times New Roman"/>
          <w:sz w:val="24"/>
          <w:szCs w:val="24"/>
        </w:rPr>
        <w:t>Supervisor</w:t>
      </w:r>
      <w:proofErr w:type="gramEnd"/>
      <w:r w:rsidRPr="002270FF">
        <w:rPr>
          <w:rFonts w:ascii="Times New Roman" w:hAnsi="Times New Roman"/>
          <w:sz w:val="24"/>
          <w:szCs w:val="24"/>
        </w:rPr>
        <w:t xml:space="preserve"> and sending her a copy of the photo, his job duties now included sweeping, mopping, and sanitizing the station and paramedic trucks.  On Jan. 8, </w:t>
      </w:r>
      <w:proofErr w:type="gramStart"/>
      <w:r w:rsidRPr="002270FF">
        <w:rPr>
          <w:rFonts w:ascii="Times New Roman" w:hAnsi="Times New Roman"/>
          <w:sz w:val="24"/>
          <w:szCs w:val="24"/>
        </w:rPr>
        <w:t>2020</w:t>
      </w:r>
      <w:proofErr w:type="gramEnd"/>
      <w:r w:rsidRPr="002270FF">
        <w:rPr>
          <w:rFonts w:ascii="Times New Roman" w:hAnsi="Times New Roman"/>
          <w:sz w:val="24"/>
          <w:szCs w:val="24"/>
        </w:rPr>
        <w:t xml:space="preserve"> he was told to delete the photo in meeting with Vice-President, Human Resources Director, and Senior Vice-President. Instead, on Jan. 14, </w:t>
      </w:r>
      <w:proofErr w:type="gramStart"/>
      <w:r w:rsidRPr="002270FF">
        <w:rPr>
          <w:rFonts w:ascii="Times New Roman" w:hAnsi="Times New Roman"/>
          <w:sz w:val="24"/>
          <w:szCs w:val="24"/>
        </w:rPr>
        <w:t>2020</w:t>
      </w:r>
      <w:proofErr w:type="gramEnd"/>
      <w:r w:rsidRPr="002270FF">
        <w:rPr>
          <w:rFonts w:ascii="Times New Roman" w:hAnsi="Times New Roman"/>
          <w:sz w:val="24"/>
          <w:szCs w:val="24"/>
        </w:rPr>
        <w:t xml:space="preserve"> he made report to the State Office of Emergency Medical Services – he was fired on Jan. 17 for not deleting the photo.</w:t>
      </w:r>
      <w:r w:rsidR="00956215">
        <w:rPr>
          <w:rFonts w:ascii="Times New Roman" w:hAnsi="Times New Roman"/>
          <w:sz w:val="24"/>
          <w:szCs w:val="24"/>
        </w:rPr>
        <w:t xml:space="preserve"> </w:t>
      </w:r>
      <w:hyperlink r:id="rId1980" w:history="1">
        <w:r w:rsidR="00956215" w:rsidRPr="000F3B38">
          <w:rPr>
            <w:rStyle w:val="Hyperlink"/>
            <w:rFonts w:ascii="Times New Roman" w:hAnsi="Times New Roman"/>
            <w:sz w:val="24"/>
            <w:szCs w:val="24"/>
          </w:rPr>
          <w:t>https://caselaw.findlaw.com/court/ma-court-of-appeals/116890923.html</w:t>
        </w:r>
      </w:hyperlink>
      <w:r w:rsidR="00956215">
        <w:rPr>
          <w:rFonts w:ascii="Times New Roman" w:hAnsi="Times New Roman"/>
          <w:sz w:val="24"/>
          <w:szCs w:val="24"/>
        </w:rPr>
        <w:t xml:space="preserve"> </w:t>
      </w:r>
    </w:p>
    <w:p w14:paraId="3B28007B" w14:textId="77777777" w:rsidR="002270FF" w:rsidRPr="002270FF" w:rsidRDefault="002270FF" w:rsidP="002270FF">
      <w:pPr>
        <w:rPr>
          <w:rFonts w:ascii="Times New Roman" w:hAnsi="Times New Roman"/>
          <w:bCs/>
          <w:sz w:val="24"/>
          <w:szCs w:val="24"/>
        </w:rPr>
      </w:pPr>
      <w:r w:rsidRPr="002270FF">
        <w:rPr>
          <w:rFonts w:ascii="Times New Roman" w:hAnsi="Times New Roman"/>
          <w:sz w:val="24"/>
          <w:szCs w:val="24"/>
        </w:rPr>
        <w:t>The Court wrote:</w:t>
      </w:r>
    </w:p>
    <w:p w14:paraId="08A73D5D" w14:textId="77777777" w:rsidR="002270FF" w:rsidRPr="002270FF" w:rsidRDefault="002270FF" w:rsidP="002270FF">
      <w:pPr>
        <w:ind w:left="720"/>
        <w:rPr>
          <w:rFonts w:ascii="Times New Roman" w:hAnsi="Times New Roman"/>
          <w:sz w:val="24"/>
          <w:szCs w:val="24"/>
        </w:rPr>
      </w:pPr>
      <w:r w:rsidRPr="002270FF">
        <w:rPr>
          <w:rFonts w:ascii="Times New Roman" w:hAnsi="Times New Roman"/>
          <w:sz w:val="24"/>
          <w:szCs w:val="24"/>
        </w:rPr>
        <w:t xml:space="preserve">“Concluding that </w:t>
      </w:r>
      <w:hyperlink r:id="rId1981" w:history="1">
        <w:r w:rsidRPr="002270FF">
          <w:rPr>
            <w:rStyle w:val="Hyperlink"/>
            <w:rFonts w:ascii="Times New Roman" w:hAnsi="Times New Roman"/>
            <w:sz w:val="24"/>
            <w:szCs w:val="24"/>
          </w:rPr>
          <w:t>G. L. c. 149, § 187 (</w:t>
        </w:r>
        <w:r w:rsidRPr="002270FF">
          <w:rPr>
            <w:rStyle w:val="Hyperlink"/>
            <w:rFonts w:ascii="Times New Roman" w:hAnsi="Times New Roman"/>
            <w:i/>
            <w:iCs/>
            <w:sz w:val="24"/>
            <w:szCs w:val="24"/>
          </w:rPr>
          <w:t>b</w:t>
        </w:r>
        <w:r w:rsidRPr="002270FF">
          <w:rPr>
            <w:rStyle w:val="Hyperlink"/>
            <w:rFonts w:ascii="Times New Roman" w:hAnsi="Times New Roman"/>
            <w:sz w:val="24"/>
            <w:szCs w:val="24"/>
          </w:rPr>
          <w:t>)</w:t>
        </w:r>
      </w:hyperlink>
      <w:r w:rsidRPr="002270FF">
        <w:rPr>
          <w:rFonts w:ascii="Times New Roman" w:hAnsi="Times New Roman"/>
          <w:sz w:val="24"/>
          <w:szCs w:val="24"/>
        </w:rPr>
        <w:t>, prohibits retaliation by an ambulance service against an EMT employed by it for reporting medical misconduct to the government, we reverse the dismissal of the whistleblower claim.</w:t>
      </w:r>
    </w:p>
    <w:p w14:paraId="12E9C1A0" w14:textId="77777777" w:rsidR="002270FF" w:rsidRPr="002270FF" w:rsidRDefault="002270FF" w:rsidP="002270FF">
      <w:pPr>
        <w:ind w:firstLine="720"/>
        <w:rPr>
          <w:rFonts w:ascii="Times New Roman" w:hAnsi="Times New Roman"/>
          <w:sz w:val="24"/>
          <w:szCs w:val="24"/>
        </w:rPr>
      </w:pPr>
      <w:r w:rsidRPr="002270FF">
        <w:rPr>
          <w:rFonts w:ascii="Times New Roman" w:hAnsi="Times New Roman"/>
          <w:sz w:val="24"/>
          <w:szCs w:val="24"/>
        </w:rPr>
        <w:t>***</w:t>
      </w:r>
    </w:p>
    <w:p w14:paraId="2CB5CA61" w14:textId="77777777" w:rsidR="002270FF" w:rsidRPr="002270FF" w:rsidRDefault="002270FF" w:rsidP="002270FF">
      <w:pPr>
        <w:ind w:left="720"/>
        <w:rPr>
          <w:rFonts w:ascii="Times New Roman" w:hAnsi="Times New Roman"/>
          <w:sz w:val="24"/>
          <w:szCs w:val="24"/>
        </w:rPr>
      </w:pPr>
      <w:r w:rsidRPr="002270FF">
        <w:rPr>
          <w:rFonts w:ascii="Times New Roman" w:hAnsi="Times New Roman"/>
          <w:sz w:val="24"/>
          <w:szCs w:val="24"/>
        </w:rPr>
        <w:t xml:space="preserve">The plaintiff here falls squarely within ‘any other health care provider who performs or has performed health care related services for and under the control of a health care facility for care-related services.’ </w:t>
      </w:r>
      <w:hyperlink r:id="rId1982" w:history="1">
        <w:r w:rsidRPr="002270FF">
          <w:rPr>
            <w:rStyle w:val="Hyperlink"/>
            <w:rFonts w:ascii="Times New Roman" w:hAnsi="Times New Roman"/>
            <w:sz w:val="24"/>
            <w:szCs w:val="24"/>
          </w:rPr>
          <w:t>G. L. c. 149, § 187 (</w:t>
        </w:r>
        <w:r w:rsidRPr="002270FF">
          <w:rPr>
            <w:rStyle w:val="Hyperlink"/>
            <w:rFonts w:ascii="Times New Roman" w:hAnsi="Times New Roman"/>
            <w:i/>
            <w:iCs/>
            <w:sz w:val="24"/>
            <w:szCs w:val="24"/>
          </w:rPr>
          <w:t>a</w:t>
        </w:r>
        <w:r w:rsidRPr="002270FF">
          <w:rPr>
            <w:rStyle w:val="Hyperlink"/>
            <w:rFonts w:ascii="Times New Roman" w:hAnsi="Times New Roman"/>
            <w:sz w:val="24"/>
            <w:szCs w:val="24"/>
          </w:rPr>
          <w:t>)</w:t>
        </w:r>
      </w:hyperlink>
      <w:r w:rsidRPr="002270FF">
        <w:rPr>
          <w:rFonts w:ascii="Times New Roman" w:hAnsi="Times New Roman"/>
          <w:sz w:val="24"/>
          <w:szCs w:val="24"/>
        </w:rPr>
        <w:t xml:space="preserve">. As an EMT employed by Fallon, the plaintiff performed care-related services for and under the control of Fallon, a health care facility, including driving an ambulance and providing patient care in transport. During the incident in question, the plaintiff responded to a call at a rehabilitation hospital for a patient experiencing a medical emergency. The plaintiff was responsible for driving the ambulance as his partner provided medical care to the patient in the vehicle. In each of these tasks, the plaintiff interacted directly with the patient, who required immediate health care service. This falls within the patient care that </w:t>
      </w:r>
      <w:hyperlink r:id="rId1983" w:history="1">
        <w:r w:rsidRPr="002270FF">
          <w:rPr>
            <w:rStyle w:val="Hyperlink"/>
            <w:rFonts w:ascii="Times New Roman" w:hAnsi="Times New Roman"/>
            <w:sz w:val="24"/>
            <w:szCs w:val="24"/>
          </w:rPr>
          <w:t>G. L. c. 149, § 187</w:t>
        </w:r>
      </w:hyperlink>
      <w:r w:rsidRPr="002270FF">
        <w:rPr>
          <w:rFonts w:ascii="Times New Roman" w:hAnsi="Times New Roman"/>
          <w:sz w:val="24"/>
          <w:szCs w:val="24"/>
        </w:rPr>
        <w:t>, was designed to safeguard.”</w:t>
      </w:r>
    </w:p>
    <w:p w14:paraId="5521A801" w14:textId="6A20C893" w:rsidR="002270FF" w:rsidRPr="002270FF" w:rsidRDefault="002270FF" w:rsidP="002270FF">
      <w:pPr>
        <w:rPr>
          <w:rFonts w:ascii="Times New Roman" w:hAnsi="Times New Roman"/>
          <w:b/>
          <w:bCs/>
          <w:sz w:val="24"/>
          <w:szCs w:val="24"/>
        </w:rPr>
      </w:pPr>
      <w:r w:rsidRPr="002270FF">
        <w:rPr>
          <w:rFonts w:ascii="Times New Roman" w:hAnsi="Times New Roman"/>
          <w:b/>
          <w:sz w:val="24"/>
          <w:szCs w:val="24"/>
        </w:rPr>
        <w:t xml:space="preserve">Legal Lesson Learned: Avoid whistleblower lawsuits.  When an employee reports possible misconduct by another employee, promptly </w:t>
      </w:r>
      <w:proofErr w:type="gramStart"/>
      <w:r w:rsidRPr="002270FF">
        <w:rPr>
          <w:rFonts w:ascii="Times New Roman" w:hAnsi="Times New Roman"/>
          <w:b/>
          <w:sz w:val="24"/>
          <w:szCs w:val="24"/>
        </w:rPr>
        <w:t>conduct an investigation</w:t>
      </w:r>
      <w:proofErr w:type="gramEnd"/>
      <w:r w:rsidRPr="002270FF">
        <w:rPr>
          <w:rFonts w:ascii="Times New Roman" w:hAnsi="Times New Roman"/>
          <w:b/>
          <w:sz w:val="24"/>
          <w:szCs w:val="24"/>
        </w:rPr>
        <w:t xml:space="preserve"> and </w:t>
      </w:r>
      <w:r w:rsidR="001C1BE8">
        <w:rPr>
          <w:rFonts w:ascii="Times New Roman" w:hAnsi="Times New Roman"/>
          <w:b/>
          <w:sz w:val="24"/>
          <w:szCs w:val="24"/>
        </w:rPr>
        <w:t xml:space="preserve">inform </w:t>
      </w:r>
      <w:proofErr w:type="gramStart"/>
      <w:r w:rsidR="009B6783">
        <w:rPr>
          <w:rFonts w:ascii="Times New Roman" w:hAnsi="Times New Roman"/>
          <w:b/>
          <w:sz w:val="24"/>
          <w:szCs w:val="24"/>
        </w:rPr>
        <w:t>employee</w:t>
      </w:r>
      <w:proofErr w:type="gramEnd"/>
      <w:r w:rsidR="009B6783">
        <w:rPr>
          <w:rFonts w:ascii="Times New Roman" w:hAnsi="Times New Roman"/>
          <w:b/>
          <w:sz w:val="24"/>
          <w:szCs w:val="24"/>
        </w:rPr>
        <w:t xml:space="preserve"> </w:t>
      </w:r>
      <w:r w:rsidRPr="002270FF">
        <w:rPr>
          <w:rFonts w:ascii="Times New Roman" w:hAnsi="Times New Roman"/>
          <w:b/>
          <w:sz w:val="24"/>
          <w:szCs w:val="24"/>
        </w:rPr>
        <w:t xml:space="preserve">of </w:t>
      </w:r>
      <w:proofErr w:type="gramStart"/>
      <w:r w:rsidRPr="002270FF">
        <w:rPr>
          <w:rFonts w:ascii="Times New Roman" w:hAnsi="Times New Roman"/>
          <w:b/>
          <w:sz w:val="24"/>
          <w:szCs w:val="24"/>
        </w:rPr>
        <w:t>your</w:t>
      </w:r>
      <w:proofErr w:type="gramEnd"/>
      <w:r w:rsidRPr="002270FF">
        <w:rPr>
          <w:rFonts w:ascii="Times New Roman" w:hAnsi="Times New Roman"/>
          <w:b/>
          <w:sz w:val="24"/>
          <w:szCs w:val="24"/>
        </w:rPr>
        <w:t xml:space="preserve"> actions.  </w:t>
      </w:r>
    </w:p>
    <w:p w14:paraId="2C1EAEC4" w14:textId="77777777" w:rsidR="00300506" w:rsidRPr="002270FF" w:rsidRDefault="00300506" w:rsidP="002B1283">
      <w:pPr>
        <w:rPr>
          <w:rFonts w:ascii="Times New Roman" w:hAnsi="Times New Roman"/>
          <w:b/>
          <w:bCs/>
          <w:sz w:val="24"/>
          <w:szCs w:val="24"/>
        </w:rPr>
      </w:pPr>
    </w:p>
    <w:p w14:paraId="0785EAA7" w14:textId="37720460" w:rsidR="00816951" w:rsidRDefault="00816951" w:rsidP="002B1283">
      <w:pPr>
        <w:rPr>
          <w:rFonts w:ascii="Arial Black" w:hAnsi="Arial Black"/>
          <w:b/>
          <w:bCs/>
          <w:sz w:val="28"/>
          <w:szCs w:val="28"/>
        </w:rPr>
      </w:pPr>
      <w:r>
        <w:rPr>
          <w:rFonts w:ascii="Arial Black" w:hAnsi="Arial Black"/>
          <w:b/>
          <w:bCs/>
          <w:sz w:val="28"/>
          <w:szCs w:val="28"/>
        </w:rPr>
        <w:t>13-204</w:t>
      </w:r>
    </w:p>
    <w:p w14:paraId="0D36C7C3" w14:textId="07B8C3B8" w:rsidR="00816951" w:rsidRPr="00BF1717" w:rsidRDefault="00816951" w:rsidP="00816951">
      <w:pPr>
        <w:rPr>
          <w:rFonts w:ascii="Arial Black" w:hAnsi="Arial Black"/>
          <w:b/>
          <w:sz w:val="28"/>
          <w:szCs w:val="28"/>
        </w:rPr>
      </w:pPr>
      <w:r>
        <w:rPr>
          <w:rFonts w:ascii="Arial Black" w:hAnsi="Arial Black"/>
          <w:b/>
          <w:sz w:val="28"/>
          <w:szCs w:val="28"/>
        </w:rPr>
        <w:t xml:space="preserve">MN: </w:t>
      </w:r>
      <w:r w:rsidR="00206727">
        <w:rPr>
          <w:rFonts w:ascii="Arial Black" w:hAnsi="Arial Black"/>
          <w:b/>
          <w:sz w:val="28"/>
          <w:szCs w:val="28"/>
        </w:rPr>
        <w:t xml:space="preserve">AMBUL. CODER – </w:t>
      </w:r>
      <w:r>
        <w:rPr>
          <w:rFonts w:ascii="Arial Black" w:hAnsi="Arial Black"/>
          <w:b/>
          <w:sz w:val="28"/>
          <w:szCs w:val="28"/>
        </w:rPr>
        <w:t>WHISTLEBLOWER</w:t>
      </w:r>
      <w:r w:rsidR="00206727">
        <w:rPr>
          <w:rFonts w:ascii="Arial Black" w:hAnsi="Arial Black"/>
          <w:b/>
          <w:sz w:val="28"/>
          <w:szCs w:val="28"/>
        </w:rPr>
        <w:t xml:space="preserve"> - “BLS” UPCHARGED “ALS” </w:t>
      </w:r>
    </w:p>
    <w:p w14:paraId="099A4B53" w14:textId="77777777" w:rsidR="00816951" w:rsidRPr="000C1D8F" w:rsidRDefault="00816951" w:rsidP="00816951">
      <w:pPr>
        <w:pStyle w:val="NoSpacing"/>
        <w:rPr>
          <w:rFonts w:ascii="Times New Roman" w:hAnsi="Times New Roman"/>
          <w:sz w:val="24"/>
          <w:szCs w:val="24"/>
        </w:rPr>
      </w:pPr>
      <w:r w:rsidRPr="000C1D8F">
        <w:rPr>
          <w:rFonts w:ascii="Times New Roman" w:hAnsi="Times New Roman"/>
          <w:sz w:val="24"/>
          <w:szCs w:val="24"/>
        </w:rPr>
        <w:t xml:space="preserve">On Jan. 24, 2025, in </w:t>
      </w:r>
      <w:r w:rsidRPr="000C1D8F">
        <w:rPr>
          <w:rFonts w:ascii="Times New Roman" w:hAnsi="Times New Roman"/>
          <w:sz w:val="24"/>
          <w:szCs w:val="24"/>
          <w:u w:val="single"/>
        </w:rPr>
        <w:t>United States of America and the State of Minnesota, ex rel. Ashley Mothershed v. Mayo Clinic Ambulance</w:t>
      </w:r>
      <w:r w:rsidRPr="000C1D8F">
        <w:rPr>
          <w:rFonts w:ascii="Times New Roman" w:hAnsi="Times New Roman"/>
          <w:sz w:val="24"/>
          <w:szCs w:val="24"/>
        </w:rPr>
        <w:t xml:space="preserve">, United States District Court Judge Donovan W. Frank denied the Mayo Clinic motion to dismiss the false claim case (but dismiss duplicative counts of submitting false records). The whistleblower is an experienced ambulance coding employee; in her lawsuit she provided numerous examples of inflated charges.  Pre-trial discovery will now proceed (when federal government intervenes, whistleblowers typically </w:t>
      </w:r>
      <w:r w:rsidRPr="000C1D8F">
        <w:rPr>
          <w:rFonts w:ascii="Times New Roman" w:hAnsi="Times New Roman"/>
          <w:sz w:val="24"/>
          <w:szCs w:val="24"/>
        </w:rPr>
        <w:lastRenderedPageBreak/>
        <w:t xml:space="preserve">receive 15% to 30% of the recovery by federal government). </w:t>
      </w:r>
      <w:hyperlink r:id="rId1984" w:history="1">
        <w:r w:rsidRPr="000C1D8F">
          <w:rPr>
            <w:rStyle w:val="Hyperlink"/>
            <w:rFonts w:ascii="Times New Roman" w:hAnsi="Times New Roman"/>
            <w:sz w:val="24"/>
            <w:szCs w:val="24"/>
          </w:rPr>
          <w:t>https://cases.justia.com/federal/district-courts/minnesota/mndce/0:2022cv00602/199430/91/0.pdf?ts=1737802391</w:t>
        </w:r>
      </w:hyperlink>
      <w:r w:rsidRPr="000C1D8F">
        <w:rPr>
          <w:rFonts w:ascii="Times New Roman" w:hAnsi="Times New Roman"/>
          <w:sz w:val="24"/>
          <w:szCs w:val="24"/>
        </w:rPr>
        <w:t xml:space="preserve"> </w:t>
      </w:r>
    </w:p>
    <w:p w14:paraId="7F486D90" w14:textId="77777777" w:rsidR="00816951" w:rsidRPr="000C1D8F" w:rsidRDefault="00816951" w:rsidP="00816951">
      <w:pPr>
        <w:pStyle w:val="NoSpacing"/>
        <w:rPr>
          <w:rFonts w:ascii="Times New Roman" w:hAnsi="Times New Roman"/>
          <w:sz w:val="24"/>
          <w:szCs w:val="24"/>
        </w:rPr>
      </w:pPr>
    </w:p>
    <w:p w14:paraId="18A03948" w14:textId="77777777" w:rsidR="00816951" w:rsidRPr="000C1D8F" w:rsidRDefault="00816951" w:rsidP="00816951">
      <w:pPr>
        <w:pStyle w:val="NoSpacing"/>
        <w:rPr>
          <w:rFonts w:ascii="Times New Roman" w:hAnsi="Times New Roman"/>
          <w:sz w:val="24"/>
          <w:szCs w:val="24"/>
        </w:rPr>
      </w:pPr>
      <w:r w:rsidRPr="000C1D8F">
        <w:rPr>
          <w:rFonts w:ascii="Times New Roman" w:hAnsi="Times New Roman"/>
          <w:sz w:val="24"/>
          <w:szCs w:val="24"/>
        </w:rPr>
        <w:t>The Court wrote:</w:t>
      </w:r>
    </w:p>
    <w:p w14:paraId="55C23E52" w14:textId="77777777" w:rsidR="00816951" w:rsidRPr="000C1D8F" w:rsidRDefault="00816951" w:rsidP="00816951">
      <w:pPr>
        <w:pStyle w:val="NoSpacing"/>
        <w:rPr>
          <w:rFonts w:ascii="Times New Roman" w:hAnsi="Times New Roman"/>
          <w:sz w:val="24"/>
          <w:szCs w:val="24"/>
        </w:rPr>
      </w:pPr>
    </w:p>
    <w:p w14:paraId="17DDAE5A" w14:textId="77777777" w:rsidR="00816951" w:rsidRPr="000C1D8F" w:rsidRDefault="00816951" w:rsidP="00816951">
      <w:pPr>
        <w:pStyle w:val="NoSpacing"/>
        <w:ind w:firstLine="720"/>
        <w:rPr>
          <w:rFonts w:ascii="Times New Roman" w:hAnsi="Times New Roman"/>
          <w:sz w:val="24"/>
          <w:szCs w:val="24"/>
        </w:rPr>
      </w:pPr>
      <w:r w:rsidRPr="000C1D8F">
        <w:rPr>
          <w:rFonts w:ascii="Times New Roman" w:hAnsi="Times New Roman"/>
          <w:sz w:val="24"/>
          <w:szCs w:val="24"/>
        </w:rPr>
        <w:t>“Mothershed is an experienced professional in ambulance coding compliance….</w:t>
      </w:r>
    </w:p>
    <w:p w14:paraId="2E766F04"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Mayo is a Minnesota-based, non-profit organization that provides ambulance transport services in both Minnesota and Wisconsin</w:t>
      </w:r>
      <w:proofErr w:type="gramStart"/>
      <w:r w:rsidRPr="000C1D8F">
        <w:rPr>
          <w:rFonts w:ascii="Times New Roman" w:hAnsi="Times New Roman"/>
          <w:sz w:val="24"/>
          <w:szCs w:val="24"/>
        </w:rPr>
        <w:t>.…</w:t>
      </w:r>
      <w:proofErr w:type="gramEnd"/>
      <w:r w:rsidRPr="000C1D8F">
        <w:rPr>
          <w:rFonts w:ascii="Times New Roman" w:hAnsi="Times New Roman"/>
          <w:sz w:val="24"/>
          <w:szCs w:val="24"/>
        </w:rPr>
        <w:t xml:space="preserve"> In November 2020, Mothershed began working remotely for Mayo’s billing department….She worked for Mayo from November 2020 through June 2021, and then again from September 2021 through May 2022….As a biller in Mayo’s billing department, Mothershed used information from</w:t>
      </w:r>
    </w:p>
    <w:p w14:paraId="108DA866" w14:textId="77777777" w:rsidR="00816951" w:rsidRPr="000C1D8F" w:rsidRDefault="00816951" w:rsidP="00816951">
      <w:pPr>
        <w:pStyle w:val="NoSpacing"/>
        <w:rPr>
          <w:rFonts w:ascii="Times New Roman" w:hAnsi="Times New Roman"/>
          <w:sz w:val="24"/>
          <w:szCs w:val="24"/>
        </w:rPr>
      </w:pPr>
    </w:p>
    <w:p w14:paraId="25821085"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 xml:space="preserve">Mothershed brings this qui tam action on behalf of the United States of America and the State of Minnesota against Mayo under the federal False Claims Act (‘FCA’) and the Minnesota False Claims Act (‘MFCA.). </w:t>
      </w:r>
    </w:p>
    <w:p w14:paraId="09C09264" w14:textId="77777777" w:rsidR="00816951" w:rsidRPr="000C1D8F" w:rsidRDefault="00816951" w:rsidP="00816951">
      <w:pPr>
        <w:pStyle w:val="NoSpacing"/>
        <w:ind w:left="720"/>
        <w:rPr>
          <w:rFonts w:ascii="Times New Roman" w:hAnsi="Times New Roman"/>
          <w:sz w:val="24"/>
          <w:szCs w:val="24"/>
        </w:rPr>
      </w:pPr>
    </w:p>
    <w:p w14:paraId="3BBCB229" w14:textId="77777777" w:rsidR="00816951" w:rsidRPr="000C1D8F" w:rsidRDefault="00816951" w:rsidP="00816951">
      <w:pPr>
        <w:pStyle w:val="NoSpacing"/>
        <w:ind w:left="720"/>
        <w:rPr>
          <w:rFonts w:ascii="Times New Roman" w:hAnsi="Times New Roman"/>
          <w:b/>
          <w:sz w:val="24"/>
          <w:szCs w:val="24"/>
        </w:rPr>
      </w:pPr>
      <w:r w:rsidRPr="000C1D8F">
        <w:rPr>
          <w:rFonts w:ascii="Times New Roman" w:hAnsi="Times New Roman"/>
          <w:sz w:val="24"/>
          <w:szCs w:val="24"/>
        </w:rPr>
        <w:t>***</w:t>
      </w:r>
    </w:p>
    <w:p w14:paraId="510BB2B3"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Mothershed alleges that Mayo had three schemes for submitting false claims: (1) failing to review whether ambulance transports were medically necessary; (2) inaccurately reporting the level of services provided by upcoding non-emergency transports to emergency transports; and (3) inaccurately reporting the level of services provided by upcoding basic life support (‘BLS’) services to advanced life support (‘ALS’) services.</w:t>
      </w:r>
    </w:p>
    <w:p w14:paraId="48D354C5" w14:textId="77777777" w:rsidR="00816951" w:rsidRPr="000C1D8F" w:rsidRDefault="00816951" w:rsidP="00816951">
      <w:pPr>
        <w:pStyle w:val="NoSpacing"/>
        <w:ind w:left="720"/>
        <w:rPr>
          <w:rFonts w:ascii="Times New Roman" w:hAnsi="Times New Roman"/>
          <w:sz w:val="24"/>
          <w:szCs w:val="24"/>
        </w:rPr>
      </w:pPr>
    </w:p>
    <w:p w14:paraId="6E67D7F0"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w:t>
      </w:r>
    </w:p>
    <w:p w14:paraId="20D4123E" w14:textId="77777777" w:rsidR="00816951" w:rsidRPr="000C1D8F" w:rsidRDefault="00816951" w:rsidP="00816951">
      <w:pPr>
        <w:pStyle w:val="NoSpacing"/>
        <w:rPr>
          <w:rFonts w:ascii="Times New Roman" w:hAnsi="Times New Roman"/>
          <w:sz w:val="24"/>
          <w:szCs w:val="24"/>
        </w:rPr>
      </w:pPr>
    </w:p>
    <w:p w14:paraId="02CC9856"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As for knowledge, Mothershed alleges many conversations with her supervisors at Mayo about the problems with this billing practice. Her supervisors ignored her suggestions and told her to keep billing this way, even at times telling her to go back and change her codes. These actions demonstrate, at a minimum, a reckless disregard because Mayo was aware of the substantial and unjustifiable risk that they might have been submitting false claims, but they ignored those warnings by Mothershed. Thus, Mothershed sufficiently alleges knowledge.</w:t>
      </w:r>
    </w:p>
    <w:p w14:paraId="7DFCDD7A" w14:textId="77777777" w:rsidR="00816951" w:rsidRPr="000C1D8F" w:rsidRDefault="00816951" w:rsidP="00816951">
      <w:pPr>
        <w:pStyle w:val="NoSpacing"/>
        <w:ind w:left="720"/>
        <w:rPr>
          <w:rFonts w:ascii="Times New Roman" w:hAnsi="Times New Roman"/>
          <w:sz w:val="24"/>
          <w:szCs w:val="24"/>
        </w:rPr>
      </w:pPr>
    </w:p>
    <w:p w14:paraId="68C9810A"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w:t>
      </w:r>
    </w:p>
    <w:p w14:paraId="156846CF" w14:textId="77777777" w:rsidR="00816951" w:rsidRPr="000C1D8F" w:rsidRDefault="00816951" w:rsidP="00816951">
      <w:pPr>
        <w:pStyle w:val="NoSpacing"/>
        <w:rPr>
          <w:rFonts w:ascii="Times New Roman" w:hAnsi="Times New Roman"/>
          <w:sz w:val="24"/>
          <w:szCs w:val="24"/>
        </w:rPr>
      </w:pPr>
    </w:p>
    <w:p w14:paraId="5C71356F"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Mothershed provides two specific examples of this practice. Patient LS-3 was suffering from diarrhea, abdominal pain, nausea, and vomiting…. An ALS crew was dispatched to respond to the call, consisting of one Paramedic and one EMT-Basic….Dispatch marked the call type as ‘BLS.’… Upon arriving at the scene, the EMT-Basic performed an assessment of the patient…. No ALS interventions were conducted during the call…. Mayo billed the transport as ALS instead of BLS.</w:t>
      </w:r>
    </w:p>
    <w:p w14:paraId="7E1BD30A" w14:textId="77777777" w:rsidR="00816951" w:rsidRPr="000C1D8F" w:rsidRDefault="00816951" w:rsidP="00816951">
      <w:pPr>
        <w:pStyle w:val="NoSpacing"/>
        <w:ind w:left="720"/>
        <w:rPr>
          <w:rFonts w:ascii="Times New Roman" w:hAnsi="Times New Roman"/>
          <w:sz w:val="24"/>
          <w:szCs w:val="24"/>
        </w:rPr>
      </w:pPr>
    </w:p>
    <w:p w14:paraId="0C7C202C"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Patient LS-5 was found on the floor not making sense and reported experiencing</w:t>
      </w:r>
    </w:p>
    <w:p w14:paraId="10EADD14"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weakness…. An ALS crew was dispatched to respond to the call, consisting of one Paramedic and one EMT-Basic….Dispatch marked the call type as ‘BLS.’ Upon arriving at the scene, the EMT-Basic performed an assessment of the patient….No ALS interventions were conducted during the call…. Mayo billed the transport as ALS instead of BLS.”</w:t>
      </w:r>
    </w:p>
    <w:p w14:paraId="1D2FF85F" w14:textId="77777777" w:rsidR="00816951" w:rsidRPr="000C1D8F" w:rsidRDefault="00816951" w:rsidP="00816951">
      <w:pPr>
        <w:pStyle w:val="NoSpacing"/>
        <w:ind w:left="720"/>
        <w:rPr>
          <w:rFonts w:ascii="Times New Roman" w:hAnsi="Times New Roman"/>
          <w:sz w:val="24"/>
          <w:szCs w:val="24"/>
        </w:rPr>
      </w:pPr>
    </w:p>
    <w:p w14:paraId="54581F84" w14:textId="77777777" w:rsidR="00816951" w:rsidRPr="000C1D8F" w:rsidRDefault="00816951" w:rsidP="00816951">
      <w:pPr>
        <w:pStyle w:val="NoSpacing"/>
        <w:rPr>
          <w:rFonts w:ascii="Times New Roman" w:hAnsi="Times New Roman"/>
          <w:b/>
          <w:bCs/>
          <w:sz w:val="24"/>
          <w:szCs w:val="24"/>
        </w:rPr>
      </w:pPr>
      <w:r w:rsidRPr="000C1D8F">
        <w:rPr>
          <w:rFonts w:ascii="Times New Roman" w:hAnsi="Times New Roman"/>
          <w:b/>
          <w:sz w:val="24"/>
          <w:szCs w:val="24"/>
        </w:rPr>
        <w:t xml:space="preserve">Legal Lesson Learned:  Up charging BLS services as ALS can lead to litigation by both whistleblowers and by federal and state governments. </w:t>
      </w:r>
    </w:p>
    <w:p w14:paraId="53BDDDF9" w14:textId="77777777" w:rsidR="00816951" w:rsidRPr="000C1D8F" w:rsidRDefault="00816951" w:rsidP="00816951">
      <w:pPr>
        <w:pStyle w:val="NoSpacing"/>
        <w:ind w:left="720"/>
        <w:rPr>
          <w:rFonts w:ascii="Times New Roman" w:hAnsi="Times New Roman"/>
          <w:bCs/>
          <w:sz w:val="24"/>
          <w:szCs w:val="24"/>
        </w:rPr>
      </w:pPr>
    </w:p>
    <w:p w14:paraId="35F97D30" w14:textId="77777777" w:rsidR="00816951" w:rsidRPr="000C1D8F" w:rsidRDefault="00816951" w:rsidP="00816951">
      <w:pPr>
        <w:ind w:left="720"/>
        <w:rPr>
          <w:rFonts w:ascii="Times New Roman" w:hAnsi="Times New Roman"/>
          <w:bCs/>
          <w:sz w:val="24"/>
          <w:szCs w:val="24"/>
        </w:rPr>
      </w:pPr>
      <w:r w:rsidRPr="000C1D8F">
        <w:rPr>
          <w:rFonts w:ascii="Times New Roman" w:hAnsi="Times New Roman"/>
          <w:sz w:val="24"/>
          <w:szCs w:val="24"/>
        </w:rPr>
        <w:t xml:space="preserve">Note: See Jan. 17, </w:t>
      </w:r>
      <w:proofErr w:type="gramStart"/>
      <w:r w:rsidRPr="000C1D8F">
        <w:rPr>
          <w:rFonts w:ascii="Times New Roman" w:hAnsi="Times New Roman"/>
          <w:sz w:val="24"/>
          <w:szCs w:val="24"/>
        </w:rPr>
        <w:t>2025</w:t>
      </w:r>
      <w:proofErr w:type="gramEnd"/>
      <w:r w:rsidRPr="000C1D8F">
        <w:rPr>
          <w:rFonts w:ascii="Times New Roman" w:hAnsi="Times New Roman"/>
          <w:sz w:val="24"/>
          <w:szCs w:val="24"/>
        </w:rPr>
        <w:t xml:space="preserve"> U.S. Department of Justice report, “False Claims Act Settlements and Judgments Exceed $2.9B in Fiscal Year 2024.”</w:t>
      </w:r>
    </w:p>
    <w:p w14:paraId="3F446B36"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lastRenderedPageBreak/>
        <w:t>“In 1986, Congress strengthened the False Claims Act by increasing incentives for whistleblowers to file lawsuits alleging false claims on behalf of the government. These whistleblowers,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The 979 qui tam suits filed in fiscal year 2024 breaks the prior record set in 2013, and this past year, the Justice Department reported settlements and judgments exceeding $2.4 billion in these and earlier-filed qui tam suits.”</w:t>
      </w:r>
    </w:p>
    <w:p w14:paraId="3BC419B0" w14:textId="77777777" w:rsidR="00816951" w:rsidRDefault="00816951" w:rsidP="002B1283">
      <w:pPr>
        <w:rPr>
          <w:rFonts w:ascii="Arial Black" w:hAnsi="Arial Black"/>
          <w:b/>
          <w:bCs/>
          <w:sz w:val="28"/>
          <w:szCs w:val="28"/>
        </w:rPr>
      </w:pPr>
    </w:p>
    <w:p w14:paraId="2610712C" w14:textId="76115DC2" w:rsidR="00816951" w:rsidRDefault="00816951" w:rsidP="002B1283">
      <w:pPr>
        <w:rPr>
          <w:rFonts w:ascii="Arial Black" w:hAnsi="Arial Black"/>
          <w:b/>
          <w:bCs/>
          <w:sz w:val="28"/>
          <w:szCs w:val="28"/>
        </w:rPr>
      </w:pPr>
      <w:r>
        <w:rPr>
          <w:rFonts w:ascii="Arial Black" w:hAnsi="Arial Black"/>
          <w:b/>
          <w:bCs/>
          <w:sz w:val="28"/>
          <w:szCs w:val="28"/>
        </w:rPr>
        <w:t>13-203</w:t>
      </w:r>
    </w:p>
    <w:p w14:paraId="137072DF" w14:textId="42CCD4B0" w:rsidR="00A47FDE" w:rsidRPr="00314C53" w:rsidRDefault="00A47FDE" w:rsidP="00A47FDE">
      <w:pPr>
        <w:rPr>
          <w:rFonts w:ascii="Arial Black" w:hAnsi="Arial Black"/>
          <w:b/>
          <w:sz w:val="28"/>
          <w:szCs w:val="28"/>
        </w:rPr>
      </w:pPr>
      <w:r>
        <w:rPr>
          <w:rFonts w:ascii="Arial Black" w:hAnsi="Arial Black"/>
          <w:b/>
          <w:sz w:val="28"/>
          <w:szCs w:val="28"/>
        </w:rPr>
        <w:t>CA: COVID-19 –</w:t>
      </w:r>
      <w:r w:rsidR="00500351">
        <w:rPr>
          <w:rFonts w:ascii="Arial Black" w:hAnsi="Arial Black"/>
          <w:b/>
          <w:sz w:val="28"/>
          <w:szCs w:val="28"/>
        </w:rPr>
        <w:t xml:space="preserve"> </w:t>
      </w:r>
      <w:r>
        <w:rPr>
          <w:rFonts w:ascii="Arial Black" w:hAnsi="Arial Black"/>
          <w:b/>
          <w:sz w:val="28"/>
          <w:szCs w:val="28"/>
        </w:rPr>
        <w:t>RELIGIOUS ACCOM</w:t>
      </w:r>
      <w:r w:rsidR="00500351">
        <w:rPr>
          <w:rFonts w:ascii="Arial Black" w:hAnsi="Arial Black"/>
          <w:b/>
          <w:sz w:val="28"/>
          <w:szCs w:val="28"/>
        </w:rPr>
        <w:t xml:space="preserve"> </w:t>
      </w:r>
      <w:r w:rsidR="003275FF">
        <w:rPr>
          <w:rFonts w:ascii="Arial Black" w:hAnsi="Arial Black"/>
          <w:b/>
          <w:sz w:val="28"/>
          <w:szCs w:val="28"/>
        </w:rPr>
        <w:t xml:space="preserve">- </w:t>
      </w:r>
      <w:r w:rsidR="000A4BD5">
        <w:rPr>
          <w:rFonts w:ascii="Arial Black" w:hAnsi="Arial Black"/>
          <w:b/>
          <w:sz w:val="28"/>
          <w:szCs w:val="28"/>
        </w:rPr>
        <w:t xml:space="preserve">14 GRANTED </w:t>
      </w:r>
      <w:r w:rsidR="00895720">
        <w:rPr>
          <w:rFonts w:ascii="Arial Black" w:hAnsi="Arial Black"/>
          <w:b/>
          <w:sz w:val="28"/>
          <w:szCs w:val="28"/>
        </w:rPr>
        <w:t>/ 6 DENIED</w:t>
      </w:r>
    </w:p>
    <w:p w14:paraId="5BF382CB" w14:textId="77777777" w:rsidR="00A47FDE" w:rsidRPr="00A47FDE" w:rsidRDefault="00A47FDE" w:rsidP="00A47FDE">
      <w:pPr>
        <w:pStyle w:val="NoSpacing"/>
        <w:rPr>
          <w:rFonts w:ascii="Times New Roman" w:hAnsi="Times New Roman"/>
          <w:sz w:val="24"/>
          <w:szCs w:val="24"/>
        </w:rPr>
      </w:pPr>
      <w:r w:rsidRPr="00A47FDE">
        <w:rPr>
          <w:rFonts w:ascii="Times New Roman" w:hAnsi="Times New Roman"/>
          <w:sz w:val="24"/>
          <w:szCs w:val="24"/>
        </w:rPr>
        <w:t xml:space="preserve">On Jan. 22, 2025, in </w:t>
      </w:r>
      <w:r w:rsidRPr="00A47FDE">
        <w:rPr>
          <w:rFonts w:ascii="Times New Roman" w:hAnsi="Times New Roman"/>
          <w:sz w:val="24"/>
          <w:szCs w:val="24"/>
          <w:u w:val="single"/>
        </w:rPr>
        <w:t>Josh Sattley v. The City of Beverly Hills</w:t>
      </w:r>
      <w:r w:rsidRPr="00A47FDE">
        <w:rPr>
          <w:rFonts w:ascii="Times New Roman" w:hAnsi="Times New Roman"/>
          <w:sz w:val="24"/>
          <w:szCs w:val="24"/>
        </w:rPr>
        <w:t xml:space="preserve">, the California Court of Appeals, Second District, Second Division held (3 to 0; unpublished decision) that the firefighter / EMT was properly fired after 11 years on the job; his request for religious accommodation was merely one sentence - “He had a sincerely held religious belief or practices that conflicted with a stated job requirement (mandatory Covid vaccination).”  The City’s HR Director met with each of the firefighters seeking religious accommodations; 14 were granted, and 6 denied (5 then got vaccinated, only Sattley refused). There was no proof that his social media posts criticizing the </w:t>
      </w:r>
      <w:proofErr w:type="gramStart"/>
      <w:r w:rsidRPr="00A47FDE">
        <w:rPr>
          <w:rFonts w:ascii="Times New Roman" w:hAnsi="Times New Roman"/>
          <w:sz w:val="24"/>
          <w:szCs w:val="24"/>
        </w:rPr>
        <w:t>City</w:t>
      </w:r>
      <w:proofErr w:type="gramEnd"/>
      <w:r w:rsidRPr="00A47FDE">
        <w:rPr>
          <w:rFonts w:ascii="Times New Roman" w:hAnsi="Times New Roman"/>
          <w:sz w:val="24"/>
          <w:szCs w:val="24"/>
        </w:rPr>
        <w:t xml:space="preserve"> played any role in his termination. </w:t>
      </w:r>
      <w:hyperlink r:id="rId1985" w:history="1">
        <w:r w:rsidRPr="00A47FDE">
          <w:rPr>
            <w:rStyle w:val="Hyperlink"/>
            <w:rFonts w:ascii="Times New Roman" w:hAnsi="Times New Roman"/>
            <w:sz w:val="24"/>
            <w:szCs w:val="24"/>
          </w:rPr>
          <w:t>https://www4.courts.ca.gov/opinions/nonpub/B334048.PDF</w:t>
        </w:r>
      </w:hyperlink>
      <w:r w:rsidRPr="00A47FDE">
        <w:rPr>
          <w:rFonts w:ascii="Times New Roman" w:hAnsi="Times New Roman"/>
          <w:sz w:val="24"/>
          <w:szCs w:val="24"/>
        </w:rPr>
        <w:t xml:space="preserve"> </w:t>
      </w:r>
    </w:p>
    <w:p w14:paraId="27ED7EEA" w14:textId="77777777" w:rsidR="00A47FDE" w:rsidRPr="00A47FDE" w:rsidRDefault="00A47FDE" w:rsidP="00A47FDE">
      <w:pPr>
        <w:pStyle w:val="NoSpacing"/>
        <w:rPr>
          <w:rFonts w:ascii="Times New Roman" w:hAnsi="Times New Roman"/>
          <w:sz w:val="24"/>
          <w:szCs w:val="24"/>
        </w:rPr>
      </w:pPr>
    </w:p>
    <w:p w14:paraId="5D2A9054" w14:textId="77777777" w:rsidR="00A47FDE" w:rsidRPr="00A47FDE" w:rsidRDefault="00A47FDE" w:rsidP="00A47FDE">
      <w:pPr>
        <w:pStyle w:val="NoSpacing"/>
        <w:rPr>
          <w:rFonts w:ascii="Times New Roman" w:hAnsi="Times New Roman"/>
          <w:sz w:val="24"/>
          <w:szCs w:val="24"/>
        </w:rPr>
      </w:pPr>
      <w:r w:rsidRPr="00A47FDE">
        <w:rPr>
          <w:rFonts w:ascii="Times New Roman" w:hAnsi="Times New Roman"/>
          <w:sz w:val="24"/>
          <w:szCs w:val="24"/>
        </w:rPr>
        <w:t xml:space="preserve">The Court wrote:  </w:t>
      </w:r>
    </w:p>
    <w:p w14:paraId="44EFBEA2" w14:textId="77777777" w:rsidR="00A47FDE" w:rsidRPr="00A47FDE" w:rsidRDefault="00A47FDE" w:rsidP="00A47FDE">
      <w:pPr>
        <w:pStyle w:val="NoSpacing"/>
        <w:rPr>
          <w:rFonts w:ascii="Times New Roman" w:hAnsi="Times New Roman"/>
          <w:sz w:val="24"/>
          <w:szCs w:val="24"/>
        </w:rPr>
      </w:pPr>
    </w:p>
    <w:p w14:paraId="3C7117B5"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“An employee’s inability to perform the essential tasks of his or her job is a legitimate, nondiscriminatory reason to terminate the employee.</w:t>
      </w:r>
    </w:p>
    <w:p w14:paraId="59A73FD6" w14:textId="77777777" w:rsidR="00A47FDE" w:rsidRPr="00A47FDE" w:rsidRDefault="00A47FDE" w:rsidP="00A47FDE">
      <w:pPr>
        <w:pStyle w:val="NoSpacing"/>
        <w:ind w:left="720"/>
        <w:rPr>
          <w:rFonts w:ascii="Times New Roman" w:hAnsi="Times New Roman"/>
          <w:sz w:val="24"/>
          <w:szCs w:val="24"/>
        </w:rPr>
      </w:pPr>
    </w:p>
    <w:p w14:paraId="0048E0B8"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w:t>
      </w:r>
    </w:p>
    <w:p w14:paraId="06E19C82"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 xml:space="preserve">On September 28, 29, and 30, 2021, the city’s human resources director, Shelley Ovrom, met individually with each of the firefighters, including appellant, to determine which of the firefighters were eligible for </w:t>
      </w:r>
      <w:proofErr w:type="gramStart"/>
      <w:r w:rsidRPr="00A47FDE">
        <w:rPr>
          <w:rFonts w:ascii="Times New Roman" w:hAnsi="Times New Roman"/>
          <w:sz w:val="24"/>
          <w:szCs w:val="24"/>
        </w:rPr>
        <w:t>a religious</w:t>
      </w:r>
      <w:proofErr w:type="gramEnd"/>
      <w:r w:rsidRPr="00A47FDE">
        <w:rPr>
          <w:rFonts w:ascii="Times New Roman" w:hAnsi="Times New Roman"/>
          <w:sz w:val="24"/>
          <w:szCs w:val="24"/>
        </w:rPr>
        <w:t xml:space="preserve"> accommodation. Fourteen firefighters were granted </w:t>
      </w:r>
      <w:proofErr w:type="gramStart"/>
      <w:r w:rsidRPr="00A47FDE">
        <w:rPr>
          <w:rFonts w:ascii="Times New Roman" w:hAnsi="Times New Roman"/>
          <w:sz w:val="24"/>
          <w:szCs w:val="24"/>
        </w:rPr>
        <w:t>an accommodation</w:t>
      </w:r>
      <w:proofErr w:type="gramEnd"/>
      <w:r w:rsidRPr="00A47FDE">
        <w:rPr>
          <w:rFonts w:ascii="Times New Roman" w:hAnsi="Times New Roman"/>
          <w:sz w:val="24"/>
          <w:szCs w:val="24"/>
        </w:rPr>
        <w:t xml:space="preserve">, four withdrew their requests, and six firefighters’ requests were denied. Of the six firefighters whose requests were denied, all except Sattley later submitted proof of vaccination. Because Sattley did not have an approved </w:t>
      </w:r>
      <w:proofErr w:type="spellStart"/>
      <w:r w:rsidRPr="00A47FDE">
        <w:rPr>
          <w:rFonts w:ascii="Times New Roman" w:hAnsi="Times New Roman"/>
          <w:sz w:val="24"/>
          <w:szCs w:val="24"/>
        </w:rPr>
        <w:t>ccommodation</w:t>
      </w:r>
      <w:proofErr w:type="spellEnd"/>
      <w:r w:rsidRPr="00A47FDE">
        <w:rPr>
          <w:rFonts w:ascii="Times New Roman" w:hAnsi="Times New Roman"/>
          <w:sz w:val="24"/>
          <w:szCs w:val="24"/>
        </w:rPr>
        <w:t xml:space="preserve"> or exemption, he was placed on administrative leave on October 1, 2021. </w:t>
      </w:r>
      <w:proofErr w:type="spellStart"/>
      <w:r w:rsidRPr="00A47FDE">
        <w:rPr>
          <w:rFonts w:ascii="Times New Roman" w:hAnsi="Times New Roman"/>
          <w:sz w:val="24"/>
          <w:szCs w:val="24"/>
        </w:rPr>
        <w:t>Ovrom</w:t>
      </w:r>
      <w:proofErr w:type="spellEnd"/>
      <w:r w:rsidRPr="00A47FDE">
        <w:rPr>
          <w:rFonts w:ascii="Times New Roman" w:hAnsi="Times New Roman"/>
          <w:sz w:val="24"/>
          <w:szCs w:val="24"/>
        </w:rPr>
        <w:t xml:space="preserve"> and Chief Barton decided to place Sattley on leave because he was no longer qualified to perform his job under the health order…. Sattley received a due process (Skelly) hearing, and the hearing officer  recommended Chief Barton proceed with termination of Sattley’s employment. On March 9, 2022, Chief Barton terminated Sattley, effective March 11, 2022.</w:t>
      </w:r>
    </w:p>
    <w:p w14:paraId="183DDA68" w14:textId="77777777" w:rsidR="00A47FDE" w:rsidRPr="00A47FDE" w:rsidRDefault="00A47FDE" w:rsidP="00A47FDE">
      <w:pPr>
        <w:pStyle w:val="NoSpacing"/>
        <w:rPr>
          <w:rFonts w:ascii="Times New Roman" w:hAnsi="Times New Roman"/>
          <w:sz w:val="24"/>
          <w:szCs w:val="24"/>
        </w:rPr>
      </w:pPr>
    </w:p>
    <w:p w14:paraId="17F08BF6" w14:textId="77777777" w:rsidR="00A47FDE" w:rsidRPr="00A47FDE" w:rsidRDefault="00A47FDE" w:rsidP="00A47FDE">
      <w:pPr>
        <w:pStyle w:val="NoSpacing"/>
        <w:ind w:firstLine="720"/>
        <w:rPr>
          <w:rFonts w:ascii="Times New Roman" w:hAnsi="Times New Roman"/>
          <w:sz w:val="24"/>
          <w:szCs w:val="24"/>
        </w:rPr>
      </w:pPr>
      <w:r w:rsidRPr="00A47FDE">
        <w:rPr>
          <w:rFonts w:ascii="Times New Roman" w:hAnsi="Times New Roman"/>
          <w:sz w:val="24"/>
          <w:szCs w:val="24"/>
        </w:rPr>
        <w:t>***</w:t>
      </w:r>
    </w:p>
    <w:p w14:paraId="02360BD7"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Sattley’s allegations of his alleged bona fide religious belief consisted of one sentence: ‘He had a sincerely held religious belief or practices that conflicted with a stated job requirement (mandatory Covid vaccination).’ … Because Sattley failed to adequately plead a bona fide religious belief that conflicted with the health order, the trial court properly sustained the city’s demurrer to this cause of action…. Sattley’s addition [in reply brief] of the denomination of ‘Christian’ does not clarify his religious objection, as he had already described his religion as “Mormon/Christian” in his November 2021 DFEH charge.</w:t>
      </w:r>
    </w:p>
    <w:p w14:paraId="6E70DA0F" w14:textId="77777777" w:rsidR="00A47FDE" w:rsidRPr="00A47FDE" w:rsidRDefault="00A47FDE" w:rsidP="00A47FDE">
      <w:pPr>
        <w:pStyle w:val="NoSpacing"/>
        <w:rPr>
          <w:rFonts w:ascii="Times New Roman" w:hAnsi="Times New Roman"/>
          <w:sz w:val="24"/>
          <w:szCs w:val="24"/>
        </w:rPr>
      </w:pPr>
    </w:p>
    <w:p w14:paraId="7A6A5451" w14:textId="77777777" w:rsidR="00A47FDE" w:rsidRPr="00A47FDE" w:rsidRDefault="00A47FDE" w:rsidP="00A47FDE">
      <w:pPr>
        <w:pStyle w:val="NoSpacing"/>
        <w:ind w:firstLine="720"/>
        <w:rPr>
          <w:rFonts w:ascii="Times New Roman" w:hAnsi="Times New Roman"/>
          <w:sz w:val="24"/>
          <w:szCs w:val="24"/>
        </w:rPr>
      </w:pPr>
      <w:r w:rsidRPr="00A47FDE">
        <w:rPr>
          <w:rFonts w:ascii="Times New Roman" w:hAnsi="Times New Roman"/>
          <w:sz w:val="24"/>
          <w:szCs w:val="24"/>
        </w:rPr>
        <w:t>***</w:t>
      </w:r>
    </w:p>
    <w:p w14:paraId="5C319F16"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lastRenderedPageBreak/>
        <w:t xml:space="preserve">Sattley argues he engaged in protected activity during the fall of 2021 when he criticized the city’s COVID personnel policies on social media and filed this lawsuit…. Sattley fails to point to a specific social media post that he believed was the basis for his </w:t>
      </w:r>
      <w:proofErr w:type="gramStart"/>
      <w:r w:rsidRPr="00A47FDE">
        <w:rPr>
          <w:rFonts w:ascii="Times New Roman" w:hAnsi="Times New Roman"/>
          <w:sz w:val="24"/>
          <w:szCs w:val="24"/>
        </w:rPr>
        <w:t>termination.”</w:t>
      </w:r>
      <w:proofErr w:type="gramEnd"/>
    </w:p>
    <w:p w14:paraId="76B0EBFA" w14:textId="77777777" w:rsidR="00A47FDE" w:rsidRPr="00A47FDE" w:rsidRDefault="00A47FDE" w:rsidP="00A47FDE">
      <w:pPr>
        <w:pStyle w:val="NoSpacing"/>
        <w:ind w:left="720"/>
        <w:rPr>
          <w:rFonts w:ascii="Times New Roman" w:hAnsi="Times New Roman"/>
          <w:sz w:val="24"/>
          <w:szCs w:val="24"/>
        </w:rPr>
      </w:pPr>
    </w:p>
    <w:p w14:paraId="7C59BF9E" w14:textId="77777777" w:rsidR="00A47FDE" w:rsidRPr="00A47FDE" w:rsidRDefault="00A47FDE" w:rsidP="00A47FDE">
      <w:pPr>
        <w:pStyle w:val="NoSpacing"/>
        <w:rPr>
          <w:rFonts w:ascii="Times New Roman" w:hAnsi="Times New Roman"/>
          <w:b/>
          <w:bCs/>
          <w:sz w:val="24"/>
          <w:szCs w:val="24"/>
        </w:rPr>
      </w:pPr>
      <w:r w:rsidRPr="00A47FDE">
        <w:rPr>
          <w:rFonts w:ascii="Times New Roman" w:hAnsi="Times New Roman"/>
          <w:b/>
          <w:sz w:val="24"/>
          <w:szCs w:val="24"/>
        </w:rPr>
        <w:t>Legal Lesson Learned:  If you are seeking religious accommodation, need to provide details about your faith and your history of objection to vaccinations.</w:t>
      </w:r>
    </w:p>
    <w:p w14:paraId="1A18FC86" w14:textId="77777777" w:rsidR="00A47FDE" w:rsidRDefault="00A47FDE" w:rsidP="00A47FDE">
      <w:pPr>
        <w:pStyle w:val="NoSpacing"/>
      </w:pPr>
    </w:p>
    <w:p w14:paraId="4CC87C09" w14:textId="77777777" w:rsidR="00A47FDE" w:rsidRDefault="00A47FDE" w:rsidP="002B1283">
      <w:pPr>
        <w:rPr>
          <w:rFonts w:ascii="Arial Black" w:hAnsi="Arial Black"/>
          <w:b/>
          <w:bCs/>
          <w:sz w:val="28"/>
          <w:szCs w:val="28"/>
        </w:rPr>
      </w:pPr>
    </w:p>
    <w:p w14:paraId="6EED563B" w14:textId="496F4575" w:rsidR="00816951" w:rsidRDefault="00816951" w:rsidP="002B1283">
      <w:pPr>
        <w:rPr>
          <w:rFonts w:ascii="Arial Black" w:hAnsi="Arial Black"/>
          <w:b/>
          <w:bCs/>
          <w:sz w:val="28"/>
          <w:szCs w:val="28"/>
        </w:rPr>
      </w:pPr>
      <w:r>
        <w:rPr>
          <w:rFonts w:ascii="Arial Black" w:hAnsi="Arial Black"/>
          <w:b/>
          <w:bCs/>
          <w:sz w:val="28"/>
          <w:szCs w:val="28"/>
        </w:rPr>
        <w:t>13-202</w:t>
      </w:r>
    </w:p>
    <w:p w14:paraId="4638FDC4" w14:textId="79CB78E9" w:rsidR="00C20E41" w:rsidRPr="00DD6EF6" w:rsidRDefault="00C20E41" w:rsidP="00C20E41">
      <w:pPr>
        <w:rPr>
          <w:rFonts w:ascii="Arial Black" w:hAnsi="Arial Black"/>
          <w:b/>
          <w:sz w:val="28"/>
          <w:szCs w:val="28"/>
        </w:rPr>
      </w:pPr>
      <w:r>
        <w:rPr>
          <w:rFonts w:ascii="Arial Black" w:hAnsi="Arial Black"/>
          <w:b/>
          <w:sz w:val="28"/>
          <w:szCs w:val="28"/>
        </w:rPr>
        <w:t xml:space="preserve">CA: COVID-19 – </w:t>
      </w:r>
      <w:r w:rsidR="00D32102">
        <w:rPr>
          <w:rFonts w:ascii="Arial Black" w:hAnsi="Arial Black"/>
          <w:b/>
          <w:sz w:val="28"/>
          <w:szCs w:val="28"/>
        </w:rPr>
        <w:t>FF ALL</w:t>
      </w:r>
      <w:r w:rsidR="00310992">
        <w:rPr>
          <w:rFonts w:ascii="Arial Black" w:hAnsi="Arial Black"/>
          <w:b/>
          <w:sz w:val="28"/>
          <w:szCs w:val="28"/>
        </w:rPr>
        <w:t xml:space="preserve">OWED WK FROM HOME - </w:t>
      </w:r>
      <w:r>
        <w:rPr>
          <w:rFonts w:ascii="Arial Black" w:hAnsi="Arial Black"/>
          <w:b/>
          <w:sz w:val="28"/>
          <w:szCs w:val="28"/>
        </w:rPr>
        <w:t xml:space="preserve">VOL. RETIRED </w:t>
      </w:r>
    </w:p>
    <w:p w14:paraId="136C21BF" w14:textId="77777777" w:rsidR="00C20E41" w:rsidRPr="004441B2" w:rsidRDefault="00C20E41" w:rsidP="00C20E41">
      <w:pPr>
        <w:rPr>
          <w:rFonts w:ascii="Times New Roman" w:hAnsi="Times New Roman"/>
          <w:sz w:val="24"/>
          <w:szCs w:val="24"/>
        </w:rPr>
      </w:pPr>
      <w:r w:rsidRPr="004441B2">
        <w:rPr>
          <w:rFonts w:ascii="Times New Roman" w:hAnsi="Times New Roman"/>
          <w:sz w:val="24"/>
          <w:szCs w:val="24"/>
        </w:rPr>
        <w:t>On Jan. 22, 2025,</w:t>
      </w:r>
      <w:r w:rsidRPr="004441B2">
        <w:rPr>
          <w:rFonts w:ascii="Times New Roman" w:hAnsi="Times New Roman"/>
          <w:b/>
          <w:sz w:val="24"/>
          <w:szCs w:val="24"/>
        </w:rPr>
        <w:t xml:space="preserve"> </w:t>
      </w:r>
      <w:r w:rsidRPr="004441B2">
        <w:rPr>
          <w:rFonts w:ascii="Times New Roman" w:hAnsi="Times New Roman"/>
          <w:sz w:val="24"/>
          <w:szCs w:val="24"/>
        </w:rPr>
        <w:t>in</w:t>
      </w:r>
      <w:r w:rsidRPr="004441B2">
        <w:rPr>
          <w:rFonts w:ascii="Times New Roman" w:hAnsi="Times New Roman"/>
          <w:b/>
          <w:sz w:val="24"/>
          <w:szCs w:val="24"/>
        </w:rPr>
        <w:t xml:space="preserve"> </w:t>
      </w:r>
      <w:r w:rsidRPr="004441B2">
        <w:rPr>
          <w:rFonts w:ascii="Times New Roman" w:hAnsi="Times New Roman"/>
          <w:sz w:val="24"/>
          <w:szCs w:val="24"/>
          <w:u w:val="single"/>
        </w:rPr>
        <w:t>Mark Alan Clark v. City of Los Angeles</w:t>
      </w:r>
      <w:r w:rsidRPr="004441B2">
        <w:rPr>
          <w:rFonts w:ascii="Times New Roman" w:hAnsi="Times New Roman"/>
          <w:sz w:val="24"/>
          <w:szCs w:val="24"/>
        </w:rPr>
        <w:t xml:space="preserve">, the California Court of Appeals, Second District, Second Division held (3 to 0; unpublished decision) held he was not “constructively discharged.”  He was permitted to work from home as the FD’s equipment superintendent and voluntarily retired prior to finding out if his religious accommodation was granted. “Given the city’s indefinite excusal of Clark from working in person, receiving a vaccine, and getting tested for COVID-19, no reasonable employer would have felt resignation was Clark’s only option.”  He retired on March 31, 2022, at age 55, while his request for religious accommodation was pending. After Clark voluntarily retired the city granted all pending exemption requests. </w:t>
      </w:r>
      <w:hyperlink r:id="rId1986" w:history="1">
        <w:r w:rsidRPr="004441B2">
          <w:rPr>
            <w:rStyle w:val="Hyperlink"/>
            <w:rFonts w:ascii="Times New Roman" w:hAnsi="Times New Roman"/>
            <w:sz w:val="24"/>
            <w:szCs w:val="24"/>
          </w:rPr>
          <w:t>https://www4.courts.ca.gov/opinions/nonpub/B335656.PDF</w:t>
        </w:r>
      </w:hyperlink>
      <w:r w:rsidRPr="004441B2">
        <w:rPr>
          <w:rFonts w:ascii="Times New Roman" w:hAnsi="Times New Roman"/>
          <w:sz w:val="24"/>
          <w:szCs w:val="24"/>
        </w:rPr>
        <w:t xml:space="preserve"> </w:t>
      </w:r>
    </w:p>
    <w:p w14:paraId="36575230" w14:textId="77777777" w:rsidR="00C20E41" w:rsidRPr="004441B2" w:rsidRDefault="00C20E41" w:rsidP="00C20E41">
      <w:pPr>
        <w:rPr>
          <w:rFonts w:ascii="Times New Roman" w:hAnsi="Times New Roman"/>
          <w:bCs/>
          <w:sz w:val="24"/>
          <w:szCs w:val="24"/>
        </w:rPr>
      </w:pPr>
      <w:r w:rsidRPr="004441B2">
        <w:rPr>
          <w:rFonts w:ascii="Times New Roman" w:hAnsi="Times New Roman"/>
          <w:sz w:val="24"/>
          <w:szCs w:val="24"/>
        </w:rPr>
        <w:t>The Court wrote:</w:t>
      </w:r>
    </w:p>
    <w:p w14:paraId="4EF8BEF3" w14:textId="77777777" w:rsidR="00C20E41" w:rsidRPr="004441B2" w:rsidRDefault="00C20E41" w:rsidP="00C20E41">
      <w:pPr>
        <w:pStyle w:val="NoSpacing"/>
        <w:ind w:left="720"/>
        <w:rPr>
          <w:rFonts w:ascii="Times New Roman" w:hAnsi="Times New Roman"/>
          <w:bCs/>
          <w:sz w:val="24"/>
          <w:szCs w:val="24"/>
        </w:rPr>
      </w:pPr>
      <w:r w:rsidRPr="004441B2">
        <w:rPr>
          <w:rFonts w:ascii="Times New Roman" w:hAnsi="Times New Roman"/>
          <w:sz w:val="24"/>
          <w:szCs w:val="24"/>
        </w:rPr>
        <w:t>“Clark worked remotely from home starting in June 2021 due to his wife’s medical condition. He applied for and was granted modified intermittent family medical leave. Clark had a telephone conversation with Assistant Chief Richard Fields on December 1, 2021, in which Fields personally permitted Clark to continue to work remotely until March 2022. After that time, Clark would have to take early retirement or return to working in person. Fields told Clark that his religious exemption request was still under review. Clark was also informed that if his request for exemption was denied, it could be appealed to the Fire Chief.</w:t>
      </w:r>
    </w:p>
    <w:p w14:paraId="37C23D01" w14:textId="77777777" w:rsidR="00C20E41" w:rsidRPr="004441B2" w:rsidRDefault="00C20E41" w:rsidP="00C20E41">
      <w:pPr>
        <w:pStyle w:val="NoSpacing"/>
        <w:ind w:left="720"/>
        <w:rPr>
          <w:rFonts w:ascii="Times New Roman" w:hAnsi="Times New Roman"/>
          <w:bCs/>
          <w:sz w:val="24"/>
          <w:szCs w:val="24"/>
        </w:rPr>
      </w:pPr>
    </w:p>
    <w:p w14:paraId="31AB2934" w14:textId="77777777" w:rsidR="00C20E41" w:rsidRPr="004441B2" w:rsidRDefault="00C20E41" w:rsidP="00C20E41">
      <w:pPr>
        <w:pStyle w:val="NoSpacing"/>
        <w:ind w:left="720"/>
        <w:rPr>
          <w:rFonts w:ascii="Times New Roman" w:hAnsi="Times New Roman"/>
          <w:bCs/>
          <w:sz w:val="24"/>
          <w:szCs w:val="24"/>
        </w:rPr>
      </w:pPr>
      <w:r w:rsidRPr="004441B2">
        <w:rPr>
          <w:rFonts w:ascii="Times New Roman" w:hAnsi="Times New Roman"/>
          <w:sz w:val="24"/>
          <w:szCs w:val="24"/>
        </w:rPr>
        <w:t>***</w:t>
      </w:r>
    </w:p>
    <w:p w14:paraId="0E588191" w14:textId="77777777" w:rsidR="00C20E41" w:rsidRPr="004441B2" w:rsidRDefault="00C20E41" w:rsidP="00C20E41">
      <w:pPr>
        <w:pStyle w:val="NoSpacing"/>
        <w:ind w:firstLine="720"/>
        <w:rPr>
          <w:rFonts w:ascii="Times New Roman" w:hAnsi="Times New Roman"/>
          <w:sz w:val="24"/>
          <w:szCs w:val="24"/>
        </w:rPr>
      </w:pPr>
    </w:p>
    <w:p w14:paraId="746F4AB3" w14:textId="77777777" w:rsidR="00C20E41" w:rsidRPr="004441B2" w:rsidRDefault="00C20E41" w:rsidP="00C20E41">
      <w:pPr>
        <w:pStyle w:val="NoSpacing"/>
        <w:ind w:left="720"/>
        <w:rPr>
          <w:rFonts w:ascii="Times New Roman" w:hAnsi="Times New Roman"/>
          <w:sz w:val="24"/>
          <w:szCs w:val="24"/>
        </w:rPr>
      </w:pPr>
      <w:r w:rsidRPr="004441B2">
        <w:rPr>
          <w:rFonts w:ascii="Times New Roman" w:hAnsi="Times New Roman"/>
          <w:sz w:val="24"/>
          <w:szCs w:val="24"/>
        </w:rPr>
        <w:t>The city’s formal approval of Clark’s request for accommodation during the time of his employment was not necessary for the city to reasonably accommodate Clark, who was</w:t>
      </w:r>
    </w:p>
    <w:p w14:paraId="6C91A99D" w14:textId="77777777" w:rsidR="00C20E41" w:rsidRPr="004441B2" w:rsidRDefault="00C20E41" w:rsidP="00C20E41">
      <w:pPr>
        <w:pStyle w:val="NoSpacing"/>
        <w:ind w:left="720"/>
        <w:rPr>
          <w:rFonts w:ascii="Times New Roman" w:hAnsi="Times New Roman"/>
          <w:sz w:val="24"/>
          <w:szCs w:val="24"/>
        </w:rPr>
      </w:pPr>
      <w:r w:rsidRPr="004441B2">
        <w:rPr>
          <w:rFonts w:ascii="Times New Roman" w:hAnsi="Times New Roman"/>
          <w:sz w:val="24"/>
          <w:szCs w:val="24"/>
        </w:rPr>
        <w:t xml:space="preserve">permitted to work from home from March 2020 through March 2021 and from June 2021 through March 2022. He attended work in person for one day on March 30, 2022, the day before his retirement. Clark did not allege he was ever required to test for COVID-19 or receive a vaccine…. The city was not required to rapidly implement Clark’s preferred solution. Its decision to permit him to work from </w:t>
      </w:r>
      <w:proofErr w:type="gramStart"/>
      <w:r w:rsidRPr="004441B2">
        <w:rPr>
          <w:rFonts w:ascii="Times New Roman" w:hAnsi="Times New Roman"/>
          <w:sz w:val="24"/>
          <w:szCs w:val="24"/>
        </w:rPr>
        <w:t>home, and</w:t>
      </w:r>
      <w:proofErr w:type="gramEnd"/>
      <w:r w:rsidRPr="004441B2">
        <w:rPr>
          <w:rFonts w:ascii="Times New Roman" w:hAnsi="Times New Roman"/>
          <w:sz w:val="24"/>
          <w:szCs w:val="24"/>
        </w:rPr>
        <w:t xml:space="preserve"> not require him to get vaccinated or test for COVID-19 during the pendency of his accommodation request, was reasonable.”</w:t>
      </w:r>
    </w:p>
    <w:p w14:paraId="2B24DE27" w14:textId="77777777" w:rsidR="00C20E41" w:rsidRPr="004441B2" w:rsidRDefault="00C20E41" w:rsidP="00C20E41">
      <w:pPr>
        <w:pStyle w:val="NoSpacing"/>
        <w:rPr>
          <w:rFonts w:ascii="Times New Roman" w:hAnsi="Times New Roman"/>
          <w:b/>
          <w:bCs/>
          <w:sz w:val="24"/>
          <w:szCs w:val="24"/>
        </w:rPr>
      </w:pPr>
    </w:p>
    <w:p w14:paraId="406B4A38" w14:textId="77777777" w:rsidR="00C20E41" w:rsidRPr="004441B2" w:rsidRDefault="00C20E41" w:rsidP="00C20E41">
      <w:pPr>
        <w:pStyle w:val="NoSpacing"/>
        <w:rPr>
          <w:rFonts w:ascii="Times New Roman" w:hAnsi="Times New Roman"/>
          <w:b/>
          <w:bCs/>
          <w:sz w:val="24"/>
          <w:szCs w:val="24"/>
        </w:rPr>
      </w:pPr>
      <w:r w:rsidRPr="004441B2">
        <w:rPr>
          <w:rFonts w:ascii="Times New Roman" w:hAnsi="Times New Roman"/>
          <w:b/>
          <w:sz w:val="24"/>
          <w:szCs w:val="24"/>
        </w:rPr>
        <w:t xml:space="preserve">Legal Lesson Learned:  The firefighter’s voluntary retirement ended any need to accommodate him. </w:t>
      </w:r>
    </w:p>
    <w:p w14:paraId="26D58E01" w14:textId="77777777" w:rsidR="00816951" w:rsidRDefault="00816951" w:rsidP="002B1283">
      <w:pPr>
        <w:rPr>
          <w:rFonts w:ascii="Arial Black" w:hAnsi="Arial Black"/>
          <w:b/>
          <w:bCs/>
          <w:sz w:val="28"/>
          <w:szCs w:val="28"/>
        </w:rPr>
      </w:pPr>
    </w:p>
    <w:p w14:paraId="7EBA556C" w14:textId="77777777" w:rsidR="00C20E41" w:rsidRDefault="00C20E41" w:rsidP="002B1283">
      <w:pPr>
        <w:rPr>
          <w:rFonts w:ascii="Arial Black" w:hAnsi="Arial Black"/>
          <w:b/>
          <w:bCs/>
          <w:sz w:val="28"/>
          <w:szCs w:val="28"/>
        </w:rPr>
      </w:pPr>
    </w:p>
    <w:p w14:paraId="42C2CCD6" w14:textId="77777777" w:rsidR="00C20E41" w:rsidRDefault="00C20E41" w:rsidP="002B1283">
      <w:pPr>
        <w:rPr>
          <w:rFonts w:ascii="Arial Black" w:hAnsi="Arial Black"/>
          <w:b/>
          <w:bCs/>
          <w:sz w:val="28"/>
          <w:szCs w:val="28"/>
        </w:rPr>
      </w:pPr>
    </w:p>
    <w:p w14:paraId="593FB3CC" w14:textId="2211FAF7" w:rsidR="00B068BE" w:rsidRDefault="00D0461C" w:rsidP="002B1283">
      <w:pPr>
        <w:rPr>
          <w:rFonts w:ascii="Arial Black" w:hAnsi="Arial Black"/>
          <w:b/>
          <w:bCs/>
          <w:sz w:val="28"/>
          <w:szCs w:val="28"/>
        </w:rPr>
      </w:pPr>
      <w:r>
        <w:rPr>
          <w:rFonts w:ascii="Arial Black" w:hAnsi="Arial Black"/>
          <w:b/>
          <w:bCs/>
          <w:sz w:val="28"/>
          <w:szCs w:val="28"/>
        </w:rPr>
        <w:lastRenderedPageBreak/>
        <w:t>13-201</w:t>
      </w:r>
    </w:p>
    <w:p w14:paraId="500DE5E1" w14:textId="72D41B40" w:rsidR="00D0461C" w:rsidRDefault="00D0461C" w:rsidP="00D0461C">
      <w:pPr>
        <w:pStyle w:val="NoSpacing"/>
        <w:rPr>
          <w:rFonts w:ascii="Arial Black" w:hAnsi="Arial Black"/>
          <w:b/>
          <w:sz w:val="28"/>
          <w:szCs w:val="28"/>
        </w:rPr>
      </w:pPr>
      <w:r>
        <w:rPr>
          <w:rFonts w:ascii="Arial Black" w:hAnsi="Arial Black"/>
          <w:b/>
          <w:sz w:val="28"/>
          <w:szCs w:val="28"/>
        </w:rPr>
        <w:t xml:space="preserve">CA: COVID-19 – BC </w:t>
      </w:r>
      <w:r w:rsidR="007D512D">
        <w:rPr>
          <w:rFonts w:ascii="Arial Black" w:hAnsi="Arial Black"/>
          <w:b/>
          <w:sz w:val="28"/>
          <w:szCs w:val="28"/>
        </w:rPr>
        <w:t>SUSP</w:t>
      </w:r>
      <w:r>
        <w:rPr>
          <w:rFonts w:ascii="Arial Black" w:hAnsi="Arial Black"/>
          <w:b/>
          <w:sz w:val="28"/>
          <w:szCs w:val="28"/>
        </w:rPr>
        <w:t>–</w:t>
      </w:r>
      <w:r w:rsidR="007D512D">
        <w:rPr>
          <w:rFonts w:ascii="Arial Black" w:hAnsi="Arial Black"/>
          <w:b/>
          <w:sz w:val="28"/>
          <w:szCs w:val="28"/>
        </w:rPr>
        <w:t xml:space="preserve"> </w:t>
      </w:r>
      <w:r w:rsidR="00817397">
        <w:rPr>
          <w:rFonts w:ascii="Arial Black" w:hAnsi="Arial Black"/>
          <w:b/>
          <w:sz w:val="28"/>
          <w:szCs w:val="28"/>
        </w:rPr>
        <w:t xml:space="preserve">NO </w:t>
      </w:r>
      <w:r w:rsidR="007D512D">
        <w:rPr>
          <w:rFonts w:ascii="Arial Black" w:hAnsi="Arial Black"/>
          <w:b/>
          <w:sz w:val="28"/>
          <w:szCs w:val="28"/>
        </w:rPr>
        <w:t xml:space="preserve">PRE-DISCIPLINARY HEARING REQ. </w:t>
      </w:r>
    </w:p>
    <w:p w14:paraId="4038BDC8" w14:textId="77777777" w:rsidR="00D0461C" w:rsidRDefault="00D0461C" w:rsidP="00D0461C">
      <w:pPr>
        <w:pStyle w:val="NoSpacing"/>
        <w:rPr>
          <w:rFonts w:ascii="Arial Black" w:hAnsi="Arial Black"/>
          <w:b/>
          <w:sz w:val="28"/>
          <w:szCs w:val="28"/>
        </w:rPr>
      </w:pPr>
    </w:p>
    <w:p w14:paraId="5BD581B7" w14:textId="77777777" w:rsidR="00D0461C" w:rsidRPr="00D0461C" w:rsidRDefault="00D0461C" w:rsidP="00D0461C">
      <w:pPr>
        <w:pStyle w:val="NoSpacing"/>
        <w:rPr>
          <w:rStyle w:val="Hyperlink"/>
          <w:rFonts w:ascii="Times New Roman" w:hAnsi="Times New Roman"/>
          <w:sz w:val="24"/>
          <w:szCs w:val="24"/>
        </w:rPr>
      </w:pPr>
      <w:r w:rsidRPr="00D0461C">
        <w:rPr>
          <w:rFonts w:ascii="Times New Roman" w:hAnsi="Times New Roman"/>
          <w:sz w:val="24"/>
          <w:szCs w:val="24"/>
        </w:rPr>
        <w:t xml:space="preserve">On Dec. 10, 2024, in </w:t>
      </w:r>
      <w:r w:rsidRPr="00D0461C">
        <w:rPr>
          <w:rFonts w:ascii="Times New Roman" w:hAnsi="Times New Roman"/>
          <w:sz w:val="24"/>
          <w:szCs w:val="24"/>
          <w:u w:val="single"/>
        </w:rPr>
        <w:t>Robert L. Kilpatrick v. City of Los Angeles</w:t>
      </w:r>
      <w:r w:rsidRPr="00D0461C">
        <w:rPr>
          <w:rFonts w:ascii="Times New Roman" w:hAnsi="Times New Roman"/>
          <w:sz w:val="24"/>
          <w:szCs w:val="24"/>
        </w:rPr>
        <w:t xml:space="preserve">, the Court of Appeals, Second District, Third Division, held that the Battalion Chief with 34 years of service was not entitled to a pre-disciplinary hearing prior to suspension, thereby overturning a Superior Court judge that held the City Charter required a hearing and decision by the City Board of Rights.  On Nov. 9, </w:t>
      </w:r>
      <w:proofErr w:type="gramStart"/>
      <w:r w:rsidRPr="00D0461C">
        <w:rPr>
          <w:rFonts w:ascii="Times New Roman" w:hAnsi="Times New Roman"/>
          <w:sz w:val="24"/>
          <w:szCs w:val="24"/>
        </w:rPr>
        <w:t>2021</w:t>
      </w:r>
      <w:proofErr w:type="gramEnd"/>
      <w:r w:rsidRPr="00D0461C">
        <w:rPr>
          <w:rFonts w:ascii="Times New Roman" w:hAnsi="Times New Roman"/>
          <w:sz w:val="24"/>
          <w:szCs w:val="24"/>
        </w:rPr>
        <w:t xml:space="preserve"> he was given Notice of  Charges for not getting a COVID vaccination; the Notice provided Kilpatrick at least 48 hours to either confirm he had complied with the vaccine mandate, or agreed that he would comply by December 18, 2021, and signing an agreement.  Kilpatrick did not sign. On November 12, 2021, the </w:t>
      </w:r>
      <w:proofErr w:type="gramStart"/>
      <w:r w:rsidRPr="00D0461C">
        <w:rPr>
          <w:rFonts w:ascii="Times New Roman" w:hAnsi="Times New Roman"/>
          <w:sz w:val="24"/>
          <w:szCs w:val="24"/>
        </w:rPr>
        <w:t>City</w:t>
      </w:r>
      <w:proofErr w:type="gramEnd"/>
      <w:r w:rsidRPr="00D0461C">
        <w:rPr>
          <w:rFonts w:ascii="Times New Roman" w:hAnsi="Times New Roman"/>
          <w:sz w:val="24"/>
          <w:szCs w:val="24"/>
        </w:rPr>
        <w:t xml:space="preserve"> placed him off duty without pay . A virtual hearing took place on December 21, 2021, and Kilpatrick left the hearing after the </w:t>
      </w:r>
      <w:proofErr w:type="gramStart"/>
      <w:r w:rsidRPr="00D0461C">
        <w:rPr>
          <w:rFonts w:ascii="Times New Roman" w:hAnsi="Times New Roman"/>
          <w:sz w:val="24"/>
          <w:szCs w:val="24"/>
        </w:rPr>
        <w:t>City</w:t>
      </w:r>
      <w:proofErr w:type="gramEnd"/>
      <w:r w:rsidRPr="00D0461C">
        <w:rPr>
          <w:rFonts w:ascii="Times New Roman" w:hAnsi="Times New Roman"/>
          <w:sz w:val="24"/>
          <w:szCs w:val="24"/>
        </w:rPr>
        <w:t xml:space="preserve"> refused to produce materials he requested. </w:t>
      </w:r>
      <w:hyperlink r:id="rId1987" w:history="1">
        <w:r w:rsidRPr="00D0461C">
          <w:rPr>
            <w:rStyle w:val="Hyperlink"/>
            <w:rFonts w:ascii="Times New Roman" w:hAnsi="Times New Roman"/>
            <w:sz w:val="24"/>
            <w:szCs w:val="24"/>
          </w:rPr>
          <w:t>https://casetext.com/case/kilpatrick-v-city-of-l-a</w:t>
        </w:r>
      </w:hyperlink>
    </w:p>
    <w:p w14:paraId="7F6490A4" w14:textId="77777777" w:rsidR="00D0461C" w:rsidRDefault="00D0461C" w:rsidP="002B1283">
      <w:pPr>
        <w:rPr>
          <w:rFonts w:ascii="Arial Black" w:hAnsi="Arial Black"/>
          <w:b/>
          <w:bCs/>
          <w:sz w:val="28"/>
          <w:szCs w:val="28"/>
        </w:rPr>
      </w:pPr>
    </w:p>
    <w:p w14:paraId="011FFA4D" w14:textId="77777777" w:rsidR="00264893" w:rsidRPr="00264893" w:rsidRDefault="00264893" w:rsidP="00264893">
      <w:pPr>
        <w:pStyle w:val="NoSpacing"/>
        <w:rPr>
          <w:rFonts w:ascii="Times New Roman" w:hAnsi="Times New Roman"/>
          <w:sz w:val="24"/>
          <w:szCs w:val="24"/>
        </w:rPr>
      </w:pPr>
      <w:r w:rsidRPr="00264893">
        <w:rPr>
          <w:rFonts w:ascii="Times New Roman" w:hAnsi="Times New Roman"/>
          <w:sz w:val="24"/>
          <w:szCs w:val="24"/>
        </w:rPr>
        <w:t xml:space="preserve">The Court wrote: </w:t>
      </w:r>
    </w:p>
    <w:p w14:paraId="42D20495" w14:textId="77777777" w:rsidR="00264893" w:rsidRPr="00264893" w:rsidRDefault="00264893" w:rsidP="00264893">
      <w:pPr>
        <w:pStyle w:val="NoSpacing"/>
        <w:rPr>
          <w:rFonts w:ascii="Times New Roman" w:hAnsi="Times New Roman"/>
          <w:sz w:val="24"/>
          <w:szCs w:val="24"/>
        </w:rPr>
      </w:pPr>
    </w:p>
    <w:p w14:paraId="0E06B335" w14:textId="61DC4BEA" w:rsidR="00264893" w:rsidRPr="00264893" w:rsidRDefault="00264893" w:rsidP="00264893">
      <w:pPr>
        <w:pStyle w:val="NoSpacing"/>
        <w:ind w:left="720"/>
        <w:rPr>
          <w:rFonts w:ascii="Times New Roman" w:hAnsi="Times New Roman"/>
          <w:sz w:val="24"/>
          <w:szCs w:val="24"/>
        </w:rPr>
      </w:pPr>
      <w:r w:rsidRPr="00264893">
        <w:rPr>
          <w:rFonts w:ascii="Times New Roman" w:hAnsi="Times New Roman"/>
          <w:sz w:val="24"/>
          <w:szCs w:val="24"/>
        </w:rPr>
        <w:t xml:space="preserve">“Kilpatrick received notice of the charges against him and had a short period to respond prior to being temporarily removed from duty. He received further post-suspension notice and the opportunity to be heard and respond in real time less than six weeks later. Under the circumstances of this </w:t>
      </w:r>
      <w:proofErr w:type="gramStart"/>
      <w:r w:rsidRPr="00264893">
        <w:rPr>
          <w:rFonts w:ascii="Times New Roman" w:hAnsi="Times New Roman"/>
          <w:sz w:val="24"/>
          <w:szCs w:val="24"/>
        </w:rPr>
        <w:t>case, and</w:t>
      </w:r>
      <w:proofErr w:type="gramEnd"/>
      <w:r w:rsidRPr="00264893">
        <w:rPr>
          <w:rFonts w:ascii="Times New Roman" w:hAnsi="Times New Roman"/>
          <w:sz w:val="24"/>
          <w:szCs w:val="24"/>
        </w:rPr>
        <w:t xml:space="preserve"> considering the three distinct factors necessary to determine what process was constitutionally due, we conclude the City's procedure was constitutionally sufficient. Kilpatrick received the ‘</w:t>
      </w:r>
      <w:proofErr w:type="spellStart"/>
      <w:r w:rsidRPr="00264893">
        <w:rPr>
          <w:rFonts w:ascii="Times New Roman" w:hAnsi="Times New Roman"/>
          <w:sz w:val="24"/>
          <w:szCs w:val="24"/>
        </w:rPr>
        <w:t>predisciplinary</w:t>
      </w:r>
      <w:proofErr w:type="spellEnd"/>
      <w:r w:rsidRPr="00264893">
        <w:rPr>
          <w:rFonts w:ascii="Times New Roman" w:hAnsi="Times New Roman"/>
          <w:sz w:val="24"/>
          <w:szCs w:val="24"/>
        </w:rPr>
        <w:t xml:space="preserve"> procedures otherwise required by law’….” </w:t>
      </w:r>
    </w:p>
    <w:p w14:paraId="3215A67C" w14:textId="77777777" w:rsidR="00264893" w:rsidRPr="00264893" w:rsidRDefault="00264893" w:rsidP="00264893">
      <w:pPr>
        <w:pStyle w:val="NoSpacing"/>
        <w:rPr>
          <w:rFonts w:ascii="Times New Roman" w:hAnsi="Times New Roman"/>
          <w:sz w:val="24"/>
          <w:szCs w:val="24"/>
        </w:rPr>
      </w:pPr>
    </w:p>
    <w:p w14:paraId="02D94DC9" w14:textId="77777777" w:rsidR="00264893" w:rsidRPr="00264893" w:rsidRDefault="00264893" w:rsidP="00264893">
      <w:pPr>
        <w:pStyle w:val="NoSpacing"/>
        <w:rPr>
          <w:rFonts w:ascii="Times New Roman" w:hAnsi="Times New Roman"/>
          <w:sz w:val="24"/>
          <w:szCs w:val="24"/>
        </w:rPr>
      </w:pPr>
      <w:r w:rsidRPr="00264893">
        <w:rPr>
          <w:rFonts w:ascii="Times New Roman" w:hAnsi="Times New Roman"/>
          <w:sz w:val="24"/>
          <w:szCs w:val="24"/>
        </w:rPr>
        <w:t>HOLDING:</w:t>
      </w:r>
    </w:p>
    <w:p w14:paraId="6589C4F9" w14:textId="77777777" w:rsidR="00264893" w:rsidRPr="00264893" w:rsidRDefault="00264893" w:rsidP="00264893">
      <w:pPr>
        <w:pStyle w:val="NoSpacing"/>
        <w:rPr>
          <w:rFonts w:ascii="Times New Roman" w:hAnsi="Times New Roman"/>
          <w:sz w:val="24"/>
          <w:szCs w:val="24"/>
        </w:rPr>
      </w:pPr>
    </w:p>
    <w:p w14:paraId="7156840F" w14:textId="77777777" w:rsidR="00264893" w:rsidRPr="00264893" w:rsidRDefault="00264893" w:rsidP="00264893">
      <w:pPr>
        <w:pStyle w:val="NoSpacing"/>
        <w:ind w:left="720"/>
        <w:rPr>
          <w:rFonts w:ascii="Times New Roman" w:hAnsi="Times New Roman"/>
          <w:sz w:val="24"/>
          <w:szCs w:val="24"/>
        </w:rPr>
      </w:pPr>
      <w:r w:rsidRPr="00264893">
        <w:rPr>
          <w:rFonts w:ascii="Times New Roman" w:hAnsi="Times New Roman"/>
          <w:sz w:val="24"/>
          <w:szCs w:val="24"/>
        </w:rPr>
        <w:t xml:space="preserve">“Under the circumstances of this </w:t>
      </w:r>
      <w:proofErr w:type="gramStart"/>
      <w:r w:rsidRPr="00264893">
        <w:rPr>
          <w:rFonts w:ascii="Times New Roman" w:hAnsi="Times New Roman"/>
          <w:sz w:val="24"/>
          <w:szCs w:val="24"/>
        </w:rPr>
        <w:t>case, and</w:t>
      </w:r>
      <w:proofErr w:type="gramEnd"/>
      <w:r w:rsidRPr="00264893">
        <w:rPr>
          <w:rFonts w:ascii="Times New Roman" w:hAnsi="Times New Roman"/>
          <w:sz w:val="24"/>
          <w:szCs w:val="24"/>
        </w:rPr>
        <w:t xml:space="preserve"> considering the three distinct factors necessary to determine what process was constitutionally due, we conclude the City's procedure was constitutionally sufficient. Kilpatrick received the ‘pre-disciplinary procedures otherwise required by law’ pursuant to [City Charter] section 1060(b).”</w:t>
      </w:r>
    </w:p>
    <w:p w14:paraId="1F15311B" w14:textId="77777777" w:rsidR="00264893" w:rsidRPr="00264893" w:rsidRDefault="00264893" w:rsidP="00264893">
      <w:pPr>
        <w:pStyle w:val="NoSpacing"/>
        <w:ind w:left="720"/>
        <w:rPr>
          <w:rFonts w:ascii="Times New Roman" w:hAnsi="Times New Roman"/>
          <w:sz w:val="24"/>
          <w:szCs w:val="24"/>
        </w:rPr>
      </w:pPr>
    </w:p>
    <w:p w14:paraId="0B09A3D1" w14:textId="77777777" w:rsidR="00264893" w:rsidRPr="005E03F7" w:rsidRDefault="00264893" w:rsidP="00264893">
      <w:pPr>
        <w:pStyle w:val="NoSpacing"/>
        <w:rPr>
          <w:b/>
        </w:rPr>
      </w:pPr>
      <w:r w:rsidRPr="00264893">
        <w:rPr>
          <w:rFonts w:ascii="Times New Roman" w:hAnsi="Times New Roman"/>
          <w:b/>
          <w:sz w:val="24"/>
          <w:szCs w:val="24"/>
        </w:rPr>
        <w:t xml:space="preserve">Legal Lesson Learned: COVID-19 concerns required prompt decision making; a virtual hearing after suspension was adequate due process. </w:t>
      </w:r>
      <w:r>
        <w:rPr>
          <w:b/>
        </w:rPr>
        <w:t xml:space="preserve"> </w:t>
      </w:r>
    </w:p>
    <w:p w14:paraId="37422F5E" w14:textId="77777777" w:rsidR="00264893" w:rsidRDefault="00264893" w:rsidP="002B1283">
      <w:pPr>
        <w:rPr>
          <w:rFonts w:ascii="Arial Black" w:hAnsi="Arial Black"/>
          <w:b/>
          <w:bCs/>
          <w:sz w:val="28"/>
          <w:szCs w:val="28"/>
        </w:rPr>
      </w:pPr>
    </w:p>
    <w:p w14:paraId="5EA2F476" w14:textId="77777777" w:rsidR="002D13B2" w:rsidRDefault="002D13B2" w:rsidP="002B1283">
      <w:pPr>
        <w:rPr>
          <w:rFonts w:ascii="Arial Black" w:hAnsi="Arial Black"/>
          <w:b/>
          <w:bCs/>
          <w:sz w:val="28"/>
          <w:szCs w:val="28"/>
        </w:rPr>
      </w:pPr>
    </w:p>
    <w:p w14:paraId="267382B2" w14:textId="77777777" w:rsidR="002D13B2" w:rsidRDefault="002D13B2" w:rsidP="002B1283">
      <w:pPr>
        <w:rPr>
          <w:rFonts w:ascii="Arial Black" w:hAnsi="Arial Black"/>
          <w:b/>
          <w:bCs/>
          <w:sz w:val="28"/>
          <w:szCs w:val="28"/>
        </w:rPr>
      </w:pPr>
    </w:p>
    <w:p w14:paraId="13822043" w14:textId="77777777" w:rsidR="00B068BE" w:rsidRDefault="00B068BE" w:rsidP="002B1283">
      <w:pPr>
        <w:rPr>
          <w:rFonts w:ascii="Arial Black" w:hAnsi="Arial Black"/>
          <w:b/>
          <w:bCs/>
          <w:sz w:val="28"/>
          <w:szCs w:val="28"/>
        </w:rPr>
      </w:pPr>
    </w:p>
    <w:p w14:paraId="16CEDB03" w14:textId="77777777" w:rsidR="00B068BE" w:rsidRDefault="00B068BE" w:rsidP="002B1283">
      <w:pPr>
        <w:rPr>
          <w:rFonts w:ascii="Arial Black" w:hAnsi="Arial Black"/>
          <w:b/>
          <w:bCs/>
          <w:sz w:val="28"/>
          <w:szCs w:val="28"/>
        </w:rPr>
      </w:pPr>
    </w:p>
    <w:p w14:paraId="0BA76DB0" w14:textId="021C6803" w:rsidR="00FE343A" w:rsidRDefault="00FE343A" w:rsidP="002B1283">
      <w:pPr>
        <w:rPr>
          <w:rFonts w:ascii="Arial Black" w:hAnsi="Arial Black"/>
          <w:b/>
          <w:bCs/>
          <w:sz w:val="28"/>
          <w:szCs w:val="28"/>
        </w:rPr>
      </w:pPr>
      <w:r>
        <w:rPr>
          <w:rFonts w:ascii="Arial Black" w:hAnsi="Arial Black"/>
          <w:b/>
          <w:bCs/>
          <w:sz w:val="28"/>
          <w:szCs w:val="28"/>
        </w:rPr>
        <w:t>13-20</w:t>
      </w:r>
      <w:r w:rsidR="0026657A">
        <w:rPr>
          <w:rFonts w:ascii="Arial Black" w:hAnsi="Arial Black"/>
          <w:b/>
          <w:bCs/>
          <w:sz w:val="28"/>
          <w:szCs w:val="28"/>
        </w:rPr>
        <w:t>0</w:t>
      </w:r>
    </w:p>
    <w:p w14:paraId="4E942143" w14:textId="4BDCC04C" w:rsidR="0026657A" w:rsidRPr="00F71BFB" w:rsidRDefault="00BD7394" w:rsidP="0026657A">
      <w:pPr>
        <w:pStyle w:val="NoSpacing"/>
        <w:rPr>
          <w:rFonts w:ascii="Arial Black" w:hAnsi="Arial Black"/>
          <w:bCs/>
          <w:sz w:val="28"/>
          <w:szCs w:val="28"/>
        </w:rPr>
      </w:pPr>
      <w:r>
        <w:rPr>
          <w:rFonts w:ascii="Arial Black" w:hAnsi="Arial Black"/>
          <w:sz w:val="28"/>
          <w:szCs w:val="28"/>
        </w:rPr>
        <w:t xml:space="preserve">U.S. DEPT. </w:t>
      </w:r>
      <w:r w:rsidR="0026657A">
        <w:rPr>
          <w:rFonts w:ascii="Arial Black" w:hAnsi="Arial Black"/>
          <w:sz w:val="28"/>
          <w:szCs w:val="28"/>
        </w:rPr>
        <w:t>V</w:t>
      </w:r>
      <w:r w:rsidR="00A95D36">
        <w:rPr>
          <w:rFonts w:ascii="Arial Black" w:hAnsi="Arial Black"/>
          <w:sz w:val="28"/>
          <w:szCs w:val="28"/>
        </w:rPr>
        <w:t xml:space="preserve">ETERANS AFFAIR - </w:t>
      </w:r>
      <w:r w:rsidR="002470FD">
        <w:rPr>
          <w:rFonts w:ascii="Arial Black" w:hAnsi="Arial Black"/>
          <w:sz w:val="28"/>
          <w:szCs w:val="28"/>
        </w:rPr>
        <w:t xml:space="preserve">CANNOT </w:t>
      </w:r>
      <w:r w:rsidR="00A95D36">
        <w:rPr>
          <w:rFonts w:ascii="Arial Black" w:hAnsi="Arial Black"/>
          <w:sz w:val="28"/>
          <w:szCs w:val="28"/>
        </w:rPr>
        <w:t>L</w:t>
      </w:r>
      <w:r w:rsidR="0026657A">
        <w:rPr>
          <w:rFonts w:ascii="Arial Black" w:hAnsi="Arial Black"/>
          <w:sz w:val="28"/>
          <w:szCs w:val="28"/>
        </w:rPr>
        <w:t xml:space="preserve">OWER TRAVEL RATE </w:t>
      </w:r>
    </w:p>
    <w:p w14:paraId="23CCE8D3" w14:textId="77777777" w:rsidR="0026657A" w:rsidRDefault="0026657A" w:rsidP="0026657A">
      <w:pPr>
        <w:pStyle w:val="NoSpacing"/>
        <w:rPr>
          <w:bCs/>
        </w:rPr>
      </w:pPr>
    </w:p>
    <w:p w14:paraId="68D8B8DF" w14:textId="77777777" w:rsidR="00B15FBB" w:rsidRPr="00B00E74" w:rsidRDefault="00B15FBB" w:rsidP="00B00E74">
      <w:pPr>
        <w:pStyle w:val="NoSpacing"/>
        <w:rPr>
          <w:rFonts w:ascii="Times New Roman" w:hAnsi="Times New Roman"/>
          <w:bCs/>
          <w:sz w:val="24"/>
          <w:szCs w:val="24"/>
        </w:rPr>
      </w:pPr>
      <w:r w:rsidRPr="00B00E74">
        <w:rPr>
          <w:rFonts w:ascii="Times New Roman" w:hAnsi="Times New Roman"/>
          <w:sz w:val="24"/>
          <w:szCs w:val="24"/>
        </w:rPr>
        <w:lastRenderedPageBreak/>
        <w:t xml:space="preserve">On Dec. 9, 2024, in </w:t>
      </w:r>
      <w:r w:rsidRPr="00B00E74">
        <w:rPr>
          <w:rFonts w:ascii="Times New Roman" w:hAnsi="Times New Roman"/>
          <w:sz w:val="24"/>
          <w:szCs w:val="24"/>
          <w:u w:val="single"/>
        </w:rPr>
        <w:t>Metropolitan Area EMS Authority, et al. v. Secretary of Veteran Affairs</w:t>
      </w:r>
      <w:r w:rsidRPr="00B00E74">
        <w:rPr>
          <w:rFonts w:ascii="Times New Roman" w:hAnsi="Times New Roman"/>
          <w:sz w:val="24"/>
          <w:szCs w:val="24"/>
        </w:rPr>
        <w:t xml:space="preserve">, the United States Court of Appeals for the Federal Circuit (D.C.) held (3 to 0) that Congress did not authorize VA to implement reduced ambulance travel reimbursement using Medicare rate for transports that are to “other places” instead of to or from a VA facility (for example, to a nursing home).  The Court relied on U.S. Supreme Court’s landmark June 28, </w:t>
      </w:r>
      <w:proofErr w:type="gramStart"/>
      <w:r w:rsidRPr="00B00E74">
        <w:rPr>
          <w:rFonts w:ascii="Times New Roman" w:hAnsi="Times New Roman"/>
          <w:sz w:val="24"/>
          <w:szCs w:val="24"/>
        </w:rPr>
        <w:t>2024</w:t>
      </w:r>
      <w:proofErr w:type="gramEnd"/>
      <w:r w:rsidRPr="00B00E74">
        <w:rPr>
          <w:rFonts w:ascii="Times New Roman" w:hAnsi="Times New Roman"/>
          <w:sz w:val="24"/>
          <w:szCs w:val="24"/>
        </w:rPr>
        <w:t xml:space="preserve"> decision, setting aside the “Chevron doctrine” where federal courts normally followed Agency interpretation of Congressional statutes. </w:t>
      </w:r>
      <w:hyperlink r:id="rId1988" w:history="1">
        <w:r w:rsidRPr="00B00E74">
          <w:rPr>
            <w:rStyle w:val="Hyperlink"/>
            <w:rFonts w:ascii="Times New Roman" w:hAnsi="Times New Roman"/>
            <w:sz w:val="24"/>
            <w:szCs w:val="24"/>
          </w:rPr>
          <w:t>https://cafc.uscourts.gov/opinions-orders/24-1104.OPINION.12-9-2024_2432337.pdf</w:t>
        </w:r>
      </w:hyperlink>
      <w:r w:rsidRPr="00B00E74">
        <w:rPr>
          <w:rFonts w:ascii="Times New Roman" w:hAnsi="Times New Roman"/>
          <w:sz w:val="24"/>
          <w:szCs w:val="24"/>
        </w:rPr>
        <w:t xml:space="preserve"> </w:t>
      </w:r>
    </w:p>
    <w:p w14:paraId="5D3920BF" w14:textId="77777777" w:rsidR="00B15FBB" w:rsidRDefault="00B15FBB" w:rsidP="00B15FBB">
      <w:pPr>
        <w:pStyle w:val="NoSpacing"/>
        <w:ind w:left="720"/>
        <w:rPr>
          <w:bCs/>
        </w:rPr>
      </w:pPr>
    </w:p>
    <w:p w14:paraId="0B5080D8" w14:textId="0064CB66" w:rsidR="0026657A" w:rsidRPr="0026657A" w:rsidRDefault="0026657A" w:rsidP="0026657A">
      <w:pPr>
        <w:pStyle w:val="NoSpacing"/>
        <w:rPr>
          <w:rFonts w:ascii="Times New Roman" w:hAnsi="Times New Roman"/>
          <w:bCs/>
          <w:sz w:val="24"/>
          <w:szCs w:val="24"/>
        </w:rPr>
      </w:pPr>
      <w:r w:rsidRPr="0026657A">
        <w:rPr>
          <w:rFonts w:ascii="Times New Roman" w:hAnsi="Times New Roman"/>
          <w:sz w:val="24"/>
          <w:szCs w:val="24"/>
        </w:rPr>
        <w:t>The Court of Appeals wrote:</w:t>
      </w:r>
    </w:p>
    <w:p w14:paraId="2A6B862F" w14:textId="77777777" w:rsidR="0026657A" w:rsidRPr="0026657A" w:rsidRDefault="0026657A" w:rsidP="0026657A">
      <w:pPr>
        <w:pStyle w:val="NoSpacing"/>
        <w:rPr>
          <w:rFonts w:ascii="Times New Roman" w:hAnsi="Times New Roman"/>
          <w:bCs/>
          <w:sz w:val="24"/>
          <w:szCs w:val="24"/>
        </w:rPr>
      </w:pPr>
    </w:p>
    <w:p w14:paraId="7A0776E3" w14:textId="77777777" w:rsidR="0026657A" w:rsidRPr="0026657A" w:rsidRDefault="0026657A" w:rsidP="0026657A">
      <w:pPr>
        <w:pStyle w:val="NoSpacing"/>
        <w:ind w:left="720"/>
        <w:rPr>
          <w:rFonts w:ascii="Times New Roman" w:hAnsi="Times New Roman"/>
          <w:bCs/>
          <w:sz w:val="24"/>
          <w:szCs w:val="24"/>
        </w:rPr>
      </w:pPr>
      <w:r w:rsidRPr="0026657A">
        <w:rPr>
          <w:rFonts w:ascii="Times New Roman" w:hAnsi="Times New Roman"/>
          <w:sz w:val="24"/>
          <w:szCs w:val="24"/>
        </w:rPr>
        <w:t>“In 2018, the VA Office of Inspector General (OIG) faulted the VA for failing to realize $11 million in savings for ambulance services between October 2012 and December 2015 due to the VA’s failure to exercise its discretionary authority under § 111(b)(3)(C) to pay ‘the lesser of the actual charge for the transportation or the [Medicare fee schedule (MFS)] amount” for noncontract ambulance services.</w:t>
      </w:r>
    </w:p>
    <w:p w14:paraId="0B68DD0D" w14:textId="77777777" w:rsidR="0026657A" w:rsidRPr="0026657A" w:rsidRDefault="0026657A" w:rsidP="0026657A">
      <w:pPr>
        <w:pStyle w:val="NoSpacing"/>
        <w:ind w:left="720"/>
        <w:rPr>
          <w:rFonts w:ascii="Times New Roman" w:hAnsi="Times New Roman"/>
          <w:bCs/>
          <w:sz w:val="24"/>
          <w:szCs w:val="24"/>
        </w:rPr>
      </w:pPr>
    </w:p>
    <w:p w14:paraId="50F4F57E" w14:textId="77777777" w:rsidR="0026657A" w:rsidRPr="0026657A" w:rsidRDefault="0026657A" w:rsidP="0026657A">
      <w:pPr>
        <w:pStyle w:val="NoSpacing"/>
        <w:ind w:left="720"/>
        <w:rPr>
          <w:rFonts w:ascii="Times New Roman" w:hAnsi="Times New Roman"/>
          <w:bCs/>
          <w:sz w:val="24"/>
          <w:szCs w:val="24"/>
        </w:rPr>
      </w:pPr>
      <w:r w:rsidRPr="0026657A">
        <w:rPr>
          <w:rFonts w:ascii="Times New Roman" w:hAnsi="Times New Roman"/>
          <w:sz w:val="24"/>
          <w:szCs w:val="24"/>
        </w:rPr>
        <w:t>***</w:t>
      </w:r>
    </w:p>
    <w:p w14:paraId="607ABE56" w14:textId="77777777" w:rsidR="0026657A" w:rsidRPr="0026657A" w:rsidRDefault="0026657A" w:rsidP="0026657A">
      <w:pPr>
        <w:pStyle w:val="NoSpacing"/>
        <w:ind w:left="720"/>
        <w:rPr>
          <w:rFonts w:ascii="Times New Roman" w:hAnsi="Times New Roman"/>
          <w:bCs/>
          <w:sz w:val="24"/>
          <w:szCs w:val="24"/>
        </w:rPr>
      </w:pPr>
      <w:r w:rsidRPr="0026657A">
        <w:rPr>
          <w:rFonts w:ascii="Times New Roman" w:hAnsi="Times New Roman"/>
          <w:sz w:val="24"/>
          <w:szCs w:val="24"/>
        </w:rPr>
        <w:t xml:space="preserve">Thus, while in § 111(a) Congress authorized the Secretary to ‘pay the actual necessary expense’ for travel ‘to or from a </w:t>
      </w:r>
      <w:proofErr w:type="gramStart"/>
      <w:r w:rsidRPr="0026657A">
        <w:rPr>
          <w:rFonts w:ascii="Times New Roman" w:hAnsi="Times New Roman"/>
          <w:sz w:val="24"/>
          <w:szCs w:val="24"/>
        </w:rPr>
        <w:t>Department</w:t>
      </w:r>
      <w:proofErr w:type="gramEnd"/>
      <w:r w:rsidRPr="0026657A">
        <w:rPr>
          <w:rFonts w:ascii="Times New Roman" w:hAnsi="Times New Roman"/>
          <w:sz w:val="24"/>
          <w:szCs w:val="24"/>
        </w:rPr>
        <w:t xml:space="preserve"> facility or other place,’ Congress only</w:t>
      </w:r>
    </w:p>
    <w:p w14:paraId="32576A7E" w14:textId="06176095" w:rsidR="0026657A" w:rsidRDefault="0026657A" w:rsidP="00B00E74">
      <w:pPr>
        <w:pStyle w:val="NoSpacing"/>
        <w:ind w:left="720"/>
        <w:rPr>
          <w:rFonts w:ascii="Arial Black" w:hAnsi="Arial Black"/>
          <w:b/>
          <w:bCs/>
          <w:sz w:val="28"/>
          <w:szCs w:val="28"/>
        </w:rPr>
      </w:pPr>
      <w:r w:rsidRPr="0026657A">
        <w:rPr>
          <w:rFonts w:ascii="Times New Roman" w:hAnsi="Times New Roman"/>
          <w:sz w:val="24"/>
          <w:szCs w:val="24"/>
        </w:rPr>
        <w:t xml:space="preserve">authorized the Secretary in § 111(b)(3)(C) to apply the ‘lessor of’ payment methodology for transports ‘to or from a </w:t>
      </w:r>
      <w:proofErr w:type="gramStart"/>
      <w:r w:rsidRPr="0026657A">
        <w:rPr>
          <w:rFonts w:ascii="Times New Roman" w:hAnsi="Times New Roman"/>
          <w:sz w:val="24"/>
          <w:szCs w:val="24"/>
        </w:rPr>
        <w:t>Department</w:t>
      </w:r>
      <w:proofErr w:type="gramEnd"/>
      <w:r w:rsidRPr="0026657A">
        <w:rPr>
          <w:rFonts w:ascii="Times New Roman" w:hAnsi="Times New Roman"/>
          <w:sz w:val="24"/>
          <w:szCs w:val="24"/>
        </w:rPr>
        <w:t xml:space="preserve"> facility by ambulance.’ Conspicuously missing from § 111(b)(3)(C) is the ‘or other place’ language that Congress expressly stated in the earlier subsection.”   </w:t>
      </w:r>
    </w:p>
    <w:p w14:paraId="289D7B05" w14:textId="77777777" w:rsidR="00B00E74" w:rsidRDefault="00B00E74" w:rsidP="00F34D2E">
      <w:pPr>
        <w:pStyle w:val="NoSpacing"/>
        <w:rPr>
          <w:rFonts w:ascii="Times New Roman" w:hAnsi="Times New Roman"/>
          <w:sz w:val="24"/>
          <w:szCs w:val="24"/>
        </w:rPr>
      </w:pPr>
    </w:p>
    <w:p w14:paraId="03EDED95" w14:textId="52086F2A" w:rsidR="00F34D2E" w:rsidRPr="00F34D2E" w:rsidRDefault="00F34D2E" w:rsidP="00F34D2E">
      <w:pPr>
        <w:pStyle w:val="NoSpacing"/>
        <w:rPr>
          <w:rFonts w:ascii="Times New Roman" w:hAnsi="Times New Roman"/>
          <w:bCs/>
          <w:sz w:val="24"/>
          <w:szCs w:val="24"/>
        </w:rPr>
      </w:pPr>
      <w:r w:rsidRPr="00F34D2E">
        <w:rPr>
          <w:rFonts w:ascii="Times New Roman" w:hAnsi="Times New Roman"/>
          <w:sz w:val="24"/>
          <w:szCs w:val="24"/>
        </w:rPr>
        <w:t>HOLDING:</w:t>
      </w:r>
    </w:p>
    <w:p w14:paraId="59C015BD" w14:textId="77777777" w:rsidR="00F34D2E" w:rsidRPr="00F34D2E" w:rsidRDefault="00F34D2E" w:rsidP="00F34D2E">
      <w:pPr>
        <w:pStyle w:val="NoSpacing"/>
        <w:rPr>
          <w:rFonts w:ascii="Times New Roman" w:hAnsi="Times New Roman"/>
          <w:bCs/>
          <w:sz w:val="24"/>
          <w:szCs w:val="24"/>
        </w:rPr>
      </w:pPr>
    </w:p>
    <w:p w14:paraId="390EDEBC"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”In overturning Chevron, the Supreme Court in Loper Bright held that Chevron’s step-two requirement that a reviewing court defer to an agency’s reasonable statutory</w:t>
      </w:r>
    </w:p>
    <w:p w14:paraId="0A839B6E"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interpretation could not be squared with the reviewing court’s duty under the APA…. </w:t>
      </w:r>
    </w:p>
    <w:p w14:paraId="75EE8939"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The Supreme Court explained that “[c]</w:t>
      </w:r>
      <w:proofErr w:type="spellStart"/>
      <w:r w:rsidRPr="00F34D2E">
        <w:rPr>
          <w:rFonts w:ascii="Times New Roman" w:hAnsi="Times New Roman"/>
          <w:sz w:val="24"/>
          <w:szCs w:val="24"/>
        </w:rPr>
        <w:t>ourts</w:t>
      </w:r>
      <w:proofErr w:type="spellEnd"/>
      <w:r w:rsidRPr="00F34D2E">
        <w:rPr>
          <w:rFonts w:ascii="Times New Roman" w:hAnsi="Times New Roman"/>
          <w:sz w:val="24"/>
          <w:szCs w:val="24"/>
        </w:rPr>
        <w:t xml:space="preserve"> must exercise their independent judgment in deciding whether an agency has acted within its statutory authority, as the APA requires.” Id. at 2273. [See June 28, </w:t>
      </w:r>
      <w:proofErr w:type="gramStart"/>
      <w:r w:rsidRPr="00F34D2E">
        <w:rPr>
          <w:rFonts w:ascii="Times New Roman" w:hAnsi="Times New Roman"/>
          <w:sz w:val="24"/>
          <w:szCs w:val="24"/>
        </w:rPr>
        <w:t>2024</w:t>
      </w:r>
      <w:proofErr w:type="gramEnd"/>
      <w:r w:rsidRPr="00F34D2E">
        <w:rPr>
          <w:rFonts w:ascii="Times New Roman" w:hAnsi="Times New Roman"/>
          <w:sz w:val="24"/>
          <w:szCs w:val="24"/>
        </w:rPr>
        <w:t xml:space="preserve"> landmark decision: </w:t>
      </w:r>
      <w:hyperlink r:id="rId1989" w:history="1">
        <w:r w:rsidRPr="00F34D2E">
          <w:rPr>
            <w:rStyle w:val="Hyperlink"/>
            <w:rFonts w:ascii="Times New Roman" w:hAnsi="Times New Roman"/>
            <w:sz w:val="24"/>
            <w:szCs w:val="24"/>
          </w:rPr>
          <w:t>https://www.supremecourt.gov/opinions/23pdf/22-451_7m58.pdf</w:t>
        </w:r>
      </w:hyperlink>
      <w:r w:rsidRPr="00F34D2E">
        <w:rPr>
          <w:rFonts w:ascii="Times New Roman" w:hAnsi="Times New Roman"/>
          <w:sz w:val="24"/>
          <w:szCs w:val="24"/>
        </w:rPr>
        <w:t xml:space="preserve"> ]</w:t>
      </w:r>
    </w:p>
    <w:p w14:paraId="5B134DBC" w14:textId="77777777" w:rsidR="00F34D2E" w:rsidRPr="00F34D2E" w:rsidRDefault="00F34D2E" w:rsidP="00F34D2E">
      <w:pPr>
        <w:pStyle w:val="NoSpacing"/>
        <w:rPr>
          <w:rFonts w:ascii="Times New Roman" w:hAnsi="Times New Roman"/>
          <w:bCs/>
          <w:sz w:val="24"/>
          <w:szCs w:val="24"/>
        </w:rPr>
      </w:pPr>
    </w:p>
    <w:p w14:paraId="0E9A1338"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Thus, while in § 111(a) Congress authorized the Secretary to ‘pay the actual necessary expense’ for travel ‘to or from a </w:t>
      </w:r>
      <w:proofErr w:type="gramStart"/>
      <w:r w:rsidRPr="00F34D2E">
        <w:rPr>
          <w:rFonts w:ascii="Times New Roman" w:hAnsi="Times New Roman"/>
          <w:sz w:val="24"/>
          <w:szCs w:val="24"/>
        </w:rPr>
        <w:t>Department</w:t>
      </w:r>
      <w:proofErr w:type="gramEnd"/>
      <w:r w:rsidRPr="00F34D2E">
        <w:rPr>
          <w:rFonts w:ascii="Times New Roman" w:hAnsi="Times New Roman"/>
          <w:sz w:val="24"/>
          <w:szCs w:val="24"/>
        </w:rPr>
        <w:t xml:space="preserve"> facility or other place,’ Congress only</w:t>
      </w:r>
    </w:p>
    <w:p w14:paraId="47E010BA"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authorized the Secretary in § 111(b)(3)(C) to apply the ‘lessor of’ payment methodology for transports ‘to or from a </w:t>
      </w:r>
      <w:proofErr w:type="gramStart"/>
      <w:r w:rsidRPr="00F34D2E">
        <w:rPr>
          <w:rFonts w:ascii="Times New Roman" w:hAnsi="Times New Roman"/>
          <w:sz w:val="24"/>
          <w:szCs w:val="24"/>
        </w:rPr>
        <w:t>Department</w:t>
      </w:r>
      <w:proofErr w:type="gramEnd"/>
      <w:r w:rsidRPr="00F34D2E">
        <w:rPr>
          <w:rFonts w:ascii="Times New Roman" w:hAnsi="Times New Roman"/>
          <w:sz w:val="24"/>
          <w:szCs w:val="24"/>
        </w:rPr>
        <w:t xml:space="preserve"> facility by ambulance.’ Conspicuously missing from § 111(b)(3)(C) is the ‘or other place’ language that Congress expressly stated in the earlier subsection. ‘We assume Congress means what it says and says what it means.’ Sanho Corp. v. </w:t>
      </w:r>
      <w:proofErr w:type="spellStart"/>
      <w:r w:rsidRPr="00F34D2E">
        <w:rPr>
          <w:rFonts w:ascii="Times New Roman" w:hAnsi="Times New Roman"/>
          <w:sz w:val="24"/>
          <w:szCs w:val="24"/>
        </w:rPr>
        <w:t>Kaijet</w:t>
      </w:r>
      <w:proofErr w:type="spellEnd"/>
      <w:r w:rsidRPr="00F34D2E">
        <w:rPr>
          <w:rFonts w:ascii="Times New Roman" w:hAnsi="Times New Roman"/>
          <w:sz w:val="24"/>
          <w:szCs w:val="24"/>
        </w:rPr>
        <w:t xml:space="preserve"> Tech. Int’l Ltd., Inc., 108 F.4th 1376, 1382 (Fed. Cir. 2024)….</w:t>
      </w:r>
    </w:p>
    <w:p w14:paraId="79EE910C" w14:textId="77777777" w:rsidR="00F34D2E" w:rsidRPr="00F34D2E" w:rsidRDefault="00F34D2E" w:rsidP="00F34D2E">
      <w:pPr>
        <w:pStyle w:val="NoSpacing"/>
        <w:ind w:left="720"/>
        <w:rPr>
          <w:rFonts w:ascii="Times New Roman" w:hAnsi="Times New Roman"/>
          <w:bCs/>
          <w:sz w:val="24"/>
          <w:szCs w:val="24"/>
        </w:rPr>
      </w:pPr>
    </w:p>
    <w:p w14:paraId="503F85A0"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w:t>
      </w:r>
    </w:p>
    <w:p w14:paraId="2FF6262A"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For the foregoing reasons, we grant the petition and set aside the final promulgated rule Change in Rates VA Pays for Special Modes of Transportation, 88 Fed. Reg. 10,032 (Feb. 16, 2023).”</w:t>
      </w:r>
    </w:p>
    <w:p w14:paraId="1122E756" w14:textId="77777777" w:rsidR="00F34D2E" w:rsidRPr="00F34D2E" w:rsidRDefault="00F34D2E" w:rsidP="00F34D2E">
      <w:pPr>
        <w:pStyle w:val="NoSpacing"/>
        <w:ind w:left="720"/>
        <w:rPr>
          <w:rFonts w:ascii="Times New Roman" w:hAnsi="Times New Roman"/>
          <w:bCs/>
          <w:sz w:val="24"/>
          <w:szCs w:val="24"/>
        </w:rPr>
      </w:pPr>
    </w:p>
    <w:p w14:paraId="03118C10" w14:textId="29E3ADC6" w:rsidR="00F34D2E" w:rsidRPr="00F34D2E" w:rsidRDefault="00F34D2E" w:rsidP="00F34D2E">
      <w:pPr>
        <w:pStyle w:val="NoSpacing"/>
        <w:rPr>
          <w:rFonts w:ascii="Times New Roman" w:hAnsi="Times New Roman"/>
          <w:b/>
          <w:sz w:val="24"/>
          <w:szCs w:val="24"/>
        </w:rPr>
      </w:pPr>
      <w:r w:rsidRPr="00F34D2E">
        <w:rPr>
          <w:rFonts w:ascii="Times New Roman" w:hAnsi="Times New Roman"/>
          <w:b/>
          <w:sz w:val="24"/>
          <w:szCs w:val="24"/>
        </w:rPr>
        <w:t xml:space="preserve">Legal Lesson Learned: EMS transport companies nationwide will benefit from this decision.  It </w:t>
      </w:r>
      <w:r>
        <w:rPr>
          <w:rFonts w:ascii="Times New Roman" w:hAnsi="Times New Roman"/>
          <w:b/>
          <w:sz w:val="24"/>
          <w:szCs w:val="24"/>
        </w:rPr>
        <w:t xml:space="preserve">is </w:t>
      </w:r>
      <w:r w:rsidRPr="00F34D2E">
        <w:rPr>
          <w:rFonts w:ascii="Times New Roman" w:hAnsi="Times New Roman"/>
          <w:b/>
          <w:sz w:val="24"/>
          <w:szCs w:val="24"/>
        </w:rPr>
        <w:t>one of the first cases overturning a federal agency regulation since the U.S. Supreme Court set aside the “Chevron doctrine.”</w:t>
      </w:r>
    </w:p>
    <w:p w14:paraId="5336EFAB" w14:textId="77777777" w:rsidR="00F34D2E" w:rsidRPr="00F34D2E" w:rsidRDefault="00F34D2E" w:rsidP="00F34D2E">
      <w:pPr>
        <w:pStyle w:val="NoSpacing"/>
        <w:ind w:left="720"/>
        <w:rPr>
          <w:rFonts w:ascii="Times New Roman" w:hAnsi="Times New Roman"/>
          <w:bCs/>
          <w:sz w:val="24"/>
          <w:szCs w:val="24"/>
        </w:rPr>
      </w:pPr>
    </w:p>
    <w:p w14:paraId="7D955341"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Note: See Dec. 9, </w:t>
      </w:r>
      <w:proofErr w:type="gramStart"/>
      <w:r w:rsidRPr="00F34D2E">
        <w:rPr>
          <w:rFonts w:ascii="Times New Roman" w:hAnsi="Times New Roman"/>
          <w:sz w:val="24"/>
          <w:szCs w:val="24"/>
        </w:rPr>
        <w:t>2024</w:t>
      </w:r>
      <w:proofErr w:type="gramEnd"/>
      <w:r w:rsidRPr="00F34D2E">
        <w:rPr>
          <w:rFonts w:ascii="Times New Roman" w:hAnsi="Times New Roman"/>
          <w:sz w:val="24"/>
          <w:szCs w:val="24"/>
        </w:rPr>
        <w:t xml:space="preserve"> article, “Federal court vacates VA rule reducing ambulance payments.” The regulation aimed to tie reimbursement rates for ambulance services to the lesser of a provider’s actual charges or the Medicare Fee Schedule rate, even for </w:t>
      </w:r>
      <w:proofErr w:type="gramStart"/>
      <w:r w:rsidRPr="00F34D2E">
        <w:rPr>
          <w:rFonts w:ascii="Times New Roman" w:hAnsi="Times New Roman"/>
          <w:sz w:val="24"/>
          <w:szCs w:val="24"/>
        </w:rPr>
        <w:t>transports</w:t>
      </w:r>
      <w:proofErr w:type="gramEnd"/>
      <w:r w:rsidRPr="00F34D2E">
        <w:rPr>
          <w:rFonts w:ascii="Times New Roman" w:hAnsi="Times New Roman"/>
          <w:sz w:val="24"/>
          <w:szCs w:val="24"/>
        </w:rPr>
        <w:t xml:space="preserve"> unrelated to VA facilities. </w:t>
      </w:r>
    </w:p>
    <w:p w14:paraId="5BA92B45" w14:textId="64A7D72D" w:rsidR="00F34D2E" w:rsidRDefault="00F34D2E" w:rsidP="00F34D2E">
      <w:pPr>
        <w:rPr>
          <w:rFonts w:ascii="Arial Black" w:hAnsi="Arial Black"/>
          <w:b/>
          <w:bCs/>
          <w:sz w:val="28"/>
          <w:szCs w:val="28"/>
        </w:rPr>
      </w:pPr>
      <w:hyperlink r:id="rId1990" w:history="1">
        <w:r w:rsidRPr="00F34D2E">
          <w:rPr>
            <w:rStyle w:val="Hyperlink"/>
            <w:rFonts w:ascii="Times New Roman" w:hAnsi="Times New Roman"/>
            <w:sz w:val="24"/>
            <w:szCs w:val="24"/>
          </w:rPr>
          <w:t>https://www.ems1.com/legal/federal-court-overturns-va-rule-reducing-ambulance-payments</w:t>
        </w:r>
      </w:hyperlink>
    </w:p>
    <w:p w14:paraId="5A5BCCB0" w14:textId="77777777" w:rsidR="00FE343A" w:rsidRDefault="00FE343A" w:rsidP="002B1283">
      <w:pPr>
        <w:rPr>
          <w:rFonts w:ascii="Arial Black" w:hAnsi="Arial Black"/>
          <w:b/>
          <w:bCs/>
          <w:sz w:val="28"/>
          <w:szCs w:val="28"/>
        </w:rPr>
      </w:pPr>
    </w:p>
    <w:p w14:paraId="3710DF25" w14:textId="77777777" w:rsidR="00FE343A" w:rsidRDefault="00FE343A" w:rsidP="002B1283">
      <w:pPr>
        <w:rPr>
          <w:rFonts w:ascii="Arial Black" w:hAnsi="Arial Black"/>
          <w:b/>
          <w:bCs/>
          <w:sz w:val="28"/>
          <w:szCs w:val="28"/>
        </w:rPr>
      </w:pPr>
    </w:p>
    <w:p w14:paraId="6E56A7F9" w14:textId="0EC85927" w:rsidR="00AE7F1F" w:rsidRDefault="00AE7F1F" w:rsidP="002B1283">
      <w:pPr>
        <w:rPr>
          <w:rFonts w:ascii="Arial Black" w:hAnsi="Arial Black"/>
          <w:b/>
          <w:bCs/>
          <w:sz w:val="28"/>
          <w:szCs w:val="28"/>
        </w:rPr>
      </w:pPr>
      <w:r>
        <w:rPr>
          <w:rFonts w:ascii="Arial Black" w:hAnsi="Arial Black"/>
          <w:b/>
          <w:bCs/>
          <w:sz w:val="28"/>
          <w:szCs w:val="28"/>
        </w:rPr>
        <w:t>13-199</w:t>
      </w:r>
    </w:p>
    <w:p w14:paraId="60F8DCA2" w14:textId="77777777" w:rsidR="009438F6" w:rsidRPr="00E363AD" w:rsidRDefault="009438F6" w:rsidP="009438F6">
      <w:pPr>
        <w:pStyle w:val="NoSpacing"/>
        <w:rPr>
          <w:rFonts w:ascii="Arial Black" w:hAnsi="Arial Black"/>
          <w:b/>
          <w:sz w:val="28"/>
          <w:szCs w:val="28"/>
        </w:rPr>
      </w:pPr>
      <w:r>
        <w:rPr>
          <w:rFonts w:ascii="Arial Black" w:hAnsi="Arial Black"/>
          <w:b/>
          <w:sz w:val="28"/>
          <w:szCs w:val="28"/>
        </w:rPr>
        <w:t>CA: HEAD-ON MVA – PT REFUSED TREATMENT – LATER HAD A STROKE – MEDICS IMMUNITY / NO REQ. TO TAKE VITALS</w:t>
      </w:r>
    </w:p>
    <w:p w14:paraId="6BAA5AA5" w14:textId="77777777" w:rsidR="00EE5426" w:rsidRDefault="00EE5426" w:rsidP="00EE5426">
      <w:pPr>
        <w:pStyle w:val="NoSpacing"/>
        <w:ind w:firstLine="720"/>
        <w:rPr>
          <w:b/>
        </w:rPr>
      </w:pPr>
    </w:p>
    <w:p w14:paraId="01644B54" w14:textId="77777777" w:rsidR="00EE5426" w:rsidRPr="00F12753" w:rsidRDefault="00EE5426" w:rsidP="00EE5426">
      <w:pPr>
        <w:pStyle w:val="NoSpacing"/>
        <w:rPr>
          <w:rFonts w:ascii="Times New Roman" w:hAnsi="Times New Roman"/>
          <w:sz w:val="24"/>
          <w:szCs w:val="24"/>
        </w:rPr>
      </w:pPr>
      <w:r w:rsidRPr="00F12753">
        <w:rPr>
          <w:rFonts w:ascii="Times New Roman" w:hAnsi="Times New Roman"/>
          <w:sz w:val="24"/>
          <w:szCs w:val="24"/>
        </w:rPr>
        <w:t xml:space="preserve">On Nov. 25, 2024, in </w:t>
      </w:r>
      <w:r w:rsidRPr="00F12753">
        <w:rPr>
          <w:rFonts w:ascii="Times New Roman" w:hAnsi="Times New Roman"/>
          <w:sz w:val="24"/>
          <w:szCs w:val="24"/>
          <w:u w:val="single"/>
        </w:rPr>
        <w:t>Marites Murphy v. City of Petaluma, et al</w:t>
      </w:r>
      <w:r w:rsidRPr="00F12753">
        <w:rPr>
          <w:rFonts w:ascii="Times New Roman" w:hAnsi="Times New Roman"/>
          <w:sz w:val="24"/>
          <w:szCs w:val="24"/>
        </w:rPr>
        <w:t xml:space="preserve">., the California Court of Appeal, First District, Division 1 held (3 to 0) that the trial court judge properly granted summary judgment to the City and the medics.  The Court wrote: “The paramedics did not make Murphy any promises with respect to medical assistance, let alone fail to follow through on such promises. They did not ignore any requests for such assistance. </w:t>
      </w:r>
      <w:proofErr w:type="gramStart"/>
      <w:r w:rsidRPr="00F12753">
        <w:rPr>
          <w:rFonts w:ascii="Times New Roman" w:hAnsi="Times New Roman"/>
          <w:sz w:val="24"/>
          <w:szCs w:val="24"/>
        </w:rPr>
        <w:t>To</w:t>
      </w:r>
      <w:proofErr w:type="gramEnd"/>
      <w:r w:rsidRPr="00F12753">
        <w:rPr>
          <w:rFonts w:ascii="Times New Roman" w:hAnsi="Times New Roman"/>
          <w:sz w:val="24"/>
          <w:szCs w:val="24"/>
        </w:rPr>
        <w:t xml:space="preserve"> the contrary, they urged her to let them provide medical assistance and warned her that symptoms of a serious, even life threatening, injury could be delayed. She nevertheless reiterated she did not want medical assistance or transport to a hospital for examination. And while Murphy claims the paramedics failed to conduct a medical assessment sufficient to detect a potential brain injury or hypertensive crisis, the crisis she subsequently experienced was caused by the collision…. We therefore conclude, given the undisputed facts in this case, the trial court correctly ruled the paramedics did not, under the negligent undertaking doctrine, have a duty to render medical assistance to Murphy in accordance with the standard of care applicable such </w:t>
      </w:r>
      <w:proofErr w:type="gramStart"/>
      <w:r w:rsidRPr="00F12753">
        <w:rPr>
          <w:rFonts w:ascii="Times New Roman" w:hAnsi="Times New Roman"/>
          <w:sz w:val="24"/>
          <w:szCs w:val="24"/>
        </w:rPr>
        <w:t>assistance.”</w:t>
      </w:r>
      <w:proofErr w:type="gramEnd"/>
      <w:r w:rsidRPr="00F12753">
        <w:rPr>
          <w:rFonts w:ascii="Times New Roman" w:hAnsi="Times New Roman"/>
          <w:sz w:val="24"/>
          <w:szCs w:val="24"/>
        </w:rPr>
        <w:t xml:space="preserve"> </w:t>
      </w:r>
      <w:hyperlink r:id="rId1991" w:history="1">
        <w:r w:rsidRPr="00F12753">
          <w:rPr>
            <w:rStyle w:val="Hyperlink"/>
            <w:rFonts w:ascii="Times New Roman" w:hAnsi="Times New Roman"/>
            <w:sz w:val="24"/>
            <w:szCs w:val="24"/>
          </w:rPr>
          <w:t>https://caselaw.findlaw.com/court/ca-court-of-appeal/116718051.html</w:t>
        </w:r>
      </w:hyperlink>
      <w:r w:rsidRPr="00F12753">
        <w:rPr>
          <w:rFonts w:ascii="Times New Roman" w:hAnsi="Times New Roman"/>
          <w:sz w:val="24"/>
          <w:szCs w:val="24"/>
        </w:rPr>
        <w:t xml:space="preserve"> </w:t>
      </w:r>
    </w:p>
    <w:p w14:paraId="7FAA91D4" w14:textId="77777777" w:rsidR="00EE5426" w:rsidRPr="00F12753" w:rsidRDefault="00EE5426" w:rsidP="00EE5426">
      <w:pPr>
        <w:pStyle w:val="NoSpacing"/>
        <w:rPr>
          <w:rFonts w:ascii="Times New Roman" w:hAnsi="Times New Roman"/>
          <w:bCs/>
          <w:sz w:val="24"/>
          <w:szCs w:val="24"/>
        </w:rPr>
      </w:pPr>
    </w:p>
    <w:p w14:paraId="459398AA" w14:textId="77777777" w:rsidR="007C3144" w:rsidRPr="00F12753" w:rsidRDefault="007C3144" w:rsidP="007C3144">
      <w:pPr>
        <w:pStyle w:val="NoSpacing"/>
        <w:rPr>
          <w:rFonts w:ascii="Times New Roman" w:hAnsi="Times New Roman"/>
          <w:b/>
          <w:bCs/>
          <w:sz w:val="24"/>
          <w:szCs w:val="24"/>
        </w:rPr>
      </w:pPr>
      <w:r w:rsidRPr="00F12753">
        <w:rPr>
          <w:rFonts w:ascii="Times New Roman" w:hAnsi="Times New Roman"/>
          <w:b/>
          <w:sz w:val="24"/>
          <w:szCs w:val="24"/>
        </w:rPr>
        <w:t xml:space="preserve">Legal Lesson Learned: Plaintiff refused treatment; no obligation of medics to take vitals.  Best practice – have individual sign a Refusal of Care form. </w:t>
      </w:r>
    </w:p>
    <w:p w14:paraId="4A5483CE" w14:textId="77777777" w:rsidR="007C3144" w:rsidRPr="00102ABD" w:rsidRDefault="007C3144" w:rsidP="007C3144">
      <w:pPr>
        <w:pStyle w:val="NoSpacing"/>
        <w:ind w:left="720"/>
        <w:rPr>
          <w:bCs/>
        </w:rPr>
      </w:pPr>
    </w:p>
    <w:p w14:paraId="2E95722D" w14:textId="77777777" w:rsidR="00AE7F1F" w:rsidRDefault="00AE7F1F" w:rsidP="002B1283">
      <w:pPr>
        <w:rPr>
          <w:rFonts w:ascii="Arial Black" w:hAnsi="Arial Black"/>
          <w:b/>
          <w:bCs/>
          <w:sz w:val="28"/>
          <w:szCs w:val="28"/>
        </w:rPr>
      </w:pPr>
    </w:p>
    <w:p w14:paraId="268AAC33" w14:textId="77777777" w:rsidR="00AE7F1F" w:rsidRDefault="00AE7F1F" w:rsidP="002B1283">
      <w:pPr>
        <w:rPr>
          <w:rFonts w:ascii="Arial Black" w:hAnsi="Arial Black"/>
          <w:b/>
          <w:bCs/>
          <w:sz w:val="28"/>
          <w:szCs w:val="28"/>
        </w:rPr>
      </w:pPr>
    </w:p>
    <w:p w14:paraId="0FE38748" w14:textId="0D76EDBA" w:rsidR="00533809" w:rsidRDefault="00896019" w:rsidP="002B1283">
      <w:pPr>
        <w:rPr>
          <w:rFonts w:ascii="Arial Black" w:hAnsi="Arial Black"/>
          <w:b/>
          <w:bCs/>
          <w:sz w:val="28"/>
          <w:szCs w:val="28"/>
        </w:rPr>
      </w:pPr>
      <w:r>
        <w:rPr>
          <w:rFonts w:ascii="Arial Black" w:hAnsi="Arial Black"/>
          <w:b/>
          <w:bCs/>
          <w:sz w:val="28"/>
          <w:szCs w:val="28"/>
        </w:rPr>
        <w:t>13-198</w:t>
      </w:r>
    </w:p>
    <w:p w14:paraId="3A5CB115" w14:textId="77777777" w:rsidR="00E97069" w:rsidRPr="005121C3" w:rsidRDefault="00E97069" w:rsidP="00E97069">
      <w:pPr>
        <w:pStyle w:val="NoSpacing"/>
        <w:rPr>
          <w:rFonts w:ascii="Arial Black" w:hAnsi="Arial Black"/>
          <w:sz w:val="28"/>
          <w:szCs w:val="28"/>
        </w:rPr>
      </w:pPr>
      <w:r>
        <w:rPr>
          <w:rFonts w:ascii="Arial Black" w:hAnsi="Arial Black"/>
          <w:sz w:val="28"/>
          <w:szCs w:val="28"/>
        </w:rPr>
        <w:t>NJ: INTUBATION 21-MONTH-OLD TODDLER – 3</w:t>
      </w:r>
      <w:r w:rsidRPr="00DD0BBB">
        <w:rPr>
          <w:rFonts w:ascii="Arial Black" w:hAnsi="Arial Black"/>
          <w:sz w:val="28"/>
          <w:szCs w:val="28"/>
          <w:vertAlign w:val="superscript"/>
        </w:rPr>
        <w:t>rd</w:t>
      </w:r>
      <w:r>
        <w:rPr>
          <w:rFonts w:ascii="Arial Black" w:hAnsi="Arial Black"/>
          <w:sz w:val="28"/>
          <w:szCs w:val="28"/>
        </w:rPr>
        <w:t xml:space="preserve"> ATTEMPT</w:t>
      </w:r>
      <w:r>
        <w:rPr>
          <w:rFonts w:ascii="Arial Black" w:hAnsi="Arial Black"/>
          <w:sz w:val="28"/>
          <w:szCs w:val="28"/>
          <w:vertAlign w:val="superscript"/>
        </w:rPr>
        <w:t xml:space="preserve"> </w:t>
      </w:r>
      <w:r>
        <w:rPr>
          <w:rFonts w:ascii="Arial Black" w:hAnsi="Arial Black"/>
          <w:sz w:val="28"/>
          <w:szCs w:val="28"/>
        </w:rPr>
        <w:t xml:space="preserve"> IN TRACHEA – NO GROSS NEGLIGENCE - QUALIFIED IMMUNITY</w:t>
      </w:r>
    </w:p>
    <w:p w14:paraId="11023EFC" w14:textId="77777777" w:rsidR="00E97069" w:rsidRDefault="00E97069" w:rsidP="00E97069">
      <w:pPr>
        <w:pStyle w:val="NoSpacing"/>
      </w:pPr>
    </w:p>
    <w:p w14:paraId="1E37008C" w14:textId="77777777" w:rsidR="00E97069" w:rsidRPr="00AE7F1F" w:rsidRDefault="00E97069" w:rsidP="00E97069">
      <w:pPr>
        <w:pStyle w:val="NoSpacing"/>
        <w:rPr>
          <w:rFonts w:ascii="Times New Roman" w:hAnsi="Times New Roman"/>
          <w:sz w:val="24"/>
          <w:szCs w:val="24"/>
        </w:rPr>
      </w:pPr>
      <w:r w:rsidRPr="00AE7F1F">
        <w:rPr>
          <w:rFonts w:ascii="Times New Roman" w:hAnsi="Times New Roman"/>
          <w:sz w:val="24"/>
          <w:szCs w:val="24"/>
        </w:rPr>
        <w:t xml:space="preserve">On Nov. 18, 2024, in </w:t>
      </w:r>
      <w:r w:rsidRPr="00AE7F1F">
        <w:rPr>
          <w:rFonts w:ascii="Times New Roman" w:hAnsi="Times New Roman"/>
          <w:sz w:val="24"/>
          <w:szCs w:val="24"/>
          <w:u w:val="single"/>
        </w:rPr>
        <w:t xml:space="preserve">Jari Almonte and Yahaira Almanzar, parents of </w:t>
      </w:r>
      <w:proofErr w:type="spellStart"/>
      <w:r w:rsidRPr="00AE7F1F">
        <w:rPr>
          <w:rFonts w:ascii="Times New Roman" w:hAnsi="Times New Roman"/>
          <w:sz w:val="24"/>
          <w:szCs w:val="24"/>
          <w:u w:val="single"/>
        </w:rPr>
        <w:t>Jeremt</w:t>
      </w:r>
      <w:proofErr w:type="spellEnd"/>
      <w:r w:rsidRPr="00AE7F1F">
        <w:rPr>
          <w:rFonts w:ascii="Times New Roman" w:hAnsi="Times New Roman"/>
          <w:sz w:val="24"/>
          <w:szCs w:val="24"/>
          <w:u w:val="single"/>
        </w:rPr>
        <w:t xml:space="preserve"> Almonte v. Township of Union, et al</w:t>
      </w:r>
      <w:r w:rsidRPr="00AE7F1F">
        <w:rPr>
          <w:rFonts w:ascii="Times New Roman" w:hAnsi="Times New Roman"/>
          <w:sz w:val="24"/>
          <w:szCs w:val="24"/>
        </w:rPr>
        <w:t xml:space="preserve">., the Superior Court of New Jersey held (3 to 0; unpublished decision) that trial court properly concluded there was no gross negligence and therefore the medic enjoyed qualified immunity. The Court wrote: “Here, the extensive record, viewed in the light most favorable to plaintiffs, does not support a finding of gross negligence.” </w:t>
      </w:r>
      <w:hyperlink r:id="rId1992" w:history="1">
        <w:r w:rsidRPr="00AE7F1F">
          <w:rPr>
            <w:rStyle w:val="Hyperlink"/>
            <w:rFonts w:ascii="Times New Roman" w:hAnsi="Times New Roman"/>
            <w:sz w:val="24"/>
            <w:szCs w:val="24"/>
          </w:rPr>
          <w:t>https://www.njcourts.gov/system/files/court-opinions/2024/a2968-22.pdf</w:t>
        </w:r>
      </w:hyperlink>
      <w:r w:rsidRPr="00AE7F1F">
        <w:rPr>
          <w:rFonts w:ascii="Times New Roman" w:hAnsi="Times New Roman"/>
          <w:sz w:val="24"/>
          <w:szCs w:val="24"/>
        </w:rPr>
        <w:t xml:space="preserve"> </w:t>
      </w:r>
    </w:p>
    <w:p w14:paraId="3F1CBAC6" w14:textId="77777777" w:rsidR="00E97069" w:rsidRPr="00AE7F1F" w:rsidRDefault="00E97069" w:rsidP="00E97069">
      <w:pPr>
        <w:pStyle w:val="NoSpacing"/>
        <w:rPr>
          <w:rFonts w:ascii="Times New Roman" w:hAnsi="Times New Roman"/>
          <w:sz w:val="24"/>
          <w:szCs w:val="24"/>
        </w:rPr>
      </w:pPr>
    </w:p>
    <w:p w14:paraId="03E27C0E" w14:textId="77777777" w:rsidR="00AE7F1F" w:rsidRPr="00AE7F1F" w:rsidRDefault="00AE7F1F" w:rsidP="00AE7F1F">
      <w:pPr>
        <w:pStyle w:val="NoSpacing"/>
        <w:rPr>
          <w:rFonts w:ascii="Times New Roman" w:hAnsi="Times New Roman"/>
          <w:b/>
          <w:bCs/>
          <w:sz w:val="24"/>
          <w:szCs w:val="24"/>
        </w:rPr>
      </w:pPr>
      <w:r w:rsidRPr="00AE7F1F">
        <w:rPr>
          <w:rFonts w:ascii="Times New Roman" w:hAnsi="Times New Roman"/>
          <w:b/>
          <w:sz w:val="24"/>
          <w:szCs w:val="24"/>
        </w:rPr>
        <w:t xml:space="preserve">Legal Lesson Learned: </w:t>
      </w:r>
      <w:r w:rsidRPr="00AE7F1F">
        <w:rPr>
          <w:rFonts w:ascii="Times New Roman" w:hAnsi="Times New Roman"/>
          <w:b/>
          <w:bCs/>
          <w:sz w:val="24"/>
          <w:szCs w:val="24"/>
        </w:rPr>
        <w:t xml:space="preserve">Failed intubation attempts </w:t>
      </w:r>
      <w:proofErr w:type="gramStart"/>
      <w:r w:rsidRPr="00AE7F1F">
        <w:rPr>
          <w:rFonts w:ascii="Times New Roman" w:hAnsi="Times New Roman"/>
          <w:b/>
          <w:bCs/>
          <w:sz w:val="24"/>
          <w:szCs w:val="24"/>
        </w:rPr>
        <w:t>is</w:t>
      </w:r>
      <w:proofErr w:type="gramEnd"/>
      <w:r w:rsidRPr="00AE7F1F">
        <w:rPr>
          <w:rFonts w:ascii="Times New Roman" w:hAnsi="Times New Roman"/>
          <w:b/>
          <w:bCs/>
          <w:sz w:val="24"/>
          <w:szCs w:val="24"/>
        </w:rPr>
        <w:t xml:space="preserve"> not </w:t>
      </w:r>
      <w:r w:rsidRPr="00AE7F1F">
        <w:rPr>
          <w:rFonts w:ascii="Times New Roman" w:hAnsi="Times New Roman"/>
          <w:b/>
          <w:sz w:val="24"/>
          <w:szCs w:val="24"/>
        </w:rPr>
        <w:t xml:space="preserve">proof of gross negligence.  </w:t>
      </w:r>
    </w:p>
    <w:p w14:paraId="22BDEA06" w14:textId="77777777" w:rsidR="00AE7F1F" w:rsidRPr="00AE7F1F" w:rsidRDefault="00AE7F1F" w:rsidP="00AE7F1F">
      <w:pPr>
        <w:pStyle w:val="NoSpacing"/>
        <w:ind w:left="720"/>
        <w:rPr>
          <w:rFonts w:ascii="Times New Roman" w:hAnsi="Times New Roman"/>
          <w:sz w:val="24"/>
          <w:szCs w:val="24"/>
        </w:rPr>
      </w:pPr>
    </w:p>
    <w:p w14:paraId="111E3978" w14:textId="77777777" w:rsidR="00896019" w:rsidRDefault="00896019" w:rsidP="002B1283">
      <w:pPr>
        <w:rPr>
          <w:rFonts w:ascii="Arial Black" w:hAnsi="Arial Black"/>
          <w:b/>
          <w:bCs/>
          <w:sz w:val="28"/>
          <w:szCs w:val="28"/>
        </w:rPr>
      </w:pPr>
    </w:p>
    <w:p w14:paraId="202916E2" w14:textId="4C936CDC" w:rsidR="00533809" w:rsidRDefault="00533809" w:rsidP="002B1283">
      <w:pPr>
        <w:rPr>
          <w:rFonts w:ascii="Arial Black" w:hAnsi="Arial Black"/>
          <w:b/>
          <w:bCs/>
          <w:sz w:val="28"/>
          <w:szCs w:val="28"/>
        </w:rPr>
      </w:pPr>
      <w:r>
        <w:rPr>
          <w:rFonts w:ascii="Arial Black" w:hAnsi="Arial Black"/>
          <w:b/>
          <w:bCs/>
          <w:sz w:val="28"/>
          <w:szCs w:val="28"/>
        </w:rPr>
        <w:t>13-197</w:t>
      </w:r>
    </w:p>
    <w:p w14:paraId="1CE997CC" w14:textId="01DCAC67" w:rsidR="00533809" w:rsidRPr="00B41C31" w:rsidRDefault="00533809" w:rsidP="00533809">
      <w:pPr>
        <w:pStyle w:val="NoSpacing"/>
        <w:rPr>
          <w:rFonts w:ascii="Arial Black" w:hAnsi="Arial Black"/>
          <w:b/>
          <w:sz w:val="28"/>
          <w:szCs w:val="28"/>
        </w:rPr>
      </w:pPr>
      <w:r>
        <w:rPr>
          <w:rFonts w:ascii="Arial Black" w:hAnsi="Arial Black"/>
          <w:b/>
          <w:sz w:val="28"/>
          <w:szCs w:val="28"/>
        </w:rPr>
        <w:lastRenderedPageBreak/>
        <w:t xml:space="preserve">ID: MEDICAL AMNESTY LAW - UNCONSCIOUS DRIVER – FD FORCED ENTRY – DRUGS FOUND – NO </w:t>
      </w:r>
      <w:r w:rsidR="00FE4FB4">
        <w:rPr>
          <w:rFonts w:ascii="Arial Black" w:hAnsi="Arial Black"/>
          <w:b/>
          <w:sz w:val="28"/>
          <w:szCs w:val="28"/>
        </w:rPr>
        <w:t xml:space="preserve">CRIMINAL </w:t>
      </w:r>
      <w:r>
        <w:rPr>
          <w:rFonts w:ascii="Arial Black" w:hAnsi="Arial Black"/>
          <w:b/>
          <w:sz w:val="28"/>
          <w:szCs w:val="28"/>
        </w:rPr>
        <w:t xml:space="preserve">IMMUNITY </w:t>
      </w:r>
    </w:p>
    <w:p w14:paraId="48711C77" w14:textId="77777777" w:rsidR="00533809" w:rsidRDefault="00533809" w:rsidP="00533809">
      <w:pPr>
        <w:pStyle w:val="NoSpacing"/>
        <w:ind w:firstLine="720"/>
        <w:rPr>
          <w:b/>
        </w:rPr>
      </w:pPr>
    </w:p>
    <w:p w14:paraId="365DD347" w14:textId="77777777" w:rsidR="00533809" w:rsidRPr="001C1F8D" w:rsidRDefault="00533809" w:rsidP="00533809">
      <w:pPr>
        <w:pStyle w:val="NoSpacing"/>
        <w:rPr>
          <w:rFonts w:ascii="Times New Roman" w:hAnsi="Times New Roman"/>
          <w:sz w:val="24"/>
          <w:szCs w:val="24"/>
        </w:rPr>
      </w:pPr>
      <w:r w:rsidRPr="001C1F8D">
        <w:rPr>
          <w:rFonts w:ascii="Times New Roman" w:hAnsi="Times New Roman"/>
          <w:sz w:val="24"/>
          <w:szCs w:val="24"/>
        </w:rPr>
        <w:t xml:space="preserve">On Nov. 4, 2024, in </w:t>
      </w:r>
      <w:r w:rsidRPr="001C1F8D">
        <w:rPr>
          <w:rFonts w:ascii="Times New Roman" w:hAnsi="Times New Roman"/>
          <w:sz w:val="24"/>
          <w:szCs w:val="24"/>
          <w:u w:val="single"/>
        </w:rPr>
        <w:t>State of Ohio v. Adrian Renee Soliz</w:t>
      </w:r>
      <w:r w:rsidRPr="001C1F8D">
        <w:rPr>
          <w:rFonts w:ascii="Times New Roman" w:hAnsi="Times New Roman"/>
          <w:sz w:val="24"/>
          <w:szCs w:val="24"/>
        </w:rPr>
        <w:t xml:space="preserve">, the Idaho Supreme Court held (4 to 1) that the “medical amnesty law” does not apply to protect the defendant from prosecution.  The Court wrote: “The legislature's careful consideration of potential abuse scenarios indicates that the legislature was concerned that the bill would grant expansive immunity. The overall tenor of the Senate committee minutes supports an interpretation of the statute that requires the drug-related medical emergency and the need for medical assistance to be the sole cause of the discovery of evidence to prevent misuse of the statute. This interpretation ensures that immunity is granted only when the drug-related medical emergency and the need for medical assistance </w:t>
      </w:r>
      <w:proofErr w:type="gramStart"/>
      <w:r w:rsidRPr="001C1F8D">
        <w:rPr>
          <w:rFonts w:ascii="Times New Roman" w:hAnsi="Times New Roman"/>
          <w:sz w:val="24"/>
          <w:szCs w:val="24"/>
        </w:rPr>
        <w:t>produce</w:t>
      </w:r>
      <w:proofErr w:type="gramEnd"/>
      <w:r w:rsidRPr="001C1F8D">
        <w:rPr>
          <w:rFonts w:ascii="Times New Roman" w:hAnsi="Times New Roman"/>
          <w:sz w:val="24"/>
          <w:szCs w:val="24"/>
        </w:rPr>
        <w:t xml:space="preserve"> the discovery of evidence. This interpretation aligns with the statute's protective purpose while also preventing potential abuse.” </w:t>
      </w:r>
      <w:hyperlink r:id="rId1993" w:history="1">
        <w:r w:rsidRPr="001C1F8D">
          <w:rPr>
            <w:rStyle w:val="Hyperlink"/>
            <w:rFonts w:ascii="Times New Roman" w:hAnsi="Times New Roman"/>
            <w:sz w:val="24"/>
            <w:szCs w:val="24"/>
          </w:rPr>
          <w:t>https://casetext.com/case/state-v-soliz-24</w:t>
        </w:r>
      </w:hyperlink>
      <w:r w:rsidRPr="001C1F8D">
        <w:rPr>
          <w:rFonts w:ascii="Times New Roman" w:hAnsi="Times New Roman"/>
          <w:sz w:val="24"/>
          <w:szCs w:val="24"/>
        </w:rPr>
        <w:t xml:space="preserve"> </w:t>
      </w:r>
    </w:p>
    <w:p w14:paraId="4A8ED28D" w14:textId="77777777" w:rsidR="00E5379E" w:rsidRDefault="00E5379E" w:rsidP="001C1F8D">
      <w:pPr>
        <w:pStyle w:val="NoSpacing"/>
        <w:rPr>
          <w:rFonts w:ascii="Times New Roman" w:hAnsi="Times New Roman"/>
          <w:b/>
          <w:sz w:val="24"/>
          <w:szCs w:val="24"/>
        </w:rPr>
      </w:pPr>
    </w:p>
    <w:p w14:paraId="269DC108" w14:textId="653C04BE" w:rsidR="001C1F8D" w:rsidRPr="001C1F8D" w:rsidRDefault="001C1F8D" w:rsidP="001C1F8D">
      <w:pPr>
        <w:pStyle w:val="NoSpacing"/>
        <w:rPr>
          <w:rFonts w:ascii="Times New Roman" w:hAnsi="Times New Roman"/>
          <w:b/>
          <w:bCs/>
          <w:sz w:val="24"/>
          <w:szCs w:val="24"/>
        </w:rPr>
      </w:pPr>
      <w:r w:rsidRPr="001C1F8D">
        <w:rPr>
          <w:rFonts w:ascii="Times New Roman" w:hAnsi="Times New Roman"/>
          <w:b/>
          <w:sz w:val="24"/>
          <w:szCs w:val="24"/>
        </w:rPr>
        <w:t xml:space="preserve">Legal Lesson Learned: Many states have enacted “Good Samaritan” statutes designed to encourage 911 call when you or an associate is overdosing; this case does not fit that scenario. </w:t>
      </w:r>
    </w:p>
    <w:p w14:paraId="54BE610B" w14:textId="77777777" w:rsidR="001C1F8D" w:rsidRPr="001C1F8D" w:rsidRDefault="001C1F8D" w:rsidP="002B1283">
      <w:pPr>
        <w:rPr>
          <w:rFonts w:ascii="Times New Roman" w:hAnsi="Times New Roman"/>
          <w:b/>
          <w:bCs/>
          <w:sz w:val="24"/>
          <w:szCs w:val="24"/>
        </w:rPr>
      </w:pPr>
    </w:p>
    <w:p w14:paraId="665E580E" w14:textId="77777777" w:rsidR="00533809" w:rsidRDefault="00533809" w:rsidP="002B1283">
      <w:pPr>
        <w:rPr>
          <w:rFonts w:ascii="Arial Black" w:hAnsi="Arial Black"/>
          <w:b/>
          <w:bCs/>
          <w:sz w:val="28"/>
          <w:szCs w:val="28"/>
        </w:rPr>
      </w:pPr>
    </w:p>
    <w:p w14:paraId="69739103" w14:textId="635F9EDC" w:rsidR="00B96918" w:rsidRDefault="00B96918" w:rsidP="002B1283">
      <w:pPr>
        <w:rPr>
          <w:rFonts w:ascii="Arial Black" w:hAnsi="Arial Black"/>
          <w:b/>
          <w:bCs/>
          <w:sz w:val="28"/>
          <w:szCs w:val="28"/>
        </w:rPr>
      </w:pPr>
      <w:r>
        <w:rPr>
          <w:rFonts w:ascii="Arial Black" w:hAnsi="Arial Black"/>
          <w:b/>
          <w:bCs/>
          <w:sz w:val="28"/>
          <w:szCs w:val="28"/>
        </w:rPr>
        <w:t>13-196</w:t>
      </w:r>
    </w:p>
    <w:p w14:paraId="7BE054D7" w14:textId="77777777" w:rsidR="005B3FFE" w:rsidRPr="008519D7" w:rsidRDefault="005B3FFE" w:rsidP="005B3FFE">
      <w:pPr>
        <w:rPr>
          <w:rFonts w:ascii="Arial Black" w:hAnsi="Arial Black"/>
          <w:b/>
          <w:bCs/>
          <w:sz w:val="28"/>
          <w:szCs w:val="28"/>
        </w:rPr>
      </w:pPr>
      <w:r w:rsidRPr="008519D7">
        <w:rPr>
          <w:rFonts w:ascii="Arial Black" w:hAnsi="Arial Black"/>
          <w:b/>
          <w:bCs/>
          <w:sz w:val="28"/>
          <w:szCs w:val="28"/>
        </w:rPr>
        <w:t xml:space="preserve">NY:  DIFFICULTY BREATHING – DISPATCH SENT BLS – EMTS ON SCENE 12 MIN. FOR ALS – DISCRETIONARY – IMMUNITY </w:t>
      </w:r>
    </w:p>
    <w:p w14:paraId="6823B530" w14:textId="77777777" w:rsidR="005B3FFE" w:rsidRPr="004C62A0" w:rsidRDefault="005B3FFE" w:rsidP="005B3FFE">
      <w:pPr>
        <w:rPr>
          <w:rFonts w:ascii="Times New Roman" w:hAnsi="Times New Roman"/>
          <w:sz w:val="24"/>
          <w:szCs w:val="24"/>
        </w:rPr>
      </w:pPr>
      <w:r w:rsidRPr="004C62A0">
        <w:rPr>
          <w:rFonts w:ascii="Times New Roman" w:hAnsi="Times New Roman"/>
          <w:sz w:val="24"/>
          <w:szCs w:val="24"/>
        </w:rPr>
        <w:t xml:space="preserve">On Oct. 23, 2024, in </w:t>
      </w:r>
      <w:r w:rsidRPr="004C62A0">
        <w:rPr>
          <w:rFonts w:ascii="Times New Roman" w:hAnsi="Times New Roman"/>
          <w:sz w:val="24"/>
          <w:szCs w:val="24"/>
          <w:u w:val="single"/>
        </w:rPr>
        <w:t>Anita Walker-Rodriquez v. City of New York, et al</w:t>
      </w:r>
      <w:r w:rsidRPr="004C62A0">
        <w:rPr>
          <w:rFonts w:ascii="Times New Roman" w:hAnsi="Times New Roman"/>
          <w:sz w:val="24"/>
          <w:szCs w:val="24"/>
        </w:rPr>
        <w:t xml:space="preserve">., the New York Appellate Division, Second Judicial District, held (5 to 0): “In an action, inter alia, to recover damages for personal injuries, etc., the defendants City of New York, New York City Police Department, and New York City Fire Department Emergency Medical Services appeal from an order of the Supreme Court, Kings County (Marsha L. Steinhardt, J.), dated August 22, 2019. The order denied those defendants' motion pursuant to CPLR 3211(a)(7) to dismiss the complaint insofar as asserted against them or, in the alternative, for summary judgment dismissing the complaint insofar as asserted against them. *** Accordingly, the Supreme Court should have granted that branch of the defendants' motion which was for summary judgment dismissing the complaint insofar as asserted against them.” </w:t>
      </w:r>
      <w:hyperlink r:id="rId1994" w:history="1">
        <w:r w:rsidRPr="004C62A0">
          <w:rPr>
            <w:rStyle w:val="Hyperlink"/>
            <w:rFonts w:ascii="Times New Roman" w:hAnsi="Times New Roman"/>
            <w:sz w:val="24"/>
            <w:szCs w:val="24"/>
          </w:rPr>
          <w:t>https://law.justia.com/cases/new-york/appellate-division-second-department/2024/2019-11168.html</w:t>
        </w:r>
      </w:hyperlink>
      <w:r w:rsidRPr="004C62A0">
        <w:rPr>
          <w:rFonts w:ascii="Times New Roman" w:hAnsi="Times New Roman"/>
          <w:sz w:val="24"/>
          <w:szCs w:val="24"/>
        </w:rPr>
        <w:t xml:space="preserve"> </w:t>
      </w:r>
    </w:p>
    <w:p w14:paraId="31B92E54" w14:textId="77777777" w:rsidR="004C62A0" w:rsidRPr="004C62A0" w:rsidRDefault="004C62A0" w:rsidP="004C62A0">
      <w:pPr>
        <w:rPr>
          <w:rFonts w:ascii="Times New Roman" w:hAnsi="Times New Roman"/>
          <w:b/>
          <w:bCs/>
          <w:sz w:val="24"/>
          <w:szCs w:val="24"/>
        </w:rPr>
      </w:pPr>
      <w:r w:rsidRPr="004C62A0">
        <w:rPr>
          <w:rFonts w:ascii="Times New Roman" w:hAnsi="Times New Roman"/>
          <w:b/>
          <w:sz w:val="24"/>
          <w:szCs w:val="24"/>
        </w:rPr>
        <w:t>Legal Lesson Learned: Dispatch and EMS immunity for discretionary decisions.</w:t>
      </w:r>
    </w:p>
    <w:p w14:paraId="6500947B" w14:textId="77777777" w:rsidR="00B96918" w:rsidRDefault="00B96918" w:rsidP="002B1283">
      <w:pPr>
        <w:rPr>
          <w:rFonts w:ascii="Arial Black" w:hAnsi="Arial Black"/>
          <w:b/>
          <w:bCs/>
          <w:sz w:val="28"/>
          <w:szCs w:val="28"/>
        </w:rPr>
      </w:pPr>
    </w:p>
    <w:p w14:paraId="35EE876F" w14:textId="77777777" w:rsidR="00B96918" w:rsidRDefault="00B96918" w:rsidP="002B1283">
      <w:pPr>
        <w:rPr>
          <w:rFonts w:ascii="Arial Black" w:hAnsi="Arial Black"/>
          <w:b/>
          <w:bCs/>
          <w:sz w:val="28"/>
          <w:szCs w:val="28"/>
        </w:rPr>
      </w:pPr>
    </w:p>
    <w:p w14:paraId="74E29349" w14:textId="118EFF8D" w:rsidR="009C5942" w:rsidRDefault="009C5942" w:rsidP="002B1283">
      <w:pPr>
        <w:rPr>
          <w:rFonts w:ascii="Arial Black" w:hAnsi="Arial Black"/>
          <w:b/>
          <w:bCs/>
          <w:sz w:val="28"/>
          <w:szCs w:val="28"/>
        </w:rPr>
      </w:pPr>
      <w:r>
        <w:rPr>
          <w:rFonts w:ascii="Arial Black" w:hAnsi="Arial Black"/>
          <w:b/>
          <w:bCs/>
          <w:sz w:val="28"/>
          <w:szCs w:val="28"/>
        </w:rPr>
        <w:t>13-195</w:t>
      </w:r>
    </w:p>
    <w:p w14:paraId="74C88005" w14:textId="321EA269" w:rsidR="007A1954" w:rsidRPr="0019310D" w:rsidRDefault="007A1954" w:rsidP="007A1954">
      <w:pPr>
        <w:pStyle w:val="NoSpacing"/>
        <w:rPr>
          <w:rFonts w:ascii="Arial Black" w:hAnsi="Arial Black"/>
          <w:sz w:val="28"/>
        </w:rPr>
      </w:pPr>
      <w:r>
        <w:rPr>
          <w:rFonts w:ascii="Arial Black" w:hAnsi="Arial Black"/>
          <w:sz w:val="28"/>
        </w:rPr>
        <w:t xml:space="preserve">KY: CITY’S DONUT EATING CONTEST – CHOKING / DIED - CASE PROCEED - “WILLFUL OR WANTON” </w:t>
      </w:r>
      <w:r w:rsidR="006F0C54">
        <w:rPr>
          <w:rFonts w:ascii="Arial Black" w:hAnsi="Arial Black"/>
          <w:sz w:val="28"/>
        </w:rPr>
        <w:t xml:space="preserve">MISCONDUCT </w:t>
      </w:r>
      <w:r>
        <w:rPr>
          <w:rFonts w:ascii="Arial Black" w:hAnsi="Arial Black"/>
          <w:sz w:val="28"/>
        </w:rPr>
        <w:t xml:space="preserve">NOT IN WAIVER </w:t>
      </w:r>
    </w:p>
    <w:p w14:paraId="7A4644C0" w14:textId="77777777" w:rsidR="007A1954" w:rsidRDefault="007A1954" w:rsidP="009E4718">
      <w:pPr>
        <w:pStyle w:val="NoSpacing"/>
        <w:rPr>
          <w:rFonts w:ascii="Times New Roman" w:hAnsi="Times New Roman"/>
          <w:sz w:val="24"/>
          <w:szCs w:val="24"/>
        </w:rPr>
      </w:pPr>
    </w:p>
    <w:p w14:paraId="36B32D93" w14:textId="220A2550" w:rsidR="009E4718" w:rsidRPr="00D7210B" w:rsidRDefault="009E4718" w:rsidP="009E4718">
      <w:pPr>
        <w:pStyle w:val="NoSpacing"/>
        <w:rPr>
          <w:rFonts w:ascii="Times New Roman" w:hAnsi="Times New Roman"/>
          <w:sz w:val="24"/>
          <w:szCs w:val="24"/>
        </w:rPr>
      </w:pPr>
      <w:r w:rsidRPr="00D7210B">
        <w:rPr>
          <w:rFonts w:ascii="Times New Roman" w:hAnsi="Times New Roman"/>
          <w:sz w:val="24"/>
          <w:szCs w:val="24"/>
        </w:rPr>
        <w:lastRenderedPageBreak/>
        <w:t xml:space="preserve">On Sept. 27, 2024, in </w:t>
      </w:r>
      <w:r w:rsidRPr="00D7210B">
        <w:rPr>
          <w:rFonts w:ascii="Times New Roman" w:hAnsi="Times New Roman"/>
          <w:sz w:val="24"/>
          <w:szCs w:val="24"/>
          <w:u w:val="single"/>
        </w:rPr>
        <w:t>Laura Helmbrecht, in her individual capacity and as administrator of the estate of Cesar E. Marquez Chavez v. Baley Jayne Bakery and Café LLC and the City of Walton</w:t>
      </w:r>
      <w:r w:rsidRPr="00D7210B">
        <w:rPr>
          <w:rFonts w:ascii="Times New Roman" w:hAnsi="Times New Roman"/>
          <w:sz w:val="24"/>
          <w:szCs w:val="24"/>
        </w:rPr>
        <w:t xml:space="preserve">, the Court of Appeals of Kentucky held (3 to 0) that trial court improperly granted summary judgment to the City, holding that claims of “willful or wanton” negligence were never in the waiver document signed by the release.  The Court wrote: “Because Chavez did not waive his estate’s claim of willful or wanton negligence, that tort claim remains viable.” </w:t>
      </w:r>
      <w:hyperlink r:id="rId1995" w:history="1">
        <w:r w:rsidRPr="00D7210B">
          <w:rPr>
            <w:rStyle w:val="Hyperlink"/>
            <w:rFonts w:ascii="Times New Roman" w:hAnsi="Times New Roman"/>
            <w:sz w:val="24"/>
            <w:szCs w:val="24"/>
          </w:rPr>
          <w:t>https://cases.justia.com/kentucky/court-of-appeals/2024-2023-ca-1033-mr.pdf?ts=1727446176</w:t>
        </w:r>
      </w:hyperlink>
      <w:r w:rsidRPr="00D7210B">
        <w:rPr>
          <w:rFonts w:ascii="Times New Roman" w:hAnsi="Times New Roman"/>
          <w:sz w:val="24"/>
          <w:szCs w:val="24"/>
        </w:rPr>
        <w:t xml:space="preserve"> </w:t>
      </w:r>
    </w:p>
    <w:p w14:paraId="12E8440F" w14:textId="77777777" w:rsidR="009E4718" w:rsidRPr="00D7210B" w:rsidRDefault="009E4718" w:rsidP="009E4718">
      <w:pPr>
        <w:pStyle w:val="NoSpacing"/>
        <w:rPr>
          <w:rFonts w:ascii="Times New Roman" w:hAnsi="Times New Roman"/>
          <w:sz w:val="24"/>
          <w:szCs w:val="24"/>
        </w:rPr>
      </w:pPr>
    </w:p>
    <w:p w14:paraId="7387BD40" w14:textId="77777777" w:rsidR="009E4718" w:rsidRPr="00D7210B" w:rsidRDefault="009E4718" w:rsidP="009E4718">
      <w:pPr>
        <w:pStyle w:val="NoSpacing"/>
        <w:rPr>
          <w:rFonts w:ascii="Times New Roman" w:hAnsi="Times New Roman"/>
          <w:sz w:val="24"/>
          <w:szCs w:val="24"/>
        </w:rPr>
      </w:pPr>
      <w:r w:rsidRPr="00D7210B">
        <w:rPr>
          <w:rFonts w:ascii="Times New Roman" w:hAnsi="Times New Roman"/>
          <w:sz w:val="24"/>
          <w:szCs w:val="24"/>
        </w:rPr>
        <w:t>THE COURT HELD:</w:t>
      </w:r>
    </w:p>
    <w:p w14:paraId="39743D3B" w14:textId="77777777" w:rsidR="009E4718" w:rsidRPr="00D7210B" w:rsidRDefault="009E4718" w:rsidP="009E4718">
      <w:pPr>
        <w:pStyle w:val="NoSpacing"/>
        <w:rPr>
          <w:rFonts w:ascii="Times New Roman" w:hAnsi="Times New Roman"/>
          <w:sz w:val="24"/>
          <w:szCs w:val="24"/>
        </w:rPr>
      </w:pPr>
    </w:p>
    <w:p w14:paraId="3B5DD960"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“Helmbrecht alleges that during the contest, Chavez began choking, lost consciousness, and went into cardiac arrest. She further alleges that because the ‘Appellees failed to organize and provide any emergency medical services at the contest, he received untimely medical treatment for his airway obstruction.’ Appellant’s Br. at 3. Helmbrecht alleges that when paramedics finally arrived, Chavez was unresponsive, and he was transported to St. Elizabeth Edgewood Hospital, where he died from ‘asphyxia due to food bolus.’ Ibid. The Appellees affirm these basic facts, but contest there is any support in the record as to Chavez’s cause of death.</w:t>
      </w:r>
    </w:p>
    <w:p w14:paraId="1A6902A8" w14:textId="77777777" w:rsidR="009E4718" w:rsidRPr="00D7210B" w:rsidRDefault="009E4718" w:rsidP="009E4718">
      <w:pPr>
        <w:pStyle w:val="NoSpacing"/>
        <w:ind w:left="720"/>
        <w:rPr>
          <w:rFonts w:ascii="Times New Roman" w:hAnsi="Times New Roman"/>
          <w:sz w:val="24"/>
          <w:szCs w:val="24"/>
        </w:rPr>
      </w:pPr>
    </w:p>
    <w:p w14:paraId="4997A526"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w:t>
      </w:r>
    </w:p>
    <w:p w14:paraId="59A76C88" w14:textId="77777777" w:rsidR="009E4718" w:rsidRPr="00D7210B" w:rsidRDefault="009E4718" w:rsidP="009E4718">
      <w:pPr>
        <w:pStyle w:val="NoSpacing"/>
        <w:rPr>
          <w:rFonts w:ascii="Times New Roman" w:hAnsi="Times New Roman"/>
          <w:sz w:val="24"/>
          <w:szCs w:val="24"/>
        </w:rPr>
      </w:pPr>
    </w:p>
    <w:p w14:paraId="06FB936C"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With respect to whether the waiver bars Helmbrecht’s claim of negligence, the waiver is enforceable….  As we conclude the waiver’s employment of ‘negligence’ encompassed both ordinary and gross negligence, for the same reasons discussed above in addressing Helmbrecht’s claim of negligence, the waiver is enforceable as a bar to her claim of gross negligence.</w:t>
      </w:r>
    </w:p>
    <w:p w14:paraId="7C534CEE" w14:textId="77777777" w:rsidR="009E4718" w:rsidRPr="00D7210B" w:rsidRDefault="009E4718" w:rsidP="009E4718">
      <w:pPr>
        <w:pStyle w:val="NoSpacing"/>
        <w:ind w:left="720"/>
        <w:rPr>
          <w:rFonts w:ascii="Times New Roman" w:hAnsi="Times New Roman"/>
          <w:sz w:val="24"/>
          <w:szCs w:val="24"/>
        </w:rPr>
      </w:pPr>
    </w:p>
    <w:p w14:paraId="22BB373B"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w:t>
      </w:r>
    </w:p>
    <w:p w14:paraId="03429426" w14:textId="77777777" w:rsidR="009E4718" w:rsidRPr="00D7210B" w:rsidRDefault="009E4718" w:rsidP="009E4718">
      <w:pPr>
        <w:pStyle w:val="NoSpacing"/>
        <w:rPr>
          <w:rFonts w:ascii="Times New Roman" w:hAnsi="Times New Roman"/>
          <w:sz w:val="24"/>
          <w:szCs w:val="24"/>
        </w:rPr>
      </w:pPr>
    </w:p>
    <w:p w14:paraId="2C3A34BF"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 xml:space="preserve">By its nature, such a waiver </w:t>
      </w:r>
      <w:proofErr w:type="gramStart"/>
      <w:r w:rsidRPr="00D7210B">
        <w:rPr>
          <w:rFonts w:ascii="Times New Roman" w:hAnsi="Times New Roman"/>
          <w:sz w:val="24"/>
          <w:szCs w:val="24"/>
        </w:rPr>
        <w:t>benefits</w:t>
      </w:r>
      <w:proofErr w:type="gramEnd"/>
      <w:r w:rsidRPr="00D7210B">
        <w:rPr>
          <w:rFonts w:ascii="Times New Roman" w:hAnsi="Times New Roman"/>
          <w:sz w:val="24"/>
          <w:szCs w:val="24"/>
        </w:rPr>
        <w:t xml:space="preserve"> only the releasee. The releasor gains nothing from the waiver itself; </w:t>
      </w:r>
      <w:proofErr w:type="gramStart"/>
      <w:r w:rsidRPr="00D7210B">
        <w:rPr>
          <w:rFonts w:ascii="Times New Roman" w:hAnsi="Times New Roman"/>
          <w:sz w:val="24"/>
          <w:szCs w:val="24"/>
        </w:rPr>
        <w:t>his</w:t>
      </w:r>
      <w:proofErr w:type="gramEnd"/>
      <w:r w:rsidRPr="00D7210B">
        <w:rPr>
          <w:rFonts w:ascii="Times New Roman" w:hAnsi="Times New Roman"/>
          <w:sz w:val="24"/>
          <w:szCs w:val="24"/>
        </w:rPr>
        <w:t xml:space="preserve"> benefit is the privilege of participating in the risked activity. Consequently, the waiver itself cannot logically serve as evidence of care toward the releasor; it is quite the opposite. Finding otherwise, as the circuit court did here, is effectively abolishing the Supreme Court’s holding that exculpatory contracts are unenforceable as to claims of willful or wanton negligence. Id. at 654. Finding otherwise is equivalent to saying, ‘You cannot sue the releasee because he warned you that he might harm you willfully or wantonly – that is, intentionally or with utter indifference to your safety or life.’ Poindexter v. Commonwealth, 389 S.W.3d 112, 117 (Ky. 2012</w:t>
      </w:r>
      <w:proofErr w:type="gramStart"/>
      <w:r w:rsidRPr="00D7210B">
        <w:rPr>
          <w:rFonts w:ascii="Times New Roman" w:hAnsi="Times New Roman"/>
          <w:sz w:val="24"/>
          <w:szCs w:val="24"/>
        </w:rPr>
        <w:t>) (‘</w:t>
      </w:r>
      <w:proofErr w:type="gramEnd"/>
      <w:r w:rsidRPr="00D7210B">
        <w:rPr>
          <w:rFonts w:ascii="Times New Roman" w:hAnsi="Times New Roman"/>
          <w:sz w:val="24"/>
          <w:szCs w:val="24"/>
        </w:rPr>
        <w:t>[</w:t>
      </w:r>
      <w:proofErr w:type="gramStart"/>
      <w:r w:rsidRPr="00D7210B">
        <w:rPr>
          <w:rFonts w:ascii="Times New Roman" w:hAnsi="Times New Roman"/>
          <w:sz w:val="24"/>
          <w:szCs w:val="24"/>
        </w:rPr>
        <w:t>Willfulness] ‘</w:t>
      </w:r>
      <w:proofErr w:type="gramEnd"/>
      <w:r w:rsidRPr="00D7210B">
        <w:rPr>
          <w:rFonts w:ascii="Times New Roman" w:hAnsi="Times New Roman"/>
          <w:sz w:val="24"/>
          <w:szCs w:val="24"/>
        </w:rPr>
        <w:t>means with intent or intention.’) (internal quotation marks and citations omitted); Holbrook v. Ky. Unemployment Ins. Comm’n, 290 S.W.3d 81, 87 (Ky. App. 2009) (defining wanton conduct as ‘[u]</w:t>
      </w:r>
      <w:proofErr w:type="spellStart"/>
      <w:r w:rsidRPr="00D7210B">
        <w:rPr>
          <w:rFonts w:ascii="Times New Roman" w:hAnsi="Times New Roman"/>
          <w:sz w:val="24"/>
          <w:szCs w:val="24"/>
        </w:rPr>
        <w:t>nreasonably</w:t>
      </w:r>
      <w:proofErr w:type="spellEnd"/>
      <w:r w:rsidRPr="00D7210B">
        <w:rPr>
          <w:rFonts w:ascii="Times New Roman" w:hAnsi="Times New Roman"/>
          <w:sz w:val="24"/>
          <w:szCs w:val="24"/>
        </w:rPr>
        <w:t xml:space="preserve"> or maliciously risking harm while</w:t>
      </w:r>
    </w:p>
    <w:p w14:paraId="50064D0B" w14:textId="77777777" w:rsidR="009E4718" w:rsidRPr="00D7210B" w:rsidRDefault="009E4718" w:rsidP="009E4718">
      <w:pPr>
        <w:pStyle w:val="NoSpacing"/>
        <w:ind w:firstLine="720"/>
        <w:rPr>
          <w:rFonts w:ascii="Times New Roman" w:hAnsi="Times New Roman"/>
          <w:sz w:val="24"/>
          <w:szCs w:val="24"/>
        </w:rPr>
      </w:pPr>
      <w:r w:rsidRPr="00D7210B">
        <w:rPr>
          <w:rFonts w:ascii="Times New Roman" w:hAnsi="Times New Roman"/>
          <w:sz w:val="24"/>
          <w:szCs w:val="24"/>
        </w:rPr>
        <w:t>being utterly indifferent to the consequences’).</w:t>
      </w:r>
    </w:p>
    <w:p w14:paraId="1CC67EAF" w14:textId="77777777" w:rsidR="009E4718" w:rsidRPr="00D7210B" w:rsidRDefault="009E4718" w:rsidP="009E4718">
      <w:pPr>
        <w:pStyle w:val="NoSpacing"/>
        <w:ind w:firstLine="720"/>
        <w:rPr>
          <w:rFonts w:ascii="Times New Roman" w:hAnsi="Times New Roman"/>
          <w:sz w:val="24"/>
          <w:szCs w:val="24"/>
        </w:rPr>
      </w:pPr>
    </w:p>
    <w:p w14:paraId="05F6B155" w14:textId="77777777" w:rsidR="009E4718" w:rsidRPr="00D7210B" w:rsidRDefault="009E4718" w:rsidP="009E4718">
      <w:pPr>
        <w:pStyle w:val="NoSpacing"/>
        <w:ind w:firstLine="720"/>
        <w:rPr>
          <w:rFonts w:ascii="Times New Roman" w:hAnsi="Times New Roman"/>
          <w:sz w:val="24"/>
          <w:szCs w:val="24"/>
        </w:rPr>
      </w:pPr>
      <w:r w:rsidRPr="00D7210B">
        <w:rPr>
          <w:rFonts w:ascii="Times New Roman" w:hAnsi="Times New Roman"/>
          <w:sz w:val="24"/>
          <w:szCs w:val="24"/>
        </w:rPr>
        <w:t>***</w:t>
      </w:r>
    </w:p>
    <w:p w14:paraId="63FDAE5E" w14:textId="77777777" w:rsidR="009E4718" w:rsidRPr="00D7210B" w:rsidRDefault="009E4718" w:rsidP="009E4718">
      <w:pPr>
        <w:pStyle w:val="NoSpacing"/>
        <w:rPr>
          <w:rFonts w:ascii="Times New Roman" w:hAnsi="Times New Roman"/>
          <w:sz w:val="24"/>
          <w:szCs w:val="24"/>
        </w:rPr>
      </w:pPr>
      <w:r w:rsidRPr="00D7210B">
        <w:rPr>
          <w:rFonts w:ascii="Times New Roman" w:hAnsi="Times New Roman"/>
          <w:noProof/>
          <w:sz w:val="24"/>
          <w:szCs w:val="24"/>
        </w:rPr>
        <w:drawing>
          <wp:inline distT="0" distB="0" distL="0" distR="0" wp14:anchorId="39731B17" wp14:editId="0FE3131B">
            <wp:extent cx="57158" cy="47632"/>
            <wp:effectExtent l="0" t="0" r="0" b="9525"/>
            <wp:docPr id="189600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07320" name=""/>
                    <pic:cNvPicPr/>
                  </pic:nvPicPr>
                  <pic:blipFill>
                    <a:blip r:embed="rId1996"/>
                    <a:stretch>
                      <a:fillRect/>
                    </a:stretch>
                  </pic:blipFill>
                  <pic:spPr>
                    <a:xfrm>
                      <a:off x="0" y="0"/>
                      <a:ext cx="57158" cy="47632"/>
                    </a:xfrm>
                    <a:prstGeom prst="rect">
                      <a:avLst/>
                    </a:prstGeom>
                  </pic:spPr>
                </pic:pic>
              </a:graphicData>
            </a:graphic>
          </wp:inline>
        </w:drawing>
      </w:r>
    </w:p>
    <w:p w14:paraId="16173799" w14:textId="6719E310" w:rsidR="009E4718" w:rsidRDefault="009E4718" w:rsidP="009E4718">
      <w:pPr>
        <w:pStyle w:val="NoSpacing"/>
        <w:ind w:left="720"/>
        <w:rPr>
          <w:rFonts w:ascii="Times New Roman" w:hAnsi="Times New Roman"/>
          <w:sz w:val="24"/>
          <w:szCs w:val="24"/>
        </w:rPr>
      </w:pPr>
      <w:r w:rsidRPr="00D7210B">
        <w:rPr>
          <w:rFonts w:ascii="Times New Roman" w:hAnsi="Times New Roman"/>
          <w:sz w:val="24"/>
          <w:szCs w:val="24"/>
        </w:rPr>
        <w:t>Because Chavez did not waive his estate’s claim of willful or wanton negligence, that tort claim remains viable.</w:t>
      </w:r>
    </w:p>
    <w:p w14:paraId="228638BA" w14:textId="77777777" w:rsidR="00532D2D" w:rsidRDefault="00532D2D" w:rsidP="009E4718">
      <w:pPr>
        <w:pStyle w:val="NoSpacing"/>
        <w:ind w:left="720"/>
        <w:rPr>
          <w:rFonts w:ascii="Times New Roman" w:hAnsi="Times New Roman"/>
          <w:sz w:val="24"/>
          <w:szCs w:val="24"/>
        </w:rPr>
      </w:pPr>
    </w:p>
    <w:p w14:paraId="7B94034B" w14:textId="658771FF" w:rsidR="00532D2D" w:rsidRPr="00D7210B" w:rsidRDefault="00532D2D" w:rsidP="009E4718">
      <w:pPr>
        <w:pStyle w:val="NoSpacing"/>
        <w:ind w:left="720"/>
        <w:rPr>
          <w:rFonts w:ascii="Times New Roman" w:hAnsi="Times New Roman"/>
          <w:sz w:val="24"/>
          <w:szCs w:val="24"/>
        </w:rPr>
      </w:pPr>
      <w:r>
        <w:rPr>
          <w:rFonts w:ascii="Times New Roman" w:hAnsi="Times New Roman"/>
          <w:sz w:val="24"/>
          <w:szCs w:val="24"/>
        </w:rPr>
        <w:t>***</w:t>
      </w:r>
    </w:p>
    <w:p w14:paraId="0548D0F7" w14:textId="182D415F" w:rsidR="009E4718" w:rsidRPr="00D7210B" w:rsidRDefault="009E4718" w:rsidP="00532D2D">
      <w:pPr>
        <w:pStyle w:val="NoSpacing"/>
        <w:ind w:left="720"/>
        <w:rPr>
          <w:rFonts w:ascii="Times New Roman" w:hAnsi="Times New Roman"/>
          <w:sz w:val="24"/>
          <w:szCs w:val="24"/>
        </w:rPr>
      </w:pPr>
      <w:r w:rsidRPr="00D7210B">
        <w:rPr>
          <w:rFonts w:ascii="Times New Roman" w:hAnsi="Times New Roman"/>
          <w:sz w:val="24"/>
          <w:szCs w:val="24"/>
        </w:rPr>
        <w:t>In September of 2021, Appellant City of Walton held its annual ‘Old Fashion Day’ festival. Helmbrecht and her husband, decedent Chavez, were in attendance, and Chavez entered the donut eating contest. Chavez was required to sign a waiver to participate.”</w:t>
      </w:r>
    </w:p>
    <w:p w14:paraId="5585573D" w14:textId="77777777" w:rsidR="009E4718" w:rsidRPr="00D7210B" w:rsidRDefault="009E4718" w:rsidP="009E4718">
      <w:pPr>
        <w:pStyle w:val="NoSpacing"/>
        <w:ind w:left="720"/>
        <w:rPr>
          <w:rFonts w:ascii="Times New Roman" w:hAnsi="Times New Roman"/>
          <w:sz w:val="24"/>
          <w:szCs w:val="24"/>
        </w:rPr>
      </w:pPr>
    </w:p>
    <w:p w14:paraId="7770B23F" w14:textId="77777777" w:rsidR="009E4718" w:rsidRPr="00D7210B" w:rsidRDefault="009E4718" w:rsidP="009E4718">
      <w:pPr>
        <w:pStyle w:val="NoSpacing"/>
        <w:rPr>
          <w:rFonts w:ascii="Times New Roman" w:hAnsi="Times New Roman"/>
          <w:b/>
          <w:bCs/>
          <w:sz w:val="24"/>
          <w:szCs w:val="24"/>
        </w:rPr>
      </w:pPr>
      <w:r w:rsidRPr="00D7210B">
        <w:rPr>
          <w:rFonts w:ascii="Times New Roman" w:hAnsi="Times New Roman"/>
          <w:b/>
          <w:bCs/>
          <w:sz w:val="24"/>
          <w:szCs w:val="24"/>
        </w:rPr>
        <w:t xml:space="preserve">Legal Lesson Learned:  If City is holding a donut or other “eating contest” should include in waiver “willful or wanton” negligence and have EMS standing nearby. </w:t>
      </w:r>
    </w:p>
    <w:p w14:paraId="0B93B2D6" w14:textId="77777777" w:rsidR="009C5942" w:rsidRDefault="009C5942" w:rsidP="002B1283">
      <w:pPr>
        <w:rPr>
          <w:rFonts w:ascii="Arial Black" w:hAnsi="Arial Black"/>
          <w:b/>
          <w:bCs/>
          <w:sz w:val="28"/>
          <w:szCs w:val="28"/>
        </w:rPr>
      </w:pPr>
    </w:p>
    <w:p w14:paraId="3749642A" w14:textId="77777777" w:rsidR="009C5942" w:rsidRDefault="009C5942" w:rsidP="002B1283">
      <w:pPr>
        <w:rPr>
          <w:rFonts w:ascii="Arial Black" w:hAnsi="Arial Black"/>
          <w:b/>
          <w:bCs/>
          <w:sz w:val="28"/>
          <w:szCs w:val="28"/>
        </w:rPr>
      </w:pPr>
    </w:p>
    <w:p w14:paraId="38C313FC" w14:textId="33394644" w:rsidR="009665CE" w:rsidRDefault="001C18B0" w:rsidP="002B1283">
      <w:pPr>
        <w:rPr>
          <w:rFonts w:ascii="Arial Black" w:hAnsi="Arial Black"/>
          <w:b/>
          <w:bCs/>
          <w:sz w:val="28"/>
          <w:szCs w:val="28"/>
        </w:rPr>
      </w:pPr>
      <w:r>
        <w:rPr>
          <w:rFonts w:ascii="Arial Black" w:hAnsi="Arial Black"/>
          <w:b/>
          <w:bCs/>
          <w:sz w:val="28"/>
          <w:szCs w:val="28"/>
        </w:rPr>
        <w:t>13-194</w:t>
      </w:r>
    </w:p>
    <w:p w14:paraId="0F9ECAC2" w14:textId="77777777" w:rsidR="009C5942" w:rsidRPr="0068578A" w:rsidRDefault="009C5942" w:rsidP="009C5942">
      <w:pPr>
        <w:pStyle w:val="NoSpacing"/>
        <w:rPr>
          <w:rFonts w:ascii="Arial Black" w:hAnsi="Arial Black"/>
          <w:sz w:val="28"/>
        </w:rPr>
      </w:pPr>
      <w:r>
        <w:rPr>
          <w:rFonts w:ascii="Arial Black" w:hAnsi="Arial Black"/>
          <w:sz w:val="28"/>
        </w:rPr>
        <w:t>NJ: CARDIAC – QUICK RESPONSE VEHICLE NOT ALS - MEDIC STUDENT TRIED TO INTUBATE – IMMUNITY</w:t>
      </w:r>
    </w:p>
    <w:p w14:paraId="59D54121" w14:textId="77777777" w:rsidR="009C5942" w:rsidRDefault="009C5942" w:rsidP="009C5942">
      <w:pPr>
        <w:pStyle w:val="NoSpacing"/>
      </w:pPr>
    </w:p>
    <w:p w14:paraId="653061DB" w14:textId="77777777" w:rsidR="009C5942" w:rsidRPr="009C5942" w:rsidRDefault="009C5942" w:rsidP="009C5942">
      <w:pPr>
        <w:pStyle w:val="NoSpacing"/>
        <w:rPr>
          <w:rFonts w:ascii="Times New Roman" w:hAnsi="Times New Roman"/>
          <w:sz w:val="24"/>
          <w:szCs w:val="24"/>
        </w:rPr>
      </w:pPr>
      <w:r w:rsidRPr="009C5942">
        <w:rPr>
          <w:rFonts w:ascii="Times New Roman" w:hAnsi="Times New Roman"/>
          <w:sz w:val="24"/>
          <w:szCs w:val="24"/>
        </w:rPr>
        <w:t xml:space="preserve">On October 1, 2024, in </w:t>
      </w:r>
      <w:proofErr w:type="spellStart"/>
      <w:r w:rsidRPr="009C5942">
        <w:rPr>
          <w:rFonts w:ascii="Times New Roman" w:hAnsi="Times New Roman"/>
          <w:sz w:val="24"/>
          <w:szCs w:val="24"/>
          <w:u w:val="single"/>
        </w:rPr>
        <w:t>Onyelle</w:t>
      </w:r>
      <w:proofErr w:type="spellEnd"/>
      <w:r w:rsidRPr="009C5942">
        <w:rPr>
          <w:rFonts w:ascii="Times New Roman" w:hAnsi="Times New Roman"/>
          <w:sz w:val="24"/>
          <w:szCs w:val="24"/>
          <w:u w:val="single"/>
        </w:rPr>
        <w:t xml:space="preserve"> R. Jamison, administrator of the estate of Ruby Nell King v. Jersey City Medical Center, et al</w:t>
      </w:r>
      <w:r w:rsidRPr="009C5942">
        <w:rPr>
          <w:rFonts w:ascii="Times New Roman" w:hAnsi="Times New Roman"/>
          <w:sz w:val="24"/>
          <w:szCs w:val="24"/>
        </w:rPr>
        <w:t xml:space="preserve">., the Superior Court of New Jersey, Appellate Division, held (unpublished decision) that trial court properly granted summary judgement to the Medical Center and all the EMS.  The Court wrote: “The [trial] court rejected plaintiff's claim that failing to equip the QRV with ALS supplies was a deviation from the applicable standard of care because dispatching ‘a single BLS and a single ALS unit on the scene would have met the standard of care.’ Because ‘the BLS unit and ALS unit were dispatched along with [Isidro's] unit and dispatching [Isidro's] unit did not affect the arrival of the other units, [Isidro's] attendance was not required at the scene.’ *** Specifically, plaintiff contends, given King's unstable condition, it was not appropriate to permit Molineros to attempt the intubation, and DiMarco took too long to intubate King after the initial unsuccessful attempt. We are not persuaded. Here, plaintiff's claim is based solely on Dr. Brown's opinion that it was ‘horrible’ judgment and ‘reckless and dangerous’ for DiMarco and Valles to permit Molineros to attempt the intubation. Dr. Brown, however, conceded at his deposition Molineros was, as a paramedic student, expressly permitted pursuant to N.J.A.C. 8:41-12.1(c)(7), to intubate patients in the field. In addition, Dr. Brown did not know how many times Molineros intubated patients before March 30, 2018. Dr. Brown testified he did not know why her intubation attempt failed and did not believe Molineros ‘deviated from what a student would do.’” </w:t>
      </w:r>
      <w:hyperlink r:id="rId1997" w:history="1">
        <w:r w:rsidRPr="009C5942">
          <w:rPr>
            <w:rStyle w:val="Hyperlink"/>
            <w:rFonts w:ascii="Times New Roman" w:hAnsi="Times New Roman"/>
            <w:sz w:val="24"/>
            <w:szCs w:val="24"/>
          </w:rPr>
          <w:t>https://www.njcourts.gov/system/files/court-opinions/2024/a1893-22.pdf</w:t>
        </w:r>
      </w:hyperlink>
      <w:r w:rsidRPr="009C5942">
        <w:rPr>
          <w:rFonts w:ascii="Times New Roman" w:hAnsi="Times New Roman"/>
          <w:sz w:val="24"/>
          <w:szCs w:val="24"/>
        </w:rPr>
        <w:t xml:space="preserve"> </w:t>
      </w:r>
    </w:p>
    <w:p w14:paraId="0C270AB8" w14:textId="77777777" w:rsidR="009C5942" w:rsidRPr="009C5942" w:rsidRDefault="009C5942" w:rsidP="009C5942">
      <w:pPr>
        <w:pStyle w:val="NoSpacing"/>
        <w:rPr>
          <w:rFonts w:ascii="Times New Roman" w:hAnsi="Times New Roman"/>
          <w:sz w:val="24"/>
          <w:szCs w:val="24"/>
        </w:rPr>
      </w:pPr>
    </w:p>
    <w:p w14:paraId="50D2E77F" w14:textId="77777777" w:rsidR="009C5942" w:rsidRPr="009C5942" w:rsidRDefault="009C5942" w:rsidP="009C5942">
      <w:pPr>
        <w:pStyle w:val="NoSpacing"/>
        <w:rPr>
          <w:rFonts w:ascii="Times New Roman" w:hAnsi="Times New Roman"/>
          <w:sz w:val="24"/>
          <w:szCs w:val="24"/>
        </w:rPr>
      </w:pPr>
      <w:r w:rsidRPr="009C5942">
        <w:rPr>
          <w:rFonts w:ascii="Times New Roman" w:hAnsi="Times New Roman"/>
          <w:sz w:val="24"/>
          <w:szCs w:val="24"/>
        </w:rPr>
        <w:t>THE COURT HELD:</w:t>
      </w:r>
    </w:p>
    <w:p w14:paraId="4607C4E2" w14:textId="77777777" w:rsidR="009C5942" w:rsidRPr="009C5942" w:rsidRDefault="009C5942" w:rsidP="009C5942">
      <w:pPr>
        <w:pStyle w:val="NoSpacing"/>
        <w:rPr>
          <w:rFonts w:ascii="Times New Roman" w:hAnsi="Times New Roman"/>
          <w:sz w:val="24"/>
          <w:szCs w:val="24"/>
        </w:rPr>
      </w:pPr>
    </w:p>
    <w:p w14:paraId="3318F276" w14:textId="77777777" w:rsidR="009C5942" w:rsidRPr="009C5942" w:rsidRDefault="009C5942" w:rsidP="009C5942">
      <w:pPr>
        <w:pStyle w:val="NoSpacing"/>
        <w:ind w:left="720"/>
        <w:rPr>
          <w:rFonts w:ascii="Times New Roman" w:hAnsi="Times New Roman"/>
          <w:sz w:val="24"/>
          <w:szCs w:val="24"/>
        </w:rPr>
      </w:pPr>
      <w:r w:rsidRPr="009C5942">
        <w:rPr>
          <w:rFonts w:ascii="Times New Roman" w:hAnsi="Times New Roman"/>
          <w:sz w:val="24"/>
          <w:szCs w:val="24"/>
        </w:rPr>
        <w:t xml:space="preserve">“At best, plaintiff sets forth a viable claim of negligence. Plaintiff does not offer any evidence to support </w:t>
      </w:r>
      <w:proofErr w:type="gramStart"/>
      <w:r w:rsidRPr="009C5942">
        <w:rPr>
          <w:rFonts w:ascii="Times New Roman" w:hAnsi="Times New Roman"/>
          <w:sz w:val="24"/>
          <w:szCs w:val="24"/>
        </w:rPr>
        <w:t>a finding</w:t>
      </w:r>
      <w:proofErr w:type="gramEnd"/>
      <w:r w:rsidRPr="009C5942">
        <w:rPr>
          <w:rFonts w:ascii="Times New Roman" w:hAnsi="Times New Roman"/>
          <w:sz w:val="24"/>
          <w:szCs w:val="24"/>
        </w:rPr>
        <w:t xml:space="preserve"> that DiMarco and Valles did not act in good faith. We are satisfied, based on the facts and circumstances of this case, the court correctly determined DiMarco and Valles demonstrated their actions "were objectively reasonable or that they performed them with subjective good faith." </w:t>
      </w:r>
      <w:proofErr w:type="spellStart"/>
      <w:r w:rsidRPr="009C5942">
        <w:rPr>
          <w:rFonts w:ascii="Times New Roman" w:hAnsi="Times New Roman"/>
          <w:sz w:val="24"/>
          <w:szCs w:val="24"/>
        </w:rPr>
        <w:t>Canico</w:t>
      </w:r>
      <w:proofErr w:type="spellEnd"/>
      <w:r w:rsidRPr="009C5942">
        <w:rPr>
          <w:rFonts w:ascii="Times New Roman" w:hAnsi="Times New Roman"/>
          <w:sz w:val="24"/>
          <w:szCs w:val="24"/>
        </w:rPr>
        <w:t>, 144 N.J. at 365. Summary judgment, therefore, was properly granted on the issue of good faith.</w:t>
      </w:r>
    </w:p>
    <w:p w14:paraId="5F1A62F8" w14:textId="77777777" w:rsidR="009C5942" w:rsidRPr="009C5942" w:rsidRDefault="009C5942" w:rsidP="009C5942">
      <w:pPr>
        <w:pStyle w:val="NoSpacing"/>
        <w:ind w:left="720"/>
        <w:rPr>
          <w:rFonts w:ascii="Times New Roman" w:hAnsi="Times New Roman"/>
          <w:sz w:val="24"/>
          <w:szCs w:val="24"/>
        </w:rPr>
      </w:pPr>
    </w:p>
    <w:p w14:paraId="1253B696" w14:textId="77777777" w:rsidR="009C5942" w:rsidRPr="009C5942" w:rsidRDefault="009C5942" w:rsidP="009C5942">
      <w:pPr>
        <w:pStyle w:val="NoSpacing"/>
        <w:ind w:left="720"/>
        <w:rPr>
          <w:rFonts w:ascii="Times New Roman" w:hAnsi="Times New Roman"/>
          <w:sz w:val="24"/>
          <w:szCs w:val="24"/>
        </w:rPr>
      </w:pPr>
      <w:r w:rsidRPr="009C5942">
        <w:rPr>
          <w:rFonts w:ascii="Times New Roman" w:hAnsi="Times New Roman"/>
          <w:sz w:val="24"/>
          <w:szCs w:val="24"/>
        </w:rPr>
        <w:t>***</w:t>
      </w:r>
    </w:p>
    <w:p w14:paraId="309060F3" w14:textId="77777777" w:rsidR="009C5942" w:rsidRPr="009C5942" w:rsidRDefault="009C5942" w:rsidP="009C5942">
      <w:pPr>
        <w:pStyle w:val="NoSpacing"/>
        <w:rPr>
          <w:rFonts w:ascii="Times New Roman" w:hAnsi="Times New Roman"/>
          <w:sz w:val="24"/>
          <w:szCs w:val="24"/>
        </w:rPr>
      </w:pPr>
    </w:p>
    <w:p w14:paraId="2DE4168E" w14:textId="77777777" w:rsidR="009C5942" w:rsidRPr="009C5942" w:rsidRDefault="009C5942" w:rsidP="009C5942">
      <w:pPr>
        <w:pStyle w:val="NoSpacing"/>
        <w:ind w:left="720"/>
        <w:rPr>
          <w:rFonts w:ascii="Times New Roman" w:hAnsi="Times New Roman"/>
          <w:sz w:val="24"/>
          <w:szCs w:val="24"/>
        </w:rPr>
      </w:pPr>
      <w:r w:rsidRPr="009C5942">
        <w:rPr>
          <w:rFonts w:ascii="Times New Roman" w:hAnsi="Times New Roman"/>
          <w:sz w:val="24"/>
          <w:szCs w:val="24"/>
        </w:rPr>
        <w:t>We are satisfied the court correctly determined defendants are entitled to immunity pursuant to N.J.S.A. 26:2K-14, which provides, in relevant part:</w:t>
      </w:r>
    </w:p>
    <w:p w14:paraId="22421BFB" w14:textId="77777777" w:rsidR="009C5942" w:rsidRPr="009C5942" w:rsidRDefault="009C5942" w:rsidP="009C5942">
      <w:pPr>
        <w:pStyle w:val="NoSpacing"/>
        <w:ind w:left="1440"/>
        <w:rPr>
          <w:rFonts w:ascii="Times New Roman" w:hAnsi="Times New Roman"/>
          <w:sz w:val="24"/>
          <w:szCs w:val="24"/>
        </w:rPr>
      </w:pPr>
      <w:r w:rsidRPr="009C5942">
        <w:rPr>
          <w:rFonts w:ascii="Times New Roman" w:hAnsi="Times New Roman"/>
          <w:sz w:val="24"/>
          <w:szCs w:val="24"/>
        </w:rPr>
        <w:t>No mobile intensive care paramedic, . . . hospital . . . first aid, ambulance or rescue squad, … shall be liable for any civil damages as the result of an act or the omission of an act committed while in training for or in the rendering of . . . advanced life support services in good faith and in accordance with this act.”</w:t>
      </w:r>
    </w:p>
    <w:p w14:paraId="5D383038" w14:textId="77777777" w:rsidR="009C5942" w:rsidRPr="009C5942" w:rsidRDefault="009C5942" w:rsidP="009C5942">
      <w:pPr>
        <w:pStyle w:val="NoSpacing"/>
        <w:rPr>
          <w:rFonts w:ascii="Times New Roman" w:hAnsi="Times New Roman"/>
          <w:sz w:val="24"/>
          <w:szCs w:val="24"/>
        </w:rPr>
      </w:pPr>
    </w:p>
    <w:p w14:paraId="506AD569" w14:textId="77777777" w:rsidR="009C5942" w:rsidRPr="009C5942" w:rsidRDefault="009C5942" w:rsidP="009C5942">
      <w:pPr>
        <w:pStyle w:val="NoSpacing"/>
        <w:rPr>
          <w:rFonts w:ascii="Times New Roman" w:hAnsi="Times New Roman"/>
          <w:sz w:val="24"/>
          <w:szCs w:val="24"/>
        </w:rPr>
      </w:pPr>
    </w:p>
    <w:p w14:paraId="2D8A07EB" w14:textId="77777777" w:rsidR="009C5942" w:rsidRPr="009C5942" w:rsidRDefault="009C5942" w:rsidP="009C5942">
      <w:pPr>
        <w:rPr>
          <w:rFonts w:ascii="Times New Roman" w:hAnsi="Times New Roman"/>
          <w:b/>
          <w:bCs/>
          <w:sz w:val="24"/>
          <w:szCs w:val="24"/>
        </w:rPr>
      </w:pPr>
      <w:r w:rsidRPr="009C5942">
        <w:rPr>
          <w:rFonts w:ascii="Times New Roman" w:hAnsi="Times New Roman"/>
          <w:b/>
          <w:bCs/>
          <w:sz w:val="24"/>
          <w:szCs w:val="24"/>
        </w:rPr>
        <w:t xml:space="preserve">Legal Lesson Learned:  Statutory immunity protects both Paramedics and EMS students trained in intubation from liability.  </w:t>
      </w:r>
    </w:p>
    <w:p w14:paraId="317A2DB8" w14:textId="77777777" w:rsidR="001C18B0" w:rsidRDefault="001C18B0" w:rsidP="002B1283">
      <w:pPr>
        <w:rPr>
          <w:rFonts w:ascii="Arial Black" w:hAnsi="Arial Black"/>
          <w:b/>
          <w:bCs/>
          <w:sz w:val="28"/>
          <w:szCs w:val="28"/>
        </w:rPr>
      </w:pPr>
    </w:p>
    <w:p w14:paraId="18AE349E" w14:textId="77777777" w:rsidR="001C18B0" w:rsidRDefault="001C18B0" w:rsidP="002B1283">
      <w:pPr>
        <w:rPr>
          <w:rFonts w:ascii="Arial Black" w:hAnsi="Arial Black"/>
          <w:b/>
          <w:bCs/>
          <w:sz w:val="28"/>
          <w:szCs w:val="28"/>
        </w:rPr>
      </w:pPr>
    </w:p>
    <w:p w14:paraId="447D5A69" w14:textId="17DA2199" w:rsidR="009665CE" w:rsidRDefault="009665CE" w:rsidP="002B1283">
      <w:pPr>
        <w:rPr>
          <w:rFonts w:ascii="Arial Black" w:hAnsi="Arial Black"/>
          <w:b/>
          <w:bCs/>
          <w:sz w:val="28"/>
          <w:szCs w:val="28"/>
        </w:rPr>
      </w:pPr>
      <w:r>
        <w:rPr>
          <w:rFonts w:ascii="Arial Black" w:hAnsi="Arial Black"/>
          <w:b/>
          <w:bCs/>
          <w:sz w:val="28"/>
          <w:szCs w:val="28"/>
        </w:rPr>
        <w:t>13-193</w:t>
      </w:r>
    </w:p>
    <w:p w14:paraId="32C725D5" w14:textId="764D79CD" w:rsidR="009665CE" w:rsidRPr="00546EED" w:rsidRDefault="009665CE" w:rsidP="009665CE">
      <w:pPr>
        <w:pStyle w:val="NoSpacing"/>
        <w:rPr>
          <w:rFonts w:ascii="Arial Black" w:hAnsi="Arial Black"/>
          <w:sz w:val="28"/>
        </w:rPr>
      </w:pPr>
      <w:r>
        <w:rPr>
          <w:rFonts w:ascii="Arial Black" w:hAnsi="Arial Black"/>
          <w:sz w:val="28"/>
        </w:rPr>
        <w:t>NM:  FLIGHT PARAMEDIC TERMINATED – “ABANDONED” OB PATIENT - FETAL MONITOR REMOVED, PILOT RETURN</w:t>
      </w:r>
      <w:r w:rsidR="00D4774D">
        <w:rPr>
          <w:rFonts w:ascii="Arial Black" w:hAnsi="Arial Black"/>
          <w:sz w:val="28"/>
        </w:rPr>
        <w:t>ED TO</w:t>
      </w:r>
      <w:r>
        <w:rPr>
          <w:rFonts w:ascii="Arial Black" w:hAnsi="Arial Black"/>
          <w:sz w:val="28"/>
        </w:rPr>
        <w:t xml:space="preserve"> BASE</w:t>
      </w:r>
    </w:p>
    <w:p w14:paraId="1D031AF2" w14:textId="77777777" w:rsidR="009665CE" w:rsidRDefault="009665CE" w:rsidP="009665CE">
      <w:pPr>
        <w:pStyle w:val="NoSpacing"/>
      </w:pPr>
    </w:p>
    <w:p w14:paraId="1B2D8318" w14:textId="77777777" w:rsidR="009665CE" w:rsidRPr="009665CE" w:rsidRDefault="009665CE" w:rsidP="009665CE">
      <w:pPr>
        <w:pStyle w:val="NoSpacing"/>
        <w:rPr>
          <w:rFonts w:ascii="Times New Roman" w:hAnsi="Times New Roman"/>
          <w:sz w:val="24"/>
          <w:szCs w:val="24"/>
        </w:rPr>
      </w:pPr>
      <w:r w:rsidRPr="009665CE">
        <w:rPr>
          <w:rFonts w:ascii="Times New Roman" w:hAnsi="Times New Roman"/>
          <w:sz w:val="24"/>
          <w:szCs w:val="24"/>
        </w:rPr>
        <w:t xml:space="preserve">On September 3, 2024, in </w:t>
      </w:r>
      <w:r w:rsidRPr="009665CE">
        <w:rPr>
          <w:rFonts w:ascii="Times New Roman" w:hAnsi="Times New Roman"/>
          <w:sz w:val="24"/>
          <w:szCs w:val="24"/>
          <w:u w:val="single"/>
        </w:rPr>
        <w:t>Daniel Kuhler v. PHI Health, LLC d/b/a Phi Air Medical</w:t>
      </w:r>
      <w:r w:rsidRPr="009665CE">
        <w:rPr>
          <w:rFonts w:ascii="Times New Roman" w:hAnsi="Times New Roman"/>
          <w:sz w:val="24"/>
          <w:szCs w:val="24"/>
        </w:rPr>
        <w:t xml:space="preserve">, United States District Court Chief Judge William P. Johnson, U.S. District Court, District of New Mexico, granted summary judgment to the employer, Phi Air Medical; there was no proof of employer making termination decision as a failure to accommodate his request for leave for ear surgery. Regarding the medical flight on Oct. 10, 2019, the Court wrote: “Disconnecting the equipment from the patient, leaving her with the ground ambulance crew, and flying back to base is why he was terminated. *** Here, the undisputed facts show that: (1) Kuhler was dispatched on October 10, 2019, for a high-risk OB patient; (2) the flight crew ‘interacted with, assessed and placed a PHI-owned fetal monitor on the patient’; (3) Kuhler did not call PHI personnel or any physician; (4) Kuhler then left the scene…. This constitutes abandonment-or is at least close enough that the Court will not play the role of a Monday morning quarterback and second-guess this decision.” </w:t>
      </w:r>
      <w:hyperlink r:id="rId1998" w:history="1">
        <w:r w:rsidRPr="009665CE">
          <w:rPr>
            <w:rStyle w:val="Hyperlink"/>
            <w:rFonts w:ascii="Times New Roman" w:hAnsi="Times New Roman"/>
            <w:sz w:val="24"/>
            <w:szCs w:val="24"/>
          </w:rPr>
          <w:t>https://casetext.com/case/kuhler-v-phi-health-llc</w:t>
        </w:r>
      </w:hyperlink>
      <w:r w:rsidRPr="009665CE">
        <w:rPr>
          <w:rFonts w:ascii="Times New Roman" w:hAnsi="Times New Roman"/>
          <w:sz w:val="24"/>
          <w:szCs w:val="24"/>
        </w:rPr>
        <w:t xml:space="preserve"> </w:t>
      </w:r>
    </w:p>
    <w:p w14:paraId="3C0AE6A4" w14:textId="77777777" w:rsidR="009665CE" w:rsidRPr="009665CE" w:rsidRDefault="009665CE" w:rsidP="009665CE">
      <w:pPr>
        <w:pStyle w:val="NoSpacing"/>
        <w:rPr>
          <w:rFonts w:ascii="Times New Roman" w:hAnsi="Times New Roman"/>
          <w:sz w:val="24"/>
          <w:szCs w:val="24"/>
        </w:rPr>
      </w:pPr>
    </w:p>
    <w:p w14:paraId="093F00E4" w14:textId="77777777" w:rsidR="009665CE" w:rsidRPr="009665CE" w:rsidRDefault="009665CE" w:rsidP="009665CE">
      <w:pPr>
        <w:pStyle w:val="NoSpacing"/>
        <w:rPr>
          <w:rFonts w:ascii="Times New Roman" w:hAnsi="Times New Roman"/>
          <w:sz w:val="24"/>
          <w:szCs w:val="24"/>
        </w:rPr>
      </w:pPr>
      <w:r w:rsidRPr="009665CE">
        <w:rPr>
          <w:rFonts w:ascii="Times New Roman" w:hAnsi="Times New Roman"/>
          <w:sz w:val="24"/>
          <w:szCs w:val="24"/>
        </w:rPr>
        <w:t>THE COURT HELD:</w:t>
      </w:r>
    </w:p>
    <w:p w14:paraId="5111E01A" w14:textId="77777777" w:rsidR="009665CE" w:rsidRPr="009665CE" w:rsidRDefault="009665CE" w:rsidP="009665CE">
      <w:pPr>
        <w:pStyle w:val="NoSpacing"/>
        <w:rPr>
          <w:rFonts w:ascii="Times New Roman" w:hAnsi="Times New Roman"/>
          <w:sz w:val="24"/>
          <w:szCs w:val="24"/>
        </w:rPr>
      </w:pPr>
    </w:p>
    <w:p w14:paraId="35CF24E8" w14:textId="77777777" w:rsidR="009665CE" w:rsidRPr="009665CE" w:rsidRDefault="009665CE" w:rsidP="009665CE">
      <w:pPr>
        <w:pStyle w:val="NoSpacing"/>
        <w:ind w:left="720"/>
        <w:rPr>
          <w:rFonts w:ascii="Times New Roman" w:hAnsi="Times New Roman"/>
          <w:sz w:val="24"/>
          <w:szCs w:val="24"/>
        </w:rPr>
      </w:pPr>
      <w:r w:rsidRPr="009665CE">
        <w:rPr>
          <w:rFonts w:ascii="Times New Roman" w:hAnsi="Times New Roman"/>
          <w:sz w:val="24"/>
          <w:szCs w:val="24"/>
        </w:rPr>
        <w:t xml:space="preserve">“After the internal investigation was completed, the Yslas Report found that Kuhler (and the flight nurse) had abandoned a patient and were dishonest in their statements…. Based on these findings, the Yslas Report recommended termination of both employees. </w:t>
      </w:r>
      <w:r w:rsidRPr="009665CE">
        <w:rPr>
          <w:rFonts w:ascii="Times New Roman" w:hAnsi="Times New Roman"/>
          <w:i/>
          <w:iCs/>
          <w:sz w:val="24"/>
          <w:szCs w:val="24"/>
        </w:rPr>
        <w:t>Id.</w:t>
      </w:r>
      <w:r w:rsidRPr="009665CE">
        <w:rPr>
          <w:rFonts w:ascii="Times New Roman" w:hAnsi="Times New Roman"/>
          <w:sz w:val="24"/>
          <w:szCs w:val="24"/>
        </w:rPr>
        <w:t xml:space="preserve"> Yslas presented the report to PHI's Chief Human Resources Officer (“CHRO”)…. After reviewing the Yslas Report, and accompanying PHI policies, the CHRO accepted the recommendation-and approved the termination of Kuhler and the flight nurse…. </w:t>
      </w:r>
    </w:p>
    <w:p w14:paraId="66C79B7D" w14:textId="77777777" w:rsidR="009665CE" w:rsidRPr="009665CE" w:rsidRDefault="009665CE" w:rsidP="009665CE">
      <w:pPr>
        <w:pStyle w:val="NoSpacing"/>
        <w:ind w:left="720"/>
        <w:rPr>
          <w:rFonts w:ascii="Times New Roman" w:hAnsi="Times New Roman"/>
          <w:b/>
          <w:bCs/>
          <w:sz w:val="24"/>
          <w:szCs w:val="24"/>
        </w:rPr>
      </w:pPr>
    </w:p>
    <w:p w14:paraId="12A507FE" w14:textId="77777777" w:rsidR="009665CE" w:rsidRPr="009665CE" w:rsidRDefault="009665CE" w:rsidP="009665CE">
      <w:pPr>
        <w:pStyle w:val="NoSpacing"/>
        <w:ind w:firstLine="720"/>
        <w:rPr>
          <w:rFonts w:ascii="Times New Roman" w:hAnsi="Times New Roman"/>
          <w:sz w:val="24"/>
          <w:szCs w:val="24"/>
        </w:rPr>
      </w:pPr>
      <w:r w:rsidRPr="009665CE">
        <w:rPr>
          <w:rFonts w:ascii="Times New Roman" w:hAnsi="Times New Roman"/>
          <w:sz w:val="24"/>
          <w:szCs w:val="24"/>
        </w:rPr>
        <w:t xml:space="preserve">Neither Yslas nor the CHRO knew of Kuhler's request for an accommodation…. </w:t>
      </w:r>
    </w:p>
    <w:p w14:paraId="60305F3B" w14:textId="77777777" w:rsidR="009665CE" w:rsidRPr="009665CE" w:rsidRDefault="009665CE" w:rsidP="009665CE">
      <w:pPr>
        <w:pStyle w:val="NoSpacing"/>
        <w:ind w:firstLine="720"/>
        <w:rPr>
          <w:rFonts w:ascii="Times New Roman" w:hAnsi="Times New Roman"/>
          <w:sz w:val="24"/>
          <w:szCs w:val="24"/>
        </w:rPr>
      </w:pPr>
    </w:p>
    <w:p w14:paraId="3AC250F9" w14:textId="77777777" w:rsidR="009665CE" w:rsidRPr="009665CE" w:rsidRDefault="009665CE" w:rsidP="009665CE">
      <w:pPr>
        <w:pStyle w:val="NoSpacing"/>
        <w:ind w:firstLine="720"/>
        <w:rPr>
          <w:rFonts w:ascii="Times New Roman" w:hAnsi="Times New Roman"/>
          <w:sz w:val="24"/>
          <w:szCs w:val="24"/>
        </w:rPr>
      </w:pPr>
      <w:r w:rsidRPr="009665CE">
        <w:rPr>
          <w:rFonts w:ascii="Times New Roman" w:hAnsi="Times New Roman"/>
          <w:sz w:val="24"/>
          <w:szCs w:val="24"/>
        </w:rPr>
        <w:t>***</w:t>
      </w:r>
    </w:p>
    <w:p w14:paraId="4BA92192" w14:textId="77777777" w:rsidR="009665CE" w:rsidRPr="009665CE" w:rsidRDefault="009665CE" w:rsidP="009665CE">
      <w:pPr>
        <w:pStyle w:val="NoSpacing"/>
        <w:rPr>
          <w:rFonts w:ascii="Times New Roman" w:hAnsi="Times New Roman"/>
          <w:sz w:val="24"/>
          <w:szCs w:val="24"/>
        </w:rPr>
      </w:pPr>
    </w:p>
    <w:p w14:paraId="3279B1F6" w14:textId="77777777" w:rsidR="009665CE" w:rsidRPr="009665CE" w:rsidRDefault="009665CE" w:rsidP="009665CE">
      <w:pPr>
        <w:pStyle w:val="NoSpacing"/>
        <w:ind w:left="720"/>
        <w:rPr>
          <w:rFonts w:ascii="Times New Roman" w:hAnsi="Times New Roman"/>
          <w:sz w:val="24"/>
          <w:szCs w:val="24"/>
        </w:rPr>
      </w:pPr>
      <w:r w:rsidRPr="009665CE">
        <w:rPr>
          <w:rFonts w:ascii="Times New Roman" w:hAnsi="Times New Roman"/>
          <w:sz w:val="24"/>
          <w:szCs w:val="24"/>
        </w:rPr>
        <w:t xml:space="preserve">In January 2019, Kuhler requested (and PHI granted) leave under the Family and Medical Leave </w:t>
      </w:r>
      <w:proofErr w:type="gramStart"/>
      <w:r w:rsidRPr="009665CE">
        <w:rPr>
          <w:rFonts w:ascii="Times New Roman" w:hAnsi="Times New Roman"/>
          <w:sz w:val="24"/>
          <w:szCs w:val="24"/>
        </w:rPr>
        <w:t>Act (‘</w:t>
      </w:r>
      <w:proofErr w:type="gramEnd"/>
      <w:r w:rsidRPr="009665CE">
        <w:rPr>
          <w:rFonts w:ascii="Times New Roman" w:hAnsi="Times New Roman"/>
          <w:sz w:val="24"/>
          <w:szCs w:val="24"/>
        </w:rPr>
        <w:t xml:space="preserve">FMLA’) for an eye </w:t>
      </w:r>
      <w:proofErr w:type="gramStart"/>
      <w:r w:rsidRPr="009665CE">
        <w:rPr>
          <w:rFonts w:ascii="Times New Roman" w:hAnsi="Times New Roman"/>
          <w:sz w:val="24"/>
          <w:szCs w:val="24"/>
        </w:rPr>
        <w:t>condition,,,,</w:t>
      </w:r>
      <w:proofErr w:type="gramEnd"/>
      <w:r w:rsidRPr="009665CE">
        <w:rPr>
          <w:rFonts w:ascii="Times New Roman" w:hAnsi="Times New Roman"/>
          <w:sz w:val="24"/>
          <w:szCs w:val="24"/>
        </w:rPr>
        <w:t xml:space="preserve">  Specifically, Kuhler received treatment for optic neuritis. </w:t>
      </w:r>
      <w:r w:rsidRPr="009665CE">
        <w:rPr>
          <w:rFonts w:ascii="Times New Roman" w:hAnsi="Times New Roman"/>
          <w:i/>
          <w:iCs/>
          <w:sz w:val="24"/>
          <w:szCs w:val="24"/>
        </w:rPr>
        <w:t>Ibid.</w:t>
      </w:r>
      <w:r w:rsidRPr="009665CE">
        <w:rPr>
          <w:rFonts w:ascii="Times New Roman" w:hAnsi="Times New Roman"/>
          <w:sz w:val="24"/>
          <w:szCs w:val="24"/>
        </w:rPr>
        <w:t xml:space="preserve"> By the end of the month, Kuhler returned to work at ‘full-duty status….’ A few months later, in early October 2019, Kuhler informed his supervisor that he would need time off for an ear surgery….  The supervisor told Kuhler to contact PHI's occupational health nurse to discuss the leave associated with the surgery. </w:t>
      </w:r>
      <w:r w:rsidRPr="009665CE">
        <w:rPr>
          <w:rFonts w:ascii="Times New Roman" w:hAnsi="Times New Roman"/>
          <w:i/>
          <w:iCs/>
          <w:sz w:val="24"/>
          <w:szCs w:val="24"/>
        </w:rPr>
        <w:t>Ibid.</w:t>
      </w:r>
      <w:r w:rsidRPr="009665CE">
        <w:rPr>
          <w:rFonts w:ascii="Times New Roman" w:hAnsi="Times New Roman"/>
          <w:sz w:val="24"/>
          <w:szCs w:val="24"/>
        </w:rPr>
        <w:t xml:space="preserve"> Specifically, PHI needed more information to determine ‘the type’ of leave…. But, for one reason or another, Kuhler did not “contact” the occupational health nurse once the surgery was scheduled. Nor did he ‘submit any paperwork’ requesting time off for the surgery…  And this ear surgery is the only ‘accommodation’ at issue in this lawsuit.”</w:t>
      </w:r>
    </w:p>
    <w:p w14:paraId="01ACEEA2" w14:textId="77777777" w:rsidR="009665CE" w:rsidRPr="009665CE" w:rsidRDefault="009665CE" w:rsidP="009665CE">
      <w:pPr>
        <w:pStyle w:val="NoSpacing"/>
        <w:ind w:left="720"/>
        <w:rPr>
          <w:rFonts w:ascii="Times New Roman" w:hAnsi="Times New Roman"/>
          <w:sz w:val="24"/>
          <w:szCs w:val="24"/>
        </w:rPr>
      </w:pPr>
    </w:p>
    <w:p w14:paraId="5D17443A" w14:textId="77777777" w:rsidR="009665CE" w:rsidRPr="009665CE" w:rsidRDefault="009665CE" w:rsidP="009665CE">
      <w:pPr>
        <w:pStyle w:val="NoSpacing"/>
        <w:ind w:left="720"/>
        <w:rPr>
          <w:rFonts w:ascii="Times New Roman" w:hAnsi="Times New Roman"/>
          <w:sz w:val="24"/>
          <w:szCs w:val="24"/>
        </w:rPr>
      </w:pPr>
    </w:p>
    <w:p w14:paraId="60A14055" w14:textId="77777777" w:rsidR="009665CE" w:rsidRPr="009665CE" w:rsidRDefault="009665CE" w:rsidP="009665CE">
      <w:pPr>
        <w:pStyle w:val="NoSpacing"/>
        <w:rPr>
          <w:rFonts w:ascii="Times New Roman" w:hAnsi="Times New Roman"/>
          <w:b/>
          <w:bCs/>
          <w:sz w:val="24"/>
          <w:szCs w:val="24"/>
        </w:rPr>
      </w:pPr>
      <w:r w:rsidRPr="009665CE">
        <w:rPr>
          <w:rFonts w:ascii="Times New Roman" w:hAnsi="Times New Roman"/>
          <w:b/>
          <w:bCs/>
          <w:sz w:val="24"/>
          <w:szCs w:val="24"/>
        </w:rPr>
        <w:t xml:space="preserve">Legal Lesson Learned:  Follow your protocol on passing care of patient to others. </w:t>
      </w:r>
    </w:p>
    <w:p w14:paraId="265C020B" w14:textId="77777777" w:rsidR="009665CE" w:rsidRPr="009665CE" w:rsidRDefault="009665CE" w:rsidP="002B1283">
      <w:pPr>
        <w:rPr>
          <w:rFonts w:ascii="Times New Roman" w:hAnsi="Times New Roman"/>
          <w:b/>
          <w:bCs/>
          <w:sz w:val="24"/>
          <w:szCs w:val="24"/>
        </w:rPr>
      </w:pPr>
    </w:p>
    <w:p w14:paraId="290F318D" w14:textId="77777777" w:rsidR="009665CE" w:rsidRDefault="009665CE" w:rsidP="002B1283">
      <w:pPr>
        <w:rPr>
          <w:rFonts w:ascii="Arial Black" w:hAnsi="Arial Black"/>
          <w:b/>
          <w:bCs/>
          <w:sz w:val="28"/>
          <w:szCs w:val="28"/>
        </w:rPr>
      </w:pPr>
    </w:p>
    <w:p w14:paraId="529DB9AE" w14:textId="18023DF2" w:rsidR="00EC1348" w:rsidRDefault="00EC1348" w:rsidP="002B1283">
      <w:pPr>
        <w:rPr>
          <w:rFonts w:ascii="Arial Black" w:hAnsi="Arial Black"/>
          <w:b/>
          <w:bCs/>
          <w:sz w:val="28"/>
          <w:szCs w:val="28"/>
        </w:rPr>
      </w:pPr>
      <w:r>
        <w:rPr>
          <w:rFonts w:ascii="Arial Black" w:hAnsi="Arial Black"/>
          <w:b/>
          <w:bCs/>
          <w:sz w:val="28"/>
          <w:szCs w:val="28"/>
        </w:rPr>
        <w:t>13-192</w:t>
      </w:r>
    </w:p>
    <w:p w14:paraId="383F07A6" w14:textId="2FE5D792" w:rsidR="00915BCF" w:rsidRPr="002346D4" w:rsidRDefault="00915BCF" w:rsidP="00915BCF">
      <w:pPr>
        <w:pStyle w:val="NoSpacing"/>
        <w:rPr>
          <w:rFonts w:ascii="Aptos Black" w:hAnsi="Aptos Black"/>
          <w:sz w:val="28"/>
        </w:rPr>
      </w:pPr>
      <w:r>
        <w:rPr>
          <w:rFonts w:ascii="Arial Black" w:hAnsi="Arial Black"/>
          <w:sz w:val="28"/>
        </w:rPr>
        <w:lastRenderedPageBreak/>
        <w:t xml:space="preserve">OH: FAMILY CLAIMS PT FELL OFF COT – EMTs DENY – NO LIABLITY – NOT WILLFUL </w:t>
      </w:r>
      <w:r w:rsidR="003A037C">
        <w:rPr>
          <w:rFonts w:ascii="Arial Black" w:hAnsi="Arial Black"/>
          <w:sz w:val="28"/>
        </w:rPr>
        <w:t xml:space="preserve">OR </w:t>
      </w:r>
      <w:r>
        <w:rPr>
          <w:rFonts w:ascii="Arial Black" w:hAnsi="Arial Black"/>
          <w:sz w:val="28"/>
        </w:rPr>
        <w:t xml:space="preserve">WANTON MISCONDUCT </w:t>
      </w:r>
    </w:p>
    <w:p w14:paraId="0DE9691D" w14:textId="77777777" w:rsidR="006878FB" w:rsidRPr="006878FB" w:rsidRDefault="006878FB" w:rsidP="006878FB">
      <w:pPr>
        <w:pStyle w:val="NoSpacing"/>
        <w:rPr>
          <w:rFonts w:ascii="Times New Roman" w:hAnsi="Times New Roman"/>
          <w:sz w:val="24"/>
          <w:szCs w:val="24"/>
        </w:rPr>
      </w:pPr>
    </w:p>
    <w:p w14:paraId="4E723774" w14:textId="77777777" w:rsidR="006878FB" w:rsidRPr="006878FB" w:rsidRDefault="006878FB" w:rsidP="006878FB">
      <w:pPr>
        <w:pStyle w:val="NoSpacing"/>
        <w:rPr>
          <w:rFonts w:ascii="Times New Roman" w:hAnsi="Times New Roman"/>
          <w:sz w:val="24"/>
          <w:szCs w:val="24"/>
        </w:rPr>
      </w:pPr>
      <w:r w:rsidRPr="006878FB">
        <w:rPr>
          <w:rFonts w:ascii="Times New Roman" w:hAnsi="Times New Roman"/>
          <w:sz w:val="24"/>
          <w:szCs w:val="24"/>
        </w:rPr>
        <w:t xml:space="preserve">On Aug. 30, 2024, in </w:t>
      </w:r>
      <w:proofErr w:type="spellStart"/>
      <w:r w:rsidRPr="006878FB">
        <w:rPr>
          <w:rFonts w:ascii="Times New Roman" w:hAnsi="Times New Roman"/>
          <w:sz w:val="24"/>
          <w:szCs w:val="24"/>
          <w:u w:val="single"/>
        </w:rPr>
        <w:t>Carthagenia</w:t>
      </w:r>
      <w:proofErr w:type="spellEnd"/>
      <w:r w:rsidRPr="006878FB">
        <w:rPr>
          <w:rFonts w:ascii="Times New Roman" w:hAnsi="Times New Roman"/>
          <w:sz w:val="24"/>
          <w:szCs w:val="24"/>
          <w:u w:val="single"/>
        </w:rPr>
        <w:t xml:space="preserve"> Wyatt, as Administrator of the Estate of Deltina Graves v. City of Springfield, Ohio, et al.</w:t>
      </w:r>
      <w:r w:rsidRPr="006878FB">
        <w:rPr>
          <w:rFonts w:ascii="Times New Roman" w:hAnsi="Times New Roman"/>
          <w:sz w:val="24"/>
          <w:szCs w:val="24"/>
        </w:rPr>
        <w:t xml:space="preserve">, the Ohio Court of Appeals of Second District (Clark County) held (3 to 0) that trial court granted summary judgment to two EMTs and the City. Autopsy showed patient died of “acute atraumatic intracranial hemorrhage,” meaning that the hemorrhage was not caused by any head trauma.  The cot was equipped with two straps – one across the patient’s waist and one across legs [not third over shoulders].  A neighbor believed she saw the patient </w:t>
      </w:r>
      <w:proofErr w:type="gramStart"/>
      <w:r w:rsidRPr="006878FB">
        <w:rPr>
          <w:rFonts w:ascii="Times New Roman" w:hAnsi="Times New Roman"/>
          <w:sz w:val="24"/>
          <w:szCs w:val="24"/>
        </w:rPr>
        <w:t>dropped</w:t>
      </w:r>
      <w:proofErr w:type="gramEnd"/>
      <w:r w:rsidRPr="006878FB">
        <w:rPr>
          <w:rFonts w:ascii="Times New Roman" w:hAnsi="Times New Roman"/>
          <w:sz w:val="24"/>
          <w:szCs w:val="24"/>
        </w:rPr>
        <w:t xml:space="preserve"> on her head.  The Court wrote: “We see nothing from which a trier of fact reasonably could have concluded that Kaufman or Scanlan acted recklessly. The appellants complain about Graves not being strapped above the waist, but nothing in the record suggests the availability of additional straps. We note too that the EMTs provided uncontroverted testimony about the cot’s partial side rails being up. </w:t>
      </w:r>
      <w:proofErr w:type="gramStart"/>
      <w:r w:rsidRPr="006878FB">
        <w:rPr>
          <w:rFonts w:ascii="Times New Roman" w:hAnsi="Times New Roman"/>
          <w:sz w:val="24"/>
          <w:szCs w:val="24"/>
        </w:rPr>
        <w:t>he</w:t>
      </w:r>
      <w:proofErr w:type="gramEnd"/>
      <w:r w:rsidRPr="006878FB">
        <w:rPr>
          <w:rFonts w:ascii="Times New Roman" w:hAnsi="Times New Roman"/>
          <w:sz w:val="24"/>
          <w:szCs w:val="24"/>
        </w:rPr>
        <w:t xml:space="preserve"> appellants also complain about the EMTs not mentioning Graves’ fall to the emergency-room physician after the fact. But the physician, Dr. Guest, promptly had been made aware of the allegation by Graves’ mother. At most, the record suggests that Kaufman and Scanlan were inattentive when Graves unexpectedly slid from her </w:t>
      </w:r>
      <w:proofErr w:type="gramStart"/>
      <w:r w:rsidRPr="006878FB">
        <w:rPr>
          <w:rFonts w:ascii="Times New Roman" w:hAnsi="Times New Roman"/>
          <w:sz w:val="24"/>
          <w:szCs w:val="24"/>
        </w:rPr>
        <w:t>cot</w:t>
      </w:r>
      <w:proofErr w:type="gramEnd"/>
      <w:r w:rsidRPr="006878FB">
        <w:rPr>
          <w:rFonts w:ascii="Times New Roman" w:hAnsi="Times New Roman"/>
          <w:sz w:val="24"/>
          <w:szCs w:val="24"/>
        </w:rPr>
        <w:t xml:space="preserve">. As a matter of law, this conduct could not have constituted more than negligence.” </w:t>
      </w:r>
      <w:hyperlink r:id="rId1999" w:history="1">
        <w:r w:rsidRPr="006878FB">
          <w:rPr>
            <w:rStyle w:val="Hyperlink"/>
            <w:rFonts w:ascii="Times New Roman" w:hAnsi="Times New Roman"/>
            <w:sz w:val="24"/>
            <w:szCs w:val="24"/>
          </w:rPr>
          <w:t>https://cases.justia.com/ohio/second-district-court-of-appeals/2024-2024-ca-3-0.pdf?ts=1725029311</w:t>
        </w:r>
      </w:hyperlink>
      <w:r w:rsidRPr="006878FB">
        <w:rPr>
          <w:rFonts w:ascii="Times New Roman" w:hAnsi="Times New Roman"/>
          <w:sz w:val="24"/>
          <w:szCs w:val="24"/>
        </w:rPr>
        <w:t xml:space="preserve"> </w:t>
      </w:r>
    </w:p>
    <w:p w14:paraId="0EC646A5" w14:textId="77777777" w:rsidR="006878FB" w:rsidRPr="006878FB" w:rsidRDefault="006878FB" w:rsidP="006878FB">
      <w:pPr>
        <w:pStyle w:val="NoSpacing"/>
        <w:rPr>
          <w:rFonts w:ascii="Times New Roman" w:hAnsi="Times New Roman"/>
          <w:sz w:val="24"/>
          <w:szCs w:val="24"/>
        </w:rPr>
      </w:pPr>
    </w:p>
    <w:p w14:paraId="6790D1D3" w14:textId="77777777" w:rsidR="006878FB" w:rsidRPr="006878FB" w:rsidRDefault="006878FB" w:rsidP="006878FB">
      <w:pPr>
        <w:pStyle w:val="NoSpacing"/>
        <w:rPr>
          <w:rFonts w:ascii="Times New Roman" w:hAnsi="Times New Roman"/>
          <w:sz w:val="24"/>
          <w:szCs w:val="24"/>
        </w:rPr>
      </w:pPr>
      <w:r w:rsidRPr="006878FB">
        <w:rPr>
          <w:rFonts w:ascii="Times New Roman" w:hAnsi="Times New Roman"/>
          <w:sz w:val="24"/>
          <w:szCs w:val="24"/>
        </w:rPr>
        <w:t>THE COURT HELD:</w:t>
      </w:r>
    </w:p>
    <w:p w14:paraId="39CE7A19" w14:textId="77777777" w:rsidR="006878FB" w:rsidRPr="006878FB" w:rsidRDefault="006878FB" w:rsidP="006878FB">
      <w:pPr>
        <w:pStyle w:val="NoSpacing"/>
        <w:ind w:left="720"/>
        <w:rPr>
          <w:rFonts w:ascii="Times New Roman" w:hAnsi="Times New Roman"/>
          <w:sz w:val="24"/>
          <w:szCs w:val="24"/>
        </w:rPr>
      </w:pPr>
      <w:r w:rsidRPr="006878FB">
        <w:rPr>
          <w:rFonts w:ascii="Times New Roman" w:hAnsi="Times New Roman"/>
          <w:sz w:val="24"/>
          <w:szCs w:val="24"/>
        </w:rPr>
        <w:t>“With regard to the EMTs, the trial court correctly looked to R.C. 4765.49(A), which provides: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p>
    <w:p w14:paraId="47405BE6" w14:textId="77777777" w:rsidR="009E033B" w:rsidRDefault="009E033B" w:rsidP="006878FB">
      <w:pPr>
        <w:pStyle w:val="NoSpacing"/>
        <w:rPr>
          <w:rFonts w:ascii="Times New Roman" w:hAnsi="Times New Roman"/>
          <w:b/>
          <w:bCs/>
          <w:sz w:val="24"/>
          <w:szCs w:val="24"/>
        </w:rPr>
      </w:pPr>
    </w:p>
    <w:p w14:paraId="6EE8EFB1" w14:textId="3F7D5C07" w:rsidR="006878FB" w:rsidRPr="006878FB" w:rsidRDefault="006878FB" w:rsidP="006878FB">
      <w:pPr>
        <w:pStyle w:val="NoSpacing"/>
        <w:rPr>
          <w:rFonts w:ascii="Times New Roman" w:hAnsi="Times New Roman"/>
          <w:b/>
          <w:bCs/>
          <w:sz w:val="24"/>
          <w:szCs w:val="24"/>
        </w:rPr>
      </w:pPr>
      <w:r w:rsidRPr="006878FB">
        <w:rPr>
          <w:rFonts w:ascii="Times New Roman" w:hAnsi="Times New Roman"/>
          <w:b/>
          <w:bCs/>
          <w:sz w:val="24"/>
          <w:szCs w:val="24"/>
        </w:rPr>
        <w:t xml:space="preserve">Legal Lesson Learned: Securely strap the patient to the cot; if there is partial slippage off the cot, document it in the EMS run report. </w:t>
      </w:r>
    </w:p>
    <w:p w14:paraId="23445648" w14:textId="77777777" w:rsidR="00EC1348" w:rsidRDefault="00EC1348" w:rsidP="002B1283">
      <w:pPr>
        <w:rPr>
          <w:rFonts w:ascii="Arial Black" w:hAnsi="Arial Black"/>
          <w:b/>
          <w:bCs/>
          <w:sz w:val="28"/>
          <w:szCs w:val="28"/>
        </w:rPr>
      </w:pPr>
    </w:p>
    <w:p w14:paraId="1542249B" w14:textId="77777777" w:rsidR="00EC1348" w:rsidRDefault="00EC1348" w:rsidP="002B1283">
      <w:pPr>
        <w:rPr>
          <w:rFonts w:ascii="Arial Black" w:hAnsi="Arial Black"/>
          <w:b/>
          <w:bCs/>
          <w:sz w:val="28"/>
          <w:szCs w:val="28"/>
        </w:rPr>
      </w:pPr>
    </w:p>
    <w:p w14:paraId="732F86AC" w14:textId="07E91E75" w:rsidR="00AC1F80" w:rsidRDefault="00AC1F80" w:rsidP="002B1283">
      <w:pPr>
        <w:rPr>
          <w:rFonts w:ascii="Arial Black" w:hAnsi="Arial Black"/>
          <w:b/>
          <w:bCs/>
          <w:sz w:val="28"/>
          <w:szCs w:val="28"/>
        </w:rPr>
      </w:pPr>
      <w:r>
        <w:rPr>
          <w:rFonts w:ascii="Arial Black" w:hAnsi="Arial Black"/>
          <w:b/>
          <w:bCs/>
          <w:sz w:val="28"/>
          <w:szCs w:val="28"/>
        </w:rPr>
        <w:t>13-191</w:t>
      </w:r>
    </w:p>
    <w:p w14:paraId="2707F131" w14:textId="435F5D57" w:rsidR="00EC1348" w:rsidRPr="00954F7D" w:rsidRDefault="00EC1348" w:rsidP="00EC1348">
      <w:pPr>
        <w:pStyle w:val="NoSpacing"/>
        <w:rPr>
          <w:rFonts w:ascii="Aptos Black" w:hAnsi="Aptos Black"/>
          <w:sz w:val="28"/>
        </w:rPr>
      </w:pPr>
      <w:r>
        <w:rPr>
          <w:rFonts w:ascii="Arial Black" w:hAnsi="Arial Black"/>
          <w:sz w:val="28"/>
        </w:rPr>
        <w:t xml:space="preserve">MO: </w:t>
      </w:r>
      <w:r w:rsidR="008C18A2">
        <w:rPr>
          <w:rFonts w:ascii="Arial Black" w:hAnsi="Arial Black"/>
          <w:sz w:val="28"/>
        </w:rPr>
        <w:t xml:space="preserve">CRIMINAL IMMUNITY </w:t>
      </w:r>
      <w:r>
        <w:rPr>
          <w:rFonts w:ascii="Arial Black" w:hAnsi="Arial Black"/>
          <w:sz w:val="28"/>
        </w:rPr>
        <w:t xml:space="preserve">LAW NOT APPLY – PT REFUSED MEDICAL CARE – CONSENTED PD SEARCH </w:t>
      </w:r>
      <w:r w:rsidR="00F642D1">
        <w:rPr>
          <w:rFonts w:ascii="Arial Black" w:hAnsi="Arial Black"/>
          <w:sz w:val="28"/>
        </w:rPr>
        <w:t>–</w:t>
      </w:r>
      <w:r>
        <w:rPr>
          <w:rFonts w:ascii="Arial Black" w:hAnsi="Arial Black"/>
          <w:sz w:val="28"/>
        </w:rPr>
        <w:t xml:space="preserve"> </w:t>
      </w:r>
      <w:r w:rsidR="00F642D1">
        <w:rPr>
          <w:rFonts w:ascii="Arial Black" w:hAnsi="Arial Black"/>
          <w:sz w:val="28"/>
        </w:rPr>
        <w:t xml:space="preserve">MAY BE CHARGED </w:t>
      </w:r>
      <w:r>
        <w:rPr>
          <w:rFonts w:ascii="Arial Black" w:hAnsi="Arial Black"/>
          <w:sz w:val="28"/>
        </w:rPr>
        <w:t>DRUGS</w:t>
      </w:r>
    </w:p>
    <w:p w14:paraId="76BCBA37" w14:textId="77777777" w:rsidR="00EC1348" w:rsidRDefault="00EC1348" w:rsidP="00EC1348">
      <w:pPr>
        <w:pStyle w:val="NoSpacing"/>
      </w:pPr>
    </w:p>
    <w:p w14:paraId="4140D2E1" w14:textId="77777777" w:rsidR="00EC1348" w:rsidRPr="00EC1348" w:rsidRDefault="00EC1348" w:rsidP="00EC1348">
      <w:pPr>
        <w:pStyle w:val="NoSpacing"/>
        <w:rPr>
          <w:rFonts w:ascii="Times New Roman" w:hAnsi="Times New Roman"/>
          <w:sz w:val="24"/>
          <w:szCs w:val="24"/>
        </w:rPr>
      </w:pPr>
      <w:r w:rsidRPr="00EC1348">
        <w:rPr>
          <w:rFonts w:ascii="Times New Roman" w:hAnsi="Times New Roman"/>
          <w:sz w:val="24"/>
          <w:szCs w:val="24"/>
        </w:rPr>
        <w:t xml:space="preserve">On August 28, 2024, in </w:t>
      </w:r>
      <w:r w:rsidRPr="00EC1348">
        <w:rPr>
          <w:rFonts w:ascii="Times New Roman" w:hAnsi="Times New Roman"/>
          <w:sz w:val="24"/>
          <w:szCs w:val="24"/>
          <w:u w:val="single"/>
        </w:rPr>
        <w:t>State of Missouri v. Timothy Louis Smith</w:t>
      </w:r>
      <w:r w:rsidRPr="00EC1348">
        <w:rPr>
          <w:rFonts w:ascii="Times New Roman" w:hAnsi="Times New Roman"/>
          <w:sz w:val="24"/>
          <w:szCs w:val="24"/>
        </w:rPr>
        <w:t xml:space="preserve">, the Missouri Court of Appeals, Southern District, held (3 to 0) that trial court properly denied his motion to suppress the evidence and found him guilty of possession of plastic bag with white residue and a syringe cap with methamphetamine. The Court wrote: “Smith appeals his convictions in a single point, arguing the trial court erred in denying his motion to dismiss because section 195.205 applied since the evidence would not have been discovered but for his call for medical assistance. Smith's argument ignores the plain language of the statute. Because the plain language of the statute requires the evidence </w:t>
      </w:r>
      <w:proofErr w:type="gramStart"/>
      <w:r w:rsidRPr="00EC1348">
        <w:rPr>
          <w:rFonts w:ascii="Times New Roman" w:hAnsi="Times New Roman"/>
          <w:sz w:val="24"/>
          <w:szCs w:val="24"/>
        </w:rPr>
        <w:t>be</w:t>
      </w:r>
      <w:proofErr w:type="gramEnd"/>
      <w:r w:rsidRPr="00EC1348">
        <w:rPr>
          <w:rFonts w:ascii="Times New Roman" w:hAnsi="Times New Roman"/>
          <w:sz w:val="24"/>
          <w:szCs w:val="24"/>
        </w:rPr>
        <w:t xml:space="preserve"> gained </w:t>
      </w:r>
      <w:proofErr w:type="gramStart"/>
      <w:r w:rsidRPr="00EC1348">
        <w:rPr>
          <w:rFonts w:ascii="Times New Roman" w:hAnsi="Times New Roman"/>
          <w:sz w:val="24"/>
          <w:szCs w:val="24"/>
        </w:rPr>
        <w:t>as a result of</w:t>
      </w:r>
      <w:proofErr w:type="gramEnd"/>
      <w:r w:rsidRPr="00EC1348">
        <w:rPr>
          <w:rFonts w:ascii="Times New Roman" w:hAnsi="Times New Roman"/>
          <w:sz w:val="24"/>
          <w:szCs w:val="24"/>
        </w:rPr>
        <w:t xml:space="preserve"> seeking or obtaining medical assistance, it does not apply where there is a break in the causal chain between the request for medical assistance and the discovery of the evidence. In Smith's case, the evidence was found </w:t>
      </w:r>
      <w:proofErr w:type="gramStart"/>
      <w:r w:rsidRPr="00EC1348">
        <w:rPr>
          <w:rFonts w:ascii="Times New Roman" w:hAnsi="Times New Roman"/>
          <w:sz w:val="24"/>
          <w:szCs w:val="24"/>
        </w:rPr>
        <w:t>as a result of</w:t>
      </w:r>
      <w:proofErr w:type="gramEnd"/>
      <w:r w:rsidRPr="00EC1348">
        <w:rPr>
          <w:rFonts w:ascii="Times New Roman" w:hAnsi="Times New Roman"/>
          <w:sz w:val="24"/>
          <w:szCs w:val="24"/>
        </w:rPr>
        <w:t xml:space="preserve"> his consent to a search, not because he called for medical assistance.” </w:t>
      </w:r>
      <w:hyperlink r:id="rId2000" w:history="1">
        <w:r w:rsidRPr="00EC1348">
          <w:rPr>
            <w:rStyle w:val="Hyperlink"/>
            <w:rFonts w:ascii="Times New Roman" w:hAnsi="Times New Roman"/>
            <w:sz w:val="24"/>
            <w:szCs w:val="24"/>
          </w:rPr>
          <w:t>https://cases.justia.com/missouri/court-of-appeals/2024-sd38313.pdf?ts=1724895006</w:t>
        </w:r>
      </w:hyperlink>
      <w:r w:rsidRPr="00EC1348">
        <w:rPr>
          <w:rFonts w:ascii="Times New Roman" w:hAnsi="Times New Roman"/>
          <w:sz w:val="24"/>
          <w:szCs w:val="24"/>
        </w:rPr>
        <w:t xml:space="preserve"> </w:t>
      </w:r>
    </w:p>
    <w:p w14:paraId="6EE6E82A" w14:textId="77777777" w:rsidR="00EC1348" w:rsidRPr="00EC1348" w:rsidRDefault="00EC1348" w:rsidP="00EC1348">
      <w:pPr>
        <w:pStyle w:val="NoSpacing"/>
        <w:rPr>
          <w:rFonts w:ascii="Times New Roman" w:hAnsi="Times New Roman"/>
          <w:sz w:val="24"/>
          <w:szCs w:val="24"/>
        </w:rPr>
      </w:pPr>
    </w:p>
    <w:p w14:paraId="2B6578B6" w14:textId="77777777" w:rsidR="00EC1348" w:rsidRPr="00EC1348" w:rsidRDefault="00EC1348" w:rsidP="00EC1348">
      <w:pPr>
        <w:pStyle w:val="NoSpacing"/>
        <w:rPr>
          <w:rFonts w:ascii="Times New Roman" w:hAnsi="Times New Roman"/>
          <w:sz w:val="24"/>
          <w:szCs w:val="24"/>
        </w:rPr>
      </w:pPr>
      <w:r w:rsidRPr="00EC1348">
        <w:rPr>
          <w:rFonts w:ascii="Times New Roman" w:hAnsi="Times New Roman"/>
          <w:sz w:val="24"/>
          <w:szCs w:val="24"/>
        </w:rPr>
        <w:t>THE COURT HELD:</w:t>
      </w:r>
    </w:p>
    <w:p w14:paraId="6ED4B5DB" w14:textId="77777777" w:rsidR="00EC1348" w:rsidRPr="00EC1348" w:rsidRDefault="00EC1348" w:rsidP="00EC1348">
      <w:pPr>
        <w:pStyle w:val="NoSpacing"/>
        <w:rPr>
          <w:rFonts w:ascii="Times New Roman" w:hAnsi="Times New Roman"/>
          <w:sz w:val="24"/>
          <w:szCs w:val="24"/>
        </w:rPr>
      </w:pPr>
    </w:p>
    <w:p w14:paraId="7151874B"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“In Smith's case, the evidence was found not because Smith called for</w:t>
      </w:r>
    </w:p>
    <w:p w14:paraId="5FC04872"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medical assistance but because he consented to a search after asking the officer</w:t>
      </w:r>
    </w:p>
    <w:p w14:paraId="6EA83586"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for a ride. Applying section 195.205 to Smith's case would not further the</w:t>
      </w:r>
    </w:p>
    <w:p w14:paraId="461A360A"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purpose of the statute since, by the time the evidence was discovered, he was no</w:t>
      </w:r>
    </w:p>
    <w:p w14:paraId="7697E7E2"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longer in need of medical assistance or seeking medical assistance. The trial</w:t>
      </w:r>
    </w:p>
    <w:p w14:paraId="3CA7C987"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 xml:space="preserve">court did not err in denying Smith's motion to dismiss and </w:t>
      </w:r>
      <w:proofErr w:type="gramStart"/>
      <w:r w:rsidRPr="00EC1348">
        <w:rPr>
          <w:rFonts w:ascii="Times New Roman" w:hAnsi="Times New Roman"/>
          <w:sz w:val="24"/>
          <w:szCs w:val="24"/>
        </w:rPr>
        <w:t>entering</w:t>
      </w:r>
      <w:proofErr w:type="gramEnd"/>
      <w:r w:rsidRPr="00EC1348">
        <w:rPr>
          <w:rFonts w:ascii="Times New Roman" w:hAnsi="Times New Roman"/>
          <w:sz w:val="24"/>
          <w:szCs w:val="24"/>
        </w:rPr>
        <w:t xml:space="preserve"> a judgment</w:t>
      </w:r>
    </w:p>
    <w:p w14:paraId="0BEB26C6"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of conviction. Smith's point is denied.”</w:t>
      </w:r>
    </w:p>
    <w:p w14:paraId="43286F58" w14:textId="77777777" w:rsidR="00EC1348" w:rsidRPr="00EC1348" w:rsidRDefault="00EC1348" w:rsidP="00EC1348">
      <w:pPr>
        <w:pStyle w:val="NoSpacing"/>
        <w:ind w:left="720"/>
        <w:rPr>
          <w:rFonts w:ascii="Times New Roman" w:hAnsi="Times New Roman"/>
          <w:sz w:val="24"/>
          <w:szCs w:val="24"/>
        </w:rPr>
      </w:pPr>
    </w:p>
    <w:p w14:paraId="01445C83" w14:textId="77777777" w:rsidR="00EC1348" w:rsidRPr="00EC1348" w:rsidRDefault="00EC1348" w:rsidP="00EC1348">
      <w:pPr>
        <w:pStyle w:val="NoSpacing"/>
        <w:rPr>
          <w:rFonts w:ascii="Times New Roman" w:hAnsi="Times New Roman"/>
          <w:b/>
          <w:bCs/>
          <w:sz w:val="24"/>
          <w:szCs w:val="24"/>
        </w:rPr>
      </w:pPr>
      <w:r w:rsidRPr="00EC1348">
        <w:rPr>
          <w:rFonts w:ascii="Times New Roman" w:hAnsi="Times New Roman"/>
          <w:b/>
          <w:bCs/>
          <w:sz w:val="24"/>
          <w:szCs w:val="24"/>
        </w:rPr>
        <w:t xml:space="preserve">Legal Lesson Learned: The Good Samaritan Law only protects individuals receiving medical care, not those stupidly asking PD for a ride while in possession of drugs. </w:t>
      </w:r>
    </w:p>
    <w:p w14:paraId="369DC364" w14:textId="77777777" w:rsidR="00EC1348" w:rsidRPr="00EC1348" w:rsidRDefault="00EC1348" w:rsidP="00EC1348">
      <w:pPr>
        <w:pStyle w:val="NoSpacing"/>
        <w:rPr>
          <w:rFonts w:ascii="Times New Roman" w:hAnsi="Times New Roman"/>
          <w:sz w:val="24"/>
          <w:szCs w:val="24"/>
        </w:rPr>
      </w:pPr>
    </w:p>
    <w:p w14:paraId="5D5D96D7"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Note: See “Missouri’s Good Samaritan Law and Drug Charges” </w:t>
      </w:r>
      <w:hyperlink r:id="rId2001" w:history="1">
        <w:r w:rsidRPr="00EC1348">
          <w:rPr>
            <w:rStyle w:val="Hyperlink"/>
            <w:rFonts w:ascii="Times New Roman" w:hAnsi="Times New Roman"/>
            <w:sz w:val="24"/>
            <w:szCs w:val="24"/>
          </w:rPr>
          <w:t>https://stlouiscriminaldefense.com/missouri-good-samaritan-law/</w:t>
        </w:r>
      </w:hyperlink>
      <w:r w:rsidRPr="00EC1348">
        <w:rPr>
          <w:rFonts w:ascii="Times New Roman" w:hAnsi="Times New Roman"/>
          <w:sz w:val="24"/>
          <w:szCs w:val="24"/>
        </w:rPr>
        <w:t xml:space="preserve"> </w:t>
      </w:r>
    </w:p>
    <w:p w14:paraId="6A708E4B"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“In 2017, the Missouri Legislature passed </w:t>
      </w:r>
      <w:hyperlink r:id="rId2002" w:tgtFrame="_blank" w:history="1">
        <w:proofErr w:type="spellStart"/>
        <w:r w:rsidRPr="00EC1348">
          <w:rPr>
            <w:rStyle w:val="Hyperlink"/>
            <w:rFonts w:ascii="Times New Roman" w:hAnsi="Times New Roman"/>
            <w:sz w:val="24"/>
            <w:szCs w:val="24"/>
          </w:rPr>
          <w:t>RSMo</w:t>
        </w:r>
        <w:proofErr w:type="spellEnd"/>
        <w:r w:rsidRPr="00EC1348">
          <w:rPr>
            <w:rStyle w:val="Hyperlink"/>
            <w:rFonts w:ascii="Times New Roman" w:hAnsi="Times New Roman"/>
            <w:sz w:val="24"/>
            <w:szCs w:val="24"/>
          </w:rPr>
          <w:t xml:space="preserve"> Section 195.205</w:t>
        </w:r>
      </w:hyperlink>
      <w:r w:rsidRPr="00EC1348">
        <w:rPr>
          <w:rFonts w:ascii="Times New Roman" w:hAnsi="Times New Roman"/>
          <w:sz w:val="24"/>
          <w:szCs w:val="24"/>
        </w:rPr>
        <w:t xml:space="preserve">,  the ” Missouri’s Good Samaritan Law” to provide immunity to those seeking assistance with a drug overdose or medical emergency. The rationale behind the law is that drug users might avoid seeking help for a drug overdose because they feared prosecution. The law has </w:t>
      </w:r>
      <w:proofErr w:type="spellStart"/>
      <w:r w:rsidRPr="00EC1348">
        <w:rPr>
          <w:rFonts w:ascii="Times New Roman" w:hAnsi="Times New Roman"/>
          <w:sz w:val="24"/>
          <w:szCs w:val="24"/>
        </w:rPr>
        <w:t>undoubetedly</w:t>
      </w:r>
      <w:proofErr w:type="spellEnd"/>
      <w:r w:rsidRPr="00EC1348">
        <w:rPr>
          <w:rFonts w:ascii="Times New Roman" w:hAnsi="Times New Roman"/>
          <w:sz w:val="24"/>
          <w:szCs w:val="24"/>
        </w:rPr>
        <w:t xml:space="preserve"> saved </w:t>
      </w:r>
      <w:proofErr w:type="gramStart"/>
      <w:r w:rsidRPr="00EC1348">
        <w:rPr>
          <w:rFonts w:ascii="Times New Roman" w:hAnsi="Times New Roman"/>
          <w:sz w:val="24"/>
          <w:szCs w:val="24"/>
        </w:rPr>
        <w:t>a number of</w:t>
      </w:r>
      <w:proofErr w:type="gramEnd"/>
      <w:r w:rsidRPr="00EC1348">
        <w:rPr>
          <w:rFonts w:ascii="Times New Roman" w:hAnsi="Times New Roman"/>
          <w:sz w:val="24"/>
          <w:szCs w:val="24"/>
        </w:rPr>
        <w:t xml:space="preserve"> lives and provides a complete defense to a possession charge. Our </w:t>
      </w:r>
      <w:hyperlink r:id="rId2003" w:history="1">
        <w:r w:rsidRPr="00EC1348">
          <w:rPr>
            <w:rStyle w:val="Hyperlink"/>
            <w:rFonts w:ascii="Times New Roman" w:hAnsi="Times New Roman"/>
            <w:sz w:val="24"/>
            <w:szCs w:val="24"/>
          </w:rPr>
          <w:t>St. Louis Criminal Defense lawyer</w:t>
        </w:r>
      </w:hyperlink>
      <w:r w:rsidRPr="00EC1348">
        <w:rPr>
          <w:rFonts w:ascii="Times New Roman" w:hAnsi="Times New Roman"/>
          <w:sz w:val="24"/>
          <w:szCs w:val="24"/>
        </w:rPr>
        <w:t xml:space="preserve"> has used the good </w:t>
      </w:r>
      <w:proofErr w:type="spellStart"/>
      <w:r w:rsidRPr="00EC1348">
        <w:rPr>
          <w:rFonts w:ascii="Times New Roman" w:hAnsi="Times New Roman"/>
          <w:sz w:val="24"/>
          <w:szCs w:val="24"/>
        </w:rPr>
        <w:t>samaritan</w:t>
      </w:r>
      <w:proofErr w:type="spellEnd"/>
      <w:r w:rsidRPr="00EC1348">
        <w:rPr>
          <w:rFonts w:ascii="Times New Roman" w:hAnsi="Times New Roman"/>
          <w:sz w:val="24"/>
          <w:szCs w:val="24"/>
        </w:rPr>
        <w:t xml:space="preserve"> law to obtain complete dismissals on </w:t>
      </w:r>
      <w:proofErr w:type="gramStart"/>
      <w:r w:rsidRPr="00EC1348">
        <w:rPr>
          <w:rFonts w:ascii="Times New Roman" w:hAnsi="Times New Roman"/>
          <w:sz w:val="24"/>
          <w:szCs w:val="24"/>
        </w:rPr>
        <w:t>a number of</w:t>
      </w:r>
      <w:proofErr w:type="gramEnd"/>
      <w:r w:rsidRPr="00EC1348">
        <w:rPr>
          <w:rFonts w:ascii="Times New Roman" w:hAnsi="Times New Roman"/>
          <w:sz w:val="24"/>
          <w:szCs w:val="24"/>
        </w:rPr>
        <w:t xml:space="preserve"> </w:t>
      </w:r>
      <w:hyperlink r:id="rId2004" w:anchor=":~:text=The%20offense%20of%20possession%20of%20any%20controlled%20substance%20except%20thirty,4." w:tgtFrame="_blank" w:history="1">
        <w:r w:rsidRPr="00EC1348">
          <w:rPr>
            <w:rStyle w:val="Hyperlink"/>
            <w:rFonts w:ascii="Times New Roman" w:hAnsi="Times New Roman"/>
            <w:sz w:val="24"/>
            <w:szCs w:val="24"/>
          </w:rPr>
          <w:t>drug possession cases</w:t>
        </w:r>
      </w:hyperlink>
      <w:r w:rsidRPr="00EC1348">
        <w:rPr>
          <w:rFonts w:ascii="Times New Roman" w:hAnsi="Times New Roman"/>
          <w:sz w:val="24"/>
          <w:szCs w:val="24"/>
        </w:rPr>
        <w:t xml:space="preserve">. If you or a loved one </w:t>
      </w:r>
      <w:proofErr w:type="gramStart"/>
      <w:r w:rsidRPr="00EC1348">
        <w:rPr>
          <w:rFonts w:ascii="Times New Roman" w:hAnsi="Times New Roman"/>
          <w:sz w:val="24"/>
          <w:szCs w:val="24"/>
        </w:rPr>
        <w:t>have</w:t>
      </w:r>
      <w:proofErr w:type="gramEnd"/>
      <w:r w:rsidRPr="00EC1348">
        <w:rPr>
          <w:rFonts w:ascii="Times New Roman" w:hAnsi="Times New Roman"/>
          <w:sz w:val="24"/>
          <w:szCs w:val="24"/>
        </w:rPr>
        <w:t xml:space="preserve"> questions about </w:t>
      </w:r>
      <w:proofErr w:type="gramStart"/>
      <w:r w:rsidRPr="00EC1348">
        <w:rPr>
          <w:rFonts w:ascii="Times New Roman" w:hAnsi="Times New Roman"/>
          <w:sz w:val="24"/>
          <w:szCs w:val="24"/>
        </w:rPr>
        <w:t>whether or not</w:t>
      </w:r>
      <w:proofErr w:type="gramEnd"/>
      <w:r w:rsidRPr="00EC1348">
        <w:rPr>
          <w:rFonts w:ascii="Times New Roman" w:hAnsi="Times New Roman"/>
          <w:sz w:val="24"/>
          <w:szCs w:val="24"/>
        </w:rPr>
        <w:t xml:space="preserve"> the Good Samaritan Law applies to your case, please do not hesitate to contact our St. Louis criminal defense attorney today for a free case evaluation.</w:t>
      </w:r>
    </w:p>
    <w:p w14:paraId="7B0FCB6E" w14:textId="77777777" w:rsidR="00EC1348" w:rsidRPr="00EC1348" w:rsidRDefault="00EC1348" w:rsidP="00EC1348">
      <w:pPr>
        <w:ind w:firstLine="720"/>
        <w:rPr>
          <w:rFonts w:ascii="Times New Roman" w:hAnsi="Times New Roman"/>
          <w:sz w:val="24"/>
          <w:szCs w:val="24"/>
        </w:rPr>
      </w:pPr>
      <w:r w:rsidRPr="00EC1348">
        <w:rPr>
          <w:rFonts w:ascii="Times New Roman" w:hAnsi="Times New Roman"/>
          <w:sz w:val="24"/>
          <w:szCs w:val="24"/>
        </w:rPr>
        <w:t>When does the Good Samaritan Law apply?</w:t>
      </w:r>
    </w:p>
    <w:p w14:paraId="27FC224A"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The good </w:t>
      </w:r>
      <w:proofErr w:type="spellStart"/>
      <w:r w:rsidRPr="00EC1348">
        <w:rPr>
          <w:rFonts w:ascii="Times New Roman" w:hAnsi="Times New Roman"/>
          <w:sz w:val="24"/>
          <w:szCs w:val="24"/>
        </w:rPr>
        <w:t>samaritan</w:t>
      </w:r>
      <w:proofErr w:type="spellEnd"/>
      <w:r w:rsidRPr="00EC1348">
        <w:rPr>
          <w:rFonts w:ascii="Times New Roman" w:hAnsi="Times New Roman"/>
          <w:sz w:val="24"/>
          <w:szCs w:val="24"/>
        </w:rPr>
        <w:t xml:space="preserve"> law applies to a person who is seeking medical assistance for a drug overdose or other medical emergency.  It applies to both the person who seeks help and to the </w:t>
      </w:r>
      <w:proofErr w:type="gramStart"/>
      <w:r w:rsidRPr="00EC1348">
        <w:rPr>
          <w:rFonts w:ascii="Times New Roman" w:hAnsi="Times New Roman"/>
          <w:sz w:val="24"/>
          <w:szCs w:val="24"/>
        </w:rPr>
        <w:t>person</w:t>
      </w:r>
      <w:proofErr w:type="gramEnd"/>
      <w:r w:rsidRPr="00EC1348">
        <w:rPr>
          <w:rFonts w:ascii="Times New Roman" w:hAnsi="Times New Roman"/>
          <w:sz w:val="24"/>
          <w:szCs w:val="24"/>
        </w:rPr>
        <w:t xml:space="preserve"> is experiencing </w:t>
      </w:r>
      <w:proofErr w:type="gramStart"/>
      <w:r w:rsidRPr="00EC1348">
        <w:rPr>
          <w:rFonts w:ascii="Times New Roman" w:hAnsi="Times New Roman"/>
          <w:sz w:val="24"/>
          <w:szCs w:val="24"/>
        </w:rPr>
        <w:t>the</w:t>
      </w:r>
      <w:proofErr w:type="gramEnd"/>
      <w:r w:rsidRPr="00EC1348">
        <w:rPr>
          <w:rFonts w:ascii="Times New Roman" w:hAnsi="Times New Roman"/>
          <w:sz w:val="24"/>
          <w:szCs w:val="24"/>
        </w:rPr>
        <w:t xml:space="preserve"> medical emergency or drug overdose. Under the good </w:t>
      </w:r>
      <w:proofErr w:type="spellStart"/>
      <w:r w:rsidRPr="00EC1348">
        <w:rPr>
          <w:rFonts w:ascii="Times New Roman" w:hAnsi="Times New Roman"/>
          <w:sz w:val="24"/>
          <w:szCs w:val="24"/>
        </w:rPr>
        <w:t>samaritan</w:t>
      </w:r>
      <w:proofErr w:type="spellEnd"/>
      <w:r w:rsidRPr="00EC1348">
        <w:rPr>
          <w:rFonts w:ascii="Times New Roman" w:hAnsi="Times New Roman"/>
          <w:sz w:val="24"/>
          <w:szCs w:val="24"/>
        </w:rPr>
        <w:t xml:space="preserve"> law, a drug overdose is defined as “a condition including, but not limited to, extreme physical illness, decreased level of consciousness, respiratory depression, coma, mania, or death which is the result of consumption or use of a controlled substance or alcohol or a substance with which the controlled substance or alcohol was combined, or that a person would reasonably believe to be a drug or alcohol overdose that requires medical assistance”. “Medical Assistance” is defined as, “includes, but is not limited to, reporting a drug or alcohol overdose or other medical emergency to law enforcement, the 911 system, a poison control center, or a medical provider; assisting someone so reporting; or providing care to someone who is experiencing a drug or alcohol overdose or other medical emergency while awaiting the arrival of medical assistance.” It is important to note, that medical assistance must be sought in “good faith”. In other words, you can’t just say you’re having a drug overdose after the police find drugs in your car to get out of being arrested.</w:t>
      </w:r>
    </w:p>
    <w:p w14:paraId="0EBC36F2" w14:textId="77777777" w:rsidR="00EC1348" w:rsidRPr="00EC1348" w:rsidRDefault="00EC1348" w:rsidP="00EC1348">
      <w:pPr>
        <w:ind w:left="720"/>
        <w:rPr>
          <w:rFonts w:ascii="Times New Roman" w:hAnsi="Times New Roman"/>
          <w:sz w:val="24"/>
          <w:szCs w:val="24"/>
        </w:rPr>
      </w:pPr>
      <w:r w:rsidRPr="00EC1348">
        <w:rPr>
          <w:rFonts w:ascii="Times New Roman" w:hAnsi="Times New Roman"/>
          <w:i/>
          <w:iCs/>
          <w:sz w:val="24"/>
          <w:szCs w:val="24"/>
        </w:rPr>
        <w:t>Example: </w:t>
      </w:r>
      <w:r w:rsidRPr="00EC1348">
        <w:rPr>
          <w:rFonts w:ascii="Times New Roman" w:hAnsi="Times New Roman"/>
          <w:sz w:val="24"/>
          <w:szCs w:val="24"/>
        </w:rPr>
        <w:t>John and John are using drugs at John’s house and Jane overdoses. John calls 911 to seek help for Jane. The police come and find drugs in the house. Under Missouri’s Good Samaritan Law, John cannot be prosecuted because he was seeking medical assistance in good faith for Jane.</w:t>
      </w:r>
    </w:p>
    <w:p w14:paraId="65948F05" w14:textId="77777777" w:rsidR="00EC1348" w:rsidRPr="00EC1348" w:rsidRDefault="00EC1348" w:rsidP="00EC1348">
      <w:pPr>
        <w:ind w:firstLine="720"/>
        <w:rPr>
          <w:rFonts w:ascii="Times New Roman" w:hAnsi="Times New Roman"/>
          <w:sz w:val="24"/>
          <w:szCs w:val="24"/>
        </w:rPr>
      </w:pPr>
      <w:r w:rsidRPr="00EC1348">
        <w:rPr>
          <w:rFonts w:ascii="Times New Roman" w:hAnsi="Times New Roman"/>
          <w:sz w:val="24"/>
          <w:szCs w:val="24"/>
        </w:rPr>
        <w:t>What charges does the Good Samaritan Law protect against?</w:t>
      </w:r>
    </w:p>
    <w:p w14:paraId="0F3F99FF"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The good Samaritan Law protects against prosecution from the following Missouri criminal charges:</w:t>
      </w:r>
    </w:p>
    <w:p w14:paraId="160383B0"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lastRenderedPageBreak/>
        <w:t>Possession of a Controlled Substance</w:t>
      </w:r>
    </w:p>
    <w:p w14:paraId="1FDFA552"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Possession of Drug Paraphernalia</w:t>
      </w:r>
    </w:p>
    <w:p w14:paraId="61D5FEF9"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Possession of an Imitation Controlled Substance</w:t>
      </w:r>
    </w:p>
    <w:p w14:paraId="69A37B88"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 xml:space="preserve">Keeping or maintaining </w:t>
      </w:r>
      <w:proofErr w:type="gramStart"/>
      <w:r w:rsidRPr="00EC1348">
        <w:rPr>
          <w:rFonts w:ascii="Times New Roman" w:hAnsi="Times New Roman"/>
          <w:sz w:val="24"/>
          <w:szCs w:val="24"/>
        </w:rPr>
        <w:t>a Public</w:t>
      </w:r>
      <w:proofErr w:type="gramEnd"/>
      <w:r w:rsidRPr="00EC1348">
        <w:rPr>
          <w:rFonts w:ascii="Times New Roman" w:hAnsi="Times New Roman"/>
          <w:sz w:val="24"/>
          <w:szCs w:val="24"/>
        </w:rPr>
        <w:t xml:space="preserve"> Nuisance</w:t>
      </w:r>
    </w:p>
    <w:p w14:paraId="3FC711E2"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Sale of Alcohol to Minor</w:t>
      </w:r>
    </w:p>
    <w:p w14:paraId="5305E025"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Minor in Possession of Alcohol</w:t>
      </w:r>
    </w:p>
    <w:p w14:paraId="2374CB80"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Misrepresentation of  Age by a Minor to obtain alcohol</w:t>
      </w:r>
    </w:p>
    <w:p w14:paraId="52AFC218"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Violation of a restraining order</w:t>
      </w:r>
    </w:p>
    <w:p w14:paraId="3BB5EF55"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Violating probation or parole</w:t>
      </w:r>
    </w:p>
    <w:p w14:paraId="4DAB56D6"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However, the law does not protect against other charges, such as </w:t>
      </w:r>
      <w:hyperlink r:id="rId2005" w:tgtFrame="_blank" w:history="1">
        <w:r w:rsidRPr="00EC1348">
          <w:rPr>
            <w:rStyle w:val="Hyperlink"/>
            <w:rFonts w:ascii="Times New Roman" w:hAnsi="Times New Roman"/>
            <w:sz w:val="24"/>
            <w:szCs w:val="24"/>
          </w:rPr>
          <w:t>distribution of a controlled substance</w:t>
        </w:r>
      </w:hyperlink>
      <w:r w:rsidRPr="00EC1348">
        <w:rPr>
          <w:rFonts w:ascii="Times New Roman" w:hAnsi="Times New Roman"/>
          <w:sz w:val="24"/>
          <w:szCs w:val="24"/>
        </w:rPr>
        <w:t xml:space="preserve"> or </w:t>
      </w:r>
      <w:hyperlink r:id="rId2006" w:history="1">
        <w:r w:rsidRPr="00EC1348">
          <w:rPr>
            <w:rStyle w:val="Hyperlink"/>
            <w:rFonts w:ascii="Times New Roman" w:hAnsi="Times New Roman"/>
            <w:sz w:val="24"/>
            <w:szCs w:val="24"/>
          </w:rPr>
          <w:t>manslaughter</w:t>
        </w:r>
      </w:hyperlink>
      <w:r w:rsidRPr="00EC1348">
        <w:rPr>
          <w:rFonts w:ascii="Times New Roman" w:hAnsi="Times New Roman"/>
          <w:sz w:val="24"/>
          <w:szCs w:val="24"/>
        </w:rPr>
        <w:t>. If for instance, you provide drugs to someone who overdoses and dies you could still be charged with those offenses. Moreover, the statute only applies to state charges and is not a defense to federal drug charges.”</w:t>
      </w:r>
    </w:p>
    <w:p w14:paraId="382A6958" w14:textId="77777777" w:rsidR="00AC1F80" w:rsidRDefault="00AC1F80" w:rsidP="002B1283">
      <w:pPr>
        <w:rPr>
          <w:rFonts w:ascii="Arial Black" w:hAnsi="Arial Black"/>
          <w:b/>
          <w:bCs/>
          <w:sz w:val="28"/>
          <w:szCs w:val="28"/>
        </w:rPr>
      </w:pPr>
    </w:p>
    <w:p w14:paraId="0DE5D993" w14:textId="77777777" w:rsidR="00AC1F80" w:rsidRDefault="00AC1F80" w:rsidP="002B1283">
      <w:pPr>
        <w:rPr>
          <w:rFonts w:ascii="Arial Black" w:hAnsi="Arial Black"/>
          <w:b/>
          <w:bCs/>
          <w:sz w:val="28"/>
          <w:szCs w:val="28"/>
        </w:rPr>
      </w:pPr>
    </w:p>
    <w:p w14:paraId="2BC14452" w14:textId="4E181B8D" w:rsidR="00824D3D" w:rsidRDefault="00824D3D" w:rsidP="002B1283">
      <w:pPr>
        <w:rPr>
          <w:rFonts w:ascii="Arial Black" w:hAnsi="Arial Black"/>
          <w:b/>
          <w:bCs/>
          <w:sz w:val="28"/>
          <w:szCs w:val="28"/>
        </w:rPr>
      </w:pPr>
      <w:r>
        <w:rPr>
          <w:rFonts w:ascii="Arial Black" w:hAnsi="Arial Black"/>
          <w:b/>
          <w:bCs/>
          <w:sz w:val="28"/>
          <w:szCs w:val="28"/>
        </w:rPr>
        <w:t>13-190</w:t>
      </w:r>
    </w:p>
    <w:p w14:paraId="40373838" w14:textId="2B26DF98" w:rsidR="00AC1F80" w:rsidRDefault="00AC1F80" w:rsidP="00AC1F80">
      <w:pPr>
        <w:pStyle w:val="NoSpacing"/>
        <w:rPr>
          <w:szCs w:val="24"/>
        </w:rPr>
      </w:pPr>
      <w:r>
        <w:rPr>
          <w:rFonts w:ascii="Arial Black" w:hAnsi="Arial Black"/>
          <w:sz w:val="28"/>
        </w:rPr>
        <w:t xml:space="preserve">CA: PT CLAIMED SEX. ASSAULT BY MEDIC – FD DAILY ROSTER ID HIM - CLAIM FD DEFAMED HIM FILED </w:t>
      </w:r>
      <w:r w:rsidR="00EA2F62">
        <w:rPr>
          <w:rFonts w:ascii="Arial Black" w:hAnsi="Arial Black"/>
          <w:sz w:val="28"/>
        </w:rPr>
        <w:t xml:space="preserve">TOO </w:t>
      </w:r>
      <w:r>
        <w:rPr>
          <w:rFonts w:ascii="Arial Black" w:hAnsi="Arial Black"/>
          <w:sz w:val="28"/>
        </w:rPr>
        <w:t>LATE</w:t>
      </w:r>
    </w:p>
    <w:p w14:paraId="217499C8" w14:textId="77777777" w:rsidR="00AC1F80" w:rsidRDefault="00AC1F80" w:rsidP="00AC1F80">
      <w:pPr>
        <w:pStyle w:val="NoSpacing"/>
        <w:rPr>
          <w:szCs w:val="24"/>
        </w:rPr>
      </w:pPr>
    </w:p>
    <w:p w14:paraId="113C548B" w14:textId="77777777" w:rsidR="00AC1F80" w:rsidRPr="00AC1F80" w:rsidRDefault="00AC1F80" w:rsidP="00AC1F80">
      <w:pPr>
        <w:pStyle w:val="NoSpacing"/>
        <w:rPr>
          <w:rFonts w:ascii="Times New Roman" w:hAnsi="Times New Roman"/>
          <w:sz w:val="24"/>
          <w:szCs w:val="24"/>
        </w:rPr>
      </w:pPr>
      <w:r w:rsidRPr="00AC1F80">
        <w:rPr>
          <w:rFonts w:ascii="Times New Roman" w:hAnsi="Times New Roman"/>
          <w:sz w:val="24"/>
          <w:szCs w:val="24"/>
        </w:rPr>
        <w:t xml:space="preserve">On August 16, 2024, in </w:t>
      </w:r>
      <w:r w:rsidRPr="00AC1F80">
        <w:rPr>
          <w:rFonts w:ascii="Times New Roman" w:hAnsi="Times New Roman"/>
          <w:sz w:val="24"/>
          <w:szCs w:val="24"/>
          <w:u w:val="single"/>
        </w:rPr>
        <w:t>Louis Cerda v. City of Los Angeles</w:t>
      </w:r>
      <w:r w:rsidRPr="00AC1F80">
        <w:rPr>
          <w:rFonts w:ascii="Times New Roman" w:hAnsi="Times New Roman"/>
          <w:sz w:val="24"/>
          <w:szCs w:val="24"/>
        </w:rPr>
        <w:t xml:space="preserve">, the California Court of Appeals, Second District, Third Division, held (3 to 0; unpublished opinion) that the trial court properly dismissed his lawsuit against the City, claiming FD defamed him by sending out internal notices of his suspension on the FD daily staffing roster, since a claim for defamation must be presented within six months of accrual (he was late by one month).  The Court wrote: “The City asserts that the defamation cause of action accrued on October 19, 2017, the last date the alleged defamatory statement was published in the roster according to Cerda’s opposition to judgment on the pleadings. Given the </w:t>
      </w:r>
      <w:proofErr w:type="gramStart"/>
      <w:r w:rsidRPr="00AC1F80">
        <w:rPr>
          <w:rFonts w:ascii="Times New Roman" w:hAnsi="Times New Roman"/>
          <w:sz w:val="24"/>
          <w:szCs w:val="24"/>
        </w:rPr>
        <w:t>six month</w:t>
      </w:r>
      <w:proofErr w:type="gramEnd"/>
      <w:r w:rsidRPr="00AC1F80">
        <w:rPr>
          <w:rFonts w:ascii="Times New Roman" w:hAnsi="Times New Roman"/>
          <w:sz w:val="24"/>
          <w:szCs w:val="24"/>
        </w:rPr>
        <w:t xml:space="preserve"> presentation deadline, Cerda’s government claim was due April 19, 2018. However, Cerda did not file his government claim until May 14, 2018. We agree with the </w:t>
      </w:r>
      <w:proofErr w:type="gramStart"/>
      <w:r w:rsidRPr="00AC1F80">
        <w:rPr>
          <w:rFonts w:ascii="Times New Roman" w:hAnsi="Times New Roman"/>
          <w:sz w:val="24"/>
          <w:szCs w:val="24"/>
        </w:rPr>
        <w:t>City</w:t>
      </w:r>
      <w:proofErr w:type="gramEnd"/>
      <w:r w:rsidRPr="00AC1F80">
        <w:rPr>
          <w:rFonts w:ascii="Times New Roman" w:hAnsi="Times New Roman"/>
          <w:sz w:val="24"/>
          <w:szCs w:val="24"/>
        </w:rPr>
        <w:t xml:space="preserve"> that the government claim for the defamation cause of action was untimely.”  </w:t>
      </w:r>
      <w:hyperlink r:id="rId2007" w:history="1">
        <w:r w:rsidRPr="00AC1F80">
          <w:rPr>
            <w:rStyle w:val="Hyperlink"/>
            <w:rFonts w:ascii="Times New Roman" w:hAnsi="Times New Roman"/>
            <w:sz w:val="24"/>
            <w:szCs w:val="24"/>
          </w:rPr>
          <w:t>https://www.courts.ca.gov/opinions/nonpub/B322004.PDF</w:t>
        </w:r>
      </w:hyperlink>
      <w:r w:rsidRPr="00AC1F80">
        <w:rPr>
          <w:rFonts w:ascii="Times New Roman" w:hAnsi="Times New Roman"/>
          <w:sz w:val="24"/>
          <w:szCs w:val="24"/>
        </w:rPr>
        <w:t xml:space="preserve"> </w:t>
      </w:r>
    </w:p>
    <w:p w14:paraId="52840587" w14:textId="77777777" w:rsidR="00AC1F80" w:rsidRPr="00AC1F80" w:rsidRDefault="00AC1F80" w:rsidP="00AC1F80">
      <w:pPr>
        <w:pStyle w:val="NoSpacing"/>
        <w:rPr>
          <w:rFonts w:ascii="Times New Roman" w:hAnsi="Times New Roman"/>
          <w:sz w:val="24"/>
          <w:szCs w:val="24"/>
        </w:rPr>
      </w:pPr>
    </w:p>
    <w:p w14:paraId="2DD4EC41" w14:textId="77777777" w:rsidR="00AC1F80" w:rsidRPr="00AC1F80" w:rsidRDefault="00AC1F80" w:rsidP="00AC1F80">
      <w:pPr>
        <w:pStyle w:val="NoSpacing"/>
        <w:rPr>
          <w:rFonts w:ascii="Times New Roman" w:hAnsi="Times New Roman"/>
          <w:sz w:val="24"/>
          <w:szCs w:val="24"/>
        </w:rPr>
      </w:pPr>
      <w:r w:rsidRPr="00AC1F80">
        <w:rPr>
          <w:rFonts w:ascii="Times New Roman" w:hAnsi="Times New Roman"/>
          <w:sz w:val="24"/>
          <w:szCs w:val="24"/>
        </w:rPr>
        <w:t>THE COURT HELD:</w:t>
      </w:r>
    </w:p>
    <w:p w14:paraId="5C7835C7" w14:textId="77777777" w:rsidR="00AC1F80" w:rsidRPr="00AC1F80" w:rsidRDefault="00AC1F80" w:rsidP="00AC1F80">
      <w:pPr>
        <w:pStyle w:val="NoSpacing"/>
        <w:rPr>
          <w:rFonts w:ascii="Times New Roman" w:hAnsi="Times New Roman"/>
          <w:sz w:val="24"/>
          <w:szCs w:val="24"/>
        </w:rPr>
      </w:pPr>
    </w:p>
    <w:p w14:paraId="0AB40E07" w14:textId="77777777" w:rsidR="00AC1F80" w:rsidRPr="00AC1F80" w:rsidRDefault="00AC1F80" w:rsidP="00AC1F80">
      <w:pPr>
        <w:pStyle w:val="NoSpacing"/>
        <w:ind w:left="720"/>
        <w:rPr>
          <w:rFonts w:ascii="Times New Roman" w:hAnsi="Times New Roman"/>
          <w:sz w:val="24"/>
          <w:szCs w:val="24"/>
        </w:rPr>
      </w:pPr>
      <w:r w:rsidRPr="00AC1F80">
        <w:rPr>
          <w:rFonts w:ascii="Times New Roman" w:hAnsi="Times New Roman"/>
          <w:sz w:val="24"/>
          <w:szCs w:val="24"/>
        </w:rPr>
        <w:t>“Moreover, as we explain below, Cerda’s failure to file a timely government claim regarding his defamation claim was fatal to his case.</w:t>
      </w:r>
    </w:p>
    <w:p w14:paraId="388AEA40" w14:textId="77777777" w:rsidR="00AC1F80" w:rsidRPr="00AC1F80" w:rsidRDefault="00AC1F80" w:rsidP="00AC1F80">
      <w:pPr>
        <w:pStyle w:val="NoSpacing"/>
        <w:ind w:left="720"/>
        <w:rPr>
          <w:rFonts w:ascii="Times New Roman" w:hAnsi="Times New Roman"/>
          <w:sz w:val="24"/>
          <w:szCs w:val="24"/>
        </w:rPr>
      </w:pPr>
    </w:p>
    <w:p w14:paraId="44496C92" w14:textId="77777777" w:rsidR="00AC1F80" w:rsidRPr="00AC1F80" w:rsidRDefault="00AC1F80" w:rsidP="00AC1F80">
      <w:pPr>
        <w:pStyle w:val="NoSpacing"/>
        <w:ind w:left="720"/>
        <w:rPr>
          <w:rFonts w:ascii="Times New Roman" w:hAnsi="Times New Roman"/>
          <w:sz w:val="24"/>
          <w:szCs w:val="24"/>
        </w:rPr>
      </w:pPr>
      <w:r w:rsidRPr="00AC1F80">
        <w:rPr>
          <w:rFonts w:ascii="Times New Roman" w:hAnsi="Times New Roman"/>
          <w:sz w:val="24"/>
          <w:szCs w:val="24"/>
        </w:rPr>
        <w:t>***</w:t>
      </w:r>
    </w:p>
    <w:p w14:paraId="4FD6F647" w14:textId="77777777" w:rsidR="00AC1F80" w:rsidRPr="00AC1F80" w:rsidRDefault="00AC1F80" w:rsidP="00AC1F80">
      <w:pPr>
        <w:pStyle w:val="NoSpacing"/>
        <w:rPr>
          <w:rFonts w:ascii="Times New Roman" w:hAnsi="Times New Roman"/>
          <w:sz w:val="24"/>
          <w:szCs w:val="24"/>
        </w:rPr>
      </w:pPr>
    </w:p>
    <w:p w14:paraId="04B2E873" w14:textId="77777777" w:rsidR="00AC1F80" w:rsidRPr="00AC1F80" w:rsidRDefault="00AC1F80" w:rsidP="00AC1F80">
      <w:pPr>
        <w:pStyle w:val="NoSpacing"/>
        <w:ind w:left="720"/>
        <w:rPr>
          <w:rFonts w:ascii="Times New Roman" w:hAnsi="Times New Roman"/>
          <w:sz w:val="24"/>
          <w:szCs w:val="24"/>
        </w:rPr>
      </w:pPr>
      <w:r w:rsidRPr="00AC1F80">
        <w:rPr>
          <w:rFonts w:ascii="Times New Roman" w:hAnsi="Times New Roman"/>
          <w:sz w:val="24"/>
          <w:szCs w:val="24"/>
        </w:rPr>
        <w:t xml:space="preserve">We agree with the </w:t>
      </w:r>
      <w:proofErr w:type="gramStart"/>
      <w:r w:rsidRPr="00AC1F80">
        <w:rPr>
          <w:rFonts w:ascii="Times New Roman" w:hAnsi="Times New Roman"/>
          <w:sz w:val="24"/>
          <w:szCs w:val="24"/>
        </w:rPr>
        <w:t>City</w:t>
      </w:r>
      <w:proofErr w:type="gramEnd"/>
      <w:r w:rsidRPr="00AC1F80">
        <w:rPr>
          <w:rFonts w:ascii="Times New Roman" w:hAnsi="Times New Roman"/>
          <w:sz w:val="24"/>
          <w:szCs w:val="24"/>
        </w:rPr>
        <w:t xml:space="preserve"> that the government claim for the defamation cause of action was untimely. We also note that in denying his government claim on June 28, 2018, the City specifically warned Cerda that </w:t>
      </w:r>
      <w:r w:rsidRPr="00AC1F80">
        <w:rPr>
          <w:rFonts w:ascii="Times New Roman" w:hAnsi="Times New Roman"/>
          <w:sz w:val="24"/>
          <w:szCs w:val="24"/>
        </w:rPr>
        <w:lastRenderedPageBreak/>
        <w:t>some of his claims were late and that his ‘recourse at this time in regard to the untimely claim(s) is to apply without delay to the Los Angeles City Clerk for leave to present a late claim.’ *** Cerda never applied to present a late claim.”</w:t>
      </w:r>
    </w:p>
    <w:p w14:paraId="5E8C3168" w14:textId="77777777" w:rsidR="00AC1F80" w:rsidRPr="00AC1F80" w:rsidRDefault="00AC1F80" w:rsidP="00AC1F80">
      <w:pPr>
        <w:pStyle w:val="NoSpacing"/>
        <w:ind w:left="720"/>
        <w:rPr>
          <w:rFonts w:ascii="Times New Roman" w:hAnsi="Times New Roman"/>
          <w:sz w:val="24"/>
          <w:szCs w:val="24"/>
        </w:rPr>
      </w:pPr>
    </w:p>
    <w:p w14:paraId="504780F5" w14:textId="77777777" w:rsidR="00AC1F80" w:rsidRPr="00AC1F80" w:rsidRDefault="00AC1F80" w:rsidP="00AC1F80">
      <w:pPr>
        <w:pStyle w:val="NoSpacing"/>
        <w:ind w:left="720"/>
        <w:rPr>
          <w:rFonts w:ascii="Times New Roman" w:hAnsi="Times New Roman"/>
          <w:sz w:val="24"/>
          <w:szCs w:val="24"/>
        </w:rPr>
      </w:pPr>
    </w:p>
    <w:p w14:paraId="622B0467" w14:textId="77777777" w:rsidR="00AC1F80" w:rsidRPr="00AC1F80" w:rsidRDefault="00AC1F80" w:rsidP="00AC1F80">
      <w:pPr>
        <w:pStyle w:val="NoSpacing"/>
        <w:rPr>
          <w:rFonts w:ascii="Times New Roman" w:hAnsi="Times New Roman"/>
          <w:b/>
          <w:bCs/>
          <w:sz w:val="24"/>
          <w:szCs w:val="24"/>
        </w:rPr>
      </w:pPr>
      <w:r w:rsidRPr="00AC1F80">
        <w:rPr>
          <w:rFonts w:ascii="Times New Roman" w:hAnsi="Times New Roman"/>
          <w:b/>
          <w:bCs/>
          <w:sz w:val="24"/>
          <w:szCs w:val="24"/>
        </w:rPr>
        <w:t xml:space="preserve">Legal Lesson Learned: The defamation claim was filed late.  When a suspended FD employee is reinstated after an investigation is completed, brief the employee about conclusions. </w:t>
      </w:r>
    </w:p>
    <w:p w14:paraId="505E206F" w14:textId="77777777" w:rsidR="00824D3D" w:rsidRDefault="00824D3D" w:rsidP="002B1283">
      <w:pPr>
        <w:rPr>
          <w:rFonts w:ascii="Arial Black" w:hAnsi="Arial Black"/>
          <w:b/>
          <w:bCs/>
          <w:sz w:val="28"/>
          <w:szCs w:val="28"/>
        </w:rPr>
      </w:pPr>
    </w:p>
    <w:p w14:paraId="73D2B403" w14:textId="77777777" w:rsidR="00824D3D" w:rsidRDefault="00824D3D" w:rsidP="002B1283">
      <w:pPr>
        <w:rPr>
          <w:rFonts w:ascii="Arial Black" w:hAnsi="Arial Black"/>
          <w:b/>
          <w:bCs/>
          <w:sz w:val="28"/>
          <w:szCs w:val="28"/>
        </w:rPr>
      </w:pPr>
    </w:p>
    <w:p w14:paraId="134C43BB" w14:textId="375A55DA" w:rsidR="0089006F" w:rsidRPr="0011264F" w:rsidRDefault="0089006F" w:rsidP="002B1283">
      <w:pPr>
        <w:rPr>
          <w:rFonts w:ascii="Times New Roman" w:hAnsi="Times New Roman"/>
          <w:sz w:val="24"/>
          <w:szCs w:val="24"/>
        </w:rPr>
      </w:pPr>
      <w:r>
        <w:rPr>
          <w:rFonts w:ascii="Arial Black" w:hAnsi="Arial Black"/>
          <w:b/>
          <w:bCs/>
          <w:sz w:val="28"/>
          <w:szCs w:val="28"/>
        </w:rPr>
        <w:t>13-189</w:t>
      </w:r>
      <w:r w:rsidR="005B3758">
        <w:rPr>
          <w:rFonts w:ascii="Arial Black" w:hAnsi="Arial Black"/>
          <w:b/>
          <w:bCs/>
          <w:sz w:val="28"/>
          <w:szCs w:val="28"/>
        </w:rPr>
        <w:t xml:space="preserve">  </w:t>
      </w:r>
      <w:r w:rsidR="005B3758" w:rsidRPr="0011264F">
        <w:rPr>
          <w:rFonts w:ascii="Times New Roman" w:hAnsi="Times New Roman"/>
          <w:sz w:val="24"/>
          <w:szCs w:val="24"/>
        </w:rPr>
        <w:t xml:space="preserve">[see </w:t>
      </w:r>
      <w:r w:rsidR="0011264F" w:rsidRPr="0011264F">
        <w:rPr>
          <w:rFonts w:ascii="Times New Roman" w:hAnsi="Times New Roman"/>
          <w:sz w:val="24"/>
          <w:szCs w:val="24"/>
        </w:rPr>
        <w:t>Jan. 2026 case]</w:t>
      </w:r>
    </w:p>
    <w:p w14:paraId="04B43DBF" w14:textId="231227B6" w:rsidR="0089006F" w:rsidRPr="00C3434D" w:rsidRDefault="0089006F" w:rsidP="0089006F">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FL: CAPTAIN FIRED - REFUSED ISSUE COVID REPRIMANDS – CASE REINSTATED - U.S. SUP. CT. “SOME INJURY” TEST</w:t>
      </w:r>
    </w:p>
    <w:p w14:paraId="11B170C7" w14:textId="77777777" w:rsidR="0089006F" w:rsidRPr="00610F47" w:rsidRDefault="0089006F" w:rsidP="0089006F">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July 23, 2024, in </w:t>
      </w:r>
      <w:r w:rsidRPr="004C6D8E">
        <w:rPr>
          <w:rFonts w:ascii="Times New Roman" w:hAnsi="Times New Roman"/>
          <w:sz w:val="24"/>
          <w:szCs w:val="24"/>
          <w:u w:val="single"/>
          <w:shd w:val="clear" w:color="auto" w:fill="FFFFFF"/>
        </w:rPr>
        <w:t>Stephen M. Davis v. Orange County</w:t>
      </w:r>
      <w:r>
        <w:rPr>
          <w:rFonts w:ascii="Times New Roman" w:hAnsi="Times New Roman"/>
          <w:sz w:val="24"/>
          <w:szCs w:val="24"/>
          <w:shd w:val="clear" w:color="auto" w:fill="FFFFFF"/>
        </w:rPr>
        <w:t>, the U.S. Court of Appeals for the 11</w:t>
      </w:r>
      <w:r w:rsidRPr="004C6D8E">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(Atlanta) held (3 to 0) that the fired Captain’s lawsuit will be remanded to U.S. District Court Judge in Florida, who had dismissed “retaliation” claims because the order to issue written reprimands did not amount  to </w:t>
      </w:r>
      <w:r w:rsidRPr="00667DF3">
        <w:rPr>
          <w:rFonts w:ascii="Times New Roman" w:hAnsi="Times New Roman"/>
          <w:sz w:val="24"/>
          <w:szCs w:val="24"/>
          <w:shd w:val="clear" w:color="auto" w:fill="FFFFFF"/>
        </w:rPr>
        <w:t xml:space="preserve">a </w:t>
      </w:r>
      <w:r>
        <w:rPr>
          <w:rFonts w:ascii="Times New Roman" w:hAnsi="Times New Roman"/>
          <w:sz w:val="24"/>
          <w:szCs w:val="24"/>
          <w:shd w:val="clear" w:color="auto" w:fill="FFFFFF"/>
        </w:rPr>
        <w:t>“</w:t>
      </w:r>
      <w:r w:rsidRPr="00667DF3">
        <w:rPr>
          <w:rFonts w:ascii="Times New Roman" w:hAnsi="Times New Roman"/>
          <w:sz w:val="24"/>
          <w:szCs w:val="24"/>
          <w:shd w:val="clear" w:color="auto" w:fill="FFFFFF"/>
        </w:rPr>
        <w:t>serious and material change in the employees’ terms, conditions, and</w:t>
      </w:r>
      <w:r>
        <w:rPr>
          <w:rFonts w:ascii="Times New Roman" w:hAnsi="Times New Roman"/>
          <w:sz w:val="24"/>
          <w:szCs w:val="24"/>
          <w:shd w:val="clear" w:color="auto" w:fill="FFFFFF"/>
        </w:rPr>
        <w:t xml:space="preserve"> </w:t>
      </w:r>
      <w:r w:rsidRPr="00667DF3">
        <w:rPr>
          <w:rFonts w:ascii="Times New Roman" w:hAnsi="Times New Roman"/>
          <w:sz w:val="24"/>
          <w:szCs w:val="24"/>
          <w:shd w:val="clear" w:color="auto" w:fill="FFFFFF"/>
        </w:rPr>
        <w:t>privileges of employment.</w:t>
      </w:r>
      <w:r>
        <w:rPr>
          <w:rFonts w:ascii="Times New Roman" w:hAnsi="Times New Roman"/>
          <w:sz w:val="24"/>
          <w:szCs w:val="24"/>
          <w:shd w:val="clear" w:color="auto" w:fill="FFFFFF"/>
        </w:rPr>
        <w:t xml:space="preserve">”  However, on April 17, 2024, the U.S. Supreme Court issued the “landmark” decision in </w:t>
      </w:r>
      <w:r w:rsidRPr="0069068E">
        <w:rPr>
          <w:rFonts w:ascii="Times New Roman" w:hAnsi="Times New Roman"/>
          <w:sz w:val="24"/>
          <w:szCs w:val="24"/>
          <w:shd w:val="clear" w:color="auto" w:fill="FFFFFF"/>
        </w:rPr>
        <w:t>Muldrow v. City of St. Louis</w:t>
      </w:r>
      <w:r>
        <w:rPr>
          <w:rFonts w:ascii="Times New Roman" w:hAnsi="Times New Roman"/>
          <w:sz w:val="24"/>
          <w:szCs w:val="24"/>
          <w:shd w:val="clear" w:color="auto" w:fill="FFFFFF"/>
        </w:rPr>
        <w:t xml:space="preserve">, which held that a female Saint Louis police officer may sue for her job transfer from Intelligence Division back to patrol duties.  </w:t>
      </w:r>
      <w:hyperlink r:id="rId2008" w:history="1">
        <w:r w:rsidRPr="0013187C">
          <w:rPr>
            <w:rStyle w:val="Hyperlink"/>
            <w:rFonts w:ascii="Times New Roman" w:hAnsi="Times New Roman"/>
            <w:sz w:val="24"/>
            <w:szCs w:val="24"/>
            <w:shd w:val="clear" w:color="auto" w:fill="FFFFFF"/>
          </w:rPr>
          <w:t>https://www.supremecourt.gov/opinions/23pdf/22-193_q86b.pdf</w:t>
        </w:r>
      </w:hyperlink>
      <w:r>
        <w:rPr>
          <w:rFonts w:ascii="Times New Roman" w:hAnsi="Times New Roman"/>
          <w:sz w:val="24"/>
          <w:szCs w:val="24"/>
          <w:shd w:val="clear" w:color="auto" w:fill="FFFFFF"/>
        </w:rPr>
        <w:t xml:space="preserve"> </w:t>
      </w:r>
    </w:p>
    <w:p w14:paraId="5F403218" w14:textId="77777777" w:rsidR="0089006F" w:rsidRDefault="0089006F" w:rsidP="0089006F">
      <w:pPr>
        <w:pStyle w:val="NoSpacing"/>
        <w:rPr>
          <w:rFonts w:ascii="Times New Roman" w:hAnsi="Times New Roman"/>
          <w:sz w:val="24"/>
          <w:szCs w:val="24"/>
          <w:shd w:val="clear" w:color="auto" w:fill="FFFFFF"/>
        </w:rPr>
      </w:pPr>
    </w:p>
    <w:p w14:paraId="3CCEBE93" w14:textId="77777777" w:rsidR="0089006F" w:rsidRDefault="0089006F" w:rsidP="0089006F">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Captain Davis gets the benefit of the new standard requiring only proof of “some injury.” </w:t>
      </w:r>
      <w:hyperlink r:id="rId2009" w:history="1">
        <w:r w:rsidRPr="0013187C">
          <w:rPr>
            <w:rStyle w:val="Hyperlink"/>
            <w:rFonts w:ascii="Times New Roman" w:hAnsi="Times New Roman"/>
            <w:sz w:val="24"/>
            <w:szCs w:val="24"/>
            <w:shd w:val="clear" w:color="auto" w:fill="FFFFFF"/>
          </w:rPr>
          <w:t>https://cases.justia.com/federal/appellate-courts/ca11/23-12759/23-12759-2024-07-23.pdf?ts=1721745066</w:t>
        </w:r>
      </w:hyperlink>
      <w:r>
        <w:rPr>
          <w:rFonts w:ascii="Times New Roman" w:hAnsi="Times New Roman"/>
          <w:sz w:val="24"/>
          <w:szCs w:val="24"/>
          <w:shd w:val="clear" w:color="auto" w:fill="FFFFFF"/>
        </w:rPr>
        <w:t xml:space="preserve"> </w:t>
      </w:r>
    </w:p>
    <w:p w14:paraId="6271F0E8" w14:textId="77777777" w:rsidR="0089006F" w:rsidRDefault="0089006F" w:rsidP="0089006F">
      <w:pPr>
        <w:pStyle w:val="NoSpacing"/>
        <w:rPr>
          <w:rFonts w:ascii="Times New Roman" w:hAnsi="Times New Roman"/>
          <w:sz w:val="24"/>
          <w:szCs w:val="24"/>
          <w:shd w:val="clear" w:color="auto" w:fill="FFFFFF"/>
        </w:rPr>
      </w:pPr>
    </w:p>
    <w:p w14:paraId="4833D683" w14:textId="77777777" w:rsidR="0089006F" w:rsidRDefault="0089006F" w:rsidP="0089006F">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07B93E74" w14:textId="77777777" w:rsidR="0089006F" w:rsidRDefault="0089006F" w:rsidP="0089006F">
      <w:pPr>
        <w:pStyle w:val="NoSpacing"/>
        <w:rPr>
          <w:rFonts w:ascii="Times New Roman" w:hAnsi="Times New Roman"/>
          <w:sz w:val="24"/>
          <w:szCs w:val="24"/>
          <w:shd w:val="clear" w:color="auto" w:fill="FFFFFF"/>
        </w:rPr>
      </w:pPr>
    </w:p>
    <w:p w14:paraId="689D99F7" w14:textId="2E2048A0" w:rsidR="0089006F" w:rsidRDefault="0089006F" w:rsidP="0089006F">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But during the pendency of this appeal, the Supreme Court</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decided Muldrow v. City of St. Louis, 144 S. Ct. 967 (</w:t>
      </w:r>
      <w:r w:rsidR="006A6D1D">
        <w:rPr>
          <w:rFonts w:ascii="Times New Roman" w:hAnsi="Times New Roman"/>
          <w:sz w:val="24"/>
          <w:szCs w:val="24"/>
          <w:shd w:val="clear" w:color="auto" w:fill="FFFFFF"/>
        </w:rPr>
        <w:t xml:space="preserve">April 17, </w:t>
      </w:r>
      <w:r w:rsidRPr="0069068E">
        <w:rPr>
          <w:rFonts w:ascii="Times New Roman" w:hAnsi="Times New Roman"/>
          <w:sz w:val="24"/>
          <w:szCs w:val="24"/>
          <w:shd w:val="clear" w:color="auto" w:fill="FFFFFF"/>
        </w:rPr>
        <w:t>2024), in which</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it clarified a plaintiff’s required showing for an adverse employment action under the anti-discrimination provision of Title VII.</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 xml:space="preserve">The Supreme Court explained that a plaintiff </w:t>
      </w: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 xml:space="preserve">need </w:t>
      </w:r>
      <w:proofErr w:type="gramStart"/>
      <w:r w:rsidRPr="0069068E">
        <w:rPr>
          <w:rFonts w:ascii="Times New Roman" w:hAnsi="Times New Roman"/>
          <w:sz w:val="24"/>
          <w:szCs w:val="24"/>
          <w:shd w:val="clear" w:color="auto" w:fill="FFFFFF"/>
        </w:rPr>
        <w:t>show</w:t>
      </w:r>
      <w:proofErr w:type="gramEnd"/>
      <w:r w:rsidRPr="0069068E">
        <w:rPr>
          <w:rFonts w:ascii="Times New Roman" w:hAnsi="Times New Roman"/>
          <w:sz w:val="24"/>
          <w:szCs w:val="24"/>
          <w:shd w:val="clear" w:color="auto" w:fill="FFFFFF"/>
        </w:rPr>
        <w:t xml:space="preserve"> only</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some injury respecting her employment terms or conditions,</w:t>
      </w: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 xml:space="preserve"> or</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 xml:space="preserve">in other words, a </w:t>
      </w: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disadvantageous change in an employment term</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 xml:space="preserve">or </w:t>
      </w:r>
      <w:proofErr w:type="gramStart"/>
      <w:r w:rsidRPr="0069068E">
        <w:rPr>
          <w:rFonts w:ascii="Times New Roman" w:hAnsi="Times New Roman"/>
          <w:sz w:val="24"/>
          <w:szCs w:val="24"/>
          <w:shd w:val="clear" w:color="auto" w:fill="FFFFFF"/>
        </w:rPr>
        <w:t>condition.”</w:t>
      </w:r>
      <w:proofErr w:type="gramEnd"/>
      <w:r w:rsidRPr="0069068E">
        <w:rPr>
          <w:rFonts w:ascii="Times New Roman" w:hAnsi="Times New Roman"/>
          <w:sz w:val="24"/>
          <w:szCs w:val="24"/>
          <w:shd w:val="clear" w:color="auto" w:fill="FFFFFF"/>
        </w:rPr>
        <w:t xml:space="preserve"> Id. at 974, 977 (internal quotation marks omitted).</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But an injury need not constitute significant, serious, or substantial</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harm to suffice under the statute. Id. at 974. Thus, Davis does not</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need to meet our higher pre-Muldrow standard to make out a claim</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for retaliation under Title VII.</w:t>
      </w:r>
      <w:r>
        <w:rPr>
          <w:rFonts w:ascii="Times New Roman" w:hAnsi="Times New Roman"/>
          <w:sz w:val="24"/>
          <w:szCs w:val="24"/>
          <w:shd w:val="clear" w:color="auto" w:fill="FFFFFF"/>
        </w:rPr>
        <w:t>”</w:t>
      </w:r>
    </w:p>
    <w:p w14:paraId="78F7E399" w14:textId="77777777" w:rsidR="004F2EB6" w:rsidRDefault="004F2EB6" w:rsidP="004F2EB6">
      <w:pPr>
        <w:pStyle w:val="NoSpacing"/>
        <w:jc w:val="both"/>
        <w:rPr>
          <w:rFonts w:ascii="Times New Roman" w:hAnsi="Times New Roman"/>
          <w:b/>
          <w:bCs/>
          <w:sz w:val="24"/>
          <w:szCs w:val="24"/>
          <w:shd w:val="clear" w:color="auto" w:fill="FFFFFF"/>
        </w:rPr>
      </w:pPr>
    </w:p>
    <w:p w14:paraId="39A67C11" w14:textId="12AFAFCC" w:rsidR="004F2EB6" w:rsidRPr="004200F9" w:rsidRDefault="004F2EB6" w:rsidP="004F2EB6">
      <w:pPr>
        <w:pStyle w:val="NoSpacing"/>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Under the U.S. Supreme Court’s new “some injury” standard, many more discrimination and retaliation cases will now proceed to pre-trial discovery and trial. </w:t>
      </w:r>
    </w:p>
    <w:p w14:paraId="42F26BB9" w14:textId="77777777" w:rsidR="004F2EB6" w:rsidRPr="009D70F9" w:rsidRDefault="004F2EB6" w:rsidP="004F2EB6">
      <w:pPr>
        <w:pStyle w:val="NormalWeb"/>
        <w:ind w:left="720"/>
        <w:rPr>
          <w:color w:val="454545"/>
          <w:shd w:val="clear" w:color="auto" w:fill="FFFFFF"/>
        </w:rPr>
      </w:pPr>
      <w:r w:rsidRPr="009D70F9">
        <w:rPr>
          <w:color w:val="454545"/>
          <w:shd w:val="clear" w:color="auto" w:fill="FFFFFF"/>
        </w:rPr>
        <w:t xml:space="preserve">Note: See this June 15, </w:t>
      </w:r>
      <w:proofErr w:type="gramStart"/>
      <w:r w:rsidRPr="009D70F9">
        <w:rPr>
          <w:color w:val="454545"/>
          <w:shd w:val="clear" w:color="auto" w:fill="FFFFFF"/>
        </w:rPr>
        <w:t>2024</w:t>
      </w:r>
      <w:proofErr w:type="gramEnd"/>
      <w:r w:rsidRPr="009D70F9">
        <w:rPr>
          <w:color w:val="454545"/>
          <w:shd w:val="clear" w:color="auto" w:fill="FFFFFF"/>
        </w:rPr>
        <w:t xml:space="preserve"> article: </w:t>
      </w:r>
      <w:hyperlink r:id="rId2010" w:history="1">
        <w:r w:rsidRPr="009D70F9">
          <w:rPr>
            <w:rStyle w:val="Hyperlink"/>
            <w:shd w:val="clear" w:color="auto" w:fill="FFFFFF"/>
          </w:rPr>
          <w:t>https://www.orangeobserver.com/news/2024/jun/15/breaking-former-orange-county-fire-rescue-battalion-chief-announces-candidacy-for-county-commission-district-1/</w:t>
        </w:r>
      </w:hyperlink>
      <w:r w:rsidRPr="009D70F9">
        <w:rPr>
          <w:color w:val="454545"/>
          <w:shd w:val="clear" w:color="auto" w:fill="FFFFFF"/>
        </w:rPr>
        <w:t xml:space="preserve"> “BREAKING: Former Orange County Fire Rescue battalion chief announces candidacy for County Commission District 1. Stephen Davis in 2021 was fired from the department after he did not reprimand personnel who refused to take the COVID-19 vaccine.” </w:t>
      </w:r>
    </w:p>
    <w:p w14:paraId="761452AA" w14:textId="77777777" w:rsidR="0089006F" w:rsidRDefault="0089006F" w:rsidP="002B1283">
      <w:pPr>
        <w:rPr>
          <w:rFonts w:ascii="Arial Black" w:hAnsi="Arial Black"/>
          <w:b/>
          <w:bCs/>
          <w:sz w:val="28"/>
          <w:szCs w:val="28"/>
        </w:rPr>
      </w:pPr>
    </w:p>
    <w:p w14:paraId="764AD717" w14:textId="77777777" w:rsidR="0089006F" w:rsidRDefault="0089006F" w:rsidP="002B1283">
      <w:pPr>
        <w:rPr>
          <w:rFonts w:ascii="Arial Black" w:hAnsi="Arial Black"/>
          <w:b/>
          <w:bCs/>
          <w:sz w:val="28"/>
          <w:szCs w:val="28"/>
        </w:rPr>
      </w:pPr>
    </w:p>
    <w:p w14:paraId="78D29AF4" w14:textId="6FCF144E" w:rsidR="003C2A76" w:rsidRDefault="003C2A76" w:rsidP="002B1283">
      <w:pPr>
        <w:rPr>
          <w:rFonts w:ascii="Arial Black" w:hAnsi="Arial Black"/>
          <w:b/>
          <w:bCs/>
          <w:sz w:val="28"/>
          <w:szCs w:val="28"/>
        </w:rPr>
      </w:pPr>
      <w:r>
        <w:rPr>
          <w:rFonts w:ascii="Arial Black" w:hAnsi="Arial Black"/>
          <w:b/>
          <w:bCs/>
          <w:sz w:val="28"/>
          <w:szCs w:val="28"/>
        </w:rPr>
        <w:t>13-188</w:t>
      </w:r>
    </w:p>
    <w:p w14:paraId="09F6F2F9" w14:textId="77777777" w:rsidR="003C2A76" w:rsidRPr="0009763F" w:rsidRDefault="003C2A76" w:rsidP="003C2A7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DC: ELDERLY WAITED 5 MIN. CALL 911 – DIED UNRELATED ILLNESS – NOT ADMISSIBLE TRIAL - “EXCITED UTTERANCE” </w:t>
      </w:r>
    </w:p>
    <w:p w14:paraId="61D3F653" w14:textId="77777777" w:rsidR="003C2A76" w:rsidRDefault="003C2A76" w:rsidP="003C2A76">
      <w:pPr>
        <w:pStyle w:val="NormalWeb"/>
        <w:rPr>
          <w:color w:val="454545"/>
          <w:shd w:val="clear" w:color="auto" w:fill="FFFFFF"/>
        </w:rPr>
      </w:pPr>
      <w:r w:rsidRPr="009253E0">
        <w:rPr>
          <w:color w:val="454545"/>
          <w:shd w:val="clear" w:color="auto" w:fill="FFFFFF"/>
        </w:rPr>
        <w:t xml:space="preserve">On May 23, 2024, in </w:t>
      </w:r>
      <w:r w:rsidRPr="00F018C0">
        <w:rPr>
          <w:color w:val="454545"/>
          <w:u w:val="single"/>
          <w:shd w:val="clear" w:color="auto" w:fill="FFFFFF"/>
        </w:rPr>
        <w:t>Joshua C. Austin v. United States</w:t>
      </w:r>
      <w:r w:rsidRPr="009253E0">
        <w:rPr>
          <w:color w:val="454545"/>
          <w:shd w:val="clear" w:color="auto" w:fill="FFFFFF"/>
        </w:rPr>
        <w:t xml:space="preserve">, the D.C. Court of Appeals held (3 to 0) </w:t>
      </w:r>
      <w:r>
        <w:rPr>
          <w:color w:val="454545"/>
          <w:shd w:val="clear" w:color="auto" w:fill="FFFFFF"/>
        </w:rPr>
        <w:t xml:space="preserve">that robbery jury conviction should be reversed; but burglary and assault convictions upheld.  He followed </w:t>
      </w:r>
      <w:proofErr w:type="gramStart"/>
      <w:r>
        <w:rPr>
          <w:color w:val="454545"/>
          <w:shd w:val="clear" w:color="auto" w:fill="FFFFFF"/>
        </w:rPr>
        <w:t>68-year old</w:t>
      </w:r>
      <w:proofErr w:type="gramEnd"/>
      <w:r>
        <w:rPr>
          <w:color w:val="454545"/>
          <w:shd w:val="clear" w:color="auto" w:fill="FFFFFF"/>
        </w:rPr>
        <w:t xml:space="preserve"> woman from grocery store to her apartment, threw her down steps and stole $60.  She called 911 about 5 minutes after the incident and gave a good description of the assailant. Prior to trial, the victim died from long illness unrelated to the assault.  The Court held:</w:t>
      </w:r>
    </w:p>
    <w:p w14:paraId="1B9DAD04" w14:textId="77777777" w:rsidR="003C2A76" w:rsidRPr="009253E0" w:rsidRDefault="003C2A76" w:rsidP="003C2A76">
      <w:pPr>
        <w:pStyle w:val="NormalWeb"/>
        <w:ind w:left="720" w:firstLine="60"/>
        <w:rPr>
          <w:color w:val="454545"/>
          <w:shd w:val="clear" w:color="auto" w:fill="FFFFFF"/>
        </w:rPr>
      </w:pPr>
      <w:r>
        <w:rPr>
          <w:color w:val="454545"/>
          <w:shd w:val="clear" w:color="auto" w:fill="FFFFFF"/>
        </w:rPr>
        <w:t>“</w:t>
      </w:r>
      <w:r w:rsidRPr="00875420">
        <w:rPr>
          <w:color w:val="454545"/>
          <w:shd w:val="clear" w:color="auto" w:fill="FFFFFF"/>
        </w:rPr>
        <w:t>Here, a reasonable person—from the perspective of either Ms. Marvil or the</w:t>
      </w:r>
      <w:r>
        <w:rPr>
          <w:color w:val="454545"/>
          <w:shd w:val="clear" w:color="auto" w:fill="FFFFFF"/>
        </w:rPr>
        <w:t xml:space="preserve"> </w:t>
      </w:r>
      <w:r w:rsidRPr="00875420">
        <w:rPr>
          <w:color w:val="454545"/>
          <w:shd w:val="clear" w:color="auto" w:fill="FFFFFF"/>
        </w:rPr>
        <w:t>911 operator—would not have believed that there was an ongoing emergency at the</w:t>
      </w:r>
      <w:r>
        <w:rPr>
          <w:color w:val="454545"/>
          <w:shd w:val="clear" w:color="auto" w:fill="FFFFFF"/>
        </w:rPr>
        <w:t xml:space="preserve"> </w:t>
      </w:r>
      <w:r w:rsidRPr="00875420">
        <w:rPr>
          <w:color w:val="454545"/>
          <w:shd w:val="clear" w:color="auto" w:fill="FFFFFF"/>
        </w:rPr>
        <w:t>time of the 911 call.</w:t>
      </w:r>
      <w:r>
        <w:rPr>
          <w:color w:val="454545"/>
          <w:shd w:val="clear" w:color="auto" w:fill="FFFFFF"/>
        </w:rPr>
        <w:t xml:space="preserve"> *** </w:t>
      </w:r>
      <w:r w:rsidRPr="00E35A07">
        <w:rPr>
          <w:color w:val="454545"/>
          <w:shd w:val="clear" w:color="auto" w:fill="FFFFFF"/>
        </w:rPr>
        <w:t xml:space="preserve">Considering the factors </w:t>
      </w:r>
      <w:proofErr w:type="gramStart"/>
      <w:r w:rsidRPr="00E35A07">
        <w:rPr>
          <w:color w:val="454545"/>
          <w:shd w:val="clear" w:color="auto" w:fill="FFFFFF"/>
        </w:rPr>
        <w:t>on the whole</w:t>
      </w:r>
      <w:proofErr w:type="gramEnd"/>
      <w:r w:rsidRPr="00E35A07">
        <w:rPr>
          <w:color w:val="454545"/>
          <w:shd w:val="clear" w:color="auto" w:fill="FFFFFF"/>
        </w:rPr>
        <w:t>, we conclude that the emergency had</w:t>
      </w:r>
      <w:r>
        <w:rPr>
          <w:color w:val="454545"/>
          <w:shd w:val="clear" w:color="auto" w:fill="FFFFFF"/>
        </w:rPr>
        <w:t xml:space="preserve"> </w:t>
      </w:r>
      <w:r w:rsidRPr="00E35A07">
        <w:rPr>
          <w:color w:val="454545"/>
          <w:shd w:val="clear" w:color="auto" w:fill="FFFFFF"/>
        </w:rPr>
        <w:t>subsided by the time Ms. Marvil called 911.</w:t>
      </w:r>
      <w:r>
        <w:rPr>
          <w:color w:val="454545"/>
          <w:shd w:val="clear" w:color="auto" w:fill="FFFFFF"/>
        </w:rPr>
        <w:t xml:space="preserve">” </w:t>
      </w:r>
      <w:hyperlink r:id="rId2011" w:history="1">
        <w:r w:rsidRPr="00F80308">
          <w:rPr>
            <w:rStyle w:val="Hyperlink"/>
            <w:shd w:val="clear" w:color="auto" w:fill="FFFFFF"/>
          </w:rPr>
          <w:t>https://www.dccourts.gov/sites/default/files/2024-05/Austin%20v.%20US%2022-CF-0085.pdf</w:t>
        </w:r>
      </w:hyperlink>
      <w:r>
        <w:rPr>
          <w:color w:val="454545"/>
          <w:shd w:val="clear" w:color="auto" w:fill="FFFFFF"/>
        </w:rPr>
        <w:t xml:space="preserve"> </w:t>
      </w:r>
    </w:p>
    <w:p w14:paraId="16288BBD" w14:textId="77777777" w:rsidR="00C825BD" w:rsidRDefault="00C825BD" w:rsidP="00C825BD">
      <w:pPr>
        <w:pStyle w:val="NoSpacing"/>
        <w:rPr>
          <w:rFonts w:ascii="Times New Roman" w:hAnsi="Times New Roman"/>
          <w:b/>
          <w:bCs/>
          <w:sz w:val="24"/>
          <w:szCs w:val="24"/>
          <w:shd w:val="clear" w:color="auto" w:fill="FFFFFF"/>
        </w:rPr>
      </w:pPr>
      <w:r w:rsidRPr="000349F6">
        <w:rPr>
          <w:rFonts w:ascii="Times New Roman" w:hAnsi="Times New Roman"/>
          <w:b/>
          <w:bCs/>
          <w:sz w:val="24"/>
          <w:szCs w:val="24"/>
          <w:shd w:val="clear" w:color="auto" w:fill="FFFFFF"/>
        </w:rPr>
        <w:t xml:space="preserve">Legal Lesson Learned: </w:t>
      </w:r>
      <w:r>
        <w:rPr>
          <w:rFonts w:ascii="Times New Roman" w:hAnsi="Times New Roman"/>
          <w:b/>
          <w:bCs/>
          <w:sz w:val="24"/>
          <w:szCs w:val="24"/>
          <w:shd w:val="clear" w:color="auto" w:fill="FFFFFF"/>
        </w:rPr>
        <w:t xml:space="preserve"> The “excited utterance” exception is well established in numerous court decisions – admissible if the declarant is still under stress from a startling event; the trial court judge made a well-reasoned decision. </w:t>
      </w:r>
    </w:p>
    <w:p w14:paraId="2C858A88" w14:textId="77777777" w:rsidR="00C825BD" w:rsidRDefault="00C825BD" w:rsidP="00C825BD">
      <w:pPr>
        <w:pStyle w:val="NoSpacing"/>
        <w:ind w:left="720"/>
        <w:rPr>
          <w:rFonts w:ascii="Times New Roman" w:hAnsi="Times New Roman"/>
          <w:sz w:val="24"/>
          <w:szCs w:val="24"/>
          <w:shd w:val="clear" w:color="auto" w:fill="FFFFFF"/>
        </w:rPr>
      </w:pPr>
    </w:p>
    <w:p w14:paraId="1A205814" w14:textId="77777777" w:rsidR="00C825BD" w:rsidRDefault="00C825BD" w:rsidP="00C825BD">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 xml:space="preserve">Note: </w:t>
      </w:r>
    </w:p>
    <w:p w14:paraId="65DFB47B" w14:textId="77777777" w:rsidR="00C825BD" w:rsidRDefault="00C825BD" w:rsidP="00C825BD">
      <w:pPr>
        <w:pStyle w:val="NoSpacing"/>
        <w:ind w:left="720"/>
        <w:rPr>
          <w:rFonts w:ascii="Times New Roman" w:hAnsi="Times New Roman"/>
          <w:sz w:val="24"/>
          <w:szCs w:val="24"/>
          <w:shd w:val="clear" w:color="auto" w:fill="FFFFFF"/>
        </w:rPr>
      </w:pPr>
    </w:p>
    <w:p w14:paraId="521BBBE2" w14:textId="77777777" w:rsidR="00C825BD" w:rsidRPr="00E62F56" w:rsidRDefault="00C825BD" w:rsidP="00C825BD">
      <w:pPr>
        <w:pStyle w:val="NoSpacing"/>
        <w:ind w:left="720"/>
        <w:rPr>
          <w:rFonts w:ascii="Times New Roman" w:hAnsi="Times New Roman"/>
          <w:b/>
          <w:bCs/>
          <w:sz w:val="24"/>
          <w:szCs w:val="24"/>
          <w:shd w:val="clear" w:color="auto" w:fill="FFFFFF"/>
        </w:rPr>
      </w:pPr>
      <w:r w:rsidRPr="00C1174E">
        <w:rPr>
          <w:rFonts w:ascii="Times New Roman" w:hAnsi="Times New Roman"/>
          <w:b/>
          <w:bCs/>
          <w:sz w:val="24"/>
          <w:szCs w:val="24"/>
          <w:shd w:val="clear" w:color="auto" w:fill="FFFFFF"/>
        </w:rPr>
        <w:t>“</w:t>
      </w:r>
      <w:r w:rsidRPr="00C1174E">
        <w:rPr>
          <w:rFonts w:ascii="Times New Roman" w:hAnsi="Times New Roman"/>
          <w:sz w:val="24"/>
          <w:szCs w:val="24"/>
        </w:rPr>
        <w:t>Excited utterance, under the</w:t>
      </w:r>
      <w:hyperlink r:id="rId2012" w:history="1">
        <w:r w:rsidRPr="00C1174E">
          <w:rPr>
            <w:rStyle w:val="Hyperlink"/>
            <w:rFonts w:ascii="Times New Roman" w:hAnsi="Times New Roman"/>
            <w:color w:val="auto"/>
            <w:sz w:val="24"/>
            <w:szCs w:val="24"/>
          </w:rPr>
          <w:t xml:space="preserve"> Federal Rules of Evidence</w:t>
        </w:r>
      </w:hyperlink>
      <w:r w:rsidRPr="00C1174E">
        <w:rPr>
          <w:rFonts w:ascii="Times New Roman" w:hAnsi="Times New Roman"/>
          <w:sz w:val="24"/>
          <w:szCs w:val="24"/>
        </w:rPr>
        <w:t xml:space="preserve">, is defined as a statement that concerns a startling event, made by the </w:t>
      </w:r>
      <w:hyperlink r:id="rId2013" w:history="1">
        <w:r w:rsidRPr="00C1174E">
          <w:rPr>
            <w:rStyle w:val="Hyperlink"/>
            <w:rFonts w:ascii="Times New Roman" w:hAnsi="Times New Roman"/>
            <w:color w:val="auto"/>
            <w:sz w:val="24"/>
            <w:szCs w:val="24"/>
          </w:rPr>
          <w:t>declarant</w:t>
        </w:r>
      </w:hyperlink>
      <w:r w:rsidRPr="00C1174E">
        <w:rPr>
          <w:rFonts w:ascii="Times New Roman" w:hAnsi="Times New Roman"/>
          <w:sz w:val="24"/>
          <w:szCs w:val="24"/>
        </w:rPr>
        <w:t xml:space="preserve"> when the declarant is still under stress from the startling event. Excited utterance is an exception to the</w:t>
      </w:r>
      <w:hyperlink r:id="rId2014" w:history="1">
        <w:r w:rsidRPr="00C1174E">
          <w:rPr>
            <w:rStyle w:val="Hyperlink"/>
            <w:rFonts w:ascii="Times New Roman" w:hAnsi="Times New Roman"/>
            <w:color w:val="auto"/>
            <w:sz w:val="24"/>
            <w:szCs w:val="24"/>
          </w:rPr>
          <w:t xml:space="preserve"> hearsay</w:t>
        </w:r>
      </w:hyperlink>
      <w:r w:rsidRPr="00C1174E">
        <w:rPr>
          <w:rFonts w:ascii="Times New Roman" w:hAnsi="Times New Roman"/>
          <w:sz w:val="24"/>
          <w:szCs w:val="24"/>
        </w:rPr>
        <w:t xml:space="preserve"> rule.” </w:t>
      </w:r>
      <w:hyperlink r:id="rId2015" w:history="1">
        <w:r w:rsidRPr="00F80308">
          <w:rPr>
            <w:rStyle w:val="Hyperlink"/>
            <w:rFonts w:ascii="Times New Roman" w:hAnsi="Times New Roman"/>
            <w:sz w:val="24"/>
            <w:szCs w:val="24"/>
          </w:rPr>
          <w:t>https://www.law.cornell.edu/wex/excited_utterance</w:t>
        </w:r>
      </w:hyperlink>
      <w:r>
        <w:rPr>
          <w:rFonts w:ascii="Times New Roman" w:hAnsi="Times New Roman"/>
          <w:sz w:val="24"/>
          <w:szCs w:val="24"/>
        </w:rPr>
        <w:t xml:space="preserve"> </w:t>
      </w:r>
    </w:p>
    <w:p w14:paraId="0D03A7D8" w14:textId="77777777" w:rsidR="00C825BD" w:rsidRDefault="00C825BD" w:rsidP="00C825BD">
      <w:pPr>
        <w:pStyle w:val="NoSpacing"/>
        <w:ind w:left="720"/>
        <w:rPr>
          <w:rFonts w:ascii="Times New Roman" w:hAnsi="Times New Roman"/>
          <w:sz w:val="24"/>
          <w:szCs w:val="24"/>
          <w:shd w:val="clear" w:color="auto" w:fill="FFFFFF"/>
        </w:rPr>
      </w:pPr>
    </w:p>
    <w:p w14:paraId="604ABBAB" w14:textId="77777777" w:rsidR="00C825BD" w:rsidRDefault="00C825BD" w:rsidP="00C825BD">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The defendant will be resentenced; he was originally sentenced to 24 years in prison. The Court wrote:</w:t>
      </w:r>
    </w:p>
    <w:p w14:paraId="2E0E83C9" w14:textId="77777777" w:rsidR="00C825BD" w:rsidRDefault="00C825BD" w:rsidP="00C825BD">
      <w:pPr>
        <w:pStyle w:val="NoSpacing"/>
        <w:ind w:firstLine="720"/>
        <w:rPr>
          <w:rFonts w:ascii="Times New Roman" w:hAnsi="Times New Roman"/>
          <w:sz w:val="24"/>
          <w:szCs w:val="24"/>
          <w:shd w:val="clear" w:color="auto" w:fill="FFFFFF"/>
        </w:rPr>
      </w:pPr>
    </w:p>
    <w:p w14:paraId="7DE288BD" w14:textId="77777777" w:rsidR="00C825BD" w:rsidRDefault="00C825BD" w:rsidP="00C825BD">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w:t>
      </w:r>
      <w:r w:rsidRPr="0009763F">
        <w:rPr>
          <w:rFonts w:ascii="Times New Roman" w:hAnsi="Times New Roman"/>
          <w:sz w:val="24"/>
          <w:szCs w:val="24"/>
          <w:shd w:val="clear" w:color="auto" w:fill="FFFFFF"/>
        </w:rPr>
        <w:t>We further</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conclude that the government has failed to demonstrate that the error was harmless</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beyond a reasonable doubt as to Mr. Austin’s robbery conviction and his assault-with-intent-to-rob conviction. We are satisfied beyond a reasonable doubt, however,</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that, even without the erroneous admission of the 911 call, a rational jury would have</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found Mr. Austin guilty of burglary and simple assault as a lesser-included offense</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of assault with intent to rob. We therefore reverse Mr. Austin’s robbery and assault-with-intent-to-rob convictions, affirm Mr. Austin’s burglary conviction, and remand</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for entry of a conviction for assault and resentencing.</w:t>
      </w:r>
      <w:r>
        <w:rPr>
          <w:rFonts w:ascii="Times New Roman" w:hAnsi="Times New Roman"/>
          <w:sz w:val="24"/>
          <w:szCs w:val="24"/>
          <w:shd w:val="clear" w:color="auto" w:fill="FFFFFF"/>
        </w:rPr>
        <w:t>”</w:t>
      </w:r>
    </w:p>
    <w:p w14:paraId="61F187E3" w14:textId="77777777" w:rsidR="003C2A76" w:rsidRDefault="003C2A76" w:rsidP="002B1283">
      <w:pPr>
        <w:rPr>
          <w:rFonts w:ascii="Arial Black" w:hAnsi="Arial Black"/>
          <w:b/>
          <w:bCs/>
          <w:sz w:val="28"/>
          <w:szCs w:val="28"/>
        </w:rPr>
      </w:pPr>
    </w:p>
    <w:p w14:paraId="761515CC" w14:textId="77777777" w:rsidR="00E84210" w:rsidRDefault="00E84210" w:rsidP="002B1283">
      <w:pPr>
        <w:rPr>
          <w:rFonts w:ascii="Arial Black" w:hAnsi="Arial Black"/>
          <w:b/>
          <w:bCs/>
          <w:sz w:val="28"/>
          <w:szCs w:val="28"/>
        </w:rPr>
      </w:pPr>
    </w:p>
    <w:p w14:paraId="637F179E" w14:textId="2A42CF44" w:rsidR="00E84210" w:rsidRDefault="00E84210" w:rsidP="002B1283">
      <w:pPr>
        <w:rPr>
          <w:rFonts w:ascii="Arial Black" w:hAnsi="Arial Black"/>
          <w:b/>
          <w:bCs/>
          <w:sz w:val="28"/>
          <w:szCs w:val="28"/>
        </w:rPr>
      </w:pPr>
      <w:r>
        <w:rPr>
          <w:rFonts w:ascii="Arial Black" w:hAnsi="Arial Black"/>
          <w:b/>
          <w:bCs/>
          <w:sz w:val="28"/>
          <w:szCs w:val="28"/>
        </w:rPr>
        <w:t>13-187</w:t>
      </w:r>
    </w:p>
    <w:p w14:paraId="48CE8FED" w14:textId="77777777" w:rsidR="00595A8A" w:rsidRDefault="00595A8A" w:rsidP="00595A8A">
      <w:pPr>
        <w:pStyle w:val="NormalWeb"/>
        <w:rPr>
          <w:rFonts w:ascii="Arial Black" w:hAnsi="Arial Black"/>
          <w:sz w:val="28"/>
          <w:szCs w:val="28"/>
        </w:rPr>
      </w:pPr>
      <w:r>
        <w:rPr>
          <w:rFonts w:ascii="Arial Black" w:hAnsi="Arial Black"/>
          <w:sz w:val="28"/>
          <w:szCs w:val="28"/>
        </w:rPr>
        <w:t>AR:  PATIENT CONV. ASSAULT 2 PHOENIX FF -  PT THEN  SUES 5 PHOENIX FF EXCESSIVE FORCE – CASE PROCEED</w:t>
      </w:r>
    </w:p>
    <w:p w14:paraId="37744F70" w14:textId="77777777" w:rsidR="00595A8A" w:rsidRDefault="00595A8A" w:rsidP="00595A8A">
      <w:pPr>
        <w:pStyle w:val="NormalWeb"/>
      </w:pPr>
      <w:r>
        <w:lastRenderedPageBreak/>
        <w:t xml:space="preserve">On May 30, 2024, in </w:t>
      </w:r>
      <w:r w:rsidRPr="00504191">
        <w:rPr>
          <w:u w:val="single"/>
        </w:rPr>
        <w:t>Alan Troy Nimer v. Justin Broek, et al</w:t>
      </w:r>
      <w:r>
        <w:t>., the U.S. Court of Appeals for the 9</w:t>
      </w:r>
      <w:r w:rsidRPr="00504191">
        <w:rPr>
          <w:vertAlign w:val="superscript"/>
        </w:rPr>
        <w:t>th</w:t>
      </w:r>
      <w:r>
        <w:t xml:space="preserve"> Circuit, held (3 to 0; unpublished decision) that trial court improperly granted defense motion to dismiss.  The patient was convicted in state court of two counts of aggravated assault against two EMS – injuring two firefighters.  The Court held:</w:t>
      </w:r>
    </w:p>
    <w:p w14:paraId="04185B73" w14:textId="77777777" w:rsidR="00595A8A" w:rsidRDefault="00595A8A" w:rsidP="00595A8A">
      <w:pPr>
        <w:pStyle w:val="NormalWeb"/>
        <w:ind w:left="720"/>
      </w:pPr>
      <w:r>
        <w:t xml:space="preserve">“Hence, Nimer's claims are not </w:t>
      </w:r>
      <w:r>
        <w:rPr>
          <w:rStyle w:val="Emphasis"/>
          <w:rFonts w:eastAsiaTheme="majorEastAsia"/>
        </w:rPr>
        <w:t>Heck</w:t>
      </w:r>
      <w:r>
        <w:t xml:space="preserve">-barred because Nimer's success in this action would not </w:t>
      </w:r>
      <w:r>
        <w:rPr>
          <w:rStyle w:val="Emphasis"/>
          <w:rFonts w:eastAsiaTheme="majorEastAsia"/>
        </w:rPr>
        <w:t>necessarily</w:t>
      </w:r>
      <w:r>
        <w:t xml:space="preserve"> contradict his conviction. To the contrary, viewing the evidence in the light most favorable to Nimer, there is a genuine dispute of fact as to whether Defendants engaged in excessive force after Nimer completed the aggravated assault. </w:t>
      </w:r>
      <w:r>
        <w:rPr>
          <w:rStyle w:val="Emphasis"/>
          <w:rFonts w:eastAsiaTheme="majorEastAsia"/>
        </w:rPr>
        <w:t>See Smith</w:t>
      </w:r>
      <w:r>
        <w:t xml:space="preserve">, 394 F.3d at 699. We therefore reverse the district court's grant of summary judgment in favor of Defendants with respect to Nimer's excessive force and unconstitutional seizure claims. We remand for the district court to consider the merits of those claims in the first </w:t>
      </w:r>
      <w:proofErr w:type="gramStart"/>
      <w:r>
        <w:t>instance.”</w:t>
      </w:r>
      <w:proofErr w:type="gramEnd"/>
      <w:r>
        <w:t xml:space="preserve"> </w:t>
      </w:r>
      <w:hyperlink r:id="rId2016" w:history="1">
        <w:r w:rsidRPr="005176E1">
          <w:rPr>
            <w:rStyle w:val="Hyperlink"/>
          </w:rPr>
          <w:t>https://cases.justia.com/federal/appellate-courts/ca9/21-15252/21-15252-2024-05-20.pdf?ts=1716226339</w:t>
        </w:r>
      </w:hyperlink>
      <w:r>
        <w:t xml:space="preserve"> </w:t>
      </w:r>
    </w:p>
    <w:p w14:paraId="07D09180" w14:textId="77777777" w:rsidR="00F039A1" w:rsidRPr="00E62A89" w:rsidRDefault="00F039A1" w:rsidP="00F039A1">
      <w:pPr>
        <w:pStyle w:val="NormalWeb"/>
        <w:rPr>
          <w:b/>
          <w:bCs/>
        </w:rPr>
      </w:pPr>
      <w:r w:rsidRPr="00E62A89">
        <w:rPr>
          <w:b/>
          <w:bCs/>
        </w:rPr>
        <w:t>Legal Lesson Learned:</w:t>
      </w:r>
      <w:r>
        <w:rPr>
          <w:b/>
          <w:bCs/>
        </w:rPr>
        <w:t xml:space="preserve"> Patients assaulting EMS are unfortunately quite common, but a decision allowing a lawsuit to proceed against EMS by a patient convicted for assaulting the EMS is quite rare.  Body cameras could hopefully avoid similar cases. </w:t>
      </w:r>
    </w:p>
    <w:p w14:paraId="4BA94431" w14:textId="77777777" w:rsidR="00E84210" w:rsidRDefault="00E84210" w:rsidP="002B1283">
      <w:pPr>
        <w:rPr>
          <w:rFonts w:ascii="Arial Black" w:hAnsi="Arial Black"/>
          <w:b/>
          <w:bCs/>
          <w:sz w:val="28"/>
          <w:szCs w:val="28"/>
        </w:rPr>
      </w:pPr>
    </w:p>
    <w:p w14:paraId="0308C338" w14:textId="77777777" w:rsidR="00E84210" w:rsidRDefault="00E84210" w:rsidP="002B1283">
      <w:pPr>
        <w:rPr>
          <w:rFonts w:ascii="Arial Black" w:hAnsi="Arial Black"/>
          <w:b/>
          <w:bCs/>
          <w:sz w:val="28"/>
          <w:szCs w:val="28"/>
        </w:rPr>
      </w:pPr>
    </w:p>
    <w:p w14:paraId="66A1EEE4" w14:textId="1DB9FC17" w:rsidR="00D430E2" w:rsidRDefault="00D430E2" w:rsidP="002B1283">
      <w:pPr>
        <w:rPr>
          <w:rFonts w:ascii="Arial Black" w:hAnsi="Arial Black"/>
          <w:b/>
          <w:bCs/>
          <w:sz w:val="28"/>
          <w:szCs w:val="28"/>
        </w:rPr>
      </w:pPr>
      <w:r>
        <w:rPr>
          <w:rFonts w:ascii="Arial Black" w:hAnsi="Arial Black"/>
          <w:b/>
          <w:bCs/>
          <w:sz w:val="28"/>
          <w:szCs w:val="28"/>
        </w:rPr>
        <w:t>13-186</w:t>
      </w:r>
    </w:p>
    <w:p w14:paraId="55E3E808" w14:textId="7F7E572F" w:rsidR="006309AC" w:rsidRPr="0014478E" w:rsidRDefault="006309AC" w:rsidP="006309AC">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NC: P</w:t>
      </w:r>
      <w:r w:rsidR="00C760FE">
        <w:rPr>
          <w:rFonts w:ascii="Arial Black" w:hAnsi="Arial Black"/>
          <w:b/>
          <w:bCs/>
          <w:color w:val="454545"/>
          <w:sz w:val="28"/>
          <w:szCs w:val="28"/>
          <w:shd w:val="clear" w:color="auto" w:fill="FFFFFF"/>
        </w:rPr>
        <w:t>T</w:t>
      </w:r>
      <w:r>
        <w:rPr>
          <w:rFonts w:ascii="Arial Black" w:hAnsi="Arial Black"/>
          <w:b/>
          <w:bCs/>
          <w:color w:val="454545"/>
          <w:sz w:val="28"/>
          <w:szCs w:val="28"/>
          <w:shd w:val="clear" w:color="auto" w:fill="FFFFFF"/>
        </w:rPr>
        <w:t xml:space="preserve"> CONVICTED ASSAULTING “EMT” DURING TRANSPORT –ASSAULT ON “PARAMEDIC”</w:t>
      </w:r>
      <w:r w:rsidR="00C760FE">
        <w:rPr>
          <w:rFonts w:ascii="Arial Black" w:hAnsi="Arial Black"/>
          <w:b/>
          <w:bCs/>
          <w:color w:val="454545"/>
          <w:sz w:val="28"/>
          <w:szCs w:val="28"/>
          <w:shd w:val="clear" w:color="auto" w:fill="FFFFFF"/>
        </w:rPr>
        <w:t xml:space="preserve"> INCLUDES EMT</w:t>
      </w:r>
    </w:p>
    <w:p w14:paraId="23494D8E" w14:textId="77777777" w:rsidR="006309AC" w:rsidRDefault="006309AC" w:rsidP="006309AC">
      <w:pPr>
        <w:pStyle w:val="NormalWeb"/>
        <w:spacing w:before="0" w:beforeAutospacing="0"/>
      </w:pPr>
      <w:r>
        <w:t xml:space="preserve">On May 21, 2024, in </w:t>
      </w:r>
      <w:r w:rsidRPr="00782B8A">
        <w:rPr>
          <w:u w:val="single"/>
        </w:rPr>
        <w:t>State of North Carolina v. Rachel Shalom Juran</w:t>
      </w:r>
      <w:r>
        <w:t>, the Court of Appeals of North Carolina held (3 to 0) that under N.C. statutes, assault on a paramedic is considered an assault on an EMT.  During transport, the defendant became agitated and forcefully grabbed and squeezed the paramedic’s hand, and the ambulance driver had to pull over to assist the medic.  The EMS Supervisor came to scene along with PD and rode in ambulance to hospital.  When the patient was released from hospital she was arrested.  Jury convicted but Judge only sentenced her to 6 to 17 months' imprisonment suspended for 24 months' supervised probation The Court held:</w:t>
      </w:r>
    </w:p>
    <w:p w14:paraId="4E310179" w14:textId="77777777" w:rsidR="006309AC" w:rsidRDefault="006309AC" w:rsidP="006309AC">
      <w:pPr>
        <w:pStyle w:val="NormalWeb"/>
        <w:spacing w:before="0" w:beforeAutospacing="0"/>
        <w:ind w:left="720"/>
      </w:pPr>
      <w:r>
        <w:t xml:space="preserve">“Here, Defendant was charged with assault on an EMT as the indictment stated, in relevant part, Defendant "unlawfully, willfully and feloniously did assault [Lueth], an emergency medical technician[.]"  Notably, although N.C. Gen. Stat. § 14-34.6 does not specifically define emergency medical technician, other statutes within this same chapter define ‘emergency medical technician’ to include a paramedic. </w:t>
      </w:r>
      <w:r>
        <w:rPr>
          <w:rStyle w:val="Emphasis"/>
          <w:rFonts w:eastAsiaTheme="majorEastAsia"/>
        </w:rPr>
        <w:t>See</w:t>
      </w:r>
      <w:r>
        <w:t xml:space="preserve"> N.C. Gen. Stat. § 14-69.3(a)(1) (2023). Nonetheless, even if ‘emergency medical technician’ as applied under N.C. Gen. Stat. § 14-34.6 was not intended to include paramedics, whether the victim was an emergency medical technician or paramedic is a distinction without difference for the purpose of the charging statute. While we recognize the credentials of a paramedic differ from those of an EMT, the gist of the offense at issue remains the same notwithstanding the victim's credentials. </w:t>
      </w:r>
      <w:r>
        <w:rPr>
          <w:rStyle w:val="Emphasis"/>
          <w:rFonts w:eastAsiaTheme="majorEastAsia"/>
        </w:rPr>
        <w:t>See</w:t>
      </w:r>
      <w:r>
        <w:t xml:space="preserve"> N.C. Gen. Stat. § 131E-155(10), (15a) (2023). Moreover, Defendant would be charged under the same statute regardless of whether she assaulted a paramedic or an EMT.” </w:t>
      </w:r>
      <w:hyperlink r:id="rId2017" w:history="1">
        <w:r w:rsidRPr="004F7BC4">
          <w:rPr>
            <w:rStyle w:val="Hyperlink"/>
          </w:rPr>
          <w:t>https://cases.justia.com/north-carolina/court-of-appeals/2024-23-881.pdf?ts=1716294565</w:t>
        </w:r>
      </w:hyperlink>
      <w:r>
        <w:t xml:space="preserve"> </w:t>
      </w:r>
    </w:p>
    <w:p w14:paraId="1060F4F2" w14:textId="77777777" w:rsidR="00E84210" w:rsidRPr="00CD320B" w:rsidRDefault="00E84210" w:rsidP="00E84210">
      <w:pPr>
        <w:spacing w:after="100" w:line="240" w:lineRule="auto"/>
        <w:rPr>
          <w:rFonts w:ascii="Times New Roman" w:eastAsia="Times New Roman" w:hAnsi="Times New Roman"/>
          <w:b/>
          <w:bCs/>
          <w:sz w:val="24"/>
          <w:szCs w:val="24"/>
        </w:rPr>
      </w:pPr>
      <w:r w:rsidRPr="0090745C">
        <w:rPr>
          <w:rFonts w:ascii="Times New Roman" w:hAnsi="Times New Roman"/>
          <w:b/>
          <w:bCs/>
          <w:sz w:val="24"/>
          <w:szCs w:val="24"/>
        </w:rPr>
        <w:t>Legal Lesson Learned:</w:t>
      </w:r>
      <w:r>
        <w:rPr>
          <w:rFonts w:ascii="Times New Roman" w:hAnsi="Times New Roman"/>
          <w:b/>
          <w:bCs/>
          <w:sz w:val="24"/>
          <w:szCs w:val="24"/>
        </w:rPr>
        <w:t xml:space="preserve"> </w:t>
      </w:r>
      <w:r w:rsidRPr="00CD320B">
        <w:rPr>
          <w:rFonts w:ascii="Times New Roman" w:hAnsi="Times New Roman"/>
          <w:b/>
          <w:bCs/>
          <w:sz w:val="24"/>
          <w:szCs w:val="24"/>
        </w:rPr>
        <w:t>Strange appeal the NC statute clearly applies to “</w:t>
      </w:r>
      <w:r w:rsidRPr="00CD320B">
        <w:rPr>
          <w:rFonts w:ascii="Times New Roman" w:eastAsia="Times New Roman" w:hAnsi="Times New Roman"/>
          <w:b/>
          <w:bCs/>
          <w:sz w:val="24"/>
          <w:szCs w:val="24"/>
        </w:rPr>
        <w:t>An emergency medical technician or other emergency health care provider.”</w:t>
      </w:r>
    </w:p>
    <w:p w14:paraId="14447272" w14:textId="77777777" w:rsidR="00D430E2" w:rsidRDefault="00D430E2" w:rsidP="002B1283">
      <w:pPr>
        <w:rPr>
          <w:rFonts w:ascii="Arial Black" w:hAnsi="Arial Black"/>
          <w:b/>
          <w:bCs/>
          <w:sz w:val="28"/>
          <w:szCs w:val="28"/>
        </w:rPr>
      </w:pPr>
    </w:p>
    <w:p w14:paraId="5BB736C3" w14:textId="173E6478" w:rsidR="00766805" w:rsidRDefault="00766805" w:rsidP="001C2F88">
      <w:pPr>
        <w:rPr>
          <w:rFonts w:ascii="Arial Black" w:hAnsi="Arial Black"/>
          <w:sz w:val="28"/>
          <w:szCs w:val="28"/>
        </w:rPr>
      </w:pPr>
      <w:r>
        <w:rPr>
          <w:rFonts w:ascii="Arial Black" w:hAnsi="Arial Black"/>
          <w:sz w:val="28"/>
          <w:szCs w:val="28"/>
        </w:rPr>
        <w:t>13</w:t>
      </w:r>
      <w:r w:rsidR="00ED5101">
        <w:rPr>
          <w:rFonts w:ascii="Arial Black" w:hAnsi="Arial Black"/>
          <w:sz w:val="28"/>
          <w:szCs w:val="28"/>
        </w:rPr>
        <w:t>-185</w:t>
      </w:r>
    </w:p>
    <w:p w14:paraId="50D1284C" w14:textId="77777777" w:rsidR="003358D9" w:rsidRDefault="003358D9" w:rsidP="003358D9">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PA: DISPATCHER SENT WRONG AMBULANCE – 1 HOUR AWAY – PREGANT PATIENT LOST BABY – NOT FED. CASE</w:t>
      </w:r>
    </w:p>
    <w:p w14:paraId="0303BB56" w14:textId="77777777" w:rsidR="003358D9" w:rsidRDefault="003358D9" w:rsidP="003358D9">
      <w:pPr>
        <w:pStyle w:val="NormalWeb"/>
        <w:spacing w:before="0" w:beforeAutospacing="0"/>
      </w:pPr>
      <w:r>
        <w:rPr>
          <w:color w:val="454545"/>
          <w:shd w:val="clear" w:color="auto" w:fill="FFFFFF"/>
        </w:rPr>
        <w:t xml:space="preserve">On May 15, 2024, in </w:t>
      </w:r>
      <w:r w:rsidRPr="005F31AE">
        <w:rPr>
          <w:color w:val="454545"/>
          <w:u w:val="single"/>
          <w:shd w:val="clear" w:color="auto" w:fill="FFFFFF"/>
        </w:rPr>
        <w:t>Chad Reiner and Stephanie Reiner v. Northumberland County, et al</w:t>
      </w:r>
      <w:r>
        <w:rPr>
          <w:color w:val="454545"/>
          <w:shd w:val="clear" w:color="auto" w:fill="FFFFFF"/>
        </w:rPr>
        <w:t xml:space="preserve">., Chief United States District Court Judge </w:t>
      </w:r>
      <w:r>
        <w:t>Matthew W. Brann dismissed the lawsuit, which can now be filed in state court.  The dispatcher failed to notify the closest ambulance (10 miles) or the second ambulance (24 miles</w:t>
      </w:r>
      <w:proofErr w:type="gramStart"/>
      <w:r>
        <w:t>), but</w:t>
      </w:r>
      <w:proofErr w:type="gramEnd"/>
      <w:r>
        <w:t xml:space="preserve"> instead toned out ambulance in Harrisburg that took one hour to arrive.  The patient was bleeding out and repeatedly called 911, but dispatcher refused to advise location of responding ambulance.  The Court held:</w:t>
      </w:r>
    </w:p>
    <w:p w14:paraId="41368FE9" w14:textId="77777777" w:rsidR="003358D9" w:rsidRDefault="003358D9" w:rsidP="003358D9">
      <w:pPr>
        <w:pStyle w:val="NormalWeb"/>
        <w:spacing w:before="0" w:beforeAutospacing="0"/>
        <w:ind w:left="720"/>
      </w:pPr>
      <w:r>
        <w:t xml:space="preserve">“The law does not always align with what one may believe is right, just, or fair. This painful fact is the necessary reality of a well-ordered legal system. In this case, the careless conduct of a 911 dispatcher led to </w:t>
      </w:r>
      <w:proofErr w:type="gramStart"/>
      <w:r>
        <w:t>a terrible tragedy</w:t>
      </w:r>
      <w:proofErr w:type="gramEnd"/>
      <w:r>
        <w:t xml:space="preserve">. But for the individual citizen, the United States Constitution is mainly a charter of negative liberties. It provides no remedy for this harm. Nor is federal court an appropriate forum to talk through </w:t>
      </w:r>
      <w:proofErr w:type="gramStart"/>
      <w:r>
        <w:t>questions of state</w:t>
      </w:r>
      <w:proofErr w:type="gramEnd"/>
      <w:r>
        <w:t xml:space="preserve"> law. </w:t>
      </w:r>
      <w:proofErr w:type="gramStart"/>
      <w:r>
        <w:t>So</w:t>
      </w:r>
      <w:proofErr w:type="gramEnd"/>
      <w:r>
        <w:t xml:space="preserve"> this lawsuit is dismissed with prejudice.</w:t>
      </w:r>
    </w:p>
    <w:p w14:paraId="653BA3ED" w14:textId="77777777" w:rsidR="003358D9" w:rsidRDefault="003358D9" w:rsidP="003358D9">
      <w:pPr>
        <w:pStyle w:val="NormalWeb"/>
        <w:spacing w:before="0" w:beforeAutospacing="0"/>
        <w:ind w:left="720"/>
      </w:pPr>
      <w:r>
        <w:t>***</w:t>
      </w:r>
    </w:p>
    <w:p w14:paraId="3C0CBA7A" w14:textId="77777777" w:rsidR="003358D9" w:rsidRDefault="003358D9" w:rsidP="003358D9">
      <w:pPr>
        <w:pStyle w:val="NormalWeb"/>
        <w:spacing w:before="0" w:beforeAutospacing="0"/>
        <w:ind w:left="720"/>
      </w:pPr>
      <w:r>
        <w:t>Plaintiffs' Section 1983 claims fail because they have alleged no violation of their federal constitutional rights. Because there are no surviving federal claims, the Court declines to exercise supplemental jurisdiction over Plaintiffs' state law claims.</w:t>
      </w:r>
    </w:p>
    <w:p w14:paraId="4F5AAC11" w14:textId="77777777" w:rsidR="003358D9" w:rsidRDefault="003358D9" w:rsidP="003358D9">
      <w:pPr>
        <w:pStyle w:val="NormalWeb"/>
        <w:spacing w:before="0" w:beforeAutospacing="0"/>
        <w:ind w:left="720"/>
      </w:pPr>
      <w:r>
        <w:t>***</w:t>
      </w:r>
    </w:p>
    <w:p w14:paraId="6487E888" w14:textId="77777777" w:rsidR="003358D9" w:rsidRDefault="003358D9" w:rsidP="003358D9">
      <w:pPr>
        <w:pStyle w:val="NormalWeb"/>
        <w:ind w:left="720"/>
      </w:pPr>
      <w:r>
        <w:t xml:space="preserve">The Third Circuit has long-standing precedent that there is no constitutional right to receive emergency ambulance services, nor is there ‘an affirmative obligation on the State to provide competent rescue services if it chooses to provide them.’  </w:t>
      </w:r>
      <w:proofErr w:type="gramStart"/>
      <w:r>
        <w:t>So</w:t>
      </w:r>
      <w:proofErr w:type="gramEnd"/>
      <w:r>
        <w:t xml:space="preserve"> any injuries resulting from flawed or incompetent emergency rescue services are not constitutional injuries, and hence not actionable under Section 1983. Plaintiffs' argument that they only waited an hour for the ambulance because they did not know it would take so long requires a closer analysis of this Circuit's ‘state-created danger’ theory of liability. </w:t>
      </w:r>
    </w:p>
    <w:p w14:paraId="4CF099E0" w14:textId="77777777" w:rsidR="003358D9" w:rsidRDefault="003358D9" w:rsidP="003358D9">
      <w:pPr>
        <w:pStyle w:val="NormalWeb"/>
        <w:ind w:left="720"/>
      </w:pPr>
      <w:r>
        <w:t>***</w:t>
      </w:r>
    </w:p>
    <w:p w14:paraId="454BF281" w14:textId="77777777" w:rsidR="003358D9" w:rsidRDefault="003358D9" w:rsidP="003358D9">
      <w:pPr>
        <w:pStyle w:val="NormalWeb"/>
        <w:ind w:left="720"/>
      </w:pPr>
      <w:r>
        <w:t xml:space="preserve">Nothing of </w:t>
      </w:r>
      <w:proofErr w:type="gramStart"/>
      <w:r>
        <w:t>the</w:t>
      </w:r>
      <w:proofErr w:type="gramEnd"/>
      <w:r>
        <w:t xml:space="preserve"> kind is alleged here. Stephanie Reiner was not such a vulnerable person even while injured, the state does not assume responsibility over injured </w:t>
      </w:r>
      <w:proofErr w:type="gramStart"/>
      <w:r>
        <w:t>persons</w:t>
      </w:r>
      <w:proofErr w:type="gramEnd"/>
      <w:r>
        <w:t xml:space="preserve"> by offering assurances, and no would-be protector was displaced. Accordingly, Plaintiffs' Section 1983 claim fails under the state-created danger theory of liability. </w:t>
      </w:r>
    </w:p>
    <w:p w14:paraId="0DA30753" w14:textId="77777777" w:rsidR="003358D9" w:rsidRDefault="003358D9" w:rsidP="003358D9">
      <w:pPr>
        <w:pStyle w:val="NormalWeb"/>
        <w:ind w:left="720"/>
      </w:pPr>
      <w:r>
        <w:t>***</w:t>
      </w:r>
    </w:p>
    <w:p w14:paraId="6DBAC9D2" w14:textId="425CA111" w:rsidR="00ED5101" w:rsidRDefault="003358D9" w:rsidP="003358D9">
      <w:pPr>
        <w:ind w:left="720"/>
        <w:rPr>
          <w:rStyle w:val="Hyperlink"/>
          <w:rFonts w:ascii="Times New Roman" w:hAnsi="Times New Roman"/>
          <w:sz w:val="24"/>
          <w:szCs w:val="24"/>
        </w:rPr>
      </w:pPr>
      <w:r w:rsidRPr="003358D9">
        <w:rPr>
          <w:rFonts w:ascii="Times New Roman" w:hAnsi="Times New Roman"/>
          <w:sz w:val="24"/>
          <w:szCs w:val="24"/>
        </w:rPr>
        <w:t xml:space="preserve">The Court has great sympathy for the hardship Plaintiffs have suffered, but their case does not belong in federal court because they have not plausibly alleged any violation of the United States Constitution.” </w:t>
      </w:r>
      <w:hyperlink r:id="rId2018" w:history="1">
        <w:r w:rsidRPr="003358D9">
          <w:rPr>
            <w:rStyle w:val="Hyperlink"/>
            <w:rFonts w:ascii="Times New Roman" w:hAnsi="Times New Roman"/>
            <w:sz w:val="24"/>
            <w:szCs w:val="24"/>
          </w:rPr>
          <w:t>https://webservices.courthousenews.com/sites/Data/AppellateOpinionUploads/2024-17-5--13-46-27-048b5eb5-2700-4a37-ac11-5deaa284f5ce.pdf</w:t>
        </w:r>
      </w:hyperlink>
    </w:p>
    <w:p w14:paraId="18DC104C" w14:textId="77777777" w:rsidR="00D430E2" w:rsidRDefault="00D430E2" w:rsidP="00D430E2">
      <w:pPr>
        <w:pStyle w:val="NormalWeb"/>
        <w:rPr>
          <w:b/>
          <w:bCs/>
        </w:rPr>
      </w:pPr>
      <w:r>
        <w:rPr>
          <w:b/>
          <w:bCs/>
        </w:rPr>
        <w:lastRenderedPageBreak/>
        <w:t>Legal Lesson Learned: Dispatch protocol should require nearest ambulance be called [10 miles in this case], and if not available, then next nearest ambulance [24 miles].</w:t>
      </w:r>
    </w:p>
    <w:p w14:paraId="4D6A0356" w14:textId="77777777" w:rsidR="00D430E2" w:rsidRDefault="00D430E2" w:rsidP="00D430E2">
      <w:pPr>
        <w:pStyle w:val="NormalWeb"/>
        <w:ind w:left="720"/>
      </w:pPr>
      <w:r>
        <w:t>Note: Dispatch protocol was corrected after this run, and a change in management. The Court wrote:</w:t>
      </w:r>
    </w:p>
    <w:p w14:paraId="770ECEE8" w14:textId="77777777" w:rsidR="00D430E2" w:rsidRPr="00126FA6" w:rsidRDefault="00D430E2" w:rsidP="00D430E2">
      <w:pPr>
        <w:pStyle w:val="NormalWeb"/>
        <w:ind w:left="1440"/>
        <w:rPr>
          <w:vertAlign w:val="superscript"/>
        </w:rPr>
      </w:pPr>
      <w:r>
        <w:t>“The Northumberland County District Attorney's Office investigated the incident. In October 2022, the Northumberland County Fire Chiefs Association's vice president claimed that mismanagement of the 911 Center had placed the public in danger; another fire chief expressed concern that mismanagement of the 911 Center would result in civilian death. At this same meeting, fire officials aired grievances concerning prolonged dispatch times and significant dispatcher turnover, and called for Fellman's termination [Russell Fellman, the 911 Coordinator in charge of the Northumberland County 911 Center]. Fellman resigned as 911 Coordinator in December 2022.”</w:t>
      </w:r>
    </w:p>
    <w:p w14:paraId="02E4A6B5" w14:textId="77777777" w:rsidR="00D430E2" w:rsidRPr="003358D9" w:rsidRDefault="00D430E2" w:rsidP="003358D9">
      <w:pPr>
        <w:ind w:left="720"/>
        <w:rPr>
          <w:rFonts w:ascii="Times New Roman" w:hAnsi="Times New Roman"/>
          <w:sz w:val="24"/>
          <w:szCs w:val="24"/>
        </w:rPr>
      </w:pPr>
    </w:p>
    <w:p w14:paraId="4814F1E8" w14:textId="77777777" w:rsidR="00766805" w:rsidRDefault="00766805" w:rsidP="001C2F88">
      <w:pPr>
        <w:rPr>
          <w:rFonts w:ascii="Arial Black" w:hAnsi="Arial Black"/>
          <w:sz w:val="28"/>
          <w:szCs w:val="28"/>
        </w:rPr>
      </w:pPr>
    </w:p>
    <w:p w14:paraId="6D29D3A9" w14:textId="77777777" w:rsidR="00766805" w:rsidRDefault="00766805" w:rsidP="001C2F88">
      <w:pPr>
        <w:rPr>
          <w:rFonts w:ascii="Arial Black" w:hAnsi="Arial Black"/>
          <w:sz w:val="28"/>
          <w:szCs w:val="28"/>
        </w:rPr>
      </w:pPr>
    </w:p>
    <w:p w14:paraId="6615AD5E" w14:textId="66913EF9" w:rsidR="001C2F88" w:rsidRPr="001C2F88" w:rsidRDefault="001C2F88" w:rsidP="001C2F88">
      <w:pPr>
        <w:rPr>
          <w:rFonts w:ascii="Arial Black" w:hAnsi="Arial Black"/>
          <w:sz w:val="28"/>
          <w:szCs w:val="28"/>
        </w:rPr>
      </w:pPr>
      <w:r w:rsidRPr="001C2F88">
        <w:rPr>
          <w:rFonts w:ascii="Arial Black" w:hAnsi="Arial Black"/>
          <w:sz w:val="28"/>
          <w:szCs w:val="28"/>
        </w:rPr>
        <w:t>13-184</w:t>
      </w:r>
    </w:p>
    <w:p w14:paraId="635A756C" w14:textId="68A8E3F6" w:rsidR="001C2F88" w:rsidRPr="00C82AB6" w:rsidRDefault="001C2F88" w:rsidP="001C2F88">
      <w:pPr>
        <w:rPr>
          <w:rFonts w:ascii="Arial Black" w:hAnsi="Arial Black"/>
          <w:sz w:val="28"/>
          <w:szCs w:val="28"/>
        </w:rPr>
      </w:pPr>
      <w:r>
        <w:rPr>
          <w:rFonts w:ascii="Arial Black" w:hAnsi="Arial Black"/>
          <w:sz w:val="28"/>
          <w:szCs w:val="28"/>
        </w:rPr>
        <w:t xml:space="preserve">OH: COLUMBUS PD - NO FIRST AID AFTER SHOOTING SUICIDE MAN 5 TIMES  / NO IMMUN. - WHITLE CASTLE CASE </w:t>
      </w:r>
    </w:p>
    <w:p w14:paraId="20578C2C" w14:textId="77777777" w:rsidR="001C2F88" w:rsidRPr="009B4A97" w:rsidRDefault="001C2F88" w:rsidP="001C2F88">
      <w:pPr>
        <w:rPr>
          <w:rFonts w:ascii="Times New Roman" w:hAnsi="Times New Roman"/>
          <w:color w:val="454545"/>
          <w:sz w:val="24"/>
          <w:szCs w:val="24"/>
          <w:shd w:val="clear" w:color="auto" w:fill="FFFFFF"/>
        </w:rPr>
      </w:pPr>
      <w:r w:rsidRPr="009B4A97">
        <w:rPr>
          <w:rFonts w:ascii="Times New Roman" w:hAnsi="Times New Roman"/>
          <w:sz w:val="24"/>
          <w:szCs w:val="24"/>
        </w:rPr>
        <w:t xml:space="preserve">On April 29, 2024, in </w:t>
      </w:r>
      <w:r w:rsidRPr="00C275FC">
        <w:rPr>
          <w:rFonts w:ascii="Times New Roman" w:hAnsi="Times New Roman"/>
          <w:sz w:val="24"/>
          <w:szCs w:val="24"/>
          <w:u w:val="single"/>
        </w:rPr>
        <w:t xml:space="preserve">Ken Heeter, </w:t>
      </w:r>
      <w:r>
        <w:rPr>
          <w:rFonts w:ascii="Times New Roman" w:hAnsi="Times New Roman"/>
          <w:sz w:val="24"/>
          <w:szCs w:val="24"/>
          <w:u w:val="single"/>
        </w:rPr>
        <w:t>a</w:t>
      </w:r>
      <w:r w:rsidRPr="00C275FC">
        <w:rPr>
          <w:rFonts w:ascii="Times New Roman" w:hAnsi="Times New Roman"/>
          <w:sz w:val="24"/>
          <w:szCs w:val="24"/>
          <w:u w:val="single"/>
        </w:rPr>
        <w:t xml:space="preserve">s Administrator </w:t>
      </w:r>
      <w:r>
        <w:rPr>
          <w:rFonts w:ascii="Times New Roman" w:hAnsi="Times New Roman"/>
          <w:sz w:val="24"/>
          <w:szCs w:val="24"/>
          <w:u w:val="single"/>
        </w:rPr>
        <w:t>o</w:t>
      </w:r>
      <w:r w:rsidRPr="00C275FC">
        <w:rPr>
          <w:rFonts w:ascii="Times New Roman" w:hAnsi="Times New Roman"/>
          <w:sz w:val="24"/>
          <w:szCs w:val="24"/>
          <w:u w:val="single"/>
        </w:rPr>
        <w:t xml:space="preserve">f </w:t>
      </w:r>
      <w:r>
        <w:rPr>
          <w:rFonts w:ascii="Times New Roman" w:hAnsi="Times New Roman"/>
          <w:sz w:val="24"/>
          <w:szCs w:val="24"/>
          <w:u w:val="single"/>
        </w:rPr>
        <w:t>t</w:t>
      </w:r>
      <w:r w:rsidRPr="00C275FC">
        <w:rPr>
          <w:rFonts w:ascii="Times New Roman" w:hAnsi="Times New Roman"/>
          <w:sz w:val="24"/>
          <w:szCs w:val="24"/>
          <w:u w:val="single"/>
        </w:rPr>
        <w:t>he estate of Bill G. Heeter, et al. v. Kenneth Bowers, individually and in his capacity as an employee of the City of Columbus, Ohio; Columbus Police Department</w:t>
      </w:r>
      <w:r w:rsidRPr="009B4A97">
        <w:rPr>
          <w:rFonts w:ascii="Times New Roman" w:hAnsi="Times New Roman"/>
          <w:sz w:val="24"/>
          <w:szCs w:val="24"/>
        </w:rPr>
        <w:t>, the U.S. Court of Appeals for the 6</w:t>
      </w:r>
      <w:r w:rsidRPr="009B4A97">
        <w:rPr>
          <w:rFonts w:ascii="Times New Roman" w:hAnsi="Times New Roman"/>
          <w:sz w:val="24"/>
          <w:szCs w:val="24"/>
          <w:vertAlign w:val="superscript"/>
        </w:rPr>
        <w:t>th</w:t>
      </w:r>
      <w:r w:rsidRPr="009B4A97">
        <w:rPr>
          <w:rFonts w:ascii="Times New Roman" w:hAnsi="Times New Roman"/>
          <w:sz w:val="24"/>
          <w:szCs w:val="24"/>
        </w:rPr>
        <w:t xml:space="preserve"> Circuit (Cincinnati), held </w:t>
      </w:r>
      <w:r>
        <w:rPr>
          <w:rFonts w:ascii="Times New Roman" w:hAnsi="Times New Roman"/>
          <w:sz w:val="24"/>
          <w:szCs w:val="24"/>
        </w:rPr>
        <w:t>(</w:t>
      </w:r>
      <w:r w:rsidRPr="009B4A97">
        <w:rPr>
          <w:rFonts w:ascii="Times New Roman" w:hAnsi="Times New Roman"/>
          <w:sz w:val="24"/>
          <w:szCs w:val="24"/>
        </w:rPr>
        <w:t>2 to 1</w:t>
      </w:r>
      <w:r>
        <w:rPr>
          <w:rFonts w:ascii="Times New Roman" w:hAnsi="Times New Roman"/>
          <w:sz w:val="24"/>
          <w:szCs w:val="24"/>
        </w:rPr>
        <w:t xml:space="preserve">) that trial court judge properly denied officer’s motion for summary judgment who shot the man five times with M-16 service rifle; jury will decide if officer used excessive force, and whether he should have rendered basic first aid.  The City of Columbus was dismissed from case based on municipal immunity. </w:t>
      </w:r>
      <w:hyperlink r:id="rId2019" w:history="1">
        <w:r w:rsidRPr="007C1F1F">
          <w:rPr>
            <w:rStyle w:val="Hyperlink"/>
            <w:rFonts w:ascii="Times New Roman" w:hAnsi="Times New Roman"/>
            <w:sz w:val="24"/>
            <w:szCs w:val="24"/>
            <w:shd w:val="clear" w:color="auto" w:fill="FFFFFF"/>
          </w:rPr>
          <w:t>https://www.opn.ca6.uscourts.gov/opinions.pdf/24a0095p-06.pdf</w:t>
        </w:r>
      </w:hyperlink>
      <w:r w:rsidRPr="009B4A97">
        <w:rPr>
          <w:rFonts w:ascii="Times New Roman" w:hAnsi="Times New Roman"/>
          <w:color w:val="454545"/>
          <w:sz w:val="24"/>
          <w:szCs w:val="24"/>
          <w:shd w:val="clear" w:color="auto" w:fill="FFFFFF"/>
        </w:rPr>
        <w:t xml:space="preserve"> </w:t>
      </w:r>
    </w:p>
    <w:p w14:paraId="59A948F4" w14:textId="77777777" w:rsidR="001C2F88" w:rsidRDefault="001C2F88" w:rsidP="001C2F88">
      <w:pPr>
        <w:pStyle w:val="NormalWeb"/>
        <w:ind w:left="720"/>
      </w:pPr>
      <w:r w:rsidRPr="00B12AE6">
        <w:t xml:space="preserve">The Court referenced the infamous case where Cincinnati PD </w:t>
      </w:r>
      <w:r>
        <w:t xml:space="preserve">on Nov. 30, </w:t>
      </w:r>
      <w:proofErr w:type="gramStart"/>
      <w:r>
        <w:t>2003</w:t>
      </w:r>
      <w:proofErr w:type="gramEnd"/>
      <w:r>
        <w:t xml:space="preserve"> responded </w:t>
      </w:r>
      <w:proofErr w:type="gramStart"/>
      <w:r>
        <w:t>at</w:t>
      </w:r>
      <w:proofErr w:type="gramEnd"/>
      <w:r>
        <w:t xml:space="preserve"> FD request to White Castle where 350-pound Nataniel Jones was acting erratically. The violent struggle resulting in his death was recorded and video shown nationwide by many news outlets. </w:t>
      </w:r>
      <w:hyperlink r:id="rId2020" w:history="1">
        <w:r w:rsidRPr="00466FE4">
          <w:rPr>
            <w:rStyle w:val="Hyperlink"/>
          </w:rPr>
          <w:t>https://www.youtube.com/watch?v=o3-MrFOLXFs</w:t>
        </w:r>
      </w:hyperlink>
      <w:r>
        <w:t xml:space="preserve">.  The Fire Engine that had arrived first left the scene and returned to quarters.  </w:t>
      </w:r>
    </w:p>
    <w:p w14:paraId="4E6091BB" w14:textId="77777777" w:rsidR="001C2F88" w:rsidRPr="0019507E" w:rsidRDefault="001C2F88" w:rsidP="001C2F88">
      <w:pPr>
        <w:pStyle w:val="NoSpacing"/>
        <w:ind w:firstLine="720"/>
        <w:rPr>
          <w:rFonts w:ascii="Times New Roman" w:hAnsi="Times New Roman"/>
          <w:sz w:val="24"/>
          <w:szCs w:val="24"/>
        </w:rPr>
      </w:pPr>
      <w:r>
        <w:rPr>
          <w:rFonts w:ascii="Times New Roman" w:hAnsi="Times New Roman"/>
          <w:sz w:val="24"/>
          <w:szCs w:val="24"/>
        </w:rPr>
        <w:t>“</w:t>
      </w:r>
      <w:r w:rsidRPr="0019507E">
        <w:rPr>
          <w:rFonts w:ascii="Times New Roman" w:hAnsi="Times New Roman"/>
          <w:sz w:val="24"/>
          <w:szCs w:val="24"/>
        </w:rPr>
        <w:t>Officers Pike and Slade sprayed chemical irritant in Jones’s face while he was prone in</w:t>
      </w:r>
    </w:p>
    <w:p w14:paraId="69C38BA5" w14:textId="77777777" w:rsidR="001C2F88" w:rsidRPr="0019507E" w:rsidRDefault="001C2F88" w:rsidP="001C2F88">
      <w:pPr>
        <w:pStyle w:val="NoSpacing"/>
        <w:ind w:left="720"/>
        <w:rPr>
          <w:rFonts w:ascii="Times New Roman" w:hAnsi="Times New Roman"/>
          <w:sz w:val="24"/>
          <w:szCs w:val="24"/>
        </w:rPr>
      </w:pPr>
      <w:proofErr w:type="gramStart"/>
      <w:r w:rsidRPr="0019507E">
        <w:rPr>
          <w:rFonts w:ascii="Times New Roman" w:hAnsi="Times New Roman"/>
          <w:sz w:val="24"/>
          <w:szCs w:val="24"/>
        </w:rPr>
        <w:t>handcuffs and while</w:t>
      </w:r>
      <w:proofErr w:type="gramEnd"/>
      <w:r w:rsidRPr="0019507E">
        <w:rPr>
          <w:rFonts w:ascii="Times New Roman" w:hAnsi="Times New Roman"/>
          <w:sz w:val="24"/>
          <w:szCs w:val="24"/>
        </w:rPr>
        <w:t xml:space="preserve"> officers Pike, Osterman, Abrams, Reese, Slade, and Jay Johnstone used their</w:t>
      </w:r>
      <w:r>
        <w:rPr>
          <w:rFonts w:ascii="Times New Roman" w:hAnsi="Times New Roman"/>
          <w:sz w:val="24"/>
          <w:szCs w:val="24"/>
        </w:rPr>
        <w:t xml:space="preserve"> </w:t>
      </w:r>
      <w:r w:rsidRPr="0019507E">
        <w:rPr>
          <w:rFonts w:ascii="Times New Roman" w:hAnsi="Times New Roman"/>
          <w:sz w:val="24"/>
          <w:szCs w:val="24"/>
        </w:rPr>
        <w:t>combined weight to hold him down. Their weight restricted the movement of Jones’s diaphragm</w:t>
      </w:r>
      <w:r>
        <w:rPr>
          <w:rFonts w:ascii="Times New Roman" w:hAnsi="Times New Roman"/>
          <w:sz w:val="24"/>
          <w:szCs w:val="24"/>
        </w:rPr>
        <w:t xml:space="preserve"> </w:t>
      </w:r>
      <w:r w:rsidRPr="0019507E">
        <w:rPr>
          <w:rFonts w:ascii="Times New Roman" w:hAnsi="Times New Roman"/>
          <w:sz w:val="24"/>
          <w:szCs w:val="24"/>
        </w:rPr>
        <w:t xml:space="preserve">and made it difficult for him to breathe. Jones struggled to twist his body under the officers </w:t>
      </w:r>
      <w:proofErr w:type="gramStart"/>
      <w:r w:rsidRPr="0019507E">
        <w:rPr>
          <w:rFonts w:ascii="Times New Roman" w:hAnsi="Times New Roman"/>
          <w:sz w:val="24"/>
          <w:szCs w:val="24"/>
        </w:rPr>
        <w:t>in an</w:t>
      </w:r>
      <w:r>
        <w:rPr>
          <w:rFonts w:ascii="Times New Roman" w:hAnsi="Times New Roman"/>
          <w:sz w:val="24"/>
          <w:szCs w:val="24"/>
        </w:rPr>
        <w:t xml:space="preserve"> </w:t>
      </w:r>
      <w:r w:rsidRPr="0019507E">
        <w:rPr>
          <w:rFonts w:ascii="Times New Roman" w:hAnsi="Times New Roman"/>
          <w:sz w:val="24"/>
          <w:szCs w:val="24"/>
        </w:rPr>
        <w:t>attempt to</w:t>
      </w:r>
      <w:proofErr w:type="gramEnd"/>
      <w:r w:rsidRPr="0019507E">
        <w:rPr>
          <w:rFonts w:ascii="Times New Roman" w:hAnsi="Times New Roman"/>
          <w:sz w:val="24"/>
          <w:szCs w:val="24"/>
        </w:rPr>
        <w:t xml:space="preserve"> breathe. In response, the officers pressed down on him even harder. Once they had</w:t>
      </w:r>
      <w:r>
        <w:rPr>
          <w:rFonts w:ascii="Times New Roman" w:hAnsi="Times New Roman"/>
          <w:sz w:val="24"/>
          <w:szCs w:val="24"/>
        </w:rPr>
        <w:t xml:space="preserve"> </w:t>
      </w:r>
      <w:r w:rsidRPr="0019507E">
        <w:rPr>
          <w:rFonts w:ascii="Times New Roman" w:hAnsi="Times New Roman"/>
          <w:sz w:val="24"/>
          <w:szCs w:val="24"/>
        </w:rPr>
        <w:t>subdued Jones, they left him face down on the ground handcuffed behind his back for a prolonged</w:t>
      </w:r>
      <w:r>
        <w:rPr>
          <w:rFonts w:ascii="Times New Roman" w:hAnsi="Times New Roman"/>
          <w:sz w:val="24"/>
          <w:szCs w:val="24"/>
        </w:rPr>
        <w:t xml:space="preserve"> </w:t>
      </w:r>
      <w:proofErr w:type="gramStart"/>
      <w:r w:rsidRPr="0019507E">
        <w:rPr>
          <w:rFonts w:ascii="Times New Roman" w:hAnsi="Times New Roman"/>
          <w:sz w:val="24"/>
          <w:szCs w:val="24"/>
        </w:rPr>
        <w:t>period of time</w:t>
      </w:r>
      <w:proofErr w:type="gramEnd"/>
      <w:r w:rsidRPr="0019507E">
        <w:rPr>
          <w:rFonts w:ascii="Times New Roman" w:hAnsi="Times New Roman"/>
          <w:sz w:val="24"/>
          <w:szCs w:val="24"/>
        </w:rPr>
        <w:t>. During this time, Jones stopped breathing; all the officers knew it. Reese saw Jones</w:t>
      </w:r>
      <w:r>
        <w:rPr>
          <w:rFonts w:ascii="Times New Roman" w:hAnsi="Times New Roman"/>
          <w:sz w:val="24"/>
          <w:szCs w:val="24"/>
        </w:rPr>
        <w:t xml:space="preserve"> </w:t>
      </w:r>
      <w:r w:rsidRPr="0019507E">
        <w:rPr>
          <w:rFonts w:ascii="Times New Roman" w:hAnsi="Times New Roman"/>
          <w:sz w:val="24"/>
          <w:szCs w:val="24"/>
        </w:rPr>
        <w:t>changing color. Johnstone, Reese, and Abrams knew that a suspect lying face down risked</w:t>
      </w:r>
      <w:r>
        <w:rPr>
          <w:rFonts w:ascii="Times New Roman" w:hAnsi="Times New Roman"/>
          <w:sz w:val="24"/>
          <w:szCs w:val="24"/>
        </w:rPr>
        <w:t xml:space="preserve"> </w:t>
      </w:r>
      <w:r w:rsidRPr="0019507E">
        <w:rPr>
          <w:rFonts w:ascii="Times New Roman" w:hAnsi="Times New Roman"/>
          <w:sz w:val="24"/>
          <w:szCs w:val="24"/>
        </w:rPr>
        <w:t>positional asphyxia (difficulty breathing due to one’s posture or position). None of the officers</w:t>
      </w:r>
      <w:r>
        <w:rPr>
          <w:rFonts w:ascii="Times New Roman" w:hAnsi="Times New Roman"/>
          <w:sz w:val="24"/>
          <w:szCs w:val="24"/>
        </w:rPr>
        <w:t xml:space="preserve"> </w:t>
      </w:r>
      <w:r w:rsidRPr="0019507E">
        <w:rPr>
          <w:rFonts w:ascii="Times New Roman" w:hAnsi="Times New Roman"/>
          <w:sz w:val="24"/>
          <w:szCs w:val="24"/>
        </w:rPr>
        <w:t>provided mouth-to-mouth resuscitation or other respiratory aid. Instead, they stood there and</w:t>
      </w:r>
    </w:p>
    <w:p w14:paraId="0DD13B8B" w14:textId="77777777" w:rsidR="001C2F88" w:rsidRPr="0019507E" w:rsidRDefault="001C2F88" w:rsidP="001C2F88">
      <w:pPr>
        <w:pStyle w:val="NoSpacing"/>
        <w:ind w:left="720"/>
        <w:rPr>
          <w:rFonts w:ascii="Times New Roman" w:hAnsi="Times New Roman"/>
          <w:sz w:val="24"/>
          <w:szCs w:val="24"/>
        </w:rPr>
      </w:pPr>
      <w:r w:rsidRPr="0019507E">
        <w:rPr>
          <w:rFonts w:ascii="Times New Roman" w:hAnsi="Times New Roman"/>
          <w:sz w:val="24"/>
          <w:szCs w:val="24"/>
        </w:rPr>
        <w:lastRenderedPageBreak/>
        <w:t>discussed the absence of fire personnel.</w:t>
      </w:r>
      <w:r>
        <w:rPr>
          <w:rFonts w:ascii="Times New Roman" w:hAnsi="Times New Roman"/>
          <w:sz w:val="24"/>
          <w:szCs w:val="24"/>
        </w:rPr>
        <w:t xml:space="preserve">” </w:t>
      </w:r>
      <w:r>
        <w:t xml:space="preserve">   </w:t>
      </w:r>
      <w:r w:rsidRPr="000A46A1">
        <w:rPr>
          <w:rFonts w:ascii="Times New Roman" w:hAnsi="Times New Roman"/>
          <w:sz w:val="24"/>
          <w:szCs w:val="24"/>
          <w:u w:val="single"/>
        </w:rPr>
        <w:t>Jones v. City of Cincinnati</w:t>
      </w:r>
      <w:r w:rsidRPr="000A46A1">
        <w:rPr>
          <w:rFonts w:ascii="Times New Roman" w:hAnsi="Times New Roman"/>
          <w:sz w:val="24"/>
          <w:szCs w:val="24"/>
        </w:rPr>
        <w:t xml:space="preserve">,  </w:t>
      </w:r>
      <w:r w:rsidRPr="000A46A1">
        <w:rPr>
          <w:rFonts w:ascii="Times New Roman" w:hAnsi="Times New Roman"/>
          <w:color w:val="454545"/>
          <w:sz w:val="24"/>
          <w:szCs w:val="24"/>
        </w:rPr>
        <w:t>521 F.3d 555, 558 (6th Cir. 2008)</w:t>
      </w:r>
      <w:r>
        <w:rPr>
          <w:rFonts w:ascii="Times New Roman" w:hAnsi="Times New Roman"/>
          <w:color w:val="454545"/>
          <w:sz w:val="24"/>
          <w:szCs w:val="24"/>
        </w:rPr>
        <w:t xml:space="preserve">; </w:t>
      </w:r>
      <w:hyperlink r:id="rId2021" w:history="1">
        <w:r w:rsidRPr="007C1F1F">
          <w:rPr>
            <w:rStyle w:val="Hyperlink"/>
            <w:rFonts w:ascii="Times New Roman" w:hAnsi="Times New Roman"/>
            <w:sz w:val="24"/>
            <w:szCs w:val="24"/>
          </w:rPr>
          <w:t>http://www.opn.ca6.uscourts.gov/opinions.pdf/08a0140p-06.pdf</w:t>
        </w:r>
      </w:hyperlink>
      <w:r w:rsidRPr="0019507E">
        <w:rPr>
          <w:rFonts w:ascii="Times New Roman" w:hAnsi="Times New Roman"/>
          <w:sz w:val="24"/>
          <w:szCs w:val="24"/>
        </w:rPr>
        <w:t xml:space="preserve"> . </w:t>
      </w:r>
    </w:p>
    <w:p w14:paraId="2EE60DFA" w14:textId="77777777" w:rsidR="001C2F88" w:rsidRDefault="001C2F88" w:rsidP="001C2F88">
      <w:pPr>
        <w:pStyle w:val="NoSpacing"/>
        <w:rPr>
          <w:rFonts w:ascii="Times New Roman" w:hAnsi="Times New Roman"/>
          <w:sz w:val="24"/>
          <w:szCs w:val="24"/>
        </w:rPr>
      </w:pPr>
    </w:p>
    <w:p w14:paraId="4AB2F86D" w14:textId="77777777" w:rsidR="001C2F88" w:rsidRPr="0019507E" w:rsidRDefault="001C2F88" w:rsidP="001C2F88">
      <w:pPr>
        <w:pStyle w:val="NoSpacing"/>
        <w:ind w:left="720"/>
        <w:rPr>
          <w:rFonts w:ascii="Times New Roman" w:hAnsi="Times New Roman"/>
          <w:sz w:val="24"/>
          <w:szCs w:val="24"/>
        </w:rPr>
      </w:pPr>
      <w:r w:rsidRPr="0019507E">
        <w:rPr>
          <w:rFonts w:ascii="Times New Roman" w:hAnsi="Times New Roman"/>
          <w:sz w:val="24"/>
          <w:szCs w:val="24"/>
        </w:rPr>
        <w:t xml:space="preserve">See also:  “Coroner: Man had enlarged heart, drugs in system.” </w:t>
      </w:r>
      <w:hyperlink r:id="rId2022" w:history="1">
        <w:r w:rsidRPr="007C1F1F">
          <w:rPr>
            <w:rStyle w:val="Hyperlink"/>
            <w:rFonts w:ascii="Times New Roman" w:hAnsi="Times New Roman"/>
            <w:sz w:val="24"/>
            <w:szCs w:val="24"/>
          </w:rPr>
          <w:t>https://www.cnn.com/2003/US/Midwest/12/01/died.in.custody/index.html</w:t>
        </w:r>
      </w:hyperlink>
      <w:r w:rsidRPr="0019507E">
        <w:rPr>
          <w:rFonts w:ascii="Times New Roman" w:hAnsi="Times New Roman"/>
          <w:sz w:val="24"/>
          <w:szCs w:val="24"/>
        </w:rPr>
        <w:t xml:space="preserve"> </w:t>
      </w:r>
    </w:p>
    <w:p w14:paraId="4EF147D0" w14:textId="77777777" w:rsidR="001C2F88" w:rsidRDefault="001C2F88" w:rsidP="001C2F88">
      <w:pPr>
        <w:pStyle w:val="NormalWeb"/>
      </w:pPr>
      <w:r>
        <w:t>COURT HELD IN COLUMBUS CASE:</w:t>
      </w:r>
    </w:p>
    <w:p w14:paraId="195CC4B7"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[EXCESSIVE FORCE CLAIM.] “</w:t>
      </w:r>
      <w:r w:rsidRPr="001E1BB7">
        <w:rPr>
          <w:rFonts w:ascii="Times New Roman" w:hAnsi="Times New Roman"/>
          <w:sz w:val="24"/>
          <w:szCs w:val="24"/>
        </w:rPr>
        <w:t>First, Officer Bowers asks us</w:t>
      </w:r>
      <w:r>
        <w:rPr>
          <w:rFonts w:ascii="Times New Roman" w:hAnsi="Times New Roman"/>
          <w:sz w:val="24"/>
          <w:szCs w:val="24"/>
        </w:rPr>
        <w:t xml:space="preserve"> </w:t>
      </w:r>
      <w:r w:rsidRPr="001E1BB7">
        <w:rPr>
          <w:rFonts w:ascii="Times New Roman" w:hAnsi="Times New Roman"/>
          <w:sz w:val="24"/>
          <w:szCs w:val="24"/>
        </w:rPr>
        <w:t>to focus on the parts of the video which show Mr. Heeter was not following the officers’</w:t>
      </w:r>
      <w:r>
        <w:rPr>
          <w:rFonts w:ascii="Times New Roman" w:hAnsi="Times New Roman"/>
          <w:sz w:val="24"/>
          <w:szCs w:val="24"/>
        </w:rPr>
        <w:t xml:space="preserve"> </w:t>
      </w:r>
      <w:r w:rsidRPr="001E1BB7">
        <w:rPr>
          <w:rFonts w:ascii="Times New Roman" w:hAnsi="Times New Roman"/>
          <w:sz w:val="24"/>
          <w:szCs w:val="24"/>
        </w:rPr>
        <w:t>commands to exit the house, to put his gun down, or to raise his hands. Mr. Heeter’s</w:t>
      </w:r>
      <w:r>
        <w:rPr>
          <w:rFonts w:ascii="Times New Roman" w:hAnsi="Times New Roman"/>
          <w:sz w:val="24"/>
          <w:szCs w:val="24"/>
        </w:rPr>
        <w:t xml:space="preserve"> </w:t>
      </w:r>
      <w:r w:rsidRPr="001E1BB7">
        <w:rPr>
          <w:rFonts w:ascii="Times New Roman" w:hAnsi="Times New Roman"/>
          <w:sz w:val="24"/>
          <w:szCs w:val="24"/>
        </w:rPr>
        <w:t xml:space="preserve">disobedience and words of frustration that the group of armed officers in his home were </w:t>
      </w:r>
      <w:r>
        <w:rPr>
          <w:rFonts w:ascii="Times New Roman" w:hAnsi="Times New Roman"/>
          <w:sz w:val="24"/>
          <w:szCs w:val="24"/>
        </w:rPr>
        <w:t>‘</w:t>
      </w:r>
      <w:r w:rsidRPr="001E1BB7">
        <w:rPr>
          <w:rFonts w:ascii="Times New Roman" w:hAnsi="Times New Roman"/>
          <w:sz w:val="24"/>
          <w:szCs w:val="24"/>
        </w:rPr>
        <w:t>really</w:t>
      </w:r>
      <w:r>
        <w:rPr>
          <w:rFonts w:ascii="Times New Roman" w:hAnsi="Times New Roman"/>
          <w:sz w:val="24"/>
          <w:szCs w:val="24"/>
        </w:rPr>
        <w:t xml:space="preserve"> </w:t>
      </w:r>
      <w:r w:rsidRPr="001E1BB7">
        <w:rPr>
          <w:rFonts w:ascii="Times New Roman" w:hAnsi="Times New Roman"/>
          <w:sz w:val="24"/>
          <w:szCs w:val="24"/>
        </w:rPr>
        <w:t>starting to piss [him] off</w:t>
      </w:r>
      <w:r>
        <w:rPr>
          <w:rFonts w:ascii="Times New Roman" w:hAnsi="Times New Roman"/>
          <w:sz w:val="24"/>
          <w:szCs w:val="24"/>
        </w:rPr>
        <w:t>’</w:t>
      </w:r>
      <w:r w:rsidRPr="001E1BB7">
        <w:rPr>
          <w:rFonts w:ascii="Times New Roman" w:hAnsi="Times New Roman"/>
          <w:sz w:val="24"/>
          <w:szCs w:val="24"/>
        </w:rPr>
        <w:t xml:space="preserve"> indicated that the situation was tense. Redding Footage at 10:45–10:50. But </w:t>
      </w:r>
      <w:r>
        <w:rPr>
          <w:rFonts w:ascii="Times New Roman" w:hAnsi="Times New Roman"/>
          <w:sz w:val="24"/>
          <w:szCs w:val="24"/>
        </w:rPr>
        <w:t>‘</w:t>
      </w:r>
      <w:r w:rsidRPr="001E1BB7">
        <w:rPr>
          <w:rFonts w:ascii="Times New Roman" w:hAnsi="Times New Roman"/>
          <w:sz w:val="24"/>
          <w:szCs w:val="24"/>
        </w:rPr>
        <w:t>the mere failure of a citizen—not arrested for any crime—to follow the officer’s</w:t>
      </w:r>
      <w:r>
        <w:rPr>
          <w:rFonts w:ascii="Times New Roman" w:hAnsi="Times New Roman"/>
          <w:sz w:val="24"/>
          <w:szCs w:val="24"/>
        </w:rPr>
        <w:t xml:space="preserve"> </w:t>
      </w:r>
      <w:r w:rsidRPr="001E1BB7">
        <w:rPr>
          <w:rFonts w:ascii="Times New Roman" w:hAnsi="Times New Roman"/>
          <w:sz w:val="24"/>
          <w:szCs w:val="24"/>
        </w:rPr>
        <w:t>commands</w:t>
      </w:r>
      <w:r>
        <w:rPr>
          <w:rFonts w:ascii="Times New Roman" w:hAnsi="Times New Roman"/>
          <w:sz w:val="24"/>
          <w:szCs w:val="24"/>
        </w:rPr>
        <w:t>’</w:t>
      </w:r>
      <w:r w:rsidRPr="001E1BB7">
        <w:rPr>
          <w:rFonts w:ascii="Times New Roman" w:hAnsi="Times New Roman"/>
          <w:sz w:val="24"/>
          <w:szCs w:val="24"/>
        </w:rPr>
        <w:t xml:space="preserve"> does not give the officer probable cause to use deadly force against him. </w:t>
      </w:r>
    </w:p>
    <w:p w14:paraId="16F36544"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w:t>
      </w:r>
    </w:p>
    <w:p w14:paraId="1280B1CE" w14:textId="77777777" w:rsidR="001C2F88" w:rsidRDefault="001C2F88" w:rsidP="001C2F88">
      <w:pPr>
        <w:pStyle w:val="NoSpacing"/>
        <w:ind w:firstLine="720"/>
        <w:rPr>
          <w:rFonts w:ascii="Times New Roman" w:hAnsi="Times New Roman"/>
          <w:sz w:val="24"/>
          <w:szCs w:val="24"/>
        </w:rPr>
      </w:pPr>
    </w:p>
    <w:p w14:paraId="6E31E5FA" w14:textId="77777777" w:rsidR="001C2F88" w:rsidRDefault="001C2F88" w:rsidP="001C2F88">
      <w:pPr>
        <w:pStyle w:val="NoSpacing"/>
        <w:ind w:firstLine="720"/>
        <w:rPr>
          <w:rFonts w:ascii="Times New Roman" w:hAnsi="Times New Roman"/>
          <w:sz w:val="24"/>
          <w:szCs w:val="24"/>
        </w:rPr>
      </w:pPr>
    </w:p>
    <w:p w14:paraId="0B50A63A"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[FAILURE TO PROVIDE FIRST AID CLAIM.] “</w:t>
      </w:r>
      <w:r w:rsidRPr="005124E7">
        <w:rPr>
          <w:rFonts w:ascii="Times New Roman" w:hAnsi="Times New Roman"/>
          <w:sz w:val="24"/>
          <w:szCs w:val="24"/>
        </w:rPr>
        <w:t>To summarize, it is undisputed that Officer Bowers focused on ordering an officer to</w:t>
      </w:r>
      <w:r>
        <w:rPr>
          <w:rFonts w:ascii="Times New Roman" w:hAnsi="Times New Roman"/>
          <w:sz w:val="24"/>
          <w:szCs w:val="24"/>
        </w:rPr>
        <w:t xml:space="preserve"> </w:t>
      </w:r>
      <w:r w:rsidRPr="005124E7">
        <w:rPr>
          <w:rFonts w:ascii="Times New Roman" w:hAnsi="Times New Roman"/>
          <w:sz w:val="24"/>
          <w:szCs w:val="24"/>
        </w:rPr>
        <w:t>handcuff Mr. Heeter, then stood idle as Mr. Heeter bled out, moaned, and struggled to breathe.</w:t>
      </w:r>
      <w:r>
        <w:rPr>
          <w:rFonts w:ascii="Times New Roman" w:hAnsi="Times New Roman"/>
          <w:sz w:val="24"/>
          <w:szCs w:val="24"/>
        </w:rPr>
        <w:t xml:space="preserve"> </w:t>
      </w:r>
      <w:r w:rsidRPr="005124E7">
        <w:rPr>
          <w:rFonts w:ascii="Times New Roman" w:hAnsi="Times New Roman"/>
          <w:sz w:val="24"/>
          <w:szCs w:val="24"/>
        </w:rPr>
        <w:t>A reasonable jury could find that Mr. Heeter’s critical injury called for immediate first aid before</w:t>
      </w:r>
      <w:r>
        <w:rPr>
          <w:rFonts w:ascii="Times New Roman" w:hAnsi="Times New Roman"/>
          <w:sz w:val="24"/>
          <w:szCs w:val="24"/>
        </w:rPr>
        <w:t xml:space="preserve"> </w:t>
      </w:r>
      <w:r w:rsidRPr="005124E7">
        <w:rPr>
          <w:rFonts w:ascii="Times New Roman" w:hAnsi="Times New Roman"/>
          <w:sz w:val="24"/>
          <w:szCs w:val="24"/>
        </w:rPr>
        <w:t>professional paramedics arrived, and that Officer Bowers—trained in first aid and unoccupied by</w:t>
      </w:r>
      <w:r>
        <w:rPr>
          <w:rFonts w:ascii="Times New Roman" w:hAnsi="Times New Roman"/>
          <w:sz w:val="24"/>
          <w:szCs w:val="24"/>
        </w:rPr>
        <w:t xml:space="preserve"> </w:t>
      </w:r>
      <w:r w:rsidRPr="005124E7">
        <w:rPr>
          <w:rFonts w:ascii="Times New Roman" w:hAnsi="Times New Roman"/>
          <w:sz w:val="24"/>
          <w:szCs w:val="24"/>
        </w:rPr>
        <w:t>police duties—could and should have rendered that care. Therefore, a reasonable jury could find</w:t>
      </w:r>
      <w:r>
        <w:rPr>
          <w:rFonts w:ascii="Times New Roman" w:hAnsi="Times New Roman"/>
          <w:sz w:val="24"/>
          <w:szCs w:val="24"/>
        </w:rPr>
        <w:t xml:space="preserve"> </w:t>
      </w:r>
      <w:r w:rsidRPr="005124E7">
        <w:rPr>
          <w:rFonts w:ascii="Times New Roman" w:hAnsi="Times New Roman"/>
          <w:sz w:val="24"/>
          <w:szCs w:val="24"/>
        </w:rPr>
        <w:t xml:space="preserve">Officer Bowers violated Mr. Heeter’s Fourteenth Amendment right to adequate medical </w:t>
      </w:r>
      <w:proofErr w:type="gramStart"/>
      <w:r w:rsidRPr="005124E7">
        <w:rPr>
          <w:rFonts w:ascii="Times New Roman" w:hAnsi="Times New Roman"/>
          <w:sz w:val="24"/>
          <w:szCs w:val="24"/>
        </w:rPr>
        <w:t>care.</w:t>
      </w:r>
      <w:r>
        <w:rPr>
          <w:rFonts w:ascii="Times New Roman" w:hAnsi="Times New Roman"/>
          <w:sz w:val="24"/>
          <w:szCs w:val="24"/>
        </w:rPr>
        <w:t>”</w:t>
      </w:r>
      <w:proofErr w:type="gramEnd"/>
    </w:p>
    <w:p w14:paraId="3005C308" w14:textId="77777777" w:rsidR="001C2F88" w:rsidRDefault="001C2F88" w:rsidP="001C2F88">
      <w:pPr>
        <w:pStyle w:val="NoSpacing"/>
        <w:ind w:left="720"/>
        <w:rPr>
          <w:rFonts w:ascii="Times New Roman" w:hAnsi="Times New Roman"/>
          <w:sz w:val="24"/>
          <w:szCs w:val="24"/>
        </w:rPr>
      </w:pPr>
    </w:p>
    <w:p w14:paraId="6817DA14"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w:t>
      </w:r>
    </w:p>
    <w:p w14:paraId="761618BD" w14:textId="77777777" w:rsidR="001C2F88" w:rsidRDefault="001C2F88" w:rsidP="001C2F88">
      <w:pPr>
        <w:pStyle w:val="NoSpacing"/>
        <w:ind w:firstLine="720"/>
        <w:rPr>
          <w:rFonts w:ascii="Times New Roman" w:hAnsi="Times New Roman"/>
          <w:sz w:val="24"/>
          <w:szCs w:val="24"/>
        </w:rPr>
      </w:pPr>
    </w:p>
    <w:p w14:paraId="48C004F1" w14:textId="77777777" w:rsidR="001C2F88" w:rsidRDefault="001C2F88" w:rsidP="001C2F88">
      <w:pPr>
        <w:pStyle w:val="NoSpacing"/>
        <w:ind w:left="720"/>
        <w:rPr>
          <w:rStyle w:val="Hyperlink"/>
          <w:rFonts w:ascii="Times New Roman" w:hAnsi="Times New Roman"/>
          <w:sz w:val="24"/>
          <w:szCs w:val="24"/>
        </w:rPr>
      </w:pPr>
      <w:r w:rsidRPr="009B0945">
        <w:rPr>
          <w:rFonts w:ascii="Times New Roman" w:hAnsi="Times New Roman"/>
          <w:color w:val="454545"/>
          <w:sz w:val="24"/>
          <w:szCs w:val="24"/>
        </w:rPr>
        <w:t>In </w:t>
      </w:r>
      <w:r w:rsidRPr="009B0945">
        <w:rPr>
          <w:rStyle w:val="Emphasis"/>
          <w:rFonts w:ascii="Times New Roman" w:eastAsiaTheme="majorEastAsia" w:hAnsi="Times New Roman"/>
          <w:color w:val="454545"/>
          <w:sz w:val="24"/>
          <w:szCs w:val="24"/>
        </w:rPr>
        <w:t>Jones v. City of Cincinnati</w:t>
      </w:r>
      <w:r w:rsidRPr="009B0945">
        <w:rPr>
          <w:rFonts w:ascii="Times New Roman" w:hAnsi="Times New Roman"/>
          <w:color w:val="454545"/>
          <w:sz w:val="24"/>
          <w:szCs w:val="24"/>
        </w:rPr>
        <w:t>, a police sergeant arrived at a scene to find a detainee lying face down and not breathing; other responding officers had subdued and asphyxiated him. 521 F.3d 555, 558 (6th Cir. 2008).</w:t>
      </w:r>
      <w:r>
        <w:rPr>
          <w:rFonts w:ascii="Times New Roman" w:hAnsi="Times New Roman"/>
          <w:color w:val="454545"/>
          <w:sz w:val="24"/>
          <w:szCs w:val="24"/>
        </w:rPr>
        <w:t xml:space="preserve">” </w:t>
      </w:r>
      <w:hyperlink r:id="rId2023" w:history="1">
        <w:r w:rsidRPr="00891F87">
          <w:rPr>
            <w:rStyle w:val="Hyperlink"/>
            <w:rFonts w:ascii="Times New Roman" w:hAnsi="Times New Roman"/>
            <w:sz w:val="24"/>
            <w:szCs w:val="24"/>
          </w:rPr>
          <w:t>http://www.opn.ca6.uscourts.gov/opinions.pdf/08a0140p-06.pdf</w:t>
        </w:r>
      </w:hyperlink>
    </w:p>
    <w:p w14:paraId="098A7C2D" w14:textId="77777777" w:rsidR="001C2F88" w:rsidRDefault="001C2F88" w:rsidP="001C2F88">
      <w:pPr>
        <w:pStyle w:val="NoSpacing"/>
        <w:ind w:left="720"/>
        <w:rPr>
          <w:rFonts w:ascii="Times New Roman" w:hAnsi="Times New Roman"/>
          <w:color w:val="454545"/>
          <w:sz w:val="24"/>
          <w:szCs w:val="24"/>
        </w:rPr>
      </w:pPr>
    </w:p>
    <w:p w14:paraId="20CA9008" w14:textId="77777777" w:rsidR="001C2F88" w:rsidRDefault="001C2F88" w:rsidP="001C2F88">
      <w:pPr>
        <w:pStyle w:val="NoSpacing"/>
        <w:ind w:left="720"/>
        <w:rPr>
          <w:rFonts w:ascii="Times New Roman" w:hAnsi="Times New Roman"/>
          <w:color w:val="454545"/>
          <w:sz w:val="24"/>
          <w:szCs w:val="24"/>
        </w:rPr>
      </w:pPr>
      <w:r>
        <w:rPr>
          <w:rFonts w:ascii="Times New Roman" w:hAnsi="Times New Roman"/>
          <w:color w:val="454545"/>
          <w:sz w:val="24"/>
          <w:szCs w:val="24"/>
        </w:rPr>
        <w:t>***</w:t>
      </w:r>
    </w:p>
    <w:p w14:paraId="160459E7" w14:textId="77777777" w:rsidR="001C2F88" w:rsidRDefault="001C2F88" w:rsidP="001C2F88">
      <w:pPr>
        <w:pStyle w:val="NoSpacing"/>
        <w:ind w:left="720"/>
        <w:rPr>
          <w:rFonts w:ascii="Times New Roman" w:hAnsi="Times New Roman"/>
          <w:color w:val="454545"/>
          <w:sz w:val="24"/>
          <w:szCs w:val="24"/>
        </w:rPr>
      </w:pPr>
    </w:p>
    <w:p w14:paraId="3FF9A1F9" w14:textId="77777777" w:rsidR="001C2F88" w:rsidRPr="00C6276E" w:rsidRDefault="001C2F88" w:rsidP="001C2F88">
      <w:pPr>
        <w:pStyle w:val="NoSpacing"/>
        <w:ind w:left="720"/>
        <w:rPr>
          <w:rFonts w:ascii="Times New Roman" w:hAnsi="Times New Roman"/>
          <w:color w:val="454545"/>
          <w:sz w:val="24"/>
          <w:szCs w:val="24"/>
        </w:rPr>
      </w:pPr>
      <w:r w:rsidRPr="00C6276E">
        <w:rPr>
          <w:rFonts w:ascii="Times New Roman" w:hAnsi="Times New Roman"/>
          <w:color w:val="454545"/>
          <w:sz w:val="24"/>
          <w:szCs w:val="24"/>
        </w:rPr>
        <w:t>The Supreme Court established in 1983 that an officer has an obligation under the Due</w:t>
      </w:r>
    </w:p>
    <w:p w14:paraId="66C7A9FE" w14:textId="77777777" w:rsidR="001C2F88" w:rsidRDefault="001C2F88" w:rsidP="001C2F88">
      <w:pPr>
        <w:pStyle w:val="NoSpacing"/>
        <w:ind w:left="720"/>
        <w:rPr>
          <w:rFonts w:ascii="Times New Roman" w:hAnsi="Times New Roman"/>
          <w:color w:val="454545"/>
          <w:sz w:val="24"/>
          <w:szCs w:val="24"/>
        </w:rPr>
      </w:pPr>
      <w:r w:rsidRPr="00C6276E">
        <w:rPr>
          <w:rFonts w:ascii="Times New Roman" w:hAnsi="Times New Roman"/>
          <w:color w:val="454545"/>
          <w:sz w:val="24"/>
          <w:szCs w:val="24"/>
        </w:rPr>
        <w:t xml:space="preserve">Process Clause to provide adequate medical care </w:t>
      </w:r>
      <w:proofErr w:type="gramStart"/>
      <w:r w:rsidRPr="00C6276E">
        <w:rPr>
          <w:rFonts w:ascii="Times New Roman" w:hAnsi="Times New Roman"/>
          <w:color w:val="454545"/>
          <w:sz w:val="24"/>
          <w:szCs w:val="24"/>
        </w:rPr>
        <w:t>to</w:t>
      </w:r>
      <w:proofErr w:type="gramEnd"/>
      <w:r w:rsidRPr="00C6276E">
        <w:rPr>
          <w:rFonts w:ascii="Times New Roman" w:hAnsi="Times New Roman"/>
          <w:color w:val="454545"/>
          <w:sz w:val="24"/>
          <w:szCs w:val="24"/>
        </w:rPr>
        <w:t xml:space="preserve"> suspects shot during apprehension. City of</w:t>
      </w:r>
      <w:r>
        <w:rPr>
          <w:rFonts w:ascii="Times New Roman" w:hAnsi="Times New Roman"/>
          <w:color w:val="454545"/>
          <w:sz w:val="24"/>
          <w:szCs w:val="24"/>
        </w:rPr>
        <w:t xml:space="preserve"> </w:t>
      </w:r>
      <w:r w:rsidRPr="00C6276E">
        <w:rPr>
          <w:rFonts w:ascii="Times New Roman" w:hAnsi="Times New Roman"/>
          <w:color w:val="454545"/>
          <w:sz w:val="24"/>
          <w:szCs w:val="24"/>
        </w:rPr>
        <w:t>Revere, 463 U.S. at 244. As discussed above, the standard applicable in November 2018</w:t>
      </w:r>
      <w:r>
        <w:rPr>
          <w:rFonts w:ascii="Times New Roman" w:hAnsi="Times New Roman"/>
          <w:color w:val="454545"/>
          <w:sz w:val="24"/>
          <w:szCs w:val="24"/>
        </w:rPr>
        <w:t xml:space="preserve"> [Jones v. City of Cincinnati case] </w:t>
      </w:r>
      <w:r w:rsidRPr="00C6276E">
        <w:rPr>
          <w:rFonts w:ascii="Times New Roman" w:hAnsi="Times New Roman"/>
          <w:color w:val="454545"/>
          <w:sz w:val="24"/>
          <w:szCs w:val="24"/>
        </w:rPr>
        <w:t>required a plaintiff to show an officer knowingly and deliberately disregarded a detainee’s risk of</w:t>
      </w:r>
      <w:r>
        <w:rPr>
          <w:rFonts w:ascii="Times New Roman" w:hAnsi="Times New Roman"/>
          <w:color w:val="454545"/>
          <w:sz w:val="24"/>
          <w:szCs w:val="24"/>
        </w:rPr>
        <w:t xml:space="preserve"> </w:t>
      </w:r>
      <w:r w:rsidRPr="00C6276E">
        <w:rPr>
          <w:rFonts w:ascii="Times New Roman" w:hAnsi="Times New Roman"/>
          <w:color w:val="454545"/>
          <w:sz w:val="24"/>
          <w:szCs w:val="24"/>
        </w:rPr>
        <w:t xml:space="preserve">harm </w:t>
      </w:r>
      <w:proofErr w:type="gramStart"/>
      <w:r w:rsidRPr="00C6276E">
        <w:rPr>
          <w:rFonts w:ascii="Times New Roman" w:hAnsi="Times New Roman"/>
          <w:color w:val="454545"/>
          <w:sz w:val="24"/>
          <w:szCs w:val="24"/>
        </w:rPr>
        <w:t>in order to</w:t>
      </w:r>
      <w:proofErr w:type="gramEnd"/>
      <w:r w:rsidRPr="00C6276E">
        <w:rPr>
          <w:rFonts w:ascii="Times New Roman" w:hAnsi="Times New Roman"/>
          <w:color w:val="454545"/>
          <w:sz w:val="24"/>
          <w:szCs w:val="24"/>
        </w:rPr>
        <w:t xml:space="preserve"> prevail on an adequate medical care claim.</w:t>
      </w:r>
      <w:r>
        <w:rPr>
          <w:rFonts w:ascii="Times New Roman" w:hAnsi="Times New Roman"/>
          <w:color w:val="454545"/>
          <w:sz w:val="24"/>
          <w:szCs w:val="24"/>
        </w:rPr>
        <w:t>”</w:t>
      </w:r>
    </w:p>
    <w:p w14:paraId="14D15BA1" w14:textId="77777777" w:rsidR="001C2F88" w:rsidRDefault="001C2F88" w:rsidP="001C2F88">
      <w:pPr>
        <w:pStyle w:val="NoSpacing"/>
        <w:ind w:left="720"/>
        <w:rPr>
          <w:rFonts w:ascii="Times New Roman" w:hAnsi="Times New Roman"/>
          <w:color w:val="454545"/>
          <w:sz w:val="24"/>
          <w:szCs w:val="24"/>
        </w:rPr>
      </w:pPr>
    </w:p>
    <w:p w14:paraId="3EB4E79C" w14:textId="77777777" w:rsidR="001C2F88" w:rsidRDefault="001C2F88" w:rsidP="001C2F88">
      <w:pPr>
        <w:pStyle w:val="NormalWeb"/>
      </w:pPr>
      <w:r>
        <w:t xml:space="preserve">FACTS: </w:t>
      </w:r>
    </w:p>
    <w:p w14:paraId="3D262762" w14:textId="77777777" w:rsidR="001C2F88" w:rsidRPr="00A94EA2" w:rsidRDefault="001C2F88" w:rsidP="001C2F88">
      <w:pPr>
        <w:pStyle w:val="NoSpacing"/>
        <w:ind w:left="720"/>
        <w:rPr>
          <w:rFonts w:ascii="Times New Roman" w:hAnsi="Times New Roman"/>
          <w:sz w:val="24"/>
          <w:szCs w:val="24"/>
        </w:rPr>
      </w:pPr>
      <w:r>
        <w:rPr>
          <w:rFonts w:ascii="Times New Roman" w:hAnsi="Times New Roman"/>
          <w:sz w:val="24"/>
          <w:szCs w:val="24"/>
        </w:rPr>
        <w:t>“</w:t>
      </w:r>
      <w:r w:rsidRPr="00A94EA2">
        <w:rPr>
          <w:rFonts w:ascii="Times New Roman" w:hAnsi="Times New Roman"/>
          <w:sz w:val="24"/>
          <w:szCs w:val="24"/>
        </w:rPr>
        <w:t>On the morning of November 21, 2018, the day before</w:t>
      </w:r>
      <w:r>
        <w:rPr>
          <w:rFonts w:ascii="Times New Roman" w:hAnsi="Times New Roman"/>
          <w:sz w:val="24"/>
          <w:szCs w:val="24"/>
        </w:rPr>
        <w:t xml:space="preserve"> </w:t>
      </w:r>
      <w:r w:rsidRPr="00A94EA2">
        <w:rPr>
          <w:rFonts w:ascii="Times New Roman" w:hAnsi="Times New Roman"/>
          <w:sz w:val="24"/>
          <w:szCs w:val="24"/>
        </w:rPr>
        <w:t>Thanksgiving, Bill Heeter told his wife Karen he was about to commit suicide. Mr. Heeter’s</w:t>
      </w:r>
      <w:r>
        <w:rPr>
          <w:rFonts w:ascii="Times New Roman" w:hAnsi="Times New Roman"/>
          <w:sz w:val="24"/>
          <w:szCs w:val="24"/>
        </w:rPr>
        <w:t xml:space="preserve"> </w:t>
      </w:r>
      <w:r w:rsidRPr="00A94EA2">
        <w:rPr>
          <w:rFonts w:ascii="Times New Roman" w:hAnsi="Times New Roman"/>
          <w:sz w:val="24"/>
          <w:szCs w:val="24"/>
        </w:rPr>
        <w:t>brother called the police to stop him. At about 10:05 a.m., officers began to arrive at the family’s</w:t>
      </w:r>
      <w:r>
        <w:rPr>
          <w:rFonts w:ascii="Times New Roman" w:hAnsi="Times New Roman"/>
          <w:sz w:val="24"/>
          <w:szCs w:val="24"/>
        </w:rPr>
        <w:t xml:space="preserve"> </w:t>
      </w:r>
      <w:r w:rsidRPr="00A94EA2">
        <w:rPr>
          <w:rFonts w:ascii="Times New Roman" w:hAnsi="Times New Roman"/>
          <w:sz w:val="24"/>
          <w:szCs w:val="24"/>
        </w:rPr>
        <w:t>Columbus, Ohio home. They spotted Mr. Heeter through his kitchen window—he was sitting at</w:t>
      </w:r>
      <w:r>
        <w:rPr>
          <w:rFonts w:ascii="Times New Roman" w:hAnsi="Times New Roman"/>
          <w:sz w:val="24"/>
          <w:szCs w:val="24"/>
        </w:rPr>
        <w:t xml:space="preserve"> </w:t>
      </w:r>
      <w:r w:rsidRPr="00A94EA2">
        <w:rPr>
          <w:rFonts w:ascii="Times New Roman" w:hAnsi="Times New Roman"/>
          <w:sz w:val="24"/>
          <w:szCs w:val="24"/>
        </w:rPr>
        <w:t xml:space="preserve">a table smoking a cigarette, with one hand on his pistol. He told the officers he’d put his </w:t>
      </w:r>
      <w:proofErr w:type="gramStart"/>
      <w:r w:rsidRPr="00A94EA2">
        <w:rPr>
          <w:rFonts w:ascii="Times New Roman" w:hAnsi="Times New Roman"/>
          <w:sz w:val="24"/>
          <w:szCs w:val="24"/>
        </w:rPr>
        <w:t>gun</w:t>
      </w:r>
      <w:proofErr w:type="gramEnd"/>
    </w:p>
    <w:p w14:paraId="7BC1C106" w14:textId="77777777" w:rsidR="001C2F88" w:rsidRDefault="001C2F88" w:rsidP="001C2F88">
      <w:pPr>
        <w:pStyle w:val="NoSpacing"/>
        <w:ind w:left="720"/>
        <w:rPr>
          <w:rFonts w:ascii="Times New Roman" w:hAnsi="Times New Roman"/>
          <w:sz w:val="24"/>
          <w:szCs w:val="24"/>
        </w:rPr>
      </w:pPr>
      <w:r w:rsidRPr="00A94EA2">
        <w:rPr>
          <w:rFonts w:ascii="Times New Roman" w:hAnsi="Times New Roman"/>
          <w:sz w:val="24"/>
          <w:szCs w:val="24"/>
        </w:rPr>
        <w:t>away if they left. At approximately 10:15 a.m., a group of officers entered the house with their</w:t>
      </w:r>
      <w:r>
        <w:rPr>
          <w:rFonts w:ascii="Times New Roman" w:hAnsi="Times New Roman"/>
          <w:sz w:val="24"/>
          <w:szCs w:val="24"/>
        </w:rPr>
        <w:t xml:space="preserve"> </w:t>
      </w:r>
      <w:r w:rsidRPr="00A94EA2">
        <w:rPr>
          <w:rFonts w:ascii="Times New Roman" w:hAnsi="Times New Roman"/>
          <w:sz w:val="24"/>
          <w:szCs w:val="24"/>
        </w:rPr>
        <w:t>weapons drawn. At 10:17 a.m., Officer Kenneth Bowers fired five rounds from his M16 service</w:t>
      </w:r>
      <w:r>
        <w:rPr>
          <w:rFonts w:ascii="Times New Roman" w:hAnsi="Times New Roman"/>
          <w:sz w:val="24"/>
          <w:szCs w:val="24"/>
        </w:rPr>
        <w:t xml:space="preserve"> </w:t>
      </w:r>
      <w:r w:rsidRPr="00A94EA2">
        <w:rPr>
          <w:rFonts w:ascii="Times New Roman" w:hAnsi="Times New Roman"/>
          <w:sz w:val="24"/>
          <w:szCs w:val="24"/>
        </w:rPr>
        <w:t>rifle into Mr. Heeter’s chest. At 10:57 a.m., Mr. Heeter was pronounced dead at the hospital.</w:t>
      </w:r>
      <w:r>
        <w:rPr>
          <w:rFonts w:ascii="Times New Roman" w:hAnsi="Times New Roman"/>
          <w:sz w:val="24"/>
          <w:szCs w:val="24"/>
        </w:rPr>
        <w:t xml:space="preserve"> </w:t>
      </w:r>
      <w:r w:rsidRPr="00A94EA2">
        <w:rPr>
          <w:rFonts w:ascii="Times New Roman" w:hAnsi="Times New Roman"/>
          <w:sz w:val="24"/>
          <w:szCs w:val="24"/>
        </w:rPr>
        <w:t>Police bodycam footage captured almost everything that happened. It shows that a police</w:t>
      </w:r>
      <w:r>
        <w:rPr>
          <w:rFonts w:ascii="Times New Roman" w:hAnsi="Times New Roman"/>
          <w:sz w:val="24"/>
          <w:szCs w:val="24"/>
        </w:rPr>
        <w:t xml:space="preserve"> </w:t>
      </w:r>
      <w:r w:rsidRPr="00A94EA2">
        <w:rPr>
          <w:rFonts w:ascii="Times New Roman" w:hAnsi="Times New Roman"/>
          <w:sz w:val="24"/>
          <w:szCs w:val="24"/>
        </w:rPr>
        <w:t>sergeant called the paramedics. It also shows that Officer Bowers did not administer first aid or</w:t>
      </w:r>
      <w:r>
        <w:rPr>
          <w:rFonts w:ascii="Times New Roman" w:hAnsi="Times New Roman"/>
          <w:sz w:val="24"/>
          <w:szCs w:val="24"/>
        </w:rPr>
        <w:t xml:space="preserve"> </w:t>
      </w:r>
      <w:r w:rsidRPr="00A94EA2">
        <w:rPr>
          <w:rFonts w:ascii="Times New Roman" w:hAnsi="Times New Roman"/>
          <w:sz w:val="24"/>
          <w:szCs w:val="24"/>
        </w:rPr>
        <w:t xml:space="preserve">otherwise try to help Mr. Heeter while waiting </w:t>
      </w:r>
      <w:r w:rsidRPr="00A94EA2">
        <w:rPr>
          <w:rFonts w:ascii="Times New Roman" w:hAnsi="Times New Roman"/>
          <w:sz w:val="24"/>
          <w:szCs w:val="24"/>
        </w:rPr>
        <w:lastRenderedPageBreak/>
        <w:t>for the paramedics to arrive, even though Mr.</w:t>
      </w:r>
      <w:r>
        <w:rPr>
          <w:rFonts w:ascii="Times New Roman" w:hAnsi="Times New Roman"/>
          <w:sz w:val="24"/>
          <w:szCs w:val="24"/>
        </w:rPr>
        <w:t xml:space="preserve"> </w:t>
      </w:r>
      <w:r w:rsidRPr="00A94EA2">
        <w:rPr>
          <w:rFonts w:ascii="Times New Roman" w:hAnsi="Times New Roman"/>
          <w:sz w:val="24"/>
          <w:szCs w:val="24"/>
        </w:rPr>
        <w:t>Heeter was audibly and visibly alive, hemorrhaging blood, and struggling to breathe</w:t>
      </w:r>
      <w:r>
        <w:rPr>
          <w:rFonts w:ascii="Times New Roman" w:hAnsi="Times New Roman"/>
          <w:sz w:val="24"/>
          <w:szCs w:val="24"/>
        </w:rPr>
        <w:t>.”</w:t>
      </w:r>
    </w:p>
    <w:p w14:paraId="53170EFF" w14:textId="77777777" w:rsidR="001C2F88" w:rsidRDefault="001C2F88" w:rsidP="001C2F88">
      <w:pPr>
        <w:pStyle w:val="NoSpacing"/>
        <w:ind w:left="720"/>
        <w:rPr>
          <w:rFonts w:ascii="Times New Roman" w:hAnsi="Times New Roman"/>
          <w:sz w:val="24"/>
          <w:szCs w:val="24"/>
        </w:rPr>
      </w:pPr>
    </w:p>
    <w:p w14:paraId="36A72461" w14:textId="77777777" w:rsidR="001C2F88" w:rsidRDefault="001C2F88" w:rsidP="001C2F88">
      <w:pPr>
        <w:pStyle w:val="NormalWeb"/>
      </w:pPr>
      <w:r>
        <w:t>DISSENT:</w:t>
      </w:r>
    </w:p>
    <w:p w14:paraId="452B6B9D" w14:textId="77777777" w:rsidR="001C2F88" w:rsidRPr="00B91070" w:rsidRDefault="001C2F88" w:rsidP="001C2F88">
      <w:pPr>
        <w:pStyle w:val="NoSpacing"/>
        <w:ind w:left="720"/>
        <w:rPr>
          <w:rFonts w:ascii="Times New Roman" w:hAnsi="Times New Roman"/>
          <w:sz w:val="24"/>
          <w:szCs w:val="24"/>
        </w:rPr>
      </w:pPr>
      <w:r>
        <w:rPr>
          <w:rFonts w:ascii="Times New Roman" w:hAnsi="Times New Roman"/>
          <w:sz w:val="24"/>
          <w:szCs w:val="24"/>
        </w:rPr>
        <w:t xml:space="preserve">“The majority [opinion} acknowledges that </w:t>
      </w:r>
      <w:r w:rsidRPr="00B91070">
        <w:rPr>
          <w:rFonts w:ascii="Times New Roman" w:hAnsi="Times New Roman"/>
          <w:sz w:val="24"/>
          <w:szCs w:val="24"/>
        </w:rPr>
        <w:t>if Officer Bowers had reasonably believed that personal intervention would</w:t>
      </w:r>
      <w:r>
        <w:rPr>
          <w:rFonts w:ascii="Times New Roman" w:hAnsi="Times New Roman"/>
          <w:sz w:val="24"/>
          <w:szCs w:val="24"/>
        </w:rPr>
        <w:t xml:space="preserve"> </w:t>
      </w:r>
      <w:r w:rsidRPr="00B91070">
        <w:rPr>
          <w:rFonts w:ascii="Times New Roman" w:hAnsi="Times New Roman"/>
          <w:sz w:val="24"/>
          <w:szCs w:val="24"/>
        </w:rPr>
        <w:t>not have helped Mr. Heeter, he would not have been deliberately indifferent in failing to render</w:t>
      </w:r>
      <w:r>
        <w:rPr>
          <w:rFonts w:ascii="Times New Roman" w:hAnsi="Times New Roman"/>
          <w:sz w:val="24"/>
          <w:szCs w:val="24"/>
        </w:rPr>
        <w:t xml:space="preserve"> </w:t>
      </w:r>
      <w:r w:rsidRPr="00B91070">
        <w:rPr>
          <w:rFonts w:ascii="Times New Roman" w:hAnsi="Times New Roman"/>
          <w:sz w:val="24"/>
          <w:szCs w:val="24"/>
        </w:rPr>
        <w:t>any basic first aid under our precedent.</w:t>
      </w:r>
      <w:r>
        <w:rPr>
          <w:rFonts w:ascii="Times New Roman" w:hAnsi="Times New Roman"/>
          <w:sz w:val="24"/>
          <w:szCs w:val="24"/>
        </w:rPr>
        <w:t xml:space="preserve"> *** </w:t>
      </w:r>
      <w:r w:rsidRPr="004D46F5">
        <w:rPr>
          <w:rFonts w:ascii="Times New Roman" w:hAnsi="Times New Roman"/>
          <w:sz w:val="24"/>
          <w:szCs w:val="24"/>
        </w:rPr>
        <w:t>Because we do not have jurisdiction to review the factual disputes</w:t>
      </w:r>
      <w:r>
        <w:rPr>
          <w:rFonts w:ascii="Times New Roman" w:hAnsi="Times New Roman"/>
          <w:sz w:val="24"/>
          <w:szCs w:val="24"/>
        </w:rPr>
        <w:t xml:space="preserve"> </w:t>
      </w:r>
      <w:r w:rsidRPr="004D46F5">
        <w:rPr>
          <w:rFonts w:ascii="Times New Roman" w:hAnsi="Times New Roman"/>
          <w:sz w:val="24"/>
          <w:szCs w:val="24"/>
        </w:rPr>
        <w:t>Defendants present, I respectfully dissent from the majority’s choice to find jurisdiction in this</w:t>
      </w:r>
      <w:r>
        <w:rPr>
          <w:rFonts w:ascii="Times New Roman" w:hAnsi="Times New Roman"/>
          <w:sz w:val="24"/>
          <w:szCs w:val="24"/>
        </w:rPr>
        <w:t xml:space="preserve"> </w:t>
      </w:r>
      <w:r w:rsidRPr="004D46F5">
        <w:rPr>
          <w:rFonts w:ascii="Times New Roman" w:hAnsi="Times New Roman"/>
          <w:sz w:val="24"/>
          <w:szCs w:val="24"/>
        </w:rPr>
        <w:t>case. We should dismiss this qualified immunity appeal for lack of jurisdiction.</w:t>
      </w:r>
    </w:p>
    <w:p w14:paraId="2DCC3FBA" w14:textId="77777777" w:rsidR="001C2F88" w:rsidRPr="00A94EA2" w:rsidRDefault="001C2F88" w:rsidP="001C2F88">
      <w:pPr>
        <w:pStyle w:val="NoSpacing"/>
        <w:ind w:left="720"/>
        <w:rPr>
          <w:rFonts w:ascii="Times New Roman" w:hAnsi="Times New Roman"/>
          <w:sz w:val="24"/>
          <w:szCs w:val="24"/>
        </w:rPr>
      </w:pPr>
    </w:p>
    <w:p w14:paraId="0FB5864F" w14:textId="77777777" w:rsidR="001C2F88" w:rsidRPr="00A94EA2" w:rsidRDefault="001C2F88" w:rsidP="001C2F88">
      <w:pPr>
        <w:pStyle w:val="NoSpacing"/>
        <w:rPr>
          <w:rFonts w:ascii="Times New Roman" w:hAnsi="Times New Roman"/>
          <w:sz w:val="24"/>
          <w:szCs w:val="24"/>
        </w:rPr>
      </w:pPr>
    </w:p>
    <w:p w14:paraId="41EE3FF8" w14:textId="77777777" w:rsidR="001C2F88" w:rsidRPr="00C52C47" w:rsidRDefault="001C2F88" w:rsidP="001C2F88">
      <w:pPr>
        <w:pStyle w:val="NoSpacing"/>
        <w:rPr>
          <w:rFonts w:ascii="Times New Roman" w:hAnsi="Times New Roman"/>
          <w:b/>
          <w:bCs/>
          <w:sz w:val="24"/>
          <w:szCs w:val="24"/>
        </w:rPr>
      </w:pPr>
      <w:r w:rsidRPr="00C52C47">
        <w:rPr>
          <w:rFonts w:ascii="Times New Roman" w:hAnsi="Times New Roman"/>
          <w:b/>
          <w:bCs/>
          <w:sz w:val="24"/>
          <w:szCs w:val="24"/>
        </w:rPr>
        <w:t xml:space="preserve">Legal Lesson Learned: </w:t>
      </w:r>
      <w:r>
        <w:rPr>
          <w:rFonts w:ascii="Times New Roman" w:hAnsi="Times New Roman"/>
          <w:b/>
          <w:bCs/>
          <w:sz w:val="24"/>
          <w:szCs w:val="24"/>
        </w:rPr>
        <w:t>Under the 6</w:t>
      </w:r>
      <w:r w:rsidRPr="00C64006">
        <w:rPr>
          <w:rFonts w:ascii="Times New Roman" w:hAnsi="Times New Roman"/>
          <w:b/>
          <w:bCs/>
          <w:sz w:val="24"/>
          <w:szCs w:val="24"/>
          <w:vertAlign w:val="superscript"/>
        </w:rPr>
        <w:t>th</w:t>
      </w:r>
      <w:r>
        <w:rPr>
          <w:rFonts w:ascii="Times New Roman" w:hAnsi="Times New Roman"/>
          <w:b/>
          <w:bCs/>
          <w:sz w:val="24"/>
          <w:szCs w:val="24"/>
        </w:rPr>
        <w:t xml:space="preserve"> Circuit’s 2008 Jones v. City of Cincinnati case, police officers in 6</w:t>
      </w:r>
      <w:r w:rsidRPr="00C64006">
        <w:rPr>
          <w:rFonts w:ascii="Times New Roman" w:hAnsi="Times New Roman"/>
          <w:b/>
          <w:bCs/>
          <w:sz w:val="24"/>
          <w:szCs w:val="24"/>
          <w:vertAlign w:val="superscript"/>
        </w:rPr>
        <w:t>th</w:t>
      </w:r>
      <w:r>
        <w:rPr>
          <w:rFonts w:ascii="Times New Roman" w:hAnsi="Times New Roman"/>
          <w:b/>
          <w:bCs/>
          <w:sz w:val="24"/>
          <w:szCs w:val="24"/>
        </w:rPr>
        <w:t xml:space="preserve"> Circuit states [Ohio, Michigan, Kentucky, Tennessee] must render first aid to person in their custody.  Fire &amp; EMS when calling PD to scene of violent person should stage nearby. </w:t>
      </w:r>
    </w:p>
    <w:p w14:paraId="6C18DA91" w14:textId="77777777" w:rsidR="001C2F88" w:rsidRPr="00C52C47" w:rsidRDefault="001C2F88" w:rsidP="001C2F88">
      <w:pPr>
        <w:pStyle w:val="NoSpacing"/>
        <w:rPr>
          <w:rFonts w:ascii="Times New Roman" w:hAnsi="Times New Roman"/>
          <w:b/>
          <w:bCs/>
          <w:sz w:val="24"/>
          <w:szCs w:val="24"/>
        </w:rPr>
      </w:pPr>
    </w:p>
    <w:p w14:paraId="1085E5D7" w14:textId="77777777" w:rsidR="001C2F88" w:rsidRPr="004913F6" w:rsidRDefault="001C2F88" w:rsidP="001C2F88">
      <w:pPr>
        <w:pStyle w:val="NormalWeb"/>
        <w:spacing w:before="0" w:beforeAutospacing="0"/>
        <w:ind w:left="1440"/>
      </w:pPr>
      <w:r>
        <w:rPr>
          <w:color w:val="454545"/>
          <w:shd w:val="clear" w:color="auto" w:fill="FFFFFF"/>
        </w:rPr>
        <w:t xml:space="preserve">Note:  EMS agencies using body cameras. See this May 2, </w:t>
      </w:r>
      <w:proofErr w:type="gramStart"/>
      <w:r>
        <w:rPr>
          <w:color w:val="454545"/>
          <w:shd w:val="clear" w:color="auto" w:fill="FFFFFF"/>
        </w:rPr>
        <w:t>2024</w:t>
      </w:r>
      <w:proofErr w:type="gramEnd"/>
      <w:r>
        <w:rPr>
          <w:color w:val="454545"/>
          <w:shd w:val="clear" w:color="auto" w:fill="FFFFFF"/>
        </w:rPr>
        <w:t xml:space="preserve"> article: “</w:t>
      </w:r>
      <w:r w:rsidRPr="004913F6">
        <w:rPr>
          <w:rStyle w:val="title-main"/>
          <w:rFonts w:eastAsiaTheme="majorEastAsia"/>
          <w:color w:val="212529"/>
        </w:rPr>
        <w:t>Body Cams Help New Orleans EMS Protect Providers While Prioritizing Patient Safety</w:t>
      </w:r>
      <w:r>
        <w:rPr>
          <w:rStyle w:val="title-main"/>
          <w:rFonts w:eastAsiaTheme="majorEastAsia"/>
          <w:color w:val="212529"/>
        </w:rPr>
        <w:t xml:space="preserve">.” </w:t>
      </w:r>
      <w:hyperlink r:id="rId2024" w:history="1">
        <w:r w:rsidRPr="004913F6">
          <w:rPr>
            <w:rStyle w:val="Hyperlink"/>
          </w:rPr>
          <w:t>https://www.hmpgloballearningnetwork.com/site/emsworld/feature-story/body-cams-help-new-orleans-ems-protect-providers-while-prioritizing</w:t>
        </w:r>
      </w:hyperlink>
      <w:r>
        <w:t xml:space="preserve"> </w:t>
      </w:r>
    </w:p>
    <w:p w14:paraId="7BCF11A3" w14:textId="77777777" w:rsidR="001C2F88" w:rsidRDefault="001C2F88" w:rsidP="001C2F88">
      <w:pPr>
        <w:pStyle w:val="NormalWeb"/>
        <w:spacing w:before="0" w:beforeAutospacing="0"/>
        <w:ind w:left="1440"/>
        <w:rPr>
          <w:color w:val="454545"/>
          <w:shd w:val="clear" w:color="auto" w:fill="FFFFFF"/>
        </w:rPr>
      </w:pPr>
      <w:r>
        <w:rPr>
          <w:rFonts w:ascii="acumin-pro" w:hAnsi="acumin-pro"/>
          <w:color w:val="212529"/>
          <w:shd w:val="clear" w:color="auto" w:fill="FFFFFF"/>
        </w:rPr>
        <w:t>“New Orleans EMS embarked on a soft launch of body cameras in late 2022 to determine if staff wanted them and to calculate costs. The first deployment was 15 cameras, which recently increased to 30 more.”</w:t>
      </w:r>
    </w:p>
    <w:p w14:paraId="51E4A4AE" w14:textId="77777777" w:rsidR="001C2F88" w:rsidRDefault="001C2F88" w:rsidP="001C2F88">
      <w:pPr>
        <w:pStyle w:val="NormalWeb"/>
        <w:spacing w:before="0" w:beforeAutospacing="0"/>
        <w:rPr>
          <w:color w:val="454545"/>
          <w:shd w:val="clear" w:color="auto" w:fill="FFFFFF"/>
        </w:rPr>
      </w:pPr>
    </w:p>
    <w:p w14:paraId="7F460D65" w14:textId="77777777" w:rsidR="001C2F88" w:rsidRPr="001C2F88" w:rsidRDefault="001C2F88" w:rsidP="001C2F88">
      <w:pPr>
        <w:pStyle w:val="NormalWeb"/>
        <w:shd w:val="clear" w:color="auto" w:fill="FFFFFF"/>
        <w:spacing w:before="0" w:beforeAutospacing="0"/>
        <w:rPr>
          <w:rFonts w:ascii="Arial Black" w:hAnsi="Arial Black"/>
          <w:color w:val="454545"/>
          <w:sz w:val="28"/>
          <w:szCs w:val="28"/>
          <w:shd w:val="clear" w:color="auto" w:fill="FFFFFF"/>
        </w:rPr>
      </w:pPr>
      <w:r w:rsidRPr="001C2F88">
        <w:rPr>
          <w:rFonts w:ascii="Arial Black" w:hAnsi="Arial Black"/>
          <w:color w:val="454545"/>
          <w:sz w:val="28"/>
          <w:szCs w:val="28"/>
          <w:shd w:val="clear" w:color="auto" w:fill="FFFFFF"/>
        </w:rPr>
        <w:t>13-183</w:t>
      </w:r>
    </w:p>
    <w:p w14:paraId="38D674E8" w14:textId="7FA1DA71" w:rsidR="001C2F88" w:rsidRPr="006F4104" w:rsidRDefault="001C2F88" w:rsidP="001C2F88">
      <w:pPr>
        <w:pStyle w:val="NormalWeb"/>
        <w:shd w:val="clear" w:color="auto" w:fill="FFFFFF"/>
        <w:spacing w:before="0" w:beforeAutospacing="0"/>
        <w:rPr>
          <w:rFonts w:ascii="Arial Black" w:hAnsi="Arial Black"/>
          <w:b/>
          <w:bCs/>
          <w:color w:val="454545"/>
          <w:sz w:val="28"/>
          <w:szCs w:val="28"/>
        </w:rPr>
      </w:pPr>
      <w:r>
        <w:rPr>
          <w:rFonts w:ascii="Arial Black" w:hAnsi="Arial Black"/>
          <w:b/>
          <w:bCs/>
          <w:color w:val="454545"/>
          <w:sz w:val="28"/>
          <w:szCs w:val="28"/>
        </w:rPr>
        <w:t xml:space="preserve">ME: COVID VACCINATIONS  – 17 EMS SUED - STATE EMS HAD THE STATUTORY AUTHORITY REQ. EMS VACCINATED </w:t>
      </w:r>
    </w:p>
    <w:p w14:paraId="164FC379" w14:textId="77777777" w:rsidR="001C2F88" w:rsidRDefault="001C2F88" w:rsidP="001C2F88">
      <w:pPr>
        <w:pStyle w:val="NormalWeb"/>
        <w:shd w:val="clear" w:color="auto" w:fill="FFFFFF"/>
        <w:spacing w:before="0" w:beforeAutospacing="0"/>
      </w:pPr>
      <w:r>
        <w:rPr>
          <w:color w:val="454545"/>
        </w:rPr>
        <w:t xml:space="preserve">On April 25, 2024, in </w:t>
      </w:r>
      <w:r w:rsidRPr="0065594D">
        <w:rPr>
          <w:color w:val="454545"/>
          <w:u w:val="single"/>
        </w:rPr>
        <w:t>Chris Calnan, et al. v. San Hurley</w:t>
      </w:r>
      <w:r>
        <w:rPr>
          <w:color w:val="454545"/>
        </w:rPr>
        <w:t xml:space="preserve">, [Director of </w:t>
      </w:r>
      <w:r>
        <w:t xml:space="preserve">Maine Emergency Medical Services], the Supreme Court of Maine held (6 to 0) that trial court properly dismissed the plaintiffs’ complaint for a declaratory judgment, and EMS lost wages for failure to get vaccinated. </w:t>
      </w:r>
      <w:hyperlink r:id="rId2025" w:history="1">
        <w:r w:rsidRPr="007C1F1F">
          <w:rPr>
            <w:rStyle w:val="Hyperlink"/>
          </w:rPr>
          <w:t>https://www.courts.maine.gov/courts/sjc/lawcourt/2024/24me030.pdf</w:t>
        </w:r>
      </w:hyperlink>
      <w:r>
        <w:t xml:space="preserve"> </w:t>
      </w:r>
    </w:p>
    <w:p w14:paraId="0D0AAE9C" w14:textId="77777777" w:rsidR="001C2F88" w:rsidRDefault="001C2F88" w:rsidP="001C2F88">
      <w:pPr>
        <w:pStyle w:val="NormalWeb"/>
        <w:shd w:val="clear" w:color="auto" w:fill="FFFFFF"/>
        <w:spacing w:before="0" w:beforeAutospacing="0"/>
      </w:pPr>
      <w:r>
        <w:t>COURT HELD:</w:t>
      </w:r>
    </w:p>
    <w:p w14:paraId="6DD94C3E" w14:textId="77777777" w:rsidR="001C2F88" w:rsidRDefault="001C2F88" w:rsidP="001C2F88">
      <w:pPr>
        <w:pStyle w:val="NormalWeb"/>
        <w:shd w:val="clear" w:color="auto" w:fill="FFFFFF"/>
        <w:spacing w:before="0" w:beforeAutospacing="0"/>
        <w:ind w:left="720"/>
      </w:pPr>
      <w:r>
        <w:t xml:space="preserve">“The Maine Emergency Medical Services Act of 1982 (EMS Act) provides for the EMS system in Maine. </w:t>
      </w:r>
      <w:r>
        <w:rPr>
          <w:rStyle w:val="Emphasis"/>
          <w:rFonts w:eastAsiaTheme="majorEastAsia"/>
        </w:rPr>
        <w:t>See</w:t>
      </w:r>
      <w:r>
        <w:t xml:space="preserve"> 32 M.R.S. §§ 81-98 (2024).</w:t>
      </w:r>
    </w:p>
    <w:p w14:paraId="444EE1DB" w14:textId="77777777" w:rsidR="001C2F88" w:rsidRDefault="001C2F88" w:rsidP="001C2F88">
      <w:pPr>
        <w:pStyle w:val="NormalWeb"/>
        <w:shd w:val="clear" w:color="auto" w:fill="FFFFFF"/>
        <w:spacing w:before="0" w:beforeAutospacing="0"/>
        <w:ind w:left="720"/>
      </w:pPr>
      <w:r>
        <w:t>***</w:t>
      </w:r>
    </w:p>
    <w:p w14:paraId="213B67CD" w14:textId="77777777" w:rsidR="001C2F88" w:rsidRDefault="001C2F88" w:rsidP="001C2F88">
      <w:pPr>
        <w:pStyle w:val="NormalWeb"/>
        <w:ind w:left="720"/>
      </w:pPr>
      <w:r>
        <w:t xml:space="preserve">The statute unambiguously delegates to the EMS Board rulemaking authority regarding qualifications of EMS personnel, and its statutory purpose clearly vests the EMS Board with the responsibility of creating standards and qualifications for such personnel. </w:t>
      </w:r>
    </w:p>
    <w:p w14:paraId="7F09E3C2" w14:textId="77777777" w:rsidR="001C2F88" w:rsidRDefault="001C2F88" w:rsidP="001C2F88">
      <w:pPr>
        <w:pStyle w:val="NormalWeb"/>
        <w:ind w:left="720"/>
      </w:pPr>
      <w:r>
        <w:lastRenderedPageBreak/>
        <w:t xml:space="preserve">Calnan argues that unlike in the chapter relating to the Department of Health and Human Services, </w:t>
      </w:r>
      <w:r>
        <w:rPr>
          <w:rStyle w:val="Emphasis"/>
          <w:rFonts w:eastAsiaTheme="majorEastAsia"/>
        </w:rPr>
        <w:t>see</w:t>
      </w:r>
      <w:r>
        <w:t xml:space="preserve"> 22 M.R.S. § 802 (2024), which gives the Department of Health and Human Services express authority to promulgate immunization rules for healthcare workers, Section 81-A does not specifically confer such authority on the EMS Board. Thus, he maintains, it is beyond the power of the EMS Board to address immunization in its rules. We disagree.”</w:t>
      </w:r>
    </w:p>
    <w:p w14:paraId="4391B8E4" w14:textId="77777777" w:rsidR="001C2F88" w:rsidRPr="00897F33" w:rsidRDefault="001C2F88" w:rsidP="001C2F88">
      <w:pPr>
        <w:pStyle w:val="NormalWeb"/>
        <w:shd w:val="clear" w:color="auto" w:fill="FFFFFF"/>
        <w:spacing w:before="0" w:beforeAutospacing="0"/>
        <w:rPr>
          <w:b/>
          <w:bCs/>
        </w:rPr>
      </w:pPr>
      <w:r w:rsidRPr="00897F33">
        <w:rPr>
          <w:b/>
          <w:bCs/>
        </w:rPr>
        <w:t xml:space="preserve">Legal Lesson Learned: </w:t>
      </w:r>
      <w:r>
        <w:rPr>
          <w:b/>
          <w:bCs/>
        </w:rPr>
        <w:t xml:space="preserve">This is another case upholding State EMS agencies authority to require COVID vaccination. </w:t>
      </w:r>
    </w:p>
    <w:p w14:paraId="486ED613" w14:textId="77777777" w:rsidR="001C2F88" w:rsidRDefault="001C2F88" w:rsidP="001C2F88">
      <w:pPr>
        <w:pStyle w:val="NormalWeb"/>
        <w:shd w:val="clear" w:color="auto" w:fill="FFFFFF"/>
        <w:spacing w:before="0" w:beforeAutospacing="0"/>
        <w:ind w:left="720"/>
        <w:rPr>
          <w:color w:val="454545"/>
        </w:rPr>
      </w:pPr>
      <w:r>
        <w:rPr>
          <w:color w:val="454545"/>
        </w:rPr>
        <w:t>Note: The Court referenced other similar court decisions.</w:t>
      </w:r>
    </w:p>
    <w:p w14:paraId="5F17692C" w14:textId="77777777" w:rsidR="001C2F88" w:rsidRDefault="001C2F88" w:rsidP="001C2F88">
      <w:pPr>
        <w:pStyle w:val="NormalWeb"/>
        <w:ind w:left="720"/>
      </w:pPr>
      <w:r>
        <w:t xml:space="preserve">“Although Calnan challenges the EMS Board's overall authority </w:t>
      </w:r>
      <w:proofErr w:type="gramStart"/>
      <w:r>
        <w:t>with regard to</w:t>
      </w:r>
      <w:proofErr w:type="gramEnd"/>
      <w:r>
        <w:t xml:space="preserve"> immunization, when the EMS Board initially promulgated the rule in 2021, public policy supported requirements that certain people, especially healthcare workers such as EMS personnel, be vaccinated. </w:t>
      </w:r>
      <w:r>
        <w:rPr>
          <w:rStyle w:val="Emphasis"/>
          <w:rFonts w:eastAsiaTheme="majorEastAsia"/>
        </w:rPr>
        <w:t>See In re City of Newark</w:t>
      </w:r>
      <w:r>
        <w:t xml:space="preserve">, 264 A.3d at 327 ("Th[e] right ['to hire or direct its workforce',] coupled with the clear national and state public policy to combat the health threats posed by COVID-19, supports the City's authority to implement a vaccination mandate."); </w:t>
      </w:r>
      <w:r>
        <w:rPr>
          <w:rStyle w:val="Emphasis"/>
          <w:rFonts w:eastAsiaTheme="majorEastAsia"/>
        </w:rPr>
        <w:t>Boston Firefighters Union, Loc. 718 v. City of Boston</w:t>
      </w:r>
      <w:r>
        <w:t>, 205 N.E.3d 282, 294-95 (Mass. 2023) (‘[V]</w:t>
      </w:r>
      <w:proofErr w:type="spellStart"/>
      <w:r>
        <w:t>accination</w:t>
      </w:r>
      <w:proofErr w:type="spellEnd"/>
      <w:r>
        <w:t xml:space="preserve"> against COVID-19 not only protected the health of the city residents, but also protected the [City's] ability to continue to maintain a sufficiently healthy workforce during the Omicron surge, as would be needed to deliver emergency public safety services to the residents of the city.’). We conclude that the EMS Board did not exceed its statutory authority in issuing the EMS immunization rule.”</w:t>
      </w:r>
    </w:p>
    <w:p w14:paraId="202AA7C2" w14:textId="77777777" w:rsidR="001C2F88" w:rsidRDefault="001C2F88" w:rsidP="001C2F88">
      <w:pPr>
        <w:pStyle w:val="NormalWeb"/>
        <w:shd w:val="clear" w:color="auto" w:fill="FFFFFF"/>
        <w:spacing w:before="0" w:beforeAutospacing="0"/>
        <w:ind w:left="720"/>
        <w:rPr>
          <w:color w:val="454545"/>
        </w:rPr>
      </w:pPr>
    </w:p>
    <w:p w14:paraId="44693D4A" w14:textId="77777777" w:rsidR="001C2F88" w:rsidRPr="001C2F88" w:rsidRDefault="001C2F88" w:rsidP="001C2F88">
      <w:pPr>
        <w:pStyle w:val="NormalWeb"/>
        <w:rPr>
          <w:rFonts w:ascii="Arial Black" w:hAnsi="Arial Black"/>
          <w:sz w:val="28"/>
          <w:szCs w:val="28"/>
        </w:rPr>
      </w:pPr>
      <w:r w:rsidRPr="001C2F88">
        <w:rPr>
          <w:rFonts w:ascii="Arial Black" w:hAnsi="Arial Black"/>
          <w:sz w:val="28"/>
          <w:szCs w:val="28"/>
        </w:rPr>
        <w:t>13-182</w:t>
      </w:r>
    </w:p>
    <w:p w14:paraId="09353AD6" w14:textId="1C24A20B" w:rsidR="001C2F88" w:rsidRPr="008205D8" w:rsidRDefault="001C2F88" w:rsidP="001C2F88">
      <w:pPr>
        <w:pStyle w:val="NormalWeb"/>
        <w:rPr>
          <w:rFonts w:ascii="Arial Black" w:hAnsi="Arial Black"/>
          <w:sz w:val="28"/>
          <w:szCs w:val="28"/>
        </w:rPr>
      </w:pPr>
      <w:r>
        <w:rPr>
          <w:rFonts w:ascii="Arial Black" w:hAnsi="Arial Black"/>
          <w:sz w:val="28"/>
          <w:szCs w:val="28"/>
        </w:rPr>
        <w:t>NJ: UNCONSCIOUS DIABETIC – IV SITE ADVERSE REACTION TO DEXTROSE – MEDICS ACTED GOOD FAITH - IMMUNITY</w:t>
      </w:r>
    </w:p>
    <w:p w14:paraId="5A1ED38C" w14:textId="77777777" w:rsidR="001C2F88" w:rsidRDefault="001C2F88" w:rsidP="001C2F88">
      <w:pPr>
        <w:pStyle w:val="NormalWeb"/>
      </w:pPr>
      <w:r>
        <w:t xml:space="preserve">On April 24, 2024, in </w:t>
      </w:r>
      <w:r w:rsidRPr="00C71E18">
        <w:rPr>
          <w:u w:val="single"/>
        </w:rPr>
        <w:t>Robin Newsome v. Inspira Health Network, Inc, and Gloucester County Emergency Medical Service</w:t>
      </w:r>
      <w:r>
        <w:t xml:space="preserve">, the Superior Court of New Jersey, Appellate Division, held (3 to 0) that trial court properly granted summary judgment for the defense since the two medics acted in good faith. Four years prior, one of medics </w:t>
      </w:r>
      <w:proofErr w:type="gramStart"/>
      <w:r>
        <w:t>had transported</w:t>
      </w:r>
      <w:proofErr w:type="gramEnd"/>
      <w:r>
        <w:t xml:space="preserve"> the patient and did not use dextrose when husband told him about her adverse reaction (used glucagon instead); husband claims that he again warned the medic.  The patient when transported to hospital recovered but needed emergency “compartment syndrome” surgery to repair IV site. </w:t>
      </w:r>
      <w:hyperlink r:id="rId2026" w:history="1">
        <w:r w:rsidRPr="007C1F1F">
          <w:rPr>
            <w:rStyle w:val="Hyperlink"/>
          </w:rPr>
          <w:t>https://casetext.com/case/newsome-v-inspira-health-network-inc</w:t>
        </w:r>
      </w:hyperlink>
      <w:r>
        <w:t xml:space="preserve"> </w:t>
      </w:r>
    </w:p>
    <w:p w14:paraId="6BA6775A" w14:textId="77777777" w:rsidR="001C2F88" w:rsidRDefault="001C2F88" w:rsidP="001C2F88">
      <w:pPr>
        <w:pStyle w:val="NormalWeb"/>
      </w:pPr>
      <w:r>
        <w:t>COURT HELD:</w:t>
      </w:r>
    </w:p>
    <w:p w14:paraId="6C3D9B33" w14:textId="77777777" w:rsidR="001C2F88" w:rsidRDefault="001C2F88" w:rsidP="001C2F88">
      <w:pPr>
        <w:pStyle w:val="NormalWeb"/>
        <w:ind w:left="720"/>
      </w:pPr>
      <w:r>
        <w:t xml:space="preserve">“Therefore, we agree with the trial court's determination the initial communication, or miscommunication, was in the scope of rendering life support services, and thus conduct the Legislature intended to afford the shield of immunity. </w:t>
      </w:r>
    </w:p>
    <w:p w14:paraId="1277D5C3" w14:textId="77777777" w:rsidR="001C2F88" w:rsidRDefault="001C2F88" w:rsidP="001C2F88">
      <w:pPr>
        <w:pStyle w:val="NormalWeb"/>
        <w:ind w:left="720"/>
      </w:pPr>
      <w:r>
        <w:t xml:space="preserve">The paramedics' conduct must then be measured against the good faith standard, not negligence. </w:t>
      </w:r>
      <w:proofErr w:type="gramStart"/>
      <w:r>
        <w:t>Generally, ‘</w:t>
      </w:r>
      <w:proofErr w:type="gramEnd"/>
      <w:r>
        <w:t xml:space="preserve">good faith’ exists where there is ‘honesty of purpose and integrity of conduct without knowledge, either actual or sufficient to demand inquiry, that the conduct is wrong.’ </w:t>
      </w:r>
      <w:r>
        <w:rPr>
          <w:rStyle w:val="Emphasis"/>
          <w:rFonts w:eastAsiaTheme="majorEastAsia"/>
        </w:rPr>
        <w:t>Frields v. St. Joseph's Hosp.</w:t>
      </w:r>
      <w:r>
        <w:t xml:space="preserve">, 305 </w:t>
      </w:r>
      <w:proofErr w:type="spellStart"/>
      <w:r>
        <w:t>N.J.Super</w:t>
      </w:r>
      <w:proofErr w:type="spellEnd"/>
      <w:r>
        <w:t xml:space="preserve">. 244, 248 (App. Div. 1997) (quoting </w:t>
      </w:r>
      <w:r>
        <w:rPr>
          <w:rStyle w:val="Emphasis"/>
          <w:rFonts w:eastAsiaTheme="majorEastAsia"/>
        </w:rPr>
        <w:t>Marley v. Borough of Palmyra</w:t>
      </w:r>
      <w:r>
        <w:t xml:space="preserve">, 193 </w:t>
      </w:r>
      <w:proofErr w:type="spellStart"/>
      <w:r>
        <w:t>N.J.Super</w:t>
      </w:r>
      <w:proofErr w:type="spellEnd"/>
      <w:r>
        <w:t xml:space="preserve">. 271, 294 (Law Div. </w:t>
      </w:r>
      <w:proofErr w:type="gramStart"/>
      <w:r>
        <w:t>1983))</w:t>
      </w:r>
      <w:proofErr w:type="gramEnd"/>
      <w:r>
        <w:t xml:space="preserve">. While the issue of good faith is often determined in a plenary hearing, summary judgment is proper where the defendant demonstrates that the actions ‘were </w:t>
      </w:r>
      <w:r>
        <w:lastRenderedPageBreak/>
        <w:t xml:space="preserve">objectively reasonable or that they performed them with subjective good faith.’ </w:t>
      </w:r>
      <w:proofErr w:type="spellStart"/>
      <w:r>
        <w:rPr>
          <w:rStyle w:val="Emphasis"/>
          <w:rFonts w:eastAsiaTheme="majorEastAsia"/>
        </w:rPr>
        <w:t>Canico</w:t>
      </w:r>
      <w:proofErr w:type="spellEnd"/>
      <w:r>
        <w:rPr>
          <w:rStyle w:val="Emphasis"/>
          <w:rFonts w:eastAsiaTheme="majorEastAsia"/>
        </w:rPr>
        <w:t xml:space="preserve"> v. Hurtado</w:t>
      </w:r>
      <w:r>
        <w:t xml:space="preserve">, 144 N.J. 361, 365 (1996). ‘This test recognizes that even a person who acted negligently is entitled to a qualified immunity, if he acted in an objectively reasonable manner.’ </w:t>
      </w:r>
      <w:r>
        <w:rPr>
          <w:rStyle w:val="Emphasis"/>
          <w:rFonts w:eastAsiaTheme="majorEastAsia"/>
        </w:rPr>
        <w:t>Frields</w:t>
      </w:r>
      <w:r>
        <w:t xml:space="preserve">, 305 </w:t>
      </w:r>
      <w:proofErr w:type="spellStart"/>
      <w:r>
        <w:t>N.J.Super</w:t>
      </w:r>
      <w:proofErr w:type="spellEnd"/>
      <w:r>
        <w:t xml:space="preserve">. at 248 (citing </w:t>
      </w:r>
      <w:r>
        <w:rPr>
          <w:rStyle w:val="Emphasis"/>
          <w:rFonts w:eastAsiaTheme="majorEastAsia"/>
        </w:rPr>
        <w:t>id.</w:t>
      </w:r>
      <w:r>
        <w:t xml:space="preserve"> at 366).”</w:t>
      </w:r>
    </w:p>
    <w:p w14:paraId="5371A139" w14:textId="55B897E3" w:rsidR="001C2F88" w:rsidRPr="00833362" w:rsidRDefault="001C2F88" w:rsidP="001C2F88">
      <w:pPr>
        <w:pStyle w:val="paragraph"/>
        <w:rPr>
          <w:b/>
          <w:bCs/>
        </w:rPr>
      </w:pPr>
      <w:r w:rsidRPr="00833362">
        <w:rPr>
          <w:b/>
          <w:bCs/>
        </w:rPr>
        <w:t>Legal Lesson Learned:</w:t>
      </w:r>
      <w:r>
        <w:rPr>
          <w:b/>
          <w:bCs/>
        </w:rPr>
        <w:t xml:space="preserve"> Medics acted in good faith, so they have immunity</w:t>
      </w:r>
      <w:r w:rsidR="00E237FA">
        <w:rPr>
          <w:b/>
          <w:bCs/>
        </w:rPr>
        <w:t xml:space="preserve">, </w:t>
      </w:r>
      <w:proofErr w:type="gramStart"/>
      <w:r w:rsidR="00E237FA">
        <w:rPr>
          <w:b/>
          <w:bCs/>
        </w:rPr>
        <w:t>and also</w:t>
      </w:r>
      <w:proofErr w:type="gramEnd"/>
      <w:r w:rsidR="00E237FA">
        <w:rPr>
          <w:b/>
          <w:bCs/>
        </w:rPr>
        <w:t xml:space="preserve"> </w:t>
      </w:r>
      <w:r w:rsidR="001B219E">
        <w:rPr>
          <w:b/>
          <w:bCs/>
        </w:rPr>
        <w:t xml:space="preserve">the employer. </w:t>
      </w:r>
    </w:p>
    <w:p w14:paraId="4942D841" w14:textId="77777777" w:rsidR="001C2F88" w:rsidRDefault="001C2F88" w:rsidP="001C2F88">
      <w:pPr>
        <w:pStyle w:val="paragraph"/>
        <w:ind w:left="720"/>
      </w:pPr>
    </w:p>
    <w:p w14:paraId="6B70A525" w14:textId="77777777" w:rsidR="001C2F88" w:rsidRPr="001C2F88" w:rsidRDefault="001C2F88" w:rsidP="001C2F88">
      <w:pPr>
        <w:pStyle w:val="NormalWeb"/>
        <w:rPr>
          <w:rFonts w:ascii="Arial Black" w:hAnsi="Arial Black"/>
          <w:sz w:val="28"/>
          <w:szCs w:val="28"/>
        </w:rPr>
      </w:pPr>
      <w:r w:rsidRPr="001C2F88">
        <w:rPr>
          <w:rFonts w:ascii="Arial Black" w:hAnsi="Arial Black"/>
          <w:sz w:val="28"/>
          <w:szCs w:val="28"/>
        </w:rPr>
        <w:t>13-181</w:t>
      </w:r>
    </w:p>
    <w:p w14:paraId="5534B55A" w14:textId="3E098940" w:rsidR="001C2F88" w:rsidRPr="00E664B1" w:rsidRDefault="001C2F88" w:rsidP="001C2F88">
      <w:pPr>
        <w:pStyle w:val="NormalWeb"/>
        <w:rPr>
          <w:rFonts w:ascii="Arial Black" w:hAnsi="Arial Black"/>
          <w:sz w:val="28"/>
          <w:szCs w:val="28"/>
        </w:rPr>
      </w:pPr>
      <w:r>
        <w:rPr>
          <w:rFonts w:ascii="Arial Black" w:hAnsi="Arial Black"/>
          <w:sz w:val="28"/>
          <w:szCs w:val="28"/>
        </w:rPr>
        <w:t>MN: MENTAL – POLICE TACKLED - MEDIC INJECTS KETAMINE – NO CASE</w:t>
      </w:r>
      <w:r w:rsidR="00395EA8">
        <w:rPr>
          <w:rFonts w:ascii="Arial Black" w:hAnsi="Arial Black"/>
          <w:sz w:val="28"/>
          <w:szCs w:val="28"/>
        </w:rPr>
        <w:t xml:space="preserve"> - </w:t>
      </w:r>
      <w:r>
        <w:rPr>
          <w:rFonts w:ascii="Arial Black" w:hAnsi="Arial Black"/>
          <w:sz w:val="28"/>
          <w:szCs w:val="28"/>
        </w:rPr>
        <w:t xml:space="preserve">BUT </w:t>
      </w:r>
      <w:r w:rsidR="0072252E">
        <w:rPr>
          <w:rFonts w:ascii="Arial Black" w:hAnsi="Arial Black"/>
          <w:sz w:val="28"/>
          <w:szCs w:val="28"/>
        </w:rPr>
        <w:t xml:space="preserve">AGENCY </w:t>
      </w:r>
      <w:r>
        <w:rPr>
          <w:rFonts w:ascii="Arial Black" w:hAnsi="Arial Black"/>
          <w:sz w:val="28"/>
          <w:szCs w:val="28"/>
        </w:rPr>
        <w:t>CAN’T RECOVER $4,690 COSTS</w:t>
      </w:r>
    </w:p>
    <w:p w14:paraId="621E2A31" w14:textId="77777777" w:rsidR="001C2F88" w:rsidRDefault="001C2F88" w:rsidP="001C2F88">
      <w:pPr>
        <w:pStyle w:val="NormalWeb"/>
      </w:pPr>
      <w:r>
        <w:t xml:space="preserve">On April 22, 2024, in </w:t>
      </w:r>
      <w:r w:rsidRPr="008F6E23">
        <w:rPr>
          <w:u w:val="single"/>
        </w:rPr>
        <w:t>Brandon Currie v. Clayton Aswegan, et al</w:t>
      </w:r>
      <w:r>
        <w:t xml:space="preserve">., United States District Court Judge Eric C. </w:t>
      </w:r>
      <w:proofErr w:type="spellStart"/>
      <w:r>
        <w:t>Tostrud</w:t>
      </w:r>
      <w:proofErr w:type="spellEnd"/>
      <w:r>
        <w:t xml:space="preserve">, U.S. District Court for District of Minnesota, held that even though he granted summary judgment for the defense, the EMS agency is denied court order to recover their costs in defending the litigation brought by homeless man living in tent in the woods, since the complaint did adequately allege a medical malpractice claim, supported by affidavit from medical expert.  </w:t>
      </w:r>
      <w:hyperlink r:id="rId2027" w:history="1">
        <w:r w:rsidRPr="007C1F1F">
          <w:rPr>
            <w:rStyle w:val="Hyperlink"/>
          </w:rPr>
          <w:t>https://casetext.com/case/currie-v-aswegan-1</w:t>
        </w:r>
      </w:hyperlink>
      <w:r>
        <w:t xml:space="preserve"> </w:t>
      </w:r>
    </w:p>
    <w:p w14:paraId="3A45743D" w14:textId="77777777" w:rsidR="001C2F88" w:rsidRDefault="001C2F88" w:rsidP="001C2F88">
      <w:pPr>
        <w:pStyle w:val="NormalWeb"/>
      </w:pPr>
      <w:r>
        <w:t xml:space="preserve">COURT HELD: </w:t>
      </w:r>
    </w:p>
    <w:p w14:paraId="15892B38" w14:textId="77777777" w:rsidR="001C2F88" w:rsidRDefault="001C2F88" w:rsidP="001C2F88">
      <w:pPr>
        <w:pStyle w:val="NormalWeb"/>
        <w:ind w:left="720"/>
      </w:pPr>
      <w:r>
        <w:t xml:space="preserve">“Allina Health Emergency Medical Services and paramedic Lawrence seek to recoup taxable costs under </w:t>
      </w:r>
      <w:hyperlink r:id="rId2028" w:history="1">
        <w:r>
          <w:rPr>
            <w:rStyle w:val="Hyperlink"/>
            <w:rFonts w:eastAsiaTheme="majorEastAsia"/>
          </w:rPr>
          <w:t>28 U.S.C. § 1920</w:t>
        </w:r>
      </w:hyperlink>
      <w:r>
        <w:t xml:space="preserve">. ECF No. 86. They seek to recover deposition transcript costs of $2,535.86 and copying costs of $2,154.92, for a total of $4,690.78. </w:t>
      </w:r>
      <w:r>
        <w:rPr>
          <w:i/>
          <w:iCs/>
        </w:rPr>
        <w:t>Id.</w:t>
      </w:r>
      <w:r>
        <w:t xml:space="preserve"> Mr. Currie objects. ECF No. 87. Because the record shows that Mr. Currie's financial circumstances are grim and his medical malpractice claim was not frivolous, the better answer is that it would be inequitable to allow costs. Therefore, Allina and Mr. Lawrence's bill of costs will not be allowed.”</w:t>
      </w:r>
    </w:p>
    <w:p w14:paraId="513E8B15" w14:textId="77777777" w:rsidR="001C2F88" w:rsidRDefault="001C2F88" w:rsidP="001C2F88">
      <w:pPr>
        <w:pStyle w:val="NormalWeb"/>
        <w:rPr>
          <w:b/>
          <w:bCs/>
        </w:rPr>
      </w:pPr>
      <w:r w:rsidRPr="00E47F73">
        <w:rPr>
          <w:b/>
          <w:bCs/>
        </w:rPr>
        <w:t>Legal Lesson Learned:</w:t>
      </w:r>
      <w:r>
        <w:rPr>
          <w:b/>
          <w:bCs/>
        </w:rPr>
        <w:t xml:space="preserve"> EMS use of ketamine in police incidents has been hot topic, including criminal prosecution of two Colorado medics and civil litigation around nation. </w:t>
      </w:r>
    </w:p>
    <w:p w14:paraId="676A947F" w14:textId="77777777" w:rsidR="001C2F88" w:rsidRDefault="001C2F88" w:rsidP="001C2F88">
      <w:pPr>
        <w:pStyle w:val="NormalWeb"/>
        <w:ind w:left="720"/>
      </w:pPr>
      <w:r w:rsidRPr="00CA4063">
        <w:t xml:space="preserve">Note: </w:t>
      </w:r>
    </w:p>
    <w:p w14:paraId="7ECFBAE1" w14:textId="77777777" w:rsidR="001C2F88" w:rsidRDefault="001C2F88" w:rsidP="001C2F88">
      <w:pPr>
        <w:pStyle w:val="Heading1"/>
        <w:ind w:left="720"/>
        <w:rPr>
          <w:sz w:val="24"/>
          <w:szCs w:val="24"/>
        </w:rPr>
      </w:pPr>
      <w:r>
        <w:rPr>
          <w:sz w:val="24"/>
          <w:szCs w:val="24"/>
        </w:rPr>
        <w:t>April 26, 2024, “</w:t>
      </w:r>
      <w:r w:rsidRPr="0005513B">
        <w:rPr>
          <w:sz w:val="24"/>
          <w:szCs w:val="24"/>
        </w:rPr>
        <w:t>Former Colorado paramedic Jeremy Cooper sentenced to probation, work release after conviction in death of Elijah McClain</w:t>
      </w:r>
      <w:r>
        <w:rPr>
          <w:sz w:val="24"/>
          <w:szCs w:val="24"/>
        </w:rPr>
        <w:t xml:space="preserve">,” </w:t>
      </w:r>
      <w:hyperlink r:id="rId2029" w:history="1">
        <w:r w:rsidRPr="007C1F1F">
          <w:rPr>
            <w:rStyle w:val="Hyperlink"/>
            <w:sz w:val="24"/>
            <w:szCs w:val="24"/>
          </w:rPr>
          <w:t>https://www.cbsnews.com/colorado/news/former-colorado-paramedic-jeremy-cooper-sentenced-conviction-death-elijah-mcclain/</w:t>
        </w:r>
      </w:hyperlink>
      <w:r>
        <w:rPr>
          <w:sz w:val="24"/>
          <w:szCs w:val="24"/>
        </w:rPr>
        <w:t xml:space="preserve"> </w:t>
      </w:r>
    </w:p>
    <w:p w14:paraId="0241356A" w14:textId="77777777" w:rsidR="001C2F88" w:rsidRPr="00A04715" w:rsidRDefault="001C2F88" w:rsidP="001C2F88">
      <w:pPr>
        <w:pStyle w:val="Heading1"/>
        <w:ind w:left="720"/>
        <w:rPr>
          <w:sz w:val="24"/>
          <w:szCs w:val="24"/>
        </w:rPr>
      </w:pPr>
      <w:r w:rsidRPr="00A04715">
        <w:rPr>
          <w:sz w:val="24"/>
          <w:szCs w:val="24"/>
        </w:rPr>
        <w:t xml:space="preserve">March 1, 2024, </w:t>
      </w:r>
      <w:r>
        <w:rPr>
          <w:sz w:val="24"/>
          <w:szCs w:val="24"/>
        </w:rPr>
        <w:t>“</w:t>
      </w:r>
      <w:r w:rsidRPr="00A04715">
        <w:rPr>
          <w:sz w:val="24"/>
          <w:szCs w:val="24"/>
        </w:rPr>
        <w:t>Former Colorado paramedic sentenced to 5 years after conviction in death of Elijah McClain</w:t>
      </w:r>
      <w:r>
        <w:rPr>
          <w:sz w:val="24"/>
          <w:szCs w:val="24"/>
        </w:rPr>
        <w:t xml:space="preserve">.” </w:t>
      </w:r>
      <w:hyperlink r:id="rId2030" w:history="1">
        <w:r w:rsidRPr="007C1F1F">
          <w:rPr>
            <w:rStyle w:val="Hyperlink"/>
            <w:sz w:val="24"/>
            <w:szCs w:val="24"/>
          </w:rPr>
          <w:t>https://www.cbsnews.com/colorado/news/aurora-colorado-paramedic-peter-cichuniec-sentenced-elijah-mcclain/</w:t>
        </w:r>
      </w:hyperlink>
      <w:r>
        <w:rPr>
          <w:sz w:val="24"/>
          <w:szCs w:val="24"/>
        </w:rPr>
        <w:t xml:space="preserve"> </w:t>
      </w:r>
    </w:p>
    <w:p w14:paraId="1AAAD7BC" w14:textId="77777777" w:rsidR="001C2F88" w:rsidRDefault="001C2F88" w:rsidP="001C2F88">
      <w:pPr>
        <w:pStyle w:val="Heading1"/>
        <w:ind w:left="720"/>
        <w:rPr>
          <w:sz w:val="24"/>
          <w:szCs w:val="24"/>
        </w:rPr>
      </w:pPr>
      <w:r w:rsidRPr="00EE4E88">
        <w:rPr>
          <w:sz w:val="24"/>
          <w:szCs w:val="24"/>
        </w:rPr>
        <w:t xml:space="preserve">Jan. 31, 2024, “Burlington </w:t>
      </w:r>
      <w:r>
        <w:rPr>
          <w:sz w:val="24"/>
          <w:szCs w:val="24"/>
        </w:rPr>
        <w:t xml:space="preserve">[Vermont] </w:t>
      </w:r>
      <w:r w:rsidRPr="00EE4E88">
        <w:rPr>
          <w:sz w:val="24"/>
          <w:szCs w:val="24"/>
        </w:rPr>
        <w:t xml:space="preserve">sued over claims of excessive force and inappropriate ketamine use on 14-year-old.” </w:t>
      </w:r>
      <w:hyperlink r:id="rId2031" w:history="1">
        <w:r w:rsidRPr="007C1F1F">
          <w:rPr>
            <w:rStyle w:val="Hyperlink"/>
            <w:sz w:val="24"/>
            <w:szCs w:val="24"/>
          </w:rPr>
          <w:t>https://www.vermontpublic.org/local-news/2024-01-31/burlington-sued-over-claims-of-excessive-force-and-inappropriate-ketamine-use-on-14-year-old</w:t>
        </w:r>
      </w:hyperlink>
      <w:r>
        <w:rPr>
          <w:sz w:val="24"/>
          <w:szCs w:val="24"/>
        </w:rPr>
        <w:t xml:space="preserve"> </w:t>
      </w:r>
    </w:p>
    <w:p w14:paraId="272311EE" w14:textId="77777777" w:rsidR="001C2F88" w:rsidRPr="00976E41" w:rsidRDefault="001C2F88" w:rsidP="001C2F88">
      <w:pPr>
        <w:pStyle w:val="NormalWeb"/>
        <w:ind w:left="720"/>
      </w:pPr>
      <w:r w:rsidRPr="0072252E">
        <w:rPr>
          <w:b/>
          <w:bCs/>
        </w:rPr>
        <w:t>Oct. 18, 2023, “Charleston County EMS under fire for using ketamine as lawsuits, settlements mount</w:t>
      </w:r>
      <w:r w:rsidRPr="00976E41">
        <w:t>.</w:t>
      </w:r>
      <w:r>
        <w:t xml:space="preserve">” </w:t>
      </w:r>
      <w:hyperlink r:id="rId2032" w:history="1">
        <w:r w:rsidRPr="007C1F1F">
          <w:rPr>
            <w:rStyle w:val="Hyperlink"/>
          </w:rPr>
          <w:t>https://www.postandcourier.com/news/charleston-county-ems-ketamine-lawsuit-settlement/article_682c754c-6d10-11ee-ac1b-ef7daf1ea208.html</w:t>
        </w:r>
      </w:hyperlink>
      <w:r>
        <w:t xml:space="preserve"> </w:t>
      </w:r>
      <w:r w:rsidRPr="00976E41">
        <w:t xml:space="preserve"> </w:t>
      </w:r>
    </w:p>
    <w:p w14:paraId="07739EA6" w14:textId="77777777" w:rsidR="001C2F88" w:rsidRDefault="001C2F88" w:rsidP="001C2F88">
      <w:pPr>
        <w:pStyle w:val="NormalWeb"/>
        <w:ind w:left="720"/>
      </w:pPr>
      <w:r w:rsidRPr="0072252E">
        <w:rPr>
          <w:b/>
          <w:bCs/>
        </w:rPr>
        <w:lastRenderedPageBreak/>
        <w:t>April 12, 2023, “Suit claims Utah providers fatally injected teen with large ketamine dose after car crash</w:t>
      </w:r>
      <w:r>
        <w:t xml:space="preserve">.” </w:t>
      </w:r>
      <w:hyperlink r:id="rId2033" w:history="1">
        <w:r w:rsidRPr="007C1F1F">
          <w:rPr>
            <w:rStyle w:val="Hyperlink"/>
          </w:rPr>
          <w:t>https://www.ems1.com/lawsuit/articles/suit-claims-utah-providers-fatally-injected-teen-with-large-ketamine-dose-after-car-crash-nkmBexayJBAx5TCo/</w:t>
        </w:r>
      </w:hyperlink>
      <w:r>
        <w:t xml:space="preserve"> </w:t>
      </w:r>
    </w:p>
    <w:p w14:paraId="7999E8D8" w14:textId="77777777" w:rsidR="001C2F88" w:rsidRDefault="001C2F88" w:rsidP="001C2F88">
      <w:pPr>
        <w:rPr>
          <w:rFonts w:ascii="Times New Roman" w:hAnsi="Times New Roman"/>
          <w:sz w:val="24"/>
          <w:szCs w:val="24"/>
        </w:rPr>
      </w:pPr>
    </w:p>
    <w:p w14:paraId="316336FC" w14:textId="77777777" w:rsidR="001C2F88" w:rsidRPr="001C2F88" w:rsidRDefault="001C2F88" w:rsidP="001C2F88">
      <w:pPr>
        <w:pStyle w:val="NormalWeb"/>
        <w:rPr>
          <w:rFonts w:ascii="Arial Black" w:hAnsi="Arial Black"/>
          <w:sz w:val="28"/>
          <w:szCs w:val="28"/>
        </w:rPr>
      </w:pPr>
      <w:r w:rsidRPr="001C2F88">
        <w:rPr>
          <w:rFonts w:ascii="Arial Black" w:hAnsi="Arial Black"/>
          <w:sz w:val="28"/>
          <w:szCs w:val="28"/>
        </w:rPr>
        <w:t>13-180</w:t>
      </w:r>
    </w:p>
    <w:p w14:paraId="6730D79D" w14:textId="235C923F" w:rsidR="001C2F88" w:rsidRPr="00323D7F" w:rsidRDefault="001C2F88" w:rsidP="001C2F88">
      <w:pPr>
        <w:pStyle w:val="NormalWeb"/>
        <w:rPr>
          <w:rFonts w:ascii="Arial Black" w:hAnsi="Arial Black"/>
          <w:sz w:val="28"/>
          <w:szCs w:val="28"/>
        </w:rPr>
      </w:pPr>
      <w:r>
        <w:rPr>
          <w:rFonts w:ascii="Arial Black" w:hAnsi="Arial Black"/>
          <w:sz w:val="28"/>
          <w:szCs w:val="28"/>
        </w:rPr>
        <w:t>OR: COVID – EMS URGED ROOMMATE DRIVE PT HOSPITAL – NO REFUSAL SIGNED / CARDIAC ARREST – CASE PROCEED</w:t>
      </w:r>
    </w:p>
    <w:p w14:paraId="57CC8EAE" w14:textId="77777777" w:rsidR="001C2F88" w:rsidRPr="006437DB" w:rsidRDefault="001C2F88" w:rsidP="001C2F88">
      <w:pPr>
        <w:pStyle w:val="NormalWeb"/>
        <w:rPr>
          <w:rStyle w:val="Strong"/>
          <w:rFonts w:eastAsiaTheme="majorEastAsia"/>
          <w:b w:val="0"/>
          <w:bCs w:val="0"/>
        </w:rPr>
      </w:pPr>
      <w:r w:rsidRPr="001C2F88">
        <w:rPr>
          <w:rStyle w:val="Strong"/>
          <w:rFonts w:eastAsiaTheme="majorEastAsia"/>
          <w:b w:val="0"/>
          <w:bCs w:val="0"/>
        </w:rPr>
        <w:t xml:space="preserve">On April 19, 2024, in </w:t>
      </w:r>
      <w:r w:rsidRPr="001C2F88">
        <w:rPr>
          <w:rStyle w:val="Strong"/>
          <w:rFonts w:eastAsiaTheme="majorEastAsia"/>
          <w:b w:val="0"/>
          <w:bCs w:val="0"/>
          <w:u w:val="single"/>
        </w:rPr>
        <w:t>Richard Vaughn, Jr., individually and as personal representative for the estate of Teresa Vaugh, et al. v. Klamath County Fire District No. 1, et al.</w:t>
      </w:r>
      <w:r w:rsidRPr="001C2F88">
        <w:rPr>
          <w:rStyle w:val="Strong"/>
          <w:rFonts w:eastAsiaTheme="majorEastAsia"/>
          <w:b w:val="0"/>
          <w:bCs w:val="0"/>
        </w:rPr>
        <w:t xml:space="preserve">, United States Magistrate Judge Mark D. Clarke, U.S. District Court of Oregon (Medford Division) denied defense motion for summary judgment. The actions of the two medics may be viewed by a jury as “state-created danger.” No patient refusal was ever signed, no vitals taken, and the patient’s roommate, </w:t>
      </w:r>
      <w:r w:rsidRPr="001C2F88">
        <w:t xml:space="preserve">Ms. </w:t>
      </w:r>
      <w:proofErr w:type="spellStart"/>
      <w:r w:rsidRPr="001C2F88">
        <w:t>Kimbol</w:t>
      </w:r>
      <w:proofErr w:type="spellEnd"/>
      <w:r w:rsidRPr="001C2F88">
        <w:t xml:space="preserve"> contends she responded: “Isn't that your fucking job? I wouldn't have called you.”</w:t>
      </w:r>
      <w:r>
        <w:t xml:space="preserve"> </w:t>
      </w:r>
      <w:hyperlink r:id="rId2034" w:history="1">
        <w:r w:rsidRPr="00E2199F">
          <w:rPr>
            <w:rStyle w:val="Hyperlink"/>
            <w:rFonts w:eastAsiaTheme="majorEastAsia"/>
          </w:rPr>
          <w:t>https://casetext.com/case/vaughn-v-klamath-cnty-fire-dist-no1-1</w:t>
        </w:r>
      </w:hyperlink>
      <w:r>
        <w:rPr>
          <w:rStyle w:val="Strong"/>
          <w:rFonts w:eastAsiaTheme="majorEastAsia"/>
        </w:rPr>
        <w:t xml:space="preserve"> </w:t>
      </w:r>
    </w:p>
    <w:p w14:paraId="5D8A9196" w14:textId="77777777" w:rsidR="001C2F88" w:rsidRDefault="001C2F88" w:rsidP="001C2F88">
      <w:pPr>
        <w:pStyle w:val="NormalWeb"/>
        <w:rPr>
          <w:rStyle w:val="Strong"/>
          <w:rFonts w:eastAsiaTheme="majorEastAsia"/>
        </w:rPr>
      </w:pPr>
      <w:r>
        <w:rPr>
          <w:rStyle w:val="Strong"/>
          <w:rFonts w:eastAsiaTheme="majorEastAsia"/>
        </w:rPr>
        <w:t>COURT HELD:</w:t>
      </w:r>
    </w:p>
    <w:p w14:paraId="2800024F" w14:textId="77777777" w:rsidR="001C2F88" w:rsidRDefault="001C2F88" w:rsidP="001C2F88">
      <w:pPr>
        <w:pStyle w:val="NormalWeb"/>
        <w:ind w:left="720"/>
      </w:pPr>
      <w:r>
        <w:t>“In light of such dispute, the Court finds that Plaintiffs have raised a genuine question as to whether Engler and Dustin's conduct crossed from mere inaction into affirmative action that placed Ms. Vaughn in a worse circumstance than she otherwise would have found herself in.</w:t>
      </w:r>
    </w:p>
    <w:p w14:paraId="236549DF" w14:textId="77777777" w:rsidR="001C2F88" w:rsidRDefault="001C2F88" w:rsidP="001C2F88">
      <w:pPr>
        <w:pStyle w:val="NormalWeb"/>
        <w:ind w:left="720"/>
      </w:pPr>
      <w:r>
        <w:t>***</w:t>
      </w:r>
    </w:p>
    <w:p w14:paraId="7FCFBA30" w14:textId="77777777" w:rsidR="001C2F88" w:rsidRDefault="001C2F88" w:rsidP="001C2F88">
      <w:pPr>
        <w:pStyle w:val="NormalWeb"/>
        <w:ind w:left="720"/>
      </w:pPr>
      <w:r>
        <w:t xml:space="preserve">Plaintiffs here have presented evidence that Engler and Dustin knew of Ms. Vaughn's Covid-19 diagnosis, were responding to her 911 call requesting urgent assistance, saw her in a state where she could barely </w:t>
      </w:r>
      <w:proofErr w:type="gramStart"/>
      <w:r>
        <w:t>breath</w:t>
      </w:r>
      <w:proofErr w:type="gramEnd"/>
      <w:r>
        <w:t xml:space="preserve"> or walk on her own, and still, they chose to cut off further aid . and abandon Ms. Vaughn and Ms. </w:t>
      </w:r>
      <w:proofErr w:type="spellStart"/>
      <w:r>
        <w:t>Kimbol</w:t>
      </w:r>
      <w:proofErr w:type="spellEnd"/>
      <w:r>
        <w:t xml:space="preserve">. Drawing all inferences in Plaintiffs' favor, reasonable minds could differ regarding whether </w:t>
      </w:r>
      <w:proofErr w:type="gramStart"/>
      <w:r>
        <w:t>Defendants</w:t>
      </w:r>
      <w:proofErr w:type="gramEnd"/>
      <w:r>
        <w:t xml:space="preserve"> actions rose beyond mere' negligence to deliberate indifference to the known danger presented by Ms. Vaughn's condition. The Court is further mindful that the danger and uncertainty surrounding Covid-19 in December 2020 was significantly heightened compared to our current understanding in 2024.</w:t>
      </w:r>
    </w:p>
    <w:p w14:paraId="5F26BCE5" w14:textId="77777777" w:rsidR="001C2F88" w:rsidRDefault="001C2F88" w:rsidP="001C2F88">
      <w:pPr>
        <w:pStyle w:val="NormalWeb"/>
        <w:rPr>
          <w:rStyle w:val="Strong"/>
          <w:rFonts w:eastAsiaTheme="majorEastAsia"/>
        </w:rPr>
      </w:pPr>
      <w:r>
        <w:tab/>
        <w:t>***</w:t>
      </w:r>
    </w:p>
    <w:p w14:paraId="6C2987F6" w14:textId="77777777" w:rsidR="001C2F88" w:rsidRDefault="001C2F88" w:rsidP="001C2F88">
      <w:pPr>
        <w:pStyle w:val="NormalWeb"/>
        <w:ind w:left="720"/>
      </w:pPr>
      <w:r>
        <w:t xml:space="preserve">While the particular facts of this case present a somewhat novel application of the state-created danger exception, the right to be free from state-created danger is, and has been, a clearly established constitutional right. Given the possibility of conflicting inferences, the Court declines to grant Defendants qualified immunity as a matter of law. Moreover, significant </w:t>
      </w:r>
      <w:proofErr w:type="gramStart"/>
      <w:r>
        <w:t>disputes of fact</w:t>
      </w:r>
      <w:proofErr w:type="gramEnd"/>
      <w:r>
        <w:t xml:space="preserve"> exist in this </w:t>
      </w:r>
      <w:proofErr w:type="gramStart"/>
      <w:r>
        <w:t>case</w:t>
      </w:r>
      <w:proofErr w:type="gramEnd"/>
      <w:r>
        <w:t xml:space="preserve"> creating uncertainty as to whether Engler and Dustin knew of the danger they were creating with their actions. If appropriate, Defendants are entitled to move for directed verdict at the close of </w:t>
      </w:r>
      <w:proofErr w:type="gramStart"/>
      <w:r>
        <w:t>trial.”</w:t>
      </w:r>
      <w:proofErr w:type="gramEnd"/>
    </w:p>
    <w:p w14:paraId="4C0FCAEF" w14:textId="77777777" w:rsidR="001C2F88" w:rsidRDefault="001C2F88" w:rsidP="001C2F88">
      <w:pPr>
        <w:pStyle w:val="NormalWeb"/>
        <w:spacing w:before="0" w:beforeAutospacing="0"/>
        <w:rPr>
          <w:b/>
          <w:bCs/>
          <w:color w:val="454545"/>
          <w:shd w:val="clear" w:color="auto" w:fill="FFFFFF"/>
        </w:rPr>
      </w:pPr>
      <w:r>
        <w:rPr>
          <w:b/>
          <w:bCs/>
          <w:color w:val="454545"/>
          <w:shd w:val="clear" w:color="auto" w:fill="FFFFFF"/>
        </w:rPr>
        <w:t xml:space="preserve">Legal Lesson Learned: Get patient to sign a refusal if not going to transport. </w:t>
      </w:r>
    </w:p>
    <w:p w14:paraId="14E911B0" w14:textId="77777777" w:rsidR="001C2F88" w:rsidRDefault="001C2F88" w:rsidP="001C2F88">
      <w:pPr>
        <w:rPr>
          <w:rFonts w:ascii="Times New Roman" w:hAnsi="Times New Roman"/>
          <w:sz w:val="24"/>
          <w:szCs w:val="24"/>
        </w:rPr>
      </w:pPr>
    </w:p>
    <w:p w14:paraId="4C583EC4" w14:textId="77777777" w:rsidR="001C2F88" w:rsidRPr="001C2F88" w:rsidRDefault="001C2F88" w:rsidP="001C2F88">
      <w:pPr>
        <w:rPr>
          <w:rFonts w:ascii="Times New Roman" w:hAnsi="Times New Roman"/>
          <w:sz w:val="28"/>
          <w:szCs w:val="28"/>
        </w:rPr>
      </w:pPr>
    </w:p>
    <w:p w14:paraId="706CB706" w14:textId="77777777" w:rsidR="001C2F88" w:rsidRDefault="001C2F88" w:rsidP="001C2F88">
      <w:pPr>
        <w:rPr>
          <w:rFonts w:ascii="Times New Roman" w:hAnsi="Times New Roman"/>
          <w:sz w:val="24"/>
          <w:szCs w:val="24"/>
        </w:rPr>
      </w:pPr>
    </w:p>
    <w:p w14:paraId="58041D45" w14:textId="77777777" w:rsidR="001C2F88" w:rsidRPr="001C2F88" w:rsidRDefault="001C2F88" w:rsidP="001C2F88">
      <w:pPr>
        <w:rPr>
          <w:rFonts w:ascii="Arial Black" w:hAnsi="Arial Black"/>
          <w:sz w:val="28"/>
          <w:szCs w:val="28"/>
        </w:rPr>
      </w:pPr>
      <w:r w:rsidRPr="001C2F88">
        <w:rPr>
          <w:rFonts w:ascii="Arial Black" w:hAnsi="Arial Black"/>
          <w:sz w:val="28"/>
          <w:szCs w:val="28"/>
        </w:rPr>
        <w:t>13-179</w:t>
      </w:r>
    </w:p>
    <w:p w14:paraId="0D08694A" w14:textId="32FA1529" w:rsidR="001C2F88" w:rsidRPr="00272032" w:rsidRDefault="001C2F88" w:rsidP="001C2F88">
      <w:pPr>
        <w:rPr>
          <w:rFonts w:ascii="Arial Black" w:hAnsi="Arial Black"/>
          <w:sz w:val="28"/>
          <w:szCs w:val="28"/>
        </w:rPr>
      </w:pPr>
      <w:r>
        <w:rPr>
          <w:rFonts w:ascii="Arial Black" w:hAnsi="Arial Black"/>
          <w:sz w:val="28"/>
          <w:szCs w:val="28"/>
        </w:rPr>
        <w:t>CA: METH - PD STRUGGLE - ON BACKBOARD FACE DOWN, EMT TOLD PD SIT ON HIM – D</w:t>
      </w:r>
      <w:r w:rsidR="00A304E4">
        <w:rPr>
          <w:rFonts w:ascii="Arial Black" w:hAnsi="Arial Black"/>
          <w:sz w:val="28"/>
          <w:szCs w:val="28"/>
        </w:rPr>
        <w:t xml:space="preserve">IED </w:t>
      </w:r>
      <w:r w:rsidR="00AF46AA">
        <w:rPr>
          <w:rFonts w:ascii="Arial Black" w:hAnsi="Arial Black"/>
          <w:sz w:val="28"/>
          <w:szCs w:val="28"/>
        </w:rPr>
        <w:t>-</w:t>
      </w:r>
      <w:r>
        <w:rPr>
          <w:rFonts w:ascii="Arial Black" w:hAnsi="Arial Black"/>
          <w:sz w:val="28"/>
          <w:szCs w:val="28"/>
        </w:rPr>
        <w:t xml:space="preserve"> QUAL. IMMUNITY</w:t>
      </w:r>
    </w:p>
    <w:p w14:paraId="16BBE8FE" w14:textId="6D23BB2C" w:rsidR="001C2F88" w:rsidRDefault="001C2F88" w:rsidP="001C2F88">
      <w:pPr>
        <w:pStyle w:val="NormalWeb"/>
        <w:spacing w:before="0" w:beforeAutospacing="0"/>
      </w:pPr>
      <w:r>
        <w:t xml:space="preserve">On April 15, 2024, in </w:t>
      </w:r>
      <w:r w:rsidRPr="001F5B9B">
        <w:rPr>
          <w:u w:val="single"/>
        </w:rPr>
        <w:t>Anthony Perez, et al., individually and as successor in interest to Joseph Perez v. City of Fresno</w:t>
      </w:r>
      <w:r>
        <w:t>,  the U.S. Court of Appeals for 9</w:t>
      </w:r>
      <w:r w:rsidRPr="00A9612E">
        <w:rPr>
          <w:vertAlign w:val="superscript"/>
        </w:rPr>
        <w:t>th</w:t>
      </w:r>
      <w:r>
        <w:t xml:space="preserve"> Circuit (San Francisco) held (2 to 1) that trial court properly granted summary judgment to the defense on basis of qualified immunity. Police had Perez on the ground</w:t>
      </w:r>
      <w:r w:rsidR="00A304E4">
        <w:t xml:space="preserve"> </w:t>
      </w:r>
      <w:r>
        <w:t>and then put him on backboard. As this was happening, Perez yelled that he could not breathe. “Paramedic Morgan Anderson nevertheless told one of the officers to sit on the backboard. The officer complied and sat on the board for one minute and thirteen seconds while other officers applied pressure and worked with Anderson to secure the backboard. After the seated officer stood up, the paramedics continued securing Perez to the backboard for another two minutes before turning him over. Once Perez was placed on his back, the paramedics discovered that he did not have a pulse.</w:t>
      </w:r>
      <w:r>
        <w:rPr>
          <w:rFonts w:ascii="Arial" w:hAnsi="Arial" w:cs="Arial"/>
        </w:rPr>
        <w:t xml:space="preserve">” </w:t>
      </w:r>
      <w:r>
        <w:t xml:space="preserve">According to the coroner, the average lethal dose of methamphetamine is 200 nanograms per milliliter. Perez had ten times that amount in his bloodstream. </w:t>
      </w:r>
      <w:hyperlink r:id="rId2035" w:history="1">
        <w:r w:rsidRPr="00E2199F">
          <w:rPr>
            <w:rStyle w:val="Hyperlink"/>
          </w:rPr>
          <w:t>https://cdn.ca9.uscourts.gov/datastore/opinions/2024/04/15/22-15546.pdf</w:t>
        </w:r>
      </w:hyperlink>
      <w:r>
        <w:t xml:space="preserve"> </w:t>
      </w:r>
    </w:p>
    <w:p w14:paraId="41E61916" w14:textId="77777777" w:rsidR="001C2F88" w:rsidRDefault="001C2F88" w:rsidP="001C2F88">
      <w:pPr>
        <w:pStyle w:val="NormalWeb"/>
        <w:spacing w:before="0" w:beforeAutospacing="0"/>
      </w:pPr>
      <w:r>
        <w:t xml:space="preserve">COURT HELD: </w:t>
      </w:r>
    </w:p>
    <w:p w14:paraId="335D3F67" w14:textId="77777777" w:rsidR="001C2F88" w:rsidRDefault="001C2F88" w:rsidP="001C2F88">
      <w:pPr>
        <w:pStyle w:val="NormalWeb"/>
        <w:spacing w:before="0" w:beforeAutospacing="0"/>
        <w:ind w:left="720"/>
      </w:pPr>
      <w:r>
        <w:t xml:space="preserve">“Because the law-enforcement officers' actions that Plaintiffs contend led to Perez asphyxiating were taken at the direction of a medical professional who was trying to provide medical care, both the officers and the paramedic are entitled to qualified immunity. The district court also properly granted summary judgment against Plaintiffs' Monell claims because Plaintiffs presented insufficient evidence that the </w:t>
      </w:r>
      <w:proofErr w:type="gramStart"/>
      <w:r>
        <w:t>City</w:t>
      </w:r>
      <w:proofErr w:type="gramEnd"/>
      <w:r>
        <w:t xml:space="preserve"> and the County were deliberately indifferent to their duty to properly train their law-enforcement officers.</w:t>
      </w:r>
    </w:p>
    <w:p w14:paraId="1B56272A" w14:textId="77777777" w:rsidR="001C2F88" w:rsidRDefault="001C2F88" w:rsidP="001C2F88">
      <w:pPr>
        <w:pStyle w:val="NormalWeb"/>
        <w:spacing w:before="0" w:beforeAutospacing="0"/>
        <w:ind w:left="720"/>
      </w:pPr>
      <w:r>
        <w:t>***</w:t>
      </w:r>
    </w:p>
    <w:p w14:paraId="53293A71" w14:textId="77777777" w:rsidR="001C2F88" w:rsidRDefault="001C2F88" w:rsidP="001C2F88">
      <w:pPr>
        <w:pStyle w:val="NormalWeb"/>
        <w:spacing w:before="0" w:beforeAutospacing="0"/>
        <w:ind w:left="720"/>
      </w:pPr>
      <w:r>
        <w:t xml:space="preserve">At the time of Perez's death, the law did not clearly establish, nor was it otherwise obvious, that the officers' actions, directed by medical personnel, would violate Perez's constitutional rights. Likewise, the paramedic involved was acting in a medical capacity during the incident, and the law did not clearly establish that medical personnel are liable for constitutional torts for actions taken to provide medical care or medical transport. Thus, the officers and the paramedic are entitled to qualified immunity. We also conclude that Plaintiffs produced insufficient evidence to support their </w:t>
      </w:r>
      <w:proofErr w:type="gramStart"/>
      <w:r>
        <w:t>municipal-liability</w:t>
      </w:r>
      <w:proofErr w:type="gramEnd"/>
      <w:r>
        <w:t xml:space="preserve"> claim against the City and the County based on a failure-to-train theory.</w:t>
      </w:r>
    </w:p>
    <w:p w14:paraId="6FB3E620" w14:textId="77777777" w:rsidR="001C2F88" w:rsidRDefault="001C2F88" w:rsidP="001C2F88">
      <w:pPr>
        <w:pStyle w:val="NormalWeb"/>
        <w:spacing w:before="0" w:beforeAutospacing="0"/>
        <w:ind w:left="720"/>
      </w:pPr>
      <w:r>
        <w:t>***</w:t>
      </w:r>
    </w:p>
    <w:p w14:paraId="63905B19" w14:textId="77777777" w:rsidR="001C2F88" w:rsidRDefault="001C2F88" w:rsidP="001C2F88">
      <w:pPr>
        <w:pStyle w:val="NormalWeb"/>
        <w:spacing w:before="0" w:beforeAutospacing="0"/>
        <w:ind w:left="720"/>
      </w:pPr>
      <w:r>
        <w:t xml:space="preserve">Because we conclude that the law did not clearly establish at the time of the events at issue that a paramedic restraining a person in order to secure the person for medical transport could be held liable for a constitutional violation under either the Fourth or Fourteenth Amendment, we conclude that Anderson is entitled to qualified immunity. See Wesby, 583 U.S. at 63–64, 138 </w:t>
      </w:r>
      <w:proofErr w:type="spellStart"/>
      <w:r>
        <w:t>S.Ct</w:t>
      </w:r>
      <w:proofErr w:type="spellEnd"/>
      <w:r>
        <w:t>. 577 (clearly established question must be specific to the context of the case).”</w:t>
      </w:r>
    </w:p>
    <w:p w14:paraId="6A8D535C" w14:textId="77777777" w:rsidR="001C2F88" w:rsidRDefault="001C2F88" w:rsidP="001C2F88">
      <w:pPr>
        <w:pStyle w:val="NormalWeb"/>
        <w:spacing w:before="0" w:beforeAutospacing="0"/>
      </w:pPr>
      <w:r>
        <w:t>DISSENT:</w:t>
      </w:r>
    </w:p>
    <w:p w14:paraId="4AC3CF5B" w14:textId="77777777" w:rsidR="001C2F88" w:rsidRDefault="001C2F88" w:rsidP="001C2F88">
      <w:pPr>
        <w:pStyle w:val="NormalWeb"/>
        <w:spacing w:before="0" w:beforeAutospacing="0"/>
        <w:ind w:left="720"/>
      </w:pPr>
      <w:r>
        <w:t xml:space="preserve">“However, I respectfully disagree with the conclusion that the law governing the conduct of the individual officer defendants (‘Officers’) was not ‘clearly established’ in 2017. Extensive federal case </w:t>
      </w:r>
      <w:r>
        <w:lastRenderedPageBreak/>
        <w:t xml:space="preserve">law, departmental guidance, and common sense gave Officers fair warning that applying continuous force to the back of a prone person who claims he cannot breathe is constitutionally excessive. Any argument that Officers' continued force was nonetheless ‘reasonable’ under the circumstances turns on disputed issues of material fact—not confusion about ‘what the law requires.’ Saucier v. Katz, 533 U.S. 194, 205, 121 </w:t>
      </w:r>
      <w:proofErr w:type="spellStart"/>
      <w:r>
        <w:t>S.Ct</w:t>
      </w:r>
      <w:proofErr w:type="spellEnd"/>
      <w:r>
        <w:t>. 2151, 150 L.Ed.2d 272 (2001). Therefore, I respectfully dissent in part.</w:t>
      </w:r>
    </w:p>
    <w:p w14:paraId="54F6B537" w14:textId="77777777" w:rsidR="001C2F88" w:rsidRDefault="001C2F88" w:rsidP="001C2F88">
      <w:pPr>
        <w:pStyle w:val="NormalWeb"/>
        <w:spacing w:before="0" w:beforeAutospacing="0"/>
        <w:ind w:left="720"/>
      </w:pPr>
      <w:r>
        <w:t>***</w:t>
      </w:r>
    </w:p>
    <w:p w14:paraId="1792F30C" w14:textId="77777777" w:rsidR="001C2F88" w:rsidRDefault="001C2F88" w:rsidP="001C2F88">
      <w:pPr>
        <w:pStyle w:val="NormalWeb"/>
        <w:spacing w:before="0" w:beforeAutospacing="0"/>
        <w:ind w:left="720"/>
      </w:pPr>
      <w:r>
        <w:t>The officers—indeed, any reasonable person—should have known that squeezing the breath from a compliant, prone, and handcuffed individual despite his pleas for air involves a degree of force that is greater than reasonable.”</w:t>
      </w:r>
    </w:p>
    <w:p w14:paraId="7B82D4B2" w14:textId="77777777" w:rsidR="001C2F88" w:rsidRDefault="001C2F88" w:rsidP="001C2F88">
      <w:pPr>
        <w:pStyle w:val="NormalWeb"/>
        <w:spacing w:before="0" w:beforeAutospacing="0"/>
        <w:rPr>
          <w:b/>
          <w:bCs/>
        </w:rPr>
      </w:pPr>
      <w:r w:rsidRPr="006B17EB">
        <w:rPr>
          <w:b/>
          <w:bCs/>
        </w:rPr>
        <w:t>Legal Lesson Learned:</w:t>
      </w:r>
      <w:r>
        <w:rPr>
          <w:b/>
          <w:bCs/>
        </w:rPr>
        <w:t xml:space="preserve"> EMS must be extremely cautious of backboard asphyxiation.  This can lead to denial of qualified immunity </w:t>
      </w:r>
      <w:proofErr w:type="gramStart"/>
      <w:r>
        <w:rPr>
          <w:b/>
          <w:bCs/>
        </w:rPr>
        <w:t>for</w:t>
      </w:r>
      <w:proofErr w:type="gramEnd"/>
      <w:r>
        <w:rPr>
          <w:b/>
          <w:bCs/>
        </w:rPr>
        <w:t xml:space="preserve"> EMS and has also </w:t>
      </w:r>
      <w:proofErr w:type="gramStart"/>
      <w:r>
        <w:rPr>
          <w:b/>
          <w:bCs/>
        </w:rPr>
        <w:t>has recently led</w:t>
      </w:r>
      <w:proofErr w:type="gramEnd"/>
      <w:r>
        <w:rPr>
          <w:b/>
          <w:bCs/>
        </w:rPr>
        <w:t xml:space="preserve"> to two EMTs being charged with first degree murder. </w:t>
      </w:r>
    </w:p>
    <w:p w14:paraId="6526997D" w14:textId="77777777" w:rsidR="001C2F88" w:rsidRPr="00507580" w:rsidRDefault="001C2F88" w:rsidP="001C2F88">
      <w:pPr>
        <w:pStyle w:val="Heading1"/>
        <w:ind w:left="720"/>
        <w:rPr>
          <w:b w:val="0"/>
          <w:bCs w:val="0"/>
          <w:sz w:val="24"/>
          <w:szCs w:val="24"/>
        </w:rPr>
      </w:pPr>
      <w:r w:rsidRPr="00507580">
        <w:rPr>
          <w:b w:val="0"/>
          <w:bCs w:val="0"/>
          <w:sz w:val="24"/>
          <w:szCs w:val="24"/>
        </w:rPr>
        <w:t xml:space="preserve">Note: See article, Jan. 15, 2023, “Paramedics charged with murder after patient who was in stretcher face-down dies.” </w:t>
      </w:r>
      <w:hyperlink r:id="rId2036" w:history="1">
        <w:r w:rsidRPr="00507580">
          <w:rPr>
            <w:rStyle w:val="Hyperlink"/>
            <w:b w:val="0"/>
            <w:bCs w:val="0"/>
            <w:sz w:val="24"/>
            <w:szCs w:val="24"/>
          </w:rPr>
          <w:t>https://www.woodtv.com/news/nexstar-media-wire/paramedics-charged-with-murder-after-patient-who-was-in-stretcher-face-down-dies/</w:t>
        </w:r>
      </w:hyperlink>
      <w:r w:rsidRPr="00507580">
        <w:rPr>
          <w:b w:val="0"/>
          <w:bCs w:val="0"/>
          <w:sz w:val="24"/>
          <w:szCs w:val="24"/>
        </w:rPr>
        <w:t xml:space="preserve"> </w:t>
      </w:r>
    </w:p>
    <w:p w14:paraId="14DB2EBF" w14:textId="77777777" w:rsidR="001C2F88" w:rsidRPr="00507580" w:rsidRDefault="001C2F88" w:rsidP="001C2F88">
      <w:pPr>
        <w:pStyle w:val="Heading1"/>
        <w:ind w:left="720"/>
        <w:rPr>
          <w:b w:val="0"/>
          <w:bCs w:val="0"/>
          <w:sz w:val="24"/>
          <w:szCs w:val="24"/>
        </w:rPr>
      </w:pPr>
      <w:r w:rsidRPr="00507580">
        <w:rPr>
          <w:b w:val="0"/>
          <w:bCs w:val="0"/>
          <w:sz w:val="24"/>
          <w:szCs w:val="24"/>
        </w:rPr>
        <w:t xml:space="preserve">March 21, 2023, “2 Ill. EMTs charged with murder appear in court.” </w:t>
      </w:r>
      <w:hyperlink r:id="rId2037" w:history="1">
        <w:r w:rsidRPr="00507580">
          <w:rPr>
            <w:rStyle w:val="Hyperlink"/>
            <w:b w:val="0"/>
            <w:bCs w:val="0"/>
            <w:sz w:val="24"/>
            <w:szCs w:val="24"/>
          </w:rPr>
          <w:t>https://www.ems1.com/ill-emts-charged-murder-patients-death/articles/2-ill-emts-charged-with-murder-appear-in-court-lMnB5h9BN09tUYGl/</w:t>
        </w:r>
      </w:hyperlink>
      <w:r w:rsidRPr="00507580">
        <w:rPr>
          <w:b w:val="0"/>
          <w:bCs w:val="0"/>
          <w:sz w:val="24"/>
          <w:szCs w:val="24"/>
        </w:rPr>
        <w:t xml:space="preserve"> </w:t>
      </w:r>
    </w:p>
    <w:p w14:paraId="379D232A" w14:textId="77777777" w:rsidR="001C2F88" w:rsidRPr="00B416C6" w:rsidRDefault="001C2F88" w:rsidP="001C2F88"/>
    <w:p w14:paraId="5322FA44" w14:textId="718FE341" w:rsidR="004705C6" w:rsidRDefault="004705C6" w:rsidP="004705C6">
      <w:pPr>
        <w:rPr>
          <w:rFonts w:ascii="Arial Black" w:hAnsi="Arial Black"/>
          <w:sz w:val="28"/>
          <w:szCs w:val="28"/>
        </w:rPr>
      </w:pPr>
      <w:r>
        <w:rPr>
          <w:rFonts w:ascii="Arial Black" w:hAnsi="Arial Black"/>
          <w:sz w:val="28"/>
          <w:szCs w:val="28"/>
        </w:rPr>
        <w:t>13-178</w:t>
      </w:r>
    </w:p>
    <w:p w14:paraId="159C3E5F" w14:textId="3CE25D52" w:rsidR="004705C6" w:rsidRDefault="004705C6" w:rsidP="004705C6">
      <w:pPr>
        <w:rPr>
          <w:rFonts w:ascii="Arial Black" w:hAnsi="Arial Black"/>
          <w:sz w:val="28"/>
          <w:szCs w:val="28"/>
        </w:rPr>
      </w:pPr>
      <w:r>
        <w:rPr>
          <w:rFonts w:ascii="Arial Black" w:hAnsi="Arial Black"/>
          <w:sz w:val="28"/>
          <w:szCs w:val="28"/>
        </w:rPr>
        <w:t xml:space="preserve">PA: VA PATIENT REFUSES TRANSPORT – CLINIC ADVISES NEEDS GO – SEDATED BY EMS – NOT FALSE IMPRISONMENT </w:t>
      </w:r>
    </w:p>
    <w:p w14:paraId="261171CB" w14:textId="77777777" w:rsidR="004705C6" w:rsidRDefault="004705C6" w:rsidP="004705C6">
      <w:pPr>
        <w:rPr>
          <w:rFonts w:ascii="Times New Roman" w:hAnsi="Times New Roman"/>
          <w:sz w:val="24"/>
          <w:szCs w:val="24"/>
        </w:rPr>
      </w:pPr>
      <w:r>
        <w:rPr>
          <w:rFonts w:ascii="Times New Roman" w:hAnsi="Times New Roman"/>
          <w:sz w:val="24"/>
          <w:szCs w:val="24"/>
        </w:rPr>
        <w:t xml:space="preserve">On March 26, 2024, in </w:t>
      </w:r>
      <w:r w:rsidRPr="00E34548">
        <w:rPr>
          <w:rFonts w:ascii="Times New Roman" w:hAnsi="Times New Roman"/>
          <w:sz w:val="24"/>
          <w:szCs w:val="24"/>
          <w:u w:val="single"/>
        </w:rPr>
        <w:t>Thomas Sutton v. Secretary, U.S. Department of Veterans Affairs, et al</w:t>
      </w:r>
      <w:r>
        <w:rPr>
          <w:rFonts w:ascii="Times New Roman" w:hAnsi="Times New Roman"/>
          <w:sz w:val="24"/>
          <w:szCs w:val="24"/>
          <w:u w:val="single"/>
        </w:rPr>
        <w:t>.</w:t>
      </w:r>
      <w:r>
        <w:rPr>
          <w:rFonts w:ascii="Times New Roman" w:hAnsi="Times New Roman"/>
          <w:sz w:val="24"/>
          <w:szCs w:val="24"/>
        </w:rPr>
        <w:t>, the U.S. Court of Appeals for Third Circuit (Philadelphia) held (2 to 1) that trial court properly dismissed the plaintiff’s lawsuit against two EMT for “</w:t>
      </w:r>
      <w:r w:rsidRPr="001E5D96">
        <w:rPr>
          <w:rFonts w:ascii="Times New Roman" w:hAnsi="Times New Roman"/>
          <w:sz w:val="24"/>
          <w:szCs w:val="24"/>
        </w:rPr>
        <w:t>allegedly falsely imprisoning, and assaulting and battering him while transporting him from a local clinic where he sought medical care to a nearby hospital for higher level care.</w:t>
      </w:r>
      <w:r>
        <w:rPr>
          <w:rFonts w:ascii="Times New Roman" w:hAnsi="Times New Roman"/>
          <w:sz w:val="24"/>
          <w:szCs w:val="24"/>
        </w:rPr>
        <w:t xml:space="preserve">”  In medical malpractice cases, the lawsuit must include an affidavit from an MD with certificate of merit. </w:t>
      </w:r>
    </w:p>
    <w:p w14:paraId="670A4388"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64743D4" w14:textId="78633EEC" w:rsidR="004705C6" w:rsidRPr="0046151D" w:rsidRDefault="004705C6" w:rsidP="004705C6">
      <w:pPr>
        <w:ind w:left="720"/>
        <w:rPr>
          <w:rFonts w:ascii="Times New Roman" w:hAnsi="Times New Roman"/>
          <w:sz w:val="24"/>
          <w:szCs w:val="24"/>
        </w:rPr>
      </w:pPr>
      <w:r>
        <w:rPr>
          <w:rFonts w:ascii="Times New Roman" w:hAnsi="Times New Roman"/>
          <w:sz w:val="24"/>
          <w:szCs w:val="24"/>
        </w:rPr>
        <w:t>“</w:t>
      </w:r>
      <w:r w:rsidRPr="0046151D">
        <w:rPr>
          <w:rFonts w:ascii="Times New Roman" w:hAnsi="Times New Roman"/>
          <w:sz w:val="24"/>
          <w:szCs w:val="24"/>
        </w:rPr>
        <w:t xml:space="preserve">In the course of transporting Sutton to the hospital, the technicians allegedly </w:t>
      </w:r>
      <w:r>
        <w:rPr>
          <w:rFonts w:ascii="Times New Roman" w:hAnsi="Times New Roman"/>
          <w:sz w:val="24"/>
          <w:szCs w:val="24"/>
        </w:rPr>
        <w:t>‘</w:t>
      </w:r>
      <w:r w:rsidRPr="0046151D">
        <w:rPr>
          <w:rFonts w:ascii="Times New Roman" w:hAnsi="Times New Roman"/>
          <w:sz w:val="24"/>
          <w:szCs w:val="24"/>
        </w:rPr>
        <w:t>restrained [Sutton] and forcefully sedated him.</w:t>
      </w:r>
      <w:r>
        <w:rPr>
          <w:rFonts w:ascii="Times New Roman" w:hAnsi="Times New Roman"/>
          <w:sz w:val="24"/>
          <w:szCs w:val="24"/>
        </w:rPr>
        <w:t xml:space="preserve">’ </w:t>
      </w:r>
      <w:r w:rsidRPr="0046151D">
        <w:rPr>
          <w:rFonts w:ascii="Times New Roman" w:hAnsi="Times New Roman"/>
          <w:sz w:val="24"/>
          <w:szCs w:val="24"/>
        </w:rPr>
        <w:t xml:space="preserve"> It is undisputed that these actions, whether medically justified or not, occurred </w:t>
      </w:r>
      <w:proofErr w:type="gramStart"/>
      <w:r w:rsidRPr="0046151D">
        <w:rPr>
          <w:rFonts w:ascii="Times New Roman" w:hAnsi="Times New Roman"/>
          <w:sz w:val="24"/>
          <w:szCs w:val="24"/>
        </w:rPr>
        <w:t>in the course of</w:t>
      </w:r>
      <w:proofErr w:type="gramEnd"/>
      <w:r w:rsidRPr="0046151D">
        <w:rPr>
          <w:rFonts w:ascii="Times New Roman" w:hAnsi="Times New Roman"/>
          <w:sz w:val="24"/>
          <w:szCs w:val="24"/>
        </w:rPr>
        <w:t xml:space="preserve"> the technicians' professional relationship with Sutton. And as Sutton himself </w:t>
      </w:r>
      <w:proofErr w:type="gramStart"/>
      <w:r w:rsidRPr="0046151D">
        <w:rPr>
          <w:rFonts w:ascii="Times New Roman" w:hAnsi="Times New Roman"/>
          <w:sz w:val="24"/>
          <w:szCs w:val="24"/>
        </w:rPr>
        <w:t xml:space="preserve">observed, </w:t>
      </w:r>
      <w:r>
        <w:rPr>
          <w:rFonts w:ascii="Times New Roman" w:hAnsi="Times New Roman"/>
          <w:sz w:val="24"/>
          <w:szCs w:val="24"/>
        </w:rPr>
        <w:t>‘</w:t>
      </w:r>
      <w:proofErr w:type="gramEnd"/>
      <w:r w:rsidRPr="0046151D">
        <w:rPr>
          <w:rFonts w:ascii="Times New Roman" w:hAnsi="Times New Roman"/>
          <w:sz w:val="24"/>
          <w:szCs w:val="24"/>
        </w:rPr>
        <w:t>[m]</w:t>
      </w:r>
      <w:proofErr w:type="spellStart"/>
      <w:r w:rsidRPr="0046151D">
        <w:rPr>
          <w:rFonts w:ascii="Times New Roman" w:hAnsi="Times New Roman"/>
          <w:sz w:val="24"/>
          <w:szCs w:val="24"/>
        </w:rPr>
        <w:t>edical</w:t>
      </w:r>
      <w:proofErr w:type="spellEnd"/>
      <w:r w:rsidRPr="0046151D">
        <w:rPr>
          <w:rFonts w:ascii="Times New Roman" w:hAnsi="Times New Roman"/>
          <w:sz w:val="24"/>
          <w:szCs w:val="24"/>
        </w:rPr>
        <w:t xml:space="preserve"> malpractice is defined as the unwarranted departure from the generally accepted standards of medical practice resulting in injury to a patient, including </w:t>
      </w:r>
      <w:r w:rsidRPr="0046151D">
        <w:rPr>
          <w:rStyle w:val="Emphasis"/>
          <w:rFonts w:ascii="Times New Roman" w:hAnsi="Times New Roman"/>
          <w:sz w:val="24"/>
          <w:szCs w:val="24"/>
        </w:rPr>
        <w:t>all liability-producing conduct arising from the rendition of professional medical services</w:t>
      </w:r>
      <w:r w:rsidRPr="0046151D">
        <w:rPr>
          <w:rFonts w:ascii="Times New Roman" w:hAnsi="Times New Roman"/>
          <w:sz w:val="24"/>
          <w:szCs w:val="24"/>
        </w:rPr>
        <w:t>.</w:t>
      </w:r>
      <w:r>
        <w:rPr>
          <w:rFonts w:ascii="Times New Roman" w:hAnsi="Times New Roman"/>
          <w:sz w:val="24"/>
          <w:szCs w:val="24"/>
        </w:rPr>
        <w:t xml:space="preserve">’ </w:t>
      </w:r>
      <w:r w:rsidRPr="0046151D">
        <w:rPr>
          <w:rFonts w:ascii="Times New Roman" w:hAnsi="Times New Roman"/>
          <w:sz w:val="24"/>
          <w:szCs w:val="24"/>
        </w:rPr>
        <w:t xml:space="preserve"> </w:t>
      </w:r>
    </w:p>
    <w:p w14:paraId="7701CFA3" w14:textId="77777777" w:rsidR="004705C6" w:rsidRDefault="004705C6" w:rsidP="004705C6">
      <w:pPr>
        <w:pStyle w:val="NormalWeb"/>
        <w:ind w:left="720"/>
      </w:pPr>
      <w:r w:rsidRPr="0046151D">
        <w:t xml:space="preserve">Although the Dissent observes that Sutton averred certain </w:t>
      </w:r>
      <w:r>
        <w:t>‘</w:t>
      </w:r>
      <w:r w:rsidRPr="0046151D">
        <w:t>intentional</w:t>
      </w:r>
      <w:r>
        <w:t>’</w:t>
      </w:r>
      <w:r w:rsidRPr="0046151D">
        <w:t xml:space="preserve"> actions these actions sounded in medical malpractice and, thus, he was required to file a certificate of merit to </w:t>
      </w:r>
      <w:r>
        <w:t>‘</w:t>
      </w:r>
      <w:r w:rsidRPr="0046151D">
        <w:t>signal[] to the parties and the trial court that . . . he [</w:t>
      </w:r>
      <w:proofErr w:type="spellStart"/>
      <w:r w:rsidRPr="0046151D">
        <w:t>wa</w:t>
      </w:r>
      <w:proofErr w:type="spellEnd"/>
      <w:r w:rsidRPr="0046151D">
        <w:t>]s in a position to support [his] allegations . . . and that resources w[</w:t>
      </w:r>
      <w:proofErr w:type="spellStart"/>
      <w:r w:rsidRPr="0046151D">
        <w:t>ould</w:t>
      </w:r>
      <w:proofErr w:type="spellEnd"/>
      <w:r w:rsidRPr="0046151D">
        <w:t xml:space="preserve">] </w:t>
      </w:r>
      <w:r w:rsidRPr="0046151D">
        <w:lastRenderedPageBreak/>
        <w:t>not be wasted if additional pleading and discovery [were to] take place.</w:t>
      </w:r>
      <w:r>
        <w:t>’</w:t>
      </w:r>
      <w:r w:rsidRPr="0046151D">
        <w:t xml:space="preserve"> </w:t>
      </w:r>
      <w:r w:rsidRPr="0046151D">
        <w:rPr>
          <w:rStyle w:val="Emphasis"/>
          <w:rFonts w:eastAsiaTheme="majorEastAsia"/>
        </w:rPr>
        <w:t>Bisher</w:t>
      </w:r>
      <w:r w:rsidRPr="0046151D">
        <w:t>, 265 A.3d at 3690 (internal quotation marks and citation omitted)</w:t>
      </w:r>
      <w:r>
        <w:t xml:space="preserve">.” </w:t>
      </w:r>
    </w:p>
    <w:p w14:paraId="1B87A630" w14:textId="77777777" w:rsidR="004705C6" w:rsidRDefault="004705C6" w:rsidP="004705C6">
      <w:pPr>
        <w:pStyle w:val="NormalWeb"/>
      </w:pPr>
      <w:r>
        <w:t xml:space="preserve">DISSENT – Circuit Judge Thomas Hardiman:   </w:t>
      </w:r>
    </w:p>
    <w:p w14:paraId="3DFF5096" w14:textId="77777777" w:rsidR="004705C6" w:rsidRPr="0046151D" w:rsidRDefault="004705C6" w:rsidP="004705C6">
      <w:pPr>
        <w:pStyle w:val="NormalWeb"/>
        <w:ind w:left="720"/>
      </w:pPr>
      <w:r>
        <w:t xml:space="preserve">“Sutton alleges intentional torts, not mere negligence. He accuses Fayette EMS of sedating him and transporting him to a hospital without his consent. Such claims do not require a certificate of merit. </w:t>
      </w:r>
      <w:r>
        <w:rPr>
          <w:rStyle w:val="Emphasis"/>
          <w:rFonts w:eastAsiaTheme="majorEastAsia"/>
        </w:rPr>
        <w:t>See</w:t>
      </w:r>
      <w:r>
        <w:t xml:space="preserve"> Pa. R. Civ. P. 1042.3(a); </w:t>
      </w:r>
      <w:r>
        <w:rPr>
          <w:rStyle w:val="Emphasis"/>
          <w:rFonts w:eastAsiaTheme="majorEastAsia"/>
        </w:rPr>
        <w:t>Montgomery</w:t>
      </w:r>
      <w:r>
        <w:t>, 798 A.2d at 749. These claims also fall outside the ambit of immunity under Pennsylvania's Emergency Medical Services Act and could support punitive damages.”</w:t>
      </w:r>
    </w:p>
    <w:p w14:paraId="74DA1A77" w14:textId="77777777" w:rsidR="004705C6" w:rsidRPr="00347278" w:rsidRDefault="004705C6" w:rsidP="004705C6">
      <w:pPr>
        <w:pStyle w:val="NormalWeb"/>
        <w:rPr>
          <w:b/>
          <w:bCs/>
        </w:rPr>
      </w:pPr>
      <w:r w:rsidRPr="00347278">
        <w:rPr>
          <w:b/>
          <w:bCs/>
        </w:rPr>
        <w:t xml:space="preserve">Legal Lesson Learned: </w:t>
      </w:r>
      <w:r>
        <w:rPr>
          <w:b/>
          <w:bCs/>
        </w:rPr>
        <w:t xml:space="preserve">Medical practice cases require a “certificate of merit” by an MD to proceed. </w:t>
      </w:r>
    </w:p>
    <w:p w14:paraId="6E362BDB" w14:textId="77777777" w:rsidR="004705C6" w:rsidRDefault="004705C6" w:rsidP="004705C6">
      <w:pPr>
        <w:pStyle w:val="NormalWeb"/>
        <w:ind w:left="720"/>
        <w:jc w:val="both"/>
      </w:pPr>
    </w:p>
    <w:p w14:paraId="2F3D6EAA" w14:textId="77777777" w:rsidR="004705C6" w:rsidRDefault="004705C6" w:rsidP="004705C6">
      <w:pPr>
        <w:pStyle w:val="NormalWeb"/>
        <w:ind w:left="720"/>
        <w:jc w:val="both"/>
      </w:pPr>
    </w:p>
    <w:p w14:paraId="7AB05BE1" w14:textId="77777777" w:rsidR="004705C6" w:rsidRDefault="004705C6" w:rsidP="004705C6">
      <w:pPr>
        <w:pStyle w:val="NormalWeb"/>
        <w:spacing w:before="0" w:beforeAutospacing="0"/>
        <w:rPr>
          <w:color w:val="454545"/>
          <w:shd w:val="clear" w:color="auto" w:fill="FFFFFF"/>
        </w:rPr>
      </w:pPr>
    </w:p>
    <w:p w14:paraId="618F67B5" w14:textId="77777777" w:rsidR="004705C6" w:rsidRPr="004705C6" w:rsidRDefault="004705C6" w:rsidP="004705C6">
      <w:pPr>
        <w:pStyle w:val="NormalWeb"/>
        <w:spacing w:before="0" w:beforeAutospacing="0"/>
        <w:rPr>
          <w:rFonts w:ascii="Arial Black" w:hAnsi="Arial Black"/>
          <w:color w:val="454545"/>
          <w:sz w:val="28"/>
          <w:szCs w:val="28"/>
          <w:shd w:val="clear" w:color="auto" w:fill="FFFFFF"/>
        </w:rPr>
      </w:pPr>
      <w:r w:rsidRPr="004705C6">
        <w:rPr>
          <w:rFonts w:ascii="Arial Black" w:hAnsi="Arial Black"/>
          <w:color w:val="454545"/>
          <w:sz w:val="28"/>
          <w:szCs w:val="28"/>
          <w:shd w:val="clear" w:color="auto" w:fill="FFFFFF"/>
        </w:rPr>
        <w:t>13-177</w:t>
      </w:r>
    </w:p>
    <w:p w14:paraId="691F6B9F" w14:textId="0065EF06" w:rsidR="004705C6" w:rsidRDefault="004705C6" w:rsidP="004705C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OK: EMT HELPING PD - GRAB ARM / LEG - TRANSPORTED IN HANCUFFS / CPR / DIED – QUALIFIED IMMUNITY</w:t>
      </w:r>
    </w:p>
    <w:p w14:paraId="34DC18FB" w14:textId="77777777" w:rsidR="00784981" w:rsidRDefault="004705C6" w:rsidP="00784981">
      <w:pPr>
        <w:pStyle w:val="NormalWeb"/>
        <w:spacing w:before="0" w:beforeAutospacing="0"/>
      </w:pPr>
      <w:r>
        <w:rPr>
          <w:color w:val="454545"/>
          <w:shd w:val="clear" w:color="auto" w:fill="FFFFFF"/>
        </w:rPr>
        <w:t xml:space="preserve">On March 26, 2024, in </w:t>
      </w:r>
      <w:r w:rsidRPr="000A5E66">
        <w:rPr>
          <w:color w:val="454545"/>
          <w:u w:val="single"/>
          <w:shd w:val="clear" w:color="auto" w:fill="FFFFFF"/>
        </w:rPr>
        <w:t xml:space="preserve">John Kruer, individually and as Co-Administrator of Estate of </w:t>
      </w:r>
      <w:proofErr w:type="spellStart"/>
      <w:r w:rsidRPr="000A5E66">
        <w:rPr>
          <w:color w:val="454545"/>
          <w:u w:val="single"/>
          <w:shd w:val="clear" w:color="auto" w:fill="FFFFFF"/>
        </w:rPr>
        <w:t>Jeffret</w:t>
      </w:r>
      <w:proofErr w:type="spellEnd"/>
      <w:r w:rsidRPr="000A5E66">
        <w:rPr>
          <w:color w:val="454545"/>
          <w:u w:val="single"/>
          <w:shd w:val="clear" w:color="auto" w:fill="FFFFFF"/>
        </w:rPr>
        <w:t xml:space="preserve"> Krueger v. Sheriff Chris Elliott, et al.</w:t>
      </w:r>
      <w:r>
        <w:rPr>
          <w:color w:val="454545"/>
          <w:shd w:val="clear" w:color="auto" w:fill="FFFFFF"/>
        </w:rPr>
        <w:t>, United States District Court Judge Ronald A. White, U.S. District Court for Eastern District of Oklahoma, granted the EMT’s motion for summary judgment – qualified immunity.</w:t>
      </w:r>
      <w:r w:rsidR="00086D22">
        <w:rPr>
          <w:color w:val="454545"/>
          <w:shd w:val="clear" w:color="auto" w:fill="FFFFFF"/>
        </w:rPr>
        <w:t xml:space="preserve">  </w:t>
      </w:r>
      <w:r w:rsidR="00D90293">
        <w:rPr>
          <w:shd w:val="clear" w:color="auto" w:fill="FFFFFF"/>
        </w:rPr>
        <w:t xml:space="preserve">THE COURT </w:t>
      </w:r>
      <w:proofErr w:type="spellStart"/>
      <w:r w:rsidR="00D90293">
        <w:rPr>
          <w:shd w:val="clear" w:color="auto" w:fill="FFFFFF"/>
        </w:rPr>
        <w:t>HELD:</w:t>
      </w:r>
      <w:r>
        <w:rPr>
          <w:color w:val="454545"/>
          <w:shd w:val="clear" w:color="auto" w:fill="FFFFFF"/>
        </w:rPr>
        <w:t>“</w:t>
      </w:r>
      <w:r>
        <w:t>Plaintiffs</w:t>
      </w:r>
      <w:proofErr w:type="spellEnd"/>
      <w:r>
        <w:t xml:space="preserve"> have not identified any cases holding that an EMT violates an individual's Fourth Amendment right to be free from excessive force by briefly assisting officers in cuffing that individual, especially when that individual is struggling with officers in the middle of a busy highway where he stopped his car. As Plaintiffs have not satisfied their “burden of identifying cases that constitute clearly established law on these facts,” </w:t>
      </w:r>
      <w:r>
        <w:rPr>
          <w:rStyle w:val="Emphasis"/>
          <w:rFonts w:eastAsiaTheme="majorEastAsia"/>
        </w:rPr>
        <w:t>Id.</w:t>
      </w:r>
      <w:r>
        <w:t xml:space="preserve"> (citing </w:t>
      </w:r>
      <w:r>
        <w:rPr>
          <w:rStyle w:val="Emphasis"/>
          <w:rFonts w:eastAsiaTheme="majorEastAsia"/>
        </w:rPr>
        <w:t>Quinn v. Young</w:t>
      </w:r>
      <w:r>
        <w:t xml:space="preserve">, 780 F.3d 998, 1015 (10th Cir. 2015)), Smith and Patterson are entitled to qualified immunity on Plaintiffs' Fourth Amendment claims of excessive force. The motion for summary judgment motion is granted as to the excessive force claims against Smith and Patterson.”  </w:t>
      </w:r>
      <w:hyperlink r:id="rId2038" w:history="1">
        <w:r w:rsidRPr="006F5A98">
          <w:rPr>
            <w:rStyle w:val="Hyperlink"/>
          </w:rPr>
          <w:t>https://public.fastcase.com/H1P9uiW3J20SFp%2BGCG%2BxLfXb%2FP0Zem%2FZVE%2B6Qs7i4IO1WpaqZWLhEbCf1wzASLCeHTBrNzAeMbTpuOI06nFKgtuOqPD57vVcxacgyHv1UJc%3D?utm_medium=email&amp;_hsmi=226712652&amp;_hsenc=p2ANqtz-8wnxBiWrzuFD2HrdDPkM1g9CGhbZuaZGzbWbXmLdA56OF31_PY2JQBf09BSmDMlHEKBQ_DWKjsPmFM9QlP1xX06T0eGA&amp;utm_content=226712652&amp;utm_source=hs_email</w:t>
        </w:r>
      </w:hyperlink>
      <w:r>
        <w:t xml:space="preserve"> </w:t>
      </w:r>
    </w:p>
    <w:p w14:paraId="7B081384" w14:textId="5E9E8AED" w:rsidR="004705C6" w:rsidRDefault="00784981" w:rsidP="00784981">
      <w:pPr>
        <w:pStyle w:val="NormalWeb"/>
        <w:spacing w:before="0" w:beforeAutospacing="0"/>
        <w:ind w:left="720"/>
        <w:rPr>
          <w:rFonts w:ascii="Arial Black" w:hAnsi="Arial Black"/>
          <w:b/>
          <w:bCs/>
          <w:color w:val="454545"/>
          <w:sz w:val="28"/>
          <w:szCs w:val="28"/>
          <w:shd w:val="clear" w:color="auto" w:fill="FFFFFF"/>
        </w:rPr>
      </w:pPr>
      <w:r>
        <w:t xml:space="preserve">Note: </w:t>
      </w:r>
      <w:r w:rsidR="001E28A4">
        <w:rPr>
          <w:color w:val="454545"/>
          <w:shd w:val="clear" w:color="auto" w:fill="FFFFFF"/>
        </w:rPr>
        <w:t>Aug. 22, 2025, 10</w:t>
      </w:r>
      <w:r w:rsidR="001E28A4" w:rsidRPr="00086D22">
        <w:rPr>
          <w:color w:val="454545"/>
          <w:shd w:val="clear" w:color="auto" w:fill="FFFFFF"/>
          <w:vertAlign w:val="superscript"/>
        </w:rPr>
        <w:t>th</w:t>
      </w:r>
      <w:r w:rsidR="001E28A4">
        <w:rPr>
          <w:color w:val="454545"/>
          <w:shd w:val="clear" w:color="auto" w:fill="FFFFFF"/>
        </w:rPr>
        <w:t xml:space="preserve"> Circuit agreed: “</w:t>
      </w:r>
      <w:r w:rsidR="001E28A4" w:rsidRPr="00DE14B4">
        <w:rPr>
          <w:shd w:val="clear" w:color="auto" w:fill="FFFFFF"/>
        </w:rPr>
        <w:t>We agree with the district court that the Defendants are not entitled to</w:t>
      </w:r>
      <w:r w:rsidR="001E28A4">
        <w:rPr>
          <w:shd w:val="clear" w:color="auto" w:fill="FFFFFF"/>
        </w:rPr>
        <w:t xml:space="preserve"> </w:t>
      </w:r>
      <w:r w:rsidR="001E28A4" w:rsidRPr="00DE14B4">
        <w:rPr>
          <w:shd w:val="clear" w:color="auto" w:fill="FFFFFF"/>
        </w:rPr>
        <w:t>qualified immunity on the excessive force and failure to intervene claims.</w:t>
      </w:r>
      <w:r w:rsidR="001E28A4">
        <w:rPr>
          <w:shd w:val="clear" w:color="auto" w:fill="FFFFFF"/>
        </w:rPr>
        <w:t xml:space="preserve"> </w:t>
      </w:r>
      <w:r w:rsidR="001E28A4" w:rsidRPr="00DE14B4">
        <w:rPr>
          <w:shd w:val="clear" w:color="auto" w:fill="FFFFFF"/>
        </w:rPr>
        <w:t>Accordingly, we affirm the district court’s orders denying summary judgment.</w:t>
      </w:r>
      <w:r w:rsidR="001E28A4">
        <w:rPr>
          <w:shd w:val="clear" w:color="auto" w:fill="FFFFFF"/>
        </w:rPr>
        <w:t>”</w:t>
      </w:r>
      <w:r w:rsidR="001E28A4" w:rsidRPr="005E2E1A">
        <w:t xml:space="preserve"> </w:t>
      </w:r>
      <w:hyperlink r:id="rId2039" w:history="1">
        <w:r w:rsidR="001E28A4" w:rsidRPr="005B4041">
          <w:rPr>
            <w:rStyle w:val="Hyperlink"/>
            <w:shd w:val="clear" w:color="auto" w:fill="FFFFFF"/>
          </w:rPr>
          <w:t>https://cases.justia.com/federal/appellate-courts/ca10/24-7035/24-7035-2025-08-22.pdf?ts=1755880380</w:t>
        </w:r>
      </w:hyperlink>
    </w:p>
    <w:p w14:paraId="74CD2BBF" w14:textId="77777777" w:rsidR="004705C6" w:rsidRPr="00534353" w:rsidRDefault="004705C6" w:rsidP="004705C6">
      <w:pPr>
        <w:pStyle w:val="NormalWeb"/>
        <w:rPr>
          <w:b/>
          <w:bCs/>
        </w:rPr>
      </w:pPr>
      <w:r w:rsidRPr="00534353">
        <w:rPr>
          <w:b/>
          <w:bCs/>
        </w:rPr>
        <w:t>Legal Lesson Learned:</w:t>
      </w:r>
      <w:r>
        <w:rPr>
          <w:b/>
          <w:bCs/>
        </w:rPr>
        <w:t xml:space="preserve">  EMS may assist police in restraining a prisoner. </w:t>
      </w:r>
    </w:p>
    <w:p w14:paraId="7E143C7D" w14:textId="77777777" w:rsidR="004705C6" w:rsidRDefault="004705C6" w:rsidP="004705C6">
      <w:pPr>
        <w:pStyle w:val="NormalWeb"/>
      </w:pPr>
    </w:p>
    <w:p w14:paraId="59DDF0A2" w14:textId="77777777" w:rsidR="004705C6" w:rsidRDefault="004705C6" w:rsidP="004705C6">
      <w:pPr>
        <w:pStyle w:val="NormalWeb"/>
      </w:pPr>
    </w:p>
    <w:p w14:paraId="63DBB2AA" w14:textId="77777777" w:rsidR="004705C6" w:rsidRDefault="004705C6" w:rsidP="004705C6">
      <w:pPr>
        <w:rPr>
          <w:rFonts w:ascii="Arial Black" w:hAnsi="Arial Black"/>
          <w:sz w:val="28"/>
          <w:szCs w:val="28"/>
        </w:rPr>
      </w:pPr>
      <w:r>
        <w:rPr>
          <w:rFonts w:ascii="Arial Black" w:hAnsi="Arial Black"/>
          <w:sz w:val="28"/>
          <w:szCs w:val="28"/>
        </w:rPr>
        <w:lastRenderedPageBreak/>
        <w:t>13-176</w:t>
      </w:r>
    </w:p>
    <w:p w14:paraId="7470A0FC" w14:textId="78AEC580" w:rsidR="004705C6" w:rsidRPr="00EB612F" w:rsidRDefault="004705C6" w:rsidP="004705C6">
      <w:pPr>
        <w:rPr>
          <w:rFonts w:ascii="Arial Black" w:hAnsi="Arial Black"/>
          <w:sz w:val="28"/>
          <w:szCs w:val="28"/>
        </w:rPr>
      </w:pPr>
      <w:r>
        <w:rPr>
          <w:rFonts w:ascii="Arial Black" w:hAnsi="Arial Black"/>
          <w:sz w:val="28"/>
          <w:szCs w:val="28"/>
        </w:rPr>
        <w:t>CA: PD HANCUFFED MENTAL – STOPPED RESISTING, BUT MEDIC INJECTED VERSED / DIED – CASE PROCEED</w:t>
      </w:r>
    </w:p>
    <w:p w14:paraId="1FDCEAF2" w14:textId="51AE1E7F" w:rsidR="004705C6" w:rsidRDefault="004705C6" w:rsidP="004705C6">
      <w:pPr>
        <w:pStyle w:val="NormalWeb"/>
      </w:pPr>
      <w:r>
        <w:t xml:space="preserve">On March 15, 2024, in </w:t>
      </w:r>
      <w:r w:rsidRPr="008058CA">
        <w:rPr>
          <w:u w:val="single"/>
        </w:rPr>
        <w:t>Ivan Gutzalenko, et al. v. City of Richmond, et al</w:t>
      </w:r>
      <w:r>
        <w:t xml:space="preserve">., United States District Court Judge Edward M. Chen, U.S. District Court for Northern District of California, denied the motion to dismiss by AMR and paramedic Damon Richardson, who had administered 5 milligrams of Versed into his left bicep, and the detainee stopped breathing.  </w:t>
      </w:r>
      <w:r w:rsidRPr="00A77F9B">
        <w:t xml:space="preserve">Plaintiffs claim Mr. Richardson did not </w:t>
      </w:r>
      <w:r>
        <w:t>‘</w:t>
      </w:r>
      <w:r w:rsidRPr="00A77F9B">
        <w:t>aspirate</w:t>
      </w:r>
      <w:r>
        <w:t>’</w:t>
      </w:r>
      <w:r w:rsidRPr="00A77F9B">
        <w:t xml:space="preserve"> the syringe when he administered the Versed to ensure it was not in the vein. Plaintiffs allege that the decedent stopped breathing within 90 seconds of the Versed administration and that he was pronounced dead after he was taken to Summit Hospital in Oakland.</w:t>
      </w:r>
      <w:r w:rsidR="00F733DE">
        <w:t xml:space="preserve"> </w:t>
      </w:r>
      <w:hyperlink r:id="rId2040" w:history="1">
        <w:r w:rsidR="00F733DE" w:rsidRPr="0026472A">
          <w:rPr>
            <w:rStyle w:val="Hyperlink"/>
          </w:rPr>
          <w:t>https://richmondside.org/2025/09/11/civil-rights-trial-forced-sedation-richmond-death/</w:t>
        </w:r>
      </w:hyperlink>
      <w:r w:rsidR="00F733DE">
        <w:t xml:space="preserve"> </w:t>
      </w:r>
    </w:p>
    <w:p w14:paraId="13295A4C"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21A4182" w14:textId="77777777" w:rsidR="004504A6" w:rsidRDefault="004504A6" w:rsidP="004705C6">
      <w:pPr>
        <w:pStyle w:val="NoSpacing"/>
        <w:ind w:left="720"/>
        <w:rPr>
          <w:rFonts w:ascii="Times New Roman" w:hAnsi="Times New Roman"/>
          <w:sz w:val="24"/>
          <w:szCs w:val="24"/>
        </w:rPr>
      </w:pPr>
    </w:p>
    <w:p w14:paraId="792E0214" w14:textId="30E23BBB" w:rsidR="004705C6" w:rsidRDefault="004705C6" w:rsidP="004705C6">
      <w:pPr>
        <w:pStyle w:val="NoSpacing"/>
        <w:ind w:left="720"/>
        <w:rPr>
          <w:rFonts w:ascii="Times New Roman" w:hAnsi="Times New Roman"/>
          <w:sz w:val="24"/>
          <w:szCs w:val="24"/>
        </w:rPr>
      </w:pPr>
      <w:r>
        <w:rPr>
          <w:rFonts w:ascii="Times New Roman" w:hAnsi="Times New Roman"/>
          <w:sz w:val="24"/>
          <w:szCs w:val="24"/>
        </w:rPr>
        <w:t>“</w:t>
      </w:r>
      <w:r w:rsidRPr="0068190E">
        <w:rPr>
          <w:rFonts w:ascii="Times New Roman" w:hAnsi="Times New Roman"/>
          <w:sz w:val="24"/>
          <w:szCs w:val="24"/>
        </w:rPr>
        <w:t>Taking the allegations as true, if Mr. Richardson administered Versed into the decedent's body even though the decedent was not resisting arrest and could not consent, thus resulting in the decedent's death, these facts could constitute battery.</w:t>
      </w:r>
    </w:p>
    <w:p w14:paraId="7512B3FF" w14:textId="77777777" w:rsidR="004705C6" w:rsidRDefault="004705C6" w:rsidP="004705C6">
      <w:pPr>
        <w:pStyle w:val="NoSpacing"/>
        <w:rPr>
          <w:rFonts w:ascii="Times New Roman" w:hAnsi="Times New Roman"/>
          <w:sz w:val="24"/>
          <w:szCs w:val="24"/>
        </w:rPr>
      </w:pPr>
    </w:p>
    <w:p w14:paraId="69902BDB" w14:textId="77777777" w:rsidR="004705C6" w:rsidRDefault="004705C6" w:rsidP="004705C6">
      <w:pPr>
        <w:pStyle w:val="NoSpacing"/>
        <w:ind w:firstLine="720"/>
        <w:rPr>
          <w:rFonts w:ascii="Times New Roman" w:hAnsi="Times New Roman"/>
          <w:sz w:val="24"/>
          <w:szCs w:val="24"/>
        </w:rPr>
      </w:pPr>
      <w:r>
        <w:rPr>
          <w:rFonts w:ascii="Times New Roman" w:hAnsi="Times New Roman"/>
          <w:sz w:val="24"/>
          <w:szCs w:val="24"/>
        </w:rPr>
        <w:t>***</w:t>
      </w:r>
    </w:p>
    <w:p w14:paraId="5AEF51E4" w14:textId="77777777" w:rsidR="004705C6" w:rsidRDefault="004705C6" w:rsidP="004705C6">
      <w:pPr>
        <w:pStyle w:val="NoSpacing"/>
        <w:rPr>
          <w:rFonts w:ascii="Times New Roman" w:hAnsi="Times New Roman"/>
          <w:sz w:val="24"/>
          <w:szCs w:val="24"/>
        </w:rPr>
      </w:pPr>
    </w:p>
    <w:p w14:paraId="2A256FCC" w14:textId="77777777" w:rsidR="004705C6" w:rsidRDefault="004705C6" w:rsidP="004705C6">
      <w:pPr>
        <w:pStyle w:val="NoSpacing"/>
        <w:ind w:left="720"/>
        <w:rPr>
          <w:rFonts w:ascii="Times New Roman" w:hAnsi="Times New Roman"/>
          <w:sz w:val="24"/>
          <w:szCs w:val="24"/>
        </w:rPr>
      </w:pPr>
      <w:r w:rsidRPr="00F63C8E">
        <w:rPr>
          <w:rFonts w:ascii="Times New Roman" w:hAnsi="Times New Roman"/>
          <w:sz w:val="24"/>
          <w:szCs w:val="24"/>
        </w:rPr>
        <w:t>But whether there was a medical emergency here that warranted the injection of Versed is at least a factual question inappropriate for resolution on a motion to dismiss. The Court denies summary judgment and thus cannot dismiss Plaintiff's claim for assault and battery because factual issues remain.</w:t>
      </w:r>
    </w:p>
    <w:p w14:paraId="793EA206" w14:textId="77777777" w:rsidR="004705C6" w:rsidRDefault="004705C6" w:rsidP="004705C6">
      <w:pPr>
        <w:pStyle w:val="NoSpacing"/>
        <w:rPr>
          <w:rFonts w:ascii="Times New Roman" w:hAnsi="Times New Roman"/>
          <w:sz w:val="24"/>
          <w:szCs w:val="24"/>
        </w:rPr>
      </w:pPr>
      <w:r>
        <w:rPr>
          <w:rFonts w:ascii="Times New Roman" w:hAnsi="Times New Roman"/>
          <w:sz w:val="24"/>
          <w:szCs w:val="24"/>
        </w:rPr>
        <w:tab/>
      </w:r>
    </w:p>
    <w:p w14:paraId="72DAB3DE" w14:textId="77777777" w:rsidR="004705C6" w:rsidRDefault="004705C6" w:rsidP="004705C6">
      <w:pPr>
        <w:pStyle w:val="NoSpacing"/>
        <w:ind w:firstLine="720"/>
        <w:rPr>
          <w:rFonts w:ascii="Times New Roman" w:hAnsi="Times New Roman"/>
          <w:sz w:val="24"/>
          <w:szCs w:val="24"/>
        </w:rPr>
      </w:pPr>
      <w:r>
        <w:rPr>
          <w:rFonts w:ascii="Times New Roman" w:hAnsi="Times New Roman"/>
          <w:sz w:val="24"/>
          <w:szCs w:val="24"/>
        </w:rPr>
        <w:t>***</w:t>
      </w:r>
    </w:p>
    <w:p w14:paraId="4B3336DF" w14:textId="77777777" w:rsidR="004705C6" w:rsidRPr="009A0D07" w:rsidRDefault="004705C6" w:rsidP="004705C6">
      <w:pPr>
        <w:pStyle w:val="NoSpacing"/>
        <w:ind w:left="720"/>
        <w:rPr>
          <w:rFonts w:ascii="Times New Roman" w:hAnsi="Times New Roman"/>
          <w:sz w:val="24"/>
          <w:szCs w:val="24"/>
        </w:rPr>
      </w:pPr>
      <w:r w:rsidRPr="009A0D07">
        <w:rPr>
          <w:rFonts w:ascii="Times New Roman" w:hAnsi="Times New Roman"/>
          <w:sz w:val="24"/>
          <w:szCs w:val="24"/>
        </w:rPr>
        <w:t>Because the Court finds that Plaintiffs sufficiently alleged that Mr. Richardson assisted police officers in detaining and arresting the decedent, Mr. Richardson could be liable for the false arrest claim if he acted in a law enforcement rather than medical capacity.</w:t>
      </w:r>
      <w:r>
        <w:rPr>
          <w:rFonts w:ascii="Times New Roman" w:hAnsi="Times New Roman"/>
          <w:sz w:val="24"/>
          <w:szCs w:val="24"/>
        </w:rPr>
        <w:t xml:space="preserve">” </w:t>
      </w:r>
      <w:hyperlink r:id="rId2041" w:history="1">
        <w:r w:rsidRPr="00571E72">
          <w:rPr>
            <w:rStyle w:val="Hyperlink"/>
            <w:rFonts w:ascii="Times New Roman" w:hAnsi="Times New Roman"/>
            <w:sz w:val="24"/>
            <w:szCs w:val="24"/>
          </w:rPr>
          <w:t>https://casetext.com/case/gutzalenko-v-city-of-richmond</w:t>
        </w:r>
      </w:hyperlink>
      <w:r>
        <w:rPr>
          <w:rFonts w:ascii="Times New Roman" w:hAnsi="Times New Roman"/>
          <w:sz w:val="24"/>
          <w:szCs w:val="24"/>
        </w:rPr>
        <w:t xml:space="preserve"> </w:t>
      </w:r>
    </w:p>
    <w:p w14:paraId="06CCE028" w14:textId="77777777" w:rsidR="004705C6" w:rsidRPr="0068190E" w:rsidRDefault="004705C6" w:rsidP="004705C6">
      <w:pPr>
        <w:pStyle w:val="NoSpacing"/>
        <w:rPr>
          <w:rFonts w:ascii="Times New Roman" w:hAnsi="Times New Roman"/>
          <w:sz w:val="24"/>
          <w:szCs w:val="24"/>
        </w:rPr>
      </w:pPr>
    </w:p>
    <w:p w14:paraId="69B5F1F4" w14:textId="77777777" w:rsidR="004705C6" w:rsidRPr="001F7017" w:rsidRDefault="004705C6" w:rsidP="004705C6">
      <w:pPr>
        <w:pStyle w:val="NormalWeb"/>
        <w:rPr>
          <w:b/>
          <w:bCs/>
        </w:rPr>
      </w:pPr>
      <w:r>
        <w:rPr>
          <w:b/>
          <w:bCs/>
        </w:rPr>
        <w:t xml:space="preserve">Legal Lesson Learned:  If detainee is not struggling, carefully follow protocol about when to administer a sedative. </w:t>
      </w:r>
    </w:p>
    <w:p w14:paraId="04100412" w14:textId="77777777" w:rsidR="004705C6" w:rsidRPr="005E33AC" w:rsidRDefault="004705C6" w:rsidP="004705C6">
      <w:pPr>
        <w:pStyle w:val="NoSpacing"/>
        <w:ind w:left="720"/>
        <w:rPr>
          <w:rFonts w:ascii="Times New Roman" w:hAnsi="Times New Roman"/>
          <w:sz w:val="24"/>
          <w:szCs w:val="24"/>
        </w:rPr>
      </w:pPr>
      <w:r w:rsidRPr="005E33AC">
        <w:rPr>
          <w:rFonts w:ascii="Times New Roman" w:hAnsi="Times New Roman"/>
          <w:sz w:val="24"/>
          <w:szCs w:val="24"/>
        </w:rPr>
        <w:t>Note: See County Prosecutor’s investigation report, including interview of Medic Richardson (page 19)</w:t>
      </w:r>
      <w:r>
        <w:rPr>
          <w:rFonts w:ascii="Times New Roman" w:hAnsi="Times New Roman"/>
          <w:sz w:val="24"/>
          <w:szCs w:val="24"/>
        </w:rPr>
        <w:t xml:space="preserve">: </w:t>
      </w:r>
      <w:hyperlink r:id="rId2042" w:history="1">
        <w:r w:rsidRPr="00AA5DF9">
          <w:rPr>
            <w:rStyle w:val="Hyperlink"/>
            <w:rFonts w:ascii="Times New Roman" w:hAnsi="Times New Roman"/>
            <w:sz w:val="24"/>
            <w:szCs w:val="24"/>
          </w:rPr>
          <w:t>https://www.contracosta.ca.gov/DocumentCenter/View/79107/Final-LEIFI-Ivan-Gutzalenko--2021</w:t>
        </w:r>
      </w:hyperlink>
      <w:r>
        <w:rPr>
          <w:rFonts w:ascii="Times New Roman" w:hAnsi="Times New Roman"/>
          <w:sz w:val="24"/>
          <w:szCs w:val="24"/>
        </w:rPr>
        <w:t xml:space="preserve"> </w:t>
      </w:r>
    </w:p>
    <w:p w14:paraId="7578E5A0" w14:textId="77777777" w:rsidR="004705C6" w:rsidRPr="005E33AC" w:rsidRDefault="004705C6" w:rsidP="004705C6">
      <w:pPr>
        <w:pStyle w:val="NoSpacing"/>
        <w:rPr>
          <w:rFonts w:ascii="Times New Roman" w:hAnsi="Times New Roman"/>
          <w:sz w:val="24"/>
          <w:szCs w:val="24"/>
        </w:rPr>
      </w:pPr>
    </w:p>
    <w:p w14:paraId="3A0E2915" w14:textId="77777777" w:rsidR="004705C6" w:rsidRDefault="004705C6" w:rsidP="004705C6">
      <w:pPr>
        <w:pStyle w:val="NoSpacing"/>
        <w:rPr>
          <w:rFonts w:ascii="Times New Roman" w:hAnsi="Times New Roman"/>
          <w:sz w:val="24"/>
          <w:szCs w:val="24"/>
        </w:rPr>
      </w:pPr>
    </w:p>
    <w:p w14:paraId="4C4ACB24" w14:textId="77777777" w:rsidR="004705C6" w:rsidRPr="00A77F9B" w:rsidRDefault="004705C6" w:rsidP="004705C6">
      <w:pPr>
        <w:pStyle w:val="NoSpacing"/>
        <w:rPr>
          <w:rFonts w:ascii="Times New Roman" w:hAnsi="Times New Roman"/>
          <w:sz w:val="24"/>
          <w:szCs w:val="24"/>
        </w:rPr>
      </w:pPr>
    </w:p>
    <w:p w14:paraId="788E51A9" w14:textId="77777777" w:rsidR="004705C6" w:rsidRPr="004705C6" w:rsidRDefault="004705C6" w:rsidP="004705C6">
      <w:pPr>
        <w:pStyle w:val="NormalWeb"/>
        <w:spacing w:before="0" w:beforeAutospacing="0"/>
        <w:rPr>
          <w:rFonts w:ascii="Arial Black" w:hAnsi="Arial Black"/>
          <w:color w:val="454545"/>
          <w:sz w:val="28"/>
          <w:szCs w:val="28"/>
          <w:shd w:val="clear" w:color="auto" w:fill="FFFFFF"/>
        </w:rPr>
      </w:pPr>
      <w:r w:rsidRPr="004705C6">
        <w:rPr>
          <w:rFonts w:ascii="Arial Black" w:hAnsi="Arial Black"/>
          <w:color w:val="454545"/>
          <w:sz w:val="28"/>
          <w:szCs w:val="28"/>
          <w:shd w:val="clear" w:color="auto" w:fill="FFFFFF"/>
        </w:rPr>
        <w:t>13-175</w:t>
      </w:r>
    </w:p>
    <w:p w14:paraId="3BDEB80D" w14:textId="16D15A9F" w:rsidR="004705C6" w:rsidRPr="00BF0450" w:rsidRDefault="004705C6" w:rsidP="004705C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SC: COMBATIVE PT IN AMBULANCE – GIVEN 2</w:t>
      </w:r>
      <w:r w:rsidRPr="00C50832">
        <w:rPr>
          <w:rFonts w:ascii="Arial Black" w:hAnsi="Arial Black"/>
          <w:b/>
          <w:bCs/>
          <w:color w:val="454545"/>
          <w:sz w:val="28"/>
          <w:szCs w:val="28"/>
          <w:shd w:val="clear" w:color="auto" w:fill="FFFFFF"/>
          <w:vertAlign w:val="superscript"/>
        </w:rPr>
        <w:t>nd</w:t>
      </w:r>
      <w:r>
        <w:rPr>
          <w:rFonts w:ascii="Arial Black" w:hAnsi="Arial Black"/>
          <w:b/>
          <w:bCs/>
          <w:color w:val="454545"/>
          <w:sz w:val="28"/>
          <w:szCs w:val="28"/>
          <w:shd w:val="clear" w:color="auto" w:fill="FFFFFF"/>
        </w:rPr>
        <w:t xml:space="preserve"> KETAMINE – LIVED - NOT “SHOCK THE CONSCIOUS” - NO FED. CASE</w:t>
      </w:r>
    </w:p>
    <w:p w14:paraId="6A478D7B" w14:textId="77777777" w:rsidR="004705C6" w:rsidRDefault="004705C6" w:rsidP="004705C6">
      <w:pPr>
        <w:pStyle w:val="NormalWeb"/>
        <w:spacing w:before="0" w:beforeAutospacing="0"/>
      </w:pPr>
      <w:r w:rsidRPr="003E0A9D">
        <w:rPr>
          <w:color w:val="454545"/>
          <w:shd w:val="clear" w:color="auto" w:fill="FFFFFF"/>
        </w:rPr>
        <w:t>On March 14, 2024</w:t>
      </w:r>
      <w:r>
        <w:rPr>
          <w:color w:val="454545"/>
          <w:shd w:val="clear" w:color="auto" w:fill="FFFFFF"/>
        </w:rPr>
        <w:t xml:space="preserve">, in </w:t>
      </w:r>
      <w:r w:rsidRPr="00EB2849">
        <w:rPr>
          <w:color w:val="454545"/>
          <w:u w:val="single"/>
          <w:shd w:val="clear" w:color="auto" w:fill="FFFFFF"/>
        </w:rPr>
        <w:t>Randy Botten v. Charleton County EMS and Christopher Cox</w:t>
      </w:r>
      <w:r>
        <w:rPr>
          <w:color w:val="454545"/>
          <w:shd w:val="clear" w:color="auto" w:fill="FFFFFF"/>
        </w:rPr>
        <w:t xml:space="preserve">, United States District Court Judge David C. Norton, U.S. District Court for South Carolina (Charleston Division) granted defense motion to dismiss; plaintiff alleges he suffered </w:t>
      </w:r>
      <w:r>
        <w:t xml:space="preserve">acute respiratory failure because of second injection of ketamine, but he was so combative in back of the ambulance they had to pull over to control him. </w:t>
      </w:r>
    </w:p>
    <w:p w14:paraId="0BACE187" w14:textId="77777777" w:rsidR="004504A6" w:rsidRPr="004C0299" w:rsidRDefault="004504A6" w:rsidP="004504A6">
      <w:pPr>
        <w:pStyle w:val="NoSpacing"/>
        <w:rPr>
          <w:rFonts w:ascii="Times New Roman" w:hAnsi="Times New Roman"/>
          <w:sz w:val="24"/>
          <w:szCs w:val="24"/>
        </w:rPr>
      </w:pPr>
      <w:r>
        <w:rPr>
          <w:rFonts w:ascii="Times New Roman" w:hAnsi="Times New Roman"/>
          <w:sz w:val="24"/>
          <w:szCs w:val="24"/>
          <w:shd w:val="clear" w:color="auto" w:fill="FFFFFF"/>
        </w:rPr>
        <w:lastRenderedPageBreak/>
        <w:t>THE COURT HELD:</w:t>
      </w:r>
    </w:p>
    <w:p w14:paraId="560BA1D1" w14:textId="77777777" w:rsidR="004705C6" w:rsidRDefault="004705C6" w:rsidP="004705C6">
      <w:pPr>
        <w:pStyle w:val="NormalWeb"/>
        <w:ind w:left="720"/>
      </w:pPr>
      <w:r>
        <w:t>“The heart of Botten's allegations in this lawsuit is that these two ketamine injections were done without his consent and in a dangerous manner. He says that EMS employees determine how much ketamine to administer by ‘looking at the person and guessing their weight.’ Botten claims that injecting an intoxicated person with 500 milligrams of ketamine is extremely dangerous and can result in that person's death, and he says that the defendants had been told he was drunk prior to their injecting him.  He further states that Cox did not consult with medical control prior to administering the second ketamine dose, which violated EMS's protocol. Botten believes the defendants did not have a legitimate medical purpose for injecting him with ketamine and instead administered the drug ‘solely for the purpose of behavioral control.</w:t>
      </w:r>
    </w:p>
    <w:p w14:paraId="174BAB9D" w14:textId="77777777" w:rsidR="004705C6" w:rsidRDefault="004705C6" w:rsidP="004705C6">
      <w:pPr>
        <w:pStyle w:val="NormalWeb"/>
        <w:ind w:left="720"/>
      </w:pPr>
      <w:r>
        <w:t>***</w:t>
      </w:r>
    </w:p>
    <w:p w14:paraId="4D0373F6" w14:textId="77777777" w:rsidR="004705C6" w:rsidRDefault="004705C6" w:rsidP="004705C6">
      <w:pPr>
        <w:pStyle w:val="NormalWeb"/>
        <w:ind w:left="720"/>
      </w:pPr>
      <w:r>
        <w:t xml:space="preserve">The court finds that Botten's § 1983 claim must be dismissed because Botten's allegations do not give rise to a constitutional violation. The Fourth Circuit recently outlined what is necessary for a plaintiff to assert a due process violation based on an invasion of bodily integrity. </w:t>
      </w:r>
      <w:r>
        <w:rPr>
          <w:rStyle w:val="Emphasis"/>
          <w:rFonts w:eastAsiaTheme="majorEastAsia"/>
        </w:rPr>
        <w:t xml:space="preserve">See Washington v. </w:t>
      </w:r>
      <w:proofErr w:type="spellStart"/>
      <w:r>
        <w:rPr>
          <w:rStyle w:val="Emphasis"/>
          <w:rFonts w:eastAsiaTheme="majorEastAsia"/>
        </w:rPr>
        <w:t>Hous</w:t>
      </w:r>
      <w:proofErr w:type="spellEnd"/>
      <w:r>
        <w:rPr>
          <w:rStyle w:val="Emphasis"/>
          <w:rFonts w:eastAsiaTheme="majorEastAsia"/>
        </w:rPr>
        <w:t>. Auth.,</w:t>
      </w:r>
      <w:r>
        <w:t xml:space="preserve"> 58 F.4th 170, 177 (4th Cir. 2023). Namely, the plaintiff must show that the ‘defendant's behavior was ‘so egregious, so outrageous, that it may fairly be said to shock the contemporary conscience.' To be conscience shocking, a defendant's behavior must lack ‘any reasonable justification in the service of a legitimate governmental objective.' </w:t>
      </w:r>
      <w:r>
        <w:rPr>
          <w:rStyle w:val="Emphasis"/>
          <w:rFonts w:eastAsiaTheme="majorEastAsia"/>
        </w:rPr>
        <w:t>Id.</w:t>
      </w:r>
      <w:r>
        <w:t xml:space="preserve"> (citation omitted) (first quoting </w:t>
      </w:r>
      <w:r>
        <w:rPr>
          <w:rStyle w:val="Emphasis"/>
          <w:rFonts w:eastAsiaTheme="majorEastAsia"/>
        </w:rPr>
        <w:t>Dean ex rel. Harkness v. McKinney,</w:t>
      </w:r>
      <w:r>
        <w:t xml:space="preserve"> 976 F.3d 407, 413 (4th Cir. 2020); and then quoting </w:t>
      </w:r>
      <w:proofErr w:type="spellStart"/>
      <w:r>
        <w:rPr>
          <w:rStyle w:val="Emphasis"/>
          <w:rFonts w:eastAsiaTheme="majorEastAsia"/>
        </w:rPr>
        <w:t>Cnty</w:t>
      </w:r>
      <w:proofErr w:type="spellEnd"/>
      <w:r>
        <w:rPr>
          <w:rStyle w:val="Emphasis"/>
          <w:rFonts w:eastAsiaTheme="majorEastAsia"/>
        </w:rPr>
        <w:t>. of Sacramento v. Lewis,</w:t>
      </w:r>
      <w:r>
        <w:t xml:space="preserve"> 523 U.S. 833, 846 (1998)).” </w:t>
      </w:r>
      <w:hyperlink r:id="rId2043" w:history="1">
        <w:r w:rsidRPr="00AA5DF9">
          <w:rPr>
            <w:rStyle w:val="Hyperlink"/>
          </w:rPr>
          <w:t>https://public.fastcase.com/H1P9uiW3J20SFp%2BGCG%2BxLaemfayQbOUv%2BEh6FB5s8DQhIQ87YMziPJITlyqe%2FhSH?utm_medium=email&amp;_hsmi=226712652&amp;_hsenc=p2ANqtz-8exNZIeYxIQOzMK262tD3IHaMXGJDKKAxfpMPtjNaE7kcerp9c9vm-ypoKl8zd2ZG1HbM5kXW5cAGwdVsTDfl2ZJRdHw&amp;utm_content=226712652&amp;utm_source=hs_email</w:t>
        </w:r>
      </w:hyperlink>
      <w:r>
        <w:t xml:space="preserve"> </w:t>
      </w:r>
    </w:p>
    <w:p w14:paraId="0E3E4942" w14:textId="77777777" w:rsidR="004705C6" w:rsidRPr="00931393" w:rsidRDefault="004705C6" w:rsidP="004705C6">
      <w:pPr>
        <w:pStyle w:val="NormalWeb"/>
        <w:rPr>
          <w:b/>
          <w:bCs/>
        </w:rPr>
      </w:pPr>
      <w:r>
        <w:rPr>
          <w:b/>
          <w:bCs/>
        </w:rPr>
        <w:t xml:space="preserve">Legal Lesson Learned: Follow your protocol on administering second injection of ketamine. </w:t>
      </w:r>
    </w:p>
    <w:p w14:paraId="0215BAFE" w14:textId="77777777" w:rsidR="004705C6" w:rsidRDefault="004705C6" w:rsidP="004705C6">
      <w:pPr>
        <w:pStyle w:val="NoSpacing"/>
        <w:rPr>
          <w:rFonts w:ascii="Arial Black" w:hAnsi="Arial Black"/>
          <w:sz w:val="28"/>
          <w:szCs w:val="28"/>
        </w:rPr>
      </w:pPr>
    </w:p>
    <w:p w14:paraId="2A9D8362" w14:textId="63A9BF1E" w:rsidR="004705C6" w:rsidRDefault="004705C6" w:rsidP="004705C6">
      <w:pPr>
        <w:pStyle w:val="NoSpacing"/>
        <w:rPr>
          <w:rFonts w:ascii="Arial Black" w:hAnsi="Arial Black"/>
          <w:sz w:val="28"/>
          <w:szCs w:val="28"/>
        </w:rPr>
      </w:pPr>
      <w:r>
        <w:rPr>
          <w:rFonts w:ascii="Arial Black" w:hAnsi="Arial Black"/>
          <w:sz w:val="28"/>
          <w:szCs w:val="28"/>
        </w:rPr>
        <w:t>13-174</w:t>
      </w:r>
    </w:p>
    <w:p w14:paraId="03D50363" w14:textId="77777777" w:rsidR="004705C6" w:rsidRDefault="004705C6" w:rsidP="004705C6">
      <w:pPr>
        <w:pStyle w:val="NoSpacing"/>
        <w:rPr>
          <w:rFonts w:ascii="Arial Black" w:hAnsi="Arial Black"/>
          <w:sz w:val="28"/>
          <w:szCs w:val="28"/>
        </w:rPr>
      </w:pPr>
    </w:p>
    <w:p w14:paraId="44507672" w14:textId="77C60C5B" w:rsidR="004705C6" w:rsidRPr="008B6200" w:rsidRDefault="004705C6" w:rsidP="004705C6">
      <w:pPr>
        <w:pStyle w:val="NoSpacing"/>
        <w:rPr>
          <w:rFonts w:ascii="Arial Black" w:hAnsi="Arial Black"/>
          <w:sz w:val="28"/>
          <w:szCs w:val="28"/>
        </w:rPr>
      </w:pPr>
      <w:r>
        <w:rPr>
          <w:rFonts w:ascii="Arial Black" w:hAnsi="Arial Black"/>
          <w:sz w:val="28"/>
          <w:szCs w:val="28"/>
        </w:rPr>
        <w:t>TX: BLS TRANSPORT AFTER MVA – BILLED $1,830.50 – NO MEDICAL EXPERT FRAUD - CASE PROPERLY DISMISSED</w:t>
      </w:r>
    </w:p>
    <w:p w14:paraId="5DDCC576" w14:textId="77777777" w:rsidR="004705C6" w:rsidRDefault="004705C6" w:rsidP="004705C6">
      <w:pPr>
        <w:pStyle w:val="NoSpacing"/>
        <w:rPr>
          <w:rFonts w:ascii="Times New Roman" w:hAnsi="Times New Roman"/>
          <w:sz w:val="24"/>
          <w:szCs w:val="24"/>
        </w:rPr>
      </w:pPr>
    </w:p>
    <w:p w14:paraId="799015BB" w14:textId="77777777" w:rsidR="004705C6" w:rsidRDefault="004705C6" w:rsidP="004705C6">
      <w:pPr>
        <w:pStyle w:val="NoSpacing"/>
        <w:rPr>
          <w:rFonts w:ascii="Times New Roman" w:hAnsi="Times New Roman"/>
          <w:sz w:val="24"/>
          <w:szCs w:val="24"/>
        </w:rPr>
      </w:pPr>
      <w:r>
        <w:rPr>
          <w:rFonts w:ascii="Times New Roman" w:hAnsi="Times New Roman"/>
          <w:sz w:val="24"/>
          <w:szCs w:val="24"/>
        </w:rPr>
        <w:t xml:space="preserve">On March 14, 2024, in </w:t>
      </w:r>
      <w:proofErr w:type="spellStart"/>
      <w:r w:rsidRPr="00F1279A">
        <w:rPr>
          <w:rFonts w:ascii="Times New Roman" w:hAnsi="Times New Roman"/>
          <w:sz w:val="24"/>
          <w:szCs w:val="24"/>
          <w:u w:val="single"/>
        </w:rPr>
        <w:t>Alstonia</w:t>
      </w:r>
      <w:proofErr w:type="spellEnd"/>
      <w:r w:rsidRPr="00F1279A">
        <w:rPr>
          <w:rFonts w:ascii="Times New Roman" w:hAnsi="Times New Roman"/>
          <w:sz w:val="24"/>
          <w:szCs w:val="24"/>
          <w:u w:val="single"/>
        </w:rPr>
        <w:t xml:space="preserve"> Louis v. Liberty County Emergency Medical Service, Inc</w:t>
      </w:r>
      <w:r>
        <w:rPr>
          <w:rFonts w:ascii="Times New Roman" w:hAnsi="Times New Roman"/>
          <w:sz w:val="24"/>
          <w:szCs w:val="24"/>
        </w:rPr>
        <w:t xml:space="preserve">., the </w:t>
      </w:r>
    </w:p>
    <w:p w14:paraId="279EAD48" w14:textId="77777777" w:rsidR="004705C6" w:rsidRDefault="004705C6" w:rsidP="004705C6">
      <w:pPr>
        <w:pStyle w:val="NoSpacing"/>
        <w:rPr>
          <w:rFonts w:ascii="Times New Roman" w:hAnsi="Times New Roman"/>
          <w:sz w:val="24"/>
          <w:szCs w:val="24"/>
        </w:rPr>
      </w:pPr>
      <w:r w:rsidRPr="00C312AE">
        <w:rPr>
          <w:rFonts w:ascii="Times New Roman" w:hAnsi="Times New Roman"/>
          <w:sz w:val="24"/>
          <w:szCs w:val="24"/>
        </w:rPr>
        <w:t>Court of Appeals of Texas, Fourteenth District</w:t>
      </w:r>
      <w:r>
        <w:rPr>
          <w:rFonts w:ascii="Times New Roman" w:hAnsi="Times New Roman"/>
          <w:sz w:val="24"/>
          <w:szCs w:val="24"/>
        </w:rPr>
        <w:t xml:space="preserve"> held (3 to 0) that trial court properly granted defense motion to dismiss since this is in effect a medical malpractice claim that under Texas law must be supported by affidavit from medical expert.  </w:t>
      </w:r>
    </w:p>
    <w:p w14:paraId="53D766B2" w14:textId="77777777" w:rsidR="004504A6" w:rsidRDefault="004504A6" w:rsidP="004504A6">
      <w:pPr>
        <w:pStyle w:val="NoSpacing"/>
        <w:rPr>
          <w:rFonts w:ascii="Times New Roman" w:hAnsi="Times New Roman"/>
          <w:sz w:val="24"/>
          <w:szCs w:val="24"/>
          <w:shd w:val="clear" w:color="auto" w:fill="FFFFFF"/>
        </w:rPr>
      </w:pPr>
    </w:p>
    <w:p w14:paraId="005E6815" w14:textId="7BB1174A" w:rsidR="004504A6" w:rsidRPr="004C0299" w:rsidRDefault="004504A6" w:rsidP="004504A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D6A70DC" w14:textId="77777777" w:rsidR="004705C6" w:rsidRDefault="004705C6" w:rsidP="004705C6">
      <w:pPr>
        <w:pStyle w:val="NoSpacing"/>
      </w:pPr>
    </w:p>
    <w:p w14:paraId="47786942" w14:textId="77777777" w:rsidR="004705C6" w:rsidRDefault="004705C6" w:rsidP="004705C6">
      <w:pPr>
        <w:pStyle w:val="NoSpacing"/>
        <w:ind w:left="720"/>
        <w:rPr>
          <w:rFonts w:ascii="Times New Roman" w:hAnsi="Times New Roman"/>
          <w:sz w:val="24"/>
          <w:szCs w:val="24"/>
        </w:rPr>
      </w:pPr>
      <w:r>
        <w:rPr>
          <w:rFonts w:ascii="Times New Roman" w:hAnsi="Times New Roman"/>
          <w:sz w:val="24"/>
          <w:szCs w:val="24"/>
        </w:rPr>
        <w:t>“</w:t>
      </w:r>
      <w:r w:rsidRPr="00BE1DE1">
        <w:rPr>
          <w:rFonts w:ascii="Times New Roman" w:hAnsi="Times New Roman"/>
          <w:sz w:val="24"/>
          <w:szCs w:val="24"/>
        </w:rPr>
        <w:t xml:space="preserve">Both Louis's pleadings and affidavit establish that he was transported by ambulance and received health care from Liberty County EMS. For example, Louis acknowledged that Liberty County EMS checked his vital signs. Therefore, we are confronted with another situation in which the conduct of the health-care provider and the determination of the care provided </w:t>
      </w:r>
      <w:proofErr w:type="gramStart"/>
      <w:r w:rsidRPr="00BE1DE1">
        <w:rPr>
          <w:rFonts w:ascii="Times New Roman" w:hAnsi="Times New Roman"/>
          <w:sz w:val="24"/>
          <w:szCs w:val="24"/>
        </w:rPr>
        <w:t>is at issue</w:t>
      </w:r>
      <w:proofErr w:type="gramEnd"/>
      <w:r w:rsidRPr="00BE1DE1">
        <w:rPr>
          <w:rFonts w:ascii="Times New Roman" w:hAnsi="Times New Roman"/>
          <w:sz w:val="24"/>
          <w:szCs w:val="24"/>
        </w:rPr>
        <w:t xml:space="preserve">. The resolution of Louis's challenge to the level of care provided to him and appropriate commensurate billing for those services is </w:t>
      </w:r>
      <w:r w:rsidRPr="00BE1DE1">
        <w:rPr>
          <w:rFonts w:ascii="Times New Roman" w:hAnsi="Times New Roman"/>
          <w:sz w:val="24"/>
          <w:szCs w:val="24"/>
        </w:rPr>
        <w:lastRenderedPageBreak/>
        <w:t xml:space="preserve">not within lay knowledge. Therefore, the </w:t>
      </w:r>
      <w:proofErr w:type="gramStart"/>
      <w:r w:rsidRPr="00BE1DE1">
        <w:rPr>
          <w:rFonts w:ascii="Times New Roman" w:hAnsi="Times New Roman"/>
          <w:sz w:val="24"/>
          <w:szCs w:val="24"/>
        </w:rPr>
        <w:t>fact-finder</w:t>
      </w:r>
      <w:proofErr w:type="gramEnd"/>
      <w:r w:rsidRPr="00BE1DE1">
        <w:rPr>
          <w:rFonts w:ascii="Times New Roman" w:hAnsi="Times New Roman"/>
          <w:sz w:val="24"/>
          <w:szCs w:val="24"/>
        </w:rPr>
        <w:t xml:space="preserve"> would need expert medical testimony to confirm whether (1) the care received by Louis was </w:t>
      </w:r>
      <w:r>
        <w:rPr>
          <w:rFonts w:ascii="Times New Roman" w:hAnsi="Times New Roman"/>
          <w:sz w:val="24"/>
          <w:szCs w:val="24"/>
        </w:rPr>
        <w:t>‘</w:t>
      </w:r>
      <w:r w:rsidRPr="00BE1DE1">
        <w:rPr>
          <w:rFonts w:ascii="Times New Roman" w:hAnsi="Times New Roman"/>
          <w:sz w:val="24"/>
          <w:szCs w:val="24"/>
        </w:rPr>
        <w:t>basic-life support</w:t>
      </w:r>
      <w:r>
        <w:rPr>
          <w:rFonts w:ascii="Times New Roman" w:hAnsi="Times New Roman"/>
          <w:sz w:val="24"/>
          <w:szCs w:val="24"/>
        </w:rPr>
        <w:t>’</w:t>
      </w:r>
      <w:r w:rsidRPr="00BE1DE1">
        <w:rPr>
          <w:rFonts w:ascii="Times New Roman" w:hAnsi="Times New Roman"/>
          <w:sz w:val="24"/>
          <w:szCs w:val="24"/>
        </w:rPr>
        <w:t xml:space="preserve"> as he was billed for and (2) the amount Louis was charged was appropriate for the services provided.</w:t>
      </w:r>
    </w:p>
    <w:p w14:paraId="716AF1CC" w14:textId="77777777" w:rsidR="004705C6" w:rsidRDefault="004705C6" w:rsidP="004705C6">
      <w:pPr>
        <w:pStyle w:val="NoSpacing"/>
        <w:rPr>
          <w:rFonts w:ascii="Times New Roman" w:hAnsi="Times New Roman"/>
          <w:sz w:val="24"/>
          <w:szCs w:val="24"/>
        </w:rPr>
      </w:pPr>
    </w:p>
    <w:p w14:paraId="2ECB23BC" w14:textId="77777777" w:rsidR="004705C6" w:rsidRDefault="004705C6" w:rsidP="004705C6">
      <w:pPr>
        <w:pStyle w:val="NoSpacing"/>
        <w:ind w:firstLine="720"/>
        <w:rPr>
          <w:rFonts w:ascii="Times New Roman" w:hAnsi="Times New Roman"/>
          <w:sz w:val="24"/>
          <w:szCs w:val="24"/>
        </w:rPr>
      </w:pPr>
      <w:r>
        <w:rPr>
          <w:rFonts w:ascii="Times New Roman" w:hAnsi="Times New Roman"/>
          <w:sz w:val="24"/>
          <w:szCs w:val="24"/>
        </w:rPr>
        <w:t>***</w:t>
      </w:r>
    </w:p>
    <w:p w14:paraId="4226AA41" w14:textId="77777777" w:rsidR="004705C6" w:rsidRDefault="004705C6" w:rsidP="004705C6">
      <w:pPr>
        <w:pStyle w:val="NoSpacing"/>
        <w:rPr>
          <w:rFonts w:ascii="Times New Roman" w:hAnsi="Times New Roman"/>
          <w:sz w:val="24"/>
          <w:szCs w:val="24"/>
        </w:rPr>
      </w:pPr>
    </w:p>
    <w:p w14:paraId="605E59FA" w14:textId="77777777" w:rsidR="004705C6" w:rsidRDefault="004705C6" w:rsidP="004705C6">
      <w:pPr>
        <w:pStyle w:val="NoSpacing"/>
        <w:ind w:left="720"/>
        <w:rPr>
          <w:rFonts w:ascii="Times New Roman" w:hAnsi="Times New Roman"/>
          <w:sz w:val="24"/>
          <w:szCs w:val="24"/>
        </w:rPr>
      </w:pPr>
      <w:r w:rsidRPr="00B350FE">
        <w:rPr>
          <w:rFonts w:ascii="Times New Roman" w:hAnsi="Times New Roman"/>
          <w:sz w:val="24"/>
          <w:szCs w:val="24"/>
        </w:rPr>
        <w:t>Following this court's precedent and the statutory directives of chapter 74, we conclude the trial court did not err in determining that Louis brought a healthcare-liability claim and for dismissing the claim due to lack of compliance with the expert-report requirements.</w:t>
      </w:r>
      <w:r>
        <w:rPr>
          <w:rFonts w:ascii="Times New Roman" w:hAnsi="Times New Roman"/>
          <w:sz w:val="24"/>
          <w:szCs w:val="24"/>
        </w:rPr>
        <w:t xml:space="preserve">” </w:t>
      </w:r>
      <w:hyperlink r:id="rId2044" w:history="1">
        <w:r w:rsidRPr="00AA5DF9">
          <w:rPr>
            <w:rStyle w:val="Hyperlink"/>
            <w:rFonts w:ascii="Times New Roman" w:hAnsi="Times New Roman"/>
            <w:sz w:val="24"/>
            <w:szCs w:val="24"/>
          </w:rPr>
          <w:t>https://casetext.com/case/louis-v-liberty-cnty-emergency-med-servs-3</w:t>
        </w:r>
      </w:hyperlink>
      <w:r>
        <w:rPr>
          <w:rFonts w:ascii="Times New Roman" w:hAnsi="Times New Roman"/>
          <w:sz w:val="24"/>
          <w:szCs w:val="24"/>
        </w:rPr>
        <w:t xml:space="preserve"> </w:t>
      </w:r>
    </w:p>
    <w:p w14:paraId="1EAEA7E9" w14:textId="77777777" w:rsidR="004705C6" w:rsidRDefault="004705C6" w:rsidP="004705C6">
      <w:pPr>
        <w:pStyle w:val="NoSpacing"/>
        <w:ind w:left="720"/>
        <w:rPr>
          <w:rFonts w:ascii="Times New Roman" w:hAnsi="Times New Roman"/>
          <w:sz w:val="24"/>
          <w:szCs w:val="24"/>
        </w:rPr>
      </w:pPr>
    </w:p>
    <w:p w14:paraId="1A09C9BE" w14:textId="77777777" w:rsidR="004705C6" w:rsidRDefault="004705C6" w:rsidP="004705C6">
      <w:pPr>
        <w:pStyle w:val="paragraph"/>
        <w:rPr>
          <w:b/>
          <w:bCs/>
        </w:rPr>
      </w:pPr>
      <w:r w:rsidRPr="005417E2">
        <w:rPr>
          <w:b/>
          <w:bCs/>
        </w:rPr>
        <w:t xml:space="preserve">Legal Lesson Learned: </w:t>
      </w:r>
      <w:r>
        <w:rPr>
          <w:b/>
          <w:bCs/>
        </w:rPr>
        <w:t xml:space="preserve">The plaintiff needed an affidavit from a medical expert to support his claim of fraudulent billing. </w:t>
      </w:r>
    </w:p>
    <w:p w14:paraId="048D45A9" w14:textId="77777777" w:rsidR="004705C6" w:rsidRDefault="004705C6" w:rsidP="004705C6">
      <w:pPr>
        <w:pStyle w:val="paragraph"/>
        <w:rPr>
          <w:b/>
          <w:bCs/>
        </w:rPr>
      </w:pPr>
    </w:p>
    <w:p w14:paraId="3AB60A62" w14:textId="77777777" w:rsidR="004705C6" w:rsidRPr="004705C6" w:rsidRDefault="004705C6" w:rsidP="004705C6">
      <w:pPr>
        <w:pStyle w:val="NormalWeb"/>
        <w:rPr>
          <w:sz w:val="28"/>
          <w:szCs w:val="28"/>
        </w:rPr>
      </w:pPr>
    </w:p>
    <w:p w14:paraId="11631F1F" w14:textId="77777777" w:rsidR="004705C6" w:rsidRPr="004705C6" w:rsidRDefault="004705C6" w:rsidP="004705C6">
      <w:pPr>
        <w:rPr>
          <w:rFonts w:ascii="Arial Black" w:hAnsi="Arial Black"/>
          <w:sz w:val="28"/>
          <w:szCs w:val="28"/>
          <w:shd w:val="clear" w:color="auto" w:fill="FFFFFF"/>
        </w:rPr>
      </w:pPr>
      <w:r w:rsidRPr="004705C6">
        <w:rPr>
          <w:rFonts w:ascii="Arial Black" w:hAnsi="Arial Black"/>
          <w:sz w:val="28"/>
          <w:szCs w:val="28"/>
          <w:shd w:val="clear" w:color="auto" w:fill="FFFFFF"/>
        </w:rPr>
        <w:t>13-173</w:t>
      </w:r>
    </w:p>
    <w:p w14:paraId="5E200646" w14:textId="77777777" w:rsidR="00B85B57" w:rsidRPr="006316A3" w:rsidRDefault="00B85B57" w:rsidP="00B85B57">
      <w:pPr>
        <w:rPr>
          <w:rFonts w:ascii="Arial Black" w:hAnsi="Arial Black"/>
          <w:sz w:val="28"/>
          <w:szCs w:val="28"/>
          <w:shd w:val="clear" w:color="auto" w:fill="FFFFFF"/>
        </w:rPr>
      </w:pPr>
      <w:r>
        <w:rPr>
          <w:rFonts w:ascii="Arial Black" w:hAnsi="Arial Black"/>
          <w:sz w:val="28"/>
          <w:szCs w:val="28"/>
          <w:shd w:val="clear" w:color="auto" w:fill="FFFFFF"/>
        </w:rPr>
        <w:t xml:space="preserve">IN: PT STROKE CO. BREAK ROOM – CO. MEDICS RAPID RESPONSE – 8 MIN -  WIFE FALSELY TOLD “ONE HOUR” – NO CASE </w:t>
      </w:r>
    </w:p>
    <w:p w14:paraId="0D9D8CB1" w14:textId="77777777" w:rsidR="00B85B57" w:rsidRDefault="00B85B57" w:rsidP="00B85B57">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March 14, 2024, in </w:t>
      </w:r>
      <w:r w:rsidRPr="00B967DB">
        <w:rPr>
          <w:rFonts w:ascii="Times New Roman" w:hAnsi="Times New Roman"/>
          <w:sz w:val="24"/>
          <w:szCs w:val="24"/>
          <w:u w:val="single"/>
          <w:shd w:val="clear" w:color="auto" w:fill="FFFFFF"/>
        </w:rPr>
        <w:t>Estate of Keith J. Hopkins v. Cleveland-Cliffs Steel, LLC</w:t>
      </w:r>
      <w:r>
        <w:rPr>
          <w:rFonts w:ascii="Times New Roman" w:hAnsi="Times New Roman"/>
          <w:sz w:val="24"/>
          <w:szCs w:val="24"/>
          <w:shd w:val="clear" w:color="auto" w:fill="FFFFFF"/>
        </w:rPr>
        <w:t>, United States Magistrate Judge Andrew P. Rodovich, U.S. District Court for Northern District of Indiana (Hammond Division) granted the company’s motion to dismiss.  The widow was told by two co-workers at the wake that medics took “one hour” to respond, but EMS report (</w:t>
      </w:r>
      <w:proofErr w:type="gramStart"/>
      <w:r>
        <w:rPr>
          <w:rFonts w:ascii="Times New Roman" w:hAnsi="Times New Roman"/>
          <w:sz w:val="24"/>
          <w:szCs w:val="24"/>
          <w:shd w:val="clear" w:color="auto" w:fill="FFFFFF"/>
        </w:rPr>
        <w:t>8 minute</w:t>
      </w:r>
      <w:proofErr w:type="gramEnd"/>
      <w:r>
        <w:rPr>
          <w:rFonts w:ascii="Times New Roman" w:hAnsi="Times New Roman"/>
          <w:sz w:val="24"/>
          <w:szCs w:val="24"/>
          <w:shd w:val="clear" w:color="auto" w:fill="FFFFFF"/>
        </w:rPr>
        <w:t xml:space="preserve"> response time) and hospital records showed prompt response and transport (arrived 27 minutes after medic on scene). </w:t>
      </w:r>
    </w:p>
    <w:p w14:paraId="702B0CEF" w14:textId="77777777" w:rsidR="00B85B57" w:rsidRDefault="00B85B57" w:rsidP="00B85B57">
      <w:pPr>
        <w:pStyle w:val="NoSpacing"/>
        <w:rPr>
          <w:rFonts w:ascii="Times New Roman" w:hAnsi="Times New Roman"/>
          <w:sz w:val="24"/>
          <w:szCs w:val="24"/>
          <w:shd w:val="clear" w:color="auto" w:fill="FFFFFF"/>
        </w:rPr>
      </w:pPr>
    </w:p>
    <w:p w14:paraId="3E9C143A" w14:textId="77777777" w:rsidR="00B85B57" w:rsidRPr="004C0299" w:rsidRDefault="00B85B57" w:rsidP="00B85B5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4C0C207" w14:textId="77777777" w:rsidR="00B85B57" w:rsidRDefault="00B85B57" w:rsidP="00B85B57">
      <w:pPr>
        <w:pStyle w:val="NormalWeb"/>
        <w:ind w:left="720"/>
      </w:pPr>
      <w:r>
        <w:t xml:space="preserve">“The parties dispute the facts surrounding the emergency care that the paramedics provided to Hopkins. Paramedic William Webb stated the call for help was made at 6:59 p.m., and that he arrived with another paramedic at 7:07 p.m. Webb suspected that Hopkins was having a stroke, because his face was drooping and the right side of his body was flaccid. The paramedics assessed Hopkins, checked his blood sugar and vital signs, gave him intravenous fluids and oxygen, and prepared him for transportation by ambulance. The ambulance left for St. Catherine Hospital, in East Chicago, at 7:25 p.m., and arrived at 7:34 p.m. This timeline was recorded in an “Ambulance Report,” which was prepared by ArcelorMittal dispatch personnel based on information reported by the paramedics. [Webb Decl. ¶¶ 12-13]. </w:t>
      </w:r>
    </w:p>
    <w:p w14:paraId="71E0288F" w14:textId="77777777" w:rsidR="00B85B57" w:rsidRDefault="00B85B57" w:rsidP="00B85B57">
      <w:pPr>
        <w:ind w:left="720"/>
        <w:rPr>
          <w:rFonts w:ascii="Times New Roman" w:hAnsi="Times New Roman"/>
          <w:sz w:val="24"/>
          <w:szCs w:val="24"/>
        </w:rPr>
      </w:pPr>
      <w:r>
        <w:rPr>
          <w:rFonts w:ascii="Times New Roman" w:hAnsi="Times New Roman"/>
          <w:sz w:val="24"/>
          <w:szCs w:val="24"/>
        </w:rPr>
        <w:t>***</w:t>
      </w:r>
    </w:p>
    <w:p w14:paraId="3F80E19F" w14:textId="77777777" w:rsidR="00B85B57" w:rsidRDefault="00B85B57" w:rsidP="00B85B57">
      <w:pPr>
        <w:ind w:left="720"/>
        <w:rPr>
          <w:rFonts w:ascii="Times New Roman" w:hAnsi="Times New Roman"/>
          <w:sz w:val="24"/>
          <w:szCs w:val="24"/>
          <w:vertAlign w:val="superscript"/>
        </w:rPr>
      </w:pPr>
      <w:r w:rsidRPr="002750CB">
        <w:rPr>
          <w:rFonts w:ascii="Times New Roman" w:hAnsi="Times New Roman"/>
          <w:sz w:val="24"/>
          <w:szCs w:val="24"/>
        </w:rPr>
        <w:t xml:space="preserve">The court infers from the briefing that the Estate believes the paramedics did not </w:t>
      </w:r>
      <w:proofErr w:type="gramStart"/>
      <w:r w:rsidRPr="002750CB">
        <w:rPr>
          <w:rFonts w:ascii="Times New Roman" w:hAnsi="Times New Roman"/>
          <w:sz w:val="24"/>
          <w:szCs w:val="24"/>
        </w:rPr>
        <w:t>attend to</w:t>
      </w:r>
      <w:proofErr w:type="gramEnd"/>
      <w:r w:rsidRPr="002750CB">
        <w:rPr>
          <w:rFonts w:ascii="Times New Roman" w:hAnsi="Times New Roman"/>
          <w:sz w:val="24"/>
          <w:szCs w:val="24"/>
        </w:rPr>
        <w:t xml:space="preserve"> Hopkins until at least an hour after they were called. Felita Hopkins, Hopkins's widow, testified that at his wake two of his co-workers told her that </w:t>
      </w:r>
      <w:r>
        <w:rPr>
          <w:rFonts w:ascii="Times New Roman" w:hAnsi="Times New Roman"/>
          <w:sz w:val="24"/>
          <w:szCs w:val="24"/>
        </w:rPr>
        <w:t>‘</w:t>
      </w:r>
      <w:r w:rsidRPr="002750CB">
        <w:rPr>
          <w:rFonts w:ascii="Times New Roman" w:hAnsi="Times New Roman"/>
          <w:sz w:val="24"/>
          <w:szCs w:val="24"/>
        </w:rPr>
        <w:t>it took over an hour</w:t>
      </w:r>
      <w:r>
        <w:rPr>
          <w:rFonts w:ascii="Times New Roman" w:hAnsi="Times New Roman"/>
          <w:sz w:val="24"/>
          <w:szCs w:val="24"/>
        </w:rPr>
        <w:t>’</w:t>
      </w:r>
      <w:r w:rsidRPr="002750CB">
        <w:rPr>
          <w:rFonts w:ascii="Times New Roman" w:hAnsi="Times New Roman"/>
          <w:sz w:val="24"/>
          <w:szCs w:val="24"/>
        </w:rPr>
        <w:t xml:space="preserve"> for the paramedics to arrive and that ArcelorMittal's report was changed to say that they responded within three</w:t>
      </w:r>
      <w:r w:rsidRPr="002750CB">
        <w:rPr>
          <w:rFonts w:ascii="Times New Roman" w:hAnsi="Times New Roman"/>
          <w:sz w:val="24"/>
          <w:szCs w:val="24"/>
          <w:vertAlign w:val="superscript"/>
        </w:rPr>
        <w:t>[</w:t>
      </w:r>
      <w:hyperlink r:id="rId2045" w:anchor="ftn.FN3" w:history="1">
        <w:r w:rsidRPr="002750CB">
          <w:rPr>
            <w:rStyle w:val="Hyperlink"/>
            <w:rFonts w:ascii="Times New Roman" w:hAnsi="Times New Roman"/>
            <w:sz w:val="24"/>
            <w:szCs w:val="24"/>
            <w:vertAlign w:val="superscript"/>
          </w:rPr>
          <w:t>3</w:t>
        </w:r>
      </w:hyperlink>
      <w:r w:rsidRPr="002750CB">
        <w:rPr>
          <w:rFonts w:ascii="Times New Roman" w:hAnsi="Times New Roman"/>
          <w:sz w:val="24"/>
          <w:szCs w:val="24"/>
          <w:vertAlign w:val="superscript"/>
        </w:rPr>
        <w:t>]</w:t>
      </w:r>
      <w:r w:rsidRPr="002750CB">
        <w:rPr>
          <w:rFonts w:ascii="Times New Roman" w:hAnsi="Times New Roman"/>
          <w:sz w:val="24"/>
          <w:szCs w:val="24"/>
        </w:rPr>
        <w:t xml:space="preserve"> minutes. [Hopkins Dep. 39:1-6, 39:22-</w:t>
      </w:r>
      <w:r w:rsidRPr="002750CB">
        <w:rPr>
          <w:rFonts w:ascii="Times New Roman" w:hAnsi="Times New Roman"/>
          <w:sz w:val="24"/>
          <w:szCs w:val="24"/>
        </w:rPr>
        <w:lastRenderedPageBreak/>
        <w:t xml:space="preserve">40:21]. Although this fact is not properly alleged, </w:t>
      </w:r>
      <w:r w:rsidRPr="002750CB">
        <w:rPr>
          <w:rStyle w:val="Emphasis"/>
          <w:rFonts w:ascii="Times New Roman" w:hAnsi="Times New Roman"/>
          <w:sz w:val="24"/>
          <w:szCs w:val="24"/>
        </w:rPr>
        <w:t>see</w:t>
      </w:r>
      <w:r w:rsidRPr="002750CB">
        <w:rPr>
          <w:rFonts w:ascii="Times New Roman" w:hAnsi="Times New Roman"/>
          <w:sz w:val="24"/>
          <w:szCs w:val="24"/>
        </w:rPr>
        <w:t xml:space="preserve"> N. D. Ind. L. R. 56-1(b)(2)(D), the court will consider the Estate as having made that allegation based on Hopkins's deposition testimony.</w:t>
      </w:r>
    </w:p>
    <w:p w14:paraId="4E5C6B59" w14:textId="77777777" w:rsidR="00B85B57" w:rsidRDefault="00B85B57" w:rsidP="00B85B57">
      <w:pPr>
        <w:rPr>
          <w:rFonts w:ascii="Times New Roman" w:hAnsi="Times New Roman"/>
          <w:sz w:val="24"/>
          <w:szCs w:val="24"/>
        </w:rPr>
      </w:pPr>
      <w:r w:rsidRPr="002750CB">
        <w:rPr>
          <w:rFonts w:ascii="Times New Roman" w:hAnsi="Times New Roman"/>
          <w:sz w:val="24"/>
          <w:szCs w:val="24"/>
        </w:rPr>
        <w:t xml:space="preserve"> </w:t>
      </w:r>
      <w:r>
        <w:rPr>
          <w:rFonts w:ascii="Times New Roman" w:hAnsi="Times New Roman"/>
          <w:sz w:val="24"/>
          <w:szCs w:val="24"/>
        </w:rPr>
        <w:tab/>
        <w:t>***</w:t>
      </w:r>
    </w:p>
    <w:p w14:paraId="4A8F2653" w14:textId="77777777" w:rsidR="00B85B57" w:rsidRPr="00D97522" w:rsidRDefault="00B85B57" w:rsidP="00B85B57">
      <w:pPr>
        <w:ind w:left="720"/>
        <w:rPr>
          <w:rFonts w:ascii="Times New Roman" w:hAnsi="Times New Roman"/>
          <w:b/>
          <w:bCs/>
          <w:color w:val="454545"/>
          <w:sz w:val="24"/>
          <w:szCs w:val="24"/>
          <w:shd w:val="clear" w:color="auto" w:fill="FFFFFF"/>
        </w:rPr>
      </w:pPr>
      <w:r w:rsidRPr="00D97522">
        <w:rPr>
          <w:rFonts w:ascii="Times New Roman" w:hAnsi="Times New Roman"/>
          <w:sz w:val="24"/>
          <w:szCs w:val="24"/>
        </w:rPr>
        <w:t xml:space="preserve">Therefore, the injury for which the Estate seeks compensation arose out of and in the course of employment, and the IWCA </w:t>
      </w:r>
      <w:r>
        <w:rPr>
          <w:rFonts w:ascii="Times New Roman" w:hAnsi="Times New Roman"/>
          <w:sz w:val="24"/>
          <w:szCs w:val="24"/>
        </w:rPr>
        <w:t>[</w:t>
      </w:r>
      <w:r w:rsidRPr="004E1487">
        <w:rPr>
          <w:rFonts w:ascii="Times New Roman" w:hAnsi="Times New Roman"/>
          <w:sz w:val="24"/>
          <w:szCs w:val="24"/>
        </w:rPr>
        <w:t>Indiana Wrongful Death Act</w:t>
      </w:r>
      <w:r>
        <w:rPr>
          <w:rFonts w:ascii="Times New Roman" w:hAnsi="Times New Roman"/>
          <w:sz w:val="24"/>
          <w:szCs w:val="24"/>
        </w:rPr>
        <w:t xml:space="preserve">] </w:t>
      </w:r>
      <w:r w:rsidRPr="00D97522">
        <w:rPr>
          <w:rFonts w:ascii="Times New Roman" w:hAnsi="Times New Roman"/>
          <w:sz w:val="24"/>
          <w:szCs w:val="24"/>
        </w:rPr>
        <w:t>provides the exclusive remedy.</w:t>
      </w:r>
      <w:r>
        <w:rPr>
          <w:rFonts w:ascii="Times New Roman" w:hAnsi="Times New Roman"/>
          <w:sz w:val="24"/>
          <w:szCs w:val="24"/>
        </w:rPr>
        <w:t xml:space="preserve">” </w:t>
      </w:r>
      <w:hyperlink r:id="rId2046" w:history="1">
        <w:r w:rsidRPr="00793584">
          <w:rPr>
            <w:rStyle w:val="Hyperlink"/>
            <w:rFonts w:ascii="Times New Roman" w:hAnsi="Times New Roman"/>
            <w:sz w:val="24"/>
            <w:szCs w:val="24"/>
          </w:rPr>
          <w:t>https://public.fastcase.com/H1P9uiW3J20SFp%2BGCG%2BxLWaE5rZYr2H4Ujam%2BycZ4mpAt0doHRie9oUlcl2qsPlk?utm_medium=email&amp;_hsmi=226712652&amp;_hsenc=p2ANqtz-_AW42DW2ZKsbYvGhsf40qi8tEpXVEeEydLzmuxudQnQi0lg_TvDjKAtr1z0dXm_j1xtTRfnovBA_RTcYhjFA_6sdUkCw&amp;utm_content=226712652&amp;utm_source=hs_email</w:t>
        </w:r>
      </w:hyperlink>
      <w:r>
        <w:rPr>
          <w:rFonts w:ascii="Times New Roman" w:hAnsi="Times New Roman"/>
          <w:sz w:val="24"/>
          <w:szCs w:val="24"/>
        </w:rPr>
        <w:t xml:space="preserve"> </w:t>
      </w:r>
    </w:p>
    <w:p w14:paraId="70BE14B1" w14:textId="77777777" w:rsidR="00B85B57" w:rsidRPr="00496174" w:rsidRDefault="00B85B57" w:rsidP="00B85B57">
      <w:pPr>
        <w:pStyle w:val="NormalWeb"/>
        <w:rPr>
          <w:b/>
          <w:bCs/>
        </w:rPr>
      </w:pPr>
      <w:r w:rsidRPr="00496174">
        <w:rPr>
          <w:b/>
          <w:bCs/>
        </w:rPr>
        <w:t>Legal Lesson Learned:</w:t>
      </w:r>
      <w:r>
        <w:rPr>
          <w:b/>
          <w:bCs/>
        </w:rPr>
        <w:t xml:space="preserve"> The estate’s only remedy is under Indiana Wrongful Death Act (worker’s comp).  It is a shame that co-workers told widow that response time was one hour. </w:t>
      </w:r>
    </w:p>
    <w:p w14:paraId="17D341BF" w14:textId="77777777" w:rsidR="004705C6" w:rsidRDefault="004705C6" w:rsidP="004705C6">
      <w:pPr>
        <w:pStyle w:val="NormalWeb"/>
        <w:ind w:left="720"/>
      </w:pPr>
    </w:p>
    <w:p w14:paraId="1E8E0BAA" w14:textId="77777777" w:rsidR="004705C6" w:rsidRDefault="004705C6" w:rsidP="004705C6">
      <w:pPr>
        <w:pStyle w:val="NormalWeb"/>
      </w:pPr>
    </w:p>
    <w:p w14:paraId="4A6232FA" w14:textId="73ED64B6" w:rsidR="004705C6" w:rsidRPr="004705C6" w:rsidRDefault="004705C6" w:rsidP="004705C6">
      <w:pPr>
        <w:pStyle w:val="NormalWeb"/>
        <w:rPr>
          <w:rFonts w:ascii="Arial Black" w:hAnsi="Arial Black"/>
          <w:sz w:val="28"/>
          <w:szCs w:val="28"/>
        </w:rPr>
      </w:pPr>
      <w:r w:rsidRPr="004705C6">
        <w:rPr>
          <w:rFonts w:ascii="Arial Black" w:hAnsi="Arial Black"/>
          <w:sz w:val="28"/>
          <w:szCs w:val="28"/>
        </w:rPr>
        <w:t>13-172</w:t>
      </w:r>
    </w:p>
    <w:p w14:paraId="2916CE25" w14:textId="432D0233" w:rsidR="004705C6" w:rsidRDefault="004705C6" w:rsidP="004705C6">
      <w:pPr>
        <w:pStyle w:val="NormalWeb"/>
        <w:rPr>
          <w:rFonts w:ascii="Arial Black" w:hAnsi="Arial Black"/>
          <w:sz w:val="28"/>
          <w:szCs w:val="28"/>
        </w:rPr>
      </w:pPr>
      <w:r>
        <w:rPr>
          <w:rFonts w:ascii="Arial Black" w:hAnsi="Arial Black"/>
          <w:sz w:val="28"/>
          <w:szCs w:val="28"/>
        </w:rPr>
        <w:t xml:space="preserve">MN: COMBATIVE PATIENT - MEDIC </w:t>
      </w:r>
      <w:r w:rsidR="00311BBE">
        <w:rPr>
          <w:rFonts w:ascii="Arial Black" w:hAnsi="Arial Black"/>
          <w:sz w:val="28"/>
          <w:szCs w:val="28"/>
        </w:rPr>
        <w:t xml:space="preserve">WITH </w:t>
      </w:r>
      <w:r>
        <w:rPr>
          <w:rFonts w:ascii="Arial Black" w:hAnsi="Arial Black"/>
          <w:sz w:val="28"/>
          <w:szCs w:val="28"/>
        </w:rPr>
        <w:t xml:space="preserve">MILITARY TRAINING – PRESSURE ON CAROTID ARTERY </w:t>
      </w:r>
      <w:r w:rsidR="0057595C">
        <w:rPr>
          <w:rFonts w:ascii="Arial Black" w:hAnsi="Arial Black"/>
          <w:sz w:val="28"/>
          <w:szCs w:val="28"/>
        </w:rPr>
        <w:t>–</w:t>
      </w:r>
      <w:r>
        <w:rPr>
          <w:rFonts w:ascii="Arial Black" w:hAnsi="Arial Black"/>
          <w:sz w:val="28"/>
          <w:szCs w:val="28"/>
        </w:rPr>
        <w:t xml:space="preserve"> </w:t>
      </w:r>
      <w:r w:rsidR="0057595C">
        <w:rPr>
          <w:rFonts w:ascii="Arial Black" w:hAnsi="Arial Black"/>
          <w:sz w:val="28"/>
          <w:szCs w:val="28"/>
        </w:rPr>
        <w:t xml:space="preserve">MEDIC </w:t>
      </w:r>
      <w:r>
        <w:rPr>
          <w:rFonts w:ascii="Arial Black" w:hAnsi="Arial Black"/>
          <w:sz w:val="28"/>
          <w:szCs w:val="28"/>
        </w:rPr>
        <w:t>FIRING UPHELD</w:t>
      </w:r>
    </w:p>
    <w:p w14:paraId="6AEF2B05" w14:textId="77777777" w:rsidR="004705C6" w:rsidRDefault="004705C6" w:rsidP="004705C6">
      <w:pPr>
        <w:pStyle w:val="NormalWeb"/>
        <w:rPr>
          <w:color w:val="454545"/>
          <w:shd w:val="clear" w:color="auto" w:fill="FFFFFF"/>
        </w:rPr>
      </w:pPr>
      <w:r>
        <w:rPr>
          <w:color w:val="454545"/>
          <w:shd w:val="clear" w:color="auto" w:fill="FFFFFF"/>
        </w:rPr>
        <w:t xml:space="preserve">On March 11, 2024, in </w:t>
      </w:r>
      <w:r w:rsidRPr="009D1F77">
        <w:rPr>
          <w:color w:val="454545"/>
          <w:u w:val="single"/>
          <w:shd w:val="clear" w:color="auto" w:fill="FFFFFF"/>
        </w:rPr>
        <w:t>Kenneth Zepeda v. City of Sant Paul</w:t>
      </w:r>
      <w:r>
        <w:rPr>
          <w:color w:val="454545"/>
          <w:shd w:val="clear" w:color="auto" w:fill="FFFFFF"/>
        </w:rPr>
        <w:t xml:space="preserve">, the Minnesota Court of Appeals held (3 to 0) that </w:t>
      </w:r>
      <w:r w:rsidRPr="001E20BB">
        <w:rPr>
          <w:color w:val="454545"/>
          <w:shd w:val="clear" w:color="auto" w:fill="FFFFFF"/>
        </w:rPr>
        <w:t>the arbitrator</w:t>
      </w:r>
      <w:r>
        <w:rPr>
          <w:color w:val="454545"/>
          <w:shd w:val="clear" w:color="auto" w:fill="FFFFFF"/>
        </w:rPr>
        <w:t xml:space="preserve"> properly determined </w:t>
      </w:r>
      <w:r w:rsidRPr="001E20BB">
        <w:rPr>
          <w:color w:val="454545"/>
          <w:shd w:val="clear" w:color="auto" w:fill="FFFFFF"/>
        </w:rPr>
        <w:t>that the city had just cause to terminate Zepeda’s</w:t>
      </w:r>
      <w:r>
        <w:rPr>
          <w:color w:val="454545"/>
          <w:shd w:val="clear" w:color="auto" w:fill="FFFFFF"/>
        </w:rPr>
        <w:t xml:space="preserve"> </w:t>
      </w:r>
      <w:r w:rsidRPr="001E20BB">
        <w:rPr>
          <w:color w:val="454545"/>
          <w:shd w:val="clear" w:color="auto" w:fill="FFFFFF"/>
        </w:rPr>
        <w:t>employment.</w:t>
      </w:r>
    </w:p>
    <w:p w14:paraId="5DCE851A" w14:textId="77777777" w:rsidR="00D83012" w:rsidRPr="004C0299" w:rsidRDefault="00D83012" w:rsidP="00D8301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EA9210D" w14:textId="77777777" w:rsidR="00D83012" w:rsidRDefault="00D83012" w:rsidP="004705C6">
      <w:pPr>
        <w:pStyle w:val="NoSpacing"/>
        <w:ind w:left="720"/>
        <w:rPr>
          <w:rFonts w:ascii="Times New Roman" w:hAnsi="Times New Roman"/>
          <w:sz w:val="24"/>
          <w:szCs w:val="24"/>
          <w:shd w:val="clear" w:color="auto" w:fill="FFFFFF"/>
        </w:rPr>
      </w:pPr>
    </w:p>
    <w:p w14:paraId="745246E4" w14:textId="1D46C2BA" w:rsidR="004705C6" w:rsidRDefault="004705C6" w:rsidP="004705C6">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A1737F">
        <w:rPr>
          <w:rFonts w:ascii="Times New Roman" w:hAnsi="Times New Roman"/>
          <w:sz w:val="24"/>
          <w:szCs w:val="24"/>
          <w:shd w:val="clear" w:color="auto" w:fill="FFFFFF"/>
        </w:rPr>
        <w:t>Despite the</w:t>
      </w:r>
      <w:r>
        <w:rPr>
          <w:rFonts w:ascii="Times New Roman" w:hAnsi="Times New Roman"/>
          <w:sz w:val="24"/>
          <w:szCs w:val="24"/>
          <w:shd w:val="clear" w:color="auto" w:fill="FFFFFF"/>
        </w:rPr>
        <w:t xml:space="preserve"> </w:t>
      </w:r>
      <w:r w:rsidRPr="00A1737F">
        <w:rPr>
          <w:rFonts w:ascii="Times New Roman" w:hAnsi="Times New Roman"/>
          <w:sz w:val="24"/>
          <w:szCs w:val="24"/>
          <w:shd w:val="clear" w:color="auto" w:fill="FFFFFF"/>
        </w:rPr>
        <w:t>patient’s physically combative behavior in the ambulance, the video supports the</w:t>
      </w:r>
      <w:r>
        <w:rPr>
          <w:rFonts w:ascii="Times New Roman" w:hAnsi="Times New Roman"/>
          <w:sz w:val="24"/>
          <w:szCs w:val="24"/>
          <w:shd w:val="clear" w:color="auto" w:fill="FFFFFF"/>
        </w:rPr>
        <w:t xml:space="preserve"> </w:t>
      </w:r>
      <w:r w:rsidRPr="00A1737F">
        <w:rPr>
          <w:rFonts w:ascii="Times New Roman" w:hAnsi="Times New Roman"/>
          <w:sz w:val="24"/>
          <w:szCs w:val="24"/>
          <w:shd w:val="clear" w:color="auto" w:fill="FFFFFF"/>
        </w:rPr>
        <w:t>arbitrator’s statement that the patient was, nonetheless, not in a position to inflict harm on</w:t>
      </w:r>
      <w:r>
        <w:rPr>
          <w:rFonts w:ascii="Times New Roman" w:hAnsi="Times New Roman"/>
          <w:sz w:val="24"/>
          <w:szCs w:val="24"/>
          <w:shd w:val="clear" w:color="auto" w:fill="FFFFFF"/>
        </w:rPr>
        <w:t xml:space="preserve"> </w:t>
      </w:r>
      <w:r w:rsidRPr="00A1737F">
        <w:rPr>
          <w:rFonts w:ascii="Times New Roman" w:hAnsi="Times New Roman"/>
          <w:sz w:val="24"/>
          <w:szCs w:val="24"/>
          <w:shd w:val="clear" w:color="auto" w:fill="FFFFFF"/>
        </w:rPr>
        <w:t>the responders at that point.</w:t>
      </w:r>
    </w:p>
    <w:p w14:paraId="13767E36" w14:textId="77777777" w:rsidR="004705C6" w:rsidRDefault="004705C6" w:rsidP="004705C6">
      <w:pPr>
        <w:pStyle w:val="NoSpacing"/>
        <w:ind w:left="720"/>
        <w:rPr>
          <w:rFonts w:ascii="Times New Roman" w:hAnsi="Times New Roman"/>
          <w:sz w:val="24"/>
          <w:szCs w:val="24"/>
          <w:shd w:val="clear" w:color="auto" w:fill="FFFFFF"/>
        </w:rPr>
      </w:pPr>
    </w:p>
    <w:p w14:paraId="43D487F4" w14:textId="77777777" w:rsidR="004705C6" w:rsidRDefault="004705C6" w:rsidP="004705C6">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4B70672B" w14:textId="77777777" w:rsidR="004705C6" w:rsidRDefault="004705C6" w:rsidP="004705C6">
      <w:pPr>
        <w:pStyle w:val="NoSpacing"/>
        <w:ind w:left="720"/>
        <w:rPr>
          <w:rFonts w:ascii="Times New Roman" w:hAnsi="Times New Roman"/>
          <w:sz w:val="24"/>
          <w:szCs w:val="24"/>
          <w:shd w:val="clear" w:color="auto" w:fill="FFFFFF"/>
        </w:rPr>
      </w:pPr>
      <w:r w:rsidRPr="00325B49">
        <w:rPr>
          <w:rFonts w:ascii="Times New Roman" w:hAnsi="Times New Roman"/>
          <w:sz w:val="24"/>
          <w:szCs w:val="24"/>
          <w:shd w:val="clear" w:color="auto" w:fill="FFFFFF"/>
        </w:rPr>
        <w:t xml:space="preserve">The arbitrator reasoned that </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the rest of the crew,</w:t>
      </w:r>
      <w:r>
        <w:rPr>
          <w:rFonts w:ascii="Times New Roman" w:hAnsi="Times New Roman"/>
          <w:sz w:val="24"/>
          <w:szCs w:val="24"/>
          <w:shd w:val="clear" w:color="auto" w:fill="FFFFFF"/>
        </w:rPr>
        <w:t xml:space="preserve"> </w:t>
      </w:r>
      <w:r w:rsidRPr="00325B49">
        <w:rPr>
          <w:rFonts w:ascii="Times New Roman" w:hAnsi="Times New Roman"/>
          <w:sz w:val="24"/>
          <w:szCs w:val="24"/>
          <w:shd w:val="clear" w:color="auto" w:fill="FFFFFF"/>
        </w:rPr>
        <w:t>having received the same level of training, knew not to interact with the patient as Zepeda</w:t>
      </w:r>
      <w:r>
        <w:rPr>
          <w:rFonts w:ascii="Times New Roman" w:hAnsi="Times New Roman"/>
          <w:sz w:val="24"/>
          <w:szCs w:val="24"/>
          <w:shd w:val="clear" w:color="auto" w:fill="FFFFFF"/>
        </w:rPr>
        <w:t xml:space="preserve"> </w:t>
      </w:r>
      <w:r w:rsidRPr="00325B49">
        <w:rPr>
          <w:rFonts w:ascii="Times New Roman" w:hAnsi="Times New Roman"/>
          <w:sz w:val="24"/>
          <w:szCs w:val="24"/>
          <w:shd w:val="clear" w:color="auto" w:fill="FFFFFF"/>
        </w:rPr>
        <w:t>did,</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 xml:space="preserve"> that Zepeda’s behavior on the video </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reflects someone who did not control their anger</w:t>
      </w:r>
      <w:r>
        <w:rPr>
          <w:rFonts w:ascii="Times New Roman" w:hAnsi="Times New Roman"/>
          <w:sz w:val="24"/>
          <w:szCs w:val="24"/>
          <w:shd w:val="clear" w:color="auto" w:fill="FFFFFF"/>
        </w:rPr>
        <w:t xml:space="preserve"> </w:t>
      </w:r>
      <w:r w:rsidRPr="00325B49">
        <w:rPr>
          <w:rFonts w:ascii="Times New Roman" w:hAnsi="Times New Roman"/>
          <w:sz w:val="24"/>
          <w:szCs w:val="24"/>
          <w:shd w:val="clear" w:color="auto" w:fill="FFFFFF"/>
        </w:rPr>
        <w:t>rather than someone who did not know better,</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 xml:space="preserve"> and that </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supporting documentation</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 xml:space="preserve"> is not</w:t>
      </w:r>
      <w:r>
        <w:rPr>
          <w:rFonts w:ascii="Times New Roman" w:hAnsi="Times New Roman"/>
          <w:sz w:val="24"/>
          <w:szCs w:val="24"/>
          <w:shd w:val="clear" w:color="auto" w:fill="FFFFFF"/>
        </w:rPr>
        <w:t xml:space="preserve">  </w:t>
      </w:r>
      <w:r w:rsidRPr="00A461D9">
        <w:rPr>
          <w:rFonts w:ascii="Times New Roman" w:hAnsi="Times New Roman"/>
          <w:sz w:val="24"/>
          <w:szCs w:val="24"/>
          <w:shd w:val="clear" w:color="auto" w:fill="FFFFFF"/>
        </w:rPr>
        <w:t xml:space="preserve">necessary to establish that behaviors such as </w:t>
      </w:r>
      <w:r>
        <w:rPr>
          <w:rFonts w:ascii="Times New Roman" w:hAnsi="Times New Roman"/>
          <w:sz w:val="24"/>
          <w:szCs w:val="24"/>
          <w:shd w:val="clear" w:color="auto" w:fill="FFFFFF"/>
        </w:rPr>
        <w:t>‘</w:t>
      </w:r>
      <w:r w:rsidRPr="00A461D9">
        <w:rPr>
          <w:rFonts w:ascii="Times New Roman" w:hAnsi="Times New Roman"/>
          <w:sz w:val="24"/>
          <w:szCs w:val="24"/>
          <w:shd w:val="clear" w:color="auto" w:fill="FFFFFF"/>
        </w:rPr>
        <w:t>yelling, taunting, belittling and physically</w:t>
      </w:r>
      <w:r>
        <w:rPr>
          <w:rFonts w:ascii="Times New Roman" w:hAnsi="Times New Roman"/>
          <w:sz w:val="24"/>
          <w:szCs w:val="24"/>
          <w:shd w:val="clear" w:color="auto" w:fill="FFFFFF"/>
        </w:rPr>
        <w:t xml:space="preserve"> </w:t>
      </w:r>
      <w:r w:rsidRPr="00A461D9">
        <w:rPr>
          <w:rFonts w:ascii="Times New Roman" w:hAnsi="Times New Roman"/>
          <w:sz w:val="24"/>
          <w:szCs w:val="24"/>
          <w:shd w:val="clear" w:color="auto" w:fill="FFFFFF"/>
        </w:rPr>
        <w:t>abusing a patient</w:t>
      </w:r>
      <w:r>
        <w:rPr>
          <w:rFonts w:ascii="Times New Roman" w:hAnsi="Times New Roman"/>
          <w:sz w:val="24"/>
          <w:szCs w:val="24"/>
          <w:shd w:val="clear" w:color="auto" w:fill="FFFFFF"/>
        </w:rPr>
        <w:t>’</w:t>
      </w:r>
      <w:r w:rsidRPr="00A461D9">
        <w:rPr>
          <w:rFonts w:ascii="Times New Roman" w:hAnsi="Times New Roman"/>
          <w:sz w:val="24"/>
          <w:szCs w:val="24"/>
          <w:shd w:val="clear" w:color="auto" w:fill="FFFFFF"/>
        </w:rPr>
        <w:t xml:space="preserve"> are prohibited and could be considered misconduct.</w:t>
      </w:r>
      <w:r>
        <w:rPr>
          <w:rFonts w:ascii="Times New Roman" w:hAnsi="Times New Roman"/>
          <w:sz w:val="24"/>
          <w:szCs w:val="24"/>
          <w:shd w:val="clear" w:color="auto" w:fill="FFFFFF"/>
        </w:rPr>
        <w:t xml:space="preserve">” </w:t>
      </w:r>
      <w:hyperlink r:id="rId2047" w:history="1">
        <w:r w:rsidRPr="0090149E">
          <w:rPr>
            <w:rStyle w:val="Hyperlink"/>
            <w:rFonts w:ascii="Times New Roman" w:hAnsi="Times New Roman"/>
            <w:sz w:val="24"/>
            <w:szCs w:val="24"/>
            <w:shd w:val="clear" w:color="auto" w:fill="FFFFFF"/>
          </w:rPr>
          <w:t>https://cases.justia.com/minnesota/court-of-appeals/2024-a23-1210.pdf?ts=1710536669</w:t>
        </w:r>
      </w:hyperlink>
      <w:r>
        <w:rPr>
          <w:rFonts w:ascii="Times New Roman" w:hAnsi="Times New Roman"/>
          <w:sz w:val="24"/>
          <w:szCs w:val="24"/>
          <w:shd w:val="clear" w:color="auto" w:fill="FFFFFF"/>
        </w:rPr>
        <w:t xml:space="preserve"> </w:t>
      </w:r>
    </w:p>
    <w:p w14:paraId="3232BA0F" w14:textId="77777777" w:rsidR="004705C6" w:rsidRDefault="004705C6" w:rsidP="004705C6">
      <w:pPr>
        <w:pStyle w:val="NoSpacing"/>
        <w:rPr>
          <w:rFonts w:ascii="Times New Roman" w:hAnsi="Times New Roman"/>
          <w:sz w:val="24"/>
          <w:szCs w:val="24"/>
          <w:shd w:val="clear" w:color="auto" w:fill="FFFFFF"/>
        </w:rPr>
      </w:pPr>
    </w:p>
    <w:p w14:paraId="219899B5" w14:textId="77777777" w:rsidR="004705C6" w:rsidRDefault="004705C6" w:rsidP="004705C6">
      <w:pPr>
        <w:pStyle w:val="NoSpacing"/>
        <w:ind w:left="720"/>
        <w:rPr>
          <w:rFonts w:ascii="Times New Roman" w:hAnsi="Times New Roman"/>
          <w:sz w:val="24"/>
          <w:szCs w:val="24"/>
          <w:shd w:val="clear" w:color="auto" w:fill="FFFFFF"/>
        </w:rPr>
      </w:pPr>
    </w:p>
    <w:p w14:paraId="764D68C0" w14:textId="77777777" w:rsidR="004705C6" w:rsidRPr="00F03F0B" w:rsidRDefault="004705C6" w:rsidP="004705C6">
      <w:pPr>
        <w:pStyle w:val="NoSpacing"/>
        <w:rPr>
          <w:rFonts w:ascii="Times New Roman" w:hAnsi="Times New Roman"/>
          <w:b/>
          <w:bCs/>
          <w:sz w:val="24"/>
          <w:szCs w:val="24"/>
          <w:shd w:val="clear" w:color="auto" w:fill="FFFFFF"/>
        </w:rPr>
      </w:pPr>
      <w:r w:rsidRPr="00F03F0B">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Follow your protocol in restraining combative patients. </w:t>
      </w:r>
    </w:p>
    <w:p w14:paraId="12B89034" w14:textId="77777777" w:rsidR="004705C6" w:rsidRDefault="004705C6" w:rsidP="004705C6">
      <w:pPr>
        <w:spacing w:before="100" w:beforeAutospacing="1" w:after="100" w:afterAutospacing="1" w:line="240" w:lineRule="auto"/>
        <w:rPr>
          <w:rFonts w:ascii="Times New Roman" w:eastAsia="Times New Roman" w:hAnsi="Times New Roman"/>
          <w:sz w:val="24"/>
          <w:szCs w:val="24"/>
        </w:rPr>
      </w:pPr>
    </w:p>
    <w:p w14:paraId="62D86E0A" w14:textId="1AA7C881" w:rsidR="004705C6" w:rsidRPr="004705C6" w:rsidRDefault="004705C6" w:rsidP="004705C6">
      <w:pPr>
        <w:pStyle w:val="NoSpacing"/>
        <w:rPr>
          <w:rFonts w:ascii="Arial Black" w:hAnsi="Arial Black"/>
          <w:sz w:val="24"/>
          <w:szCs w:val="24"/>
          <w:shd w:val="clear" w:color="auto" w:fill="FFFFFF"/>
        </w:rPr>
      </w:pPr>
      <w:r w:rsidRPr="004705C6">
        <w:rPr>
          <w:rFonts w:ascii="Arial Black" w:hAnsi="Arial Black"/>
          <w:sz w:val="24"/>
          <w:szCs w:val="24"/>
          <w:shd w:val="clear" w:color="auto" w:fill="FFFFFF"/>
        </w:rPr>
        <w:t>13-171</w:t>
      </w:r>
    </w:p>
    <w:p w14:paraId="3BD50554" w14:textId="77777777" w:rsidR="004705C6" w:rsidRDefault="004705C6" w:rsidP="004705C6">
      <w:pPr>
        <w:pStyle w:val="NoSpacing"/>
        <w:rPr>
          <w:rFonts w:ascii="Arial Black" w:hAnsi="Arial Black"/>
          <w:sz w:val="28"/>
          <w:szCs w:val="28"/>
          <w:shd w:val="clear" w:color="auto" w:fill="FFFFFF"/>
        </w:rPr>
      </w:pPr>
    </w:p>
    <w:p w14:paraId="24027157" w14:textId="4FC1E871" w:rsidR="004705C6" w:rsidRDefault="004705C6" w:rsidP="004705C6">
      <w:pPr>
        <w:pStyle w:val="NoSpacing"/>
        <w:rPr>
          <w:rFonts w:ascii="Arial Black" w:hAnsi="Arial Black"/>
          <w:sz w:val="28"/>
          <w:szCs w:val="28"/>
          <w:shd w:val="clear" w:color="auto" w:fill="FFFFFF"/>
        </w:rPr>
      </w:pPr>
      <w:r>
        <w:rPr>
          <w:rFonts w:ascii="Arial Black" w:hAnsi="Arial Black"/>
          <w:sz w:val="28"/>
          <w:szCs w:val="28"/>
          <w:shd w:val="clear" w:color="auto" w:fill="FFFFFF"/>
        </w:rPr>
        <w:lastRenderedPageBreak/>
        <w:t xml:space="preserve">MN: PD TRYING TO HANDCUT MAN - MEDIC 350 MIL KETAMINE – NO PROOF </w:t>
      </w:r>
      <w:r w:rsidR="003271B7">
        <w:rPr>
          <w:rFonts w:ascii="Arial Black" w:hAnsi="Arial Black"/>
          <w:sz w:val="28"/>
          <w:szCs w:val="28"/>
          <w:shd w:val="clear" w:color="auto" w:fill="FFFFFF"/>
        </w:rPr>
        <w:t xml:space="preserve">BY </w:t>
      </w:r>
      <w:r>
        <w:rPr>
          <w:rFonts w:ascii="Arial Black" w:hAnsi="Arial Black"/>
          <w:sz w:val="28"/>
          <w:szCs w:val="28"/>
          <w:shd w:val="clear" w:color="auto" w:fill="FFFFFF"/>
        </w:rPr>
        <w:t xml:space="preserve">EXPERT </w:t>
      </w:r>
      <w:r w:rsidR="003271B7">
        <w:rPr>
          <w:rFonts w:ascii="Arial Black" w:hAnsi="Arial Black"/>
          <w:sz w:val="28"/>
          <w:szCs w:val="28"/>
          <w:shd w:val="clear" w:color="auto" w:fill="FFFFFF"/>
        </w:rPr>
        <w:t xml:space="preserve">THAT </w:t>
      </w:r>
      <w:r>
        <w:rPr>
          <w:rFonts w:ascii="Arial Black" w:hAnsi="Arial Black"/>
          <w:sz w:val="28"/>
          <w:szCs w:val="28"/>
          <w:shd w:val="clear" w:color="auto" w:fill="FFFFFF"/>
        </w:rPr>
        <w:t xml:space="preserve">MEDIC CAUSED INJURIES </w:t>
      </w:r>
    </w:p>
    <w:p w14:paraId="0CC2EC2D" w14:textId="77777777" w:rsidR="004705C6" w:rsidRDefault="004705C6" w:rsidP="004705C6">
      <w:pPr>
        <w:pStyle w:val="NormalWeb"/>
      </w:pPr>
      <w:r>
        <w:t xml:space="preserve">On March 11, 2024, in </w:t>
      </w:r>
      <w:r w:rsidRPr="0036667F">
        <w:rPr>
          <w:u w:val="single"/>
        </w:rPr>
        <w:t>Brandon Currie v. Clayton Aswegan, Elk Rive Police Officer, Brandin Martin, Elk River Police Officer, and Ronnie Lawrence, Paramedic</w:t>
      </w:r>
      <w:r>
        <w:t xml:space="preserve">, United States District Court Judge Eric C. </w:t>
      </w:r>
      <w:proofErr w:type="spellStart"/>
      <w:r>
        <w:t>Tostrud</w:t>
      </w:r>
      <w:proofErr w:type="spellEnd"/>
      <w:r>
        <w:t>, U.S. District Court for District of Minnesota, granted the motion to dismiss all defendants.  Plaintiff’s expert, Dr. A. Keith Wesley, M.D.,</w:t>
      </w:r>
      <w:r w:rsidRPr="001E71E3">
        <w:t xml:space="preserve"> </w:t>
      </w:r>
      <w:r>
        <w:t>Medical Director of United Emergency Medical Response in Wisconsin Rapids, in his affidavit fails to describe how the Paramedic and police “share responsibility” for patient’s alleged injuries.</w:t>
      </w:r>
    </w:p>
    <w:p w14:paraId="632782F9" w14:textId="77777777" w:rsidR="00D83012" w:rsidRPr="004C0299" w:rsidRDefault="00D83012" w:rsidP="00D8301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2CEB3E75" w14:textId="77777777" w:rsidR="004705C6" w:rsidRDefault="004705C6" w:rsidP="004705C6">
      <w:pPr>
        <w:pStyle w:val="NormalWeb"/>
        <w:ind w:left="720"/>
      </w:pPr>
      <w:r>
        <w:t xml:space="preserve">“After Mr. Currie repeatedly denied being on substances, officers requested an ambulance.  When the ambulance arrived, Mr. Currie got up from the ground. Several times, the officers directed Mr. Currie to ‘get down,’  ‘stay down,’ and ‘sit on the curb,’ and the officers threatened that if Mr. Currie did not sit down, they would ‘make [him] sit down.’ Instead of complying with the officers' commands, Mr. Currie fled. The officers chased and tackled Mr. Currie. After being tackled, Mr. Currie kicked, flailed, and resisted arrest. The officers attempted to handcuff Mr. Currie but struggled to get control of his second hand. </w:t>
      </w:r>
    </w:p>
    <w:p w14:paraId="57C7EC9D" w14:textId="77777777" w:rsidR="004705C6" w:rsidRDefault="004705C6" w:rsidP="004705C6">
      <w:pPr>
        <w:pStyle w:val="NormalWeb"/>
        <w:ind w:left="720"/>
      </w:pPr>
      <w:r>
        <w:t>Paramedic Lawrence, who by that time had arrived in the ambulance, administered 350 milligrams of ketamine intramuscularly to Mr. Currie to sedate him. Mr. Lawrence decided to administer ketamine based on his independent medical judgment; he was not influenced by the officers to do so. The officers first learned that Mr. Lawrence had administered ketamine to Mr. Currie only after Mr. Currie was handcuffed. Mr. Currie was arrested; he was later charged with and pleaded guilty to obstruction of legal process, a gross misdemeanor.</w:t>
      </w:r>
    </w:p>
    <w:p w14:paraId="2BCD2245" w14:textId="77777777" w:rsidR="004705C6" w:rsidRDefault="004705C6" w:rsidP="004705C6">
      <w:pPr>
        <w:pStyle w:val="NormalWeb"/>
        <w:ind w:left="720"/>
      </w:pPr>
      <w:r>
        <w:t>***</w:t>
      </w:r>
    </w:p>
    <w:p w14:paraId="77A885BB" w14:textId="77777777" w:rsidR="004705C6" w:rsidRDefault="004705C6" w:rsidP="004705C6">
      <w:pPr>
        <w:pStyle w:val="NormalWeb"/>
        <w:ind w:left="720"/>
      </w:pPr>
      <w:r>
        <w:t xml:space="preserve">[Plaintiff’s expert, Dr. Wesley] attributed ‘likely’ causation to persons other than Mr. Lawrence, but the lack of any apportionment opinion means the affidavit fails to describe what negligence on Mr. Lawrence's part caused Mr. Currie's injuries. To put it another way, Dr. Wesley does not ‘set out how’ he will use this case's facts ‘to arrive at’ a causation opinion as to Mr. Lawrence. </w:t>
      </w:r>
      <w:r>
        <w:rPr>
          <w:rStyle w:val="Emphasis"/>
          <w:rFonts w:eastAsiaTheme="majorEastAsia"/>
        </w:rPr>
        <w:t>Sorenson,</w:t>
      </w:r>
      <w:r>
        <w:t xml:space="preserve"> 457 N.W.2d at 192-93. </w:t>
      </w:r>
    </w:p>
    <w:p w14:paraId="171F60E1" w14:textId="746C9AC9" w:rsidR="004705C6" w:rsidRDefault="004705C6" w:rsidP="004705C6">
      <w:pPr>
        <w:pStyle w:val="NormalWeb"/>
        <w:ind w:left="720" w:firstLine="60"/>
      </w:pPr>
      <w:r>
        <w:t xml:space="preserve">Dr. Wesley's affidavit fails to comply with Minn. Stat. § 145.682, </w:t>
      </w:r>
      <w:proofErr w:type="spellStart"/>
      <w:r>
        <w:t>subdiv</w:t>
      </w:r>
      <w:proofErr w:type="spellEnd"/>
      <w:r>
        <w:t xml:space="preserve">. 4(a), as the Minnesota Supreme Court has construed the statute. For that reason, and because Dr. Wesley's testimony is essential to Mr. Currie's medical malpractice claim (Dr. Wesley is Mr. Currie's only expert), the claim must be dismissed pursuant to § 145.682, </w:t>
      </w:r>
      <w:proofErr w:type="spellStart"/>
      <w:r>
        <w:t>subdiv</w:t>
      </w:r>
      <w:proofErr w:type="spellEnd"/>
      <w:r>
        <w:t xml:space="preserve">. 6(c).” </w:t>
      </w:r>
      <w:hyperlink r:id="rId2048" w:history="1">
        <w:r w:rsidR="0091463E" w:rsidRPr="0026472A">
          <w:rPr>
            <w:rStyle w:val="Hyperlink"/>
          </w:rPr>
          <w:t>https://cases.justia.com/federal/district-courts/minnesota/mndce/0:2022cv00839/199889/89/0.pdf?ts=1714059506</w:t>
        </w:r>
      </w:hyperlink>
      <w:r w:rsidR="0091463E">
        <w:t xml:space="preserve"> </w:t>
      </w:r>
    </w:p>
    <w:p w14:paraId="30F0B070" w14:textId="77777777" w:rsidR="004705C6" w:rsidRPr="003C32ED" w:rsidRDefault="004705C6" w:rsidP="004705C6">
      <w:pPr>
        <w:pStyle w:val="NormalWeb"/>
        <w:rPr>
          <w:b/>
          <w:bCs/>
        </w:rPr>
      </w:pPr>
      <w:r w:rsidRPr="003C32ED">
        <w:rPr>
          <w:b/>
          <w:bCs/>
        </w:rPr>
        <w:t>Legal Lesson Learned:</w:t>
      </w:r>
      <w:r>
        <w:rPr>
          <w:b/>
          <w:bCs/>
        </w:rPr>
        <w:t xml:space="preserve"> Follow your protocols, including carefully evaluating the person before administering ketamine. </w:t>
      </w:r>
    </w:p>
    <w:p w14:paraId="1CAD7814" w14:textId="77777777" w:rsidR="004705C6" w:rsidRPr="00FE7997" w:rsidRDefault="004705C6" w:rsidP="004705C6">
      <w:pPr>
        <w:pStyle w:val="NormalWeb"/>
        <w:rPr>
          <w:rStyle w:val="Emphasis"/>
          <w:rFonts w:eastAsiaTheme="majorEastAsia"/>
          <w:i w:val="0"/>
          <w:iCs w:val="0"/>
        </w:rPr>
      </w:pPr>
    </w:p>
    <w:p w14:paraId="45E4645E" w14:textId="77777777" w:rsidR="004705C6" w:rsidRDefault="004705C6" w:rsidP="004705C6">
      <w:pPr>
        <w:pStyle w:val="NormalWeb"/>
        <w:spacing w:before="0" w:beforeAutospacing="0"/>
        <w:rPr>
          <w:rFonts w:ascii="Arial Black" w:hAnsi="Arial Black"/>
          <w:sz w:val="28"/>
          <w:szCs w:val="28"/>
        </w:rPr>
      </w:pPr>
    </w:p>
    <w:p w14:paraId="65EB4077" w14:textId="1E7EA010" w:rsidR="004705C6" w:rsidRDefault="004705C6" w:rsidP="004705C6">
      <w:pPr>
        <w:rPr>
          <w:rFonts w:ascii="Times New Roman" w:eastAsia="Times New Roman" w:hAnsi="Times New Roman"/>
          <w:sz w:val="24"/>
          <w:szCs w:val="24"/>
        </w:rPr>
      </w:pPr>
      <w:r>
        <w:rPr>
          <w:rFonts w:ascii="Arial Black" w:hAnsi="Arial Black"/>
          <w:b/>
          <w:bCs/>
          <w:sz w:val="28"/>
          <w:szCs w:val="28"/>
        </w:rPr>
        <w:t>13-170</w:t>
      </w:r>
    </w:p>
    <w:p w14:paraId="789446A7" w14:textId="77777777" w:rsidR="004705C6" w:rsidRPr="00423774" w:rsidRDefault="004705C6" w:rsidP="004705C6">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lastRenderedPageBreak/>
        <w:t xml:space="preserve">KY: EMS NO QUAL. IMMUNITY - DEFIBRILLATOR NOT CHECKED / “ACTIVE 911” APP – HUNG JURY / RETRIAL </w:t>
      </w:r>
    </w:p>
    <w:p w14:paraId="6B677E02" w14:textId="0D957EC3" w:rsidR="004705C6" w:rsidRDefault="004705C6" w:rsidP="004705C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8, 2024, in </w:t>
      </w:r>
      <w:r w:rsidRPr="002778D0">
        <w:rPr>
          <w:rFonts w:ascii="Times New Roman" w:eastAsia="Times New Roman" w:hAnsi="Times New Roman"/>
          <w:sz w:val="24"/>
          <w:szCs w:val="24"/>
          <w:u w:val="single"/>
        </w:rPr>
        <w:t>Kristian Brock and Christopher Stone v. Colton T. Hinkel, individually and as administrator of the estate of Charles L, Hinkel, III</w:t>
      </w:r>
      <w:r>
        <w:rPr>
          <w:rFonts w:ascii="Times New Roman" w:eastAsia="Times New Roman" w:hAnsi="Times New Roman"/>
          <w:sz w:val="24"/>
          <w:szCs w:val="24"/>
        </w:rPr>
        <w:t xml:space="preserve">, the Court of Appeals of Kentucky held (3 to 0; unpublished opinion) that the trial court properly denied qualified immunity for the EMS; the case must therefore be re-tried to Jury after the first civil jury failed to reach a decision. </w:t>
      </w:r>
    </w:p>
    <w:p w14:paraId="12EE44B2" w14:textId="77777777" w:rsidR="00D83012" w:rsidRPr="004C0299" w:rsidRDefault="00D83012" w:rsidP="00D8301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C5A10FA" w14:textId="77777777" w:rsidR="004705C6" w:rsidRDefault="004705C6" w:rsidP="004705C6">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2D1156">
        <w:rPr>
          <w:rFonts w:ascii="Times New Roman" w:hAnsi="Times New Roman"/>
          <w:sz w:val="24"/>
          <w:szCs w:val="24"/>
        </w:rPr>
        <w:t>Factual issues remain for the jury to</w:t>
      </w:r>
      <w:r>
        <w:rPr>
          <w:rFonts w:ascii="Times New Roman" w:hAnsi="Times New Roman"/>
          <w:sz w:val="24"/>
          <w:szCs w:val="24"/>
        </w:rPr>
        <w:t xml:space="preserve"> </w:t>
      </w:r>
      <w:r w:rsidRPr="002D1156">
        <w:rPr>
          <w:rFonts w:ascii="Times New Roman" w:hAnsi="Times New Roman"/>
          <w:sz w:val="24"/>
          <w:szCs w:val="24"/>
        </w:rPr>
        <w:t>determine whether they were negligent in not complying with written policy and</w:t>
      </w:r>
      <w:r>
        <w:rPr>
          <w:rFonts w:ascii="Times New Roman" w:hAnsi="Times New Roman"/>
          <w:sz w:val="24"/>
          <w:szCs w:val="24"/>
        </w:rPr>
        <w:t xml:space="preserve"> </w:t>
      </w:r>
      <w:r w:rsidRPr="002D1156">
        <w:rPr>
          <w:rFonts w:ascii="Times New Roman" w:hAnsi="Times New Roman"/>
          <w:sz w:val="24"/>
          <w:szCs w:val="24"/>
        </w:rPr>
        <w:t>procedure by using the app rather than the ambulance GPS and paper maps, or</w:t>
      </w:r>
      <w:r>
        <w:rPr>
          <w:rFonts w:ascii="Times New Roman" w:hAnsi="Times New Roman"/>
          <w:sz w:val="24"/>
          <w:szCs w:val="24"/>
        </w:rPr>
        <w:t xml:space="preserve"> </w:t>
      </w:r>
      <w:r w:rsidRPr="002D1156">
        <w:rPr>
          <w:rFonts w:ascii="Times New Roman" w:hAnsi="Times New Roman"/>
          <w:sz w:val="24"/>
          <w:szCs w:val="24"/>
        </w:rPr>
        <w:t>whether it was acceptable to use the app in light of the testimony from their</w:t>
      </w:r>
      <w:r>
        <w:rPr>
          <w:rFonts w:ascii="Times New Roman" w:hAnsi="Times New Roman"/>
          <w:sz w:val="24"/>
          <w:szCs w:val="24"/>
        </w:rPr>
        <w:t xml:space="preserve"> </w:t>
      </w:r>
      <w:r w:rsidRPr="002D1156">
        <w:rPr>
          <w:rFonts w:ascii="Times New Roman" w:hAnsi="Times New Roman"/>
          <w:sz w:val="24"/>
          <w:szCs w:val="24"/>
        </w:rPr>
        <w:t>supervisor, or whether they were negligent in not consulting the paper maps in</w:t>
      </w:r>
      <w:r>
        <w:rPr>
          <w:rFonts w:ascii="Times New Roman" w:hAnsi="Times New Roman"/>
          <w:sz w:val="24"/>
          <w:szCs w:val="24"/>
        </w:rPr>
        <w:t xml:space="preserve"> </w:t>
      </w:r>
      <w:r w:rsidRPr="002D1156">
        <w:rPr>
          <w:rFonts w:ascii="Times New Roman" w:hAnsi="Times New Roman"/>
          <w:sz w:val="24"/>
          <w:szCs w:val="24"/>
        </w:rPr>
        <w:t>conjunction with the app.</w:t>
      </w:r>
    </w:p>
    <w:p w14:paraId="264A4992" w14:textId="77777777" w:rsidR="004705C6" w:rsidRPr="004D7DFD" w:rsidRDefault="004705C6" w:rsidP="004705C6">
      <w:pPr>
        <w:pStyle w:val="NoSpacing"/>
        <w:ind w:left="720"/>
        <w:rPr>
          <w:rFonts w:ascii="Times New Roman" w:hAnsi="Times New Roman"/>
          <w:sz w:val="24"/>
          <w:szCs w:val="24"/>
        </w:rPr>
      </w:pPr>
      <w:r w:rsidRPr="004D7DFD">
        <w:rPr>
          <w:rFonts w:ascii="Times New Roman" w:hAnsi="Times New Roman"/>
          <w:sz w:val="24"/>
          <w:szCs w:val="24"/>
        </w:rPr>
        <w:t>Brock and Stone do not challenge the trial court’s holding that their</w:t>
      </w:r>
      <w:r>
        <w:rPr>
          <w:rFonts w:ascii="Times New Roman" w:hAnsi="Times New Roman"/>
          <w:sz w:val="24"/>
          <w:szCs w:val="24"/>
        </w:rPr>
        <w:t xml:space="preserve"> </w:t>
      </w:r>
      <w:r w:rsidRPr="004D7DFD">
        <w:rPr>
          <w:rFonts w:ascii="Times New Roman" w:hAnsi="Times New Roman"/>
          <w:sz w:val="24"/>
          <w:szCs w:val="24"/>
        </w:rPr>
        <w:t>duty to check the defibrillator was ministerial and consequently this ruling will not</w:t>
      </w:r>
      <w:r>
        <w:rPr>
          <w:rFonts w:ascii="Times New Roman" w:hAnsi="Times New Roman"/>
          <w:sz w:val="24"/>
          <w:szCs w:val="24"/>
        </w:rPr>
        <w:t xml:space="preserve"> </w:t>
      </w:r>
      <w:r w:rsidRPr="004D7DFD">
        <w:rPr>
          <w:rFonts w:ascii="Times New Roman" w:hAnsi="Times New Roman"/>
          <w:sz w:val="24"/>
          <w:szCs w:val="24"/>
        </w:rPr>
        <w:t>be reviewed here.</w:t>
      </w:r>
    </w:p>
    <w:p w14:paraId="0AF53E88" w14:textId="77777777" w:rsidR="004705C6" w:rsidRDefault="004705C6" w:rsidP="004705C6">
      <w:pPr>
        <w:pStyle w:val="NoSpacing"/>
        <w:rPr>
          <w:rFonts w:ascii="Times New Roman" w:hAnsi="Times New Roman"/>
          <w:sz w:val="24"/>
          <w:szCs w:val="24"/>
        </w:rPr>
      </w:pPr>
    </w:p>
    <w:p w14:paraId="7D6CAEBC" w14:textId="77777777" w:rsidR="004705C6" w:rsidRPr="004D7DFD" w:rsidRDefault="004705C6" w:rsidP="004705C6">
      <w:pPr>
        <w:pStyle w:val="NoSpacing"/>
        <w:ind w:firstLine="720"/>
        <w:rPr>
          <w:rFonts w:ascii="Times New Roman" w:hAnsi="Times New Roman"/>
          <w:sz w:val="24"/>
          <w:szCs w:val="24"/>
        </w:rPr>
      </w:pPr>
      <w:r w:rsidRPr="004D7DFD">
        <w:rPr>
          <w:rFonts w:ascii="Times New Roman" w:hAnsi="Times New Roman"/>
          <w:sz w:val="24"/>
          <w:szCs w:val="24"/>
        </w:rPr>
        <w:t>CONCLUSION</w:t>
      </w:r>
    </w:p>
    <w:p w14:paraId="4D785F80" w14:textId="77777777" w:rsidR="004705C6" w:rsidRDefault="004705C6" w:rsidP="004705C6">
      <w:pPr>
        <w:pStyle w:val="NoSpacing"/>
        <w:rPr>
          <w:rFonts w:ascii="Times New Roman" w:hAnsi="Times New Roman"/>
          <w:sz w:val="24"/>
          <w:szCs w:val="24"/>
        </w:rPr>
      </w:pPr>
    </w:p>
    <w:p w14:paraId="1DF49F6C" w14:textId="77777777" w:rsidR="004705C6" w:rsidRPr="002D1156" w:rsidRDefault="004705C6" w:rsidP="004705C6">
      <w:pPr>
        <w:pStyle w:val="NoSpacing"/>
        <w:ind w:left="720"/>
        <w:rPr>
          <w:rFonts w:ascii="Times New Roman" w:hAnsi="Times New Roman"/>
          <w:sz w:val="24"/>
          <w:szCs w:val="24"/>
        </w:rPr>
      </w:pPr>
      <w:r w:rsidRPr="004D7DFD">
        <w:rPr>
          <w:rFonts w:ascii="Times New Roman" w:hAnsi="Times New Roman"/>
          <w:sz w:val="24"/>
          <w:szCs w:val="24"/>
        </w:rPr>
        <w:t>For the foregoing reasons, the trial court’s order is affirmed insofar as</w:t>
      </w:r>
      <w:r>
        <w:rPr>
          <w:rFonts w:ascii="Times New Roman" w:hAnsi="Times New Roman"/>
          <w:sz w:val="24"/>
          <w:szCs w:val="24"/>
        </w:rPr>
        <w:t xml:space="preserve"> </w:t>
      </w:r>
      <w:r w:rsidRPr="004D7DFD">
        <w:rPr>
          <w:rFonts w:ascii="Times New Roman" w:hAnsi="Times New Roman"/>
          <w:sz w:val="24"/>
          <w:szCs w:val="24"/>
        </w:rPr>
        <w:t>Brock and Stone are not entitled to qualified official immunity for the claims that</w:t>
      </w:r>
      <w:r>
        <w:rPr>
          <w:rFonts w:ascii="Times New Roman" w:hAnsi="Times New Roman"/>
          <w:sz w:val="24"/>
          <w:szCs w:val="24"/>
        </w:rPr>
        <w:t xml:space="preserve"> </w:t>
      </w:r>
      <w:r w:rsidRPr="004D7DFD">
        <w:rPr>
          <w:rFonts w:ascii="Times New Roman" w:hAnsi="Times New Roman"/>
          <w:sz w:val="24"/>
          <w:szCs w:val="24"/>
        </w:rPr>
        <w:t>they were negligent in using the Active 911 app to navigate to Hinkel’s residence</w:t>
      </w:r>
      <w:r>
        <w:rPr>
          <w:rFonts w:ascii="Times New Roman" w:hAnsi="Times New Roman"/>
          <w:sz w:val="24"/>
          <w:szCs w:val="24"/>
        </w:rPr>
        <w:t xml:space="preserve"> </w:t>
      </w:r>
      <w:r w:rsidRPr="004D7DFD">
        <w:rPr>
          <w:rFonts w:ascii="Times New Roman" w:hAnsi="Times New Roman"/>
          <w:sz w:val="24"/>
          <w:szCs w:val="24"/>
        </w:rPr>
        <w:t xml:space="preserve">and in allegedly failing to perform the routine check of the </w:t>
      </w:r>
      <w:proofErr w:type="spellStart"/>
      <w:r w:rsidRPr="004D7DFD">
        <w:rPr>
          <w:rFonts w:ascii="Times New Roman" w:hAnsi="Times New Roman"/>
          <w:sz w:val="24"/>
          <w:szCs w:val="24"/>
        </w:rPr>
        <w:t>LifePak</w:t>
      </w:r>
      <w:proofErr w:type="spellEnd"/>
      <w:r w:rsidRPr="004D7DFD">
        <w:rPr>
          <w:rFonts w:ascii="Times New Roman" w:hAnsi="Times New Roman"/>
          <w:sz w:val="24"/>
          <w:szCs w:val="24"/>
        </w:rPr>
        <w:t xml:space="preserve"> defibrillator</w:t>
      </w:r>
      <w:r>
        <w:rPr>
          <w:rFonts w:ascii="Times New Roman" w:hAnsi="Times New Roman"/>
          <w:sz w:val="24"/>
          <w:szCs w:val="24"/>
        </w:rPr>
        <w:t xml:space="preserve">.” </w:t>
      </w:r>
      <w:hyperlink r:id="rId2049" w:history="1">
        <w:r w:rsidRPr="0090149E">
          <w:rPr>
            <w:rStyle w:val="Hyperlink"/>
            <w:rFonts w:ascii="Times New Roman" w:hAnsi="Times New Roman"/>
            <w:sz w:val="24"/>
            <w:szCs w:val="24"/>
          </w:rPr>
          <w:t>https://cases.justia.com/kentucky/court-of-appeals/2024-2022-ca-1330-mr.pdf?ts=1709910288</w:t>
        </w:r>
      </w:hyperlink>
      <w:r>
        <w:rPr>
          <w:rFonts w:ascii="Times New Roman" w:hAnsi="Times New Roman"/>
          <w:sz w:val="24"/>
          <w:szCs w:val="24"/>
        </w:rPr>
        <w:t xml:space="preserve"> </w:t>
      </w:r>
    </w:p>
    <w:p w14:paraId="4C94B79E" w14:textId="77777777" w:rsidR="004705C6" w:rsidRPr="002D1156" w:rsidRDefault="004705C6" w:rsidP="004705C6">
      <w:pPr>
        <w:pStyle w:val="NoSpacing"/>
        <w:rPr>
          <w:rFonts w:ascii="Times New Roman" w:hAnsi="Times New Roman"/>
          <w:sz w:val="24"/>
          <w:szCs w:val="24"/>
        </w:rPr>
      </w:pPr>
    </w:p>
    <w:p w14:paraId="2D291CB7" w14:textId="77777777" w:rsidR="004705C6" w:rsidRDefault="004705C6" w:rsidP="004705C6">
      <w:pPr>
        <w:pStyle w:val="NoSpacing"/>
        <w:ind w:left="720"/>
        <w:rPr>
          <w:rFonts w:ascii="Times New Roman" w:hAnsi="Times New Roman"/>
          <w:sz w:val="24"/>
          <w:szCs w:val="24"/>
        </w:rPr>
      </w:pPr>
    </w:p>
    <w:p w14:paraId="1D3F521A" w14:textId="77777777" w:rsidR="004705C6" w:rsidRPr="001C64D7" w:rsidRDefault="004705C6" w:rsidP="004705C6">
      <w:pPr>
        <w:pStyle w:val="NoSpacing"/>
        <w:rPr>
          <w:rFonts w:ascii="Times New Roman" w:hAnsi="Times New Roman"/>
          <w:b/>
          <w:bCs/>
          <w:sz w:val="24"/>
          <w:szCs w:val="24"/>
        </w:rPr>
      </w:pPr>
      <w:r w:rsidRPr="001C64D7">
        <w:rPr>
          <w:rFonts w:ascii="Times New Roman" w:hAnsi="Times New Roman"/>
          <w:b/>
          <w:bCs/>
          <w:sz w:val="24"/>
          <w:szCs w:val="24"/>
        </w:rPr>
        <w:t>Legal Lesson Learned:</w:t>
      </w:r>
      <w:r>
        <w:rPr>
          <w:rFonts w:ascii="Times New Roman" w:hAnsi="Times New Roman"/>
          <w:b/>
          <w:bCs/>
          <w:sz w:val="24"/>
          <w:szCs w:val="24"/>
        </w:rPr>
        <w:t xml:space="preserve"> Follow your </w:t>
      </w:r>
      <w:proofErr w:type="gramStart"/>
      <w:r>
        <w:rPr>
          <w:rFonts w:ascii="Times New Roman" w:hAnsi="Times New Roman"/>
          <w:b/>
          <w:bCs/>
          <w:sz w:val="24"/>
          <w:szCs w:val="24"/>
        </w:rPr>
        <w:t>equipment</w:t>
      </w:r>
      <w:proofErr w:type="gramEnd"/>
      <w:r>
        <w:rPr>
          <w:rFonts w:ascii="Times New Roman" w:hAnsi="Times New Roman"/>
          <w:b/>
          <w:bCs/>
          <w:sz w:val="24"/>
          <w:szCs w:val="24"/>
        </w:rPr>
        <w:t xml:space="preserve"> check protocols, including documentation; know your addresses or confirm with GPS or map.</w:t>
      </w:r>
    </w:p>
    <w:p w14:paraId="213D7D13" w14:textId="77777777" w:rsidR="004705C6" w:rsidRDefault="004705C6" w:rsidP="004705C6">
      <w:pPr>
        <w:pStyle w:val="NormalWeb"/>
        <w:spacing w:before="0" w:beforeAutospacing="0"/>
        <w:rPr>
          <w:color w:val="454545"/>
        </w:rPr>
      </w:pPr>
    </w:p>
    <w:p w14:paraId="542D8F54" w14:textId="77777777" w:rsidR="005677A6" w:rsidRDefault="005677A6" w:rsidP="006A02A4">
      <w:pPr>
        <w:rPr>
          <w:rFonts w:ascii="Arial Black" w:hAnsi="Arial Black"/>
          <w:b/>
          <w:bCs/>
          <w:sz w:val="28"/>
          <w:szCs w:val="28"/>
        </w:rPr>
      </w:pPr>
    </w:p>
    <w:p w14:paraId="5EF0F1F0" w14:textId="6EC69ACD" w:rsidR="00A77ADF" w:rsidRDefault="00A77ADF" w:rsidP="006A02A4">
      <w:pPr>
        <w:rPr>
          <w:rFonts w:ascii="Arial Black" w:hAnsi="Arial Black"/>
          <w:b/>
          <w:bCs/>
          <w:sz w:val="28"/>
          <w:szCs w:val="28"/>
        </w:rPr>
      </w:pPr>
      <w:r>
        <w:rPr>
          <w:rFonts w:ascii="Arial Black" w:hAnsi="Arial Black"/>
          <w:b/>
          <w:bCs/>
          <w:sz w:val="28"/>
          <w:szCs w:val="28"/>
        </w:rPr>
        <w:t>13-169</w:t>
      </w:r>
    </w:p>
    <w:p w14:paraId="0A6CE871" w14:textId="77777777" w:rsidR="006F1059" w:rsidRDefault="006F1059" w:rsidP="006F1059">
      <w:pPr>
        <w:pStyle w:val="NormalWeb"/>
        <w:rPr>
          <w:rFonts w:ascii="Arial Black" w:hAnsi="Arial Black"/>
          <w:sz w:val="28"/>
          <w:szCs w:val="28"/>
        </w:rPr>
      </w:pPr>
      <w:r>
        <w:rPr>
          <w:rFonts w:ascii="Arial Black" w:hAnsi="Arial Black"/>
          <w:sz w:val="28"/>
          <w:szCs w:val="28"/>
        </w:rPr>
        <w:t>TX: NO “STATE-CREATED DANGER” - 14-YR OLD, CEREBRAL PALSY – EMS NO “DELIBERATE INDIFFERENCE” - IMMUNITY</w:t>
      </w:r>
    </w:p>
    <w:p w14:paraId="0F1DF180" w14:textId="77777777" w:rsidR="006F1059" w:rsidRDefault="006F1059" w:rsidP="006F1059">
      <w:pPr>
        <w:pStyle w:val="NormalWeb"/>
      </w:pPr>
      <w:r>
        <w:t xml:space="preserve">On Feb. 27, 2024, in </w:t>
      </w:r>
      <w:r w:rsidRPr="00D05974">
        <w:rPr>
          <w:u w:val="single"/>
        </w:rPr>
        <w:t>Stacey Williams, on behalf of her minor grandson, J.J. v. Andrew Williams and Joe Spradlin</w:t>
      </w:r>
      <w:r>
        <w:t>, the U.S. Court of Appeals for Fifth Circuit (New Orleans) held (3 to 0) that trial court properly dismissed the lawsuit.</w:t>
      </w:r>
    </w:p>
    <w:p w14:paraId="155B6029" w14:textId="77777777" w:rsidR="00F86334" w:rsidRPr="004C0299" w:rsidRDefault="00F86334" w:rsidP="00F86334">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C739182" w14:textId="77777777" w:rsidR="00F86334" w:rsidRDefault="00F86334" w:rsidP="006F1059">
      <w:pPr>
        <w:pStyle w:val="NoSpacing"/>
      </w:pPr>
    </w:p>
    <w:p w14:paraId="0AC662B1" w14:textId="3CBA26E9" w:rsidR="006F1059" w:rsidRPr="00B65994" w:rsidRDefault="006F1059" w:rsidP="006F1059">
      <w:pPr>
        <w:pStyle w:val="NoSpacing"/>
        <w:rPr>
          <w:rFonts w:ascii="Times New Roman" w:hAnsi="Times New Roman"/>
          <w:sz w:val="24"/>
          <w:szCs w:val="24"/>
        </w:rPr>
      </w:pPr>
      <w:r>
        <w:tab/>
      </w:r>
      <w:r w:rsidRPr="00330249">
        <w:rPr>
          <w:rFonts w:ascii="Times New Roman" w:hAnsi="Times New Roman"/>
          <w:sz w:val="24"/>
          <w:szCs w:val="24"/>
        </w:rPr>
        <w:t>The Court held:</w:t>
      </w:r>
      <w:r>
        <w:t xml:space="preserve"> “</w:t>
      </w:r>
      <w:r w:rsidRPr="00B65994">
        <w:rPr>
          <w:rFonts w:ascii="Times New Roman" w:hAnsi="Times New Roman"/>
          <w:sz w:val="24"/>
          <w:szCs w:val="24"/>
        </w:rPr>
        <w:t>The appellant recognizes that she cannot prevail under this court’s</w:t>
      </w:r>
    </w:p>
    <w:p w14:paraId="77C4D3B3" w14:textId="77777777" w:rsidR="006F1059" w:rsidRPr="00B65994" w:rsidRDefault="006F1059" w:rsidP="006F1059">
      <w:pPr>
        <w:pStyle w:val="NoSpacing"/>
        <w:ind w:left="720"/>
        <w:rPr>
          <w:rFonts w:ascii="Times New Roman" w:hAnsi="Times New Roman"/>
          <w:sz w:val="24"/>
          <w:szCs w:val="24"/>
        </w:rPr>
      </w:pPr>
      <w:r w:rsidRPr="00B65994">
        <w:rPr>
          <w:rFonts w:ascii="Times New Roman" w:hAnsi="Times New Roman"/>
          <w:sz w:val="24"/>
          <w:szCs w:val="24"/>
        </w:rPr>
        <w:t xml:space="preserve">longstanding jurisprudence whereunder we do not recognize </w:t>
      </w:r>
      <w:r>
        <w:rPr>
          <w:rFonts w:ascii="Times New Roman" w:hAnsi="Times New Roman"/>
          <w:sz w:val="24"/>
          <w:szCs w:val="24"/>
        </w:rPr>
        <w:t>‘</w:t>
      </w:r>
      <w:r w:rsidRPr="00B65994">
        <w:rPr>
          <w:rFonts w:ascii="Times New Roman" w:hAnsi="Times New Roman"/>
          <w:sz w:val="24"/>
          <w:szCs w:val="24"/>
        </w:rPr>
        <w:t>state-created</w:t>
      </w:r>
      <w:r>
        <w:rPr>
          <w:rFonts w:ascii="Times New Roman" w:hAnsi="Times New Roman"/>
          <w:sz w:val="24"/>
          <w:szCs w:val="24"/>
        </w:rPr>
        <w:t xml:space="preserve"> </w:t>
      </w:r>
      <w:r w:rsidRPr="00B65994">
        <w:rPr>
          <w:rFonts w:ascii="Times New Roman" w:hAnsi="Times New Roman"/>
          <w:sz w:val="24"/>
          <w:szCs w:val="24"/>
        </w:rPr>
        <w:t>danger</w:t>
      </w:r>
      <w:r>
        <w:rPr>
          <w:rFonts w:ascii="Times New Roman" w:hAnsi="Times New Roman"/>
          <w:sz w:val="24"/>
          <w:szCs w:val="24"/>
        </w:rPr>
        <w:t>’</w:t>
      </w:r>
      <w:r w:rsidRPr="00B65994">
        <w:rPr>
          <w:rFonts w:ascii="Times New Roman" w:hAnsi="Times New Roman"/>
          <w:sz w:val="24"/>
          <w:szCs w:val="24"/>
        </w:rPr>
        <w:t xml:space="preserve"> as a theory of liability for a claimed constitutional violation. Appellant asks the court to use this case as a vehicle to adopt, for the first time, that</w:t>
      </w:r>
      <w:r>
        <w:rPr>
          <w:rFonts w:ascii="Times New Roman" w:hAnsi="Times New Roman"/>
          <w:sz w:val="24"/>
          <w:szCs w:val="24"/>
        </w:rPr>
        <w:t xml:space="preserve"> </w:t>
      </w:r>
      <w:r w:rsidRPr="00B65994">
        <w:rPr>
          <w:rFonts w:ascii="Times New Roman" w:hAnsi="Times New Roman"/>
          <w:sz w:val="24"/>
          <w:szCs w:val="24"/>
        </w:rPr>
        <w:t>theory.</w:t>
      </w:r>
      <w:r>
        <w:rPr>
          <w:rFonts w:ascii="Times New Roman" w:hAnsi="Times New Roman"/>
          <w:sz w:val="24"/>
          <w:szCs w:val="24"/>
        </w:rPr>
        <w:t xml:space="preserve"> </w:t>
      </w:r>
      <w:r w:rsidRPr="00B65994">
        <w:rPr>
          <w:rFonts w:ascii="Times New Roman" w:hAnsi="Times New Roman"/>
          <w:sz w:val="24"/>
          <w:szCs w:val="24"/>
        </w:rPr>
        <w:t>We decline the invitation. It is a stretch to say that state actors</w:t>
      </w:r>
      <w:r>
        <w:rPr>
          <w:rFonts w:ascii="Times New Roman" w:hAnsi="Times New Roman"/>
          <w:sz w:val="24"/>
          <w:szCs w:val="24"/>
        </w:rPr>
        <w:t xml:space="preserve"> </w:t>
      </w:r>
      <w:r w:rsidRPr="00B65994">
        <w:rPr>
          <w:rFonts w:ascii="Times New Roman" w:hAnsi="Times New Roman"/>
          <w:sz w:val="24"/>
          <w:szCs w:val="24"/>
        </w:rPr>
        <w:t>“created” the danger, given that the appellant’s grandson was in medical</w:t>
      </w:r>
      <w:r>
        <w:rPr>
          <w:rFonts w:ascii="Times New Roman" w:hAnsi="Times New Roman"/>
          <w:sz w:val="24"/>
          <w:szCs w:val="24"/>
        </w:rPr>
        <w:t xml:space="preserve"> </w:t>
      </w:r>
      <w:r w:rsidRPr="00B65994">
        <w:rPr>
          <w:rFonts w:ascii="Times New Roman" w:hAnsi="Times New Roman"/>
          <w:sz w:val="24"/>
          <w:szCs w:val="24"/>
        </w:rPr>
        <w:t xml:space="preserve">distress, not caused by them, </w:t>
      </w:r>
      <w:r w:rsidRPr="00B65994">
        <w:rPr>
          <w:rFonts w:ascii="Times New Roman" w:hAnsi="Times New Roman"/>
          <w:sz w:val="24"/>
          <w:szCs w:val="24"/>
        </w:rPr>
        <w:lastRenderedPageBreak/>
        <w:t>when they arrived. As alleged, any failure to</w:t>
      </w:r>
      <w:r>
        <w:rPr>
          <w:rFonts w:ascii="Times New Roman" w:hAnsi="Times New Roman"/>
          <w:sz w:val="24"/>
          <w:szCs w:val="24"/>
        </w:rPr>
        <w:t xml:space="preserve"> </w:t>
      </w:r>
      <w:r w:rsidRPr="00B65994">
        <w:rPr>
          <w:rFonts w:ascii="Times New Roman" w:hAnsi="Times New Roman"/>
          <w:sz w:val="24"/>
          <w:szCs w:val="24"/>
        </w:rPr>
        <w:t>act sounds more in medical malpractice or negligence than in deliberate</w:t>
      </w:r>
    </w:p>
    <w:p w14:paraId="54FA6B18" w14:textId="77777777" w:rsidR="006F1059" w:rsidRPr="00127FA3" w:rsidRDefault="006F1059" w:rsidP="006F1059">
      <w:pPr>
        <w:pStyle w:val="NoSpacing"/>
        <w:ind w:firstLine="720"/>
        <w:rPr>
          <w:rFonts w:ascii="Times New Roman" w:hAnsi="Times New Roman"/>
          <w:sz w:val="24"/>
          <w:szCs w:val="24"/>
        </w:rPr>
      </w:pPr>
      <w:r w:rsidRPr="00B65994">
        <w:rPr>
          <w:rFonts w:ascii="Times New Roman" w:hAnsi="Times New Roman"/>
          <w:sz w:val="24"/>
          <w:szCs w:val="24"/>
        </w:rPr>
        <w:t>indifference.</w:t>
      </w:r>
      <w:r>
        <w:rPr>
          <w:rFonts w:ascii="Times New Roman" w:hAnsi="Times New Roman"/>
          <w:sz w:val="24"/>
          <w:szCs w:val="24"/>
        </w:rPr>
        <w:t xml:space="preserve">” </w:t>
      </w:r>
      <w:hyperlink r:id="rId2050" w:history="1">
        <w:r w:rsidRPr="00E64ED3">
          <w:rPr>
            <w:rStyle w:val="Hyperlink"/>
            <w:rFonts w:ascii="Times New Roman" w:hAnsi="Times New Roman"/>
            <w:sz w:val="24"/>
            <w:szCs w:val="24"/>
          </w:rPr>
          <w:t>https://www.ca5.uscourts.gov/opinions/unpub/23/23-20375.0.pdf</w:t>
        </w:r>
      </w:hyperlink>
      <w:r>
        <w:rPr>
          <w:rFonts w:ascii="Times New Roman" w:hAnsi="Times New Roman"/>
          <w:sz w:val="24"/>
          <w:szCs w:val="24"/>
        </w:rPr>
        <w:t xml:space="preserve"> </w:t>
      </w:r>
    </w:p>
    <w:p w14:paraId="33485358" w14:textId="77777777" w:rsidR="006F1059" w:rsidRDefault="006F1059" w:rsidP="006F1059">
      <w:pPr>
        <w:pStyle w:val="NoSpacing"/>
        <w:ind w:firstLine="720"/>
        <w:rPr>
          <w:rFonts w:ascii="Times New Roman" w:hAnsi="Times New Roman"/>
          <w:sz w:val="24"/>
          <w:szCs w:val="24"/>
        </w:rPr>
      </w:pPr>
    </w:p>
    <w:p w14:paraId="78B226D7" w14:textId="77777777" w:rsidR="006F1059" w:rsidRPr="001F3724" w:rsidRDefault="006F1059" w:rsidP="006F1059">
      <w:pPr>
        <w:pStyle w:val="NoSpacing"/>
        <w:rPr>
          <w:rFonts w:ascii="Times New Roman" w:hAnsi="Times New Roman"/>
          <w:b/>
          <w:bCs/>
          <w:sz w:val="24"/>
          <w:szCs w:val="24"/>
        </w:rPr>
      </w:pPr>
      <w:r w:rsidRPr="001F3724">
        <w:rPr>
          <w:rFonts w:ascii="Times New Roman" w:hAnsi="Times New Roman"/>
          <w:b/>
          <w:bCs/>
          <w:sz w:val="24"/>
          <w:szCs w:val="24"/>
        </w:rPr>
        <w:t>Legal Lesson Learned:</w:t>
      </w:r>
      <w:r>
        <w:rPr>
          <w:rFonts w:ascii="Times New Roman" w:hAnsi="Times New Roman"/>
          <w:b/>
          <w:bCs/>
          <w:sz w:val="24"/>
          <w:szCs w:val="24"/>
        </w:rPr>
        <w:t xml:space="preserve"> There was no proof of deliberate indifference; medics therefore enjoy qualified immunity. </w:t>
      </w:r>
    </w:p>
    <w:p w14:paraId="6588F812" w14:textId="77777777" w:rsidR="006F1059" w:rsidRDefault="006F1059" w:rsidP="006F1059">
      <w:pPr>
        <w:pStyle w:val="NoSpacing"/>
        <w:rPr>
          <w:sz w:val="24"/>
          <w:szCs w:val="24"/>
        </w:rPr>
      </w:pPr>
    </w:p>
    <w:p w14:paraId="52A1AF04" w14:textId="77777777" w:rsidR="006F1059" w:rsidRPr="00486412" w:rsidRDefault="006F1059" w:rsidP="006F1059">
      <w:pPr>
        <w:pStyle w:val="NoSpacing"/>
        <w:ind w:left="720"/>
        <w:rPr>
          <w:rFonts w:ascii="Times New Roman" w:hAnsi="Times New Roman"/>
          <w:sz w:val="24"/>
          <w:szCs w:val="24"/>
        </w:rPr>
      </w:pPr>
      <w:r w:rsidRPr="00486412">
        <w:rPr>
          <w:rFonts w:ascii="Times New Roman" w:hAnsi="Times New Roman"/>
          <w:sz w:val="24"/>
          <w:szCs w:val="24"/>
        </w:rPr>
        <w:t xml:space="preserve">Note: See allegations by plaintiff’s law firm.  “Attorney Ben Crump Files Personal Injury Lawsuit Against Paramedics Who Refused to Provide Emergency Care to Disabled Teen.” </w:t>
      </w:r>
      <w:hyperlink r:id="rId2051" w:history="1">
        <w:r w:rsidRPr="00486412">
          <w:rPr>
            <w:rStyle w:val="Hyperlink"/>
            <w:rFonts w:ascii="Times New Roman" w:hAnsi="Times New Roman"/>
            <w:sz w:val="24"/>
            <w:szCs w:val="24"/>
          </w:rPr>
          <w:t>https://bencrump.com/press/attorney-ben-crump-files-personal-injury-lawsuit-against-paramedics-who-refused-to-provide-emergency-care-to-disabled-teen/</w:t>
        </w:r>
      </w:hyperlink>
    </w:p>
    <w:p w14:paraId="53269796" w14:textId="77777777" w:rsidR="00A77ADF" w:rsidRDefault="00A77ADF" w:rsidP="006A02A4">
      <w:pPr>
        <w:rPr>
          <w:rFonts w:ascii="Arial Black" w:hAnsi="Arial Black"/>
          <w:b/>
          <w:bCs/>
          <w:sz w:val="28"/>
          <w:szCs w:val="28"/>
        </w:rPr>
      </w:pPr>
    </w:p>
    <w:p w14:paraId="78BE8F22" w14:textId="77777777" w:rsidR="00A77ADF" w:rsidRDefault="00A77ADF" w:rsidP="006A02A4">
      <w:pPr>
        <w:rPr>
          <w:rFonts w:ascii="Arial Black" w:hAnsi="Arial Black"/>
          <w:b/>
          <w:bCs/>
          <w:sz w:val="28"/>
          <w:szCs w:val="28"/>
        </w:rPr>
      </w:pPr>
    </w:p>
    <w:p w14:paraId="0A582832" w14:textId="5C7E6A3D" w:rsidR="00741889" w:rsidRDefault="00741889" w:rsidP="006A02A4">
      <w:pPr>
        <w:rPr>
          <w:rFonts w:ascii="Arial Black" w:hAnsi="Arial Black"/>
          <w:b/>
          <w:bCs/>
          <w:sz w:val="28"/>
          <w:szCs w:val="28"/>
        </w:rPr>
      </w:pPr>
      <w:r>
        <w:rPr>
          <w:rFonts w:ascii="Arial Black" w:hAnsi="Arial Black"/>
          <w:b/>
          <w:bCs/>
          <w:sz w:val="28"/>
          <w:szCs w:val="28"/>
        </w:rPr>
        <w:t>13-168</w:t>
      </w:r>
    </w:p>
    <w:p w14:paraId="0F38657E" w14:textId="31E7800A" w:rsidR="00741889" w:rsidRDefault="00741889" w:rsidP="00741889">
      <w:pPr>
        <w:pStyle w:val="NoSpacing"/>
        <w:rPr>
          <w:rFonts w:ascii="Arial Black" w:hAnsi="Arial Black"/>
          <w:sz w:val="28"/>
          <w:szCs w:val="28"/>
        </w:rPr>
      </w:pPr>
      <w:r>
        <w:rPr>
          <w:rFonts w:ascii="Arial Black" w:hAnsi="Arial Black"/>
          <w:sz w:val="28"/>
          <w:szCs w:val="28"/>
        </w:rPr>
        <w:t xml:space="preserve">ME: PERSON DEAD OVERDOSE UNDER SINK –  RESIDENT REFUSED TALK TO MEDICS – </w:t>
      </w:r>
      <w:r w:rsidR="003E7DB8">
        <w:rPr>
          <w:rFonts w:ascii="Arial Black" w:hAnsi="Arial Black"/>
          <w:sz w:val="28"/>
          <w:szCs w:val="28"/>
        </w:rPr>
        <w:t xml:space="preserve">PROSECUTOR </w:t>
      </w:r>
      <w:r>
        <w:rPr>
          <w:rFonts w:ascii="Arial Black" w:hAnsi="Arial Black"/>
          <w:sz w:val="28"/>
          <w:szCs w:val="28"/>
        </w:rPr>
        <w:t>TOLD JURY</w:t>
      </w:r>
      <w:r w:rsidR="00E9297E">
        <w:rPr>
          <w:rFonts w:ascii="Arial Black" w:hAnsi="Arial Black"/>
          <w:sz w:val="28"/>
          <w:szCs w:val="28"/>
        </w:rPr>
        <w:t xml:space="preserve"> </w:t>
      </w:r>
    </w:p>
    <w:p w14:paraId="019A5C82" w14:textId="77777777" w:rsidR="00741889" w:rsidRDefault="00741889" w:rsidP="00741889">
      <w:pPr>
        <w:pStyle w:val="NoSpacing"/>
        <w:rPr>
          <w:rFonts w:ascii="Times New Roman" w:hAnsi="Times New Roman"/>
          <w:sz w:val="24"/>
          <w:szCs w:val="24"/>
        </w:rPr>
      </w:pPr>
    </w:p>
    <w:p w14:paraId="19DB9084" w14:textId="77777777" w:rsidR="00741889" w:rsidRDefault="00741889" w:rsidP="00741889">
      <w:pPr>
        <w:pStyle w:val="NoSpacing"/>
        <w:rPr>
          <w:rFonts w:ascii="Times New Roman" w:hAnsi="Times New Roman"/>
          <w:sz w:val="24"/>
          <w:szCs w:val="24"/>
        </w:rPr>
      </w:pPr>
      <w:r>
        <w:rPr>
          <w:rFonts w:ascii="Times New Roman" w:hAnsi="Times New Roman"/>
          <w:sz w:val="24"/>
          <w:szCs w:val="24"/>
        </w:rPr>
        <w:t xml:space="preserve">On Jan. 30, 2024, in </w:t>
      </w:r>
      <w:r w:rsidRPr="008149F4">
        <w:rPr>
          <w:rFonts w:ascii="Times New Roman" w:hAnsi="Times New Roman"/>
          <w:sz w:val="24"/>
          <w:szCs w:val="24"/>
          <w:u w:val="single"/>
        </w:rPr>
        <w:t>State of Maine v. Ralph A. Trip, Jr</w:t>
      </w:r>
      <w:r>
        <w:rPr>
          <w:rFonts w:ascii="Times New Roman" w:hAnsi="Times New Roman"/>
          <w:sz w:val="24"/>
          <w:szCs w:val="24"/>
        </w:rPr>
        <w:t xml:space="preserve">., the Maine Supreme Judicial Court held (7 to 0) that trial court judge properly allowed jury to hear testimony of the paramedics from Bangor Fire Department that the defendant along with his wife called 911 on April 17, 2021, and they both refused to tell the medics anything about the person dead under the sink in their apartment.  The jury convicted the defendant of </w:t>
      </w:r>
      <w:r w:rsidRPr="00E67AD9">
        <w:rPr>
          <w:rFonts w:ascii="Times New Roman" w:hAnsi="Times New Roman"/>
          <w:sz w:val="24"/>
          <w:szCs w:val="24"/>
        </w:rPr>
        <w:t>aggravated trafficking of a scheduled drug that in fact caused the death of a</w:t>
      </w:r>
      <w:r>
        <w:rPr>
          <w:rFonts w:ascii="Times New Roman" w:hAnsi="Times New Roman"/>
          <w:sz w:val="24"/>
          <w:szCs w:val="24"/>
        </w:rPr>
        <w:t xml:space="preserve"> </w:t>
      </w:r>
      <w:r w:rsidRPr="00E67AD9">
        <w:rPr>
          <w:rFonts w:ascii="Times New Roman" w:hAnsi="Times New Roman"/>
          <w:sz w:val="24"/>
          <w:szCs w:val="24"/>
        </w:rPr>
        <w:t>person</w:t>
      </w:r>
      <w:r>
        <w:rPr>
          <w:rFonts w:ascii="Times New Roman" w:hAnsi="Times New Roman"/>
          <w:sz w:val="24"/>
          <w:szCs w:val="24"/>
        </w:rPr>
        <w:t xml:space="preserve">, </w:t>
      </w:r>
      <w:r w:rsidRPr="00E67AD9">
        <w:rPr>
          <w:rFonts w:ascii="Times New Roman" w:hAnsi="Times New Roman"/>
          <w:sz w:val="24"/>
          <w:szCs w:val="24"/>
        </w:rPr>
        <w:t xml:space="preserve"> three counts of</w:t>
      </w:r>
      <w:r>
        <w:rPr>
          <w:rFonts w:ascii="Times New Roman" w:hAnsi="Times New Roman"/>
          <w:sz w:val="24"/>
          <w:szCs w:val="24"/>
        </w:rPr>
        <w:t xml:space="preserve"> </w:t>
      </w:r>
      <w:r w:rsidRPr="00E67AD9">
        <w:rPr>
          <w:rFonts w:ascii="Times New Roman" w:hAnsi="Times New Roman"/>
          <w:sz w:val="24"/>
          <w:szCs w:val="24"/>
        </w:rPr>
        <w:t>aggravated trafficking of scheduled drugs: fentanyl powder, cocaine, and</w:t>
      </w:r>
      <w:r>
        <w:rPr>
          <w:rFonts w:ascii="Times New Roman" w:hAnsi="Times New Roman"/>
          <w:sz w:val="24"/>
          <w:szCs w:val="24"/>
        </w:rPr>
        <w:t xml:space="preserve"> m</w:t>
      </w:r>
      <w:r w:rsidRPr="00E67AD9">
        <w:rPr>
          <w:rFonts w:ascii="Times New Roman" w:hAnsi="Times New Roman"/>
          <w:sz w:val="24"/>
          <w:szCs w:val="24"/>
        </w:rPr>
        <w:t>ethamphetamine</w:t>
      </w:r>
      <w:r>
        <w:rPr>
          <w:rFonts w:ascii="Times New Roman" w:hAnsi="Times New Roman"/>
          <w:sz w:val="24"/>
          <w:szCs w:val="24"/>
        </w:rPr>
        <w:t xml:space="preserve">, </w:t>
      </w:r>
      <w:r w:rsidRPr="00E67AD9">
        <w:rPr>
          <w:rFonts w:ascii="Times New Roman" w:hAnsi="Times New Roman"/>
          <w:sz w:val="24"/>
          <w:szCs w:val="24"/>
        </w:rPr>
        <w:t>one</w:t>
      </w:r>
      <w:r>
        <w:rPr>
          <w:rFonts w:ascii="Times New Roman" w:hAnsi="Times New Roman"/>
          <w:sz w:val="24"/>
          <w:szCs w:val="24"/>
        </w:rPr>
        <w:t xml:space="preserve"> </w:t>
      </w:r>
      <w:r w:rsidRPr="00E67AD9">
        <w:rPr>
          <w:rFonts w:ascii="Times New Roman" w:hAnsi="Times New Roman"/>
          <w:sz w:val="24"/>
          <w:szCs w:val="24"/>
        </w:rPr>
        <w:t>count of possession of a firearm by a prohibited person</w:t>
      </w:r>
      <w:r w:rsidRPr="008734D5">
        <w:rPr>
          <w:rFonts w:ascii="Times New Roman" w:hAnsi="Times New Roman"/>
          <w:sz w:val="24"/>
          <w:szCs w:val="24"/>
        </w:rPr>
        <w:t>); and two counts of criminal forfeiture</w:t>
      </w:r>
      <w:r>
        <w:rPr>
          <w:rFonts w:ascii="Times New Roman" w:hAnsi="Times New Roman"/>
          <w:sz w:val="24"/>
          <w:szCs w:val="24"/>
        </w:rPr>
        <w:t xml:space="preserve">. </w:t>
      </w:r>
    </w:p>
    <w:p w14:paraId="1743CEA8" w14:textId="77777777" w:rsidR="00741889" w:rsidRDefault="00741889" w:rsidP="00741889">
      <w:pPr>
        <w:pStyle w:val="NoSpacing"/>
        <w:rPr>
          <w:rFonts w:ascii="Times New Roman" w:hAnsi="Times New Roman"/>
          <w:sz w:val="24"/>
          <w:szCs w:val="24"/>
        </w:rPr>
      </w:pPr>
    </w:p>
    <w:p w14:paraId="1F5BB293" w14:textId="77777777" w:rsidR="00741889" w:rsidRDefault="00741889" w:rsidP="00741889">
      <w:pPr>
        <w:pStyle w:val="NoSpacing"/>
        <w:ind w:left="720"/>
        <w:rPr>
          <w:rFonts w:ascii="Times New Roman" w:hAnsi="Times New Roman"/>
          <w:sz w:val="24"/>
          <w:szCs w:val="24"/>
        </w:rPr>
      </w:pPr>
      <w:r>
        <w:rPr>
          <w:rFonts w:ascii="Times New Roman" w:hAnsi="Times New Roman"/>
          <w:sz w:val="24"/>
          <w:szCs w:val="24"/>
        </w:rPr>
        <w:t>“</w:t>
      </w:r>
      <w:r w:rsidRPr="00866A39">
        <w:rPr>
          <w:rFonts w:ascii="Times New Roman" w:hAnsi="Times New Roman"/>
          <w:sz w:val="24"/>
          <w:szCs w:val="24"/>
        </w:rPr>
        <w:t>Even if the right to remain silent extends to a paramedic’s</w:t>
      </w:r>
      <w:r>
        <w:rPr>
          <w:rFonts w:ascii="Times New Roman" w:hAnsi="Times New Roman"/>
          <w:sz w:val="24"/>
          <w:szCs w:val="24"/>
        </w:rPr>
        <w:t xml:space="preserve"> </w:t>
      </w:r>
      <w:r w:rsidRPr="003509D7">
        <w:rPr>
          <w:rFonts w:ascii="Times New Roman" w:hAnsi="Times New Roman"/>
          <w:sz w:val="24"/>
          <w:szCs w:val="24"/>
        </w:rPr>
        <w:t>questioning, we conclude that Tripp failed to demonstrate that he invoked his</w:t>
      </w:r>
      <w:r>
        <w:rPr>
          <w:rFonts w:ascii="Times New Roman" w:hAnsi="Times New Roman"/>
          <w:sz w:val="24"/>
          <w:szCs w:val="24"/>
        </w:rPr>
        <w:t xml:space="preserve"> </w:t>
      </w:r>
      <w:r w:rsidRPr="003509D7">
        <w:rPr>
          <w:rFonts w:ascii="Times New Roman" w:hAnsi="Times New Roman"/>
          <w:sz w:val="24"/>
          <w:szCs w:val="24"/>
        </w:rPr>
        <w:t>right to remain silent in this non-custodial context.</w:t>
      </w:r>
    </w:p>
    <w:p w14:paraId="1BDE81B1" w14:textId="77777777" w:rsidR="00741889" w:rsidRDefault="00741889" w:rsidP="00741889">
      <w:pPr>
        <w:pStyle w:val="NoSpacing"/>
        <w:rPr>
          <w:rFonts w:ascii="Times New Roman" w:hAnsi="Times New Roman"/>
          <w:sz w:val="24"/>
          <w:szCs w:val="24"/>
        </w:rPr>
      </w:pPr>
    </w:p>
    <w:p w14:paraId="42221BAF" w14:textId="77777777" w:rsidR="00741889" w:rsidRDefault="00741889" w:rsidP="00741889">
      <w:pPr>
        <w:pStyle w:val="NoSpacing"/>
        <w:ind w:firstLine="720"/>
        <w:rPr>
          <w:rFonts w:ascii="Times New Roman" w:hAnsi="Times New Roman"/>
          <w:sz w:val="24"/>
          <w:szCs w:val="24"/>
        </w:rPr>
      </w:pPr>
      <w:r>
        <w:rPr>
          <w:rFonts w:ascii="Times New Roman" w:hAnsi="Times New Roman"/>
          <w:sz w:val="24"/>
          <w:szCs w:val="24"/>
        </w:rPr>
        <w:t>***</w:t>
      </w:r>
    </w:p>
    <w:p w14:paraId="318CE97F" w14:textId="77777777" w:rsidR="00741889" w:rsidRDefault="00741889" w:rsidP="00741889">
      <w:pPr>
        <w:pStyle w:val="NoSpacing"/>
        <w:ind w:left="720"/>
        <w:rPr>
          <w:rFonts w:ascii="Times New Roman" w:hAnsi="Times New Roman"/>
          <w:sz w:val="24"/>
          <w:szCs w:val="24"/>
        </w:rPr>
      </w:pPr>
      <w:r w:rsidRPr="00174E38">
        <w:rPr>
          <w:rFonts w:ascii="Times New Roman" w:hAnsi="Times New Roman"/>
          <w:sz w:val="24"/>
          <w:szCs w:val="24"/>
        </w:rPr>
        <w:t>Here, after Tripp let the paramedics</w:t>
      </w:r>
      <w:r>
        <w:rPr>
          <w:rFonts w:ascii="Times New Roman" w:hAnsi="Times New Roman"/>
          <w:sz w:val="24"/>
          <w:szCs w:val="24"/>
        </w:rPr>
        <w:t xml:space="preserve"> </w:t>
      </w:r>
      <w:r w:rsidRPr="00174E38">
        <w:rPr>
          <w:rFonts w:ascii="Times New Roman" w:hAnsi="Times New Roman"/>
          <w:sz w:val="24"/>
          <w:szCs w:val="24"/>
        </w:rPr>
        <w:t>into the rooming house and directed them upstairs to the unconscious person,</w:t>
      </w:r>
      <w:r>
        <w:rPr>
          <w:rFonts w:ascii="Times New Roman" w:hAnsi="Times New Roman"/>
          <w:sz w:val="24"/>
          <w:szCs w:val="24"/>
        </w:rPr>
        <w:t xml:space="preserve"> </w:t>
      </w:r>
      <w:r w:rsidRPr="00174E38">
        <w:rPr>
          <w:rFonts w:ascii="Times New Roman" w:hAnsi="Times New Roman"/>
          <w:sz w:val="24"/>
          <w:szCs w:val="24"/>
        </w:rPr>
        <w:t>he went into his room, denied knowing the person, and refused to answer the</w:t>
      </w:r>
      <w:r>
        <w:rPr>
          <w:rFonts w:ascii="Times New Roman" w:hAnsi="Times New Roman"/>
          <w:sz w:val="24"/>
          <w:szCs w:val="24"/>
        </w:rPr>
        <w:t xml:space="preserve"> </w:t>
      </w:r>
      <w:r w:rsidRPr="00174E38">
        <w:rPr>
          <w:rFonts w:ascii="Times New Roman" w:hAnsi="Times New Roman"/>
          <w:sz w:val="24"/>
          <w:szCs w:val="24"/>
        </w:rPr>
        <w:t>paramedic’s questions about the person. He was not in custody, and beyond</w:t>
      </w:r>
      <w:r>
        <w:rPr>
          <w:rFonts w:ascii="Times New Roman" w:hAnsi="Times New Roman"/>
          <w:sz w:val="24"/>
          <w:szCs w:val="24"/>
        </w:rPr>
        <w:t xml:space="preserve"> </w:t>
      </w:r>
      <w:r w:rsidRPr="00174E38">
        <w:rPr>
          <w:rFonts w:ascii="Times New Roman" w:hAnsi="Times New Roman"/>
          <w:sz w:val="24"/>
          <w:szCs w:val="24"/>
        </w:rPr>
        <w:t>remaining silent, Tripp did not expressly state nor otherwise manifest his</w:t>
      </w:r>
      <w:r>
        <w:rPr>
          <w:rFonts w:ascii="Times New Roman" w:hAnsi="Times New Roman"/>
          <w:sz w:val="24"/>
          <w:szCs w:val="24"/>
        </w:rPr>
        <w:t xml:space="preserve"> </w:t>
      </w:r>
      <w:r w:rsidRPr="009D716B">
        <w:rPr>
          <w:rFonts w:ascii="Times New Roman" w:hAnsi="Times New Roman"/>
          <w:sz w:val="24"/>
          <w:szCs w:val="24"/>
        </w:rPr>
        <w:t>intention to exercise the constitutional right against self-incrimination. These</w:t>
      </w:r>
      <w:r>
        <w:rPr>
          <w:rFonts w:ascii="Times New Roman" w:hAnsi="Times New Roman"/>
          <w:sz w:val="24"/>
          <w:szCs w:val="24"/>
        </w:rPr>
        <w:t xml:space="preserve"> </w:t>
      </w:r>
      <w:r w:rsidRPr="009D716B">
        <w:rPr>
          <w:rFonts w:ascii="Times New Roman" w:hAnsi="Times New Roman"/>
          <w:sz w:val="24"/>
          <w:szCs w:val="24"/>
        </w:rPr>
        <w:t>facts are not sufficient to demonstrate Tripp’s invocation of his Fifth</w:t>
      </w:r>
      <w:r>
        <w:rPr>
          <w:rFonts w:ascii="Times New Roman" w:hAnsi="Times New Roman"/>
          <w:sz w:val="24"/>
          <w:szCs w:val="24"/>
        </w:rPr>
        <w:t xml:space="preserve"> </w:t>
      </w:r>
      <w:r w:rsidRPr="009D716B">
        <w:rPr>
          <w:rFonts w:ascii="Times New Roman" w:hAnsi="Times New Roman"/>
          <w:sz w:val="24"/>
          <w:szCs w:val="24"/>
        </w:rPr>
        <w:t>Amendment right against self-incrimination.</w:t>
      </w:r>
      <w:r>
        <w:rPr>
          <w:rFonts w:ascii="Times New Roman" w:hAnsi="Times New Roman"/>
          <w:sz w:val="24"/>
          <w:szCs w:val="24"/>
        </w:rPr>
        <w:t xml:space="preserve">” </w:t>
      </w:r>
      <w:hyperlink r:id="rId2052" w:history="1">
        <w:r w:rsidRPr="00D10854">
          <w:rPr>
            <w:rStyle w:val="Hyperlink"/>
            <w:rFonts w:ascii="Times New Roman" w:hAnsi="Times New Roman"/>
            <w:sz w:val="24"/>
            <w:szCs w:val="24"/>
          </w:rPr>
          <w:t>https://www.courts.maine.gov/courts/sjc/lawcourt/2024/24me012.pdf</w:t>
        </w:r>
      </w:hyperlink>
      <w:r>
        <w:rPr>
          <w:rFonts w:ascii="Times New Roman" w:hAnsi="Times New Roman"/>
          <w:sz w:val="24"/>
          <w:szCs w:val="24"/>
        </w:rPr>
        <w:t xml:space="preserve"> </w:t>
      </w:r>
    </w:p>
    <w:p w14:paraId="18A50EE0" w14:textId="77777777" w:rsidR="00741889" w:rsidRDefault="00741889" w:rsidP="006A02A4">
      <w:pPr>
        <w:rPr>
          <w:rFonts w:ascii="Arial Black" w:hAnsi="Arial Black"/>
          <w:b/>
          <w:bCs/>
          <w:sz w:val="28"/>
          <w:szCs w:val="28"/>
        </w:rPr>
      </w:pPr>
    </w:p>
    <w:p w14:paraId="7E5707F3" w14:textId="77777777" w:rsidR="003E7DB8" w:rsidRDefault="003E7DB8" w:rsidP="003E7DB8">
      <w:pPr>
        <w:pStyle w:val="NoSpacing"/>
        <w:rPr>
          <w:rFonts w:ascii="Times New Roman" w:hAnsi="Times New Roman"/>
          <w:b/>
          <w:bCs/>
          <w:sz w:val="24"/>
          <w:szCs w:val="24"/>
        </w:rPr>
      </w:pPr>
      <w:r w:rsidRPr="006D521E">
        <w:rPr>
          <w:rFonts w:ascii="Times New Roman" w:hAnsi="Times New Roman"/>
          <w:b/>
          <w:bCs/>
          <w:sz w:val="24"/>
          <w:szCs w:val="24"/>
        </w:rPr>
        <w:t xml:space="preserve">Legal Lesson Learned: </w:t>
      </w:r>
      <w:r>
        <w:rPr>
          <w:rFonts w:ascii="Times New Roman" w:hAnsi="Times New Roman"/>
          <w:b/>
          <w:bCs/>
          <w:sz w:val="24"/>
          <w:szCs w:val="24"/>
        </w:rPr>
        <w:t xml:space="preserve">The defendant was not in custody, so there was no need to warn him of his Miranda rights. </w:t>
      </w:r>
    </w:p>
    <w:p w14:paraId="6BD8F780" w14:textId="77777777" w:rsidR="003E7DB8" w:rsidRDefault="003E7DB8" w:rsidP="003E7DB8">
      <w:pPr>
        <w:pStyle w:val="NoSpacing"/>
        <w:rPr>
          <w:rFonts w:ascii="Times New Roman" w:hAnsi="Times New Roman"/>
          <w:b/>
          <w:bCs/>
          <w:sz w:val="24"/>
          <w:szCs w:val="24"/>
        </w:rPr>
      </w:pPr>
    </w:p>
    <w:p w14:paraId="7D9BDE03" w14:textId="77777777" w:rsidR="003E7DB8" w:rsidRDefault="003E7DB8" w:rsidP="003E7DB8">
      <w:pPr>
        <w:pStyle w:val="NoSpacing"/>
        <w:ind w:left="720"/>
        <w:rPr>
          <w:rFonts w:ascii="Times New Roman" w:hAnsi="Times New Roman"/>
          <w:sz w:val="24"/>
          <w:szCs w:val="24"/>
        </w:rPr>
      </w:pPr>
      <w:r w:rsidRPr="005134A8">
        <w:rPr>
          <w:rFonts w:ascii="Times New Roman" w:hAnsi="Times New Roman"/>
          <w:sz w:val="24"/>
          <w:szCs w:val="24"/>
        </w:rPr>
        <w:t xml:space="preserve">Note: </w:t>
      </w:r>
      <w:r>
        <w:rPr>
          <w:rFonts w:ascii="Times New Roman" w:hAnsi="Times New Roman"/>
          <w:sz w:val="24"/>
          <w:szCs w:val="24"/>
        </w:rPr>
        <w:t xml:space="preserve">Many states, including Maine, have adopted laws to protect individual using drugs to call 911 to get help for overdose of another.  The Maine Supreme Court in this case agreed with trial court judge – the immunity statute does not protect a drug dealer who calls 911. </w:t>
      </w:r>
    </w:p>
    <w:p w14:paraId="5FA10450" w14:textId="77777777" w:rsidR="003E7DB8" w:rsidRDefault="003E7DB8" w:rsidP="003E7DB8">
      <w:pPr>
        <w:pStyle w:val="NoSpacing"/>
        <w:ind w:left="720"/>
        <w:rPr>
          <w:rFonts w:ascii="Times New Roman" w:hAnsi="Times New Roman"/>
          <w:sz w:val="24"/>
          <w:szCs w:val="24"/>
        </w:rPr>
      </w:pPr>
    </w:p>
    <w:p w14:paraId="3F2F4834" w14:textId="77777777" w:rsidR="003E7DB8" w:rsidRPr="005134A8" w:rsidRDefault="003E7DB8" w:rsidP="003E7DB8">
      <w:pPr>
        <w:pStyle w:val="NoSpacing"/>
        <w:ind w:left="720"/>
        <w:rPr>
          <w:rFonts w:ascii="Times New Roman" w:hAnsi="Times New Roman"/>
          <w:sz w:val="24"/>
          <w:szCs w:val="24"/>
        </w:rPr>
      </w:pPr>
      <w:r>
        <w:rPr>
          <w:rFonts w:ascii="Times New Roman" w:hAnsi="Times New Roman"/>
          <w:sz w:val="24"/>
          <w:szCs w:val="24"/>
        </w:rPr>
        <w:t>“</w:t>
      </w:r>
      <w:r w:rsidRPr="004C6F13">
        <w:rPr>
          <w:rFonts w:ascii="Times New Roman" w:hAnsi="Times New Roman"/>
          <w:sz w:val="24"/>
          <w:szCs w:val="24"/>
        </w:rPr>
        <w:t>If the accused, in good faith, either sought</w:t>
      </w:r>
      <w:r>
        <w:rPr>
          <w:rFonts w:ascii="Times New Roman" w:hAnsi="Times New Roman"/>
          <w:sz w:val="24"/>
          <w:szCs w:val="24"/>
        </w:rPr>
        <w:t xml:space="preserve"> </w:t>
      </w:r>
      <w:r w:rsidRPr="004C6F13">
        <w:rPr>
          <w:rFonts w:ascii="Times New Roman" w:hAnsi="Times New Roman"/>
          <w:sz w:val="24"/>
          <w:szCs w:val="24"/>
        </w:rPr>
        <w:t>medical assistance or administered naloxone for another person while that</w:t>
      </w:r>
      <w:r>
        <w:rPr>
          <w:rFonts w:ascii="Times New Roman" w:hAnsi="Times New Roman"/>
          <w:sz w:val="24"/>
          <w:szCs w:val="24"/>
        </w:rPr>
        <w:t xml:space="preserve"> </w:t>
      </w:r>
      <w:r w:rsidRPr="004C6F13">
        <w:rPr>
          <w:rFonts w:ascii="Times New Roman" w:hAnsi="Times New Roman"/>
          <w:sz w:val="24"/>
          <w:szCs w:val="24"/>
        </w:rPr>
        <w:t>person was experiencing a drug-related overdose, the accused can seek</w:t>
      </w:r>
      <w:r>
        <w:rPr>
          <w:rFonts w:ascii="Times New Roman" w:hAnsi="Times New Roman"/>
          <w:sz w:val="24"/>
          <w:szCs w:val="24"/>
        </w:rPr>
        <w:t xml:space="preserve"> </w:t>
      </w:r>
      <w:r w:rsidRPr="004C6F13">
        <w:rPr>
          <w:rFonts w:ascii="Times New Roman" w:hAnsi="Times New Roman"/>
          <w:sz w:val="24"/>
          <w:szCs w:val="24"/>
        </w:rPr>
        <w:t xml:space="preserve">immunity from </w:t>
      </w:r>
      <w:r w:rsidRPr="004C6F13">
        <w:rPr>
          <w:rFonts w:ascii="Times New Roman" w:hAnsi="Times New Roman"/>
          <w:sz w:val="24"/>
          <w:szCs w:val="24"/>
        </w:rPr>
        <w:lastRenderedPageBreak/>
        <w:t>arrest or prosecution only for the four enumerated crimes within</w:t>
      </w:r>
      <w:r>
        <w:rPr>
          <w:rFonts w:ascii="Times New Roman" w:hAnsi="Times New Roman"/>
          <w:sz w:val="24"/>
          <w:szCs w:val="24"/>
        </w:rPr>
        <w:t xml:space="preserve"> </w:t>
      </w:r>
      <w:r w:rsidRPr="004C6F13">
        <w:rPr>
          <w:rFonts w:ascii="Times New Roman" w:hAnsi="Times New Roman"/>
          <w:sz w:val="24"/>
          <w:szCs w:val="24"/>
        </w:rPr>
        <w:t>the statute.</w:t>
      </w:r>
      <w:r>
        <w:rPr>
          <w:rFonts w:ascii="Times New Roman" w:hAnsi="Times New Roman"/>
          <w:sz w:val="24"/>
          <w:szCs w:val="24"/>
        </w:rPr>
        <w:t xml:space="preserve"> </w:t>
      </w:r>
      <w:r w:rsidRPr="006F3039">
        <w:rPr>
          <w:rFonts w:ascii="Times New Roman" w:hAnsi="Times New Roman"/>
          <w:sz w:val="24"/>
          <w:szCs w:val="24"/>
        </w:rPr>
        <w:t>Our conclusion is further supported by considering the statute in</w:t>
      </w:r>
      <w:r>
        <w:rPr>
          <w:rFonts w:ascii="Times New Roman" w:hAnsi="Times New Roman"/>
          <w:sz w:val="24"/>
          <w:szCs w:val="24"/>
        </w:rPr>
        <w:t xml:space="preserve"> </w:t>
      </w:r>
      <w:r w:rsidRPr="006F3039">
        <w:rPr>
          <w:rFonts w:ascii="Times New Roman" w:hAnsi="Times New Roman"/>
          <w:sz w:val="24"/>
          <w:szCs w:val="24"/>
        </w:rPr>
        <w:t>the context of the statutory scheme of Chapter 45 (Drugs), which demonstrates</w:t>
      </w:r>
      <w:r>
        <w:rPr>
          <w:rFonts w:ascii="Times New Roman" w:hAnsi="Times New Roman"/>
          <w:sz w:val="24"/>
          <w:szCs w:val="24"/>
        </w:rPr>
        <w:t xml:space="preserve"> </w:t>
      </w:r>
      <w:r w:rsidRPr="006F3039">
        <w:rPr>
          <w:rFonts w:ascii="Times New Roman" w:hAnsi="Times New Roman"/>
          <w:sz w:val="24"/>
          <w:szCs w:val="24"/>
        </w:rPr>
        <w:t>that the Legislature intended to bar prosecution for crimes that are associated</w:t>
      </w:r>
      <w:r>
        <w:rPr>
          <w:rFonts w:ascii="Times New Roman" w:hAnsi="Times New Roman"/>
          <w:sz w:val="24"/>
          <w:szCs w:val="24"/>
        </w:rPr>
        <w:t xml:space="preserve"> </w:t>
      </w:r>
      <w:r w:rsidRPr="006F3039">
        <w:rPr>
          <w:rFonts w:ascii="Times New Roman" w:hAnsi="Times New Roman"/>
          <w:sz w:val="24"/>
          <w:szCs w:val="24"/>
        </w:rPr>
        <w:t>with drug use while still permitting prosecution for crimes that involve</w:t>
      </w:r>
      <w:r>
        <w:rPr>
          <w:rFonts w:ascii="Times New Roman" w:hAnsi="Times New Roman"/>
          <w:sz w:val="24"/>
          <w:szCs w:val="24"/>
        </w:rPr>
        <w:t xml:space="preserve"> </w:t>
      </w:r>
      <w:r w:rsidRPr="006F3039">
        <w:rPr>
          <w:rFonts w:ascii="Times New Roman" w:hAnsi="Times New Roman"/>
          <w:sz w:val="24"/>
          <w:szCs w:val="24"/>
        </w:rPr>
        <w:t>trafficking, furnishing, cultivating or fabricating, or importing drugs.</w:t>
      </w:r>
      <w:r>
        <w:rPr>
          <w:rFonts w:ascii="Times New Roman" w:hAnsi="Times New Roman"/>
          <w:sz w:val="24"/>
          <w:szCs w:val="24"/>
        </w:rPr>
        <w:t>”</w:t>
      </w:r>
    </w:p>
    <w:p w14:paraId="13F1D640" w14:textId="77777777" w:rsidR="003E7DB8" w:rsidRDefault="003E7DB8" w:rsidP="003E7DB8">
      <w:pPr>
        <w:spacing w:before="100" w:beforeAutospacing="1" w:after="100" w:afterAutospacing="1" w:line="240" w:lineRule="auto"/>
        <w:outlineLvl w:val="0"/>
        <w:rPr>
          <w:rFonts w:ascii="Times New Roman" w:eastAsia="Times New Roman" w:hAnsi="Times New Roman"/>
          <w:kern w:val="36"/>
          <w:sz w:val="24"/>
          <w:szCs w:val="24"/>
        </w:rPr>
      </w:pPr>
    </w:p>
    <w:p w14:paraId="2C9229B6" w14:textId="77777777" w:rsidR="003E7DB8" w:rsidRDefault="003E7DB8" w:rsidP="006A02A4">
      <w:pPr>
        <w:rPr>
          <w:rFonts w:ascii="Arial Black" w:hAnsi="Arial Black"/>
          <w:b/>
          <w:bCs/>
          <w:sz w:val="28"/>
          <w:szCs w:val="28"/>
        </w:rPr>
      </w:pPr>
    </w:p>
    <w:p w14:paraId="000FFCC5" w14:textId="77777777" w:rsidR="00741889" w:rsidRDefault="00741889" w:rsidP="006A02A4">
      <w:pPr>
        <w:rPr>
          <w:rFonts w:ascii="Arial Black" w:hAnsi="Arial Black"/>
          <w:b/>
          <w:bCs/>
          <w:sz w:val="28"/>
          <w:szCs w:val="28"/>
        </w:rPr>
      </w:pPr>
    </w:p>
    <w:p w14:paraId="1B7D8B2E" w14:textId="730ACAB8" w:rsidR="00336B00" w:rsidRDefault="00336B00" w:rsidP="006A02A4">
      <w:pPr>
        <w:rPr>
          <w:rFonts w:ascii="Arial Black" w:hAnsi="Arial Black"/>
          <w:b/>
          <w:bCs/>
          <w:sz w:val="28"/>
          <w:szCs w:val="28"/>
        </w:rPr>
      </w:pPr>
      <w:r>
        <w:rPr>
          <w:rFonts w:ascii="Arial Black" w:hAnsi="Arial Black"/>
          <w:b/>
          <w:bCs/>
          <w:sz w:val="28"/>
          <w:szCs w:val="28"/>
        </w:rPr>
        <w:t>13-167</w:t>
      </w:r>
    </w:p>
    <w:p w14:paraId="38C14EDF" w14:textId="77777777" w:rsidR="00563D38" w:rsidRDefault="00563D38" w:rsidP="00563D38">
      <w:pPr>
        <w:pStyle w:val="NormalWeb"/>
        <w:rPr>
          <w:rFonts w:ascii="Arial Black" w:hAnsi="Arial Black"/>
          <w:sz w:val="28"/>
          <w:szCs w:val="28"/>
        </w:rPr>
      </w:pPr>
      <w:r>
        <w:rPr>
          <w:rFonts w:ascii="Arial Black" w:hAnsi="Arial Black"/>
          <w:sz w:val="28"/>
          <w:szCs w:val="28"/>
        </w:rPr>
        <w:t>WA: COVID-19 – VACCINATIONS - 46 OF 192 FF REQUESTED RELIGIOUS ACCOMODATIONS – UNDUE HARDSHIP FOR FD</w:t>
      </w:r>
    </w:p>
    <w:p w14:paraId="6AFB9C7F" w14:textId="2EF868E4" w:rsidR="00563D38" w:rsidRPr="00563D38" w:rsidRDefault="00563D38" w:rsidP="00563D38">
      <w:pPr>
        <w:rPr>
          <w:rStyle w:val="Emphasis"/>
          <w:rFonts w:ascii="Times New Roman" w:hAnsi="Times New Roman"/>
          <w:i w:val="0"/>
          <w:iCs w:val="0"/>
          <w:sz w:val="24"/>
          <w:szCs w:val="24"/>
        </w:rPr>
      </w:pPr>
      <w:r w:rsidRPr="00563D38">
        <w:rPr>
          <w:rFonts w:ascii="Times New Roman" w:hAnsi="Times New Roman"/>
          <w:sz w:val="24"/>
          <w:szCs w:val="24"/>
        </w:rPr>
        <w:t>On Jan. 25, 20</w:t>
      </w:r>
      <w:r w:rsidR="00781D35">
        <w:rPr>
          <w:rFonts w:ascii="Times New Roman" w:hAnsi="Times New Roman"/>
          <w:sz w:val="24"/>
          <w:szCs w:val="24"/>
        </w:rPr>
        <w:t>2</w:t>
      </w:r>
      <w:r w:rsidRPr="00563D38">
        <w:rPr>
          <w:rFonts w:ascii="Times New Roman" w:hAnsi="Times New Roman"/>
          <w:sz w:val="24"/>
          <w:szCs w:val="24"/>
        </w:rPr>
        <w:t xml:space="preserve">4, in </w:t>
      </w:r>
      <w:r w:rsidRPr="00563D38">
        <w:rPr>
          <w:rFonts w:ascii="Times New Roman" w:hAnsi="Times New Roman"/>
          <w:sz w:val="24"/>
          <w:szCs w:val="24"/>
          <w:u w:val="single"/>
        </w:rPr>
        <w:t>David Petersen, et al. v. Snohomish Regional Fire &amp; Rescue, et al.</w:t>
      </w:r>
      <w:r w:rsidRPr="00563D38">
        <w:rPr>
          <w:rFonts w:ascii="Times New Roman" w:hAnsi="Times New Roman"/>
          <w:sz w:val="24"/>
          <w:szCs w:val="24"/>
        </w:rPr>
        <w:t xml:space="preserve">, U.S. District Court Judge Thomas S. Zilly, U.S. District Court, Western District of Washington (Seattle) granted the FD’s motion for summary judgment.  </w:t>
      </w:r>
      <w:r w:rsidRPr="00563D38">
        <w:rPr>
          <w:rStyle w:val="Emphasis"/>
          <w:rFonts w:ascii="Times New Roman" w:hAnsi="Times New Roman"/>
          <w:i w:val="0"/>
          <w:iCs w:val="0"/>
          <w:sz w:val="24"/>
          <w:szCs w:val="24"/>
        </w:rPr>
        <w:t xml:space="preserve">Employers do not need to accommodate an employee if this would create an undue hardship – with 11 stations and 192 firefighters providing fire &amp; EMS services, the FD could not safely place 46 unvaccinated firefighters in these stations. </w:t>
      </w:r>
    </w:p>
    <w:p w14:paraId="51AFAC05" w14:textId="77777777" w:rsidR="00563D38" w:rsidRPr="00563D38" w:rsidRDefault="00563D38" w:rsidP="00563D38">
      <w:pPr>
        <w:pStyle w:val="NormalWeb"/>
        <w:ind w:left="720"/>
      </w:pPr>
      <w:r w:rsidRPr="00563D38">
        <w:t>“Plaintiffs argue that masking, PPE, testing, and social distancing are accommodations that would have allowed them to continue working from October 18, 2021, to the end of April 2022, without imposing an undue hardship on Snohomish Fire. Snohomish Fire counters that allowing Plaintiffs to work while unvaccinated would have been an undue hardship even with masking, testing, PPE, and social distancing measures in place.</w:t>
      </w:r>
    </w:p>
    <w:p w14:paraId="5B672DA2" w14:textId="77777777" w:rsidR="00563D38" w:rsidRPr="00563D38" w:rsidRDefault="00563D38" w:rsidP="00563D38">
      <w:pPr>
        <w:pStyle w:val="NormalWeb"/>
        <w:ind w:left="720"/>
      </w:pPr>
      <w:r w:rsidRPr="00563D38">
        <w:t>***</w:t>
      </w:r>
    </w:p>
    <w:p w14:paraId="27DE9C1B" w14:textId="204E7652" w:rsidR="00336B00" w:rsidRPr="00563D38" w:rsidRDefault="00563D38" w:rsidP="00563D38">
      <w:pPr>
        <w:rPr>
          <w:rFonts w:ascii="Times New Roman" w:hAnsi="Times New Roman"/>
          <w:b/>
          <w:bCs/>
          <w:sz w:val="24"/>
          <w:szCs w:val="24"/>
        </w:rPr>
      </w:pPr>
      <w:r w:rsidRPr="00563D38">
        <w:rPr>
          <w:rFonts w:ascii="Times New Roman" w:hAnsi="Times New Roman"/>
          <w:sz w:val="24"/>
          <w:szCs w:val="24"/>
        </w:rPr>
        <w:t xml:space="preserve">In sum, the uncontroverted evidence in this case demonstrates that unvaccinated firefighters were at a higher risk of contracting and transmitting COVID-19 even with the use of masks, PPE, testing, and social distancing. </w:t>
      </w:r>
      <w:r w:rsidRPr="00563D38">
        <w:rPr>
          <w:rStyle w:val="Emphasis"/>
          <w:rFonts w:ascii="Times New Roman" w:hAnsi="Times New Roman"/>
          <w:sz w:val="24"/>
          <w:szCs w:val="24"/>
        </w:rPr>
        <w:t>See</w:t>
      </w:r>
      <w:r w:rsidRPr="00563D38">
        <w:rPr>
          <w:rFonts w:ascii="Times New Roman" w:hAnsi="Times New Roman"/>
          <w:sz w:val="24"/>
          <w:szCs w:val="24"/>
        </w:rPr>
        <w:t xml:space="preserve"> Lynch Decl. at ¶¶ 41, 44. Snohomish Fire informed Plaintiffs it could not accommodate their vaccination exemption requests because of the increased health risks of working as unvaccinated firefighters.” </w:t>
      </w:r>
      <w:hyperlink r:id="rId2053" w:history="1">
        <w:r w:rsidRPr="00563D38">
          <w:rPr>
            <w:rStyle w:val="Hyperlink"/>
            <w:rFonts w:ascii="Times New Roman" w:hAnsi="Times New Roman"/>
            <w:sz w:val="24"/>
            <w:szCs w:val="24"/>
          </w:rPr>
          <w:t>https://public.fastcase.com/ZZhmr5v9wN%2FXOe5IsQ%2FqDx0vrICWCRjPwrPkFejRzcL5IKaE8Rtd1E1QUMzNRkuXg4QLEVUEQQe1JZ8q921vtt1B6ovVwHeC3EtpH3EMOZQ%3D?utm_medium=email&amp;_hsmi=226712652&amp;_hsenc=p2ANqtz-</w:t>
        </w:r>
      </w:hyperlink>
    </w:p>
    <w:p w14:paraId="589F284F" w14:textId="77777777" w:rsidR="00336B00" w:rsidRDefault="00336B00" w:rsidP="006A02A4">
      <w:pPr>
        <w:rPr>
          <w:rFonts w:ascii="Arial Black" w:hAnsi="Arial Black"/>
          <w:b/>
          <w:bCs/>
          <w:sz w:val="28"/>
          <w:szCs w:val="28"/>
        </w:rPr>
      </w:pPr>
    </w:p>
    <w:p w14:paraId="0BD59D39" w14:textId="3A51365C" w:rsidR="00FC76E4" w:rsidRDefault="009F41E7" w:rsidP="006A02A4">
      <w:pPr>
        <w:rPr>
          <w:rFonts w:ascii="Arial Black" w:hAnsi="Arial Black"/>
          <w:b/>
          <w:bCs/>
          <w:sz w:val="28"/>
          <w:szCs w:val="28"/>
        </w:rPr>
      </w:pPr>
      <w:r>
        <w:rPr>
          <w:rFonts w:ascii="Arial Black" w:hAnsi="Arial Black"/>
          <w:b/>
          <w:bCs/>
          <w:sz w:val="28"/>
          <w:szCs w:val="28"/>
        </w:rPr>
        <w:t>13-166</w:t>
      </w:r>
    </w:p>
    <w:p w14:paraId="6CEC6990" w14:textId="77777777" w:rsidR="00FA2662" w:rsidRDefault="00FA2662" w:rsidP="00FA2662">
      <w:pPr>
        <w:pStyle w:val="NormalWeb"/>
        <w:rPr>
          <w:rFonts w:ascii="Arial Black" w:hAnsi="Arial Black"/>
          <w:b/>
          <w:bCs/>
          <w:sz w:val="28"/>
          <w:szCs w:val="28"/>
        </w:rPr>
      </w:pPr>
      <w:r>
        <w:rPr>
          <w:rFonts w:ascii="Arial Black" w:hAnsi="Arial Black"/>
          <w:b/>
          <w:bCs/>
          <w:sz w:val="28"/>
          <w:szCs w:val="28"/>
        </w:rPr>
        <w:t>NY: COVID-19 – FDNY - REQUEST RELIGIOUS ACCOMODATION - DENIED, HE RETIRED – CASE DISMISSED</w:t>
      </w:r>
    </w:p>
    <w:p w14:paraId="449AAAFB" w14:textId="77777777" w:rsidR="00FA2662" w:rsidRDefault="00FA2662" w:rsidP="00FA2662">
      <w:pPr>
        <w:pStyle w:val="NormalWeb"/>
      </w:pPr>
      <w:r w:rsidRPr="00CB5FAD">
        <w:lastRenderedPageBreak/>
        <w:t>On</w:t>
      </w:r>
      <w:r>
        <w:t xml:space="preserve"> Jan. 9, 2024, in </w:t>
      </w:r>
      <w:r w:rsidRPr="00EE2924">
        <w:rPr>
          <w:u w:val="single"/>
        </w:rPr>
        <w:t>Michael Currid v. The City of New York, et al</w:t>
      </w:r>
      <w:r>
        <w:t xml:space="preserve">., Judge Gina Abadi, New York Supreme Court, Kings County, granted the City’s motion to dismiss (unpublished decision).  The plaintiff served with the FDNY from about 1998 through April 19, 2022. On or around October 27. 2021, following the issuance of the COVID-19 vaccine mandate for City employees, plaintiff applied for a religious accommodation, which was denied by the FD </w:t>
      </w:r>
      <w:r w:rsidRPr="00941E84">
        <w:t>(January 6, 2022)</w:t>
      </w:r>
      <w:r>
        <w:rPr>
          <w:b/>
          <w:bCs/>
        </w:rPr>
        <w:t xml:space="preserve"> </w:t>
      </w:r>
      <w:r>
        <w:t xml:space="preserve">and his appeal to the City was also denied (March 17, 2022). The Court rejected his claim that he was “constructively discharged” because of intolerable working conditions. </w:t>
      </w:r>
    </w:p>
    <w:p w14:paraId="7C9E27C9" w14:textId="77777777" w:rsidR="00FA2662" w:rsidRPr="00C72E80" w:rsidRDefault="00FA2662" w:rsidP="00FA2662">
      <w:pPr>
        <w:pStyle w:val="NoSpacing"/>
        <w:ind w:left="720"/>
        <w:rPr>
          <w:rFonts w:ascii="Times New Roman" w:hAnsi="Times New Roman"/>
          <w:sz w:val="24"/>
          <w:szCs w:val="24"/>
        </w:rPr>
      </w:pPr>
      <w:r>
        <w:rPr>
          <w:rFonts w:ascii="Times New Roman" w:hAnsi="Times New Roman"/>
          <w:sz w:val="24"/>
          <w:szCs w:val="24"/>
        </w:rPr>
        <w:t>“</w:t>
      </w:r>
      <w:r w:rsidRPr="00C72E80">
        <w:rPr>
          <w:rFonts w:ascii="Times New Roman" w:hAnsi="Times New Roman"/>
          <w:sz w:val="24"/>
          <w:szCs w:val="24"/>
        </w:rPr>
        <w:t xml:space="preserve">In his verified complaint, plaintiff does not set factual allegations regarding a conflict between the vaccine mandate and his bona fide religious beliefs. Further, while plaintiff alleges that he was threatened with termination in the event he failed to receive the vaccine, there is no allegation that plaintiff was </w:t>
      </w:r>
      <w:proofErr w:type="gramStart"/>
      <w:r w:rsidRPr="00C72E80">
        <w:rPr>
          <w:rFonts w:ascii="Times New Roman" w:hAnsi="Times New Roman"/>
          <w:sz w:val="24"/>
          <w:szCs w:val="24"/>
        </w:rPr>
        <w:t>actually terminated</w:t>
      </w:r>
      <w:proofErr w:type="gramEnd"/>
      <w:r w:rsidRPr="00C72E80">
        <w:rPr>
          <w:rFonts w:ascii="Times New Roman" w:hAnsi="Times New Roman"/>
          <w:sz w:val="24"/>
          <w:szCs w:val="24"/>
        </w:rPr>
        <w:t xml:space="preserve"> or otherwise disciplined. Rather, it is not in dispute that plaintiff retired from service. </w:t>
      </w:r>
      <w:proofErr w:type="gramStart"/>
      <w:r w:rsidRPr="00C72E80">
        <w:rPr>
          <w:rFonts w:ascii="Times New Roman" w:hAnsi="Times New Roman"/>
          <w:sz w:val="24"/>
          <w:szCs w:val="24"/>
        </w:rPr>
        <w:t>Plaintiffs</w:t>
      </w:r>
      <w:proofErr w:type="gramEnd"/>
      <w:r w:rsidRPr="00C72E80">
        <w:rPr>
          <w:rFonts w:ascii="Times New Roman" w:hAnsi="Times New Roman"/>
          <w:sz w:val="24"/>
          <w:szCs w:val="24"/>
        </w:rPr>
        <w:t xml:space="preserve"> contention that his retirement amounts to a </w:t>
      </w:r>
      <w:r>
        <w:rPr>
          <w:rFonts w:ascii="Times New Roman" w:hAnsi="Times New Roman"/>
          <w:sz w:val="24"/>
          <w:szCs w:val="24"/>
        </w:rPr>
        <w:t>c</w:t>
      </w:r>
      <w:r w:rsidRPr="00C72E80">
        <w:rPr>
          <w:rFonts w:ascii="Times New Roman" w:hAnsi="Times New Roman"/>
          <w:sz w:val="24"/>
          <w:szCs w:val="24"/>
        </w:rPr>
        <w:t xml:space="preserve">onstructive discharge or termination </w:t>
      </w:r>
      <w:proofErr w:type="gramStart"/>
      <w:r w:rsidRPr="00C72E80">
        <w:rPr>
          <w:rFonts w:ascii="Times New Roman" w:hAnsi="Times New Roman"/>
          <w:sz w:val="24"/>
          <w:szCs w:val="24"/>
        </w:rPr>
        <w:t>is</w:t>
      </w:r>
      <w:proofErr w:type="gramEnd"/>
      <w:r w:rsidRPr="00C72E80">
        <w:rPr>
          <w:rFonts w:ascii="Times New Roman" w:hAnsi="Times New Roman"/>
          <w:sz w:val="24"/>
          <w:szCs w:val="24"/>
        </w:rPr>
        <w:t xml:space="preserve"> unavailing since plaintiff does not allege facts showing that the FDNY </w:t>
      </w:r>
      <w:r>
        <w:rPr>
          <w:rFonts w:ascii="Times New Roman" w:hAnsi="Times New Roman"/>
          <w:sz w:val="24"/>
          <w:szCs w:val="24"/>
        </w:rPr>
        <w:t>‘</w:t>
      </w:r>
      <w:r w:rsidRPr="00C72E80">
        <w:rPr>
          <w:rFonts w:ascii="Times New Roman" w:hAnsi="Times New Roman"/>
          <w:sz w:val="24"/>
          <w:szCs w:val="24"/>
        </w:rPr>
        <w:t>deliberately created working conditions so intolerable, difficult or unpleasant that a reasonable person would have felt compelled to resign.</w:t>
      </w:r>
      <w:r>
        <w:rPr>
          <w:rFonts w:ascii="Times New Roman" w:hAnsi="Times New Roman"/>
          <w:sz w:val="24"/>
          <w:szCs w:val="24"/>
        </w:rPr>
        <w:t>’</w:t>
      </w:r>
      <w:r w:rsidRPr="00C72E80">
        <w:rPr>
          <w:rFonts w:ascii="Times New Roman" w:hAnsi="Times New Roman"/>
          <w:sz w:val="24"/>
          <w:szCs w:val="24"/>
        </w:rPr>
        <w:t xml:space="preserve"> </w:t>
      </w:r>
      <w:r w:rsidRPr="00C72E80">
        <w:rPr>
          <w:rStyle w:val="Emphasis"/>
          <w:sz w:val="24"/>
          <w:szCs w:val="24"/>
        </w:rPr>
        <w:t>Mascola v City Univ, of N.Y,</w:t>
      </w:r>
      <w:r w:rsidRPr="00C72E80">
        <w:rPr>
          <w:rFonts w:ascii="Times New Roman" w:hAnsi="Times New Roman"/>
          <w:sz w:val="24"/>
          <w:szCs w:val="24"/>
        </w:rPr>
        <w:t xml:space="preserve"> 14 A.D.3d 409, 410 (1st Dept 2010).</w:t>
      </w:r>
      <w:r>
        <w:rPr>
          <w:rFonts w:ascii="Times New Roman" w:hAnsi="Times New Roman"/>
          <w:sz w:val="24"/>
          <w:szCs w:val="24"/>
        </w:rPr>
        <w:t xml:space="preserve">” </w:t>
      </w:r>
      <w:hyperlink r:id="rId2054" w:history="1">
        <w:r w:rsidRPr="00665549">
          <w:rPr>
            <w:rStyle w:val="Hyperlink"/>
            <w:rFonts w:ascii="Times New Roman" w:hAnsi="Times New Roman"/>
            <w:sz w:val="24"/>
            <w:szCs w:val="24"/>
          </w:rPr>
          <w:t>https://casetext.com/case/currid-v-the-city-of-new-york</w:t>
        </w:r>
      </w:hyperlink>
      <w:r>
        <w:rPr>
          <w:rFonts w:ascii="Times New Roman" w:hAnsi="Times New Roman"/>
          <w:sz w:val="24"/>
          <w:szCs w:val="24"/>
        </w:rPr>
        <w:t xml:space="preserve"> </w:t>
      </w:r>
    </w:p>
    <w:p w14:paraId="37AEB9C2" w14:textId="77777777" w:rsidR="00295D7B" w:rsidRPr="005F3052" w:rsidRDefault="00295D7B" w:rsidP="00295D7B">
      <w:pPr>
        <w:pStyle w:val="Heading1"/>
        <w:rPr>
          <w:sz w:val="24"/>
          <w:szCs w:val="24"/>
        </w:rPr>
      </w:pPr>
      <w:r w:rsidRPr="005F3052">
        <w:rPr>
          <w:sz w:val="24"/>
          <w:szCs w:val="24"/>
        </w:rPr>
        <w:t xml:space="preserve">Legal Lesson Learned: FDNY set up a COVID-19 religious accommodation appeal process that was fair. </w:t>
      </w:r>
    </w:p>
    <w:p w14:paraId="2FE4D4F5" w14:textId="77777777" w:rsidR="009F41E7" w:rsidRDefault="009F41E7" w:rsidP="006A02A4">
      <w:pPr>
        <w:rPr>
          <w:rFonts w:ascii="Arial Black" w:hAnsi="Arial Black"/>
          <w:b/>
          <w:bCs/>
          <w:sz w:val="28"/>
          <w:szCs w:val="28"/>
        </w:rPr>
      </w:pPr>
    </w:p>
    <w:p w14:paraId="0CD16A42" w14:textId="77777777" w:rsidR="009F41E7" w:rsidRDefault="009F41E7" w:rsidP="006A02A4">
      <w:pPr>
        <w:rPr>
          <w:rFonts w:ascii="Arial Black" w:hAnsi="Arial Black"/>
          <w:b/>
          <w:bCs/>
          <w:sz w:val="28"/>
          <w:szCs w:val="28"/>
        </w:rPr>
      </w:pPr>
    </w:p>
    <w:p w14:paraId="107C3105" w14:textId="77777777" w:rsidR="009F41E7" w:rsidRDefault="009F41E7" w:rsidP="006A02A4">
      <w:pPr>
        <w:rPr>
          <w:rFonts w:ascii="Arial Black" w:hAnsi="Arial Black"/>
          <w:b/>
          <w:bCs/>
          <w:sz w:val="28"/>
          <w:szCs w:val="28"/>
        </w:rPr>
      </w:pPr>
    </w:p>
    <w:p w14:paraId="3BF403FF" w14:textId="3139286A" w:rsidR="00FC76E4" w:rsidRDefault="00FC76E4" w:rsidP="006A02A4">
      <w:pPr>
        <w:rPr>
          <w:rFonts w:ascii="Arial Black" w:hAnsi="Arial Black"/>
          <w:b/>
          <w:bCs/>
          <w:sz w:val="28"/>
          <w:szCs w:val="28"/>
        </w:rPr>
      </w:pPr>
      <w:r>
        <w:rPr>
          <w:rFonts w:ascii="Arial Black" w:hAnsi="Arial Black"/>
          <w:b/>
          <w:bCs/>
          <w:sz w:val="28"/>
          <w:szCs w:val="28"/>
        </w:rPr>
        <w:t>13-165</w:t>
      </w:r>
    </w:p>
    <w:p w14:paraId="5B9F5446" w14:textId="77777777" w:rsidR="00DB4BC6" w:rsidRPr="00AF3602" w:rsidRDefault="00DB4BC6" w:rsidP="00DB4BC6">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MA: EMT - BACKGROUND CHECK – HIRED, 1 YR. RESIGNED – NO ACTUAL DAMAGES - CAN SUE BACKGROUND CHECK CO. </w:t>
      </w:r>
    </w:p>
    <w:p w14:paraId="0A70FB57" w14:textId="77777777" w:rsidR="00DB4BC6" w:rsidRPr="004766E1" w:rsidRDefault="00DB4BC6" w:rsidP="00DB4BC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Jan. 8, 2024, in </w:t>
      </w:r>
      <w:r w:rsidRPr="00B71A45">
        <w:rPr>
          <w:rFonts w:ascii="Times New Roman" w:hAnsi="Times New Roman"/>
          <w:sz w:val="24"/>
          <w:szCs w:val="24"/>
          <w:u w:val="single"/>
        </w:rPr>
        <w:t xml:space="preserve">Nicole Kenn v. </w:t>
      </w:r>
      <w:proofErr w:type="spellStart"/>
      <w:r w:rsidRPr="00B71A45">
        <w:rPr>
          <w:rFonts w:ascii="Times New Roman" w:hAnsi="Times New Roman"/>
          <w:sz w:val="24"/>
          <w:szCs w:val="24"/>
          <w:u w:val="single"/>
        </w:rPr>
        <w:t>Eascare</w:t>
      </w:r>
      <w:proofErr w:type="spellEnd"/>
      <w:r w:rsidRPr="00B71A45">
        <w:rPr>
          <w:rFonts w:ascii="Times New Roman" w:hAnsi="Times New Roman"/>
          <w:sz w:val="24"/>
          <w:szCs w:val="24"/>
          <w:u w:val="single"/>
        </w:rPr>
        <w:t>, LLC</w:t>
      </w:r>
      <w:r>
        <w:rPr>
          <w:rFonts w:ascii="Times New Roman" w:hAnsi="Times New Roman"/>
          <w:sz w:val="24"/>
          <w:szCs w:val="24"/>
        </w:rPr>
        <w:t xml:space="preserve">., the Appeals Court of Massachusetts (Norfolk) held (3 to 0) that even if the EMT has not suffered any actual damages (she was hired as an EMT), she still has standing to sue the background check company in state court for nominal damages, between $100 and $100 under the federal </w:t>
      </w:r>
      <w:r w:rsidRPr="000B6CE8">
        <w:rPr>
          <w:rFonts w:ascii="Times New Roman" w:hAnsi="Times New Roman"/>
          <w:sz w:val="24"/>
          <w:szCs w:val="24"/>
        </w:rPr>
        <w:t>Fair Credit Reporting Act, 15 U.S.C. §§ 1681-1681w (FCRA)</w:t>
      </w:r>
      <w:r>
        <w:rPr>
          <w:rFonts w:ascii="Times New Roman" w:hAnsi="Times New Roman"/>
          <w:sz w:val="24"/>
          <w:szCs w:val="24"/>
        </w:rPr>
        <w:t>.  The EMT signed an authorization form entitled “</w:t>
      </w:r>
      <w:r w:rsidRPr="004766E1">
        <w:rPr>
          <w:rFonts w:ascii="Times New Roman" w:hAnsi="Times New Roman"/>
          <w:sz w:val="24"/>
          <w:szCs w:val="24"/>
        </w:rPr>
        <w:t>Consumer Report</w:t>
      </w:r>
      <w:r>
        <w:rPr>
          <w:rFonts w:ascii="Times New Roman" w:hAnsi="Times New Roman"/>
          <w:sz w:val="24"/>
          <w:szCs w:val="24"/>
        </w:rPr>
        <w:t xml:space="preserve"> </w:t>
      </w:r>
      <w:r w:rsidRPr="004766E1">
        <w:rPr>
          <w:rFonts w:ascii="Times New Roman" w:hAnsi="Times New Roman"/>
          <w:sz w:val="24"/>
          <w:szCs w:val="24"/>
        </w:rPr>
        <w:t>/</w:t>
      </w:r>
      <w:r>
        <w:rPr>
          <w:rFonts w:ascii="Times New Roman" w:hAnsi="Times New Roman"/>
          <w:sz w:val="24"/>
          <w:szCs w:val="24"/>
        </w:rPr>
        <w:t xml:space="preserve"> </w:t>
      </w:r>
      <w:r w:rsidRPr="004766E1">
        <w:rPr>
          <w:rFonts w:ascii="Times New Roman" w:hAnsi="Times New Roman"/>
          <w:sz w:val="24"/>
          <w:szCs w:val="24"/>
        </w:rPr>
        <w:t>Investigative Consumer Report Disclosure and Release of Information Authorization</w:t>
      </w:r>
      <w:proofErr w:type="gramStart"/>
      <w:r>
        <w:rPr>
          <w:rFonts w:ascii="Times New Roman" w:hAnsi="Times New Roman"/>
          <w:sz w:val="24"/>
          <w:szCs w:val="24"/>
        </w:rPr>
        <w:t>”</w:t>
      </w:r>
      <w:proofErr w:type="gramEnd"/>
      <w:r>
        <w:rPr>
          <w:rFonts w:ascii="Times New Roman" w:hAnsi="Times New Roman"/>
          <w:sz w:val="24"/>
          <w:szCs w:val="24"/>
        </w:rPr>
        <w:t xml:space="preserve"> but she is now claiming that in the form there was no clear listing that a consumer report was to be obtained. </w:t>
      </w:r>
    </w:p>
    <w:p w14:paraId="2B670063" w14:textId="77777777" w:rsidR="00DB4BC6" w:rsidRDefault="00DB4BC6" w:rsidP="00DB4BC6">
      <w:pPr>
        <w:pStyle w:val="NormalWeb"/>
        <w:ind w:left="720"/>
      </w:pPr>
      <w:r>
        <w:t xml:space="preserve">“Although the plaintiff may not be able to articulate concrete, actual damages arising from </w:t>
      </w:r>
      <w:proofErr w:type="spellStart"/>
      <w:r>
        <w:t>Eascare</w:t>
      </w:r>
      <w:proofErr w:type="spellEnd"/>
      <w:r>
        <w:t xml:space="preserve"> obtaining her consumer report by using a noncompliant disclosure form and requiring her to agree to a release of liability in addition to a background check, the FCRA liability provision recognizes that the injury to the consumer may not be measurable. Thus, in an action for a willful violation, the statute provides for the option of the plaintiff recovering actual </w:t>
      </w:r>
      <w:proofErr w:type="gramStart"/>
      <w:r>
        <w:t>damages</w:t>
      </w:r>
      <w:proofErr w:type="gramEnd"/>
      <w:r>
        <w:t xml:space="preserve"> caused by the FCRA violation or, if the plaintiff cannot prove actual damages, nominal damages between $100 and $1,000. See 15 U.S.C. § 1681n(a)(1)(A). In this regard, the plaintiff's allegation of </w:t>
      </w:r>
      <w:proofErr w:type="spellStart"/>
      <w:r>
        <w:t>Eascare's</w:t>
      </w:r>
      <w:proofErr w:type="spellEnd"/>
      <w:r>
        <w:t xml:space="preserve"> willfulness is critical, as the cause of action for a negligent violation, by contrast, does require a showing of actual damages. See 15 U.S.C. § 1681o(a)(1).” </w:t>
      </w:r>
    </w:p>
    <w:p w14:paraId="2986B041" w14:textId="77777777" w:rsidR="00DB4BC6" w:rsidRDefault="00DB4BC6" w:rsidP="00DB4BC6">
      <w:pPr>
        <w:pStyle w:val="NormalWeb"/>
        <w:ind w:firstLine="720"/>
      </w:pPr>
      <w:r>
        <w:t>***</w:t>
      </w:r>
    </w:p>
    <w:p w14:paraId="2F2482BC" w14:textId="77777777" w:rsidR="00DB4BC6" w:rsidRDefault="00DB4BC6" w:rsidP="00DB4BC6">
      <w:pPr>
        <w:pStyle w:val="NormalWeb"/>
        <w:ind w:left="720"/>
        <w:rPr>
          <w:vertAlign w:val="superscript"/>
        </w:rPr>
      </w:pPr>
      <w:r>
        <w:lastRenderedPageBreak/>
        <w:t xml:space="preserve">Here, the plaintiff has plausibly alleged liability </w:t>
      </w:r>
      <w:proofErr w:type="gramStart"/>
      <w:r>
        <w:t>of</w:t>
      </w:r>
      <w:proofErr w:type="gramEnd"/>
      <w:r>
        <w:t xml:space="preserve"> </w:t>
      </w:r>
      <w:proofErr w:type="spellStart"/>
      <w:r>
        <w:t>Eascare</w:t>
      </w:r>
      <w:proofErr w:type="spellEnd"/>
      <w:r>
        <w:t xml:space="preserve"> for FCRA violations and an entitlement to damages if she prevails. The judgment dismissing the plaintiff's FCRA claims for lack of standing is vacated, and the plaintiff may proceed on her claims in the Superior Court.” </w:t>
      </w:r>
      <w:hyperlink r:id="rId2055" w:history="1">
        <w:r w:rsidRPr="00A46316">
          <w:rPr>
            <w:rStyle w:val="Hyperlink"/>
          </w:rPr>
          <w:t>https://casetext.com/case/kenn-v-eascare-llc-1</w:t>
        </w:r>
      </w:hyperlink>
      <w:r>
        <w:t xml:space="preserve"> </w:t>
      </w:r>
    </w:p>
    <w:p w14:paraId="595C6165" w14:textId="77777777" w:rsidR="009F41E7" w:rsidRDefault="009F41E7" w:rsidP="009F41E7">
      <w:pPr>
        <w:pStyle w:val="NormalWeb"/>
        <w:rPr>
          <w:b/>
          <w:bCs/>
        </w:rPr>
      </w:pPr>
      <w:r w:rsidRPr="008035CB">
        <w:rPr>
          <w:b/>
          <w:bCs/>
        </w:rPr>
        <w:t>Legal Lesson Learned:</w:t>
      </w:r>
      <w:r>
        <w:rPr>
          <w:b/>
          <w:bCs/>
        </w:rPr>
        <w:t xml:space="preserve">  The EMS agency in this case was not sued.  EMS and Fire agencies that use background check companies should require the company to defend and indemnify the agency for any alleged violations of the FCRA. </w:t>
      </w:r>
    </w:p>
    <w:p w14:paraId="48115494" w14:textId="77777777" w:rsidR="009F41E7" w:rsidRPr="008035CB" w:rsidRDefault="009F41E7" w:rsidP="009F41E7">
      <w:pPr>
        <w:pStyle w:val="NormalWeb"/>
        <w:ind w:left="720"/>
        <w:rPr>
          <w:b/>
          <w:bCs/>
        </w:rPr>
      </w:pPr>
      <w:r w:rsidRPr="00AE333A">
        <w:t xml:space="preserve">Note: In Ohio, Fire Chiefs of township or fire district can have state conduct criminal history </w:t>
      </w:r>
      <w:proofErr w:type="gramStart"/>
      <w:r w:rsidRPr="00AE333A">
        <w:t>check</w:t>
      </w:r>
      <w:proofErr w:type="gramEnd"/>
      <w:r w:rsidRPr="00AE333A">
        <w:t xml:space="preserve">. </w:t>
      </w:r>
      <w:r>
        <w:t xml:space="preserve">See </w:t>
      </w:r>
      <w:hyperlink r:id="rId2056" w:history="1">
        <w:r w:rsidRPr="00A46316">
          <w:rPr>
            <w:rStyle w:val="Hyperlink"/>
          </w:rPr>
          <w:t>https://codes.ohio.gov/ohio-revised-code/section-505.381</w:t>
        </w:r>
      </w:hyperlink>
      <w:r>
        <w:t xml:space="preserve"> “(A) The fire chief of a township or fire district may request the superintendent of BCII to conduct a criminal records check with respect to any person who is under consideration for appointment or employment as a permanent, full-time paid firefighter or any person who is under consideration for appointment as a volunteer firefighter.”</w:t>
      </w:r>
    </w:p>
    <w:p w14:paraId="692598A4" w14:textId="77777777" w:rsidR="00FC76E4" w:rsidRDefault="00FC76E4" w:rsidP="006A02A4">
      <w:pPr>
        <w:rPr>
          <w:rFonts w:ascii="Arial Black" w:hAnsi="Arial Black"/>
          <w:b/>
          <w:bCs/>
          <w:sz w:val="28"/>
          <w:szCs w:val="28"/>
        </w:rPr>
      </w:pPr>
    </w:p>
    <w:p w14:paraId="061E6D67" w14:textId="77777777" w:rsidR="00FC76E4" w:rsidRDefault="00FC76E4" w:rsidP="006A02A4">
      <w:pPr>
        <w:rPr>
          <w:rFonts w:ascii="Arial Black" w:hAnsi="Arial Black"/>
          <w:b/>
          <w:bCs/>
          <w:sz w:val="28"/>
          <w:szCs w:val="28"/>
        </w:rPr>
      </w:pPr>
    </w:p>
    <w:p w14:paraId="5B0653D8" w14:textId="1B4A229C" w:rsidR="009B2B57" w:rsidRDefault="009B2B57" w:rsidP="006A02A4">
      <w:pPr>
        <w:rPr>
          <w:rFonts w:ascii="Arial Black" w:hAnsi="Arial Black"/>
          <w:b/>
          <w:bCs/>
          <w:sz w:val="28"/>
          <w:szCs w:val="28"/>
        </w:rPr>
      </w:pPr>
      <w:r>
        <w:rPr>
          <w:rFonts w:ascii="Arial Black" w:hAnsi="Arial Black"/>
          <w:b/>
          <w:bCs/>
          <w:sz w:val="28"/>
          <w:szCs w:val="28"/>
        </w:rPr>
        <w:t>13-164</w:t>
      </w:r>
    </w:p>
    <w:p w14:paraId="4FE0F1CE" w14:textId="77777777" w:rsidR="00715650" w:rsidRPr="002436E5" w:rsidRDefault="00715650" w:rsidP="00715650">
      <w:pPr>
        <w:pStyle w:val="NormalWeb"/>
        <w:rPr>
          <w:rFonts w:ascii="Arial Black" w:hAnsi="Arial Black"/>
          <w:b/>
          <w:bCs/>
          <w:sz w:val="28"/>
          <w:szCs w:val="28"/>
        </w:rPr>
      </w:pPr>
      <w:r w:rsidRPr="002436E5">
        <w:rPr>
          <w:rFonts w:ascii="Arial Black" w:hAnsi="Arial Black"/>
          <w:b/>
          <w:bCs/>
          <w:sz w:val="28"/>
          <w:szCs w:val="28"/>
        </w:rPr>
        <w:t>NY</w:t>
      </w:r>
      <w:r>
        <w:rPr>
          <w:rFonts w:ascii="Arial Black" w:hAnsi="Arial Black"/>
          <w:b/>
          <w:bCs/>
          <w:sz w:val="28"/>
          <w:szCs w:val="28"/>
        </w:rPr>
        <w:t xml:space="preserve">: </w:t>
      </w:r>
      <w:r w:rsidRPr="002436E5">
        <w:rPr>
          <w:rFonts w:ascii="Arial Black" w:hAnsi="Arial Black"/>
          <w:b/>
          <w:bCs/>
          <w:sz w:val="28"/>
          <w:szCs w:val="28"/>
        </w:rPr>
        <w:t xml:space="preserve">TOWN </w:t>
      </w:r>
      <w:r>
        <w:rPr>
          <w:rFonts w:ascii="Arial Black" w:hAnsi="Arial Black"/>
          <w:b/>
          <w:bCs/>
          <w:sz w:val="28"/>
          <w:szCs w:val="28"/>
        </w:rPr>
        <w:t xml:space="preserve">DIDN’T RENEW </w:t>
      </w:r>
      <w:r w:rsidRPr="002436E5">
        <w:rPr>
          <w:rFonts w:ascii="Arial Black" w:hAnsi="Arial Black"/>
          <w:b/>
          <w:bCs/>
          <w:sz w:val="28"/>
          <w:szCs w:val="28"/>
        </w:rPr>
        <w:t xml:space="preserve"> </w:t>
      </w:r>
      <w:r>
        <w:rPr>
          <w:rFonts w:ascii="Arial Black" w:hAnsi="Arial Black"/>
          <w:b/>
          <w:bCs/>
          <w:sz w:val="28"/>
          <w:szCs w:val="28"/>
        </w:rPr>
        <w:t xml:space="preserve">VOL. </w:t>
      </w:r>
      <w:r w:rsidRPr="002436E5">
        <w:rPr>
          <w:rFonts w:ascii="Arial Black" w:hAnsi="Arial Black"/>
          <w:b/>
          <w:bCs/>
          <w:sz w:val="28"/>
          <w:szCs w:val="28"/>
        </w:rPr>
        <w:t>AMBUL</w:t>
      </w:r>
      <w:r>
        <w:rPr>
          <w:rFonts w:ascii="Arial Black" w:hAnsi="Arial Black"/>
          <w:b/>
          <w:bCs/>
          <w:sz w:val="28"/>
          <w:szCs w:val="28"/>
        </w:rPr>
        <w:t xml:space="preserve">. CO. – SLOW RESPONSE TIMES / NO PAID CREWS - </w:t>
      </w:r>
      <w:r w:rsidRPr="002436E5">
        <w:rPr>
          <w:rFonts w:ascii="Arial Black" w:hAnsi="Arial Black"/>
          <w:b/>
          <w:bCs/>
          <w:sz w:val="28"/>
          <w:szCs w:val="28"/>
        </w:rPr>
        <w:t>60 DAYS NOTICE</w:t>
      </w:r>
    </w:p>
    <w:p w14:paraId="03A954E4" w14:textId="66DEB331" w:rsidR="00715650" w:rsidRPr="00030936" w:rsidRDefault="00715650" w:rsidP="00715650">
      <w:pPr>
        <w:pStyle w:val="NoSpacing"/>
        <w:rPr>
          <w:rFonts w:ascii="Times New Roman" w:hAnsi="Times New Roman"/>
          <w:sz w:val="24"/>
          <w:szCs w:val="24"/>
        </w:rPr>
      </w:pPr>
      <w:r w:rsidRPr="00030936">
        <w:rPr>
          <w:rFonts w:ascii="Times New Roman" w:hAnsi="Times New Roman"/>
          <w:sz w:val="24"/>
          <w:szCs w:val="24"/>
        </w:rPr>
        <w:t xml:space="preserve">On Dec. 28, 2023, in </w:t>
      </w:r>
      <w:r w:rsidRPr="00030936">
        <w:rPr>
          <w:rFonts w:ascii="Times New Roman" w:hAnsi="Times New Roman"/>
          <w:sz w:val="24"/>
          <w:szCs w:val="24"/>
          <w:u w:val="single"/>
        </w:rPr>
        <w:t>Rampo Valley Ambulance Corps, Inc., et al. v. Town of Rampo, et al</w:t>
      </w:r>
      <w:r w:rsidRPr="00030936">
        <w:rPr>
          <w:rFonts w:ascii="Times New Roman" w:hAnsi="Times New Roman"/>
          <w:sz w:val="24"/>
          <w:szCs w:val="24"/>
        </w:rPr>
        <w:t xml:space="preserve">., United States District Court Judge Phillip M. Haper, Southern District of New York, granted the Town’s motion to dismiss the May 11, </w:t>
      </w:r>
      <w:proofErr w:type="gramStart"/>
      <w:r w:rsidRPr="00030936">
        <w:rPr>
          <w:rFonts w:ascii="Times New Roman" w:hAnsi="Times New Roman"/>
          <w:sz w:val="24"/>
          <w:szCs w:val="24"/>
        </w:rPr>
        <w:t>2022</w:t>
      </w:r>
      <w:proofErr w:type="gramEnd"/>
      <w:r w:rsidRPr="00030936">
        <w:rPr>
          <w:rFonts w:ascii="Times New Roman" w:hAnsi="Times New Roman"/>
          <w:sz w:val="24"/>
          <w:szCs w:val="24"/>
        </w:rPr>
        <w:t xml:space="preserve"> lawsuit. The Court wrote: “The Agreement did not protect RVAC from the Town's revocation of a status. *** However, the Court has already found in the procedural due process context that RVAC does not have a constitutionally protected property interest derived from the Agreement. *** Here, RVAC alleges that the Town “controlled the billing, dispatching, payments, and staffing of RVAC, and</w:t>
      </w:r>
      <w:r w:rsidR="00780354">
        <w:rPr>
          <w:rFonts w:ascii="Times New Roman" w:hAnsi="Times New Roman"/>
          <w:sz w:val="24"/>
          <w:szCs w:val="24"/>
        </w:rPr>
        <w:t xml:space="preserve"> </w:t>
      </w:r>
      <w:r w:rsidRPr="00030936">
        <w:rPr>
          <w:rFonts w:ascii="Times New Roman" w:hAnsi="Times New Roman"/>
          <w:sz w:val="24"/>
          <w:szCs w:val="24"/>
        </w:rPr>
        <w:t xml:space="preserve">did so in a wholly different and in a discriminatory manner than the way the Town executed its contracts and requirements, as well as, managing relationships with and for the other ambulance corporations servicing the people of Ramapo.” (Opp. at 21). This conduct, even in the context of  providing emergency medical services, does not amount to conduct that is so ‘truly brutal and offensive to human dignity’ as to shock the </w:t>
      </w:r>
      <w:proofErr w:type="gramStart"/>
      <w:r w:rsidRPr="00030936">
        <w:rPr>
          <w:rFonts w:ascii="Times New Roman" w:hAnsi="Times New Roman"/>
          <w:sz w:val="24"/>
          <w:szCs w:val="24"/>
        </w:rPr>
        <w:t>conscience.”</w:t>
      </w:r>
      <w:proofErr w:type="gramEnd"/>
      <w:r w:rsidRPr="00030936">
        <w:rPr>
          <w:rFonts w:ascii="Times New Roman" w:hAnsi="Times New Roman"/>
          <w:sz w:val="24"/>
          <w:szCs w:val="24"/>
        </w:rPr>
        <w:t xml:space="preserve"> </w:t>
      </w:r>
      <w:hyperlink r:id="rId2057" w:history="1">
        <w:r w:rsidRPr="00030936">
          <w:rPr>
            <w:rStyle w:val="Hyperlink"/>
            <w:rFonts w:ascii="Times New Roman" w:hAnsi="Times New Roman"/>
            <w:sz w:val="24"/>
            <w:szCs w:val="24"/>
          </w:rPr>
          <w:t>https://cases.justia.com/federal/district-courts/new-york/nysdce/7:2022cv04047/580058/37/0.pdf?ts=1703868116</w:t>
        </w:r>
      </w:hyperlink>
      <w:r w:rsidRPr="00030936">
        <w:rPr>
          <w:rFonts w:ascii="Times New Roman" w:hAnsi="Times New Roman"/>
          <w:sz w:val="24"/>
          <w:szCs w:val="24"/>
        </w:rPr>
        <w:t xml:space="preserve"> </w:t>
      </w:r>
    </w:p>
    <w:p w14:paraId="7A2D51A3" w14:textId="77777777" w:rsidR="007C5017" w:rsidRPr="009715E3" w:rsidRDefault="007C5017" w:rsidP="007C5017">
      <w:pPr>
        <w:pStyle w:val="NormalWeb"/>
        <w:rPr>
          <w:b/>
          <w:bCs/>
        </w:rPr>
      </w:pPr>
      <w:r w:rsidRPr="009715E3">
        <w:rPr>
          <w:b/>
          <w:bCs/>
        </w:rPr>
        <w:t>Legal Lesson Learned:</w:t>
      </w:r>
      <w:r>
        <w:rPr>
          <w:b/>
          <w:bCs/>
        </w:rPr>
        <w:t xml:space="preserve">  The volunteer ambulance company did not have a “constitutionally protected interest” in the agreement with the Town; if feel being mistreated, bring it to attention of elected officials. </w:t>
      </w:r>
    </w:p>
    <w:p w14:paraId="37A1C0F1" w14:textId="77777777" w:rsidR="007C5017" w:rsidRPr="006569AE" w:rsidRDefault="007C5017" w:rsidP="007C5017">
      <w:pPr>
        <w:pStyle w:val="NormalWeb"/>
        <w:ind w:left="720"/>
        <w:rPr>
          <w:color w:val="0563C1" w:themeColor="hyperlink"/>
          <w:u w:val="single"/>
        </w:rPr>
      </w:pPr>
      <w:r>
        <w:t xml:space="preserve">Note: </w:t>
      </w:r>
      <w:r w:rsidRPr="00DA3539">
        <w:t xml:space="preserve">See </w:t>
      </w:r>
      <w:r>
        <w:t>this article.</w:t>
      </w:r>
      <w:r w:rsidRPr="00DA3539">
        <w:t xml:space="preserve">  Aug. 16, 2022:</w:t>
      </w:r>
      <w:r>
        <w:rPr>
          <w:b/>
          <w:bCs/>
        </w:rPr>
        <w:t xml:space="preserve">  “</w:t>
      </w:r>
      <w:r>
        <w:t xml:space="preserve">Ramapo Valley Ambulance Corps defunded after disputes; see why, town's plan for service.” </w:t>
      </w:r>
      <w:hyperlink r:id="rId2058" w:history="1">
        <w:r w:rsidRPr="00AB6C1F">
          <w:rPr>
            <w:rStyle w:val="Hyperlink"/>
          </w:rPr>
          <w:t>https://www.lohud.com/story/news/local/rockland/2022/08/16/ramapo-valley-ambulance-corps-defunded/65406353007/</w:t>
        </w:r>
      </w:hyperlink>
      <w:r>
        <w:rPr>
          <w:rStyle w:val="Hyperlink"/>
        </w:rPr>
        <w:t xml:space="preserve"> </w:t>
      </w:r>
      <w:r>
        <w:t>“Recently there has been a range of serious issues involving Ramapo Valley Ambulance Corps (RVAC), including missed dispatch calls, delayed response times, and poor response rate,” Specht said in statement. “Despite the town’s best efforts to urge RVAC to rectify what regrettably became a critical and unacceptable situation, the RVAC leadership, unfortunately, failed to do so, thereby compelling the town to take action to best protect Ramapo families.”</w:t>
      </w:r>
    </w:p>
    <w:p w14:paraId="18589CAD" w14:textId="77777777" w:rsidR="009B2B57" w:rsidRDefault="009B2B57" w:rsidP="006A02A4">
      <w:pPr>
        <w:rPr>
          <w:rFonts w:ascii="Arial Black" w:hAnsi="Arial Black"/>
          <w:b/>
          <w:bCs/>
          <w:sz w:val="28"/>
          <w:szCs w:val="28"/>
        </w:rPr>
      </w:pPr>
    </w:p>
    <w:p w14:paraId="40BB0F61" w14:textId="77777777" w:rsidR="009B2B57" w:rsidRDefault="009B2B57" w:rsidP="006A02A4">
      <w:pPr>
        <w:rPr>
          <w:rFonts w:ascii="Arial Black" w:hAnsi="Arial Black"/>
          <w:b/>
          <w:bCs/>
          <w:sz w:val="28"/>
          <w:szCs w:val="28"/>
        </w:rPr>
      </w:pPr>
    </w:p>
    <w:p w14:paraId="247B19DC" w14:textId="77777777" w:rsidR="009B2B57" w:rsidRDefault="009B2B57" w:rsidP="006A02A4">
      <w:pPr>
        <w:rPr>
          <w:rFonts w:ascii="Arial Black" w:hAnsi="Arial Black"/>
          <w:b/>
          <w:bCs/>
          <w:sz w:val="28"/>
          <w:szCs w:val="28"/>
        </w:rPr>
      </w:pPr>
    </w:p>
    <w:p w14:paraId="2192E90D" w14:textId="6349E24A" w:rsidR="006E6416" w:rsidRDefault="006E6416" w:rsidP="006A02A4">
      <w:pPr>
        <w:rPr>
          <w:rFonts w:ascii="Arial Black" w:hAnsi="Arial Black"/>
          <w:b/>
          <w:bCs/>
          <w:sz w:val="28"/>
          <w:szCs w:val="28"/>
        </w:rPr>
      </w:pPr>
      <w:r>
        <w:rPr>
          <w:rFonts w:ascii="Arial Black" w:hAnsi="Arial Black"/>
          <w:b/>
          <w:bCs/>
          <w:sz w:val="28"/>
          <w:szCs w:val="28"/>
        </w:rPr>
        <w:t>13-163</w:t>
      </w:r>
    </w:p>
    <w:p w14:paraId="5ED20E59" w14:textId="77777777" w:rsidR="0025382C" w:rsidRPr="00EA0B46" w:rsidRDefault="0025382C" w:rsidP="0025382C">
      <w:pPr>
        <w:pStyle w:val="NormalWeb"/>
        <w:rPr>
          <w:rFonts w:ascii="Arial Black" w:hAnsi="Arial Black"/>
          <w:b/>
          <w:bCs/>
          <w:sz w:val="28"/>
          <w:szCs w:val="28"/>
        </w:rPr>
      </w:pPr>
      <w:r>
        <w:rPr>
          <w:rFonts w:ascii="Arial Black" w:hAnsi="Arial Black"/>
          <w:b/>
          <w:bCs/>
          <w:sz w:val="28"/>
          <w:szCs w:val="28"/>
        </w:rPr>
        <w:t xml:space="preserve">KY: HIPAA – NO PRIVATE RIGHT TO SUE - HOSPITAL REPORTED PRISONER TRYING “DRINK HIMSELF TO DEATH” </w:t>
      </w:r>
    </w:p>
    <w:p w14:paraId="3B7D4B0B" w14:textId="77777777" w:rsidR="0025382C" w:rsidRDefault="0025382C" w:rsidP="0025382C">
      <w:pPr>
        <w:pStyle w:val="NormalWeb"/>
      </w:pPr>
      <w:r>
        <w:t xml:space="preserve">On Dec. 21, 2023, in </w:t>
      </w:r>
      <w:r w:rsidRPr="00C47073">
        <w:rPr>
          <w:u w:val="single"/>
        </w:rPr>
        <w:t>Michael Shane Reid v. Med Center Health / EMS</w:t>
      </w:r>
      <w:r>
        <w:t xml:space="preserve">, Senior U.S. District Court Judge Joseph H. McKinnley, Jr., U.S. District Court for Westen District of Kentucky, Bowling Green Division, dismissed a lawsuit against a hospital brought by a prisoner filing lawsuit pro se [no attorney]. The Court held: “Plaintiff's only claim in this action is based upon HIPAA. Title II of HIPAA, codified at </w:t>
      </w:r>
      <w:hyperlink r:id="rId2059" w:history="1">
        <w:r>
          <w:rPr>
            <w:rStyle w:val="Hyperlink"/>
          </w:rPr>
          <w:t>42 U.S.C. § 1320a</w:t>
        </w:r>
      </w:hyperlink>
      <w:r>
        <w:t xml:space="preserve"> </w:t>
      </w:r>
      <w:r>
        <w:rPr>
          <w:i/>
          <w:iCs/>
        </w:rPr>
        <w:t>et seq.</w:t>
      </w:r>
      <w:r>
        <w:t xml:space="preserve">, was created to protect against the unauthorized disclosure of health records and information by a medical provider. However, only the Secretary of the Department of Health and Human Services may file suit to enforce its provisions… Private citizens have no standing to sue for a violation of HIPAA because HIPAA does not authorize a private cause of action.” </w:t>
      </w:r>
      <w:hyperlink r:id="rId2060" w:history="1">
        <w:r w:rsidRPr="003C47C7">
          <w:rPr>
            <w:rStyle w:val="Hyperlink"/>
          </w:rPr>
          <w:t>https://casetext.com/case/reid-v-med-ctr-healthems</w:t>
        </w:r>
      </w:hyperlink>
      <w:r>
        <w:t xml:space="preserve"> </w:t>
      </w:r>
    </w:p>
    <w:p w14:paraId="5E610E5F" w14:textId="77777777" w:rsidR="009B2B57" w:rsidRDefault="009B2B57" w:rsidP="009B2B57">
      <w:pPr>
        <w:pStyle w:val="NormalWeb"/>
        <w:rPr>
          <w:b/>
          <w:bCs/>
        </w:rPr>
      </w:pPr>
      <w:r w:rsidRPr="00AA30DE">
        <w:rPr>
          <w:b/>
          <w:bCs/>
        </w:rPr>
        <w:t>Legal Lesson Learned:</w:t>
      </w:r>
      <w:r>
        <w:rPr>
          <w:b/>
          <w:bCs/>
        </w:rPr>
        <w:t xml:space="preserve"> HIPAA does not authorize citizen lawsuits. </w:t>
      </w:r>
    </w:p>
    <w:p w14:paraId="4C712C6D" w14:textId="77777777" w:rsidR="009B2B57" w:rsidRPr="009B2B57" w:rsidRDefault="009B2B57" w:rsidP="009B2B57">
      <w:pPr>
        <w:pStyle w:val="Heading2"/>
        <w:ind w:left="720"/>
        <w:rPr>
          <w:rFonts w:ascii="Times New Roman" w:hAnsi="Times New Roman"/>
          <w:b w:val="0"/>
          <w:bCs w:val="0"/>
          <w:i w:val="0"/>
          <w:iCs w:val="0"/>
          <w:sz w:val="24"/>
          <w:szCs w:val="24"/>
        </w:rPr>
      </w:pPr>
      <w:r w:rsidRPr="009B2B57">
        <w:rPr>
          <w:rFonts w:ascii="Times New Roman" w:hAnsi="Times New Roman"/>
          <w:b w:val="0"/>
          <w:bCs w:val="0"/>
          <w:i w:val="0"/>
          <w:iCs w:val="0"/>
          <w:color w:val="000000" w:themeColor="text1"/>
          <w:sz w:val="24"/>
          <w:szCs w:val="24"/>
        </w:rPr>
        <w:t xml:space="preserve">Note: See HIPAA Enforcement Actions. Enforcement Results as of October 31, 2023. </w:t>
      </w:r>
      <w:hyperlink r:id="rId2061" w:history="1">
        <w:r w:rsidRPr="009B2B57">
          <w:rPr>
            <w:rStyle w:val="Hyperlink"/>
            <w:rFonts w:ascii="Times New Roman" w:hAnsi="Times New Roman"/>
            <w:b w:val="0"/>
            <w:bCs w:val="0"/>
            <w:i w:val="0"/>
            <w:iCs w:val="0"/>
            <w:sz w:val="24"/>
            <w:szCs w:val="24"/>
          </w:rPr>
          <w:t>https://www.hhs.gov/hipaa/for-professionals/compliance-enforcement/data/enforcement-highlights/index.html</w:t>
        </w:r>
      </w:hyperlink>
      <w:r w:rsidRPr="009B2B57">
        <w:rPr>
          <w:rFonts w:ascii="Times New Roman" w:hAnsi="Times New Roman"/>
          <w:b w:val="0"/>
          <w:bCs w:val="0"/>
          <w:i w:val="0"/>
          <w:iCs w:val="0"/>
          <w:color w:val="000000" w:themeColor="text1"/>
          <w:sz w:val="24"/>
          <w:szCs w:val="24"/>
        </w:rPr>
        <w:t xml:space="preserve">. </w:t>
      </w:r>
      <w:r w:rsidRPr="009B2B57">
        <w:rPr>
          <w:rFonts w:ascii="Times New Roman" w:hAnsi="Times New Roman"/>
          <w:b w:val="0"/>
          <w:bCs w:val="0"/>
          <w:i w:val="0"/>
          <w:iCs w:val="0"/>
          <w:sz w:val="24"/>
          <w:szCs w:val="24"/>
        </w:rPr>
        <w:t>“Since the compliance date of the Privacy Rule in April 2003, OCR has received over 344,607 HIPAA complaints and has initiated over 1,179 compliance reviews.  We have resolved ninety-nine percent of these cases (341,304).”</w:t>
      </w:r>
    </w:p>
    <w:p w14:paraId="2CC235B4" w14:textId="77777777" w:rsidR="009B2B57" w:rsidRPr="00C13067" w:rsidRDefault="009B2B57" w:rsidP="009B2B57">
      <w:pPr>
        <w:pStyle w:val="Heading1"/>
        <w:ind w:left="720"/>
        <w:rPr>
          <w:sz w:val="24"/>
          <w:szCs w:val="24"/>
        </w:rPr>
      </w:pPr>
      <w:r w:rsidRPr="00C13067">
        <w:rPr>
          <w:b w:val="0"/>
          <w:bCs w:val="0"/>
          <w:sz w:val="24"/>
          <w:szCs w:val="24"/>
        </w:rPr>
        <w:t>For example:</w:t>
      </w:r>
      <w:r>
        <w:t xml:space="preserve"> </w:t>
      </w:r>
      <w:r w:rsidRPr="00C13067">
        <w:rPr>
          <w:b w:val="0"/>
          <w:bCs w:val="0"/>
          <w:sz w:val="24"/>
          <w:szCs w:val="24"/>
        </w:rPr>
        <w:t xml:space="preserve">Dec. 30, 2019: </w:t>
      </w:r>
      <w:r>
        <w:rPr>
          <w:b w:val="0"/>
          <w:bCs w:val="0"/>
          <w:sz w:val="24"/>
          <w:szCs w:val="24"/>
        </w:rPr>
        <w:t>“</w:t>
      </w:r>
      <w:r w:rsidRPr="00C13067">
        <w:rPr>
          <w:b w:val="0"/>
          <w:bCs w:val="0"/>
          <w:sz w:val="24"/>
          <w:szCs w:val="24"/>
        </w:rPr>
        <w:t>Ambulance Company Pays $65,000 to Settle Allegations of Longstanding HIPAA Noncompliance</w:t>
      </w:r>
      <w:r>
        <w:rPr>
          <w:b w:val="0"/>
          <w:bCs w:val="0"/>
          <w:sz w:val="24"/>
          <w:szCs w:val="24"/>
        </w:rPr>
        <w:t xml:space="preserve">.” </w:t>
      </w:r>
      <w:hyperlink r:id="rId2062" w:history="1">
        <w:r w:rsidRPr="003C47C7">
          <w:rPr>
            <w:rStyle w:val="Hyperlink"/>
            <w:b w:val="0"/>
            <w:bCs w:val="0"/>
            <w:sz w:val="24"/>
            <w:szCs w:val="24"/>
          </w:rPr>
          <w:t>https://public3.pagefreezer.com/browse/HHS.gov/31-12-2020T08:51/https://www.hhs.gov/about/news/2019/12/30/ambulance-company-pays-65000-settle-allegations-longstanding-hipaa-noncompliance.html</w:t>
        </w:r>
      </w:hyperlink>
      <w:r>
        <w:rPr>
          <w:b w:val="0"/>
          <w:bCs w:val="0"/>
          <w:sz w:val="24"/>
          <w:szCs w:val="24"/>
        </w:rPr>
        <w:t xml:space="preserve">. </w:t>
      </w:r>
    </w:p>
    <w:p w14:paraId="319307A5" w14:textId="77777777" w:rsidR="009B2B57" w:rsidRPr="00C13067" w:rsidRDefault="009B2B57" w:rsidP="009B2B57">
      <w:pPr>
        <w:pStyle w:val="NormalWeb"/>
        <w:ind w:left="720"/>
      </w:pPr>
      <w:r>
        <w:t>“</w:t>
      </w:r>
      <w:r w:rsidRPr="00C13067">
        <w:t>West Georgia Ambulance, Inc. (West Georgia), has agreed to pay $65,000 to the Office for Civil Rights (OCR) at the U.S. Department of Health and Human Services (HHS) and to adopt a corrective action plan to settle potential violations of the Health Insurance Portability and Accountability Act (HIPAA) Security Rule. West Georgia is an ambulance company that provides emergency and non-emergency ambulance services in Carroll County, Georgia.</w:t>
      </w:r>
    </w:p>
    <w:p w14:paraId="709902D4" w14:textId="77777777" w:rsidR="009B2B57" w:rsidRPr="00C13067" w:rsidRDefault="009B2B57" w:rsidP="009B2B57">
      <w:pPr>
        <w:pStyle w:val="NormalWeb"/>
        <w:ind w:left="720"/>
      </w:pPr>
      <w:r w:rsidRPr="00C13067">
        <w:t xml:space="preserve">OCR began its investigation after West Georgia filed a breach report in 2013 concerning the loss of an unencrypted laptop containing the protected health information (PHI) of 500 individuals. OCR’s investigation uncovered long-standing noncompliance with the HIPAA Rules, including failures to conduct a risk analysis, </w:t>
      </w:r>
      <w:proofErr w:type="gramStart"/>
      <w:r w:rsidRPr="00C13067">
        <w:t>provide</w:t>
      </w:r>
      <w:proofErr w:type="gramEnd"/>
      <w:r w:rsidRPr="00C13067">
        <w:t xml:space="preserve"> a security awareness and training program, and </w:t>
      </w:r>
      <w:proofErr w:type="gramStart"/>
      <w:r w:rsidRPr="00C13067">
        <w:t>implement</w:t>
      </w:r>
      <w:proofErr w:type="gramEnd"/>
      <w:r w:rsidRPr="00C13067">
        <w:t xml:space="preserve"> HIPAA Security Rule policies and procedures. Despite OCR’s investigation and technical assistance, West Georgia did not take meaningful steps to address their systemic failures.</w:t>
      </w:r>
      <w:r>
        <w:t>”</w:t>
      </w:r>
    </w:p>
    <w:p w14:paraId="390E8091" w14:textId="77777777" w:rsidR="009B2B57" w:rsidRPr="006455BA" w:rsidRDefault="009B2B57" w:rsidP="009B2B57">
      <w:pPr>
        <w:pStyle w:val="NormalWeb"/>
        <w:ind w:left="720"/>
      </w:pPr>
      <w:r>
        <w:t>Other e</w:t>
      </w:r>
      <w:r w:rsidRPr="006455BA">
        <w:t xml:space="preserve">xamples of HIPAA </w:t>
      </w:r>
      <w:r>
        <w:t xml:space="preserve">enforcement actions: </w:t>
      </w:r>
      <w:hyperlink r:id="rId2063" w:anchor="case5" w:history="1">
        <w:r w:rsidRPr="003C47C7">
          <w:rPr>
            <w:rStyle w:val="Hyperlink"/>
          </w:rPr>
          <w:t>https://www.hhs.gov/hipaa/for-professionals/compliance-enforcement/examples/all-cases/index.html#case5</w:t>
        </w:r>
      </w:hyperlink>
      <w:r w:rsidRPr="006455BA">
        <w:t xml:space="preserve"> </w:t>
      </w:r>
    </w:p>
    <w:p w14:paraId="175D82BA" w14:textId="77777777" w:rsidR="006E6416" w:rsidRDefault="006E6416" w:rsidP="006A02A4">
      <w:pPr>
        <w:rPr>
          <w:rFonts w:ascii="Arial Black" w:hAnsi="Arial Black"/>
          <w:b/>
          <w:bCs/>
          <w:sz w:val="28"/>
          <w:szCs w:val="28"/>
        </w:rPr>
      </w:pPr>
    </w:p>
    <w:p w14:paraId="4A7BFABE" w14:textId="77777777" w:rsidR="006E6416" w:rsidRDefault="006E6416" w:rsidP="006A02A4">
      <w:pPr>
        <w:rPr>
          <w:rFonts w:ascii="Arial Black" w:hAnsi="Arial Black"/>
          <w:b/>
          <w:bCs/>
          <w:sz w:val="28"/>
          <w:szCs w:val="28"/>
        </w:rPr>
      </w:pPr>
    </w:p>
    <w:p w14:paraId="26C42740" w14:textId="77777777" w:rsidR="006E6416" w:rsidRDefault="006E6416" w:rsidP="006A02A4">
      <w:pPr>
        <w:rPr>
          <w:rFonts w:ascii="Arial Black" w:hAnsi="Arial Black"/>
          <w:b/>
          <w:bCs/>
          <w:sz w:val="28"/>
          <w:szCs w:val="28"/>
        </w:rPr>
      </w:pPr>
    </w:p>
    <w:p w14:paraId="3BA1217D" w14:textId="114F3580" w:rsidR="00592CB5" w:rsidRDefault="00592CB5" w:rsidP="006A02A4">
      <w:pPr>
        <w:rPr>
          <w:rFonts w:ascii="Arial Black" w:hAnsi="Arial Black"/>
          <w:b/>
          <w:bCs/>
          <w:sz w:val="28"/>
          <w:szCs w:val="28"/>
        </w:rPr>
      </w:pPr>
      <w:r>
        <w:rPr>
          <w:rFonts w:ascii="Arial Black" w:hAnsi="Arial Black"/>
          <w:b/>
          <w:bCs/>
          <w:sz w:val="28"/>
          <w:szCs w:val="28"/>
        </w:rPr>
        <w:t>13-162</w:t>
      </w:r>
    </w:p>
    <w:p w14:paraId="06753EE1" w14:textId="77777777" w:rsidR="00C7649B" w:rsidRDefault="00C7649B" w:rsidP="00C7649B">
      <w:pPr>
        <w:pStyle w:val="NormalWeb"/>
        <w:rPr>
          <w:rFonts w:ascii="Arial Black" w:hAnsi="Arial Black"/>
          <w:sz w:val="28"/>
          <w:szCs w:val="28"/>
        </w:rPr>
      </w:pPr>
      <w:r>
        <w:rPr>
          <w:rFonts w:ascii="Arial Black" w:hAnsi="Arial Black"/>
          <w:sz w:val="28"/>
          <w:szCs w:val="28"/>
        </w:rPr>
        <w:t xml:space="preserve">PA: HOSPITAL AMBUL. EMS “GOOD SAMARITAN” IMMUNITY - NON-EMERG. </w:t>
      </w:r>
      <w:proofErr w:type="gramStart"/>
      <w:r>
        <w:rPr>
          <w:rFonts w:ascii="Arial Black" w:hAnsi="Arial Black"/>
          <w:sz w:val="28"/>
          <w:szCs w:val="28"/>
        </w:rPr>
        <w:t>TRANSPORT,</w:t>
      </w:r>
      <w:proofErr w:type="gramEnd"/>
      <w:r>
        <w:rPr>
          <w:rFonts w:ascii="Arial Black" w:hAnsi="Arial Black"/>
          <w:sz w:val="28"/>
          <w:szCs w:val="28"/>
        </w:rPr>
        <w:t xml:space="preserve"> STOPPED TO PERFORM CPR</w:t>
      </w:r>
    </w:p>
    <w:p w14:paraId="5AF9F4CF" w14:textId="77777777" w:rsidR="00C7649B" w:rsidRDefault="00C7649B" w:rsidP="00C7649B">
      <w:pPr>
        <w:pStyle w:val="NormalWeb"/>
      </w:pPr>
      <w:r>
        <w:t xml:space="preserve">On Dec. 20, 2023, in </w:t>
      </w:r>
      <w:r w:rsidRPr="003E5ADD">
        <w:rPr>
          <w:u w:val="single"/>
        </w:rPr>
        <w:t xml:space="preserve">Desiree Lamarr-Murphy. Individually and as Administratrix of the Estate of Christopher B. Murphy, deceased, and Briannah </w:t>
      </w:r>
      <w:proofErr w:type="spellStart"/>
      <w:r w:rsidRPr="003E5ADD">
        <w:rPr>
          <w:u w:val="single"/>
        </w:rPr>
        <w:t>Lahmarr</w:t>
      </w:r>
      <w:proofErr w:type="spellEnd"/>
      <w:r w:rsidRPr="003E5ADD">
        <w:rPr>
          <w:u w:val="single"/>
        </w:rPr>
        <w:t xml:space="preserve"> v. Delaware County Memorial Hospital, et al.</w:t>
      </w:r>
      <w:r>
        <w:t>, the Superior Court of Pennsylvania held (3 to 0; non-presidential decision) that trial court properly entered judgment for two EMS and hospital. “</w:t>
      </w:r>
      <w:r w:rsidRPr="005F5B35">
        <w:t>Thus, DCMH, acting in its limited role as a provider of emergency</w:t>
      </w:r>
      <w:r>
        <w:t xml:space="preserve"> ambulatory services, and its emergency responder employees, DCMH EMS, were protected under the Good Samaritan Act.”  After an 8-day jury trial, the jury found 39-year-old patient with history of blood clots in his legs was 51% contributory negligent for not seeking medical </w:t>
      </w:r>
      <w:proofErr w:type="gramStart"/>
      <w:r>
        <w:t xml:space="preserve">attentions </w:t>
      </w:r>
      <w:proofErr w:type="gramEnd"/>
      <w:r>
        <w:t xml:space="preserve">large blood </w:t>
      </w:r>
      <w:proofErr w:type="gramStart"/>
      <w:r>
        <w:t>clot</w:t>
      </w:r>
      <w:proofErr w:type="gramEnd"/>
      <w:r>
        <w:t xml:space="preserve"> led to cardiac arrest in ambulance.  </w:t>
      </w:r>
      <w:hyperlink r:id="rId2064" w:history="1">
        <w:r w:rsidRPr="00601FD5">
          <w:rPr>
            <w:rStyle w:val="Hyperlink"/>
          </w:rPr>
          <w:t>https://cases.justia.com/pennsylvania/superior-court/2023-1846-eda-2021.pdf?ts=1703100172</w:t>
        </w:r>
      </w:hyperlink>
      <w:r>
        <w:t xml:space="preserve"> </w:t>
      </w:r>
    </w:p>
    <w:p w14:paraId="431797A9" w14:textId="77777777" w:rsidR="006E6416" w:rsidRDefault="006E6416" w:rsidP="006E6416">
      <w:pPr>
        <w:pStyle w:val="NormalWeb"/>
        <w:rPr>
          <w:b/>
          <w:bCs/>
        </w:rPr>
      </w:pPr>
      <w:r w:rsidRPr="0070397E">
        <w:rPr>
          <w:b/>
          <w:bCs/>
        </w:rPr>
        <w:t>Legal Lesson Learned:</w:t>
      </w:r>
      <w:r>
        <w:rPr>
          <w:b/>
          <w:bCs/>
        </w:rPr>
        <w:t xml:space="preserve"> Expert witnesses confirmed non-emergency transport was consistent with PA protocols; PA “Good Samaritan” statute provides immunity for EMS, unless acting with gross negligence, including </w:t>
      </w:r>
      <w:proofErr w:type="gramStart"/>
      <w:r>
        <w:rPr>
          <w:b/>
          <w:bCs/>
        </w:rPr>
        <w:t>hospital based</w:t>
      </w:r>
      <w:proofErr w:type="gramEnd"/>
      <w:r>
        <w:rPr>
          <w:b/>
          <w:bCs/>
        </w:rPr>
        <w:t xml:space="preserve"> EMS. </w:t>
      </w:r>
    </w:p>
    <w:p w14:paraId="7B2203BC" w14:textId="77777777" w:rsidR="006E6416" w:rsidRDefault="006E6416" w:rsidP="006E6416">
      <w:pPr>
        <w:pStyle w:val="NormalWeb"/>
      </w:pPr>
      <w:r>
        <w:rPr>
          <w:b/>
          <w:bCs/>
        </w:rPr>
        <w:tab/>
      </w:r>
      <w:r w:rsidRPr="00D35C79">
        <w:t>Note:</w:t>
      </w:r>
      <w:r>
        <w:rPr>
          <w:b/>
          <w:bCs/>
        </w:rPr>
        <w:t xml:space="preserve">  </w:t>
      </w:r>
      <w:r w:rsidRPr="00165EB6">
        <w:t>The</w:t>
      </w:r>
      <w:r>
        <w:t xml:space="preserve"> PA</w:t>
      </w:r>
      <w:r w:rsidRPr="00165EB6">
        <w:t xml:space="preserve"> Good Samaritan Act provides, in pertinent part: </w:t>
      </w:r>
    </w:p>
    <w:p w14:paraId="62F63F3A" w14:textId="77777777" w:rsidR="006E6416" w:rsidRPr="00165EB6" w:rsidRDefault="006E6416" w:rsidP="006E6416">
      <w:pPr>
        <w:pStyle w:val="NormalWeb"/>
        <w:ind w:left="1440"/>
      </w:pPr>
      <w:r w:rsidRPr="00165EB6">
        <w:t>(a) General rule</w:t>
      </w:r>
      <w:r w:rsidRPr="00165EB6">
        <w:rPr>
          <w:i/>
          <w:iCs/>
        </w:rPr>
        <w:t>.</w:t>
      </w:r>
      <w:r w:rsidRPr="00165EB6">
        <w:t xml:space="preserve"> - Any person, including an emergency response provider, whether or not trained to practice medicine, who in good faith renders emergency care, treatment, first aid or rescue at the scene of an emergency event or crime, or who moves the person receiving such care, first aid or rescue to a hospital or other place of medical care, shall not be liable for any civil damages as a result of rendering such care, except in any act or omission intentionally designed to harm or any grossly negligent acts or omissions which result in harm to the person receiving emergency care or being moved to a hospital or other place of medical care. </w:t>
      </w:r>
    </w:p>
    <w:p w14:paraId="0B037922" w14:textId="77777777" w:rsidR="00592CB5" w:rsidRDefault="00592CB5" w:rsidP="006A02A4">
      <w:pPr>
        <w:rPr>
          <w:rFonts w:ascii="Arial Black" w:hAnsi="Arial Black"/>
          <w:b/>
          <w:bCs/>
          <w:sz w:val="28"/>
          <w:szCs w:val="28"/>
        </w:rPr>
      </w:pPr>
    </w:p>
    <w:p w14:paraId="12A90D1F" w14:textId="77777777" w:rsidR="00592CB5" w:rsidRDefault="00592CB5" w:rsidP="006A02A4">
      <w:pPr>
        <w:rPr>
          <w:rFonts w:ascii="Arial Black" w:hAnsi="Arial Black"/>
          <w:b/>
          <w:bCs/>
          <w:sz w:val="28"/>
          <w:szCs w:val="28"/>
        </w:rPr>
      </w:pPr>
    </w:p>
    <w:p w14:paraId="72E0E53B" w14:textId="1F4AC660" w:rsidR="003D5ECA" w:rsidRDefault="003D5ECA" w:rsidP="006A02A4">
      <w:pPr>
        <w:rPr>
          <w:rFonts w:ascii="Arial Black" w:hAnsi="Arial Black"/>
          <w:b/>
          <w:bCs/>
          <w:sz w:val="28"/>
          <w:szCs w:val="28"/>
        </w:rPr>
      </w:pPr>
      <w:r>
        <w:rPr>
          <w:rFonts w:ascii="Arial Black" w:hAnsi="Arial Black"/>
          <w:b/>
          <w:bCs/>
          <w:sz w:val="28"/>
          <w:szCs w:val="28"/>
        </w:rPr>
        <w:t>13-161</w:t>
      </w:r>
    </w:p>
    <w:p w14:paraId="050C1C7F" w14:textId="77777777" w:rsidR="003D5ECA" w:rsidRDefault="003D5ECA" w:rsidP="003D5ECA">
      <w:pPr>
        <w:pStyle w:val="NormalWeb"/>
      </w:pPr>
      <w:r>
        <w:rPr>
          <w:rFonts w:ascii="Arial Black" w:hAnsi="Arial Black"/>
          <w:sz w:val="28"/>
          <w:szCs w:val="28"/>
        </w:rPr>
        <w:t>MN: MEDIC RESIGNED AFTER PUT ON PIP – NO 1</w:t>
      </w:r>
      <w:r w:rsidRPr="006A5EC7">
        <w:rPr>
          <w:rFonts w:ascii="Arial Black" w:hAnsi="Arial Black"/>
          <w:sz w:val="28"/>
          <w:szCs w:val="28"/>
          <w:vertAlign w:val="superscript"/>
        </w:rPr>
        <w:t>st</w:t>
      </w:r>
      <w:r>
        <w:rPr>
          <w:rFonts w:ascii="Arial Black" w:hAnsi="Arial Black"/>
          <w:sz w:val="28"/>
          <w:szCs w:val="28"/>
        </w:rPr>
        <w:t xml:space="preserve"> AMEND. SPEECH CASE - SPOKE ABOUT EMS TRAINING RECORDS</w:t>
      </w:r>
    </w:p>
    <w:p w14:paraId="3CADE404" w14:textId="77777777" w:rsidR="003D5ECA" w:rsidRDefault="003D5ECA" w:rsidP="003D5ECA">
      <w:pPr>
        <w:pStyle w:val="NormalWeb"/>
      </w:pPr>
      <w:r>
        <w:t xml:space="preserve">On Dec. 20, 2023, in </w:t>
      </w:r>
      <w:r w:rsidRPr="00926837">
        <w:rPr>
          <w:u w:val="single"/>
        </w:rPr>
        <w:t>Joseph Paul Baker v. The City of Woodbury, et al</w:t>
      </w:r>
      <w:r>
        <w:t xml:space="preserve">., U.S. District Court Judge David S. Doty, U.S. District Court for District of Minnesota granted the City’s motion for summary judgement. The Court wrote: “Baker claims that defendants Wallgren, Klein, and Guiton retaliated against him for questioning the EMS training records and complaining about Ehrenberg's request to prepare ketamine by placing him on a </w:t>
      </w:r>
      <w:r>
        <w:lastRenderedPageBreak/>
        <w:t xml:space="preserve">PIP, in violation of his right to free speech under the First Amendment. *** To determine whether the employee engaged in speech protected by the First Amendment, the court must first consider whether ‘the employee spoke as a citizen on a matter of public concern.’ </w:t>
      </w:r>
      <w:r>
        <w:rPr>
          <w:i/>
          <w:iCs/>
        </w:rPr>
        <w:t>Garcetti v. Ceballos</w:t>
      </w:r>
      <w:r>
        <w:t xml:space="preserve">, 54 7 U.S. 410, 418 (2014). ‘If the answer is no, the employee has no First Amendment cause of action based on his ... employer's reaction to the speech.*** When Baker made statements about the training records, the undisputed facts show that he did so within the scope of his duties as a member of the education group. In that role, Baker was responsible for, among other things, assessing and maintaining training documentation for submission to the EMSRB. Baker discovered the alleged deficiencies when carrying out those duties. He would not have been able to make such a discovery without access to the training records of each paramedic, along with their corresponding certifications. It is undisputed that those detailed records are not available to the </w:t>
      </w:r>
      <w:proofErr w:type="gramStart"/>
      <w:r>
        <w:t>general public</w:t>
      </w:r>
      <w:proofErr w:type="gramEnd"/>
      <w:r>
        <w:t xml:space="preserve">. Further, Baker reported the alleged deficiencies to his superiors after first discussing </w:t>
      </w:r>
      <w:proofErr w:type="gramStart"/>
      <w:r>
        <w:t>it</w:t>
      </w:r>
      <w:proofErr w:type="gramEnd"/>
      <w:r>
        <w:t xml:space="preserve"> with his fellow education group members, thus tying his concerns directly to his role in the education group rather than merely as a concerned citizen. Under these circumstances, there is no serious debate that Baker's speech owes its existence to his professional responsibilities and therefore is not protected by the First Amendment.” </w:t>
      </w:r>
      <w:hyperlink r:id="rId2065" w:history="1">
        <w:r w:rsidRPr="0044657D">
          <w:rPr>
            <w:rStyle w:val="Hyperlink"/>
          </w:rPr>
          <w:t>https://casetext.com/case/baker-v-city-of-woodbury</w:t>
        </w:r>
      </w:hyperlink>
      <w:r>
        <w:t xml:space="preserve"> </w:t>
      </w:r>
    </w:p>
    <w:p w14:paraId="45186F9A" w14:textId="77777777" w:rsidR="00592CB5" w:rsidRPr="00E57DEF" w:rsidRDefault="00592CB5" w:rsidP="00592CB5">
      <w:pPr>
        <w:pStyle w:val="NormalWeb"/>
        <w:rPr>
          <w:b/>
          <w:bCs/>
        </w:rPr>
      </w:pPr>
      <w:r w:rsidRPr="00E57DEF">
        <w:rPr>
          <w:b/>
          <w:bCs/>
        </w:rPr>
        <w:t xml:space="preserve">Legal Lesson Learned: </w:t>
      </w:r>
      <w:r>
        <w:rPr>
          <w:b/>
          <w:bCs/>
        </w:rPr>
        <w:t xml:space="preserve">PIP can be an effective management tool, either to get </w:t>
      </w:r>
      <w:proofErr w:type="gramStart"/>
      <w:r>
        <w:rPr>
          <w:b/>
          <w:bCs/>
        </w:rPr>
        <w:t>employee</w:t>
      </w:r>
      <w:proofErr w:type="gramEnd"/>
      <w:r>
        <w:rPr>
          <w:b/>
          <w:bCs/>
        </w:rPr>
        <w:t xml:space="preserve"> to improve or to look for another job.</w:t>
      </w:r>
    </w:p>
    <w:p w14:paraId="689A5DC4" w14:textId="77777777" w:rsidR="003D5ECA" w:rsidRDefault="003D5ECA" w:rsidP="006A02A4">
      <w:pPr>
        <w:rPr>
          <w:rFonts w:ascii="Arial Black" w:hAnsi="Arial Black"/>
          <w:b/>
          <w:bCs/>
          <w:sz w:val="28"/>
          <w:szCs w:val="28"/>
        </w:rPr>
      </w:pPr>
    </w:p>
    <w:p w14:paraId="4566F530" w14:textId="77777777" w:rsidR="003D5ECA" w:rsidRDefault="003D5ECA" w:rsidP="006A02A4">
      <w:pPr>
        <w:rPr>
          <w:rFonts w:ascii="Arial Black" w:hAnsi="Arial Black"/>
          <w:b/>
          <w:bCs/>
          <w:sz w:val="28"/>
          <w:szCs w:val="28"/>
        </w:rPr>
      </w:pPr>
    </w:p>
    <w:p w14:paraId="2FF3E591" w14:textId="38C70065" w:rsidR="002D6690" w:rsidRDefault="002D6690" w:rsidP="006A02A4">
      <w:pPr>
        <w:rPr>
          <w:rFonts w:ascii="Arial Black" w:hAnsi="Arial Black"/>
          <w:b/>
          <w:bCs/>
          <w:sz w:val="28"/>
          <w:szCs w:val="28"/>
        </w:rPr>
      </w:pPr>
      <w:r>
        <w:rPr>
          <w:rFonts w:ascii="Arial Black" w:hAnsi="Arial Black"/>
          <w:b/>
          <w:bCs/>
          <w:sz w:val="28"/>
          <w:szCs w:val="28"/>
        </w:rPr>
        <w:t>13-</w:t>
      </w:r>
      <w:r w:rsidR="002410DA">
        <w:rPr>
          <w:rFonts w:ascii="Arial Black" w:hAnsi="Arial Black"/>
          <w:b/>
          <w:bCs/>
          <w:sz w:val="28"/>
          <w:szCs w:val="28"/>
        </w:rPr>
        <w:t>160</w:t>
      </w:r>
    </w:p>
    <w:p w14:paraId="10B2F53E" w14:textId="77777777" w:rsidR="002410DA" w:rsidRPr="001F329A" w:rsidRDefault="002410DA" w:rsidP="002410DA">
      <w:pPr>
        <w:pStyle w:val="NormalWeb"/>
        <w:rPr>
          <w:rFonts w:ascii="Arial Black" w:hAnsi="Arial Black"/>
          <w:sz w:val="28"/>
          <w:szCs w:val="28"/>
        </w:rPr>
      </w:pPr>
      <w:r>
        <w:rPr>
          <w:rFonts w:ascii="Arial Black" w:hAnsi="Arial Black"/>
          <w:sz w:val="28"/>
          <w:szCs w:val="28"/>
        </w:rPr>
        <w:t>CO: HOSPITAL PARAMEDIC FIRED – EPINEPHRINE TO WOMAN PARKING LOT – QR FILES CONFIDENTIAL</w:t>
      </w:r>
    </w:p>
    <w:p w14:paraId="30ED0A5A" w14:textId="3C770E23" w:rsidR="002410DA" w:rsidRDefault="002410DA" w:rsidP="002410DA">
      <w:pPr>
        <w:rPr>
          <w:rStyle w:val="Hyperlink"/>
          <w:rFonts w:ascii="Times New Roman" w:hAnsi="Times New Roman"/>
          <w:sz w:val="24"/>
          <w:szCs w:val="24"/>
        </w:rPr>
      </w:pPr>
      <w:r w:rsidRPr="002410DA">
        <w:rPr>
          <w:rFonts w:ascii="Times New Roman" w:hAnsi="Times New Roman"/>
          <w:sz w:val="24"/>
          <w:szCs w:val="24"/>
        </w:rPr>
        <w:t xml:space="preserve">On Nov. 14, 2023, in </w:t>
      </w:r>
      <w:r w:rsidRPr="002410DA">
        <w:rPr>
          <w:rFonts w:ascii="Times New Roman" w:hAnsi="Times New Roman"/>
          <w:sz w:val="24"/>
          <w:szCs w:val="24"/>
          <w:u w:val="single"/>
        </w:rPr>
        <w:t xml:space="preserve">Jordan Christensen v. Denver Health </w:t>
      </w:r>
      <w:proofErr w:type="gramStart"/>
      <w:r w:rsidRPr="002410DA">
        <w:rPr>
          <w:rFonts w:ascii="Times New Roman" w:hAnsi="Times New Roman"/>
          <w:sz w:val="24"/>
          <w:szCs w:val="24"/>
          <w:u w:val="single"/>
        </w:rPr>
        <w:t>And</w:t>
      </w:r>
      <w:proofErr w:type="gramEnd"/>
      <w:r w:rsidRPr="002410DA">
        <w:rPr>
          <w:rFonts w:ascii="Times New Roman" w:hAnsi="Times New Roman"/>
          <w:sz w:val="24"/>
          <w:szCs w:val="24"/>
          <w:u w:val="single"/>
        </w:rPr>
        <w:t xml:space="preserve"> Hospital Authority, doing business as Denver Heath Paramedic Division</w:t>
      </w:r>
      <w:r w:rsidRPr="002410DA">
        <w:rPr>
          <w:rFonts w:ascii="Times New Roman" w:hAnsi="Times New Roman"/>
          <w:sz w:val="24"/>
          <w:szCs w:val="24"/>
        </w:rPr>
        <w:t xml:space="preserve">, U.S. Magistrate Judge Kathryn A. </w:t>
      </w:r>
      <w:proofErr w:type="spellStart"/>
      <w:r w:rsidRPr="002410DA">
        <w:rPr>
          <w:rFonts w:ascii="Times New Roman" w:hAnsi="Times New Roman"/>
          <w:sz w:val="24"/>
          <w:szCs w:val="24"/>
        </w:rPr>
        <w:t>Starnella</w:t>
      </w:r>
      <w:proofErr w:type="spellEnd"/>
      <w:r w:rsidRPr="002410DA">
        <w:rPr>
          <w:rFonts w:ascii="Times New Roman" w:hAnsi="Times New Roman"/>
          <w:sz w:val="24"/>
          <w:szCs w:val="24"/>
        </w:rPr>
        <w:t xml:space="preserve">, U.S. District Cort for District of Colorado, denied Plaintiff's Motion to Compel Production of the Quality Review File.  The termination decision was made by the Medical Director of the Paramedic Division, not on the hospital’s Quality Review Committee; the QR file is confidential under Federal and State statutes.  </w:t>
      </w:r>
      <w:hyperlink r:id="rId2066" w:history="1">
        <w:r w:rsidRPr="002410DA">
          <w:rPr>
            <w:rStyle w:val="Hyperlink"/>
            <w:rFonts w:ascii="Times New Roman" w:hAnsi="Times New Roman"/>
            <w:sz w:val="24"/>
            <w:szCs w:val="24"/>
          </w:rPr>
          <w:t>https://public.fastcase.com/ZZhmr5v9wN%2FXOe5IsQ%2FqD%2B1qjdbNtrbKnJG3uP2WWVmhlF8pu7dlSanIpJbUEtpE?utm_medium=email&amp;_hsmi=226712652&amp;_hsenc=p2ANqtz-_3swjkE_U3wk1h5U8jVat2QL8kZwPHoy86W6A4pHNVHtwV__0ZHK6m0x71w6miyP2O__WwBW9V-f993pnbFbogevKSBQ&amp;utm_content=226712652&amp;utm_source=hs_email</w:t>
        </w:r>
      </w:hyperlink>
    </w:p>
    <w:p w14:paraId="5E4AF293" w14:textId="77777777" w:rsidR="00BC2A27" w:rsidRDefault="00BC2A27" w:rsidP="00BC2A27">
      <w:pPr>
        <w:pStyle w:val="NormalWeb"/>
        <w:rPr>
          <w:b/>
          <w:bCs/>
        </w:rPr>
      </w:pPr>
      <w:r w:rsidRPr="007F3790">
        <w:rPr>
          <w:b/>
          <w:bCs/>
        </w:rPr>
        <w:t>Legal Lesson Learned:</w:t>
      </w:r>
      <w:r>
        <w:rPr>
          <w:b/>
          <w:bCs/>
        </w:rPr>
        <w:t xml:space="preserve"> Hospital QR reviews, and Fire &amp; EMS QRs are confidential in many states. </w:t>
      </w:r>
    </w:p>
    <w:p w14:paraId="7C48D26E" w14:textId="77777777" w:rsidR="00BC2A27" w:rsidRPr="008D2F39" w:rsidRDefault="00BC2A27" w:rsidP="00BC2A27">
      <w:pPr>
        <w:pStyle w:val="Heading1"/>
        <w:ind w:left="720"/>
        <w:rPr>
          <w:b w:val="0"/>
          <w:bCs w:val="0"/>
          <w:sz w:val="24"/>
          <w:szCs w:val="24"/>
        </w:rPr>
      </w:pPr>
      <w:r w:rsidRPr="008D2F39">
        <w:rPr>
          <w:b w:val="0"/>
          <w:bCs w:val="0"/>
          <w:sz w:val="24"/>
          <w:szCs w:val="24"/>
        </w:rPr>
        <w:t xml:space="preserve">Note: See Ohio Revised Code: </w:t>
      </w:r>
      <w:r>
        <w:rPr>
          <w:b w:val="0"/>
          <w:bCs w:val="0"/>
          <w:sz w:val="24"/>
          <w:szCs w:val="24"/>
        </w:rPr>
        <w:t>“</w:t>
      </w:r>
      <w:r w:rsidRPr="008D2F39">
        <w:rPr>
          <w:b w:val="0"/>
          <w:bCs w:val="0"/>
          <w:sz w:val="24"/>
          <w:szCs w:val="24"/>
        </w:rPr>
        <w:t xml:space="preserve">Section 4765.12 </w:t>
      </w:r>
      <w:r w:rsidRPr="008D2F39">
        <w:rPr>
          <w:rStyle w:val="codes-separator"/>
          <w:rFonts w:eastAsiaTheme="majorEastAsia"/>
          <w:b w:val="0"/>
          <w:bCs w:val="0"/>
          <w:sz w:val="24"/>
          <w:szCs w:val="24"/>
        </w:rPr>
        <w:t>|</w:t>
      </w:r>
      <w:r w:rsidRPr="008D2F39">
        <w:rPr>
          <w:b w:val="0"/>
          <w:bCs w:val="0"/>
          <w:sz w:val="24"/>
          <w:szCs w:val="24"/>
        </w:rPr>
        <w:t xml:space="preserve"> Guidelines for care of trauma victims by emergency medical service personnel - conduct of peer review and quality assurance programs by emergency medical service organizations</w:t>
      </w:r>
      <w:r>
        <w:rPr>
          <w:b w:val="0"/>
          <w:bCs w:val="0"/>
          <w:sz w:val="24"/>
          <w:szCs w:val="24"/>
        </w:rPr>
        <w:t xml:space="preserve">.” </w:t>
      </w:r>
      <w:hyperlink r:id="rId2067" w:history="1">
        <w:r w:rsidRPr="00D270AC">
          <w:rPr>
            <w:rStyle w:val="Hyperlink"/>
            <w:b w:val="0"/>
            <w:bCs w:val="0"/>
            <w:sz w:val="24"/>
            <w:szCs w:val="24"/>
          </w:rPr>
          <w:t>https://codes.ohio.gov/ohio-revised-code/section-4765.12</w:t>
        </w:r>
      </w:hyperlink>
      <w:r>
        <w:rPr>
          <w:b w:val="0"/>
          <w:bCs w:val="0"/>
          <w:sz w:val="24"/>
          <w:szCs w:val="24"/>
        </w:rPr>
        <w:t xml:space="preserve"> </w:t>
      </w:r>
    </w:p>
    <w:p w14:paraId="10BDCEC9" w14:textId="77777777" w:rsidR="00BC2A27" w:rsidRDefault="00BC2A27" w:rsidP="00BC2A27">
      <w:pPr>
        <w:pStyle w:val="NormalWeb"/>
        <w:ind w:left="720"/>
        <w:rPr>
          <w:b/>
          <w:bCs/>
        </w:rPr>
      </w:pPr>
      <w:r>
        <w:t xml:space="preserve">“Information generated solely for use in a peer review or quality assurance program conducted on behalf of an emergency medical service organization is not a public record under section </w:t>
      </w:r>
      <w:hyperlink r:id="rId2068" w:history="1">
        <w:r>
          <w:rPr>
            <w:rStyle w:val="Hyperlink"/>
            <w:rFonts w:eastAsiaTheme="majorEastAsia"/>
          </w:rPr>
          <w:t>149.43</w:t>
        </w:r>
      </w:hyperlink>
      <w:r>
        <w:t xml:space="preserve"> of the Revised Code. Such information, and any discussion conducted in the course of a peer review or quality assurance program conducted on behalf of an emergency medical service organization, is not subject to </w:t>
      </w:r>
      <w:r>
        <w:lastRenderedPageBreak/>
        <w:t>discovery in a civil action and shall not be introduced into evidence in a civil action against the emergency medical service organization on whose behalf the information was generated or the discussion occurred.</w:t>
      </w:r>
      <w:r>
        <w:rPr>
          <w:b/>
          <w:bCs/>
        </w:rPr>
        <w:t>”</w:t>
      </w:r>
    </w:p>
    <w:p w14:paraId="5F106965" w14:textId="77777777" w:rsidR="008578DE" w:rsidRDefault="008578DE" w:rsidP="00BC2A27">
      <w:pPr>
        <w:rPr>
          <w:rFonts w:ascii="Arial Black" w:hAnsi="Arial Black"/>
          <w:b/>
          <w:bCs/>
          <w:sz w:val="28"/>
          <w:szCs w:val="28"/>
        </w:rPr>
      </w:pPr>
    </w:p>
    <w:p w14:paraId="43923D7C" w14:textId="300C3315" w:rsidR="00BC2A27" w:rsidRDefault="00BC2A27" w:rsidP="00BC2A27">
      <w:pPr>
        <w:rPr>
          <w:rFonts w:ascii="Arial Black" w:hAnsi="Arial Black"/>
          <w:b/>
          <w:bCs/>
          <w:sz w:val="28"/>
          <w:szCs w:val="28"/>
        </w:rPr>
      </w:pPr>
      <w:r>
        <w:rPr>
          <w:rFonts w:ascii="Arial Black" w:hAnsi="Arial Black"/>
          <w:b/>
          <w:bCs/>
          <w:sz w:val="28"/>
          <w:szCs w:val="28"/>
        </w:rPr>
        <w:t>13-159</w:t>
      </w:r>
    </w:p>
    <w:p w14:paraId="3D7E88B8" w14:textId="77777777" w:rsidR="0061348F" w:rsidRPr="00171AD5" w:rsidRDefault="0061348F" w:rsidP="0061348F">
      <w:pPr>
        <w:pStyle w:val="NoSpacing"/>
        <w:rPr>
          <w:rFonts w:ascii="Arial Black" w:hAnsi="Arial Black"/>
          <w:b/>
          <w:sz w:val="28"/>
          <w:szCs w:val="28"/>
        </w:rPr>
      </w:pPr>
      <w:r>
        <w:rPr>
          <w:rFonts w:ascii="Arial Black" w:hAnsi="Arial Black"/>
          <w:b/>
          <w:sz w:val="28"/>
          <w:szCs w:val="28"/>
        </w:rPr>
        <w:t>WV:  911 DISPATCH NO CPR INSTRUCTIONS – PARENTS TOLD DRIVE TO HOSP – EMS CANCELLED - CASE PROCEED</w:t>
      </w:r>
    </w:p>
    <w:p w14:paraId="3A4FC938" w14:textId="77777777" w:rsidR="0061348F" w:rsidRDefault="0061348F" w:rsidP="0061348F">
      <w:pPr>
        <w:pStyle w:val="NoSpacing"/>
        <w:rPr>
          <w:rFonts w:ascii="Times New Roman" w:hAnsi="Times New Roman"/>
          <w:b/>
          <w:sz w:val="24"/>
          <w:szCs w:val="24"/>
        </w:rPr>
      </w:pPr>
    </w:p>
    <w:p w14:paraId="21E74309" w14:textId="77777777" w:rsidR="0061348F" w:rsidRDefault="0061348F" w:rsidP="0061348F">
      <w:pPr>
        <w:pStyle w:val="NoSpacing"/>
        <w:rPr>
          <w:rFonts w:ascii="Times New Roman" w:hAnsi="Times New Roman"/>
          <w:bCs/>
          <w:sz w:val="24"/>
          <w:szCs w:val="24"/>
        </w:rPr>
      </w:pPr>
      <w:r>
        <w:rPr>
          <w:rFonts w:ascii="Times New Roman" w:hAnsi="Times New Roman"/>
          <w:bCs/>
          <w:sz w:val="24"/>
          <w:szCs w:val="24"/>
        </w:rPr>
        <w:t xml:space="preserve">On Nov. 8, 2023, in </w:t>
      </w:r>
      <w:r w:rsidRPr="00832890">
        <w:rPr>
          <w:rFonts w:ascii="Times New Roman" w:hAnsi="Times New Roman"/>
          <w:bCs/>
          <w:sz w:val="24"/>
          <w:szCs w:val="24"/>
          <w:u w:val="single"/>
        </w:rPr>
        <w:t>Barabara Stine Trivett, Administratrix of the Estate of Jasper Trivett v. Summer County Commission d/b/a Summers County Office of Emergency Management and Carmen Cales</w:t>
      </w:r>
      <w:r>
        <w:rPr>
          <w:rFonts w:ascii="Times New Roman" w:hAnsi="Times New Roman"/>
          <w:bCs/>
          <w:sz w:val="24"/>
          <w:szCs w:val="24"/>
        </w:rPr>
        <w:t xml:space="preserve">, Supreme Court of Appeals of West Virginia, held (3 to 2) that the lawsuit was timely filed and should not have been dismissed by trial judge and remanded case for discovery. </w:t>
      </w:r>
      <w:hyperlink r:id="rId2069" w:history="1">
        <w:r w:rsidRPr="006F62A4">
          <w:rPr>
            <w:rStyle w:val="Hyperlink"/>
            <w:rFonts w:ascii="Times New Roman" w:hAnsi="Times New Roman"/>
            <w:bCs/>
            <w:sz w:val="24"/>
            <w:szCs w:val="24"/>
          </w:rPr>
          <w:t>http://www.courtswv.gov/supreme-court/docs/fall2023/22-0202-wooton-p.pdf</w:t>
        </w:r>
      </w:hyperlink>
      <w:r>
        <w:rPr>
          <w:rFonts w:ascii="Times New Roman" w:hAnsi="Times New Roman"/>
          <w:bCs/>
          <w:sz w:val="24"/>
          <w:szCs w:val="24"/>
        </w:rPr>
        <w:t xml:space="preserve"> </w:t>
      </w:r>
    </w:p>
    <w:p w14:paraId="5C475FA2" w14:textId="77777777" w:rsidR="00A126EB" w:rsidRDefault="00A126EB" w:rsidP="00A126EB">
      <w:pPr>
        <w:pStyle w:val="NoSpacing"/>
        <w:rPr>
          <w:rFonts w:ascii="Times New Roman" w:hAnsi="Times New Roman"/>
          <w:b/>
          <w:sz w:val="24"/>
          <w:szCs w:val="24"/>
        </w:rPr>
      </w:pPr>
    </w:p>
    <w:p w14:paraId="173FC03E" w14:textId="19EE0BCC" w:rsidR="00A126EB" w:rsidRPr="00925161" w:rsidRDefault="00A126EB" w:rsidP="00A126EB">
      <w:pPr>
        <w:pStyle w:val="NoSpacing"/>
        <w:rPr>
          <w:rFonts w:ascii="Times New Roman" w:hAnsi="Times New Roman"/>
          <w:b/>
          <w:sz w:val="24"/>
          <w:szCs w:val="24"/>
        </w:rPr>
      </w:pPr>
      <w:r w:rsidRPr="00925161">
        <w:rPr>
          <w:rFonts w:ascii="Times New Roman" w:hAnsi="Times New Roman"/>
          <w:b/>
          <w:sz w:val="24"/>
          <w:szCs w:val="24"/>
        </w:rPr>
        <w:t>Legal Lesson Learned:</w:t>
      </w:r>
      <w:r>
        <w:rPr>
          <w:rFonts w:ascii="Times New Roman" w:hAnsi="Times New Roman"/>
          <w:b/>
          <w:sz w:val="24"/>
          <w:szCs w:val="24"/>
        </w:rPr>
        <w:t xml:space="preserve"> Dispatchers should all be trained in giving CPR instructions.</w:t>
      </w:r>
    </w:p>
    <w:p w14:paraId="6BEA5159" w14:textId="77777777" w:rsidR="00A126EB" w:rsidRDefault="00A126EB" w:rsidP="00BC2A27">
      <w:pPr>
        <w:rPr>
          <w:rFonts w:ascii="Arial Black" w:hAnsi="Arial Black"/>
          <w:b/>
          <w:bCs/>
          <w:sz w:val="28"/>
          <w:szCs w:val="28"/>
        </w:rPr>
      </w:pPr>
    </w:p>
    <w:p w14:paraId="0CAB5A2C" w14:textId="0BE59538" w:rsidR="00A126EB" w:rsidRDefault="00A126EB" w:rsidP="00A126EB">
      <w:pPr>
        <w:rPr>
          <w:rFonts w:ascii="Arial Black" w:hAnsi="Arial Black"/>
          <w:b/>
          <w:bCs/>
          <w:sz w:val="28"/>
          <w:szCs w:val="28"/>
        </w:rPr>
      </w:pPr>
      <w:r>
        <w:rPr>
          <w:rFonts w:ascii="Arial Black" w:hAnsi="Arial Black"/>
          <w:b/>
          <w:bCs/>
          <w:sz w:val="28"/>
          <w:szCs w:val="28"/>
        </w:rPr>
        <w:t>13-158</w:t>
      </w:r>
    </w:p>
    <w:p w14:paraId="19120DFC" w14:textId="77777777" w:rsidR="00C02A64" w:rsidRDefault="00C02A64" w:rsidP="00C02A64">
      <w:pPr>
        <w:rPr>
          <w:rFonts w:ascii="Arial Black" w:hAnsi="Arial Black"/>
          <w:b/>
          <w:bCs/>
          <w:sz w:val="28"/>
          <w:szCs w:val="28"/>
        </w:rPr>
      </w:pPr>
      <w:r>
        <w:rPr>
          <w:rFonts w:ascii="Arial Black" w:hAnsi="Arial Black"/>
          <w:b/>
          <w:bCs/>
          <w:sz w:val="28"/>
          <w:szCs w:val="28"/>
        </w:rPr>
        <w:t>NC: PATIENT REFUSED TRANSPORT – 94-YR MENTALY SOUND – DAUGHTER POWER OF ATTY CAN’T OVERRULE</w:t>
      </w:r>
    </w:p>
    <w:p w14:paraId="64AF3651" w14:textId="77777777" w:rsidR="00C02A64" w:rsidRDefault="00C02A64" w:rsidP="00C02A64">
      <w:pPr>
        <w:rPr>
          <w:rFonts w:ascii="Times New Roman" w:hAnsi="Times New Roman"/>
          <w:sz w:val="24"/>
          <w:szCs w:val="24"/>
        </w:rPr>
      </w:pPr>
      <w:r>
        <w:rPr>
          <w:rFonts w:ascii="Times New Roman" w:hAnsi="Times New Roman"/>
          <w:sz w:val="24"/>
          <w:szCs w:val="24"/>
        </w:rPr>
        <w:t xml:space="preserve">On Nov. 6, 2023, in </w:t>
      </w:r>
      <w:r w:rsidRPr="00DA7B1E">
        <w:rPr>
          <w:rFonts w:ascii="Times New Roman" w:hAnsi="Times New Roman"/>
          <w:sz w:val="24"/>
          <w:szCs w:val="24"/>
          <w:u w:val="single"/>
        </w:rPr>
        <w:t>Justin L. Sutton, as Personal Representative of the Estate of Hartwell Lanier King, Sr. and Betty K. Sutton v. Rockingham County, et al</w:t>
      </w:r>
      <w:r>
        <w:rPr>
          <w:rFonts w:ascii="Times New Roman" w:hAnsi="Times New Roman"/>
          <w:sz w:val="24"/>
          <w:szCs w:val="24"/>
        </w:rPr>
        <w:t xml:space="preserve">., U.S. District Court Judge Loretta C. Briggs, U.S. District Court for the Middle District of North Carolina, granted the defendants motion for summary judgment.  The EMS followed the protocol, conducted several “capacity assessments” of the patient and found him to be capable of making his own decision about transport.  The daughter’s Power of Attorney could not overrule the patient’s decision. </w:t>
      </w:r>
      <w:hyperlink r:id="rId2070" w:history="1">
        <w:r w:rsidRPr="009F1DF3">
          <w:rPr>
            <w:rStyle w:val="Hyperlink"/>
            <w:rFonts w:ascii="Times New Roman" w:hAnsi="Times New Roman"/>
            <w:sz w:val="24"/>
            <w:szCs w:val="24"/>
          </w:rPr>
          <w:t>https://casetext.com/case/sutton-v-rockingham-cnty-1</w:t>
        </w:r>
      </w:hyperlink>
      <w:r>
        <w:rPr>
          <w:rStyle w:val="Hyperlink"/>
          <w:rFonts w:ascii="Times New Roman" w:hAnsi="Times New Roman"/>
          <w:sz w:val="24"/>
          <w:szCs w:val="24"/>
        </w:rPr>
        <w:t xml:space="preserve"> </w:t>
      </w:r>
    </w:p>
    <w:p w14:paraId="327D5B11" w14:textId="77777777" w:rsidR="0042334A" w:rsidRDefault="0042334A" w:rsidP="0042334A">
      <w:pPr>
        <w:rPr>
          <w:rFonts w:ascii="Times New Roman" w:hAnsi="Times New Roman"/>
          <w:b/>
          <w:bCs/>
          <w:sz w:val="24"/>
          <w:szCs w:val="24"/>
        </w:rPr>
      </w:pPr>
      <w:r w:rsidRPr="005F2AA0">
        <w:rPr>
          <w:rFonts w:ascii="Times New Roman" w:hAnsi="Times New Roman"/>
          <w:b/>
          <w:bCs/>
          <w:sz w:val="24"/>
          <w:szCs w:val="24"/>
        </w:rPr>
        <w:t>Legal Lesson Learned:</w:t>
      </w:r>
      <w:r>
        <w:rPr>
          <w:rFonts w:ascii="Times New Roman" w:hAnsi="Times New Roman"/>
          <w:b/>
          <w:bCs/>
          <w:sz w:val="24"/>
          <w:szCs w:val="24"/>
        </w:rPr>
        <w:t xml:space="preserve"> The EMS personnel followed their protocol and properly declined the daughter’s Power of Attorney.</w:t>
      </w:r>
    </w:p>
    <w:p w14:paraId="7816ADAF" w14:textId="77777777" w:rsidR="00C02A64" w:rsidRDefault="00C02A64" w:rsidP="00A126EB">
      <w:pPr>
        <w:rPr>
          <w:rFonts w:ascii="Arial Black" w:hAnsi="Arial Black"/>
          <w:b/>
          <w:bCs/>
          <w:sz w:val="28"/>
          <w:szCs w:val="28"/>
        </w:rPr>
      </w:pPr>
    </w:p>
    <w:p w14:paraId="422D1673" w14:textId="321E2FB3" w:rsidR="002410DA" w:rsidRPr="002410DA" w:rsidRDefault="002410DA" w:rsidP="00A126EB">
      <w:pPr>
        <w:pStyle w:val="NormalWeb"/>
        <w:rPr>
          <w:b/>
          <w:bCs/>
        </w:rPr>
      </w:pPr>
    </w:p>
    <w:p w14:paraId="25BA5E5B" w14:textId="77777777" w:rsidR="002D6690" w:rsidRDefault="002D6690" w:rsidP="006A02A4">
      <w:pPr>
        <w:rPr>
          <w:rFonts w:ascii="Arial Black" w:hAnsi="Arial Black"/>
          <w:b/>
          <w:bCs/>
          <w:sz w:val="28"/>
          <w:szCs w:val="28"/>
        </w:rPr>
      </w:pPr>
    </w:p>
    <w:p w14:paraId="7FFCC54D" w14:textId="3ABAA78B" w:rsidR="00832745" w:rsidRDefault="00832745" w:rsidP="006A02A4">
      <w:pPr>
        <w:rPr>
          <w:rFonts w:ascii="Arial Black" w:hAnsi="Arial Black"/>
          <w:b/>
          <w:bCs/>
          <w:sz w:val="28"/>
          <w:szCs w:val="28"/>
        </w:rPr>
      </w:pPr>
      <w:r>
        <w:rPr>
          <w:rFonts w:ascii="Arial Black" w:hAnsi="Arial Black"/>
          <w:b/>
          <w:bCs/>
          <w:sz w:val="28"/>
          <w:szCs w:val="28"/>
        </w:rPr>
        <w:t>13-157</w:t>
      </w:r>
    </w:p>
    <w:p w14:paraId="0B17FF35" w14:textId="77777777" w:rsidR="00832745" w:rsidRDefault="00832745" w:rsidP="00832745">
      <w:pPr>
        <w:pStyle w:val="paragraph"/>
        <w:rPr>
          <w:rFonts w:ascii="Arial Black" w:hAnsi="Arial Black"/>
          <w:sz w:val="28"/>
          <w:szCs w:val="28"/>
        </w:rPr>
      </w:pPr>
      <w:r>
        <w:rPr>
          <w:rFonts w:ascii="Arial Black" w:hAnsi="Arial Black"/>
          <w:sz w:val="28"/>
          <w:szCs w:val="28"/>
        </w:rPr>
        <w:t>KY: JAIL NURSE / GUARDS - “DELIBERATELY INDIFFERENT” INMATE OVERDOSING METH – DIED – NO QUAL. IMMUNITY</w:t>
      </w:r>
    </w:p>
    <w:p w14:paraId="32A63872" w14:textId="77777777" w:rsidR="00832745" w:rsidRDefault="00832745" w:rsidP="00832745">
      <w:pPr>
        <w:pStyle w:val="paragraph"/>
      </w:pPr>
      <w:r>
        <w:lastRenderedPageBreak/>
        <w:t xml:space="preserve">On Oct. 26, 2023, </w:t>
      </w:r>
      <w:r w:rsidRPr="003268E4">
        <w:rPr>
          <w:u w:val="single"/>
        </w:rPr>
        <w:t>in Luanna Grote, Administrator of the Estate of Bradley Grote v. Kenton County, et al.</w:t>
      </w:r>
      <w:r>
        <w:t>, the U.S. Court of Appeals for 6</w:t>
      </w:r>
      <w:r w:rsidRPr="003268E4">
        <w:rPr>
          <w:vertAlign w:val="superscript"/>
        </w:rPr>
        <w:t>th</w:t>
      </w:r>
      <w:r>
        <w:t xml:space="preserve"> Circuit (Cincinnati) held (3 to 0) that trial court improperly granted defense motion for summary judgment.  Bradley Grote died of acute methamphetamine intoxication three days after his arrest and detention at the Kenton County Detention Center in Covington, Kentucky. The Court held: “Although Grote was visibly in distress when put in a booking cell at the jail, the jail’s [nurse] failed to render any treatment at all or seek further medical attention from a doctor on call or emergency medical services. Grote’s case exposes myriad failures by county and jail officials, including a lack of basic knowledge concerning overdoses and how to respond to them. Under the facts of this case, we hold that a jury could find that the medical provider was deliberately indifferent to Grote’s need for medical attention, but not that the jail deputies acted unconstitutionally.” </w:t>
      </w:r>
      <w:hyperlink r:id="rId2071" w:history="1">
        <w:r w:rsidRPr="0097451D">
          <w:rPr>
            <w:rStyle w:val="Hyperlink"/>
            <w:rFonts w:eastAsiaTheme="majorEastAsia"/>
          </w:rPr>
          <w:t>https://www.opn.ca6.uscourts.gov/opinions.pdf/23a0237p-06.pdf</w:t>
        </w:r>
      </w:hyperlink>
      <w:r>
        <w:t xml:space="preserve"> </w:t>
      </w:r>
    </w:p>
    <w:p w14:paraId="345587A9" w14:textId="77777777" w:rsidR="00832745" w:rsidRPr="00445048" w:rsidRDefault="00832745" w:rsidP="00832745">
      <w:pPr>
        <w:pStyle w:val="paragraph"/>
        <w:rPr>
          <w:b/>
          <w:bCs/>
        </w:rPr>
      </w:pPr>
      <w:r w:rsidRPr="00445048">
        <w:rPr>
          <w:b/>
          <w:bCs/>
        </w:rPr>
        <w:t xml:space="preserve">Legal Lesson Learned: </w:t>
      </w:r>
      <w:r>
        <w:rPr>
          <w:b/>
          <w:bCs/>
        </w:rPr>
        <w:t xml:space="preserve">Failure to take full set of vitals is example of “deliberately indifferent” to the inmate’s immediate need for medical attention. </w:t>
      </w:r>
    </w:p>
    <w:p w14:paraId="6D3D12A0" w14:textId="77777777" w:rsidR="00832745" w:rsidRDefault="00832745" w:rsidP="006A02A4">
      <w:pPr>
        <w:rPr>
          <w:rFonts w:ascii="Arial Black" w:hAnsi="Arial Black"/>
          <w:b/>
          <w:bCs/>
          <w:sz w:val="28"/>
          <w:szCs w:val="28"/>
        </w:rPr>
      </w:pPr>
    </w:p>
    <w:p w14:paraId="2C8F889D" w14:textId="67DB9056" w:rsidR="00832745" w:rsidRDefault="00832745" w:rsidP="006A02A4">
      <w:pPr>
        <w:rPr>
          <w:rFonts w:ascii="Arial Black" w:hAnsi="Arial Black"/>
          <w:b/>
          <w:bCs/>
          <w:sz w:val="28"/>
          <w:szCs w:val="28"/>
        </w:rPr>
      </w:pPr>
      <w:r>
        <w:rPr>
          <w:rFonts w:ascii="Arial Black" w:hAnsi="Arial Black"/>
          <w:b/>
          <w:bCs/>
          <w:sz w:val="28"/>
          <w:szCs w:val="28"/>
        </w:rPr>
        <w:t>13-156</w:t>
      </w:r>
    </w:p>
    <w:p w14:paraId="102859EC" w14:textId="77777777" w:rsidR="00832745" w:rsidRDefault="00832745" w:rsidP="00832745">
      <w:pPr>
        <w:pStyle w:val="NormalWeb"/>
        <w:rPr>
          <w:rFonts w:ascii="Arial Black" w:hAnsi="Arial Black"/>
          <w:sz w:val="28"/>
          <w:szCs w:val="28"/>
        </w:rPr>
      </w:pPr>
      <w:r>
        <w:rPr>
          <w:rFonts w:ascii="Arial Black" w:hAnsi="Arial Black"/>
          <w:sz w:val="28"/>
          <w:szCs w:val="28"/>
        </w:rPr>
        <w:t>KY: ALLERGIC REACTION SHELLFISH – 911 SENT EMS TO RESTAURANT BUT NOT HIS VEHICLE – DIED – NO LIABILITY</w:t>
      </w:r>
    </w:p>
    <w:p w14:paraId="770E7A5D" w14:textId="77777777" w:rsidR="00832745" w:rsidRDefault="00832745" w:rsidP="00832745">
      <w:pPr>
        <w:pStyle w:val="NormalWeb"/>
      </w:pPr>
      <w:r>
        <w:t xml:space="preserve">On Oct. 13, 2023, in </w:t>
      </w:r>
      <w:r>
        <w:rPr>
          <w:u w:val="single"/>
        </w:rPr>
        <w:t>Carrie Johnson, individually and as Administratrix of the estate of Denver Stephen Johnson v. Dawn Henry, et al</w:t>
      </w:r>
      <w:r>
        <w:t xml:space="preserve">., the Commonwealth of Kentucky Court of Appeals, held (3 to 0; unpublished) that the dispatcher cannot be held liable under the “Public Duty Doctrine.” The Court held: “Henry did nothing beyond her responsibility as a 911 operator that would create a special relationship with Mr. Johnson. She answered the 911 call and sent help, as she would for any other citizen. She also did not create a connection with Mr. Johnson and repeatedly </w:t>
      </w:r>
      <w:proofErr w:type="gramStart"/>
      <w:r>
        <w:t>foster</w:t>
      </w:r>
      <w:proofErr w:type="gramEnd"/>
      <w:r>
        <w:t xml:space="preserve"> the continuation of that relationship, like the officers in Gaither. Simply put, the Estate has not shown Henry owed any special duty to Mr. Johnson, beyond the duty owed by a 911 operator to the public at large. Without a special relationship, Henry owed no duty to protect Mr. Johnson from harm or accident. While Mr. Johnson’s death is tragic, Henry cannot be held liable under the public duty doctrine. *** It is not enough to allege ineptitude, even shameful and inexcusable ineptitude, by a municipal agency in failing to respond adequately to a call for help. To give rise to a special relationship, the agency’s response to the private party must in some demonstrable way exceed the response generally made to other members of the public.”); Koher v. Dial, 653 N.E.2d 524, 526 (Ind. Ct. App. 1995) (‘Standing alone, a governmental entity’s dispatch of emergency services does not create a private duty.’) </w:t>
      </w:r>
      <w:hyperlink r:id="rId2072" w:history="1">
        <w:r>
          <w:rPr>
            <w:rStyle w:val="Hyperlink"/>
          </w:rPr>
          <w:t>https://cases.justia.com/kentucky/court-of-appeals/2023-2022-ca-1113-mr.pdf?ts=1697205894</w:t>
        </w:r>
      </w:hyperlink>
      <w:r>
        <w:t xml:space="preserve"> </w:t>
      </w:r>
    </w:p>
    <w:p w14:paraId="4FE21997" w14:textId="77777777" w:rsidR="00832745" w:rsidRDefault="00832745" w:rsidP="00832745">
      <w:pPr>
        <w:pStyle w:val="NormalWeb"/>
        <w:rPr>
          <w:b/>
          <w:bCs/>
        </w:rPr>
      </w:pPr>
      <w:r>
        <w:rPr>
          <w:b/>
          <w:bCs/>
        </w:rPr>
        <w:t xml:space="preserve">Legal Lesson Learned: The Public Duty Doctrine protects dispatchers, and their employers, from liability. </w:t>
      </w:r>
    </w:p>
    <w:p w14:paraId="7150E088" w14:textId="77777777" w:rsidR="00832745" w:rsidRDefault="00832745" w:rsidP="006A02A4">
      <w:pPr>
        <w:rPr>
          <w:rFonts w:ascii="Arial Black" w:hAnsi="Arial Black"/>
          <w:b/>
          <w:bCs/>
          <w:sz w:val="28"/>
          <w:szCs w:val="28"/>
        </w:rPr>
      </w:pPr>
    </w:p>
    <w:p w14:paraId="35937190" w14:textId="77777777" w:rsidR="00832745" w:rsidRDefault="00832745" w:rsidP="006A02A4">
      <w:pPr>
        <w:rPr>
          <w:rFonts w:ascii="Arial Black" w:hAnsi="Arial Black"/>
          <w:b/>
          <w:bCs/>
          <w:sz w:val="28"/>
          <w:szCs w:val="28"/>
        </w:rPr>
      </w:pPr>
    </w:p>
    <w:p w14:paraId="7676E372" w14:textId="1F2A15B5" w:rsidR="00AC3E10" w:rsidRDefault="00AC3E10" w:rsidP="006A02A4">
      <w:pPr>
        <w:rPr>
          <w:rFonts w:ascii="Arial Black" w:hAnsi="Arial Black"/>
          <w:b/>
          <w:bCs/>
          <w:sz w:val="28"/>
          <w:szCs w:val="28"/>
        </w:rPr>
      </w:pPr>
      <w:r>
        <w:rPr>
          <w:rFonts w:ascii="Arial Black" w:hAnsi="Arial Black"/>
          <w:b/>
          <w:bCs/>
          <w:sz w:val="28"/>
          <w:szCs w:val="28"/>
        </w:rPr>
        <w:t>13-15</w:t>
      </w:r>
      <w:r w:rsidR="008F7EBA">
        <w:rPr>
          <w:rFonts w:ascii="Arial Black" w:hAnsi="Arial Black"/>
          <w:b/>
          <w:bCs/>
          <w:sz w:val="28"/>
          <w:szCs w:val="28"/>
        </w:rPr>
        <w:t>5</w:t>
      </w:r>
    </w:p>
    <w:p w14:paraId="4734A7E5" w14:textId="77777777" w:rsidR="00AC3E10" w:rsidRPr="00D41A7C" w:rsidRDefault="00AC3E10" w:rsidP="00AC3E10">
      <w:pPr>
        <w:pStyle w:val="NoSpacing"/>
        <w:rPr>
          <w:rFonts w:ascii="Arial Black" w:hAnsi="Arial Black"/>
          <w:b/>
          <w:bCs/>
          <w:sz w:val="28"/>
          <w:szCs w:val="28"/>
        </w:rPr>
      </w:pPr>
      <w:r>
        <w:rPr>
          <w:rFonts w:ascii="Arial Black" w:hAnsi="Arial Black"/>
          <w:b/>
          <w:bCs/>
          <w:sz w:val="28"/>
          <w:szCs w:val="28"/>
        </w:rPr>
        <w:t>OH: EMS TREATING HEAD INJURY OF DRUNK FEMALE – SHE RESISTED ARREST DRUNK BOYFRIEND – PATIENT CONV.</w:t>
      </w:r>
    </w:p>
    <w:p w14:paraId="4A19D415" w14:textId="77777777" w:rsidR="00AC3E10" w:rsidRPr="00E460C5" w:rsidRDefault="00AC3E10" w:rsidP="00AC3E10">
      <w:pPr>
        <w:pStyle w:val="NoSpacing"/>
        <w:rPr>
          <w:rFonts w:ascii="Times New Roman" w:hAnsi="Times New Roman"/>
          <w:sz w:val="24"/>
          <w:szCs w:val="24"/>
        </w:rPr>
      </w:pPr>
    </w:p>
    <w:p w14:paraId="5BEA05F0" w14:textId="77777777" w:rsidR="00AC3E10" w:rsidRDefault="00AC3E10" w:rsidP="00AC3E10">
      <w:pPr>
        <w:pStyle w:val="NoSpacing"/>
        <w:rPr>
          <w:rFonts w:ascii="Times New Roman" w:hAnsi="Times New Roman"/>
          <w:sz w:val="24"/>
          <w:szCs w:val="24"/>
        </w:rPr>
      </w:pPr>
      <w:r>
        <w:rPr>
          <w:rFonts w:ascii="Times New Roman" w:hAnsi="Times New Roman"/>
          <w:sz w:val="24"/>
          <w:szCs w:val="24"/>
        </w:rPr>
        <w:t xml:space="preserve">On Sept. 25, 2023, in </w:t>
      </w:r>
      <w:r w:rsidRPr="008B3A9C">
        <w:rPr>
          <w:rFonts w:ascii="Times New Roman" w:hAnsi="Times New Roman"/>
          <w:sz w:val="24"/>
          <w:szCs w:val="24"/>
          <w:u w:val="single"/>
        </w:rPr>
        <w:t>State of Ohio v. Veronica Sepulveda</w:t>
      </w:r>
      <w:r>
        <w:rPr>
          <w:rFonts w:ascii="Times New Roman" w:hAnsi="Times New Roman"/>
          <w:sz w:val="24"/>
          <w:szCs w:val="24"/>
        </w:rPr>
        <w:t xml:space="preserve">, the Court of Appeals of Ohio, Third Appellate District, Auglaize County, held (3 to 0) that jury properly found her guilty of Resisting Arrest (sentenced 30 days in jail); jury found her not guilty of </w:t>
      </w:r>
      <w:r w:rsidRPr="008B3A9C">
        <w:rPr>
          <w:rFonts w:ascii="Times New Roman" w:hAnsi="Times New Roman"/>
          <w:sz w:val="24"/>
          <w:szCs w:val="24"/>
        </w:rPr>
        <w:t>Obstructing Official Business.</w:t>
      </w:r>
      <w:r>
        <w:rPr>
          <w:rFonts w:ascii="Times New Roman" w:hAnsi="Times New Roman"/>
          <w:sz w:val="24"/>
          <w:szCs w:val="24"/>
        </w:rPr>
        <w:t xml:space="preserve">  Police officer told boyfriend to allow medics to treat her; when he refused, she interfered with arrest of her boyfriend. </w:t>
      </w:r>
    </w:p>
    <w:p w14:paraId="3BF2C000" w14:textId="77777777" w:rsidR="00AC3E10" w:rsidRDefault="00AC3E10" w:rsidP="00AC3E10">
      <w:pPr>
        <w:pStyle w:val="NoSpacing"/>
        <w:rPr>
          <w:rFonts w:ascii="Times New Roman" w:hAnsi="Times New Roman"/>
          <w:sz w:val="24"/>
          <w:szCs w:val="24"/>
        </w:rPr>
      </w:pPr>
    </w:p>
    <w:p w14:paraId="6ABC847B"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r w:rsidRPr="00DA08AA">
        <w:rPr>
          <w:rFonts w:ascii="Times New Roman" w:hAnsi="Times New Roman"/>
          <w:sz w:val="24"/>
          <w:szCs w:val="24"/>
        </w:rPr>
        <w:t>Sepulveda was convicted of Resisting Arrest in violation of R.C.</w:t>
      </w:r>
      <w:r>
        <w:rPr>
          <w:rFonts w:ascii="Times New Roman" w:hAnsi="Times New Roman"/>
          <w:sz w:val="24"/>
          <w:szCs w:val="24"/>
        </w:rPr>
        <w:t xml:space="preserve"> </w:t>
      </w:r>
      <w:r w:rsidRPr="00DA08AA">
        <w:rPr>
          <w:rFonts w:ascii="Times New Roman" w:hAnsi="Times New Roman"/>
          <w:sz w:val="24"/>
          <w:szCs w:val="24"/>
        </w:rPr>
        <w:t xml:space="preserve">2921.33(A), which reads, </w:t>
      </w:r>
      <w:r>
        <w:rPr>
          <w:rFonts w:ascii="Times New Roman" w:hAnsi="Times New Roman"/>
          <w:sz w:val="24"/>
          <w:szCs w:val="24"/>
        </w:rPr>
        <w:t>‘</w:t>
      </w:r>
      <w:r w:rsidRPr="00DA08AA">
        <w:rPr>
          <w:rFonts w:ascii="Times New Roman" w:hAnsi="Times New Roman"/>
          <w:sz w:val="24"/>
          <w:szCs w:val="24"/>
        </w:rPr>
        <w:t>No person, recklessly or by force, shall resist or interfere</w:t>
      </w:r>
      <w:r>
        <w:rPr>
          <w:rFonts w:ascii="Times New Roman" w:hAnsi="Times New Roman"/>
          <w:sz w:val="24"/>
          <w:szCs w:val="24"/>
        </w:rPr>
        <w:t xml:space="preserve"> </w:t>
      </w:r>
      <w:r w:rsidRPr="00DA08AA">
        <w:rPr>
          <w:rFonts w:ascii="Times New Roman" w:hAnsi="Times New Roman"/>
          <w:sz w:val="24"/>
          <w:szCs w:val="24"/>
        </w:rPr>
        <w:t>with a lawful arrest of the person or another.</w:t>
      </w:r>
      <w:r>
        <w:rPr>
          <w:rFonts w:ascii="Times New Roman" w:hAnsi="Times New Roman"/>
          <w:sz w:val="24"/>
          <w:szCs w:val="24"/>
        </w:rPr>
        <w:t>’</w:t>
      </w:r>
    </w:p>
    <w:p w14:paraId="5D3363A2" w14:textId="77777777" w:rsidR="00AC3E10" w:rsidRDefault="00AC3E10" w:rsidP="00AC3E10">
      <w:pPr>
        <w:pStyle w:val="NoSpacing"/>
        <w:ind w:left="720"/>
        <w:rPr>
          <w:rFonts w:ascii="Times New Roman" w:hAnsi="Times New Roman"/>
          <w:sz w:val="24"/>
          <w:szCs w:val="24"/>
        </w:rPr>
      </w:pPr>
    </w:p>
    <w:p w14:paraId="17822ED9" w14:textId="77777777" w:rsidR="00AC3E10" w:rsidRPr="00E460C5" w:rsidRDefault="00AC3E10" w:rsidP="00AC3E10">
      <w:pPr>
        <w:pStyle w:val="NoSpacing"/>
        <w:ind w:left="720"/>
        <w:rPr>
          <w:rFonts w:ascii="Times New Roman" w:hAnsi="Times New Roman"/>
          <w:sz w:val="24"/>
          <w:szCs w:val="24"/>
        </w:rPr>
      </w:pPr>
      <w:r>
        <w:rPr>
          <w:rFonts w:ascii="Times New Roman" w:hAnsi="Times New Roman"/>
          <w:sz w:val="24"/>
          <w:szCs w:val="24"/>
        </w:rPr>
        <w:t>[W]</w:t>
      </w:r>
      <w:proofErr w:type="spellStart"/>
      <w:r w:rsidRPr="00D16E8F">
        <w:rPr>
          <w:rFonts w:ascii="Times New Roman" w:hAnsi="Times New Roman"/>
          <w:sz w:val="24"/>
          <w:szCs w:val="24"/>
        </w:rPr>
        <w:t>hile</w:t>
      </w:r>
      <w:proofErr w:type="spellEnd"/>
      <w:r w:rsidRPr="00D16E8F">
        <w:rPr>
          <w:rFonts w:ascii="Times New Roman" w:hAnsi="Times New Roman"/>
          <w:sz w:val="24"/>
          <w:szCs w:val="24"/>
        </w:rPr>
        <w:t xml:space="preserve"> Sepulveda may have encouraged </w:t>
      </w:r>
      <w:r>
        <w:rPr>
          <w:rFonts w:ascii="Times New Roman" w:hAnsi="Times New Roman"/>
          <w:sz w:val="24"/>
          <w:szCs w:val="24"/>
        </w:rPr>
        <w:t xml:space="preserve">[her boyfriend, Tyler] </w:t>
      </w:r>
      <w:r w:rsidRPr="00D16E8F">
        <w:rPr>
          <w:rFonts w:ascii="Times New Roman" w:hAnsi="Times New Roman"/>
          <w:sz w:val="24"/>
          <w:szCs w:val="24"/>
        </w:rPr>
        <w:t>Dunlap to comply</w:t>
      </w:r>
      <w:r>
        <w:rPr>
          <w:rFonts w:ascii="Times New Roman" w:hAnsi="Times New Roman"/>
          <w:sz w:val="24"/>
          <w:szCs w:val="24"/>
        </w:rPr>
        <w:t xml:space="preserve"> </w:t>
      </w:r>
      <w:r w:rsidRPr="00D16E8F">
        <w:rPr>
          <w:rFonts w:ascii="Times New Roman" w:hAnsi="Times New Roman"/>
          <w:sz w:val="24"/>
          <w:szCs w:val="24"/>
        </w:rPr>
        <w:t>with Lt. Place’s orders when Dunlap refused to move away from Sepulveda on the</w:t>
      </w:r>
      <w:r>
        <w:rPr>
          <w:rFonts w:ascii="Times New Roman" w:hAnsi="Times New Roman"/>
          <w:sz w:val="24"/>
          <w:szCs w:val="24"/>
        </w:rPr>
        <w:t xml:space="preserve"> </w:t>
      </w:r>
      <w:r w:rsidRPr="00D16E8F">
        <w:rPr>
          <w:rFonts w:ascii="Times New Roman" w:hAnsi="Times New Roman"/>
          <w:sz w:val="24"/>
          <w:szCs w:val="24"/>
        </w:rPr>
        <w:t>ground, this did not stop Sepulveda from getting between Dunlap and Lt. Place</w:t>
      </w:r>
      <w:r>
        <w:rPr>
          <w:rFonts w:ascii="Times New Roman" w:hAnsi="Times New Roman"/>
          <w:sz w:val="24"/>
          <w:szCs w:val="24"/>
        </w:rPr>
        <w:t xml:space="preserve"> </w:t>
      </w:r>
      <w:r w:rsidRPr="00D16E8F">
        <w:rPr>
          <w:rFonts w:ascii="Times New Roman" w:hAnsi="Times New Roman"/>
          <w:sz w:val="24"/>
          <w:szCs w:val="24"/>
        </w:rPr>
        <w:t>when the arrest was taking place shortly thereafter. Sepulveda’s action in getting</w:t>
      </w:r>
      <w:r>
        <w:rPr>
          <w:rFonts w:ascii="Times New Roman" w:hAnsi="Times New Roman"/>
          <w:sz w:val="24"/>
          <w:szCs w:val="24"/>
        </w:rPr>
        <w:t xml:space="preserve"> </w:t>
      </w:r>
      <w:r w:rsidRPr="00D16E8F">
        <w:rPr>
          <w:rFonts w:ascii="Times New Roman" w:hAnsi="Times New Roman"/>
          <w:sz w:val="24"/>
          <w:szCs w:val="24"/>
        </w:rPr>
        <w:t>between Lt. Place and Dunlap, combined with her action moving Lt. Place’s Taser,</w:t>
      </w:r>
      <w:r>
        <w:rPr>
          <w:rFonts w:ascii="Times New Roman" w:hAnsi="Times New Roman"/>
          <w:sz w:val="24"/>
          <w:szCs w:val="24"/>
        </w:rPr>
        <w:t xml:space="preserve"> </w:t>
      </w:r>
      <w:r w:rsidRPr="00D16E8F">
        <w:rPr>
          <w:rFonts w:ascii="Times New Roman" w:hAnsi="Times New Roman"/>
          <w:sz w:val="24"/>
          <w:szCs w:val="24"/>
        </w:rPr>
        <w:t>led to her charges in this case.</w:t>
      </w:r>
      <w:r>
        <w:rPr>
          <w:rFonts w:ascii="Times New Roman" w:hAnsi="Times New Roman"/>
          <w:sz w:val="24"/>
          <w:szCs w:val="24"/>
        </w:rPr>
        <w:t xml:space="preserve">” </w:t>
      </w:r>
      <w:hyperlink r:id="rId2073" w:history="1">
        <w:r w:rsidRPr="00633022">
          <w:rPr>
            <w:rStyle w:val="Hyperlink"/>
            <w:rFonts w:ascii="Times New Roman" w:hAnsi="Times New Roman"/>
            <w:sz w:val="24"/>
            <w:szCs w:val="24"/>
          </w:rPr>
          <w:t>https://www.supremecourt.ohio.gov/rod/docs/pdf/3/2023/2023-Ohio-3429.pdf</w:t>
        </w:r>
      </w:hyperlink>
      <w:r>
        <w:rPr>
          <w:rFonts w:ascii="Times New Roman" w:hAnsi="Times New Roman"/>
          <w:sz w:val="24"/>
          <w:szCs w:val="24"/>
        </w:rPr>
        <w:t xml:space="preserve"> </w:t>
      </w:r>
    </w:p>
    <w:p w14:paraId="55E1510F" w14:textId="77777777" w:rsidR="00AC3E10" w:rsidRDefault="00AC3E10" w:rsidP="00AC3E10">
      <w:pPr>
        <w:pStyle w:val="NoSpacing"/>
        <w:rPr>
          <w:rFonts w:ascii="Times New Roman" w:hAnsi="Times New Roman"/>
          <w:b/>
          <w:bCs/>
          <w:sz w:val="24"/>
          <w:szCs w:val="24"/>
        </w:rPr>
      </w:pPr>
    </w:p>
    <w:p w14:paraId="0F02E092" w14:textId="7CB8BAC0" w:rsidR="00AC3E10" w:rsidRDefault="00AC3E10" w:rsidP="00AC3E10">
      <w:pPr>
        <w:pStyle w:val="NoSpacing"/>
        <w:rPr>
          <w:rFonts w:ascii="Times New Roman" w:hAnsi="Times New Roman"/>
          <w:b/>
          <w:bCs/>
          <w:sz w:val="24"/>
          <w:szCs w:val="24"/>
        </w:rPr>
      </w:pPr>
      <w:r w:rsidRPr="00A44D24">
        <w:rPr>
          <w:rFonts w:ascii="Times New Roman" w:hAnsi="Times New Roman"/>
          <w:b/>
          <w:bCs/>
          <w:sz w:val="24"/>
          <w:szCs w:val="24"/>
        </w:rPr>
        <w:t>Legal Lesson Learned:</w:t>
      </w:r>
      <w:r>
        <w:rPr>
          <w:rFonts w:ascii="Times New Roman" w:hAnsi="Times New Roman"/>
          <w:b/>
          <w:bCs/>
          <w:sz w:val="24"/>
          <w:szCs w:val="24"/>
        </w:rPr>
        <w:t xml:space="preserve"> Intoxicated patient, intoxicated boyfriend, injured police officer – 30 days in jail seems like a light sentence. </w:t>
      </w:r>
    </w:p>
    <w:p w14:paraId="29E166E2" w14:textId="77777777" w:rsidR="00AC3E10" w:rsidRDefault="00AC3E10" w:rsidP="006A02A4">
      <w:pPr>
        <w:rPr>
          <w:rFonts w:ascii="Arial Black" w:hAnsi="Arial Black"/>
          <w:b/>
          <w:bCs/>
          <w:sz w:val="28"/>
          <w:szCs w:val="28"/>
        </w:rPr>
      </w:pPr>
    </w:p>
    <w:p w14:paraId="0E25C8EE" w14:textId="4BF5E621" w:rsidR="00AC3E10" w:rsidRDefault="008F7EBA" w:rsidP="006A02A4">
      <w:pPr>
        <w:rPr>
          <w:rFonts w:ascii="Arial Black" w:hAnsi="Arial Black"/>
          <w:b/>
          <w:bCs/>
          <w:sz w:val="28"/>
          <w:szCs w:val="28"/>
        </w:rPr>
      </w:pPr>
      <w:r>
        <w:rPr>
          <w:rFonts w:ascii="Arial Black" w:hAnsi="Arial Black"/>
          <w:b/>
          <w:bCs/>
          <w:sz w:val="28"/>
          <w:szCs w:val="28"/>
        </w:rPr>
        <w:t>13-154</w:t>
      </w:r>
    </w:p>
    <w:p w14:paraId="3E33E6D2" w14:textId="338A5855" w:rsidR="008F7EBA" w:rsidRDefault="008F7EBA" w:rsidP="008F7EBA">
      <w:pPr>
        <w:pStyle w:val="NormalWeb"/>
        <w:rPr>
          <w:rFonts w:ascii="Arial Black" w:hAnsi="Arial Black"/>
          <w:b/>
          <w:bCs/>
          <w:sz w:val="28"/>
          <w:szCs w:val="28"/>
        </w:rPr>
      </w:pPr>
      <w:bookmarkStart w:id="435" w:name="_Hlk147080981"/>
      <w:r>
        <w:rPr>
          <w:rFonts w:ascii="Arial Black" w:hAnsi="Arial Black"/>
          <w:b/>
          <w:bCs/>
          <w:sz w:val="28"/>
          <w:szCs w:val="28"/>
        </w:rPr>
        <w:t>MI: POLICE – HANDCUFFED, FACE DOWN PRISONER – DIED ASPHYXIA – EMS IN 3 MIN - NO PD QUAL. IMMUNITY</w:t>
      </w:r>
    </w:p>
    <w:bookmarkEnd w:id="435"/>
    <w:p w14:paraId="682AD423" w14:textId="77777777" w:rsidR="008F7EBA" w:rsidRDefault="008F7EBA" w:rsidP="008F7EBA">
      <w:pPr>
        <w:pStyle w:val="NormalWeb"/>
      </w:pPr>
      <w:r w:rsidRPr="009B2552">
        <w:t xml:space="preserve">On </w:t>
      </w:r>
      <w:r>
        <w:t xml:space="preserve">Sept. 21, 2023, in Thomas E. </w:t>
      </w:r>
      <w:proofErr w:type="spellStart"/>
      <w:r>
        <w:t>Lunneen</w:t>
      </w:r>
      <w:proofErr w:type="spellEnd"/>
      <w:r>
        <w:t xml:space="preserve">, personal representative of the estate of </w:t>
      </w:r>
      <w:r w:rsidRPr="009B2552">
        <w:rPr>
          <w:u w:val="single"/>
        </w:rPr>
        <w:t xml:space="preserve">Jack C. </w:t>
      </w:r>
      <w:proofErr w:type="spellStart"/>
      <w:r w:rsidRPr="009B2552">
        <w:rPr>
          <w:u w:val="single"/>
        </w:rPr>
        <w:t>Lunneen</w:t>
      </w:r>
      <w:proofErr w:type="spellEnd"/>
      <w:r w:rsidRPr="009B2552">
        <w:rPr>
          <w:u w:val="single"/>
        </w:rPr>
        <w:t xml:space="preserve"> v. Village of Berrien Springs, Michigan, et al.</w:t>
      </w:r>
      <w:r>
        <w:t xml:space="preserve">, the U.S. Court of Appeals for the Sixth Circuit (Cincinnati) held (2 to 1) that the trial court judge properly denied qualified immunity to the arresting police officers and the village.  A jury will now decide if police </w:t>
      </w:r>
      <w:proofErr w:type="gramStart"/>
      <w:r>
        <w:t>used</w:t>
      </w:r>
      <w:proofErr w:type="gramEnd"/>
      <w:r>
        <w:t xml:space="preserve"> substantial force on the back of the handcuffed prisoner. EMS arrived three minutes after the arrest and will likely be called as witnesses for the plaintiff. </w:t>
      </w:r>
    </w:p>
    <w:p w14:paraId="7FAA2AAB" w14:textId="4E19385A" w:rsidR="008F7EBA" w:rsidRDefault="008F7EBA" w:rsidP="008F7EBA">
      <w:pPr>
        <w:ind w:left="720"/>
        <w:rPr>
          <w:rFonts w:ascii="Arial Black" w:hAnsi="Arial Black"/>
          <w:b/>
          <w:bCs/>
          <w:sz w:val="28"/>
          <w:szCs w:val="28"/>
        </w:rPr>
      </w:pPr>
      <w:r>
        <w:rPr>
          <w:rFonts w:ascii="Times New Roman" w:eastAsia="Times New Roman" w:hAnsi="Times New Roman"/>
          <w:sz w:val="24"/>
          <w:szCs w:val="24"/>
        </w:rPr>
        <w:t>“</w:t>
      </w:r>
      <w:r w:rsidRPr="00A35759">
        <w:rPr>
          <w:rFonts w:ascii="Times New Roman" w:eastAsia="Times New Roman" w:hAnsi="Times New Roman"/>
          <w:sz w:val="24"/>
          <w:szCs w:val="24"/>
        </w:rPr>
        <w:t>Wyss [</w:t>
      </w:r>
      <w:r w:rsidRPr="00A35759">
        <w:rPr>
          <w:rFonts w:ascii="Times New Roman" w:hAnsi="Times New Roman"/>
          <w:sz w:val="24"/>
          <w:szCs w:val="24"/>
        </w:rPr>
        <w:t xml:space="preserve">Officer James Wyss of the Village of Berrien Springs-Oronoko Township Police Department] </w:t>
      </w:r>
      <w:r w:rsidRPr="00A35759">
        <w:rPr>
          <w:rFonts w:ascii="Times New Roman" w:eastAsia="Times New Roman" w:hAnsi="Times New Roman"/>
          <w:sz w:val="24"/>
          <w:szCs w:val="24"/>
        </w:rPr>
        <w:t>argues</w:t>
      </w:r>
      <w:r w:rsidRPr="00646482">
        <w:rPr>
          <w:rFonts w:ascii="Times New Roman" w:eastAsia="Times New Roman" w:hAnsi="Times New Roman"/>
          <w:sz w:val="24"/>
          <w:szCs w:val="24"/>
        </w:rPr>
        <w:t xml:space="preserve"> that the district court erred because </w:t>
      </w:r>
      <w:r>
        <w:rPr>
          <w:rFonts w:ascii="Times New Roman" w:eastAsia="Times New Roman" w:hAnsi="Times New Roman"/>
          <w:sz w:val="24"/>
          <w:szCs w:val="24"/>
        </w:rPr>
        <w:t>‘</w:t>
      </w:r>
      <w:r w:rsidRPr="00646482">
        <w:rPr>
          <w:rFonts w:ascii="Times New Roman" w:eastAsia="Times New Roman" w:hAnsi="Times New Roman"/>
          <w:sz w:val="24"/>
          <w:szCs w:val="24"/>
        </w:rPr>
        <w:t xml:space="preserve">[t]here is nothing unreasonable and unconstitutional about </w:t>
      </w:r>
      <w:r w:rsidRPr="00646482">
        <w:rPr>
          <w:rFonts w:ascii="Times New Roman" w:eastAsia="Times New Roman" w:hAnsi="Times New Roman"/>
          <w:i/>
          <w:iCs/>
          <w:sz w:val="24"/>
          <w:szCs w:val="24"/>
        </w:rPr>
        <w:t>merely holding onto the handcuffs</w:t>
      </w:r>
      <w:r w:rsidRPr="00646482">
        <w:rPr>
          <w:rFonts w:ascii="Times New Roman" w:eastAsia="Times New Roman" w:hAnsi="Times New Roman"/>
          <w:sz w:val="24"/>
          <w:szCs w:val="24"/>
        </w:rPr>
        <w:t xml:space="preserve"> following the erratic behavior and extensive resistance displayed by </w:t>
      </w:r>
      <w:proofErr w:type="spellStart"/>
      <w:r w:rsidRPr="00646482">
        <w:rPr>
          <w:rFonts w:ascii="Times New Roman" w:eastAsia="Times New Roman" w:hAnsi="Times New Roman"/>
          <w:sz w:val="24"/>
          <w:szCs w:val="24"/>
        </w:rPr>
        <w:t>Lunneen</w:t>
      </w:r>
      <w:proofErr w:type="spellEnd"/>
      <w:r w:rsidRPr="00646482">
        <w:rPr>
          <w:rFonts w:ascii="Times New Roman" w:eastAsia="Times New Roman" w:hAnsi="Times New Roman"/>
          <w:sz w:val="24"/>
          <w:szCs w:val="24"/>
        </w:rPr>
        <w:t xml:space="preserve"> before he was detained.</w:t>
      </w:r>
      <w:r>
        <w:rPr>
          <w:rFonts w:ascii="Times New Roman" w:eastAsia="Times New Roman" w:hAnsi="Times New Roman"/>
          <w:sz w:val="24"/>
          <w:szCs w:val="24"/>
        </w:rPr>
        <w:t>’</w:t>
      </w:r>
      <w:r w:rsidRPr="00646482">
        <w:rPr>
          <w:rFonts w:ascii="Times New Roman" w:eastAsia="Times New Roman" w:hAnsi="Times New Roman"/>
          <w:sz w:val="24"/>
          <w:szCs w:val="24"/>
        </w:rPr>
        <w:t xml:space="preserve"> Wyss Opening Br. at 33 (emphasis added). But Wyss's argument is based on his own version of the facts-that he was </w:t>
      </w:r>
      <w:r>
        <w:rPr>
          <w:rFonts w:ascii="Times New Roman" w:eastAsia="Times New Roman" w:hAnsi="Times New Roman"/>
          <w:sz w:val="24"/>
          <w:szCs w:val="24"/>
        </w:rPr>
        <w:t>‘</w:t>
      </w:r>
      <w:r w:rsidRPr="00646482">
        <w:rPr>
          <w:rFonts w:ascii="Times New Roman" w:eastAsia="Times New Roman" w:hAnsi="Times New Roman"/>
          <w:sz w:val="24"/>
          <w:szCs w:val="24"/>
        </w:rPr>
        <w:t>merely holding onto the handcuffs.</w:t>
      </w:r>
      <w:r>
        <w:rPr>
          <w:rFonts w:ascii="Times New Roman" w:eastAsia="Times New Roman" w:hAnsi="Times New Roman"/>
          <w:sz w:val="24"/>
          <w:szCs w:val="24"/>
        </w:rPr>
        <w:t>’</w:t>
      </w:r>
      <w:r w:rsidRPr="00646482">
        <w:rPr>
          <w:rFonts w:ascii="Times New Roman" w:eastAsia="Times New Roman" w:hAnsi="Times New Roman"/>
          <w:sz w:val="24"/>
          <w:szCs w:val="24"/>
        </w:rPr>
        <w:t xml:space="preserve"> The video footage does not indisputably demonstrate this; Wyss's hand often appears to be in contact with </w:t>
      </w:r>
      <w:proofErr w:type="spellStart"/>
      <w:r w:rsidRPr="00646482">
        <w:rPr>
          <w:rFonts w:ascii="Times New Roman" w:eastAsia="Times New Roman" w:hAnsi="Times New Roman"/>
          <w:sz w:val="24"/>
          <w:szCs w:val="24"/>
        </w:rPr>
        <w:t>Lunneen's</w:t>
      </w:r>
      <w:proofErr w:type="spellEnd"/>
      <w:r w:rsidRPr="00646482">
        <w:rPr>
          <w:rFonts w:ascii="Times New Roman" w:eastAsia="Times New Roman" w:hAnsi="Times New Roman"/>
          <w:sz w:val="24"/>
          <w:szCs w:val="24"/>
        </w:rPr>
        <w:t xml:space="preserve"> back during this time and the amount of pressure he applies is not clear. And, as discussed above, Plaintiff's expert opined that </w:t>
      </w:r>
      <w:proofErr w:type="spellStart"/>
      <w:r w:rsidRPr="00646482">
        <w:rPr>
          <w:rFonts w:ascii="Times New Roman" w:eastAsia="Times New Roman" w:hAnsi="Times New Roman"/>
          <w:sz w:val="24"/>
          <w:szCs w:val="24"/>
        </w:rPr>
        <w:t>Lunneen's</w:t>
      </w:r>
      <w:proofErr w:type="spellEnd"/>
      <w:r w:rsidRPr="00646482">
        <w:rPr>
          <w:rFonts w:ascii="Times New Roman" w:eastAsia="Times New Roman" w:hAnsi="Times New Roman"/>
          <w:sz w:val="24"/>
          <w:szCs w:val="24"/>
        </w:rPr>
        <w:t xml:space="preserve"> autopsy revealed </w:t>
      </w:r>
      <w:r>
        <w:rPr>
          <w:rFonts w:ascii="Times New Roman" w:eastAsia="Times New Roman" w:hAnsi="Times New Roman"/>
          <w:sz w:val="24"/>
          <w:szCs w:val="24"/>
        </w:rPr>
        <w:t>‘</w:t>
      </w:r>
      <w:r w:rsidRPr="00646482">
        <w:rPr>
          <w:rFonts w:ascii="Times New Roman" w:eastAsia="Times New Roman" w:hAnsi="Times New Roman"/>
          <w:sz w:val="24"/>
          <w:szCs w:val="24"/>
        </w:rPr>
        <w:t>large areas of hemorrhage in the soft tissues and deep muscles of the mid and lower back bilaterally, evidence of severe prone back pressure.</w:t>
      </w:r>
      <w:r>
        <w:rPr>
          <w:rFonts w:ascii="Times New Roman" w:eastAsia="Times New Roman" w:hAnsi="Times New Roman"/>
          <w:sz w:val="24"/>
          <w:szCs w:val="24"/>
        </w:rPr>
        <w:t>’</w:t>
      </w:r>
      <w:r w:rsidRPr="00646482">
        <w:rPr>
          <w:rFonts w:ascii="Times New Roman" w:eastAsia="Times New Roman" w:hAnsi="Times New Roman"/>
          <w:sz w:val="24"/>
          <w:szCs w:val="24"/>
        </w:rPr>
        <w:t xml:space="preserve"> R. 57-3, PID # 389; </w:t>
      </w:r>
      <w:r w:rsidRPr="00646482">
        <w:rPr>
          <w:rFonts w:ascii="Times New Roman" w:eastAsia="Times New Roman" w:hAnsi="Times New Roman"/>
          <w:i/>
          <w:iCs/>
          <w:sz w:val="24"/>
          <w:szCs w:val="24"/>
        </w:rPr>
        <w:t>see also</w:t>
      </w:r>
      <w:r w:rsidRPr="00646482">
        <w:rPr>
          <w:rFonts w:ascii="Times New Roman" w:eastAsia="Times New Roman" w:hAnsi="Times New Roman"/>
          <w:sz w:val="24"/>
          <w:szCs w:val="24"/>
        </w:rPr>
        <w:t xml:space="preserve"> R. 57-11 (report by Dr. </w:t>
      </w:r>
      <w:proofErr w:type="spellStart"/>
      <w:r w:rsidRPr="00646482">
        <w:rPr>
          <w:rFonts w:ascii="Times New Roman" w:eastAsia="Times New Roman" w:hAnsi="Times New Roman"/>
          <w:sz w:val="24"/>
          <w:szCs w:val="24"/>
        </w:rPr>
        <w:t>Wohlgelernter</w:t>
      </w:r>
      <w:proofErr w:type="spellEnd"/>
      <w:r w:rsidRPr="00646482">
        <w:rPr>
          <w:rFonts w:ascii="Times New Roman" w:eastAsia="Times New Roman" w:hAnsi="Times New Roman"/>
          <w:sz w:val="24"/>
          <w:szCs w:val="24"/>
        </w:rPr>
        <w:t xml:space="preserve">, who concluded that </w:t>
      </w:r>
      <w:proofErr w:type="spellStart"/>
      <w:r w:rsidRPr="00646482">
        <w:rPr>
          <w:rFonts w:ascii="Times New Roman" w:eastAsia="Times New Roman" w:hAnsi="Times New Roman"/>
          <w:sz w:val="24"/>
          <w:szCs w:val="24"/>
        </w:rPr>
        <w:t>Lunneen</w:t>
      </w:r>
      <w:proofErr w:type="spellEnd"/>
      <w:r w:rsidRPr="00646482">
        <w:rPr>
          <w:rFonts w:ascii="Times New Roman" w:eastAsia="Times New Roman" w:hAnsi="Times New Roman"/>
          <w:sz w:val="24"/>
          <w:szCs w:val="24"/>
        </w:rPr>
        <w:t xml:space="preserve"> died from </w:t>
      </w:r>
      <w:r>
        <w:rPr>
          <w:rFonts w:ascii="Times New Roman" w:eastAsia="Times New Roman" w:hAnsi="Times New Roman"/>
          <w:sz w:val="24"/>
          <w:szCs w:val="24"/>
        </w:rPr>
        <w:t>‘</w:t>
      </w:r>
      <w:r w:rsidRPr="00646482">
        <w:rPr>
          <w:rFonts w:ascii="Times New Roman" w:eastAsia="Times New Roman" w:hAnsi="Times New Roman"/>
          <w:sz w:val="24"/>
          <w:szCs w:val="24"/>
        </w:rPr>
        <w:t>restraint/compressive asphyxia with mechanical obstruction of respiration, secondary to compressive force applied to his torso by the police officers with resultant respiratory compromise and subsequent development of hypoxia/hypoxemia causing asystole and PEA cardiac arrest).</w:t>
      </w:r>
      <w:r>
        <w:rPr>
          <w:rFonts w:ascii="Times New Roman" w:eastAsia="Times New Roman" w:hAnsi="Times New Roman"/>
          <w:sz w:val="24"/>
          <w:szCs w:val="24"/>
        </w:rPr>
        <w:t xml:space="preserve">” </w:t>
      </w:r>
      <w:hyperlink r:id="rId2074" w:history="1">
        <w:r w:rsidRPr="00D01575">
          <w:rPr>
            <w:rStyle w:val="Hyperlink"/>
            <w:rFonts w:ascii="Times New Roman" w:eastAsia="Times New Roman" w:hAnsi="Times New Roman"/>
            <w:sz w:val="24"/>
            <w:szCs w:val="24"/>
          </w:rPr>
          <w:t>https://public.fastcase.com/ZZhmr5v9wN%2FXOe5IsQ%2FqDwASFNWp2rhZooTaAZ4JTmSP%2Ba577zfXOKFdhmxj2NNxZ%2BfUfh8HTXLnmAlto%2FfEgpJtIv6O1WLjBzQZiKVSV8A%3D?utm_medium=email&amp;_hsmi=226712652&amp;_hsenc=p2ANqtz-</w:t>
        </w:r>
        <w:r w:rsidRPr="00D01575">
          <w:rPr>
            <w:rStyle w:val="Hyperlink"/>
            <w:rFonts w:ascii="Times New Roman" w:eastAsia="Times New Roman" w:hAnsi="Times New Roman"/>
            <w:sz w:val="24"/>
            <w:szCs w:val="24"/>
          </w:rPr>
          <w:lastRenderedPageBreak/>
          <w:t>9KUYaeGFguXeYoSZu4M54zm4xcFhouQPplq1qZXjy7nqatE34VLjsx4SN3mygo2_n2CHhg7EjDYW1VqsMoJq110-zPJg&amp;utm_content=226712652&amp;utm_source=hs_email</w:t>
        </w:r>
      </w:hyperlink>
    </w:p>
    <w:p w14:paraId="39441514" w14:textId="77777777" w:rsidR="008F7EBA" w:rsidRPr="007C2BBC" w:rsidRDefault="008F7EBA" w:rsidP="008F7EBA">
      <w:pPr>
        <w:pStyle w:val="NormalWeb"/>
        <w:rPr>
          <w:b/>
          <w:bCs/>
        </w:rPr>
      </w:pPr>
      <w:r w:rsidRPr="007C2BBC">
        <w:rPr>
          <w:b/>
          <w:bCs/>
        </w:rPr>
        <w:t xml:space="preserve">Legal Lesson Learned: </w:t>
      </w:r>
      <w:r>
        <w:rPr>
          <w:b/>
          <w:bCs/>
        </w:rPr>
        <w:t xml:space="preserve">EMS who observe police holding face down a handcuffed prisoner can expect to testify if the prisoner dies or is seriously injured. </w:t>
      </w:r>
    </w:p>
    <w:p w14:paraId="6304ECCC" w14:textId="77777777" w:rsidR="00AC3E10" w:rsidRDefault="00AC3E10" w:rsidP="006A02A4">
      <w:pPr>
        <w:rPr>
          <w:rFonts w:ascii="Arial Black" w:hAnsi="Arial Black"/>
          <w:b/>
          <w:bCs/>
          <w:sz w:val="28"/>
          <w:szCs w:val="28"/>
        </w:rPr>
      </w:pPr>
    </w:p>
    <w:p w14:paraId="104E8460" w14:textId="77777777" w:rsidR="008F7EBA" w:rsidRDefault="008F7EBA" w:rsidP="006A02A4">
      <w:pPr>
        <w:rPr>
          <w:rFonts w:ascii="Arial Black" w:hAnsi="Arial Black"/>
          <w:b/>
          <w:bCs/>
          <w:sz w:val="28"/>
          <w:szCs w:val="28"/>
        </w:rPr>
      </w:pPr>
    </w:p>
    <w:p w14:paraId="6809C985" w14:textId="5A9A0D81" w:rsidR="00DA3CAA" w:rsidRDefault="00DA3CAA" w:rsidP="006A02A4">
      <w:pPr>
        <w:rPr>
          <w:rFonts w:ascii="Arial Black" w:hAnsi="Arial Black"/>
          <w:b/>
          <w:bCs/>
          <w:sz w:val="28"/>
          <w:szCs w:val="28"/>
        </w:rPr>
      </w:pPr>
      <w:r>
        <w:rPr>
          <w:rFonts w:ascii="Arial Black" w:hAnsi="Arial Black"/>
          <w:b/>
          <w:bCs/>
          <w:sz w:val="28"/>
          <w:szCs w:val="28"/>
        </w:rPr>
        <w:t>13-153</w:t>
      </w:r>
    </w:p>
    <w:p w14:paraId="6EA7B7A2" w14:textId="77777777" w:rsidR="00DA3CAA" w:rsidRDefault="00DA3CAA" w:rsidP="00DA3CAA">
      <w:pPr>
        <w:pStyle w:val="NormalWeb"/>
        <w:rPr>
          <w:rFonts w:ascii="Arial Black" w:hAnsi="Arial Black"/>
          <w:sz w:val="28"/>
          <w:szCs w:val="28"/>
        </w:rPr>
      </w:pPr>
      <w:r>
        <w:rPr>
          <w:rFonts w:ascii="Arial Black" w:hAnsi="Arial Black"/>
          <w:sz w:val="28"/>
          <w:szCs w:val="28"/>
        </w:rPr>
        <w:t>PA: DIZZINESS / LIFT ASSIST – DIDN’T BRING IN MONITOR – REFUSED TRANSPORT, CARDIAC ARREST – NO GROSS NEG.</w:t>
      </w:r>
    </w:p>
    <w:p w14:paraId="333CC0EE" w14:textId="77777777" w:rsidR="00DA3CAA" w:rsidRPr="00DA3CAA" w:rsidRDefault="00DA3CAA" w:rsidP="00DA3CAA">
      <w:pPr>
        <w:spacing w:after="100" w:line="240" w:lineRule="auto"/>
        <w:rPr>
          <w:rFonts w:ascii="Times New Roman" w:eastAsia="Times New Roman" w:hAnsi="Times New Roman"/>
          <w:sz w:val="24"/>
          <w:szCs w:val="24"/>
        </w:rPr>
      </w:pPr>
      <w:r w:rsidRPr="00DA3CAA">
        <w:rPr>
          <w:rFonts w:ascii="Times New Roman" w:hAnsi="Times New Roman"/>
          <w:sz w:val="24"/>
          <w:szCs w:val="24"/>
        </w:rPr>
        <w:t xml:space="preserve">On July 28, 2023, in </w:t>
      </w:r>
      <w:r w:rsidRPr="00DA3CAA">
        <w:rPr>
          <w:rFonts w:ascii="Times New Roman" w:hAnsi="Times New Roman"/>
          <w:sz w:val="24"/>
          <w:szCs w:val="24"/>
          <w:u w:val="single"/>
        </w:rPr>
        <w:t>Frederick T. Fry. Administrator of Estate of Jean Ann Fry v. Montrose Minute Men, Inc</w:t>
      </w:r>
      <w:r w:rsidRPr="00DA3CAA">
        <w:rPr>
          <w:rFonts w:ascii="Times New Roman" w:hAnsi="Times New Roman"/>
          <w:sz w:val="24"/>
          <w:szCs w:val="24"/>
        </w:rPr>
        <w:t>., the Superior Court of Pennsylvania, held (3 to 0; non-precedential decision) that the trial court properly granted EMS summary judgment.  There may have been negligence regarding not bringing in monitor, and subsequent actions at the scene (plaintiff’s two expert witness medical doctors submitted reports finding breaches of protocol), but there was no proof of gross negligence.  The expert witness for EMS, another medical doctor, in his report disagree and concluded, “T</w:t>
      </w:r>
      <w:r w:rsidRPr="00DA3CAA">
        <w:rPr>
          <w:rFonts w:ascii="Times New Roman" w:eastAsia="Times New Roman" w:hAnsi="Times New Roman"/>
          <w:sz w:val="24"/>
          <w:szCs w:val="24"/>
        </w:rPr>
        <w:t xml:space="preserve">he EMS providers on the scene responded admirably to a very difficult situation.” </w:t>
      </w:r>
    </w:p>
    <w:p w14:paraId="3CC246B3" w14:textId="77777777" w:rsidR="00DA3CAA" w:rsidRPr="00DA3CAA" w:rsidRDefault="00DA3CAA" w:rsidP="00DA3CAA">
      <w:pPr>
        <w:spacing w:after="100" w:line="240" w:lineRule="auto"/>
        <w:rPr>
          <w:rFonts w:ascii="Times New Roman" w:eastAsia="Times New Roman" w:hAnsi="Times New Roman"/>
          <w:sz w:val="24"/>
          <w:szCs w:val="24"/>
        </w:rPr>
      </w:pPr>
    </w:p>
    <w:p w14:paraId="041F0B83" w14:textId="77777777" w:rsidR="00DA3CAA" w:rsidRPr="00DA3CAA" w:rsidRDefault="00DA3CAA" w:rsidP="00DA3CAA">
      <w:pPr>
        <w:spacing w:after="100" w:line="240" w:lineRule="auto"/>
        <w:rPr>
          <w:rFonts w:ascii="Times New Roman" w:eastAsia="Times New Roman" w:hAnsi="Times New Roman"/>
          <w:sz w:val="24"/>
          <w:szCs w:val="24"/>
        </w:rPr>
      </w:pPr>
      <w:r w:rsidRPr="00DA3CAA">
        <w:rPr>
          <w:rFonts w:ascii="Times New Roman" w:eastAsia="Times New Roman" w:hAnsi="Times New Roman"/>
          <w:sz w:val="24"/>
          <w:szCs w:val="24"/>
        </w:rPr>
        <w:t xml:space="preserve">The Court held: </w:t>
      </w:r>
    </w:p>
    <w:p w14:paraId="360942D5" w14:textId="77777777" w:rsidR="00DA3CAA" w:rsidRPr="00DA3CAA" w:rsidRDefault="00DA3CAA" w:rsidP="00DA3CAA">
      <w:pPr>
        <w:spacing w:after="100" w:line="240" w:lineRule="auto"/>
        <w:rPr>
          <w:rFonts w:ascii="Times New Roman" w:hAnsi="Times New Roman"/>
          <w:sz w:val="24"/>
          <w:szCs w:val="24"/>
        </w:rPr>
      </w:pPr>
      <w:r w:rsidRPr="00DA3CAA">
        <w:rPr>
          <w:rFonts w:ascii="Times New Roman" w:hAnsi="Times New Roman"/>
          <w:sz w:val="24"/>
          <w:szCs w:val="24"/>
        </w:rPr>
        <w:t>“The crew's failure to bring in diagnostic equipment when they arrived at the Fry residence hardly rises to an extreme departure from the standard of care or shows a conscious, voluntary omission in reckless disregard of a legal duty. At most, the failure of the crew to bring equipment when they first arrived at the Fry home may - or may not - rise to a level of ordinary negligence.</w:t>
      </w:r>
    </w:p>
    <w:p w14:paraId="1C55BF98" w14:textId="77777777" w:rsidR="00DA3CAA" w:rsidRPr="00DA3CAA" w:rsidRDefault="00DA3CAA" w:rsidP="00DA3CAA">
      <w:pPr>
        <w:spacing w:after="100" w:line="240" w:lineRule="auto"/>
        <w:rPr>
          <w:rFonts w:ascii="Times New Roman" w:eastAsia="Times New Roman" w:hAnsi="Times New Roman"/>
          <w:sz w:val="24"/>
          <w:szCs w:val="24"/>
        </w:rPr>
      </w:pPr>
      <w:r w:rsidRPr="00DA3CAA">
        <w:rPr>
          <w:rFonts w:ascii="Times New Roman" w:hAnsi="Times New Roman"/>
          <w:sz w:val="24"/>
          <w:szCs w:val="24"/>
        </w:rPr>
        <w:t>***</w:t>
      </w:r>
    </w:p>
    <w:p w14:paraId="47FEE111" w14:textId="20A3F85F" w:rsidR="00DA3CAA" w:rsidRDefault="00DA3CAA" w:rsidP="00DA3CAA">
      <w:pPr>
        <w:rPr>
          <w:rFonts w:ascii="Arial Black" w:hAnsi="Arial Black"/>
          <w:b/>
          <w:bCs/>
          <w:sz w:val="28"/>
          <w:szCs w:val="28"/>
        </w:rPr>
      </w:pPr>
      <w:r w:rsidRPr="00DA3CAA">
        <w:rPr>
          <w:rFonts w:ascii="Times New Roman" w:hAnsi="Times New Roman"/>
          <w:sz w:val="24"/>
          <w:szCs w:val="24"/>
        </w:rPr>
        <w:t xml:space="preserve">Distilled down, Fry argues that his expert reports, by themselves, create inherent issues of fact that are necessary for jury adjudication. However, other than citing two pieces of ‘authority,’ one from this Court and another from a trial-court level decision, even accepting everything contained within his expert reports as true, Fry has failed to show that the Minute Men, or its agents, engaged in any kind of behavior that could be considered grossly negligent or willful misconduct.” </w:t>
      </w:r>
      <w:hyperlink r:id="rId2075" w:history="1">
        <w:r w:rsidRPr="00DA3CAA">
          <w:rPr>
            <w:rStyle w:val="Hyperlink"/>
            <w:rFonts w:ascii="Times New Roman" w:eastAsiaTheme="majorEastAsia" w:hAnsi="Times New Roman"/>
            <w:sz w:val="24"/>
            <w:szCs w:val="24"/>
          </w:rPr>
          <w:t>https://public.fastcase.com/ZZhmr5v9wN%2FXOe5IsQ%2FqD%2FMrsYybnhzToDs3pNIz1%2FKuVE%2FXrNjXuEwJjzIPMf50bv4pQ7cB9hbsaZ7iWrESGuHFIj%2FFdpWNLAaphAA7k6c%3D?utm_medium=email&amp;_hsmi=226712652&amp;_hsenc=p2ANqtz-_5oWIy3JVMzQhw9Nc4Op3ZwRC559261JhKrpKmwZ_i9sOC_6POwqnLW9vjaTKG4YfwH8U6J7L56i3T2Eyz1DW0ZK0ATw&amp;utm_content=226712652&amp;utm_source=hs_email</w:t>
        </w:r>
      </w:hyperlink>
    </w:p>
    <w:p w14:paraId="176A673A" w14:textId="77777777" w:rsidR="00DA3CAA" w:rsidRPr="00A95A76" w:rsidRDefault="00DA3CAA" w:rsidP="00DA3CAA">
      <w:pPr>
        <w:pStyle w:val="NormalWeb"/>
        <w:rPr>
          <w:b/>
          <w:bCs/>
        </w:rPr>
      </w:pPr>
      <w:r w:rsidRPr="00A95A76">
        <w:rPr>
          <w:b/>
          <w:bCs/>
        </w:rPr>
        <w:t xml:space="preserve">Legal Lesson Learned: </w:t>
      </w:r>
      <w:r>
        <w:rPr>
          <w:b/>
          <w:bCs/>
        </w:rPr>
        <w:t xml:space="preserve">Bring </w:t>
      </w:r>
      <w:proofErr w:type="gramStart"/>
      <w:r>
        <w:rPr>
          <w:b/>
          <w:bCs/>
        </w:rPr>
        <w:t>in</w:t>
      </w:r>
      <w:proofErr w:type="gramEnd"/>
      <w:r>
        <w:rPr>
          <w:b/>
          <w:bCs/>
        </w:rPr>
        <w:t xml:space="preserve"> Monitor even if call is for lift assist. </w:t>
      </w:r>
    </w:p>
    <w:p w14:paraId="35D5F126" w14:textId="77777777" w:rsidR="00DA3CAA" w:rsidRDefault="00DA3CAA" w:rsidP="006A02A4">
      <w:pPr>
        <w:rPr>
          <w:rFonts w:ascii="Arial Black" w:hAnsi="Arial Black"/>
          <w:b/>
          <w:bCs/>
          <w:sz w:val="28"/>
          <w:szCs w:val="28"/>
        </w:rPr>
      </w:pPr>
    </w:p>
    <w:p w14:paraId="3876C319" w14:textId="77777777" w:rsidR="00DA3CAA" w:rsidRDefault="00DA3CAA" w:rsidP="006A02A4">
      <w:pPr>
        <w:rPr>
          <w:rFonts w:ascii="Arial Black" w:hAnsi="Arial Black"/>
          <w:b/>
          <w:bCs/>
          <w:sz w:val="28"/>
          <w:szCs w:val="28"/>
        </w:rPr>
      </w:pPr>
    </w:p>
    <w:p w14:paraId="47119F22" w14:textId="6B9118F1" w:rsidR="00DA3CAA" w:rsidRDefault="00DA3CAA" w:rsidP="006A02A4">
      <w:pPr>
        <w:rPr>
          <w:rFonts w:ascii="Arial Black" w:hAnsi="Arial Black"/>
          <w:b/>
          <w:bCs/>
          <w:sz w:val="28"/>
          <w:szCs w:val="28"/>
        </w:rPr>
      </w:pPr>
      <w:r>
        <w:rPr>
          <w:rFonts w:ascii="Arial Black" w:hAnsi="Arial Black"/>
          <w:b/>
          <w:bCs/>
          <w:sz w:val="28"/>
          <w:szCs w:val="28"/>
        </w:rPr>
        <w:lastRenderedPageBreak/>
        <w:t>13-152</w:t>
      </w:r>
    </w:p>
    <w:p w14:paraId="6EF7D0FD" w14:textId="176F347C" w:rsidR="00DA3CAA" w:rsidRPr="00C03DA4" w:rsidRDefault="00DA3CAA" w:rsidP="00DA3CAA">
      <w:pPr>
        <w:pStyle w:val="NormalWeb"/>
        <w:rPr>
          <w:rFonts w:ascii="Arial Black" w:hAnsi="Arial Black"/>
          <w:b/>
          <w:bCs/>
          <w:sz w:val="28"/>
          <w:szCs w:val="28"/>
        </w:rPr>
      </w:pPr>
      <w:r>
        <w:rPr>
          <w:rFonts w:ascii="Arial Black" w:hAnsi="Arial Black"/>
          <w:b/>
          <w:bCs/>
          <w:sz w:val="28"/>
          <w:szCs w:val="28"/>
        </w:rPr>
        <w:t>MI: CEREBAL PALSY PATIENT – FAMILY SAID SHE STILL BREATHING - ALIVE FUNERAL HOME - EMS QUAL. IMMUN.</w:t>
      </w:r>
    </w:p>
    <w:p w14:paraId="341962BC" w14:textId="77777777" w:rsidR="00DA3CAA" w:rsidRDefault="00DA3CAA" w:rsidP="00DA3CAA">
      <w:pPr>
        <w:pStyle w:val="NormalWeb"/>
      </w:pPr>
      <w:r>
        <w:t xml:space="preserve">On July 26, 2023, in </w:t>
      </w:r>
      <w:r w:rsidRPr="00C03DA4">
        <w:rPr>
          <w:u w:val="single"/>
        </w:rPr>
        <w:t>Howard T. Linden, as Personal Representative of the Estate of Timesha Beauchamp v</w:t>
      </w:r>
      <w:r>
        <w:rPr>
          <w:u w:val="single"/>
        </w:rPr>
        <w:t>.</w:t>
      </w:r>
      <w:r w:rsidRPr="00C03DA4">
        <w:rPr>
          <w:u w:val="single"/>
        </w:rPr>
        <w:t xml:space="preserve"> City of Southfield, Michigan, et al</w:t>
      </w:r>
      <w:r>
        <w:t>., the U.S. Court of Appeals for 6</w:t>
      </w:r>
      <w:r w:rsidRPr="00C03DA4">
        <w:rPr>
          <w:vertAlign w:val="superscript"/>
        </w:rPr>
        <w:t>th</w:t>
      </w:r>
      <w:r>
        <w:t xml:space="preserve"> Circuit (Cincinnati) held (3 to 0) that the trial court judge properly dismissed the lawsuit, holding that that the paramedics enjoyed qualified immunity, and therefore the City is also not liable. On Aug. 23, 2020, EMS were called to home of a 20-year-old woman with cerebral palsy who was unresponsive. After CPR and ventilation with a bag valve mask, the family was told she had died.  However, on three occasions family members said she appeared to still be </w:t>
      </w:r>
      <w:proofErr w:type="gramStart"/>
      <w:r>
        <w:t>breathing</w:t>
      </w:r>
      <w:proofErr w:type="gramEnd"/>
      <w:r>
        <w:t xml:space="preserve"> and the monitor showed electrical activity.  When at funeral home, the embalmer saw her chest rising; she died six weeks later. The Court rejected plaintiff’s “state-created danger” theory since EMS did not expose the patient to “private acts of violence.” The Court also rejected the “failure to train” liability for the City, since the lawsuit complaint contained no factual allegations about their EMS training. </w:t>
      </w:r>
    </w:p>
    <w:p w14:paraId="4CEDA4A2" w14:textId="77777777" w:rsidR="00DA3CAA" w:rsidRDefault="00DA3CAA" w:rsidP="00DA3CAA">
      <w:pPr>
        <w:pStyle w:val="NormalWeb"/>
      </w:pPr>
      <w:r>
        <w:t>The Court held:</w:t>
      </w:r>
    </w:p>
    <w:p w14:paraId="53D1A8A0" w14:textId="77777777" w:rsidR="00DA3CAA" w:rsidRDefault="00DA3CAA" w:rsidP="00DA3CAA">
      <w:pPr>
        <w:pStyle w:val="NormalWeb"/>
      </w:pPr>
      <w:r>
        <w:t xml:space="preserve">Generally, there is no constitutional right to adequate medical care for individuals who are not in </w:t>
      </w:r>
      <w:proofErr w:type="gramStart"/>
      <w:r>
        <w:t>the custody</w:t>
      </w:r>
      <w:proofErr w:type="gramEnd"/>
      <w:r>
        <w:t xml:space="preserve"> of the state. See Jackson v. Schultz, 429 F.3d 586, 590 (6th Cir. 2005) (‘It is not a constitutional violation for a state actor to render incompetent medical assistance or fail to rescue those in need.” (</w:t>
      </w:r>
      <w:proofErr w:type="gramStart"/>
      <w:r>
        <w:t>citing</w:t>
      </w:r>
      <w:proofErr w:type="gramEnd"/>
      <w:r>
        <w:t xml:space="preserve"> </w:t>
      </w:r>
      <w:proofErr w:type="spellStart"/>
      <w:r>
        <w:t>DeShaney</w:t>
      </w:r>
      <w:proofErr w:type="spellEnd"/>
      <w:r>
        <w:t xml:space="preserve"> v. Winnebago </w:t>
      </w:r>
      <w:proofErr w:type="spellStart"/>
      <w:r>
        <w:t>Cnty</w:t>
      </w:r>
      <w:proofErr w:type="spellEnd"/>
      <w:r>
        <w:t xml:space="preserve">. </w:t>
      </w:r>
      <w:proofErr w:type="spellStart"/>
      <w:r>
        <w:t>Dep’t</w:t>
      </w:r>
      <w:proofErr w:type="spellEnd"/>
      <w:r>
        <w:t xml:space="preserve"> of Soc. Servs., 489 U.S. 189, 196 (1989))). However, there is an exception to that general principle where a state actor’s ‘affirmative act’ either ‘creates or increases a risk that the decedent would be exposed to ‘private acts of violence…’ </w:t>
      </w:r>
    </w:p>
    <w:p w14:paraId="2D3EF0CC" w14:textId="77777777" w:rsidR="00DA3CAA" w:rsidRDefault="00DA3CAA" w:rsidP="00DA3CAA">
      <w:pPr>
        <w:pStyle w:val="NormalWeb"/>
      </w:pPr>
      <w:r>
        <w:t>***</w:t>
      </w:r>
    </w:p>
    <w:p w14:paraId="62A88073" w14:textId="77777777" w:rsidR="00DA3CAA" w:rsidRDefault="00DA3CAA" w:rsidP="00DA3CAA">
      <w:pPr>
        <w:pStyle w:val="NormalWeb"/>
      </w:pPr>
      <w:r>
        <w:t xml:space="preserve">Qualified immunity “shields governmental officials from monetary damages </w:t>
      </w:r>
      <w:proofErr w:type="gramStart"/>
      <w:r>
        <w:t>as long as</w:t>
      </w:r>
      <w:proofErr w:type="gramEnd"/>
      <w:r>
        <w:t xml:space="preserve"> ‘their actions did not violate clearly established statutory or constitutional rights of which a reasonable person would have known.’” Sumpter v. Wayne Cnty., 868 F.3d 473, 480 (6th Cir.  2017) (quoting Chappell v. City of Cleveland, 585 F.3d 901, 907 (6th Cir. 2009))…. So it is hard to see how it could be ‘clearly established” that the First Responders exposed Beauchamp to a private act of violence when they mistakenly believed she was dead and left her in her family’s care to be processed for routine funeral proceedings, which included the Funeral Home employee’s act of putting Beauchamp’s presumed-dead body into a body bag to transport her to a funeral home.” </w:t>
      </w:r>
      <w:hyperlink r:id="rId2076" w:history="1">
        <w:r w:rsidRPr="00833D9A">
          <w:rPr>
            <w:rStyle w:val="Hyperlink"/>
            <w:rFonts w:eastAsiaTheme="majorEastAsia"/>
          </w:rPr>
          <w:t>https://www.opn.ca6.uscourts.gov/opinions.pdf/23a0156p-06.pdf</w:t>
        </w:r>
      </w:hyperlink>
      <w:r>
        <w:t xml:space="preserve"> </w:t>
      </w:r>
    </w:p>
    <w:p w14:paraId="35ED38F8" w14:textId="77777777" w:rsidR="00DA3CAA" w:rsidRPr="00CF63FC" w:rsidRDefault="00DA3CAA" w:rsidP="00DA3CAA">
      <w:pPr>
        <w:pStyle w:val="NormalWeb"/>
        <w:rPr>
          <w:b/>
          <w:bCs/>
        </w:rPr>
      </w:pPr>
      <w:r w:rsidRPr="00CF63FC">
        <w:rPr>
          <w:b/>
          <w:bCs/>
        </w:rPr>
        <w:t xml:space="preserve">Legal Lesson Learned: </w:t>
      </w:r>
      <w:r>
        <w:rPr>
          <w:b/>
          <w:bCs/>
        </w:rPr>
        <w:t xml:space="preserve">Terrible set of facts; review this case and your protocol on declaration of death with EMS personnel. </w:t>
      </w:r>
    </w:p>
    <w:p w14:paraId="68AF52B7" w14:textId="77777777" w:rsidR="00DA3CAA" w:rsidRDefault="00DA3CAA" w:rsidP="00DA3CAA">
      <w:pPr>
        <w:pStyle w:val="Heading1"/>
        <w:ind w:left="720"/>
        <w:rPr>
          <w:b w:val="0"/>
          <w:bCs w:val="0"/>
          <w:sz w:val="24"/>
          <w:szCs w:val="24"/>
        </w:rPr>
      </w:pPr>
      <w:r w:rsidRPr="00D87DB0">
        <w:rPr>
          <w:b w:val="0"/>
          <w:bCs w:val="0"/>
          <w:sz w:val="24"/>
          <w:szCs w:val="24"/>
        </w:rPr>
        <w:t xml:space="preserve">Note: See July 27, </w:t>
      </w:r>
      <w:proofErr w:type="gramStart"/>
      <w:r w:rsidRPr="00D87DB0">
        <w:rPr>
          <w:b w:val="0"/>
          <w:bCs w:val="0"/>
          <w:sz w:val="24"/>
          <w:szCs w:val="24"/>
        </w:rPr>
        <w:t>2023</w:t>
      </w:r>
      <w:proofErr w:type="gramEnd"/>
      <w:r w:rsidRPr="00D87DB0">
        <w:rPr>
          <w:b w:val="0"/>
          <w:bCs w:val="0"/>
          <w:sz w:val="24"/>
          <w:szCs w:val="24"/>
        </w:rPr>
        <w:t xml:space="preserve"> article, “Court rules first responders who wrongfully declared Michigan woman dead cannot be sued.” </w:t>
      </w:r>
      <w:hyperlink r:id="rId2077" w:history="1">
        <w:r w:rsidRPr="00D87DB0">
          <w:rPr>
            <w:rStyle w:val="Hyperlink"/>
            <w:rFonts w:eastAsiaTheme="majorEastAsia"/>
            <w:b w:val="0"/>
            <w:bCs w:val="0"/>
            <w:sz w:val="24"/>
            <w:szCs w:val="24"/>
          </w:rPr>
          <w:t>https://www.foxnews.com/us/court-rules-first-responders-wrongfully-declared-michigan-woman-dead-cannot-be-sued</w:t>
        </w:r>
      </w:hyperlink>
      <w:r w:rsidRPr="00D87DB0">
        <w:rPr>
          <w:b w:val="0"/>
          <w:bCs w:val="0"/>
          <w:sz w:val="24"/>
          <w:szCs w:val="24"/>
        </w:rPr>
        <w:t xml:space="preserve"> </w:t>
      </w:r>
    </w:p>
    <w:p w14:paraId="748A1ABF" w14:textId="29052168" w:rsidR="00DA3CAA" w:rsidRPr="00DA3CAA" w:rsidRDefault="00DA3CAA" w:rsidP="00DA3CAA">
      <w:pPr>
        <w:ind w:left="720"/>
        <w:rPr>
          <w:rFonts w:ascii="Times New Roman" w:hAnsi="Times New Roman"/>
          <w:b/>
          <w:bCs/>
          <w:sz w:val="24"/>
          <w:szCs w:val="24"/>
        </w:rPr>
      </w:pPr>
      <w:r w:rsidRPr="00DA3CAA">
        <w:rPr>
          <w:rFonts w:ascii="Times New Roman" w:hAnsi="Times New Roman"/>
          <w:sz w:val="24"/>
          <w:szCs w:val="24"/>
        </w:rPr>
        <w:t xml:space="preserve">Dec. 10, </w:t>
      </w:r>
      <w:proofErr w:type="gramStart"/>
      <w:r w:rsidRPr="00DA3CAA">
        <w:rPr>
          <w:rFonts w:ascii="Times New Roman" w:hAnsi="Times New Roman"/>
          <w:sz w:val="24"/>
          <w:szCs w:val="24"/>
        </w:rPr>
        <w:t>2020</w:t>
      </w:r>
      <w:proofErr w:type="gramEnd"/>
      <w:r w:rsidRPr="00DA3CAA">
        <w:rPr>
          <w:rFonts w:ascii="Times New Roman" w:hAnsi="Times New Roman"/>
          <w:sz w:val="24"/>
          <w:szCs w:val="24"/>
        </w:rPr>
        <w:t xml:space="preserve"> article: “Paramedics in case of ‘dead’ woman alive can regain licenses.” “The state health department recently reached agreements with the men to drop the license suspensions. They will have multiple chances to pass written and practical exams for paramedics. Storms has additional work: He must write a paper on the protocols for determination of death and cardiac arrest. Storms must read a book, ‘People Care: Perspective and Practices for Professional Caregivers,’ and write a three-page paper. He will have three chances to achieve a passing grade on the papers.” </w:t>
      </w:r>
      <w:hyperlink r:id="rId2078" w:history="1">
        <w:r w:rsidRPr="00DA3CAA">
          <w:rPr>
            <w:rStyle w:val="Hyperlink"/>
            <w:rFonts w:ascii="Times New Roman" w:eastAsiaTheme="majorEastAsia" w:hAnsi="Times New Roman"/>
            <w:sz w:val="24"/>
            <w:szCs w:val="24"/>
          </w:rPr>
          <w:t>https://www.detroitnews.com/story/news/local/oakland-county/2020/12/10/paramedics-case-dead-woman-alive-can-regain-licenses/3883292001/</w:t>
        </w:r>
      </w:hyperlink>
    </w:p>
    <w:p w14:paraId="0AACAB41" w14:textId="77777777" w:rsidR="00DA3CAA" w:rsidRDefault="00DA3CAA" w:rsidP="006A02A4">
      <w:pPr>
        <w:rPr>
          <w:rFonts w:ascii="Arial Black" w:hAnsi="Arial Black"/>
          <w:b/>
          <w:bCs/>
          <w:sz w:val="28"/>
          <w:szCs w:val="28"/>
        </w:rPr>
      </w:pPr>
    </w:p>
    <w:p w14:paraId="3F8294E7" w14:textId="0A12B4BF" w:rsidR="000644B6" w:rsidRDefault="00DA3CAA" w:rsidP="006A02A4">
      <w:pPr>
        <w:rPr>
          <w:rFonts w:ascii="Arial Black" w:hAnsi="Arial Black"/>
          <w:b/>
          <w:bCs/>
          <w:sz w:val="28"/>
          <w:szCs w:val="28"/>
        </w:rPr>
      </w:pPr>
      <w:r>
        <w:rPr>
          <w:rFonts w:ascii="Arial Black" w:hAnsi="Arial Black"/>
          <w:b/>
          <w:bCs/>
          <w:sz w:val="28"/>
          <w:szCs w:val="28"/>
        </w:rPr>
        <w:t>13-151</w:t>
      </w:r>
    </w:p>
    <w:p w14:paraId="772CC63A" w14:textId="77777777" w:rsidR="00DA3CAA" w:rsidRPr="00F900CB" w:rsidRDefault="00DA3CAA" w:rsidP="00DA3CAA">
      <w:pPr>
        <w:pStyle w:val="NormalWeb"/>
        <w:rPr>
          <w:rFonts w:ascii="Arial Black" w:hAnsi="Arial Black"/>
          <w:b/>
          <w:bCs/>
          <w:sz w:val="28"/>
          <w:szCs w:val="28"/>
        </w:rPr>
      </w:pPr>
      <w:r>
        <w:rPr>
          <w:rFonts w:ascii="Arial Black" w:hAnsi="Arial Black"/>
          <w:b/>
          <w:bCs/>
          <w:sz w:val="28"/>
          <w:szCs w:val="28"/>
        </w:rPr>
        <w:t>LA: TRIAGE NURSE GRABBED GURNEY – EMT SHOULDER INJURY - HOSPITAL LIABLE, JUDGE OVERTURNED JURY</w:t>
      </w:r>
    </w:p>
    <w:p w14:paraId="0BBD9815" w14:textId="77777777" w:rsidR="00DA3CAA" w:rsidRPr="00DA3CAA" w:rsidRDefault="00DA3CAA" w:rsidP="00DA3CAA">
      <w:pPr>
        <w:pStyle w:val="NormalWeb"/>
      </w:pPr>
      <w:r w:rsidRPr="00DA3CAA">
        <w:t xml:space="preserve">On July 26, 2023, in </w:t>
      </w:r>
      <w:r w:rsidRPr="00DA3CAA">
        <w:rPr>
          <w:u w:val="single"/>
        </w:rPr>
        <w:t>Jenna Rougeau v. Hospital Service District No. 2 of Beauregard Parish, et al.</w:t>
      </w:r>
      <w:r w:rsidRPr="00DA3CAA">
        <w:t xml:space="preserve">, the Court of Appeals of Louisiana, Third Circuit, held (3 to 0) that while the jury correctly found that Triage Nurse on June 25, 2016 was negligent in grabbing the gurney, as EMT was pulling a patient into ER and passed Room No. 6. However, the trial judge correctly overturned jury verdict that the </w:t>
      </w:r>
      <w:proofErr w:type="gramStart"/>
      <w:r w:rsidRPr="00DA3CAA">
        <w:t>nurses</w:t>
      </w:r>
      <w:proofErr w:type="gramEnd"/>
      <w:r w:rsidRPr="00DA3CAA">
        <w:t xml:space="preserve"> negligence did not cause EMT’s injury to her shoulder and loss of work for two years.  The EMT had arthroscopic surgery to repair her tom labrum and rotator </w:t>
      </w:r>
      <w:proofErr w:type="gramStart"/>
      <w:r w:rsidRPr="00DA3CAA">
        <w:t>cuff, but</w:t>
      </w:r>
      <w:proofErr w:type="gramEnd"/>
      <w:r w:rsidRPr="00DA3CAA">
        <w:t xml:space="preserve"> clearly could not pass Arcadia Ambulance requirement to </w:t>
      </w:r>
      <w:proofErr w:type="gramStart"/>
      <w:r w:rsidRPr="00DA3CAA">
        <w:t>dead lift</w:t>
      </w:r>
      <w:proofErr w:type="gramEnd"/>
      <w:r w:rsidRPr="00DA3CAA">
        <w:t xml:space="preserve"> 175 pounds, cany a large medic bag and monitor up a flight of stairs, and perform CPR for approximately one minute while maintaining a certain heart rate. The trial court properly awarded the EMT $42,626.48 in past medical expenses, $60,000.00 in past lost wages; and $261,000.00 in general damages ($160,000.00 in past pain and suffering; $25,000.00 in future pain and suffering; $40,000.00 in past mental anguish; and $36,000.00 in loss of enjoyment of life). </w:t>
      </w:r>
    </w:p>
    <w:p w14:paraId="03801E99" w14:textId="77777777" w:rsidR="00DA3CAA" w:rsidRPr="00DA3CAA" w:rsidRDefault="00DA3CAA" w:rsidP="00DA3CAA">
      <w:pPr>
        <w:pStyle w:val="NormalWeb"/>
      </w:pPr>
      <w:r w:rsidRPr="00DA3CAA">
        <w:t xml:space="preserve">The Court held: </w:t>
      </w:r>
    </w:p>
    <w:p w14:paraId="65227333" w14:textId="77777777" w:rsidR="00DA3CAA" w:rsidRPr="00DA3CAA" w:rsidRDefault="00DA3CAA" w:rsidP="00DA3CAA">
      <w:pPr>
        <w:pStyle w:val="NormalWeb"/>
      </w:pPr>
      <w:r w:rsidRPr="00DA3CAA">
        <w:t xml:space="preserve">“Thus, under the facts at issue, we find that Nurse Harless had a duty to exercise reasonable care in the performance of his emergency room duties </w:t>
      </w:r>
      <w:proofErr w:type="gramStart"/>
      <w:r w:rsidRPr="00DA3CAA">
        <w:t>in order to</w:t>
      </w:r>
      <w:proofErr w:type="gramEnd"/>
      <w:r w:rsidRPr="00DA3CAA">
        <w:t xml:space="preserve"> avoid causing injury to others, including to EMTs acting in the performance of their duties…. Based on the video, Nurse Harless saw the EMTs walking towards him with the stretcher as he was getting linen from a blanket warmer located in the hallway. Instead of communicating the room assignment when he first saw them, he waited until Plaintiff had taken approximately twelve steps and the stretcher had passed him before grabbing the rear of the stretcher and pulling it to a stop.</w:t>
      </w:r>
    </w:p>
    <w:p w14:paraId="75AA5E64" w14:textId="77777777" w:rsidR="00DA3CAA" w:rsidRPr="00DA3CAA" w:rsidRDefault="00DA3CAA" w:rsidP="00DA3CAA">
      <w:pPr>
        <w:pStyle w:val="NormalWeb"/>
      </w:pPr>
      <w:r w:rsidRPr="00DA3CAA">
        <w:t>***</w:t>
      </w:r>
    </w:p>
    <w:p w14:paraId="096F8BBA" w14:textId="23F40DA1" w:rsidR="00DA3CAA" w:rsidRPr="00DA3CAA" w:rsidRDefault="00DA3CAA" w:rsidP="00DA3CAA">
      <w:pPr>
        <w:rPr>
          <w:rFonts w:ascii="Times New Roman" w:hAnsi="Times New Roman"/>
          <w:b/>
          <w:bCs/>
          <w:sz w:val="24"/>
          <w:szCs w:val="24"/>
        </w:rPr>
      </w:pPr>
      <w:r w:rsidRPr="00DA3CAA">
        <w:rPr>
          <w:rFonts w:ascii="Times New Roman" w:hAnsi="Times New Roman"/>
          <w:sz w:val="24"/>
          <w:szCs w:val="24"/>
        </w:rPr>
        <w:t xml:space="preserve">Thus, we find that the </w:t>
      </w:r>
      <w:proofErr w:type="spellStart"/>
      <w:r w:rsidRPr="00DA3CAA">
        <w:rPr>
          <w:rFonts w:ascii="Times New Roman" w:hAnsi="Times New Roman"/>
          <w:sz w:val="24"/>
          <w:szCs w:val="24"/>
        </w:rPr>
        <w:t>juiy</w:t>
      </w:r>
      <w:proofErr w:type="spellEnd"/>
      <w:r w:rsidRPr="00DA3CAA">
        <w:rPr>
          <w:rFonts w:ascii="Times New Roman" w:hAnsi="Times New Roman"/>
          <w:sz w:val="24"/>
          <w:szCs w:val="24"/>
        </w:rPr>
        <w:t xml:space="preserve"> was manifestly erroneous in finding that this incident was not the cause-in-fact and legal cause of her shoulder </w:t>
      </w:r>
      <w:proofErr w:type="gramStart"/>
      <w:r w:rsidRPr="00DA3CAA">
        <w:rPr>
          <w:rFonts w:ascii="Times New Roman" w:hAnsi="Times New Roman"/>
          <w:sz w:val="24"/>
          <w:szCs w:val="24"/>
        </w:rPr>
        <w:t>injury.”</w:t>
      </w:r>
      <w:proofErr w:type="gramEnd"/>
      <w:r w:rsidRPr="00DA3CAA">
        <w:rPr>
          <w:rFonts w:ascii="Times New Roman" w:hAnsi="Times New Roman"/>
          <w:sz w:val="24"/>
          <w:szCs w:val="24"/>
        </w:rPr>
        <w:t xml:space="preserve">  </w:t>
      </w:r>
      <w:hyperlink r:id="rId2079" w:history="1">
        <w:r w:rsidRPr="00DA3CAA">
          <w:rPr>
            <w:rStyle w:val="Hyperlink"/>
            <w:rFonts w:ascii="Times New Roman" w:eastAsiaTheme="majorEastAsia" w:hAnsi="Times New Roman"/>
            <w:sz w:val="24"/>
            <w:szCs w:val="24"/>
          </w:rPr>
          <w:t>https://public.fastcase.com/ZZhmr5v9wN%2FXOe5IsQ%2FqD7GCKb2IB3J54e7ItSmUYP%2BWMLglINdF7XSY%2Fk9VEPoTx4QWBItn6mQ9CDY1KKV2Qj7lzwy8FX40VrBADcTdOUs%3D?utm_medium=email&amp;_hsmi=226712652&amp;_hsenc=p2ANqtz-_DK7zem2LwgE_Zwv-o_RP9UByjQ85WHbLNpM1Ddz9HLFMrLo4_e5BuKmezeF9cnjUjmpRGuKlpbVs2F5114RUdRnDuAQ&amp;utm_content=226712652&amp;utm_source=hs_email</w:t>
        </w:r>
      </w:hyperlink>
    </w:p>
    <w:p w14:paraId="4A907F21" w14:textId="77777777" w:rsidR="00DA3CAA" w:rsidRDefault="00DA3CAA" w:rsidP="00DA3CAA">
      <w:pPr>
        <w:pStyle w:val="NormalWeb"/>
        <w:rPr>
          <w:b/>
          <w:bCs/>
        </w:rPr>
      </w:pPr>
      <w:r w:rsidRPr="00621639">
        <w:rPr>
          <w:b/>
          <w:bCs/>
        </w:rPr>
        <w:t xml:space="preserve">Legal Lesson Learned: </w:t>
      </w:r>
      <w:r>
        <w:rPr>
          <w:b/>
          <w:bCs/>
        </w:rPr>
        <w:t>Trial judge may set aside an erroneous jury verdict and award damages to injured EMT.</w:t>
      </w:r>
    </w:p>
    <w:p w14:paraId="246A0455" w14:textId="77777777" w:rsidR="00DA3CAA" w:rsidRPr="00212639" w:rsidRDefault="00DA3CAA" w:rsidP="00DA3CAA">
      <w:pPr>
        <w:pStyle w:val="NormalWeb"/>
        <w:ind w:left="720"/>
      </w:pPr>
      <w:r w:rsidRPr="00212639">
        <w:t xml:space="preserve">Note: The worker’s comp. insurance provider for Arcadia Ambulance may then recover their expenses from the </w:t>
      </w:r>
      <w:proofErr w:type="gramStart"/>
      <w:r w:rsidRPr="00212639">
        <w:t>damage award</w:t>
      </w:r>
      <w:proofErr w:type="gramEnd"/>
      <w:r w:rsidRPr="00212639">
        <w:t xml:space="preserve">. </w:t>
      </w:r>
    </w:p>
    <w:p w14:paraId="77F34F75" w14:textId="77777777" w:rsidR="00DA3CAA" w:rsidRDefault="00DA3CAA" w:rsidP="006A02A4">
      <w:pPr>
        <w:rPr>
          <w:rFonts w:ascii="Arial Black" w:hAnsi="Arial Black"/>
          <w:b/>
          <w:bCs/>
          <w:sz w:val="28"/>
          <w:szCs w:val="28"/>
        </w:rPr>
      </w:pPr>
    </w:p>
    <w:p w14:paraId="3815D090" w14:textId="7873ABE8" w:rsidR="000644B6" w:rsidRDefault="000644B6" w:rsidP="006A02A4">
      <w:pPr>
        <w:rPr>
          <w:rFonts w:ascii="Arial Black" w:hAnsi="Arial Black"/>
          <w:b/>
          <w:bCs/>
          <w:sz w:val="28"/>
          <w:szCs w:val="28"/>
        </w:rPr>
      </w:pPr>
      <w:r>
        <w:rPr>
          <w:rFonts w:ascii="Arial Black" w:hAnsi="Arial Black"/>
          <w:b/>
          <w:bCs/>
          <w:sz w:val="28"/>
          <w:szCs w:val="28"/>
        </w:rPr>
        <w:lastRenderedPageBreak/>
        <w:t>13-150</w:t>
      </w:r>
    </w:p>
    <w:p w14:paraId="63D2C3F9" w14:textId="77777777" w:rsidR="000644B6" w:rsidRPr="00F43F3E" w:rsidRDefault="000644B6" w:rsidP="000644B6">
      <w:pPr>
        <w:pStyle w:val="NormalWeb"/>
        <w:rPr>
          <w:rFonts w:ascii="Arial Black" w:hAnsi="Arial Black"/>
          <w:sz w:val="28"/>
          <w:szCs w:val="28"/>
        </w:rPr>
      </w:pPr>
      <w:r>
        <w:rPr>
          <w:rFonts w:ascii="Arial Black" w:hAnsi="Arial Black"/>
          <w:sz w:val="28"/>
          <w:szCs w:val="28"/>
        </w:rPr>
        <w:t xml:space="preserve">NV: COMBATIVE PATIENT – PD TAKEDOWN, EMS GAVE KETAMINE FOR 175 POUND (ONLY 155) - QUAL. IMMUNITY </w:t>
      </w:r>
    </w:p>
    <w:p w14:paraId="27B50F62" w14:textId="77777777" w:rsidR="000644B6" w:rsidRPr="00DA3CAA" w:rsidRDefault="000644B6" w:rsidP="000644B6">
      <w:pPr>
        <w:pStyle w:val="NormalWeb"/>
      </w:pPr>
      <w:r w:rsidRPr="00DA3CAA">
        <w:t xml:space="preserve">On July 19, 2023, in </w:t>
      </w:r>
      <w:r w:rsidRPr="00DA3CAA">
        <w:rPr>
          <w:u w:val="single"/>
        </w:rPr>
        <w:t>Marc Galli v. Anthony Rush, et al</w:t>
      </w:r>
      <w:r w:rsidRPr="00DA3CAA">
        <w:t xml:space="preserve">., U.S. District Court Judge Andrew P. Gordon, U.S. District Court for District of Nevada, granted summary judgment to City of Henderson paramedics Anthony Rush and Edward Pickup, as well as two police officers who tackled the patient who had fled from the back of the ambulance.  Paramedics administered 320 milligrams of ketamine based on patient’s estimated weight of 175; his actual weight (155 pounds) </w:t>
      </w:r>
      <w:proofErr w:type="gramStart"/>
      <w:r w:rsidRPr="00DA3CAA">
        <w:t>called for</w:t>
      </w:r>
      <w:proofErr w:type="gramEnd"/>
      <w:r w:rsidRPr="00DA3CAA">
        <w:t xml:space="preserve"> 280 milligrams.  At hospital he was intubated because of his altered mental state and intermittent combative behavior and was released six days later.</w:t>
      </w:r>
    </w:p>
    <w:p w14:paraId="203D2DBE" w14:textId="681BF9F7" w:rsidR="000644B6" w:rsidRPr="00DA3CAA" w:rsidRDefault="000644B6" w:rsidP="000644B6">
      <w:pPr>
        <w:rPr>
          <w:rFonts w:ascii="Times New Roman" w:hAnsi="Times New Roman"/>
          <w:b/>
          <w:bCs/>
          <w:sz w:val="24"/>
          <w:szCs w:val="24"/>
        </w:rPr>
      </w:pPr>
      <w:r w:rsidRPr="00DA3CAA">
        <w:rPr>
          <w:rFonts w:ascii="Times New Roman" w:hAnsi="Times New Roman"/>
          <w:sz w:val="24"/>
          <w:szCs w:val="24"/>
        </w:rPr>
        <w:t xml:space="preserve">The Court held: “Regardless of their subjective motivation, Rush and Pickup were confronted with a patient who was crying, retching, claiming poisoning, and running away in the dark. From the perspective of a reasonable paramedic confronting the objective circumstances, they had at least a moderate interest in sedating Galli to ensure he received emergency medical care and caused no harm to himself or others. Weighing the significant application of force against the moderate government interest, a reasonable jury could find sedating Galli to be an excessive use of force. But Rush and Pickup are shielded by qualified immunity. First, Galli does not point to any authority for the proposition that as a paramedic, Pickup had a clearly established duty to intervene in Rush's purported constitutional violation. And more importantly, Galli points to no binding authority, nor have I found any, clearly establishing that a paramedic's administration of a sedative under comparable circumstances constitutes excessive force under the Fourth Amendment.” </w:t>
      </w:r>
      <w:hyperlink r:id="rId2080" w:history="1">
        <w:r w:rsidRPr="00DA3CAA">
          <w:rPr>
            <w:rStyle w:val="Hyperlink"/>
            <w:rFonts w:ascii="Times New Roman" w:eastAsiaTheme="majorEastAsia" w:hAnsi="Times New Roman"/>
            <w:sz w:val="24"/>
            <w:szCs w:val="24"/>
          </w:rPr>
          <w:t>https://public.fastcase.com/ZZhmr5v9wN%2FXOe5IsQ%2FqD3dz3eOW5zFOFbDDQpgyn5N1g%2BDYcYq%2BQq5MnHYcUlJvjXUWh8aXMHicyBCjMoSMvWkOcK9%2F08vlf7VzRHHVD0g%3D?utm_medium=email&amp;_hsmi=226712652&amp;_hsenc=p2ANqtz-8FJSrnDbpE5SBLnbpgOtm8bsro6mydF1tKlBKSrXXB7U0G_KpVHeRpWqi1b6f_lyKuKYe1ibmLo31OO_-xt7H5dW8mOA&amp;utm_content=226712652&amp;utm_source=hs_email</w:t>
        </w:r>
      </w:hyperlink>
    </w:p>
    <w:p w14:paraId="08831C8B" w14:textId="77777777" w:rsidR="00DA3CAA" w:rsidRPr="00E12FD2" w:rsidRDefault="00DA3CAA" w:rsidP="00DA3CAA">
      <w:pPr>
        <w:pStyle w:val="NormalWeb"/>
        <w:rPr>
          <w:b/>
          <w:bCs/>
        </w:rPr>
      </w:pPr>
      <w:r w:rsidRPr="00E12FD2">
        <w:rPr>
          <w:b/>
          <w:bCs/>
        </w:rPr>
        <w:t>Legal Lesson Learned:  Paramedics were shielded by qualified immunity; make sure you follow protocol for administering ketamine.</w:t>
      </w:r>
    </w:p>
    <w:p w14:paraId="65AD3A71" w14:textId="77777777" w:rsidR="000644B6" w:rsidRDefault="000644B6" w:rsidP="006A02A4">
      <w:pPr>
        <w:rPr>
          <w:rFonts w:ascii="Arial Black" w:hAnsi="Arial Black"/>
          <w:b/>
          <w:bCs/>
          <w:sz w:val="28"/>
          <w:szCs w:val="28"/>
        </w:rPr>
      </w:pPr>
    </w:p>
    <w:p w14:paraId="73A458AB" w14:textId="37EEF802" w:rsidR="00D33F96" w:rsidRDefault="00D33F96" w:rsidP="006A02A4">
      <w:pPr>
        <w:rPr>
          <w:rFonts w:ascii="Arial Black" w:hAnsi="Arial Black"/>
          <w:b/>
          <w:bCs/>
          <w:sz w:val="28"/>
          <w:szCs w:val="28"/>
        </w:rPr>
      </w:pPr>
      <w:r>
        <w:rPr>
          <w:rFonts w:ascii="Arial Black" w:hAnsi="Arial Black"/>
          <w:b/>
          <w:bCs/>
          <w:sz w:val="28"/>
          <w:szCs w:val="28"/>
        </w:rPr>
        <w:t>13-149</w:t>
      </w:r>
    </w:p>
    <w:p w14:paraId="7271AE2D" w14:textId="77777777" w:rsidR="00D33F96" w:rsidRPr="00641877"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AL: BYSTANDER CPR – TOLD STOP BY VOL. FF – FIRE DEPT.  IMMUNITY, BUT NO APPEAL BY PLAINTIFF UNTIL FF TRIAL </w:t>
      </w:r>
    </w:p>
    <w:p w14:paraId="0E33EFE8" w14:textId="77777777" w:rsidR="00D33F96" w:rsidRDefault="00D33F96" w:rsidP="00D33F96">
      <w:pPr>
        <w:spacing w:before="100" w:beforeAutospacing="1" w:after="100" w:afterAutospacing="1" w:line="240" w:lineRule="auto"/>
        <w:rPr>
          <w:rFonts w:ascii="Times New Roman" w:hAnsi="Times New Roman"/>
          <w:sz w:val="24"/>
          <w:szCs w:val="24"/>
        </w:rPr>
      </w:pPr>
      <w:r w:rsidRPr="001A5B61">
        <w:rPr>
          <w:rFonts w:ascii="Times New Roman" w:eastAsia="Times New Roman" w:hAnsi="Times New Roman"/>
          <w:sz w:val="24"/>
          <w:szCs w:val="24"/>
        </w:rPr>
        <w:t xml:space="preserve">On June 30, 2023, in </w:t>
      </w:r>
      <w:r w:rsidRPr="001A5B61">
        <w:rPr>
          <w:rFonts w:ascii="Times New Roman" w:eastAsia="Times New Roman" w:hAnsi="Times New Roman"/>
          <w:sz w:val="24"/>
          <w:szCs w:val="24"/>
          <w:u w:val="single"/>
        </w:rPr>
        <w:t>Carol Rogers, as administratrix of Estate of Susan Bonner v. Cedar Bluff Volunteer Fire Department and Cherokee County Association of Volunteer Fire Department, Inc</w:t>
      </w:r>
      <w:r>
        <w:rPr>
          <w:rFonts w:ascii="Times New Roman" w:eastAsia="Times New Roman" w:hAnsi="Times New Roman"/>
          <w:sz w:val="24"/>
          <w:szCs w:val="24"/>
        </w:rPr>
        <w:t xml:space="preserve">., the Supreme Court of Alabama hold (8 to 1) that they will not decide Carol Rogers appeal from Court’s grant of summary judgment to Volunteer FD and its Association, since the lawsuit against the volunteer firefighter </w:t>
      </w:r>
      <w:r w:rsidRPr="001A5B61">
        <w:rPr>
          <w:rFonts w:ascii="Times New Roman" w:eastAsia="Times New Roman" w:hAnsi="Times New Roman"/>
          <w:sz w:val="24"/>
          <w:szCs w:val="24"/>
        </w:rPr>
        <w:t>(</w:t>
      </w:r>
      <w:r w:rsidRPr="001A5B61">
        <w:rPr>
          <w:rFonts w:ascii="Times New Roman" w:hAnsi="Times New Roman"/>
          <w:sz w:val="24"/>
          <w:szCs w:val="24"/>
        </w:rPr>
        <w:t>Guice)</w:t>
      </w:r>
      <w:r>
        <w:rPr>
          <w:rFonts w:ascii="Times New Roman" w:hAnsi="Times New Roman"/>
          <w:sz w:val="24"/>
          <w:szCs w:val="24"/>
        </w:rPr>
        <w:t xml:space="preserve"> is still awaiting trial. </w:t>
      </w:r>
    </w:p>
    <w:p w14:paraId="4DAC9F8C" w14:textId="79875EFC" w:rsidR="00D33F96" w:rsidRDefault="00D33F96" w:rsidP="00D33F96">
      <w:pPr>
        <w:rPr>
          <w:rFonts w:ascii="Arial Black" w:hAnsi="Arial Black"/>
          <w:b/>
          <w:bCs/>
          <w:sz w:val="28"/>
          <w:szCs w:val="28"/>
        </w:rPr>
      </w:pPr>
      <w:r>
        <w:rPr>
          <w:rFonts w:ascii="Times New Roman" w:hAnsi="Times New Roman"/>
          <w:sz w:val="24"/>
          <w:szCs w:val="24"/>
        </w:rPr>
        <w:t>The Court held: “</w:t>
      </w:r>
      <w:r w:rsidRPr="001A5B61">
        <w:rPr>
          <w:rFonts w:ascii="Times New Roman" w:hAnsi="Times New Roman"/>
          <w:sz w:val="24"/>
          <w:szCs w:val="24"/>
        </w:rPr>
        <w:t xml:space="preserve">In the present case, it is undisputed that the viability of Rogers's wrongful-death claim against either Cedar Bluff or the Association is entirely dependent on her still-pending claim against Guice. The bottom </w:t>
      </w:r>
      <w:r w:rsidRPr="001A5B61">
        <w:rPr>
          <w:rFonts w:ascii="Times New Roman" w:hAnsi="Times New Roman"/>
          <w:sz w:val="24"/>
          <w:szCs w:val="24"/>
        </w:rPr>
        <w:lastRenderedPageBreak/>
        <w:t>line is that if Guice is found not liable, then there would be no need for us to review the trial court's summary judgment in favor of Cedar Bluff or the Association in almost any scenario. For example, if a jury decides that Guice acted reasonably, or breached no duty, or was not the proximate cause of Bonner's death, then this appeal would be mooted. Likewise, even if a jury finds none of those things, but finds that Guice "was acting in good faith and within the scope of [his] official functions and duties for a ... governmental entity," then pursuant to § 6-5-336(d)(1) of the VSA, Guice would be immune from liability and Cedar Bluff could not be held vicariously liable for his conduct.</w:t>
      </w:r>
      <w:r>
        <w:rPr>
          <w:rFonts w:ascii="Times New Roman" w:hAnsi="Times New Roman"/>
          <w:sz w:val="24"/>
          <w:szCs w:val="24"/>
          <w:vertAlign w:val="superscript"/>
        </w:rPr>
        <w:t xml:space="preserve">” </w:t>
      </w:r>
      <w:hyperlink r:id="rId2081" w:history="1">
        <w:r w:rsidRPr="001A5B61">
          <w:rPr>
            <w:rStyle w:val="Hyperlink"/>
            <w:sz w:val="24"/>
            <w:szCs w:val="24"/>
          </w:rPr>
          <w:t>https://public.fastcase.com/ZZhmr5v9wN%2FXOe5IsQ%2FqD48qScyjnns4BvOFYThqD1VKn2oC3YL9HIinTf%2Fp30r2wBlFtUUFvRMyBphGDo8K28IC4vVctJZhhayY6V%2Bfn28%3D?utm_medium=email&amp;_hsmi=226712652&amp;_hsenc=p2ANqtz--TIjwUVFjOo5damiP3K6KiM86Ts0N1olRqZ_ArClgxTthTEvnZAd5hvf4I6P2KEFN6nH9cQVmvAvnMp9eheEIqoLW5ew&amp;utm_content=226712652&amp;utm_source=hs_email</w:t>
        </w:r>
      </w:hyperlink>
    </w:p>
    <w:p w14:paraId="5116D6D8" w14:textId="77777777" w:rsidR="00D33F96" w:rsidRPr="00364596" w:rsidRDefault="00D33F96" w:rsidP="00D33F96">
      <w:pPr>
        <w:spacing w:before="100" w:beforeAutospacing="1" w:after="100" w:afterAutospacing="1" w:line="240" w:lineRule="auto"/>
        <w:rPr>
          <w:rFonts w:ascii="Times New Roman" w:eastAsia="Times New Roman" w:hAnsi="Times New Roman"/>
          <w:b/>
          <w:bCs/>
          <w:sz w:val="24"/>
          <w:szCs w:val="24"/>
        </w:rPr>
      </w:pPr>
      <w:r w:rsidRPr="0036459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Do not direct others to stop CPR unless patient is clearly dead.  Know your local EMS protocols on when a patient is deceased.</w:t>
      </w:r>
    </w:p>
    <w:p w14:paraId="7D66B3F2" w14:textId="77777777" w:rsidR="00D33F96" w:rsidRDefault="00D33F96" w:rsidP="006A02A4">
      <w:pPr>
        <w:rPr>
          <w:rFonts w:ascii="Arial Black" w:hAnsi="Arial Black"/>
          <w:b/>
          <w:bCs/>
          <w:sz w:val="28"/>
          <w:szCs w:val="28"/>
        </w:rPr>
      </w:pPr>
    </w:p>
    <w:p w14:paraId="34327A3A" w14:textId="7829C64B" w:rsidR="00D33F96" w:rsidRDefault="00D33F96" w:rsidP="006A02A4">
      <w:pPr>
        <w:rPr>
          <w:rFonts w:ascii="Arial Black" w:hAnsi="Arial Black"/>
          <w:b/>
          <w:bCs/>
          <w:sz w:val="28"/>
          <w:szCs w:val="28"/>
        </w:rPr>
      </w:pPr>
      <w:r>
        <w:rPr>
          <w:rFonts w:ascii="Arial Black" w:hAnsi="Arial Black"/>
          <w:b/>
          <w:bCs/>
          <w:sz w:val="28"/>
          <w:szCs w:val="28"/>
        </w:rPr>
        <w:t>13-148</w:t>
      </w:r>
    </w:p>
    <w:p w14:paraId="70E06592" w14:textId="77777777" w:rsidR="00D33F96" w:rsidRPr="004507F9" w:rsidRDefault="00D33F96" w:rsidP="00D33F96">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IL: TWO MEDICS CHARGED WITH MURDER – STRAPPED PT FACE DOWN / DIED – BOND A MEDIC REDUCED TO $600,000 </w:t>
      </w:r>
    </w:p>
    <w:p w14:paraId="6BA58D85" w14:textId="77777777" w:rsidR="00D33F96" w:rsidRDefault="00D33F96" w:rsidP="00D33F96">
      <w:pPr>
        <w:pStyle w:val="NormalWeb"/>
      </w:pPr>
      <w:r w:rsidRPr="004507F9">
        <w:t xml:space="preserve">On June 16, 2023, in </w:t>
      </w:r>
      <w:r w:rsidRPr="004507F9">
        <w:rPr>
          <w:u w:val="single"/>
        </w:rPr>
        <w:t>The People of the State of Illinois v. Peggy J. Finle</w:t>
      </w:r>
      <w:r>
        <w:t xml:space="preserve">y, the Court of Appeals of Illinois, Fourth District, held (3 to 0) that the trial court </w:t>
      </w:r>
      <w:proofErr w:type="gramStart"/>
      <w:r>
        <w:t>should have lowered</w:t>
      </w:r>
      <w:proofErr w:type="gramEnd"/>
      <w:r>
        <w:t xml:space="preserve"> the paramedic’s bond from $1 million to $600,000 (she must post 10%).  </w:t>
      </w:r>
    </w:p>
    <w:p w14:paraId="49330E58" w14:textId="77777777" w:rsidR="00D33F96" w:rsidRPr="008420C5" w:rsidRDefault="00D33F96" w:rsidP="00D33F96">
      <w:pPr>
        <w:pStyle w:val="NormalWeb"/>
      </w:pPr>
      <w:r>
        <w:t>The Court held: “</w:t>
      </w:r>
      <w:r w:rsidRPr="004507F9">
        <w:t xml:space="preserve">Defendant, a 45-year-old paramedic, was on duty and working with Peter Cadigan, when they responded to a call for the transportation of Earl Moore, Jr., to the hospital for medical treatment. Shortly after his arrival at the hospital, Moore died. Asserting Moore died of positional asphyxiation and compressional asphyxiation after being strapped face down on a gurney, the State charged defendant and Cadigan with first-degree murder. </w:t>
      </w:r>
      <w:r>
        <w:t xml:space="preserve">*** </w:t>
      </w:r>
      <w:r w:rsidRPr="008420C5">
        <w:t xml:space="preserve">Here, </w:t>
      </w:r>
      <w:proofErr w:type="gramStart"/>
      <w:r w:rsidRPr="008420C5">
        <w:t>defendant's</w:t>
      </w:r>
      <w:proofErr w:type="gramEnd"/>
      <w:r w:rsidRPr="008420C5">
        <w:t xml:space="preserve"> ties to central Illinois are strong, indicating a low risk of flight. Except for a relatively brief time when her work addressed COVID-19-related staffing issues in Kentucky, Oregon, and St. Croix, defendant has resided in central Illinois her entire life. Her adult children reside there, as do her grandchildren. She is in what appears to be a romantic relationship with someone in central Illinois. Defendant also maintained gainful employment in the area. </w:t>
      </w:r>
      <w:r>
        <w:t>D</w:t>
      </w:r>
      <w:r w:rsidRPr="008420C5">
        <w:t xml:space="preserve">efendant's financial condition further makes it unlikely she will flee. The circuit court found her to be indigent. </w:t>
      </w:r>
      <w:proofErr w:type="gramStart"/>
      <w:r w:rsidRPr="008420C5">
        <w:t>Defendant is</w:t>
      </w:r>
      <w:proofErr w:type="gramEnd"/>
      <w:r w:rsidRPr="008420C5">
        <w:t xml:space="preserve"> relying on the financial support of family, friends, and acquaintances to receive bail money. Nothing on the record from her background indicates defendant has the ability or desire to flee and deprive those individuals of reimbursement of those funds.</w:t>
      </w:r>
      <w:r>
        <w:t xml:space="preserve">” </w:t>
      </w:r>
      <w:hyperlink r:id="rId2082" w:history="1">
        <w:r w:rsidRPr="00812663">
          <w:rPr>
            <w:rStyle w:val="Hyperlink"/>
          </w:rPr>
          <w:t>https://casetext.com/case/people-v-finley-127</w:t>
        </w:r>
      </w:hyperlink>
      <w:r>
        <w:t xml:space="preserve"> </w:t>
      </w:r>
    </w:p>
    <w:p w14:paraId="0CCB4711" w14:textId="38882FD7" w:rsidR="00D33F96" w:rsidRDefault="00D33F96" w:rsidP="00D33F96">
      <w:pPr>
        <w:spacing w:before="100" w:beforeAutospacing="1" w:after="100" w:afterAutospacing="1" w:line="240" w:lineRule="auto"/>
        <w:rPr>
          <w:rFonts w:ascii="Times New Roman" w:eastAsia="Times New Roman" w:hAnsi="Times New Roman"/>
          <w:b/>
          <w:bCs/>
          <w:sz w:val="24"/>
          <w:szCs w:val="24"/>
        </w:rPr>
      </w:pPr>
      <w:r w:rsidRPr="008420C5">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A jury of 12 will ultimately decide if State has proven these charges beyond a reasonable doubt. </w:t>
      </w:r>
    </w:p>
    <w:p w14:paraId="6D721B6F" w14:textId="77777777" w:rsidR="00D33F96" w:rsidRDefault="00D33F96" w:rsidP="00D33F96">
      <w:pPr>
        <w:spacing w:before="100" w:beforeAutospacing="1" w:after="100" w:afterAutospacing="1" w:line="240" w:lineRule="auto"/>
        <w:ind w:left="720"/>
        <w:rPr>
          <w:rFonts w:ascii="Times New Roman" w:hAnsi="Times New Roman"/>
          <w:sz w:val="24"/>
          <w:szCs w:val="24"/>
        </w:rPr>
      </w:pPr>
      <w:r w:rsidRPr="00860A69">
        <w:rPr>
          <w:rFonts w:ascii="Times New Roman" w:eastAsia="Times New Roman" w:hAnsi="Times New Roman"/>
          <w:sz w:val="24"/>
          <w:szCs w:val="24"/>
        </w:rPr>
        <w:t xml:space="preserve">Note: Watch this TV video, including PD body camera. </w:t>
      </w:r>
      <w:hyperlink r:id="rId2083" w:history="1">
        <w:r w:rsidRPr="001055F4">
          <w:rPr>
            <w:rStyle w:val="Hyperlink"/>
            <w:sz w:val="24"/>
            <w:szCs w:val="24"/>
          </w:rPr>
          <w:t>https://www.youtube.com/watch?v=GHO2Qjk4XIo</w:t>
        </w:r>
      </w:hyperlink>
    </w:p>
    <w:p w14:paraId="74C11A49" w14:textId="77777777" w:rsidR="00D33F96" w:rsidRDefault="00D33F96" w:rsidP="006A02A4">
      <w:pPr>
        <w:rPr>
          <w:rFonts w:ascii="Arial Black" w:hAnsi="Arial Black"/>
          <w:b/>
          <w:bCs/>
          <w:sz w:val="28"/>
          <w:szCs w:val="28"/>
        </w:rPr>
      </w:pPr>
    </w:p>
    <w:p w14:paraId="2228F785" w14:textId="77777777" w:rsidR="00D33F96" w:rsidRDefault="00D33F96" w:rsidP="006A02A4">
      <w:pPr>
        <w:rPr>
          <w:rFonts w:ascii="Arial Black" w:hAnsi="Arial Black"/>
          <w:b/>
          <w:bCs/>
          <w:sz w:val="28"/>
          <w:szCs w:val="28"/>
        </w:rPr>
      </w:pPr>
    </w:p>
    <w:p w14:paraId="6221755B" w14:textId="681253E2" w:rsidR="00237599" w:rsidRDefault="00237599" w:rsidP="006A02A4">
      <w:pPr>
        <w:rPr>
          <w:rFonts w:ascii="Arial Black" w:hAnsi="Arial Black"/>
          <w:b/>
          <w:bCs/>
          <w:sz w:val="28"/>
          <w:szCs w:val="28"/>
        </w:rPr>
      </w:pPr>
      <w:r>
        <w:rPr>
          <w:rFonts w:ascii="Arial Black" w:hAnsi="Arial Black"/>
          <w:b/>
          <w:bCs/>
          <w:sz w:val="28"/>
          <w:szCs w:val="28"/>
        </w:rPr>
        <w:t>13-147</w:t>
      </w:r>
    </w:p>
    <w:p w14:paraId="50D90B26" w14:textId="77777777" w:rsidR="00237599" w:rsidRPr="008D1A6E" w:rsidRDefault="00237599" w:rsidP="00237599">
      <w:pPr>
        <w:pStyle w:val="NormalWeb"/>
        <w:rPr>
          <w:rFonts w:ascii="Arial Black" w:hAnsi="Arial Black"/>
          <w:sz w:val="28"/>
          <w:szCs w:val="28"/>
        </w:rPr>
      </w:pPr>
      <w:bookmarkStart w:id="436" w:name="_Hlk136860551"/>
      <w:r>
        <w:rPr>
          <w:rFonts w:ascii="Arial Black" w:hAnsi="Arial Black"/>
          <w:sz w:val="28"/>
          <w:szCs w:val="28"/>
        </w:rPr>
        <w:t>OK: COMBATIVE PT - MEDICS CALL HELP – 4 FF PIN HIM FACE DOWN, PD HANDCUFFS - DIES – FF QUAL. IMMUNITY</w:t>
      </w:r>
    </w:p>
    <w:bookmarkEnd w:id="436"/>
    <w:p w14:paraId="61E6084B" w14:textId="318D8BD8" w:rsidR="00237599" w:rsidRDefault="00237599" w:rsidP="00237599">
      <w:pPr>
        <w:rPr>
          <w:rStyle w:val="Hyperlink"/>
          <w:rFonts w:ascii="Times New Roman" w:eastAsiaTheme="majorEastAsia" w:hAnsi="Times New Roman"/>
          <w:sz w:val="24"/>
          <w:szCs w:val="24"/>
        </w:rPr>
      </w:pPr>
      <w:r w:rsidRPr="00237599">
        <w:rPr>
          <w:rFonts w:ascii="Times New Roman" w:hAnsi="Times New Roman"/>
          <w:sz w:val="24"/>
          <w:szCs w:val="24"/>
        </w:rPr>
        <w:t xml:space="preserve">On May 19, 2023, in </w:t>
      </w:r>
      <w:r w:rsidRPr="00237599">
        <w:rPr>
          <w:rFonts w:ascii="Times New Roman" w:hAnsi="Times New Roman"/>
          <w:sz w:val="24"/>
          <w:szCs w:val="24"/>
          <w:u w:val="single"/>
        </w:rPr>
        <w:t>Charles Kaleb Vanlandingham, Administrator for the Estate of Charles Lamar Vanlandingham v. City of Oklahoma City</w:t>
      </w:r>
      <w:r w:rsidRPr="00237599">
        <w:rPr>
          <w:rFonts w:ascii="Times New Roman" w:hAnsi="Times New Roman"/>
          <w:sz w:val="24"/>
          <w:szCs w:val="24"/>
        </w:rPr>
        <w:t xml:space="preserve">, Chief U.S. District Court Judge Timothy D. </w:t>
      </w:r>
      <w:proofErr w:type="spellStart"/>
      <w:r w:rsidRPr="00237599">
        <w:rPr>
          <w:rFonts w:ascii="Times New Roman" w:hAnsi="Times New Roman"/>
          <w:sz w:val="24"/>
          <w:szCs w:val="24"/>
        </w:rPr>
        <w:t>DeGisti</w:t>
      </w:r>
      <w:proofErr w:type="spellEnd"/>
      <w:r w:rsidRPr="00237599">
        <w:rPr>
          <w:rFonts w:ascii="Times New Roman" w:hAnsi="Times New Roman"/>
          <w:sz w:val="24"/>
          <w:szCs w:val="24"/>
        </w:rPr>
        <w:t xml:space="preserve">, U.S. District Court, Western District of Oklahoma, dismissed the four firefighters from the lawsuit; they enjoy qualified immunity even if performing law enforcement type duties of subduing the patient.  The lawsuit may, however, proceed against the police officer on alleged excessive force. </w:t>
      </w:r>
      <w:hyperlink r:id="rId2084" w:history="1">
        <w:r w:rsidRPr="00237599">
          <w:rPr>
            <w:rStyle w:val="Hyperlink"/>
            <w:rFonts w:ascii="Times New Roman" w:eastAsiaTheme="majorEastAsia" w:hAnsi="Times New Roman"/>
            <w:sz w:val="24"/>
            <w:szCs w:val="24"/>
          </w:rPr>
          <w:t>https://public.fastcase.com/ZZhmr5v9wN%2FXOe5IsQ%2FqD1tuyppLBnLrMmR86JNFVAlEsCewO4n%2BqmcnLV2ysm6tZCnkIxWDhw4CT9a2YbHZsY59KqRUUsvnj3oq0k4kZUY%3D?utm_medium=email&amp;_hsmi=226712652&amp;_hsenc=p2ANqtz-_TDFfv4pLQcLfqFCn8pFSxh77smp5fK7rovyeiHf7hqXQSyFbPSdIcgszVq5PNSPeSOT64f2E-JPGn2x6-fH_4dd4mvg&amp;utm_content=226712652&amp;utm_source=hs_email</w:t>
        </w:r>
      </w:hyperlink>
    </w:p>
    <w:p w14:paraId="50A5F754" w14:textId="77777777" w:rsidR="00237599" w:rsidRDefault="00237599" w:rsidP="00237599">
      <w:pPr>
        <w:pStyle w:val="NormalWeb"/>
        <w:ind w:left="720"/>
      </w:pPr>
      <w:r>
        <w:t xml:space="preserve">“The Court recognizes that Plaintiff alleges the paramedics called for assistance in handling a combative patient, and case law supports the view that restraints imposed for this purpose do not constitute a ‘seizure’ under the Fourth Amendment….  In response to Firefighters' Motion, Plaintiff identifies no Supreme Court, Tenth Circuit, or other published appellate decision that would have made clear to a reasonable person in Firefighters' position that their alleged conduct toward Mr. Vanlandingham was governed by the Fourth Amendment. *** The Court therefore finds that Plaintiff has not met his burden to overcome Firefighters' qualified immunity from suit on his § 1983 claims for unlawful detention of, or use of unreasonable force against, Mr. Vanlandingham.” </w:t>
      </w:r>
    </w:p>
    <w:p w14:paraId="6ADDE945" w14:textId="77777777" w:rsidR="00237599" w:rsidRPr="002966A6" w:rsidRDefault="00237599" w:rsidP="00237599">
      <w:pPr>
        <w:pStyle w:val="NormalWeb"/>
        <w:rPr>
          <w:b/>
          <w:bCs/>
        </w:rPr>
      </w:pPr>
      <w:r w:rsidRPr="002966A6">
        <w:rPr>
          <w:b/>
          <w:bCs/>
        </w:rPr>
        <w:t xml:space="preserve">Legal Lesson Learned: </w:t>
      </w:r>
      <w:r>
        <w:rPr>
          <w:b/>
          <w:bCs/>
        </w:rPr>
        <w:t xml:space="preserve">Firefighters enjoy qualified immunity; </w:t>
      </w:r>
      <w:r w:rsidRPr="002966A6">
        <w:rPr>
          <w:b/>
          <w:bCs/>
        </w:rPr>
        <w:t>restrain</w:t>
      </w:r>
      <w:r>
        <w:rPr>
          <w:b/>
          <w:bCs/>
        </w:rPr>
        <w:t xml:space="preserve">ing </w:t>
      </w:r>
      <w:r w:rsidRPr="002966A6">
        <w:rPr>
          <w:b/>
          <w:bCs/>
        </w:rPr>
        <w:t>a combative patient does not constitute a ‘seizure’ under the Fourth Amendment</w:t>
      </w:r>
    </w:p>
    <w:p w14:paraId="379B01EF" w14:textId="77777777" w:rsidR="00237599" w:rsidRDefault="00237599" w:rsidP="00237599">
      <w:pPr>
        <w:rPr>
          <w:rFonts w:ascii="Times New Roman" w:hAnsi="Times New Roman"/>
          <w:b/>
          <w:bCs/>
          <w:sz w:val="24"/>
          <w:szCs w:val="24"/>
        </w:rPr>
      </w:pPr>
    </w:p>
    <w:p w14:paraId="75B2502A" w14:textId="3781CB33" w:rsidR="00237599" w:rsidRDefault="00237599" w:rsidP="00237599">
      <w:pPr>
        <w:rPr>
          <w:rFonts w:ascii="Arial Black" w:hAnsi="Arial Black"/>
          <w:b/>
          <w:bCs/>
          <w:sz w:val="28"/>
          <w:szCs w:val="28"/>
        </w:rPr>
      </w:pPr>
      <w:r>
        <w:rPr>
          <w:rFonts w:ascii="Arial Black" w:hAnsi="Arial Black"/>
          <w:b/>
          <w:bCs/>
          <w:sz w:val="28"/>
          <w:szCs w:val="28"/>
        </w:rPr>
        <w:t>13-146</w:t>
      </w:r>
    </w:p>
    <w:p w14:paraId="4ED9453E" w14:textId="77777777" w:rsidR="00237599" w:rsidRPr="00FB5B17" w:rsidRDefault="00237599" w:rsidP="00237599">
      <w:pPr>
        <w:pStyle w:val="NormalWeb"/>
        <w:rPr>
          <w:rFonts w:ascii="Arial Black" w:hAnsi="Arial Black"/>
          <w:sz w:val="28"/>
          <w:szCs w:val="28"/>
        </w:rPr>
      </w:pPr>
      <w:bookmarkStart w:id="437" w:name="_Hlk136860623"/>
      <w:r>
        <w:rPr>
          <w:rFonts w:ascii="Arial Black" w:hAnsi="Arial Black"/>
          <w:sz w:val="28"/>
          <w:szCs w:val="28"/>
        </w:rPr>
        <w:t xml:space="preserve">KY: FIRE CHIEF HELPED 3 PD HANDCUFF NAKED MAN – “BAD METH” - DIED – QUALIFIED OFFICIAL IMMUNITY </w:t>
      </w:r>
    </w:p>
    <w:bookmarkEnd w:id="437"/>
    <w:p w14:paraId="0042390A" w14:textId="77777777" w:rsidR="00237599" w:rsidRDefault="00237599" w:rsidP="00237599">
      <w:pPr>
        <w:pStyle w:val="NormalWeb"/>
      </w:pPr>
      <w:r>
        <w:t xml:space="preserve">On May 19, 2023, in </w:t>
      </w:r>
      <w:r w:rsidRPr="00FB5B17">
        <w:rPr>
          <w:u w:val="single"/>
        </w:rPr>
        <w:t>Paula M. Haney, as Personal Representative of Estate of Donald Prater, Jr., v. City of Painesville, et al</w:t>
      </w:r>
      <w:r>
        <w:t xml:space="preserve">.,  the Court of Appeals of Kentucky held (3 to 0: unpublished opinion) that Fire Chief Rick Ratliff, Paintsville Fire Department was properly dismissed from the lawsuit. The case against police officers was remanded to trial court to make a finding on whether the patient was in their custody and owed him duties due to this “special relationship.” </w:t>
      </w:r>
      <w:hyperlink r:id="rId2085" w:history="1">
        <w:r w:rsidRPr="009F744A">
          <w:rPr>
            <w:rStyle w:val="Hyperlink"/>
            <w:rFonts w:eastAsiaTheme="majorEastAsia"/>
          </w:rPr>
          <w:t>https://public.fastcase.com/ZZhmr5v9wN%2FXOe5IsQ%2FqD3yVZPtM4gE5qxUG0JmvBs4KZKL0kykfWRWAFzVzGOUSCymfVjFMg8ksTGDwIJSWELTF6XkccOjxJx4J8ta6mPQ%3D?utm_medium=email&amp;_hsmi=</w:t>
        </w:r>
        <w:r w:rsidRPr="009F744A">
          <w:rPr>
            <w:rStyle w:val="Hyperlink"/>
            <w:rFonts w:eastAsiaTheme="majorEastAsia"/>
          </w:rPr>
          <w:lastRenderedPageBreak/>
          <w:t>226712652&amp;_hsenc=p2ANqtz-91z17HDQg9Q71tjjdfZzo5M0dPvb4mrX2MWXe9g7uh0-gjm69ERrplNGPGusNDxTqNwPz_oB2Mm624G4BOe4pHJTgwVA&amp;utm_content=226712652&amp;utm_source=hs_email</w:t>
        </w:r>
      </w:hyperlink>
      <w:r>
        <w:t xml:space="preserve"> </w:t>
      </w:r>
    </w:p>
    <w:p w14:paraId="0792DC20" w14:textId="77777777" w:rsidR="00237599" w:rsidRDefault="00237599" w:rsidP="00237599">
      <w:pPr>
        <w:pStyle w:val="NormalWeb"/>
        <w:ind w:left="720"/>
      </w:pPr>
      <w:r>
        <w:t xml:space="preserve">“Instead, all three officers, along with Fire Department Chief Ratliff who had arrived on the scene to respond as a medical responder, worked together to handcuff Prater. *** Notably, Kentucky has a longstanding tradition of treating firefighting as a governmental function and thereby cloaking it in immunity. *** The trial court's determination as to whether the Paintsville Fire Department is entitled to governmental immunity was correct. Turning to the determination </w:t>
      </w:r>
      <w:proofErr w:type="gramStart"/>
      <w:r>
        <w:t>as to</w:t>
      </w:r>
      <w:proofErr w:type="gramEnd"/>
      <w:r>
        <w:t xml:space="preserve"> Chief Ratliff personally, the trial court determined that his actions on that day were discretionary. We agree. As Chief Ratliff is a firefighter and emergency medical responder, he is not ordinarily engaged in participating in the arrest of citizens. He made a judgment that his assistance was needed to place Prater in handcuffs. The exercise of judgment is the gravamen of the exercise of discretion.” </w:t>
      </w:r>
    </w:p>
    <w:p w14:paraId="14F09820" w14:textId="77777777" w:rsidR="00237599" w:rsidRPr="00D717AB" w:rsidRDefault="00237599" w:rsidP="00237599">
      <w:pPr>
        <w:pStyle w:val="NormalWeb"/>
        <w:rPr>
          <w:b/>
          <w:bCs/>
        </w:rPr>
      </w:pPr>
      <w:r w:rsidRPr="00D717AB">
        <w:rPr>
          <w:b/>
          <w:bCs/>
        </w:rPr>
        <w:t>Legal Lesson Learned:</w:t>
      </w:r>
      <w:r>
        <w:rPr>
          <w:b/>
          <w:bCs/>
        </w:rPr>
        <w:t xml:space="preserve"> Helpful decision confirming “official qualified immunity” for firefighters in Kentucky. </w:t>
      </w:r>
    </w:p>
    <w:p w14:paraId="09C46813" w14:textId="77777777" w:rsidR="00237599" w:rsidRDefault="00237599" w:rsidP="00237599">
      <w:pPr>
        <w:rPr>
          <w:rFonts w:ascii="Arial Black" w:hAnsi="Arial Black"/>
          <w:b/>
          <w:bCs/>
          <w:sz w:val="28"/>
          <w:szCs w:val="28"/>
        </w:rPr>
      </w:pPr>
    </w:p>
    <w:p w14:paraId="5619D293" w14:textId="7717BEF7" w:rsidR="00237599" w:rsidRDefault="00237599" w:rsidP="00237599">
      <w:pPr>
        <w:rPr>
          <w:rFonts w:ascii="Arial Black" w:hAnsi="Arial Black"/>
          <w:b/>
          <w:bCs/>
          <w:sz w:val="28"/>
          <w:szCs w:val="28"/>
        </w:rPr>
      </w:pPr>
      <w:r>
        <w:rPr>
          <w:rFonts w:ascii="Arial Black" w:hAnsi="Arial Black"/>
          <w:b/>
          <w:bCs/>
          <w:sz w:val="28"/>
          <w:szCs w:val="28"/>
        </w:rPr>
        <w:t>13-145</w:t>
      </w:r>
    </w:p>
    <w:p w14:paraId="6B59900E" w14:textId="77777777" w:rsidR="00A01262" w:rsidRPr="00374572" w:rsidRDefault="00A01262" w:rsidP="00A01262">
      <w:pPr>
        <w:pStyle w:val="NormalWeb"/>
        <w:rPr>
          <w:rFonts w:ascii="Arial Black" w:hAnsi="Arial Black"/>
          <w:b/>
          <w:bCs/>
          <w:sz w:val="28"/>
          <w:szCs w:val="28"/>
        </w:rPr>
      </w:pPr>
      <w:bookmarkStart w:id="438" w:name="_Hlk136860693"/>
      <w:r>
        <w:rPr>
          <w:rFonts w:ascii="Arial Black" w:hAnsi="Arial Black"/>
          <w:b/>
          <w:bCs/>
          <w:sz w:val="28"/>
          <w:szCs w:val="28"/>
        </w:rPr>
        <w:t>KY: HOSPITAL ON DIVERSION – DIDN’T TELL EMS – STEMI PATIENT TURNED AWAY– JURY $1.8 MILLION PUNITIVE</w:t>
      </w:r>
    </w:p>
    <w:bookmarkEnd w:id="438"/>
    <w:p w14:paraId="65F8537B" w14:textId="77777777" w:rsidR="00A01262" w:rsidRDefault="00A01262" w:rsidP="00A01262">
      <w:pPr>
        <w:pStyle w:val="NormalWeb"/>
      </w:pPr>
      <w:r>
        <w:t xml:space="preserve">On May 8, 2023, in </w:t>
      </w:r>
      <w:r w:rsidRPr="00287FCD">
        <w:rPr>
          <w:u w:val="single"/>
        </w:rPr>
        <w:t>William H. Williams v. Baptist Healthcare System, Inc.</w:t>
      </w:r>
      <w:r>
        <w:t>, U.S. District Court Judge Clair H. Boom, U.S. District Court for Western District of Kentucky, Louisville Division, refused the hospital’s post-trial motion to set aside the verdict.  The hospital admitted it had breached EMTALA [</w:t>
      </w:r>
      <w:r w:rsidRPr="00287FCD">
        <w:t>Emergency Medical Treatment and Labor Act]</w:t>
      </w:r>
      <w:r>
        <w:t xml:space="preserve">; the jury awarded Plaintiff compensatory damages in the amount of $545,000 and punitive damages in the amount of $1,850,000. The hospital asked trial judge to set aside the verdict, claiming no proof of gross negligence. </w:t>
      </w:r>
      <w:hyperlink r:id="rId2086" w:history="1">
        <w:r w:rsidRPr="008E5D86">
          <w:rPr>
            <w:rStyle w:val="Hyperlink"/>
            <w:rFonts w:eastAsiaTheme="majorEastAsia"/>
          </w:rPr>
          <w:t>https://public.fastcase.com/ZZhmr5v9wN%2FXOe5IsQ%2FqD6Xk9Se1JBeTiY14mFqaZIC5zf3duAqu51qE94mXCojrTIXHUx6W2UZ5EsVNrKWWswbYRHUo1KFYOQ9M2ppF1oA%3D?utm_medium=email&amp;_hsmi=226712652&amp;_hsenc=p2ANqtz-9aFlMC5FDCM2U0K8x384sblH4I0CGG1sOM-rog5fs89w4bS-qizqdVKzMegY3x51ZczlJkgb2TT7R5d8mF-dWwXy7XkA&amp;utm_content=226712652&amp;utm_source=hs_email</w:t>
        </w:r>
      </w:hyperlink>
      <w:r>
        <w:t xml:space="preserve"> </w:t>
      </w:r>
    </w:p>
    <w:p w14:paraId="02A79331" w14:textId="77777777" w:rsidR="00A01262" w:rsidRDefault="00A01262" w:rsidP="00A01262">
      <w:pPr>
        <w:pStyle w:val="NormalWeb"/>
        <w:ind w:left="720"/>
      </w:pPr>
      <w:r>
        <w:t xml:space="preserve">“First, with respect to Nurse Blankenship, the Court finds that the jury could find her actions sufficiently egregious to amount to gross negligence…. The evidence also showed that, prior to </w:t>
      </w:r>
      <w:proofErr w:type="gramStart"/>
      <w:r>
        <w:t>the night of April</w:t>
      </w:r>
      <w:proofErr w:type="gramEnd"/>
      <w:r>
        <w:t xml:space="preserve"> 4, 2015, Nurse Blankenship had only received ‘about five minutes’ of EMTALA training. </w:t>
      </w:r>
    </w:p>
    <w:p w14:paraId="71C67BCA" w14:textId="77777777" w:rsidR="00A01262" w:rsidRDefault="00A01262" w:rsidP="00A01262">
      <w:pPr>
        <w:pStyle w:val="NormalWeb"/>
        <w:ind w:firstLine="720"/>
      </w:pPr>
      <w:r>
        <w:t>***</w:t>
      </w:r>
    </w:p>
    <w:p w14:paraId="6687EF0A" w14:textId="77777777" w:rsidR="00A01262" w:rsidRDefault="00A01262" w:rsidP="00A01262">
      <w:pPr>
        <w:pStyle w:val="NormalWeb"/>
        <w:ind w:left="720"/>
      </w:pPr>
      <w:r>
        <w:t xml:space="preserve">The failure of Baptist to activate the STEMI protocol, failure to alert local EMS of the diversion every three hours, and failure to call UK when Mr. Williams was actually sent to the University of Kentucky, and also failure to contact EMS per their policy after Mr. Williams showed up and was sent to UK so that it wouldn't happen again later that weekend, failure to disclose in the OIG report that this was a diversion for inbound STEMIs - now, you might view that in a different way, but the language of the OIG report just says “transfers to another hospital” - the fact that Nurse Blankenship didn't - the failure of Nurse Blankenship to write down who the EMS was that called and to take their telephone number; the testimony that Nurse Blankenship told EMS that they should go to Good Samaritan Hospital even though Good Samaritan did not have a </w:t>
      </w:r>
      <w:proofErr w:type="spellStart"/>
      <w:r>
        <w:t>cath</w:t>
      </w:r>
      <w:proofErr w:type="spellEnd"/>
      <w:r>
        <w:t xml:space="preserve"> lab.” </w:t>
      </w:r>
    </w:p>
    <w:p w14:paraId="766BD7FF" w14:textId="77777777" w:rsidR="00A01262" w:rsidRPr="003C5C00" w:rsidRDefault="00A01262" w:rsidP="00A01262">
      <w:pPr>
        <w:pStyle w:val="NormalWeb"/>
        <w:rPr>
          <w:b/>
          <w:bCs/>
        </w:rPr>
      </w:pPr>
      <w:r w:rsidRPr="003C5C00">
        <w:rPr>
          <w:b/>
          <w:bCs/>
        </w:rPr>
        <w:lastRenderedPageBreak/>
        <w:t>Legal Lesson Learned:</w:t>
      </w:r>
      <w:r>
        <w:rPr>
          <w:b/>
          <w:bCs/>
        </w:rPr>
        <w:t xml:space="preserve"> The jury awarded punitive damages to “punish” the hospital for causing delay to patient with STEMI. </w:t>
      </w:r>
    </w:p>
    <w:p w14:paraId="71657DFA" w14:textId="77777777" w:rsidR="00237599" w:rsidRDefault="00237599" w:rsidP="006A02A4">
      <w:pPr>
        <w:rPr>
          <w:rFonts w:ascii="Arial Black" w:hAnsi="Arial Black"/>
          <w:b/>
          <w:bCs/>
          <w:sz w:val="28"/>
          <w:szCs w:val="28"/>
        </w:rPr>
      </w:pPr>
    </w:p>
    <w:p w14:paraId="2499F44B" w14:textId="38A01C2B" w:rsidR="006A02A4" w:rsidRDefault="00227BDE" w:rsidP="006A02A4">
      <w:pPr>
        <w:rPr>
          <w:rFonts w:ascii="Arial Black" w:hAnsi="Arial Black"/>
          <w:b/>
          <w:bCs/>
          <w:sz w:val="28"/>
          <w:szCs w:val="28"/>
        </w:rPr>
      </w:pPr>
      <w:r>
        <w:rPr>
          <w:rFonts w:ascii="Arial Black" w:hAnsi="Arial Black"/>
          <w:b/>
          <w:bCs/>
          <w:sz w:val="28"/>
          <w:szCs w:val="28"/>
        </w:rPr>
        <w:t>13-14</w:t>
      </w:r>
      <w:r w:rsidR="006A02A4">
        <w:rPr>
          <w:rFonts w:ascii="Arial Black" w:hAnsi="Arial Black"/>
          <w:b/>
          <w:bCs/>
          <w:sz w:val="28"/>
          <w:szCs w:val="28"/>
        </w:rPr>
        <w:t>4</w:t>
      </w:r>
    </w:p>
    <w:p w14:paraId="368BC478" w14:textId="14B5FC3A" w:rsidR="00227BDE" w:rsidRPr="00F44C22" w:rsidRDefault="00227BDE" w:rsidP="006A02A4">
      <w:pPr>
        <w:rPr>
          <w:rFonts w:ascii="Arial Black" w:hAnsi="Arial Black"/>
          <w:sz w:val="28"/>
          <w:szCs w:val="28"/>
        </w:rPr>
      </w:pPr>
      <w:r w:rsidRPr="00F44C22">
        <w:rPr>
          <w:rFonts w:ascii="Arial Black" w:hAnsi="Arial Black"/>
          <w:b/>
          <w:bCs/>
          <w:sz w:val="28"/>
          <w:szCs w:val="28"/>
        </w:rPr>
        <w:t xml:space="preserve">KY </w:t>
      </w:r>
      <w:r>
        <w:rPr>
          <w:rFonts w:ascii="Arial Black" w:hAnsi="Arial Black"/>
          <w:b/>
          <w:bCs/>
          <w:sz w:val="28"/>
          <w:szCs w:val="28"/>
        </w:rPr>
        <w:t xml:space="preserve">(4/27/2023): EMS TOOK ASSAULT VICTIM </w:t>
      </w:r>
      <w:r w:rsidRPr="00F44C22">
        <w:rPr>
          <w:rFonts w:ascii="Arial Black" w:hAnsi="Arial Black"/>
          <w:b/>
          <w:bCs/>
          <w:sz w:val="28"/>
          <w:szCs w:val="28"/>
        </w:rPr>
        <w:t xml:space="preserve">TRAUMA </w:t>
      </w:r>
      <w:r>
        <w:rPr>
          <w:rFonts w:ascii="Arial Black" w:hAnsi="Arial Black"/>
          <w:b/>
          <w:bCs/>
          <w:sz w:val="28"/>
          <w:szCs w:val="28"/>
        </w:rPr>
        <w:t xml:space="preserve">HOSP - CRIM. TRIAL ED DOC TESTIFIED </w:t>
      </w:r>
      <w:r w:rsidRPr="00F44C22">
        <w:rPr>
          <w:rFonts w:ascii="Arial Black" w:hAnsi="Arial Black"/>
          <w:b/>
          <w:bCs/>
          <w:sz w:val="28"/>
          <w:szCs w:val="28"/>
        </w:rPr>
        <w:t xml:space="preserve">VIA ZOOM </w:t>
      </w:r>
      <w:r>
        <w:rPr>
          <w:rFonts w:ascii="Arial Black" w:hAnsi="Arial Black"/>
          <w:b/>
          <w:bCs/>
          <w:sz w:val="28"/>
          <w:szCs w:val="28"/>
        </w:rPr>
        <w:t xml:space="preserve">– CONV. REV. </w:t>
      </w:r>
    </w:p>
    <w:p w14:paraId="2AFCF940" w14:textId="77777777" w:rsidR="00227BDE" w:rsidRDefault="00227BDE" w:rsidP="00227BDE">
      <w:pPr>
        <w:pStyle w:val="NoSpacing"/>
      </w:pPr>
    </w:p>
    <w:p w14:paraId="45F2D4EE"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Donnie Campbell v. Commonwealth of Kentucky</w:t>
      </w:r>
      <w:r w:rsidRPr="003C1643">
        <w:rPr>
          <w:rFonts w:ascii="Times New Roman" w:hAnsi="Times New Roman"/>
          <w:sz w:val="24"/>
          <w:szCs w:val="24"/>
        </w:rPr>
        <w:t xml:space="preserve">, Supreme Court of Kentucky. </w:t>
      </w:r>
      <w:hyperlink r:id="rId2087" w:history="1">
        <w:r w:rsidRPr="003C1643">
          <w:rPr>
            <w:rStyle w:val="Hyperlink"/>
            <w:rFonts w:ascii="Times New Roman" w:hAnsi="Times New Roman"/>
            <w:sz w:val="24"/>
            <w:szCs w:val="24"/>
          </w:rPr>
          <w:t>https://law.justia.com/cases/kentucky/supreme-court/2023/2021-sc-0479-mr.html</w:t>
        </w:r>
      </w:hyperlink>
      <w:r w:rsidRPr="003C1643">
        <w:rPr>
          <w:rFonts w:ascii="Times New Roman" w:hAnsi="Times New Roman"/>
          <w:sz w:val="24"/>
          <w:szCs w:val="24"/>
        </w:rPr>
        <w:t xml:space="preserve"> </w:t>
      </w:r>
    </w:p>
    <w:p w14:paraId="7BB36B32" w14:textId="77777777" w:rsidR="00227BDE" w:rsidRPr="003C1643" w:rsidRDefault="00227BDE" w:rsidP="00227BDE">
      <w:pPr>
        <w:pStyle w:val="NormalWeb"/>
        <w:rPr>
          <w:b/>
          <w:bCs/>
        </w:rPr>
      </w:pPr>
      <w:r w:rsidRPr="003C1643">
        <w:rPr>
          <w:b/>
          <w:bCs/>
        </w:rPr>
        <w:t xml:space="preserve">Legal Lesson Learned: Timely subpoena ED doctor and other key witnesses to appear in person for criminal trials. </w:t>
      </w:r>
    </w:p>
    <w:p w14:paraId="6F8EE4B6" w14:textId="77777777" w:rsidR="00227BDE" w:rsidRDefault="00227BDE" w:rsidP="002B1283">
      <w:pPr>
        <w:rPr>
          <w:rFonts w:ascii="Arial Black" w:hAnsi="Arial Black"/>
          <w:b/>
          <w:bCs/>
          <w:sz w:val="28"/>
          <w:szCs w:val="28"/>
        </w:rPr>
      </w:pPr>
      <w:r>
        <w:rPr>
          <w:rFonts w:ascii="Arial Black" w:hAnsi="Arial Black"/>
          <w:b/>
          <w:bCs/>
          <w:sz w:val="28"/>
          <w:szCs w:val="28"/>
        </w:rPr>
        <w:t xml:space="preserve"> </w:t>
      </w:r>
    </w:p>
    <w:p w14:paraId="7FDD1EC0" w14:textId="37C82A65" w:rsidR="006A02A4" w:rsidRDefault="006A02A4" w:rsidP="002B1283">
      <w:pPr>
        <w:rPr>
          <w:rFonts w:ascii="Arial Black" w:hAnsi="Arial Black"/>
          <w:b/>
          <w:bCs/>
          <w:sz w:val="28"/>
          <w:szCs w:val="28"/>
        </w:rPr>
      </w:pPr>
      <w:r>
        <w:rPr>
          <w:rFonts w:ascii="Arial Black" w:hAnsi="Arial Black"/>
          <w:b/>
          <w:bCs/>
          <w:sz w:val="28"/>
          <w:szCs w:val="28"/>
        </w:rPr>
        <w:t>13-143</w:t>
      </w:r>
    </w:p>
    <w:p w14:paraId="7D78F9A7" w14:textId="77777777" w:rsidR="00227BDE" w:rsidRPr="003515EA" w:rsidRDefault="00227BDE" w:rsidP="00227BDE">
      <w:pPr>
        <w:pStyle w:val="NoSpacing"/>
        <w:rPr>
          <w:rFonts w:ascii="Arial Black" w:hAnsi="Arial Black"/>
          <w:sz w:val="28"/>
          <w:szCs w:val="28"/>
        </w:rPr>
      </w:pPr>
      <w:r w:rsidRPr="003515EA">
        <w:rPr>
          <w:rFonts w:ascii="Arial Black" w:hAnsi="Arial Black"/>
          <w:sz w:val="28"/>
          <w:szCs w:val="28"/>
        </w:rPr>
        <w:t xml:space="preserve">IL (4/19/2023) – COVID 19 - CHICAGO MUST REHIRE EMPLOYEES </w:t>
      </w:r>
      <w:r>
        <w:rPr>
          <w:rFonts w:ascii="Arial Black" w:hAnsi="Arial Black"/>
          <w:sz w:val="28"/>
          <w:szCs w:val="28"/>
        </w:rPr>
        <w:t>–</w:t>
      </w:r>
      <w:r w:rsidRPr="003515EA">
        <w:rPr>
          <w:rFonts w:ascii="Arial Black" w:hAnsi="Arial Black"/>
          <w:sz w:val="28"/>
          <w:szCs w:val="28"/>
        </w:rPr>
        <w:t xml:space="preserve"> </w:t>
      </w:r>
      <w:r>
        <w:rPr>
          <w:rFonts w:ascii="Arial Black" w:hAnsi="Arial Black"/>
          <w:sz w:val="28"/>
          <w:szCs w:val="28"/>
        </w:rPr>
        <w:t xml:space="preserve">ALJ - </w:t>
      </w:r>
      <w:r w:rsidRPr="003515EA">
        <w:rPr>
          <w:rFonts w:ascii="Arial Black" w:hAnsi="Arial Black"/>
          <w:sz w:val="28"/>
          <w:szCs w:val="28"/>
        </w:rPr>
        <w:t xml:space="preserve">ILLINOIS LABOR RELATIONS BOARD </w:t>
      </w:r>
    </w:p>
    <w:p w14:paraId="250E779A" w14:textId="77777777" w:rsidR="00227BDE" w:rsidRDefault="00227BDE" w:rsidP="00227BDE">
      <w:pPr>
        <w:pStyle w:val="NoSpacing"/>
      </w:pPr>
    </w:p>
    <w:p w14:paraId="370F1335" w14:textId="77777777" w:rsidR="00227BDE" w:rsidRDefault="00227BDE" w:rsidP="00227BDE">
      <w:pPr>
        <w:pStyle w:val="NoSpacing"/>
        <w:rPr>
          <w:rStyle w:val="markedcontent"/>
          <w:rFonts w:ascii="Times New Roman" w:hAnsi="Times New Roman"/>
          <w:sz w:val="24"/>
          <w:szCs w:val="24"/>
        </w:rPr>
      </w:pPr>
      <w:r w:rsidRPr="003C1643">
        <w:rPr>
          <w:rStyle w:val="markedcontent"/>
          <w:rFonts w:ascii="Times New Roman" w:hAnsi="Times New Roman"/>
          <w:sz w:val="24"/>
          <w:szCs w:val="24"/>
          <w:u w:val="single"/>
        </w:rPr>
        <w:t>Coalition of Unionized Public Employees and American Federation of State, County and Municipal Employees, Council 31 v. City of Chicago</w:t>
      </w:r>
      <w:r w:rsidRPr="003C1643">
        <w:rPr>
          <w:rStyle w:val="markedcontent"/>
          <w:rFonts w:ascii="Times New Roman" w:hAnsi="Times New Roman"/>
          <w:sz w:val="24"/>
          <w:szCs w:val="24"/>
        </w:rPr>
        <w:t xml:space="preserve">.  </w:t>
      </w:r>
      <w:hyperlink r:id="rId2088" w:history="1">
        <w:r w:rsidRPr="003C1643">
          <w:rPr>
            <w:rStyle w:val="Hyperlink"/>
            <w:rFonts w:ascii="Times New Roman" w:hAnsi="Times New Roman"/>
            <w:sz w:val="24"/>
            <w:szCs w:val="24"/>
          </w:rPr>
          <w:t>https://s3.amazonaws.com/jnswire/jns-media/e9/3e/12863006/unions_v_chicago_vax_ilrb_alj.pdf</w:t>
        </w:r>
      </w:hyperlink>
      <w:r w:rsidRPr="003C1643">
        <w:rPr>
          <w:rStyle w:val="markedcontent"/>
          <w:rFonts w:ascii="Times New Roman" w:hAnsi="Times New Roman"/>
          <w:sz w:val="24"/>
          <w:szCs w:val="24"/>
        </w:rPr>
        <w:t xml:space="preserve"> </w:t>
      </w:r>
    </w:p>
    <w:p w14:paraId="586E16A0" w14:textId="77777777" w:rsidR="006A02A4" w:rsidRDefault="006A02A4" w:rsidP="00227BDE">
      <w:pPr>
        <w:pStyle w:val="NoSpacing"/>
        <w:rPr>
          <w:rStyle w:val="markedcontent"/>
          <w:rFonts w:ascii="Times New Roman" w:hAnsi="Times New Roman"/>
          <w:sz w:val="24"/>
          <w:szCs w:val="24"/>
        </w:rPr>
      </w:pPr>
    </w:p>
    <w:p w14:paraId="2B9D8898" w14:textId="77777777" w:rsidR="006A02A4" w:rsidRPr="006A02A4" w:rsidRDefault="006A02A4" w:rsidP="006A02A4">
      <w:pPr>
        <w:pStyle w:val="Heading2"/>
        <w:rPr>
          <w:rFonts w:ascii="Times New Roman" w:hAnsi="Times New Roman"/>
          <w:b w:val="0"/>
          <w:bCs w:val="0"/>
          <w:i w:val="0"/>
          <w:iCs w:val="0"/>
          <w:color w:val="000000" w:themeColor="text1"/>
          <w:sz w:val="24"/>
          <w:szCs w:val="24"/>
        </w:rPr>
      </w:pPr>
      <w:r w:rsidRPr="006A02A4">
        <w:rPr>
          <w:rFonts w:ascii="Times New Roman" w:hAnsi="Times New Roman"/>
          <w:i w:val="0"/>
          <w:iCs w:val="0"/>
          <w:color w:val="000000" w:themeColor="text1"/>
          <w:sz w:val="24"/>
          <w:szCs w:val="24"/>
        </w:rPr>
        <w:t xml:space="preserve">Legal Lesson Learned: The City of Chicago must bargain over the effects of the vaccination mandate. </w:t>
      </w:r>
    </w:p>
    <w:p w14:paraId="44CD7852" w14:textId="77777777" w:rsidR="006A02A4" w:rsidRPr="006A02A4" w:rsidRDefault="006A02A4" w:rsidP="006A02A4">
      <w:pPr>
        <w:pStyle w:val="Heading2"/>
        <w:ind w:left="720"/>
        <w:rPr>
          <w:rFonts w:ascii="Times New Roman" w:hAnsi="Times New Roman"/>
          <w:b w:val="0"/>
          <w:bCs w:val="0"/>
          <w:color w:val="000000" w:themeColor="text1"/>
          <w:sz w:val="24"/>
          <w:szCs w:val="24"/>
        </w:rPr>
      </w:pPr>
      <w:r w:rsidRPr="006A02A4">
        <w:rPr>
          <w:rFonts w:ascii="Times New Roman" w:hAnsi="Times New Roman"/>
          <w:b w:val="0"/>
          <w:bCs w:val="0"/>
          <w:i w:val="0"/>
          <w:iCs w:val="0"/>
          <w:color w:val="000000" w:themeColor="text1"/>
          <w:sz w:val="24"/>
          <w:szCs w:val="24"/>
        </w:rPr>
        <w:t xml:space="preserve">Note: See also April 20, </w:t>
      </w:r>
      <w:proofErr w:type="gramStart"/>
      <w:r w:rsidRPr="006A02A4">
        <w:rPr>
          <w:rFonts w:ascii="Times New Roman" w:hAnsi="Times New Roman"/>
          <w:b w:val="0"/>
          <w:bCs w:val="0"/>
          <w:i w:val="0"/>
          <w:iCs w:val="0"/>
          <w:color w:val="000000" w:themeColor="text1"/>
          <w:sz w:val="24"/>
          <w:szCs w:val="24"/>
        </w:rPr>
        <w:t>2023</w:t>
      </w:r>
      <w:proofErr w:type="gramEnd"/>
      <w:r w:rsidRPr="006A02A4">
        <w:rPr>
          <w:rFonts w:ascii="Times New Roman" w:hAnsi="Times New Roman"/>
          <w:b w:val="0"/>
          <w:bCs w:val="0"/>
          <w:i w:val="0"/>
          <w:iCs w:val="0"/>
          <w:color w:val="000000" w:themeColor="text1"/>
          <w:sz w:val="24"/>
          <w:szCs w:val="24"/>
        </w:rPr>
        <w:t xml:space="preserve"> article, “Labor board judge: Chicago trampled union bargaining rights by firing workers who refused Covid vax.” </w:t>
      </w:r>
      <w:hyperlink r:id="rId2089" w:history="1">
        <w:r w:rsidRPr="006A02A4">
          <w:rPr>
            <w:rStyle w:val="Hyperlink"/>
            <w:rFonts w:ascii="Times New Roman" w:hAnsi="Times New Roman"/>
            <w:b w:val="0"/>
            <w:bCs w:val="0"/>
            <w:i w:val="0"/>
            <w:iCs w:val="0"/>
            <w:sz w:val="24"/>
            <w:szCs w:val="24"/>
          </w:rPr>
          <w:t>https://cookcountyrecord.com/stories/641740005-labor-board-judge-chicago-trampled-union-bargaining-rights-by-firing-workers-who-refused-covid-vax</w:t>
        </w:r>
      </w:hyperlink>
      <w:r w:rsidRPr="006A02A4">
        <w:rPr>
          <w:rFonts w:ascii="Times New Roman" w:hAnsi="Times New Roman"/>
          <w:b w:val="0"/>
          <w:bCs w:val="0"/>
          <w:color w:val="000000" w:themeColor="text1"/>
          <w:sz w:val="24"/>
          <w:szCs w:val="24"/>
        </w:rPr>
        <w:t xml:space="preserve"> </w:t>
      </w:r>
    </w:p>
    <w:p w14:paraId="0F077198" w14:textId="77777777" w:rsidR="006A02A4" w:rsidRPr="003C1643" w:rsidRDefault="006A02A4" w:rsidP="00227BDE">
      <w:pPr>
        <w:pStyle w:val="NoSpacing"/>
        <w:rPr>
          <w:rFonts w:ascii="Times New Roman" w:hAnsi="Times New Roman"/>
          <w:sz w:val="24"/>
          <w:szCs w:val="24"/>
        </w:rPr>
      </w:pPr>
    </w:p>
    <w:p w14:paraId="6727D08F" w14:textId="77777777" w:rsidR="00227BDE" w:rsidRDefault="00227BDE" w:rsidP="002B1283">
      <w:pPr>
        <w:rPr>
          <w:rFonts w:ascii="Arial Black" w:hAnsi="Arial Black"/>
          <w:b/>
          <w:bCs/>
          <w:sz w:val="28"/>
          <w:szCs w:val="28"/>
        </w:rPr>
      </w:pPr>
    </w:p>
    <w:p w14:paraId="552A7A95" w14:textId="675E7682" w:rsidR="00227BDE" w:rsidRDefault="006A02A4" w:rsidP="002B1283">
      <w:pPr>
        <w:rPr>
          <w:rFonts w:ascii="Arial Black" w:hAnsi="Arial Black"/>
          <w:b/>
          <w:bCs/>
          <w:sz w:val="28"/>
          <w:szCs w:val="28"/>
        </w:rPr>
      </w:pPr>
      <w:r>
        <w:rPr>
          <w:rFonts w:ascii="Arial Black" w:hAnsi="Arial Black"/>
          <w:b/>
          <w:bCs/>
          <w:sz w:val="28"/>
          <w:szCs w:val="28"/>
        </w:rPr>
        <w:t>13-142</w:t>
      </w:r>
    </w:p>
    <w:p w14:paraId="7DE32538" w14:textId="77777777" w:rsidR="006A02A4" w:rsidRPr="00CC53E3" w:rsidRDefault="006A02A4" w:rsidP="006A02A4">
      <w:pPr>
        <w:pStyle w:val="NoSpacing"/>
        <w:rPr>
          <w:rFonts w:ascii="Arial Black" w:hAnsi="Arial Black"/>
          <w:sz w:val="28"/>
          <w:szCs w:val="28"/>
        </w:rPr>
      </w:pPr>
      <w:r w:rsidRPr="00CC53E3">
        <w:rPr>
          <w:rFonts w:ascii="Arial Black" w:hAnsi="Arial Black"/>
          <w:sz w:val="28"/>
          <w:szCs w:val="28"/>
        </w:rPr>
        <w:t xml:space="preserve">IL (4/17/2023) – </w:t>
      </w:r>
      <w:r>
        <w:rPr>
          <w:rFonts w:ascii="Arial Black" w:hAnsi="Arial Black"/>
          <w:sz w:val="28"/>
          <w:szCs w:val="28"/>
        </w:rPr>
        <w:t xml:space="preserve">MENTAL TRANSPORT - BRUTALY </w:t>
      </w:r>
      <w:r w:rsidRPr="00CC53E3">
        <w:rPr>
          <w:rFonts w:ascii="Arial Black" w:hAnsi="Arial Black"/>
          <w:sz w:val="28"/>
          <w:szCs w:val="28"/>
        </w:rPr>
        <w:t>ASSAULTED EMT</w:t>
      </w:r>
      <w:r>
        <w:rPr>
          <w:rFonts w:ascii="Arial Black" w:hAnsi="Arial Black"/>
          <w:sz w:val="28"/>
          <w:szCs w:val="28"/>
        </w:rPr>
        <w:t xml:space="preserve"> IN AMBULANCE – 7 YRS PRISON </w:t>
      </w:r>
      <w:r w:rsidRPr="00CC53E3">
        <w:rPr>
          <w:rFonts w:ascii="Arial Black" w:hAnsi="Arial Black"/>
          <w:sz w:val="28"/>
          <w:szCs w:val="28"/>
        </w:rPr>
        <w:t xml:space="preserve"> </w:t>
      </w:r>
    </w:p>
    <w:p w14:paraId="0E17CB82" w14:textId="77777777" w:rsidR="006A02A4" w:rsidRDefault="006A02A4" w:rsidP="006A02A4">
      <w:pPr>
        <w:pStyle w:val="NoSpacing"/>
      </w:pPr>
    </w:p>
    <w:p w14:paraId="41E6FEF0" w14:textId="77777777" w:rsidR="006A02A4" w:rsidRPr="003C1643" w:rsidRDefault="006A02A4" w:rsidP="006A02A4">
      <w:pPr>
        <w:pStyle w:val="NoSpacing"/>
        <w:rPr>
          <w:rFonts w:ascii="Times New Roman" w:hAnsi="Times New Roman"/>
          <w:sz w:val="24"/>
          <w:szCs w:val="24"/>
        </w:rPr>
      </w:pPr>
      <w:r w:rsidRPr="003C1643">
        <w:rPr>
          <w:rFonts w:ascii="Times New Roman" w:hAnsi="Times New Roman"/>
          <w:sz w:val="24"/>
          <w:szCs w:val="24"/>
          <w:u w:val="single"/>
        </w:rPr>
        <w:t>The People of the State of Illinois v. Cortez Peters</w:t>
      </w:r>
      <w:r w:rsidRPr="003C1643">
        <w:rPr>
          <w:rFonts w:ascii="Times New Roman" w:hAnsi="Times New Roman"/>
          <w:sz w:val="24"/>
          <w:szCs w:val="24"/>
        </w:rPr>
        <w:t xml:space="preserve">, Court of Appeals of Illinois, First District, First Division. </w:t>
      </w:r>
      <w:hyperlink r:id="rId2090" w:history="1">
        <w:r w:rsidRPr="003C1643">
          <w:rPr>
            <w:rStyle w:val="Hyperlink"/>
            <w:rFonts w:ascii="Times New Roman" w:hAnsi="Times New Roman"/>
            <w:sz w:val="24"/>
            <w:szCs w:val="24"/>
          </w:rPr>
          <w:t>https://ilcourtsaudio.blob.core.windows.net/antilles-resources/resources/d0a50835-8b8c-4e4e-96d4-c3b209eadd34/People%20v.%20Peters,%202023%20IL%20App%20(1st)%20211591-U.pdf</w:t>
        </w:r>
      </w:hyperlink>
      <w:r w:rsidRPr="003C1643">
        <w:rPr>
          <w:rFonts w:ascii="Times New Roman" w:hAnsi="Times New Roman"/>
          <w:sz w:val="24"/>
          <w:szCs w:val="24"/>
        </w:rPr>
        <w:t xml:space="preserve"> </w:t>
      </w:r>
    </w:p>
    <w:p w14:paraId="55CF0651" w14:textId="77777777" w:rsidR="006A02A4" w:rsidRPr="003C1643" w:rsidRDefault="006A02A4" w:rsidP="006A02A4">
      <w:pPr>
        <w:pStyle w:val="NoSpacing"/>
        <w:rPr>
          <w:rFonts w:ascii="Times New Roman" w:hAnsi="Times New Roman"/>
          <w:sz w:val="24"/>
          <w:szCs w:val="24"/>
        </w:rPr>
      </w:pPr>
    </w:p>
    <w:p w14:paraId="297B15EF" w14:textId="77777777" w:rsidR="006A02A4" w:rsidRPr="003C1643" w:rsidRDefault="006A02A4" w:rsidP="006A02A4">
      <w:pPr>
        <w:pStyle w:val="NormalWeb"/>
        <w:rPr>
          <w:b/>
          <w:bCs/>
        </w:rPr>
      </w:pPr>
      <w:r w:rsidRPr="003C1643">
        <w:rPr>
          <w:b/>
          <w:bCs/>
        </w:rPr>
        <w:lastRenderedPageBreak/>
        <w:t xml:space="preserve">Legal Lesson Learned: Transporting mentally ill patient can be high risk; adopt a protocol on securing such patients. </w:t>
      </w:r>
    </w:p>
    <w:p w14:paraId="2E333774" w14:textId="77777777" w:rsidR="006A02A4" w:rsidRDefault="006A02A4" w:rsidP="002B1283">
      <w:pPr>
        <w:rPr>
          <w:rFonts w:ascii="Arial Black" w:hAnsi="Arial Black"/>
          <w:b/>
          <w:bCs/>
          <w:sz w:val="28"/>
          <w:szCs w:val="28"/>
        </w:rPr>
      </w:pPr>
    </w:p>
    <w:p w14:paraId="4D07DF78" w14:textId="77777777" w:rsidR="006A02A4" w:rsidRDefault="006A02A4" w:rsidP="002B1283">
      <w:pPr>
        <w:rPr>
          <w:rFonts w:ascii="Arial Black" w:hAnsi="Arial Black"/>
          <w:b/>
          <w:bCs/>
          <w:sz w:val="28"/>
          <w:szCs w:val="28"/>
        </w:rPr>
      </w:pPr>
    </w:p>
    <w:p w14:paraId="3663991E" w14:textId="01E0CE5D" w:rsidR="006A02A4" w:rsidRDefault="006A02A4" w:rsidP="002B1283">
      <w:pPr>
        <w:rPr>
          <w:rFonts w:ascii="Arial Black" w:hAnsi="Arial Black"/>
          <w:b/>
          <w:bCs/>
          <w:sz w:val="28"/>
          <w:szCs w:val="28"/>
        </w:rPr>
      </w:pPr>
      <w:r>
        <w:rPr>
          <w:rFonts w:ascii="Arial Black" w:hAnsi="Arial Black"/>
          <w:b/>
          <w:bCs/>
          <w:sz w:val="28"/>
          <w:szCs w:val="28"/>
        </w:rPr>
        <w:t>13-141</w:t>
      </w:r>
    </w:p>
    <w:p w14:paraId="2E99BF77" w14:textId="19C228B1" w:rsidR="006A02A4" w:rsidRPr="009F5DBC" w:rsidRDefault="006A02A4" w:rsidP="006A02A4">
      <w:pPr>
        <w:pStyle w:val="NoSpacing"/>
        <w:rPr>
          <w:rFonts w:ascii="Arial Black" w:hAnsi="Arial Black"/>
          <w:sz w:val="28"/>
          <w:szCs w:val="28"/>
        </w:rPr>
      </w:pPr>
      <w:r w:rsidRPr="009F5DBC">
        <w:rPr>
          <w:rFonts w:ascii="Arial Black" w:hAnsi="Arial Black"/>
          <w:sz w:val="28"/>
          <w:szCs w:val="28"/>
        </w:rPr>
        <w:t>NY (4/14/2023) – RESPIR</w:t>
      </w:r>
      <w:r>
        <w:rPr>
          <w:rFonts w:ascii="Arial Black" w:hAnsi="Arial Black"/>
          <w:sz w:val="28"/>
          <w:szCs w:val="28"/>
        </w:rPr>
        <w:t>. A</w:t>
      </w:r>
      <w:r w:rsidRPr="009F5DBC">
        <w:rPr>
          <w:rFonts w:ascii="Arial Black" w:hAnsi="Arial Black"/>
          <w:sz w:val="28"/>
          <w:szCs w:val="28"/>
        </w:rPr>
        <w:t xml:space="preserve">RREST – INTUBATION </w:t>
      </w:r>
      <w:r>
        <w:rPr>
          <w:rFonts w:ascii="Arial Black" w:hAnsi="Arial Black"/>
          <w:sz w:val="28"/>
          <w:szCs w:val="28"/>
        </w:rPr>
        <w:t xml:space="preserve">IN </w:t>
      </w:r>
      <w:r w:rsidRPr="009F5DBC">
        <w:rPr>
          <w:rFonts w:ascii="Arial Black" w:hAnsi="Arial Black"/>
          <w:sz w:val="28"/>
          <w:szCs w:val="28"/>
        </w:rPr>
        <w:t>ESOPHAGUS –</w:t>
      </w:r>
      <w:r>
        <w:rPr>
          <w:rFonts w:ascii="Arial Black" w:hAnsi="Arial Black"/>
          <w:sz w:val="28"/>
          <w:szCs w:val="28"/>
        </w:rPr>
        <w:t xml:space="preserve"> HOSP. ED - NO EXPERT PROOF CAUSED DEATH</w:t>
      </w:r>
    </w:p>
    <w:p w14:paraId="5B530D93" w14:textId="77777777" w:rsidR="006A02A4" w:rsidRDefault="006A02A4" w:rsidP="006A02A4">
      <w:pPr>
        <w:pStyle w:val="NoSpacing"/>
      </w:pPr>
    </w:p>
    <w:p w14:paraId="1C3C95F9" w14:textId="77777777" w:rsidR="006A02A4" w:rsidRPr="003C1643" w:rsidRDefault="006A02A4" w:rsidP="006A02A4">
      <w:pPr>
        <w:pStyle w:val="NoSpacing"/>
        <w:rPr>
          <w:rFonts w:ascii="Times New Roman" w:hAnsi="Times New Roman"/>
          <w:sz w:val="24"/>
          <w:szCs w:val="24"/>
        </w:rPr>
      </w:pPr>
      <w:r w:rsidRPr="003C1643">
        <w:rPr>
          <w:rFonts w:ascii="Times New Roman" w:hAnsi="Times New Roman"/>
          <w:sz w:val="24"/>
          <w:szCs w:val="24"/>
          <w:u w:val="single"/>
        </w:rPr>
        <w:t>Shaquia Simmons, Administrator of the estate of Judith Prescott v. Elizabeth Rubano, M.D. et al.</w:t>
      </w:r>
      <w:r w:rsidRPr="003C1643">
        <w:rPr>
          <w:rFonts w:ascii="Times New Roman" w:hAnsi="Times New Roman"/>
          <w:sz w:val="24"/>
          <w:szCs w:val="24"/>
        </w:rPr>
        <w:t>, Supreme Court, Kings County. [Unpublished Decision.]</w:t>
      </w:r>
    </w:p>
    <w:p w14:paraId="0B73F22E" w14:textId="5B523591" w:rsidR="006A02A4" w:rsidRDefault="006A02A4" w:rsidP="006A02A4">
      <w:pPr>
        <w:rPr>
          <w:rFonts w:ascii="Arial Black" w:hAnsi="Arial Black"/>
          <w:b/>
          <w:bCs/>
          <w:sz w:val="28"/>
          <w:szCs w:val="28"/>
        </w:rPr>
      </w:pPr>
      <w:hyperlink r:id="rId2091" w:history="1">
        <w:r w:rsidRPr="003C1643">
          <w:rPr>
            <w:rStyle w:val="Hyperlink"/>
            <w:rFonts w:ascii="Times New Roman" w:hAnsi="Times New Roman"/>
            <w:sz w:val="24"/>
            <w:szCs w:val="24"/>
          </w:rPr>
          <w:t>https://law.justia.com/cases/new-york/other-courts/2023/2023-ny-slip-op-31298-u.html</w:t>
        </w:r>
      </w:hyperlink>
    </w:p>
    <w:p w14:paraId="1BBCC23C" w14:textId="77777777" w:rsidR="006A02A4" w:rsidRPr="003C1643" w:rsidRDefault="006A02A4" w:rsidP="006A02A4">
      <w:pPr>
        <w:pStyle w:val="NormalWeb"/>
        <w:rPr>
          <w:b/>
          <w:bCs/>
        </w:rPr>
      </w:pPr>
      <w:r w:rsidRPr="003C1643">
        <w:rPr>
          <w:b/>
          <w:bCs/>
        </w:rPr>
        <w:t xml:space="preserve">Legal Lesson Learned: EMS should confirm proper placement of ET Tube. </w:t>
      </w:r>
    </w:p>
    <w:p w14:paraId="7CA52EEC" w14:textId="77777777" w:rsidR="00227BDE" w:rsidRDefault="00227BDE" w:rsidP="002B1283">
      <w:pPr>
        <w:rPr>
          <w:rFonts w:ascii="Arial Black" w:hAnsi="Arial Black"/>
          <w:b/>
          <w:bCs/>
          <w:sz w:val="28"/>
          <w:szCs w:val="28"/>
        </w:rPr>
      </w:pPr>
    </w:p>
    <w:p w14:paraId="4AF5BE6B" w14:textId="77777777" w:rsidR="00227BDE" w:rsidRDefault="00227BDE" w:rsidP="002B1283">
      <w:pPr>
        <w:rPr>
          <w:rFonts w:ascii="Arial Black" w:hAnsi="Arial Black"/>
          <w:b/>
          <w:bCs/>
          <w:sz w:val="28"/>
          <w:szCs w:val="28"/>
        </w:rPr>
      </w:pPr>
    </w:p>
    <w:p w14:paraId="59CA279A" w14:textId="68060B8B" w:rsidR="00D66BAA" w:rsidRDefault="00D66BAA" w:rsidP="002B1283">
      <w:pPr>
        <w:rPr>
          <w:rFonts w:ascii="Arial Black" w:hAnsi="Arial Black"/>
          <w:b/>
          <w:bCs/>
          <w:sz w:val="28"/>
          <w:szCs w:val="28"/>
        </w:rPr>
      </w:pPr>
      <w:r>
        <w:rPr>
          <w:rFonts w:ascii="Arial Black" w:hAnsi="Arial Black"/>
          <w:b/>
          <w:bCs/>
          <w:sz w:val="28"/>
          <w:szCs w:val="28"/>
        </w:rPr>
        <w:t>13-140</w:t>
      </w:r>
    </w:p>
    <w:p w14:paraId="3CC7D588" w14:textId="77777777" w:rsidR="00D66BAA" w:rsidRDefault="00D66BAA" w:rsidP="00D66BAA">
      <w:pPr>
        <w:pStyle w:val="NormalWeb"/>
        <w:rPr>
          <w:rFonts w:ascii="Arial Black" w:hAnsi="Arial Black"/>
          <w:sz w:val="28"/>
          <w:szCs w:val="28"/>
        </w:rPr>
      </w:pPr>
      <w:r>
        <w:t> </w:t>
      </w:r>
      <w:r>
        <w:rPr>
          <w:rFonts w:ascii="Arial Black" w:hAnsi="Arial Black"/>
          <w:sz w:val="28"/>
          <w:szCs w:val="28"/>
        </w:rPr>
        <w:t xml:space="preserve">NY: COVID-19 – EMS LAWSUIT AGAINST UNION DISMISSED – CITY BARGAINED WITH DC37 – NO RATIFICATION REQ. </w:t>
      </w:r>
    </w:p>
    <w:p w14:paraId="5957852B" w14:textId="77777777" w:rsidR="00D66BAA" w:rsidRDefault="00D66BAA" w:rsidP="00D66BAA">
      <w:pPr>
        <w:pStyle w:val="NormalWeb"/>
      </w:pPr>
      <w:r>
        <w:t xml:space="preserve">On March 29, 2023, in </w:t>
      </w:r>
      <w:r>
        <w:rPr>
          <w:u w:val="single"/>
        </w:rPr>
        <w:t>John Garland v. City of New York, et al</w:t>
      </w:r>
      <w:r>
        <w:t>., U.S. District Court Judge Kiyo A. Matsumoto, U.S. District Court for Eastern District of New York, granted the City’s motion to dismiss.  The Judge in December, 2021 had dismissed firefighters’ lawsuit seeking reinstatement and back pay, noting: “Indeed, any FDNY employees who challenged whether the Vaccine Mandate should apply to them not only ‘had the opportunity to seek a religious or medical accommodation,’ they also ‘remain[ed] on pay status pending the decision on their request or appeal, so long as their accommodation requests were submitted prior to October 27, 2021.”  On Jan. 5, 2022, the EMS plaintiffs then filed an Amended Complaint against their Union - District Council 37, AFSCME AFL-</w:t>
      </w:r>
      <w:proofErr w:type="gramStart"/>
      <w:r>
        <w:t>CIO (‘</w:t>
      </w:r>
      <w:proofErr w:type="gramEnd"/>
      <w:r>
        <w:t xml:space="preserve">DC37’) - and Harry Garrido, DC37's Executive Director.  </w:t>
      </w:r>
    </w:p>
    <w:p w14:paraId="0D9C9665" w14:textId="77777777" w:rsidR="00D66BAA" w:rsidRDefault="00D66BAA" w:rsidP="00D66BAA">
      <w:pPr>
        <w:pStyle w:val="NormalWeb"/>
        <w:ind w:left="720"/>
      </w:pPr>
      <w:r>
        <w:t xml:space="preserve">The Judge held: “Plaintiffs also argue that, even though the FDNY </w:t>
      </w:r>
      <w:r>
        <w:rPr>
          <w:rStyle w:val="Emphasis"/>
        </w:rPr>
        <w:t>did</w:t>
      </w:r>
      <w:r>
        <w:t xml:space="preserve"> bargain and negotiate with DC37 concerning the Vaccine Mandate, the resulting DC37 Agreement was never ratified by DC37's union members ….Plaintiffs assert that under New York City Admin. Code Section 12-307(a)(4), the DC37 Agreement could not amend the existing procedures of DC37's collective bargaining agreement without ratification by its members….  As the Court has repeatedly stated, however, ‘the Court looks to federal constitutional standards rather than state statutes to define the requirements of procedural due process…. Courts repeatedly have held that state statutes do not determine constitutional due process requirements.” </w:t>
      </w:r>
      <w:hyperlink r:id="rId2092" w:history="1">
        <w:r>
          <w:rPr>
            <w:rStyle w:val="Hyperlink"/>
          </w:rPr>
          <w:t>https://public.fastcase.com/J%2FJP6pdidelsXxEE4k%2BLMmkKAOu2og4RFw84MS%2B8ggk3sjpW8vutPxLex2RgGn%2Bt2Jik%2FeX8PJts3C%2F6Q%2Fo%2BG%2BiayCxJf82VEENSX79a%2FfU%3D?utm_medium=email&amp;_hsmi=226712652&amp;_hsenc=p2ANqtz-</w:t>
        </w:r>
        <w:r>
          <w:rPr>
            <w:rStyle w:val="Hyperlink"/>
          </w:rPr>
          <w:lastRenderedPageBreak/>
          <w:t>9IQANQQw8c4G50juoB1YOeI9PRU9K182hoTYcfz0uXjPfI5SdzNRjzRb60ER6nqwMSPaZSSyOzlxBsxtCZ7kFqJFFA4g&amp;utm_content=226712652&amp;utm_source=hs_email</w:t>
        </w:r>
      </w:hyperlink>
      <w:r>
        <w:t xml:space="preserve"> </w:t>
      </w:r>
    </w:p>
    <w:p w14:paraId="4B425704" w14:textId="77777777" w:rsidR="00D66BAA" w:rsidRDefault="00D66BAA" w:rsidP="00D66BAA">
      <w:pPr>
        <w:pStyle w:val="NormalWeb"/>
        <w:ind w:left="720"/>
      </w:pPr>
      <w:r>
        <w:t>“Plaintiffs allege in the Amended Complaint that seventy-seven out of the eighty-six total Plaintiffs have requested a medical or religious accommodation to be exempt from the Vaccine Mandate; seventy-one Plaintiffs have been denied and six were awaiting an initial determination; thirty-seven Plaintiffs have appealed the denial of their request for a reasonable accommodation; and one Plaintiff's appeal has been denied, while thirty-six are awaiting a decision.</w:t>
      </w:r>
    </w:p>
    <w:p w14:paraId="4B110261" w14:textId="77777777" w:rsidR="00D66BAA" w:rsidRDefault="00D66BAA" w:rsidP="00D66BAA">
      <w:pPr>
        <w:pStyle w:val="NormalWeb"/>
        <w:ind w:left="720"/>
      </w:pPr>
      <w:r>
        <w:t>***</w:t>
      </w:r>
    </w:p>
    <w:p w14:paraId="6695197B" w14:textId="77777777" w:rsidR="00D66BAA" w:rsidRDefault="00D66BAA" w:rsidP="00D66BAA">
      <w:pPr>
        <w:pStyle w:val="NormalWeb"/>
        <w:ind w:left="720"/>
      </w:pPr>
      <w:r>
        <w:t xml:space="preserve">The Vaccine Mandate was revoked by the City on February 10, </w:t>
      </w:r>
      <w:proofErr w:type="gramStart"/>
      <w:r>
        <w:t>2023</w:t>
      </w:r>
      <w:proofErr w:type="gramEnd"/>
      <w:r>
        <w:t xml:space="preserve"> and is no longer in effect.”</w:t>
      </w:r>
    </w:p>
    <w:p w14:paraId="00FF6026" w14:textId="77777777" w:rsidR="00D66BAA" w:rsidRDefault="00D66BAA" w:rsidP="00D66BAA">
      <w:pPr>
        <w:pStyle w:val="NormalWeb"/>
        <w:rPr>
          <w:b/>
          <w:bCs/>
        </w:rPr>
      </w:pPr>
      <w:r>
        <w:rPr>
          <w:b/>
          <w:bCs/>
        </w:rPr>
        <w:t xml:space="preserve">Legal Lesson Learned: Hopefully litigation over Covid-12 vaccinations will soon be over. </w:t>
      </w:r>
    </w:p>
    <w:p w14:paraId="60184AD3" w14:textId="77777777" w:rsidR="00D66BAA" w:rsidRDefault="00D66BAA" w:rsidP="00D66BAA">
      <w:pPr>
        <w:pStyle w:val="Heading1"/>
        <w:ind w:left="720"/>
        <w:rPr>
          <w:b w:val="0"/>
          <w:bCs w:val="0"/>
          <w:sz w:val="24"/>
          <w:szCs w:val="24"/>
        </w:rPr>
      </w:pPr>
      <w:r>
        <w:rPr>
          <w:b w:val="0"/>
          <w:bCs w:val="0"/>
          <w:sz w:val="24"/>
          <w:szCs w:val="24"/>
        </w:rPr>
        <w:t xml:space="preserve">Note: </w:t>
      </w:r>
    </w:p>
    <w:p w14:paraId="1EFB6343" w14:textId="77777777" w:rsidR="00D66BAA" w:rsidRDefault="00D66BAA" w:rsidP="00D66BAA">
      <w:pPr>
        <w:pStyle w:val="Heading1"/>
        <w:ind w:left="720"/>
        <w:rPr>
          <w:rStyle w:val="markedcontent"/>
        </w:rPr>
      </w:pPr>
      <w:r>
        <w:rPr>
          <w:b w:val="0"/>
          <w:bCs w:val="0"/>
          <w:sz w:val="24"/>
          <w:szCs w:val="24"/>
        </w:rPr>
        <w:t xml:space="preserve">See March 10, </w:t>
      </w:r>
      <w:proofErr w:type="gramStart"/>
      <w:r>
        <w:rPr>
          <w:b w:val="0"/>
          <w:bCs w:val="0"/>
          <w:sz w:val="24"/>
          <w:szCs w:val="24"/>
        </w:rPr>
        <w:t>2023</w:t>
      </w:r>
      <w:proofErr w:type="gramEnd"/>
      <w:r>
        <w:rPr>
          <w:b w:val="0"/>
          <w:bCs w:val="0"/>
          <w:sz w:val="24"/>
          <w:szCs w:val="24"/>
        </w:rPr>
        <w:t xml:space="preserve"> City Re-Hiring Memo: </w:t>
      </w:r>
      <w:r>
        <w:rPr>
          <w:rStyle w:val="markedcontent"/>
          <w:b w:val="0"/>
          <w:bCs w:val="0"/>
          <w:sz w:val="24"/>
          <w:szCs w:val="24"/>
        </w:rPr>
        <w:t>“Are employees who were terminated for failure to comply with the vaccine mandate eligible for rehire? Yes, employees who were terminated due to the vaccine mandate are eligible for rehire by any City agency, with the understanding they meet all conditions for employment in the rehire position and haven’t otherwise signed a waiver indicating they will not return.”</w:t>
      </w:r>
      <w:r>
        <w:t xml:space="preserve"> </w:t>
      </w:r>
      <w:hyperlink r:id="rId2093" w:history="1">
        <w:r>
          <w:rPr>
            <w:rStyle w:val="Hyperlink"/>
            <w:b w:val="0"/>
            <w:bCs w:val="0"/>
            <w:sz w:val="24"/>
            <w:szCs w:val="24"/>
          </w:rPr>
          <w:t>https://www.nyc.gov/assets/dcas/downloads/pdf/guidelines/faq-vaccine-mandate.pdf</w:t>
        </w:r>
      </w:hyperlink>
      <w:r>
        <w:rPr>
          <w:rStyle w:val="markedcontent"/>
          <w:b w:val="0"/>
          <w:bCs w:val="0"/>
          <w:sz w:val="24"/>
          <w:szCs w:val="24"/>
        </w:rPr>
        <w:t xml:space="preserve"> </w:t>
      </w:r>
    </w:p>
    <w:p w14:paraId="2D1BC1C8" w14:textId="77777777" w:rsidR="00D66BAA" w:rsidRDefault="00D66BAA" w:rsidP="00D66BAA">
      <w:pPr>
        <w:pStyle w:val="Heading1"/>
        <w:ind w:left="720"/>
      </w:pPr>
      <w:r>
        <w:rPr>
          <w:b w:val="0"/>
          <w:bCs w:val="0"/>
          <w:sz w:val="24"/>
          <w:szCs w:val="24"/>
        </w:rPr>
        <w:t xml:space="preserve">See Oct. 26, </w:t>
      </w:r>
      <w:proofErr w:type="gramStart"/>
      <w:r>
        <w:rPr>
          <w:b w:val="0"/>
          <w:bCs w:val="0"/>
          <w:sz w:val="24"/>
          <w:szCs w:val="24"/>
        </w:rPr>
        <w:t>2022</w:t>
      </w:r>
      <w:proofErr w:type="gramEnd"/>
      <w:r>
        <w:rPr>
          <w:b w:val="0"/>
          <w:bCs w:val="0"/>
          <w:sz w:val="24"/>
          <w:szCs w:val="24"/>
        </w:rPr>
        <w:t xml:space="preserve"> article, “Judge: NYC must rehire and pay back workers who violated vaccine mandate.” A judge with the New York State Supreme Court on Tuesday ruled that New York City Mayor Eric Adams' October 2021 mandate requiring all municipal workers to receive a Covid-19 vaccine was unlawful and ordered the city to rehire and provide back pay to all sanitation workers who lost their jobs for violating the mandate. </w:t>
      </w:r>
      <w:hyperlink r:id="rId2094" w:history="1">
        <w:r>
          <w:rPr>
            <w:rStyle w:val="Hyperlink"/>
            <w:b w:val="0"/>
            <w:bCs w:val="0"/>
            <w:sz w:val="24"/>
            <w:szCs w:val="24"/>
          </w:rPr>
          <w:t>https://www.advisory.com/daily-briefing/2022/10/26/vaccine-mandate</w:t>
        </w:r>
      </w:hyperlink>
      <w:r>
        <w:rPr>
          <w:b w:val="0"/>
          <w:bCs w:val="0"/>
          <w:sz w:val="24"/>
          <w:szCs w:val="24"/>
        </w:rPr>
        <w:t xml:space="preserve">  </w:t>
      </w:r>
    </w:p>
    <w:p w14:paraId="7731639F" w14:textId="1CE5D13A" w:rsidR="00D66BAA" w:rsidRPr="00D66BAA" w:rsidRDefault="00D66BAA" w:rsidP="00D66BAA">
      <w:pPr>
        <w:ind w:left="720"/>
        <w:rPr>
          <w:rFonts w:ascii="Times New Roman" w:hAnsi="Times New Roman"/>
          <w:b/>
          <w:bCs/>
          <w:sz w:val="24"/>
          <w:szCs w:val="24"/>
        </w:rPr>
      </w:pPr>
      <w:r w:rsidRPr="00D66BAA">
        <w:rPr>
          <w:rFonts w:ascii="Times New Roman" w:hAnsi="Times New Roman"/>
          <w:sz w:val="24"/>
          <w:szCs w:val="24"/>
        </w:rPr>
        <w:t xml:space="preserve">See Sept. 23, </w:t>
      </w:r>
      <w:proofErr w:type="gramStart"/>
      <w:r w:rsidRPr="00D66BAA">
        <w:rPr>
          <w:rFonts w:ascii="Times New Roman" w:hAnsi="Times New Roman"/>
          <w:sz w:val="24"/>
          <w:szCs w:val="24"/>
        </w:rPr>
        <w:t>2022</w:t>
      </w:r>
      <w:proofErr w:type="gramEnd"/>
      <w:r w:rsidRPr="00D66BAA">
        <w:rPr>
          <w:rFonts w:ascii="Times New Roman" w:hAnsi="Times New Roman"/>
          <w:sz w:val="24"/>
          <w:szCs w:val="24"/>
        </w:rPr>
        <w:t xml:space="preserve"> article, </w:t>
      </w:r>
      <w:r w:rsidRPr="00D66BAA">
        <w:rPr>
          <w:rFonts w:ascii="Times New Roman" w:hAnsi="Times New Roman"/>
          <w:b/>
          <w:bCs/>
          <w:sz w:val="24"/>
          <w:szCs w:val="24"/>
        </w:rPr>
        <w:t>“</w:t>
      </w:r>
      <w:r w:rsidRPr="00D66BAA">
        <w:rPr>
          <w:rFonts w:ascii="Times New Roman" w:hAnsi="Times New Roman"/>
          <w:sz w:val="24"/>
          <w:szCs w:val="24"/>
        </w:rPr>
        <w:t xml:space="preserve">Judge strikes down COVID vaccine mandate for PBA, orders New York City to reinstate unvaccinated police officers.” A Manhattan Supreme Court judge on Friday overturned the city's vaccine mandate for the New York Police Benevolent Association and said members who lost their jobs for being unvaccinated should be reinstated. </w:t>
      </w:r>
      <w:hyperlink r:id="rId2095" w:history="1">
        <w:r w:rsidRPr="00D66BAA">
          <w:rPr>
            <w:rStyle w:val="Hyperlink"/>
            <w:rFonts w:ascii="Times New Roman" w:hAnsi="Times New Roman"/>
            <w:sz w:val="24"/>
            <w:szCs w:val="24"/>
          </w:rPr>
          <w:t>https://www.cbsnews.com/newyork/news/judge-strikes-down-pba-vaccine-mandate-orders-new-york-city-to-reinstate-unvaccinated-members/</w:t>
        </w:r>
      </w:hyperlink>
    </w:p>
    <w:p w14:paraId="286A54D5" w14:textId="77777777" w:rsidR="00D66BAA" w:rsidRDefault="00D66BAA" w:rsidP="002B1283">
      <w:pPr>
        <w:rPr>
          <w:rFonts w:ascii="Arial Black" w:hAnsi="Arial Black"/>
          <w:b/>
          <w:bCs/>
          <w:sz w:val="28"/>
          <w:szCs w:val="28"/>
        </w:rPr>
      </w:pPr>
    </w:p>
    <w:p w14:paraId="069560D7" w14:textId="27C1C948" w:rsidR="00D66BAA" w:rsidRDefault="00D66BAA" w:rsidP="002B1283">
      <w:pPr>
        <w:rPr>
          <w:rFonts w:ascii="Arial Black" w:hAnsi="Arial Black"/>
          <w:b/>
          <w:bCs/>
          <w:sz w:val="28"/>
          <w:szCs w:val="28"/>
        </w:rPr>
      </w:pPr>
      <w:r>
        <w:rPr>
          <w:rFonts w:ascii="Arial Black" w:hAnsi="Arial Black"/>
          <w:b/>
          <w:bCs/>
          <w:sz w:val="28"/>
          <w:szCs w:val="28"/>
        </w:rPr>
        <w:t>13-139</w:t>
      </w:r>
    </w:p>
    <w:p w14:paraId="4C95A36F" w14:textId="77777777" w:rsidR="00D66BAA" w:rsidRDefault="00D66BAA" w:rsidP="00D66BAA">
      <w:pPr>
        <w:pStyle w:val="NormalWeb"/>
        <w:rPr>
          <w:rFonts w:ascii="Arial Black" w:hAnsi="Arial Black"/>
          <w:sz w:val="28"/>
          <w:szCs w:val="28"/>
        </w:rPr>
      </w:pPr>
      <w:r>
        <w:rPr>
          <w:rFonts w:ascii="Arial Black" w:hAnsi="Arial Black"/>
          <w:sz w:val="28"/>
          <w:szCs w:val="28"/>
        </w:rPr>
        <w:t>NY: COVID-19 VACCINATION - FDNY CLAIMED “RELIGIOUS EXEMPTION” AS A CATHOLIC – FIRED - CASE DISMISSED</w:t>
      </w:r>
    </w:p>
    <w:p w14:paraId="23ABBFAE" w14:textId="77777777" w:rsidR="00D66BAA" w:rsidRDefault="00D66BAA" w:rsidP="00D66BAA">
      <w:pPr>
        <w:pStyle w:val="NormalWeb"/>
      </w:pPr>
      <w:r>
        <w:t xml:space="preserve">On March 24, 2023, in </w:t>
      </w:r>
      <w:r>
        <w:rPr>
          <w:u w:val="single"/>
        </w:rPr>
        <w:t>Jude Pierre v. Fire Department of the City of New York, City of New York</w:t>
      </w:r>
      <w:r>
        <w:t xml:space="preserve">, Judge Lori S. Sattler, Supreme Court, New York County (unpublished decision) held that the FDNY properly fired him on September 7, 2022, after his administrative appeal to City of New York Reasonable Accommodation Appeals Panel was rejected on December 21, 2021, and he was put on unpaid leave.  </w:t>
      </w:r>
    </w:p>
    <w:p w14:paraId="0EE52E56" w14:textId="77777777" w:rsidR="00D66BAA" w:rsidRDefault="00D66BAA" w:rsidP="00D66BAA">
      <w:pPr>
        <w:pStyle w:val="NormalWeb"/>
        <w:ind w:left="720"/>
      </w:pPr>
      <w:r>
        <w:lastRenderedPageBreak/>
        <w:t xml:space="preserve">The Court held: “Petitioner fails to demonstrate how his religious beliefs conflict with [the City’s] vaccine requirement notwithstanding that he designates his religion as Catholic on the religious exemption request form. His assertion that he is ‘not comfortable using a vaccine that has used stem cells from fetuses’ is presented without any connection to a sincerely held religious belief and does not set forth an actual religious request for accommodation. Similarly, the language in the remainder of this section of the Accommodation Request - that he is concerned about the ‘manufacturers, government and department’ not being held liable for adverse long-term side effects, sees no reason to take the risk of ‘taking an expedited treatment,’ and that he will be solely responsible for dealing with ‘unforeseen consequences’ - indicate that Petitioner's request was based on his personal preferences.” </w:t>
      </w:r>
      <w:hyperlink r:id="rId2096" w:history="1">
        <w:r>
          <w:rPr>
            <w:rStyle w:val="Hyperlink"/>
          </w:rPr>
          <w:t>https://casetext.com/case/pierre-v-fire-dept-of-the-city-of-ny</w:t>
        </w:r>
      </w:hyperlink>
      <w:r>
        <w:t xml:space="preserve"> </w:t>
      </w:r>
    </w:p>
    <w:p w14:paraId="092F4E98" w14:textId="77777777" w:rsidR="00D66BAA" w:rsidRDefault="00D66BAA" w:rsidP="00D66BAA">
      <w:pPr>
        <w:pStyle w:val="NormalWeb"/>
        <w:ind w:left="720"/>
      </w:pPr>
      <w:r>
        <w:t xml:space="preserve">“A New York City vaccine mandate was issued on October 20, </w:t>
      </w:r>
      <w:proofErr w:type="gramStart"/>
      <w:r>
        <w:t>2021</w:t>
      </w:r>
      <w:proofErr w:type="gramEnd"/>
      <w:r>
        <w:t xml:space="preserve"> requiring that all employees of the City of New York verify vaccination against COVID-19 by October 29, 2021.  </w:t>
      </w:r>
    </w:p>
    <w:p w14:paraId="76E6DD48" w14:textId="77777777" w:rsidR="00D66BAA" w:rsidRDefault="00D66BAA" w:rsidP="00D66BAA">
      <w:pPr>
        <w:pStyle w:val="NormalWeb"/>
        <w:ind w:left="720"/>
      </w:pPr>
      <w:r>
        <w:t>***</w:t>
      </w:r>
    </w:p>
    <w:p w14:paraId="11C3F89D" w14:textId="77777777" w:rsidR="00D66BAA" w:rsidRDefault="00D66BAA" w:rsidP="00D66BA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Petitioner, a New York City Firefighter, filed a Form EEO-7 ‘REQUEST FOR A REASONABLE ACCOMODATION FOR RELIGIOUS OBSERVANCES, PRACTICES OR BELIEFS’ on November 21, </w:t>
      </w:r>
      <w:proofErr w:type="gramStart"/>
      <w:r>
        <w:rPr>
          <w:rFonts w:ascii="Times New Roman" w:eastAsia="Times New Roman" w:hAnsi="Times New Roman"/>
          <w:sz w:val="24"/>
          <w:szCs w:val="24"/>
        </w:rPr>
        <w:t>2021</w:t>
      </w:r>
      <w:proofErr w:type="gramEnd"/>
      <w:r>
        <w:rPr>
          <w:rFonts w:ascii="Times New Roman" w:eastAsia="Times New Roman" w:hAnsi="Times New Roman"/>
          <w:sz w:val="24"/>
          <w:szCs w:val="24"/>
        </w:rPr>
        <w:t xml:space="preserve"> … ‘Accommodation Request’). Under the section ‘Identify Religion/creed’ he specified Catholic. The form further asks the applicant to ‘Describe the religious practice(s) in conflict with the work rule(s) or requirement(s).’ He stated: </w:t>
      </w:r>
    </w:p>
    <w:p w14:paraId="2625506A" w14:textId="77777777" w:rsidR="00D66BAA" w:rsidRDefault="00D66BAA" w:rsidP="00D66BAA">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 am not comfortable using a vaccine that has used stem cells from fetuses in </w:t>
      </w:r>
      <w:proofErr w:type="spellStart"/>
      <w:proofErr w:type="gramStart"/>
      <w:r>
        <w:rPr>
          <w:rFonts w:ascii="Times New Roman" w:eastAsia="Times New Roman" w:hAnsi="Times New Roman"/>
          <w:sz w:val="24"/>
          <w:szCs w:val="24"/>
        </w:rPr>
        <w:t>it's</w:t>
      </w:r>
      <w:proofErr w:type="spellEnd"/>
      <w:proofErr w:type="gramEnd"/>
      <w:r>
        <w:rPr>
          <w:rFonts w:ascii="Times New Roman" w:eastAsia="Times New Roman" w:hAnsi="Times New Roman"/>
          <w:sz w:val="24"/>
          <w:szCs w:val="24"/>
        </w:rPr>
        <w:t xml:space="preserve"> [sic] development. I am also cautious in the fact that manufacturers, government, and department are not liable for any adverse long-term side effects. Why shall I take the risk of taking </w:t>
      </w:r>
      <w:proofErr w:type="gramStart"/>
      <w:r>
        <w:rPr>
          <w:rFonts w:ascii="Times New Roman" w:eastAsia="Times New Roman" w:hAnsi="Times New Roman"/>
          <w:sz w:val="24"/>
          <w:szCs w:val="24"/>
        </w:rPr>
        <w:t>an expedited</w:t>
      </w:r>
      <w:proofErr w:type="gramEnd"/>
      <w:r>
        <w:rPr>
          <w:rFonts w:ascii="Times New Roman" w:eastAsia="Times New Roman" w:hAnsi="Times New Roman"/>
          <w:sz w:val="24"/>
          <w:szCs w:val="24"/>
        </w:rPr>
        <w:t xml:space="preserve"> treatment if something were to happen and I'm will [sic] solely to be responsible </w:t>
      </w:r>
      <w:proofErr w:type="gramStart"/>
      <w:r>
        <w:rPr>
          <w:rFonts w:ascii="Times New Roman" w:eastAsia="Times New Roman" w:hAnsi="Times New Roman"/>
          <w:sz w:val="24"/>
          <w:szCs w:val="24"/>
        </w:rPr>
        <w:t>with</w:t>
      </w:r>
      <w:proofErr w:type="gramEnd"/>
      <w:r>
        <w:rPr>
          <w:rFonts w:ascii="Times New Roman" w:eastAsia="Times New Roman" w:hAnsi="Times New Roman"/>
          <w:sz w:val="24"/>
          <w:szCs w:val="24"/>
        </w:rPr>
        <w:t xml:space="preserve"> dealing with any unforeseen consequences? </w:t>
      </w:r>
    </w:p>
    <w:p w14:paraId="008AC0E3" w14:textId="77777777" w:rsidR="00D66BAA" w:rsidRDefault="00D66BAA" w:rsidP="00D66BAA">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w:t>
      </w:r>
    </w:p>
    <w:p w14:paraId="661677CA" w14:textId="77777777" w:rsidR="00D66BAA" w:rsidRDefault="00D66BAA" w:rsidP="00D66BAA">
      <w:pPr>
        <w:spacing w:after="100" w:line="240" w:lineRule="auto"/>
        <w:ind w:left="720"/>
        <w:rPr>
          <w:rFonts w:ascii="Times New Roman" w:hAnsi="Times New Roman"/>
          <w:sz w:val="24"/>
          <w:szCs w:val="24"/>
        </w:rPr>
      </w:pPr>
      <w:r>
        <w:rPr>
          <w:rFonts w:ascii="Times New Roman" w:hAnsi="Times New Roman"/>
          <w:sz w:val="24"/>
          <w:szCs w:val="24"/>
        </w:rPr>
        <w:t>Here, the Court finds that Respondents' decision was not arbitrary and capricious and that there was a rational basis to support its determination. Although Petitioner points to other decisions regarding the use of "form" denials of religious accommodation requests by the FDNY, in this instance, Petitioner's application does not set forth a request for accommodation based on his religious beliefs but rather states his personal preferences regarding the vaccine….”</w:t>
      </w:r>
    </w:p>
    <w:p w14:paraId="06FE6A7C" w14:textId="77777777" w:rsidR="00D66BAA" w:rsidRDefault="00D66BAA" w:rsidP="00D66BAA">
      <w:pPr>
        <w:spacing w:after="100" w:line="240" w:lineRule="auto"/>
        <w:ind w:left="720"/>
        <w:rPr>
          <w:rFonts w:ascii="Times New Roman" w:hAnsi="Times New Roman"/>
          <w:sz w:val="24"/>
          <w:szCs w:val="24"/>
        </w:rPr>
      </w:pPr>
    </w:p>
    <w:p w14:paraId="6947DDC7" w14:textId="77777777" w:rsidR="00D66BAA" w:rsidRDefault="00D66BAA" w:rsidP="00D66BAA">
      <w:pPr>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firefighter failed to show a basis for religious accommodation. </w:t>
      </w:r>
    </w:p>
    <w:p w14:paraId="0514071E" w14:textId="77777777" w:rsidR="00D66BAA" w:rsidRDefault="00D66BAA" w:rsidP="00D66BAA">
      <w:pPr>
        <w:pStyle w:val="NormalWeb"/>
        <w:ind w:left="720"/>
      </w:pPr>
    </w:p>
    <w:p w14:paraId="50538853" w14:textId="61ED40EC" w:rsidR="00D66BAA" w:rsidRDefault="00D66BAA" w:rsidP="002B1283">
      <w:pPr>
        <w:rPr>
          <w:rFonts w:ascii="Arial Black" w:hAnsi="Arial Black"/>
          <w:b/>
          <w:bCs/>
          <w:sz w:val="28"/>
          <w:szCs w:val="28"/>
        </w:rPr>
      </w:pPr>
      <w:r>
        <w:rPr>
          <w:rFonts w:ascii="Arial Black" w:hAnsi="Arial Black"/>
          <w:b/>
          <w:bCs/>
          <w:sz w:val="28"/>
          <w:szCs w:val="28"/>
        </w:rPr>
        <w:t>13-138</w:t>
      </w:r>
    </w:p>
    <w:p w14:paraId="00C36EE7" w14:textId="77777777" w:rsidR="00D66BAA" w:rsidRDefault="00D66BAA" w:rsidP="00D66BAA">
      <w:pPr>
        <w:pStyle w:val="NormalWeb"/>
        <w:rPr>
          <w:rFonts w:ascii="Arial Black" w:hAnsi="Arial Black"/>
          <w:sz w:val="28"/>
          <w:szCs w:val="28"/>
        </w:rPr>
      </w:pPr>
      <w:r>
        <w:rPr>
          <w:rFonts w:ascii="Arial Black" w:hAnsi="Arial Black"/>
          <w:sz w:val="28"/>
          <w:szCs w:val="28"/>
        </w:rPr>
        <w:t xml:space="preserve">NY: HOSP. BASED EMT PUNCHED MENTAL PT – FF HOLDING PATIENT FELL &amp; INJURED - CAN’T SUE HOSPITAL </w:t>
      </w:r>
    </w:p>
    <w:p w14:paraId="648241C6" w14:textId="77777777" w:rsidR="00D66BAA" w:rsidRDefault="00D66BAA" w:rsidP="00D66BAA">
      <w:pPr>
        <w:pStyle w:val="NormalWeb"/>
      </w:pPr>
      <w:r>
        <w:t>On March 23, 2023</w:t>
      </w:r>
      <w:proofErr w:type="gramStart"/>
      <w:r>
        <w:t>, in</w:t>
      </w:r>
      <w:proofErr w:type="gramEnd"/>
      <w:r>
        <w:t xml:space="preserve"> </w:t>
      </w:r>
      <w:r>
        <w:rPr>
          <w:u w:val="single"/>
        </w:rPr>
        <w:t>Michael McGovern and Laura McGovern v. The St. Luke’s-Roosevelt Hospital, et al</w:t>
      </w:r>
      <w:r>
        <w:t xml:space="preserve">., Justice Lyle E. Frank, Supreme Court, New York County (unpublished decision), granted the hospital motion for summary judgment.  Fire &amp; EMS responded for unconscious person; EMT gave sternum rub and patient became agitated and aggressive (“emotionally disturbed person”).  Video shows an EMT throwing a punch at the patient, as the firefighter was restraining the patient and both the firefighter and patient fell to the ground. </w:t>
      </w:r>
    </w:p>
    <w:p w14:paraId="7422348F" w14:textId="77777777" w:rsidR="00D66BAA" w:rsidRDefault="00D66BAA" w:rsidP="00D66BAA">
      <w:pPr>
        <w:pStyle w:val="NormalWeb"/>
        <w:ind w:left="720" w:firstLine="60"/>
      </w:pPr>
      <w:r>
        <w:lastRenderedPageBreak/>
        <w:t xml:space="preserve">“The Court finds that whether the non-party EMT was in fact negligent in failing to follow the proper protocols, that conduct was not the proximate cause of plaintiff's injuries. The Court finds the non-party EMT's conduct to be intentional, therefore not in the purview of negligence…. The law is well established that there cannot be vicarious liability for the intentional tort of an employee when the underlying act is outside of the scope of employment….”  </w:t>
      </w:r>
      <w:hyperlink r:id="rId2097" w:history="1">
        <w:r>
          <w:rPr>
            <w:rStyle w:val="Hyperlink"/>
          </w:rPr>
          <w:t>https://public.fastcase.com/J%2FJP6pdidelsXxEE4k%2BLMjJGU1N13mSM0FXq6MPMgI9LSFCmdWs1UmdxMrMk65JbGuZGkm2byIyaUDFttOOFNnpFfmnrOgyejNkkQ3Wd5bI%3D?utm_medium=email&amp;_hsmi=226712652&amp;_hsenc=p2ANqtz--0Qd6DUvdEJ2RTs9adtgmCzU05IEXqUBeE6HSsIcsSfVoNrdaOOcnlphoE_fH7sdYgnejI_LAktN6WZtOuiqSz8dg1eg&amp;utm_content=226712652&amp;utm_source=hs_email</w:t>
        </w:r>
      </w:hyperlink>
      <w:r>
        <w:t xml:space="preserve"> </w:t>
      </w:r>
    </w:p>
    <w:p w14:paraId="5F474B8E" w14:textId="77777777" w:rsidR="00D66BAA" w:rsidRDefault="00D66BAA" w:rsidP="00D66BAA">
      <w:pPr>
        <w:pStyle w:val="NormalWeb"/>
        <w:ind w:left="720"/>
      </w:pPr>
      <w:r>
        <w:t>“[T]here are two videos of the incident that have been provided by the parties and reviewed by the Court. Both are extremely short in duration, but both clearly show one of the EMT's shoving the non-party patient, the plaintiff retraining the [patient],  the same EMT throwing a punch in the direction of the … patient and the plaintiff, causing the plaintiff and the … patient to fall to the ground.</w:t>
      </w:r>
    </w:p>
    <w:p w14:paraId="4D2A7F4C" w14:textId="77777777" w:rsidR="00D66BAA" w:rsidRDefault="00D66BAA" w:rsidP="00D66BAA">
      <w:pPr>
        <w:pStyle w:val="NormalWeb"/>
        <w:ind w:left="720"/>
      </w:pPr>
      <w:r>
        <w:t>***</w:t>
      </w:r>
    </w:p>
    <w:p w14:paraId="726251FC" w14:textId="77777777" w:rsidR="00D66BAA" w:rsidRDefault="00D66BAA" w:rsidP="00D66BAA">
      <w:pPr>
        <w:pStyle w:val="NormalWeb"/>
        <w:ind w:left="720"/>
      </w:pPr>
      <w:r>
        <w:t xml:space="preserve">The crux of plaintiff’s position is that defendants' employees were negligent in following protocol by not creating a safe zone and not calling the police, with these failures causing plaintiff to intervene in a physical altercation between the non-party patient and the [EMT]. However, the Court finds that, consistent with the defendants' position, the ensuing physical altercation and the intervention by plaintiff does not impute vicarious liability onto the defendants. </w:t>
      </w:r>
    </w:p>
    <w:p w14:paraId="40F02669" w14:textId="77777777" w:rsidR="00D66BAA" w:rsidRDefault="00D66BAA" w:rsidP="00D66BAA">
      <w:pPr>
        <w:pStyle w:val="NormalWeb"/>
        <w:ind w:left="720"/>
      </w:pPr>
      <w:r>
        <w:t xml:space="preserve">The Court finds that whether the [paramedic] was in fact negligent in failing to follow the proper protocols, that conduct was not the proximate cause of plaintiff's injuries. The Court finds the non-party EMT's conduct to be intentional, therefore not in the purview of </w:t>
      </w:r>
      <w:proofErr w:type="gramStart"/>
      <w:r>
        <w:t>negligence.”</w:t>
      </w:r>
      <w:proofErr w:type="gramEnd"/>
    </w:p>
    <w:p w14:paraId="57FE5958" w14:textId="77777777" w:rsidR="00D66BAA" w:rsidRDefault="00D66BAA" w:rsidP="00D66BAA">
      <w:pPr>
        <w:pStyle w:val="NormalWeb"/>
        <w:rPr>
          <w:b/>
          <w:bCs/>
        </w:rPr>
      </w:pPr>
      <w:r>
        <w:rPr>
          <w:b/>
          <w:bCs/>
        </w:rPr>
        <w:t xml:space="preserve">Legal Lesson Learned: Hospital employer not liable for intentional misconduct of their EMT.  Also, don’t throw punches at patients; can hurt </w:t>
      </w:r>
      <w:proofErr w:type="gramStart"/>
      <w:r>
        <w:rPr>
          <w:b/>
          <w:bCs/>
        </w:rPr>
        <w:t>patient</w:t>
      </w:r>
      <w:proofErr w:type="gramEnd"/>
      <w:r>
        <w:rPr>
          <w:b/>
          <w:bCs/>
        </w:rPr>
        <w:t xml:space="preserve"> and those trying to restrain the patient. </w:t>
      </w:r>
    </w:p>
    <w:p w14:paraId="53B65E95" w14:textId="77777777" w:rsidR="00D66BAA" w:rsidRDefault="00D66BAA" w:rsidP="00D66BAA">
      <w:pPr>
        <w:pStyle w:val="NormalWeb"/>
      </w:pPr>
    </w:p>
    <w:p w14:paraId="6C9D27C2" w14:textId="77777777" w:rsidR="00D66BAA" w:rsidRPr="00832745" w:rsidRDefault="00D66BAA" w:rsidP="002B1283">
      <w:pPr>
        <w:rPr>
          <w:rFonts w:ascii="Times New Roman" w:hAnsi="Times New Roman"/>
          <w:b/>
          <w:bCs/>
          <w:sz w:val="24"/>
          <w:szCs w:val="24"/>
        </w:rPr>
      </w:pPr>
    </w:p>
    <w:p w14:paraId="2B8AC223" w14:textId="124545D9" w:rsidR="00F55395" w:rsidRDefault="00F55395" w:rsidP="002B1283">
      <w:pPr>
        <w:rPr>
          <w:rFonts w:ascii="Arial Black" w:hAnsi="Arial Black"/>
          <w:b/>
          <w:bCs/>
          <w:sz w:val="28"/>
          <w:szCs w:val="28"/>
        </w:rPr>
      </w:pPr>
      <w:r>
        <w:rPr>
          <w:rFonts w:ascii="Arial Black" w:hAnsi="Arial Black"/>
          <w:b/>
          <w:bCs/>
          <w:sz w:val="28"/>
          <w:szCs w:val="28"/>
        </w:rPr>
        <w:t>13-137</w:t>
      </w:r>
    </w:p>
    <w:p w14:paraId="1901D9F0" w14:textId="77777777" w:rsidR="00F55395" w:rsidRDefault="00F55395" w:rsidP="00F55395">
      <w:pPr>
        <w:pStyle w:val="NormalWeb"/>
        <w:rPr>
          <w:b/>
          <w:bCs/>
        </w:rPr>
      </w:pPr>
      <w:r>
        <w:rPr>
          <w:rFonts w:ascii="Arial Black" w:hAnsi="Arial Black"/>
          <w:b/>
          <w:bCs/>
          <w:sz w:val="28"/>
          <w:szCs w:val="28"/>
        </w:rPr>
        <w:t xml:space="preserve">MS: EMS WORKED GUN SHOT PATIENT AT SCENE 16 MIN –– PLAINTIFF’S MD NOT QUALIFIED AS “EXPERT” IN EMS </w:t>
      </w:r>
    </w:p>
    <w:p w14:paraId="77129025" w14:textId="77777777" w:rsidR="00F55395" w:rsidRDefault="00F55395" w:rsidP="00F55395">
      <w:pPr>
        <w:pStyle w:val="NormalWeb"/>
      </w:pPr>
      <w:r>
        <w:t xml:space="preserve">On March 9, 2023, </w:t>
      </w:r>
      <w:r w:rsidRPr="00470CD5">
        <w:rPr>
          <w:u w:val="single"/>
        </w:rPr>
        <w:t xml:space="preserve">in Marcus Walker, on behalf of beneficiaries of </w:t>
      </w:r>
      <w:proofErr w:type="spellStart"/>
      <w:r w:rsidRPr="00470CD5">
        <w:rPr>
          <w:u w:val="single"/>
        </w:rPr>
        <w:t>De’Aubrey</w:t>
      </w:r>
      <w:proofErr w:type="spellEnd"/>
      <w:r w:rsidRPr="00470CD5">
        <w:rPr>
          <w:u w:val="single"/>
        </w:rPr>
        <w:t xml:space="preserve"> </w:t>
      </w:r>
      <w:proofErr w:type="spellStart"/>
      <w:r w:rsidRPr="00470CD5">
        <w:rPr>
          <w:u w:val="single"/>
        </w:rPr>
        <w:t>Rajheem</w:t>
      </w:r>
      <w:proofErr w:type="spellEnd"/>
      <w:r w:rsidRPr="00470CD5">
        <w:rPr>
          <w:u w:val="single"/>
        </w:rPr>
        <w:t xml:space="preserve"> Roscoe, Deceased v. Jonathan </w:t>
      </w:r>
      <w:proofErr w:type="spellStart"/>
      <w:r w:rsidRPr="00470CD5">
        <w:rPr>
          <w:u w:val="single"/>
        </w:rPr>
        <w:t>Upp</w:t>
      </w:r>
      <w:proofErr w:type="spellEnd"/>
      <w:r w:rsidRPr="00470CD5">
        <w:rPr>
          <w:u w:val="single"/>
        </w:rPr>
        <w:t xml:space="preserve">, </w:t>
      </w:r>
      <w:proofErr w:type="spellStart"/>
      <w:r w:rsidRPr="00470CD5">
        <w:rPr>
          <w:u w:val="single"/>
        </w:rPr>
        <w:t>Medstat</w:t>
      </w:r>
      <w:proofErr w:type="spellEnd"/>
      <w:r w:rsidRPr="00470CD5">
        <w:rPr>
          <w:u w:val="single"/>
        </w:rPr>
        <w:t xml:space="preserve"> EMS, et al</w:t>
      </w:r>
      <w:r>
        <w:t xml:space="preserve">., the U.S. Court of Appeals for Fifth Circuit (New Orleans) held (2 to 0), unpublished decision, that the trial court judge properly found the plaintiff’s expert witness unqualified because he had no experience in emergency medicine.  Court of Appeals held: “As the district court noted, however, Dr. McNair conceded in his deposition ‘that the standard of care for pulmonology and internal medicine-the disciplines in which he does possess specialized knowledge, experience, and training-is different from the standard of care for paramedicine.’ At the same time, Dr. McNair unequivocally stated that he had no experience or education in paramedicine. Additionally, he failed to cite to any literature or published works pertaining to paramedicine that he might have relied on in formulating his opinions….  We conclude that the district court did not abuse its discretion in determining that Dr. McNair was not qualified by his ‘knowledge, </w:t>
      </w:r>
      <w:r>
        <w:lastRenderedPageBreak/>
        <w:t xml:space="preserve">skill, experience, training, or education’ to testify as an expert in this case. </w:t>
      </w:r>
      <w:hyperlink r:id="rId2098" w:history="1">
        <w:r w:rsidRPr="00317BE5">
          <w:rPr>
            <w:rStyle w:val="Hyperlink"/>
            <w:rFonts w:eastAsiaTheme="majorEastAsia"/>
          </w:rPr>
          <w:t>http://www.ca5.uscourts.gov/opinions/unpub/22/22-60374.0.pdf</w:t>
        </w:r>
      </w:hyperlink>
      <w:r>
        <w:t xml:space="preserve"> </w:t>
      </w:r>
    </w:p>
    <w:p w14:paraId="1E30D1FB" w14:textId="77777777" w:rsidR="00F55395" w:rsidRDefault="00F55395" w:rsidP="00F55395">
      <w:pPr>
        <w:pStyle w:val="NormalWeb"/>
        <w:ind w:left="720"/>
      </w:pPr>
      <w:r>
        <w:t>“After local law enforcement officers</w:t>
      </w:r>
      <w:r>
        <w:rPr>
          <w:vertAlign w:val="superscript"/>
        </w:rPr>
        <w:t xml:space="preserve"> </w:t>
      </w:r>
      <w:r>
        <w:t xml:space="preserve">secured the scene, the </w:t>
      </w:r>
      <w:proofErr w:type="spellStart"/>
      <w:r>
        <w:t>MedStat</w:t>
      </w:r>
      <w:proofErr w:type="spellEnd"/>
      <w:r>
        <w:t xml:space="preserve"> crew </w:t>
      </w:r>
      <w:proofErr w:type="gramStart"/>
      <w:r>
        <w:t>made contact with</w:t>
      </w:r>
      <w:proofErr w:type="gramEnd"/>
      <w:r>
        <w:t xml:space="preserve"> Roscoe between 8:12 P.M. and 8:16 P.M. They found him lying in the yard of his girlfriend's house, awake, alert, and oriented, with no active bleeding. [Paramedic Jonathan] </w:t>
      </w:r>
      <w:proofErr w:type="spellStart"/>
      <w:r>
        <w:t>Upp</w:t>
      </w:r>
      <w:proofErr w:type="spellEnd"/>
      <w:r>
        <w:t xml:space="preserve"> noted a gunshot wound to the right side of Roscoe's back near the axillary space and two wounds to the posterior of his right upper arm. At 8:20 P.M., Roscoe was in the ambulance. </w:t>
      </w:r>
      <w:proofErr w:type="spellStart"/>
      <w:r>
        <w:t>Upp</w:t>
      </w:r>
      <w:proofErr w:type="spellEnd"/>
      <w:r>
        <w:t xml:space="preserve"> administered oxygen via a non-rebreather mask and then attempted unsuccessfully to gain vascular access. He next attempted to gain peripheral access via an intraosseous device, but both attempts failed because the catheters bent.  </w:t>
      </w:r>
      <w:proofErr w:type="spellStart"/>
      <w:r>
        <w:t>Upp</w:t>
      </w:r>
      <w:proofErr w:type="spellEnd"/>
      <w:r>
        <w:t xml:space="preserve"> then observed that Roscoe was becoming short of breath and that the right side of his chest was moving less than the left. He suspected that air present in Roscoe's chest cavity was putting pressure on his lung. </w:t>
      </w:r>
      <w:proofErr w:type="spellStart"/>
      <w:r>
        <w:t>Upp</w:t>
      </w:r>
      <w:proofErr w:type="spellEnd"/>
      <w:r>
        <w:t xml:space="preserve"> successfully performed a needle decompression which allowed the air to escape the chest cavity. But then at 8:24 P.M., </w:t>
      </w:r>
      <w:proofErr w:type="spellStart"/>
      <w:r>
        <w:t>Upp</w:t>
      </w:r>
      <w:proofErr w:type="spellEnd"/>
      <w:r>
        <w:t xml:space="preserve"> noted that Roscoe was in respiratory distress and attempted to intubate </w:t>
      </w:r>
      <w:proofErr w:type="gramStart"/>
      <w:r>
        <w:t>him, but</w:t>
      </w:r>
      <w:proofErr w:type="gramEnd"/>
      <w:r>
        <w:t xml:space="preserve"> could not because Roscoe had lockjaw. After </w:t>
      </w:r>
      <w:proofErr w:type="spellStart"/>
      <w:r>
        <w:t>Upp</w:t>
      </w:r>
      <w:proofErr w:type="spellEnd"/>
      <w:r>
        <w:t xml:space="preserve"> and Walda administered medical care to Roscoe at the scene for approximately sixteen minutes, they began transporting him to the hospital at 8:27 P.M. and arrived four minutes later at 8:31 P.M. Roscoe was pronounced dead twenty-five minutes later at 8:56 P.M. The hospital listed Roscoe's cause of death as cardiac arrest due to gunshot wounds.”</w:t>
      </w:r>
    </w:p>
    <w:p w14:paraId="51F44B72" w14:textId="77777777" w:rsidR="00F55395" w:rsidRPr="00FC6E96" w:rsidRDefault="00F55395" w:rsidP="00F55395">
      <w:pPr>
        <w:pStyle w:val="NormalWeb"/>
        <w:rPr>
          <w:b/>
          <w:bCs/>
        </w:rPr>
      </w:pPr>
      <w:r w:rsidRPr="00FC6E96">
        <w:rPr>
          <w:b/>
          <w:bCs/>
        </w:rPr>
        <w:t>Legal Lesson Learned:</w:t>
      </w:r>
      <w:r>
        <w:rPr>
          <w:b/>
          <w:bCs/>
        </w:rPr>
        <w:t xml:space="preserve"> An “expert witness” must have experience directly related to skills required of paramedics.</w:t>
      </w:r>
    </w:p>
    <w:p w14:paraId="23FF3646" w14:textId="77777777" w:rsidR="00F55395" w:rsidRDefault="00F55395" w:rsidP="00F55395">
      <w:pPr>
        <w:pStyle w:val="NormalWeb"/>
      </w:pPr>
    </w:p>
    <w:p w14:paraId="1A8C7219" w14:textId="701DD993" w:rsidR="00F55395" w:rsidRDefault="00F55395" w:rsidP="002B1283">
      <w:pPr>
        <w:rPr>
          <w:rFonts w:ascii="Arial Black" w:hAnsi="Arial Black"/>
          <w:b/>
          <w:bCs/>
          <w:sz w:val="28"/>
          <w:szCs w:val="28"/>
        </w:rPr>
      </w:pPr>
      <w:r>
        <w:rPr>
          <w:rFonts w:ascii="Arial Black" w:hAnsi="Arial Black"/>
          <w:b/>
          <w:bCs/>
          <w:sz w:val="28"/>
          <w:szCs w:val="28"/>
        </w:rPr>
        <w:t>13-136</w:t>
      </w:r>
    </w:p>
    <w:p w14:paraId="214CBAE7" w14:textId="77777777" w:rsidR="00F55395" w:rsidRPr="00024F5F" w:rsidRDefault="00F55395" w:rsidP="00F55395">
      <w:pPr>
        <w:pStyle w:val="NormalWeb"/>
        <w:rPr>
          <w:rFonts w:ascii="Arial Black" w:hAnsi="Arial Black"/>
          <w:b/>
          <w:bCs/>
          <w:sz w:val="28"/>
          <w:szCs w:val="28"/>
        </w:rPr>
      </w:pPr>
      <w:r>
        <w:rPr>
          <w:rFonts w:ascii="Arial Black" w:hAnsi="Arial Black"/>
          <w:b/>
          <w:bCs/>
          <w:sz w:val="28"/>
          <w:szCs w:val="28"/>
        </w:rPr>
        <w:t xml:space="preserve">WV: PIPELINE EMPLOYEE BROKE ANKLE – CAN’T SUE CO. EMT OR CO. FOR NOT PROMPTLY CALLING AMBULANCE </w:t>
      </w:r>
    </w:p>
    <w:p w14:paraId="17AAF7DA" w14:textId="77777777" w:rsidR="00F55395" w:rsidRDefault="00F55395" w:rsidP="00F55395">
      <w:pPr>
        <w:pStyle w:val="NormalWeb"/>
        <w:rPr>
          <w:b/>
          <w:bCs/>
        </w:rPr>
      </w:pPr>
      <w:r>
        <w:t xml:space="preserve">On March 6, 2023, in </w:t>
      </w:r>
      <w:r w:rsidRPr="00024F5F">
        <w:rPr>
          <w:u w:val="single"/>
        </w:rPr>
        <w:t>Precision Pipeline, LLC, et al. v. Mark Weese</w:t>
      </w:r>
      <w:r>
        <w:t xml:space="preserve">, the Supreme Court of Appeals of West Virginia held (5 to 0) that a pipeline work, who suffered a broken ankle and a torn Achilles tendon, and received workers comp coverage, cannot sue the company or the company’s EMT, even if he was not taken directly to a hospital.  The Court reversed the trial court judge that had denied the employer and EMT’s motion to dismiss. Court held:  “Though respondent claims that Precision's negligence in hiring, retaining, and supervising Petitioner Vanessa Stromberg as an EMT is not the type of employer negligence contemplated by our workers' compensation law such that immunity should bar his claim, he cites to no supporting legal authority for this proposition and, indeed, ignores the clear and unambiguous language of West Virginia Code § 23-2-6, which dictates that immunity does apply to respondent's claim. *** As such, Stromberg and her fellow employees are immune from suit.” </w:t>
      </w:r>
      <w:hyperlink r:id="rId2099" w:history="1">
        <w:r w:rsidRPr="00764765">
          <w:rPr>
            <w:rStyle w:val="Hyperlink"/>
            <w:rFonts w:eastAsiaTheme="majorEastAsia"/>
          </w:rPr>
          <w:t>https://law.justia.com/cases/west-virginia/supreme-court/2023/21-0841.html</w:t>
        </w:r>
      </w:hyperlink>
      <w:r>
        <w:t xml:space="preserve"> </w:t>
      </w:r>
    </w:p>
    <w:p w14:paraId="14F3280F" w14:textId="77777777" w:rsidR="00F55395" w:rsidRDefault="00F55395" w:rsidP="00F55395">
      <w:pPr>
        <w:pStyle w:val="NormalWeb"/>
        <w:ind w:left="720"/>
      </w:pPr>
      <w:r>
        <w:t xml:space="preserve">“Respondent was employed by Precision at a pipeline construction project in Marshall County on April 12, 2019, when he severely injured his left leg while dragging a fuel hose. Witnesses to respondent's injury called for assistance and Petitioner Vanessa Stromberg, the site Emergency Medical Technician (EMT) and a Precision employee, responded. Respondent alleges that, despite her title, Ms. Stromberg is not a licensed EMT; that she ‘provided no actual medical assistance or intervention on </w:t>
      </w:r>
      <w:proofErr w:type="gramStart"/>
      <w:r>
        <w:t>site;’</w:t>
      </w:r>
      <w:proofErr w:type="gramEnd"/>
      <w:r>
        <w:t xml:space="preserve"> and that ‘no ambulance or outside medical assistance’ was summoned. According to </w:t>
      </w:r>
      <w:proofErr w:type="gramStart"/>
      <w:r>
        <w:t>respondent, ‘</w:t>
      </w:r>
      <w:proofErr w:type="gramEnd"/>
      <w:r>
        <w:t xml:space="preserve">worksite directives, plans to address injuries, public policy to treat medical emergencies, and West Virginia Code § 21-3-1’ required that </w:t>
      </w:r>
      <w:proofErr w:type="gramStart"/>
      <w:r>
        <w:t>respondent ‘</w:t>
      </w:r>
      <w:proofErr w:type="gramEnd"/>
      <w:r>
        <w:t xml:space="preserve">be taken to the nearest medical facility for immediate care.’ Although respondent was placed ‘into a pickup truck for transportation to a medical facility,’ he was taken, instead, to Precision's ‘yard’ or ‘office’ located in </w:t>
      </w:r>
      <w:proofErr w:type="spellStart"/>
      <w:r>
        <w:t>McMechen</w:t>
      </w:r>
      <w:proofErr w:type="spellEnd"/>
      <w:r>
        <w:t xml:space="preserve">, West Virginia, where he was </w:t>
      </w:r>
      <w:r>
        <w:lastRenderedPageBreak/>
        <w:t xml:space="preserve">transferred to another vehicle driven by a Precision employee and ultimately transported to a MedExpress urgent care </w:t>
      </w:r>
      <w:proofErr w:type="gramStart"/>
      <w:r>
        <w:t>facility.”</w:t>
      </w:r>
      <w:proofErr w:type="gramEnd"/>
    </w:p>
    <w:p w14:paraId="4F549453" w14:textId="77777777" w:rsidR="00F55395" w:rsidRPr="00935A96" w:rsidRDefault="00F55395" w:rsidP="00F55395">
      <w:pPr>
        <w:pStyle w:val="NormalWeb"/>
        <w:rPr>
          <w:b/>
          <w:bCs/>
        </w:rPr>
      </w:pPr>
      <w:r w:rsidRPr="00935A96">
        <w:rPr>
          <w:b/>
          <w:bCs/>
        </w:rPr>
        <w:t xml:space="preserve">Legal Lesson Learned: </w:t>
      </w:r>
      <w:proofErr w:type="gramStart"/>
      <w:r>
        <w:rPr>
          <w:b/>
          <w:bCs/>
        </w:rPr>
        <w:t>Workers</w:t>
      </w:r>
      <w:proofErr w:type="gramEnd"/>
      <w:r>
        <w:rPr>
          <w:b/>
          <w:bCs/>
        </w:rPr>
        <w:t xml:space="preserve"> comp is sole remedy for injured employee in most jurisdictions, unless prove an “intentional tort.” </w:t>
      </w:r>
    </w:p>
    <w:p w14:paraId="7ACB1BED" w14:textId="77777777" w:rsidR="00F55395" w:rsidRDefault="00F55395" w:rsidP="00F55395">
      <w:pPr>
        <w:pStyle w:val="NormalWeb"/>
        <w:ind w:left="720"/>
      </w:pPr>
      <w:r w:rsidRPr="00D23010">
        <w:t>Note: In Ohio, for example</w:t>
      </w:r>
      <w:r>
        <w:t>, Ohio Revised Code 2745.01 provides.</w:t>
      </w:r>
      <w:r w:rsidRPr="00D23010">
        <w:t xml:space="preserve"> </w:t>
      </w:r>
      <w:hyperlink r:id="rId2100" w:history="1">
        <w:r w:rsidRPr="00764765">
          <w:rPr>
            <w:rStyle w:val="Hyperlink"/>
            <w:rFonts w:eastAsiaTheme="majorEastAsia"/>
          </w:rPr>
          <w:t>https://codes.ohio.gov/ohio-revised-code/section-2745.01</w:t>
        </w:r>
      </w:hyperlink>
      <w:r>
        <w:t xml:space="preserve"> </w:t>
      </w:r>
    </w:p>
    <w:p w14:paraId="5CFB42E4" w14:textId="77777777" w:rsidR="00F55395" w:rsidRPr="00D23010" w:rsidRDefault="00F55395" w:rsidP="00F55395">
      <w:pPr>
        <w:pStyle w:val="NormalWeb"/>
        <w:ind w:left="720"/>
      </w:pPr>
      <w:r>
        <w:t>“</w:t>
      </w:r>
      <w:r w:rsidRPr="00D23010">
        <w:t>(A) In an action brought against an employer by an employee, or by the dependent survivors of a deceased employee, for damages resulting from an intentional tort committed by the employer during the course of employment, the employer shall not be liable unless the plaintiff proves that the employer committed the tortious act with the intent to injure another or with the belief that the injury was substantially certain to occur.</w:t>
      </w:r>
      <w:r>
        <w:t xml:space="preserve">” </w:t>
      </w:r>
    </w:p>
    <w:p w14:paraId="4430DAF5" w14:textId="77777777" w:rsidR="00F55395" w:rsidRDefault="00F55395" w:rsidP="002B1283">
      <w:pPr>
        <w:rPr>
          <w:rFonts w:ascii="Arial Black" w:hAnsi="Arial Black"/>
          <w:b/>
          <w:bCs/>
          <w:sz w:val="28"/>
          <w:szCs w:val="28"/>
        </w:rPr>
      </w:pPr>
    </w:p>
    <w:p w14:paraId="7B85F064" w14:textId="77777777" w:rsidR="00F55395" w:rsidRDefault="00F55395" w:rsidP="002B1283">
      <w:pPr>
        <w:rPr>
          <w:rFonts w:ascii="Arial Black" w:hAnsi="Arial Black"/>
          <w:b/>
          <w:bCs/>
          <w:sz w:val="28"/>
          <w:szCs w:val="28"/>
        </w:rPr>
      </w:pPr>
    </w:p>
    <w:p w14:paraId="353197B3" w14:textId="05467868" w:rsidR="008A4533" w:rsidRDefault="008A4533" w:rsidP="002B1283">
      <w:pPr>
        <w:rPr>
          <w:rFonts w:ascii="Arial Black" w:hAnsi="Arial Black"/>
          <w:b/>
          <w:bCs/>
          <w:sz w:val="28"/>
          <w:szCs w:val="28"/>
        </w:rPr>
      </w:pPr>
      <w:r>
        <w:rPr>
          <w:rFonts w:ascii="Arial Black" w:hAnsi="Arial Black"/>
          <w:b/>
          <w:bCs/>
          <w:sz w:val="28"/>
          <w:szCs w:val="28"/>
        </w:rPr>
        <w:t>13-13</w:t>
      </w:r>
      <w:r w:rsidR="005C3F7B">
        <w:rPr>
          <w:rFonts w:ascii="Arial Black" w:hAnsi="Arial Black"/>
          <w:b/>
          <w:bCs/>
          <w:sz w:val="28"/>
          <w:szCs w:val="28"/>
        </w:rPr>
        <w:t>5</w:t>
      </w:r>
    </w:p>
    <w:p w14:paraId="0C66003A" w14:textId="77777777" w:rsidR="008A4533" w:rsidRDefault="008A4533" w:rsidP="008A4533">
      <w:pPr>
        <w:pStyle w:val="NormalWeb"/>
        <w:rPr>
          <w:rFonts w:ascii="Arial Black" w:hAnsi="Arial Black"/>
          <w:sz w:val="28"/>
          <w:szCs w:val="28"/>
        </w:rPr>
      </w:pPr>
      <w:r>
        <w:rPr>
          <w:rFonts w:ascii="Arial Black" w:hAnsi="Arial Black"/>
          <w:sz w:val="28"/>
          <w:szCs w:val="28"/>
        </w:rPr>
        <w:t>WA: FD WENT WRONG ADDRESS – 16 MIN. DELAY, BRAIN INJURY– CITY NO “PUBLIC DUTY DOCTRINE” IMMUNITY</w:t>
      </w:r>
    </w:p>
    <w:p w14:paraId="40236572" w14:textId="77777777" w:rsidR="008A4533" w:rsidRDefault="008A4533" w:rsidP="008A4533">
      <w:pPr>
        <w:pStyle w:val="NormalWeb"/>
      </w:pPr>
      <w:r>
        <w:t xml:space="preserve">On Jan. 12, 2023, in </w:t>
      </w:r>
      <w:r w:rsidRPr="00031673">
        <w:rPr>
          <w:u w:val="single"/>
        </w:rPr>
        <w:t>Delaura Norg, as Litigation Guardian ad Litem for her husband, Fred B. Norg v. City of Seattle</w:t>
      </w:r>
      <w:r>
        <w:t xml:space="preserve">, the Supreme Court of Washington, held (5 to 4; </w:t>
      </w:r>
      <w:proofErr w:type="spellStart"/>
      <w:r>
        <w:t>en</w:t>
      </w:r>
      <w:proofErr w:type="spellEnd"/>
      <w:r>
        <w:t xml:space="preserve"> banc – all the Justices) that the City does not have immunity under the “public duty doctrine” because the City had an “individualized, actionable duty of reasonable care when it undertook to respond to their 911 call.” On Feb. 7, 2017, Mrs. Norg called 911 at 4:42 am and reported husband was making loud sounds, and eyes were wide open and glassy.  Dispatch notified Seattle FD and units went in serve at 4:44 from one station, and 4:46 at another – but mistakenly went to a nursing home near the Norg residence.  They ultimately arrived at correct address 16 minutes after the initial call to 911. Fred Norg was transported to the hospital, where he was diagnosed with a heart attack. He survived but allegedly suffered "severe and permanent injuries," including brain damage due to a lack of oxygen, resulting in "cognitive deficits and impaired vision, balance[,] and ambulation.” The Court held: “</w:t>
      </w:r>
      <w:r>
        <w:rPr>
          <w:rStyle w:val="markedcontent"/>
          <w:rFonts w:eastAsiaTheme="majorEastAsia"/>
        </w:rPr>
        <w:t xml:space="preserve">The </w:t>
      </w:r>
      <w:proofErr w:type="spellStart"/>
      <w:r>
        <w:rPr>
          <w:rStyle w:val="markedcontent"/>
          <w:rFonts w:eastAsiaTheme="majorEastAsia"/>
        </w:rPr>
        <w:t>Norgs</w:t>
      </w:r>
      <w:proofErr w:type="spellEnd"/>
      <w:r>
        <w:rPr>
          <w:rStyle w:val="markedcontent"/>
          <w:rFonts w:eastAsiaTheme="majorEastAsia"/>
        </w:rPr>
        <w:t xml:space="preserve"> have established that the City owed them an individualized, actionable duty of reasonable care when it undertook to respond to their 911 call. The </w:t>
      </w:r>
      <w:proofErr w:type="spellStart"/>
      <w:r>
        <w:rPr>
          <w:rStyle w:val="markedcontent"/>
          <w:rFonts w:eastAsiaTheme="majorEastAsia"/>
        </w:rPr>
        <w:t>Norgs</w:t>
      </w:r>
      <w:proofErr w:type="spellEnd"/>
      <w:r>
        <w:rPr>
          <w:rStyle w:val="markedcontent"/>
          <w:rFonts w:eastAsiaTheme="majorEastAsia"/>
        </w:rPr>
        <w:t>’ negligence claim is based solely on the City’s alleged breach of this</w:t>
      </w:r>
      <w:r>
        <w:br/>
      </w:r>
      <w:r>
        <w:rPr>
          <w:rStyle w:val="markedcontent"/>
          <w:rFonts w:eastAsiaTheme="majorEastAsia"/>
        </w:rPr>
        <w:t>common law duty. Therefore, although we express no opinion as to whether the</w:t>
      </w:r>
      <w:r>
        <w:br/>
      </w:r>
      <w:proofErr w:type="spellStart"/>
      <w:r>
        <w:rPr>
          <w:rStyle w:val="markedcontent"/>
          <w:rFonts w:eastAsiaTheme="majorEastAsia"/>
        </w:rPr>
        <w:t>Norgs</w:t>
      </w:r>
      <w:proofErr w:type="spellEnd"/>
      <w:r>
        <w:rPr>
          <w:rStyle w:val="markedcontent"/>
          <w:rFonts w:eastAsiaTheme="majorEastAsia"/>
        </w:rPr>
        <w:t xml:space="preserve"> </w:t>
      </w:r>
      <w:proofErr w:type="gramStart"/>
      <w:r>
        <w:rPr>
          <w:rStyle w:val="markedcontent"/>
          <w:rFonts w:eastAsiaTheme="majorEastAsia"/>
        </w:rPr>
        <w:t>will be ultimately be</w:t>
      </w:r>
      <w:proofErr w:type="gramEnd"/>
      <w:r>
        <w:rPr>
          <w:rStyle w:val="markedcontent"/>
          <w:rFonts w:eastAsiaTheme="majorEastAsia"/>
        </w:rPr>
        <w:t xml:space="preserve"> able to prevail on their claim, we hold that the public</w:t>
      </w:r>
      <w:r>
        <w:br/>
      </w:r>
      <w:r>
        <w:rPr>
          <w:rStyle w:val="markedcontent"/>
          <w:rFonts w:eastAsiaTheme="majorEastAsia"/>
        </w:rPr>
        <w:t>duty doctrine does not apply.”</w:t>
      </w:r>
      <w:r>
        <w:t xml:space="preserve"> </w:t>
      </w:r>
      <w:hyperlink r:id="rId2101" w:history="1">
        <w:r w:rsidRPr="00E03083">
          <w:rPr>
            <w:rStyle w:val="Hyperlink"/>
          </w:rPr>
          <w:t>https://www.courts.wa.gov/opinions/pdf/1001002.pdf</w:t>
        </w:r>
      </w:hyperlink>
      <w:r>
        <w:t xml:space="preserve"> </w:t>
      </w:r>
    </w:p>
    <w:p w14:paraId="28F79EFB" w14:textId="77777777" w:rsidR="008A4533" w:rsidRDefault="008A4533" w:rsidP="008A4533">
      <w:pPr>
        <w:pStyle w:val="NormalWeb"/>
        <w:ind w:left="720"/>
      </w:pPr>
      <w:r>
        <w:t xml:space="preserve">“As discussed above, to determine whether the public duty doctrine applies to this case, we must determine what duty the </w:t>
      </w:r>
      <w:proofErr w:type="gramStart"/>
      <w:r>
        <w:t>City</w:t>
      </w:r>
      <w:proofErr w:type="gramEnd"/>
      <w:r>
        <w:t xml:space="preserve"> allegedly breached and whether that duty was owed to the </w:t>
      </w:r>
      <w:proofErr w:type="spellStart"/>
      <w:r>
        <w:t>Norgs</w:t>
      </w:r>
      <w:proofErr w:type="spellEnd"/>
      <w:r>
        <w:t xml:space="preserve"> individually or to the </w:t>
      </w:r>
      <w:proofErr w:type="gramStart"/>
      <w:r>
        <w:t>general public</w:t>
      </w:r>
      <w:proofErr w:type="gramEnd"/>
      <w:r>
        <w:t xml:space="preserve">. It is clear from the nature of the </w:t>
      </w:r>
      <w:proofErr w:type="spellStart"/>
      <w:r>
        <w:t>Norgs</w:t>
      </w:r>
      <w:proofErr w:type="spellEnd"/>
      <w:r>
        <w:t xml:space="preserve">' claim that it is based on an alleged breach of the City's common law duty to use reasonable care, which was owed to the </w:t>
      </w:r>
      <w:proofErr w:type="spellStart"/>
      <w:r>
        <w:t>Norgs</w:t>
      </w:r>
      <w:proofErr w:type="spellEnd"/>
      <w:r>
        <w:t xml:space="preserve"> individually. Therefore, the public duty doctrine does not apply as a matter of law.”</w:t>
      </w:r>
    </w:p>
    <w:p w14:paraId="3E9AD17C" w14:textId="77777777" w:rsidR="008A4533" w:rsidRDefault="008A4533" w:rsidP="008A4533">
      <w:pPr>
        <w:pStyle w:val="NormalWeb"/>
      </w:pPr>
      <w:r>
        <w:t xml:space="preserve">Dissent [Justice Barbara Madsen, joined by 3 other Justices]: </w:t>
      </w:r>
    </w:p>
    <w:p w14:paraId="546354C4" w14:textId="77777777" w:rsidR="008A4533" w:rsidRDefault="008A4533" w:rsidP="008A4533">
      <w:pPr>
        <w:pStyle w:val="NormalWeb"/>
        <w:ind w:left="720"/>
        <w:rPr>
          <w:rStyle w:val="markedcontent"/>
          <w:rFonts w:eastAsiaTheme="majorEastAsia"/>
        </w:rPr>
      </w:pPr>
      <w:r>
        <w:lastRenderedPageBreak/>
        <w:t>“</w:t>
      </w:r>
      <w:r>
        <w:rPr>
          <w:rStyle w:val="markedcontent"/>
          <w:rFonts w:eastAsiaTheme="majorEastAsia"/>
        </w:rPr>
        <w:t xml:space="preserve">Rather than straightforwardly applying precedent, the majority relies on pronouncements made in concurrences from past cases and accepts them as settled law, rewriting the public duty doctrine to apply only when duties are imposed on government entities by statute or ordinance—creating virtually limitless liability. *** The </w:t>
      </w:r>
      <w:proofErr w:type="spellStart"/>
      <w:r>
        <w:rPr>
          <w:rStyle w:val="markedcontent"/>
          <w:rFonts w:eastAsiaTheme="majorEastAsia"/>
        </w:rPr>
        <w:t>Norgs</w:t>
      </w:r>
      <w:proofErr w:type="spellEnd"/>
      <w:r>
        <w:rPr>
          <w:rStyle w:val="markedcontent"/>
          <w:rFonts w:eastAsiaTheme="majorEastAsia"/>
        </w:rPr>
        <w:t xml:space="preserve"> have not shown that any duty was owed to them as individuals….  A broad and general responsibility to the public rather than to individual members of the public does not create a duty of care…. I would hold that the public duty doctrine is available to the city of Seattle…. The public duty doctrine applies when a public entity is performing a governmental function.”</w:t>
      </w:r>
    </w:p>
    <w:p w14:paraId="01B7D16D" w14:textId="77777777" w:rsidR="008A4533" w:rsidRDefault="008A4533" w:rsidP="008A4533">
      <w:pPr>
        <w:pStyle w:val="NormalWeb"/>
        <w:rPr>
          <w:b/>
          <w:bCs/>
        </w:rPr>
      </w:pPr>
      <w:r w:rsidRPr="00777A43">
        <w:rPr>
          <w:b/>
          <w:bCs/>
        </w:rPr>
        <w:t>Legal Lesson Learned:</w:t>
      </w:r>
      <w:r>
        <w:rPr>
          <w:b/>
          <w:bCs/>
        </w:rPr>
        <w:t xml:space="preserve"> “Public duty doctrine” has generally been a strong defense for public employers. </w:t>
      </w:r>
    </w:p>
    <w:p w14:paraId="640216C1" w14:textId="3F2FDB1B" w:rsidR="008A4533" w:rsidRDefault="008A4533" w:rsidP="002B1283">
      <w:pPr>
        <w:rPr>
          <w:rFonts w:ascii="Arial Black" w:hAnsi="Arial Black"/>
          <w:b/>
          <w:bCs/>
          <w:sz w:val="28"/>
          <w:szCs w:val="28"/>
        </w:rPr>
      </w:pPr>
    </w:p>
    <w:p w14:paraId="29F5715A" w14:textId="3B7F00DC" w:rsidR="008A4533" w:rsidRDefault="008A4533" w:rsidP="002B1283">
      <w:pPr>
        <w:rPr>
          <w:rFonts w:ascii="Arial Black" w:hAnsi="Arial Black"/>
          <w:b/>
          <w:bCs/>
          <w:sz w:val="28"/>
          <w:szCs w:val="28"/>
        </w:rPr>
      </w:pPr>
      <w:r>
        <w:rPr>
          <w:rFonts w:ascii="Arial Black" w:hAnsi="Arial Black"/>
          <w:b/>
          <w:bCs/>
          <w:sz w:val="28"/>
          <w:szCs w:val="28"/>
        </w:rPr>
        <w:t>13-13</w:t>
      </w:r>
      <w:r w:rsidR="005C3F7B">
        <w:rPr>
          <w:rFonts w:ascii="Arial Black" w:hAnsi="Arial Black"/>
          <w:b/>
          <w:bCs/>
          <w:sz w:val="28"/>
          <w:szCs w:val="28"/>
        </w:rPr>
        <w:t>4</w:t>
      </w:r>
    </w:p>
    <w:p w14:paraId="6298455E" w14:textId="77777777" w:rsidR="008A4533" w:rsidRDefault="008A4533" w:rsidP="008A4533">
      <w:pPr>
        <w:pStyle w:val="NormalWeb"/>
        <w:rPr>
          <w:rFonts w:ascii="Arial Black" w:hAnsi="Arial Black"/>
          <w:b/>
          <w:bCs/>
          <w:sz w:val="28"/>
          <w:szCs w:val="28"/>
        </w:rPr>
      </w:pPr>
      <w:r>
        <w:rPr>
          <w:rFonts w:ascii="Arial Black" w:hAnsi="Arial Black"/>
          <w:b/>
          <w:bCs/>
          <w:sz w:val="28"/>
          <w:szCs w:val="28"/>
        </w:rPr>
        <w:t>IA: EMS - SPIT HOOD ON MAN ARRESTED DOMESTIC VIOLENCE – PROPERLY USED SENTENCING - 2-YRS JAIL</w:t>
      </w:r>
    </w:p>
    <w:p w14:paraId="06AA1CCA" w14:textId="77777777" w:rsidR="008A4533" w:rsidRPr="003E7D5E" w:rsidRDefault="008A4533" w:rsidP="008A4533">
      <w:pPr>
        <w:pStyle w:val="NormalWeb"/>
        <w:rPr>
          <w:b/>
          <w:bCs/>
        </w:rPr>
      </w:pPr>
      <w:r w:rsidRPr="003D19B9">
        <w:t xml:space="preserve">On </w:t>
      </w:r>
      <w:r>
        <w:t xml:space="preserve">Jan. 11, 2023, in </w:t>
      </w:r>
      <w:r w:rsidRPr="003D19B9">
        <w:rPr>
          <w:u w:val="single"/>
        </w:rPr>
        <w:t>State of Iowa v. Spencer Jerrick Carter</w:t>
      </w:r>
      <w:r>
        <w:t xml:space="preserve">, the Court of Appeals of Iowa held (3 to 0) that the Prosecutor at time of sentencing properly advised the trial court judge that two EMS had to use a spit hood when transporting the defendant.  The defendant had pled guilty to assaulting two police officers, and two firefighters on Oct. 14, 2021.  On appeal, Carter contends the prosecutor's relaying of information about use of spit hood constituted improper victim statements and he is entitled to resentencing. The Court of Appeals disagreed, finding “there is nothing in the court's reasons to indicate it considered improper factors.” </w:t>
      </w:r>
      <w:hyperlink r:id="rId2102" w:history="1">
        <w:r w:rsidRPr="00912476">
          <w:rPr>
            <w:rStyle w:val="Hyperlink"/>
          </w:rPr>
          <w:t>https://law.justia.com/cases/iowa/court-of-appeals/2023/22-0302.html</w:t>
        </w:r>
      </w:hyperlink>
    </w:p>
    <w:p w14:paraId="471F2B9A" w14:textId="77777777" w:rsidR="008A4533" w:rsidRPr="003E7D5E" w:rsidRDefault="008A4533" w:rsidP="008A4533">
      <w:pPr>
        <w:pStyle w:val="NormalWeb"/>
        <w:ind w:left="720"/>
        <w:rPr>
          <w:b/>
          <w:bCs/>
        </w:rPr>
      </w:pPr>
      <w:r>
        <w:t xml:space="preserve">“Officers restrained the defendant, including by using personal defense spray, and the defendant continued to refuse to cooperate with police attempts to move him. Officers requested assistance from the Dubuque Fire Department, and as the defendant was strapped to a cot and prepared to </w:t>
      </w:r>
      <w:proofErr w:type="gramStart"/>
      <w:r>
        <w:t>move</w:t>
      </w:r>
      <w:proofErr w:type="gramEnd"/>
      <w:r>
        <w:t xml:space="preserve"> he told Officer Warner, "I will kill you and your family." The defendant proceeded to spit on two different firefighters as he was being carried away, Firefighters </w:t>
      </w:r>
      <w:r w:rsidRPr="003E7D5E">
        <w:rPr>
          <w:rStyle w:val="Strong"/>
        </w:rPr>
        <w:t>Todd Sieverding and Steve Haupert.</w:t>
      </w:r>
    </w:p>
    <w:p w14:paraId="11D891F5" w14:textId="77777777" w:rsidR="008A4533" w:rsidRDefault="008A4533" w:rsidP="008A4533">
      <w:pPr>
        <w:pStyle w:val="NormalWeb"/>
      </w:pPr>
      <w:r>
        <w:t>The prosecutor at sentencing hearing told the Court:</w:t>
      </w:r>
    </w:p>
    <w:p w14:paraId="3C6423C5" w14:textId="77777777" w:rsidR="008A4533" w:rsidRDefault="008A4533" w:rsidP="008A4533">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0B135C">
        <w:rPr>
          <w:rFonts w:ascii="Times New Roman" w:eastAsia="Times New Roman" w:hAnsi="Times New Roman"/>
          <w:sz w:val="24"/>
          <w:szCs w:val="24"/>
        </w:rPr>
        <w:t xml:space="preserve">Firefighter Todd Sieverding did say that he wanted to relay that placing a spit hood on a subject is sort of the last resort for what they do. It's demeaning, not only for the subject, but for the firefighters to do that, and if they can avoid using a spit hood, in any, in any sort of way, they would avoid doing so, but they weren't able to do that here because the Defendant continued to resist, even as they were trying to help him. Their hands were tied up holding the cot and the patient, but </w:t>
      </w:r>
      <w:proofErr w:type="gramStart"/>
      <w:r w:rsidRPr="000B135C">
        <w:rPr>
          <w:rFonts w:ascii="Times New Roman" w:eastAsia="Times New Roman" w:hAnsi="Times New Roman"/>
          <w:sz w:val="24"/>
          <w:szCs w:val="24"/>
        </w:rPr>
        <w:t>in order to</w:t>
      </w:r>
      <w:proofErr w:type="gramEnd"/>
      <w:r w:rsidRPr="000B135C">
        <w:rPr>
          <w:rFonts w:ascii="Times New Roman" w:eastAsia="Times New Roman" w:hAnsi="Times New Roman"/>
          <w:sz w:val="24"/>
          <w:szCs w:val="24"/>
        </w:rPr>
        <w:t xml:space="preserve"> make sure he caused no harm to himself or to us, we used the spit </w:t>
      </w:r>
      <w:proofErr w:type="gramStart"/>
      <w:r w:rsidRPr="000B135C">
        <w:rPr>
          <w:rFonts w:ascii="Times New Roman" w:eastAsia="Times New Roman" w:hAnsi="Times New Roman"/>
          <w:sz w:val="24"/>
          <w:szCs w:val="24"/>
        </w:rPr>
        <w:t>hood.</w:t>
      </w:r>
      <w:r>
        <w:rPr>
          <w:rFonts w:ascii="Times New Roman" w:eastAsia="Times New Roman" w:hAnsi="Times New Roman"/>
          <w:sz w:val="24"/>
          <w:szCs w:val="24"/>
        </w:rPr>
        <w:t>”</w:t>
      </w:r>
      <w:proofErr w:type="gramEnd"/>
    </w:p>
    <w:p w14:paraId="68BD0625" w14:textId="77777777" w:rsidR="008A4533" w:rsidRPr="003E7D5E" w:rsidRDefault="008A4533" w:rsidP="008A4533">
      <w:pPr>
        <w:pStyle w:val="NormalWeb"/>
        <w:rPr>
          <w:b/>
          <w:bCs/>
        </w:rPr>
      </w:pPr>
      <w:r w:rsidRPr="003E7D5E">
        <w:rPr>
          <w:b/>
          <w:bCs/>
        </w:rPr>
        <w:t>Legal Lesson Learned:</w:t>
      </w:r>
      <w:r>
        <w:rPr>
          <w:b/>
          <w:bCs/>
        </w:rPr>
        <w:t xml:space="preserve"> Spitting on fire / EMS is an assault. </w:t>
      </w:r>
    </w:p>
    <w:p w14:paraId="36A1A185" w14:textId="77777777" w:rsidR="008A4533" w:rsidRDefault="008A4533" w:rsidP="008A4533">
      <w:pPr>
        <w:pStyle w:val="NormalWeb"/>
      </w:pPr>
    </w:p>
    <w:p w14:paraId="5E4044B2" w14:textId="7D224836" w:rsidR="008A4533" w:rsidRDefault="005C3F7B" w:rsidP="002B1283">
      <w:pPr>
        <w:rPr>
          <w:rFonts w:ascii="Arial Black" w:hAnsi="Arial Black"/>
          <w:b/>
          <w:bCs/>
          <w:sz w:val="28"/>
          <w:szCs w:val="28"/>
        </w:rPr>
      </w:pPr>
      <w:r>
        <w:rPr>
          <w:rFonts w:ascii="Arial Black" w:hAnsi="Arial Black"/>
          <w:b/>
          <w:bCs/>
          <w:sz w:val="28"/>
          <w:szCs w:val="28"/>
        </w:rPr>
        <w:t>13-133</w:t>
      </w:r>
    </w:p>
    <w:p w14:paraId="5A80E359" w14:textId="63882BA3" w:rsidR="005C3F7B" w:rsidRDefault="005C3F7B" w:rsidP="005C3F7B">
      <w:pPr>
        <w:pStyle w:val="NormalWeb"/>
        <w:rPr>
          <w:rFonts w:ascii="Arial Black" w:hAnsi="Arial Black"/>
          <w:sz w:val="28"/>
          <w:szCs w:val="28"/>
        </w:rPr>
      </w:pPr>
      <w:r>
        <w:rPr>
          <w:rFonts w:ascii="Arial Black" w:hAnsi="Arial Black"/>
          <w:sz w:val="28"/>
          <w:szCs w:val="28"/>
        </w:rPr>
        <w:t>NY: PATIENT FE</w:t>
      </w:r>
      <w:r w:rsidR="0004072E">
        <w:rPr>
          <w:rFonts w:ascii="Arial Black" w:hAnsi="Arial Black"/>
          <w:sz w:val="28"/>
          <w:szCs w:val="28"/>
        </w:rPr>
        <w:t>L</w:t>
      </w:r>
      <w:r>
        <w:rPr>
          <w:rFonts w:ascii="Arial Black" w:hAnsi="Arial Black"/>
          <w:sz w:val="28"/>
          <w:szCs w:val="28"/>
        </w:rPr>
        <w:t>L OFF STRETCHER – NO SHOULDER STRAPS - DIED – EMS FIRED FALSE INFORMATION</w:t>
      </w:r>
    </w:p>
    <w:p w14:paraId="1D9EA586" w14:textId="77777777" w:rsidR="005C3F7B" w:rsidRDefault="005C3F7B" w:rsidP="005C3F7B">
      <w:pPr>
        <w:pStyle w:val="NormalWeb"/>
        <w:rPr>
          <w:b/>
          <w:bCs/>
        </w:rPr>
      </w:pPr>
      <w:r>
        <w:lastRenderedPageBreak/>
        <w:t xml:space="preserve">On Jan. 5, 2023, </w:t>
      </w:r>
      <w:r>
        <w:rPr>
          <w:u w:val="single"/>
        </w:rPr>
        <w:t xml:space="preserve">In </w:t>
      </w:r>
      <w:proofErr w:type="gramStart"/>
      <w:r>
        <w:rPr>
          <w:u w:val="single"/>
        </w:rPr>
        <w:t>The</w:t>
      </w:r>
      <w:proofErr w:type="gramEnd"/>
      <w:r>
        <w:rPr>
          <w:u w:val="single"/>
        </w:rPr>
        <w:t xml:space="preserve"> Matter of Nicholas A. Walker v. City of Plattsburg, et al</w:t>
      </w:r>
      <w:r>
        <w:t xml:space="preserve">., the Supreme Court of New York, Third Department. Held (3 to 0) that the </w:t>
      </w:r>
      <w:proofErr w:type="gramStart"/>
      <w:r>
        <w:t>Mayor</w:t>
      </w:r>
      <w:proofErr w:type="gramEnd"/>
      <w:r>
        <w:t xml:space="preserve"> had authority to fire the medic in Jan. 2021, since video of the scene Nov. 21, </w:t>
      </w:r>
      <w:proofErr w:type="gramStart"/>
      <w:r>
        <w:t>2018</w:t>
      </w:r>
      <w:proofErr w:type="gramEnd"/>
      <w:r>
        <w:t xml:space="preserve"> showed he lied to police investigating the incident, </w:t>
      </w:r>
      <w:proofErr w:type="gramStart"/>
      <w:r>
        <w:t>and also</w:t>
      </w:r>
      <w:proofErr w:type="gramEnd"/>
      <w:r>
        <w:t xml:space="preserve"> submitted a false EMS run report.  “On November 30, </w:t>
      </w:r>
      <w:proofErr w:type="gramStart"/>
      <w:r>
        <w:t>2018</w:t>
      </w:r>
      <w:proofErr w:type="gramEnd"/>
      <w:r>
        <w:t xml:space="preserve"> at an apartment complex in the City of Plattsburgh, Clinton County, petitioner, a firefighter and emergency medical technician, responded with his partner to a 911 call regarding a man lying in a fifth-floor hallway requesting medical assistance. When petitioner reached the patient, he was responsive and communicative, asking for help. Petitioner and his partner put the patient on a stretcher, securing him with the stretcher's leg and waist straps but not its shoulder straps. They wheeled the stretcher to the elevator and transported the patient down to the first floor, through the building's lobby and outside to where an ambulance was waiting. As they were leaving the building, the patient's arm went limp and dropped down to the side of the stretcher, causing petitioner to lift the patient's arm and place it across his chest. While petitioner and his partner were attempting to transfer the patient into the ambulance, the patient's upper body slipped off the </w:t>
      </w:r>
      <w:proofErr w:type="gramStart"/>
      <w:r>
        <w:t>stretcher</w:t>
      </w:r>
      <w:proofErr w:type="gramEnd"/>
      <w:r>
        <w:t xml:space="preserve"> and his head hit the back of the </w:t>
      </w:r>
      <w:proofErr w:type="gramStart"/>
      <w:r>
        <w:t>ambulance.”</w:t>
      </w:r>
      <w:proofErr w:type="gramEnd"/>
      <w:r>
        <w:t xml:space="preserve">   The Court held: Petitioner concedes that he provided false information in the incident report, patient care report and statement to the police. Thus, as the parties agree, the only issue before this Court is whether the hearing evidence sufficiently established that he did so knowingly. The false statements, which are not in dispute, can be described as follows: petitioner indicated that the patient became unresponsive and was not breathing adequately while in the hallway or elevator, but video evidence and hearing testimony revealed that the patient was alert and responsive as he was transported through the hallway, elevator, building lobby and exterior doors; petitioner claimed that he radioed for assistance when the patient became unresponsive in the hallway or elevator, but the hearing evidence showed that he did not call for backup until after the patient fell off the stretcher and struck his head on the ambulance; petitioner asserted that he assessed the patient and took his pulse in the lobby, yet surveillance video reflected that petitioner did not take these actions at that time; and petitioner indicated that CPR was performed continuously after the patient fell, but video evidence showed that CPR was not begun until several minutes after the patient's fall, and was only conducted for a short time.” </w:t>
      </w:r>
      <w:hyperlink r:id="rId2103" w:history="1">
        <w:r>
          <w:rPr>
            <w:rStyle w:val="Hyperlink"/>
          </w:rPr>
          <w:t>https://caselaw.findlaw.com/ny-supreme-court/2147274.html</w:t>
        </w:r>
      </w:hyperlink>
      <w:r>
        <w:t xml:space="preserve"> </w:t>
      </w:r>
    </w:p>
    <w:p w14:paraId="6A40D780" w14:textId="77777777" w:rsidR="005C3F7B" w:rsidRDefault="005C3F7B" w:rsidP="005C3F7B">
      <w:pPr>
        <w:pStyle w:val="NormalWeb"/>
        <w:ind w:left="720"/>
      </w:pPr>
      <w:r>
        <w:t xml:space="preserve">“Within hours of the incident, petitioner filled out an incident report and a patient care form describing what had happened and filed these documents with the City of Plattsburgh Fire Department. The following day, petitioner was interviewed by the City of Plattsburgh Police Department regarding the incident and gave a sworn written statement to a detective. Moving forward, </w:t>
      </w:r>
      <w:proofErr w:type="gramStart"/>
      <w:r>
        <w:t>petitioner</w:t>
      </w:r>
      <w:proofErr w:type="gramEnd"/>
      <w:r>
        <w:t xml:space="preserve"> continued to work as a firefighter and emergency medical technician for over two years. During this time, the State Department of Health </w:t>
      </w:r>
      <w:proofErr w:type="gramStart"/>
      <w:r>
        <w:t>conducted an investigation</w:t>
      </w:r>
      <w:proofErr w:type="gramEnd"/>
      <w:r>
        <w:t xml:space="preserve"> of the incident, the result of which was petitioner agreeing to pay a $5,000 fine and complete additional training, and respondent City of Plattsburgh settled a wrongful death claim brought by the patient's family.</w:t>
      </w:r>
    </w:p>
    <w:p w14:paraId="549830D3" w14:textId="77777777" w:rsidR="005C3F7B" w:rsidRDefault="005C3F7B" w:rsidP="005C3F7B">
      <w:pPr>
        <w:pStyle w:val="NormalWeb"/>
        <w:ind w:left="720"/>
      </w:pPr>
      <w:r>
        <w:t>***</w:t>
      </w:r>
    </w:p>
    <w:p w14:paraId="6D95FAFF" w14:textId="77777777" w:rsidR="005C3F7B" w:rsidRDefault="005C3F7B" w:rsidP="005C3F7B">
      <w:pPr>
        <w:pStyle w:val="NormalWeb"/>
        <w:ind w:left="720"/>
        <w:rPr>
          <w:b/>
          <w:bCs/>
        </w:rPr>
      </w:pPr>
      <w:r>
        <w:t xml:space="preserve">As to the penalty imposed, we find that the </w:t>
      </w:r>
      <w:proofErr w:type="gramStart"/>
      <w:r>
        <w:t>Mayor's</w:t>
      </w:r>
      <w:proofErr w:type="gramEnd"/>
      <w:r>
        <w:t xml:space="preserve"> decision to terminate petitioner's employment was not "so disproportionate to the offenses as to be shocking to one's sense of fairness…. We see no reason to disturb the penalty imposed by the Mayor, who found, notwithstanding petitioner's positive accomplishments, that he had inhibited the investigation into the patient's untimely death and, seeking to avoid personal responsibility, placed his own interests above those of the City of Plattsburgh Fire Department, the patient's family and the public at large.”</w:t>
      </w:r>
    </w:p>
    <w:p w14:paraId="2DCAFB81" w14:textId="77777777" w:rsidR="005C3F7B" w:rsidRDefault="005C3F7B" w:rsidP="005C3F7B">
      <w:pPr>
        <w:pStyle w:val="NormalWeb"/>
        <w:rPr>
          <w:b/>
          <w:bCs/>
        </w:rPr>
      </w:pPr>
      <w:r>
        <w:rPr>
          <w:b/>
          <w:bCs/>
        </w:rPr>
        <w:t xml:space="preserve">Legal Lesson Learned: Properly restrain </w:t>
      </w:r>
      <w:proofErr w:type="gramStart"/>
      <w:r>
        <w:rPr>
          <w:b/>
          <w:bCs/>
        </w:rPr>
        <w:t>patient</w:t>
      </w:r>
      <w:proofErr w:type="gramEnd"/>
      <w:r>
        <w:rPr>
          <w:b/>
          <w:bCs/>
        </w:rPr>
        <w:t xml:space="preserve"> on the stretcher; don’t file false reports or lie to investigators. Not clear why took two years to discipline. </w:t>
      </w:r>
    </w:p>
    <w:p w14:paraId="273929DE" w14:textId="77777777" w:rsidR="005C3F7B" w:rsidRDefault="005C3F7B" w:rsidP="002B1283">
      <w:pPr>
        <w:rPr>
          <w:rFonts w:ascii="Arial Black" w:hAnsi="Arial Black"/>
          <w:b/>
          <w:bCs/>
          <w:sz w:val="28"/>
          <w:szCs w:val="28"/>
        </w:rPr>
      </w:pPr>
    </w:p>
    <w:p w14:paraId="6660D211" w14:textId="77777777" w:rsidR="008A4533" w:rsidRDefault="008A4533" w:rsidP="002B1283">
      <w:pPr>
        <w:rPr>
          <w:rFonts w:ascii="Arial Black" w:hAnsi="Arial Black"/>
          <w:b/>
          <w:bCs/>
          <w:sz w:val="28"/>
          <w:szCs w:val="28"/>
        </w:rPr>
      </w:pPr>
    </w:p>
    <w:p w14:paraId="3797E15C" w14:textId="2EE37088" w:rsidR="00BA3CDE" w:rsidRDefault="00BA3CDE" w:rsidP="002B1283">
      <w:pPr>
        <w:rPr>
          <w:rFonts w:ascii="Arial Black" w:hAnsi="Arial Black"/>
          <w:b/>
          <w:bCs/>
          <w:sz w:val="28"/>
          <w:szCs w:val="28"/>
        </w:rPr>
      </w:pPr>
      <w:r>
        <w:rPr>
          <w:rFonts w:ascii="Arial Black" w:hAnsi="Arial Black"/>
          <w:b/>
          <w:bCs/>
          <w:sz w:val="28"/>
          <w:szCs w:val="28"/>
        </w:rPr>
        <w:lastRenderedPageBreak/>
        <w:t>13-132</w:t>
      </w:r>
    </w:p>
    <w:p w14:paraId="52316E04" w14:textId="77777777" w:rsidR="00BA3CDE" w:rsidRDefault="00BA3CDE" w:rsidP="00BA3CDE">
      <w:pPr>
        <w:pStyle w:val="NormalWeb"/>
        <w:rPr>
          <w:b/>
          <w:bCs/>
        </w:rPr>
      </w:pPr>
      <w:r>
        <w:rPr>
          <w:rFonts w:ascii="Arial Black" w:hAnsi="Arial Black"/>
          <w:b/>
          <w:bCs/>
          <w:sz w:val="28"/>
          <w:szCs w:val="28"/>
        </w:rPr>
        <w:t xml:space="preserve">CA: BAT. CHIEF – TERMINATION UPHELD - NOT REPORTING MEDIC HITTING PATIENT – ALSO DENIED KNOWLEDGE  </w:t>
      </w:r>
    </w:p>
    <w:p w14:paraId="4D5665D8" w14:textId="77777777" w:rsidR="00BA3CDE" w:rsidRDefault="00BA3CDE" w:rsidP="00BA3CDE">
      <w:pPr>
        <w:pStyle w:val="NormalWeb"/>
      </w:pPr>
      <w:r>
        <w:t xml:space="preserve">On Dec. 22, 2022, in </w:t>
      </w:r>
      <w:r w:rsidRPr="00464F2D">
        <w:rPr>
          <w:u w:val="single"/>
        </w:rPr>
        <w:t>Steve Jones v. City of Loma Linda, et al</w:t>
      </w:r>
      <w:r>
        <w:t xml:space="preserve">., the California Court of Appeals, Fourth District (Second Division) held (3 to 0) that the City Council was authorized to reject a hearing officer’s recommendation that the Battalion Chief, with 26 years with the Fire Department, be reinstated with a letter of reprimand.  The Court found that City Council could reasonably conclude that the harm to the public service was so great that terminating his employment was the “only reasonable option.”  The incident involved a Medic who slapped a mental patient; during the transport the patient had freed his right arm from soft restraints and was spitting at the crew [see below note]. </w:t>
      </w:r>
    </w:p>
    <w:p w14:paraId="068DF9DF" w14:textId="77777777" w:rsidR="00BA3CDE" w:rsidRDefault="00BA3CDE" w:rsidP="00BA3CDE">
      <w:pPr>
        <w:pStyle w:val="NormalWeb"/>
        <w:ind w:left="720"/>
      </w:pPr>
      <w:r>
        <w:t>“Jones asserts that he had an ‘unblemished 26-year career,’ so terminating his employment was an abuse of discretion. Jones's long and mostly untarnished career indicates that it is less likely his dishonesty will be repeated, which is a relevant factor. (</w:t>
      </w:r>
      <w:r>
        <w:rPr>
          <w:rStyle w:val="Emphasis"/>
        </w:rPr>
        <w:t>Skelly v. State Personnel Bd.</w:t>
      </w:r>
      <w:r>
        <w:t xml:space="preserve">, </w:t>
      </w:r>
      <w:r>
        <w:rPr>
          <w:rStyle w:val="Emphasis"/>
        </w:rPr>
        <w:t>supra</w:t>
      </w:r>
      <w:r>
        <w:t xml:space="preserve">, 15 Cal.3d at p. 218.) </w:t>
      </w:r>
      <w:proofErr w:type="gramStart"/>
      <w:r>
        <w:t>However, ‘</w:t>
      </w:r>
      <w:proofErr w:type="gramEnd"/>
      <w:r>
        <w:t>the overriding consideration in these cases is the extent to which the employee's conduct resulted in . . . '[h]arm to the public service.' (</w:t>
      </w:r>
      <w:r>
        <w:rPr>
          <w:rStyle w:val="Emphasis"/>
        </w:rPr>
        <w:t>Ibid.</w:t>
      </w:r>
      <w:r>
        <w:t xml:space="preserve">) The City Council could reasonably conclude that the harm to the public service was great because Jones repeatedly had such poor judgment in this serious situation that his decision making could no longer be relied upon, which meant terminating his employment was the only reasonable option.” </w:t>
      </w:r>
      <w:hyperlink r:id="rId2104" w:history="1">
        <w:r w:rsidRPr="00075859">
          <w:rPr>
            <w:rStyle w:val="Hyperlink"/>
            <w:rFonts w:eastAsiaTheme="majorEastAsia"/>
          </w:rPr>
          <w:t>https://public.fastcase.com/J%2FJP6pdidelsXxEE4k%2BLMhEAWViZoZCNNVQqGGOJQe0x0uZjPj6basWGo2LdR7ZdZ7mXMibE%2B6q63t6QJEFPzY8xsgWYqrexPGowqeVKLtU%3D?utm_medium=email&amp;_hsmi=226712652&amp;_hsenc=p2ANqtz-_6354qi3IFHsOx1ZsytROIPRrzR7P7WEO-</w:t>
        </w:r>
      </w:hyperlink>
      <w:r>
        <w:t xml:space="preserve"> </w:t>
      </w:r>
    </w:p>
    <w:p w14:paraId="0FB790CB" w14:textId="77777777" w:rsidR="00BA3CDE" w:rsidRPr="00625D3A" w:rsidRDefault="00BA3CDE" w:rsidP="00BA3CDE">
      <w:pPr>
        <w:pStyle w:val="NormalWeb"/>
        <w:rPr>
          <w:b/>
          <w:bCs/>
        </w:rPr>
      </w:pPr>
      <w:r w:rsidRPr="00625D3A">
        <w:rPr>
          <w:b/>
          <w:bCs/>
        </w:rPr>
        <w:t>Legal Lesson Learned:</w:t>
      </w:r>
      <w:r>
        <w:rPr>
          <w:b/>
          <w:bCs/>
        </w:rPr>
        <w:t xml:space="preserve"> If there is a report of assault on a patient, promptly inform Senior Management and have entire crew write reports.</w:t>
      </w:r>
    </w:p>
    <w:p w14:paraId="103A78BE" w14:textId="77777777" w:rsidR="00BA3CDE" w:rsidRDefault="00BA3CDE" w:rsidP="00BA3CDE">
      <w:pPr>
        <w:pStyle w:val="NormalWeb"/>
        <w:ind w:left="720"/>
      </w:pPr>
      <w:r>
        <w:t xml:space="preserve">Note: In a Feb. 13, 2019. In an unpublished decision, a judge described the Medic’s actions.  </w:t>
      </w:r>
    </w:p>
    <w:p w14:paraId="2E36BEF5" w14:textId="77777777" w:rsidR="00BA3CDE" w:rsidRDefault="00BA3CDE" w:rsidP="00BA3CDE">
      <w:pPr>
        <w:pStyle w:val="NormalWeb"/>
        <w:ind w:left="720"/>
      </w:pPr>
      <w:r>
        <w:t xml:space="preserve"> “Toppo placed his left hand on the patient's forehead, and cupped his right hand under the patient's chin, </w:t>
      </w:r>
      <w:proofErr w:type="gramStart"/>
      <w:r>
        <w:t>so as to</w:t>
      </w:r>
      <w:proofErr w:type="gramEnd"/>
      <w:r>
        <w:t xml:space="preserve"> keep the patient's mouth closed to prevent the patient from spitting on the firefighters and the medics. Toppo had seen patients spit on personnel in other situations. There was a harness on the patient attaching him to the gurney, but the straps were not tight. Toppo's hand placement on the patient's face lasted five to 10 seconds, then Toppo focused on tightening the straps of the patient's harness, leaving his left hand on the patient's forehead. *** Toppo's striking of his own hand made a slapping sound. Toppo believed his left hand was slightly raised from the patient's forehead, so when his right hand struck his left hand, his left hand made a slapping noise as it </w:t>
      </w:r>
      <w:proofErr w:type="gramStart"/>
      <w:r>
        <w:t>came in contact with</w:t>
      </w:r>
      <w:proofErr w:type="gramEnd"/>
      <w:r>
        <w:t xml:space="preserve"> the patient. After Toppo struck his hand, "[t]he ambulance went silent," and the personnel were able to restrain the patient. Toppo believed the ambulance went silent "because of the slap." </w:t>
      </w:r>
    </w:p>
    <w:p w14:paraId="0FCB4B13" w14:textId="77777777" w:rsidR="00BA3CDE" w:rsidRDefault="00BA3CDE" w:rsidP="002B1283">
      <w:pPr>
        <w:rPr>
          <w:rFonts w:ascii="Arial Black" w:hAnsi="Arial Black"/>
          <w:b/>
          <w:bCs/>
          <w:sz w:val="28"/>
          <w:szCs w:val="28"/>
        </w:rPr>
      </w:pPr>
    </w:p>
    <w:p w14:paraId="249ED34D" w14:textId="58AD6A13" w:rsidR="00BA3CDE" w:rsidRDefault="00BA3CDE" w:rsidP="002B1283">
      <w:pPr>
        <w:rPr>
          <w:rFonts w:ascii="Arial Black" w:hAnsi="Arial Black"/>
          <w:b/>
          <w:bCs/>
          <w:sz w:val="28"/>
          <w:szCs w:val="28"/>
        </w:rPr>
      </w:pPr>
      <w:r>
        <w:rPr>
          <w:rFonts w:ascii="Arial Black" w:hAnsi="Arial Black"/>
          <w:b/>
          <w:bCs/>
          <w:sz w:val="28"/>
          <w:szCs w:val="28"/>
        </w:rPr>
        <w:t>13-131</w:t>
      </w:r>
    </w:p>
    <w:p w14:paraId="601FF0CD" w14:textId="77777777" w:rsidR="00BA3CDE" w:rsidRDefault="00BA3CDE" w:rsidP="00BA3CDE">
      <w:pPr>
        <w:rPr>
          <w:rFonts w:ascii="Arial Black" w:hAnsi="Arial Black"/>
          <w:sz w:val="28"/>
          <w:szCs w:val="28"/>
        </w:rPr>
      </w:pPr>
      <w:r>
        <w:rPr>
          <w:rFonts w:ascii="Arial Black" w:hAnsi="Arial Black"/>
          <w:sz w:val="28"/>
          <w:szCs w:val="28"/>
        </w:rPr>
        <w:t>NY:</w:t>
      </w:r>
      <w:r w:rsidRPr="002E745F">
        <w:rPr>
          <w:rFonts w:ascii="Arial Black" w:hAnsi="Arial Black"/>
          <w:sz w:val="28"/>
          <w:szCs w:val="28"/>
        </w:rPr>
        <w:t xml:space="preserve"> </w:t>
      </w:r>
      <w:r w:rsidRPr="00787655">
        <w:rPr>
          <w:rFonts w:ascii="Arial Black" w:hAnsi="Arial Black"/>
          <w:sz w:val="28"/>
          <w:szCs w:val="28"/>
        </w:rPr>
        <w:t>EMTALA</w:t>
      </w:r>
      <w:r>
        <w:rPr>
          <w:rFonts w:ascii="Arial Black" w:hAnsi="Arial Black"/>
          <w:sz w:val="28"/>
          <w:szCs w:val="28"/>
        </w:rPr>
        <w:t xml:space="preserve"> - PSYCH RUN – ER DOC MET PARENTS, IN HOSPITAL 3 DAYS – CASE NOT FILED 2-YR STATUTE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19"/>
        <w:gridCol w:w="81"/>
      </w:tblGrid>
      <w:tr w:rsidR="00BA3CDE" w14:paraId="41ABDE90" w14:textId="77777777" w:rsidTr="006901FD">
        <w:trPr>
          <w:tblCellSpacing w:w="15" w:type="dxa"/>
        </w:trPr>
        <w:tc>
          <w:tcPr>
            <w:tcW w:w="0" w:type="auto"/>
            <w:vAlign w:val="center"/>
          </w:tcPr>
          <w:p w14:paraId="4465C1B6" w14:textId="77777777" w:rsidR="00BA3CDE" w:rsidRDefault="00BA3CDE" w:rsidP="006901FD">
            <w:r w:rsidRPr="005F4B3D">
              <w:rPr>
                <w:rFonts w:ascii="Times New Roman" w:hAnsi="Times New Roman"/>
                <w:sz w:val="24"/>
                <w:szCs w:val="24"/>
              </w:rPr>
              <w:lastRenderedPageBreak/>
              <w:t xml:space="preserve">On Nov. 30, 2022, in </w:t>
            </w:r>
            <w:r w:rsidRPr="005F4B3D">
              <w:rPr>
                <w:rFonts w:ascii="Times New Roman" w:hAnsi="Times New Roman"/>
                <w:sz w:val="24"/>
                <w:szCs w:val="24"/>
                <w:u w:val="single"/>
              </w:rPr>
              <w:t>Lanit Amira v. Maimonides Hospital, et al.</w:t>
            </w:r>
            <w:r w:rsidRPr="005F4B3D">
              <w:rPr>
                <w:rFonts w:ascii="Times New Roman" w:hAnsi="Times New Roman"/>
                <w:sz w:val="24"/>
                <w:szCs w:val="24"/>
              </w:rPr>
              <w:t>, U.S. Magistrate Judge Taryn A. Merkl, U.S. District Court for Eastern District of New York, issued a Report and Recommendation that the psychiatric patient</w:t>
            </w:r>
            <w:r>
              <w:rPr>
                <w:rFonts w:ascii="Times New Roman" w:hAnsi="Times New Roman"/>
                <w:sz w:val="24"/>
                <w:szCs w:val="24"/>
              </w:rPr>
              <w:t>’</w:t>
            </w:r>
            <w:r w:rsidRPr="005F4B3D">
              <w:rPr>
                <w:rFonts w:ascii="Times New Roman" w:hAnsi="Times New Roman"/>
                <w:sz w:val="24"/>
                <w:szCs w:val="24"/>
              </w:rPr>
              <w:t xml:space="preserve">s lawsuit hospital failed to </w:t>
            </w:r>
            <w:r>
              <w:rPr>
                <w:rFonts w:ascii="Times New Roman" w:hAnsi="Times New Roman"/>
                <w:sz w:val="24"/>
                <w:szCs w:val="24"/>
              </w:rPr>
              <w:t xml:space="preserve">provide adequate medical screening before admitting her </w:t>
            </w:r>
            <w:r w:rsidRPr="005F4B3D">
              <w:rPr>
                <w:rFonts w:ascii="Times New Roman" w:hAnsi="Times New Roman"/>
                <w:sz w:val="24"/>
                <w:szCs w:val="24"/>
              </w:rPr>
              <w:t xml:space="preserve">must be dismissed since not filed within two years required by the 1986 </w:t>
            </w:r>
            <w:r w:rsidRPr="005F4B3D">
              <w:rPr>
                <w:rStyle w:val="field"/>
                <w:rFonts w:ascii="Times New Roman" w:hAnsi="Times New Roman"/>
                <w:sz w:val="24"/>
                <w:szCs w:val="24"/>
              </w:rPr>
              <w:t>Emergency Medical Treatment &amp; Labor Act (</w:t>
            </w:r>
            <w:r w:rsidRPr="005F4B3D">
              <w:rPr>
                <w:rFonts w:ascii="Times New Roman" w:hAnsi="Times New Roman"/>
                <w:sz w:val="24"/>
                <w:szCs w:val="24"/>
              </w:rPr>
              <w:t xml:space="preserve">EMTALA).  Plaintiff was at home on Dec. 10, </w:t>
            </w:r>
            <w:proofErr w:type="gramStart"/>
            <w:r w:rsidRPr="005F4B3D">
              <w:rPr>
                <w:rFonts w:ascii="Times New Roman" w:hAnsi="Times New Roman"/>
                <w:sz w:val="24"/>
                <w:szCs w:val="24"/>
              </w:rPr>
              <w:t>2018</w:t>
            </w:r>
            <w:proofErr w:type="gramEnd"/>
            <w:r w:rsidRPr="005F4B3D">
              <w:rPr>
                <w:rFonts w:ascii="Times New Roman" w:hAnsi="Times New Roman"/>
                <w:sz w:val="24"/>
                <w:szCs w:val="24"/>
              </w:rPr>
              <w:t xml:space="preserve"> when her mother called Hatzalah medics [Jewish based service]for medical assistance; her daughter had recently gone through a divorce and was concerned about her behavior “over the last few months.”  </w:t>
            </w:r>
            <w:r w:rsidRPr="002E745F">
              <w:rPr>
                <w:rFonts w:ascii="Times New Roman" w:eastAsia="Times New Roman" w:hAnsi="Times New Roman"/>
                <w:sz w:val="24"/>
                <w:szCs w:val="24"/>
              </w:rPr>
              <w:t>Hatzalah's medics</w:t>
            </w:r>
            <w:r w:rsidRPr="005F4B3D">
              <w:rPr>
                <w:rFonts w:ascii="Times New Roman" w:hAnsi="Times New Roman"/>
                <w:sz w:val="24"/>
                <w:szCs w:val="24"/>
              </w:rPr>
              <w:t xml:space="preserve"> at the Brooklyn home for two </w:t>
            </w:r>
            <w:proofErr w:type="gramStart"/>
            <w:r w:rsidRPr="005F4B3D">
              <w:rPr>
                <w:rFonts w:ascii="Times New Roman" w:hAnsi="Times New Roman"/>
                <w:sz w:val="24"/>
                <w:szCs w:val="24"/>
              </w:rPr>
              <w:t>hours, and</w:t>
            </w:r>
            <w:proofErr w:type="gramEnd"/>
            <w:r w:rsidRPr="005F4B3D">
              <w:rPr>
                <w:rFonts w:ascii="Times New Roman" w:hAnsi="Times New Roman"/>
                <w:sz w:val="24"/>
                <w:szCs w:val="24"/>
              </w:rPr>
              <w:t xml:space="preserve"> then called for back-up from Maimonides Hospital medics and NYPD. They eventually persuaded her to go to hospital ER in their ambulance. </w:t>
            </w:r>
            <w:r w:rsidRPr="002E745F">
              <w:rPr>
                <w:rFonts w:ascii="Times New Roman" w:eastAsia="Times New Roman" w:hAnsi="Times New Roman"/>
                <w:sz w:val="24"/>
                <w:szCs w:val="24"/>
              </w:rPr>
              <w:t xml:space="preserve">Plaintiff arrived at the emergency room around 5:00 p.m., at which point a nurse instructed her to change into a hospital robe and to place her belongings in a plastic </w:t>
            </w:r>
            <w:r>
              <w:rPr>
                <w:rFonts w:ascii="Times New Roman" w:eastAsia="Times New Roman" w:hAnsi="Times New Roman"/>
                <w:sz w:val="24"/>
                <w:szCs w:val="24"/>
              </w:rPr>
              <w:t>bag; a doctor spoke to her parents at the ER and admitted her (allegedly “without first speaking to” the plaintiff).  Plaintiff remained at hospital for three days, was administered medication, and discharged on Dec. 13, 2018.  She filed this lawsuit on July 6, 2021.  On Dec. 29, 2022, U.S. District Court Judge Rachel P. Kovner dismissed the case.</w:t>
            </w:r>
          </w:p>
        </w:tc>
        <w:tc>
          <w:tcPr>
            <w:tcW w:w="0" w:type="auto"/>
            <w:vAlign w:val="center"/>
          </w:tcPr>
          <w:p w14:paraId="0EC549C6" w14:textId="77777777" w:rsidR="00BA3CDE" w:rsidRDefault="00BA3CDE" w:rsidP="006901FD">
            <w:pPr>
              <w:rPr>
                <w:sz w:val="24"/>
                <w:szCs w:val="24"/>
              </w:rPr>
            </w:pPr>
          </w:p>
        </w:tc>
      </w:tr>
    </w:tbl>
    <w:p w14:paraId="7986058A" w14:textId="77777777" w:rsidR="00BA3CDE" w:rsidRDefault="00BA3CDE" w:rsidP="00BA3CDE">
      <w:pPr>
        <w:pStyle w:val="NormalWeb"/>
        <w:ind w:left="720" w:firstLine="60"/>
      </w:pPr>
      <w:r>
        <w:t xml:space="preserve">“With EMTALA, Congress created a federal cause of </w:t>
      </w:r>
      <w:proofErr w:type="gramStart"/>
      <w:r>
        <w:t>action, but</w:t>
      </w:r>
      <w:proofErr w:type="gramEnd"/>
      <w:r>
        <w:t xml:space="preserve"> also placed a strict limit on the </w:t>
      </w:r>
      <w:proofErr w:type="gramStart"/>
      <w:r>
        <w:t>time period</w:t>
      </w:r>
      <w:proofErr w:type="gramEnd"/>
      <w:r>
        <w:t xml:space="preserve"> under which medical providers could be held liable under its provisions. </w:t>
      </w:r>
      <w:proofErr w:type="gramStart"/>
      <w:r>
        <w:t>As a consequence</w:t>
      </w:r>
      <w:proofErr w:type="gramEnd"/>
      <w:r>
        <w:t>, Plaintiff's EMTALA claim was barred as of December 10, 2020, two years from the date of the alleged violation of the law's screening requirement, i.e., Maimonides's failure ‘to evaluate [Plaintiff] in the emergency room, prior to placing [her] under observation.’</w:t>
      </w:r>
    </w:p>
    <w:p w14:paraId="258F670F" w14:textId="77777777" w:rsidR="00BA3CDE" w:rsidRPr="00BA50D7" w:rsidRDefault="00BA3CDE" w:rsidP="00BA3CDE">
      <w:pPr>
        <w:pStyle w:val="NormalWeb"/>
        <w:ind w:firstLine="720"/>
      </w:pPr>
      <w:r w:rsidRPr="00BA50D7">
        <w:t>Footnote 11</w:t>
      </w:r>
    </w:p>
    <w:p w14:paraId="097181E5" w14:textId="77777777" w:rsidR="00BA3CDE" w:rsidRDefault="00BA3CDE" w:rsidP="00BA3CDE">
      <w:pPr>
        <w:pStyle w:val="NormalWeb"/>
        <w:ind w:left="720"/>
        <w:rPr>
          <w:vertAlign w:val="superscript"/>
        </w:rPr>
      </w:pPr>
      <w:r w:rsidRPr="00BA50D7">
        <w:t xml:space="preserve">To establish her EMTALA claim based on Maimonides's violation of the screening requirement, Plaintiff needed only to establish that she </w:t>
      </w:r>
      <w:r>
        <w:t>‘</w:t>
      </w:r>
      <w:r w:rsidRPr="00BA50D7">
        <w:t>show[ed] up for treatment at a hospital's emergency room</w:t>
      </w:r>
      <w:r>
        <w:t>’</w:t>
      </w:r>
      <w:r w:rsidRPr="00BA50D7">
        <w:t xml:space="preserve"> and that the hospital failed to </w:t>
      </w:r>
      <w:r>
        <w:t>‘</w:t>
      </w:r>
      <w:r w:rsidRPr="00BA50D7">
        <w:t>provide for an appropriate medical screening examination . . . to determine whether or not an emergency medical condition</w:t>
      </w:r>
      <w:r>
        <w:t>’</w:t>
      </w:r>
      <w:r w:rsidRPr="00BA50D7">
        <w:t xml:space="preserve"> existed. </w:t>
      </w:r>
      <w:r w:rsidRPr="00BA50D7">
        <w:rPr>
          <w:rStyle w:val="Emphasis"/>
        </w:rPr>
        <w:t>Hardy v. N.Y.C. Health &amp; Hosp. Corp.</w:t>
      </w:r>
      <w:r w:rsidRPr="00BA50D7">
        <w:t xml:space="preserve">, 164 F.3d 789, 792 (2d Cir. 1999). Since Plaintiff's allegations are that Maimonides failed to provide an examination at the emergency room </w:t>
      </w:r>
      <w:r w:rsidRPr="00BA50D7">
        <w:rPr>
          <w:rStyle w:val="Emphasis"/>
        </w:rPr>
        <w:t>whatsoever</w:t>
      </w:r>
      <w:r w:rsidRPr="00BA50D7">
        <w:t xml:space="preserve">, she necessarily knew the </w:t>
      </w:r>
      <w:r>
        <w:t>‘</w:t>
      </w:r>
      <w:r w:rsidRPr="00BA50D7">
        <w:t>critical facts of injury and causation</w:t>
      </w:r>
      <w:r>
        <w:t>’</w:t>
      </w:r>
      <w:r w:rsidRPr="00BA50D7">
        <w:t xml:space="preserve"> at such time. </w:t>
      </w:r>
      <w:r w:rsidRPr="00BA50D7">
        <w:rPr>
          <w:rStyle w:val="Emphasis"/>
        </w:rPr>
        <w:t>Kronisch</w:t>
      </w:r>
      <w:r w:rsidRPr="00BA50D7">
        <w:t xml:space="preserve">, 150 F.3d at 121. Accordingly, even if the discovery rule applies, Plaintiff's two-year clock began to run from the date of Maimonides's alleged EMTALA violation. The date Plaintiff </w:t>
      </w:r>
      <w:r>
        <w:t>‘</w:t>
      </w:r>
      <w:r w:rsidRPr="00BA50D7">
        <w:t>discovered</w:t>
      </w:r>
      <w:r>
        <w:t>’</w:t>
      </w:r>
      <w:r w:rsidRPr="00BA50D7">
        <w:t xml:space="preserve"> that there might be a federal claim on this basis is irrelevant.</w:t>
      </w:r>
      <w:r>
        <w:t xml:space="preserve">” </w:t>
      </w:r>
      <w:hyperlink r:id="rId2105" w:history="1">
        <w:r w:rsidRPr="00617AE0">
          <w:rPr>
            <w:rStyle w:val="Hyperlink"/>
            <w:rFonts w:eastAsiaTheme="majorEastAsia"/>
          </w:rPr>
          <w:t>https://public.fastcase.com/J%2FJP6pdidelsXxEE4k%2BLMmal3pmqwL2M3IcdBRYRq7H5oV2dmSosFOkL4d7k98jG9SuahbInE3n2tMql6kX0QUzRKtcMn83zHZ%2BG%2BG9ZYZQ%3D?utm_medium=email&amp;_hsmi=226712652&amp;_hsenc=p2ANqtz-9uf78hORTgLHe72Nq9qJz-C27iwk_m4r2mdnHF-ngJMSp_ULhMnmBHzq8bpBh7J7k34w9BngwpJd6Z97DDjhMn2bZMQA&amp;utm_content=226712652&amp;utm_source=hs_email</w:t>
        </w:r>
      </w:hyperlink>
      <w:r>
        <w:t xml:space="preserve"> </w:t>
      </w:r>
    </w:p>
    <w:p w14:paraId="6290E0B1" w14:textId="77777777" w:rsidR="00BA3CDE" w:rsidRDefault="00BA3CDE" w:rsidP="00BA3CDE">
      <w:pPr>
        <w:pStyle w:val="NormalWeb"/>
        <w:rPr>
          <w:sz w:val="20"/>
          <w:szCs w:val="20"/>
        </w:rPr>
      </w:pPr>
      <w:r w:rsidRPr="00453D7F">
        <w:rPr>
          <w:b/>
          <w:bCs/>
        </w:rPr>
        <w:t xml:space="preserve">Legal Lesson Learned: </w:t>
      </w:r>
      <w:r>
        <w:rPr>
          <w:b/>
          <w:bCs/>
        </w:rPr>
        <w:t xml:space="preserve"> Congress included </w:t>
      </w:r>
      <w:proofErr w:type="gramStart"/>
      <w:r>
        <w:rPr>
          <w:b/>
          <w:bCs/>
        </w:rPr>
        <w:t>two year</w:t>
      </w:r>
      <w:proofErr w:type="gramEnd"/>
      <w:r>
        <w:rPr>
          <w:b/>
          <w:bCs/>
        </w:rPr>
        <w:t xml:space="preserve"> statute of limitations in EMTALA so that hospitals can have timely notice to investigate and respond to patient allegations. </w:t>
      </w:r>
    </w:p>
    <w:p w14:paraId="6B08D079" w14:textId="77777777" w:rsidR="00BA3CDE" w:rsidRPr="00453D7F" w:rsidRDefault="00BA3CDE" w:rsidP="00BA3CDE">
      <w:pPr>
        <w:pStyle w:val="NormalWeb"/>
        <w:ind w:left="720"/>
      </w:pPr>
      <w:r w:rsidRPr="00453D7F">
        <w:t xml:space="preserve">Note: EMTALA also imposes a </w:t>
      </w:r>
      <w:r>
        <w:t xml:space="preserve">medical screening </w:t>
      </w:r>
      <w:r w:rsidRPr="00453D7F">
        <w:t xml:space="preserve">requirement. </w:t>
      </w:r>
      <w:r w:rsidRPr="00453D7F">
        <w:rPr>
          <w:rStyle w:val="Emphasis"/>
        </w:rPr>
        <w:t>See</w:t>
      </w:r>
      <w:r w:rsidRPr="00453D7F">
        <w:t xml:space="preserve"> 42 U.S.C. § 1395dd(b)</w:t>
      </w:r>
      <w:r>
        <w:t xml:space="preserve">. </w:t>
      </w:r>
      <w:hyperlink r:id="rId2106" w:history="1">
        <w:r w:rsidRPr="00617AE0">
          <w:rPr>
            <w:rStyle w:val="Hyperlink"/>
            <w:rFonts w:eastAsiaTheme="majorEastAsia"/>
          </w:rPr>
          <w:t>https://www.law.cornell.edu/uscode/text/42/1395dd</w:t>
        </w:r>
      </w:hyperlink>
      <w:r>
        <w:t xml:space="preserve"> </w:t>
      </w:r>
    </w:p>
    <w:p w14:paraId="4C329A8E" w14:textId="77777777" w:rsidR="00BA3CDE" w:rsidRPr="00453D7F" w:rsidRDefault="00BA3CDE" w:rsidP="00BA3CDE">
      <w:pPr>
        <w:ind w:left="720" w:firstLine="720"/>
        <w:rPr>
          <w:rFonts w:ascii="Times New Roman" w:hAnsi="Times New Roman"/>
          <w:sz w:val="24"/>
          <w:szCs w:val="24"/>
        </w:rPr>
      </w:pPr>
      <w:r w:rsidRPr="00453D7F">
        <w:rPr>
          <w:rStyle w:val="num"/>
          <w:rFonts w:ascii="Times New Roman" w:hAnsi="Times New Roman"/>
          <w:sz w:val="24"/>
          <w:szCs w:val="24"/>
        </w:rPr>
        <w:t>(a)</w:t>
      </w:r>
      <w:r w:rsidRPr="00453D7F">
        <w:rPr>
          <w:rStyle w:val="heading"/>
          <w:rFonts w:ascii="Times New Roman" w:hAnsi="Times New Roman"/>
          <w:sz w:val="24"/>
          <w:szCs w:val="24"/>
        </w:rPr>
        <w:t xml:space="preserve"> Medical screening requirement</w:t>
      </w:r>
      <w:r w:rsidRPr="00453D7F">
        <w:rPr>
          <w:rFonts w:ascii="Times New Roman" w:hAnsi="Times New Roman"/>
          <w:sz w:val="24"/>
          <w:szCs w:val="24"/>
        </w:rPr>
        <w:t xml:space="preserve"> </w:t>
      </w:r>
    </w:p>
    <w:p w14:paraId="4C60294E" w14:textId="77777777" w:rsidR="00BA3CDE" w:rsidRPr="00453D7F" w:rsidRDefault="00BA3CDE" w:rsidP="00BA3CDE">
      <w:pPr>
        <w:pStyle w:val="NormalWeb"/>
        <w:ind w:left="1440"/>
      </w:pPr>
      <w:r w:rsidRPr="00453D7F">
        <w:t xml:space="preserve">In the case of a </w:t>
      </w:r>
      <w:hyperlink r:id="rId2107" w:history="1">
        <w:r w:rsidRPr="00453D7F">
          <w:rPr>
            <w:rStyle w:val="Hyperlink"/>
            <w:rFonts w:eastAsiaTheme="majorEastAsia"/>
          </w:rPr>
          <w:t>hospital</w:t>
        </w:r>
      </w:hyperlink>
      <w:r w:rsidRPr="00453D7F">
        <w:t xml:space="preserve"> that has a </w:t>
      </w:r>
      <w:hyperlink r:id="rId2108" w:history="1">
        <w:r w:rsidRPr="00453D7F">
          <w:rPr>
            <w:rStyle w:val="Hyperlink"/>
            <w:rFonts w:eastAsiaTheme="majorEastAsia"/>
          </w:rPr>
          <w:t>hospital</w:t>
        </w:r>
      </w:hyperlink>
      <w:r w:rsidRPr="00453D7F">
        <w:t xml:space="preserve"> emergency department, if any individual (whether or not eligible for benefits under this subchapter) comes to the emergency department and a request is made on the individual’s behalf for examination or treatment for a medical condition, the </w:t>
      </w:r>
      <w:hyperlink r:id="rId2109" w:history="1">
        <w:r w:rsidRPr="00453D7F">
          <w:rPr>
            <w:rStyle w:val="Hyperlink"/>
            <w:rFonts w:eastAsiaTheme="majorEastAsia"/>
          </w:rPr>
          <w:t>hospital</w:t>
        </w:r>
      </w:hyperlink>
      <w:r w:rsidRPr="00453D7F">
        <w:t xml:space="preserve"> must provide for an</w:t>
      </w:r>
      <w:hyperlink r:id="rId2110" w:history="1">
        <w:r w:rsidRPr="00453D7F">
          <w:rPr>
            <w:rStyle w:val="Hyperlink"/>
            <w:rFonts w:eastAsiaTheme="majorEastAsia"/>
          </w:rPr>
          <w:t xml:space="preserve"> appropriate </w:t>
        </w:r>
      </w:hyperlink>
      <w:r w:rsidRPr="00453D7F">
        <w:t xml:space="preserve">medical screening examination within the capability of the </w:t>
      </w:r>
      <w:hyperlink r:id="rId2111" w:history="1">
        <w:r w:rsidRPr="00453D7F">
          <w:rPr>
            <w:rStyle w:val="Hyperlink"/>
            <w:rFonts w:eastAsiaTheme="majorEastAsia"/>
          </w:rPr>
          <w:t>hospital</w:t>
        </w:r>
      </w:hyperlink>
      <w:r w:rsidRPr="00453D7F">
        <w:t xml:space="preserve">’s emergency department, including ancillary services routinely available to the emergency department, to determine whether or not an </w:t>
      </w:r>
      <w:hyperlink r:id="rId2112" w:history="1">
        <w:r w:rsidRPr="00453D7F">
          <w:rPr>
            <w:rStyle w:val="Hyperlink"/>
            <w:rFonts w:eastAsiaTheme="majorEastAsia"/>
          </w:rPr>
          <w:t>emergency medical condition</w:t>
        </w:r>
      </w:hyperlink>
      <w:r w:rsidRPr="00453D7F">
        <w:t xml:space="preserve"> (within the meaning of subsection (e)(1)) exists.</w:t>
      </w:r>
    </w:p>
    <w:p w14:paraId="65D965B6" w14:textId="77777777" w:rsidR="00BA3CDE" w:rsidRDefault="00BA3CDE" w:rsidP="002B1283">
      <w:pPr>
        <w:rPr>
          <w:rFonts w:ascii="Arial Black" w:hAnsi="Arial Black"/>
          <w:b/>
          <w:bCs/>
          <w:sz w:val="28"/>
          <w:szCs w:val="28"/>
        </w:rPr>
      </w:pPr>
    </w:p>
    <w:p w14:paraId="7DCAC68C" w14:textId="77777777" w:rsidR="00BA3CDE" w:rsidRDefault="00BA3CDE" w:rsidP="002B1283">
      <w:pPr>
        <w:rPr>
          <w:rFonts w:ascii="Arial Black" w:hAnsi="Arial Black"/>
          <w:b/>
          <w:bCs/>
          <w:sz w:val="28"/>
          <w:szCs w:val="28"/>
        </w:rPr>
      </w:pPr>
    </w:p>
    <w:p w14:paraId="2980B602" w14:textId="7C1CF408" w:rsidR="00804F3A" w:rsidRDefault="00D47B53" w:rsidP="002B1283">
      <w:pPr>
        <w:rPr>
          <w:rFonts w:ascii="Arial Black" w:hAnsi="Arial Black"/>
          <w:b/>
          <w:bCs/>
          <w:sz w:val="28"/>
          <w:szCs w:val="28"/>
        </w:rPr>
      </w:pPr>
      <w:r>
        <w:rPr>
          <w:rFonts w:ascii="Arial Black" w:hAnsi="Arial Black"/>
          <w:b/>
          <w:bCs/>
          <w:sz w:val="28"/>
          <w:szCs w:val="28"/>
        </w:rPr>
        <w:t>13-130</w:t>
      </w:r>
    </w:p>
    <w:p w14:paraId="4E111451" w14:textId="77777777" w:rsidR="00D47B53" w:rsidRPr="00C5273B" w:rsidRDefault="00D47B53" w:rsidP="00D47B53">
      <w:pPr>
        <w:pStyle w:val="NormalWeb"/>
        <w:rPr>
          <w:rFonts w:ascii="Arial Black" w:hAnsi="Arial Black"/>
          <w:b/>
          <w:bCs/>
          <w:sz w:val="28"/>
          <w:szCs w:val="28"/>
        </w:rPr>
      </w:pPr>
      <w:r w:rsidRPr="00C5273B">
        <w:rPr>
          <w:rFonts w:ascii="Arial Black" w:hAnsi="Arial Black"/>
          <w:b/>
          <w:bCs/>
          <w:sz w:val="28"/>
          <w:szCs w:val="28"/>
        </w:rPr>
        <w:t>M</w:t>
      </w:r>
      <w:r>
        <w:rPr>
          <w:rFonts w:ascii="Arial Black" w:hAnsi="Arial Black"/>
          <w:b/>
          <w:bCs/>
          <w:sz w:val="28"/>
          <w:szCs w:val="28"/>
        </w:rPr>
        <w:t>I: INTOXICATED PERSON GUILTY ASSAULT MEDIC &amp; PD - EMS CAN DISREGARD DRUNK PATIENTS “REFUSAL” HELP</w:t>
      </w:r>
    </w:p>
    <w:p w14:paraId="00453954" w14:textId="77777777" w:rsidR="00D47B53" w:rsidRDefault="00D47B53" w:rsidP="00D47B53">
      <w:pPr>
        <w:pStyle w:val="NormalWeb"/>
      </w:pPr>
      <w:r>
        <w:t xml:space="preserve">On Nov. 17, 2022, in </w:t>
      </w:r>
      <w:r w:rsidRPr="00FF2F49">
        <w:rPr>
          <w:u w:val="single"/>
        </w:rPr>
        <w:t>People of the State of Michigan v. Sean Michael Pach</w:t>
      </w:r>
      <w:r>
        <w:t xml:space="preserve">, the Court of Appeals of Michigan held 3 to 0 (unpublished opinion) that jury properly found defendant guilty of assaulting both of police officer and a paramedic. Under Michigan statute, the medic lawfully determined that Pach would not be safe on his own and could therefore restrain him. </w:t>
      </w:r>
    </w:p>
    <w:p w14:paraId="7AB4ED15" w14:textId="77777777" w:rsidR="00D47B53" w:rsidRDefault="00D47B53" w:rsidP="00D47B53">
      <w:pPr>
        <w:pStyle w:val="NormalWeb"/>
        <w:ind w:left="720"/>
      </w:pPr>
      <w:r>
        <w:t>[T]</w:t>
      </w:r>
      <w:proofErr w:type="gramStart"/>
      <w:r>
        <w:t>he</w:t>
      </w:r>
      <w:proofErr w:type="gramEnd"/>
      <w:r>
        <w:t xml:space="preserve"> paramedic was acting in his capacity as a paramedic. He responded to the scene to aid Pach. The paramedic testified that if someone does not want his assistance, the person must answer his questions appropriately and sign a refusal form. Pach, however, failed to answer the questions and kept saying that he wanted to go home. Instead, as noted above, he was unable to take more than two steps before falling. The paramedic was not acting unlawfully when he helped stop Pach from hitting the ground and when he tried to convince him to sit down so he would not hurt himself. Moreover, viewed in the light most favorable to the jury verdict, there was sufficient evidence to find that the paramedic, exercising his professional judgment, lawfully determined that Pach would not be safe on his own. See MCL 333.20969 (providing that emergency medical services personnel must abide by the decision of the patient to refuse treatment or transportation unless ‘emergency medical services personnel, exercising professional judgment, determine that the individual's condition makes the individual incapable of competently objecting to treatment or transportation ....’). </w:t>
      </w:r>
    </w:p>
    <w:p w14:paraId="09F826DC" w14:textId="77777777" w:rsidR="00D47B53" w:rsidRDefault="00D47B53" w:rsidP="00D47B53">
      <w:pPr>
        <w:pStyle w:val="NormalWeb"/>
        <w:ind w:left="720"/>
      </w:pPr>
      <w:r>
        <w:t>***</w:t>
      </w:r>
    </w:p>
    <w:p w14:paraId="0FF77AE6" w14:textId="77777777" w:rsidR="00D47B53" w:rsidRPr="004203D5" w:rsidRDefault="00D47B53" w:rsidP="00D47B53">
      <w:pPr>
        <w:pStyle w:val="NormalWeb"/>
        <w:ind w:left="720"/>
      </w:pPr>
      <w:r>
        <w:t xml:space="preserve">In sum, there was sufficient evidence to support both convictions.”     </w:t>
      </w:r>
      <w:hyperlink r:id="rId2113" w:history="1">
        <w:r w:rsidRPr="002B6F66">
          <w:rPr>
            <w:rStyle w:val="Hyperlink"/>
            <w:rFonts w:eastAsiaTheme="majorEastAsia"/>
          </w:rPr>
          <w:t>https://law.justia.com/cases/michigan/court-of-appeals-unpublished/2022/359110.html</w:t>
        </w:r>
      </w:hyperlink>
      <w:r>
        <w:t xml:space="preserve"> </w:t>
      </w:r>
    </w:p>
    <w:p w14:paraId="6525C13D" w14:textId="77777777" w:rsidR="00D47B53" w:rsidRPr="004203D5" w:rsidRDefault="00D47B53" w:rsidP="00D47B53">
      <w:pPr>
        <w:pStyle w:val="NormalWeb"/>
        <w:rPr>
          <w:b/>
          <w:bCs/>
        </w:rPr>
      </w:pPr>
      <w:r w:rsidRPr="004203D5">
        <w:rPr>
          <w:b/>
          <w:bCs/>
        </w:rPr>
        <w:t xml:space="preserve">Legal Lesson Learned: Under Michigan law, </w:t>
      </w:r>
      <w:proofErr w:type="gramStart"/>
      <w:r w:rsidRPr="004203D5">
        <w:rPr>
          <w:b/>
          <w:bCs/>
        </w:rPr>
        <w:t>paramedic</w:t>
      </w:r>
      <w:proofErr w:type="gramEnd"/>
      <w:r w:rsidRPr="004203D5">
        <w:rPr>
          <w:b/>
          <w:bCs/>
        </w:rPr>
        <w:t xml:space="preserve"> had authority to disregard patient’s refusal of treatment if individual's condition makes the individual incapable of competently objecting to treatment or transportation.</w:t>
      </w:r>
    </w:p>
    <w:p w14:paraId="506202B9" w14:textId="55CD2987" w:rsidR="00D47B53" w:rsidRDefault="00D47B53" w:rsidP="002B1283">
      <w:pPr>
        <w:rPr>
          <w:rFonts w:ascii="Arial Black" w:hAnsi="Arial Black"/>
          <w:b/>
          <w:bCs/>
          <w:sz w:val="28"/>
          <w:szCs w:val="28"/>
        </w:rPr>
      </w:pPr>
      <w:r>
        <w:rPr>
          <w:rFonts w:ascii="Arial Black" w:hAnsi="Arial Black"/>
          <w:b/>
          <w:bCs/>
          <w:sz w:val="28"/>
          <w:szCs w:val="28"/>
        </w:rPr>
        <w:t>13-129</w:t>
      </w:r>
    </w:p>
    <w:p w14:paraId="39AC4F2E" w14:textId="77777777" w:rsidR="00D47B53" w:rsidRPr="00FA386C" w:rsidRDefault="00D47B53" w:rsidP="00D47B53">
      <w:pPr>
        <w:pStyle w:val="NormalWeb"/>
        <w:rPr>
          <w:rFonts w:ascii="Arial Black" w:hAnsi="Arial Black"/>
          <w:sz w:val="28"/>
          <w:szCs w:val="28"/>
        </w:rPr>
      </w:pPr>
      <w:r>
        <w:rPr>
          <w:rFonts w:ascii="Arial Black" w:hAnsi="Arial Black"/>
          <w:sz w:val="28"/>
          <w:szCs w:val="28"/>
        </w:rPr>
        <w:t>AR: KETAMINE, PATIENT DIED – NO PUNITIVE DAMAGES – NO EVIL INTENT BY MEDIC - EMERGENCY DECISION</w:t>
      </w:r>
    </w:p>
    <w:p w14:paraId="22667706" w14:textId="77777777" w:rsidR="00D47B53" w:rsidRDefault="00D47B53" w:rsidP="00D47B53">
      <w:pPr>
        <w:pStyle w:val="NormalWeb"/>
      </w:pPr>
      <w:r>
        <w:t xml:space="preserve">On Nov. 17, 2022, in </w:t>
      </w:r>
      <w:r w:rsidRPr="00FA386C">
        <w:rPr>
          <w:u w:val="single"/>
        </w:rPr>
        <w:t>Robert Steven Carter v. County of Pima, et al</w:t>
      </w:r>
      <w:r>
        <w:t xml:space="preserve">., U.S. District Court Judge John C. Hinderaker, United States District Court for District of Arizona, denied plaintiff’s request to add a claim for </w:t>
      </w:r>
      <w:r>
        <w:lastRenderedPageBreak/>
        <w:t>punitive damages.  Deceased David Cutler had been wandering in desert for over two hours, naked and covered in abrasions, when discovered by County Sheriff deputies, who resisted efforts to bring him down the hill.  Paramedic Reed administered ketamine.  “Here, Reed's alleged breach of Ketamine protocol, even when combined with other evidence and viewed most charitably for Plaintiffs, may establish gross negligence, but cannot establish that Reed acted with an ‘evil mind.’”</w:t>
      </w:r>
    </w:p>
    <w:p w14:paraId="4FF0D674" w14:textId="77777777" w:rsidR="00D47B53" w:rsidRDefault="00D47B53" w:rsidP="00D47B53">
      <w:pPr>
        <w:pStyle w:val="NormalWeb"/>
        <w:ind w:left="720"/>
      </w:pPr>
      <w:r>
        <w:t>“[P]</w:t>
      </w:r>
      <w:proofErr w:type="spellStart"/>
      <w:r>
        <w:t>laintiffs</w:t>
      </w:r>
      <w:proofErr w:type="spellEnd"/>
      <w:r>
        <w:t xml:space="preserve"> allege Reed went up the hill to David Cutler with a syringe of Ketamine, having decided in advance its use was warranted…. Plaintiffs also allege David Cutler's appearance when Reed arrived indicated hyperthermia rather than a need for Ketamine, but Reed nevertheless ignored the hyperthermia and proceeded to administer Ketamine…. Plaintiffs also allege Reed administered Ketamine without certain required resuscitative </w:t>
      </w:r>
      <w:proofErr w:type="gramStart"/>
      <w:r>
        <w:t>equipment, and</w:t>
      </w:r>
      <w:proofErr w:type="gramEnd"/>
      <w:r>
        <w:t xml:space="preserve"> may have injected more than the established limit…. Plaintiffs also allege David Cutler's respiratory arrest was ‘the exact risk identified’ for Ketamine administration, and Reed could not adequately treat it for lack of proper equipment on hand…. Finally, Plaintiffs allege that Reed's statement that he ‘would do it the exact same </w:t>
      </w:r>
      <w:proofErr w:type="spellStart"/>
      <w:r>
        <w:t>way’again</w:t>
      </w:r>
      <w:proofErr w:type="spellEnd"/>
      <w:r>
        <w:t xml:space="preserve"> indicates Reed ‘has not learned his lesson,’ and poses a threat to future patients. </w:t>
      </w:r>
    </w:p>
    <w:p w14:paraId="655FFF99" w14:textId="77777777" w:rsidR="00D47B53" w:rsidRDefault="00D47B53" w:rsidP="00D47B53">
      <w:pPr>
        <w:pStyle w:val="NormalWeb"/>
      </w:pPr>
      <w:r>
        <w:tab/>
        <w:t>***</w:t>
      </w:r>
    </w:p>
    <w:p w14:paraId="74595F0C" w14:textId="2EDD7A28" w:rsidR="00D47B53" w:rsidRPr="00D47B53" w:rsidRDefault="00D47B53" w:rsidP="00D47B53">
      <w:pPr>
        <w:ind w:left="720"/>
        <w:rPr>
          <w:rFonts w:ascii="Times New Roman" w:hAnsi="Times New Roman"/>
          <w:b/>
          <w:bCs/>
          <w:sz w:val="24"/>
          <w:szCs w:val="24"/>
        </w:rPr>
      </w:pPr>
      <w:r w:rsidRPr="00D47B53">
        <w:rPr>
          <w:rFonts w:ascii="Times New Roman" w:hAnsi="Times New Roman"/>
          <w:sz w:val="24"/>
          <w:szCs w:val="24"/>
        </w:rPr>
        <w:t xml:space="preserve">These allegations do not amount to ‘outrageous’ conduct for several reasons. First, Plaintiffs' evidence, even if proved, likely establishes Reed's behavior created only a risk of harm, not a" </w:t>
      </w:r>
      <w:r w:rsidRPr="00D47B53">
        <w:rPr>
          <w:rStyle w:val="Emphasis"/>
          <w:rFonts w:ascii="Times New Roman" w:hAnsi="Times New Roman"/>
          <w:sz w:val="24"/>
          <w:szCs w:val="24"/>
        </w:rPr>
        <w:t>substantial</w:t>
      </w:r>
      <w:r w:rsidRPr="00D47B53">
        <w:rPr>
          <w:rFonts w:ascii="Times New Roman" w:hAnsi="Times New Roman"/>
          <w:sz w:val="24"/>
          <w:szCs w:val="24"/>
        </w:rPr>
        <w:t>" risk of harm. Plaintiffs refer to respiratory depression as "an adverse effect" of Ketamine, and to excessive salivation as "a potential adverse effect" of Ketamine, but do not allege these effects are highly likely or substantially certain. (</w:t>
      </w:r>
      <w:r w:rsidRPr="00D47B53">
        <w:rPr>
          <w:rStyle w:val="Emphasis"/>
          <w:rFonts w:ascii="Times New Roman" w:hAnsi="Times New Roman"/>
          <w:sz w:val="24"/>
          <w:szCs w:val="24"/>
        </w:rPr>
        <w:t>See</w:t>
      </w:r>
      <w:r w:rsidRPr="00D47B53">
        <w:rPr>
          <w:rFonts w:ascii="Times New Roman" w:hAnsi="Times New Roman"/>
          <w:sz w:val="24"/>
          <w:szCs w:val="24"/>
        </w:rPr>
        <w:t xml:space="preserve"> Doc. 256 at 1-2.) Second, Plaintiffs' evidence, even if proved, cannot establish" </w:t>
      </w:r>
      <w:r w:rsidRPr="00D47B53">
        <w:rPr>
          <w:rStyle w:val="Emphasis"/>
          <w:rFonts w:ascii="Times New Roman" w:hAnsi="Times New Roman"/>
          <w:sz w:val="24"/>
          <w:szCs w:val="24"/>
        </w:rPr>
        <w:t>conscious</w:t>
      </w:r>
      <w:r w:rsidRPr="00D47B53">
        <w:rPr>
          <w:rFonts w:ascii="Times New Roman" w:hAnsi="Times New Roman"/>
          <w:sz w:val="24"/>
          <w:szCs w:val="24"/>
        </w:rPr>
        <w:t xml:space="preserve">" and" </w:t>
      </w:r>
      <w:r w:rsidRPr="00D47B53">
        <w:rPr>
          <w:rStyle w:val="Emphasis"/>
          <w:rFonts w:ascii="Times New Roman" w:hAnsi="Times New Roman"/>
          <w:sz w:val="24"/>
          <w:szCs w:val="24"/>
        </w:rPr>
        <w:t>deliberate</w:t>
      </w:r>
      <w:r w:rsidRPr="00D47B53">
        <w:rPr>
          <w:rFonts w:ascii="Times New Roman" w:hAnsi="Times New Roman"/>
          <w:sz w:val="24"/>
          <w:szCs w:val="24"/>
        </w:rPr>
        <w:t xml:space="preserve">" disregard of David Cutler's interests. Any course of emergency treatment involves risk. Healthcare providers must act with incomplete information in highly uncertain environments. They do not disregard a person's interests merely by making a judgment call under difficult, emergency circumstances. Failing to act or </w:t>
      </w:r>
      <w:proofErr w:type="gramStart"/>
      <w:r w:rsidRPr="00D47B53">
        <w:rPr>
          <w:rFonts w:ascii="Times New Roman" w:hAnsi="Times New Roman"/>
          <w:sz w:val="24"/>
          <w:szCs w:val="24"/>
        </w:rPr>
        <w:t>acting</w:t>
      </w:r>
      <w:proofErr w:type="gramEnd"/>
      <w:r w:rsidRPr="00D47B53">
        <w:rPr>
          <w:rFonts w:ascii="Times New Roman" w:hAnsi="Times New Roman"/>
          <w:sz w:val="24"/>
          <w:szCs w:val="24"/>
        </w:rPr>
        <w:t xml:space="preserve"> differently would involve other risks. In hindsight, the balance may be clearer. But liability does not follow armchair clarity. Plaintiffs' evidence arguably tends to show that Reed consciously chose a course of treatment with certain risks over other courses of treatment with other risks. That is not enough for conscious or deliberate disregard. Third, Plaintiffs' evidence does not establish "something more" than gross negligence….  </w:t>
      </w:r>
      <w:hyperlink r:id="rId2114" w:history="1">
        <w:r w:rsidRPr="00D47B53">
          <w:rPr>
            <w:rStyle w:val="Hyperlink"/>
            <w:rFonts w:ascii="Times New Roman" w:eastAsiaTheme="majorEastAsia" w:hAnsi="Times New Roman"/>
            <w:sz w:val="24"/>
            <w:szCs w:val="24"/>
          </w:rPr>
          <w:t>https://public.fastcase.com/J%2FJP6pdidelsXxEE4k%2BLMqK%2F7dEyjXc%2F7MSStJKYdkuUI2%2BsluBCAbCgNdX488UO%2BveqO8oLQ0RNBWqaiEFfWGkDgcs9M5oh9hj%2FtPj21RY%3D?utm_medium=email&amp;_hsmi=226712652&amp;_hsenc=p2ANqtz-9TZeiC7Qp2HA_ZU4GxpYYZhIBONOkNnO3yTlBCsoF00PWMECQ5punx4hjGs90LCim5ScH4TNtnDpd9JYQeMwpFQeZwiA&amp;utm_content=226712652&amp;utm_source=hs_email</w:t>
        </w:r>
      </w:hyperlink>
    </w:p>
    <w:p w14:paraId="46B2D21C" w14:textId="77777777" w:rsidR="00D47B53" w:rsidRPr="00C5273B" w:rsidRDefault="00D47B53" w:rsidP="00D47B53">
      <w:pPr>
        <w:pStyle w:val="paragraph"/>
        <w:rPr>
          <w:b/>
          <w:bCs/>
        </w:rPr>
      </w:pPr>
      <w:r w:rsidRPr="00C5273B">
        <w:rPr>
          <w:b/>
          <w:bCs/>
        </w:rPr>
        <w:t>Legal Lesson Learned:</w:t>
      </w:r>
      <w:r>
        <w:rPr>
          <w:b/>
          <w:bCs/>
        </w:rPr>
        <w:t xml:space="preserve"> No evil intent by the paramedic; no punitive damages claim.</w:t>
      </w:r>
    </w:p>
    <w:p w14:paraId="65880C0A" w14:textId="77777777" w:rsidR="00D47B53" w:rsidRDefault="00D47B53" w:rsidP="002B1283">
      <w:pPr>
        <w:rPr>
          <w:rFonts w:ascii="Arial Black" w:hAnsi="Arial Black"/>
          <w:b/>
          <w:bCs/>
          <w:sz w:val="28"/>
          <w:szCs w:val="28"/>
        </w:rPr>
      </w:pPr>
    </w:p>
    <w:p w14:paraId="3268B8E2" w14:textId="77777777" w:rsidR="00D47B53" w:rsidRDefault="00D47B53" w:rsidP="002B1283">
      <w:pPr>
        <w:rPr>
          <w:rFonts w:ascii="Arial Black" w:hAnsi="Arial Black"/>
          <w:b/>
          <w:bCs/>
          <w:sz w:val="28"/>
          <w:szCs w:val="28"/>
        </w:rPr>
      </w:pPr>
    </w:p>
    <w:p w14:paraId="12B50CA5" w14:textId="77777777" w:rsidR="00D47B53" w:rsidRDefault="00D47B53" w:rsidP="002B1283">
      <w:pPr>
        <w:rPr>
          <w:rFonts w:ascii="Arial Black" w:hAnsi="Arial Black"/>
          <w:b/>
          <w:bCs/>
          <w:sz w:val="28"/>
          <w:szCs w:val="28"/>
        </w:rPr>
      </w:pPr>
    </w:p>
    <w:p w14:paraId="47E64CC3" w14:textId="7689775C" w:rsidR="00804F3A" w:rsidRDefault="00804F3A" w:rsidP="002B1283">
      <w:pPr>
        <w:rPr>
          <w:rFonts w:ascii="Arial Black" w:hAnsi="Arial Black"/>
          <w:b/>
          <w:bCs/>
          <w:sz w:val="28"/>
          <w:szCs w:val="28"/>
        </w:rPr>
      </w:pPr>
      <w:r>
        <w:rPr>
          <w:rFonts w:ascii="Arial Black" w:hAnsi="Arial Black"/>
          <w:b/>
          <w:bCs/>
          <w:sz w:val="28"/>
          <w:szCs w:val="28"/>
        </w:rPr>
        <w:t>13-128</w:t>
      </w:r>
    </w:p>
    <w:p w14:paraId="714CF55A" w14:textId="77777777" w:rsidR="00804F3A" w:rsidRPr="009B2CF3" w:rsidRDefault="00804F3A" w:rsidP="00804F3A">
      <w:pPr>
        <w:pStyle w:val="NormalWeb"/>
        <w:rPr>
          <w:rFonts w:ascii="Arial Black" w:hAnsi="Arial Black"/>
          <w:sz w:val="28"/>
          <w:szCs w:val="28"/>
        </w:rPr>
      </w:pPr>
      <w:r w:rsidRPr="009B2CF3">
        <w:rPr>
          <w:rFonts w:ascii="Arial Black" w:hAnsi="Arial Black"/>
          <w:sz w:val="28"/>
          <w:szCs w:val="28"/>
        </w:rPr>
        <w:lastRenderedPageBreak/>
        <w:t>OK</w:t>
      </w:r>
      <w:r>
        <w:rPr>
          <w:rFonts w:ascii="Arial Black" w:hAnsi="Arial Black"/>
          <w:sz w:val="28"/>
          <w:szCs w:val="28"/>
        </w:rPr>
        <w:t>: SEIZURE PATIENT RESTRAINED – ASKED PD TO HANDCUFF – DIED AT SCENE – NO 4</w:t>
      </w:r>
      <w:r w:rsidRPr="00E13796">
        <w:rPr>
          <w:rFonts w:ascii="Arial Black" w:hAnsi="Arial Black"/>
          <w:sz w:val="28"/>
          <w:szCs w:val="28"/>
          <w:vertAlign w:val="superscript"/>
        </w:rPr>
        <w:t>th</w:t>
      </w:r>
      <w:r>
        <w:rPr>
          <w:rFonts w:ascii="Arial Black" w:hAnsi="Arial Black"/>
          <w:sz w:val="28"/>
          <w:szCs w:val="28"/>
        </w:rPr>
        <w:t xml:space="preserve"> AMEND VIOL. </w:t>
      </w:r>
    </w:p>
    <w:p w14:paraId="306D5EBB" w14:textId="77777777" w:rsidR="00804F3A" w:rsidRDefault="00804F3A" w:rsidP="00804F3A">
      <w:pPr>
        <w:spacing w:before="100" w:beforeAutospacing="1" w:after="100" w:afterAutospacing="1" w:line="240" w:lineRule="auto"/>
        <w:outlineLvl w:val="0"/>
        <w:rPr>
          <w:rFonts w:ascii="Times New Roman" w:hAnsi="Times New Roman"/>
          <w:sz w:val="24"/>
          <w:szCs w:val="24"/>
        </w:rPr>
      </w:pPr>
      <w:r w:rsidRPr="00E13796">
        <w:rPr>
          <w:rFonts w:ascii="Times New Roman" w:hAnsi="Times New Roman"/>
          <w:sz w:val="24"/>
          <w:szCs w:val="24"/>
        </w:rPr>
        <w:t xml:space="preserve">On Oct. 28, 2022, in </w:t>
      </w:r>
      <w:r w:rsidRPr="00E13796">
        <w:rPr>
          <w:rFonts w:ascii="Times New Roman" w:hAnsi="Times New Roman"/>
          <w:sz w:val="24"/>
          <w:szCs w:val="24"/>
          <w:u w:val="single"/>
        </w:rPr>
        <w:t>Charles Kaleb Vanlandingham, Administrator for the Estate of Charles Lamar Vanlandingham v, City of Oklahoma City</w:t>
      </w:r>
      <w:r w:rsidRPr="00E13796">
        <w:rPr>
          <w:rFonts w:ascii="Times New Roman" w:hAnsi="Times New Roman"/>
          <w:sz w:val="24"/>
          <w:szCs w:val="24"/>
        </w:rPr>
        <w:t xml:space="preserve">, U.S. District Court Chief Judge Timothy D. </w:t>
      </w:r>
      <w:proofErr w:type="spellStart"/>
      <w:r w:rsidRPr="00E13796">
        <w:rPr>
          <w:rFonts w:ascii="Times New Roman" w:hAnsi="Times New Roman"/>
          <w:sz w:val="24"/>
          <w:szCs w:val="24"/>
        </w:rPr>
        <w:t>Degiusti</w:t>
      </w:r>
      <w:proofErr w:type="spellEnd"/>
      <w:r w:rsidRPr="00E13796">
        <w:rPr>
          <w:rFonts w:ascii="Times New Roman" w:hAnsi="Times New Roman"/>
          <w:sz w:val="24"/>
          <w:szCs w:val="24"/>
        </w:rPr>
        <w:t xml:space="preserve">, Western District of Oklahoma, granted the EMS and firefighters motion to dismiss; they enjoy qualified immunity. </w:t>
      </w:r>
    </w:p>
    <w:p w14:paraId="32D35ABE" w14:textId="6ED7E819" w:rsidR="00804F3A" w:rsidRDefault="00804F3A" w:rsidP="00804F3A">
      <w:pPr>
        <w:rPr>
          <w:rFonts w:ascii="Arial Black" w:hAnsi="Arial Black"/>
          <w:b/>
          <w:bCs/>
          <w:sz w:val="28"/>
          <w:szCs w:val="28"/>
        </w:rPr>
      </w:pPr>
      <w:r>
        <w:rPr>
          <w:rFonts w:ascii="Times New Roman" w:eastAsia="Times New Roman" w:hAnsi="Times New Roman"/>
          <w:sz w:val="24"/>
          <w:szCs w:val="24"/>
        </w:rPr>
        <w:t>“</w:t>
      </w:r>
      <w:r w:rsidRPr="00E13796">
        <w:rPr>
          <w:rFonts w:ascii="Times New Roman" w:eastAsia="Times New Roman" w:hAnsi="Times New Roman"/>
          <w:sz w:val="24"/>
          <w:szCs w:val="24"/>
        </w:rPr>
        <w:t>Accepting the factual allegations of the Second Amended Complaint and viewing them in the light most favorable to Plaintiff, the Court finds that Plaintiff has failed to allege sufficient facts to show a Fourth Amendment violation by Firefighters. Therefore, the Court finds that the Second Amended Complaint fails to state a plausible § 1983 claim of unlawful seizure or excessive force against Firefighters.</w:t>
      </w:r>
      <w:r>
        <w:rPr>
          <w:rFonts w:ascii="Times New Roman" w:eastAsia="Times New Roman" w:hAnsi="Times New Roman"/>
          <w:sz w:val="24"/>
          <w:szCs w:val="24"/>
        </w:rPr>
        <w:t xml:space="preserve">” </w:t>
      </w:r>
      <w:hyperlink r:id="rId2115" w:history="1">
        <w:r w:rsidRPr="007662E8">
          <w:rPr>
            <w:rStyle w:val="Hyperlink"/>
            <w:rFonts w:ascii="Times New Roman" w:eastAsia="Times New Roman" w:hAnsi="Times New Roman"/>
            <w:kern w:val="36"/>
          </w:rPr>
          <w:t>https://public.fastcase.com/J%2FJP6pdidelsXxEE4k%2BLMv5wihlcRVj4L9YHbnV6MVAF3KBJWQtSNgsG4EjgakbdHjeAvtzGQxxiofGv8pQP2WzdDBJrvHehgIHwsEqWl4I%3D?utm_medium=email&amp;_hsmi=226712652&amp;_hsenc=p2ANqtz-8bxe8uEVUAEFxEuakn9lUGLQUwlcgKmV3pJL4LaqF4K3hrnG0m_YdcBfrpGQgthbsaGFQPAZbt-ltRFFMr5oynBxpKXA&amp;utm_content=226712652&amp;utm_source=hs_email</w:t>
        </w:r>
      </w:hyperlink>
    </w:p>
    <w:p w14:paraId="4BF1746E" w14:textId="77777777" w:rsidR="00804F3A" w:rsidRPr="00E13796" w:rsidRDefault="00804F3A" w:rsidP="00804F3A">
      <w:pPr>
        <w:pStyle w:val="NormalWeb"/>
        <w:rPr>
          <w:b/>
          <w:bCs/>
        </w:rPr>
      </w:pPr>
      <w:r w:rsidRPr="00E13796">
        <w:rPr>
          <w:b/>
          <w:bCs/>
        </w:rPr>
        <w:t>Legal Lesson Learned: EMS patient restraint protocols</w:t>
      </w:r>
      <w:r>
        <w:rPr>
          <w:b/>
          <w:bCs/>
        </w:rPr>
        <w:t xml:space="preserve"> may include requesting law enforcement assistance. </w:t>
      </w:r>
    </w:p>
    <w:p w14:paraId="67C3C6F7" w14:textId="3824DFC7" w:rsidR="00804F3A" w:rsidRDefault="00804F3A" w:rsidP="002B1283">
      <w:pPr>
        <w:rPr>
          <w:rFonts w:ascii="Arial Black" w:hAnsi="Arial Black"/>
          <w:b/>
          <w:bCs/>
          <w:sz w:val="28"/>
          <w:szCs w:val="28"/>
        </w:rPr>
      </w:pPr>
    </w:p>
    <w:p w14:paraId="79A9AAC8" w14:textId="2B8D6D1E" w:rsidR="00804F3A" w:rsidRDefault="00804F3A" w:rsidP="002B1283">
      <w:pPr>
        <w:rPr>
          <w:rFonts w:ascii="Arial Black" w:hAnsi="Arial Black"/>
          <w:b/>
          <w:bCs/>
          <w:sz w:val="28"/>
          <w:szCs w:val="28"/>
        </w:rPr>
      </w:pPr>
      <w:r>
        <w:rPr>
          <w:rFonts w:ascii="Arial Black" w:hAnsi="Arial Black"/>
          <w:b/>
          <w:bCs/>
          <w:sz w:val="28"/>
          <w:szCs w:val="28"/>
        </w:rPr>
        <w:t>13-125</w:t>
      </w:r>
    </w:p>
    <w:p w14:paraId="723A8F21" w14:textId="77777777" w:rsidR="00804F3A" w:rsidRPr="00E869A2" w:rsidRDefault="00804F3A" w:rsidP="00804F3A">
      <w:pPr>
        <w:pStyle w:val="NormalWeb"/>
        <w:rPr>
          <w:rFonts w:ascii="Arial Black" w:hAnsi="Arial Black"/>
          <w:sz w:val="28"/>
          <w:szCs w:val="28"/>
        </w:rPr>
      </w:pPr>
      <w:r>
        <w:rPr>
          <w:rFonts w:ascii="Arial Black" w:hAnsi="Arial Black"/>
          <w:sz w:val="28"/>
          <w:szCs w:val="28"/>
        </w:rPr>
        <w:t>MI: CPD PATIENT REFUSED TRANSPORT - NO REFUSAL FORM SIGNED – 2</w:t>
      </w:r>
      <w:r w:rsidRPr="002F1DB2">
        <w:rPr>
          <w:rFonts w:ascii="Arial Black" w:hAnsi="Arial Black"/>
          <w:sz w:val="28"/>
          <w:szCs w:val="28"/>
          <w:vertAlign w:val="superscript"/>
        </w:rPr>
        <w:t>nd</w:t>
      </w:r>
      <w:r>
        <w:rPr>
          <w:rFonts w:ascii="Arial Black" w:hAnsi="Arial Black"/>
          <w:sz w:val="28"/>
          <w:szCs w:val="28"/>
        </w:rPr>
        <w:t xml:space="preserve"> CALL, DIED CARDIAC - EMS IMMUNITY </w:t>
      </w:r>
    </w:p>
    <w:p w14:paraId="4B91EB7C" w14:textId="77777777" w:rsidR="00804F3A" w:rsidRDefault="00804F3A" w:rsidP="00804F3A">
      <w:pPr>
        <w:pStyle w:val="NormalWeb"/>
      </w:pPr>
      <w:r w:rsidRPr="00E869A2">
        <w:t xml:space="preserve">On Oct. 27, 2022, in </w:t>
      </w:r>
      <w:r w:rsidRPr="00815A5D">
        <w:rPr>
          <w:u w:val="single"/>
        </w:rPr>
        <w:t>Myra Buffington, Personal Representative of the Estate of Maurice Freeman v, Alic Layne, Ryan Cook and City of Detroit</w:t>
      </w:r>
      <w:r w:rsidRPr="00E869A2">
        <w:t>, the C</w:t>
      </w:r>
      <w:r>
        <w:t xml:space="preserve">ourt of Appeals of Michigan held (3 to 0), unpublished opinion, that trial court properly granted summary judgment to the defendants, since there was no evidence of gross negligence, even if the Medics didn’t get a signed refusal form. </w:t>
      </w:r>
    </w:p>
    <w:p w14:paraId="3803CFAF" w14:textId="77777777" w:rsidR="00804F3A" w:rsidRDefault="00804F3A" w:rsidP="00804F3A">
      <w:pPr>
        <w:spacing w:after="100" w:line="240" w:lineRule="auto"/>
        <w:ind w:left="720"/>
      </w:pPr>
      <w:r>
        <w:rPr>
          <w:rFonts w:ascii="Times New Roman" w:eastAsia="Times New Roman" w:hAnsi="Times New Roman"/>
          <w:sz w:val="24"/>
          <w:szCs w:val="24"/>
        </w:rPr>
        <w:t>“</w:t>
      </w:r>
      <w:r w:rsidRPr="006F70A6">
        <w:rPr>
          <w:rFonts w:ascii="Times New Roman" w:eastAsia="Times New Roman" w:hAnsi="Times New Roman"/>
          <w:sz w:val="24"/>
          <w:szCs w:val="24"/>
        </w:rPr>
        <w:t>Bad things happen in the world. In a world of accountability, everybody likes to point fingers and sit in judgment. The real world is a different place than the comfort of an office sitting behind a computer. Fault by which humans can be held legally liable does not always flow from bad things happening in the real world. While Mr. Freeman's death is tragic, an even greater tragedy is pinning blame (gross negligence/willful misconduct) on EMS techs doing a difficult job under trying circumstances. Those of us fortunate to sit in the relative comfort and safety of offices on our computers using big fancy words like gross negligence, should keep in mind, as we are tasked with determining legal liability for folks in the real world, that tragic results are not always avoidable and don't always equate with the high bar of gross negligence.</w:t>
      </w:r>
      <w:r>
        <w:rPr>
          <w:rFonts w:ascii="Times New Roman" w:eastAsia="Times New Roman" w:hAnsi="Times New Roman"/>
          <w:sz w:val="24"/>
          <w:szCs w:val="24"/>
        </w:rPr>
        <w:t xml:space="preserve">” </w:t>
      </w:r>
      <w:r>
        <w:t xml:space="preserve"> </w:t>
      </w:r>
      <w:hyperlink r:id="rId2116" w:history="1">
        <w:r w:rsidRPr="00A7079D">
          <w:rPr>
            <w:rStyle w:val="Hyperlink"/>
            <w:rFonts w:eastAsiaTheme="majorEastAsia"/>
          </w:rPr>
          <w:t>https://law.justia.com/cases/michigan/court-of-appeals-unpublished/2022/357887.html</w:t>
        </w:r>
      </w:hyperlink>
      <w:r>
        <w:t xml:space="preserve"> </w:t>
      </w:r>
    </w:p>
    <w:p w14:paraId="453249F9" w14:textId="77777777" w:rsidR="00804F3A" w:rsidRPr="00815A5D" w:rsidRDefault="00804F3A" w:rsidP="00804F3A">
      <w:pPr>
        <w:pStyle w:val="NormalWeb"/>
        <w:rPr>
          <w:b/>
          <w:bCs/>
        </w:rPr>
      </w:pPr>
      <w:r w:rsidRPr="00815A5D">
        <w:rPr>
          <w:b/>
          <w:bCs/>
        </w:rPr>
        <w:t>Legal Lesson Learned:</w:t>
      </w:r>
      <w:r>
        <w:rPr>
          <w:b/>
          <w:bCs/>
        </w:rPr>
        <w:t xml:space="preserve"> Use the Refusal Form or document why patient would not sign; reduce risk of litigation. </w:t>
      </w:r>
    </w:p>
    <w:p w14:paraId="6B9FF302" w14:textId="77777777" w:rsidR="00804F3A" w:rsidRDefault="00804F3A" w:rsidP="002B1283">
      <w:pPr>
        <w:rPr>
          <w:rFonts w:ascii="Arial Black" w:hAnsi="Arial Black"/>
          <w:b/>
          <w:bCs/>
          <w:sz w:val="28"/>
          <w:szCs w:val="28"/>
        </w:rPr>
      </w:pPr>
    </w:p>
    <w:p w14:paraId="4D45F257" w14:textId="77777777" w:rsidR="00804F3A" w:rsidRDefault="00804F3A" w:rsidP="002B1283">
      <w:pPr>
        <w:rPr>
          <w:rFonts w:ascii="Arial Black" w:hAnsi="Arial Black"/>
          <w:b/>
          <w:bCs/>
          <w:sz w:val="28"/>
          <w:szCs w:val="28"/>
        </w:rPr>
      </w:pPr>
    </w:p>
    <w:p w14:paraId="3449B5A5" w14:textId="691BBA37" w:rsidR="00AC5FED" w:rsidRDefault="00755E16" w:rsidP="002B1283">
      <w:pPr>
        <w:rPr>
          <w:rFonts w:ascii="Arial Black" w:hAnsi="Arial Black"/>
          <w:b/>
          <w:bCs/>
          <w:sz w:val="28"/>
          <w:szCs w:val="28"/>
        </w:rPr>
      </w:pPr>
      <w:r>
        <w:rPr>
          <w:rFonts w:ascii="Arial Black" w:hAnsi="Arial Black"/>
          <w:b/>
          <w:bCs/>
          <w:sz w:val="28"/>
          <w:szCs w:val="28"/>
        </w:rPr>
        <w:lastRenderedPageBreak/>
        <w:t>13-126</w:t>
      </w:r>
    </w:p>
    <w:p w14:paraId="3B78DAF4" w14:textId="77777777" w:rsidR="00755E16" w:rsidRDefault="00755E16" w:rsidP="00755E16">
      <w:pPr>
        <w:pStyle w:val="NormalWeb"/>
        <w:rPr>
          <w:rFonts w:ascii="Arial Black" w:hAnsi="Arial Black"/>
          <w:sz w:val="28"/>
          <w:szCs w:val="28"/>
        </w:rPr>
      </w:pPr>
      <w:bookmarkStart w:id="439" w:name="_Hlk115616390"/>
      <w:r>
        <w:rPr>
          <w:rFonts w:ascii="Arial Black" w:hAnsi="Arial Black"/>
          <w:sz w:val="28"/>
          <w:szCs w:val="28"/>
        </w:rPr>
        <w:t>CA: MENTAL PATIENT JUMPS OUT MOVING AMBUL. - NO SHOULDER HARNESS, DOORS UNLOCKED – CASE PROCEED</w:t>
      </w:r>
    </w:p>
    <w:p w14:paraId="267487CD" w14:textId="77777777" w:rsidR="00755E16" w:rsidRDefault="00755E16" w:rsidP="00755E16">
      <w:pPr>
        <w:pStyle w:val="NormalWeb"/>
      </w:pPr>
      <w:r>
        <w:t xml:space="preserve">On Sept. 29, 2022, in </w:t>
      </w:r>
      <w:r>
        <w:rPr>
          <w:u w:val="single"/>
        </w:rPr>
        <w:t>T.L., a Minor v. City Ambulance of Eureka, Inc</w:t>
      </w:r>
      <w:r>
        <w:t xml:space="preserve">., the California Court of Appeals, First District (First Division), held (3 to 0) that the trial court should not have granted summary judgment to the ambulance company and two EMS; lawsuit to proceed.   </w:t>
      </w:r>
    </w:p>
    <w:p w14:paraId="5F8A900C" w14:textId="77777777" w:rsidR="00755E16" w:rsidRDefault="00755E16" w:rsidP="00755E16">
      <w:pPr>
        <w:pStyle w:val="NormalWeb"/>
        <w:ind w:left="720"/>
      </w:pPr>
      <w:r>
        <w:t xml:space="preserve">“In short, as plaintiff has argued the case on appeal, and </w:t>
      </w:r>
      <w:proofErr w:type="gramStart"/>
      <w:r>
        <w:t>in light of</w:t>
      </w:r>
      <w:proofErr w:type="gramEnd"/>
      <w:r>
        <w:t xml:space="preserve"> the record on appeal, the only claims plaintiff has advanced that have any conceivable traction are that the gurney should have had shoulder harnesses which should have been used, and the rear door of the ambulance should have been locked. As we have </w:t>
      </w:r>
      <w:proofErr w:type="gramStart"/>
      <w:r>
        <w:t>observed,</w:t>
      </w:r>
      <w:proofErr w:type="gramEnd"/>
      <w:r>
        <w:t xml:space="preserve"> whether these claims have any merit was not addressed by the summary judgment motion.” </w:t>
      </w:r>
      <w:hyperlink r:id="rId2117" w:history="1">
        <w:r>
          <w:rPr>
            <w:rStyle w:val="Hyperlink"/>
          </w:rPr>
          <w:t>https://law.justia.com/cases/california/court-of-appeal/2022/a162508.html</w:t>
        </w:r>
      </w:hyperlink>
      <w:r>
        <w:t xml:space="preserve"> </w:t>
      </w:r>
    </w:p>
    <w:bookmarkEnd w:id="439"/>
    <w:p w14:paraId="7733D457" w14:textId="77777777" w:rsidR="00755E16" w:rsidRDefault="00755E16" w:rsidP="00755E1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When transporting a psych patient, use shoulder harness and consider other restraints; lock back door of the ambulance.</w:t>
      </w:r>
    </w:p>
    <w:p w14:paraId="499243AA" w14:textId="77777777" w:rsidR="00755E16" w:rsidRDefault="00755E16" w:rsidP="002B1283">
      <w:pPr>
        <w:rPr>
          <w:rFonts w:ascii="Arial Black" w:hAnsi="Arial Black"/>
          <w:b/>
          <w:bCs/>
          <w:sz w:val="28"/>
          <w:szCs w:val="28"/>
        </w:rPr>
      </w:pPr>
    </w:p>
    <w:p w14:paraId="650E5CFC" w14:textId="77777777" w:rsidR="00755E16" w:rsidRDefault="00755E16" w:rsidP="002B1283">
      <w:pPr>
        <w:rPr>
          <w:rFonts w:ascii="Arial Black" w:hAnsi="Arial Black"/>
          <w:b/>
          <w:bCs/>
          <w:sz w:val="28"/>
          <w:szCs w:val="28"/>
        </w:rPr>
      </w:pPr>
    </w:p>
    <w:p w14:paraId="0CC4C99F" w14:textId="0B3AAD13" w:rsidR="00AC5FED" w:rsidRDefault="00AC5FED" w:rsidP="002B1283">
      <w:pPr>
        <w:rPr>
          <w:rFonts w:ascii="Arial Black" w:hAnsi="Arial Black"/>
          <w:b/>
          <w:bCs/>
          <w:sz w:val="28"/>
          <w:szCs w:val="28"/>
        </w:rPr>
      </w:pPr>
      <w:r>
        <w:rPr>
          <w:rFonts w:ascii="Arial Black" w:hAnsi="Arial Black"/>
          <w:b/>
          <w:bCs/>
          <w:sz w:val="28"/>
          <w:szCs w:val="28"/>
        </w:rPr>
        <w:t>13-125</w:t>
      </w:r>
    </w:p>
    <w:p w14:paraId="48D95C3E" w14:textId="77777777" w:rsidR="00755E16" w:rsidRDefault="00755E16" w:rsidP="00755E16">
      <w:pPr>
        <w:pStyle w:val="NormalWeb"/>
        <w:rPr>
          <w:rFonts w:ascii="Arial Black" w:hAnsi="Arial Black"/>
          <w:b/>
          <w:bCs/>
          <w:sz w:val="28"/>
          <w:szCs w:val="28"/>
        </w:rPr>
      </w:pPr>
      <w:r>
        <w:rPr>
          <w:rFonts w:ascii="Arial Black" w:hAnsi="Arial Black"/>
          <w:b/>
          <w:bCs/>
          <w:sz w:val="28"/>
          <w:szCs w:val="28"/>
        </w:rPr>
        <w:t>GA:  EMS CALLED BY PD – DEFENDANT FOAMING MOUTH, UNRESPONSIVE – NO TRANSPORT / DIED – CASE PROCEED</w:t>
      </w:r>
    </w:p>
    <w:p w14:paraId="55B4A0D8" w14:textId="77777777" w:rsidR="00755E16" w:rsidRDefault="00755E16" w:rsidP="00755E16">
      <w:pPr>
        <w:pStyle w:val="NormalWeb"/>
      </w:pPr>
      <w:r>
        <w:t xml:space="preserve">On Sept. 27, 2022, in </w:t>
      </w:r>
      <w:r>
        <w:rPr>
          <w:u w:val="single"/>
        </w:rPr>
        <w:t>Anthony Wilson, Kimberly Wilson, the parents of Martez Wilson,  et al. v. EMT Sean Flack; Brian Porterfield, Paramedic; City of Douglasville, GA, et al</w:t>
      </w:r>
      <w:r>
        <w:t>., the U.S. Court of Appeals for the 11</w:t>
      </w:r>
      <w:r>
        <w:rPr>
          <w:vertAlign w:val="superscript"/>
        </w:rPr>
        <w:t>th</w:t>
      </w:r>
      <w:r>
        <w:t xml:space="preserve"> Circuit (Atlanta), held (3 to 0)(unpublished decision) that the lawsuit shall be reinstated against the two EMS personnel. </w:t>
      </w:r>
    </w:p>
    <w:p w14:paraId="0D8B7502" w14:textId="77777777" w:rsidR="00755E16" w:rsidRDefault="00755E16" w:rsidP="00755E16">
      <w:pPr>
        <w:pStyle w:val="NormalWeb"/>
        <w:ind w:left="720"/>
      </w:pPr>
      <w:r>
        <w:t xml:space="preserve">“It is undisputed that Defendants conducted a medical assessment of Wilson when they were called to the scene of his arrest. Specifically, they felt Wilson's skin, visually assessed his breathing by watching his chest movements, and used a ZOLL monitor to determine his pulse and oxygen levels. Based on their assessment, Defendants determined that no further assessment or treatment of Wilson was necessary. As discussed above, a jury might reasonably infer that this determination was so reckless that it amounted to a deliberate indifference to Wilson's obvious medical needs, particularly given the additional information Defendants received at the end of their assessment that Wilson was foaming at the mouth.” </w:t>
      </w:r>
      <w:hyperlink r:id="rId2118" w:history="1">
        <w:r>
          <w:rPr>
            <w:rStyle w:val="Hyperlink"/>
          </w:rPr>
          <w:t>https://media.ca11.uscourts.gov/opinions/unpub/files/201914294.pdf</w:t>
        </w:r>
      </w:hyperlink>
      <w:r>
        <w:t xml:space="preserve"> </w:t>
      </w:r>
    </w:p>
    <w:p w14:paraId="4CDB86C7" w14:textId="77777777" w:rsidR="00755E16" w:rsidRDefault="00755E16" w:rsidP="00755E16">
      <w:pPr>
        <w:pStyle w:val="NormalWeb"/>
        <w:rPr>
          <w:b/>
          <w:bCs/>
        </w:rPr>
      </w:pPr>
      <w:r>
        <w:rPr>
          <w:b/>
          <w:bCs/>
        </w:rPr>
        <w:t xml:space="preserve">Legal Lesson Learned: If a patient is unresponsive, transport to a hospital. </w:t>
      </w:r>
    </w:p>
    <w:p w14:paraId="5138533C" w14:textId="77777777" w:rsidR="00AC5FED" w:rsidRDefault="00AC5FED" w:rsidP="002B1283">
      <w:pPr>
        <w:rPr>
          <w:rFonts w:ascii="Arial Black" w:hAnsi="Arial Black"/>
          <w:b/>
          <w:bCs/>
          <w:sz w:val="28"/>
          <w:szCs w:val="28"/>
        </w:rPr>
      </w:pPr>
    </w:p>
    <w:p w14:paraId="274F08B9" w14:textId="77777777" w:rsidR="00AC5FED" w:rsidRDefault="00AC5FED" w:rsidP="002B1283">
      <w:pPr>
        <w:rPr>
          <w:rFonts w:ascii="Arial Black" w:hAnsi="Arial Black"/>
          <w:b/>
          <w:bCs/>
          <w:sz w:val="28"/>
          <w:szCs w:val="28"/>
        </w:rPr>
      </w:pPr>
    </w:p>
    <w:p w14:paraId="11CC5DEF" w14:textId="74777EF9" w:rsidR="00AC5FED" w:rsidRDefault="00AC5FED" w:rsidP="002B1283">
      <w:pPr>
        <w:rPr>
          <w:rFonts w:ascii="Arial Black" w:hAnsi="Arial Black"/>
          <w:b/>
          <w:bCs/>
          <w:sz w:val="28"/>
          <w:szCs w:val="28"/>
        </w:rPr>
      </w:pPr>
      <w:r>
        <w:rPr>
          <w:rFonts w:ascii="Arial Black" w:hAnsi="Arial Black"/>
          <w:b/>
          <w:bCs/>
          <w:sz w:val="28"/>
          <w:szCs w:val="28"/>
        </w:rPr>
        <w:lastRenderedPageBreak/>
        <w:t>13-124</w:t>
      </w:r>
    </w:p>
    <w:p w14:paraId="0FB6D7C4" w14:textId="77777777" w:rsidR="00AC5FED" w:rsidRDefault="00AC5FED" w:rsidP="00AC5FED">
      <w:pPr>
        <w:pStyle w:val="NormalWeb"/>
        <w:rPr>
          <w:rFonts w:ascii="Arial Black" w:hAnsi="Arial Black"/>
          <w:b/>
          <w:bCs/>
          <w:sz w:val="28"/>
          <w:szCs w:val="28"/>
        </w:rPr>
      </w:pPr>
      <w:r>
        <w:rPr>
          <w:rFonts w:ascii="Arial Black" w:hAnsi="Arial Black"/>
          <w:b/>
          <w:bCs/>
          <w:sz w:val="28"/>
          <w:szCs w:val="28"/>
        </w:rPr>
        <w:t>AR: WHEELCHAIR PATIENT – ASKED NOT USE SHOULDER HARNESS – FELL OUT, LATER DIED - 75% LIABILITY</w:t>
      </w:r>
    </w:p>
    <w:p w14:paraId="74802F79" w14:textId="77777777" w:rsidR="00AC5FED" w:rsidRPr="00AC5FED" w:rsidRDefault="00AC5FED" w:rsidP="00AC5FED">
      <w:pPr>
        <w:pStyle w:val="NormalWeb"/>
      </w:pPr>
      <w:r w:rsidRPr="00AC5FED">
        <w:t xml:space="preserve">On Sept. 16, 2022, in </w:t>
      </w:r>
      <w:r w:rsidRPr="00AC5FED">
        <w:rPr>
          <w:u w:val="single"/>
        </w:rPr>
        <w:t>Clementine Thomas v. United States of America</w:t>
      </w:r>
      <w:r w:rsidRPr="00AC5FED">
        <w:t xml:space="preserve">, U.S. District Court Judge Dominie W. Lanza, U.S. District of Arizona, held that the Federal government, which had contracted with private ambulance company, is 75% liable in damages, not 100% since the patient was 25% at fault. </w:t>
      </w:r>
    </w:p>
    <w:p w14:paraId="54525857" w14:textId="74AA3AC7" w:rsidR="00AC5FED" w:rsidRPr="00AC5FED" w:rsidRDefault="00AC5FED" w:rsidP="00AC5FED">
      <w:pPr>
        <w:ind w:left="720"/>
        <w:rPr>
          <w:rFonts w:ascii="Times New Roman" w:hAnsi="Times New Roman"/>
          <w:b/>
          <w:bCs/>
          <w:sz w:val="24"/>
          <w:szCs w:val="24"/>
        </w:rPr>
      </w:pPr>
      <w:r w:rsidRPr="00AC5FED">
        <w:rPr>
          <w:rFonts w:ascii="Times New Roman" w:hAnsi="Times New Roman"/>
          <w:sz w:val="24"/>
          <w:szCs w:val="24"/>
        </w:rPr>
        <w:t xml:space="preserve">“Here, [Veronica] Stevens bears 25% of the fault </w:t>
      </w:r>
      <w:proofErr w:type="gramStart"/>
      <w:r w:rsidRPr="00AC5FED">
        <w:rPr>
          <w:rFonts w:ascii="Times New Roman" w:hAnsi="Times New Roman"/>
          <w:sz w:val="24"/>
          <w:szCs w:val="24"/>
        </w:rPr>
        <w:t>in light of the fact that</w:t>
      </w:r>
      <w:proofErr w:type="gramEnd"/>
      <w:r w:rsidRPr="00AC5FED">
        <w:rPr>
          <w:rFonts w:ascii="Times New Roman" w:hAnsi="Times New Roman"/>
          <w:sz w:val="24"/>
          <w:szCs w:val="24"/>
        </w:rPr>
        <w:t xml:space="preserve"> Parker failed to secure the shoulder belt at her request. None of the other passengers in the van suffered injury from the braking incident, which suggests that if Stevens had simply allowed Parker to belt her into place (as had been his practice until she instructed him to stop), she would have avoided injury, </w:t>
      </w:r>
      <w:proofErr w:type="gramStart"/>
      <w:r w:rsidRPr="00AC5FED">
        <w:rPr>
          <w:rFonts w:ascii="Times New Roman" w:hAnsi="Times New Roman"/>
          <w:sz w:val="24"/>
          <w:szCs w:val="24"/>
        </w:rPr>
        <w:t>too.”</w:t>
      </w:r>
      <w:proofErr w:type="gramEnd"/>
      <w:r w:rsidRPr="00AC5FED">
        <w:rPr>
          <w:rFonts w:ascii="Times New Roman" w:hAnsi="Times New Roman"/>
          <w:sz w:val="24"/>
          <w:szCs w:val="24"/>
        </w:rPr>
        <w:t xml:space="preserve"> </w:t>
      </w:r>
      <w:hyperlink r:id="rId2119" w:history="1">
        <w:r w:rsidRPr="00AC5FED">
          <w:rPr>
            <w:rStyle w:val="Hyperlink"/>
            <w:rFonts w:ascii="Times New Roman" w:hAnsi="Times New Roman"/>
            <w:sz w:val="24"/>
            <w:szCs w:val="24"/>
          </w:rPr>
          <w:t>https://public.fastcase.com/J%2FJP6pdidelsXxEE4k%2BLMs47M8bX1jWCTU1t0SYWR19Iu9IUPatjWgRJl3RKX2DrLTQazC1ae%2FBWEsyi8L93eaS1AKPtR90SvCK0pYsfZI4%3D</w:t>
        </w:r>
      </w:hyperlink>
    </w:p>
    <w:p w14:paraId="32A8DB4C" w14:textId="77777777" w:rsidR="00AC5FED" w:rsidRDefault="00AC5FED" w:rsidP="00AC5FED">
      <w:pPr>
        <w:pStyle w:val="NormalWeb"/>
        <w:rPr>
          <w:b/>
          <w:bCs/>
        </w:rPr>
      </w:pPr>
      <w:r>
        <w:rPr>
          <w:b/>
          <w:bCs/>
        </w:rPr>
        <w:t xml:space="preserve">Legal Lesson Learned: When transporting </w:t>
      </w:r>
      <w:proofErr w:type="gramStart"/>
      <w:r>
        <w:rPr>
          <w:b/>
          <w:bCs/>
        </w:rPr>
        <w:t>patient</w:t>
      </w:r>
      <w:proofErr w:type="gramEnd"/>
      <w:r>
        <w:rPr>
          <w:b/>
          <w:bCs/>
        </w:rPr>
        <w:t xml:space="preserve">, use all the seat and harness belts, even if </w:t>
      </w:r>
      <w:proofErr w:type="gramStart"/>
      <w:r>
        <w:rPr>
          <w:b/>
          <w:bCs/>
        </w:rPr>
        <w:t>patient</w:t>
      </w:r>
      <w:proofErr w:type="gramEnd"/>
      <w:r>
        <w:rPr>
          <w:b/>
          <w:bCs/>
        </w:rPr>
        <w:t xml:space="preserve"> </w:t>
      </w:r>
      <w:proofErr w:type="gramStart"/>
      <w:r>
        <w:rPr>
          <w:b/>
          <w:bCs/>
        </w:rPr>
        <w:t>requests</w:t>
      </w:r>
      <w:proofErr w:type="gramEnd"/>
      <w:r>
        <w:rPr>
          <w:b/>
          <w:bCs/>
        </w:rPr>
        <w:t xml:space="preserve"> not use harness belts.  </w:t>
      </w:r>
    </w:p>
    <w:p w14:paraId="12AA5471" w14:textId="77777777" w:rsidR="00AC5FED" w:rsidRDefault="00AC5FED" w:rsidP="002B1283">
      <w:pPr>
        <w:rPr>
          <w:rFonts w:ascii="Arial Black" w:hAnsi="Arial Black"/>
          <w:b/>
          <w:bCs/>
          <w:sz w:val="28"/>
          <w:szCs w:val="28"/>
        </w:rPr>
      </w:pPr>
    </w:p>
    <w:p w14:paraId="70EFC0D9" w14:textId="2300735D" w:rsidR="00AC5FED" w:rsidRDefault="00AC5FED" w:rsidP="002B1283">
      <w:pPr>
        <w:rPr>
          <w:rFonts w:ascii="Arial Black" w:hAnsi="Arial Black"/>
          <w:b/>
          <w:bCs/>
          <w:sz w:val="28"/>
          <w:szCs w:val="28"/>
        </w:rPr>
      </w:pPr>
      <w:r>
        <w:rPr>
          <w:rFonts w:ascii="Arial Black" w:hAnsi="Arial Black"/>
          <w:b/>
          <w:bCs/>
          <w:sz w:val="28"/>
          <w:szCs w:val="28"/>
        </w:rPr>
        <w:t>13-123</w:t>
      </w:r>
    </w:p>
    <w:p w14:paraId="78CACB3C" w14:textId="77777777" w:rsidR="00AC5FED" w:rsidRDefault="00AC5FED" w:rsidP="00AC5FED">
      <w:pPr>
        <w:pStyle w:val="NormalWeb"/>
        <w:rPr>
          <w:rFonts w:ascii="Arial Black" w:hAnsi="Arial Black"/>
          <w:b/>
          <w:bCs/>
          <w:sz w:val="28"/>
          <w:szCs w:val="28"/>
        </w:rPr>
      </w:pPr>
      <w:r>
        <w:rPr>
          <w:rFonts w:ascii="Arial Black" w:hAnsi="Arial Black"/>
          <w:b/>
          <w:bCs/>
          <w:sz w:val="28"/>
          <w:szCs w:val="28"/>
        </w:rPr>
        <w:t>MD: PD ASSAULTED - DURING EMS TRANSPORT DEF. SAID “WENT FOR THAT WEAPON” – ADMISSIBLE IN CRIM. CASE</w:t>
      </w:r>
    </w:p>
    <w:p w14:paraId="16E3C1B9" w14:textId="77777777" w:rsidR="00AC5FED" w:rsidRDefault="00AC5FED" w:rsidP="00AC5FED">
      <w:pPr>
        <w:pStyle w:val="NormalWeb"/>
      </w:pPr>
      <w:r>
        <w:t xml:space="preserve">On Aug. 31, 2022, in </w:t>
      </w:r>
      <w:r>
        <w:rPr>
          <w:u w:val="single"/>
        </w:rPr>
        <w:t>Stanley C. Butler, Jr. v. State of Maryland</w:t>
      </w:r>
      <w:r>
        <w:t xml:space="preserve">, the Court of Appeal Appeals of Maryland held (3 to 0) that the defendant’s comments in the back of ambulance were admissible to the jury in his criminal trial for disarming a law-enforcement officer, assault on a law-enforcement officer, two counts of second-degree assault, and resisting arrest. </w:t>
      </w:r>
    </w:p>
    <w:p w14:paraId="3A8B92AD" w14:textId="77777777" w:rsidR="00AC5FED" w:rsidRDefault="00AC5FED" w:rsidP="00AC5FED">
      <w:pPr>
        <w:pStyle w:val="NormalWeb"/>
        <w:ind w:left="720"/>
      </w:pPr>
      <w:r>
        <w:t xml:space="preserve">“We reach the same conclusion as the circuit court in holding that [EMT] English was not a </w:t>
      </w:r>
      <w:proofErr w:type="gramStart"/>
      <w:r>
        <w:t>State</w:t>
      </w:r>
      <w:proofErr w:type="gramEnd"/>
      <w:r>
        <w:t xml:space="preserve"> agent. *** The [trial] court reasoned that EMTs are ‘civilians, they are not commissioned police officers . . . They are independent,’ and that Officer Kilgore did not ask Butler any questions or direct English to ask Butler any questions. </w:t>
      </w:r>
      <w:hyperlink r:id="rId2120" w:history="1">
        <w:r w:rsidRPr="0078619C">
          <w:rPr>
            <w:rStyle w:val="Hyperlink"/>
          </w:rPr>
          <w:t>https://mdcourts.gov/data/opinions/cosa/2022/1037s21.pdf</w:t>
        </w:r>
      </w:hyperlink>
      <w:r>
        <w:t xml:space="preserve"> </w:t>
      </w:r>
    </w:p>
    <w:p w14:paraId="4A0A030E" w14:textId="77777777" w:rsidR="00AC5FED" w:rsidRDefault="00AC5FED" w:rsidP="00AC5FED">
      <w:pPr>
        <w:pStyle w:val="NormalWeb"/>
        <w:rPr>
          <w:b/>
          <w:bCs/>
        </w:rPr>
      </w:pPr>
      <w:r>
        <w:rPr>
          <w:b/>
          <w:bCs/>
        </w:rPr>
        <w:t xml:space="preserve">Legal Lesson Learned: EMS may ask patient [defendant] questions related to his medical condition during transport with police on board; spontaneous confessions are generally admissible in criminal </w:t>
      </w:r>
      <w:proofErr w:type="gramStart"/>
      <w:r>
        <w:rPr>
          <w:b/>
          <w:bCs/>
        </w:rPr>
        <w:t>case</w:t>
      </w:r>
      <w:proofErr w:type="gramEnd"/>
      <w:r>
        <w:rPr>
          <w:b/>
          <w:bCs/>
        </w:rPr>
        <w:t xml:space="preserve">. </w:t>
      </w:r>
    </w:p>
    <w:p w14:paraId="63567E1D" w14:textId="77777777" w:rsidR="00AC5FED" w:rsidRDefault="00AC5FED" w:rsidP="002B1283">
      <w:pPr>
        <w:rPr>
          <w:rFonts w:ascii="Arial Black" w:hAnsi="Arial Black"/>
          <w:b/>
          <w:bCs/>
          <w:sz w:val="28"/>
          <w:szCs w:val="28"/>
        </w:rPr>
      </w:pPr>
    </w:p>
    <w:p w14:paraId="26791CDE" w14:textId="77777777" w:rsidR="00AC5FED" w:rsidRDefault="00AC5FED" w:rsidP="002B1283">
      <w:pPr>
        <w:rPr>
          <w:rFonts w:ascii="Arial Black" w:hAnsi="Arial Black"/>
          <w:b/>
          <w:bCs/>
          <w:sz w:val="28"/>
          <w:szCs w:val="28"/>
        </w:rPr>
      </w:pPr>
    </w:p>
    <w:p w14:paraId="43D22E55" w14:textId="38C63201" w:rsidR="006E70F8" w:rsidRDefault="006E70F8" w:rsidP="002B1283">
      <w:pPr>
        <w:rPr>
          <w:rFonts w:ascii="Arial Black" w:hAnsi="Arial Black"/>
          <w:b/>
          <w:bCs/>
          <w:sz w:val="28"/>
          <w:szCs w:val="28"/>
        </w:rPr>
      </w:pPr>
      <w:r>
        <w:rPr>
          <w:rFonts w:ascii="Arial Black" w:hAnsi="Arial Black"/>
          <w:b/>
          <w:bCs/>
          <w:sz w:val="28"/>
          <w:szCs w:val="28"/>
        </w:rPr>
        <w:t>13-122</w:t>
      </w:r>
    </w:p>
    <w:p w14:paraId="4DB3CA91" w14:textId="77777777" w:rsidR="006E70F8" w:rsidRDefault="006E70F8" w:rsidP="006E70F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WY: CAPTAIN FIRING UPHELD - FREQUENT 911 CALLER FOR LIFT ASSISTS – “KICK HER ASS” – PROVIDED DUE PROCESS</w:t>
      </w:r>
    </w:p>
    <w:p w14:paraId="056F03B5" w14:textId="66A63A04" w:rsidR="006E70F8" w:rsidRDefault="006E70F8" w:rsidP="006E70F8">
      <w:pPr>
        <w:spacing w:before="100" w:beforeAutospacing="1" w:after="100" w:afterAutospacing="1" w:line="240" w:lineRule="auto"/>
        <w:rPr>
          <w:rFonts w:ascii="Times New Roman" w:hAnsi="Times New Roman"/>
          <w:sz w:val="24"/>
          <w:szCs w:val="24"/>
        </w:rPr>
      </w:pPr>
      <w:bookmarkStart w:id="440" w:name="_Hlk112724120"/>
      <w:r w:rsidRPr="007E4B1C">
        <w:rPr>
          <w:rFonts w:ascii="Times New Roman" w:eastAsia="Times New Roman" w:hAnsi="Times New Roman"/>
          <w:sz w:val="24"/>
          <w:szCs w:val="24"/>
        </w:rPr>
        <w:t xml:space="preserve">On Aug. 24, 2022, in </w:t>
      </w:r>
      <w:r w:rsidRPr="007E4B1C">
        <w:rPr>
          <w:rFonts w:ascii="Times New Roman" w:eastAsia="Times New Roman" w:hAnsi="Times New Roman"/>
          <w:sz w:val="24"/>
          <w:szCs w:val="24"/>
          <w:u w:val="single"/>
        </w:rPr>
        <w:t>City of Rawlins v. Stephanie Schofield</w:t>
      </w:r>
      <w:r>
        <w:rPr>
          <w:rFonts w:ascii="Times New Roman" w:eastAsia="Times New Roman" w:hAnsi="Times New Roman"/>
          <w:sz w:val="24"/>
          <w:szCs w:val="24"/>
        </w:rPr>
        <w:t>, the Supreme Court of Wyoming held (5 to 0) that the trial court improperly overturned the Civil Service Commission</w:t>
      </w:r>
      <w:r w:rsidR="00B96B6D">
        <w:rPr>
          <w:rFonts w:ascii="Times New Roman" w:eastAsia="Times New Roman" w:hAnsi="Times New Roman"/>
          <w:sz w:val="24"/>
          <w:szCs w:val="24"/>
        </w:rPr>
        <w:t>; Supreme Court upheld the termination.</w:t>
      </w:r>
      <w:r>
        <w:rPr>
          <w:rFonts w:ascii="Times New Roman" w:eastAsia="Times New Roman" w:hAnsi="Times New Roman"/>
          <w:sz w:val="24"/>
          <w:szCs w:val="24"/>
        </w:rPr>
        <w:t xml:space="preserve">  Captain, while initially fired by the interim City Manager without </w:t>
      </w:r>
      <w:proofErr w:type="gramStart"/>
      <w:r>
        <w:rPr>
          <w:rFonts w:ascii="Times New Roman" w:eastAsia="Times New Roman" w:hAnsi="Times New Roman"/>
          <w:sz w:val="24"/>
          <w:szCs w:val="24"/>
        </w:rPr>
        <w:t>a hearing</w:t>
      </w:r>
      <w:proofErr w:type="gramEnd"/>
      <w:r>
        <w:rPr>
          <w:rFonts w:ascii="Times New Roman" w:eastAsia="Times New Roman" w:hAnsi="Times New Roman"/>
          <w:sz w:val="24"/>
          <w:szCs w:val="24"/>
        </w:rPr>
        <w:t>, was ultimately provided due process hearing by the Civil Service Commission. “</w:t>
      </w:r>
      <w:r w:rsidRPr="00E058A7">
        <w:rPr>
          <w:rFonts w:ascii="Times New Roman" w:hAnsi="Times New Roman"/>
          <w:sz w:val="24"/>
          <w:szCs w:val="24"/>
        </w:rPr>
        <w:t xml:space="preserve">The City's rescission of its original termination letter and reinstatement of Ms. Schofield with back pay rendered the initial due process violations moot. The City's June 8, </w:t>
      </w:r>
      <w:proofErr w:type="gramStart"/>
      <w:r w:rsidRPr="00E058A7">
        <w:rPr>
          <w:rFonts w:ascii="Times New Roman" w:hAnsi="Times New Roman"/>
          <w:sz w:val="24"/>
          <w:szCs w:val="24"/>
        </w:rPr>
        <w:t>2020</w:t>
      </w:r>
      <w:proofErr w:type="gramEnd"/>
      <w:r w:rsidRPr="00E058A7">
        <w:rPr>
          <w:rFonts w:ascii="Times New Roman" w:hAnsi="Times New Roman"/>
          <w:sz w:val="24"/>
          <w:szCs w:val="24"/>
        </w:rPr>
        <w:t xml:space="preserve"> notice of request for termination provided Ms. Schofield notice of the reasons it relied on in requesting her termination. The contested case hearing provided Ms. </w:t>
      </w:r>
      <w:proofErr w:type="gramStart"/>
      <w:r w:rsidRPr="00E058A7">
        <w:rPr>
          <w:rFonts w:ascii="Times New Roman" w:hAnsi="Times New Roman"/>
          <w:sz w:val="24"/>
          <w:szCs w:val="24"/>
        </w:rPr>
        <w:t>Schofield</w:t>
      </w:r>
      <w:proofErr w:type="gramEnd"/>
      <w:r w:rsidRPr="00E058A7">
        <w:rPr>
          <w:rFonts w:ascii="Times New Roman" w:hAnsi="Times New Roman"/>
          <w:sz w:val="24"/>
          <w:szCs w:val="24"/>
        </w:rPr>
        <w:t xml:space="preserve"> a full and fair opportunity to respond to the reasons underlying the request that her employment be terminated. The Commission's Findings of Fact, Conclusions of Law and Order was supported by substantial evidence and was not arbitrary and capricious, or otherwise not in accordance with law. We reverse the decision of the district court and affirm the Commission's order.</w:t>
      </w:r>
      <w:r>
        <w:rPr>
          <w:rFonts w:ascii="Times New Roman" w:hAnsi="Times New Roman"/>
          <w:sz w:val="24"/>
          <w:szCs w:val="24"/>
        </w:rPr>
        <w:t xml:space="preserve">”  </w:t>
      </w:r>
      <w:r>
        <w:rPr>
          <w:rFonts w:ascii="Times New Roman" w:eastAsia="Times New Roman" w:hAnsi="Times New Roman"/>
          <w:sz w:val="24"/>
          <w:szCs w:val="24"/>
        </w:rPr>
        <w:t xml:space="preserve"> </w:t>
      </w:r>
      <w:hyperlink r:id="rId2121" w:history="1">
        <w:r w:rsidRPr="00301464">
          <w:rPr>
            <w:rStyle w:val="Hyperlink"/>
            <w:rFonts w:ascii="Times New Roman" w:hAnsi="Times New Roman"/>
          </w:rPr>
          <w:t>https://law.justia.com/cases/wyoming/supreme-court/2022/s-21-0278.html</w:t>
        </w:r>
      </w:hyperlink>
      <w:r>
        <w:rPr>
          <w:rFonts w:ascii="Times New Roman" w:hAnsi="Times New Roman"/>
          <w:sz w:val="24"/>
          <w:szCs w:val="24"/>
        </w:rPr>
        <w:t xml:space="preserve"> </w:t>
      </w:r>
    </w:p>
    <w:bookmarkEnd w:id="440"/>
    <w:p w14:paraId="4C25FA77" w14:textId="77777777" w:rsidR="00B96B6D" w:rsidRPr="008F6CF7" w:rsidRDefault="00B96B6D" w:rsidP="00B96B6D">
      <w:pPr>
        <w:spacing w:before="100" w:beforeAutospacing="1" w:after="100" w:afterAutospacing="1" w:line="240" w:lineRule="auto"/>
        <w:rPr>
          <w:rFonts w:ascii="Times New Roman" w:hAnsi="Times New Roman"/>
          <w:b/>
          <w:bCs/>
          <w:sz w:val="24"/>
          <w:szCs w:val="24"/>
        </w:rPr>
      </w:pPr>
      <w:r w:rsidRPr="008F6CF7">
        <w:rPr>
          <w:rFonts w:ascii="Times New Roman" w:hAnsi="Times New Roman"/>
          <w:b/>
          <w:bCs/>
          <w:sz w:val="24"/>
          <w:szCs w:val="24"/>
        </w:rPr>
        <w:t>Legal Lesson Learned:</w:t>
      </w:r>
      <w:r>
        <w:rPr>
          <w:rFonts w:ascii="Times New Roman" w:hAnsi="Times New Roman"/>
          <w:b/>
          <w:bCs/>
          <w:sz w:val="24"/>
          <w:szCs w:val="24"/>
        </w:rPr>
        <w:t xml:space="preserve"> The City corrected its initial mistake of terminating the </w:t>
      </w:r>
      <w:proofErr w:type="gramStart"/>
      <w:r>
        <w:rPr>
          <w:rFonts w:ascii="Times New Roman" w:hAnsi="Times New Roman"/>
          <w:b/>
          <w:bCs/>
          <w:sz w:val="24"/>
          <w:szCs w:val="24"/>
        </w:rPr>
        <w:t>Captain</w:t>
      </w:r>
      <w:proofErr w:type="gramEnd"/>
      <w:r>
        <w:rPr>
          <w:rFonts w:ascii="Times New Roman" w:hAnsi="Times New Roman"/>
          <w:b/>
          <w:bCs/>
          <w:sz w:val="24"/>
          <w:szCs w:val="24"/>
        </w:rPr>
        <w:t xml:space="preserve"> without </w:t>
      </w:r>
      <w:proofErr w:type="gramStart"/>
      <w:r>
        <w:rPr>
          <w:rFonts w:ascii="Times New Roman" w:hAnsi="Times New Roman"/>
          <w:b/>
          <w:bCs/>
          <w:sz w:val="24"/>
          <w:szCs w:val="24"/>
        </w:rPr>
        <w:t>a due</w:t>
      </w:r>
      <w:proofErr w:type="gramEnd"/>
      <w:r>
        <w:rPr>
          <w:rFonts w:ascii="Times New Roman" w:hAnsi="Times New Roman"/>
          <w:b/>
          <w:bCs/>
          <w:sz w:val="24"/>
          <w:szCs w:val="24"/>
        </w:rPr>
        <w:t xml:space="preserve"> process hearing; wisely then provided hearing before the Civil Service Commission.</w:t>
      </w:r>
    </w:p>
    <w:p w14:paraId="2CCE1DE6" w14:textId="77777777" w:rsidR="006E70F8" w:rsidRDefault="006E70F8" w:rsidP="002B1283">
      <w:pPr>
        <w:rPr>
          <w:rFonts w:ascii="Arial Black" w:hAnsi="Arial Black"/>
          <w:b/>
          <w:bCs/>
          <w:sz w:val="28"/>
          <w:szCs w:val="28"/>
        </w:rPr>
      </w:pPr>
    </w:p>
    <w:p w14:paraId="7F940AEA" w14:textId="77777777" w:rsidR="006E70F8" w:rsidRDefault="006E70F8" w:rsidP="002B1283">
      <w:pPr>
        <w:rPr>
          <w:rFonts w:ascii="Arial Black" w:hAnsi="Arial Black"/>
          <w:b/>
          <w:bCs/>
          <w:sz w:val="28"/>
          <w:szCs w:val="28"/>
        </w:rPr>
      </w:pPr>
    </w:p>
    <w:p w14:paraId="7938F716" w14:textId="7148593A" w:rsidR="00282AF3" w:rsidRDefault="006E70F8" w:rsidP="002B1283">
      <w:pPr>
        <w:rPr>
          <w:rFonts w:ascii="Arial Black" w:hAnsi="Arial Black"/>
          <w:b/>
          <w:bCs/>
          <w:sz w:val="28"/>
          <w:szCs w:val="28"/>
        </w:rPr>
      </w:pPr>
      <w:r>
        <w:rPr>
          <w:rFonts w:ascii="Arial Black" w:hAnsi="Arial Black"/>
          <w:b/>
          <w:bCs/>
          <w:sz w:val="28"/>
          <w:szCs w:val="28"/>
        </w:rPr>
        <w:t>13-121</w:t>
      </w:r>
    </w:p>
    <w:p w14:paraId="3E4C331A" w14:textId="77777777" w:rsidR="006E70F8" w:rsidRPr="00757ECB" w:rsidRDefault="006E70F8" w:rsidP="006E70F8">
      <w:pPr>
        <w:spacing w:before="100" w:beforeAutospacing="1" w:after="100" w:afterAutospacing="1" w:line="240" w:lineRule="auto"/>
        <w:rPr>
          <w:rFonts w:ascii="Arial Black" w:hAnsi="Arial Black"/>
          <w:sz w:val="28"/>
          <w:szCs w:val="28"/>
        </w:rPr>
      </w:pPr>
      <w:bookmarkStart w:id="441" w:name="_Hlk112723764"/>
      <w:r>
        <w:rPr>
          <w:rFonts w:ascii="Arial Black" w:hAnsi="Arial Black"/>
          <w:sz w:val="28"/>
          <w:szCs w:val="28"/>
        </w:rPr>
        <w:t>TX: STRETCHER - 94-YR-OLD PATIENT - FELL ONTO SLOPED DRIVEWAY - HEAD INJURY, DIED 8 DAYS – GOV. IMMUNITY</w:t>
      </w:r>
    </w:p>
    <w:p w14:paraId="0C514DA1" w14:textId="77777777" w:rsidR="006E70F8" w:rsidRDefault="006E70F8" w:rsidP="006E70F8">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Aug. 23, 2022, in </w:t>
      </w:r>
      <w:r w:rsidRPr="00D72934">
        <w:rPr>
          <w:rFonts w:ascii="Times New Roman" w:eastAsia="Times New Roman" w:hAnsi="Times New Roman"/>
          <w:sz w:val="24"/>
          <w:szCs w:val="24"/>
          <w:u w:val="single"/>
        </w:rPr>
        <w:t>City of Houston v. Kathy Denby</w:t>
      </w:r>
      <w:r>
        <w:rPr>
          <w:rFonts w:ascii="Times New Roman" w:eastAsia="Times New Roman" w:hAnsi="Times New Roman"/>
          <w:sz w:val="24"/>
          <w:szCs w:val="24"/>
        </w:rPr>
        <w:t xml:space="preserve">, Court of Appeals of Texas, First District, held (3 to 0) that the trial judge’s decision denying the City’s motion for summary judgment is reversed; </w:t>
      </w:r>
      <w:r w:rsidRPr="002F4B1C">
        <w:rPr>
          <w:rFonts w:ascii="Times New Roman" w:eastAsia="Times New Roman" w:hAnsi="Times New Roman"/>
          <w:sz w:val="24"/>
          <w:szCs w:val="24"/>
        </w:rPr>
        <w:t xml:space="preserve">the City </w:t>
      </w:r>
      <w:r w:rsidRPr="002F4B1C">
        <w:rPr>
          <w:rFonts w:ascii="Times New Roman" w:hAnsi="Times New Roman"/>
          <w:sz w:val="24"/>
          <w:szCs w:val="24"/>
        </w:rPr>
        <w:t>“here retains its immunity under the 9-1-1 Emergency Services exception to the TTCA [Texas Tort Claims Act.</w:t>
      </w:r>
      <w:r>
        <w:rPr>
          <w:rFonts w:ascii="Times New Roman" w:hAnsi="Times New Roman"/>
          <w:sz w:val="24"/>
          <w:szCs w:val="24"/>
        </w:rPr>
        <w:t xml:space="preserve"> *** </w:t>
      </w:r>
      <w:r w:rsidRPr="007D078B">
        <w:rPr>
          <w:rFonts w:ascii="Times New Roman" w:hAnsi="Times New Roman"/>
          <w:sz w:val="24"/>
          <w:szCs w:val="24"/>
        </w:rPr>
        <w:t>Moreover, even if we concluded that the EMTs acted in a way that breached the standard of ordinary care, we could not say section 773.009 was violated."</w:t>
      </w:r>
      <w:r>
        <w:rPr>
          <w:rFonts w:ascii="Times New Roman" w:hAnsi="Times New Roman"/>
          <w:sz w:val="24"/>
          <w:szCs w:val="24"/>
        </w:rPr>
        <w:t xml:space="preserve"> </w:t>
      </w:r>
      <w:r w:rsidRPr="002F4B1C">
        <w:rPr>
          <w:rFonts w:ascii="Times New Roman" w:hAnsi="Times New Roman"/>
          <w:sz w:val="24"/>
          <w:szCs w:val="24"/>
        </w:rPr>
        <w:t xml:space="preserve"> </w:t>
      </w:r>
      <w:hyperlink r:id="rId2122" w:history="1">
        <w:r w:rsidRPr="002F4B1C">
          <w:rPr>
            <w:rStyle w:val="Hyperlink"/>
            <w:rFonts w:ascii="Times New Roman" w:hAnsi="Times New Roman"/>
          </w:rPr>
          <w:t>https://law.justia.com/cases/texas/first-court-of-appeals/2022/01-21-00422-cv.html</w:t>
        </w:r>
      </w:hyperlink>
    </w:p>
    <w:bookmarkEnd w:id="441"/>
    <w:p w14:paraId="32316C9D" w14:textId="77777777" w:rsidR="006E70F8" w:rsidRPr="0062341B" w:rsidRDefault="006E70F8" w:rsidP="006E70F8">
      <w:pPr>
        <w:spacing w:before="100" w:beforeAutospacing="1" w:after="100" w:afterAutospacing="1" w:line="240" w:lineRule="auto"/>
        <w:rPr>
          <w:rFonts w:ascii="Times New Roman" w:eastAsia="Times New Roman" w:hAnsi="Times New Roman"/>
          <w:b/>
          <w:bCs/>
          <w:sz w:val="24"/>
          <w:szCs w:val="24"/>
        </w:rPr>
      </w:pPr>
      <w:r w:rsidRPr="007D078B">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City is protected from liability by the immunity statute; EMS must use extreme care when moving a patient on a stretcher down a sloped driveway.  </w:t>
      </w:r>
    </w:p>
    <w:p w14:paraId="21E88F21" w14:textId="77777777" w:rsidR="006E70F8" w:rsidRDefault="006E70F8" w:rsidP="002B1283">
      <w:pPr>
        <w:rPr>
          <w:rFonts w:ascii="Arial Black" w:hAnsi="Arial Black"/>
          <w:b/>
          <w:bCs/>
          <w:sz w:val="28"/>
          <w:szCs w:val="28"/>
        </w:rPr>
      </w:pPr>
    </w:p>
    <w:p w14:paraId="5E8E0FCE" w14:textId="78E3534E" w:rsidR="00282AF3" w:rsidRDefault="00282AF3" w:rsidP="002B1283">
      <w:pPr>
        <w:rPr>
          <w:rFonts w:ascii="Arial Black" w:hAnsi="Arial Black"/>
          <w:b/>
          <w:bCs/>
          <w:sz w:val="28"/>
          <w:szCs w:val="28"/>
        </w:rPr>
      </w:pPr>
      <w:r>
        <w:rPr>
          <w:rFonts w:ascii="Arial Black" w:hAnsi="Arial Black"/>
          <w:b/>
          <w:bCs/>
          <w:sz w:val="28"/>
          <w:szCs w:val="28"/>
        </w:rPr>
        <w:t>13-120</w:t>
      </w:r>
    </w:p>
    <w:p w14:paraId="45AF80E7" w14:textId="77777777" w:rsidR="00282AF3" w:rsidRPr="00DF7237" w:rsidRDefault="00282AF3" w:rsidP="00282AF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TN: FEMALE PATIENT – EMT ALLEGEDLY “STROKED HER RING UP AND DOWN” ASKED MARRIED – CASE DISMISSED</w:t>
      </w:r>
    </w:p>
    <w:p w14:paraId="78F0EE3D" w14:textId="77777777" w:rsidR="00282AF3" w:rsidRDefault="00282AF3" w:rsidP="00282AF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22, 2022, in </w:t>
      </w:r>
      <w:r w:rsidRPr="00A95147">
        <w:rPr>
          <w:rFonts w:ascii="Times New Roman" w:hAnsi="Times New Roman"/>
          <w:sz w:val="24"/>
          <w:szCs w:val="24"/>
          <w:u w:val="single"/>
        </w:rPr>
        <w:t xml:space="preserve">Myca Holloway v. Memphis Fire Department and </w:t>
      </w:r>
      <w:proofErr w:type="spellStart"/>
      <w:r w:rsidRPr="00A95147">
        <w:rPr>
          <w:rFonts w:ascii="Times New Roman" w:hAnsi="Times New Roman"/>
          <w:sz w:val="24"/>
          <w:szCs w:val="24"/>
          <w:u w:val="single"/>
        </w:rPr>
        <w:t>Roddi</w:t>
      </w:r>
      <w:proofErr w:type="spellEnd"/>
      <w:r w:rsidRPr="00A95147">
        <w:rPr>
          <w:rFonts w:ascii="Times New Roman" w:hAnsi="Times New Roman"/>
          <w:sz w:val="24"/>
          <w:szCs w:val="24"/>
          <w:u w:val="single"/>
        </w:rPr>
        <w:t xml:space="preserve"> Hugard</w:t>
      </w:r>
      <w:r>
        <w:rPr>
          <w:rFonts w:ascii="Times New Roman" w:hAnsi="Times New Roman"/>
          <w:sz w:val="24"/>
          <w:szCs w:val="24"/>
        </w:rPr>
        <w:t xml:space="preserve">, U.S. District Judge John T. Fowles, Jr., U.S. District Court for Western District of Tennessee [Western Division] held that lawsuit is dismissed with prejudice. </w:t>
      </w:r>
    </w:p>
    <w:p w14:paraId="4DF08F93" w14:textId="77777777" w:rsidR="00282AF3" w:rsidRDefault="00282AF3" w:rsidP="00282AF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lastRenderedPageBreak/>
        <w:t>“</w:t>
      </w:r>
      <w:r w:rsidRPr="009C356B">
        <w:rPr>
          <w:rFonts w:ascii="Times New Roman" w:eastAsia="Times New Roman" w:hAnsi="Times New Roman"/>
          <w:sz w:val="24"/>
          <w:szCs w:val="24"/>
        </w:rPr>
        <w:t xml:space="preserve">On December 27, 2021, the Magistrate Judge entered an order granting Plaintiff leave to proceed </w:t>
      </w:r>
      <w:r w:rsidRPr="009C356B">
        <w:rPr>
          <w:rFonts w:ascii="Times New Roman" w:eastAsia="Times New Roman" w:hAnsi="Times New Roman"/>
          <w:i/>
          <w:iCs/>
          <w:sz w:val="24"/>
          <w:szCs w:val="24"/>
        </w:rPr>
        <w:t>in forma pauperis</w:t>
      </w:r>
      <w:r w:rsidRPr="009C356B">
        <w:rPr>
          <w:rFonts w:ascii="Times New Roman" w:eastAsia="Times New Roman" w:hAnsi="Times New Roman"/>
          <w:sz w:val="24"/>
          <w:szCs w:val="24"/>
        </w:rPr>
        <w:t xml:space="preserve"> and a report and recommendation that the § 1983 action should be dismissed with prejudice for failure to state a claim for which relief may be granted</w:t>
      </w:r>
      <w:r>
        <w:rPr>
          <w:rFonts w:ascii="Times New Roman" w:eastAsia="Times New Roman" w:hAnsi="Times New Roman"/>
          <w:sz w:val="24"/>
          <w:szCs w:val="24"/>
        </w:rPr>
        <w:t xml:space="preserve">…. </w:t>
      </w:r>
      <w:r w:rsidRPr="009C356B">
        <w:rPr>
          <w:rFonts w:ascii="Times New Roman" w:eastAsia="Times New Roman" w:hAnsi="Times New Roman"/>
          <w:sz w:val="24"/>
          <w:szCs w:val="24"/>
        </w:rPr>
        <w:t xml:space="preserve">The Magistrate Judge noted that Holloway alleged that </w:t>
      </w:r>
      <w:proofErr w:type="spellStart"/>
      <w:r w:rsidRPr="009C356B">
        <w:rPr>
          <w:rFonts w:ascii="Times New Roman" w:eastAsia="Times New Roman" w:hAnsi="Times New Roman"/>
          <w:sz w:val="24"/>
          <w:szCs w:val="24"/>
        </w:rPr>
        <w:t>Hugard</w:t>
      </w:r>
      <w:proofErr w:type="spellEnd"/>
      <w:r w:rsidRPr="009C356B">
        <w:rPr>
          <w:rFonts w:ascii="Times New Roman" w:eastAsia="Times New Roman" w:hAnsi="Times New Roman"/>
          <w:sz w:val="24"/>
          <w:szCs w:val="24"/>
        </w:rPr>
        <w:t xml:space="preserve"> grabbed her left hand with his blue latex glove, stroked her ring up and down, and inquired about her marital status.</w:t>
      </w:r>
    </w:p>
    <w:p w14:paraId="20C0C628" w14:textId="77777777" w:rsidR="00282AF3" w:rsidRDefault="00282AF3" w:rsidP="00282AF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1E7EB883" w14:textId="77777777" w:rsidR="00282AF3" w:rsidRDefault="00282AF3" w:rsidP="00282AF3">
      <w:pPr>
        <w:spacing w:before="100" w:beforeAutospacing="1" w:after="100" w:afterAutospacing="1" w:line="240" w:lineRule="auto"/>
        <w:ind w:left="720"/>
        <w:rPr>
          <w:rFonts w:ascii="Times New Roman" w:hAnsi="Times New Roman"/>
          <w:sz w:val="24"/>
          <w:szCs w:val="24"/>
        </w:rPr>
      </w:pPr>
      <w:r w:rsidRPr="009C356B">
        <w:rPr>
          <w:rFonts w:ascii="Times New Roman" w:hAnsi="Times New Roman"/>
          <w:sz w:val="24"/>
          <w:szCs w:val="24"/>
        </w:rPr>
        <w:t xml:space="preserve">A plaintiff must allege (1) a deprivation of a right or rights secured by the Constitution and laws of the United States (2) that were committed by a defendant acting under color of state law. In the report and recommendation, the Magistrate Judge determined that Holloway specifically failed to state what actions were committed by the Memphis Fire Department or Firefighter </w:t>
      </w:r>
      <w:proofErr w:type="spellStart"/>
      <w:r w:rsidRPr="009C356B">
        <w:rPr>
          <w:rFonts w:ascii="Times New Roman" w:hAnsi="Times New Roman"/>
          <w:sz w:val="24"/>
          <w:szCs w:val="24"/>
        </w:rPr>
        <w:t>Roddi</w:t>
      </w:r>
      <w:proofErr w:type="spellEnd"/>
      <w:r w:rsidRPr="009C356B">
        <w:rPr>
          <w:rFonts w:ascii="Times New Roman" w:hAnsi="Times New Roman"/>
          <w:sz w:val="24"/>
          <w:szCs w:val="24"/>
        </w:rPr>
        <w:t xml:space="preserve"> </w:t>
      </w:r>
      <w:proofErr w:type="spellStart"/>
      <w:r w:rsidRPr="009C356B">
        <w:rPr>
          <w:rFonts w:ascii="Times New Roman" w:hAnsi="Times New Roman"/>
          <w:sz w:val="24"/>
          <w:szCs w:val="24"/>
        </w:rPr>
        <w:t>Hugard</w:t>
      </w:r>
      <w:proofErr w:type="spellEnd"/>
      <w:r w:rsidRPr="009C356B">
        <w:rPr>
          <w:rFonts w:ascii="Times New Roman" w:hAnsi="Times New Roman"/>
          <w:sz w:val="24"/>
          <w:szCs w:val="24"/>
        </w:rPr>
        <w:t xml:space="preserve"> that deprived her of her Constitutional rights.</w:t>
      </w:r>
      <w:r>
        <w:rPr>
          <w:rFonts w:ascii="Times New Roman" w:hAnsi="Times New Roman"/>
          <w:sz w:val="24"/>
          <w:szCs w:val="24"/>
        </w:rPr>
        <w:t xml:space="preserve">” </w:t>
      </w:r>
      <w:hyperlink r:id="rId2123" w:history="1">
        <w:r w:rsidRPr="002B54F8">
          <w:rPr>
            <w:rStyle w:val="Hyperlink"/>
            <w:rFonts w:ascii="Times New Roman" w:hAnsi="Times New Roman"/>
          </w:rPr>
          <w:t>https://public.fastcase.com/J%2FJP6pdidelsXxEE4k%2BLMlnZT9Hwtbb0RSX5AXtKQie%2FaJxcYuONay3v%2BauGycaLZPl2uZFZiVR3n7gLzEpChzWsXN2J3yktMkRz%2BOu%2BxAQ%3D</w:t>
        </w:r>
      </w:hyperlink>
      <w:r>
        <w:rPr>
          <w:rFonts w:ascii="Times New Roman" w:hAnsi="Times New Roman"/>
          <w:sz w:val="24"/>
          <w:szCs w:val="24"/>
        </w:rPr>
        <w:t xml:space="preserve"> </w:t>
      </w:r>
    </w:p>
    <w:p w14:paraId="5E01735F" w14:textId="4B26FEEF" w:rsidR="00282AF3" w:rsidRPr="006E70F8" w:rsidRDefault="00282AF3" w:rsidP="00282AF3">
      <w:pPr>
        <w:spacing w:before="100" w:beforeAutospacing="1" w:after="100" w:afterAutospacing="1" w:line="240" w:lineRule="auto"/>
        <w:rPr>
          <w:rFonts w:ascii="Times New Roman" w:eastAsia="Times New Roman" w:hAnsi="Times New Roman"/>
          <w:b/>
          <w:bCs/>
          <w:sz w:val="24"/>
          <w:szCs w:val="24"/>
        </w:rPr>
      </w:pPr>
      <w:bookmarkStart w:id="442" w:name="_Hlk112723729"/>
      <w:r w:rsidRPr="00757ECB">
        <w:rPr>
          <w:rFonts w:ascii="Times New Roman" w:eastAsia="Times New Roman" w:hAnsi="Times New Roman"/>
          <w:b/>
          <w:bCs/>
          <w:sz w:val="24"/>
          <w:szCs w:val="24"/>
        </w:rPr>
        <w:t xml:space="preserve">Legal Lesson Learned: </w:t>
      </w:r>
      <w:r w:rsidRPr="006E70F8">
        <w:rPr>
          <w:rFonts w:ascii="Times New Roman" w:eastAsia="Times New Roman" w:hAnsi="Times New Roman"/>
          <w:b/>
          <w:bCs/>
          <w:sz w:val="24"/>
          <w:szCs w:val="24"/>
        </w:rPr>
        <w:t xml:space="preserve">Strange case by </w:t>
      </w:r>
      <w:r w:rsidRPr="006E70F8">
        <w:rPr>
          <w:rFonts w:ascii="Times New Roman" w:eastAsia="Times New Roman" w:hAnsi="Times New Roman"/>
          <w:b/>
          <w:bCs/>
          <w:i/>
          <w:iCs/>
          <w:sz w:val="24"/>
          <w:szCs w:val="24"/>
        </w:rPr>
        <w:t xml:space="preserve">in </w:t>
      </w:r>
      <w:proofErr w:type="gramStart"/>
      <w:r w:rsidRPr="006E70F8">
        <w:rPr>
          <w:rFonts w:ascii="Times New Roman" w:eastAsia="Times New Roman" w:hAnsi="Times New Roman"/>
          <w:b/>
          <w:bCs/>
          <w:i/>
          <w:iCs/>
          <w:sz w:val="24"/>
          <w:szCs w:val="24"/>
        </w:rPr>
        <w:t>forma</w:t>
      </w:r>
      <w:proofErr w:type="gramEnd"/>
      <w:r w:rsidRPr="006E70F8">
        <w:rPr>
          <w:rFonts w:ascii="Times New Roman" w:eastAsia="Times New Roman" w:hAnsi="Times New Roman"/>
          <w:b/>
          <w:bCs/>
          <w:i/>
          <w:iCs/>
          <w:sz w:val="24"/>
          <w:szCs w:val="24"/>
        </w:rPr>
        <w:t xml:space="preserve"> pauperis</w:t>
      </w:r>
      <w:r w:rsidRPr="006E70F8">
        <w:rPr>
          <w:rFonts w:ascii="Times New Roman" w:eastAsia="Times New Roman" w:hAnsi="Times New Roman"/>
          <w:b/>
          <w:bCs/>
          <w:sz w:val="24"/>
          <w:szCs w:val="24"/>
        </w:rPr>
        <w:t xml:space="preserve"> [no money] patient with no money</w:t>
      </w:r>
      <w:r w:rsidR="006E70F8">
        <w:rPr>
          <w:rFonts w:ascii="Times New Roman" w:eastAsia="Times New Roman" w:hAnsi="Times New Roman"/>
          <w:b/>
          <w:bCs/>
          <w:sz w:val="24"/>
          <w:szCs w:val="24"/>
        </w:rPr>
        <w:t xml:space="preserve">. </w:t>
      </w:r>
      <w:r w:rsidRPr="006E70F8">
        <w:rPr>
          <w:rFonts w:ascii="Times New Roman" w:eastAsia="Times New Roman" w:hAnsi="Times New Roman"/>
          <w:b/>
          <w:bCs/>
          <w:sz w:val="24"/>
          <w:szCs w:val="24"/>
        </w:rPr>
        <w:t xml:space="preserve"> </w:t>
      </w:r>
    </w:p>
    <w:bookmarkEnd w:id="442"/>
    <w:p w14:paraId="43FFC182" w14:textId="77777777" w:rsidR="00282AF3" w:rsidRDefault="00282AF3" w:rsidP="002B1283">
      <w:pPr>
        <w:rPr>
          <w:rFonts w:ascii="Arial Black" w:hAnsi="Arial Black"/>
          <w:b/>
          <w:bCs/>
          <w:sz w:val="28"/>
          <w:szCs w:val="28"/>
        </w:rPr>
      </w:pPr>
    </w:p>
    <w:p w14:paraId="4AACD2B6" w14:textId="77777777" w:rsidR="00282AF3" w:rsidRDefault="00282AF3" w:rsidP="002B1283">
      <w:pPr>
        <w:rPr>
          <w:rFonts w:ascii="Arial Black" w:hAnsi="Arial Black"/>
          <w:b/>
          <w:bCs/>
          <w:sz w:val="28"/>
          <w:szCs w:val="28"/>
        </w:rPr>
      </w:pPr>
    </w:p>
    <w:p w14:paraId="6B72B646" w14:textId="0B01447B" w:rsidR="007051EE" w:rsidRDefault="007051EE" w:rsidP="002B1283">
      <w:pPr>
        <w:rPr>
          <w:rFonts w:ascii="Arial Black" w:hAnsi="Arial Black"/>
          <w:b/>
          <w:bCs/>
          <w:sz w:val="28"/>
          <w:szCs w:val="28"/>
        </w:rPr>
      </w:pPr>
      <w:r>
        <w:rPr>
          <w:rFonts w:ascii="Arial Black" w:hAnsi="Arial Black"/>
          <w:b/>
          <w:bCs/>
          <w:sz w:val="28"/>
          <w:szCs w:val="28"/>
        </w:rPr>
        <w:t>13-119</w:t>
      </w:r>
    </w:p>
    <w:p w14:paraId="61381B83" w14:textId="77777777" w:rsidR="007051EE" w:rsidRDefault="007051EE" w:rsidP="007051E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MN: MEDIC FIRED AFTER ER DOC REPORTED MISCONDUCT - NO MALICE BY MD – NO CASE – “VEXATIOUS LITIGANT”</w:t>
      </w:r>
    </w:p>
    <w:p w14:paraId="408450B9" w14:textId="77777777" w:rsidR="007051EE" w:rsidRPr="00133C50" w:rsidRDefault="007051EE" w:rsidP="007051EE">
      <w:pPr>
        <w:pStyle w:val="NormalWeb"/>
      </w:pPr>
      <w:r w:rsidRPr="00721460">
        <w:t xml:space="preserve">On </w:t>
      </w:r>
      <w:r>
        <w:t xml:space="preserve">July 26, 2022, in </w:t>
      </w:r>
      <w:r w:rsidRPr="00721460">
        <w:rPr>
          <w:u w:val="single"/>
        </w:rPr>
        <w:t>Peter Grigg v. Andy Coil</w:t>
      </w:r>
      <w:r>
        <w:t xml:space="preserve">, the Montana Supreme Court held (5 to 0), that lawsuit by Peter Grigg, who was fired by Eagle EMS after being informed of his misconduct by Dr. Andy Coil, emergency room physician, was properly dismissed. The lawsuit alleges: “[Dr.] Coil verbally abused, harassed, and threatened him in front of emergency room patients, family, and staff, as well as in Grigg's ambulance, and continued to harass and threaten him ‘throughout the month of May 2020.’ Grigg's Affidavit claimed he filed incident reports with [Doctor Coil’s] employer, St. Peter's Healthcare, and the Montana Board of Medical Examiners, to which [Dr.] Coil ‘retaliated by placing tort on my employer,’ causing Grigg to be terminated by his employer on June 2, 2020.” </w:t>
      </w:r>
      <w:hyperlink r:id="rId2124" w:history="1">
        <w:r w:rsidRPr="00001EDA">
          <w:rPr>
            <w:rStyle w:val="Hyperlink"/>
            <w:rFonts w:eastAsiaTheme="majorEastAsia"/>
          </w:rPr>
          <w:t>https://juddocumentservice.mt.gov/getDocByCTrackId?DocId=398159</w:t>
        </w:r>
      </w:hyperlink>
      <w:r>
        <w:t xml:space="preserve"> </w:t>
      </w:r>
    </w:p>
    <w:p w14:paraId="32B5E8F7" w14:textId="77777777" w:rsidR="007051EE" w:rsidRDefault="007051EE" w:rsidP="007051EE">
      <w:pPr>
        <w:spacing w:before="100" w:beforeAutospacing="1" w:after="100" w:afterAutospacing="1" w:line="240" w:lineRule="auto"/>
        <w:rPr>
          <w:rFonts w:ascii="Times New Roman" w:hAnsi="Times New Roman"/>
          <w:b/>
          <w:bCs/>
          <w:sz w:val="24"/>
          <w:szCs w:val="24"/>
        </w:rPr>
      </w:pPr>
      <w:r w:rsidRPr="00A75068">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Plaintiff is fortunate that in American legal system, “pro se” plaintiffs are not normally help liable for filing a meritless case.  </w:t>
      </w:r>
    </w:p>
    <w:p w14:paraId="7DE1F9C6" w14:textId="77777777" w:rsidR="007051EE" w:rsidRDefault="007051EE" w:rsidP="002B1283">
      <w:pPr>
        <w:rPr>
          <w:rFonts w:ascii="Arial Black" w:hAnsi="Arial Black"/>
          <w:b/>
          <w:bCs/>
          <w:sz w:val="28"/>
          <w:szCs w:val="28"/>
        </w:rPr>
      </w:pPr>
    </w:p>
    <w:p w14:paraId="45ECB022" w14:textId="77777777" w:rsidR="007051EE" w:rsidRDefault="007051EE" w:rsidP="002B1283">
      <w:pPr>
        <w:rPr>
          <w:rFonts w:ascii="Arial Black" w:hAnsi="Arial Black"/>
          <w:b/>
          <w:bCs/>
          <w:sz w:val="28"/>
          <w:szCs w:val="28"/>
        </w:rPr>
      </w:pPr>
    </w:p>
    <w:p w14:paraId="10C99247" w14:textId="77777777" w:rsidR="007051EE" w:rsidRDefault="007051EE" w:rsidP="002B1283">
      <w:pPr>
        <w:rPr>
          <w:rFonts w:ascii="Arial Black" w:hAnsi="Arial Black"/>
          <w:b/>
          <w:bCs/>
          <w:sz w:val="28"/>
          <w:szCs w:val="28"/>
        </w:rPr>
      </w:pPr>
    </w:p>
    <w:p w14:paraId="4634C33D" w14:textId="242DEC28" w:rsidR="00240D3F" w:rsidRDefault="00240D3F" w:rsidP="002B1283">
      <w:pPr>
        <w:rPr>
          <w:rFonts w:ascii="Arial Black" w:hAnsi="Arial Black"/>
          <w:b/>
          <w:bCs/>
          <w:sz w:val="28"/>
          <w:szCs w:val="28"/>
        </w:rPr>
      </w:pPr>
      <w:r>
        <w:rPr>
          <w:rFonts w:ascii="Arial Black" w:hAnsi="Arial Black"/>
          <w:b/>
          <w:bCs/>
          <w:sz w:val="28"/>
          <w:szCs w:val="28"/>
        </w:rPr>
        <w:t>13-118</w:t>
      </w:r>
    </w:p>
    <w:p w14:paraId="71531BF1" w14:textId="77777777" w:rsidR="00240D3F" w:rsidRPr="00C847A3" w:rsidRDefault="00240D3F" w:rsidP="00240D3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OH: MOTORCYCLE ACCIDENT – PATIENT FLOWN LEVEL 1 TRAUMA - NOT DRIVEN LEVEL III – FOLLOWED PROTOCOL</w:t>
      </w:r>
    </w:p>
    <w:p w14:paraId="1C63D1C8" w14:textId="77777777" w:rsidR="00240D3F" w:rsidRPr="0044296F" w:rsidRDefault="00240D3F" w:rsidP="00240D3F">
      <w:pPr>
        <w:pStyle w:val="NormalWeb"/>
      </w:pPr>
      <w:r>
        <w:t xml:space="preserve">On July 22, 2022, in </w:t>
      </w:r>
      <w:r w:rsidRPr="00BB5BE6">
        <w:rPr>
          <w:u w:val="single"/>
        </w:rPr>
        <w:t>Cynthia Tillman, Administrator of the Estate of Eric P. Tillman v. Kelly M. Mantz, et al.,</w:t>
      </w:r>
      <w:r>
        <w:t xml:space="preserve"> the Court of Appeals of Ohio, Sixth District (Erie), 2022-Ohio-2527, held 3 to 0 that the trial court properly granted summary judgment to the EMS personnel and </w:t>
      </w:r>
      <w:r w:rsidRPr="00526CF3">
        <w:t>to North Central EMS (NCEMS)</w:t>
      </w:r>
      <w:r>
        <w:t xml:space="preserve">.  The plaintiff in this case, was flown by a Life Flight ambulance to Level III trauma center in Toledo and survived.  Eric Tillman was flown by second Life Flight ambulance to the trauma center where he died. The plaintiff’s lawsuit includes affidavit </w:t>
      </w:r>
      <w:r w:rsidRPr="00F4263B">
        <w:rPr>
          <w:rStyle w:val="markedcontent"/>
        </w:rPr>
        <w:t>of Jeff Durgin,</w:t>
      </w:r>
      <w:r>
        <w:rPr>
          <w:rStyle w:val="markedcontent"/>
        </w:rPr>
        <w:t xml:space="preserve"> </w:t>
      </w:r>
      <w:r w:rsidRPr="00F4263B">
        <w:rPr>
          <w:rStyle w:val="markedcontent"/>
        </w:rPr>
        <w:t>M.D</w:t>
      </w:r>
      <w:r>
        <w:rPr>
          <w:rStyle w:val="markedcontent"/>
        </w:rPr>
        <w:t>, who criticized EMS for not transporting Eric Tillman by ambulance to a Level I trauma center 15 minutes away, and for not taking vitals every 15 minutes prior to transport. [EMS run report showed one set of vitals taken: 5</w:t>
      </w:r>
      <w:r w:rsidRPr="00E5099E">
        <w:rPr>
          <w:rStyle w:val="markedcontent"/>
        </w:rPr>
        <w:t>:25 p.m</w:t>
      </w:r>
      <w:r>
        <w:rPr>
          <w:rStyle w:val="markedcontent"/>
        </w:rPr>
        <w:t xml:space="preserve">. at scene; </w:t>
      </w:r>
      <w:r w:rsidRPr="00E5099E">
        <w:rPr>
          <w:rStyle w:val="markedcontent"/>
        </w:rPr>
        <w:t xml:space="preserve">two IVs </w:t>
      </w:r>
      <w:r>
        <w:rPr>
          <w:rStyle w:val="markedcontent"/>
        </w:rPr>
        <w:t xml:space="preserve">started </w:t>
      </w:r>
      <w:r w:rsidRPr="00E5099E">
        <w:rPr>
          <w:rStyle w:val="markedcontent"/>
        </w:rPr>
        <w:t>at 5:30 p.m</w:t>
      </w:r>
      <w:r>
        <w:rPr>
          <w:rStyle w:val="markedcontent"/>
        </w:rPr>
        <w:t xml:space="preserve">.; set of </w:t>
      </w:r>
      <w:r w:rsidRPr="00E5099E">
        <w:rPr>
          <w:rStyle w:val="markedcontent"/>
        </w:rPr>
        <w:t xml:space="preserve">vitals </w:t>
      </w:r>
      <w:r>
        <w:rPr>
          <w:rStyle w:val="markedcontent"/>
        </w:rPr>
        <w:t xml:space="preserve">recorded </w:t>
      </w:r>
      <w:r w:rsidRPr="00E5099E">
        <w:rPr>
          <w:rStyle w:val="markedcontent"/>
        </w:rPr>
        <w:t>5:34</w:t>
      </w:r>
      <w:r>
        <w:rPr>
          <w:rStyle w:val="markedcontent"/>
        </w:rPr>
        <w:t xml:space="preserve"> </w:t>
      </w:r>
      <w:r w:rsidRPr="00E5099E">
        <w:rPr>
          <w:rStyle w:val="markedcontent"/>
        </w:rPr>
        <w:t>p.m.</w:t>
      </w:r>
      <w:r>
        <w:rPr>
          <w:rStyle w:val="markedcontent"/>
        </w:rPr>
        <w:t xml:space="preserve">; transferred care to Life Flight </w:t>
      </w:r>
      <w:r w:rsidRPr="00E5099E">
        <w:rPr>
          <w:rStyle w:val="markedcontent"/>
        </w:rPr>
        <w:t>5:56 p.m.].</w:t>
      </w:r>
      <w:r>
        <w:rPr>
          <w:rStyle w:val="markedcontent"/>
        </w:rPr>
        <w:t xml:space="preserve"> </w:t>
      </w:r>
      <w:hyperlink r:id="rId2125" w:history="1">
        <w:r w:rsidRPr="00355029">
          <w:rPr>
            <w:rStyle w:val="Hyperlink"/>
            <w:rFonts w:eastAsiaTheme="majorEastAsia"/>
          </w:rPr>
          <w:t>http://lcapps.co.lucas.oh.us/Courts/Appeals/DecisionsPDF/10196.pdf</w:t>
        </w:r>
      </w:hyperlink>
      <w:r>
        <w:rPr>
          <w:rStyle w:val="markedcontent"/>
        </w:rPr>
        <w:t xml:space="preserve"> </w:t>
      </w:r>
    </w:p>
    <w:p w14:paraId="371E9975" w14:textId="77777777" w:rsidR="00240D3F" w:rsidRDefault="00240D3F" w:rsidP="00240D3F">
      <w:pPr>
        <w:spacing w:before="100" w:beforeAutospacing="1" w:after="100" w:afterAutospacing="1" w:line="240" w:lineRule="auto"/>
        <w:rPr>
          <w:rFonts w:ascii="Times New Roman" w:hAnsi="Times New Roman"/>
          <w:b/>
          <w:bCs/>
          <w:sz w:val="24"/>
          <w:szCs w:val="24"/>
        </w:rPr>
      </w:pPr>
      <w:r w:rsidRPr="00E91EB2">
        <w:rPr>
          <w:rFonts w:ascii="Times New Roman" w:hAnsi="Times New Roman"/>
          <w:b/>
          <w:bCs/>
          <w:sz w:val="24"/>
          <w:szCs w:val="24"/>
        </w:rPr>
        <w:t>Legal Lesson Learned:</w:t>
      </w:r>
      <w:r>
        <w:rPr>
          <w:rFonts w:ascii="Times New Roman" w:hAnsi="Times New Roman"/>
          <w:b/>
          <w:bCs/>
          <w:sz w:val="24"/>
          <w:szCs w:val="24"/>
        </w:rPr>
        <w:t xml:space="preserve"> Helpful decision on EMS following trauma protocol.</w:t>
      </w:r>
    </w:p>
    <w:p w14:paraId="2BF1E583" w14:textId="77777777" w:rsidR="00240D3F" w:rsidRPr="00615A59"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615A59">
        <w:rPr>
          <w:rFonts w:ascii="Times New Roman" w:hAnsi="Times New Roman"/>
          <w:sz w:val="24"/>
          <w:szCs w:val="24"/>
        </w:rPr>
        <w:t>Note: See helpful resources on Ohio trauma protocol.</w:t>
      </w:r>
    </w:p>
    <w:p w14:paraId="79FE9B6B" w14:textId="77777777" w:rsidR="00240D3F" w:rsidRPr="00615A59" w:rsidRDefault="00240D3F" w:rsidP="00240D3F">
      <w:pPr>
        <w:pStyle w:val="Heading3"/>
        <w:ind w:left="1440"/>
        <w:rPr>
          <w:rFonts w:ascii="Times New Roman" w:hAnsi="Times New Roman" w:cs="Times New Roman"/>
          <w:color w:val="auto"/>
        </w:rPr>
      </w:pPr>
      <w:r>
        <w:rPr>
          <w:rFonts w:ascii="Times New Roman" w:hAnsi="Times New Roman" w:cs="Times New Roman"/>
          <w:color w:val="auto"/>
        </w:rPr>
        <w:t>“</w:t>
      </w:r>
      <w:r w:rsidRPr="004B5A02">
        <w:rPr>
          <w:rFonts w:ascii="Times New Roman" w:hAnsi="Times New Roman" w:cs="Times New Roman"/>
          <w:color w:val="auto"/>
        </w:rPr>
        <w:t>Trauma System Overview</w:t>
      </w:r>
      <w:r>
        <w:rPr>
          <w:rFonts w:ascii="Times New Roman" w:hAnsi="Times New Roman" w:cs="Times New Roman"/>
          <w:color w:val="auto"/>
        </w:rPr>
        <w:t xml:space="preserve">.” </w:t>
      </w:r>
      <w:r>
        <w:rPr>
          <w:rFonts w:ascii="Times New Roman" w:hAnsi="Times New Roman" w:cs="Times New Roman"/>
          <w:b/>
          <w:bCs/>
          <w:color w:val="auto"/>
        </w:rPr>
        <w:t xml:space="preserve"> </w:t>
      </w:r>
      <w:hyperlink r:id="rId2126" w:anchor="gsc.tab=0" w:history="1">
        <w:r w:rsidRPr="00615A59">
          <w:rPr>
            <w:rStyle w:val="Hyperlink"/>
            <w:rFonts w:ascii="Times New Roman" w:hAnsi="Times New Roman" w:cs="Times New Roman"/>
          </w:rPr>
          <w:t>https://www.ems.ohio.gov/trauma-system.aspx#gsc.tab=0</w:t>
        </w:r>
      </w:hyperlink>
      <w:r w:rsidRPr="00615A59">
        <w:rPr>
          <w:rFonts w:ascii="Times New Roman" w:hAnsi="Times New Roman" w:cs="Times New Roman"/>
          <w:color w:val="auto"/>
        </w:rPr>
        <w:t xml:space="preserve"> </w:t>
      </w:r>
    </w:p>
    <w:p w14:paraId="379D46FE" w14:textId="77777777" w:rsidR="00240D3F" w:rsidRDefault="00240D3F" w:rsidP="00240D3F">
      <w:pPr>
        <w:pStyle w:val="NormalWeb"/>
        <w:ind w:left="1440"/>
      </w:pPr>
      <w:r>
        <w:t xml:space="preserve">“The Ohio Trauma System is designed to get severely injured patients to the ‘right hospital, in the right manner, in the right amount of time.’ These three factors increase the patient’s chances of survival while minimizing chances of suffering severe disabilities and death. Trauma is </w:t>
      </w:r>
      <w:r>
        <w:rPr>
          <w:u w:val="single"/>
        </w:rPr>
        <w:t>the</w:t>
      </w:r>
      <w:r>
        <w:t xml:space="preserve"> leading cause of death for people between the ages of 1 and 44 years and is a leading cause of death and disability among all age groups. Research studies of other state trauma systems have shown a person’s chances of dying or suffering a severe disability drop sharply if they are injured in a state with an organized trauma system like the Ohio Trauma System.”</w:t>
      </w:r>
    </w:p>
    <w:p w14:paraId="772F5476" w14:textId="77777777" w:rsidR="00240D3F" w:rsidRDefault="00240D3F" w:rsidP="002B1283">
      <w:pPr>
        <w:rPr>
          <w:rFonts w:ascii="Arial Black" w:hAnsi="Arial Black"/>
          <w:b/>
          <w:bCs/>
          <w:sz w:val="28"/>
          <w:szCs w:val="28"/>
        </w:rPr>
      </w:pPr>
    </w:p>
    <w:p w14:paraId="44678697" w14:textId="77777777" w:rsidR="00240D3F" w:rsidRDefault="00240D3F" w:rsidP="002B1283">
      <w:pPr>
        <w:rPr>
          <w:rFonts w:ascii="Arial Black" w:hAnsi="Arial Black"/>
          <w:b/>
          <w:bCs/>
          <w:sz w:val="28"/>
          <w:szCs w:val="28"/>
        </w:rPr>
      </w:pPr>
    </w:p>
    <w:p w14:paraId="1CDAC8FB" w14:textId="7132C975" w:rsidR="00240D3F" w:rsidRDefault="00240D3F" w:rsidP="002B1283">
      <w:pPr>
        <w:rPr>
          <w:rFonts w:ascii="Arial Black" w:hAnsi="Arial Black"/>
          <w:b/>
          <w:bCs/>
          <w:sz w:val="28"/>
          <w:szCs w:val="28"/>
        </w:rPr>
      </w:pPr>
      <w:r>
        <w:rPr>
          <w:rFonts w:ascii="Arial Black" w:hAnsi="Arial Black"/>
          <w:b/>
          <w:bCs/>
          <w:sz w:val="28"/>
          <w:szCs w:val="28"/>
        </w:rPr>
        <w:t>13-117</w:t>
      </w:r>
    </w:p>
    <w:p w14:paraId="548F6621" w14:textId="77777777" w:rsidR="00240D3F" w:rsidRPr="0088768E" w:rsidRDefault="00240D3F" w:rsidP="00240D3F">
      <w:pPr>
        <w:spacing w:before="100" w:beforeAutospacing="1" w:after="100" w:afterAutospacing="1" w:line="240" w:lineRule="auto"/>
        <w:rPr>
          <w:rFonts w:ascii="Arial Black" w:hAnsi="Arial Black"/>
          <w:sz w:val="28"/>
          <w:szCs w:val="28"/>
        </w:rPr>
      </w:pPr>
      <w:r>
        <w:rPr>
          <w:rFonts w:ascii="Arial Black" w:hAnsi="Arial Black"/>
          <w:sz w:val="28"/>
          <w:szCs w:val="28"/>
        </w:rPr>
        <w:t>MI: CARDIAC - MONITOR CALLED FOR CPR – NO CPR GIVEN, PATIENT DIED – “GROSS NEGLIGENCE” CASE TO PROCEED</w:t>
      </w:r>
    </w:p>
    <w:p w14:paraId="1C4DDE67" w14:textId="77777777" w:rsidR="00240D3F" w:rsidRDefault="00240D3F" w:rsidP="00240D3F">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July 21, 2022, in </w:t>
      </w:r>
      <w:r w:rsidRPr="0088768E">
        <w:rPr>
          <w:rFonts w:ascii="Times New Roman" w:hAnsi="Times New Roman"/>
          <w:sz w:val="24"/>
          <w:szCs w:val="24"/>
          <w:u w:val="single"/>
        </w:rPr>
        <w:t>Angela Hodges, Personal Representative of the Estate of Patrick Antonio Clemons-Hodges</w:t>
      </w:r>
      <w:r>
        <w:rPr>
          <w:rFonts w:ascii="Times New Roman" w:hAnsi="Times New Roman"/>
          <w:sz w:val="24"/>
          <w:szCs w:val="24"/>
          <w:u w:val="single"/>
        </w:rPr>
        <w:t xml:space="preserve"> v. City of </w:t>
      </w:r>
      <w:proofErr w:type="spellStart"/>
      <w:r>
        <w:rPr>
          <w:rFonts w:ascii="Times New Roman" w:hAnsi="Times New Roman"/>
          <w:sz w:val="24"/>
          <w:szCs w:val="24"/>
          <w:u w:val="single"/>
        </w:rPr>
        <w:t>Detroir</w:t>
      </w:r>
      <w:proofErr w:type="spellEnd"/>
      <w:r>
        <w:rPr>
          <w:rFonts w:ascii="Times New Roman" w:hAnsi="Times New Roman"/>
          <w:sz w:val="24"/>
          <w:szCs w:val="24"/>
          <w:u w:val="single"/>
        </w:rPr>
        <w:t xml:space="preserve">, Julian Holts and Michael Morgan, et al., </w:t>
      </w:r>
      <w:r>
        <w:rPr>
          <w:rFonts w:ascii="Times New Roman" w:hAnsi="Times New Roman"/>
          <w:sz w:val="24"/>
          <w:szCs w:val="24"/>
        </w:rPr>
        <w:t xml:space="preserve">the Court of Appeals of Michigan, held (3 to 0; unpublished opinion) that the trial court properly denied the City’s motion for summary judgment. The City took an immediate appeal and asserted that the </w:t>
      </w:r>
      <w:r w:rsidRPr="00C5046C">
        <w:rPr>
          <w:rFonts w:ascii="Times New Roman" w:hAnsi="Times New Roman"/>
          <w:sz w:val="24"/>
          <w:szCs w:val="24"/>
        </w:rPr>
        <w:t xml:space="preserve">trial court erred when it refused to grant the City governmental immunity from claims arising from the gross negligence of paramedics it employs. </w:t>
      </w:r>
      <w:r>
        <w:rPr>
          <w:rFonts w:ascii="Times New Roman" w:hAnsi="Times New Roman"/>
          <w:sz w:val="24"/>
          <w:szCs w:val="24"/>
        </w:rPr>
        <w:t xml:space="preserve"> Court of Appeals held, “</w:t>
      </w:r>
      <w:r w:rsidRPr="00C5046C">
        <w:rPr>
          <w:rFonts w:ascii="Times New Roman" w:hAnsi="Times New Roman"/>
          <w:sz w:val="24"/>
          <w:szCs w:val="24"/>
        </w:rPr>
        <w:t>We disagree and affirm.</w:t>
      </w:r>
      <w:r>
        <w:rPr>
          <w:rFonts w:ascii="Times New Roman" w:hAnsi="Times New Roman"/>
          <w:sz w:val="24"/>
          <w:szCs w:val="24"/>
        </w:rPr>
        <w:t>”</w:t>
      </w:r>
      <w:r w:rsidRPr="00C5046C">
        <w:rPr>
          <w:rFonts w:ascii="Times New Roman" w:hAnsi="Times New Roman"/>
          <w:sz w:val="24"/>
          <w:szCs w:val="24"/>
        </w:rPr>
        <w:t xml:space="preserve"> </w:t>
      </w:r>
      <w:hyperlink r:id="rId2127" w:history="1">
        <w:r w:rsidRPr="00355029">
          <w:rPr>
            <w:rStyle w:val="Hyperlink"/>
            <w:rFonts w:ascii="Times New Roman" w:eastAsia="Times New Roman" w:hAnsi="Times New Roman"/>
            <w:sz w:val="24"/>
            <w:szCs w:val="24"/>
          </w:rPr>
          <w:t>https://public.fastcase.com/J%2FJP6pdidelsXxEE4k%2BLMlzK3ypZvc0Gn%2FjuZDkyq8MI5%2FfINcqrUtBut3YiWnMm%2B6u%2FYbxznYZMXvWFYa2uilbMm7X%2Bw%2FMZe4%2FFjNyk13o%3D</w:t>
        </w:r>
      </w:hyperlink>
      <w:r>
        <w:rPr>
          <w:rFonts w:ascii="Times New Roman" w:eastAsia="Times New Roman" w:hAnsi="Times New Roman"/>
          <w:sz w:val="24"/>
          <w:szCs w:val="24"/>
        </w:rPr>
        <w:t xml:space="preserve"> </w:t>
      </w:r>
    </w:p>
    <w:p w14:paraId="7F40346A" w14:textId="77777777" w:rsidR="00240D3F" w:rsidRPr="009E08A4" w:rsidRDefault="00240D3F" w:rsidP="00240D3F">
      <w:pPr>
        <w:spacing w:before="100" w:beforeAutospacing="1" w:after="100" w:afterAutospacing="1" w:line="240" w:lineRule="auto"/>
        <w:rPr>
          <w:rFonts w:ascii="Times New Roman" w:hAnsi="Times New Roman"/>
          <w:b/>
          <w:bCs/>
          <w:sz w:val="24"/>
          <w:szCs w:val="24"/>
        </w:rPr>
      </w:pPr>
      <w:r w:rsidRPr="009E08A4">
        <w:rPr>
          <w:rFonts w:ascii="Times New Roman" w:hAnsi="Times New Roman"/>
          <w:b/>
          <w:bCs/>
          <w:sz w:val="24"/>
          <w:szCs w:val="24"/>
        </w:rPr>
        <w:t>Legal Lesson Learned:</w:t>
      </w:r>
      <w:r>
        <w:rPr>
          <w:rFonts w:ascii="Times New Roman" w:hAnsi="Times New Roman"/>
          <w:b/>
          <w:bCs/>
          <w:sz w:val="24"/>
          <w:szCs w:val="24"/>
        </w:rPr>
        <w:t xml:space="preserve"> This lawsuit will now proceed to pre-trial discovery on </w:t>
      </w:r>
      <w:proofErr w:type="spellStart"/>
      <w:r>
        <w:rPr>
          <w:rFonts w:ascii="Times New Roman" w:hAnsi="Times New Roman"/>
          <w:b/>
          <w:bCs/>
          <w:sz w:val="24"/>
          <w:szCs w:val="24"/>
        </w:rPr>
        <w:t>thr</w:t>
      </w:r>
      <w:proofErr w:type="spellEnd"/>
      <w:r>
        <w:rPr>
          <w:rFonts w:ascii="Times New Roman" w:hAnsi="Times New Roman"/>
          <w:b/>
          <w:bCs/>
          <w:sz w:val="24"/>
          <w:szCs w:val="24"/>
        </w:rPr>
        <w:t xml:space="preserve"> allegation of “gross negligence.” </w:t>
      </w:r>
    </w:p>
    <w:p w14:paraId="5D27C549" w14:textId="77777777" w:rsidR="00240D3F" w:rsidRPr="009E08A4" w:rsidRDefault="00240D3F" w:rsidP="00240D3F">
      <w:pPr>
        <w:pStyle w:val="Heading1"/>
        <w:ind w:left="720"/>
        <w:rPr>
          <w:b w:val="0"/>
          <w:bCs w:val="0"/>
          <w:sz w:val="24"/>
          <w:szCs w:val="24"/>
        </w:rPr>
      </w:pPr>
      <w:r w:rsidRPr="009E08A4">
        <w:rPr>
          <w:b w:val="0"/>
          <w:bCs w:val="0"/>
          <w:sz w:val="24"/>
          <w:szCs w:val="24"/>
        </w:rPr>
        <w:lastRenderedPageBreak/>
        <w:t xml:space="preserve">Note: </w:t>
      </w:r>
      <w:r>
        <w:rPr>
          <w:b w:val="0"/>
          <w:bCs w:val="0"/>
          <w:sz w:val="24"/>
          <w:szCs w:val="24"/>
        </w:rPr>
        <w:t xml:space="preserve">Some states have “Willful or Wanton Misconduct” standard. </w:t>
      </w:r>
      <w:r w:rsidRPr="009E08A4">
        <w:rPr>
          <w:b w:val="0"/>
          <w:bCs w:val="0"/>
          <w:sz w:val="24"/>
          <w:szCs w:val="24"/>
        </w:rPr>
        <w:t xml:space="preserve">For example, Ohio Revised Code: Section 4765.49 </w:t>
      </w:r>
      <w:r w:rsidRPr="009E08A4">
        <w:rPr>
          <w:rStyle w:val="codes-separator"/>
          <w:b w:val="0"/>
          <w:bCs w:val="0"/>
          <w:sz w:val="24"/>
          <w:szCs w:val="24"/>
        </w:rPr>
        <w:t>|</w:t>
      </w:r>
      <w:r w:rsidRPr="009E08A4">
        <w:rPr>
          <w:b w:val="0"/>
          <w:bCs w:val="0"/>
          <w:sz w:val="24"/>
          <w:szCs w:val="24"/>
        </w:rPr>
        <w:t xml:space="preserve"> Emergency medical personnel and agencies </w:t>
      </w:r>
      <w:r>
        <w:rPr>
          <w:b w:val="0"/>
          <w:bCs w:val="0"/>
          <w:sz w:val="24"/>
          <w:szCs w:val="24"/>
        </w:rPr>
        <w:t>–</w:t>
      </w:r>
      <w:r w:rsidRPr="009E08A4">
        <w:rPr>
          <w:b w:val="0"/>
          <w:bCs w:val="0"/>
          <w:sz w:val="24"/>
          <w:szCs w:val="24"/>
        </w:rPr>
        <w:t xml:space="preserve"> immunity</w:t>
      </w:r>
      <w:r>
        <w:rPr>
          <w:b w:val="0"/>
          <w:bCs w:val="0"/>
          <w:sz w:val="24"/>
          <w:szCs w:val="24"/>
        </w:rPr>
        <w:t>.</w:t>
      </w:r>
      <w:r w:rsidRPr="009E08A4">
        <w:t xml:space="preserve"> </w:t>
      </w:r>
      <w:hyperlink r:id="rId2128" w:history="1">
        <w:r w:rsidRPr="00355029">
          <w:rPr>
            <w:rStyle w:val="Hyperlink"/>
            <w:rFonts w:eastAsiaTheme="majorEastAsia"/>
            <w:b w:val="0"/>
            <w:bCs w:val="0"/>
            <w:sz w:val="24"/>
            <w:szCs w:val="24"/>
          </w:rPr>
          <w:t>https://codes.ohio.gov/ohio-revised-code/section-4765.49</w:t>
        </w:r>
      </w:hyperlink>
      <w:r>
        <w:rPr>
          <w:b w:val="0"/>
          <w:bCs w:val="0"/>
          <w:sz w:val="24"/>
          <w:szCs w:val="24"/>
        </w:rPr>
        <w:t xml:space="preserve">  “</w:t>
      </w:r>
      <w:r w:rsidRPr="009E08A4">
        <w:rPr>
          <w:b w:val="0"/>
          <w:bCs w:val="0"/>
          <w:sz w:val="24"/>
          <w:szCs w:val="24"/>
        </w:rPr>
        <w:t>(A)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r>
        <w:rPr>
          <w:b w:val="0"/>
          <w:bCs w:val="0"/>
          <w:sz w:val="24"/>
          <w:szCs w:val="24"/>
        </w:rPr>
        <w:t>”</w:t>
      </w:r>
    </w:p>
    <w:p w14:paraId="2BC1ECF0" w14:textId="77777777" w:rsidR="00240D3F" w:rsidRDefault="00240D3F" w:rsidP="002B1283">
      <w:pPr>
        <w:rPr>
          <w:rFonts w:ascii="Arial Black" w:hAnsi="Arial Black"/>
          <w:b/>
          <w:bCs/>
          <w:sz w:val="28"/>
          <w:szCs w:val="28"/>
        </w:rPr>
      </w:pPr>
    </w:p>
    <w:p w14:paraId="5A7434CA" w14:textId="77777777" w:rsidR="00240D3F" w:rsidRDefault="00240D3F" w:rsidP="002B1283">
      <w:pPr>
        <w:rPr>
          <w:rFonts w:ascii="Arial Black" w:hAnsi="Arial Black"/>
          <w:b/>
          <w:bCs/>
          <w:sz w:val="28"/>
          <w:szCs w:val="28"/>
        </w:rPr>
      </w:pPr>
    </w:p>
    <w:p w14:paraId="4F64E208" w14:textId="105CFD75" w:rsidR="00240D3F" w:rsidRDefault="00240D3F" w:rsidP="002B1283">
      <w:pPr>
        <w:rPr>
          <w:rFonts w:ascii="Arial Black" w:hAnsi="Arial Black"/>
          <w:b/>
          <w:bCs/>
          <w:sz w:val="28"/>
          <w:szCs w:val="28"/>
        </w:rPr>
      </w:pPr>
      <w:r>
        <w:rPr>
          <w:rFonts w:ascii="Arial Black" w:hAnsi="Arial Black"/>
          <w:b/>
          <w:bCs/>
          <w:sz w:val="28"/>
          <w:szCs w:val="28"/>
        </w:rPr>
        <w:t>13-116</w:t>
      </w:r>
    </w:p>
    <w:p w14:paraId="7B9B33EE" w14:textId="77777777" w:rsidR="00240D3F" w:rsidRDefault="00240D3F" w:rsidP="00240D3F">
      <w:pPr>
        <w:spacing w:before="100" w:beforeAutospacing="1" w:after="100" w:afterAutospacing="1" w:line="240" w:lineRule="auto"/>
        <w:rPr>
          <w:rFonts w:ascii="Arial Black" w:hAnsi="Arial Black"/>
          <w:sz w:val="28"/>
          <w:szCs w:val="28"/>
        </w:rPr>
      </w:pPr>
      <w:r>
        <w:rPr>
          <w:rFonts w:ascii="Arial Black" w:hAnsi="Arial Black"/>
          <w:sz w:val="28"/>
          <w:szCs w:val="28"/>
        </w:rPr>
        <w:t>NY: FDNY MEDICS SUSP - AUSTRALIAN TV FILMED ON COVID EMS RUNS – 1</w:t>
      </w:r>
      <w:r w:rsidRPr="00922539">
        <w:rPr>
          <w:rFonts w:ascii="Arial Black" w:hAnsi="Arial Black"/>
          <w:sz w:val="28"/>
          <w:szCs w:val="28"/>
          <w:vertAlign w:val="superscript"/>
        </w:rPr>
        <w:t>st</w:t>
      </w:r>
      <w:r>
        <w:rPr>
          <w:rFonts w:ascii="Arial Black" w:hAnsi="Arial Black"/>
          <w:sz w:val="28"/>
          <w:szCs w:val="28"/>
        </w:rPr>
        <w:t xml:space="preserve"> AMEND. RETALIATION PROCEED</w:t>
      </w:r>
    </w:p>
    <w:p w14:paraId="0C2422FB" w14:textId="77777777" w:rsidR="00240D3F"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8, 2022, in </w:t>
      </w:r>
      <w:r w:rsidRPr="00922539">
        <w:rPr>
          <w:rFonts w:ascii="Times New Roman" w:hAnsi="Times New Roman"/>
          <w:sz w:val="24"/>
          <w:szCs w:val="24"/>
          <w:u w:val="single"/>
        </w:rPr>
        <w:t>President Oren Barzilay, President of Uniformed EMTs, Paramedics, and Fire Inspectors, Local 2507, et al. v. City of New York, et al.</w:t>
      </w:r>
      <w:r>
        <w:rPr>
          <w:rFonts w:ascii="Times New Roman" w:hAnsi="Times New Roman"/>
          <w:sz w:val="24"/>
          <w:szCs w:val="24"/>
        </w:rPr>
        <w:t>, U.S. District Court Judge Lewis J. Liman, U.S. District Court for Southern District of New York, held that “</w:t>
      </w:r>
      <w:r w:rsidRPr="00B47805">
        <w:rPr>
          <w:rFonts w:ascii="Times New Roman" w:hAnsi="Times New Roman"/>
          <w:sz w:val="24"/>
          <w:szCs w:val="24"/>
        </w:rPr>
        <w:t>Plaintiffs are entitled to a jury trial on their § 1983 claims for First Amendment retaliation against all Defendants and on their related free-speech claim under the New York State Constitution against the City on a theory of respondeat superior.</w:t>
      </w:r>
      <w:r>
        <w:rPr>
          <w:rFonts w:ascii="Times New Roman" w:hAnsi="Times New Roman"/>
          <w:sz w:val="24"/>
          <w:szCs w:val="24"/>
        </w:rPr>
        <w:t xml:space="preserve"> *** </w:t>
      </w:r>
      <w:r w:rsidRPr="007604D6">
        <w:rPr>
          <w:rFonts w:ascii="Times New Roman" w:hAnsi="Times New Roman"/>
          <w:sz w:val="24"/>
          <w:szCs w:val="24"/>
        </w:rPr>
        <w:t>Here, there is credible evidence that suggests Defendants restricted or suspended the individual Plaintiffs for a permissible reason, but there is also evidence from which a reasonable jury could find that the Defendants did so simply because they were employees who engaged in protected speech. The role of the Court is not to weigh that evidence and determine which is the more likely scenario. That must be left to the jury.</w:t>
      </w:r>
      <w:r>
        <w:rPr>
          <w:rFonts w:ascii="Times New Roman" w:hAnsi="Times New Roman"/>
          <w:sz w:val="24"/>
          <w:szCs w:val="24"/>
        </w:rPr>
        <w:t xml:space="preserve"> *** </w:t>
      </w:r>
      <w:r w:rsidRPr="007604D6">
        <w:rPr>
          <w:rFonts w:ascii="Times New Roman" w:hAnsi="Times New Roman"/>
          <w:sz w:val="24"/>
          <w:szCs w:val="24"/>
        </w:rPr>
        <w:t>On the record before it, the Court cannot conclude as a matter of law that the FDNY was justified by the governmental interest it asserts in taking action against Bonilla, Nunez, or Pfeiffer based on these comments, which are the only parts of their protected speech that could even arguably give rise to a concern about revealing PHI, or based on the mere fact that they interacted with the media to make these comments.</w:t>
      </w:r>
      <w:r>
        <w:rPr>
          <w:rFonts w:ascii="Times New Roman" w:hAnsi="Times New Roman"/>
          <w:sz w:val="24"/>
          <w:szCs w:val="24"/>
        </w:rPr>
        <w:t xml:space="preserve">” </w:t>
      </w:r>
      <w:hyperlink r:id="rId2129" w:history="1">
        <w:r w:rsidRPr="00272AA8">
          <w:rPr>
            <w:rStyle w:val="Hyperlink"/>
            <w:rFonts w:ascii="Times New Roman" w:hAnsi="Times New Roman"/>
            <w:sz w:val="24"/>
            <w:szCs w:val="24"/>
          </w:rPr>
          <w:t>https://law.justia.com/cases/federal/district-courts/new-york/nysdce/1:2020cv04452/538491/83/</w:t>
        </w:r>
      </w:hyperlink>
      <w:r>
        <w:rPr>
          <w:rFonts w:ascii="Times New Roman" w:hAnsi="Times New Roman"/>
          <w:sz w:val="24"/>
          <w:szCs w:val="24"/>
        </w:rPr>
        <w:t xml:space="preserve"> </w:t>
      </w:r>
    </w:p>
    <w:p w14:paraId="28A60612" w14:textId="74BEF811" w:rsidR="00240D3F" w:rsidRPr="00B821BF" w:rsidRDefault="00240D3F" w:rsidP="00240D3F">
      <w:pPr>
        <w:spacing w:before="100" w:beforeAutospacing="1" w:after="100" w:afterAutospacing="1" w:line="240" w:lineRule="auto"/>
        <w:ind w:left="720" w:firstLine="60"/>
        <w:rPr>
          <w:rFonts w:ascii="Times New Roman" w:eastAsia="Times New Roman" w:hAnsi="Times New Roman"/>
          <w:sz w:val="24"/>
          <w:szCs w:val="24"/>
        </w:rPr>
      </w:pPr>
      <w:r w:rsidRPr="00B821BF">
        <w:rPr>
          <w:rFonts w:ascii="Times New Roman" w:hAnsi="Times New Roman"/>
          <w:sz w:val="24"/>
          <w:szCs w:val="24"/>
        </w:rPr>
        <w:t xml:space="preserve">[Watch the video: </w:t>
      </w:r>
      <w:hyperlink r:id="rId2130" w:history="1">
        <w:r w:rsidRPr="00B821BF">
          <w:rPr>
            <w:rStyle w:val="Hyperlink"/>
            <w:rFonts w:ascii="Times New Roman" w:eastAsia="Times New Roman" w:hAnsi="Times New Roman"/>
            <w:sz w:val="24"/>
            <w:szCs w:val="24"/>
          </w:rPr>
          <w:t>https://www.facebook.com/watch/?v=2586016544950280</w:t>
        </w:r>
      </w:hyperlink>
      <w:r w:rsidRPr="00B821BF">
        <w:rPr>
          <w:rFonts w:ascii="Times New Roman" w:eastAsia="Times New Roman" w:hAnsi="Times New Roman"/>
          <w:sz w:val="24"/>
          <w:szCs w:val="24"/>
        </w:rPr>
        <w:t xml:space="preserve"> .]</w:t>
      </w:r>
    </w:p>
    <w:p w14:paraId="2A38FEB2" w14:textId="77777777" w:rsidR="00240D3F" w:rsidRDefault="00240D3F" w:rsidP="00240D3F">
      <w:pPr>
        <w:spacing w:before="100" w:beforeAutospacing="1" w:after="100" w:afterAutospacing="1" w:line="240" w:lineRule="auto"/>
        <w:rPr>
          <w:rFonts w:ascii="Times New Roman" w:hAnsi="Times New Roman"/>
          <w:b/>
          <w:bCs/>
          <w:sz w:val="24"/>
          <w:szCs w:val="24"/>
        </w:rPr>
      </w:pPr>
      <w:r w:rsidRPr="0074449E">
        <w:rPr>
          <w:rFonts w:ascii="Times New Roman" w:hAnsi="Times New Roman"/>
          <w:b/>
          <w:bCs/>
          <w:sz w:val="24"/>
          <w:szCs w:val="24"/>
        </w:rPr>
        <w:t>Legal Lesson Learned:</w:t>
      </w:r>
      <w:r>
        <w:rPr>
          <w:rFonts w:ascii="Times New Roman" w:hAnsi="Times New Roman"/>
          <w:b/>
          <w:bCs/>
          <w:sz w:val="24"/>
          <w:szCs w:val="24"/>
        </w:rPr>
        <w:t xml:space="preserve"> The U.S. Supreme Court’s </w:t>
      </w:r>
      <w:r w:rsidRPr="0074449E">
        <w:rPr>
          <w:rFonts w:ascii="Times New Roman" w:hAnsi="Times New Roman"/>
          <w:b/>
          <w:bCs/>
          <w:i/>
          <w:iCs/>
          <w:sz w:val="24"/>
          <w:szCs w:val="24"/>
        </w:rPr>
        <w:t>Pickering</w:t>
      </w:r>
      <w:r>
        <w:rPr>
          <w:rFonts w:ascii="Times New Roman" w:hAnsi="Times New Roman"/>
          <w:b/>
          <w:bCs/>
          <w:sz w:val="24"/>
          <w:szCs w:val="24"/>
        </w:rPr>
        <w:t xml:space="preserve"> “balancing” decision has led to lots of litigation about right of EMS, fire and police officers to “go public” with concerns. </w:t>
      </w:r>
    </w:p>
    <w:p w14:paraId="678FB62C" w14:textId="77777777" w:rsidR="00240D3F" w:rsidRPr="0074449E"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74449E">
        <w:rPr>
          <w:rFonts w:ascii="Times New Roman" w:hAnsi="Times New Roman"/>
          <w:sz w:val="24"/>
          <w:szCs w:val="24"/>
        </w:rPr>
        <w:t xml:space="preserve">Note: </w:t>
      </w:r>
      <w:r>
        <w:rPr>
          <w:rFonts w:ascii="Times New Roman" w:hAnsi="Times New Roman"/>
          <w:sz w:val="24"/>
          <w:szCs w:val="24"/>
        </w:rPr>
        <w:t>Court discussed this Fire Marshal decision.</w:t>
      </w:r>
    </w:p>
    <w:p w14:paraId="0F4CA914" w14:textId="77777777" w:rsidR="00240D3F" w:rsidRPr="00F07132" w:rsidRDefault="00240D3F" w:rsidP="00240D3F">
      <w:pPr>
        <w:pStyle w:val="Heading1"/>
        <w:ind w:left="720"/>
        <w:rPr>
          <w:b w:val="0"/>
          <w:bCs w:val="0"/>
          <w:sz w:val="24"/>
          <w:szCs w:val="24"/>
        </w:rPr>
      </w:pPr>
      <w:r>
        <w:rPr>
          <w:sz w:val="24"/>
          <w:szCs w:val="24"/>
        </w:rPr>
        <w:t>“</w:t>
      </w:r>
      <w:r w:rsidRPr="008A111F">
        <w:rPr>
          <w:b w:val="0"/>
          <w:bCs w:val="0"/>
          <w:sz w:val="24"/>
          <w:szCs w:val="24"/>
        </w:rPr>
        <w:t xml:space="preserve">In </w:t>
      </w:r>
      <w:r w:rsidRPr="008A111F">
        <w:rPr>
          <w:b w:val="0"/>
          <w:bCs w:val="0"/>
          <w:i/>
          <w:iCs/>
          <w:sz w:val="24"/>
          <w:szCs w:val="24"/>
        </w:rPr>
        <w:t>Specht</w:t>
      </w:r>
      <w:r w:rsidRPr="0074449E">
        <w:rPr>
          <w:b w:val="0"/>
          <w:bCs w:val="0"/>
          <w:i/>
          <w:iCs/>
          <w:sz w:val="24"/>
          <w:szCs w:val="24"/>
        </w:rPr>
        <w:t xml:space="preserve"> [</w:t>
      </w:r>
      <w:r w:rsidRPr="0074449E">
        <w:rPr>
          <w:b w:val="0"/>
          <w:bCs w:val="0"/>
          <w:sz w:val="24"/>
          <w:szCs w:val="24"/>
        </w:rPr>
        <w:t xml:space="preserve">Specht v. City of New York, No. 20-4211 (2d Cir. 2021), </w:t>
      </w:r>
      <w:hyperlink r:id="rId2131" w:history="1">
        <w:r w:rsidRPr="00272AA8">
          <w:rPr>
            <w:rStyle w:val="Hyperlink"/>
            <w:rFonts w:eastAsiaTheme="majorEastAsia"/>
            <w:b w:val="0"/>
            <w:bCs w:val="0"/>
            <w:sz w:val="24"/>
            <w:szCs w:val="24"/>
          </w:rPr>
          <w:t>https://law.justia.com/cases/federal/appellate-courts/ca2/20-4211/20-4211-2021-10-06.html</w:t>
        </w:r>
      </w:hyperlink>
      <w:r>
        <w:rPr>
          <w:b w:val="0"/>
          <w:bCs w:val="0"/>
          <w:sz w:val="24"/>
          <w:szCs w:val="24"/>
        </w:rPr>
        <w:t xml:space="preserve"> ] </w:t>
      </w:r>
      <w:r w:rsidRPr="008A111F">
        <w:rPr>
          <w:sz w:val="24"/>
          <w:szCs w:val="24"/>
        </w:rPr>
        <w:t xml:space="preserve"> </w:t>
      </w:r>
      <w:r w:rsidRPr="008A111F">
        <w:rPr>
          <w:b w:val="0"/>
          <w:bCs w:val="0"/>
          <w:sz w:val="24"/>
          <w:szCs w:val="24"/>
        </w:rPr>
        <w:t xml:space="preserve">the Second Circuit held that a fire marshal's internal email to other fire marshals concerning the course of a fire investigation and pressure from supervisors to prematurely terminate his work and file a false report regarding the cause for the fire constituted “internal workplace grievances, not matters of public concern.” 15 F.4th at 601. However, the Circuit held that the marshal's complaint to the New York City Department of Investigation, his Notice of Claim with the City, his meeting with representatives from the District Attorney's office, and his communications with the local press about his investigation and his supervisors' demands all touched on matters of public concern since his reports “to outside agencies . . . implicate[d] matters of public importance” and “relate to possible governmental malfeasance, public </w:t>
      </w:r>
      <w:r w:rsidRPr="008A111F">
        <w:rPr>
          <w:b w:val="0"/>
          <w:bCs w:val="0"/>
          <w:sz w:val="24"/>
          <w:szCs w:val="24"/>
        </w:rPr>
        <w:lastRenderedPageBreak/>
        <w:t xml:space="preserve">safety, as well as to the public fisc.” </w:t>
      </w:r>
      <w:r w:rsidRPr="008A111F">
        <w:rPr>
          <w:b w:val="0"/>
          <w:bCs w:val="0"/>
          <w:i/>
          <w:iCs/>
          <w:sz w:val="24"/>
          <w:szCs w:val="24"/>
        </w:rPr>
        <w:t>Id.</w:t>
      </w:r>
      <w:r w:rsidRPr="008A111F">
        <w:rPr>
          <w:b w:val="0"/>
          <w:bCs w:val="0"/>
          <w:sz w:val="24"/>
          <w:szCs w:val="24"/>
        </w:rPr>
        <w:t xml:space="preserve"> </w:t>
      </w:r>
      <w:proofErr w:type="gramStart"/>
      <w:r w:rsidRPr="008A111F">
        <w:rPr>
          <w:b w:val="0"/>
          <w:bCs w:val="0"/>
          <w:sz w:val="24"/>
          <w:szCs w:val="24"/>
        </w:rPr>
        <w:t>at</w:t>
      </w:r>
      <w:proofErr w:type="gramEnd"/>
      <w:r w:rsidRPr="008A111F">
        <w:rPr>
          <w:b w:val="0"/>
          <w:bCs w:val="0"/>
          <w:sz w:val="24"/>
          <w:szCs w:val="24"/>
        </w:rPr>
        <w:t xml:space="preserve"> 601-02. Further, the Circuit found that the fire marshal's refusal to file a false report touched on matters of public concern because, just like his reports to outside agencies, the action “pertain[ed] to . . . potentially serious governmental misconduct.” </w:t>
      </w:r>
      <w:r w:rsidRPr="008A111F">
        <w:rPr>
          <w:b w:val="0"/>
          <w:bCs w:val="0"/>
          <w:i/>
          <w:iCs/>
          <w:sz w:val="24"/>
          <w:szCs w:val="24"/>
        </w:rPr>
        <w:t>Id.</w:t>
      </w:r>
      <w:r w:rsidRPr="008A111F">
        <w:rPr>
          <w:b w:val="0"/>
          <w:bCs w:val="0"/>
          <w:sz w:val="24"/>
          <w:szCs w:val="24"/>
        </w:rPr>
        <w:t xml:space="preserve"> at 602. Finally, the Circuit held that the marshal's reports to outside agencies and refusal to file a false report did not occur in his capacity as an employee because neither was “part-and-parcel” of his duties, </w:t>
      </w:r>
      <w:r w:rsidRPr="008A111F">
        <w:rPr>
          <w:b w:val="0"/>
          <w:bCs w:val="0"/>
          <w:i/>
          <w:iCs/>
          <w:sz w:val="24"/>
          <w:szCs w:val="24"/>
        </w:rPr>
        <w:t>Id.</w:t>
      </w:r>
      <w:r w:rsidRPr="008A111F">
        <w:rPr>
          <w:b w:val="0"/>
          <w:bCs w:val="0"/>
          <w:sz w:val="24"/>
          <w:szCs w:val="24"/>
        </w:rPr>
        <w:t xml:space="preserve"> at 604 (internal quotation marks omitted); his actions more accurately described a citizen refusing to violate the law and reporting on government misconduct to the public, </w:t>
      </w:r>
      <w:r w:rsidRPr="008A111F">
        <w:rPr>
          <w:b w:val="0"/>
          <w:bCs w:val="0"/>
          <w:i/>
          <w:iCs/>
          <w:sz w:val="24"/>
          <w:szCs w:val="24"/>
        </w:rPr>
        <w:t>Id.</w:t>
      </w:r>
      <w:r w:rsidRPr="008A111F">
        <w:rPr>
          <w:b w:val="0"/>
          <w:bCs w:val="0"/>
          <w:sz w:val="24"/>
          <w:szCs w:val="24"/>
        </w:rPr>
        <w:t xml:space="preserve"> Thus, the fire marshal's speech constituted protected First Amendment activity.</w:t>
      </w:r>
      <w:r w:rsidRPr="00F07132">
        <w:rPr>
          <w:b w:val="0"/>
          <w:bCs w:val="0"/>
          <w:sz w:val="24"/>
          <w:szCs w:val="24"/>
        </w:rPr>
        <w:t xml:space="preserve">” </w:t>
      </w:r>
    </w:p>
    <w:p w14:paraId="72CAEE30" w14:textId="77777777" w:rsidR="00240D3F" w:rsidRDefault="00240D3F" w:rsidP="002B1283">
      <w:pPr>
        <w:rPr>
          <w:rFonts w:ascii="Arial Black" w:hAnsi="Arial Black"/>
          <w:b/>
          <w:bCs/>
          <w:sz w:val="28"/>
          <w:szCs w:val="28"/>
        </w:rPr>
      </w:pPr>
    </w:p>
    <w:p w14:paraId="73426D8D" w14:textId="77777777" w:rsidR="00240D3F" w:rsidRDefault="00240D3F" w:rsidP="002B1283">
      <w:pPr>
        <w:rPr>
          <w:rFonts w:ascii="Arial Black" w:hAnsi="Arial Black"/>
          <w:b/>
          <w:bCs/>
          <w:sz w:val="28"/>
          <w:szCs w:val="28"/>
        </w:rPr>
      </w:pPr>
    </w:p>
    <w:p w14:paraId="126E6BCE" w14:textId="6E2096B4" w:rsidR="009579EB" w:rsidRDefault="00936792" w:rsidP="002B1283">
      <w:pPr>
        <w:rPr>
          <w:rFonts w:ascii="Arial Black" w:hAnsi="Arial Black"/>
          <w:b/>
          <w:bCs/>
          <w:sz w:val="28"/>
          <w:szCs w:val="28"/>
        </w:rPr>
      </w:pPr>
      <w:r>
        <w:rPr>
          <w:rFonts w:ascii="Arial Black" w:hAnsi="Arial Black"/>
          <w:b/>
          <w:bCs/>
          <w:sz w:val="28"/>
          <w:szCs w:val="28"/>
        </w:rPr>
        <w:t>13-115</w:t>
      </w:r>
    </w:p>
    <w:p w14:paraId="3B64BDD2" w14:textId="77777777" w:rsidR="00936792" w:rsidRDefault="00936792" w:rsidP="00936792">
      <w:pPr>
        <w:spacing w:before="100" w:beforeAutospacing="1" w:after="100" w:afterAutospacing="1" w:line="240" w:lineRule="auto"/>
        <w:rPr>
          <w:rFonts w:ascii="Arial Black" w:hAnsi="Arial Black"/>
          <w:sz w:val="28"/>
          <w:szCs w:val="28"/>
        </w:rPr>
      </w:pPr>
      <w:r>
        <w:rPr>
          <w:rFonts w:ascii="Arial Black" w:hAnsi="Arial Black"/>
          <w:sz w:val="28"/>
          <w:szCs w:val="28"/>
        </w:rPr>
        <w:t>TX: MEDIC VIDEOED KICKING HOMELESS MAN – LAWSUIT PROCEED – ALLEGED FD POLICY NOT TERMINATING EMS</w:t>
      </w:r>
    </w:p>
    <w:p w14:paraId="22D2EBC5" w14:textId="77777777" w:rsidR="00936792" w:rsidRDefault="00936792" w:rsidP="0093679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On June 23, 2022, in</w:t>
      </w:r>
      <w:r>
        <w:t xml:space="preserve"> </w:t>
      </w:r>
      <w:r>
        <w:rPr>
          <w:rFonts w:ascii="Times New Roman" w:hAnsi="Times New Roman"/>
          <w:sz w:val="24"/>
          <w:szCs w:val="24"/>
          <w:u w:val="single"/>
        </w:rPr>
        <w:t>Kyle Vess v. City of Dallas, a municipal corporation, and Brad Alan Cox</w:t>
      </w:r>
      <w:r>
        <w:t xml:space="preserve">, </w:t>
      </w:r>
      <w:r>
        <w:rPr>
          <w:rFonts w:ascii="Times New Roman" w:hAnsi="Times New Roman"/>
          <w:sz w:val="24"/>
          <w:szCs w:val="24"/>
        </w:rPr>
        <w:t xml:space="preserve">U.S. Senior District Court Judge Sidney A. Fitzwater, U.S. District Court for the Northern District of Texas, denied the City’s motion to dismiss, </w:t>
      </w:r>
      <w:proofErr w:type="gramStart"/>
      <w:r>
        <w:rPr>
          <w:rFonts w:ascii="Times New Roman" w:hAnsi="Times New Roman"/>
          <w:sz w:val="24"/>
          <w:szCs w:val="24"/>
        </w:rPr>
        <w:t>and also</w:t>
      </w:r>
      <w:proofErr w:type="gramEnd"/>
      <w:r>
        <w:rPr>
          <w:rFonts w:ascii="Times New Roman" w:hAnsi="Times New Roman"/>
          <w:sz w:val="24"/>
          <w:szCs w:val="24"/>
        </w:rPr>
        <w:t xml:space="preserve"> declined to dismiss all of claims against the paramedic.  “Taking the facts alleged in the SAC [Second Amended Complaint] as true, the court concludes that Vess has plausibly pleaded that this policy ‘of protection for previously disciplined personnel by refusing to terminate or separate from employment individuals unfit to serve as members of the Dallas Fire Department despite good cause for termination and the risk these individuals pose to the public,’ SAC ¶ 45(d), was the moving force behind Cox's actions.  The Court also noted that Vess alleges that [Dallas Police Investigations Unit] hampered the investigation because it did not turn over exculpatory evidence to Vess's criminal defense attorney until two years after the events in question and not until after this lawsuit was filed. Further, DPIU did not take statements from DFD personnel when it was investigating Vess and Cox's confrontation; it only took statements from police officers who were on the scene.” </w:t>
      </w:r>
      <w:hyperlink r:id="rId2132" w:history="1">
        <w:r>
          <w:rPr>
            <w:rStyle w:val="Hyperlink"/>
            <w:sz w:val="24"/>
            <w:szCs w:val="24"/>
          </w:rPr>
          <w:t>https://public.fastcase.com/waZtJvSA54UAurM2rmIZz2loI3SMK51lisNXjYZKph2xHHDuTcicSNaYOQdhESxu4yBG2%2FvlbYv%2BMp6LYbH6Xh9C0n%2BJCkyXjjUwyrGDKNg%3D</w:t>
        </w:r>
      </w:hyperlink>
      <w:r>
        <w:rPr>
          <w:rFonts w:ascii="Times New Roman" w:hAnsi="Times New Roman"/>
          <w:sz w:val="24"/>
          <w:szCs w:val="24"/>
        </w:rPr>
        <w:t xml:space="preserve"> </w:t>
      </w:r>
    </w:p>
    <w:p w14:paraId="531B5ABA" w14:textId="77777777" w:rsidR="00936792" w:rsidRDefault="00936792" w:rsidP="0093679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 Learned: Serious allegations; case will now proceed to pre-trial discovery. </w:t>
      </w:r>
    </w:p>
    <w:p w14:paraId="5B746A5C" w14:textId="77777777" w:rsidR="00936792" w:rsidRDefault="00936792" w:rsidP="00936792">
      <w:pPr>
        <w:pStyle w:val="Heading1"/>
        <w:ind w:left="720"/>
        <w:rPr>
          <w:b w:val="0"/>
          <w:bCs w:val="0"/>
          <w:sz w:val="24"/>
          <w:szCs w:val="24"/>
        </w:rPr>
      </w:pPr>
      <w:r>
        <w:rPr>
          <w:b w:val="0"/>
          <w:bCs w:val="0"/>
          <w:sz w:val="24"/>
          <w:szCs w:val="24"/>
        </w:rPr>
        <w:t>Note: See articles:</w:t>
      </w:r>
    </w:p>
    <w:p w14:paraId="1C212EA1" w14:textId="77777777" w:rsidR="00936792" w:rsidRDefault="00936792" w:rsidP="00936792">
      <w:pPr>
        <w:pStyle w:val="Heading1"/>
        <w:ind w:left="720"/>
        <w:rPr>
          <w:b w:val="0"/>
          <w:bCs w:val="0"/>
          <w:sz w:val="24"/>
          <w:szCs w:val="24"/>
        </w:rPr>
      </w:pPr>
      <w:r>
        <w:rPr>
          <w:b w:val="0"/>
          <w:bCs w:val="0"/>
          <w:sz w:val="24"/>
          <w:szCs w:val="24"/>
        </w:rPr>
        <w:t xml:space="preserve">“Court Shoots Down Dallas' Request to Toss Out Lawsuit Over Paramedic Kicking Man in Head” (June 28, 2022): </w:t>
      </w:r>
      <w:hyperlink r:id="rId2133" w:history="1">
        <w:r>
          <w:rPr>
            <w:rStyle w:val="Hyperlink"/>
            <w:sz w:val="24"/>
            <w:szCs w:val="24"/>
          </w:rPr>
          <w:t>https://www.dallasobserver.com/news/kyle-vess-court-rules-lawsuit-against-city-and-former-paramedic-can-move-forward-14303422</w:t>
        </w:r>
      </w:hyperlink>
      <w:r>
        <w:rPr>
          <w:b w:val="0"/>
          <w:bCs w:val="0"/>
          <w:sz w:val="24"/>
          <w:szCs w:val="24"/>
        </w:rPr>
        <w:t xml:space="preserve"> </w:t>
      </w:r>
    </w:p>
    <w:p w14:paraId="40069CD9" w14:textId="77777777" w:rsidR="00936792" w:rsidRDefault="00936792" w:rsidP="00936792">
      <w:pPr>
        <w:pStyle w:val="Heading1"/>
        <w:ind w:left="720"/>
        <w:rPr>
          <w:b w:val="0"/>
          <w:bCs w:val="0"/>
          <w:sz w:val="24"/>
          <w:szCs w:val="24"/>
        </w:rPr>
      </w:pPr>
      <w:r>
        <w:rPr>
          <w:b w:val="0"/>
          <w:bCs w:val="0"/>
          <w:sz w:val="24"/>
          <w:szCs w:val="24"/>
        </w:rPr>
        <w:t xml:space="preserve">After Police Review, No Charges Filed Against Former Dallas Paramedic Who Kicked Mentally Ill Man (March 7, 2022): </w:t>
      </w:r>
      <w:hyperlink r:id="rId2134" w:history="1">
        <w:r>
          <w:rPr>
            <w:rStyle w:val="Hyperlink"/>
            <w:sz w:val="24"/>
            <w:szCs w:val="24"/>
          </w:rPr>
          <w:t>https://www.dallasobserver.com/news/after-dpd-review-no-charges-filed-against-former-paramedic-who-kicked-mentally-ill-man-13536919</w:t>
        </w:r>
      </w:hyperlink>
      <w:r>
        <w:rPr>
          <w:b w:val="0"/>
          <w:bCs w:val="0"/>
          <w:sz w:val="24"/>
          <w:szCs w:val="24"/>
        </w:rPr>
        <w:t xml:space="preserve"> </w:t>
      </w:r>
    </w:p>
    <w:p w14:paraId="64CD8499" w14:textId="58BBF9D0" w:rsidR="00936792" w:rsidRDefault="00936792" w:rsidP="00936792">
      <w:pPr>
        <w:ind w:left="720"/>
        <w:rPr>
          <w:rFonts w:ascii="Arial Black" w:hAnsi="Arial Black"/>
          <w:b/>
          <w:bCs/>
          <w:sz w:val="28"/>
          <w:szCs w:val="28"/>
        </w:rPr>
      </w:pPr>
      <w:r>
        <w:rPr>
          <w:sz w:val="24"/>
          <w:szCs w:val="24"/>
        </w:rPr>
        <w:t xml:space="preserve">New Video Shows Dallas Paramedic Repeatedly Kicking Mentally Ill Man Before Police Show Up (Oct. 19, 2021): </w:t>
      </w:r>
      <w:hyperlink r:id="rId2135" w:history="1">
        <w:r>
          <w:rPr>
            <w:rStyle w:val="Hyperlink"/>
            <w:sz w:val="24"/>
            <w:szCs w:val="24"/>
          </w:rPr>
          <w:t>https://www.dallasobserver.com/news/watch-dallas-paramedic-kicks-mentally-ill-man-several-times-before-police-arrive-on-scene-12638001</w:t>
        </w:r>
      </w:hyperlink>
    </w:p>
    <w:p w14:paraId="18A989C0" w14:textId="77777777" w:rsidR="00936792" w:rsidRDefault="00936792" w:rsidP="002B1283">
      <w:pPr>
        <w:rPr>
          <w:rFonts w:ascii="Arial Black" w:hAnsi="Arial Black"/>
          <w:b/>
          <w:bCs/>
          <w:sz w:val="28"/>
          <w:szCs w:val="28"/>
        </w:rPr>
      </w:pPr>
    </w:p>
    <w:p w14:paraId="5E41758B" w14:textId="77777777" w:rsidR="00936792" w:rsidRDefault="00936792" w:rsidP="002B1283">
      <w:pPr>
        <w:rPr>
          <w:rFonts w:ascii="Arial Black" w:hAnsi="Arial Black"/>
          <w:b/>
          <w:bCs/>
          <w:sz w:val="28"/>
          <w:szCs w:val="28"/>
        </w:rPr>
      </w:pPr>
    </w:p>
    <w:p w14:paraId="42DCCC29" w14:textId="3B1636CF" w:rsidR="009579EB" w:rsidRDefault="009579EB" w:rsidP="002B1283">
      <w:pPr>
        <w:rPr>
          <w:rFonts w:ascii="Arial Black" w:hAnsi="Arial Black"/>
          <w:b/>
          <w:bCs/>
          <w:sz w:val="28"/>
          <w:szCs w:val="28"/>
        </w:rPr>
      </w:pPr>
      <w:r>
        <w:rPr>
          <w:rFonts w:ascii="Arial Black" w:hAnsi="Arial Black"/>
          <w:b/>
          <w:bCs/>
          <w:sz w:val="28"/>
          <w:szCs w:val="28"/>
        </w:rPr>
        <w:t>13-114</w:t>
      </w:r>
    </w:p>
    <w:p w14:paraId="7F66F2F4" w14:textId="77777777" w:rsidR="009579EB" w:rsidRDefault="009579EB" w:rsidP="009579EB">
      <w:pPr>
        <w:spacing w:before="100" w:beforeAutospacing="1" w:after="100" w:afterAutospacing="1" w:line="240" w:lineRule="auto"/>
        <w:rPr>
          <w:rFonts w:ascii="Arial Black" w:hAnsi="Arial Black"/>
          <w:b/>
          <w:sz w:val="28"/>
          <w:szCs w:val="28"/>
        </w:rPr>
      </w:pPr>
      <w:r>
        <w:rPr>
          <w:rFonts w:ascii="Arial Black" w:hAnsi="Arial Black"/>
          <w:b/>
          <w:sz w:val="28"/>
          <w:szCs w:val="28"/>
        </w:rPr>
        <w:t>MS: EMS ON SCENE 16 MINUTES – VICTIM SHOT 3 TIMES –P’S MD EXPERT - NO EMER. MED. EXP. - DISQUALIFIED</w:t>
      </w:r>
    </w:p>
    <w:p w14:paraId="3EE7BB5C" w14:textId="63D216FC" w:rsidR="009579EB" w:rsidRDefault="009579EB" w:rsidP="009579EB">
      <w:pPr>
        <w:rPr>
          <w:rStyle w:val="Hyperlink"/>
          <w:rFonts w:ascii="Times New Roman" w:hAnsi="Times New Roman"/>
          <w:sz w:val="24"/>
          <w:szCs w:val="24"/>
        </w:rPr>
      </w:pPr>
      <w:r w:rsidRPr="00B60757">
        <w:rPr>
          <w:rFonts w:ascii="Times New Roman" w:hAnsi="Times New Roman"/>
          <w:bCs/>
          <w:sz w:val="24"/>
          <w:szCs w:val="24"/>
        </w:rPr>
        <w:t xml:space="preserve">On May 12, 2022, in </w:t>
      </w:r>
      <w:r w:rsidRPr="005F737D">
        <w:rPr>
          <w:rFonts w:ascii="Times New Roman" w:hAnsi="Times New Roman"/>
          <w:bCs/>
          <w:sz w:val="24"/>
          <w:szCs w:val="24"/>
          <w:u w:val="single"/>
        </w:rPr>
        <w:t xml:space="preserve">Marcus Walker, on behalf of the wrongful death beneficiaries of </w:t>
      </w:r>
      <w:proofErr w:type="spellStart"/>
      <w:r w:rsidRPr="005F737D">
        <w:rPr>
          <w:rFonts w:ascii="Times New Roman" w:hAnsi="Times New Roman"/>
          <w:bCs/>
          <w:sz w:val="24"/>
          <w:szCs w:val="24"/>
          <w:u w:val="single"/>
        </w:rPr>
        <w:t>De’Aubrey</w:t>
      </w:r>
      <w:proofErr w:type="spellEnd"/>
      <w:r w:rsidRPr="005F737D">
        <w:rPr>
          <w:rFonts w:ascii="Times New Roman" w:hAnsi="Times New Roman"/>
          <w:bCs/>
          <w:sz w:val="24"/>
          <w:szCs w:val="24"/>
          <w:u w:val="single"/>
        </w:rPr>
        <w:t xml:space="preserve"> </w:t>
      </w:r>
      <w:proofErr w:type="spellStart"/>
      <w:r w:rsidRPr="005F737D">
        <w:rPr>
          <w:rFonts w:ascii="Times New Roman" w:hAnsi="Times New Roman"/>
          <w:bCs/>
          <w:sz w:val="24"/>
          <w:szCs w:val="24"/>
          <w:u w:val="single"/>
        </w:rPr>
        <w:t>Rajheem</w:t>
      </w:r>
      <w:proofErr w:type="spellEnd"/>
      <w:r w:rsidRPr="005F737D">
        <w:rPr>
          <w:rFonts w:ascii="Times New Roman" w:hAnsi="Times New Roman"/>
          <w:bCs/>
          <w:sz w:val="24"/>
          <w:szCs w:val="24"/>
          <w:u w:val="single"/>
        </w:rPr>
        <w:t xml:space="preserve"> Roscoe v. City of Indianola,</w:t>
      </w:r>
      <w:r>
        <w:rPr>
          <w:rFonts w:ascii="Times New Roman" w:hAnsi="Times New Roman"/>
          <w:bCs/>
          <w:sz w:val="24"/>
          <w:szCs w:val="24"/>
          <w:u w:val="single"/>
        </w:rPr>
        <w:t xml:space="preserve"> </w:t>
      </w:r>
      <w:proofErr w:type="spellStart"/>
      <w:r>
        <w:rPr>
          <w:rFonts w:ascii="Times New Roman" w:hAnsi="Times New Roman"/>
          <w:bCs/>
          <w:sz w:val="24"/>
          <w:szCs w:val="24"/>
          <w:u w:val="single"/>
        </w:rPr>
        <w:t>Medstat</w:t>
      </w:r>
      <w:proofErr w:type="spellEnd"/>
      <w:r>
        <w:rPr>
          <w:rFonts w:ascii="Times New Roman" w:hAnsi="Times New Roman"/>
          <w:bCs/>
          <w:sz w:val="24"/>
          <w:szCs w:val="24"/>
          <w:u w:val="single"/>
        </w:rPr>
        <w:t xml:space="preserve"> EMS, Inc. </w:t>
      </w:r>
      <w:r w:rsidRPr="005F737D">
        <w:rPr>
          <w:rFonts w:ascii="Times New Roman" w:hAnsi="Times New Roman"/>
          <w:bCs/>
          <w:sz w:val="24"/>
          <w:szCs w:val="24"/>
          <w:u w:val="single"/>
        </w:rPr>
        <w:t xml:space="preserve"> et al.</w:t>
      </w:r>
      <w:r>
        <w:rPr>
          <w:rFonts w:ascii="Times New Roman" w:hAnsi="Times New Roman"/>
          <w:bCs/>
          <w:sz w:val="24"/>
          <w:szCs w:val="24"/>
        </w:rPr>
        <w:t xml:space="preserve">, U.S. District Court Judge for the Northern District of Mississippi granted </w:t>
      </w:r>
      <w:proofErr w:type="spellStart"/>
      <w:r>
        <w:rPr>
          <w:rFonts w:ascii="Times New Roman" w:hAnsi="Times New Roman"/>
          <w:bCs/>
          <w:sz w:val="24"/>
          <w:szCs w:val="24"/>
        </w:rPr>
        <w:t>Medstat’s</w:t>
      </w:r>
      <w:proofErr w:type="spellEnd"/>
      <w:r>
        <w:rPr>
          <w:rFonts w:ascii="Times New Roman" w:hAnsi="Times New Roman"/>
          <w:bCs/>
          <w:sz w:val="24"/>
          <w:szCs w:val="24"/>
        </w:rPr>
        <w:t xml:space="preserve"> motion to exclude plaintiff’s expert, Obie McNair, MD. </w:t>
      </w:r>
      <w:r w:rsidRPr="00DB3E42">
        <w:rPr>
          <w:rFonts w:ascii="Times New Roman" w:hAnsi="Times New Roman"/>
          <w:sz w:val="24"/>
          <w:szCs w:val="24"/>
        </w:rPr>
        <w:t>On April 24, 2019,</w:t>
      </w:r>
      <w:r>
        <w:rPr>
          <w:rFonts w:ascii="Times New Roman" w:hAnsi="Times New Roman"/>
          <w:sz w:val="24"/>
          <w:szCs w:val="24"/>
        </w:rPr>
        <w:t xml:space="preserve"> </w:t>
      </w:r>
      <w:r w:rsidRPr="00BF05FA">
        <w:rPr>
          <w:rFonts w:ascii="Times New Roman" w:hAnsi="Times New Roman"/>
          <w:sz w:val="24"/>
          <w:szCs w:val="24"/>
        </w:rPr>
        <w:t>Roscoe had been shot three times, and one of the bullets had perforated the deceased's liver and right lung, thereby causing a collapsed lung (</w:t>
      </w:r>
      <w:r>
        <w:rPr>
          <w:rFonts w:ascii="Times New Roman" w:hAnsi="Times New Roman"/>
          <w:sz w:val="24"/>
          <w:szCs w:val="24"/>
        </w:rPr>
        <w:t>‘</w:t>
      </w:r>
      <w:r w:rsidRPr="00BF05FA">
        <w:rPr>
          <w:rFonts w:ascii="Times New Roman" w:hAnsi="Times New Roman"/>
          <w:sz w:val="24"/>
          <w:szCs w:val="24"/>
        </w:rPr>
        <w:t>pneumothorax</w:t>
      </w:r>
      <w:r>
        <w:rPr>
          <w:rFonts w:ascii="Times New Roman" w:hAnsi="Times New Roman"/>
          <w:sz w:val="24"/>
          <w:szCs w:val="24"/>
        </w:rPr>
        <w:t>’</w:t>
      </w:r>
      <w:r w:rsidRPr="00BF05FA">
        <w:rPr>
          <w:rFonts w:ascii="Times New Roman" w:hAnsi="Times New Roman"/>
          <w:sz w:val="24"/>
          <w:szCs w:val="24"/>
        </w:rPr>
        <w:t xml:space="preserve"> in medical terms) and bleeding in the space between the lung and the chest cavity (a </w:t>
      </w:r>
      <w:r>
        <w:rPr>
          <w:rFonts w:ascii="Times New Roman" w:hAnsi="Times New Roman"/>
          <w:sz w:val="24"/>
          <w:szCs w:val="24"/>
        </w:rPr>
        <w:t>‘</w:t>
      </w:r>
      <w:r w:rsidRPr="00BF05FA">
        <w:rPr>
          <w:rFonts w:ascii="Times New Roman" w:hAnsi="Times New Roman"/>
          <w:sz w:val="24"/>
          <w:szCs w:val="24"/>
        </w:rPr>
        <w:t>hemothorax</w:t>
      </w:r>
      <w:r>
        <w:rPr>
          <w:rFonts w:ascii="Times New Roman" w:hAnsi="Times New Roman"/>
          <w:sz w:val="24"/>
          <w:szCs w:val="24"/>
        </w:rPr>
        <w:t>”</w:t>
      </w:r>
      <w:r w:rsidRPr="00BF05FA">
        <w:rPr>
          <w:rFonts w:ascii="Times New Roman" w:hAnsi="Times New Roman"/>
          <w:sz w:val="24"/>
          <w:szCs w:val="24"/>
        </w:rPr>
        <w:t>)</w:t>
      </w:r>
      <w:r>
        <w:rPr>
          <w:rFonts w:ascii="Times New Roman" w:hAnsi="Times New Roman"/>
          <w:sz w:val="24"/>
          <w:szCs w:val="24"/>
        </w:rPr>
        <w:t xml:space="preserve">. </w:t>
      </w:r>
      <w:r w:rsidRPr="00BF05FA">
        <w:rPr>
          <w:rFonts w:ascii="Times New Roman" w:hAnsi="Times New Roman"/>
          <w:sz w:val="24"/>
          <w:szCs w:val="24"/>
        </w:rPr>
        <w:t xml:space="preserve">Defendant </w:t>
      </w:r>
      <w:proofErr w:type="spellStart"/>
      <w:r w:rsidRPr="00BF05FA">
        <w:rPr>
          <w:rFonts w:ascii="Times New Roman" w:hAnsi="Times New Roman"/>
          <w:sz w:val="24"/>
          <w:szCs w:val="24"/>
        </w:rPr>
        <w:t>MedStat's</w:t>
      </w:r>
      <w:proofErr w:type="spellEnd"/>
      <w:r w:rsidRPr="00BF05FA">
        <w:rPr>
          <w:rFonts w:ascii="Times New Roman" w:hAnsi="Times New Roman"/>
          <w:sz w:val="24"/>
          <w:szCs w:val="24"/>
        </w:rPr>
        <w:t xml:space="preserve"> crew members treated Roscoe for sixteen minutes at the </w:t>
      </w:r>
      <w:proofErr w:type="gramStart"/>
      <w:r w:rsidRPr="00BF05FA">
        <w:rPr>
          <w:rFonts w:ascii="Times New Roman" w:hAnsi="Times New Roman"/>
          <w:sz w:val="24"/>
          <w:szCs w:val="24"/>
        </w:rPr>
        <w:t>scene, and</w:t>
      </w:r>
      <w:proofErr w:type="gramEnd"/>
      <w:r w:rsidRPr="00BF05FA">
        <w:rPr>
          <w:rFonts w:ascii="Times New Roman" w:hAnsi="Times New Roman"/>
          <w:sz w:val="24"/>
          <w:szCs w:val="24"/>
        </w:rPr>
        <w:t xml:space="preserve"> then left the scene in an ambulance heading toward the local hospital</w:t>
      </w:r>
      <w:r>
        <w:rPr>
          <w:rFonts w:ascii="Times New Roman" w:hAnsi="Times New Roman"/>
          <w:sz w:val="24"/>
          <w:szCs w:val="24"/>
        </w:rPr>
        <w:t xml:space="preserve">, where he died.  </w:t>
      </w:r>
      <w:r w:rsidRPr="00133A12">
        <w:rPr>
          <w:rFonts w:ascii="Times New Roman" w:hAnsi="Times New Roman"/>
          <w:sz w:val="24"/>
          <w:szCs w:val="24"/>
        </w:rPr>
        <w:t>Plaintiff’s expert is a physician who is board-certified in internal medicine and pulmonary medicine</w:t>
      </w:r>
      <w:r>
        <w:rPr>
          <w:rFonts w:ascii="Times New Roman" w:hAnsi="Times New Roman"/>
          <w:sz w:val="24"/>
          <w:szCs w:val="24"/>
        </w:rPr>
        <w:t xml:space="preserve">, but has no </w:t>
      </w:r>
      <w:r w:rsidRPr="00133A12">
        <w:rPr>
          <w:rFonts w:ascii="Times New Roman" w:hAnsi="Times New Roman"/>
          <w:sz w:val="24"/>
          <w:szCs w:val="24"/>
        </w:rPr>
        <w:t>experience, education, or background related to emergency medicine or the standards at play when treating patients in the field and on ambulances</w:t>
      </w:r>
      <w:r>
        <w:rPr>
          <w:rFonts w:ascii="Times New Roman" w:hAnsi="Times New Roman"/>
          <w:sz w:val="24"/>
          <w:szCs w:val="24"/>
        </w:rPr>
        <w:t xml:space="preserve">. </w:t>
      </w:r>
      <w:hyperlink r:id="rId2136" w:history="1">
        <w:r w:rsidRPr="00826068">
          <w:rPr>
            <w:rStyle w:val="Hyperlink"/>
            <w:rFonts w:ascii="Times New Roman" w:hAnsi="Times New Roman"/>
            <w:sz w:val="24"/>
            <w:szCs w:val="24"/>
          </w:rPr>
          <w:t>https://public.fastcase.com/waZtJvSA54UAurM2rmIZz3GImxM8vVu83JjC1hitqCF6J52x3NFj71FjQLuzCLQnmvBPUszpB78vzjnxu9to%2Fq0ClMx7mkWBtvY01d0uDxg%3D</w:t>
        </w:r>
      </w:hyperlink>
    </w:p>
    <w:p w14:paraId="68C95F6A" w14:textId="77777777" w:rsidR="009579EB" w:rsidRPr="00B97849" w:rsidRDefault="009579EB" w:rsidP="009579EB">
      <w:pPr>
        <w:spacing w:before="100" w:beforeAutospacing="1" w:after="100" w:afterAutospacing="1" w:line="240" w:lineRule="auto"/>
        <w:rPr>
          <w:rFonts w:ascii="Times New Roman" w:eastAsia="Times New Roman" w:hAnsi="Times New Roman"/>
          <w:b/>
          <w:bCs/>
          <w:sz w:val="24"/>
          <w:szCs w:val="24"/>
        </w:rPr>
      </w:pPr>
      <w:r w:rsidRPr="00133A12">
        <w:rPr>
          <w:rFonts w:ascii="Times New Roman" w:hAnsi="Times New Roman"/>
          <w:b/>
          <w:bCs/>
          <w:sz w:val="24"/>
          <w:szCs w:val="24"/>
        </w:rPr>
        <w:t>Legal Lesson Learned:</w:t>
      </w:r>
      <w:r>
        <w:rPr>
          <w:rFonts w:ascii="Times New Roman" w:hAnsi="Times New Roman"/>
          <w:b/>
          <w:bCs/>
          <w:sz w:val="24"/>
          <w:szCs w:val="24"/>
        </w:rPr>
        <w:t xml:space="preserve"> Plaintiff’s expert witness lacked knowledge of protocol of paramedics. </w:t>
      </w:r>
    </w:p>
    <w:p w14:paraId="0DC8BB62" w14:textId="77777777" w:rsidR="009579EB" w:rsidRDefault="009579EB" w:rsidP="009579EB">
      <w:pPr>
        <w:rPr>
          <w:rFonts w:ascii="Arial Black" w:hAnsi="Arial Black"/>
          <w:b/>
          <w:bCs/>
          <w:sz w:val="28"/>
          <w:szCs w:val="28"/>
        </w:rPr>
      </w:pPr>
    </w:p>
    <w:p w14:paraId="769C2869" w14:textId="77777777" w:rsidR="009579EB" w:rsidRDefault="009579EB" w:rsidP="002B1283">
      <w:pPr>
        <w:rPr>
          <w:rFonts w:ascii="Arial Black" w:hAnsi="Arial Black"/>
          <w:b/>
          <w:bCs/>
          <w:sz w:val="28"/>
          <w:szCs w:val="28"/>
        </w:rPr>
      </w:pPr>
    </w:p>
    <w:p w14:paraId="33A07AB7" w14:textId="2B910C93" w:rsidR="00BA51CC" w:rsidRDefault="00BA51CC" w:rsidP="002B1283">
      <w:pPr>
        <w:rPr>
          <w:rFonts w:ascii="Arial Black" w:hAnsi="Arial Black"/>
          <w:b/>
          <w:bCs/>
          <w:sz w:val="28"/>
          <w:szCs w:val="28"/>
        </w:rPr>
      </w:pPr>
      <w:r>
        <w:rPr>
          <w:rFonts w:ascii="Arial Black" w:hAnsi="Arial Black"/>
          <w:b/>
          <w:bCs/>
          <w:sz w:val="28"/>
          <w:szCs w:val="28"/>
        </w:rPr>
        <w:t>13-113</w:t>
      </w:r>
    </w:p>
    <w:p w14:paraId="77E8980D" w14:textId="77777777" w:rsidR="00BA51CC" w:rsidRDefault="00BA51CC" w:rsidP="00BA51CC">
      <w:pPr>
        <w:spacing w:before="100" w:beforeAutospacing="1" w:after="100" w:afterAutospacing="1" w:line="240" w:lineRule="auto"/>
        <w:rPr>
          <w:rFonts w:ascii="Arial Black" w:hAnsi="Arial Black"/>
          <w:sz w:val="28"/>
          <w:szCs w:val="28"/>
        </w:rPr>
      </w:pPr>
      <w:r w:rsidRPr="00A84EAB">
        <w:rPr>
          <w:rFonts w:ascii="Arial Black" w:hAnsi="Arial Black"/>
          <w:sz w:val="28"/>
          <w:szCs w:val="28"/>
        </w:rPr>
        <w:t xml:space="preserve">OH: </w:t>
      </w:r>
      <w:r>
        <w:rPr>
          <w:rFonts w:ascii="Arial Black" w:hAnsi="Arial Black"/>
          <w:sz w:val="28"/>
          <w:szCs w:val="28"/>
        </w:rPr>
        <w:t>SEVERE ASTHMA ATTACK – EMS WRONG ADDRESS, SLOOPY DISPATCH - “RECKLESSNESS” – CASE PROCEED</w:t>
      </w:r>
    </w:p>
    <w:p w14:paraId="2BB11396" w14:textId="311E1C64" w:rsidR="00BA51CC" w:rsidRDefault="00BA51CC" w:rsidP="00BA51CC">
      <w:pPr>
        <w:rPr>
          <w:rFonts w:ascii="Arial Black" w:hAnsi="Arial Black"/>
          <w:b/>
          <w:bCs/>
          <w:sz w:val="28"/>
          <w:szCs w:val="28"/>
        </w:rPr>
      </w:pPr>
      <w:r>
        <w:rPr>
          <w:rFonts w:ascii="Times New Roman" w:eastAsia="Times New Roman" w:hAnsi="Times New Roman"/>
          <w:sz w:val="24"/>
          <w:szCs w:val="24"/>
        </w:rPr>
        <w:t xml:space="preserve">On May 5, 2022, in </w:t>
      </w:r>
      <w:r w:rsidRPr="0013666F">
        <w:rPr>
          <w:rFonts w:ascii="Times New Roman" w:eastAsia="Times New Roman" w:hAnsi="Times New Roman"/>
          <w:sz w:val="24"/>
          <w:szCs w:val="24"/>
          <w:u w:val="single"/>
        </w:rPr>
        <w:t>Boris Morrison v. City of Warrensville Heights, et al</w:t>
      </w:r>
      <w:r>
        <w:rPr>
          <w:rFonts w:ascii="Times New Roman" w:eastAsia="Times New Roman" w:hAnsi="Times New Roman"/>
          <w:sz w:val="24"/>
          <w:szCs w:val="24"/>
        </w:rPr>
        <w:t xml:space="preserve">., the Court of Appeals of Ohio, Eighth District (Cuyahoga County), held (3 to 0), 2022-Ohio-1489, that the trial court properly denied summary judgment for dispatch and fire / EMS since there appears to be a history of “recklessness” in confirm addresses, and inaccurate arrival times on run reports.  Squad 1 responded to </w:t>
      </w:r>
      <w:r w:rsidRPr="00B93C27">
        <w:rPr>
          <w:rFonts w:ascii="Times New Roman" w:hAnsi="Times New Roman"/>
          <w:sz w:val="24"/>
          <w:szCs w:val="24"/>
        </w:rPr>
        <w:t xml:space="preserve">19419 </w:t>
      </w:r>
      <w:proofErr w:type="spellStart"/>
      <w:r w:rsidRPr="00B93C27">
        <w:rPr>
          <w:rFonts w:ascii="Times New Roman" w:hAnsi="Times New Roman"/>
          <w:sz w:val="24"/>
          <w:szCs w:val="24"/>
        </w:rPr>
        <w:t>Lanbury</w:t>
      </w:r>
      <w:proofErr w:type="spellEnd"/>
      <w:r w:rsidRPr="00B93C27">
        <w:rPr>
          <w:rFonts w:ascii="Times New Roman" w:hAnsi="Times New Roman"/>
          <w:sz w:val="24"/>
          <w:szCs w:val="24"/>
        </w:rPr>
        <w:t xml:space="preserve">, instead of 19219 </w:t>
      </w:r>
      <w:proofErr w:type="spellStart"/>
      <w:r w:rsidRPr="00B93C27">
        <w:rPr>
          <w:rFonts w:ascii="Times New Roman" w:hAnsi="Times New Roman"/>
          <w:sz w:val="24"/>
          <w:szCs w:val="24"/>
        </w:rPr>
        <w:t>Lanbury</w:t>
      </w:r>
      <w:proofErr w:type="spellEnd"/>
      <w:r>
        <w:rPr>
          <w:rFonts w:ascii="Times New Roman" w:hAnsi="Times New Roman"/>
          <w:sz w:val="24"/>
          <w:szCs w:val="24"/>
        </w:rPr>
        <w:t xml:space="preserve">, and when they eventually got the correct </w:t>
      </w:r>
      <w:proofErr w:type="gramStart"/>
      <w:r>
        <w:rPr>
          <w:rFonts w:ascii="Times New Roman" w:hAnsi="Times New Roman"/>
          <w:sz w:val="24"/>
          <w:szCs w:val="24"/>
        </w:rPr>
        <w:t>address</w:t>
      </w:r>
      <w:proofErr w:type="gramEnd"/>
      <w:r>
        <w:rPr>
          <w:rFonts w:ascii="Times New Roman" w:hAnsi="Times New Roman"/>
          <w:sz w:val="24"/>
          <w:szCs w:val="24"/>
        </w:rPr>
        <w:t xml:space="preserve"> the patient was in full cardiac arrest. </w:t>
      </w:r>
      <w:r>
        <w:rPr>
          <w:rFonts w:ascii="Times New Roman" w:eastAsia="Times New Roman" w:hAnsi="Times New Roman"/>
          <w:sz w:val="24"/>
          <w:szCs w:val="24"/>
        </w:rPr>
        <w:t xml:space="preserve">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asked the County Sheriff’s office to investigate and their report reflected a history of sloppy procedures on confirming run addresses and inaccurate run times.  The Court of Appeals noted: </w:t>
      </w:r>
      <w:r>
        <w:rPr>
          <w:rFonts w:ascii="Times New Roman" w:hAnsi="Times New Roman"/>
          <w:sz w:val="24"/>
          <w:szCs w:val="24"/>
        </w:rPr>
        <w:t>“</w:t>
      </w:r>
      <w:r w:rsidRPr="00B4142C">
        <w:rPr>
          <w:rFonts w:ascii="Times New Roman" w:eastAsia="Times New Roman" w:hAnsi="Times New Roman"/>
          <w:sz w:val="24"/>
          <w:szCs w:val="24"/>
        </w:rPr>
        <w:t xml:space="preserve">Both the run report and the dispatch report show that Ms. Morrison's 911 call was received at 9:40 a.m. However, the 911 call was </w:t>
      </w:r>
      <w:proofErr w:type="gramStart"/>
      <w:r w:rsidRPr="00B4142C">
        <w:rPr>
          <w:rFonts w:ascii="Times New Roman" w:eastAsia="Times New Roman" w:hAnsi="Times New Roman"/>
          <w:sz w:val="24"/>
          <w:szCs w:val="24"/>
        </w:rPr>
        <w:t>actually received</w:t>
      </w:r>
      <w:proofErr w:type="gramEnd"/>
      <w:r w:rsidRPr="00B4142C">
        <w:rPr>
          <w:rFonts w:ascii="Times New Roman" w:eastAsia="Times New Roman" w:hAnsi="Times New Roman"/>
          <w:sz w:val="24"/>
          <w:szCs w:val="24"/>
        </w:rPr>
        <w:t xml:space="preserve"> at 9:37 a.m. This change makes it appear that EMS was dispatched as soon as the call was received. They both also show that EMS arrived at Ms. Morrison's home at 9:44 a.m. making it appear that Ms. Morrison received </w:t>
      </w:r>
      <w:r w:rsidRPr="00B4142C">
        <w:rPr>
          <w:rFonts w:ascii="Times New Roman" w:eastAsia="Times New Roman" w:hAnsi="Times New Roman"/>
          <w:sz w:val="24"/>
          <w:szCs w:val="24"/>
        </w:rPr>
        <w:lastRenderedPageBreak/>
        <w:t xml:space="preserve">services three minutes earlier than she </w:t>
      </w:r>
      <w:proofErr w:type="gramStart"/>
      <w:r w:rsidRPr="00B4142C">
        <w:rPr>
          <w:rFonts w:ascii="Times New Roman" w:eastAsia="Times New Roman" w:hAnsi="Times New Roman"/>
          <w:sz w:val="24"/>
          <w:szCs w:val="24"/>
        </w:rPr>
        <w:t>actually did</w:t>
      </w:r>
      <w:proofErr w:type="gramEnd"/>
      <w:r w:rsidRPr="00B4142C">
        <w:rPr>
          <w:rFonts w:ascii="Times New Roman" w:eastAsia="Times New Roman" w:hAnsi="Times New Roman"/>
          <w:sz w:val="24"/>
          <w:szCs w:val="24"/>
        </w:rPr>
        <w:t>.</w:t>
      </w:r>
      <w:r>
        <w:rPr>
          <w:rFonts w:ascii="Times New Roman" w:eastAsia="Times New Roman" w:hAnsi="Times New Roman"/>
          <w:sz w:val="24"/>
          <w:szCs w:val="24"/>
        </w:rPr>
        <w:t xml:space="preserve">” </w:t>
      </w:r>
      <w:hyperlink r:id="rId2137" w:history="1">
        <w:r w:rsidRPr="00B7678D">
          <w:rPr>
            <w:rStyle w:val="Hyperlink"/>
            <w:rFonts w:ascii="Times New Roman" w:eastAsia="Times New Roman" w:hAnsi="Times New Roman"/>
            <w:sz w:val="24"/>
            <w:szCs w:val="24"/>
          </w:rPr>
          <w:t>https://www.supremecourt.ohio.gov/rod/docs/pdf/8/2022/2022-Ohio-1489.pdf</w:t>
        </w:r>
      </w:hyperlink>
    </w:p>
    <w:p w14:paraId="0F377C22" w14:textId="77777777" w:rsidR="00BA51CC" w:rsidRPr="00B4142C" w:rsidRDefault="00BA51CC" w:rsidP="00BA51CC">
      <w:pPr>
        <w:spacing w:before="100" w:beforeAutospacing="1" w:after="100" w:afterAutospacing="1" w:line="240" w:lineRule="auto"/>
        <w:rPr>
          <w:rFonts w:ascii="Times New Roman" w:eastAsia="Times New Roman" w:hAnsi="Times New Roman"/>
          <w:b/>
          <w:bCs/>
          <w:sz w:val="24"/>
          <w:szCs w:val="24"/>
        </w:rPr>
      </w:pPr>
      <w:r w:rsidRPr="00B438A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 City would be wise to settle this </w:t>
      </w:r>
      <w:proofErr w:type="gramStart"/>
      <w:r>
        <w:rPr>
          <w:rFonts w:ascii="Times New Roman" w:eastAsia="Times New Roman" w:hAnsi="Times New Roman"/>
          <w:b/>
          <w:bCs/>
          <w:sz w:val="24"/>
          <w:szCs w:val="24"/>
        </w:rPr>
        <w:t>lawsuit, and</w:t>
      </w:r>
      <w:proofErr w:type="gramEnd"/>
      <w:r>
        <w:rPr>
          <w:rFonts w:ascii="Times New Roman" w:eastAsia="Times New Roman" w:hAnsi="Times New Roman"/>
          <w:b/>
          <w:bCs/>
          <w:sz w:val="24"/>
          <w:szCs w:val="24"/>
        </w:rPr>
        <w:t xml:space="preserve"> promptly correct these identified deficiencies in both dispatch and fire/EMS. </w:t>
      </w:r>
    </w:p>
    <w:p w14:paraId="7ABD8424" w14:textId="77777777" w:rsidR="00BA51CC" w:rsidRDefault="00BA51CC" w:rsidP="002B1283">
      <w:pPr>
        <w:rPr>
          <w:rFonts w:ascii="Arial Black" w:hAnsi="Arial Black"/>
          <w:b/>
          <w:bCs/>
          <w:sz w:val="28"/>
          <w:szCs w:val="28"/>
        </w:rPr>
      </w:pPr>
    </w:p>
    <w:p w14:paraId="7021DB0B" w14:textId="77777777" w:rsidR="00BA51CC" w:rsidRDefault="00BA51CC" w:rsidP="002B1283">
      <w:pPr>
        <w:rPr>
          <w:rFonts w:ascii="Arial Black" w:hAnsi="Arial Black"/>
          <w:b/>
          <w:bCs/>
          <w:sz w:val="28"/>
          <w:szCs w:val="28"/>
        </w:rPr>
      </w:pPr>
    </w:p>
    <w:p w14:paraId="3F02350E" w14:textId="5383535C" w:rsidR="00BA51CC" w:rsidRDefault="00BA51CC" w:rsidP="002B1283">
      <w:pPr>
        <w:rPr>
          <w:rFonts w:ascii="Arial Black" w:hAnsi="Arial Black"/>
          <w:b/>
          <w:bCs/>
          <w:sz w:val="28"/>
          <w:szCs w:val="28"/>
        </w:rPr>
      </w:pPr>
      <w:r>
        <w:rPr>
          <w:rFonts w:ascii="Arial Black" w:hAnsi="Arial Black"/>
          <w:b/>
          <w:bCs/>
          <w:sz w:val="28"/>
          <w:szCs w:val="28"/>
        </w:rPr>
        <w:t>13-112</w:t>
      </w:r>
    </w:p>
    <w:p w14:paraId="70567211" w14:textId="77777777" w:rsidR="00BA51CC" w:rsidRPr="00F7080A" w:rsidRDefault="00BA51CC" w:rsidP="00BA51CC">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NY: 350 POUND SEIZURE PATIENT - FLAILING AROUND – VERSED – DIED – PLAINTIFF 3 EXPERTS – CASE PROCEED</w:t>
      </w:r>
    </w:p>
    <w:p w14:paraId="3F62F9AD" w14:textId="77777777" w:rsidR="00BA51CC" w:rsidRDefault="00BA51CC" w:rsidP="00BA51C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May 2, 2022, in </w:t>
      </w:r>
      <w:r w:rsidRPr="001710B6">
        <w:rPr>
          <w:rFonts w:ascii="Times New Roman" w:hAnsi="Times New Roman"/>
          <w:sz w:val="24"/>
          <w:szCs w:val="24"/>
          <w:u w:val="single"/>
        </w:rPr>
        <w:t xml:space="preserve">Linda Artemiou, Estate of Peter C. </w:t>
      </w:r>
      <w:proofErr w:type="spellStart"/>
      <w:r w:rsidRPr="001710B6">
        <w:rPr>
          <w:rFonts w:ascii="Times New Roman" w:hAnsi="Times New Roman"/>
          <w:sz w:val="24"/>
          <w:szCs w:val="24"/>
          <w:u w:val="single"/>
        </w:rPr>
        <w:t>Artemiou</w:t>
      </w:r>
      <w:proofErr w:type="spellEnd"/>
      <w:r w:rsidRPr="001710B6">
        <w:rPr>
          <w:rFonts w:ascii="Times New Roman" w:hAnsi="Times New Roman"/>
          <w:sz w:val="24"/>
          <w:szCs w:val="24"/>
          <w:u w:val="single"/>
        </w:rPr>
        <w:t>, Deceased v. City of New York, et al</w:t>
      </w:r>
      <w:r>
        <w:rPr>
          <w:rFonts w:ascii="Times New Roman" w:hAnsi="Times New Roman"/>
          <w:sz w:val="24"/>
          <w:szCs w:val="24"/>
        </w:rPr>
        <w:t xml:space="preserve">., the Supreme Court, New York County, held Justice Judith McMahon held that while the medical doctor on the NYC Telemetry Unit who authorized the Versed enjoys governmental immunity, as does the City of New York, the lawsuit against the medics, employed by New York-Presbyterian Hospital will not dismissed. Co-workers of the patient </w:t>
      </w:r>
      <w:r w:rsidRPr="00DD7BC1">
        <w:rPr>
          <w:rFonts w:ascii="Times New Roman" w:hAnsi="Times New Roman"/>
          <w:sz w:val="24"/>
          <w:szCs w:val="24"/>
        </w:rPr>
        <w:t xml:space="preserve">described the decedent on the morning of the emergency as "foaming at the mouth," speaking incoherently and calling for his mother, standing up, </w:t>
      </w:r>
      <w:proofErr w:type="gramStart"/>
      <w:r w:rsidRPr="00DD7BC1">
        <w:rPr>
          <w:rFonts w:ascii="Times New Roman" w:hAnsi="Times New Roman"/>
          <w:sz w:val="24"/>
          <w:szCs w:val="24"/>
        </w:rPr>
        <w:t>falling down</w:t>
      </w:r>
      <w:proofErr w:type="gramEnd"/>
      <w:r w:rsidRPr="00DD7BC1">
        <w:rPr>
          <w:rFonts w:ascii="Times New Roman" w:hAnsi="Times New Roman"/>
          <w:sz w:val="24"/>
          <w:szCs w:val="24"/>
        </w:rPr>
        <w:t xml:space="preserve">, flailing around the room and appearing </w:t>
      </w:r>
      <w:r>
        <w:rPr>
          <w:rFonts w:ascii="Times New Roman" w:hAnsi="Times New Roman"/>
          <w:sz w:val="24"/>
          <w:szCs w:val="24"/>
        </w:rPr>
        <w:t>‘</w:t>
      </w:r>
      <w:r w:rsidRPr="00DD7BC1">
        <w:rPr>
          <w:rFonts w:ascii="Times New Roman" w:hAnsi="Times New Roman"/>
          <w:sz w:val="24"/>
          <w:szCs w:val="24"/>
        </w:rPr>
        <w:t>very agitated.</w:t>
      </w:r>
      <w:r>
        <w:rPr>
          <w:rFonts w:ascii="Times New Roman" w:hAnsi="Times New Roman"/>
          <w:sz w:val="24"/>
          <w:szCs w:val="24"/>
        </w:rPr>
        <w:t xml:space="preserve"> </w:t>
      </w:r>
      <w:r w:rsidRPr="00DD7BC1">
        <w:rPr>
          <w:rFonts w:ascii="Times New Roman" w:hAnsi="Times New Roman"/>
          <w:sz w:val="24"/>
          <w:szCs w:val="24"/>
        </w:rPr>
        <w:t xml:space="preserve">Dr. Schneitzer, who was physically at an FDNY </w:t>
      </w:r>
      <w:r>
        <w:rPr>
          <w:rFonts w:ascii="Times New Roman" w:hAnsi="Times New Roman"/>
          <w:sz w:val="24"/>
          <w:szCs w:val="24"/>
        </w:rPr>
        <w:t>‘</w:t>
      </w:r>
      <w:r w:rsidRPr="00DD7BC1">
        <w:rPr>
          <w:rFonts w:ascii="Times New Roman" w:hAnsi="Times New Roman"/>
          <w:sz w:val="24"/>
          <w:szCs w:val="24"/>
        </w:rPr>
        <w:t>online medical control</w:t>
      </w:r>
      <w:r>
        <w:rPr>
          <w:rFonts w:ascii="Times New Roman" w:hAnsi="Times New Roman"/>
          <w:sz w:val="24"/>
          <w:szCs w:val="24"/>
        </w:rPr>
        <w:t>’</w:t>
      </w:r>
      <w:r w:rsidRPr="00DD7BC1">
        <w:rPr>
          <w:rFonts w:ascii="Times New Roman" w:hAnsi="Times New Roman"/>
          <w:sz w:val="24"/>
          <w:szCs w:val="24"/>
        </w:rPr>
        <w:t xml:space="preserve"> office in Maspeth, Queens when the paramedic's call was transferred to her, claims that she instructed the paramedics according to the information they provided her (</w:t>
      </w:r>
      <w:r w:rsidRPr="00DD7BC1">
        <w:rPr>
          <w:rStyle w:val="Emphasis"/>
          <w:rFonts w:ascii="Times New Roman" w:hAnsi="Times New Roman"/>
          <w:sz w:val="24"/>
          <w:szCs w:val="24"/>
        </w:rPr>
        <w:t>i.e.,</w:t>
      </w:r>
      <w:r w:rsidRPr="00DD7BC1">
        <w:rPr>
          <w:rFonts w:ascii="Times New Roman" w:hAnsi="Times New Roman"/>
          <w:sz w:val="24"/>
          <w:szCs w:val="24"/>
        </w:rPr>
        <w:t xml:space="preserve"> their inability to get close enough to decedent to obtain his vital signs, inability to ascertain decedent's medical history, </w:t>
      </w:r>
      <w:proofErr w:type="spellStart"/>
      <w:r w:rsidRPr="00DD7BC1">
        <w:rPr>
          <w:rFonts w:ascii="Times New Roman" w:hAnsi="Times New Roman"/>
          <w:sz w:val="24"/>
          <w:szCs w:val="24"/>
        </w:rPr>
        <w:t>etc</w:t>
      </w:r>
      <w:r>
        <w:rPr>
          <w:rFonts w:ascii="Times New Roman" w:hAnsi="Times New Roman"/>
          <w:sz w:val="24"/>
          <w:szCs w:val="24"/>
        </w:rPr>
        <w:t>.Court</w:t>
      </w:r>
      <w:proofErr w:type="spellEnd"/>
      <w:r>
        <w:rPr>
          <w:rFonts w:ascii="Times New Roman" w:hAnsi="Times New Roman"/>
          <w:sz w:val="24"/>
          <w:szCs w:val="24"/>
        </w:rPr>
        <w:t xml:space="preserve"> declined to dismiss the medics from the lawsuit, based on plaintiff’s three medical experts: (1) </w:t>
      </w:r>
      <w:r w:rsidRPr="00075CA3">
        <w:rPr>
          <w:rFonts w:ascii="Times New Roman" w:hAnsi="Times New Roman"/>
          <w:sz w:val="24"/>
          <w:szCs w:val="24"/>
        </w:rPr>
        <w:t>certified paramedic</w:t>
      </w:r>
      <w:r>
        <w:rPr>
          <w:rFonts w:ascii="Times New Roman" w:hAnsi="Times New Roman"/>
          <w:sz w:val="24"/>
          <w:szCs w:val="24"/>
        </w:rPr>
        <w:t xml:space="preserve">; (2) </w:t>
      </w:r>
      <w:r w:rsidRPr="00075CA3">
        <w:rPr>
          <w:rFonts w:ascii="Times New Roman" w:hAnsi="Times New Roman"/>
          <w:sz w:val="24"/>
          <w:szCs w:val="24"/>
        </w:rPr>
        <w:t>a critical care physician</w:t>
      </w:r>
      <w:r>
        <w:rPr>
          <w:rFonts w:ascii="Times New Roman" w:hAnsi="Times New Roman"/>
          <w:sz w:val="24"/>
          <w:szCs w:val="24"/>
        </w:rPr>
        <w:t xml:space="preserve">; and (3) </w:t>
      </w:r>
      <w:r w:rsidRPr="00075CA3">
        <w:rPr>
          <w:rFonts w:ascii="Times New Roman" w:hAnsi="Times New Roman"/>
          <w:sz w:val="24"/>
          <w:szCs w:val="24"/>
        </w:rPr>
        <w:t xml:space="preserve">and an internist with experience in the field of emergency medicine </w:t>
      </w:r>
      <w:r>
        <w:rPr>
          <w:rFonts w:ascii="Times New Roman" w:hAnsi="Times New Roman"/>
          <w:sz w:val="24"/>
          <w:szCs w:val="24"/>
        </w:rPr>
        <w:t xml:space="preserve">who claim the medics </w:t>
      </w:r>
      <w:r w:rsidRPr="00075CA3">
        <w:rPr>
          <w:rFonts w:ascii="Times New Roman" w:hAnsi="Times New Roman"/>
          <w:sz w:val="24"/>
          <w:szCs w:val="24"/>
        </w:rPr>
        <w:t>failed to recognize decedent's postictal state (</w:t>
      </w:r>
      <w:r w:rsidRPr="00075CA3">
        <w:rPr>
          <w:rStyle w:val="Emphasis"/>
          <w:rFonts w:ascii="Times New Roman" w:hAnsi="Times New Roman"/>
          <w:sz w:val="24"/>
          <w:szCs w:val="24"/>
        </w:rPr>
        <w:t>i.e.,</w:t>
      </w:r>
      <w:r w:rsidRPr="00075CA3">
        <w:rPr>
          <w:rFonts w:ascii="Times New Roman" w:hAnsi="Times New Roman"/>
          <w:sz w:val="24"/>
          <w:szCs w:val="24"/>
        </w:rPr>
        <w:t xml:space="preserve"> the state immediately following a seizure), which commonly involves medical risks including an impaired ability to oxygenate</w:t>
      </w:r>
      <w:r>
        <w:rPr>
          <w:rFonts w:ascii="Times New Roman" w:hAnsi="Times New Roman"/>
          <w:sz w:val="24"/>
          <w:szCs w:val="24"/>
        </w:rPr>
        <w:t xml:space="preserve">. </w:t>
      </w:r>
      <w:hyperlink r:id="rId2138" w:history="1">
        <w:r w:rsidRPr="00600142">
          <w:rPr>
            <w:rStyle w:val="Hyperlink"/>
            <w:rFonts w:ascii="Times New Roman" w:hAnsi="Times New Roman"/>
            <w:sz w:val="24"/>
            <w:szCs w:val="24"/>
          </w:rPr>
          <w:t>https://law.justia.com/cases/new-york/other-courts/2022/2022-ny-slip-op-22137.html</w:t>
        </w:r>
      </w:hyperlink>
      <w:r>
        <w:rPr>
          <w:rFonts w:ascii="Times New Roman" w:hAnsi="Times New Roman"/>
          <w:sz w:val="24"/>
          <w:szCs w:val="24"/>
        </w:rPr>
        <w:t xml:space="preserve"> </w:t>
      </w:r>
    </w:p>
    <w:p w14:paraId="49812C7F" w14:textId="77777777" w:rsidR="00BA51CC" w:rsidRPr="00BA4B0D" w:rsidRDefault="00BA51CC" w:rsidP="00BA51CC">
      <w:pPr>
        <w:spacing w:before="100" w:beforeAutospacing="1" w:after="100" w:afterAutospacing="1" w:line="240" w:lineRule="auto"/>
        <w:rPr>
          <w:rFonts w:ascii="Times New Roman" w:hAnsi="Times New Roman"/>
          <w:b/>
          <w:bCs/>
          <w:sz w:val="24"/>
          <w:szCs w:val="24"/>
        </w:rPr>
      </w:pPr>
      <w:r w:rsidRPr="00BA4B0D">
        <w:rPr>
          <w:rFonts w:ascii="Times New Roman" w:hAnsi="Times New Roman"/>
          <w:b/>
          <w:bCs/>
          <w:sz w:val="24"/>
          <w:szCs w:val="24"/>
        </w:rPr>
        <w:t xml:space="preserve">Legal Lesson Learned: </w:t>
      </w:r>
      <w:r>
        <w:rPr>
          <w:rFonts w:ascii="Times New Roman" w:hAnsi="Times New Roman"/>
          <w:b/>
          <w:bCs/>
          <w:sz w:val="24"/>
          <w:szCs w:val="24"/>
        </w:rPr>
        <w:t xml:space="preserve">The trial court judge has referenced three plaintiff experts in ordering the case to trial. </w:t>
      </w:r>
    </w:p>
    <w:p w14:paraId="18C59E4B" w14:textId="77777777" w:rsidR="00BA51CC" w:rsidRDefault="00BA51CC" w:rsidP="002B1283">
      <w:pPr>
        <w:rPr>
          <w:rFonts w:ascii="Arial Black" w:hAnsi="Arial Black"/>
          <w:b/>
          <w:bCs/>
          <w:sz w:val="28"/>
          <w:szCs w:val="28"/>
        </w:rPr>
      </w:pPr>
    </w:p>
    <w:p w14:paraId="4D836FF7" w14:textId="77777777" w:rsidR="00BA51CC" w:rsidRDefault="00BA51CC" w:rsidP="002B1283">
      <w:pPr>
        <w:rPr>
          <w:rFonts w:ascii="Arial Black" w:hAnsi="Arial Black"/>
          <w:b/>
          <w:bCs/>
          <w:sz w:val="28"/>
          <w:szCs w:val="28"/>
        </w:rPr>
      </w:pPr>
    </w:p>
    <w:p w14:paraId="1B3B6B4E" w14:textId="77777777" w:rsidR="00BA51CC" w:rsidRDefault="00BA51CC" w:rsidP="002B1283">
      <w:pPr>
        <w:rPr>
          <w:rFonts w:ascii="Arial Black" w:hAnsi="Arial Black"/>
          <w:b/>
          <w:bCs/>
          <w:sz w:val="28"/>
          <w:szCs w:val="28"/>
        </w:rPr>
      </w:pPr>
    </w:p>
    <w:p w14:paraId="7077C2BF" w14:textId="466B3E22" w:rsidR="00221640" w:rsidRDefault="00221640" w:rsidP="002B1283">
      <w:pPr>
        <w:rPr>
          <w:rFonts w:ascii="Arial Black" w:hAnsi="Arial Black"/>
          <w:b/>
          <w:bCs/>
          <w:sz w:val="28"/>
          <w:szCs w:val="28"/>
        </w:rPr>
      </w:pPr>
      <w:r>
        <w:rPr>
          <w:rFonts w:ascii="Arial Black" w:hAnsi="Arial Black"/>
          <w:b/>
          <w:bCs/>
          <w:sz w:val="28"/>
          <w:szCs w:val="28"/>
        </w:rPr>
        <w:t>13-111</w:t>
      </w:r>
    </w:p>
    <w:p w14:paraId="14B174D5" w14:textId="77777777" w:rsidR="00221640" w:rsidRPr="00877C6E" w:rsidRDefault="00221640" w:rsidP="00221640">
      <w:pPr>
        <w:spacing w:before="100" w:beforeAutospacing="1" w:after="100" w:afterAutospacing="1" w:line="240" w:lineRule="auto"/>
        <w:rPr>
          <w:rStyle w:val="Strong"/>
          <w:rFonts w:ascii="Arial Black" w:hAnsi="Arial Black"/>
          <w:sz w:val="28"/>
          <w:szCs w:val="28"/>
        </w:rPr>
      </w:pPr>
      <w:r>
        <w:rPr>
          <w:rStyle w:val="Strong"/>
          <w:rFonts w:ascii="Arial Black" w:hAnsi="Arial Black"/>
          <w:sz w:val="28"/>
          <w:szCs w:val="28"/>
        </w:rPr>
        <w:t>NC: QUADRIPEDIC – DAUGHTER POWER-OF-ATTORNEY – MEDICS / DEPUTY REFUSED TRANSPORT – NO IMMUNITY</w:t>
      </w:r>
    </w:p>
    <w:p w14:paraId="76DBC5C6" w14:textId="77777777" w:rsidR="00221640" w:rsidRPr="00221640" w:rsidRDefault="00221640" w:rsidP="00221640">
      <w:pPr>
        <w:spacing w:before="100" w:beforeAutospacing="1" w:after="100" w:afterAutospacing="1" w:line="240" w:lineRule="auto"/>
        <w:rPr>
          <w:rFonts w:ascii="Times New Roman" w:hAnsi="Times New Roman"/>
          <w:sz w:val="24"/>
          <w:szCs w:val="24"/>
        </w:rPr>
      </w:pPr>
      <w:r w:rsidRPr="00221640">
        <w:rPr>
          <w:rStyle w:val="Strong"/>
          <w:rFonts w:ascii="Times New Roman" w:hAnsi="Times New Roman"/>
          <w:b w:val="0"/>
          <w:bCs w:val="0"/>
          <w:sz w:val="24"/>
          <w:szCs w:val="24"/>
        </w:rPr>
        <w:lastRenderedPageBreak/>
        <w:t xml:space="preserve">On March 30, 2022, in </w:t>
      </w:r>
      <w:r w:rsidRPr="00221640">
        <w:rPr>
          <w:rStyle w:val="Strong"/>
          <w:rFonts w:ascii="Times New Roman" w:hAnsi="Times New Roman"/>
          <w:b w:val="0"/>
          <w:bCs w:val="0"/>
          <w:sz w:val="24"/>
          <w:szCs w:val="24"/>
          <w:u w:val="single"/>
        </w:rPr>
        <w:t>Justin L. Sutton, personal representative of the Estate of Hartwell Lanier King, Sr., et al. v. Rockingham County, et al</w:t>
      </w:r>
      <w:r w:rsidRPr="00221640">
        <w:rPr>
          <w:rStyle w:val="Strong"/>
          <w:rFonts w:ascii="Times New Roman" w:hAnsi="Times New Roman"/>
          <w:b w:val="0"/>
          <w:bCs w:val="0"/>
          <w:sz w:val="24"/>
          <w:szCs w:val="24"/>
        </w:rPr>
        <w:t xml:space="preserve">., U.S. District Court Judge Loretta C. Briggs, U.S. District Court for Middle District of North Carolina, held that while the County has governmental immunity and is dismissed from the case, the three paramedics and Deputy Sheriff remain defendants in the wrongful death claims for not transporting the elderly patient with </w:t>
      </w:r>
      <w:r w:rsidRPr="00221640">
        <w:rPr>
          <w:rFonts w:ascii="Times New Roman" w:hAnsi="Times New Roman"/>
          <w:sz w:val="24"/>
          <w:szCs w:val="24"/>
        </w:rPr>
        <w:t xml:space="preserve">severe respiratory distress and abnormal breathing, elevated heart rate, high grade fever, severe dehydration, and inability to consume solid foods and liquids.  He died the next morning. </w:t>
      </w:r>
      <w:r w:rsidRPr="00221640">
        <w:rPr>
          <w:rFonts w:ascii="Times New Roman" w:eastAsia="Times New Roman" w:hAnsi="Times New Roman"/>
          <w:sz w:val="24"/>
          <w:szCs w:val="24"/>
        </w:rPr>
        <w:t xml:space="preserve">The medics, despite </w:t>
      </w:r>
      <w:r w:rsidRPr="00221640">
        <w:rPr>
          <w:rStyle w:val="Strong"/>
          <w:rFonts w:ascii="Times New Roman" w:hAnsi="Times New Roman"/>
          <w:b w:val="0"/>
          <w:bCs w:val="0"/>
          <w:sz w:val="24"/>
          <w:szCs w:val="24"/>
        </w:rPr>
        <w:t>the daughter’s Power-Of-Attorney, allegedly</w:t>
      </w:r>
      <w:r w:rsidRPr="00221640">
        <w:rPr>
          <w:rStyle w:val="Strong"/>
          <w:rFonts w:ascii="Times New Roman" w:hAnsi="Times New Roman"/>
          <w:sz w:val="24"/>
          <w:szCs w:val="24"/>
        </w:rPr>
        <w:t xml:space="preserve"> </w:t>
      </w:r>
      <w:r w:rsidRPr="00221640">
        <w:rPr>
          <w:rFonts w:ascii="Times New Roman" w:hAnsi="Times New Roman"/>
          <w:sz w:val="24"/>
          <w:szCs w:val="24"/>
        </w:rPr>
        <w:t xml:space="preserve">“deemed Mr. King's transportation to the emergency room facility that day as tantamount to ‘kidnapping,' and thus refused to transfer Mr. King out of fear and reprisal that such action would result in the termination of their employment with Rockingham County.” </w:t>
      </w:r>
      <w:hyperlink r:id="rId2139" w:history="1">
        <w:r w:rsidRPr="00221640">
          <w:rPr>
            <w:rStyle w:val="Hyperlink"/>
            <w:rFonts w:ascii="Times New Roman" w:hAnsi="Times New Roman"/>
            <w:sz w:val="24"/>
            <w:szCs w:val="24"/>
          </w:rPr>
          <w:t>https://casetext.com/case/sutton-v-rockingham-cnty</w:t>
        </w:r>
      </w:hyperlink>
      <w:r w:rsidRPr="00221640">
        <w:rPr>
          <w:rFonts w:ascii="Times New Roman" w:hAnsi="Times New Roman"/>
          <w:sz w:val="24"/>
          <w:szCs w:val="24"/>
        </w:rPr>
        <w:t xml:space="preserve"> </w:t>
      </w:r>
    </w:p>
    <w:p w14:paraId="683F382F" w14:textId="77777777" w:rsidR="00221640" w:rsidRPr="00DD0155" w:rsidRDefault="00221640" w:rsidP="0022164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CB569D">
        <w:rPr>
          <w:rFonts w:ascii="Times New Roman" w:hAnsi="Times New Roman"/>
          <w:sz w:val="24"/>
          <w:szCs w:val="24"/>
        </w:rPr>
        <w:t>Here, Plaintiffs do not allege medical malpractice</w:t>
      </w:r>
      <w:r>
        <w:rPr>
          <w:rFonts w:ascii="Times New Roman" w:hAnsi="Times New Roman"/>
          <w:sz w:val="24"/>
          <w:szCs w:val="24"/>
        </w:rPr>
        <w:t xml:space="preserve"> [which would require affidavit from MD that medical standard of care were breached].  </w:t>
      </w:r>
      <w:r w:rsidRPr="00DD0155">
        <w:rPr>
          <w:rFonts w:ascii="Times New Roman" w:hAnsi="Times New Roman"/>
          <w:sz w:val="24"/>
          <w:szCs w:val="24"/>
        </w:rPr>
        <w:t xml:space="preserve">Taking all alleged facts in the light most favorable to Plaintiffs, Defendants' refusal to transport King to the hospital was not a medical decision based on the severity of his condition, but rather a legal decision based on their fear that transporting King would constitute </w:t>
      </w:r>
      <w:r>
        <w:rPr>
          <w:rFonts w:ascii="Times New Roman" w:hAnsi="Times New Roman"/>
          <w:sz w:val="24"/>
          <w:szCs w:val="24"/>
        </w:rPr>
        <w:t>‘</w:t>
      </w:r>
      <w:r w:rsidRPr="00DD0155">
        <w:rPr>
          <w:rFonts w:ascii="Times New Roman" w:hAnsi="Times New Roman"/>
          <w:sz w:val="24"/>
          <w:szCs w:val="24"/>
        </w:rPr>
        <w:t>kidnapping</w:t>
      </w:r>
      <w:r>
        <w:rPr>
          <w:rFonts w:ascii="Times New Roman" w:hAnsi="Times New Roman"/>
          <w:sz w:val="24"/>
          <w:szCs w:val="24"/>
        </w:rPr>
        <w:t>’</w:t>
      </w:r>
      <w:r w:rsidRPr="00DD0155">
        <w:rPr>
          <w:rFonts w:ascii="Times New Roman" w:hAnsi="Times New Roman"/>
          <w:sz w:val="24"/>
          <w:szCs w:val="24"/>
        </w:rPr>
        <w:t xml:space="preserve"> and would cause them to lose their employment</w:t>
      </w:r>
      <w:r>
        <w:rPr>
          <w:rFonts w:ascii="Times New Roman" w:hAnsi="Times New Roman"/>
          <w:sz w:val="24"/>
          <w:szCs w:val="24"/>
        </w:rPr>
        <w:t xml:space="preserve">…. </w:t>
      </w:r>
      <w:r w:rsidRPr="00DD0155">
        <w:rPr>
          <w:rFonts w:ascii="Times New Roman" w:hAnsi="Times New Roman"/>
          <w:sz w:val="24"/>
          <w:szCs w:val="24"/>
        </w:rPr>
        <w:t xml:space="preserve"> Moreover, Plaintiffs allege Defendants refused to recognize Becky Sutton's power of attorney-another administrative decision that required no medical expertise. These decisions are akin to the hospital's administrative policy in </w:t>
      </w:r>
      <w:r w:rsidRPr="00DD0155">
        <w:rPr>
          <w:rStyle w:val="Emphasis"/>
          <w:rFonts w:ascii="Times New Roman" w:hAnsi="Times New Roman"/>
          <w:sz w:val="24"/>
          <w:szCs w:val="24"/>
        </w:rPr>
        <w:t>Muse</w:t>
      </w:r>
      <w:r w:rsidRPr="00DD0155">
        <w:rPr>
          <w:rFonts w:ascii="Times New Roman" w:hAnsi="Times New Roman"/>
          <w:sz w:val="24"/>
          <w:szCs w:val="24"/>
        </w:rPr>
        <w:t xml:space="preserve"> of discharging patients based on the expiration of their insurance rather than their medical needs. </w:t>
      </w:r>
      <w:r w:rsidRPr="00DD0155">
        <w:rPr>
          <w:rStyle w:val="Emphasis"/>
          <w:rFonts w:ascii="Times New Roman" w:hAnsi="Times New Roman"/>
          <w:sz w:val="24"/>
          <w:szCs w:val="24"/>
        </w:rPr>
        <w:t>Muse</w:t>
      </w:r>
      <w:r w:rsidRPr="00DD0155">
        <w:rPr>
          <w:rFonts w:ascii="Times New Roman" w:hAnsi="Times New Roman"/>
          <w:sz w:val="24"/>
          <w:szCs w:val="24"/>
        </w:rPr>
        <w:t>, 452 S.E.2d at 593. In both cases, the allegations that health care providers refused medical treatment based on an administrative, not medical, decision.</w:t>
      </w:r>
      <w:r>
        <w:rPr>
          <w:rFonts w:ascii="Times New Roman" w:hAnsi="Times New Roman"/>
          <w:sz w:val="24"/>
          <w:szCs w:val="24"/>
        </w:rPr>
        <w:t xml:space="preserve">” </w:t>
      </w:r>
      <w:hyperlink r:id="rId2140" w:history="1">
        <w:r w:rsidRPr="00B25BE6">
          <w:rPr>
            <w:rStyle w:val="Hyperlink"/>
            <w:rFonts w:ascii="Times New Roman" w:hAnsi="Times New Roman"/>
            <w:sz w:val="24"/>
            <w:szCs w:val="24"/>
          </w:rPr>
          <w:t>https://casetext.com/case/sutton-v-rockingham-cnty</w:t>
        </w:r>
      </w:hyperlink>
      <w:r>
        <w:rPr>
          <w:rFonts w:ascii="Times New Roman" w:hAnsi="Times New Roman"/>
          <w:sz w:val="24"/>
          <w:szCs w:val="24"/>
        </w:rPr>
        <w:t xml:space="preserve"> </w:t>
      </w:r>
    </w:p>
    <w:p w14:paraId="63C8C2BB" w14:textId="77777777" w:rsidR="00221640" w:rsidRPr="00960536" w:rsidRDefault="00221640" w:rsidP="00221640">
      <w:pPr>
        <w:spacing w:before="100" w:beforeAutospacing="1" w:after="100" w:afterAutospacing="1" w:line="240" w:lineRule="auto"/>
        <w:rPr>
          <w:rFonts w:ascii="Times New Roman" w:eastAsia="Times New Roman" w:hAnsi="Times New Roman"/>
          <w:b/>
          <w:bCs/>
          <w:sz w:val="24"/>
          <w:szCs w:val="24"/>
        </w:rPr>
      </w:pPr>
      <w:r w:rsidRPr="00F4572D">
        <w:rPr>
          <w:rFonts w:ascii="Times New Roman" w:hAnsi="Times New Roman"/>
          <w:b/>
          <w:bCs/>
          <w:sz w:val="24"/>
          <w:szCs w:val="24"/>
        </w:rPr>
        <w:t xml:space="preserve">Legal Lesson Learned: </w:t>
      </w:r>
      <w:r>
        <w:rPr>
          <w:rFonts w:ascii="Times New Roman" w:hAnsi="Times New Roman"/>
          <w:b/>
          <w:bCs/>
          <w:sz w:val="24"/>
          <w:szCs w:val="24"/>
        </w:rPr>
        <w:t xml:space="preserve">If in doubt about Power-Of-Attorney, call Medical Control and discuss the patient’s vitals and get authorization to transport. </w:t>
      </w:r>
    </w:p>
    <w:p w14:paraId="17F1074B" w14:textId="77777777" w:rsidR="00221640" w:rsidRDefault="00221640" w:rsidP="002B1283">
      <w:pPr>
        <w:rPr>
          <w:rFonts w:ascii="Arial Black" w:hAnsi="Arial Black"/>
          <w:b/>
          <w:bCs/>
          <w:sz w:val="28"/>
          <w:szCs w:val="28"/>
        </w:rPr>
      </w:pPr>
    </w:p>
    <w:p w14:paraId="1CB04C85" w14:textId="77777777" w:rsidR="00221640" w:rsidRDefault="00221640" w:rsidP="002B1283">
      <w:pPr>
        <w:rPr>
          <w:rFonts w:ascii="Arial Black" w:hAnsi="Arial Black"/>
          <w:b/>
          <w:bCs/>
          <w:sz w:val="28"/>
          <w:szCs w:val="28"/>
        </w:rPr>
      </w:pPr>
    </w:p>
    <w:p w14:paraId="4384485B" w14:textId="3D7716BE" w:rsidR="00221640" w:rsidRDefault="00221640" w:rsidP="002B1283">
      <w:pPr>
        <w:rPr>
          <w:rFonts w:ascii="Arial Black" w:hAnsi="Arial Black"/>
          <w:b/>
          <w:bCs/>
          <w:sz w:val="28"/>
          <w:szCs w:val="28"/>
        </w:rPr>
      </w:pPr>
      <w:r>
        <w:rPr>
          <w:rFonts w:ascii="Arial Black" w:hAnsi="Arial Black"/>
          <w:b/>
          <w:bCs/>
          <w:sz w:val="28"/>
          <w:szCs w:val="28"/>
        </w:rPr>
        <w:t>13-110</w:t>
      </w:r>
    </w:p>
    <w:p w14:paraId="446FB795" w14:textId="77777777" w:rsidR="00221640" w:rsidRDefault="00221640" w:rsidP="00221640">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IL: PHOTO TAKEN OF PATIENT SHOT IN HEAD – LT. PUT ON  FACEBOOK - PUBLIC LOCATION - NOT CONSTIT. VIOL. </w:t>
      </w:r>
    </w:p>
    <w:p w14:paraId="0CE2B99B" w14:textId="77777777" w:rsidR="00221640" w:rsidRDefault="00221640" w:rsidP="00221640">
      <w:pPr>
        <w:spacing w:before="100" w:beforeAutospacing="1" w:after="100" w:afterAutospacing="1" w:line="240" w:lineRule="auto"/>
        <w:rPr>
          <w:rFonts w:ascii="Times New Roman" w:hAnsi="Times New Roman"/>
          <w:sz w:val="24"/>
          <w:szCs w:val="24"/>
        </w:rPr>
      </w:pPr>
      <w:r w:rsidRPr="00051733">
        <w:rPr>
          <w:rFonts w:ascii="Times New Roman" w:hAnsi="Times New Roman"/>
          <w:sz w:val="24"/>
          <w:szCs w:val="24"/>
        </w:rPr>
        <w:t xml:space="preserve">On March 24, 2022, in </w:t>
      </w:r>
      <w:r w:rsidRPr="00051733">
        <w:rPr>
          <w:rFonts w:ascii="Times New Roman" w:hAnsi="Times New Roman"/>
          <w:sz w:val="24"/>
          <w:szCs w:val="24"/>
          <w:u w:val="single"/>
        </w:rPr>
        <w:t xml:space="preserve">Adrian Cazares, Administrator of estate of Victor M. Cazares, Jr. </w:t>
      </w:r>
      <w:r>
        <w:rPr>
          <w:rFonts w:ascii="Times New Roman" w:hAnsi="Times New Roman"/>
          <w:sz w:val="24"/>
          <w:szCs w:val="24"/>
          <w:u w:val="single"/>
        </w:rPr>
        <w:t xml:space="preserve">and </w:t>
      </w:r>
      <w:r w:rsidRPr="00A573EA">
        <w:rPr>
          <w:rFonts w:ascii="Times New Roman" w:hAnsi="Times New Roman"/>
          <w:sz w:val="24"/>
          <w:szCs w:val="24"/>
          <w:u w:val="single"/>
        </w:rPr>
        <w:t xml:space="preserve">Michelle </w:t>
      </w:r>
      <w:r>
        <w:rPr>
          <w:rFonts w:ascii="Times New Roman" w:hAnsi="Times New Roman"/>
          <w:sz w:val="24"/>
          <w:szCs w:val="24"/>
          <w:u w:val="single"/>
        </w:rPr>
        <w:t xml:space="preserve">Cazares </w:t>
      </w:r>
      <w:r w:rsidRPr="00051733">
        <w:rPr>
          <w:rFonts w:ascii="Times New Roman" w:hAnsi="Times New Roman"/>
          <w:sz w:val="24"/>
          <w:szCs w:val="24"/>
          <w:u w:val="single"/>
        </w:rPr>
        <w:t xml:space="preserve">v. Frank R. Rand, Justin Zheng, Gene </w:t>
      </w:r>
      <w:proofErr w:type="spellStart"/>
      <w:r w:rsidRPr="00051733">
        <w:rPr>
          <w:rFonts w:ascii="Times New Roman" w:hAnsi="Times New Roman"/>
          <w:sz w:val="24"/>
          <w:szCs w:val="24"/>
          <w:u w:val="single"/>
        </w:rPr>
        <w:t>Lacano</w:t>
      </w:r>
      <w:proofErr w:type="spellEnd"/>
      <w:r w:rsidRPr="00051733">
        <w:rPr>
          <w:rFonts w:ascii="Times New Roman" w:hAnsi="Times New Roman"/>
          <w:sz w:val="24"/>
          <w:szCs w:val="24"/>
          <w:u w:val="single"/>
        </w:rPr>
        <w:t xml:space="preserve"> and Town of Cicero, Illinois</w:t>
      </w:r>
      <w:r w:rsidRPr="00051733">
        <w:rPr>
          <w:rFonts w:ascii="Times New Roman" w:hAnsi="Times New Roman"/>
          <w:sz w:val="24"/>
          <w:szCs w:val="24"/>
        </w:rPr>
        <w:t xml:space="preserve">, U.S. District Court Judge Robert M. Dow, Jr., </w:t>
      </w:r>
      <w:r>
        <w:rPr>
          <w:rFonts w:ascii="Times New Roman" w:hAnsi="Times New Roman"/>
          <w:sz w:val="24"/>
          <w:szCs w:val="24"/>
        </w:rPr>
        <w:t xml:space="preserve">Northern District of Illinois [Eastern District] </w:t>
      </w:r>
      <w:r w:rsidRPr="00051733">
        <w:rPr>
          <w:rFonts w:ascii="Times New Roman" w:hAnsi="Times New Roman"/>
          <w:sz w:val="24"/>
          <w:szCs w:val="24"/>
        </w:rPr>
        <w:t>granted the motion of two medics</w:t>
      </w:r>
      <w:r>
        <w:rPr>
          <w:rFonts w:ascii="Times New Roman" w:hAnsi="Times New Roman"/>
          <w:sz w:val="24"/>
          <w:szCs w:val="24"/>
        </w:rPr>
        <w:t xml:space="preserve"> </w:t>
      </w:r>
      <w:r w:rsidRPr="00051733">
        <w:rPr>
          <w:rFonts w:ascii="Times New Roman" w:hAnsi="Times New Roman"/>
          <w:sz w:val="24"/>
          <w:szCs w:val="24"/>
        </w:rPr>
        <w:t>and the Town to dismiss the federal lawsuit</w:t>
      </w:r>
      <w:r>
        <w:rPr>
          <w:rFonts w:ascii="Times New Roman" w:hAnsi="Times New Roman"/>
          <w:sz w:val="24"/>
          <w:szCs w:val="24"/>
        </w:rPr>
        <w:t>.  “</w:t>
      </w:r>
      <w:r w:rsidRPr="0001098C">
        <w:rPr>
          <w:rFonts w:ascii="Times New Roman" w:hAnsi="Times New Roman"/>
          <w:sz w:val="24"/>
          <w:szCs w:val="24"/>
        </w:rPr>
        <w:t xml:space="preserve">In this case, the Court agrees with Defendants that the Complaint does not allege a violation of Plaintiffs' fundamental rights or liberties because Defendants did not publicly disclose </w:t>
      </w:r>
      <w:r w:rsidRPr="0001098C">
        <w:rPr>
          <w:rStyle w:val="Emphasis"/>
          <w:rFonts w:ascii="Times New Roman" w:hAnsi="Times New Roman"/>
          <w:sz w:val="24"/>
          <w:szCs w:val="24"/>
        </w:rPr>
        <w:t>private</w:t>
      </w:r>
      <w:r w:rsidRPr="0001098C">
        <w:rPr>
          <w:rFonts w:ascii="Times New Roman" w:hAnsi="Times New Roman"/>
          <w:sz w:val="24"/>
          <w:szCs w:val="24"/>
        </w:rPr>
        <w:t xml:space="preserve"> medical information. The photo neither captured a private scene, nor medical information that was not already readily accessible to the naked eye.</w:t>
      </w:r>
      <w:r>
        <w:rPr>
          <w:rFonts w:ascii="Times New Roman" w:hAnsi="Times New Roman"/>
          <w:sz w:val="24"/>
          <w:szCs w:val="24"/>
        </w:rPr>
        <w:t xml:space="preserve">”  The lawsuit, however, may be refiled in state court, where a jury may find the comments on </w:t>
      </w:r>
      <w:proofErr w:type="gramStart"/>
      <w:r>
        <w:rPr>
          <w:rFonts w:ascii="Times New Roman" w:hAnsi="Times New Roman"/>
          <w:sz w:val="24"/>
          <w:szCs w:val="24"/>
        </w:rPr>
        <w:t>Facebook by</w:t>
      </w:r>
      <w:proofErr w:type="gramEnd"/>
      <w:r>
        <w:rPr>
          <w:rFonts w:ascii="Times New Roman" w:hAnsi="Times New Roman"/>
          <w:sz w:val="24"/>
          <w:szCs w:val="24"/>
        </w:rPr>
        <w:t xml:space="preserve"> to be particularly offensive. </w:t>
      </w:r>
      <w:hyperlink r:id="rId2141" w:history="1">
        <w:r w:rsidRPr="00641DD7">
          <w:rPr>
            <w:rStyle w:val="Hyperlink"/>
            <w:rFonts w:ascii="Times New Roman" w:hAnsi="Times New Roman"/>
            <w:sz w:val="24"/>
            <w:szCs w:val="24"/>
          </w:rPr>
          <w:t>https://casetext.com/case/cazares-v-rand</w:t>
        </w:r>
      </w:hyperlink>
      <w:r>
        <w:rPr>
          <w:rFonts w:ascii="Times New Roman" w:hAnsi="Times New Roman"/>
          <w:sz w:val="24"/>
          <w:szCs w:val="24"/>
        </w:rPr>
        <w:t xml:space="preserve"> </w:t>
      </w:r>
    </w:p>
    <w:p w14:paraId="6A43C1D3" w14:textId="70F7270D" w:rsidR="00221640" w:rsidRDefault="00221640" w:rsidP="00221640">
      <w:pPr>
        <w:rPr>
          <w:rFonts w:ascii="Arial Black" w:hAnsi="Arial Black"/>
          <w:b/>
          <w:bCs/>
          <w:sz w:val="28"/>
          <w:szCs w:val="28"/>
        </w:rPr>
      </w:pPr>
      <w:r>
        <w:rPr>
          <w:rFonts w:ascii="Times New Roman" w:hAnsi="Times New Roman"/>
          <w:sz w:val="24"/>
          <w:szCs w:val="24"/>
        </w:rPr>
        <w:t>“</w:t>
      </w:r>
      <w:r w:rsidRPr="00F36863">
        <w:rPr>
          <w:rFonts w:ascii="Times New Roman" w:hAnsi="Times New Roman"/>
          <w:sz w:val="24"/>
          <w:szCs w:val="24"/>
        </w:rPr>
        <w:t xml:space="preserve">Another individual, Defendant </w:t>
      </w:r>
      <w:r>
        <w:rPr>
          <w:rFonts w:ascii="Times New Roman" w:hAnsi="Times New Roman"/>
          <w:sz w:val="24"/>
          <w:szCs w:val="24"/>
        </w:rPr>
        <w:t xml:space="preserve">[Lieutenant] </w:t>
      </w:r>
      <w:r w:rsidRPr="00F36863">
        <w:rPr>
          <w:rFonts w:ascii="Times New Roman" w:hAnsi="Times New Roman"/>
          <w:sz w:val="24"/>
          <w:szCs w:val="24"/>
        </w:rPr>
        <w:t xml:space="preserve">Frank R. Rand, posted that photograph of Mr. Cazares to an 8, 000-member Facebook group </w:t>
      </w:r>
      <w:r>
        <w:rPr>
          <w:rFonts w:ascii="Times New Roman" w:hAnsi="Times New Roman"/>
          <w:sz w:val="24"/>
          <w:szCs w:val="24"/>
        </w:rPr>
        <w:t>‘</w:t>
      </w:r>
      <w:r w:rsidRPr="00F36863">
        <w:rPr>
          <w:rFonts w:ascii="Times New Roman" w:hAnsi="Times New Roman"/>
          <w:sz w:val="24"/>
          <w:szCs w:val="24"/>
        </w:rPr>
        <w:t>for people who grew up in Cicero, Illinois</w:t>
      </w:r>
      <w:r>
        <w:rPr>
          <w:rFonts w:ascii="Times New Roman" w:hAnsi="Times New Roman"/>
          <w:sz w:val="24"/>
          <w:szCs w:val="24"/>
        </w:rPr>
        <w:t>’</w:t>
      </w:r>
      <w:r w:rsidRPr="00F36863">
        <w:rPr>
          <w:rFonts w:ascii="Times New Roman" w:hAnsi="Times New Roman"/>
          <w:sz w:val="24"/>
          <w:szCs w:val="24"/>
        </w:rPr>
        <w:t xml:space="preserve"> at 6:25 p.m., </w:t>
      </w:r>
      <w:r w:rsidRPr="00F36863">
        <w:rPr>
          <w:rStyle w:val="Emphasis"/>
          <w:rFonts w:ascii="Times New Roman" w:hAnsi="Times New Roman"/>
          <w:sz w:val="24"/>
          <w:szCs w:val="24"/>
        </w:rPr>
        <w:t>i.e.</w:t>
      </w:r>
      <w:r w:rsidRPr="00F36863">
        <w:rPr>
          <w:rFonts w:ascii="Times New Roman" w:hAnsi="Times New Roman"/>
          <w:sz w:val="24"/>
          <w:szCs w:val="24"/>
        </w:rPr>
        <w:t>, within two minutes of the paramedics' arrival on the scene</w:t>
      </w:r>
      <w:r>
        <w:rPr>
          <w:rFonts w:ascii="Times New Roman" w:hAnsi="Times New Roman"/>
          <w:sz w:val="24"/>
          <w:szCs w:val="24"/>
        </w:rPr>
        <w:t>…</w:t>
      </w:r>
      <w:r w:rsidRPr="00F36863">
        <w:rPr>
          <w:rFonts w:ascii="Times New Roman" w:hAnsi="Times New Roman"/>
          <w:sz w:val="24"/>
          <w:szCs w:val="24"/>
        </w:rPr>
        <w:t xml:space="preserve">. Accompanying the photo is the message, </w:t>
      </w:r>
      <w:r>
        <w:rPr>
          <w:rFonts w:ascii="Times New Roman" w:hAnsi="Times New Roman"/>
          <w:sz w:val="24"/>
          <w:szCs w:val="24"/>
        </w:rPr>
        <w:t>‘</w:t>
      </w:r>
      <w:r w:rsidRPr="00F36863">
        <w:rPr>
          <w:rFonts w:ascii="Times New Roman" w:hAnsi="Times New Roman"/>
          <w:sz w:val="24"/>
          <w:szCs w:val="24"/>
        </w:rPr>
        <w:t>[c]</w:t>
      </w:r>
      <w:proofErr w:type="spellStart"/>
      <w:r w:rsidRPr="00F36863">
        <w:rPr>
          <w:rFonts w:ascii="Times New Roman" w:hAnsi="Times New Roman"/>
          <w:sz w:val="24"/>
          <w:szCs w:val="24"/>
        </w:rPr>
        <w:t>ome</w:t>
      </w:r>
      <w:proofErr w:type="spellEnd"/>
      <w:r w:rsidRPr="00F36863">
        <w:rPr>
          <w:rFonts w:ascii="Times New Roman" w:hAnsi="Times New Roman"/>
          <w:sz w:val="24"/>
          <w:szCs w:val="24"/>
        </w:rPr>
        <w:t xml:space="preserve"> to Cicero to loot and break shit</w:t>
      </w:r>
      <w:proofErr w:type="gramStart"/>
      <w:r w:rsidRPr="00F36863">
        <w:rPr>
          <w:rFonts w:ascii="Times New Roman" w:hAnsi="Times New Roman"/>
          <w:sz w:val="24"/>
          <w:szCs w:val="24"/>
        </w:rPr>
        <w:t>!</w:t>
      </w:r>
      <w:proofErr w:type="gramEnd"/>
      <w:r w:rsidRPr="00F36863">
        <w:rPr>
          <w:rFonts w:ascii="Times New Roman" w:hAnsi="Times New Roman"/>
          <w:sz w:val="24"/>
          <w:szCs w:val="24"/>
        </w:rPr>
        <w:t xml:space="preserve"> Get a free body bag!! Nice head shot!!</w:t>
      </w:r>
      <w:r>
        <w:rPr>
          <w:rFonts w:ascii="Times New Roman" w:hAnsi="Times New Roman"/>
          <w:sz w:val="24"/>
          <w:szCs w:val="24"/>
        </w:rPr>
        <w:t xml:space="preserve">’” </w:t>
      </w:r>
      <w:hyperlink r:id="rId2142" w:history="1">
        <w:r w:rsidRPr="00641DD7">
          <w:rPr>
            <w:rStyle w:val="Hyperlink"/>
            <w:rFonts w:ascii="Times New Roman" w:hAnsi="Times New Roman"/>
            <w:sz w:val="24"/>
            <w:szCs w:val="24"/>
          </w:rPr>
          <w:t>https://casetext.com/case/cazares-v-rand</w:t>
        </w:r>
      </w:hyperlink>
    </w:p>
    <w:p w14:paraId="30084743" w14:textId="77777777" w:rsidR="00221640" w:rsidRDefault="00221640" w:rsidP="00221640">
      <w:pPr>
        <w:spacing w:before="100" w:beforeAutospacing="1" w:after="100" w:afterAutospacing="1" w:line="240" w:lineRule="auto"/>
        <w:rPr>
          <w:rFonts w:ascii="Times New Roman" w:hAnsi="Times New Roman"/>
          <w:b/>
          <w:bCs/>
          <w:sz w:val="24"/>
          <w:szCs w:val="24"/>
        </w:rPr>
      </w:pPr>
      <w:r w:rsidRPr="0001098C">
        <w:rPr>
          <w:rFonts w:ascii="Times New Roman" w:hAnsi="Times New Roman"/>
          <w:b/>
          <w:bCs/>
          <w:sz w:val="24"/>
          <w:szCs w:val="24"/>
        </w:rPr>
        <w:lastRenderedPageBreak/>
        <w:t>Legal Lesson Learned:</w:t>
      </w:r>
      <w:r>
        <w:rPr>
          <w:rFonts w:ascii="Times New Roman" w:hAnsi="Times New Roman"/>
          <w:b/>
          <w:bCs/>
          <w:sz w:val="24"/>
          <w:szCs w:val="24"/>
        </w:rPr>
        <w:t xml:space="preserve"> Do not take photos of patients; don’t post them on Facebook or other social media. </w:t>
      </w:r>
    </w:p>
    <w:p w14:paraId="45970499" w14:textId="77777777" w:rsidR="00221640" w:rsidRDefault="00221640" w:rsidP="002B1283">
      <w:pPr>
        <w:rPr>
          <w:rFonts w:ascii="Arial Black" w:hAnsi="Arial Black"/>
          <w:b/>
          <w:bCs/>
          <w:sz w:val="28"/>
          <w:szCs w:val="28"/>
        </w:rPr>
      </w:pPr>
    </w:p>
    <w:p w14:paraId="6F9130C1" w14:textId="77777777" w:rsidR="00221640" w:rsidRDefault="00221640" w:rsidP="002B1283">
      <w:pPr>
        <w:rPr>
          <w:rFonts w:ascii="Arial Black" w:hAnsi="Arial Black"/>
          <w:b/>
          <w:bCs/>
          <w:sz w:val="28"/>
          <w:szCs w:val="28"/>
        </w:rPr>
      </w:pPr>
    </w:p>
    <w:p w14:paraId="7C76BB79" w14:textId="170D2D57" w:rsidR="00221640" w:rsidRDefault="00221640" w:rsidP="002B1283">
      <w:pPr>
        <w:rPr>
          <w:rFonts w:ascii="Arial Black" w:hAnsi="Arial Black"/>
          <w:b/>
          <w:bCs/>
          <w:sz w:val="28"/>
          <w:szCs w:val="28"/>
        </w:rPr>
      </w:pPr>
      <w:r>
        <w:rPr>
          <w:rFonts w:ascii="Arial Black" w:hAnsi="Arial Black"/>
          <w:b/>
          <w:bCs/>
          <w:sz w:val="28"/>
          <w:szCs w:val="28"/>
        </w:rPr>
        <w:t>13-109</w:t>
      </w:r>
    </w:p>
    <w:p w14:paraId="72B11E00" w14:textId="77777777" w:rsidR="00221640" w:rsidRPr="00D46D8F" w:rsidRDefault="00221640" w:rsidP="00221640">
      <w:pPr>
        <w:spacing w:before="100" w:beforeAutospacing="1" w:after="100" w:afterAutospacing="1" w:line="240" w:lineRule="auto"/>
        <w:rPr>
          <w:rFonts w:ascii="Arial Black" w:hAnsi="Arial Black"/>
          <w:b/>
          <w:bCs/>
          <w:sz w:val="28"/>
          <w:szCs w:val="28"/>
        </w:rPr>
      </w:pPr>
      <w:bookmarkStart w:id="443" w:name="_Hlk99460651"/>
      <w:r>
        <w:rPr>
          <w:rFonts w:ascii="Arial Black" w:hAnsi="Arial Black"/>
          <w:b/>
          <w:bCs/>
          <w:sz w:val="28"/>
          <w:szCs w:val="28"/>
        </w:rPr>
        <w:t>SC: EMS FAILURE TO TRANSPORT NAKED, MENTAL PATIENT HOSPITAL – KILLED I-95 – LAWSUIT TO PROCEED</w:t>
      </w:r>
    </w:p>
    <w:p w14:paraId="0FD8CE9A" w14:textId="77777777" w:rsidR="00221640" w:rsidRDefault="00221640" w:rsidP="00221640">
      <w:pPr>
        <w:spacing w:before="100" w:beforeAutospacing="1" w:after="100" w:afterAutospacing="1" w:line="240" w:lineRule="auto"/>
      </w:pPr>
      <w:r w:rsidRPr="00BA1FD0">
        <w:rPr>
          <w:rFonts w:ascii="Times New Roman" w:hAnsi="Times New Roman"/>
          <w:sz w:val="24"/>
          <w:szCs w:val="24"/>
        </w:rPr>
        <w:t xml:space="preserve">On </w:t>
      </w:r>
      <w:r>
        <w:rPr>
          <w:rFonts w:ascii="Times New Roman" w:hAnsi="Times New Roman"/>
          <w:sz w:val="24"/>
          <w:szCs w:val="24"/>
        </w:rPr>
        <w:t xml:space="preserve">March 23, 2022, in </w:t>
      </w:r>
      <w:r w:rsidRPr="00BA1FD0">
        <w:rPr>
          <w:rFonts w:ascii="Times New Roman" w:hAnsi="Times New Roman"/>
          <w:sz w:val="24"/>
          <w:szCs w:val="24"/>
          <w:u w:val="single"/>
        </w:rPr>
        <w:t>Paul Tarashuk v. Orangeburg County, Orangeburg County Emergency Medical Services, et al.</w:t>
      </w:r>
      <w:r>
        <w:rPr>
          <w:rFonts w:ascii="Times New Roman" w:hAnsi="Times New Roman"/>
          <w:sz w:val="24"/>
          <w:szCs w:val="24"/>
        </w:rPr>
        <w:t xml:space="preserve">, U.S. District Court judge J. Michelle Childs, U.S. District Court of South Carolina (Orangeburg Division) denied the defendants’ motion for summary judgment.   A truck driver called 911 to report that the man, later identified as Paul Tarashuk, was naked and climbed on the tractor trailer at an on-ramp for I-95, rode on the catwalk and detached air lines to the breaks. Police from three agencies responded and requested EMS.  He sat in ambulance for 12 minutes, head down, not responding to questions. A medic “pushed an ammonia inhalant up his nose” and took his vitals: </w:t>
      </w:r>
      <w:r w:rsidRPr="00EA5469">
        <w:rPr>
          <w:rFonts w:ascii="Times New Roman" w:hAnsi="Times New Roman"/>
          <w:sz w:val="24"/>
          <w:szCs w:val="24"/>
        </w:rPr>
        <w:t>blood pressure of 160/82 and pulse of 124</w:t>
      </w:r>
      <w:r>
        <w:rPr>
          <w:rFonts w:ascii="Times New Roman" w:hAnsi="Times New Roman"/>
          <w:sz w:val="24"/>
          <w:szCs w:val="24"/>
        </w:rPr>
        <w:t xml:space="preserve">.  </w:t>
      </w:r>
      <w:r w:rsidRPr="00005F9E">
        <w:rPr>
          <w:rFonts w:ascii="Times New Roman" w:hAnsi="Times New Roman"/>
          <w:sz w:val="24"/>
          <w:szCs w:val="24"/>
        </w:rPr>
        <w:t xml:space="preserve">Law enforcement and </w:t>
      </w:r>
      <w:r>
        <w:rPr>
          <w:rFonts w:ascii="Times New Roman" w:hAnsi="Times New Roman"/>
          <w:sz w:val="24"/>
          <w:szCs w:val="24"/>
        </w:rPr>
        <w:t>EMS w</w:t>
      </w:r>
      <w:r w:rsidRPr="00005F9E">
        <w:rPr>
          <w:rFonts w:ascii="Times New Roman" w:hAnsi="Times New Roman"/>
          <w:sz w:val="24"/>
          <w:szCs w:val="24"/>
        </w:rPr>
        <w:t>ere unaware of Plaintiff's identity throughout their interactions as he refused or was unable to state his full name and carried no identification.</w:t>
      </w:r>
      <w:r>
        <w:rPr>
          <w:rFonts w:ascii="Times New Roman" w:hAnsi="Times New Roman"/>
          <w:sz w:val="24"/>
          <w:szCs w:val="24"/>
        </w:rPr>
        <w:t xml:space="preserve"> A Deputy Sheriff, recording the event, then decided to drop him off at a closed gas station, telling him:</w:t>
      </w:r>
    </w:p>
    <w:p w14:paraId="0B7AB34E" w14:textId="77777777" w:rsidR="00221640" w:rsidRPr="00BB1B9E" w:rsidRDefault="00221640" w:rsidP="00221640">
      <w:pPr>
        <w:spacing w:before="100" w:beforeAutospacing="1" w:after="100" w:afterAutospacing="1" w:line="240" w:lineRule="auto"/>
        <w:ind w:left="720"/>
        <w:rPr>
          <w:rFonts w:ascii="Times New Roman" w:hAnsi="Times New Roman"/>
          <w:sz w:val="24"/>
          <w:szCs w:val="24"/>
        </w:rPr>
      </w:pPr>
      <w:r w:rsidRPr="00BB1B9E">
        <w:rPr>
          <w:rFonts w:ascii="Times New Roman" w:hAnsi="Times New Roman"/>
          <w:sz w:val="24"/>
          <w:szCs w:val="24"/>
        </w:rPr>
        <w:t xml:space="preserve">“You are not under arrest. I'm </w:t>
      </w:r>
      <w:proofErr w:type="spellStart"/>
      <w:r w:rsidRPr="00BB1B9E">
        <w:rPr>
          <w:rFonts w:ascii="Times New Roman" w:hAnsi="Times New Roman"/>
          <w:sz w:val="24"/>
          <w:szCs w:val="24"/>
        </w:rPr>
        <w:t>gonna</w:t>
      </w:r>
      <w:proofErr w:type="spellEnd"/>
      <w:r w:rsidRPr="00BB1B9E">
        <w:rPr>
          <w:rFonts w:ascii="Times New Roman" w:hAnsi="Times New Roman"/>
          <w:sz w:val="24"/>
          <w:szCs w:val="24"/>
        </w:rPr>
        <w:t xml:space="preserve"> give you a ride . . . . You're not going to jail, you're not under arrest, I'm going to give you a ride . . . . I'll figure out where you live. I'll give you a ride to a safe environment. That's all I want</w:t>
      </w:r>
      <w:r>
        <w:rPr>
          <w:rFonts w:ascii="Times New Roman" w:hAnsi="Times New Roman"/>
          <w:sz w:val="24"/>
          <w:szCs w:val="24"/>
        </w:rPr>
        <w:t>….</w:t>
      </w:r>
      <w:r w:rsidRPr="00BB1B9E">
        <w:rPr>
          <w:rFonts w:ascii="Times New Roman" w:hAnsi="Times New Roman"/>
          <w:sz w:val="24"/>
          <w:szCs w:val="24"/>
        </w:rPr>
        <w:t xml:space="preserve">” </w:t>
      </w:r>
      <w:r>
        <w:rPr>
          <w:rFonts w:ascii="Times New Roman" w:hAnsi="Times New Roman"/>
          <w:sz w:val="24"/>
          <w:szCs w:val="24"/>
        </w:rPr>
        <w:t xml:space="preserve">[Deputy] </w:t>
      </w:r>
      <w:r w:rsidRPr="00BB1B9E">
        <w:rPr>
          <w:rFonts w:ascii="Times New Roman" w:hAnsi="Times New Roman"/>
          <w:sz w:val="24"/>
          <w:szCs w:val="24"/>
        </w:rPr>
        <w:t xml:space="preserve">Doroski then told the other on-scene OCSO deputy that he was taking </w:t>
      </w:r>
      <w:proofErr w:type="spellStart"/>
      <w:r w:rsidRPr="00BB1B9E">
        <w:rPr>
          <w:rFonts w:ascii="Times New Roman" w:hAnsi="Times New Roman"/>
          <w:sz w:val="24"/>
          <w:szCs w:val="24"/>
        </w:rPr>
        <w:t>Tarashuk</w:t>
      </w:r>
      <w:proofErr w:type="spellEnd"/>
      <w:r w:rsidRPr="00BB1B9E">
        <w:rPr>
          <w:rFonts w:ascii="Times New Roman" w:hAnsi="Times New Roman"/>
          <w:sz w:val="24"/>
          <w:szCs w:val="24"/>
        </w:rPr>
        <w:t xml:space="preserve"> to Santee and ultimately dropped </w:t>
      </w:r>
      <w:proofErr w:type="spellStart"/>
      <w:r w:rsidRPr="00BB1B9E">
        <w:rPr>
          <w:rFonts w:ascii="Times New Roman" w:hAnsi="Times New Roman"/>
          <w:sz w:val="24"/>
          <w:szCs w:val="24"/>
        </w:rPr>
        <w:t>Tarashuk</w:t>
      </w:r>
      <w:proofErr w:type="spellEnd"/>
      <w:r w:rsidRPr="00BB1B9E">
        <w:rPr>
          <w:rFonts w:ascii="Times New Roman" w:hAnsi="Times New Roman"/>
          <w:sz w:val="24"/>
          <w:szCs w:val="24"/>
        </w:rPr>
        <w:t xml:space="preserve"> off at a closed gas station.</w:t>
      </w:r>
      <w:r>
        <w:rPr>
          <w:rFonts w:ascii="Times New Roman" w:hAnsi="Times New Roman"/>
          <w:sz w:val="24"/>
          <w:szCs w:val="24"/>
        </w:rPr>
        <w:t xml:space="preserve">” </w:t>
      </w:r>
    </w:p>
    <w:p w14:paraId="7D3D6424" w14:textId="77777777" w:rsidR="00221640" w:rsidRPr="008A6F7F" w:rsidRDefault="00221640" w:rsidP="0022164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After being dopped off at the gas station, Mr. </w:t>
      </w:r>
      <w:proofErr w:type="spellStart"/>
      <w:r>
        <w:rPr>
          <w:rFonts w:ascii="Times New Roman" w:hAnsi="Times New Roman"/>
          <w:sz w:val="24"/>
          <w:szCs w:val="24"/>
        </w:rPr>
        <w:t>Tarashuk</w:t>
      </w:r>
      <w:proofErr w:type="spellEnd"/>
      <w:r>
        <w:rPr>
          <w:rFonts w:ascii="Times New Roman" w:hAnsi="Times New Roman"/>
          <w:sz w:val="24"/>
          <w:szCs w:val="24"/>
        </w:rPr>
        <w:t xml:space="preserve"> walked back to I-95 and was struck and killed a few hours later. Under these unfortunate facts, Judge Childs held that while the deceased’s family cannot sue the County for “failure to train” the Deputy and the medics, they can sue under the ADA [Americans with Disabilities Act] for failure to accommodate the patient by not taking him to the hospital. </w:t>
      </w:r>
      <w:hyperlink r:id="rId2143" w:history="1">
        <w:r w:rsidRPr="00E151A7">
          <w:rPr>
            <w:rStyle w:val="Hyperlink"/>
            <w:rFonts w:ascii="Times New Roman" w:hAnsi="Times New Roman"/>
            <w:sz w:val="24"/>
            <w:szCs w:val="24"/>
          </w:rPr>
          <w:t>https://www.leagle.com/decision/infdco20220324d64</w:t>
        </w:r>
      </w:hyperlink>
      <w:r w:rsidRPr="008A6F7F">
        <w:rPr>
          <w:rFonts w:ascii="Times New Roman" w:hAnsi="Times New Roman"/>
          <w:sz w:val="24"/>
          <w:szCs w:val="24"/>
        </w:rPr>
        <w:t xml:space="preserve"> </w:t>
      </w:r>
    </w:p>
    <w:p w14:paraId="3737AABF" w14:textId="77777777" w:rsidR="00221640" w:rsidRPr="008A6F7F" w:rsidRDefault="00221640" w:rsidP="0022164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07F61">
        <w:rPr>
          <w:rFonts w:ascii="Times New Roman" w:hAnsi="Times New Roman"/>
          <w:sz w:val="24"/>
          <w:szCs w:val="24"/>
        </w:rPr>
        <w:t xml:space="preserve">Plaintiff has alleged sufficient facts to indicate that two trained paramedics should have been able to gauge the specific accommodation required here and taken </w:t>
      </w:r>
      <w:proofErr w:type="spellStart"/>
      <w:r w:rsidRPr="00107F61">
        <w:rPr>
          <w:rFonts w:ascii="Times New Roman" w:hAnsi="Times New Roman"/>
          <w:sz w:val="24"/>
          <w:szCs w:val="24"/>
        </w:rPr>
        <w:t>Tarashuk</w:t>
      </w:r>
      <w:proofErr w:type="spellEnd"/>
      <w:r w:rsidRPr="00107F61">
        <w:rPr>
          <w:rFonts w:ascii="Times New Roman" w:hAnsi="Times New Roman"/>
          <w:sz w:val="24"/>
          <w:szCs w:val="24"/>
        </w:rPr>
        <w:t xml:space="preserve"> to the hospital. Ultimately, whether the circumstances alleged here are such that responding paramedics knew or should have known </w:t>
      </w:r>
      <w:proofErr w:type="spellStart"/>
      <w:r w:rsidRPr="00107F61">
        <w:rPr>
          <w:rFonts w:ascii="Times New Roman" w:hAnsi="Times New Roman"/>
          <w:sz w:val="24"/>
          <w:szCs w:val="24"/>
        </w:rPr>
        <w:t>Tarashuk</w:t>
      </w:r>
      <w:proofErr w:type="spellEnd"/>
      <w:r w:rsidRPr="00107F61">
        <w:rPr>
          <w:rFonts w:ascii="Times New Roman" w:hAnsi="Times New Roman"/>
          <w:sz w:val="24"/>
          <w:szCs w:val="24"/>
        </w:rPr>
        <w:t xml:space="preserve"> was obviously disabled presents a genuine question of material fact and precludes summary judgment.</w:t>
      </w:r>
      <w:r>
        <w:rPr>
          <w:rFonts w:ascii="Times New Roman" w:hAnsi="Times New Roman"/>
          <w:sz w:val="24"/>
          <w:szCs w:val="24"/>
        </w:rPr>
        <w:t xml:space="preserve">” </w:t>
      </w:r>
      <w:hyperlink r:id="rId2144" w:history="1">
        <w:r w:rsidRPr="00E151A7">
          <w:rPr>
            <w:rStyle w:val="Hyperlink"/>
            <w:rFonts w:ascii="Times New Roman" w:hAnsi="Times New Roman"/>
            <w:sz w:val="24"/>
            <w:szCs w:val="24"/>
          </w:rPr>
          <w:t>https://www.leagle.com/decision/infdco20220324d64</w:t>
        </w:r>
      </w:hyperlink>
      <w:r w:rsidRPr="008A6F7F">
        <w:rPr>
          <w:rFonts w:ascii="Times New Roman" w:hAnsi="Times New Roman"/>
          <w:sz w:val="24"/>
          <w:szCs w:val="24"/>
        </w:rPr>
        <w:t xml:space="preserve"> </w:t>
      </w:r>
    </w:p>
    <w:bookmarkEnd w:id="443"/>
    <w:p w14:paraId="4C7339FD" w14:textId="77777777" w:rsidR="00221640" w:rsidRDefault="00221640" w:rsidP="00221640">
      <w:pPr>
        <w:spacing w:before="100" w:beforeAutospacing="1" w:after="100" w:afterAutospacing="1" w:line="240" w:lineRule="auto"/>
        <w:rPr>
          <w:rFonts w:ascii="Times New Roman" w:eastAsia="Times New Roman" w:hAnsi="Times New Roman"/>
          <w:b/>
          <w:bCs/>
          <w:sz w:val="24"/>
          <w:szCs w:val="24"/>
        </w:rPr>
      </w:pPr>
      <w:r w:rsidRPr="008C4B8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EMS should know the law in their state, and local protocols, on when a patient should be taken to hospital for psychiatric evaluation. </w:t>
      </w:r>
    </w:p>
    <w:p w14:paraId="7B848D6D" w14:textId="77777777" w:rsidR="00221640" w:rsidRDefault="00221640" w:rsidP="00221640">
      <w:pPr>
        <w:spacing w:before="100" w:beforeAutospacing="1" w:after="100" w:afterAutospacing="1" w:line="240" w:lineRule="auto"/>
        <w:ind w:left="720"/>
        <w:rPr>
          <w:rFonts w:ascii="Times New Roman" w:eastAsia="Times New Roman" w:hAnsi="Times New Roman"/>
          <w:sz w:val="24"/>
          <w:szCs w:val="24"/>
        </w:rPr>
      </w:pPr>
      <w:r w:rsidRPr="00EB1873">
        <w:rPr>
          <w:rFonts w:ascii="Times New Roman" w:eastAsia="Times New Roman" w:hAnsi="Times New Roman"/>
          <w:sz w:val="24"/>
          <w:szCs w:val="24"/>
        </w:rPr>
        <w:t>Note:</w:t>
      </w:r>
      <w:r>
        <w:rPr>
          <w:rFonts w:ascii="Times New Roman" w:eastAsia="Times New Roman" w:hAnsi="Times New Roman"/>
          <w:sz w:val="24"/>
          <w:szCs w:val="24"/>
        </w:rPr>
        <w:t xml:space="preserve"> One of the medics on this run had a long history of drug addictions, and license suspension, prior to being hired by the County EMS.  The trial judge dismissed the claim of negligent hiring.</w:t>
      </w:r>
    </w:p>
    <w:p w14:paraId="27328BBB" w14:textId="77777777" w:rsidR="00221640" w:rsidRDefault="00221640" w:rsidP="0022164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EB1873">
        <w:rPr>
          <w:rFonts w:ascii="Times New Roman" w:hAnsi="Times New Roman"/>
          <w:sz w:val="24"/>
          <w:szCs w:val="24"/>
        </w:rPr>
        <w:t xml:space="preserve">Here, Plaintiff concedes Rivers contacted </w:t>
      </w:r>
      <w:r>
        <w:rPr>
          <w:rFonts w:ascii="Times New Roman" w:hAnsi="Times New Roman"/>
          <w:sz w:val="24"/>
          <w:szCs w:val="24"/>
        </w:rPr>
        <w:t xml:space="preserve">[the medic’s] </w:t>
      </w:r>
      <w:r w:rsidRPr="00EB1873">
        <w:rPr>
          <w:rFonts w:ascii="Times New Roman" w:hAnsi="Times New Roman"/>
          <w:sz w:val="24"/>
          <w:szCs w:val="24"/>
        </w:rPr>
        <w:t xml:space="preserve">longest-term employer who affirmed her competence as a paramedic. Rivers knew of </w:t>
      </w:r>
      <w:r>
        <w:rPr>
          <w:rFonts w:ascii="Times New Roman" w:hAnsi="Times New Roman"/>
          <w:sz w:val="24"/>
          <w:szCs w:val="24"/>
        </w:rPr>
        <w:t xml:space="preserve">[the medic’s] </w:t>
      </w:r>
      <w:r w:rsidRPr="00EB1873">
        <w:rPr>
          <w:rFonts w:ascii="Times New Roman" w:hAnsi="Times New Roman"/>
          <w:sz w:val="24"/>
          <w:szCs w:val="24"/>
        </w:rPr>
        <w:t xml:space="preserve">license suspension and contacted DHEC, the regulatory body in charge of her reinstatement, to ensure she had complied with its requirements. While </w:t>
      </w:r>
      <w:r w:rsidRPr="00EB1873">
        <w:rPr>
          <w:rFonts w:ascii="Times New Roman" w:hAnsi="Times New Roman"/>
          <w:sz w:val="24"/>
          <w:szCs w:val="24"/>
        </w:rPr>
        <w:lastRenderedPageBreak/>
        <w:t xml:space="preserve">certain red flags on </w:t>
      </w:r>
      <w:r>
        <w:rPr>
          <w:rFonts w:ascii="Times New Roman" w:hAnsi="Times New Roman"/>
          <w:sz w:val="24"/>
          <w:szCs w:val="24"/>
        </w:rPr>
        <w:t xml:space="preserve">[the medic’s] </w:t>
      </w:r>
      <w:r w:rsidRPr="00EB1873">
        <w:rPr>
          <w:rFonts w:ascii="Times New Roman" w:hAnsi="Times New Roman"/>
          <w:sz w:val="24"/>
          <w:szCs w:val="24"/>
        </w:rPr>
        <w:t xml:space="preserve">application, such as her relatively short tenure with subsequent employers and publicly available facts regarding her license suspension due to opioid addiction may have warranted further scrutiny, Rivers' failure to follow each thread in his investigation constitutes negligence at best. And in this context, negligence-based </w:t>
      </w:r>
      <w:r w:rsidRPr="00EB1873">
        <w:rPr>
          <w:rStyle w:val="Emphasis"/>
          <w:rFonts w:ascii="Times New Roman" w:hAnsi="Times New Roman"/>
          <w:sz w:val="24"/>
          <w:szCs w:val="24"/>
        </w:rPr>
        <w:t>respondeat superior</w:t>
      </w:r>
      <w:r w:rsidRPr="00EB1873">
        <w:rPr>
          <w:rFonts w:ascii="Times New Roman" w:hAnsi="Times New Roman"/>
          <w:sz w:val="24"/>
          <w:szCs w:val="24"/>
        </w:rPr>
        <w:t xml:space="preserve"> liability does not reach the substantial </w:t>
      </w:r>
      <w:r>
        <w:rPr>
          <w:rFonts w:ascii="Times New Roman" w:hAnsi="Times New Roman"/>
          <w:sz w:val="24"/>
          <w:szCs w:val="24"/>
        </w:rPr>
        <w:t>‘</w:t>
      </w:r>
      <w:r w:rsidRPr="00EB1873">
        <w:rPr>
          <w:rFonts w:ascii="Times New Roman" w:hAnsi="Times New Roman"/>
          <w:sz w:val="24"/>
          <w:szCs w:val="24"/>
        </w:rPr>
        <w:t>deliberate indifference</w:t>
      </w:r>
      <w:r>
        <w:rPr>
          <w:rFonts w:ascii="Times New Roman" w:hAnsi="Times New Roman"/>
          <w:sz w:val="24"/>
          <w:szCs w:val="24"/>
        </w:rPr>
        <w:t>’</w:t>
      </w:r>
      <w:r w:rsidRPr="00EB1873">
        <w:rPr>
          <w:rFonts w:ascii="Times New Roman" w:hAnsi="Times New Roman"/>
          <w:sz w:val="24"/>
          <w:szCs w:val="24"/>
        </w:rPr>
        <w:t xml:space="preserve"> </w:t>
      </w:r>
      <w:proofErr w:type="gramStart"/>
      <w:r w:rsidRPr="00EB1873">
        <w:rPr>
          <w:rFonts w:ascii="Times New Roman" w:hAnsi="Times New Roman"/>
          <w:sz w:val="24"/>
          <w:szCs w:val="24"/>
        </w:rPr>
        <w:t>threshold</w:t>
      </w:r>
      <w:r>
        <w:rPr>
          <w:rFonts w:ascii="Times New Roman" w:hAnsi="Times New Roman"/>
          <w:sz w:val="24"/>
          <w:szCs w:val="24"/>
        </w:rPr>
        <w:t>.”</w:t>
      </w:r>
      <w:proofErr w:type="gramEnd"/>
      <w:r>
        <w:rPr>
          <w:rFonts w:ascii="Times New Roman" w:hAnsi="Times New Roman"/>
          <w:sz w:val="24"/>
          <w:szCs w:val="24"/>
        </w:rPr>
        <w:t xml:space="preserve"> </w:t>
      </w:r>
      <w:r w:rsidRPr="008C4B8D">
        <w:rPr>
          <w:rFonts w:ascii="Times New Roman" w:eastAsia="Times New Roman" w:hAnsi="Times New Roman"/>
          <w:sz w:val="24"/>
          <w:szCs w:val="24"/>
        </w:rPr>
        <w:t xml:space="preserve"> </w:t>
      </w:r>
      <w:hyperlink r:id="rId2145" w:history="1">
        <w:r w:rsidRPr="00E151A7">
          <w:rPr>
            <w:rStyle w:val="Hyperlink"/>
            <w:rFonts w:ascii="Times New Roman" w:hAnsi="Times New Roman"/>
            <w:sz w:val="24"/>
            <w:szCs w:val="24"/>
          </w:rPr>
          <w:t>https://www.leagle.com/decision/infdco20220324d64</w:t>
        </w:r>
      </w:hyperlink>
    </w:p>
    <w:p w14:paraId="709985A3" w14:textId="77777777" w:rsidR="00221640" w:rsidRDefault="00221640" w:rsidP="002B1283">
      <w:pPr>
        <w:rPr>
          <w:rFonts w:ascii="Arial Black" w:hAnsi="Arial Black"/>
          <w:b/>
          <w:bCs/>
          <w:sz w:val="28"/>
          <w:szCs w:val="28"/>
        </w:rPr>
      </w:pPr>
    </w:p>
    <w:p w14:paraId="7B349DF3" w14:textId="77777777" w:rsidR="00221640" w:rsidRDefault="00221640" w:rsidP="002B1283">
      <w:pPr>
        <w:rPr>
          <w:rFonts w:ascii="Arial Black" w:hAnsi="Arial Black"/>
          <w:b/>
          <w:bCs/>
          <w:sz w:val="28"/>
          <w:szCs w:val="28"/>
        </w:rPr>
      </w:pPr>
    </w:p>
    <w:p w14:paraId="7047CC77" w14:textId="72031474" w:rsidR="00E3473F" w:rsidRDefault="00E3473F" w:rsidP="002B1283">
      <w:pPr>
        <w:rPr>
          <w:rFonts w:ascii="Arial Black" w:hAnsi="Arial Black"/>
          <w:b/>
          <w:bCs/>
          <w:sz w:val="28"/>
          <w:szCs w:val="28"/>
        </w:rPr>
      </w:pPr>
      <w:r>
        <w:rPr>
          <w:rFonts w:ascii="Arial Black" w:hAnsi="Arial Black"/>
          <w:b/>
          <w:bCs/>
          <w:sz w:val="28"/>
          <w:szCs w:val="28"/>
        </w:rPr>
        <w:t>13-108</w:t>
      </w:r>
    </w:p>
    <w:p w14:paraId="09D93EFC" w14:textId="77777777" w:rsidR="00E3473F" w:rsidRDefault="00E3473F" w:rsidP="00E3473F">
      <w:pPr>
        <w:spacing w:before="100" w:beforeAutospacing="1" w:after="100" w:afterAutospacing="1" w:line="240" w:lineRule="auto"/>
        <w:rPr>
          <w:rFonts w:ascii="Times New Roman" w:eastAsia="Times New Roman" w:hAnsi="Times New Roman"/>
          <w:b/>
          <w:bCs/>
          <w:sz w:val="24"/>
          <w:szCs w:val="24"/>
        </w:rPr>
      </w:pPr>
      <w:r>
        <w:rPr>
          <w:rFonts w:ascii="Arial Black" w:eastAsia="Times New Roman" w:hAnsi="Arial Black"/>
          <w:b/>
          <w:bCs/>
          <w:sz w:val="28"/>
          <w:szCs w:val="28"/>
        </w:rPr>
        <w:t>GA: PATIENT’S PUSH BUTTON DEVICE - ANSWERING SERVICE DIDN’T ASK DOORS LOCKED – FAMILY SUE CO.</w:t>
      </w:r>
    </w:p>
    <w:p w14:paraId="6E521080" w14:textId="77777777" w:rsidR="00E3473F" w:rsidRDefault="00E3473F" w:rsidP="00E3473F">
      <w:pPr>
        <w:spacing w:before="100" w:beforeAutospacing="1" w:after="100" w:afterAutospacing="1" w:line="240" w:lineRule="auto"/>
        <w:rPr>
          <w:rFonts w:ascii="Times New Roman" w:hAnsi="Times New Roman"/>
          <w:sz w:val="24"/>
          <w:szCs w:val="24"/>
        </w:rPr>
      </w:pPr>
      <w:r w:rsidRPr="00D82B8F">
        <w:rPr>
          <w:rFonts w:ascii="Times New Roman" w:eastAsia="Times New Roman" w:hAnsi="Times New Roman"/>
          <w:sz w:val="24"/>
          <w:szCs w:val="24"/>
        </w:rPr>
        <w:t xml:space="preserve">On March 17, 2022, in </w:t>
      </w:r>
      <w:r w:rsidRPr="00D82B8F">
        <w:rPr>
          <w:rFonts w:ascii="Times New Roman" w:eastAsia="Times New Roman" w:hAnsi="Times New Roman"/>
          <w:sz w:val="24"/>
          <w:szCs w:val="24"/>
          <w:u w:val="single"/>
        </w:rPr>
        <w:t xml:space="preserve">Eric Brown, Administrator of the Estate of Loretta Lewis v. </w:t>
      </w:r>
      <w:proofErr w:type="spellStart"/>
      <w:r w:rsidRPr="00D82B8F">
        <w:rPr>
          <w:rFonts w:ascii="Times New Roman" w:eastAsia="Times New Roman" w:hAnsi="Times New Roman"/>
          <w:sz w:val="24"/>
          <w:szCs w:val="24"/>
          <w:u w:val="single"/>
        </w:rPr>
        <w:t>Medscope</w:t>
      </w:r>
      <w:proofErr w:type="spellEnd"/>
      <w:r w:rsidRPr="00D82B8F">
        <w:rPr>
          <w:rFonts w:ascii="Times New Roman" w:eastAsia="Times New Roman" w:hAnsi="Times New Roman"/>
          <w:sz w:val="24"/>
          <w:szCs w:val="24"/>
          <w:u w:val="single"/>
        </w:rPr>
        <w:t xml:space="preserve"> America Corporation and </w:t>
      </w:r>
      <w:proofErr w:type="spellStart"/>
      <w:r w:rsidRPr="00D82B8F">
        <w:rPr>
          <w:rFonts w:ascii="Times New Roman" w:eastAsia="Times New Roman" w:hAnsi="Times New Roman"/>
          <w:sz w:val="24"/>
          <w:szCs w:val="24"/>
          <w:u w:val="single"/>
        </w:rPr>
        <w:t>Avant</w:t>
      </w:r>
      <w:r>
        <w:rPr>
          <w:rFonts w:ascii="Times New Roman" w:eastAsia="Times New Roman" w:hAnsi="Times New Roman"/>
          <w:sz w:val="24"/>
          <w:szCs w:val="24"/>
          <w:u w:val="single"/>
        </w:rPr>
        <w:t>G</w:t>
      </w:r>
      <w:r w:rsidRPr="00D82B8F">
        <w:rPr>
          <w:rFonts w:ascii="Times New Roman" w:eastAsia="Times New Roman" w:hAnsi="Times New Roman"/>
          <w:sz w:val="24"/>
          <w:szCs w:val="24"/>
          <w:u w:val="single"/>
        </w:rPr>
        <w:t>uard</w:t>
      </w:r>
      <w:proofErr w:type="spellEnd"/>
      <w:r w:rsidRPr="00D82B8F">
        <w:rPr>
          <w:rFonts w:ascii="Times New Roman" w:eastAsia="Times New Roman" w:hAnsi="Times New Roman"/>
          <w:sz w:val="24"/>
          <w:szCs w:val="24"/>
          <w:u w:val="single"/>
        </w:rPr>
        <w:t xml:space="preserve"> Monitoring Centers, LLC</w:t>
      </w:r>
      <w:r w:rsidRPr="00D82B8F">
        <w:rPr>
          <w:rFonts w:ascii="Times New Roman" w:eastAsia="Times New Roman" w:hAnsi="Times New Roman"/>
          <w:sz w:val="24"/>
          <w:szCs w:val="24"/>
        </w:rPr>
        <w:t xml:space="preserve">, U.S. District Court Judge Clay D. Land, </w:t>
      </w:r>
      <w:r>
        <w:rPr>
          <w:rFonts w:ascii="Times New Roman" w:eastAsia="Times New Roman" w:hAnsi="Times New Roman"/>
          <w:sz w:val="24"/>
          <w:szCs w:val="24"/>
        </w:rPr>
        <w:t xml:space="preserve">IU.S. District Court for the Middle District of George (Columbus Division), </w:t>
      </w:r>
      <w:r w:rsidRPr="00D82B8F">
        <w:rPr>
          <w:rFonts w:ascii="Times New Roman" w:eastAsia="Times New Roman" w:hAnsi="Times New Roman"/>
          <w:sz w:val="24"/>
          <w:szCs w:val="24"/>
        </w:rPr>
        <w:t>denied the defendants’ motion to dismiss</w:t>
      </w:r>
      <w:r>
        <w:rPr>
          <w:rFonts w:ascii="Times New Roman" w:eastAsia="Times New Roman" w:hAnsi="Times New Roman"/>
          <w:sz w:val="24"/>
          <w:szCs w:val="24"/>
        </w:rPr>
        <w:t xml:space="preserve"> in a lawsuit brought under </w:t>
      </w:r>
      <w:r w:rsidRPr="00C66418">
        <w:rPr>
          <w:rFonts w:ascii="Times New Roman" w:hAnsi="Times New Roman"/>
          <w:sz w:val="24"/>
          <w:szCs w:val="24"/>
        </w:rPr>
        <w:t>Georgia's Fair Business Practices Act and under general tort law.</w:t>
      </w:r>
      <w:r w:rsidRPr="00D82B8F">
        <w:rPr>
          <w:rFonts w:ascii="Times New Roman" w:eastAsia="Times New Roman" w:hAnsi="Times New Roman"/>
          <w:sz w:val="24"/>
          <w:szCs w:val="24"/>
        </w:rPr>
        <w:t xml:space="preserve">  </w:t>
      </w:r>
      <w:r>
        <w:rPr>
          <w:rFonts w:ascii="Times New Roman" w:eastAsia="Times New Roman" w:hAnsi="Times New Roman"/>
          <w:sz w:val="24"/>
          <w:szCs w:val="24"/>
        </w:rPr>
        <w:t xml:space="preserve">The COPD patient activated the push button medallion device she wore around her neck.  The answering service notified </w:t>
      </w:r>
      <w:proofErr w:type="gramStart"/>
      <w:r>
        <w:rPr>
          <w:rFonts w:ascii="Times New Roman" w:eastAsia="Times New Roman" w:hAnsi="Times New Roman"/>
          <w:sz w:val="24"/>
          <w:szCs w:val="24"/>
        </w:rPr>
        <w:t>911, but</w:t>
      </w:r>
      <w:proofErr w:type="gramEnd"/>
      <w:r>
        <w:rPr>
          <w:rFonts w:ascii="Times New Roman" w:eastAsia="Times New Roman" w:hAnsi="Times New Roman"/>
          <w:sz w:val="24"/>
          <w:szCs w:val="24"/>
        </w:rPr>
        <w:t xml:space="preserve"> never asked her if the doors were locked. </w:t>
      </w:r>
      <w:r w:rsidRPr="00D82B8F">
        <w:rPr>
          <w:rFonts w:ascii="Times New Roman" w:eastAsia="Times New Roman" w:hAnsi="Times New Roman"/>
          <w:sz w:val="24"/>
          <w:szCs w:val="24"/>
        </w:rPr>
        <w:t>When EMS arrived at the patient’s home, the doors were locked</w:t>
      </w:r>
      <w:r>
        <w:rPr>
          <w:rFonts w:ascii="Times New Roman" w:eastAsia="Times New Roman" w:hAnsi="Times New Roman"/>
          <w:sz w:val="24"/>
          <w:szCs w:val="24"/>
        </w:rPr>
        <w:t xml:space="preserve"> </w:t>
      </w:r>
      <w:r w:rsidRPr="00D82B8F">
        <w:rPr>
          <w:rFonts w:ascii="Times New Roman" w:eastAsia="Times New Roman" w:hAnsi="Times New Roman"/>
          <w:sz w:val="24"/>
          <w:szCs w:val="24"/>
        </w:rPr>
        <w:t>and they needed to wait for a fire engine to breach the door; patient s</w:t>
      </w:r>
      <w:r w:rsidRPr="00D82B8F">
        <w:rPr>
          <w:rFonts w:ascii="Times New Roman" w:hAnsi="Times New Roman"/>
          <w:sz w:val="24"/>
          <w:szCs w:val="24"/>
        </w:rPr>
        <w:t xml:space="preserve">uffered an extended hypoxic event leading to serious brain injury that </w:t>
      </w:r>
      <w:r>
        <w:rPr>
          <w:rFonts w:ascii="Times New Roman" w:hAnsi="Times New Roman"/>
          <w:sz w:val="24"/>
          <w:szCs w:val="24"/>
        </w:rPr>
        <w:t xml:space="preserve">led to </w:t>
      </w:r>
      <w:r w:rsidRPr="00D82B8F">
        <w:rPr>
          <w:rFonts w:ascii="Times New Roman" w:hAnsi="Times New Roman"/>
          <w:sz w:val="24"/>
          <w:szCs w:val="24"/>
        </w:rPr>
        <w:t>her death three days later while in the hospital.</w:t>
      </w:r>
      <w:r>
        <w:rPr>
          <w:rFonts w:ascii="Times New Roman" w:hAnsi="Times New Roman"/>
          <w:sz w:val="24"/>
          <w:szCs w:val="24"/>
        </w:rPr>
        <w:t xml:space="preserve"> </w:t>
      </w:r>
      <w:hyperlink r:id="rId2146" w:history="1">
        <w:r w:rsidRPr="005A2A16">
          <w:rPr>
            <w:rStyle w:val="Hyperlink"/>
            <w:rFonts w:ascii="Times New Roman" w:hAnsi="Times New Roman"/>
            <w:sz w:val="24"/>
            <w:szCs w:val="24"/>
          </w:rPr>
          <w:t>https://casetext.com/case/brown-v-medscope-am-corp</w:t>
        </w:r>
      </w:hyperlink>
      <w:r>
        <w:rPr>
          <w:rFonts w:ascii="Times New Roman" w:hAnsi="Times New Roman"/>
          <w:sz w:val="24"/>
          <w:szCs w:val="24"/>
        </w:rPr>
        <w:t xml:space="preserve"> </w:t>
      </w:r>
    </w:p>
    <w:p w14:paraId="5D4FFF3A" w14:textId="77777777" w:rsidR="00E3473F" w:rsidRDefault="00E3473F" w:rsidP="00E3473F">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82B8F">
        <w:rPr>
          <w:rFonts w:ascii="Times New Roman" w:hAnsi="Times New Roman"/>
          <w:sz w:val="24"/>
          <w:szCs w:val="24"/>
        </w:rPr>
        <w:t xml:space="preserve">Specifically, Plaintiff alleges that, if Lewis had called 9-1-1 directly, 9-1-1 would have asked her if her doors were locked and would have sent a fire crew to Lewis's house upon learning that Lewis </w:t>
      </w:r>
      <w:r>
        <w:rPr>
          <w:rFonts w:ascii="Times New Roman" w:hAnsi="Times New Roman"/>
          <w:sz w:val="24"/>
          <w:szCs w:val="24"/>
        </w:rPr>
        <w:t>‘</w:t>
      </w:r>
      <w:r w:rsidRPr="00D82B8F">
        <w:rPr>
          <w:rFonts w:ascii="Times New Roman" w:hAnsi="Times New Roman"/>
          <w:sz w:val="24"/>
          <w:szCs w:val="24"/>
        </w:rPr>
        <w:t>couldn't breathe.</w:t>
      </w:r>
      <w:r>
        <w:rPr>
          <w:rFonts w:ascii="Times New Roman" w:hAnsi="Times New Roman"/>
          <w:sz w:val="24"/>
          <w:szCs w:val="24"/>
        </w:rPr>
        <w:t>’</w:t>
      </w:r>
      <w:r w:rsidRPr="00D82B8F">
        <w:rPr>
          <w:rFonts w:ascii="Times New Roman" w:hAnsi="Times New Roman"/>
          <w:sz w:val="24"/>
          <w:szCs w:val="24"/>
        </w:rPr>
        <w:t xml:space="preserve"> Plaintiff thus adequately alleges that Defendants owed a duty of care to Lewis by assuming responsibility for providing Lewis with necessary emergency services, Lewis relied on Defendants' assumption of that duty, and that Defendants breached that duty and harmed Lewis by negligently failing to act as a reasonable 9-1-1 operator would if Lewis called 9-1-1 directly. Defendants' motions to dismiss Plaintiff's negligence claim are denied.</w:t>
      </w:r>
      <w:r>
        <w:rPr>
          <w:rFonts w:ascii="Times New Roman" w:hAnsi="Times New Roman"/>
          <w:sz w:val="24"/>
          <w:szCs w:val="24"/>
        </w:rPr>
        <w:t xml:space="preserve">”  </w:t>
      </w:r>
      <w:hyperlink r:id="rId2147" w:history="1">
        <w:r w:rsidRPr="005A2A16">
          <w:rPr>
            <w:rStyle w:val="Hyperlink"/>
            <w:rFonts w:ascii="Times New Roman" w:hAnsi="Times New Roman"/>
            <w:sz w:val="24"/>
            <w:szCs w:val="24"/>
          </w:rPr>
          <w:t>https://casetext.com/case/brown-v-medscope-am-corp</w:t>
        </w:r>
      </w:hyperlink>
      <w:r>
        <w:rPr>
          <w:rFonts w:ascii="Times New Roman" w:hAnsi="Times New Roman"/>
          <w:sz w:val="24"/>
          <w:szCs w:val="24"/>
        </w:rPr>
        <w:t xml:space="preserve"> </w:t>
      </w:r>
    </w:p>
    <w:p w14:paraId="5A66A37A" w14:textId="77777777" w:rsidR="00221640" w:rsidRPr="00AF18D5" w:rsidRDefault="00221640" w:rsidP="00221640">
      <w:pPr>
        <w:spacing w:before="100" w:beforeAutospacing="1" w:after="100" w:afterAutospacing="1" w:line="240" w:lineRule="auto"/>
        <w:rPr>
          <w:rFonts w:ascii="Times New Roman" w:eastAsia="Times New Roman" w:hAnsi="Times New Roman"/>
          <w:b/>
          <w:bCs/>
          <w:sz w:val="24"/>
          <w:szCs w:val="24"/>
        </w:rPr>
      </w:pPr>
      <w:r w:rsidRPr="00665122">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Answering services have an obligation to inform 911 of critical facts, including whether patient is alone in her home with the doors locked. </w:t>
      </w:r>
    </w:p>
    <w:p w14:paraId="76B1460C" w14:textId="77777777" w:rsidR="00E3473F" w:rsidRDefault="00E3473F" w:rsidP="002B1283">
      <w:pPr>
        <w:rPr>
          <w:rFonts w:ascii="Arial Black" w:hAnsi="Arial Black"/>
          <w:b/>
          <w:bCs/>
          <w:sz w:val="28"/>
          <w:szCs w:val="28"/>
        </w:rPr>
      </w:pPr>
    </w:p>
    <w:p w14:paraId="62D96FE3" w14:textId="77777777" w:rsidR="00E3473F" w:rsidRDefault="00E3473F" w:rsidP="002B1283">
      <w:pPr>
        <w:rPr>
          <w:rFonts w:ascii="Arial Black" w:hAnsi="Arial Black"/>
          <w:b/>
          <w:bCs/>
          <w:sz w:val="28"/>
          <w:szCs w:val="28"/>
        </w:rPr>
      </w:pPr>
    </w:p>
    <w:p w14:paraId="6511AB41" w14:textId="77777777" w:rsidR="00E3473F" w:rsidRDefault="00E3473F" w:rsidP="002B1283">
      <w:pPr>
        <w:rPr>
          <w:rFonts w:ascii="Arial Black" w:hAnsi="Arial Black"/>
          <w:b/>
          <w:bCs/>
          <w:sz w:val="28"/>
          <w:szCs w:val="28"/>
        </w:rPr>
      </w:pPr>
    </w:p>
    <w:p w14:paraId="0060AD3F" w14:textId="4AA6337A" w:rsidR="00D55139" w:rsidRDefault="00E3473F" w:rsidP="002B1283">
      <w:pPr>
        <w:rPr>
          <w:rFonts w:ascii="Arial Black" w:hAnsi="Arial Black"/>
          <w:b/>
          <w:bCs/>
          <w:sz w:val="28"/>
          <w:szCs w:val="28"/>
        </w:rPr>
      </w:pPr>
      <w:r>
        <w:rPr>
          <w:rFonts w:ascii="Arial Black" w:hAnsi="Arial Black"/>
          <w:b/>
          <w:bCs/>
          <w:sz w:val="28"/>
          <w:szCs w:val="28"/>
        </w:rPr>
        <w:t>13-107</w:t>
      </w:r>
    </w:p>
    <w:p w14:paraId="10553ABD" w14:textId="77777777" w:rsidR="00E3473F" w:rsidRDefault="00E3473F" w:rsidP="00E3473F">
      <w:pPr>
        <w:pStyle w:val="NormalWeb"/>
        <w:rPr>
          <w:rFonts w:ascii="Arial Black" w:hAnsi="Arial Black"/>
          <w:sz w:val="28"/>
          <w:szCs w:val="28"/>
        </w:rPr>
      </w:pPr>
      <w:r w:rsidRPr="004604BC">
        <w:rPr>
          <w:rFonts w:ascii="Arial Black" w:hAnsi="Arial Black"/>
          <w:sz w:val="28"/>
          <w:szCs w:val="28"/>
        </w:rPr>
        <w:t>CA:</w:t>
      </w:r>
      <w:r>
        <w:rPr>
          <w:rFonts w:ascii="Arial Black" w:hAnsi="Arial Black"/>
          <w:sz w:val="28"/>
          <w:szCs w:val="28"/>
        </w:rPr>
        <w:t xml:space="preserve"> ASPHYXIATION - PD MAN FACE DOWN – EMS USED BACKBORD 4 MIN. PRONE – NOT UNCONSTIT. IN 2017</w:t>
      </w:r>
    </w:p>
    <w:p w14:paraId="30BB0CAC" w14:textId="77777777" w:rsidR="00E3473F" w:rsidRDefault="00E3473F" w:rsidP="00E3473F">
      <w:pPr>
        <w:pStyle w:val="NormalWeb"/>
      </w:pPr>
      <w:r>
        <w:lastRenderedPageBreak/>
        <w:t xml:space="preserve">On March 17, 2022, in </w:t>
      </w:r>
      <w:r w:rsidRPr="004604BC">
        <w:rPr>
          <w:u w:val="single"/>
        </w:rPr>
        <w:t>Anthony Perez, et al, v. City of Fresno, et al.</w:t>
      </w:r>
      <w:r>
        <w:t xml:space="preserve">, U.S. Senior District Court Judge Anthony W. Ishii, U.S. District Court for Eastern District of California, granted summary judgment for all the defendants, including the two medics, and the police officers, the </w:t>
      </w:r>
      <w:proofErr w:type="gramStart"/>
      <w:r>
        <w:t>City</w:t>
      </w:r>
      <w:proofErr w:type="gramEnd"/>
      <w:r>
        <w:t xml:space="preserve">, and the County. Based on case law in 2017, a “reasonable paramedic would have known that [paramedic] Anderson's conduct was unconstitutional” under 14 Amendment due process clause. </w:t>
      </w:r>
      <w:hyperlink r:id="rId2148" w:history="1">
        <w:r w:rsidRPr="005A0566">
          <w:rPr>
            <w:rStyle w:val="Hyperlink"/>
            <w:rFonts w:eastAsiaTheme="majorEastAsia"/>
          </w:rPr>
          <w:t>https://public.fastcase.com/waZtJvSA54UAurM2rmIZzwvOxdABv7XvwmmlDXNvdvn51CTV3NslG6Rw0yioxZXL%2BjJOhhNAJF%2FpIN8S52jcKAcJWCdsLYpOkU1PQ4W0%2BbA%3D</w:t>
        </w:r>
      </w:hyperlink>
      <w:r>
        <w:t xml:space="preserve"> </w:t>
      </w:r>
    </w:p>
    <w:p w14:paraId="12E1FC2D" w14:textId="77777777" w:rsidR="00E3473F" w:rsidRDefault="00E3473F" w:rsidP="00E3473F">
      <w:pPr>
        <w:pStyle w:val="NormalWeb"/>
        <w:ind w:left="720"/>
      </w:pPr>
      <w:r>
        <w:t xml:space="preserve">“After the backboard was attached to Perez, Perez was turned over…. [Officer] Martinez estimated that Perez had been under the backboard for about four minutes before being turned over…. Paramedic Dines observed that Perez was unconscious and blueish in the face…. [Paramedic] Anderson stated that it did not appear that Perez was breathing….  </w:t>
      </w:r>
      <w:r>
        <w:rPr>
          <w:rStyle w:val="Emphasis"/>
        </w:rPr>
        <w:t>[O]</w:t>
      </w:r>
      <w:proofErr w:type="spellStart"/>
      <w:r>
        <w:t>nce</w:t>
      </w:r>
      <w:proofErr w:type="spellEnd"/>
      <w:r>
        <w:t xml:space="preserve"> Anderson and Dines saw that Perez was unconscious, they both testified that Anderson checked Perez's pulse and was unable to detect one…. Because Perez was blueish in the face and had no pulse, the paramedics initiated a cardiac arrest protocol….   Perez was placed on a gurney, moved inside the ambulance, and CPR was initiated….  Ortiz hooked Perez up to a heart monitor in the ambulance and he was asystole, i.e. without a heartbeat.   </w:t>
      </w:r>
    </w:p>
    <w:p w14:paraId="02940E16" w14:textId="77777777" w:rsidR="00E3473F" w:rsidRDefault="00E3473F" w:rsidP="00E3473F">
      <w:pPr>
        <w:pStyle w:val="NormalWeb"/>
        <w:ind w:left="720"/>
      </w:pPr>
      <w:r>
        <w:t>***</w:t>
      </w:r>
    </w:p>
    <w:p w14:paraId="04ED1D44" w14:textId="77777777" w:rsidR="00E3473F" w:rsidRDefault="00E3473F" w:rsidP="00E3473F">
      <w:pPr>
        <w:pStyle w:val="NormalWeb"/>
        <w:ind w:left="720"/>
      </w:pPr>
      <w:r>
        <w:t xml:space="preserve">With respect to Plaintiffs' claims that Anderson's conduct was obviously unconstitutional, the Court cannot agree. It is true, as Plaintiffs point out, that none of the AA [American Ambulance] personnel, County Deputies, or City Officers had ever seen a backboard placed on the back of a prone person. It is also true that Anderson himself recognized that placing a backboard on a prone individual is generally not a good idea because one of the possible dangers of that practice appears to have manifested in this case - asphyxiation. Nevertheless, Anderson was confronted with a § 5150 situation in which the call had been elevated from a Code Two (straight § 5150 situation) to a Code Three with combative behavior reported. </w:t>
      </w:r>
    </w:p>
    <w:p w14:paraId="178860D2" w14:textId="77777777" w:rsidR="00E3473F" w:rsidRDefault="00E3473F" w:rsidP="00E3473F">
      <w:pPr>
        <w:pStyle w:val="NormalWeb"/>
        <w:ind w:left="720"/>
      </w:pPr>
      <w:r>
        <w:t>***</w:t>
      </w:r>
    </w:p>
    <w:p w14:paraId="65F71BB7" w14:textId="77777777" w:rsidR="00E3473F" w:rsidRDefault="00E3473F" w:rsidP="00E3473F">
      <w:pPr>
        <w:pStyle w:val="NormalWeb"/>
        <w:ind w:left="720"/>
      </w:pPr>
      <w:r>
        <w:t xml:space="preserve">In sum, particularly </w:t>
      </w:r>
      <w:proofErr w:type="gramStart"/>
      <w:r>
        <w:t>in light of</w:t>
      </w:r>
      <w:proofErr w:type="gramEnd"/>
      <w:r>
        <w:t xml:space="preserve"> [prior court decisions], the law as it existed in May 2017 was not so clear that a reasonable paramedic would have known that Anderson's conduct was unconstitutional, and this is not a rare case in which the Anderson's behavior was obviously unconstitutional….  Therefore, the Court holds that Anderson is entitled to qualified immunity.” </w:t>
      </w:r>
      <w:hyperlink r:id="rId2149" w:history="1">
        <w:r w:rsidRPr="005A0566">
          <w:rPr>
            <w:rStyle w:val="Hyperlink"/>
            <w:rFonts w:eastAsiaTheme="majorEastAsia"/>
          </w:rPr>
          <w:t>https://public.fastcase.com/waZtJvSA54UAurM2rmIZzwvOxdABv7XvwmmlDXNvdvn51CTV3NslG6Rw0yioxZXL%2BjJOhhNAJF%2FpIN8S52jcKAcJWCdsLYpOkU1PQ4W0%2BbA%3D</w:t>
        </w:r>
      </w:hyperlink>
      <w:r>
        <w:t xml:space="preserve"> </w:t>
      </w:r>
    </w:p>
    <w:p w14:paraId="1AE2DC40" w14:textId="77777777" w:rsidR="00E3473F" w:rsidRPr="001635AD" w:rsidRDefault="00E3473F" w:rsidP="00E3473F">
      <w:pPr>
        <w:pStyle w:val="NormalWeb"/>
        <w:rPr>
          <w:b/>
          <w:bCs/>
        </w:rPr>
      </w:pPr>
      <w:r w:rsidRPr="001635AD">
        <w:rPr>
          <w:b/>
          <w:bCs/>
        </w:rPr>
        <w:t>Legal Lesson Learned:</w:t>
      </w:r>
      <w:r>
        <w:rPr>
          <w:b/>
          <w:bCs/>
        </w:rPr>
        <w:t xml:space="preserve"> Asphyxiation from person being held by police face down on the ground is well known concern.  EMS protocol should address avoiding leaving patient prone on a backboard; similar conduct in 2022 may not lead to dismissal of Federal constitutional rights lawsuit. </w:t>
      </w:r>
    </w:p>
    <w:p w14:paraId="143BD369" w14:textId="77777777" w:rsidR="00E3473F" w:rsidRDefault="00E3473F" w:rsidP="002B1283">
      <w:pPr>
        <w:rPr>
          <w:rFonts w:ascii="Arial Black" w:hAnsi="Arial Black"/>
          <w:b/>
          <w:bCs/>
          <w:sz w:val="28"/>
          <w:szCs w:val="28"/>
        </w:rPr>
      </w:pPr>
    </w:p>
    <w:p w14:paraId="4EFA6EEB" w14:textId="77777777" w:rsidR="00E3473F" w:rsidRDefault="00E3473F" w:rsidP="002B1283">
      <w:pPr>
        <w:rPr>
          <w:rFonts w:ascii="Arial Black" w:hAnsi="Arial Black"/>
          <w:b/>
          <w:bCs/>
          <w:sz w:val="28"/>
          <w:szCs w:val="28"/>
        </w:rPr>
      </w:pPr>
    </w:p>
    <w:p w14:paraId="19206F2D" w14:textId="77777777" w:rsidR="00E3473F" w:rsidRDefault="00E3473F" w:rsidP="002B1283">
      <w:pPr>
        <w:rPr>
          <w:rFonts w:ascii="Arial Black" w:hAnsi="Arial Black"/>
          <w:b/>
          <w:bCs/>
          <w:sz w:val="28"/>
          <w:szCs w:val="28"/>
        </w:rPr>
      </w:pPr>
    </w:p>
    <w:p w14:paraId="57F4EAC0" w14:textId="787E1CB6" w:rsidR="00E3473F" w:rsidRDefault="00E3473F" w:rsidP="002B1283">
      <w:pPr>
        <w:rPr>
          <w:rFonts w:ascii="Arial Black" w:hAnsi="Arial Black"/>
          <w:b/>
          <w:bCs/>
          <w:sz w:val="28"/>
          <w:szCs w:val="28"/>
        </w:rPr>
      </w:pPr>
      <w:r>
        <w:rPr>
          <w:rFonts w:ascii="Arial Black" w:hAnsi="Arial Black"/>
          <w:b/>
          <w:bCs/>
          <w:sz w:val="28"/>
          <w:szCs w:val="28"/>
        </w:rPr>
        <w:t>13-106</w:t>
      </w:r>
    </w:p>
    <w:p w14:paraId="1E273322" w14:textId="77777777" w:rsidR="00E3473F" w:rsidRDefault="00E3473F" w:rsidP="00E3473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NJ: EMT FIRED AFTER COMPLAINED ABOUT PD FORCING PATIENT AMBULANCE – RETALIATION CASE REINSTATED</w:t>
      </w:r>
    </w:p>
    <w:p w14:paraId="60E14E7B" w14:textId="77777777" w:rsidR="00E3473F" w:rsidRPr="00DA11E3" w:rsidRDefault="00E3473F" w:rsidP="00E3473F">
      <w:pPr>
        <w:spacing w:before="100" w:beforeAutospacing="1" w:after="100" w:afterAutospacing="1" w:line="240" w:lineRule="auto"/>
        <w:rPr>
          <w:rFonts w:ascii="Times New Roman" w:hAnsi="Times New Roman"/>
          <w:sz w:val="24"/>
          <w:szCs w:val="24"/>
        </w:rPr>
      </w:pPr>
      <w:r w:rsidRPr="000A1E15">
        <w:rPr>
          <w:rFonts w:ascii="Times New Roman" w:eastAsia="Times New Roman" w:hAnsi="Times New Roman"/>
          <w:sz w:val="24"/>
          <w:szCs w:val="24"/>
        </w:rPr>
        <w:t xml:space="preserve">On </w:t>
      </w:r>
      <w:r>
        <w:rPr>
          <w:rFonts w:ascii="Times New Roman" w:eastAsia="Times New Roman" w:hAnsi="Times New Roman"/>
          <w:sz w:val="24"/>
          <w:szCs w:val="24"/>
        </w:rPr>
        <w:t xml:space="preserve">March 14, 2022, in </w:t>
      </w:r>
      <w:r w:rsidRPr="008C0733">
        <w:rPr>
          <w:rFonts w:ascii="Times New Roman" w:eastAsia="Times New Roman" w:hAnsi="Times New Roman"/>
          <w:sz w:val="24"/>
          <w:szCs w:val="24"/>
          <w:u w:val="single"/>
        </w:rPr>
        <w:t>Amara Sepulveda and Louis Deleon v, Township of North Bergen and Deputy Chief Prina</w:t>
      </w:r>
      <w:r>
        <w:rPr>
          <w:rFonts w:ascii="Times New Roman" w:eastAsia="Times New Roman" w:hAnsi="Times New Roman"/>
          <w:sz w:val="24"/>
          <w:szCs w:val="24"/>
        </w:rPr>
        <w:t xml:space="preserve">, the Superior Court of New Jersey, Appellate Division, held (3 to 0) in an unpublished decision that EMT Deleon’s complaint that he was fired in retaliation for reporting police misconduct in violation of the </w:t>
      </w:r>
      <w:r w:rsidRPr="008C0733">
        <w:rPr>
          <w:rFonts w:ascii="Times New Roman" w:hAnsi="Times New Roman"/>
          <w:sz w:val="24"/>
          <w:szCs w:val="24"/>
        </w:rPr>
        <w:t>Conscientious Employee Protection Act (CEPA</w:t>
      </w:r>
      <w:r>
        <w:rPr>
          <w:rFonts w:ascii="Times New Roman" w:hAnsi="Times New Roman"/>
          <w:sz w:val="24"/>
          <w:szCs w:val="24"/>
        </w:rPr>
        <w:t xml:space="preserve">) is reinstated.  EMT Sepulveda is dismissed from the lawsuit since she didn’t make </w:t>
      </w:r>
      <w:proofErr w:type="gramStart"/>
      <w:r>
        <w:rPr>
          <w:rFonts w:ascii="Times New Roman" w:hAnsi="Times New Roman"/>
          <w:sz w:val="24"/>
          <w:szCs w:val="24"/>
        </w:rPr>
        <w:t>report</w:t>
      </w:r>
      <w:proofErr w:type="gramEnd"/>
      <w:r>
        <w:rPr>
          <w:rFonts w:ascii="Times New Roman" w:hAnsi="Times New Roman"/>
          <w:sz w:val="24"/>
          <w:szCs w:val="24"/>
        </w:rPr>
        <w:t xml:space="preserve"> of police misconduct and then resigned from the Township EMS Department.  On remand, the trial court must provide EMT Deleon with a hearing. </w:t>
      </w:r>
      <w:hyperlink r:id="rId2150" w:history="1">
        <w:r w:rsidRPr="002477AB">
          <w:rPr>
            <w:rStyle w:val="Hyperlink"/>
            <w:rFonts w:ascii="Times New Roman" w:hAnsi="Times New Roman"/>
            <w:sz w:val="24"/>
            <w:szCs w:val="24"/>
          </w:rPr>
          <w:t>https://public.fastcase.com/waZtJvSA54UAurM2rmIZzwN7i243%2F%2BStZpHYDBkc8sGpJscx%2FQQ27pdU9Jjrp4oC%2BDoaG82WuBlPphdis3f1N3UPtlVqun2jEuCWxYyqQWw%3D</w:t>
        </w:r>
      </w:hyperlink>
      <w:r>
        <w:rPr>
          <w:rFonts w:ascii="Times New Roman" w:hAnsi="Times New Roman"/>
          <w:sz w:val="24"/>
          <w:szCs w:val="24"/>
        </w:rPr>
        <w:t xml:space="preserve"> </w:t>
      </w:r>
    </w:p>
    <w:p w14:paraId="3E8CA830" w14:textId="77777777" w:rsidR="00E3473F" w:rsidRDefault="00E3473F" w:rsidP="00E3473F">
      <w:pPr>
        <w:spacing w:before="100" w:beforeAutospacing="1" w:after="100" w:afterAutospacing="1" w:line="240" w:lineRule="auto"/>
        <w:ind w:left="720"/>
        <w:rPr>
          <w:rFonts w:ascii="Times New Roman" w:hAnsi="Times New Roman"/>
          <w:sz w:val="24"/>
          <w:szCs w:val="24"/>
        </w:rPr>
      </w:pPr>
      <w:r>
        <w:t>“</w:t>
      </w:r>
      <w:r w:rsidRPr="00DE51FF">
        <w:rPr>
          <w:rFonts w:ascii="Times New Roman" w:hAnsi="Times New Roman"/>
          <w:sz w:val="24"/>
          <w:szCs w:val="24"/>
        </w:rPr>
        <w:t xml:space="preserve">The </w:t>
      </w:r>
      <w:r>
        <w:rPr>
          <w:rFonts w:ascii="Times New Roman" w:hAnsi="Times New Roman"/>
          <w:sz w:val="24"/>
          <w:szCs w:val="24"/>
        </w:rPr>
        <w:t xml:space="preserve">[trial] </w:t>
      </w:r>
      <w:r w:rsidRPr="00DE51FF">
        <w:rPr>
          <w:rFonts w:ascii="Times New Roman" w:hAnsi="Times New Roman"/>
          <w:sz w:val="24"/>
          <w:szCs w:val="24"/>
        </w:rPr>
        <w:t xml:space="preserve">court granted defendants' motion without oral argument, despite plaintiffs' request. In a nine-page written opinion, the court explained that the motion record failed to create a genuine issue of material </w:t>
      </w:r>
      <w:proofErr w:type="gramStart"/>
      <w:r w:rsidRPr="00DE51FF">
        <w:rPr>
          <w:rFonts w:ascii="Times New Roman" w:hAnsi="Times New Roman"/>
          <w:sz w:val="24"/>
          <w:szCs w:val="24"/>
        </w:rPr>
        <w:t>fact</w:t>
      </w:r>
      <w:proofErr w:type="gramEnd"/>
      <w:r w:rsidRPr="00DE51FF">
        <w:rPr>
          <w:rFonts w:ascii="Times New Roman" w:hAnsi="Times New Roman"/>
          <w:sz w:val="24"/>
          <w:szCs w:val="24"/>
        </w:rPr>
        <w:t xml:space="preserve"> as to whether plaintiffs engaged in CEPA protected conduct. The court reasoned that the </w:t>
      </w:r>
      <w:r>
        <w:rPr>
          <w:rFonts w:ascii="Times New Roman" w:hAnsi="Times New Roman"/>
          <w:sz w:val="24"/>
          <w:szCs w:val="24"/>
        </w:rPr>
        <w:t>‘</w:t>
      </w:r>
      <w:r w:rsidRPr="00DE51FF">
        <w:rPr>
          <w:rFonts w:ascii="Times New Roman" w:hAnsi="Times New Roman"/>
          <w:sz w:val="24"/>
          <w:szCs w:val="24"/>
        </w:rPr>
        <w:t xml:space="preserve">broad stroke </w:t>
      </w:r>
      <w:proofErr w:type="gramStart"/>
      <w:r w:rsidRPr="00DE51FF">
        <w:rPr>
          <w:rFonts w:ascii="Times New Roman" w:hAnsi="Times New Roman"/>
          <w:sz w:val="24"/>
          <w:szCs w:val="24"/>
        </w:rPr>
        <w:t>claims</w:t>
      </w:r>
      <w:r>
        <w:rPr>
          <w:rFonts w:ascii="Times New Roman" w:hAnsi="Times New Roman"/>
          <w:sz w:val="24"/>
          <w:szCs w:val="24"/>
        </w:rPr>
        <w:t>’</w:t>
      </w:r>
      <w:proofErr w:type="gramEnd"/>
      <w:r w:rsidRPr="00DE51FF">
        <w:rPr>
          <w:rFonts w:ascii="Times New Roman" w:hAnsi="Times New Roman"/>
          <w:sz w:val="24"/>
          <w:szCs w:val="24"/>
        </w:rPr>
        <w:t xml:space="preserve"> of illegal conduct amounted to mere </w:t>
      </w:r>
      <w:r>
        <w:rPr>
          <w:rFonts w:ascii="Times New Roman" w:hAnsi="Times New Roman"/>
          <w:sz w:val="24"/>
          <w:szCs w:val="24"/>
        </w:rPr>
        <w:t>‘</w:t>
      </w:r>
      <w:r w:rsidRPr="00DE51FF">
        <w:rPr>
          <w:rFonts w:ascii="Times New Roman" w:hAnsi="Times New Roman"/>
          <w:sz w:val="24"/>
          <w:szCs w:val="24"/>
        </w:rPr>
        <w:t>disagreements</w:t>
      </w:r>
      <w:r>
        <w:rPr>
          <w:rFonts w:ascii="Times New Roman" w:hAnsi="Times New Roman"/>
          <w:sz w:val="24"/>
          <w:szCs w:val="24"/>
        </w:rPr>
        <w:t>’</w:t>
      </w:r>
      <w:r w:rsidRPr="00DE51FF">
        <w:rPr>
          <w:rFonts w:ascii="Times New Roman" w:hAnsi="Times New Roman"/>
          <w:sz w:val="24"/>
          <w:szCs w:val="24"/>
        </w:rPr>
        <w:t xml:space="preserve"> between the police and the EMTs </w:t>
      </w:r>
      <w:r>
        <w:rPr>
          <w:rFonts w:ascii="Times New Roman" w:hAnsi="Times New Roman"/>
          <w:sz w:val="24"/>
          <w:szCs w:val="24"/>
        </w:rPr>
        <w:t>‘</w:t>
      </w:r>
      <w:r w:rsidRPr="00DE51FF">
        <w:rPr>
          <w:rFonts w:ascii="Times New Roman" w:hAnsi="Times New Roman"/>
          <w:sz w:val="24"/>
          <w:szCs w:val="24"/>
        </w:rPr>
        <w:t>about whether F.A. required medical assistance,</w:t>
      </w:r>
      <w:r>
        <w:rPr>
          <w:rFonts w:ascii="Times New Roman" w:hAnsi="Times New Roman"/>
          <w:sz w:val="24"/>
          <w:szCs w:val="24"/>
        </w:rPr>
        <w:t xml:space="preserve">’ </w:t>
      </w:r>
      <w:r w:rsidRPr="00DE51FF">
        <w:rPr>
          <w:rFonts w:ascii="Times New Roman" w:hAnsi="Times New Roman"/>
          <w:sz w:val="24"/>
          <w:szCs w:val="24"/>
        </w:rPr>
        <w:t>which "is not protected activity within the meaning of CEPA.</w:t>
      </w:r>
      <w:r>
        <w:rPr>
          <w:rFonts w:ascii="Times New Roman" w:hAnsi="Times New Roman"/>
          <w:sz w:val="24"/>
          <w:szCs w:val="24"/>
        </w:rPr>
        <w:t>’</w:t>
      </w:r>
    </w:p>
    <w:p w14:paraId="351D1BAB" w14:textId="77777777" w:rsidR="00E3473F" w:rsidRDefault="00E3473F" w:rsidP="00E3473F">
      <w:pPr>
        <w:spacing w:before="100" w:beforeAutospacing="1" w:after="100" w:afterAutospacing="1" w:line="240" w:lineRule="auto"/>
        <w:ind w:left="720"/>
      </w:pPr>
      <w:r>
        <w:rPr>
          <w:rFonts w:ascii="Times New Roman" w:hAnsi="Times New Roman"/>
          <w:sz w:val="24"/>
          <w:szCs w:val="24"/>
        </w:rPr>
        <w:t>***</w:t>
      </w:r>
    </w:p>
    <w:p w14:paraId="38BB4DFB" w14:textId="77777777" w:rsidR="00E3473F" w:rsidRDefault="00E3473F" w:rsidP="00E3473F">
      <w:pPr>
        <w:spacing w:before="100" w:beforeAutospacing="1" w:after="100" w:afterAutospacing="1" w:line="240" w:lineRule="auto"/>
        <w:ind w:left="720"/>
        <w:rPr>
          <w:rFonts w:ascii="Times New Roman" w:hAnsi="Times New Roman"/>
          <w:sz w:val="24"/>
          <w:szCs w:val="24"/>
        </w:rPr>
      </w:pPr>
      <w:proofErr w:type="gramStart"/>
      <w:r w:rsidRPr="00F867E4">
        <w:rPr>
          <w:rFonts w:ascii="Times New Roman" w:hAnsi="Times New Roman"/>
          <w:sz w:val="24"/>
          <w:szCs w:val="24"/>
        </w:rPr>
        <w:t>For the reasons that</w:t>
      </w:r>
      <w:proofErr w:type="gramEnd"/>
      <w:r w:rsidRPr="00F867E4">
        <w:rPr>
          <w:rFonts w:ascii="Times New Roman" w:hAnsi="Times New Roman"/>
          <w:sz w:val="24"/>
          <w:szCs w:val="24"/>
        </w:rPr>
        <w:t xml:space="preserve"> follow, we are satisfied that the motion record contains disputed issues of material fact sufficient to establish a prima facie case of retaliation under CEPA as it related to DeLeon. We reach a contrary conclusion as to Sepulveda. As to her claim, it was undisputed that she never reported the incident to her superiors. We also note she resigned voluntarily, based upon speculative future conduct by the Township's police department.</w:t>
      </w:r>
    </w:p>
    <w:p w14:paraId="04AB6E61" w14:textId="77777777" w:rsidR="00E3473F" w:rsidRDefault="00E3473F" w:rsidP="00E3473F">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699224B" w14:textId="3FB62AB2" w:rsidR="00E3473F" w:rsidRDefault="00E3473F" w:rsidP="00E3473F">
      <w:pPr>
        <w:rPr>
          <w:rFonts w:ascii="Arial Black" w:hAnsi="Arial Black"/>
          <w:b/>
          <w:bCs/>
          <w:sz w:val="28"/>
          <w:szCs w:val="28"/>
        </w:rPr>
      </w:pPr>
      <w:r w:rsidRPr="00DA11E3">
        <w:rPr>
          <w:rFonts w:ascii="Times New Roman" w:hAnsi="Times New Roman"/>
          <w:sz w:val="24"/>
          <w:szCs w:val="24"/>
        </w:rPr>
        <w:t xml:space="preserve">Both plaintiffs testified at their depositions that they had learned </w:t>
      </w:r>
      <w:proofErr w:type="gramStart"/>
      <w:r w:rsidRPr="00DA11E3">
        <w:rPr>
          <w:rFonts w:ascii="Times New Roman" w:hAnsi="Times New Roman"/>
          <w:sz w:val="24"/>
          <w:szCs w:val="24"/>
        </w:rPr>
        <w:t>in the course of</w:t>
      </w:r>
      <w:proofErr w:type="gramEnd"/>
      <w:r w:rsidRPr="00DA11E3">
        <w:rPr>
          <w:rFonts w:ascii="Times New Roman" w:hAnsi="Times New Roman"/>
          <w:sz w:val="24"/>
          <w:szCs w:val="24"/>
        </w:rPr>
        <w:t xml:space="preserve"> their formal training that transporting a patient against his or her will is illegal and tantamount to kidnapping and or assault under New Jersey law. When the North Bergen police forced plaintiffs to ferry F.A. to the hospital against his wishes, plaintiffs allege they had a reasonable belief that such actions violated the false imprisonment statute as well as New Jersey's public policy protecting a competent patient's right to refuse medical treatment.</w:t>
      </w:r>
      <w:r>
        <w:rPr>
          <w:rFonts w:ascii="Times New Roman" w:hAnsi="Times New Roman"/>
          <w:sz w:val="24"/>
          <w:szCs w:val="24"/>
        </w:rPr>
        <w:t xml:space="preserve">” </w:t>
      </w:r>
      <w:hyperlink r:id="rId2151" w:history="1">
        <w:r w:rsidRPr="002477AB">
          <w:rPr>
            <w:rStyle w:val="Hyperlink"/>
            <w:rFonts w:ascii="Times New Roman" w:hAnsi="Times New Roman"/>
            <w:sz w:val="24"/>
            <w:szCs w:val="24"/>
          </w:rPr>
          <w:t>https://public.fastcase.com/waZtJvSA54UAurM2rmIZzwN7i243%2F%2BStZpHYDBkc8sGpJscx%2FQQ27pdU9Jjrp4oC%2BDoaG82WuBlPphdis3f1N3UPtlVqun2jEuCWxYyqQWw%3D</w:t>
        </w:r>
      </w:hyperlink>
    </w:p>
    <w:p w14:paraId="2212FCCC" w14:textId="77777777" w:rsidR="00E3473F" w:rsidRDefault="00E3473F" w:rsidP="00E3473F">
      <w:pPr>
        <w:spacing w:before="100" w:beforeAutospacing="1" w:after="100" w:afterAutospacing="1" w:line="240" w:lineRule="auto"/>
        <w:rPr>
          <w:rFonts w:ascii="Times New Roman" w:hAnsi="Times New Roman"/>
          <w:b/>
          <w:bCs/>
          <w:sz w:val="24"/>
          <w:szCs w:val="24"/>
        </w:rPr>
      </w:pPr>
      <w:r w:rsidRPr="0049327E">
        <w:rPr>
          <w:rFonts w:ascii="Times New Roman" w:hAnsi="Times New Roman"/>
          <w:b/>
          <w:bCs/>
          <w:sz w:val="24"/>
          <w:szCs w:val="24"/>
        </w:rPr>
        <w:t>Legal Lesson Learned:</w:t>
      </w:r>
      <w:r>
        <w:rPr>
          <w:rFonts w:ascii="Times New Roman" w:hAnsi="Times New Roman"/>
          <w:b/>
          <w:bCs/>
          <w:sz w:val="24"/>
          <w:szCs w:val="24"/>
        </w:rPr>
        <w:t xml:space="preserve"> Unfortunate dispute at the scene between police and EMS; time for PD and EMS management to jointly review patient transport protocols. </w:t>
      </w:r>
    </w:p>
    <w:p w14:paraId="4D78D8DA" w14:textId="77777777" w:rsidR="00E3473F" w:rsidRDefault="00E3473F" w:rsidP="00E3473F">
      <w:pPr>
        <w:pStyle w:val="Heading1"/>
        <w:ind w:left="720"/>
      </w:pPr>
      <w:r>
        <w:rPr>
          <w:b w:val="0"/>
          <w:bCs w:val="0"/>
          <w:sz w:val="24"/>
          <w:szCs w:val="24"/>
        </w:rPr>
        <w:t xml:space="preserve">Note: See the article when lawsuit </w:t>
      </w:r>
      <w:proofErr w:type="gramStart"/>
      <w:r>
        <w:rPr>
          <w:b w:val="0"/>
          <w:bCs w:val="0"/>
          <w:sz w:val="24"/>
          <w:szCs w:val="24"/>
        </w:rPr>
        <w:t>was</w:t>
      </w:r>
      <w:proofErr w:type="gramEnd"/>
      <w:r>
        <w:rPr>
          <w:b w:val="0"/>
          <w:bCs w:val="0"/>
          <w:sz w:val="24"/>
          <w:szCs w:val="24"/>
        </w:rPr>
        <w:t xml:space="preserve"> filed. Aug. 22, 2018, “</w:t>
      </w:r>
      <w:r w:rsidRPr="00DE51FF">
        <w:rPr>
          <w:b w:val="0"/>
          <w:bCs w:val="0"/>
          <w:sz w:val="24"/>
          <w:szCs w:val="24"/>
        </w:rPr>
        <w:t>2 ex-North Bergen EMS workers file wrongful termination suit against township, deputy EMS chief</w:t>
      </w:r>
      <w:r>
        <w:rPr>
          <w:b w:val="0"/>
          <w:bCs w:val="0"/>
          <w:sz w:val="24"/>
          <w:szCs w:val="24"/>
        </w:rPr>
        <w:t>.”</w:t>
      </w:r>
      <w:r>
        <w:t xml:space="preserve"> </w:t>
      </w:r>
      <w:hyperlink r:id="rId2152" w:history="1">
        <w:r w:rsidRPr="00DE51FF">
          <w:rPr>
            <w:rStyle w:val="Hyperlink"/>
            <w:rFonts w:eastAsiaTheme="majorEastAsia"/>
            <w:b w:val="0"/>
            <w:bCs w:val="0"/>
            <w:sz w:val="24"/>
            <w:szCs w:val="24"/>
          </w:rPr>
          <w:t>https://hudsoncountyview.com/2-ex-north-bergen-ems-workers-file-wrongful-termination-suit-against-township-deputy-ems-chief/</w:t>
        </w:r>
      </w:hyperlink>
      <w:r>
        <w:t xml:space="preserve"> </w:t>
      </w:r>
    </w:p>
    <w:p w14:paraId="1C82742F" w14:textId="77777777" w:rsidR="00E3473F" w:rsidRDefault="00E3473F" w:rsidP="002B1283">
      <w:pPr>
        <w:rPr>
          <w:rFonts w:ascii="Arial Black" w:hAnsi="Arial Black"/>
          <w:b/>
          <w:bCs/>
          <w:sz w:val="28"/>
          <w:szCs w:val="28"/>
        </w:rPr>
      </w:pPr>
    </w:p>
    <w:p w14:paraId="0A70D44A" w14:textId="77777777" w:rsidR="00E3473F" w:rsidRDefault="00E3473F" w:rsidP="002B1283">
      <w:pPr>
        <w:rPr>
          <w:rFonts w:ascii="Arial Black" w:hAnsi="Arial Black"/>
          <w:b/>
          <w:bCs/>
          <w:sz w:val="28"/>
          <w:szCs w:val="28"/>
        </w:rPr>
      </w:pPr>
    </w:p>
    <w:p w14:paraId="253FF7D2" w14:textId="77777777" w:rsidR="00E3473F" w:rsidRDefault="00E3473F" w:rsidP="002B1283">
      <w:pPr>
        <w:rPr>
          <w:rFonts w:ascii="Arial Black" w:hAnsi="Arial Black"/>
          <w:b/>
          <w:bCs/>
          <w:sz w:val="28"/>
          <w:szCs w:val="28"/>
        </w:rPr>
      </w:pPr>
    </w:p>
    <w:p w14:paraId="79D9AD8F" w14:textId="258CCA77" w:rsidR="00D55139" w:rsidRPr="00D55139" w:rsidRDefault="00D55139" w:rsidP="002B1283">
      <w:pPr>
        <w:rPr>
          <w:rFonts w:ascii="Times New Roman" w:hAnsi="Times New Roman"/>
          <w:sz w:val="24"/>
          <w:szCs w:val="24"/>
        </w:rPr>
      </w:pPr>
      <w:r>
        <w:rPr>
          <w:rFonts w:ascii="Arial Black" w:hAnsi="Arial Black"/>
          <w:b/>
          <w:bCs/>
          <w:sz w:val="28"/>
          <w:szCs w:val="28"/>
        </w:rPr>
        <w:t xml:space="preserve">13-105 </w:t>
      </w:r>
      <w:r>
        <w:rPr>
          <w:rFonts w:ascii="Times New Roman" w:hAnsi="Times New Roman"/>
          <w:sz w:val="24"/>
          <w:szCs w:val="24"/>
        </w:rPr>
        <w:t>[also filed Chap. 16]</w:t>
      </w:r>
    </w:p>
    <w:p w14:paraId="692CAE83" w14:textId="77777777" w:rsidR="00D55139" w:rsidRPr="006C2163" w:rsidRDefault="00D55139" w:rsidP="00D55139">
      <w:pPr>
        <w:spacing w:before="100" w:beforeAutospacing="1" w:after="100" w:afterAutospacing="1" w:line="240" w:lineRule="auto"/>
        <w:rPr>
          <w:rFonts w:ascii="Arial Black" w:eastAsia="Times New Roman" w:hAnsi="Arial Black"/>
          <w:b/>
          <w:bCs/>
          <w:sz w:val="28"/>
          <w:szCs w:val="28"/>
        </w:rPr>
      </w:pPr>
      <w:bookmarkStart w:id="444" w:name="_Hlk94625731"/>
      <w:r>
        <w:rPr>
          <w:rFonts w:ascii="Arial Black" w:eastAsia="Times New Roman" w:hAnsi="Arial Black"/>
          <w:b/>
          <w:bCs/>
          <w:sz w:val="28"/>
          <w:szCs w:val="28"/>
        </w:rPr>
        <w:t xml:space="preserve">DE: PARAMEDIC LICENSE SUSPENDED – PLED GUILTY - </w:t>
      </w:r>
      <w:r w:rsidRPr="006C2163">
        <w:rPr>
          <w:rFonts w:ascii="Arial Black" w:eastAsia="Times New Roman" w:hAnsi="Arial Black"/>
          <w:sz w:val="28"/>
          <w:szCs w:val="28"/>
        </w:rPr>
        <w:t>T</w:t>
      </w:r>
      <w:r>
        <w:rPr>
          <w:rFonts w:ascii="Arial Black" w:eastAsia="Times New Roman" w:hAnsi="Arial Black"/>
          <w:sz w:val="28"/>
          <w:szCs w:val="28"/>
        </w:rPr>
        <w:t xml:space="preserve">RESPASS INTENT PEER (PEERING ON SEPERATED WIFE) </w:t>
      </w:r>
    </w:p>
    <w:p w14:paraId="722FC91A" w14:textId="77777777" w:rsidR="00D55139" w:rsidRDefault="00D55139" w:rsidP="00D55139">
      <w:pPr>
        <w:spacing w:before="100" w:beforeAutospacing="1" w:after="100" w:afterAutospacing="1" w:line="240" w:lineRule="auto"/>
        <w:rPr>
          <w:rFonts w:ascii="Times New Roman" w:eastAsia="Times New Roman" w:hAnsi="Times New Roman"/>
          <w:sz w:val="24"/>
          <w:szCs w:val="24"/>
        </w:rPr>
      </w:pPr>
      <w:r w:rsidRPr="00280A60">
        <w:rPr>
          <w:rFonts w:ascii="Times New Roman" w:eastAsia="Times New Roman" w:hAnsi="Times New Roman"/>
          <w:sz w:val="24"/>
          <w:szCs w:val="24"/>
        </w:rPr>
        <w:t xml:space="preserve">On </w:t>
      </w:r>
      <w:r>
        <w:rPr>
          <w:rFonts w:ascii="Times New Roman" w:eastAsia="Times New Roman" w:hAnsi="Times New Roman"/>
          <w:sz w:val="24"/>
          <w:szCs w:val="24"/>
        </w:rPr>
        <w:t xml:space="preserve">Jan. 26, 2022, in </w:t>
      </w:r>
      <w:r w:rsidRPr="00280A60">
        <w:rPr>
          <w:rFonts w:ascii="Times New Roman" w:eastAsia="Times New Roman" w:hAnsi="Times New Roman"/>
          <w:sz w:val="24"/>
          <w:szCs w:val="24"/>
          <w:u w:val="single"/>
        </w:rPr>
        <w:t xml:space="preserve">Kevin Imhoff v. Delaware Board of Medical Licensure </w:t>
      </w:r>
      <w:r>
        <w:rPr>
          <w:rFonts w:ascii="Times New Roman" w:eastAsia="Times New Roman" w:hAnsi="Times New Roman"/>
          <w:sz w:val="24"/>
          <w:szCs w:val="24"/>
          <w:u w:val="single"/>
        </w:rPr>
        <w:t>a</w:t>
      </w:r>
      <w:r w:rsidRPr="00280A60">
        <w:rPr>
          <w:rFonts w:ascii="Times New Roman" w:eastAsia="Times New Roman" w:hAnsi="Times New Roman"/>
          <w:sz w:val="24"/>
          <w:szCs w:val="24"/>
          <w:u w:val="single"/>
        </w:rPr>
        <w:t>nd Discipline</w:t>
      </w:r>
      <w:r>
        <w:rPr>
          <w:rFonts w:ascii="Times New Roman" w:eastAsia="Times New Roman" w:hAnsi="Times New Roman"/>
          <w:sz w:val="24"/>
          <w:szCs w:val="24"/>
        </w:rPr>
        <w:t xml:space="preserve">, Judge Noel Primos of the he Superior Court of Delaware upheld the suspension of the paramedic’s license but remanded to case for Board to possibly reduce the 2-year suspension for failure to timely report his plea of guilty. In September 2019 he pled guilty to Criminal Mischief, Violation of Privacy, and Trespass with Intent to Peer or Peep, but didn’t report this within 30 days to the Board (apparently on bad advice of his criminal defense attorney).  In May 2020, when renewing his license, he reported the convictions. </w:t>
      </w:r>
      <w:hyperlink r:id="rId2153" w:history="1">
        <w:r w:rsidRPr="00A83547">
          <w:rPr>
            <w:rStyle w:val="Hyperlink"/>
            <w:rFonts w:ascii="Times New Roman" w:hAnsi="Times New Roman"/>
            <w:sz w:val="24"/>
            <w:szCs w:val="24"/>
          </w:rPr>
          <w:t>https://casetext.com/case/imhof-v-del-bd-of-med-licensure-discipline</w:t>
        </w:r>
      </w:hyperlink>
    </w:p>
    <w:p w14:paraId="757BE01D" w14:textId="77777777" w:rsidR="00D55139" w:rsidRPr="007B6144" w:rsidRDefault="00D55139" w:rsidP="00D55139">
      <w:pPr>
        <w:spacing w:before="100" w:beforeAutospacing="1" w:after="100" w:afterAutospacing="1" w:line="240" w:lineRule="auto"/>
        <w:jc w:val="both"/>
        <w:rPr>
          <w:rStyle w:val="markedcontent"/>
          <w:rFonts w:ascii="Times New Roman" w:hAnsi="Times New Roman"/>
          <w:b/>
          <w:bCs/>
          <w:sz w:val="24"/>
          <w:szCs w:val="24"/>
        </w:rPr>
      </w:pPr>
      <w:bookmarkStart w:id="445" w:name="_Hlk94625748"/>
      <w:bookmarkEnd w:id="444"/>
      <w:r w:rsidRPr="007B6144">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Criminal misconduct can lead to suspension of EMS license.</w:t>
      </w:r>
    </w:p>
    <w:bookmarkEnd w:id="445"/>
    <w:p w14:paraId="063380C6" w14:textId="77777777" w:rsidR="00D55139" w:rsidRDefault="00D55139" w:rsidP="002B1283">
      <w:pPr>
        <w:rPr>
          <w:rFonts w:ascii="Arial Black" w:hAnsi="Arial Black"/>
          <w:b/>
          <w:bCs/>
          <w:sz w:val="28"/>
          <w:szCs w:val="28"/>
        </w:rPr>
      </w:pPr>
    </w:p>
    <w:p w14:paraId="33FC9217" w14:textId="2EE444E3" w:rsidR="009A3D9F" w:rsidRDefault="009A3D9F" w:rsidP="002B1283">
      <w:pPr>
        <w:rPr>
          <w:rFonts w:ascii="Arial Black" w:hAnsi="Arial Black"/>
          <w:b/>
          <w:bCs/>
          <w:sz w:val="28"/>
          <w:szCs w:val="28"/>
        </w:rPr>
      </w:pPr>
      <w:r>
        <w:rPr>
          <w:rFonts w:ascii="Arial Black" w:hAnsi="Arial Black"/>
          <w:b/>
          <w:bCs/>
          <w:sz w:val="28"/>
          <w:szCs w:val="28"/>
        </w:rPr>
        <w:t>13-104</w:t>
      </w:r>
    </w:p>
    <w:p w14:paraId="347378CC" w14:textId="77777777" w:rsidR="00BD3FE4" w:rsidRPr="006122C5" w:rsidRDefault="00BD3FE4" w:rsidP="00BD3FE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AMBULANCE AIR HORN MISTAKENLY BLASTED – CIVILIAN HEARING LOSS - EMPLOYER MAY BE SUED</w:t>
      </w:r>
    </w:p>
    <w:p w14:paraId="4CEE036C" w14:textId="77777777" w:rsidR="00BD3FE4" w:rsidRDefault="00BD3FE4" w:rsidP="00BD3FE4">
      <w:pPr>
        <w:spacing w:before="100" w:beforeAutospacing="1" w:after="100" w:afterAutospacing="1" w:line="240" w:lineRule="auto"/>
        <w:rPr>
          <w:rFonts w:ascii="Times New Roman" w:eastAsia="Times New Roman" w:hAnsi="Times New Roman"/>
          <w:sz w:val="24"/>
          <w:szCs w:val="24"/>
        </w:rPr>
      </w:pPr>
      <w:r w:rsidRPr="00B12365">
        <w:rPr>
          <w:rFonts w:ascii="Times New Roman" w:eastAsia="Times New Roman" w:hAnsi="Times New Roman"/>
          <w:sz w:val="24"/>
          <w:szCs w:val="24"/>
        </w:rPr>
        <w:t xml:space="preserve">On </w:t>
      </w:r>
      <w:r>
        <w:rPr>
          <w:rFonts w:ascii="Times New Roman" w:eastAsia="Times New Roman" w:hAnsi="Times New Roman"/>
          <w:sz w:val="24"/>
          <w:szCs w:val="24"/>
        </w:rPr>
        <w:t xml:space="preserve">Jan. 19, 2022, in </w:t>
      </w:r>
      <w:r w:rsidRPr="00B12365">
        <w:rPr>
          <w:rFonts w:ascii="Times New Roman" w:eastAsia="Times New Roman" w:hAnsi="Times New Roman"/>
          <w:sz w:val="24"/>
          <w:szCs w:val="24"/>
          <w:u w:val="single"/>
        </w:rPr>
        <w:t>Stephanie M. King v. Emergency Medical Transport, Inc</w:t>
      </w:r>
      <w:r>
        <w:rPr>
          <w:rFonts w:ascii="Times New Roman" w:eastAsia="Times New Roman" w:hAnsi="Times New Roman"/>
          <w:sz w:val="24"/>
          <w:szCs w:val="24"/>
        </w:rPr>
        <w:t xml:space="preserve">., the Court of Appeals of Ohio, Fifth District (Stark County) held (3 to 0) that the trial court should not have dismissed the ambulance company (EMT Inc.) from this lawsuit. </w:t>
      </w:r>
      <w:r w:rsidRPr="00691012">
        <w:rPr>
          <w:rFonts w:ascii="Times New Roman" w:hAnsi="Times New Roman"/>
          <w:sz w:val="24"/>
          <w:szCs w:val="24"/>
        </w:rPr>
        <w:t>The trial court found the alleged incident did not occur within the scope of employment; therefore, EMT was not vicariously liable for the conduct of its employees</w:t>
      </w:r>
      <w:r>
        <w:rPr>
          <w:rFonts w:ascii="Times New Roman" w:hAnsi="Times New Roman"/>
          <w:sz w:val="24"/>
          <w:szCs w:val="24"/>
        </w:rPr>
        <w:t xml:space="preserve">.  The Court of Appeals disagreed, </w:t>
      </w:r>
      <w:r>
        <w:rPr>
          <w:rFonts w:ascii="Times New Roman" w:eastAsia="Times New Roman" w:hAnsi="Times New Roman"/>
          <w:sz w:val="24"/>
          <w:szCs w:val="24"/>
        </w:rPr>
        <w:t xml:space="preserve">finding that the paramedics worked 24-hour shift and were therefore on duty for the employer when the air horn was mistakenly activated. </w:t>
      </w:r>
      <w:hyperlink r:id="rId2154" w:history="1">
        <w:r w:rsidRPr="00A07B51">
          <w:rPr>
            <w:rStyle w:val="Hyperlink"/>
          </w:rPr>
          <w:t>https://cms7files1.revize.com/starkcountyoh/S21-57.pdf</w:t>
        </w:r>
      </w:hyperlink>
    </w:p>
    <w:p w14:paraId="49C159AE" w14:textId="77777777" w:rsidR="00BD3FE4" w:rsidRDefault="00BD3FE4" w:rsidP="00BD3FE4">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Employers may be liable for injuries caused by EMS personnel, including during their </w:t>
      </w:r>
      <w:proofErr w:type="gramStart"/>
      <w:r>
        <w:rPr>
          <w:rFonts w:ascii="Times New Roman" w:eastAsia="Times New Roman" w:hAnsi="Times New Roman"/>
          <w:b/>
          <w:bCs/>
          <w:sz w:val="24"/>
          <w:szCs w:val="24"/>
        </w:rPr>
        <w:t>on duty</w:t>
      </w:r>
      <w:proofErr w:type="gramEnd"/>
      <w:r>
        <w:rPr>
          <w:rFonts w:ascii="Times New Roman" w:eastAsia="Times New Roman" w:hAnsi="Times New Roman"/>
          <w:b/>
          <w:bCs/>
          <w:sz w:val="24"/>
          <w:szCs w:val="24"/>
        </w:rPr>
        <w:t xml:space="preserve"> lunch time. </w:t>
      </w:r>
    </w:p>
    <w:p w14:paraId="5915779F" w14:textId="77777777" w:rsidR="009A3D9F" w:rsidRDefault="009A3D9F" w:rsidP="002B1283">
      <w:pPr>
        <w:rPr>
          <w:rFonts w:ascii="Arial Black" w:hAnsi="Arial Black"/>
          <w:b/>
          <w:bCs/>
          <w:sz w:val="28"/>
          <w:szCs w:val="28"/>
        </w:rPr>
      </w:pPr>
    </w:p>
    <w:p w14:paraId="0DEE410D" w14:textId="72808258" w:rsidR="009A3D9F" w:rsidRDefault="009A3D9F" w:rsidP="002B1283">
      <w:pPr>
        <w:rPr>
          <w:rFonts w:ascii="Arial Black" w:hAnsi="Arial Black"/>
          <w:b/>
          <w:bCs/>
          <w:sz w:val="28"/>
          <w:szCs w:val="28"/>
        </w:rPr>
      </w:pPr>
      <w:r>
        <w:rPr>
          <w:rFonts w:ascii="Arial Black" w:hAnsi="Arial Black"/>
          <w:b/>
          <w:bCs/>
          <w:sz w:val="28"/>
          <w:szCs w:val="28"/>
        </w:rPr>
        <w:t>13-103</w:t>
      </w:r>
    </w:p>
    <w:p w14:paraId="1C4923B7" w14:textId="77777777" w:rsidR="009A3D9F" w:rsidRPr="000007E3" w:rsidRDefault="009A3D9F" w:rsidP="009A3D9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RI: PARAMEDIC FIRED – POOR SKILLS – UNION REFUSED PAY ATTY - NO BREACH DUTY OF FAIR REPRESENTATION</w:t>
      </w:r>
    </w:p>
    <w:p w14:paraId="47156ED1" w14:textId="3CEBEA83" w:rsidR="009A3D9F" w:rsidRDefault="009A3D9F" w:rsidP="009A3D9F">
      <w:pPr>
        <w:rPr>
          <w:rFonts w:ascii="Arial Black" w:hAnsi="Arial Black"/>
          <w:b/>
          <w:bCs/>
          <w:sz w:val="28"/>
          <w:szCs w:val="28"/>
        </w:rPr>
      </w:pPr>
      <w:r>
        <w:rPr>
          <w:rFonts w:ascii="Times New Roman" w:eastAsia="Times New Roman" w:hAnsi="Times New Roman"/>
          <w:sz w:val="24"/>
          <w:szCs w:val="24"/>
        </w:rPr>
        <w:t xml:space="preserve">On Jan. 14, 2022, in </w:t>
      </w:r>
      <w:r w:rsidRPr="009C3E71">
        <w:rPr>
          <w:rFonts w:ascii="Times New Roman" w:eastAsia="Times New Roman" w:hAnsi="Times New Roman"/>
          <w:sz w:val="24"/>
          <w:szCs w:val="24"/>
          <w:u w:val="single"/>
        </w:rPr>
        <w:t xml:space="preserve">Augustine Eddy v. Pascoag Fire District, </w:t>
      </w:r>
      <w:r w:rsidRPr="009C3E71">
        <w:rPr>
          <w:rFonts w:ascii="Times New Roman" w:hAnsi="Times New Roman"/>
          <w:sz w:val="24"/>
          <w:szCs w:val="24"/>
          <w:u w:val="single"/>
        </w:rPr>
        <w:t>Pascoag Fire and Rescue Association, and International Association of Firefighters, Local 4908</w:t>
      </w:r>
      <w:r>
        <w:rPr>
          <w:rFonts w:ascii="Times New Roman" w:hAnsi="Times New Roman"/>
          <w:sz w:val="24"/>
          <w:szCs w:val="24"/>
        </w:rPr>
        <w:t xml:space="preserve">, the Supreme Court of Rhode Island held (4 to 0) that the trial court properly dismissed the lawsuit against the Fire District and the union, since he never pursued arbitration. </w:t>
      </w:r>
      <w:r w:rsidRPr="00C11C1D">
        <w:rPr>
          <w:rFonts w:ascii="Times New Roman" w:hAnsi="Times New Roman"/>
          <w:sz w:val="24"/>
          <w:szCs w:val="24"/>
        </w:rPr>
        <w:t xml:space="preserve">The paramedic in Jan. 2016 was presented with a plan for remedial training to address complaints </w:t>
      </w:r>
      <w:r w:rsidRPr="00C11C1D">
        <w:rPr>
          <w:rFonts w:ascii="Times New Roman" w:hAnsi="Times New Roman"/>
          <w:sz w:val="24"/>
          <w:szCs w:val="24"/>
        </w:rPr>
        <w:lastRenderedPageBreak/>
        <w:t>from his partner regarding his job performance</w:t>
      </w:r>
      <w:r>
        <w:rPr>
          <w:rFonts w:ascii="Times New Roman" w:hAnsi="Times New Roman"/>
          <w:sz w:val="24"/>
          <w:szCs w:val="24"/>
        </w:rPr>
        <w:t xml:space="preserve">, but on a transport March 27, </w:t>
      </w:r>
      <w:proofErr w:type="gramStart"/>
      <w:r>
        <w:rPr>
          <w:rFonts w:ascii="Times New Roman" w:hAnsi="Times New Roman"/>
          <w:sz w:val="24"/>
          <w:szCs w:val="24"/>
        </w:rPr>
        <w:t>2016</w:t>
      </w:r>
      <w:proofErr w:type="gramEnd"/>
      <w:r>
        <w:rPr>
          <w:rFonts w:ascii="Times New Roman" w:hAnsi="Times New Roman"/>
          <w:sz w:val="24"/>
          <w:szCs w:val="24"/>
        </w:rPr>
        <w:t xml:space="preserve"> he failed to start an IV.  He admitted in writing to Chief, “</w:t>
      </w:r>
      <w:r w:rsidRPr="00C11C1D">
        <w:rPr>
          <w:rFonts w:ascii="Times New Roman" w:hAnsi="Times New Roman"/>
          <w:sz w:val="24"/>
          <w:szCs w:val="24"/>
        </w:rPr>
        <w:t>I know, I know, my skills are not what they should be, I should of [</w:t>
      </w:r>
      <w:r w:rsidRPr="00C11C1D">
        <w:rPr>
          <w:rStyle w:val="Emphasis"/>
          <w:rFonts w:ascii="Times New Roman" w:hAnsi="Times New Roman"/>
          <w:sz w:val="24"/>
          <w:szCs w:val="24"/>
        </w:rPr>
        <w:t>sic</w:t>
      </w:r>
      <w:r w:rsidRPr="00C11C1D">
        <w:rPr>
          <w:rFonts w:ascii="Times New Roman" w:hAnsi="Times New Roman"/>
          <w:sz w:val="24"/>
          <w:szCs w:val="24"/>
        </w:rPr>
        <w:t>] started an IV</w:t>
      </w:r>
      <w:r>
        <w:rPr>
          <w:rFonts w:ascii="Times New Roman" w:hAnsi="Times New Roman"/>
          <w:sz w:val="24"/>
          <w:szCs w:val="24"/>
        </w:rPr>
        <w:t>.” The union did not breach its duty. “</w:t>
      </w:r>
      <w:r w:rsidRPr="00A11E8B">
        <w:rPr>
          <w:rFonts w:ascii="Times New Roman" w:hAnsi="Times New Roman"/>
          <w:sz w:val="24"/>
          <w:szCs w:val="24"/>
        </w:rPr>
        <w:t>Specifically, under the union's constitution and by-laws, plaintiff had the ability to appeal the union's decision not to pay for arbitration to the union's general president, but he failed to do so</w:t>
      </w:r>
      <w:r>
        <w:rPr>
          <w:rFonts w:ascii="Times New Roman" w:hAnsi="Times New Roman"/>
          <w:sz w:val="24"/>
          <w:szCs w:val="24"/>
        </w:rPr>
        <w:t xml:space="preserve">.” Lawsuit against Fire District </w:t>
      </w:r>
      <w:proofErr w:type="gramStart"/>
      <w:r>
        <w:rPr>
          <w:rFonts w:ascii="Times New Roman" w:hAnsi="Times New Roman"/>
          <w:sz w:val="24"/>
          <w:szCs w:val="24"/>
        </w:rPr>
        <w:t>properly</w:t>
      </w:r>
      <w:proofErr w:type="gramEnd"/>
      <w:r>
        <w:rPr>
          <w:rFonts w:ascii="Times New Roman" w:hAnsi="Times New Roman"/>
          <w:sz w:val="24"/>
          <w:szCs w:val="24"/>
        </w:rPr>
        <w:t xml:space="preserve"> dismissed since he didn’t pursue arbitration. </w:t>
      </w:r>
      <w:hyperlink r:id="rId2155" w:history="1">
        <w:r w:rsidRPr="00A83547">
          <w:rPr>
            <w:rStyle w:val="Hyperlink"/>
            <w:sz w:val="24"/>
            <w:szCs w:val="24"/>
          </w:rPr>
          <w:t>https://www.courts.ri.gov/Courts/SupremeCourt/SupremeOpinions/19-373.pdf?fbclid=IwAR381gBQH8M88N6_xqsP3bwAIxYvF38ngnKZywLKveA_XCbfEKJg9F5lDvI</w:t>
        </w:r>
      </w:hyperlink>
    </w:p>
    <w:p w14:paraId="15561868" w14:textId="77777777" w:rsidR="009A3D9F" w:rsidRDefault="009A3D9F" w:rsidP="009A3D9F">
      <w:pPr>
        <w:pStyle w:val="NormalWeb"/>
        <w:rPr>
          <w:b/>
          <w:bCs/>
        </w:rPr>
      </w:pPr>
      <w:r w:rsidRPr="00BD018A">
        <w:rPr>
          <w:b/>
          <w:bCs/>
        </w:rPr>
        <w:t>Legal Lesson Learned:</w:t>
      </w:r>
      <w:r>
        <w:rPr>
          <w:b/>
          <w:bCs/>
        </w:rPr>
        <w:t xml:space="preserve">  Under the CBA, the paramedic failed to exhaust his administrative remedy by pursuing arbitration.</w:t>
      </w:r>
    </w:p>
    <w:p w14:paraId="7426AA05" w14:textId="77777777" w:rsidR="009A3D9F" w:rsidRDefault="009A3D9F" w:rsidP="002B1283">
      <w:pPr>
        <w:rPr>
          <w:rFonts w:ascii="Arial Black" w:hAnsi="Arial Black"/>
          <w:b/>
          <w:bCs/>
          <w:sz w:val="28"/>
          <w:szCs w:val="28"/>
        </w:rPr>
      </w:pPr>
    </w:p>
    <w:p w14:paraId="7C15BA2E" w14:textId="476E6E0B" w:rsidR="00FF5FCF" w:rsidRDefault="00FF5FCF" w:rsidP="002B1283">
      <w:pPr>
        <w:rPr>
          <w:rFonts w:ascii="Arial Black" w:hAnsi="Arial Black"/>
          <w:b/>
          <w:bCs/>
          <w:sz w:val="28"/>
          <w:szCs w:val="28"/>
        </w:rPr>
      </w:pPr>
      <w:r>
        <w:rPr>
          <w:rFonts w:ascii="Arial Black" w:hAnsi="Arial Black"/>
          <w:b/>
          <w:bCs/>
          <w:sz w:val="28"/>
          <w:szCs w:val="28"/>
        </w:rPr>
        <w:t>13–102</w:t>
      </w:r>
    </w:p>
    <w:p w14:paraId="14BD5327" w14:textId="77777777" w:rsidR="00FF5FCF" w:rsidRPr="00FD1635" w:rsidRDefault="00FF5FCF" w:rsidP="00FF5FCF">
      <w:pPr>
        <w:spacing w:before="100" w:beforeAutospacing="1" w:after="100" w:afterAutospacing="1" w:line="240" w:lineRule="auto"/>
        <w:rPr>
          <w:rFonts w:ascii="Arial Black" w:hAnsi="Arial Black"/>
          <w:sz w:val="28"/>
          <w:szCs w:val="28"/>
        </w:rPr>
      </w:pPr>
      <w:r>
        <w:rPr>
          <w:rFonts w:ascii="Arial Black" w:hAnsi="Arial Black"/>
          <w:sz w:val="28"/>
          <w:szCs w:val="28"/>
        </w:rPr>
        <w:t>LA: CHILD STRUCK BY CAR – NO PULSE, PASSED LOCAL HOSPITAL TO TRAUMA CENTER – MUST SHOW PROTOCOLS</w:t>
      </w:r>
    </w:p>
    <w:p w14:paraId="3E2BBC03" w14:textId="77777777" w:rsidR="00FF5FCF" w:rsidRDefault="00FF5FCF" w:rsidP="00FF5FC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30, 2021, in </w:t>
      </w:r>
      <w:proofErr w:type="spellStart"/>
      <w:r w:rsidRPr="00484477">
        <w:rPr>
          <w:rFonts w:ascii="Times New Roman" w:hAnsi="Times New Roman"/>
          <w:sz w:val="24"/>
          <w:szCs w:val="24"/>
          <w:u w:val="single"/>
        </w:rPr>
        <w:t>Gauis</w:t>
      </w:r>
      <w:proofErr w:type="spellEnd"/>
      <w:r w:rsidRPr="00484477">
        <w:rPr>
          <w:rFonts w:ascii="Times New Roman" w:hAnsi="Times New Roman"/>
          <w:sz w:val="24"/>
          <w:szCs w:val="24"/>
          <w:u w:val="single"/>
        </w:rPr>
        <w:t xml:space="preserve"> Horton, individually and on behalf of Mary Horton v. St. Tammany Fire Protection District # 4</w:t>
      </w:r>
      <w:r>
        <w:rPr>
          <w:rFonts w:ascii="Times New Roman" w:hAnsi="Times New Roman"/>
          <w:sz w:val="24"/>
          <w:szCs w:val="24"/>
        </w:rPr>
        <w:t xml:space="preserve">, the Court of Appeals of Louisiana, First Circuit, held (3 to 0) that trial court should not have dismissed this lawsuit alleging gross negligence for </w:t>
      </w:r>
      <w:r>
        <w:rPr>
          <w:rFonts w:ascii="Times New Roman" w:eastAsia="Times New Roman" w:hAnsi="Times New Roman"/>
          <w:sz w:val="24"/>
          <w:szCs w:val="24"/>
        </w:rPr>
        <w:t>f</w:t>
      </w:r>
      <w:r w:rsidRPr="00C40368">
        <w:rPr>
          <w:rFonts w:ascii="Times New Roman" w:eastAsia="Times New Roman" w:hAnsi="Times New Roman"/>
          <w:sz w:val="24"/>
          <w:szCs w:val="24"/>
        </w:rPr>
        <w:t xml:space="preserve">ailing to timely depart the scene of the accident </w:t>
      </w:r>
      <w:r>
        <w:rPr>
          <w:rFonts w:ascii="Times New Roman" w:eastAsia="Times New Roman" w:hAnsi="Times New Roman"/>
          <w:sz w:val="24"/>
          <w:szCs w:val="24"/>
        </w:rPr>
        <w:t xml:space="preserve">(20 minutes on scene) </w:t>
      </w:r>
      <w:r w:rsidRPr="00C40368">
        <w:rPr>
          <w:rFonts w:ascii="Times New Roman" w:eastAsia="Times New Roman" w:hAnsi="Times New Roman"/>
          <w:sz w:val="24"/>
          <w:szCs w:val="24"/>
        </w:rPr>
        <w:t xml:space="preserve">and failing to take </w:t>
      </w:r>
      <w:r>
        <w:rPr>
          <w:rFonts w:ascii="Times New Roman" w:eastAsia="Times New Roman" w:hAnsi="Times New Roman"/>
          <w:sz w:val="24"/>
          <w:szCs w:val="24"/>
        </w:rPr>
        <w:t>patient</w:t>
      </w:r>
      <w:r w:rsidRPr="00C40368">
        <w:rPr>
          <w:rFonts w:ascii="Times New Roman" w:eastAsia="Times New Roman" w:hAnsi="Times New Roman"/>
          <w:sz w:val="24"/>
          <w:szCs w:val="24"/>
        </w:rPr>
        <w:t xml:space="preserve"> to the nearest hospital</w:t>
      </w:r>
      <w:r>
        <w:rPr>
          <w:rFonts w:ascii="Times New Roman" w:eastAsia="Times New Roman" w:hAnsi="Times New Roman"/>
          <w:sz w:val="24"/>
          <w:szCs w:val="24"/>
        </w:rPr>
        <w:t xml:space="preserve"> (directed to Level II Trauma Center)</w:t>
      </w:r>
      <w:r w:rsidRPr="00C40368">
        <w:rPr>
          <w:rFonts w:ascii="Times New Roman" w:eastAsia="Times New Roman" w:hAnsi="Times New Roman"/>
          <w:sz w:val="24"/>
          <w:szCs w:val="24"/>
        </w:rPr>
        <w:t xml:space="preserve">. </w:t>
      </w:r>
      <w:r>
        <w:rPr>
          <w:rFonts w:ascii="Times New Roman" w:eastAsia="Times New Roman" w:hAnsi="Times New Roman"/>
          <w:sz w:val="24"/>
          <w:szCs w:val="24"/>
        </w:rPr>
        <w:t xml:space="preserve"> Court of Appeals remands case since </w:t>
      </w:r>
      <w:r>
        <w:rPr>
          <w:rFonts w:ascii="Times New Roman" w:hAnsi="Times New Roman"/>
          <w:sz w:val="24"/>
          <w:szCs w:val="24"/>
        </w:rPr>
        <w:t xml:space="preserve">the Fire District in its motion for summary judgment on basis of governmental immunity failed to attach current certificates of the paramedics and failed to attach the protocols for transporting patients to a trauma center.  </w:t>
      </w:r>
    </w:p>
    <w:p w14:paraId="523977BB" w14:textId="2ED88573" w:rsidR="00FF5FCF" w:rsidRDefault="00FF5FCF" w:rsidP="00FF5FCF">
      <w:pPr>
        <w:ind w:left="720"/>
        <w:rPr>
          <w:rFonts w:ascii="Arial Black" w:hAnsi="Arial Black"/>
          <w:b/>
          <w:bCs/>
          <w:sz w:val="28"/>
          <w:szCs w:val="28"/>
        </w:rPr>
      </w:pPr>
      <w:r>
        <w:rPr>
          <w:rFonts w:ascii="Times New Roman" w:hAnsi="Times New Roman"/>
          <w:sz w:val="24"/>
          <w:szCs w:val="24"/>
        </w:rPr>
        <w:t>“</w:t>
      </w:r>
      <w:r w:rsidRPr="00A03153">
        <w:rPr>
          <w:rFonts w:ascii="Times New Roman" w:hAnsi="Times New Roman"/>
          <w:sz w:val="24"/>
          <w:szCs w:val="24"/>
        </w:rPr>
        <w:t xml:space="preserve">Because we have found that the </w:t>
      </w:r>
      <w:r>
        <w:rPr>
          <w:rFonts w:ascii="Times New Roman" w:hAnsi="Times New Roman"/>
          <w:sz w:val="24"/>
          <w:szCs w:val="24"/>
        </w:rPr>
        <w:t xml:space="preserve">[Fire Protection] </w:t>
      </w:r>
      <w:r w:rsidRPr="00A03153">
        <w:rPr>
          <w:rFonts w:ascii="Times New Roman" w:hAnsi="Times New Roman"/>
          <w:sz w:val="24"/>
          <w:szCs w:val="24"/>
        </w:rPr>
        <w:t>District failed to establish that Lunn and Becerril were duly licensed or certified or that they acted in accordance with protocols adopted and promulgated by LERN [Louisiana Emergency Response Network]</w:t>
      </w:r>
      <w:r>
        <w:t xml:space="preserve"> </w:t>
      </w:r>
      <w:r w:rsidRPr="00A03153">
        <w:rPr>
          <w:rFonts w:ascii="Times New Roman" w:hAnsi="Times New Roman"/>
          <w:sz w:val="24"/>
          <w:szCs w:val="24"/>
        </w:rPr>
        <w:t>for the transport of trauma and time-sensitive ill patients, we likewise find that the District has failed to meet its burden in establishing that it is entitled to immunity pursuant to La. R.S. 9:2798.5.</w:t>
      </w:r>
      <w:r>
        <w:rPr>
          <w:rFonts w:ascii="Times New Roman" w:hAnsi="Times New Roman"/>
          <w:sz w:val="24"/>
          <w:szCs w:val="24"/>
        </w:rPr>
        <w:t xml:space="preserve">” </w:t>
      </w:r>
      <w:hyperlink r:id="rId2156" w:history="1">
        <w:r w:rsidRPr="00EC5853">
          <w:rPr>
            <w:rStyle w:val="Hyperlink"/>
            <w:rFonts w:ascii="Times New Roman" w:hAnsi="Times New Roman"/>
            <w:sz w:val="24"/>
            <w:szCs w:val="24"/>
          </w:rPr>
          <w:t>https://www.courtlistener.com/opinion/5313531/gauis-horton-individually-and-on-behalf-of-mary-horton-v-st-tammany-fire/</w:t>
        </w:r>
      </w:hyperlink>
    </w:p>
    <w:p w14:paraId="24185DAB" w14:textId="77777777" w:rsidR="00FF5FCF" w:rsidRPr="00EF39AB" w:rsidRDefault="00FF5FCF" w:rsidP="00FF5FCF">
      <w:pPr>
        <w:tabs>
          <w:tab w:val="left" w:pos="2760"/>
        </w:tabs>
        <w:spacing w:before="100" w:beforeAutospacing="1" w:after="100" w:afterAutospacing="1" w:line="240" w:lineRule="auto"/>
        <w:rPr>
          <w:rFonts w:ascii="Times New Roman" w:hAnsi="Times New Roman"/>
          <w:b/>
          <w:bCs/>
          <w:sz w:val="24"/>
          <w:szCs w:val="24"/>
        </w:rPr>
      </w:pPr>
      <w:r w:rsidRPr="00EF39AB">
        <w:rPr>
          <w:rFonts w:ascii="Times New Roman" w:hAnsi="Times New Roman"/>
          <w:b/>
          <w:bCs/>
          <w:sz w:val="24"/>
          <w:szCs w:val="24"/>
        </w:rPr>
        <w:t xml:space="preserve">Legal Lesson Learned: Follow your trauma protocols and submit copies of the protocols and EMS current licenses when filing motion for summary judgment.  </w:t>
      </w:r>
    </w:p>
    <w:p w14:paraId="21B9EB4F" w14:textId="77777777" w:rsidR="00FF5FCF" w:rsidRDefault="00FF5FCF" w:rsidP="002B1283">
      <w:pPr>
        <w:rPr>
          <w:rFonts w:ascii="Arial Black" w:hAnsi="Arial Black"/>
          <w:b/>
          <w:bCs/>
          <w:sz w:val="28"/>
          <w:szCs w:val="28"/>
        </w:rPr>
      </w:pPr>
    </w:p>
    <w:p w14:paraId="76FAAE70" w14:textId="689470D8" w:rsidR="00001D9A" w:rsidRDefault="00001D9A" w:rsidP="002B1283">
      <w:pPr>
        <w:rPr>
          <w:rFonts w:ascii="Arial Black" w:hAnsi="Arial Black"/>
          <w:b/>
          <w:bCs/>
          <w:sz w:val="28"/>
          <w:szCs w:val="28"/>
        </w:rPr>
      </w:pPr>
      <w:r>
        <w:rPr>
          <w:rFonts w:ascii="Arial Black" w:hAnsi="Arial Black"/>
          <w:b/>
          <w:bCs/>
          <w:sz w:val="28"/>
          <w:szCs w:val="28"/>
        </w:rPr>
        <w:t>13-101</w:t>
      </w:r>
    </w:p>
    <w:p w14:paraId="69E664CA" w14:textId="77777777" w:rsidR="00001D9A" w:rsidRPr="00C914C9" w:rsidRDefault="00001D9A" w:rsidP="00001D9A">
      <w:pPr>
        <w:spacing w:before="100" w:beforeAutospacing="1" w:after="100" w:afterAutospacing="1" w:line="240" w:lineRule="auto"/>
        <w:rPr>
          <w:rFonts w:ascii="Times New Roman" w:eastAsia="Times New Roman" w:hAnsi="Times New Roman"/>
          <w:sz w:val="24"/>
          <w:szCs w:val="24"/>
        </w:rPr>
      </w:pPr>
      <w:r>
        <w:rPr>
          <w:rFonts w:ascii="Arial Black" w:eastAsia="Times New Roman" w:hAnsi="Arial Black"/>
          <w:sz w:val="28"/>
          <w:szCs w:val="28"/>
        </w:rPr>
        <w:t>IL: COVID - FF INJUNCTION DENIED – VACCINATION OR WEEKLY NEG TEST - “NATURAL IMMUNITY” NOT ENOUGH</w:t>
      </w:r>
    </w:p>
    <w:p w14:paraId="46B58C8C" w14:textId="77777777" w:rsidR="00001D9A" w:rsidRDefault="00001D9A" w:rsidP="00001D9A">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Dec. 19, 2021, in </w:t>
      </w:r>
      <w:r w:rsidRPr="0000416A">
        <w:rPr>
          <w:rFonts w:ascii="Times New Roman" w:eastAsia="Times New Roman" w:hAnsi="Times New Roman"/>
          <w:sz w:val="24"/>
          <w:szCs w:val="24"/>
          <w:u w:val="single"/>
        </w:rPr>
        <w:t>John Halgren, et al. v. City of Naperville, et al</w:t>
      </w:r>
      <w:r>
        <w:rPr>
          <w:rFonts w:ascii="Times New Roman" w:eastAsia="Times New Roman" w:hAnsi="Times New Roman"/>
          <w:sz w:val="24"/>
          <w:szCs w:val="24"/>
        </w:rPr>
        <w:t xml:space="preserve">., U.S. District Court Judge </w:t>
      </w:r>
      <w:r w:rsidRPr="0073027C">
        <w:rPr>
          <w:rFonts w:ascii="Times New Roman" w:hAnsi="Times New Roman"/>
          <w:sz w:val="24"/>
          <w:szCs w:val="24"/>
        </w:rPr>
        <w:t>John Robert Blakey</w:t>
      </w:r>
      <w:r>
        <w:rPr>
          <w:rFonts w:ascii="Times New Roman" w:hAnsi="Times New Roman"/>
          <w:sz w:val="24"/>
          <w:szCs w:val="24"/>
        </w:rPr>
        <w:t xml:space="preserve"> denied the six Naperville Fire Department firefighters’ motion for preliminary injunction to bar </w:t>
      </w:r>
      <w:r>
        <w:rPr>
          <w:rFonts w:ascii="Times New Roman" w:hAnsi="Times New Roman"/>
          <w:sz w:val="24"/>
          <w:szCs w:val="24"/>
        </w:rPr>
        <w:lastRenderedPageBreak/>
        <w:t xml:space="preserve">enforcement of the State and City mandate, including those firefighters claiming “natural immunity” from a prior infection and recovery. </w:t>
      </w:r>
    </w:p>
    <w:p w14:paraId="6540E32D" w14:textId="3DDDB7AB" w:rsidR="00001D9A" w:rsidRDefault="00001D9A" w:rsidP="00001D9A">
      <w:pPr>
        <w:ind w:left="720"/>
        <w:rPr>
          <w:rFonts w:ascii="Arial Black" w:hAnsi="Arial Black"/>
          <w:b/>
          <w:bCs/>
          <w:sz w:val="28"/>
          <w:szCs w:val="28"/>
        </w:rPr>
      </w:pPr>
      <w:r w:rsidRPr="00E43604">
        <w:rPr>
          <w:rFonts w:ascii="Times New Roman" w:hAnsi="Times New Roman"/>
          <w:sz w:val="24"/>
          <w:szCs w:val="24"/>
        </w:rPr>
        <w:t xml:space="preserve">“Given the preliminary factual record, however, Plaintiffs have failed to show that the statements made by the Governor constitute sufficient evidence of animus and thus, absent more facts, traditional rational basis review governs their equal protection challenge. Cf. </w:t>
      </w:r>
      <w:proofErr w:type="spellStart"/>
      <w:r w:rsidRPr="00E43604">
        <w:rPr>
          <w:rFonts w:ascii="Times New Roman" w:hAnsi="Times New Roman"/>
          <w:sz w:val="24"/>
          <w:szCs w:val="24"/>
        </w:rPr>
        <w:t>Dr.A</w:t>
      </w:r>
      <w:proofErr w:type="spellEnd"/>
      <w:r w:rsidRPr="00E43604">
        <w:rPr>
          <w:rFonts w:ascii="Times New Roman" w:hAnsi="Times New Roman"/>
          <w:sz w:val="24"/>
          <w:szCs w:val="24"/>
        </w:rPr>
        <w:t xml:space="preserve"> v. Hochul, No. 21A145, --- </w:t>
      </w:r>
      <w:proofErr w:type="spellStart"/>
      <w:r w:rsidRPr="00E43604">
        <w:rPr>
          <w:rFonts w:ascii="Times New Roman" w:hAnsi="Times New Roman"/>
          <w:sz w:val="24"/>
          <w:szCs w:val="24"/>
        </w:rPr>
        <w:t>S.Ct</w:t>
      </w:r>
      <w:proofErr w:type="spellEnd"/>
      <w:r w:rsidRPr="00E43604">
        <w:rPr>
          <w:rFonts w:ascii="Times New Roman" w:hAnsi="Times New Roman"/>
          <w:sz w:val="24"/>
          <w:szCs w:val="24"/>
        </w:rPr>
        <w:t xml:space="preserve">. ----, 2021 WL 5873126, at *3 (U.S. Dec. 13, 2021) (Gorsuch, J. and Alito, J., dissenting) (discussing overt proof of a vaccine mandate's ‘animus’ as to those seeking religious exemptions under the first amendment)…. Under the rational basis test and factual record presented, Plaintiffs have also failed to show that the mandate's differential treatment of the vaccinated and unvaccinated violates equal protection. As explained during this Court's substantive due process analysis, a ‘conceivable’ rational basis supports the mandate's vaccine and testing provisions, as to persons with or without natural immunity.” </w:t>
      </w:r>
      <w:hyperlink r:id="rId2157" w:history="1">
        <w:r w:rsidRPr="00EC5853">
          <w:rPr>
            <w:rStyle w:val="Hyperlink"/>
            <w:rFonts w:ascii="Times New Roman" w:hAnsi="Times New Roman"/>
            <w:sz w:val="24"/>
            <w:szCs w:val="24"/>
          </w:rPr>
          <w:t>https://law.justia.com/cases/federal/district-courts/illinois/ilndce/1:2021cv05039/407354/52/</w:t>
        </w:r>
      </w:hyperlink>
    </w:p>
    <w:p w14:paraId="34FA0B1A" w14:textId="77777777" w:rsidR="00FF5FCF" w:rsidRPr="00E43604" w:rsidRDefault="00FF5FCF" w:rsidP="00FF5FCF">
      <w:pPr>
        <w:rPr>
          <w:rFonts w:ascii="Times New Roman" w:hAnsi="Times New Roman"/>
          <w:b/>
          <w:bCs/>
          <w:sz w:val="24"/>
          <w:szCs w:val="24"/>
        </w:rPr>
      </w:pPr>
      <w:r w:rsidRPr="00E43604">
        <w:rPr>
          <w:rFonts w:ascii="Times New Roman" w:hAnsi="Times New Roman"/>
          <w:b/>
          <w:bCs/>
          <w:sz w:val="24"/>
          <w:szCs w:val="24"/>
        </w:rPr>
        <w:t>Legal Lesson Learned:  Several Federal courts have denied injunction against vaccination requirement for Fire &amp; EMS and other health care workers.</w:t>
      </w:r>
    </w:p>
    <w:p w14:paraId="7788AA6D" w14:textId="77777777" w:rsidR="00FF5FCF" w:rsidRPr="00E43604" w:rsidRDefault="00FF5FCF" w:rsidP="00FF5FCF">
      <w:pPr>
        <w:ind w:left="720"/>
        <w:rPr>
          <w:rStyle w:val="markedcontent"/>
          <w:rFonts w:ascii="Times New Roman" w:hAnsi="Times New Roman"/>
          <w:sz w:val="24"/>
          <w:szCs w:val="24"/>
        </w:rPr>
      </w:pPr>
      <w:r w:rsidRPr="00E43604">
        <w:rPr>
          <w:rFonts w:ascii="Times New Roman" w:hAnsi="Times New Roman"/>
          <w:sz w:val="24"/>
          <w:szCs w:val="24"/>
        </w:rPr>
        <w:t xml:space="preserve">Note: </w:t>
      </w:r>
      <w:r w:rsidRPr="00E43604">
        <w:rPr>
          <w:rFonts w:ascii="Times New Roman" w:hAnsi="Times New Roman"/>
          <w:b/>
          <w:bCs/>
          <w:sz w:val="24"/>
          <w:szCs w:val="24"/>
        </w:rPr>
        <w:t xml:space="preserve">  </w:t>
      </w:r>
      <w:r w:rsidRPr="00E43604">
        <w:rPr>
          <w:rStyle w:val="markedcontent"/>
          <w:rFonts w:ascii="Times New Roman" w:hAnsi="Times New Roman"/>
          <w:sz w:val="24"/>
          <w:szCs w:val="24"/>
        </w:rPr>
        <w:t xml:space="preserve">On Jan. 7, 2021, the U.S. Supreme Court will hear oral arguments on the vaccination and mask requirements for both large employers, and for health care workers. </w:t>
      </w:r>
      <w:hyperlink r:id="rId2158" w:history="1">
        <w:r w:rsidRPr="004065C6">
          <w:rPr>
            <w:rStyle w:val="Hyperlink"/>
            <w:rFonts w:ascii="Times New Roman" w:hAnsi="Times New Roman"/>
            <w:sz w:val="24"/>
            <w:szCs w:val="24"/>
          </w:rPr>
          <w:t>https://www.nbcnews.com/news/us-news/u-s-supreme-court-hear-challenges-biden-s-vaccine-mandates-n1286536</w:t>
        </w:r>
      </w:hyperlink>
      <w:r>
        <w:rPr>
          <w:rStyle w:val="markedcontent"/>
          <w:rFonts w:ascii="Times New Roman" w:hAnsi="Times New Roman"/>
          <w:sz w:val="24"/>
          <w:szCs w:val="24"/>
        </w:rPr>
        <w:t xml:space="preserve"> </w:t>
      </w:r>
    </w:p>
    <w:p w14:paraId="50FF0A76" w14:textId="77777777" w:rsidR="00FF5FCF" w:rsidRPr="00E43604" w:rsidRDefault="00FF5FCF" w:rsidP="00FF5FCF">
      <w:pPr>
        <w:ind w:left="720"/>
        <w:rPr>
          <w:rStyle w:val="markedcontent"/>
          <w:rFonts w:ascii="Times New Roman" w:hAnsi="Times New Roman"/>
          <w:sz w:val="24"/>
          <w:szCs w:val="24"/>
        </w:rPr>
      </w:pPr>
      <w:r w:rsidRPr="00E43604">
        <w:rPr>
          <w:rStyle w:val="markedcontent"/>
          <w:rFonts w:ascii="Times New Roman" w:hAnsi="Times New Roman"/>
          <w:sz w:val="24"/>
          <w:szCs w:val="24"/>
        </w:rPr>
        <w:t xml:space="preserve">On Dec 30, 2021, U.S. District Court Judge in Indianapolis denied a preliminary injunction for a physician at Children’s Hospital. </w:t>
      </w:r>
    </w:p>
    <w:p w14:paraId="63413C3D" w14:textId="77777777" w:rsidR="00FF5FCF" w:rsidRPr="00E43604" w:rsidRDefault="00FF5FCF" w:rsidP="00FF5FCF">
      <w:pPr>
        <w:ind w:left="1440"/>
        <w:rPr>
          <w:rFonts w:ascii="Times New Roman" w:hAnsi="Times New Roman"/>
          <w:sz w:val="24"/>
          <w:szCs w:val="24"/>
        </w:rPr>
      </w:pPr>
      <w:r w:rsidRPr="00E43604">
        <w:rPr>
          <w:rFonts w:ascii="Times New Roman" w:hAnsi="Times New Roman"/>
          <w:sz w:val="24"/>
          <w:szCs w:val="24"/>
        </w:rPr>
        <w:t xml:space="preserve">“Under the totality of the circumstances, Dr. </w:t>
      </w:r>
      <w:proofErr w:type="spellStart"/>
      <w:r w:rsidRPr="00E43604">
        <w:rPr>
          <w:rFonts w:ascii="Times New Roman" w:hAnsi="Times New Roman"/>
          <w:sz w:val="24"/>
          <w:szCs w:val="24"/>
        </w:rPr>
        <w:t>Halczenko</w:t>
      </w:r>
      <w:proofErr w:type="spellEnd"/>
      <w:r w:rsidRPr="00E43604">
        <w:rPr>
          <w:rFonts w:ascii="Times New Roman" w:hAnsi="Times New Roman"/>
          <w:sz w:val="24"/>
          <w:szCs w:val="24"/>
        </w:rPr>
        <w:t xml:space="preserve"> has failed to make a ‘substantial showing’ of irreparable injury and insufficiency of remedies that would justify the extraordinary relief he seeks pending the outcome of this litigation-that is, reversing Ascension's decision to deny his exemption request and reinstating him to his position in the Pediatric Intensive Care Unit.” </w:t>
      </w:r>
      <w:hyperlink r:id="rId2159" w:history="1">
        <w:r w:rsidRPr="00EC5853">
          <w:rPr>
            <w:rStyle w:val="Hyperlink"/>
            <w:rFonts w:ascii="Times New Roman" w:hAnsi="Times New Roman"/>
            <w:sz w:val="24"/>
            <w:szCs w:val="24"/>
          </w:rPr>
          <w:t>https://public.fastcase.com/9SKwsfNqTc6OieYDhNMyMwDUrDTC81ScbwpTIsrYww9AFfazNo%2F2HwY6ziqtDhg0Y4a0WNWhiQuswT892BHbSQq1RuZX52VcSFrolfmFpsM%3D</w:t>
        </w:r>
      </w:hyperlink>
      <w:r>
        <w:rPr>
          <w:rFonts w:ascii="Times New Roman" w:hAnsi="Times New Roman"/>
          <w:sz w:val="24"/>
          <w:szCs w:val="24"/>
        </w:rPr>
        <w:t xml:space="preserve"> </w:t>
      </w:r>
    </w:p>
    <w:p w14:paraId="58B0D52A" w14:textId="77777777" w:rsidR="00FF5FCF" w:rsidRPr="00E43604" w:rsidRDefault="00FF5FCF" w:rsidP="00FF5FCF">
      <w:pPr>
        <w:ind w:left="720"/>
        <w:rPr>
          <w:rFonts w:ascii="Times New Roman" w:hAnsi="Times New Roman"/>
          <w:sz w:val="24"/>
          <w:szCs w:val="24"/>
        </w:rPr>
      </w:pPr>
      <w:r w:rsidRPr="00E43604">
        <w:rPr>
          <w:rFonts w:ascii="Times New Roman" w:hAnsi="Times New Roman"/>
          <w:sz w:val="24"/>
          <w:szCs w:val="24"/>
        </w:rPr>
        <w:t>On Dec. 17, 2021, the U.S. Court of Appeals for the 6</w:t>
      </w:r>
      <w:r w:rsidRPr="00E43604">
        <w:rPr>
          <w:rFonts w:ascii="Times New Roman" w:hAnsi="Times New Roman"/>
          <w:sz w:val="24"/>
          <w:szCs w:val="24"/>
          <w:vertAlign w:val="superscript"/>
        </w:rPr>
        <w:t>th</w:t>
      </w:r>
      <w:r w:rsidRPr="00E43604">
        <w:rPr>
          <w:rFonts w:ascii="Times New Roman" w:hAnsi="Times New Roman"/>
          <w:sz w:val="24"/>
          <w:szCs w:val="24"/>
        </w:rPr>
        <w:t xml:space="preserve"> Circuit (Cincinnati) upheld (3 to 0) the OSHA mandate for private employers with 100 or more employees. </w:t>
      </w:r>
    </w:p>
    <w:p w14:paraId="12EE8068" w14:textId="77777777" w:rsidR="00FF5FCF" w:rsidRPr="00E43604" w:rsidRDefault="00FF5FCF" w:rsidP="00FF5FCF">
      <w:pPr>
        <w:ind w:left="1440"/>
        <w:rPr>
          <w:rStyle w:val="markedcontent"/>
          <w:rFonts w:ascii="Times New Roman" w:hAnsi="Times New Roman"/>
          <w:sz w:val="24"/>
          <w:szCs w:val="24"/>
        </w:rPr>
      </w:pPr>
      <w:r w:rsidRPr="00E43604">
        <w:rPr>
          <w:rFonts w:ascii="Times New Roman" w:hAnsi="Times New Roman"/>
          <w:sz w:val="24"/>
          <w:szCs w:val="24"/>
        </w:rPr>
        <w:t>“</w:t>
      </w:r>
      <w:r w:rsidRPr="00E43604">
        <w:rPr>
          <w:rStyle w:val="markedcontent"/>
          <w:rFonts w:ascii="Times New Roman" w:hAnsi="Times New Roman"/>
          <w:sz w:val="24"/>
          <w:szCs w:val="24"/>
        </w:rPr>
        <w:t xml:space="preserve">Employers have the option to require unvaccinated workers to wear a mask on the job and test for COVID-19 weekly. *** Consistent with other OSHA standard penalties, employers who fail to follow the standard may be fined penalties up to $13,653 for each violation and up to $136,532 for each willful violation.” </w:t>
      </w:r>
      <w:hyperlink r:id="rId2160" w:history="1">
        <w:r w:rsidRPr="00EC5853">
          <w:rPr>
            <w:rStyle w:val="Hyperlink"/>
            <w:rFonts w:ascii="Times New Roman" w:hAnsi="Times New Roman"/>
            <w:sz w:val="24"/>
            <w:szCs w:val="24"/>
          </w:rPr>
          <w:t>https://www.opn.ca6.uscourts.gov/opinions.pdf/21a0287p-06.pdf</w:t>
        </w:r>
      </w:hyperlink>
      <w:r>
        <w:rPr>
          <w:rStyle w:val="markedcontent"/>
          <w:rFonts w:ascii="Times New Roman" w:hAnsi="Times New Roman"/>
          <w:sz w:val="24"/>
          <w:szCs w:val="24"/>
        </w:rPr>
        <w:t xml:space="preserve"> </w:t>
      </w:r>
    </w:p>
    <w:p w14:paraId="62C0C895" w14:textId="77777777" w:rsidR="00FF5FCF" w:rsidRPr="00E43604" w:rsidRDefault="00FF5FCF" w:rsidP="00FF5FCF">
      <w:pPr>
        <w:ind w:left="720"/>
        <w:rPr>
          <w:rStyle w:val="markedcontent"/>
          <w:rFonts w:ascii="Times New Roman" w:hAnsi="Times New Roman"/>
          <w:sz w:val="24"/>
          <w:szCs w:val="24"/>
        </w:rPr>
      </w:pPr>
      <w:r w:rsidRPr="00E43604">
        <w:rPr>
          <w:rStyle w:val="markedcontent"/>
          <w:rFonts w:ascii="Times New Roman" w:hAnsi="Times New Roman"/>
          <w:sz w:val="24"/>
          <w:szCs w:val="24"/>
        </w:rPr>
        <w:t xml:space="preserve">On Dec. 13, 2021, the U.S. Supreme Court majority denied an injunction for New York health care workers.  Justice Gorsuch and Justice Alito dissented about lack of an exemption based on sincere religious beliefs. </w:t>
      </w:r>
      <w:hyperlink r:id="rId2161" w:history="1">
        <w:r w:rsidRPr="00EC5853">
          <w:rPr>
            <w:rStyle w:val="Hyperlink"/>
            <w:rFonts w:ascii="Times New Roman" w:hAnsi="Times New Roman"/>
            <w:sz w:val="24"/>
            <w:szCs w:val="24"/>
          </w:rPr>
          <w:t>https://www.supremecourt.gov/opinions/21pdf/21a145_gfbi.pdf</w:t>
        </w:r>
      </w:hyperlink>
      <w:r>
        <w:rPr>
          <w:rStyle w:val="markedcontent"/>
          <w:rFonts w:ascii="Times New Roman" w:hAnsi="Times New Roman"/>
          <w:sz w:val="24"/>
          <w:szCs w:val="24"/>
        </w:rPr>
        <w:t xml:space="preserve"> </w:t>
      </w:r>
    </w:p>
    <w:p w14:paraId="18DBDBD1" w14:textId="77777777" w:rsidR="00FF5FCF" w:rsidRPr="00E43604" w:rsidRDefault="00FF5FCF" w:rsidP="00FF5FCF">
      <w:pPr>
        <w:ind w:left="1440"/>
        <w:rPr>
          <w:rStyle w:val="markedcontent"/>
          <w:rFonts w:ascii="Times New Roman" w:hAnsi="Times New Roman"/>
          <w:sz w:val="24"/>
          <w:szCs w:val="24"/>
        </w:rPr>
      </w:pPr>
      <w:r w:rsidRPr="00E43604">
        <w:rPr>
          <w:rStyle w:val="markedcontent"/>
          <w:rFonts w:ascii="Times New Roman" w:hAnsi="Times New Roman"/>
          <w:sz w:val="24"/>
          <w:szCs w:val="24"/>
        </w:rPr>
        <w:t xml:space="preserve">“New York recently issued a regulation requiring healthcare workers to receive a COVID–19 vaccine. Those who cite medical reasons are exempt. But no comparable exemption exists for </w:t>
      </w:r>
      <w:r w:rsidRPr="00E43604">
        <w:rPr>
          <w:rStyle w:val="markedcontent"/>
          <w:rFonts w:ascii="Times New Roman" w:hAnsi="Times New Roman"/>
          <w:sz w:val="24"/>
          <w:szCs w:val="24"/>
        </w:rPr>
        <w:lastRenderedPageBreak/>
        <w:t>individuals whose sincere religious beliefs prevent them from taking one of the currently available vaccines. It seems New York is one of just three States to have a scheme like this.”</w:t>
      </w:r>
    </w:p>
    <w:p w14:paraId="54AA55BA" w14:textId="0A02F18E" w:rsidR="00001D9A" w:rsidRDefault="00001D9A" w:rsidP="002B1283">
      <w:pPr>
        <w:rPr>
          <w:rFonts w:ascii="Arial Black" w:hAnsi="Arial Black"/>
          <w:b/>
          <w:bCs/>
          <w:sz w:val="28"/>
          <w:szCs w:val="28"/>
        </w:rPr>
      </w:pPr>
      <w:r>
        <w:rPr>
          <w:rFonts w:ascii="Arial Black" w:hAnsi="Arial Black"/>
          <w:b/>
          <w:bCs/>
          <w:sz w:val="28"/>
          <w:szCs w:val="28"/>
        </w:rPr>
        <w:t>13-100</w:t>
      </w:r>
    </w:p>
    <w:p w14:paraId="6D80E8B1" w14:textId="77777777" w:rsidR="00001D9A" w:rsidRDefault="00001D9A" w:rsidP="00001D9A">
      <w:pPr>
        <w:rPr>
          <w:rFonts w:ascii="Arial Black" w:hAnsi="Arial Black"/>
          <w:b/>
          <w:bCs/>
          <w:sz w:val="28"/>
          <w:szCs w:val="28"/>
        </w:rPr>
      </w:pPr>
      <w:r>
        <w:rPr>
          <w:rFonts w:ascii="Arial Black" w:hAnsi="Arial Black"/>
          <w:b/>
          <w:bCs/>
          <w:sz w:val="28"/>
          <w:szCs w:val="28"/>
        </w:rPr>
        <w:t xml:space="preserve">NM:  BLOOD DRAW – EMTs MAY DRAW IF EMPLOYED AT HOSPITAL &amp; TRAINED – NO REQ. BE “LAB TECHNICIAN” </w:t>
      </w:r>
    </w:p>
    <w:p w14:paraId="056BB3E8" w14:textId="77777777" w:rsidR="00001D9A" w:rsidRPr="002F595B" w:rsidRDefault="00001D9A" w:rsidP="00001D9A">
      <w:pPr>
        <w:rPr>
          <w:rFonts w:ascii="Times New Roman" w:hAnsi="Times New Roman"/>
          <w:sz w:val="24"/>
          <w:szCs w:val="24"/>
        </w:rPr>
      </w:pPr>
      <w:r w:rsidRPr="002F595B">
        <w:rPr>
          <w:rFonts w:ascii="Times New Roman" w:hAnsi="Times New Roman"/>
          <w:sz w:val="24"/>
          <w:szCs w:val="24"/>
        </w:rPr>
        <w:t xml:space="preserve">On Dec. 16, 2021, in </w:t>
      </w:r>
      <w:r w:rsidRPr="002F595B">
        <w:rPr>
          <w:rFonts w:ascii="Times New Roman" w:hAnsi="Times New Roman"/>
          <w:sz w:val="24"/>
          <w:szCs w:val="24"/>
          <w:u w:val="single"/>
        </w:rPr>
        <w:t>State of New Mexico v. Brian Adams</w:t>
      </w:r>
      <w:r w:rsidRPr="002F595B">
        <w:rPr>
          <w:rFonts w:ascii="Times New Roman" w:hAnsi="Times New Roman"/>
          <w:sz w:val="24"/>
          <w:szCs w:val="24"/>
        </w:rPr>
        <w:t xml:space="preserve">, the Supreme Court of New Mexico held (4 to 0) that EMTs may conduct blood draws, resolving 6 pending case appeals, but clarifying that the EMT “must be employed by a hospital or physician to perform blood draws, trained to perform legal blood draws, and have on-the-job experience in doing so.” </w:t>
      </w:r>
    </w:p>
    <w:p w14:paraId="0FE18A73" w14:textId="77777777" w:rsidR="00001D9A" w:rsidRPr="002F595B" w:rsidRDefault="00001D9A" w:rsidP="00001D9A">
      <w:pPr>
        <w:ind w:left="720"/>
        <w:rPr>
          <w:rFonts w:ascii="Times New Roman" w:hAnsi="Times New Roman"/>
          <w:sz w:val="24"/>
          <w:szCs w:val="24"/>
        </w:rPr>
      </w:pPr>
      <w:r w:rsidRPr="002F595B">
        <w:rPr>
          <w:rFonts w:ascii="Times New Roman" w:hAnsi="Times New Roman"/>
          <w:sz w:val="24"/>
          <w:szCs w:val="24"/>
        </w:rPr>
        <w:t xml:space="preserve"> “This case is one of six cases arising under very similar fact patterns. In each case, an ‘emergency department technician,’ also licensed as an emergency medical technician (EMT), performed a blood draw test at San Juan Regional Medical Center in Farmington for the purpose of a DWI investigation. The defendants in these cases argue that ‘emergency department </w:t>
      </w:r>
      <w:proofErr w:type="gramStart"/>
      <w:r w:rsidRPr="002F595B">
        <w:rPr>
          <w:rFonts w:ascii="Times New Roman" w:hAnsi="Times New Roman"/>
          <w:sz w:val="24"/>
          <w:szCs w:val="24"/>
        </w:rPr>
        <w:t>technicians’</w:t>
      </w:r>
      <w:proofErr w:type="gramEnd"/>
      <w:r w:rsidRPr="002F595B">
        <w:rPr>
          <w:rFonts w:ascii="Times New Roman" w:hAnsi="Times New Roman"/>
          <w:sz w:val="24"/>
          <w:szCs w:val="24"/>
        </w:rPr>
        <w:t xml:space="preserve"> are not qualified to draw blood under the Implied Consent Act, NMSA 1978, §§ </w:t>
      </w:r>
      <w:hyperlink r:id="rId2162" w:anchor="!b/66-8-105" w:tgtFrame="_parent" w:history="1">
        <w:r w:rsidRPr="002F595B">
          <w:rPr>
            <w:rFonts w:ascii="Times New Roman" w:hAnsi="Times New Roman"/>
            <w:sz w:val="24"/>
            <w:szCs w:val="24"/>
          </w:rPr>
          <w:t>66-8-105</w:t>
        </w:r>
      </w:hyperlink>
      <w:r w:rsidRPr="002F595B">
        <w:rPr>
          <w:rFonts w:ascii="Times New Roman" w:hAnsi="Times New Roman"/>
          <w:sz w:val="24"/>
          <w:szCs w:val="24"/>
        </w:rPr>
        <w:t xml:space="preserve"> to -112 (1978, as amended through 2019). Thus, this case presents an issue of statutory construction. Specifically, whether an emergency department technician, licensed as an EMT, with training and experience in drawing blood is authorized to perform legal blood draw tests as a ‘laboratory technician’ under NMSA 1978, Section </w:t>
      </w:r>
      <w:hyperlink r:id="rId2163" w:anchor="!b/66-8-103" w:tgtFrame="_parent" w:history="1">
        <w:r w:rsidRPr="002F595B">
          <w:rPr>
            <w:rFonts w:ascii="Times New Roman" w:hAnsi="Times New Roman"/>
            <w:sz w:val="24"/>
            <w:szCs w:val="24"/>
          </w:rPr>
          <w:t>66-8-103</w:t>
        </w:r>
      </w:hyperlink>
      <w:r w:rsidRPr="002F595B">
        <w:rPr>
          <w:rFonts w:ascii="Times New Roman" w:hAnsi="Times New Roman"/>
          <w:sz w:val="24"/>
          <w:szCs w:val="24"/>
        </w:rPr>
        <w:t xml:space="preserve"> (1978), which states, ‘[o]</w:t>
      </w:r>
      <w:proofErr w:type="spellStart"/>
      <w:r w:rsidRPr="002F595B">
        <w:rPr>
          <w:rFonts w:ascii="Times New Roman" w:hAnsi="Times New Roman"/>
          <w:sz w:val="24"/>
          <w:szCs w:val="24"/>
        </w:rPr>
        <w:t>nly</w:t>
      </w:r>
      <w:proofErr w:type="spellEnd"/>
      <w:r w:rsidRPr="002F595B">
        <w:rPr>
          <w:rFonts w:ascii="Times New Roman" w:hAnsi="Times New Roman"/>
          <w:sz w:val="24"/>
          <w:szCs w:val="24"/>
        </w:rPr>
        <w:t xml:space="preserve"> a physician, licensed professional or practical nurse or laboratory technician or technologist employed by a hospital or physician shall withdraw blood from any person in the performance of a blood-alcohol test.’ As explained herein, we conclude that such medical professionals are qualified to draw blood under the statute so long as they were employed to do so by a hospital or physician and have adequate training and experience.” </w:t>
      </w:r>
      <w:hyperlink r:id="rId2164" w:history="1">
        <w:r w:rsidRPr="00EC5853">
          <w:rPr>
            <w:rStyle w:val="Hyperlink"/>
            <w:rFonts w:ascii="Times New Roman" w:hAnsi="Times New Roman"/>
            <w:sz w:val="24"/>
            <w:szCs w:val="24"/>
          </w:rPr>
          <w:t>https://nmonesource.com/nmos/nmsc/en/item/517877/index.do</w:t>
        </w:r>
      </w:hyperlink>
      <w:r>
        <w:rPr>
          <w:rFonts w:ascii="Times New Roman" w:hAnsi="Times New Roman"/>
          <w:sz w:val="24"/>
          <w:szCs w:val="24"/>
        </w:rPr>
        <w:t xml:space="preserve"> </w:t>
      </w:r>
    </w:p>
    <w:p w14:paraId="644A9EAD" w14:textId="77777777" w:rsidR="00001D9A" w:rsidRPr="002F595B" w:rsidRDefault="00001D9A" w:rsidP="00001D9A">
      <w:pPr>
        <w:rPr>
          <w:rFonts w:ascii="Times New Roman" w:hAnsi="Times New Roman"/>
          <w:b/>
          <w:bCs/>
          <w:sz w:val="24"/>
          <w:szCs w:val="24"/>
        </w:rPr>
      </w:pPr>
      <w:r w:rsidRPr="002F595B">
        <w:rPr>
          <w:rFonts w:ascii="Times New Roman" w:hAnsi="Times New Roman"/>
          <w:b/>
          <w:bCs/>
          <w:sz w:val="24"/>
          <w:szCs w:val="24"/>
        </w:rPr>
        <w:t xml:space="preserve">Legal Lesson Learned: EMTs not employed at a hospital or medical office cannot draw blood for police. </w:t>
      </w:r>
    </w:p>
    <w:p w14:paraId="1DB63F92" w14:textId="77777777" w:rsidR="00001D9A" w:rsidRPr="002F595B" w:rsidRDefault="00001D9A" w:rsidP="00001D9A">
      <w:pPr>
        <w:ind w:left="720"/>
        <w:rPr>
          <w:rFonts w:ascii="Times New Roman" w:hAnsi="Times New Roman"/>
          <w:sz w:val="24"/>
          <w:szCs w:val="24"/>
        </w:rPr>
      </w:pPr>
      <w:r w:rsidRPr="002F595B">
        <w:rPr>
          <w:rFonts w:ascii="Times New Roman" w:hAnsi="Times New Roman"/>
          <w:sz w:val="24"/>
          <w:szCs w:val="24"/>
        </w:rPr>
        <w:t xml:space="preserve">Note: See New Mexico </w:t>
      </w:r>
      <w:bookmarkStart w:id="446" w:name="_ftn3"/>
      <w:bookmarkStart w:id="447" w:name="66-8-107"/>
      <w:bookmarkEnd w:id="446"/>
      <w:proofErr w:type="gramStart"/>
      <w:r w:rsidRPr="002F595B">
        <w:rPr>
          <w:rFonts w:ascii="Times New Roman" w:hAnsi="Times New Roman"/>
          <w:color w:val="000000"/>
          <w:sz w:val="24"/>
          <w:szCs w:val="24"/>
        </w:rPr>
        <w:t>The</w:t>
      </w:r>
      <w:proofErr w:type="gramEnd"/>
      <w:r w:rsidRPr="002F595B">
        <w:rPr>
          <w:rFonts w:ascii="Times New Roman" w:hAnsi="Times New Roman"/>
          <w:color w:val="000000"/>
          <w:sz w:val="24"/>
          <w:szCs w:val="24"/>
        </w:rPr>
        <w:t xml:space="preserve"> Implied Consent Act: </w:t>
      </w:r>
      <w:bookmarkEnd w:id="447"/>
      <w:r>
        <w:rPr>
          <w:rFonts w:ascii="Times New Roman" w:hAnsi="Times New Roman"/>
          <w:color w:val="000000"/>
          <w:sz w:val="24"/>
          <w:szCs w:val="24"/>
        </w:rPr>
        <w:fldChar w:fldCharType="begin"/>
      </w:r>
      <w:r>
        <w:rPr>
          <w:rFonts w:ascii="Times New Roman" w:hAnsi="Times New Roman"/>
          <w:color w:val="000000"/>
          <w:sz w:val="24"/>
          <w:szCs w:val="24"/>
        </w:rPr>
        <w:instrText xml:space="preserve"> HYPERLINK "</w:instrText>
      </w:r>
      <w:r w:rsidRPr="00B50E0F">
        <w:rPr>
          <w:rFonts w:ascii="Times New Roman" w:hAnsi="Times New Roman"/>
          <w:color w:val="000000"/>
          <w:sz w:val="24"/>
          <w:szCs w:val="24"/>
        </w:rPr>
        <w:instrText>https://law.justia.com/codes/new-mexico/2009/chapter-66/article-8/section-66-8-107/</w:instrText>
      </w:r>
      <w:r>
        <w:rPr>
          <w:rFonts w:ascii="Times New Roman" w:hAnsi="Times New Roman"/>
          <w:color w:val="000000"/>
          <w:sz w:val="24"/>
          <w:szCs w:val="24"/>
        </w:rPr>
        <w:instrText xml:space="preserve">" </w:instrText>
      </w:r>
      <w:r>
        <w:rPr>
          <w:rFonts w:ascii="Times New Roman" w:hAnsi="Times New Roman"/>
          <w:color w:val="000000"/>
          <w:sz w:val="24"/>
          <w:szCs w:val="24"/>
        </w:rPr>
      </w:r>
      <w:r>
        <w:rPr>
          <w:rFonts w:ascii="Times New Roman" w:hAnsi="Times New Roman"/>
          <w:color w:val="000000"/>
          <w:sz w:val="24"/>
          <w:szCs w:val="24"/>
        </w:rPr>
        <w:fldChar w:fldCharType="separate"/>
      </w:r>
      <w:r w:rsidRPr="004065C6">
        <w:rPr>
          <w:rStyle w:val="Hyperlink"/>
          <w:rFonts w:ascii="Times New Roman" w:hAnsi="Times New Roman"/>
          <w:sz w:val="24"/>
          <w:szCs w:val="24"/>
        </w:rPr>
        <w:t>https://law.justia.com/codes/new-mexico/2009/chapter-66/article-8/section-66-8-107/</w:t>
      </w:r>
      <w:r>
        <w:rPr>
          <w:rFonts w:ascii="Times New Roman" w:hAnsi="Times New Roman"/>
          <w:color w:val="000000"/>
          <w:sz w:val="24"/>
          <w:szCs w:val="24"/>
        </w:rPr>
        <w:fldChar w:fldCharType="end"/>
      </w:r>
      <w:r>
        <w:rPr>
          <w:rFonts w:ascii="Times New Roman" w:hAnsi="Times New Roman"/>
          <w:color w:val="000000"/>
          <w:sz w:val="24"/>
          <w:szCs w:val="24"/>
        </w:rPr>
        <w:t xml:space="preserve"> </w:t>
      </w:r>
    </w:p>
    <w:p w14:paraId="73B18D04" w14:textId="77777777" w:rsidR="00001D9A" w:rsidRPr="002F595B" w:rsidRDefault="00001D9A" w:rsidP="00001D9A">
      <w:pPr>
        <w:spacing w:after="0" w:line="240" w:lineRule="auto"/>
        <w:ind w:left="1080" w:right="1080"/>
        <w:rPr>
          <w:rFonts w:ascii="Times New Roman" w:eastAsia="Times New Roman" w:hAnsi="Times New Roman"/>
          <w:sz w:val="24"/>
          <w:szCs w:val="24"/>
        </w:rPr>
      </w:pPr>
      <w:r w:rsidRPr="002F595B">
        <w:rPr>
          <w:rFonts w:ascii="Times New Roman" w:eastAsia="Times New Roman" w:hAnsi="Times New Roman"/>
          <w:sz w:val="24"/>
          <w:szCs w:val="24"/>
        </w:rPr>
        <w:t>“A</w:t>
      </w:r>
      <w:r w:rsidRPr="002F595B">
        <w:rPr>
          <w:rFonts w:ascii="Times New Roman" w:eastAsia="Times New Roman" w:hAnsi="Times New Roman"/>
          <w:color w:val="000000"/>
          <w:sz w:val="24"/>
          <w:szCs w:val="24"/>
        </w:rPr>
        <w:t>ny person who operates a motor vehicle within this state shall be deemed to have given consent, subject to the provisions of the Implied Consent Act . . . to chemical tests of his breath or blood or both . . . as determined by a law enforcement officer, or for the purpose of determining the drug or alcohol content of his blood if arrested for any offense arising out of the acts alleged to have been committed while the person was driving a motor vehicle while under the influence of an intoxicating liquor or drug.”</w:t>
      </w:r>
    </w:p>
    <w:p w14:paraId="7D7BCF81" w14:textId="77777777" w:rsidR="00001D9A" w:rsidRDefault="00001D9A" w:rsidP="00001D9A">
      <w:pPr>
        <w:ind w:left="720"/>
        <w:rPr>
          <w:rFonts w:ascii="Times New Roman" w:hAnsi="Times New Roman"/>
          <w:sz w:val="24"/>
          <w:szCs w:val="24"/>
        </w:rPr>
      </w:pPr>
    </w:p>
    <w:p w14:paraId="11D48E36" w14:textId="77777777" w:rsidR="00001D9A" w:rsidRPr="002F595B" w:rsidRDefault="00001D9A" w:rsidP="00001D9A">
      <w:pPr>
        <w:ind w:left="720"/>
        <w:rPr>
          <w:rFonts w:ascii="Times New Roman" w:hAnsi="Times New Roman"/>
          <w:sz w:val="24"/>
          <w:szCs w:val="24"/>
        </w:rPr>
      </w:pPr>
      <w:r w:rsidRPr="002F595B">
        <w:rPr>
          <w:rFonts w:ascii="Times New Roman" w:hAnsi="Times New Roman"/>
          <w:sz w:val="24"/>
          <w:szCs w:val="24"/>
        </w:rPr>
        <w:t>See Ohio statute, Section 4511.191:</w:t>
      </w:r>
      <w:r w:rsidRPr="009E51C8">
        <w:t xml:space="preserve"> </w:t>
      </w:r>
      <w:hyperlink r:id="rId2165" w:history="1">
        <w:r w:rsidRPr="00EC5853">
          <w:rPr>
            <w:rStyle w:val="Hyperlink"/>
            <w:rFonts w:ascii="Times New Roman" w:hAnsi="Times New Roman"/>
            <w:sz w:val="24"/>
            <w:szCs w:val="24"/>
          </w:rPr>
          <w:t>https://codes.ohio.gov/ohio-revised-code/section-4511.191</w:t>
        </w:r>
      </w:hyperlink>
      <w:r>
        <w:rPr>
          <w:rFonts w:ascii="Times New Roman" w:hAnsi="Times New Roman"/>
          <w:sz w:val="24"/>
          <w:szCs w:val="24"/>
        </w:rPr>
        <w:t xml:space="preserve"> </w:t>
      </w:r>
      <w:r w:rsidRPr="002F595B">
        <w:rPr>
          <w:rFonts w:ascii="Times New Roman" w:hAnsi="Times New Roman"/>
          <w:sz w:val="24"/>
          <w:szCs w:val="24"/>
        </w:rPr>
        <w:t xml:space="preserve">: </w:t>
      </w:r>
    </w:p>
    <w:p w14:paraId="22607B52" w14:textId="77777777" w:rsidR="00001D9A" w:rsidRPr="002F595B" w:rsidRDefault="00001D9A" w:rsidP="00001D9A">
      <w:pPr>
        <w:ind w:left="1080" w:hanging="90"/>
        <w:rPr>
          <w:rFonts w:ascii="Times New Roman" w:hAnsi="Times New Roman"/>
          <w:sz w:val="24"/>
          <w:szCs w:val="24"/>
        </w:rPr>
      </w:pPr>
      <w:r w:rsidRPr="002F595B">
        <w:rPr>
          <w:rFonts w:ascii="Times New Roman" w:hAnsi="Times New Roman"/>
          <w:sz w:val="24"/>
          <w:szCs w:val="24"/>
        </w:rPr>
        <w:t xml:space="preserve"> “(2) Any person who operates a vehicle, streetcar, or trackless trolley upon a highway or any public or private property used by the public for vehicular travel or parking within this state or who is in physical control of a vehicle, streetcar, or trackless trolley shall be deemed to have given consent to a chemical test or tests of the person's whole blood, blood serum or plasma, breath, or urine to determine the alcohol, drug of abuse, controlled substance, metabolite of a controlled substance, or </w:t>
      </w:r>
      <w:r w:rsidRPr="002F595B">
        <w:rPr>
          <w:rFonts w:ascii="Times New Roman" w:hAnsi="Times New Roman"/>
          <w:sz w:val="24"/>
          <w:szCs w:val="24"/>
        </w:rPr>
        <w:lastRenderedPageBreak/>
        <w:t xml:space="preserve">combination content of the person's whole blood, blood serum or plasma, breath, or urine if arrested for a violation of division (A) or (B) of section </w:t>
      </w:r>
      <w:hyperlink r:id="rId2166" w:history="1">
        <w:r w:rsidRPr="002F595B">
          <w:rPr>
            <w:rFonts w:ascii="Times New Roman" w:hAnsi="Times New Roman"/>
            <w:sz w:val="24"/>
            <w:szCs w:val="24"/>
          </w:rPr>
          <w:t>4511.19</w:t>
        </w:r>
      </w:hyperlink>
      <w:r w:rsidRPr="002F595B">
        <w:rPr>
          <w:rFonts w:ascii="Times New Roman" w:hAnsi="Times New Roman"/>
          <w:sz w:val="24"/>
          <w:szCs w:val="24"/>
        </w:rPr>
        <w:t xml:space="preserve"> of the Revised Code, section </w:t>
      </w:r>
      <w:hyperlink r:id="rId2167" w:history="1">
        <w:r w:rsidRPr="002F595B">
          <w:rPr>
            <w:rFonts w:ascii="Times New Roman" w:hAnsi="Times New Roman"/>
            <w:sz w:val="24"/>
            <w:szCs w:val="24"/>
          </w:rPr>
          <w:t>4511.194</w:t>
        </w:r>
      </w:hyperlink>
      <w:r w:rsidRPr="002F595B">
        <w:rPr>
          <w:rFonts w:ascii="Times New Roman" w:hAnsi="Times New Roman"/>
          <w:sz w:val="24"/>
          <w:szCs w:val="24"/>
        </w:rPr>
        <w:t xml:space="preserve"> of the Revised Code or a substantially equivalent municipal ordinance, or a municipal OVI ordinance.”</w:t>
      </w:r>
    </w:p>
    <w:p w14:paraId="5F12C0F2" w14:textId="77777777" w:rsidR="00001D9A" w:rsidRDefault="00001D9A" w:rsidP="002B1283">
      <w:pPr>
        <w:rPr>
          <w:rFonts w:ascii="Arial Black" w:hAnsi="Arial Black"/>
          <w:b/>
          <w:bCs/>
          <w:sz w:val="28"/>
          <w:szCs w:val="28"/>
        </w:rPr>
      </w:pPr>
    </w:p>
    <w:p w14:paraId="2C652297" w14:textId="77777777" w:rsidR="00001D9A" w:rsidRDefault="00001D9A" w:rsidP="002B1283">
      <w:pPr>
        <w:rPr>
          <w:rFonts w:ascii="Arial Black" w:hAnsi="Arial Black"/>
          <w:b/>
          <w:bCs/>
          <w:sz w:val="28"/>
          <w:szCs w:val="28"/>
        </w:rPr>
      </w:pPr>
    </w:p>
    <w:p w14:paraId="1C75E29B" w14:textId="1A08C4AC" w:rsidR="00687C24" w:rsidRDefault="00687C24" w:rsidP="002B1283">
      <w:pPr>
        <w:rPr>
          <w:rFonts w:ascii="Arial Black" w:hAnsi="Arial Black"/>
          <w:b/>
          <w:bCs/>
          <w:sz w:val="28"/>
          <w:szCs w:val="28"/>
        </w:rPr>
      </w:pPr>
      <w:r>
        <w:rPr>
          <w:rFonts w:ascii="Arial Black" w:hAnsi="Arial Black"/>
          <w:b/>
          <w:bCs/>
          <w:sz w:val="28"/>
          <w:szCs w:val="28"/>
        </w:rPr>
        <w:t>13-99</w:t>
      </w:r>
    </w:p>
    <w:p w14:paraId="2BBA0A2B" w14:textId="77777777" w:rsidR="00506EE7" w:rsidRPr="00CE738F" w:rsidRDefault="00506EE7" w:rsidP="00506EE7">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VA: POLICE &amp; PARAMEDICS DENIED “GOOD FAITH IMMUNITY” – MENTAL – FORCE HEAD INTO PILLOW / DIED </w:t>
      </w:r>
    </w:p>
    <w:p w14:paraId="1B24CD9E" w14:textId="77777777" w:rsidR="00506EE7" w:rsidRDefault="00506EE7" w:rsidP="00506EE7">
      <w:pPr>
        <w:spacing w:before="100" w:beforeAutospacing="1" w:after="100" w:afterAutospacing="1" w:line="240" w:lineRule="auto"/>
        <w:rPr>
          <w:rFonts w:ascii="Times New Roman" w:hAnsi="Times New Roman"/>
          <w:sz w:val="24"/>
          <w:szCs w:val="24"/>
        </w:rPr>
      </w:pPr>
      <w:r w:rsidRPr="00CE738F">
        <w:rPr>
          <w:rFonts w:ascii="Times New Roman" w:hAnsi="Times New Roman"/>
          <w:sz w:val="24"/>
          <w:szCs w:val="24"/>
        </w:rPr>
        <w:t xml:space="preserve">On Nov. 15, 2021, </w:t>
      </w:r>
      <w:r>
        <w:rPr>
          <w:rFonts w:ascii="Times New Roman" w:hAnsi="Times New Roman"/>
          <w:sz w:val="24"/>
          <w:szCs w:val="24"/>
        </w:rPr>
        <w:t xml:space="preserve">in </w:t>
      </w:r>
      <w:r w:rsidRPr="003047ED">
        <w:rPr>
          <w:rFonts w:ascii="Times New Roman" w:hAnsi="Times New Roman"/>
          <w:sz w:val="24"/>
          <w:szCs w:val="24"/>
          <w:u w:val="single"/>
        </w:rPr>
        <w:t>Angela L. Lawhorn, Administrator of the Estate of Joshua L. Lawhorn v. Alexander Mayes, et al</w:t>
      </w:r>
      <w:r>
        <w:rPr>
          <w:rFonts w:ascii="Times New Roman" w:hAnsi="Times New Roman"/>
          <w:sz w:val="24"/>
          <w:szCs w:val="24"/>
        </w:rPr>
        <w:t xml:space="preserve">., the U.S. Court of Appeals for the Fourth Circuit (Richmond, VA) held that the paramedics, like the police officers in this case, are not entitled to good faith immunity and the lawsuit will proceed. </w:t>
      </w:r>
      <w:r>
        <w:rPr>
          <w:rFonts w:ascii="Times New Roman" w:hAnsi="Times New Roman"/>
          <w:sz w:val="24"/>
          <w:szCs w:val="24"/>
        </w:rPr>
        <w:tab/>
      </w:r>
    </w:p>
    <w:p w14:paraId="6DF0F080" w14:textId="77777777" w:rsidR="00506EE7" w:rsidRDefault="00506EE7" w:rsidP="00506E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3047ED">
        <w:rPr>
          <w:rFonts w:ascii="Times New Roman" w:hAnsi="Times New Roman"/>
          <w:sz w:val="24"/>
          <w:szCs w:val="24"/>
        </w:rPr>
        <w:t xml:space="preserve">This appeal arises from a tragic incident that led to the death of Joshua Lawhon, an unarmed mentally ill man. Invoking 42 U.S.C. § 1983 and Virginia state law, Lawhon's mother, as administrator of his estate, brought this action against the police officers and paramedics whose assertedly improper actions cost her son his life. Defendants moved to dismiss the case on the grounds of qualified immunity and state law immunity. The district court refused to do so regarding Defendants' conduct after they secured Lawhon in handcuffs and the Defendants now appeal. We affirm </w:t>
      </w:r>
      <w:proofErr w:type="gramStart"/>
      <w:r w:rsidRPr="003047ED">
        <w:rPr>
          <w:rFonts w:ascii="Times New Roman" w:hAnsi="Times New Roman"/>
          <w:sz w:val="24"/>
          <w:szCs w:val="24"/>
        </w:rPr>
        <w:t>on the basis of</w:t>
      </w:r>
      <w:proofErr w:type="gramEnd"/>
      <w:r w:rsidRPr="003047ED">
        <w:rPr>
          <w:rFonts w:ascii="Times New Roman" w:hAnsi="Times New Roman"/>
          <w:sz w:val="24"/>
          <w:szCs w:val="24"/>
        </w:rPr>
        <w:t xml:space="preserve"> its well-reasoned opinion.</w:t>
      </w:r>
    </w:p>
    <w:p w14:paraId="4F4750FD" w14:textId="77777777" w:rsidR="00506EE7" w:rsidRDefault="00506EE7" w:rsidP="00506E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A727FD4" w14:textId="1504CBF7" w:rsidR="00687C24" w:rsidRDefault="00506EE7" w:rsidP="00506EE7">
      <w:pPr>
        <w:rPr>
          <w:rStyle w:val="Hyperlink"/>
          <w:rFonts w:ascii="Times New Roman" w:eastAsia="Times New Roman" w:hAnsi="Times New Roman"/>
          <w:sz w:val="24"/>
          <w:szCs w:val="24"/>
        </w:rPr>
      </w:pPr>
      <w:r w:rsidRPr="003047ED">
        <w:rPr>
          <w:rFonts w:ascii="Times New Roman" w:eastAsia="Times New Roman" w:hAnsi="Times New Roman"/>
          <w:sz w:val="24"/>
          <w:szCs w:val="24"/>
        </w:rPr>
        <w:t xml:space="preserve">The paramedic-Defendants similarly raise a good faith immunity defense under Virginia's Good Samaritan statute. However, as the district court </w:t>
      </w:r>
      <w:proofErr w:type="gramStart"/>
      <w:r w:rsidRPr="003047ED">
        <w:rPr>
          <w:rFonts w:ascii="Times New Roman" w:eastAsia="Times New Roman" w:hAnsi="Times New Roman"/>
          <w:sz w:val="24"/>
          <w:szCs w:val="24"/>
        </w:rPr>
        <w:t xml:space="preserve">determined, </w:t>
      </w:r>
      <w:r>
        <w:rPr>
          <w:rFonts w:ascii="Times New Roman" w:eastAsia="Times New Roman" w:hAnsi="Times New Roman"/>
          <w:sz w:val="24"/>
          <w:szCs w:val="24"/>
        </w:rPr>
        <w:t>‘</w:t>
      </w:r>
      <w:proofErr w:type="gramEnd"/>
      <w:r w:rsidRPr="003047ED">
        <w:rPr>
          <w:rFonts w:ascii="Times New Roman" w:eastAsia="Times New Roman" w:hAnsi="Times New Roman"/>
          <w:sz w:val="24"/>
          <w:szCs w:val="24"/>
        </w:rPr>
        <w:t>this statute only shields those who</w:t>
      </w:r>
      <w:r>
        <w:rPr>
          <w:rFonts w:ascii="Times New Roman" w:eastAsia="Times New Roman" w:hAnsi="Times New Roman"/>
          <w:sz w:val="24"/>
          <w:szCs w:val="24"/>
        </w:rPr>
        <w:t xml:space="preserve"> ‘</w:t>
      </w:r>
      <w:r w:rsidRPr="003047ED">
        <w:rPr>
          <w:rFonts w:ascii="Times New Roman" w:eastAsia="Times New Roman" w:hAnsi="Times New Roman"/>
          <w:sz w:val="24"/>
          <w:szCs w:val="24"/>
        </w:rPr>
        <w:t>in good faith render[] emergency care or assistance.</w:t>
      </w:r>
      <w:r>
        <w:rPr>
          <w:rFonts w:ascii="Times New Roman" w:eastAsia="Times New Roman" w:hAnsi="Times New Roman"/>
          <w:sz w:val="24"/>
          <w:szCs w:val="24"/>
        </w:rPr>
        <w:t xml:space="preserve">’ </w:t>
      </w:r>
      <w:r w:rsidRPr="003047ED">
        <w:rPr>
          <w:rFonts w:ascii="Times New Roman" w:eastAsia="Times New Roman" w:hAnsi="Times New Roman"/>
          <w:i/>
          <w:iCs/>
          <w:sz w:val="24"/>
          <w:szCs w:val="24"/>
        </w:rPr>
        <w:t>Id</w:t>
      </w:r>
      <w:r w:rsidRPr="003047ED">
        <w:rPr>
          <w:rFonts w:ascii="Times New Roman" w:eastAsia="Times New Roman" w:hAnsi="Times New Roman"/>
          <w:sz w:val="24"/>
          <w:szCs w:val="24"/>
        </w:rPr>
        <w:t xml:space="preserve">. The complaint asserts that the paramedics </w:t>
      </w:r>
      <w:r>
        <w:rPr>
          <w:rFonts w:ascii="Times New Roman" w:eastAsia="Times New Roman" w:hAnsi="Times New Roman"/>
          <w:sz w:val="24"/>
          <w:szCs w:val="24"/>
        </w:rPr>
        <w:t>‘</w:t>
      </w:r>
      <w:r w:rsidRPr="003047ED">
        <w:rPr>
          <w:rFonts w:ascii="Times New Roman" w:eastAsia="Times New Roman" w:hAnsi="Times New Roman"/>
          <w:sz w:val="24"/>
          <w:szCs w:val="24"/>
        </w:rPr>
        <w:t>failed</w:t>
      </w:r>
      <w:r>
        <w:rPr>
          <w:rFonts w:ascii="Times New Roman" w:eastAsia="Times New Roman" w:hAnsi="Times New Roman"/>
          <w:sz w:val="24"/>
          <w:szCs w:val="24"/>
        </w:rPr>
        <w:t>’</w:t>
      </w:r>
      <w:r w:rsidRPr="003047ED">
        <w:rPr>
          <w:rFonts w:ascii="Times New Roman" w:eastAsia="Times New Roman" w:hAnsi="Times New Roman"/>
          <w:sz w:val="24"/>
          <w:szCs w:val="24"/>
        </w:rPr>
        <w:t xml:space="preserve"> to provide Lawhon with emergency care or assistance. Thus, the statute cannot immunize the paramedics at this stage of the litigation. </w:t>
      </w:r>
      <w:r>
        <w:rPr>
          <w:rFonts w:ascii="Times New Roman" w:eastAsia="Times New Roman" w:hAnsi="Times New Roman"/>
          <w:sz w:val="24"/>
          <w:szCs w:val="24"/>
        </w:rPr>
        <w:t>‘</w:t>
      </w:r>
      <w:r w:rsidRPr="003047ED">
        <w:rPr>
          <w:rFonts w:ascii="Times New Roman" w:eastAsia="Times New Roman" w:hAnsi="Times New Roman"/>
          <w:sz w:val="24"/>
          <w:szCs w:val="24"/>
        </w:rPr>
        <w:t>The parallel state law claim[s] of . . . battery [are] subsumed within the federal excessive force claim and so go[] forward as well.</w:t>
      </w:r>
      <w:r>
        <w:rPr>
          <w:rFonts w:ascii="Times New Roman" w:eastAsia="Times New Roman" w:hAnsi="Times New Roman"/>
          <w:sz w:val="24"/>
          <w:szCs w:val="24"/>
        </w:rPr>
        <w:t>’</w:t>
      </w:r>
      <w:r w:rsidRPr="003047ED">
        <w:rPr>
          <w:rFonts w:ascii="Times New Roman" w:eastAsia="Times New Roman" w:hAnsi="Times New Roman"/>
          <w:sz w:val="24"/>
          <w:szCs w:val="24"/>
        </w:rPr>
        <w:t xml:space="preserve"> </w:t>
      </w:r>
      <w:r w:rsidRPr="003047ED">
        <w:rPr>
          <w:rFonts w:ascii="Times New Roman" w:eastAsia="Times New Roman" w:hAnsi="Times New Roman"/>
          <w:i/>
          <w:iCs/>
          <w:sz w:val="24"/>
          <w:szCs w:val="24"/>
        </w:rPr>
        <w:t>Rowland v. Perry</w:t>
      </w:r>
      <w:r w:rsidRPr="003047ED">
        <w:rPr>
          <w:rFonts w:ascii="Times New Roman" w:eastAsia="Times New Roman" w:hAnsi="Times New Roman"/>
          <w:sz w:val="24"/>
          <w:szCs w:val="24"/>
        </w:rPr>
        <w:t>, 41 F.3d 167, 174 (4th Cir. 1994).</w:t>
      </w:r>
      <w:r>
        <w:rPr>
          <w:rFonts w:ascii="Times New Roman" w:eastAsia="Times New Roman" w:hAnsi="Times New Roman"/>
          <w:sz w:val="24"/>
          <w:szCs w:val="24"/>
        </w:rPr>
        <w:t xml:space="preserve">” </w:t>
      </w:r>
      <w:hyperlink r:id="rId2168" w:history="1">
        <w:r w:rsidRPr="00B5148B">
          <w:rPr>
            <w:rStyle w:val="Hyperlink"/>
            <w:rFonts w:ascii="Times New Roman" w:eastAsia="Times New Roman" w:hAnsi="Times New Roman"/>
            <w:sz w:val="24"/>
            <w:szCs w:val="24"/>
          </w:rPr>
          <w:t>https://www.ca4.uscourts.gov/Opinions/201906.U.pdf</w:t>
        </w:r>
      </w:hyperlink>
    </w:p>
    <w:p w14:paraId="415DD84B" w14:textId="77777777" w:rsidR="00506EE7" w:rsidRPr="00CE738F" w:rsidRDefault="00506EE7" w:rsidP="00506EE7">
      <w:pPr>
        <w:spacing w:before="100" w:beforeAutospacing="1" w:after="100" w:afterAutospacing="1" w:line="240" w:lineRule="auto"/>
        <w:rPr>
          <w:rFonts w:ascii="Times New Roman" w:eastAsia="Times New Roman" w:hAnsi="Times New Roman"/>
          <w:b/>
          <w:bCs/>
          <w:sz w:val="24"/>
          <w:szCs w:val="24"/>
        </w:rPr>
      </w:pPr>
      <w:r w:rsidRPr="00FE2276">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When police use force to restrain a patient, it is particularly important that EMS thoroughly document their actions at that scene, including </w:t>
      </w:r>
      <w:proofErr w:type="gramStart"/>
      <w:r>
        <w:rPr>
          <w:rFonts w:ascii="Times New Roman" w:eastAsia="Times New Roman" w:hAnsi="Times New Roman"/>
          <w:b/>
          <w:bCs/>
          <w:sz w:val="24"/>
          <w:szCs w:val="24"/>
        </w:rPr>
        <w:t>both in</w:t>
      </w:r>
      <w:proofErr w:type="gramEnd"/>
      <w:r>
        <w:rPr>
          <w:rFonts w:ascii="Times New Roman" w:eastAsia="Times New Roman" w:hAnsi="Times New Roman"/>
          <w:b/>
          <w:bCs/>
          <w:sz w:val="24"/>
          <w:szCs w:val="24"/>
        </w:rPr>
        <w:t xml:space="preserve"> assisting the patient and the police. </w:t>
      </w:r>
    </w:p>
    <w:p w14:paraId="44F8C806" w14:textId="171E7822" w:rsidR="00506EE7" w:rsidRDefault="00506EE7" w:rsidP="00506EE7">
      <w:pPr>
        <w:rPr>
          <w:rStyle w:val="Hyperlink"/>
          <w:rFonts w:ascii="Times New Roman" w:eastAsia="Times New Roman" w:hAnsi="Times New Roman"/>
          <w:sz w:val="24"/>
          <w:szCs w:val="24"/>
        </w:rPr>
      </w:pPr>
    </w:p>
    <w:p w14:paraId="06F35DB0" w14:textId="77777777" w:rsidR="00506EE7" w:rsidRDefault="00506EE7" w:rsidP="00506EE7">
      <w:pPr>
        <w:rPr>
          <w:rFonts w:ascii="Arial Black" w:hAnsi="Arial Black"/>
          <w:b/>
          <w:bCs/>
          <w:sz w:val="28"/>
          <w:szCs w:val="28"/>
        </w:rPr>
      </w:pPr>
    </w:p>
    <w:p w14:paraId="7DEEEB5C" w14:textId="71830562" w:rsidR="00687C24" w:rsidRDefault="00687C24" w:rsidP="002B1283">
      <w:pPr>
        <w:rPr>
          <w:rFonts w:ascii="Arial Black" w:hAnsi="Arial Black"/>
          <w:b/>
          <w:bCs/>
          <w:sz w:val="28"/>
          <w:szCs w:val="28"/>
        </w:rPr>
      </w:pPr>
      <w:r>
        <w:rPr>
          <w:rFonts w:ascii="Arial Black" w:hAnsi="Arial Black"/>
          <w:b/>
          <w:bCs/>
          <w:sz w:val="28"/>
          <w:szCs w:val="28"/>
        </w:rPr>
        <w:t>13-98</w:t>
      </w:r>
    </w:p>
    <w:p w14:paraId="575BCC8A" w14:textId="77777777" w:rsidR="00687C24" w:rsidRDefault="00687C24" w:rsidP="00687C24">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LA: OIL WELL EMPLOYEE – STROKE – TPA PROPERLY NOT GIVEN – “LAST KNOWN WELL TIME” BEYOND 4.5 HOURS </w:t>
      </w:r>
    </w:p>
    <w:p w14:paraId="77C2B92C" w14:textId="77777777" w:rsidR="00687C24" w:rsidRDefault="00687C24" w:rsidP="00687C2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On Nov. 12, 2021, in </w:t>
      </w:r>
      <w:r w:rsidRPr="00B13AD4">
        <w:rPr>
          <w:rFonts w:ascii="Times New Roman" w:eastAsia="Times New Roman" w:hAnsi="Times New Roman"/>
          <w:sz w:val="24"/>
          <w:szCs w:val="24"/>
          <w:u w:val="single"/>
        </w:rPr>
        <w:t>Daniel Ramirez v. Talos Guld Coast Offshore LLC, et al.</w:t>
      </w:r>
      <w:r>
        <w:rPr>
          <w:rFonts w:ascii="Times New Roman" w:eastAsia="Times New Roman" w:hAnsi="Times New Roman"/>
          <w:sz w:val="24"/>
          <w:szCs w:val="24"/>
        </w:rPr>
        <w:t xml:space="preserve">, Chief U.S. District Court Judge Lee H. Rosenthal, U.S. District Court, Southern District of Texas (Houston Division) granted summary judgment to Talos, since there was no negligence by the Offshore Oil Company, the paramedic on the oil rig, the paramedic on the helicopter which flew him to the hospital, or the physicians who treated him.  </w:t>
      </w:r>
    </w:p>
    <w:p w14:paraId="0446D489" w14:textId="77777777" w:rsidR="00687C24" w:rsidRDefault="00687C24" w:rsidP="00687C24">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C070A">
        <w:rPr>
          <w:rFonts w:ascii="Times New Roman" w:eastAsia="Times New Roman" w:hAnsi="Times New Roman"/>
          <w:sz w:val="24"/>
          <w:szCs w:val="24"/>
        </w:rPr>
        <w:t xml:space="preserve">Ramirez argues that Talos's negligent delay in sending him to the hospital precluded him from getting the tPA treatment, which would have avoided the permanent effects of his stroke. Talos argues that </w:t>
      </w:r>
      <w:r>
        <w:rPr>
          <w:rFonts w:ascii="Times New Roman" w:eastAsia="Times New Roman" w:hAnsi="Times New Roman"/>
          <w:sz w:val="24"/>
          <w:szCs w:val="24"/>
        </w:rPr>
        <w:t>‘</w:t>
      </w:r>
      <w:r w:rsidRPr="008C070A">
        <w:rPr>
          <w:rFonts w:ascii="Times New Roman" w:eastAsia="Times New Roman" w:hAnsi="Times New Roman"/>
          <w:sz w:val="24"/>
          <w:szCs w:val="24"/>
        </w:rPr>
        <w:t>the period to give tPA expired before [Ramirez] even woke up on the [platform]</w:t>
      </w:r>
      <w:r>
        <w:rPr>
          <w:rFonts w:ascii="Times New Roman" w:eastAsia="Times New Roman" w:hAnsi="Times New Roman"/>
          <w:sz w:val="24"/>
          <w:szCs w:val="24"/>
        </w:rPr>
        <w:t>….’ ‘</w:t>
      </w:r>
      <w:r w:rsidRPr="008C070A">
        <w:rPr>
          <w:rFonts w:ascii="Times New Roman" w:eastAsia="Times New Roman" w:hAnsi="Times New Roman"/>
          <w:sz w:val="24"/>
          <w:szCs w:val="24"/>
        </w:rPr>
        <w:t>[T]he treating physicians at WJMC . . . testified that they would never have administered a tPA to [Ramirez]</w:t>
      </w:r>
      <w:r>
        <w:rPr>
          <w:rFonts w:ascii="Times New Roman" w:eastAsia="Times New Roman" w:hAnsi="Times New Roman"/>
          <w:sz w:val="24"/>
          <w:szCs w:val="24"/>
        </w:rPr>
        <w:t>’</w:t>
      </w:r>
      <w:r w:rsidRPr="008C070A">
        <w:rPr>
          <w:rFonts w:ascii="Times New Roman" w:eastAsia="Times New Roman" w:hAnsi="Times New Roman"/>
          <w:sz w:val="24"/>
          <w:szCs w:val="24"/>
        </w:rPr>
        <w:t xml:space="preserve"> even if he somehow could have reached the hospital the </w:t>
      </w:r>
      <w:proofErr w:type="gramStart"/>
      <w:r w:rsidRPr="008C070A">
        <w:rPr>
          <w:rFonts w:ascii="Times New Roman" w:eastAsia="Times New Roman" w:hAnsi="Times New Roman"/>
          <w:sz w:val="24"/>
          <w:szCs w:val="24"/>
        </w:rPr>
        <w:t>minute</w:t>
      </w:r>
      <w:proofErr w:type="gramEnd"/>
      <w:r w:rsidRPr="008C070A">
        <w:rPr>
          <w:rFonts w:ascii="Times New Roman" w:eastAsia="Times New Roman" w:hAnsi="Times New Roman"/>
          <w:sz w:val="24"/>
          <w:szCs w:val="24"/>
        </w:rPr>
        <w:t xml:space="preserve"> he woke up</w:t>
      </w:r>
      <w:r>
        <w:rPr>
          <w:rFonts w:ascii="Times New Roman" w:eastAsia="Times New Roman" w:hAnsi="Times New Roman"/>
          <w:sz w:val="24"/>
          <w:szCs w:val="24"/>
        </w:rPr>
        <w:t xml:space="preserve">…. </w:t>
      </w:r>
      <w:r w:rsidRPr="008C070A">
        <w:rPr>
          <w:rFonts w:ascii="Times New Roman" w:eastAsia="Times New Roman" w:hAnsi="Times New Roman"/>
          <w:sz w:val="24"/>
          <w:szCs w:val="24"/>
        </w:rPr>
        <w:t xml:space="preserve">Talos's conduct had no bearing on whether Ramirez could receive tPA treatment. In short, Talos neither caused nor contributed to the reason Ramirez did not get tPA. </w:t>
      </w:r>
    </w:p>
    <w:p w14:paraId="2C542F83" w14:textId="77777777" w:rsidR="00687C24" w:rsidRDefault="00687C24" w:rsidP="00687C24">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w:t>
      </w:r>
    </w:p>
    <w:p w14:paraId="34AF80B8" w14:textId="77777777" w:rsidR="00687C24" w:rsidRDefault="00687C24" w:rsidP="00687C24">
      <w:pPr>
        <w:spacing w:before="100" w:beforeAutospacing="1" w:after="100" w:afterAutospacing="1" w:line="240" w:lineRule="auto"/>
        <w:ind w:left="720"/>
        <w:rPr>
          <w:rFonts w:ascii="Times New Roman" w:hAnsi="Times New Roman"/>
          <w:sz w:val="24"/>
          <w:szCs w:val="24"/>
        </w:rPr>
      </w:pPr>
      <w:r w:rsidRPr="0090643F">
        <w:rPr>
          <w:rFonts w:ascii="Times New Roman" w:hAnsi="Times New Roman"/>
          <w:sz w:val="24"/>
          <w:szCs w:val="24"/>
        </w:rPr>
        <w:t xml:space="preserve">Ramirez was not administered tPA on the helicopter or at the hospital, however, because everyone who treated Ramirez believed that his </w:t>
      </w:r>
      <w:r>
        <w:rPr>
          <w:rFonts w:ascii="Times New Roman" w:hAnsi="Times New Roman"/>
          <w:sz w:val="24"/>
          <w:szCs w:val="24"/>
        </w:rPr>
        <w:t>‘</w:t>
      </w:r>
      <w:r w:rsidRPr="0090643F">
        <w:rPr>
          <w:rFonts w:ascii="Times New Roman" w:hAnsi="Times New Roman"/>
          <w:sz w:val="24"/>
          <w:szCs w:val="24"/>
        </w:rPr>
        <w:t>last known well time</w:t>
      </w:r>
      <w:r>
        <w:rPr>
          <w:rFonts w:ascii="Times New Roman" w:hAnsi="Times New Roman"/>
          <w:sz w:val="24"/>
          <w:szCs w:val="24"/>
        </w:rPr>
        <w:t xml:space="preserve">’ </w:t>
      </w:r>
      <w:r w:rsidRPr="0090643F">
        <w:rPr>
          <w:rFonts w:ascii="Times New Roman" w:hAnsi="Times New Roman"/>
          <w:sz w:val="24"/>
          <w:szCs w:val="24"/>
        </w:rPr>
        <w:t>was around 7:00 p.m. to 7:30 p.m., when Ramirez went to sleep, and not 1:30 a.m., when Ramirez woke up. That put Ramirez over four and a half hours-outside the window to receive tPA.</w:t>
      </w:r>
      <w:r>
        <w:rPr>
          <w:rFonts w:ascii="Times New Roman" w:hAnsi="Times New Roman"/>
          <w:sz w:val="24"/>
          <w:szCs w:val="24"/>
        </w:rPr>
        <w:t xml:space="preserve">” </w:t>
      </w:r>
      <w:hyperlink r:id="rId2169" w:history="1">
        <w:r w:rsidRPr="00316766">
          <w:rPr>
            <w:rStyle w:val="Hyperlink"/>
            <w:rFonts w:ascii="Times New Roman" w:hAnsi="Times New Roman"/>
            <w:sz w:val="24"/>
            <w:szCs w:val="24"/>
          </w:rPr>
          <w:t>https://casetext.com/case/ramirez-v-talos-gulf-coast-offshore-llc</w:t>
        </w:r>
      </w:hyperlink>
      <w:r>
        <w:rPr>
          <w:rFonts w:ascii="Times New Roman" w:hAnsi="Times New Roman"/>
          <w:sz w:val="24"/>
          <w:szCs w:val="24"/>
        </w:rPr>
        <w:t xml:space="preserve"> </w:t>
      </w:r>
    </w:p>
    <w:p w14:paraId="5DBBE3FA" w14:textId="77777777" w:rsidR="00687C24" w:rsidRDefault="00687C24" w:rsidP="00687C24">
      <w:pPr>
        <w:spacing w:before="100" w:beforeAutospacing="1" w:after="100" w:afterAutospacing="1" w:line="240" w:lineRule="auto"/>
        <w:rPr>
          <w:rFonts w:ascii="Times New Roman" w:eastAsia="Times New Roman" w:hAnsi="Times New Roman"/>
          <w:b/>
          <w:bCs/>
          <w:sz w:val="24"/>
          <w:szCs w:val="24"/>
        </w:rPr>
      </w:pPr>
      <w:r w:rsidRPr="004341D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There was no negligence by the employer or anyone else in treatment of the patient. </w:t>
      </w:r>
    </w:p>
    <w:p w14:paraId="70D707FB" w14:textId="77777777" w:rsidR="00687C24" w:rsidRDefault="00687C24" w:rsidP="002B1283">
      <w:pPr>
        <w:rPr>
          <w:rFonts w:ascii="Arial Black" w:hAnsi="Arial Black"/>
          <w:b/>
          <w:bCs/>
          <w:sz w:val="28"/>
          <w:szCs w:val="28"/>
        </w:rPr>
      </w:pPr>
    </w:p>
    <w:p w14:paraId="08666175" w14:textId="77777777" w:rsidR="00687C24" w:rsidRDefault="00687C24" w:rsidP="002B1283">
      <w:pPr>
        <w:rPr>
          <w:rFonts w:ascii="Arial Black" w:hAnsi="Arial Black"/>
          <w:b/>
          <w:bCs/>
          <w:sz w:val="28"/>
          <w:szCs w:val="28"/>
        </w:rPr>
      </w:pPr>
    </w:p>
    <w:p w14:paraId="0A9B7F10" w14:textId="51C83357" w:rsidR="00687C24" w:rsidRDefault="00687C24" w:rsidP="002B1283">
      <w:pPr>
        <w:rPr>
          <w:rFonts w:ascii="Arial Black" w:hAnsi="Arial Black"/>
          <w:b/>
          <w:bCs/>
          <w:sz w:val="28"/>
          <w:szCs w:val="28"/>
        </w:rPr>
      </w:pPr>
      <w:r>
        <w:rPr>
          <w:rFonts w:ascii="Arial Black" w:hAnsi="Arial Black"/>
          <w:b/>
          <w:bCs/>
          <w:sz w:val="28"/>
          <w:szCs w:val="28"/>
        </w:rPr>
        <w:t>13-97</w:t>
      </w:r>
    </w:p>
    <w:p w14:paraId="2CB255B9" w14:textId="77777777" w:rsidR="00687C24" w:rsidRDefault="00687C24" w:rsidP="00687C2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EMS POSTED PHOTOS SNAPCHAT – PATIENT’S SEVERED HAND / ARM - FED. CASE DISMISSED, SUE IN STATE COURT</w:t>
      </w:r>
    </w:p>
    <w:p w14:paraId="508F6955" w14:textId="77777777" w:rsidR="00687C24" w:rsidRDefault="00687C24" w:rsidP="00687C24">
      <w:pPr>
        <w:spacing w:before="100" w:beforeAutospacing="1" w:after="100" w:afterAutospacing="1" w:line="240" w:lineRule="auto"/>
        <w:rPr>
          <w:rFonts w:ascii="Times New Roman" w:eastAsia="Times New Roman" w:hAnsi="Times New Roman"/>
          <w:sz w:val="24"/>
          <w:szCs w:val="24"/>
        </w:rPr>
      </w:pPr>
      <w:r w:rsidRPr="00E057FE">
        <w:rPr>
          <w:rFonts w:ascii="Times New Roman" w:eastAsia="Times New Roman" w:hAnsi="Times New Roman"/>
          <w:sz w:val="24"/>
          <w:szCs w:val="24"/>
        </w:rPr>
        <w:t xml:space="preserve">On </w:t>
      </w:r>
      <w:r>
        <w:rPr>
          <w:rFonts w:ascii="Times New Roman" w:eastAsia="Times New Roman" w:hAnsi="Times New Roman"/>
          <w:sz w:val="24"/>
          <w:szCs w:val="24"/>
        </w:rPr>
        <w:t xml:space="preserve">Nov. 2, 2021, in </w:t>
      </w:r>
      <w:r w:rsidRPr="00E057FE">
        <w:rPr>
          <w:rFonts w:ascii="Times New Roman" w:eastAsia="Times New Roman" w:hAnsi="Times New Roman"/>
          <w:sz w:val="24"/>
          <w:szCs w:val="24"/>
          <w:u w:val="single"/>
        </w:rPr>
        <w:t>Omero Ortiz v. Anthony Renteria, Christopher Calhoun, Town of Cicero, and Metro Paramedic Services, Inc</w:t>
      </w:r>
      <w:r>
        <w:rPr>
          <w:rFonts w:ascii="Times New Roman" w:eastAsia="Times New Roman" w:hAnsi="Times New Roman"/>
          <w:sz w:val="24"/>
          <w:szCs w:val="24"/>
        </w:rPr>
        <w:t xml:space="preserve">., U.S. District Court Judge Gary Feinerman, U.S. District Court for Northern District of Illinois (Eastern Division) granted the Town of Cicero’s motion to dismiss </w:t>
      </w:r>
      <w:proofErr w:type="gramStart"/>
      <w:r>
        <w:rPr>
          <w:rFonts w:ascii="Times New Roman" w:eastAsia="Times New Roman" w:hAnsi="Times New Roman"/>
          <w:sz w:val="24"/>
          <w:szCs w:val="24"/>
        </w:rPr>
        <w:t>and also</w:t>
      </w:r>
      <w:proofErr w:type="gramEnd"/>
      <w:r>
        <w:rPr>
          <w:rFonts w:ascii="Times New Roman" w:eastAsia="Times New Roman" w:hAnsi="Times New Roman"/>
          <w:sz w:val="24"/>
          <w:szCs w:val="24"/>
        </w:rPr>
        <w:t xml:space="preserve"> dismissed the paramedics and their employer from the Federal lawsuit.  Plaintiff sued for violation of Due Process under 14</w:t>
      </w:r>
      <w:r w:rsidRPr="0028733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Amendment, alleging the paramedics </w:t>
      </w:r>
      <w:r w:rsidRPr="00287339">
        <w:rPr>
          <w:rFonts w:ascii="Times New Roman" w:hAnsi="Times New Roman"/>
          <w:sz w:val="24"/>
          <w:szCs w:val="24"/>
        </w:rPr>
        <w:t xml:space="preserve">violated his </w:t>
      </w:r>
      <w:r>
        <w:rPr>
          <w:rFonts w:ascii="Times New Roman" w:hAnsi="Times New Roman"/>
          <w:sz w:val="24"/>
          <w:szCs w:val="24"/>
        </w:rPr>
        <w:t>“</w:t>
      </w:r>
      <w:r w:rsidRPr="00287339">
        <w:rPr>
          <w:rFonts w:ascii="Times New Roman" w:hAnsi="Times New Roman"/>
          <w:sz w:val="24"/>
          <w:szCs w:val="24"/>
        </w:rPr>
        <w:t>right to medical privacy</w:t>
      </w:r>
      <w:r>
        <w:rPr>
          <w:rFonts w:ascii="Times New Roman" w:hAnsi="Times New Roman"/>
          <w:sz w:val="24"/>
          <w:szCs w:val="24"/>
        </w:rPr>
        <w:t xml:space="preserve">,” but they never disclosed the patient’s name.  When </w:t>
      </w:r>
      <w:r>
        <w:rPr>
          <w:rFonts w:ascii="Times New Roman" w:eastAsia="Times New Roman" w:hAnsi="Times New Roman"/>
          <w:sz w:val="24"/>
          <w:szCs w:val="24"/>
        </w:rPr>
        <w:t xml:space="preserve">the paramedics posted photos of the patient’s severed left hand and left arm on Snapchat, they included a comment, “Feeling Blessed” along with </w:t>
      </w:r>
      <w:r w:rsidRPr="00C747D8">
        <w:rPr>
          <w:rFonts w:ascii="Times New Roman" w:hAnsi="Times New Roman"/>
          <w:sz w:val="24"/>
          <w:szCs w:val="24"/>
        </w:rPr>
        <w:t>several emojis</w:t>
      </w:r>
      <w:r>
        <w:rPr>
          <w:rFonts w:ascii="Times New Roman" w:hAnsi="Times New Roman"/>
          <w:sz w:val="24"/>
          <w:szCs w:val="24"/>
        </w:rPr>
        <w:t xml:space="preserve">.  </w:t>
      </w:r>
      <w:r>
        <w:rPr>
          <w:rFonts w:ascii="Times New Roman" w:eastAsia="Times New Roman" w:hAnsi="Times New Roman"/>
          <w:sz w:val="24"/>
          <w:szCs w:val="24"/>
        </w:rPr>
        <w:t xml:space="preserve">The plaintiff now has one year to file lawsuit in State court. </w:t>
      </w:r>
    </w:p>
    <w:p w14:paraId="28C8B487" w14:textId="77777777" w:rsidR="00687C24" w:rsidRDefault="00687C24" w:rsidP="00687C24">
      <w:pPr>
        <w:spacing w:before="100" w:beforeAutospacing="1" w:after="100" w:afterAutospacing="1" w:line="240" w:lineRule="auto"/>
        <w:ind w:left="720"/>
        <w:rPr>
          <w:rFonts w:ascii="Times New Roman" w:hAnsi="Times New Roman"/>
          <w:sz w:val="24"/>
          <w:szCs w:val="24"/>
        </w:rPr>
      </w:pPr>
      <w:r w:rsidRPr="00D561C5">
        <w:rPr>
          <w:rFonts w:ascii="Times New Roman" w:hAnsi="Times New Roman"/>
          <w:sz w:val="24"/>
          <w:szCs w:val="24"/>
        </w:rPr>
        <w:t xml:space="preserve">“Cicero does not argue that the public interest justified Renteria and Calhoun's publication of the photographs of his injuries on Snapchat. Thus, the question whether Ortiz states a due process medical privacy claim turns on whether the photographs disclosed his private medical information. To support his view that they did, Ortiz observes </w:t>
      </w:r>
      <w:r>
        <w:rPr>
          <w:rFonts w:ascii="Times New Roman" w:hAnsi="Times New Roman"/>
          <w:sz w:val="24"/>
          <w:szCs w:val="24"/>
        </w:rPr>
        <w:t>‘</w:t>
      </w:r>
      <w:r w:rsidRPr="00D561C5">
        <w:rPr>
          <w:rFonts w:ascii="Times New Roman" w:hAnsi="Times New Roman"/>
          <w:sz w:val="24"/>
          <w:szCs w:val="24"/>
        </w:rPr>
        <w:t>that he suffered a horrific accident that caused him great bodily harm, in which his arm was amputated from his body,</w:t>
      </w:r>
      <w:r>
        <w:rPr>
          <w:rFonts w:ascii="Times New Roman" w:hAnsi="Times New Roman"/>
          <w:sz w:val="24"/>
          <w:szCs w:val="24"/>
        </w:rPr>
        <w:t xml:space="preserve">’ </w:t>
      </w:r>
      <w:r w:rsidRPr="00D561C5">
        <w:rPr>
          <w:rFonts w:ascii="Times New Roman" w:hAnsi="Times New Roman"/>
          <w:sz w:val="24"/>
          <w:szCs w:val="24"/>
        </w:rPr>
        <w:t xml:space="preserve">and contends that Renteria and Calhoun's posting of the photographs violated </w:t>
      </w:r>
      <w:r>
        <w:rPr>
          <w:rFonts w:ascii="Times New Roman" w:hAnsi="Times New Roman"/>
          <w:sz w:val="24"/>
          <w:szCs w:val="24"/>
        </w:rPr>
        <w:t>‘</w:t>
      </w:r>
      <w:r w:rsidRPr="00D561C5">
        <w:rPr>
          <w:rFonts w:ascii="Times New Roman" w:hAnsi="Times New Roman"/>
          <w:sz w:val="24"/>
          <w:szCs w:val="24"/>
        </w:rPr>
        <w:t>his fundamental right to privacy of his medical condition, i.e.[, ] the unintentional amputation of his arm</w:t>
      </w:r>
      <w:r>
        <w:rPr>
          <w:rFonts w:ascii="Times New Roman" w:hAnsi="Times New Roman"/>
          <w:sz w:val="24"/>
          <w:szCs w:val="24"/>
        </w:rPr>
        <w:t xml:space="preserve">….’ </w:t>
      </w:r>
      <w:r w:rsidRPr="00D561C5">
        <w:rPr>
          <w:rFonts w:ascii="Times New Roman" w:hAnsi="Times New Roman"/>
          <w:sz w:val="24"/>
          <w:szCs w:val="24"/>
        </w:rPr>
        <w:t>Ortiz's submission is unpersuasive.</w:t>
      </w:r>
    </w:p>
    <w:p w14:paraId="36C25FEF" w14:textId="77777777" w:rsidR="00687C24" w:rsidRDefault="00687C24" w:rsidP="00687C24">
      <w:pPr>
        <w:pStyle w:val="paragraph"/>
        <w:ind w:left="720"/>
      </w:pPr>
      <w:r>
        <w:lastRenderedPageBreak/>
        <w:t xml:space="preserve">First, the fact that Ortiz was harmed in a ‘horrific accident’ is not private medical information because it is not </w:t>
      </w:r>
      <w:r>
        <w:rPr>
          <w:i/>
          <w:iCs/>
        </w:rPr>
        <w:t>medical</w:t>
      </w:r>
      <w:r>
        <w:t xml:space="preserve">. Rather, it concerned a traumatic event-akin to a traffic accident, or a shooting-and the consequences of that event-akin to a broken arm caused by a traffic accident, or a bullet wound caused by a shooting. </w:t>
      </w:r>
    </w:p>
    <w:p w14:paraId="59E712D6" w14:textId="77777777" w:rsidR="00687C24" w:rsidRPr="00D561C5" w:rsidRDefault="00687C24" w:rsidP="00687C24">
      <w:pPr>
        <w:spacing w:before="100" w:beforeAutospacing="1" w:after="100" w:afterAutospacing="1" w:line="240" w:lineRule="auto"/>
        <w:ind w:left="720"/>
        <w:rPr>
          <w:rFonts w:ascii="Times New Roman" w:hAnsi="Times New Roman"/>
          <w:sz w:val="24"/>
          <w:szCs w:val="24"/>
        </w:rPr>
      </w:pPr>
      <w:r w:rsidRPr="00D561C5">
        <w:rPr>
          <w:rFonts w:ascii="Times New Roman" w:hAnsi="Times New Roman"/>
          <w:sz w:val="24"/>
          <w:szCs w:val="24"/>
        </w:rPr>
        <w:t xml:space="preserve">Second, at least on the facts alleged, the fact that Ortiz lost his left arm is not private medical information because it is not </w:t>
      </w:r>
      <w:r w:rsidRPr="00D561C5">
        <w:rPr>
          <w:rFonts w:ascii="Times New Roman" w:hAnsi="Times New Roman"/>
          <w:i/>
          <w:iCs/>
          <w:sz w:val="24"/>
          <w:szCs w:val="24"/>
        </w:rPr>
        <w:t>private</w:t>
      </w:r>
      <w:r w:rsidRPr="00D561C5">
        <w:rPr>
          <w:rFonts w:ascii="Times New Roman" w:hAnsi="Times New Roman"/>
          <w:sz w:val="24"/>
          <w:szCs w:val="24"/>
        </w:rPr>
        <w:t>. As the Seventh Circuit has explained, ‘the existence and extent of constitutional protection for confidential information [turns on] the type of information involved and the reasonable expectation that that information would remain confidential,’ and ‘medical information may be a form of protected confidential information because of its intimate and personal nature</w:t>
      </w:r>
      <w:r>
        <w:rPr>
          <w:rFonts w:ascii="Times New Roman" w:hAnsi="Times New Roman"/>
          <w:sz w:val="24"/>
          <w:szCs w:val="24"/>
        </w:rPr>
        <w:t>….’</w:t>
      </w:r>
      <w:r w:rsidRPr="00D561C5">
        <w:rPr>
          <w:rFonts w:ascii="Times New Roman" w:hAnsi="Times New Roman"/>
          <w:i/>
          <w:iCs/>
          <w:sz w:val="24"/>
          <w:szCs w:val="24"/>
        </w:rPr>
        <w:t xml:space="preserve"> </w:t>
      </w:r>
      <w:r w:rsidRPr="00D561C5">
        <w:rPr>
          <w:rFonts w:ascii="Times New Roman" w:hAnsi="Times New Roman"/>
          <w:sz w:val="24"/>
          <w:szCs w:val="24"/>
        </w:rPr>
        <w:t xml:space="preserve">That Ortiz lost his left arm may be medical information, but it is not private medical information, as it is a readily observable condition. Ortiz does not allege that he considers his lost arm </w:t>
      </w:r>
      <w:r w:rsidRPr="00D561C5">
        <w:rPr>
          <w:rFonts w:ascii="Times New Roman" w:hAnsi="Times New Roman"/>
          <w:i/>
          <w:iCs/>
          <w:sz w:val="24"/>
          <w:szCs w:val="24"/>
        </w:rPr>
        <w:t>itself</w:t>
      </w:r>
      <w:r w:rsidRPr="00D561C5">
        <w:rPr>
          <w:rFonts w:ascii="Times New Roman" w:hAnsi="Times New Roman"/>
          <w:sz w:val="24"/>
          <w:szCs w:val="24"/>
        </w:rPr>
        <w:t xml:space="preserve">-as opposed to the fact that he lost his arm in a fireworks accident-to be private, nor does he allege that he </w:t>
      </w:r>
      <w:r w:rsidRPr="00D561C5">
        <w:rPr>
          <w:rFonts w:ascii="Times New Roman" w:hAnsi="Times New Roman"/>
          <w:i/>
          <w:iCs/>
          <w:sz w:val="24"/>
          <w:szCs w:val="24"/>
        </w:rPr>
        <w:t>could</w:t>
      </w:r>
      <w:r w:rsidRPr="00D561C5">
        <w:rPr>
          <w:rFonts w:ascii="Times New Roman" w:hAnsi="Times New Roman"/>
          <w:sz w:val="24"/>
          <w:szCs w:val="24"/>
        </w:rPr>
        <w:t xml:space="preserve"> keep private the fact of his lost arm or even that he has any desire to do so.” </w:t>
      </w:r>
      <w:hyperlink r:id="rId2170" w:history="1">
        <w:r w:rsidRPr="00D561C5">
          <w:rPr>
            <w:rStyle w:val="Hyperlink"/>
            <w:rFonts w:ascii="Times New Roman" w:hAnsi="Times New Roman"/>
            <w:sz w:val="24"/>
            <w:szCs w:val="24"/>
          </w:rPr>
          <w:t>https://casetext.com/case/ortiz-v-renteria</w:t>
        </w:r>
      </w:hyperlink>
      <w:r w:rsidRPr="00D561C5">
        <w:rPr>
          <w:rFonts w:ascii="Times New Roman" w:hAnsi="Times New Roman"/>
          <w:sz w:val="24"/>
          <w:szCs w:val="24"/>
        </w:rPr>
        <w:t xml:space="preserve"> </w:t>
      </w:r>
    </w:p>
    <w:p w14:paraId="527482E2" w14:textId="77777777" w:rsidR="00687C24" w:rsidRDefault="00687C24" w:rsidP="00687C24">
      <w:pPr>
        <w:spacing w:before="100" w:beforeAutospacing="1" w:after="100" w:afterAutospacing="1" w:line="240" w:lineRule="auto"/>
        <w:rPr>
          <w:rFonts w:ascii="Times New Roman" w:eastAsia="Times New Roman" w:hAnsi="Times New Roman"/>
          <w:b/>
          <w:bCs/>
          <w:sz w:val="24"/>
          <w:szCs w:val="24"/>
        </w:rPr>
      </w:pPr>
      <w:r w:rsidRPr="00AE29EB">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EMS departments should have a policy prohibiting photographs of patients except for </w:t>
      </w:r>
      <w:proofErr w:type="gramStart"/>
      <w:r>
        <w:rPr>
          <w:rFonts w:ascii="Times New Roman" w:eastAsia="Times New Roman" w:hAnsi="Times New Roman"/>
          <w:b/>
          <w:bCs/>
          <w:sz w:val="24"/>
          <w:szCs w:val="24"/>
        </w:rPr>
        <w:t>those</w:t>
      </w:r>
      <w:proofErr w:type="gramEnd"/>
      <w:r>
        <w:rPr>
          <w:rFonts w:ascii="Times New Roman" w:eastAsia="Times New Roman" w:hAnsi="Times New Roman"/>
          <w:b/>
          <w:bCs/>
          <w:sz w:val="24"/>
          <w:szCs w:val="24"/>
        </w:rPr>
        <w:t xml:space="preserve"> needed to show </w:t>
      </w:r>
      <w:proofErr w:type="gramStart"/>
      <w:r>
        <w:rPr>
          <w:rFonts w:ascii="Times New Roman" w:eastAsia="Times New Roman" w:hAnsi="Times New Roman"/>
          <w:b/>
          <w:bCs/>
          <w:sz w:val="24"/>
          <w:szCs w:val="24"/>
        </w:rPr>
        <w:t>mechanism of injury</w:t>
      </w:r>
      <w:proofErr w:type="gramEnd"/>
      <w:r>
        <w:rPr>
          <w:rFonts w:ascii="Times New Roman" w:eastAsia="Times New Roman" w:hAnsi="Times New Roman"/>
          <w:b/>
          <w:bCs/>
          <w:sz w:val="24"/>
          <w:szCs w:val="24"/>
        </w:rPr>
        <w:t xml:space="preserve"> or other medical </w:t>
      </w:r>
      <w:proofErr w:type="gramStart"/>
      <w:r>
        <w:rPr>
          <w:rFonts w:ascii="Times New Roman" w:eastAsia="Times New Roman" w:hAnsi="Times New Roman"/>
          <w:b/>
          <w:bCs/>
          <w:sz w:val="24"/>
          <w:szCs w:val="24"/>
        </w:rPr>
        <w:t>reason</w:t>
      </w:r>
      <w:proofErr w:type="gramEnd"/>
      <w:r>
        <w:rPr>
          <w:rFonts w:ascii="Times New Roman" w:eastAsia="Times New Roman" w:hAnsi="Times New Roman"/>
          <w:b/>
          <w:bCs/>
          <w:sz w:val="24"/>
          <w:szCs w:val="24"/>
        </w:rPr>
        <w:t>, with copy only provided to hospital and the department.</w:t>
      </w:r>
    </w:p>
    <w:p w14:paraId="5ACDE68D" w14:textId="77777777" w:rsidR="00687C24" w:rsidRPr="00FD4A5B" w:rsidRDefault="00687C24" w:rsidP="00687C24">
      <w:pPr>
        <w:spacing w:before="100" w:beforeAutospacing="1" w:after="100" w:afterAutospacing="1" w:line="240" w:lineRule="auto"/>
        <w:ind w:left="720"/>
        <w:rPr>
          <w:rFonts w:ascii="Times New Roman" w:eastAsia="Times New Roman" w:hAnsi="Times New Roman"/>
          <w:b/>
          <w:bCs/>
          <w:sz w:val="24"/>
          <w:szCs w:val="24"/>
        </w:rPr>
      </w:pPr>
      <w:r w:rsidRPr="00FD4A5B">
        <w:rPr>
          <w:rFonts w:ascii="Times New Roman" w:hAnsi="Times New Roman"/>
          <w:sz w:val="24"/>
          <w:szCs w:val="24"/>
        </w:rPr>
        <w:t xml:space="preserve">Note: Nov. 2, 2021: “Los Angeles County approves $2.5 million settlement for two families over Kobe Bryant crash photos.” </w:t>
      </w:r>
      <w:hyperlink r:id="rId2171" w:history="1">
        <w:r w:rsidRPr="00FD4A5B">
          <w:rPr>
            <w:rStyle w:val="Hyperlink"/>
            <w:rFonts w:ascii="Times New Roman" w:hAnsi="Times New Roman"/>
            <w:sz w:val="24"/>
            <w:szCs w:val="24"/>
          </w:rPr>
          <w:t>https://www.cbsnews.com/news/los-angeles-settlement-families-photos-kobe-bryant-helicopter-crash/</w:t>
        </w:r>
      </w:hyperlink>
    </w:p>
    <w:p w14:paraId="3B61A98D" w14:textId="77777777" w:rsidR="00687C24" w:rsidRDefault="00687C24" w:rsidP="002B1283">
      <w:pPr>
        <w:rPr>
          <w:rFonts w:ascii="Arial Black" w:hAnsi="Arial Black"/>
          <w:b/>
          <w:bCs/>
          <w:sz w:val="28"/>
          <w:szCs w:val="28"/>
        </w:rPr>
      </w:pPr>
    </w:p>
    <w:p w14:paraId="45B0DB2A" w14:textId="77777777" w:rsidR="00687C24" w:rsidRDefault="00687C24" w:rsidP="002B1283">
      <w:pPr>
        <w:rPr>
          <w:rFonts w:ascii="Arial Black" w:hAnsi="Arial Black"/>
          <w:b/>
          <w:bCs/>
          <w:sz w:val="28"/>
          <w:szCs w:val="28"/>
        </w:rPr>
      </w:pPr>
    </w:p>
    <w:p w14:paraId="119EF7FA" w14:textId="77777777" w:rsidR="00687C24" w:rsidRDefault="00687C24" w:rsidP="002B1283">
      <w:pPr>
        <w:rPr>
          <w:rFonts w:ascii="Arial Black" w:hAnsi="Arial Black"/>
          <w:b/>
          <w:bCs/>
          <w:sz w:val="28"/>
          <w:szCs w:val="28"/>
        </w:rPr>
      </w:pPr>
    </w:p>
    <w:p w14:paraId="272A8D44" w14:textId="121B0A66" w:rsidR="00885321" w:rsidRDefault="00885321"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6</w:t>
      </w:r>
    </w:p>
    <w:p w14:paraId="0D8AB1B4" w14:textId="77777777" w:rsidR="00885321" w:rsidRPr="00C04A42" w:rsidRDefault="00885321" w:rsidP="0088532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PATIENTS CARDIAC / STROKE ISSUES – CANNOT FORCE EMS TAKE TO HOSP. WERE THEIR MDs HAVE PRIVILEGES</w:t>
      </w:r>
    </w:p>
    <w:p w14:paraId="1CD0039C" w14:textId="77777777" w:rsidR="00885321" w:rsidRPr="000D1A3B" w:rsidRDefault="00885321" w:rsidP="00885321">
      <w:pPr>
        <w:spacing w:before="100" w:beforeAutospacing="1" w:after="100" w:afterAutospacing="1" w:line="240" w:lineRule="auto"/>
        <w:rPr>
          <w:rFonts w:ascii="Times New Roman" w:eastAsia="Times New Roman" w:hAnsi="Times New Roman"/>
          <w:sz w:val="24"/>
          <w:szCs w:val="24"/>
        </w:rPr>
      </w:pPr>
      <w:r w:rsidRPr="00C04A42">
        <w:rPr>
          <w:rFonts w:ascii="Times New Roman" w:eastAsia="Times New Roman" w:hAnsi="Times New Roman"/>
          <w:sz w:val="24"/>
          <w:szCs w:val="24"/>
        </w:rPr>
        <w:t xml:space="preserve">On </w:t>
      </w:r>
      <w:r>
        <w:rPr>
          <w:rFonts w:ascii="Times New Roman" w:eastAsia="Times New Roman" w:hAnsi="Times New Roman"/>
          <w:sz w:val="24"/>
          <w:szCs w:val="24"/>
        </w:rPr>
        <w:t xml:space="preserve">Nov. 1, 2021, in </w:t>
      </w:r>
      <w:r w:rsidRPr="000D1A3B">
        <w:rPr>
          <w:rFonts w:ascii="Times New Roman" w:eastAsia="Times New Roman" w:hAnsi="Times New Roman"/>
          <w:sz w:val="24"/>
          <w:szCs w:val="24"/>
          <w:u w:val="single"/>
        </w:rPr>
        <w:t>Davin Warren, et al., v. County of Sacramento</w:t>
      </w:r>
      <w:r>
        <w:rPr>
          <w:rFonts w:ascii="Times New Roman" w:eastAsia="Times New Roman" w:hAnsi="Times New Roman"/>
          <w:sz w:val="24"/>
          <w:szCs w:val="24"/>
        </w:rPr>
        <w:t xml:space="preserve">, the California Court of Appeals, Third District (Sacramento) held (3 to 0; unpublished decision) that the trial court properly granted summary judgment to the County. While sympathetic that they have suffered numerous cardiac </w:t>
      </w:r>
      <w:proofErr w:type="gramStart"/>
      <w:r>
        <w:rPr>
          <w:rFonts w:ascii="Times New Roman" w:eastAsia="Times New Roman" w:hAnsi="Times New Roman"/>
          <w:sz w:val="24"/>
          <w:szCs w:val="24"/>
        </w:rPr>
        <w:t>incident</w:t>
      </w:r>
      <w:proofErr w:type="gramEnd"/>
      <w:r>
        <w:rPr>
          <w:rFonts w:ascii="Times New Roman" w:eastAsia="Times New Roman" w:hAnsi="Times New Roman"/>
          <w:sz w:val="24"/>
          <w:szCs w:val="24"/>
        </w:rPr>
        <w:t xml:space="preserve"> and are at significant risk of stroke, they had no right under California law to force the ambulance to take them only to </w:t>
      </w:r>
      <w:r w:rsidRPr="000D1A3B">
        <w:rPr>
          <w:rFonts w:ascii="Times New Roman" w:hAnsi="Times New Roman"/>
          <w:sz w:val="24"/>
          <w:szCs w:val="24"/>
        </w:rPr>
        <w:t>University of California Davis Medical Center</w:t>
      </w:r>
      <w:r>
        <w:rPr>
          <w:rFonts w:ascii="Times New Roman" w:hAnsi="Times New Roman"/>
          <w:sz w:val="24"/>
          <w:szCs w:val="24"/>
        </w:rPr>
        <w:t xml:space="preserve"> where their treating physicians had medical privileges.  The Medical Director of the County EMS determined that </w:t>
      </w:r>
      <w:r w:rsidRPr="00D7646F">
        <w:rPr>
          <w:rFonts w:ascii="Times New Roman" w:hAnsi="Times New Roman"/>
          <w:sz w:val="24"/>
          <w:szCs w:val="24"/>
        </w:rPr>
        <w:t xml:space="preserve">Mercy San Juan </w:t>
      </w:r>
      <w:r>
        <w:rPr>
          <w:rFonts w:ascii="Times New Roman" w:hAnsi="Times New Roman"/>
          <w:sz w:val="24"/>
          <w:szCs w:val="24"/>
        </w:rPr>
        <w:t xml:space="preserve">Hospital </w:t>
      </w:r>
      <w:r w:rsidRPr="00D7646F">
        <w:rPr>
          <w:rFonts w:ascii="Times New Roman" w:hAnsi="Times New Roman"/>
          <w:sz w:val="24"/>
          <w:szCs w:val="24"/>
        </w:rPr>
        <w:t>had a higher certification for stroke care than UC Davis</w:t>
      </w:r>
      <w:r>
        <w:rPr>
          <w:rFonts w:ascii="Times New Roman" w:hAnsi="Times New Roman"/>
          <w:sz w:val="24"/>
          <w:szCs w:val="24"/>
        </w:rPr>
        <w:t xml:space="preserve">, and they have been properly transported to Mercy San Juan last three emergency transports. They always have right to arrange their own transport to UC Davis. </w:t>
      </w:r>
    </w:p>
    <w:p w14:paraId="73273A81" w14:textId="77777777" w:rsidR="00885321" w:rsidRDefault="00885321" w:rsidP="00885321">
      <w:pPr>
        <w:pStyle w:val="NormalWeb"/>
        <w:ind w:left="720" w:firstLine="60"/>
      </w:pPr>
      <w:r>
        <w:t>“Does the right to privacy include the individual's right to determine which hospital emergency room an ambulance will take the person to during a medical emergency? The trial court in this case found no such right of privacy exists and entered a judgment against plaintiffs and appellants David Warren and Kathryn C. Warren.</w:t>
      </w:r>
    </w:p>
    <w:p w14:paraId="42FC67F7" w14:textId="77777777" w:rsidR="00885321" w:rsidRDefault="00885321" w:rsidP="00885321">
      <w:pPr>
        <w:pStyle w:val="NormalWeb"/>
        <w:ind w:left="720" w:firstLine="60"/>
        <w:rPr>
          <w:b/>
          <w:bCs/>
        </w:rPr>
      </w:pPr>
      <w:r>
        <w:lastRenderedPageBreak/>
        <w:t>***</w:t>
      </w:r>
    </w:p>
    <w:p w14:paraId="682D475E" w14:textId="77777777" w:rsidR="00885321" w:rsidRDefault="00885321" w:rsidP="00885321">
      <w:pPr>
        <w:pStyle w:val="NormalWeb"/>
        <w:ind w:left="720"/>
      </w:pPr>
      <w:r>
        <w:t xml:space="preserve">[W]e </w:t>
      </w:r>
      <w:proofErr w:type="gramStart"/>
      <w:r>
        <w:t>conclude</w:t>
      </w:r>
      <w:proofErr w:type="gramEnd"/>
      <w:r>
        <w:t xml:space="preserve"> that the right to privacy does not encompass </w:t>
      </w:r>
      <w:proofErr w:type="gramStart"/>
      <w:r>
        <w:t>a right</w:t>
      </w:r>
      <w:proofErr w:type="gramEnd"/>
      <w:r>
        <w:t xml:space="preserve"> to direct an ambulance to the emergency room of one's choice during a medical emergency. We shall affirm the judgment.” </w:t>
      </w:r>
      <w:hyperlink r:id="rId2172" w:history="1">
        <w:r w:rsidRPr="00F67801">
          <w:rPr>
            <w:rStyle w:val="Hyperlink"/>
          </w:rPr>
          <w:t>https://casetext.com/case/warren-v-cnty-of-sacramento</w:t>
        </w:r>
      </w:hyperlink>
      <w:r>
        <w:t xml:space="preserve"> </w:t>
      </w:r>
    </w:p>
    <w:p w14:paraId="5ECEFEFD" w14:textId="77777777" w:rsidR="00687C24" w:rsidRPr="00F8175A" w:rsidRDefault="00687C24" w:rsidP="00687C24">
      <w:pPr>
        <w:pStyle w:val="NormalWeb"/>
        <w:rPr>
          <w:b/>
          <w:bCs/>
        </w:rPr>
      </w:pPr>
      <w:r w:rsidRPr="00F8175A">
        <w:rPr>
          <w:b/>
          <w:bCs/>
        </w:rPr>
        <w:t>Legal Lesson Learned:</w:t>
      </w:r>
      <w:r>
        <w:rPr>
          <w:b/>
          <w:bCs/>
        </w:rPr>
        <w:t xml:space="preserve"> In a medical emergency, EMS have right to take a patient to the most appropriate hospital. </w:t>
      </w:r>
    </w:p>
    <w:p w14:paraId="164C70A9" w14:textId="77777777" w:rsidR="00885321" w:rsidRDefault="00885321" w:rsidP="002B1283">
      <w:pPr>
        <w:rPr>
          <w:rFonts w:ascii="Arial Black" w:hAnsi="Arial Black"/>
          <w:b/>
          <w:bCs/>
          <w:sz w:val="28"/>
          <w:szCs w:val="28"/>
        </w:rPr>
      </w:pPr>
    </w:p>
    <w:p w14:paraId="36B85422" w14:textId="77777777" w:rsidR="00885321" w:rsidRDefault="00885321" w:rsidP="002B1283">
      <w:pPr>
        <w:rPr>
          <w:rFonts w:ascii="Arial Black" w:hAnsi="Arial Black"/>
          <w:b/>
          <w:bCs/>
          <w:sz w:val="28"/>
          <w:szCs w:val="28"/>
        </w:rPr>
      </w:pPr>
    </w:p>
    <w:p w14:paraId="58362567" w14:textId="744FC24F" w:rsidR="00774A91" w:rsidRDefault="00774A91"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5</w:t>
      </w:r>
    </w:p>
    <w:p w14:paraId="68F7BA5D" w14:textId="77777777" w:rsidR="00774A91" w:rsidRDefault="00774A91" w:rsidP="00774A9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AL: EMT WITNESS FOR FED. GOVT – WAS CALLED TO COUNTY JAIL - POLICE LIEUTENANT CONVICTED </w:t>
      </w:r>
    </w:p>
    <w:p w14:paraId="02B5794D" w14:textId="77777777" w:rsidR="00774A91" w:rsidRPr="00E01A44" w:rsidRDefault="00774A91" w:rsidP="00774A9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25, 2021, in </w:t>
      </w:r>
      <w:r w:rsidRPr="00092366">
        <w:rPr>
          <w:rFonts w:ascii="Times New Roman" w:eastAsia="Times New Roman" w:hAnsi="Times New Roman"/>
          <w:sz w:val="24"/>
          <w:szCs w:val="24"/>
          <w:u w:val="single"/>
        </w:rPr>
        <w:t>United States of America v. Alex Huntley</w:t>
      </w:r>
      <w:r>
        <w:rPr>
          <w:rFonts w:ascii="Times New Roman" w:eastAsia="Times New Roman" w:hAnsi="Times New Roman"/>
          <w:sz w:val="24"/>
          <w:szCs w:val="24"/>
        </w:rPr>
        <w:t>, the U.S. Court of Appeals for the 11</w:t>
      </w:r>
      <w:r w:rsidRPr="0009236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(Atlanta, GA) held (3 to 0; unpublished opinion) that federal jury properly convicted former lieutenant of the Tuskegee, Alabama police department of </w:t>
      </w:r>
      <w:r w:rsidRPr="00092366">
        <w:rPr>
          <w:rFonts w:ascii="Times New Roman" w:hAnsi="Times New Roman"/>
          <w:sz w:val="24"/>
          <w:szCs w:val="24"/>
        </w:rPr>
        <w:t>deprivation of rights under color of law resulting in bodily injury, in violation of 18 U.S.C. § 242.</w:t>
      </w:r>
      <w:r>
        <w:rPr>
          <w:rFonts w:ascii="Times New Roman" w:hAnsi="Times New Roman"/>
          <w:sz w:val="24"/>
          <w:szCs w:val="24"/>
        </w:rPr>
        <w:t xml:space="preserve"> </w:t>
      </w:r>
      <w:r w:rsidRPr="00E01A44">
        <w:rPr>
          <w:rStyle w:val="markedcontent"/>
          <w:rFonts w:ascii="Times New Roman" w:hAnsi="Times New Roman"/>
          <w:sz w:val="24"/>
          <w:szCs w:val="24"/>
        </w:rPr>
        <w:t>Huntley was sentenced to 36 months’ imprisonment and three years’ supervised release.</w:t>
      </w:r>
      <w:r w:rsidRPr="00E01A44">
        <w:rPr>
          <w:rFonts w:ascii="Times New Roman" w:eastAsia="Times New Roman" w:hAnsi="Times New Roman"/>
          <w:sz w:val="24"/>
          <w:szCs w:val="24"/>
        </w:rPr>
        <w:tab/>
      </w:r>
      <w:r w:rsidRPr="00E01A44">
        <w:rPr>
          <w:rFonts w:ascii="Times New Roman" w:eastAsia="Times New Roman" w:hAnsi="Times New Roman"/>
          <w:sz w:val="24"/>
          <w:szCs w:val="24"/>
        </w:rPr>
        <w:tab/>
      </w:r>
      <w:r w:rsidRPr="00E01A44">
        <w:rPr>
          <w:rFonts w:ascii="Times New Roman" w:eastAsia="Times New Roman" w:hAnsi="Times New Roman"/>
          <w:sz w:val="24"/>
          <w:szCs w:val="24"/>
        </w:rPr>
        <w:tab/>
      </w:r>
      <w:r w:rsidRPr="00E01A44">
        <w:rPr>
          <w:rFonts w:ascii="Times New Roman" w:eastAsia="Times New Roman" w:hAnsi="Times New Roman"/>
          <w:sz w:val="24"/>
          <w:szCs w:val="24"/>
        </w:rPr>
        <w:tab/>
      </w:r>
    </w:p>
    <w:p w14:paraId="06FB2796"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092366">
        <w:rPr>
          <w:rFonts w:ascii="Times New Roman" w:eastAsia="Times New Roman" w:hAnsi="Times New Roman"/>
          <w:sz w:val="24"/>
          <w:szCs w:val="24"/>
        </w:rPr>
        <w:t>At trial, the government presented evidence of the facts recounted above, including, among other things, (1) testimony from Turk, EMT Peterson, Officer Echols, Officer Craig, and four Tuskegee Police Department trainees who were at the police station on December 24, 2014; (2) the pants Turk wore that day, which had blood stains on them; and (3) pictures of Turk taken by his mother soon after the incident, in which he had chipped teeth, cuts, scratches, swollen wrists, and bruises.</w:t>
      </w:r>
      <w:r>
        <w:rPr>
          <w:rFonts w:ascii="Times New Roman" w:eastAsia="Times New Roman" w:hAnsi="Times New Roman"/>
          <w:sz w:val="24"/>
          <w:szCs w:val="24"/>
        </w:rPr>
        <w:t>”</w:t>
      </w:r>
    </w:p>
    <w:p w14:paraId="6C2A6A34"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4FD2E714" w14:textId="32392D04" w:rsidR="00774A91" w:rsidRDefault="00774A91" w:rsidP="00774A91">
      <w:pPr>
        <w:rPr>
          <w:rFonts w:ascii="Arial Black" w:hAnsi="Arial Black"/>
          <w:b/>
          <w:bCs/>
          <w:sz w:val="28"/>
          <w:szCs w:val="28"/>
        </w:rPr>
      </w:pPr>
      <w:r w:rsidRPr="00E01A44">
        <w:rPr>
          <w:rFonts w:ascii="Times New Roman" w:hAnsi="Times New Roman"/>
          <w:sz w:val="24"/>
          <w:szCs w:val="24"/>
        </w:rPr>
        <w:t xml:space="preserve">Moreover, the trial testimony sufficiently showed that Huntley's actions leading into the police station and inside the building resulted in at least some bodily injury to Turk. Trial witnesses testified that Turk had blood in his mouth and on his face after the briefing room incident, indicating </w:t>
      </w:r>
      <w:proofErr w:type="gramStart"/>
      <w:r w:rsidRPr="00E01A44">
        <w:rPr>
          <w:rFonts w:ascii="Times New Roman" w:hAnsi="Times New Roman"/>
          <w:sz w:val="24"/>
          <w:szCs w:val="24"/>
        </w:rPr>
        <w:t>some kind of cut</w:t>
      </w:r>
      <w:proofErr w:type="gramEnd"/>
      <w:r w:rsidRPr="00E01A44">
        <w:rPr>
          <w:rFonts w:ascii="Times New Roman" w:hAnsi="Times New Roman"/>
          <w:sz w:val="24"/>
          <w:szCs w:val="24"/>
        </w:rPr>
        <w:t xml:space="preserve"> or abrasion occurred in the briefing room. The government </w:t>
      </w:r>
      <w:proofErr w:type="gramStart"/>
      <w:r w:rsidRPr="00E01A44">
        <w:rPr>
          <w:rFonts w:ascii="Times New Roman" w:hAnsi="Times New Roman"/>
          <w:sz w:val="24"/>
          <w:szCs w:val="24"/>
        </w:rPr>
        <w:t>entered into</w:t>
      </w:r>
      <w:proofErr w:type="gramEnd"/>
      <w:r w:rsidRPr="00E01A44">
        <w:rPr>
          <w:rFonts w:ascii="Times New Roman" w:hAnsi="Times New Roman"/>
          <w:sz w:val="24"/>
          <w:szCs w:val="24"/>
        </w:rPr>
        <w:t xml:space="preserve"> </w:t>
      </w:r>
      <w:proofErr w:type="gramStart"/>
      <w:r w:rsidRPr="00E01A44">
        <w:rPr>
          <w:rFonts w:ascii="Times New Roman" w:hAnsi="Times New Roman"/>
          <w:sz w:val="24"/>
          <w:szCs w:val="24"/>
        </w:rPr>
        <w:t>evidence</w:t>
      </w:r>
      <w:proofErr w:type="gramEnd"/>
      <w:r w:rsidRPr="00E01A44">
        <w:rPr>
          <w:rFonts w:ascii="Times New Roman" w:hAnsi="Times New Roman"/>
          <w:sz w:val="24"/>
          <w:szCs w:val="24"/>
        </w:rPr>
        <w:t xml:space="preserve"> a pair of bloodstained pants that Turk testified were stained </w:t>
      </w:r>
      <w:proofErr w:type="gramStart"/>
      <w:r w:rsidRPr="00E01A44">
        <w:rPr>
          <w:rFonts w:ascii="Times New Roman" w:hAnsi="Times New Roman"/>
          <w:sz w:val="24"/>
          <w:szCs w:val="24"/>
        </w:rPr>
        <w:t>as a result of</w:t>
      </w:r>
      <w:proofErr w:type="gramEnd"/>
      <w:r w:rsidRPr="00E01A44">
        <w:rPr>
          <w:rFonts w:ascii="Times New Roman" w:hAnsi="Times New Roman"/>
          <w:sz w:val="24"/>
          <w:szCs w:val="24"/>
        </w:rPr>
        <w:t xml:space="preserve"> his injuries from Huntley and pictures taken of Turk soon after the incident showing him with chipped teeth, cuts, and bruises. Peterson testified that Turk had a bloody lip, abrasions, and red eyes, and that Turk reported feeling pain all over his body. In addition, Turk himself testified that he was in pain because of the mace sprayed in his eyes and</w:t>
      </w:r>
      <w:r>
        <w:rPr>
          <w:rFonts w:ascii="Times New Roman" w:hAnsi="Times New Roman"/>
          <w:sz w:val="24"/>
          <w:szCs w:val="24"/>
        </w:rPr>
        <w:t xml:space="preserve"> </w:t>
      </w:r>
      <w:r w:rsidRPr="00E01A44">
        <w:rPr>
          <w:rFonts w:ascii="Times New Roman" w:hAnsi="Times New Roman"/>
          <w:sz w:val="24"/>
          <w:szCs w:val="24"/>
        </w:rPr>
        <w:t>the physical assaults that occurred inside the holding cell room and the briefing room.</w:t>
      </w:r>
      <w:r>
        <w:rPr>
          <w:rFonts w:ascii="Times New Roman" w:hAnsi="Times New Roman"/>
          <w:sz w:val="24"/>
          <w:szCs w:val="24"/>
        </w:rPr>
        <w:t xml:space="preserve">” </w:t>
      </w:r>
      <w:hyperlink r:id="rId2173" w:history="1">
        <w:r w:rsidRPr="00386EA0">
          <w:rPr>
            <w:rStyle w:val="Hyperlink"/>
            <w:sz w:val="24"/>
            <w:szCs w:val="24"/>
          </w:rPr>
          <w:t>https://media.ca11.uscourts.gov/opinions/unpub/files/201814119.pdf</w:t>
        </w:r>
      </w:hyperlink>
    </w:p>
    <w:p w14:paraId="1F75D683" w14:textId="77777777" w:rsidR="00774A91" w:rsidRDefault="00774A91" w:rsidP="00774A91">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EMS personnel may become witnesses to a police assault; fully document the patient’s injuries and our advice that prisoner be taken to hospital. </w:t>
      </w:r>
    </w:p>
    <w:p w14:paraId="5FB56446" w14:textId="77777777" w:rsidR="00774A91" w:rsidRDefault="00774A91" w:rsidP="002B1283">
      <w:pPr>
        <w:rPr>
          <w:rFonts w:ascii="Arial Black" w:hAnsi="Arial Black"/>
          <w:b/>
          <w:bCs/>
          <w:sz w:val="28"/>
          <w:szCs w:val="28"/>
        </w:rPr>
      </w:pPr>
    </w:p>
    <w:p w14:paraId="7FD612D3" w14:textId="366E40A6" w:rsidR="00774A91" w:rsidRDefault="00774A91" w:rsidP="002B1283">
      <w:pPr>
        <w:rPr>
          <w:rFonts w:ascii="Arial Black" w:hAnsi="Arial Black"/>
          <w:b/>
          <w:bCs/>
          <w:sz w:val="28"/>
          <w:szCs w:val="28"/>
        </w:rPr>
      </w:pPr>
      <w:r>
        <w:rPr>
          <w:rFonts w:ascii="Arial Black" w:hAnsi="Arial Black"/>
          <w:b/>
          <w:bCs/>
          <w:sz w:val="28"/>
          <w:szCs w:val="28"/>
        </w:rPr>
        <w:lastRenderedPageBreak/>
        <w:t>13-9</w:t>
      </w:r>
      <w:r w:rsidR="00687C24">
        <w:rPr>
          <w:rFonts w:ascii="Arial Black" w:hAnsi="Arial Black"/>
          <w:b/>
          <w:bCs/>
          <w:sz w:val="28"/>
          <w:szCs w:val="28"/>
        </w:rPr>
        <w:t>4</w:t>
      </w:r>
    </w:p>
    <w:p w14:paraId="1F3F1DAF" w14:textId="77777777" w:rsidR="00774A91" w:rsidRPr="00D3301A" w:rsidRDefault="00774A91" w:rsidP="00774A91">
      <w:pPr>
        <w:pStyle w:val="Heading1"/>
        <w:rPr>
          <w:rStyle w:val="Strong"/>
          <w:rFonts w:ascii="Arial Black" w:eastAsiaTheme="majorEastAsia" w:hAnsi="Arial Black"/>
          <w:sz w:val="28"/>
          <w:szCs w:val="28"/>
        </w:rPr>
      </w:pPr>
      <w:r>
        <w:rPr>
          <w:rStyle w:val="Strong"/>
          <w:rFonts w:ascii="Arial Black" w:eastAsiaTheme="majorEastAsia" w:hAnsi="Arial Black"/>
          <w:sz w:val="28"/>
          <w:szCs w:val="28"/>
        </w:rPr>
        <w:t>OH: AMBULANCE CO. SUED BY BILLING MGR., BILLER &amp; EMT - “UP CODE” BILLING – U.S. GOV’T HAS INTERVENED</w:t>
      </w:r>
    </w:p>
    <w:p w14:paraId="5362846F" w14:textId="77777777" w:rsidR="00774A91" w:rsidRDefault="00774A91" w:rsidP="00774A91">
      <w:pPr>
        <w:spacing w:before="100" w:beforeAutospacing="1" w:after="100" w:afterAutospacing="1" w:line="240" w:lineRule="auto"/>
        <w:rPr>
          <w:rFonts w:ascii="Times New Roman" w:eastAsia="Times New Roman" w:hAnsi="Times New Roman"/>
          <w:sz w:val="24"/>
          <w:szCs w:val="24"/>
        </w:rPr>
      </w:pPr>
      <w:r w:rsidRPr="005271C0">
        <w:rPr>
          <w:rFonts w:ascii="Times New Roman" w:eastAsia="Times New Roman" w:hAnsi="Times New Roman"/>
          <w:sz w:val="24"/>
          <w:szCs w:val="24"/>
        </w:rPr>
        <w:t xml:space="preserve">On </w:t>
      </w:r>
      <w:r>
        <w:rPr>
          <w:rFonts w:ascii="Times New Roman" w:eastAsia="Times New Roman" w:hAnsi="Times New Roman"/>
          <w:sz w:val="24"/>
          <w:szCs w:val="24"/>
        </w:rPr>
        <w:t xml:space="preserve">Oct. 18, 2021, in </w:t>
      </w:r>
      <w:r w:rsidRPr="005271C0">
        <w:rPr>
          <w:rFonts w:ascii="Times New Roman" w:eastAsia="Times New Roman" w:hAnsi="Times New Roman"/>
          <w:sz w:val="24"/>
          <w:szCs w:val="24"/>
          <w:u w:val="single"/>
        </w:rPr>
        <w:t>United States of America ex rel. Brandee White v. Mobile Care EMS &amp; Transport, Inc. et al.</w:t>
      </w:r>
      <w:r>
        <w:rPr>
          <w:rFonts w:ascii="Times New Roman" w:eastAsia="Times New Roman" w:hAnsi="Times New Roman"/>
          <w:sz w:val="24"/>
          <w:szCs w:val="24"/>
        </w:rPr>
        <w:t xml:space="preserve">, U.S. District Court Judge Douglas R. Cole, U.S. District Court, Southern District of Ohio (Western Division) denied Mobile Care’s motion to dismiss the lawsuit. </w:t>
      </w:r>
    </w:p>
    <w:p w14:paraId="057F8991" w14:textId="77777777" w:rsidR="00774A91" w:rsidRDefault="00774A91" w:rsidP="00774A91">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5271C0">
        <w:rPr>
          <w:rFonts w:ascii="Times New Roman" w:hAnsi="Times New Roman"/>
          <w:sz w:val="24"/>
          <w:szCs w:val="24"/>
        </w:rPr>
        <w:t>Relator White was a Mobile Care employee</w:t>
      </w:r>
      <w:r>
        <w:rPr>
          <w:rFonts w:ascii="Times New Roman" w:hAnsi="Times New Roman"/>
          <w:sz w:val="24"/>
          <w:szCs w:val="24"/>
        </w:rPr>
        <w:t xml:space="preserve">…. </w:t>
      </w:r>
      <w:r w:rsidRPr="005271C0">
        <w:rPr>
          <w:rFonts w:ascii="Times New Roman" w:hAnsi="Times New Roman"/>
          <w:sz w:val="24"/>
          <w:szCs w:val="24"/>
        </w:rPr>
        <w:t>The company hired her to oversee Mobile Care's billing practices</w:t>
      </w:r>
      <w:r>
        <w:rPr>
          <w:rFonts w:ascii="Times New Roman" w:hAnsi="Times New Roman"/>
          <w:sz w:val="24"/>
          <w:szCs w:val="24"/>
        </w:rPr>
        <w:t xml:space="preserve">…. </w:t>
      </w:r>
      <w:r w:rsidRPr="005271C0">
        <w:rPr>
          <w:rFonts w:ascii="Times New Roman" w:hAnsi="Times New Roman"/>
          <w:sz w:val="24"/>
          <w:szCs w:val="24"/>
        </w:rPr>
        <w:t xml:space="preserve">She claims that, beginning in December of 2009 and continuing at least through the date of the second amended complaint, Mobile Care had </w:t>
      </w:r>
      <w:r>
        <w:rPr>
          <w:rFonts w:ascii="Times New Roman" w:hAnsi="Times New Roman"/>
          <w:sz w:val="24"/>
          <w:szCs w:val="24"/>
        </w:rPr>
        <w:t>‘</w:t>
      </w:r>
      <w:r w:rsidRPr="005271C0">
        <w:rPr>
          <w:rFonts w:ascii="Times New Roman" w:hAnsi="Times New Roman"/>
          <w:sz w:val="24"/>
          <w:szCs w:val="24"/>
        </w:rPr>
        <w:t>knowingly … caused the submission of false or fraudulent claims to Government healthcare programs, and made or caused to be made false records and statements to get claims for ambulance services to Government healthcare programs paid</w:t>
      </w:r>
      <w:r>
        <w:rPr>
          <w:rFonts w:ascii="Times New Roman" w:hAnsi="Times New Roman"/>
          <w:sz w:val="24"/>
          <w:szCs w:val="24"/>
        </w:rPr>
        <w:t>….</w:t>
      </w:r>
      <w:r w:rsidRPr="005271C0">
        <w:rPr>
          <w:rFonts w:ascii="Times New Roman" w:hAnsi="Times New Roman"/>
          <w:sz w:val="24"/>
          <w:szCs w:val="24"/>
        </w:rPr>
        <w:t xml:space="preserve">” In particular, she alleges that Mobile Care was </w:t>
      </w:r>
      <w:r>
        <w:rPr>
          <w:rFonts w:ascii="Times New Roman" w:hAnsi="Times New Roman"/>
          <w:sz w:val="24"/>
          <w:szCs w:val="24"/>
        </w:rPr>
        <w:t>‘</w:t>
      </w:r>
      <w:r w:rsidRPr="005271C0">
        <w:rPr>
          <w:rFonts w:ascii="Times New Roman" w:hAnsi="Times New Roman"/>
          <w:sz w:val="24"/>
          <w:szCs w:val="24"/>
        </w:rPr>
        <w:t>pressuring its employees</w:t>
      </w:r>
      <w:r>
        <w:rPr>
          <w:rFonts w:ascii="Times New Roman" w:hAnsi="Times New Roman"/>
          <w:sz w:val="24"/>
          <w:szCs w:val="24"/>
        </w:rPr>
        <w:t>’</w:t>
      </w:r>
      <w:r w:rsidRPr="005271C0">
        <w:rPr>
          <w:rFonts w:ascii="Times New Roman" w:hAnsi="Times New Roman"/>
          <w:sz w:val="24"/>
          <w:szCs w:val="24"/>
        </w:rPr>
        <w:t xml:space="preserve"> to </w:t>
      </w:r>
      <w:r>
        <w:rPr>
          <w:rFonts w:ascii="Times New Roman" w:hAnsi="Times New Roman"/>
          <w:sz w:val="24"/>
          <w:szCs w:val="24"/>
        </w:rPr>
        <w:t>‘</w:t>
      </w:r>
      <w:proofErr w:type="spellStart"/>
      <w:r w:rsidRPr="005271C0">
        <w:rPr>
          <w:rFonts w:ascii="Times New Roman" w:hAnsi="Times New Roman"/>
          <w:sz w:val="24"/>
          <w:szCs w:val="24"/>
        </w:rPr>
        <w:t>upcode</w:t>
      </w:r>
      <w:proofErr w:type="spellEnd"/>
      <w:r>
        <w:rPr>
          <w:rFonts w:ascii="Times New Roman" w:hAnsi="Times New Roman"/>
          <w:sz w:val="24"/>
          <w:szCs w:val="24"/>
        </w:rPr>
        <w:t>’</w:t>
      </w:r>
      <w:r w:rsidRPr="005271C0">
        <w:rPr>
          <w:rFonts w:ascii="Times New Roman" w:hAnsi="Times New Roman"/>
          <w:sz w:val="24"/>
          <w:szCs w:val="24"/>
        </w:rPr>
        <w:t xml:space="preserve"> medical transport services to higher billing levels. </w:t>
      </w:r>
    </w:p>
    <w:p w14:paraId="08CD4118" w14:textId="77777777" w:rsidR="00774A91" w:rsidRPr="005271C0"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4546D8C9"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sidRPr="00E74680">
        <w:rPr>
          <w:rFonts w:ascii="Times New Roman" w:eastAsia="Times New Roman" w:hAnsi="Times New Roman"/>
          <w:sz w:val="24"/>
          <w:szCs w:val="24"/>
        </w:rPr>
        <w:t>The other two relators are likewise Mobile Care employees, one a biller and one a licensed EMT</w:t>
      </w:r>
      <w:r>
        <w:rPr>
          <w:rFonts w:ascii="Times New Roman" w:eastAsia="Times New Roman" w:hAnsi="Times New Roman"/>
          <w:sz w:val="24"/>
          <w:szCs w:val="24"/>
        </w:rPr>
        <w:t xml:space="preserve">…. </w:t>
      </w:r>
      <w:r w:rsidRPr="00E74680">
        <w:rPr>
          <w:rFonts w:ascii="Times New Roman" w:eastAsia="Times New Roman" w:hAnsi="Times New Roman"/>
          <w:sz w:val="24"/>
          <w:szCs w:val="24"/>
        </w:rPr>
        <w:t xml:space="preserve"> The former claims she “</w:t>
      </w:r>
      <w:proofErr w:type="spellStart"/>
      <w:r w:rsidRPr="00E74680">
        <w:rPr>
          <w:rFonts w:ascii="Times New Roman" w:eastAsia="Times New Roman" w:hAnsi="Times New Roman"/>
          <w:sz w:val="24"/>
          <w:szCs w:val="24"/>
        </w:rPr>
        <w:t>refus</w:t>
      </w:r>
      <w:proofErr w:type="spellEnd"/>
      <w:r w:rsidRPr="00E74680">
        <w:rPr>
          <w:rFonts w:ascii="Times New Roman" w:eastAsia="Times New Roman" w:hAnsi="Times New Roman"/>
          <w:sz w:val="24"/>
          <w:szCs w:val="24"/>
        </w:rPr>
        <w:t>[ed] to bill for services that were not supported by … records</w:t>
      </w:r>
      <w:r>
        <w:rPr>
          <w:rFonts w:ascii="Times New Roman" w:eastAsia="Times New Roman" w:hAnsi="Times New Roman"/>
          <w:sz w:val="24"/>
          <w:szCs w:val="24"/>
        </w:rPr>
        <w:t>….</w:t>
      </w:r>
      <w:r w:rsidRPr="00E74680">
        <w:rPr>
          <w:rFonts w:ascii="Times New Roman" w:eastAsia="Times New Roman" w:hAnsi="Times New Roman"/>
          <w:sz w:val="24"/>
          <w:szCs w:val="24"/>
        </w:rPr>
        <w:t xml:space="preserve">” The latter claims that he was instructed </w:t>
      </w:r>
      <w:r>
        <w:rPr>
          <w:rFonts w:ascii="Times New Roman" w:eastAsia="Times New Roman" w:hAnsi="Times New Roman"/>
          <w:sz w:val="24"/>
          <w:szCs w:val="24"/>
        </w:rPr>
        <w:t>‘</w:t>
      </w:r>
      <w:r w:rsidRPr="00E74680">
        <w:rPr>
          <w:rFonts w:ascii="Times New Roman" w:eastAsia="Times New Roman" w:hAnsi="Times New Roman"/>
          <w:sz w:val="24"/>
          <w:szCs w:val="24"/>
        </w:rPr>
        <w:t>to add specific statements and words to [his] Patient Care Reports in order to create the impression that the patients had a medically necessary reason requiring them to be transported</w:t>
      </w:r>
      <w:r>
        <w:rPr>
          <w:rFonts w:ascii="Times New Roman" w:eastAsia="Times New Roman" w:hAnsi="Times New Roman"/>
          <w:sz w:val="24"/>
          <w:szCs w:val="24"/>
        </w:rPr>
        <w:t>’</w:t>
      </w:r>
      <w:r w:rsidRPr="00E74680">
        <w:rPr>
          <w:rFonts w:ascii="Times New Roman" w:eastAsia="Times New Roman" w:hAnsi="Times New Roman"/>
          <w:sz w:val="24"/>
          <w:szCs w:val="24"/>
        </w:rPr>
        <w:t xml:space="preserve"> even if that was not the case</w:t>
      </w:r>
      <w:r>
        <w:rPr>
          <w:rFonts w:ascii="Times New Roman" w:eastAsia="Times New Roman" w:hAnsi="Times New Roman"/>
          <w:sz w:val="24"/>
          <w:szCs w:val="24"/>
        </w:rPr>
        <w:t>….</w:t>
      </w:r>
      <w:r w:rsidRPr="00E74680">
        <w:rPr>
          <w:rFonts w:ascii="Times New Roman" w:eastAsia="Times New Roman" w:hAnsi="Times New Roman"/>
          <w:sz w:val="24"/>
          <w:szCs w:val="24"/>
        </w:rPr>
        <w:t xml:space="preserve"> The Complaint also provides examples of meetings and other interactions in which Mobile Care allegedly applied pressure to EMTs and billers to assist in the fraudulent billing scheme. </w:t>
      </w:r>
    </w:p>
    <w:p w14:paraId="49F77128"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4BCF914" w14:textId="77777777" w:rsidR="00774A91" w:rsidRPr="001B3244" w:rsidRDefault="00774A91" w:rsidP="00774A91">
      <w:pPr>
        <w:spacing w:before="100" w:beforeAutospacing="1" w:after="100" w:afterAutospacing="1" w:line="240" w:lineRule="auto"/>
        <w:ind w:left="720"/>
        <w:rPr>
          <w:rFonts w:ascii="Times New Roman" w:eastAsia="Times New Roman" w:hAnsi="Times New Roman"/>
          <w:b/>
          <w:bCs/>
          <w:sz w:val="24"/>
          <w:szCs w:val="24"/>
        </w:rPr>
      </w:pPr>
      <w:r w:rsidRPr="00D3301A">
        <w:rPr>
          <w:rFonts w:ascii="Times New Roman" w:eastAsia="Times New Roman" w:hAnsi="Times New Roman"/>
          <w:sz w:val="24"/>
          <w:szCs w:val="24"/>
        </w:rPr>
        <w:t>If Mobile Care can show that it in fact did not make false claims, either as to the five specified examples, or others identified during discovery, Mobile Care will be entitled to prevail at trial, or perhaps even at summary judgment. But it is not entitled to dismissal of the complaint. Thus, the FCA claims can move forward.</w:t>
      </w:r>
      <w:r>
        <w:rPr>
          <w:rFonts w:ascii="Times New Roman" w:eastAsia="Times New Roman" w:hAnsi="Times New Roman"/>
          <w:sz w:val="24"/>
          <w:szCs w:val="24"/>
        </w:rPr>
        <w:t xml:space="preserve">” </w:t>
      </w:r>
      <w:hyperlink r:id="rId2174" w:history="1">
        <w:r w:rsidRPr="00BD2840">
          <w:rPr>
            <w:rStyle w:val="Hyperlink"/>
            <w:sz w:val="24"/>
            <w:szCs w:val="24"/>
          </w:rPr>
          <w:t>https://public.fastcase.com/9SKwsfNqTc6OieYDhNMyMyh4iKdUdl33yaqybd0RVUT7BGA%2FcA7dSWVys7nK48GqCBRY0Irwv50JDrMJhhTjndqcgsIMADMauCadEl5HS9U%3D</w:t>
        </w:r>
      </w:hyperlink>
    </w:p>
    <w:p w14:paraId="7F1E462D" w14:textId="77777777" w:rsidR="00774A91" w:rsidRPr="001B3244" w:rsidRDefault="00774A91" w:rsidP="00774A91">
      <w:pPr>
        <w:spacing w:before="100" w:beforeAutospacing="1" w:after="100" w:afterAutospacing="1" w:line="240" w:lineRule="auto"/>
        <w:rPr>
          <w:rFonts w:ascii="Times New Roman" w:eastAsia="Times New Roman" w:hAnsi="Times New Roman"/>
          <w:b/>
          <w:bCs/>
          <w:sz w:val="24"/>
          <w:szCs w:val="24"/>
        </w:rPr>
      </w:pPr>
      <w:r w:rsidRPr="001B324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False Claims Act is designed to award whistleblowers who inform the U.S. Government of fraudulent claims. </w:t>
      </w:r>
    </w:p>
    <w:p w14:paraId="4777195E" w14:textId="77777777" w:rsidR="00774A91" w:rsidRPr="00E81972"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Relator’s awards. </w:t>
      </w:r>
      <w:hyperlink r:id="rId2175" w:history="1">
        <w:r w:rsidRPr="00BD2840">
          <w:rPr>
            <w:rStyle w:val="Hyperlink"/>
            <w:sz w:val="24"/>
            <w:szCs w:val="24"/>
          </w:rPr>
          <w:t>https://www.whistleblowerllc.com/resources/whistleblower-laws/the-federal-false-claims-act/</w:t>
        </w:r>
      </w:hyperlink>
      <w:r>
        <w:rPr>
          <w:rFonts w:ascii="Times New Roman" w:hAnsi="Times New Roman"/>
          <w:sz w:val="24"/>
          <w:szCs w:val="24"/>
        </w:rPr>
        <w:t xml:space="preserve"> </w:t>
      </w:r>
    </w:p>
    <w:p w14:paraId="3F151014" w14:textId="77777777" w:rsidR="00774A91" w:rsidRDefault="00774A91" w:rsidP="00774A91">
      <w:pPr>
        <w:spacing w:before="100" w:beforeAutospacing="1" w:after="100" w:afterAutospacing="1" w:line="240" w:lineRule="auto"/>
        <w:ind w:left="720"/>
        <w:rPr>
          <w:rFonts w:ascii="Times New Roman" w:hAnsi="Times New Roman"/>
          <w:sz w:val="24"/>
          <w:szCs w:val="24"/>
        </w:rPr>
      </w:pPr>
      <w:r>
        <w:rPr>
          <w:rStyle w:val="Strong"/>
          <w:rFonts w:ascii="Times New Roman" w:hAnsi="Times New Roman"/>
          <w:sz w:val="24"/>
          <w:szCs w:val="24"/>
        </w:rPr>
        <w:t>“</w:t>
      </w:r>
      <w:r w:rsidRPr="00E81972">
        <w:rPr>
          <w:rStyle w:val="Strong"/>
          <w:rFonts w:ascii="Times New Roman" w:hAnsi="Times New Roman"/>
          <w:sz w:val="24"/>
          <w:szCs w:val="24"/>
        </w:rPr>
        <w:t>Intervention</w:t>
      </w:r>
      <w:r w:rsidRPr="00E81972">
        <w:rPr>
          <w:rFonts w:ascii="Times New Roman" w:hAnsi="Times New Roman"/>
          <w:sz w:val="24"/>
          <w:szCs w:val="24"/>
        </w:rPr>
        <w:t xml:space="preserve">: the FCA provides for a relator share of 15%-25% of the proceeds collected by the United States </w:t>
      </w:r>
      <w:r>
        <w:rPr>
          <w:rFonts w:ascii="Times New Roman" w:hAnsi="Times New Roman"/>
          <w:sz w:val="24"/>
          <w:szCs w:val="24"/>
        </w:rPr>
        <w:t>‘</w:t>
      </w:r>
      <w:r w:rsidRPr="00E81972">
        <w:rPr>
          <w:rFonts w:ascii="Times New Roman" w:hAnsi="Times New Roman"/>
          <w:sz w:val="24"/>
          <w:szCs w:val="24"/>
        </w:rPr>
        <w:t>depending upon the extent to which the person substantially contributed to the prosecution of the action</w:t>
      </w:r>
      <w:r>
        <w:rPr>
          <w:rFonts w:ascii="Times New Roman" w:hAnsi="Times New Roman"/>
          <w:sz w:val="24"/>
          <w:szCs w:val="24"/>
        </w:rPr>
        <w:t>.’</w:t>
      </w:r>
    </w:p>
    <w:p w14:paraId="26169C72" w14:textId="77777777" w:rsidR="00774A91" w:rsidRPr="00E81972" w:rsidRDefault="00774A91" w:rsidP="00774A91">
      <w:pPr>
        <w:spacing w:before="100" w:beforeAutospacing="1" w:after="100" w:afterAutospacing="1" w:line="240" w:lineRule="auto"/>
        <w:ind w:left="720"/>
        <w:rPr>
          <w:rFonts w:ascii="Times New Roman" w:eastAsia="Times New Roman" w:hAnsi="Times New Roman"/>
          <w:sz w:val="24"/>
          <w:szCs w:val="24"/>
        </w:rPr>
      </w:pPr>
      <w:r w:rsidRPr="00E81972">
        <w:rPr>
          <w:rStyle w:val="Strong"/>
          <w:rFonts w:ascii="Times New Roman" w:hAnsi="Times New Roman"/>
          <w:sz w:val="24"/>
          <w:szCs w:val="24"/>
        </w:rPr>
        <w:t>Declination</w:t>
      </w:r>
      <w:r w:rsidRPr="00E81972">
        <w:rPr>
          <w:rFonts w:ascii="Times New Roman" w:hAnsi="Times New Roman"/>
          <w:sz w:val="24"/>
          <w:szCs w:val="24"/>
        </w:rPr>
        <w:t xml:space="preserve">: the FCA provides for a relator share of 25%-30% of the proceeds collected by the United States based on what the court finds </w:t>
      </w:r>
      <w:r>
        <w:rPr>
          <w:rFonts w:ascii="Times New Roman" w:hAnsi="Times New Roman"/>
          <w:sz w:val="24"/>
          <w:szCs w:val="24"/>
        </w:rPr>
        <w:t>‘</w:t>
      </w:r>
      <w:r w:rsidRPr="00E81972">
        <w:rPr>
          <w:rFonts w:ascii="Times New Roman" w:hAnsi="Times New Roman"/>
          <w:sz w:val="24"/>
          <w:szCs w:val="24"/>
        </w:rPr>
        <w:t>reasonable</w:t>
      </w:r>
      <w:r>
        <w:rPr>
          <w:rFonts w:ascii="Times New Roman" w:hAnsi="Times New Roman"/>
          <w:sz w:val="24"/>
          <w:szCs w:val="24"/>
        </w:rPr>
        <w:t>’</w:t>
      </w:r>
      <w:r w:rsidRPr="00E81972">
        <w:rPr>
          <w:rFonts w:ascii="Times New Roman" w:hAnsi="Times New Roman"/>
          <w:sz w:val="24"/>
          <w:szCs w:val="24"/>
        </w:rPr>
        <w:t xml:space="preserve"> for collecting the damages and penalties</w:t>
      </w:r>
      <w:r>
        <w:t>.</w:t>
      </w:r>
      <w:r>
        <w:rPr>
          <w:rFonts w:ascii="Times New Roman" w:hAnsi="Times New Roman"/>
          <w:sz w:val="24"/>
          <w:szCs w:val="24"/>
        </w:rPr>
        <w:t xml:space="preserve">” </w:t>
      </w:r>
    </w:p>
    <w:p w14:paraId="1D5E121B" w14:textId="77777777" w:rsidR="00774A91" w:rsidRDefault="00774A91" w:rsidP="002B1283">
      <w:pPr>
        <w:rPr>
          <w:rFonts w:ascii="Arial Black" w:hAnsi="Arial Black"/>
          <w:b/>
          <w:bCs/>
          <w:sz w:val="28"/>
          <w:szCs w:val="28"/>
        </w:rPr>
      </w:pPr>
    </w:p>
    <w:p w14:paraId="0F22B56B" w14:textId="3942DBE6" w:rsidR="00BD1702" w:rsidRDefault="00BD1702"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3</w:t>
      </w:r>
    </w:p>
    <w:p w14:paraId="11AB1C5C" w14:textId="77777777" w:rsidR="00BD1702" w:rsidRDefault="00BD1702" w:rsidP="00BD1702">
      <w:pPr>
        <w:spacing w:before="100" w:beforeAutospacing="1" w:after="100" w:afterAutospacing="1" w:line="240" w:lineRule="auto"/>
        <w:rPr>
          <w:rFonts w:ascii="Arial Black" w:hAnsi="Arial Black"/>
          <w:sz w:val="28"/>
          <w:szCs w:val="28"/>
        </w:rPr>
      </w:pPr>
      <w:r>
        <w:rPr>
          <w:rFonts w:ascii="Arial Black" w:hAnsi="Arial Black"/>
          <w:sz w:val="28"/>
          <w:szCs w:val="28"/>
        </w:rPr>
        <w:t>NY: DEF. STRUCK EMT WITH CLOSED FIST – FELONY PLED DOWN DISORDERLY – DEF. MUST GET COVID VACCINATION</w:t>
      </w:r>
    </w:p>
    <w:p w14:paraId="6C6BA6B9" w14:textId="77777777" w:rsidR="00BD1702" w:rsidRDefault="00BD1702" w:rsidP="00BD170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Oct. 6, 2021, in </w:t>
      </w:r>
      <w:r>
        <w:rPr>
          <w:rFonts w:ascii="Times New Roman" w:hAnsi="Times New Roman"/>
          <w:sz w:val="24"/>
          <w:szCs w:val="24"/>
          <w:u w:val="single"/>
        </w:rPr>
        <w:t>The People of State of New York v. D.R.</w:t>
      </w:r>
      <w:r>
        <w:rPr>
          <w:rFonts w:ascii="Times New Roman" w:hAnsi="Times New Roman"/>
          <w:sz w:val="24"/>
          <w:szCs w:val="24"/>
        </w:rPr>
        <w:t>, Criminal Court of the City of New York, Bronx County (Judge Jeffrey M. Zimmerman) issued a written opinion confirming his order that the defendant get a COVID vaccination as a condition of his accepting plea of guilty and conditional discharge from any imprisonment.  Defendant was originally charged with a Class C felony, then offered plea to lesser Class D felony, then offered plea to misdemeanor, and then finally to a non-criminal Disorderly Conduct [which he accepted]. Judge agreed, but only if he produced proof of COVID vaccination.</w:t>
      </w:r>
    </w:p>
    <w:p w14:paraId="78E7F4F9" w14:textId="77777777" w:rsidR="00BD1702" w:rsidRDefault="00BD1702" w:rsidP="00BD1702">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“The defendant was charged with assaulting an EMS worker, thus placing his own interests and aggressions above those of public safety employees and </w:t>
      </w:r>
      <w:proofErr w:type="gramStart"/>
      <w:r>
        <w:rPr>
          <w:rFonts w:ascii="Times New Roman" w:hAnsi="Times New Roman"/>
          <w:sz w:val="24"/>
          <w:szCs w:val="24"/>
        </w:rPr>
        <w:t>society as a whole</w:t>
      </w:r>
      <w:proofErr w:type="gramEnd"/>
      <w:r>
        <w:rPr>
          <w:rFonts w:ascii="Times New Roman" w:hAnsi="Times New Roman"/>
          <w:sz w:val="24"/>
          <w:szCs w:val="24"/>
        </w:rPr>
        <w:t xml:space="preserve">. As this Court made clear at sentencing, by mandating proof of vaccination, it was giving the defendant the opportunity to engage in an activity that would do exactly the opposite, allowing him to experience the sense of community and well-being that comes with doing something that benefits others (tr at 7). There is absolutely nothing punitive about the condition, since the vaccine has been demonstrated to be safe and effective by the FDA, and by the real-life trial of hundreds of millions of doses administered around the world….  Footnote 4: “It goes without saying that the Court would not have imposed this condition had the defendant pointed to any medical conditions he had that made the vaccine unsafe for him. He did not do so.”  </w:t>
      </w:r>
      <w:hyperlink r:id="rId2176" w:history="1">
        <w:r>
          <w:rPr>
            <w:rStyle w:val="Hyperlink"/>
            <w:sz w:val="24"/>
            <w:szCs w:val="24"/>
          </w:rPr>
          <w:t>https://public.fastcase.com/9SKwsfNqTc6OieYDhNMyMzpaZgjHFdPajpMUAUycVEOD1%2FIGYL0bkVi40opLVA3rHt12SE41wYoG8BLshtbo2LNVnd3RJLWIEJH0dBI9oDE%3D</w:t>
        </w:r>
      </w:hyperlink>
      <w:r>
        <w:rPr>
          <w:rFonts w:ascii="Times New Roman" w:hAnsi="Times New Roman"/>
          <w:sz w:val="24"/>
          <w:szCs w:val="24"/>
        </w:rPr>
        <w:t xml:space="preserve"> </w:t>
      </w:r>
    </w:p>
    <w:p w14:paraId="3D643F9D" w14:textId="77777777" w:rsidR="00BD1702" w:rsidRDefault="00BD1702" w:rsidP="00BD170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 Learned: The plea deal offered reflects the reality of how numerous criminal cases are handled in a very busy Bronx court.  Requiring a COVID vaccination is a novel way for a Court to accept a plea deal. </w:t>
      </w:r>
    </w:p>
    <w:p w14:paraId="57F687E4" w14:textId="57102208" w:rsidR="00BD1702" w:rsidRDefault="00BD1702" w:rsidP="002B1283">
      <w:pPr>
        <w:rPr>
          <w:rFonts w:ascii="Arial Black" w:hAnsi="Arial Black"/>
          <w:b/>
          <w:bCs/>
          <w:sz w:val="28"/>
          <w:szCs w:val="28"/>
        </w:rPr>
      </w:pPr>
    </w:p>
    <w:p w14:paraId="20F65E48" w14:textId="58706F71" w:rsidR="00687C24" w:rsidRDefault="00687C24" w:rsidP="002B1283">
      <w:pPr>
        <w:rPr>
          <w:rFonts w:ascii="Arial Black" w:hAnsi="Arial Black"/>
          <w:b/>
          <w:bCs/>
          <w:sz w:val="28"/>
          <w:szCs w:val="28"/>
        </w:rPr>
      </w:pPr>
      <w:r>
        <w:rPr>
          <w:rFonts w:ascii="Arial Black" w:hAnsi="Arial Black"/>
          <w:b/>
          <w:bCs/>
          <w:sz w:val="28"/>
          <w:szCs w:val="28"/>
        </w:rPr>
        <w:t>13-92</w:t>
      </w:r>
    </w:p>
    <w:p w14:paraId="28181B64" w14:textId="77777777" w:rsidR="00687C24" w:rsidRPr="00DC3453" w:rsidRDefault="00687C24" w:rsidP="00687C24">
      <w:pPr>
        <w:spacing w:before="100" w:beforeAutospacing="1" w:after="100" w:afterAutospacing="1" w:line="240" w:lineRule="auto"/>
        <w:rPr>
          <w:rFonts w:ascii="Arial Black" w:eastAsia="Times New Roman" w:hAnsi="Arial Black"/>
          <w:b/>
          <w:bCs/>
          <w:sz w:val="28"/>
          <w:szCs w:val="28"/>
        </w:rPr>
      </w:pPr>
      <w:r w:rsidRPr="00DC3453">
        <w:rPr>
          <w:rFonts w:ascii="Arial Black" w:eastAsia="Times New Roman" w:hAnsi="Arial Black"/>
          <w:b/>
          <w:bCs/>
          <w:sz w:val="28"/>
          <w:szCs w:val="28"/>
        </w:rPr>
        <w:t xml:space="preserve">MN: </w:t>
      </w:r>
      <w:r>
        <w:rPr>
          <w:rFonts w:ascii="Arial Black" w:eastAsia="Times New Roman" w:hAnsi="Arial Black"/>
          <w:b/>
          <w:bCs/>
          <w:sz w:val="28"/>
          <w:szCs w:val="28"/>
        </w:rPr>
        <w:t xml:space="preserve">PATIENT WITH GUN SHOT TO HOSPITAL - </w:t>
      </w:r>
      <w:r w:rsidRPr="00DC3453">
        <w:rPr>
          <w:rFonts w:ascii="Arial Black" w:eastAsia="Times New Roman" w:hAnsi="Arial Black"/>
          <w:b/>
          <w:bCs/>
          <w:sz w:val="28"/>
          <w:szCs w:val="28"/>
        </w:rPr>
        <w:t xml:space="preserve">PAT DOWN REVEALS </w:t>
      </w:r>
      <w:r>
        <w:rPr>
          <w:rFonts w:ascii="Arial Black" w:eastAsia="Times New Roman" w:hAnsi="Arial Black"/>
          <w:b/>
          <w:bCs/>
          <w:sz w:val="28"/>
          <w:szCs w:val="28"/>
        </w:rPr>
        <w:t>FIREARM – SEARCH LAWFUL “ADMIN. ACTION”</w:t>
      </w:r>
    </w:p>
    <w:p w14:paraId="3FDFA65E" w14:textId="77777777" w:rsidR="00687C24" w:rsidRDefault="00687C24" w:rsidP="00687C24">
      <w:pPr>
        <w:spacing w:before="100" w:beforeAutospacing="1" w:after="100" w:afterAutospacing="1" w:line="240" w:lineRule="auto"/>
        <w:rPr>
          <w:rFonts w:ascii="Times New Roman" w:eastAsia="Times New Roman" w:hAnsi="Times New Roman"/>
          <w:sz w:val="24"/>
          <w:szCs w:val="24"/>
        </w:rPr>
      </w:pPr>
      <w:r w:rsidRPr="00943820">
        <w:rPr>
          <w:rFonts w:ascii="Times New Roman" w:eastAsia="Times New Roman" w:hAnsi="Times New Roman"/>
          <w:sz w:val="24"/>
          <w:szCs w:val="24"/>
        </w:rPr>
        <w:t xml:space="preserve">On </w:t>
      </w:r>
      <w:r>
        <w:rPr>
          <w:rFonts w:ascii="Times New Roman" w:eastAsia="Times New Roman" w:hAnsi="Times New Roman"/>
          <w:sz w:val="24"/>
          <w:szCs w:val="24"/>
        </w:rPr>
        <w:t xml:space="preserve">Oct. 1, 2021, in </w:t>
      </w:r>
      <w:r w:rsidRPr="00943820">
        <w:rPr>
          <w:rFonts w:ascii="Times New Roman" w:eastAsia="Times New Roman" w:hAnsi="Times New Roman"/>
          <w:sz w:val="24"/>
          <w:szCs w:val="24"/>
          <w:u w:val="single"/>
        </w:rPr>
        <w:t>United States of America v. Dywan Lamar Conley</w:t>
      </w:r>
      <w:r>
        <w:rPr>
          <w:rFonts w:ascii="Times New Roman" w:eastAsia="Times New Roman" w:hAnsi="Times New Roman"/>
          <w:sz w:val="24"/>
          <w:szCs w:val="24"/>
        </w:rPr>
        <w:t xml:space="preserve">, U.S. Magistrate Judge Beck R. Thorson issued a Report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Recommendation to deny the defendant’s motion to suppress the firearm as evidence in his upcoming trial. </w:t>
      </w:r>
    </w:p>
    <w:p w14:paraId="01FE323A" w14:textId="77777777" w:rsidR="00687C24" w:rsidRPr="009719B6" w:rsidRDefault="00687C24" w:rsidP="00687C24">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DC3453">
        <w:rPr>
          <w:rFonts w:ascii="Times New Roman" w:hAnsi="Times New Roman"/>
          <w:sz w:val="24"/>
          <w:szCs w:val="24"/>
        </w:rPr>
        <w:t>Therefore, this Court concludes that because the HCMC protection officers were working with an administrative purpose when they held Defendant down to assist medical personnel in administering treatment and to protect medical personnel, their actions are subject to the Fourth Amendment.</w:t>
      </w:r>
      <w:r>
        <w:rPr>
          <w:rFonts w:ascii="Times New Roman" w:hAnsi="Times New Roman"/>
          <w:sz w:val="24"/>
          <w:szCs w:val="24"/>
        </w:rPr>
        <w:t xml:space="preserve">” </w:t>
      </w:r>
      <w:hyperlink r:id="rId2177" w:history="1">
        <w:r w:rsidRPr="009719B6">
          <w:rPr>
            <w:rStyle w:val="Hyperlink"/>
            <w:rFonts w:ascii="Times New Roman" w:hAnsi="Times New Roman"/>
            <w:sz w:val="24"/>
            <w:szCs w:val="24"/>
          </w:rPr>
          <w:t>https://public.fastcase.com/9SKwsfNqTc6OieYDhNMyMwbSkTth7KSxZerJ72xuPASz0hfrLKBLsSHZ5wSTH5hTHTRhpFz%2FSUPG8m6eckQDfkjqtfnRAdXjc9mLaHWodGM%3D</w:t>
        </w:r>
      </w:hyperlink>
      <w:r w:rsidRPr="009719B6">
        <w:rPr>
          <w:rFonts w:ascii="Times New Roman" w:hAnsi="Times New Roman"/>
          <w:sz w:val="24"/>
          <w:szCs w:val="24"/>
        </w:rPr>
        <w:t xml:space="preserve"> </w:t>
      </w:r>
    </w:p>
    <w:p w14:paraId="29CB10B0" w14:textId="77777777" w:rsidR="00687C24" w:rsidRPr="00B20244" w:rsidRDefault="00687C24" w:rsidP="00687C24">
      <w:pPr>
        <w:pStyle w:val="NormalWeb"/>
        <w:rPr>
          <w:b/>
          <w:bCs/>
        </w:rPr>
      </w:pPr>
      <w:r w:rsidRPr="00B20244">
        <w:rPr>
          <w:b/>
          <w:bCs/>
        </w:rPr>
        <w:lastRenderedPageBreak/>
        <w:t>Legal Lesson Learned:</w:t>
      </w:r>
      <w:r>
        <w:rPr>
          <w:b/>
          <w:bCs/>
        </w:rPr>
        <w:t xml:space="preserve">  Hospital security personnel may search a patient for “administrative purpose.” </w:t>
      </w:r>
    </w:p>
    <w:p w14:paraId="6C7037C3" w14:textId="77777777" w:rsidR="00687C24" w:rsidRDefault="00687C24" w:rsidP="002B1283">
      <w:pPr>
        <w:rPr>
          <w:rFonts w:ascii="Arial Black" w:hAnsi="Arial Black"/>
          <w:b/>
          <w:bCs/>
          <w:sz w:val="28"/>
          <w:szCs w:val="28"/>
        </w:rPr>
      </w:pPr>
    </w:p>
    <w:p w14:paraId="48F6E71A" w14:textId="77777777" w:rsidR="00BD1702" w:rsidRDefault="00BD1702" w:rsidP="002B1283">
      <w:pPr>
        <w:rPr>
          <w:rFonts w:ascii="Arial Black" w:hAnsi="Arial Black"/>
          <w:b/>
          <w:bCs/>
          <w:sz w:val="28"/>
          <w:szCs w:val="28"/>
        </w:rPr>
      </w:pPr>
    </w:p>
    <w:p w14:paraId="75004D39" w14:textId="419695A0" w:rsidR="002F610D" w:rsidRDefault="002F610D" w:rsidP="002B1283">
      <w:pPr>
        <w:rPr>
          <w:rFonts w:ascii="Arial Black" w:hAnsi="Arial Black"/>
          <w:b/>
          <w:bCs/>
          <w:sz w:val="28"/>
          <w:szCs w:val="28"/>
        </w:rPr>
      </w:pPr>
      <w:r>
        <w:rPr>
          <w:rFonts w:ascii="Arial Black" w:hAnsi="Arial Black"/>
          <w:b/>
          <w:bCs/>
          <w:sz w:val="28"/>
          <w:szCs w:val="28"/>
        </w:rPr>
        <w:t>13-91</w:t>
      </w:r>
    </w:p>
    <w:p w14:paraId="71011B97" w14:textId="77777777" w:rsidR="002F610D" w:rsidRDefault="002F610D" w:rsidP="002F610D">
      <w:pPr>
        <w:rPr>
          <w:rFonts w:ascii="Arial Black" w:hAnsi="Arial Black"/>
          <w:sz w:val="28"/>
          <w:szCs w:val="28"/>
        </w:rPr>
      </w:pPr>
      <w:bookmarkStart w:id="448" w:name="_Hlk81842635"/>
      <w:r>
        <w:rPr>
          <w:rFonts w:ascii="Arial Black" w:hAnsi="Arial Black"/>
          <w:sz w:val="28"/>
          <w:szCs w:val="28"/>
        </w:rPr>
        <w:t>CO:  PARAMEDIC INJECTED KETAMINE - POLICE ARREST – PATIENT UNCONSCIOUS 3 DAYS – LAWSUIT PROCEED</w:t>
      </w:r>
    </w:p>
    <w:bookmarkEnd w:id="448"/>
    <w:p w14:paraId="528C59BA" w14:textId="77777777" w:rsidR="002F610D" w:rsidRDefault="002F610D" w:rsidP="002F610D">
      <w:pPr>
        <w:rPr>
          <w:rFonts w:ascii="Times New Roman" w:hAnsi="Times New Roman"/>
          <w:sz w:val="24"/>
          <w:szCs w:val="24"/>
        </w:rPr>
      </w:pPr>
      <w:r>
        <w:rPr>
          <w:rFonts w:ascii="Times New Roman" w:hAnsi="Times New Roman"/>
          <w:sz w:val="24"/>
          <w:szCs w:val="24"/>
        </w:rPr>
        <w:t xml:space="preserve">On Aug. 10, 2021, in </w:t>
      </w:r>
      <w:r w:rsidRPr="00A45113">
        <w:rPr>
          <w:rFonts w:ascii="Times New Roman" w:hAnsi="Times New Roman"/>
          <w:sz w:val="24"/>
          <w:szCs w:val="24"/>
          <w:u w:val="single"/>
        </w:rPr>
        <w:t>Elijah McKnight v. Sheriff Tyler Brown, et al</w:t>
      </w:r>
      <w:r>
        <w:rPr>
          <w:rFonts w:ascii="Times New Roman" w:hAnsi="Times New Roman"/>
          <w:sz w:val="24"/>
          <w:szCs w:val="24"/>
        </w:rPr>
        <w:t xml:space="preserve">., U.S. Magistrate Judge </w:t>
      </w:r>
      <w:r w:rsidRPr="00A45113">
        <w:rPr>
          <w:rFonts w:ascii="Times New Roman" w:hAnsi="Times New Roman"/>
          <w:sz w:val="24"/>
          <w:szCs w:val="24"/>
        </w:rPr>
        <w:t>S. Kato Crews</w:t>
      </w:r>
      <w:r>
        <w:rPr>
          <w:rFonts w:ascii="Times New Roman" w:hAnsi="Times New Roman"/>
          <w:sz w:val="24"/>
          <w:szCs w:val="24"/>
        </w:rPr>
        <w:t xml:space="preserve">, U.S. District Court for the District of Colorado, denied Paramedic Marshall Cloud and other defendants’ motion to stay all discovery, and dismiss the lawsuit </w:t>
      </w:r>
      <w:proofErr w:type="gramStart"/>
      <w:r>
        <w:rPr>
          <w:rFonts w:ascii="Times New Roman" w:hAnsi="Times New Roman"/>
          <w:sz w:val="24"/>
          <w:szCs w:val="24"/>
        </w:rPr>
        <w:t>on the basis of</w:t>
      </w:r>
      <w:proofErr w:type="gramEnd"/>
      <w:r>
        <w:rPr>
          <w:rFonts w:ascii="Times New Roman" w:hAnsi="Times New Roman"/>
          <w:sz w:val="24"/>
          <w:szCs w:val="24"/>
        </w:rPr>
        <w:t xml:space="preserve"> qualified immunity.  </w:t>
      </w:r>
    </w:p>
    <w:p w14:paraId="6D5B27BC" w14:textId="77777777" w:rsidR="002F610D" w:rsidRDefault="002F610D" w:rsidP="002F610D">
      <w:pPr>
        <w:ind w:left="720"/>
        <w:rPr>
          <w:rFonts w:ascii="Times New Roman" w:hAnsi="Times New Roman"/>
          <w:sz w:val="24"/>
          <w:szCs w:val="24"/>
        </w:rPr>
      </w:pPr>
      <w:r>
        <w:rPr>
          <w:rFonts w:ascii="Times New Roman" w:hAnsi="Times New Roman"/>
          <w:sz w:val="24"/>
          <w:szCs w:val="24"/>
        </w:rPr>
        <w:t>The Court wrote: “</w:t>
      </w:r>
      <w:r w:rsidRPr="00A837A2">
        <w:rPr>
          <w:rFonts w:ascii="Times New Roman" w:hAnsi="Times New Roman"/>
          <w:sz w:val="24"/>
          <w:szCs w:val="24"/>
        </w:rPr>
        <w:t xml:space="preserve">The Plaintiff in this case spent three days unconscious and required machine assistance to help him breathe. He </w:t>
      </w:r>
      <w:proofErr w:type="gramStart"/>
      <w:r w:rsidRPr="00A837A2">
        <w:rPr>
          <w:rFonts w:ascii="Times New Roman" w:hAnsi="Times New Roman"/>
          <w:sz w:val="24"/>
          <w:szCs w:val="24"/>
        </w:rPr>
        <w:t>is deserving of</w:t>
      </w:r>
      <w:proofErr w:type="gramEnd"/>
      <w:r w:rsidRPr="00A837A2">
        <w:rPr>
          <w:rFonts w:ascii="Times New Roman" w:hAnsi="Times New Roman"/>
          <w:sz w:val="24"/>
          <w:szCs w:val="24"/>
        </w:rPr>
        <w:t xml:space="preserve"> answers regarding why this happened and whether anyone is to be held responsible.</w:t>
      </w:r>
    </w:p>
    <w:p w14:paraId="5D10381A" w14:textId="77777777" w:rsidR="002F610D" w:rsidRPr="00A837A2" w:rsidRDefault="002F610D" w:rsidP="002F610D">
      <w:pPr>
        <w:ind w:left="720"/>
        <w:rPr>
          <w:rFonts w:ascii="Times New Roman" w:hAnsi="Times New Roman"/>
          <w:sz w:val="24"/>
          <w:szCs w:val="24"/>
        </w:rPr>
      </w:pPr>
      <w:r>
        <w:rPr>
          <w:rFonts w:ascii="Times New Roman" w:hAnsi="Times New Roman"/>
          <w:sz w:val="24"/>
          <w:szCs w:val="24"/>
        </w:rPr>
        <w:t>***</w:t>
      </w:r>
    </w:p>
    <w:p w14:paraId="5245315C" w14:textId="77777777" w:rsidR="002F610D" w:rsidRDefault="002F610D" w:rsidP="002F610D">
      <w:pPr>
        <w:ind w:left="720"/>
        <w:rPr>
          <w:rFonts w:ascii="Times New Roman" w:hAnsi="Times New Roman"/>
          <w:sz w:val="24"/>
          <w:szCs w:val="24"/>
        </w:rPr>
      </w:pPr>
      <w:r w:rsidRPr="00A45113">
        <w:rPr>
          <w:rFonts w:ascii="Times New Roman" w:hAnsi="Times New Roman"/>
          <w:sz w:val="24"/>
          <w:szCs w:val="24"/>
        </w:rPr>
        <w:t xml:space="preserve">Finally, although Defendants are dismissive of the </w:t>
      </w:r>
      <w:r>
        <w:rPr>
          <w:rFonts w:ascii="Times New Roman" w:hAnsi="Times New Roman"/>
          <w:sz w:val="24"/>
          <w:szCs w:val="24"/>
        </w:rPr>
        <w:t>‘</w:t>
      </w:r>
      <w:r w:rsidRPr="00A45113">
        <w:rPr>
          <w:rFonts w:ascii="Times New Roman" w:hAnsi="Times New Roman"/>
          <w:sz w:val="24"/>
          <w:szCs w:val="24"/>
        </w:rPr>
        <w:t>lofty</w:t>
      </w:r>
      <w:r>
        <w:rPr>
          <w:rFonts w:ascii="Times New Roman" w:hAnsi="Times New Roman"/>
          <w:sz w:val="24"/>
          <w:szCs w:val="24"/>
        </w:rPr>
        <w:t>’</w:t>
      </w:r>
      <w:r w:rsidRPr="00A45113">
        <w:rPr>
          <w:rFonts w:ascii="Times New Roman" w:hAnsi="Times New Roman"/>
          <w:sz w:val="24"/>
          <w:szCs w:val="24"/>
        </w:rPr>
        <w:t xml:space="preserve"> public interest in the prompt and efficient handling of litigation, they do not address Plaintiff's argument regarding the public's interest in the use of Ketamine by first responders. The Court takes judicial notice of the local and national attention this issue has garnered. To be sure, this is not the only case in this district (involving the use of Ketamine) to arise during the week of August 18, 2019. The case of </w:t>
      </w:r>
      <w:r w:rsidRPr="00A45113">
        <w:rPr>
          <w:rStyle w:val="Emphasis"/>
          <w:rFonts w:ascii="Times New Roman" w:hAnsi="Times New Roman"/>
          <w:sz w:val="24"/>
          <w:szCs w:val="24"/>
        </w:rPr>
        <w:t>Estate of McClain by and through McClain v. City of Aurora, Colorado</w:t>
      </w:r>
      <w:r w:rsidRPr="00A45113">
        <w:rPr>
          <w:rFonts w:ascii="Times New Roman" w:hAnsi="Times New Roman"/>
          <w:sz w:val="24"/>
          <w:szCs w:val="24"/>
        </w:rPr>
        <w:t xml:space="preserve">, involves a similar fact pattern, albeit with the City of Aurora Police Department. This Court agrees with Magistrate Judge N. Reid </w:t>
      </w:r>
      <w:proofErr w:type="spellStart"/>
      <w:r w:rsidRPr="00A45113">
        <w:rPr>
          <w:rFonts w:ascii="Times New Roman" w:hAnsi="Times New Roman"/>
          <w:sz w:val="24"/>
          <w:szCs w:val="24"/>
        </w:rPr>
        <w:t>Neurieter</w:t>
      </w:r>
      <w:proofErr w:type="spellEnd"/>
      <w:r w:rsidRPr="00A45113">
        <w:rPr>
          <w:rFonts w:ascii="Times New Roman" w:hAnsi="Times New Roman"/>
          <w:sz w:val="24"/>
          <w:szCs w:val="24"/>
        </w:rPr>
        <w:t xml:space="preserve"> </w:t>
      </w:r>
      <w:proofErr w:type="gramStart"/>
      <w:r w:rsidRPr="00A45113">
        <w:rPr>
          <w:rFonts w:ascii="Times New Roman" w:hAnsi="Times New Roman"/>
          <w:sz w:val="24"/>
          <w:szCs w:val="24"/>
        </w:rPr>
        <w:t xml:space="preserve">that, </w:t>
      </w:r>
      <w:r>
        <w:rPr>
          <w:rFonts w:ascii="Times New Roman" w:hAnsi="Times New Roman"/>
          <w:sz w:val="24"/>
          <w:szCs w:val="24"/>
        </w:rPr>
        <w:t>‘</w:t>
      </w:r>
      <w:proofErr w:type="gramEnd"/>
      <w:r w:rsidRPr="00A45113">
        <w:rPr>
          <w:rFonts w:ascii="Times New Roman" w:hAnsi="Times New Roman"/>
          <w:sz w:val="24"/>
          <w:szCs w:val="24"/>
        </w:rPr>
        <w:t xml:space="preserve">it is not in the interest of the public or in the interest of justice to ‘put on the back </w:t>
      </w:r>
      <w:proofErr w:type="gramStart"/>
      <w:r w:rsidRPr="00A45113">
        <w:rPr>
          <w:rFonts w:ascii="Times New Roman" w:hAnsi="Times New Roman"/>
          <w:sz w:val="24"/>
          <w:szCs w:val="24"/>
        </w:rPr>
        <w:t>burner'</w:t>
      </w:r>
      <w:proofErr w:type="gramEnd"/>
      <w:r w:rsidRPr="00A45113">
        <w:rPr>
          <w:rFonts w:ascii="Times New Roman" w:hAnsi="Times New Roman"/>
          <w:sz w:val="24"/>
          <w:szCs w:val="24"/>
        </w:rPr>
        <w:t xml:space="preserve"> discovery in a case that raises significant questions about [Arapahoe County's] policing and paramedic practices.</w:t>
      </w:r>
      <w:r>
        <w:rPr>
          <w:rFonts w:ascii="Times New Roman" w:hAnsi="Times New Roman"/>
          <w:sz w:val="24"/>
          <w:szCs w:val="24"/>
        </w:rPr>
        <w:t>’</w:t>
      </w:r>
      <w:r w:rsidRPr="00A45113">
        <w:rPr>
          <w:rFonts w:ascii="Times New Roman" w:hAnsi="Times New Roman"/>
          <w:sz w:val="24"/>
          <w:szCs w:val="24"/>
        </w:rPr>
        <w:t xml:space="preserve"> </w:t>
      </w:r>
      <w:r w:rsidRPr="00A45113">
        <w:rPr>
          <w:rStyle w:val="Emphasis"/>
          <w:rFonts w:ascii="Times New Roman" w:hAnsi="Times New Roman"/>
          <w:sz w:val="24"/>
          <w:szCs w:val="24"/>
        </w:rPr>
        <w:t>Estate of McClain</w:t>
      </w:r>
      <w:r w:rsidRPr="00A45113">
        <w:rPr>
          <w:rFonts w:ascii="Times New Roman" w:hAnsi="Times New Roman"/>
          <w:sz w:val="24"/>
          <w:szCs w:val="24"/>
        </w:rPr>
        <w:t>, 2021 WL 307505, at *4.</w:t>
      </w:r>
      <w:r>
        <w:rPr>
          <w:rFonts w:ascii="Times New Roman" w:hAnsi="Times New Roman"/>
          <w:sz w:val="24"/>
          <w:szCs w:val="24"/>
        </w:rPr>
        <w:t xml:space="preserve">” </w:t>
      </w:r>
      <w:hyperlink r:id="rId2178" w:history="1">
        <w:r w:rsidRPr="004C287D">
          <w:rPr>
            <w:rStyle w:val="Hyperlink"/>
            <w:rFonts w:ascii="Times New Roman" w:hAnsi="Times New Roman"/>
            <w:sz w:val="24"/>
            <w:szCs w:val="24"/>
          </w:rPr>
          <w:t>https://www.leagle.com/decision/infdco20210811a71</w:t>
        </w:r>
      </w:hyperlink>
      <w:r>
        <w:rPr>
          <w:rFonts w:ascii="Times New Roman" w:hAnsi="Times New Roman"/>
          <w:sz w:val="24"/>
          <w:szCs w:val="24"/>
        </w:rPr>
        <w:t xml:space="preserve"> </w:t>
      </w:r>
    </w:p>
    <w:p w14:paraId="1530B6D8" w14:textId="77777777" w:rsidR="002F610D" w:rsidRDefault="002F610D" w:rsidP="002F610D">
      <w:pPr>
        <w:tabs>
          <w:tab w:val="left" w:pos="3100"/>
        </w:tabs>
        <w:rPr>
          <w:rFonts w:ascii="Times New Roman" w:hAnsi="Times New Roman"/>
          <w:b/>
          <w:bCs/>
          <w:sz w:val="24"/>
          <w:szCs w:val="24"/>
        </w:rPr>
      </w:pPr>
      <w:r w:rsidRPr="00A837A2">
        <w:rPr>
          <w:rFonts w:ascii="Times New Roman" w:hAnsi="Times New Roman"/>
          <w:b/>
          <w:bCs/>
          <w:sz w:val="24"/>
          <w:szCs w:val="24"/>
        </w:rPr>
        <w:t>Legal Lesson Learned:</w:t>
      </w:r>
      <w:r>
        <w:rPr>
          <w:rFonts w:ascii="Times New Roman" w:hAnsi="Times New Roman"/>
          <w:b/>
          <w:bCs/>
          <w:sz w:val="24"/>
          <w:szCs w:val="24"/>
        </w:rPr>
        <w:t xml:space="preserve"> Watch the video of Aug. 20, </w:t>
      </w:r>
      <w:proofErr w:type="gramStart"/>
      <w:r>
        <w:rPr>
          <w:rFonts w:ascii="Times New Roman" w:hAnsi="Times New Roman"/>
          <w:b/>
          <w:bCs/>
          <w:sz w:val="24"/>
          <w:szCs w:val="24"/>
        </w:rPr>
        <w:t>2019</w:t>
      </w:r>
      <w:proofErr w:type="gramEnd"/>
      <w:r>
        <w:rPr>
          <w:rFonts w:ascii="Times New Roman" w:hAnsi="Times New Roman"/>
          <w:b/>
          <w:bCs/>
          <w:sz w:val="24"/>
          <w:szCs w:val="24"/>
        </w:rPr>
        <w:t xml:space="preserve"> arrest of the plaintiff; would your EMS protocol allow Ketamine to be used? </w:t>
      </w:r>
    </w:p>
    <w:p w14:paraId="08E33365" w14:textId="77777777" w:rsidR="002F610D" w:rsidRDefault="002F610D" w:rsidP="002F610D">
      <w:pPr>
        <w:pStyle w:val="NoSpacing"/>
        <w:ind w:left="720"/>
        <w:rPr>
          <w:rStyle w:val="Hyperlink"/>
          <w:sz w:val="24"/>
          <w:szCs w:val="24"/>
        </w:rPr>
      </w:pPr>
      <w:r w:rsidRPr="00A837A2">
        <w:rPr>
          <w:rStyle w:val="style-scope"/>
          <w:rFonts w:ascii="Times New Roman" w:hAnsi="Times New Roman"/>
          <w:sz w:val="24"/>
          <w:szCs w:val="24"/>
        </w:rPr>
        <w:t xml:space="preserve">Note: This is bodycam footage from the Aug. 20, </w:t>
      </w:r>
      <w:proofErr w:type="gramStart"/>
      <w:r w:rsidRPr="00A837A2">
        <w:rPr>
          <w:rStyle w:val="style-scope"/>
          <w:rFonts w:ascii="Times New Roman" w:hAnsi="Times New Roman"/>
          <w:sz w:val="24"/>
          <w:szCs w:val="24"/>
        </w:rPr>
        <w:t>2019</w:t>
      </w:r>
      <w:proofErr w:type="gramEnd"/>
      <w:r w:rsidRPr="00A837A2">
        <w:rPr>
          <w:rStyle w:val="style-scope"/>
          <w:rFonts w:ascii="Times New Roman" w:hAnsi="Times New Roman"/>
          <w:sz w:val="24"/>
          <w:szCs w:val="24"/>
        </w:rPr>
        <w:t xml:space="preserve"> arrest of Elijah McKnight by Arapahoe County deputies, and South Metro Fire. </w:t>
      </w:r>
      <w:hyperlink r:id="rId2179" w:history="1">
        <w:r w:rsidRPr="00A837A2">
          <w:rPr>
            <w:rStyle w:val="Hyperlink"/>
            <w:sz w:val="24"/>
            <w:szCs w:val="24"/>
          </w:rPr>
          <w:t>https://www.youtube.com/watch?v=DDCANExSv1Q</w:t>
        </w:r>
      </w:hyperlink>
    </w:p>
    <w:p w14:paraId="0F3762A4" w14:textId="77777777" w:rsidR="002F610D" w:rsidRDefault="002F610D" w:rsidP="002F610D">
      <w:pPr>
        <w:pStyle w:val="NoSpacing"/>
        <w:ind w:left="720"/>
        <w:rPr>
          <w:rStyle w:val="Hyperlink"/>
          <w:sz w:val="24"/>
          <w:szCs w:val="24"/>
        </w:rPr>
      </w:pPr>
    </w:p>
    <w:p w14:paraId="5ACFE2DA" w14:textId="77777777" w:rsidR="002F610D" w:rsidRPr="00E145B7" w:rsidRDefault="002F610D" w:rsidP="002F610D">
      <w:pPr>
        <w:pStyle w:val="NoSpacing"/>
        <w:ind w:left="720"/>
        <w:rPr>
          <w:rFonts w:ascii="Times New Roman" w:hAnsi="Times New Roman"/>
          <w:b/>
          <w:bCs/>
          <w:sz w:val="24"/>
          <w:szCs w:val="24"/>
        </w:rPr>
      </w:pPr>
      <w:r w:rsidRPr="00E145B7">
        <w:rPr>
          <w:rFonts w:ascii="Times New Roman" w:hAnsi="Times New Roman"/>
          <w:sz w:val="24"/>
          <w:szCs w:val="24"/>
        </w:rPr>
        <w:t xml:space="preserve">See Sept. 2, </w:t>
      </w:r>
      <w:proofErr w:type="gramStart"/>
      <w:r w:rsidRPr="00E145B7">
        <w:rPr>
          <w:rFonts w:ascii="Times New Roman" w:hAnsi="Times New Roman"/>
          <w:sz w:val="24"/>
          <w:szCs w:val="24"/>
        </w:rPr>
        <w:t>2021</w:t>
      </w:r>
      <w:proofErr w:type="gramEnd"/>
      <w:r w:rsidRPr="00E145B7">
        <w:rPr>
          <w:rFonts w:ascii="Times New Roman" w:hAnsi="Times New Roman"/>
          <w:sz w:val="24"/>
          <w:szCs w:val="24"/>
        </w:rPr>
        <w:t xml:space="preserve"> article: “</w:t>
      </w:r>
      <w:r w:rsidRPr="00E145B7">
        <w:rPr>
          <w:rStyle w:val="dfm-title"/>
          <w:rFonts w:ascii="Times New Roman" w:hAnsi="Times New Roman"/>
          <w:sz w:val="24"/>
          <w:szCs w:val="24"/>
        </w:rPr>
        <w:t>Elijah McClain indictment: Case against Aurora police officers and paramedics comes down to intent, experts say.”</w:t>
      </w:r>
      <w:r w:rsidRPr="00E145B7">
        <w:rPr>
          <w:rFonts w:ascii="Times New Roman" w:hAnsi="Times New Roman"/>
          <w:sz w:val="24"/>
          <w:szCs w:val="24"/>
        </w:rPr>
        <w:t xml:space="preserve">  McClain was on his way to a convenience store on Aug. 24, 2019, when someone called 911 to report a suspicious person. When the 23-year-old refused to stop walking after being contacted by three Aurora police officers, they tackled him to the ground, threw on handcuffs and used a now-banned chokehold.</w:t>
      </w:r>
      <w:r>
        <w:rPr>
          <w:rFonts w:ascii="Times New Roman" w:hAnsi="Times New Roman"/>
          <w:sz w:val="24"/>
          <w:szCs w:val="24"/>
        </w:rPr>
        <w:t xml:space="preserve"> </w:t>
      </w:r>
      <w:r w:rsidRPr="00E145B7">
        <w:rPr>
          <w:rFonts w:ascii="Times New Roman" w:eastAsia="Times New Roman" w:hAnsi="Times New Roman"/>
          <w:sz w:val="24"/>
          <w:szCs w:val="24"/>
        </w:rPr>
        <w:t>Paramedics then injected him with far more ketamine than is required for a person of McClain’s size. The Aurora man suffered cardiac arrest on the way to the hospital, where he was later declared brain dead. He died Aug. 30, 2019, after being removed from life support.</w:t>
      </w:r>
      <w:r>
        <w:rPr>
          <w:rFonts w:ascii="Times New Roman" w:eastAsia="Times New Roman" w:hAnsi="Times New Roman"/>
          <w:sz w:val="24"/>
          <w:szCs w:val="24"/>
        </w:rPr>
        <w:t xml:space="preserve">” </w:t>
      </w:r>
      <w:hyperlink r:id="rId2180" w:history="1">
        <w:r w:rsidRPr="00E145B7">
          <w:rPr>
            <w:rStyle w:val="Hyperlink"/>
            <w:sz w:val="24"/>
            <w:szCs w:val="24"/>
          </w:rPr>
          <w:t>https://www.denverpost.com/2021/09/02/elijah-mclain-charges-manslaughter-negligent-homicide/</w:t>
        </w:r>
      </w:hyperlink>
      <w:r w:rsidRPr="00E145B7">
        <w:rPr>
          <w:rStyle w:val="dfm-title"/>
          <w:rFonts w:ascii="Times New Roman" w:hAnsi="Times New Roman"/>
          <w:b/>
          <w:bCs/>
          <w:sz w:val="24"/>
          <w:szCs w:val="24"/>
        </w:rPr>
        <w:t xml:space="preserve">  </w:t>
      </w:r>
    </w:p>
    <w:p w14:paraId="0730AA47" w14:textId="77777777" w:rsidR="002F610D" w:rsidRDefault="002F610D" w:rsidP="002B1283">
      <w:pPr>
        <w:rPr>
          <w:rFonts w:ascii="Arial Black" w:hAnsi="Arial Black"/>
          <w:b/>
          <w:bCs/>
          <w:sz w:val="28"/>
          <w:szCs w:val="28"/>
        </w:rPr>
      </w:pPr>
    </w:p>
    <w:p w14:paraId="2A5598D8" w14:textId="77777777" w:rsidR="002F610D" w:rsidRDefault="002F610D" w:rsidP="002B1283">
      <w:pPr>
        <w:rPr>
          <w:rFonts w:ascii="Arial Black" w:hAnsi="Arial Black"/>
          <w:b/>
          <w:bCs/>
          <w:sz w:val="28"/>
          <w:szCs w:val="28"/>
        </w:rPr>
      </w:pPr>
    </w:p>
    <w:p w14:paraId="02C3F112" w14:textId="279F6E42" w:rsidR="00A82898" w:rsidRDefault="00A82898" w:rsidP="002B1283">
      <w:pPr>
        <w:rPr>
          <w:rFonts w:ascii="Arial Black" w:hAnsi="Arial Black"/>
          <w:b/>
          <w:bCs/>
          <w:sz w:val="28"/>
          <w:szCs w:val="28"/>
        </w:rPr>
      </w:pPr>
      <w:r>
        <w:rPr>
          <w:rFonts w:ascii="Arial Black" w:hAnsi="Arial Black"/>
          <w:b/>
          <w:bCs/>
          <w:sz w:val="28"/>
          <w:szCs w:val="28"/>
        </w:rPr>
        <w:t>13-90</w:t>
      </w:r>
    </w:p>
    <w:p w14:paraId="7AEB7D3B" w14:textId="77777777" w:rsidR="00A82898" w:rsidRPr="00FE7B26" w:rsidRDefault="00A82898" w:rsidP="00A82898">
      <w:pPr>
        <w:pStyle w:val="Heading1"/>
        <w:rPr>
          <w:rFonts w:ascii="Arial Black" w:hAnsi="Arial Black"/>
          <w:sz w:val="28"/>
          <w:szCs w:val="28"/>
        </w:rPr>
      </w:pPr>
      <w:r>
        <w:rPr>
          <w:rFonts w:ascii="Arial Black" w:hAnsi="Arial Black"/>
          <w:sz w:val="28"/>
          <w:szCs w:val="28"/>
        </w:rPr>
        <w:t xml:space="preserve">CA: ENTERING HOME WITHOUT WARRANT – NOT FOR ARREST MINOR OFFENSE – OK FOR EMERGENGY MEDICAL </w:t>
      </w:r>
    </w:p>
    <w:p w14:paraId="37304D13" w14:textId="77777777" w:rsidR="00A82898" w:rsidRPr="00664561" w:rsidRDefault="00A82898" w:rsidP="00A82898">
      <w:pPr>
        <w:pStyle w:val="Heading1"/>
        <w:rPr>
          <w:rStyle w:val="markedcontent"/>
          <w:b w:val="0"/>
          <w:bCs w:val="0"/>
          <w:sz w:val="24"/>
          <w:szCs w:val="24"/>
        </w:rPr>
      </w:pPr>
      <w:r>
        <w:rPr>
          <w:rStyle w:val="markedcontent"/>
          <w:b w:val="0"/>
          <w:bCs w:val="0"/>
          <w:sz w:val="24"/>
          <w:szCs w:val="24"/>
        </w:rPr>
        <w:t xml:space="preserve">On June 23, 2021, in </w:t>
      </w:r>
      <w:r w:rsidRPr="00E64EE8">
        <w:rPr>
          <w:rStyle w:val="markedcontent"/>
          <w:b w:val="0"/>
          <w:bCs w:val="0"/>
          <w:sz w:val="24"/>
          <w:szCs w:val="24"/>
          <w:u w:val="single"/>
        </w:rPr>
        <w:t>Arthur Gregory Lane v. California</w:t>
      </w:r>
      <w:r>
        <w:rPr>
          <w:rStyle w:val="markedcontent"/>
          <w:b w:val="0"/>
          <w:bCs w:val="0"/>
          <w:sz w:val="24"/>
          <w:szCs w:val="24"/>
        </w:rPr>
        <w:t>, the U.S. Supreme Court held (9 to 0) in opinion by Justice Elena Kagan that t</w:t>
      </w:r>
      <w:r w:rsidRPr="00E64EE8">
        <w:rPr>
          <w:rStyle w:val="markedcontent"/>
          <w:b w:val="0"/>
          <w:bCs w:val="0"/>
          <w:sz w:val="24"/>
          <w:szCs w:val="24"/>
        </w:rPr>
        <w:t xml:space="preserve">he Fourth Amendment ordinarily requires that police officers get a warrant before entering a home without permission. But </w:t>
      </w:r>
      <w:r>
        <w:rPr>
          <w:rStyle w:val="markedcontent"/>
          <w:b w:val="0"/>
          <w:bCs w:val="0"/>
          <w:sz w:val="24"/>
          <w:szCs w:val="24"/>
        </w:rPr>
        <w:t xml:space="preserve">important to Fire &amp; EMS, </w:t>
      </w:r>
      <w:r w:rsidRPr="00E64EE8">
        <w:rPr>
          <w:rStyle w:val="markedcontent"/>
          <w:b w:val="0"/>
          <w:bCs w:val="0"/>
          <w:sz w:val="24"/>
          <w:szCs w:val="24"/>
        </w:rPr>
        <w:t>an officer may make a warrantless entry</w:t>
      </w:r>
      <w:r>
        <w:rPr>
          <w:rStyle w:val="markedcontent"/>
          <w:b w:val="0"/>
          <w:bCs w:val="0"/>
          <w:sz w:val="24"/>
          <w:szCs w:val="24"/>
        </w:rPr>
        <w:t xml:space="preserve"> </w:t>
      </w:r>
      <w:r w:rsidRPr="00E64EE8">
        <w:rPr>
          <w:rStyle w:val="markedcontent"/>
          <w:b w:val="0"/>
          <w:bCs w:val="0"/>
          <w:sz w:val="24"/>
          <w:szCs w:val="24"/>
        </w:rPr>
        <w:t>when “the exigencies of the situation” create a compelling law enforcement need.</w:t>
      </w:r>
      <w:r>
        <w:rPr>
          <w:rStyle w:val="markedcontent"/>
          <w:b w:val="0"/>
          <w:bCs w:val="0"/>
          <w:sz w:val="24"/>
          <w:szCs w:val="24"/>
        </w:rPr>
        <w:t xml:space="preserve">  In this case, Mr. Lane was driving his vehicle with loud noise, and when State Patrol tried to pull him over near his home, he drove into his garage – where he was arrested for driving under influence and failure to stop.  The Court rejected the State’s argument that </w:t>
      </w:r>
      <w:r w:rsidRPr="00664561">
        <w:rPr>
          <w:rStyle w:val="markedcontent"/>
          <w:b w:val="0"/>
          <w:bCs w:val="0"/>
          <w:sz w:val="24"/>
          <w:szCs w:val="24"/>
        </w:rPr>
        <w:t>the</w:t>
      </w:r>
      <w:r>
        <w:rPr>
          <w:rStyle w:val="markedcontent"/>
          <w:b w:val="0"/>
          <w:bCs w:val="0"/>
          <w:sz w:val="24"/>
          <w:szCs w:val="24"/>
        </w:rPr>
        <w:t xml:space="preserve"> </w:t>
      </w:r>
      <w:r w:rsidRPr="00664561">
        <w:rPr>
          <w:rStyle w:val="markedcontent"/>
          <w:b w:val="0"/>
          <w:bCs w:val="0"/>
          <w:sz w:val="24"/>
          <w:szCs w:val="24"/>
        </w:rPr>
        <w:t>pursuit of a suspected misdemeanant always qualifies as an</w:t>
      </w:r>
      <w:r>
        <w:rPr>
          <w:rStyle w:val="markedcontent"/>
          <w:b w:val="0"/>
          <w:bCs w:val="0"/>
          <w:sz w:val="24"/>
          <w:szCs w:val="24"/>
        </w:rPr>
        <w:t xml:space="preserve"> </w:t>
      </w:r>
      <w:r w:rsidRPr="00664561">
        <w:rPr>
          <w:rStyle w:val="markedcontent"/>
          <w:b w:val="0"/>
          <w:bCs w:val="0"/>
          <w:sz w:val="24"/>
          <w:szCs w:val="24"/>
        </w:rPr>
        <w:t>exigent circumstance authorizing a warrantless home entry</w:t>
      </w:r>
      <w:r>
        <w:rPr>
          <w:rStyle w:val="markedcontent"/>
          <w:b w:val="0"/>
          <w:bCs w:val="0"/>
          <w:sz w:val="24"/>
          <w:szCs w:val="24"/>
        </w:rPr>
        <w:t xml:space="preserve">.  The state trial court judge had denied defendant’s motion to suppress, and this was upheld by California Court of Appeal; now the case will be sent back to </w:t>
      </w:r>
      <w:proofErr w:type="gramStart"/>
      <w:r>
        <w:rPr>
          <w:rStyle w:val="markedcontent"/>
          <w:b w:val="0"/>
          <w:bCs w:val="0"/>
          <w:sz w:val="24"/>
          <w:szCs w:val="24"/>
        </w:rPr>
        <w:t>California</w:t>
      </w:r>
      <w:proofErr w:type="gramEnd"/>
      <w:r>
        <w:rPr>
          <w:rStyle w:val="markedcontent"/>
          <w:b w:val="0"/>
          <w:bCs w:val="0"/>
          <w:sz w:val="24"/>
          <w:szCs w:val="24"/>
        </w:rPr>
        <w:t xml:space="preserve"> and the prosecutor will likely dismiss all charges.  </w:t>
      </w:r>
    </w:p>
    <w:p w14:paraId="5309A97E" w14:textId="77777777" w:rsidR="00A82898" w:rsidRDefault="00A82898" w:rsidP="00A82898">
      <w:pPr>
        <w:pStyle w:val="Heading1"/>
        <w:ind w:left="720"/>
        <w:rPr>
          <w:rStyle w:val="markedcontent"/>
          <w:b w:val="0"/>
          <w:bCs w:val="0"/>
          <w:sz w:val="24"/>
          <w:szCs w:val="24"/>
        </w:rPr>
      </w:pPr>
      <w:r>
        <w:rPr>
          <w:rStyle w:val="markedcontent"/>
          <w:b w:val="0"/>
          <w:bCs w:val="0"/>
          <w:sz w:val="24"/>
          <w:szCs w:val="24"/>
        </w:rPr>
        <w:t>“</w:t>
      </w:r>
      <w:r w:rsidRPr="00E64EE8">
        <w:rPr>
          <w:rStyle w:val="markedcontent"/>
          <w:b w:val="0"/>
          <w:bCs w:val="0"/>
          <w:sz w:val="24"/>
          <w:szCs w:val="24"/>
        </w:rPr>
        <w:t>The flight of a suspected misdemeanant does not always</w:t>
      </w:r>
      <w:r>
        <w:rPr>
          <w:rStyle w:val="markedcontent"/>
          <w:b w:val="0"/>
          <w:bCs w:val="0"/>
          <w:sz w:val="24"/>
          <w:szCs w:val="24"/>
        </w:rPr>
        <w:t xml:space="preserve"> </w:t>
      </w:r>
      <w:r w:rsidRPr="00E64EE8">
        <w:rPr>
          <w:rStyle w:val="markedcontent"/>
          <w:b w:val="0"/>
          <w:bCs w:val="0"/>
          <w:sz w:val="24"/>
          <w:szCs w:val="24"/>
        </w:rPr>
        <w:t xml:space="preserve">justify a warrantless entry into a home. An officer must consider all the circumstances in a pursuit case to </w:t>
      </w:r>
      <w:proofErr w:type="gramStart"/>
      <w:r w:rsidRPr="00E64EE8">
        <w:rPr>
          <w:rStyle w:val="markedcontent"/>
          <w:b w:val="0"/>
          <w:bCs w:val="0"/>
          <w:sz w:val="24"/>
          <w:szCs w:val="24"/>
        </w:rPr>
        <w:t>deter-mine</w:t>
      </w:r>
      <w:proofErr w:type="gramEnd"/>
      <w:r w:rsidRPr="00E64EE8">
        <w:rPr>
          <w:rStyle w:val="markedcontent"/>
          <w:b w:val="0"/>
          <w:bCs w:val="0"/>
          <w:sz w:val="24"/>
          <w:szCs w:val="24"/>
        </w:rPr>
        <w:t xml:space="preserve"> whether there is a law enforcement emergency. On many occasions, the officer will have good reason to enter—to prevent imminent harms of violence, destruction of evidence, or escape from the home. But when the officer has time to get a warrant, he must do so—even though the misdemeanant fled.</w:t>
      </w:r>
    </w:p>
    <w:p w14:paraId="34B82D93" w14:textId="77777777" w:rsidR="00A82898" w:rsidRPr="00E64EE8" w:rsidRDefault="00A82898" w:rsidP="00A82898">
      <w:pPr>
        <w:pStyle w:val="Heading1"/>
        <w:ind w:firstLine="720"/>
        <w:rPr>
          <w:rStyle w:val="markedcontent"/>
          <w:b w:val="0"/>
          <w:bCs w:val="0"/>
          <w:sz w:val="24"/>
          <w:szCs w:val="24"/>
        </w:rPr>
      </w:pPr>
      <w:r>
        <w:rPr>
          <w:rStyle w:val="markedcontent"/>
          <w:b w:val="0"/>
          <w:bCs w:val="0"/>
          <w:sz w:val="24"/>
          <w:szCs w:val="24"/>
        </w:rPr>
        <w:t>***</w:t>
      </w:r>
    </w:p>
    <w:p w14:paraId="7EEA18EF" w14:textId="18B94256" w:rsidR="00A82898" w:rsidRPr="00A82898" w:rsidRDefault="00A82898" w:rsidP="00A82898">
      <w:pPr>
        <w:rPr>
          <w:rFonts w:ascii="Times New Roman" w:hAnsi="Times New Roman"/>
          <w:sz w:val="24"/>
          <w:szCs w:val="24"/>
        </w:rPr>
      </w:pPr>
      <w:r w:rsidRPr="00A82898">
        <w:rPr>
          <w:rStyle w:val="markedcontent"/>
          <w:rFonts w:ascii="Times New Roman" w:hAnsi="Times New Roman"/>
          <w:sz w:val="24"/>
          <w:szCs w:val="24"/>
        </w:rPr>
        <w:t>One important exception is for exigent circumstances. It applies when ‘the exigencies of the situation make the needs of law enforcement so compelling that [a] warrantless search is objectively reasonable.’ King, 563 U. S., at 460 (internal quotation marks omitted). The exception enables law enforcement officers to handle ‘</w:t>
      </w:r>
      <w:proofErr w:type="spellStart"/>
      <w:r w:rsidRPr="00A82898">
        <w:rPr>
          <w:rStyle w:val="markedcontent"/>
          <w:rFonts w:ascii="Times New Roman" w:hAnsi="Times New Roman"/>
          <w:sz w:val="24"/>
          <w:szCs w:val="24"/>
        </w:rPr>
        <w:t>emergenc</w:t>
      </w:r>
      <w:proofErr w:type="spellEnd"/>
      <w:r w:rsidRPr="00A82898">
        <w:rPr>
          <w:rStyle w:val="markedcontent"/>
          <w:rFonts w:ascii="Times New Roman" w:hAnsi="Times New Roman"/>
          <w:sz w:val="24"/>
          <w:szCs w:val="24"/>
        </w:rPr>
        <w:t>[</w:t>
      </w:r>
      <w:proofErr w:type="spellStart"/>
      <w:r w:rsidRPr="00A82898">
        <w:rPr>
          <w:rStyle w:val="markedcontent"/>
          <w:rFonts w:ascii="Times New Roman" w:hAnsi="Times New Roman"/>
          <w:sz w:val="24"/>
          <w:szCs w:val="24"/>
        </w:rPr>
        <w:t>ies</w:t>
      </w:r>
      <w:proofErr w:type="spellEnd"/>
      <w:r w:rsidRPr="00A82898">
        <w:rPr>
          <w:rStyle w:val="markedcontent"/>
          <w:rFonts w:ascii="Times New Roman" w:hAnsi="Times New Roman"/>
          <w:sz w:val="24"/>
          <w:szCs w:val="24"/>
        </w:rPr>
        <w:t xml:space="preserve">]’—situations presenting a ‘compelling need for official action and no time to secure a warrant.’ Riley, 573 U. S., at 402; Missouri v. McNeely, 569 U. S. 141, 149 (2013). Over the years, this Court has identified several such exigencies. An officer, for example, may ‘enter a home without a warrant to render emergency assistance to an injured occupant[,] to protect an occupant from imminent injury,’ or to ensure his own safety.” </w:t>
      </w:r>
      <w:hyperlink r:id="rId2181" w:history="1">
        <w:r w:rsidRPr="00A82898">
          <w:rPr>
            <w:rStyle w:val="Hyperlink"/>
            <w:rFonts w:ascii="Times New Roman" w:hAnsi="Times New Roman"/>
            <w:sz w:val="24"/>
            <w:szCs w:val="24"/>
          </w:rPr>
          <w:t>https://www.supremecourt.gov/opinions/20pdf/20-18_cb7d.pdf</w:t>
        </w:r>
      </w:hyperlink>
    </w:p>
    <w:p w14:paraId="514B6465" w14:textId="77777777" w:rsidR="00A82898" w:rsidRPr="00B14793" w:rsidRDefault="00A82898" w:rsidP="00A82898">
      <w:pPr>
        <w:rPr>
          <w:rFonts w:ascii="Times New Roman" w:hAnsi="Times New Roman"/>
          <w:b/>
          <w:bCs/>
          <w:sz w:val="24"/>
          <w:szCs w:val="24"/>
        </w:rPr>
      </w:pPr>
      <w:r w:rsidRPr="00B14793">
        <w:rPr>
          <w:rFonts w:ascii="Times New Roman" w:hAnsi="Times New Roman"/>
          <w:b/>
          <w:bCs/>
          <w:sz w:val="24"/>
          <w:szCs w:val="24"/>
        </w:rPr>
        <w:t>Legal Lesson Learned:  Fire &amp; EMS may continue to request police assistance to make a warrantless entry where there is a medical emergency.</w:t>
      </w:r>
    </w:p>
    <w:p w14:paraId="17A28816" w14:textId="77777777" w:rsidR="00A82898" w:rsidRDefault="00A82898" w:rsidP="002B1283">
      <w:pPr>
        <w:rPr>
          <w:rFonts w:ascii="Arial Black" w:hAnsi="Arial Black"/>
          <w:b/>
          <w:bCs/>
          <w:sz w:val="28"/>
          <w:szCs w:val="28"/>
        </w:rPr>
      </w:pPr>
    </w:p>
    <w:p w14:paraId="70C97070" w14:textId="77777777" w:rsidR="00A82898" w:rsidRDefault="00A82898" w:rsidP="002B1283">
      <w:pPr>
        <w:rPr>
          <w:rFonts w:ascii="Arial Black" w:hAnsi="Arial Black"/>
          <w:b/>
          <w:bCs/>
          <w:sz w:val="28"/>
          <w:szCs w:val="28"/>
        </w:rPr>
      </w:pPr>
    </w:p>
    <w:p w14:paraId="7F474C82" w14:textId="09FE97F5" w:rsidR="00A82898" w:rsidRDefault="00A82898" w:rsidP="002B1283">
      <w:pPr>
        <w:rPr>
          <w:rFonts w:ascii="Arial Black" w:hAnsi="Arial Black"/>
          <w:b/>
          <w:bCs/>
          <w:sz w:val="28"/>
          <w:szCs w:val="28"/>
        </w:rPr>
      </w:pPr>
      <w:r>
        <w:rPr>
          <w:rFonts w:ascii="Arial Black" w:hAnsi="Arial Black"/>
          <w:b/>
          <w:bCs/>
          <w:sz w:val="28"/>
          <w:szCs w:val="28"/>
        </w:rPr>
        <w:t>13-89</w:t>
      </w:r>
    </w:p>
    <w:p w14:paraId="6B874C02" w14:textId="77777777" w:rsidR="00A82898" w:rsidRPr="00523D80" w:rsidRDefault="00A82898" w:rsidP="00A82898">
      <w:pPr>
        <w:pStyle w:val="Heading1"/>
        <w:rPr>
          <w:rFonts w:ascii="Arial Black" w:hAnsi="Arial Black"/>
          <w:sz w:val="28"/>
          <w:szCs w:val="28"/>
        </w:rPr>
      </w:pPr>
      <w:r>
        <w:rPr>
          <w:rFonts w:ascii="Arial Black" w:hAnsi="Arial Black"/>
          <w:sz w:val="28"/>
          <w:szCs w:val="28"/>
        </w:rPr>
        <w:lastRenderedPageBreak/>
        <w:t xml:space="preserve">GA: POSSIBLE BID RIGGING - EMS CONTRACT - WIRETAP / SEARCH WARRANT ON ATTY – DA QUALIFIED IMMUNITY </w:t>
      </w:r>
    </w:p>
    <w:p w14:paraId="407BE781" w14:textId="77777777" w:rsidR="00A82898" w:rsidRDefault="00A82898" w:rsidP="00A82898">
      <w:pPr>
        <w:pStyle w:val="Heading1"/>
        <w:rPr>
          <w:b w:val="0"/>
          <w:bCs w:val="0"/>
          <w:sz w:val="24"/>
          <w:szCs w:val="24"/>
        </w:rPr>
      </w:pPr>
      <w:r>
        <w:rPr>
          <w:b w:val="0"/>
          <w:bCs w:val="0"/>
          <w:sz w:val="24"/>
          <w:szCs w:val="24"/>
        </w:rPr>
        <w:t xml:space="preserve">On June 22, 2021, in </w:t>
      </w:r>
      <w:r w:rsidRPr="00523D80">
        <w:rPr>
          <w:b w:val="0"/>
          <w:bCs w:val="0"/>
          <w:sz w:val="24"/>
          <w:szCs w:val="24"/>
          <w:u w:val="single"/>
        </w:rPr>
        <w:t>Kevin A. Ross, Esq.</w:t>
      </w:r>
      <w:r>
        <w:rPr>
          <w:b w:val="0"/>
          <w:bCs w:val="0"/>
          <w:sz w:val="24"/>
          <w:szCs w:val="24"/>
          <w:u w:val="single"/>
        </w:rPr>
        <w:t>, Kevin Ross Public Affairs, LLC, The Law Practice of Kevin . Ross, LLC</w:t>
      </w:r>
      <w:r w:rsidRPr="00523D80">
        <w:rPr>
          <w:b w:val="0"/>
          <w:bCs w:val="0"/>
          <w:sz w:val="24"/>
          <w:szCs w:val="24"/>
          <w:u w:val="single"/>
        </w:rPr>
        <w:t xml:space="preserve"> v. Robert James, Dekalb County District Attorney and William C. Nix</w:t>
      </w:r>
      <w:r>
        <w:rPr>
          <w:b w:val="0"/>
          <w:bCs w:val="0"/>
          <w:sz w:val="24"/>
          <w:szCs w:val="24"/>
        </w:rPr>
        <w:t>, the U.S. Court of Appeals for 11</w:t>
      </w:r>
      <w:r w:rsidRPr="00523D80">
        <w:rPr>
          <w:b w:val="0"/>
          <w:bCs w:val="0"/>
          <w:sz w:val="24"/>
          <w:szCs w:val="24"/>
          <w:vertAlign w:val="superscript"/>
        </w:rPr>
        <w:t>th</w:t>
      </w:r>
      <w:r>
        <w:rPr>
          <w:b w:val="0"/>
          <w:bCs w:val="0"/>
          <w:sz w:val="24"/>
          <w:szCs w:val="24"/>
        </w:rPr>
        <w:t xml:space="preserve"> Circuit (Atlanta), held 3 to 0 (unpublished decision) that the trial court properly granted summary judgment to the DA and the DA’s investigator in lawsuit by Ross alleging violation of his 4</w:t>
      </w:r>
      <w:r w:rsidRPr="007C1575">
        <w:rPr>
          <w:b w:val="0"/>
          <w:bCs w:val="0"/>
          <w:sz w:val="24"/>
          <w:szCs w:val="24"/>
          <w:vertAlign w:val="superscript"/>
        </w:rPr>
        <w:t>th</w:t>
      </w:r>
      <w:r>
        <w:rPr>
          <w:b w:val="0"/>
          <w:bCs w:val="0"/>
          <w:sz w:val="24"/>
          <w:szCs w:val="24"/>
        </w:rPr>
        <w:t xml:space="preserve"> Amendment rights (42 U.S.C. 1983). since they were both entitled to qualified immunity. </w:t>
      </w:r>
    </w:p>
    <w:p w14:paraId="6C6D2696" w14:textId="77777777" w:rsidR="00A82898" w:rsidRDefault="00A82898" w:rsidP="00A82898">
      <w:pPr>
        <w:pStyle w:val="NormalWeb"/>
        <w:ind w:left="720"/>
      </w:pPr>
      <w:r>
        <w:t>“Kevin Ross is an attorney and political consultant who has managed several political campaigns, including Burrell Ellis's 2008 campaign for DeKalb County Chief Executive Office (‘CEO’).</w:t>
      </w:r>
      <w:hyperlink r:id="rId2182" w:anchor="fr2" w:history="1">
        <w:r w:rsidR="00814FB6">
          <w:rPr>
            <w:rStyle w:val="Hyperlink"/>
            <w:rFonts w:ascii="Calibri" w:eastAsia="Calibri" w:hAnsi="Calibri"/>
            <w:sz w:val="22"/>
            <w:szCs w:val="22"/>
          </w:rPr>
          <w:t>https://public.fastcase.com/ - fr2</w:t>
        </w:r>
      </w:hyperlink>
      <w:r>
        <w:rPr>
          <w:sz w:val="20"/>
          <w:szCs w:val="20"/>
          <w:vertAlign w:val="superscript"/>
        </w:rPr>
        <w:t xml:space="preserve"> </w:t>
      </w:r>
      <w:r>
        <w:t xml:space="preserve"> Robert James, then the District Attorney for DeKalb County, Georgia, applied for and obtained a wiretap authorization to intercept and record Ross's telephone communications on the basis that there was probable cause to believe that Ross; Ellis, then CEO for DeKalb County; and others were committing 11 criminal offenses, including extortion, bribery, and ‘[c]</w:t>
      </w:r>
      <w:proofErr w:type="spellStart"/>
      <w:r>
        <w:t>onspiracy</w:t>
      </w:r>
      <w:proofErr w:type="spellEnd"/>
      <w:r>
        <w:t xml:space="preserve"> in restraint of free and open competition in transactions with state or political subdivision," i.e., bid rigging. Doc. 111-1 at 3.</w:t>
      </w:r>
      <w:bookmarkStart w:id="449" w:name="fn4"/>
      <w:r>
        <w:rPr>
          <w:sz w:val="20"/>
          <w:szCs w:val="20"/>
          <w:vertAlign w:val="superscript"/>
        </w:rPr>
        <w:fldChar w:fldCharType="begin"/>
      </w:r>
      <w:r>
        <w:rPr>
          <w:sz w:val="20"/>
          <w:szCs w:val="20"/>
          <w:vertAlign w:val="superscript"/>
        </w:rPr>
        <w:instrText xml:space="preserve"> HYPERLINK "https://public.fastcase.com/" \l "fr4" </w:instrText>
      </w:r>
      <w:r>
        <w:rPr>
          <w:sz w:val="20"/>
          <w:szCs w:val="20"/>
          <w:vertAlign w:val="superscript"/>
        </w:rPr>
      </w:r>
      <w:r>
        <w:rPr>
          <w:sz w:val="20"/>
          <w:szCs w:val="20"/>
          <w:vertAlign w:val="superscript"/>
        </w:rPr>
        <w:fldChar w:fldCharType="separate"/>
      </w:r>
      <w:r w:rsidR="00814FB6">
        <w:rPr>
          <w:rStyle w:val="Hyperlink"/>
          <w:rFonts w:ascii="Calibri" w:eastAsia="Calibri" w:hAnsi="Calibri"/>
          <w:sz w:val="22"/>
          <w:szCs w:val="22"/>
        </w:rPr>
        <w:t>https://public.fastcase.com/ - fr4</w:t>
      </w:r>
      <w:r>
        <w:rPr>
          <w:sz w:val="20"/>
          <w:szCs w:val="20"/>
          <w:vertAlign w:val="superscript"/>
        </w:rPr>
        <w:fldChar w:fldCharType="end"/>
      </w:r>
      <w:bookmarkEnd w:id="449"/>
      <w:r>
        <w:rPr>
          <w:sz w:val="20"/>
          <w:szCs w:val="20"/>
          <w:vertAlign w:val="superscript"/>
        </w:rPr>
        <w:t xml:space="preserve"> </w:t>
      </w:r>
      <w:r>
        <w:t xml:space="preserve">The application included an affidavit by William Nix, an investigator for the DeKalb County District Attorney's </w:t>
      </w:r>
      <w:proofErr w:type="gramStart"/>
      <w:r>
        <w:t>Office (‘</w:t>
      </w:r>
      <w:proofErr w:type="gramEnd"/>
      <w:r>
        <w:t>DA's Office’), setting forth factual allegations supporting the request for a wiretap.</w:t>
      </w:r>
    </w:p>
    <w:p w14:paraId="326E49D2" w14:textId="77777777" w:rsidR="00A82898" w:rsidRDefault="00A82898" w:rsidP="00A82898">
      <w:pPr>
        <w:pStyle w:val="NormalWeb"/>
        <w:ind w:left="720"/>
      </w:pPr>
      <w:r>
        <w:t>***</w:t>
      </w:r>
    </w:p>
    <w:p w14:paraId="4C12C48C" w14:textId="77777777" w:rsidR="00A82898" w:rsidRDefault="00A82898" w:rsidP="00A82898">
      <w:pPr>
        <w:pStyle w:val="Heading1"/>
        <w:ind w:left="720"/>
        <w:rPr>
          <w:b w:val="0"/>
          <w:bCs w:val="0"/>
          <w:sz w:val="24"/>
          <w:szCs w:val="24"/>
        </w:rPr>
      </w:pPr>
      <w:r w:rsidRPr="00523D80">
        <w:rPr>
          <w:b w:val="0"/>
          <w:bCs w:val="0"/>
          <w:sz w:val="24"/>
          <w:szCs w:val="24"/>
        </w:rPr>
        <w:t>About a month after the DA's Office received the wiretap authorization, it applied for and obtained a search warrant for Ross's home and office. The application included a supporting affidavit, also by Nix. The search warrant affidavit was largely identical to the wiretap affidavit, except it also included information obtained from the wiretap.</w:t>
      </w:r>
    </w:p>
    <w:p w14:paraId="070AFEBD" w14:textId="77777777" w:rsidR="00A82898" w:rsidRDefault="00A82898" w:rsidP="00A82898">
      <w:pPr>
        <w:pStyle w:val="Heading1"/>
        <w:ind w:left="720"/>
        <w:rPr>
          <w:b w:val="0"/>
          <w:bCs w:val="0"/>
          <w:sz w:val="24"/>
          <w:szCs w:val="24"/>
        </w:rPr>
      </w:pPr>
      <w:r>
        <w:rPr>
          <w:b w:val="0"/>
          <w:bCs w:val="0"/>
          <w:sz w:val="24"/>
          <w:szCs w:val="24"/>
        </w:rPr>
        <w:t>***</w:t>
      </w:r>
    </w:p>
    <w:p w14:paraId="4BDB3DE6" w14:textId="77777777" w:rsidR="00A82898" w:rsidRDefault="00A82898" w:rsidP="00A82898">
      <w:pPr>
        <w:pStyle w:val="Heading1"/>
        <w:ind w:firstLine="720"/>
        <w:rPr>
          <w:b w:val="0"/>
          <w:bCs w:val="0"/>
          <w:sz w:val="24"/>
          <w:szCs w:val="24"/>
        </w:rPr>
      </w:pPr>
      <w:r w:rsidRPr="00523D80">
        <w:rPr>
          <w:b w:val="0"/>
          <w:bCs w:val="0"/>
          <w:sz w:val="24"/>
          <w:szCs w:val="24"/>
        </w:rPr>
        <w:t>Ultimately, the investigation resulted in no charges against Ross.</w:t>
      </w:r>
    </w:p>
    <w:p w14:paraId="34E284F6" w14:textId="77777777" w:rsidR="00A82898" w:rsidRDefault="00A82898" w:rsidP="00A82898">
      <w:pPr>
        <w:pStyle w:val="Heading1"/>
        <w:ind w:firstLine="720"/>
        <w:rPr>
          <w:b w:val="0"/>
          <w:bCs w:val="0"/>
          <w:sz w:val="24"/>
          <w:szCs w:val="24"/>
        </w:rPr>
      </w:pPr>
      <w:r>
        <w:rPr>
          <w:b w:val="0"/>
          <w:bCs w:val="0"/>
          <w:sz w:val="24"/>
          <w:szCs w:val="24"/>
        </w:rPr>
        <w:t>***</w:t>
      </w:r>
    </w:p>
    <w:p w14:paraId="71139420" w14:textId="77777777" w:rsidR="00A82898" w:rsidRDefault="00A82898" w:rsidP="00A82898">
      <w:pPr>
        <w:spacing w:before="100" w:beforeAutospacing="1" w:after="100" w:afterAutospacing="1" w:line="240" w:lineRule="auto"/>
        <w:ind w:left="720"/>
        <w:rPr>
          <w:rFonts w:ascii="Times New Roman" w:eastAsia="Times New Roman" w:hAnsi="Times New Roman"/>
          <w:sz w:val="24"/>
          <w:szCs w:val="24"/>
        </w:rPr>
      </w:pPr>
      <w:r w:rsidRPr="007C1575">
        <w:rPr>
          <w:rFonts w:ascii="Times New Roman" w:eastAsia="Times New Roman" w:hAnsi="Times New Roman"/>
          <w:sz w:val="24"/>
          <w:szCs w:val="24"/>
        </w:rPr>
        <w:t>A reasonable officer could conclude that these multiple conversations between Ross, Ellis, and Walton, the confidential source, indicated a tacit agreement to influence the bidding process for the EMS and PM Contracts. And Ellis made overt acts to further that goal by attempting to persuade the EMS Contract selection committee to permit exceptions sought by Ross's client and placing two members, Alvarado and Saunders, on the selection committee for the</w:t>
      </w:r>
      <w:r>
        <w:rPr>
          <w:rFonts w:ascii="Times New Roman" w:eastAsia="Times New Roman" w:hAnsi="Times New Roman"/>
          <w:sz w:val="24"/>
          <w:szCs w:val="24"/>
        </w:rPr>
        <w:t xml:space="preserve"> </w:t>
      </w:r>
      <w:r w:rsidRPr="007C1575">
        <w:rPr>
          <w:rFonts w:ascii="Times New Roman" w:eastAsia="Times New Roman" w:hAnsi="Times New Roman"/>
          <w:sz w:val="24"/>
          <w:szCs w:val="24"/>
        </w:rPr>
        <w:t>PM Contract. This, among other information set out in the affidavits, could lead a reasonable officer to believe that Ross was engaged in a conspiracy to restrain free and open competition in violation of Ga. Code Ann. § 16-10-22(b).</w:t>
      </w:r>
    </w:p>
    <w:p w14:paraId="172689C3" w14:textId="77777777" w:rsidR="00A82898" w:rsidRDefault="00A82898" w:rsidP="00A8289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C7FB450" w14:textId="77777777" w:rsidR="00A82898" w:rsidRPr="00B14793" w:rsidRDefault="00A82898" w:rsidP="00A82898">
      <w:pPr>
        <w:spacing w:before="100" w:beforeAutospacing="1" w:after="100" w:afterAutospacing="1" w:line="240" w:lineRule="auto"/>
        <w:ind w:left="720"/>
        <w:rPr>
          <w:rFonts w:ascii="Times New Roman" w:eastAsia="Times New Roman" w:hAnsi="Times New Roman"/>
          <w:sz w:val="24"/>
          <w:szCs w:val="24"/>
        </w:rPr>
      </w:pPr>
      <w:r w:rsidRPr="007C1575">
        <w:rPr>
          <w:rFonts w:ascii="Times New Roman" w:hAnsi="Times New Roman"/>
          <w:sz w:val="24"/>
          <w:szCs w:val="24"/>
        </w:rPr>
        <w:t>For the foregoing reasons, we conclude that James and Nix are entitled to qualified immunity from Ross's § 1983 suit. Thus, we affirm the district court's judgment.</w:t>
      </w:r>
      <w:r>
        <w:rPr>
          <w:rFonts w:ascii="Times New Roman" w:hAnsi="Times New Roman"/>
          <w:sz w:val="24"/>
          <w:szCs w:val="24"/>
        </w:rPr>
        <w:t>”</w:t>
      </w:r>
      <w:r w:rsidRPr="007C1575">
        <w:t xml:space="preserve"> </w:t>
      </w:r>
      <w:hyperlink r:id="rId2183" w:history="1">
        <w:r w:rsidRPr="00B14793">
          <w:rPr>
            <w:rStyle w:val="Hyperlink"/>
            <w:sz w:val="24"/>
            <w:szCs w:val="24"/>
          </w:rPr>
          <w:t>https://public.fastcase.com/9SKwsfNqTc6OieYDhNMyM83%2FYLJrcCtVmui0iqpJLDORGkxVmnXPTmwbGH4uC0ci</w:t>
        </w:r>
      </w:hyperlink>
      <w:r w:rsidRPr="00B14793">
        <w:rPr>
          <w:rFonts w:ascii="Times New Roman" w:hAnsi="Times New Roman"/>
          <w:sz w:val="24"/>
          <w:szCs w:val="24"/>
        </w:rPr>
        <w:t xml:space="preserve"> </w:t>
      </w:r>
    </w:p>
    <w:p w14:paraId="0A353CEE" w14:textId="48AA03FB" w:rsidR="00A82898" w:rsidRDefault="00A82898" w:rsidP="00A82898">
      <w:pPr>
        <w:pStyle w:val="Heading1"/>
        <w:rPr>
          <w:sz w:val="24"/>
          <w:szCs w:val="24"/>
        </w:rPr>
      </w:pPr>
      <w:r w:rsidRPr="003B7948">
        <w:rPr>
          <w:sz w:val="24"/>
          <w:szCs w:val="24"/>
        </w:rPr>
        <w:t xml:space="preserve">Legal Lesson Learned: </w:t>
      </w:r>
      <w:r>
        <w:rPr>
          <w:sz w:val="24"/>
          <w:szCs w:val="24"/>
        </w:rPr>
        <w:t xml:space="preserve"> District attorneys and their investigators enjoy “qualified immunity” when </w:t>
      </w:r>
      <w:proofErr w:type="gramStart"/>
      <w:r>
        <w:rPr>
          <w:sz w:val="24"/>
          <w:szCs w:val="24"/>
        </w:rPr>
        <w:t>conducting an investigation</w:t>
      </w:r>
      <w:proofErr w:type="gramEnd"/>
      <w:r>
        <w:rPr>
          <w:sz w:val="24"/>
          <w:szCs w:val="24"/>
        </w:rPr>
        <w:t xml:space="preserve">, even if no criminal charges are brought.  Fire &amp; EMS likewise enjoy </w:t>
      </w:r>
      <w:r>
        <w:rPr>
          <w:sz w:val="24"/>
          <w:szCs w:val="24"/>
        </w:rPr>
        <w:lastRenderedPageBreak/>
        <w:t>qualified immunity when conducting their official duties in most states, unless the</w:t>
      </w:r>
      <w:r w:rsidR="008A0333">
        <w:rPr>
          <w:sz w:val="24"/>
          <w:szCs w:val="24"/>
        </w:rPr>
        <w:t>ir actions constitute willful or wanton misconduct.</w:t>
      </w:r>
      <w:r>
        <w:rPr>
          <w:sz w:val="24"/>
          <w:szCs w:val="24"/>
        </w:rPr>
        <w:t xml:space="preserve"> </w:t>
      </w:r>
    </w:p>
    <w:p w14:paraId="376F1E19" w14:textId="77777777" w:rsidR="00A82898" w:rsidRDefault="00A82898" w:rsidP="00A82898">
      <w:pPr>
        <w:pStyle w:val="Heading1"/>
        <w:ind w:left="720"/>
        <w:rPr>
          <w:b w:val="0"/>
          <w:bCs w:val="0"/>
          <w:sz w:val="24"/>
          <w:szCs w:val="24"/>
        </w:rPr>
      </w:pPr>
      <w:r w:rsidRPr="003B7948">
        <w:rPr>
          <w:b w:val="0"/>
          <w:bCs w:val="0"/>
          <w:sz w:val="24"/>
          <w:szCs w:val="24"/>
        </w:rPr>
        <w:t>For example, see</w:t>
      </w:r>
      <w:r>
        <w:rPr>
          <w:b w:val="0"/>
          <w:bCs w:val="0"/>
          <w:sz w:val="24"/>
          <w:szCs w:val="24"/>
        </w:rPr>
        <w:t xml:space="preserve"> Ohio Revised Code</w:t>
      </w:r>
      <w:r w:rsidRPr="003B7948">
        <w:rPr>
          <w:b w:val="0"/>
          <w:bCs w:val="0"/>
          <w:sz w:val="24"/>
          <w:szCs w:val="24"/>
        </w:rPr>
        <w:t xml:space="preserve">: Section 4765.49 </w:t>
      </w:r>
      <w:r w:rsidRPr="003B7948">
        <w:rPr>
          <w:rStyle w:val="codes-separator"/>
          <w:b w:val="0"/>
          <w:bCs w:val="0"/>
          <w:sz w:val="24"/>
          <w:szCs w:val="24"/>
        </w:rPr>
        <w:t>|</w:t>
      </w:r>
      <w:r w:rsidRPr="003B7948">
        <w:rPr>
          <w:b w:val="0"/>
          <w:bCs w:val="0"/>
          <w:sz w:val="24"/>
          <w:szCs w:val="24"/>
        </w:rPr>
        <w:t xml:space="preserve"> Emergency medical personnel and agencies - immunity.</w:t>
      </w:r>
    </w:p>
    <w:p w14:paraId="3CE2824B" w14:textId="77777777" w:rsidR="00A82898" w:rsidRPr="00B14793" w:rsidRDefault="00A82898" w:rsidP="00A82898">
      <w:pPr>
        <w:pStyle w:val="Heading1"/>
        <w:ind w:left="720"/>
        <w:rPr>
          <w:b w:val="0"/>
          <w:bCs w:val="0"/>
          <w:sz w:val="24"/>
          <w:szCs w:val="24"/>
        </w:rPr>
      </w:pPr>
      <w:r w:rsidRPr="003B7948">
        <w:rPr>
          <w:b w:val="0"/>
          <w:bCs w:val="0"/>
          <w:sz w:val="24"/>
          <w:szCs w:val="24"/>
        </w:rPr>
        <w:t>(A)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r>
        <w:rPr>
          <w:b w:val="0"/>
          <w:bCs w:val="0"/>
          <w:sz w:val="24"/>
          <w:szCs w:val="24"/>
        </w:rPr>
        <w:t xml:space="preserve"> </w:t>
      </w:r>
      <w:hyperlink r:id="rId2184" w:history="1">
        <w:r w:rsidRPr="00B14793">
          <w:rPr>
            <w:rStyle w:val="Hyperlink"/>
            <w:sz w:val="24"/>
            <w:szCs w:val="24"/>
          </w:rPr>
          <w:t>https://codes.ohio.gov/ohio-revised-code/section-4765.49</w:t>
        </w:r>
      </w:hyperlink>
      <w:r w:rsidRPr="00B14793">
        <w:rPr>
          <w:b w:val="0"/>
          <w:bCs w:val="0"/>
          <w:sz w:val="24"/>
          <w:szCs w:val="24"/>
        </w:rPr>
        <w:t xml:space="preserve"> </w:t>
      </w:r>
    </w:p>
    <w:p w14:paraId="07184ACE" w14:textId="77777777" w:rsidR="00A82898" w:rsidRDefault="00A82898" w:rsidP="002B1283">
      <w:pPr>
        <w:rPr>
          <w:rFonts w:ascii="Arial Black" w:hAnsi="Arial Black"/>
          <w:b/>
          <w:bCs/>
          <w:sz w:val="28"/>
          <w:szCs w:val="28"/>
        </w:rPr>
      </w:pPr>
    </w:p>
    <w:p w14:paraId="0FAFB85D" w14:textId="77777777" w:rsidR="00A82898" w:rsidRDefault="00A82898" w:rsidP="002B1283">
      <w:pPr>
        <w:rPr>
          <w:rFonts w:ascii="Arial Black" w:hAnsi="Arial Black"/>
          <w:b/>
          <w:bCs/>
          <w:sz w:val="28"/>
          <w:szCs w:val="28"/>
        </w:rPr>
      </w:pPr>
    </w:p>
    <w:p w14:paraId="5F2C8AFD" w14:textId="6D4F20F1" w:rsidR="00A82898" w:rsidRDefault="00A82898" w:rsidP="002B1283">
      <w:pPr>
        <w:rPr>
          <w:rFonts w:ascii="Arial Black" w:hAnsi="Arial Black"/>
          <w:b/>
          <w:bCs/>
          <w:sz w:val="28"/>
          <w:szCs w:val="28"/>
        </w:rPr>
      </w:pPr>
      <w:r>
        <w:rPr>
          <w:rFonts w:ascii="Arial Black" w:hAnsi="Arial Black"/>
          <w:b/>
          <w:bCs/>
          <w:sz w:val="28"/>
          <w:szCs w:val="28"/>
        </w:rPr>
        <w:t>13-88</w:t>
      </w:r>
    </w:p>
    <w:p w14:paraId="5DBE92D6" w14:textId="77777777" w:rsidR="00A82898" w:rsidRDefault="00A82898" w:rsidP="00A82898">
      <w:pPr>
        <w:rPr>
          <w:rFonts w:ascii="Arial Black" w:hAnsi="Arial Black"/>
          <w:bCs/>
          <w:sz w:val="28"/>
          <w:szCs w:val="28"/>
        </w:rPr>
      </w:pPr>
      <w:r>
        <w:rPr>
          <w:rFonts w:ascii="Arial Black" w:hAnsi="Arial Black"/>
          <w:bCs/>
          <w:sz w:val="28"/>
          <w:szCs w:val="28"/>
        </w:rPr>
        <w:t xml:space="preserve">TX: COVID-19 VACCINATION – FEDERAL JUDGE: HOSPITAL NURSES IN TEXAS CAN BE REQUIRED TO GET THE SHOTS  </w:t>
      </w:r>
    </w:p>
    <w:p w14:paraId="7313F43B" w14:textId="77777777" w:rsidR="00A82898" w:rsidRDefault="00A82898" w:rsidP="00A82898">
      <w:pPr>
        <w:pStyle w:val="NoSpacing"/>
        <w:rPr>
          <w:rFonts w:ascii="Times New Roman" w:hAnsi="Times New Roman"/>
          <w:bCs/>
          <w:sz w:val="24"/>
          <w:szCs w:val="24"/>
        </w:rPr>
      </w:pPr>
      <w:r>
        <w:rPr>
          <w:rFonts w:ascii="Times New Roman" w:hAnsi="Times New Roman"/>
          <w:sz w:val="24"/>
          <w:szCs w:val="24"/>
        </w:rPr>
        <w:t xml:space="preserve">On June 12, 2021, in </w:t>
      </w:r>
      <w:r w:rsidRPr="006F29EF">
        <w:rPr>
          <w:rFonts w:ascii="Times New Roman" w:hAnsi="Times New Roman"/>
          <w:sz w:val="24"/>
          <w:szCs w:val="24"/>
          <w:u w:val="single"/>
        </w:rPr>
        <w:t>Jennifer Bridges, et al. v. Houston Methodist Hospital</w:t>
      </w:r>
      <w:r>
        <w:rPr>
          <w:rFonts w:ascii="Times New Roman" w:hAnsi="Times New Roman"/>
          <w:sz w:val="24"/>
          <w:szCs w:val="24"/>
        </w:rPr>
        <w:t xml:space="preserve">, U.S. District Court Judge Lynn N. Hughes, dismissed a lawsuit filed by 100 nurses and others, challenging the </w:t>
      </w:r>
      <w:r w:rsidRPr="009D5173">
        <w:rPr>
          <w:rFonts w:ascii="Times New Roman" w:hAnsi="Times New Roman"/>
          <w:bCs/>
          <w:sz w:val="24"/>
          <w:szCs w:val="24"/>
        </w:rPr>
        <w:t>Texas hospital system</w:t>
      </w:r>
      <w:r>
        <w:rPr>
          <w:rFonts w:ascii="Times New Roman" w:hAnsi="Times New Roman"/>
          <w:bCs/>
          <w:sz w:val="24"/>
          <w:szCs w:val="24"/>
        </w:rPr>
        <w:t xml:space="preserve">’s requirement that </w:t>
      </w:r>
      <w:r w:rsidRPr="009D5173">
        <w:rPr>
          <w:rFonts w:ascii="Times New Roman" w:hAnsi="Times New Roman"/>
          <w:bCs/>
          <w:sz w:val="24"/>
          <w:szCs w:val="24"/>
        </w:rPr>
        <w:t>26,000 employees all needed to receive a COVID-19 vaccine as a condition of staying employed</w:t>
      </w:r>
      <w:r>
        <w:rPr>
          <w:rFonts w:ascii="Times New Roman" w:hAnsi="Times New Roman"/>
          <w:bCs/>
          <w:sz w:val="24"/>
          <w:szCs w:val="24"/>
        </w:rPr>
        <w:t xml:space="preserve">, with only a couple </w:t>
      </w:r>
      <w:r w:rsidRPr="009D5173">
        <w:rPr>
          <w:rFonts w:ascii="Times New Roman" w:hAnsi="Times New Roman"/>
          <w:bCs/>
          <w:sz w:val="24"/>
          <w:szCs w:val="24"/>
        </w:rPr>
        <w:t>of narrow exemptions—based on a medical condition or a sincerely held religious belief</w:t>
      </w:r>
      <w:r>
        <w:rPr>
          <w:rFonts w:ascii="Times New Roman" w:hAnsi="Times New Roman"/>
          <w:bCs/>
          <w:sz w:val="24"/>
          <w:szCs w:val="24"/>
        </w:rPr>
        <w:t xml:space="preserve">. </w:t>
      </w:r>
    </w:p>
    <w:p w14:paraId="5F8D6921" w14:textId="77777777" w:rsidR="00A82898" w:rsidRDefault="00A82898" w:rsidP="00A82898">
      <w:pPr>
        <w:pStyle w:val="NoSpacing"/>
        <w:rPr>
          <w:rFonts w:ascii="Times New Roman" w:hAnsi="Times New Roman"/>
          <w:bCs/>
          <w:sz w:val="24"/>
          <w:szCs w:val="24"/>
        </w:rPr>
      </w:pPr>
    </w:p>
    <w:p w14:paraId="4F06EDD4" w14:textId="77777777" w:rsidR="00A82898" w:rsidRPr="003D5D8C" w:rsidRDefault="00A82898" w:rsidP="00A82898">
      <w:pPr>
        <w:pStyle w:val="NoSpacing"/>
        <w:ind w:left="720"/>
        <w:rPr>
          <w:rFonts w:ascii="Times New Roman" w:hAnsi="Times New Roman"/>
          <w:sz w:val="24"/>
          <w:szCs w:val="24"/>
        </w:rPr>
      </w:pPr>
      <w:r>
        <w:rPr>
          <w:rFonts w:ascii="Times New Roman" w:hAnsi="Times New Roman"/>
          <w:bCs/>
          <w:sz w:val="24"/>
          <w:szCs w:val="24"/>
        </w:rPr>
        <w:t xml:space="preserve">“Texas law only protects employees from being terminated for refusing to commit an act carrying criminal penalties to the worker….  Receiving a COVID-19 vaccination is not an illegal act, and it carries no criminal penalties.  [Bridges] is refusing to accept inoculation that, in the hospital’s judgment, will make it safer for their workers and the patients in Methodist’s care.” </w:t>
      </w:r>
      <w:hyperlink r:id="rId2185" w:history="1">
        <w:r w:rsidRPr="003D5D8C">
          <w:rPr>
            <w:rStyle w:val="Hyperlink"/>
            <w:sz w:val="24"/>
            <w:szCs w:val="24"/>
          </w:rPr>
          <w:t>https://www.documentcloud.org/documents/20860669-houston-methodist-lawsuit-order-of-dismissal</w:t>
        </w:r>
      </w:hyperlink>
      <w:r w:rsidRPr="003D5D8C">
        <w:rPr>
          <w:rFonts w:ascii="Times New Roman" w:hAnsi="Times New Roman"/>
          <w:bCs/>
          <w:sz w:val="24"/>
          <w:szCs w:val="24"/>
        </w:rPr>
        <w:t xml:space="preserve"> </w:t>
      </w:r>
    </w:p>
    <w:p w14:paraId="57DECBDC" w14:textId="77777777" w:rsidR="00A82898" w:rsidRDefault="00A82898" w:rsidP="00A82898">
      <w:pPr>
        <w:rPr>
          <w:rFonts w:ascii="Times New Roman" w:hAnsi="Times New Roman"/>
          <w:bCs/>
          <w:sz w:val="24"/>
          <w:szCs w:val="24"/>
        </w:rPr>
      </w:pPr>
    </w:p>
    <w:p w14:paraId="193F9BB4" w14:textId="77777777" w:rsidR="00A82898" w:rsidRPr="00BC7ABC" w:rsidRDefault="00A82898" w:rsidP="00A82898">
      <w:pPr>
        <w:rPr>
          <w:rFonts w:ascii="Times New Roman" w:hAnsi="Times New Roman"/>
          <w:b/>
          <w:sz w:val="24"/>
          <w:szCs w:val="24"/>
        </w:rPr>
      </w:pPr>
      <w:r w:rsidRPr="00BC7ABC">
        <w:rPr>
          <w:rFonts w:ascii="Times New Roman" w:hAnsi="Times New Roman"/>
          <w:b/>
          <w:sz w:val="24"/>
          <w:szCs w:val="24"/>
        </w:rPr>
        <w:t xml:space="preserve">Legal Lesson Learned: </w:t>
      </w:r>
      <w:r>
        <w:rPr>
          <w:rFonts w:ascii="Times New Roman" w:hAnsi="Times New Roman"/>
          <w:b/>
          <w:sz w:val="24"/>
          <w:szCs w:val="24"/>
        </w:rPr>
        <w:t xml:space="preserve">Fire &amp; EMS departments should consult with legal counsel regarding the law in your state. </w:t>
      </w:r>
    </w:p>
    <w:p w14:paraId="384507A2" w14:textId="77777777" w:rsidR="00A82898" w:rsidRPr="009D5173" w:rsidRDefault="00A82898" w:rsidP="00A82898">
      <w:pPr>
        <w:ind w:left="720"/>
        <w:rPr>
          <w:rFonts w:ascii="Times New Roman" w:hAnsi="Times New Roman"/>
          <w:bCs/>
          <w:sz w:val="24"/>
          <w:szCs w:val="24"/>
        </w:rPr>
      </w:pPr>
      <w:r>
        <w:rPr>
          <w:rFonts w:ascii="Times New Roman" w:hAnsi="Times New Roman"/>
          <w:sz w:val="24"/>
          <w:szCs w:val="24"/>
        </w:rPr>
        <w:t xml:space="preserve">See this June 15, </w:t>
      </w:r>
      <w:proofErr w:type="gramStart"/>
      <w:r>
        <w:rPr>
          <w:rFonts w:ascii="Times New Roman" w:hAnsi="Times New Roman"/>
          <w:sz w:val="24"/>
          <w:szCs w:val="24"/>
        </w:rPr>
        <w:t>2021</w:t>
      </w:r>
      <w:proofErr w:type="gramEnd"/>
      <w:r>
        <w:rPr>
          <w:rFonts w:ascii="Times New Roman" w:hAnsi="Times New Roman"/>
          <w:sz w:val="24"/>
          <w:szCs w:val="24"/>
        </w:rPr>
        <w:t xml:space="preserve"> article, “</w:t>
      </w:r>
      <w:r w:rsidRPr="009D5173">
        <w:rPr>
          <w:rFonts w:ascii="Times New Roman" w:hAnsi="Times New Roman"/>
          <w:bCs/>
          <w:sz w:val="24"/>
          <w:szCs w:val="24"/>
        </w:rPr>
        <w:t>Mandatory Vaccination Policy Lawsuit Update: Nurses Take a Shot Against Hospital, But Judge Jabs Back.</w:t>
      </w:r>
      <w:r>
        <w:rPr>
          <w:rFonts w:ascii="Times New Roman" w:hAnsi="Times New Roman"/>
          <w:bCs/>
          <w:sz w:val="24"/>
          <w:szCs w:val="24"/>
        </w:rPr>
        <w:t>”</w:t>
      </w:r>
      <w:r w:rsidRPr="009D5173">
        <w:rPr>
          <w:rFonts w:ascii="Times New Roman" w:hAnsi="Times New Roman"/>
          <w:bCs/>
          <w:sz w:val="24"/>
          <w:szCs w:val="24"/>
        </w:rPr>
        <w:t xml:space="preserve"> </w:t>
      </w:r>
      <w:r>
        <w:rPr>
          <w:rFonts w:ascii="Times New Roman" w:hAnsi="Times New Roman"/>
          <w:bCs/>
          <w:sz w:val="24"/>
          <w:szCs w:val="24"/>
        </w:rPr>
        <w:t xml:space="preserve"> </w:t>
      </w:r>
      <w:hyperlink r:id="rId2186" w:history="1">
        <w:r w:rsidRPr="00B14793">
          <w:rPr>
            <w:rStyle w:val="Hyperlink"/>
            <w:sz w:val="24"/>
            <w:szCs w:val="24"/>
          </w:rPr>
          <w:t>https://www.natlawreview.com/article/mandatory-vaccination-policy-lawsuit-update-nurses-take-shot-against-hospital-judge</w:t>
        </w:r>
      </w:hyperlink>
      <w:r w:rsidRPr="00B14793">
        <w:rPr>
          <w:rFonts w:ascii="Times New Roman" w:hAnsi="Times New Roman"/>
          <w:bCs/>
          <w:sz w:val="24"/>
          <w:szCs w:val="24"/>
        </w:rPr>
        <w:t xml:space="preserve"> </w:t>
      </w:r>
    </w:p>
    <w:p w14:paraId="4B429104" w14:textId="77777777" w:rsidR="00A82898" w:rsidRPr="00B14793" w:rsidRDefault="00A82898" w:rsidP="00A82898">
      <w:pPr>
        <w:pStyle w:val="NoSpacing"/>
        <w:ind w:left="720"/>
        <w:rPr>
          <w:rFonts w:ascii="Times New Roman" w:hAnsi="Times New Roman"/>
          <w:sz w:val="24"/>
          <w:szCs w:val="24"/>
        </w:rPr>
      </w:pPr>
      <w:r w:rsidRPr="00BC7ABC">
        <w:rPr>
          <w:rFonts w:ascii="Times New Roman" w:hAnsi="Times New Roman"/>
          <w:sz w:val="24"/>
          <w:szCs w:val="24"/>
        </w:rPr>
        <w:t xml:space="preserve">Note: In Ohio, there is a “public policy exception” where an employer can be held liable for terminating an “at will” employee in violation of a clear public policy protected by federal or state law [such as firing employee who contacted OSHA, or for filing a </w:t>
      </w:r>
      <w:proofErr w:type="gramStart"/>
      <w:r w:rsidRPr="00BC7ABC">
        <w:rPr>
          <w:rFonts w:ascii="Times New Roman" w:hAnsi="Times New Roman"/>
          <w:sz w:val="24"/>
          <w:szCs w:val="24"/>
        </w:rPr>
        <w:t>workers</w:t>
      </w:r>
      <w:proofErr w:type="gramEnd"/>
      <w:r w:rsidRPr="00BC7ABC">
        <w:rPr>
          <w:rFonts w:ascii="Times New Roman" w:hAnsi="Times New Roman"/>
          <w:sz w:val="24"/>
          <w:szCs w:val="24"/>
        </w:rPr>
        <w:t xml:space="preserve"> comp claim].   </w:t>
      </w:r>
      <w:r>
        <w:rPr>
          <w:rFonts w:ascii="Times New Roman" w:hAnsi="Times New Roman"/>
          <w:sz w:val="24"/>
          <w:szCs w:val="24"/>
        </w:rPr>
        <w:t>On June 22, 2021, a</w:t>
      </w:r>
      <w:r w:rsidRPr="00BC7ABC">
        <w:rPr>
          <w:rFonts w:ascii="Times New Roman" w:hAnsi="Times New Roman"/>
          <w:sz w:val="24"/>
          <w:szCs w:val="24"/>
        </w:rPr>
        <w:t>n Ohio law firm recently wrote: “</w:t>
      </w:r>
      <w:r w:rsidRPr="00BC7ABC">
        <w:rPr>
          <w:rFonts w:ascii="Times New Roman" w:eastAsia="Times New Roman" w:hAnsi="Times New Roman"/>
          <w:sz w:val="24"/>
          <w:szCs w:val="24"/>
        </w:rPr>
        <w:t>It is unlikely based on current law that mandating COVID-19 vaccinations violates public policy in Ohio. But that is only under current law.  As of this newsletter, pending Ohio legislation would ban vaccine requirements not just for COVID-19, but all vaccines</w:t>
      </w:r>
      <w:r w:rsidRPr="00BC7ABC">
        <w:rPr>
          <w:rFonts w:ascii="Times New Roman" w:eastAsia="Times New Roman" w:hAnsi="Times New Roman"/>
          <w:b/>
          <w:sz w:val="24"/>
          <w:szCs w:val="24"/>
        </w:rPr>
        <w:t xml:space="preserve">.” </w:t>
      </w:r>
      <w:hyperlink r:id="rId2187" w:history="1">
        <w:r w:rsidRPr="00B14793">
          <w:rPr>
            <w:rStyle w:val="Hyperlink"/>
            <w:sz w:val="24"/>
            <w:szCs w:val="24"/>
          </w:rPr>
          <w:t>https://fisheldowney.com/texas-federal-court-permits-employer-vaccine-mandates-mean-ohio-employers/</w:t>
        </w:r>
      </w:hyperlink>
    </w:p>
    <w:p w14:paraId="53C22503" w14:textId="77777777" w:rsidR="00A82898" w:rsidRDefault="00A82898" w:rsidP="00A82898">
      <w:pPr>
        <w:pStyle w:val="NoSpacing"/>
        <w:rPr>
          <w:rFonts w:ascii="Times New Roman" w:hAnsi="Times New Roman"/>
          <w:sz w:val="24"/>
          <w:szCs w:val="24"/>
        </w:rPr>
      </w:pPr>
    </w:p>
    <w:p w14:paraId="05D1D3FF" w14:textId="77777777" w:rsidR="00A82898" w:rsidRDefault="00A82898" w:rsidP="002B1283">
      <w:pPr>
        <w:rPr>
          <w:rFonts w:ascii="Arial Black" w:hAnsi="Arial Black"/>
          <w:b/>
          <w:bCs/>
          <w:sz w:val="28"/>
          <w:szCs w:val="28"/>
        </w:rPr>
      </w:pPr>
    </w:p>
    <w:p w14:paraId="1A6925C4" w14:textId="77777777" w:rsidR="00A82898" w:rsidRDefault="00A82898" w:rsidP="002B1283">
      <w:pPr>
        <w:rPr>
          <w:rFonts w:ascii="Arial Black" w:hAnsi="Arial Black"/>
          <w:b/>
          <w:bCs/>
          <w:sz w:val="28"/>
          <w:szCs w:val="28"/>
        </w:rPr>
      </w:pPr>
    </w:p>
    <w:p w14:paraId="438D926C" w14:textId="4ADCF9D4" w:rsidR="00B03268" w:rsidRPr="00BC5936" w:rsidRDefault="00B03268" w:rsidP="002B1283">
      <w:pPr>
        <w:rPr>
          <w:rFonts w:ascii="Times New Roman" w:hAnsi="Times New Roman"/>
          <w:sz w:val="24"/>
          <w:szCs w:val="24"/>
        </w:rPr>
      </w:pPr>
      <w:r>
        <w:rPr>
          <w:rFonts w:ascii="Arial Black" w:hAnsi="Arial Black"/>
          <w:b/>
          <w:bCs/>
          <w:sz w:val="28"/>
          <w:szCs w:val="28"/>
        </w:rPr>
        <w:t>13-87</w:t>
      </w:r>
      <w:r w:rsidR="00BC5936">
        <w:rPr>
          <w:rFonts w:ascii="Arial Black" w:hAnsi="Arial Black"/>
          <w:b/>
          <w:bCs/>
          <w:sz w:val="28"/>
          <w:szCs w:val="28"/>
        </w:rPr>
        <w:t xml:space="preserve"> </w:t>
      </w:r>
      <w:r w:rsidR="00BC5936">
        <w:rPr>
          <w:rFonts w:ascii="Times New Roman" w:hAnsi="Times New Roman"/>
          <w:sz w:val="24"/>
          <w:szCs w:val="24"/>
        </w:rPr>
        <w:t xml:space="preserve">[also filed, Chap. 5] </w:t>
      </w:r>
    </w:p>
    <w:p w14:paraId="1D453DB1" w14:textId="77777777" w:rsidR="00B03268" w:rsidRPr="002F193B" w:rsidRDefault="00B03268" w:rsidP="00B03268">
      <w:pPr>
        <w:pStyle w:val="NoSpacing"/>
        <w:rPr>
          <w:rFonts w:ascii="Arial Black" w:hAnsi="Arial Black"/>
          <w:sz w:val="28"/>
          <w:szCs w:val="28"/>
        </w:rPr>
      </w:pPr>
      <w:r>
        <w:rPr>
          <w:rFonts w:ascii="Arial Black" w:hAnsi="Arial Black"/>
          <w:sz w:val="28"/>
          <w:szCs w:val="28"/>
        </w:rPr>
        <w:t>WV: AMBULANCE ROLL OVER - 2 KILLED, EMT’S LAWSUIT HOSP. DISMISSED – MEDICAL CERT. OF MERIT REQUIRED</w:t>
      </w:r>
    </w:p>
    <w:p w14:paraId="045C8313" w14:textId="77777777" w:rsidR="00B03268" w:rsidRDefault="00B03268" w:rsidP="00B03268">
      <w:pPr>
        <w:pStyle w:val="NoSpacing"/>
      </w:pPr>
    </w:p>
    <w:p w14:paraId="6C1D2639" w14:textId="77777777" w:rsidR="00B03268" w:rsidRDefault="00B03268" w:rsidP="00B03268">
      <w:pPr>
        <w:pStyle w:val="NoSpacing"/>
        <w:rPr>
          <w:rFonts w:ascii="Times New Roman" w:hAnsi="Times New Roman"/>
          <w:sz w:val="24"/>
          <w:szCs w:val="24"/>
        </w:rPr>
      </w:pPr>
      <w:r w:rsidRPr="00397962">
        <w:rPr>
          <w:rFonts w:ascii="Times New Roman" w:hAnsi="Times New Roman"/>
          <w:sz w:val="24"/>
          <w:szCs w:val="24"/>
        </w:rPr>
        <w:t xml:space="preserve">On May 20, 2021, in </w:t>
      </w:r>
      <w:r w:rsidRPr="00397962">
        <w:rPr>
          <w:rFonts w:ascii="Times New Roman" w:hAnsi="Times New Roman"/>
          <w:sz w:val="24"/>
          <w:szCs w:val="24"/>
          <w:u w:val="single"/>
        </w:rPr>
        <w:t>Crystal G. Brown and Tri-State Ambulance, Inc. v. Ohio Valley Health Services &amp; Education Corporation; Ohio Valley Medical Center; et al</w:t>
      </w:r>
      <w:r>
        <w:rPr>
          <w:rFonts w:ascii="Times New Roman" w:hAnsi="Times New Roman"/>
          <w:sz w:val="24"/>
          <w:szCs w:val="24"/>
        </w:rPr>
        <w:t xml:space="preserve">., the State of West Virginia Supreme Court of Appeals, </w:t>
      </w:r>
      <w:r w:rsidRPr="00FD6489">
        <w:rPr>
          <w:rStyle w:val="font-weight-bold"/>
          <w:rFonts w:ascii="Times New Roman" w:hAnsi="Times New Roman"/>
          <w:sz w:val="24"/>
          <w:szCs w:val="24"/>
        </w:rPr>
        <w:t>Brown v. Ohio Valley Health Servs. &amp; Educ. Corp. (W. Va. 202</w:t>
      </w:r>
      <w:r>
        <w:rPr>
          <w:rFonts w:ascii="Times New Roman" w:hAnsi="Times New Roman"/>
          <w:sz w:val="24"/>
          <w:szCs w:val="24"/>
        </w:rPr>
        <w:t xml:space="preserve">1, held (3 to 0) that the lawsuit was properly dismissed since the West Virginia code of medical professional liability requires both patients and others suing a health care provider 30 days </w:t>
      </w:r>
      <w:proofErr w:type="gramStart"/>
      <w:r>
        <w:rPr>
          <w:rFonts w:ascii="Times New Roman" w:hAnsi="Times New Roman"/>
          <w:sz w:val="24"/>
          <w:szCs w:val="24"/>
        </w:rPr>
        <w:t>prior</w:t>
      </w:r>
      <w:proofErr w:type="gramEnd"/>
      <w:r>
        <w:rPr>
          <w:rFonts w:ascii="Times New Roman" w:hAnsi="Times New Roman"/>
          <w:sz w:val="24"/>
          <w:szCs w:val="24"/>
        </w:rPr>
        <w:t xml:space="preserve"> written notice, and a certificate of merit by a qualified health care provider.  The EMT in her lawsuit claimed the hospital knew but failed to disclose that transporting the patient to a Columbus, OH hospital was not medically necessary to save his life and that dangerous weather was approaching; the Ambulance company’s insurance provider sought reimbursement for its settlement costs.</w:t>
      </w:r>
    </w:p>
    <w:p w14:paraId="35504CFF" w14:textId="77777777" w:rsidR="00B03268" w:rsidRPr="00FD6489" w:rsidRDefault="00B03268" w:rsidP="00B03268">
      <w:pPr>
        <w:spacing w:before="100" w:beforeAutospacing="1" w:after="100" w:afterAutospacing="1"/>
        <w:ind w:left="720"/>
        <w:rPr>
          <w:rFonts w:ascii="Times New Roman" w:hAnsi="Times New Roman"/>
          <w:sz w:val="24"/>
          <w:szCs w:val="24"/>
        </w:rPr>
      </w:pPr>
      <w:r>
        <w:rPr>
          <w:rFonts w:ascii="Times New Roman" w:hAnsi="Times New Roman"/>
          <w:sz w:val="24"/>
          <w:szCs w:val="24"/>
        </w:rPr>
        <w:t>“</w:t>
      </w:r>
      <w:r w:rsidRPr="00FD6489">
        <w:rPr>
          <w:rFonts w:ascii="Times New Roman" w:hAnsi="Times New Roman"/>
          <w:sz w:val="24"/>
          <w:szCs w:val="24"/>
        </w:rPr>
        <w:t xml:space="preserve">That Petitioner Brown was not the patient does not preclude application of the MPLA. [Medical Professional Liability Act].  In syllabus point 5 of </w:t>
      </w:r>
      <w:r w:rsidRPr="00FD6489">
        <w:rPr>
          <w:rFonts w:ascii="Times New Roman" w:hAnsi="Times New Roman"/>
          <w:i/>
          <w:iCs/>
          <w:sz w:val="24"/>
          <w:szCs w:val="24"/>
        </w:rPr>
        <w:t>Osbourne v</w:t>
      </w:r>
      <w:r w:rsidRPr="00FD6489">
        <w:rPr>
          <w:rFonts w:ascii="Times New Roman" w:hAnsi="Times New Roman"/>
          <w:sz w:val="24"/>
          <w:szCs w:val="24"/>
        </w:rPr>
        <w:t xml:space="preserve">. </w:t>
      </w:r>
      <w:r w:rsidRPr="00FD6489">
        <w:rPr>
          <w:rFonts w:ascii="Times New Roman" w:hAnsi="Times New Roman"/>
          <w:i/>
          <w:iCs/>
          <w:sz w:val="24"/>
          <w:szCs w:val="24"/>
        </w:rPr>
        <w:t>United States</w:t>
      </w:r>
      <w:r w:rsidRPr="00FD6489">
        <w:rPr>
          <w:rFonts w:ascii="Times New Roman" w:hAnsi="Times New Roman"/>
          <w:sz w:val="24"/>
          <w:szCs w:val="24"/>
        </w:rPr>
        <w:t xml:space="preserve">, 211 W. Va. 667, 567 S.E.2d 677 (2002), we held that the Act </w:t>
      </w:r>
      <w:r>
        <w:rPr>
          <w:rFonts w:ascii="Times New Roman" w:hAnsi="Times New Roman"/>
          <w:sz w:val="24"/>
          <w:szCs w:val="24"/>
        </w:rPr>
        <w:t>‘</w:t>
      </w:r>
      <w:r w:rsidRPr="00FD6489">
        <w:rPr>
          <w:rFonts w:ascii="Times New Roman" w:hAnsi="Times New Roman"/>
          <w:sz w:val="24"/>
          <w:szCs w:val="24"/>
        </w:rPr>
        <w:t>permits a third party to bring a cause of action against a health care provider for foreseeable injuries that were proximately caused by the health care provider's negligent treatment of a tortfeasor patient.</w:t>
      </w:r>
      <w:r>
        <w:rPr>
          <w:rFonts w:ascii="Times New Roman" w:hAnsi="Times New Roman"/>
          <w:sz w:val="24"/>
          <w:szCs w:val="24"/>
        </w:rPr>
        <w:t>’</w:t>
      </w:r>
      <w:r w:rsidRPr="00FD6489">
        <w:rPr>
          <w:rFonts w:ascii="Times New Roman" w:hAnsi="Times New Roman"/>
          <w:sz w:val="24"/>
          <w:szCs w:val="24"/>
        </w:rPr>
        <w:t xml:space="preserve"> In reaching this holding, we observed that, in defining </w:t>
      </w:r>
      <w:r>
        <w:rPr>
          <w:rFonts w:ascii="Times New Roman" w:hAnsi="Times New Roman"/>
          <w:sz w:val="24"/>
          <w:szCs w:val="24"/>
        </w:rPr>
        <w:t>‘</w:t>
      </w:r>
      <w:r w:rsidRPr="00FD6489">
        <w:rPr>
          <w:rFonts w:ascii="Times New Roman" w:hAnsi="Times New Roman"/>
          <w:sz w:val="24"/>
          <w:szCs w:val="24"/>
        </w:rPr>
        <w:t>medical professional liability</w:t>
      </w:r>
      <w:r>
        <w:rPr>
          <w:rFonts w:ascii="Times New Roman" w:hAnsi="Times New Roman"/>
          <w:sz w:val="24"/>
          <w:szCs w:val="24"/>
        </w:rPr>
        <w:t xml:space="preserve">.’” </w:t>
      </w:r>
      <w:hyperlink r:id="rId2188" w:history="1">
        <w:r w:rsidRPr="007344F4">
          <w:rPr>
            <w:rStyle w:val="Hyperlink"/>
            <w:sz w:val="24"/>
            <w:szCs w:val="24"/>
          </w:rPr>
          <w:t>https://casetext.com/case/brown-v-ohio-valley-health-servs-educ-corp</w:t>
        </w:r>
      </w:hyperlink>
      <w:r>
        <w:rPr>
          <w:rFonts w:ascii="Times New Roman" w:hAnsi="Times New Roman"/>
          <w:sz w:val="24"/>
          <w:szCs w:val="24"/>
        </w:rPr>
        <w:t xml:space="preserve"> </w:t>
      </w:r>
    </w:p>
    <w:p w14:paraId="3ADAE79C" w14:textId="77777777" w:rsidR="00B03268" w:rsidRPr="006723F9" w:rsidRDefault="00B03268" w:rsidP="00B03268">
      <w:pPr>
        <w:spacing w:before="100" w:beforeAutospacing="1" w:after="100" w:afterAutospacing="1"/>
        <w:rPr>
          <w:rFonts w:ascii="Times New Roman" w:eastAsia="Times New Roman" w:hAnsi="Times New Roman"/>
          <w:b/>
          <w:bCs/>
          <w:sz w:val="24"/>
          <w:szCs w:val="24"/>
        </w:rPr>
      </w:pPr>
      <w:r w:rsidRPr="006723F9">
        <w:rPr>
          <w:rFonts w:ascii="Times New Roman" w:hAnsi="Times New Roman"/>
          <w:b/>
          <w:bCs/>
          <w:sz w:val="24"/>
          <w:szCs w:val="24"/>
        </w:rPr>
        <w:t xml:space="preserve">Legal Lesson Learned:  </w:t>
      </w:r>
      <w:r>
        <w:rPr>
          <w:rFonts w:ascii="Times New Roman" w:hAnsi="Times New Roman"/>
          <w:b/>
          <w:bCs/>
          <w:sz w:val="24"/>
          <w:szCs w:val="24"/>
        </w:rPr>
        <w:t xml:space="preserve">Lawsuit dismissed since EMT and her attorney </w:t>
      </w:r>
      <w:r w:rsidRPr="006723F9">
        <w:rPr>
          <w:rFonts w:ascii="Times New Roman" w:hAnsi="Times New Roman"/>
          <w:b/>
          <w:bCs/>
          <w:sz w:val="24"/>
          <w:szCs w:val="24"/>
        </w:rPr>
        <w:t xml:space="preserve">didn’t </w:t>
      </w:r>
      <w:r>
        <w:rPr>
          <w:rFonts w:ascii="Times New Roman" w:hAnsi="Times New Roman"/>
          <w:b/>
          <w:bCs/>
          <w:sz w:val="24"/>
          <w:szCs w:val="24"/>
        </w:rPr>
        <w:t xml:space="preserve">provide the Certificate of Merit required by the Medical Professional Liability </w:t>
      </w:r>
      <w:r w:rsidRPr="006723F9">
        <w:rPr>
          <w:rFonts w:ascii="Times New Roman" w:hAnsi="Times New Roman"/>
          <w:b/>
          <w:bCs/>
          <w:sz w:val="24"/>
          <w:szCs w:val="24"/>
        </w:rPr>
        <w:t xml:space="preserve">statute. </w:t>
      </w:r>
      <w:r>
        <w:rPr>
          <w:rFonts w:ascii="Times New Roman" w:hAnsi="Times New Roman"/>
          <w:b/>
          <w:bCs/>
          <w:sz w:val="24"/>
          <w:szCs w:val="24"/>
        </w:rPr>
        <w:t xml:space="preserve"> Similar statutes can be found throughout U.S. </w:t>
      </w:r>
    </w:p>
    <w:p w14:paraId="7AF41074" w14:textId="77777777" w:rsidR="00B03268" w:rsidRDefault="00B03268" w:rsidP="00B03268">
      <w:pPr>
        <w:spacing w:before="100" w:beforeAutospacing="1" w:after="100" w:afterAutospacing="1"/>
        <w:ind w:left="720"/>
        <w:rPr>
          <w:rFonts w:ascii="Times New Roman" w:hAnsi="Times New Roman"/>
          <w:sz w:val="24"/>
          <w:szCs w:val="24"/>
        </w:rPr>
      </w:pPr>
      <w:r>
        <w:rPr>
          <w:rFonts w:ascii="Times New Roman" w:eastAsia="Times New Roman" w:hAnsi="Times New Roman"/>
          <w:sz w:val="24"/>
          <w:szCs w:val="24"/>
        </w:rPr>
        <w:t>Note: See this article on the roll over.</w:t>
      </w:r>
    </w:p>
    <w:p w14:paraId="0028289B" w14:textId="77777777" w:rsidR="00B03268" w:rsidRPr="006C56B5" w:rsidRDefault="00B03268" w:rsidP="00B03268">
      <w:pPr>
        <w:ind w:left="720"/>
        <w:rPr>
          <w:rFonts w:ascii="Times New Roman" w:hAnsi="Times New Roman"/>
          <w:sz w:val="24"/>
          <w:szCs w:val="24"/>
        </w:rPr>
      </w:pPr>
      <w:r w:rsidRPr="006C56B5">
        <w:rPr>
          <w:rFonts w:ascii="Times New Roman" w:hAnsi="Times New Roman"/>
          <w:b/>
          <w:bCs/>
          <w:sz w:val="24"/>
          <w:szCs w:val="24"/>
        </w:rPr>
        <w:t>Two Dead After Ambulance Rollover</w:t>
      </w:r>
      <w:r>
        <w:rPr>
          <w:rFonts w:ascii="Times New Roman" w:hAnsi="Times New Roman"/>
          <w:sz w:val="24"/>
          <w:szCs w:val="24"/>
        </w:rPr>
        <w:t xml:space="preserve"> (Dec. 17, 2016): </w:t>
      </w:r>
      <w:hyperlink r:id="rId2189" w:history="1">
        <w:r w:rsidRPr="006C56B5">
          <w:rPr>
            <w:rStyle w:val="Hyperlink"/>
            <w:sz w:val="24"/>
            <w:szCs w:val="24"/>
          </w:rPr>
          <w:t>https://www.zanesvilletimesrecorder.com/story/news/local/2016/12/17/two-dead-after-ambulance-rollover/95557626/</w:t>
        </w:r>
      </w:hyperlink>
      <w:r w:rsidRPr="006C56B5">
        <w:rPr>
          <w:rFonts w:ascii="Times New Roman" w:hAnsi="Times New Roman"/>
          <w:sz w:val="24"/>
          <w:szCs w:val="24"/>
        </w:rPr>
        <w:t xml:space="preserve"> </w:t>
      </w:r>
    </w:p>
    <w:p w14:paraId="1FAA7C88" w14:textId="77777777" w:rsidR="00B03268" w:rsidRPr="006C56B5" w:rsidRDefault="00B03268" w:rsidP="00B03268">
      <w:pPr>
        <w:ind w:left="1440"/>
        <w:rPr>
          <w:rFonts w:ascii="Times New Roman" w:hAnsi="Times New Roman"/>
          <w:sz w:val="24"/>
          <w:szCs w:val="24"/>
        </w:rPr>
      </w:pPr>
      <w:r w:rsidRPr="006C56B5">
        <w:rPr>
          <w:rFonts w:ascii="Times New Roman" w:hAnsi="Times New Roman"/>
          <w:sz w:val="24"/>
          <w:szCs w:val="24"/>
        </w:rPr>
        <w:t>CAMBRIDGE, OH- Two people died early Saturday morning after an ambulance lost control and overturned several times, according to a release from the Cambridge Post of the Ohio Highway Patrol.</w:t>
      </w:r>
    </w:p>
    <w:p w14:paraId="6A78260D" w14:textId="77777777" w:rsidR="00B03268" w:rsidRDefault="00B03268" w:rsidP="00B03268">
      <w:pPr>
        <w:pStyle w:val="gntarbp"/>
        <w:ind w:left="1440"/>
      </w:pPr>
      <w:r>
        <w:t>According to the release, shortly after 2 a.m. an ambulance, registered to Tri State Ambulance, was transporting a patient on I-70 westbound near milepost 176 when it lost control, drove off the left edge of the interstate and overturned multiple times.</w:t>
      </w:r>
    </w:p>
    <w:p w14:paraId="1E58B53D" w14:textId="77777777" w:rsidR="00B03268" w:rsidRDefault="00B03268" w:rsidP="00B03268">
      <w:pPr>
        <w:pStyle w:val="gntarbp"/>
        <w:ind w:left="1440"/>
      </w:pPr>
      <w:r>
        <w:t xml:space="preserve">At the time of the crash, a patient and four emergency medical personnel were in the ambulance. A patient and one of the emergency personnel, both in the patient care area of the ambulance, </w:t>
      </w:r>
      <w:r>
        <w:lastRenderedPageBreak/>
        <w:t>were killed in the crash. The three other emergency personnel sustained minor injuries, which were treated at Southeastern Medical Center.</w:t>
      </w:r>
    </w:p>
    <w:p w14:paraId="4C2DA9F2" w14:textId="77777777" w:rsidR="00B03268" w:rsidRPr="006C56B5" w:rsidRDefault="00B03268" w:rsidP="00B03268">
      <w:pPr>
        <w:pStyle w:val="gntarbp"/>
        <w:ind w:left="1440"/>
      </w:pPr>
      <w:r>
        <w:t xml:space="preserve">Killed in the crash were the patient, Dennis Calvert, 64, of Wheeling West Virginia, and emergency personnel Charles McMahan, 39, of New Matamoras. Injured in the crash </w:t>
      </w:r>
      <w:proofErr w:type="gramStart"/>
      <w:r>
        <w:t>were the driver,</w:t>
      </w:r>
      <w:proofErr w:type="gramEnd"/>
      <w:r>
        <w:t xml:space="preserve"> Crystal Brown, 33</w:t>
      </w:r>
      <w:proofErr w:type="gramStart"/>
      <w:r>
        <w:t>, of</w:t>
      </w:r>
      <w:proofErr w:type="gramEnd"/>
      <w:r>
        <w:t xml:space="preserve"> Proctor, West Virginia, passengers Jennifer Rothwell, 32, of Wheeling, West Virginia, and Randi Watson, 37, of Glen Easton, West Virginia.</w:t>
      </w:r>
    </w:p>
    <w:p w14:paraId="0EDD7904" w14:textId="77777777" w:rsidR="00B03268" w:rsidRPr="00D1078B" w:rsidRDefault="00B03268" w:rsidP="00B03268">
      <w:pPr>
        <w:spacing w:before="100" w:beforeAutospacing="1" w:after="100" w:afterAutospacing="1"/>
        <w:ind w:left="720"/>
        <w:rPr>
          <w:rFonts w:ascii="Times New Roman" w:hAnsi="Times New Roman"/>
          <w:sz w:val="24"/>
          <w:szCs w:val="24"/>
        </w:rPr>
      </w:pPr>
      <w:r w:rsidRPr="00D1078B">
        <w:rPr>
          <w:rFonts w:ascii="Times New Roman" w:hAnsi="Times New Roman"/>
          <w:sz w:val="24"/>
          <w:szCs w:val="24"/>
        </w:rPr>
        <w:t xml:space="preserve">The West Virginia </w:t>
      </w:r>
      <w:r w:rsidRPr="00FD6489">
        <w:rPr>
          <w:rFonts w:ascii="Times New Roman" w:hAnsi="Times New Roman"/>
          <w:sz w:val="24"/>
          <w:szCs w:val="24"/>
        </w:rPr>
        <w:t>Medical Professional Liability Act</w:t>
      </w:r>
      <w:r>
        <w:rPr>
          <w:rFonts w:ascii="Times New Roman" w:hAnsi="Times New Roman"/>
          <w:sz w:val="24"/>
          <w:szCs w:val="24"/>
        </w:rPr>
        <w:t xml:space="preserve"> provides: </w:t>
      </w:r>
      <w:hyperlink r:id="rId2190" w:history="1">
        <w:r w:rsidRPr="00C15479">
          <w:rPr>
            <w:rStyle w:val="Hyperlink"/>
            <w:sz w:val="24"/>
            <w:szCs w:val="24"/>
          </w:rPr>
          <w:t>https://law.justia.com/codes/west-virginia/2017/chapter-55/article-7b/section-55-7b-6/</w:t>
        </w:r>
      </w:hyperlink>
    </w:p>
    <w:p w14:paraId="61784899" w14:textId="77777777" w:rsidR="00B03268" w:rsidRPr="002F193B" w:rsidRDefault="00B03268" w:rsidP="00B03268">
      <w:pPr>
        <w:spacing w:before="100" w:beforeAutospacing="1" w:after="100" w:afterAutospacing="1"/>
        <w:ind w:left="1440"/>
        <w:rPr>
          <w:rFonts w:ascii="Times New Roman" w:eastAsia="Times New Roman" w:hAnsi="Times New Roman"/>
          <w:sz w:val="24"/>
          <w:szCs w:val="24"/>
        </w:rPr>
      </w:pPr>
      <w:r>
        <w:rPr>
          <w:rFonts w:ascii="Times New Roman" w:hAnsi="Times New Roman"/>
          <w:sz w:val="24"/>
          <w:szCs w:val="24"/>
        </w:rPr>
        <w:t>“</w:t>
      </w:r>
      <w:r w:rsidRPr="00D1078B">
        <w:rPr>
          <w:rFonts w:ascii="Times New Roman" w:hAnsi="Times New Roman"/>
          <w:sz w:val="24"/>
          <w:szCs w:val="24"/>
        </w:rPr>
        <w:t xml:space="preserve">(b) At least thirty days prior to the filing of a medical professional liability action against a health care provider, the claimant shall serve by certified mail, return receipt requested, a notice of claim on each health care provider the claimant will join in litigation. The notice of claim shall include a statement of the theory or theories of liability upon which a cause of action may be based, and a list of all health care providers and health care facilities to whom notices of claim are being sent, together with a screening certificate of merit. The screening certificate of merit shall be executed under oath by a health care provider qualified as an expert under the West Virginia rules of evidence and shall state with particularity: (1) The expert’s familiarity with the applicable standard of care in issue; (2) the expert’s qualifications; (3) the expert’s opinion as to how the applicable standard of care was breached; and (4) the expert’s opinion as to how the breach of the applicable standard of care resulted in injury or death. A separate screening certificate of merit must be provided for each health care provider against whom a claim is asserted. The person signing the screening certificate of merit shall have no financial interest in the underlying </w:t>
      </w:r>
      <w:proofErr w:type="gramStart"/>
      <w:r w:rsidRPr="00D1078B">
        <w:rPr>
          <w:rFonts w:ascii="Times New Roman" w:hAnsi="Times New Roman"/>
          <w:sz w:val="24"/>
          <w:szCs w:val="24"/>
        </w:rPr>
        <w:t>claim, but</w:t>
      </w:r>
      <w:proofErr w:type="gramEnd"/>
      <w:r w:rsidRPr="00D1078B">
        <w:rPr>
          <w:rFonts w:ascii="Times New Roman" w:hAnsi="Times New Roman"/>
          <w:sz w:val="24"/>
          <w:szCs w:val="24"/>
        </w:rPr>
        <w:t xml:space="preserve"> may participate as an expert witness in any judicial proceeding. Nothing in this subsection may be construed to limit the application of Rule 15 of the Rules of Civil Procedure.</w:t>
      </w:r>
    </w:p>
    <w:p w14:paraId="175B1BC6" w14:textId="77777777" w:rsidR="00B03268" w:rsidRDefault="00B03268" w:rsidP="002B1283">
      <w:pPr>
        <w:rPr>
          <w:rFonts w:ascii="Arial Black" w:hAnsi="Arial Black"/>
          <w:b/>
          <w:bCs/>
          <w:sz w:val="28"/>
          <w:szCs w:val="28"/>
        </w:rPr>
      </w:pPr>
    </w:p>
    <w:p w14:paraId="3FDDFD58" w14:textId="77777777" w:rsidR="00B03268" w:rsidRDefault="00B03268" w:rsidP="002B1283">
      <w:pPr>
        <w:rPr>
          <w:rFonts w:ascii="Arial Black" w:hAnsi="Arial Black"/>
          <w:b/>
          <w:bCs/>
          <w:sz w:val="28"/>
          <w:szCs w:val="28"/>
        </w:rPr>
      </w:pPr>
    </w:p>
    <w:p w14:paraId="57C217F0" w14:textId="29370C42" w:rsidR="00274525" w:rsidRDefault="00EC1BFB" w:rsidP="002B1283">
      <w:pPr>
        <w:rPr>
          <w:rFonts w:ascii="Arial Black" w:hAnsi="Arial Black"/>
          <w:b/>
          <w:bCs/>
          <w:sz w:val="28"/>
          <w:szCs w:val="28"/>
        </w:rPr>
      </w:pPr>
      <w:r>
        <w:rPr>
          <w:rFonts w:ascii="Arial Black" w:hAnsi="Arial Black"/>
          <w:b/>
          <w:bCs/>
          <w:sz w:val="28"/>
          <w:szCs w:val="28"/>
        </w:rPr>
        <w:t>13-86</w:t>
      </w:r>
    </w:p>
    <w:p w14:paraId="2278C146" w14:textId="77777777" w:rsidR="00EC1BFB" w:rsidRDefault="00EC1BFB" w:rsidP="00EC1BFB">
      <w:pPr>
        <w:pStyle w:val="NoSpacing"/>
        <w:rPr>
          <w:rFonts w:ascii="Arial Black" w:hAnsi="Arial Black"/>
          <w:sz w:val="28"/>
          <w:szCs w:val="28"/>
        </w:rPr>
      </w:pPr>
      <w:r>
        <w:rPr>
          <w:rFonts w:ascii="Arial Black" w:hAnsi="Arial Black"/>
          <w:sz w:val="28"/>
          <w:szCs w:val="28"/>
        </w:rPr>
        <w:t>OH: BATTALION CHIEF FAILED TO REPORT THAT EMT-B STARTED “IO” ON PATIENT – 60-DAY SUSPENSION UPHELD</w:t>
      </w:r>
    </w:p>
    <w:p w14:paraId="0D9B5C72" w14:textId="77777777" w:rsidR="00EC1BFB" w:rsidRPr="006E0916" w:rsidRDefault="00EC1BFB" w:rsidP="00EC1BFB">
      <w:pPr>
        <w:pStyle w:val="NoSpacing"/>
        <w:rPr>
          <w:rFonts w:ascii="Arial Black" w:hAnsi="Arial Black"/>
          <w:sz w:val="28"/>
          <w:szCs w:val="28"/>
        </w:rPr>
      </w:pPr>
    </w:p>
    <w:p w14:paraId="1C3635DE" w14:textId="77777777" w:rsidR="00EC1BFB" w:rsidRPr="00121F16" w:rsidRDefault="00EC1BFB" w:rsidP="00EC1BFB">
      <w:pPr>
        <w:pStyle w:val="NoSpacing"/>
        <w:rPr>
          <w:rFonts w:ascii="Times New Roman" w:hAnsi="Times New Roman"/>
          <w:sz w:val="24"/>
          <w:szCs w:val="24"/>
        </w:rPr>
      </w:pPr>
      <w:r>
        <w:rPr>
          <w:rFonts w:ascii="Times New Roman" w:hAnsi="Times New Roman"/>
          <w:sz w:val="24"/>
          <w:szCs w:val="24"/>
        </w:rPr>
        <w:t xml:space="preserve">On March 26, 2021, in </w:t>
      </w:r>
      <w:r w:rsidRPr="006E0916">
        <w:rPr>
          <w:rFonts w:ascii="Times New Roman" w:hAnsi="Times New Roman"/>
          <w:sz w:val="24"/>
          <w:szCs w:val="24"/>
          <w:u w:val="single"/>
        </w:rPr>
        <w:t>Mark W. Stahl v. Allen-Clay Joint Fire District</w:t>
      </w:r>
      <w:r>
        <w:rPr>
          <w:rFonts w:ascii="Times New Roman" w:hAnsi="Times New Roman"/>
          <w:sz w:val="24"/>
          <w:szCs w:val="24"/>
        </w:rPr>
        <w:t xml:space="preserve">, the Court of Appeals of Ohio, Sixth Appellate District (Ottawa County), held (3 to 0), </w:t>
      </w:r>
      <w:r w:rsidRPr="00421215">
        <w:rPr>
          <w:rFonts w:ascii="Times New Roman" w:hAnsi="Times New Roman"/>
          <w:sz w:val="24"/>
          <w:szCs w:val="24"/>
        </w:rPr>
        <w:t xml:space="preserve">2021 Ohio 986, </w:t>
      </w:r>
      <w:r>
        <w:rPr>
          <w:rFonts w:ascii="Times New Roman" w:hAnsi="Times New Roman"/>
          <w:sz w:val="24"/>
          <w:szCs w:val="24"/>
        </w:rPr>
        <w:t xml:space="preserve">that the Fire District Board had sufficient evidence to impose the discipline on the Battalion Chief, for not reporting to the FD and </w:t>
      </w:r>
      <w:r w:rsidRPr="00121F16">
        <w:rPr>
          <w:rFonts w:ascii="Times New Roman" w:hAnsi="Times New Roman"/>
          <w:sz w:val="24"/>
          <w:szCs w:val="24"/>
        </w:rPr>
        <w:t xml:space="preserve">the Ohio Division of Emergency Medical Services </w:t>
      </w:r>
      <w:r>
        <w:rPr>
          <w:rFonts w:ascii="Times New Roman" w:hAnsi="Times New Roman"/>
          <w:sz w:val="24"/>
          <w:szCs w:val="24"/>
        </w:rPr>
        <w:t xml:space="preserve">that an EMT-B had exceeded his scope of practice by inserting an </w:t>
      </w:r>
      <w:r w:rsidRPr="00121F16">
        <w:rPr>
          <w:rFonts w:ascii="Times New Roman" w:hAnsi="Times New Roman"/>
          <w:sz w:val="24"/>
          <w:szCs w:val="24"/>
        </w:rPr>
        <w:t>intraosseous infusion ("IO")</w:t>
      </w:r>
      <w:r>
        <w:rPr>
          <w:rFonts w:ascii="Times New Roman" w:hAnsi="Times New Roman"/>
          <w:sz w:val="24"/>
          <w:szCs w:val="24"/>
        </w:rPr>
        <w:t xml:space="preserve"> into tibia bone of a cardiac patient.  Note: The EMS run report was completed by a Medic on the run; she incorrectly listed herself as inserting the IO.  </w:t>
      </w:r>
    </w:p>
    <w:p w14:paraId="66BD3ED1" w14:textId="77777777" w:rsidR="00EC1BFB" w:rsidRDefault="00EC1BFB" w:rsidP="00EC1BFB">
      <w:pPr>
        <w:pStyle w:val="NoSpacing"/>
        <w:rPr>
          <w:rFonts w:ascii="Times New Roman" w:hAnsi="Times New Roman"/>
          <w:sz w:val="24"/>
          <w:szCs w:val="24"/>
        </w:rPr>
      </w:pPr>
    </w:p>
    <w:p w14:paraId="051FC879" w14:textId="77777777" w:rsidR="00EC1BFB" w:rsidRDefault="00EC1BFB" w:rsidP="00EC1BFB">
      <w:pPr>
        <w:pStyle w:val="NoSpacing"/>
        <w:ind w:left="720"/>
        <w:rPr>
          <w:rFonts w:ascii="Times New Roman" w:hAnsi="Times New Roman"/>
          <w:sz w:val="24"/>
          <w:szCs w:val="24"/>
        </w:rPr>
      </w:pPr>
      <w:r>
        <w:rPr>
          <w:rFonts w:ascii="Times New Roman" w:hAnsi="Times New Roman"/>
          <w:sz w:val="24"/>
          <w:szCs w:val="24"/>
        </w:rPr>
        <w:t>“</w:t>
      </w:r>
      <w:r w:rsidRPr="006E0916">
        <w:rPr>
          <w:rFonts w:ascii="Times New Roman" w:hAnsi="Times New Roman"/>
          <w:sz w:val="24"/>
          <w:szCs w:val="24"/>
        </w:rPr>
        <w:t xml:space="preserve">The board had before it evidence that Stahl was obligated to supervise firefighters and EMTs at an emergency scene and that he was required to report improper conduct to his superior and to the State </w:t>
      </w:r>
      <w:r w:rsidRPr="006E0916">
        <w:rPr>
          <w:rFonts w:ascii="Times New Roman" w:hAnsi="Times New Roman"/>
          <w:sz w:val="24"/>
          <w:szCs w:val="24"/>
        </w:rPr>
        <w:lastRenderedPageBreak/>
        <w:t xml:space="preserve">Board of Emergency Medical Services and the Northwest Ohio EMS Consortium. Although contested, there was reliable, probative, and substantial evidence that Stahl knew or should have known that improper conduct took place at the scene of an emergency, and he failed to report that conduct. We affirm the June 1, </w:t>
      </w:r>
      <w:proofErr w:type="gramStart"/>
      <w:r w:rsidRPr="006E0916">
        <w:rPr>
          <w:rFonts w:ascii="Times New Roman" w:hAnsi="Times New Roman"/>
          <w:sz w:val="24"/>
          <w:szCs w:val="24"/>
        </w:rPr>
        <w:t>2020</w:t>
      </w:r>
      <w:proofErr w:type="gramEnd"/>
      <w:r w:rsidRPr="006E0916">
        <w:rPr>
          <w:rFonts w:ascii="Times New Roman" w:hAnsi="Times New Roman"/>
          <w:sz w:val="24"/>
          <w:szCs w:val="24"/>
        </w:rPr>
        <w:t xml:space="preserve"> judgment of the Ottawa County Court of Common Pleas. Stahl is ordered to pay the costs of this appeal under </w:t>
      </w:r>
      <w:proofErr w:type="spellStart"/>
      <w:r w:rsidRPr="006E0916">
        <w:rPr>
          <w:rFonts w:ascii="Times New Roman" w:hAnsi="Times New Roman"/>
          <w:sz w:val="24"/>
          <w:szCs w:val="24"/>
        </w:rPr>
        <w:t>App.R</w:t>
      </w:r>
      <w:proofErr w:type="spellEnd"/>
      <w:r w:rsidRPr="006E0916">
        <w:rPr>
          <w:rFonts w:ascii="Times New Roman" w:hAnsi="Times New Roman"/>
          <w:sz w:val="24"/>
          <w:szCs w:val="24"/>
        </w:rPr>
        <w:t>. 24.</w:t>
      </w:r>
      <w:r>
        <w:rPr>
          <w:rFonts w:ascii="Times New Roman" w:hAnsi="Times New Roman"/>
          <w:sz w:val="24"/>
          <w:szCs w:val="24"/>
        </w:rPr>
        <w:t xml:space="preserve">” </w:t>
      </w:r>
    </w:p>
    <w:p w14:paraId="083A8B54" w14:textId="149D36E6" w:rsidR="00EC1BFB" w:rsidRDefault="00EC1BFB" w:rsidP="00EC1BFB">
      <w:pPr>
        <w:ind w:firstLine="720"/>
        <w:rPr>
          <w:rFonts w:ascii="Times New Roman" w:hAnsi="Times New Roman"/>
          <w:sz w:val="24"/>
          <w:szCs w:val="24"/>
        </w:rPr>
      </w:pPr>
      <w:hyperlink r:id="rId2191" w:history="1">
        <w:r w:rsidRPr="00B568EC">
          <w:rPr>
            <w:rStyle w:val="Hyperlink"/>
            <w:rFonts w:ascii="Times New Roman" w:hAnsi="Times New Roman"/>
            <w:sz w:val="24"/>
            <w:szCs w:val="24"/>
          </w:rPr>
          <w:t>http://lcapps.co.lucas.oh.us/Courts/Appeals/DecisionsPDF/9824.pdf</w:t>
        </w:r>
      </w:hyperlink>
    </w:p>
    <w:p w14:paraId="08302EF1" w14:textId="77777777" w:rsidR="00EC1BFB" w:rsidRDefault="00EC1BFB" w:rsidP="00EC1BFB">
      <w:pPr>
        <w:spacing w:before="100" w:beforeAutospacing="1" w:after="100" w:afterAutospacing="1" w:line="240" w:lineRule="auto"/>
        <w:rPr>
          <w:rFonts w:ascii="Times New Roman" w:hAnsi="Times New Roman"/>
          <w:b/>
          <w:bCs/>
          <w:sz w:val="24"/>
          <w:szCs w:val="24"/>
        </w:rPr>
      </w:pPr>
      <w:r w:rsidRPr="008A7E59">
        <w:rPr>
          <w:rFonts w:ascii="Times New Roman" w:hAnsi="Times New Roman"/>
          <w:b/>
          <w:bCs/>
          <w:sz w:val="24"/>
          <w:szCs w:val="24"/>
        </w:rPr>
        <w:t>Legal Lesson Learned:</w:t>
      </w:r>
      <w:r>
        <w:rPr>
          <w:rFonts w:ascii="Times New Roman" w:hAnsi="Times New Roman"/>
          <w:b/>
          <w:bCs/>
          <w:sz w:val="24"/>
          <w:szCs w:val="24"/>
        </w:rPr>
        <w:t xml:space="preserve"> The Officer-In-Charge on an EMS run should ensure that an apparent violation of EMS certificate of practice has been promptly reported to the FD, and to the State EMS Board.  The EMS Run Report should also be corrected to accurately report who started the IO. </w:t>
      </w:r>
    </w:p>
    <w:p w14:paraId="3B8581A2" w14:textId="77777777" w:rsidR="00EC1BFB" w:rsidRPr="00EC1BFB" w:rsidRDefault="00EC1BFB" w:rsidP="00EC1BFB">
      <w:pPr>
        <w:pStyle w:val="Heading2"/>
        <w:ind w:left="720"/>
        <w:rPr>
          <w:rFonts w:ascii="Times New Roman" w:hAnsi="Times New Roman"/>
          <w:b w:val="0"/>
          <w:bCs w:val="0"/>
          <w:i w:val="0"/>
          <w:iCs w:val="0"/>
          <w:sz w:val="24"/>
          <w:szCs w:val="24"/>
        </w:rPr>
      </w:pPr>
      <w:r w:rsidRPr="00EC1BFB">
        <w:rPr>
          <w:rFonts w:ascii="Times New Roman" w:hAnsi="Times New Roman"/>
          <w:b w:val="0"/>
          <w:bCs w:val="0"/>
          <w:i w:val="0"/>
          <w:iCs w:val="0"/>
          <w:sz w:val="24"/>
          <w:szCs w:val="24"/>
        </w:rPr>
        <w:t>Note: Ohio Administrative Code 4765-9-01, 4765-9-01, Professional standards of conduct for a holder of a certificate to practice.</w:t>
      </w:r>
    </w:p>
    <w:p w14:paraId="0BCAF288" w14:textId="77777777" w:rsidR="00EC1BFB" w:rsidRPr="008A7E59" w:rsidRDefault="00EC1BFB" w:rsidP="00EC1BFB">
      <w:pPr>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sz w:val="24"/>
          <w:szCs w:val="24"/>
        </w:rPr>
        <w:t>“</w:t>
      </w:r>
      <w:r w:rsidRPr="008A7E59">
        <w:rPr>
          <w:rFonts w:ascii="Times New Roman" w:hAnsi="Times New Roman"/>
          <w:sz w:val="24"/>
          <w:szCs w:val="24"/>
        </w:rPr>
        <w:t>(G) A person issued a certificate to practice shall report to the division as soon as practicable any knowledge of a violation of Chapter 4765. of the Revised Code or Chapters 4765-1 to 4765-10 or 4765-12 to 4765-19 of the Administrative Code.</w:t>
      </w:r>
      <w:r>
        <w:rPr>
          <w:rFonts w:ascii="Times New Roman" w:hAnsi="Times New Roman"/>
          <w:sz w:val="24"/>
          <w:szCs w:val="24"/>
        </w:rPr>
        <w:t>”</w:t>
      </w:r>
      <w:r w:rsidRPr="008A7E59">
        <w:t xml:space="preserve"> </w:t>
      </w:r>
      <w:hyperlink r:id="rId2192" w:history="1">
        <w:r w:rsidRPr="00AB20E4">
          <w:rPr>
            <w:rStyle w:val="Hyperlink"/>
            <w:sz w:val="24"/>
            <w:szCs w:val="24"/>
          </w:rPr>
          <w:t>http://codes.ohio.gov/oac/4765-9-01</w:t>
        </w:r>
      </w:hyperlink>
      <w:r>
        <w:rPr>
          <w:rFonts w:ascii="Times New Roman" w:hAnsi="Times New Roman"/>
          <w:sz w:val="24"/>
          <w:szCs w:val="24"/>
        </w:rPr>
        <w:t xml:space="preserve"> </w:t>
      </w:r>
    </w:p>
    <w:p w14:paraId="6E4FD877" w14:textId="77777777" w:rsidR="00EC1BFB" w:rsidRPr="00EC1BFB" w:rsidRDefault="00EC1BFB" w:rsidP="00EC1BFB">
      <w:pPr>
        <w:ind w:firstLine="720"/>
        <w:rPr>
          <w:rFonts w:ascii="Times New Roman" w:hAnsi="Times New Roman"/>
          <w:b/>
          <w:bCs/>
          <w:sz w:val="24"/>
          <w:szCs w:val="24"/>
        </w:rPr>
      </w:pPr>
    </w:p>
    <w:p w14:paraId="1932F9E9" w14:textId="77777777" w:rsidR="00EC1BFB" w:rsidRDefault="00EC1BFB" w:rsidP="002B1283">
      <w:pPr>
        <w:rPr>
          <w:rFonts w:ascii="Arial Black" w:hAnsi="Arial Black"/>
          <w:b/>
          <w:bCs/>
          <w:sz w:val="28"/>
          <w:szCs w:val="28"/>
        </w:rPr>
      </w:pPr>
    </w:p>
    <w:p w14:paraId="6CF266F3" w14:textId="48FFD248" w:rsidR="00EC1BFB" w:rsidRDefault="00EC1BFB" w:rsidP="002B1283">
      <w:pPr>
        <w:rPr>
          <w:rFonts w:ascii="Arial Black" w:hAnsi="Arial Black"/>
          <w:b/>
          <w:bCs/>
          <w:sz w:val="28"/>
          <w:szCs w:val="28"/>
        </w:rPr>
      </w:pPr>
      <w:r>
        <w:rPr>
          <w:rFonts w:ascii="Arial Black" w:hAnsi="Arial Black"/>
          <w:b/>
          <w:bCs/>
          <w:sz w:val="28"/>
          <w:szCs w:val="28"/>
        </w:rPr>
        <w:t>13-85</w:t>
      </w:r>
    </w:p>
    <w:p w14:paraId="41DCAA9D" w14:textId="6E66F5D1" w:rsidR="00EC1BFB" w:rsidRPr="00755CBD" w:rsidRDefault="00EC1BFB" w:rsidP="00EC1BFB">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WA: DEAD BODY BROUGHT TO FD - INTUBATION 15 TIMES – BROTHER HAS STANDING TO SUE IN FEDERAL COURT [AS DOES WIFE]</w:t>
      </w:r>
    </w:p>
    <w:p w14:paraId="498A251F" w14:textId="77777777" w:rsidR="00EC1BFB" w:rsidRDefault="00EC1BFB" w:rsidP="00EC1BFB">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March 18, 2021, in </w:t>
      </w:r>
      <w:r w:rsidRPr="00C778EF">
        <w:rPr>
          <w:rFonts w:ascii="Times New Roman" w:eastAsia="Times New Roman" w:hAnsi="Times New Roman"/>
          <w:sz w:val="24"/>
          <w:szCs w:val="24"/>
          <w:u w:val="single"/>
        </w:rPr>
        <w:t>Robert Fox v. City of Bellingham</w:t>
      </w:r>
      <w:r>
        <w:rPr>
          <w:rFonts w:ascii="Times New Roman" w:eastAsia="Times New Roman" w:hAnsi="Times New Roman"/>
          <w:sz w:val="24"/>
          <w:szCs w:val="24"/>
        </w:rPr>
        <w:t xml:space="preserve">, the Supreme Court of the State of Washington, held (6 to 3) in response to a question by U.S. District Court judge, that Washington Supreme Court advised the federal judge that under state law the brother of the deceased, who lives in California, does have standing to sue for tortious interference with a corpse.   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has already paid $75,000 to the two adult children of the </w:t>
      </w:r>
      <w:proofErr w:type="gramStart"/>
      <w:r>
        <w:rPr>
          <w:rFonts w:ascii="Times New Roman" w:eastAsia="Times New Roman" w:hAnsi="Times New Roman"/>
          <w:sz w:val="24"/>
          <w:szCs w:val="24"/>
        </w:rPr>
        <w:t>deceased, and</w:t>
      </w:r>
      <w:proofErr w:type="gramEnd"/>
      <w:r>
        <w:rPr>
          <w:rFonts w:ascii="Times New Roman" w:eastAsia="Times New Roman" w:hAnsi="Times New Roman"/>
          <w:sz w:val="24"/>
          <w:szCs w:val="24"/>
        </w:rPr>
        <w:t xml:space="preserve"> is being sued by the wife of the deceased.  The Washington Supreme Court rejected the </w:t>
      </w:r>
      <w:r w:rsidRPr="002C32C5">
        <w:rPr>
          <w:rFonts w:ascii="Times New Roman" w:hAnsi="Times New Roman"/>
          <w:sz w:val="24"/>
          <w:szCs w:val="24"/>
        </w:rPr>
        <w:t>City</w:t>
      </w:r>
      <w:r>
        <w:rPr>
          <w:rFonts w:ascii="Times New Roman" w:hAnsi="Times New Roman"/>
          <w:sz w:val="24"/>
          <w:szCs w:val="24"/>
        </w:rPr>
        <w:t>’s</w:t>
      </w:r>
      <w:r w:rsidRPr="002C32C5">
        <w:rPr>
          <w:rFonts w:ascii="Times New Roman" w:hAnsi="Times New Roman"/>
          <w:sz w:val="24"/>
          <w:szCs w:val="24"/>
        </w:rPr>
        <w:t xml:space="preserve"> moved for summary judgment</w:t>
      </w:r>
      <w:r>
        <w:rPr>
          <w:rFonts w:ascii="Times New Roman" w:hAnsi="Times New Roman"/>
          <w:sz w:val="24"/>
          <w:szCs w:val="24"/>
        </w:rPr>
        <w:t xml:space="preserve"> </w:t>
      </w:r>
      <w:r w:rsidRPr="002C32C5">
        <w:rPr>
          <w:rFonts w:ascii="Times New Roman" w:hAnsi="Times New Roman"/>
          <w:sz w:val="24"/>
          <w:szCs w:val="24"/>
        </w:rPr>
        <w:t xml:space="preserve">asserting that </w:t>
      </w:r>
      <w:r>
        <w:rPr>
          <w:rFonts w:ascii="Times New Roman" w:hAnsi="Times New Roman"/>
          <w:sz w:val="24"/>
          <w:szCs w:val="24"/>
        </w:rPr>
        <w:t>Robert</w:t>
      </w:r>
      <w:r w:rsidRPr="002C32C5">
        <w:rPr>
          <w:rFonts w:ascii="Times New Roman" w:hAnsi="Times New Roman"/>
          <w:sz w:val="24"/>
          <w:szCs w:val="24"/>
        </w:rPr>
        <w:t xml:space="preserve"> Fox lacks standing because he is not the designated custodian of his brother's remains under </w:t>
      </w:r>
      <w:hyperlink r:id="rId2193" w:history="1">
        <w:r w:rsidRPr="002C32C5">
          <w:rPr>
            <w:rStyle w:val="Hyperlink"/>
            <w:sz w:val="24"/>
            <w:szCs w:val="24"/>
          </w:rPr>
          <w:t>RCW 68.50.160</w:t>
        </w:r>
      </w:hyperlink>
      <w:r>
        <w:rPr>
          <w:rStyle w:val="Hyperlink"/>
          <w:sz w:val="24"/>
          <w:szCs w:val="24"/>
        </w:rPr>
        <w:t xml:space="preserve"> </w:t>
      </w:r>
      <w:r>
        <w:rPr>
          <w:rFonts w:ascii="Times New Roman" w:hAnsi="Times New Roman"/>
          <w:sz w:val="24"/>
          <w:szCs w:val="24"/>
        </w:rPr>
        <w:t xml:space="preserve">(the deceased’s wife has </w:t>
      </w:r>
      <w:r w:rsidRPr="002C32C5">
        <w:rPr>
          <w:rFonts w:ascii="Times New Roman" w:hAnsi="Times New Roman"/>
          <w:sz w:val="24"/>
          <w:szCs w:val="24"/>
        </w:rPr>
        <w:t xml:space="preserve">care of </w:t>
      </w:r>
      <w:r>
        <w:rPr>
          <w:rFonts w:ascii="Times New Roman" w:hAnsi="Times New Roman"/>
          <w:sz w:val="24"/>
          <w:szCs w:val="24"/>
        </w:rPr>
        <w:t xml:space="preserve">her husband’s </w:t>
      </w:r>
      <w:r w:rsidRPr="002C32C5">
        <w:rPr>
          <w:rFonts w:ascii="Times New Roman" w:hAnsi="Times New Roman"/>
          <w:sz w:val="24"/>
          <w:szCs w:val="24"/>
        </w:rPr>
        <w:t>remains</w:t>
      </w:r>
      <w:r>
        <w:rPr>
          <w:rFonts w:ascii="Times New Roman" w:hAnsi="Times New Roman"/>
          <w:sz w:val="24"/>
          <w:szCs w:val="24"/>
        </w:rPr>
        <w:t>)</w:t>
      </w:r>
      <w:r w:rsidRPr="002C32C5">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[Note: Court didn’t explain why different last names of two brothers.]</w:t>
      </w:r>
    </w:p>
    <w:p w14:paraId="53BEF92B" w14:textId="77777777" w:rsidR="00EC1BFB" w:rsidRDefault="00EC1BFB" w:rsidP="00EC1BFB">
      <w:pPr>
        <w:pStyle w:val="NormalWeb"/>
        <w:ind w:left="720"/>
      </w:pPr>
      <w:r>
        <w:t xml:space="preserve">“Mr. Fox lived with his brother during his adult life, and the two spoke to each other weekly. Mr. Fox took part in preparing his brother's </w:t>
      </w:r>
      <w:proofErr w:type="gramStart"/>
      <w:r>
        <w:t>end of life</w:t>
      </w:r>
      <w:proofErr w:type="gramEnd"/>
      <w:r>
        <w:t xml:space="preserve"> celebration. Based on these facts, Mr. Fox has put forth sufficient evidence that he is a ‘close relative’ of his brother and, therefore, has standing to bring suit.”   </w:t>
      </w:r>
      <w:hyperlink r:id="rId2194" w:history="1">
        <w:r w:rsidRPr="001363A6">
          <w:rPr>
            <w:rStyle w:val="Hyperlink"/>
          </w:rPr>
          <w:t>https://casetext.com/case/certification-from-us-dist-court-for-w-dist-of-wash-v-city-of-bellingham</w:t>
        </w:r>
      </w:hyperlink>
      <w:r>
        <w:t xml:space="preserve"> </w:t>
      </w:r>
    </w:p>
    <w:p w14:paraId="2D53ADF1" w14:textId="77777777" w:rsidR="00EC1BFB" w:rsidRDefault="00EC1BFB" w:rsidP="00EC1BFB">
      <w:pPr>
        <w:pStyle w:val="NormalWeb"/>
        <w:rPr>
          <w:b/>
          <w:bCs/>
        </w:rPr>
      </w:pPr>
      <w:r w:rsidRPr="00321C47">
        <w:rPr>
          <w:b/>
          <w:bCs/>
        </w:rPr>
        <w:t xml:space="preserve">Legal Lesson Learned: </w:t>
      </w:r>
      <w:r>
        <w:rPr>
          <w:b/>
          <w:bCs/>
        </w:rPr>
        <w:t xml:space="preserve">Do not use bodies for training without written permission of spouse or other immediate family members. </w:t>
      </w:r>
    </w:p>
    <w:p w14:paraId="7E44CE23" w14:textId="77777777" w:rsidR="00EC1BFB" w:rsidRDefault="00EC1BFB" w:rsidP="00EC1BFB">
      <w:pPr>
        <w:pStyle w:val="NormalWeb"/>
      </w:pPr>
      <w:r>
        <w:rPr>
          <w:b/>
          <w:bCs/>
        </w:rPr>
        <w:tab/>
      </w:r>
      <w:r w:rsidRPr="00321C47">
        <w:t>Note:</w:t>
      </w:r>
      <w:r>
        <w:t xml:space="preserve">  This incident has been in the press. </w:t>
      </w:r>
    </w:p>
    <w:p w14:paraId="30A521E2" w14:textId="77777777" w:rsidR="00EC1BFB" w:rsidRPr="000318D2" w:rsidRDefault="00EC1BFB" w:rsidP="00EC1BFB">
      <w:pPr>
        <w:pStyle w:val="Heading1"/>
        <w:ind w:left="720"/>
        <w:rPr>
          <w:b w:val="0"/>
          <w:bCs w:val="0"/>
          <w:sz w:val="24"/>
          <w:szCs w:val="24"/>
        </w:rPr>
      </w:pPr>
      <w:r>
        <w:rPr>
          <w:rStyle w:val="field"/>
          <w:b w:val="0"/>
          <w:bCs w:val="0"/>
          <w:sz w:val="24"/>
          <w:szCs w:val="24"/>
        </w:rPr>
        <w:t>“</w:t>
      </w:r>
      <w:r w:rsidRPr="00321C47">
        <w:rPr>
          <w:rStyle w:val="field"/>
          <w:b w:val="0"/>
          <w:bCs w:val="0"/>
          <w:sz w:val="24"/>
          <w:szCs w:val="24"/>
        </w:rPr>
        <w:t>Wash. Fire Dept. Faces Fourth Lawsuit for Intubating Dead Patient</w:t>
      </w:r>
      <w:r>
        <w:rPr>
          <w:rStyle w:val="field"/>
          <w:b w:val="0"/>
          <w:bCs w:val="0"/>
          <w:sz w:val="24"/>
          <w:szCs w:val="24"/>
        </w:rPr>
        <w:t>,” July 17, 2019:</w:t>
      </w:r>
      <w:r w:rsidRPr="00321C47">
        <w:rPr>
          <w:rStyle w:val="field"/>
          <w:b w:val="0"/>
          <w:bCs w:val="0"/>
          <w:sz w:val="24"/>
          <w:szCs w:val="24"/>
        </w:rPr>
        <w:t xml:space="preserve"> </w:t>
      </w:r>
      <w:r>
        <w:rPr>
          <w:b w:val="0"/>
          <w:bCs w:val="0"/>
          <w:sz w:val="24"/>
          <w:szCs w:val="24"/>
        </w:rPr>
        <w:t>“</w:t>
      </w:r>
      <w:r w:rsidRPr="000318D2">
        <w:rPr>
          <w:b w:val="0"/>
          <w:bCs w:val="0"/>
          <w:sz w:val="24"/>
          <w:szCs w:val="24"/>
        </w:rPr>
        <w:t xml:space="preserve">The city already has paid $75,000 each to two adult children of Bradley Ginn </w:t>
      </w:r>
      <w:proofErr w:type="gramStart"/>
      <w:r w:rsidRPr="000318D2">
        <w:rPr>
          <w:b w:val="0"/>
          <w:bCs w:val="0"/>
          <w:sz w:val="24"/>
          <w:szCs w:val="24"/>
        </w:rPr>
        <w:t>Sr., and</w:t>
      </w:r>
      <w:proofErr w:type="gramEnd"/>
      <w:r w:rsidRPr="000318D2">
        <w:rPr>
          <w:b w:val="0"/>
          <w:bCs w:val="0"/>
          <w:sz w:val="24"/>
          <w:szCs w:val="24"/>
        </w:rPr>
        <w:t xml:space="preserve"> is facing a $15 million claim filed </w:t>
      </w:r>
      <w:r w:rsidRPr="000318D2">
        <w:rPr>
          <w:b w:val="0"/>
          <w:bCs w:val="0"/>
          <w:sz w:val="24"/>
          <w:szCs w:val="24"/>
        </w:rPr>
        <w:lastRenderedPageBreak/>
        <w:t xml:space="preserve">by Ginn’s widow, Jai Ginn, according to the city attorney’s office. Now, his brother, Robert Fox, who lives in California, has filed a federal lawsuit against the city alleging </w:t>
      </w:r>
      <w:r>
        <w:rPr>
          <w:b w:val="0"/>
          <w:bCs w:val="0"/>
          <w:sz w:val="24"/>
          <w:szCs w:val="24"/>
        </w:rPr>
        <w:t>‘</w:t>
      </w:r>
      <w:r w:rsidRPr="000318D2">
        <w:rPr>
          <w:b w:val="0"/>
          <w:bCs w:val="0"/>
          <w:sz w:val="24"/>
          <w:szCs w:val="24"/>
        </w:rPr>
        <w:t>tortuous interference with a corpse</w:t>
      </w:r>
      <w:r>
        <w:rPr>
          <w:b w:val="0"/>
          <w:bCs w:val="0"/>
          <w:sz w:val="24"/>
          <w:szCs w:val="24"/>
        </w:rPr>
        <w:t xml:space="preserve">’ </w:t>
      </w:r>
      <w:r w:rsidRPr="000318D2">
        <w:rPr>
          <w:b w:val="0"/>
          <w:bCs w:val="0"/>
          <w:sz w:val="24"/>
          <w:szCs w:val="24"/>
        </w:rPr>
        <w:t>after 11 Bellingham Fire Department employees, including an account manager and an office secretary, practiced inserting endotracheal tubes into the body 15 times after placing Ginn’s corpse in a body bag on the floor of a firehouse.</w:t>
      </w:r>
      <w:r>
        <w:rPr>
          <w:b w:val="0"/>
          <w:bCs w:val="0"/>
          <w:sz w:val="24"/>
          <w:szCs w:val="24"/>
        </w:rPr>
        <w:t xml:space="preserve">” </w:t>
      </w:r>
      <w:hyperlink r:id="rId2195" w:history="1">
        <w:r w:rsidRPr="00321C47">
          <w:rPr>
            <w:rStyle w:val="Hyperlink"/>
            <w:b w:val="0"/>
            <w:bCs w:val="0"/>
            <w:sz w:val="24"/>
            <w:szCs w:val="24"/>
          </w:rPr>
          <w:t>https://www.emsworld.com/news/1223006/wash-fire-dept-faces-fourth-lawsuit-intubating-dead-patient</w:t>
        </w:r>
      </w:hyperlink>
      <w:r>
        <w:rPr>
          <w:rStyle w:val="field"/>
          <w:b w:val="0"/>
          <w:bCs w:val="0"/>
          <w:sz w:val="24"/>
          <w:szCs w:val="24"/>
        </w:rPr>
        <w:t xml:space="preserve"> </w:t>
      </w:r>
    </w:p>
    <w:p w14:paraId="4A1196AB" w14:textId="77777777" w:rsidR="00EC1BFB" w:rsidRPr="000318D2" w:rsidRDefault="00EC1BFB" w:rsidP="00EC1BFB">
      <w:pPr>
        <w:pStyle w:val="Heading1"/>
        <w:ind w:left="720"/>
        <w:rPr>
          <w:b w:val="0"/>
          <w:bCs w:val="0"/>
          <w:sz w:val="24"/>
          <w:szCs w:val="24"/>
        </w:rPr>
      </w:pPr>
      <w:r>
        <w:rPr>
          <w:b w:val="0"/>
          <w:bCs w:val="0"/>
          <w:sz w:val="24"/>
          <w:szCs w:val="24"/>
        </w:rPr>
        <w:t>“</w:t>
      </w:r>
      <w:r w:rsidRPr="000318D2">
        <w:rPr>
          <w:b w:val="0"/>
          <w:bCs w:val="0"/>
          <w:sz w:val="24"/>
          <w:szCs w:val="24"/>
        </w:rPr>
        <w:t>WA 'Intubation' Probe Targets Nine FFs,</w:t>
      </w:r>
      <w:r>
        <w:rPr>
          <w:b w:val="0"/>
          <w:bCs w:val="0"/>
          <w:sz w:val="24"/>
          <w:szCs w:val="24"/>
        </w:rPr>
        <w:t>”</w:t>
      </w:r>
      <w:r w:rsidRPr="000318D2">
        <w:rPr>
          <w:b w:val="0"/>
          <w:bCs w:val="0"/>
          <w:sz w:val="24"/>
          <w:szCs w:val="24"/>
        </w:rPr>
        <w:t xml:space="preserve"> Oct. 4, 2018 </w:t>
      </w:r>
      <w:r>
        <w:rPr>
          <w:b w:val="0"/>
          <w:bCs w:val="0"/>
          <w:sz w:val="24"/>
          <w:szCs w:val="24"/>
        </w:rPr>
        <w:t>–</w:t>
      </w:r>
      <w:r w:rsidRPr="000318D2">
        <w:rPr>
          <w:b w:val="0"/>
          <w:bCs w:val="0"/>
          <w:sz w:val="24"/>
          <w:szCs w:val="24"/>
        </w:rPr>
        <w:t xml:space="preserve"> </w:t>
      </w:r>
      <w:r>
        <w:rPr>
          <w:b w:val="0"/>
          <w:bCs w:val="0"/>
          <w:sz w:val="24"/>
          <w:szCs w:val="24"/>
        </w:rPr>
        <w:t>“</w:t>
      </w:r>
      <w:r w:rsidRPr="000318D2">
        <w:rPr>
          <w:b w:val="0"/>
          <w:bCs w:val="0"/>
          <w:sz w:val="24"/>
          <w:szCs w:val="24"/>
        </w:rPr>
        <w:t xml:space="preserve">Washington's Department of Health is investigating nine Bellingham firefighters after it was revealed that intubations were performed on a dead man. </w:t>
      </w:r>
      <w:hyperlink r:id="rId2196" w:history="1">
        <w:r w:rsidRPr="000318D2">
          <w:rPr>
            <w:rStyle w:val="Hyperlink"/>
            <w:b w:val="0"/>
            <w:bCs w:val="0"/>
            <w:sz w:val="24"/>
            <w:szCs w:val="24"/>
          </w:rPr>
          <w:t>https://www.firehouse.com/ems/news/21025612/bellingham-wa-investigation-probe-firefighters-intubation-dead-body</w:t>
        </w:r>
      </w:hyperlink>
      <w:r w:rsidRPr="000318D2">
        <w:rPr>
          <w:b w:val="0"/>
          <w:bCs w:val="0"/>
          <w:sz w:val="24"/>
          <w:szCs w:val="24"/>
        </w:rPr>
        <w:t xml:space="preserve"> </w:t>
      </w:r>
    </w:p>
    <w:p w14:paraId="1FCE0779" w14:textId="77777777" w:rsidR="00EC1BFB" w:rsidRDefault="00EC1BFB" w:rsidP="00EC1BFB">
      <w:pPr>
        <w:pStyle w:val="NormalWeb"/>
      </w:pPr>
    </w:p>
    <w:p w14:paraId="2DD98662" w14:textId="77777777" w:rsidR="00EC1BFB" w:rsidRDefault="00EC1BFB" w:rsidP="002B1283">
      <w:pPr>
        <w:rPr>
          <w:rFonts w:ascii="Arial Black" w:hAnsi="Arial Black"/>
          <w:b/>
          <w:bCs/>
          <w:sz w:val="28"/>
          <w:szCs w:val="28"/>
        </w:rPr>
      </w:pPr>
    </w:p>
    <w:p w14:paraId="6A7A837F" w14:textId="77777777" w:rsidR="00EC1BFB" w:rsidRDefault="00EC1BFB" w:rsidP="002B1283">
      <w:pPr>
        <w:rPr>
          <w:rFonts w:ascii="Arial Black" w:hAnsi="Arial Black"/>
          <w:b/>
          <w:bCs/>
          <w:sz w:val="28"/>
          <w:szCs w:val="28"/>
        </w:rPr>
      </w:pPr>
    </w:p>
    <w:p w14:paraId="5DF01CFD" w14:textId="2A64721D" w:rsidR="00EC1BFB" w:rsidRDefault="00EC1BFB" w:rsidP="002B1283">
      <w:pPr>
        <w:rPr>
          <w:rFonts w:ascii="Arial Black" w:hAnsi="Arial Black"/>
          <w:b/>
          <w:bCs/>
          <w:sz w:val="28"/>
          <w:szCs w:val="28"/>
        </w:rPr>
      </w:pPr>
      <w:r>
        <w:rPr>
          <w:rFonts w:ascii="Arial Black" w:hAnsi="Arial Black"/>
          <w:b/>
          <w:bCs/>
          <w:sz w:val="28"/>
          <w:szCs w:val="28"/>
        </w:rPr>
        <w:t>13-84</w:t>
      </w:r>
    </w:p>
    <w:p w14:paraId="096F135A" w14:textId="77777777" w:rsidR="00EC1BFB" w:rsidRPr="005C57DC" w:rsidRDefault="00EC1BFB" w:rsidP="00EC1BFB">
      <w:pPr>
        <w:spacing w:before="100" w:beforeAutospacing="1" w:after="100" w:afterAutospacing="1" w:line="240" w:lineRule="auto"/>
        <w:rPr>
          <w:rFonts w:ascii="Arial Black" w:hAnsi="Arial Black"/>
          <w:b/>
          <w:bCs/>
          <w:sz w:val="28"/>
          <w:szCs w:val="28"/>
        </w:rPr>
      </w:pPr>
      <w:r w:rsidRPr="005C57DC">
        <w:rPr>
          <w:rFonts w:ascii="Arial Black" w:hAnsi="Arial Black"/>
          <w:b/>
          <w:bCs/>
          <w:sz w:val="28"/>
          <w:szCs w:val="28"/>
        </w:rPr>
        <w:t>ND: AIR AMBULANCES – FED. STATUTE PROHIBITS STATE FROM REGULATING PRICE</w:t>
      </w:r>
      <w:r>
        <w:rPr>
          <w:rFonts w:ascii="Arial Black" w:hAnsi="Arial Black"/>
          <w:b/>
          <w:bCs/>
          <w:sz w:val="28"/>
          <w:szCs w:val="28"/>
        </w:rPr>
        <w:t>S O</w:t>
      </w:r>
      <w:r w:rsidRPr="005C57DC">
        <w:rPr>
          <w:rFonts w:ascii="Arial Black" w:hAnsi="Arial Black"/>
          <w:b/>
          <w:bCs/>
          <w:sz w:val="28"/>
          <w:szCs w:val="28"/>
        </w:rPr>
        <w:t>R SELLING SUBSCRIPTIONS</w:t>
      </w:r>
    </w:p>
    <w:p w14:paraId="0546202B" w14:textId="77777777" w:rsidR="00EC1BFB" w:rsidRPr="000911B4" w:rsidRDefault="00EC1BFB" w:rsidP="00EC1BF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March 17, 2021, in </w:t>
      </w:r>
      <w:r w:rsidRPr="00BB67DD">
        <w:rPr>
          <w:rFonts w:ascii="Times New Roman" w:hAnsi="Times New Roman"/>
          <w:sz w:val="24"/>
          <w:szCs w:val="24"/>
          <w:u w:val="single"/>
        </w:rPr>
        <w:t xml:space="preserve">Guardian Flight LLC v. Jon Godfread, </w:t>
      </w:r>
      <w:r>
        <w:rPr>
          <w:rFonts w:ascii="Times New Roman" w:hAnsi="Times New Roman"/>
          <w:sz w:val="24"/>
          <w:szCs w:val="24"/>
          <w:u w:val="single"/>
        </w:rPr>
        <w:t xml:space="preserve">in his capacity as </w:t>
      </w:r>
      <w:r w:rsidRPr="00BB67DD">
        <w:rPr>
          <w:rFonts w:ascii="Times New Roman" w:hAnsi="Times New Roman"/>
          <w:sz w:val="24"/>
          <w:szCs w:val="24"/>
          <w:u w:val="single"/>
        </w:rPr>
        <w:t xml:space="preserve">North Dakota Insurance Commissioner, </w:t>
      </w:r>
      <w:r>
        <w:rPr>
          <w:rFonts w:ascii="Times New Roman" w:hAnsi="Times New Roman"/>
          <w:sz w:val="24"/>
          <w:szCs w:val="24"/>
          <w:u w:val="single"/>
        </w:rPr>
        <w:t xml:space="preserve">and Wayne Stenehjem, in his capacity as North Dakota Attorney General, </w:t>
      </w:r>
      <w:r w:rsidRPr="00BB67DD">
        <w:rPr>
          <w:rFonts w:ascii="Times New Roman" w:hAnsi="Times New Roman"/>
          <w:sz w:val="24"/>
          <w:szCs w:val="24"/>
          <w:u w:val="single"/>
        </w:rPr>
        <w:t>et al</w:t>
      </w:r>
      <w:r>
        <w:rPr>
          <w:rFonts w:ascii="Times New Roman" w:hAnsi="Times New Roman"/>
          <w:sz w:val="24"/>
          <w:szCs w:val="24"/>
        </w:rPr>
        <w:t>., the U.S. Court of Appeals for the 8</w:t>
      </w:r>
      <w:r w:rsidRPr="00BB67DD">
        <w:rPr>
          <w:rFonts w:ascii="Times New Roman" w:hAnsi="Times New Roman"/>
          <w:sz w:val="24"/>
          <w:szCs w:val="24"/>
          <w:vertAlign w:val="superscript"/>
        </w:rPr>
        <w:t>th</w:t>
      </w:r>
      <w:r>
        <w:rPr>
          <w:rFonts w:ascii="Times New Roman" w:hAnsi="Times New Roman"/>
          <w:sz w:val="24"/>
          <w:szCs w:val="24"/>
        </w:rPr>
        <w:t xml:space="preserve"> Circuit (St. Louis, MO) held (3 to 0) in favor of Guardian Flight, holding that Nebraska’s 2017 statute seeking to control the price of air ambulance transports, and lawsuits to collect those bills, violates Federal Airlines Deregulation Act.  The federal statute preempts the State of </w:t>
      </w:r>
      <w:r w:rsidRPr="000911B4">
        <w:rPr>
          <w:rFonts w:ascii="Times New Roman" w:hAnsi="Times New Roman"/>
          <w:sz w:val="24"/>
          <w:szCs w:val="24"/>
        </w:rPr>
        <w:t>Nebraska</w:t>
      </w:r>
      <w:r>
        <w:rPr>
          <w:rFonts w:ascii="Times New Roman" w:hAnsi="Times New Roman"/>
          <w:sz w:val="24"/>
          <w:szCs w:val="24"/>
        </w:rPr>
        <w:t xml:space="preserve">’s attempt to control pricing, in response to </w:t>
      </w:r>
      <w:r w:rsidRPr="000911B4">
        <w:rPr>
          <w:rFonts w:ascii="Times New Roman" w:hAnsi="Times New Roman"/>
          <w:sz w:val="24"/>
          <w:szCs w:val="24"/>
        </w:rPr>
        <w:t xml:space="preserve">about 40 complaints </w:t>
      </w:r>
      <w:r>
        <w:rPr>
          <w:rFonts w:ascii="Times New Roman" w:hAnsi="Times New Roman"/>
          <w:sz w:val="24"/>
          <w:szCs w:val="24"/>
        </w:rPr>
        <w:t>(</w:t>
      </w:r>
      <w:r w:rsidRPr="000911B4">
        <w:rPr>
          <w:rFonts w:ascii="Times New Roman" w:hAnsi="Times New Roman"/>
          <w:sz w:val="24"/>
          <w:szCs w:val="24"/>
        </w:rPr>
        <w:t>2014 and early 2018</w:t>
      </w:r>
      <w:r>
        <w:rPr>
          <w:rFonts w:ascii="Times New Roman" w:hAnsi="Times New Roman"/>
          <w:sz w:val="24"/>
          <w:szCs w:val="24"/>
        </w:rPr>
        <w:t>)</w:t>
      </w:r>
      <w:r w:rsidRPr="000911B4">
        <w:rPr>
          <w:rFonts w:ascii="Times New Roman" w:hAnsi="Times New Roman"/>
          <w:sz w:val="24"/>
          <w:szCs w:val="24"/>
        </w:rPr>
        <w:t xml:space="preserve">, </w:t>
      </w:r>
      <w:r>
        <w:rPr>
          <w:rFonts w:ascii="Times New Roman" w:hAnsi="Times New Roman"/>
          <w:sz w:val="24"/>
          <w:szCs w:val="24"/>
        </w:rPr>
        <w:t xml:space="preserve">where privately </w:t>
      </w:r>
      <w:r w:rsidRPr="000911B4">
        <w:rPr>
          <w:rFonts w:ascii="Times New Roman" w:hAnsi="Times New Roman"/>
          <w:sz w:val="24"/>
          <w:szCs w:val="24"/>
        </w:rPr>
        <w:t>insured</w:t>
      </w:r>
      <w:r>
        <w:rPr>
          <w:rFonts w:ascii="Times New Roman" w:hAnsi="Times New Roman"/>
          <w:sz w:val="24"/>
          <w:szCs w:val="24"/>
        </w:rPr>
        <w:t xml:space="preserve"> patients</w:t>
      </w:r>
      <w:r w:rsidRPr="000911B4">
        <w:rPr>
          <w:rFonts w:ascii="Times New Roman" w:hAnsi="Times New Roman"/>
          <w:sz w:val="24"/>
          <w:szCs w:val="24"/>
        </w:rPr>
        <w:t xml:space="preserve"> often were billed more than $20,000 for air ambulance transport—and sometimes more than $40,000—which represented the balances remaining after the insurers paid their portions</w:t>
      </w:r>
      <w:r>
        <w:rPr>
          <w:rFonts w:ascii="Times New Roman" w:hAnsi="Times New Roman"/>
          <w:sz w:val="24"/>
          <w:szCs w:val="24"/>
        </w:rPr>
        <w:t xml:space="preserve">. </w:t>
      </w:r>
    </w:p>
    <w:p w14:paraId="6E4CB522" w14:textId="77777777" w:rsidR="00EC1BFB" w:rsidRPr="00BB67DD" w:rsidRDefault="00EC1BFB" w:rsidP="00EC1BFB">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BB67DD">
        <w:rPr>
          <w:rFonts w:ascii="Times New Roman" w:hAnsi="Times New Roman"/>
          <w:sz w:val="24"/>
          <w:szCs w:val="24"/>
        </w:rPr>
        <w:t>The ADA [Airlines Deregulation Act]</w:t>
      </w:r>
      <w:r>
        <w:t xml:space="preserve"> </w:t>
      </w:r>
      <w:r w:rsidRPr="00BB67DD">
        <w:rPr>
          <w:rFonts w:ascii="Times New Roman" w:hAnsi="Times New Roman"/>
          <w:sz w:val="24"/>
          <w:szCs w:val="24"/>
        </w:rPr>
        <w:t xml:space="preserve">expressly preempts states from </w:t>
      </w:r>
      <w:r>
        <w:rPr>
          <w:rFonts w:ascii="Times New Roman" w:hAnsi="Times New Roman"/>
          <w:sz w:val="24"/>
          <w:szCs w:val="24"/>
        </w:rPr>
        <w:t>‘</w:t>
      </w:r>
      <w:r w:rsidRPr="00BB67DD">
        <w:rPr>
          <w:rFonts w:ascii="Times New Roman" w:hAnsi="Times New Roman"/>
          <w:sz w:val="24"/>
          <w:szCs w:val="24"/>
        </w:rPr>
        <w:t>enact[</w:t>
      </w:r>
      <w:proofErr w:type="spellStart"/>
      <w:r w:rsidRPr="00BB67DD">
        <w:rPr>
          <w:rFonts w:ascii="Times New Roman" w:hAnsi="Times New Roman"/>
          <w:sz w:val="24"/>
          <w:szCs w:val="24"/>
        </w:rPr>
        <w:t>ing</w:t>
      </w:r>
      <w:proofErr w:type="spellEnd"/>
      <w:r w:rsidRPr="00BB67DD">
        <w:rPr>
          <w:rFonts w:ascii="Times New Roman" w:hAnsi="Times New Roman"/>
          <w:sz w:val="24"/>
          <w:szCs w:val="24"/>
        </w:rPr>
        <w:t xml:space="preserve">] or </w:t>
      </w:r>
      <w:r>
        <w:rPr>
          <w:rFonts w:ascii="Times New Roman" w:hAnsi="Times New Roman"/>
          <w:sz w:val="24"/>
          <w:szCs w:val="24"/>
        </w:rPr>
        <w:t>enforce[</w:t>
      </w:r>
      <w:proofErr w:type="spellStart"/>
      <w:r w:rsidRPr="00BB67DD">
        <w:rPr>
          <w:rFonts w:ascii="Times New Roman" w:hAnsi="Times New Roman"/>
          <w:sz w:val="24"/>
          <w:szCs w:val="24"/>
        </w:rPr>
        <w:t>ing</w:t>
      </w:r>
      <w:proofErr w:type="spellEnd"/>
      <w:r w:rsidRPr="00BB67DD">
        <w:rPr>
          <w:rFonts w:ascii="Times New Roman" w:hAnsi="Times New Roman"/>
          <w:sz w:val="24"/>
          <w:szCs w:val="24"/>
        </w:rPr>
        <w:t>] a law, regulation, or other provision having the force and effect of law related to a price, route, or service of an air carrier.</w:t>
      </w:r>
      <w:r>
        <w:rPr>
          <w:rFonts w:ascii="Times New Roman" w:hAnsi="Times New Roman"/>
          <w:sz w:val="24"/>
          <w:szCs w:val="24"/>
        </w:rPr>
        <w:t>’</w:t>
      </w:r>
      <w:r w:rsidRPr="00BB67DD">
        <w:rPr>
          <w:rFonts w:ascii="Times New Roman" w:hAnsi="Times New Roman"/>
          <w:sz w:val="24"/>
          <w:szCs w:val="24"/>
        </w:rPr>
        <w:t xml:space="preserve"> 49 U.S.C. § 41713(b).</w:t>
      </w:r>
    </w:p>
    <w:p w14:paraId="0FCDDD4E" w14:textId="77777777" w:rsidR="00EC1BFB" w:rsidRDefault="00EC1BFB" w:rsidP="00EC1BFB">
      <w:pPr>
        <w:pStyle w:val="NormalWeb"/>
        <w:ind w:firstLine="720"/>
      </w:pPr>
      <w:r>
        <w:t>***</w:t>
      </w:r>
    </w:p>
    <w:p w14:paraId="67AFA7DD" w14:textId="77777777" w:rsidR="00EC1BFB" w:rsidRDefault="00EC1BFB" w:rsidP="00EC1BFB">
      <w:pPr>
        <w:pStyle w:val="NormalWeb"/>
        <w:ind w:left="720"/>
      </w:pPr>
      <w:r>
        <w:t xml:space="preserve">We thus conclude that the ADA … preempts both the payment provision and the subscription provision. </w:t>
      </w:r>
      <w:r>
        <w:rPr>
          <w:u w:val="single"/>
        </w:rPr>
        <w:t>See</w:t>
      </w:r>
      <w:r>
        <w:t xml:space="preserve"> </w:t>
      </w:r>
      <w:r>
        <w:rPr>
          <w:u w:val="single"/>
        </w:rPr>
        <w:t>id.</w:t>
      </w:r>
      <w:r>
        <w:t xml:space="preserve"> at 769-70; </w:t>
      </w:r>
      <w:r>
        <w:rPr>
          <w:u w:val="single"/>
        </w:rPr>
        <w:t>Bailey v. Rocky Mountain Holdings, LLC</w:t>
      </w:r>
      <w:r>
        <w:t xml:space="preserve">, 889 F.3d 1259, 1272 (11th Cir. 2018) (holding that the ADA preempts the enforcement of a state statute prohibiting an air ambulance provider's balance billing); </w:t>
      </w:r>
      <w:proofErr w:type="spellStart"/>
      <w:r>
        <w:rPr>
          <w:u w:val="single"/>
        </w:rPr>
        <w:t>EagleMed</w:t>
      </w:r>
      <w:proofErr w:type="spellEnd"/>
      <w:r>
        <w:rPr>
          <w:u w:val="single"/>
        </w:rPr>
        <w:t xml:space="preserve"> LLC v. Cox</w:t>
      </w:r>
      <w:r>
        <w:t>, 868 F.3d 893, 902-04 (10th Cir. 2017) (holding that the ADA preempted a state statute that ‘expressly establish[ed] a mandatory fixed maximum rate that [would] be paid by the State for air-ambulance services provided to injured workers covered by the Worker's Compensation Act’).</w:t>
      </w:r>
    </w:p>
    <w:p w14:paraId="58C7C1C5" w14:textId="77777777" w:rsidR="00EC1BFB" w:rsidRPr="000911B4" w:rsidRDefault="00EC1BFB" w:rsidP="00EC1BFB">
      <w:pPr>
        <w:spacing w:before="100" w:beforeAutospacing="1" w:after="100" w:afterAutospacing="1" w:line="240" w:lineRule="auto"/>
        <w:ind w:left="720"/>
        <w:rPr>
          <w:rFonts w:ascii="Times New Roman" w:hAnsi="Times New Roman"/>
          <w:sz w:val="24"/>
          <w:szCs w:val="24"/>
        </w:rPr>
      </w:pPr>
      <w:r w:rsidRPr="000911B4">
        <w:rPr>
          <w:rFonts w:ascii="Times New Roman" w:hAnsi="Times New Roman"/>
          <w:sz w:val="24"/>
          <w:szCs w:val="24"/>
        </w:rPr>
        <w:t xml:space="preserve">Because North Dakota's subscription provision seeks to regulate the relationship between only a consumer and an air ambulance company, it cannot be said that it was enacted for the purpose of regulating the business of insurance. </w:t>
      </w:r>
      <w:r w:rsidRPr="000911B4">
        <w:rPr>
          <w:rFonts w:ascii="Times New Roman" w:hAnsi="Times New Roman"/>
          <w:sz w:val="24"/>
          <w:szCs w:val="24"/>
          <w:u w:val="single"/>
        </w:rPr>
        <w:t>See</w:t>
      </w:r>
      <w:r w:rsidRPr="000911B4">
        <w:rPr>
          <w:rFonts w:ascii="Times New Roman" w:hAnsi="Times New Roman"/>
          <w:sz w:val="24"/>
          <w:szCs w:val="24"/>
        </w:rPr>
        <w:t xml:space="preserve"> </w:t>
      </w:r>
      <w:proofErr w:type="spellStart"/>
      <w:r w:rsidRPr="000911B4">
        <w:rPr>
          <w:rFonts w:ascii="Times New Roman" w:hAnsi="Times New Roman"/>
          <w:sz w:val="24"/>
          <w:szCs w:val="24"/>
          <w:u w:val="single"/>
        </w:rPr>
        <w:t>Nat'l</w:t>
      </w:r>
      <w:proofErr w:type="spellEnd"/>
      <w:r w:rsidRPr="000911B4">
        <w:rPr>
          <w:rFonts w:ascii="Times New Roman" w:hAnsi="Times New Roman"/>
          <w:sz w:val="24"/>
          <w:szCs w:val="24"/>
          <w:u w:val="single"/>
        </w:rPr>
        <w:t xml:space="preserve"> Sec., Inc.</w:t>
      </w:r>
      <w:r w:rsidRPr="000911B4">
        <w:rPr>
          <w:rFonts w:ascii="Times New Roman" w:hAnsi="Times New Roman"/>
          <w:sz w:val="24"/>
          <w:szCs w:val="24"/>
        </w:rPr>
        <w:t xml:space="preserve">, 393 U.S. at 460; </w:t>
      </w:r>
      <w:r w:rsidRPr="000911B4">
        <w:rPr>
          <w:rFonts w:ascii="Times New Roman" w:hAnsi="Times New Roman"/>
          <w:sz w:val="24"/>
          <w:szCs w:val="24"/>
          <w:u w:val="single"/>
        </w:rPr>
        <w:t>Fabe</w:t>
      </w:r>
      <w:r w:rsidRPr="000911B4">
        <w:rPr>
          <w:rFonts w:ascii="Times New Roman" w:hAnsi="Times New Roman"/>
          <w:sz w:val="24"/>
          <w:szCs w:val="24"/>
        </w:rPr>
        <w:t xml:space="preserve">, 508 U.S. at 505; </w:t>
      </w:r>
      <w:r w:rsidRPr="000911B4">
        <w:rPr>
          <w:rFonts w:ascii="Times New Roman" w:hAnsi="Times New Roman"/>
          <w:sz w:val="24"/>
          <w:szCs w:val="24"/>
          <w:u w:val="single"/>
        </w:rPr>
        <w:t>Taylor</w:t>
      </w:r>
      <w:r w:rsidRPr="000911B4">
        <w:rPr>
          <w:rFonts w:ascii="Times New Roman" w:hAnsi="Times New Roman"/>
          <w:sz w:val="24"/>
          <w:szCs w:val="24"/>
        </w:rPr>
        <w:t xml:space="preserve">, </w:t>
      </w:r>
      <w:r w:rsidRPr="000911B4">
        <w:rPr>
          <w:rFonts w:ascii="Times New Roman" w:hAnsi="Times New Roman"/>
          <w:sz w:val="24"/>
          <w:szCs w:val="24"/>
        </w:rPr>
        <w:lastRenderedPageBreak/>
        <w:t xml:space="preserve">907 F.2d at 779-80. The McCarran-Ferguson Act thus does not save the subscription agreement from ADA preemption.”  </w:t>
      </w:r>
      <w:hyperlink r:id="rId2197" w:history="1">
        <w:r w:rsidRPr="000911B4">
          <w:rPr>
            <w:rStyle w:val="Hyperlink"/>
            <w:sz w:val="24"/>
            <w:szCs w:val="24"/>
          </w:rPr>
          <w:t>https://www.ca8.uscourts.gov/sites/ca8/files/opinions/191343P.pdf</w:t>
        </w:r>
      </w:hyperlink>
      <w:r w:rsidRPr="000911B4">
        <w:rPr>
          <w:rFonts w:ascii="Times New Roman" w:hAnsi="Times New Roman"/>
          <w:sz w:val="24"/>
          <w:szCs w:val="24"/>
        </w:rPr>
        <w:t xml:space="preserve"> </w:t>
      </w:r>
    </w:p>
    <w:p w14:paraId="1BE4DB4D" w14:textId="77777777" w:rsidR="00EC1BFB" w:rsidRPr="00DD7541" w:rsidRDefault="00EC1BFB" w:rsidP="00EC1BFB">
      <w:pPr>
        <w:spacing w:before="100" w:beforeAutospacing="1" w:after="100" w:afterAutospacing="1" w:line="240" w:lineRule="auto"/>
        <w:rPr>
          <w:rFonts w:ascii="Times New Roman" w:eastAsia="Times New Roman" w:hAnsi="Times New Roman"/>
          <w:sz w:val="24"/>
          <w:szCs w:val="24"/>
        </w:rPr>
      </w:pPr>
      <w:r w:rsidRPr="00C11389">
        <w:rPr>
          <w:rFonts w:ascii="Times New Roman" w:hAnsi="Times New Roman"/>
          <w:b/>
          <w:bCs/>
          <w:sz w:val="24"/>
          <w:szCs w:val="24"/>
        </w:rPr>
        <w:t>Legal Lesson Learned:</w:t>
      </w:r>
      <w:r>
        <w:rPr>
          <w:rFonts w:ascii="Times New Roman" w:hAnsi="Times New Roman"/>
          <w:b/>
          <w:bCs/>
          <w:sz w:val="24"/>
          <w:szCs w:val="24"/>
        </w:rPr>
        <w:t xml:space="preserve">  Air care ambulances, and the airline industry, has strong Federal statutory protection from regulation by States </w:t>
      </w:r>
      <w:r w:rsidRPr="00C11389">
        <w:rPr>
          <w:rFonts w:ascii="Times New Roman" w:hAnsi="Times New Roman"/>
          <w:b/>
          <w:bCs/>
          <w:sz w:val="24"/>
          <w:szCs w:val="24"/>
        </w:rPr>
        <w:t xml:space="preserve">concerning </w:t>
      </w:r>
      <w:r>
        <w:rPr>
          <w:rFonts w:ascii="Times New Roman" w:hAnsi="Times New Roman"/>
          <w:b/>
          <w:bCs/>
          <w:sz w:val="24"/>
          <w:szCs w:val="24"/>
        </w:rPr>
        <w:t>“</w:t>
      </w:r>
      <w:r w:rsidRPr="00DD7541">
        <w:rPr>
          <w:rFonts w:ascii="Times New Roman" w:eastAsia="Times New Roman" w:hAnsi="Times New Roman"/>
          <w:b/>
          <w:bCs/>
          <w:sz w:val="24"/>
          <w:szCs w:val="24"/>
        </w:rPr>
        <w:t>price, route, or service</w:t>
      </w:r>
      <w:r>
        <w:rPr>
          <w:rFonts w:ascii="Times New Roman" w:eastAsia="Times New Roman" w:hAnsi="Times New Roman"/>
          <w:b/>
          <w:bCs/>
          <w:sz w:val="24"/>
          <w:szCs w:val="24"/>
        </w:rPr>
        <w:t>.”</w:t>
      </w:r>
      <w:r>
        <w:rPr>
          <w:rFonts w:ascii="Times New Roman" w:hAnsi="Times New Roman"/>
          <w:b/>
          <w:bCs/>
          <w:sz w:val="24"/>
          <w:szCs w:val="24"/>
        </w:rPr>
        <w:t xml:space="preserve"> </w:t>
      </w:r>
    </w:p>
    <w:p w14:paraId="72388287" w14:textId="77777777" w:rsidR="00EC1BFB" w:rsidRDefault="00EC1BFB" w:rsidP="002B1283">
      <w:pPr>
        <w:rPr>
          <w:rFonts w:ascii="Arial Black" w:hAnsi="Arial Black"/>
          <w:b/>
          <w:bCs/>
          <w:sz w:val="28"/>
          <w:szCs w:val="28"/>
        </w:rPr>
      </w:pPr>
    </w:p>
    <w:p w14:paraId="7419B83E" w14:textId="77777777" w:rsidR="00EC1BFB" w:rsidRDefault="00EC1BFB" w:rsidP="002B1283">
      <w:pPr>
        <w:rPr>
          <w:rFonts w:ascii="Arial Black" w:hAnsi="Arial Black"/>
          <w:b/>
          <w:bCs/>
          <w:sz w:val="28"/>
          <w:szCs w:val="28"/>
        </w:rPr>
      </w:pPr>
    </w:p>
    <w:p w14:paraId="1A3C8B88" w14:textId="5F950CD2" w:rsidR="00274525" w:rsidRDefault="00274525" w:rsidP="002B1283">
      <w:pPr>
        <w:rPr>
          <w:rFonts w:ascii="Arial Black" w:hAnsi="Arial Black"/>
          <w:b/>
          <w:bCs/>
          <w:sz w:val="28"/>
          <w:szCs w:val="28"/>
        </w:rPr>
      </w:pPr>
      <w:r>
        <w:rPr>
          <w:rFonts w:ascii="Arial Black" w:hAnsi="Arial Black"/>
          <w:b/>
          <w:bCs/>
          <w:sz w:val="28"/>
          <w:szCs w:val="28"/>
        </w:rPr>
        <w:t>13-83</w:t>
      </w:r>
    </w:p>
    <w:p w14:paraId="63D542B2" w14:textId="77777777" w:rsidR="00EC1BFB" w:rsidRPr="00891C10" w:rsidRDefault="00EC1BFB" w:rsidP="00EC1BFB">
      <w:pPr>
        <w:pStyle w:val="NoSpacing"/>
        <w:rPr>
          <w:rFonts w:ascii="Arial Black" w:hAnsi="Arial Black"/>
          <w:sz w:val="28"/>
          <w:szCs w:val="28"/>
        </w:rPr>
      </w:pPr>
      <w:r>
        <w:rPr>
          <w:rFonts w:ascii="Arial Black" w:hAnsi="Arial Black"/>
          <w:sz w:val="28"/>
          <w:szCs w:val="28"/>
        </w:rPr>
        <w:t xml:space="preserve">NM: PREGNANT / INMATE - 30 HRS IN LABOR, CHILD DIED – JAIL EMS NOT GOV’T EMPLOYEES, NO GOV’T IMMUNITY </w:t>
      </w:r>
    </w:p>
    <w:p w14:paraId="076C9FFA" w14:textId="77777777" w:rsidR="00EC1BFB" w:rsidRDefault="00EC1BFB" w:rsidP="00EC1BFB">
      <w:pPr>
        <w:pStyle w:val="NoSpacing"/>
      </w:pPr>
    </w:p>
    <w:p w14:paraId="6D41F037" w14:textId="77777777" w:rsidR="00EC1BFB" w:rsidRPr="00B0543C" w:rsidRDefault="00EC1BFB" w:rsidP="00EC1BFB">
      <w:pPr>
        <w:pStyle w:val="NoSpacing"/>
        <w:rPr>
          <w:rFonts w:ascii="Times New Roman" w:hAnsi="Times New Roman"/>
          <w:sz w:val="24"/>
          <w:szCs w:val="24"/>
        </w:rPr>
      </w:pPr>
      <w:r>
        <w:rPr>
          <w:rFonts w:ascii="Times New Roman" w:hAnsi="Times New Roman"/>
          <w:sz w:val="24"/>
          <w:szCs w:val="24"/>
        </w:rPr>
        <w:t xml:space="preserve">On March 2, 2021, in </w:t>
      </w:r>
      <w:r w:rsidRPr="00B0543C">
        <w:rPr>
          <w:rFonts w:ascii="Times New Roman" w:hAnsi="Times New Roman"/>
          <w:sz w:val="24"/>
          <w:szCs w:val="24"/>
          <w:u w:val="single"/>
        </w:rPr>
        <w:t>Shawna Tanner, et al., v, Timothy I. McMurray, et al</w:t>
      </w:r>
      <w:r>
        <w:rPr>
          <w:rFonts w:ascii="Times New Roman" w:hAnsi="Times New Roman"/>
          <w:sz w:val="24"/>
          <w:szCs w:val="24"/>
        </w:rPr>
        <w:t>, the U.S. Court of Appeals for the 10</w:t>
      </w:r>
      <w:r w:rsidRPr="00B0543C">
        <w:rPr>
          <w:rFonts w:ascii="Times New Roman" w:hAnsi="Times New Roman"/>
          <w:sz w:val="24"/>
          <w:szCs w:val="24"/>
          <w:vertAlign w:val="superscript"/>
        </w:rPr>
        <w:t>th</w:t>
      </w:r>
      <w:r>
        <w:rPr>
          <w:rFonts w:ascii="Times New Roman" w:hAnsi="Times New Roman"/>
          <w:sz w:val="24"/>
          <w:szCs w:val="24"/>
        </w:rPr>
        <w:t xml:space="preserve"> Circuit (Denver, CO) held (3 to 0) that the Medical Doctor and RNs are employed full time with Correct Care Solutions, LLC, which provides medical care in 200 jails in 38 states, do not enjoy governmental immunity; case remanded to U.S. District Court judge in New Mexico for trial.  </w:t>
      </w:r>
    </w:p>
    <w:p w14:paraId="15A9693E" w14:textId="77777777" w:rsidR="00EC1BFB" w:rsidRPr="00B0543C" w:rsidRDefault="00EC1BFB" w:rsidP="00EC1BFB">
      <w:pPr>
        <w:spacing w:before="100" w:beforeAutospacing="1" w:after="100" w:afterAutospacing="1" w:line="240" w:lineRule="auto"/>
        <w:ind w:left="720"/>
        <w:rPr>
          <w:rFonts w:ascii="Times New Roman" w:hAnsi="Times New Roman"/>
          <w:sz w:val="24"/>
          <w:szCs w:val="24"/>
        </w:rPr>
      </w:pPr>
      <w:r w:rsidRPr="00B0543C">
        <w:rPr>
          <w:rFonts w:ascii="Times New Roman" w:hAnsi="Times New Roman"/>
          <w:sz w:val="24"/>
          <w:szCs w:val="24"/>
        </w:rPr>
        <w:t>“Tanner was approximately 35 weeks pregnant and in custody at the Metropolitan Detention Center in Bernalillo County, New Mexico.</w:t>
      </w:r>
    </w:p>
    <w:p w14:paraId="1F371B5C" w14:textId="77777777" w:rsidR="00EC1BFB" w:rsidRPr="00B0543C" w:rsidRDefault="00EC1BFB" w:rsidP="00EC1BFB">
      <w:pPr>
        <w:spacing w:before="100" w:beforeAutospacing="1" w:after="100" w:afterAutospacing="1" w:line="240" w:lineRule="auto"/>
        <w:ind w:left="720"/>
        <w:rPr>
          <w:rFonts w:ascii="Times New Roman" w:eastAsia="Times New Roman" w:hAnsi="Times New Roman"/>
          <w:kern w:val="36"/>
          <w:sz w:val="24"/>
          <w:szCs w:val="24"/>
        </w:rPr>
      </w:pPr>
      <w:r w:rsidRPr="00B0543C">
        <w:rPr>
          <w:rFonts w:ascii="Times New Roman" w:hAnsi="Times New Roman"/>
          <w:sz w:val="24"/>
          <w:szCs w:val="24"/>
        </w:rPr>
        <w:t>***</w:t>
      </w:r>
    </w:p>
    <w:p w14:paraId="202155DE" w14:textId="77777777" w:rsidR="00EC1BFB" w:rsidRDefault="00EC1BFB" w:rsidP="00EC1BFB">
      <w:pPr>
        <w:spacing w:before="100" w:beforeAutospacing="1" w:after="100" w:afterAutospacing="1" w:line="240" w:lineRule="auto"/>
        <w:ind w:left="720"/>
        <w:rPr>
          <w:rFonts w:ascii="Times New Roman" w:hAnsi="Times New Roman"/>
          <w:sz w:val="24"/>
          <w:szCs w:val="24"/>
        </w:rPr>
      </w:pPr>
      <w:r w:rsidRPr="00B0543C">
        <w:rPr>
          <w:rFonts w:ascii="Times New Roman" w:hAnsi="Times New Roman"/>
          <w:sz w:val="24"/>
          <w:szCs w:val="24"/>
        </w:rPr>
        <w:t xml:space="preserve">When paramedics arrived, they found Tanner in clear pain, </w:t>
      </w:r>
      <w:proofErr w:type="gramStart"/>
      <w:r w:rsidRPr="00B0543C">
        <w:rPr>
          <w:rFonts w:ascii="Times New Roman" w:hAnsi="Times New Roman"/>
          <w:sz w:val="24"/>
          <w:szCs w:val="24"/>
        </w:rPr>
        <w:t>laying</w:t>
      </w:r>
      <w:proofErr w:type="gramEnd"/>
      <w:r w:rsidRPr="00B0543C">
        <w:rPr>
          <w:rFonts w:ascii="Times New Roman" w:hAnsi="Times New Roman"/>
          <w:sz w:val="24"/>
          <w:szCs w:val="24"/>
        </w:rPr>
        <w:t xml:space="preserve"> on a table in the medical unit, appearing to be in labor. Tanner was "obviously having contractions." Several medical personnel were around Tanner when the paramedics arrived. McMurray was standing alone in the back of the room. When it was suggested that it was McMurray's responsibility to deliver the baby, the doctor shook his head in the negative, threw up his hands, and did not move from the corner. Instead, the paramedics delivered Tanner's child. He was born with his umbilical cord wrapped around his neck. There was no pulse. He was not breathing. McMurray remained silent in the back of the room as a paramedic used a bulb syringe to clear the baby's airway. It was too late. The thirty-hour childbirth ordeal was over. The baby was dead.</w:t>
      </w:r>
    </w:p>
    <w:p w14:paraId="39E7D707" w14:textId="77777777" w:rsidR="00EC1BFB" w:rsidRDefault="00EC1BFB" w:rsidP="00EC1BFB">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E30F5EC" w14:textId="77777777" w:rsidR="00EC1BFB" w:rsidRPr="00B0543C" w:rsidRDefault="00EC1BFB" w:rsidP="00EC1BFB">
      <w:pPr>
        <w:spacing w:before="100" w:beforeAutospacing="1" w:after="100" w:afterAutospacing="1" w:line="240" w:lineRule="auto"/>
        <w:ind w:left="720"/>
        <w:rPr>
          <w:rFonts w:ascii="Times New Roman" w:hAnsi="Times New Roman"/>
          <w:sz w:val="24"/>
          <w:szCs w:val="24"/>
        </w:rPr>
      </w:pPr>
      <w:r w:rsidRPr="00B0543C">
        <w:rPr>
          <w:rFonts w:ascii="Times New Roman" w:hAnsi="Times New Roman"/>
          <w:sz w:val="24"/>
          <w:szCs w:val="24"/>
        </w:rPr>
        <w:t>Neither historical justifications of special government immunity nor modern policy considerations support the extension of a qualified immunity defense to Appellees—private medical professionals employed full-time by a multi-state, for-profit corporation systematically organized to provide medical care in correctional facilities.</w:t>
      </w:r>
      <w:r>
        <w:rPr>
          <w:rFonts w:ascii="Times New Roman" w:hAnsi="Times New Roman"/>
          <w:sz w:val="24"/>
          <w:szCs w:val="24"/>
        </w:rPr>
        <w:t xml:space="preserve">” </w:t>
      </w:r>
      <w:hyperlink r:id="rId2198" w:history="1">
        <w:r w:rsidRPr="00E277E9">
          <w:rPr>
            <w:rStyle w:val="Hyperlink"/>
            <w:sz w:val="24"/>
            <w:szCs w:val="24"/>
          </w:rPr>
          <w:t>https://www.ca10.uscourts.gov/opinions/19/19-2166.pdf</w:t>
        </w:r>
      </w:hyperlink>
      <w:r>
        <w:rPr>
          <w:rFonts w:ascii="Times New Roman" w:hAnsi="Times New Roman"/>
          <w:sz w:val="24"/>
          <w:szCs w:val="24"/>
        </w:rPr>
        <w:t xml:space="preserve"> </w:t>
      </w:r>
    </w:p>
    <w:p w14:paraId="73D1D987" w14:textId="77777777" w:rsidR="00EC1BFB" w:rsidRPr="00F22EDC" w:rsidRDefault="00EC1BFB" w:rsidP="00EC1BFB">
      <w:pPr>
        <w:pStyle w:val="NoSpacing"/>
        <w:rPr>
          <w:rFonts w:ascii="Times New Roman" w:hAnsi="Times New Roman"/>
          <w:b/>
          <w:bCs/>
          <w:sz w:val="24"/>
          <w:szCs w:val="24"/>
        </w:rPr>
      </w:pPr>
      <w:r w:rsidRPr="00F22EDC">
        <w:rPr>
          <w:rFonts w:ascii="Times New Roman" w:hAnsi="Times New Roman"/>
          <w:b/>
          <w:bCs/>
          <w:sz w:val="24"/>
          <w:szCs w:val="24"/>
        </w:rPr>
        <w:t xml:space="preserve">Legal Lesson Learned: </w:t>
      </w:r>
      <w:r>
        <w:rPr>
          <w:rFonts w:ascii="Times New Roman" w:hAnsi="Times New Roman"/>
          <w:b/>
          <w:bCs/>
          <w:sz w:val="24"/>
          <w:szCs w:val="24"/>
        </w:rPr>
        <w:t xml:space="preserve">EMS working for private </w:t>
      </w:r>
      <w:proofErr w:type="gramStart"/>
      <w:r>
        <w:rPr>
          <w:rFonts w:ascii="Times New Roman" w:hAnsi="Times New Roman"/>
          <w:b/>
          <w:bCs/>
          <w:sz w:val="24"/>
          <w:szCs w:val="24"/>
        </w:rPr>
        <w:t>ambulance</w:t>
      </w:r>
      <w:proofErr w:type="gramEnd"/>
      <w:r>
        <w:rPr>
          <w:rFonts w:ascii="Times New Roman" w:hAnsi="Times New Roman"/>
          <w:b/>
          <w:bCs/>
          <w:sz w:val="24"/>
          <w:szCs w:val="24"/>
        </w:rPr>
        <w:t xml:space="preserve"> or other private </w:t>
      </w:r>
      <w:proofErr w:type="gramStart"/>
      <w:r>
        <w:rPr>
          <w:rFonts w:ascii="Times New Roman" w:hAnsi="Times New Roman"/>
          <w:b/>
          <w:bCs/>
          <w:sz w:val="24"/>
          <w:szCs w:val="24"/>
        </w:rPr>
        <w:t>employer</w:t>
      </w:r>
      <w:proofErr w:type="gramEnd"/>
      <w:r>
        <w:rPr>
          <w:rFonts w:ascii="Times New Roman" w:hAnsi="Times New Roman"/>
          <w:b/>
          <w:bCs/>
          <w:sz w:val="24"/>
          <w:szCs w:val="24"/>
        </w:rPr>
        <w:t xml:space="preserve"> must confirm the employer has insurance to defend and indemnify EMS employees.</w:t>
      </w:r>
    </w:p>
    <w:p w14:paraId="54930528" w14:textId="77777777" w:rsidR="00EC1BFB" w:rsidRPr="00C379C5" w:rsidRDefault="00EC1BFB" w:rsidP="00EC1BFB">
      <w:pPr>
        <w:pStyle w:val="NoSpacing"/>
        <w:ind w:left="720"/>
        <w:rPr>
          <w:rFonts w:ascii="Times New Roman" w:hAnsi="Times New Roman"/>
          <w:sz w:val="24"/>
          <w:szCs w:val="24"/>
        </w:rPr>
      </w:pPr>
    </w:p>
    <w:p w14:paraId="2739A5C7" w14:textId="77777777" w:rsidR="00EC1BFB" w:rsidRPr="00CE063B" w:rsidRDefault="00EC1BFB" w:rsidP="00EC1BFB">
      <w:pPr>
        <w:pStyle w:val="NoSpacing"/>
        <w:ind w:left="1440"/>
        <w:rPr>
          <w:rFonts w:ascii="Times New Roman" w:eastAsia="Times New Roman" w:hAnsi="Times New Roman"/>
          <w:b/>
          <w:bCs/>
          <w:sz w:val="24"/>
          <w:szCs w:val="24"/>
        </w:rPr>
      </w:pPr>
      <w:r>
        <w:rPr>
          <w:rFonts w:ascii="Times New Roman" w:hAnsi="Times New Roman"/>
          <w:sz w:val="24"/>
          <w:szCs w:val="24"/>
        </w:rPr>
        <w:t xml:space="preserve">Note:  Part-time or contract personnel performing services for a </w:t>
      </w:r>
      <w:proofErr w:type="gramStart"/>
      <w:r>
        <w:rPr>
          <w:rFonts w:ascii="Times New Roman" w:hAnsi="Times New Roman"/>
          <w:sz w:val="24"/>
          <w:szCs w:val="24"/>
        </w:rPr>
        <w:t>Government</w:t>
      </w:r>
      <w:proofErr w:type="gramEnd"/>
      <w:r>
        <w:rPr>
          <w:rFonts w:ascii="Times New Roman" w:hAnsi="Times New Roman"/>
          <w:sz w:val="24"/>
          <w:szCs w:val="24"/>
        </w:rPr>
        <w:t xml:space="preserve"> employer may enjoy governmental immunity.  The U.S. Supreme Court is </w:t>
      </w:r>
      <w:proofErr w:type="spellStart"/>
      <w:r w:rsidRPr="002934BB">
        <w:rPr>
          <w:rFonts w:ascii="Times New Roman" w:hAnsi="Times New Roman"/>
          <w:sz w:val="24"/>
          <w:szCs w:val="24"/>
          <w:u w:val="single"/>
        </w:rPr>
        <w:t>Filarsky</w:t>
      </w:r>
      <w:proofErr w:type="spellEnd"/>
      <w:r w:rsidRPr="002934BB">
        <w:rPr>
          <w:rFonts w:ascii="Times New Roman" w:hAnsi="Times New Roman"/>
          <w:sz w:val="24"/>
          <w:szCs w:val="24"/>
          <w:u w:val="single"/>
        </w:rPr>
        <w:t xml:space="preserve"> v. Delia</w:t>
      </w:r>
      <w:r w:rsidRPr="002934BB">
        <w:rPr>
          <w:rFonts w:ascii="Times New Roman" w:hAnsi="Times New Roman"/>
          <w:sz w:val="24"/>
          <w:szCs w:val="24"/>
        </w:rPr>
        <w:t>, 566 U.S. 377 (2012</w:t>
      </w:r>
      <w:r>
        <w:rPr>
          <w:rFonts w:ascii="Times New Roman" w:hAnsi="Times New Roman"/>
          <w:sz w:val="24"/>
          <w:szCs w:val="24"/>
        </w:rPr>
        <w:t xml:space="preserve">), held (9 to 0) that an attorney retained by a Fire Department to conduct an investigation of a firefighter off work on injury leave while allegedly doing heavy repairs of on his home [he </w:t>
      </w:r>
      <w:r>
        <w:rPr>
          <w:rFonts w:ascii="Times New Roman" w:hAnsi="Times New Roman"/>
          <w:sz w:val="24"/>
          <w:szCs w:val="24"/>
        </w:rPr>
        <w:lastRenderedPageBreak/>
        <w:t>brought out to his front lawn four rolls of insulation] has governmental immunity.  “[I]</w:t>
      </w:r>
      <w:proofErr w:type="spellStart"/>
      <w:r w:rsidRPr="00CE063B">
        <w:rPr>
          <w:rFonts w:ascii="Times New Roman" w:hAnsi="Times New Roman"/>
          <w:sz w:val="24"/>
          <w:szCs w:val="24"/>
        </w:rPr>
        <w:t>mmunity</w:t>
      </w:r>
      <w:proofErr w:type="spellEnd"/>
      <w:r w:rsidRPr="00CE063B">
        <w:rPr>
          <w:rFonts w:ascii="Times New Roman" w:hAnsi="Times New Roman"/>
          <w:sz w:val="24"/>
          <w:szCs w:val="24"/>
        </w:rPr>
        <w:t xml:space="preserve"> under §1983 should not vary depending on whether an individual working for the government does so as a</w:t>
      </w:r>
      <w:r>
        <w:rPr>
          <w:rFonts w:ascii="Times New Roman" w:hAnsi="Times New Roman"/>
          <w:sz w:val="24"/>
          <w:szCs w:val="24"/>
        </w:rPr>
        <w:t xml:space="preserve"> </w:t>
      </w:r>
      <w:r w:rsidRPr="00CE063B">
        <w:rPr>
          <w:rFonts w:ascii="Times New Roman" w:hAnsi="Times New Roman"/>
          <w:sz w:val="24"/>
          <w:szCs w:val="24"/>
        </w:rPr>
        <w:t>full-time employee, or on some other basis.</w:t>
      </w:r>
      <w:r>
        <w:rPr>
          <w:rFonts w:ascii="Times New Roman" w:hAnsi="Times New Roman"/>
          <w:sz w:val="24"/>
          <w:szCs w:val="24"/>
        </w:rPr>
        <w:t xml:space="preserve">” </w:t>
      </w:r>
      <w:hyperlink r:id="rId2199" w:history="1">
        <w:r w:rsidRPr="00E277E9">
          <w:rPr>
            <w:rStyle w:val="Hyperlink"/>
            <w:sz w:val="24"/>
            <w:szCs w:val="24"/>
          </w:rPr>
          <w:t>https://www.supremecourt.gov/opinions/11pdf/10-1018.pdf</w:t>
        </w:r>
      </w:hyperlink>
      <w:r>
        <w:rPr>
          <w:rFonts w:ascii="Times New Roman" w:hAnsi="Times New Roman"/>
          <w:sz w:val="24"/>
          <w:szCs w:val="24"/>
        </w:rPr>
        <w:t xml:space="preserve"> </w:t>
      </w:r>
    </w:p>
    <w:p w14:paraId="69997964" w14:textId="77777777" w:rsidR="00EC1BFB" w:rsidRDefault="00EC1BFB" w:rsidP="00EC1BFB">
      <w:pPr>
        <w:pStyle w:val="NoSpacing"/>
        <w:ind w:left="720"/>
        <w:rPr>
          <w:rFonts w:ascii="Times New Roman" w:hAnsi="Times New Roman"/>
          <w:sz w:val="24"/>
          <w:szCs w:val="24"/>
        </w:rPr>
      </w:pPr>
    </w:p>
    <w:p w14:paraId="3FD2D0B6" w14:textId="77777777" w:rsidR="00EC1BFB" w:rsidRDefault="00EC1BFB" w:rsidP="00EC1BFB">
      <w:pPr>
        <w:pStyle w:val="NoSpacing"/>
        <w:ind w:left="720" w:firstLine="720"/>
        <w:rPr>
          <w:rFonts w:ascii="Times New Roman" w:hAnsi="Times New Roman"/>
          <w:sz w:val="24"/>
          <w:szCs w:val="24"/>
        </w:rPr>
      </w:pPr>
      <w:r>
        <w:rPr>
          <w:rFonts w:ascii="Times New Roman" w:hAnsi="Times New Roman"/>
          <w:sz w:val="24"/>
          <w:szCs w:val="24"/>
        </w:rPr>
        <w:t>In Ohio, Medical Directors also enjoy immunity:</w:t>
      </w:r>
    </w:p>
    <w:p w14:paraId="159DB8BA" w14:textId="77777777" w:rsidR="00EC1BFB" w:rsidRDefault="00EC1BFB" w:rsidP="00EC1BFB">
      <w:pPr>
        <w:pStyle w:val="NoSpacing"/>
        <w:ind w:left="720" w:firstLine="720"/>
        <w:rPr>
          <w:rFonts w:ascii="Times New Roman" w:hAnsi="Times New Roman"/>
          <w:sz w:val="24"/>
          <w:szCs w:val="24"/>
        </w:rPr>
      </w:pPr>
      <w:hyperlink r:id="rId2200" w:history="1">
        <w:r w:rsidRPr="00D60E44">
          <w:rPr>
            <w:rStyle w:val="Hyperlink"/>
            <w:sz w:val="24"/>
            <w:szCs w:val="24"/>
          </w:rPr>
          <w:t>https://codes.ohio.gov/ohio-revised-code/section-4765.49</w:t>
        </w:r>
      </w:hyperlink>
      <w:r>
        <w:rPr>
          <w:rFonts w:ascii="Times New Roman" w:hAnsi="Times New Roman"/>
          <w:sz w:val="24"/>
          <w:szCs w:val="24"/>
        </w:rPr>
        <w:t xml:space="preserve"> </w:t>
      </w:r>
    </w:p>
    <w:p w14:paraId="5EC46C8B" w14:textId="77777777" w:rsidR="00EC1BFB" w:rsidRDefault="00EC1BFB" w:rsidP="00EC1BFB">
      <w:pPr>
        <w:pStyle w:val="NoSpacing"/>
        <w:ind w:left="1440"/>
        <w:rPr>
          <w:rFonts w:ascii="Times New Roman" w:hAnsi="Times New Roman"/>
          <w:sz w:val="24"/>
          <w:szCs w:val="24"/>
        </w:rPr>
      </w:pPr>
      <w:r>
        <w:rPr>
          <w:rFonts w:ascii="Times New Roman" w:hAnsi="Times New Roman"/>
          <w:sz w:val="24"/>
          <w:szCs w:val="24"/>
        </w:rPr>
        <w:t>4765.49 (A): “</w:t>
      </w:r>
      <w:r w:rsidRPr="00F22EDC">
        <w:rPr>
          <w:rFonts w:ascii="Times New Roman" w:hAnsi="Times New Roman"/>
          <w:sz w:val="24"/>
          <w:szCs w:val="24"/>
        </w:rPr>
        <w:t>Medical directors and members of cooperating physician advisory boards of emergency medical service organizations are not liable in damages in a civil action for injury, death, or loss to person or property resulting from their acts or omissions in the performance of their duties, unless the act or omission constitutes willful or wanton misconduct.</w:t>
      </w:r>
      <w:r>
        <w:rPr>
          <w:rFonts w:ascii="Times New Roman" w:hAnsi="Times New Roman"/>
          <w:sz w:val="24"/>
          <w:szCs w:val="24"/>
        </w:rPr>
        <w:t>”</w:t>
      </w:r>
    </w:p>
    <w:p w14:paraId="3084FA72" w14:textId="77777777" w:rsidR="00EC1BFB" w:rsidRDefault="00EC1BFB" w:rsidP="00EC1BFB">
      <w:pPr>
        <w:pStyle w:val="NoSpacing"/>
        <w:ind w:left="720"/>
        <w:rPr>
          <w:rFonts w:ascii="Times New Roman" w:hAnsi="Times New Roman"/>
          <w:sz w:val="24"/>
          <w:szCs w:val="24"/>
        </w:rPr>
      </w:pPr>
    </w:p>
    <w:p w14:paraId="7888BB1B" w14:textId="77777777" w:rsidR="00EC1BFB" w:rsidRDefault="00EC1BFB" w:rsidP="00EC1BFB">
      <w:pPr>
        <w:pStyle w:val="NoSpacing"/>
        <w:ind w:left="1440"/>
        <w:rPr>
          <w:rFonts w:ascii="Times New Roman" w:hAnsi="Times New Roman"/>
          <w:sz w:val="24"/>
          <w:szCs w:val="24"/>
        </w:rPr>
      </w:pPr>
      <w:r>
        <w:rPr>
          <w:rFonts w:ascii="Times New Roman" w:hAnsi="Times New Roman"/>
          <w:sz w:val="24"/>
          <w:szCs w:val="24"/>
        </w:rPr>
        <w:t xml:space="preserve">In addition, in Ohio a private ambulance company rendering 911 services to the public under a contract with a government enjoy immunity: </w:t>
      </w:r>
      <w:hyperlink r:id="rId2201" w:history="1">
        <w:r w:rsidRPr="00E277E9">
          <w:rPr>
            <w:rStyle w:val="Hyperlink"/>
            <w:sz w:val="24"/>
            <w:szCs w:val="24"/>
          </w:rPr>
          <w:t>https://codes.ohio.gov/ohio-revised-code/section-4765.49</w:t>
        </w:r>
      </w:hyperlink>
      <w:r>
        <w:rPr>
          <w:rFonts w:ascii="Times New Roman" w:hAnsi="Times New Roman"/>
          <w:sz w:val="24"/>
          <w:szCs w:val="24"/>
        </w:rPr>
        <w:t xml:space="preserve"> </w:t>
      </w:r>
    </w:p>
    <w:p w14:paraId="307EF6E4" w14:textId="77777777" w:rsidR="00EC1BFB" w:rsidRPr="00CD0AF1" w:rsidRDefault="00EC1BFB" w:rsidP="00EC1BFB">
      <w:pPr>
        <w:pStyle w:val="NoSpacing"/>
        <w:ind w:left="1440"/>
        <w:rPr>
          <w:rFonts w:ascii="Times New Roman" w:hAnsi="Times New Roman"/>
          <w:sz w:val="24"/>
          <w:szCs w:val="24"/>
        </w:rPr>
      </w:pPr>
      <w:r w:rsidRPr="00CD0AF1">
        <w:rPr>
          <w:rFonts w:ascii="Times New Roman" w:hAnsi="Times New Roman"/>
          <w:sz w:val="24"/>
          <w:szCs w:val="24"/>
        </w:rPr>
        <w:t xml:space="preserve">4765.49(B):  </w:t>
      </w:r>
      <w:r>
        <w:rPr>
          <w:rFonts w:ascii="Times New Roman" w:hAnsi="Times New Roman"/>
          <w:sz w:val="24"/>
          <w:szCs w:val="24"/>
        </w:rPr>
        <w:t>“</w:t>
      </w:r>
      <w:r w:rsidRPr="00CD0AF1">
        <w:rPr>
          <w:rFonts w:ascii="Times New Roman" w:hAnsi="Times New Roman"/>
          <w:sz w:val="24"/>
          <w:szCs w:val="24"/>
        </w:rPr>
        <w:t>A political subdivision, joint ambulance district, joint emergency medical services district, or other public agency, and any officer or employee of a public agency or of a private organization operating under contract or in joint agreement with one or more political subdivisions, that provides emergency medical services, or that enters into a joint agreement or a contract with the state, any political subdivision, joint ambulance district, or joint emergency medical services district for the provision of emergency medical services, is not liable in damages in a civil action for injury, death, or loss to person or property arising out of any actions taken by a first responder, EMT-basic, EMT-I, or paramedic working under the officer's or employee's jurisdiction, or for injury, death, or loss to person or property arising out of any actions of licensed medical personnel advising or assisting the first responder, EMT-basic, EMT-I, or paramedic, unless the services are provided in a manner that constitutes willful or wanton misconduct.</w:t>
      </w:r>
      <w:r>
        <w:rPr>
          <w:rFonts w:ascii="Times New Roman" w:hAnsi="Times New Roman"/>
          <w:sz w:val="24"/>
          <w:szCs w:val="24"/>
        </w:rPr>
        <w:t>”</w:t>
      </w:r>
    </w:p>
    <w:p w14:paraId="11D25AE1" w14:textId="77777777" w:rsidR="00EC1BFB" w:rsidRDefault="00EC1BFB" w:rsidP="00EC1BFB">
      <w:pPr>
        <w:pStyle w:val="NoSpacing"/>
        <w:ind w:left="1440"/>
        <w:rPr>
          <w:rFonts w:ascii="Times New Roman" w:hAnsi="Times New Roman"/>
          <w:sz w:val="24"/>
          <w:szCs w:val="24"/>
        </w:rPr>
      </w:pPr>
    </w:p>
    <w:p w14:paraId="7D77466A" w14:textId="77777777" w:rsidR="00EC1BFB" w:rsidRDefault="00EC1BFB" w:rsidP="002B1283">
      <w:pPr>
        <w:rPr>
          <w:rFonts w:ascii="Arial Black" w:hAnsi="Arial Black"/>
          <w:b/>
          <w:bCs/>
          <w:sz w:val="28"/>
          <w:szCs w:val="28"/>
        </w:rPr>
      </w:pPr>
    </w:p>
    <w:p w14:paraId="6186A8EF" w14:textId="77777777" w:rsidR="00274525" w:rsidRDefault="00274525" w:rsidP="002B1283">
      <w:pPr>
        <w:rPr>
          <w:rFonts w:ascii="Arial Black" w:hAnsi="Arial Black"/>
          <w:b/>
          <w:bCs/>
          <w:sz w:val="28"/>
          <w:szCs w:val="28"/>
        </w:rPr>
      </w:pPr>
    </w:p>
    <w:p w14:paraId="1F70E9CD" w14:textId="1FC19BE7" w:rsidR="00EB2493" w:rsidRDefault="00EB2493" w:rsidP="002B1283">
      <w:pPr>
        <w:rPr>
          <w:rFonts w:ascii="Arial Black" w:hAnsi="Arial Black"/>
          <w:b/>
          <w:bCs/>
          <w:sz w:val="28"/>
          <w:szCs w:val="28"/>
        </w:rPr>
      </w:pPr>
      <w:r>
        <w:rPr>
          <w:rFonts w:ascii="Arial Black" w:hAnsi="Arial Black"/>
          <w:b/>
          <w:bCs/>
          <w:sz w:val="28"/>
          <w:szCs w:val="28"/>
        </w:rPr>
        <w:t>13-82</w:t>
      </w:r>
    </w:p>
    <w:p w14:paraId="4580C346" w14:textId="77777777" w:rsidR="00EB2493" w:rsidRPr="00350A69" w:rsidRDefault="00EB2493" w:rsidP="00EB2493">
      <w:pPr>
        <w:spacing w:after="100" w:line="240" w:lineRule="auto"/>
        <w:rPr>
          <w:rFonts w:ascii="Arial Black" w:hAnsi="Arial Black"/>
          <w:sz w:val="28"/>
          <w:szCs w:val="28"/>
        </w:rPr>
      </w:pPr>
      <w:r>
        <w:rPr>
          <w:rFonts w:ascii="Arial Black" w:hAnsi="Arial Black"/>
          <w:sz w:val="28"/>
          <w:szCs w:val="28"/>
        </w:rPr>
        <w:t xml:space="preserve">MD: GOOD SAMARITAN IMMUNITY – DRUG USERS PASSED OUT IN VEHICLE - 911 CALLED, REFUSED EMS </w:t>
      </w:r>
    </w:p>
    <w:p w14:paraId="77D03C0D" w14:textId="77777777" w:rsidR="00EB2493" w:rsidRDefault="00EB2493" w:rsidP="00EB2493">
      <w:pPr>
        <w:spacing w:after="100" w:line="240" w:lineRule="auto"/>
        <w:rPr>
          <w:rFonts w:ascii="Times New Roman" w:hAnsi="Times New Roman"/>
          <w:sz w:val="24"/>
          <w:szCs w:val="24"/>
        </w:rPr>
      </w:pPr>
      <w:r>
        <w:rPr>
          <w:rFonts w:ascii="Times New Roman" w:hAnsi="Times New Roman"/>
          <w:sz w:val="24"/>
          <w:szCs w:val="24"/>
        </w:rPr>
        <w:t xml:space="preserve">On Feb. 24, 2021, in </w:t>
      </w:r>
      <w:r w:rsidRPr="00350A69">
        <w:rPr>
          <w:rFonts w:ascii="Times New Roman" w:hAnsi="Times New Roman"/>
          <w:sz w:val="24"/>
          <w:szCs w:val="24"/>
          <w:u w:val="single"/>
        </w:rPr>
        <w:t>Damian Gerety and Brian Antkowiak v. State of Maryland</w:t>
      </w:r>
      <w:r>
        <w:rPr>
          <w:rFonts w:ascii="Times New Roman" w:hAnsi="Times New Roman"/>
          <w:sz w:val="24"/>
          <w:szCs w:val="24"/>
        </w:rPr>
        <w:t xml:space="preserve">, the Court of Special Appeals of the State of Maryland, held 3 to 0 that the convictions for possession of heroin are reversed, based on the state’s Good Samaritan immunity statute. </w:t>
      </w:r>
    </w:p>
    <w:p w14:paraId="0A9CC6F2" w14:textId="77777777" w:rsidR="00EB2493" w:rsidRDefault="00EB2493" w:rsidP="00EB2493">
      <w:pPr>
        <w:spacing w:after="100" w:line="240" w:lineRule="auto"/>
        <w:ind w:left="720"/>
        <w:rPr>
          <w:rFonts w:ascii="Times New Roman" w:hAnsi="Times New Roman"/>
          <w:sz w:val="24"/>
          <w:szCs w:val="24"/>
        </w:rPr>
      </w:pPr>
      <w:r w:rsidRPr="0027492D">
        <w:rPr>
          <w:rFonts w:ascii="Times New Roman" w:hAnsi="Times New Roman"/>
          <w:sz w:val="24"/>
          <w:szCs w:val="24"/>
        </w:rPr>
        <w:t>“We hold that because the police were present at the scene and discovered the evidence supporting the charges "solely as a result" of a call for medical assistance, Mr. Gerety and Ms. Antkowiak were immune from prosecution, and we reverse the convictions.</w:t>
      </w:r>
    </w:p>
    <w:p w14:paraId="3B88EE15" w14:textId="77777777" w:rsidR="00EB2493" w:rsidRDefault="00EB2493" w:rsidP="00EB2493">
      <w:pPr>
        <w:spacing w:after="100" w:line="240" w:lineRule="auto"/>
        <w:ind w:left="720"/>
        <w:rPr>
          <w:rFonts w:ascii="Times New Roman" w:hAnsi="Times New Roman"/>
          <w:sz w:val="24"/>
          <w:szCs w:val="24"/>
        </w:rPr>
      </w:pPr>
      <w:r>
        <w:rPr>
          <w:rFonts w:ascii="Times New Roman" w:hAnsi="Times New Roman"/>
          <w:sz w:val="24"/>
          <w:szCs w:val="24"/>
        </w:rPr>
        <w:t>***</w:t>
      </w:r>
    </w:p>
    <w:p w14:paraId="0F227000" w14:textId="77777777" w:rsidR="00EB2493" w:rsidRDefault="00EB2493" w:rsidP="00EB2493">
      <w:pPr>
        <w:spacing w:after="100" w:line="240" w:lineRule="auto"/>
        <w:ind w:left="720"/>
        <w:rPr>
          <w:rFonts w:ascii="Times New Roman" w:hAnsi="Times New Roman"/>
          <w:sz w:val="24"/>
          <w:szCs w:val="24"/>
        </w:rPr>
      </w:pPr>
      <w:r w:rsidRPr="0027492D">
        <w:rPr>
          <w:rFonts w:ascii="Times New Roman" w:hAnsi="Times New Roman"/>
          <w:sz w:val="24"/>
          <w:szCs w:val="24"/>
        </w:rPr>
        <w:t xml:space="preserve">Put another way, § 1-210 asks a different question: why were officers at the scene in the first place? If they were there solely </w:t>
      </w:r>
      <w:proofErr w:type="gramStart"/>
      <w:r w:rsidRPr="0027492D">
        <w:rPr>
          <w:rFonts w:ascii="Times New Roman" w:hAnsi="Times New Roman"/>
          <w:sz w:val="24"/>
          <w:szCs w:val="24"/>
        </w:rPr>
        <w:t>as a result of</w:t>
      </w:r>
      <w:proofErr w:type="gramEnd"/>
      <w:r w:rsidRPr="0027492D">
        <w:rPr>
          <w:rFonts w:ascii="Times New Roman" w:hAnsi="Times New Roman"/>
          <w:sz w:val="24"/>
          <w:szCs w:val="24"/>
        </w:rPr>
        <w:t xml:space="preserve"> a call for emergency medical assistance, the caller and recipient(s) of assistance are immune from prosecution for the listed charges, whatever evidence might properly have been seized.</w:t>
      </w:r>
      <w:r>
        <w:rPr>
          <w:rFonts w:ascii="Times New Roman" w:hAnsi="Times New Roman"/>
          <w:sz w:val="24"/>
          <w:szCs w:val="24"/>
        </w:rPr>
        <w:t xml:space="preserve">”  </w:t>
      </w:r>
      <w:hyperlink r:id="rId2202" w:history="1">
        <w:r w:rsidRPr="00800310">
          <w:rPr>
            <w:rStyle w:val="Hyperlink"/>
            <w:rFonts w:ascii="Times New Roman" w:hAnsi="Times New Roman"/>
            <w:sz w:val="24"/>
            <w:szCs w:val="24"/>
          </w:rPr>
          <w:t>https://law.justia.com/cases/maryland/court-of-special-appeals/2021/2349-19.html</w:t>
        </w:r>
      </w:hyperlink>
      <w:r>
        <w:rPr>
          <w:rFonts w:ascii="Times New Roman" w:hAnsi="Times New Roman"/>
          <w:sz w:val="24"/>
          <w:szCs w:val="24"/>
        </w:rPr>
        <w:t xml:space="preserve"> </w:t>
      </w:r>
    </w:p>
    <w:p w14:paraId="58EDC0ED" w14:textId="77777777" w:rsidR="00EB2493" w:rsidRDefault="00EB2493" w:rsidP="00EB2493">
      <w:pPr>
        <w:pStyle w:val="NormalWeb"/>
        <w:rPr>
          <w:b/>
          <w:bCs/>
        </w:rPr>
      </w:pPr>
      <w:r w:rsidRPr="0023546F">
        <w:rPr>
          <w:b/>
          <w:bCs/>
        </w:rPr>
        <w:lastRenderedPageBreak/>
        <w:t>Legal Lesson Learned:</w:t>
      </w:r>
      <w:r>
        <w:rPr>
          <w:b/>
          <w:bCs/>
        </w:rPr>
        <w:t xml:space="preserve">  Many states have enacted Good Samaritan statutes to encourage drug users and others to call 911.</w:t>
      </w:r>
    </w:p>
    <w:p w14:paraId="340F35B1" w14:textId="77777777" w:rsidR="00EB2493" w:rsidRPr="00B07A9F" w:rsidRDefault="00EB2493" w:rsidP="00EB2493">
      <w:pPr>
        <w:pStyle w:val="NormalWeb"/>
        <w:ind w:left="720"/>
      </w:pPr>
      <w:r w:rsidRPr="00B07A9F">
        <w:t xml:space="preserve">Note: “Although the Minnesota statute was enacted the same year as CP § 1-210 and the Pennsylvania statute followed passage of the Maryland bill, the Illinois and Vermont statutes preceded our Good Samaritan.   Virginia makes explicit in its Good Samaritan statute that if the request for medical assistance is made during the execution of a search warrant or during an arrest, the immunity provisions don't apply. </w:t>
      </w:r>
      <w:r w:rsidRPr="00B07A9F">
        <w:rPr>
          <w:i/>
          <w:iCs/>
        </w:rPr>
        <w:t>See</w:t>
      </w:r>
      <w:r w:rsidRPr="00B07A9F">
        <w:t xml:space="preserve"> Va. Code Ann. § 18.2-251.03.C (immunity protections do not apply ‘to any person who seeks or obtains emergency medical attention for himself or another individual, or to a person experiencing an overdose when another individual seeks or obtains emergency medical attention for him, </w:t>
      </w:r>
      <w:r w:rsidRPr="00B07A9F">
        <w:rPr>
          <w:i/>
          <w:iCs/>
        </w:rPr>
        <w:t>during the execution of a search warrant or during the conduct of a lawful search or a lawful arrest</w:t>
      </w:r>
      <w:r w:rsidRPr="00B07A9F">
        <w:t>) (emphasis added).”</w:t>
      </w:r>
    </w:p>
    <w:p w14:paraId="6D50959C" w14:textId="77777777" w:rsidR="00EB2493" w:rsidRDefault="00EB2493" w:rsidP="002B1283">
      <w:pPr>
        <w:rPr>
          <w:rFonts w:ascii="Arial Black" w:hAnsi="Arial Black"/>
          <w:b/>
          <w:bCs/>
          <w:sz w:val="28"/>
          <w:szCs w:val="28"/>
        </w:rPr>
      </w:pPr>
    </w:p>
    <w:p w14:paraId="12A9A9A8" w14:textId="0D66C61F" w:rsidR="00EB2493" w:rsidRDefault="00EB2493" w:rsidP="002B1283">
      <w:pPr>
        <w:rPr>
          <w:rFonts w:ascii="Arial Black" w:hAnsi="Arial Black"/>
          <w:b/>
          <w:bCs/>
          <w:sz w:val="28"/>
          <w:szCs w:val="28"/>
        </w:rPr>
      </w:pPr>
      <w:r>
        <w:rPr>
          <w:rFonts w:ascii="Arial Black" w:hAnsi="Arial Black"/>
          <w:b/>
          <w:bCs/>
          <w:sz w:val="28"/>
          <w:szCs w:val="28"/>
        </w:rPr>
        <w:t>13-81</w:t>
      </w:r>
    </w:p>
    <w:p w14:paraId="22EFB7A3" w14:textId="77777777" w:rsidR="00EB2493" w:rsidRPr="006B7CE6" w:rsidRDefault="00EB2493" w:rsidP="00EB2493">
      <w:pPr>
        <w:rPr>
          <w:rFonts w:ascii="Arial Black" w:hAnsi="Arial Black"/>
          <w:sz w:val="28"/>
          <w:szCs w:val="28"/>
        </w:rPr>
      </w:pPr>
      <w:bookmarkStart w:id="450" w:name="_Hlk66949400"/>
      <w:r>
        <w:rPr>
          <w:rFonts w:ascii="Arial Black" w:hAnsi="Arial Black"/>
          <w:sz w:val="28"/>
          <w:szCs w:val="28"/>
        </w:rPr>
        <w:t xml:space="preserve">MD: SWAT TRAINING IN POOL – CPR - BAG VALUE MASK MISSING, PD DIED – NOT FED. CASE – DIDN’T “SHOCK CONSCIOUS” </w:t>
      </w:r>
    </w:p>
    <w:p w14:paraId="6164AAC0" w14:textId="77777777" w:rsidR="00EB2493" w:rsidRDefault="00EB2493" w:rsidP="00EB2493">
      <w:pPr>
        <w:spacing w:before="100" w:beforeAutospacing="1" w:after="100" w:afterAutospacing="1" w:line="240" w:lineRule="auto"/>
        <w:rPr>
          <w:rFonts w:ascii="Times New Roman" w:hAnsi="Times New Roman"/>
          <w:sz w:val="24"/>
          <w:szCs w:val="24"/>
        </w:rPr>
      </w:pPr>
      <w:r w:rsidRPr="006B7CE6">
        <w:rPr>
          <w:rFonts w:ascii="Times New Roman" w:hAnsi="Times New Roman"/>
          <w:sz w:val="24"/>
          <w:szCs w:val="24"/>
        </w:rPr>
        <w:t xml:space="preserve">On Feb. 22, 2021, in </w:t>
      </w:r>
      <w:r w:rsidRPr="006B7CE6">
        <w:rPr>
          <w:rFonts w:ascii="Times New Roman" w:hAnsi="Times New Roman"/>
          <w:sz w:val="24"/>
          <w:szCs w:val="24"/>
          <w:u w:val="single"/>
        </w:rPr>
        <w:t>Rebeca Sable v. Baltimore County Government, et al.</w:t>
      </w:r>
      <w:r w:rsidRPr="006B7CE6">
        <w:rPr>
          <w:rFonts w:ascii="Times New Roman" w:hAnsi="Times New Roman"/>
          <w:sz w:val="24"/>
          <w:szCs w:val="24"/>
        </w:rPr>
        <w:t xml:space="preserve">, </w:t>
      </w:r>
      <w:r>
        <w:rPr>
          <w:rFonts w:ascii="Times New Roman" w:hAnsi="Times New Roman"/>
          <w:sz w:val="24"/>
          <w:szCs w:val="24"/>
        </w:rPr>
        <w:t>United States Magistrate Judge J. Mark Coulson granted the defendants’ motion to dismiss the County and two Medics since facts alleged in their complaint, while possibly showing negligence, did not meet the U.S. Supreme Court’s “shock the conscious” test for alleged Federal violations of the Due Process Clause of 14</w:t>
      </w:r>
      <w:r w:rsidRPr="00B32F68">
        <w:rPr>
          <w:rFonts w:ascii="Times New Roman" w:hAnsi="Times New Roman"/>
          <w:sz w:val="24"/>
          <w:szCs w:val="24"/>
          <w:vertAlign w:val="superscript"/>
        </w:rPr>
        <w:t>th</w:t>
      </w:r>
      <w:r>
        <w:rPr>
          <w:rFonts w:ascii="Times New Roman" w:hAnsi="Times New Roman"/>
          <w:sz w:val="24"/>
          <w:szCs w:val="24"/>
        </w:rPr>
        <w:t xml:space="preserve"> Amendment, as required by U.S. Supreme Court in </w:t>
      </w:r>
      <w:r w:rsidRPr="003A213C">
        <w:rPr>
          <w:rFonts w:ascii="Times New Roman" w:hAnsi="Times New Roman"/>
          <w:i/>
          <w:iCs/>
          <w:sz w:val="24"/>
          <w:szCs w:val="24"/>
        </w:rPr>
        <w:t>County of Sacramento v</w:t>
      </w:r>
      <w:r w:rsidRPr="003A213C">
        <w:rPr>
          <w:rFonts w:ascii="Times New Roman" w:hAnsi="Times New Roman"/>
          <w:sz w:val="24"/>
          <w:szCs w:val="24"/>
        </w:rPr>
        <w:t xml:space="preserve">. </w:t>
      </w:r>
      <w:r w:rsidRPr="003A213C">
        <w:rPr>
          <w:rFonts w:ascii="Times New Roman" w:hAnsi="Times New Roman"/>
          <w:i/>
          <w:iCs/>
          <w:sz w:val="24"/>
          <w:szCs w:val="24"/>
        </w:rPr>
        <w:t>Lewis</w:t>
      </w:r>
      <w:r w:rsidRPr="003A213C">
        <w:rPr>
          <w:rFonts w:ascii="Times New Roman" w:hAnsi="Times New Roman"/>
          <w:sz w:val="24"/>
          <w:szCs w:val="24"/>
        </w:rPr>
        <w:t xml:space="preserve">, </w:t>
      </w:r>
      <w:hyperlink r:id="rId2203" w:anchor="p848" w:history="1">
        <w:r w:rsidRPr="003A213C">
          <w:rPr>
            <w:rStyle w:val="Hyperlink"/>
            <w:rFonts w:ascii="Times New Roman" w:hAnsi="Times New Roman"/>
            <w:sz w:val="24"/>
            <w:szCs w:val="24"/>
          </w:rPr>
          <w:t>523 U.S. 833, 848</w:t>
        </w:r>
      </w:hyperlink>
      <w:r w:rsidRPr="003A213C">
        <w:rPr>
          <w:rFonts w:ascii="Times New Roman" w:hAnsi="Times New Roman"/>
          <w:sz w:val="24"/>
          <w:szCs w:val="24"/>
        </w:rPr>
        <w:t xml:space="preserve"> (1998)</w:t>
      </w:r>
      <w:r>
        <w:rPr>
          <w:rFonts w:ascii="Times New Roman" w:hAnsi="Times New Roman"/>
          <w:sz w:val="24"/>
          <w:szCs w:val="24"/>
        </w:rPr>
        <w:t>.</w:t>
      </w:r>
      <w:r w:rsidRPr="003A213C">
        <w:rPr>
          <w:rFonts w:ascii="Times New Roman" w:hAnsi="Times New Roman"/>
          <w:sz w:val="24"/>
          <w:szCs w:val="24"/>
        </w:rPr>
        <w:t xml:space="preserve"> </w:t>
      </w:r>
      <w:r>
        <w:rPr>
          <w:rFonts w:ascii="Times New Roman" w:hAnsi="Times New Roman"/>
          <w:sz w:val="24"/>
          <w:szCs w:val="24"/>
        </w:rPr>
        <w:t xml:space="preserve"> The Magistrate Judge, however, will give plaintiffs one last opportunity to file an amended complaint with additional facts, noting that the Medics enjoy qualified immunity under Maryland statute for mere negligence.    </w:t>
      </w:r>
    </w:p>
    <w:bookmarkEnd w:id="450"/>
    <w:p w14:paraId="0C9486F7" w14:textId="24386584"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700CC5">
        <w:rPr>
          <w:rFonts w:ascii="Times New Roman" w:hAnsi="Times New Roman"/>
          <w:sz w:val="24"/>
          <w:szCs w:val="24"/>
        </w:rPr>
        <w:t xml:space="preserve">As the training neared its conclusion, program facilitators instructed the participants to tread water for ten minutes. </w:t>
      </w:r>
      <w:r w:rsidRPr="00700CC5">
        <w:rPr>
          <w:rFonts w:ascii="Times New Roman" w:hAnsi="Times New Roman"/>
          <w:i/>
          <w:iCs/>
          <w:sz w:val="24"/>
          <w:szCs w:val="24"/>
        </w:rPr>
        <w:t>Id</w:t>
      </w:r>
      <w:r w:rsidRPr="00700CC5">
        <w:rPr>
          <w:rFonts w:ascii="Times New Roman" w:hAnsi="Times New Roman"/>
          <w:sz w:val="24"/>
          <w:szCs w:val="24"/>
        </w:rPr>
        <w:t xml:space="preserve">. During this exercise, Mr. Sable went underwater and remained there for approximately ten seconds before being removed from the pool. </w:t>
      </w:r>
      <w:r w:rsidRPr="00700CC5">
        <w:rPr>
          <w:rFonts w:ascii="Times New Roman" w:hAnsi="Times New Roman"/>
          <w:i/>
          <w:iCs/>
          <w:sz w:val="24"/>
          <w:szCs w:val="24"/>
        </w:rPr>
        <w:t>Id</w:t>
      </w:r>
      <w:r w:rsidRPr="00700CC5">
        <w:rPr>
          <w:rFonts w:ascii="Times New Roman" w:hAnsi="Times New Roman"/>
          <w:sz w:val="24"/>
          <w:szCs w:val="24"/>
        </w:rPr>
        <w:t xml:space="preserve">. Once on the pool deck, BCPD Officer Sean </w:t>
      </w:r>
      <w:proofErr w:type="gramStart"/>
      <w:r w:rsidRPr="00700CC5">
        <w:rPr>
          <w:rFonts w:ascii="Times New Roman" w:hAnsi="Times New Roman"/>
          <w:sz w:val="24"/>
          <w:szCs w:val="24"/>
        </w:rPr>
        <w:t>Dietz (</w:t>
      </w:r>
      <w:r>
        <w:rPr>
          <w:rFonts w:ascii="Times New Roman" w:hAnsi="Times New Roman"/>
          <w:sz w:val="24"/>
          <w:szCs w:val="24"/>
        </w:rPr>
        <w:t>‘</w:t>
      </w:r>
      <w:proofErr w:type="gramEnd"/>
      <w:r w:rsidRPr="00700CC5">
        <w:rPr>
          <w:rFonts w:ascii="Times New Roman" w:hAnsi="Times New Roman"/>
          <w:sz w:val="24"/>
          <w:szCs w:val="24"/>
        </w:rPr>
        <w:t xml:space="preserve">Officer </w:t>
      </w:r>
      <w:proofErr w:type="gramStart"/>
      <w:r w:rsidRPr="00700CC5">
        <w:rPr>
          <w:rFonts w:ascii="Times New Roman" w:hAnsi="Times New Roman"/>
          <w:sz w:val="24"/>
          <w:szCs w:val="24"/>
        </w:rPr>
        <w:t>Dietz</w:t>
      </w:r>
      <w:r>
        <w:rPr>
          <w:rFonts w:ascii="Times New Roman" w:hAnsi="Times New Roman"/>
          <w:sz w:val="24"/>
          <w:szCs w:val="24"/>
        </w:rPr>
        <w:t>’</w:t>
      </w:r>
      <w:r w:rsidRPr="00700CC5">
        <w:rPr>
          <w:rFonts w:ascii="Times New Roman" w:hAnsi="Times New Roman"/>
          <w:sz w:val="24"/>
          <w:szCs w:val="24"/>
        </w:rPr>
        <w:t>)</w:t>
      </w:r>
      <w:proofErr w:type="gramEnd"/>
      <w:r w:rsidRPr="00700CC5">
        <w:rPr>
          <w:rFonts w:ascii="Times New Roman" w:hAnsi="Times New Roman"/>
          <w:sz w:val="24"/>
          <w:szCs w:val="24"/>
        </w:rPr>
        <w:t xml:space="preserve">, another medic, rendered assistance by patting Mr. Sable on the back and instructing him to </w:t>
      </w:r>
      <w:r>
        <w:rPr>
          <w:rFonts w:ascii="Times New Roman" w:hAnsi="Times New Roman"/>
          <w:sz w:val="24"/>
          <w:szCs w:val="24"/>
        </w:rPr>
        <w:t>‘</w:t>
      </w:r>
      <w:r w:rsidRPr="00700CC5">
        <w:rPr>
          <w:rFonts w:ascii="Times New Roman" w:hAnsi="Times New Roman"/>
          <w:sz w:val="24"/>
          <w:szCs w:val="24"/>
        </w:rPr>
        <w:t>cough it up.</w:t>
      </w:r>
      <w:r>
        <w:rPr>
          <w:rFonts w:ascii="Times New Roman" w:hAnsi="Times New Roman"/>
          <w:sz w:val="24"/>
          <w:szCs w:val="24"/>
        </w:rPr>
        <w:t>’</w:t>
      </w:r>
      <w:r w:rsidRPr="00700CC5">
        <w:rPr>
          <w:rFonts w:ascii="Times New Roman" w:hAnsi="Times New Roman"/>
          <w:sz w:val="24"/>
          <w:szCs w:val="24"/>
        </w:rPr>
        <w:t xml:space="preserve"> </w:t>
      </w:r>
      <w:r w:rsidRPr="00700CC5">
        <w:rPr>
          <w:rFonts w:ascii="Times New Roman" w:hAnsi="Times New Roman"/>
          <w:i/>
          <w:iCs/>
          <w:sz w:val="24"/>
          <w:szCs w:val="24"/>
        </w:rPr>
        <w:t>Id</w:t>
      </w:r>
      <w:r w:rsidRPr="00700CC5">
        <w:rPr>
          <w:rFonts w:ascii="Times New Roman" w:hAnsi="Times New Roman"/>
          <w:sz w:val="24"/>
          <w:szCs w:val="24"/>
        </w:rPr>
        <w:t xml:space="preserve">. Medic Sloman </w:t>
      </w:r>
      <w:r>
        <w:rPr>
          <w:rFonts w:ascii="Times New Roman" w:hAnsi="Times New Roman"/>
          <w:sz w:val="24"/>
          <w:szCs w:val="24"/>
        </w:rPr>
        <w:t>‘</w:t>
      </w:r>
      <w:r w:rsidRPr="00700CC5">
        <w:rPr>
          <w:rFonts w:ascii="Times New Roman" w:hAnsi="Times New Roman"/>
          <w:sz w:val="24"/>
          <w:szCs w:val="24"/>
        </w:rPr>
        <w:t xml:space="preserve">observed Mr. Sable to be cyanotic in the face, with fluid coming from his mouth, without a pulse, and apneic." </w:t>
      </w:r>
      <w:r w:rsidRPr="00700CC5">
        <w:rPr>
          <w:rFonts w:ascii="Times New Roman" w:hAnsi="Times New Roman"/>
          <w:i/>
          <w:iCs/>
          <w:sz w:val="24"/>
          <w:szCs w:val="24"/>
        </w:rPr>
        <w:t>Id</w:t>
      </w:r>
      <w:r w:rsidRPr="00700CC5">
        <w:rPr>
          <w:rFonts w:ascii="Times New Roman" w:hAnsi="Times New Roman"/>
          <w:sz w:val="24"/>
          <w:szCs w:val="24"/>
        </w:rPr>
        <w:t xml:space="preserve">. BCPD medics provided Medic Sloman with a bag valve </w:t>
      </w:r>
      <w:proofErr w:type="gramStart"/>
      <w:r w:rsidRPr="00700CC5">
        <w:rPr>
          <w:rFonts w:ascii="Times New Roman" w:hAnsi="Times New Roman"/>
          <w:sz w:val="24"/>
          <w:szCs w:val="24"/>
        </w:rPr>
        <w:t>mask</w:t>
      </w:r>
      <w:proofErr w:type="gramEnd"/>
      <w:r w:rsidRPr="00700CC5">
        <w:rPr>
          <w:rFonts w:ascii="Times New Roman" w:hAnsi="Times New Roman"/>
          <w:sz w:val="24"/>
          <w:szCs w:val="24"/>
        </w:rPr>
        <w:t xml:space="preserve"> manual resuscitator and O2 bottle to begin treating Mr. Sable, </w:t>
      </w:r>
      <w:r w:rsidRPr="001D0DEE">
        <w:rPr>
          <w:rFonts w:ascii="Times New Roman" w:hAnsi="Times New Roman"/>
          <w:b/>
          <w:bCs/>
          <w:sz w:val="24"/>
          <w:szCs w:val="24"/>
        </w:rPr>
        <w:t>but the mask was missing from the unit</w:t>
      </w:r>
      <w:r w:rsidRPr="00700CC5">
        <w:rPr>
          <w:rFonts w:ascii="Times New Roman" w:hAnsi="Times New Roman"/>
          <w:sz w:val="24"/>
          <w:szCs w:val="24"/>
        </w:rPr>
        <w:t xml:space="preserve">. </w:t>
      </w:r>
      <w:r>
        <w:rPr>
          <w:rFonts w:ascii="Times New Roman" w:hAnsi="Times New Roman"/>
          <w:sz w:val="24"/>
          <w:szCs w:val="24"/>
        </w:rPr>
        <w:t>[Emphasis added.]</w:t>
      </w:r>
    </w:p>
    <w:p w14:paraId="390A7A1D" w14:textId="77777777" w:rsidR="00EB2493" w:rsidRDefault="00EB2493" w:rsidP="00EB2493">
      <w:pPr>
        <w:spacing w:before="100" w:beforeAutospacing="1" w:after="100" w:afterAutospacing="1" w:line="240" w:lineRule="auto"/>
        <w:ind w:left="720"/>
        <w:rPr>
          <w:rFonts w:ascii="Times New Roman" w:hAnsi="Times New Roman"/>
          <w:sz w:val="24"/>
          <w:szCs w:val="24"/>
        </w:rPr>
      </w:pPr>
      <w:r w:rsidRPr="00700CC5">
        <w:rPr>
          <w:rFonts w:ascii="Times New Roman" w:hAnsi="Times New Roman"/>
          <w:sz w:val="24"/>
          <w:szCs w:val="24"/>
        </w:rPr>
        <w:t xml:space="preserve">For this reason, the manual resuscitator was inoperable for several additional minutes while medics searched for, and eventually obtained, a mask. </w:t>
      </w:r>
      <w:r w:rsidRPr="00700CC5">
        <w:rPr>
          <w:rFonts w:ascii="Times New Roman" w:hAnsi="Times New Roman"/>
          <w:i/>
          <w:iCs/>
          <w:sz w:val="24"/>
          <w:szCs w:val="24"/>
        </w:rPr>
        <w:t>Id</w:t>
      </w:r>
      <w:r w:rsidRPr="00700CC5">
        <w:rPr>
          <w:rFonts w:ascii="Times New Roman" w:hAnsi="Times New Roman"/>
          <w:sz w:val="24"/>
          <w:szCs w:val="24"/>
        </w:rPr>
        <w:t xml:space="preserve">. at 5. BCPD medics provided Mr. Sable with additional medical treatment, including the administration of five milligrams of epinephrine. </w:t>
      </w:r>
      <w:r w:rsidRPr="00700CC5">
        <w:rPr>
          <w:rFonts w:ascii="Times New Roman" w:hAnsi="Times New Roman"/>
          <w:i/>
          <w:iCs/>
          <w:sz w:val="24"/>
          <w:szCs w:val="24"/>
        </w:rPr>
        <w:t>Id</w:t>
      </w:r>
      <w:r w:rsidRPr="00700CC5">
        <w:rPr>
          <w:rFonts w:ascii="Times New Roman" w:hAnsi="Times New Roman"/>
          <w:sz w:val="24"/>
          <w:szCs w:val="24"/>
        </w:rPr>
        <w:t>.</w:t>
      </w:r>
    </w:p>
    <w:p w14:paraId="61FB6FD8"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5FE8BFC" w14:textId="77777777" w:rsidR="00EB2493" w:rsidRPr="00700CC5" w:rsidRDefault="00EB2493" w:rsidP="00EB2493">
      <w:pPr>
        <w:spacing w:before="100" w:beforeAutospacing="1" w:after="100" w:afterAutospacing="1" w:line="240" w:lineRule="auto"/>
        <w:ind w:left="720"/>
        <w:rPr>
          <w:rFonts w:ascii="Times New Roman" w:hAnsi="Times New Roman"/>
          <w:sz w:val="24"/>
          <w:szCs w:val="24"/>
        </w:rPr>
      </w:pPr>
      <w:r w:rsidRPr="00700CC5">
        <w:rPr>
          <w:rFonts w:ascii="Times New Roman" w:hAnsi="Times New Roman"/>
          <w:sz w:val="24"/>
          <w:szCs w:val="24"/>
        </w:rPr>
        <w:t>There is no dispute that Officers Dietz and Luck are public officials</w:t>
      </w:r>
      <w:r>
        <w:rPr>
          <w:rFonts w:ascii="Times New Roman" w:hAnsi="Times New Roman"/>
          <w:sz w:val="24"/>
          <w:szCs w:val="24"/>
        </w:rPr>
        <w:t xml:space="preserve">…. </w:t>
      </w:r>
      <w:r w:rsidRPr="00700CC5">
        <w:rPr>
          <w:rFonts w:ascii="Times New Roman" w:hAnsi="Times New Roman"/>
          <w:sz w:val="24"/>
          <w:szCs w:val="24"/>
        </w:rPr>
        <w:t xml:space="preserve">While Plaintiffs contend </w:t>
      </w:r>
      <w:proofErr w:type="gramStart"/>
      <w:r w:rsidRPr="00700CC5">
        <w:rPr>
          <w:rFonts w:ascii="Times New Roman" w:hAnsi="Times New Roman"/>
          <w:sz w:val="24"/>
          <w:szCs w:val="24"/>
        </w:rPr>
        <w:t>Defendants</w:t>
      </w:r>
      <w:proofErr w:type="gramEnd"/>
      <w:r w:rsidRPr="00700CC5">
        <w:rPr>
          <w:rFonts w:ascii="Times New Roman" w:hAnsi="Times New Roman"/>
          <w:sz w:val="24"/>
          <w:szCs w:val="24"/>
        </w:rPr>
        <w:t xml:space="preserve"> actions constitute ministerial acts, this Court finds that the Officer </w:t>
      </w:r>
      <w:proofErr w:type="gramStart"/>
      <w:r w:rsidRPr="00700CC5">
        <w:rPr>
          <w:rFonts w:ascii="Times New Roman" w:hAnsi="Times New Roman"/>
          <w:sz w:val="24"/>
          <w:szCs w:val="24"/>
        </w:rPr>
        <w:t>Defendants</w:t>
      </w:r>
      <w:proofErr w:type="gramEnd"/>
      <w:r w:rsidRPr="00700CC5">
        <w:rPr>
          <w:rFonts w:ascii="Times New Roman" w:hAnsi="Times New Roman"/>
          <w:sz w:val="24"/>
          <w:szCs w:val="24"/>
        </w:rPr>
        <w:t xml:space="preserve"> actions as alleged are clearly discretionary. The Officer Defendants exercised </w:t>
      </w:r>
      <w:r>
        <w:rPr>
          <w:rFonts w:ascii="Times New Roman" w:hAnsi="Times New Roman"/>
          <w:sz w:val="24"/>
          <w:szCs w:val="24"/>
        </w:rPr>
        <w:t>‘</w:t>
      </w:r>
      <w:r w:rsidRPr="00700CC5">
        <w:rPr>
          <w:rFonts w:ascii="Times New Roman" w:hAnsi="Times New Roman"/>
          <w:sz w:val="24"/>
          <w:szCs w:val="24"/>
        </w:rPr>
        <w:t>judgment in the absence of a hard and fast rule</w:t>
      </w:r>
      <w:r>
        <w:rPr>
          <w:rFonts w:ascii="Times New Roman" w:hAnsi="Times New Roman"/>
          <w:sz w:val="24"/>
          <w:szCs w:val="24"/>
        </w:rPr>
        <w:t>’</w:t>
      </w:r>
      <w:r w:rsidRPr="00700CC5">
        <w:rPr>
          <w:rFonts w:ascii="Times New Roman" w:hAnsi="Times New Roman"/>
          <w:sz w:val="24"/>
          <w:szCs w:val="24"/>
        </w:rPr>
        <w:t xml:space="preserve"> in supervising, implementing, and responding to the events that unfolded at the SWAT aquatic training exercise</w:t>
      </w:r>
      <w:r>
        <w:rPr>
          <w:rFonts w:ascii="Times New Roman" w:hAnsi="Times New Roman"/>
          <w:sz w:val="24"/>
          <w:szCs w:val="24"/>
        </w:rPr>
        <w:t xml:space="preserve">…. </w:t>
      </w:r>
      <w:r w:rsidRPr="00700CC5">
        <w:rPr>
          <w:rFonts w:ascii="Times New Roman" w:hAnsi="Times New Roman"/>
          <w:sz w:val="24"/>
          <w:szCs w:val="24"/>
        </w:rPr>
        <w:t>Accordingly, the Court agrees with the Officer Defendants that they are immune from liability for state common law torts</w:t>
      </w:r>
      <w:r>
        <w:rPr>
          <w:rFonts w:ascii="Times New Roman" w:hAnsi="Times New Roman"/>
          <w:sz w:val="24"/>
          <w:szCs w:val="24"/>
        </w:rPr>
        <w:t xml:space="preserve">.” </w:t>
      </w:r>
      <w:bookmarkStart w:id="451" w:name="_Hlk66949432"/>
      <w:r w:rsidR="00F00958">
        <w:fldChar w:fldCharType="begin"/>
      </w:r>
      <w:r w:rsidR="00F00958">
        <w:instrText xml:space="preserve"> HYPERLINK "https://casetext.com/case/sable-v-balt-cnty-govt" </w:instrText>
      </w:r>
      <w:r w:rsidR="00F00958">
        <w:fldChar w:fldCharType="separate"/>
      </w:r>
      <w:r w:rsidRPr="005672FA">
        <w:rPr>
          <w:rStyle w:val="Hyperlink"/>
          <w:rFonts w:ascii="Times New Roman" w:hAnsi="Times New Roman"/>
          <w:sz w:val="24"/>
          <w:szCs w:val="24"/>
        </w:rPr>
        <w:t>https://casetext.com/case/sable-v-balt-cnty-govt</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0F7E7288" w14:textId="77777777" w:rsidR="00EB2493" w:rsidRDefault="00EB2493" w:rsidP="00EB2493">
      <w:pPr>
        <w:spacing w:before="100" w:beforeAutospacing="1" w:after="100" w:afterAutospacing="1" w:line="240" w:lineRule="auto"/>
        <w:rPr>
          <w:rFonts w:ascii="Times New Roman" w:eastAsia="Times New Roman" w:hAnsi="Times New Roman"/>
          <w:b/>
          <w:bCs/>
          <w:sz w:val="24"/>
          <w:szCs w:val="24"/>
        </w:rPr>
      </w:pPr>
      <w:r w:rsidRPr="00D821D6">
        <w:rPr>
          <w:rFonts w:ascii="Times New Roman" w:eastAsia="Times New Roman" w:hAnsi="Times New Roman"/>
          <w:b/>
          <w:bCs/>
          <w:sz w:val="24"/>
          <w:szCs w:val="24"/>
        </w:rPr>
        <w:lastRenderedPageBreak/>
        <w:t xml:space="preserve">Legal Lesson Learned:  </w:t>
      </w:r>
      <w:r>
        <w:rPr>
          <w:rFonts w:ascii="Times New Roman" w:eastAsia="Times New Roman" w:hAnsi="Times New Roman"/>
          <w:b/>
          <w:bCs/>
          <w:sz w:val="24"/>
          <w:szCs w:val="24"/>
        </w:rPr>
        <w:t>The U.S. Supreme Court’s “shock the conscious” standard for Federal constitutional claims has greatly limited plaintiffs’ attempts to shirt the qualified immunity defense in state courts.</w:t>
      </w:r>
    </w:p>
    <w:p w14:paraId="00FC8C4C" w14:textId="77777777" w:rsidR="00EB2493" w:rsidRDefault="00EB2493" w:rsidP="00EB2493">
      <w:pPr>
        <w:spacing w:before="100" w:beforeAutospacing="1" w:after="100" w:afterAutospacing="1" w:line="240" w:lineRule="auto"/>
        <w:ind w:left="720"/>
        <w:rPr>
          <w:rFonts w:ascii="Times New Roman" w:hAnsi="Times New Roman"/>
          <w:b/>
          <w:bCs/>
          <w:sz w:val="24"/>
          <w:szCs w:val="24"/>
        </w:rPr>
      </w:pPr>
      <w:r w:rsidRPr="003A213C">
        <w:rPr>
          <w:rFonts w:ascii="Times New Roman" w:eastAsia="Times New Roman" w:hAnsi="Times New Roman"/>
          <w:sz w:val="24"/>
          <w:szCs w:val="24"/>
        </w:rPr>
        <w:t xml:space="preserve">Note: Other Federal cases involving training deaths have similarly applied the “shock the conscious” standard. </w:t>
      </w:r>
      <w:r>
        <w:rPr>
          <w:rFonts w:ascii="Times New Roman" w:eastAsia="Times New Roman" w:hAnsi="Times New Roman"/>
          <w:sz w:val="24"/>
          <w:szCs w:val="24"/>
        </w:rPr>
        <w:t xml:space="preserve"> See </w:t>
      </w:r>
      <w:r w:rsidRPr="00784B7D">
        <w:rPr>
          <w:rFonts w:ascii="Times New Roman" w:hAnsi="Times New Roman"/>
          <w:i/>
          <w:iCs/>
          <w:sz w:val="24"/>
          <w:szCs w:val="24"/>
        </w:rPr>
        <w:t>Waybright v. Frederick County</w:t>
      </w:r>
      <w:r w:rsidRPr="003A213C">
        <w:rPr>
          <w:rFonts w:ascii="Times New Roman" w:hAnsi="Times New Roman"/>
          <w:sz w:val="24"/>
          <w:szCs w:val="24"/>
        </w:rPr>
        <w:t>, 528 F.3</w:t>
      </w:r>
      <w:r w:rsidRPr="003A213C">
        <w:rPr>
          <w:rFonts w:ascii="Times New Roman" w:hAnsi="Times New Roman"/>
          <w:sz w:val="24"/>
          <w:szCs w:val="24"/>
          <w:vertAlign w:val="superscript"/>
        </w:rPr>
        <w:t>rd</w:t>
      </w:r>
      <w:r w:rsidRPr="003A213C">
        <w:rPr>
          <w:rFonts w:ascii="Times New Roman" w:hAnsi="Times New Roman"/>
          <w:sz w:val="24"/>
          <w:szCs w:val="24"/>
        </w:rPr>
        <w:t xml:space="preserve"> 199 (4th Cir. 2008), </w:t>
      </w:r>
      <w:hyperlink r:id="rId2204" w:history="1">
        <w:r w:rsidRPr="00784B7D">
          <w:rPr>
            <w:rStyle w:val="Hyperlink"/>
            <w:rFonts w:ascii="Times New Roman" w:hAnsi="Times New Roman"/>
            <w:sz w:val="24"/>
            <w:szCs w:val="24"/>
          </w:rPr>
          <w:t>https://casetext.com/case/waybright-v-frederick-county-2</w:t>
        </w:r>
      </w:hyperlink>
      <w:r w:rsidRPr="00784B7D">
        <w:rPr>
          <w:rFonts w:ascii="Times New Roman" w:hAnsi="Times New Roman"/>
          <w:sz w:val="24"/>
          <w:szCs w:val="24"/>
        </w:rPr>
        <w:t xml:space="preserve"> ,</w:t>
      </w:r>
      <w:r>
        <w:rPr>
          <w:rFonts w:ascii="Times New Roman" w:hAnsi="Times New Roman"/>
          <w:b/>
          <w:bCs/>
          <w:sz w:val="24"/>
          <w:szCs w:val="24"/>
        </w:rPr>
        <w:t xml:space="preserve"> </w:t>
      </w:r>
      <w:r w:rsidRPr="003A213C">
        <w:rPr>
          <w:rFonts w:ascii="Times New Roman" w:hAnsi="Times New Roman"/>
          <w:sz w:val="24"/>
          <w:szCs w:val="24"/>
        </w:rPr>
        <w:t>where recruit died in training on very hot day</w:t>
      </w:r>
      <w:r>
        <w:rPr>
          <w:rFonts w:ascii="Times New Roman" w:hAnsi="Times New Roman"/>
          <w:sz w:val="24"/>
          <w:szCs w:val="24"/>
        </w:rPr>
        <w:t xml:space="preserve"> and call to 911 was delayed. </w:t>
      </w:r>
      <w:r w:rsidRPr="003A213C">
        <w:rPr>
          <w:rFonts w:ascii="Times New Roman" w:hAnsi="Times New Roman"/>
          <w:sz w:val="24"/>
          <w:szCs w:val="24"/>
        </w:rPr>
        <w:t xml:space="preserve"> </w:t>
      </w:r>
      <w:r>
        <w:rPr>
          <w:rFonts w:ascii="Times New Roman" w:hAnsi="Times New Roman"/>
          <w:b/>
          <w:bCs/>
          <w:sz w:val="24"/>
          <w:szCs w:val="24"/>
        </w:rPr>
        <w:t>“</w:t>
      </w:r>
      <w:r w:rsidRPr="00FA2431">
        <w:rPr>
          <w:rFonts w:ascii="Times New Roman" w:hAnsi="Times New Roman"/>
          <w:sz w:val="24"/>
          <w:szCs w:val="24"/>
        </w:rPr>
        <w:t>This conduct is a far cry from shocking the conscience. It was, rather, as the Board of Inquiry concluded, an under-</w:t>
      </w:r>
      <w:proofErr w:type="gramStart"/>
      <w:r w:rsidRPr="00FA2431">
        <w:rPr>
          <w:rFonts w:ascii="Times New Roman" w:hAnsi="Times New Roman"/>
          <w:sz w:val="24"/>
          <w:szCs w:val="24"/>
        </w:rPr>
        <w:t>reaction —</w:t>
      </w:r>
      <w:proofErr w:type="gramEnd"/>
      <w:r w:rsidRPr="00FA2431">
        <w:rPr>
          <w:rFonts w:ascii="Times New Roman" w:hAnsi="Times New Roman"/>
          <w:sz w:val="24"/>
          <w:szCs w:val="24"/>
        </w:rPr>
        <w:t xml:space="preserve"> that is, a misjudgment. Whether it was a negligent misjudgment is not for us to say, but misjudgments such as these are "categorically beneath the threshold of constitutional due process." </w:t>
      </w:r>
      <w:r w:rsidRPr="00FA2431">
        <w:rPr>
          <w:rFonts w:ascii="Times New Roman" w:hAnsi="Times New Roman"/>
          <w:i/>
          <w:iCs/>
          <w:sz w:val="24"/>
          <w:szCs w:val="24"/>
        </w:rPr>
        <w:t>County of Sacramento</w:t>
      </w:r>
      <w:r>
        <w:rPr>
          <w:rFonts w:ascii="Times New Roman" w:hAnsi="Times New Roman"/>
          <w:i/>
          <w:iCs/>
          <w:sz w:val="24"/>
          <w:szCs w:val="24"/>
        </w:rPr>
        <w:t xml:space="preserve"> [v. Lewis]</w:t>
      </w:r>
      <w:r w:rsidRPr="00FA2431">
        <w:rPr>
          <w:rFonts w:ascii="Times New Roman" w:hAnsi="Times New Roman"/>
          <w:sz w:val="24"/>
          <w:szCs w:val="24"/>
        </w:rPr>
        <w:t xml:space="preserve">, </w:t>
      </w:r>
      <w:hyperlink r:id="rId2205" w:anchor="p849" w:history="1">
        <w:r w:rsidRPr="00FA2431">
          <w:rPr>
            <w:rStyle w:val="Hyperlink"/>
            <w:rFonts w:ascii="Times New Roman" w:hAnsi="Times New Roman"/>
            <w:sz w:val="24"/>
            <w:szCs w:val="24"/>
          </w:rPr>
          <w:t>523 U.S. at 849</w:t>
        </w:r>
      </w:hyperlink>
      <w:r w:rsidRPr="00FA2431">
        <w:rPr>
          <w:rFonts w:ascii="Times New Roman" w:hAnsi="Times New Roman"/>
          <w:sz w:val="24"/>
          <w:szCs w:val="24"/>
        </w:rPr>
        <w:t xml:space="preserve">, </w:t>
      </w:r>
      <w:hyperlink r:id="rId2206" w:history="1">
        <w:r w:rsidRPr="00FA2431">
          <w:rPr>
            <w:rStyle w:val="Hyperlink"/>
            <w:rFonts w:ascii="Times New Roman" w:hAnsi="Times New Roman"/>
            <w:sz w:val="24"/>
            <w:szCs w:val="24"/>
          </w:rPr>
          <w:t xml:space="preserve">118 </w:t>
        </w:r>
        <w:proofErr w:type="spellStart"/>
        <w:r w:rsidRPr="00FA2431">
          <w:rPr>
            <w:rStyle w:val="Hyperlink"/>
            <w:rFonts w:ascii="Times New Roman" w:hAnsi="Times New Roman"/>
            <w:sz w:val="24"/>
            <w:szCs w:val="24"/>
          </w:rPr>
          <w:t>S.Ct</w:t>
        </w:r>
        <w:proofErr w:type="spellEnd"/>
        <w:r w:rsidRPr="00FA2431">
          <w:rPr>
            <w:rStyle w:val="Hyperlink"/>
            <w:rFonts w:ascii="Times New Roman" w:hAnsi="Times New Roman"/>
            <w:sz w:val="24"/>
            <w:szCs w:val="24"/>
          </w:rPr>
          <w:t>. 1708</w:t>
        </w:r>
      </w:hyperlink>
      <w:r w:rsidRPr="00FA2431">
        <w:rPr>
          <w:rFonts w:ascii="Times New Roman" w:hAnsi="Times New Roman"/>
          <w:sz w:val="24"/>
          <w:szCs w:val="24"/>
        </w:rPr>
        <w:t>.</w:t>
      </w:r>
      <w:r>
        <w:rPr>
          <w:rFonts w:ascii="Times New Roman" w:hAnsi="Times New Roman"/>
          <w:sz w:val="24"/>
          <w:szCs w:val="24"/>
        </w:rPr>
        <w:t xml:space="preserve"> </w:t>
      </w:r>
    </w:p>
    <w:p w14:paraId="739EFE9F" w14:textId="77777777" w:rsidR="00EB2493" w:rsidRPr="00784B7D" w:rsidRDefault="00EB2493" w:rsidP="00EB2493">
      <w:pPr>
        <w:spacing w:before="100" w:beforeAutospacing="1" w:after="100" w:afterAutospacing="1" w:line="240" w:lineRule="auto"/>
        <w:ind w:left="720"/>
        <w:rPr>
          <w:rFonts w:ascii="Times New Roman" w:hAnsi="Times New Roman"/>
          <w:sz w:val="24"/>
          <w:szCs w:val="24"/>
        </w:rPr>
      </w:pPr>
      <w:r w:rsidRPr="006D1C6E">
        <w:rPr>
          <w:rFonts w:ascii="Times New Roman" w:eastAsia="Times New Roman" w:hAnsi="Times New Roman"/>
          <w:sz w:val="24"/>
          <w:szCs w:val="24"/>
        </w:rPr>
        <w:t xml:space="preserve">See also </w:t>
      </w:r>
      <w:r>
        <w:rPr>
          <w:rFonts w:ascii="Times New Roman" w:eastAsia="Times New Roman" w:hAnsi="Times New Roman"/>
          <w:sz w:val="24"/>
          <w:szCs w:val="24"/>
        </w:rPr>
        <w:t xml:space="preserve">training </w:t>
      </w:r>
      <w:r w:rsidRPr="006D1C6E">
        <w:rPr>
          <w:rFonts w:ascii="Times New Roman" w:eastAsia="Times New Roman" w:hAnsi="Times New Roman"/>
          <w:sz w:val="24"/>
          <w:szCs w:val="24"/>
        </w:rPr>
        <w:t xml:space="preserve">death of Baltimore recruit </w:t>
      </w:r>
      <w:r>
        <w:rPr>
          <w:rFonts w:ascii="Times New Roman" w:eastAsia="Times New Roman" w:hAnsi="Times New Roman"/>
          <w:sz w:val="24"/>
          <w:szCs w:val="24"/>
        </w:rPr>
        <w:t xml:space="preserve">Racheal Wilson </w:t>
      </w:r>
      <w:r w:rsidRPr="006D1C6E">
        <w:rPr>
          <w:rFonts w:ascii="Times New Roman" w:eastAsia="Times New Roman" w:hAnsi="Times New Roman"/>
          <w:sz w:val="24"/>
          <w:szCs w:val="24"/>
        </w:rPr>
        <w:t xml:space="preserve">in a townhouse live burn: </w:t>
      </w:r>
      <w:r w:rsidRPr="006D1C6E">
        <w:rPr>
          <w:rFonts w:ascii="Times New Roman" w:eastAsia="Times New Roman" w:hAnsi="Times New Roman"/>
          <w:sz w:val="24"/>
          <w:szCs w:val="24"/>
          <w:u w:val="single"/>
        </w:rPr>
        <w:t>Virginia Dean Slaughter v. City of Baltimore</w:t>
      </w:r>
      <w:r>
        <w:rPr>
          <w:rFonts w:ascii="Times New Roman" w:eastAsia="Times New Roman" w:hAnsi="Times New Roman"/>
          <w:sz w:val="24"/>
          <w:szCs w:val="24"/>
        </w:rPr>
        <w:t xml:space="preserve"> (4</w:t>
      </w:r>
      <w:r w:rsidRPr="00784B7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2012), </w:t>
      </w:r>
      <w:hyperlink r:id="rId2207" w:history="1">
        <w:r w:rsidRPr="002A3A0C">
          <w:rPr>
            <w:rStyle w:val="Hyperlink"/>
            <w:rFonts w:ascii="Times New Roman" w:eastAsia="Times New Roman" w:hAnsi="Times New Roman"/>
            <w:sz w:val="24"/>
            <w:szCs w:val="24"/>
          </w:rPr>
          <w:t>https://caselaw.findlaw.com/us-4th-circuit/1602456.html</w:t>
        </w:r>
      </w:hyperlink>
      <w:r>
        <w:rPr>
          <w:rFonts w:ascii="Times New Roman" w:eastAsia="Times New Roman" w:hAnsi="Times New Roman"/>
          <w:sz w:val="24"/>
          <w:szCs w:val="24"/>
        </w:rPr>
        <w:t xml:space="preserve">. </w:t>
      </w:r>
      <w:r w:rsidRPr="00784B7D">
        <w:rPr>
          <w:rFonts w:ascii="Times New Roman" w:eastAsia="Times New Roman" w:hAnsi="Times New Roman"/>
          <w:sz w:val="24"/>
          <w:szCs w:val="24"/>
        </w:rPr>
        <w:t>“</w:t>
      </w:r>
      <w:r w:rsidRPr="00784B7D">
        <w:rPr>
          <w:rFonts w:ascii="Times New Roman" w:hAnsi="Times New Roman"/>
          <w:sz w:val="24"/>
          <w:szCs w:val="24"/>
        </w:rPr>
        <w:t xml:space="preserve">The facts alleged in this case reveal a sad story that might well support state tort claims or other state law claims. </w:t>
      </w:r>
      <w:r w:rsidRPr="00784B7D">
        <w:rPr>
          <w:rFonts w:ascii="Times New Roman" w:hAnsi="Times New Roman"/>
          <w:sz w:val="24"/>
          <w:szCs w:val="24"/>
        </w:rPr>
        <w:t> </w:t>
      </w:r>
      <w:r w:rsidRPr="00784B7D">
        <w:rPr>
          <w:rFonts w:ascii="Times New Roman" w:hAnsi="Times New Roman"/>
          <w:sz w:val="24"/>
          <w:szCs w:val="24"/>
        </w:rPr>
        <w:t xml:space="preserve"> But </w:t>
      </w:r>
      <w:proofErr w:type="gramStart"/>
      <w:r w:rsidRPr="00784B7D">
        <w:rPr>
          <w:rFonts w:ascii="Times New Roman" w:hAnsi="Times New Roman"/>
          <w:sz w:val="24"/>
          <w:szCs w:val="24"/>
        </w:rPr>
        <w:t>to treat</w:t>
      </w:r>
      <w:proofErr w:type="gramEnd"/>
      <w:r w:rsidRPr="00784B7D">
        <w:rPr>
          <w:rFonts w:ascii="Times New Roman" w:hAnsi="Times New Roman"/>
          <w:sz w:val="24"/>
          <w:szCs w:val="24"/>
        </w:rPr>
        <w:t xml:space="preserve"> the Fire Department's conduct as a substantive due process violation would be to constitutionalize a state tort claim, which must only be done in the rarest of cases. </w:t>
      </w:r>
      <w:r w:rsidRPr="00784B7D">
        <w:rPr>
          <w:rFonts w:ascii="Times New Roman" w:hAnsi="Times New Roman"/>
          <w:sz w:val="24"/>
          <w:szCs w:val="24"/>
        </w:rPr>
        <w:t> </w:t>
      </w:r>
      <w:r w:rsidRPr="00784B7D">
        <w:rPr>
          <w:rFonts w:ascii="Times New Roman" w:hAnsi="Times New Roman"/>
          <w:sz w:val="24"/>
          <w:szCs w:val="24"/>
        </w:rPr>
        <w:t xml:space="preserve"> As we observed in </w:t>
      </w:r>
      <w:proofErr w:type="gramStart"/>
      <w:r w:rsidRPr="00784B7D">
        <w:rPr>
          <w:rFonts w:ascii="Times New Roman" w:hAnsi="Times New Roman"/>
          <w:i/>
          <w:iCs/>
          <w:sz w:val="24"/>
          <w:szCs w:val="24"/>
        </w:rPr>
        <w:t>Waybright</w:t>
      </w:r>
      <w:r w:rsidRPr="00784B7D">
        <w:rPr>
          <w:rFonts w:ascii="Times New Roman" w:hAnsi="Times New Roman"/>
          <w:sz w:val="24"/>
          <w:szCs w:val="24"/>
        </w:rPr>
        <w:t xml:space="preserve">, </w:t>
      </w:r>
      <w:r>
        <w:rPr>
          <w:rFonts w:ascii="Times New Roman" w:hAnsi="Times New Roman"/>
          <w:sz w:val="24"/>
          <w:szCs w:val="24"/>
        </w:rPr>
        <w:t>‘</w:t>
      </w:r>
      <w:proofErr w:type="gramEnd"/>
      <w:r w:rsidRPr="00784B7D">
        <w:rPr>
          <w:rFonts w:ascii="Times New Roman" w:hAnsi="Times New Roman"/>
          <w:sz w:val="24"/>
          <w:szCs w:val="24"/>
        </w:rPr>
        <w:t xml:space="preserve">where a claim sounds both in state tort law and substantive due process, state tort law is the rule and due process </w:t>
      </w:r>
      <w:proofErr w:type="gramStart"/>
      <w:r w:rsidRPr="00784B7D">
        <w:rPr>
          <w:rFonts w:ascii="Times New Roman" w:hAnsi="Times New Roman"/>
          <w:sz w:val="24"/>
          <w:szCs w:val="24"/>
        </w:rPr>
        <w:t>the</w:t>
      </w:r>
      <w:proofErr w:type="gramEnd"/>
      <w:r w:rsidRPr="00784B7D">
        <w:rPr>
          <w:rFonts w:ascii="Times New Roman" w:hAnsi="Times New Roman"/>
          <w:sz w:val="24"/>
          <w:szCs w:val="24"/>
        </w:rPr>
        <w:t xml:space="preserve"> distinct exception.</w:t>
      </w:r>
      <w:r>
        <w:rPr>
          <w:rFonts w:ascii="Times New Roman" w:hAnsi="Times New Roman"/>
          <w:sz w:val="24"/>
          <w:szCs w:val="24"/>
        </w:rPr>
        <w:t>’</w:t>
      </w:r>
      <w:r w:rsidRPr="00784B7D">
        <w:rPr>
          <w:rFonts w:ascii="Times New Roman" w:hAnsi="Times New Roman"/>
          <w:sz w:val="24"/>
          <w:szCs w:val="24"/>
        </w:rPr>
        <w:t xml:space="preserve"> </w:t>
      </w:r>
      <w:r w:rsidRPr="00784B7D">
        <w:rPr>
          <w:rFonts w:ascii="Times New Roman" w:hAnsi="Times New Roman"/>
          <w:sz w:val="24"/>
          <w:szCs w:val="24"/>
        </w:rPr>
        <w:t> </w:t>
      </w:r>
      <w:r w:rsidRPr="00784B7D">
        <w:rPr>
          <w:rFonts w:ascii="Times New Roman" w:hAnsi="Times New Roman"/>
          <w:sz w:val="24"/>
          <w:szCs w:val="24"/>
        </w:rPr>
        <w:t>528 F.3d at 205.</w:t>
      </w:r>
      <w:r>
        <w:rPr>
          <w:rFonts w:ascii="Times New Roman" w:hAnsi="Times New Roman"/>
          <w:sz w:val="24"/>
          <w:szCs w:val="24"/>
        </w:rPr>
        <w:t xml:space="preserve">” </w:t>
      </w:r>
    </w:p>
    <w:p w14:paraId="359B10C0" w14:textId="77777777" w:rsidR="00EB2493" w:rsidRPr="006D1C6E" w:rsidRDefault="00EB2493" w:rsidP="00EB2493">
      <w:pPr>
        <w:pStyle w:val="Heading1"/>
        <w:ind w:left="720"/>
        <w:rPr>
          <w:b w:val="0"/>
          <w:bCs w:val="0"/>
          <w:sz w:val="24"/>
          <w:szCs w:val="24"/>
        </w:rPr>
      </w:pPr>
      <w:bookmarkStart w:id="452" w:name="_Hlk66949488"/>
      <w:bookmarkEnd w:id="451"/>
      <w:r w:rsidRPr="006D1C6E">
        <w:rPr>
          <w:b w:val="0"/>
          <w:bCs w:val="0"/>
          <w:sz w:val="24"/>
          <w:szCs w:val="24"/>
        </w:rPr>
        <w:t>See also NIOSH Fire Fighter Fatality Report F2007-09</w:t>
      </w:r>
      <w:r>
        <w:rPr>
          <w:b w:val="0"/>
          <w:bCs w:val="0"/>
          <w:sz w:val="24"/>
          <w:szCs w:val="24"/>
        </w:rPr>
        <w:t xml:space="preserve"> on death of </w:t>
      </w:r>
      <w:r w:rsidRPr="00784B7D">
        <w:rPr>
          <w:b w:val="0"/>
          <w:bCs w:val="0"/>
          <w:sz w:val="24"/>
          <w:szCs w:val="24"/>
        </w:rPr>
        <w:t>Racheal Wilson:</w:t>
      </w:r>
      <w:r w:rsidRPr="006D1C6E">
        <w:rPr>
          <w:b w:val="0"/>
          <w:bCs w:val="0"/>
          <w:sz w:val="24"/>
          <w:szCs w:val="24"/>
        </w:rPr>
        <w:t xml:space="preserve"> </w:t>
      </w:r>
      <w:r>
        <w:rPr>
          <w:b w:val="0"/>
          <w:bCs w:val="0"/>
          <w:sz w:val="24"/>
          <w:szCs w:val="24"/>
        </w:rPr>
        <w:t>“</w:t>
      </w:r>
      <w:r w:rsidRPr="006D1C6E">
        <w:rPr>
          <w:b w:val="0"/>
          <w:bCs w:val="0"/>
          <w:sz w:val="24"/>
          <w:szCs w:val="24"/>
        </w:rPr>
        <w:t>Career Probationary Fire Fighter Dies While Participating in a Live-Fire Training Evolution at an Acquired Structure – Maryland</w:t>
      </w:r>
      <w:r>
        <w:rPr>
          <w:b w:val="0"/>
          <w:bCs w:val="0"/>
          <w:sz w:val="24"/>
          <w:szCs w:val="24"/>
        </w:rPr>
        <w:t xml:space="preserve">.” </w:t>
      </w:r>
      <w:r w:rsidRPr="006D1C6E">
        <w:rPr>
          <w:b w:val="0"/>
          <w:bCs w:val="0"/>
        </w:rPr>
        <w:t xml:space="preserve"> </w:t>
      </w:r>
      <w:hyperlink r:id="rId2208" w:history="1">
        <w:r w:rsidRPr="006D1C6E">
          <w:rPr>
            <w:rStyle w:val="Hyperlink"/>
            <w:b w:val="0"/>
            <w:bCs w:val="0"/>
            <w:sz w:val="24"/>
            <w:szCs w:val="24"/>
          </w:rPr>
          <w:t>https://www.cdc.gov/niosh/fire/reports/face200709.html</w:t>
        </w:r>
      </w:hyperlink>
      <w:bookmarkEnd w:id="452"/>
      <w:r w:rsidRPr="006D1C6E">
        <w:rPr>
          <w:b w:val="0"/>
          <w:bCs w:val="0"/>
          <w:sz w:val="24"/>
          <w:szCs w:val="24"/>
        </w:rPr>
        <w:t xml:space="preserve"> </w:t>
      </w:r>
    </w:p>
    <w:p w14:paraId="3ACB43AB" w14:textId="77777777" w:rsidR="00EB2493" w:rsidRDefault="00EB2493" w:rsidP="002B1283">
      <w:pPr>
        <w:rPr>
          <w:rFonts w:ascii="Arial Black" w:hAnsi="Arial Black"/>
          <w:b/>
          <w:bCs/>
          <w:sz w:val="28"/>
          <w:szCs w:val="28"/>
        </w:rPr>
      </w:pPr>
    </w:p>
    <w:p w14:paraId="7028E879" w14:textId="4D674C3F" w:rsidR="00EB2493" w:rsidRDefault="00EB2493" w:rsidP="002B1283">
      <w:pPr>
        <w:rPr>
          <w:rFonts w:ascii="Arial Black" w:hAnsi="Arial Black"/>
          <w:b/>
          <w:bCs/>
          <w:sz w:val="28"/>
          <w:szCs w:val="28"/>
        </w:rPr>
      </w:pPr>
      <w:r>
        <w:rPr>
          <w:rFonts w:ascii="Arial Black" w:hAnsi="Arial Black"/>
          <w:b/>
          <w:bCs/>
          <w:sz w:val="28"/>
          <w:szCs w:val="28"/>
        </w:rPr>
        <w:t>13-80</w:t>
      </w:r>
    </w:p>
    <w:p w14:paraId="7FFE0D85" w14:textId="77777777" w:rsidR="00EB2493" w:rsidRDefault="00EB2493" w:rsidP="00EB2493">
      <w:pPr>
        <w:rPr>
          <w:rFonts w:ascii="Arial Black" w:hAnsi="Arial Black"/>
          <w:sz w:val="28"/>
          <w:szCs w:val="28"/>
        </w:rPr>
      </w:pPr>
      <w:bookmarkStart w:id="453" w:name="_Hlk66949641"/>
      <w:r w:rsidRPr="00BC494E">
        <w:rPr>
          <w:rFonts w:ascii="Arial Black" w:hAnsi="Arial Black"/>
          <w:sz w:val="28"/>
          <w:szCs w:val="28"/>
        </w:rPr>
        <w:t>DE</w:t>
      </w:r>
      <w:r>
        <w:rPr>
          <w:rFonts w:ascii="Arial Black" w:hAnsi="Arial Black"/>
          <w:sz w:val="28"/>
          <w:szCs w:val="28"/>
        </w:rPr>
        <w:t xml:space="preserve">: EMT SLIP &amp; FALL IN PARKING LOT – “FIREMAN’S RULE” DOES NOT APPLY - CAN SUE PARKING LOT OWNER  </w:t>
      </w:r>
    </w:p>
    <w:p w14:paraId="5059B1EF" w14:textId="77777777" w:rsidR="00EB2493" w:rsidRDefault="00EB2493" w:rsidP="00EB2493">
      <w:pPr>
        <w:rPr>
          <w:rFonts w:ascii="Times New Roman" w:hAnsi="Times New Roman"/>
          <w:sz w:val="24"/>
          <w:szCs w:val="24"/>
        </w:rPr>
      </w:pPr>
      <w:r>
        <w:rPr>
          <w:rFonts w:ascii="Times New Roman" w:hAnsi="Times New Roman"/>
          <w:sz w:val="24"/>
          <w:szCs w:val="24"/>
        </w:rPr>
        <w:t xml:space="preserve">On Feb. 2, 2021, in </w:t>
      </w:r>
      <w:r w:rsidRPr="00BC494E">
        <w:rPr>
          <w:rFonts w:ascii="Times New Roman" w:hAnsi="Times New Roman"/>
          <w:sz w:val="24"/>
          <w:szCs w:val="24"/>
          <w:u w:val="single"/>
        </w:rPr>
        <w:t xml:space="preserve">Brandilyn Biggs v. </w:t>
      </w:r>
      <w:r w:rsidRPr="00CB5F0E">
        <w:rPr>
          <w:rFonts w:ascii="Times New Roman" w:hAnsi="Times New Roman"/>
          <w:sz w:val="24"/>
          <w:szCs w:val="24"/>
          <w:u w:val="single"/>
        </w:rPr>
        <w:t>Roberta C. Hall and B Merion II 1303 Wilmington, LLC</w:t>
      </w:r>
      <w:r w:rsidRPr="00BC494E">
        <w:rPr>
          <w:rFonts w:ascii="Times New Roman" w:hAnsi="Times New Roman"/>
          <w:sz w:val="24"/>
          <w:szCs w:val="24"/>
        </w:rPr>
        <w:t>,</w:t>
      </w:r>
      <w:r>
        <w:rPr>
          <w:rFonts w:ascii="Times New Roman" w:hAnsi="Times New Roman"/>
          <w:sz w:val="24"/>
          <w:szCs w:val="24"/>
        </w:rPr>
        <w:t xml:space="preserve"> J</w:t>
      </w:r>
      <w:r w:rsidRPr="00BC494E">
        <w:rPr>
          <w:rFonts w:ascii="Times New Roman" w:hAnsi="Times New Roman"/>
          <w:sz w:val="24"/>
          <w:szCs w:val="24"/>
        </w:rPr>
        <w:t>udge</w:t>
      </w:r>
      <w:r>
        <w:rPr>
          <w:rFonts w:ascii="Times New Roman" w:hAnsi="Times New Roman"/>
          <w:sz w:val="24"/>
          <w:szCs w:val="24"/>
        </w:rPr>
        <w:t xml:space="preserve"> Andrea L. Rocanelli, Superior Court of the State of Delaware, denied the defense motion for summary judgment, holding that the Fireman’s Rule does not apply to the EMT and she may sue parking lot owner for damages (including pain &amp; suffering).  </w:t>
      </w:r>
    </w:p>
    <w:p w14:paraId="1C0BF92A" w14:textId="77777777" w:rsidR="00EB2493" w:rsidRDefault="00EB2493" w:rsidP="00EB2493">
      <w:pPr>
        <w:ind w:left="720"/>
        <w:rPr>
          <w:rFonts w:ascii="Times New Roman" w:hAnsi="Times New Roman"/>
          <w:sz w:val="24"/>
          <w:szCs w:val="24"/>
        </w:rPr>
      </w:pPr>
      <w:r>
        <w:rPr>
          <w:rFonts w:ascii="Times New Roman" w:hAnsi="Times New Roman"/>
          <w:sz w:val="24"/>
          <w:szCs w:val="24"/>
        </w:rPr>
        <w:t>“</w:t>
      </w:r>
      <w:r w:rsidRPr="00BC494E">
        <w:rPr>
          <w:rFonts w:ascii="Times New Roman" w:hAnsi="Times New Roman"/>
          <w:sz w:val="24"/>
          <w:szCs w:val="24"/>
        </w:rPr>
        <w:t>The Firefighter's Rule shall not be extended to EMTs under the circumstances of this case. Biggs was owed the duty of reasonable care. Viewing the facts in the light most favorable to Biggs, there is a genuine issue of material fact regarding whether AB Merion was negligent in its duty to maintain the Parking Lot. Therefore, AB Merion is not entitled to summary judgment.</w:t>
      </w:r>
      <w:r>
        <w:rPr>
          <w:rFonts w:ascii="Times New Roman" w:hAnsi="Times New Roman"/>
          <w:sz w:val="24"/>
          <w:szCs w:val="24"/>
        </w:rPr>
        <w:t xml:space="preserve">” </w:t>
      </w:r>
      <w:hyperlink r:id="rId2209" w:history="1">
        <w:r w:rsidRPr="005D199E">
          <w:rPr>
            <w:rStyle w:val="Hyperlink"/>
            <w:rFonts w:ascii="Times New Roman" w:hAnsi="Times New Roman"/>
            <w:sz w:val="24"/>
            <w:szCs w:val="24"/>
          </w:rPr>
          <w:t>https://law.justia.com/cases/delaware/superior-court/2021/n17c-10-149-alr.html</w:t>
        </w:r>
      </w:hyperlink>
      <w:r>
        <w:rPr>
          <w:rFonts w:ascii="Times New Roman" w:hAnsi="Times New Roman"/>
          <w:sz w:val="24"/>
          <w:szCs w:val="24"/>
        </w:rPr>
        <w:t xml:space="preserve"> </w:t>
      </w:r>
    </w:p>
    <w:p w14:paraId="41E4EA4C" w14:textId="77777777" w:rsidR="00EB2493" w:rsidRDefault="00EB2493" w:rsidP="00EB2493">
      <w:pPr>
        <w:pStyle w:val="NormalWeb"/>
        <w:rPr>
          <w:b/>
          <w:bCs/>
        </w:rPr>
      </w:pPr>
      <w:r w:rsidRPr="003F0CA5">
        <w:rPr>
          <w:b/>
          <w:bCs/>
        </w:rPr>
        <w:t xml:space="preserve">Legal Lesson Learned:  In many states, including Ohio, the Fireman’s Rule normally would not allow fire, EMS or police to sue property </w:t>
      </w:r>
      <w:proofErr w:type="gramStart"/>
      <w:r w:rsidRPr="003F0CA5">
        <w:rPr>
          <w:b/>
          <w:bCs/>
        </w:rPr>
        <w:t>owner</w:t>
      </w:r>
      <w:proofErr w:type="gramEnd"/>
      <w:r w:rsidRPr="003F0CA5">
        <w:rPr>
          <w:b/>
          <w:bCs/>
        </w:rPr>
        <w:t xml:space="preserve"> for injuries; their sole remedy is workers comp. </w:t>
      </w:r>
    </w:p>
    <w:p w14:paraId="05FD2C32" w14:textId="77777777" w:rsidR="00EB2493" w:rsidRDefault="00EB2493" w:rsidP="00EB2493">
      <w:pPr>
        <w:pStyle w:val="NormalWeb"/>
        <w:ind w:left="720"/>
        <w:rPr>
          <w:b/>
          <w:bCs/>
        </w:rPr>
      </w:pPr>
      <w:r w:rsidRPr="003F0CA5">
        <w:t xml:space="preserve">Note: The Ohio Supreme Court in </w:t>
      </w:r>
      <w:proofErr w:type="spellStart"/>
      <w:r w:rsidRPr="003F0CA5">
        <w:rPr>
          <w:i/>
          <w:iCs/>
        </w:rPr>
        <w:t>Torchik</w:t>
      </w:r>
      <w:proofErr w:type="spellEnd"/>
      <w:r w:rsidRPr="003F0CA5">
        <w:rPr>
          <w:i/>
          <w:iCs/>
        </w:rPr>
        <w:t xml:space="preserve"> v. Boyce</w:t>
      </w:r>
      <w:r w:rsidRPr="003F0CA5">
        <w:t>, 121 Ohio St.3d 440, 2009-Ohio-1248 (March 25, 2009)</w:t>
      </w:r>
      <w:r>
        <w:t xml:space="preserve"> </w:t>
      </w:r>
      <w:r w:rsidRPr="003F0CA5">
        <w:t xml:space="preserve">did allow a deputy sheriff to sue the contractor who built the deck on a house and the steps collapsed as the deputy investigated a burglar alarm.  “Firefighters and police do not assume a special </w:t>
      </w:r>
      <w:r w:rsidRPr="003F0CA5">
        <w:lastRenderedPageBreak/>
        <w:t>risk of injury from the work of independent contractors when the risk of being injured by the contractor’s negligence applies equally to all. It would be illogical to insulate an independent contractor from a negligence claim simply because the person injured happened to be a police officer or firefighter acting in the scope of his or her official duties.</w:t>
      </w:r>
      <w:r>
        <w:t xml:space="preserve">” </w:t>
      </w:r>
      <w:hyperlink r:id="rId2210" w:history="1">
        <w:r w:rsidRPr="002A3A0C">
          <w:rPr>
            <w:rStyle w:val="Hyperlink"/>
            <w:sz w:val="25"/>
            <w:szCs w:val="25"/>
          </w:rPr>
          <w:t>https://www.supremecourt.ohio.gov/rod/docs/pdf/0/2009/2009-Ohio-1248.pdf</w:t>
        </w:r>
      </w:hyperlink>
      <w:r>
        <w:rPr>
          <w:sz w:val="25"/>
          <w:szCs w:val="25"/>
        </w:rPr>
        <w:t xml:space="preserve">, </w:t>
      </w:r>
    </w:p>
    <w:p w14:paraId="5C9531AF" w14:textId="77777777" w:rsidR="00EB2493" w:rsidRDefault="00EB2493" w:rsidP="00EB2493">
      <w:pPr>
        <w:pStyle w:val="NormalWeb"/>
        <w:ind w:left="720"/>
      </w:pPr>
      <w:r w:rsidRPr="0069017C">
        <w:t xml:space="preserve">Some states have abolished the Fireman’s Rule. </w:t>
      </w:r>
      <w:r>
        <w:t xml:space="preserve">For example, see </w:t>
      </w:r>
      <w:proofErr w:type="spellStart"/>
      <w:r>
        <w:t>Florida:Section</w:t>
      </w:r>
      <w:proofErr w:type="spellEnd"/>
      <w:r>
        <w:t xml:space="preserve"> 112.182 - "Firefighter rule" abolished. </w:t>
      </w:r>
      <w:hyperlink r:id="rId2211" w:history="1">
        <w:r w:rsidRPr="005D199E">
          <w:rPr>
            <w:rStyle w:val="Hyperlink"/>
          </w:rPr>
          <w:t>https://flsenate.gov/Laws/Statutes/2011/112.182</w:t>
        </w:r>
      </w:hyperlink>
      <w:bookmarkEnd w:id="453"/>
      <w:r>
        <w:t xml:space="preserve"> </w:t>
      </w:r>
    </w:p>
    <w:p w14:paraId="629FF744" w14:textId="77777777" w:rsidR="00EB2493" w:rsidRDefault="00EB2493" w:rsidP="00EB2493">
      <w:pPr>
        <w:spacing w:after="0" w:line="240" w:lineRule="auto"/>
        <w:ind w:left="1440"/>
        <w:rPr>
          <w:rFonts w:ascii="Times New Roman" w:eastAsia="Times New Roman" w:hAnsi="Times New Roman"/>
          <w:sz w:val="24"/>
          <w:szCs w:val="24"/>
        </w:rPr>
      </w:pPr>
      <w:r w:rsidRPr="0069017C">
        <w:rPr>
          <w:rFonts w:ascii="Times New Roman" w:eastAsia="Times New Roman" w:hAnsi="Times New Roman"/>
          <w:sz w:val="24"/>
          <w:szCs w:val="24"/>
        </w:rPr>
        <w:t>(1) A firefighter or properly identified law enforcement officer who lawfully enters upon the premises of another in the discharge of his or her duty occupies the status of an invitee. The common-law rule that such a firefighter or law enforcement officer occupies the status of a licensee is hereby abolished.</w:t>
      </w:r>
      <w:r>
        <w:rPr>
          <w:rFonts w:ascii="Times New Roman" w:eastAsia="Times New Roman" w:hAnsi="Times New Roman"/>
          <w:sz w:val="24"/>
          <w:szCs w:val="24"/>
        </w:rPr>
        <w:t xml:space="preserve"> </w:t>
      </w:r>
      <w:r w:rsidRPr="0069017C">
        <w:rPr>
          <w:rFonts w:ascii="Times New Roman" w:eastAsia="Times New Roman" w:hAnsi="Times New Roman"/>
          <w:sz w:val="24"/>
          <w:szCs w:val="24"/>
        </w:rPr>
        <w:t xml:space="preserve">(2) It is not the intent of this section to increase or diminish the duty of care owed by property owners to </w:t>
      </w:r>
      <w:proofErr w:type="gramStart"/>
      <w:r w:rsidRPr="0069017C">
        <w:rPr>
          <w:rFonts w:ascii="Times New Roman" w:eastAsia="Times New Roman" w:hAnsi="Times New Roman"/>
          <w:sz w:val="24"/>
          <w:szCs w:val="24"/>
        </w:rPr>
        <w:t>invitees</w:t>
      </w:r>
      <w:proofErr w:type="gramEnd"/>
      <w:r w:rsidRPr="0069017C">
        <w:rPr>
          <w:rFonts w:ascii="Times New Roman" w:eastAsia="Times New Roman" w:hAnsi="Times New Roman"/>
          <w:sz w:val="24"/>
          <w:szCs w:val="24"/>
        </w:rPr>
        <w:t>. Property owners shall be liable to invitees pursuant to this section only when the property owner negligently fails to maintain the premises in a reasonably safe condition or negligently fails to correct a dangerous condition of which the property owner either knew or should have known by the use of reasonable care or negligently fails to warn the invitee of a dangerous condition about which the property owner had, or should have had, knowledge greater than that of the invitee.</w:t>
      </w:r>
      <w:r>
        <w:rPr>
          <w:rFonts w:ascii="Times New Roman" w:eastAsia="Times New Roman" w:hAnsi="Times New Roman"/>
          <w:sz w:val="24"/>
          <w:szCs w:val="24"/>
        </w:rPr>
        <w:t xml:space="preserve"> </w:t>
      </w:r>
      <w:r w:rsidRPr="0069017C">
        <w:rPr>
          <w:rFonts w:ascii="Times New Roman" w:eastAsia="Times New Roman" w:hAnsi="Times New Roman"/>
          <w:sz w:val="24"/>
          <w:szCs w:val="24"/>
        </w:rPr>
        <w:t>Fla. Stat. § 112.182</w:t>
      </w:r>
    </w:p>
    <w:p w14:paraId="2DDDCCBD" w14:textId="77777777" w:rsidR="00EB2493" w:rsidRDefault="00EB2493" w:rsidP="00EB2493">
      <w:pPr>
        <w:spacing w:before="100" w:beforeAutospacing="1" w:after="100" w:afterAutospacing="1" w:line="240" w:lineRule="auto"/>
        <w:ind w:left="720"/>
      </w:pPr>
      <w:r>
        <w:rPr>
          <w:rFonts w:ascii="Times New Roman" w:eastAsia="Times New Roman" w:hAnsi="Times New Roman"/>
          <w:sz w:val="24"/>
          <w:szCs w:val="24"/>
        </w:rPr>
        <w:t xml:space="preserve">Some states, like New York, have modified the Fireman’s Rule to allow lawsuits for violations of building and fire codes.  See summary of law enforcement cases:  </w:t>
      </w:r>
      <w:hyperlink r:id="rId2212" w:history="1">
        <w:r w:rsidRPr="002A3A0C">
          <w:rPr>
            <w:rStyle w:val="Hyperlink"/>
            <w:rFonts w:ascii="Times New Roman" w:eastAsia="Times New Roman" w:hAnsi="Times New Roman"/>
            <w:sz w:val="24"/>
            <w:szCs w:val="24"/>
          </w:rPr>
          <w:t>https://www.aele.org/law/Digests/civil168b.html</w:t>
        </w:r>
      </w:hyperlink>
      <w:r>
        <w:rPr>
          <w:rFonts w:ascii="Times New Roman" w:eastAsia="Times New Roman" w:hAnsi="Times New Roman"/>
          <w:sz w:val="24"/>
          <w:szCs w:val="24"/>
        </w:rPr>
        <w:t xml:space="preserve"> </w:t>
      </w:r>
    </w:p>
    <w:p w14:paraId="0EE4F0FF" w14:textId="77777777" w:rsidR="00EB2493" w:rsidRDefault="00EB2493" w:rsidP="002B1283">
      <w:pPr>
        <w:rPr>
          <w:rFonts w:ascii="Arial Black" w:hAnsi="Arial Black"/>
          <w:b/>
          <w:bCs/>
          <w:sz w:val="28"/>
          <w:szCs w:val="28"/>
        </w:rPr>
      </w:pPr>
    </w:p>
    <w:p w14:paraId="4E7F4C35" w14:textId="77777777" w:rsidR="00EB2493" w:rsidRDefault="00EB2493" w:rsidP="002B1283">
      <w:pPr>
        <w:rPr>
          <w:rFonts w:ascii="Arial Black" w:hAnsi="Arial Black"/>
          <w:b/>
          <w:bCs/>
          <w:sz w:val="28"/>
          <w:szCs w:val="28"/>
        </w:rPr>
      </w:pPr>
    </w:p>
    <w:p w14:paraId="269A948E" w14:textId="49C610CC" w:rsidR="00AD5461" w:rsidRDefault="00AD5461" w:rsidP="002B1283">
      <w:pPr>
        <w:rPr>
          <w:rFonts w:ascii="Arial Black" w:hAnsi="Arial Black"/>
          <w:b/>
          <w:bCs/>
          <w:sz w:val="28"/>
          <w:szCs w:val="28"/>
        </w:rPr>
      </w:pPr>
      <w:r>
        <w:rPr>
          <w:rFonts w:ascii="Arial Black" w:hAnsi="Arial Black"/>
          <w:b/>
          <w:bCs/>
          <w:sz w:val="28"/>
          <w:szCs w:val="28"/>
        </w:rPr>
        <w:t>13-79</w:t>
      </w:r>
    </w:p>
    <w:p w14:paraId="73E9E960" w14:textId="77777777" w:rsidR="00AD5461" w:rsidRPr="00AA5E13" w:rsidRDefault="00AD5461" w:rsidP="00AD5461">
      <w:pPr>
        <w:rPr>
          <w:rFonts w:ascii="Arial Black" w:hAnsi="Arial Black"/>
          <w:b/>
          <w:bCs/>
          <w:sz w:val="28"/>
          <w:szCs w:val="28"/>
        </w:rPr>
      </w:pPr>
      <w:r>
        <w:rPr>
          <w:rFonts w:ascii="Arial Black" w:hAnsi="Arial Black"/>
          <w:b/>
          <w:bCs/>
          <w:sz w:val="28"/>
          <w:szCs w:val="28"/>
        </w:rPr>
        <w:t xml:space="preserve">CO:  EMS USED KETAMINE - 500 MILLIGRAMS – POLICE PRISONER WHO DIED – LAWSUIT PROCEED – GRAND JURY </w:t>
      </w:r>
    </w:p>
    <w:p w14:paraId="6FAB0EAB" w14:textId="77777777" w:rsidR="00AD5461" w:rsidRDefault="00AD5461" w:rsidP="00AD5461">
      <w:pPr>
        <w:rPr>
          <w:rFonts w:ascii="Times New Roman" w:hAnsi="Times New Roman"/>
          <w:sz w:val="24"/>
          <w:szCs w:val="24"/>
        </w:rPr>
      </w:pPr>
      <w:r w:rsidRPr="00416A48">
        <w:rPr>
          <w:rFonts w:ascii="Times New Roman" w:hAnsi="Times New Roman"/>
          <w:sz w:val="24"/>
          <w:szCs w:val="24"/>
        </w:rPr>
        <w:t xml:space="preserve">On Jan. 29, 2021, </w:t>
      </w:r>
      <w:r>
        <w:rPr>
          <w:rFonts w:ascii="Times New Roman" w:hAnsi="Times New Roman"/>
          <w:sz w:val="24"/>
          <w:szCs w:val="24"/>
        </w:rPr>
        <w:t xml:space="preserve">in </w:t>
      </w:r>
      <w:r w:rsidRPr="00416A48">
        <w:rPr>
          <w:rFonts w:ascii="Times New Roman" w:hAnsi="Times New Roman"/>
          <w:sz w:val="24"/>
          <w:szCs w:val="24"/>
          <w:u w:val="single"/>
        </w:rPr>
        <w:t>Estate of Elijah Javon McClain v. City of Aurora, Colorado</w:t>
      </w:r>
      <w:r>
        <w:rPr>
          <w:rFonts w:ascii="Times New Roman" w:hAnsi="Times New Roman"/>
          <w:sz w:val="24"/>
          <w:szCs w:val="24"/>
        </w:rPr>
        <w:t xml:space="preserve">, U.S. Magistrate Judge N. Reid </w:t>
      </w:r>
      <w:proofErr w:type="spellStart"/>
      <w:r>
        <w:rPr>
          <w:rFonts w:ascii="Times New Roman" w:hAnsi="Times New Roman"/>
          <w:sz w:val="24"/>
          <w:szCs w:val="24"/>
        </w:rPr>
        <w:t>Neureiter</w:t>
      </w:r>
      <w:proofErr w:type="spellEnd"/>
      <w:r>
        <w:rPr>
          <w:rFonts w:ascii="Times New Roman" w:hAnsi="Times New Roman"/>
          <w:sz w:val="24"/>
          <w:szCs w:val="24"/>
        </w:rPr>
        <w:t xml:space="preserve"> denied the defense motion to delay discovery in this civil lawsuit, even though the State Attorney General has publicly announced that he will be presenting evidence to a grand jury regarding possible criminal misconduct of police and EMS involving the death of 23-year old Elijah McClain during an arrest walking home from convenience store, and put into a choke hold.  The Colorado Department of Public Health and Environment has also publicly confirmed they are examining the conduct of the EMS. </w:t>
      </w:r>
    </w:p>
    <w:p w14:paraId="4BD4DF98" w14:textId="19547758" w:rsidR="00AD5461" w:rsidRPr="000410C9" w:rsidRDefault="00AD5461" w:rsidP="00AD5461">
      <w:pPr>
        <w:ind w:left="720"/>
        <w:rPr>
          <w:rFonts w:ascii="Times New Roman" w:hAnsi="Times New Roman"/>
          <w:sz w:val="24"/>
          <w:szCs w:val="24"/>
        </w:rPr>
      </w:pPr>
      <w:r>
        <w:rPr>
          <w:rFonts w:ascii="Times New Roman" w:hAnsi="Times New Roman"/>
          <w:sz w:val="24"/>
          <w:szCs w:val="24"/>
        </w:rPr>
        <w:t>“</w:t>
      </w:r>
      <w:r w:rsidRPr="000410C9">
        <w:rPr>
          <w:rFonts w:ascii="Times New Roman" w:hAnsi="Times New Roman"/>
          <w:sz w:val="24"/>
          <w:szCs w:val="24"/>
        </w:rPr>
        <w:t xml:space="preserve">It is not in the interest of the public or in the interest of justice to </w:t>
      </w:r>
      <w:r>
        <w:rPr>
          <w:rFonts w:ascii="Times New Roman" w:hAnsi="Times New Roman"/>
          <w:sz w:val="24"/>
          <w:szCs w:val="24"/>
        </w:rPr>
        <w:t>‘</w:t>
      </w:r>
      <w:r w:rsidRPr="000410C9">
        <w:rPr>
          <w:rFonts w:ascii="Times New Roman" w:hAnsi="Times New Roman"/>
          <w:sz w:val="24"/>
          <w:szCs w:val="24"/>
        </w:rPr>
        <w:t>put on the back burner</w:t>
      </w:r>
      <w:r>
        <w:rPr>
          <w:rFonts w:ascii="Times New Roman" w:hAnsi="Times New Roman"/>
          <w:sz w:val="24"/>
          <w:szCs w:val="24"/>
        </w:rPr>
        <w:t>’</w:t>
      </w:r>
      <w:r w:rsidRPr="000410C9">
        <w:rPr>
          <w:rFonts w:ascii="Times New Roman" w:hAnsi="Times New Roman"/>
          <w:sz w:val="24"/>
          <w:szCs w:val="24"/>
        </w:rPr>
        <w:t xml:space="preserve"> discovery in a case that raises significant questions about the City of Aurora's policing and paramedic practices. It may be that there is nothing constitutionally wrong with the conduct that eventually led to Mr. McClain's death. If so, then the public will be better served by knowing that hard reality, as fairly determined by the judicial process, sooner rather than later. In short, a stay of discovery is not appropriate in this case.</w:t>
      </w:r>
      <w:r>
        <w:rPr>
          <w:rFonts w:ascii="Times New Roman" w:hAnsi="Times New Roman"/>
          <w:sz w:val="24"/>
          <w:szCs w:val="24"/>
        </w:rPr>
        <w:t xml:space="preserve">” </w:t>
      </w:r>
      <w:hyperlink r:id="rId2213" w:history="1">
        <w:r w:rsidRPr="002D36F9">
          <w:rPr>
            <w:rStyle w:val="Hyperlink"/>
            <w:rFonts w:ascii="Times New Roman" w:hAnsi="Times New Roman"/>
            <w:sz w:val="24"/>
            <w:szCs w:val="24"/>
          </w:rPr>
          <w:t>https://public.fastcase.com/Wl%2B2t%2BeVuI35%2FN70vAMFZhZJi56QhK5aeAu9BSRcXQy3N2tA%2FHS1iSBZTTlZLCgr</w:t>
        </w:r>
      </w:hyperlink>
      <w:r>
        <w:rPr>
          <w:rFonts w:ascii="Times New Roman" w:hAnsi="Times New Roman"/>
          <w:sz w:val="24"/>
          <w:szCs w:val="24"/>
        </w:rPr>
        <w:t xml:space="preserve"> </w:t>
      </w:r>
    </w:p>
    <w:p w14:paraId="5033E1DA" w14:textId="77777777" w:rsidR="00AD5461" w:rsidRPr="000314A1" w:rsidRDefault="00AD5461" w:rsidP="00AD5461">
      <w:pPr>
        <w:pStyle w:val="Heading1"/>
        <w:tabs>
          <w:tab w:val="left" w:pos="2810"/>
        </w:tabs>
        <w:rPr>
          <w:sz w:val="24"/>
          <w:szCs w:val="24"/>
        </w:rPr>
      </w:pPr>
      <w:r w:rsidRPr="000314A1">
        <w:rPr>
          <w:sz w:val="24"/>
          <w:szCs w:val="24"/>
        </w:rPr>
        <w:lastRenderedPageBreak/>
        <w:t>Legal Lesson Learned</w:t>
      </w:r>
      <w:r>
        <w:rPr>
          <w:sz w:val="24"/>
          <w:szCs w:val="24"/>
        </w:rPr>
        <w:t>: Pre-trial discovery in the civil suit may now process, including depositions of police officers and EMS; these emergency responders may decide to refuse to testify under 5</w:t>
      </w:r>
      <w:r w:rsidRPr="000314A1">
        <w:rPr>
          <w:sz w:val="24"/>
          <w:szCs w:val="24"/>
          <w:vertAlign w:val="superscript"/>
        </w:rPr>
        <w:t>th</w:t>
      </w:r>
      <w:r>
        <w:rPr>
          <w:sz w:val="24"/>
          <w:szCs w:val="24"/>
        </w:rPr>
        <w:t xml:space="preserve"> Amendment protection against self-incrimination until the criminal investigation is resolved. </w:t>
      </w:r>
    </w:p>
    <w:p w14:paraId="716C53A4" w14:textId="77777777" w:rsidR="00AD5461" w:rsidRPr="000410C9" w:rsidRDefault="00AD5461" w:rsidP="00AD5461">
      <w:pPr>
        <w:pStyle w:val="Heading1"/>
        <w:ind w:left="720"/>
        <w:rPr>
          <w:b w:val="0"/>
          <w:bCs w:val="0"/>
          <w:sz w:val="24"/>
          <w:szCs w:val="24"/>
        </w:rPr>
      </w:pPr>
      <w:r>
        <w:rPr>
          <w:b w:val="0"/>
          <w:bCs w:val="0"/>
          <w:sz w:val="24"/>
          <w:szCs w:val="24"/>
        </w:rPr>
        <w:t xml:space="preserve">Note: </w:t>
      </w:r>
      <w:r w:rsidRPr="000410C9">
        <w:rPr>
          <w:b w:val="0"/>
          <w:bCs w:val="0"/>
          <w:sz w:val="24"/>
          <w:szCs w:val="24"/>
        </w:rPr>
        <w:t xml:space="preserve">Read this </w:t>
      </w:r>
      <w:r>
        <w:rPr>
          <w:b w:val="0"/>
          <w:bCs w:val="0"/>
          <w:sz w:val="24"/>
          <w:szCs w:val="24"/>
        </w:rPr>
        <w:t>entire A</w:t>
      </w:r>
      <w:r w:rsidRPr="000410C9">
        <w:rPr>
          <w:b w:val="0"/>
          <w:bCs w:val="0"/>
          <w:sz w:val="24"/>
          <w:szCs w:val="24"/>
        </w:rPr>
        <w:t xml:space="preserve">ug. 11, </w:t>
      </w:r>
      <w:proofErr w:type="gramStart"/>
      <w:r w:rsidRPr="000410C9">
        <w:rPr>
          <w:b w:val="0"/>
          <w:bCs w:val="0"/>
          <w:sz w:val="24"/>
          <w:szCs w:val="24"/>
        </w:rPr>
        <w:t>2021</w:t>
      </w:r>
      <w:proofErr w:type="gramEnd"/>
      <w:r w:rsidRPr="000410C9">
        <w:rPr>
          <w:b w:val="0"/>
          <w:bCs w:val="0"/>
          <w:sz w:val="24"/>
          <w:szCs w:val="24"/>
        </w:rPr>
        <w:t xml:space="preserve"> article: </w:t>
      </w:r>
      <w:r>
        <w:rPr>
          <w:b w:val="0"/>
          <w:bCs w:val="0"/>
          <w:sz w:val="24"/>
          <w:szCs w:val="24"/>
        </w:rPr>
        <w:t>“</w:t>
      </w:r>
      <w:r w:rsidRPr="000410C9">
        <w:rPr>
          <w:b w:val="0"/>
          <w:bCs w:val="0"/>
          <w:sz w:val="24"/>
          <w:szCs w:val="24"/>
        </w:rPr>
        <w:t>What We Know About the Killing of Elijah McClain</w:t>
      </w:r>
      <w:r>
        <w:rPr>
          <w:b w:val="0"/>
          <w:bCs w:val="0"/>
          <w:sz w:val="24"/>
          <w:szCs w:val="24"/>
        </w:rPr>
        <w:t xml:space="preserve">.” </w:t>
      </w:r>
      <w:hyperlink r:id="rId2214" w:history="1">
        <w:r w:rsidRPr="002F4AC3">
          <w:rPr>
            <w:rStyle w:val="Hyperlink"/>
            <w:b w:val="0"/>
            <w:bCs w:val="0"/>
            <w:sz w:val="24"/>
            <w:szCs w:val="24"/>
          </w:rPr>
          <w:t>https://www.thecut.com/2020/08/the-killing-of-elijah-mcclain-everything-we-know.html</w:t>
        </w:r>
      </w:hyperlink>
      <w:r>
        <w:rPr>
          <w:b w:val="0"/>
          <w:bCs w:val="0"/>
          <w:sz w:val="24"/>
          <w:szCs w:val="24"/>
        </w:rPr>
        <w:t xml:space="preserve"> </w:t>
      </w:r>
    </w:p>
    <w:p w14:paraId="578A68F8" w14:textId="77777777" w:rsidR="00AD5461" w:rsidRDefault="00AD5461" w:rsidP="002B1283">
      <w:pPr>
        <w:rPr>
          <w:rFonts w:ascii="Arial Black" w:hAnsi="Arial Black"/>
          <w:b/>
          <w:bCs/>
          <w:sz w:val="28"/>
          <w:szCs w:val="28"/>
        </w:rPr>
      </w:pPr>
    </w:p>
    <w:p w14:paraId="61142EE4" w14:textId="77777777" w:rsidR="00AD5461" w:rsidRDefault="00AD5461" w:rsidP="002B1283">
      <w:pPr>
        <w:rPr>
          <w:rFonts w:ascii="Arial Black" w:hAnsi="Arial Black"/>
          <w:b/>
          <w:bCs/>
          <w:sz w:val="28"/>
          <w:szCs w:val="28"/>
        </w:rPr>
      </w:pPr>
    </w:p>
    <w:p w14:paraId="6A206B8B" w14:textId="77777777" w:rsidR="00AD5461" w:rsidRDefault="00AD5461" w:rsidP="002B1283">
      <w:pPr>
        <w:rPr>
          <w:rFonts w:ascii="Arial Black" w:hAnsi="Arial Black"/>
          <w:b/>
          <w:bCs/>
          <w:sz w:val="28"/>
          <w:szCs w:val="28"/>
        </w:rPr>
      </w:pPr>
    </w:p>
    <w:p w14:paraId="230D1CD9" w14:textId="5E57D201" w:rsidR="00F37F48" w:rsidRDefault="00F37F48" w:rsidP="002B1283">
      <w:pPr>
        <w:rPr>
          <w:rFonts w:ascii="Arial Black" w:hAnsi="Arial Black"/>
          <w:b/>
          <w:bCs/>
          <w:sz w:val="28"/>
          <w:szCs w:val="28"/>
        </w:rPr>
      </w:pPr>
      <w:r>
        <w:rPr>
          <w:rFonts w:ascii="Arial Black" w:hAnsi="Arial Black"/>
          <w:b/>
          <w:bCs/>
          <w:sz w:val="28"/>
          <w:szCs w:val="28"/>
        </w:rPr>
        <w:t>13-78</w:t>
      </w:r>
    </w:p>
    <w:p w14:paraId="311238AD" w14:textId="77777777" w:rsidR="00F37F48" w:rsidRDefault="00F37F48" w:rsidP="00F37F48">
      <w:pPr>
        <w:rPr>
          <w:rFonts w:ascii="Arial Black" w:hAnsi="Arial Black" w:cstheme="minorBidi"/>
          <w:sz w:val="28"/>
          <w:szCs w:val="28"/>
        </w:rPr>
      </w:pPr>
      <w:r>
        <w:rPr>
          <w:rFonts w:ascii="Arial Black" w:hAnsi="Arial Black"/>
          <w:sz w:val="28"/>
          <w:szCs w:val="28"/>
        </w:rPr>
        <w:t>MA: EMS RUN REPORT DOCUMENTED VICTIM’S “EXCITED UTTERANCES” – ADMISSIBLE IN HUSBAND’S ASSAULT TRIAL</w:t>
      </w:r>
    </w:p>
    <w:p w14:paraId="2315244F"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31, 2020, in </w:t>
      </w:r>
      <w:r>
        <w:rPr>
          <w:rFonts w:ascii="Times New Roman" w:eastAsia="Times New Roman" w:hAnsi="Times New Roman"/>
          <w:sz w:val="24"/>
          <w:szCs w:val="24"/>
          <w:u w:val="single"/>
        </w:rPr>
        <w:t>Commonwealth v. Chayanne Toledo</w:t>
      </w:r>
      <w:r>
        <w:rPr>
          <w:rFonts w:ascii="Times New Roman" w:eastAsia="Times New Roman" w:hAnsi="Times New Roman"/>
          <w:sz w:val="24"/>
          <w:szCs w:val="24"/>
        </w:rPr>
        <w:t xml:space="preserve">, the Commonwealth of Massachusetts Appeals Court held (3 to 0) that trial judge properly allowed EMS patient care report, quoting with wife’s comments at scene, allowed in evidence as record of her “excited utterances” even though she refused to testify at trial relying on the husband-wife privilege. </w:t>
      </w:r>
    </w:p>
    <w:p w14:paraId="7D1EADE8" w14:textId="77777777" w:rsidR="00F37F48" w:rsidRDefault="00F37F48" w:rsidP="00F37F4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“First, in light of the evidence that Sally was crying, agitated, and in pain when she spoke with the EMTs, the judge’s ruling that her statements during the examination qualified as excited utterances was not an abuse of discretion.” </w:t>
      </w:r>
      <w:hyperlink r:id="rId2215" w:history="1">
        <w:r>
          <w:rPr>
            <w:rStyle w:val="Hyperlink"/>
          </w:rPr>
          <w:t>https://public.fastcase.com/Wl%2B2t%2BeVuI35%2FN70vAMFZswpqbyXpWGBMOIhfQ%2Fu%2FM0PzW3B3UkJbasWbumeQ3Ct</w:t>
        </w:r>
      </w:hyperlink>
      <w:r>
        <w:rPr>
          <w:rFonts w:ascii="Times New Roman" w:eastAsia="Times New Roman" w:hAnsi="Times New Roman"/>
          <w:sz w:val="24"/>
          <w:szCs w:val="24"/>
        </w:rPr>
        <w:t xml:space="preserve"> </w:t>
      </w:r>
    </w:p>
    <w:p w14:paraId="5EE839E8"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Best practice to include in EMS Patient Care Report the actual words of the victim. </w:t>
      </w:r>
    </w:p>
    <w:p w14:paraId="383DAC92" w14:textId="77777777" w:rsidR="00F37F48" w:rsidRDefault="00F37F48" w:rsidP="002B1283">
      <w:pPr>
        <w:rPr>
          <w:rFonts w:ascii="Arial Black" w:hAnsi="Arial Black"/>
          <w:b/>
          <w:bCs/>
          <w:sz w:val="28"/>
          <w:szCs w:val="28"/>
        </w:rPr>
      </w:pPr>
    </w:p>
    <w:p w14:paraId="162EB13D" w14:textId="0A8708BC" w:rsidR="00F37F48" w:rsidRDefault="00F37F48" w:rsidP="002B1283">
      <w:pPr>
        <w:rPr>
          <w:rFonts w:ascii="Arial Black" w:hAnsi="Arial Black"/>
          <w:b/>
          <w:bCs/>
          <w:sz w:val="28"/>
          <w:szCs w:val="28"/>
        </w:rPr>
      </w:pPr>
      <w:r>
        <w:rPr>
          <w:rFonts w:ascii="Arial Black" w:hAnsi="Arial Black"/>
          <w:b/>
          <w:bCs/>
          <w:sz w:val="28"/>
          <w:szCs w:val="28"/>
        </w:rPr>
        <w:t>13-77</w:t>
      </w:r>
    </w:p>
    <w:p w14:paraId="701F0CFF" w14:textId="77777777" w:rsidR="00F37F48" w:rsidRDefault="00F37F48" w:rsidP="00F37F48">
      <w:pPr>
        <w:rPr>
          <w:rFonts w:ascii="Arial Black" w:eastAsia="Times New Roman" w:hAnsi="Arial Black"/>
          <w:b/>
          <w:bCs/>
          <w:sz w:val="28"/>
          <w:szCs w:val="28"/>
        </w:rPr>
      </w:pPr>
      <w:r>
        <w:rPr>
          <w:rFonts w:ascii="Arial Black" w:eastAsia="Times New Roman" w:hAnsi="Arial Black"/>
          <w:b/>
          <w:bCs/>
          <w:sz w:val="28"/>
          <w:szCs w:val="28"/>
        </w:rPr>
        <w:t>IL: ASTHMA PATIENT INTUBATED, BUT IN ESOPHAGUS –EMS FOLLOWED TRAINING ASSESSING PATIENT – CITY IMMUNITY</w:t>
      </w:r>
    </w:p>
    <w:p w14:paraId="7242892C"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28, 2020, in </w:t>
      </w:r>
      <w:r>
        <w:rPr>
          <w:rFonts w:ascii="Times New Roman" w:eastAsia="Times New Roman" w:hAnsi="Times New Roman"/>
          <w:sz w:val="24"/>
          <w:szCs w:val="24"/>
          <w:u w:val="single"/>
        </w:rPr>
        <w:t>Sally Gray, as Administrator of the Estate of Amanda Gary v. The City of Calumet City</w:t>
      </w:r>
      <w:r>
        <w:rPr>
          <w:rFonts w:ascii="Times New Roman" w:eastAsia="Times New Roman" w:hAnsi="Times New Roman"/>
          <w:b/>
          <w:bCs/>
          <w:sz w:val="24"/>
          <w:szCs w:val="24"/>
        </w:rPr>
        <w:t xml:space="preserve">, </w:t>
      </w:r>
      <w:r>
        <w:rPr>
          <w:rFonts w:ascii="Times New Roman" w:eastAsia="Times New Roman" w:hAnsi="Times New Roman"/>
          <w:sz w:val="24"/>
          <w:szCs w:val="24"/>
        </w:rPr>
        <w:t>the</w:t>
      </w:r>
      <w:r>
        <w:rPr>
          <w:rFonts w:ascii="Times New Roman" w:eastAsia="Times New Roman" w:hAnsi="Times New Roman"/>
          <w:b/>
          <w:bCs/>
          <w:sz w:val="24"/>
          <w:szCs w:val="24"/>
        </w:rPr>
        <w:t xml:space="preserve"> </w:t>
      </w:r>
      <w:r>
        <w:rPr>
          <w:rFonts w:ascii="Times New Roman" w:eastAsia="Times New Roman" w:hAnsi="Times New Roman"/>
          <w:sz w:val="24"/>
          <w:szCs w:val="24"/>
        </w:rPr>
        <w:t>Appellate Court of Illinois, First District (First Division), 2020 IL App (1</w:t>
      </w:r>
      <w:r>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191812, held (4 to 0, unreported decision) that the trial court properly granted summary judgment to the City; plaintiff argued that in assessing intubation, medics did not document O2 SAT from pulse ox, but FD training officer confirmed better methods of assessing placement of ET tube.  </w:t>
      </w:r>
    </w:p>
    <w:p w14:paraId="7D95449B" w14:textId="77777777" w:rsidR="00F37F48" w:rsidRDefault="00F37F48" w:rsidP="00F37F4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“[D]</w:t>
      </w:r>
      <w:proofErr w:type="spellStart"/>
      <w:r>
        <w:rPr>
          <w:rFonts w:ascii="Times New Roman" w:eastAsia="Times New Roman" w:hAnsi="Times New Roman"/>
          <w:sz w:val="24"/>
          <w:szCs w:val="24"/>
        </w:rPr>
        <w:t>eputy</w:t>
      </w:r>
      <w:proofErr w:type="spellEnd"/>
      <w:r>
        <w:rPr>
          <w:rFonts w:ascii="Times New Roman" w:eastAsia="Times New Roman" w:hAnsi="Times New Roman"/>
          <w:sz w:val="24"/>
          <w:szCs w:val="24"/>
        </w:rPr>
        <w:t xml:space="preserve"> fire chief Peter Bendinelli, who </w:t>
      </w:r>
      <w:proofErr w:type="gramStart"/>
      <w:r>
        <w:rPr>
          <w:rFonts w:ascii="Times New Roman" w:eastAsia="Times New Roman" w:hAnsi="Times New Roman"/>
          <w:sz w:val="24"/>
          <w:szCs w:val="24"/>
        </w:rPr>
        <w:t>was in charge of</w:t>
      </w:r>
      <w:proofErr w:type="gramEnd"/>
      <w:r>
        <w:rPr>
          <w:rFonts w:ascii="Times New Roman" w:eastAsia="Times New Roman" w:hAnsi="Times New Roman"/>
          <w:sz w:val="24"/>
          <w:szCs w:val="24"/>
        </w:rPr>
        <w:t xml:space="preserve"> the fire department’s emergency medical services training from 2009 to 2017, opined that pulse oximeter readings were not important in assessing </w:t>
      </w:r>
      <w:r>
        <w:rPr>
          <w:rFonts w:ascii="Times New Roman" w:eastAsia="Times New Roman" w:hAnsi="Times New Roman"/>
          <w:sz w:val="24"/>
          <w:szCs w:val="24"/>
        </w:rPr>
        <w:lastRenderedPageBreak/>
        <w:t xml:space="preserve">an intubation. He gave two reasons: First, the </w:t>
      </w:r>
      <w:proofErr w:type="gramStart"/>
      <w:r>
        <w:rPr>
          <w:rFonts w:ascii="Times New Roman" w:eastAsia="Times New Roman" w:hAnsi="Times New Roman"/>
          <w:sz w:val="24"/>
          <w:szCs w:val="24"/>
        </w:rPr>
        <w:t>readings</w:t>
      </w:r>
      <w:proofErr w:type="gramEnd"/>
      <w:r>
        <w:rPr>
          <w:rFonts w:ascii="Times New Roman" w:eastAsia="Times New Roman" w:hAnsi="Times New Roman"/>
          <w:sz w:val="24"/>
          <w:szCs w:val="24"/>
        </w:rPr>
        <w:t xml:space="preserve"> might be inaccurate. Second, even if accurate, a drop in blood oxygen levels might be caused by patient heart failure rather than an error in intubation. Thus, rather than relying on a pulse oximeter, Bendinelli would consider lung and abdominal sounds, chest rise and fall, CO</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monitoring, the presence of condensation on the breathing tube, and the color of the patient’s skin. Bendinelli trained ambulance crews in accordance with this protocol.</w:t>
      </w:r>
    </w:p>
    <w:p w14:paraId="6275F69A" w14:textId="77777777" w:rsidR="00F37F48" w:rsidRDefault="00F37F48" w:rsidP="00F37F48">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 xml:space="preserve">To defeat summary judgment, plaintiff would have had to present evidence that the </w:t>
      </w:r>
      <w:proofErr w:type="gramStart"/>
      <w:r>
        <w:rPr>
          <w:rFonts w:ascii="Times New Roman" w:hAnsi="Times New Roman"/>
          <w:sz w:val="24"/>
          <w:szCs w:val="24"/>
        </w:rPr>
        <w:t>City</w:t>
      </w:r>
      <w:proofErr w:type="gramEnd"/>
      <w:r>
        <w:rPr>
          <w:rFonts w:ascii="Times New Roman" w:hAnsi="Times New Roman"/>
          <w:sz w:val="24"/>
          <w:szCs w:val="24"/>
        </w:rPr>
        <w:t xml:space="preserve"> either knew </w:t>
      </w:r>
      <w:r>
        <w:rPr>
          <w:rFonts w:ascii="Times New Roman" w:eastAsia="Times New Roman" w:hAnsi="Times New Roman"/>
          <w:sz w:val="24"/>
          <w:szCs w:val="24"/>
        </w:rPr>
        <w:t xml:space="preserve">[Deputy fire chief] </w:t>
      </w:r>
      <w:r>
        <w:rPr>
          <w:rFonts w:ascii="Times New Roman" w:hAnsi="Times New Roman"/>
          <w:sz w:val="24"/>
          <w:szCs w:val="24"/>
        </w:rPr>
        <w:t xml:space="preserve">Bendinelli’s training imperiled patients or that the </w:t>
      </w:r>
      <w:proofErr w:type="gramStart"/>
      <w:r>
        <w:rPr>
          <w:rFonts w:ascii="Times New Roman" w:hAnsi="Times New Roman"/>
          <w:sz w:val="24"/>
          <w:szCs w:val="24"/>
        </w:rPr>
        <w:t>City</w:t>
      </w:r>
      <w:proofErr w:type="gramEnd"/>
      <w:r>
        <w:rPr>
          <w:rFonts w:ascii="Times New Roman" w:hAnsi="Times New Roman"/>
          <w:sz w:val="24"/>
          <w:szCs w:val="24"/>
        </w:rPr>
        <w:t xml:space="preserve"> failed to recognize this danger through recklessness. </w:t>
      </w:r>
      <w:r>
        <w:rPr>
          <w:rFonts w:ascii="Times New Roman" w:hAnsi="Times New Roman"/>
          <w:i/>
          <w:iCs/>
          <w:sz w:val="24"/>
          <w:szCs w:val="24"/>
        </w:rPr>
        <w:t>Affatato v</w:t>
      </w:r>
      <w:r>
        <w:rPr>
          <w:rFonts w:ascii="Times New Roman" w:hAnsi="Times New Roman"/>
          <w:sz w:val="24"/>
          <w:szCs w:val="24"/>
        </w:rPr>
        <w:t xml:space="preserve">. </w:t>
      </w:r>
      <w:r>
        <w:rPr>
          <w:rFonts w:ascii="Times New Roman" w:hAnsi="Times New Roman"/>
          <w:i/>
          <w:iCs/>
          <w:sz w:val="24"/>
          <w:szCs w:val="24"/>
        </w:rPr>
        <w:t>Jewel Cos</w:t>
      </w:r>
      <w:r>
        <w:rPr>
          <w:rFonts w:ascii="Times New Roman" w:hAnsi="Times New Roman"/>
          <w:sz w:val="24"/>
          <w:szCs w:val="24"/>
        </w:rPr>
        <w:t xml:space="preserve">., 259 Ill. App. 3d 787, 800 (1994). Plaintiff presented no such evidence. On the contrary, all three of Amanda’s treating physicians corroborated Bendinelli’s statement that pulse oximeter readings can be inaccurate. </w:t>
      </w:r>
      <w:proofErr w:type="gramStart"/>
      <w:r>
        <w:rPr>
          <w:rFonts w:ascii="Times New Roman" w:hAnsi="Times New Roman"/>
          <w:sz w:val="24"/>
          <w:szCs w:val="24"/>
        </w:rPr>
        <w:t>In light of</w:t>
      </w:r>
      <w:proofErr w:type="gramEnd"/>
      <w:r>
        <w:rPr>
          <w:rFonts w:ascii="Times New Roman" w:hAnsi="Times New Roman"/>
          <w:sz w:val="24"/>
          <w:szCs w:val="24"/>
        </w:rPr>
        <w:t xml:space="preserve"> their testimony, plaintiff has not presented an issue of fact as to whether Bendinelli’s training reflects an utter indifference to patients’ safety. </w:t>
      </w:r>
      <w:hyperlink r:id="rId2216" w:history="1">
        <w:r>
          <w:rPr>
            <w:rStyle w:val="Hyperlink"/>
          </w:rPr>
          <w:t>https://public.fastcase.com/Wl%2B2t%2BeVuI35%2FN70vAMFZhgQRMSlTmc31zPzZvHhe6G3UFiDUpDiHM1BEG64P0h7</w:t>
        </w:r>
      </w:hyperlink>
      <w:r>
        <w:rPr>
          <w:rFonts w:ascii="Times New Roman" w:hAnsi="Times New Roman"/>
          <w:sz w:val="24"/>
          <w:szCs w:val="24"/>
        </w:rPr>
        <w:t xml:space="preserve"> </w:t>
      </w:r>
    </w:p>
    <w:p w14:paraId="4D7FE6E5" w14:textId="77777777" w:rsidR="00F37F48" w:rsidRDefault="00F37F48" w:rsidP="00F37F48">
      <w:pPr>
        <w:tabs>
          <w:tab w:val="left" w:pos="3060"/>
        </w:tabs>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Follow EMS protocols when confirming intubation was properly </w:t>
      </w:r>
      <w:proofErr w:type="gramStart"/>
      <w:r>
        <w:rPr>
          <w:rFonts w:ascii="Times New Roman" w:hAnsi="Times New Roman"/>
          <w:b/>
          <w:bCs/>
          <w:sz w:val="24"/>
          <w:szCs w:val="24"/>
        </w:rPr>
        <w:t>placed, and</w:t>
      </w:r>
      <w:proofErr w:type="gramEnd"/>
      <w:r>
        <w:rPr>
          <w:rFonts w:ascii="Times New Roman" w:hAnsi="Times New Roman"/>
          <w:b/>
          <w:bCs/>
          <w:sz w:val="24"/>
          <w:szCs w:val="24"/>
        </w:rPr>
        <w:t xml:space="preserve"> document your confirmation. </w:t>
      </w:r>
    </w:p>
    <w:p w14:paraId="23578892" w14:textId="77777777" w:rsidR="00F37F48" w:rsidRDefault="00F37F48" w:rsidP="002B1283">
      <w:pPr>
        <w:rPr>
          <w:rFonts w:ascii="Arial Black" w:hAnsi="Arial Black"/>
          <w:b/>
          <w:bCs/>
          <w:sz w:val="28"/>
          <w:szCs w:val="28"/>
        </w:rPr>
      </w:pPr>
    </w:p>
    <w:p w14:paraId="38933239" w14:textId="4FBA4D31" w:rsidR="00F37F48" w:rsidRDefault="00F37F48" w:rsidP="002B1283">
      <w:pPr>
        <w:rPr>
          <w:rFonts w:ascii="Arial Black" w:hAnsi="Arial Black"/>
          <w:b/>
          <w:bCs/>
          <w:sz w:val="28"/>
          <w:szCs w:val="28"/>
        </w:rPr>
      </w:pPr>
      <w:r>
        <w:rPr>
          <w:rFonts w:ascii="Arial Black" w:hAnsi="Arial Black"/>
          <w:b/>
          <w:bCs/>
          <w:sz w:val="28"/>
          <w:szCs w:val="28"/>
        </w:rPr>
        <w:t>13-76</w:t>
      </w:r>
    </w:p>
    <w:p w14:paraId="0488F9DA" w14:textId="77777777" w:rsidR="00F37F48" w:rsidRDefault="00F37F48" w:rsidP="00F37F4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DC: NEW FED. LAW - PATIENTS PROTECTED “SURPRISE MEDICAL BILLS” – INCLUDING AIR CARE, NEGOTIATE WITH INSURER</w:t>
      </w:r>
    </w:p>
    <w:p w14:paraId="15E5D0D4"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21, 2020, as part of the </w:t>
      </w:r>
      <w:proofErr w:type="gramStart"/>
      <w:r>
        <w:rPr>
          <w:rFonts w:ascii="Times New Roman" w:eastAsia="Times New Roman" w:hAnsi="Times New Roman"/>
          <w:sz w:val="24"/>
          <w:szCs w:val="24"/>
        </w:rPr>
        <w:t>5,500 page</w:t>
      </w:r>
      <w:proofErr w:type="gramEnd"/>
      <w:r>
        <w:rPr>
          <w:rFonts w:ascii="Times New Roman" w:eastAsia="Times New Roman" w:hAnsi="Times New Roman"/>
          <w:sz w:val="24"/>
          <w:szCs w:val="24"/>
        </w:rPr>
        <w:t xml:space="preserve"> COVID-19 relief bill, Congress also enacted a new statute to protect patients from “surprise medical bills.” </w:t>
      </w:r>
    </w:p>
    <w:p w14:paraId="2C890412"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House Ways &amp; Means Committee described the protections in the House bill, </w:t>
      </w:r>
      <w:r>
        <w:rPr>
          <w:rFonts w:ascii="Times New Roman" w:hAnsi="Times New Roman"/>
          <w:sz w:val="24"/>
          <w:szCs w:val="24"/>
        </w:rPr>
        <w:t xml:space="preserve">“Consumer Protections Against Surprise Medical Bills Act of 2020 Summary.” </w:t>
      </w:r>
    </w:p>
    <w:p w14:paraId="1F6E0314" w14:textId="77777777" w:rsidR="00F37F48" w:rsidRDefault="00F37F48" w:rsidP="00F37F48">
      <w:pPr>
        <w:spacing w:before="100" w:beforeAutospacing="1" w:after="100" w:afterAutospacing="1" w:line="240" w:lineRule="auto"/>
        <w:ind w:left="360"/>
        <w:rPr>
          <w:rStyle w:val="Hyperlink"/>
          <w:rFonts w:asciiTheme="minorHAnsi" w:eastAsiaTheme="minorHAnsi" w:hAnsiTheme="minorHAnsi" w:cstheme="minorBidi"/>
        </w:rPr>
      </w:pPr>
      <w:r>
        <w:rPr>
          <w:rFonts w:ascii="Times New Roman" w:hAnsi="Times New Roman"/>
          <w:sz w:val="24"/>
          <w:szCs w:val="24"/>
        </w:rPr>
        <w:t xml:space="preserve">“The bill protects patients from surprise medical bills for out-of-network services. Providers (including facilities) will be prohibited from balance billing patients for surprise services. Patients cannot be charged more than the in-network cost-sharing amount.” </w:t>
      </w:r>
      <w:hyperlink r:id="rId2217" w:history="1">
        <w:r>
          <w:rPr>
            <w:rStyle w:val="Hyperlink"/>
          </w:rPr>
          <w:t>https://waysandmeans.house.gov/sites/democrats.waysandmeans.house.gov/files/documents/Ways%20and%20Means%20Surprise%20Billing%20Summary_02%2006%2020%20(final).pdf</w:t>
        </w:r>
      </w:hyperlink>
    </w:p>
    <w:p w14:paraId="5A78D641" w14:textId="77777777" w:rsidR="00F37F48" w:rsidRDefault="00F37F48" w:rsidP="00F37F48">
      <w:pPr>
        <w:pStyle w:val="NoSpacing"/>
        <w:jc w:val="both"/>
        <w:rPr>
          <w:rFonts w:ascii="Times New Roman" w:eastAsia="Times New Roman" w:hAnsi="Times New Roman"/>
          <w:sz w:val="24"/>
          <w:szCs w:val="24"/>
        </w:rPr>
      </w:pPr>
      <w:r>
        <w:rPr>
          <w:rFonts w:ascii="Times New Roman" w:eastAsia="Times New Roman" w:hAnsi="Times New Roman"/>
          <w:sz w:val="24"/>
          <w:szCs w:val="24"/>
        </w:rPr>
        <w:t>The Association of Air Medical Services described the new provisions:</w:t>
      </w:r>
    </w:p>
    <w:p w14:paraId="68C05A18" w14:textId="77777777" w:rsidR="00F37F48" w:rsidRDefault="00F37F48" w:rsidP="00F37F48">
      <w:pPr>
        <w:pStyle w:val="NormalWeb"/>
        <w:ind w:left="360"/>
      </w:pPr>
      <w:r>
        <w:t>“AAMS has learned that the year-end spending and COVID relief package includes the balance billing solution that has been under intense negotiation since Dec. 11</w:t>
      </w:r>
      <w:r>
        <w:rPr>
          <w:vertAlign w:val="superscript"/>
        </w:rPr>
        <w:t>th</w:t>
      </w:r>
      <w:r>
        <w:t xml:space="preserve">. An AAMS Statement on the legislation can be found </w:t>
      </w:r>
      <w:hyperlink r:id="rId2218" w:tgtFrame="_blank" w:history="1">
        <w:r>
          <w:rPr>
            <w:rStyle w:val="Hyperlink"/>
          </w:rPr>
          <w:t>here</w:t>
        </w:r>
      </w:hyperlink>
      <w:r>
        <w:t>. *</w:t>
      </w:r>
      <w:r>
        <w:br/>
      </w:r>
      <w:r>
        <w:br/>
        <w:t xml:space="preserve">The legislation includes air ambulance provisions and is expected to pass both House and Senate as the Congress makes its final votes </w:t>
      </w:r>
      <w:proofErr w:type="gramStart"/>
      <w:r>
        <w:t>of</w:t>
      </w:r>
      <w:proofErr w:type="gramEnd"/>
      <w:r>
        <w:t xml:space="preserve"> 2020. The provisions in the bill </w:t>
      </w:r>
      <w:proofErr w:type="gramStart"/>
      <w:r>
        <w:t>effecting</w:t>
      </w:r>
      <w:proofErr w:type="gramEnd"/>
      <w:r>
        <w:t xml:space="preserve"> air ambulances are as follows:</w:t>
      </w:r>
    </w:p>
    <w:p w14:paraId="364D4CCC"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Prohibition on balance billing patients.</w:t>
      </w:r>
    </w:p>
    <w:p w14:paraId="4E87EE2C"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Open negotiation process between insurer and provider.</w:t>
      </w:r>
    </w:p>
    <w:p w14:paraId="4FC8F370"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lastRenderedPageBreak/>
        <w:t>Independent Dispute Resolution (IDR) process that still considers the insurers median-in-network rate; however, arbiters cannot consider non-negotiated rates, such as those set by Medicare.  </w:t>
      </w:r>
    </w:p>
    <w:p w14:paraId="6B2FE747"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Data collection on the costs or providing air ambulance services as well as on air ambulance quality and claims data submitted by insurers.</w:t>
      </w:r>
    </w:p>
    <w:p w14:paraId="27C87599"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 xml:space="preserve">The establishment of an air ambulance advisory committee through the Department of Health and Human Services and the Department of Transportation </w:t>
      </w:r>
      <w:proofErr w:type="gramStart"/>
      <w:r w:rsidRPr="00034FEA">
        <w:rPr>
          <w:rFonts w:ascii="Times New Roman" w:hAnsi="Times New Roman"/>
          <w:sz w:val="24"/>
          <w:szCs w:val="24"/>
        </w:rPr>
        <w:t>to examine</w:t>
      </w:r>
      <w:proofErr w:type="gramEnd"/>
      <w:r w:rsidRPr="00034FEA">
        <w:rPr>
          <w:rFonts w:ascii="Times New Roman" w:hAnsi="Times New Roman"/>
          <w:sz w:val="24"/>
          <w:szCs w:val="24"/>
        </w:rPr>
        <w:t xml:space="preserve"> issues related to air ambulance clinical capabilities, vehicle types, and triage criteria.</w:t>
      </w:r>
    </w:p>
    <w:p w14:paraId="50542A26" w14:textId="77777777" w:rsidR="00F37F48" w:rsidRPr="007B1325" w:rsidRDefault="00F37F48" w:rsidP="00F37F48">
      <w:pPr>
        <w:pStyle w:val="NormalWeb"/>
        <w:ind w:left="360"/>
        <w:rPr>
          <w:rStyle w:val="Emphasis"/>
        </w:rPr>
      </w:pPr>
      <w:r>
        <w:rPr>
          <w:rStyle w:val="Strong"/>
        </w:rPr>
        <w:t>A Congressional summary of the balance billing section describes it this way:</w:t>
      </w:r>
      <w:r>
        <w:br/>
      </w:r>
      <w:r w:rsidRPr="007B1325">
        <w:rPr>
          <w:rStyle w:val="Emphasis"/>
        </w:rPr>
        <w:t xml:space="preserve">Section 105. Ending surprise air ambulance bills. Section 105 states that patients are held harmless from surprise air ambulance medical bills. Patients are only required to pay the in-network cost-sharing amount for out-of-network air ambulances, and that cost-sharing amount is applied to their in-network deductible. Air ambulances are barred from sending patients surprise bills for more than the in-network cost-sharing amount. It also provides for a 30-day open negotiation period for air ambulance providers and payers to settle out-of-network claims. If the parties are unable to reach a negotiated agreement, they may access the binding arbitration, which is the same as outlined in Section 103, with additional factors to account for the cost of providing air ambulance service in rural and frontier areas.  </w:t>
      </w:r>
    </w:p>
    <w:p w14:paraId="47E1DD27" w14:textId="77777777" w:rsidR="00F37F48" w:rsidRDefault="00F37F48" w:rsidP="00F37F48">
      <w:pPr>
        <w:pStyle w:val="NormalWeb"/>
        <w:ind w:left="360"/>
      </w:pPr>
      <w:hyperlink r:id="rId2219" w:history="1">
        <w:r w:rsidRPr="009A2D81">
          <w:rPr>
            <w:rStyle w:val="Hyperlink"/>
          </w:rPr>
          <w:t>https://aams.org/aams-member-alert-negotiated-balance-billing-solution-included-in-legislation/</w:t>
        </w:r>
      </w:hyperlink>
      <w:r>
        <w:rPr>
          <w:rStyle w:val="Emphasis"/>
        </w:rPr>
        <w:t xml:space="preserve"> </w:t>
      </w:r>
    </w:p>
    <w:p w14:paraId="3EEE09D8" w14:textId="77777777" w:rsidR="00F37F48" w:rsidRDefault="00F37F48" w:rsidP="00F37F48">
      <w:pPr>
        <w:rPr>
          <w:rFonts w:ascii="Times New Roman" w:hAnsi="Times New Roman"/>
          <w:sz w:val="24"/>
          <w:szCs w:val="24"/>
        </w:rPr>
      </w:pPr>
      <w:r>
        <w:rPr>
          <w:rFonts w:ascii="Times New Roman" w:hAnsi="Times New Roman"/>
          <w:sz w:val="24"/>
          <w:szCs w:val="24"/>
        </w:rPr>
        <w:t>*AAMS Statement on Balance Billing Solution</w:t>
      </w:r>
    </w:p>
    <w:p w14:paraId="4CFC73CB" w14:textId="77777777" w:rsidR="00F37F48" w:rsidRDefault="00F37F48" w:rsidP="00F37F48">
      <w:pPr>
        <w:ind w:left="360"/>
        <w:rPr>
          <w:rFonts w:ascii="Times New Roman" w:hAnsi="Times New Roman"/>
          <w:sz w:val="24"/>
          <w:szCs w:val="24"/>
        </w:rPr>
      </w:pPr>
      <w:r>
        <w:rPr>
          <w:rFonts w:ascii="Times New Roman" w:hAnsi="Times New Roman"/>
          <w:sz w:val="24"/>
          <w:szCs w:val="24"/>
        </w:rPr>
        <w:t xml:space="preserve">“The Association of Air Medical Services, on behalf of its over 300 members operating over 1,400 helicopter and fixed-wing air ambulances nationwide, applauds the action taken by Congress today to remove patients from disputes between insurers and air ambulance providers. However, AAMS remains concerned that certain aspects of the independent dispute resolution process may favor </w:t>
      </w:r>
      <w:proofErr w:type="gramStart"/>
      <w:r>
        <w:rPr>
          <w:rFonts w:ascii="Times New Roman" w:hAnsi="Times New Roman"/>
          <w:sz w:val="24"/>
          <w:szCs w:val="24"/>
        </w:rPr>
        <w:t>insurers</w:t>
      </w:r>
      <w:proofErr w:type="gramEnd"/>
      <w:r>
        <w:rPr>
          <w:rFonts w:ascii="Times New Roman" w:hAnsi="Times New Roman"/>
          <w:sz w:val="24"/>
          <w:szCs w:val="24"/>
        </w:rPr>
        <w:t xml:space="preserve"> and we hope to work with Congress and the various federal agencies to implement a fair and equitable process for billing disputes. We also fully support the data collection and analysis requirements of the </w:t>
      </w:r>
      <w:proofErr w:type="gramStart"/>
      <w:r>
        <w:rPr>
          <w:rFonts w:ascii="Times New Roman" w:hAnsi="Times New Roman"/>
          <w:sz w:val="24"/>
          <w:szCs w:val="24"/>
        </w:rPr>
        <w:t>bill, and</w:t>
      </w:r>
      <w:proofErr w:type="gramEnd"/>
      <w:r>
        <w:rPr>
          <w:rFonts w:ascii="Times New Roman" w:hAnsi="Times New Roman"/>
          <w:sz w:val="24"/>
          <w:szCs w:val="24"/>
        </w:rPr>
        <w:t xml:space="preserve"> believe this additional level of transparency will inform future legislative and regulatory efforts as they relate to billing and reimbursement. AAMS will continue to work on behalf of its members and the patients they serve to ensure the best outcomes for both. We also continue to support the work of the Air Ambulance Patient Billing Advisory Committee and hope this process will strongly consider their recommendations.” </w:t>
      </w:r>
    </w:p>
    <w:p w14:paraId="0BF301CD" w14:textId="77777777" w:rsidR="00F37F48" w:rsidRDefault="00F37F48" w:rsidP="00F37F48">
      <w:pPr>
        <w:ind w:left="360"/>
        <w:rPr>
          <w:rFonts w:ascii="Times New Roman" w:hAnsi="Times New Roman"/>
          <w:sz w:val="24"/>
          <w:szCs w:val="24"/>
        </w:rPr>
      </w:pPr>
      <w:r>
        <w:rPr>
          <w:rFonts w:ascii="Times New Roman" w:hAnsi="Times New Roman"/>
          <w:sz w:val="24"/>
          <w:szCs w:val="24"/>
        </w:rPr>
        <w:t>Below is a statement from AAMS President and CEO Cameron Curtis:</w:t>
      </w:r>
    </w:p>
    <w:p w14:paraId="0498BACA" w14:textId="77777777" w:rsidR="00F37F48" w:rsidRDefault="00F37F48" w:rsidP="00F37F48">
      <w:pPr>
        <w:ind w:left="360"/>
        <w:rPr>
          <w:rFonts w:asciiTheme="minorHAnsi" w:hAnsiTheme="minorHAnsi" w:cstheme="minorBidi"/>
        </w:rPr>
      </w:pPr>
      <w:r>
        <w:rPr>
          <w:rFonts w:ascii="Times New Roman" w:hAnsi="Times New Roman"/>
          <w:sz w:val="24"/>
          <w:szCs w:val="24"/>
        </w:rPr>
        <w:t>“Air ambulances offer a lifeline, sometimes the only lifeline, to patients in need of critical care. While we remain concerned about certain aspects of this bill, now is the time to come together as a health care community and support the dedicated EMS professionals, both air and ground, that are serving on the front lines. As Americans face the ever-increasing severity of the COVID-19 pandemic and the ensuing public health emergency, air medical services have provided over 20,000 COVID-19 related transports to the most severely sick and injured patients, often from remote and rural areas to high levels of care.”</w:t>
      </w:r>
      <w:r>
        <w:t xml:space="preserve"> </w:t>
      </w:r>
      <w:hyperlink r:id="rId2220" w:history="1">
        <w:r>
          <w:rPr>
            <w:rStyle w:val="Hyperlink"/>
          </w:rPr>
          <w:t>https://cdn.ymaws.com/aams.site-ym.com/resource/resmgr/website_resources/aams_statements/aams_statementonbalancebilli.pdf</w:t>
        </w:r>
      </w:hyperlink>
      <w:r>
        <w:rPr>
          <w:rFonts w:ascii="Times New Roman" w:hAnsi="Times New Roman"/>
          <w:sz w:val="24"/>
          <w:szCs w:val="24"/>
        </w:rPr>
        <w:t xml:space="preserve"> </w:t>
      </w:r>
    </w:p>
    <w:p w14:paraId="72429C64"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There has been litigation throughout the United States by patients who were “surprised” by Air Care billing and other “out of network” medical service providers.     Hopefully this new statute will eliminate these surprise bills. </w:t>
      </w:r>
    </w:p>
    <w:p w14:paraId="3DE5252F" w14:textId="77777777" w:rsidR="00F37F48" w:rsidRPr="007B1325" w:rsidRDefault="00F37F48" w:rsidP="00F37F4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lastRenderedPageBreak/>
        <w:t xml:space="preserve">Note: </w:t>
      </w:r>
      <w:r>
        <w:rPr>
          <w:rFonts w:ascii="Times New Roman" w:hAnsi="Times New Roman"/>
          <w:sz w:val="24"/>
          <w:szCs w:val="24"/>
        </w:rPr>
        <w:t xml:space="preserve">You can read the NO SURPRISE ACT (starting page 1629); Air Ambulance provisions (starting at page 1836).   </w:t>
      </w:r>
      <w:hyperlink r:id="rId2221" w:history="1">
        <w:r w:rsidRPr="007B1325">
          <w:rPr>
            <w:rStyle w:val="Hyperlink"/>
            <w:rFonts w:ascii="Times New Roman" w:hAnsi="Times New Roman"/>
            <w:sz w:val="24"/>
            <w:szCs w:val="24"/>
          </w:rPr>
          <w:t>https://beta.documentcloud.org/documents/20433223-covid-19-relief-bill</w:t>
        </w:r>
      </w:hyperlink>
      <w:r w:rsidRPr="007B1325">
        <w:rPr>
          <w:rFonts w:ascii="Times New Roman" w:eastAsia="Times New Roman" w:hAnsi="Times New Roman"/>
          <w:sz w:val="24"/>
          <w:szCs w:val="24"/>
        </w:rPr>
        <w:t xml:space="preserve"> </w:t>
      </w:r>
    </w:p>
    <w:p w14:paraId="7C953E6E" w14:textId="77777777" w:rsidR="00F37F48" w:rsidRDefault="00F37F48" w:rsidP="002B1283">
      <w:pPr>
        <w:rPr>
          <w:rFonts w:ascii="Arial Black" w:hAnsi="Arial Black"/>
          <w:b/>
          <w:bCs/>
          <w:sz w:val="28"/>
          <w:szCs w:val="28"/>
        </w:rPr>
      </w:pPr>
    </w:p>
    <w:p w14:paraId="0CBA900B" w14:textId="6E9C2379" w:rsidR="00F37F48" w:rsidRDefault="00F37F48" w:rsidP="002B1283">
      <w:pPr>
        <w:rPr>
          <w:rFonts w:ascii="Arial Black" w:hAnsi="Arial Black"/>
          <w:b/>
          <w:bCs/>
          <w:sz w:val="28"/>
          <w:szCs w:val="28"/>
        </w:rPr>
      </w:pPr>
      <w:r>
        <w:rPr>
          <w:rFonts w:ascii="Arial Black" w:hAnsi="Arial Black"/>
          <w:b/>
          <w:bCs/>
          <w:sz w:val="28"/>
          <w:szCs w:val="28"/>
        </w:rPr>
        <w:t>13-75</w:t>
      </w:r>
    </w:p>
    <w:p w14:paraId="4AB639F7" w14:textId="77777777" w:rsidR="00F37F48" w:rsidRDefault="00F37F48" w:rsidP="00F37F48">
      <w:pPr>
        <w:pStyle w:val="NoSpacing"/>
        <w:rPr>
          <w:rFonts w:ascii="Arial Black" w:eastAsiaTheme="minorHAnsi" w:hAnsi="Arial Black" w:cstheme="minorBidi"/>
          <w:sz w:val="28"/>
          <w:szCs w:val="28"/>
        </w:rPr>
      </w:pPr>
      <w:r>
        <w:rPr>
          <w:rFonts w:ascii="Arial Black" w:hAnsi="Arial Black"/>
          <w:sz w:val="28"/>
          <w:szCs w:val="28"/>
        </w:rPr>
        <w:t xml:space="preserve">NY: EMT WINS SUMMARY JUDGMENT - BACK INJURY, SLIPPED ON ICE – RESTAURANT HOSED SIDEWALK COLD WINTER DAY </w:t>
      </w:r>
    </w:p>
    <w:p w14:paraId="4BDA84DB" w14:textId="77777777" w:rsidR="00F37F48" w:rsidRDefault="00F37F48" w:rsidP="00F37F4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17, 2020, in </w:t>
      </w:r>
      <w:r>
        <w:rPr>
          <w:rFonts w:ascii="Times New Roman" w:hAnsi="Times New Roman"/>
          <w:sz w:val="24"/>
          <w:szCs w:val="24"/>
          <w:u w:val="single"/>
        </w:rPr>
        <w:t>Michael Benny v. Concord Partners 46</w:t>
      </w:r>
      <w:r>
        <w:rPr>
          <w:rFonts w:ascii="Times New Roman" w:hAnsi="Times New Roman"/>
          <w:sz w:val="24"/>
          <w:szCs w:val="24"/>
          <w:u w:val="single"/>
          <w:vertAlign w:val="superscript"/>
        </w:rPr>
        <w:t>th</w:t>
      </w:r>
      <w:r>
        <w:rPr>
          <w:rFonts w:ascii="Times New Roman" w:hAnsi="Times New Roman"/>
          <w:sz w:val="24"/>
          <w:szCs w:val="24"/>
          <w:u w:val="single"/>
        </w:rPr>
        <w:t xml:space="preserve"> Street LLC</w:t>
      </w:r>
      <w:r>
        <w:rPr>
          <w:rFonts w:ascii="Times New Roman" w:hAnsi="Times New Roman"/>
          <w:sz w:val="24"/>
          <w:szCs w:val="24"/>
        </w:rPr>
        <w:t xml:space="preserve">, </w:t>
      </w:r>
      <w:r>
        <w:rPr>
          <w:rFonts w:ascii="Times New Roman" w:eastAsia="Times New Roman" w:hAnsi="Times New Roman"/>
          <w:sz w:val="24"/>
          <w:szCs w:val="24"/>
        </w:rPr>
        <w:t xml:space="preserve">2020 NY Slip Op 07665, </w:t>
      </w:r>
      <w:r>
        <w:rPr>
          <w:rFonts w:ascii="Times New Roman" w:hAnsi="Times New Roman"/>
          <w:sz w:val="24"/>
          <w:szCs w:val="24"/>
        </w:rPr>
        <w:t xml:space="preserve">the Appellate Division of the Supreme Court of the State of New York, held (5 to 0) that the trial court improperly denied plaintiff’s motion for summary judgment.  The Court orders partial summary judgment in favor of the EMT; his degree of negligence in not avoiding the ice must next be determined. </w:t>
      </w:r>
    </w:p>
    <w:p w14:paraId="1927B461" w14:textId="77777777" w:rsidR="00F37F48" w:rsidRDefault="00F37F48" w:rsidP="00F37F48">
      <w:pPr>
        <w:pStyle w:val="NoSpacing"/>
        <w:ind w:left="720"/>
        <w:rPr>
          <w:rFonts w:ascii="Times New Roman" w:hAnsi="Times New Roman"/>
          <w:sz w:val="24"/>
          <w:szCs w:val="24"/>
        </w:rPr>
      </w:pPr>
      <w:r>
        <w:rPr>
          <w:rFonts w:ascii="Times New Roman" w:hAnsi="Times New Roman"/>
          <w:sz w:val="24"/>
          <w:szCs w:val="24"/>
        </w:rPr>
        <w:t xml:space="preserve">“The evidence plaintiff submitted in support of his motion shows that defendants-tenants Havana Central NY 2 LLC d/b/a Havana Central Restaurant &amp; </w:t>
      </w:r>
      <w:proofErr w:type="spellStart"/>
      <w:r>
        <w:rPr>
          <w:rFonts w:ascii="Times New Roman" w:hAnsi="Times New Roman"/>
          <w:sz w:val="24"/>
          <w:szCs w:val="24"/>
        </w:rPr>
        <w:t>CafÉ</w:t>
      </w:r>
      <w:proofErr w:type="spellEnd"/>
      <w:r>
        <w:rPr>
          <w:rFonts w:ascii="Times New Roman" w:hAnsi="Times New Roman"/>
          <w:sz w:val="24"/>
          <w:szCs w:val="24"/>
        </w:rPr>
        <w:t xml:space="preserve"> (Havana) and </w:t>
      </w:r>
      <w:proofErr w:type="spellStart"/>
      <w:r>
        <w:rPr>
          <w:rFonts w:ascii="Times New Roman" w:hAnsi="Times New Roman"/>
          <w:sz w:val="24"/>
          <w:szCs w:val="24"/>
        </w:rPr>
        <w:t>Tintol</w:t>
      </w:r>
      <w:proofErr w:type="spellEnd"/>
      <w:r>
        <w:rPr>
          <w:rFonts w:ascii="Times New Roman" w:hAnsi="Times New Roman"/>
          <w:sz w:val="24"/>
          <w:szCs w:val="24"/>
        </w:rPr>
        <w:t xml:space="preserve"> LLC d/b/a Clubhouse </w:t>
      </w:r>
      <w:proofErr w:type="spellStart"/>
      <w:r>
        <w:rPr>
          <w:rFonts w:ascii="Times New Roman" w:hAnsi="Times New Roman"/>
          <w:sz w:val="24"/>
          <w:szCs w:val="24"/>
        </w:rPr>
        <w:t>CafÉ</w:t>
      </w:r>
      <w:proofErr w:type="spellEnd"/>
      <w:r>
        <w:rPr>
          <w:rFonts w:ascii="Times New Roman" w:hAnsi="Times New Roman"/>
          <w:sz w:val="24"/>
          <w:szCs w:val="24"/>
        </w:rPr>
        <w:t xml:space="preserve"> (</w:t>
      </w:r>
      <w:proofErr w:type="spellStart"/>
      <w:r>
        <w:rPr>
          <w:rFonts w:ascii="Times New Roman" w:hAnsi="Times New Roman"/>
          <w:sz w:val="24"/>
          <w:szCs w:val="24"/>
        </w:rPr>
        <w:t>Tintol</w:t>
      </w:r>
      <w:proofErr w:type="spellEnd"/>
      <w:r>
        <w:rPr>
          <w:rFonts w:ascii="Times New Roman" w:hAnsi="Times New Roman"/>
          <w:sz w:val="24"/>
          <w:szCs w:val="24"/>
        </w:rPr>
        <w:t>) created the dangerous condition when their employees hosed the sidewalk on a cold winter day (</w:t>
      </w:r>
      <w:r>
        <w:rPr>
          <w:rFonts w:ascii="Times New Roman" w:hAnsi="Times New Roman"/>
          <w:i/>
          <w:iCs/>
          <w:sz w:val="24"/>
          <w:szCs w:val="24"/>
        </w:rPr>
        <w:t>see Mercer v City of New York</w:t>
      </w:r>
      <w:r>
        <w:rPr>
          <w:rFonts w:ascii="Times New Roman" w:hAnsi="Times New Roman"/>
          <w:sz w:val="24"/>
          <w:szCs w:val="24"/>
        </w:rPr>
        <w:t>, 88 NY2d 955, 956 [1996]). Defendants-owners Concord Partners 46</w:t>
      </w:r>
      <w:r>
        <w:rPr>
          <w:rFonts w:ascii="Times New Roman" w:hAnsi="Times New Roman"/>
          <w:sz w:val="24"/>
          <w:szCs w:val="24"/>
          <w:vertAlign w:val="superscript"/>
        </w:rPr>
        <w:t>th</w:t>
      </w:r>
      <w:r>
        <w:rPr>
          <w:rFonts w:ascii="Times New Roman" w:hAnsi="Times New Roman"/>
          <w:sz w:val="24"/>
          <w:szCs w:val="24"/>
        </w:rPr>
        <w:t xml:space="preserve"> Street LLC (Concord) and Elo Equity, LLC, had a </w:t>
      </w:r>
      <w:proofErr w:type="spellStart"/>
      <w:r>
        <w:rPr>
          <w:rFonts w:ascii="Times New Roman" w:hAnsi="Times New Roman"/>
          <w:sz w:val="24"/>
          <w:szCs w:val="24"/>
        </w:rPr>
        <w:t>non delegable</w:t>
      </w:r>
      <w:proofErr w:type="spellEnd"/>
      <w:r>
        <w:rPr>
          <w:rFonts w:ascii="Times New Roman" w:hAnsi="Times New Roman"/>
          <w:sz w:val="24"/>
          <w:szCs w:val="24"/>
        </w:rPr>
        <w:t xml:space="preserve"> duty to maintain the sidewalk and had notice that the restaurant employees had created a dangerous condition, because Concord’s property manager and Elo’s superintendent had observed the restaurants’ employees hosing the sidewalk.” </w:t>
      </w:r>
    </w:p>
    <w:p w14:paraId="233FB984" w14:textId="77777777" w:rsidR="00F37F48" w:rsidRDefault="00F37F48" w:rsidP="00F37F48">
      <w:pPr>
        <w:pStyle w:val="NoSpacing"/>
        <w:ind w:left="720"/>
        <w:rPr>
          <w:rFonts w:ascii="Times New Roman" w:hAnsi="Times New Roman"/>
          <w:sz w:val="24"/>
          <w:szCs w:val="24"/>
        </w:rPr>
      </w:pPr>
      <w:hyperlink r:id="rId2222" w:history="1">
        <w:r>
          <w:rPr>
            <w:rStyle w:val="Hyperlink"/>
          </w:rPr>
          <w:t>https://casetext.com/case/benny-v-concord-partners-46th-st-llc-2</w:t>
        </w:r>
      </w:hyperlink>
      <w:r>
        <w:rPr>
          <w:rFonts w:ascii="Times New Roman" w:hAnsi="Times New Roman"/>
          <w:sz w:val="24"/>
          <w:szCs w:val="24"/>
        </w:rPr>
        <w:t xml:space="preserve">  </w:t>
      </w:r>
    </w:p>
    <w:p w14:paraId="40BFCDC4"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Watering down sidewalk on cold winter day is “inviting litigation.”  Even if EMT is covered by workers comp, he is entitled to sue for pain and suffering.</w:t>
      </w:r>
    </w:p>
    <w:p w14:paraId="0714F98D" w14:textId="77777777" w:rsidR="00F37F48" w:rsidRDefault="00F37F48" w:rsidP="002B1283">
      <w:pPr>
        <w:rPr>
          <w:rFonts w:ascii="Arial Black" w:hAnsi="Arial Black"/>
          <w:b/>
          <w:bCs/>
          <w:sz w:val="28"/>
          <w:szCs w:val="28"/>
        </w:rPr>
      </w:pPr>
    </w:p>
    <w:p w14:paraId="3C44EDE5" w14:textId="77B4BC81" w:rsidR="00F37F48" w:rsidRDefault="00F37F48" w:rsidP="002B1283">
      <w:pPr>
        <w:rPr>
          <w:rFonts w:ascii="Arial Black" w:hAnsi="Arial Black"/>
          <w:b/>
          <w:bCs/>
          <w:sz w:val="28"/>
          <w:szCs w:val="28"/>
        </w:rPr>
      </w:pPr>
      <w:r>
        <w:rPr>
          <w:rFonts w:ascii="Arial Black" w:hAnsi="Arial Black"/>
          <w:b/>
          <w:bCs/>
          <w:sz w:val="28"/>
          <w:szCs w:val="28"/>
        </w:rPr>
        <w:t>13-74</w:t>
      </w:r>
    </w:p>
    <w:p w14:paraId="248C68A3" w14:textId="77777777" w:rsidR="00F37F48" w:rsidRDefault="00F37F48" w:rsidP="00F37F48">
      <w:pPr>
        <w:rPr>
          <w:rFonts w:ascii="Arial Black" w:eastAsiaTheme="minorHAnsi" w:hAnsi="Arial Black" w:cstheme="minorBidi"/>
          <w:sz w:val="28"/>
          <w:szCs w:val="28"/>
        </w:rPr>
      </w:pPr>
      <w:r>
        <w:rPr>
          <w:rFonts w:ascii="Arial Black" w:hAnsi="Arial Black"/>
          <w:sz w:val="28"/>
          <w:szCs w:val="28"/>
        </w:rPr>
        <w:t>PA:  HIPAA VOIOLATION - FD SHARED FF’S WORK. COMP BACK INJURY CLAIM – “PROTECTED HEALTH INFORMATION” (PHI)</w:t>
      </w:r>
    </w:p>
    <w:p w14:paraId="3996E911" w14:textId="77777777" w:rsidR="00F37F48" w:rsidRDefault="00F37F48" w:rsidP="00F37F48">
      <w:pPr>
        <w:rPr>
          <w:rFonts w:ascii="Times New Roman" w:hAnsi="Times New Roman"/>
          <w:sz w:val="24"/>
          <w:szCs w:val="24"/>
        </w:rPr>
      </w:pPr>
      <w:r>
        <w:rPr>
          <w:rFonts w:ascii="Times New Roman" w:hAnsi="Times New Roman"/>
          <w:sz w:val="24"/>
          <w:szCs w:val="24"/>
        </w:rPr>
        <w:t xml:space="preserve">On Dec. 15, 2020, in </w:t>
      </w:r>
      <w:r>
        <w:rPr>
          <w:rFonts w:ascii="Times New Roman" w:hAnsi="Times New Roman"/>
          <w:sz w:val="24"/>
          <w:szCs w:val="24"/>
          <w:u w:val="single"/>
        </w:rPr>
        <w:t>William Maude v. City of Philadelphia</w:t>
      </w:r>
      <w:r>
        <w:rPr>
          <w:rFonts w:ascii="Times New Roman" w:hAnsi="Times New Roman"/>
          <w:sz w:val="24"/>
          <w:szCs w:val="24"/>
        </w:rPr>
        <w:t xml:space="preserve">, U.S. Magistrate Judge Lynne A. Sitarski, U.S. District Court for Eastern District of Pennsylvania, ruled that the firefighter’s Expert [from University of Pittsburg Medical Center] may testify that the information shared meets definition of “protected health information,” but he cannot testify this was an actual violation of HIPAA – that’s up to the jury. </w:t>
      </w:r>
    </w:p>
    <w:p w14:paraId="6D77FF53" w14:textId="77777777" w:rsidR="00F37F48" w:rsidRDefault="00F37F48" w:rsidP="00F37F48">
      <w:pPr>
        <w:ind w:left="720"/>
        <w:rPr>
          <w:rFonts w:ascii="Times New Roman" w:eastAsia="Times New Roman" w:hAnsi="Times New Roman"/>
          <w:sz w:val="24"/>
          <w:szCs w:val="24"/>
        </w:rPr>
      </w:pPr>
      <w:r>
        <w:t>“</w:t>
      </w:r>
      <w:r>
        <w:rPr>
          <w:rFonts w:ascii="Times New Roman" w:eastAsia="Times New Roman" w:hAnsi="Times New Roman"/>
          <w:sz w:val="24"/>
          <w:szCs w:val="24"/>
        </w:rPr>
        <w:t>To allow Andrews to opine that Defendant violated its policies and HIPAA regulations incorporated in his employment agreement usurps the jury’s responsibility to determine whether a breach occurred.</w:t>
      </w:r>
    </w:p>
    <w:p w14:paraId="2F8AFE4D" w14:textId="77777777" w:rsidR="00F37F48" w:rsidRDefault="00F37F48" w:rsidP="00F37F48">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 xml:space="preserve">Andrews’ other HIPAA conclusions challenged by Defendant are permissible. Andrews opines that the information contained in Plaintiff’s workers’ compensation referral form meets HIPAA’s definition of ‘protected health information’ because it ‘is </w:t>
      </w:r>
      <w:proofErr w:type="gramStart"/>
      <w:r>
        <w:rPr>
          <w:rFonts w:ascii="Times New Roman" w:eastAsia="Times New Roman" w:hAnsi="Times New Roman"/>
          <w:sz w:val="24"/>
          <w:szCs w:val="24"/>
        </w:rPr>
        <w:t>individually-identifiable</w:t>
      </w:r>
      <w:proofErr w:type="gramEnd"/>
      <w:r>
        <w:rPr>
          <w:rFonts w:ascii="Times New Roman" w:eastAsia="Times New Roman" w:hAnsi="Times New Roman"/>
          <w:sz w:val="24"/>
          <w:szCs w:val="24"/>
        </w:rPr>
        <w:t xml:space="preserve"> and relates to </w:t>
      </w:r>
      <w:proofErr w:type="gramStart"/>
      <w:r>
        <w:rPr>
          <w:rFonts w:ascii="Times New Roman" w:eastAsia="Times New Roman" w:hAnsi="Times New Roman"/>
          <w:sz w:val="24"/>
          <w:szCs w:val="24"/>
        </w:rPr>
        <w:t>a medical</w:t>
      </w:r>
      <w:proofErr w:type="gramEnd"/>
      <w:r>
        <w:rPr>
          <w:rFonts w:ascii="Times New Roman" w:eastAsia="Times New Roman" w:hAnsi="Times New Roman"/>
          <w:sz w:val="24"/>
          <w:szCs w:val="24"/>
        </w:rPr>
        <w:t xml:space="preserve"> condition, treatment or payment for healthcare.’ (</w:t>
      </w:r>
      <w:proofErr w:type="spellStart"/>
      <w:r>
        <w:rPr>
          <w:rFonts w:ascii="Times New Roman" w:eastAsia="Times New Roman" w:hAnsi="Times New Roman"/>
          <w:sz w:val="24"/>
          <w:szCs w:val="24"/>
        </w:rPr>
        <w:t>Def.’s</w:t>
      </w:r>
      <w:proofErr w:type="spellEnd"/>
      <w:r>
        <w:rPr>
          <w:rFonts w:ascii="Times New Roman" w:eastAsia="Times New Roman" w:hAnsi="Times New Roman"/>
          <w:sz w:val="24"/>
          <w:szCs w:val="24"/>
        </w:rPr>
        <w:t xml:space="preserve"> Mot. To Exclude Ex. E 12). He notes that HIPAA covers ‘all protected health information,’ regardless of the form in which it is contained, and that at no time did </w:t>
      </w:r>
      <w:r>
        <w:rPr>
          <w:rFonts w:ascii="Times New Roman" w:eastAsia="Times New Roman" w:hAnsi="Times New Roman"/>
          <w:sz w:val="24"/>
          <w:szCs w:val="24"/>
        </w:rPr>
        <w:lastRenderedPageBreak/>
        <w:t>Plaintiff authorize the dissemination of his information outside the necessary chain of command…. He also opines that there was no other basis for disclosure and that ‘HIPAA establish[es] a floor, not a ceiling for the applicable standard of care . . . .’”</w:t>
      </w:r>
      <w:r>
        <w:t xml:space="preserve"> </w:t>
      </w:r>
      <w:hyperlink r:id="rId2223" w:history="1">
        <w:r>
          <w:rPr>
            <w:rStyle w:val="Hyperlink"/>
          </w:rPr>
          <w:t>https://casetext.com/case/maude-v-city-of-phila</w:t>
        </w:r>
      </w:hyperlink>
      <w:r>
        <w:t xml:space="preserve"> </w:t>
      </w:r>
    </w:p>
    <w:p w14:paraId="050DD50F"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“Protected health information” under HIPAA is a broad term and Fire Departments and municipalities must carefully limit who reviews workers comp and other employee PHI.  </w:t>
      </w:r>
    </w:p>
    <w:p w14:paraId="65E28C98" w14:textId="77777777" w:rsidR="00F37F48" w:rsidRDefault="00F37F48" w:rsidP="002B1283">
      <w:pPr>
        <w:rPr>
          <w:rFonts w:ascii="Arial Black" w:hAnsi="Arial Black"/>
          <w:b/>
          <w:bCs/>
          <w:sz w:val="28"/>
          <w:szCs w:val="28"/>
        </w:rPr>
      </w:pPr>
    </w:p>
    <w:p w14:paraId="2F7131B3" w14:textId="35D5CB3C" w:rsidR="00F37F48" w:rsidRDefault="00F37F48" w:rsidP="002B1283">
      <w:pPr>
        <w:rPr>
          <w:rFonts w:ascii="Arial Black" w:hAnsi="Arial Black"/>
          <w:b/>
          <w:bCs/>
          <w:sz w:val="28"/>
          <w:szCs w:val="28"/>
        </w:rPr>
      </w:pPr>
      <w:r>
        <w:rPr>
          <w:rFonts w:ascii="Arial Black" w:hAnsi="Arial Black"/>
          <w:b/>
          <w:bCs/>
          <w:sz w:val="28"/>
          <w:szCs w:val="28"/>
        </w:rPr>
        <w:t>13-73</w:t>
      </w:r>
    </w:p>
    <w:p w14:paraId="513126CA" w14:textId="77777777" w:rsidR="00F37F48" w:rsidRDefault="00F37F48" w:rsidP="00F37F48">
      <w:pPr>
        <w:rPr>
          <w:rFonts w:ascii="Arial Black" w:hAnsi="Arial Black" w:cstheme="minorBidi"/>
          <w:sz w:val="28"/>
          <w:szCs w:val="28"/>
        </w:rPr>
      </w:pPr>
      <w:r>
        <w:rPr>
          <w:rFonts w:ascii="Arial Black" w:hAnsi="Arial Black"/>
          <w:sz w:val="28"/>
          <w:szCs w:val="28"/>
        </w:rPr>
        <w:t>NJ: 85-YR-OLD PATIENT – EMS LIFTED HER TO STRETCHER – DOC. PATIENT PAIN LEFT ARM – IMMUNITY, “GOOD FAITH”</w:t>
      </w:r>
    </w:p>
    <w:p w14:paraId="65A9EDE5"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11, 2020, in </w:t>
      </w:r>
      <w:r>
        <w:rPr>
          <w:rFonts w:ascii="Times New Roman" w:eastAsia="Times New Roman" w:hAnsi="Times New Roman"/>
          <w:sz w:val="24"/>
          <w:szCs w:val="24"/>
          <w:u w:val="single"/>
        </w:rPr>
        <w:t>Rose Bengel and Henry Bengel v. Holiday City At Berkley Fire Aid Squad, Inc., et al.</w:t>
      </w:r>
      <w:r>
        <w:rPr>
          <w:rFonts w:ascii="Times New Roman" w:eastAsia="Times New Roman" w:hAnsi="Times New Roman"/>
          <w:sz w:val="24"/>
          <w:szCs w:val="24"/>
        </w:rPr>
        <w:t xml:space="preserve">, the Superior Court of New Jersey, Appellative Division, held (2 to 0; unreported decision) that the trial court properly held the EMS personnel enjoyed immunity under state law, since they acted in “good faith.” </w:t>
      </w:r>
    </w:p>
    <w:p w14:paraId="43185437" w14:textId="77777777" w:rsidR="00F37F48" w:rsidRDefault="00F37F48" w:rsidP="00F37F48">
      <w:pPr>
        <w:pStyle w:val="NoSpacing"/>
        <w:ind w:left="720"/>
        <w:rPr>
          <w:rFonts w:ascii="Times New Roman" w:eastAsiaTheme="minorHAnsi" w:hAnsi="Times New Roman"/>
          <w:sz w:val="24"/>
          <w:szCs w:val="24"/>
        </w:rPr>
      </w:pPr>
      <w:r>
        <w:rPr>
          <w:rFonts w:ascii="Times New Roman" w:hAnsi="Times New Roman"/>
          <w:sz w:val="24"/>
          <w:szCs w:val="24"/>
        </w:rPr>
        <w:t>“Plaintiffs' assertion that defendants' paperwork containing a conflicting account of what occurred at the Bengel home bespeaks falsification and, in turn, the absence of good faith in providing first aid to Rose, constitutes rank speculation.</w:t>
      </w:r>
    </w:p>
    <w:p w14:paraId="17639CA6" w14:textId="77777777" w:rsidR="00F37F48" w:rsidRDefault="00F37F48" w:rsidP="00F37F48">
      <w:pPr>
        <w:pStyle w:val="NoSpacing"/>
        <w:rPr>
          <w:rFonts w:ascii="Times New Roman" w:hAnsi="Times New Roman"/>
          <w:sz w:val="24"/>
          <w:szCs w:val="24"/>
        </w:rPr>
      </w:pPr>
    </w:p>
    <w:p w14:paraId="637D3789" w14:textId="77777777" w:rsidR="00F37F48" w:rsidRDefault="00F37F48" w:rsidP="00F37F48">
      <w:pPr>
        <w:pStyle w:val="NoSpacing"/>
        <w:ind w:firstLine="720"/>
        <w:rPr>
          <w:rFonts w:ascii="Times New Roman" w:hAnsi="Times New Roman"/>
          <w:sz w:val="24"/>
          <w:szCs w:val="24"/>
        </w:rPr>
      </w:pPr>
      <w:r>
        <w:rPr>
          <w:rFonts w:ascii="Times New Roman" w:hAnsi="Times New Roman"/>
          <w:sz w:val="24"/>
          <w:szCs w:val="24"/>
        </w:rPr>
        <w:t>***</w:t>
      </w:r>
    </w:p>
    <w:p w14:paraId="55C87B8E" w14:textId="77777777" w:rsidR="00F37F48" w:rsidRDefault="00F37F48" w:rsidP="00F37F48">
      <w:pPr>
        <w:pStyle w:val="NormalWeb"/>
        <w:ind w:left="720"/>
      </w:pPr>
      <w:r>
        <w:t xml:space="preserve">Notably, contrary to plaintiffs' account, the judge found that in transferring Rose from her wheelchair to the stretcher, ‘Phillips . . . wrapped his arms around [Rose's] mid-section’ and Kobus and Phillips ‘gently placed [Rose] on the stretcher.’” </w:t>
      </w:r>
      <w:hyperlink r:id="rId2224" w:history="1">
        <w:r>
          <w:rPr>
            <w:rStyle w:val="Hyperlink"/>
          </w:rPr>
          <w:t>https://njcourts.gov/attorneys/assets/opinions/appellate/unpublished/a0530-19.pdf</w:t>
        </w:r>
      </w:hyperlink>
      <w:r>
        <w:t xml:space="preserve"> </w:t>
      </w:r>
    </w:p>
    <w:p w14:paraId="2516ACE9" w14:textId="77777777" w:rsidR="00F37F48" w:rsidRDefault="00F37F48" w:rsidP="00F37F48">
      <w:pPr>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EMS properly documented in patient care report that patient reported pain in the left arm; showed they were acting in “good faith.” </w:t>
      </w:r>
    </w:p>
    <w:p w14:paraId="61A363A8" w14:textId="54331758" w:rsidR="00F37F48" w:rsidRDefault="00F37F48" w:rsidP="002B1283">
      <w:pPr>
        <w:rPr>
          <w:rFonts w:ascii="Arial Black" w:hAnsi="Arial Black"/>
          <w:b/>
          <w:bCs/>
          <w:sz w:val="28"/>
          <w:szCs w:val="28"/>
        </w:rPr>
      </w:pPr>
    </w:p>
    <w:p w14:paraId="471379B6" w14:textId="77777777" w:rsidR="00F37F48" w:rsidRDefault="00F37F48" w:rsidP="002B1283">
      <w:pPr>
        <w:rPr>
          <w:rFonts w:ascii="Arial Black" w:hAnsi="Arial Black"/>
          <w:b/>
          <w:bCs/>
          <w:sz w:val="28"/>
          <w:szCs w:val="28"/>
        </w:rPr>
      </w:pPr>
    </w:p>
    <w:p w14:paraId="5475C7C1" w14:textId="6C34AFB0" w:rsidR="00663A6A" w:rsidRDefault="00663A6A" w:rsidP="002B1283">
      <w:pPr>
        <w:rPr>
          <w:rFonts w:ascii="Arial Black" w:hAnsi="Arial Black"/>
          <w:b/>
          <w:bCs/>
          <w:sz w:val="28"/>
          <w:szCs w:val="28"/>
        </w:rPr>
      </w:pPr>
      <w:r>
        <w:rPr>
          <w:rFonts w:ascii="Arial Black" w:hAnsi="Arial Black"/>
          <w:b/>
          <w:bCs/>
          <w:sz w:val="28"/>
          <w:szCs w:val="28"/>
        </w:rPr>
        <w:t>13-72</w:t>
      </w:r>
    </w:p>
    <w:p w14:paraId="6393AA01" w14:textId="77777777" w:rsidR="00663A6A" w:rsidRDefault="00663A6A" w:rsidP="00663A6A">
      <w:pPr>
        <w:rPr>
          <w:rFonts w:ascii="Arial Black" w:hAnsi="Arial Black"/>
          <w:sz w:val="28"/>
          <w:szCs w:val="28"/>
        </w:rPr>
      </w:pPr>
      <w:r>
        <w:rPr>
          <w:rFonts w:ascii="Arial Black" w:hAnsi="Arial Black"/>
          <w:sz w:val="28"/>
          <w:szCs w:val="28"/>
        </w:rPr>
        <w:t>NY: COVID-19 – U.S. SUPREME COURT INJUNCTION [5 T0 4] - GOV. CUOMO’S LIMITS ON RELIGIOUS GATHERINGS</w:t>
      </w:r>
    </w:p>
    <w:p w14:paraId="32EDCE1E" w14:textId="77777777" w:rsidR="00663A6A" w:rsidRPr="00D04237" w:rsidRDefault="00663A6A" w:rsidP="00663A6A">
      <w:pPr>
        <w:rPr>
          <w:rFonts w:ascii="Times New Roman" w:hAnsi="Times New Roman"/>
          <w:sz w:val="24"/>
          <w:szCs w:val="24"/>
        </w:rPr>
      </w:pPr>
      <w:r>
        <w:rPr>
          <w:rFonts w:ascii="Times New Roman" w:hAnsi="Times New Roman"/>
          <w:sz w:val="24"/>
          <w:szCs w:val="24"/>
        </w:rPr>
        <w:t xml:space="preserve">On Nov. 25, 2020, in </w:t>
      </w:r>
      <w:r w:rsidRPr="00D04237">
        <w:rPr>
          <w:rFonts w:ascii="Times New Roman" w:hAnsi="Times New Roman"/>
          <w:sz w:val="24"/>
          <w:szCs w:val="24"/>
          <w:u w:val="single"/>
        </w:rPr>
        <w:t>Roman Catholic Diocese of Brooklyn v. Cuomo and Agudath Israel v. Cuomo</w:t>
      </w:r>
      <w:r>
        <w:rPr>
          <w:rFonts w:ascii="Times New Roman" w:hAnsi="Times New Roman"/>
          <w:sz w:val="24"/>
          <w:szCs w:val="24"/>
        </w:rPr>
        <w:t xml:space="preserve">, the U.S. Supreme Court (5 to 4) issued an emergency injunction on the Governor’s 10-person (“Red Zones”) and 25-person (“Orange Zones”) occupancy limits. </w:t>
      </w:r>
    </w:p>
    <w:p w14:paraId="680921FF" w14:textId="77777777" w:rsidR="00663A6A" w:rsidRDefault="00663A6A" w:rsidP="00663A6A">
      <w:pPr>
        <w:pStyle w:val="NoSpacing"/>
        <w:ind w:left="720"/>
        <w:rPr>
          <w:rFonts w:ascii="Times New Roman" w:hAnsi="Times New Roman"/>
          <w:sz w:val="24"/>
          <w:szCs w:val="24"/>
        </w:rPr>
      </w:pPr>
      <w:r>
        <w:rPr>
          <w:rFonts w:ascii="Times New Roman" w:hAnsi="Times New Roman"/>
          <w:sz w:val="24"/>
          <w:szCs w:val="24"/>
        </w:rPr>
        <w:lastRenderedPageBreak/>
        <w:t>“</w:t>
      </w:r>
      <w:r w:rsidRPr="00D04237">
        <w:rPr>
          <w:rFonts w:ascii="Times New Roman" w:hAnsi="Times New Roman"/>
          <w:sz w:val="24"/>
          <w:szCs w:val="24"/>
        </w:rPr>
        <w:t>Respondent is enjoined from enforcing Executive Order 202.68’s 10- and 25-person occupancy limits on applicant pending disposition of the appeal in the United States Court of Appeals for the Second Circuit and disposition of the petition for a writ of certiorari, if such writ is timely sought.</w:t>
      </w:r>
    </w:p>
    <w:p w14:paraId="416A3051" w14:textId="77777777" w:rsidR="00663A6A" w:rsidRDefault="00663A6A" w:rsidP="00663A6A">
      <w:pPr>
        <w:pStyle w:val="NoSpacing"/>
        <w:ind w:left="720"/>
        <w:rPr>
          <w:rFonts w:ascii="Times New Roman" w:hAnsi="Times New Roman"/>
          <w:sz w:val="24"/>
          <w:szCs w:val="24"/>
        </w:rPr>
      </w:pPr>
    </w:p>
    <w:p w14:paraId="21CC76DC" w14:textId="77777777" w:rsidR="00663A6A" w:rsidRDefault="00663A6A" w:rsidP="00663A6A">
      <w:pPr>
        <w:pStyle w:val="NoSpacing"/>
        <w:ind w:left="720"/>
        <w:rPr>
          <w:rFonts w:ascii="Times New Roman" w:hAnsi="Times New Roman"/>
          <w:sz w:val="24"/>
          <w:szCs w:val="24"/>
        </w:rPr>
      </w:pPr>
      <w:r w:rsidRPr="00D04237">
        <w:rPr>
          <w:rFonts w:ascii="Times New Roman" w:hAnsi="Times New Roman"/>
          <w:sz w:val="24"/>
          <w:szCs w:val="24"/>
        </w:rPr>
        <w:t xml:space="preserve">In a red zone, while a synagogue or church may not admit more than 10 persons, businesses categorized as </w:t>
      </w:r>
      <w:r>
        <w:rPr>
          <w:rFonts w:ascii="Times New Roman" w:hAnsi="Times New Roman"/>
          <w:sz w:val="24"/>
          <w:szCs w:val="24"/>
        </w:rPr>
        <w:t>‘</w:t>
      </w:r>
      <w:r w:rsidRPr="00D04237">
        <w:rPr>
          <w:rFonts w:ascii="Times New Roman" w:hAnsi="Times New Roman"/>
          <w:sz w:val="24"/>
          <w:szCs w:val="24"/>
        </w:rPr>
        <w:t>essential</w:t>
      </w:r>
      <w:r>
        <w:rPr>
          <w:rFonts w:ascii="Times New Roman" w:hAnsi="Times New Roman"/>
          <w:sz w:val="24"/>
          <w:szCs w:val="24"/>
        </w:rPr>
        <w:t xml:space="preserve">’ </w:t>
      </w:r>
      <w:r w:rsidRPr="00D04237">
        <w:rPr>
          <w:rFonts w:ascii="Times New Roman" w:hAnsi="Times New Roman"/>
          <w:sz w:val="24"/>
          <w:szCs w:val="24"/>
        </w:rPr>
        <w:t xml:space="preserve">may admit as many people as they wish. And the list of “essential” businesses includes things such as acupuncture facilities, </w:t>
      </w:r>
      <w:proofErr w:type="gramStart"/>
      <w:r w:rsidRPr="00D04237">
        <w:rPr>
          <w:rFonts w:ascii="Times New Roman" w:hAnsi="Times New Roman"/>
          <w:sz w:val="24"/>
          <w:szCs w:val="24"/>
        </w:rPr>
        <w:t>camp grounds</w:t>
      </w:r>
      <w:proofErr w:type="gramEnd"/>
      <w:r w:rsidRPr="00D04237">
        <w:rPr>
          <w:rFonts w:ascii="Times New Roman" w:hAnsi="Times New Roman"/>
          <w:sz w:val="24"/>
          <w:szCs w:val="24"/>
        </w:rPr>
        <w:t>, garages, as well as many whose services are not limited to those that can be regarded as essential, such as all plants manufacturing chemicals and mi</w:t>
      </w:r>
      <w:r>
        <w:rPr>
          <w:rFonts w:ascii="Times New Roman" w:hAnsi="Times New Roman"/>
          <w:sz w:val="24"/>
          <w:szCs w:val="24"/>
        </w:rPr>
        <w:t>c</w:t>
      </w:r>
      <w:r w:rsidRPr="00D04237">
        <w:rPr>
          <w:rFonts w:ascii="Times New Roman" w:hAnsi="Times New Roman"/>
          <w:sz w:val="24"/>
          <w:szCs w:val="24"/>
        </w:rPr>
        <w:t>roelectronics and all transportation facilities.</w:t>
      </w:r>
      <w:r>
        <w:rPr>
          <w:rFonts w:ascii="Times New Roman" w:hAnsi="Times New Roman"/>
          <w:sz w:val="24"/>
          <w:szCs w:val="24"/>
        </w:rPr>
        <w:t>”</w:t>
      </w:r>
    </w:p>
    <w:p w14:paraId="3BF88AD2" w14:textId="77777777" w:rsidR="00663A6A" w:rsidRPr="00D04237" w:rsidRDefault="00663A6A" w:rsidP="00663A6A">
      <w:pPr>
        <w:pStyle w:val="NoSpacing"/>
        <w:ind w:left="720"/>
        <w:rPr>
          <w:rFonts w:ascii="Times New Roman" w:hAnsi="Times New Roman"/>
          <w:sz w:val="24"/>
          <w:szCs w:val="24"/>
        </w:rPr>
      </w:pPr>
      <w:hyperlink r:id="rId2225" w:history="1">
        <w:r w:rsidRPr="003E3134">
          <w:rPr>
            <w:rStyle w:val="Hyperlink"/>
            <w:rFonts w:ascii="Times New Roman" w:hAnsi="Times New Roman"/>
            <w:sz w:val="24"/>
            <w:szCs w:val="24"/>
          </w:rPr>
          <w:t>https://www.supremecourt.gov/opinions/20pdf/20a87_4g15.pdf</w:t>
        </w:r>
      </w:hyperlink>
      <w:r w:rsidRPr="00D04237">
        <w:rPr>
          <w:rFonts w:ascii="Times New Roman" w:hAnsi="Times New Roman"/>
          <w:sz w:val="24"/>
          <w:szCs w:val="24"/>
        </w:rPr>
        <w:t xml:space="preserve"> </w:t>
      </w:r>
    </w:p>
    <w:p w14:paraId="48F27D45" w14:textId="77777777" w:rsidR="00663A6A" w:rsidRDefault="00663A6A" w:rsidP="00663A6A">
      <w:pPr>
        <w:pStyle w:val="NoSpacing"/>
      </w:pPr>
    </w:p>
    <w:p w14:paraId="19BC97E3" w14:textId="77777777" w:rsidR="00663A6A" w:rsidRDefault="00663A6A" w:rsidP="00663A6A">
      <w:pPr>
        <w:pStyle w:val="NoSpacing"/>
        <w:rPr>
          <w:rFonts w:ascii="Times New Roman" w:hAnsi="Times New Roman"/>
          <w:b/>
          <w:bCs/>
          <w:sz w:val="24"/>
          <w:szCs w:val="24"/>
        </w:rPr>
      </w:pPr>
      <w:r w:rsidRPr="007D031B">
        <w:rPr>
          <w:b/>
          <w:bCs/>
        </w:rPr>
        <w:t xml:space="preserve"> </w:t>
      </w:r>
      <w:r w:rsidRPr="007D031B">
        <w:rPr>
          <w:rFonts w:ascii="Times New Roman" w:hAnsi="Times New Roman"/>
          <w:b/>
          <w:bCs/>
          <w:sz w:val="24"/>
          <w:szCs w:val="24"/>
        </w:rPr>
        <w:t xml:space="preserve">Legal Lessons Learned: The 5 “conservative” members of the Court issued the injunction, over the dissent of 4 other Justices.  </w:t>
      </w:r>
    </w:p>
    <w:p w14:paraId="731B8E71" w14:textId="77777777" w:rsidR="00663A6A" w:rsidRDefault="00663A6A" w:rsidP="00663A6A">
      <w:pPr>
        <w:pStyle w:val="NoSpacing"/>
        <w:rPr>
          <w:rFonts w:ascii="Times New Roman" w:hAnsi="Times New Roman"/>
          <w:b/>
          <w:bCs/>
          <w:sz w:val="24"/>
          <w:szCs w:val="24"/>
        </w:rPr>
      </w:pPr>
    </w:p>
    <w:p w14:paraId="033480FC" w14:textId="77777777" w:rsidR="00663A6A" w:rsidRDefault="00663A6A" w:rsidP="00663A6A">
      <w:pPr>
        <w:pStyle w:val="NoSpacing"/>
        <w:ind w:left="720"/>
        <w:rPr>
          <w:rFonts w:ascii="Times New Roman" w:hAnsi="Times New Roman"/>
          <w:sz w:val="24"/>
          <w:szCs w:val="24"/>
        </w:rPr>
      </w:pPr>
      <w:r w:rsidRPr="007D031B">
        <w:rPr>
          <w:rFonts w:ascii="Times New Roman" w:hAnsi="Times New Roman"/>
          <w:sz w:val="24"/>
          <w:szCs w:val="24"/>
        </w:rPr>
        <w:t xml:space="preserve">Note: </w:t>
      </w:r>
      <w:r>
        <w:rPr>
          <w:rFonts w:ascii="Times New Roman" w:hAnsi="Times New Roman"/>
          <w:sz w:val="24"/>
          <w:szCs w:val="24"/>
        </w:rPr>
        <w:t xml:space="preserve"> Majority decision by Justices Samuel Alito; Amy Coney Barrett; Neil Gorsuch; Brett Kavanaugh; Clarence Thomas</w:t>
      </w:r>
    </w:p>
    <w:p w14:paraId="2D8BB461" w14:textId="104507CF" w:rsidR="00663A6A" w:rsidRDefault="00663A6A" w:rsidP="00663A6A">
      <w:pPr>
        <w:rPr>
          <w:rFonts w:ascii="Arial Black" w:hAnsi="Arial Black"/>
          <w:b/>
          <w:bCs/>
          <w:sz w:val="28"/>
          <w:szCs w:val="28"/>
        </w:rPr>
      </w:pPr>
      <w:r>
        <w:rPr>
          <w:rFonts w:ascii="Times New Roman" w:hAnsi="Times New Roman"/>
          <w:sz w:val="24"/>
          <w:szCs w:val="24"/>
        </w:rPr>
        <w:t>Dissenting: Chief Justice John Roberts; Justices Steve Breyer; Elana Kagan; Sonia Sotomayor</w:t>
      </w:r>
    </w:p>
    <w:p w14:paraId="6A8A2C1A" w14:textId="77777777" w:rsidR="00663A6A" w:rsidRDefault="00663A6A" w:rsidP="002B1283">
      <w:pPr>
        <w:rPr>
          <w:rFonts w:ascii="Arial Black" w:hAnsi="Arial Black"/>
          <w:b/>
          <w:bCs/>
          <w:sz w:val="28"/>
          <w:szCs w:val="28"/>
        </w:rPr>
      </w:pPr>
    </w:p>
    <w:p w14:paraId="344AEE7E" w14:textId="457D148D" w:rsidR="00663A6A" w:rsidRDefault="00663A6A" w:rsidP="002B1283">
      <w:pPr>
        <w:rPr>
          <w:rFonts w:ascii="Arial Black" w:hAnsi="Arial Black"/>
          <w:b/>
          <w:bCs/>
          <w:sz w:val="28"/>
          <w:szCs w:val="28"/>
        </w:rPr>
      </w:pPr>
      <w:r>
        <w:rPr>
          <w:rFonts w:ascii="Arial Black" w:hAnsi="Arial Black"/>
          <w:b/>
          <w:bCs/>
          <w:sz w:val="28"/>
          <w:szCs w:val="28"/>
        </w:rPr>
        <w:t>13-71</w:t>
      </w:r>
    </w:p>
    <w:p w14:paraId="5B075897" w14:textId="77777777" w:rsidR="00663A6A" w:rsidRPr="00E85284" w:rsidRDefault="00663A6A" w:rsidP="00663A6A">
      <w:pPr>
        <w:pStyle w:val="NoSpacing"/>
        <w:rPr>
          <w:rFonts w:ascii="Arial Black" w:hAnsi="Arial Black"/>
          <w:sz w:val="28"/>
          <w:szCs w:val="28"/>
        </w:rPr>
      </w:pPr>
      <w:r>
        <w:rPr>
          <w:rFonts w:ascii="Arial Black" w:hAnsi="Arial Black"/>
          <w:sz w:val="28"/>
          <w:szCs w:val="28"/>
        </w:rPr>
        <w:t>GA: ISLAND RESIDENTS SUE COUNTY – POOR EMS SERVICE – EXPERT’S REPORT ADMISSIBLE – RELIABLE / HELPFUL</w:t>
      </w:r>
    </w:p>
    <w:p w14:paraId="43DE7804" w14:textId="77777777" w:rsidR="00663A6A" w:rsidRPr="00E85284" w:rsidRDefault="00663A6A" w:rsidP="00663A6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23, 2020, in </w:t>
      </w:r>
      <w:r w:rsidRPr="00E85284">
        <w:rPr>
          <w:rFonts w:ascii="Times New Roman" w:hAnsi="Times New Roman"/>
          <w:sz w:val="24"/>
          <w:szCs w:val="24"/>
          <w:u w:val="single"/>
        </w:rPr>
        <w:t>Melvin Banks, Sr., et al. v. Mc</w:t>
      </w:r>
      <w:r>
        <w:rPr>
          <w:rFonts w:ascii="Times New Roman" w:hAnsi="Times New Roman"/>
          <w:sz w:val="24"/>
          <w:szCs w:val="24"/>
          <w:u w:val="single"/>
        </w:rPr>
        <w:t>I</w:t>
      </w:r>
      <w:r w:rsidRPr="00E85284">
        <w:rPr>
          <w:rFonts w:ascii="Times New Roman" w:hAnsi="Times New Roman"/>
          <w:sz w:val="24"/>
          <w:szCs w:val="24"/>
          <w:u w:val="single"/>
        </w:rPr>
        <w:t>ntosh County</w:t>
      </w:r>
      <w:r>
        <w:rPr>
          <w:rFonts w:ascii="Times New Roman" w:hAnsi="Times New Roman"/>
          <w:sz w:val="24"/>
          <w:szCs w:val="24"/>
        </w:rPr>
        <w:t xml:space="preserve">, U.S. Magistrate Judge Benjamin W. Cheesbro, U.S. District Court for South District of Georgie, denied the County’s motion to exclude </w:t>
      </w:r>
      <w:r w:rsidRPr="00F26776">
        <w:rPr>
          <w:rFonts w:ascii="Times New Roman" w:hAnsi="Times New Roman"/>
          <w:sz w:val="24"/>
          <w:szCs w:val="24"/>
        </w:rPr>
        <w:t xml:space="preserve">the expert testimony </w:t>
      </w:r>
      <w:r>
        <w:rPr>
          <w:rFonts w:ascii="Times New Roman" w:hAnsi="Times New Roman"/>
          <w:sz w:val="24"/>
          <w:szCs w:val="24"/>
        </w:rPr>
        <w:t xml:space="preserve">and report </w:t>
      </w:r>
      <w:r w:rsidRPr="00F26776">
        <w:rPr>
          <w:rFonts w:ascii="Times New Roman" w:hAnsi="Times New Roman"/>
          <w:sz w:val="24"/>
          <w:szCs w:val="24"/>
        </w:rPr>
        <w:t>of Dr. William Fales</w:t>
      </w:r>
      <w:r>
        <w:rPr>
          <w:rFonts w:ascii="Times New Roman" w:hAnsi="Times New Roman"/>
          <w:sz w:val="24"/>
          <w:szCs w:val="24"/>
        </w:rPr>
        <w:t xml:space="preserve">, since he has extensive experience in EMS.  </w:t>
      </w:r>
    </w:p>
    <w:p w14:paraId="48AEFF27" w14:textId="77777777" w:rsidR="00663A6A"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F26776">
        <w:rPr>
          <w:rFonts w:ascii="Times New Roman" w:hAnsi="Times New Roman"/>
          <w:sz w:val="24"/>
          <w:szCs w:val="24"/>
        </w:rPr>
        <w:t>In other words, Dr. Fales</w:t>
      </w:r>
      <w:r>
        <w:rPr>
          <w:rFonts w:ascii="Times New Roman" w:hAnsi="Times New Roman"/>
          <w:sz w:val="24"/>
          <w:szCs w:val="24"/>
        </w:rPr>
        <w:t>’</w:t>
      </w:r>
      <w:r w:rsidRPr="00F26776">
        <w:rPr>
          <w:rFonts w:ascii="Times New Roman" w:hAnsi="Times New Roman"/>
          <w:sz w:val="24"/>
          <w:szCs w:val="24"/>
        </w:rPr>
        <w:t xml:space="preserve"> opinions concern how and when various healthcare assets are deployed and utilized on a system-wide basis, not the adequacy of specific forms of medical care or treatment. Dr. Fales</w:t>
      </w:r>
      <w:r>
        <w:rPr>
          <w:rFonts w:ascii="Times New Roman" w:hAnsi="Times New Roman"/>
          <w:sz w:val="24"/>
          <w:szCs w:val="24"/>
        </w:rPr>
        <w:t>’</w:t>
      </w:r>
      <w:r w:rsidRPr="00F26776">
        <w:rPr>
          <w:rFonts w:ascii="Times New Roman" w:hAnsi="Times New Roman"/>
          <w:sz w:val="24"/>
          <w:szCs w:val="24"/>
        </w:rPr>
        <w:t xml:space="preserve"> recommendations highlight this distinction. For example, Dr. Fales recommends Sapelo Island First Responders should have a dedicated vehicle (Recommendation B7) and the fireboat used by McIntosh County EMS should be moved from one location to another (Recommendation C3). Doc. 273-1 at 50.</w:t>
      </w:r>
    </w:p>
    <w:p w14:paraId="7C7F62DE" w14:textId="77777777" w:rsidR="00663A6A" w:rsidRPr="00F26776" w:rsidRDefault="00663A6A" w:rsidP="00663A6A">
      <w:pPr>
        <w:pStyle w:val="NoSpacing"/>
        <w:rPr>
          <w:rFonts w:ascii="Times New Roman" w:hAnsi="Times New Roman"/>
          <w:sz w:val="24"/>
          <w:szCs w:val="24"/>
        </w:rPr>
      </w:pPr>
    </w:p>
    <w:p w14:paraId="3E00C779" w14:textId="77777777" w:rsidR="00663A6A" w:rsidRDefault="00663A6A" w:rsidP="00663A6A">
      <w:pPr>
        <w:pStyle w:val="NoSpacing"/>
        <w:ind w:left="720"/>
        <w:rPr>
          <w:rFonts w:ascii="Times New Roman" w:hAnsi="Times New Roman"/>
          <w:sz w:val="24"/>
          <w:szCs w:val="24"/>
        </w:rPr>
      </w:pPr>
      <w:r w:rsidRPr="00F26776">
        <w:rPr>
          <w:rFonts w:ascii="Times New Roman" w:hAnsi="Times New Roman"/>
          <w:sz w:val="24"/>
          <w:szCs w:val="24"/>
        </w:rPr>
        <w:t xml:space="preserve">Recommendation A3 provides that the McIntosh County EMS should use Wiregrass 911 to adopt a formal 911 system. Doc. 273-1 at 48. Recommendation A4 provides the County should adopt a tiered response plan for the Sapelo Island EMS Response Plan based on patient acuity. </w:t>
      </w:r>
      <w:r w:rsidRPr="00F26776">
        <w:rPr>
          <w:rFonts w:ascii="Times New Roman" w:hAnsi="Times New Roman"/>
          <w:sz w:val="24"/>
          <w:szCs w:val="24"/>
          <w:u w:val="single"/>
        </w:rPr>
        <w:t>Id.</w:t>
      </w:r>
      <w:r w:rsidRPr="00F26776">
        <w:rPr>
          <w:rFonts w:ascii="Times New Roman" w:hAnsi="Times New Roman"/>
          <w:sz w:val="24"/>
          <w:szCs w:val="24"/>
        </w:rPr>
        <w:t xml:space="preserve"> Recommendation C1 provides McIntosh County should develop a form EMS Response Plan for Sapelo Island. </w:t>
      </w:r>
      <w:r w:rsidRPr="00F26776">
        <w:rPr>
          <w:rFonts w:ascii="Times New Roman" w:hAnsi="Times New Roman"/>
          <w:sz w:val="24"/>
          <w:szCs w:val="24"/>
          <w:u w:val="single"/>
        </w:rPr>
        <w:t>Id.</w:t>
      </w:r>
      <w:r w:rsidRPr="00F26776">
        <w:rPr>
          <w:rFonts w:ascii="Times New Roman" w:hAnsi="Times New Roman"/>
          <w:sz w:val="24"/>
          <w:szCs w:val="24"/>
        </w:rPr>
        <w:t xml:space="preserve"> At 49. Recommendation C2 also provides McIntosh County EMS should work in collaboration with Wiregrass 911. </w:t>
      </w:r>
      <w:r w:rsidRPr="00F26776">
        <w:rPr>
          <w:rFonts w:ascii="Times New Roman" w:hAnsi="Times New Roman"/>
          <w:sz w:val="24"/>
          <w:szCs w:val="24"/>
          <w:u w:val="single"/>
        </w:rPr>
        <w:t>Id.</w:t>
      </w:r>
      <w:r w:rsidRPr="00F26776">
        <w:rPr>
          <w:rFonts w:ascii="Times New Roman" w:hAnsi="Times New Roman"/>
          <w:sz w:val="24"/>
          <w:szCs w:val="24"/>
        </w:rPr>
        <w:t xml:space="preserve"> Recommendation C6 provides McIntosh County should develop a training program for first responders serving Sapelo Island to ensure effective EMS. </w:t>
      </w:r>
      <w:r w:rsidRPr="00F26776">
        <w:rPr>
          <w:rFonts w:ascii="Times New Roman" w:hAnsi="Times New Roman"/>
          <w:sz w:val="24"/>
          <w:szCs w:val="24"/>
          <w:u w:val="single"/>
        </w:rPr>
        <w:t>Id.</w:t>
      </w:r>
      <w:r w:rsidRPr="00F26776">
        <w:rPr>
          <w:rFonts w:ascii="Times New Roman" w:hAnsi="Times New Roman"/>
          <w:sz w:val="24"/>
          <w:szCs w:val="24"/>
        </w:rPr>
        <w:t xml:space="preserve"> Recommendation C7 provides McIntosh County EMS should established a quality improvement program. </w:t>
      </w:r>
      <w:r w:rsidRPr="00F26776">
        <w:rPr>
          <w:rFonts w:ascii="Times New Roman" w:hAnsi="Times New Roman"/>
          <w:sz w:val="24"/>
          <w:szCs w:val="24"/>
          <w:u w:val="single"/>
        </w:rPr>
        <w:t>Id.</w:t>
      </w:r>
      <w:r w:rsidRPr="00F26776">
        <w:rPr>
          <w:rFonts w:ascii="Times New Roman" w:hAnsi="Times New Roman"/>
          <w:sz w:val="24"/>
          <w:szCs w:val="24"/>
        </w:rPr>
        <w:t xml:space="preserve"> At 50. Recommendation C9 provides McIntosh County EMS should apply for a federal grant to </w:t>
      </w:r>
      <w:proofErr w:type="gramStart"/>
      <w:r w:rsidRPr="00F26776">
        <w:rPr>
          <w:rFonts w:ascii="Times New Roman" w:hAnsi="Times New Roman"/>
          <w:sz w:val="24"/>
          <w:szCs w:val="24"/>
        </w:rPr>
        <w:t>help better</w:t>
      </w:r>
      <w:proofErr w:type="gramEnd"/>
      <w:r w:rsidRPr="00F26776">
        <w:rPr>
          <w:rFonts w:ascii="Times New Roman" w:hAnsi="Times New Roman"/>
          <w:sz w:val="24"/>
          <w:szCs w:val="24"/>
        </w:rPr>
        <w:t xml:space="preserve"> serve both the County as a whole and the Island. </w:t>
      </w:r>
      <w:r w:rsidRPr="00F26776">
        <w:rPr>
          <w:rFonts w:ascii="Times New Roman" w:hAnsi="Times New Roman"/>
          <w:sz w:val="24"/>
          <w:szCs w:val="24"/>
          <w:u w:val="single"/>
        </w:rPr>
        <w:t>Id</w:t>
      </w:r>
      <w:r>
        <w:rPr>
          <w:rFonts w:ascii="Times New Roman" w:hAnsi="Times New Roman"/>
          <w:sz w:val="24"/>
          <w:szCs w:val="24"/>
        </w:rPr>
        <w:t>.”</w:t>
      </w:r>
    </w:p>
    <w:p w14:paraId="3EF14B4B" w14:textId="77777777" w:rsidR="00663A6A" w:rsidRDefault="00663A6A" w:rsidP="00663A6A">
      <w:pPr>
        <w:pStyle w:val="NoSpacing"/>
        <w:ind w:left="720"/>
      </w:pPr>
      <w:hyperlink r:id="rId2226" w:history="1">
        <w:r w:rsidRPr="00AA126E">
          <w:rPr>
            <w:rStyle w:val="Hyperlink"/>
          </w:rPr>
          <w:t>https://public.fastcase.com/Wl%2B2t%2BeVuI35%2FN70vAMFZu2kCKVGtKJMtqi4A8YrO%2FA1C58cJM7PHa67poZD1rnP</w:t>
        </w:r>
      </w:hyperlink>
      <w:r>
        <w:t xml:space="preserve"> </w:t>
      </w:r>
    </w:p>
    <w:p w14:paraId="49E24A05" w14:textId="77777777" w:rsidR="00663A6A" w:rsidRDefault="00663A6A" w:rsidP="00663A6A">
      <w:pPr>
        <w:pStyle w:val="NoSpacing"/>
        <w:rPr>
          <w:rFonts w:ascii="Times New Roman" w:hAnsi="Times New Roman"/>
          <w:sz w:val="24"/>
          <w:szCs w:val="24"/>
        </w:rPr>
      </w:pPr>
    </w:p>
    <w:p w14:paraId="1C15A1C0" w14:textId="77777777" w:rsidR="00663A6A" w:rsidRPr="00F26776" w:rsidRDefault="00663A6A" w:rsidP="00663A6A">
      <w:pPr>
        <w:spacing w:before="100" w:beforeAutospacing="1" w:after="100" w:afterAutospacing="1" w:line="240" w:lineRule="auto"/>
        <w:rPr>
          <w:rFonts w:ascii="Times New Roman" w:eastAsia="Times New Roman" w:hAnsi="Times New Roman"/>
          <w:b/>
          <w:bCs/>
          <w:sz w:val="24"/>
          <w:szCs w:val="24"/>
        </w:rPr>
      </w:pPr>
      <w:r w:rsidRPr="00295761">
        <w:rPr>
          <w:rFonts w:ascii="Times New Roman" w:hAnsi="Times New Roman"/>
          <w:b/>
          <w:bCs/>
          <w:sz w:val="24"/>
          <w:szCs w:val="24"/>
        </w:rPr>
        <w:lastRenderedPageBreak/>
        <w:t>Legal Lessons Learned:</w:t>
      </w:r>
      <w:r>
        <w:rPr>
          <w:rFonts w:ascii="Times New Roman" w:hAnsi="Times New Roman"/>
          <w:b/>
          <w:bCs/>
          <w:sz w:val="24"/>
          <w:szCs w:val="24"/>
        </w:rPr>
        <w:t xml:space="preserve">  The case may now proceed to trial.   Dr. Fales has apparently never visited </w:t>
      </w:r>
      <w:r w:rsidRPr="00295761">
        <w:rPr>
          <w:rFonts w:ascii="Times New Roman" w:eastAsia="Times New Roman" w:hAnsi="Times New Roman"/>
          <w:b/>
          <w:bCs/>
          <w:sz w:val="24"/>
          <w:szCs w:val="24"/>
        </w:rPr>
        <w:t xml:space="preserve">Sapelo Island; hopefully he will prior to trial. </w:t>
      </w:r>
    </w:p>
    <w:p w14:paraId="04EB0CC8" w14:textId="77777777" w:rsidR="00663A6A" w:rsidRPr="00295761" w:rsidRDefault="00663A6A" w:rsidP="00663A6A">
      <w:pPr>
        <w:pStyle w:val="NormalWeb"/>
        <w:ind w:left="720"/>
      </w:pPr>
      <w:r>
        <w:t xml:space="preserve">Note: Sapelo Island looks like a lovely place. </w:t>
      </w:r>
      <w:hyperlink r:id="rId2227" w:history="1">
        <w:r w:rsidRPr="00AA126E">
          <w:rPr>
            <w:rStyle w:val="Hyperlink"/>
          </w:rPr>
          <w:t>https://www.exploregeorgia.org/city/sapelo-island</w:t>
        </w:r>
      </w:hyperlink>
      <w:r>
        <w:t xml:space="preserve"> </w:t>
      </w:r>
    </w:p>
    <w:p w14:paraId="485619D1" w14:textId="77777777" w:rsidR="00663A6A" w:rsidRPr="00295761" w:rsidRDefault="00663A6A" w:rsidP="00663A6A">
      <w:pPr>
        <w:pStyle w:val="NormalWeb"/>
        <w:ind w:left="1440"/>
      </w:pPr>
      <w:r>
        <w:t>“</w:t>
      </w:r>
      <w:r w:rsidRPr="00295761">
        <w:t xml:space="preserve">Sapelo is a state-managed barrier island, the fourth largest in the chain of coastal Georgia islands between the Savannah and St. </w:t>
      </w:r>
      <w:proofErr w:type="spellStart"/>
      <w:r w:rsidRPr="00295761">
        <w:t>Marys</w:t>
      </w:r>
      <w:proofErr w:type="spellEnd"/>
      <w:r w:rsidRPr="00295761">
        <w:t xml:space="preserve"> rivers. Accessible only by passenger ferry, Sapelo provides </w:t>
      </w:r>
      <w:proofErr w:type="gramStart"/>
      <w:r w:rsidRPr="00295761">
        <w:t>a number of</w:t>
      </w:r>
      <w:proofErr w:type="gramEnd"/>
      <w:r w:rsidRPr="00295761">
        <w:t xml:space="preserve"> public access recreational, educational and lodging opportunities.</w:t>
      </w:r>
      <w:r>
        <w:t xml:space="preserve"> </w:t>
      </w:r>
      <w:r w:rsidRPr="00295761">
        <w:t>The Georgia Department of Natural Resources (DNR) manages the island. DNR operates the ferry service and serves as state liaison for the Sapelo Island National Estuarine Research Reserve, the University of Georgia Marine Institute, and the civilian Hog Hammock community, permanent home to about 70 full-time residents, many of whom are descended from the antebellum slaves of Sapelo</w:t>
      </w:r>
      <w:r>
        <w:t>’</w:t>
      </w:r>
      <w:r w:rsidRPr="00295761">
        <w:t>s plantations.</w:t>
      </w:r>
      <w:r>
        <w:t xml:space="preserve">” </w:t>
      </w:r>
    </w:p>
    <w:p w14:paraId="1ABC4AF5" w14:textId="77777777" w:rsidR="00663A6A" w:rsidRDefault="00663A6A" w:rsidP="002B1283">
      <w:pPr>
        <w:rPr>
          <w:rFonts w:ascii="Arial Black" w:hAnsi="Arial Black"/>
          <w:b/>
          <w:bCs/>
          <w:sz w:val="28"/>
          <w:szCs w:val="28"/>
        </w:rPr>
      </w:pPr>
    </w:p>
    <w:p w14:paraId="07D9A146" w14:textId="77777777" w:rsidR="00663A6A" w:rsidRDefault="00663A6A" w:rsidP="002B1283">
      <w:pPr>
        <w:rPr>
          <w:rFonts w:ascii="Arial Black" w:hAnsi="Arial Black"/>
          <w:b/>
          <w:bCs/>
          <w:sz w:val="28"/>
          <w:szCs w:val="28"/>
        </w:rPr>
      </w:pPr>
    </w:p>
    <w:p w14:paraId="50909CCE" w14:textId="449449A2" w:rsidR="00663A6A" w:rsidRDefault="00663A6A" w:rsidP="002B1283">
      <w:pPr>
        <w:rPr>
          <w:rFonts w:ascii="Arial Black" w:hAnsi="Arial Black"/>
          <w:b/>
          <w:bCs/>
          <w:sz w:val="28"/>
          <w:szCs w:val="28"/>
        </w:rPr>
      </w:pPr>
      <w:r>
        <w:rPr>
          <w:rFonts w:ascii="Arial Black" w:hAnsi="Arial Black"/>
          <w:b/>
          <w:bCs/>
          <w:sz w:val="28"/>
          <w:szCs w:val="28"/>
        </w:rPr>
        <w:t>13-70</w:t>
      </w:r>
    </w:p>
    <w:p w14:paraId="2E0F17CB" w14:textId="77777777" w:rsidR="00663A6A" w:rsidRDefault="00663A6A" w:rsidP="00663A6A">
      <w:pPr>
        <w:rPr>
          <w:rFonts w:ascii="Arial Black" w:hAnsi="Arial Black"/>
          <w:sz w:val="28"/>
          <w:szCs w:val="28"/>
        </w:rPr>
      </w:pPr>
      <w:r>
        <w:rPr>
          <w:rFonts w:ascii="Arial Black" w:hAnsi="Arial Black"/>
          <w:sz w:val="28"/>
          <w:szCs w:val="28"/>
        </w:rPr>
        <w:t>OH:  COVID-19 TEMPORARY STATUTE – EMS AUTHORIZED WORK IN HOSPITAL ED AND IN OTHER HOSPITAL AREAS</w:t>
      </w:r>
    </w:p>
    <w:p w14:paraId="14109486" w14:textId="77777777" w:rsidR="00663A6A" w:rsidRPr="00304944" w:rsidRDefault="00663A6A" w:rsidP="00663A6A">
      <w:pPr>
        <w:rPr>
          <w:rFonts w:ascii="Times New Roman" w:hAnsi="Times New Roman"/>
          <w:sz w:val="24"/>
          <w:szCs w:val="24"/>
        </w:rPr>
      </w:pPr>
      <w:r>
        <w:rPr>
          <w:rFonts w:ascii="Times New Roman" w:hAnsi="Times New Roman"/>
          <w:sz w:val="24"/>
          <w:szCs w:val="24"/>
        </w:rPr>
        <w:t xml:space="preserve">On Nov. 23, 2021, the Governor of Ohio signed </w:t>
      </w:r>
      <w:proofErr w:type="gramStart"/>
      <w:r>
        <w:rPr>
          <w:rFonts w:ascii="Times New Roman" w:hAnsi="Times New Roman"/>
          <w:sz w:val="24"/>
          <w:szCs w:val="24"/>
        </w:rPr>
        <w:t>into law House Bill 151</w:t>
      </w:r>
      <w:proofErr w:type="gramEnd"/>
      <w:r>
        <w:rPr>
          <w:rFonts w:ascii="Times New Roman" w:hAnsi="Times New Roman"/>
          <w:sz w:val="24"/>
          <w:szCs w:val="24"/>
        </w:rPr>
        <w:t>, provides in part:</w:t>
      </w:r>
    </w:p>
    <w:p w14:paraId="5B1EA0FC" w14:textId="77777777" w:rsidR="00663A6A" w:rsidRDefault="00663A6A" w:rsidP="00663A6A">
      <w:pPr>
        <w:ind w:left="720"/>
        <w:rPr>
          <w:rFonts w:ascii="Times New Roman" w:hAnsi="Times New Roman"/>
          <w:sz w:val="24"/>
          <w:szCs w:val="24"/>
        </w:rPr>
      </w:pPr>
      <w:r>
        <w:rPr>
          <w:rFonts w:ascii="Times New Roman" w:hAnsi="Times New Roman"/>
          <w:sz w:val="24"/>
          <w:szCs w:val="24"/>
        </w:rPr>
        <w:t>“</w:t>
      </w:r>
      <w:r w:rsidRPr="00304944">
        <w:rPr>
          <w:rFonts w:ascii="Times New Roman" w:hAnsi="Times New Roman"/>
          <w:sz w:val="24"/>
          <w:szCs w:val="24"/>
        </w:rPr>
        <w:t>(B) Beginning on the effective date of this section and until July 1, 2021, and not</w:t>
      </w:r>
      <w:r>
        <w:rPr>
          <w:rFonts w:ascii="Times New Roman" w:hAnsi="Times New Roman"/>
          <w:sz w:val="24"/>
          <w:szCs w:val="24"/>
        </w:rPr>
        <w:t xml:space="preserve"> </w:t>
      </w:r>
      <w:r w:rsidRPr="00304944">
        <w:rPr>
          <w:rFonts w:ascii="Times New Roman" w:hAnsi="Times New Roman"/>
          <w:sz w:val="24"/>
          <w:szCs w:val="24"/>
        </w:rPr>
        <w:t>withstanding</w:t>
      </w:r>
      <w:r>
        <w:rPr>
          <w:rFonts w:ascii="Times New Roman" w:hAnsi="Times New Roman"/>
          <w:sz w:val="24"/>
          <w:szCs w:val="24"/>
        </w:rPr>
        <w:t xml:space="preserve"> </w:t>
      </w:r>
      <w:r w:rsidRPr="00304944">
        <w:rPr>
          <w:rFonts w:ascii="Times New Roman" w:hAnsi="Times New Roman"/>
          <w:sz w:val="24"/>
          <w:szCs w:val="24"/>
        </w:rPr>
        <w:t>any provision of the Revised Code, a first responder, emergency medical technician-basic,</w:t>
      </w:r>
      <w:r>
        <w:rPr>
          <w:rFonts w:ascii="Times New Roman" w:hAnsi="Times New Roman"/>
          <w:sz w:val="24"/>
          <w:szCs w:val="24"/>
        </w:rPr>
        <w:t xml:space="preserve"> </w:t>
      </w:r>
      <w:r w:rsidRPr="00304944">
        <w:rPr>
          <w:rFonts w:ascii="Times New Roman" w:hAnsi="Times New Roman"/>
          <w:sz w:val="24"/>
          <w:szCs w:val="24"/>
        </w:rPr>
        <w:t>emergency medical technician-intermediate, and emergency medical technician-paramedic may</w:t>
      </w:r>
      <w:r>
        <w:rPr>
          <w:rFonts w:ascii="Times New Roman" w:hAnsi="Times New Roman"/>
          <w:sz w:val="24"/>
          <w:szCs w:val="24"/>
        </w:rPr>
        <w:t xml:space="preserve"> </w:t>
      </w:r>
      <w:r w:rsidRPr="00304944">
        <w:rPr>
          <w:rFonts w:ascii="Times New Roman" w:hAnsi="Times New Roman"/>
          <w:sz w:val="24"/>
          <w:szCs w:val="24"/>
        </w:rPr>
        <w:t>perform emergency medical services in any setting, including in any area of a hospital, if the services</w:t>
      </w:r>
      <w:r>
        <w:rPr>
          <w:rFonts w:ascii="Times New Roman" w:hAnsi="Times New Roman"/>
          <w:sz w:val="24"/>
          <w:szCs w:val="24"/>
        </w:rPr>
        <w:t xml:space="preserve"> </w:t>
      </w:r>
      <w:r w:rsidRPr="00304944">
        <w:rPr>
          <w:rFonts w:ascii="Times New Roman" w:hAnsi="Times New Roman"/>
          <w:sz w:val="24"/>
          <w:szCs w:val="24"/>
        </w:rPr>
        <w:t>are performed under the direction and supervision of one of the following</w:t>
      </w:r>
      <w:r>
        <w:rPr>
          <w:rFonts w:ascii="Times New Roman" w:hAnsi="Times New Roman"/>
          <w:sz w:val="24"/>
          <w:szCs w:val="24"/>
        </w:rPr>
        <w:t>:</w:t>
      </w:r>
      <w:r w:rsidRPr="00304944">
        <w:rPr>
          <w:rFonts w:ascii="Times New Roman" w:hAnsi="Times New Roman"/>
          <w:sz w:val="24"/>
          <w:szCs w:val="24"/>
        </w:rPr>
        <w:t>1) A physician;(2) A physician assistant designated by a physician;(3) An advanced practice registered nurse designated by a physician.(C) A first responder, emergency medical technician-basic, emergency medical technician-intermediate, and emergency medical technician-paramedic is not liable in damages in a civil action</w:t>
      </w:r>
      <w:r>
        <w:rPr>
          <w:rFonts w:ascii="Times New Roman" w:hAnsi="Times New Roman"/>
          <w:sz w:val="24"/>
          <w:szCs w:val="24"/>
        </w:rPr>
        <w:t xml:space="preserve"> </w:t>
      </w:r>
      <w:r w:rsidRPr="00304944">
        <w:rPr>
          <w:rFonts w:ascii="Times New Roman" w:hAnsi="Times New Roman"/>
          <w:sz w:val="24"/>
          <w:szCs w:val="24"/>
        </w:rPr>
        <w:t>for injury, death, or loss to person or property resulting from the individual</w:t>
      </w:r>
      <w:r>
        <w:rPr>
          <w:rFonts w:ascii="Times New Roman" w:hAnsi="Times New Roman"/>
          <w:sz w:val="24"/>
          <w:szCs w:val="24"/>
        </w:rPr>
        <w:t>’</w:t>
      </w:r>
      <w:r w:rsidRPr="00304944">
        <w:rPr>
          <w:rFonts w:ascii="Times New Roman" w:hAnsi="Times New Roman"/>
          <w:sz w:val="24"/>
          <w:szCs w:val="24"/>
        </w:rPr>
        <w:t>s administration of</w:t>
      </w:r>
      <w:r>
        <w:rPr>
          <w:rFonts w:ascii="Times New Roman" w:hAnsi="Times New Roman"/>
          <w:sz w:val="24"/>
          <w:szCs w:val="24"/>
        </w:rPr>
        <w:t xml:space="preserve"> </w:t>
      </w:r>
      <w:r w:rsidRPr="00304944">
        <w:rPr>
          <w:rFonts w:ascii="Times New Roman" w:hAnsi="Times New Roman"/>
          <w:sz w:val="24"/>
          <w:szCs w:val="24"/>
        </w:rPr>
        <w:t>emergency medical services, unless the services are administered in a manner that constitutes willful</w:t>
      </w:r>
      <w:r>
        <w:rPr>
          <w:rFonts w:ascii="Times New Roman" w:hAnsi="Times New Roman"/>
          <w:sz w:val="24"/>
          <w:szCs w:val="24"/>
        </w:rPr>
        <w:t xml:space="preserve"> </w:t>
      </w:r>
      <w:r w:rsidRPr="00304944">
        <w:rPr>
          <w:rFonts w:ascii="Times New Roman" w:hAnsi="Times New Roman"/>
          <w:sz w:val="24"/>
          <w:szCs w:val="24"/>
        </w:rPr>
        <w:t>or wanton misconduct.</w:t>
      </w:r>
      <w:r>
        <w:rPr>
          <w:rFonts w:ascii="Times New Roman" w:hAnsi="Times New Roman"/>
          <w:sz w:val="24"/>
          <w:szCs w:val="24"/>
        </w:rPr>
        <w:t xml:space="preserve">” </w:t>
      </w:r>
      <w:hyperlink r:id="rId2228" w:history="1">
        <w:r w:rsidRPr="00695F3D">
          <w:rPr>
            <w:rStyle w:val="Hyperlink"/>
            <w:rFonts w:ascii="Times New Roman" w:hAnsi="Times New Roman"/>
            <w:sz w:val="24"/>
            <w:szCs w:val="24"/>
          </w:rPr>
          <w:t>file:///C:/Users/lawre/AppData/Local/Temp/hb151_05_EN.pdf</w:t>
        </w:r>
      </w:hyperlink>
      <w:r>
        <w:rPr>
          <w:rFonts w:ascii="Times New Roman" w:hAnsi="Times New Roman"/>
          <w:sz w:val="24"/>
          <w:szCs w:val="24"/>
        </w:rPr>
        <w:t xml:space="preserve"> [page 20].</w:t>
      </w:r>
    </w:p>
    <w:p w14:paraId="79E8B821" w14:textId="77777777" w:rsidR="00663A6A" w:rsidRDefault="00663A6A" w:rsidP="00663A6A">
      <w:pPr>
        <w:rPr>
          <w:rFonts w:ascii="Times New Roman" w:hAnsi="Times New Roman"/>
          <w:b/>
          <w:bCs/>
          <w:sz w:val="24"/>
          <w:szCs w:val="24"/>
        </w:rPr>
      </w:pPr>
      <w:r w:rsidRPr="00304944">
        <w:rPr>
          <w:rFonts w:ascii="Times New Roman" w:hAnsi="Times New Roman"/>
          <w:b/>
          <w:bCs/>
          <w:sz w:val="24"/>
          <w:szCs w:val="24"/>
        </w:rPr>
        <w:t xml:space="preserve">Legal Lesson Learned: </w:t>
      </w:r>
      <w:r>
        <w:rPr>
          <w:rFonts w:ascii="Times New Roman" w:hAnsi="Times New Roman"/>
          <w:b/>
          <w:bCs/>
          <w:sz w:val="24"/>
          <w:szCs w:val="24"/>
        </w:rPr>
        <w:t xml:space="preserve">The new law will be helpful to many hospitals; Ohio EMS should keep their FD Medical Director informed of duties performed outside the ED. </w:t>
      </w:r>
    </w:p>
    <w:p w14:paraId="6FECD26E" w14:textId="77777777" w:rsidR="00663A6A" w:rsidRDefault="00663A6A" w:rsidP="00663A6A">
      <w:pPr>
        <w:ind w:left="720"/>
        <w:rPr>
          <w:rFonts w:ascii="Times New Roman" w:hAnsi="Times New Roman"/>
          <w:sz w:val="24"/>
          <w:szCs w:val="24"/>
        </w:rPr>
      </w:pPr>
      <w:r>
        <w:rPr>
          <w:rFonts w:ascii="Times New Roman" w:hAnsi="Times New Roman"/>
          <w:sz w:val="24"/>
          <w:szCs w:val="24"/>
        </w:rPr>
        <w:t xml:space="preserve">Note:  See memo from State Medical Director: </w:t>
      </w:r>
      <w:hyperlink r:id="rId2229" w:history="1">
        <w:r w:rsidRPr="00D74D0C">
          <w:rPr>
            <w:rStyle w:val="Hyperlink"/>
            <w:rFonts w:ascii="Times New Roman" w:hAnsi="Times New Roman"/>
            <w:sz w:val="24"/>
            <w:szCs w:val="24"/>
          </w:rPr>
          <w:t>https://www.ems.ohio.gov/links/COVID-19/Legislated%20COVID-19%20Contingency%20Measures%20for%20Ohio%20EMS.pdf</w:t>
        </w:r>
      </w:hyperlink>
      <w:r>
        <w:rPr>
          <w:rFonts w:ascii="Times New Roman" w:hAnsi="Times New Roman"/>
          <w:sz w:val="24"/>
          <w:szCs w:val="24"/>
        </w:rPr>
        <w:t xml:space="preserve"> </w:t>
      </w:r>
    </w:p>
    <w:p w14:paraId="6B51BD52" w14:textId="77777777" w:rsidR="00663A6A" w:rsidRDefault="00663A6A" w:rsidP="00663A6A">
      <w:pPr>
        <w:ind w:left="1440"/>
        <w:rPr>
          <w:rFonts w:ascii="Times New Roman" w:hAnsi="Times New Roman"/>
          <w:sz w:val="24"/>
          <w:szCs w:val="24"/>
        </w:rPr>
      </w:pPr>
      <w:r>
        <w:rPr>
          <w:rFonts w:ascii="Times New Roman" w:hAnsi="Times New Roman"/>
          <w:sz w:val="24"/>
          <w:szCs w:val="24"/>
        </w:rPr>
        <w:t>“</w:t>
      </w:r>
      <w:r w:rsidRPr="00881C45">
        <w:rPr>
          <w:rFonts w:ascii="Times New Roman" w:hAnsi="Times New Roman"/>
          <w:sz w:val="24"/>
          <w:szCs w:val="24"/>
        </w:rPr>
        <w:t xml:space="preserve">Typically, EMS medical directors and most emergency physicians are well versed in the parameters within the Ohio EMS scope of practice.  However, this may not be the case with other healthcare providers or physicians who specialize in other medical specialties.  Each Ohio EMS provider is responsible for their individual Ohio EMS certification and to ensure that their actions are within the authorized Ohio EMS scope of practice for their respective level of </w:t>
      </w:r>
      <w:r w:rsidRPr="00881C45">
        <w:rPr>
          <w:rFonts w:ascii="Times New Roman" w:hAnsi="Times New Roman"/>
          <w:sz w:val="24"/>
          <w:szCs w:val="24"/>
        </w:rPr>
        <w:lastRenderedPageBreak/>
        <w:t xml:space="preserve">certification.  </w:t>
      </w:r>
      <w:r w:rsidRPr="00881C45">
        <w:rPr>
          <w:rStyle w:val="Strong"/>
          <w:rFonts w:ascii="Times New Roman" w:hAnsi="Times New Roman"/>
          <w:sz w:val="24"/>
          <w:szCs w:val="24"/>
        </w:rPr>
        <w:t>If any healthcare provider requests the provision of emergency medical services that are beyond the Ohio EMS scope of practice, it is the responsibility of the Ohio EMS provider to decline to perform skills or provide services that are not authorized by the State Board of Emergency Medical, Fire, and Transportation Services.</w:t>
      </w:r>
      <w:r>
        <w:rPr>
          <w:rFonts w:ascii="Times New Roman" w:hAnsi="Times New Roman"/>
          <w:sz w:val="24"/>
          <w:szCs w:val="24"/>
        </w:rPr>
        <w:t>” [Emphasis in original.]</w:t>
      </w:r>
    </w:p>
    <w:p w14:paraId="59B53D66" w14:textId="77777777" w:rsidR="00663A6A" w:rsidRDefault="00663A6A" w:rsidP="002B1283">
      <w:pPr>
        <w:rPr>
          <w:rFonts w:ascii="Arial Black" w:hAnsi="Arial Black"/>
          <w:b/>
          <w:bCs/>
          <w:sz w:val="28"/>
          <w:szCs w:val="28"/>
        </w:rPr>
      </w:pPr>
    </w:p>
    <w:p w14:paraId="5F291CDD" w14:textId="77777777" w:rsidR="00663A6A" w:rsidRDefault="00663A6A" w:rsidP="002B1283">
      <w:pPr>
        <w:rPr>
          <w:rFonts w:ascii="Arial Black" w:hAnsi="Arial Black"/>
          <w:b/>
          <w:bCs/>
          <w:sz w:val="28"/>
          <w:szCs w:val="28"/>
        </w:rPr>
      </w:pPr>
    </w:p>
    <w:p w14:paraId="793864CE" w14:textId="56DC5EAE" w:rsidR="00663A6A" w:rsidRDefault="00663A6A" w:rsidP="002B1283">
      <w:pPr>
        <w:rPr>
          <w:rFonts w:ascii="Arial Black" w:hAnsi="Arial Black"/>
          <w:b/>
          <w:bCs/>
          <w:sz w:val="28"/>
          <w:szCs w:val="28"/>
        </w:rPr>
      </w:pPr>
      <w:r>
        <w:rPr>
          <w:rFonts w:ascii="Arial Black" w:hAnsi="Arial Black"/>
          <w:b/>
          <w:bCs/>
          <w:sz w:val="28"/>
          <w:szCs w:val="28"/>
        </w:rPr>
        <w:t>13-69</w:t>
      </w:r>
    </w:p>
    <w:p w14:paraId="53486EDD" w14:textId="77777777" w:rsidR="00663A6A" w:rsidRDefault="00663A6A" w:rsidP="00663A6A">
      <w:pPr>
        <w:pStyle w:val="NoSpacing"/>
        <w:rPr>
          <w:rFonts w:ascii="Arial Black" w:hAnsi="Arial Black"/>
          <w:sz w:val="28"/>
          <w:szCs w:val="28"/>
        </w:rPr>
      </w:pPr>
      <w:r>
        <w:rPr>
          <w:rFonts w:ascii="Arial Black" w:hAnsi="Arial Black"/>
          <w:sz w:val="28"/>
          <w:szCs w:val="28"/>
        </w:rPr>
        <w:t>NY: PLAINTIFF PASSED OUT AT CONCERT – REFUSES EMS HELP – ORIENTED TIMES 3 - FALLS ON HIS FACE – CASE DISMISSED</w:t>
      </w:r>
    </w:p>
    <w:p w14:paraId="1CD1F2D9" w14:textId="77777777" w:rsidR="00663A6A" w:rsidRDefault="00663A6A" w:rsidP="00663A6A">
      <w:pPr>
        <w:pStyle w:val="NoSpacing"/>
        <w:rPr>
          <w:rFonts w:ascii="Arial Black" w:hAnsi="Arial Black"/>
          <w:sz w:val="28"/>
          <w:szCs w:val="28"/>
        </w:rPr>
      </w:pPr>
    </w:p>
    <w:p w14:paraId="3D5E2B26" w14:textId="77777777" w:rsidR="00663A6A" w:rsidRDefault="00663A6A" w:rsidP="00663A6A">
      <w:pPr>
        <w:pStyle w:val="NoSpacing"/>
        <w:rPr>
          <w:rFonts w:ascii="Times New Roman" w:hAnsi="Times New Roman"/>
          <w:sz w:val="24"/>
          <w:szCs w:val="24"/>
        </w:rPr>
      </w:pPr>
      <w:r>
        <w:rPr>
          <w:rFonts w:ascii="Times New Roman" w:hAnsi="Times New Roman"/>
          <w:sz w:val="24"/>
          <w:szCs w:val="24"/>
        </w:rPr>
        <w:t xml:space="preserve">On Nov. 19, 2020, in </w:t>
      </w:r>
      <w:r w:rsidRPr="00DF070F">
        <w:rPr>
          <w:rFonts w:ascii="Times New Roman" w:hAnsi="Times New Roman"/>
          <w:sz w:val="24"/>
          <w:szCs w:val="24"/>
          <w:u w:val="single"/>
        </w:rPr>
        <w:t>Anthony Fornabaio, et a. v. Beacon Broadway Company, Inc.</w:t>
      </w:r>
      <w:r>
        <w:rPr>
          <w:rFonts w:ascii="Times New Roman" w:hAnsi="Times New Roman"/>
          <w:sz w:val="24"/>
          <w:szCs w:val="24"/>
          <w:u w:val="single"/>
        </w:rPr>
        <w:t xml:space="preserve">; </w:t>
      </w:r>
      <w:proofErr w:type="spellStart"/>
      <w:r>
        <w:rPr>
          <w:rFonts w:ascii="Times New Roman" w:hAnsi="Times New Roman"/>
          <w:sz w:val="24"/>
          <w:szCs w:val="24"/>
          <w:u w:val="single"/>
        </w:rPr>
        <w:t>Transcare</w:t>
      </w:r>
      <w:proofErr w:type="spellEnd"/>
      <w:r>
        <w:rPr>
          <w:rFonts w:ascii="Times New Roman" w:hAnsi="Times New Roman"/>
          <w:sz w:val="24"/>
          <w:szCs w:val="24"/>
          <w:u w:val="single"/>
        </w:rPr>
        <w:t xml:space="preserve"> Corporation,</w:t>
      </w:r>
      <w:r w:rsidRPr="00DF070F">
        <w:rPr>
          <w:rFonts w:ascii="Times New Roman" w:hAnsi="Times New Roman"/>
          <w:sz w:val="24"/>
          <w:szCs w:val="24"/>
          <w:u w:val="single"/>
        </w:rPr>
        <w:t xml:space="preserve"> et al</w:t>
      </w:r>
      <w:r>
        <w:rPr>
          <w:rFonts w:ascii="Times New Roman" w:hAnsi="Times New Roman"/>
          <w:sz w:val="24"/>
          <w:szCs w:val="24"/>
        </w:rPr>
        <w:t xml:space="preserve">., the Appellate Division of the Supreme Court of New York, held (3 to 0) that when a competent adult  patient refuses EMS help, his lawsuit against the concert provider and </w:t>
      </w:r>
      <w:proofErr w:type="spellStart"/>
      <w:r>
        <w:rPr>
          <w:rFonts w:ascii="Times New Roman" w:hAnsi="Times New Roman"/>
          <w:sz w:val="24"/>
          <w:szCs w:val="24"/>
        </w:rPr>
        <w:t>Transcare</w:t>
      </w:r>
      <w:proofErr w:type="spellEnd"/>
      <w:r>
        <w:rPr>
          <w:rFonts w:ascii="Times New Roman" w:hAnsi="Times New Roman"/>
          <w:sz w:val="24"/>
          <w:szCs w:val="24"/>
        </w:rPr>
        <w:t>, the EMS provider should be dismissed.</w:t>
      </w:r>
    </w:p>
    <w:p w14:paraId="60AA331C" w14:textId="77777777" w:rsidR="00663A6A" w:rsidRPr="00765480" w:rsidRDefault="00663A6A" w:rsidP="00663A6A">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765480">
        <w:rPr>
          <w:rFonts w:ascii="Times New Roman" w:hAnsi="Times New Roman"/>
          <w:sz w:val="24"/>
          <w:szCs w:val="24"/>
        </w:rPr>
        <w:t xml:space="preserve">Any duty Beacon or </w:t>
      </w:r>
      <w:proofErr w:type="spellStart"/>
      <w:r w:rsidRPr="00765480">
        <w:rPr>
          <w:rFonts w:ascii="Times New Roman" w:hAnsi="Times New Roman"/>
          <w:sz w:val="24"/>
          <w:szCs w:val="24"/>
        </w:rPr>
        <w:t>Transcare</w:t>
      </w:r>
      <w:proofErr w:type="spellEnd"/>
      <w:r w:rsidRPr="00765480">
        <w:rPr>
          <w:rFonts w:ascii="Times New Roman" w:hAnsi="Times New Roman"/>
          <w:sz w:val="24"/>
          <w:szCs w:val="24"/>
        </w:rPr>
        <w:t xml:space="preserve"> owed to plaintiff to assist him in exiting the theater terminated when he refused such assistance. It is well settled that a competent adult has the right to determine the course of his or her own medical treatment, including declining treatment </w:t>
      </w:r>
      <w:r w:rsidRPr="00765480">
        <w:rPr>
          <w:rFonts w:ascii="Times New Roman" w:hAnsi="Times New Roman"/>
          <w:i/>
          <w:iCs/>
          <w:sz w:val="24"/>
          <w:szCs w:val="24"/>
        </w:rPr>
        <w:t>(Matter of Fosmire v Nicoleau</w:t>
      </w:r>
      <w:r w:rsidRPr="00765480">
        <w:rPr>
          <w:rFonts w:ascii="Times New Roman" w:hAnsi="Times New Roman"/>
          <w:sz w:val="24"/>
          <w:szCs w:val="24"/>
        </w:rPr>
        <w:t xml:space="preserve">, 75 NY2d 218, 226 [1990]). Plaintiff does not dispute that he refused assistance in standing or ambulating. Further, the testimony was that the EMT technician assessed plaintiff as alert and oriented as he left his seat to exit the theater. Given this, the complaint should have been dismissed in its entirety as to defendants Beacon and </w:t>
      </w:r>
      <w:proofErr w:type="spellStart"/>
      <w:r w:rsidRPr="00765480">
        <w:rPr>
          <w:rFonts w:ascii="Times New Roman" w:hAnsi="Times New Roman"/>
          <w:sz w:val="24"/>
          <w:szCs w:val="24"/>
        </w:rPr>
        <w:t>Transcare</w:t>
      </w:r>
      <w:proofErr w:type="spellEnd"/>
      <w:r w:rsidRPr="00765480">
        <w:rPr>
          <w:rFonts w:ascii="Times New Roman" w:hAnsi="Times New Roman"/>
          <w:sz w:val="24"/>
          <w:szCs w:val="24"/>
        </w:rPr>
        <w:t xml:space="preserve"> (</w:t>
      </w:r>
      <w:r w:rsidRPr="00765480">
        <w:rPr>
          <w:rFonts w:ascii="Times New Roman" w:hAnsi="Times New Roman"/>
          <w:i/>
          <w:iCs/>
          <w:sz w:val="24"/>
          <w:szCs w:val="24"/>
        </w:rPr>
        <w:t>see Branda v MV Pub</w:t>
      </w:r>
      <w:r w:rsidRPr="00765480">
        <w:rPr>
          <w:rFonts w:ascii="Times New Roman" w:hAnsi="Times New Roman"/>
          <w:sz w:val="24"/>
          <w:szCs w:val="24"/>
        </w:rPr>
        <w:t xml:space="preserve">. </w:t>
      </w:r>
      <w:r w:rsidRPr="00765480">
        <w:rPr>
          <w:rFonts w:ascii="Times New Roman" w:hAnsi="Times New Roman"/>
          <w:i/>
          <w:iCs/>
          <w:sz w:val="24"/>
          <w:szCs w:val="24"/>
        </w:rPr>
        <w:t>Transp</w:t>
      </w:r>
      <w:r w:rsidRPr="00765480">
        <w:rPr>
          <w:rFonts w:ascii="Times New Roman" w:hAnsi="Times New Roman"/>
          <w:sz w:val="24"/>
          <w:szCs w:val="24"/>
        </w:rPr>
        <w:t xml:space="preserve">., </w:t>
      </w:r>
      <w:r w:rsidRPr="00765480">
        <w:rPr>
          <w:rFonts w:ascii="Times New Roman" w:hAnsi="Times New Roman"/>
          <w:i/>
          <w:iCs/>
          <w:sz w:val="24"/>
          <w:szCs w:val="24"/>
        </w:rPr>
        <w:t>Inc</w:t>
      </w:r>
      <w:r w:rsidRPr="00765480">
        <w:rPr>
          <w:rFonts w:ascii="Times New Roman" w:hAnsi="Times New Roman"/>
          <w:sz w:val="24"/>
          <w:szCs w:val="24"/>
        </w:rPr>
        <w:t>., 139 AD3d 636, 637 [1</w:t>
      </w:r>
      <w:r w:rsidRPr="00753DA9">
        <w:rPr>
          <w:rFonts w:ascii="Times New Roman" w:hAnsi="Times New Roman"/>
          <w:sz w:val="24"/>
          <w:szCs w:val="24"/>
          <w:vertAlign w:val="superscript"/>
        </w:rPr>
        <w:t>st</w:t>
      </w:r>
      <w:r w:rsidRPr="00765480">
        <w:rPr>
          <w:rFonts w:ascii="Times New Roman" w:hAnsi="Times New Roman"/>
          <w:sz w:val="24"/>
          <w:szCs w:val="24"/>
        </w:rPr>
        <w:t xml:space="preserve"> Dept 2016]).</w:t>
      </w:r>
      <w:r>
        <w:rPr>
          <w:rFonts w:ascii="Times New Roman" w:hAnsi="Times New Roman"/>
          <w:sz w:val="24"/>
          <w:szCs w:val="24"/>
        </w:rPr>
        <w:t xml:space="preserve">”  </w:t>
      </w:r>
      <w:hyperlink r:id="rId2230" w:history="1">
        <w:r w:rsidRPr="00D35A04">
          <w:rPr>
            <w:rStyle w:val="Hyperlink"/>
            <w:rFonts w:ascii="Times New Roman" w:hAnsi="Times New Roman"/>
            <w:sz w:val="24"/>
            <w:szCs w:val="24"/>
          </w:rPr>
          <w:t>https://public.fastcase.com/Wl%2B2t%2BeVuI35%2FN70vAMFZkrYpDR4hQ33Ax6oS1aJkCwq%2BUGCyTcW0uJ1XV2sRjwT</w:t>
        </w:r>
      </w:hyperlink>
      <w:r>
        <w:rPr>
          <w:rFonts w:ascii="Times New Roman" w:hAnsi="Times New Roman"/>
          <w:sz w:val="24"/>
          <w:szCs w:val="24"/>
        </w:rPr>
        <w:t xml:space="preserve"> </w:t>
      </w:r>
    </w:p>
    <w:p w14:paraId="736C0107" w14:textId="77777777" w:rsidR="00663A6A" w:rsidRPr="00765480" w:rsidRDefault="00663A6A" w:rsidP="00663A6A">
      <w:pPr>
        <w:pStyle w:val="NoSpacing"/>
        <w:rPr>
          <w:rFonts w:ascii="Times New Roman" w:hAnsi="Times New Roman"/>
          <w:b/>
          <w:bCs/>
          <w:sz w:val="24"/>
          <w:szCs w:val="24"/>
        </w:rPr>
      </w:pPr>
      <w:r w:rsidRPr="00765480">
        <w:rPr>
          <w:rFonts w:ascii="Times New Roman" w:hAnsi="Times New Roman"/>
          <w:b/>
          <w:bCs/>
          <w:sz w:val="24"/>
          <w:szCs w:val="24"/>
        </w:rPr>
        <w:t>Legal Lesson Learned:</w:t>
      </w:r>
      <w:r>
        <w:rPr>
          <w:rFonts w:ascii="Times New Roman" w:hAnsi="Times New Roman"/>
          <w:b/>
          <w:bCs/>
          <w:sz w:val="24"/>
          <w:szCs w:val="24"/>
        </w:rPr>
        <w:t xml:space="preserve">  Key facts – person was “alert” and “oriented times three” – led to dismissal of this case. </w:t>
      </w:r>
    </w:p>
    <w:p w14:paraId="1D3787DF" w14:textId="76643925" w:rsidR="00663A6A" w:rsidRDefault="00663A6A" w:rsidP="002B1283">
      <w:pPr>
        <w:rPr>
          <w:rFonts w:ascii="Arial Black" w:hAnsi="Arial Black"/>
          <w:b/>
          <w:bCs/>
          <w:sz w:val="28"/>
          <w:szCs w:val="28"/>
        </w:rPr>
      </w:pPr>
    </w:p>
    <w:p w14:paraId="7DF1370D" w14:textId="77777777" w:rsidR="00663A6A" w:rsidRDefault="00663A6A" w:rsidP="002B1283">
      <w:pPr>
        <w:rPr>
          <w:rFonts w:ascii="Arial Black" w:hAnsi="Arial Black"/>
          <w:b/>
          <w:bCs/>
          <w:sz w:val="28"/>
          <w:szCs w:val="28"/>
        </w:rPr>
      </w:pPr>
    </w:p>
    <w:p w14:paraId="67C87D3D" w14:textId="3A3A7E95" w:rsidR="00663A6A" w:rsidRDefault="00663A6A" w:rsidP="002B1283">
      <w:pPr>
        <w:rPr>
          <w:rFonts w:ascii="Arial Black" w:hAnsi="Arial Black"/>
          <w:b/>
          <w:bCs/>
          <w:sz w:val="28"/>
          <w:szCs w:val="28"/>
        </w:rPr>
      </w:pPr>
      <w:r>
        <w:rPr>
          <w:rFonts w:ascii="Arial Black" w:hAnsi="Arial Black"/>
          <w:b/>
          <w:bCs/>
          <w:sz w:val="28"/>
          <w:szCs w:val="28"/>
        </w:rPr>
        <w:t>13-68</w:t>
      </w:r>
    </w:p>
    <w:p w14:paraId="1A355046" w14:textId="77777777" w:rsidR="00663A6A" w:rsidRPr="005166FA" w:rsidRDefault="00663A6A" w:rsidP="00663A6A">
      <w:pPr>
        <w:pStyle w:val="NoSpacing"/>
        <w:rPr>
          <w:rFonts w:ascii="Arial Black" w:hAnsi="Arial Black"/>
          <w:sz w:val="28"/>
          <w:szCs w:val="28"/>
        </w:rPr>
      </w:pPr>
      <w:r>
        <w:rPr>
          <w:rFonts w:ascii="Arial Black" w:hAnsi="Arial Black"/>
          <w:sz w:val="28"/>
          <w:szCs w:val="28"/>
        </w:rPr>
        <w:t>MA: “EXCITED UTERANCE” - EMT ALLOWED TO TESTIFY IN CRIMINAL CASE ABOUT VICTIM’S COMMENTS IN AMBULANCE</w:t>
      </w:r>
    </w:p>
    <w:p w14:paraId="0A555909" w14:textId="77777777" w:rsidR="00663A6A" w:rsidRDefault="00663A6A" w:rsidP="00663A6A">
      <w:pPr>
        <w:spacing w:before="100" w:beforeAutospacing="1" w:after="100" w:afterAutospacing="1" w:line="240" w:lineRule="auto"/>
        <w:rPr>
          <w:rFonts w:ascii="Times New Roman" w:hAnsi="Times New Roman"/>
          <w:sz w:val="24"/>
          <w:szCs w:val="24"/>
        </w:rPr>
      </w:pPr>
      <w:r w:rsidRPr="005166FA">
        <w:rPr>
          <w:rFonts w:ascii="Times New Roman" w:eastAsia="Times New Roman" w:hAnsi="Times New Roman"/>
          <w:sz w:val="24"/>
          <w:szCs w:val="24"/>
        </w:rPr>
        <w:t xml:space="preserve">On </w:t>
      </w:r>
      <w:r>
        <w:rPr>
          <w:rFonts w:ascii="Times New Roman" w:eastAsia="Times New Roman" w:hAnsi="Times New Roman"/>
          <w:sz w:val="24"/>
          <w:szCs w:val="24"/>
        </w:rPr>
        <w:t xml:space="preserve">Oct. 29, 2020, in </w:t>
      </w:r>
      <w:r w:rsidRPr="005166FA">
        <w:rPr>
          <w:rFonts w:ascii="Times New Roman" w:eastAsia="Times New Roman" w:hAnsi="Times New Roman"/>
          <w:sz w:val="24"/>
          <w:szCs w:val="24"/>
          <w:u w:val="single"/>
        </w:rPr>
        <w:t>Commonwealth v. Antonio Marrero-Mipanda</w:t>
      </w:r>
      <w:r>
        <w:rPr>
          <w:rFonts w:ascii="Times New Roman" w:eastAsia="Times New Roman" w:hAnsi="Times New Roman"/>
          <w:sz w:val="24"/>
          <w:szCs w:val="24"/>
        </w:rPr>
        <w:t xml:space="preserve">, the Commonwealth of Massachusetts Appeals Court, held that the trial court properly allowed the EMT to testify at the defendant’s trial, along with the victim. Defendant’s conviction by jury was affirmed for </w:t>
      </w:r>
      <w:r w:rsidRPr="00F476E6">
        <w:rPr>
          <w:rFonts w:ascii="Times New Roman" w:hAnsi="Times New Roman"/>
          <w:sz w:val="24"/>
          <w:szCs w:val="24"/>
        </w:rPr>
        <w:t>assault with intent to rape and indecent assault and battery on a person fourteen years of age or older</w:t>
      </w:r>
      <w:r>
        <w:rPr>
          <w:rFonts w:ascii="Times New Roman" w:hAnsi="Times New Roman"/>
          <w:sz w:val="24"/>
          <w:szCs w:val="24"/>
        </w:rPr>
        <w:t xml:space="preserve">. </w:t>
      </w:r>
    </w:p>
    <w:p w14:paraId="07456C50" w14:textId="77777777" w:rsidR="00663A6A" w:rsidRDefault="00663A6A" w:rsidP="00663A6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lastRenderedPageBreak/>
        <w:t>“</w:t>
      </w:r>
      <w:r w:rsidRPr="005166FA">
        <w:rPr>
          <w:rFonts w:ascii="Times New Roman" w:eastAsia="Times New Roman" w:hAnsi="Times New Roman"/>
          <w:sz w:val="24"/>
          <w:szCs w:val="24"/>
        </w:rPr>
        <w:t xml:space="preserve">Under the excited utterance (or spontaneous utterance) exception to the rule against hearsay, </w:t>
      </w:r>
      <w:r>
        <w:rPr>
          <w:rFonts w:ascii="Times New Roman" w:eastAsia="Times New Roman" w:hAnsi="Times New Roman"/>
          <w:sz w:val="24"/>
          <w:szCs w:val="24"/>
        </w:rPr>
        <w:t>‘</w:t>
      </w:r>
      <w:r w:rsidRPr="005166FA">
        <w:rPr>
          <w:rFonts w:ascii="Times New Roman" w:eastAsia="Times New Roman" w:hAnsi="Times New Roman"/>
          <w:sz w:val="24"/>
          <w:szCs w:val="24"/>
        </w:rPr>
        <w:t>[a] spontaneous utterance will be admitted in evidence if (1) there is an occurrence or event 'sufficiently startling to render inoperative the normal reflective thought processes of the observer,' and (2) if the declarant's statement was a 'spontaneous reaction to the occurrence or event and not</w:t>
      </w:r>
      <w:r>
        <w:rPr>
          <w:rFonts w:ascii="Times New Roman" w:eastAsia="Times New Roman" w:hAnsi="Times New Roman"/>
          <w:sz w:val="24"/>
          <w:szCs w:val="24"/>
        </w:rPr>
        <w:t xml:space="preserve"> </w:t>
      </w:r>
      <w:r w:rsidRPr="005166FA">
        <w:rPr>
          <w:rFonts w:ascii="Times New Roman" w:eastAsia="Times New Roman" w:hAnsi="Times New Roman"/>
          <w:sz w:val="24"/>
          <w:szCs w:val="24"/>
        </w:rPr>
        <w:t xml:space="preserve">the result of reflective thought' (citation omitted). </w:t>
      </w:r>
      <w:r w:rsidRPr="005166FA">
        <w:rPr>
          <w:rFonts w:ascii="Times New Roman" w:eastAsia="Times New Roman" w:hAnsi="Times New Roman"/>
          <w:sz w:val="24"/>
          <w:szCs w:val="24"/>
          <w:u w:val="single"/>
        </w:rPr>
        <w:t>Commonwealth</w:t>
      </w:r>
      <w:r w:rsidRPr="005166FA">
        <w:rPr>
          <w:rFonts w:ascii="Times New Roman" w:eastAsia="Times New Roman" w:hAnsi="Times New Roman"/>
          <w:sz w:val="24"/>
          <w:szCs w:val="24"/>
        </w:rPr>
        <w:t xml:space="preserve"> v. </w:t>
      </w:r>
      <w:r w:rsidRPr="005166FA">
        <w:rPr>
          <w:rFonts w:ascii="Times New Roman" w:eastAsia="Times New Roman" w:hAnsi="Times New Roman"/>
          <w:sz w:val="24"/>
          <w:szCs w:val="24"/>
          <w:u w:val="single"/>
        </w:rPr>
        <w:t>Santiago</w:t>
      </w:r>
      <w:r w:rsidRPr="005166FA">
        <w:rPr>
          <w:rFonts w:ascii="Times New Roman" w:eastAsia="Times New Roman" w:hAnsi="Times New Roman"/>
          <w:sz w:val="24"/>
          <w:szCs w:val="24"/>
        </w:rPr>
        <w:t>, 437 Mass. 620, 623 (2002).</w:t>
      </w:r>
    </w:p>
    <w:p w14:paraId="0D58FBD4" w14:textId="77777777" w:rsidR="00663A6A" w:rsidRDefault="00663A6A" w:rsidP="00663A6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29C1A16D" w14:textId="77777777" w:rsidR="00663A6A" w:rsidRPr="00F476E6" w:rsidRDefault="00663A6A" w:rsidP="00663A6A">
      <w:pPr>
        <w:spacing w:before="100" w:beforeAutospacing="1" w:after="100" w:afterAutospacing="1" w:line="240" w:lineRule="auto"/>
        <w:ind w:left="720"/>
        <w:rPr>
          <w:rFonts w:ascii="Times New Roman" w:eastAsia="Times New Roman" w:hAnsi="Times New Roman"/>
          <w:sz w:val="24"/>
          <w:szCs w:val="24"/>
        </w:rPr>
      </w:pPr>
      <w:r w:rsidRPr="00F476E6">
        <w:rPr>
          <w:rFonts w:ascii="Times New Roman" w:eastAsia="Times New Roman" w:hAnsi="Times New Roman"/>
          <w:sz w:val="24"/>
          <w:szCs w:val="24"/>
        </w:rPr>
        <w:t>Here, we have no difficulty concluding that the primary purpose of the victim's statement to the EMT was to assist the</w:t>
      </w:r>
      <w:r>
        <w:rPr>
          <w:rFonts w:ascii="Times New Roman" w:eastAsia="Times New Roman" w:hAnsi="Times New Roman"/>
          <w:sz w:val="24"/>
          <w:szCs w:val="24"/>
        </w:rPr>
        <w:t xml:space="preserve"> </w:t>
      </w:r>
      <w:r w:rsidRPr="00F476E6">
        <w:rPr>
          <w:rFonts w:ascii="Times New Roman" w:eastAsia="Times New Roman" w:hAnsi="Times New Roman"/>
          <w:sz w:val="24"/>
          <w:szCs w:val="24"/>
        </w:rPr>
        <w:t xml:space="preserve">EMT in assessing the victim's need for medical care. Each of the three parts of the victim's statement -- that she had been </w:t>
      </w:r>
      <w:r>
        <w:rPr>
          <w:rFonts w:ascii="Times New Roman" w:eastAsia="Times New Roman" w:hAnsi="Times New Roman"/>
          <w:sz w:val="24"/>
          <w:szCs w:val="24"/>
        </w:rPr>
        <w:t>‘</w:t>
      </w:r>
      <w:r w:rsidRPr="00F476E6">
        <w:rPr>
          <w:rFonts w:ascii="Times New Roman" w:eastAsia="Times New Roman" w:hAnsi="Times New Roman"/>
          <w:sz w:val="24"/>
          <w:szCs w:val="24"/>
        </w:rPr>
        <w:t>forced up against a wall,</w:t>
      </w:r>
      <w:r>
        <w:rPr>
          <w:rFonts w:ascii="Times New Roman" w:eastAsia="Times New Roman" w:hAnsi="Times New Roman"/>
          <w:sz w:val="24"/>
          <w:szCs w:val="24"/>
        </w:rPr>
        <w:t>’</w:t>
      </w:r>
      <w:r w:rsidRPr="00F476E6">
        <w:rPr>
          <w:rFonts w:ascii="Times New Roman" w:eastAsia="Times New Roman" w:hAnsi="Times New Roman"/>
          <w:sz w:val="24"/>
          <w:szCs w:val="24"/>
        </w:rPr>
        <w:t xml:space="preserve"> </w:t>
      </w:r>
      <w:r>
        <w:rPr>
          <w:rFonts w:ascii="Times New Roman" w:eastAsia="Times New Roman" w:hAnsi="Times New Roman"/>
          <w:sz w:val="24"/>
          <w:szCs w:val="24"/>
        </w:rPr>
        <w:t>‘</w:t>
      </w:r>
      <w:r w:rsidRPr="00F476E6">
        <w:rPr>
          <w:rFonts w:ascii="Times New Roman" w:eastAsia="Times New Roman" w:hAnsi="Times New Roman"/>
          <w:sz w:val="24"/>
          <w:szCs w:val="24"/>
        </w:rPr>
        <w:t>thrown to the ground,</w:t>
      </w:r>
      <w:r>
        <w:rPr>
          <w:rFonts w:ascii="Times New Roman" w:eastAsia="Times New Roman" w:hAnsi="Times New Roman"/>
          <w:sz w:val="24"/>
          <w:szCs w:val="24"/>
        </w:rPr>
        <w:t>’</w:t>
      </w:r>
      <w:r w:rsidRPr="00F476E6">
        <w:rPr>
          <w:rFonts w:ascii="Times New Roman" w:eastAsia="Times New Roman" w:hAnsi="Times New Roman"/>
          <w:sz w:val="24"/>
          <w:szCs w:val="24"/>
        </w:rPr>
        <w:t xml:space="preserve"> and </w:t>
      </w:r>
      <w:r>
        <w:rPr>
          <w:rFonts w:ascii="Times New Roman" w:eastAsia="Times New Roman" w:hAnsi="Times New Roman"/>
          <w:sz w:val="24"/>
          <w:szCs w:val="24"/>
        </w:rPr>
        <w:t>‘</w:t>
      </w:r>
      <w:r w:rsidRPr="00F476E6">
        <w:rPr>
          <w:rFonts w:ascii="Times New Roman" w:eastAsia="Times New Roman" w:hAnsi="Times New Roman"/>
          <w:sz w:val="24"/>
          <w:szCs w:val="24"/>
        </w:rPr>
        <w:t>the male's fingers penetrated her vagina</w:t>
      </w:r>
      <w:r>
        <w:rPr>
          <w:rFonts w:ascii="Times New Roman" w:eastAsia="Times New Roman" w:hAnsi="Times New Roman"/>
          <w:sz w:val="24"/>
          <w:szCs w:val="24"/>
        </w:rPr>
        <w:t>’</w:t>
      </w:r>
      <w:r w:rsidRPr="00F476E6">
        <w:rPr>
          <w:rFonts w:ascii="Times New Roman" w:eastAsia="Times New Roman" w:hAnsi="Times New Roman"/>
          <w:sz w:val="24"/>
          <w:szCs w:val="24"/>
        </w:rPr>
        <w:t xml:space="preserve"> -- described the application of force to her body in a manner that could have resulted in a need for medical treatment. That the victim herself had not reported or shown signs of vaginal pain or discomfort was beside the point. The EMT asked an open-ended question for the purpose of evaluating what the victim's medical needs might be, and the victim's answer was directly responsive to that question. That the victim might have observed the police handcuffing the defendant and placing him in a cruiser, and that she made the statement to the EMT while the police were still on the scene, did not require the conclusion that she made the statement for the primary purpose of creating an out-of-court substitute for trial testimony, or of otherwise aiding a police investigation</w:t>
      </w:r>
      <w:r>
        <w:rPr>
          <w:rFonts w:ascii="Times New Roman" w:eastAsia="Times New Roman" w:hAnsi="Times New Roman"/>
          <w:sz w:val="24"/>
          <w:szCs w:val="24"/>
        </w:rPr>
        <w:t xml:space="preserve">.” </w:t>
      </w:r>
      <w:hyperlink r:id="rId2231" w:history="1">
        <w:r w:rsidRPr="00BA14DC">
          <w:rPr>
            <w:rStyle w:val="Hyperlink"/>
            <w:rFonts w:ascii="Times New Roman" w:hAnsi="Times New Roman"/>
            <w:sz w:val="24"/>
            <w:szCs w:val="24"/>
          </w:rPr>
          <w:t>file:///C:/Users/lawre/AppData/Local/Temp/19P0716.pdf</w:t>
        </w:r>
      </w:hyperlink>
      <w:r>
        <w:rPr>
          <w:rFonts w:ascii="Times New Roman" w:eastAsia="Times New Roman" w:hAnsi="Times New Roman"/>
          <w:sz w:val="24"/>
          <w:szCs w:val="24"/>
        </w:rPr>
        <w:t xml:space="preserve"> </w:t>
      </w:r>
    </w:p>
    <w:p w14:paraId="7116FEAE" w14:textId="15E8FCA3" w:rsidR="00663A6A" w:rsidRDefault="00663A6A" w:rsidP="002B1283">
      <w:pPr>
        <w:rPr>
          <w:rFonts w:ascii="Arial Black" w:hAnsi="Arial Black"/>
          <w:b/>
          <w:bCs/>
          <w:sz w:val="28"/>
          <w:szCs w:val="28"/>
        </w:rPr>
      </w:pPr>
      <w:r w:rsidRPr="00F365E9">
        <w:rPr>
          <w:rFonts w:ascii="Times New Roman" w:eastAsia="Times New Roman" w:hAnsi="Times New Roman"/>
          <w:b/>
          <w:bCs/>
          <w:sz w:val="24"/>
          <w:szCs w:val="24"/>
        </w:rPr>
        <w:t>Legal Lesson Learned</w:t>
      </w:r>
      <w:r>
        <w:rPr>
          <w:rFonts w:ascii="Times New Roman" w:eastAsia="Times New Roman" w:hAnsi="Times New Roman"/>
          <w:b/>
          <w:bCs/>
          <w:sz w:val="24"/>
          <w:szCs w:val="24"/>
        </w:rPr>
        <w:t>: “Excited utterances” are admissible in trial; EMS should document on the EMS report the victim’s comments.</w:t>
      </w:r>
    </w:p>
    <w:p w14:paraId="7B514712" w14:textId="77777777" w:rsidR="00663A6A" w:rsidRDefault="00663A6A" w:rsidP="002B1283">
      <w:pPr>
        <w:rPr>
          <w:rFonts w:ascii="Arial Black" w:hAnsi="Arial Black"/>
          <w:b/>
          <w:bCs/>
          <w:sz w:val="28"/>
          <w:szCs w:val="28"/>
        </w:rPr>
      </w:pPr>
    </w:p>
    <w:p w14:paraId="1E1C6FC2" w14:textId="11797384" w:rsidR="00102FD0" w:rsidRDefault="00102FD0" w:rsidP="002B1283">
      <w:pPr>
        <w:rPr>
          <w:rFonts w:ascii="Arial Black" w:hAnsi="Arial Black"/>
          <w:b/>
          <w:bCs/>
          <w:sz w:val="28"/>
          <w:szCs w:val="28"/>
        </w:rPr>
      </w:pPr>
      <w:r>
        <w:rPr>
          <w:rFonts w:ascii="Arial Black" w:hAnsi="Arial Black"/>
          <w:b/>
          <w:bCs/>
          <w:sz w:val="28"/>
          <w:szCs w:val="28"/>
        </w:rPr>
        <w:t>13-67</w:t>
      </w:r>
    </w:p>
    <w:p w14:paraId="48223C97" w14:textId="77777777" w:rsidR="00102FD0" w:rsidRDefault="00102FD0" w:rsidP="00102FD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ET TUBE IN ESOPHAGUS – PATIENT MONITORED DURING TRANSPORT, BUT NO PULSE OX – CASE DISMISSED</w:t>
      </w:r>
    </w:p>
    <w:p w14:paraId="647B577A" w14:textId="77777777" w:rsidR="00102FD0" w:rsidRDefault="00102FD0" w:rsidP="00102FD0">
      <w:pPr>
        <w:pStyle w:val="NoSpacing"/>
        <w:rPr>
          <w:rFonts w:ascii="Times New Roman" w:hAnsi="Times New Roman"/>
          <w:sz w:val="24"/>
          <w:szCs w:val="24"/>
        </w:rPr>
      </w:pPr>
      <w:r>
        <w:rPr>
          <w:rFonts w:ascii="Times New Roman" w:hAnsi="Times New Roman"/>
          <w:sz w:val="24"/>
          <w:szCs w:val="24"/>
        </w:rPr>
        <w:t xml:space="preserve">On Oct. 26, 2020, in Sally Grant, as </w:t>
      </w:r>
      <w:r w:rsidRPr="000A1B69">
        <w:rPr>
          <w:rFonts w:ascii="Times New Roman" w:hAnsi="Times New Roman"/>
          <w:sz w:val="24"/>
          <w:szCs w:val="24"/>
          <w:u w:val="single"/>
        </w:rPr>
        <w:t>Administrator of the Estate of Amanda Gary v. City of Calumet City</w:t>
      </w:r>
      <w:r>
        <w:rPr>
          <w:rFonts w:ascii="Times New Roman" w:hAnsi="Times New Roman"/>
          <w:sz w:val="24"/>
          <w:szCs w:val="24"/>
        </w:rPr>
        <w:t>, the Appellate Court of Illinois (First Judicial District / First Division), 2020 IL App (1</w:t>
      </w:r>
      <w:r w:rsidRPr="005B6AF8">
        <w:rPr>
          <w:rFonts w:ascii="Times New Roman" w:hAnsi="Times New Roman"/>
          <w:sz w:val="24"/>
          <w:szCs w:val="24"/>
          <w:vertAlign w:val="superscript"/>
        </w:rPr>
        <w:t>st</w:t>
      </w:r>
      <w:r>
        <w:rPr>
          <w:rFonts w:ascii="Times New Roman" w:hAnsi="Times New Roman"/>
          <w:sz w:val="24"/>
          <w:szCs w:val="24"/>
        </w:rPr>
        <w:t xml:space="preserve">) 191812-U,  held (3 to 0) that the trial court properly granted summary judgment to the </w:t>
      </w:r>
      <w:proofErr w:type="gramStart"/>
      <w:r>
        <w:rPr>
          <w:rFonts w:ascii="Times New Roman" w:hAnsi="Times New Roman"/>
          <w:sz w:val="24"/>
          <w:szCs w:val="24"/>
        </w:rPr>
        <w:t>City</w:t>
      </w:r>
      <w:proofErr w:type="gramEnd"/>
      <w:r>
        <w:rPr>
          <w:rFonts w:ascii="Times New Roman" w:hAnsi="Times New Roman"/>
          <w:sz w:val="24"/>
          <w:szCs w:val="24"/>
        </w:rPr>
        <w:t xml:space="preserve">.  Plaintiff alleged that the medics did not use a pulse oximeter to continuously monitor the patient’s blood oxygen levels after she was intubated, but their Training Officer testified this was not a required action. </w:t>
      </w:r>
    </w:p>
    <w:p w14:paraId="6AD7CF5D" w14:textId="77777777" w:rsidR="00102FD0" w:rsidRDefault="00102FD0" w:rsidP="00102FD0">
      <w:pPr>
        <w:pStyle w:val="NoSpacing"/>
        <w:rPr>
          <w:rFonts w:ascii="Times New Roman" w:hAnsi="Times New Roman"/>
          <w:sz w:val="24"/>
          <w:szCs w:val="24"/>
        </w:rPr>
      </w:pPr>
    </w:p>
    <w:p w14:paraId="743B2023" w14:textId="77777777" w:rsidR="00102FD0" w:rsidRDefault="00102FD0" w:rsidP="00102FD0">
      <w:pPr>
        <w:pStyle w:val="NoSpacing"/>
        <w:ind w:left="720"/>
        <w:rPr>
          <w:rFonts w:ascii="Times New Roman" w:hAnsi="Times New Roman"/>
          <w:sz w:val="24"/>
          <w:szCs w:val="24"/>
        </w:rPr>
      </w:pPr>
      <w:r>
        <w:rPr>
          <w:rFonts w:ascii="Times New Roman" w:hAnsi="Times New Roman"/>
          <w:sz w:val="24"/>
          <w:szCs w:val="24"/>
        </w:rPr>
        <w:t>“</w:t>
      </w:r>
      <w:r w:rsidRPr="005B6AF8">
        <w:rPr>
          <w:rFonts w:ascii="Times New Roman" w:hAnsi="Times New Roman"/>
          <w:sz w:val="24"/>
          <w:szCs w:val="24"/>
        </w:rPr>
        <w:t>Construing the record liberally in favor of plaintiff (</w:t>
      </w:r>
      <w:r w:rsidRPr="005B6AF8">
        <w:rPr>
          <w:rFonts w:ascii="Times New Roman" w:hAnsi="Times New Roman"/>
          <w:i/>
          <w:iCs/>
          <w:sz w:val="24"/>
          <w:szCs w:val="24"/>
        </w:rPr>
        <w:t>Williams</w:t>
      </w:r>
      <w:r w:rsidRPr="005B6AF8">
        <w:rPr>
          <w:rFonts w:ascii="Times New Roman" w:hAnsi="Times New Roman"/>
          <w:sz w:val="24"/>
          <w:szCs w:val="24"/>
        </w:rPr>
        <w:t xml:space="preserve">, 228 Ill. 2d at 417), a reasonable finder of fact could conclude that Pierce performed the intubation incorrectly by inserting the tube into Amanda's esophagus rather than her trachea. A </w:t>
      </w:r>
      <w:proofErr w:type="gramStart"/>
      <w:r w:rsidRPr="005B6AF8">
        <w:rPr>
          <w:rFonts w:ascii="Times New Roman" w:hAnsi="Times New Roman"/>
          <w:sz w:val="24"/>
          <w:szCs w:val="24"/>
        </w:rPr>
        <w:t>finder of fact</w:t>
      </w:r>
      <w:proofErr w:type="gramEnd"/>
      <w:r w:rsidRPr="005B6AF8">
        <w:rPr>
          <w:rFonts w:ascii="Times New Roman" w:hAnsi="Times New Roman"/>
          <w:sz w:val="24"/>
          <w:szCs w:val="24"/>
        </w:rPr>
        <w:t xml:space="preserve"> could also reasonably conclude that this error might have been discovered and fixed prior to Amanda's arrival at the hospital if the paramedics had used a pulse oximeter to continuously monitor Amanda's blood oxygen levels. But even taking these things as true, such errors do not reflect </w:t>
      </w:r>
      <w:r>
        <w:rPr>
          <w:rFonts w:ascii="Times New Roman" w:hAnsi="Times New Roman"/>
          <w:sz w:val="24"/>
          <w:szCs w:val="24"/>
        </w:rPr>
        <w:t>‘</w:t>
      </w:r>
      <w:r w:rsidRPr="005B6AF8">
        <w:rPr>
          <w:rFonts w:ascii="Times New Roman" w:hAnsi="Times New Roman"/>
          <w:sz w:val="24"/>
          <w:szCs w:val="24"/>
        </w:rPr>
        <w:t>an utter indifference to the decedent's safety</w:t>
      </w:r>
      <w:r>
        <w:rPr>
          <w:rFonts w:ascii="Times New Roman" w:hAnsi="Times New Roman"/>
          <w:sz w:val="24"/>
          <w:szCs w:val="24"/>
        </w:rPr>
        <w:t>’</w:t>
      </w:r>
      <w:r w:rsidRPr="005B6AF8">
        <w:rPr>
          <w:rFonts w:ascii="Times New Roman" w:hAnsi="Times New Roman"/>
          <w:sz w:val="24"/>
          <w:szCs w:val="24"/>
        </w:rPr>
        <w:t xml:space="preserve"> (</w:t>
      </w:r>
      <w:r w:rsidRPr="005B6AF8">
        <w:rPr>
          <w:rFonts w:ascii="Times New Roman" w:hAnsi="Times New Roman"/>
          <w:i/>
          <w:iCs/>
          <w:sz w:val="24"/>
          <w:szCs w:val="24"/>
        </w:rPr>
        <w:t>Bowden</w:t>
      </w:r>
      <w:r w:rsidRPr="005B6AF8">
        <w:rPr>
          <w:rFonts w:ascii="Times New Roman" w:hAnsi="Times New Roman"/>
          <w:sz w:val="24"/>
          <w:szCs w:val="24"/>
        </w:rPr>
        <w:t xml:space="preserve">, 304 Ill. App. 3d at 282) as required for a finding of willful and wanton misconduct. This is particularly true where, as here, the paramedics utilized multiple other methods to assess the intubation in a tense and time-sensitive </w:t>
      </w:r>
      <w:proofErr w:type="gramStart"/>
      <w:r w:rsidRPr="005B6AF8">
        <w:rPr>
          <w:rFonts w:ascii="Times New Roman" w:hAnsi="Times New Roman"/>
          <w:sz w:val="24"/>
          <w:szCs w:val="24"/>
        </w:rPr>
        <w:t>emergency situation</w:t>
      </w:r>
      <w:proofErr w:type="gramEnd"/>
      <w:r>
        <w:rPr>
          <w:rFonts w:ascii="Times New Roman" w:hAnsi="Times New Roman"/>
          <w:sz w:val="24"/>
          <w:szCs w:val="24"/>
        </w:rPr>
        <w:t>.</w:t>
      </w:r>
    </w:p>
    <w:p w14:paraId="1B4CDA93" w14:textId="77777777" w:rsidR="00102FD0" w:rsidRDefault="00102FD0" w:rsidP="00102FD0">
      <w:pPr>
        <w:pStyle w:val="NoSpacing"/>
        <w:ind w:left="720"/>
        <w:rPr>
          <w:rFonts w:ascii="Times New Roman" w:hAnsi="Times New Roman"/>
          <w:sz w:val="24"/>
          <w:szCs w:val="24"/>
        </w:rPr>
      </w:pPr>
    </w:p>
    <w:p w14:paraId="6E69F69E" w14:textId="77777777" w:rsidR="00102FD0" w:rsidRPr="005B6AF8" w:rsidRDefault="00102FD0" w:rsidP="00102FD0">
      <w:pPr>
        <w:pStyle w:val="NoSpacing"/>
        <w:ind w:left="720"/>
        <w:rPr>
          <w:rFonts w:ascii="Times New Roman" w:hAnsi="Times New Roman"/>
          <w:sz w:val="24"/>
          <w:szCs w:val="24"/>
        </w:rPr>
      </w:pPr>
      <w:r>
        <w:rPr>
          <w:rFonts w:ascii="Times New Roman" w:hAnsi="Times New Roman"/>
          <w:sz w:val="24"/>
          <w:szCs w:val="24"/>
        </w:rPr>
        <w:t>***</w:t>
      </w:r>
    </w:p>
    <w:p w14:paraId="74B98E7E" w14:textId="656D773A" w:rsidR="00102FD0" w:rsidRDefault="00102FD0" w:rsidP="00102FD0">
      <w:pPr>
        <w:rPr>
          <w:rStyle w:val="Hyperlink"/>
          <w:rFonts w:ascii="Times New Roman" w:hAnsi="Times New Roman"/>
          <w:sz w:val="24"/>
          <w:szCs w:val="24"/>
        </w:rPr>
      </w:pPr>
      <w:r w:rsidRPr="005B6AF8">
        <w:rPr>
          <w:rFonts w:ascii="Times New Roman" w:hAnsi="Times New Roman"/>
          <w:sz w:val="24"/>
          <w:szCs w:val="24"/>
        </w:rPr>
        <w:t xml:space="preserve">To defeat summary judgment, plaintiff would have had to present evidence that the </w:t>
      </w:r>
      <w:proofErr w:type="gramStart"/>
      <w:r w:rsidRPr="005B6AF8">
        <w:rPr>
          <w:rFonts w:ascii="Times New Roman" w:hAnsi="Times New Roman"/>
          <w:sz w:val="24"/>
          <w:szCs w:val="24"/>
        </w:rPr>
        <w:t>City</w:t>
      </w:r>
      <w:proofErr w:type="gramEnd"/>
      <w:r w:rsidRPr="005B6AF8">
        <w:rPr>
          <w:rFonts w:ascii="Times New Roman" w:hAnsi="Times New Roman"/>
          <w:sz w:val="24"/>
          <w:szCs w:val="24"/>
        </w:rPr>
        <w:t xml:space="preserve"> either knew </w:t>
      </w:r>
      <w:r>
        <w:rPr>
          <w:rFonts w:ascii="Times New Roman" w:hAnsi="Times New Roman"/>
          <w:sz w:val="24"/>
          <w:szCs w:val="24"/>
        </w:rPr>
        <w:t xml:space="preserve">[Deputy Fire Chief / EMS Training Officer Peter] </w:t>
      </w:r>
      <w:r w:rsidRPr="005B6AF8">
        <w:rPr>
          <w:rFonts w:ascii="Times New Roman" w:hAnsi="Times New Roman"/>
          <w:sz w:val="24"/>
          <w:szCs w:val="24"/>
        </w:rPr>
        <w:t xml:space="preserve">Bendinelli's training imperiled patients, or that the </w:t>
      </w:r>
      <w:proofErr w:type="gramStart"/>
      <w:r w:rsidRPr="005B6AF8">
        <w:rPr>
          <w:rFonts w:ascii="Times New Roman" w:hAnsi="Times New Roman"/>
          <w:sz w:val="24"/>
          <w:szCs w:val="24"/>
        </w:rPr>
        <w:t>City</w:t>
      </w:r>
      <w:proofErr w:type="gramEnd"/>
      <w:r w:rsidRPr="005B6AF8">
        <w:rPr>
          <w:rFonts w:ascii="Times New Roman" w:hAnsi="Times New Roman"/>
          <w:sz w:val="24"/>
          <w:szCs w:val="24"/>
        </w:rPr>
        <w:t xml:space="preserve"> failed to </w:t>
      </w:r>
      <w:r w:rsidRPr="005B6AF8">
        <w:rPr>
          <w:rFonts w:ascii="Times New Roman" w:hAnsi="Times New Roman"/>
          <w:sz w:val="24"/>
          <w:szCs w:val="24"/>
        </w:rPr>
        <w:lastRenderedPageBreak/>
        <w:t xml:space="preserve">recognize this danger through recklessness. </w:t>
      </w:r>
      <w:r w:rsidRPr="005B6AF8">
        <w:rPr>
          <w:rFonts w:ascii="Times New Roman" w:hAnsi="Times New Roman"/>
          <w:i/>
          <w:iCs/>
          <w:sz w:val="24"/>
          <w:szCs w:val="24"/>
        </w:rPr>
        <w:t>Affatato v</w:t>
      </w:r>
      <w:r w:rsidRPr="005B6AF8">
        <w:rPr>
          <w:rFonts w:ascii="Times New Roman" w:hAnsi="Times New Roman"/>
          <w:sz w:val="24"/>
          <w:szCs w:val="24"/>
        </w:rPr>
        <w:t xml:space="preserve">. </w:t>
      </w:r>
      <w:r w:rsidRPr="005B6AF8">
        <w:rPr>
          <w:rFonts w:ascii="Times New Roman" w:hAnsi="Times New Roman"/>
          <w:i/>
          <w:iCs/>
          <w:sz w:val="24"/>
          <w:szCs w:val="24"/>
        </w:rPr>
        <w:t>Jewel Companies</w:t>
      </w:r>
      <w:r w:rsidRPr="005B6AF8">
        <w:rPr>
          <w:rFonts w:ascii="Times New Roman" w:hAnsi="Times New Roman"/>
          <w:sz w:val="24"/>
          <w:szCs w:val="24"/>
        </w:rPr>
        <w:t xml:space="preserve">, </w:t>
      </w:r>
      <w:r w:rsidRPr="005B6AF8">
        <w:rPr>
          <w:rFonts w:ascii="Times New Roman" w:hAnsi="Times New Roman"/>
          <w:i/>
          <w:iCs/>
          <w:sz w:val="24"/>
          <w:szCs w:val="24"/>
        </w:rPr>
        <w:t>Inc</w:t>
      </w:r>
      <w:r w:rsidRPr="005B6AF8">
        <w:rPr>
          <w:rFonts w:ascii="Times New Roman" w:hAnsi="Times New Roman"/>
          <w:sz w:val="24"/>
          <w:szCs w:val="24"/>
        </w:rPr>
        <w:t xml:space="preserve">., 259 Ill. App. 3d 787, 800 (1994). Plaintiff presented no such evidence. On the contrary, all three of Amanda's treating physicians corroborated Bendinelli's statement that pulse oximeter readings can be inaccurate. </w:t>
      </w:r>
      <w:proofErr w:type="gramStart"/>
      <w:r w:rsidRPr="005B6AF8">
        <w:rPr>
          <w:rFonts w:ascii="Times New Roman" w:hAnsi="Times New Roman"/>
          <w:sz w:val="24"/>
          <w:szCs w:val="24"/>
        </w:rPr>
        <w:t>In light of</w:t>
      </w:r>
      <w:proofErr w:type="gramEnd"/>
      <w:r w:rsidRPr="005B6AF8">
        <w:rPr>
          <w:rFonts w:ascii="Times New Roman" w:hAnsi="Times New Roman"/>
          <w:sz w:val="24"/>
          <w:szCs w:val="24"/>
        </w:rPr>
        <w:t xml:space="preserve"> their testimony, plaintiff has not presented an issue of fact as to whether Bendinelli's training reflects an utter indifference to patients' safety.</w:t>
      </w:r>
      <w:r>
        <w:rPr>
          <w:rFonts w:ascii="Times New Roman" w:hAnsi="Times New Roman"/>
          <w:sz w:val="24"/>
          <w:szCs w:val="24"/>
        </w:rPr>
        <w:t xml:space="preserve">” </w:t>
      </w:r>
      <w:hyperlink r:id="rId2232" w:history="1">
        <w:r w:rsidRPr="00EF3739">
          <w:rPr>
            <w:rStyle w:val="Hyperlink"/>
            <w:rFonts w:ascii="Times New Roman" w:hAnsi="Times New Roman"/>
            <w:sz w:val="24"/>
            <w:szCs w:val="24"/>
          </w:rPr>
          <w:t>https://public.fastcase.com/Wl%2B2t%2BeVuI35%2FN70vAMFZv50h%2Fykh7FShFoRYs3ZTa26w8rY%2BXvT1%2B6dqL4OkZlK</w:t>
        </w:r>
      </w:hyperlink>
    </w:p>
    <w:p w14:paraId="7F528A8C" w14:textId="77777777" w:rsidR="00102FD0" w:rsidRPr="00716D0B" w:rsidRDefault="00102FD0" w:rsidP="00102FD0">
      <w:pPr>
        <w:spacing w:before="100" w:beforeAutospacing="1" w:after="100" w:afterAutospacing="1" w:line="240" w:lineRule="auto"/>
        <w:rPr>
          <w:rFonts w:ascii="Times New Roman" w:hAnsi="Times New Roman"/>
          <w:b/>
          <w:bCs/>
          <w:sz w:val="24"/>
          <w:szCs w:val="24"/>
        </w:rPr>
      </w:pPr>
      <w:r w:rsidRPr="00716D0B">
        <w:rPr>
          <w:rFonts w:ascii="Times New Roman" w:hAnsi="Times New Roman"/>
          <w:b/>
          <w:bCs/>
          <w:sz w:val="24"/>
          <w:szCs w:val="24"/>
        </w:rPr>
        <w:t>Legal Lesson Learned:</w:t>
      </w:r>
      <w:r>
        <w:rPr>
          <w:rFonts w:ascii="Times New Roman" w:hAnsi="Times New Roman"/>
          <w:b/>
          <w:bCs/>
          <w:sz w:val="24"/>
          <w:szCs w:val="24"/>
        </w:rPr>
        <w:t xml:space="preserve"> Carefully follow your protocol after placement of ET Tube. </w:t>
      </w:r>
    </w:p>
    <w:p w14:paraId="3383E109" w14:textId="77777777" w:rsidR="00102FD0" w:rsidRDefault="00102FD0" w:rsidP="00102FD0">
      <w:pPr>
        <w:rPr>
          <w:rFonts w:ascii="Arial Black" w:hAnsi="Arial Black"/>
          <w:b/>
          <w:bCs/>
          <w:sz w:val="28"/>
          <w:szCs w:val="28"/>
        </w:rPr>
      </w:pPr>
    </w:p>
    <w:p w14:paraId="20FEAD83" w14:textId="15279DC2" w:rsidR="00102FD0" w:rsidRDefault="00102FD0" w:rsidP="002B1283">
      <w:pPr>
        <w:rPr>
          <w:rFonts w:ascii="Arial Black" w:hAnsi="Arial Black"/>
          <w:b/>
          <w:bCs/>
          <w:sz w:val="28"/>
          <w:szCs w:val="28"/>
        </w:rPr>
      </w:pPr>
      <w:r>
        <w:rPr>
          <w:rFonts w:ascii="Arial Black" w:hAnsi="Arial Black"/>
          <w:b/>
          <w:bCs/>
          <w:sz w:val="28"/>
          <w:szCs w:val="28"/>
        </w:rPr>
        <w:t>13-66</w:t>
      </w:r>
    </w:p>
    <w:p w14:paraId="4FBF2B97" w14:textId="77777777" w:rsidR="00102FD0" w:rsidRPr="00B85AFB" w:rsidRDefault="00102FD0" w:rsidP="00102FD0">
      <w:pPr>
        <w:pStyle w:val="NormalWeb"/>
        <w:rPr>
          <w:rFonts w:ascii="Arial Black" w:hAnsi="Arial Black"/>
          <w:b/>
          <w:bCs/>
          <w:sz w:val="28"/>
          <w:szCs w:val="28"/>
        </w:rPr>
      </w:pPr>
      <w:r>
        <w:rPr>
          <w:rFonts w:ascii="Arial Black" w:hAnsi="Arial Black"/>
          <w:b/>
          <w:bCs/>
          <w:sz w:val="28"/>
          <w:szCs w:val="28"/>
        </w:rPr>
        <w:t>OH: MVA - MEDIC FOUND NO PULSE – 1-HR LATER PATIENT COVERED BLANKET MOVED – NO PROOF “FAILURE TO TRAIN” - CASE DISMISSED</w:t>
      </w:r>
    </w:p>
    <w:p w14:paraId="73F817BE" w14:textId="77777777" w:rsidR="00102FD0" w:rsidRDefault="00102FD0" w:rsidP="00102FD0">
      <w:pPr>
        <w:pStyle w:val="NormalWeb"/>
      </w:pPr>
      <w:r>
        <w:t xml:space="preserve">On Oct. 20, 2020, in </w:t>
      </w:r>
      <w:r w:rsidRPr="00B85AFB">
        <w:rPr>
          <w:u w:val="single"/>
        </w:rPr>
        <w:t>Lynne Gooden, Individually and as Guardia of Terrell D. Gooden v. Chris Batz, Butler Township, et al.</w:t>
      </w:r>
      <w:r>
        <w:t xml:space="preserve">, Sharon L. Ovington, United States Magistrate Judge, U. S. District Court for Southern District of Ohio, issued a Report &amp; Recommendation to Federal District Judge that the lawsuit against Butler Township, and against City of Vandalia should be dismissed for alleged “failure to train.” There was no allegation that the Medic who first checked on the patient and found no pulse had a history of similar issues.  After an hour at the scene, the same Medic </w:t>
      </w:r>
      <w:r w:rsidRPr="00BA71B3">
        <w:t>saw Mr. Gooden spontaneously move and</w:t>
      </w:r>
      <w:r>
        <w:t xml:space="preserve"> </w:t>
      </w:r>
      <w:r w:rsidRPr="00BA71B3">
        <w:t>discovered he had a weak pulse</w:t>
      </w:r>
      <w:r>
        <w:t xml:space="preserve">; he survived with permanent brain damage and other long-term disabling health problems. </w:t>
      </w:r>
    </w:p>
    <w:p w14:paraId="0FB3D6B4" w14:textId="77777777" w:rsidR="00102FD0" w:rsidRDefault="00102FD0" w:rsidP="00102FD0">
      <w:pPr>
        <w:pStyle w:val="NormalWeb"/>
        <w:ind w:left="720"/>
      </w:pPr>
      <w:r>
        <w:t>“Life-threatening accidents are heartbreaking. Such an accident occurred to Plaintiff Terrell D. Gooden in 2016 when his vehicle collided with a tractor-trailer on Interstate 75. Plaintiffs allege that when Paramedic Chris Batz checked Mr. Gooden's pulse and respiration, he incorrectly concluded that Mr. Gooden had not survived the accident. Batz told other first responders that Mr. Gooden was not alive. And neither Batz nor other first responders immediately attempted to resuscitate Mr. Gooden or provide him with any emergency medical care.</w:t>
      </w:r>
    </w:p>
    <w:p w14:paraId="0140627B" w14:textId="77777777" w:rsidR="00102FD0" w:rsidRDefault="00102FD0" w:rsidP="00102FD0">
      <w:pPr>
        <w:pStyle w:val="NormalWeb"/>
        <w:ind w:left="720"/>
      </w:pPr>
      <w:r>
        <w:t>***</w:t>
      </w:r>
    </w:p>
    <w:p w14:paraId="45235C71" w14:textId="70774DAF" w:rsidR="00102FD0" w:rsidRDefault="00102FD0" w:rsidP="00102FD0">
      <w:pPr>
        <w:rPr>
          <w:rStyle w:val="Hyperlink"/>
          <w:rFonts w:ascii="Times New Roman" w:eastAsia="Times New Roman" w:hAnsi="Times New Roman"/>
          <w:sz w:val="24"/>
          <w:szCs w:val="24"/>
        </w:rPr>
      </w:pPr>
      <w:r w:rsidRPr="00B85AFB">
        <w:rPr>
          <w:rFonts w:ascii="Times New Roman" w:eastAsia="Times New Roman" w:hAnsi="Times New Roman"/>
          <w:sz w:val="24"/>
          <w:szCs w:val="24"/>
        </w:rPr>
        <w:t>The Complaint, for instance, does not allege that Batz made serious mistakes</w:t>
      </w:r>
      <w:r>
        <w:rPr>
          <w:rFonts w:ascii="Times New Roman" w:eastAsia="Times New Roman" w:hAnsi="Times New Roman"/>
          <w:sz w:val="24"/>
          <w:szCs w:val="24"/>
        </w:rPr>
        <w:t xml:space="preserve"> </w:t>
      </w:r>
      <w:r w:rsidRPr="00B85AFB">
        <w:rPr>
          <w:rFonts w:ascii="Times New Roman" w:eastAsia="Times New Roman" w:hAnsi="Times New Roman"/>
          <w:sz w:val="24"/>
          <w:szCs w:val="24"/>
        </w:rPr>
        <w:t xml:space="preserve">when examining victims of previous accidents that should have alerted Butler Township officials that his training was inadequate and likely to cause harm to </w:t>
      </w:r>
      <w:proofErr w:type="gramStart"/>
      <w:r w:rsidRPr="00B85AFB">
        <w:rPr>
          <w:rFonts w:ascii="Times New Roman" w:eastAsia="Times New Roman" w:hAnsi="Times New Roman"/>
          <w:sz w:val="24"/>
          <w:szCs w:val="24"/>
        </w:rPr>
        <w:t>accidents victims</w:t>
      </w:r>
      <w:proofErr w:type="gramEnd"/>
      <w:r w:rsidRPr="00B85AFB">
        <w:rPr>
          <w:rFonts w:ascii="Times New Roman" w:eastAsia="Times New Roman" w:hAnsi="Times New Roman"/>
          <w:sz w:val="24"/>
          <w:szCs w:val="24"/>
        </w:rPr>
        <w:t xml:space="preserve"> like Mr. Gooden. And, as to Defendants Gallup and Miller, Plaintiffs' Complaint contains no non-conclusory allegation indicating that they received inadequate training and that such training resulted in a violation of Mr. Gooden's constitutional rights.</w:t>
      </w:r>
      <w:r>
        <w:rPr>
          <w:rFonts w:ascii="Times New Roman" w:eastAsia="Times New Roman" w:hAnsi="Times New Roman"/>
          <w:sz w:val="24"/>
          <w:szCs w:val="24"/>
        </w:rPr>
        <w:t xml:space="preserve">” </w:t>
      </w:r>
      <w:hyperlink r:id="rId2233" w:history="1">
        <w:r w:rsidRPr="003B2E68">
          <w:rPr>
            <w:rStyle w:val="Hyperlink"/>
            <w:rFonts w:ascii="Times New Roman" w:eastAsia="Times New Roman" w:hAnsi="Times New Roman"/>
            <w:sz w:val="24"/>
            <w:szCs w:val="24"/>
          </w:rPr>
          <w:t>https://public.fastcase.com/Wl%2B2t%2BeVuI35%2FN70vAMFZoN7mlr4hHNtCTnayGEBC4RCM4jvijs5LLDyckRiAx%2Bw</w:t>
        </w:r>
      </w:hyperlink>
    </w:p>
    <w:p w14:paraId="2BEC2451" w14:textId="477F0E22" w:rsidR="00102FD0" w:rsidRDefault="00102FD0" w:rsidP="00102FD0">
      <w:pPr>
        <w:rPr>
          <w:rStyle w:val="Hyperlink"/>
          <w:rFonts w:ascii="Times New Roman" w:eastAsia="Times New Roman" w:hAnsi="Times New Roman"/>
          <w:sz w:val="24"/>
          <w:szCs w:val="24"/>
        </w:rPr>
      </w:pPr>
      <w:r w:rsidRPr="00545DA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Follow your protocols concerning determination of death; ask for a second opinion at the scene.</w:t>
      </w:r>
    </w:p>
    <w:p w14:paraId="562E40F6" w14:textId="77777777" w:rsidR="00102FD0" w:rsidRDefault="00102FD0" w:rsidP="00102FD0">
      <w:pPr>
        <w:rPr>
          <w:rFonts w:ascii="Arial Black" w:hAnsi="Arial Black"/>
          <w:b/>
          <w:bCs/>
          <w:sz w:val="28"/>
          <w:szCs w:val="28"/>
        </w:rPr>
      </w:pPr>
    </w:p>
    <w:p w14:paraId="6931AED6" w14:textId="7FF5FA3E" w:rsidR="00102FD0" w:rsidRDefault="00102FD0" w:rsidP="001C563D">
      <w:pPr>
        <w:rPr>
          <w:rFonts w:ascii="Arial Black" w:hAnsi="Arial Black"/>
          <w:b/>
          <w:bCs/>
          <w:sz w:val="28"/>
          <w:szCs w:val="28"/>
        </w:rPr>
      </w:pPr>
      <w:r>
        <w:rPr>
          <w:rFonts w:ascii="Arial Black" w:hAnsi="Arial Black"/>
          <w:b/>
          <w:bCs/>
          <w:sz w:val="28"/>
          <w:szCs w:val="28"/>
        </w:rPr>
        <w:lastRenderedPageBreak/>
        <w:t>13-65</w:t>
      </w:r>
    </w:p>
    <w:p w14:paraId="58E27E0A" w14:textId="77777777" w:rsidR="00102FD0" w:rsidRPr="00195883" w:rsidRDefault="00102FD0" w:rsidP="00102FD0">
      <w:pPr>
        <w:spacing w:before="100" w:beforeAutospacing="1" w:after="100" w:afterAutospacing="1" w:line="240" w:lineRule="auto"/>
        <w:rPr>
          <w:rFonts w:ascii="Arial Black" w:eastAsia="Times New Roman" w:hAnsi="Arial Black"/>
          <w:b/>
          <w:bCs/>
          <w:sz w:val="28"/>
          <w:szCs w:val="28"/>
        </w:rPr>
      </w:pPr>
      <w:r w:rsidRPr="00195883">
        <w:rPr>
          <w:rFonts w:ascii="Arial Black" w:eastAsia="Times New Roman" w:hAnsi="Arial Black"/>
          <w:b/>
          <w:bCs/>
          <w:sz w:val="28"/>
          <w:szCs w:val="28"/>
        </w:rPr>
        <w:t>MD:</w:t>
      </w:r>
      <w:r>
        <w:rPr>
          <w:rFonts w:ascii="Arial Black" w:eastAsia="Times New Roman" w:hAnsi="Arial Black"/>
          <w:b/>
          <w:bCs/>
          <w:sz w:val="28"/>
          <w:szCs w:val="28"/>
        </w:rPr>
        <w:t xml:space="preserve"> 21-YR OLD PATIENT IN BASEMENT, DIFFICULTY BREATHING – ARRIVED 6 MIN – ADMINISTERED NARCAN - IMMUNITY</w:t>
      </w:r>
    </w:p>
    <w:p w14:paraId="040A1B34"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sidRPr="00C43B83">
        <w:rPr>
          <w:rFonts w:ascii="Times New Roman" w:eastAsia="Times New Roman" w:hAnsi="Times New Roman"/>
          <w:sz w:val="24"/>
          <w:szCs w:val="24"/>
        </w:rPr>
        <w:t xml:space="preserve">On Oct. 1, 2020, in </w:t>
      </w:r>
      <w:r w:rsidRPr="00C43B83">
        <w:rPr>
          <w:rFonts w:ascii="Times New Roman" w:eastAsia="Times New Roman" w:hAnsi="Times New Roman"/>
          <w:sz w:val="24"/>
          <w:szCs w:val="24"/>
          <w:u w:val="single"/>
        </w:rPr>
        <w:t>Octavia T. Coit, et al. v. Nicole Nappi, et al</w:t>
      </w:r>
      <w:r>
        <w:rPr>
          <w:rFonts w:ascii="Times New Roman" w:eastAsia="Times New Roman" w:hAnsi="Times New Roman"/>
          <w:sz w:val="24"/>
          <w:szCs w:val="24"/>
        </w:rPr>
        <w:t xml:space="preserve">., the Court of Special Appeals of Maryland, held (4 to 0) that trial court properly dismissed the lawsuit.  The </w:t>
      </w:r>
      <w:proofErr w:type="gramStart"/>
      <w:r>
        <w:rPr>
          <w:rFonts w:ascii="Times New Roman" w:eastAsia="Times New Roman" w:hAnsi="Times New Roman"/>
          <w:sz w:val="24"/>
          <w:szCs w:val="24"/>
        </w:rPr>
        <w:t>21-year old</w:t>
      </w:r>
      <w:proofErr w:type="gramEnd"/>
      <w:r>
        <w:rPr>
          <w:rFonts w:ascii="Times New Roman" w:eastAsia="Times New Roman" w:hAnsi="Times New Roman"/>
          <w:sz w:val="24"/>
          <w:szCs w:val="24"/>
        </w:rPr>
        <w:t xml:space="preserve"> patient was at a friend’s house and was in the basement having difficulty breathing; history of asthma, died of cardiac arrest.  Administration of Narcan was not harmful and did not contribute to the patient’s death.  Plaintiffs also complained of a delayed response, but the CAD records show they arrived at scene within 6 minutes and 44 seconds of the 911 call. </w:t>
      </w:r>
    </w:p>
    <w:p w14:paraId="12C25E01" w14:textId="77777777" w:rsidR="00102FD0" w:rsidRDefault="00102FD0" w:rsidP="00102FD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“In</w:t>
      </w:r>
      <w:r w:rsidRPr="001E057A">
        <w:rPr>
          <w:rFonts w:ascii="Times New Roman" w:hAnsi="Times New Roman"/>
          <w:sz w:val="24"/>
          <w:szCs w:val="24"/>
        </w:rPr>
        <w:t xml:space="preserve"> the absence of willful or grossly negligent conduct, emergency responders covered under the Good Samaritan Act and/or the Fire &amp; Rescue Companies Act are immune from civil liability for any acts or omissions in </w:t>
      </w:r>
      <w:proofErr w:type="gramStart"/>
      <w:r w:rsidRPr="001E057A">
        <w:rPr>
          <w:rFonts w:ascii="Times New Roman" w:hAnsi="Times New Roman"/>
          <w:sz w:val="24"/>
          <w:szCs w:val="24"/>
        </w:rPr>
        <w:t>providing assistance</w:t>
      </w:r>
      <w:proofErr w:type="gramEnd"/>
      <w:r w:rsidRPr="001E057A">
        <w:rPr>
          <w:rFonts w:ascii="Times New Roman" w:hAnsi="Times New Roman"/>
          <w:sz w:val="24"/>
          <w:szCs w:val="24"/>
        </w:rPr>
        <w:t xml:space="preserve"> or in the performance of their duties.</w:t>
      </w:r>
    </w:p>
    <w:p w14:paraId="459D041C" w14:textId="77777777" w:rsidR="00102FD0" w:rsidRPr="001E057A" w:rsidRDefault="00102FD0" w:rsidP="00102FD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33B38568" w14:textId="77777777" w:rsidR="00102FD0" w:rsidRDefault="00102FD0" w:rsidP="00102FD0">
      <w:pPr>
        <w:spacing w:after="100" w:line="240" w:lineRule="auto"/>
        <w:ind w:left="720"/>
        <w:rPr>
          <w:rFonts w:ascii="Times New Roman" w:eastAsia="Times New Roman" w:hAnsi="Times New Roman"/>
          <w:b/>
          <w:bCs/>
          <w:sz w:val="24"/>
          <w:szCs w:val="24"/>
        </w:rPr>
      </w:pPr>
      <w:r>
        <w:rPr>
          <w:rFonts w:ascii="Times New Roman" w:eastAsia="Times New Roman" w:hAnsi="Times New Roman"/>
          <w:sz w:val="24"/>
          <w:szCs w:val="24"/>
        </w:rPr>
        <w:t>[</w:t>
      </w:r>
      <w:r w:rsidRPr="00195883">
        <w:rPr>
          <w:rFonts w:ascii="Times New Roman" w:eastAsia="Times New Roman" w:hAnsi="Times New Roman"/>
          <w:sz w:val="24"/>
          <w:szCs w:val="24"/>
        </w:rPr>
        <w:t>Appellants] contend that the administration of Narcan was unnecessary because there was no specific indication that Mr. Coit was experiencing an opioid overdose. The Court understands and appreciates Mr. Coit's family's concern over a misperception that he was using drugs. The evidence demonstrates, however, that, regardless of how unnecessary the administration of Narcan may have been, there are no applicable contraindications for someone who did not overdose on opioids, and that</w:t>
      </w:r>
      <w:r>
        <w:rPr>
          <w:rFonts w:ascii="Times New Roman" w:eastAsia="Times New Roman" w:hAnsi="Times New Roman"/>
          <w:sz w:val="24"/>
          <w:szCs w:val="24"/>
        </w:rPr>
        <w:t xml:space="preserve"> </w:t>
      </w:r>
      <w:r w:rsidRPr="00195883">
        <w:rPr>
          <w:rFonts w:ascii="Times New Roman" w:eastAsia="Times New Roman" w:hAnsi="Times New Roman"/>
          <w:sz w:val="24"/>
          <w:szCs w:val="24"/>
        </w:rPr>
        <w:t>Narcan does not otherwise harm someone to whom it is administered. Even if Paramedic Nappi and EMT Jackson were, in some way, negligent in their assessment and treatment of Mr. Coit, which the Court is not suggesting, there is not sufficient evidence of gross negligence regarding their post-arrival conduct</w:t>
      </w:r>
      <w:r w:rsidRPr="001E057A">
        <w:rPr>
          <w:rFonts w:ascii="Times New Roman" w:eastAsia="Times New Roman" w:hAnsi="Times New Roman"/>
          <w:sz w:val="24"/>
          <w:szCs w:val="24"/>
        </w:rPr>
        <w:t xml:space="preserve">.”  </w:t>
      </w:r>
      <w:hyperlink r:id="rId2234" w:history="1">
        <w:r w:rsidRPr="001E057A">
          <w:rPr>
            <w:rStyle w:val="Hyperlink"/>
            <w:rFonts w:ascii="Times New Roman" w:eastAsia="Times New Roman" w:hAnsi="Times New Roman"/>
            <w:sz w:val="24"/>
            <w:szCs w:val="24"/>
          </w:rPr>
          <w:t>https://mdcourts.gov/data/opinions/cosa/2020/0318s19.pdf</w:t>
        </w:r>
      </w:hyperlink>
      <w:r>
        <w:rPr>
          <w:rFonts w:ascii="Times New Roman" w:eastAsia="Times New Roman" w:hAnsi="Times New Roman"/>
          <w:b/>
          <w:bCs/>
          <w:sz w:val="24"/>
          <w:szCs w:val="24"/>
        </w:rPr>
        <w:t xml:space="preserve"> </w:t>
      </w:r>
    </w:p>
    <w:p w14:paraId="357D98B7" w14:textId="77777777" w:rsidR="00102FD0" w:rsidRPr="0093728B" w:rsidRDefault="00102FD0" w:rsidP="00102FD0">
      <w:pPr>
        <w:spacing w:after="100" w:line="240" w:lineRule="auto"/>
        <w:rPr>
          <w:rFonts w:ascii="Times New Roman" w:hAnsi="Times New Roman"/>
          <w:b/>
          <w:bCs/>
          <w:sz w:val="24"/>
          <w:szCs w:val="24"/>
        </w:rPr>
      </w:pPr>
      <w:r w:rsidRPr="0093728B">
        <w:rPr>
          <w:rFonts w:ascii="Times New Roman" w:hAnsi="Times New Roman"/>
          <w:b/>
          <w:bCs/>
          <w:sz w:val="24"/>
          <w:szCs w:val="24"/>
        </w:rPr>
        <w:t>Legal Lesson Learned:</w:t>
      </w:r>
      <w:r>
        <w:rPr>
          <w:rFonts w:ascii="Times New Roman" w:hAnsi="Times New Roman"/>
          <w:b/>
          <w:bCs/>
          <w:sz w:val="24"/>
          <w:szCs w:val="24"/>
        </w:rPr>
        <w:t xml:space="preserve"> Immunity statutes like the Maryland statutes are designed to protect EMS and other emergency responders from civil liability; it is frankly hard to understand why this lawsuit </w:t>
      </w:r>
      <w:proofErr w:type="gramStart"/>
      <w:r>
        <w:rPr>
          <w:rFonts w:ascii="Times New Roman" w:hAnsi="Times New Roman"/>
          <w:b/>
          <w:bCs/>
          <w:sz w:val="24"/>
          <w:szCs w:val="24"/>
        </w:rPr>
        <w:t>were</w:t>
      </w:r>
      <w:proofErr w:type="gramEnd"/>
      <w:r>
        <w:rPr>
          <w:rFonts w:ascii="Times New Roman" w:hAnsi="Times New Roman"/>
          <w:b/>
          <w:bCs/>
          <w:sz w:val="24"/>
          <w:szCs w:val="24"/>
        </w:rPr>
        <w:t xml:space="preserve"> ever filed. </w:t>
      </w:r>
    </w:p>
    <w:p w14:paraId="1A8E1C5B" w14:textId="77777777" w:rsidR="00102FD0" w:rsidRDefault="00102FD0" w:rsidP="001C563D">
      <w:pPr>
        <w:rPr>
          <w:rFonts w:ascii="Arial Black" w:hAnsi="Arial Black"/>
          <w:b/>
          <w:bCs/>
          <w:sz w:val="28"/>
          <w:szCs w:val="28"/>
        </w:rPr>
      </w:pPr>
    </w:p>
    <w:p w14:paraId="3DBCB811" w14:textId="77777777" w:rsidR="00102FD0" w:rsidRDefault="00102FD0" w:rsidP="001C563D">
      <w:pPr>
        <w:rPr>
          <w:rFonts w:ascii="Arial Black" w:hAnsi="Arial Black"/>
          <w:b/>
          <w:bCs/>
          <w:sz w:val="28"/>
          <w:szCs w:val="28"/>
        </w:rPr>
      </w:pPr>
    </w:p>
    <w:p w14:paraId="55DC682F" w14:textId="320D27CD" w:rsidR="00B532F6" w:rsidRDefault="00B532F6" w:rsidP="001C563D">
      <w:pPr>
        <w:rPr>
          <w:rFonts w:ascii="Arial Black" w:hAnsi="Arial Black"/>
          <w:b/>
          <w:bCs/>
          <w:sz w:val="28"/>
          <w:szCs w:val="28"/>
        </w:rPr>
      </w:pPr>
      <w:r>
        <w:rPr>
          <w:rFonts w:ascii="Arial Black" w:hAnsi="Arial Black"/>
          <w:b/>
          <w:bCs/>
          <w:sz w:val="28"/>
          <w:szCs w:val="28"/>
        </w:rPr>
        <w:t>13-64</w:t>
      </w:r>
    </w:p>
    <w:p w14:paraId="46ED1E2D" w14:textId="77777777" w:rsidR="00B532F6" w:rsidRDefault="00B532F6" w:rsidP="00B532F6">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NY:  LAWSUIT AGAINST EMS – COURT OF APPEALS HOLDS “SPECIAL RELATIONSHIP” – NO GOV’T IMMUNITY </w:t>
      </w:r>
    </w:p>
    <w:p w14:paraId="11AB7892" w14:textId="77777777" w:rsidR="00B532F6" w:rsidRPr="006B5620" w:rsidRDefault="00B532F6" w:rsidP="00B532F6">
      <w:pPr>
        <w:rPr>
          <w:rFonts w:ascii="Times New Roman" w:hAnsi="Times New Roman"/>
          <w:sz w:val="24"/>
          <w:szCs w:val="24"/>
        </w:rPr>
      </w:pPr>
      <w:r w:rsidRPr="006B5620">
        <w:rPr>
          <w:rFonts w:ascii="Times New Roman" w:hAnsi="Times New Roman"/>
          <w:sz w:val="24"/>
          <w:szCs w:val="24"/>
        </w:rPr>
        <w:t xml:space="preserve">On Sept. 23, 2020, in </w:t>
      </w:r>
      <w:r w:rsidRPr="006B5620">
        <w:rPr>
          <w:rFonts w:ascii="Times New Roman" w:hAnsi="Times New Roman"/>
          <w:sz w:val="24"/>
          <w:szCs w:val="24"/>
          <w:u w:val="single"/>
        </w:rPr>
        <w:t>Rashawn Watts, et. al, v, City of New York</w:t>
      </w:r>
      <w:r w:rsidRPr="006B5620">
        <w:rPr>
          <w:rFonts w:ascii="Times New Roman" w:hAnsi="Times New Roman"/>
          <w:sz w:val="24"/>
          <w:szCs w:val="24"/>
        </w:rPr>
        <w:t xml:space="preserve">, 2020 NY Slip Op 05084, the Supreme Court of the State of New York, Appellate Division (Second Judicial Department) held (4 to 0) that the trial court judge properly denied the City’s motion to dismiss the case, taking the legal position that when EMS provides services to a patient, governmental immunity no longer applies since the City now has established a “special relationship.”  </w:t>
      </w:r>
      <w:r>
        <w:rPr>
          <w:rFonts w:ascii="Times New Roman" w:hAnsi="Times New Roman"/>
          <w:sz w:val="24"/>
          <w:szCs w:val="24"/>
        </w:rPr>
        <w:t>[Note: Courts in some other jurisdictions require proof of gross negligence for case to proceed.]</w:t>
      </w:r>
      <w:r w:rsidRPr="006B5620">
        <w:rPr>
          <w:rFonts w:ascii="Times New Roman" w:hAnsi="Times New Roman"/>
          <w:sz w:val="24"/>
          <w:szCs w:val="24"/>
        </w:rPr>
        <w:t xml:space="preserve"> </w:t>
      </w:r>
    </w:p>
    <w:p w14:paraId="7A3D32CE" w14:textId="77777777" w:rsidR="00B532F6" w:rsidRDefault="00B532F6" w:rsidP="00B532F6">
      <w:pPr>
        <w:ind w:left="720"/>
        <w:rPr>
          <w:rFonts w:ascii="Times New Roman" w:hAnsi="Times New Roman"/>
          <w:sz w:val="24"/>
          <w:szCs w:val="24"/>
        </w:rPr>
      </w:pPr>
      <w:r>
        <w:rPr>
          <w:rFonts w:ascii="Times New Roman" w:hAnsi="Times New Roman"/>
          <w:sz w:val="24"/>
          <w:szCs w:val="24"/>
        </w:rPr>
        <w:t>“</w:t>
      </w:r>
      <w:r w:rsidRPr="004C542C">
        <w:rPr>
          <w:rFonts w:ascii="Times New Roman" w:hAnsi="Times New Roman"/>
          <w:sz w:val="24"/>
          <w:szCs w:val="24"/>
        </w:rPr>
        <w:t>A municipality will be held to have voluntarily assumed a duty or special</w:t>
      </w:r>
      <w:r>
        <w:rPr>
          <w:rFonts w:ascii="Times New Roman" w:hAnsi="Times New Roman"/>
          <w:sz w:val="24"/>
          <w:szCs w:val="24"/>
        </w:rPr>
        <w:t xml:space="preserve"> </w:t>
      </w:r>
      <w:r w:rsidRPr="004C542C">
        <w:rPr>
          <w:rFonts w:ascii="Times New Roman" w:hAnsi="Times New Roman"/>
          <w:sz w:val="24"/>
          <w:szCs w:val="24"/>
        </w:rPr>
        <w:t xml:space="preserve">relationship with the plaintiff where there is: </w:t>
      </w:r>
      <w:r>
        <w:rPr>
          <w:rFonts w:ascii="Times New Roman" w:hAnsi="Times New Roman"/>
          <w:sz w:val="24"/>
          <w:szCs w:val="24"/>
        </w:rPr>
        <w:t>‘</w:t>
      </w:r>
      <w:r w:rsidRPr="004C542C">
        <w:rPr>
          <w:rFonts w:ascii="Times New Roman" w:hAnsi="Times New Roman"/>
          <w:sz w:val="24"/>
          <w:szCs w:val="24"/>
        </w:rPr>
        <w:t xml:space="preserve">(1) an assumption by the municipality, through promises or actions, of an affirmative </w:t>
      </w:r>
      <w:r w:rsidRPr="004C542C">
        <w:rPr>
          <w:rFonts w:ascii="Times New Roman" w:hAnsi="Times New Roman"/>
          <w:sz w:val="24"/>
          <w:szCs w:val="24"/>
        </w:rPr>
        <w:lastRenderedPageBreak/>
        <w:t>duty to act on behalf of the party who was injured; (2) knowledge on the part of the municipality's agents that inaction could lead to harm; (3) some form of direct contact between the municipality's agents and the injured party; and (4) that party's justifiable reliance on the municipality's affirmative undertaking</w:t>
      </w:r>
      <w:r>
        <w:rPr>
          <w:rFonts w:ascii="Times New Roman" w:hAnsi="Times New Roman"/>
          <w:sz w:val="24"/>
          <w:szCs w:val="24"/>
        </w:rPr>
        <w:t>’</w:t>
      </w:r>
      <w:r w:rsidRPr="004C542C">
        <w:rPr>
          <w:rFonts w:ascii="Times New Roman" w:hAnsi="Times New Roman"/>
          <w:sz w:val="24"/>
          <w:szCs w:val="24"/>
        </w:rPr>
        <w:t xml:space="preserve"> (</w:t>
      </w:r>
      <w:r w:rsidRPr="004C542C">
        <w:rPr>
          <w:rFonts w:ascii="Times New Roman" w:hAnsi="Times New Roman"/>
          <w:i/>
          <w:iCs/>
          <w:sz w:val="24"/>
          <w:szCs w:val="24"/>
        </w:rPr>
        <w:t xml:space="preserve">Applewhite v </w:t>
      </w:r>
      <w:proofErr w:type="spellStart"/>
      <w:r w:rsidRPr="004C542C">
        <w:rPr>
          <w:rFonts w:ascii="Times New Roman" w:hAnsi="Times New Roman"/>
          <w:i/>
          <w:iCs/>
          <w:sz w:val="24"/>
          <w:szCs w:val="24"/>
        </w:rPr>
        <w:t>Accuhealth</w:t>
      </w:r>
      <w:proofErr w:type="spellEnd"/>
      <w:r w:rsidRPr="004C542C">
        <w:rPr>
          <w:rFonts w:ascii="Times New Roman" w:hAnsi="Times New Roman"/>
          <w:sz w:val="24"/>
          <w:szCs w:val="24"/>
        </w:rPr>
        <w:t xml:space="preserve">, </w:t>
      </w:r>
      <w:r w:rsidRPr="004C542C">
        <w:rPr>
          <w:rFonts w:ascii="Times New Roman" w:hAnsi="Times New Roman"/>
          <w:i/>
          <w:iCs/>
          <w:sz w:val="24"/>
          <w:szCs w:val="24"/>
        </w:rPr>
        <w:t>Inc</w:t>
      </w:r>
      <w:r w:rsidRPr="004C542C">
        <w:rPr>
          <w:rFonts w:ascii="Times New Roman" w:hAnsi="Times New Roman"/>
          <w:sz w:val="24"/>
          <w:szCs w:val="24"/>
        </w:rPr>
        <w:t xml:space="preserve">., 21 NY3d at 430-431; </w:t>
      </w:r>
      <w:r w:rsidRPr="004C542C">
        <w:rPr>
          <w:rFonts w:ascii="Times New Roman" w:hAnsi="Times New Roman"/>
          <w:i/>
          <w:iCs/>
          <w:sz w:val="24"/>
          <w:szCs w:val="24"/>
        </w:rPr>
        <w:t xml:space="preserve">see </w:t>
      </w:r>
      <w:proofErr w:type="spellStart"/>
      <w:r w:rsidRPr="004C542C">
        <w:rPr>
          <w:rFonts w:ascii="Times New Roman" w:hAnsi="Times New Roman"/>
          <w:i/>
          <w:iCs/>
          <w:sz w:val="24"/>
          <w:szCs w:val="24"/>
        </w:rPr>
        <w:t>Laratro</w:t>
      </w:r>
      <w:proofErr w:type="spellEnd"/>
      <w:r w:rsidRPr="004C542C">
        <w:rPr>
          <w:rFonts w:ascii="Times New Roman" w:hAnsi="Times New Roman"/>
          <w:i/>
          <w:iCs/>
          <w:sz w:val="24"/>
          <w:szCs w:val="24"/>
        </w:rPr>
        <w:t xml:space="preserve"> v City of New York</w:t>
      </w:r>
      <w:r w:rsidRPr="004C542C">
        <w:rPr>
          <w:rFonts w:ascii="Times New Roman" w:hAnsi="Times New Roman"/>
          <w:sz w:val="24"/>
          <w:szCs w:val="24"/>
        </w:rPr>
        <w:t xml:space="preserve">, 8 NY3d at 83; </w:t>
      </w:r>
      <w:r w:rsidRPr="004C542C">
        <w:rPr>
          <w:rFonts w:ascii="Times New Roman" w:hAnsi="Times New Roman"/>
          <w:i/>
          <w:iCs/>
          <w:sz w:val="24"/>
          <w:szCs w:val="24"/>
        </w:rPr>
        <w:t>Cuffy v City of New York</w:t>
      </w:r>
      <w:r w:rsidRPr="004C542C">
        <w:rPr>
          <w:rFonts w:ascii="Times New Roman" w:hAnsi="Times New Roman"/>
          <w:sz w:val="24"/>
          <w:szCs w:val="24"/>
        </w:rPr>
        <w:t>, 69 NY2d 255, 260).</w:t>
      </w:r>
      <w:r>
        <w:rPr>
          <w:rFonts w:ascii="Times New Roman" w:hAnsi="Times New Roman"/>
          <w:sz w:val="24"/>
          <w:szCs w:val="24"/>
        </w:rPr>
        <w:t>’</w:t>
      </w:r>
    </w:p>
    <w:p w14:paraId="18D30AC4" w14:textId="77777777" w:rsidR="00B532F6" w:rsidRDefault="00B532F6" w:rsidP="00B532F6">
      <w:pPr>
        <w:ind w:left="720"/>
        <w:rPr>
          <w:rFonts w:ascii="Times New Roman" w:hAnsi="Times New Roman"/>
          <w:sz w:val="24"/>
          <w:szCs w:val="24"/>
        </w:rPr>
      </w:pPr>
      <w:r>
        <w:rPr>
          <w:rFonts w:ascii="Times New Roman" w:hAnsi="Times New Roman"/>
          <w:sz w:val="24"/>
          <w:szCs w:val="24"/>
        </w:rPr>
        <w:t>***</w:t>
      </w:r>
    </w:p>
    <w:p w14:paraId="7350B37A" w14:textId="77777777" w:rsidR="00B532F6" w:rsidRPr="004C542C" w:rsidRDefault="00B532F6" w:rsidP="00B532F6">
      <w:pPr>
        <w:ind w:left="720"/>
        <w:rPr>
          <w:rFonts w:ascii="Times New Roman" w:eastAsia="Times New Roman" w:hAnsi="Times New Roman"/>
          <w:b/>
          <w:bCs/>
          <w:sz w:val="24"/>
          <w:szCs w:val="24"/>
        </w:rPr>
      </w:pPr>
      <w:r w:rsidRPr="004C542C">
        <w:rPr>
          <w:rFonts w:ascii="Times New Roman" w:hAnsi="Times New Roman"/>
          <w:sz w:val="24"/>
          <w:szCs w:val="24"/>
        </w:rPr>
        <w:t>The prehospital care report summaries and computerized automated dispatch report submitted in support of the City defendants' motion did not constitute documentary evidence within the intendment of CPLR 3211(a)(1) (</w:t>
      </w:r>
      <w:r w:rsidRPr="004C542C">
        <w:rPr>
          <w:rFonts w:ascii="Times New Roman" w:hAnsi="Times New Roman"/>
          <w:i/>
          <w:iCs/>
          <w:sz w:val="24"/>
          <w:szCs w:val="24"/>
        </w:rPr>
        <w:t xml:space="preserve">see </w:t>
      </w:r>
      <w:proofErr w:type="spellStart"/>
      <w:r w:rsidRPr="004C542C">
        <w:rPr>
          <w:rFonts w:ascii="Times New Roman" w:hAnsi="Times New Roman"/>
          <w:i/>
          <w:iCs/>
          <w:sz w:val="24"/>
          <w:szCs w:val="24"/>
        </w:rPr>
        <w:t>Santaiti</w:t>
      </w:r>
      <w:proofErr w:type="spellEnd"/>
      <w:r w:rsidRPr="004C542C">
        <w:rPr>
          <w:rFonts w:ascii="Times New Roman" w:hAnsi="Times New Roman"/>
          <w:i/>
          <w:iCs/>
          <w:sz w:val="24"/>
          <w:szCs w:val="24"/>
        </w:rPr>
        <w:t xml:space="preserve"> v Town of Ramapo</w:t>
      </w:r>
      <w:r w:rsidRPr="004C542C">
        <w:rPr>
          <w:rFonts w:ascii="Times New Roman" w:hAnsi="Times New Roman"/>
          <w:sz w:val="24"/>
          <w:szCs w:val="24"/>
        </w:rPr>
        <w:t xml:space="preserve">, 162 AD3d at 926; </w:t>
      </w:r>
      <w:r w:rsidRPr="004C542C">
        <w:rPr>
          <w:rFonts w:ascii="Times New Roman" w:hAnsi="Times New Roman"/>
          <w:i/>
          <w:iCs/>
          <w:sz w:val="24"/>
          <w:szCs w:val="24"/>
        </w:rPr>
        <w:t>Fontanetta v John Doe 1</w:t>
      </w:r>
      <w:r w:rsidRPr="004C542C">
        <w:rPr>
          <w:rFonts w:ascii="Times New Roman" w:hAnsi="Times New Roman"/>
          <w:sz w:val="24"/>
          <w:szCs w:val="24"/>
        </w:rPr>
        <w:t>, 73 AD3d 78, 87).</w:t>
      </w:r>
      <w:r>
        <w:rPr>
          <w:rFonts w:ascii="Times New Roman" w:hAnsi="Times New Roman"/>
          <w:sz w:val="24"/>
          <w:szCs w:val="24"/>
        </w:rPr>
        <w:t xml:space="preserve"> </w:t>
      </w:r>
      <w:hyperlink r:id="rId2235" w:history="1">
        <w:r w:rsidRPr="000929D2">
          <w:rPr>
            <w:rStyle w:val="Hyperlink"/>
            <w:rFonts w:ascii="Times New Roman" w:hAnsi="Times New Roman"/>
            <w:sz w:val="24"/>
            <w:szCs w:val="24"/>
          </w:rPr>
          <w:t>https://law.justia.com/cases/new-york/appellate-division-second-department/2020/2018-14386.html</w:t>
        </w:r>
      </w:hyperlink>
      <w:r>
        <w:rPr>
          <w:rFonts w:ascii="Times New Roman" w:hAnsi="Times New Roman"/>
          <w:sz w:val="24"/>
          <w:szCs w:val="24"/>
        </w:rPr>
        <w:t xml:space="preserve"> </w:t>
      </w:r>
    </w:p>
    <w:p w14:paraId="019BE7FC" w14:textId="77777777" w:rsidR="00B532F6" w:rsidRDefault="00B532F6" w:rsidP="00B532F6">
      <w:pPr>
        <w:rPr>
          <w:rFonts w:ascii="Times New Roman" w:hAnsi="Times New Roman"/>
          <w:b/>
          <w:bCs/>
          <w:sz w:val="24"/>
          <w:szCs w:val="24"/>
        </w:rPr>
      </w:pPr>
      <w:r w:rsidRPr="004C542C">
        <w:rPr>
          <w:rFonts w:ascii="Times New Roman" w:hAnsi="Times New Roman"/>
          <w:b/>
          <w:bCs/>
          <w:sz w:val="24"/>
          <w:szCs w:val="24"/>
        </w:rPr>
        <w:t xml:space="preserve">Legal Lessons Learned: </w:t>
      </w:r>
      <w:r>
        <w:rPr>
          <w:rFonts w:ascii="Times New Roman" w:hAnsi="Times New Roman"/>
          <w:b/>
          <w:bCs/>
          <w:sz w:val="24"/>
          <w:szCs w:val="24"/>
        </w:rPr>
        <w:t xml:space="preserve"> Governmental immunity normally protects the municipality from EMS liability unless proof of gross negligence or willful or wanton misconduct.  The case will now proceed to pre-trial discovery.  </w:t>
      </w:r>
    </w:p>
    <w:p w14:paraId="551F6971" w14:textId="77777777" w:rsidR="00B532F6" w:rsidRPr="000B00E6" w:rsidRDefault="00B532F6" w:rsidP="00B532F6">
      <w:pPr>
        <w:pStyle w:val="Heading2"/>
        <w:ind w:left="720"/>
        <w:rPr>
          <w:rFonts w:ascii="Times New Roman" w:hAnsi="Times New Roman"/>
          <w:b w:val="0"/>
          <w:bCs w:val="0"/>
          <w:i w:val="0"/>
          <w:iCs w:val="0"/>
          <w:sz w:val="24"/>
          <w:szCs w:val="24"/>
        </w:rPr>
      </w:pPr>
      <w:r w:rsidRPr="000B00E6">
        <w:rPr>
          <w:rFonts w:ascii="Times New Roman" w:hAnsi="Times New Roman"/>
          <w:b w:val="0"/>
          <w:bCs w:val="0"/>
          <w:i w:val="0"/>
          <w:iCs w:val="0"/>
          <w:sz w:val="24"/>
          <w:szCs w:val="24"/>
        </w:rPr>
        <w:t xml:space="preserve">Note: See Ohio Revised Code 4765.49, Emergency medical personnel and agencies - immunity. </w:t>
      </w:r>
      <w:hyperlink r:id="rId2236" w:history="1">
        <w:r w:rsidRPr="000B00E6">
          <w:rPr>
            <w:rStyle w:val="Hyperlink"/>
            <w:rFonts w:ascii="Times New Roman" w:hAnsi="Times New Roman"/>
            <w:b w:val="0"/>
            <w:bCs w:val="0"/>
            <w:i w:val="0"/>
            <w:iCs w:val="0"/>
            <w:sz w:val="24"/>
            <w:szCs w:val="24"/>
          </w:rPr>
          <w:t>https://codes.ohio.gov/orc/4765.49v1</w:t>
        </w:r>
      </w:hyperlink>
      <w:r w:rsidRPr="000B00E6">
        <w:rPr>
          <w:rFonts w:ascii="Times New Roman" w:hAnsi="Times New Roman"/>
          <w:b w:val="0"/>
          <w:bCs w:val="0"/>
          <w:i w:val="0"/>
          <w:iCs w:val="0"/>
          <w:sz w:val="24"/>
          <w:szCs w:val="24"/>
        </w:rPr>
        <w:t xml:space="preserve"> </w:t>
      </w:r>
    </w:p>
    <w:p w14:paraId="311CE50D" w14:textId="77777777" w:rsidR="00B532F6" w:rsidRDefault="00B532F6" w:rsidP="00B532F6">
      <w:pPr>
        <w:pStyle w:val="NormalWeb"/>
        <w:ind w:left="1440"/>
      </w:pPr>
      <w:r>
        <w:t xml:space="preserve">“(A)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 A physician, physician assistant designated by a physician, or registered nurse designated by a physician, any of whom is advising or assisting in the emergency medical services by means of any communication device or telemetering system, is not liable in damages in a civil action for injury, death, or loss to person or property resulting from the individual's advisory communication or assistance, unless the advisory communication or assistance is provided in a manner that constitutes willful or wanton misconduct. Medical directors and members of cooperating physician advisory boards of emergency medical service organizations are not liable in damages in a civil action for injury, death, or loss to person or property resulting from their acts or omissions in the performance of their duties, unless the act or omission constitutes willful or wanton misconduct. </w:t>
      </w:r>
    </w:p>
    <w:p w14:paraId="3C8BF03A" w14:textId="77777777" w:rsidR="00B532F6" w:rsidRDefault="00B532F6" w:rsidP="00B532F6">
      <w:pPr>
        <w:pStyle w:val="NormalWeb"/>
        <w:ind w:left="1440"/>
      </w:pPr>
      <w:r>
        <w:t>(B) A political subdivision, joint ambulance district, joint emergency medical services district, or other public agency, and any officer or employee of a public agency or of a private organization operating under contract or in joint agreement with one or more political subdivisions, that provides emergency medical services, or that enters into a joint agreement or a contract with the state, any political subdivision, joint ambulance district, or joint emergency medical services district for the provision of emergency medical services, is not liable in damages in a civil action for injury, death, or loss to person or property arising out of any actions taken by a first responder, EMT-basic, EMT-I, or paramedic working under the officer's or employee's jurisdiction, or for injury, death, or loss to person or property arising out of any actions of licensed medical personnel advising or assisting the first responder, EMT-basic, EMT-I, or paramedic, unless the services are provided in a manner that constitutes willful or wanton misconduct.”</w:t>
      </w:r>
    </w:p>
    <w:p w14:paraId="3664E206" w14:textId="77777777" w:rsidR="00B532F6" w:rsidRDefault="00B532F6" w:rsidP="001C563D">
      <w:pPr>
        <w:rPr>
          <w:rFonts w:ascii="Arial Black" w:hAnsi="Arial Black"/>
          <w:b/>
          <w:bCs/>
          <w:sz w:val="28"/>
          <w:szCs w:val="28"/>
        </w:rPr>
      </w:pPr>
    </w:p>
    <w:p w14:paraId="2386F71C" w14:textId="441FD9AC" w:rsidR="00B532F6" w:rsidRPr="00B532F6" w:rsidRDefault="00B532F6" w:rsidP="001C563D">
      <w:pPr>
        <w:rPr>
          <w:rFonts w:ascii="Times New Roman" w:hAnsi="Times New Roman"/>
          <w:sz w:val="24"/>
          <w:szCs w:val="24"/>
        </w:rPr>
      </w:pPr>
      <w:r>
        <w:rPr>
          <w:rFonts w:ascii="Arial Black" w:hAnsi="Arial Black"/>
          <w:b/>
          <w:bCs/>
          <w:sz w:val="28"/>
          <w:szCs w:val="28"/>
        </w:rPr>
        <w:lastRenderedPageBreak/>
        <w:t xml:space="preserve">13-63 </w:t>
      </w:r>
      <w:r w:rsidRPr="00B532F6">
        <w:rPr>
          <w:rFonts w:ascii="Times New Roman" w:hAnsi="Times New Roman"/>
          <w:sz w:val="24"/>
          <w:szCs w:val="24"/>
        </w:rPr>
        <w:t>[also filed, Chap. 18]</w:t>
      </w:r>
    </w:p>
    <w:p w14:paraId="2AF5AC26" w14:textId="77777777" w:rsidR="00B532F6" w:rsidRPr="004D5BFC" w:rsidRDefault="00B532F6" w:rsidP="00B532F6">
      <w:pPr>
        <w:rPr>
          <w:rFonts w:ascii="Arial Black" w:hAnsi="Arial Black"/>
          <w:sz w:val="28"/>
          <w:szCs w:val="28"/>
        </w:rPr>
      </w:pPr>
      <w:r>
        <w:rPr>
          <w:rFonts w:ascii="Arial Black" w:hAnsi="Arial Black"/>
          <w:sz w:val="28"/>
          <w:szCs w:val="28"/>
        </w:rPr>
        <w:t xml:space="preserve">OH:  TEMPORARY IMMUNITY DURING COVID-19 PANDEMIC – EMERGENCY RESPONDERS, SCHOOLS PROTECTED TORT LIABILITY  </w:t>
      </w:r>
    </w:p>
    <w:p w14:paraId="2DD9ED7F" w14:textId="77777777" w:rsidR="00B532F6" w:rsidRPr="00820E9C" w:rsidRDefault="00B532F6" w:rsidP="00B532F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Sept. 14, 2020, Ohio Governor Mike DeWine signed House Bill 606 into law.  </w:t>
      </w:r>
      <w:r w:rsidRPr="00820E9C">
        <w:rPr>
          <w:rFonts w:ascii="Times New Roman" w:hAnsi="Times New Roman"/>
          <w:sz w:val="24"/>
          <w:szCs w:val="24"/>
        </w:rPr>
        <w:t xml:space="preserve">“The bill ensures civil immunity to individuals, schools, health care providers, businesses and other entities from lawsuits arising from exposure, transmission or contraction of COVID-19, or any mutation of the virus, </w:t>
      </w:r>
      <w:proofErr w:type="gramStart"/>
      <w:r w:rsidRPr="00820E9C">
        <w:rPr>
          <w:rFonts w:ascii="Times New Roman" w:hAnsi="Times New Roman"/>
          <w:sz w:val="24"/>
          <w:szCs w:val="24"/>
        </w:rPr>
        <w:t>as long as</w:t>
      </w:r>
      <w:proofErr w:type="gramEnd"/>
      <w:r w:rsidRPr="00820E9C">
        <w:rPr>
          <w:rFonts w:ascii="Times New Roman" w:hAnsi="Times New Roman"/>
          <w:sz w:val="24"/>
          <w:szCs w:val="24"/>
        </w:rPr>
        <w:t xml:space="preserve"> they were not showing reckless, intentional or willful misconduct. It also shields health care providers from liability in tort actions regarding the care and services they provide during this pandemic unless they were acting recklessly or displaying intentional </w:t>
      </w:r>
      <w:proofErr w:type="gramStart"/>
      <w:r w:rsidRPr="00820E9C">
        <w:rPr>
          <w:rFonts w:ascii="Times New Roman" w:hAnsi="Times New Roman"/>
          <w:sz w:val="24"/>
          <w:szCs w:val="24"/>
        </w:rPr>
        <w:t>misconduct.</w:t>
      </w:r>
      <w:r>
        <w:rPr>
          <w:rFonts w:ascii="Times New Roman" w:hAnsi="Times New Roman"/>
          <w:sz w:val="24"/>
          <w:szCs w:val="24"/>
        </w:rPr>
        <w:t>”</w:t>
      </w:r>
      <w:proofErr w:type="gramEnd"/>
      <w:r w:rsidRPr="00820E9C">
        <w:rPr>
          <w:rFonts w:ascii="Times New Roman" w:hAnsi="Times New Roman"/>
          <w:sz w:val="24"/>
          <w:szCs w:val="24"/>
        </w:rPr>
        <w:t xml:space="preserve"> </w:t>
      </w:r>
      <w:hyperlink r:id="rId2237" w:history="1">
        <w:r w:rsidRPr="00EA25E1">
          <w:rPr>
            <w:rStyle w:val="Hyperlink"/>
            <w:rFonts w:ascii="Times New Roman" w:hAnsi="Times New Roman"/>
            <w:sz w:val="24"/>
            <w:szCs w:val="24"/>
          </w:rPr>
          <w:t>https://www.wkbn.com/news/coronavirus/dewine-signs-law-giving-covid-19-lawsuit-immunity/</w:t>
        </w:r>
      </w:hyperlink>
      <w:r>
        <w:rPr>
          <w:rFonts w:ascii="Times New Roman" w:hAnsi="Times New Roman"/>
          <w:sz w:val="24"/>
          <w:szCs w:val="24"/>
        </w:rPr>
        <w:t xml:space="preserve">  This will be particularly helpful to FDs that host paramedic and EMS students needing “ride time” for their certifications. See the statute: </w:t>
      </w:r>
      <w:hyperlink r:id="rId2238" w:history="1">
        <w:r w:rsidRPr="00EA25E1">
          <w:rPr>
            <w:rStyle w:val="Hyperlink"/>
            <w:rFonts w:ascii="Times New Roman" w:hAnsi="Times New Roman"/>
            <w:sz w:val="24"/>
            <w:szCs w:val="24"/>
          </w:rPr>
          <w:t>https://www.hannah.com/ShowDocument.aspx?BTextID=219206</w:t>
        </w:r>
      </w:hyperlink>
      <w:r>
        <w:rPr>
          <w:rFonts w:ascii="Times New Roman" w:hAnsi="Times New Roman"/>
          <w:sz w:val="24"/>
          <w:szCs w:val="24"/>
        </w:rPr>
        <w:t xml:space="preserve"> </w:t>
      </w:r>
    </w:p>
    <w:p w14:paraId="7D943446" w14:textId="77777777" w:rsidR="00B532F6" w:rsidRDefault="00B532F6" w:rsidP="00B532F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statute is an excellent example of legislation providing immunity from tort liability during the pandemic for those serving others, including emergency responders.  </w:t>
      </w:r>
    </w:p>
    <w:p w14:paraId="39A64FF3" w14:textId="77777777" w:rsidR="00B532F6" w:rsidRPr="00E85202" w:rsidRDefault="00B532F6" w:rsidP="00B532F6">
      <w:pPr>
        <w:spacing w:before="100" w:beforeAutospacing="1" w:after="100" w:afterAutospacing="1" w:line="240" w:lineRule="auto"/>
        <w:ind w:left="720"/>
        <w:rPr>
          <w:rFonts w:ascii="Times New Roman" w:eastAsia="Times New Roman" w:hAnsi="Times New Roman"/>
          <w:sz w:val="24"/>
          <w:szCs w:val="24"/>
        </w:rPr>
      </w:pPr>
      <w:r w:rsidRPr="00E85202">
        <w:rPr>
          <w:rFonts w:ascii="Times New Roman" w:eastAsia="Times New Roman" w:hAnsi="Times New Roman"/>
          <w:sz w:val="24"/>
          <w:szCs w:val="24"/>
        </w:rPr>
        <w:t xml:space="preserve">Note: See legislative history: </w:t>
      </w:r>
      <w:hyperlink r:id="rId2239" w:history="1">
        <w:r w:rsidRPr="00EA25E1">
          <w:rPr>
            <w:rStyle w:val="Hyperlink"/>
            <w:rFonts w:ascii="Times New Roman" w:eastAsia="Times New Roman" w:hAnsi="Times New Roman"/>
            <w:sz w:val="24"/>
            <w:szCs w:val="24"/>
          </w:rPr>
          <w:t>https://www.legislature.ohio.gov/legislation/legislation-documents?id=GA133-HB-606</w:t>
        </w:r>
      </w:hyperlink>
      <w:r w:rsidRPr="00E85202">
        <w:rPr>
          <w:rFonts w:ascii="Times New Roman" w:eastAsia="Times New Roman" w:hAnsi="Times New Roman"/>
          <w:sz w:val="24"/>
          <w:szCs w:val="24"/>
        </w:rPr>
        <w:t xml:space="preserve"> </w:t>
      </w:r>
    </w:p>
    <w:p w14:paraId="347C9890" w14:textId="77777777" w:rsidR="00B532F6" w:rsidRDefault="00B532F6" w:rsidP="001C563D">
      <w:pPr>
        <w:rPr>
          <w:rFonts w:ascii="Arial Black" w:hAnsi="Arial Black"/>
          <w:b/>
          <w:bCs/>
          <w:sz w:val="28"/>
          <w:szCs w:val="28"/>
        </w:rPr>
      </w:pPr>
    </w:p>
    <w:p w14:paraId="45464A38" w14:textId="77777777" w:rsidR="00B532F6" w:rsidRDefault="00B532F6" w:rsidP="001C563D">
      <w:pPr>
        <w:rPr>
          <w:rFonts w:ascii="Arial Black" w:hAnsi="Arial Black"/>
          <w:b/>
          <w:bCs/>
          <w:sz w:val="28"/>
          <w:szCs w:val="28"/>
        </w:rPr>
      </w:pPr>
    </w:p>
    <w:p w14:paraId="6D00479F" w14:textId="0BC2A526" w:rsidR="00557CA2" w:rsidRDefault="00557CA2" w:rsidP="001C563D">
      <w:pPr>
        <w:rPr>
          <w:rFonts w:ascii="Arial Black" w:hAnsi="Arial Black"/>
          <w:b/>
          <w:bCs/>
          <w:sz w:val="28"/>
          <w:szCs w:val="28"/>
        </w:rPr>
      </w:pPr>
      <w:r>
        <w:rPr>
          <w:rFonts w:ascii="Arial Black" w:hAnsi="Arial Black"/>
          <w:b/>
          <w:bCs/>
          <w:sz w:val="28"/>
          <w:szCs w:val="28"/>
        </w:rPr>
        <w:t>13-62</w:t>
      </w:r>
    </w:p>
    <w:p w14:paraId="4016C6AA" w14:textId="77777777" w:rsidR="00557CA2" w:rsidRDefault="00557CA2" w:rsidP="00557CA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TX: “UNRESTRAINED” PATIENT DROPPED FROM STRETCHER – UNEVEN DRIVEWAY – NO EXPERT REPORT</w:t>
      </w:r>
    </w:p>
    <w:p w14:paraId="44D036CF" w14:textId="77777777" w:rsidR="00557CA2" w:rsidRDefault="00557CA2" w:rsidP="00557CA2">
      <w:pPr>
        <w:pStyle w:val="Heading1"/>
        <w:rPr>
          <w:b w:val="0"/>
          <w:bCs w:val="0"/>
          <w:sz w:val="24"/>
          <w:szCs w:val="24"/>
        </w:rPr>
      </w:pPr>
      <w:r>
        <w:rPr>
          <w:sz w:val="24"/>
          <w:szCs w:val="24"/>
        </w:rPr>
        <w:t xml:space="preserve"> </w:t>
      </w:r>
      <w:r>
        <w:rPr>
          <w:b w:val="0"/>
          <w:bCs w:val="0"/>
          <w:sz w:val="24"/>
          <w:szCs w:val="24"/>
        </w:rPr>
        <w:t xml:space="preserve">On Aug. 25, 2020, in City of </w:t>
      </w:r>
      <w:r>
        <w:rPr>
          <w:b w:val="0"/>
          <w:bCs w:val="0"/>
          <w:sz w:val="24"/>
          <w:szCs w:val="24"/>
          <w:u w:val="single"/>
        </w:rPr>
        <w:t>Houston v. Shirley Houston</w:t>
      </w:r>
      <w:r>
        <w:rPr>
          <w:b w:val="0"/>
          <w:bCs w:val="0"/>
          <w:sz w:val="24"/>
          <w:szCs w:val="24"/>
        </w:rPr>
        <w:t xml:space="preserve">, the Court of Appeals for the First District of Texas held (3 to 0) that the lawsuit should be dismissed, reversing a trial judge’s denial of City’s motion to dismiss. </w:t>
      </w:r>
    </w:p>
    <w:p w14:paraId="02D36EE1" w14:textId="77777777" w:rsidR="00557CA2" w:rsidRDefault="00557CA2" w:rsidP="00557CA2">
      <w:pPr>
        <w:pStyle w:val="Heading1"/>
        <w:ind w:left="720"/>
        <w:rPr>
          <w:b w:val="0"/>
          <w:bCs w:val="0"/>
          <w:sz w:val="24"/>
          <w:szCs w:val="24"/>
        </w:rPr>
      </w:pPr>
      <w:r>
        <w:rPr>
          <w:b w:val="0"/>
          <w:bCs w:val="0"/>
          <w:sz w:val="24"/>
          <w:szCs w:val="24"/>
        </w:rPr>
        <w:t>“In its sole issue, the City contends that the trial court erred in denying its motion to dismiss because Houston's claim constitutes a health care liability claim</w:t>
      </w:r>
      <w:bookmarkStart w:id="454" w:name="fn2"/>
      <w:r>
        <w:rPr>
          <w:b w:val="0"/>
          <w:bCs w:val="0"/>
          <w:sz w:val="24"/>
          <w:szCs w:val="24"/>
        </w:rPr>
        <w:fldChar w:fldCharType="begin"/>
      </w:r>
      <w:r>
        <w:rPr>
          <w:b w:val="0"/>
          <w:bCs w:val="0"/>
          <w:sz w:val="24"/>
          <w:szCs w:val="24"/>
        </w:rPr>
        <w:instrText xml:space="preserve"> HYPERLINK "https://public.fastcase.com/" \l "fr2" </w:instrText>
      </w:r>
      <w:r>
        <w:rPr>
          <w:b w:val="0"/>
          <w:bCs w:val="0"/>
          <w:sz w:val="24"/>
          <w:szCs w:val="24"/>
        </w:rPr>
      </w:r>
      <w:r>
        <w:rPr>
          <w:b w:val="0"/>
          <w:bCs w:val="0"/>
          <w:sz w:val="24"/>
          <w:szCs w:val="24"/>
        </w:rPr>
        <w:fldChar w:fldCharType="separate"/>
      </w:r>
      <w:r>
        <w:rPr>
          <w:rStyle w:val="Hyperlink"/>
          <w:rFonts w:eastAsiaTheme="majorEastAsia"/>
          <w:b w:val="0"/>
          <w:bCs w:val="0"/>
          <w:sz w:val="24"/>
          <w:szCs w:val="24"/>
          <w:vertAlign w:val="superscript"/>
        </w:rPr>
        <w:t>2</w:t>
      </w:r>
      <w:r>
        <w:rPr>
          <w:b w:val="0"/>
          <w:bCs w:val="0"/>
          <w:sz w:val="24"/>
          <w:szCs w:val="24"/>
        </w:rPr>
        <w:fldChar w:fldCharType="end"/>
      </w:r>
      <w:bookmarkEnd w:id="454"/>
      <w:r>
        <w:rPr>
          <w:b w:val="0"/>
          <w:bCs w:val="0"/>
          <w:sz w:val="24"/>
          <w:szCs w:val="24"/>
        </w:rPr>
        <w:t xml:space="preserve"> and she failed to serve it with a </w:t>
      </w:r>
      <w:proofErr w:type="gramStart"/>
      <w:r>
        <w:rPr>
          <w:b w:val="0"/>
          <w:bCs w:val="0"/>
          <w:sz w:val="24"/>
          <w:szCs w:val="24"/>
        </w:rPr>
        <w:t>statutorily-required</w:t>
      </w:r>
      <w:proofErr w:type="gramEnd"/>
      <w:r>
        <w:rPr>
          <w:b w:val="0"/>
          <w:bCs w:val="0"/>
          <w:sz w:val="24"/>
          <w:szCs w:val="24"/>
        </w:rPr>
        <w:t xml:space="preserve"> expert report.</w:t>
      </w:r>
      <w:r>
        <w:rPr>
          <w:b w:val="0"/>
          <w:bCs w:val="0"/>
          <w:sz w:val="24"/>
          <w:szCs w:val="24"/>
          <w:vertAlign w:val="superscript"/>
        </w:rPr>
        <w:t xml:space="preserve"> *** </w:t>
      </w:r>
      <w:r>
        <w:rPr>
          <w:b w:val="0"/>
          <w:bCs w:val="0"/>
          <w:sz w:val="24"/>
          <w:szCs w:val="24"/>
        </w:rPr>
        <w:t xml:space="preserve">Here, the allegations in Houston's first amended petition show that her claim is against a health care provider and is based on facts that implicate the defendant's conduct </w:t>
      </w:r>
      <w:proofErr w:type="gramStart"/>
      <w:r>
        <w:rPr>
          <w:b w:val="0"/>
          <w:bCs w:val="0"/>
          <w:sz w:val="24"/>
          <w:szCs w:val="24"/>
        </w:rPr>
        <w:t>during the course of</w:t>
      </w:r>
      <w:proofErr w:type="gramEnd"/>
      <w:r>
        <w:rPr>
          <w:b w:val="0"/>
          <w:bCs w:val="0"/>
          <w:sz w:val="24"/>
          <w:szCs w:val="24"/>
        </w:rPr>
        <w:t xml:space="preserve"> a patient's care, treatment, or confinement….  Thus, [the Plaintiff] bore the burden of rebutting the presumption that her claim against the City was a health care liability claim…. She has not done so.” </w:t>
      </w:r>
      <w:hyperlink r:id="rId2240" w:history="1">
        <w:r>
          <w:rPr>
            <w:rStyle w:val="Hyperlink"/>
            <w:rFonts w:eastAsiaTheme="majorEastAsia"/>
            <w:b w:val="0"/>
            <w:bCs w:val="0"/>
            <w:sz w:val="24"/>
            <w:szCs w:val="24"/>
          </w:rPr>
          <w:t>https://law.justia.com/cases/texas/first-court-of-appeals/2020/01-19-00255-cv.html</w:t>
        </w:r>
      </w:hyperlink>
      <w:r>
        <w:rPr>
          <w:b w:val="0"/>
          <w:bCs w:val="0"/>
          <w:sz w:val="24"/>
          <w:szCs w:val="24"/>
        </w:rPr>
        <w:t xml:space="preserve"> </w:t>
      </w:r>
    </w:p>
    <w:p w14:paraId="0E5BE7E5" w14:textId="77777777" w:rsidR="00CD02AE" w:rsidRDefault="00CD02AE" w:rsidP="00CD02AE">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When moving a patient on a stretcher from her home the patient must be “secured” to the stretcher and extreme caution must be exercised.  </w:t>
      </w:r>
    </w:p>
    <w:p w14:paraId="43A8DC43" w14:textId="77777777" w:rsidR="00557CA2" w:rsidRDefault="00557CA2" w:rsidP="001C563D">
      <w:pPr>
        <w:rPr>
          <w:rFonts w:ascii="Arial Black" w:hAnsi="Arial Black"/>
          <w:b/>
          <w:bCs/>
          <w:sz w:val="28"/>
          <w:szCs w:val="28"/>
        </w:rPr>
      </w:pPr>
    </w:p>
    <w:p w14:paraId="2ECCBAD4" w14:textId="77777777" w:rsidR="00557CA2" w:rsidRDefault="00557CA2" w:rsidP="001C563D">
      <w:pPr>
        <w:rPr>
          <w:rFonts w:ascii="Arial Black" w:hAnsi="Arial Black"/>
          <w:b/>
          <w:bCs/>
          <w:sz w:val="28"/>
          <w:szCs w:val="28"/>
        </w:rPr>
      </w:pPr>
    </w:p>
    <w:p w14:paraId="0497B739" w14:textId="3EC88CC2" w:rsidR="001C563D" w:rsidRPr="007105B3" w:rsidRDefault="007105B3" w:rsidP="001C563D">
      <w:pPr>
        <w:rPr>
          <w:rFonts w:ascii="Times New Roman" w:hAnsi="Times New Roman"/>
          <w:bCs/>
          <w:sz w:val="24"/>
          <w:szCs w:val="24"/>
        </w:rPr>
      </w:pPr>
      <w:r>
        <w:rPr>
          <w:rFonts w:ascii="Arial Black" w:hAnsi="Arial Black"/>
          <w:b/>
          <w:bCs/>
          <w:sz w:val="28"/>
          <w:szCs w:val="28"/>
        </w:rPr>
        <w:lastRenderedPageBreak/>
        <w:t>13-</w:t>
      </w:r>
      <w:r w:rsidR="001C563D">
        <w:rPr>
          <w:rFonts w:ascii="Arial Black" w:hAnsi="Arial Black"/>
          <w:b/>
          <w:bCs/>
          <w:sz w:val="28"/>
          <w:szCs w:val="28"/>
        </w:rPr>
        <w:t>6</w:t>
      </w:r>
      <w:r w:rsidR="001A653A">
        <w:rPr>
          <w:rFonts w:ascii="Arial Black" w:hAnsi="Arial Black"/>
          <w:b/>
          <w:bCs/>
          <w:sz w:val="28"/>
          <w:szCs w:val="28"/>
        </w:rPr>
        <w:t>1</w:t>
      </w:r>
      <w:r w:rsidR="001C563D">
        <w:rPr>
          <w:rFonts w:ascii="Arial Black" w:hAnsi="Arial Black"/>
          <w:b/>
          <w:bCs/>
          <w:sz w:val="28"/>
          <w:szCs w:val="28"/>
        </w:rPr>
        <w:t xml:space="preserve"> </w:t>
      </w:r>
      <w:r w:rsidR="001C563D" w:rsidRPr="007105B3">
        <w:rPr>
          <w:rFonts w:ascii="Times New Roman" w:hAnsi="Times New Roman"/>
          <w:bCs/>
          <w:sz w:val="24"/>
          <w:szCs w:val="24"/>
        </w:rPr>
        <w:t xml:space="preserve">[Also filed, Chap. </w:t>
      </w:r>
      <w:r w:rsidR="001C563D">
        <w:rPr>
          <w:rFonts w:ascii="Times New Roman" w:hAnsi="Times New Roman"/>
          <w:bCs/>
          <w:sz w:val="24"/>
          <w:szCs w:val="24"/>
        </w:rPr>
        <w:t>5</w:t>
      </w:r>
      <w:r w:rsidR="001C563D" w:rsidRPr="007105B3">
        <w:rPr>
          <w:rFonts w:ascii="Times New Roman" w:hAnsi="Times New Roman"/>
          <w:bCs/>
          <w:sz w:val="24"/>
          <w:szCs w:val="24"/>
        </w:rPr>
        <w:t>]</w:t>
      </w:r>
    </w:p>
    <w:p w14:paraId="7DE34904" w14:textId="77777777" w:rsidR="007105B3" w:rsidRDefault="007105B3" w:rsidP="007105B3">
      <w:pPr>
        <w:pStyle w:val="NoSpacing"/>
        <w:rPr>
          <w:rFonts w:ascii="Arial Black" w:hAnsi="Arial Black"/>
          <w:sz w:val="28"/>
          <w:szCs w:val="28"/>
        </w:rPr>
      </w:pPr>
      <w:r w:rsidRPr="00284D4F">
        <w:rPr>
          <w:rFonts w:ascii="Arial Black" w:hAnsi="Arial Black"/>
          <w:sz w:val="28"/>
          <w:szCs w:val="28"/>
        </w:rPr>
        <w:t xml:space="preserve">IL: </w:t>
      </w:r>
      <w:r>
        <w:rPr>
          <w:rFonts w:ascii="Arial Black" w:hAnsi="Arial Black"/>
          <w:sz w:val="28"/>
          <w:szCs w:val="28"/>
        </w:rPr>
        <w:t>PRIVATE AMBULANCE – RAN RED LIGHT WHEN DRIVING TO NON-EMERGENCY TRANSPORT - NO IMMUNITY</w:t>
      </w:r>
    </w:p>
    <w:p w14:paraId="1375197D" w14:textId="77777777" w:rsidR="007105B3" w:rsidRDefault="007105B3" w:rsidP="007105B3">
      <w:pPr>
        <w:pStyle w:val="NoSpacing"/>
        <w:rPr>
          <w:rFonts w:ascii="Arial Black" w:hAnsi="Arial Black"/>
          <w:sz w:val="28"/>
          <w:szCs w:val="28"/>
        </w:rPr>
      </w:pPr>
    </w:p>
    <w:p w14:paraId="0E5F8DC8" w14:textId="77777777" w:rsidR="007105B3" w:rsidRPr="00700A10" w:rsidRDefault="007105B3" w:rsidP="007105B3">
      <w:pPr>
        <w:pStyle w:val="NoSpacing"/>
        <w:rPr>
          <w:rFonts w:ascii="Times New Roman" w:hAnsi="Times New Roman"/>
          <w:sz w:val="24"/>
          <w:szCs w:val="24"/>
        </w:rPr>
      </w:pPr>
      <w:r w:rsidRPr="00284D4F">
        <w:rPr>
          <w:rFonts w:ascii="Times New Roman" w:hAnsi="Times New Roman"/>
          <w:sz w:val="24"/>
          <w:szCs w:val="24"/>
        </w:rPr>
        <w:t xml:space="preserve">On </w:t>
      </w:r>
      <w:r>
        <w:rPr>
          <w:rFonts w:ascii="Times New Roman" w:hAnsi="Times New Roman"/>
          <w:sz w:val="24"/>
          <w:szCs w:val="24"/>
        </w:rPr>
        <w:t xml:space="preserve">June 18, 2020, in </w:t>
      </w:r>
      <w:r w:rsidRPr="00284D4F">
        <w:rPr>
          <w:rFonts w:ascii="Times New Roman" w:hAnsi="Times New Roman"/>
          <w:sz w:val="24"/>
          <w:szCs w:val="24"/>
          <w:u w:val="single"/>
        </w:rPr>
        <w:t>Roberto Hernandez v. Lifeline Ambulance, LLC, et al</w:t>
      </w:r>
      <w:r>
        <w:rPr>
          <w:rFonts w:ascii="Times New Roman" w:hAnsi="Times New Roman"/>
          <w:sz w:val="24"/>
          <w:szCs w:val="24"/>
        </w:rPr>
        <w:t xml:space="preserve">., the Supreme Court of State of Illinois, held (4 to 3) that the private ambulance driver and his employer are not protected under the state’s EMS immunity statute when the ambulance driver, on a non-emergency run without lights or siren, ran a red light and injured the driver of another vehicle. The ambulance had been dispatched </w:t>
      </w:r>
      <w:r w:rsidRPr="00700A10">
        <w:rPr>
          <w:rFonts w:ascii="Times New Roman" w:hAnsi="Times New Roman"/>
          <w:sz w:val="24"/>
          <w:szCs w:val="24"/>
        </w:rPr>
        <w:t>to pick up a patient for nonemergency medical transport from Symphony at Aria Post Acute Care in Hillside to Villa Park Home Dialysis in Villa Park</w:t>
      </w:r>
      <w:r>
        <w:rPr>
          <w:rFonts w:ascii="Times New Roman" w:hAnsi="Times New Roman"/>
          <w:sz w:val="24"/>
          <w:szCs w:val="24"/>
        </w:rPr>
        <w:t>. The Court’s majority held: “</w:t>
      </w:r>
      <w:r w:rsidRPr="00700A10">
        <w:rPr>
          <w:rFonts w:ascii="Times New Roman" w:hAnsi="Times New Roman"/>
          <w:sz w:val="24"/>
          <w:szCs w:val="24"/>
        </w:rPr>
        <w:t xml:space="preserve">The issue presented is whether section 3.150 of the Emergency Medical Services Systems Act (EMS Act) (210 ILCS 50/3.150 (West 2016)) provides immunity from liability—to an ambulance owner and its driver—stemming from a motor-vehicle accident caused by the negligent operation of the ambulance while </w:t>
      </w:r>
      <w:proofErr w:type="spellStart"/>
      <w:r w:rsidRPr="00700A10">
        <w:rPr>
          <w:rFonts w:ascii="Times New Roman" w:hAnsi="Times New Roman"/>
          <w:sz w:val="24"/>
          <w:szCs w:val="24"/>
        </w:rPr>
        <w:t>en</w:t>
      </w:r>
      <w:proofErr w:type="spellEnd"/>
      <w:r w:rsidRPr="00700A10">
        <w:rPr>
          <w:rFonts w:ascii="Times New Roman" w:hAnsi="Times New Roman"/>
          <w:sz w:val="24"/>
          <w:szCs w:val="24"/>
        </w:rPr>
        <w:t xml:space="preserve"> route to pick up a patient for nonemergency transportation. We answer this question in the negative, holding that defendants are not immune from liability under the circumstances of this case.</w:t>
      </w:r>
      <w:r>
        <w:rPr>
          <w:rFonts w:ascii="Times New Roman" w:hAnsi="Times New Roman"/>
          <w:sz w:val="24"/>
          <w:szCs w:val="24"/>
        </w:rPr>
        <w:t xml:space="preserve">” </w:t>
      </w:r>
      <w:hyperlink r:id="rId2241" w:history="1">
        <w:r w:rsidRPr="005B0C9C">
          <w:rPr>
            <w:rStyle w:val="Hyperlink"/>
            <w:rFonts w:ascii="Times New Roman" w:hAnsi="Times New Roman"/>
            <w:sz w:val="24"/>
            <w:szCs w:val="24"/>
          </w:rPr>
          <w:t>https://courts.illinois.gov/Opinions/SupremeCourt/2020/124610.pdf</w:t>
        </w:r>
      </w:hyperlink>
      <w:r>
        <w:rPr>
          <w:rFonts w:ascii="Times New Roman" w:hAnsi="Times New Roman"/>
          <w:sz w:val="24"/>
          <w:szCs w:val="24"/>
        </w:rPr>
        <w:t xml:space="preserve"> </w:t>
      </w:r>
    </w:p>
    <w:p w14:paraId="02CEDC12" w14:textId="77777777" w:rsidR="007105B3" w:rsidRPr="00700A10" w:rsidRDefault="007105B3" w:rsidP="007105B3">
      <w:pPr>
        <w:pStyle w:val="NoSpacing"/>
        <w:rPr>
          <w:rFonts w:ascii="Times New Roman" w:hAnsi="Times New Roman"/>
          <w:sz w:val="24"/>
          <w:szCs w:val="24"/>
        </w:rPr>
      </w:pPr>
    </w:p>
    <w:p w14:paraId="54DD4AAC" w14:textId="77777777" w:rsidR="007105B3" w:rsidRPr="00700A10" w:rsidRDefault="007105B3" w:rsidP="007105B3">
      <w:pPr>
        <w:pStyle w:val="NoSpacing"/>
        <w:rPr>
          <w:rFonts w:ascii="Times New Roman" w:hAnsi="Times New Roman"/>
          <w:b/>
          <w:bCs/>
          <w:sz w:val="24"/>
          <w:szCs w:val="24"/>
        </w:rPr>
      </w:pPr>
      <w:r w:rsidRPr="00700A10">
        <w:rPr>
          <w:rFonts w:ascii="Times New Roman" w:hAnsi="Times New Roman"/>
          <w:b/>
          <w:bCs/>
          <w:sz w:val="24"/>
          <w:szCs w:val="24"/>
        </w:rPr>
        <w:t>Legal Lessons Learned:</w:t>
      </w:r>
      <w:r>
        <w:rPr>
          <w:rFonts w:ascii="Times New Roman" w:hAnsi="Times New Roman"/>
          <w:b/>
          <w:bCs/>
          <w:sz w:val="24"/>
          <w:szCs w:val="24"/>
        </w:rPr>
        <w:t xml:space="preserve"> EMS driving running a red light for a non-emergency transport should be held responsible, along with his company, for his negligent conduct. </w:t>
      </w:r>
    </w:p>
    <w:p w14:paraId="488681CD" w14:textId="77777777" w:rsidR="007105B3" w:rsidRDefault="007105B3" w:rsidP="007105B3">
      <w:pPr>
        <w:pStyle w:val="NoSpacing"/>
        <w:rPr>
          <w:rFonts w:ascii="Times New Roman" w:hAnsi="Times New Roman"/>
          <w:sz w:val="24"/>
          <w:szCs w:val="24"/>
        </w:rPr>
      </w:pPr>
    </w:p>
    <w:p w14:paraId="6B2E73BB" w14:textId="77777777" w:rsidR="007105B3" w:rsidRPr="005262A7" w:rsidRDefault="007105B3" w:rsidP="007105B3">
      <w:pPr>
        <w:pStyle w:val="NoSpacing"/>
        <w:ind w:firstLine="720"/>
        <w:rPr>
          <w:rFonts w:ascii="Times New Roman" w:hAnsi="Times New Roman"/>
          <w:sz w:val="24"/>
          <w:szCs w:val="24"/>
        </w:rPr>
      </w:pPr>
      <w:r w:rsidRPr="005262A7">
        <w:rPr>
          <w:rFonts w:ascii="Times New Roman" w:hAnsi="Times New Roman"/>
          <w:sz w:val="24"/>
          <w:szCs w:val="24"/>
        </w:rPr>
        <w:t xml:space="preserve">Note: Three dissenting Justices </w:t>
      </w:r>
      <w:r>
        <w:rPr>
          <w:rFonts w:ascii="Times New Roman" w:hAnsi="Times New Roman"/>
          <w:sz w:val="24"/>
          <w:szCs w:val="24"/>
        </w:rPr>
        <w:t>disagreed:</w:t>
      </w:r>
    </w:p>
    <w:p w14:paraId="701ABA1A" w14:textId="77777777" w:rsidR="007105B3" w:rsidRDefault="007105B3" w:rsidP="007105B3">
      <w:pPr>
        <w:pStyle w:val="NoSpacing"/>
        <w:ind w:left="720"/>
        <w:rPr>
          <w:rFonts w:ascii="Times New Roman" w:hAnsi="Times New Roman"/>
          <w:sz w:val="24"/>
          <w:szCs w:val="24"/>
        </w:rPr>
      </w:pPr>
    </w:p>
    <w:p w14:paraId="4C626A4F" w14:textId="77777777" w:rsidR="007105B3" w:rsidRDefault="007105B3" w:rsidP="007105B3">
      <w:pPr>
        <w:pStyle w:val="NoSpacing"/>
        <w:ind w:left="720"/>
      </w:pPr>
      <w:r>
        <w:rPr>
          <w:rFonts w:ascii="Times New Roman" w:hAnsi="Times New Roman"/>
          <w:sz w:val="24"/>
          <w:szCs w:val="24"/>
        </w:rPr>
        <w:t>“</w:t>
      </w:r>
      <w:r w:rsidRPr="005262A7">
        <w:rPr>
          <w:rFonts w:ascii="Times New Roman" w:hAnsi="Times New Roman"/>
          <w:sz w:val="24"/>
          <w:szCs w:val="24"/>
        </w:rPr>
        <w:t xml:space="preserve">In the case at bar, at the time of the accident, Nicholas was rendering nonemergency medical services in the normal course of conducting his duties. Nicholas was in the process of responding to a dispatch to transport a patient to a health care facility. Driving to the patient was preparatory for and integral to delivering the medical service. Further, the accident occurred before transporting the patient to a health care facility and during defendant’s driving in response to the dispatch. Therefore, absent willful and wanton misconduct, section 3.150(a) of the EMS Act immunizes defendants for their alleged negligent acts or omissions while providing nonemergency medical </w:t>
      </w:r>
      <w:proofErr w:type="gramStart"/>
      <w:r w:rsidRPr="005262A7">
        <w:rPr>
          <w:rFonts w:ascii="Times New Roman" w:hAnsi="Times New Roman"/>
          <w:sz w:val="24"/>
          <w:szCs w:val="24"/>
        </w:rPr>
        <w:t>services</w:t>
      </w:r>
      <w:r>
        <w:t>.”</w:t>
      </w:r>
      <w:proofErr w:type="gramEnd"/>
    </w:p>
    <w:p w14:paraId="76954412" w14:textId="77777777" w:rsidR="007105B3" w:rsidRDefault="007105B3" w:rsidP="007105B3">
      <w:pPr>
        <w:pStyle w:val="NoSpacing"/>
        <w:ind w:left="720"/>
      </w:pPr>
    </w:p>
    <w:p w14:paraId="5ACF48C8" w14:textId="0412504F" w:rsidR="001C563D" w:rsidRDefault="001C563D" w:rsidP="002B1283">
      <w:pPr>
        <w:rPr>
          <w:rFonts w:ascii="Arial Black" w:hAnsi="Arial Black"/>
          <w:b/>
          <w:bCs/>
          <w:sz w:val="28"/>
          <w:szCs w:val="28"/>
        </w:rPr>
      </w:pPr>
      <w:r>
        <w:rPr>
          <w:rFonts w:ascii="Arial Black" w:hAnsi="Arial Black"/>
          <w:b/>
          <w:bCs/>
          <w:sz w:val="28"/>
          <w:szCs w:val="28"/>
        </w:rPr>
        <w:t>13-</w:t>
      </w:r>
      <w:r w:rsidR="001A653A">
        <w:rPr>
          <w:rFonts w:ascii="Arial Black" w:hAnsi="Arial Black"/>
          <w:b/>
          <w:bCs/>
          <w:sz w:val="28"/>
          <w:szCs w:val="28"/>
        </w:rPr>
        <w:t>60</w:t>
      </w:r>
    </w:p>
    <w:p w14:paraId="24AED9DB" w14:textId="77777777" w:rsidR="001C563D" w:rsidRDefault="001C563D" w:rsidP="001C563D">
      <w:pPr>
        <w:pStyle w:val="NoSpacing"/>
        <w:rPr>
          <w:rFonts w:ascii="Arial Black" w:hAnsi="Arial Black"/>
          <w:sz w:val="28"/>
          <w:szCs w:val="28"/>
        </w:rPr>
      </w:pPr>
      <w:r w:rsidRPr="00371841">
        <w:rPr>
          <w:rFonts w:ascii="Arial Black" w:hAnsi="Arial Black"/>
          <w:sz w:val="28"/>
          <w:szCs w:val="28"/>
        </w:rPr>
        <w:t xml:space="preserve">MD: </w:t>
      </w:r>
      <w:r>
        <w:rPr>
          <w:rFonts w:ascii="Arial Black" w:hAnsi="Arial Black"/>
          <w:sz w:val="28"/>
          <w:szCs w:val="28"/>
        </w:rPr>
        <w:t xml:space="preserve"> EMS GAVE NARCAN TO UNCONSCIOUS 21-YR-OLD –STAUTORY IMMUNITY, NO GROSS NEGLIGENCE – NO HARM</w:t>
      </w:r>
    </w:p>
    <w:p w14:paraId="62E863C6" w14:textId="77777777" w:rsidR="001C563D" w:rsidRDefault="001C563D" w:rsidP="001C563D">
      <w:pPr>
        <w:pStyle w:val="NoSpacing"/>
        <w:rPr>
          <w:rFonts w:ascii="Times New Roman" w:hAnsi="Times New Roman"/>
          <w:sz w:val="24"/>
          <w:szCs w:val="24"/>
        </w:rPr>
      </w:pPr>
    </w:p>
    <w:p w14:paraId="1939C023" w14:textId="20D05FBD" w:rsidR="001C563D" w:rsidRDefault="001C563D" w:rsidP="001C563D">
      <w:pPr>
        <w:pStyle w:val="NoSpacing"/>
        <w:rPr>
          <w:rFonts w:ascii="Times New Roman" w:hAnsi="Times New Roman"/>
          <w:sz w:val="24"/>
          <w:szCs w:val="24"/>
        </w:rPr>
      </w:pPr>
      <w:r w:rsidRPr="00E03396">
        <w:rPr>
          <w:rFonts w:ascii="Times New Roman" w:hAnsi="Times New Roman"/>
          <w:sz w:val="24"/>
          <w:szCs w:val="24"/>
        </w:rPr>
        <w:t xml:space="preserve">On </w:t>
      </w:r>
      <w:r>
        <w:rPr>
          <w:rFonts w:ascii="Times New Roman" w:hAnsi="Times New Roman"/>
          <w:sz w:val="24"/>
          <w:szCs w:val="24"/>
        </w:rPr>
        <w:t xml:space="preserve">June 16, 2020, in </w:t>
      </w:r>
      <w:r w:rsidRPr="00E03396">
        <w:rPr>
          <w:rFonts w:ascii="Times New Roman" w:hAnsi="Times New Roman"/>
          <w:sz w:val="24"/>
          <w:szCs w:val="24"/>
          <w:u w:val="single"/>
        </w:rPr>
        <w:t>Octavia T. Coit v. Nicole Nappi, et al</w:t>
      </w:r>
      <w:r>
        <w:rPr>
          <w:rFonts w:ascii="Times New Roman" w:hAnsi="Times New Roman"/>
          <w:sz w:val="24"/>
          <w:szCs w:val="24"/>
        </w:rPr>
        <w:t>., the Court of Special Appeals of Maryland (unreported decision), held that the Paramedic, the EMT, and Baltimore County were all properly dismissed from this lawsuit by the trial judge.  The Court ruled: “</w:t>
      </w:r>
      <w:r w:rsidRPr="00E03396">
        <w:rPr>
          <w:rFonts w:ascii="Times New Roman" w:hAnsi="Times New Roman"/>
          <w:sz w:val="24"/>
          <w:szCs w:val="24"/>
        </w:rPr>
        <w:t>Paramedic Nappi and EMT Jackson are entitled to statutory immunity based on</w:t>
      </w:r>
    </w:p>
    <w:p w14:paraId="578CCD04" w14:textId="77777777" w:rsidR="001C563D" w:rsidRPr="00E03396" w:rsidRDefault="001C563D" w:rsidP="001C563D">
      <w:pPr>
        <w:pStyle w:val="NoSpacing"/>
        <w:rPr>
          <w:rFonts w:ascii="Times New Roman" w:eastAsia="Times New Roman" w:hAnsi="Times New Roman"/>
          <w:b/>
          <w:bCs/>
          <w:sz w:val="24"/>
          <w:szCs w:val="24"/>
        </w:rPr>
      </w:pPr>
      <w:r w:rsidRPr="00E03396">
        <w:rPr>
          <w:rFonts w:ascii="Times New Roman" w:hAnsi="Times New Roman"/>
          <w:sz w:val="24"/>
          <w:szCs w:val="24"/>
        </w:rPr>
        <w:t>the Good Samaritan Act and the Fire &amp; Rescue Companies Act because their conduct was neither willful nor grossly negligent. Baltimore County is entitled to governmental immunity under the [LGTCA]because there is no basis for any direct claims against it.</w:t>
      </w:r>
      <w:r>
        <w:t xml:space="preserve"> *** </w:t>
      </w:r>
      <w:r w:rsidRPr="00E03396">
        <w:rPr>
          <w:rFonts w:ascii="Times New Roman" w:hAnsi="Times New Roman"/>
          <w:sz w:val="24"/>
          <w:szCs w:val="24"/>
        </w:rPr>
        <w:t>[</w:t>
      </w:r>
      <w:r>
        <w:rPr>
          <w:rFonts w:ascii="Times New Roman" w:hAnsi="Times New Roman"/>
          <w:sz w:val="24"/>
          <w:szCs w:val="24"/>
        </w:rPr>
        <w:t>Plaintiffs] c</w:t>
      </w:r>
      <w:r w:rsidRPr="00E03396">
        <w:rPr>
          <w:rFonts w:ascii="Times New Roman" w:hAnsi="Times New Roman"/>
          <w:sz w:val="24"/>
          <w:szCs w:val="24"/>
        </w:rPr>
        <w:t>ontend that the administration of Narcan was unnecessary because there was no specific indication that Mr. Coit was experiencing an opioid overdose. The Court understands and appreciates Mr. Coit’s family’s concern over a misperception that he was using drugs. The evidence demonstrates, however, that, regardless of how unnecessary the administration of Narcan may have been, there are no applicable contraindications for someone who did not overdose on opioids, and that Narcan does not otherwise harm someone to whom it is administered. Even if Paramedic Nappi and EMT Jackson were, in some way, negligent in their assessment and treatment of Mr. Coit, which the Court is not suggesting, there is not sufficient evidence of gross negligence regarding their post-arrival conduct.</w:t>
      </w:r>
      <w:r>
        <w:rPr>
          <w:rFonts w:ascii="Times New Roman" w:hAnsi="Times New Roman"/>
          <w:sz w:val="24"/>
          <w:szCs w:val="24"/>
        </w:rPr>
        <w:t>”</w:t>
      </w:r>
    </w:p>
    <w:p w14:paraId="4FA1E52C" w14:textId="77777777" w:rsidR="001C563D" w:rsidRPr="00E03396" w:rsidRDefault="001C563D" w:rsidP="001C563D">
      <w:pPr>
        <w:pStyle w:val="NoSpacing"/>
        <w:rPr>
          <w:rFonts w:ascii="Times New Roman" w:hAnsi="Times New Roman"/>
          <w:sz w:val="24"/>
          <w:szCs w:val="24"/>
        </w:rPr>
      </w:pPr>
      <w:r>
        <w:lastRenderedPageBreak/>
        <w:t xml:space="preserve"> </w:t>
      </w:r>
      <w:hyperlink r:id="rId2242" w:history="1">
        <w:r w:rsidRPr="00E03396">
          <w:rPr>
            <w:rStyle w:val="Hyperlink"/>
            <w:rFonts w:ascii="Times New Roman" w:hAnsi="Times New Roman"/>
            <w:sz w:val="24"/>
            <w:szCs w:val="24"/>
          </w:rPr>
          <w:t>https://www.courts.state.md.us/sites/default/files/unreported-opinions/0318s19.pdf</w:t>
        </w:r>
      </w:hyperlink>
      <w:r w:rsidRPr="00E03396">
        <w:rPr>
          <w:rFonts w:ascii="Times New Roman" w:hAnsi="Times New Roman"/>
          <w:sz w:val="24"/>
          <w:szCs w:val="24"/>
        </w:rPr>
        <w:t xml:space="preserve"> </w:t>
      </w:r>
      <w:hyperlink r:id="rId2243" w:history="1">
        <w:r w:rsidR="00814FB6">
          <w:rPr>
            <w:rStyle w:val="Hyperlink"/>
          </w:rPr>
          <w:t>https://www.courts.state.md.us/sites/default/files/unreported-opinions/0318s19.pdf</w:t>
        </w:r>
      </w:hyperlink>
      <w:r w:rsidRPr="00E03396">
        <w:rPr>
          <w:rFonts w:ascii="Times New Roman" w:hAnsi="Times New Roman"/>
          <w:sz w:val="24"/>
          <w:szCs w:val="24"/>
        </w:rPr>
        <w:t xml:space="preserve">  </w:t>
      </w:r>
    </w:p>
    <w:p w14:paraId="16D25F05" w14:textId="77777777" w:rsidR="001C563D" w:rsidRDefault="001C563D" w:rsidP="001C563D">
      <w:pPr>
        <w:pStyle w:val="NoSpacing"/>
        <w:rPr>
          <w:rFonts w:ascii="Times New Roman" w:hAnsi="Times New Roman"/>
          <w:b/>
          <w:bCs/>
          <w:sz w:val="24"/>
          <w:szCs w:val="24"/>
        </w:rPr>
      </w:pPr>
    </w:p>
    <w:p w14:paraId="5CE3BCE5" w14:textId="78635C21" w:rsidR="001C563D" w:rsidRPr="00E03396" w:rsidRDefault="001C563D" w:rsidP="001C563D">
      <w:pPr>
        <w:pStyle w:val="NoSpacing"/>
        <w:rPr>
          <w:rFonts w:ascii="Times New Roman" w:hAnsi="Times New Roman"/>
          <w:b/>
          <w:bCs/>
          <w:sz w:val="24"/>
          <w:szCs w:val="24"/>
        </w:rPr>
      </w:pPr>
      <w:r w:rsidRPr="00E03396">
        <w:rPr>
          <w:rFonts w:ascii="Times New Roman" w:hAnsi="Times New Roman"/>
          <w:b/>
          <w:bCs/>
          <w:sz w:val="24"/>
          <w:szCs w:val="24"/>
        </w:rPr>
        <w:t>Legal Lessons Learned:</w:t>
      </w:r>
      <w:r>
        <w:rPr>
          <w:rFonts w:ascii="Times New Roman" w:hAnsi="Times New Roman"/>
          <w:b/>
          <w:bCs/>
          <w:sz w:val="24"/>
          <w:szCs w:val="24"/>
        </w:rPr>
        <w:t xml:space="preserve"> Finding unconscious 21-year-old in basement, one can understand why EMS used Narcan. </w:t>
      </w:r>
    </w:p>
    <w:p w14:paraId="47D1F654" w14:textId="77777777" w:rsidR="001C563D" w:rsidRDefault="001C563D" w:rsidP="002B1283">
      <w:pPr>
        <w:rPr>
          <w:rFonts w:ascii="Arial Black" w:hAnsi="Arial Black"/>
          <w:b/>
          <w:bCs/>
          <w:sz w:val="28"/>
          <w:szCs w:val="28"/>
        </w:rPr>
      </w:pPr>
    </w:p>
    <w:p w14:paraId="6C68C17A" w14:textId="77777777" w:rsidR="001A653A" w:rsidRDefault="001A653A" w:rsidP="002B1283">
      <w:pPr>
        <w:rPr>
          <w:rFonts w:ascii="Arial Black" w:hAnsi="Arial Black"/>
          <w:b/>
          <w:bCs/>
          <w:sz w:val="28"/>
          <w:szCs w:val="28"/>
        </w:rPr>
      </w:pPr>
    </w:p>
    <w:p w14:paraId="0D71DCDD" w14:textId="0C2DDC67" w:rsidR="001A653A" w:rsidRDefault="001A653A" w:rsidP="002B1283">
      <w:pPr>
        <w:rPr>
          <w:rFonts w:ascii="Arial Black" w:hAnsi="Arial Black"/>
          <w:b/>
          <w:bCs/>
          <w:sz w:val="28"/>
          <w:szCs w:val="28"/>
        </w:rPr>
      </w:pPr>
      <w:r>
        <w:rPr>
          <w:rFonts w:ascii="Arial Black" w:hAnsi="Arial Black"/>
          <w:b/>
          <w:bCs/>
          <w:sz w:val="28"/>
          <w:szCs w:val="28"/>
        </w:rPr>
        <w:t>13-59</w:t>
      </w:r>
    </w:p>
    <w:p w14:paraId="3353DCAC" w14:textId="77777777" w:rsidR="001A653A" w:rsidRPr="00A32D63" w:rsidRDefault="001A653A" w:rsidP="001A653A">
      <w:pPr>
        <w:spacing w:before="100" w:beforeAutospacing="1" w:after="100" w:afterAutospacing="1" w:line="240" w:lineRule="auto"/>
        <w:rPr>
          <w:rFonts w:ascii="Arial Black" w:hAnsi="Arial Black" w:cs="Arial"/>
          <w:sz w:val="28"/>
          <w:szCs w:val="28"/>
        </w:rPr>
      </w:pPr>
      <w:r w:rsidRPr="00A32D63">
        <w:rPr>
          <w:rFonts w:ascii="Arial Black" w:hAnsi="Arial Black" w:cs="Arial"/>
          <w:sz w:val="28"/>
          <w:szCs w:val="28"/>
        </w:rPr>
        <w:t xml:space="preserve">TX: PARAMEDIC </w:t>
      </w:r>
      <w:r>
        <w:rPr>
          <w:rFonts w:ascii="Arial Black" w:hAnsi="Arial Black" w:cs="Arial"/>
          <w:sz w:val="28"/>
          <w:szCs w:val="28"/>
        </w:rPr>
        <w:t xml:space="preserve">IN </w:t>
      </w:r>
      <w:r w:rsidRPr="00A32D63">
        <w:rPr>
          <w:rFonts w:ascii="Arial Black" w:hAnsi="Arial Black" w:cs="Arial"/>
          <w:sz w:val="28"/>
          <w:szCs w:val="28"/>
        </w:rPr>
        <w:t xml:space="preserve">BACK </w:t>
      </w:r>
      <w:r>
        <w:rPr>
          <w:rFonts w:ascii="Arial Black" w:hAnsi="Arial Black" w:cs="Arial"/>
          <w:sz w:val="28"/>
          <w:szCs w:val="28"/>
        </w:rPr>
        <w:t xml:space="preserve">OF </w:t>
      </w:r>
      <w:r w:rsidRPr="00A32D63">
        <w:rPr>
          <w:rFonts w:ascii="Arial Black" w:hAnsi="Arial Black" w:cs="Arial"/>
          <w:sz w:val="28"/>
          <w:szCs w:val="28"/>
        </w:rPr>
        <w:t>AMBULANCE –</w:t>
      </w:r>
      <w:r>
        <w:rPr>
          <w:rFonts w:ascii="Arial Black" w:hAnsi="Arial Black" w:cs="Arial"/>
          <w:sz w:val="28"/>
          <w:szCs w:val="28"/>
        </w:rPr>
        <w:t xml:space="preserve"> SEVERELY INJURED - </w:t>
      </w:r>
      <w:r w:rsidRPr="00A32D63">
        <w:rPr>
          <w:rFonts w:ascii="Arial Black" w:hAnsi="Arial Black" w:cs="Arial"/>
          <w:sz w:val="28"/>
          <w:szCs w:val="28"/>
        </w:rPr>
        <w:t xml:space="preserve">OVERWEIGHT </w:t>
      </w:r>
      <w:r>
        <w:rPr>
          <w:rFonts w:ascii="Arial Black" w:hAnsi="Arial Black" w:cs="Arial"/>
          <w:sz w:val="28"/>
          <w:szCs w:val="28"/>
        </w:rPr>
        <w:t xml:space="preserve">TRUCK DUMPED LOAD </w:t>
      </w:r>
      <w:r w:rsidRPr="00A32D63">
        <w:rPr>
          <w:rFonts w:ascii="Arial Black" w:hAnsi="Arial Black" w:cs="Arial"/>
          <w:sz w:val="28"/>
          <w:szCs w:val="28"/>
        </w:rPr>
        <w:t>– MENTAL ANGUISH</w:t>
      </w:r>
    </w:p>
    <w:p w14:paraId="33457BD7" w14:textId="77777777" w:rsidR="001A653A" w:rsidRPr="00344E23" w:rsidRDefault="001A653A" w:rsidP="001A653A">
      <w:pPr>
        <w:spacing w:before="100" w:beforeAutospacing="1" w:after="100" w:afterAutospacing="1" w:line="240" w:lineRule="auto"/>
        <w:rPr>
          <w:rFonts w:ascii="Times New Roman" w:hAnsi="Times New Roman"/>
          <w:sz w:val="24"/>
          <w:szCs w:val="24"/>
        </w:rPr>
      </w:pPr>
      <w:r w:rsidRPr="00A32D63">
        <w:rPr>
          <w:rFonts w:ascii="Times New Roman" w:hAnsi="Times New Roman"/>
          <w:sz w:val="24"/>
          <w:szCs w:val="24"/>
        </w:rPr>
        <w:t xml:space="preserve">On </w:t>
      </w:r>
      <w:r>
        <w:rPr>
          <w:rFonts w:ascii="Times New Roman" w:hAnsi="Times New Roman"/>
          <w:sz w:val="24"/>
          <w:szCs w:val="24"/>
        </w:rPr>
        <w:t xml:space="preserve">June 4, 2020, in </w:t>
      </w:r>
      <w:r w:rsidRPr="00A32D63">
        <w:rPr>
          <w:rFonts w:ascii="Times New Roman" w:hAnsi="Times New Roman"/>
          <w:sz w:val="24"/>
          <w:szCs w:val="24"/>
          <w:u w:val="single"/>
        </w:rPr>
        <w:t>Julio Edwin Martinez; Lone Star Disposal (Texas), LLC; and Lone Star Disposal, L.P. v. Jennifer Kwas</w:t>
      </w:r>
      <w:r>
        <w:rPr>
          <w:rFonts w:ascii="Times New Roman" w:hAnsi="Times New Roman"/>
          <w:sz w:val="24"/>
          <w:szCs w:val="24"/>
        </w:rPr>
        <w:t xml:space="preserve">, the Court of Appeals for the First District of Texas held (3 to 0) that the civil jury verdict in favor of Paramedic Kwas is affirmed: $1.1 million, including $700,000 for future pain and mental anguish, and $250,000 in punitive damages for gross negligence of Lone Star.  A paramedic for 26 </w:t>
      </w:r>
      <w:proofErr w:type="gramStart"/>
      <w:r>
        <w:rPr>
          <w:rFonts w:ascii="Times New Roman" w:hAnsi="Times New Roman"/>
          <w:sz w:val="24"/>
          <w:szCs w:val="24"/>
        </w:rPr>
        <w:t>year</w:t>
      </w:r>
      <w:proofErr w:type="gramEnd"/>
      <w:r>
        <w:rPr>
          <w:rFonts w:ascii="Times New Roman" w:hAnsi="Times New Roman"/>
          <w:sz w:val="24"/>
          <w:szCs w:val="24"/>
        </w:rPr>
        <w:t xml:space="preserve">, the mental anguish led her to resign as a medic. The Court wrote: </w:t>
      </w:r>
      <w:r w:rsidRPr="00344E23">
        <w:rPr>
          <w:rFonts w:ascii="Times New Roman" w:hAnsi="Times New Roman"/>
          <w:sz w:val="24"/>
          <w:szCs w:val="24"/>
        </w:rPr>
        <w:t>We conclude that the evidence presented at trial supports a conclusion that the jury could have formed a firm belief or conviction that Lone Star was grossly negligent in its training and supervision of its drivers, including Martinez.</w:t>
      </w:r>
      <w:r>
        <w:rPr>
          <w:rFonts w:ascii="Times New Roman" w:hAnsi="Times New Roman"/>
          <w:sz w:val="24"/>
          <w:szCs w:val="24"/>
        </w:rPr>
        <w:t xml:space="preserve">”  </w:t>
      </w:r>
      <w:hyperlink r:id="rId2244" w:history="1">
        <w:r w:rsidRPr="000603D4">
          <w:rPr>
            <w:rStyle w:val="Hyperlink"/>
            <w:rFonts w:ascii="Times New Roman" w:hAnsi="Times New Roman"/>
            <w:sz w:val="24"/>
            <w:szCs w:val="24"/>
          </w:rPr>
          <w:t>https://www.txcourts.gov/media/1447243/181085f-1.pdf</w:t>
        </w:r>
      </w:hyperlink>
      <w:r>
        <w:rPr>
          <w:rFonts w:ascii="Times New Roman" w:hAnsi="Times New Roman"/>
          <w:sz w:val="24"/>
          <w:szCs w:val="24"/>
        </w:rPr>
        <w:t xml:space="preserve"> </w:t>
      </w:r>
    </w:p>
    <w:p w14:paraId="77F9B221" w14:textId="77777777" w:rsidR="001A653A" w:rsidRDefault="001A653A" w:rsidP="001A653A">
      <w:pPr>
        <w:pStyle w:val="NoSpacing"/>
        <w:rPr>
          <w:rFonts w:ascii="Times New Roman" w:hAnsi="Times New Roman"/>
          <w:b/>
          <w:bCs/>
          <w:sz w:val="24"/>
          <w:szCs w:val="24"/>
        </w:rPr>
      </w:pPr>
      <w:r w:rsidRPr="00384185">
        <w:rPr>
          <w:rFonts w:ascii="Times New Roman" w:hAnsi="Times New Roman"/>
          <w:b/>
          <w:bCs/>
          <w:sz w:val="24"/>
          <w:szCs w:val="24"/>
        </w:rPr>
        <w:t xml:space="preserve">Legal Lesson Learned: The unrestrained paramedic suffered terrible physical and mental injury; see article on restraint systems for EMS in the back of the box. </w:t>
      </w:r>
    </w:p>
    <w:p w14:paraId="4133911A" w14:textId="77777777" w:rsidR="001A653A" w:rsidRDefault="001A653A" w:rsidP="001A653A">
      <w:pPr>
        <w:pStyle w:val="NoSpacing"/>
        <w:rPr>
          <w:rFonts w:ascii="Times New Roman" w:hAnsi="Times New Roman"/>
          <w:b/>
          <w:bCs/>
          <w:sz w:val="24"/>
          <w:szCs w:val="24"/>
        </w:rPr>
      </w:pPr>
    </w:p>
    <w:p w14:paraId="725268AF" w14:textId="77777777" w:rsidR="001A653A" w:rsidRPr="00384185" w:rsidRDefault="001A653A" w:rsidP="001A653A">
      <w:pPr>
        <w:pStyle w:val="NoSpacing"/>
        <w:ind w:left="720"/>
        <w:rPr>
          <w:rFonts w:ascii="Times New Roman" w:hAnsi="Times New Roman"/>
          <w:sz w:val="24"/>
          <w:szCs w:val="24"/>
        </w:rPr>
      </w:pPr>
      <w:r w:rsidRPr="00384185">
        <w:rPr>
          <w:rFonts w:ascii="Times New Roman" w:hAnsi="Times New Roman"/>
          <w:sz w:val="24"/>
          <w:szCs w:val="24"/>
        </w:rPr>
        <w:t xml:space="preserve">Note:  </w:t>
      </w:r>
      <w:r>
        <w:rPr>
          <w:rFonts w:ascii="Times New Roman" w:hAnsi="Times New Roman"/>
          <w:sz w:val="24"/>
          <w:szCs w:val="24"/>
        </w:rPr>
        <w:t xml:space="preserve">Several new restraint products </w:t>
      </w:r>
      <w:proofErr w:type="gramStart"/>
      <w:r>
        <w:rPr>
          <w:rFonts w:ascii="Times New Roman" w:hAnsi="Times New Roman"/>
          <w:sz w:val="24"/>
          <w:szCs w:val="24"/>
        </w:rPr>
        <w:t>now</w:t>
      </w:r>
      <w:proofErr w:type="gramEnd"/>
      <w:r>
        <w:rPr>
          <w:rFonts w:ascii="Times New Roman" w:hAnsi="Times New Roman"/>
          <w:sz w:val="24"/>
          <w:szCs w:val="24"/>
        </w:rPr>
        <w:t xml:space="preserve"> on the market.  For example, see this: “</w:t>
      </w:r>
      <w:r w:rsidRPr="00384185">
        <w:rPr>
          <w:rStyle w:val="field"/>
          <w:rFonts w:ascii="Times New Roman" w:hAnsi="Times New Roman"/>
          <w:sz w:val="24"/>
          <w:szCs w:val="24"/>
        </w:rPr>
        <w:t xml:space="preserve">IMMI Launches Per4Max Restraint for EMS Providers (May 3, 2019): </w:t>
      </w:r>
      <w:r w:rsidRPr="00384185">
        <w:rPr>
          <w:rFonts w:ascii="Times New Roman" w:hAnsi="Times New Roman"/>
          <w:sz w:val="24"/>
          <w:szCs w:val="24"/>
        </w:rPr>
        <w:t xml:space="preserve">An estimated 4,500 ambulances are involved in accidents every year, but 84% of emergency medical technicians do not wear their seat belts because they restrict movement while treating a patient.* IMMI’s Per4Max allows them to reach, stretch, and even stand up in their restraint if necessary. Patient safety is also improved when EMTs buckle up. They remain restrained in an accident and not thrown around the interior of the vehicle, possibly injuring the patient further.” </w:t>
      </w:r>
      <w:hyperlink r:id="rId2245" w:history="1">
        <w:r w:rsidRPr="00384185">
          <w:rPr>
            <w:rStyle w:val="Hyperlink"/>
            <w:rFonts w:ascii="Times New Roman" w:hAnsi="Times New Roman"/>
            <w:sz w:val="24"/>
            <w:szCs w:val="24"/>
          </w:rPr>
          <w:t>https://www.emsworld.com/press-release/1222611/immi-launches-per4max-restraint-ems-providers</w:t>
        </w:r>
      </w:hyperlink>
      <w:r w:rsidRPr="00384185">
        <w:rPr>
          <w:rFonts w:ascii="Times New Roman" w:hAnsi="Times New Roman"/>
          <w:sz w:val="24"/>
          <w:szCs w:val="24"/>
        </w:rPr>
        <w:t xml:space="preserve"> </w:t>
      </w:r>
    </w:p>
    <w:p w14:paraId="5E870466" w14:textId="77777777" w:rsidR="001A653A" w:rsidRPr="00384185" w:rsidRDefault="001A653A" w:rsidP="001A653A">
      <w:pPr>
        <w:spacing w:before="100" w:beforeAutospacing="1" w:after="100" w:afterAutospacing="1" w:line="240" w:lineRule="auto"/>
        <w:rPr>
          <w:rFonts w:ascii="Times New Roman" w:hAnsi="Times New Roman"/>
          <w:sz w:val="24"/>
          <w:szCs w:val="24"/>
        </w:rPr>
      </w:pPr>
    </w:p>
    <w:p w14:paraId="566D1F3A" w14:textId="77777777" w:rsidR="001A653A" w:rsidRDefault="001A653A" w:rsidP="002B1283">
      <w:pPr>
        <w:rPr>
          <w:rFonts w:ascii="Arial Black" w:hAnsi="Arial Black"/>
          <w:b/>
          <w:bCs/>
          <w:sz w:val="28"/>
          <w:szCs w:val="28"/>
        </w:rPr>
      </w:pPr>
    </w:p>
    <w:p w14:paraId="07D22898" w14:textId="77777777" w:rsidR="001A653A" w:rsidRDefault="001A653A" w:rsidP="002B1283">
      <w:pPr>
        <w:rPr>
          <w:rFonts w:ascii="Arial Black" w:hAnsi="Arial Black"/>
          <w:b/>
          <w:bCs/>
          <w:sz w:val="28"/>
          <w:szCs w:val="28"/>
        </w:rPr>
      </w:pPr>
    </w:p>
    <w:p w14:paraId="552EC25D" w14:textId="6432B18C" w:rsidR="007105B3" w:rsidRDefault="001C563D" w:rsidP="002B1283">
      <w:pPr>
        <w:rPr>
          <w:rFonts w:ascii="Arial Black" w:hAnsi="Arial Black"/>
          <w:b/>
          <w:bCs/>
          <w:sz w:val="28"/>
          <w:szCs w:val="28"/>
        </w:rPr>
      </w:pPr>
      <w:r>
        <w:rPr>
          <w:rFonts w:ascii="Arial Black" w:hAnsi="Arial Black"/>
          <w:b/>
          <w:bCs/>
          <w:sz w:val="28"/>
          <w:szCs w:val="28"/>
        </w:rPr>
        <w:t>13-58</w:t>
      </w:r>
    </w:p>
    <w:p w14:paraId="426DF34E" w14:textId="77777777" w:rsidR="001C563D" w:rsidRPr="00D67C96" w:rsidRDefault="001C563D" w:rsidP="001C563D">
      <w:pPr>
        <w:pStyle w:val="NormalWeb"/>
        <w:rPr>
          <w:rFonts w:ascii="Arial Black" w:hAnsi="Arial Black"/>
          <w:sz w:val="28"/>
          <w:szCs w:val="28"/>
        </w:rPr>
      </w:pPr>
      <w:r w:rsidRPr="00D67C96">
        <w:rPr>
          <w:rFonts w:ascii="Arial Black" w:hAnsi="Arial Black"/>
          <w:sz w:val="28"/>
          <w:szCs w:val="28"/>
        </w:rPr>
        <w:t xml:space="preserve">NY: </w:t>
      </w:r>
      <w:r>
        <w:rPr>
          <w:rFonts w:ascii="Arial Black" w:hAnsi="Arial Black"/>
          <w:sz w:val="28"/>
          <w:szCs w:val="28"/>
        </w:rPr>
        <w:t>PROB. EMT FIRED BY HOSPITAL – POOR AMBUL. CHECKS, COMPLAINTS – APPENDICITIS NOT A “DISABILITY”</w:t>
      </w:r>
    </w:p>
    <w:p w14:paraId="0F1BC33E" w14:textId="4A76B4CD" w:rsidR="001C563D" w:rsidRPr="008E15F3" w:rsidRDefault="001C563D" w:rsidP="001C563D">
      <w:pPr>
        <w:pStyle w:val="NoSpacing"/>
        <w:rPr>
          <w:rFonts w:ascii="Times New Roman" w:eastAsia="Times New Roman" w:hAnsi="Times New Roman"/>
          <w:sz w:val="24"/>
          <w:szCs w:val="24"/>
        </w:rPr>
      </w:pPr>
      <w:r w:rsidRPr="008E15F3">
        <w:rPr>
          <w:rFonts w:ascii="Times New Roman" w:hAnsi="Times New Roman"/>
          <w:sz w:val="24"/>
          <w:szCs w:val="24"/>
        </w:rPr>
        <w:lastRenderedPageBreak/>
        <w:t xml:space="preserve">On June 1, 2020, in </w:t>
      </w:r>
      <w:r w:rsidRPr="008E15F3">
        <w:rPr>
          <w:rFonts w:ascii="Times New Roman" w:hAnsi="Times New Roman"/>
          <w:sz w:val="24"/>
          <w:szCs w:val="24"/>
          <w:u w:val="single"/>
        </w:rPr>
        <w:t>Christopher Vargas v. The St. Luke’s-Roosevelt Hospital Center</w:t>
      </w:r>
      <w:r w:rsidRPr="008E15F3">
        <w:rPr>
          <w:rFonts w:ascii="Times New Roman" w:hAnsi="Times New Roman"/>
          <w:sz w:val="24"/>
          <w:szCs w:val="24"/>
        </w:rPr>
        <w:t xml:space="preserve">, U.S. District Court Judge J. Pail Oetken, U.S. District Court for Southern District of New York, granted the Hospital’s motion for summary judgment; the hospital had fired the probationary </w:t>
      </w:r>
      <w:r>
        <w:rPr>
          <w:rFonts w:ascii="Times New Roman" w:hAnsi="Times New Roman"/>
          <w:sz w:val="24"/>
          <w:szCs w:val="24"/>
        </w:rPr>
        <w:t xml:space="preserve">part-time </w:t>
      </w:r>
      <w:r w:rsidRPr="008E15F3">
        <w:rPr>
          <w:rFonts w:ascii="Times New Roman" w:hAnsi="Times New Roman"/>
          <w:sz w:val="24"/>
          <w:szCs w:val="24"/>
        </w:rPr>
        <w:t xml:space="preserve">EMT for </w:t>
      </w:r>
      <w:r>
        <w:rPr>
          <w:rFonts w:ascii="Times New Roman" w:hAnsi="Times New Roman"/>
          <w:sz w:val="24"/>
          <w:szCs w:val="24"/>
        </w:rPr>
        <w:t xml:space="preserve">not completing ambulance equipment checks, and </w:t>
      </w:r>
      <w:r w:rsidRPr="008E15F3">
        <w:rPr>
          <w:rFonts w:ascii="Times New Roman" w:hAnsi="Times New Roman"/>
          <w:sz w:val="24"/>
          <w:szCs w:val="24"/>
        </w:rPr>
        <w:t>complaints from co-workers</w:t>
      </w:r>
      <w:r>
        <w:rPr>
          <w:rFonts w:ascii="Times New Roman" w:hAnsi="Times New Roman"/>
          <w:sz w:val="24"/>
          <w:szCs w:val="24"/>
        </w:rPr>
        <w:t xml:space="preserve">.  Prior to being fired to </w:t>
      </w:r>
      <w:proofErr w:type="gramStart"/>
      <w:r>
        <w:rPr>
          <w:rFonts w:ascii="Times New Roman" w:hAnsi="Times New Roman"/>
          <w:sz w:val="24"/>
          <w:szCs w:val="24"/>
        </w:rPr>
        <w:t>told</w:t>
      </w:r>
      <w:proofErr w:type="gramEnd"/>
      <w:r>
        <w:rPr>
          <w:rFonts w:ascii="Times New Roman" w:hAnsi="Times New Roman"/>
          <w:sz w:val="24"/>
          <w:szCs w:val="24"/>
        </w:rPr>
        <w:t xml:space="preserve"> his manager</w:t>
      </w:r>
      <w:r w:rsidRPr="008E15F3">
        <w:rPr>
          <w:rFonts w:ascii="Times New Roman" w:hAnsi="Times New Roman"/>
          <w:sz w:val="24"/>
          <w:szCs w:val="24"/>
        </w:rPr>
        <w:t xml:space="preserve"> </w:t>
      </w:r>
      <w:r>
        <w:rPr>
          <w:rFonts w:ascii="Times New Roman" w:hAnsi="Times New Roman"/>
          <w:sz w:val="24"/>
          <w:szCs w:val="24"/>
        </w:rPr>
        <w:t xml:space="preserve">he had recently had appendix removed; hospital had already </w:t>
      </w:r>
      <w:r w:rsidRPr="008E15F3">
        <w:rPr>
          <w:rFonts w:ascii="Times New Roman" w:hAnsi="Times New Roman"/>
          <w:sz w:val="24"/>
          <w:szCs w:val="24"/>
        </w:rPr>
        <w:t>made t</w:t>
      </w:r>
      <w:r>
        <w:rPr>
          <w:rFonts w:ascii="Times New Roman" w:hAnsi="Times New Roman"/>
          <w:sz w:val="24"/>
          <w:szCs w:val="24"/>
        </w:rPr>
        <w:t xml:space="preserve">ermination </w:t>
      </w:r>
      <w:r w:rsidRPr="008E15F3">
        <w:rPr>
          <w:rFonts w:ascii="Times New Roman" w:hAnsi="Times New Roman"/>
          <w:sz w:val="24"/>
          <w:szCs w:val="24"/>
        </w:rPr>
        <w:t>decision</w:t>
      </w:r>
      <w:r>
        <w:rPr>
          <w:rFonts w:ascii="Times New Roman" w:hAnsi="Times New Roman"/>
          <w:sz w:val="24"/>
          <w:szCs w:val="24"/>
        </w:rPr>
        <w:t>.</w:t>
      </w:r>
      <w:r w:rsidRPr="008E15F3">
        <w:rPr>
          <w:rFonts w:ascii="Times New Roman" w:hAnsi="Times New Roman"/>
          <w:sz w:val="24"/>
          <w:szCs w:val="24"/>
        </w:rPr>
        <w:t xml:space="preserve"> The Judge wrote: “Here, the parties agree that ‘[a]s a result of his appendicitis, [Vargas] was hospitalized for only one day, able to return to work after one week, and able to work at ‘full physical activity’ after two months.’ … Vargas's doctor further instructed him he could not engage in heavy lifting during the period in which he was to refrain from ‘full physical activity.’ … Such a short-term impairment, absent long-term impact, is insufficient to qualify as substantially limiting a major life activity, as required to qualify as a disability under the ADA. *** </w:t>
      </w:r>
      <w:r w:rsidRPr="008E15F3">
        <w:rPr>
          <w:rFonts w:ascii="Times New Roman" w:eastAsia="Times New Roman" w:hAnsi="Times New Roman"/>
          <w:sz w:val="24"/>
          <w:szCs w:val="24"/>
        </w:rPr>
        <w:t xml:space="preserve">Summary judgment is also warranted on </w:t>
      </w:r>
      <w:proofErr w:type="gramStart"/>
      <w:r w:rsidRPr="008E15F3">
        <w:rPr>
          <w:rFonts w:ascii="Times New Roman" w:eastAsia="Times New Roman" w:hAnsi="Times New Roman"/>
          <w:sz w:val="24"/>
          <w:szCs w:val="24"/>
        </w:rPr>
        <w:t>an independent ground</w:t>
      </w:r>
      <w:proofErr w:type="gramEnd"/>
      <w:r w:rsidRPr="008E15F3">
        <w:rPr>
          <w:rFonts w:ascii="Times New Roman" w:eastAsia="Times New Roman" w:hAnsi="Times New Roman"/>
          <w:sz w:val="24"/>
          <w:szCs w:val="24"/>
        </w:rPr>
        <w:t xml:space="preserve">: there is no genuine dispute that the decision to terminate Vargas was made before his employer was aware of his appendectomy. The parties agree that Mendoza decided to terminate Vargas in late May or the first few days of June due to his co-workers' complaints and his performance problems. Pl. 56.1 ¶ 59 (citing RM Tr. 27) ("At some point in late May or the first </w:t>
      </w:r>
      <w:proofErr w:type="gramStart"/>
      <w:r w:rsidRPr="008E15F3">
        <w:rPr>
          <w:rFonts w:ascii="Times New Roman" w:eastAsia="Times New Roman" w:hAnsi="Times New Roman"/>
          <w:sz w:val="24"/>
          <w:szCs w:val="24"/>
        </w:rPr>
        <w:t>few of</w:t>
      </w:r>
      <w:proofErr w:type="gramEnd"/>
      <w:r w:rsidRPr="008E15F3">
        <w:rPr>
          <w:rFonts w:ascii="Times New Roman" w:eastAsia="Times New Roman" w:hAnsi="Times New Roman"/>
          <w:sz w:val="24"/>
          <w:szCs w:val="24"/>
        </w:rPr>
        <w:t xml:space="preserve"> days of June 2015, Mendoza decided that Vargas should not pass probation and that he should be terminated because of the co-worker complaints and Vargas's poor performance."). The parties also agree that Defendants did not become aware of Vargas's appendectomy until June 5, 2015. </w:t>
      </w:r>
      <w:r w:rsidRPr="008E15F3">
        <w:rPr>
          <w:rFonts w:ascii="Times New Roman" w:eastAsia="Times New Roman" w:hAnsi="Times New Roman"/>
          <w:i/>
          <w:iCs/>
          <w:sz w:val="24"/>
          <w:szCs w:val="24"/>
        </w:rPr>
        <w:t>Id</w:t>
      </w:r>
      <w:r w:rsidRPr="008E15F3">
        <w:rPr>
          <w:rFonts w:ascii="Times New Roman" w:eastAsia="Times New Roman" w:hAnsi="Times New Roman"/>
          <w:sz w:val="24"/>
          <w:szCs w:val="24"/>
        </w:rPr>
        <w:t>. ¶ 68 (citing RM Tr. 27; Mendoza I Decl. ¶ 2(a)). Because the decision to terminate Vargas was made before Defendants were aware of his appendectomy, the evidence fails to support a causal relationship necessary to prevail on either a failure to accommodate or discrimination claim under the ADA.</w:t>
      </w:r>
    </w:p>
    <w:p w14:paraId="371DD513" w14:textId="77777777" w:rsidR="001C563D" w:rsidRPr="008E15F3" w:rsidRDefault="001C563D" w:rsidP="001C563D">
      <w:pPr>
        <w:pStyle w:val="NoSpacing"/>
        <w:rPr>
          <w:rFonts w:ascii="Times New Roman" w:hAnsi="Times New Roman"/>
          <w:sz w:val="24"/>
          <w:szCs w:val="24"/>
        </w:rPr>
      </w:pPr>
      <w:hyperlink r:id="rId2246" w:history="1">
        <w:r w:rsidRPr="008E15F3">
          <w:rPr>
            <w:rStyle w:val="Hyperlink"/>
            <w:rFonts w:ascii="Times New Roman" w:hAnsi="Times New Roman"/>
            <w:sz w:val="24"/>
            <w:szCs w:val="24"/>
          </w:rPr>
          <w:t>https://public.fastcase.com/Wl%2B2t%2BeVuI35%2FN70vAMFZpHUgoz3hp5Nx0V5b99AFirO%2BO19k2h0p4CgWny%2Fxn0a</w:t>
        </w:r>
      </w:hyperlink>
      <w:r w:rsidRPr="008E15F3">
        <w:rPr>
          <w:rFonts w:ascii="Times New Roman" w:hAnsi="Times New Roman"/>
          <w:sz w:val="24"/>
          <w:szCs w:val="24"/>
        </w:rPr>
        <w:t xml:space="preserve"> </w:t>
      </w:r>
    </w:p>
    <w:p w14:paraId="6356C0FF" w14:textId="77777777" w:rsidR="001C563D" w:rsidRDefault="001C563D" w:rsidP="001C563D">
      <w:pPr>
        <w:spacing w:before="100" w:beforeAutospacing="1" w:after="100" w:afterAutospacing="1" w:line="240" w:lineRule="auto"/>
        <w:rPr>
          <w:rFonts w:ascii="Times New Roman" w:eastAsia="Times New Roman" w:hAnsi="Times New Roman"/>
          <w:b/>
          <w:bCs/>
          <w:sz w:val="24"/>
          <w:szCs w:val="24"/>
        </w:rPr>
      </w:pPr>
      <w:r w:rsidRPr="00CD3D78">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Probationary employee not covered under the Collective Bargaining Agreement; ADA does not apply to short-term </w:t>
      </w:r>
      <w:proofErr w:type="gramStart"/>
      <w:r>
        <w:rPr>
          <w:rFonts w:ascii="Times New Roman" w:eastAsia="Times New Roman" w:hAnsi="Times New Roman"/>
          <w:b/>
          <w:bCs/>
          <w:sz w:val="24"/>
          <w:szCs w:val="24"/>
        </w:rPr>
        <w:t>illness</w:t>
      </w:r>
      <w:proofErr w:type="gramEnd"/>
      <w:r>
        <w:rPr>
          <w:rFonts w:ascii="Times New Roman" w:eastAsia="Times New Roman" w:hAnsi="Times New Roman"/>
          <w:b/>
          <w:bCs/>
          <w:sz w:val="24"/>
          <w:szCs w:val="24"/>
        </w:rPr>
        <w:t xml:space="preserve"> such as appendicitis. </w:t>
      </w:r>
    </w:p>
    <w:p w14:paraId="1236DA98" w14:textId="77777777" w:rsidR="001C563D" w:rsidRPr="008E15F3" w:rsidRDefault="001C563D" w:rsidP="001C563D">
      <w:pPr>
        <w:spacing w:before="100" w:beforeAutospacing="1" w:after="100" w:afterAutospacing="1" w:line="240" w:lineRule="auto"/>
        <w:ind w:left="720"/>
        <w:rPr>
          <w:rFonts w:ascii="Times New Roman" w:eastAsia="Times New Roman" w:hAnsi="Times New Roman"/>
          <w:sz w:val="24"/>
          <w:szCs w:val="24"/>
        </w:rPr>
      </w:pPr>
      <w:r w:rsidRPr="00CD3D78">
        <w:rPr>
          <w:rFonts w:ascii="Times New Roman" w:eastAsia="Times New Roman" w:hAnsi="Times New Roman"/>
          <w:sz w:val="24"/>
          <w:szCs w:val="24"/>
        </w:rPr>
        <w:t xml:space="preserve">Note: </w:t>
      </w:r>
      <w:r>
        <w:rPr>
          <w:rFonts w:ascii="Times New Roman" w:eastAsia="Times New Roman" w:hAnsi="Times New Roman"/>
          <w:sz w:val="24"/>
          <w:szCs w:val="24"/>
        </w:rPr>
        <w:t xml:space="preserve">Congress in 2008 broadened the coverage under Americans </w:t>
      </w:r>
      <w:proofErr w:type="gramStart"/>
      <w:r>
        <w:rPr>
          <w:rFonts w:ascii="Times New Roman" w:eastAsia="Times New Roman" w:hAnsi="Times New Roman"/>
          <w:sz w:val="24"/>
          <w:szCs w:val="24"/>
        </w:rPr>
        <w:t>With</w:t>
      </w:r>
      <w:proofErr w:type="gramEnd"/>
      <w:r>
        <w:rPr>
          <w:rFonts w:ascii="Times New Roman" w:eastAsia="Times New Roman" w:hAnsi="Times New Roman"/>
          <w:sz w:val="24"/>
          <w:szCs w:val="24"/>
        </w:rPr>
        <w:t xml:space="preserve"> Disabilities Act, overturning two U.S. Supreme Court decisions, </w:t>
      </w:r>
      <w:r w:rsidRPr="005C4230">
        <w:rPr>
          <w:rFonts w:ascii="Times New Roman" w:eastAsia="Times New Roman" w:hAnsi="Times New Roman"/>
          <w:sz w:val="24"/>
          <w:szCs w:val="24"/>
          <w:u w:val="single"/>
        </w:rPr>
        <w:t>Sutton v. United Air Lines, Inc</w:t>
      </w:r>
      <w:r>
        <w:rPr>
          <w:rFonts w:ascii="Times New Roman" w:eastAsia="Times New Roman" w:hAnsi="Times New Roman"/>
          <w:sz w:val="24"/>
          <w:szCs w:val="24"/>
        </w:rPr>
        <w:t xml:space="preserve">., 527 U.S. 471 (1999), and </w:t>
      </w:r>
      <w:r w:rsidRPr="005C4230">
        <w:rPr>
          <w:rFonts w:ascii="Times New Roman" w:eastAsia="Times New Roman" w:hAnsi="Times New Roman"/>
          <w:sz w:val="24"/>
          <w:szCs w:val="24"/>
          <w:u w:val="single"/>
        </w:rPr>
        <w:t>Toyota Motor Manufacturing, Kentucky, Inc. v. Williams</w:t>
      </w:r>
      <w:r>
        <w:rPr>
          <w:rFonts w:ascii="Times New Roman" w:eastAsia="Times New Roman" w:hAnsi="Times New Roman"/>
          <w:sz w:val="24"/>
          <w:szCs w:val="24"/>
        </w:rPr>
        <w:t xml:space="preserve">, 534 U.S. 184 (2002).  </w:t>
      </w:r>
      <w:r w:rsidRPr="005C4230">
        <w:rPr>
          <w:rFonts w:ascii="Times New Roman" w:hAnsi="Times New Roman"/>
          <w:sz w:val="24"/>
          <w:szCs w:val="24"/>
        </w:rPr>
        <w:t xml:space="preserve">The EEOC has promulgated administrative rules that guide the analysis of whether </w:t>
      </w:r>
      <w:proofErr w:type="gramStart"/>
      <w:r w:rsidRPr="005C4230">
        <w:rPr>
          <w:rFonts w:ascii="Times New Roman" w:hAnsi="Times New Roman"/>
          <w:sz w:val="24"/>
          <w:szCs w:val="24"/>
        </w:rPr>
        <w:t>a temporary</w:t>
      </w:r>
      <w:proofErr w:type="gramEnd"/>
      <w:r w:rsidRPr="005C4230">
        <w:rPr>
          <w:rFonts w:ascii="Times New Roman" w:hAnsi="Times New Roman"/>
          <w:sz w:val="24"/>
          <w:szCs w:val="24"/>
        </w:rPr>
        <w:t xml:space="preserve"> impairment is sufficiently severe to qualify as a disability under the ADA. 29 C.F.R. § 1630.2(j)(1)(ix) (app.). Those regulations state that </w:t>
      </w:r>
      <w:r>
        <w:rPr>
          <w:rFonts w:ascii="Times New Roman" w:hAnsi="Times New Roman"/>
          <w:sz w:val="24"/>
          <w:szCs w:val="24"/>
        </w:rPr>
        <w:t>“</w:t>
      </w:r>
      <w:r w:rsidRPr="005C4230">
        <w:rPr>
          <w:rFonts w:ascii="Times New Roman" w:hAnsi="Times New Roman"/>
          <w:sz w:val="24"/>
          <w:szCs w:val="24"/>
        </w:rPr>
        <w:t xml:space="preserve">if an individual has a back impairment that results in a 20-pound lifting restriction that lasts for several months, he is substantially limited in the major life activity of </w:t>
      </w:r>
      <w:proofErr w:type="gramStart"/>
      <w:r w:rsidRPr="005C4230">
        <w:rPr>
          <w:rFonts w:ascii="Times New Roman" w:hAnsi="Times New Roman"/>
          <w:sz w:val="24"/>
          <w:szCs w:val="24"/>
        </w:rPr>
        <w:t>lifting, and</w:t>
      </w:r>
      <w:proofErr w:type="gramEnd"/>
      <w:r w:rsidRPr="005C4230">
        <w:rPr>
          <w:rFonts w:ascii="Times New Roman" w:hAnsi="Times New Roman"/>
          <w:sz w:val="24"/>
          <w:szCs w:val="24"/>
        </w:rPr>
        <w:t xml:space="preserve"> therefore covered under the first prong of the definition of disability.</w:t>
      </w:r>
      <w:r>
        <w:rPr>
          <w:rFonts w:ascii="Times New Roman" w:hAnsi="Times New Roman"/>
          <w:sz w:val="24"/>
          <w:szCs w:val="24"/>
        </w:rPr>
        <w:t>”</w:t>
      </w:r>
    </w:p>
    <w:p w14:paraId="72FB9C46" w14:textId="77777777" w:rsidR="007105B3" w:rsidRDefault="007105B3" w:rsidP="002B1283">
      <w:pPr>
        <w:rPr>
          <w:rFonts w:ascii="Arial Black" w:hAnsi="Arial Black"/>
          <w:b/>
          <w:bCs/>
          <w:sz w:val="28"/>
          <w:szCs w:val="28"/>
        </w:rPr>
      </w:pPr>
    </w:p>
    <w:p w14:paraId="339F9EB2" w14:textId="09288825" w:rsidR="00FA7B26" w:rsidRDefault="00FA7B26" w:rsidP="002B1283">
      <w:pPr>
        <w:rPr>
          <w:rFonts w:ascii="Arial Black" w:hAnsi="Arial Black"/>
          <w:b/>
          <w:bCs/>
          <w:sz w:val="28"/>
          <w:szCs w:val="28"/>
        </w:rPr>
      </w:pPr>
      <w:r>
        <w:rPr>
          <w:rFonts w:ascii="Arial Black" w:hAnsi="Arial Black"/>
          <w:b/>
          <w:bCs/>
          <w:sz w:val="28"/>
          <w:szCs w:val="28"/>
        </w:rPr>
        <w:t>13-57</w:t>
      </w:r>
    </w:p>
    <w:p w14:paraId="6EBC5A96" w14:textId="77777777" w:rsidR="00FA7B26" w:rsidRDefault="00FA7B26" w:rsidP="00FA7B2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U.S. SUPREME COURT – CARONA VIRUS – UPHOLDS CALIFORNIA RESTRICTIONS ON RELIGIOUS GATHERINGS</w:t>
      </w:r>
    </w:p>
    <w:p w14:paraId="4AEC2713" w14:textId="77777777" w:rsidR="00FA7B26" w:rsidRDefault="00FA7B26" w:rsidP="00FA7B26">
      <w:pPr>
        <w:spacing w:before="100" w:beforeAutospacing="1" w:after="100" w:afterAutospacing="1" w:line="240" w:lineRule="auto"/>
        <w:rPr>
          <w:rFonts w:ascii="Times New Roman" w:hAnsi="Times New Roman"/>
          <w:sz w:val="24"/>
          <w:szCs w:val="24"/>
        </w:rPr>
      </w:pPr>
      <w:r w:rsidRPr="00165D3F">
        <w:rPr>
          <w:rFonts w:ascii="Times New Roman" w:eastAsia="Times New Roman" w:hAnsi="Times New Roman"/>
          <w:sz w:val="24"/>
          <w:szCs w:val="24"/>
        </w:rPr>
        <w:t xml:space="preserve">On May 29, 2020, in </w:t>
      </w:r>
      <w:r w:rsidRPr="00165D3F">
        <w:rPr>
          <w:rFonts w:ascii="Times New Roman" w:eastAsia="Times New Roman" w:hAnsi="Times New Roman"/>
          <w:sz w:val="24"/>
          <w:szCs w:val="24"/>
          <w:u w:val="single"/>
        </w:rPr>
        <w:t>South Bay United Pentecostal Church, et a. v. Gavin Newsom, Governor of California,</w:t>
      </w:r>
      <w:r w:rsidRPr="00165D3F">
        <w:rPr>
          <w:rFonts w:ascii="Times New Roman" w:eastAsia="Times New Roman" w:hAnsi="Times New Roman"/>
          <w:sz w:val="24"/>
          <w:szCs w:val="24"/>
        </w:rPr>
        <w:t xml:space="preserve"> </w:t>
      </w:r>
      <w:r>
        <w:rPr>
          <w:rFonts w:ascii="Times New Roman" w:eastAsia="Times New Roman" w:hAnsi="Times New Roman"/>
          <w:sz w:val="24"/>
          <w:szCs w:val="24"/>
        </w:rPr>
        <w:t xml:space="preserve">the Court (5 to 4) denied the church’s request for an injunction, in a rare late-night ruling, and upheld the California restriction of attendance at places of worship to 25% of building capacity, or a maximum of 100 attendees.  The San Diego area church had lost before a U.S. District Court judge, </w:t>
      </w:r>
      <w:proofErr w:type="gramStart"/>
      <w:r>
        <w:rPr>
          <w:rFonts w:ascii="Times New Roman" w:eastAsia="Times New Roman" w:hAnsi="Times New Roman"/>
          <w:sz w:val="24"/>
          <w:szCs w:val="24"/>
        </w:rPr>
        <w:t>and also</w:t>
      </w:r>
      <w:proofErr w:type="gramEnd"/>
      <w:r>
        <w:rPr>
          <w:rFonts w:ascii="Times New Roman" w:eastAsia="Times New Roman" w:hAnsi="Times New Roman"/>
          <w:sz w:val="24"/>
          <w:szCs w:val="24"/>
        </w:rPr>
        <w:t xml:space="preserve"> the 9</w:t>
      </w:r>
      <w:r w:rsidRPr="0046707A">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w:t>
      </w:r>
      <w:hyperlink r:id="rId2247" w:history="1">
        <w:r w:rsidRPr="003826A8">
          <w:rPr>
            <w:rStyle w:val="Hyperlink"/>
            <w:sz w:val="24"/>
            <w:szCs w:val="24"/>
          </w:rPr>
          <w:t>https://www.supremecourt.gov/opinions/19pdf/19a1044_pok0.pdf</w:t>
        </w:r>
      </w:hyperlink>
      <w:r>
        <w:rPr>
          <w:rFonts w:ascii="Times New Roman" w:hAnsi="Times New Roman"/>
          <w:sz w:val="24"/>
          <w:szCs w:val="24"/>
        </w:rPr>
        <w:t xml:space="preserve"> </w:t>
      </w:r>
    </w:p>
    <w:p w14:paraId="07DA73D0" w14:textId="77777777" w:rsidR="00FA7B26" w:rsidRPr="00575185" w:rsidRDefault="00FA7B26" w:rsidP="00FA7B26">
      <w:pPr>
        <w:pStyle w:val="Heading1"/>
        <w:jc w:val="both"/>
        <w:rPr>
          <w:sz w:val="24"/>
          <w:szCs w:val="24"/>
        </w:rPr>
      </w:pPr>
      <w:r w:rsidRPr="00575185">
        <w:rPr>
          <w:sz w:val="24"/>
          <w:szCs w:val="24"/>
        </w:rPr>
        <w:t xml:space="preserve">Legal Lessons Learned:  There has been litigation throughout the nation challenging corona virus restrictions; this is the first case to reach the U.S. Supreme Court.  </w:t>
      </w:r>
    </w:p>
    <w:p w14:paraId="2D6DF77E" w14:textId="6299BA1E" w:rsidR="00FA7B26" w:rsidRPr="00FA7B26" w:rsidRDefault="00FA7B26" w:rsidP="00FA7B26">
      <w:pPr>
        <w:ind w:left="720"/>
        <w:rPr>
          <w:rFonts w:ascii="Times New Roman" w:hAnsi="Times New Roman"/>
          <w:sz w:val="24"/>
          <w:szCs w:val="24"/>
        </w:rPr>
      </w:pPr>
      <w:r w:rsidRPr="00FA7B26">
        <w:rPr>
          <w:rFonts w:ascii="Times New Roman" w:hAnsi="Times New Roman"/>
          <w:sz w:val="24"/>
          <w:szCs w:val="24"/>
        </w:rPr>
        <w:lastRenderedPageBreak/>
        <w:t xml:space="preserve">Note: On May 6, 2020, the U.S. Supreme Court declined to hear an appeal by PA businesses seeking an injunction.  The Court will not hear an appeal unless at least 4 Justices agree to hear case.  See article: “U.S. Supreme Court rejects request to end Pennsylvania's coronavirus lockdown.” </w:t>
      </w:r>
      <w:hyperlink r:id="rId2248" w:history="1">
        <w:r w:rsidRPr="00FA7B26">
          <w:rPr>
            <w:rStyle w:val="Hyperlink"/>
            <w:rFonts w:ascii="Times New Roman" w:hAnsi="Times New Roman"/>
            <w:sz w:val="24"/>
            <w:szCs w:val="24"/>
          </w:rPr>
          <w:t>https://www.phillyvoice.com/us-supreme-court-denies-overturn-pennsylvania-non-essential-businesses-coronavirus-gov-wolf/</w:t>
        </w:r>
      </w:hyperlink>
    </w:p>
    <w:p w14:paraId="156AA44B" w14:textId="77777777" w:rsidR="00FA7B26" w:rsidRDefault="00FA7B26" w:rsidP="002B1283">
      <w:pPr>
        <w:rPr>
          <w:rFonts w:ascii="Arial Black" w:hAnsi="Arial Black"/>
          <w:b/>
          <w:bCs/>
          <w:sz w:val="28"/>
          <w:szCs w:val="28"/>
        </w:rPr>
      </w:pPr>
    </w:p>
    <w:p w14:paraId="4D710F36" w14:textId="0D97D8F3" w:rsidR="00FA7B26" w:rsidRDefault="00FA7B26" w:rsidP="002B1283">
      <w:pPr>
        <w:rPr>
          <w:rFonts w:ascii="Arial Black" w:hAnsi="Arial Black"/>
          <w:b/>
          <w:bCs/>
          <w:sz w:val="28"/>
          <w:szCs w:val="28"/>
        </w:rPr>
      </w:pPr>
      <w:r>
        <w:rPr>
          <w:rFonts w:ascii="Arial Black" w:hAnsi="Arial Black"/>
          <w:b/>
          <w:bCs/>
          <w:sz w:val="28"/>
          <w:szCs w:val="28"/>
        </w:rPr>
        <w:t>13-56</w:t>
      </w:r>
    </w:p>
    <w:p w14:paraId="7F8D274B" w14:textId="77777777" w:rsidR="00FA7B26" w:rsidRPr="00B46B8F" w:rsidRDefault="00FA7B26" w:rsidP="00FA7B26">
      <w:pPr>
        <w:spacing w:before="100" w:beforeAutospacing="1" w:after="100" w:afterAutospacing="1" w:line="240" w:lineRule="auto"/>
        <w:jc w:val="both"/>
        <w:rPr>
          <w:rFonts w:ascii="Arial Black" w:eastAsia="Times New Roman" w:hAnsi="Arial Black"/>
          <w:b/>
          <w:bCs/>
          <w:sz w:val="28"/>
          <w:szCs w:val="28"/>
        </w:rPr>
      </w:pPr>
      <w:r w:rsidRPr="00B46B8F">
        <w:rPr>
          <w:rFonts w:ascii="Arial Black" w:eastAsia="Times New Roman" w:hAnsi="Arial Black"/>
          <w:b/>
          <w:bCs/>
          <w:sz w:val="28"/>
          <w:szCs w:val="28"/>
        </w:rPr>
        <w:t>NJ:</w:t>
      </w:r>
      <w:r>
        <w:rPr>
          <w:rFonts w:ascii="Arial Black" w:eastAsia="Times New Roman" w:hAnsi="Arial Black"/>
          <w:b/>
          <w:bCs/>
          <w:sz w:val="28"/>
          <w:szCs w:val="28"/>
        </w:rPr>
        <w:t xml:space="preserve"> MAINTENANCE ISSUES OF EMS VEHICLES – STATE SUSPENDS LICENSE – INSTEAD OF ADMIN. APPEAL, WENT TO COURT – COURT OF APPEALS UPHOLDS SUSPENSION</w:t>
      </w:r>
    </w:p>
    <w:p w14:paraId="65296453" w14:textId="77777777" w:rsidR="00FA7B26" w:rsidRPr="00290F9C" w:rsidRDefault="00FA7B26" w:rsidP="00FA7B26">
      <w:pPr>
        <w:spacing w:before="100" w:beforeAutospacing="1" w:after="100" w:afterAutospacing="1" w:line="240" w:lineRule="auto"/>
        <w:rPr>
          <w:rFonts w:ascii="Times New Roman" w:hAnsi="Times New Roman"/>
          <w:sz w:val="24"/>
          <w:szCs w:val="24"/>
        </w:rPr>
      </w:pPr>
      <w:r w:rsidRPr="00290F9C">
        <w:rPr>
          <w:rFonts w:ascii="Times New Roman" w:hAnsi="Times New Roman"/>
          <w:sz w:val="24"/>
          <w:szCs w:val="24"/>
        </w:rPr>
        <w:t xml:space="preserve">On May 27, 2020, in </w:t>
      </w:r>
      <w:proofErr w:type="spellStart"/>
      <w:r w:rsidRPr="00290F9C">
        <w:rPr>
          <w:rFonts w:ascii="Times New Roman" w:hAnsi="Times New Roman"/>
          <w:sz w:val="24"/>
          <w:szCs w:val="24"/>
          <w:u w:val="single"/>
        </w:rPr>
        <w:t>Americare</w:t>
      </w:r>
      <w:proofErr w:type="spellEnd"/>
      <w:r w:rsidRPr="00290F9C">
        <w:rPr>
          <w:rFonts w:ascii="Times New Roman" w:hAnsi="Times New Roman"/>
          <w:sz w:val="24"/>
          <w:szCs w:val="24"/>
          <w:u w:val="single"/>
        </w:rPr>
        <w:t xml:space="preserve"> Emergency Medical Service, Inc. v. City of Orange Township; State of New Jersey Department of Health, Office of EMS, et al.</w:t>
      </w:r>
      <w:r w:rsidRPr="00290F9C">
        <w:rPr>
          <w:rFonts w:ascii="Times New Roman" w:hAnsi="Times New Roman"/>
          <w:sz w:val="24"/>
          <w:szCs w:val="24"/>
        </w:rPr>
        <w:t>, the Superior Court of New Jersey Appellate Division, held (3 to 0) in unpublished decision that the State’s suspension is reinstated</w:t>
      </w:r>
      <w:r>
        <w:rPr>
          <w:rFonts w:ascii="Times New Roman" w:hAnsi="Times New Roman"/>
          <w:sz w:val="24"/>
          <w:szCs w:val="24"/>
        </w:rPr>
        <w:t>; they must exhaust administrative appeal to Commissioner of Dept. of Health</w:t>
      </w:r>
      <w:r w:rsidRPr="00290F9C">
        <w:rPr>
          <w:rFonts w:ascii="Times New Roman" w:hAnsi="Times New Roman"/>
          <w:sz w:val="24"/>
          <w:szCs w:val="24"/>
        </w:rPr>
        <w:t xml:space="preserve">.  </w:t>
      </w:r>
      <w:hyperlink r:id="rId2249" w:history="1">
        <w:r w:rsidRPr="00290F9C">
          <w:rPr>
            <w:rStyle w:val="Hyperlink"/>
            <w:sz w:val="24"/>
            <w:szCs w:val="24"/>
          </w:rPr>
          <w:t>https://njcourts.gov/attorneys/assets/opinions/appellate/published/a0117-19.pdf?c=WwB</w:t>
        </w:r>
      </w:hyperlink>
      <w:r w:rsidRPr="00290F9C">
        <w:rPr>
          <w:rFonts w:ascii="Times New Roman" w:hAnsi="Times New Roman"/>
          <w:sz w:val="24"/>
          <w:szCs w:val="24"/>
        </w:rPr>
        <w:t xml:space="preserve"> </w:t>
      </w:r>
    </w:p>
    <w:p w14:paraId="6D248F8B" w14:textId="77777777" w:rsidR="00FA7B26" w:rsidRPr="00290F9C" w:rsidRDefault="00FA7B26" w:rsidP="00FA7B26">
      <w:pPr>
        <w:spacing w:after="0" w:line="240" w:lineRule="auto"/>
        <w:jc w:val="both"/>
        <w:rPr>
          <w:rFonts w:ascii="Times New Roman" w:hAnsi="Times New Roman"/>
          <w:b/>
          <w:bCs/>
          <w:sz w:val="24"/>
          <w:szCs w:val="24"/>
        </w:rPr>
      </w:pPr>
      <w:r w:rsidRPr="00290F9C">
        <w:rPr>
          <w:rFonts w:ascii="Times New Roman" w:hAnsi="Times New Roman"/>
          <w:b/>
          <w:bCs/>
          <w:sz w:val="24"/>
          <w:szCs w:val="24"/>
        </w:rPr>
        <w:t>Legal Lessons Learned:</w:t>
      </w:r>
      <w:r>
        <w:rPr>
          <w:rFonts w:ascii="Times New Roman" w:hAnsi="Times New Roman"/>
          <w:b/>
          <w:bCs/>
          <w:sz w:val="24"/>
          <w:szCs w:val="24"/>
        </w:rPr>
        <w:t xml:space="preserve"> Proper maintenance of EMS transport vehicles is extremely important; it is generally best to exhaust administrative appeals before going to Court.</w:t>
      </w:r>
    </w:p>
    <w:p w14:paraId="2EA3C321" w14:textId="77777777" w:rsidR="00FA7B26" w:rsidRDefault="00FA7B26" w:rsidP="00FA7B26">
      <w:pPr>
        <w:spacing w:before="100" w:beforeAutospacing="1" w:after="100" w:afterAutospacing="1" w:line="240" w:lineRule="auto"/>
        <w:rPr>
          <w:rFonts w:ascii="Times New Roman" w:eastAsia="Times New Roman" w:hAnsi="Times New Roman"/>
          <w:sz w:val="24"/>
          <w:szCs w:val="24"/>
        </w:rPr>
      </w:pPr>
    </w:p>
    <w:p w14:paraId="5F55F461" w14:textId="77777777" w:rsidR="00FA7B26" w:rsidRDefault="00FA7B26" w:rsidP="002B1283">
      <w:pPr>
        <w:rPr>
          <w:rFonts w:ascii="Arial Black" w:hAnsi="Arial Black"/>
          <w:b/>
          <w:bCs/>
          <w:sz w:val="28"/>
          <w:szCs w:val="28"/>
        </w:rPr>
      </w:pPr>
    </w:p>
    <w:p w14:paraId="036ED8A8" w14:textId="77777777" w:rsidR="00FA7B26" w:rsidRDefault="00FA7B26" w:rsidP="002B1283">
      <w:pPr>
        <w:rPr>
          <w:rFonts w:ascii="Arial Black" w:hAnsi="Arial Black"/>
          <w:b/>
          <w:bCs/>
          <w:sz w:val="28"/>
          <w:szCs w:val="28"/>
        </w:rPr>
      </w:pPr>
    </w:p>
    <w:p w14:paraId="00C93788" w14:textId="05615E64" w:rsidR="00FA7B26" w:rsidRDefault="00FA7B26" w:rsidP="002B1283">
      <w:pPr>
        <w:rPr>
          <w:rFonts w:ascii="Arial Black" w:hAnsi="Arial Black"/>
          <w:b/>
          <w:bCs/>
          <w:sz w:val="28"/>
          <w:szCs w:val="28"/>
        </w:rPr>
      </w:pPr>
      <w:r>
        <w:rPr>
          <w:rFonts w:ascii="Arial Black" w:hAnsi="Arial Black"/>
          <w:b/>
          <w:bCs/>
          <w:sz w:val="28"/>
          <w:szCs w:val="28"/>
        </w:rPr>
        <w:t>13-55</w:t>
      </w:r>
    </w:p>
    <w:p w14:paraId="44F0F00C" w14:textId="2E48C118" w:rsidR="00FA7B26" w:rsidRPr="00C42FC3" w:rsidRDefault="00FA7B26" w:rsidP="00FA7B26">
      <w:pPr>
        <w:spacing w:before="100" w:beforeAutospacing="1" w:after="100" w:afterAutospacing="1" w:line="240" w:lineRule="auto"/>
        <w:rPr>
          <w:rFonts w:ascii="Arial Black" w:eastAsia="Times New Roman" w:hAnsi="Arial Black"/>
          <w:sz w:val="24"/>
          <w:szCs w:val="24"/>
        </w:rPr>
      </w:pPr>
      <w:bookmarkStart w:id="455" w:name="_Hlk42171981"/>
      <w:r w:rsidRPr="000B01EB">
        <w:rPr>
          <w:rFonts w:ascii="Arial Black" w:eastAsia="Times New Roman" w:hAnsi="Arial Black"/>
          <w:sz w:val="28"/>
          <w:szCs w:val="28"/>
        </w:rPr>
        <w:t>NY:</w:t>
      </w:r>
      <w:r>
        <w:rPr>
          <w:rFonts w:ascii="Arial Black" w:eastAsia="Times New Roman" w:hAnsi="Arial Black"/>
          <w:sz w:val="28"/>
          <w:szCs w:val="28"/>
        </w:rPr>
        <w:t xml:space="preserve"> DIF</w:t>
      </w:r>
      <w:r w:rsidR="00DC0660">
        <w:rPr>
          <w:rFonts w:ascii="Arial Black" w:eastAsia="Times New Roman" w:hAnsi="Arial Black"/>
          <w:sz w:val="28"/>
          <w:szCs w:val="28"/>
        </w:rPr>
        <w:t>F</w:t>
      </w:r>
      <w:r>
        <w:rPr>
          <w:rFonts w:ascii="Arial Black" w:eastAsia="Times New Roman" w:hAnsi="Arial Black"/>
          <w:sz w:val="28"/>
          <w:szCs w:val="28"/>
        </w:rPr>
        <w:t xml:space="preserve">ICULTY BREATHING CALL - RAPID PD RESPONSE, BUT 20 MINUTES </w:t>
      </w:r>
      <w:r w:rsidRPr="00C42FC3">
        <w:rPr>
          <w:rFonts w:ascii="Arial Black" w:eastAsia="Times New Roman" w:hAnsi="Arial Black"/>
          <w:sz w:val="28"/>
          <w:szCs w:val="28"/>
        </w:rPr>
        <w:t>MUTUAL</w:t>
      </w:r>
      <w:r>
        <w:rPr>
          <w:rFonts w:ascii="Arial Black" w:eastAsia="Times New Roman" w:hAnsi="Arial Black"/>
          <w:sz w:val="28"/>
          <w:szCs w:val="28"/>
        </w:rPr>
        <w:t xml:space="preserve"> AID</w:t>
      </w:r>
      <w:r w:rsidRPr="00C42FC3">
        <w:rPr>
          <w:rFonts w:ascii="Arial Black" w:eastAsia="Times New Roman" w:hAnsi="Arial Black"/>
          <w:sz w:val="28"/>
          <w:szCs w:val="28"/>
        </w:rPr>
        <w:t xml:space="preserve"> AMBULANCE - GOVERNMENTAL IMMUNITY</w:t>
      </w:r>
      <w:r>
        <w:rPr>
          <w:rFonts w:ascii="Arial Black" w:eastAsia="Times New Roman" w:hAnsi="Arial Black"/>
          <w:sz w:val="28"/>
          <w:szCs w:val="28"/>
        </w:rPr>
        <w:t xml:space="preserve"> - NO</w:t>
      </w:r>
      <w:r w:rsidRPr="00C42FC3">
        <w:rPr>
          <w:rFonts w:ascii="Arial Black" w:eastAsia="Times New Roman" w:hAnsi="Arial Black"/>
          <w:sz w:val="28"/>
          <w:szCs w:val="28"/>
        </w:rPr>
        <w:t xml:space="preserve"> “SPECIAL DUTY” </w:t>
      </w:r>
      <w:r>
        <w:rPr>
          <w:rFonts w:ascii="Arial Black" w:eastAsia="Times New Roman" w:hAnsi="Arial Black"/>
          <w:sz w:val="28"/>
          <w:szCs w:val="28"/>
        </w:rPr>
        <w:t>OWED</w:t>
      </w:r>
    </w:p>
    <w:bookmarkEnd w:id="455"/>
    <w:p w14:paraId="45901E8D" w14:textId="6A35DA9E" w:rsidR="00FA7B26" w:rsidRDefault="00FA7B26" w:rsidP="00FA7B26">
      <w:pPr>
        <w:rPr>
          <w:rFonts w:ascii="Arial Black" w:hAnsi="Arial Black"/>
          <w:b/>
          <w:bCs/>
          <w:sz w:val="28"/>
          <w:szCs w:val="28"/>
        </w:rPr>
      </w:pPr>
      <w:r w:rsidRPr="00C42FC3">
        <w:rPr>
          <w:rFonts w:ascii="Times New Roman" w:eastAsia="Times New Roman" w:hAnsi="Times New Roman"/>
          <w:sz w:val="24"/>
          <w:szCs w:val="24"/>
        </w:rPr>
        <w:t xml:space="preserve">On May 27, 2020, in </w:t>
      </w:r>
      <w:r w:rsidRPr="00C42FC3">
        <w:rPr>
          <w:rFonts w:ascii="Times New Roman" w:eastAsia="Times New Roman" w:hAnsi="Times New Roman"/>
          <w:sz w:val="24"/>
          <w:szCs w:val="24"/>
          <w:u w:val="single"/>
        </w:rPr>
        <w:t>Kathlene Marks-Barcia v. Village of Sleepy Hollow Ambulance Corps, et al.</w:t>
      </w:r>
      <w:r w:rsidRPr="00C42FC3">
        <w:rPr>
          <w:rFonts w:ascii="Times New Roman" w:eastAsia="Times New Roman" w:hAnsi="Times New Roman"/>
          <w:sz w:val="24"/>
          <w:szCs w:val="24"/>
        </w:rPr>
        <w:t xml:space="preserve">, </w:t>
      </w:r>
      <w:r>
        <w:rPr>
          <w:rFonts w:ascii="Times New Roman" w:eastAsia="Times New Roman" w:hAnsi="Times New Roman"/>
          <w:sz w:val="24"/>
          <w:szCs w:val="24"/>
        </w:rPr>
        <w:t xml:space="preserve">the Supreme Court of New York, Appellate Division (Second Judicial Department), held (3 to 0) that the trial judge properly granted summary judgment to the Village since they owed no “special duty” to the 911 caller or her husband.  </w:t>
      </w:r>
      <w:hyperlink r:id="rId2250" w:history="1">
        <w:r w:rsidRPr="00082B39">
          <w:rPr>
            <w:rStyle w:val="Hyperlink"/>
            <w:sz w:val="24"/>
            <w:szCs w:val="24"/>
          </w:rPr>
          <w:t>https://iapps.courts.state.ny.us/search/wicket/page?2-IResourceListener-pnlResultContainer-pnlResult-2-lnkDocument</w:t>
        </w:r>
      </w:hyperlink>
    </w:p>
    <w:p w14:paraId="1365AC58" w14:textId="77777777" w:rsidR="00FA7B26" w:rsidRPr="00FA61E9" w:rsidRDefault="00FA7B26" w:rsidP="00FA7B26">
      <w:pPr>
        <w:spacing w:before="100" w:beforeAutospacing="1" w:after="100" w:afterAutospacing="1" w:line="240" w:lineRule="auto"/>
        <w:jc w:val="both"/>
        <w:rPr>
          <w:rFonts w:ascii="Times New Roman" w:eastAsia="Times New Roman" w:hAnsi="Times New Roman"/>
          <w:b/>
          <w:bCs/>
          <w:sz w:val="24"/>
          <w:szCs w:val="24"/>
        </w:rPr>
      </w:pPr>
      <w:r w:rsidRPr="00FA61E9">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Governmental immunity is an important protection against liability for EMS.</w:t>
      </w:r>
    </w:p>
    <w:p w14:paraId="128E909E" w14:textId="3E91570E" w:rsidR="00FA7B26" w:rsidRPr="00FA7B26" w:rsidRDefault="00FA7B26" w:rsidP="00FA7B26">
      <w:pPr>
        <w:ind w:left="720"/>
        <w:rPr>
          <w:rFonts w:ascii="Times New Roman" w:hAnsi="Times New Roman"/>
          <w:sz w:val="24"/>
          <w:szCs w:val="24"/>
        </w:rPr>
      </w:pPr>
      <w:r w:rsidRPr="00FA7B26">
        <w:rPr>
          <w:rFonts w:ascii="Times New Roman" w:hAnsi="Times New Roman"/>
          <w:sz w:val="24"/>
          <w:szCs w:val="24"/>
        </w:rPr>
        <w:t xml:space="preserve">Note:  Some states, such as Florida, have by statute abolished the “Professional Rescuer Rule” [also known as “Fireman’s Rule”]. See Florida 2019 statute: </w:t>
      </w:r>
      <w:hyperlink r:id="rId2251" w:history="1">
        <w:r w:rsidRPr="00FA7B26">
          <w:rPr>
            <w:rStyle w:val="Hyperlink"/>
            <w:rFonts w:ascii="Times New Roman" w:hAnsi="Times New Roman"/>
            <w:sz w:val="24"/>
            <w:szCs w:val="24"/>
          </w:rPr>
          <w:t>http://www.leg.state.fl.us/statutes/index.cfm?App_mode=Display_Statute&amp;Search_String=&amp;URL=0100-0199/0112/Sections/0112.182.html</w:t>
        </w:r>
      </w:hyperlink>
    </w:p>
    <w:p w14:paraId="42778FA6" w14:textId="426407DD" w:rsidR="00FA7B26" w:rsidRDefault="00FA7B26" w:rsidP="002B1283">
      <w:pPr>
        <w:rPr>
          <w:rFonts w:ascii="Arial Black" w:hAnsi="Arial Black"/>
          <w:b/>
          <w:bCs/>
          <w:sz w:val="28"/>
          <w:szCs w:val="28"/>
        </w:rPr>
      </w:pPr>
      <w:r>
        <w:rPr>
          <w:rFonts w:ascii="Arial Black" w:hAnsi="Arial Black"/>
          <w:b/>
          <w:bCs/>
          <w:sz w:val="28"/>
          <w:szCs w:val="28"/>
        </w:rPr>
        <w:t>13-54</w:t>
      </w:r>
    </w:p>
    <w:p w14:paraId="0D4867B0" w14:textId="77777777" w:rsidR="00FA7B26" w:rsidRPr="003E7024" w:rsidRDefault="00FA7B26" w:rsidP="00FA7B26">
      <w:pPr>
        <w:tabs>
          <w:tab w:val="left" w:pos="820"/>
        </w:tabs>
        <w:spacing w:before="100" w:beforeAutospacing="1" w:after="100" w:afterAutospacing="1" w:line="240" w:lineRule="auto"/>
        <w:rPr>
          <w:rFonts w:ascii="Arial Black" w:eastAsia="Times New Roman" w:hAnsi="Arial Black"/>
          <w:b/>
          <w:bCs/>
          <w:sz w:val="28"/>
          <w:szCs w:val="28"/>
        </w:rPr>
      </w:pPr>
      <w:bookmarkStart w:id="456" w:name="_Hlk42171919"/>
      <w:r w:rsidRPr="003E7024">
        <w:rPr>
          <w:rFonts w:ascii="Arial Black" w:eastAsia="Times New Roman" w:hAnsi="Arial Black"/>
          <w:b/>
          <w:bCs/>
          <w:sz w:val="28"/>
          <w:szCs w:val="28"/>
        </w:rPr>
        <w:t xml:space="preserve">IL: </w:t>
      </w:r>
      <w:r>
        <w:rPr>
          <w:rFonts w:ascii="Arial Black" w:eastAsia="Times New Roman" w:hAnsi="Arial Black"/>
          <w:b/>
          <w:bCs/>
          <w:sz w:val="28"/>
          <w:szCs w:val="28"/>
        </w:rPr>
        <w:t xml:space="preserve">TRANSP. FEMALE FROM PD TO HOSPITAL - KICKED PARAMEDIC IN NECK – CONVICTED BY JURY AGGRAVATED BATTERY – VIDEO FROM HOSPITAL / PHOTO OF MEDIC’S BRUISED NECK – SENTENCED </w:t>
      </w:r>
      <w:r w:rsidRPr="003E7024">
        <w:rPr>
          <w:rFonts w:ascii="Arial Black" w:eastAsia="Times New Roman" w:hAnsi="Arial Black"/>
          <w:b/>
          <w:bCs/>
          <w:sz w:val="28"/>
          <w:szCs w:val="28"/>
        </w:rPr>
        <w:t xml:space="preserve">2 YEARS </w:t>
      </w:r>
      <w:r>
        <w:rPr>
          <w:rFonts w:ascii="Arial Black" w:eastAsia="Times New Roman" w:hAnsi="Arial Black"/>
          <w:b/>
          <w:bCs/>
          <w:sz w:val="28"/>
          <w:szCs w:val="28"/>
        </w:rPr>
        <w:t xml:space="preserve">IN </w:t>
      </w:r>
      <w:r w:rsidRPr="003E7024">
        <w:rPr>
          <w:rFonts w:ascii="Arial Black" w:eastAsia="Times New Roman" w:hAnsi="Arial Black"/>
          <w:b/>
          <w:bCs/>
          <w:sz w:val="28"/>
          <w:szCs w:val="28"/>
        </w:rPr>
        <w:t>PRISON</w:t>
      </w:r>
    </w:p>
    <w:p w14:paraId="2DBE90D9" w14:textId="77777777" w:rsidR="00FA7B26" w:rsidRDefault="00FA7B26" w:rsidP="00FA7B26">
      <w:pPr>
        <w:spacing w:before="100" w:beforeAutospacing="1" w:after="100" w:afterAutospacing="1" w:line="240" w:lineRule="auto"/>
        <w:rPr>
          <w:rFonts w:ascii="Times New Roman" w:hAnsi="Times New Roman"/>
          <w:sz w:val="24"/>
          <w:szCs w:val="24"/>
        </w:rPr>
      </w:pPr>
      <w:r w:rsidRPr="003E7024">
        <w:rPr>
          <w:rFonts w:ascii="Times New Roman" w:hAnsi="Times New Roman"/>
          <w:sz w:val="24"/>
          <w:szCs w:val="24"/>
        </w:rPr>
        <w:t xml:space="preserve">On May 13, 2020, in </w:t>
      </w:r>
      <w:r w:rsidRPr="003E7024">
        <w:rPr>
          <w:rFonts w:ascii="Times New Roman" w:hAnsi="Times New Roman"/>
          <w:sz w:val="24"/>
          <w:szCs w:val="24"/>
          <w:u w:val="single"/>
        </w:rPr>
        <w:t>The People of State of Illinois v. Krystina Stoch</w:t>
      </w:r>
      <w:r>
        <w:rPr>
          <w:rFonts w:ascii="Times New Roman" w:hAnsi="Times New Roman"/>
          <w:sz w:val="24"/>
          <w:szCs w:val="24"/>
        </w:rPr>
        <w:t xml:space="preserve">, the Appellate Court of Illinois, First District, held (3 to 0) that conviction of aggravated battery was affirmed, and rejected the defense that she didn’t intend to hurt the paramedic when she kicked out at him when being moved from stretcher to a wheel chair at the hospital. </w:t>
      </w:r>
      <w:hyperlink r:id="rId2252" w:history="1">
        <w:r w:rsidRPr="00C46C1D">
          <w:rPr>
            <w:rStyle w:val="Hyperlink"/>
            <w:sz w:val="24"/>
            <w:szCs w:val="24"/>
          </w:rPr>
          <w:t>https://courts.illinois.gov/R23_Orders/AppellateCourt/2020/1stDistrict/1172189_R23.pdf</w:t>
        </w:r>
      </w:hyperlink>
      <w:r>
        <w:rPr>
          <w:rFonts w:ascii="Times New Roman" w:hAnsi="Times New Roman"/>
          <w:sz w:val="24"/>
          <w:szCs w:val="24"/>
        </w:rPr>
        <w:t xml:space="preserve"> </w:t>
      </w:r>
    </w:p>
    <w:p w14:paraId="6E853503" w14:textId="77777777" w:rsidR="00FA7B26" w:rsidRPr="005E414E" w:rsidRDefault="00FA7B26" w:rsidP="00FA7B26">
      <w:pPr>
        <w:spacing w:before="100" w:beforeAutospacing="1" w:after="100" w:afterAutospacing="1" w:line="240" w:lineRule="auto"/>
        <w:jc w:val="both"/>
        <w:rPr>
          <w:rFonts w:ascii="Times New Roman" w:eastAsia="Times New Roman" w:hAnsi="Times New Roman"/>
          <w:b/>
          <w:bCs/>
          <w:sz w:val="24"/>
          <w:szCs w:val="24"/>
        </w:rPr>
      </w:pPr>
      <w:r w:rsidRPr="005E414E">
        <w:rPr>
          <w:rFonts w:ascii="Times New Roman" w:hAnsi="Times New Roman"/>
          <w:b/>
          <w:bCs/>
          <w:sz w:val="24"/>
          <w:szCs w:val="24"/>
        </w:rPr>
        <w:t>Legal Lessons Learned:</w:t>
      </w:r>
      <w:r>
        <w:rPr>
          <w:rFonts w:ascii="Times New Roman" w:hAnsi="Times New Roman"/>
          <w:b/>
          <w:bCs/>
          <w:sz w:val="24"/>
          <w:szCs w:val="24"/>
        </w:rPr>
        <w:t xml:space="preserve"> The hospital video, and photo of the paramedic’s bruised neck, were shown to the jury. </w:t>
      </w:r>
    </w:p>
    <w:bookmarkEnd w:id="456"/>
    <w:p w14:paraId="4676AD53" w14:textId="77777777" w:rsidR="00FA7B26" w:rsidRDefault="00FA7B26" w:rsidP="002B1283">
      <w:pPr>
        <w:rPr>
          <w:rFonts w:ascii="Arial Black" w:hAnsi="Arial Black"/>
          <w:b/>
          <w:bCs/>
          <w:sz w:val="28"/>
          <w:szCs w:val="28"/>
        </w:rPr>
      </w:pPr>
    </w:p>
    <w:p w14:paraId="02620294" w14:textId="6F4508FC" w:rsidR="00FA7B26" w:rsidRDefault="00FA7B26" w:rsidP="002B1283">
      <w:pPr>
        <w:rPr>
          <w:rFonts w:ascii="Arial Black" w:hAnsi="Arial Black"/>
          <w:b/>
          <w:bCs/>
          <w:sz w:val="28"/>
          <w:szCs w:val="28"/>
        </w:rPr>
      </w:pPr>
      <w:r>
        <w:rPr>
          <w:rFonts w:ascii="Arial Black" w:hAnsi="Arial Black"/>
          <w:b/>
          <w:bCs/>
          <w:sz w:val="28"/>
          <w:szCs w:val="28"/>
        </w:rPr>
        <w:t>13-53</w:t>
      </w:r>
    </w:p>
    <w:p w14:paraId="69459F1D" w14:textId="77777777" w:rsidR="00FA7B26" w:rsidRDefault="00FA7B26" w:rsidP="00FA7B26">
      <w:pPr>
        <w:spacing w:before="100" w:beforeAutospacing="1" w:after="100" w:afterAutospacing="1" w:line="240" w:lineRule="auto"/>
        <w:rPr>
          <w:rFonts w:ascii="Arial Black" w:hAnsi="Arial Black"/>
          <w:sz w:val="28"/>
          <w:szCs w:val="28"/>
        </w:rPr>
      </w:pPr>
      <w:r w:rsidRPr="008324B8">
        <w:rPr>
          <w:rFonts w:ascii="Arial Black" w:hAnsi="Arial Black"/>
          <w:sz w:val="28"/>
          <w:szCs w:val="28"/>
        </w:rPr>
        <w:t xml:space="preserve">NY:  </w:t>
      </w:r>
      <w:r>
        <w:rPr>
          <w:rFonts w:ascii="Arial Black" w:hAnsi="Arial Black"/>
          <w:sz w:val="28"/>
          <w:szCs w:val="28"/>
        </w:rPr>
        <w:t xml:space="preserve">PATIENT LEG PAIN, FLUID – EMS ADVISED SEE HER DOCTOR IN MORNING – SIGNED “RMA” REFUSAL MEDICAL ASSISTANCE – DIED 6 DAYS LATER - IMMUNITY </w:t>
      </w:r>
    </w:p>
    <w:p w14:paraId="5E0B0EDA" w14:textId="2EF60BEE" w:rsidR="00FA7B26" w:rsidRDefault="00FA7B26" w:rsidP="00FA7B26">
      <w:pPr>
        <w:rPr>
          <w:rFonts w:ascii="Arial Black" w:hAnsi="Arial Black"/>
          <w:b/>
          <w:bCs/>
          <w:sz w:val="28"/>
          <w:szCs w:val="28"/>
        </w:rPr>
      </w:pPr>
      <w:r w:rsidRPr="008324B8">
        <w:rPr>
          <w:rFonts w:ascii="Times New Roman" w:hAnsi="Times New Roman"/>
          <w:sz w:val="24"/>
          <w:szCs w:val="24"/>
        </w:rPr>
        <w:t xml:space="preserve">On May 5, 2020, </w:t>
      </w:r>
      <w:r>
        <w:rPr>
          <w:rFonts w:ascii="Times New Roman" w:hAnsi="Times New Roman"/>
          <w:sz w:val="24"/>
          <w:szCs w:val="24"/>
        </w:rPr>
        <w:t xml:space="preserve">in </w:t>
      </w:r>
      <w:r w:rsidRPr="008324B8">
        <w:rPr>
          <w:rFonts w:ascii="Times New Roman" w:hAnsi="Times New Roman"/>
          <w:sz w:val="24"/>
          <w:szCs w:val="24"/>
          <w:u w:val="single"/>
        </w:rPr>
        <w:t>Anthony L. Pioli, Administrator Estate of Anna Pioli v. New York City Fire Department et al</w:t>
      </w:r>
      <w:r>
        <w:rPr>
          <w:rFonts w:ascii="Times New Roman" w:hAnsi="Times New Roman"/>
          <w:sz w:val="24"/>
          <w:szCs w:val="24"/>
        </w:rPr>
        <w:t>., Judge Rosemarie Montalbano, Supreme Court of the State of New York, County of Kings: Part 22, dismissed the lawsuit since the EMTs did not owe a “Special Duty” to the patient. In addition, “</w:t>
      </w:r>
      <w:r w:rsidRPr="008324B8">
        <w:rPr>
          <w:rFonts w:ascii="Times New Roman" w:hAnsi="Times New Roman"/>
          <w:sz w:val="24"/>
          <w:szCs w:val="24"/>
        </w:rPr>
        <w:t xml:space="preserve">The decedent signed the RMA </w:t>
      </w:r>
      <w:r>
        <w:rPr>
          <w:rFonts w:ascii="Times New Roman" w:hAnsi="Times New Roman"/>
          <w:sz w:val="24"/>
          <w:szCs w:val="24"/>
        </w:rPr>
        <w:t xml:space="preserve">[Refusal of Medical Assistance] </w:t>
      </w:r>
      <w:r w:rsidRPr="008324B8">
        <w:rPr>
          <w:rFonts w:ascii="Times New Roman" w:hAnsi="Times New Roman"/>
          <w:sz w:val="24"/>
          <w:szCs w:val="24"/>
        </w:rPr>
        <w:t>expressly stating that she did not want to be transported to the hospital.</w:t>
      </w:r>
      <w:r>
        <w:rPr>
          <w:rFonts w:ascii="Times New Roman" w:hAnsi="Times New Roman"/>
          <w:sz w:val="24"/>
          <w:szCs w:val="24"/>
        </w:rPr>
        <w:t xml:space="preserve">” </w:t>
      </w:r>
      <w:hyperlink r:id="rId2253" w:history="1">
        <w:r w:rsidRPr="00B56DB8">
          <w:rPr>
            <w:rStyle w:val="Hyperlink"/>
            <w:sz w:val="24"/>
            <w:szCs w:val="24"/>
          </w:rPr>
          <w:t>https://public.fastcase.com/Wl%2B2t%2BeVuI35%2FN70vAMFZmo%2BcULZ%2FcXakIqGXvRrcFYkKri8LBojVsP%2FOvCVPfk0</w:t>
        </w:r>
      </w:hyperlink>
    </w:p>
    <w:p w14:paraId="3EBF49B8" w14:textId="77777777" w:rsidR="00FA7B26" w:rsidRDefault="00FA7B26" w:rsidP="00FA7B26">
      <w:pPr>
        <w:spacing w:before="100" w:beforeAutospacing="1" w:after="100" w:afterAutospacing="1" w:line="240" w:lineRule="auto"/>
        <w:rPr>
          <w:b/>
          <w:bCs/>
        </w:rPr>
      </w:pPr>
      <w:r w:rsidRPr="0045403E">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The Special Duty doctrine helps protect EMS and their employers from liability.  If patient is complaining of leg pain and using fluid, consider a call to Medical Control at the hospital. </w:t>
      </w:r>
    </w:p>
    <w:p w14:paraId="5D72C13D" w14:textId="77777777" w:rsidR="00FA7B26" w:rsidRDefault="00FA7B26" w:rsidP="002B1283">
      <w:pPr>
        <w:rPr>
          <w:rFonts w:ascii="Arial Black" w:hAnsi="Arial Black"/>
          <w:b/>
          <w:bCs/>
          <w:sz w:val="28"/>
          <w:szCs w:val="28"/>
        </w:rPr>
      </w:pPr>
    </w:p>
    <w:p w14:paraId="2B5C6EF8" w14:textId="0509A104" w:rsidR="0012517E" w:rsidRDefault="0012517E" w:rsidP="002B1283">
      <w:pPr>
        <w:rPr>
          <w:rFonts w:ascii="Arial Black" w:hAnsi="Arial Black"/>
          <w:b/>
          <w:bCs/>
          <w:sz w:val="28"/>
          <w:szCs w:val="28"/>
        </w:rPr>
      </w:pPr>
      <w:r>
        <w:rPr>
          <w:rFonts w:ascii="Arial Black" w:hAnsi="Arial Black"/>
          <w:b/>
          <w:bCs/>
          <w:sz w:val="28"/>
          <w:szCs w:val="28"/>
        </w:rPr>
        <w:t>13-52</w:t>
      </w:r>
    </w:p>
    <w:p w14:paraId="423AADCC" w14:textId="77777777" w:rsidR="0012517E" w:rsidRDefault="0012517E" w:rsidP="0012517E">
      <w:pPr>
        <w:pStyle w:val="NoSpacing"/>
        <w:rPr>
          <w:rFonts w:ascii="Arial Black" w:hAnsi="Arial Black"/>
          <w:sz w:val="28"/>
          <w:szCs w:val="28"/>
        </w:rPr>
      </w:pPr>
      <w:bookmarkStart w:id="457" w:name="_Hlk38437817"/>
      <w:r>
        <w:rPr>
          <w:rFonts w:ascii="Arial Black" w:hAnsi="Arial Black"/>
          <w:sz w:val="28"/>
          <w:szCs w:val="28"/>
        </w:rPr>
        <w:t>NM: CORONA VIRUS – MEGA CHURCH CHALLENGED LIMIT OF 5 PEOPLE – DENIED TEMPORARY RESTRAINING ORDER</w:t>
      </w:r>
    </w:p>
    <w:p w14:paraId="602A3390" w14:textId="77777777" w:rsidR="0012517E" w:rsidRPr="00AE3A49" w:rsidRDefault="0012517E" w:rsidP="0012517E">
      <w:pPr>
        <w:pStyle w:val="NormalWeb"/>
      </w:pPr>
      <w:r w:rsidRPr="00AE3A49">
        <w:lastRenderedPageBreak/>
        <w:t xml:space="preserve">On </w:t>
      </w:r>
      <w:bookmarkStart w:id="458" w:name="_Hlk39849351"/>
      <w:r w:rsidRPr="00AE3A49">
        <w:t xml:space="preserve">April 17, 2020, </w:t>
      </w:r>
      <w:r w:rsidRPr="00AE3A49">
        <w:rPr>
          <w:u w:val="single"/>
        </w:rPr>
        <w:t>in Legacy Church, Inc. v. Kathyleen M. Kunkel and State of New Mexico</w:t>
      </w:r>
      <w:bookmarkEnd w:id="458"/>
      <w:r w:rsidRPr="00AE3A49">
        <w:t xml:space="preserve">, U.S. District Court Judge James O/ Browning denied the church’s motion for temporary restraining order. Legacy Church has nearly 20,000 members, with church services held in four locations in Albuquerque.  Kathyleen M. Kunkel is New Mexico’s Secretary of Health Department; on March 24, 2020, Secretary Kunkel issued the Public Health Order, which ordered all non-essential businesses to close, ordered all of the state's non-essential workforce to work from home, and ordered New Mexico citizens to ‘stay at home and undertake only those outings absolutely necessary for their health, safety, or welfare.’ </w:t>
      </w:r>
    </w:p>
    <w:bookmarkEnd w:id="457"/>
    <w:p w14:paraId="4E090DF4" w14:textId="77777777" w:rsidR="0012517E" w:rsidRDefault="0012517E" w:rsidP="0012517E">
      <w:pPr>
        <w:pStyle w:val="NoSpacing"/>
        <w:ind w:left="720"/>
        <w:rPr>
          <w:rFonts w:ascii="Times New Roman" w:hAnsi="Times New Roman"/>
          <w:bCs/>
          <w:sz w:val="24"/>
          <w:szCs w:val="24"/>
        </w:rPr>
      </w:pPr>
      <w:r w:rsidRPr="00AE3A49">
        <w:rPr>
          <w:rFonts w:ascii="Times New Roman" w:hAnsi="Times New Roman"/>
          <w:bCs/>
          <w:sz w:val="24"/>
          <w:szCs w:val="24"/>
        </w:rPr>
        <w:t xml:space="preserve">“The Court denies the Motion. The Court concludes, first, that the Eleventh Amendment prohibits Legacy Church's suit insofar as it seeks relief against the state of New Mexico. Second, the Court concludes that Legacy Church is not substantially likely to succeed on the merits of its Free Exercise claim. Specifically, the April 11 Order is both neutral and generally applicable, and there is no evidence of animus against Christianity </w:t>
      </w:r>
      <w:proofErr w:type="gramStart"/>
      <w:r w:rsidRPr="00AE3A49">
        <w:rPr>
          <w:rFonts w:ascii="Times New Roman" w:hAnsi="Times New Roman"/>
          <w:bCs/>
          <w:sz w:val="24"/>
          <w:szCs w:val="24"/>
        </w:rPr>
        <w:t>in particular or</w:t>
      </w:r>
      <w:proofErr w:type="gramEnd"/>
      <w:r w:rsidRPr="00AE3A49">
        <w:rPr>
          <w:rFonts w:ascii="Times New Roman" w:hAnsi="Times New Roman"/>
          <w:bCs/>
          <w:sz w:val="24"/>
          <w:szCs w:val="24"/>
        </w:rPr>
        <w:t xml:space="preserve"> against religion in general. Accordingly, the April 11 Order is subject to rational basis review, which it satisfies. Third, the Court concludes that Legacy Church is not likely to succeed on its assembly claim, because the April 11 Order </w:t>
      </w:r>
      <w:proofErr w:type="gramStart"/>
      <w:r w:rsidRPr="00AE3A49">
        <w:rPr>
          <w:rFonts w:ascii="Times New Roman" w:hAnsi="Times New Roman"/>
          <w:bCs/>
          <w:sz w:val="24"/>
          <w:szCs w:val="24"/>
        </w:rPr>
        <w:t>not only is</w:t>
      </w:r>
      <w:proofErr w:type="gramEnd"/>
      <w:r w:rsidRPr="00AE3A49">
        <w:rPr>
          <w:rFonts w:ascii="Times New Roman" w:hAnsi="Times New Roman"/>
          <w:bCs/>
          <w:sz w:val="24"/>
          <w:szCs w:val="24"/>
        </w:rPr>
        <w:t xml:space="preserve"> narrowly tailored with sufficient alternatives for Legacy Church to assemble and mitigating a state pandemic is a compelling interest. Fourth, the Court concludes that Legacy Church has not demonstrated that it will suffer irreparable harm in a TRO's absence, it has not demonstrated that the equities weigh in a TRO's favor, and it has not demonstrated that a TRO is in the public interest. Accordingly, the Court denies the TRO.</w:t>
      </w:r>
      <w:bookmarkStart w:id="459" w:name="_Hlk38437842"/>
      <w:r w:rsidRPr="00AE3A49">
        <w:rPr>
          <w:rFonts w:ascii="Times New Roman" w:hAnsi="Times New Roman"/>
          <w:bCs/>
          <w:sz w:val="24"/>
          <w:szCs w:val="24"/>
        </w:rPr>
        <w:t xml:space="preserve"> … </w:t>
      </w:r>
      <w:r w:rsidRPr="00AE3A49">
        <w:rPr>
          <w:rFonts w:ascii="Times New Roman" w:eastAsia="Times New Roman" w:hAnsi="Times New Roman"/>
          <w:bCs/>
          <w:sz w:val="24"/>
          <w:szCs w:val="24"/>
        </w:rPr>
        <w:t>Footnote 16:</w:t>
      </w:r>
      <w:r w:rsidRPr="00AE3A49">
        <w:rPr>
          <w:rFonts w:ascii="Times New Roman" w:hAnsi="Times New Roman"/>
          <w:bCs/>
          <w:sz w:val="24"/>
          <w:szCs w:val="24"/>
        </w:rPr>
        <w:t xml:space="preserve"> The Court does not want its Memorandum Opinion to be read to minimize the importance of faith in people's lives. </w:t>
      </w:r>
      <w:proofErr w:type="gramStart"/>
      <w:r w:rsidRPr="00AE3A49">
        <w:rPr>
          <w:rFonts w:ascii="Times New Roman" w:hAnsi="Times New Roman"/>
          <w:bCs/>
          <w:sz w:val="24"/>
          <w:szCs w:val="24"/>
        </w:rPr>
        <w:t>Certainly</w:t>
      </w:r>
      <w:proofErr w:type="gramEnd"/>
      <w:r w:rsidRPr="00AE3A49">
        <w:rPr>
          <w:rFonts w:ascii="Times New Roman" w:hAnsi="Times New Roman"/>
          <w:bCs/>
          <w:sz w:val="24"/>
          <w:szCs w:val="24"/>
        </w:rPr>
        <w:t xml:space="preserve"> religion is the centerpiece of many people's lives, and many individuals may feel as if religion saved their life. But </w:t>
      </w:r>
    </w:p>
    <w:p w14:paraId="4C692008" w14:textId="77777777" w:rsidR="0012517E" w:rsidRDefault="0012517E" w:rsidP="0012517E">
      <w:pPr>
        <w:pStyle w:val="NoSpacing"/>
        <w:ind w:left="720"/>
        <w:rPr>
          <w:rFonts w:ascii="Times New Roman" w:hAnsi="Times New Roman"/>
          <w:bCs/>
          <w:sz w:val="24"/>
          <w:szCs w:val="24"/>
        </w:rPr>
      </w:pPr>
    </w:p>
    <w:p w14:paraId="77FEBD4D" w14:textId="77777777" w:rsidR="0012517E" w:rsidRPr="00AE3A49" w:rsidRDefault="0012517E" w:rsidP="0012517E">
      <w:pPr>
        <w:pStyle w:val="NoSpacing"/>
        <w:ind w:left="720"/>
        <w:rPr>
          <w:rFonts w:ascii="Times New Roman" w:eastAsia="Times New Roman" w:hAnsi="Times New Roman"/>
          <w:b/>
          <w:bCs/>
          <w:sz w:val="24"/>
          <w:szCs w:val="24"/>
        </w:rPr>
      </w:pPr>
      <w:r w:rsidRPr="00AE3A49">
        <w:rPr>
          <w:rFonts w:ascii="Times New Roman" w:hAnsi="Times New Roman"/>
          <w:bCs/>
          <w:sz w:val="24"/>
          <w:szCs w:val="24"/>
        </w:rPr>
        <w:t xml:space="preserve">essential services focus on the public as a whole -- essential businesses are essential for the lives of everyone, because they are necessary to ensure public health and welfare.” </w:t>
      </w:r>
      <w:bookmarkStart w:id="460" w:name="_Hlk39849371"/>
      <w:bookmarkStart w:id="461" w:name="_Hlk42172466"/>
      <w:r w:rsidR="00BC38B6">
        <w:fldChar w:fldCharType="begin"/>
      </w:r>
      <w:r w:rsidR="00BC38B6">
        <w:instrText xml:space="preserve"> HYPERLINK "https://public.fastcase.com/Wl%2B2t%2BeVuI35%2FN70vAMFZh8%2BLXJi%2BseM2%2Fc2jHlkq%2FfbJ38UuR%2FQUxRgZcrAfdvd" </w:instrText>
      </w:r>
      <w:r w:rsidR="00BC38B6">
        <w:fldChar w:fldCharType="separate"/>
      </w:r>
      <w:r w:rsidRPr="00AE3A49">
        <w:rPr>
          <w:rStyle w:val="Hyperlink"/>
          <w:rFonts w:ascii="Times New Roman" w:hAnsi="Times New Roman"/>
          <w:b/>
          <w:sz w:val="24"/>
          <w:szCs w:val="24"/>
        </w:rPr>
        <w:t>https://public.fastcase.com/Wl%2B2t%2BeVuI35%2FN70vAMFZh8%2BLXJi%2BseM2%2Fc2jHlkq%2FfbJ38UuR%2FQUxRgZcrAfdvd</w:t>
      </w:r>
      <w:r w:rsidR="00BC38B6">
        <w:rPr>
          <w:rStyle w:val="Hyperlink"/>
          <w:rFonts w:ascii="Times New Roman" w:hAnsi="Times New Roman"/>
          <w:b/>
          <w:sz w:val="24"/>
          <w:szCs w:val="24"/>
        </w:rPr>
        <w:fldChar w:fldCharType="end"/>
      </w:r>
      <w:bookmarkEnd w:id="460"/>
      <w:r w:rsidRPr="00AE3A49">
        <w:rPr>
          <w:rFonts w:ascii="Times New Roman" w:hAnsi="Times New Roman"/>
          <w:bCs/>
          <w:sz w:val="24"/>
          <w:szCs w:val="24"/>
        </w:rPr>
        <w:t xml:space="preserve"> </w:t>
      </w:r>
    </w:p>
    <w:bookmarkEnd w:id="459"/>
    <w:p w14:paraId="02B1307B" w14:textId="77777777" w:rsidR="0012517E" w:rsidRPr="00AE3A49" w:rsidRDefault="0012517E" w:rsidP="0012517E">
      <w:pPr>
        <w:spacing w:before="100" w:beforeAutospacing="1" w:after="100" w:afterAutospacing="1" w:line="240" w:lineRule="auto"/>
        <w:rPr>
          <w:rFonts w:ascii="Times New Roman" w:eastAsia="Times New Roman" w:hAnsi="Times New Roman"/>
          <w:b/>
          <w:bCs/>
          <w:sz w:val="24"/>
          <w:szCs w:val="24"/>
        </w:rPr>
      </w:pPr>
      <w:r w:rsidRPr="00AE3A49">
        <w:rPr>
          <w:rFonts w:ascii="Times New Roman" w:eastAsia="Times New Roman" w:hAnsi="Times New Roman"/>
          <w:b/>
          <w:bCs/>
          <w:sz w:val="24"/>
          <w:szCs w:val="24"/>
        </w:rPr>
        <w:t xml:space="preserve">Legal Lessons Learned: Public health and welfare </w:t>
      </w:r>
      <w:proofErr w:type="gramStart"/>
      <w:r w:rsidRPr="00AE3A49">
        <w:rPr>
          <w:rFonts w:ascii="Times New Roman" w:eastAsia="Times New Roman" w:hAnsi="Times New Roman"/>
          <w:b/>
          <w:bCs/>
          <w:sz w:val="24"/>
          <w:szCs w:val="24"/>
        </w:rPr>
        <w:t>prevails</w:t>
      </w:r>
      <w:proofErr w:type="gramEnd"/>
      <w:r w:rsidRPr="00AE3A49">
        <w:rPr>
          <w:rFonts w:ascii="Times New Roman" w:eastAsia="Times New Roman" w:hAnsi="Times New Roman"/>
          <w:b/>
          <w:bCs/>
          <w:sz w:val="24"/>
          <w:szCs w:val="24"/>
        </w:rPr>
        <w:t xml:space="preserve"> over a church’s desire to hold large gatherings.   </w:t>
      </w:r>
    </w:p>
    <w:p w14:paraId="629D9BC0" w14:textId="77777777" w:rsidR="0012517E" w:rsidRPr="00AE3A49" w:rsidRDefault="0012517E" w:rsidP="0012517E">
      <w:pPr>
        <w:pStyle w:val="Heading2"/>
        <w:ind w:left="720"/>
        <w:rPr>
          <w:rFonts w:ascii="Times New Roman" w:hAnsi="Times New Roman"/>
          <w:sz w:val="24"/>
          <w:szCs w:val="24"/>
        </w:rPr>
      </w:pPr>
      <w:r w:rsidRPr="00AE3A49">
        <w:rPr>
          <w:rFonts w:ascii="Times New Roman" w:hAnsi="Times New Roman"/>
          <w:b w:val="0"/>
          <w:bCs w:val="0"/>
          <w:i w:val="0"/>
          <w:iCs w:val="0"/>
          <w:sz w:val="24"/>
          <w:szCs w:val="24"/>
        </w:rPr>
        <w:t xml:space="preserve">Note: See this April 26, </w:t>
      </w:r>
      <w:proofErr w:type="gramStart"/>
      <w:r w:rsidRPr="00AE3A49">
        <w:rPr>
          <w:rFonts w:ascii="Times New Roman" w:hAnsi="Times New Roman"/>
          <w:b w:val="0"/>
          <w:bCs w:val="0"/>
          <w:i w:val="0"/>
          <w:iCs w:val="0"/>
          <w:sz w:val="24"/>
          <w:szCs w:val="24"/>
        </w:rPr>
        <w:t>2020</w:t>
      </w:r>
      <w:proofErr w:type="gramEnd"/>
      <w:r w:rsidRPr="00AE3A49">
        <w:rPr>
          <w:rFonts w:ascii="Times New Roman" w:hAnsi="Times New Roman"/>
          <w:b w:val="0"/>
          <w:bCs w:val="0"/>
          <w:i w:val="0"/>
          <w:iCs w:val="0"/>
          <w:sz w:val="24"/>
          <w:szCs w:val="24"/>
        </w:rPr>
        <w:t xml:space="preserve"> article, “Breaking: Church, Louisville, KY Mayor Reach Agreement in Dispute Over Drive-in Church Services,” </w:t>
      </w:r>
      <w:hyperlink r:id="rId2254" w:history="1">
        <w:r w:rsidRPr="00AE3A49">
          <w:rPr>
            <w:rStyle w:val="Hyperlink"/>
            <w:rFonts w:ascii="Times New Roman" w:hAnsi="Times New Roman"/>
            <w:b w:val="0"/>
            <w:bCs w:val="0"/>
            <w:i w:val="0"/>
            <w:iCs w:val="0"/>
            <w:sz w:val="24"/>
            <w:szCs w:val="24"/>
          </w:rPr>
          <w:t>https://firstliberty.org/media/breaking-church-louisville-ky-mayor-reach-agreement-in-dispute-over-drive-in-church-services/</w:t>
        </w:r>
      </w:hyperlink>
      <w:r w:rsidRPr="00AE3A49">
        <w:rPr>
          <w:rFonts w:ascii="Times New Roman" w:hAnsi="Times New Roman"/>
          <w:sz w:val="24"/>
          <w:szCs w:val="24"/>
        </w:rPr>
        <w:t xml:space="preserve"> </w:t>
      </w:r>
    </w:p>
    <w:bookmarkEnd w:id="461"/>
    <w:p w14:paraId="536CF004" w14:textId="77777777" w:rsidR="0012517E" w:rsidRPr="00AE3A49" w:rsidRDefault="0012517E" w:rsidP="0012517E">
      <w:pPr>
        <w:pStyle w:val="NoSpacing"/>
        <w:rPr>
          <w:rStyle w:val="citation"/>
          <w:rFonts w:ascii="Times New Roman" w:hAnsi="Times New Roman"/>
          <w:b/>
          <w:bCs/>
          <w:sz w:val="24"/>
          <w:szCs w:val="24"/>
        </w:rPr>
      </w:pPr>
    </w:p>
    <w:p w14:paraId="40EFB604" w14:textId="77777777" w:rsidR="0012517E" w:rsidRDefault="0012517E" w:rsidP="002B1283">
      <w:pPr>
        <w:rPr>
          <w:rFonts w:ascii="Arial Black" w:hAnsi="Arial Black"/>
          <w:b/>
          <w:bCs/>
          <w:sz w:val="28"/>
          <w:szCs w:val="28"/>
        </w:rPr>
      </w:pPr>
    </w:p>
    <w:p w14:paraId="0EDEF8B8" w14:textId="1419E841" w:rsidR="0012517E" w:rsidRDefault="0012517E" w:rsidP="002B1283">
      <w:pPr>
        <w:rPr>
          <w:rFonts w:ascii="Arial Black" w:hAnsi="Arial Black"/>
          <w:b/>
          <w:bCs/>
          <w:sz w:val="28"/>
          <w:szCs w:val="28"/>
        </w:rPr>
      </w:pPr>
      <w:r>
        <w:rPr>
          <w:rFonts w:ascii="Arial Black" w:hAnsi="Arial Black"/>
          <w:b/>
          <w:bCs/>
          <w:sz w:val="28"/>
          <w:szCs w:val="28"/>
        </w:rPr>
        <w:t>13-51</w:t>
      </w:r>
    </w:p>
    <w:p w14:paraId="29C69799" w14:textId="77777777" w:rsidR="0012517E" w:rsidRDefault="0012517E" w:rsidP="0012517E">
      <w:pPr>
        <w:pStyle w:val="NoSpacing"/>
        <w:rPr>
          <w:rFonts w:ascii="Arial Black" w:hAnsi="Arial Black"/>
          <w:b/>
          <w:bCs/>
          <w:sz w:val="28"/>
          <w:szCs w:val="28"/>
        </w:rPr>
      </w:pPr>
      <w:bookmarkStart w:id="462" w:name="_Hlk39772248"/>
      <w:r w:rsidRPr="005635B3">
        <w:rPr>
          <w:rFonts w:ascii="Arial Black" w:hAnsi="Arial Black"/>
          <w:bCs/>
          <w:sz w:val="28"/>
          <w:szCs w:val="28"/>
        </w:rPr>
        <w:t xml:space="preserve">NJ: </w:t>
      </w:r>
      <w:r>
        <w:rPr>
          <w:rFonts w:ascii="Arial Black" w:hAnsi="Arial Black"/>
          <w:bCs/>
          <w:sz w:val="28"/>
          <w:szCs w:val="28"/>
        </w:rPr>
        <w:t xml:space="preserve">RETALIATION - EMS SUPERVISOR FIRED – WOULD NOT GIVE FALSE INFO ON EMT SUING HOSP. FOR SEX HAR.  </w:t>
      </w:r>
    </w:p>
    <w:p w14:paraId="42B29921" w14:textId="77777777" w:rsidR="0012517E" w:rsidRDefault="0012517E" w:rsidP="0012517E">
      <w:pPr>
        <w:pStyle w:val="NoSpacing"/>
        <w:rPr>
          <w:rFonts w:ascii="Arial Black" w:hAnsi="Arial Black"/>
          <w:b/>
          <w:bCs/>
          <w:sz w:val="28"/>
          <w:szCs w:val="28"/>
        </w:rPr>
      </w:pPr>
    </w:p>
    <w:p w14:paraId="58A96AF1" w14:textId="04B44F44" w:rsidR="0012517E" w:rsidRPr="00AE3A49" w:rsidRDefault="0012517E" w:rsidP="0012517E">
      <w:pPr>
        <w:pStyle w:val="NoSpacing"/>
        <w:rPr>
          <w:rFonts w:ascii="Times New Roman" w:hAnsi="Times New Roman"/>
          <w:b/>
          <w:bCs/>
          <w:sz w:val="24"/>
          <w:szCs w:val="24"/>
        </w:rPr>
      </w:pPr>
      <w:r w:rsidRPr="00AE3A49">
        <w:rPr>
          <w:rFonts w:ascii="Times New Roman" w:hAnsi="Times New Roman"/>
          <w:bCs/>
          <w:sz w:val="24"/>
          <w:szCs w:val="24"/>
        </w:rPr>
        <w:t xml:space="preserve">On April 14, 2020, in </w:t>
      </w:r>
      <w:r w:rsidRPr="00AE3A49">
        <w:rPr>
          <w:rFonts w:ascii="Times New Roman" w:hAnsi="Times New Roman"/>
          <w:bCs/>
          <w:sz w:val="24"/>
          <w:szCs w:val="24"/>
          <w:u w:val="single"/>
        </w:rPr>
        <w:t>Emiliano Rio v. Meadowlands Hospital Medical Center</w:t>
      </w:r>
      <w:r w:rsidRPr="00AE3A49">
        <w:rPr>
          <w:rFonts w:ascii="Times New Roman" w:hAnsi="Times New Roman"/>
          <w:bCs/>
          <w:sz w:val="24"/>
          <w:szCs w:val="24"/>
        </w:rPr>
        <w:t xml:space="preserve">, the Superior Court of New Jersey, Appellative Division, held (3 to 0) that the trial court judge improperly granted the hospital’s motion for summary judgement;  the EMS Supervisor’s retaliation lawsuit may now proceed to trial.  </w:t>
      </w:r>
    </w:p>
    <w:p w14:paraId="7678853A" w14:textId="77777777" w:rsidR="0012517E" w:rsidRPr="00AE3A49" w:rsidRDefault="0012517E" w:rsidP="0012517E">
      <w:pPr>
        <w:pStyle w:val="NoSpacing"/>
        <w:rPr>
          <w:rFonts w:ascii="Times New Roman" w:hAnsi="Times New Roman"/>
          <w:b/>
          <w:bCs/>
          <w:sz w:val="24"/>
          <w:szCs w:val="24"/>
        </w:rPr>
      </w:pPr>
    </w:p>
    <w:p w14:paraId="089BEE92" w14:textId="77777777" w:rsidR="0012517E" w:rsidRPr="00AE3A49" w:rsidRDefault="0012517E" w:rsidP="0012517E">
      <w:pPr>
        <w:pStyle w:val="NoSpacing"/>
        <w:ind w:left="720"/>
        <w:rPr>
          <w:rFonts w:ascii="Times New Roman" w:hAnsi="Times New Roman"/>
          <w:b/>
          <w:bCs/>
          <w:sz w:val="24"/>
          <w:szCs w:val="24"/>
        </w:rPr>
      </w:pPr>
      <w:r w:rsidRPr="00AE3A49">
        <w:rPr>
          <w:rFonts w:ascii="Times New Roman" w:hAnsi="Times New Roman"/>
          <w:bCs/>
          <w:sz w:val="24"/>
          <w:szCs w:val="24"/>
        </w:rPr>
        <w:t xml:space="preserve">“Based on our review of the record, we are convinced the motion court erred in its determination plaintiff did not present sufficient evidence establishing the good faith and reasonable basis prerequisite for a LAD retaliatory discharge claim established by our Supreme Court in Carmona v. Resorts </w:t>
      </w:r>
      <w:r w:rsidRPr="00AE3A49">
        <w:rPr>
          <w:rFonts w:ascii="Times New Roman" w:hAnsi="Times New Roman"/>
          <w:bCs/>
          <w:sz w:val="24"/>
          <w:szCs w:val="24"/>
        </w:rPr>
        <w:lastRenderedPageBreak/>
        <w:t xml:space="preserve">International Hotel, Inc., 189 N.J. 354, 372 (2007), and we reverse and remand for further proceedings….The facts proffered by plaintiff, which we accept as true for our analysis of the court's disposition of the summary judgment motion, show defendant attempted to retaliate against Bailey for the filing of her LAD complaint. Following the filing of [Ms.] Bailey's [sexual harassment] complaint, defendant requested plaintiff file a baseless complaint for a restraining order against Bailey; conjure up false complaints about Bailey; and make false statements about her. Those requests constitute an attempt by defendant to commit ‘an unlawful employment practice’ in violation of N.J.S.A. 10:5-12(d)—retaliation against Bailey for her filing of a sexual harassment complaint.” </w:t>
      </w:r>
      <w:hyperlink r:id="rId2255" w:history="1">
        <w:r w:rsidRPr="00AE3A49">
          <w:rPr>
            <w:rStyle w:val="Hyperlink"/>
            <w:rFonts w:ascii="Times New Roman" w:hAnsi="Times New Roman"/>
            <w:b/>
            <w:sz w:val="24"/>
            <w:szCs w:val="24"/>
          </w:rPr>
          <w:t>https://njcourts.gov/attorneys/assets/opinions/appellate/published/a3846-18.pdf?c=Npo</w:t>
        </w:r>
      </w:hyperlink>
      <w:r w:rsidRPr="00AE3A49">
        <w:rPr>
          <w:rFonts w:ascii="Times New Roman" w:hAnsi="Times New Roman"/>
          <w:bCs/>
          <w:sz w:val="24"/>
          <w:szCs w:val="24"/>
        </w:rPr>
        <w:t xml:space="preserve"> </w:t>
      </w:r>
    </w:p>
    <w:p w14:paraId="611C0B1D" w14:textId="77777777" w:rsidR="0012517E" w:rsidRPr="00AE3A49" w:rsidRDefault="0012517E" w:rsidP="0012517E">
      <w:pPr>
        <w:pStyle w:val="NoSpacing"/>
        <w:ind w:left="720"/>
        <w:rPr>
          <w:rFonts w:ascii="Times New Roman" w:hAnsi="Times New Roman"/>
          <w:b/>
          <w:bCs/>
          <w:sz w:val="24"/>
          <w:szCs w:val="24"/>
        </w:rPr>
      </w:pPr>
    </w:p>
    <w:bookmarkEnd w:id="462"/>
    <w:p w14:paraId="1057EFD3" w14:textId="77777777" w:rsidR="0012517E" w:rsidRPr="00AE3A49" w:rsidRDefault="0012517E" w:rsidP="0012517E">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Employers sued for sexual harassment must be extremely careful in discussions with employees about their dealings with the plaintiff.   It is often best to leave this to legal counsel. </w:t>
      </w:r>
    </w:p>
    <w:p w14:paraId="18983AEF" w14:textId="77777777" w:rsidR="0012517E" w:rsidRPr="00AE3A49" w:rsidRDefault="0012517E" w:rsidP="0012517E">
      <w:pPr>
        <w:pStyle w:val="NoSpacing"/>
        <w:ind w:left="720"/>
        <w:rPr>
          <w:rFonts w:ascii="Times New Roman" w:hAnsi="Times New Roman"/>
          <w:b/>
          <w:bCs/>
          <w:sz w:val="24"/>
          <w:szCs w:val="24"/>
        </w:rPr>
      </w:pPr>
    </w:p>
    <w:p w14:paraId="43D19246" w14:textId="77777777" w:rsidR="0012517E" w:rsidRDefault="0012517E" w:rsidP="002B1283">
      <w:pPr>
        <w:rPr>
          <w:rFonts w:ascii="Arial Black" w:hAnsi="Arial Black"/>
          <w:b/>
          <w:bCs/>
          <w:sz w:val="28"/>
          <w:szCs w:val="28"/>
        </w:rPr>
      </w:pPr>
    </w:p>
    <w:p w14:paraId="4D6EBAAE" w14:textId="1AF85495" w:rsidR="0012517E" w:rsidRDefault="0012517E" w:rsidP="002B1283">
      <w:pPr>
        <w:rPr>
          <w:rFonts w:ascii="Arial Black" w:hAnsi="Arial Black"/>
          <w:b/>
          <w:bCs/>
          <w:sz w:val="28"/>
          <w:szCs w:val="28"/>
        </w:rPr>
      </w:pPr>
      <w:r>
        <w:rPr>
          <w:rFonts w:ascii="Arial Black" w:hAnsi="Arial Black"/>
          <w:b/>
          <w:bCs/>
          <w:sz w:val="28"/>
          <w:szCs w:val="28"/>
        </w:rPr>
        <w:t>13-50</w:t>
      </w:r>
    </w:p>
    <w:p w14:paraId="41A015E7" w14:textId="77777777" w:rsidR="0012517E" w:rsidRPr="009F24CE" w:rsidRDefault="0012517E" w:rsidP="0012517E">
      <w:pPr>
        <w:pStyle w:val="NoSpacing"/>
        <w:rPr>
          <w:rFonts w:ascii="Arial Black" w:hAnsi="Arial Black"/>
          <w:sz w:val="28"/>
          <w:szCs w:val="28"/>
        </w:rPr>
      </w:pPr>
      <w:bookmarkStart w:id="463" w:name="_Hlk39772341"/>
      <w:r w:rsidRPr="009F24CE">
        <w:rPr>
          <w:rFonts w:ascii="Arial Black" w:hAnsi="Arial Black"/>
          <w:sz w:val="28"/>
          <w:szCs w:val="28"/>
        </w:rPr>
        <w:t xml:space="preserve">PA: </w:t>
      </w:r>
      <w:r>
        <w:rPr>
          <w:rFonts w:ascii="Arial Black" w:hAnsi="Arial Black"/>
          <w:sz w:val="28"/>
          <w:szCs w:val="28"/>
        </w:rPr>
        <w:t xml:space="preserve">CORONA VIRUS – POL. CANDIDATE, </w:t>
      </w:r>
      <w:r w:rsidRPr="009F24CE">
        <w:rPr>
          <w:rFonts w:ascii="Arial Black" w:hAnsi="Arial Black"/>
          <w:sz w:val="28"/>
          <w:szCs w:val="28"/>
        </w:rPr>
        <w:t>REAL ESTATE</w:t>
      </w:r>
      <w:r>
        <w:rPr>
          <w:rFonts w:ascii="Arial Black" w:hAnsi="Arial Black"/>
          <w:sz w:val="28"/>
          <w:szCs w:val="28"/>
        </w:rPr>
        <w:t xml:space="preserve"> AGENT</w:t>
      </w:r>
      <w:r w:rsidRPr="009F24CE">
        <w:rPr>
          <w:rFonts w:ascii="Arial Black" w:hAnsi="Arial Black"/>
          <w:sz w:val="28"/>
          <w:szCs w:val="28"/>
        </w:rPr>
        <w:t>, GOLF COURSE</w:t>
      </w:r>
      <w:r>
        <w:rPr>
          <w:rFonts w:ascii="Arial Black" w:hAnsi="Arial Black"/>
          <w:sz w:val="28"/>
          <w:szCs w:val="28"/>
        </w:rPr>
        <w:t xml:space="preserve"> SHUT DOWN - TRO DENIED</w:t>
      </w:r>
    </w:p>
    <w:p w14:paraId="35751ADB" w14:textId="77777777" w:rsidR="0012517E" w:rsidRDefault="0012517E" w:rsidP="0012517E">
      <w:pPr>
        <w:pStyle w:val="NoSpacing"/>
        <w:rPr>
          <w:b/>
          <w:bCs/>
          <w:sz w:val="24"/>
          <w:szCs w:val="24"/>
        </w:rPr>
      </w:pPr>
    </w:p>
    <w:p w14:paraId="68941886" w14:textId="77777777" w:rsidR="0012517E" w:rsidRPr="00AE3A49" w:rsidRDefault="0012517E" w:rsidP="0012517E">
      <w:pPr>
        <w:pStyle w:val="NoSpacing"/>
        <w:rPr>
          <w:rFonts w:ascii="Times New Roman" w:hAnsi="Times New Roman"/>
          <w:b/>
          <w:bCs/>
          <w:sz w:val="24"/>
          <w:szCs w:val="24"/>
        </w:rPr>
      </w:pPr>
      <w:r w:rsidRPr="00AE3A49">
        <w:rPr>
          <w:rFonts w:ascii="Times New Roman" w:hAnsi="Times New Roman"/>
          <w:bCs/>
          <w:sz w:val="24"/>
          <w:szCs w:val="24"/>
        </w:rPr>
        <w:t xml:space="preserve">On April 13, 2020, in </w:t>
      </w:r>
      <w:r w:rsidRPr="00AE3A49">
        <w:rPr>
          <w:rFonts w:ascii="Times New Roman" w:hAnsi="Times New Roman"/>
          <w:bCs/>
          <w:sz w:val="24"/>
          <w:szCs w:val="24"/>
          <w:u w:val="single"/>
        </w:rPr>
        <w:t>Friends of Danny Devito, et al. v. Tom Wolf, Governor</w:t>
      </w:r>
      <w:r w:rsidRPr="00AE3A49">
        <w:rPr>
          <w:rFonts w:ascii="Times New Roman" w:hAnsi="Times New Roman"/>
          <w:bCs/>
          <w:sz w:val="24"/>
          <w:szCs w:val="24"/>
        </w:rPr>
        <w:t xml:space="preserve">, Supreme Court of Pennsylvania, Middle District, the Court held (4 to 3), that Governor lawfully declared an Emergency, and he could shut down their businesses: Candidate for PA House of Representatives; real estate agent; public golf course and restaurant. </w:t>
      </w:r>
    </w:p>
    <w:p w14:paraId="147DCC23" w14:textId="77777777" w:rsidR="0012517E" w:rsidRPr="00AE3A49" w:rsidRDefault="0012517E" w:rsidP="0012517E">
      <w:pPr>
        <w:pStyle w:val="NoSpacing"/>
        <w:rPr>
          <w:rFonts w:ascii="Times New Roman" w:hAnsi="Times New Roman"/>
          <w:b/>
          <w:bCs/>
          <w:sz w:val="24"/>
          <w:szCs w:val="24"/>
        </w:rPr>
      </w:pPr>
    </w:p>
    <w:p w14:paraId="44BB216A" w14:textId="14519AEE" w:rsidR="0012517E" w:rsidRDefault="0012517E" w:rsidP="0012517E">
      <w:pPr>
        <w:pStyle w:val="NoSpacing"/>
        <w:ind w:left="720"/>
        <w:rPr>
          <w:rFonts w:ascii="Times New Roman" w:hAnsi="Times New Roman"/>
          <w:bCs/>
          <w:sz w:val="24"/>
          <w:szCs w:val="24"/>
        </w:rPr>
      </w:pPr>
      <w:r w:rsidRPr="00AE3A49">
        <w:rPr>
          <w:rFonts w:ascii="Times New Roman" w:hAnsi="Times New Roman"/>
          <w:bCs/>
          <w:sz w:val="24"/>
          <w:szCs w:val="24"/>
        </w:rPr>
        <w:t xml:space="preserve">“Petitioners are four Pennsylvania businesses and one individual seeking extraordinary relief from Governor Wolf’s March 19, 2020 order (the ‘Executive Order’) compelling the closure of the physical operations of all non-life-sustaining business to reduce the spread of the novel coronavirus disease (‘COVID-19’).The businesses of the Petitioners were classified as non-life-sustaining…. Petitioners suggest that the public </w:t>
      </w:r>
    </w:p>
    <w:p w14:paraId="59FDA9FC" w14:textId="77777777" w:rsidR="0012517E" w:rsidRPr="00AE3A49" w:rsidRDefault="0012517E" w:rsidP="0012517E">
      <w:pPr>
        <w:pStyle w:val="NoSpacing"/>
        <w:ind w:left="720"/>
        <w:rPr>
          <w:rFonts w:ascii="Times New Roman" w:hAnsi="Times New Roman"/>
          <w:b/>
          <w:bCs/>
          <w:sz w:val="24"/>
          <w:szCs w:val="24"/>
        </w:rPr>
      </w:pPr>
      <w:r w:rsidRPr="00AE3A49">
        <w:rPr>
          <w:rFonts w:ascii="Times New Roman" w:hAnsi="Times New Roman"/>
          <w:bCs/>
          <w:sz w:val="24"/>
          <w:szCs w:val="24"/>
        </w:rPr>
        <w:t xml:space="preserve">interest would best be served by keeping businesses open to maintain the free flow of business. Although they cite to none, we are certain that there are some economists and social scientists who support that policy position. But the policy choice in this emergency was for the Governor and the Secretary to make and so long as the means chosen to meet the emergency are reasonably necessary for the purpose of combating the ravages of COVID-19, it is supported by the police power. The choice made by the Respondents was tailored to the nature of the emergency and utilized a recognized tool, business closures, to enforce social distancing to mitigate and suppress the continued spread of COVID-19. </w:t>
      </w:r>
      <w:hyperlink r:id="rId2256" w:history="1">
        <w:r w:rsidRPr="00AE3A49">
          <w:rPr>
            <w:rStyle w:val="Hyperlink"/>
            <w:rFonts w:ascii="Times New Roman" w:hAnsi="Times New Roman"/>
            <w:b/>
            <w:sz w:val="24"/>
            <w:szCs w:val="24"/>
          </w:rPr>
          <w:t>http://www.pacourts.us/assets/opinions/Supreme/out/68MM2020mo%20-%2010439399799476700.pdf?cb=1</w:t>
        </w:r>
      </w:hyperlink>
      <w:r w:rsidRPr="00AE3A49">
        <w:rPr>
          <w:rFonts w:ascii="Times New Roman" w:hAnsi="Times New Roman"/>
          <w:bCs/>
          <w:sz w:val="24"/>
          <w:szCs w:val="24"/>
        </w:rPr>
        <w:t xml:space="preserve"> </w:t>
      </w:r>
    </w:p>
    <w:bookmarkEnd w:id="463"/>
    <w:p w14:paraId="736F1783" w14:textId="77777777" w:rsidR="0012517E" w:rsidRPr="00AE3A49" w:rsidRDefault="0012517E" w:rsidP="0012517E">
      <w:pPr>
        <w:pStyle w:val="Heading1"/>
        <w:rPr>
          <w:bCs w:val="0"/>
          <w:sz w:val="24"/>
          <w:szCs w:val="24"/>
        </w:rPr>
      </w:pPr>
      <w:r w:rsidRPr="00AE3A49">
        <w:rPr>
          <w:bCs w:val="0"/>
          <w:sz w:val="24"/>
          <w:szCs w:val="24"/>
        </w:rPr>
        <w:t xml:space="preserve">Legal Lessons Learned:  Governor has broad emergency powers under State statutes. </w:t>
      </w:r>
    </w:p>
    <w:p w14:paraId="07E5FD2C" w14:textId="77777777" w:rsidR="0012517E" w:rsidRPr="00AE3A49" w:rsidRDefault="0012517E" w:rsidP="0012517E">
      <w:pPr>
        <w:pStyle w:val="Heading1"/>
        <w:ind w:left="720"/>
        <w:rPr>
          <w:b w:val="0"/>
          <w:bCs w:val="0"/>
          <w:sz w:val="24"/>
          <w:szCs w:val="24"/>
        </w:rPr>
      </w:pPr>
      <w:r w:rsidRPr="00AE3A49">
        <w:rPr>
          <w:b w:val="0"/>
          <w:sz w:val="24"/>
          <w:szCs w:val="24"/>
        </w:rPr>
        <w:t xml:space="preserve">Note: See newspaper article on the decision: “Split Pa. Supreme Court rejects latest challenge to Gov. Wolf’s coronavirus business shutdown order,” </w:t>
      </w:r>
      <w:hyperlink r:id="rId2257" w:history="1">
        <w:r w:rsidRPr="00AE3A49">
          <w:rPr>
            <w:rStyle w:val="Hyperlink"/>
            <w:sz w:val="24"/>
            <w:szCs w:val="24"/>
          </w:rPr>
          <w:t>https://www.pennlive.com/news/2020/04/split-pa-supreme-court-rejects-latest-challenge-to-gov-wolfs-coronavirus-business-shutdown-order.html</w:t>
        </w:r>
      </w:hyperlink>
      <w:r w:rsidRPr="00AE3A49">
        <w:rPr>
          <w:b w:val="0"/>
          <w:bCs w:val="0"/>
          <w:sz w:val="24"/>
          <w:szCs w:val="24"/>
        </w:rPr>
        <w:t xml:space="preserve"> </w:t>
      </w:r>
    </w:p>
    <w:p w14:paraId="12C7EEB2" w14:textId="77777777" w:rsidR="0012517E" w:rsidRDefault="0012517E" w:rsidP="002B1283">
      <w:pPr>
        <w:rPr>
          <w:rFonts w:ascii="Arial Black" w:hAnsi="Arial Black"/>
          <w:b/>
          <w:bCs/>
          <w:sz w:val="28"/>
          <w:szCs w:val="28"/>
        </w:rPr>
      </w:pPr>
    </w:p>
    <w:p w14:paraId="3BF8FAE3" w14:textId="2BFC8D5D" w:rsidR="0012517E" w:rsidRDefault="0012517E" w:rsidP="002B1283">
      <w:pPr>
        <w:rPr>
          <w:rFonts w:ascii="Arial Black" w:hAnsi="Arial Black"/>
          <w:b/>
          <w:bCs/>
          <w:sz w:val="28"/>
          <w:szCs w:val="28"/>
        </w:rPr>
      </w:pPr>
      <w:r>
        <w:rPr>
          <w:rFonts w:ascii="Arial Black" w:hAnsi="Arial Black"/>
          <w:b/>
          <w:bCs/>
          <w:sz w:val="28"/>
          <w:szCs w:val="28"/>
        </w:rPr>
        <w:t>13-49</w:t>
      </w:r>
    </w:p>
    <w:p w14:paraId="14C2C218" w14:textId="77777777" w:rsidR="0012517E" w:rsidRPr="009F24CE" w:rsidRDefault="0012517E" w:rsidP="0012517E">
      <w:pPr>
        <w:pStyle w:val="NoSpacing"/>
        <w:rPr>
          <w:rFonts w:ascii="Arial Black" w:hAnsi="Arial Black"/>
          <w:b/>
          <w:bCs/>
          <w:sz w:val="28"/>
          <w:szCs w:val="28"/>
        </w:rPr>
      </w:pPr>
      <w:bookmarkStart w:id="464" w:name="_Hlk38437864"/>
      <w:bookmarkStart w:id="465" w:name="_Hlk39772406"/>
      <w:r w:rsidRPr="009F24CE">
        <w:rPr>
          <w:rFonts w:ascii="Arial Black" w:hAnsi="Arial Black"/>
          <w:bCs/>
          <w:sz w:val="28"/>
          <w:szCs w:val="28"/>
        </w:rPr>
        <w:lastRenderedPageBreak/>
        <w:t xml:space="preserve">KS: </w:t>
      </w:r>
      <w:r>
        <w:rPr>
          <w:rFonts w:ascii="Arial Black" w:hAnsi="Arial Black"/>
          <w:bCs/>
          <w:sz w:val="28"/>
          <w:szCs w:val="28"/>
        </w:rPr>
        <w:t xml:space="preserve">CORONA VIRUS – STATE LEGISLATIVE COMMITTEE CAN’T OVERRULE GOVERNOR’S LIMITS 10 PEOPLE </w:t>
      </w:r>
    </w:p>
    <w:p w14:paraId="0E9CCFDD" w14:textId="77777777" w:rsidR="0012517E" w:rsidRDefault="0012517E" w:rsidP="0012517E">
      <w:pPr>
        <w:pStyle w:val="NoSpacing"/>
        <w:ind w:left="720"/>
        <w:rPr>
          <w:b/>
          <w:bCs/>
          <w:sz w:val="24"/>
          <w:szCs w:val="24"/>
        </w:rPr>
      </w:pPr>
    </w:p>
    <w:p w14:paraId="30DF0D27" w14:textId="77777777" w:rsidR="0012517E" w:rsidRPr="00D61723" w:rsidRDefault="0012517E" w:rsidP="0012517E">
      <w:pPr>
        <w:pStyle w:val="NoSpacing"/>
        <w:rPr>
          <w:rFonts w:ascii="Times New Roman" w:hAnsi="Times New Roman"/>
          <w:b/>
          <w:bCs/>
          <w:sz w:val="24"/>
          <w:szCs w:val="24"/>
        </w:rPr>
      </w:pPr>
      <w:r w:rsidRPr="00D61723">
        <w:rPr>
          <w:rFonts w:ascii="Times New Roman" w:hAnsi="Times New Roman"/>
          <w:bCs/>
          <w:sz w:val="24"/>
          <w:szCs w:val="24"/>
        </w:rPr>
        <w:t xml:space="preserve">On April 11, 2020, in </w:t>
      </w:r>
      <w:r w:rsidRPr="00D61723">
        <w:rPr>
          <w:rFonts w:ascii="Times New Roman" w:hAnsi="Times New Roman"/>
          <w:bCs/>
          <w:sz w:val="24"/>
          <w:szCs w:val="24"/>
          <w:u w:val="single"/>
        </w:rPr>
        <w:t>Governor Laura Kelly v. Legislative Coordinating Council, Kansas House of Representatives, and Kansas Senate</w:t>
      </w:r>
      <w:r w:rsidRPr="00D61723">
        <w:rPr>
          <w:rFonts w:ascii="Times New Roman" w:hAnsi="Times New Roman"/>
          <w:bCs/>
          <w:sz w:val="24"/>
          <w:szCs w:val="24"/>
        </w:rPr>
        <w:t>, the Kansas Supreme Court held (7 to 0) that the Legislative Council cannot revoke an Executive Order of the Governor.  On April 8, the LCC convened pursuant to HCR5025. By 5-to-2vote, it revoked Executive Order 20-18.</w:t>
      </w:r>
    </w:p>
    <w:bookmarkEnd w:id="464"/>
    <w:p w14:paraId="78087006" w14:textId="77777777" w:rsidR="0012517E" w:rsidRPr="00D61723" w:rsidRDefault="0012517E" w:rsidP="0012517E">
      <w:pPr>
        <w:pStyle w:val="NoSpacing"/>
        <w:ind w:left="720"/>
        <w:rPr>
          <w:rFonts w:ascii="Times New Roman" w:hAnsi="Times New Roman"/>
          <w:b/>
          <w:bCs/>
          <w:sz w:val="24"/>
          <w:szCs w:val="24"/>
        </w:rPr>
      </w:pPr>
    </w:p>
    <w:p w14:paraId="76BE94BB" w14:textId="77777777" w:rsidR="0012517E" w:rsidRPr="00D61723" w:rsidRDefault="0012517E" w:rsidP="0012517E">
      <w:pPr>
        <w:pStyle w:val="NoSpacing"/>
        <w:ind w:left="720"/>
        <w:rPr>
          <w:rFonts w:ascii="Times New Roman" w:hAnsi="Times New Roman"/>
          <w:b/>
          <w:bCs/>
          <w:sz w:val="24"/>
          <w:szCs w:val="24"/>
        </w:rPr>
      </w:pPr>
      <w:r w:rsidRPr="00D61723">
        <w:rPr>
          <w:rFonts w:ascii="Times New Roman" w:hAnsi="Times New Roman"/>
          <w:bCs/>
          <w:sz w:val="24"/>
          <w:szCs w:val="24"/>
        </w:rPr>
        <w:t xml:space="preserve">“On April 7, Governor Kelly used her K.S.A. 2019 Supp. 48-925(b) powers to issue Executive Order 20-18, relating to her March 12 emergency proclamation. Among other things, it </w:t>
      </w:r>
      <w:proofErr w:type="gramStart"/>
      <w:r w:rsidRPr="00D61723">
        <w:rPr>
          <w:rFonts w:ascii="Times New Roman" w:hAnsi="Times New Roman"/>
          <w:bCs/>
          <w:sz w:val="24"/>
          <w:szCs w:val="24"/>
        </w:rPr>
        <w:t>temporarily</w:t>
      </w:r>
      <w:proofErr w:type="gramEnd"/>
      <w:r w:rsidRPr="00D61723">
        <w:rPr>
          <w:rFonts w:ascii="Times New Roman" w:hAnsi="Times New Roman"/>
          <w:bCs/>
          <w:sz w:val="24"/>
          <w:szCs w:val="24"/>
        </w:rPr>
        <w:t xml:space="preserve"> prohibited, subject to several </w:t>
      </w:r>
      <w:proofErr w:type="gramStart"/>
      <w:r w:rsidRPr="00D61723">
        <w:rPr>
          <w:rFonts w:ascii="Times New Roman" w:hAnsi="Times New Roman"/>
          <w:bCs/>
          <w:sz w:val="24"/>
          <w:szCs w:val="24"/>
        </w:rPr>
        <w:t>exemptions, ‘</w:t>
      </w:r>
      <w:proofErr w:type="gramEnd"/>
      <w:r w:rsidRPr="00D61723">
        <w:rPr>
          <w:rFonts w:ascii="Times New Roman" w:hAnsi="Times New Roman"/>
          <w:bCs/>
          <w:sz w:val="24"/>
          <w:szCs w:val="24"/>
        </w:rPr>
        <w:t>mass gatherings,’ defined as ‘any planned or spontaneous, public or private event[s] or convening[s] that will bring together or [are] likely to bring together more than 10 people in a confined or enclosed space at the same time.’ Executive Order 20-18 rescinded and replaced an earlier, substantially similar executive order. But Executive Order 20-18 differed in that it removed ‘[r]</w:t>
      </w:r>
      <w:proofErr w:type="spellStart"/>
      <w:r w:rsidRPr="00D61723">
        <w:rPr>
          <w:rFonts w:ascii="Times New Roman" w:hAnsi="Times New Roman"/>
          <w:bCs/>
          <w:sz w:val="24"/>
          <w:szCs w:val="24"/>
        </w:rPr>
        <w:t>eligious</w:t>
      </w:r>
      <w:proofErr w:type="spellEnd"/>
      <w:r w:rsidRPr="00D61723">
        <w:rPr>
          <w:rFonts w:ascii="Times New Roman" w:hAnsi="Times New Roman"/>
          <w:bCs/>
          <w:sz w:val="24"/>
          <w:szCs w:val="24"/>
        </w:rPr>
        <w:t xml:space="preserve"> gatherings’ and ‘[f]unreal or memorial services or ceremonies’ from the list of ‘activities or facilities’ exempt from the temporary prohibition of mass gatherings…. The Court has considered and grants in part the Governor's Petition in Quo Warranto. The LCC's purported revocation of Executive Order20-18 on April 8 was a nullity, because the LCC lacked authority do so under HCR5025's terms.” </w:t>
      </w:r>
      <w:bookmarkStart w:id="466" w:name="_Hlk38437889"/>
      <w:r w:rsidRPr="00D61723">
        <w:fldChar w:fldCharType="begin"/>
      </w:r>
      <w:r w:rsidRPr="00D61723">
        <w:rPr>
          <w:rFonts w:ascii="Times New Roman" w:hAnsi="Times New Roman"/>
          <w:sz w:val="24"/>
          <w:szCs w:val="24"/>
        </w:rPr>
        <w:instrText xml:space="preserve"> HYPERLINK "https://www.kscourts.org/KSCourts/media/KsCourts/Opinions/122765.pdf" </w:instrText>
      </w:r>
      <w:r w:rsidRPr="00D61723">
        <w:fldChar w:fldCharType="separate"/>
      </w:r>
      <w:r w:rsidRPr="00D61723">
        <w:rPr>
          <w:rStyle w:val="Hyperlink"/>
          <w:rFonts w:ascii="Times New Roman" w:hAnsi="Times New Roman"/>
          <w:b/>
          <w:sz w:val="24"/>
          <w:szCs w:val="24"/>
        </w:rPr>
        <w:t>https://www.kscourts.org/KSCourts/media/KsCourts/Opinions/122765.pdf</w:t>
      </w:r>
      <w:r w:rsidRPr="00D61723">
        <w:rPr>
          <w:rStyle w:val="Hyperlink"/>
          <w:rFonts w:ascii="Times New Roman" w:hAnsi="Times New Roman"/>
          <w:b/>
          <w:bCs/>
          <w:sz w:val="24"/>
          <w:szCs w:val="24"/>
        </w:rPr>
        <w:fldChar w:fldCharType="end"/>
      </w:r>
      <w:r w:rsidRPr="00D61723">
        <w:rPr>
          <w:rFonts w:ascii="Times New Roman" w:hAnsi="Times New Roman"/>
          <w:bCs/>
          <w:sz w:val="24"/>
          <w:szCs w:val="24"/>
        </w:rPr>
        <w:t xml:space="preserve"> </w:t>
      </w:r>
    </w:p>
    <w:bookmarkEnd w:id="465"/>
    <w:bookmarkEnd w:id="466"/>
    <w:p w14:paraId="085CC232" w14:textId="77777777" w:rsidR="0012517E" w:rsidRPr="00D61723" w:rsidRDefault="0012517E" w:rsidP="0012517E">
      <w:pPr>
        <w:spacing w:before="100" w:beforeAutospacing="1" w:after="100" w:afterAutospacing="1" w:line="240" w:lineRule="auto"/>
        <w:rPr>
          <w:rFonts w:ascii="Times New Roman" w:hAnsi="Times New Roman"/>
          <w:b/>
          <w:bCs/>
          <w:sz w:val="24"/>
          <w:szCs w:val="24"/>
        </w:rPr>
      </w:pPr>
      <w:r w:rsidRPr="00D61723">
        <w:rPr>
          <w:rFonts w:ascii="Times New Roman" w:hAnsi="Times New Roman"/>
          <w:b/>
          <w:bCs/>
          <w:sz w:val="24"/>
          <w:szCs w:val="24"/>
        </w:rPr>
        <w:t xml:space="preserve">Legal Lessons Learned:  A Legislative Committee does not have power to overturn Governor. </w:t>
      </w:r>
    </w:p>
    <w:p w14:paraId="6992C02B" w14:textId="77777777" w:rsidR="0012517E" w:rsidRPr="00D61723" w:rsidRDefault="0012517E" w:rsidP="0012517E">
      <w:pPr>
        <w:spacing w:before="100" w:beforeAutospacing="1" w:after="100" w:afterAutospacing="1" w:line="240" w:lineRule="auto"/>
        <w:ind w:left="720"/>
        <w:rPr>
          <w:rFonts w:ascii="Times New Roman" w:eastAsia="Times New Roman" w:hAnsi="Times New Roman"/>
          <w:sz w:val="24"/>
          <w:szCs w:val="24"/>
        </w:rPr>
      </w:pPr>
      <w:r w:rsidRPr="00D61723">
        <w:rPr>
          <w:rFonts w:ascii="Times New Roman" w:hAnsi="Times New Roman"/>
          <w:sz w:val="24"/>
          <w:szCs w:val="24"/>
        </w:rPr>
        <w:t>Note:</w:t>
      </w:r>
      <w:r w:rsidRPr="00D61723">
        <w:rPr>
          <w:rFonts w:ascii="Times New Roman" w:hAnsi="Times New Roman"/>
          <w:b/>
          <w:bCs/>
          <w:sz w:val="24"/>
          <w:szCs w:val="24"/>
        </w:rPr>
        <w:t xml:space="preserve"> </w:t>
      </w:r>
      <w:r w:rsidRPr="00D61723">
        <w:rPr>
          <w:rFonts w:ascii="Times New Roman" w:hAnsi="Times New Roman"/>
          <w:sz w:val="24"/>
          <w:szCs w:val="24"/>
        </w:rPr>
        <w:t xml:space="preserve">See the April 12, </w:t>
      </w:r>
      <w:proofErr w:type="gramStart"/>
      <w:r w:rsidRPr="00D61723">
        <w:rPr>
          <w:rFonts w:ascii="Times New Roman" w:hAnsi="Times New Roman"/>
          <w:sz w:val="24"/>
          <w:szCs w:val="24"/>
        </w:rPr>
        <w:t>2020</w:t>
      </w:r>
      <w:proofErr w:type="gramEnd"/>
      <w:r w:rsidRPr="00D61723">
        <w:rPr>
          <w:rFonts w:ascii="Times New Roman" w:hAnsi="Times New Roman"/>
          <w:sz w:val="24"/>
          <w:szCs w:val="24"/>
        </w:rPr>
        <w:t xml:space="preserve"> article about this decision:</w:t>
      </w:r>
      <w:r w:rsidRPr="00D61723">
        <w:rPr>
          <w:rFonts w:ascii="Times New Roman" w:hAnsi="Times New Roman"/>
          <w:b/>
          <w:bCs/>
          <w:sz w:val="24"/>
          <w:szCs w:val="24"/>
        </w:rPr>
        <w:t xml:space="preserve"> “</w:t>
      </w:r>
      <w:r w:rsidRPr="00D61723">
        <w:rPr>
          <w:rFonts w:ascii="Times New Roman" w:eastAsia="Times New Roman" w:hAnsi="Times New Roman"/>
          <w:kern w:val="36"/>
          <w:sz w:val="24"/>
          <w:szCs w:val="24"/>
        </w:rPr>
        <w:t xml:space="preserve">Kansas Supreme Court Upholds Governor's Order Limiting </w:t>
      </w:r>
      <w:proofErr w:type="gramStart"/>
      <w:r w:rsidRPr="00D61723">
        <w:rPr>
          <w:rFonts w:ascii="Times New Roman" w:eastAsia="Times New Roman" w:hAnsi="Times New Roman"/>
          <w:kern w:val="36"/>
          <w:sz w:val="24"/>
          <w:szCs w:val="24"/>
        </w:rPr>
        <w:t>The</w:t>
      </w:r>
      <w:proofErr w:type="gramEnd"/>
      <w:r w:rsidRPr="00D61723">
        <w:rPr>
          <w:rFonts w:ascii="Times New Roman" w:eastAsia="Times New Roman" w:hAnsi="Times New Roman"/>
          <w:kern w:val="36"/>
          <w:sz w:val="24"/>
          <w:szCs w:val="24"/>
        </w:rPr>
        <w:t xml:space="preserve"> Size </w:t>
      </w:r>
      <w:proofErr w:type="gramStart"/>
      <w:r w:rsidRPr="00D61723">
        <w:rPr>
          <w:rFonts w:ascii="Times New Roman" w:eastAsia="Times New Roman" w:hAnsi="Times New Roman"/>
          <w:kern w:val="36"/>
          <w:sz w:val="24"/>
          <w:szCs w:val="24"/>
        </w:rPr>
        <w:t>Of</w:t>
      </w:r>
      <w:proofErr w:type="gramEnd"/>
      <w:r w:rsidRPr="00D61723">
        <w:rPr>
          <w:rFonts w:ascii="Times New Roman" w:eastAsia="Times New Roman" w:hAnsi="Times New Roman"/>
          <w:kern w:val="36"/>
          <w:sz w:val="24"/>
          <w:szCs w:val="24"/>
        </w:rPr>
        <w:t xml:space="preserve"> Easter Services,”  </w:t>
      </w:r>
      <w:hyperlink r:id="rId2258" w:history="1">
        <w:r w:rsidRPr="00D61723">
          <w:rPr>
            <w:rStyle w:val="Hyperlink"/>
            <w:rFonts w:ascii="Times New Roman" w:hAnsi="Times New Roman"/>
            <w:sz w:val="24"/>
            <w:szCs w:val="24"/>
          </w:rPr>
          <w:t>https://www.npr.org/sections/coronavirus-live-updates/2020/04/12/832644243/kansas-supreme-court-upholds-governors-order-limiting-the-size-of-easter-service</w:t>
        </w:r>
      </w:hyperlink>
      <w:r w:rsidRPr="00D61723">
        <w:rPr>
          <w:rFonts w:ascii="Times New Roman" w:eastAsia="Times New Roman" w:hAnsi="Times New Roman"/>
          <w:sz w:val="24"/>
          <w:szCs w:val="24"/>
        </w:rPr>
        <w:t xml:space="preserve"> </w:t>
      </w:r>
    </w:p>
    <w:p w14:paraId="6A51E4A8" w14:textId="77777777" w:rsidR="0012517E" w:rsidRDefault="0012517E" w:rsidP="002B1283">
      <w:pPr>
        <w:rPr>
          <w:rFonts w:ascii="Arial Black" w:hAnsi="Arial Black"/>
          <w:b/>
          <w:bCs/>
          <w:sz w:val="28"/>
          <w:szCs w:val="28"/>
        </w:rPr>
      </w:pPr>
    </w:p>
    <w:p w14:paraId="02BAA80F" w14:textId="30E285CA" w:rsidR="0012517E" w:rsidRDefault="0012517E" w:rsidP="002B1283">
      <w:pPr>
        <w:rPr>
          <w:rFonts w:ascii="Arial Black" w:hAnsi="Arial Black"/>
          <w:b/>
          <w:bCs/>
          <w:sz w:val="28"/>
          <w:szCs w:val="28"/>
        </w:rPr>
      </w:pPr>
      <w:r>
        <w:rPr>
          <w:rFonts w:ascii="Arial Black" w:hAnsi="Arial Black"/>
          <w:b/>
          <w:bCs/>
          <w:sz w:val="28"/>
          <w:szCs w:val="28"/>
        </w:rPr>
        <w:t>13-48</w:t>
      </w:r>
    </w:p>
    <w:p w14:paraId="4E9F5E3B" w14:textId="77777777" w:rsidR="0012517E" w:rsidRDefault="0012517E" w:rsidP="0012517E">
      <w:pPr>
        <w:pStyle w:val="NoSpacing"/>
      </w:pPr>
      <w:bookmarkStart w:id="467" w:name="_Hlk39819679"/>
      <w:r>
        <w:rPr>
          <w:rFonts w:ascii="Arial Black" w:hAnsi="Arial Black"/>
          <w:sz w:val="28"/>
          <w:szCs w:val="28"/>
        </w:rPr>
        <w:t>TX: EMS CHECKED OUT OVERDOSE PATIENT AT SCENE – HIT HIS HEAD 40+ POLICE CRUISER GOING JAIL – DIED - EMS IMMUNITY, NOT PD</w:t>
      </w:r>
    </w:p>
    <w:p w14:paraId="52EED673" w14:textId="77777777" w:rsidR="0012517E" w:rsidRDefault="0012517E" w:rsidP="0012517E">
      <w:pPr>
        <w:pStyle w:val="NoSpacing"/>
        <w:rPr>
          <w:b/>
          <w:bCs/>
          <w:sz w:val="24"/>
          <w:szCs w:val="24"/>
        </w:rPr>
      </w:pPr>
    </w:p>
    <w:p w14:paraId="2FA5CB87" w14:textId="740F405A" w:rsidR="0012517E" w:rsidRPr="00D61723" w:rsidRDefault="0012517E" w:rsidP="0012517E">
      <w:pPr>
        <w:pStyle w:val="NoSpacing"/>
        <w:rPr>
          <w:rFonts w:ascii="Times New Roman" w:hAnsi="Times New Roman"/>
          <w:b/>
          <w:bCs/>
          <w:sz w:val="24"/>
          <w:szCs w:val="24"/>
        </w:rPr>
      </w:pPr>
      <w:r w:rsidRPr="00D61723">
        <w:rPr>
          <w:rFonts w:ascii="Times New Roman" w:hAnsi="Times New Roman"/>
          <w:bCs/>
          <w:sz w:val="24"/>
          <w:szCs w:val="24"/>
        </w:rPr>
        <w:t xml:space="preserve">On April 9, 2020, in </w:t>
      </w:r>
      <w:r w:rsidRPr="00D61723">
        <w:rPr>
          <w:rFonts w:ascii="Times New Roman" w:hAnsi="Times New Roman"/>
          <w:bCs/>
          <w:sz w:val="24"/>
          <w:szCs w:val="24"/>
          <w:u w:val="single"/>
        </w:rPr>
        <w:t>Kathy Dyer &amp; Robert Dyer  v. Richard Houston, et al.</w:t>
      </w:r>
      <w:r w:rsidRPr="00D61723">
        <w:rPr>
          <w:rFonts w:ascii="Times New Roman" w:hAnsi="Times New Roman"/>
          <w:bCs/>
          <w:sz w:val="24"/>
          <w:szCs w:val="24"/>
        </w:rPr>
        <w:t>, the U.S. Court of Appeals for the 5</w:t>
      </w:r>
      <w:r w:rsidRPr="00D61723">
        <w:rPr>
          <w:rFonts w:ascii="Times New Roman" w:hAnsi="Times New Roman"/>
          <w:bCs/>
          <w:sz w:val="24"/>
          <w:szCs w:val="24"/>
          <w:vertAlign w:val="superscript"/>
        </w:rPr>
        <w:t>th</w:t>
      </w:r>
      <w:r w:rsidRPr="00D61723">
        <w:rPr>
          <w:rFonts w:ascii="Times New Roman" w:hAnsi="Times New Roman"/>
          <w:bCs/>
          <w:sz w:val="24"/>
          <w:szCs w:val="24"/>
        </w:rPr>
        <w:t xml:space="preserve"> Circuit (New Orleans), held (3 to 0) that the U.S. District Court judge properly granted the paramedics’ motion to dismiss </w:t>
      </w:r>
      <w:proofErr w:type="gramStart"/>
      <w:r w:rsidRPr="00D61723">
        <w:rPr>
          <w:rFonts w:ascii="Times New Roman" w:hAnsi="Times New Roman"/>
          <w:bCs/>
          <w:sz w:val="24"/>
          <w:szCs w:val="24"/>
        </w:rPr>
        <w:t>on the basis of</w:t>
      </w:r>
      <w:proofErr w:type="gramEnd"/>
      <w:r w:rsidRPr="00D61723">
        <w:rPr>
          <w:rFonts w:ascii="Times New Roman" w:hAnsi="Times New Roman"/>
          <w:bCs/>
          <w:sz w:val="24"/>
          <w:szCs w:val="24"/>
        </w:rPr>
        <w:t xml:space="preserve"> qualified immunity; there was no proof of “deliberate indifference.”  Court, however, reinstated the lawsuit against the police officers since patient hit his head over 40 times in </w:t>
      </w:r>
      <w:r w:rsidR="0013686B">
        <w:rPr>
          <w:rFonts w:ascii="Times New Roman" w:hAnsi="Times New Roman"/>
          <w:bCs/>
          <w:sz w:val="24"/>
          <w:szCs w:val="24"/>
        </w:rPr>
        <w:t xml:space="preserve">the </w:t>
      </w:r>
      <w:r w:rsidRPr="00D61723">
        <w:rPr>
          <w:rFonts w:ascii="Times New Roman" w:hAnsi="Times New Roman"/>
          <w:bCs/>
          <w:sz w:val="24"/>
          <w:szCs w:val="24"/>
        </w:rPr>
        <w:t>back</w:t>
      </w:r>
      <w:r w:rsidR="0013686B">
        <w:rPr>
          <w:rFonts w:ascii="Times New Roman" w:hAnsi="Times New Roman"/>
          <w:bCs/>
          <w:sz w:val="24"/>
          <w:szCs w:val="24"/>
        </w:rPr>
        <w:t xml:space="preserve"> seat</w:t>
      </w:r>
      <w:r w:rsidRPr="00D61723">
        <w:rPr>
          <w:rFonts w:ascii="Times New Roman" w:hAnsi="Times New Roman"/>
          <w:bCs/>
          <w:sz w:val="24"/>
          <w:szCs w:val="24"/>
        </w:rPr>
        <w:t xml:space="preserve"> of </w:t>
      </w:r>
      <w:r w:rsidR="0013686B">
        <w:rPr>
          <w:rFonts w:ascii="Times New Roman" w:hAnsi="Times New Roman"/>
          <w:bCs/>
          <w:sz w:val="24"/>
          <w:szCs w:val="24"/>
        </w:rPr>
        <w:t xml:space="preserve">a </w:t>
      </w:r>
      <w:r w:rsidRPr="00D61723">
        <w:rPr>
          <w:rFonts w:ascii="Times New Roman" w:hAnsi="Times New Roman"/>
          <w:bCs/>
          <w:sz w:val="24"/>
          <w:szCs w:val="24"/>
        </w:rPr>
        <w:t xml:space="preserve">police cruiser. </w:t>
      </w:r>
    </w:p>
    <w:p w14:paraId="067DB40B" w14:textId="77777777" w:rsidR="0012517E" w:rsidRPr="00D61723" w:rsidRDefault="0012517E" w:rsidP="0012517E">
      <w:pPr>
        <w:pStyle w:val="NoSpacing"/>
        <w:rPr>
          <w:rFonts w:ascii="Times New Roman" w:hAnsi="Times New Roman"/>
          <w:b/>
          <w:bCs/>
          <w:sz w:val="24"/>
          <w:szCs w:val="24"/>
        </w:rPr>
      </w:pPr>
    </w:p>
    <w:p w14:paraId="7D336CD9" w14:textId="1F70ADBD" w:rsidR="0012517E" w:rsidRDefault="0012517E" w:rsidP="0012517E">
      <w:pPr>
        <w:ind w:left="720"/>
        <w:rPr>
          <w:rFonts w:ascii="Arial Black" w:hAnsi="Arial Black"/>
          <w:b/>
          <w:bCs/>
          <w:sz w:val="28"/>
          <w:szCs w:val="28"/>
        </w:rPr>
      </w:pPr>
      <w:r w:rsidRPr="00D61723">
        <w:rPr>
          <w:rFonts w:ascii="Times New Roman" w:hAnsi="Times New Roman"/>
          <w:bCs/>
          <w:sz w:val="24"/>
          <w:szCs w:val="24"/>
        </w:rPr>
        <w:t xml:space="preserve">“We agree with the district court that the Dyers’ complaint fails to allege facts that plausibly show the Paramedics’ deliberate indifference. The thrust of the complaint is that, after examining Graham [Dyer] and observing his head injury and drug-induced behavior, the Paramedics should have provided additional care—such as sending Graham to the hospital, accompanying him to jail, providing ‘further assessment or monitoring,’ or sedating him. At most, these are allegations that the Paramedics acted with negligence in not taking further steps to treat Graham after examining him. Our cases have consistently recognized, however, that ‘deliberate indifference cannot be inferred merely from a </w:t>
      </w:r>
      <w:r w:rsidRPr="00D61723">
        <w:rPr>
          <w:rFonts w:ascii="Times New Roman" w:hAnsi="Times New Roman"/>
          <w:bCs/>
          <w:sz w:val="24"/>
          <w:szCs w:val="24"/>
        </w:rPr>
        <w:lastRenderedPageBreak/>
        <w:t>negligent or even a grossly negligent response to a substantial risk of serious harm.’”</w:t>
      </w:r>
      <w:r w:rsidRPr="00D61723">
        <w:rPr>
          <w:rFonts w:ascii="Times New Roman" w:hAnsi="Times New Roman"/>
          <w:sz w:val="24"/>
          <w:szCs w:val="24"/>
        </w:rPr>
        <w:t xml:space="preserve"> </w:t>
      </w:r>
      <w:hyperlink r:id="rId2259" w:history="1">
        <w:r w:rsidRPr="00D61723">
          <w:rPr>
            <w:rStyle w:val="Hyperlink"/>
            <w:rFonts w:ascii="Times New Roman" w:hAnsi="Times New Roman"/>
            <w:b/>
            <w:sz w:val="24"/>
            <w:szCs w:val="24"/>
          </w:rPr>
          <w:t>http://www.ca5.uscourts.gov/opinions/pub/19/19-10280-CV0.pdf</w:t>
        </w:r>
      </w:hyperlink>
    </w:p>
    <w:p w14:paraId="3C9F38A0" w14:textId="77777777" w:rsidR="0012517E" w:rsidRPr="00D61723" w:rsidRDefault="0012517E" w:rsidP="0012517E">
      <w:pPr>
        <w:pStyle w:val="NoSpacing"/>
        <w:rPr>
          <w:rFonts w:ascii="Times New Roman" w:hAnsi="Times New Roman"/>
          <w:b/>
          <w:bCs/>
          <w:sz w:val="24"/>
          <w:szCs w:val="24"/>
        </w:rPr>
      </w:pPr>
      <w:bookmarkStart w:id="468" w:name="_Hlk40514363"/>
      <w:bookmarkEnd w:id="467"/>
      <w:r w:rsidRPr="00D61723">
        <w:rPr>
          <w:rFonts w:ascii="Times New Roman" w:hAnsi="Times New Roman"/>
          <w:b/>
          <w:bCs/>
          <w:sz w:val="24"/>
          <w:szCs w:val="24"/>
        </w:rPr>
        <w:t>Legal Lessons Learned:  Qualified immunity is an important legal protection for emergency responders, but it is not “absolute” immunity.</w:t>
      </w:r>
    </w:p>
    <w:p w14:paraId="434C357B" w14:textId="77777777" w:rsidR="0012517E" w:rsidRPr="00D61723" w:rsidRDefault="0012517E" w:rsidP="0012517E">
      <w:pPr>
        <w:pStyle w:val="NoSpacing"/>
        <w:rPr>
          <w:rFonts w:ascii="Times New Roman" w:hAnsi="Times New Roman"/>
          <w:sz w:val="24"/>
          <w:szCs w:val="24"/>
        </w:rPr>
      </w:pPr>
    </w:p>
    <w:p w14:paraId="5DAC83FA" w14:textId="77777777" w:rsidR="0012517E" w:rsidRPr="00D61723" w:rsidRDefault="0012517E" w:rsidP="0012517E">
      <w:pPr>
        <w:pStyle w:val="NoSpacing"/>
        <w:ind w:left="720"/>
        <w:rPr>
          <w:rFonts w:ascii="Times New Roman" w:hAnsi="Times New Roman"/>
          <w:b/>
          <w:bCs/>
          <w:sz w:val="24"/>
          <w:szCs w:val="24"/>
        </w:rPr>
      </w:pPr>
      <w:r w:rsidRPr="00D61723">
        <w:rPr>
          <w:rFonts w:ascii="Times New Roman" w:hAnsi="Times New Roman"/>
          <w:bCs/>
          <w:sz w:val="24"/>
          <w:szCs w:val="24"/>
        </w:rPr>
        <w:t xml:space="preserve">Note: Lawsuit against police officers will proceed. </w:t>
      </w:r>
      <w:bookmarkEnd w:id="468"/>
      <w:r w:rsidRPr="00D61723">
        <w:rPr>
          <w:rFonts w:ascii="Times New Roman" w:hAnsi="Times New Roman"/>
          <w:bCs/>
          <w:sz w:val="24"/>
          <w:szCs w:val="24"/>
        </w:rPr>
        <w:t xml:space="preserve"> Court wrote: “By contrast, in this case a reasonable jury could find that (1) Graham violently bashed his head against the interior of Officer Heidelburg’s patrol car over 40 times while </w:t>
      </w:r>
      <w:proofErr w:type="spellStart"/>
      <w:r w:rsidRPr="00D61723">
        <w:rPr>
          <w:rFonts w:ascii="Times New Roman" w:hAnsi="Times New Roman"/>
          <w:bCs/>
          <w:sz w:val="24"/>
          <w:szCs w:val="24"/>
        </w:rPr>
        <w:t>en</w:t>
      </w:r>
      <w:proofErr w:type="spellEnd"/>
      <w:r w:rsidRPr="00D61723">
        <w:rPr>
          <w:rFonts w:ascii="Times New Roman" w:hAnsi="Times New Roman"/>
          <w:bCs/>
          <w:sz w:val="24"/>
          <w:szCs w:val="24"/>
        </w:rPr>
        <w:t xml:space="preserve"> route to jail; (2) Officers Heidelburg, Gafford, and Scott were fully aware of Graham’s actions and of their serious danger; (3) the Officers sought no medical attention for Graham; and (4) upon arriving at jail, the Officers failed to inform jail officials what Graham had done to himself, telling them only that Graham had been ‘medically cleared’ at the scene. From this evidence, a reasonable jury could conclude that the Officers ‘were either aware or should have been aware, because it was so obvious, of an unjustifiably high risk to [Graham’s] health,’ did nothing to seek medical attention, and even misstated the severity of Graham’s condition to those who could have sought help.”</w:t>
      </w:r>
    </w:p>
    <w:p w14:paraId="3E4FF4EC" w14:textId="77777777" w:rsidR="0012517E" w:rsidRPr="00D61723" w:rsidRDefault="0012517E" w:rsidP="0012517E">
      <w:pPr>
        <w:pStyle w:val="NoSpacing"/>
        <w:rPr>
          <w:rFonts w:ascii="Times New Roman" w:hAnsi="Times New Roman"/>
          <w:sz w:val="24"/>
          <w:szCs w:val="24"/>
        </w:rPr>
      </w:pPr>
    </w:p>
    <w:p w14:paraId="73735882" w14:textId="77777777" w:rsidR="0012517E" w:rsidRDefault="0012517E" w:rsidP="002B1283">
      <w:pPr>
        <w:rPr>
          <w:rFonts w:ascii="Arial Black" w:hAnsi="Arial Black"/>
          <w:b/>
          <w:bCs/>
          <w:sz w:val="28"/>
          <w:szCs w:val="28"/>
        </w:rPr>
      </w:pPr>
    </w:p>
    <w:p w14:paraId="5B07EA31" w14:textId="774431A3" w:rsidR="0012517E" w:rsidRDefault="0012517E" w:rsidP="002B1283">
      <w:pPr>
        <w:rPr>
          <w:rFonts w:ascii="Arial Black" w:hAnsi="Arial Black"/>
          <w:b/>
          <w:bCs/>
          <w:sz w:val="28"/>
          <w:szCs w:val="28"/>
        </w:rPr>
      </w:pPr>
      <w:r>
        <w:rPr>
          <w:rFonts w:ascii="Arial Black" w:hAnsi="Arial Black"/>
          <w:b/>
          <w:bCs/>
          <w:sz w:val="28"/>
          <w:szCs w:val="28"/>
        </w:rPr>
        <w:t>13-47</w:t>
      </w:r>
    </w:p>
    <w:p w14:paraId="20CD7806" w14:textId="77777777" w:rsidR="0012517E" w:rsidRDefault="0012517E" w:rsidP="0012517E">
      <w:pPr>
        <w:rPr>
          <w:rFonts w:ascii="Arial Black" w:hAnsi="Arial Black"/>
          <w:sz w:val="28"/>
          <w:szCs w:val="28"/>
        </w:rPr>
      </w:pPr>
      <w:r w:rsidRPr="009F24CE">
        <w:rPr>
          <w:rFonts w:ascii="Arial Black" w:hAnsi="Arial Black"/>
          <w:sz w:val="28"/>
          <w:szCs w:val="28"/>
        </w:rPr>
        <w:t xml:space="preserve">CA: </w:t>
      </w:r>
      <w:r>
        <w:rPr>
          <w:rFonts w:ascii="Arial Black" w:hAnsi="Arial Black"/>
          <w:b/>
          <w:bCs/>
          <w:sz w:val="28"/>
          <w:szCs w:val="28"/>
        </w:rPr>
        <w:t xml:space="preserve">CORONA VIRUS – </w:t>
      </w:r>
      <w:r>
        <w:rPr>
          <w:rFonts w:ascii="Arial Black" w:hAnsi="Arial Black"/>
          <w:sz w:val="28"/>
          <w:szCs w:val="28"/>
        </w:rPr>
        <w:t>LOS ANGELES MAYOR SHUTS DOWN GUN SHOPS – GOVERNOR / SHERIFF HAD NOT - TRO DENIED</w:t>
      </w:r>
    </w:p>
    <w:p w14:paraId="05824870" w14:textId="77777777" w:rsidR="0012517E" w:rsidRDefault="0012517E" w:rsidP="0012517E">
      <w:pPr>
        <w:rPr>
          <w:rFonts w:ascii="Times New Roman" w:hAnsi="Times New Roman"/>
          <w:sz w:val="24"/>
          <w:szCs w:val="24"/>
        </w:rPr>
      </w:pPr>
      <w:r w:rsidRPr="009F24CE">
        <w:rPr>
          <w:rFonts w:ascii="Times New Roman" w:hAnsi="Times New Roman"/>
          <w:sz w:val="24"/>
          <w:szCs w:val="24"/>
        </w:rPr>
        <w:t xml:space="preserve">On </w:t>
      </w:r>
      <w:bookmarkStart w:id="469" w:name="_Hlk39849537"/>
      <w:r>
        <w:rPr>
          <w:rFonts w:ascii="Times New Roman" w:hAnsi="Times New Roman"/>
          <w:sz w:val="24"/>
          <w:szCs w:val="24"/>
        </w:rPr>
        <w:t xml:space="preserve">April 6, 2020, in </w:t>
      </w:r>
      <w:r w:rsidRPr="009F24CE">
        <w:rPr>
          <w:rFonts w:ascii="Times New Roman" w:hAnsi="Times New Roman"/>
          <w:sz w:val="24"/>
          <w:szCs w:val="24"/>
          <w:u w:val="single"/>
        </w:rPr>
        <w:t>Adam Brandy v. Alex Villanueva</w:t>
      </w:r>
      <w:r>
        <w:rPr>
          <w:rFonts w:ascii="Times New Roman" w:hAnsi="Times New Roman"/>
          <w:sz w:val="24"/>
          <w:szCs w:val="24"/>
        </w:rPr>
        <w:t xml:space="preserve">, </w:t>
      </w:r>
      <w:r w:rsidRPr="00951840">
        <w:rPr>
          <w:rFonts w:ascii="Times New Roman" w:hAnsi="Times New Roman"/>
          <w:sz w:val="24"/>
          <w:szCs w:val="24"/>
          <w:u w:val="single"/>
        </w:rPr>
        <w:t>et al.,</w:t>
      </w:r>
      <w:r>
        <w:rPr>
          <w:rFonts w:ascii="Times New Roman" w:hAnsi="Times New Roman"/>
          <w:sz w:val="24"/>
          <w:szCs w:val="24"/>
        </w:rPr>
        <w:t xml:space="preserve">  </w:t>
      </w:r>
      <w:bookmarkEnd w:id="469"/>
      <w:r>
        <w:rPr>
          <w:rFonts w:ascii="Times New Roman" w:hAnsi="Times New Roman"/>
          <w:sz w:val="24"/>
          <w:szCs w:val="24"/>
        </w:rPr>
        <w:t xml:space="preserve">U.S. District Court Judge Andrew Birotte, Jr. held that Los Angeles Mayor Eric Garcetti has the power to shut down gun stores as non-essential businesses in the city. The Governor on March 19, </w:t>
      </w:r>
      <w:proofErr w:type="gramStart"/>
      <w:r>
        <w:rPr>
          <w:rFonts w:ascii="Times New Roman" w:hAnsi="Times New Roman"/>
          <w:sz w:val="24"/>
          <w:szCs w:val="24"/>
        </w:rPr>
        <w:t>2020</w:t>
      </w:r>
      <w:proofErr w:type="gramEnd"/>
      <w:r>
        <w:rPr>
          <w:rFonts w:ascii="Times New Roman" w:hAnsi="Times New Roman"/>
          <w:sz w:val="24"/>
          <w:szCs w:val="24"/>
        </w:rPr>
        <w:t xml:space="preserve"> had issued an order that left the decision on gun shops to County Sheriffs.  On March 24, 2020, Sheriff Villanueva of LA County ordered all gun shops closed, but he later changed his opinion and declared them an essential business. Federal judge denied gun shop owners’ motion for a Temporary Restraining Order.</w:t>
      </w:r>
    </w:p>
    <w:p w14:paraId="7221A463" w14:textId="77777777" w:rsidR="0012517E" w:rsidRDefault="0012517E" w:rsidP="0012517E">
      <w:pPr>
        <w:ind w:left="720"/>
        <w:rPr>
          <w:rStyle w:val="Hyperlink"/>
          <w:sz w:val="24"/>
          <w:szCs w:val="24"/>
        </w:rPr>
      </w:pPr>
      <w:r>
        <w:rPr>
          <w:rFonts w:ascii="Times New Roman" w:hAnsi="Times New Roman"/>
          <w:sz w:val="24"/>
          <w:szCs w:val="24"/>
        </w:rPr>
        <w:t xml:space="preserve">“Moreover, because this disease spreads ‘[a]n affects person coughs, sneezes or otherwise  expels aerosolized droplets containing the virus,’… the closure on non-essential businesses, including firearms and ammunition retailers, reasonably fits the City’s and County’s stated objective of reducing the spread of this disease.  Plaintiffs fail to demonstrate a likelihood of success on the merits of the Second Amendment claim against the County and City </w:t>
      </w:r>
      <w:proofErr w:type="gramStart"/>
      <w:r>
        <w:rPr>
          <w:rFonts w:ascii="Times New Roman" w:hAnsi="Times New Roman"/>
          <w:sz w:val="24"/>
          <w:szCs w:val="24"/>
        </w:rPr>
        <w:t>orders</w:t>
      </w:r>
      <w:bookmarkStart w:id="470" w:name="_Hlk39849553"/>
      <w:r>
        <w:rPr>
          <w:rFonts w:ascii="Times New Roman" w:hAnsi="Times New Roman"/>
          <w:sz w:val="24"/>
          <w:szCs w:val="24"/>
        </w:rPr>
        <w:t>.”</w:t>
      </w:r>
      <w:proofErr w:type="gramEnd"/>
      <w:r>
        <w:rPr>
          <w:rFonts w:ascii="Times New Roman" w:hAnsi="Times New Roman"/>
          <w:sz w:val="24"/>
          <w:szCs w:val="24"/>
        </w:rPr>
        <w:t xml:space="preserve"> </w:t>
      </w:r>
      <w:hyperlink r:id="rId2260" w:history="1">
        <w:r w:rsidRPr="00DE231C">
          <w:rPr>
            <w:rStyle w:val="Hyperlink"/>
            <w:sz w:val="24"/>
            <w:szCs w:val="24"/>
          </w:rPr>
          <w:t>https://brady-static.s3.amazonaws.com/2020-04-06-29-Order-Denying-TRO-App.pdf</w:t>
        </w:r>
      </w:hyperlink>
      <w:r>
        <w:rPr>
          <w:rStyle w:val="Hyperlink"/>
          <w:sz w:val="24"/>
          <w:szCs w:val="24"/>
        </w:rPr>
        <w:t xml:space="preserve"> </w:t>
      </w:r>
    </w:p>
    <w:bookmarkEnd w:id="470"/>
    <w:p w14:paraId="0FAC508C" w14:textId="77777777" w:rsidR="0012517E" w:rsidRDefault="0012517E" w:rsidP="0012517E">
      <w:pPr>
        <w:pStyle w:val="NoSpacing"/>
        <w:rPr>
          <w:sz w:val="24"/>
          <w:szCs w:val="24"/>
        </w:rPr>
      </w:pPr>
    </w:p>
    <w:p w14:paraId="609AB198" w14:textId="77777777" w:rsidR="0012517E" w:rsidRPr="0012517E" w:rsidRDefault="0012517E" w:rsidP="0012517E">
      <w:pPr>
        <w:pStyle w:val="NoSpacing"/>
        <w:rPr>
          <w:rFonts w:ascii="Times New Roman" w:hAnsi="Times New Roman"/>
          <w:b/>
          <w:bCs/>
          <w:sz w:val="24"/>
          <w:szCs w:val="24"/>
        </w:rPr>
      </w:pPr>
      <w:r w:rsidRPr="0012517E">
        <w:rPr>
          <w:rFonts w:ascii="Times New Roman" w:hAnsi="Times New Roman"/>
          <w:b/>
          <w:bCs/>
          <w:sz w:val="24"/>
          <w:szCs w:val="24"/>
        </w:rPr>
        <w:t xml:space="preserve">Legal Lessons Learned: TRO denied since Mayor’s orders are based on emergency.   </w:t>
      </w:r>
    </w:p>
    <w:p w14:paraId="299C10E7" w14:textId="77777777" w:rsidR="0012517E" w:rsidRPr="0012517E" w:rsidRDefault="0012517E" w:rsidP="0012517E">
      <w:pPr>
        <w:pStyle w:val="NoSpacing"/>
        <w:rPr>
          <w:rFonts w:ascii="Times New Roman" w:hAnsi="Times New Roman"/>
          <w:sz w:val="24"/>
          <w:szCs w:val="24"/>
        </w:rPr>
      </w:pPr>
    </w:p>
    <w:p w14:paraId="63412AFC" w14:textId="77777777" w:rsidR="0012517E" w:rsidRPr="002F12AE" w:rsidRDefault="0012517E" w:rsidP="0012517E">
      <w:pPr>
        <w:pStyle w:val="NoSpacing"/>
        <w:ind w:left="720"/>
        <w:rPr>
          <w:b/>
          <w:sz w:val="24"/>
          <w:szCs w:val="24"/>
        </w:rPr>
      </w:pPr>
      <w:r w:rsidRPr="0012517E">
        <w:rPr>
          <w:rFonts w:ascii="Times New Roman" w:hAnsi="Times New Roman"/>
          <w:bCs/>
          <w:sz w:val="24"/>
          <w:szCs w:val="24"/>
        </w:rPr>
        <w:t>Note:</w:t>
      </w:r>
      <w:r w:rsidRPr="0012517E">
        <w:rPr>
          <w:rFonts w:ascii="Times New Roman" w:hAnsi="Times New Roman"/>
          <w:sz w:val="24"/>
          <w:szCs w:val="24"/>
        </w:rPr>
        <w:t xml:space="preserve"> See </w:t>
      </w:r>
      <w:bookmarkStart w:id="471" w:name="_Hlk39849460"/>
      <w:r w:rsidRPr="0012517E">
        <w:rPr>
          <w:rFonts w:ascii="Times New Roman" w:hAnsi="Times New Roman"/>
          <w:sz w:val="24"/>
          <w:szCs w:val="24"/>
        </w:rPr>
        <w:t xml:space="preserve">April 14, </w:t>
      </w:r>
      <w:proofErr w:type="gramStart"/>
      <w:r w:rsidRPr="0012517E">
        <w:rPr>
          <w:rFonts w:ascii="Times New Roman" w:hAnsi="Times New Roman"/>
          <w:sz w:val="24"/>
          <w:szCs w:val="24"/>
        </w:rPr>
        <w:t>2020</w:t>
      </w:r>
      <w:proofErr w:type="gramEnd"/>
      <w:r w:rsidRPr="0012517E">
        <w:rPr>
          <w:rFonts w:ascii="Times New Roman" w:hAnsi="Times New Roman"/>
          <w:sz w:val="24"/>
          <w:szCs w:val="24"/>
        </w:rPr>
        <w:t xml:space="preserve"> article on LA Superior Court judge’s decision, forcing gun stores to remain closed, “</w:t>
      </w:r>
      <w:r w:rsidRPr="0012517E">
        <w:rPr>
          <w:rStyle w:val="dfm-title"/>
          <w:rFonts w:ascii="Times New Roman" w:hAnsi="Times New Roman"/>
          <w:sz w:val="24"/>
          <w:szCs w:val="24"/>
        </w:rPr>
        <w:t xml:space="preserve">Coronavirus: Judge upholds LA city order to close gun stores,” </w:t>
      </w:r>
      <w:hyperlink r:id="rId2261" w:history="1">
        <w:r w:rsidRPr="0012517E">
          <w:rPr>
            <w:rStyle w:val="Hyperlink"/>
            <w:rFonts w:ascii="Times New Roman" w:hAnsi="Times New Roman"/>
            <w:b/>
            <w:sz w:val="24"/>
            <w:szCs w:val="24"/>
          </w:rPr>
          <w:t>https://www.dailynews.com/2020/04/14/coronavirus-judge-upholds-l-a-city-order-to-close-gun-stores/</w:t>
        </w:r>
      </w:hyperlink>
      <w:bookmarkEnd w:id="471"/>
      <w:r w:rsidRPr="002F12AE">
        <w:rPr>
          <w:sz w:val="24"/>
          <w:szCs w:val="24"/>
        </w:rPr>
        <w:t xml:space="preserve"> </w:t>
      </w:r>
    </w:p>
    <w:p w14:paraId="561AE0CF" w14:textId="77777777" w:rsidR="0012517E" w:rsidRDefault="0012517E" w:rsidP="0012517E">
      <w:pPr>
        <w:pStyle w:val="NoSpacing"/>
        <w:rPr>
          <w:b/>
          <w:bCs/>
          <w:sz w:val="24"/>
          <w:szCs w:val="24"/>
        </w:rPr>
      </w:pPr>
      <w:r>
        <w:rPr>
          <w:bCs/>
          <w:sz w:val="24"/>
          <w:szCs w:val="24"/>
        </w:rPr>
        <w:t xml:space="preserve"> </w:t>
      </w:r>
    </w:p>
    <w:p w14:paraId="0E314117" w14:textId="77777777" w:rsidR="0012517E" w:rsidRDefault="0012517E" w:rsidP="002B1283">
      <w:pPr>
        <w:rPr>
          <w:rFonts w:ascii="Arial Black" w:hAnsi="Arial Black"/>
          <w:b/>
          <w:bCs/>
          <w:sz w:val="28"/>
          <w:szCs w:val="28"/>
        </w:rPr>
      </w:pPr>
    </w:p>
    <w:p w14:paraId="582A0735" w14:textId="77777777" w:rsidR="0012517E" w:rsidRDefault="0012517E" w:rsidP="002B1283">
      <w:pPr>
        <w:rPr>
          <w:rFonts w:ascii="Arial Black" w:hAnsi="Arial Black"/>
          <w:b/>
          <w:bCs/>
          <w:sz w:val="28"/>
          <w:szCs w:val="28"/>
        </w:rPr>
      </w:pPr>
    </w:p>
    <w:p w14:paraId="427194AE" w14:textId="59B03690" w:rsidR="0066298F" w:rsidRDefault="0066298F" w:rsidP="002B1283">
      <w:pPr>
        <w:rPr>
          <w:rFonts w:ascii="Arial Black" w:hAnsi="Arial Black"/>
          <w:b/>
          <w:bCs/>
          <w:sz w:val="28"/>
          <w:szCs w:val="28"/>
        </w:rPr>
      </w:pPr>
      <w:r>
        <w:rPr>
          <w:rFonts w:ascii="Arial Black" w:hAnsi="Arial Black"/>
          <w:b/>
          <w:bCs/>
          <w:sz w:val="28"/>
          <w:szCs w:val="28"/>
        </w:rPr>
        <w:t>13-46</w:t>
      </w:r>
    </w:p>
    <w:p w14:paraId="09B71252" w14:textId="0FB07371" w:rsidR="0066298F" w:rsidRPr="00F05611" w:rsidRDefault="0066298F" w:rsidP="0066298F">
      <w:pPr>
        <w:spacing w:before="100" w:beforeAutospacing="1" w:after="100" w:afterAutospacing="1" w:line="240" w:lineRule="auto"/>
        <w:rPr>
          <w:rFonts w:ascii="Arial Black" w:hAnsi="Arial Black"/>
          <w:b/>
          <w:bCs/>
          <w:sz w:val="28"/>
          <w:szCs w:val="28"/>
        </w:rPr>
      </w:pPr>
      <w:bookmarkStart w:id="472" w:name="_Hlk39819842"/>
      <w:r w:rsidRPr="00F05611">
        <w:rPr>
          <w:rFonts w:ascii="Arial Black" w:hAnsi="Arial Black"/>
          <w:b/>
          <w:bCs/>
          <w:sz w:val="28"/>
          <w:szCs w:val="28"/>
        </w:rPr>
        <w:t xml:space="preserve">FL: </w:t>
      </w:r>
      <w:r>
        <w:rPr>
          <w:rFonts w:ascii="Arial Black" w:hAnsi="Arial Black"/>
          <w:b/>
          <w:bCs/>
          <w:sz w:val="28"/>
          <w:szCs w:val="28"/>
        </w:rPr>
        <w:t xml:space="preserve"> </w:t>
      </w:r>
      <w:r w:rsidR="00F81147">
        <w:rPr>
          <w:rFonts w:ascii="Arial Black" w:hAnsi="Arial Black"/>
          <w:b/>
          <w:bCs/>
          <w:sz w:val="28"/>
          <w:szCs w:val="28"/>
        </w:rPr>
        <w:t xml:space="preserve">DEPUTY SHERIFF ORDERED CPR STOPPED – HANGING - LAWSUIT TO CONTINUE, NO QUALIFIED IMMUNITY                                                                                          </w:t>
      </w:r>
    </w:p>
    <w:p w14:paraId="4F46870A" w14:textId="77777777" w:rsidR="0066298F" w:rsidRDefault="0066298F" w:rsidP="0066298F">
      <w:pPr>
        <w:spacing w:before="100" w:beforeAutospacing="1" w:after="100" w:afterAutospacing="1" w:line="240" w:lineRule="auto"/>
        <w:rPr>
          <w:rFonts w:ascii="Times New Roman" w:hAnsi="Times New Roman"/>
          <w:sz w:val="24"/>
          <w:szCs w:val="24"/>
        </w:rPr>
      </w:pPr>
      <w:r w:rsidRPr="00F05611">
        <w:rPr>
          <w:rFonts w:ascii="Times New Roman" w:hAnsi="Times New Roman"/>
          <w:sz w:val="24"/>
          <w:szCs w:val="24"/>
        </w:rPr>
        <w:t xml:space="preserve">On </w:t>
      </w:r>
      <w:bookmarkStart w:id="473" w:name="_Hlk39849752"/>
      <w:r>
        <w:rPr>
          <w:rFonts w:ascii="Times New Roman" w:hAnsi="Times New Roman"/>
          <w:sz w:val="24"/>
          <w:szCs w:val="24"/>
        </w:rPr>
        <w:t xml:space="preserve">March 25, 2020, in </w:t>
      </w:r>
      <w:r w:rsidRPr="00F05611">
        <w:rPr>
          <w:rFonts w:ascii="Times New Roman" w:hAnsi="Times New Roman"/>
          <w:sz w:val="24"/>
          <w:szCs w:val="24"/>
          <w:u w:val="single"/>
        </w:rPr>
        <w:t>Jolene Waldron v. Gregory Spicher, Deputy</w:t>
      </w:r>
      <w:bookmarkEnd w:id="473"/>
      <w:r>
        <w:rPr>
          <w:rFonts w:ascii="Times New Roman" w:hAnsi="Times New Roman"/>
          <w:sz w:val="24"/>
          <w:szCs w:val="24"/>
        </w:rPr>
        <w:t xml:space="preserve">, the U.S. Court of Appeals for Eleventh Circuit (Atlanta), held (3 to 0) that the trial court properly denied Deputy Sheriff’s motion to dismiss the case based on qualified immunity.   The lawsuit may proceed, but mother of the deceased has very difficult burden to proving to a jury that the Deputy was not only reckless, but that he intended to cause death of her son.  </w:t>
      </w:r>
    </w:p>
    <w:p w14:paraId="5FB76DC3"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“Several minutes later, a fire truck and an ambulance arrived. Three paramedics—later identified as David Warren, Christensen, and Grisales—attempted to attend to Ybarra, but Spicher only allowed Warren to do so to ‘confirm the patient’s status.’ Warren testified that Spicher told him </w:t>
      </w:r>
      <w:proofErr w:type="gramStart"/>
      <w:r w:rsidRPr="00665BD0">
        <w:rPr>
          <w:rFonts w:ascii="Times New Roman" w:hAnsi="Times New Roman"/>
          <w:bCs/>
          <w:sz w:val="24"/>
          <w:szCs w:val="24"/>
        </w:rPr>
        <w:t>to ‘not</w:t>
      </w:r>
      <w:proofErr w:type="gramEnd"/>
      <w:r w:rsidRPr="00665BD0">
        <w:rPr>
          <w:rFonts w:ascii="Times New Roman" w:hAnsi="Times New Roman"/>
          <w:bCs/>
          <w:sz w:val="24"/>
          <w:szCs w:val="24"/>
        </w:rPr>
        <w:t xml:space="preserve"> touch the patient very much because this was . . . a crime </w:t>
      </w:r>
      <w:proofErr w:type="gramStart"/>
      <w:r w:rsidRPr="00665BD0">
        <w:rPr>
          <w:rFonts w:ascii="Times New Roman" w:hAnsi="Times New Roman"/>
          <w:bCs/>
          <w:sz w:val="24"/>
          <w:szCs w:val="24"/>
        </w:rPr>
        <w:t>scene.’</w:t>
      </w:r>
      <w:proofErr w:type="gramEnd"/>
      <w:r w:rsidRPr="00665BD0">
        <w:rPr>
          <w:rFonts w:ascii="Times New Roman" w:hAnsi="Times New Roman"/>
          <w:bCs/>
          <w:sz w:val="24"/>
          <w:szCs w:val="24"/>
        </w:rPr>
        <w:t xml:space="preserve">  Warren noted that Ybarra was ‘severely cyanotic and unresponsive’ and his neck was elongated. He assessed Ybarra with a Glasgow Coma Score of one in eyes, verbal, and motor, which was consistent with a deceased person’s score. Warren hooked up Ybarra to a heart monitor and noted a heart rate of 24 beats per minute, which he testified indicated organized electrical activity in the heart inconsistent with death. Warren called for Spicher to retrieve Lieutenant Christensen, but Spicher was on the phone and did not hear him, so Warren shouted louder, which finally brought Christiansen over. The two immediately recontinued CPR and began ‘manual C-spine immobilization,’ which was meant to hold Ybarra’s spine in line. Ybarra was then transported to the hospital, where he died a week later.</w:t>
      </w:r>
    </w:p>
    <w:p w14:paraId="1AFAB798" w14:textId="77777777" w:rsidR="0066298F" w:rsidRPr="00665BD0" w:rsidRDefault="0066298F" w:rsidP="0066298F">
      <w:pPr>
        <w:pStyle w:val="NoSpacing"/>
        <w:ind w:left="720"/>
        <w:rPr>
          <w:rFonts w:ascii="Times New Roman" w:hAnsi="Times New Roman"/>
          <w:b/>
          <w:bCs/>
          <w:sz w:val="24"/>
          <w:szCs w:val="24"/>
        </w:rPr>
      </w:pPr>
    </w:p>
    <w:p w14:paraId="1F620F53"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w:t>
      </w:r>
    </w:p>
    <w:p w14:paraId="0FF2931C" w14:textId="77777777" w:rsidR="0066298F" w:rsidRPr="00665BD0" w:rsidRDefault="0066298F" w:rsidP="0066298F">
      <w:pPr>
        <w:spacing w:before="100" w:beforeAutospacing="1" w:after="100" w:afterAutospacing="1" w:line="240" w:lineRule="auto"/>
        <w:ind w:left="720"/>
        <w:rPr>
          <w:rFonts w:ascii="Times New Roman" w:hAnsi="Times New Roman"/>
          <w:sz w:val="24"/>
          <w:szCs w:val="24"/>
        </w:rPr>
      </w:pPr>
      <w:r w:rsidRPr="00665BD0">
        <w:rPr>
          <w:rFonts w:ascii="Times New Roman" w:hAnsi="Times New Roman"/>
          <w:sz w:val="24"/>
          <w:szCs w:val="24"/>
        </w:rPr>
        <w:t xml:space="preserve">In this opinion, we have held that…Waldron cannot demonstrate that Spicher violated clearly established substantive due process rights without proving more than that Spicher acted with deliberate indifference or recklessness. But we have also held that, if the jury should find that Spicher acted for the purpose of causing harm to Ybarra, Waldron would have proved a violation of clearly established substantive due process rights.” </w:t>
      </w:r>
      <w:bookmarkStart w:id="474" w:name="_Hlk39849774"/>
      <w:r w:rsidR="00BC38B6">
        <w:fldChar w:fldCharType="begin"/>
      </w:r>
      <w:r w:rsidR="00BC38B6">
        <w:instrText xml:space="preserve"> HYPERLINK "http://media.ca11.uscourts.gov/opinions/pub/files/201814536.pdf" </w:instrText>
      </w:r>
      <w:r w:rsidR="00BC38B6">
        <w:fldChar w:fldCharType="separate"/>
      </w:r>
      <w:r w:rsidRPr="00665BD0">
        <w:rPr>
          <w:rStyle w:val="Hyperlink"/>
          <w:rFonts w:ascii="Times New Roman" w:hAnsi="Times New Roman"/>
          <w:sz w:val="24"/>
          <w:szCs w:val="24"/>
        </w:rPr>
        <w:t>http://media.ca11.uscourts.gov/opinions/pub/files/201814536.pdf</w:t>
      </w:r>
      <w:r w:rsidR="00BC38B6">
        <w:rPr>
          <w:rStyle w:val="Hyperlink"/>
          <w:rFonts w:ascii="Times New Roman" w:hAnsi="Times New Roman"/>
          <w:sz w:val="24"/>
          <w:szCs w:val="24"/>
        </w:rPr>
        <w:fldChar w:fldCharType="end"/>
      </w:r>
      <w:r w:rsidRPr="00665BD0">
        <w:rPr>
          <w:rFonts w:ascii="Times New Roman" w:hAnsi="Times New Roman"/>
          <w:sz w:val="24"/>
          <w:szCs w:val="24"/>
        </w:rPr>
        <w:t xml:space="preserve"> </w:t>
      </w:r>
    </w:p>
    <w:p w14:paraId="3CB33D6C" w14:textId="77777777" w:rsidR="0066298F" w:rsidRPr="00665BD0" w:rsidRDefault="0066298F" w:rsidP="0066298F">
      <w:pPr>
        <w:spacing w:before="100" w:beforeAutospacing="1" w:after="100" w:afterAutospacing="1" w:line="240" w:lineRule="auto"/>
        <w:rPr>
          <w:rFonts w:ascii="Times New Roman" w:hAnsi="Times New Roman"/>
          <w:b/>
          <w:bCs/>
          <w:sz w:val="24"/>
          <w:szCs w:val="24"/>
        </w:rPr>
      </w:pPr>
      <w:bookmarkStart w:id="475" w:name="_Hlk40514407"/>
      <w:bookmarkEnd w:id="472"/>
      <w:bookmarkEnd w:id="474"/>
      <w:r w:rsidRPr="00665BD0">
        <w:rPr>
          <w:rFonts w:ascii="Times New Roman" w:hAnsi="Times New Roman"/>
          <w:b/>
          <w:bCs/>
          <w:sz w:val="24"/>
          <w:szCs w:val="24"/>
        </w:rPr>
        <w:t xml:space="preserve">Legal Lessons Learned:  </w:t>
      </w:r>
      <w:r>
        <w:rPr>
          <w:rFonts w:ascii="Times New Roman" w:hAnsi="Times New Roman"/>
          <w:b/>
          <w:bCs/>
          <w:sz w:val="24"/>
          <w:szCs w:val="24"/>
        </w:rPr>
        <w:t xml:space="preserve">Terrible conduct by Deputy Sheriff, but </w:t>
      </w:r>
      <w:r w:rsidRPr="00665BD0">
        <w:rPr>
          <w:rFonts w:ascii="Times New Roman" w:hAnsi="Times New Roman"/>
          <w:b/>
          <w:bCs/>
          <w:sz w:val="24"/>
          <w:szCs w:val="24"/>
        </w:rPr>
        <w:t xml:space="preserve">plaintiff must </w:t>
      </w:r>
      <w:r>
        <w:rPr>
          <w:rFonts w:ascii="Times New Roman" w:hAnsi="Times New Roman"/>
          <w:b/>
          <w:bCs/>
          <w:sz w:val="24"/>
          <w:szCs w:val="24"/>
        </w:rPr>
        <w:t xml:space="preserve">now </w:t>
      </w:r>
      <w:r w:rsidRPr="00665BD0">
        <w:rPr>
          <w:rFonts w:ascii="Times New Roman" w:hAnsi="Times New Roman"/>
          <w:b/>
          <w:bCs/>
          <w:sz w:val="24"/>
          <w:szCs w:val="24"/>
        </w:rPr>
        <w:t xml:space="preserve">prove </w:t>
      </w:r>
      <w:r>
        <w:rPr>
          <w:rFonts w:ascii="Times New Roman" w:hAnsi="Times New Roman"/>
          <w:b/>
          <w:bCs/>
          <w:sz w:val="24"/>
          <w:szCs w:val="24"/>
        </w:rPr>
        <w:t xml:space="preserve">Deputy intended to harm the victim.  Hopefully this case settles prior to jury trial. </w:t>
      </w:r>
    </w:p>
    <w:bookmarkEnd w:id="475"/>
    <w:p w14:paraId="0D9D32BB" w14:textId="77777777" w:rsidR="0031119E" w:rsidRDefault="0031119E" w:rsidP="002B1283">
      <w:pPr>
        <w:rPr>
          <w:rFonts w:ascii="Arial Black" w:hAnsi="Arial Black"/>
          <w:b/>
          <w:bCs/>
          <w:sz w:val="28"/>
          <w:szCs w:val="28"/>
        </w:rPr>
      </w:pPr>
    </w:p>
    <w:p w14:paraId="6F780014" w14:textId="74F59D37" w:rsidR="007A1E7A" w:rsidRDefault="007A1E7A" w:rsidP="002B1283">
      <w:pPr>
        <w:rPr>
          <w:rFonts w:ascii="Arial Black" w:hAnsi="Arial Black"/>
          <w:b/>
          <w:bCs/>
          <w:sz w:val="28"/>
          <w:szCs w:val="28"/>
        </w:rPr>
      </w:pPr>
      <w:r>
        <w:rPr>
          <w:rFonts w:ascii="Arial Black" w:hAnsi="Arial Black"/>
          <w:b/>
          <w:bCs/>
          <w:sz w:val="28"/>
          <w:szCs w:val="28"/>
        </w:rPr>
        <w:t>13-45</w:t>
      </w:r>
    </w:p>
    <w:p w14:paraId="01BD9FEC" w14:textId="77777777" w:rsidR="007A1E7A" w:rsidRPr="00A514DF" w:rsidRDefault="007A1E7A" w:rsidP="007A1E7A">
      <w:pPr>
        <w:spacing w:before="100" w:beforeAutospacing="1" w:after="100" w:afterAutospacing="1" w:line="240" w:lineRule="auto"/>
        <w:rPr>
          <w:rFonts w:ascii="Arial Black" w:eastAsia="Times New Roman" w:hAnsi="Arial Black"/>
          <w:b/>
          <w:bCs/>
          <w:sz w:val="28"/>
          <w:szCs w:val="28"/>
        </w:rPr>
      </w:pPr>
      <w:r w:rsidRPr="00A514DF">
        <w:rPr>
          <w:rFonts w:ascii="Arial Black" w:eastAsia="Times New Roman" w:hAnsi="Arial Black"/>
          <w:b/>
          <w:bCs/>
          <w:sz w:val="28"/>
          <w:szCs w:val="28"/>
        </w:rPr>
        <w:t>IL</w:t>
      </w:r>
      <w:r>
        <w:rPr>
          <w:rFonts w:ascii="Arial Black" w:eastAsia="Times New Roman" w:hAnsi="Arial Black"/>
          <w:b/>
          <w:bCs/>
          <w:sz w:val="28"/>
          <w:szCs w:val="28"/>
        </w:rPr>
        <w:t>: OFF-DUTY PARAMEDIC - IN HOT TUB WITH FEMALE - SHE INJURED HEAD WHEN SLIPPED BATHROOM – CANNOT SUE CITY</w:t>
      </w:r>
    </w:p>
    <w:p w14:paraId="62ACCA3E" w14:textId="77777777" w:rsidR="007A1E7A" w:rsidRPr="00465FB3" w:rsidRDefault="007A1E7A" w:rsidP="007A1E7A">
      <w:pPr>
        <w:spacing w:before="100" w:beforeAutospacing="1" w:after="100" w:afterAutospacing="1" w:line="240" w:lineRule="auto"/>
        <w:rPr>
          <w:rFonts w:ascii="Times New Roman" w:hAnsi="Times New Roman"/>
          <w:sz w:val="24"/>
          <w:szCs w:val="24"/>
        </w:rPr>
      </w:pPr>
      <w:r w:rsidRPr="00465FB3">
        <w:rPr>
          <w:rFonts w:ascii="Times New Roman" w:eastAsia="Times New Roman" w:hAnsi="Times New Roman"/>
          <w:sz w:val="24"/>
          <w:szCs w:val="24"/>
        </w:rPr>
        <w:t xml:space="preserve">On Feb. 28, 2020, in </w:t>
      </w:r>
      <w:r w:rsidRPr="00465FB3">
        <w:rPr>
          <w:rFonts w:ascii="Times New Roman" w:eastAsia="Times New Roman" w:hAnsi="Times New Roman"/>
          <w:sz w:val="24"/>
          <w:szCs w:val="24"/>
          <w:u w:val="single"/>
        </w:rPr>
        <w:t xml:space="preserve">Kylie </w:t>
      </w:r>
      <w:proofErr w:type="spellStart"/>
      <w:r w:rsidRPr="00465FB3">
        <w:rPr>
          <w:rFonts w:ascii="Times New Roman" w:eastAsia="Times New Roman" w:hAnsi="Times New Roman"/>
          <w:sz w:val="24"/>
          <w:szCs w:val="24"/>
          <w:u w:val="single"/>
        </w:rPr>
        <w:t>Didonato</w:t>
      </w:r>
      <w:proofErr w:type="spellEnd"/>
      <w:r w:rsidRPr="00465FB3">
        <w:rPr>
          <w:rFonts w:ascii="Times New Roman" w:eastAsia="Times New Roman" w:hAnsi="Times New Roman"/>
          <w:sz w:val="24"/>
          <w:szCs w:val="24"/>
          <w:u w:val="single"/>
        </w:rPr>
        <w:t xml:space="preserve"> v. Tim Panatera and City of Chicago</w:t>
      </w:r>
      <w:r w:rsidRPr="00465FB3">
        <w:rPr>
          <w:rFonts w:ascii="Times New Roman" w:eastAsia="Times New Roman" w:hAnsi="Times New Roman"/>
          <w:sz w:val="24"/>
          <w:szCs w:val="24"/>
        </w:rPr>
        <w:t>, U.S. District Court Judge V</w:t>
      </w:r>
      <w:r w:rsidRPr="00465FB3">
        <w:rPr>
          <w:rFonts w:ascii="Times New Roman" w:hAnsi="Times New Roman"/>
          <w:sz w:val="24"/>
          <w:szCs w:val="24"/>
        </w:rPr>
        <w:t>irginia M. Kendall, Northern District of Illinois (Eastern Division), granted the motions to dismiss by the paramedic and the city.</w:t>
      </w:r>
    </w:p>
    <w:p w14:paraId="19D79E7F" w14:textId="77777777" w:rsidR="007A1E7A" w:rsidRPr="00465FB3" w:rsidRDefault="007A1E7A" w:rsidP="007A1E7A">
      <w:pPr>
        <w:spacing w:before="100" w:beforeAutospacing="1" w:after="100" w:afterAutospacing="1" w:line="240" w:lineRule="auto"/>
        <w:ind w:left="720"/>
        <w:rPr>
          <w:rFonts w:ascii="Times New Roman" w:hAnsi="Times New Roman"/>
          <w:sz w:val="24"/>
          <w:szCs w:val="24"/>
        </w:rPr>
      </w:pPr>
      <w:r w:rsidRPr="00465FB3">
        <w:rPr>
          <w:rFonts w:ascii="Times New Roman" w:hAnsi="Times New Roman"/>
          <w:sz w:val="24"/>
          <w:szCs w:val="24"/>
        </w:rPr>
        <w:lastRenderedPageBreak/>
        <w:t xml:space="preserve">“As this Court noted before, DiDonato's claim is that </w:t>
      </w:r>
      <w:proofErr w:type="spellStart"/>
      <w:r w:rsidRPr="00465FB3">
        <w:rPr>
          <w:rFonts w:ascii="Times New Roman" w:hAnsi="Times New Roman"/>
          <w:sz w:val="24"/>
          <w:szCs w:val="24"/>
        </w:rPr>
        <w:t>Panatera</w:t>
      </w:r>
      <w:proofErr w:type="spellEnd"/>
      <w:r w:rsidRPr="00465FB3">
        <w:rPr>
          <w:rFonts w:ascii="Times New Roman" w:hAnsi="Times New Roman"/>
          <w:sz w:val="24"/>
          <w:szCs w:val="24"/>
        </w:rPr>
        <w:t xml:space="preserve"> failed to do anything more than wrap her head in a towel and that he denied her proper medical care by failing to call 911 or taking her to a hospital for emergency care. (</w:t>
      </w:r>
      <w:proofErr w:type="spellStart"/>
      <w:r w:rsidRPr="00465FB3">
        <w:rPr>
          <w:rFonts w:ascii="Times New Roman" w:hAnsi="Times New Roman"/>
          <w:sz w:val="24"/>
          <w:szCs w:val="24"/>
        </w:rPr>
        <w:t>Dkt</w:t>
      </w:r>
      <w:proofErr w:type="spellEnd"/>
      <w:r w:rsidRPr="00465FB3">
        <w:rPr>
          <w:rFonts w:ascii="Times New Roman" w:hAnsi="Times New Roman"/>
          <w:sz w:val="24"/>
          <w:szCs w:val="24"/>
        </w:rPr>
        <w:t xml:space="preserve">. 37 at 10; </w:t>
      </w:r>
      <w:proofErr w:type="spellStart"/>
      <w:r w:rsidRPr="00465FB3">
        <w:rPr>
          <w:rFonts w:ascii="Times New Roman" w:hAnsi="Times New Roman"/>
          <w:sz w:val="24"/>
          <w:szCs w:val="24"/>
        </w:rPr>
        <w:t>Dkt</w:t>
      </w:r>
      <w:proofErr w:type="spellEnd"/>
      <w:r w:rsidRPr="00465FB3">
        <w:rPr>
          <w:rFonts w:ascii="Times New Roman" w:hAnsi="Times New Roman"/>
          <w:sz w:val="24"/>
          <w:szCs w:val="24"/>
        </w:rPr>
        <w:t xml:space="preserve">. 51 at 4; </w:t>
      </w:r>
      <w:proofErr w:type="spellStart"/>
      <w:r w:rsidRPr="00465FB3">
        <w:rPr>
          <w:rFonts w:ascii="Times New Roman" w:hAnsi="Times New Roman"/>
          <w:sz w:val="24"/>
          <w:szCs w:val="24"/>
        </w:rPr>
        <w:t>Dkt</w:t>
      </w:r>
      <w:proofErr w:type="spellEnd"/>
      <w:r w:rsidRPr="00465FB3">
        <w:rPr>
          <w:rFonts w:ascii="Times New Roman" w:hAnsi="Times New Roman"/>
          <w:sz w:val="24"/>
          <w:szCs w:val="24"/>
        </w:rPr>
        <w:t xml:space="preserve">. 52 at 3). This inaction, as DiDonato has alleged it, relates more to </w:t>
      </w:r>
      <w:proofErr w:type="spellStart"/>
      <w:r w:rsidRPr="00465FB3">
        <w:rPr>
          <w:rFonts w:ascii="Times New Roman" w:hAnsi="Times New Roman"/>
          <w:sz w:val="24"/>
          <w:szCs w:val="24"/>
        </w:rPr>
        <w:t>Panatera's</w:t>
      </w:r>
      <w:proofErr w:type="spellEnd"/>
      <w:r w:rsidRPr="00465FB3">
        <w:rPr>
          <w:rFonts w:ascii="Times New Roman" w:hAnsi="Times New Roman"/>
          <w:sz w:val="24"/>
          <w:szCs w:val="24"/>
        </w:rPr>
        <w:t xml:space="preserve"> role as a bystander than a paramedic, and actions unrelated to a state actor's official duties are not taken under color of </w:t>
      </w:r>
      <w:proofErr w:type="gramStart"/>
      <w:r w:rsidRPr="00465FB3">
        <w:rPr>
          <w:rFonts w:ascii="Times New Roman" w:hAnsi="Times New Roman"/>
          <w:sz w:val="24"/>
          <w:szCs w:val="24"/>
        </w:rPr>
        <w:t>law.”</w:t>
      </w:r>
      <w:proofErr w:type="gramEnd"/>
      <w:r w:rsidRPr="00465FB3">
        <w:rPr>
          <w:rFonts w:ascii="Times New Roman" w:hAnsi="Times New Roman"/>
          <w:sz w:val="24"/>
          <w:szCs w:val="24"/>
        </w:rPr>
        <w:t xml:space="preserve">  </w:t>
      </w:r>
      <w:hyperlink r:id="rId2262" w:history="1">
        <w:r w:rsidRPr="00465FB3">
          <w:rPr>
            <w:rStyle w:val="Hyperlink"/>
            <w:rFonts w:ascii="Times New Roman" w:hAnsi="Times New Roman"/>
            <w:sz w:val="24"/>
            <w:szCs w:val="24"/>
          </w:rPr>
          <w:t>https://public.fastcase.com/Wl%2B2t%2BeVuI35%2FN70vAMFZqKFItzKKJAOGXNCbwUcRCkzx%2FKqq12PgRkvPC2fj024</w:t>
        </w:r>
      </w:hyperlink>
      <w:r w:rsidRPr="00465FB3">
        <w:rPr>
          <w:rFonts w:ascii="Times New Roman" w:hAnsi="Times New Roman"/>
          <w:sz w:val="24"/>
          <w:szCs w:val="24"/>
        </w:rPr>
        <w:t xml:space="preserve"> </w:t>
      </w:r>
    </w:p>
    <w:p w14:paraId="06A65DFD" w14:textId="77777777" w:rsidR="007A1E7A" w:rsidRPr="00465FB3" w:rsidRDefault="007A1E7A" w:rsidP="007A1E7A">
      <w:pPr>
        <w:spacing w:before="100" w:beforeAutospacing="1" w:after="100" w:afterAutospacing="1" w:line="240" w:lineRule="auto"/>
        <w:rPr>
          <w:rFonts w:ascii="Times New Roman" w:hAnsi="Times New Roman"/>
          <w:b/>
          <w:bCs/>
          <w:sz w:val="24"/>
          <w:szCs w:val="24"/>
        </w:rPr>
      </w:pPr>
      <w:r w:rsidRPr="00465FB3">
        <w:rPr>
          <w:rFonts w:ascii="Times New Roman" w:eastAsia="Times New Roman" w:hAnsi="Times New Roman"/>
          <w:b/>
          <w:bCs/>
          <w:sz w:val="24"/>
          <w:szCs w:val="24"/>
        </w:rPr>
        <w:t xml:space="preserve">Legal Lessons Learned:  </w:t>
      </w:r>
      <w:r w:rsidRPr="00465FB3">
        <w:rPr>
          <w:rFonts w:ascii="Times New Roman" w:hAnsi="Times New Roman"/>
          <w:b/>
          <w:bCs/>
          <w:sz w:val="24"/>
          <w:szCs w:val="24"/>
        </w:rPr>
        <w:t xml:space="preserve">The Court had previously given plaintiff and opportunity to file an amended complaint: Aug. 20, 2019: </w:t>
      </w:r>
      <w:hyperlink r:id="rId2263" w:history="1">
        <w:r w:rsidRPr="00465FB3">
          <w:rPr>
            <w:rStyle w:val="Hyperlink"/>
            <w:rFonts w:ascii="Times New Roman" w:hAnsi="Times New Roman"/>
            <w:b/>
            <w:bCs/>
            <w:sz w:val="24"/>
            <w:szCs w:val="24"/>
          </w:rPr>
          <w:t>https://casetext.com/case/didonato-v-panatera</w:t>
        </w:r>
      </w:hyperlink>
      <w:r w:rsidRPr="00465FB3">
        <w:rPr>
          <w:rFonts w:ascii="Times New Roman" w:hAnsi="Times New Roman"/>
          <w:b/>
          <w:bCs/>
          <w:sz w:val="24"/>
          <w:szCs w:val="24"/>
        </w:rPr>
        <w:t xml:space="preserve"> . The case may now go back to State court on her claims against the paramedic (not the city) for negligence, assault, battery, and willful and wanton misconduct.</w:t>
      </w:r>
    </w:p>
    <w:p w14:paraId="29D23EBD" w14:textId="77777777" w:rsidR="007A1E7A" w:rsidRDefault="007A1E7A" w:rsidP="002B1283">
      <w:pPr>
        <w:rPr>
          <w:rFonts w:ascii="Arial Black" w:hAnsi="Arial Black"/>
          <w:b/>
          <w:bCs/>
          <w:sz w:val="28"/>
          <w:szCs w:val="28"/>
        </w:rPr>
      </w:pPr>
    </w:p>
    <w:p w14:paraId="2ECBFAAB" w14:textId="2BAC90B5" w:rsidR="007A1E7A" w:rsidRDefault="007A1E7A" w:rsidP="002B1283">
      <w:pPr>
        <w:rPr>
          <w:rFonts w:ascii="Arial Black" w:hAnsi="Arial Black"/>
          <w:b/>
          <w:bCs/>
          <w:sz w:val="28"/>
          <w:szCs w:val="28"/>
        </w:rPr>
      </w:pPr>
      <w:r>
        <w:rPr>
          <w:rFonts w:ascii="Arial Black" w:hAnsi="Arial Black"/>
          <w:b/>
          <w:bCs/>
          <w:sz w:val="28"/>
          <w:szCs w:val="28"/>
        </w:rPr>
        <w:t>13-44</w:t>
      </w:r>
    </w:p>
    <w:p w14:paraId="1C96A44A" w14:textId="77777777" w:rsidR="007A1E7A" w:rsidRPr="002C021D" w:rsidRDefault="007A1E7A" w:rsidP="007A1E7A">
      <w:pPr>
        <w:pStyle w:val="NoSpacing"/>
        <w:rPr>
          <w:rFonts w:ascii="Arial Black" w:hAnsi="Arial Black"/>
          <w:sz w:val="28"/>
          <w:szCs w:val="28"/>
        </w:rPr>
      </w:pPr>
      <w:r w:rsidRPr="002C021D">
        <w:rPr>
          <w:rFonts w:ascii="Arial Black" w:hAnsi="Arial Black"/>
          <w:sz w:val="28"/>
          <w:szCs w:val="28"/>
        </w:rPr>
        <w:t>NC</w:t>
      </w:r>
      <w:r>
        <w:rPr>
          <w:rFonts w:ascii="Arial Black" w:hAnsi="Arial Black"/>
          <w:sz w:val="28"/>
          <w:szCs w:val="28"/>
        </w:rPr>
        <w:t>: PARAMEDIC FIRED – ET TUBE PLACEMENT, MEDS – EMS BOARD REDUCED TO EMT-B – NOT RACE DISCRIMINATION</w:t>
      </w:r>
    </w:p>
    <w:p w14:paraId="5A2962DA" w14:textId="77777777" w:rsidR="007A1E7A" w:rsidRDefault="007A1E7A" w:rsidP="007A1E7A">
      <w:pPr>
        <w:pStyle w:val="NoSpacing"/>
        <w:rPr>
          <w:b/>
          <w:bCs/>
          <w:sz w:val="24"/>
          <w:szCs w:val="24"/>
        </w:rPr>
      </w:pPr>
    </w:p>
    <w:p w14:paraId="00C23957" w14:textId="77777777" w:rsidR="007A1E7A" w:rsidRPr="00465FB3" w:rsidRDefault="007A1E7A" w:rsidP="007A1E7A">
      <w:pPr>
        <w:pStyle w:val="NoSpacing"/>
        <w:rPr>
          <w:rFonts w:ascii="Times New Roman" w:hAnsi="Times New Roman"/>
          <w:b/>
          <w:bCs/>
          <w:sz w:val="24"/>
          <w:szCs w:val="24"/>
        </w:rPr>
      </w:pPr>
      <w:r w:rsidRPr="00465FB3">
        <w:rPr>
          <w:rFonts w:ascii="Times New Roman" w:hAnsi="Times New Roman"/>
          <w:bCs/>
          <w:sz w:val="24"/>
          <w:szCs w:val="24"/>
        </w:rPr>
        <w:t xml:space="preserve">On Feb. 11, 2020, in </w:t>
      </w:r>
      <w:r w:rsidRPr="00465FB3">
        <w:rPr>
          <w:rFonts w:ascii="Times New Roman" w:hAnsi="Times New Roman"/>
          <w:bCs/>
          <w:sz w:val="24"/>
          <w:szCs w:val="24"/>
          <w:u w:val="single"/>
        </w:rPr>
        <w:t>Danny Cade v. County of Bladen</w:t>
      </w:r>
      <w:r w:rsidRPr="00465FB3">
        <w:rPr>
          <w:rFonts w:ascii="Times New Roman" w:hAnsi="Times New Roman"/>
          <w:bCs/>
          <w:sz w:val="24"/>
          <w:szCs w:val="24"/>
        </w:rPr>
        <w:t xml:space="preserve">, U.S. District Court Judge Louise W. Flannigan, Eastern District of North Carolina (Western Division), granted the County’s motion for summary judgment, dismissing the race-discrimination lawsuit. </w:t>
      </w:r>
    </w:p>
    <w:p w14:paraId="361E608D" w14:textId="77777777" w:rsidR="007A1E7A" w:rsidRPr="00465FB3" w:rsidRDefault="007A1E7A" w:rsidP="007A1E7A">
      <w:pPr>
        <w:pStyle w:val="NoSpacing"/>
        <w:ind w:left="720"/>
        <w:rPr>
          <w:rFonts w:ascii="Times New Roman" w:hAnsi="Times New Roman"/>
          <w:b/>
          <w:bCs/>
          <w:sz w:val="24"/>
          <w:szCs w:val="24"/>
        </w:rPr>
      </w:pPr>
    </w:p>
    <w:p w14:paraId="466ABF90" w14:textId="77777777" w:rsidR="007A1E7A" w:rsidRDefault="007A1E7A" w:rsidP="007A1E7A">
      <w:pPr>
        <w:pStyle w:val="NoSpacing"/>
        <w:ind w:left="720"/>
        <w:rPr>
          <w:rFonts w:ascii="Times New Roman" w:hAnsi="Times New Roman"/>
          <w:bCs/>
          <w:sz w:val="24"/>
          <w:szCs w:val="24"/>
        </w:rPr>
      </w:pPr>
      <w:r w:rsidRPr="00465FB3">
        <w:rPr>
          <w:rFonts w:ascii="Times New Roman" w:hAnsi="Times New Roman"/>
          <w:bCs/>
          <w:sz w:val="24"/>
          <w:szCs w:val="24"/>
        </w:rPr>
        <w:t xml:space="preserve">“Defendant meets its burden by coming forward with legitimate nondiscriminatory reasons for plaintiff's suspension and termination. Bowman testified that, on January 27, 2017, plaintiff failed properly to use an endotracheal tube to help the patient breathe. (Bowman Dep. (DE 40-3, 43-3) 41:5-43:15, 48:16-49:10, 52:6-25). Bowman asked if any medication had been given, plaintiff responded he had administered two epinephrine pills, though all the epinephrine pills were still in the bag. (Bowman Dep. (DE 40-3, 43-3) </w:t>
      </w:r>
    </w:p>
    <w:p w14:paraId="0843E16A" w14:textId="77777777" w:rsidR="007A1E7A" w:rsidRDefault="007A1E7A" w:rsidP="007A1E7A">
      <w:pPr>
        <w:pStyle w:val="NoSpacing"/>
        <w:ind w:left="720"/>
        <w:rPr>
          <w:rFonts w:ascii="Times New Roman" w:hAnsi="Times New Roman"/>
          <w:bCs/>
          <w:sz w:val="24"/>
          <w:szCs w:val="24"/>
        </w:rPr>
      </w:pPr>
    </w:p>
    <w:p w14:paraId="2F2B5AC7" w14:textId="77777777" w:rsidR="007A1E7A" w:rsidRDefault="007A1E7A" w:rsidP="007A1E7A">
      <w:pPr>
        <w:pStyle w:val="NoSpacing"/>
        <w:ind w:left="720"/>
        <w:rPr>
          <w:rFonts w:ascii="Times New Roman" w:hAnsi="Times New Roman"/>
          <w:bCs/>
          <w:sz w:val="24"/>
          <w:szCs w:val="24"/>
        </w:rPr>
      </w:pPr>
    </w:p>
    <w:p w14:paraId="2D4651C5" w14:textId="77777777" w:rsidR="007A1E7A" w:rsidRPr="00465FB3" w:rsidRDefault="007A1E7A" w:rsidP="007A1E7A">
      <w:pPr>
        <w:pStyle w:val="NoSpacing"/>
        <w:ind w:left="720"/>
        <w:rPr>
          <w:rFonts w:ascii="Times New Roman" w:hAnsi="Times New Roman"/>
          <w:sz w:val="24"/>
          <w:szCs w:val="24"/>
        </w:rPr>
      </w:pPr>
      <w:r w:rsidRPr="00465FB3">
        <w:rPr>
          <w:rFonts w:ascii="Times New Roman" w:hAnsi="Times New Roman"/>
          <w:bCs/>
          <w:sz w:val="24"/>
          <w:szCs w:val="24"/>
        </w:rPr>
        <w:t xml:space="preserve">43:16-44:4, 48:9-15). Bowman testified that plaintiff failed properly to take a diagnostic of the patient's heart. (Bowman Dep. (DE 40-3, 43-3) 46:14-22, 59:1-11). Singletary, who was also on the call with plaintiff, and Bowman both filed reports identifying deficiencies in the care administered by plaintiff to the patient. (Cade Dep. (DE 40-2) Ex. 12, 13). *** A peer review committee was convened to review the call and determined that a state investigation was necessary regarding whether plaintiff failed to follow proper treatment protocol, negligently performed his duties, and falsified patient records. (Cade Dep. (DE 40-2) Ex. 15). Defendant suspended plaintiff without pay pending investigation of these issues by the state, and it explained that plaintiff's continued </w:t>
      </w:r>
      <w:proofErr w:type="gramStart"/>
      <w:r w:rsidRPr="00465FB3">
        <w:rPr>
          <w:rFonts w:ascii="Times New Roman" w:hAnsi="Times New Roman"/>
          <w:bCs/>
          <w:sz w:val="24"/>
          <w:szCs w:val="24"/>
        </w:rPr>
        <w:t>employed</w:t>
      </w:r>
      <w:proofErr w:type="gramEnd"/>
      <w:r w:rsidRPr="00465FB3">
        <w:rPr>
          <w:rFonts w:ascii="Times New Roman" w:hAnsi="Times New Roman"/>
          <w:bCs/>
          <w:sz w:val="24"/>
          <w:szCs w:val="24"/>
        </w:rPr>
        <w:t xml:space="preserve"> with the state would be contingent on the state findings of investigation. (Cade Dep. (DE 40-2) Ex. 15, 16). The state investigation </w:t>
      </w:r>
      <w:r w:rsidRPr="00465FB3">
        <w:rPr>
          <w:rFonts w:ascii="Times New Roman" w:eastAsia="Times New Roman" w:hAnsi="Times New Roman"/>
          <w:bCs/>
          <w:sz w:val="24"/>
          <w:szCs w:val="24"/>
        </w:rPr>
        <w:t xml:space="preserve">[by </w:t>
      </w:r>
      <w:r w:rsidRPr="00465FB3">
        <w:rPr>
          <w:rFonts w:ascii="Times New Roman" w:hAnsi="Times New Roman"/>
          <w:bCs/>
          <w:sz w:val="24"/>
          <w:szCs w:val="24"/>
        </w:rPr>
        <w:t>North Carolina Office of Emergency Medical Services]</w:t>
      </w:r>
      <w:r w:rsidRPr="00465FB3">
        <w:rPr>
          <w:rFonts w:ascii="Times New Roman" w:hAnsi="Times New Roman"/>
          <w:sz w:val="24"/>
          <w:szCs w:val="24"/>
        </w:rPr>
        <w:t xml:space="preserve"> </w:t>
      </w:r>
      <w:r w:rsidRPr="00465FB3">
        <w:rPr>
          <w:rFonts w:ascii="Times New Roman" w:hAnsi="Times New Roman"/>
          <w:bCs/>
          <w:sz w:val="24"/>
          <w:szCs w:val="24"/>
        </w:rPr>
        <w:t xml:space="preserve">found numerous deficiencies in plaintiff's performance on the job, determined that plaintiff falsified details of the call, and revoked plaintiff's EMT-P credential. (Cade Dep. (DE 40-2) Ex. 20). Relying on the same factual findings as the state, </w:t>
      </w:r>
      <w:proofErr w:type="gramStart"/>
      <w:r w:rsidRPr="00465FB3">
        <w:rPr>
          <w:rFonts w:ascii="Times New Roman" w:hAnsi="Times New Roman"/>
          <w:bCs/>
          <w:sz w:val="24"/>
          <w:szCs w:val="24"/>
        </w:rPr>
        <w:t>defendant</w:t>
      </w:r>
      <w:proofErr w:type="gramEnd"/>
      <w:r w:rsidRPr="00465FB3">
        <w:rPr>
          <w:rFonts w:ascii="Times New Roman" w:hAnsi="Times New Roman"/>
          <w:bCs/>
          <w:sz w:val="24"/>
          <w:szCs w:val="24"/>
        </w:rPr>
        <w:t xml:space="preserve"> terminated plaintiff's employment for violating county policy. (Cade Dep. (DE 40-2) Ex. 21, 22).”</w:t>
      </w:r>
      <w:r w:rsidRPr="00465FB3">
        <w:rPr>
          <w:rFonts w:ascii="Times New Roman" w:hAnsi="Times New Roman"/>
          <w:sz w:val="24"/>
          <w:szCs w:val="24"/>
        </w:rPr>
        <w:t xml:space="preserve"> </w:t>
      </w:r>
      <w:hyperlink r:id="rId2264" w:history="1">
        <w:r w:rsidRPr="00465FB3">
          <w:rPr>
            <w:rStyle w:val="Hyperlink"/>
            <w:rFonts w:ascii="Times New Roman" w:hAnsi="Times New Roman"/>
            <w:bCs/>
            <w:sz w:val="24"/>
            <w:szCs w:val="24"/>
          </w:rPr>
          <w:t>https://public.fastcase.com/Wl%2B2t%2BeVuI35%2FN70vAMFZiXFpIhEfmm%2F8CTY%2Fzzj67xZNFbM2CzcHQjFO%2Fg%2BhpjG</w:t>
        </w:r>
      </w:hyperlink>
      <w:r w:rsidRPr="00465FB3">
        <w:rPr>
          <w:rFonts w:ascii="Times New Roman" w:hAnsi="Times New Roman"/>
          <w:bCs/>
          <w:sz w:val="24"/>
          <w:szCs w:val="24"/>
        </w:rPr>
        <w:t xml:space="preserve"> </w:t>
      </w:r>
    </w:p>
    <w:p w14:paraId="263C0693" w14:textId="77777777" w:rsidR="007A1E7A" w:rsidRPr="00465FB3" w:rsidRDefault="007A1E7A" w:rsidP="007A1E7A">
      <w:pPr>
        <w:spacing w:before="100" w:beforeAutospacing="1" w:after="100" w:afterAutospacing="1"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 xml:space="preserve">Legal Lessons Learned: The EMS Department properly notified State EMS Board of serious violations of protocol; suspended Medic and awaited state investigation before terminating the Medic. </w:t>
      </w:r>
    </w:p>
    <w:p w14:paraId="659D2EA1" w14:textId="77777777" w:rsidR="007A1E7A" w:rsidRDefault="007A1E7A" w:rsidP="002B1283">
      <w:pPr>
        <w:rPr>
          <w:rFonts w:ascii="Arial Black" w:hAnsi="Arial Black"/>
          <w:b/>
          <w:bCs/>
          <w:sz w:val="28"/>
          <w:szCs w:val="28"/>
        </w:rPr>
      </w:pPr>
    </w:p>
    <w:p w14:paraId="5C29A0F3" w14:textId="11E6FDA4" w:rsidR="00021E64" w:rsidRDefault="00021E64" w:rsidP="002B1283">
      <w:pPr>
        <w:rPr>
          <w:rFonts w:ascii="Arial Black" w:hAnsi="Arial Black"/>
          <w:b/>
          <w:bCs/>
          <w:sz w:val="28"/>
          <w:szCs w:val="28"/>
        </w:rPr>
      </w:pPr>
      <w:r>
        <w:rPr>
          <w:rFonts w:ascii="Arial Black" w:hAnsi="Arial Black"/>
          <w:b/>
          <w:bCs/>
          <w:sz w:val="28"/>
          <w:szCs w:val="28"/>
        </w:rPr>
        <w:t>13-4</w:t>
      </w:r>
      <w:r w:rsidR="007A1E7A">
        <w:rPr>
          <w:rFonts w:ascii="Arial Black" w:hAnsi="Arial Black"/>
          <w:b/>
          <w:bCs/>
          <w:sz w:val="28"/>
          <w:szCs w:val="28"/>
        </w:rPr>
        <w:t>3</w:t>
      </w:r>
    </w:p>
    <w:p w14:paraId="20BAA0F2" w14:textId="77777777" w:rsidR="00021E64" w:rsidRPr="00E72B44" w:rsidRDefault="00021E64" w:rsidP="00021E64">
      <w:pPr>
        <w:pStyle w:val="NoSpacing"/>
        <w:rPr>
          <w:rFonts w:ascii="Arial Black" w:hAnsi="Arial Black"/>
          <w:b/>
          <w:bCs/>
          <w:sz w:val="28"/>
          <w:szCs w:val="28"/>
        </w:rPr>
      </w:pPr>
      <w:bookmarkStart w:id="476" w:name="_Hlk39819998"/>
      <w:r w:rsidRPr="00E72B44">
        <w:rPr>
          <w:rFonts w:ascii="Arial Black" w:hAnsi="Arial Black"/>
          <w:bCs/>
          <w:sz w:val="28"/>
          <w:szCs w:val="28"/>
        </w:rPr>
        <w:t xml:space="preserve">TN: </w:t>
      </w:r>
      <w:r>
        <w:rPr>
          <w:rFonts w:ascii="Arial Black" w:hAnsi="Arial Black"/>
          <w:bCs/>
          <w:sz w:val="28"/>
          <w:szCs w:val="28"/>
        </w:rPr>
        <w:t>COMBATIVE PATIENT – PD RESTRAINED PATIENT - EMS USED SUCCINYLCHOLINE – QUALIFIED IMMUNITY, FOLLOWED PROTOCOL</w:t>
      </w:r>
    </w:p>
    <w:p w14:paraId="32BD2361" w14:textId="77777777" w:rsidR="00021E64" w:rsidRDefault="00021E64" w:rsidP="00021E64">
      <w:pPr>
        <w:pStyle w:val="NoSpacing"/>
        <w:ind w:left="720"/>
        <w:rPr>
          <w:b/>
          <w:bCs/>
          <w:sz w:val="24"/>
          <w:szCs w:val="24"/>
        </w:rPr>
      </w:pPr>
    </w:p>
    <w:p w14:paraId="1D03144F" w14:textId="77777777" w:rsidR="00021E64" w:rsidRPr="004236BE" w:rsidRDefault="00021E64" w:rsidP="00021E64">
      <w:pPr>
        <w:pStyle w:val="NoSpacing"/>
        <w:rPr>
          <w:rFonts w:ascii="Times New Roman" w:hAnsi="Times New Roman"/>
          <w:b/>
          <w:bCs/>
          <w:sz w:val="24"/>
          <w:szCs w:val="24"/>
        </w:rPr>
      </w:pPr>
      <w:r w:rsidRPr="004236BE">
        <w:rPr>
          <w:rFonts w:ascii="Times New Roman" w:hAnsi="Times New Roman"/>
          <w:bCs/>
          <w:sz w:val="24"/>
          <w:szCs w:val="24"/>
        </w:rPr>
        <w:t xml:space="preserve">On Jan. 21, 2020, in </w:t>
      </w:r>
      <w:r w:rsidRPr="004236BE">
        <w:rPr>
          <w:rFonts w:ascii="Times New Roman" w:hAnsi="Times New Roman"/>
          <w:bCs/>
          <w:sz w:val="24"/>
          <w:szCs w:val="24"/>
          <w:u w:val="single"/>
        </w:rPr>
        <w:t>Estate of Dustin Barnwell v. Mitchell Grigsby, et al</w:t>
      </w:r>
      <w:r w:rsidRPr="004236BE">
        <w:rPr>
          <w:rFonts w:ascii="Times New Roman" w:hAnsi="Times New Roman"/>
          <w:bCs/>
          <w:sz w:val="24"/>
          <w:szCs w:val="24"/>
        </w:rPr>
        <w:t xml:space="preserve">., the U.S. Court of Appeals for the Sixth Circuit (Cincinnati, OH) held 3 to 0 that the U.S. District Court judge, after three days of trial before a jury, properly dismissed the lawsuit against police and paramedics. </w:t>
      </w:r>
    </w:p>
    <w:p w14:paraId="1A2EECE6" w14:textId="77777777" w:rsidR="00021E64" w:rsidRPr="004236BE" w:rsidRDefault="00021E64" w:rsidP="00021E64">
      <w:pPr>
        <w:pStyle w:val="NoSpacing"/>
        <w:ind w:left="720"/>
        <w:rPr>
          <w:rFonts w:ascii="Times New Roman" w:hAnsi="Times New Roman"/>
          <w:b/>
          <w:bCs/>
          <w:sz w:val="24"/>
          <w:szCs w:val="24"/>
        </w:rPr>
      </w:pPr>
    </w:p>
    <w:p w14:paraId="1542F100" w14:textId="77777777" w:rsidR="00021E64" w:rsidRPr="004236BE" w:rsidRDefault="00021E64" w:rsidP="00021E64">
      <w:pPr>
        <w:pStyle w:val="NoSpacing"/>
        <w:ind w:left="720"/>
        <w:rPr>
          <w:rFonts w:ascii="Times New Roman" w:hAnsi="Times New Roman"/>
          <w:b/>
          <w:bCs/>
          <w:sz w:val="24"/>
          <w:szCs w:val="24"/>
        </w:rPr>
      </w:pPr>
      <w:r w:rsidRPr="004236BE">
        <w:rPr>
          <w:rFonts w:ascii="Times New Roman" w:hAnsi="Times New Roman"/>
          <w:bCs/>
          <w:sz w:val="24"/>
          <w:szCs w:val="24"/>
        </w:rPr>
        <w:t xml:space="preserve">“After three days of trial, the district court found that the defendants’ entitlement to qualified immunity resolved the ultimate issue in the case: whether administration of succinylcholine to Barnwell constituted </w:t>
      </w:r>
      <w:proofErr w:type="gramStart"/>
      <w:r w:rsidRPr="004236BE">
        <w:rPr>
          <w:rFonts w:ascii="Times New Roman" w:hAnsi="Times New Roman"/>
          <w:bCs/>
          <w:sz w:val="24"/>
          <w:szCs w:val="24"/>
        </w:rPr>
        <w:t>constitutionally-impermissible</w:t>
      </w:r>
      <w:proofErr w:type="gramEnd"/>
      <w:r w:rsidRPr="004236BE">
        <w:rPr>
          <w:rFonts w:ascii="Times New Roman" w:hAnsi="Times New Roman"/>
          <w:bCs/>
          <w:sz w:val="24"/>
          <w:szCs w:val="24"/>
        </w:rPr>
        <w:t xml:space="preserve"> excessive force. The district court properly viewed the evidence in the light most favorable to Gilmore and found that there was no legally sufficient basis fora reasonable jury to find for Gilmore on the ultimate issue in the case.”</w:t>
      </w:r>
      <w:r w:rsidRPr="004236BE">
        <w:rPr>
          <w:rFonts w:ascii="Times New Roman" w:hAnsi="Times New Roman"/>
          <w:sz w:val="24"/>
          <w:szCs w:val="24"/>
        </w:rPr>
        <w:t xml:space="preserve"> </w:t>
      </w:r>
      <w:hyperlink r:id="rId2265" w:history="1">
        <w:r w:rsidRPr="004236BE">
          <w:rPr>
            <w:rStyle w:val="Hyperlink"/>
            <w:rFonts w:ascii="Times New Roman" w:hAnsi="Times New Roman"/>
            <w:b/>
            <w:sz w:val="24"/>
            <w:szCs w:val="24"/>
          </w:rPr>
          <w:t>https://cases.justia.com/federal/appellate-courts/ca6/18-5480/18-5480-2020-01-21.pdf?ts=1579627818</w:t>
        </w:r>
      </w:hyperlink>
      <w:r w:rsidRPr="004236BE">
        <w:rPr>
          <w:rFonts w:ascii="Times New Roman" w:hAnsi="Times New Roman"/>
          <w:bCs/>
          <w:sz w:val="24"/>
          <w:szCs w:val="24"/>
        </w:rPr>
        <w:t xml:space="preserve"> </w:t>
      </w:r>
    </w:p>
    <w:bookmarkEnd w:id="476"/>
    <w:p w14:paraId="7D77084D" w14:textId="77777777" w:rsidR="00021E64" w:rsidRDefault="00021E64" w:rsidP="00021E64">
      <w:pPr>
        <w:pStyle w:val="NoSpacing"/>
        <w:rPr>
          <w:rFonts w:ascii="Times New Roman" w:hAnsi="Times New Roman"/>
          <w:b/>
          <w:bCs/>
          <w:sz w:val="24"/>
          <w:szCs w:val="24"/>
        </w:rPr>
      </w:pPr>
    </w:p>
    <w:p w14:paraId="3D79DD9D" w14:textId="0737A9BA" w:rsidR="00021E64" w:rsidRPr="004236BE" w:rsidRDefault="00021E64" w:rsidP="00021E64">
      <w:pPr>
        <w:pStyle w:val="NoSpacing"/>
        <w:rPr>
          <w:rFonts w:ascii="Times New Roman" w:eastAsia="Times New Roman" w:hAnsi="Times New Roman"/>
          <w:b/>
          <w:bCs/>
          <w:sz w:val="24"/>
          <w:szCs w:val="24"/>
        </w:rPr>
      </w:pPr>
      <w:bookmarkStart w:id="477" w:name="_Hlk40514480"/>
      <w:r w:rsidRPr="004236BE">
        <w:rPr>
          <w:rFonts w:ascii="Times New Roman" w:hAnsi="Times New Roman"/>
          <w:b/>
          <w:bCs/>
          <w:sz w:val="24"/>
          <w:szCs w:val="24"/>
        </w:rPr>
        <w:t xml:space="preserve">Legal Lessons Learned: Thoroughly document details about the combative patient, and </w:t>
      </w:r>
      <w:r>
        <w:rPr>
          <w:rFonts w:ascii="Times New Roman" w:hAnsi="Times New Roman"/>
          <w:b/>
          <w:bCs/>
          <w:sz w:val="24"/>
          <w:szCs w:val="24"/>
        </w:rPr>
        <w:t xml:space="preserve">protocol on </w:t>
      </w:r>
      <w:r w:rsidRPr="004236BE">
        <w:rPr>
          <w:rFonts w:ascii="Times New Roman" w:hAnsi="Times New Roman"/>
          <w:b/>
          <w:bCs/>
          <w:sz w:val="24"/>
          <w:szCs w:val="24"/>
        </w:rPr>
        <w:t xml:space="preserve">meds administered </w:t>
      </w:r>
      <w:r>
        <w:rPr>
          <w:rFonts w:ascii="Times New Roman" w:hAnsi="Times New Roman"/>
          <w:b/>
          <w:bCs/>
          <w:sz w:val="24"/>
          <w:szCs w:val="24"/>
        </w:rPr>
        <w:t xml:space="preserve">was followed. </w:t>
      </w:r>
    </w:p>
    <w:p w14:paraId="531D28FF" w14:textId="77777777" w:rsidR="00021E64" w:rsidRDefault="00021E64" w:rsidP="002B1283">
      <w:pPr>
        <w:rPr>
          <w:rFonts w:ascii="Arial Black" w:hAnsi="Arial Black"/>
          <w:b/>
          <w:bCs/>
          <w:sz w:val="28"/>
          <w:szCs w:val="28"/>
        </w:rPr>
      </w:pPr>
    </w:p>
    <w:bookmarkEnd w:id="477"/>
    <w:p w14:paraId="305E8D18" w14:textId="77777777" w:rsidR="00021E64" w:rsidRDefault="00021E64" w:rsidP="00DE0F03">
      <w:pPr>
        <w:pStyle w:val="NoSpacing"/>
        <w:rPr>
          <w:rFonts w:ascii="Arial Black" w:hAnsi="Arial Black"/>
          <w:sz w:val="24"/>
          <w:szCs w:val="24"/>
        </w:rPr>
      </w:pPr>
    </w:p>
    <w:p w14:paraId="5269B26C" w14:textId="5A8944E7" w:rsidR="00420322" w:rsidRDefault="00420322" w:rsidP="00DE0F03">
      <w:pPr>
        <w:pStyle w:val="NoSpacing"/>
        <w:rPr>
          <w:rFonts w:ascii="Arial Black" w:hAnsi="Arial Black"/>
          <w:sz w:val="24"/>
          <w:szCs w:val="24"/>
        </w:rPr>
      </w:pPr>
      <w:r>
        <w:rPr>
          <w:rFonts w:ascii="Arial Black" w:hAnsi="Arial Black"/>
          <w:sz w:val="24"/>
          <w:szCs w:val="24"/>
        </w:rPr>
        <w:t>13-4</w:t>
      </w:r>
      <w:r w:rsidR="007A1E7A">
        <w:rPr>
          <w:rFonts w:ascii="Arial Black" w:hAnsi="Arial Black"/>
          <w:sz w:val="24"/>
          <w:szCs w:val="24"/>
        </w:rPr>
        <w:t>2</w:t>
      </w:r>
    </w:p>
    <w:p w14:paraId="03855AE1" w14:textId="2DFC2981" w:rsidR="00420322" w:rsidRDefault="00420322" w:rsidP="00DE0F03">
      <w:pPr>
        <w:pStyle w:val="NoSpacing"/>
        <w:rPr>
          <w:rFonts w:ascii="Arial Black" w:hAnsi="Arial Black"/>
          <w:sz w:val="24"/>
          <w:szCs w:val="24"/>
        </w:rPr>
      </w:pPr>
    </w:p>
    <w:p w14:paraId="5C0F8BD1" w14:textId="6EF9963B" w:rsidR="00420322" w:rsidRPr="00F81147" w:rsidRDefault="00420322" w:rsidP="00420322">
      <w:pPr>
        <w:rPr>
          <w:rFonts w:ascii="Arial Black" w:hAnsi="Arial Black"/>
          <w:sz w:val="28"/>
          <w:szCs w:val="28"/>
        </w:rPr>
      </w:pPr>
      <w:bookmarkStart w:id="478" w:name="_Hlk39820349"/>
      <w:bookmarkStart w:id="479" w:name="_Hlk41297971"/>
      <w:r w:rsidRPr="00AF53CE">
        <w:rPr>
          <w:rFonts w:ascii="Arial Black" w:hAnsi="Arial Black"/>
          <w:sz w:val="28"/>
          <w:szCs w:val="28"/>
        </w:rPr>
        <w:t xml:space="preserve">GA: </w:t>
      </w:r>
      <w:r>
        <w:rPr>
          <w:rFonts w:ascii="Arial Black" w:hAnsi="Arial Black"/>
          <w:sz w:val="28"/>
          <w:szCs w:val="28"/>
        </w:rPr>
        <w:t>EMT – OBJECTED WHEN TOLD TO FALSIFY PATIENTS CAN’T WALK – LATER FIRED, DIDN’T INFORM DIR. 2</w:t>
      </w:r>
      <w:r w:rsidRPr="00AC5D85">
        <w:rPr>
          <w:rFonts w:ascii="Arial Black" w:hAnsi="Arial Black"/>
          <w:sz w:val="28"/>
          <w:szCs w:val="28"/>
          <w:vertAlign w:val="superscript"/>
        </w:rPr>
        <w:t>nd</w:t>
      </w:r>
      <w:r>
        <w:rPr>
          <w:rFonts w:ascii="Arial Black" w:hAnsi="Arial Black"/>
          <w:sz w:val="28"/>
          <w:szCs w:val="28"/>
        </w:rPr>
        <w:t xml:space="preserve"> EMS JOB – NO RETALIATION </w:t>
      </w:r>
      <w:r w:rsidR="00F81147">
        <w:rPr>
          <w:rFonts w:ascii="Arial Black" w:hAnsi="Arial Black"/>
          <w:sz w:val="28"/>
          <w:szCs w:val="28"/>
        </w:rPr>
        <w:t xml:space="preserve">                                                                                              </w:t>
      </w:r>
      <w:r>
        <w:rPr>
          <w:rFonts w:ascii="Times New Roman" w:hAnsi="Times New Roman"/>
          <w:sz w:val="24"/>
          <w:szCs w:val="24"/>
        </w:rPr>
        <w:t xml:space="preserve">On Jan. 3, 2020, in </w:t>
      </w:r>
      <w:r w:rsidRPr="00AF53CE">
        <w:rPr>
          <w:rFonts w:ascii="Times New Roman" w:hAnsi="Times New Roman"/>
          <w:sz w:val="24"/>
          <w:szCs w:val="24"/>
          <w:u w:val="single"/>
        </w:rPr>
        <w:t>Jamie Nesbitt v. Chandler County, GA, d.b.a. Chandler County Ambulance Service</w:t>
      </w:r>
      <w:r>
        <w:rPr>
          <w:rFonts w:ascii="Times New Roman" w:hAnsi="Times New Roman"/>
          <w:sz w:val="24"/>
          <w:szCs w:val="24"/>
        </w:rPr>
        <w:t>, the U.S. Court of Appeals for the 11</w:t>
      </w:r>
      <w:r w:rsidRPr="00AF53CE">
        <w:rPr>
          <w:rFonts w:ascii="Times New Roman" w:hAnsi="Times New Roman"/>
          <w:sz w:val="24"/>
          <w:szCs w:val="24"/>
          <w:vertAlign w:val="superscript"/>
        </w:rPr>
        <w:t>th</w:t>
      </w:r>
      <w:r>
        <w:rPr>
          <w:rFonts w:ascii="Times New Roman" w:hAnsi="Times New Roman"/>
          <w:sz w:val="24"/>
          <w:szCs w:val="24"/>
        </w:rPr>
        <w:t xml:space="preserve"> Circuit (Atlanta) held 3 to 0 that the U.S. District Court judge properly dismissed the EMT’s False Claims Act lawsuit claiming retaliation.  He was fired for having an undisclosed second job working for a private ambulance company; no proof that “but for” his being a whistleblower he would have been fired. </w:t>
      </w:r>
    </w:p>
    <w:p w14:paraId="5B73BD32" w14:textId="77777777" w:rsidR="00420322" w:rsidRPr="00127858" w:rsidRDefault="00420322" w:rsidP="00420322">
      <w:pPr>
        <w:ind w:left="720"/>
        <w:rPr>
          <w:rFonts w:ascii="Times New Roman" w:hAnsi="Times New Roman"/>
          <w:sz w:val="24"/>
          <w:szCs w:val="24"/>
        </w:rPr>
      </w:pPr>
      <w:r>
        <w:rPr>
          <w:rFonts w:ascii="Times New Roman" w:hAnsi="Times New Roman"/>
          <w:sz w:val="24"/>
          <w:szCs w:val="24"/>
        </w:rPr>
        <w:t>“</w:t>
      </w:r>
      <w:r w:rsidRPr="00127858">
        <w:rPr>
          <w:rFonts w:ascii="Times New Roman" w:hAnsi="Times New Roman"/>
          <w:sz w:val="24"/>
          <w:szCs w:val="24"/>
        </w:rPr>
        <w:t xml:space="preserve">According to Nesbitt, when Greer became the deputy </w:t>
      </w:r>
      <w:proofErr w:type="gramStart"/>
      <w:r w:rsidRPr="00127858">
        <w:rPr>
          <w:rFonts w:ascii="Times New Roman" w:hAnsi="Times New Roman"/>
          <w:sz w:val="24"/>
          <w:szCs w:val="24"/>
        </w:rPr>
        <w:t>director</w:t>
      </w:r>
      <w:proofErr w:type="gramEnd"/>
      <w:r w:rsidRPr="00127858">
        <w:rPr>
          <w:rFonts w:ascii="Times New Roman" w:hAnsi="Times New Roman"/>
          <w:sz w:val="24"/>
          <w:szCs w:val="24"/>
        </w:rPr>
        <w:t xml:space="preserve"> he started pressuring the EMTs to write in their report narratives that patients were unable to walk, even if they could. That </w:t>
      </w:r>
      <w:proofErr w:type="gramStart"/>
      <w:r w:rsidRPr="00127858">
        <w:rPr>
          <w:rFonts w:ascii="Times New Roman" w:hAnsi="Times New Roman"/>
          <w:sz w:val="24"/>
          <w:szCs w:val="24"/>
        </w:rPr>
        <w:t>way</w:t>
      </w:r>
      <w:proofErr w:type="gramEnd"/>
      <w:r w:rsidRPr="00127858">
        <w:rPr>
          <w:rFonts w:ascii="Times New Roman" w:hAnsi="Times New Roman"/>
          <w:sz w:val="24"/>
          <w:szCs w:val="24"/>
        </w:rPr>
        <w:t xml:space="preserve"> Medicare would pay for more trips. Nesbitt believed that Greer was asking him to commit fraud, so he began complaining to Greer himself and other County officials.  *** The County had a policy prohibiting EMTs from working side jobs without the approval of the ambulance service director. Greer was not the director, David Moore was. Nesbitt assumed that Moore somehow knew about his other job, but there’s no evidence that Moore did know about it, much less that he approved it.</w:t>
      </w:r>
      <w:r>
        <w:rPr>
          <w:rFonts w:ascii="Times New Roman" w:hAnsi="Times New Roman"/>
          <w:sz w:val="24"/>
          <w:szCs w:val="24"/>
        </w:rPr>
        <w:t xml:space="preserve">” </w:t>
      </w:r>
      <w:bookmarkStart w:id="480" w:name="_Hlk41151938"/>
      <w:r w:rsidR="00F37A4B">
        <w:fldChar w:fldCharType="begin"/>
      </w:r>
      <w:r w:rsidR="00F37A4B">
        <w:instrText xml:space="preserve"> HYPERLINK "http://media.ca11.uscourts.gov/opinions/pub/files/201814484.pdf" </w:instrText>
      </w:r>
      <w:r w:rsidR="00F37A4B">
        <w:fldChar w:fldCharType="separate"/>
      </w:r>
      <w:r w:rsidRPr="00631896">
        <w:rPr>
          <w:rStyle w:val="Hyperlink"/>
          <w:rFonts w:ascii="Times New Roman" w:hAnsi="Times New Roman"/>
          <w:sz w:val="24"/>
          <w:szCs w:val="24"/>
        </w:rPr>
        <w:t>http://media.ca11.uscourts.gov/opinions/pub/files/201814484.pdf</w:t>
      </w:r>
      <w:r w:rsidR="00F37A4B">
        <w:rPr>
          <w:rStyle w:val="Hyperlink"/>
          <w:rFonts w:ascii="Times New Roman" w:hAnsi="Times New Roman"/>
          <w:sz w:val="24"/>
          <w:szCs w:val="24"/>
        </w:rPr>
        <w:fldChar w:fldCharType="end"/>
      </w:r>
      <w:r>
        <w:rPr>
          <w:rFonts w:ascii="Times New Roman" w:hAnsi="Times New Roman"/>
          <w:sz w:val="24"/>
          <w:szCs w:val="24"/>
        </w:rPr>
        <w:t xml:space="preserve"> </w:t>
      </w:r>
    </w:p>
    <w:bookmarkEnd w:id="478"/>
    <w:p w14:paraId="3DD10371" w14:textId="4B44F376" w:rsidR="00420322" w:rsidRPr="00F37A4B" w:rsidRDefault="00F37A4B" w:rsidP="00DE0F03">
      <w:pPr>
        <w:pStyle w:val="NoSpacing"/>
        <w:rPr>
          <w:rFonts w:ascii="Times New Roman" w:hAnsi="Times New Roman"/>
          <w:b/>
          <w:bCs/>
          <w:sz w:val="24"/>
          <w:szCs w:val="24"/>
        </w:rPr>
      </w:pPr>
      <w:r w:rsidRPr="00F37A4B">
        <w:rPr>
          <w:rFonts w:ascii="Times New Roman" w:hAnsi="Times New Roman"/>
          <w:b/>
          <w:bCs/>
          <w:sz w:val="24"/>
          <w:szCs w:val="24"/>
        </w:rPr>
        <w:t xml:space="preserve">Legal Lessons Learned: </w:t>
      </w:r>
      <w:r>
        <w:rPr>
          <w:rFonts w:ascii="Times New Roman" w:hAnsi="Times New Roman"/>
          <w:b/>
          <w:bCs/>
          <w:sz w:val="24"/>
          <w:szCs w:val="24"/>
        </w:rPr>
        <w:t xml:space="preserve"> Employer had basis for termination. </w:t>
      </w:r>
    </w:p>
    <w:bookmarkEnd w:id="480"/>
    <w:p w14:paraId="51A03752" w14:textId="77777777" w:rsidR="00420322" w:rsidRDefault="00420322" w:rsidP="00DE0F03">
      <w:pPr>
        <w:pStyle w:val="NoSpacing"/>
        <w:rPr>
          <w:rFonts w:ascii="Arial Black" w:hAnsi="Arial Black"/>
          <w:sz w:val="24"/>
          <w:szCs w:val="24"/>
        </w:rPr>
      </w:pPr>
    </w:p>
    <w:bookmarkEnd w:id="479"/>
    <w:p w14:paraId="17EA2C23" w14:textId="77777777" w:rsidR="00420322" w:rsidRDefault="00420322" w:rsidP="00DE0F03">
      <w:pPr>
        <w:pStyle w:val="NoSpacing"/>
        <w:rPr>
          <w:rFonts w:ascii="Arial Black" w:hAnsi="Arial Black"/>
          <w:sz w:val="24"/>
          <w:szCs w:val="24"/>
        </w:rPr>
      </w:pPr>
    </w:p>
    <w:p w14:paraId="373A5411" w14:textId="3FF15815" w:rsidR="00420322" w:rsidRDefault="00420322" w:rsidP="00DE0F03">
      <w:pPr>
        <w:pStyle w:val="NoSpacing"/>
        <w:rPr>
          <w:rFonts w:ascii="Arial Black" w:hAnsi="Arial Black"/>
          <w:sz w:val="24"/>
          <w:szCs w:val="24"/>
        </w:rPr>
      </w:pPr>
      <w:r>
        <w:rPr>
          <w:rFonts w:ascii="Arial Black" w:hAnsi="Arial Black"/>
          <w:sz w:val="24"/>
          <w:szCs w:val="24"/>
        </w:rPr>
        <w:t>13-4</w:t>
      </w:r>
      <w:r w:rsidR="007A1E7A">
        <w:rPr>
          <w:rFonts w:ascii="Arial Black" w:hAnsi="Arial Black"/>
          <w:sz w:val="24"/>
          <w:szCs w:val="24"/>
        </w:rPr>
        <w:t>1</w:t>
      </w:r>
    </w:p>
    <w:p w14:paraId="4AFBD5AD" w14:textId="7252AC36" w:rsidR="00420322" w:rsidRDefault="00420322" w:rsidP="00DE0F03">
      <w:pPr>
        <w:pStyle w:val="NoSpacing"/>
        <w:rPr>
          <w:rFonts w:ascii="Arial Black" w:hAnsi="Arial Black"/>
          <w:sz w:val="24"/>
          <w:szCs w:val="24"/>
        </w:rPr>
      </w:pPr>
    </w:p>
    <w:p w14:paraId="319522F0" w14:textId="77777777" w:rsidR="00420322" w:rsidRPr="00F02676" w:rsidRDefault="00420322" w:rsidP="00420322">
      <w:pPr>
        <w:rPr>
          <w:rFonts w:ascii="Arial Black" w:hAnsi="Arial Black"/>
          <w:sz w:val="28"/>
          <w:szCs w:val="28"/>
        </w:rPr>
      </w:pPr>
      <w:bookmarkStart w:id="481" w:name="_Hlk41152123"/>
      <w:r w:rsidRPr="00F02676">
        <w:rPr>
          <w:rFonts w:ascii="Arial Black" w:hAnsi="Arial Black"/>
          <w:sz w:val="28"/>
          <w:szCs w:val="28"/>
        </w:rPr>
        <w:t xml:space="preserve">FL: </w:t>
      </w:r>
      <w:r>
        <w:rPr>
          <w:rFonts w:ascii="Arial Black" w:hAnsi="Arial Black"/>
          <w:sz w:val="28"/>
          <w:szCs w:val="28"/>
        </w:rPr>
        <w:t>HIGH SCHOOL FOOTBALL – HEAT EXHAUSTION / DIED - COACH DELAYED CALLING 911 – NO LIABILITY, LACK REQUISITE CONTROL</w:t>
      </w:r>
    </w:p>
    <w:p w14:paraId="416A27F4" w14:textId="77777777" w:rsidR="00420322" w:rsidRDefault="00420322" w:rsidP="00420322">
      <w:pPr>
        <w:rPr>
          <w:rFonts w:ascii="Times New Roman" w:hAnsi="Times New Roman"/>
          <w:sz w:val="24"/>
          <w:szCs w:val="24"/>
        </w:rPr>
      </w:pPr>
      <w:r w:rsidRPr="00F02676">
        <w:rPr>
          <w:rFonts w:ascii="Times New Roman" w:hAnsi="Times New Roman"/>
          <w:sz w:val="24"/>
          <w:szCs w:val="24"/>
        </w:rPr>
        <w:t xml:space="preserve">On Jan. 2, 2019, in </w:t>
      </w:r>
      <w:r w:rsidRPr="00F02676">
        <w:rPr>
          <w:rFonts w:ascii="Times New Roman" w:hAnsi="Times New Roman"/>
          <w:sz w:val="24"/>
          <w:szCs w:val="24"/>
          <w:u w:val="single"/>
        </w:rPr>
        <w:t>Laurie Alice Giordano v. The School Board of Lee County, Florida and James Delgado</w:t>
      </w:r>
      <w:r>
        <w:rPr>
          <w:rFonts w:ascii="Times New Roman" w:hAnsi="Times New Roman"/>
          <w:sz w:val="24"/>
          <w:szCs w:val="24"/>
        </w:rPr>
        <w:t xml:space="preserve">, U.S. District Court Judge John E. Steele, U.S. District Court, Middle District of Florida (Fort Myers Division), granted defendants motion to dismiss. </w:t>
      </w:r>
    </w:p>
    <w:p w14:paraId="208BA285" w14:textId="77777777" w:rsidR="00420322" w:rsidRPr="00F02676" w:rsidRDefault="00420322" w:rsidP="00420322">
      <w:pPr>
        <w:ind w:left="720"/>
        <w:rPr>
          <w:rFonts w:ascii="Times New Roman" w:hAnsi="Times New Roman"/>
          <w:sz w:val="24"/>
          <w:szCs w:val="24"/>
        </w:rPr>
      </w:pPr>
      <w:r>
        <w:rPr>
          <w:rFonts w:ascii="Times New Roman" w:hAnsi="Times New Roman"/>
          <w:sz w:val="24"/>
          <w:szCs w:val="24"/>
        </w:rPr>
        <w:t>“</w:t>
      </w:r>
      <w:r w:rsidRPr="00F02676">
        <w:rPr>
          <w:rFonts w:ascii="Times New Roman" w:hAnsi="Times New Roman"/>
          <w:sz w:val="24"/>
          <w:szCs w:val="24"/>
        </w:rPr>
        <w:t>Mere compulsory attendance at a public school does not give rise to a constitutional duty of protection under the Due Process Clause because public schools generally lack the requisite control over children to impose such a duty of care upon these institutions.</w:t>
      </w:r>
      <w:r>
        <w:rPr>
          <w:rFonts w:ascii="Times New Roman" w:hAnsi="Times New Roman"/>
          <w:sz w:val="24"/>
          <w:szCs w:val="24"/>
        </w:rPr>
        <w:t xml:space="preserve">” </w:t>
      </w:r>
      <w:hyperlink r:id="rId2266" w:history="1">
        <w:r w:rsidRPr="006C1964">
          <w:rPr>
            <w:rStyle w:val="Hyperlink"/>
            <w:rFonts w:ascii="Times New Roman" w:hAnsi="Times New Roman"/>
            <w:sz w:val="24"/>
            <w:szCs w:val="24"/>
          </w:rPr>
          <w:t>https://ecf.flmd.uscourts.gov/cgi-bin/show_public_doc?2019-00439-60-2-cv</w:t>
        </w:r>
      </w:hyperlink>
      <w:r>
        <w:rPr>
          <w:rFonts w:ascii="Times New Roman" w:hAnsi="Times New Roman"/>
          <w:sz w:val="24"/>
          <w:szCs w:val="24"/>
        </w:rPr>
        <w:t xml:space="preserve"> </w:t>
      </w:r>
    </w:p>
    <w:p w14:paraId="68A58967" w14:textId="10725851" w:rsidR="00420322" w:rsidRPr="00E658E1" w:rsidRDefault="00E658E1" w:rsidP="00DE0F03">
      <w:pPr>
        <w:pStyle w:val="NoSpacing"/>
        <w:rPr>
          <w:rFonts w:ascii="Times New Roman" w:hAnsi="Times New Roman"/>
          <w:b/>
          <w:bCs/>
          <w:sz w:val="24"/>
          <w:szCs w:val="24"/>
        </w:rPr>
      </w:pPr>
      <w:r w:rsidRPr="00E658E1">
        <w:rPr>
          <w:rFonts w:ascii="Times New Roman" w:hAnsi="Times New Roman"/>
          <w:b/>
          <w:bCs/>
          <w:sz w:val="24"/>
          <w:szCs w:val="24"/>
        </w:rPr>
        <w:t>Legal Lesson Learned:</w:t>
      </w:r>
      <w:r>
        <w:rPr>
          <w:rFonts w:ascii="Times New Roman" w:hAnsi="Times New Roman"/>
          <w:b/>
          <w:bCs/>
          <w:sz w:val="24"/>
          <w:szCs w:val="24"/>
        </w:rPr>
        <w:t xml:space="preserve"> </w:t>
      </w:r>
      <w:r w:rsidRPr="00E658E1">
        <w:rPr>
          <w:rFonts w:ascii="Times New Roman" w:hAnsi="Times New Roman"/>
          <w:b/>
          <w:bCs/>
          <w:sz w:val="24"/>
          <w:szCs w:val="24"/>
        </w:rPr>
        <w:t xml:space="preserve">Football and other athletic coaches need training in signs of serious </w:t>
      </w:r>
      <w:proofErr w:type="gramStart"/>
      <w:r w:rsidRPr="00E658E1">
        <w:rPr>
          <w:rFonts w:ascii="Times New Roman" w:hAnsi="Times New Roman"/>
          <w:b/>
          <w:bCs/>
          <w:sz w:val="24"/>
          <w:szCs w:val="24"/>
        </w:rPr>
        <w:t>illness, and</w:t>
      </w:r>
      <w:proofErr w:type="gramEnd"/>
      <w:r w:rsidRPr="00E658E1">
        <w:rPr>
          <w:rFonts w:ascii="Times New Roman" w:hAnsi="Times New Roman"/>
          <w:b/>
          <w:bCs/>
          <w:sz w:val="24"/>
          <w:szCs w:val="24"/>
        </w:rPr>
        <w:t xml:space="preserve"> need to promptly call 911.</w:t>
      </w:r>
    </w:p>
    <w:bookmarkEnd w:id="481"/>
    <w:p w14:paraId="4DE7B7AC" w14:textId="77777777" w:rsidR="00420322" w:rsidRDefault="00420322" w:rsidP="00DE0F03">
      <w:pPr>
        <w:pStyle w:val="NoSpacing"/>
        <w:rPr>
          <w:rFonts w:ascii="Arial Black" w:hAnsi="Arial Black"/>
          <w:sz w:val="24"/>
          <w:szCs w:val="24"/>
        </w:rPr>
      </w:pPr>
    </w:p>
    <w:p w14:paraId="7BD0DAF7" w14:textId="77777777" w:rsidR="00420322" w:rsidRDefault="00420322" w:rsidP="00DE0F03">
      <w:pPr>
        <w:pStyle w:val="NoSpacing"/>
        <w:rPr>
          <w:rFonts w:ascii="Arial Black" w:hAnsi="Arial Black"/>
          <w:sz w:val="24"/>
          <w:szCs w:val="24"/>
        </w:rPr>
      </w:pPr>
    </w:p>
    <w:p w14:paraId="3CFF2485" w14:textId="47B5ECA6" w:rsidR="00420322" w:rsidRDefault="00420322" w:rsidP="00DE0F03">
      <w:pPr>
        <w:pStyle w:val="NoSpacing"/>
        <w:rPr>
          <w:rFonts w:ascii="Arial Black" w:hAnsi="Arial Black"/>
          <w:sz w:val="24"/>
          <w:szCs w:val="24"/>
        </w:rPr>
      </w:pPr>
      <w:r>
        <w:rPr>
          <w:rFonts w:ascii="Arial Black" w:hAnsi="Arial Black"/>
          <w:sz w:val="24"/>
          <w:szCs w:val="24"/>
        </w:rPr>
        <w:t>13-</w:t>
      </w:r>
      <w:r w:rsidR="007A1E7A">
        <w:rPr>
          <w:rFonts w:ascii="Arial Black" w:hAnsi="Arial Black"/>
          <w:sz w:val="24"/>
          <w:szCs w:val="24"/>
        </w:rPr>
        <w:t>40</w:t>
      </w:r>
    </w:p>
    <w:p w14:paraId="2543D7E4" w14:textId="36BE05AB" w:rsidR="00420322" w:rsidRDefault="00420322" w:rsidP="00DE0F03">
      <w:pPr>
        <w:pStyle w:val="NoSpacing"/>
        <w:rPr>
          <w:rFonts w:ascii="Arial Black" w:hAnsi="Arial Black"/>
          <w:sz w:val="24"/>
          <w:szCs w:val="24"/>
        </w:rPr>
      </w:pPr>
    </w:p>
    <w:p w14:paraId="60D59A59" w14:textId="77777777" w:rsidR="00420322" w:rsidRDefault="00420322" w:rsidP="00420322">
      <w:pPr>
        <w:rPr>
          <w:rFonts w:ascii="Arial Black" w:hAnsi="Arial Black"/>
          <w:sz w:val="28"/>
          <w:szCs w:val="28"/>
        </w:rPr>
      </w:pPr>
      <w:bookmarkStart w:id="482" w:name="_Hlk41152157"/>
      <w:r w:rsidRPr="00C44FF6">
        <w:rPr>
          <w:rFonts w:ascii="Arial Black" w:hAnsi="Arial Black"/>
          <w:sz w:val="28"/>
          <w:szCs w:val="28"/>
        </w:rPr>
        <w:t xml:space="preserve">TX: </w:t>
      </w:r>
      <w:r>
        <w:rPr>
          <w:rFonts w:ascii="Arial Black" w:hAnsi="Arial Black"/>
          <w:sz w:val="28"/>
          <w:szCs w:val="28"/>
        </w:rPr>
        <w:t>POTHOLE - MOTORCYCLIST INJURED – DIDN’T INFORM CITY OF POTHOLE - EMS RUN RPT. NOT “ACTUAL NOTICE” – CASE DISMISSED</w:t>
      </w:r>
    </w:p>
    <w:p w14:paraId="7D8F2743" w14:textId="77777777" w:rsidR="00420322" w:rsidRPr="00C44FF6" w:rsidRDefault="00420322" w:rsidP="00420322">
      <w:pPr>
        <w:rPr>
          <w:rFonts w:ascii="Times New Roman" w:hAnsi="Times New Roman"/>
          <w:sz w:val="24"/>
          <w:szCs w:val="24"/>
        </w:rPr>
      </w:pPr>
      <w:r w:rsidRPr="00C44FF6">
        <w:rPr>
          <w:rFonts w:ascii="Times New Roman" w:hAnsi="Times New Roman"/>
          <w:sz w:val="24"/>
          <w:szCs w:val="24"/>
        </w:rPr>
        <w:t xml:space="preserve">On </w:t>
      </w:r>
      <w:r>
        <w:rPr>
          <w:rFonts w:ascii="Times New Roman" w:hAnsi="Times New Roman"/>
          <w:sz w:val="24"/>
          <w:szCs w:val="24"/>
        </w:rPr>
        <w:t xml:space="preserve">Dec. 31, 2019, in </w:t>
      </w:r>
      <w:r w:rsidRPr="00C44FF6">
        <w:rPr>
          <w:rFonts w:ascii="Times New Roman" w:hAnsi="Times New Roman"/>
          <w:sz w:val="24"/>
          <w:szCs w:val="24"/>
          <w:u w:val="single"/>
        </w:rPr>
        <w:t>City of Houston v. Elvin D. Miller</w:t>
      </w:r>
      <w:r>
        <w:rPr>
          <w:rFonts w:ascii="Times New Roman" w:hAnsi="Times New Roman"/>
          <w:sz w:val="24"/>
          <w:szCs w:val="24"/>
        </w:rPr>
        <w:t xml:space="preserve">, the Court of Appeals for the First District of Texas, held (3 to 0) that the trial judge should have dismissed this lawsuit. </w:t>
      </w:r>
    </w:p>
    <w:p w14:paraId="77E23ADC" w14:textId="27A3D0C8" w:rsidR="00420322" w:rsidRDefault="00420322" w:rsidP="00420322">
      <w:pPr>
        <w:ind w:left="720"/>
        <w:rPr>
          <w:rFonts w:ascii="Times New Roman" w:hAnsi="Times New Roman"/>
          <w:sz w:val="24"/>
          <w:szCs w:val="24"/>
        </w:rPr>
      </w:pPr>
      <w:r>
        <w:rPr>
          <w:rFonts w:ascii="Times New Roman" w:hAnsi="Times New Roman"/>
          <w:sz w:val="24"/>
          <w:szCs w:val="24"/>
        </w:rPr>
        <w:t>“</w:t>
      </w:r>
      <w:r w:rsidRPr="00C44FF6">
        <w:rPr>
          <w:rFonts w:ascii="Times New Roman" w:hAnsi="Times New Roman"/>
          <w:sz w:val="24"/>
          <w:szCs w:val="24"/>
        </w:rPr>
        <w:t>Accordingly, we hold</w:t>
      </w:r>
      <w:r>
        <w:rPr>
          <w:rFonts w:ascii="Times New Roman" w:hAnsi="Times New Roman"/>
          <w:sz w:val="24"/>
          <w:szCs w:val="24"/>
        </w:rPr>
        <w:t xml:space="preserve"> </w:t>
      </w:r>
      <w:r w:rsidRPr="00C44FF6">
        <w:rPr>
          <w:rFonts w:ascii="Times New Roman" w:hAnsi="Times New Roman"/>
          <w:sz w:val="24"/>
          <w:szCs w:val="24"/>
        </w:rPr>
        <w:t>that Miller</w:t>
      </w:r>
      <w:r>
        <w:rPr>
          <w:rFonts w:ascii="Times New Roman" w:hAnsi="Times New Roman"/>
          <w:sz w:val="24"/>
          <w:szCs w:val="24"/>
        </w:rPr>
        <w:t xml:space="preserve"> </w:t>
      </w:r>
      <w:r w:rsidRPr="00C44FF6">
        <w:rPr>
          <w:rFonts w:ascii="Times New Roman" w:hAnsi="Times New Roman"/>
          <w:sz w:val="24"/>
          <w:szCs w:val="24"/>
        </w:rPr>
        <w:t>has not demonstrated</w:t>
      </w:r>
      <w:r>
        <w:rPr>
          <w:rFonts w:ascii="Times New Roman" w:hAnsi="Times New Roman"/>
          <w:sz w:val="24"/>
          <w:szCs w:val="24"/>
        </w:rPr>
        <w:t xml:space="preserve"> </w:t>
      </w:r>
      <w:r w:rsidRPr="00C44FF6">
        <w:rPr>
          <w:rFonts w:ascii="Times New Roman" w:hAnsi="Times New Roman"/>
          <w:sz w:val="24"/>
          <w:szCs w:val="24"/>
        </w:rPr>
        <w:t>that the City was subjectively aware</w:t>
      </w:r>
      <w:r>
        <w:rPr>
          <w:rFonts w:ascii="Times New Roman" w:hAnsi="Times New Roman"/>
          <w:sz w:val="24"/>
          <w:szCs w:val="24"/>
        </w:rPr>
        <w:t xml:space="preserve"> </w:t>
      </w:r>
      <w:r w:rsidRPr="00C44FF6">
        <w:rPr>
          <w:rFonts w:ascii="Times New Roman" w:hAnsi="Times New Roman"/>
          <w:sz w:val="24"/>
          <w:szCs w:val="24"/>
        </w:rPr>
        <w:t>of its fault in producing</w:t>
      </w:r>
      <w:r>
        <w:rPr>
          <w:rFonts w:ascii="Times New Roman" w:hAnsi="Times New Roman"/>
          <w:sz w:val="24"/>
          <w:szCs w:val="24"/>
        </w:rPr>
        <w:t xml:space="preserve"> </w:t>
      </w:r>
      <w:r w:rsidRPr="00C44FF6">
        <w:rPr>
          <w:rFonts w:ascii="Times New Roman" w:hAnsi="Times New Roman"/>
          <w:sz w:val="24"/>
          <w:szCs w:val="24"/>
        </w:rPr>
        <w:t>or causing his</w:t>
      </w:r>
      <w:r>
        <w:rPr>
          <w:rFonts w:ascii="Times New Roman" w:hAnsi="Times New Roman"/>
          <w:sz w:val="24"/>
          <w:szCs w:val="24"/>
        </w:rPr>
        <w:t xml:space="preserve"> </w:t>
      </w:r>
      <w:r w:rsidRPr="00C44FF6">
        <w:rPr>
          <w:rFonts w:ascii="Times New Roman" w:hAnsi="Times New Roman"/>
          <w:sz w:val="24"/>
          <w:szCs w:val="24"/>
        </w:rPr>
        <w:t>injuries</w:t>
      </w:r>
      <w:r>
        <w:rPr>
          <w:rFonts w:ascii="Times New Roman" w:hAnsi="Times New Roman"/>
          <w:sz w:val="24"/>
          <w:szCs w:val="24"/>
        </w:rPr>
        <w:t xml:space="preserve"> </w:t>
      </w:r>
      <w:r w:rsidRPr="00C44FF6">
        <w:rPr>
          <w:rFonts w:ascii="Times New Roman" w:hAnsi="Times New Roman"/>
          <w:sz w:val="24"/>
          <w:szCs w:val="24"/>
        </w:rPr>
        <w:t>such that it had actual notice of his claims</w:t>
      </w:r>
      <w:r>
        <w:rPr>
          <w:rFonts w:ascii="Times New Roman" w:hAnsi="Times New Roman"/>
          <w:sz w:val="24"/>
          <w:szCs w:val="24"/>
        </w:rPr>
        <w:t xml:space="preserve"> </w:t>
      </w:r>
      <w:r w:rsidRPr="00C44FF6">
        <w:rPr>
          <w:rFonts w:ascii="Times New Roman" w:hAnsi="Times New Roman"/>
          <w:sz w:val="24"/>
          <w:szCs w:val="24"/>
        </w:rPr>
        <w:t>prior to the jurisdictional deadline for giving notice of</w:t>
      </w:r>
      <w:r>
        <w:rPr>
          <w:rFonts w:ascii="Times New Roman" w:hAnsi="Times New Roman"/>
          <w:sz w:val="24"/>
          <w:szCs w:val="24"/>
        </w:rPr>
        <w:t xml:space="preserve"> </w:t>
      </w:r>
      <w:r w:rsidRPr="00C44FF6">
        <w:rPr>
          <w:rFonts w:ascii="Times New Roman" w:hAnsi="Times New Roman"/>
          <w:sz w:val="24"/>
          <w:szCs w:val="24"/>
        </w:rPr>
        <w:t>his claims.</w:t>
      </w:r>
      <w:r>
        <w:rPr>
          <w:rFonts w:ascii="Times New Roman" w:hAnsi="Times New Roman"/>
          <w:sz w:val="24"/>
          <w:szCs w:val="24"/>
        </w:rPr>
        <w:t xml:space="preserve">” </w:t>
      </w:r>
      <w:hyperlink r:id="rId2267" w:history="1">
        <w:r w:rsidRPr="006C1964">
          <w:rPr>
            <w:rStyle w:val="Hyperlink"/>
            <w:rFonts w:ascii="Times New Roman" w:hAnsi="Times New Roman"/>
            <w:sz w:val="24"/>
            <w:szCs w:val="24"/>
          </w:rPr>
          <w:t>https://cases.justia.com/texas/first-court-of-appeals/2019-01-19-00450-cv.pdf?ts=1577798110</w:t>
        </w:r>
      </w:hyperlink>
      <w:r>
        <w:rPr>
          <w:rFonts w:ascii="Times New Roman" w:hAnsi="Times New Roman"/>
          <w:sz w:val="24"/>
          <w:szCs w:val="24"/>
        </w:rPr>
        <w:t xml:space="preserve"> </w:t>
      </w:r>
    </w:p>
    <w:p w14:paraId="47935559" w14:textId="3D25BCD3" w:rsidR="00E658E1" w:rsidRPr="00E658E1" w:rsidRDefault="00E658E1" w:rsidP="00E658E1">
      <w:pPr>
        <w:rPr>
          <w:rFonts w:ascii="Times New Roman" w:hAnsi="Times New Roman"/>
          <w:b/>
          <w:bCs/>
          <w:sz w:val="24"/>
          <w:szCs w:val="24"/>
        </w:rPr>
      </w:pPr>
      <w:r w:rsidRPr="00E658E1">
        <w:rPr>
          <w:rFonts w:ascii="Times New Roman" w:hAnsi="Times New Roman"/>
          <w:b/>
          <w:bCs/>
          <w:sz w:val="24"/>
          <w:szCs w:val="24"/>
        </w:rPr>
        <w:t xml:space="preserve">Legal Lessons Learned: If EMS respond to serious </w:t>
      </w:r>
      <w:proofErr w:type="gramStart"/>
      <w:r w:rsidRPr="00E658E1">
        <w:rPr>
          <w:rFonts w:ascii="Times New Roman" w:hAnsi="Times New Roman"/>
          <w:b/>
          <w:bCs/>
          <w:sz w:val="24"/>
          <w:szCs w:val="24"/>
        </w:rPr>
        <w:t>accident</w:t>
      </w:r>
      <w:proofErr w:type="gramEnd"/>
      <w:r w:rsidRPr="00E658E1">
        <w:rPr>
          <w:rFonts w:ascii="Times New Roman" w:hAnsi="Times New Roman"/>
          <w:b/>
          <w:bCs/>
          <w:sz w:val="24"/>
          <w:szCs w:val="24"/>
        </w:rPr>
        <w:t xml:space="preserve"> and patient advises it was caused by pothole, notify the city immediately of the pothole so it can be filled and similar injuries avoided.</w:t>
      </w:r>
    </w:p>
    <w:bookmarkEnd w:id="482"/>
    <w:p w14:paraId="6FE38F99" w14:textId="77777777" w:rsidR="00420322" w:rsidRDefault="00420322" w:rsidP="00DE0F03">
      <w:pPr>
        <w:pStyle w:val="NoSpacing"/>
        <w:rPr>
          <w:rFonts w:ascii="Arial Black" w:hAnsi="Arial Black"/>
          <w:sz w:val="24"/>
          <w:szCs w:val="24"/>
        </w:rPr>
      </w:pPr>
    </w:p>
    <w:p w14:paraId="5839CA0A" w14:textId="31EE5DD4" w:rsidR="00420322" w:rsidRDefault="00420322"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9</w:t>
      </w:r>
    </w:p>
    <w:p w14:paraId="39685BF6" w14:textId="77777777" w:rsidR="00420322" w:rsidRDefault="00420322" w:rsidP="00DE0F03">
      <w:pPr>
        <w:pStyle w:val="NoSpacing"/>
        <w:rPr>
          <w:rFonts w:ascii="Arial Black" w:hAnsi="Arial Black"/>
          <w:sz w:val="24"/>
          <w:szCs w:val="24"/>
        </w:rPr>
      </w:pPr>
    </w:p>
    <w:p w14:paraId="2C758E7E" w14:textId="77777777" w:rsidR="00420322" w:rsidRPr="00327BE0" w:rsidRDefault="00420322" w:rsidP="00420322">
      <w:pPr>
        <w:rPr>
          <w:rFonts w:ascii="Arial Black" w:hAnsi="Arial Black"/>
          <w:sz w:val="28"/>
          <w:szCs w:val="28"/>
        </w:rPr>
      </w:pPr>
      <w:bookmarkStart w:id="483" w:name="_Hlk41152252"/>
      <w:r>
        <w:rPr>
          <w:rFonts w:ascii="Arial Black" w:hAnsi="Arial Black"/>
          <w:sz w:val="28"/>
          <w:szCs w:val="28"/>
        </w:rPr>
        <w:t>L</w:t>
      </w:r>
      <w:r w:rsidRPr="00327BE0">
        <w:rPr>
          <w:rFonts w:ascii="Arial Black" w:hAnsi="Arial Black"/>
          <w:sz w:val="28"/>
          <w:szCs w:val="28"/>
        </w:rPr>
        <w:t>A</w:t>
      </w:r>
      <w:r>
        <w:rPr>
          <w:rFonts w:ascii="Arial Black" w:hAnsi="Arial Black"/>
          <w:sz w:val="28"/>
          <w:szCs w:val="28"/>
        </w:rPr>
        <w:t>: PARAMEDIC LETTER TO BOARD – NEED POLICY CHANGES – FIRED 19 MOS. LATER – FALSIFYING TRAINING RECORDS – NO RETALIATION</w:t>
      </w:r>
    </w:p>
    <w:p w14:paraId="34E848D9" w14:textId="37C2F112" w:rsidR="00420322" w:rsidRDefault="00420322" w:rsidP="00420322">
      <w:pPr>
        <w:pStyle w:val="NoSpacing"/>
        <w:rPr>
          <w:rFonts w:ascii="In" w:hAnsi="In"/>
          <w:sz w:val="24"/>
          <w:szCs w:val="24"/>
        </w:rPr>
      </w:pPr>
      <w:r>
        <w:rPr>
          <w:rFonts w:ascii="In" w:hAnsi="In"/>
          <w:sz w:val="24"/>
          <w:szCs w:val="24"/>
        </w:rPr>
        <w:t xml:space="preserve">On Dec. 17, 2019, in </w:t>
      </w:r>
      <w:r w:rsidRPr="009F6F16">
        <w:rPr>
          <w:rFonts w:ascii="Times New Roman" w:hAnsi="Times New Roman"/>
          <w:sz w:val="24"/>
          <w:szCs w:val="24"/>
          <w:u w:val="single"/>
        </w:rPr>
        <w:t>Patrick A. Benefield; Brian Scott Warren v. Joe D. Magee</w:t>
      </w:r>
      <w:r>
        <w:rPr>
          <w:rFonts w:ascii="In" w:hAnsi="In"/>
          <w:sz w:val="24"/>
          <w:szCs w:val="24"/>
        </w:rPr>
        <w:t>, the U.S. Court of Appeals for the 5</w:t>
      </w:r>
      <w:r w:rsidRPr="009F6F16">
        <w:rPr>
          <w:rFonts w:ascii="In" w:hAnsi="In"/>
          <w:sz w:val="24"/>
          <w:szCs w:val="24"/>
          <w:vertAlign w:val="superscript"/>
        </w:rPr>
        <w:t>th</w:t>
      </w:r>
      <w:r>
        <w:rPr>
          <w:rFonts w:ascii="In" w:hAnsi="In"/>
          <w:sz w:val="24"/>
          <w:szCs w:val="24"/>
        </w:rPr>
        <w:t xml:space="preserve"> Circuit (New Orleans) held (3 to 0) that </w:t>
      </w:r>
      <w:r w:rsidR="00BD7C29">
        <w:rPr>
          <w:rFonts w:ascii="In" w:hAnsi="In"/>
          <w:sz w:val="24"/>
          <w:szCs w:val="24"/>
        </w:rPr>
        <w:t xml:space="preserve">19-month gap too long; no retaliation. </w:t>
      </w:r>
    </w:p>
    <w:p w14:paraId="4E3F74D6" w14:textId="77777777" w:rsidR="00420322" w:rsidRDefault="00420322" w:rsidP="00420322">
      <w:pPr>
        <w:pStyle w:val="NoSpacing"/>
        <w:rPr>
          <w:rFonts w:ascii="In" w:hAnsi="In"/>
          <w:sz w:val="24"/>
          <w:szCs w:val="24"/>
        </w:rPr>
      </w:pPr>
    </w:p>
    <w:p w14:paraId="737224EF" w14:textId="77777777" w:rsidR="00420322" w:rsidRPr="00D16E0D" w:rsidRDefault="00420322" w:rsidP="00420322">
      <w:pPr>
        <w:pStyle w:val="NoSpacing"/>
        <w:ind w:left="720"/>
        <w:rPr>
          <w:rFonts w:ascii="Times New Roman" w:hAnsi="Times New Roman"/>
          <w:sz w:val="24"/>
          <w:szCs w:val="24"/>
        </w:rPr>
      </w:pPr>
      <w:r>
        <w:rPr>
          <w:rFonts w:ascii="Times New Roman" w:hAnsi="Times New Roman"/>
          <w:sz w:val="24"/>
          <w:szCs w:val="24"/>
        </w:rPr>
        <w:t>“</w:t>
      </w:r>
      <w:r w:rsidRPr="00D16E0D">
        <w:rPr>
          <w:rFonts w:ascii="Times New Roman" w:hAnsi="Times New Roman"/>
          <w:sz w:val="24"/>
          <w:szCs w:val="24"/>
        </w:rPr>
        <w:t xml:space="preserve">The issues, therefore, are (1) whether Warren’s speech was on a matter of public concern and (2) whether his June 2015 letter was a substantial or motivating factor for his firing. We agree with Magee </w:t>
      </w:r>
      <w:r>
        <w:rPr>
          <w:rFonts w:ascii="Times New Roman" w:hAnsi="Times New Roman"/>
          <w:sz w:val="24"/>
          <w:szCs w:val="24"/>
        </w:rPr>
        <w:t xml:space="preserve">[EMS Manager] </w:t>
      </w:r>
      <w:r w:rsidRPr="00D16E0D">
        <w:rPr>
          <w:rFonts w:ascii="Times New Roman" w:hAnsi="Times New Roman"/>
          <w:sz w:val="24"/>
          <w:szCs w:val="24"/>
        </w:rPr>
        <w:t>that Warren failed to allege a sufficient causal connection between his letter and his firing</w:t>
      </w:r>
      <w:r>
        <w:rPr>
          <w:rFonts w:ascii="Times New Roman" w:hAnsi="Times New Roman"/>
          <w:sz w:val="24"/>
          <w:szCs w:val="24"/>
        </w:rPr>
        <w:t xml:space="preserve">…. </w:t>
      </w:r>
      <w:r w:rsidRPr="00D16E0D">
        <w:rPr>
          <w:rFonts w:ascii="Times New Roman" w:hAnsi="Times New Roman"/>
          <w:sz w:val="24"/>
          <w:szCs w:val="24"/>
        </w:rPr>
        <w:t>Warren sent his letter in June 2015 and was fired in January 2017—a 19-month gap</w:t>
      </w:r>
      <w:r>
        <w:rPr>
          <w:rFonts w:ascii="Times New Roman" w:hAnsi="Times New Roman"/>
          <w:sz w:val="24"/>
          <w:szCs w:val="24"/>
        </w:rPr>
        <w:t xml:space="preserve">…. </w:t>
      </w:r>
      <w:r w:rsidRPr="00D16E0D">
        <w:rPr>
          <w:rFonts w:ascii="Times New Roman" w:hAnsi="Times New Roman"/>
          <w:sz w:val="24"/>
          <w:szCs w:val="24"/>
        </w:rPr>
        <w:t xml:space="preserve">Thus, the timing, by itself, between Warren’s speech and his firing is not close enough to permit a plausible inference that Warren’s firing was causally connected to his </w:t>
      </w:r>
      <w:proofErr w:type="gramStart"/>
      <w:r w:rsidRPr="00D16E0D">
        <w:rPr>
          <w:rFonts w:ascii="Times New Roman" w:hAnsi="Times New Roman"/>
          <w:sz w:val="24"/>
          <w:szCs w:val="24"/>
        </w:rPr>
        <w:t>speech.</w:t>
      </w:r>
      <w:r>
        <w:rPr>
          <w:rFonts w:ascii="Times New Roman" w:hAnsi="Times New Roman"/>
          <w:sz w:val="24"/>
          <w:szCs w:val="24"/>
        </w:rPr>
        <w:t>”</w:t>
      </w:r>
      <w:proofErr w:type="gramEnd"/>
    </w:p>
    <w:p w14:paraId="5FAC1997" w14:textId="2045E93B" w:rsidR="00420322" w:rsidRDefault="006114FF" w:rsidP="00E658E1">
      <w:pPr>
        <w:pStyle w:val="NoSpacing"/>
        <w:ind w:firstLine="720"/>
        <w:rPr>
          <w:rFonts w:ascii="Arial Black" w:hAnsi="Arial Black"/>
          <w:sz w:val="24"/>
          <w:szCs w:val="24"/>
        </w:rPr>
      </w:pPr>
      <w:hyperlink r:id="rId2268" w:history="1">
        <w:r w:rsidRPr="002F304C">
          <w:rPr>
            <w:rStyle w:val="Hyperlink"/>
            <w:rFonts w:ascii="Times New Roman" w:hAnsi="Times New Roman"/>
            <w:sz w:val="24"/>
            <w:szCs w:val="24"/>
          </w:rPr>
          <w:t>https://cases.justia.com/federal/appellate-courts/ca5/18-30932/18-30932-2019-12-17.pdf?ts=1576629071</w:t>
        </w:r>
      </w:hyperlink>
    </w:p>
    <w:p w14:paraId="0FCF64ED" w14:textId="35033C62" w:rsidR="00420322" w:rsidRDefault="00420322" w:rsidP="00DE0F03">
      <w:pPr>
        <w:pStyle w:val="NoSpacing"/>
        <w:rPr>
          <w:rFonts w:ascii="Arial Black" w:hAnsi="Arial Black"/>
          <w:sz w:val="24"/>
          <w:szCs w:val="24"/>
        </w:rPr>
      </w:pPr>
    </w:p>
    <w:p w14:paraId="58305BBC" w14:textId="4EA3755B" w:rsidR="003464C5" w:rsidRPr="006114FF" w:rsidRDefault="006114FF" w:rsidP="00DE0F03">
      <w:pPr>
        <w:pStyle w:val="NoSpacing"/>
        <w:rPr>
          <w:rFonts w:ascii="Times New Roman" w:hAnsi="Times New Roman"/>
          <w:b/>
          <w:bCs/>
          <w:sz w:val="24"/>
          <w:szCs w:val="24"/>
        </w:rPr>
      </w:pPr>
      <w:r w:rsidRPr="006114FF">
        <w:rPr>
          <w:rFonts w:ascii="Times New Roman" w:hAnsi="Times New Roman"/>
          <w:b/>
          <w:bCs/>
          <w:sz w:val="24"/>
          <w:szCs w:val="24"/>
        </w:rPr>
        <w:t>Legal Lessons Learned:</w:t>
      </w:r>
      <w:r>
        <w:rPr>
          <w:rFonts w:ascii="Times New Roman" w:hAnsi="Times New Roman"/>
          <w:b/>
          <w:bCs/>
          <w:sz w:val="24"/>
          <w:szCs w:val="24"/>
        </w:rPr>
        <w:t xml:space="preserve"> </w:t>
      </w:r>
      <w:r w:rsidR="00BD7C29">
        <w:rPr>
          <w:rFonts w:ascii="Times New Roman" w:hAnsi="Times New Roman"/>
          <w:b/>
          <w:bCs/>
          <w:sz w:val="24"/>
          <w:szCs w:val="24"/>
        </w:rPr>
        <w:t xml:space="preserve">The </w:t>
      </w:r>
      <w:r w:rsidRPr="006114FF">
        <w:rPr>
          <w:rFonts w:ascii="Times New Roman" w:hAnsi="Times New Roman"/>
          <w:b/>
          <w:bCs/>
          <w:sz w:val="24"/>
          <w:szCs w:val="24"/>
        </w:rPr>
        <w:t xml:space="preserve">EMS Manager won </w:t>
      </w:r>
      <w:proofErr w:type="gramStart"/>
      <w:r w:rsidRPr="006114FF">
        <w:rPr>
          <w:rFonts w:ascii="Times New Roman" w:hAnsi="Times New Roman"/>
          <w:b/>
          <w:bCs/>
          <w:sz w:val="24"/>
          <w:szCs w:val="24"/>
        </w:rPr>
        <w:t xml:space="preserve">his </w:t>
      </w:r>
      <w:r w:rsidR="00BD7C29">
        <w:rPr>
          <w:rFonts w:ascii="Times New Roman" w:hAnsi="Times New Roman"/>
          <w:b/>
          <w:bCs/>
          <w:sz w:val="24"/>
          <w:szCs w:val="24"/>
        </w:rPr>
        <w:t>interlocutory</w:t>
      </w:r>
      <w:proofErr w:type="gramEnd"/>
      <w:r w:rsidR="00BD7C29">
        <w:rPr>
          <w:rFonts w:ascii="Times New Roman" w:hAnsi="Times New Roman"/>
          <w:b/>
          <w:bCs/>
          <w:sz w:val="24"/>
          <w:szCs w:val="24"/>
        </w:rPr>
        <w:t xml:space="preserve"> </w:t>
      </w:r>
      <w:proofErr w:type="gramStart"/>
      <w:r w:rsidRPr="006114FF">
        <w:rPr>
          <w:rFonts w:ascii="Times New Roman" w:hAnsi="Times New Roman"/>
          <w:b/>
          <w:bCs/>
          <w:sz w:val="24"/>
          <w:szCs w:val="24"/>
        </w:rPr>
        <w:t>appeal</w:t>
      </w:r>
      <w:proofErr w:type="gramEnd"/>
      <w:r w:rsidRPr="006114FF">
        <w:rPr>
          <w:rFonts w:ascii="Times New Roman" w:hAnsi="Times New Roman"/>
          <w:b/>
          <w:bCs/>
          <w:sz w:val="24"/>
          <w:szCs w:val="24"/>
        </w:rPr>
        <w:t xml:space="preserve"> and he is now dismissed from the lawsuit.</w:t>
      </w:r>
    </w:p>
    <w:bookmarkEnd w:id="483"/>
    <w:p w14:paraId="449D2D8B" w14:textId="77777777" w:rsidR="00420322" w:rsidRDefault="00420322" w:rsidP="00DE0F03">
      <w:pPr>
        <w:pStyle w:val="NoSpacing"/>
        <w:rPr>
          <w:rFonts w:ascii="Arial Black" w:hAnsi="Arial Black"/>
          <w:sz w:val="24"/>
          <w:szCs w:val="24"/>
        </w:rPr>
      </w:pPr>
    </w:p>
    <w:p w14:paraId="1F0C7FD8" w14:textId="77777777" w:rsidR="003464C5" w:rsidRDefault="003464C5" w:rsidP="00DE0F03">
      <w:pPr>
        <w:pStyle w:val="NoSpacing"/>
        <w:rPr>
          <w:rFonts w:ascii="Arial Black" w:hAnsi="Arial Black"/>
          <w:sz w:val="24"/>
          <w:szCs w:val="24"/>
        </w:rPr>
      </w:pPr>
    </w:p>
    <w:p w14:paraId="0635FEC3" w14:textId="77777777" w:rsidR="003464C5" w:rsidRDefault="003464C5" w:rsidP="00DE0F03">
      <w:pPr>
        <w:pStyle w:val="NoSpacing"/>
        <w:rPr>
          <w:rFonts w:ascii="Arial Black" w:hAnsi="Arial Black"/>
          <w:sz w:val="24"/>
          <w:szCs w:val="24"/>
        </w:rPr>
      </w:pPr>
    </w:p>
    <w:p w14:paraId="1442EB00" w14:textId="45395C9D" w:rsidR="00420322" w:rsidRDefault="00420322"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8</w:t>
      </w:r>
    </w:p>
    <w:p w14:paraId="45FDBC89" w14:textId="3236AB36" w:rsidR="00420322" w:rsidRDefault="00420322" w:rsidP="00DE0F03">
      <w:pPr>
        <w:pStyle w:val="NoSpacing"/>
        <w:rPr>
          <w:rFonts w:ascii="Arial Black" w:hAnsi="Arial Black"/>
          <w:sz w:val="24"/>
          <w:szCs w:val="24"/>
        </w:rPr>
      </w:pPr>
    </w:p>
    <w:p w14:paraId="49F7194F" w14:textId="77777777" w:rsidR="00420322" w:rsidRPr="00201158" w:rsidRDefault="00420322" w:rsidP="00420322">
      <w:pPr>
        <w:pStyle w:val="NormalWeb"/>
        <w:rPr>
          <w:rFonts w:ascii="Arial Black" w:hAnsi="Arial Black"/>
          <w:sz w:val="28"/>
          <w:szCs w:val="28"/>
        </w:rPr>
      </w:pPr>
      <w:bookmarkStart w:id="484" w:name="_Hlk41152380"/>
      <w:r w:rsidRPr="00201158">
        <w:rPr>
          <w:rFonts w:ascii="Arial Black" w:hAnsi="Arial Black"/>
          <w:sz w:val="28"/>
          <w:szCs w:val="28"/>
        </w:rPr>
        <w:t xml:space="preserve">WV: </w:t>
      </w:r>
      <w:r>
        <w:rPr>
          <w:rFonts w:ascii="Arial Black" w:hAnsi="Arial Black"/>
          <w:sz w:val="28"/>
          <w:szCs w:val="28"/>
        </w:rPr>
        <w:t xml:space="preserve"> DRAG RACING / SON EJECTED – MOTHER RN / FLIGHT NURSE - PD STOPS HER CARE SON; MEDICS DIDN’T TAKE PULSE – CASE PROCEED</w:t>
      </w:r>
    </w:p>
    <w:p w14:paraId="2792D427" w14:textId="77777777" w:rsidR="00420322" w:rsidRDefault="00420322" w:rsidP="00420322">
      <w:pPr>
        <w:pStyle w:val="NormalWeb"/>
      </w:pPr>
      <w:r>
        <w:t xml:space="preserve">On Dec. 5, 2019, in </w:t>
      </w:r>
      <w:r w:rsidRPr="00403915">
        <w:rPr>
          <w:u w:val="single"/>
        </w:rPr>
        <w:t>Amy Brown, individually and Administratrix of the Estate of James Brady Leonard v. Mason County Commission, Gallia County Board of Commissioners, et al.</w:t>
      </w:r>
      <w:r>
        <w:t xml:space="preserve">, U.S. District Court Judge Robert Chambers, Southern District of West Virginia (Huntington Division), the lawsuit against the Deputy Sheriff may proceed. </w:t>
      </w:r>
    </w:p>
    <w:bookmarkEnd w:id="484"/>
    <w:p w14:paraId="46E19796" w14:textId="77777777" w:rsidR="00420322" w:rsidRDefault="00420322" w:rsidP="00420322">
      <w:pPr>
        <w:pStyle w:val="NormalWeb"/>
        <w:ind w:left="720"/>
      </w:pPr>
      <w:r>
        <w:t xml:space="preserve">“Taken as true, the conduct [by County Deputy Sheriff] alleged here is certainly more than ‘merely annoying’ or ‘uncivil.’ A jury could very well determine that physically restraining a mother attempting to provide medical assistance to her son is utterly intolerable in a civilized community. </w:t>
      </w:r>
      <w:r>
        <w:rPr>
          <w:i/>
          <w:iCs/>
        </w:rPr>
        <w:t>See Travis</w:t>
      </w:r>
      <w:r>
        <w:t xml:space="preserve">, 504 S.E.2d at 425. It would be similarly reasonable for a jury to determine that Bryant acted recklessly, that his actions caused Plaintiff to suffer emotional distress, and that her distress was so severe that no reasonable person could be expected to endure it. It follows that Plaintiff has pleaded sufficient facts to state a claim for relief under </w:t>
      </w:r>
      <w:r w:rsidRPr="00F03088">
        <w:t>an [Intentional Infliction of Emotional Distress] theory.</w:t>
      </w:r>
    </w:p>
    <w:p w14:paraId="578130E7" w14:textId="77777777" w:rsidR="00420322" w:rsidRDefault="00420322" w:rsidP="00420322">
      <w:pPr>
        <w:pStyle w:val="NormalWeb"/>
        <w:ind w:left="720"/>
      </w:pPr>
      <w:r>
        <w:t>***</w:t>
      </w:r>
    </w:p>
    <w:p w14:paraId="123DFED7" w14:textId="77777777" w:rsidR="00420322" w:rsidRPr="000F68B0" w:rsidRDefault="00420322" w:rsidP="00420322">
      <w:pPr>
        <w:spacing w:before="100" w:beforeAutospacing="1" w:after="100" w:afterAutospacing="1" w:line="240" w:lineRule="auto"/>
        <w:ind w:left="720"/>
      </w:pPr>
      <w:r w:rsidRPr="00970678">
        <w:rPr>
          <w:rFonts w:ascii="Times New Roman" w:eastAsia="Times New Roman" w:hAnsi="Times New Roman"/>
          <w:sz w:val="24"/>
          <w:szCs w:val="24"/>
        </w:rPr>
        <w:t>Gallia County EMS is not entitled to dismissal. As discussed in the preceding section, Plaintiff alleges that Elliott and Turner—both Gallia County EMS responders—did not check Leonard's pulse, his breathing, or his body for injuries, and that they pronounced him dead without following proper procedures.</w:t>
      </w:r>
      <w:r>
        <w:rPr>
          <w:rFonts w:ascii="Times New Roman" w:eastAsia="Times New Roman" w:hAnsi="Times New Roman"/>
          <w:sz w:val="24"/>
          <w:szCs w:val="24"/>
        </w:rPr>
        <w:t xml:space="preserve">” </w:t>
      </w:r>
      <w:bookmarkStart w:id="485" w:name="_Hlk41152402"/>
      <w:r w:rsidR="00F37A4B">
        <w:fldChar w:fldCharType="begin"/>
      </w:r>
      <w:r w:rsidR="00F37A4B">
        <w:instrText xml:space="preserve"> HYPERLINK "https://public.fastcase.com/Wl%2B2t%2BeVuI35%2FN70vAMFZg2lBBReDY5nF88uy08v8DAnqlL%2F2Z9bDGzSJQpTYHOu" </w:instrText>
      </w:r>
      <w:r w:rsidR="00F37A4B">
        <w:fldChar w:fldCharType="separate"/>
      </w:r>
      <w:r w:rsidRPr="007A71AD">
        <w:rPr>
          <w:rStyle w:val="Hyperlink"/>
        </w:rPr>
        <w:t>https://public.fastcase.com/Wl%2B2t%2BeVuI35%2FN70vAMFZg2lBBReDY5nF88uy08v8DAnqlL%2F2Z9bDGzSJQpTYHOu</w:t>
      </w:r>
      <w:r w:rsidR="00F37A4B">
        <w:rPr>
          <w:rStyle w:val="Hyperlink"/>
        </w:rPr>
        <w:fldChar w:fldCharType="end"/>
      </w:r>
      <w:r>
        <w:t xml:space="preserve"> </w:t>
      </w:r>
    </w:p>
    <w:p w14:paraId="76530F7B" w14:textId="4E3CB12E" w:rsidR="00420322" w:rsidRPr="006114FF" w:rsidRDefault="006114FF" w:rsidP="00DE0F03">
      <w:pPr>
        <w:pStyle w:val="NoSpacing"/>
        <w:rPr>
          <w:rFonts w:ascii="Times New Roman" w:hAnsi="Times New Roman"/>
          <w:b/>
          <w:bCs/>
          <w:sz w:val="24"/>
          <w:szCs w:val="24"/>
        </w:rPr>
      </w:pPr>
      <w:r w:rsidRPr="006114FF">
        <w:rPr>
          <w:rFonts w:ascii="Times New Roman" w:hAnsi="Times New Roman"/>
          <w:b/>
          <w:bCs/>
          <w:sz w:val="24"/>
          <w:szCs w:val="24"/>
        </w:rPr>
        <w:t>Legal Lessons Learned:</w:t>
      </w:r>
      <w:r>
        <w:rPr>
          <w:rFonts w:ascii="Times New Roman" w:hAnsi="Times New Roman"/>
          <w:b/>
          <w:bCs/>
          <w:sz w:val="24"/>
          <w:szCs w:val="24"/>
        </w:rPr>
        <w:t xml:space="preserve"> </w:t>
      </w:r>
      <w:r w:rsidRPr="006114FF">
        <w:rPr>
          <w:rFonts w:ascii="Times New Roman" w:hAnsi="Times New Roman"/>
          <w:b/>
          <w:bCs/>
          <w:sz w:val="24"/>
          <w:szCs w:val="24"/>
        </w:rPr>
        <w:t>The</w:t>
      </w:r>
      <w:r>
        <w:rPr>
          <w:rFonts w:ascii="Times New Roman" w:hAnsi="Times New Roman"/>
          <w:b/>
          <w:bCs/>
          <w:sz w:val="24"/>
          <w:szCs w:val="24"/>
        </w:rPr>
        <w:t xml:space="preserve"> </w:t>
      </w:r>
      <w:r w:rsidRPr="006114FF">
        <w:rPr>
          <w:rFonts w:ascii="Times New Roman" w:hAnsi="Times New Roman"/>
          <w:b/>
          <w:bCs/>
          <w:sz w:val="24"/>
          <w:szCs w:val="24"/>
        </w:rPr>
        <w:t>lawsuit will now proceed; hopefully the EMS run report by</w:t>
      </w:r>
      <w:r>
        <w:rPr>
          <w:rFonts w:ascii="Times New Roman" w:hAnsi="Times New Roman"/>
          <w:b/>
          <w:bCs/>
          <w:sz w:val="24"/>
          <w:szCs w:val="24"/>
        </w:rPr>
        <w:t xml:space="preserve"> </w:t>
      </w:r>
      <w:r w:rsidRPr="006114FF">
        <w:rPr>
          <w:rFonts w:ascii="Times New Roman" w:hAnsi="Times New Roman"/>
          <w:b/>
          <w:bCs/>
          <w:sz w:val="24"/>
          <w:szCs w:val="24"/>
        </w:rPr>
        <w:t>the two Gallia County EMS reflects they followed their protocol prior to deciding the victim was dead at the scene</w:t>
      </w:r>
      <w:bookmarkEnd w:id="485"/>
      <w:r w:rsidRPr="006114FF">
        <w:rPr>
          <w:rFonts w:ascii="Times New Roman" w:hAnsi="Times New Roman"/>
          <w:b/>
          <w:bCs/>
          <w:sz w:val="24"/>
          <w:szCs w:val="24"/>
        </w:rPr>
        <w:t>.</w:t>
      </w:r>
    </w:p>
    <w:p w14:paraId="7A6B150B" w14:textId="77777777" w:rsidR="00420322" w:rsidRDefault="00420322" w:rsidP="00DE0F03">
      <w:pPr>
        <w:pStyle w:val="NoSpacing"/>
        <w:rPr>
          <w:rFonts w:ascii="Arial Black" w:hAnsi="Arial Black"/>
          <w:sz w:val="24"/>
          <w:szCs w:val="24"/>
        </w:rPr>
      </w:pPr>
    </w:p>
    <w:p w14:paraId="7396A196" w14:textId="77777777" w:rsidR="00420322" w:rsidRDefault="00420322" w:rsidP="00DE0F03">
      <w:pPr>
        <w:pStyle w:val="NoSpacing"/>
        <w:rPr>
          <w:rFonts w:ascii="Arial Black" w:hAnsi="Arial Black"/>
          <w:sz w:val="24"/>
          <w:szCs w:val="24"/>
        </w:rPr>
      </w:pPr>
    </w:p>
    <w:p w14:paraId="616E9133" w14:textId="32138EFF" w:rsidR="00297434" w:rsidRDefault="00297434" w:rsidP="00DE0F03">
      <w:pPr>
        <w:pStyle w:val="NoSpacing"/>
        <w:rPr>
          <w:rFonts w:ascii="Arial Black" w:hAnsi="Arial Black"/>
          <w:sz w:val="24"/>
          <w:szCs w:val="24"/>
        </w:rPr>
      </w:pPr>
      <w:r>
        <w:rPr>
          <w:rFonts w:ascii="Arial Black" w:hAnsi="Arial Black"/>
          <w:sz w:val="24"/>
          <w:szCs w:val="24"/>
        </w:rPr>
        <w:lastRenderedPageBreak/>
        <w:t>13-3</w:t>
      </w:r>
      <w:r w:rsidR="007A1E7A">
        <w:rPr>
          <w:rFonts w:ascii="Arial Black" w:hAnsi="Arial Black"/>
          <w:sz w:val="24"/>
          <w:szCs w:val="24"/>
        </w:rPr>
        <w:t>7</w:t>
      </w:r>
    </w:p>
    <w:p w14:paraId="27ACE6B3" w14:textId="77777777" w:rsidR="00297434" w:rsidRDefault="00297434" w:rsidP="00297434">
      <w:pPr>
        <w:spacing w:before="100" w:beforeAutospacing="1" w:after="100" w:afterAutospacing="1" w:line="240" w:lineRule="auto"/>
        <w:jc w:val="both"/>
        <w:rPr>
          <w:rFonts w:ascii="Arial Black" w:hAnsi="Arial Black"/>
          <w:sz w:val="28"/>
          <w:szCs w:val="28"/>
        </w:rPr>
      </w:pPr>
      <w:bookmarkStart w:id="486" w:name="_Hlk41152441"/>
      <w:r>
        <w:rPr>
          <w:rFonts w:ascii="Arial Black" w:hAnsi="Arial Black"/>
          <w:sz w:val="28"/>
          <w:szCs w:val="28"/>
        </w:rPr>
        <w:t>OH: EMS RUN REPORT – DRIVER ADMITTED DRINKING WINE – TWO MEDICS TESTIFIED IN VEHICULAR HOMICIDE TRIAL</w:t>
      </w:r>
    </w:p>
    <w:p w14:paraId="2F1B2237" w14:textId="77777777" w:rsidR="00297434" w:rsidRDefault="00297434" w:rsidP="00297434">
      <w:pPr>
        <w:pStyle w:val="NoSpacing"/>
        <w:rPr>
          <w:rFonts w:ascii="Times New Roman" w:hAnsi="Times New Roman"/>
          <w:sz w:val="24"/>
          <w:szCs w:val="24"/>
        </w:rPr>
      </w:pPr>
      <w:r>
        <w:rPr>
          <w:rFonts w:ascii="Times New Roman" w:hAnsi="Times New Roman"/>
          <w:sz w:val="24"/>
          <w:szCs w:val="24"/>
        </w:rPr>
        <w:t xml:space="preserve">On Nov. 15, 2019, in State of </w:t>
      </w:r>
      <w:r>
        <w:rPr>
          <w:rFonts w:ascii="Times New Roman" w:hAnsi="Times New Roman"/>
          <w:sz w:val="24"/>
          <w:szCs w:val="24"/>
          <w:u w:val="single"/>
        </w:rPr>
        <w:t>Ohio v. Kathy J. Smith</w:t>
      </w:r>
      <w:r>
        <w:rPr>
          <w:rFonts w:ascii="Times New Roman" w:hAnsi="Times New Roman"/>
          <w:sz w:val="24"/>
          <w:szCs w:val="24"/>
        </w:rPr>
        <w:t>, the Court of Appeals of Ohio, Second Appellate District (Greene County) held (3 to 0) that defendant’s appeal is denied, and she must continue to serve her seven-year sentence for aggravated vehicular homicide.</w:t>
      </w:r>
    </w:p>
    <w:p w14:paraId="3EFC72DE" w14:textId="77777777" w:rsidR="00297434" w:rsidRDefault="00297434" w:rsidP="00297434">
      <w:pPr>
        <w:pStyle w:val="NoSpacing"/>
        <w:rPr>
          <w:rFonts w:ascii="Times New Roman" w:hAnsi="Times New Roman"/>
          <w:sz w:val="24"/>
          <w:szCs w:val="24"/>
        </w:rPr>
      </w:pPr>
    </w:p>
    <w:p w14:paraId="75CF9526" w14:textId="77777777"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“On appeal, Smith argues that her statements to the paramedics about drinking were analogous to the written record of those statements in the EMS run sheet. But regardless of whether the run sheet itself might or might not qualify by statute as a ‘medical record,’ we are unpersuaded that the Fourth Amendment precluded Meadows from speaking to the paramedics without a </w:t>
      </w:r>
      <w:proofErr w:type="gramStart"/>
      <w:r>
        <w:rPr>
          <w:rFonts w:ascii="Times New Roman" w:hAnsi="Times New Roman"/>
          <w:sz w:val="24"/>
          <w:szCs w:val="24"/>
        </w:rPr>
        <w:t>warrant</w:t>
      </w:r>
      <w:proofErr w:type="gramEnd"/>
      <w:r>
        <w:rPr>
          <w:rFonts w:ascii="Times New Roman" w:hAnsi="Times New Roman"/>
          <w:sz w:val="24"/>
          <w:szCs w:val="24"/>
        </w:rPr>
        <w:t xml:space="preserve"> and hearing what Smith told them about consuming alcohol. The trial court correctly found that Smith was not in law-enforcement custody when she made her voluntary statements in response to the paramedics' questions. We note too that Smith's statements were not entitled to a statutory privilege.” </w:t>
      </w:r>
      <w:hyperlink r:id="rId2269" w:history="1">
        <w:r>
          <w:rPr>
            <w:rStyle w:val="Hyperlink"/>
            <w:rFonts w:ascii="Times New Roman" w:hAnsi="Times New Roman"/>
            <w:sz w:val="24"/>
            <w:szCs w:val="24"/>
          </w:rPr>
          <w:t>https://public.fastcase.com/Wl%2B2t%2BeVuI35%2FN70vAMFZmE2ukal8IvDC5BUTFBRpPNG0o0%2FGYOYjoFH9I91Iplb</w:t>
        </w:r>
      </w:hyperlink>
      <w:r>
        <w:rPr>
          <w:rFonts w:ascii="Times New Roman" w:hAnsi="Times New Roman"/>
          <w:sz w:val="24"/>
          <w:szCs w:val="24"/>
        </w:rPr>
        <w:t xml:space="preserve"> </w:t>
      </w:r>
    </w:p>
    <w:p w14:paraId="23419F00" w14:textId="77777777" w:rsidR="00297434" w:rsidRDefault="00297434" w:rsidP="00297434">
      <w:pPr>
        <w:spacing w:after="100" w:line="240" w:lineRule="auto"/>
        <w:rPr>
          <w:rFonts w:ascii="Times New Roman" w:eastAsia="Times New Roman" w:hAnsi="Times New Roman"/>
          <w:b/>
          <w:bCs/>
          <w:sz w:val="24"/>
          <w:szCs w:val="24"/>
        </w:rPr>
      </w:pPr>
    </w:p>
    <w:p w14:paraId="2049E79E" w14:textId="277D981F" w:rsidR="00297434" w:rsidRDefault="00297434" w:rsidP="00297434">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EMS should record on EMS Run Report comments by patients about drinking alcohol prior to the accident, and other culpable admissions. </w:t>
      </w:r>
    </w:p>
    <w:bookmarkEnd w:id="486"/>
    <w:p w14:paraId="47968706" w14:textId="096603FC" w:rsidR="00297434" w:rsidRPr="00297434" w:rsidRDefault="00297434" w:rsidP="00297434">
      <w:pPr>
        <w:spacing w:after="100" w:line="240" w:lineRule="auto"/>
        <w:rPr>
          <w:rFonts w:ascii="Times New Roman" w:eastAsia="Times New Roman" w:hAnsi="Times New Roman"/>
          <w:sz w:val="24"/>
          <w:szCs w:val="24"/>
        </w:rPr>
      </w:pPr>
    </w:p>
    <w:p w14:paraId="29972D2D" w14:textId="77777777" w:rsidR="00297434" w:rsidRDefault="00297434" w:rsidP="00DE0F03">
      <w:pPr>
        <w:pStyle w:val="NoSpacing"/>
        <w:rPr>
          <w:rFonts w:ascii="Arial Black" w:hAnsi="Arial Black"/>
          <w:sz w:val="24"/>
          <w:szCs w:val="24"/>
        </w:rPr>
      </w:pPr>
    </w:p>
    <w:p w14:paraId="4BECA905" w14:textId="77777777" w:rsidR="00297434" w:rsidRDefault="00297434" w:rsidP="00DE0F03">
      <w:pPr>
        <w:pStyle w:val="NoSpacing"/>
        <w:rPr>
          <w:rFonts w:ascii="Arial Black" w:hAnsi="Arial Black"/>
          <w:sz w:val="24"/>
          <w:szCs w:val="24"/>
        </w:rPr>
      </w:pPr>
    </w:p>
    <w:p w14:paraId="3E6A5B86" w14:textId="6AD45D7C" w:rsidR="00297434" w:rsidRDefault="00297434"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6</w:t>
      </w:r>
    </w:p>
    <w:p w14:paraId="3F680522" w14:textId="1499BF39" w:rsidR="00297434" w:rsidRDefault="00297434" w:rsidP="00DE0F03">
      <w:pPr>
        <w:pStyle w:val="NoSpacing"/>
        <w:rPr>
          <w:rFonts w:ascii="Arial Black" w:hAnsi="Arial Black"/>
          <w:sz w:val="24"/>
          <w:szCs w:val="24"/>
        </w:rPr>
      </w:pPr>
    </w:p>
    <w:p w14:paraId="49A50F24" w14:textId="77777777" w:rsidR="00297434" w:rsidRDefault="00297434" w:rsidP="00297434">
      <w:pPr>
        <w:pStyle w:val="NoSpacing"/>
        <w:rPr>
          <w:rFonts w:ascii="Arial Black" w:eastAsiaTheme="minorHAnsi" w:hAnsi="Arial Black" w:cstheme="minorBidi"/>
          <w:sz w:val="28"/>
          <w:szCs w:val="28"/>
        </w:rPr>
      </w:pPr>
      <w:bookmarkStart w:id="487" w:name="_Hlk41152474"/>
      <w:r>
        <w:rPr>
          <w:rFonts w:ascii="Arial Black" w:hAnsi="Arial Black"/>
          <w:sz w:val="28"/>
          <w:szCs w:val="28"/>
        </w:rPr>
        <w:t xml:space="preserve">IN: OPERATOR PRIVATE AMBUL. CO. INDICTED – DIALYSIS PATIENT TRANSPORTS – IMPROPERLY BILLED MEDICARE </w:t>
      </w:r>
    </w:p>
    <w:p w14:paraId="5C42B8CF" w14:textId="77777777" w:rsidR="00297434" w:rsidRDefault="00297434" w:rsidP="00297434">
      <w:pPr>
        <w:pStyle w:val="NoSpacing"/>
        <w:rPr>
          <w:rFonts w:ascii="Arial Black" w:hAnsi="Arial Black"/>
          <w:sz w:val="28"/>
          <w:szCs w:val="28"/>
        </w:rPr>
      </w:pPr>
    </w:p>
    <w:p w14:paraId="16981FD9" w14:textId="6AE5F09F" w:rsidR="00297434" w:rsidRDefault="00297434" w:rsidP="006114FF">
      <w:pPr>
        <w:pStyle w:val="NoSpacing"/>
        <w:rPr>
          <w:rFonts w:ascii="Times New Roman" w:eastAsia="Times New Roman" w:hAnsi="Times New Roman"/>
          <w:sz w:val="24"/>
          <w:szCs w:val="24"/>
        </w:rPr>
      </w:pPr>
      <w:r>
        <w:rPr>
          <w:rFonts w:ascii="On Times New Roman" w:hAnsi="On Times New Roman"/>
          <w:sz w:val="24"/>
          <w:szCs w:val="24"/>
        </w:rPr>
        <w:t xml:space="preserve">On Nov. 15, 2019, in </w:t>
      </w:r>
      <w:r>
        <w:rPr>
          <w:rFonts w:ascii="On Times New Roman" w:hAnsi="On Times New Roman"/>
          <w:sz w:val="24"/>
          <w:szCs w:val="24"/>
          <w:u w:val="single"/>
        </w:rPr>
        <w:t>United States v. Basil Ubanwa</w:t>
      </w:r>
      <w:r>
        <w:rPr>
          <w:rFonts w:ascii="On Times New Roman" w:hAnsi="On Times New Roman"/>
          <w:sz w:val="24"/>
          <w:szCs w:val="24"/>
        </w:rPr>
        <w:t xml:space="preserve">, U.S. District Court of Northern District of Indiana,  Chief Judge Theresa L. Springmann denied defense motion to dismiss the indictment.  </w:t>
      </w:r>
    </w:p>
    <w:bookmarkEnd w:id="487"/>
    <w:p w14:paraId="650A8280" w14:textId="77777777" w:rsidR="00297434" w:rsidRDefault="00297434" w:rsidP="00297434">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 xml:space="preserve">“[FBI] Agent Pawelko testified as follows: Based on—based on the people we had spoken to and the things we've reviewed, it does appear that, number one, the majority of people that Northwest was transporting during the time of our investigation were patients being transported to and from dialysis, which is a form of - it's a nonemergency transportation. And so far, what we've seen does support the allegation that they are transporting patients who do not qualify for this type </w:t>
      </w:r>
      <w:r>
        <w:rPr>
          <w:rFonts w:ascii="Times New Roman" w:hAnsi="Times New Roman"/>
          <w:sz w:val="24"/>
          <w:szCs w:val="24"/>
        </w:rPr>
        <w:t xml:space="preserve">of transportation. </w:t>
      </w:r>
      <w:proofErr w:type="gramStart"/>
      <w:r>
        <w:rPr>
          <w:rFonts w:ascii="Times New Roman" w:hAnsi="Times New Roman"/>
          <w:sz w:val="24"/>
          <w:szCs w:val="24"/>
        </w:rPr>
        <w:t>There's</w:t>
      </w:r>
      <w:proofErr w:type="gramEnd"/>
      <w:r>
        <w:rPr>
          <w:rFonts w:ascii="Times New Roman" w:hAnsi="Times New Roman"/>
          <w:sz w:val="24"/>
          <w:szCs w:val="24"/>
        </w:rPr>
        <w:t xml:space="preserve"> many indicators that these patients are capable of being transported to dialysis and other places by different means.</w:t>
      </w:r>
    </w:p>
    <w:p w14:paraId="5F3D4AF4" w14:textId="77777777" w:rsidR="00297434" w:rsidRDefault="00297434" w:rsidP="0029743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D716668" w14:textId="77777777" w:rsidR="00297434" w:rsidRDefault="00297434" w:rsidP="0029743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Carlos Trevino, an Emergency Medical Technician and employee of Northwest Ambulance, was then called to testify before the Grand Jury. Ex. C, pp. 2, 5-6, ECF No. 25-3. In essence, Trevino testified that the Defendant directed his employees to alter and fabricate documents so that Medicare would reimburse Northwest Ambulance for transporting patients who did not qualify for ambulance transportation. </w:t>
      </w:r>
      <w:r>
        <w:rPr>
          <w:rFonts w:ascii="Times New Roman" w:hAnsi="Times New Roman"/>
          <w:i/>
          <w:iCs/>
          <w:sz w:val="24"/>
          <w:szCs w:val="24"/>
        </w:rPr>
        <w:t>See</w:t>
      </w:r>
      <w:r>
        <w:rPr>
          <w:rFonts w:ascii="Times New Roman" w:hAnsi="Times New Roman"/>
          <w:sz w:val="24"/>
          <w:szCs w:val="24"/>
        </w:rPr>
        <w:t xml:space="preserve">, </w:t>
      </w:r>
      <w:r>
        <w:rPr>
          <w:rFonts w:ascii="Times New Roman" w:hAnsi="Times New Roman"/>
          <w:i/>
          <w:iCs/>
          <w:sz w:val="24"/>
          <w:szCs w:val="24"/>
        </w:rPr>
        <w:t>e</w:t>
      </w:r>
      <w:r>
        <w:rPr>
          <w:rFonts w:ascii="Times New Roman" w:hAnsi="Times New Roman"/>
          <w:sz w:val="24"/>
          <w:szCs w:val="24"/>
        </w:rPr>
        <w:t>.</w:t>
      </w:r>
      <w:r>
        <w:rPr>
          <w:rFonts w:ascii="Times New Roman" w:hAnsi="Times New Roman"/>
          <w:i/>
          <w:iCs/>
          <w:sz w:val="24"/>
          <w:szCs w:val="24"/>
        </w:rPr>
        <w:t>g</w:t>
      </w:r>
      <w:r>
        <w:rPr>
          <w:rFonts w:ascii="Times New Roman" w:hAnsi="Times New Roman"/>
          <w:sz w:val="24"/>
          <w:szCs w:val="24"/>
        </w:rPr>
        <w:t xml:space="preserve">., </w:t>
      </w:r>
      <w:r>
        <w:rPr>
          <w:rFonts w:ascii="Times New Roman" w:hAnsi="Times New Roman"/>
          <w:i/>
          <w:iCs/>
          <w:sz w:val="24"/>
          <w:szCs w:val="24"/>
        </w:rPr>
        <w:t>id</w:t>
      </w:r>
      <w:r>
        <w:rPr>
          <w:rFonts w:ascii="Times New Roman" w:hAnsi="Times New Roman"/>
          <w:sz w:val="24"/>
          <w:szCs w:val="24"/>
        </w:rPr>
        <w:t xml:space="preserve">. </w:t>
      </w:r>
      <w:proofErr w:type="gramStart"/>
      <w:r>
        <w:rPr>
          <w:rFonts w:ascii="Times New Roman" w:hAnsi="Times New Roman"/>
          <w:sz w:val="24"/>
          <w:szCs w:val="24"/>
        </w:rPr>
        <w:t>at</w:t>
      </w:r>
      <w:proofErr w:type="gramEnd"/>
      <w:r>
        <w:rPr>
          <w:rFonts w:ascii="Times New Roman" w:hAnsi="Times New Roman"/>
          <w:sz w:val="24"/>
          <w:szCs w:val="24"/>
        </w:rPr>
        <w:t xml:space="preserve"> 12, 24-27, 44-45, 52. The Prosecutor also discussed various patients that </w:t>
      </w:r>
      <w:r>
        <w:rPr>
          <w:rFonts w:ascii="Times New Roman" w:hAnsi="Times New Roman"/>
          <w:sz w:val="24"/>
          <w:szCs w:val="24"/>
        </w:rPr>
        <w:lastRenderedPageBreak/>
        <w:t xml:space="preserve">Northwest Ambulance had transported, and Trevino offered his opinion on whether those patients qualified for transport under the applicable Medicare regulations. </w:t>
      </w:r>
      <w:r>
        <w:rPr>
          <w:rFonts w:ascii="Times New Roman" w:hAnsi="Times New Roman"/>
          <w:i/>
          <w:iCs/>
          <w:sz w:val="24"/>
          <w:szCs w:val="24"/>
        </w:rPr>
        <w:t>Id</w:t>
      </w:r>
      <w:r>
        <w:rPr>
          <w:rFonts w:ascii="Times New Roman" w:hAnsi="Times New Roman"/>
          <w:sz w:val="24"/>
          <w:szCs w:val="24"/>
        </w:rPr>
        <w:t xml:space="preserve">. </w:t>
      </w:r>
      <w:proofErr w:type="gramStart"/>
      <w:r>
        <w:rPr>
          <w:rFonts w:ascii="Times New Roman" w:hAnsi="Times New Roman"/>
          <w:sz w:val="24"/>
          <w:szCs w:val="24"/>
        </w:rPr>
        <w:t>at</w:t>
      </w:r>
      <w:proofErr w:type="gramEnd"/>
      <w:r>
        <w:rPr>
          <w:rFonts w:ascii="Times New Roman" w:hAnsi="Times New Roman"/>
          <w:sz w:val="24"/>
          <w:szCs w:val="24"/>
        </w:rPr>
        <w:t xml:space="preserve"> 29, 31, 34. The Prosecutor also asked Trevino the following question: "how many millions of dollars was paid out by Medicaid for the transportation of [the] patients?" </w:t>
      </w:r>
      <w:r>
        <w:rPr>
          <w:rFonts w:ascii="Times New Roman" w:hAnsi="Times New Roman"/>
          <w:i/>
          <w:iCs/>
          <w:sz w:val="24"/>
          <w:szCs w:val="24"/>
        </w:rPr>
        <w:t>Id</w:t>
      </w:r>
      <w:r>
        <w:rPr>
          <w:rFonts w:ascii="Times New Roman" w:hAnsi="Times New Roman"/>
          <w:sz w:val="24"/>
          <w:szCs w:val="24"/>
        </w:rPr>
        <w:t xml:space="preserve">. at 54. Trevino responded that he did not know. </w:t>
      </w:r>
      <w:r>
        <w:rPr>
          <w:rFonts w:ascii="Times New Roman" w:hAnsi="Times New Roman"/>
          <w:i/>
          <w:iCs/>
          <w:sz w:val="24"/>
          <w:szCs w:val="24"/>
        </w:rPr>
        <w:t>Id</w:t>
      </w:r>
      <w:r>
        <w:rPr>
          <w:rFonts w:ascii="Times New Roman" w:hAnsi="Times New Roman"/>
          <w:sz w:val="24"/>
          <w:szCs w:val="24"/>
        </w:rPr>
        <w:t xml:space="preserve">. The Prosecutor then asked a follow up question: "Would it surprise you to know it's 3 or 4 million dollars?" </w:t>
      </w:r>
      <w:r>
        <w:rPr>
          <w:rFonts w:ascii="Times New Roman" w:hAnsi="Times New Roman"/>
          <w:i/>
          <w:iCs/>
          <w:sz w:val="24"/>
          <w:szCs w:val="24"/>
        </w:rPr>
        <w:t>Id</w:t>
      </w:r>
      <w:r>
        <w:rPr>
          <w:rFonts w:ascii="Times New Roman" w:hAnsi="Times New Roman"/>
          <w:sz w:val="24"/>
          <w:szCs w:val="24"/>
        </w:rPr>
        <w:t xml:space="preserve">. Trevino answered, "That is surprising, yes." </w:t>
      </w:r>
      <w:r>
        <w:rPr>
          <w:rFonts w:ascii="Times New Roman" w:hAnsi="Times New Roman"/>
          <w:i/>
          <w:iCs/>
          <w:sz w:val="24"/>
          <w:szCs w:val="24"/>
        </w:rPr>
        <w:t>Id</w:t>
      </w:r>
      <w:r>
        <w:rPr>
          <w:rFonts w:ascii="Times New Roman" w:hAnsi="Times New Roman"/>
          <w:sz w:val="24"/>
          <w:szCs w:val="24"/>
        </w:rPr>
        <w:t xml:space="preserve">. </w:t>
      </w:r>
      <w:bookmarkStart w:id="488" w:name="_Hlk41152492"/>
      <w:r w:rsidR="00F37A4B">
        <w:fldChar w:fldCharType="begin"/>
      </w:r>
      <w:r w:rsidR="00F37A4B">
        <w:instrText xml:space="preserve"> HYPERLINK "https://public.fastcase.com/Wl%2B2t%2BeVuI35%2FN70vAMFZlf8DDiJ0IlZyenM%2FaRiHEaOXnxs5YVKmrc22QWJLh0q" </w:instrText>
      </w:r>
      <w:r w:rsidR="00F37A4B">
        <w:fldChar w:fldCharType="separate"/>
      </w:r>
      <w:r>
        <w:rPr>
          <w:rStyle w:val="Hyperlink"/>
          <w:rFonts w:ascii="Times New Roman" w:hAnsi="Times New Roman"/>
          <w:sz w:val="24"/>
          <w:szCs w:val="24"/>
        </w:rPr>
        <w:t>https://public.fastcase.com/Wl%2B2t%2BeVuI35%2FN70vAMFZlf8DDiJ0IlZyenM%2FaRiHEaOXnxs5YVKmrc22QWJLh0q</w:t>
      </w:r>
      <w:r w:rsidR="00F37A4B">
        <w:rPr>
          <w:rStyle w:val="Hyperlink"/>
          <w:rFonts w:ascii="Times New Roman" w:hAnsi="Times New Roman"/>
          <w:sz w:val="24"/>
          <w:szCs w:val="24"/>
        </w:rPr>
        <w:fldChar w:fldCharType="end"/>
      </w:r>
      <w:r>
        <w:rPr>
          <w:rFonts w:ascii="Times New Roman" w:hAnsi="Times New Roman"/>
          <w:sz w:val="24"/>
          <w:szCs w:val="24"/>
        </w:rPr>
        <w:t xml:space="preserve"> </w:t>
      </w:r>
    </w:p>
    <w:p w14:paraId="4B30869E" w14:textId="77777777" w:rsidR="00297434" w:rsidRDefault="00297434" w:rsidP="00297434">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Federal government continues widespread investigation of Medicare fraud.  </w:t>
      </w:r>
      <w:hyperlink r:id="rId2270" w:history="1">
        <w:r>
          <w:rPr>
            <w:rStyle w:val="Hyperlink"/>
            <w:rFonts w:ascii="Times New Roman" w:hAnsi="Times New Roman"/>
            <w:b/>
            <w:bCs/>
            <w:sz w:val="24"/>
            <w:szCs w:val="24"/>
          </w:rPr>
          <w:t>https://oig.hhs.gov/fraud/strike-force/</w:t>
        </w:r>
      </w:hyperlink>
      <w:r>
        <w:rPr>
          <w:rFonts w:ascii="Times New Roman" w:hAnsi="Times New Roman"/>
          <w:b/>
          <w:bCs/>
          <w:sz w:val="24"/>
          <w:szCs w:val="24"/>
        </w:rPr>
        <w:t xml:space="preserve">  “First established in March 2007, Strike Force teams currently operate in the following areas: Miami, Florida; Los Angeles, California; Detroit, Michigan; Houston, Texas; Brooklyn, New York; Baton Rouge and New Orleans, Louisiana; Tampa and Orlando, Florida; Chicago, Illinois; Dallas, Texas; Washington, D.C.; Newark, New Jersey/Philadelphia, Pennsylvania; and the Appalachian Region.”</w:t>
      </w:r>
    </w:p>
    <w:bookmarkEnd w:id="488"/>
    <w:p w14:paraId="446F30BF" w14:textId="77777777" w:rsidR="00297434" w:rsidRDefault="00297434" w:rsidP="00DE0F03">
      <w:pPr>
        <w:pStyle w:val="NoSpacing"/>
        <w:rPr>
          <w:rFonts w:ascii="Arial Black" w:hAnsi="Arial Black"/>
          <w:sz w:val="24"/>
          <w:szCs w:val="24"/>
        </w:rPr>
      </w:pPr>
    </w:p>
    <w:p w14:paraId="3A7641FC" w14:textId="280F6F56" w:rsidR="00297434" w:rsidRDefault="00297434"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5</w:t>
      </w:r>
    </w:p>
    <w:p w14:paraId="51CFF4A9" w14:textId="77777777" w:rsidR="00297434" w:rsidRDefault="00297434" w:rsidP="00297434">
      <w:pPr>
        <w:spacing w:before="100" w:beforeAutospacing="1" w:after="100" w:afterAutospacing="1" w:line="240" w:lineRule="auto"/>
        <w:rPr>
          <w:rFonts w:ascii="Arial Black" w:eastAsia="Times New Roman" w:hAnsi="Arial Black"/>
          <w:b/>
          <w:bCs/>
          <w:sz w:val="28"/>
          <w:szCs w:val="28"/>
        </w:rPr>
      </w:pPr>
      <w:bookmarkStart w:id="489" w:name="_Hlk41152552"/>
      <w:bookmarkStart w:id="490" w:name="_Hlk41293717"/>
      <w:r>
        <w:rPr>
          <w:rFonts w:ascii="Arial Black" w:hAnsi="Arial Black"/>
          <w:b/>
          <w:bCs/>
          <w:sz w:val="28"/>
          <w:szCs w:val="28"/>
        </w:rPr>
        <w:t>NY:  UNCONSCIOUS PATIENT – 37 MIN. DELAY - PD RE-DIRECTED TO ANOTHER PATIENT – PATIENT DIED - LAWSUIT MAY PROCEED</w:t>
      </w:r>
    </w:p>
    <w:p w14:paraId="31E9D7E7" w14:textId="77777777" w:rsidR="00297434" w:rsidRPr="00E265AB" w:rsidRDefault="00297434" w:rsidP="00297434">
      <w:pPr>
        <w:pStyle w:val="NoSpacing"/>
        <w:rPr>
          <w:rFonts w:ascii="Times New Roman" w:eastAsiaTheme="minorHAnsi" w:hAnsi="Times New Roman"/>
          <w:sz w:val="24"/>
          <w:szCs w:val="24"/>
        </w:rPr>
      </w:pPr>
      <w:r w:rsidRPr="00E265AB">
        <w:rPr>
          <w:rFonts w:ascii="Times New Roman" w:hAnsi="Times New Roman"/>
          <w:sz w:val="24"/>
          <w:szCs w:val="24"/>
        </w:rPr>
        <w:t xml:space="preserve">On Nov. 7, 2019, in </w:t>
      </w:r>
      <w:r w:rsidRPr="00E265AB">
        <w:rPr>
          <w:rFonts w:ascii="Times New Roman" w:hAnsi="Times New Roman"/>
          <w:sz w:val="24"/>
          <w:szCs w:val="24"/>
          <w:u w:val="single"/>
        </w:rPr>
        <w:t>Michael Mannino, as Administrator of the Estate of Carmen Mannino v. The City of New York</w:t>
      </w:r>
      <w:r w:rsidRPr="00E265AB">
        <w:rPr>
          <w:rFonts w:ascii="Times New Roman" w:hAnsi="Times New Roman"/>
          <w:sz w:val="24"/>
          <w:szCs w:val="24"/>
        </w:rPr>
        <w:t xml:space="preserve">, Supreme Court of New York, New York County (Part 5), Justice Verna L. Saunders, denied the City’s motion for summary judgment. </w:t>
      </w:r>
    </w:p>
    <w:p w14:paraId="730C90F5" w14:textId="77777777" w:rsidR="00297434" w:rsidRDefault="00297434" w:rsidP="00297434">
      <w:pPr>
        <w:pStyle w:val="NoSpacing"/>
        <w:rPr>
          <w:rFonts w:ascii="On Times New Roman" w:hAnsi="On Times New Roman"/>
          <w:sz w:val="24"/>
          <w:szCs w:val="24"/>
        </w:rPr>
      </w:pPr>
    </w:p>
    <w:bookmarkEnd w:id="489"/>
    <w:p w14:paraId="653113F7" w14:textId="0E2FE895"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“Moreover, it is clear from the facts presented that reasonable minds may differ as to whether the dispatcher made the appropriate inquires in order to dispatch the most suitable unit to plaintiff's home; whether the thirty-seven minutes that elapsed between Mr. Mannino's first 911 call and FDNY's ultimate arrival to his home constitutes a breach of duty where Mr. Mannino called 911 three times and was never informed that </w:t>
      </w:r>
    </w:p>
    <w:p w14:paraId="26D7E444" w14:textId="77777777" w:rsidR="00297434" w:rsidRDefault="00297434" w:rsidP="00297434">
      <w:pPr>
        <w:pStyle w:val="NoSpacing"/>
        <w:ind w:left="720"/>
        <w:rPr>
          <w:rFonts w:ascii="Times New Roman" w:hAnsi="Times New Roman"/>
          <w:sz w:val="24"/>
          <w:szCs w:val="24"/>
        </w:rPr>
      </w:pPr>
      <w:proofErr w:type="gramStart"/>
      <w:r>
        <w:rPr>
          <w:rFonts w:ascii="Times New Roman" w:hAnsi="Times New Roman"/>
          <w:sz w:val="24"/>
          <w:szCs w:val="24"/>
        </w:rPr>
        <w:t>there</w:t>
      </w:r>
      <w:proofErr w:type="gramEnd"/>
      <w:r>
        <w:rPr>
          <w:rFonts w:ascii="Times New Roman" w:hAnsi="Times New Roman"/>
          <w:sz w:val="24"/>
          <w:szCs w:val="24"/>
        </w:rPr>
        <w:t xml:space="preserve"> was a delay due to the initial ambulance being stopped by NYPD; and finally, whether plaintiff's reliance on the statements of the dispatcher was reasonable where on three separate occasions he informed the 911 of dispatch of his wife's condition and each time was told that ‘they </w:t>
      </w:r>
      <w:proofErr w:type="gramStart"/>
      <w:r>
        <w:rPr>
          <w:rFonts w:ascii="Times New Roman" w:hAnsi="Times New Roman"/>
          <w:sz w:val="24"/>
          <w:szCs w:val="24"/>
        </w:rPr>
        <w:t>will</w:t>
      </w:r>
      <w:proofErr w:type="gramEnd"/>
      <w:r>
        <w:rPr>
          <w:rFonts w:ascii="Times New Roman" w:hAnsi="Times New Roman"/>
          <w:sz w:val="24"/>
          <w:szCs w:val="24"/>
        </w:rPr>
        <w:t xml:space="preserve"> take care of it.’ The City's assertion in reply, that plaintiff did not report to the dispatcher his wife's "deteriorating" condition is without merit as it is the dispatcher who elicits relevant information through questioning. Furthermore, the information provided to the dispatcher over the course of the multiple 911 calls resulted in plaintiff's priority increasing with each call, with the final call being given top priority and an ALS unit assignment. </w:t>
      </w:r>
      <w:bookmarkStart w:id="491" w:name="_Hlk41152572"/>
      <w:r w:rsidR="00F37A4B">
        <w:fldChar w:fldCharType="begin"/>
      </w:r>
      <w:r w:rsidR="00F37A4B">
        <w:instrText xml:space="preserve"> HYPERLINK "https://public.fastcase.com/Wl%2B2t%2BeVuI35%2FN70vAMFZi1T3lhea37qRbZrbVg21pm1BEJfSmxcdX46bLXGGvU2" </w:instrText>
      </w:r>
      <w:r w:rsidR="00F37A4B">
        <w:fldChar w:fldCharType="separate"/>
      </w:r>
      <w:r>
        <w:rPr>
          <w:rStyle w:val="Hyperlink"/>
          <w:rFonts w:ascii="Times New Roman" w:hAnsi="Times New Roman"/>
          <w:sz w:val="24"/>
          <w:szCs w:val="24"/>
        </w:rPr>
        <w:t>https://public.fastcase.com/Wl%2B2t%2BeVuI35%2FN70vAMFZi1T3lhea37qRbZrbVg21pm1BEJfSmxcdX46bLXGGvU2</w:t>
      </w:r>
      <w:r w:rsidR="00F37A4B">
        <w:rPr>
          <w:rStyle w:val="Hyperlink"/>
          <w:rFonts w:ascii="Times New Roman" w:hAnsi="Times New Roman"/>
          <w:sz w:val="24"/>
          <w:szCs w:val="24"/>
        </w:rPr>
        <w:fldChar w:fldCharType="end"/>
      </w:r>
      <w:r>
        <w:rPr>
          <w:rFonts w:ascii="Times New Roman" w:hAnsi="Times New Roman"/>
          <w:sz w:val="24"/>
          <w:szCs w:val="24"/>
        </w:rPr>
        <w:t xml:space="preserve"> </w:t>
      </w:r>
    </w:p>
    <w:p w14:paraId="435CD002" w14:textId="77777777" w:rsidR="00297434" w:rsidRDefault="00297434" w:rsidP="00297434">
      <w:pPr>
        <w:pStyle w:val="NoSpacing"/>
        <w:ind w:left="720"/>
        <w:rPr>
          <w:rFonts w:ascii="Times New Roman" w:hAnsi="Times New Roman"/>
          <w:sz w:val="24"/>
          <w:szCs w:val="24"/>
        </w:rPr>
      </w:pPr>
    </w:p>
    <w:p w14:paraId="7964A838" w14:textId="77777777" w:rsidR="00297434" w:rsidRDefault="00297434" w:rsidP="00297434">
      <w:pPr>
        <w:pStyle w:val="NoSpacing"/>
        <w:rPr>
          <w:rFonts w:ascii="Times New Roman" w:hAnsi="Times New Roman"/>
          <w:b/>
          <w:bCs/>
          <w:sz w:val="24"/>
          <w:szCs w:val="24"/>
        </w:rPr>
      </w:pPr>
      <w:r>
        <w:rPr>
          <w:rFonts w:ascii="Times New Roman" w:hAnsi="Times New Roman"/>
          <w:b/>
          <w:bCs/>
          <w:sz w:val="24"/>
          <w:szCs w:val="24"/>
        </w:rPr>
        <w:t xml:space="preserve">Legal Lessons Learned: If an ambulance is re-directed on another run, dispatch should inform the 911 caller of the delay. </w:t>
      </w:r>
    </w:p>
    <w:bookmarkEnd w:id="490"/>
    <w:bookmarkEnd w:id="491"/>
    <w:p w14:paraId="31E24DD0" w14:textId="259664FB" w:rsidR="00297434" w:rsidRDefault="00297434" w:rsidP="00DE0F03">
      <w:pPr>
        <w:pStyle w:val="NoSpacing"/>
        <w:rPr>
          <w:rFonts w:ascii="Arial Black" w:hAnsi="Arial Black"/>
          <w:sz w:val="24"/>
          <w:szCs w:val="24"/>
        </w:rPr>
      </w:pPr>
    </w:p>
    <w:p w14:paraId="2DF47F9E" w14:textId="77777777" w:rsidR="006114FF" w:rsidRDefault="006114FF" w:rsidP="00DE0F03">
      <w:pPr>
        <w:pStyle w:val="NoSpacing"/>
        <w:rPr>
          <w:rFonts w:ascii="Arial Black" w:hAnsi="Arial Black"/>
          <w:sz w:val="24"/>
          <w:szCs w:val="24"/>
        </w:rPr>
      </w:pPr>
    </w:p>
    <w:p w14:paraId="3B84534E" w14:textId="77777777" w:rsidR="006114FF" w:rsidRDefault="006114FF" w:rsidP="00DE0F03">
      <w:pPr>
        <w:pStyle w:val="NoSpacing"/>
        <w:rPr>
          <w:rFonts w:ascii="Arial Black" w:hAnsi="Arial Black"/>
          <w:sz w:val="24"/>
          <w:szCs w:val="24"/>
        </w:rPr>
      </w:pPr>
    </w:p>
    <w:p w14:paraId="5129AE77" w14:textId="17D0ACDD" w:rsidR="007A1E7A" w:rsidRDefault="005C30A4" w:rsidP="00DE0F03">
      <w:pPr>
        <w:pStyle w:val="NoSpacing"/>
        <w:rPr>
          <w:rFonts w:ascii="Arial Black" w:hAnsi="Arial Black"/>
          <w:sz w:val="24"/>
          <w:szCs w:val="24"/>
        </w:rPr>
      </w:pPr>
      <w:r>
        <w:rPr>
          <w:rFonts w:ascii="Arial Black" w:hAnsi="Arial Black"/>
          <w:sz w:val="24"/>
          <w:szCs w:val="24"/>
        </w:rPr>
        <w:t>13-34</w:t>
      </w:r>
    </w:p>
    <w:p w14:paraId="1AB13479" w14:textId="77777777" w:rsidR="007A1E7A" w:rsidRPr="007D1530" w:rsidRDefault="007A1E7A" w:rsidP="007A1E7A">
      <w:pPr>
        <w:spacing w:before="100" w:beforeAutospacing="1" w:after="100" w:afterAutospacing="1" w:line="240" w:lineRule="auto"/>
        <w:rPr>
          <w:rFonts w:ascii="Arial Black" w:eastAsia="Times New Roman" w:hAnsi="Arial Black"/>
          <w:b/>
          <w:bCs/>
          <w:sz w:val="28"/>
          <w:szCs w:val="28"/>
        </w:rPr>
      </w:pPr>
      <w:bookmarkStart w:id="492" w:name="_Hlk34226456"/>
      <w:bookmarkStart w:id="493" w:name="_Hlk41152597"/>
      <w:r w:rsidRPr="007D1530">
        <w:rPr>
          <w:rFonts w:ascii="Arial Black" w:eastAsia="Times New Roman" w:hAnsi="Arial Black"/>
          <w:b/>
          <w:bCs/>
          <w:sz w:val="28"/>
          <w:szCs w:val="28"/>
        </w:rPr>
        <w:lastRenderedPageBreak/>
        <w:t>MD:</w:t>
      </w:r>
      <w:r>
        <w:rPr>
          <w:rFonts w:ascii="Arial Black" w:eastAsia="Times New Roman" w:hAnsi="Arial Black"/>
          <w:b/>
          <w:bCs/>
          <w:sz w:val="28"/>
          <w:szCs w:val="28"/>
        </w:rPr>
        <w:t xml:space="preserve">  CARDIAC RUN - PATIENT WALKED TO AMBULANCE, TO WHEELCHAIR - $3.7M JURY REVERSED - NOT “GROSS NEGLIENCE” </w:t>
      </w:r>
    </w:p>
    <w:bookmarkEnd w:id="492"/>
    <w:p w14:paraId="1B36C2A7" w14:textId="77777777" w:rsidR="007A1E7A" w:rsidRPr="004B30C8" w:rsidRDefault="007A1E7A" w:rsidP="007A1E7A">
      <w:pPr>
        <w:pStyle w:val="NoSpacing"/>
        <w:rPr>
          <w:rFonts w:ascii="Times New Roman" w:hAnsi="Times New Roman"/>
          <w:b/>
          <w:bCs/>
          <w:sz w:val="24"/>
          <w:szCs w:val="24"/>
        </w:rPr>
      </w:pPr>
      <w:r w:rsidRPr="004B30C8">
        <w:rPr>
          <w:rFonts w:ascii="Times New Roman" w:eastAsia="Times New Roman" w:hAnsi="Times New Roman"/>
          <w:bCs/>
          <w:sz w:val="24"/>
          <w:szCs w:val="24"/>
        </w:rPr>
        <w:t xml:space="preserve">On Aug. 16, 2019, in </w:t>
      </w:r>
      <w:r w:rsidRPr="004B30C8">
        <w:rPr>
          <w:rFonts w:ascii="Times New Roman" w:eastAsia="Times New Roman" w:hAnsi="Times New Roman"/>
          <w:bCs/>
          <w:sz w:val="24"/>
          <w:szCs w:val="24"/>
          <w:u w:val="single"/>
        </w:rPr>
        <w:t>Joseph Strackle, et al. v. Estate of Kerry Butler, Jr</w:t>
      </w:r>
      <w:r w:rsidRPr="004B30C8">
        <w:rPr>
          <w:rFonts w:ascii="Times New Roman" w:eastAsia="Times New Roman" w:hAnsi="Times New Roman"/>
          <w:bCs/>
          <w:sz w:val="24"/>
          <w:szCs w:val="24"/>
        </w:rPr>
        <w:t xml:space="preserve">., the Maryland Court of Appeals (4 to 3), reversed the Court of Special Appeals, and agreed with the trial judge that the paramedics were not grossly negligent.  Plaintiff alleged breach of City of Baltimore FD protocol when the patient walked from his home to the ambulance, and upon arrival at hospital walked from ambulance to wheelchair.  The jury verdict of </w:t>
      </w:r>
      <w:r w:rsidRPr="004B30C8">
        <w:rPr>
          <w:rFonts w:ascii="Times New Roman" w:hAnsi="Times New Roman"/>
          <w:bCs/>
          <w:sz w:val="24"/>
          <w:szCs w:val="24"/>
        </w:rPr>
        <w:t xml:space="preserve">$3,707,000 was set aside by the trial </w:t>
      </w:r>
      <w:proofErr w:type="gramStart"/>
      <w:r w:rsidRPr="004B30C8">
        <w:rPr>
          <w:rFonts w:ascii="Times New Roman" w:hAnsi="Times New Roman"/>
          <w:bCs/>
          <w:sz w:val="24"/>
          <w:szCs w:val="24"/>
        </w:rPr>
        <w:t>judge, but</w:t>
      </w:r>
      <w:proofErr w:type="gramEnd"/>
      <w:r w:rsidRPr="004B30C8">
        <w:rPr>
          <w:rFonts w:ascii="Times New Roman" w:hAnsi="Times New Roman"/>
          <w:bCs/>
          <w:sz w:val="24"/>
          <w:szCs w:val="24"/>
        </w:rPr>
        <w:t xml:space="preserve"> reinstated by the Special Court of Appeals; the paramedics appealed to Maryland Court of Appeals, which set aside the jury verdict. </w:t>
      </w:r>
    </w:p>
    <w:bookmarkEnd w:id="493"/>
    <w:p w14:paraId="1ED63917" w14:textId="77777777" w:rsidR="007A1E7A" w:rsidRPr="004B30C8" w:rsidRDefault="007A1E7A" w:rsidP="007A1E7A">
      <w:pPr>
        <w:pStyle w:val="NoSpacing"/>
        <w:rPr>
          <w:rFonts w:ascii="Times New Roman" w:hAnsi="Times New Roman"/>
          <w:b/>
          <w:bCs/>
          <w:sz w:val="24"/>
          <w:szCs w:val="24"/>
        </w:rPr>
      </w:pPr>
    </w:p>
    <w:p w14:paraId="1B58F895" w14:textId="77777777" w:rsidR="007A1E7A" w:rsidRPr="004B30C8" w:rsidRDefault="007A1E7A" w:rsidP="007A1E7A">
      <w:pPr>
        <w:pStyle w:val="NoSpacing"/>
        <w:ind w:left="720"/>
        <w:rPr>
          <w:rFonts w:ascii="Times New Roman" w:hAnsi="Times New Roman"/>
          <w:b/>
          <w:bCs/>
          <w:sz w:val="24"/>
          <w:szCs w:val="24"/>
        </w:rPr>
      </w:pPr>
      <w:r w:rsidRPr="004B30C8">
        <w:rPr>
          <w:rFonts w:ascii="Times New Roman" w:hAnsi="Times New Roman"/>
          <w:bCs/>
          <w:sz w:val="24"/>
          <w:szCs w:val="24"/>
        </w:rPr>
        <w:t xml:space="preserve">“Petitioners [paramedics] assessed the patient, took his vitals, and promptly transported him to the nearest hospital within approximately seven minutes of first arriving on the scene. Based on the evidence presented at trial, the jury could not have found that Petitioners were grossly negligent by a preponderance of the evidence. We further conclude that </w:t>
      </w:r>
      <w:proofErr w:type="spellStart"/>
      <w:r w:rsidRPr="004B30C8">
        <w:rPr>
          <w:rFonts w:ascii="Times New Roman" w:hAnsi="Times New Roman"/>
          <w:bCs/>
          <w:sz w:val="24"/>
          <w:szCs w:val="24"/>
        </w:rPr>
        <w:t>Cts</w:t>
      </w:r>
      <w:proofErr w:type="spellEnd"/>
      <w:r w:rsidRPr="004B30C8">
        <w:rPr>
          <w:rFonts w:ascii="Times New Roman" w:hAnsi="Times New Roman"/>
          <w:bCs/>
          <w:sz w:val="24"/>
          <w:szCs w:val="24"/>
        </w:rPr>
        <w:t xml:space="preserve">. &amp; Jud. Proc. § 5-604(a) unambiguously confers immunity upon municipal fire departments in simple negligence claims. *** Finally, the practical implications of holding otherwise cannot be overstated. Concluding that Petitioners were grossly negligent would have a negative impact on not only the number of individuals who seek employment as first responders in the </w:t>
      </w:r>
      <w:proofErr w:type="gramStart"/>
      <w:r w:rsidRPr="004B30C8">
        <w:rPr>
          <w:rFonts w:ascii="Times New Roman" w:hAnsi="Times New Roman"/>
          <w:bCs/>
          <w:sz w:val="24"/>
          <w:szCs w:val="24"/>
        </w:rPr>
        <w:t>future, but</w:t>
      </w:r>
      <w:proofErr w:type="gramEnd"/>
      <w:r w:rsidRPr="004B30C8">
        <w:rPr>
          <w:rFonts w:ascii="Times New Roman" w:hAnsi="Times New Roman"/>
          <w:bCs/>
          <w:sz w:val="24"/>
          <w:szCs w:val="24"/>
        </w:rPr>
        <w:t xml:space="preserve"> would create a chilling effect on their conduct. First responders must have broad discretion to proceed in their assessment and treatment of patients without the fear of liability. *** We conclude that there was not sufficient evidence to establish that Petitioners [paramedics] committed gross negligence. The mere fact that Petitioners inaccurately diagnosed and treated their patient does not elevate their conduct to gross negligence.</w:t>
      </w:r>
    </w:p>
    <w:bookmarkStart w:id="494" w:name="_Hlk41152616"/>
    <w:p w14:paraId="3F451BB5" w14:textId="77777777" w:rsidR="007A1E7A" w:rsidRPr="004B30C8" w:rsidRDefault="00F37A4B" w:rsidP="007A1E7A">
      <w:pPr>
        <w:pStyle w:val="NoSpacing"/>
        <w:ind w:left="720"/>
        <w:rPr>
          <w:rFonts w:ascii="Times New Roman" w:hAnsi="Times New Roman"/>
          <w:b/>
          <w:bCs/>
          <w:sz w:val="24"/>
          <w:szCs w:val="24"/>
        </w:rPr>
      </w:pPr>
      <w:r>
        <w:fldChar w:fldCharType="begin"/>
      </w:r>
      <w:r>
        <w:instrText xml:space="preserve"> HYPERLINK "https://mdcourts.gov/data/opinions/coa/2019/64a18.pdf" </w:instrText>
      </w:r>
      <w:r>
        <w:fldChar w:fldCharType="separate"/>
      </w:r>
      <w:r w:rsidR="007A1E7A" w:rsidRPr="004B30C8">
        <w:rPr>
          <w:rStyle w:val="Hyperlink"/>
          <w:rFonts w:ascii="Times New Roman" w:hAnsi="Times New Roman"/>
          <w:bCs/>
          <w:sz w:val="24"/>
          <w:szCs w:val="24"/>
        </w:rPr>
        <w:t>https://mdcourts.gov/data/opinions/coa/2019/64a18.pdf</w:t>
      </w:r>
      <w:r>
        <w:rPr>
          <w:rStyle w:val="Hyperlink"/>
          <w:rFonts w:ascii="Times New Roman" w:hAnsi="Times New Roman"/>
          <w:bCs/>
          <w:sz w:val="24"/>
          <w:szCs w:val="24"/>
        </w:rPr>
        <w:fldChar w:fldCharType="end"/>
      </w:r>
      <w:r w:rsidR="007A1E7A" w:rsidRPr="004B30C8">
        <w:rPr>
          <w:rFonts w:ascii="Times New Roman" w:hAnsi="Times New Roman"/>
          <w:bCs/>
          <w:sz w:val="24"/>
          <w:szCs w:val="24"/>
        </w:rPr>
        <w:t xml:space="preserve"> </w:t>
      </w:r>
    </w:p>
    <w:p w14:paraId="55222C6A" w14:textId="40C74A42" w:rsidR="007A1E7A" w:rsidRDefault="007A1E7A" w:rsidP="00DE0F03">
      <w:pPr>
        <w:pStyle w:val="NoSpacing"/>
        <w:rPr>
          <w:rFonts w:ascii="Arial Black" w:hAnsi="Arial Black"/>
          <w:sz w:val="24"/>
          <w:szCs w:val="24"/>
        </w:rPr>
      </w:pPr>
    </w:p>
    <w:p w14:paraId="72910659" w14:textId="77777777" w:rsidR="007A1E7A" w:rsidRDefault="007A1E7A" w:rsidP="007A1E7A">
      <w:pPr>
        <w:pStyle w:val="NoSpacing"/>
        <w:rPr>
          <w:rFonts w:ascii="Times New Roman" w:hAnsi="Times New Roman"/>
          <w:b/>
          <w:bCs/>
          <w:sz w:val="24"/>
          <w:szCs w:val="24"/>
        </w:rPr>
      </w:pPr>
    </w:p>
    <w:p w14:paraId="5A32BF6B" w14:textId="77777777" w:rsidR="007A1E7A" w:rsidRDefault="007A1E7A" w:rsidP="007A1E7A">
      <w:pPr>
        <w:pStyle w:val="NoSpacing"/>
        <w:rPr>
          <w:rFonts w:ascii="Times New Roman" w:hAnsi="Times New Roman"/>
          <w:b/>
          <w:bCs/>
          <w:sz w:val="24"/>
          <w:szCs w:val="24"/>
        </w:rPr>
      </w:pPr>
    </w:p>
    <w:p w14:paraId="07974E18" w14:textId="77777777" w:rsidR="007A1E7A" w:rsidRDefault="007A1E7A" w:rsidP="007A1E7A">
      <w:pPr>
        <w:pStyle w:val="NoSpacing"/>
        <w:rPr>
          <w:rFonts w:ascii="Times New Roman" w:hAnsi="Times New Roman"/>
          <w:b/>
          <w:bCs/>
          <w:sz w:val="24"/>
          <w:szCs w:val="24"/>
        </w:rPr>
      </w:pPr>
    </w:p>
    <w:p w14:paraId="07AEBA0F" w14:textId="67E642A3" w:rsidR="007A1E7A" w:rsidRPr="004B30C8" w:rsidRDefault="007A1E7A" w:rsidP="007A1E7A">
      <w:pPr>
        <w:pStyle w:val="NoSpacing"/>
        <w:rPr>
          <w:rFonts w:ascii="Times New Roman" w:hAnsi="Times New Roman"/>
          <w:b/>
          <w:bCs/>
          <w:sz w:val="24"/>
          <w:szCs w:val="24"/>
        </w:rPr>
      </w:pPr>
      <w:r w:rsidRPr="004B30C8">
        <w:rPr>
          <w:rFonts w:ascii="Times New Roman" w:hAnsi="Times New Roman"/>
          <w:b/>
          <w:bCs/>
          <w:sz w:val="24"/>
          <w:szCs w:val="24"/>
        </w:rPr>
        <w:t xml:space="preserve">Legal Lessons Learned: Follow your Protocols, and on cardiac run if the patient will not wait to get on the cot, or upon arrival at hospital insists on walking out of the ambulance to the wheelchair, thoroughly document the facts. </w:t>
      </w:r>
    </w:p>
    <w:bookmarkEnd w:id="494"/>
    <w:p w14:paraId="3878A716" w14:textId="77777777" w:rsidR="007A1E7A" w:rsidRDefault="007A1E7A" w:rsidP="00DE0F03">
      <w:pPr>
        <w:pStyle w:val="NoSpacing"/>
        <w:rPr>
          <w:rFonts w:ascii="Arial Black" w:hAnsi="Arial Black"/>
          <w:sz w:val="24"/>
          <w:szCs w:val="24"/>
        </w:rPr>
      </w:pPr>
    </w:p>
    <w:p w14:paraId="39482879" w14:textId="77777777" w:rsidR="005C30A4" w:rsidRDefault="005C30A4" w:rsidP="00DE0F03">
      <w:pPr>
        <w:pStyle w:val="NoSpacing"/>
        <w:rPr>
          <w:rFonts w:ascii="Arial Black" w:hAnsi="Arial Black"/>
          <w:sz w:val="24"/>
          <w:szCs w:val="24"/>
        </w:rPr>
      </w:pPr>
    </w:p>
    <w:p w14:paraId="23B333BE" w14:textId="77777777" w:rsidR="005C30A4" w:rsidRDefault="005C30A4" w:rsidP="00DE0F03">
      <w:pPr>
        <w:pStyle w:val="NoSpacing"/>
        <w:rPr>
          <w:rFonts w:ascii="Arial Black" w:hAnsi="Arial Black"/>
          <w:sz w:val="24"/>
          <w:szCs w:val="24"/>
        </w:rPr>
      </w:pPr>
    </w:p>
    <w:p w14:paraId="7B1BB773" w14:textId="77777777" w:rsidR="005C30A4" w:rsidRDefault="005C30A4" w:rsidP="00DE0F03">
      <w:pPr>
        <w:pStyle w:val="NoSpacing"/>
        <w:rPr>
          <w:rFonts w:ascii="Arial Black" w:hAnsi="Arial Black"/>
          <w:sz w:val="24"/>
          <w:szCs w:val="24"/>
        </w:rPr>
      </w:pPr>
    </w:p>
    <w:p w14:paraId="395E863D" w14:textId="2CD4CF26" w:rsidR="00853142" w:rsidRDefault="00853142" w:rsidP="00DE0F03">
      <w:pPr>
        <w:pStyle w:val="NoSpacing"/>
        <w:rPr>
          <w:rFonts w:ascii="Arial Black" w:hAnsi="Arial Black"/>
          <w:sz w:val="24"/>
          <w:szCs w:val="24"/>
        </w:rPr>
      </w:pPr>
      <w:r>
        <w:rPr>
          <w:rFonts w:ascii="Arial Black" w:hAnsi="Arial Black"/>
          <w:sz w:val="24"/>
          <w:szCs w:val="24"/>
        </w:rPr>
        <w:t>13-3</w:t>
      </w:r>
      <w:r w:rsidR="00C95AF6">
        <w:rPr>
          <w:rFonts w:ascii="Arial Black" w:hAnsi="Arial Black"/>
          <w:sz w:val="24"/>
          <w:szCs w:val="24"/>
        </w:rPr>
        <w:t>3</w:t>
      </w:r>
      <w:r w:rsidR="006508FC">
        <w:rPr>
          <w:rFonts w:ascii="Arial Black" w:hAnsi="Arial Black"/>
          <w:sz w:val="24"/>
          <w:szCs w:val="24"/>
        </w:rPr>
        <w:t xml:space="preserve"> </w:t>
      </w:r>
    </w:p>
    <w:p w14:paraId="51B9659A" w14:textId="507B96B1" w:rsidR="00853142" w:rsidRDefault="00853142" w:rsidP="00DE0F03">
      <w:pPr>
        <w:pStyle w:val="NoSpacing"/>
        <w:rPr>
          <w:rFonts w:ascii="Arial Black" w:hAnsi="Arial Black"/>
          <w:sz w:val="24"/>
          <w:szCs w:val="24"/>
        </w:rPr>
      </w:pPr>
    </w:p>
    <w:p w14:paraId="2A60F180" w14:textId="77777777" w:rsidR="00853142" w:rsidRDefault="00853142" w:rsidP="00853142">
      <w:pPr>
        <w:pStyle w:val="NoSpacing"/>
        <w:rPr>
          <w:rFonts w:ascii="Arial Black" w:hAnsi="Arial Black"/>
          <w:sz w:val="28"/>
          <w:szCs w:val="28"/>
        </w:rPr>
      </w:pPr>
      <w:bookmarkStart w:id="495" w:name="_Hlk41299121"/>
      <w:bookmarkStart w:id="496" w:name="_Hlk41152673"/>
      <w:r>
        <w:rPr>
          <w:rFonts w:ascii="Arial Black" w:hAnsi="Arial Black"/>
          <w:sz w:val="28"/>
          <w:szCs w:val="28"/>
        </w:rPr>
        <w:t xml:space="preserve">LA: BLACK EMS CAPT. – NITROGLYCERIN WAS FOR MOUTH, NOT CHEST – SUSPENSION / REMEDIATION PROPER - NOT RACE / GENDER </w:t>
      </w:r>
    </w:p>
    <w:p w14:paraId="641D87A0" w14:textId="77777777" w:rsidR="00853142" w:rsidRDefault="00853142" w:rsidP="00853142">
      <w:pPr>
        <w:pStyle w:val="NoSpacing"/>
      </w:pPr>
    </w:p>
    <w:p w14:paraId="5BE8F3F1" w14:textId="77777777" w:rsidR="00853142" w:rsidRDefault="00853142" w:rsidP="00853142">
      <w:pPr>
        <w:pStyle w:val="NoSpacing"/>
        <w:rPr>
          <w:rFonts w:ascii="Times New Roman" w:hAnsi="Times New Roman"/>
          <w:sz w:val="24"/>
          <w:szCs w:val="24"/>
        </w:rPr>
      </w:pPr>
      <w:r w:rsidRPr="008F2205">
        <w:rPr>
          <w:rFonts w:ascii="Times New Roman" w:hAnsi="Times New Roman"/>
          <w:sz w:val="24"/>
          <w:szCs w:val="24"/>
        </w:rPr>
        <w:t xml:space="preserve">On Sept. 17, 2019, in </w:t>
      </w:r>
      <w:r w:rsidRPr="008F2205">
        <w:rPr>
          <w:rFonts w:ascii="Times New Roman" w:hAnsi="Times New Roman"/>
          <w:sz w:val="24"/>
          <w:szCs w:val="24"/>
          <w:u w:val="single"/>
        </w:rPr>
        <w:t>Deborah Mills v. City of Shreveport</w:t>
      </w:r>
      <w:r w:rsidRPr="008F2205">
        <w:rPr>
          <w:rFonts w:ascii="Times New Roman" w:hAnsi="Times New Roman"/>
          <w:sz w:val="24"/>
          <w:szCs w:val="24"/>
        </w:rPr>
        <w:t xml:space="preserve">, </w:t>
      </w:r>
      <w:r>
        <w:rPr>
          <w:rFonts w:ascii="Times New Roman" w:hAnsi="Times New Roman"/>
          <w:sz w:val="24"/>
          <w:szCs w:val="24"/>
        </w:rPr>
        <w:t>U.S. District Court Judge Terry A. Doughty, U.S. District Court of Louisiana,  Western District</w:t>
      </w:r>
      <w:r w:rsidRPr="00D91FDE">
        <w:rPr>
          <w:rFonts w:ascii="Times New Roman" w:hAnsi="Times New Roman"/>
          <w:sz w:val="24"/>
          <w:szCs w:val="24"/>
        </w:rPr>
        <w:t>, Shreveport Division,</w:t>
      </w:r>
      <w:r>
        <w:rPr>
          <w:b/>
          <w:bCs/>
        </w:rPr>
        <w:t xml:space="preserve"> </w:t>
      </w:r>
      <w:r>
        <w:rPr>
          <w:rFonts w:ascii="Times New Roman" w:hAnsi="Times New Roman"/>
          <w:sz w:val="24"/>
          <w:szCs w:val="24"/>
        </w:rPr>
        <w:t xml:space="preserve">dismissed her claim of “hostile work atmosphere.”  He had previously dismissed her race and gender discrimination claims. </w:t>
      </w:r>
      <w:hyperlink r:id="rId2271" w:history="1">
        <w:r w:rsidRPr="00DB571D">
          <w:rPr>
            <w:rStyle w:val="Hyperlink"/>
            <w:rFonts w:ascii="Times New Roman" w:hAnsi="Times New Roman"/>
            <w:sz w:val="24"/>
            <w:szCs w:val="24"/>
          </w:rPr>
          <w:t>https://scholar.google.com/scholar_case?case=2959279778538737103&amp;hl=en&amp;as_sdt=6,36</w:t>
        </w:r>
      </w:hyperlink>
      <w:r>
        <w:rPr>
          <w:rFonts w:ascii="Times New Roman" w:hAnsi="Times New Roman"/>
          <w:sz w:val="24"/>
          <w:szCs w:val="24"/>
        </w:rPr>
        <w:t xml:space="preserve"> </w:t>
      </w:r>
    </w:p>
    <w:p w14:paraId="12E35732" w14:textId="77777777" w:rsidR="00853142" w:rsidRPr="008F2205" w:rsidRDefault="00853142" w:rsidP="00853142">
      <w:pPr>
        <w:pStyle w:val="NoSpacing"/>
        <w:rPr>
          <w:rFonts w:ascii="Times New Roman" w:hAnsi="Times New Roman"/>
          <w:sz w:val="24"/>
          <w:szCs w:val="24"/>
        </w:rPr>
      </w:pPr>
      <w:r>
        <w:rPr>
          <w:rFonts w:ascii="Times New Roman" w:hAnsi="Times New Roman"/>
          <w:sz w:val="24"/>
          <w:szCs w:val="24"/>
        </w:rPr>
        <w:t xml:space="preserve"> </w:t>
      </w:r>
    </w:p>
    <w:p w14:paraId="3694C932" w14:textId="77777777"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8F2205">
        <w:rPr>
          <w:rFonts w:ascii="Times New Roman" w:hAnsi="Times New Roman"/>
          <w:sz w:val="24"/>
          <w:szCs w:val="24"/>
        </w:rPr>
        <w:t xml:space="preserve">While Mills may subjectively believe that she has been treated differently and more harshly because of her race and/or gender, neither her subjective belief </w:t>
      </w:r>
      <w:proofErr w:type="gramStart"/>
      <w:r w:rsidRPr="008F2205">
        <w:rPr>
          <w:rFonts w:ascii="Times New Roman" w:hAnsi="Times New Roman"/>
          <w:sz w:val="24"/>
          <w:szCs w:val="24"/>
        </w:rPr>
        <w:t>or</w:t>
      </w:r>
      <w:proofErr w:type="gramEnd"/>
      <w:r w:rsidRPr="008F2205">
        <w:rPr>
          <w:rFonts w:ascii="Times New Roman" w:hAnsi="Times New Roman"/>
          <w:sz w:val="24"/>
          <w:szCs w:val="24"/>
        </w:rPr>
        <w:t xml:space="preserve"> that of others is enough to present this case to a jury. The Court finds that Mills has presented no genuine issue of material fact regarding whether she was subjected to harassment based on race or gender, and therefore she has failed to present a </w:t>
      </w:r>
      <w:r w:rsidRPr="008F2205">
        <w:rPr>
          <w:rFonts w:ascii="Times New Roman" w:hAnsi="Times New Roman"/>
          <w:i/>
          <w:iCs/>
          <w:sz w:val="24"/>
          <w:szCs w:val="24"/>
        </w:rPr>
        <w:t xml:space="preserve">prima </w:t>
      </w:r>
      <w:r w:rsidRPr="008F2205">
        <w:rPr>
          <w:rFonts w:ascii="Times New Roman" w:hAnsi="Times New Roman"/>
          <w:i/>
          <w:iCs/>
          <w:sz w:val="24"/>
          <w:szCs w:val="24"/>
        </w:rPr>
        <w:lastRenderedPageBreak/>
        <w:t>facie</w:t>
      </w:r>
      <w:r w:rsidRPr="008F2205">
        <w:rPr>
          <w:rFonts w:ascii="Times New Roman" w:hAnsi="Times New Roman"/>
          <w:sz w:val="24"/>
          <w:szCs w:val="24"/>
        </w:rPr>
        <w:t xml:space="preserve"> case for a hostile work environment under Title VII. Therefore, the Court GRANTS the City's Motion for Summary Judgment on this remaining claim.</w:t>
      </w:r>
      <w:r>
        <w:rPr>
          <w:rFonts w:ascii="Times New Roman" w:hAnsi="Times New Roman"/>
          <w:sz w:val="24"/>
          <w:szCs w:val="24"/>
        </w:rPr>
        <w:t>”</w:t>
      </w:r>
    </w:p>
    <w:p w14:paraId="04F74734" w14:textId="77777777" w:rsidR="00853142" w:rsidRDefault="00853142" w:rsidP="00853142">
      <w:pPr>
        <w:pStyle w:val="NoSpacing"/>
        <w:ind w:left="720"/>
        <w:rPr>
          <w:rFonts w:ascii="Times New Roman" w:hAnsi="Times New Roman"/>
          <w:sz w:val="24"/>
          <w:szCs w:val="24"/>
        </w:rPr>
      </w:pPr>
    </w:p>
    <w:p w14:paraId="1D7346AC" w14:textId="77777777" w:rsidR="00853142" w:rsidRDefault="00853142" w:rsidP="00853142">
      <w:pPr>
        <w:pStyle w:val="NoSpacing"/>
      </w:pPr>
      <w:r>
        <w:rPr>
          <w:rFonts w:ascii="Times New Roman" w:hAnsi="Times New Roman"/>
          <w:sz w:val="24"/>
          <w:szCs w:val="24"/>
        </w:rPr>
        <w:t xml:space="preserve">On June 21, 2019, here other claims of race and gender discrimination were dismissed: </w:t>
      </w:r>
      <w:hyperlink r:id="rId2272" w:history="1">
        <w:r w:rsidRPr="00062632">
          <w:rPr>
            <w:rStyle w:val="Hyperlink"/>
            <w:rFonts w:ascii="Times New Roman" w:hAnsi="Times New Roman"/>
            <w:sz w:val="24"/>
            <w:szCs w:val="24"/>
          </w:rPr>
          <w:t>https://www.leagle.com/decision/infdco20190624a02</w:t>
        </w:r>
      </w:hyperlink>
      <w:r>
        <w:rPr>
          <w:rFonts w:ascii="Times New Roman" w:hAnsi="Times New Roman"/>
          <w:sz w:val="24"/>
          <w:szCs w:val="24"/>
        </w:rPr>
        <w:t xml:space="preserve">  </w:t>
      </w:r>
    </w:p>
    <w:p w14:paraId="6A6AF179" w14:textId="77777777" w:rsidR="00853142" w:rsidRDefault="00853142" w:rsidP="00853142">
      <w:pPr>
        <w:pStyle w:val="NoSpacing"/>
        <w:rPr>
          <w:rFonts w:ascii="Times New Roman" w:hAnsi="Times New Roman"/>
          <w:sz w:val="24"/>
          <w:szCs w:val="24"/>
        </w:rPr>
      </w:pPr>
    </w:p>
    <w:p w14:paraId="23BEA99E" w14:textId="1356E665" w:rsidR="00853142" w:rsidRDefault="00853142" w:rsidP="00853142">
      <w:pPr>
        <w:pStyle w:val="NoSpacing"/>
        <w:rPr>
          <w:rFonts w:ascii="Times New Roman" w:hAnsi="Times New Roman"/>
          <w:b/>
          <w:bCs/>
          <w:sz w:val="24"/>
          <w:szCs w:val="24"/>
        </w:rPr>
      </w:pPr>
      <w:r w:rsidRPr="009871EA">
        <w:rPr>
          <w:rFonts w:ascii="Times New Roman" w:hAnsi="Times New Roman"/>
          <w:b/>
          <w:bCs/>
          <w:sz w:val="24"/>
          <w:szCs w:val="24"/>
        </w:rPr>
        <w:t xml:space="preserve">Legal Lessons Learned:  </w:t>
      </w:r>
      <w:r>
        <w:rPr>
          <w:rFonts w:ascii="Times New Roman" w:hAnsi="Times New Roman"/>
          <w:b/>
          <w:bCs/>
          <w:sz w:val="24"/>
          <w:szCs w:val="24"/>
        </w:rPr>
        <w:t xml:space="preserve">EMS protocols must be followed, and suspension / remediation training is an appropriate corrective action.  </w:t>
      </w:r>
      <w:bookmarkEnd w:id="495"/>
      <w:r>
        <w:rPr>
          <w:rFonts w:ascii="Times New Roman" w:hAnsi="Times New Roman"/>
          <w:b/>
          <w:bCs/>
          <w:sz w:val="24"/>
          <w:szCs w:val="24"/>
        </w:rPr>
        <w:t xml:space="preserve">  </w:t>
      </w:r>
      <w:bookmarkEnd w:id="496"/>
      <w:r>
        <w:rPr>
          <w:rFonts w:ascii="Times New Roman" w:hAnsi="Times New Roman"/>
          <w:b/>
          <w:bCs/>
          <w:sz w:val="24"/>
          <w:szCs w:val="24"/>
        </w:rPr>
        <w:t>[Also filed, Chap. 8, Race Discrimination.]</w:t>
      </w:r>
    </w:p>
    <w:p w14:paraId="3050E4A9" w14:textId="77777777" w:rsidR="00853142" w:rsidRDefault="00853142" w:rsidP="00DE0F03">
      <w:pPr>
        <w:pStyle w:val="NoSpacing"/>
        <w:rPr>
          <w:rFonts w:ascii="Arial Black" w:hAnsi="Arial Black"/>
          <w:sz w:val="24"/>
          <w:szCs w:val="24"/>
        </w:rPr>
      </w:pPr>
    </w:p>
    <w:p w14:paraId="00F22F8F" w14:textId="77777777" w:rsidR="00853142" w:rsidRDefault="00853142" w:rsidP="00DE0F03">
      <w:pPr>
        <w:pStyle w:val="NoSpacing"/>
        <w:rPr>
          <w:rFonts w:ascii="Arial Black" w:hAnsi="Arial Black"/>
          <w:sz w:val="24"/>
          <w:szCs w:val="24"/>
        </w:rPr>
      </w:pPr>
    </w:p>
    <w:p w14:paraId="2406827B" w14:textId="77777777" w:rsidR="00853142" w:rsidRDefault="00853142" w:rsidP="00DE0F03">
      <w:pPr>
        <w:pStyle w:val="NoSpacing"/>
        <w:rPr>
          <w:rFonts w:ascii="Arial Black" w:hAnsi="Arial Black"/>
          <w:sz w:val="24"/>
          <w:szCs w:val="24"/>
        </w:rPr>
      </w:pPr>
    </w:p>
    <w:p w14:paraId="32CEF3DC" w14:textId="27E2754E" w:rsidR="009F0F05" w:rsidRDefault="00EE0562" w:rsidP="00DE0F03">
      <w:pPr>
        <w:pStyle w:val="NoSpacing"/>
        <w:rPr>
          <w:rFonts w:ascii="Arial Black" w:hAnsi="Arial Black"/>
          <w:sz w:val="24"/>
          <w:szCs w:val="24"/>
        </w:rPr>
      </w:pPr>
      <w:r>
        <w:rPr>
          <w:rFonts w:ascii="Arial Black" w:hAnsi="Arial Black"/>
          <w:sz w:val="24"/>
          <w:szCs w:val="24"/>
        </w:rPr>
        <w:t>13-3</w:t>
      </w:r>
      <w:r w:rsidR="00C95AF6">
        <w:rPr>
          <w:rFonts w:ascii="Arial Black" w:hAnsi="Arial Black"/>
          <w:sz w:val="24"/>
          <w:szCs w:val="24"/>
        </w:rPr>
        <w:t>2</w:t>
      </w:r>
      <w:r>
        <w:rPr>
          <w:rFonts w:ascii="Arial Black" w:hAnsi="Arial Black"/>
          <w:sz w:val="24"/>
          <w:szCs w:val="24"/>
        </w:rPr>
        <w:t xml:space="preserve"> </w:t>
      </w:r>
    </w:p>
    <w:p w14:paraId="5A6B044E" w14:textId="77777777" w:rsidR="00EE0562" w:rsidRDefault="00EE0562" w:rsidP="00DE0F03">
      <w:pPr>
        <w:pStyle w:val="NoSpacing"/>
        <w:rPr>
          <w:rFonts w:ascii="Arial Black" w:hAnsi="Arial Black"/>
          <w:sz w:val="24"/>
          <w:szCs w:val="24"/>
        </w:rPr>
      </w:pPr>
    </w:p>
    <w:p w14:paraId="2DAFD27D" w14:textId="77777777" w:rsidR="009F0F05" w:rsidRPr="003561BE" w:rsidRDefault="009F0F05" w:rsidP="009F0F05">
      <w:pPr>
        <w:rPr>
          <w:rFonts w:ascii="Arial Black" w:hAnsi="Arial Black"/>
          <w:sz w:val="28"/>
          <w:szCs w:val="28"/>
        </w:rPr>
      </w:pPr>
      <w:bookmarkStart w:id="497" w:name="_Hlk41152875"/>
      <w:bookmarkStart w:id="498" w:name="_Hlk41297020"/>
      <w:r w:rsidRPr="003561BE">
        <w:rPr>
          <w:rFonts w:ascii="Arial Black" w:hAnsi="Arial Black"/>
          <w:sz w:val="28"/>
          <w:szCs w:val="28"/>
        </w:rPr>
        <w:t xml:space="preserve">OK: </w:t>
      </w:r>
      <w:r>
        <w:rPr>
          <w:rFonts w:ascii="Arial Black" w:hAnsi="Arial Black"/>
          <w:sz w:val="28"/>
          <w:szCs w:val="28"/>
        </w:rPr>
        <w:t>EMS HELD BACK FROM PD SHOOTING FOR 12 MINUTES – CONFIRM SCENE SECURE - QUALIFIED IMMUNITY</w:t>
      </w:r>
    </w:p>
    <w:p w14:paraId="4D2AC446" w14:textId="77777777" w:rsidR="009F0F05" w:rsidRDefault="009F0F05" w:rsidP="009F0F05">
      <w:r w:rsidRPr="0025287C">
        <w:rPr>
          <w:rFonts w:ascii="Times New Roman" w:hAnsi="Times New Roman"/>
          <w:sz w:val="24"/>
          <w:szCs w:val="24"/>
        </w:rPr>
        <w:t xml:space="preserve">On Sept. 6, 2019, </w:t>
      </w:r>
      <w:r>
        <w:rPr>
          <w:rFonts w:ascii="Times New Roman" w:hAnsi="Times New Roman"/>
          <w:sz w:val="24"/>
          <w:szCs w:val="24"/>
        </w:rPr>
        <w:t xml:space="preserve">in </w:t>
      </w:r>
      <w:r w:rsidRPr="0088321C">
        <w:rPr>
          <w:rFonts w:ascii="Times New Roman" w:hAnsi="Times New Roman"/>
          <w:sz w:val="24"/>
          <w:szCs w:val="24"/>
          <w:u w:val="single"/>
        </w:rPr>
        <w:t>Briena Crittenden, as personal representative of estate of Joshua</w:t>
      </w:r>
      <w:r w:rsidRPr="005B29CF">
        <w:rPr>
          <w:rFonts w:ascii="Times New Roman" w:hAnsi="Times New Roman"/>
          <w:sz w:val="24"/>
          <w:szCs w:val="24"/>
          <w:u w:val="single"/>
        </w:rPr>
        <w:t xml:space="preserve"> P. Crittenden v. City of Tahlequah, Officer Randy Tanner, et al</w:t>
      </w:r>
      <w:r>
        <w:rPr>
          <w:rFonts w:ascii="Times New Roman" w:hAnsi="Times New Roman"/>
          <w:sz w:val="24"/>
          <w:szCs w:val="24"/>
        </w:rPr>
        <w:t>., the U.S. Court of Appeals for the 10</w:t>
      </w:r>
      <w:r w:rsidRPr="005B29CF">
        <w:rPr>
          <w:rFonts w:ascii="Times New Roman" w:hAnsi="Times New Roman"/>
          <w:sz w:val="24"/>
          <w:szCs w:val="24"/>
          <w:vertAlign w:val="superscript"/>
        </w:rPr>
        <w:t>th</w:t>
      </w:r>
      <w:r>
        <w:rPr>
          <w:rFonts w:ascii="Times New Roman" w:hAnsi="Times New Roman"/>
          <w:sz w:val="24"/>
          <w:szCs w:val="24"/>
        </w:rPr>
        <w:t xml:space="preserve"> District (Denver) held (3 to 0) that U.S. District Court judge properly granted summary judgment to the police officers and the City.  </w:t>
      </w:r>
      <w:hyperlink r:id="rId2273" w:history="1">
        <w:r w:rsidRPr="00586529">
          <w:rPr>
            <w:rStyle w:val="Hyperlink"/>
          </w:rPr>
          <w:t>https://law.justia.com/cases/federal/appellate-courts/ca10/18-7036/18-7036-2019-09-06.html</w:t>
        </w:r>
      </w:hyperlink>
      <w:r>
        <w:t xml:space="preserve"> </w:t>
      </w:r>
    </w:p>
    <w:bookmarkEnd w:id="497"/>
    <w:p w14:paraId="7CB89A7A" w14:textId="77777777" w:rsidR="009F0F05" w:rsidRPr="0025287C" w:rsidRDefault="009F0F05" w:rsidP="009F0F05">
      <w:pPr>
        <w:rPr>
          <w:rFonts w:ascii="Times New Roman" w:hAnsi="Times New Roman"/>
          <w:sz w:val="24"/>
          <w:szCs w:val="24"/>
        </w:rPr>
      </w:pPr>
      <w:r>
        <w:rPr>
          <w:rFonts w:ascii="Times New Roman" w:hAnsi="Times New Roman"/>
          <w:sz w:val="24"/>
          <w:szCs w:val="24"/>
        </w:rPr>
        <w:t xml:space="preserve"> Circuit Judge Michael R, Murphy wrote:</w:t>
      </w:r>
    </w:p>
    <w:p w14:paraId="510B2D7C" w14:textId="77777777" w:rsidR="009F0F05" w:rsidRPr="00DA74F4" w:rsidRDefault="009F0F05" w:rsidP="009F0F05">
      <w:pPr>
        <w:ind w:left="720"/>
        <w:rPr>
          <w:rFonts w:ascii="Times New Roman" w:hAnsi="Times New Roman"/>
          <w:sz w:val="24"/>
          <w:szCs w:val="24"/>
        </w:rPr>
      </w:pPr>
      <w:r>
        <w:rPr>
          <w:rFonts w:ascii="Times New Roman" w:hAnsi="Times New Roman"/>
          <w:sz w:val="24"/>
          <w:szCs w:val="24"/>
        </w:rPr>
        <w:t>“</w:t>
      </w:r>
      <w:r w:rsidRPr="00682A63">
        <w:rPr>
          <w:rFonts w:ascii="Times New Roman" w:hAnsi="Times New Roman"/>
          <w:sz w:val="24"/>
          <w:szCs w:val="24"/>
        </w:rPr>
        <w:t xml:space="preserve">There is no precedent supporting the notion that police officers have an affirmative duty to provide immediate medical care in situations such as the instant case. </w:t>
      </w:r>
      <w:r w:rsidRPr="00DA74F4">
        <w:rPr>
          <w:rFonts w:ascii="Times New Roman" w:hAnsi="Times New Roman"/>
          <w:sz w:val="24"/>
          <w:szCs w:val="24"/>
        </w:rPr>
        <w:t>See Wilson v.</w:t>
      </w:r>
      <w:r>
        <w:rPr>
          <w:rFonts w:ascii="Times New Roman" w:hAnsi="Times New Roman"/>
          <w:sz w:val="24"/>
          <w:szCs w:val="24"/>
        </w:rPr>
        <w:t xml:space="preserve"> </w:t>
      </w:r>
      <w:r w:rsidRPr="00DA74F4">
        <w:rPr>
          <w:rFonts w:ascii="Times New Roman" w:hAnsi="Times New Roman"/>
          <w:sz w:val="24"/>
          <w:szCs w:val="24"/>
        </w:rPr>
        <w:t>Meeks, 52</w:t>
      </w:r>
      <w:r>
        <w:rPr>
          <w:rFonts w:ascii="Times New Roman" w:hAnsi="Times New Roman"/>
          <w:sz w:val="24"/>
          <w:szCs w:val="24"/>
        </w:rPr>
        <w:t xml:space="preserve"> </w:t>
      </w:r>
      <w:r w:rsidRPr="00DA74F4">
        <w:rPr>
          <w:rFonts w:ascii="Times New Roman" w:hAnsi="Times New Roman"/>
          <w:sz w:val="24"/>
          <w:szCs w:val="24"/>
        </w:rPr>
        <w:t>F.3d1547, 1556</w:t>
      </w:r>
      <w:r>
        <w:rPr>
          <w:rFonts w:ascii="Times New Roman" w:hAnsi="Times New Roman"/>
          <w:sz w:val="24"/>
          <w:szCs w:val="24"/>
        </w:rPr>
        <w:t xml:space="preserve"> </w:t>
      </w:r>
      <w:r w:rsidRPr="00DA74F4">
        <w:rPr>
          <w:rFonts w:ascii="Times New Roman" w:hAnsi="Times New Roman"/>
          <w:sz w:val="24"/>
          <w:szCs w:val="24"/>
        </w:rPr>
        <w:t>(10thCir.1995), abrogated on other grounds by Saucier</w:t>
      </w:r>
      <w:r>
        <w:rPr>
          <w:rFonts w:ascii="Times New Roman" w:hAnsi="Times New Roman"/>
          <w:sz w:val="24"/>
          <w:szCs w:val="24"/>
        </w:rPr>
        <w:t xml:space="preserve"> </w:t>
      </w:r>
      <w:r w:rsidRPr="00DA74F4">
        <w:rPr>
          <w:rFonts w:ascii="Times New Roman" w:hAnsi="Times New Roman"/>
          <w:sz w:val="24"/>
          <w:szCs w:val="24"/>
        </w:rPr>
        <w:t>v.</w:t>
      </w:r>
      <w:r>
        <w:rPr>
          <w:rFonts w:ascii="Times New Roman" w:hAnsi="Times New Roman"/>
          <w:sz w:val="24"/>
          <w:szCs w:val="24"/>
        </w:rPr>
        <w:t xml:space="preserve"> </w:t>
      </w:r>
      <w:r w:rsidRPr="00DA74F4">
        <w:rPr>
          <w:rFonts w:ascii="Times New Roman" w:hAnsi="Times New Roman"/>
          <w:sz w:val="24"/>
          <w:szCs w:val="24"/>
        </w:rPr>
        <w:t>Katz,</w:t>
      </w:r>
      <w:r>
        <w:rPr>
          <w:rFonts w:ascii="Times New Roman" w:hAnsi="Times New Roman"/>
          <w:sz w:val="24"/>
          <w:szCs w:val="24"/>
        </w:rPr>
        <w:t xml:space="preserve"> </w:t>
      </w:r>
      <w:r w:rsidRPr="00DA74F4">
        <w:rPr>
          <w:rFonts w:ascii="Times New Roman" w:hAnsi="Times New Roman"/>
          <w:sz w:val="24"/>
          <w:szCs w:val="24"/>
        </w:rPr>
        <w:t>533</w:t>
      </w:r>
      <w:r>
        <w:rPr>
          <w:rFonts w:ascii="Times New Roman" w:hAnsi="Times New Roman"/>
          <w:sz w:val="24"/>
          <w:szCs w:val="24"/>
        </w:rPr>
        <w:t xml:space="preserve"> </w:t>
      </w:r>
      <w:r w:rsidRPr="00DA74F4">
        <w:rPr>
          <w:rFonts w:ascii="Times New Roman" w:hAnsi="Times New Roman"/>
          <w:sz w:val="24"/>
          <w:szCs w:val="24"/>
        </w:rPr>
        <w:t>U.S.194</w:t>
      </w:r>
      <w:r>
        <w:rPr>
          <w:rFonts w:ascii="Times New Roman" w:hAnsi="Times New Roman"/>
          <w:sz w:val="24"/>
          <w:szCs w:val="24"/>
        </w:rPr>
        <w:t xml:space="preserve"> </w:t>
      </w:r>
      <w:r w:rsidRPr="00DA74F4">
        <w:rPr>
          <w:rFonts w:ascii="Times New Roman" w:hAnsi="Times New Roman"/>
          <w:sz w:val="24"/>
          <w:szCs w:val="24"/>
        </w:rPr>
        <w:t>(2001).</w:t>
      </w:r>
      <w:r>
        <w:rPr>
          <w:rFonts w:ascii="Times New Roman" w:hAnsi="Times New Roman"/>
          <w:sz w:val="24"/>
          <w:szCs w:val="24"/>
        </w:rPr>
        <w:t xml:space="preserve"> I</w:t>
      </w:r>
      <w:r w:rsidRPr="00DA74F4">
        <w:rPr>
          <w:rFonts w:ascii="Times New Roman" w:hAnsi="Times New Roman"/>
          <w:sz w:val="24"/>
          <w:szCs w:val="24"/>
        </w:rPr>
        <w:t>n</w:t>
      </w:r>
      <w:r>
        <w:rPr>
          <w:rFonts w:ascii="Times New Roman" w:hAnsi="Times New Roman"/>
          <w:sz w:val="24"/>
          <w:szCs w:val="24"/>
        </w:rPr>
        <w:t xml:space="preserve"> </w:t>
      </w:r>
      <w:r w:rsidRPr="00DA74F4">
        <w:rPr>
          <w:rFonts w:ascii="Times New Roman" w:hAnsi="Times New Roman"/>
          <w:sz w:val="24"/>
          <w:szCs w:val="24"/>
        </w:rPr>
        <w:t>Wilson,</w:t>
      </w:r>
      <w:r>
        <w:rPr>
          <w:rFonts w:ascii="Times New Roman" w:hAnsi="Times New Roman"/>
          <w:sz w:val="24"/>
          <w:szCs w:val="24"/>
        </w:rPr>
        <w:t xml:space="preserve"> </w:t>
      </w:r>
      <w:r w:rsidRPr="00DA74F4">
        <w:rPr>
          <w:rFonts w:ascii="Times New Roman" w:hAnsi="Times New Roman"/>
          <w:sz w:val="24"/>
          <w:szCs w:val="24"/>
        </w:rPr>
        <w:t>after</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police</w:t>
      </w:r>
      <w:r>
        <w:rPr>
          <w:rFonts w:ascii="Times New Roman" w:hAnsi="Times New Roman"/>
          <w:sz w:val="24"/>
          <w:szCs w:val="24"/>
        </w:rPr>
        <w:t xml:space="preserve"> </w:t>
      </w:r>
      <w:r w:rsidRPr="00DA74F4">
        <w:rPr>
          <w:rFonts w:ascii="Times New Roman" w:hAnsi="Times New Roman"/>
          <w:sz w:val="24"/>
          <w:szCs w:val="24"/>
        </w:rPr>
        <w:t>officer</w:t>
      </w:r>
      <w:r>
        <w:rPr>
          <w:rFonts w:ascii="Times New Roman" w:hAnsi="Times New Roman"/>
          <w:sz w:val="24"/>
          <w:szCs w:val="24"/>
        </w:rPr>
        <w:t xml:space="preserve"> </w:t>
      </w:r>
      <w:r w:rsidRPr="00DA74F4">
        <w:rPr>
          <w:rFonts w:ascii="Times New Roman" w:hAnsi="Times New Roman"/>
          <w:sz w:val="24"/>
          <w:szCs w:val="24"/>
        </w:rPr>
        <w:t>shot</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man</w:t>
      </w:r>
      <w:r>
        <w:rPr>
          <w:rFonts w:ascii="Times New Roman" w:hAnsi="Times New Roman"/>
          <w:sz w:val="24"/>
          <w:szCs w:val="24"/>
        </w:rPr>
        <w:t xml:space="preserve"> </w:t>
      </w:r>
      <w:r w:rsidRPr="00DA74F4">
        <w:rPr>
          <w:rFonts w:ascii="Times New Roman" w:hAnsi="Times New Roman"/>
          <w:sz w:val="24"/>
          <w:szCs w:val="24"/>
        </w:rPr>
        <w:t>holding</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gun,</w:t>
      </w:r>
      <w:r>
        <w:rPr>
          <w:rFonts w:ascii="Times New Roman" w:hAnsi="Times New Roman"/>
          <w:sz w:val="24"/>
          <w:szCs w:val="24"/>
        </w:rPr>
        <w:t xml:space="preserve"> </w:t>
      </w:r>
      <w:r w:rsidRPr="00DA74F4">
        <w:rPr>
          <w:rFonts w:ascii="Times New Roman" w:hAnsi="Times New Roman"/>
          <w:sz w:val="24"/>
          <w:szCs w:val="24"/>
        </w:rPr>
        <w:t>other</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handcuffed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victim</w:t>
      </w:r>
      <w:r>
        <w:rPr>
          <w:rFonts w:ascii="Times New Roman" w:hAnsi="Times New Roman"/>
          <w:sz w:val="24"/>
          <w:szCs w:val="24"/>
        </w:rPr>
        <w:t xml:space="preserve"> </w:t>
      </w:r>
      <w:r w:rsidRPr="00DA74F4">
        <w:rPr>
          <w:rFonts w:ascii="Times New Roman" w:hAnsi="Times New Roman"/>
          <w:sz w:val="24"/>
          <w:szCs w:val="24"/>
        </w:rPr>
        <w:t>before</w:t>
      </w:r>
      <w:r>
        <w:rPr>
          <w:rFonts w:ascii="Times New Roman" w:hAnsi="Times New Roman"/>
          <w:sz w:val="24"/>
          <w:szCs w:val="24"/>
        </w:rPr>
        <w:t xml:space="preserve"> </w:t>
      </w:r>
      <w:r w:rsidRPr="00DA74F4">
        <w:rPr>
          <w:rFonts w:ascii="Times New Roman" w:hAnsi="Times New Roman"/>
          <w:sz w:val="24"/>
          <w:szCs w:val="24"/>
        </w:rPr>
        <w:t>medical</w:t>
      </w:r>
      <w:r>
        <w:rPr>
          <w:rFonts w:ascii="Times New Roman" w:hAnsi="Times New Roman"/>
          <w:sz w:val="24"/>
          <w:szCs w:val="24"/>
        </w:rPr>
        <w:t xml:space="preserve"> </w:t>
      </w:r>
      <w:r w:rsidRPr="00DA74F4">
        <w:rPr>
          <w:rFonts w:ascii="Times New Roman" w:hAnsi="Times New Roman"/>
          <w:sz w:val="24"/>
          <w:szCs w:val="24"/>
        </w:rPr>
        <w:t>help</w:t>
      </w:r>
      <w:r>
        <w:rPr>
          <w:rFonts w:ascii="Times New Roman" w:hAnsi="Times New Roman"/>
          <w:sz w:val="24"/>
          <w:szCs w:val="24"/>
        </w:rPr>
        <w:t xml:space="preserve"> </w:t>
      </w:r>
      <w:r w:rsidRPr="00DA74F4">
        <w:rPr>
          <w:rFonts w:ascii="Times New Roman" w:hAnsi="Times New Roman"/>
          <w:sz w:val="24"/>
          <w:szCs w:val="24"/>
        </w:rPr>
        <w:t>arrived.</w:t>
      </w:r>
      <w:r>
        <w:rPr>
          <w:rFonts w:ascii="Times New Roman" w:hAnsi="Times New Roman"/>
          <w:sz w:val="24"/>
          <w:szCs w:val="24"/>
        </w:rPr>
        <w:t xml:space="preserve"> </w:t>
      </w:r>
      <w:r w:rsidRPr="00DA74F4">
        <w:rPr>
          <w:rFonts w:ascii="Times New Roman" w:hAnsi="Times New Roman"/>
          <w:sz w:val="24"/>
          <w:szCs w:val="24"/>
        </w:rPr>
        <w:t>Id.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did</w:t>
      </w:r>
      <w:r>
        <w:rPr>
          <w:rFonts w:ascii="Times New Roman" w:hAnsi="Times New Roman"/>
          <w:sz w:val="24"/>
          <w:szCs w:val="24"/>
        </w:rPr>
        <w:t xml:space="preserve"> </w:t>
      </w:r>
      <w:r w:rsidRPr="00DA74F4">
        <w:rPr>
          <w:rFonts w:ascii="Times New Roman" w:hAnsi="Times New Roman"/>
          <w:sz w:val="24"/>
          <w:szCs w:val="24"/>
        </w:rPr>
        <w:t>not</w:t>
      </w:r>
      <w:r>
        <w:rPr>
          <w:rFonts w:ascii="Times New Roman" w:hAnsi="Times New Roman"/>
          <w:sz w:val="24"/>
          <w:szCs w:val="24"/>
        </w:rPr>
        <w:t xml:space="preserve"> </w:t>
      </w:r>
      <w:r w:rsidRPr="00DA74F4">
        <w:rPr>
          <w:rFonts w:ascii="Times New Roman" w:hAnsi="Times New Roman"/>
          <w:sz w:val="24"/>
          <w:szCs w:val="24"/>
        </w:rPr>
        <w:t>provide</w:t>
      </w:r>
      <w:r>
        <w:rPr>
          <w:rFonts w:ascii="Times New Roman" w:hAnsi="Times New Roman"/>
          <w:sz w:val="24"/>
          <w:szCs w:val="24"/>
        </w:rPr>
        <w:t xml:space="preserve"> </w:t>
      </w:r>
      <w:r w:rsidRPr="00DA74F4">
        <w:rPr>
          <w:rFonts w:ascii="Times New Roman" w:hAnsi="Times New Roman"/>
          <w:sz w:val="24"/>
          <w:szCs w:val="24"/>
        </w:rPr>
        <w:t>medical</w:t>
      </w:r>
      <w:r>
        <w:rPr>
          <w:rFonts w:ascii="Times New Roman" w:hAnsi="Times New Roman"/>
          <w:sz w:val="24"/>
          <w:szCs w:val="24"/>
        </w:rPr>
        <w:t xml:space="preserve"> </w:t>
      </w:r>
      <w:r w:rsidRPr="00DA74F4">
        <w:rPr>
          <w:rFonts w:ascii="Times New Roman" w:hAnsi="Times New Roman"/>
          <w:sz w:val="24"/>
          <w:szCs w:val="24"/>
        </w:rPr>
        <w:t>care</w:t>
      </w:r>
      <w:r>
        <w:rPr>
          <w:rFonts w:ascii="Times New Roman" w:hAnsi="Times New Roman"/>
          <w:sz w:val="24"/>
          <w:szCs w:val="24"/>
        </w:rPr>
        <w:t xml:space="preserve"> </w:t>
      </w:r>
      <w:r w:rsidRPr="00DA74F4">
        <w:rPr>
          <w:rFonts w:ascii="Times New Roman" w:hAnsi="Times New Roman"/>
          <w:sz w:val="24"/>
          <w:szCs w:val="24"/>
        </w:rPr>
        <w:t>or</w:t>
      </w:r>
      <w:r>
        <w:rPr>
          <w:rFonts w:ascii="Times New Roman" w:hAnsi="Times New Roman"/>
          <w:sz w:val="24"/>
          <w:szCs w:val="24"/>
        </w:rPr>
        <w:t xml:space="preserve"> </w:t>
      </w:r>
      <w:r w:rsidRPr="00DA74F4">
        <w:rPr>
          <w:rFonts w:ascii="Times New Roman" w:hAnsi="Times New Roman"/>
          <w:sz w:val="24"/>
          <w:szCs w:val="24"/>
        </w:rPr>
        <w:t>first</w:t>
      </w:r>
      <w:r>
        <w:rPr>
          <w:rFonts w:ascii="Times New Roman" w:hAnsi="Times New Roman"/>
          <w:sz w:val="24"/>
          <w:szCs w:val="24"/>
        </w:rPr>
        <w:t xml:space="preserve"> </w:t>
      </w:r>
      <w:r w:rsidRPr="00DA74F4">
        <w:rPr>
          <w:rFonts w:ascii="Times New Roman" w:hAnsi="Times New Roman"/>
          <w:sz w:val="24"/>
          <w:szCs w:val="24"/>
        </w:rPr>
        <w:t>aid</w:t>
      </w:r>
      <w:r>
        <w:rPr>
          <w:rFonts w:ascii="Times New Roman" w:hAnsi="Times New Roman"/>
          <w:sz w:val="24"/>
          <w:szCs w:val="24"/>
        </w:rPr>
        <w:t xml:space="preserve"> </w:t>
      </w:r>
      <w:r w:rsidRPr="00DA74F4">
        <w:rPr>
          <w:rFonts w:ascii="Times New Roman" w:hAnsi="Times New Roman"/>
          <w:sz w:val="24"/>
          <w:szCs w:val="24"/>
        </w:rPr>
        <w:t>before</w:t>
      </w:r>
      <w:r>
        <w:rPr>
          <w:rFonts w:ascii="Times New Roman" w:hAnsi="Times New Roman"/>
          <w:sz w:val="24"/>
          <w:szCs w:val="24"/>
        </w:rPr>
        <w:t xml:space="preserve"> </w:t>
      </w:r>
      <w:r w:rsidRPr="00DA74F4">
        <w:rPr>
          <w:rFonts w:ascii="Times New Roman" w:hAnsi="Times New Roman"/>
          <w:sz w:val="24"/>
          <w:szCs w:val="24"/>
        </w:rPr>
        <w:t>EMS</w:t>
      </w:r>
      <w:r>
        <w:rPr>
          <w:rFonts w:ascii="Times New Roman" w:hAnsi="Times New Roman"/>
          <w:sz w:val="24"/>
          <w:szCs w:val="24"/>
        </w:rPr>
        <w:t xml:space="preserve"> </w:t>
      </w:r>
      <w:r w:rsidRPr="00DA74F4">
        <w:rPr>
          <w:rFonts w:ascii="Times New Roman" w:hAnsi="Times New Roman"/>
          <w:sz w:val="24"/>
          <w:szCs w:val="24"/>
        </w:rPr>
        <w:t>arrived.</w:t>
      </w:r>
      <w:r>
        <w:rPr>
          <w:rFonts w:ascii="Times New Roman" w:hAnsi="Times New Roman"/>
          <w:sz w:val="24"/>
          <w:szCs w:val="24"/>
        </w:rPr>
        <w:t xml:space="preserve"> </w:t>
      </w:r>
      <w:r w:rsidRPr="00DA74F4">
        <w:rPr>
          <w:rFonts w:ascii="Times New Roman" w:hAnsi="Times New Roman"/>
          <w:sz w:val="24"/>
          <w:szCs w:val="24"/>
        </w:rPr>
        <w:t>Id.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victim’s</w:t>
      </w:r>
      <w:r>
        <w:rPr>
          <w:rFonts w:ascii="Times New Roman" w:hAnsi="Times New Roman"/>
          <w:sz w:val="24"/>
          <w:szCs w:val="24"/>
        </w:rPr>
        <w:t xml:space="preserve"> </w:t>
      </w:r>
      <w:r w:rsidRPr="00DA74F4">
        <w:rPr>
          <w:rFonts w:ascii="Times New Roman" w:hAnsi="Times New Roman"/>
          <w:sz w:val="24"/>
          <w:szCs w:val="24"/>
        </w:rPr>
        <w:t>estate</w:t>
      </w:r>
      <w:r>
        <w:rPr>
          <w:rFonts w:ascii="Times New Roman" w:hAnsi="Times New Roman"/>
          <w:sz w:val="24"/>
          <w:szCs w:val="24"/>
        </w:rPr>
        <w:t xml:space="preserve"> </w:t>
      </w:r>
      <w:r w:rsidRPr="00DA74F4">
        <w:rPr>
          <w:rFonts w:ascii="Times New Roman" w:hAnsi="Times New Roman"/>
          <w:sz w:val="24"/>
          <w:szCs w:val="24"/>
        </w:rPr>
        <w:t>alleged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interfered</w:t>
      </w:r>
      <w:r>
        <w:rPr>
          <w:rFonts w:ascii="Times New Roman" w:hAnsi="Times New Roman"/>
          <w:sz w:val="24"/>
          <w:szCs w:val="24"/>
        </w:rPr>
        <w:t xml:space="preserve"> </w:t>
      </w:r>
      <w:r w:rsidRPr="00DA74F4">
        <w:rPr>
          <w:rFonts w:ascii="Times New Roman" w:hAnsi="Times New Roman"/>
          <w:sz w:val="24"/>
          <w:szCs w:val="24"/>
        </w:rPr>
        <w:t>with</w:t>
      </w:r>
      <w:r>
        <w:rPr>
          <w:rFonts w:ascii="Times New Roman" w:hAnsi="Times New Roman"/>
          <w:sz w:val="24"/>
          <w:szCs w:val="24"/>
        </w:rPr>
        <w:t xml:space="preserve"> </w:t>
      </w:r>
      <w:r w:rsidRPr="00DA74F4">
        <w:rPr>
          <w:rFonts w:ascii="Times New Roman" w:hAnsi="Times New Roman"/>
          <w:sz w:val="24"/>
          <w:szCs w:val="24"/>
        </w:rPr>
        <w:t>EMS</w:t>
      </w:r>
      <w:r>
        <w:rPr>
          <w:rFonts w:ascii="Times New Roman" w:hAnsi="Times New Roman"/>
          <w:sz w:val="24"/>
          <w:szCs w:val="24"/>
        </w:rPr>
        <w:t xml:space="preserve"> </w:t>
      </w:r>
      <w:r w:rsidRPr="00DA74F4">
        <w:rPr>
          <w:rFonts w:ascii="Times New Roman" w:hAnsi="Times New Roman"/>
          <w:sz w:val="24"/>
          <w:szCs w:val="24"/>
        </w:rPr>
        <w:t>by</w:t>
      </w:r>
      <w:r>
        <w:rPr>
          <w:rFonts w:ascii="Times New Roman" w:hAnsi="Times New Roman"/>
          <w:sz w:val="24"/>
          <w:szCs w:val="24"/>
        </w:rPr>
        <w:t xml:space="preserve"> </w:t>
      </w:r>
      <w:r w:rsidRPr="00DA74F4">
        <w:rPr>
          <w:rFonts w:ascii="Times New Roman" w:hAnsi="Times New Roman"/>
          <w:sz w:val="24"/>
          <w:szCs w:val="24"/>
        </w:rPr>
        <w:t>refusing</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remove</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handcuffs</w:t>
      </w:r>
      <w:r>
        <w:rPr>
          <w:rFonts w:ascii="Times New Roman" w:hAnsi="Times New Roman"/>
          <w:sz w:val="24"/>
          <w:szCs w:val="24"/>
        </w:rPr>
        <w:t xml:space="preserve"> </w:t>
      </w:r>
      <w:r w:rsidRPr="00DA74F4">
        <w:rPr>
          <w:rFonts w:ascii="Times New Roman" w:hAnsi="Times New Roman"/>
          <w:sz w:val="24"/>
          <w:szCs w:val="24"/>
        </w:rPr>
        <w:t>upon</w:t>
      </w:r>
      <w:r>
        <w:rPr>
          <w:rFonts w:ascii="Times New Roman" w:hAnsi="Times New Roman"/>
          <w:sz w:val="24"/>
          <w:szCs w:val="24"/>
        </w:rPr>
        <w:t xml:space="preserve"> </w:t>
      </w:r>
      <w:proofErr w:type="spellStart"/>
      <w:r w:rsidRPr="00DA74F4">
        <w:rPr>
          <w:rFonts w:ascii="Times New Roman" w:hAnsi="Times New Roman"/>
          <w:sz w:val="24"/>
          <w:szCs w:val="24"/>
        </w:rPr>
        <w:t>request.Id</w:t>
      </w:r>
      <w:proofErr w:type="spellEnd"/>
      <w:r w:rsidRPr="00DA74F4">
        <w:rPr>
          <w:rFonts w:ascii="Times New Roman" w:hAnsi="Times New Roman"/>
          <w:sz w:val="24"/>
          <w:szCs w:val="24"/>
        </w:rPr>
        <w:t>.</w:t>
      </w:r>
      <w:r>
        <w:rPr>
          <w:rFonts w:ascii="Times New Roman" w:hAnsi="Times New Roman"/>
          <w:sz w:val="24"/>
          <w:szCs w:val="24"/>
        </w:rPr>
        <w:t xml:space="preserve"> </w:t>
      </w:r>
      <w:r w:rsidRPr="00DA74F4">
        <w:rPr>
          <w:rFonts w:ascii="Times New Roman" w:hAnsi="Times New Roman"/>
          <w:sz w:val="24"/>
          <w:szCs w:val="24"/>
        </w:rPr>
        <w:t>This</w:t>
      </w:r>
      <w:r>
        <w:rPr>
          <w:rFonts w:ascii="Times New Roman" w:hAnsi="Times New Roman"/>
          <w:sz w:val="24"/>
          <w:szCs w:val="24"/>
        </w:rPr>
        <w:t xml:space="preserve"> </w:t>
      </w:r>
      <w:r w:rsidRPr="00DA74F4">
        <w:rPr>
          <w:rFonts w:ascii="Times New Roman" w:hAnsi="Times New Roman"/>
          <w:sz w:val="24"/>
          <w:szCs w:val="24"/>
        </w:rPr>
        <w:t>court,</w:t>
      </w:r>
      <w:r>
        <w:rPr>
          <w:rFonts w:ascii="Times New Roman" w:hAnsi="Times New Roman"/>
          <w:sz w:val="24"/>
          <w:szCs w:val="24"/>
        </w:rPr>
        <w:t xml:space="preserve"> </w:t>
      </w:r>
      <w:r w:rsidRPr="00DA74F4">
        <w:rPr>
          <w:rFonts w:ascii="Times New Roman" w:hAnsi="Times New Roman"/>
          <w:sz w:val="24"/>
          <w:szCs w:val="24"/>
        </w:rPr>
        <w:t>applying</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Fourteenth</w:t>
      </w:r>
      <w:r>
        <w:rPr>
          <w:rFonts w:ascii="Times New Roman" w:hAnsi="Times New Roman"/>
          <w:sz w:val="24"/>
          <w:szCs w:val="24"/>
        </w:rPr>
        <w:t xml:space="preserve"> </w:t>
      </w:r>
      <w:r w:rsidRPr="00DA74F4">
        <w:rPr>
          <w:rFonts w:ascii="Times New Roman" w:hAnsi="Times New Roman"/>
          <w:sz w:val="24"/>
          <w:szCs w:val="24"/>
        </w:rPr>
        <w:t>Amendment</w:t>
      </w:r>
      <w:r>
        <w:rPr>
          <w:rFonts w:ascii="Times New Roman" w:hAnsi="Times New Roman"/>
          <w:sz w:val="24"/>
          <w:szCs w:val="24"/>
        </w:rPr>
        <w:t xml:space="preserve"> </w:t>
      </w:r>
      <w:r w:rsidRPr="00DA74F4">
        <w:rPr>
          <w:rFonts w:ascii="Times New Roman" w:hAnsi="Times New Roman"/>
          <w:sz w:val="24"/>
          <w:szCs w:val="24"/>
        </w:rPr>
        <w:t>deliberate</w:t>
      </w:r>
      <w:r>
        <w:rPr>
          <w:rFonts w:ascii="Times New Roman" w:hAnsi="Times New Roman"/>
          <w:sz w:val="24"/>
          <w:szCs w:val="24"/>
        </w:rPr>
        <w:t xml:space="preserve"> </w:t>
      </w:r>
      <w:r w:rsidRPr="00DA74F4">
        <w:rPr>
          <w:rFonts w:ascii="Times New Roman" w:hAnsi="Times New Roman"/>
          <w:sz w:val="24"/>
          <w:szCs w:val="24"/>
        </w:rPr>
        <w:t>indifference</w:t>
      </w:r>
      <w:r>
        <w:rPr>
          <w:rFonts w:ascii="Times New Roman" w:hAnsi="Times New Roman"/>
          <w:sz w:val="24"/>
          <w:szCs w:val="24"/>
        </w:rPr>
        <w:t xml:space="preserve"> </w:t>
      </w:r>
      <w:r w:rsidRPr="00DA74F4">
        <w:rPr>
          <w:rFonts w:ascii="Times New Roman" w:hAnsi="Times New Roman"/>
          <w:sz w:val="24"/>
          <w:szCs w:val="24"/>
        </w:rPr>
        <w:t>standard,</w:t>
      </w:r>
      <w:r>
        <w:rPr>
          <w:rFonts w:ascii="Times New Roman" w:hAnsi="Times New Roman"/>
          <w:sz w:val="24"/>
          <w:szCs w:val="24"/>
        </w:rPr>
        <w:t xml:space="preserve"> </w:t>
      </w:r>
      <w:r w:rsidRPr="00DA74F4">
        <w:rPr>
          <w:rFonts w:ascii="Times New Roman" w:hAnsi="Times New Roman"/>
          <w:sz w:val="24"/>
          <w:szCs w:val="24"/>
        </w:rPr>
        <w:t>held</w:t>
      </w:r>
      <w:r>
        <w:rPr>
          <w:rFonts w:ascii="Times New Roman" w:hAnsi="Times New Roman"/>
          <w:sz w:val="24"/>
          <w:szCs w:val="24"/>
        </w:rPr>
        <w:t xml:space="preserve"> </w:t>
      </w:r>
      <w:r w:rsidRPr="00DA74F4">
        <w:rPr>
          <w:rFonts w:ascii="Times New Roman" w:hAnsi="Times New Roman"/>
          <w:sz w:val="24"/>
          <w:szCs w:val="24"/>
        </w:rPr>
        <w:t>that</w:t>
      </w:r>
      <w:r>
        <w:rPr>
          <w:rFonts w:ascii="Times New Roman" w:hAnsi="Times New Roman"/>
          <w:sz w:val="24"/>
          <w:szCs w:val="24"/>
        </w:rPr>
        <w:t xml:space="preserve"> </w:t>
      </w:r>
      <w:r w:rsidRPr="00DA74F4">
        <w:rPr>
          <w:rFonts w:ascii="Times New Roman" w:hAnsi="Times New Roman"/>
          <w:sz w:val="24"/>
          <w:szCs w:val="24"/>
        </w:rPr>
        <w:t>neither</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handcuffing</w:t>
      </w:r>
      <w:r>
        <w:rPr>
          <w:rFonts w:ascii="Times New Roman" w:hAnsi="Times New Roman"/>
          <w:sz w:val="24"/>
          <w:szCs w:val="24"/>
        </w:rPr>
        <w:t xml:space="preserve"> </w:t>
      </w:r>
      <w:r w:rsidRPr="00DA74F4">
        <w:rPr>
          <w:rFonts w:ascii="Times New Roman" w:hAnsi="Times New Roman"/>
          <w:sz w:val="24"/>
          <w:szCs w:val="24"/>
        </w:rPr>
        <w:t>nor</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refusal</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remove</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handcuffs</w:t>
      </w:r>
      <w:r>
        <w:rPr>
          <w:rFonts w:ascii="Times New Roman" w:hAnsi="Times New Roman"/>
          <w:sz w:val="24"/>
          <w:szCs w:val="24"/>
        </w:rPr>
        <w:t xml:space="preserve"> </w:t>
      </w:r>
      <w:r w:rsidRPr="00DA74F4">
        <w:rPr>
          <w:rFonts w:ascii="Times New Roman" w:hAnsi="Times New Roman"/>
          <w:sz w:val="24"/>
          <w:szCs w:val="24"/>
        </w:rPr>
        <w:t>amounted</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constitutional</w:t>
      </w:r>
      <w:r>
        <w:rPr>
          <w:rFonts w:ascii="Times New Roman" w:hAnsi="Times New Roman"/>
          <w:sz w:val="24"/>
          <w:szCs w:val="24"/>
        </w:rPr>
        <w:t xml:space="preserve"> </w:t>
      </w:r>
      <w:r w:rsidRPr="00DA74F4">
        <w:rPr>
          <w:rFonts w:ascii="Times New Roman" w:hAnsi="Times New Roman"/>
          <w:sz w:val="24"/>
          <w:szCs w:val="24"/>
        </w:rPr>
        <w:t>violation.</w:t>
      </w:r>
      <w:r>
        <w:rPr>
          <w:rFonts w:ascii="Times New Roman" w:hAnsi="Times New Roman"/>
          <w:sz w:val="24"/>
          <w:szCs w:val="24"/>
        </w:rPr>
        <w:t xml:space="preserve"> </w:t>
      </w:r>
      <w:r w:rsidRPr="00DA74F4">
        <w:rPr>
          <w:rFonts w:ascii="Times New Roman" w:hAnsi="Times New Roman"/>
          <w:sz w:val="24"/>
          <w:szCs w:val="24"/>
        </w:rPr>
        <w:t>Id.</w:t>
      </w:r>
      <w:r>
        <w:rPr>
          <w:rFonts w:ascii="Times New Roman" w:hAnsi="Times New Roman"/>
          <w:sz w:val="24"/>
          <w:szCs w:val="24"/>
        </w:rPr>
        <w:t xml:space="preserve"> </w:t>
      </w:r>
      <w:r w:rsidRPr="00DA74F4">
        <w:rPr>
          <w:rFonts w:ascii="Times New Roman" w:hAnsi="Times New Roman"/>
          <w:sz w:val="24"/>
          <w:szCs w:val="24"/>
        </w:rPr>
        <w:t>Further,</w:t>
      </w:r>
      <w:r>
        <w:rPr>
          <w:rFonts w:ascii="Times New Roman" w:hAnsi="Times New Roman"/>
          <w:sz w:val="24"/>
          <w:szCs w:val="24"/>
        </w:rPr>
        <w:t xml:space="preserve"> </w:t>
      </w:r>
      <w:r w:rsidRPr="00DA74F4">
        <w:rPr>
          <w:rFonts w:ascii="Times New Roman" w:hAnsi="Times New Roman"/>
          <w:sz w:val="24"/>
          <w:szCs w:val="24"/>
        </w:rPr>
        <w:t>Wilson</w:t>
      </w:r>
      <w:r>
        <w:rPr>
          <w:rFonts w:ascii="Times New Roman" w:hAnsi="Times New Roman"/>
          <w:sz w:val="24"/>
          <w:szCs w:val="24"/>
        </w:rPr>
        <w:t xml:space="preserve"> </w:t>
      </w:r>
      <w:r w:rsidRPr="00DA74F4">
        <w:rPr>
          <w:rFonts w:ascii="Times New Roman" w:hAnsi="Times New Roman"/>
          <w:sz w:val="24"/>
          <w:szCs w:val="24"/>
        </w:rPr>
        <w:t>refused</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hold</w:t>
      </w:r>
      <w:r>
        <w:rPr>
          <w:rFonts w:ascii="Times New Roman" w:hAnsi="Times New Roman"/>
          <w:sz w:val="24"/>
          <w:szCs w:val="24"/>
        </w:rPr>
        <w:t xml:space="preserve"> </w:t>
      </w:r>
      <w:r w:rsidRPr="00DA74F4">
        <w:rPr>
          <w:rFonts w:ascii="Times New Roman" w:hAnsi="Times New Roman"/>
          <w:sz w:val="24"/>
          <w:szCs w:val="24"/>
        </w:rPr>
        <w:t>that</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Due</w:t>
      </w:r>
      <w:r>
        <w:rPr>
          <w:rFonts w:ascii="Times New Roman" w:hAnsi="Times New Roman"/>
          <w:sz w:val="24"/>
          <w:szCs w:val="24"/>
        </w:rPr>
        <w:t xml:space="preserve"> </w:t>
      </w:r>
      <w:r w:rsidRPr="00DA74F4">
        <w:rPr>
          <w:rFonts w:ascii="Times New Roman" w:hAnsi="Times New Roman"/>
          <w:sz w:val="24"/>
          <w:szCs w:val="24"/>
        </w:rPr>
        <w:t>Process</w:t>
      </w:r>
      <w:r>
        <w:rPr>
          <w:rFonts w:ascii="Times New Roman" w:hAnsi="Times New Roman"/>
          <w:sz w:val="24"/>
          <w:szCs w:val="24"/>
        </w:rPr>
        <w:t xml:space="preserve"> </w:t>
      </w:r>
      <w:r w:rsidRPr="00DA74F4">
        <w:rPr>
          <w:rFonts w:ascii="Times New Roman" w:hAnsi="Times New Roman"/>
          <w:sz w:val="24"/>
          <w:szCs w:val="24"/>
        </w:rPr>
        <w:t>Clause</w:t>
      </w:r>
      <w:r>
        <w:rPr>
          <w:rFonts w:ascii="Times New Roman" w:hAnsi="Times New Roman"/>
          <w:sz w:val="24"/>
          <w:szCs w:val="24"/>
        </w:rPr>
        <w:t xml:space="preserve"> </w:t>
      </w:r>
      <w:r w:rsidRPr="00DA74F4">
        <w:rPr>
          <w:rFonts w:ascii="Times New Roman" w:hAnsi="Times New Roman"/>
          <w:sz w:val="24"/>
          <w:szCs w:val="24"/>
        </w:rPr>
        <w:t>establishes</w:t>
      </w:r>
      <w:r>
        <w:rPr>
          <w:rFonts w:ascii="Times New Roman" w:hAnsi="Times New Roman"/>
          <w:sz w:val="24"/>
          <w:szCs w:val="24"/>
        </w:rPr>
        <w:t xml:space="preserve"> </w:t>
      </w:r>
      <w:r w:rsidRPr="00DA74F4">
        <w:rPr>
          <w:rFonts w:ascii="Times New Roman" w:hAnsi="Times New Roman"/>
          <w:sz w:val="24"/>
          <w:szCs w:val="24"/>
        </w:rPr>
        <w:t>an</w:t>
      </w:r>
      <w:r>
        <w:rPr>
          <w:rFonts w:ascii="Times New Roman" w:hAnsi="Times New Roman"/>
          <w:sz w:val="24"/>
          <w:szCs w:val="24"/>
        </w:rPr>
        <w:t xml:space="preserve"> </w:t>
      </w:r>
      <w:r w:rsidRPr="00DA74F4">
        <w:rPr>
          <w:rFonts w:ascii="Times New Roman" w:hAnsi="Times New Roman"/>
          <w:sz w:val="24"/>
          <w:szCs w:val="24"/>
        </w:rPr>
        <w:t>affirmative</w:t>
      </w:r>
      <w:r>
        <w:rPr>
          <w:rFonts w:ascii="Times New Roman" w:hAnsi="Times New Roman"/>
          <w:sz w:val="24"/>
          <w:szCs w:val="24"/>
        </w:rPr>
        <w:t xml:space="preserve"> </w:t>
      </w:r>
      <w:r w:rsidRPr="00DA74F4">
        <w:rPr>
          <w:rFonts w:ascii="Times New Roman" w:hAnsi="Times New Roman"/>
          <w:sz w:val="24"/>
          <w:szCs w:val="24"/>
        </w:rPr>
        <w:t>duty</w:t>
      </w:r>
      <w:r>
        <w:rPr>
          <w:rFonts w:ascii="Times New Roman" w:hAnsi="Times New Roman"/>
          <w:sz w:val="24"/>
          <w:szCs w:val="24"/>
        </w:rPr>
        <w:t xml:space="preserve"> </w:t>
      </w:r>
      <w:r w:rsidRPr="00DA74F4">
        <w:rPr>
          <w:rFonts w:ascii="Times New Roman" w:hAnsi="Times New Roman"/>
          <w:sz w:val="24"/>
          <w:szCs w:val="24"/>
        </w:rPr>
        <w:t>on</w:t>
      </w:r>
      <w:r>
        <w:rPr>
          <w:rFonts w:ascii="Times New Roman" w:hAnsi="Times New Roman"/>
          <w:sz w:val="24"/>
          <w:szCs w:val="24"/>
        </w:rPr>
        <w:t xml:space="preserve"> </w:t>
      </w:r>
      <w:r w:rsidRPr="00DA74F4">
        <w:rPr>
          <w:rFonts w:ascii="Times New Roman" w:hAnsi="Times New Roman"/>
          <w:sz w:val="24"/>
          <w:szCs w:val="24"/>
        </w:rPr>
        <w:t>police</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provide</w:t>
      </w:r>
      <w:r>
        <w:rPr>
          <w:rFonts w:ascii="Times New Roman" w:hAnsi="Times New Roman"/>
          <w:sz w:val="24"/>
          <w:szCs w:val="24"/>
        </w:rPr>
        <w:t xml:space="preserve"> </w:t>
      </w:r>
      <w:r w:rsidRPr="00DA74F4">
        <w:rPr>
          <w:rFonts w:ascii="Times New Roman" w:hAnsi="Times New Roman"/>
          <w:sz w:val="24"/>
          <w:szCs w:val="24"/>
        </w:rPr>
        <w:t>medical</w:t>
      </w:r>
      <w:r>
        <w:rPr>
          <w:rFonts w:ascii="Times New Roman" w:hAnsi="Times New Roman"/>
          <w:sz w:val="24"/>
          <w:szCs w:val="24"/>
        </w:rPr>
        <w:t xml:space="preserve"> </w:t>
      </w:r>
      <w:r w:rsidRPr="00DA74F4">
        <w:rPr>
          <w:rFonts w:ascii="Times New Roman" w:hAnsi="Times New Roman"/>
          <w:sz w:val="24"/>
          <w:szCs w:val="24"/>
        </w:rPr>
        <w:t>care</w:t>
      </w:r>
      <w:r>
        <w:rPr>
          <w:rFonts w:ascii="Times New Roman" w:hAnsi="Times New Roman"/>
          <w:sz w:val="24"/>
          <w:szCs w:val="24"/>
        </w:rPr>
        <w:t xml:space="preserve"> </w:t>
      </w:r>
      <w:r w:rsidRPr="00DA74F4">
        <w:rPr>
          <w:rFonts w:ascii="Times New Roman" w:hAnsi="Times New Roman"/>
          <w:sz w:val="24"/>
          <w:szCs w:val="24"/>
        </w:rPr>
        <w:t>(even</w:t>
      </w:r>
      <w:r>
        <w:rPr>
          <w:rFonts w:ascii="Times New Roman" w:hAnsi="Times New Roman"/>
          <w:sz w:val="24"/>
          <w:szCs w:val="24"/>
        </w:rPr>
        <w:t xml:space="preserve"> </w:t>
      </w:r>
      <w:r w:rsidRPr="00DA74F4">
        <w:rPr>
          <w:rFonts w:ascii="Times New Roman" w:hAnsi="Times New Roman"/>
          <w:sz w:val="24"/>
          <w:szCs w:val="24"/>
        </w:rPr>
        <w:t>something</w:t>
      </w:r>
      <w:r>
        <w:rPr>
          <w:rFonts w:ascii="Times New Roman" w:hAnsi="Times New Roman"/>
          <w:sz w:val="24"/>
          <w:szCs w:val="24"/>
        </w:rPr>
        <w:t xml:space="preserve"> </w:t>
      </w:r>
      <w:r w:rsidRPr="00DA74F4">
        <w:rPr>
          <w:rFonts w:ascii="Times New Roman" w:hAnsi="Times New Roman"/>
          <w:sz w:val="24"/>
          <w:szCs w:val="24"/>
        </w:rPr>
        <w:t>as</w:t>
      </w:r>
      <w:r>
        <w:rPr>
          <w:rFonts w:ascii="Times New Roman" w:hAnsi="Times New Roman"/>
          <w:sz w:val="24"/>
          <w:szCs w:val="24"/>
        </w:rPr>
        <w:t xml:space="preserve"> </w:t>
      </w:r>
      <w:r w:rsidRPr="00DA74F4">
        <w:rPr>
          <w:rFonts w:ascii="Times New Roman" w:hAnsi="Times New Roman"/>
          <w:sz w:val="24"/>
          <w:szCs w:val="24"/>
        </w:rPr>
        <w:t>basic</w:t>
      </w:r>
      <w:r>
        <w:rPr>
          <w:rFonts w:ascii="Times New Roman" w:hAnsi="Times New Roman"/>
          <w:sz w:val="24"/>
          <w:szCs w:val="24"/>
        </w:rPr>
        <w:t xml:space="preserve"> </w:t>
      </w:r>
      <w:r w:rsidRPr="00DA74F4">
        <w:rPr>
          <w:rFonts w:ascii="Times New Roman" w:hAnsi="Times New Roman"/>
          <w:sz w:val="24"/>
          <w:szCs w:val="24"/>
        </w:rPr>
        <w:t>as</w:t>
      </w:r>
      <w:r>
        <w:rPr>
          <w:rFonts w:ascii="Times New Roman" w:hAnsi="Times New Roman"/>
          <w:sz w:val="24"/>
          <w:szCs w:val="24"/>
        </w:rPr>
        <w:t xml:space="preserve"> </w:t>
      </w:r>
      <w:r w:rsidRPr="00DA74F4">
        <w:rPr>
          <w:rFonts w:ascii="Times New Roman" w:hAnsi="Times New Roman"/>
          <w:sz w:val="24"/>
          <w:szCs w:val="24"/>
        </w:rPr>
        <w:t>CPR),</w:t>
      </w:r>
      <w:r>
        <w:rPr>
          <w:rFonts w:ascii="Times New Roman" w:hAnsi="Times New Roman"/>
          <w:sz w:val="24"/>
          <w:szCs w:val="24"/>
        </w:rPr>
        <w:t xml:space="preserve"> i</w:t>
      </w:r>
      <w:r w:rsidRPr="00DA74F4">
        <w:rPr>
          <w:rFonts w:ascii="Times New Roman" w:hAnsi="Times New Roman"/>
          <w:sz w:val="24"/>
          <w:szCs w:val="24"/>
        </w:rPr>
        <w:t>n</w:t>
      </w:r>
      <w:r>
        <w:rPr>
          <w:rFonts w:ascii="Times New Roman" w:hAnsi="Times New Roman"/>
          <w:sz w:val="24"/>
          <w:szCs w:val="24"/>
        </w:rPr>
        <w:t xml:space="preserve"> </w:t>
      </w:r>
      <w:proofErr w:type="gramStart"/>
      <w:r w:rsidRPr="00DA74F4">
        <w:rPr>
          <w:rFonts w:ascii="Times New Roman" w:hAnsi="Times New Roman"/>
          <w:sz w:val="24"/>
          <w:szCs w:val="24"/>
        </w:rPr>
        <w:t>any</w:t>
      </w:r>
      <w:r>
        <w:rPr>
          <w:rFonts w:ascii="Times New Roman" w:hAnsi="Times New Roman"/>
          <w:sz w:val="24"/>
          <w:szCs w:val="24"/>
        </w:rPr>
        <w:t xml:space="preserve"> </w:t>
      </w:r>
      <w:r w:rsidRPr="00DA74F4">
        <w:rPr>
          <w:rFonts w:ascii="Times New Roman" w:hAnsi="Times New Roman"/>
          <w:sz w:val="24"/>
          <w:szCs w:val="24"/>
        </w:rPr>
        <w:t>and</w:t>
      </w:r>
      <w:r>
        <w:rPr>
          <w:rFonts w:ascii="Times New Roman" w:hAnsi="Times New Roman"/>
          <w:sz w:val="24"/>
          <w:szCs w:val="24"/>
        </w:rPr>
        <w:t xml:space="preserve"> </w:t>
      </w:r>
      <w:r w:rsidRPr="00DA74F4">
        <w:rPr>
          <w:rFonts w:ascii="Times New Roman" w:hAnsi="Times New Roman"/>
          <w:sz w:val="24"/>
          <w:szCs w:val="24"/>
        </w:rPr>
        <w:t>all</w:t>
      </w:r>
      <w:proofErr w:type="gramEnd"/>
      <w:r>
        <w:rPr>
          <w:rFonts w:ascii="Times New Roman" w:hAnsi="Times New Roman"/>
          <w:sz w:val="24"/>
          <w:szCs w:val="24"/>
        </w:rPr>
        <w:t xml:space="preserve"> </w:t>
      </w:r>
      <w:r w:rsidRPr="00DA74F4">
        <w:rPr>
          <w:rFonts w:ascii="Times New Roman" w:hAnsi="Times New Roman"/>
          <w:sz w:val="24"/>
          <w:szCs w:val="24"/>
        </w:rPr>
        <w:t>circumstances,</w:t>
      </w:r>
      <w:r>
        <w:rPr>
          <w:rFonts w:ascii="Times New Roman" w:hAnsi="Times New Roman"/>
          <w:sz w:val="24"/>
          <w:szCs w:val="24"/>
        </w:rPr>
        <w:t xml:space="preserve"> </w:t>
      </w:r>
      <w:r w:rsidRPr="00DA74F4">
        <w:rPr>
          <w:rFonts w:ascii="Times New Roman" w:hAnsi="Times New Roman"/>
          <w:sz w:val="24"/>
          <w:szCs w:val="24"/>
        </w:rPr>
        <w:t>or</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render</w:t>
      </w:r>
      <w:r>
        <w:rPr>
          <w:rFonts w:ascii="Times New Roman" w:hAnsi="Times New Roman"/>
          <w:sz w:val="24"/>
          <w:szCs w:val="24"/>
        </w:rPr>
        <w:t xml:space="preserve"> </w:t>
      </w:r>
      <w:r w:rsidRPr="00DA74F4">
        <w:rPr>
          <w:rFonts w:ascii="Times New Roman" w:hAnsi="Times New Roman"/>
          <w:sz w:val="24"/>
          <w:szCs w:val="24"/>
        </w:rPr>
        <w:t>first</w:t>
      </w:r>
      <w:r>
        <w:rPr>
          <w:rFonts w:ascii="Times New Roman" w:hAnsi="Times New Roman"/>
          <w:sz w:val="24"/>
          <w:szCs w:val="24"/>
        </w:rPr>
        <w:t xml:space="preserve"> </w:t>
      </w:r>
      <w:r w:rsidRPr="00DA74F4">
        <w:rPr>
          <w:rFonts w:ascii="Times New Roman" w:hAnsi="Times New Roman"/>
          <w:sz w:val="24"/>
          <w:szCs w:val="24"/>
        </w:rPr>
        <w:t>aid.</w:t>
      </w:r>
      <w:r>
        <w:rPr>
          <w:rFonts w:ascii="Times New Roman" w:hAnsi="Times New Roman"/>
          <w:sz w:val="24"/>
          <w:szCs w:val="24"/>
        </w:rPr>
        <w:t>”</w:t>
      </w:r>
    </w:p>
    <w:p w14:paraId="265B6BCE" w14:textId="77777777" w:rsidR="00EE0562" w:rsidRPr="0088321C" w:rsidRDefault="00EE0562" w:rsidP="00EE0562">
      <w:pPr>
        <w:pStyle w:val="NoSpacing"/>
        <w:rPr>
          <w:rFonts w:ascii="Arial Black" w:hAnsi="Arial Black"/>
          <w:sz w:val="24"/>
          <w:szCs w:val="24"/>
        </w:rPr>
      </w:pPr>
      <w:bookmarkStart w:id="499" w:name="_Hlk41152902"/>
      <w:r w:rsidRPr="0088321C">
        <w:rPr>
          <w:rFonts w:ascii="Arial Black" w:hAnsi="Arial Black"/>
          <w:sz w:val="24"/>
          <w:szCs w:val="24"/>
        </w:rPr>
        <w:t xml:space="preserve">Legal Lessons Learned: </w:t>
      </w:r>
      <w:r>
        <w:rPr>
          <w:rFonts w:ascii="Arial Black" w:hAnsi="Arial Black"/>
          <w:sz w:val="24"/>
          <w:szCs w:val="24"/>
        </w:rPr>
        <w:t xml:space="preserve">Police enjoy qualified immunity, particularly where EMS is held back while scene is secured.  EMS should document reasons for delay, and subsequent medical care provided. </w:t>
      </w:r>
    </w:p>
    <w:bookmarkEnd w:id="499"/>
    <w:p w14:paraId="6CFFCF31" w14:textId="0BA64685" w:rsidR="009F0F05" w:rsidRDefault="009F0F05" w:rsidP="00DE0F03">
      <w:pPr>
        <w:pStyle w:val="NoSpacing"/>
        <w:rPr>
          <w:rFonts w:ascii="Arial Black" w:hAnsi="Arial Black"/>
          <w:sz w:val="24"/>
          <w:szCs w:val="24"/>
        </w:rPr>
      </w:pPr>
    </w:p>
    <w:p w14:paraId="5A0E3FB1" w14:textId="77777777" w:rsidR="00E26EA8" w:rsidRDefault="00E26EA8" w:rsidP="00DE0F03">
      <w:pPr>
        <w:pStyle w:val="NoSpacing"/>
        <w:rPr>
          <w:rFonts w:ascii="Arial Black" w:hAnsi="Arial Black"/>
          <w:sz w:val="24"/>
          <w:szCs w:val="24"/>
        </w:rPr>
      </w:pPr>
    </w:p>
    <w:bookmarkEnd w:id="498"/>
    <w:p w14:paraId="200426E1" w14:textId="380443FE" w:rsidR="00EE0562" w:rsidRDefault="00EE0562" w:rsidP="00DE0F03">
      <w:pPr>
        <w:pStyle w:val="NoSpacing"/>
        <w:rPr>
          <w:rFonts w:ascii="Arial Black" w:hAnsi="Arial Black"/>
          <w:sz w:val="24"/>
          <w:szCs w:val="24"/>
        </w:rPr>
      </w:pPr>
      <w:r>
        <w:rPr>
          <w:rFonts w:ascii="Arial Black" w:hAnsi="Arial Black"/>
          <w:sz w:val="24"/>
          <w:szCs w:val="24"/>
        </w:rPr>
        <w:t>13-</w:t>
      </w:r>
      <w:r w:rsidR="009C7552">
        <w:rPr>
          <w:rFonts w:ascii="Arial Black" w:hAnsi="Arial Black"/>
          <w:sz w:val="24"/>
          <w:szCs w:val="24"/>
        </w:rPr>
        <w:t>3</w:t>
      </w:r>
      <w:r w:rsidR="00C95AF6">
        <w:rPr>
          <w:rFonts w:ascii="Arial Black" w:hAnsi="Arial Black"/>
          <w:sz w:val="24"/>
          <w:szCs w:val="24"/>
        </w:rPr>
        <w:t>1</w:t>
      </w:r>
    </w:p>
    <w:p w14:paraId="5252359C" w14:textId="77777777" w:rsidR="00EE0562" w:rsidRDefault="00EE0562" w:rsidP="00DE0F03">
      <w:pPr>
        <w:pStyle w:val="NoSpacing"/>
        <w:rPr>
          <w:rFonts w:ascii="Arial Black" w:hAnsi="Arial Black"/>
          <w:sz w:val="24"/>
          <w:szCs w:val="24"/>
        </w:rPr>
      </w:pPr>
    </w:p>
    <w:p w14:paraId="621898A8" w14:textId="77777777" w:rsidR="00EE0562" w:rsidRDefault="00EE0562" w:rsidP="00EE0562">
      <w:pPr>
        <w:rPr>
          <w:rFonts w:ascii="Arial Black" w:hAnsi="Arial Black"/>
          <w:sz w:val="28"/>
          <w:szCs w:val="28"/>
        </w:rPr>
      </w:pPr>
      <w:bookmarkStart w:id="500" w:name="_Hlk41152970"/>
      <w:bookmarkStart w:id="501" w:name="_Hlk41297079"/>
      <w:r w:rsidRPr="00576E46">
        <w:rPr>
          <w:rFonts w:ascii="Arial Black" w:hAnsi="Arial Black"/>
          <w:sz w:val="28"/>
          <w:szCs w:val="28"/>
        </w:rPr>
        <w:t xml:space="preserve">GA: </w:t>
      </w:r>
      <w:r>
        <w:rPr>
          <w:rFonts w:ascii="Arial Black" w:hAnsi="Arial Black"/>
          <w:sz w:val="28"/>
          <w:szCs w:val="28"/>
        </w:rPr>
        <w:t>SOFT RESTRAINTS - MANIC EPISODE - POLICE VIDEOS SHOW NEED FOR RESTRAINTS - QUALIFIED IMMUNITY</w:t>
      </w:r>
    </w:p>
    <w:p w14:paraId="64A55D24" w14:textId="77777777" w:rsidR="00EE0562" w:rsidRPr="008028C7" w:rsidRDefault="00EE0562" w:rsidP="00EE0562">
      <w:pPr>
        <w:rPr>
          <w:rFonts w:ascii="Times New Roman" w:hAnsi="Times New Roman"/>
          <w:sz w:val="24"/>
          <w:szCs w:val="24"/>
        </w:rPr>
      </w:pPr>
      <w:r w:rsidRPr="008028C7">
        <w:rPr>
          <w:rFonts w:ascii="Times New Roman" w:hAnsi="Times New Roman"/>
          <w:sz w:val="24"/>
          <w:szCs w:val="24"/>
        </w:rPr>
        <w:lastRenderedPageBreak/>
        <w:t xml:space="preserve">On Aug. 29, 2019, in </w:t>
      </w:r>
      <w:r w:rsidRPr="008028C7">
        <w:rPr>
          <w:rFonts w:ascii="Times New Roman" w:hAnsi="Times New Roman"/>
          <w:sz w:val="24"/>
          <w:szCs w:val="24"/>
          <w:u w:val="single"/>
        </w:rPr>
        <w:t>Kimberly Ellison v. Kenneth Hobbs, et al</w:t>
      </w:r>
      <w:r w:rsidRPr="008028C7">
        <w:rPr>
          <w:rFonts w:ascii="Times New Roman" w:hAnsi="Times New Roman"/>
          <w:sz w:val="24"/>
          <w:szCs w:val="24"/>
        </w:rPr>
        <w:t>., the U.S. Court of Appeals for the 11</w:t>
      </w:r>
      <w:r w:rsidRPr="008028C7">
        <w:rPr>
          <w:rFonts w:ascii="Times New Roman" w:hAnsi="Times New Roman"/>
          <w:sz w:val="24"/>
          <w:szCs w:val="24"/>
          <w:vertAlign w:val="superscript"/>
        </w:rPr>
        <w:t>th</w:t>
      </w:r>
      <w:r w:rsidRPr="008028C7">
        <w:rPr>
          <w:rFonts w:ascii="Times New Roman" w:hAnsi="Times New Roman"/>
          <w:sz w:val="24"/>
          <w:szCs w:val="24"/>
        </w:rPr>
        <w:t xml:space="preserve"> District (Atlanta), held (3 to 0) in an unpublished decision, that U.S. District Court judge had properly granted summary judgment to all EMS and Police.  </w:t>
      </w:r>
      <w:hyperlink r:id="rId2274" w:history="1">
        <w:r w:rsidRPr="008028C7">
          <w:rPr>
            <w:rStyle w:val="Hyperlink"/>
            <w:rFonts w:ascii="Times New Roman" w:hAnsi="Times New Roman"/>
            <w:sz w:val="24"/>
            <w:szCs w:val="24"/>
          </w:rPr>
          <w:t>http://media.ca11.uscourts.gov/opinions/unpub/files/201814142.pdf</w:t>
        </w:r>
      </w:hyperlink>
      <w:r w:rsidRPr="008028C7">
        <w:rPr>
          <w:rFonts w:ascii="Times New Roman" w:hAnsi="Times New Roman"/>
          <w:sz w:val="24"/>
          <w:szCs w:val="24"/>
        </w:rPr>
        <w:t xml:space="preserve"> </w:t>
      </w:r>
    </w:p>
    <w:bookmarkEnd w:id="500"/>
    <w:p w14:paraId="36F30E70" w14:textId="77777777" w:rsidR="00EE0562" w:rsidRDefault="00EE0562" w:rsidP="00EE0562">
      <w:pPr>
        <w:rPr>
          <w:rFonts w:ascii="On On" w:hAnsi="On On"/>
          <w:sz w:val="24"/>
          <w:szCs w:val="24"/>
        </w:rPr>
      </w:pPr>
      <w:r>
        <w:rPr>
          <w:rFonts w:ascii="On On" w:hAnsi="On On"/>
          <w:sz w:val="24"/>
          <w:szCs w:val="24"/>
        </w:rPr>
        <w:tab/>
        <w:t xml:space="preserve">The court held: </w:t>
      </w:r>
    </w:p>
    <w:p w14:paraId="257DA8CB" w14:textId="77777777" w:rsidR="00EE0562" w:rsidRDefault="00EE0562" w:rsidP="00EE0562">
      <w:pPr>
        <w:pStyle w:val="NoSpacing"/>
        <w:ind w:left="720"/>
        <w:rPr>
          <w:rFonts w:ascii="Times New Roman" w:hAnsi="Times New Roman"/>
          <w:sz w:val="24"/>
          <w:szCs w:val="24"/>
        </w:rPr>
      </w:pPr>
      <w:r>
        <w:rPr>
          <w:rFonts w:ascii="Times New Roman" w:hAnsi="Times New Roman"/>
          <w:sz w:val="24"/>
          <w:szCs w:val="24"/>
        </w:rPr>
        <w:t>“[C]</w:t>
      </w:r>
      <w:proofErr w:type="spellStart"/>
      <w:r w:rsidRPr="00741E0D">
        <w:rPr>
          <w:rFonts w:ascii="Times New Roman" w:hAnsi="Times New Roman"/>
          <w:sz w:val="24"/>
          <w:szCs w:val="24"/>
        </w:rPr>
        <w:t>ontrary</w:t>
      </w:r>
      <w:proofErr w:type="spellEnd"/>
      <w:r w:rsidRPr="00741E0D">
        <w:rPr>
          <w:rFonts w:ascii="Times New Roman" w:hAnsi="Times New Roman"/>
          <w:sz w:val="24"/>
          <w:szCs w:val="24"/>
        </w:rPr>
        <w:t xml:space="preserve"> to Ellison’s contentions, the use of soft restraints is a tool available to Paramedic Gasaway and EMT Howard in performing their job-related functions. See Davenport, 906 F.3d at 940. Thus, because Paramedic Gasaway’s and EMT Howard’s actions were not outside their </w:t>
      </w:r>
      <w:r>
        <w:rPr>
          <w:rFonts w:ascii="Times New Roman" w:hAnsi="Times New Roman"/>
          <w:sz w:val="24"/>
          <w:szCs w:val="24"/>
        </w:rPr>
        <w:t>‘</w:t>
      </w:r>
      <w:r w:rsidRPr="00741E0D">
        <w:rPr>
          <w:rFonts w:ascii="Times New Roman" w:hAnsi="Times New Roman"/>
          <w:sz w:val="24"/>
          <w:szCs w:val="24"/>
        </w:rPr>
        <w:t>arsenal</w:t>
      </w:r>
      <w:r>
        <w:rPr>
          <w:rFonts w:ascii="Times New Roman" w:hAnsi="Times New Roman"/>
          <w:sz w:val="24"/>
          <w:szCs w:val="24"/>
        </w:rPr>
        <w:t>’</w:t>
      </w:r>
      <w:r w:rsidRPr="00741E0D">
        <w:rPr>
          <w:rFonts w:ascii="Times New Roman" w:hAnsi="Times New Roman"/>
          <w:sz w:val="24"/>
          <w:szCs w:val="24"/>
        </w:rPr>
        <w:t xml:space="preserve"> of powers, they acted within their discretionary authority.</w:t>
      </w:r>
      <w:r>
        <w:rPr>
          <w:rFonts w:ascii="Times New Roman" w:hAnsi="Times New Roman"/>
          <w:sz w:val="24"/>
          <w:szCs w:val="24"/>
        </w:rPr>
        <w:t>”</w:t>
      </w:r>
    </w:p>
    <w:p w14:paraId="52B1FC3D" w14:textId="77777777" w:rsidR="00EE0562" w:rsidRDefault="00EE0562" w:rsidP="00EE0562">
      <w:pPr>
        <w:pStyle w:val="NoSpacing"/>
        <w:rPr>
          <w:rFonts w:ascii="Times New Roman" w:hAnsi="Times New Roman"/>
          <w:b/>
          <w:bCs/>
          <w:sz w:val="24"/>
          <w:szCs w:val="24"/>
        </w:rPr>
      </w:pPr>
    </w:p>
    <w:p w14:paraId="007683A9" w14:textId="11A1AD04" w:rsidR="00EE0562" w:rsidRPr="00E052A6" w:rsidRDefault="00EE0562" w:rsidP="00EE0562">
      <w:pPr>
        <w:pStyle w:val="NoSpacing"/>
        <w:rPr>
          <w:rFonts w:ascii="Times New Roman" w:hAnsi="Times New Roman"/>
          <w:b/>
          <w:bCs/>
          <w:sz w:val="24"/>
          <w:szCs w:val="24"/>
        </w:rPr>
      </w:pPr>
      <w:bookmarkStart w:id="502" w:name="_Hlk41152984"/>
      <w:r w:rsidRPr="00E052A6">
        <w:rPr>
          <w:rFonts w:ascii="Times New Roman" w:hAnsi="Times New Roman"/>
          <w:b/>
          <w:bCs/>
          <w:sz w:val="24"/>
          <w:szCs w:val="24"/>
        </w:rPr>
        <w:t xml:space="preserve">Legal Lessons Learned:  Thanks to officer’s video cameras, both the U.S. District Court judge, and the Court of Appeals, had a “minute by minute” view of what occurred in getting this patient [who is a practicing attorney] out of her apartment and to the hospital. </w:t>
      </w:r>
    </w:p>
    <w:bookmarkEnd w:id="501"/>
    <w:bookmarkEnd w:id="502"/>
    <w:p w14:paraId="027732E5" w14:textId="338EEE5F" w:rsidR="00EE0562" w:rsidRDefault="00EE0562" w:rsidP="00EE0562">
      <w:pPr>
        <w:pStyle w:val="NoSpacing"/>
        <w:rPr>
          <w:rFonts w:ascii="Arial Black" w:hAnsi="Arial Black"/>
          <w:b/>
          <w:bCs/>
          <w:sz w:val="24"/>
          <w:szCs w:val="24"/>
        </w:rPr>
      </w:pPr>
    </w:p>
    <w:p w14:paraId="0D5B8948" w14:textId="0C2D03ED" w:rsidR="00EE0562" w:rsidRDefault="00EE0562" w:rsidP="00EE0562">
      <w:pPr>
        <w:pStyle w:val="NoSpacing"/>
        <w:rPr>
          <w:rFonts w:ascii="Arial Black" w:hAnsi="Arial Black"/>
          <w:b/>
          <w:bCs/>
          <w:sz w:val="24"/>
          <w:szCs w:val="24"/>
        </w:rPr>
      </w:pPr>
    </w:p>
    <w:p w14:paraId="15695EEB" w14:textId="066B0AA2" w:rsidR="00E26EA8" w:rsidRDefault="00E26EA8" w:rsidP="00EE0562">
      <w:pPr>
        <w:pStyle w:val="NoSpacing"/>
        <w:rPr>
          <w:rFonts w:ascii="Arial Black" w:hAnsi="Arial Black"/>
          <w:b/>
          <w:bCs/>
          <w:sz w:val="24"/>
          <w:szCs w:val="24"/>
        </w:rPr>
      </w:pPr>
    </w:p>
    <w:p w14:paraId="5383913D" w14:textId="77777777" w:rsidR="00E26EA8" w:rsidRPr="00EE0562" w:rsidRDefault="00E26EA8" w:rsidP="00EE0562">
      <w:pPr>
        <w:pStyle w:val="NoSpacing"/>
        <w:rPr>
          <w:rFonts w:ascii="Arial Black" w:hAnsi="Arial Black"/>
          <w:b/>
          <w:bCs/>
          <w:sz w:val="24"/>
          <w:szCs w:val="24"/>
        </w:rPr>
      </w:pPr>
    </w:p>
    <w:p w14:paraId="348999D4" w14:textId="6BF8BE8E" w:rsidR="00EE0562" w:rsidRPr="00EE0562" w:rsidRDefault="00EE0562" w:rsidP="00EE0562">
      <w:pPr>
        <w:pStyle w:val="NoSpacing"/>
        <w:rPr>
          <w:rFonts w:ascii="Arial Black" w:hAnsi="Arial Black"/>
          <w:b/>
          <w:bCs/>
          <w:sz w:val="24"/>
          <w:szCs w:val="24"/>
        </w:rPr>
      </w:pPr>
      <w:r w:rsidRPr="00EE0562">
        <w:rPr>
          <w:rFonts w:ascii="Arial Black" w:hAnsi="Arial Black"/>
          <w:b/>
          <w:bCs/>
          <w:sz w:val="24"/>
          <w:szCs w:val="24"/>
        </w:rPr>
        <w:t>13-</w:t>
      </w:r>
      <w:r w:rsidR="00C95AF6">
        <w:rPr>
          <w:rFonts w:ascii="Arial Black" w:hAnsi="Arial Black"/>
          <w:b/>
          <w:bCs/>
          <w:sz w:val="24"/>
          <w:szCs w:val="24"/>
        </w:rPr>
        <w:t>30</w:t>
      </w:r>
    </w:p>
    <w:p w14:paraId="627225B0" w14:textId="77777777" w:rsidR="00EE0562" w:rsidRDefault="00EE0562" w:rsidP="00EE0562">
      <w:pPr>
        <w:pStyle w:val="NoSpacing"/>
        <w:rPr>
          <w:rFonts w:ascii="Times New Roman" w:hAnsi="Times New Roman"/>
          <w:b/>
          <w:bCs/>
          <w:sz w:val="24"/>
          <w:szCs w:val="24"/>
        </w:rPr>
      </w:pPr>
    </w:p>
    <w:p w14:paraId="06D50D98" w14:textId="77777777" w:rsidR="00EE0562" w:rsidRPr="00DC1D9B" w:rsidRDefault="00EE0562" w:rsidP="00EE0562">
      <w:pPr>
        <w:rPr>
          <w:rFonts w:ascii="Arial Black" w:hAnsi="Arial Black"/>
          <w:b/>
          <w:bCs/>
          <w:sz w:val="28"/>
          <w:szCs w:val="28"/>
        </w:rPr>
      </w:pPr>
      <w:bookmarkStart w:id="503" w:name="_Hlk41153061"/>
      <w:bookmarkStart w:id="504" w:name="_Hlk41296305"/>
      <w:r w:rsidRPr="00DC1D9B">
        <w:rPr>
          <w:rFonts w:ascii="Arial Black" w:hAnsi="Arial Black"/>
          <w:b/>
          <w:bCs/>
          <w:sz w:val="28"/>
          <w:szCs w:val="28"/>
        </w:rPr>
        <w:t xml:space="preserve">IL:  STROKE PATIENT </w:t>
      </w:r>
      <w:r>
        <w:rPr>
          <w:rFonts w:ascii="Arial Black" w:hAnsi="Arial Black"/>
          <w:b/>
          <w:bCs/>
          <w:sz w:val="28"/>
          <w:szCs w:val="28"/>
        </w:rPr>
        <w:t xml:space="preserve">WHO RAN OUT </w:t>
      </w:r>
      <w:r w:rsidRPr="00DC1D9B">
        <w:rPr>
          <w:rFonts w:ascii="Arial Black" w:hAnsi="Arial Black"/>
          <w:b/>
          <w:bCs/>
          <w:sz w:val="28"/>
          <w:szCs w:val="28"/>
        </w:rPr>
        <w:t xml:space="preserve">HOME – </w:t>
      </w:r>
      <w:r>
        <w:rPr>
          <w:rFonts w:ascii="Arial Black" w:hAnsi="Arial Black"/>
          <w:b/>
          <w:bCs/>
          <w:sz w:val="28"/>
          <w:szCs w:val="28"/>
        </w:rPr>
        <w:t>EMS TACKLED ON DRIVEWAY - LAWSUIT PROCEED, FACTS IN DISPUTE</w:t>
      </w:r>
    </w:p>
    <w:p w14:paraId="36772576" w14:textId="77777777" w:rsidR="00EE0562" w:rsidRDefault="00EE0562" w:rsidP="00EE0562">
      <w:pPr>
        <w:rPr>
          <w:rFonts w:ascii="Times New Roman" w:hAnsi="Times New Roman"/>
          <w:sz w:val="24"/>
          <w:szCs w:val="24"/>
        </w:rPr>
      </w:pPr>
      <w:r w:rsidRPr="004E2C24">
        <w:rPr>
          <w:rFonts w:ascii="Times New Roman" w:hAnsi="Times New Roman"/>
          <w:sz w:val="24"/>
          <w:szCs w:val="24"/>
        </w:rPr>
        <w:t xml:space="preserve">On Aug. 28, 2019, in </w:t>
      </w:r>
      <w:r w:rsidRPr="004E2C24">
        <w:rPr>
          <w:rFonts w:ascii="Times New Roman" w:hAnsi="Times New Roman"/>
          <w:sz w:val="24"/>
          <w:szCs w:val="24"/>
          <w:u w:val="single"/>
        </w:rPr>
        <w:t>Douglas Johnson v. City of East Peoria, et al</w:t>
      </w:r>
      <w:r w:rsidRPr="004E2C24">
        <w:rPr>
          <w:rFonts w:ascii="Times New Roman" w:hAnsi="Times New Roman"/>
          <w:sz w:val="24"/>
          <w:szCs w:val="24"/>
        </w:rPr>
        <w:t xml:space="preserve">., </w:t>
      </w:r>
      <w:r>
        <w:rPr>
          <w:rFonts w:ascii="Times New Roman" w:hAnsi="Times New Roman"/>
          <w:sz w:val="24"/>
          <w:szCs w:val="24"/>
        </w:rPr>
        <w:t xml:space="preserve">U.S. District Court </w:t>
      </w:r>
      <w:r w:rsidRPr="004E2C24">
        <w:rPr>
          <w:rFonts w:ascii="Times New Roman" w:hAnsi="Times New Roman"/>
          <w:sz w:val="24"/>
          <w:szCs w:val="24"/>
        </w:rPr>
        <w:t>judge James E. Shadid</w:t>
      </w:r>
      <w:r>
        <w:rPr>
          <w:rFonts w:ascii="Times New Roman" w:hAnsi="Times New Roman"/>
          <w:sz w:val="24"/>
          <w:szCs w:val="24"/>
        </w:rPr>
        <w:t xml:space="preserve">, </w:t>
      </w:r>
      <w:r w:rsidRPr="004E2C24">
        <w:rPr>
          <w:rFonts w:ascii="Times New Roman" w:hAnsi="Times New Roman"/>
          <w:sz w:val="24"/>
          <w:szCs w:val="24"/>
        </w:rPr>
        <w:t>Central District of Illinois, Case No. 17-cv-1212-JES-JEH,</w:t>
      </w:r>
      <w:r>
        <w:rPr>
          <w:rFonts w:ascii="Times New Roman" w:hAnsi="Times New Roman"/>
          <w:sz w:val="24"/>
          <w:szCs w:val="24"/>
        </w:rPr>
        <w:t xml:space="preserve"> denied motion for summary judgment by the City and several paramedics; pre-trial discovery may now proceed unless they take an immediate appeal.  </w:t>
      </w:r>
      <w:hyperlink r:id="rId2275" w:history="1">
        <w:r w:rsidRPr="0075063D">
          <w:rPr>
            <w:rStyle w:val="Hyperlink"/>
            <w:rFonts w:ascii="Times New Roman" w:hAnsi="Times New Roman"/>
            <w:sz w:val="24"/>
            <w:szCs w:val="24"/>
          </w:rPr>
          <w:t>https://cases.justia.com/federal/district-courts/illinois/ilcdce/1:2017cv01212/69571/44/0.pdf?ts=1567070402</w:t>
        </w:r>
      </w:hyperlink>
      <w:bookmarkEnd w:id="503"/>
      <w:r>
        <w:rPr>
          <w:rFonts w:ascii="Times New Roman" w:hAnsi="Times New Roman"/>
          <w:sz w:val="24"/>
          <w:szCs w:val="24"/>
        </w:rPr>
        <w:t xml:space="preserve"> </w:t>
      </w:r>
    </w:p>
    <w:p w14:paraId="215248E9" w14:textId="77777777" w:rsidR="00EE0562" w:rsidRDefault="00EE0562" w:rsidP="00EE0562">
      <w:pPr>
        <w:ind w:firstLine="720"/>
        <w:rPr>
          <w:rFonts w:ascii="Times New Roman" w:hAnsi="Times New Roman"/>
          <w:sz w:val="24"/>
          <w:szCs w:val="24"/>
        </w:rPr>
      </w:pPr>
      <w:r>
        <w:rPr>
          <w:rFonts w:ascii="Times New Roman" w:hAnsi="Times New Roman"/>
          <w:sz w:val="24"/>
          <w:szCs w:val="24"/>
        </w:rPr>
        <w:t xml:space="preserve">Judge Shadid wrote: </w:t>
      </w:r>
    </w:p>
    <w:p w14:paraId="6CC3E091" w14:textId="77777777" w:rsidR="00EE0562" w:rsidRDefault="00EE0562" w:rsidP="00EE0562">
      <w:pPr>
        <w:ind w:left="1440"/>
        <w:rPr>
          <w:rFonts w:ascii="Times New Roman" w:hAnsi="Times New Roman"/>
          <w:sz w:val="24"/>
          <w:szCs w:val="24"/>
        </w:rPr>
      </w:pPr>
      <w:r>
        <w:rPr>
          <w:rFonts w:ascii="Times New Roman" w:hAnsi="Times New Roman"/>
          <w:sz w:val="24"/>
          <w:szCs w:val="24"/>
        </w:rPr>
        <w:t>“</w:t>
      </w:r>
      <w:r w:rsidRPr="00282EEF">
        <w:rPr>
          <w:rFonts w:ascii="Times New Roman" w:hAnsi="Times New Roman"/>
          <w:sz w:val="24"/>
          <w:szCs w:val="24"/>
        </w:rPr>
        <w:t xml:space="preserve">Between the bottom of the stairs and the front door, Plaintiff’s pants began to fall </w:t>
      </w:r>
      <w:proofErr w:type="gramStart"/>
      <w:r w:rsidRPr="00282EEF">
        <w:rPr>
          <w:rFonts w:ascii="Times New Roman" w:hAnsi="Times New Roman"/>
          <w:sz w:val="24"/>
          <w:szCs w:val="24"/>
        </w:rPr>
        <w:t>down</w:t>
      </w:r>
      <w:proofErr w:type="gramEnd"/>
      <w:r w:rsidRPr="00282EEF">
        <w:rPr>
          <w:rFonts w:ascii="Times New Roman" w:hAnsi="Times New Roman"/>
          <w:sz w:val="24"/>
          <w:szCs w:val="24"/>
        </w:rPr>
        <w:t xml:space="preserve"> and Defendant Sauder attempted to pull them up. (Docs. 37 at 8, 42 at 10). Plaintiff turned at least the top half of his body in a manner Defendants Riggenbach and Sauder state they found aggressive. (Docs. 37 at 8, 42 at 10). He then ran out the front door, down the front steps, and into the driveway, falling three times as he ran.</w:t>
      </w:r>
      <w:r>
        <w:rPr>
          <w:rFonts w:ascii="Times New Roman" w:hAnsi="Times New Roman"/>
          <w:sz w:val="24"/>
          <w:szCs w:val="24"/>
        </w:rPr>
        <w:t xml:space="preserve"> </w:t>
      </w:r>
      <w:r w:rsidRPr="001272AF">
        <w:rPr>
          <w:rFonts w:ascii="Times New Roman" w:hAnsi="Times New Roman"/>
          <w:sz w:val="24"/>
          <w:szCs w:val="24"/>
        </w:rPr>
        <w:t>*** What happened next is disputed in large part, but the parties agree that Defendant Sauder bear-hugged Plaintiff, both Defendant Sauder and Plaintiff ended up on the ground, and Defendants Duckworth, Riggenbach,</w:t>
      </w:r>
      <w:r>
        <w:rPr>
          <w:rFonts w:ascii="Times New Roman" w:hAnsi="Times New Roman"/>
          <w:sz w:val="24"/>
          <w:szCs w:val="24"/>
        </w:rPr>
        <w:t xml:space="preserve"> </w:t>
      </w:r>
      <w:r w:rsidRPr="001272AF">
        <w:rPr>
          <w:rFonts w:ascii="Times New Roman" w:hAnsi="Times New Roman"/>
          <w:sz w:val="24"/>
          <w:szCs w:val="24"/>
        </w:rPr>
        <w:t xml:space="preserve">and Sauder, along with Knaus, restrained Plaintiff on the ground. </w:t>
      </w:r>
    </w:p>
    <w:p w14:paraId="318B1748" w14:textId="77777777" w:rsidR="00EE0562" w:rsidRDefault="00EE0562" w:rsidP="00EE0562">
      <w:pPr>
        <w:ind w:left="1440"/>
        <w:rPr>
          <w:rFonts w:ascii="Times New Roman" w:hAnsi="Times New Roman"/>
          <w:sz w:val="24"/>
          <w:szCs w:val="24"/>
        </w:rPr>
      </w:pPr>
      <w:r w:rsidRPr="001272AF">
        <w:rPr>
          <w:rFonts w:ascii="Times New Roman" w:hAnsi="Times New Roman"/>
          <w:sz w:val="24"/>
          <w:szCs w:val="24"/>
        </w:rPr>
        <w:t xml:space="preserve">*** </w:t>
      </w:r>
    </w:p>
    <w:p w14:paraId="400901B1" w14:textId="77777777" w:rsidR="00EE0562" w:rsidRPr="00D82446" w:rsidRDefault="00EE0562" w:rsidP="00EE0562">
      <w:pPr>
        <w:pStyle w:val="NoSpacing"/>
        <w:ind w:left="1440"/>
        <w:rPr>
          <w:rFonts w:ascii="Times New Roman" w:hAnsi="Times New Roman"/>
          <w:sz w:val="24"/>
          <w:szCs w:val="24"/>
        </w:rPr>
      </w:pPr>
      <w:r w:rsidRPr="00D82446">
        <w:rPr>
          <w:rFonts w:ascii="Times New Roman" w:hAnsi="Times New Roman"/>
          <w:sz w:val="24"/>
          <w:szCs w:val="24"/>
        </w:rPr>
        <w:t>However, Plaintiff is correct that the state-created danger theory is not duplicative of his other claims. See Monfils v. Taylor, 165 F.3d 511, 515–517 (7th Cir. 1998) (recognizing the existence of a substantive due process claim for a state-created danger)</w:t>
      </w:r>
      <w:r>
        <w:rPr>
          <w:rFonts w:ascii="Times New Roman" w:hAnsi="Times New Roman"/>
          <w:sz w:val="24"/>
          <w:szCs w:val="24"/>
        </w:rPr>
        <w:t>….</w:t>
      </w:r>
      <w:r w:rsidRPr="00D82446">
        <w:rPr>
          <w:rFonts w:ascii="Times New Roman" w:hAnsi="Times New Roman"/>
          <w:sz w:val="24"/>
          <w:szCs w:val="24"/>
        </w:rPr>
        <w:t>Therefore, Plaintiff’s due process claim survives summary judgment on the state-created danger theory alone.</w:t>
      </w:r>
      <w:r>
        <w:rPr>
          <w:rFonts w:ascii="Times New Roman" w:hAnsi="Times New Roman"/>
          <w:sz w:val="24"/>
          <w:szCs w:val="24"/>
        </w:rPr>
        <w:t>”</w:t>
      </w:r>
    </w:p>
    <w:p w14:paraId="16C10B23" w14:textId="77777777" w:rsidR="00EE0562" w:rsidRPr="005E68F9" w:rsidRDefault="00EE0562" w:rsidP="00EE0562">
      <w:pPr>
        <w:pStyle w:val="NoSpacing"/>
        <w:rPr>
          <w:rFonts w:ascii="Times New Roman" w:hAnsi="Times New Roman"/>
          <w:b/>
          <w:bCs/>
          <w:sz w:val="24"/>
          <w:szCs w:val="24"/>
        </w:rPr>
      </w:pPr>
    </w:p>
    <w:p w14:paraId="7E4EEA26" w14:textId="3479B5E2" w:rsidR="00EE0562" w:rsidRDefault="00EE0562" w:rsidP="00EE0562">
      <w:pPr>
        <w:rPr>
          <w:rFonts w:ascii="Times New Roman" w:hAnsi="Times New Roman"/>
          <w:b/>
          <w:bCs/>
          <w:sz w:val="24"/>
          <w:szCs w:val="24"/>
        </w:rPr>
      </w:pPr>
      <w:bookmarkStart w:id="505" w:name="_Hlk41153080"/>
      <w:r w:rsidRPr="00995498">
        <w:rPr>
          <w:rFonts w:ascii="Times New Roman" w:hAnsi="Times New Roman"/>
          <w:b/>
          <w:bCs/>
          <w:sz w:val="24"/>
          <w:szCs w:val="24"/>
        </w:rPr>
        <w:lastRenderedPageBreak/>
        <w:t xml:space="preserve">Legal Lessons Learned: </w:t>
      </w:r>
      <w:r>
        <w:rPr>
          <w:rFonts w:ascii="Times New Roman" w:hAnsi="Times New Roman"/>
          <w:b/>
          <w:bCs/>
          <w:sz w:val="24"/>
          <w:szCs w:val="24"/>
        </w:rPr>
        <w:t>On an EMS run where there is a struggle with the patient, thoroughly documents on EMS run report the actions taken by each medic.   This will help avoid “facts in dispute” in any subsequent civil lawsuit, and any prosecution for assault.</w:t>
      </w:r>
    </w:p>
    <w:bookmarkEnd w:id="504"/>
    <w:bookmarkEnd w:id="505"/>
    <w:p w14:paraId="49E1905B" w14:textId="5E7CB9F1" w:rsidR="00E052A6" w:rsidRPr="00715CF2" w:rsidRDefault="00E052A6" w:rsidP="00E052A6">
      <w:pPr>
        <w:rPr>
          <w:rFonts w:ascii="Times New Roman" w:hAnsi="Times New Roman"/>
          <w:bCs/>
          <w:sz w:val="24"/>
          <w:szCs w:val="24"/>
        </w:rPr>
      </w:pPr>
    </w:p>
    <w:p w14:paraId="2AFE8B4F" w14:textId="0FBCDDD5" w:rsidR="00E26EA8" w:rsidRDefault="00E26EA8" w:rsidP="00EE0562">
      <w:pPr>
        <w:rPr>
          <w:rFonts w:ascii="Arial Black" w:hAnsi="Arial Black"/>
          <w:b/>
          <w:bCs/>
          <w:sz w:val="24"/>
          <w:szCs w:val="24"/>
        </w:rPr>
      </w:pPr>
    </w:p>
    <w:p w14:paraId="5B96F929" w14:textId="77777777" w:rsidR="00E052A6" w:rsidRPr="00EE0562" w:rsidRDefault="00E052A6" w:rsidP="00EE0562">
      <w:pPr>
        <w:rPr>
          <w:rFonts w:ascii="Arial Black" w:hAnsi="Arial Black"/>
          <w:b/>
          <w:bCs/>
          <w:sz w:val="24"/>
          <w:szCs w:val="24"/>
        </w:rPr>
      </w:pPr>
    </w:p>
    <w:p w14:paraId="3C435F2A" w14:textId="3D823A2F" w:rsidR="00EE0562" w:rsidRPr="00EE0562" w:rsidRDefault="00EE0562" w:rsidP="00EE0562">
      <w:pPr>
        <w:rPr>
          <w:rFonts w:ascii="Arial Black" w:hAnsi="Arial Black"/>
          <w:b/>
          <w:bCs/>
          <w:sz w:val="24"/>
          <w:szCs w:val="24"/>
        </w:rPr>
      </w:pPr>
      <w:r w:rsidRPr="00EE0562">
        <w:rPr>
          <w:rFonts w:ascii="Arial Black" w:hAnsi="Arial Black"/>
          <w:b/>
          <w:bCs/>
          <w:sz w:val="24"/>
          <w:szCs w:val="24"/>
        </w:rPr>
        <w:t>13-2</w:t>
      </w:r>
      <w:r w:rsidR="00C95AF6">
        <w:rPr>
          <w:rFonts w:ascii="Arial Black" w:hAnsi="Arial Black"/>
          <w:b/>
          <w:bCs/>
          <w:sz w:val="24"/>
          <w:szCs w:val="24"/>
        </w:rPr>
        <w:t>9</w:t>
      </w:r>
    </w:p>
    <w:p w14:paraId="06B476F8" w14:textId="77777777" w:rsidR="00EE0562" w:rsidRPr="00812C5F" w:rsidRDefault="00EE0562" w:rsidP="00EE0562">
      <w:pPr>
        <w:rPr>
          <w:rFonts w:ascii="Arial Black" w:hAnsi="Arial Black"/>
          <w:sz w:val="28"/>
          <w:szCs w:val="28"/>
        </w:rPr>
      </w:pPr>
      <w:bookmarkStart w:id="506" w:name="_Hlk41153139"/>
      <w:r w:rsidRPr="00812C5F">
        <w:rPr>
          <w:rFonts w:ascii="Arial Black" w:hAnsi="Arial Black"/>
          <w:sz w:val="28"/>
          <w:szCs w:val="28"/>
        </w:rPr>
        <w:t xml:space="preserve">MI: </w:t>
      </w:r>
      <w:r>
        <w:rPr>
          <w:rFonts w:ascii="Arial Black" w:hAnsi="Arial Black"/>
          <w:sz w:val="28"/>
          <w:szCs w:val="28"/>
        </w:rPr>
        <w:t>GURNEY TIPPED – LAWSUIT TO PROCEED - EMS DIDN’T TELL HOSPITAL OR DOCUMENT – X-RAYS SHOWED NECK FRACTURES</w:t>
      </w:r>
    </w:p>
    <w:p w14:paraId="5444BB7E" w14:textId="77777777" w:rsidR="00EE0562" w:rsidRDefault="00EE0562" w:rsidP="00EE0562">
      <w:pPr>
        <w:rPr>
          <w:rFonts w:ascii="Times New Roman" w:hAnsi="Times New Roman"/>
          <w:sz w:val="24"/>
          <w:szCs w:val="24"/>
        </w:rPr>
      </w:pPr>
      <w:r w:rsidRPr="003C36A2">
        <w:rPr>
          <w:rFonts w:ascii="Times New Roman" w:hAnsi="Times New Roman"/>
          <w:sz w:val="24"/>
          <w:szCs w:val="24"/>
        </w:rPr>
        <w:t xml:space="preserve">On Aug. 27, 2019, in </w:t>
      </w:r>
      <w:r w:rsidRPr="00235BC8">
        <w:rPr>
          <w:rFonts w:ascii="Times New Roman" w:hAnsi="Times New Roman"/>
          <w:sz w:val="24"/>
          <w:szCs w:val="24"/>
          <w:u w:val="single"/>
        </w:rPr>
        <w:t>Estate of Ralph Brown, by Victoria Brown, Personal Representative v. Sean Wolan and Jeffrey Vescio</w:t>
      </w:r>
      <w:r>
        <w:rPr>
          <w:rFonts w:ascii="Times New Roman" w:hAnsi="Times New Roman"/>
          <w:sz w:val="24"/>
          <w:szCs w:val="24"/>
        </w:rPr>
        <w:t xml:space="preserve">, the Michigan Court of Appeals, held (2 to 1) in an unpublished opinion, that the trial court judge properly denied the two paramedics’ governmental immunity motion to dismiss. </w:t>
      </w:r>
    </w:p>
    <w:bookmarkEnd w:id="506"/>
    <w:p w14:paraId="6BD9C1D6" w14:textId="77777777" w:rsidR="00EE0562" w:rsidRDefault="00EE0562" w:rsidP="00EE0562">
      <w:pPr>
        <w:rPr>
          <w:rFonts w:ascii="Times New Roman" w:hAnsi="Times New Roman"/>
          <w:sz w:val="24"/>
          <w:szCs w:val="24"/>
        </w:rPr>
      </w:pPr>
      <w:r>
        <w:rPr>
          <w:rFonts w:ascii="Times New Roman" w:hAnsi="Times New Roman"/>
          <w:sz w:val="24"/>
          <w:szCs w:val="24"/>
        </w:rPr>
        <w:tab/>
        <w:t xml:space="preserve">The 2-judge majority held: </w:t>
      </w:r>
    </w:p>
    <w:p w14:paraId="78885785" w14:textId="67A8BE8A" w:rsidR="00EE0562" w:rsidRDefault="00EE0562" w:rsidP="00EE0562">
      <w:pPr>
        <w:ind w:left="720"/>
        <w:rPr>
          <w:rFonts w:ascii="Times New Roman" w:hAnsi="Times New Roman"/>
          <w:sz w:val="24"/>
          <w:szCs w:val="24"/>
        </w:rPr>
      </w:pPr>
      <w:r>
        <w:rPr>
          <w:rFonts w:ascii="Times New Roman" w:hAnsi="Times New Roman"/>
          <w:sz w:val="24"/>
          <w:szCs w:val="24"/>
        </w:rPr>
        <w:t>“</w:t>
      </w:r>
      <w:r w:rsidRPr="00AC20EB">
        <w:rPr>
          <w:rFonts w:ascii="Times New Roman" w:hAnsi="Times New Roman"/>
          <w:sz w:val="24"/>
          <w:szCs w:val="24"/>
        </w:rPr>
        <w:t>The failure to report the incident has additional import on the issue of whether the conduct of the defendants was grossly negligent. They had an undisputed duty to make such a report. Indeed, Vescio acknowledged in his deposition that the incident should have been reported. Vescio testified that Wolan was responsible for documenting the ambulance run and communicating information to the ER staff. Wolan explained that he did not report or document the incident because he did not believe the decedent had</w:t>
      </w:r>
      <w:r>
        <w:rPr>
          <w:rFonts w:ascii="Times New Roman" w:hAnsi="Times New Roman"/>
          <w:sz w:val="24"/>
          <w:szCs w:val="24"/>
        </w:rPr>
        <w:t xml:space="preserve"> </w:t>
      </w:r>
      <w:r w:rsidRPr="00AC20EB">
        <w:rPr>
          <w:rFonts w:ascii="Times New Roman" w:hAnsi="Times New Roman"/>
          <w:sz w:val="24"/>
          <w:szCs w:val="24"/>
        </w:rPr>
        <w:t xml:space="preserve">been injured. </w:t>
      </w:r>
      <w:proofErr w:type="gramStart"/>
      <w:r w:rsidRPr="00AC20EB">
        <w:rPr>
          <w:rFonts w:ascii="Times New Roman" w:hAnsi="Times New Roman"/>
          <w:sz w:val="24"/>
          <w:szCs w:val="24"/>
        </w:rPr>
        <w:t>To</w:t>
      </w:r>
      <w:proofErr w:type="gramEnd"/>
      <w:r w:rsidRPr="00AC20EB">
        <w:rPr>
          <w:rFonts w:ascii="Times New Roman" w:hAnsi="Times New Roman"/>
          <w:sz w:val="24"/>
          <w:szCs w:val="24"/>
        </w:rPr>
        <w:t xml:space="preserve"> the contrary, </w:t>
      </w:r>
      <w:proofErr w:type="spellStart"/>
      <w:r w:rsidRPr="00AC20EB">
        <w:rPr>
          <w:rFonts w:ascii="Times New Roman" w:hAnsi="Times New Roman"/>
          <w:sz w:val="24"/>
          <w:szCs w:val="24"/>
        </w:rPr>
        <w:t>Everlove</w:t>
      </w:r>
      <w:proofErr w:type="spellEnd"/>
      <w:r>
        <w:rPr>
          <w:rFonts w:ascii="Times New Roman" w:hAnsi="Times New Roman"/>
          <w:sz w:val="24"/>
          <w:szCs w:val="24"/>
        </w:rPr>
        <w:t xml:space="preserve"> [expert witness]</w:t>
      </w:r>
      <w:r w:rsidRPr="00AC20EB">
        <w:rPr>
          <w:rFonts w:ascii="Times New Roman" w:hAnsi="Times New Roman"/>
          <w:sz w:val="24"/>
          <w:szCs w:val="24"/>
        </w:rPr>
        <w:t xml:space="preserve"> testified that the reporting of the incident,</w:t>
      </w:r>
      <w:r>
        <w:rPr>
          <w:rFonts w:ascii="Times New Roman" w:hAnsi="Times New Roman"/>
          <w:sz w:val="24"/>
          <w:szCs w:val="24"/>
        </w:rPr>
        <w:t xml:space="preserve"> </w:t>
      </w:r>
      <w:r w:rsidRPr="00AC20EB">
        <w:rPr>
          <w:rFonts w:ascii="Times New Roman" w:hAnsi="Times New Roman"/>
          <w:sz w:val="24"/>
          <w:szCs w:val="24"/>
        </w:rPr>
        <w:t>regardless of the paramedics’</w:t>
      </w:r>
      <w:r>
        <w:rPr>
          <w:rFonts w:ascii="Times New Roman" w:hAnsi="Times New Roman"/>
          <w:sz w:val="24"/>
          <w:szCs w:val="24"/>
        </w:rPr>
        <w:t xml:space="preserve"> </w:t>
      </w:r>
      <w:r w:rsidRPr="00AC20EB">
        <w:rPr>
          <w:rFonts w:ascii="Times New Roman" w:hAnsi="Times New Roman"/>
          <w:sz w:val="24"/>
          <w:szCs w:val="24"/>
        </w:rPr>
        <w:t>assessment of injury,</w:t>
      </w:r>
      <w:r>
        <w:rPr>
          <w:rFonts w:ascii="Times New Roman" w:hAnsi="Times New Roman"/>
          <w:sz w:val="24"/>
          <w:szCs w:val="24"/>
        </w:rPr>
        <w:t xml:space="preserve"> </w:t>
      </w:r>
      <w:r w:rsidRPr="00AC20EB">
        <w:rPr>
          <w:rFonts w:ascii="Times New Roman" w:hAnsi="Times New Roman"/>
          <w:sz w:val="24"/>
          <w:szCs w:val="24"/>
        </w:rPr>
        <w:t>was crucial to patient care at the hospital. Additionally,</w:t>
      </w:r>
      <w:r>
        <w:rPr>
          <w:rFonts w:ascii="Times New Roman" w:hAnsi="Times New Roman"/>
          <w:sz w:val="24"/>
          <w:szCs w:val="24"/>
        </w:rPr>
        <w:t xml:space="preserve"> </w:t>
      </w:r>
      <w:r w:rsidRPr="00AC20EB">
        <w:rPr>
          <w:rFonts w:ascii="Times New Roman" w:hAnsi="Times New Roman"/>
          <w:sz w:val="24"/>
          <w:szCs w:val="24"/>
        </w:rPr>
        <w:t>the veracity of Wolan’s testimony regarding his belief that there was no injury is</w:t>
      </w:r>
      <w:r>
        <w:rPr>
          <w:rFonts w:ascii="Times New Roman" w:hAnsi="Times New Roman"/>
          <w:sz w:val="24"/>
          <w:szCs w:val="24"/>
        </w:rPr>
        <w:t xml:space="preserve"> </w:t>
      </w:r>
      <w:r w:rsidRPr="00AC20EB">
        <w:rPr>
          <w:rFonts w:ascii="Times New Roman" w:hAnsi="Times New Roman"/>
          <w:sz w:val="24"/>
          <w:szCs w:val="24"/>
        </w:rPr>
        <w:t xml:space="preserve">belied by his partner Vescio’s description of the incident in his e-mail to his supervisors where he reported </w:t>
      </w:r>
      <w:proofErr w:type="gramStart"/>
      <w:r w:rsidRPr="00AC20EB">
        <w:rPr>
          <w:rFonts w:ascii="Times New Roman" w:hAnsi="Times New Roman"/>
          <w:sz w:val="24"/>
          <w:szCs w:val="24"/>
        </w:rPr>
        <w:t>that,</w:t>
      </w:r>
      <w:r>
        <w:rPr>
          <w:rFonts w:ascii="Times New Roman" w:hAnsi="Times New Roman"/>
          <w:sz w:val="24"/>
          <w:szCs w:val="24"/>
        </w:rPr>
        <w:t xml:space="preserve"> ‘</w:t>
      </w:r>
      <w:proofErr w:type="gramEnd"/>
      <w:r w:rsidRPr="00AC20EB">
        <w:rPr>
          <w:rFonts w:ascii="Times New Roman" w:hAnsi="Times New Roman"/>
          <w:sz w:val="24"/>
          <w:szCs w:val="24"/>
        </w:rPr>
        <w:t>the patient [was] hanging sideways reaching out while remaining belted onto the stretcher.</w:t>
      </w:r>
      <w:r>
        <w:rPr>
          <w:rFonts w:ascii="Times New Roman" w:hAnsi="Times New Roman"/>
          <w:sz w:val="24"/>
          <w:szCs w:val="24"/>
        </w:rPr>
        <w:t>’</w:t>
      </w:r>
      <w:r w:rsidRPr="00AC20EB">
        <w:rPr>
          <w:rFonts w:ascii="Times New Roman" w:hAnsi="Times New Roman"/>
          <w:sz w:val="24"/>
          <w:szCs w:val="24"/>
        </w:rPr>
        <w:t xml:space="preserve"> A rational juror thus could believe that the EMTs did not assess the patient and failed to even report the indecent to those charged with the patient’s medical care or record the incident in the transport record that</w:t>
      </w:r>
      <w:r>
        <w:rPr>
          <w:rFonts w:ascii="Times New Roman" w:hAnsi="Times New Roman"/>
          <w:sz w:val="24"/>
          <w:szCs w:val="24"/>
        </w:rPr>
        <w:t xml:space="preserve"> </w:t>
      </w:r>
      <w:r w:rsidRPr="00AC20EB">
        <w:rPr>
          <w:rFonts w:ascii="Times New Roman" w:hAnsi="Times New Roman"/>
          <w:sz w:val="24"/>
          <w:szCs w:val="24"/>
        </w:rPr>
        <w:t>would have been used by the hospital staff to inform patient care decisions. On this record,</w:t>
      </w:r>
      <w:r>
        <w:rPr>
          <w:rFonts w:ascii="Times New Roman" w:hAnsi="Times New Roman"/>
          <w:sz w:val="24"/>
          <w:szCs w:val="24"/>
        </w:rPr>
        <w:t xml:space="preserve"> </w:t>
      </w:r>
      <w:r w:rsidRPr="00AC20EB">
        <w:rPr>
          <w:rFonts w:ascii="Times New Roman" w:hAnsi="Times New Roman"/>
          <w:sz w:val="24"/>
          <w:szCs w:val="24"/>
        </w:rPr>
        <w:t xml:space="preserve">a reasonable juror could determine that the EMTs showed </w:t>
      </w:r>
      <w:r>
        <w:rPr>
          <w:rFonts w:ascii="Times New Roman" w:hAnsi="Times New Roman"/>
          <w:sz w:val="24"/>
          <w:szCs w:val="24"/>
        </w:rPr>
        <w:t>‘</w:t>
      </w:r>
      <w:r w:rsidRPr="00AC20EB">
        <w:rPr>
          <w:rFonts w:ascii="Times New Roman" w:hAnsi="Times New Roman"/>
          <w:sz w:val="24"/>
          <w:szCs w:val="24"/>
        </w:rPr>
        <w:t>a substantial lack of concern for whether an injury results.</w:t>
      </w:r>
      <w:r>
        <w:rPr>
          <w:rFonts w:ascii="Times New Roman" w:hAnsi="Times New Roman"/>
          <w:sz w:val="24"/>
          <w:szCs w:val="24"/>
        </w:rPr>
        <w:t>’</w:t>
      </w:r>
      <w:r w:rsidRPr="00AC20EB">
        <w:rPr>
          <w:rFonts w:ascii="Times New Roman" w:hAnsi="Times New Roman"/>
          <w:sz w:val="24"/>
          <w:szCs w:val="24"/>
        </w:rPr>
        <w:t xml:space="preserve"> Defendants’ failure </w:t>
      </w:r>
      <w:proofErr w:type="gramStart"/>
      <w:r w:rsidRPr="00AC20EB">
        <w:rPr>
          <w:rFonts w:ascii="Times New Roman" w:hAnsi="Times New Roman"/>
          <w:sz w:val="24"/>
          <w:szCs w:val="24"/>
        </w:rPr>
        <w:t>in</w:t>
      </w:r>
      <w:r>
        <w:rPr>
          <w:rFonts w:ascii="Times New Roman" w:hAnsi="Times New Roman"/>
          <w:sz w:val="24"/>
          <w:szCs w:val="24"/>
        </w:rPr>
        <w:t xml:space="preserve"> </w:t>
      </w:r>
      <w:r w:rsidRPr="00AC20EB">
        <w:rPr>
          <w:rFonts w:ascii="Times New Roman" w:hAnsi="Times New Roman"/>
          <w:sz w:val="24"/>
          <w:szCs w:val="24"/>
        </w:rPr>
        <w:t>regards</w:t>
      </w:r>
      <w:r>
        <w:rPr>
          <w:rFonts w:ascii="Times New Roman" w:hAnsi="Times New Roman"/>
          <w:sz w:val="24"/>
          <w:szCs w:val="24"/>
        </w:rPr>
        <w:t xml:space="preserve"> </w:t>
      </w:r>
      <w:r w:rsidRPr="00AC20EB">
        <w:rPr>
          <w:rFonts w:ascii="Times New Roman" w:hAnsi="Times New Roman"/>
          <w:sz w:val="24"/>
          <w:szCs w:val="24"/>
        </w:rPr>
        <w:t>to</w:t>
      </w:r>
      <w:proofErr w:type="gramEnd"/>
      <w:r w:rsidRPr="00AC20EB">
        <w:rPr>
          <w:rFonts w:ascii="Times New Roman" w:hAnsi="Times New Roman"/>
          <w:sz w:val="24"/>
          <w:szCs w:val="24"/>
        </w:rPr>
        <w:t xml:space="preserve"> reporting cannot be considered accidental.</w:t>
      </w:r>
      <w:r>
        <w:rPr>
          <w:rFonts w:ascii="Times New Roman" w:hAnsi="Times New Roman"/>
          <w:sz w:val="24"/>
          <w:szCs w:val="24"/>
        </w:rPr>
        <w:t>”</w:t>
      </w:r>
      <w:r w:rsidR="006114FF">
        <w:rPr>
          <w:rFonts w:ascii="Times New Roman" w:hAnsi="Times New Roman"/>
          <w:sz w:val="24"/>
          <w:szCs w:val="24"/>
        </w:rPr>
        <w:t xml:space="preserve"> </w:t>
      </w:r>
      <w:bookmarkStart w:id="507" w:name="_Hlk41153167"/>
      <w:r w:rsidR="00F37A4B">
        <w:fldChar w:fldCharType="begin"/>
      </w:r>
      <w:r w:rsidR="00F37A4B">
        <w:instrText xml:space="preserve"> HYPERLINK "https://casetext.com/case/estate-of-brown-v-wolan-1" </w:instrText>
      </w:r>
      <w:r w:rsidR="00F37A4B">
        <w:fldChar w:fldCharType="separate"/>
      </w:r>
      <w:r w:rsidR="006114FF" w:rsidRPr="002F304C">
        <w:rPr>
          <w:rStyle w:val="Hyperlink"/>
          <w:rFonts w:ascii="Times New Roman" w:hAnsi="Times New Roman"/>
          <w:sz w:val="24"/>
          <w:szCs w:val="24"/>
        </w:rPr>
        <w:t>https://casetext.com/case/estate-of-brown-v-wolan-1</w:t>
      </w:r>
      <w:r w:rsidR="00F37A4B">
        <w:rPr>
          <w:rStyle w:val="Hyperlink"/>
          <w:rFonts w:ascii="Times New Roman" w:hAnsi="Times New Roman"/>
          <w:sz w:val="24"/>
          <w:szCs w:val="24"/>
        </w:rPr>
        <w:fldChar w:fldCharType="end"/>
      </w:r>
      <w:r w:rsidR="006114FF">
        <w:rPr>
          <w:rFonts w:ascii="Times New Roman" w:hAnsi="Times New Roman"/>
          <w:sz w:val="24"/>
          <w:szCs w:val="24"/>
        </w:rPr>
        <w:t xml:space="preserve"> </w:t>
      </w:r>
    </w:p>
    <w:p w14:paraId="0EB5396D" w14:textId="77777777" w:rsidR="00EE0562" w:rsidRPr="00B922AC" w:rsidRDefault="00EE0562" w:rsidP="00EE0562">
      <w:pPr>
        <w:rPr>
          <w:rFonts w:ascii="Times New Roman" w:hAnsi="Times New Roman"/>
          <w:b/>
          <w:bCs/>
          <w:sz w:val="24"/>
          <w:szCs w:val="24"/>
        </w:rPr>
      </w:pPr>
      <w:r w:rsidRPr="00B922AC">
        <w:rPr>
          <w:rStyle w:val="Hyperlink"/>
          <w:rFonts w:ascii="Times New Roman" w:hAnsi="Times New Roman"/>
          <w:b/>
          <w:bCs/>
          <w:color w:val="auto"/>
          <w:sz w:val="24"/>
          <w:szCs w:val="24"/>
          <w:u w:val="none"/>
        </w:rPr>
        <w:t xml:space="preserve">Legal Lessons Learned: </w:t>
      </w:r>
      <w:r w:rsidRPr="00B922AC">
        <w:rPr>
          <w:rFonts w:ascii="Times New Roman" w:hAnsi="Times New Roman"/>
          <w:b/>
          <w:bCs/>
          <w:sz w:val="24"/>
          <w:szCs w:val="24"/>
        </w:rPr>
        <w:t xml:space="preserve"> When “things go bad” on a run, inform hospital and supervisors and document on EMS run report.  </w:t>
      </w:r>
    </w:p>
    <w:bookmarkEnd w:id="507"/>
    <w:p w14:paraId="30B86A34" w14:textId="4FA29876" w:rsidR="00E052A6" w:rsidRPr="00715CF2" w:rsidRDefault="00E052A6" w:rsidP="00E052A6">
      <w:pPr>
        <w:rPr>
          <w:rFonts w:ascii="Times New Roman" w:hAnsi="Times New Roman"/>
          <w:bCs/>
          <w:sz w:val="24"/>
          <w:szCs w:val="24"/>
        </w:rPr>
      </w:pPr>
    </w:p>
    <w:p w14:paraId="56BD87AA" w14:textId="400A5B86" w:rsidR="009F0F05" w:rsidRDefault="009F0F05" w:rsidP="00DE0F03">
      <w:pPr>
        <w:pStyle w:val="NoSpacing"/>
        <w:rPr>
          <w:rFonts w:ascii="Arial Black" w:hAnsi="Arial Black"/>
          <w:sz w:val="24"/>
          <w:szCs w:val="24"/>
        </w:rPr>
      </w:pPr>
    </w:p>
    <w:p w14:paraId="5CA039B7" w14:textId="77777777" w:rsidR="00E052A6" w:rsidRDefault="00E052A6" w:rsidP="00DE0F03">
      <w:pPr>
        <w:pStyle w:val="NoSpacing"/>
        <w:rPr>
          <w:rFonts w:ascii="Arial Black" w:hAnsi="Arial Black"/>
          <w:sz w:val="24"/>
          <w:szCs w:val="24"/>
        </w:rPr>
      </w:pPr>
    </w:p>
    <w:p w14:paraId="0078AE03" w14:textId="77777777" w:rsidR="00E052A6" w:rsidRDefault="00E052A6" w:rsidP="00DE0F03">
      <w:pPr>
        <w:pStyle w:val="NoSpacing"/>
        <w:rPr>
          <w:rFonts w:ascii="Arial Black" w:hAnsi="Arial Black"/>
          <w:sz w:val="24"/>
          <w:szCs w:val="24"/>
        </w:rPr>
      </w:pPr>
    </w:p>
    <w:p w14:paraId="162195F8" w14:textId="09D30BCF"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8</w:t>
      </w:r>
    </w:p>
    <w:p w14:paraId="4380E4F3" w14:textId="77777777" w:rsidR="00DE0F03" w:rsidRDefault="00DE0F03" w:rsidP="00DE0F03">
      <w:pPr>
        <w:pStyle w:val="NoSpacing"/>
        <w:rPr>
          <w:rFonts w:ascii="Arial Black" w:hAnsi="Arial Black"/>
          <w:b/>
          <w:bCs/>
          <w:sz w:val="28"/>
          <w:szCs w:val="28"/>
        </w:rPr>
      </w:pPr>
    </w:p>
    <w:p w14:paraId="389C0B17" w14:textId="25AA6CED" w:rsidR="002B1283" w:rsidRPr="00D5555E" w:rsidRDefault="002B1283" w:rsidP="002B1283">
      <w:pPr>
        <w:rPr>
          <w:rFonts w:ascii="Arial Black" w:hAnsi="Arial Black"/>
          <w:b/>
          <w:bCs/>
          <w:sz w:val="28"/>
          <w:szCs w:val="28"/>
        </w:rPr>
      </w:pPr>
      <w:bookmarkStart w:id="508" w:name="_Hlk41153261"/>
      <w:r w:rsidRPr="00D5555E">
        <w:rPr>
          <w:rFonts w:ascii="Arial Black" w:hAnsi="Arial Black"/>
          <w:b/>
          <w:bCs/>
          <w:sz w:val="28"/>
          <w:szCs w:val="28"/>
        </w:rPr>
        <w:t xml:space="preserve">IN: </w:t>
      </w:r>
      <w:r>
        <w:rPr>
          <w:rFonts w:ascii="Arial Black" w:hAnsi="Arial Black"/>
          <w:b/>
          <w:bCs/>
          <w:sz w:val="28"/>
          <w:szCs w:val="28"/>
        </w:rPr>
        <w:t>UNRESP. DRIVER – DRIVES OFF WHEN MEDIC SEES REVOLVER – CONV. WITHOUT GUN FOUND – MEDIC’S FIREARM KNOWLEDGE</w:t>
      </w:r>
    </w:p>
    <w:p w14:paraId="55625648" w14:textId="77777777" w:rsidR="002B1283" w:rsidRDefault="002B1283" w:rsidP="002B1283">
      <w:pPr>
        <w:rPr>
          <w:rFonts w:ascii="Times New Roman" w:hAnsi="Times New Roman"/>
          <w:sz w:val="24"/>
          <w:szCs w:val="24"/>
        </w:rPr>
      </w:pPr>
      <w:r w:rsidRPr="00D5555E">
        <w:rPr>
          <w:rFonts w:ascii="Times New Roman" w:hAnsi="Times New Roman"/>
          <w:sz w:val="24"/>
          <w:szCs w:val="24"/>
        </w:rPr>
        <w:t xml:space="preserve">On July 15, 2019, in </w:t>
      </w:r>
      <w:r w:rsidRPr="00D5555E">
        <w:rPr>
          <w:rFonts w:ascii="Times New Roman" w:hAnsi="Times New Roman"/>
          <w:sz w:val="24"/>
          <w:szCs w:val="24"/>
          <w:u w:val="single"/>
        </w:rPr>
        <w:t>Evan Michael Sapp v. State of Indiana</w:t>
      </w:r>
      <w:r w:rsidRPr="00D5555E">
        <w:rPr>
          <w:rFonts w:ascii="Times New Roman" w:hAnsi="Times New Roman"/>
          <w:sz w:val="24"/>
          <w:szCs w:val="24"/>
        </w:rPr>
        <w:t xml:space="preserve">, </w:t>
      </w:r>
      <w:r>
        <w:rPr>
          <w:rFonts w:ascii="Times New Roman" w:hAnsi="Times New Roman"/>
          <w:sz w:val="24"/>
          <w:szCs w:val="24"/>
        </w:rPr>
        <w:t xml:space="preserve">the Court of Appeals (3 to 0) upheld the jury’s conviction, even though no firearm was ever recovered.  He received 12-year sentence as a serious violent felon, based on prior burglary conviction.  </w:t>
      </w:r>
    </w:p>
    <w:p w14:paraId="3894FBB2" w14:textId="77777777" w:rsidR="002B1283" w:rsidRPr="005A0B47"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5A0B47">
        <w:rPr>
          <w:rFonts w:ascii="Times New Roman" w:hAnsi="Times New Roman"/>
          <w:sz w:val="24"/>
          <w:szCs w:val="24"/>
        </w:rPr>
        <w:t>We likewise reject Sapp’s broader argument that no reasonable trier of fact could have found from the evidence presented that what Osborne saw was a firearm (i.e., not a toy).</w:t>
      </w:r>
    </w:p>
    <w:p w14:paraId="4688B8F3" w14:textId="77777777" w:rsidR="002B1283" w:rsidRDefault="002B1283" w:rsidP="002B1283">
      <w:pPr>
        <w:pStyle w:val="NoSpacing"/>
        <w:ind w:left="720"/>
        <w:rPr>
          <w:rFonts w:ascii="Times New Roman" w:hAnsi="Times New Roman"/>
          <w:sz w:val="24"/>
          <w:szCs w:val="24"/>
        </w:rPr>
      </w:pPr>
      <w:r w:rsidRPr="005A0B47">
        <w:rPr>
          <w:rFonts w:ascii="Times New Roman" w:hAnsi="Times New Roman"/>
          <w:sz w:val="24"/>
          <w:szCs w:val="24"/>
        </w:rPr>
        <w:t>Osborne, who had decades of experience with guns,</w:t>
      </w:r>
      <w:r>
        <w:rPr>
          <w:rFonts w:ascii="Times New Roman" w:hAnsi="Times New Roman"/>
          <w:sz w:val="24"/>
          <w:szCs w:val="24"/>
        </w:rPr>
        <w:t xml:space="preserve"> </w:t>
      </w:r>
      <w:r w:rsidRPr="005A0B47">
        <w:rPr>
          <w:rFonts w:ascii="Times New Roman" w:hAnsi="Times New Roman"/>
          <w:sz w:val="24"/>
          <w:szCs w:val="24"/>
        </w:rPr>
        <w:t xml:space="preserve">testified in considerable detail about the gun that he saw, including its color, that it was a revolver, </w:t>
      </w:r>
      <w:proofErr w:type="gramStart"/>
      <w:r w:rsidRPr="005A0B47">
        <w:rPr>
          <w:rFonts w:ascii="Times New Roman" w:hAnsi="Times New Roman"/>
          <w:sz w:val="24"/>
          <w:szCs w:val="24"/>
        </w:rPr>
        <w:t>similar to</w:t>
      </w:r>
      <w:proofErr w:type="gramEnd"/>
      <w:r w:rsidRPr="005A0B47">
        <w:rPr>
          <w:rFonts w:ascii="Times New Roman" w:hAnsi="Times New Roman"/>
          <w:sz w:val="24"/>
          <w:szCs w:val="24"/>
        </w:rPr>
        <w:t xml:space="preserve"> one he owned, and had a </w:t>
      </w:r>
      <w:r>
        <w:rPr>
          <w:rFonts w:ascii="Times New Roman" w:hAnsi="Times New Roman"/>
          <w:sz w:val="24"/>
          <w:szCs w:val="24"/>
        </w:rPr>
        <w:t>‘</w:t>
      </w:r>
      <w:r w:rsidRPr="005A0B47">
        <w:rPr>
          <w:rFonts w:ascii="Times New Roman" w:hAnsi="Times New Roman"/>
          <w:sz w:val="24"/>
          <w:szCs w:val="24"/>
        </w:rPr>
        <w:t xml:space="preserve">trap </w:t>
      </w:r>
      <w:proofErr w:type="gramStart"/>
      <w:r w:rsidRPr="005A0B47">
        <w:rPr>
          <w:rFonts w:ascii="Times New Roman" w:hAnsi="Times New Roman"/>
          <w:sz w:val="24"/>
          <w:szCs w:val="24"/>
        </w:rPr>
        <w:t>door</w:t>
      </w:r>
      <w:r>
        <w:rPr>
          <w:rFonts w:ascii="Times New Roman" w:hAnsi="Times New Roman"/>
          <w:sz w:val="24"/>
          <w:szCs w:val="24"/>
        </w:rPr>
        <w:t>’</w:t>
      </w:r>
      <w:proofErr w:type="gramEnd"/>
      <w:r>
        <w:rPr>
          <w:rFonts w:ascii="Times New Roman" w:hAnsi="Times New Roman"/>
          <w:sz w:val="24"/>
          <w:szCs w:val="24"/>
        </w:rPr>
        <w:t xml:space="preserve"> </w:t>
      </w:r>
      <w:r w:rsidRPr="005A0B47">
        <w:rPr>
          <w:rFonts w:ascii="Times New Roman" w:hAnsi="Times New Roman"/>
          <w:sz w:val="24"/>
          <w:szCs w:val="24"/>
        </w:rPr>
        <w:t>feature consistent with small caliber pistols. Transcript Vol. II at 232, 235. He also said that, when he saw it, he did not think it was a toy and, in fact, was afraid for his safety when Sapp appeared to be reaching for it</w:t>
      </w:r>
      <w:r>
        <w:rPr>
          <w:rFonts w:ascii="Times New Roman" w:hAnsi="Times New Roman"/>
          <w:sz w:val="24"/>
          <w:szCs w:val="24"/>
        </w:rPr>
        <w:t>.”</w:t>
      </w:r>
    </w:p>
    <w:p w14:paraId="062C2197" w14:textId="77777777" w:rsidR="002B1283" w:rsidRPr="004F6070" w:rsidRDefault="002B1283" w:rsidP="002B1283">
      <w:pPr>
        <w:ind w:firstLine="720"/>
        <w:rPr>
          <w:rFonts w:ascii="Times New Roman" w:hAnsi="Times New Roman"/>
          <w:sz w:val="24"/>
          <w:szCs w:val="24"/>
        </w:rPr>
      </w:pPr>
      <w:hyperlink r:id="rId2276" w:history="1">
        <w:r w:rsidRPr="004F6070">
          <w:rPr>
            <w:rStyle w:val="Hyperlink"/>
            <w:rFonts w:ascii="Times New Roman" w:hAnsi="Times New Roman"/>
            <w:sz w:val="24"/>
            <w:szCs w:val="24"/>
          </w:rPr>
          <w:t>https://www.in.gov/judiciary/opinions/pdf/07151902rra.pdf</w:t>
        </w:r>
      </w:hyperlink>
      <w:r w:rsidRPr="004F6070">
        <w:rPr>
          <w:rFonts w:ascii="Times New Roman" w:hAnsi="Times New Roman"/>
          <w:sz w:val="24"/>
          <w:szCs w:val="24"/>
        </w:rPr>
        <w:t xml:space="preserve"> </w:t>
      </w:r>
    </w:p>
    <w:p w14:paraId="5ABAD75F" w14:textId="77777777" w:rsidR="002B1283" w:rsidRPr="00755833" w:rsidRDefault="002B1283" w:rsidP="002B1283">
      <w:pPr>
        <w:pStyle w:val="NoSpacing"/>
        <w:rPr>
          <w:rFonts w:ascii="Times New Roman" w:hAnsi="Times New Roman"/>
          <w:sz w:val="24"/>
          <w:szCs w:val="24"/>
        </w:rPr>
      </w:pPr>
    </w:p>
    <w:p w14:paraId="4CE535FF" w14:textId="77777777" w:rsidR="002B1283" w:rsidRDefault="002B1283" w:rsidP="002B1283">
      <w:pPr>
        <w:pStyle w:val="NoSpacing"/>
        <w:rPr>
          <w:rFonts w:ascii="Times New Roman" w:hAnsi="Times New Roman"/>
          <w:b/>
          <w:bCs/>
          <w:sz w:val="24"/>
          <w:szCs w:val="24"/>
        </w:rPr>
      </w:pPr>
      <w:r w:rsidRPr="00755833">
        <w:rPr>
          <w:rFonts w:ascii="Times New Roman" w:hAnsi="Times New Roman"/>
          <w:b/>
          <w:bCs/>
          <w:sz w:val="24"/>
          <w:szCs w:val="24"/>
        </w:rPr>
        <w:t xml:space="preserve">Legal Lessons Learned: </w:t>
      </w:r>
      <w:r>
        <w:rPr>
          <w:rFonts w:ascii="Times New Roman" w:hAnsi="Times New Roman"/>
          <w:b/>
          <w:bCs/>
          <w:sz w:val="24"/>
          <w:szCs w:val="24"/>
        </w:rPr>
        <w:t xml:space="preserve"> Paramedic’s long experience with firearms, and his written report to police shortly after the EMS run, were powerful evidence.</w:t>
      </w:r>
    </w:p>
    <w:p w14:paraId="1055535A" w14:textId="77777777" w:rsidR="002B1283" w:rsidRDefault="002B1283" w:rsidP="002B1283">
      <w:pPr>
        <w:pStyle w:val="NoSpacing"/>
        <w:rPr>
          <w:rFonts w:ascii="Times New Roman" w:hAnsi="Times New Roman"/>
          <w:b/>
          <w:bCs/>
          <w:sz w:val="24"/>
          <w:szCs w:val="24"/>
        </w:rPr>
      </w:pPr>
    </w:p>
    <w:p w14:paraId="346B63C3" w14:textId="77777777" w:rsidR="002B1283" w:rsidRDefault="002B1283" w:rsidP="002B1283">
      <w:pPr>
        <w:pStyle w:val="NoSpacing"/>
        <w:ind w:left="720"/>
        <w:rPr>
          <w:rFonts w:ascii="Times New Roman" w:hAnsi="Times New Roman"/>
          <w:sz w:val="24"/>
          <w:szCs w:val="24"/>
        </w:rPr>
      </w:pPr>
      <w:r w:rsidRPr="00F30DAD">
        <w:rPr>
          <w:rFonts w:ascii="Times New Roman" w:hAnsi="Times New Roman"/>
          <w:sz w:val="24"/>
          <w:szCs w:val="24"/>
        </w:rPr>
        <w:t>Note: Under prior Indiana case law, a firearm does not need to be recovered</w:t>
      </w:r>
      <w:r>
        <w:rPr>
          <w:rFonts w:ascii="Times New Roman" w:hAnsi="Times New Roman"/>
          <w:sz w:val="24"/>
          <w:szCs w:val="24"/>
        </w:rPr>
        <w:t xml:space="preserve"> to convict for unlawful possession</w:t>
      </w:r>
      <w:r w:rsidRPr="00F30DAD">
        <w:rPr>
          <w:rFonts w:ascii="Times New Roman" w:hAnsi="Times New Roman"/>
          <w:sz w:val="24"/>
          <w:szCs w:val="24"/>
        </w:rPr>
        <w:t xml:space="preserve">.  </w:t>
      </w:r>
    </w:p>
    <w:p w14:paraId="16DEEEEF" w14:textId="77777777" w:rsidR="002B1283" w:rsidRDefault="002B1283" w:rsidP="002B1283">
      <w:pPr>
        <w:pStyle w:val="NoSpacing"/>
        <w:ind w:left="720"/>
        <w:rPr>
          <w:rFonts w:ascii="Times New Roman" w:hAnsi="Times New Roman"/>
          <w:sz w:val="24"/>
          <w:szCs w:val="24"/>
        </w:rPr>
      </w:pPr>
    </w:p>
    <w:p w14:paraId="0180F80E" w14:textId="77777777" w:rsidR="002B1283" w:rsidRDefault="002B1283" w:rsidP="002B1283">
      <w:pPr>
        <w:pStyle w:val="NoSpacing"/>
        <w:ind w:left="1440"/>
        <w:rPr>
          <w:rFonts w:ascii="Times New Roman" w:hAnsi="Times New Roman"/>
          <w:sz w:val="24"/>
          <w:szCs w:val="24"/>
        </w:rPr>
      </w:pPr>
      <w:bookmarkStart w:id="509" w:name="_Hlk41153282"/>
      <w:bookmarkEnd w:id="508"/>
      <w:r>
        <w:rPr>
          <w:rFonts w:ascii="Times New Roman" w:hAnsi="Times New Roman"/>
          <w:sz w:val="24"/>
          <w:szCs w:val="24"/>
        </w:rPr>
        <w:t>“</w:t>
      </w:r>
      <w:r w:rsidRPr="005A0B47">
        <w:rPr>
          <w:rFonts w:ascii="Times New Roman" w:hAnsi="Times New Roman"/>
          <w:sz w:val="24"/>
          <w:szCs w:val="24"/>
        </w:rPr>
        <w:t>Sapp acknowledges that our courts have sustained a conviction in circumstances when the firearm was not located after the defendant’s arrest</w:t>
      </w:r>
      <w:r>
        <w:rPr>
          <w:rFonts w:ascii="Times New Roman" w:hAnsi="Times New Roman"/>
          <w:sz w:val="24"/>
          <w:szCs w:val="24"/>
        </w:rPr>
        <w:t xml:space="preserve"> </w:t>
      </w:r>
      <w:r w:rsidRPr="005A0B47">
        <w:rPr>
          <w:rFonts w:ascii="Times New Roman" w:hAnsi="Times New Roman"/>
          <w:sz w:val="24"/>
          <w:szCs w:val="24"/>
        </w:rPr>
        <w:t>but urges that, unlike where a defendant displayed or used a weapon, he did nothing “to signify or imply that the item [in his truck]was a ‘firearm.’” Id. at 5. We disagree</w:t>
      </w:r>
      <w:r>
        <w:rPr>
          <w:rFonts w:ascii="Times New Roman" w:hAnsi="Times New Roman"/>
          <w:sz w:val="24"/>
          <w:szCs w:val="24"/>
        </w:rPr>
        <w:t xml:space="preserve">… </w:t>
      </w:r>
      <w:r w:rsidRPr="005A0B47">
        <w:rPr>
          <w:rFonts w:ascii="Times New Roman" w:hAnsi="Times New Roman"/>
          <w:sz w:val="24"/>
          <w:szCs w:val="24"/>
        </w:rPr>
        <w:t xml:space="preserve">Footnote 1:  See e.g., </w:t>
      </w:r>
      <w:proofErr w:type="gramStart"/>
      <w:r w:rsidRPr="005A0B47">
        <w:rPr>
          <w:rFonts w:ascii="Times New Roman" w:hAnsi="Times New Roman"/>
          <w:sz w:val="24"/>
          <w:szCs w:val="24"/>
        </w:rPr>
        <w:t>Gray</w:t>
      </w:r>
      <w:proofErr w:type="gramEnd"/>
      <w:r w:rsidRPr="005A0B47">
        <w:rPr>
          <w:rFonts w:ascii="Times New Roman" w:hAnsi="Times New Roman"/>
          <w:sz w:val="24"/>
          <w:szCs w:val="24"/>
        </w:rPr>
        <w:t xml:space="preserve"> v. State, 903 N.E.2d 940, 943 (Ind. 2009)</w:t>
      </w:r>
      <w:r>
        <w:rPr>
          <w:rFonts w:ascii="Times New Roman" w:hAnsi="Times New Roman"/>
          <w:sz w:val="24"/>
          <w:szCs w:val="24"/>
        </w:rPr>
        <w:t xml:space="preserve">. </w:t>
      </w:r>
    </w:p>
    <w:p w14:paraId="0CA56E6E" w14:textId="77777777" w:rsidR="00AE0ACC" w:rsidRDefault="00AE0ACC" w:rsidP="00AE0ACC">
      <w:pPr>
        <w:pStyle w:val="NoSpacing"/>
        <w:rPr>
          <w:sz w:val="24"/>
          <w:szCs w:val="24"/>
        </w:rPr>
      </w:pPr>
    </w:p>
    <w:bookmarkEnd w:id="509"/>
    <w:p w14:paraId="58E5DFF2" w14:textId="77777777" w:rsidR="002B1283" w:rsidRDefault="002B1283" w:rsidP="00527EDF">
      <w:pPr>
        <w:pStyle w:val="NoSpacing"/>
        <w:rPr>
          <w:sz w:val="24"/>
          <w:szCs w:val="24"/>
        </w:rPr>
      </w:pPr>
    </w:p>
    <w:p w14:paraId="6DD9D18B" w14:textId="77777777" w:rsidR="002B1283" w:rsidRDefault="002B1283" w:rsidP="00527EDF">
      <w:pPr>
        <w:pStyle w:val="NoSpacing"/>
        <w:rPr>
          <w:sz w:val="24"/>
          <w:szCs w:val="24"/>
        </w:rPr>
      </w:pPr>
    </w:p>
    <w:p w14:paraId="4BFCFE08" w14:textId="2408E0FA"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7</w:t>
      </w:r>
    </w:p>
    <w:p w14:paraId="7795604B" w14:textId="77777777" w:rsidR="002B1283" w:rsidRDefault="002B1283" w:rsidP="00527EDF">
      <w:pPr>
        <w:pStyle w:val="NoSpacing"/>
        <w:rPr>
          <w:sz w:val="24"/>
          <w:szCs w:val="24"/>
        </w:rPr>
      </w:pPr>
    </w:p>
    <w:p w14:paraId="1E4A0418" w14:textId="5848B004" w:rsidR="00527EDF" w:rsidRDefault="00527EDF" w:rsidP="00527EDF">
      <w:pPr>
        <w:pStyle w:val="NoSpacing"/>
        <w:rPr>
          <w:rFonts w:ascii="Arial Black" w:hAnsi="Arial Black" w:cs="Arial"/>
          <w:sz w:val="28"/>
          <w:szCs w:val="28"/>
        </w:rPr>
      </w:pPr>
      <w:bookmarkStart w:id="510" w:name="_Hlk41153336"/>
      <w:r w:rsidRPr="00AF5E92">
        <w:rPr>
          <w:rFonts w:ascii="Arial Black" w:hAnsi="Arial Black" w:cs="Arial"/>
          <w:sz w:val="28"/>
          <w:szCs w:val="28"/>
        </w:rPr>
        <w:t>CA:</w:t>
      </w:r>
      <w:r>
        <w:rPr>
          <w:rFonts w:ascii="Arial Black" w:hAnsi="Arial Black" w:cs="Arial"/>
          <w:sz w:val="28"/>
          <w:szCs w:val="28"/>
        </w:rPr>
        <w:t xml:space="preserve"> FLIGHT PARAM. KILLED HELICOPTER CRASH – ONLY WORKERS COMP - CAN’T SUE HELICOPTER CO. - “SPECIAL EMPLOYEE”</w:t>
      </w:r>
    </w:p>
    <w:p w14:paraId="74502AEE" w14:textId="77777777" w:rsidR="00527EDF" w:rsidRDefault="00527EDF" w:rsidP="00527EDF">
      <w:pPr>
        <w:pStyle w:val="NoSpacing"/>
        <w:rPr>
          <w:rFonts w:ascii="Arial Black" w:hAnsi="Arial Black" w:cs="Arial"/>
          <w:sz w:val="28"/>
          <w:szCs w:val="28"/>
        </w:rPr>
      </w:pPr>
    </w:p>
    <w:p w14:paraId="456FE34B" w14:textId="1E210882" w:rsidR="00527EDF" w:rsidRDefault="00527EDF" w:rsidP="00527EDF">
      <w:pPr>
        <w:pStyle w:val="NoSpacing"/>
        <w:rPr>
          <w:rFonts w:ascii="Times New Roman" w:hAnsi="Times New Roman"/>
          <w:sz w:val="24"/>
          <w:szCs w:val="24"/>
        </w:rPr>
      </w:pPr>
      <w:r w:rsidRPr="003316F4">
        <w:rPr>
          <w:rFonts w:ascii="Times New Roman" w:hAnsi="Times New Roman"/>
          <w:sz w:val="24"/>
          <w:szCs w:val="24"/>
        </w:rPr>
        <w:t xml:space="preserve">On May 24, 2019, in </w:t>
      </w:r>
      <w:r w:rsidRPr="003316F4">
        <w:rPr>
          <w:rFonts w:ascii="Times New Roman" w:hAnsi="Times New Roman"/>
          <w:sz w:val="24"/>
          <w:szCs w:val="24"/>
          <w:u w:val="single"/>
        </w:rPr>
        <w:t>Brooke Juarez v. Rogers Helicopters, Inc.</w:t>
      </w:r>
      <w:r>
        <w:rPr>
          <w:rFonts w:ascii="Times New Roman" w:hAnsi="Times New Roman"/>
          <w:sz w:val="24"/>
          <w:szCs w:val="24"/>
          <w:u w:val="single"/>
        </w:rPr>
        <w:t>, et al.</w:t>
      </w:r>
      <w:r>
        <w:rPr>
          <w:rFonts w:ascii="Times New Roman" w:hAnsi="Times New Roman"/>
          <w:sz w:val="24"/>
          <w:szCs w:val="24"/>
        </w:rPr>
        <w:t xml:space="preserve">, the Court of Appeals for California, Fifth Appellate District, held (3 to 0) in an unpublished decision, the trial court properly granted summary judgment to the helicopter company; the deceased paramedic was a “general employee” of American Airborne company, and a “special employee” of Rogers Helicopter, and therefore workers compensation was the sole remedy for the wife of the deceased paramedic. </w:t>
      </w:r>
    </w:p>
    <w:p w14:paraId="706F7D86" w14:textId="77777777" w:rsidR="00527EDF" w:rsidRPr="003316F4" w:rsidRDefault="00527EDF" w:rsidP="00527EDF">
      <w:pPr>
        <w:pStyle w:val="NoSpacing"/>
        <w:rPr>
          <w:rFonts w:ascii="Times New Roman" w:hAnsi="Times New Roman"/>
          <w:sz w:val="24"/>
          <w:szCs w:val="24"/>
        </w:rPr>
      </w:pPr>
    </w:p>
    <w:p w14:paraId="60BEB463"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3316F4">
        <w:rPr>
          <w:rFonts w:ascii="Times New Roman" w:hAnsi="Times New Roman"/>
          <w:sz w:val="24"/>
          <w:szCs w:val="24"/>
        </w:rPr>
        <w:t xml:space="preserve">In sum, based on the facts and circumstances of this case, since </w:t>
      </w:r>
      <w:proofErr w:type="spellStart"/>
      <w:r w:rsidRPr="003316F4">
        <w:rPr>
          <w:rFonts w:ascii="Times New Roman" w:hAnsi="Times New Roman"/>
          <w:sz w:val="24"/>
          <w:szCs w:val="24"/>
        </w:rPr>
        <w:t>SkyLife</w:t>
      </w:r>
      <w:proofErr w:type="spellEnd"/>
      <w:r>
        <w:rPr>
          <w:rFonts w:ascii="Times New Roman" w:hAnsi="Times New Roman"/>
          <w:sz w:val="24"/>
          <w:szCs w:val="24"/>
        </w:rPr>
        <w:t xml:space="preserve"> </w:t>
      </w:r>
      <w:r w:rsidRPr="003316F4">
        <w:rPr>
          <w:rFonts w:ascii="Times New Roman" w:hAnsi="Times New Roman"/>
          <w:sz w:val="24"/>
          <w:szCs w:val="24"/>
        </w:rPr>
        <w:t xml:space="preserve">was Juarez’s special employer, </w:t>
      </w:r>
      <w:proofErr w:type="spellStart"/>
      <w:r w:rsidRPr="003316F4">
        <w:rPr>
          <w:rFonts w:ascii="Times New Roman" w:hAnsi="Times New Roman"/>
          <w:sz w:val="24"/>
          <w:szCs w:val="24"/>
        </w:rPr>
        <w:t>SkyLife’s</w:t>
      </w:r>
      <w:proofErr w:type="spellEnd"/>
      <w:r w:rsidRPr="003316F4">
        <w:rPr>
          <w:rFonts w:ascii="Times New Roman" w:hAnsi="Times New Roman"/>
          <w:sz w:val="24"/>
          <w:szCs w:val="24"/>
        </w:rPr>
        <w:t xml:space="preserve"> general partners, American Airborne and Rogers Helicopters, are also Juarez’s special employers. As such, respondents are all immune from tort </w:t>
      </w:r>
      <w:proofErr w:type="gramStart"/>
      <w:r w:rsidRPr="003316F4">
        <w:rPr>
          <w:rFonts w:ascii="Times New Roman" w:hAnsi="Times New Roman"/>
          <w:sz w:val="24"/>
          <w:szCs w:val="24"/>
        </w:rPr>
        <w:t>liability</w:t>
      </w:r>
      <w:proofErr w:type="gramEnd"/>
      <w:r w:rsidRPr="003316F4">
        <w:rPr>
          <w:rFonts w:ascii="Times New Roman" w:hAnsi="Times New Roman"/>
          <w:sz w:val="24"/>
          <w:szCs w:val="24"/>
        </w:rPr>
        <w:t xml:space="preserve"> and the trial court properly granted summary judgment in their favor</w:t>
      </w:r>
      <w:r>
        <w:rPr>
          <w:rFonts w:ascii="Times New Roman" w:hAnsi="Times New Roman"/>
          <w:sz w:val="24"/>
          <w:szCs w:val="24"/>
        </w:rPr>
        <w:t>.”</w:t>
      </w:r>
    </w:p>
    <w:p w14:paraId="0F1B1C80" w14:textId="41BCC0DA" w:rsidR="00527EDF" w:rsidRDefault="00527EDF" w:rsidP="00527EDF">
      <w:pPr>
        <w:pStyle w:val="NoSpacing"/>
        <w:ind w:left="720"/>
        <w:rPr>
          <w:rFonts w:ascii="Times New Roman" w:hAnsi="Times New Roman"/>
          <w:sz w:val="24"/>
          <w:szCs w:val="24"/>
        </w:rPr>
      </w:pPr>
      <w:hyperlink r:id="rId2277" w:history="1">
        <w:r w:rsidRPr="00821231">
          <w:rPr>
            <w:rStyle w:val="Hyperlink"/>
            <w:rFonts w:ascii="Times New Roman" w:hAnsi="Times New Roman"/>
            <w:sz w:val="24"/>
            <w:szCs w:val="24"/>
          </w:rPr>
          <w:t>https://www.courts.ca.gov/opinions/nonpub/F076225.PDF</w:t>
        </w:r>
      </w:hyperlink>
      <w:r>
        <w:rPr>
          <w:rFonts w:ascii="Times New Roman" w:hAnsi="Times New Roman"/>
          <w:sz w:val="24"/>
          <w:szCs w:val="24"/>
        </w:rPr>
        <w:t xml:space="preserve"> </w:t>
      </w:r>
    </w:p>
    <w:p w14:paraId="013F37C7" w14:textId="714B72D4" w:rsidR="00527EDF" w:rsidRDefault="00527EDF" w:rsidP="00527EDF">
      <w:pPr>
        <w:pStyle w:val="NoSpacing"/>
        <w:ind w:left="720"/>
        <w:rPr>
          <w:rFonts w:ascii="Times New Roman" w:hAnsi="Times New Roman"/>
          <w:sz w:val="24"/>
          <w:szCs w:val="24"/>
        </w:rPr>
      </w:pPr>
    </w:p>
    <w:p w14:paraId="5500346D" w14:textId="77777777" w:rsidR="00527EDF" w:rsidRPr="00842296" w:rsidRDefault="00527EDF" w:rsidP="00527EDF">
      <w:pPr>
        <w:pStyle w:val="NoSpacing"/>
        <w:rPr>
          <w:rFonts w:ascii="Times New Roman" w:hAnsi="Times New Roman"/>
          <w:b/>
          <w:sz w:val="24"/>
          <w:szCs w:val="24"/>
        </w:rPr>
      </w:pPr>
      <w:r w:rsidRPr="00842296">
        <w:rPr>
          <w:rFonts w:ascii="Times New Roman" w:hAnsi="Times New Roman"/>
          <w:b/>
          <w:sz w:val="24"/>
          <w:szCs w:val="24"/>
        </w:rPr>
        <w:t xml:space="preserve">Legal Lessons Learned: </w:t>
      </w:r>
      <w:r>
        <w:rPr>
          <w:rFonts w:ascii="Times New Roman" w:hAnsi="Times New Roman"/>
          <w:b/>
          <w:sz w:val="24"/>
          <w:szCs w:val="24"/>
        </w:rPr>
        <w:t xml:space="preserve"> Flight paramedics may be considered “dual employees” in many states; and workers comp. is their sole remedy for injury or death in those states.  </w:t>
      </w:r>
    </w:p>
    <w:p w14:paraId="03E80DE5" w14:textId="77777777" w:rsidR="00527EDF" w:rsidRPr="00842296" w:rsidRDefault="00527EDF" w:rsidP="00527EDF">
      <w:pPr>
        <w:pStyle w:val="NoSpacing"/>
        <w:ind w:firstLine="720"/>
        <w:rPr>
          <w:rFonts w:ascii="Times New Roman" w:hAnsi="Times New Roman"/>
          <w:sz w:val="24"/>
          <w:szCs w:val="24"/>
        </w:rPr>
      </w:pPr>
      <w:r w:rsidRPr="00842296">
        <w:rPr>
          <w:rFonts w:ascii="Times New Roman" w:hAnsi="Times New Roman"/>
          <w:sz w:val="24"/>
          <w:szCs w:val="24"/>
        </w:rPr>
        <w:t>See article on the crash:</w:t>
      </w:r>
    </w:p>
    <w:p w14:paraId="7869CAED" w14:textId="77777777" w:rsidR="00527EDF" w:rsidRDefault="00527EDF" w:rsidP="00527EDF">
      <w:pPr>
        <w:pStyle w:val="NoSpacing"/>
        <w:ind w:firstLine="720"/>
      </w:pPr>
      <w:hyperlink r:id="rId2278" w:history="1">
        <w:r w:rsidRPr="005B46AA">
          <w:rPr>
            <w:rStyle w:val="Hyperlink"/>
          </w:rPr>
          <w:t>https://www.fresnobee.com/news/local/article167656267.html</w:t>
        </w:r>
      </w:hyperlink>
      <w:r>
        <w:t xml:space="preserve"> </w:t>
      </w:r>
    </w:p>
    <w:p w14:paraId="0D9AE3E8" w14:textId="77777777" w:rsidR="00527EDF" w:rsidRPr="00DE64B9" w:rsidRDefault="00527EDF" w:rsidP="00527EDF">
      <w:pPr>
        <w:pStyle w:val="NoSpacing"/>
        <w:ind w:left="720"/>
        <w:rPr>
          <w:rFonts w:ascii="Times New Roman" w:hAnsi="Times New Roman"/>
          <w:sz w:val="24"/>
          <w:szCs w:val="24"/>
        </w:rPr>
      </w:pPr>
      <w:r w:rsidRPr="00DE64B9">
        <w:rPr>
          <w:rFonts w:ascii="Times New Roman" w:hAnsi="Times New Roman"/>
          <w:sz w:val="24"/>
          <w:szCs w:val="24"/>
        </w:rPr>
        <w:t xml:space="preserve">See trial court’s summary judgment decision: </w:t>
      </w:r>
      <w:hyperlink r:id="rId2279" w:history="1">
        <w:r w:rsidRPr="005B46AA">
          <w:rPr>
            <w:rStyle w:val="Hyperlink"/>
            <w:rFonts w:ascii="Times New Roman" w:hAnsi="Times New Roman"/>
            <w:sz w:val="24"/>
            <w:szCs w:val="24"/>
          </w:rPr>
          <w:t>https://assets.documentcloud.org/documents/3933644/Order-Granting-Summary-Judgment.pdf</w:t>
        </w:r>
      </w:hyperlink>
      <w:r w:rsidRPr="00DE64B9">
        <w:rPr>
          <w:rFonts w:ascii="Times New Roman" w:hAnsi="Times New Roman"/>
          <w:sz w:val="24"/>
          <w:szCs w:val="24"/>
        </w:rPr>
        <w:t xml:space="preserve"> </w:t>
      </w:r>
    </w:p>
    <w:p w14:paraId="0A25EDDD" w14:textId="77777777" w:rsidR="00527EDF" w:rsidRPr="00DE64B9" w:rsidRDefault="00527EDF" w:rsidP="00527EDF">
      <w:pPr>
        <w:pStyle w:val="NoSpacing"/>
        <w:ind w:left="720"/>
        <w:rPr>
          <w:rFonts w:ascii="Times New Roman" w:hAnsi="Times New Roman"/>
          <w:sz w:val="24"/>
          <w:szCs w:val="24"/>
        </w:rPr>
      </w:pPr>
      <w:r w:rsidRPr="00DE64B9">
        <w:rPr>
          <w:rFonts w:ascii="Times New Roman" w:hAnsi="Times New Roman"/>
          <w:sz w:val="24"/>
          <w:szCs w:val="24"/>
        </w:rPr>
        <w:t>See this article about air</w:t>
      </w:r>
      <w:r>
        <w:rPr>
          <w:rFonts w:ascii="Times New Roman" w:hAnsi="Times New Roman"/>
          <w:sz w:val="24"/>
          <w:szCs w:val="24"/>
        </w:rPr>
        <w:t xml:space="preserve"> </w:t>
      </w:r>
      <w:r w:rsidRPr="00DE64B9">
        <w:rPr>
          <w:rFonts w:ascii="Times New Roman" w:hAnsi="Times New Roman"/>
          <w:sz w:val="24"/>
          <w:szCs w:val="24"/>
        </w:rPr>
        <w:t xml:space="preserve">care helicopter crashes: </w:t>
      </w:r>
      <w:hyperlink r:id="rId2280" w:history="1">
        <w:r w:rsidRPr="005B46AA">
          <w:rPr>
            <w:rStyle w:val="Hyperlink"/>
            <w:rFonts w:ascii="Times New Roman" w:hAnsi="Times New Roman"/>
            <w:sz w:val="24"/>
            <w:szCs w:val="24"/>
          </w:rPr>
          <w:t>https://www.plaintiffmagazine.com/recent-issues/item/ems-helicopter-crashes-raise-complex-liability-issues</w:t>
        </w:r>
      </w:hyperlink>
      <w:r w:rsidRPr="00DE64B9">
        <w:rPr>
          <w:rFonts w:ascii="Times New Roman" w:hAnsi="Times New Roman"/>
          <w:sz w:val="24"/>
          <w:szCs w:val="24"/>
        </w:rPr>
        <w:t xml:space="preserve"> </w:t>
      </w:r>
    </w:p>
    <w:p w14:paraId="6C22DBB3" w14:textId="77777777" w:rsidR="00527EDF" w:rsidRPr="00DE64B9" w:rsidRDefault="00527EDF" w:rsidP="00527EDF">
      <w:pPr>
        <w:pStyle w:val="NoSpacing"/>
        <w:ind w:left="1440"/>
        <w:rPr>
          <w:rFonts w:ascii="Times New Roman" w:hAnsi="Times New Roman"/>
          <w:sz w:val="24"/>
          <w:szCs w:val="24"/>
        </w:rPr>
      </w:pPr>
      <w:r w:rsidRPr="00DE64B9">
        <w:rPr>
          <w:rFonts w:ascii="Times New Roman" w:hAnsi="Times New Roman"/>
          <w:sz w:val="24"/>
          <w:szCs w:val="24"/>
        </w:rPr>
        <w:t xml:space="preserve">“Of course, if the crash was caused by a defect in the helicopter, the crew case may proceed against the helicopter manufacturer. But there are legal challenges to be overcome there as well. A federal statute of repose known as the General Aviation Revitalization Act, or GARA, bars </w:t>
      </w:r>
      <w:proofErr w:type="gramStart"/>
      <w:r w:rsidRPr="00DE64B9">
        <w:rPr>
          <w:rFonts w:ascii="Times New Roman" w:hAnsi="Times New Roman"/>
          <w:sz w:val="24"/>
          <w:szCs w:val="24"/>
        </w:rPr>
        <w:t>claims</w:t>
      </w:r>
      <w:proofErr w:type="gramEnd"/>
      <w:r w:rsidRPr="00DE64B9">
        <w:rPr>
          <w:rFonts w:ascii="Times New Roman" w:hAnsi="Times New Roman"/>
          <w:sz w:val="24"/>
          <w:szCs w:val="24"/>
        </w:rPr>
        <w:t xml:space="preserve"> against the manufacturer if the helicopter is older than 18 years. And beneath their shiny paint, most of the helicopters now in service date back to the 1970s. (In case you’re wondering, GARA protects not just US helicopter manufacturers, but foreign helicopter manufacturers too.)”</w:t>
      </w:r>
    </w:p>
    <w:bookmarkEnd w:id="510"/>
    <w:p w14:paraId="76812F4B" w14:textId="74D719C3" w:rsidR="00527EDF" w:rsidRDefault="00527EDF" w:rsidP="00527EDF">
      <w:pPr>
        <w:pStyle w:val="NoSpacing"/>
        <w:ind w:left="720"/>
        <w:rPr>
          <w:rFonts w:ascii="Times New Roman" w:hAnsi="Times New Roman"/>
          <w:sz w:val="24"/>
          <w:szCs w:val="24"/>
        </w:rPr>
      </w:pPr>
    </w:p>
    <w:p w14:paraId="7B0443D9" w14:textId="6DABDF54" w:rsidR="00527EDF" w:rsidRDefault="00527EDF" w:rsidP="00527EDF">
      <w:pPr>
        <w:pStyle w:val="NoSpacing"/>
        <w:ind w:left="720"/>
        <w:rPr>
          <w:rFonts w:ascii="Times New Roman" w:hAnsi="Times New Roman"/>
          <w:sz w:val="24"/>
          <w:szCs w:val="24"/>
        </w:rPr>
      </w:pPr>
    </w:p>
    <w:p w14:paraId="7808354A" w14:textId="77777777" w:rsidR="0097592D" w:rsidRDefault="0097592D" w:rsidP="00DE0F03">
      <w:pPr>
        <w:pStyle w:val="NoSpacing"/>
        <w:rPr>
          <w:rFonts w:ascii="Arial Black" w:hAnsi="Arial Black"/>
          <w:sz w:val="24"/>
          <w:szCs w:val="24"/>
        </w:rPr>
      </w:pPr>
    </w:p>
    <w:p w14:paraId="5F00D369" w14:textId="77777777" w:rsidR="0097592D" w:rsidRDefault="0097592D" w:rsidP="00DE0F03">
      <w:pPr>
        <w:pStyle w:val="NoSpacing"/>
        <w:rPr>
          <w:rFonts w:ascii="Arial Black" w:hAnsi="Arial Black"/>
          <w:sz w:val="24"/>
          <w:szCs w:val="24"/>
        </w:rPr>
      </w:pPr>
    </w:p>
    <w:p w14:paraId="761B919D" w14:textId="6DF1596E"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6</w:t>
      </w:r>
    </w:p>
    <w:p w14:paraId="0C0D5250" w14:textId="77777777" w:rsidR="00DE0F03" w:rsidRDefault="00DE0F03" w:rsidP="00527EDF">
      <w:pPr>
        <w:pStyle w:val="NoSpacing"/>
        <w:rPr>
          <w:rFonts w:ascii="Arial Black" w:hAnsi="Arial Black"/>
          <w:sz w:val="28"/>
          <w:szCs w:val="28"/>
        </w:rPr>
      </w:pPr>
    </w:p>
    <w:p w14:paraId="09D32D39" w14:textId="56381EAD" w:rsidR="00527EDF" w:rsidRPr="00842470" w:rsidRDefault="00527EDF" w:rsidP="00527EDF">
      <w:pPr>
        <w:pStyle w:val="NoSpacing"/>
        <w:rPr>
          <w:rFonts w:ascii="Arial Black" w:hAnsi="Arial Black"/>
          <w:sz w:val="28"/>
          <w:szCs w:val="28"/>
        </w:rPr>
      </w:pPr>
      <w:bookmarkStart w:id="511" w:name="_Hlk41153395"/>
      <w:r w:rsidRPr="00842470">
        <w:rPr>
          <w:rFonts w:ascii="Arial Black" w:hAnsi="Arial Black"/>
          <w:sz w:val="28"/>
          <w:szCs w:val="28"/>
        </w:rPr>
        <w:t xml:space="preserve">KY: </w:t>
      </w:r>
      <w:r>
        <w:rPr>
          <w:rFonts w:ascii="Arial Black" w:hAnsi="Arial Black"/>
          <w:sz w:val="28"/>
          <w:szCs w:val="28"/>
        </w:rPr>
        <w:t xml:space="preserve">DRIVER / POSS. STROKE - REFUSED TREATMENT - PD TOOK </w:t>
      </w:r>
      <w:r w:rsidR="009C7552">
        <w:rPr>
          <w:rFonts w:ascii="Arial Black" w:hAnsi="Arial Black"/>
          <w:sz w:val="28"/>
          <w:szCs w:val="28"/>
        </w:rPr>
        <w:t>HIM TO McDonalds</w:t>
      </w:r>
      <w:r>
        <w:rPr>
          <w:rFonts w:ascii="Arial Black" w:hAnsi="Arial Black"/>
          <w:sz w:val="28"/>
          <w:szCs w:val="28"/>
        </w:rPr>
        <w:t xml:space="preserve"> – KILLED WALKING HWY – QUALIF. IMMUNITY</w:t>
      </w:r>
    </w:p>
    <w:p w14:paraId="057A9610" w14:textId="77777777" w:rsidR="00527EDF" w:rsidRPr="00842470" w:rsidRDefault="00527EDF" w:rsidP="00527EDF">
      <w:pPr>
        <w:pStyle w:val="NoSpacing"/>
        <w:rPr>
          <w:rFonts w:ascii="Times New Roman" w:hAnsi="Times New Roman"/>
          <w:sz w:val="24"/>
          <w:szCs w:val="24"/>
        </w:rPr>
      </w:pPr>
    </w:p>
    <w:p w14:paraId="4ADB99B0" w14:textId="77777777" w:rsidR="00527EDF" w:rsidRDefault="00527EDF" w:rsidP="00527EDF">
      <w:pPr>
        <w:pStyle w:val="NoSpacing"/>
        <w:rPr>
          <w:rFonts w:ascii="Times New Roman" w:hAnsi="Times New Roman"/>
          <w:sz w:val="24"/>
          <w:szCs w:val="24"/>
        </w:rPr>
      </w:pPr>
      <w:r>
        <w:rPr>
          <w:rFonts w:ascii="Times New Roman" w:hAnsi="Times New Roman"/>
          <w:sz w:val="24"/>
          <w:szCs w:val="24"/>
        </w:rPr>
        <w:t xml:space="preserve">On May 24, 2019, in </w:t>
      </w:r>
      <w:r w:rsidRPr="00842470">
        <w:rPr>
          <w:rFonts w:ascii="Times New Roman" w:hAnsi="Times New Roman"/>
          <w:sz w:val="24"/>
          <w:szCs w:val="24"/>
          <w:u w:val="single"/>
        </w:rPr>
        <w:t>Lisa K. Williams v. City of Georgetown, KY, et al</w:t>
      </w:r>
      <w:r>
        <w:rPr>
          <w:rFonts w:ascii="Times New Roman" w:hAnsi="Times New Roman"/>
          <w:sz w:val="24"/>
          <w:szCs w:val="24"/>
        </w:rPr>
        <w:t>., the U.S. Court of Appeals for 6</w:t>
      </w:r>
      <w:r w:rsidRPr="00842470">
        <w:rPr>
          <w:rFonts w:ascii="Times New Roman" w:hAnsi="Times New Roman"/>
          <w:sz w:val="24"/>
          <w:szCs w:val="24"/>
          <w:vertAlign w:val="superscript"/>
        </w:rPr>
        <w:t>th</w:t>
      </w:r>
      <w:r>
        <w:rPr>
          <w:rFonts w:ascii="Times New Roman" w:hAnsi="Times New Roman"/>
          <w:sz w:val="24"/>
          <w:szCs w:val="24"/>
        </w:rPr>
        <w:t xml:space="preserve"> Circuit, in an unpublished opinion, held (2 to 1). </w:t>
      </w:r>
    </w:p>
    <w:p w14:paraId="65A3BF6A" w14:textId="77777777" w:rsidR="00527EDF" w:rsidRDefault="00527EDF" w:rsidP="00527EDF">
      <w:pPr>
        <w:pStyle w:val="NoSpacing"/>
        <w:rPr>
          <w:rFonts w:ascii="Times New Roman" w:hAnsi="Times New Roman"/>
          <w:sz w:val="24"/>
          <w:szCs w:val="24"/>
        </w:rPr>
      </w:pPr>
    </w:p>
    <w:p w14:paraId="55F3347A" w14:textId="77777777" w:rsidR="00527EDF" w:rsidRPr="008D3A7A" w:rsidRDefault="00527EDF" w:rsidP="00527EDF">
      <w:pPr>
        <w:pStyle w:val="NoSpacing"/>
        <w:ind w:left="720"/>
        <w:rPr>
          <w:rFonts w:ascii="Times New Roman" w:hAnsi="Times New Roman"/>
          <w:sz w:val="24"/>
          <w:szCs w:val="24"/>
        </w:rPr>
      </w:pPr>
      <w:r w:rsidRPr="00BD2A4C">
        <w:rPr>
          <w:rFonts w:ascii="Times New Roman" w:hAnsi="Times New Roman"/>
          <w:sz w:val="24"/>
          <w:szCs w:val="24"/>
        </w:rPr>
        <w:t>“This case presents tragic facts without a legal remedy. ***</w:t>
      </w:r>
      <w:r>
        <w:rPr>
          <w:rFonts w:ascii="Times New Roman" w:hAnsi="Times New Roman"/>
          <w:sz w:val="24"/>
          <w:szCs w:val="24"/>
        </w:rPr>
        <w:t xml:space="preserve"> </w:t>
      </w:r>
      <w:r w:rsidRPr="008D3A7A">
        <w:rPr>
          <w:rFonts w:ascii="Times New Roman" w:hAnsi="Times New Roman"/>
          <w:sz w:val="24"/>
          <w:szCs w:val="24"/>
        </w:rPr>
        <w:t xml:space="preserve">Although it is true that </w:t>
      </w:r>
      <w:r>
        <w:rPr>
          <w:rFonts w:ascii="Times New Roman" w:hAnsi="Times New Roman"/>
          <w:sz w:val="24"/>
          <w:szCs w:val="24"/>
        </w:rPr>
        <w:t>‘</w:t>
      </w:r>
      <w:r w:rsidRPr="008D3A7A">
        <w:rPr>
          <w:rFonts w:ascii="Times New Roman" w:hAnsi="Times New Roman"/>
          <w:sz w:val="24"/>
          <w:szCs w:val="24"/>
        </w:rPr>
        <w:t>an officer’s duty exists even after the custodial relationship has ended,</w:t>
      </w:r>
      <w:r>
        <w:rPr>
          <w:rFonts w:ascii="Times New Roman" w:hAnsi="Times New Roman"/>
          <w:sz w:val="24"/>
          <w:szCs w:val="24"/>
        </w:rPr>
        <w:t>’</w:t>
      </w:r>
      <w:r w:rsidRPr="008D3A7A">
        <w:rPr>
          <w:rFonts w:ascii="Times New Roman" w:hAnsi="Times New Roman"/>
          <w:sz w:val="24"/>
          <w:szCs w:val="24"/>
        </w:rPr>
        <w:t xml:space="preserve"> Davis, 143 F.3d at1025, it does not extend in perpetuity. Plaintiff admits that the officers concluded Burns was not a danger to himself or others. Calling an ambulance and giving Burns a ride to McDonald’s does not strike us as the deliberate indifference described in Davis. 143 F.3d at1027; see also Salyers, 534 F. </w:t>
      </w:r>
      <w:proofErr w:type="spellStart"/>
      <w:r w:rsidRPr="008D3A7A">
        <w:rPr>
          <w:rFonts w:ascii="Times New Roman" w:hAnsi="Times New Roman"/>
          <w:sz w:val="24"/>
          <w:szCs w:val="24"/>
        </w:rPr>
        <w:t>App’x</w:t>
      </w:r>
      <w:proofErr w:type="spellEnd"/>
      <w:r w:rsidRPr="008D3A7A">
        <w:rPr>
          <w:rFonts w:ascii="Times New Roman" w:hAnsi="Times New Roman"/>
          <w:sz w:val="24"/>
          <w:szCs w:val="24"/>
        </w:rPr>
        <w:t xml:space="preserve"> at 460. There was no constitutional violation.</w:t>
      </w:r>
      <w:r>
        <w:rPr>
          <w:rFonts w:ascii="Times New Roman" w:hAnsi="Times New Roman"/>
          <w:sz w:val="24"/>
          <w:szCs w:val="24"/>
        </w:rPr>
        <w:t xml:space="preserve">” </w:t>
      </w:r>
      <w:hyperlink r:id="rId2281" w:history="1">
        <w:r w:rsidRPr="00821231">
          <w:rPr>
            <w:rStyle w:val="Hyperlink"/>
            <w:rFonts w:ascii="Times New Roman" w:hAnsi="Times New Roman"/>
            <w:sz w:val="24"/>
            <w:szCs w:val="24"/>
          </w:rPr>
          <w:t>http://www.opn.ca6.uscourts.gov/opinions.pdf/19a0272n-06.pdf</w:t>
        </w:r>
      </w:hyperlink>
      <w:r>
        <w:rPr>
          <w:rFonts w:ascii="Times New Roman" w:hAnsi="Times New Roman"/>
          <w:sz w:val="24"/>
          <w:szCs w:val="24"/>
        </w:rPr>
        <w:t xml:space="preserve"> </w:t>
      </w:r>
    </w:p>
    <w:p w14:paraId="6E310688" w14:textId="77777777" w:rsidR="00527EDF" w:rsidRDefault="00527EDF" w:rsidP="00527EDF">
      <w:pPr>
        <w:pStyle w:val="NoSpacing"/>
        <w:rPr>
          <w:rFonts w:ascii="Times New Roman" w:hAnsi="Times New Roman"/>
          <w:sz w:val="24"/>
          <w:szCs w:val="24"/>
        </w:rPr>
      </w:pPr>
    </w:p>
    <w:p w14:paraId="676E63B2" w14:textId="77777777" w:rsidR="00527EDF" w:rsidRDefault="00527EDF" w:rsidP="00527EDF">
      <w:pPr>
        <w:pStyle w:val="NoSpacing"/>
        <w:rPr>
          <w:rFonts w:ascii="Times New Roman" w:hAnsi="Times New Roman"/>
          <w:b/>
          <w:sz w:val="24"/>
          <w:szCs w:val="24"/>
        </w:rPr>
      </w:pPr>
      <w:r w:rsidRPr="00BD2A4C">
        <w:rPr>
          <w:rFonts w:ascii="Times New Roman" w:hAnsi="Times New Roman"/>
          <w:b/>
          <w:sz w:val="24"/>
          <w:szCs w:val="24"/>
        </w:rPr>
        <w:t xml:space="preserve">Legal Lessons Learned: </w:t>
      </w:r>
      <w:r>
        <w:rPr>
          <w:rFonts w:ascii="Times New Roman" w:hAnsi="Times New Roman"/>
          <w:b/>
          <w:sz w:val="24"/>
          <w:szCs w:val="24"/>
        </w:rPr>
        <w:t xml:space="preserve"> Fire &amp; EMS Departments should have a written policy about patient refusals that includes handling situations where the individual </w:t>
      </w:r>
      <w:proofErr w:type="spellStart"/>
      <w:proofErr w:type="gramStart"/>
      <w:r>
        <w:rPr>
          <w:rFonts w:ascii="Times New Roman" w:hAnsi="Times New Roman"/>
          <w:b/>
          <w:sz w:val="24"/>
          <w:szCs w:val="24"/>
        </w:rPr>
        <w:t>can not</w:t>
      </w:r>
      <w:proofErr w:type="spellEnd"/>
      <w:proofErr w:type="gramEnd"/>
      <w:r>
        <w:rPr>
          <w:rFonts w:ascii="Times New Roman" w:hAnsi="Times New Roman"/>
          <w:b/>
          <w:sz w:val="24"/>
          <w:szCs w:val="24"/>
        </w:rPr>
        <w:t xml:space="preserve"> be safely left at the scene (such as MVA, with no ride home).</w:t>
      </w:r>
    </w:p>
    <w:p w14:paraId="10F38A65" w14:textId="77777777" w:rsidR="00527EDF" w:rsidRDefault="00527EDF" w:rsidP="00527EDF">
      <w:pPr>
        <w:pStyle w:val="NoSpacing"/>
        <w:rPr>
          <w:rFonts w:ascii="Times New Roman" w:hAnsi="Times New Roman"/>
          <w:b/>
          <w:sz w:val="24"/>
          <w:szCs w:val="24"/>
        </w:rPr>
      </w:pPr>
    </w:p>
    <w:p w14:paraId="6A10F94A" w14:textId="77777777" w:rsidR="00527EDF" w:rsidRPr="000E62D4" w:rsidRDefault="00527EDF" w:rsidP="00527EDF">
      <w:pPr>
        <w:pStyle w:val="NoSpacing"/>
        <w:ind w:left="720"/>
        <w:rPr>
          <w:rFonts w:ascii="Times New Roman" w:hAnsi="Times New Roman"/>
          <w:sz w:val="24"/>
          <w:szCs w:val="24"/>
        </w:rPr>
      </w:pPr>
      <w:r w:rsidRPr="000E62D4">
        <w:rPr>
          <w:rFonts w:ascii="Times New Roman" w:hAnsi="Times New Roman"/>
          <w:sz w:val="24"/>
          <w:szCs w:val="24"/>
        </w:rPr>
        <w:t xml:space="preserve">See attached Policy on “High Risk” and “Low Risk” refusals. </w:t>
      </w:r>
      <w:hyperlink r:id="rId2282" w:history="1">
        <w:r w:rsidRPr="00D10EF5">
          <w:rPr>
            <w:rStyle w:val="Hyperlink"/>
            <w:rFonts w:ascii="Times New Roman" w:hAnsi="Times New Roman"/>
            <w:sz w:val="24"/>
            <w:szCs w:val="24"/>
          </w:rPr>
          <w:t>https://www.unitypoint.org/peoria/filesimages/Documents/EMS%20Documents/EMS%20Policies/PROCTOR%20Policy%20Dr.%20Huff%2032%20Patient%20Right%20of%20Refusal.pdf</w:t>
        </w:r>
      </w:hyperlink>
      <w:r>
        <w:rPr>
          <w:rFonts w:ascii="Times New Roman" w:hAnsi="Times New Roman"/>
          <w:sz w:val="24"/>
          <w:szCs w:val="24"/>
        </w:rPr>
        <w:t xml:space="preserve"> </w:t>
      </w:r>
    </w:p>
    <w:bookmarkEnd w:id="511"/>
    <w:p w14:paraId="2838795B" w14:textId="77777777" w:rsidR="00527EDF" w:rsidRDefault="00527EDF" w:rsidP="00527EDF">
      <w:pPr>
        <w:pStyle w:val="NoSpacing"/>
        <w:rPr>
          <w:rFonts w:ascii="Times New Roman" w:hAnsi="Times New Roman"/>
          <w:sz w:val="24"/>
          <w:szCs w:val="24"/>
        </w:rPr>
      </w:pPr>
    </w:p>
    <w:p w14:paraId="50C6F0D8" w14:textId="77777777" w:rsidR="00DE0F03" w:rsidRDefault="00DE0F03" w:rsidP="00DE0F03">
      <w:pPr>
        <w:pStyle w:val="NoSpacing"/>
        <w:rPr>
          <w:rFonts w:ascii="Arial Black" w:hAnsi="Arial Black"/>
          <w:sz w:val="24"/>
          <w:szCs w:val="24"/>
        </w:rPr>
      </w:pPr>
    </w:p>
    <w:p w14:paraId="036FF166" w14:textId="77777777" w:rsidR="0097592D" w:rsidRDefault="0097592D" w:rsidP="00DE0F03">
      <w:pPr>
        <w:pStyle w:val="NoSpacing"/>
        <w:rPr>
          <w:rFonts w:ascii="Arial Black" w:hAnsi="Arial Black"/>
          <w:sz w:val="24"/>
          <w:szCs w:val="24"/>
        </w:rPr>
      </w:pPr>
    </w:p>
    <w:p w14:paraId="41E11F73" w14:textId="77777777" w:rsidR="0097592D" w:rsidRDefault="0097592D" w:rsidP="00DE0F03">
      <w:pPr>
        <w:pStyle w:val="NoSpacing"/>
        <w:rPr>
          <w:rFonts w:ascii="Arial Black" w:hAnsi="Arial Black"/>
          <w:sz w:val="24"/>
          <w:szCs w:val="24"/>
        </w:rPr>
      </w:pPr>
    </w:p>
    <w:p w14:paraId="7B7B2F91" w14:textId="77777777" w:rsidR="0097592D" w:rsidRDefault="0097592D" w:rsidP="00DE0F03">
      <w:pPr>
        <w:pStyle w:val="NoSpacing"/>
        <w:rPr>
          <w:rFonts w:ascii="Arial Black" w:hAnsi="Arial Black"/>
          <w:sz w:val="24"/>
          <w:szCs w:val="24"/>
        </w:rPr>
      </w:pPr>
    </w:p>
    <w:p w14:paraId="74FCC083" w14:textId="74805CF6"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5</w:t>
      </w:r>
    </w:p>
    <w:p w14:paraId="75A39153" w14:textId="5E700095" w:rsidR="00527EDF" w:rsidRDefault="00527EDF" w:rsidP="00527EDF">
      <w:pPr>
        <w:pStyle w:val="NoSpacing"/>
        <w:ind w:left="720"/>
        <w:rPr>
          <w:rFonts w:ascii="Times New Roman" w:hAnsi="Times New Roman"/>
          <w:sz w:val="24"/>
          <w:szCs w:val="24"/>
        </w:rPr>
      </w:pPr>
    </w:p>
    <w:p w14:paraId="1444BE9E" w14:textId="3245901A" w:rsidR="00527EDF" w:rsidRDefault="00527EDF" w:rsidP="00F326E5">
      <w:pPr>
        <w:pStyle w:val="NoSpacing"/>
        <w:rPr>
          <w:sz w:val="24"/>
          <w:szCs w:val="24"/>
        </w:rPr>
      </w:pPr>
    </w:p>
    <w:p w14:paraId="5C916AF6" w14:textId="2F2A2FAC" w:rsidR="00527EDF" w:rsidRPr="00A67D90" w:rsidRDefault="00527EDF" w:rsidP="00527EDF">
      <w:pPr>
        <w:pStyle w:val="NoSpacing"/>
        <w:rPr>
          <w:rFonts w:ascii="Arial Black" w:hAnsi="Arial Black" w:cs="Arial"/>
          <w:sz w:val="28"/>
          <w:szCs w:val="28"/>
        </w:rPr>
      </w:pPr>
      <w:bookmarkStart w:id="512" w:name="_Hlk41153585"/>
      <w:r>
        <w:rPr>
          <w:rFonts w:ascii="Arial Black" w:hAnsi="Arial Black" w:cs="Arial"/>
          <w:sz w:val="28"/>
          <w:szCs w:val="28"/>
        </w:rPr>
        <w:lastRenderedPageBreak/>
        <w:t>CA:  CHILD CHOKING, MOTHER CALLED 911 - ONLY SPOKE SPANISH – IMMUNITY - NO REQ. THAT DISPATCHERS MUST SPEAK SPANISH</w:t>
      </w:r>
    </w:p>
    <w:p w14:paraId="51C14738" w14:textId="77777777" w:rsidR="00527EDF" w:rsidRDefault="00527EDF" w:rsidP="00527EDF">
      <w:pPr>
        <w:pStyle w:val="NoSpacing"/>
        <w:rPr>
          <w:rFonts w:ascii="Arial" w:hAnsi="Arial" w:cs="Arial"/>
          <w:sz w:val="32"/>
          <w:szCs w:val="32"/>
        </w:rPr>
      </w:pPr>
    </w:p>
    <w:p w14:paraId="7ED5FFBD" w14:textId="77777777" w:rsidR="00527EDF" w:rsidRDefault="00527EDF" w:rsidP="00527EDF">
      <w:pPr>
        <w:pStyle w:val="NoSpacing"/>
        <w:rPr>
          <w:rFonts w:ascii="Times New Roman" w:hAnsi="Times New Roman"/>
          <w:sz w:val="24"/>
          <w:szCs w:val="24"/>
        </w:rPr>
      </w:pPr>
      <w:r w:rsidRPr="00EC12DB">
        <w:rPr>
          <w:rFonts w:ascii="Times New Roman" w:hAnsi="Times New Roman"/>
          <w:sz w:val="24"/>
          <w:szCs w:val="24"/>
        </w:rPr>
        <w:t>On May 20, 2019</w:t>
      </w:r>
      <w:r>
        <w:rPr>
          <w:rFonts w:ascii="Times New Roman" w:hAnsi="Times New Roman"/>
          <w:sz w:val="24"/>
          <w:szCs w:val="24"/>
        </w:rPr>
        <w:t xml:space="preserve">, in </w:t>
      </w:r>
      <w:r w:rsidRPr="00EC12DB">
        <w:rPr>
          <w:rFonts w:ascii="Times New Roman" w:hAnsi="Times New Roman"/>
          <w:sz w:val="24"/>
          <w:szCs w:val="24"/>
          <w:u w:val="single"/>
        </w:rPr>
        <w:t>Dylan Tellez v. City of Pomona</w:t>
      </w:r>
      <w:r>
        <w:rPr>
          <w:rFonts w:ascii="Times New Roman" w:hAnsi="Times New Roman"/>
          <w:sz w:val="24"/>
          <w:szCs w:val="24"/>
        </w:rPr>
        <w:t xml:space="preserve">, the Court </w:t>
      </w:r>
      <w:proofErr w:type="gramStart"/>
      <w:r>
        <w:rPr>
          <w:rFonts w:ascii="Times New Roman" w:hAnsi="Times New Roman"/>
          <w:sz w:val="24"/>
          <w:szCs w:val="24"/>
        </w:rPr>
        <w:t>Of</w:t>
      </w:r>
      <w:proofErr w:type="gramEnd"/>
      <w:r>
        <w:rPr>
          <w:rFonts w:ascii="Times New Roman" w:hAnsi="Times New Roman"/>
          <w:sz w:val="24"/>
          <w:szCs w:val="24"/>
        </w:rPr>
        <w:t xml:space="preserve"> Appeal of California, Second Appellate District / Division One held (3 to 0) in an unpublished decision, that the lawsuit against the City of Pomona was properly dismissed by the trial court.</w:t>
      </w:r>
    </w:p>
    <w:p w14:paraId="72C0F20A" w14:textId="77777777" w:rsidR="00527EDF" w:rsidRPr="00EC12DB" w:rsidRDefault="00527EDF" w:rsidP="00527EDF">
      <w:pPr>
        <w:pStyle w:val="NoSpacing"/>
        <w:rPr>
          <w:rFonts w:ascii="Times New Roman" w:hAnsi="Times New Roman"/>
          <w:sz w:val="24"/>
          <w:szCs w:val="24"/>
        </w:rPr>
      </w:pPr>
    </w:p>
    <w:p w14:paraId="6F12578D"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EC12DB">
        <w:rPr>
          <w:rFonts w:ascii="Times New Roman" w:hAnsi="Times New Roman"/>
          <w:sz w:val="24"/>
          <w:szCs w:val="24"/>
        </w:rPr>
        <w:t>That one person fails on an occasion to understand another is</w:t>
      </w:r>
      <w:r>
        <w:rPr>
          <w:rFonts w:ascii="Times New Roman" w:hAnsi="Times New Roman"/>
          <w:sz w:val="24"/>
          <w:szCs w:val="24"/>
        </w:rPr>
        <w:t xml:space="preserve"> </w:t>
      </w:r>
      <w:r w:rsidRPr="00EC12DB">
        <w:rPr>
          <w:rFonts w:ascii="Times New Roman" w:hAnsi="Times New Roman"/>
          <w:sz w:val="24"/>
          <w:szCs w:val="24"/>
        </w:rPr>
        <w:t>an everyday occurrence</w:t>
      </w:r>
      <w:r>
        <w:rPr>
          <w:rFonts w:ascii="Times New Roman" w:hAnsi="Times New Roman"/>
          <w:sz w:val="24"/>
          <w:szCs w:val="24"/>
        </w:rPr>
        <w:t xml:space="preserve"> </w:t>
      </w:r>
      <w:r w:rsidRPr="00EC12DB">
        <w:rPr>
          <w:rFonts w:ascii="Times New Roman" w:hAnsi="Times New Roman"/>
          <w:sz w:val="24"/>
          <w:szCs w:val="24"/>
        </w:rPr>
        <w:t>between</w:t>
      </w:r>
      <w:r>
        <w:rPr>
          <w:rFonts w:ascii="Times New Roman" w:hAnsi="Times New Roman"/>
          <w:sz w:val="24"/>
          <w:szCs w:val="24"/>
        </w:rPr>
        <w:t xml:space="preserve"> </w:t>
      </w:r>
      <w:r w:rsidRPr="00EC12DB">
        <w:rPr>
          <w:rFonts w:ascii="Times New Roman" w:hAnsi="Times New Roman"/>
          <w:sz w:val="24"/>
          <w:szCs w:val="24"/>
        </w:rPr>
        <w:t>even the best intentioned. And it appears from Dylan’s allegations that the police officers’ decision not to wait for an ambulance</w:t>
      </w:r>
      <w:r>
        <w:rPr>
          <w:rFonts w:ascii="Times New Roman" w:hAnsi="Times New Roman"/>
          <w:sz w:val="24"/>
          <w:szCs w:val="24"/>
        </w:rPr>
        <w:t xml:space="preserve"> </w:t>
      </w:r>
      <w:r w:rsidRPr="00EC12DB">
        <w:rPr>
          <w:rFonts w:ascii="Times New Roman" w:hAnsi="Times New Roman"/>
          <w:sz w:val="24"/>
          <w:szCs w:val="24"/>
        </w:rPr>
        <w:t>saved his life.</w:t>
      </w:r>
      <w:r>
        <w:rPr>
          <w:rFonts w:ascii="Times New Roman" w:hAnsi="Times New Roman"/>
          <w:sz w:val="24"/>
          <w:szCs w:val="24"/>
        </w:rPr>
        <w:t xml:space="preserve"> </w:t>
      </w:r>
      <w:r w:rsidRPr="00EC12DB">
        <w:rPr>
          <w:rFonts w:ascii="Times New Roman" w:hAnsi="Times New Roman"/>
          <w:sz w:val="24"/>
          <w:szCs w:val="24"/>
        </w:rPr>
        <w:t>A city</w:t>
      </w:r>
      <w:r>
        <w:rPr>
          <w:rFonts w:ascii="Times New Roman" w:hAnsi="Times New Roman"/>
          <w:sz w:val="24"/>
          <w:szCs w:val="24"/>
        </w:rPr>
        <w:t xml:space="preserve"> </w:t>
      </w:r>
      <w:r w:rsidRPr="00EC12DB">
        <w:rPr>
          <w:rFonts w:ascii="Times New Roman" w:hAnsi="Times New Roman"/>
          <w:sz w:val="24"/>
          <w:szCs w:val="24"/>
        </w:rPr>
        <w:t>cannot be held liable simply for failure to provide translators in its 911 call centers</w:t>
      </w:r>
      <w:r>
        <w:rPr>
          <w:rFonts w:ascii="Times New Roman" w:hAnsi="Times New Roman"/>
          <w:sz w:val="24"/>
          <w:szCs w:val="24"/>
        </w:rPr>
        <w:t>….”</w:t>
      </w:r>
    </w:p>
    <w:p w14:paraId="2DB5A80C" w14:textId="77777777" w:rsidR="00527EDF" w:rsidRDefault="00527EDF" w:rsidP="00527EDF">
      <w:pPr>
        <w:pStyle w:val="NoSpacing"/>
        <w:ind w:left="720"/>
        <w:rPr>
          <w:rFonts w:ascii="Times New Roman" w:hAnsi="Times New Roman"/>
          <w:sz w:val="24"/>
          <w:szCs w:val="24"/>
        </w:rPr>
      </w:pPr>
      <w:hyperlink r:id="rId2283" w:history="1">
        <w:r w:rsidRPr="000A6245">
          <w:rPr>
            <w:rStyle w:val="Hyperlink"/>
            <w:rFonts w:ascii="Times New Roman" w:hAnsi="Times New Roman"/>
            <w:sz w:val="24"/>
            <w:szCs w:val="24"/>
          </w:rPr>
          <w:t>https://www.courts.ca.gov/opinions/nonpub/B284099.PDF</w:t>
        </w:r>
      </w:hyperlink>
      <w:r>
        <w:rPr>
          <w:rFonts w:ascii="Times New Roman" w:hAnsi="Times New Roman"/>
          <w:sz w:val="24"/>
          <w:szCs w:val="24"/>
        </w:rPr>
        <w:t xml:space="preserve"> </w:t>
      </w:r>
    </w:p>
    <w:p w14:paraId="4CAE3F0D" w14:textId="77777777" w:rsidR="00527EDF" w:rsidRDefault="00527EDF" w:rsidP="00527EDF">
      <w:pPr>
        <w:pStyle w:val="NoSpacing"/>
        <w:rPr>
          <w:rFonts w:ascii="Times New Roman" w:hAnsi="Times New Roman"/>
          <w:b/>
          <w:sz w:val="24"/>
          <w:szCs w:val="24"/>
        </w:rPr>
      </w:pPr>
    </w:p>
    <w:p w14:paraId="7E0E1299" w14:textId="28367835" w:rsidR="00527EDF" w:rsidRDefault="00527EDF" w:rsidP="00527EDF">
      <w:pPr>
        <w:pStyle w:val="NoSpacing"/>
        <w:rPr>
          <w:rFonts w:ascii="Times New Roman" w:hAnsi="Times New Roman"/>
          <w:b/>
          <w:sz w:val="24"/>
          <w:szCs w:val="24"/>
        </w:rPr>
      </w:pPr>
      <w:r w:rsidRPr="00A301B0">
        <w:rPr>
          <w:rFonts w:ascii="Times New Roman" w:hAnsi="Times New Roman"/>
          <w:b/>
          <w:sz w:val="24"/>
          <w:szCs w:val="24"/>
        </w:rPr>
        <w:t xml:space="preserve">Legal Lessons Learned: </w:t>
      </w:r>
      <w:r>
        <w:rPr>
          <w:rFonts w:ascii="Times New Roman" w:hAnsi="Times New Roman"/>
          <w:b/>
          <w:sz w:val="24"/>
          <w:szCs w:val="24"/>
        </w:rPr>
        <w:t>911 Centers do not have to employee Spanish-speaking dispatchers.  There are translation services available for dispatch centers.</w:t>
      </w:r>
    </w:p>
    <w:p w14:paraId="7CEC81AC" w14:textId="46B7A107" w:rsidR="00527EDF" w:rsidRPr="00DE64B9" w:rsidRDefault="00527EDF" w:rsidP="00527EDF">
      <w:pPr>
        <w:pStyle w:val="Heading1"/>
        <w:ind w:left="720"/>
        <w:rPr>
          <w:b w:val="0"/>
          <w:sz w:val="24"/>
          <w:szCs w:val="24"/>
        </w:rPr>
      </w:pPr>
      <w:r w:rsidRPr="00DE64B9">
        <w:rPr>
          <w:b w:val="0"/>
          <w:sz w:val="24"/>
          <w:szCs w:val="24"/>
        </w:rPr>
        <w:t>Se</w:t>
      </w:r>
      <w:r>
        <w:rPr>
          <w:b w:val="0"/>
          <w:sz w:val="24"/>
          <w:szCs w:val="24"/>
        </w:rPr>
        <w:t xml:space="preserve">e </w:t>
      </w:r>
      <w:r w:rsidRPr="00DE64B9">
        <w:rPr>
          <w:b w:val="0"/>
          <w:sz w:val="24"/>
          <w:szCs w:val="24"/>
        </w:rPr>
        <w:t>for example:  “</w:t>
      </w:r>
      <w:r w:rsidRPr="00DE64B9">
        <w:rPr>
          <w:rStyle w:val="field"/>
          <w:b w:val="0"/>
          <w:sz w:val="24"/>
          <w:szCs w:val="24"/>
        </w:rPr>
        <w:t xml:space="preserve">How to Break the 9-1-1 Language Barrier,” </w:t>
      </w:r>
      <w:hyperlink r:id="rId2284" w:history="1">
        <w:r w:rsidRPr="00DE64B9">
          <w:rPr>
            <w:rStyle w:val="Hyperlink"/>
            <w:b w:val="0"/>
            <w:sz w:val="24"/>
            <w:szCs w:val="24"/>
          </w:rPr>
          <w:t>https://www.emsworld.com/article/12091816/language-translation-in-emergencies</w:t>
        </w:r>
      </w:hyperlink>
      <w:r w:rsidRPr="00DE64B9">
        <w:rPr>
          <w:rStyle w:val="field"/>
          <w:b w:val="0"/>
          <w:sz w:val="24"/>
          <w:szCs w:val="24"/>
        </w:rPr>
        <w:t xml:space="preserve"> “</w:t>
      </w:r>
      <w:r w:rsidRPr="00DE64B9">
        <w:rPr>
          <w:b w:val="0"/>
          <w:sz w:val="24"/>
          <w:szCs w:val="24"/>
        </w:rPr>
        <w:t xml:space="preserve">According to Gallegos, the </w:t>
      </w:r>
      <w:proofErr w:type="spellStart"/>
      <w:r w:rsidRPr="00DE64B9">
        <w:rPr>
          <w:b w:val="0"/>
          <w:sz w:val="24"/>
          <w:szCs w:val="24"/>
        </w:rPr>
        <w:t>LanguageLine</w:t>
      </w:r>
      <w:proofErr w:type="spellEnd"/>
      <w:r w:rsidRPr="00DE64B9">
        <w:rPr>
          <w:b w:val="0"/>
          <w:sz w:val="24"/>
          <w:szCs w:val="24"/>
        </w:rPr>
        <w:t xml:space="preserve"> system is built into the CAD system, so the ECO just </w:t>
      </w:r>
      <w:proofErr w:type="gramStart"/>
      <w:r w:rsidRPr="00DE64B9">
        <w:rPr>
          <w:b w:val="0"/>
          <w:sz w:val="24"/>
          <w:szCs w:val="24"/>
        </w:rPr>
        <w:t>has to</w:t>
      </w:r>
      <w:proofErr w:type="gramEnd"/>
      <w:r w:rsidRPr="00DE64B9">
        <w:rPr>
          <w:b w:val="0"/>
          <w:sz w:val="24"/>
          <w:szCs w:val="24"/>
        </w:rPr>
        <w:t xml:space="preserve"> push a button to be connected. The </w:t>
      </w:r>
      <w:proofErr w:type="spellStart"/>
      <w:r w:rsidRPr="00DE64B9">
        <w:rPr>
          <w:b w:val="0"/>
          <w:sz w:val="24"/>
          <w:szCs w:val="24"/>
        </w:rPr>
        <w:t>Language</w:t>
      </w:r>
      <w:r w:rsidR="00195FD1">
        <w:rPr>
          <w:b w:val="0"/>
          <w:sz w:val="24"/>
          <w:szCs w:val="24"/>
        </w:rPr>
        <w:t>L</w:t>
      </w:r>
      <w:r w:rsidRPr="00DE64B9">
        <w:rPr>
          <w:b w:val="0"/>
          <w:sz w:val="24"/>
          <w:szCs w:val="24"/>
        </w:rPr>
        <w:t>ine</w:t>
      </w:r>
      <w:proofErr w:type="spellEnd"/>
      <w:r w:rsidRPr="00DE64B9">
        <w:rPr>
          <w:b w:val="0"/>
          <w:sz w:val="24"/>
          <w:szCs w:val="24"/>
        </w:rPr>
        <w:t xml:space="preserve"> is used in call centers statewide and falls under the New Mexico Department of Finance and Administration.”</w:t>
      </w:r>
    </w:p>
    <w:bookmarkEnd w:id="512"/>
    <w:p w14:paraId="18379AB3" w14:textId="77777777" w:rsidR="00527EDF" w:rsidRDefault="00527EDF" w:rsidP="00527EDF">
      <w:pPr>
        <w:pStyle w:val="NoSpacing"/>
        <w:rPr>
          <w:rFonts w:ascii="Times New Roman" w:hAnsi="Times New Roman"/>
          <w:sz w:val="24"/>
          <w:szCs w:val="24"/>
        </w:rPr>
      </w:pPr>
    </w:p>
    <w:p w14:paraId="40D9D147" w14:textId="77777777" w:rsidR="00C95AF6" w:rsidRDefault="00C95AF6" w:rsidP="00DE0F03">
      <w:pPr>
        <w:pStyle w:val="NoSpacing"/>
        <w:rPr>
          <w:rFonts w:ascii="Arial Black" w:hAnsi="Arial Black"/>
          <w:sz w:val="24"/>
          <w:szCs w:val="24"/>
        </w:rPr>
      </w:pPr>
    </w:p>
    <w:p w14:paraId="17236AD2" w14:textId="156B5CF2" w:rsidR="00C95AF6" w:rsidRDefault="00C95AF6" w:rsidP="00DE0F03">
      <w:pPr>
        <w:pStyle w:val="NoSpacing"/>
        <w:rPr>
          <w:rFonts w:ascii="Arial Black" w:hAnsi="Arial Black"/>
          <w:sz w:val="24"/>
          <w:szCs w:val="24"/>
        </w:rPr>
      </w:pPr>
      <w:r>
        <w:rPr>
          <w:rFonts w:ascii="Arial Black" w:hAnsi="Arial Black"/>
          <w:sz w:val="24"/>
          <w:szCs w:val="24"/>
        </w:rPr>
        <w:t>13-24</w:t>
      </w:r>
    </w:p>
    <w:p w14:paraId="52D976CC" w14:textId="7BAF4380" w:rsidR="00C95AF6" w:rsidRDefault="00C95AF6" w:rsidP="00DE0F03">
      <w:pPr>
        <w:pStyle w:val="NoSpacing"/>
        <w:rPr>
          <w:rFonts w:ascii="Arial Black" w:hAnsi="Arial Black"/>
          <w:sz w:val="24"/>
          <w:szCs w:val="24"/>
        </w:rPr>
      </w:pPr>
    </w:p>
    <w:p w14:paraId="3528A4E2" w14:textId="77777777" w:rsidR="00C95AF6" w:rsidRPr="00C95AF6" w:rsidRDefault="00C95AF6" w:rsidP="00DE0F03">
      <w:pPr>
        <w:pStyle w:val="NoSpacing"/>
        <w:rPr>
          <w:rFonts w:ascii="Arial Black" w:hAnsi="Arial Black" w:cs="Arial"/>
          <w:sz w:val="28"/>
          <w:szCs w:val="28"/>
        </w:rPr>
      </w:pPr>
      <w:bookmarkStart w:id="513" w:name="_Hlk41153633"/>
      <w:r w:rsidRPr="00C95AF6">
        <w:rPr>
          <w:rFonts w:ascii="Arial Black" w:hAnsi="Arial Black" w:cs="Arial"/>
          <w:sz w:val="28"/>
          <w:szCs w:val="28"/>
        </w:rPr>
        <w:t xml:space="preserve">NY: EMT SUING RESTAURANT - SLIP &amp; FALL ICY SIDEWALK, HELPING PATIENT WHO FELL – MUST PROVE RESTAURANT KNEW ABOUT ICE </w:t>
      </w:r>
    </w:p>
    <w:p w14:paraId="04392F43" w14:textId="77777777" w:rsidR="00C95AF6" w:rsidRDefault="00C95AF6" w:rsidP="00DE0F03">
      <w:pPr>
        <w:pStyle w:val="NoSpacing"/>
        <w:rPr>
          <w:rFonts w:ascii="Arial" w:hAnsi="Arial" w:cs="Arial"/>
          <w:sz w:val="35"/>
          <w:szCs w:val="35"/>
        </w:rPr>
      </w:pPr>
    </w:p>
    <w:p w14:paraId="0DBD8C13" w14:textId="702ABB03" w:rsidR="00C95AF6" w:rsidRPr="0036327D" w:rsidRDefault="00C95AF6" w:rsidP="00DE0F03">
      <w:pPr>
        <w:pStyle w:val="NoSpacing"/>
        <w:rPr>
          <w:rFonts w:ascii="Times New Roman" w:hAnsi="Times New Roman"/>
          <w:sz w:val="24"/>
          <w:szCs w:val="24"/>
        </w:rPr>
      </w:pPr>
      <w:r w:rsidRPr="0036327D">
        <w:rPr>
          <w:rFonts w:ascii="Times New Roman" w:hAnsi="Times New Roman"/>
          <w:sz w:val="24"/>
          <w:szCs w:val="24"/>
        </w:rPr>
        <w:t xml:space="preserve">On April 5, 2019, in Michael Benny v. Concord Partners 46Stree LLC, Supreme Court of New York, Part 63, 2019 NY Slip Op 30983(U), Judge Tanya R. Kennedy denied the EMT’s motion for summary judgment. “Here, the testimony raises factual issues as to the length of time the alleged condition existed and whether the defendants knew about the condition in enough time to remedy the situation. Plaintiff testified that he did not observe any ice prior to his accident, and it is unknown whether the condition was visible and apparent to the defendants.” </w:t>
      </w:r>
      <w:hyperlink r:id="rId2285" w:history="1">
        <w:r w:rsidRPr="0036327D">
          <w:rPr>
            <w:rStyle w:val="Hyperlink"/>
            <w:rFonts w:ascii="Times New Roman" w:hAnsi="Times New Roman"/>
            <w:sz w:val="24"/>
            <w:szCs w:val="24"/>
          </w:rPr>
          <w:t>https://law.justia.com/cases/new-york/other-courts/2019/2019-ny-slip-op-30983-u.html</w:t>
        </w:r>
      </w:hyperlink>
      <w:r w:rsidRPr="0036327D">
        <w:rPr>
          <w:rFonts w:ascii="Times New Roman" w:hAnsi="Times New Roman"/>
          <w:sz w:val="24"/>
          <w:szCs w:val="24"/>
        </w:rPr>
        <w:t xml:space="preserve"> </w:t>
      </w:r>
    </w:p>
    <w:p w14:paraId="3255631E" w14:textId="10C847A6" w:rsidR="00C95AF6" w:rsidRPr="0036327D" w:rsidRDefault="00C95AF6" w:rsidP="00DE0F03">
      <w:pPr>
        <w:pStyle w:val="NoSpacing"/>
        <w:rPr>
          <w:rFonts w:ascii="Times New Roman" w:hAnsi="Times New Roman"/>
          <w:sz w:val="24"/>
          <w:szCs w:val="24"/>
        </w:rPr>
      </w:pPr>
    </w:p>
    <w:p w14:paraId="6E71654C" w14:textId="142270D1" w:rsidR="00C95AF6" w:rsidRPr="0036327D" w:rsidRDefault="00C95AF6" w:rsidP="00DE0F03">
      <w:pPr>
        <w:pStyle w:val="NoSpacing"/>
        <w:rPr>
          <w:rFonts w:ascii="Times New Roman" w:hAnsi="Times New Roman"/>
          <w:b/>
          <w:bCs/>
          <w:sz w:val="24"/>
          <w:szCs w:val="24"/>
        </w:rPr>
      </w:pPr>
      <w:r w:rsidRPr="0036327D">
        <w:rPr>
          <w:rFonts w:ascii="Times New Roman" w:hAnsi="Times New Roman"/>
          <w:b/>
          <w:bCs/>
          <w:sz w:val="24"/>
          <w:szCs w:val="24"/>
        </w:rPr>
        <w:t>Legal Lessons Learned: Lawsuit will now be tried. The “danger invites rescue” doctrine is applicable only in extreme emergency, helping another avoid serious injury or death.</w:t>
      </w:r>
    </w:p>
    <w:bookmarkEnd w:id="513"/>
    <w:p w14:paraId="71AA6737" w14:textId="77777777" w:rsidR="00C95AF6" w:rsidRPr="0036327D" w:rsidRDefault="00C95AF6" w:rsidP="00DE0F03">
      <w:pPr>
        <w:pStyle w:val="NoSpacing"/>
        <w:rPr>
          <w:rFonts w:ascii="Times New Roman" w:hAnsi="Times New Roman"/>
          <w:sz w:val="24"/>
          <w:szCs w:val="24"/>
        </w:rPr>
      </w:pPr>
    </w:p>
    <w:p w14:paraId="102279ED" w14:textId="2BBFC906" w:rsidR="00C95AF6" w:rsidRPr="0036327D" w:rsidRDefault="00C95AF6" w:rsidP="00DE0F03">
      <w:pPr>
        <w:pStyle w:val="NoSpacing"/>
        <w:rPr>
          <w:rFonts w:ascii="Times New Roman" w:hAnsi="Times New Roman"/>
          <w:sz w:val="24"/>
          <w:szCs w:val="24"/>
        </w:rPr>
      </w:pPr>
    </w:p>
    <w:p w14:paraId="08FA77CB" w14:textId="77777777" w:rsidR="00C95AF6" w:rsidRPr="0036327D" w:rsidRDefault="00C95AF6" w:rsidP="00DE0F03">
      <w:pPr>
        <w:pStyle w:val="NoSpacing"/>
        <w:rPr>
          <w:rFonts w:ascii="Times New Roman" w:hAnsi="Times New Roman"/>
          <w:sz w:val="24"/>
          <w:szCs w:val="24"/>
        </w:rPr>
      </w:pPr>
    </w:p>
    <w:p w14:paraId="3D9EAE1A" w14:textId="77777777" w:rsidR="0036327D" w:rsidRDefault="0036327D" w:rsidP="00DE0F03">
      <w:pPr>
        <w:pStyle w:val="NoSpacing"/>
        <w:rPr>
          <w:rFonts w:ascii="Arial Black" w:hAnsi="Arial Black"/>
          <w:sz w:val="24"/>
          <w:szCs w:val="24"/>
        </w:rPr>
      </w:pPr>
    </w:p>
    <w:p w14:paraId="4748DB0B" w14:textId="77777777" w:rsidR="0036327D" w:rsidRDefault="0036327D" w:rsidP="00DE0F03">
      <w:pPr>
        <w:pStyle w:val="NoSpacing"/>
        <w:rPr>
          <w:rFonts w:ascii="Arial Black" w:hAnsi="Arial Black"/>
          <w:sz w:val="24"/>
          <w:szCs w:val="24"/>
        </w:rPr>
      </w:pPr>
    </w:p>
    <w:p w14:paraId="690884DB" w14:textId="0B89FA02" w:rsidR="009C7552" w:rsidRDefault="009C7552" w:rsidP="00DE0F03">
      <w:pPr>
        <w:pStyle w:val="NoSpacing"/>
        <w:rPr>
          <w:rFonts w:ascii="Arial Black" w:hAnsi="Arial Black"/>
          <w:sz w:val="24"/>
          <w:szCs w:val="24"/>
        </w:rPr>
      </w:pPr>
      <w:r>
        <w:rPr>
          <w:rFonts w:ascii="Arial Black" w:hAnsi="Arial Black"/>
          <w:sz w:val="24"/>
          <w:szCs w:val="24"/>
        </w:rPr>
        <w:t>13-23</w:t>
      </w:r>
    </w:p>
    <w:p w14:paraId="451E750B" w14:textId="3C7CEE7A" w:rsidR="0036327D" w:rsidRDefault="0036327D" w:rsidP="00DE0F03">
      <w:pPr>
        <w:pStyle w:val="NoSpacing"/>
        <w:rPr>
          <w:rFonts w:ascii="Arial Black" w:hAnsi="Arial Black"/>
          <w:sz w:val="24"/>
          <w:szCs w:val="24"/>
        </w:rPr>
      </w:pPr>
    </w:p>
    <w:p w14:paraId="1FD5A31A" w14:textId="77777777" w:rsidR="0036327D" w:rsidRDefault="0036327D" w:rsidP="00DE0F03">
      <w:pPr>
        <w:pStyle w:val="NoSpacing"/>
        <w:rPr>
          <w:rFonts w:ascii="Arial Black" w:hAnsi="Arial Black"/>
          <w:sz w:val="24"/>
          <w:szCs w:val="24"/>
        </w:rPr>
      </w:pPr>
    </w:p>
    <w:p w14:paraId="0D199C5B" w14:textId="77777777" w:rsidR="009C7552" w:rsidRPr="009C7552" w:rsidRDefault="009C7552" w:rsidP="00DE0F03">
      <w:pPr>
        <w:pStyle w:val="NoSpacing"/>
        <w:rPr>
          <w:rFonts w:ascii="Arial Black" w:hAnsi="Arial Black" w:cs="Arial"/>
          <w:sz w:val="28"/>
          <w:szCs w:val="28"/>
        </w:rPr>
      </w:pPr>
      <w:bookmarkStart w:id="514" w:name="_Hlk41295871"/>
      <w:bookmarkStart w:id="515" w:name="_Hlk41153674"/>
      <w:r w:rsidRPr="009C7552">
        <w:rPr>
          <w:rFonts w:ascii="Arial Black" w:hAnsi="Arial Black" w:cs="Arial"/>
          <w:sz w:val="28"/>
          <w:szCs w:val="28"/>
        </w:rPr>
        <w:lastRenderedPageBreak/>
        <w:t>MI: PRIVATE AMBULANCES – COUNTY ORDINANCE THAT CO. MUST GET THEIR APPROVAL – FED. JUDGE WILL NOT DECLARE THIS LAWFUL</w:t>
      </w:r>
    </w:p>
    <w:p w14:paraId="19EACD07" w14:textId="3E75932B" w:rsidR="009C7552" w:rsidRPr="0036327D" w:rsidRDefault="009C7552" w:rsidP="00DE0F03">
      <w:pPr>
        <w:pStyle w:val="NoSpacing"/>
        <w:rPr>
          <w:rFonts w:ascii="Times New Roman" w:hAnsi="Times New Roman"/>
          <w:sz w:val="24"/>
          <w:szCs w:val="24"/>
        </w:rPr>
      </w:pPr>
      <w:r w:rsidRPr="0036327D">
        <w:rPr>
          <w:rFonts w:ascii="Times New Roman" w:hAnsi="Times New Roman"/>
          <w:sz w:val="24"/>
          <w:szCs w:val="24"/>
        </w:rPr>
        <w:t xml:space="preserve">On March 25, 2019, in Saginaw County v. State Emergency Medical Service, Inc., U.S. District Court Judge Terrence B. Berg, again denied the County’s request for a declaratory judgment that its ordinance is lawful and not a restraint of trade under Sherman Antitrust Act. “Plaintiff sought a declaration that their ambulance plan was legal and not in violation of the Sherman Act, among other statutes. But they did not plead adequate facts to show that this is true. The Court made no finding whatever on the question of whether Saginaw County’s plan ran afoul of the Sherman Act, it simply concluded that, on the facts as alleged, the Court could not declare as a matter of law that the plan does not violate the Act.” </w:t>
      </w:r>
      <w:hyperlink r:id="rId2286" w:history="1">
        <w:r w:rsidRPr="0036327D">
          <w:rPr>
            <w:rStyle w:val="Hyperlink"/>
            <w:rFonts w:ascii="Times New Roman" w:hAnsi="Times New Roman"/>
            <w:sz w:val="24"/>
            <w:szCs w:val="24"/>
          </w:rPr>
          <w:t>http://business.cch.com/ald/saginawVstat03262019.pdf</w:t>
        </w:r>
      </w:hyperlink>
      <w:r w:rsidRPr="0036327D">
        <w:rPr>
          <w:rFonts w:ascii="Times New Roman" w:hAnsi="Times New Roman"/>
          <w:sz w:val="24"/>
          <w:szCs w:val="24"/>
        </w:rPr>
        <w:t xml:space="preserve"> </w:t>
      </w:r>
    </w:p>
    <w:p w14:paraId="0A4032CA" w14:textId="77777777" w:rsidR="009C7552" w:rsidRPr="0036327D" w:rsidRDefault="009C7552" w:rsidP="00DE0F03">
      <w:pPr>
        <w:pStyle w:val="NoSpacing"/>
        <w:rPr>
          <w:rFonts w:ascii="Times New Roman" w:hAnsi="Times New Roman"/>
          <w:sz w:val="24"/>
          <w:szCs w:val="24"/>
        </w:rPr>
      </w:pPr>
    </w:p>
    <w:p w14:paraId="37BA3F7F" w14:textId="52118775" w:rsidR="009C7552" w:rsidRPr="0036327D" w:rsidRDefault="009C7552" w:rsidP="009C7552">
      <w:pPr>
        <w:pStyle w:val="NoSpacing"/>
        <w:ind w:left="720"/>
        <w:rPr>
          <w:rFonts w:ascii="Times New Roman" w:hAnsi="Times New Roman"/>
          <w:b/>
          <w:bCs/>
          <w:sz w:val="24"/>
          <w:szCs w:val="24"/>
        </w:rPr>
      </w:pPr>
      <w:r w:rsidRPr="0036327D">
        <w:rPr>
          <w:rFonts w:ascii="Times New Roman" w:hAnsi="Times New Roman"/>
          <w:sz w:val="24"/>
          <w:szCs w:val="24"/>
        </w:rPr>
        <w:t xml:space="preserve">See also article on this decision in Antitrust News: </w:t>
      </w:r>
      <w:hyperlink r:id="rId2287" w:history="1">
        <w:r w:rsidRPr="0036327D">
          <w:rPr>
            <w:rStyle w:val="Hyperlink"/>
            <w:rFonts w:ascii="Times New Roman" w:hAnsi="Times New Roman"/>
            <w:sz w:val="24"/>
            <w:szCs w:val="24"/>
          </w:rPr>
          <w:t>https://lrus.wolterskluwer.com/store/daily-reporting-suite/antitrust-law-daily/</w:t>
        </w:r>
      </w:hyperlink>
      <w:r w:rsidRPr="0036327D">
        <w:rPr>
          <w:rFonts w:ascii="Times New Roman" w:hAnsi="Times New Roman"/>
          <w:sz w:val="24"/>
          <w:szCs w:val="24"/>
        </w:rPr>
        <w:t xml:space="preserve"> </w:t>
      </w:r>
    </w:p>
    <w:p w14:paraId="708A436B" w14:textId="77777777" w:rsidR="009C7552" w:rsidRPr="0036327D" w:rsidRDefault="009C7552" w:rsidP="00DE0F03">
      <w:pPr>
        <w:pStyle w:val="NoSpacing"/>
        <w:rPr>
          <w:rFonts w:ascii="Times New Roman" w:hAnsi="Times New Roman"/>
          <w:b/>
          <w:bCs/>
          <w:sz w:val="24"/>
          <w:szCs w:val="24"/>
        </w:rPr>
      </w:pPr>
    </w:p>
    <w:p w14:paraId="3F9BBA7A" w14:textId="7F22AE6B" w:rsidR="009C7552" w:rsidRPr="0036327D" w:rsidRDefault="009C7552" w:rsidP="00DE0F03">
      <w:pPr>
        <w:pStyle w:val="NoSpacing"/>
        <w:rPr>
          <w:rFonts w:ascii="Times New Roman" w:hAnsi="Times New Roman"/>
          <w:b/>
          <w:bCs/>
          <w:sz w:val="24"/>
          <w:szCs w:val="24"/>
        </w:rPr>
      </w:pPr>
      <w:r w:rsidRPr="0036327D">
        <w:rPr>
          <w:rFonts w:ascii="Times New Roman" w:hAnsi="Times New Roman"/>
          <w:b/>
          <w:bCs/>
          <w:sz w:val="24"/>
          <w:szCs w:val="24"/>
        </w:rPr>
        <w:t xml:space="preserve">Legal Lessons Learned: Competition among private ambulance companies is generally good for patients. </w:t>
      </w:r>
    </w:p>
    <w:bookmarkEnd w:id="514"/>
    <w:p w14:paraId="04F5BBA5" w14:textId="77777777" w:rsidR="009C7552" w:rsidRPr="0036327D" w:rsidRDefault="009C7552" w:rsidP="00DE0F03">
      <w:pPr>
        <w:pStyle w:val="NoSpacing"/>
        <w:rPr>
          <w:rFonts w:ascii="Times New Roman" w:hAnsi="Times New Roman"/>
          <w:sz w:val="24"/>
          <w:szCs w:val="24"/>
        </w:rPr>
      </w:pPr>
    </w:p>
    <w:bookmarkEnd w:id="515"/>
    <w:p w14:paraId="5B6F2034" w14:textId="778FC311" w:rsidR="009C7552" w:rsidRPr="0036327D" w:rsidRDefault="009C7552" w:rsidP="00DE0F03">
      <w:pPr>
        <w:pStyle w:val="NoSpacing"/>
        <w:rPr>
          <w:rFonts w:ascii="Times New Roman" w:hAnsi="Times New Roman"/>
          <w:sz w:val="24"/>
          <w:szCs w:val="24"/>
        </w:rPr>
      </w:pPr>
    </w:p>
    <w:p w14:paraId="3B0AFBA0" w14:textId="77777777" w:rsidR="009C7552" w:rsidRPr="0036327D" w:rsidRDefault="009C7552" w:rsidP="00DE0F03">
      <w:pPr>
        <w:pStyle w:val="NoSpacing"/>
        <w:rPr>
          <w:rFonts w:ascii="Times New Roman" w:hAnsi="Times New Roman"/>
          <w:sz w:val="24"/>
          <w:szCs w:val="24"/>
        </w:rPr>
      </w:pPr>
    </w:p>
    <w:p w14:paraId="34BF321D" w14:textId="51336087" w:rsidR="00DE0F03" w:rsidRDefault="00DE0F03" w:rsidP="00DE0F03">
      <w:pPr>
        <w:pStyle w:val="NoSpacing"/>
        <w:rPr>
          <w:rFonts w:ascii="Arial Black" w:hAnsi="Arial Black"/>
          <w:sz w:val="24"/>
          <w:szCs w:val="24"/>
        </w:rPr>
      </w:pPr>
      <w:r>
        <w:rPr>
          <w:rFonts w:ascii="Arial Black" w:hAnsi="Arial Black"/>
          <w:sz w:val="24"/>
          <w:szCs w:val="24"/>
        </w:rPr>
        <w:t>13-22</w:t>
      </w:r>
    </w:p>
    <w:p w14:paraId="48C7DDDA" w14:textId="66E439FC" w:rsidR="00527EDF" w:rsidRDefault="00527EDF" w:rsidP="00F326E5">
      <w:pPr>
        <w:pStyle w:val="NoSpacing"/>
        <w:rPr>
          <w:sz w:val="24"/>
          <w:szCs w:val="24"/>
        </w:rPr>
      </w:pPr>
    </w:p>
    <w:p w14:paraId="504039E7" w14:textId="77777777" w:rsidR="00527EDF" w:rsidRDefault="00527EDF" w:rsidP="00F326E5">
      <w:pPr>
        <w:pStyle w:val="NoSpacing"/>
        <w:rPr>
          <w:sz w:val="24"/>
          <w:szCs w:val="24"/>
        </w:rPr>
      </w:pPr>
    </w:p>
    <w:p w14:paraId="040AAAA1" w14:textId="0073AC6F" w:rsidR="00F326E5" w:rsidRDefault="00F326E5" w:rsidP="00F326E5">
      <w:pPr>
        <w:pStyle w:val="NoSpacing"/>
        <w:rPr>
          <w:sz w:val="32"/>
        </w:rPr>
      </w:pPr>
      <w:bookmarkStart w:id="516" w:name="_Hlk41153721"/>
      <w:r>
        <w:rPr>
          <w:rFonts w:ascii="Arial Black" w:hAnsi="Arial Black"/>
          <w:sz w:val="28"/>
          <w:szCs w:val="28"/>
        </w:rPr>
        <w:t>HHS OPINION: CLINIC PROVIDE FREE HOME VISITS – CHF / COPD PATIENTS – NOT FED. ANTI-KICKBACK</w:t>
      </w:r>
    </w:p>
    <w:p w14:paraId="284093B8" w14:textId="77777777" w:rsidR="00F326E5" w:rsidRPr="006114FF" w:rsidRDefault="00F326E5" w:rsidP="00F326E5">
      <w:pPr>
        <w:pStyle w:val="NoSpacing"/>
        <w:rPr>
          <w:rFonts w:ascii="Times New Roman" w:hAnsi="Times New Roman"/>
          <w:sz w:val="24"/>
          <w:szCs w:val="24"/>
        </w:rPr>
      </w:pPr>
      <w:r w:rsidRPr="006114FF">
        <w:rPr>
          <w:rFonts w:ascii="Times New Roman" w:hAnsi="Times New Roman"/>
          <w:sz w:val="24"/>
          <w:szCs w:val="24"/>
        </w:rPr>
        <w:t xml:space="preserve">On March 6, 2019, the HHS Office of Inspector General issued Advisory Opinion No. 19-03. </w:t>
      </w:r>
      <w:hyperlink r:id="rId2288" w:history="1">
        <w:r w:rsidRPr="006114FF">
          <w:rPr>
            <w:rStyle w:val="Hyperlink"/>
            <w:rFonts w:ascii="Times New Roman" w:hAnsi="Times New Roman"/>
            <w:sz w:val="24"/>
            <w:szCs w:val="24"/>
          </w:rPr>
          <w:t>https://oig.hhs.gov/fraud/docs/advisoryopinions/2019/AdvOpn19-03.pdf</w:t>
        </w:r>
      </w:hyperlink>
      <w:r w:rsidRPr="006114FF">
        <w:rPr>
          <w:rFonts w:ascii="Times New Roman" w:hAnsi="Times New Roman"/>
          <w:sz w:val="24"/>
          <w:szCs w:val="24"/>
        </w:rPr>
        <w:t xml:space="preserve"> </w:t>
      </w:r>
    </w:p>
    <w:p w14:paraId="506FBA48" w14:textId="77777777" w:rsidR="00F326E5" w:rsidRPr="006114FF" w:rsidRDefault="00F326E5" w:rsidP="00F326E5">
      <w:pPr>
        <w:pStyle w:val="NoSpacing"/>
        <w:rPr>
          <w:rFonts w:ascii="Times New Roman" w:hAnsi="Times New Roman"/>
          <w:sz w:val="24"/>
          <w:szCs w:val="24"/>
        </w:rPr>
      </w:pPr>
    </w:p>
    <w:p w14:paraId="694A3E16" w14:textId="77777777" w:rsidR="00F326E5" w:rsidRPr="006114FF" w:rsidRDefault="00F326E5" w:rsidP="00F326E5">
      <w:pPr>
        <w:pStyle w:val="NoSpacing"/>
        <w:ind w:left="720"/>
        <w:rPr>
          <w:rFonts w:ascii="Times New Roman" w:hAnsi="Times New Roman"/>
          <w:sz w:val="24"/>
          <w:szCs w:val="24"/>
        </w:rPr>
      </w:pPr>
      <w:r w:rsidRPr="006114FF">
        <w:rPr>
          <w:rFonts w:ascii="Times New Roman" w:hAnsi="Times New Roman"/>
          <w:sz w:val="24"/>
          <w:szCs w:val="24"/>
        </w:rPr>
        <w:t xml:space="preserve">“Requestor [clinic] has developed a program to provide free, in-home follow-up care to certain patients who it certifies are at higher risk of admission or readmission to a hospital. Under the Current Arrangement, Requestor offers in-home care to patients with congestive heart </w:t>
      </w:r>
      <w:proofErr w:type="gramStart"/>
      <w:r w:rsidRPr="006114FF">
        <w:rPr>
          <w:rFonts w:ascii="Times New Roman" w:hAnsi="Times New Roman"/>
          <w:sz w:val="24"/>
          <w:szCs w:val="24"/>
        </w:rPr>
        <w:t>failure (‘</w:t>
      </w:r>
      <w:proofErr w:type="gramEnd"/>
      <w:r w:rsidRPr="006114FF">
        <w:rPr>
          <w:rFonts w:ascii="Times New Roman" w:hAnsi="Times New Roman"/>
          <w:sz w:val="24"/>
          <w:szCs w:val="24"/>
        </w:rPr>
        <w:t xml:space="preserve">CHF’) who qualify for participation, and under the Proposed Arrangement, Requestor would expand the program to qualifying patients with chronic obstructive pulmonary </w:t>
      </w:r>
      <w:proofErr w:type="gramStart"/>
      <w:r w:rsidRPr="006114FF">
        <w:rPr>
          <w:rFonts w:ascii="Times New Roman" w:hAnsi="Times New Roman"/>
          <w:sz w:val="24"/>
          <w:szCs w:val="24"/>
        </w:rPr>
        <w:t>disease (‘</w:t>
      </w:r>
      <w:proofErr w:type="gramEnd"/>
      <w:r w:rsidRPr="006114FF">
        <w:rPr>
          <w:rFonts w:ascii="Times New Roman" w:hAnsi="Times New Roman"/>
          <w:sz w:val="24"/>
          <w:szCs w:val="24"/>
        </w:rPr>
        <w:t>COPD’). According to Requestor, the goals of both Arrangements are to increase patient compliance with discharge plans, improve patient health, and reduce hospital inpatient admissions and readmissions.</w:t>
      </w:r>
    </w:p>
    <w:p w14:paraId="580B3669" w14:textId="77777777" w:rsidR="006114FF" w:rsidRDefault="006114FF" w:rsidP="00F326E5">
      <w:pPr>
        <w:pStyle w:val="NoSpacing"/>
        <w:rPr>
          <w:rFonts w:ascii="Times New Roman" w:hAnsi="Times New Roman"/>
          <w:b/>
          <w:sz w:val="24"/>
          <w:szCs w:val="24"/>
        </w:rPr>
      </w:pPr>
      <w:bookmarkStart w:id="517" w:name="_Hlk6756145"/>
    </w:p>
    <w:p w14:paraId="603CBB57" w14:textId="5B5E9F1E" w:rsidR="00F326E5" w:rsidRPr="006114FF" w:rsidRDefault="00F326E5" w:rsidP="00F326E5">
      <w:pPr>
        <w:pStyle w:val="NoSpacing"/>
        <w:rPr>
          <w:rFonts w:ascii="Times New Roman" w:hAnsi="Times New Roman"/>
          <w:b/>
          <w:sz w:val="24"/>
          <w:szCs w:val="24"/>
        </w:rPr>
      </w:pPr>
      <w:r w:rsidRPr="006114FF">
        <w:rPr>
          <w:rFonts w:ascii="Times New Roman" w:hAnsi="Times New Roman"/>
          <w:b/>
          <w:sz w:val="24"/>
          <w:szCs w:val="24"/>
        </w:rPr>
        <w:t xml:space="preserve">Legal Lessons Learned: Community Paramedicine programs are rapidly expanding throughout the Nation. </w:t>
      </w:r>
    </w:p>
    <w:bookmarkEnd w:id="433"/>
    <w:bookmarkEnd w:id="517"/>
    <w:p w14:paraId="2DC65B07" w14:textId="77777777" w:rsidR="00DE0F03" w:rsidRPr="006114FF" w:rsidRDefault="00DE0F03" w:rsidP="00DE0F03">
      <w:pPr>
        <w:pStyle w:val="NoSpacing"/>
        <w:rPr>
          <w:rFonts w:ascii="Times New Roman" w:hAnsi="Times New Roman"/>
          <w:sz w:val="24"/>
          <w:szCs w:val="24"/>
        </w:rPr>
      </w:pPr>
    </w:p>
    <w:bookmarkEnd w:id="516"/>
    <w:p w14:paraId="06C9AFBC" w14:textId="026779F8" w:rsidR="005F7D6B" w:rsidRPr="005F7D6B" w:rsidRDefault="005F7D6B" w:rsidP="00DE0F03">
      <w:pPr>
        <w:pStyle w:val="NoSpacing"/>
        <w:rPr>
          <w:rFonts w:ascii="Times New Roman" w:hAnsi="Times New Roman"/>
          <w:sz w:val="24"/>
          <w:szCs w:val="24"/>
        </w:rPr>
      </w:pPr>
    </w:p>
    <w:p w14:paraId="56BEDB2F" w14:textId="77777777" w:rsidR="005F7D6B" w:rsidRDefault="005F7D6B" w:rsidP="00DE0F03">
      <w:pPr>
        <w:pStyle w:val="NoSpacing"/>
        <w:rPr>
          <w:rFonts w:ascii="Arial Black" w:hAnsi="Arial Black"/>
          <w:sz w:val="24"/>
          <w:szCs w:val="24"/>
        </w:rPr>
      </w:pPr>
    </w:p>
    <w:p w14:paraId="482C3816" w14:textId="2D9EF36F" w:rsidR="00DE0F03" w:rsidRDefault="00DE0F03" w:rsidP="00DE0F03">
      <w:pPr>
        <w:pStyle w:val="NoSpacing"/>
        <w:rPr>
          <w:rFonts w:ascii="Arial Black" w:hAnsi="Arial Black"/>
          <w:sz w:val="24"/>
          <w:szCs w:val="24"/>
        </w:rPr>
      </w:pPr>
      <w:r>
        <w:rPr>
          <w:rFonts w:ascii="Arial Black" w:hAnsi="Arial Black"/>
          <w:sz w:val="24"/>
          <w:szCs w:val="24"/>
        </w:rPr>
        <w:t>13-21</w:t>
      </w:r>
    </w:p>
    <w:p w14:paraId="6C02713D" w14:textId="77777777" w:rsidR="00DE0F03" w:rsidRDefault="00DE0F03" w:rsidP="00F326E5">
      <w:pPr>
        <w:pStyle w:val="NoSpacing"/>
        <w:rPr>
          <w:rFonts w:ascii="Arial Black" w:hAnsi="Arial Black"/>
          <w:sz w:val="28"/>
          <w:szCs w:val="28"/>
        </w:rPr>
      </w:pPr>
      <w:bookmarkStart w:id="518" w:name="_Hlk7346249"/>
    </w:p>
    <w:p w14:paraId="542D6FF9" w14:textId="4DC3CFA9" w:rsidR="00F326E5" w:rsidRDefault="00F326E5" w:rsidP="00F326E5">
      <w:pPr>
        <w:pStyle w:val="NoSpacing"/>
        <w:rPr>
          <w:rFonts w:ascii="Arial Black" w:hAnsi="Arial Black"/>
          <w:sz w:val="28"/>
          <w:szCs w:val="28"/>
        </w:rPr>
      </w:pPr>
      <w:bookmarkStart w:id="519" w:name="_Hlk41295020"/>
      <w:bookmarkStart w:id="520" w:name="_Hlk41153758"/>
      <w:r>
        <w:rPr>
          <w:rFonts w:ascii="Arial Black" w:hAnsi="Arial Black"/>
          <w:sz w:val="28"/>
          <w:szCs w:val="28"/>
        </w:rPr>
        <w:t xml:space="preserve">PA: ATTEMPTED MURDER CONV. UPHELD - EMT TESTIFIED ABOUT VICTIM’S </w:t>
      </w:r>
      <w:r w:rsidR="000F0910">
        <w:rPr>
          <w:rFonts w:ascii="Arial Black" w:hAnsi="Arial Black"/>
          <w:sz w:val="28"/>
          <w:szCs w:val="28"/>
        </w:rPr>
        <w:t xml:space="preserve">COMMENTS ABOUT </w:t>
      </w:r>
      <w:r>
        <w:rPr>
          <w:rFonts w:ascii="Arial Black" w:hAnsi="Arial Black"/>
          <w:sz w:val="28"/>
          <w:szCs w:val="28"/>
        </w:rPr>
        <w:t xml:space="preserve">WHO SHOT HIM </w:t>
      </w:r>
    </w:p>
    <w:p w14:paraId="6E2D8ED4" w14:textId="77777777" w:rsidR="00F326E5" w:rsidRPr="006114FF" w:rsidRDefault="00F326E5" w:rsidP="006114FF">
      <w:pPr>
        <w:pStyle w:val="NoSpacing"/>
        <w:rPr>
          <w:rFonts w:ascii="Times New Roman" w:hAnsi="Times New Roman"/>
          <w:sz w:val="24"/>
          <w:szCs w:val="24"/>
        </w:rPr>
      </w:pPr>
      <w:r w:rsidRPr="006114FF">
        <w:rPr>
          <w:rFonts w:ascii="Times New Roman" w:hAnsi="Times New Roman"/>
          <w:sz w:val="24"/>
          <w:szCs w:val="24"/>
        </w:rPr>
        <w:t xml:space="preserve">On Feb. 22, 2019, in </w:t>
      </w:r>
      <w:r w:rsidRPr="006114FF">
        <w:rPr>
          <w:rFonts w:ascii="Times New Roman" w:hAnsi="Times New Roman"/>
          <w:sz w:val="24"/>
          <w:szCs w:val="24"/>
          <w:u w:val="single"/>
        </w:rPr>
        <w:t>Commonwealth of Pennsylvania v. Gregory Mack</w:t>
      </w:r>
      <w:r w:rsidRPr="006114FF">
        <w:rPr>
          <w:rFonts w:ascii="Times New Roman" w:hAnsi="Times New Roman"/>
          <w:sz w:val="24"/>
          <w:szCs w:val="24"/>
        </w:rPr>
        <w:t xml:space="preserve">, the Superior Court of PA held (3 to 0) that the jury conviction is affirmed.  One of the issues on appeal was veracity of the EMT who testified at the criminal trial: </w:t>
      </w:r>
    </w:p>
    <w:p w14:paraId="64CD4004" w14:textId="77777777" w:rsidR="00F326E5" w:rsidRPr="006114FF" w:rsidRDefault="00F326E5" w:rsidP="006114FF">
      <w:pPr>
        <w:pStyle w:val="NoSpacing"/>
        <w:ind w:left="720"/>
        <w:rPr>
          <w:rFonts w:ascii="Times New Roman" w:hAnsi="Times New Roman"/>
          <w:sz w:val="24"/>
          <w:szCs w:val="24"/>
        </w:rPr>
      </w:pPr>
      <w:r w:rsidRPr="006114FF">
        <w:rPr>
          <w:rFonts w:ascii="Times New Roman" w:hAnsi="Times New Roman"/>
          <w:sz w:val="24"/>
          <w:szCs w:val="24"/>
        </w:rPr>
        <w:lastRenderedPageBreak/>
        <w:t>“Moreover, at trial, the emergency medical technician (EMT) who transported the victim to the hospital testified that the victim told him that his friend shot him; on appeal, Appellant claims the testimony was invalid and lacked veracity because the EMT did not make a record of the conversation or subsequently inform the police of it.”</w:t>
      </w:r>
    </w:p>
    <w:p w14:paraId="311DD3F6" w14:textId="4497C144" w:rsidR="00F326E5" w:rsidRPr="006114FF" w:rsidRDefault="006114FF" w:rsidP="006114FF">
      <w:pPr>
        <w:pStyle w:val="NoSpacing"/>
        <w:ind w:left="720"/>
        <w:rPr>
          <w:rFonts w:ascii="Times New Roman" w:hAnsi="Times New Roman"/>
          <w:sz w:val="24"/>
          <w:szCs w:val="24"/>
        </w:rPr>
      </w:pPr>
      <w:hyperlink r:id="rId2289" w:anchor="search=%22GREGORY%20MACK%20%27Superior%2bCourt%27%22" w:history="1">
        <w:r w:rsidRPr="002F304C">
          <w:rPr>
            <w:rStyle w:val="Hyperlink"/>
            <w:rFonts w:ascii="Times New Roman" w:hAnsi="Times New Roman"/>
            <w:sz w:val="24"/>
            <w:szCs w:val="24"/>
          </w:rPr>
          <w:t>http://www.pacourts.us/assets/opinions/Superior/out/memorandum%20%20affirmed%20%2010388943251531544.pdf#search=%22GREGORY%20MACK%20%27Superior%2bCourt%27%22</w:t>
        </w:r>
      </w:hyperlink>
      <w:r w:rsidR="00F326E5" w:rsidRPr="006114FF">
        <w:rPr>
          <w:rFonts w:ascii="Times New Roman" w:hAnsi="Times New Roman"/>
          <w:sz w:val="24"/>
          <w:szCs w:val="24"/>
        </w:rPr>
        <w:t xml:space="preserve"> </w:t>
      </w:r>
    </w:p>
    <w:p w14:paraId="41E1EE32" w14:textId="77777777" w:rsidR="006114FF" w:rsidRDefault="006114FF" w:rsidP="006114FF">
      <w:pPr>
        <w:pStyle w:val="NoSpacing"/>
        <w:rPr>
          <w:rFonts w:ascii="Times New Roman" w:hAnsi="Times New Roman"/>
          <w:b/>
          <w:sz w:val="24"/>
          <w:szCs w:val="24"/>
        </w:rPr>
      </w:pPr>
    </w:p>
    <w:p w14:paraId="60595D88" w14:textId="0CDE2945" w:rsidR="00F326E5" w:rsidRPr="006114FF" w:rsidRDefault="00F326E5" w:rsidP="006114FF">
      <w:pPr>
        <w:pStyle w:val="NoSpacing"/>
        <w:rPr>
          <w:rFonts w:ascii="Times New Roman" w:hAnsi="Times New Roman"/>
          <w:b/>
          <w:sz w:val="24"/>
          <w:szCs w:val="24"/>
        </w:rPr>
      </w:pPr>
      <w:r w:rsidRPr="006114FF">
        <w:rPr>
          <w:rFonts w:ascii="Times New Roman" w:hAnsi="Times New Roman"/>
          <w:b/>
          <w:sz w:val="24"/>
          <w:szCs w:val="24"/>
        </w:rPr>
        <w:t>Legal Lessons Learned: EMS should document a victim’s statement concerning who shot him, either on the EMS run report or on a supplemental report. This helps avoid issues on appeal</w:t>
      </w:r>
      <w:bookmarkEnd w:id="519"/>
      <w:r w:rsidRPr="006114FF">
        <w:rPr>
          <w:rFonts w:ascii="Times New Roman" w:hAnsi="Times New Roman"/>
          <w:b/>
          <w:sz w:val="24"/>
          <w:szCs w:val="24"/>
        </w:rPr>
        <w:t xml:space="preserve">.  </w:t>
      </w:r>
    </w:p>
    <w:bookmarkEnd w:id="518"/>
    <w:bookmarkEnd w:id="520"/>
    <w:p w14:paraId="689DEC78" w14:textId="77777777" w:rsidR="00F326E5" w:rsidRDefault="00F326E5" w:rsidP="00F326E5">
      <w:pPr>
        <w:pStyle w:val="NoSpacing"/>
        <w:rPr>
          <w:b/>
          <w:sz w:val="24"/>
          <w:szCs w:val="24"/>
        </w:rPr>
      </w:pPr>
    </w:p>
    <w:p w14:paraId="0CD4CDFB" w14:textId="77777777" w:rsidR="006114FF" w:rsidRDefault="006114FF" w:rsidP="00F326E5">
      <w:pPr>
        <w:pStyle w:val="NoSpacing"/>
        <w:rPr>
          <w:rFonts w:ascii="Arial Black" w:hAnsi="Arial Black"/>
          <w:sz w:val="24"/>
          <w:szCs w:val="24"/>
        </w:rPr>
      </w:pPr>
    </w:p>
    <w:p w14:paraId="0D85A8D0" w14:textId="137BBB80" w:rsidR="00F326E5" w:rsidRDefault="00DE0F03" w:rsidP="00F326E5">
      <w:pPr>
        <w:pStyle w:val="NoSpacing"/>
        <w:rPr>
          <w:b/>
          <w:sz w:val="24"/>
          <w:szCs w:val="24"/>
        </w:rPr>
      </w:pPr>
      <w:r>
        <w:rPr>
          <w:rFonts w:ascii="Arial Black" w:hAnsi="Arial Black"/>
          <w:sz w:val="24"/>
          <w:szCs w:val="24"/>
        </w:rPr>
        <w:t>13-20</w:t>
      </w:r>
    </w:p>
    <w:p w14:paraId="3E74FF6C" w14:textId="77777777" w:rsidR="00DE0F03" w:rsidRDefault="00DE0F03" w:rsidP="00F326E5">
      <w:pPr>
        <w:pStyle w:val="NoSpacing"/>
        <w:rPr>
          <w:b/>
          <w:sz w:val="24"/>
          <w:szCs w:val="24"/>
        </w:rPr>
      </w:pPr>
    </w:p>
    <w:p w14:paraId="5BA9F8A5" w14:textId="64AF921A" w:rsidR="00F326E5" w:rsidRDefault="00F326E5" w:rsidP="00F326E5">
      <w:pPr>
        <w:pStyle w:val="NoSpacing"/>
        <w:rPr>
          <w:rFonts w:ascii="Arial Black" w:hAnsi="Arial Black"/>
          <w:sz w:val="28"/>
          <w:szCs w:val="28"/>
        </w:rPr>
      </w:pPr>
      <w:bookmarkStart w:id="521" w:name="_Hlk41153820"/>
      <w:bookmarkStart w:id="522" w:name="_Hlk7346323"/>
      <w:r w:rsidRPr="009D44BC">
        <w:rPr>
          <w:rFonts w:ascii="Arial Black" w:hAnsi="Arial Black"/>
          <w:sz w:val="28"/>
          <w:szCs w:val="28"/>
        </w:rPr>
        <w:t>OH</w:t>
      </w:r>
      <w:r>
        <w:rPr>
          <w:rFonts w:ascii="Arial Black" w:hAnsi="Arial Black"/>
          <w:sz w:val="28"/>
          <w:szCs w:val="28"/>
        </w:rPr>
        <w:t xml:space="preserve">: DUI - BLOOD DRAW BY NURSE UNCONSCIOUS DRIVER LAWFUL - PD NO TIME FOR SEARCH WARRANT </w:t>
      </w:r>
    </w:p>
    <w:p w14:paraId="334DFF26" w14:textId="77777777" w:rsidR="006114FF" w:rsidRDefault="00F326E5" w:rsidP="00F326E5">
      <w:pPr>
        <w:pStyle w:val="NoSpacing"/>
        <w:rPr>
          <w:rFonts w:ascii="Times New Roman" w:hAnsi="Times New Roman"/>
          <w:sz w:val="24"/>
          <w:szCs w:val="24"/>
        </w:rPr>
      </w:pPr>
      <w:r w:rsidRPr="006114FF">
        <w:rPr>
          <w:rFonts w:ascii="Times New Roman" w:hAnsi="Times New Roman"/>
          <w:sz w:val="24"/>
          <w:szCs w:val="24"/>
        </w:rPr>
        <w:t xml:space="preserve">On Feb. 12, </w:t>
      </w:r>
      <w:proofErr w:type="gramStart"/>
      <w:r w:rsidRPr="006114FF">
        <w:rPr>
          <w:rFonts w:ascii="Times New Roman" w:hAnsi="Times New Roman"/>
          <w:sz w:val="24"/>
          <w:szCs w:val="24"/>
        </w:rPr>
        <w:t>2019</w:t>
      </w:r>
      <w:proofErr w:type="gramEnd"/>
      <w:r w:rsidRPr="006114FF">
        <w:rPr>
          <w:rFonts w:ascii="Times New Roman" w:hAnsi="Times New Roman"/>
          <w:sz w:val="24"/>
          <w:szCs w:val="24"/>
        </w:rPr>
        <w:t xml:space="preserve"> in </w:t>
      </w:r>
      <w:r w:rsidRPr="006114FF">
        <w:rPr>
          <w:rFonts w:ascii="Times New Roman" w:hAnsi="Times New Roman"/>
          <w:sz w:val="24"/>
          <w:szCs w:val="24"/>
          <w:u w:val="single"/>
        </w:rPr>
        <w:t>State of Ohio v. Richard Barnhart, Jr.</w:t>
      </w:r>
      <w:r w:rsidRPr="006114FF">
        <w:rPr>
          <w:rFonts w:ascii="Times New Roman" w:hAnsi="Times New Roman"/>
          <w:sz w:val="24"/>
          <w:szCs w:val="24"/>
        </w:rPr>
        <w:t xml:space="preserve">, Court of Appeals of Ohio, Fourth Appellate District – Meigs County, held (3 to 0) that trial court properly allowed into evidence the results of the blood draw.  The Court </w:t>
      </w:r>
      <w:proofErr w:type="gramStart"/>
      <w:r w:rsidRPr="006114FF">
        <w:rPr>
          <w:rFonts w:ascii="Times New Roman" w:hAnsi="Times New Roman"/>
          <w:sz w:val="24"/>
          <w:szCs w:val="24"/>
        </w:rPr>
        <w:t>write</w:t>
      </w:r>
      <w:proofErr w:type="gramEnd"/>
      <w:r w:rsidRPr="006114FF">
        <w:rPr>
          <w:rFonts w:ascii="Times New Roman" w:hAnsi="Times New Roman"/>
          <w:sz w:val="24"/>
          <w:szCs w:val="24"/>
        </w:rPr>
        <w:t xml:space="preserve">: </w:t>
      </w:r>
    </w:p>
    <w:p w14:paraId="4DAE5C83" w14:textId="77777777" w:rsidR="006114FF" w:rsidRDefault="006114FF" w:rsidP="00F326E5">
      <w:pPr>
        <w:pStyle w:val="NoSpacing"/>
        <w:rPr>
          <w:rFonts w:ascii="Times New Roman" w:hAnsi="Times New Roman"/>
          <w:sz w:val="24"/>
          <w:szCs w:val="24"/>
        </w:rPr>
      </w:pPr>
    </w:p>
    <w:p w14:paraId="22B4BDEA" w14:textId="52421F0F" w:rsidR="00F326E5" w:rsidRPr="006114FF" w:rsidRDefault="00F326E5" w:rsidP="006114FF">
      <w:pPr>
        <w:pStyle w:val="NoSpacing"/>
        <w:ind w:left="720"/>
        <w:rPr>
          <w:rFonts w:ascii="Times New Roman" w:hAnsi="Times New Roman"/>
          <w:sz w:val="24"/>
          <w:szCs w:val="24"/>
        </w:rPr>
      </w:pPr>
      <w:r w:rsidRPr="006114FF">
        <w:rPr>
          <w:rFonts w:ascii="Times New Roman" w:hAnsi="Times New Roman"/>
          <w:sz w:val="24"/>
          <w:szCs w:val="24"/>
        </w:rPr>
        <w:t>“[B]</w:t>
      </w:r>
      <w:proofErr w:type="spellStart"/>
      <w:r w:rsidRPr="006114FF">
        <w:rPr>
          <w:rFonts w:ascii="Times New Roman" w:hAnsi="Times New Roman"/>
          <w:sz w:val="24"/>
          <w:szCs w:val="24"/>
        </w:rPr>
        <w:t>ased</w:t>
      </w:r>
      <w:proofErr w:type="spellEnd"/>
      <w:r w:rsidRPr="006114FF">
        <w:rPr>
          <w:rFonts w:ascii="Times New Roman" w:hAnsi="Times New Roman"/>
          <w:sz w:val="24"/>
          <w:szCs w:val="24"/>
        </w:rPr>
        <w:t xml:space="preserve"> upon the totality of the circumstances, we conclude that the blood sample obtained from Appellant, which was taken while he was unconscious at the hospital and being prepared for transfer to another facility, was both lawful and constitutionally valid pursuant to Ohio’s Implied Consent statute, as well as both the consent and exigent circumstances exceptions to the warrant requirement.”   </w:t>
      </w:r>
    </w:p>
    <w:p w14:paraId="0AE68A09" w14:textId="19998A49" w:rsidR="00F326E5" w:rsidRPr="006114FF" w:rsidRDefault="006114FF" w:rsidP="006114FF">
      <w:pPr>
        <w:pStyle w:val="NoSpacing"/>
        <w:ind w:firstLine="720"/>
        <w:rPr>
          <w:rFonts w:ascii="Times New Roman" w:hAnsi="Times New Roman"/>
          <w:sz w:val="24"/>
          <w:szCs w:val="24"/>
        </w:rPr>
      </w:pPr>
      <w:hyperlink r:id="rId2290" w:history="1">
        <w:r w:rsidRPr="002F304C">
          <w:rPr>
            <w:rStyle w:val="Hyperlink"/>
            <w:rFonts w:ascii="Times New Roman" w:hAnsi="Times New Roman"/>
            <w:sz w:val="24"/>
            <w:szCs w:val="24"/>
          </w:rPr>
          <w:t>https://cases.justia.com/ohio/fourth-district-court-of-appeals/2019-18ca8-5.pdf?ts=1553894129</w:t>
        </w:r>
      </w:hyperlink>
      <w:r w:rsidR="00F326E5" w:rsidRPr="006114FF">
        <w:rPr>
          <w:rFonts w:ascii="Times New Roman" w:hAnsi="Times New Roman"/>
          <w:sz w:val="24"/>
          <w:szCs w:val="24"/>
        </w:rPr>
        <w:t xml:space="preserve"> </w:t>
      </w:r>
    </w:p>
    <w:p w14:paraId="1C3F419C" w14:textId="77777777" w:rsidR="006114FF" w:rsidRDefault="006114FF" w:rsidP="00F326E5">
      <w:pPr>
        <w:pStyle w:val="NoSpacing"/>
        <w:rPr>
          <w:rFonts w:ascii="Times New Roman" w:hAnsi="Times New Roman"/>
          <w:b/>
          <w:sz w:val="24"/>
          <w:szCs w:val="24"/>
        </w:rPr>
      </w:pPr>
      <w:bookmarkStart w:id="523" w:name="_Hlk7182059"/>
    </w:p>
    <w:p w14:paraId="494A2E72" w14:textId="48E5356C" w:rsidR="00F326E5" w:rsidRPr="006114FF" w:rsidRDefault="00F326E5" w:rsidP="00F326E5">
      <w:pPr>
        <w:pStyle w:val="NoSpacing"/>
        <w:rPr>
          <w:rFonts w:ascii="Times New Roman" w:hAnsi="Times New Roman"/>
          <w:b/>
          <w:sz w:val="24"/>
          <w:szCs w:val="24"/>
        </w:rPr>
      </w:pPr>
      <w:r w:rsidRPr="006114FF">
        <w:rPr>
          <w:rFonts w:ascii="Times New Roman" w:hAnsi="Times New Roman"/>
          <w:b/>
          <w:sz w:val="24"/>
          <w:szCs w:val="24"/>
        </w:rPr>
        <w:t xml:space="preserve">Legal Lessons Learned: Implied consent statutes are an important part of highway safety. </w:t>
      </w:r>
    </w:p>
    <w:p w14:paraId="47C1FCA3" w14:textId="6E020BB8" w:rsidR="009C7552" w:rsidRDefault="009C7552" w:rsidP="00F326E5">
      <w:pPr>
        <w:pStyle w:val="NoSpacing"/>
        <w:rPr>
          <w:b/>
          <w:sz w:val="24"/>
          <w:szCs w:val="24"/>
        </w:rPr>
      </w:pPr>
    </w:p>
    <w:bookmarkEnd w:id="521"/>
    <w:p w14:paraId="5F8888E7" w14:textId="77777777" w:rsidR="009C7552" w:rsidRPr="00747A23" w:rsidRDefault="009C7552" w:rsidP="00F326E5">
      <w:pPr>
        <w:pStyle w:val="NoSpacing"/>
        <w:rPr>
          <w:b/>
          <w:sz w:val="24"/>
          <w:szCs w:val="24"/>
        </w:rPr>
      </w:pPr>
    </w:p>
    <w:bookmarkEnd w:id="522"/>
    <w:bookmarkEnd w:id="523"/>
    <w:p w14:paraId="27611C85" w14:textId="77777777" w:rsidR="00F326E5" w:rsidRDefault="00F326E5" w:rsidP="00F326E5">
      <w:pPr>
        <w:rPr>
          <w:rFonts w:ascii="Arial Black" w:hAnsi="Arial Black"/>
          <w:sz w:val="40"/>
          <w:szCs w:val="40"/>
        </w:rPr>
      </w:pPr>
    </w:p>
    <w:p w14:paraId="22A0E706" w14:textId="2F51C807" w:rsidR="00DE0F03" w:rsidRDefault="00DE0F03" w:rsidP="00F326E5">
      <w:pPr>
        <w:pStyle w:val="NoSpacing"/>
        <w:rPr>
          <w:rFonts w:ascii="Arial Black" w:hAnsi="Arial Black"/>
          <w:b/>
          <w:sz w:val="28"/>
          <w:szCs w:val="28"/>
        </w:rPr>
      </w:pPr>
      <w:bookmarkStart w:id="524" w:name="_Hlk7346439"/>
      <w:r>
        <w:rPr>
          <w:rFonts w:ascii="Arial Black" w:hAnsi="Arial Black"/>
          <w:sz w:val="24"/>
          <w:szCs w:val="24"/>
        </w:rPr>
        <w:t>13-19</w:t>
      </w:r>
    </w:p>
    <w:p w14:paraId="4D27B397" w14:textId="77777777" w:rsidR="00DE0F03" w:rsidRDefault="00DE0F03" w:rsidP="00F326E5">
      <w:pPr>
        <w:pStyle w:val="NoSpacing"/>
        <w:rPr>
          <w:rFonts w:ascii="Arial Black" w:hAnsi="Arial Black"/>
          <w:b/>
          <w:sz w:val="28"/>
          <w:szCs w:val="28"/>
        </w:rPr>
      </w:pPr>
    </w:p>
    <w:p w14:paraId="538FF428" w14:textId="11CBA939" w:rsidR="00F326E5" w:rsidRDefault="00F326E5" w:rsidP="00F326E5">
      <w:pPr>
        <w:pStyle w:val="NoSpacing"/>
        <w:rPr>
          <w:rFonts w:ascii="Arial Black" w:hAnsi="Arial Black"/>
          <w:b/>
          <w:sz w:val="28"/>
          <w:szCs w:val="28"/>
        </w:rPr>
      </w:pPr>
      <w:bookmarkStart w:id="525" w:name="_Hlk41294907"/>
      <w:bookmarkStart w:id="526" w:name="_Hlk41153975"/>
      <w:r w:rsidRPr="00EA2DAF">
        <w:rPr>
          <w:rFonts w:ascii="Arial Black" w:hAnsi="Arial Black"/>
          <w:b/>
          <w:sz w:val="28"/>
          <w:szCs w:val="28"/>
        </w:rPr>
        <w:t>WA</w:t>
      </w:r>
      <w:r>
        <w:rPr>
          <w:rFonts w:ascii="Arial Black" w:hAnsi="Arial Black"/>
          <w:b/>
          <w:sz w:val="28"/>
          <w:szCs w:val="28"/>
        </w:rPr>
        <w:t xml:space="preserve">: </w:t>
      </w:r>
      <w:r w:rsidRPr="00EA2DAF">
        <w:rPr>
          <w:rFonts w:ascii="Arial Black" w:hAnsi="Arial Black"/>
          <w:b/>
          <w:sz w:val="28"/>
          <w:szCs w:val="28"/>
        </w:rPr>
        <w:t xml:space="preserve">PATIENT WITH CHEST PAIN </w:t>
      </w:r>
      <w:r>
        <w:rPr>
          <w:rFonts w:ascii="Arial Black" w:hAnsi="Arial Black"/>
          <w:b/>
          <w:sz w:val="28"/>
          <w:szCs w:val="28"/>
        </w:rPr>
        <w:t xml:space="preserve">REFUSED TRANSPORT - </w:t>
      </w:r>
      <w:r w:rsidRPr="00EA2DAF">
        <w:rPr>
          <w:rFonts w:ascii="Arial Black" w:hAnsi="Arial Black"/>
          <w:b/>
          <w:sz w:val="28"/>
          <w:szCs w:val="28"/>
        </w:rPr>
        <w:t xml:space="preserve">FORCIBLY TAKEN TO HOSPITAL </w:t>
      </w:r>
      <w:r w:rsidR="000F0910">
        <w:rPr>
          <w:rFonts w:ascii="Arial Black" w:hAnsi="Arial Black"/>
          <w:b/>
          <w:sz w:val="28"/>
          <w:szCs w:val="28"/>
        </w:rPr>
        <w:t>– NO QUALIFIED IMMUNITY</w:t>
      </w:r>
    </w:p>
    <w:p w14:paraId="54967434" w14:textId="77777777" w:rsidR="00F326E5" w:rsidRPr="006114FF" w:rsidRDefault="00F326E5" w:rsidP="006114FF">
      <w:pPr>
        <w:pStyle w:val="NoSpacing"/>
        <w:rPr>
          <w:rFonts w:ascii="Times New Roman" w:hAnsi="Times New Roman"/>
          <w:sz w:val="24"/>
          <w:szCs w:val="24"/>
        </w:rPr>
      </w:pPr>
      <w:r w:rsidRPr="006114FF">
        <w:rPr>
          <w:rFonts w:ascii="Times New Roman" w:hAnsi="Times New Roman"/>
          <w:sz w:val="24"/>
          <w:szCs w:val="24"/>
        </w:rPr>
        <w:t xml:space="preserve">On Jan. 11, 2019, in </w:t>
      </w:r>
      <w:r w:rsidRPr="006114FF">
        <w:rPr>
          <w:rFonts w:ascii="Times New Roman" w:hAnsi="Times New Roman"/>
          <w:sz w:val="24"/>
          <w:szCs w:val="24"/>
          <w:u w:val="single"/>
        </w:rPr>
        <w:t>El-Fatih P. Nowell v. Trimmed Ambulance, LLLC, et al</w:t>
      </w:r>
      <w:r w:rsidRPr="006114FF">
        <w:rPr>
          <w:rFonts w:ascii="Times New Roman" w:hAnsi="Times New Roman"/>
          <w:sz w:val="24"/>
          <w:szCs w:val="24"/>
        </w:rPr>
        <w:t xml:space="preserve">, U.S. District Court Judge Robert S. </w:t>
      </w:r>
      <w:proofErr w:type="spellStart"/>
      <w:r w:rsidRPr="006114FF">
        <w:rPr>
          <w:rFonts w:ascii="Times New Roman" w:hAnsi="Times New Roman"/>
          <w:sz w:val="24"/>
          <w:szCs w:val="24"/>
        </w:rPr>
        <w:t>Lasnik</w:t>
      </w:r>
      <w:proofErr w:type="spellEnd"/>
      <w:r w:rsidRPr="006114FF">
        <w:rPr>
          <w:rFonts w:ascii="Times New Roman" w:hAnsi="Times New Roman"/>
          <w:sz w:val="24"/>
          <w:szCs w:val="24"/>
        </w:rPr>
        <w:t xml:space="preserve"> (Seattle, WA), denied EMS defendants’ motion for summary judgments on most of the allegations of “involuntary detention and transport to a medical facility.” </w:t>
      </w:r>
      <w:hyperlink r:id="rId2291" w:history="1">
        <w:r w:rsidRPr="006114FF">
          <w:rPr>
            <w:rStyle w:val="Hyperlink"/>
            <w:rFonts w:ascii="Times New Roman" w:hAnsi="Times New Roman"/>
            <w:sz w:val="24"/>
            <w:szCs w:val="24"/>
          </w:rPr>
          <w:t>https://docs.justia.com/cases/federal/district-courts/washington/wawdce/2:2017cv01133/248111/33</w:t>
        </w:r>
      </w:hyperlink>
      <w:r w:rsidRPr="006114FF">
        <w:rPr>
          <w:rFonts w:ascii="Times New Roman" w:hAnsi="Times New Roman"/>
          <w:sz w:val="24"/>
          <w:szCs w:val="24"/>
        </w:rPr>
        <w:t xml:space="preserve"> </w:t>
      </w:r>
    </w:p>
    <w:p w14:paraId="7C381CFB" w14:textId="77777777" w:rsidR="006114FF" w:rsidRDefault="006114FF" w:rsidP="006114FF">
      <w:pPr>
        <w:pStyle w:val="NoSpacing"/>
        <w:rPr>
          <w:rFonts w:ascii="Times New Roman" w:eastAsia="Times New Roman" w:hAnsi="Times New Roman"/>
          <w:b/>
          <w:sz w:val="24"/>
          <w:szCs w:val="24"/>
        </w:rPr>
      </w:pPr>
    </w:p>
    <w:p w14:paraId="2AF4C848" w14:textId="4772050A" w:rsidR="00F326E5" w:rsidRPr="006114FF" w:rsidRDefault="00F326E5" w:rsidP="006114FF">
      <w:pPr>
        <w:pStyle w:val="NoSpacing"/>
        <w:rPr>
          <w:rFonts w:ascii="Times New Roman" w:eastAsia="Times New Roman" w:hAnsi="Times New Roman"/>
          <w:b/>
          <w:sz w:val="24"/>
          <w:szCs w:val="24"/>
        </w:rPr>
      </w:pPr>
      <w:r w:rsidRPr="006114FF">
        <w:rPr>
          <w:rFonts w:ascii="Times New Roman" w:eastAsia="Times New Roman" w:hAnsi="Times New Roman"/>
          <w:b/>
          <w:sz w:val="24"/>
          <w:szCs w:val="24"/>
        </w:rPr>
        <w:t>Legal Lessons Learned:  When EMS are faced with the difficult decision on whether to forcibly transport a patient, consider first calling the hospital emergency department and getting medical clearance to transport</w:t>
      </w:r>
      <w:bookmarkEnd w:id="525"/>
      <w:r w:rsidRPr="006114FF">
        <w:rPr>
          <w:rFonts w:ascii="Times New Roman" w:eastAsia="Times New Roman" w:hAnsi="Times New Roman"/>
          <w:b/>
          <w:sz w:val="24"/>
          <w:szCs w:val="24"/>
        </w:rPr>
        <w:t xml:space="preserve">. </w:t>
      </w:r>
    </w:p>
    <w:p w14:paraId="590DC6B5" w14:textId="77777777" w:rsidR="006114FF" w:rsidRDefault="006114FF" w:rsidP="00F326E5">
      <w:pPr>
        <w:pStyle w:val="NoSpacing"/>
        <w:rPr>
          <w:rFonts w:ascii="Arial Black" w:hAnsi="Arial Black"/>
          <w:sz w:val="24"/>
          <w:szCs w:val="24"/>
        </w:rPr>
      </w:pPr>
      <w:bookmarkStart w:id="527" w:name="_Hlk7346486"/>
      <w:bookmarkEnd w:id="524"/>
      <w:bookmarkEnd w:id="526"/>
    </w:p>
    <w:p w14:paraId="3A5B0FD9" w14:textId="77777777" w:rsidR="006114FF" w:rsidRDefault="006114FF" w:rsidP="00F326E5">
      <w:pPr>
        <w:pStyle w:val="NoSpacing"/>
        <w:rPr>
          <w:rFonts w:ascii="Arial Black" w:hAnsi="Arial Black"/>
          <w:sz w:val="24"/>
          <w:szCs w:val="24"/>
        </w:rPr>
      </w:pPr>
    </w:p>
    <w:p w14:paraId="579DAE40" w14:textId="008CF336" w:rsidR="00DE0F03" w:rsidRDefault="00DE0F03" w:rsidP="00F326E5">
      <w:pPr>
        <w:pStyle w:val="NoSpacing"/>
        <w:rPr>
          <w:rFonts w:ascii="Arial Black" w:hAnsi="Arial Black"/>
          <w:b/>
          <w:sz w:val="28"/>
          <w:szCs w:val="28"/>
        </w:rPr>
      </w:pPr>
      <w:r>
        <w:rPr>
          <w:rFonts w:ascii="Arial Black" w:hAnsi="Arial Black"/>
          <w:sz w:val="24"/>
          <w:szCs w:val="24"/>
        </w:rPr>
        <w:t>13-18</w:t>
      </w:r>
    </w:p>
    <w:p w14:paraId="4F5796F9" w14:textId="77777777" w:rsidR="00DE0F03" w:rsidRDefault="00DE0F03" w:rsidP="00F326E5">
      <w:pPr>
        <w:pStyle w:val="NoSpacing"/>
        <w:rPr>
          <w:rFonts w:ascii="Arial Black" w:hAnsi="Arial Black"/>
          <w:b/>
          <w:sz w:val="28"/>
          <w:szCs w:val="28"/>
        </w:rPr>
      </w:pPr>
    </w:p>
    <w:p w14:paraId="0C1E5E0A" w14:textId="57EF8A4A" w:rsidR="00F326E5" w:rsidRDefault="00F326E5" w:rsidP="00F326E5">
      <w:pPr>
        <w:pStyle w:val="NoSpacing"/>
        <w:rPr>
          <w:rFonts w:ascii="Arial Black" w:hAnsi="Arial Black"/>
          <w:b/>
          <w:sz w:val="28"/>
          <w:szCs w:val="28"/>
        </w:rPr>
      </w:pPr>
      <w:bookmarkStart w:id="528" w:name="_Hlk41154042"/>
      <w:r w:rsidRPr="00EA2DAF">
        <w:rPr>
          <w:rFonts w:ascii="Arial Black" w:hAnsi="Arial Black"/>
          <w:b/>
          <w:sz w:val="28"/>
          <w:szCs w:val="28"/>
        </w:rPr>
        <w:lastRenderedPageBreak/>
        <w:t>OH:  911 DISPATCHES FOR DRUG OVERDOSES –</w:t>
      </w:r>
      <w:r w:rsidR="00195FD1">
        <w:rPr>
          <w:rFonts w:ascii="Arial Black" w:hAnsi="Arial Black"/>
          <w:b/>
          <w:sz w:val="28"/>
          <w:szCs w:val="28"/>
        </w:rPr>
        <w:t xml:space="preserve"> </w:t>
      </w:r>
      <w:r w:rsidRPr="00EA2DAF">
        <w:rPr>
          <w:rFonts w:ascii="Arial Black" w:hAnsi="Arial Black"/>
          <w:b/>
          <w:sz w:val="28"/>
          <w:szCs w:val="28"/>
        </w:rPr>
        <w:t>NOT HIPPA PROTECTED UNLESS DISCLOSES PHI</w:t>
      </w:r>
      <w:r>
        <w:rPr>
          <w:rFonts w:ascii="Arial Black" w:hAnsi="Arial Black"/>
          <w:b/>
          <w:sz w:val="28"/>
          <w:szCs w:val="28"/>
        </w:rPr>
        <w:t xml:space="preserve"> </w:t>
      </w:r>
    </w:p>
    <w:p w14:paraId="040A6028" w14:textId="77777777" w:rsidR="00F326E5" w:rsidRPr="006114FF" w:rsidRDefault="00F326E5" w:rsidP="00F326E5">
      <w:pPr>
        <w:pStyle w:val="NoSpacing"/>
        <w:rPr>
          <w:rFonts w:ascii="Times New Roman" w:eastAsia="Times New Roman" w:hAnsi="Times New Roman"/>
          <w:sz w:val="24"/>
          <w:szCs w:val="24"/>
        </w:rPr>
      </w:pPr>
      <w:r w:rsidRPr="006114FF">
        <w:rPr>
          <w:rFonts w:ascii="Times New Roman" w:hAnsi="Times New Roman"/>
          <w:sz w:val="24"/>
          <w:szCs w:val="24"/>
        </w:rPr>
        <w:t xml:space="preserve">On Dec. 14, 2018, in </w:t>
      </w:r>
      <w:r w:rsidRPr="006114FF">
        <w:rPr>
          <w:rFonts w:ascii="Times New Roman" w:hAnsi="Times New Roman"/>
          <w:sz w:val="24"/>
          <w:szCs w:val="24"/>
          <w:u w:val="single"/>
        </w:rPr>
        <w:t>Rachel L. Dissell v. City of Cleveland</w:t>
      </w:r>
      <w:r w:rsidRPr="006114FF">
        <w:rPr>
          <w:rFonts w:ascii="Times New Roman" w:hAnsi="Times New Roman"/>
          <w:sz w:val="24"/>
          <w:szCs w:val="24"/>
        </w:rPr>
        <w:t xml:space="preserve">, the Ohio Court of Claims appointed a Special Master to advise the Court on request for records by a reporter for the </w:t>
      </w:r>
      <w:proofErr w:type="spellStart"/>
      <w:r w:rsidRPr="006114FF">
        <w:rPr>
          <w:rFonts w:ascii="Times New Roman" w:hAnsi="Times New Roman"/>
          <w:sz w:val="24"/>
          <w:szCs w:val="24"/>
        </w:rPr>
        <w:t>The</w:t>
      </w:r>
      <w:proofErr w:type="spellEnd"/>
      <w:r w:rsidRPr="006114FF">
        <w:rPr>
          <w:rFonts w:ascii="Times New Roman" w:hAnsi="Times New Roman"/>
          <w:sz w:val="24"/>
          <w:szCs w:val="24"/>
        </w:rPr>
        <w:t xml:space="preserve"> Plain Dealer newspaper.  The Special Master concluded that Computer Aided Dispatch records, including addresses where EMS responded, be released under Ohio Public Records Act.  “Upon consideration of the pleadings and attachments, I recommend that the court order respondent to provide requester with a copy of the EMS/Fire CAD event summary records, as submitted under seal.” </w:t>
      </w:r>
      <w:hyperlink r:id="rId2292" w:history="1">
        <w:r w:rsidRPr="006114FF">
          <w:rPr>
            <w:rStyle w:val="Hyperlink"/>
            <w:rFonts w:ascii="Times New Roman" w:hAnsi="Times New Roman"/>
            <w:sz w:val="24"/>
            <w:szCs w:val="24"/>
          </w:rPr>
          <w:t>https://scholar.google.com/scholar_case?case=16398402888190855228&amp;q=Dissell+v.+Cleveland&amp;hl=en&amp;as_sdt=6,36&amp;as_vis=1</w:t>
        </w:r>
      </w:hyperlink>
      <w:r w:rsidRPr="006114FF">
        <w:rPr>
          <w:rFonts w:ascii="Times New Roman" w:hAnsi="Times New Roman"/>
          <w:sz w:val="24"/>
          <w:szCs w:val="24"/>
        </w:rPr>
        <w:t xml:space="preserve"> </w:t>
      </w:r>
    </w:p>
    <w:p w14:paraId="4B35A819" w14:textId="77777777" w:rsidR="006114FF" w:rsidRDefault="006114FF" w:rsidP="00F326E5">
      <w:pPr>
        <w:rPr>
          <w:rFonts w:ascii="Times New Roman" w:hAnsi="Times New Roman"/>
          <w:b/>
          <w:sz w:val="24"/>
          <w:szCs w:val="24"/>
        </w:rPr>
      </w:pPr>
    </w:p>
    <w:p w14:paraId="1D178CB1" w14:textId="53750460" w:rsidR="00F326E5" w:rsidRPr="006114FF" w:rsidRDefault="00F326E5" w:rsidP="00F326E5">
      <w:pPr>
        <w:rPr>
          <w:rFonts w:ascii="Times New Roman" w:hAnsi="Times New Roman"/>
          <w:b/>
          <w:sz w:val="24"/>
          <w:szCs w:val="24"/>
        </w:rPr>
      </w:pPr>
      <w:r w:rsidRPr="006114FF">
        <w:rPr>
          <w:rFonts w:ascii="Times New Roman" w:hAnsi="Times New Roman"/>
          <w:b/>
          <w:sz w:val="24"/>
          <w:szCs w:val="24"/>
        </w:rPr>
        <w:t xml:space="preserve">Legal Lessons Learned:  In producing CAD or other records on EMS calls, be very careful to exclude any “Protected Health Information.”  If in doubt, advise requester that info is HIPAA protected and will only be revealed to Court under seal.   </w:t>
      </w:r>
    </w:p>
    <w:bookmarkEnd w:id="528"/>
    <w:p w14:paraId="3629CE52" w14:textId="77777777" w:rsidR="00DE0F03" w:rsidRDefault="00DE0F03" w:rsidP="00DE0F03">
      <w:pPr>
        <w:pStyle w:val="NoSpacing"/>
        <w:rPr>
          <w:rFonts w:ascii="Arial Black" w:hAnsi="Arial Black"/>
          <w:sz w:val="24"/>
          <w:szCs w:val="24"/>
        </w:rPr>
      </w:pPr>
    </w:p>
    <w:p w14:paraId="4330B4DE" w14:textId="77777777" w:rsidR="00DE0F03" w:rsidRDefault="00DE0F03" w:rsidP="00DE0F03">
      <w:pPr>
        <w:pStyle w:val="NoSpacing"/>
        <w:rPr>
          <w:rFonts w:ascii="Arial Black" w:hAnsi="Arial Black"/>
          <w:sz w:val="24"/>
          <w:szCs w:val="24"/>
        </w:rPr>
      </w:pPr>
    </w:p>
    <w:p w14:paraId="4017311B" w14:textId="7CDCF1AF" w:rsidR="00DE0F03" w:rsidRDefault="00DE0F03" w:rsidP="00DE0F03">
      <w:pPr>
        <w:pStyle w:val="NoSpacing"/>
        <w:rPr>
          <w:rFonts w:ascii="Arial Black" w:hAnsi="Arial Black"/>
          <w:sz w:val="24"/>
          <w:szCs w:val="24"/>
        </w:rPr>
      </w:pPr>
      <w:r>
        <w:rPr>
          <w:rFonts w:ascii="Arial Black" w:hAnsi="Arial Black"/>
          <w:sz w:val="24"/>
          <w:szCs w:val="24"/>
        </w:rPr>
        <w:t>13-17</w:t>
      </w:r>
    </w:p>
    <w:p w14:paraId="78184C34" w14:textId="77777777" w:rsidR="00F326E5" w:rsidRDefault="00F326E5" w:rsidP="00F326E5">
      <w:pPr>
        <w:pStyle w:val="NoSpacing"/>
        <w:rPr>
          <w:b/>
          <w:sz w:val="24"/>
          <w:szCs w:val="24"/>
        </w:rPr>
      </w:pPr>
    </w:p>
    <w:bookmarkEnd w:id="527"/>
    <w:p w14:paraId="5730673E" w14:textId="77777777" w:rsidR="00F326E5" w:rsidRDefault="00F326E5" w:rsidP="00F326E5">
      <w:pPr>
        <w:pStyle w:val="NoSpacing"/>
        <w:rPr>
          <w:b/>
          <w:sz w:val="24"/>
          <w:szCs w:val="24"/>
        </w:rPr>
      </w:pPr>
    </w:p>
    <w:p w14:paraId="76F59534" w14:textId="7575FE80" w:rsidR="00F326E5" w:rsidRPr="00CA3D6F" w:rsidRDefault="00F326E5" w:rsidP="00F326E5">
      <w:pPr>
        <w:pStyle w:val="NoSpacing"/>
        <w:rPr>
          <w:rStyle w:val="dfm-title"/>
          <w:b/>
          <w:sz w:val="24"/>
          <w:szCs w:val="24"/>
        </w:rPr>
      </w:pPr>
      <w:bookmarkStart w:id="529" w:name="_Hlk7346521"/>
      <w:r w:rsidRPr="00877AA6">
        <w:rPr>
          <w:rStyle w:val="dfm-title"/>
          <w:rFonts w:ascii="Arial Black" w:hAnsi="Arial Black"/>
          <w:b/>
          <w:sz w:val="28"/>
          <w:szCs w:val="28"/>
        </w:rPr>
        <w:t>PA: HOSPITAL EMPLOYEE RECORDS HACKED; EMPLOYEES MAY SUE HOSPITAL</w:t>
      </w:r>
      <w:r>
        <w:rPr>
          <w:rStyle w:val="dfm-title"/>
          <w:rFonts w:ascii="Arial Black" w:hAnsi="Arial Black"/>
          <w:b/>
          <w:sz w:val="24"/>
          <w:szCs w:val="24"/>
        </w:rPr>
        <w:t xml:space="preserve"> </w:t>
      </w:r>
      <w:r w:rsidRPr="00877AA6">
        <w:rPr>
          <w:rStyle w:val="dfm-title"/>
          <w:sz w:val="24"/>
          <w:szCs w:val="24"/>
        </w:rPr>
        <w:t>[also filed, Chap. 6]</w:t>
      </w:r>
    </w:p>
    <w:p w14:paraId="4669EA5F" w14:textId="227509D0" w:rsidR="00F326E5" w:rsidRPr="006114FF" w:rsidRDefault="00F326E5" w:rsidP="00F326E5">
      <w:pPr>
        <w:rPr>
          <w:rFonts w:ascii="Times New Roman" w:hAnsi="Times New Roman"/>
          <w:sz w:val="24"/>
          <w:szCs w:val="24"/>
        </w:rPr>
      </w:pPr>
      <w:r w:rsidRPr="006114FF">
        <w:rPr>
          <w:rFonts w:ascii="Times New Roman" w:hAnsi="Times New Roman"/>
          <w:sz w:val="24"/>
          <w:szCs w:val="24"/>
        </w:rPr>
        <w:t xml:space="preserve">On Nov. 21, 2018, in </w:t>
      </w:r>
      <w:r w:rsidRPr="006114FF">
        <w:rPr>
          <w:rFonts w:ascii="Times New Roman" w:hAnsi="Times New Roman"/>
          <w:sz w:val="24"/>
          <w:szCs w:val="24"/>
          <w:u w:val="single"/>
        </w:rPr>
        <w:t>Barbara A. Dittman, et al. v.</w:t>
      </w:r>
      <w:r w:rsidRPr="006114FF">
        <w:rPr>
          <w:rFonts w:ascii="Times New Roman" w:hAnsi="Times New Roman"/>
          <w:sz w:val="24"/>
          <w:szCs w:val="24"/>
        </w:rPr>
        <w:t xml:space="preserve"> </w:t>
      </w:r>
      <w:r w:rsidRPr="006114FF">
        <w:rPr>
          <w:rFonts w:ascii="Times New Roman" w:eastAsia="Times New Roman" w:hAnsi="Times New Roman"/>
          <w:sz w:val="24"/>
          <w:szCs w:val="24"/>
          <w:u w:val="single"/>
        </w:rPr>
        <w:t>UPMC d/b/a The University of Pittsburgh Medical Center, et al.</w:t>
      </w:r>
      <w:r w:rsidRPr="006114FF">
        <w:rPr>
          <w:rFonts w:ascii="Times New Roman" w:eastAsia="Times New Roman" w:hAnsi="Times New Roman"/>
          <w:sz w:val="24"/>
          <w:szCs w:val="24"/>
        </w:rPr>
        <w:t>, the PA Supreme Court ruled (4 to 3), the lawsuit was reinstated against the hospital. “We hold that an employer has a legal duty to exercise reasonable care to safeguard its employees’ sensitive personal information stored by the employer on an internet-</w:t>
      </w:r>
      <w:r w:rsidRPr="006114FF">
        <w:rPr>
          <w:rFonts w:ascii="Times New Roman" w:hAnsi="Times New Roman"/>
          <w:sz w:val="24"/>
          <w:szCs w:val="24"/>
        </w:rPr>
        <w:t xml:space="preserve">accessible computer system.” </w:t>
      </w:r>
      <w:hyperlink r:id="rId2293" w:history="1">
        <w:r w:rsidRPr="006114FF">
          <w:rPr>
            <w:rStyle w:val="Hyperlink"/>
            <w:rFonts w:ascii="Times New Roman" w:hAnsi="Times New Roman"/>
            <w:sz w:val="24"/>
            <w:szCs w:val="24"/>
          </w:rPr>
          <w:t>http://www.pacourts.us/assets/opinions/Supreme/out/Majority%20Opinion%20%20VacatedRemanded%20%2010378165044604409.pdf?cb=1</w:t>
        </w:r>
      </w:hyperlink>
      <w:r w:rsidRPr="006114FF">
        <w:rPr>
          <w:rFonts w:ascii="Times New Roman" w:hAnsi="Times New Roman"/>
          <w:sz w:val="24"/>
          <w:szCs w:val="24"/>
        </w:rPr>
        <w:t xml:space="preserve"> </w:t>
      </w:r>
    </w:p>
    <w:p w14:paraId="6851095D" w14:textId="77777777" w:rsidR="00F326E5" w:rsidRPr="006114FF" w:rsidRDefault="00F326E5" w:rsidP="00F326E5">
      <w:pPr>
        <w:pStyle w:val="Heading1"/>
        <w:rPr>
          <w:b w:val="0"/>
          <w:sz w:val="24"/>
          <w:szCs w:val="24"/>
        </w:rPr>
      </w:pPr>
      <w:r w:rsidRPr="006114FF">
        <w:rPr>
          <w:sz w:val="24"/>
          <w:szCs w:val="24"/>
        </w:rPr>
        <w:t xml:space="preserve">Legal Lessons Learned:  This is an important decision that will now proceed to trial or settlement. Hopefully this decision will prompt employers in PA, and other states, including Fire &amp; EMS agencies, to review their electronic data safeguards with IT experts.  </w:t>
      </w:r>
    </w:p>
    <w:p w14:paraId="07E1203C" w14:textId="77777777" w:rsidR="00F326E5" w:rsidRPr="006114FF" w:rsidRDefault="00F326E5" w:rsidP="00F326E5">
      <w:pPr>
        <w:pStyle w:val="NoSpacing"/>
        <w:ind w:left="720"/>
        <w:rPr>
          <w:rFonts w:ascii="Times New Roman" w:hAnsi="Times New Roman"/>
          <w:sz w:val="24"/>
          <w:szCs w:val="24"/>
        </w:rPr>
      </w:pPr>
      <w:r w:rsidRPr="006114FF">
        <w:rPr>
          <w:rFonts w:ascii="Times New Roman" w:hAnsi="Times New Roman"/>
          <w:sz w:val="24"/>
          <w:szCs w:val="24"/>
        </w:rPr>
        <w:t xml:space="preserve">Note:  Ohio has enacted the Ohio Data Protection Act, effective Nov. 2, 2018 (to be in Ohio Revised Code 1354.01-05), which provides companies with an affirmative defense to lawsuits involving release of personal information, if the company has a written cybersecurity program that conforms to the NIST Cybersecurity Framework. </w:t>
      </w:r>
      <w:hyperlink r:id="rId2294" w:history="1">
        <w:r w:rsidRPr="006114FF">
          <w:rPr>
            <w:rStyle w:val="Hyperlink"/>
            <w:rFonts w:ascii="Times New Roman" w:hAnsi="Times New Roman"/>
            <w:sz w:val="24"/>
            <w:szCs w:val="24"/>
          </w:rPr>
          <w:t>https://www.legislature.ohio.gov/legislation/legislation-summary?id=GA132-SB-220</w:t>
        </w:r>
      </w:hyperlink>
      <w:r w:rsidRPr="006114FF">
        <w:rPr>
          <w:rFonts w:ascii="Times New Roman" w:hAnsi="Times New Roman"/>
          <w:sz w:val="24"/>
          <w:szCs w:val="24"/>
        </w:rPr>
        <w:t xml:space="preserve">.  See Sept. 20, </w:t>
      </w:r>
      <w:proofErr w:type="gramStart"/>
      <w:r w:rsidRPr="006114FF">
        <w:rPr>
          <w:rFonts w:ascii="Times New Roman" w:hAnsi="Times New Roman"/>
          <w:sz w:val="24"/>
          <w:szCs w:val="24"/>
        </w:rPr>
        <w:t>2018</w:t>
      </w:r>
      <w:proofErr w:type="gramEnd"/>
      <w:r w:rsidRPr="006114FF">
        <w:rPr>
          <w:rFonts w:ascii="Times New Roman" w:hAnsi="Times New Roman"/>
          <w:sz w:val="24"/>
          <w:szCs w:val="24"/>
        </w:rPr>
        <w:t xml:space="preserve"> article, “New Ohio law incentivizes businesses that comply with cybersecurity programs,” </w:t>
      </w:r>
      <w:hyperlink r:id="rId2295" w:history="1">
        <w:r w:rsidRPr="006114FF">
          <w:rPr>
            <w:rStyle w:val="Hyperlink"/>
            <w:rFonts w:ascii="Times New Roman" w:hAnsi="Times New Roman"/>
            <w:sz w:val="24"/>
            <w:szCs w:val="24"/>
          </w:rPr>
          <w:t>https://www.bizjournals.com/columbus/news/2018/09/20/new-ohio-law-incentivizes-businesses-that-comply.html</w:t>
        </w:r>
      </w:hyperlink>
    </w:p>
    <w:bookmarkEnd w:id="529"/>
    <w:p w14:paraId="629E6367" w14:textId="77777777" w:rsidR="00F326E5" w:rsidRDefault="00F326E5" w:rsidP="00F326E5">
      <w:pPr>
        <w:pStyle w:val="NoSpacing"/>
        <w:rPr>
          <w:b/>
          <w:sz w:val="24"/>
          <w:szCs w:val="24"/>
        </w:rPr>
      </w:pPr>
    </w:p>
    <w:p w14:paraId="71585CCD" w14:textId="77777777" w:rsidR="00F326E5" w:rsidRDefault="00F326E5" w:rsidP="00F326E5">
      <w:pPr>
        <w:pStyle w:val="NoSpacing"/>
        <w:rPr>
          <w:b/>
          <w:sz w:val="24"/>
          <w:szCs w:val="24"/>
        </w:rPr>
      </w:pPr>
    </w:p>
    <w:p w14:paraId="2CFD1049" w14:textId="6992CEDF" w:rsidR="00DE0F03" w:rsidRDefault="00DE0F03" w:rsidP="00F326E5">
      <w:pPr>
        <w:pStyle w:val="NoSpacing"/>
        <w:rPr>
          <w:rFonts w:ascii="Arial Black" w:hAnsi="Arial Black"/>
          <w:b/>
          <w:sz w:val="28"/>
          <w:szCs w:val="28"/>
        </w:rPr>
      </w:pPr>
      <w:bookmarkStart w:id="530" w:name="_Hlk7346609"/>
      <w:r>
        <w:rPr>
          <w:rFonts w:ascii="Arial Black" w:hAnsi="Arial Black"/>
          <w:sz w:val="24"/>
          <w:szCs w:val="24"/>
        </w:rPr>
        <w:t>13-16</w:t>
      </w:r>
    </w:p>
    <w:p w14:paraId="11569771" w14:textId="77777777" w:rsidR="00DE0F03" w:rsidRDefault="00DE0F03" w:rsidP="00F326E5">
      <w:pPr>
        <w:pStyle w:val="NoSpacing"/>
        <w:rPr>
          <w:rFonts w:ascii="Arial Black" w:hAnsi="Arial Black"/>
          <w:b/>
          <w:sz w:val="28"/>
          <w:szCs w:val="28"/>
        </w:rPr>
      </w:pPr>
    </w:p>
    <w:p w14:paraId="65ED2460" w14:textId="0366945E" w:rsidR="00F326E5" w:rsidRPr="00877AA6" w:rsidRDefault="00F326E5" w:rsidP="00F326E5">
      <w:pPr>
        <w:pStyle w:val="NoSpacing"/>
        <w:rPr>
          <w:rFonts w:ascii="Arial Black" w:hAnsi="Arial Black"/>
          <w:b/>
          <w:sz w:val="28"/>
          <w:szCs w:val="28"/>
        </w:rPr>
      </w:pPr>
      <w:bookmarkStart w:id="531" w:name="_Hlk41154132"/>
      <w:r w:rsidRPr="00877AA6">
        <w:rPr>
          <w:rFonts w:ascii="Arial Black" w:hAnsi="Arial Black"/>
          <w:b/>
          <w:sz w:val="28"/>
          <w:szCs w:val="28"/>
        </w:rPr>
        <w:t xml:space="preserve">OH: </w:t>
      </w:r>
      <w:r>
        <w:rPr>
          <w:rFonts w:ascii="Arial Black" w:hAnsi="Arial Black"/>
          <w:b/>
          <w:sz w:val="28"/>
          <w:szCs w:val="28"/>
        </w:rPr>
        <w:t>PUBLIC RECORDS</w:t>
      </w:r>
      <w:r w:rsidR="00DA4990">
        <w:rPr>
          <w:rFonts w:ascii="Arial Black" w:hAnsi="Arial Black"/>
          <w:b/>
          <w:sz w:val="28"/>
          <w:szCs w:val="28"/>
        </w:rPr>
        <w:t xml:space="preserve"> REQUEST – INCLUDING </w:t>
      </w:r>
      <w:r>
        <w:rPr>
          <w:rFonts w:ascii="Arial Black" w:hAnsi="Arial Black"/>
          <w:b/>
          <w:sz w:val="28"/>
          <w:szCs w:val="28"/>
        </w:rPr>
        <w:t>EMS INJUR</w:t>
      </w:r>
      <w:r w:rsidR="00DA4990">
        <w:rPr>
          <w:rFonts w:ascii="Arial Black" w:hAnsi="Arial Black"/>
          <w:b/>
          <w:sz w:val="28"/>
          <w:szCs w:val="28"/>
        </w:rPr>
        <w:t xml:space="preserve">ED ON JOB </w:t>
      </w:r>
      <w:r>
        <w:rPr>
          <w:rFonts w:ascii="Arial Black" w:hAnsi="Arial Black"/>
          <w:b/>
          <w:sz w:val="28"/>
          <w:szCs w:val="28"/>
        </w:rPr>
        <w:t>– CITY’S DELAY UNREASONABLE, PAY $8,812 ATTORNEY FEES</w:t>
      </w:r>
    </w:p>
    <w:p w14:paraId="24E677F8" w14:textId="77777777" w:rsidR="006114FF" w:rsidRDefault="00F326E5" w:rsidP="00F326E5">
      <w:pPr>
        <w:rPr>
          <w:rFonts w:ascii="Times New Roman" w:eastAsia="Times New Roman" w:hAnsi="Times New Roman"/>
          <w:sz w:val="24"/>
          <w:szCs w:val="24"/>
        </w:rPr>
      </w:pPr>
      <w:r w:rsidRPr="006114FF">
        <w:rPr>
          <w:rFonts w:ascii="Times New Roman" w:eastAsia="Times New Roman" w:hAnsi="Times New Roman"/>
          <w:sz w:val="24"/>
          <w:szCs w:val="24"/>
        </w:rPr>
        <w:lastRenderedPageBreak/>
        <w:t xml:space="preserve">On Nov. 14, 2018, in </w:t>
      </w:r>
      <w:r w:rsidRPr="006114FF">
        <w:rPr>
          <w:rFonts w:ascii="Times New Roman" w:eastAsia="Times New Roman" w:hAnsi="Times New Roman"/>
          <w:sz w:val="24"/>
          <w:szCs w:val="24"/>
          <w:u w:val="single"/>
        </w:rPr>
        <w:t xml:space="preserve">Cleveland Association </w:t>
      </w:r>
      <w:proofErr w:type="gramStart"/>
      <w:r w:rsidRPr="006114FF">
        <w:rPr>
          <w:rFonts w:ascii="Times New Roman" w:eastAsia="Times New Roman" w:hAnsi="Times New Roman"/>
          <w:sz w:val="24"/>
          <w:szCs w:val="24"/>
          <w:u w:val="single"/>
        </w:rPr>
        <w:t>Of</w:t>
      </w:r>
      <w:proofErr w:type="gramEnd"/>
      <w:r w:rsidRPr="006114FF">
        <w:rPr>
          <w:rFonts w:ascii="Times New Roman" w:eastAsia="Times New Roman" w:hAnsi="Times New Roman"/>
          <w:sz w:val="24"/>
          <w:szCs w:val="24"/>
          <w:u w:val="single"/>
        </w:rPr>
        <w:t xml:space="preserve"> Rescue Employees – Local 1975 v. City of Cleveland</w:t>
      </w:r>
      <w:r w:rsidRPr="006114FF">
        <w:rPr>
          <w:rFonts w:ascii="Times New Roman" w:eastAsia="Times New Roman" w:hAnsi="Times New Roman"/>
          <w:sz w:val="24"/>
          <w:szCs w:val="24"/>
        </w:rPr>
        <w:t xml:space="preserve">, the Ohio Court of Appeals for Cuyahoga County, held (3 to 0) held that the City must reimburse CARE $8,812.50 in attorney fees.  </w:t>
      </w:r>
    </w:p>
    <w:p w14:paraId="76164A03" w14:textId="6ED60E10" w:rsidR="00F326E5" w:rsidRPr="006114FF" w:rsidRDefault="00F326E5" w:rsidP="006114FF">
      <w:pPr>
        <w:ind w:left="720"/>
        <w:rPr>
          <w:rStyle w:val="Hyperlink"/>
          <w:rFonts w:ascii="Times New Roman" w:hAnsi="Times New Roman"/>
          <w:sz w:val="24"/>
          <w:szCs w:val="24"/>
        </w:rPr>
      </w:pPr>
      <w:r w:rsidRPr="006114FF">
        <w:rPr>
          <w:rFonts w:ascii="Times New Roman" w:eastAsia="Times New Roman" w:hAnsi="Times New Roman"/>
          <w:sz w:val="24"/>
          <w:szCs w:val="24"/>
        </w:rPr>
        <w:t>“This court finds that the city’s failure to respond to the records request by releasing the requested records in this case was unreasonable. The city’s two-month delay in producing some of the records and more than five-month delay in producing all the requested records constitutes a failure to respond within a reasonable time.”</w:t>
      </w:r>
      <w:r w:rsidR="006114FF">
        <w:rPr>
          <w:rFonts w:ascii="Times New Roman" w:eastAsia="Times New Roman" w:hAnsi="Times New Roman"/>
          <w:sz w:val="24"/>
          <w:szCs w:val="24"/>
        </w:rPr>
        <w:t xml:space="preserve"> </w:t>
      </w:r>
      <w:hyperlink r:id="rId2296" w:history="1">
        <w:r w:rsidRPr="006114FF">
          <w:rPr>
            <w:rStyle w:val="Hyperlink"/>
            <w:rFonts w:ascii="Times New Roman" w:hAnsi="Times New Roman"/>
            <w:sz w:val="24"/>
            <w:szCs w:val="24"/>
          </w:rPr>
          <w:t>https://www.supremecourt.ohio.gov/rod/docs/pdf/8/2018/2018-Ohio-4602.pdf</w:t>
        </w:r>
      </w:hyperlink>
    </w:p>
    <w:p w14:paraId="5022440F" w14:textId="77777777" w:rsidR="00F326E5" w:rsidRPr="006114FF" w:rsidRDefault="00F326E5" w:rsidP="00F326E5">
      <w:pPr>
        <w:rPr>
          <w:rFonts w:ascii="Times New Roman" w:eastAsia="Times New Roman" w:hAnsi="Times New Roman"/>
          <w:b/>
          <w:sz w:val="24"/>
          <w:szCs w:val="24"/>
        </w:rPr>
      </w:pPr>
      <w:r w:rsidRPr="006114FF">
        <w:rPr>
          <w:rFonts w:ascii="Times New Roman" w:eastAsia="Times New Roman" w:hAnsi="Times New Roman"/>
          <w:b/>
          <w:sz w:val="24"/>
          <w:szCs w:val="24"/>
        </w:rPr>
        <w:t xml:space="preserve">Legal Lessons Learned:  Public records act statutes require prompt response; political subdivision should promptly produce readily available records, such Fire &amp; EMS job descriptions and certifications. </w:t>
      </w:r>
    </w:p>
    <w:bookmarkEnd w:id="530"/>
    <w:bookmarkEnd w:id="531"/>
    <w:p w14:paraId="2076A0C8" w14:textId="77777777" w:rsidR="00F326E5" w:rsidRPr="006114FF" w:rsidRDefault="00F326E5" w:rsidP="00F326E5">
      <w:pPr>
        <w:rPr>
          <w:rFonts w:ascii="Times New Roman" w:eastAsia="Times New Roman" w:hAnsi="Times New Roman"/>
          <w:sz w:val="24"/>
          <w:szCs w:val="24"/>
        </w:rPr>
      </w:pPr>
    </w:p>
    <w:p w14:paraId="3C1C841A" w14:textId="281F5A45" w:rsidR="00DE0F03" w:rsidRDefault="00DE0F03" w:rsidP="00DE0F03">
      <w:pPr>
        <w:pStyle w:val="NoSpacing"/>
        <w:rPr>
          <w:rFonts w:ascii="Arial Black" w:hAnsi="Arial Black"/>
          <w:sz w:val="24"/>
          <w:szCs w:val="24"/>
        </w:rPr>
      </w:pPr>
      <w:bookmarkStart w:id="532" w:name="_Hlk7346666"/>
      <w:r>
        <w:rPr>
          <w:rFonts w:ascii="Arial Black" w:hAnsi="Arial Black"/>
          <w:sz w:val="24"/>
          <w:szCs w:val="24"/>
        </w:rPr>
        <w:t>13-15</w:t>
      </w:r>
    </w:p>
    <w:p w14:paraId="649B7D23" w14:textId="77777777" w:rsidR="00DE0F03" w:rsidRDefault="00DE0F03" w:rsidP="00F326E5">
      <w:pPr>
        <w:pStyle w:val="NoSpacing"/>
        <w:rPr>
          <w:rFonts w:ascii="Arial Black" w:hAnsi="Arial Black"/>
          <w:sz w:val="28"/>
          <w:szCs w:val="28"/>
        </w:rPr>
      </w:pPr>
    </w:p>
    <w:p w14:paraId="0202D953" w14:textId="56B4793A" w:rsidR="00F326E5" w:rsidRDefault="00F326E5" w:rsidP="00F326E5">
      <w:pPr>
        <w:pStyle w:val="NoSpacing"/>
        <w:rPr>
          <w:rFonts w:ascii="Arial Black" w:hAnsi="Arial Black"/>
          <w:sz w:val="28"/>
          <w:szCs w:val="28"/>
        </w:rPr>
      </w:pPr>
      <w:bookmarkStart w:id="533" w:name="_Hlk41154233"/>
      <w:r>
        <w:rPr>
          <w:rFonts w:ascii="Arial Black" w:hAnsi="Arial Black"/>
          <w:sz w:val="28"/>
          <w:szCs w:val="28"/>
        </w:rPr>
        <w:t xml:space="preserve">KY:  STERNUM RUB ON PATIENT WHO HAD BECOME UNRESPONSIVE – CAN’T SUE </w:t>
      </w:r>
      <w:r w:rsidR="00DA4990">
        <w:rPr>
          <w:rFonts w:ascii="Arial Black" w:hAnsi="Arial Black"/>
          <w:sz w:val="28"/>
          <w:szCs w:val="28"/>
        </w:rPr>
        <w:t xml:space="preserve">EMS </w:t>
      </w:r>
      <w:r>
        <w:rPr>
          <w:rFonts w:ascii="Arial Black" w:hAnsi="Arial Black"/>
          <w:sz w:val="28"/>
          <w:szCs w:val="28"/>
        </w:rPr>
        <w:t>FOR ASSAULT</w:t>
      </w:r>
    </w:p>
    <w:p w14:paraId="6162907F" w14:textId="77777777" w:rsidR="006114FF" w:rsidRDefault="00F326E5" w:rsidP="006114FF">
      <w:pPr>
        <w:pStyle w:val="NoSpacing"/>
        <w:rPr>
          <w:rFonts w:ascii="Times New Roman" w:hAnsi="Times New Roman"/>
          <w:sz w:val="24"/>
          <w:szCs w:val="24"/>
        </w:rPr>
      </w:pPr>
      <w:r w:rsidRPr="006114FF">
        <w:rPr>
          <w:rFonts w:ascii="Times New Roman" w:hAnsi="Times New Roman"/>
          <w:sz w:val="24"/>
          <w:szCs w:val="24"/>
        </w:rPr>
        <w:t xml:space="preserve">On Oct. 9, 2018, in </w:t>
      </w:r>
      <w:r w:rsidRPr="006114FF">
        <w:rPr>
          <w:rFonts w:ascii="Times New Roman" w:hAnsi="Times New Roman"/>
          <w:sz w:val="24"/>
          <w:szCs w:val="24"/>
          <w:u w:val="single"/>
        </w:rPr>
        <w:t>Troy K. Scheffler v. Alex Lee, et al.</w:t>
      </w:r>
      <w:r w:rsidRPr="006114FF">
        <w:rPr>
          <w:rFonts w:ascii="Times New Roman" w:hAnsi="Times New Roman"/>
          <w:sz w:val="24"/>
          <w:szCs w:val="24"/>
        </w:rPr>
        <w:t xml:space="preserve">, the U.S. Court of Appeals </w:t>
      </w:r>
      <w:proofErr w:type="spellStart"/>
      <w:r w:rsidRPr="006114FF">
        <w:rPr>
          <w:rFonts w:ascii="Times New Roman" w:hAnsi="Times New Roman"/>
          <w:sz w:val="24"/>
          <w:szCs w:val="24"/>
        </w:rPr>
        <w:t>flor</w:t>
      </w:r>
      <w:proofErr w:type="spellEnd"/>
      <w:r w:rsidRPr="006114FF">
        <w:rPr>
          <w:rFonts w:ascii="Times New Roman" w:hAnsi="Times New Roman"/>
          <w:sz w:val="24"/>
          <w:szCs w:val="24"/>
        </w:rPr>
        <w:t xml:space="preserve"> 6</w:t>
      </w:r>
      <w:r w:rsidRPr="006114FF">
        <w:rPr>
          <w:rFonts w:ascii="Times New Roman" w:hAnsi="Times New Roman"/>
          <w:sz w:val="24"/>
          <w:szCs w:val="24"/>
          <w:vertAlign w:val="superscript"/>
        </w:rPr>
        <w:t>th</w:t>
      </w:r>
      <w:r w:rsidRPr="006114FF">
        <w:rPr>
          <w:rFonts w:ascii="Times New Roman" w:hAnsi="Times New Roman"/>
          <w:sz w:val="24"/>
          <w:szCs w:val="24"/>
        </w:rPr>
        <w:t xml:space="preserve"> Circuit (Cincinnati, OH) held (3 to 0) that the U.S. District Court had properly granted summary judgment and dismissed the lawsuit against EMT Michael Carroll.  </w:t>
      </w:r>
    </w:p>
    <w:p w14:paraId="5F584D87" w14:textId="77777777" w:rsidR="006114FF" w:rsidRDefault="006114FF" w:rsidP="006114FF">
      <w:pPr>
        <w:pStyle w:val="NoSpacing"/>
        <w:rPr>
          <w:rFonts w:ascii="Times New Roman" w:hAnsi="Times New Roman"/>
          <w:sz w:val="24"/>
          <w:szCs w:val="24"/>
        </w:rPr>
      </w:pPr>
    </w:p>
    <w:p w14:paraId="4257EF43" w14:textId="1D4E4922" w:rsidR="00F326E5" w:rsidRPr="006114FF" w:rsidRDefault="00F326E5" w:rsidP="006114FF">
      <w:pPr>
        <w:pStyle w:val="NoSpacing"/>
        <w:ind w:left="720"/>
        <w:rPr>
          <w:rFonts w:ascii="Times New Roman" w:eastAsia="Times New Roman" w:hAnsi="Times New Roman"/>
          <w:sz w:val="24"/>
          <w:szCs w:val="24"/>
        </w:rPr>
      </w:pPr>
      <w:r w:rsidRPr="006114FF">
        <w:rPr>
          <w:rFonts w:ascii="Times New Roman" w:hAnsi="Times New Roman"/>
          <w:sz w:val="24"/>
          <w:szCs w:val="24"/>
        </w:rPr>
        <w:t>“</w:t>
      </w:r>
      <w:r w:rsidRPr="006114FF">
        <w:rPr>
          <w:rFonts w:ascii="Times New Roman" w:eastAsia="Times New Roman" w:hAnsi="Times New Roman"/>
          <w:sz w:val="24"/>
          <w:szCs w:val="24"/>
        </w:rPr>
        <w:t xml:space="preserve">Scheffler consented to medical care by asking to be taken to the hospital and by willingly entering the ambulance with the EMTs, and there is no indication that Scheffler withdrew or limited that consent. Carroll performed the sternum rub as part of that care.” </w:t>
      </w:r>
      <w:hyperlink r:id="rId2297" w:history="1">
        <w:r w:rsidRPr="006114FF">
          <w:rPr>
            <w:rStyle w:val="Hyperlink"/>
            <w:rFonts w:ascii="Times New Roman" w:hAnsi="Times New Roman"/>
            <w:sz w:val="24"/>
            <w:szCs w:val="24"/>
          </w:rPr>
          <w:t>http://www.opn.ca6.uscourts.gov/opinions.pdf/18a0499n-06.pdf</w:t>
        </w:r>
      </w:hyperlink>
      <w:r w:rsidRPr="006114FF">
        <w:rPr>
          <w:rFonts w:ascii="Times New Roman" w:eastAsia="Times New Roman" w:hAnsi="Times New Roman"/>
          <w:sz w:val="24"/>
          <w:szCs w:val="24"/>
        </w:rPr>
        <w:t xml:space="preserve"> </w:t>
      </w:r>
    </w:p>
    <w:p w14:paraId="0D0CB075" w14:textId="77777777" w:rsidR="006114FF" w:rsidRDefault="006114FF" w:rsidP="006114FF">
      <w:pPr>
        <w:pStyle w:val="NoSpacing"/>
        <w:rPr>
          <w:rFonts w:ascii="Times New Roman" w:hAnsi="Times New Roman"/>
          <w:b/>
          <w:sz w:val="24"/>
          <w:szCs w:val="24"/>
        </w:rPr>
      </w:pPr>
    </w:p>
    <w:p w14:paraId="4282BA54" w14:textId="242726EA" w:rsidR="00F326E5" w:rsidRPr="006114FF" w:rsidRDefault="00F326E5" w:rsidP="006114FF">
      <w:pPr>
        <w:pStyle w:val="NoSpacing"/>
        <w:rPr>
          <w:rFonts w:ascii="Times New Roman" w:hAnsi="Times New Roman"/>
          <w:b/>
          <w:sz w:val="24"/>
          <w:szCs w:val="24"/>
        </w:rPr>
      </w:pPr>
      <w:r w:rsidRPr="006114FF">
        <w:rPr>
          <w:rFonts w:ascii="Times New Roman" w:hAnsi="Times New Roman"/>
          <w:b/>
          <w:sz w:val="24"/>
          <w:szCs w:val="24"/>
        </w:rPr>
        <w:t xml:space="preserve">Legal Lessons Learned:  Thoroughly document reasons for a sternum rub, or other medical procedures.  </w:t>
      </w:r>
    </w:p>
    <w:bookmarkEnd w:id="533"/>
    <w:p w14:paraId="2C3302F5" w14:textId="77777777" w:rsidR="00F326E5" w:rsidRPr="006114FF" w:rsidRDefault="00F326E5" w:rsidP="006114FF">
      <w:pPr>
        <w:pStyle w:val="NoSpacing"/>
        <w:rPr>
          <w:rFonts w:ascii="Times New Roman" w:eastAsia="Times New Roman" w:hAnsi="Times New Roman"/>
          <w:b/>
          <w:sz w:val="24"/>
          <w:szCs w:val="24"/>
        </w:rPr>
      </w:pPr>
    </w:p>
    <w:bookmarkEnd w:id="532"/>
    <w:p w14:paraId="3C052DB2" w14:textId="77777777" w:rsidR="00F326E5" w:rsidRDefault="00F326E5" w:rsidP="00F326E5">
      <w:pPr>
        <w:pStyle w:val="NoSpacing"/>
        <w:rPr>
          <w:rFonts w:ascii="Arial Black" w:hAnsi="Arial Black"/>
          <w:b/>
          <w:sz w:val="24"/>
          <w:szCs w:val="24"/>
        </w:rPr>
      </w:pPr>
    </w:p>
    <w:p w14:paraId="0CC0E30B" w14:textId="5ED2C3F5" w:rsidR="00DE0F03" w:rsidRDefault="00DE0F03" w:rsidP="00DE0F03">
      <w:pPr>
        <w:pStyle w:val="NoSpacing"/>
        <w:rPr>
          <w:rFonts w:ascii="Arial Black" w:hAnsi="Arial Black"/>
          <w:sz w:val="24"/>
          <w:szCs w:val="24"/>
        </w:rPr>
      </w:pPr>
      <w:r>
        <w:rPr>
          <w:rFonts w:ascii="Arial Black" w:hAnsi="Arial Black"/>
          <w:sz w:val="24"/>
          <w:szCs w:val="24"/>
        </w:rPr>
        <w:t>13-14</w:t>
      </w:r>
    </w:p>
    <w:p w14:paraId="2DB6E473" w14:textId="77777777" w:rsidR="00F326E5" w:rsidRDefault="00F326E5" w:rsidP="00F326E5">
      <w:pPr>
        <w:pStyle w:val="NoSpacing"/>
        <w:rPr>
          <w:b/>
          <w:sz w:val="24"/>
          <w:szCs w:val="24"/>
        </w:rPr>
      </w:pPr>
    </w:p>
    <w:p w14:paraId="71D292F1" w14:textId="538A478D" w:rsidR="00F326E5" w:rsidRPr="00877AA6" w:rsidRDefault="00F326E5" w:rsidP="00F326E5">
      <w:pPr>
        <w:rPr>
          <w:rFonts w:ascii="Times New Roman" w:hAnsi="Times New Roman"/>
          <w:sz w:val="24"/>
          <w:szCs w:val="24"/>
        </w:rPr>
      </w:pPr>
      <w:bookmarkStart w:id="534" w:name="_Hlk7346706"/>
      <w:r w:rsidRPr="00877AA6">
        <w:rPr>
          <w:rFonts w:ascii="Arial Black" w:hAnsi="Arial Black"/>
          <w:sz w:val="28"/>
          <w:szCs w:val="28"/>
        </w:rPr>
        <w:t xml:space="preserve">NY: FF </w:t>
      </w:r>
      <w:r>
        <w:rPr>
          <w:rFonts w:ascii="Arial Black" w:hAnsi="Arial Black"/>
          <w:sz w:val="28"/>
          <w:szCs w:val="28"/>
        </w:rPr>
        <w:t xml:space="preserve">FELL WHEN AMBUL. BACK STEP NOT LOWERED – ACCIDENTAL DISAB. CLAIM UPHELD </w:t>
      </w:r>
      <w:r w:rsidRPr="00877AA6">
        <w:rPr>
          <w:rFonts w:ascii="Times New Roman" w:hAnsi="Times New Roman"/>
          <w:sz w:val="24"/>
          <w:szCs w:val="24"/>
        </w:rPr>
        <w:t xml:space="preserve">[also filed, Chap. 6] </w:t>
      </w:r>
    </w:p>
    <w:p w14:paraId="365C0E81" w14:textId="77777777" w:rsidR="00F326E5" w:rsidRPr="006114FF" w:rsidRDefault="00F326E5" w:rsidP="00F326E5">
      <w:pPr>
        <w:rPr>
          <w:rFonts w:ascii="Times New Roman" w:hAnsi="Times New Roman"/>
          <w:b/>
          <w:sz w:val="24"/>
          <w:szCs w:val="24"/>
        </w:rPr>
      </w:pPr>
      <w:r w:rsidRPr="006114FF">
        <w:rPr>
          <w:rFonts w:ascii="Times New Roman" w:eastAsia="Times New Roman" w:hAnsi="Times New Roman"/>
          <w:sz w:val="24"/>
          <w:szCs w:val="24"/>
        </w:rPr>
        <w:t xml:space="preserve">On Sept. 6, 2018, </w:t>
      </w:r>
      <w:r w:rsidRPr="006114FF">
        <w:rPr>
          <w:rFonts w:ascii="Times New Roman" w:eastAsia="Times New Roman" w:hAnsi="Times New Roman"/>
          <w:sz w:val="24"/>
          <w:szCs w:val="24"/>
          <w:u w:val="single"/>
        </w:rPr>
        <w:t>In The Matter Of Gregg A. Loia v. Thomas P. Di Napoli, State Comptroller</w:t>
      </w:r>
      <w:r w:rsidRPr="006114FF">
        <w:rPr>
          <w:rFonts w:ascii="Times New Roman" w:eastAsia="Times New Roman" w:hAnsi="Times New Roman"/>
          <w:sz w:val="24"/>
          <w:szCs w:val="24"/>
        </w:rPr>
        <w:t xml:space="preserve">,  the NY Supreme Court, Appellate Division (Third Judicial Department) held (3 to 0) the injured firefighter is entitled to accidental retirement benefits since the back step of the ambulance had not been lowered by EMS personnel, and he suffered an “accident” on the “malfunctioning piece of equipment that was designed, under normal circumstances, to promote safety.” </w:t>
      </w:r>
      <w:hyperlink r:id="rId2298" w:history="1">
        <w:r w:rsidRPr="006114FF">
          <w:rPr>
            <w:rStyle w:val="Hyperlink"/>
            <w:rFonts w:ascii="Times New Roman" w:hAnsi="Times New Roman"/>
            <w:sz w:val="24"/>
            <w:szCs w:val="24"/>
          </w:rPr>
          <w:t>http://decisions.courts.state.ny.us/ad3/Decisions/2018/526165.pdf</w:t>
        </w:r>
      </w:hyperlink>
      <w:r w:rsidRPr="006114FF">
        <w:rPr>
          <w:rFonts w:ascii="Times New Roman" w:eastAsia="Times New Roman" w:hAnsi="Times New Roman"/>
          <w:sz w:val="24"/>
          <w:szCs w:val="24"/>
        </w:rPr>
        <w:t xml:space="preserve"> </w:t>
      </w:r>
    </w:p>
    <w:p w14:paraId="04A53486" w14:textId="77777777" w:rsidR="00F326E5" w:rsidRPr="006114FF" w:rsidRDefault="00F326E5" w:rsidP="00F326E5">
      <w:pPr>
        <w:rPr>
          <w:rFonts w:ascii="Times New Roman" w:eastAsia="Times New Roman" w:hAnsi="Times New Roman"/>
          <w:b/>
          <w:sz w:val="24"/>
          <w:szCs w:val="24"/>
        </w:rPr>
      </w:pPr>
      <w:r w:rsidRPr="006114FF">
        <w:rPr>
          <w:rFonts w:ascii="Times New Roman" w:eastAsia="Times New Roman" w:hAnsi="Times New Roman"/>
          <w:b/>
          <w:sz w:val="24"/>
          <w:szCs w:val="24"/>
        </w:rPr>
        <w:t xml:space="preserve">Legal Lessons Learned:  Fire &amp; EMS personnel should document any on the job injury (including, in this case, photos of the ambulance step) and obtain statements from others on the scene.  It is unfortunate that a dispute over disability retirement benefits has been in litigation since 2012.  </w:t>
      </w:r>
    </w:p>
    <w:bookmarkEnd w:id="534"/>
    <w:p w14:paraId="50DC9AFF" w14:textId="77777777" w:rsidR="00F326E5" w:rsidRDefault="00F326E5" w:rsidP="00F326E5">
      <w:pPr>
        <w:rPr>
          <w:rFonts w:eastAsia="Times New Roman"/>
          <w:b/>
          <w:sz w:val="24"/>
          <w:szCs w:val="24"/>
        </w:rPr>
      </w:pPr>
    </w:p>
    <w:p w14:paraId="50C60981" w14:textId="64903EAA" w:rsidR="00DE0F03" w:rsidRDefault="00DE0F03" w:rsidP="00DE0F03">
      <w:pPr>
        <w:pStyle w:val="NoSpacing"/>
        <w:rPr>
          <w:rFonts w:ascii="Arial Black" w:hAnsi="Arial Black"/>
          <w:sz w:val="24"/>
          <w:szCs w:val="24"/>
        </w:rPr>
      </w:pPr>
      <w:r>
        <w:rPr>
          <w:rFonts w:ascii="Arial Black" w:hAnsi="Arial Black"/>
          <w:sz w:val="24"/>
          <w:szCs w:val="24"/>
        </w:rPr>
        <w:lastRenderedPageBreak/>
        <w:t>13-13</w:t>
      </w:r>
    </w:p>
    <w:p w14:paraId="62EEFCB4" w14:textId="77777777" w:rsidR="00DA4990" w:rsidRDefault="00DA4990" w:rsidP="00F326E5">
      <w:pPr>
        <w:rPr>
          <w:sz w:val="24"/>
          <w:szCs w:val="24"/>
        </w:rPr>
      </w:pPr>
    </w:p>
    <w:p w14:paraId="3A3309D2" w14:textId="7AE7C010" w:rsidR="00F326E5" w:rsidRPr="00877AA6" w:rsidRDefault="00F326E5" w:rsidP="00F326E5">
      <w:pPr>
        <w:rPr>
          <w:rFonts w:ascii="Arial Black" w:hAnsi="Arial Black"/>
          <w:sz w:val="28"/>
          <w:szCs w:val="28"/>
        </w:rPr>
      </w:pPr>
      <w:bookmarkStart w:id="535" w:name="_Hlk7346756"/>
      <w:bookmarkStart w:id="536" w:name="_Hlk41154421"/>
      <w:r w:rsidRPr="00877AA6">
        <w:rPr>
          <w:rFonts w:ascii="Arial Black" w:hAnsi="Arial Black"/>
          <w:sz w:val="28"/>
          <w:szCs w:val="28"/>
        </w:rPr>
        <w:t>NJ: P</w:t>
      </w:r>
      <w:r>
        <w:rPr>
          <w:rFonts w:ascii="Arial Black" w:hAnsi="Arial Black"/>
          <w:sz w:val="28"/>
          <w:szCs w:val="28"/>
        </w:rPr>
        <w:t xml:space="preserve">ARAMEDIC STUDENT </w:t>
      </w:r>
      <w:r w:rsidR="00DA4990">
        <w:rPr>
          <w:rFonts w:ascii="Arial Black" w:hAnsi="Arial Black"/>
          <w:sz w:val="28"/>
          <w:szCs w:val="28"/>
        </w:rPr>
        <w:t xml:space="preserve">WAS </w:t>
      </w:r>
      <w:r>
        <w:rPr>
          <w:rFonts w:ascii="Arial Black" w:hAnsi="Arial Black"/>
          <w:sz w:val="28"/>
          <w:szCs w:val="28"/>
        </w:rPr>
        <w:t>GIVEN 6-MONTH EXTENSION TO COMPLETE CLINICALS – NO FURTHER</w:t>
      </w:r>
      <w:r w:rsidR="00DA4990">
        <w:rPr>
          <w:rFonts w:ascii="Arial Black" w:hAnsi="Arial Black"/>
          <w:sz w:val="28"/>
          <w:szCs w:val="28"/>
        </w:rPr>
        <w:t xml:space="preserve"> EXTENSIONS</w:t>
      </w:r>
    </w:p>
    <w:p w14:paraId="530C8751" w14:textId="77777777" w:rsidR="00F326E5" w:rsidRPr="006114FF" w:rsidRDefault="00F326E5" w:rsidP="006114FF">
      <w:pPr>
        <w:pStyle w:val="NoSpacing"/>
        <w:rPr>
          <w:rFonts w:ascii="Times New Roman" w:hAnsi="Times New Roman"/>
          <w:sz w:val="24"/>
          <w:szCs w:val="24"/>
        </w:rPr>
      </w:pPr>
      <w:r w:rsidRPr="006114FF">
        <w:rPr>
          <w:rFonts w:ascii="Times New Roman" w:hAnsi="Times New Roman"/>
          <w:sz w:val="24"/>
          <w:szCs w:val="24"/>
        </w:rPr>
        <w:t>On Sept. 4, 2018, in</w:t>
      </w:r>
      <w:r w:rsidRPr="006114FF">
        <w:rPr>
          <w:rFonts w:ascii="Times New Roman" w:hAnsi="Times New Roman"/>
          <w:sz w:val="24"/>
          <w:szCs w:val="24"/>
          <w:u w:val="single"/>
        </w:rPr>
        <w:t xml:space="preserve"> The Matter </w:t>
      </w:r>
      <w:proofErr w:type="gramStart"/>
      <w:r w:rsidRPr="006114FF">
        <w:rPr>
          <w:rFonts w:ascii="Times New Roman" w:hAnsi="Times New Roman"/>
          <w:sz w:val="24"/>
          <w:szCs w:val="24"/>
          <w:u w:val="single"/>
        </w:rPr>
        <w:t>Of</w:t>
      </w:r>
      <w:proofErr w:type="gramEnd"/>
      <w:r w:rsidRPr="006114FF">
        <w:rPr>
          <w:rFonts w:ascii="Times New Roman" w:hAnsi="Times New Roman"/>
          <w:sz w:val="24"/>
          <w:szCs w:val="24"/>
          <w:u w:val="single"/>
        </w:rPr>
        <w:t xml:space="preserve"> Denial </w:t>
      </w:r>
      <w:proofErr w:type="gramStart"/>
      <w:r w:rsidRPr="006114FF">
        <w:rPr>
          <w:rFonts w:ascii="Times New Roman" w:hAnsi="Times New Roman"/>
          <w:sz w:val="24"/>
          <w:szCs w:val="24"/>
          <w:u w:val="single"/>
        </w:rPr>
        <w:t>Of</w:t>
      </w:r>
      <w:proofErr w:type="gramEnd"/>
      <w:r w:rsidRPr="006114FF">
        <w:rPr>
          <w:rFonts w:ascii="Times New Roman" w:hAnsi="Times New Roman"/>
          <w:sz w:val="24"/>
          <w:szCs w:val="24"/>
          <w:u w:val="single"/>
        </w:rPr>
        <w:t xml:space="preserve"> Waiver </w:t>
      </w:r>
      <w:proofErr w:type="gramStart"/>
      <w:r w:rsidRPr="006114FF">
        <w:rPr>
          <w:rFonts w:ascii="Times New Roman" w:hAnsi="Times New Roman"/>
          <w:sz w:val="24"/>
          <w:szCs w:val="24"/>
          <w:u w:val="single"/>
        </w:rPr>
        <w:t>For</w:t>
      </w:r>
      <w:proofErr w:type="gramEnd"/>
      <w:r w:rsidRPr="006114FF">
        <w:rPr>
          <w:rFonts w:ascii="Times New Roman" w:hAnsi="Times New Roman"/>
          <w:sz w:val="24"/>
          <w:szCs w:val="24"/>
          <w:u w:val="single"/>
        </w:rPr>
        <w:t xml:space="preserve"> Alberto Sanchez</w:t>
      </w:r>
      <w:r w:rsidRPr="006114FF">
        <w:rPr>
          <w:rFonts w:ascii="Times New Roman" w:hAnsi="Times New Roman"/>
          <w:sz w:val="24"/>
          <w:szCs w:val="24"/>
        </w:rPr>
        <w:t xml:space="preserve">, the Superior Court of New Jersey, Appellate Division, held (2 to 0 in unpublished opinion) that State EMS Board properly refused to grant an extension of total training time. “Despite obtaining an extension [of six months to complete clinicals], Sanchez failed to timely complete his clinical training by not participating in at least five cardiac arrest resuscitations and not successfully performing at least five defibrillations and synchronized cardioversions. N.J.A.C. 8:41A-2.6(a)(9) and (10). He only participated in three cardiac </w:t>
      </w:r>
      <w:proofErr w:type="gramStart"/>
      <w:r w:rsidRPr="006114FF">
        <w:rPr>
          <w:rFonts w:ascii="Times New Roman" w:hAnsi="Times New Roman"/>
          <w:sz w:val="24"/>
          <w:szCs w:val="24"/>
        </w:rPr>
        <w:t>arrests, and</w:t>
      </w:r>
      <w:proofErr w:type="gramEnd"/>
      <w:r w:rsidRPr="006114FF">
        <w:rPr>
          <w:rFonts w:ascii="Times New Roman" w:hAnsi="Times New Roman"/>
          <w:sz w:val="24"/>
          <w:szCs w:val="24"/>
        </w:rPr>
        <w:t xml:space="preserve"> failed to complete any defibrillations or cardioversions. *** The OEMS denied the waiver [of 36-month total training time] request on March 6, 2017, because under N.J.A.C. 8:41A -2.4, his training could not be extended beyond February 6, 2017– thirty-six months of his starting date – and there were public health concerns if he was allowed more time.”</w:t>
      </w:r>
    </w:p>
    <w:p w14:paraId="22B019F3" w14:textId="77777777" w:rsidR="00F326E5" w:rsidRPr="006114FF" w:rsidRDefault="00F326E5" w:rsidP="006114FF">
      <w:pPr>
        <w:pStyle w:val="NoSpacing"/>
        <w:rPr>
          <w:rStyle w:val="Hyperlink"/>
          <w:rFonts w:ascii="Times New Roman" w:hAnsi="Times New Roman"/>
          <w:b/>
          <w:sz w:val="24"/>
          <w:szCs w:val="24"/>
        </w:rPr>
      </w:pPr>
      <w:hyperlink r:id="rId2299" w:history="1">
        <w:r w:rsidRPr="006114FF">
          <w:rPr>
            <w:rStyle w:val="Hyperlink"/>
            <w:rFonts w:ascii="Times New Roman" w:hAnsi="Times New Roman"/>
            <w:sz w:val="24"/>
            <w:szCs w:val="24"/>
          </w:rPr>
          <w:t>https://www.njcourts.gov/attorneys/assets/opinions/appellate/unpublished/a4258-16.pdf?cacheID=HAxjRbJ</w:t>
        </w:r>
      </w:hyperlink>
    </w:p>
    <w:p w14:paraId="60B2DA04" w14:textId="77777777" w:rsidR="006114FF" w:rsidRDefault="006114FF" w:rsidP="006114FF">
      <w:pPr>
        <w:pStyle w:val="NoSpacing"/>
        <w:rPr>
          <w:rFonts w:ascii="Times New Roman" w:hAnsi="Times New Roman"/>
          <w:b/>
          <w:sz w:val="24"/>
          <w:szCs w:val="24"/>
        </w:rPr>
      </w:pPr>
    </w:p>
    <w:p w14:paraId="58E04BDA" w14:textId="2AA03F8D" w:rsidR="00F326E5" w:rsidRPr="006114FF" w:rsidRDefault="00F326E5" w:rsidP="006114FF">
      <w:pPr>
        <w:pStyle w:val="NoSpacing"/>
        <w:rPr>
          <w:rFonts w:ascii="Times New Roman" w:hAnsi="Times New Roman"/>
          <w:b/>
          <w:sz w:val="24"/>
          <w:szCs w:val="24"/>
        </w:rPr>
      </w:pPr>
      <w:r w:rsidRPr="006114FF">
        <w:rPr>
          <w:rFonts w:ascii="Times New Roman" w:hAnsi="Times New Roman"/>
          <w:b/>
          <w:sz w:val="24"/>
          <w:szCs w:val="24"/>
        </w:rPr>
        <w:t>Legal Lesson Learned:  Courts are generally very reluctant to overturn decisions of State agencies, such as EMS Boards, regarding the protection of health of the public.</w:t>
      </w:r>
    </w:p>
    <w:p w14:paraId="2FCADC76" w14:textId="77777777" w:rsidR="00F326E5" w:rsidRPr="006114FF" w:rsidRDefault="00F326E5" w:rsidP="006114FF">
      <w:pPr>
        <w:pStyle w:val="NoSpacing"/>
        <w:rPr>
          <w:rFonts w:ascii="Times New Roman" w:hAnsi="Times New Roman"/>
          <w:b/>
          <w:sz w:val="24"/>
          <w:szCs w:val="24"/>
        </w:rPr>
      </w:pPr>
    </w:p>
    <w:bookmarkEnd w:id="535"/>
    <w:p w14:paraId="147874C9" w14:textId="77777777" w:rsidR="00F326E5" w:rsidRPr="006114FF" w:rsidRDefault="00F326E5" w:rsidP="006114FF">
      <w:pPr>
        <w:pStyle w:val="NoSpacing"/>
        <w:rPr>
          <w:rFonts w:ascii="Times New Roman" w:hAnsi="Times New Roman"/>
          <w:b/>
          <w:sz w:val="24"/>
          <w:szCs w:val="24"/>
        </w:rPr>
      </w:pPr>
    </w:p>
    <w:bookmarkEnd w:id="536"/>
    <w:p w14:paraId="6C24F54B" w14:textId="77777777" w:rsidR="00F326E5" w:rsidRDefault="00F326E5" w:rsidP="00F326E5">
      <w:pPr>
        <w:pStyle w:val="NoSpacing"/>
        <w:rPr>
          <w:rFonts w:eastAsia="Times New Roman"/>
          <w:b/>
          <w:sz w:val="24"/>
          <w:szCs w:val="24"/>
        </w:rPr>
      </w:pPr>
    </w:p>
    <w:p w14:paraId="6555DF9F" w14:textId="77777777" w:rsidR="0036327D" w:rsidRDefault="0036327D" w:rsidP="00DE0F03">
      <w:pPr>
        <w:pStyle w:val="NoSpacing"/>
        <w:rPr>
          <w:rFonts w:ascii="Arial Black" w:hAnsi="Arial Black"/>
          <w:sz w:val="24"/>
          <w:szCs w:val="24"/>
        </w:rPr>
      </w:pPr>
    </w:p>
    <w:p w14:paraId="40509453" w14:textId="77777777" w:rsidR="0036327D" w:rsidRDefault="0036327D" w:rsidP="00DE0F03">
      <w:pPr>
        <w:pStyle w:val="NoSpacing"/>
        <w:rPr>
          <w:rFonts w:ascii="Arial Black" w:hAnsi="Arial Black"/>
          <w:sz w:val="24"/>
          <w:szCs w:val="24"/>
        </w:rPr>
      </w:pPr>
    </w:p>
    <w:p w14:paraId="1C4220A3" w14:textId="77777777" w:rsidR="0036327D" w:rsidRDefault="0036327D" w:rsidP="00DE0F03">
      <w:pPr>
        <w:pStyle w:val="NoSpacing"/>
        <w:rPr>
          <w:rFonts w:ascii="Arial Black" w:hAnsi="Arial Black"/>
          <w:sz w:val="24"/>
          <w:szCs w:val="24"/>
        </w:rPr>
      </w:pPr>
    </w:p>
    <w:p w14:paraId="482BD327" w14:textId="6E570AB1" w:rsidR="00DE0F03" w:rsidRDefault="00DE0F03" w:rsidP="00DE0F03">
      <w:pPr>
        <w:pStyle w:val="NoSpacing"/>
        <w:rPr>
          <w:rFonts w:ascii="Arial Black" w:hAnsi="Arial Black"/>
          <w:sz w:val="24"/>
          <w:szCs w:val="24"/>
        </w:rPr>
      </w:pPr>
      <w:r>
        <w:rPr>
          <w:rFonts w:ascii="Arial Black" w:hAnsi="Arial Black"/>
          <w:sz w:val="24"/>
          <w:szCs w:val="24"/>
        </w:rPr>
        <w:t>13-12</w:t>
      </w:r>
    </w:p>
    <w:p w14:paraId="60E339E0" w14:textId="77777777" w:rsidR="00F326E5" w:rsidRDefault="00F326E5" w:rsidP="00F326E5">
      <w:pPr>
        <w:rPr>
          <w:sz w:val="24"/>
          <w:szCs w:val="24"/>
        </w:rPr>
      </w:pPr>
    </w:p>
    <w:p w14:paraId="08303B7E" w14:textId="27C02FD5" w:rsidR="00F326E5" w:rsidRPr="00877AA6" w:rsidRDefault="00F326E5" w:rsidP="00F326E5">
      <w:pPr>
        <w:rPr>
          <w:rFonts w:ascii="Arial Black" w:hAnsi="Arial Black"/>
          <w:sz w:val="28"/>
          <w:szCs w:val="28"/>
        </w:rPr>
      </w:pPr>
      <w:bookmarkStart w:id="537" w:name="_Hlk41154467"/>
      <w:bookmarkStart w:id="538" w:name="_Hlk7346790"/>
      <w:r w:rsidRPr="00877AA6">
        <w:rPr>
          <w:rFonts w:ascii="Arial Black" w:hAnsi="Arial Black"/>
          <w:sz w:val="28"/>
          <w:szCs w:val="28"/>
        </w:rPr>
        <w:t xml:space="preserve">OK: </w:t>
      </w:r>
      <w:r>
        <w:rPr>
          <w:rFonts w:ascii="Arial Black" w:hAnsi="Arial Black"/>
          <w:sz w:val="28"/>
          <w:szCs w:val="28"/>
        </w:rPr>
        <w:t>VERY EXPENSIVE TRANSPORT BY HELICOPTER – PATIENTS CAN’T SUE, FED. STATUTE</w:t>
      </w:r>
    </w:p>
    <w:p w14:paraId="795D8B48" w14:textId="77777777" w:rsidR="006114FF" w:rsidRDefault="00F326E5" w:rsidP="00F326E5">
      <w:pPr>
        <w:rPr>
          <w:rFonts w:ascii="Times New Roman" w:hAnsi="Times New Roman"/>
          <w:sz w:val="24"/>
          <w:szCs w:val="24"/>
        </w:rPr>
      </w:pPr>
      <w:r w:rsidRPr="006114FF">
        <w:rPr>
          <w:rFonts w:ascii="Times New Roman" w:hAnsi="Times New Roman"/>
          <w:sz w:val="24"/>
          <w:szCs w:val="24"/>
        </w:rPr>
        <w:t xml:space="preserve">On Aug. 31, 2018, in </w:t>
      </w:r>
      <w:r w:rsidRPr="006114FF">
        <w:rPr>
          <w:rFonts w:ascii="Times New Roman" w:hAnsi="Times New Roman"/>
          <w:sz w:val="24"/>
          <w:szCs w:val="24"/>
          <w:u w:val="single"/>
        </w:rPr>
        <w:t xml:space="preserve">Susan Schenberger, Lacy Stidman and Johnny Trent v. Air Evac EMS, </w:t>
      </w:r>
      <w:proofErr w:type="spellStart"/>
      <w:r w:rsidRPr="006114FF">
        <w:rPr>
          <w:rFonts w:ascii="Times New Roman" w:hAnsi="Times New Roman"/>
          <w:sz w:val="24"/>
          <w:szCs w:val="24"/>
          <w:u w:val="single"/>
        </w:rPr>
        <w:t>Inc.and</w:t>
      </w:r>
      <w:proofErr w:type="spellEnd"/>
      <w:r w:rsidRPr="006114FF">
        <w:rPr>
          <w:rFonts w:ascii="Times New Roman" w:hAnsi="Times New Roman"/>
          <w:sz w:val="24"/>
          <w:szCs w:val="24"/>
          <w:u w:val="single"/>
        </w:rPr>
        <w:t xml:space="preserve"> Air Evac EMS, Inc.</w:t>
      </w:r>
      <w:r w:rsidRPr="006114FF">
        <w:rPr>
          <w:rFonts w:ascii="Times New Roman" w:hAnsi="Times New Roman"/>
          <w:sz w:val="24"/>
          <w:szCs w:val="24"/>
        </w:rPr>
        <w:t>, the U.S. Court of Appeals for the 10</w:t>
      </w:r>
      <w:r w:rsidRPr="006114FF">
        <w:rPr>
          <w:rFonts w:ascii="Times New Roman" w:hAnsi="Times New Roman"/>
          <w:sz w:val="24"/>
          <w:szCs w:val="24"/>
          <w:vertAlign w:val="superscript"/>
        </w:rPr>
        <w:t>th</w:t>
      </w:r>
      <w:r w:rsidRPr="006114FF">
        <w:rPr>
          <w:rFonts w:ascii="Times New Roman" w:hAnsi="Times New Roman"/>
          <w:sz w:val="24"/>
          <w:szCs w:val="24"/>
        </w:rPr>
        <w:t xml:space="preserve"> Circuit, held (3 to 0) that the lawsuit was properly dismissed: </w:t>
      </w:r>
    </w:p>
    <w:p w14:paraId="3D670094" w14:textId="1C656843" w:rsidR="00F326E5" w:rsidRPr="006114FF" w:rsidRDefault="00F326E5" w:rsidP="006114FF">
      <w:pPr>
        <w:ind w:left="720"/>
        <w:rPr>
          <w:rFonts w:ascii="Times New Roman" w:hAnsi="Times New Roman"/>
          <w:sz w:val="24"/>
          <w:szCs w:val="24"/>
        </w:rPr>
      </w:pPr>
      <w:r w:rsidRPr="006114FF">
        <w:rPr>
          <w:rFonts w:ascii="Times New Roman" w:hAnsi="Times New Roman"/>
          <w:sz w:val="24"/>
          <w:szCs w:val="24"/>
        </w:rPr>
        <w:t xml:space="preserve">“Like the district court in this case, we have previously recognized that [Airline Deregulation Act] preemption may sometimes produce harsh results for potential plaintiffs seeking redress for perceived unfair treatment by air-ambulance carriers. </w:t>
      </w:r>
      <w:r w:rsidRPr="006114FF">
        <w:rPr>
          <w:rFonts w:ascii="Times New Roman" w:hAnsi="Times New Roman"/>
          <w:i/>
          <w:iCs/>
          <w:sz w:val="24"/>
          <w:szCs w:val="24"/>
        </w:rPr>
        <w:t>See Cox,</w:t>
      </w:r>
      <w:r w:rsidRPr="006114FF">
        <w:rPr>
          <w:rFonts w:ascii="Times New Roman" w:hAnsi="Times New Roman"/>
          <w:sz w:val="24"/>
          <w:szCs w:val="24"/>
        </w:rPr>
        <w:t xml:space="preserve"> 868 F.3d at 906-07. Yet, we felt constrained to observe that ‘[s]</w:t>
      </w:r>
      <w:proofErr w:type="spellStart"/>
      <w:r w:rsidRPr="006114FF">
        <w:rPr>
          <w:rFonts w:ascii="Times New Roman" w:hAnsi="Times New Roman"/>
          <w:sz w:val="24"/>
          <w:szCs w:val="24"/>
        </w:rPr>
        <w:t>uch</w:t>
      </w:r>
      <w:proofErr w:type="spellEnd"/>
      <w:r w:rsidRPr="006114FF">
        <w:rPr>
          <w:rFonts w:ascii="Times New Roman" w:hAnsi="Times New Roman"/>
          <w:sz w:val="24"/>
          <w:szCs w:val="24"/>
        </w:rPr>
        <w:t xml:space="preserve"> policy considerations . . . are beyond the purview of [the courts]’ and ‘must be addressed to Congress.’ </w:t>
      </w:r>
      <w:r w:rsidRPr="006114FF">
        <w:rPr>
          <w:rFonts w:ascii="Times New Roman" w:hAnsi="Times New Roman"/>
          <w:i/>
          <w:iCs/>
          <w:sz w:val="24"/>
          <w:szCs w:val="24"/>
        </w:rPr>
        <w:t>Id.</w:t>
      </w:r>
      <w:r w:rsidRPr="006114FF">
        <w:rPr>
          <w:rFonts w:ascii="Times New Roman" w:hAnsi="Times New Roman"/>
          <w:sz w:val="24"/>
          <w:szCs w:val="24"/>
        </w:rPr>
        <w:t xml:space="preserve">; </w:t>
      </w:r>
      <w:r w:rsidRPr="006114FF">
        <w:rPr>
          <w:rFonts w:ascii="Times New Roman" w:hAnsi="Times New Roman"/>
          <w:i/>
          <w:iCs/>
          <w:sz w:val="24"/>
          <w:szCs w:val="24"/>
        </w:rPr>
        <w:t>see also Ferrell v. Air EVAC EMS, Inc.,</w:t>
      </w:r>
      <w:r w:rsidRPr="006114FF">
        <w:rPr>
          <w:rFonts w:ascii="Times New Roman" w:hAnsi="Times New Roman"/>
          <w:sz w:val="24"/>
          <w:szCs w:val="24"/>
        </w:rPr>
        <w:t xml:space="preserve"> ___ F.3d ___, No. 17-2554, 2018 WL 3886688, at *3 (8th Cir. Aug. 16, 2018) (‘We may not refuse to apply ADA preemption merely because we do not believe it would be sound public policy to enforce the statute Congress enacted.’).” </w:t>
      </w:r>
      <w:hyperlink r:id="rId2300" w:history="1">
        <w:r w:rsidRPr="006114FF">
          <w:rPr>
            <w:rStyle w:val="Hyperlink"/>
            <w:rFonts w:ascii="Times New Roman" w:hAnsi="Times New Roman"/>
            <w:sz w:val="24"/>
            <w:szCs w:val="24"/>
          </w:rPr>
          <w:t>https://www.leagle.com/decision/infco20180831084</w:t>
        </w:r>
      </w:hyperlink>
      <w:r w:rsidRPr="006114FF">
        <w:rPr>
          <w:rFonts w:ascii="Times New Roman" w:hAnsi="Times New Roman"/>
          <w:sz w:val="24"/>
          <w:szCs w:val="24"/>
        </w:rPr>
        <w:t xml:space="preserve"> </w:t>
      </w:r>
    </w:p>
    <w:p w14:paraId="338E0343" w14:textId="77777777" w:rsidR="00F326E5" w:rsidRPr="006114FF" w:rsidRDefault="00F326E5" w:rsidP="00F326E5">
      <w:pPr>
        <w:rPr>
          <w:rFonts w:ascii="Times New Roman" w:hAnsi="Times New Roman"/>
          <w:b/>
          <w:sz w:val="24"/>
          <w:szCs w:val="24"/>
        </w:rPr>
      </w:pPr>
      <w:r w:rsidRPr="006114FF">
        <w:rPr>
          <w:rFonts w:ascii="Times New Roman" w:hAnsi="Times New Roman"/>
          <w:b/>
          <w:sz w:val="24"/>
          <w:szCs w:val="24"/>
        </w:rPr>
        <w:t xml:space="preserve">Legal Lessons Learned:  Air ambulance rates, like many other medical charges, can indeed be very expensive, but the remedy is with Congress.    </w:t>
      </w:r>
    </w:p>
    <w:bookmarkEnd w:id="537"/>
    <w:p w14:paraId="6A1FDE7B" w14:textId="77777777" w:rsidR="00F326E5" w:rsidRDefault="00F326E5" w:rsidP="00F326E5">
      <w:pPr>
        <w:rPr>
          <w:b/>
          <w:sz w:val="24"/>
          <w:szCs w:val="24"/>
        </w:rPr>
      </w:pPr>
    </w:p>
    <w:p w14:paraId="626EAFDF" w14:textId="0E86104B" w:rsidR="00DE0F03" w:rsidRDefault="00DE0F03" w:rsidP="00DE0F03">
      <w:pPr>
        <w:pStyle w:val="NoSpacing"/>
        <w:rPr>
          <w:rFonts w:ascii="Arial Black" w:hAnsi="Arial Black"/>
          <w:sz w:val="24"/>
          <w:szCs w:val="24"/>
        </w:rPr>
      </w:pPr>
      <w:r>
        <w:rPr>
          <w:rFonts w:ascii="Arial Black" w:hAnsi="Arial Black"/>
          <w:sz w:val="24"/>
          <w:szCs w:val="24"/>
        </w:rPr>
        <w:lastRenderedPageBreak/>
        <w:t>13-11</w:t>
      </w:r>
    </w:p>
    <w:p w14:paraId="63A6F6EA" w14:textId="77777777" w:rsidR="00F326E5" w:rsidRDefault="00F326E5" w:rsidP="00F326E5">
      <w:pPr>
        <w:rPr>
          <w:b/>
          <w:sz w:val="24"/>
          <w:szCs w:val="24"/>
        </w:rPr>
      </w:pPr>
    </w:p>
    <w:p w14:paraId="175B4DDF" w14:textId="036E2781" w:rsidR="00F326E5" w:rsidRPr="00C17E65" w:rsidRDefault="00F326E5" w:rsidP="00F326E5">
      <w:pPr>
        <w:rPr>
          <w:rFonts w:ascii="Arial Black" w:hAnsi="Arial Black"/>
          <w:sz w:val="28"/>
          <w:szCs w:val="28"/>
        </w:rPr>
      </w:pPr>
      <w:bookmarkStart w:id="539" w:name="_Hlk7346857"/>
      <w:bookmarkEnd w:id="538"/>
      <w:r>
        <w:rPr>
          <w:b/>
          <w:sz w:val="24"/>
          <w:szCs w:val="24"/>
        </w:rPr>
        <w:t xml:space="preserve"> </w:t>
      </w:r>
      <w:bookmarkStart w:id="540" w:name="_Hlk41154546"/>
      <w:r w:rsidRPr="00C17E65">
        <w:rPr>
          <w:rFonts w:ascii="Arial Black" w:hAnsi="Arial Black"/>
          <w:sz w:val="28"/>
          <w:szCs w:val="28"/>
        </w:rPr>
        <w:t xml:space="preserve">NY: ALLERGIC REACTION TO DOG BITE – PATIENT DIED – </w:t>
      </w:r>
      <w:r w:rsidR="00DA4990">
        <w:rPr>
          <w:rFonts w:ascii="Arial Black" w:hAnsi="Arial Black"/>
          <w:sz w:val="28"/>
          <w:szCs w:val="28"/>
        </w:rPr>
        <w:t>EM</w:t>
      </w:r>
      <w:r w:rsidR="00572A91">
        <w:rPr>
          <w:rFonts w:ascii="Arial Black" w:hAnsi="Arial Black"/>
          <w:sz w:val="28"/>
          <w:szCs w:val="28"/>
        </w:rPr>
        <w:t>S</w:t>
      </w:r>
      <w:r w:rsidR="00DA4990">
        <w:rPr>
          <w:rFonts w:ascii="Arial Black" w:hAnsi="Arial Black"/>
          <w:sz w:val="28"/>
          <w:szCs w:val="28"/>
        </w:rPr>
        <w:t xml:space="preserve"> </w:t>
      </w:r>
      <w:r>
        <w:rPr>
          <w:rFonts w:ascii="Arial Black" w:hAnsi="Arial Black"/>
          <w:sz w:val="28"/>
          <w:szCs w:val="28"/>
        </w:rPr>
        <w:t xml:space="preserve">PROTOCOL </w:t>
      </w:r>
      <w:r w:rsidR="00DA4990">
        <w:rPr>
          <w:rFonts w:ascii="Arial Black" w:hAnsi="Arial Black"/>
          <w:sz w:val="28"/>
          <w:szCs w:val="28"/>
        </w:rPr>
        <w:t xml:space="preserve">WAS </w:t>
      </w:r>
      <w:r>
        <w:rPr>
          <w:rFonts w:ascii="Arial Black" w:hAnsi="Arial Black"/>
          <w:sz w:val="28"/>
          <w:szCs w:val="28"/>
        </w:rPr>
        <w:t xml:space="preserve">NOT FOLLOWED, NO GOV’T </w:t>
      </w:r>
      <w:r w:rsidRPr="00C17E65">
        <w:rPr>
          <w:rFonts w:ascii="Arial Black" w:hAnsi="Arial Black"/>
          <w:sz w:val="28"/>
          <w:szCs w:val="28"/>
        </w:rPr>
        <w:t>IMMUNITY</w:t>
      </w:r>
      <w:r>
        <w:rPr>
          <w:rFonts w:ascii="Arial Black" w:hAnsi="Arial Black"/>
          <w:sz w:val="28"/>
          <w:szCs w:val="28"/>
        </w:rPr>
        <w:t xml:space="preserve"> </w:t>
      </w:r>
    </w:p>
    <w:p w14:paraId="6CB2C79E" w14:textId="77777777" w:rsidR="006114FF" w:rsidRDefault="00F326E5" w:rsidP="00F326E5">
      <w:pPr>
        <w:rPr>
          <w:rFonts w:ascii="Times New Roman" w:hAnsi="Times New Roman"/>
          <w:sz w:val="24"/>
          <w:szCs w:val="24"/>
        </w:rPr>
      </w:pPr>
      <w:r w:rsidRPr="006114FF">
        <w:rPr>
          <w:rFonts w:ascii="Times New Roman" w:hAnsi="Times New Roman"/>
          <w:sz w:val="24"/>
          <w:szCs w:val="24"/>
        </w:rPr>
        <w:t xml:space="preserve">On August 16, 2018, in </w:t>
      </w:r>
      <w:r w:rsidRPr="006114FF">
        <w:rPr>
          <w:rFonts w:ascii="Times New Roman" w:hAnsi="Times New Roman"/>
          <w:sz w:val="24"/>
          <w:szCs w:val="24"/>
          <w:u w:val="single"/>
        </w:rPr>
        <w:t>Christine Lynch v. Town of Greenburg and Greenburg Police Department Emergency Medical Service</w:t>
      </w:r>
      <w:r w:rsidRPr="006114FF">
        <w:rPr>
          <w:rFonts w:ascii="Times New Roman" w:hAnsi="Times New Roman"/>
          <w:sz w:val="24"/>
          <w:szCs w:val="24"/>
        </w:rPr>
        <w:t xml:space="preserve">, the NY Supreme Court, County of Westchester (Judge Lawrence E. Ecker), denied the defendants’ motion for summary judgment.  “In fact, despite being told that the decedent was having an allergic reaction to the dog, Marcello acknowledged that he did not consider whether the attack was an allergic attack, verses another form of asthma incident. He also specifically stated that he never considered giving the decedent any medication to address an allergic reaction.”   </w:t>
      </w:r>
      <w:bookmarkEnd w:id="540"/>
      <w:r w:rsidRPr="006114FF">
        <w:rPr>
          <w:rFonts w:ascii="Times New Roman" w:hAnsi="Times New Roman"/>
          <w:sz w:val="24"/>
          <w:szCs w:val="24"/>
        </w:rPr>
        <w:t xml:space="preserve">The Court also noted poor affidavit from EMS Supervisor: </w:t>
      </w:r>
    </w:p>
    <w:p w14:paraId="24C715D7" w14:textId="530E7531" w:rsidR="00F326E5" w:rsidRPr="006114FF" w:rsidRDefault="00F326E5" w:rsidP="006114FF">
      <w:pPr>
        <w:ind w:left="720"/>
        <w:rPr>
          <w:rFonts w:ascii="Times New Roman" w:hAnsi="Times New Roman"/>
          <w:sz w:val="24"/>
          <w:szCs w:val="24"/>
        </w:rPr>
      </w:pPr>
      <w:r w:rsidRPr="006114FF">
        <w:rPr>
          <w:rFonts w:ascii="Times New Roman" w:hAnsi="Times New Roman"/>
          <w:sz w:val="24"/>
          <w:szCs w:val="24"/>
        </w:rPr>
        <w:t xml:space="preserve">“Despite acknowledging that ‘this action sounds in medical malpractice’ …, defendants do not submit a physician's or EMT expert affirmation specifically addressing the precise medical treatment rendered to the decedent. Instead, defendants rely upon the affidavit of an EMT Supervisor who offers generalized, conclusory statements to the effect that EMS protocols permit EMTs to exercise discretion, without ever addressing any of the specifics of defendants' actions in this case. In fact, the specific protocols are not discussed or explained, the actual medical actions taken by the first responders are not delineated or compared to protocols, specific examples of acts of discretion by the first responders are not provided, and there is no express support for the medical care that was given.” </w:t>
      </w:r>
      <w:bookmarkStart w:id="541" w:name="_Hlk41154578"/>
      <w:r w:rsidR="00F37A4B">
        <w:fldChar w:fldCharType="begin"/>
      </w:r>
      <w:r w:rsidR="00F37A4B">
        <w:instrText xml:space="preserve"> HYPERLINK "https://law.justia.com/cases/new-york/other-courts/2018/2018-ny-slip-op-28264.html" </w:instrText>
      </w:r>
      <w:r w:rsidR="00F37A4B">
        <w:fldChar w:fldCharType="separate"/>
      </w:r>
      <w:r w:rsidRPr="006114FF">
        <w:rPr>
          <w:rStyle w:val="Hyperlink"/>
          <w:rFonts w:ascii="Times New Roman" w:hAnsi="Times New Roman"/>
          <w:sz w:val="24"/>
          <w:szCs w:val="24"/>
        </w:rPr>
        <w:t>https://law.justia.com/cases/new-york/other-courts/2018/2018-ny-slip-op-28264.html</w:t>
      </w:r>
      <w:r w:rsidR="00F37A4B">
        <w:rPr>
          <w:rStyle w:val="Hyperlink"/>
          <w:rFonts w:ascii="Times New Roman" w:hAnsi="Times New Roman"/>
          <w:sz w:val="24"/>
          <w:szCs w:val="24"/>
        </w:rPr>
        <w:fldChar w:fldCharType="end"/>
      </w:r>
      <w:r w:rsidRPr="006114FF">
        <w:rPr>
          <w:rFonts w:ascii="Times New Roman" w:hAnsi="Times New Roman"/>
          <w:sz w:val="24"/>
          <w:szCs w:val="24"/>
        </w:rPr>
        <w:t xml:space="preserve"> </w:t>
      </w:r>
    </w:p>
    <w:p w14:paraId="049DAAEE" w14:textId="77777777" w:rsidR="00F326E5" w:rsidRPr="006114FF" w:rsidRDefault="00F326E5" w:rsidP="00F326E5">
      <w:pPr>
        <w:pStyle w:val="Heading1"/>
        <w:rPr>
          <w:b w:val="0"/>
          <w:sz w:val="24"/>
          <w:szCs w:val="24"/>
        </w:rPr>
      </w:pPr>
      <w:r w:rsidRPr="006114FF">
        <w:rPr>
          <w:sz w:val="24"/>
          <w:szCs w:val="24"/>
        </w:rPr>
        <w:t xml:space="preserve">Legal Lessons Learned: Follow EMS </w:t>
      </w:r>
      <w:proofErr w:type="gramStart"/>
      <w:r w:rsidRPr="006114FF">
        <w:rPr>
          <w:sz w:val="24"/>
          <w:szCs w:val="24"/>
        </w:rPr>
        <w:t>protocol, or</w:t>
      </w:r>
      <w:proofErr w:type="gramEnd"/>
      <w:r w:rsidRPr="006114FF">
        <w:rPr>
          <w:sz w:val="24"/>
          <w:szCs w:val="24"/>
        </w:rPr>
        <w:t xml:space="preserve"> explain on EMS run report why the protocol was not followed. </w:t>
      </w:r>
    </w:p>
    <w:bookmarkEnd w:id="539"/>
    <w:bookmarkEnd w:id="541"/>
    <w:p w14:paraId="2FB32D6D" w14:textId="77777777" w:rsidR="00F326E5" w:rsidRDefault="00F326E5" w:rsidP="00F326E5">
      <w:pPr>
        <w:pStyle w:val="NoSpacing"/>
        <w:rPr>
          <w:rFonts w:ascii="Arial Black" w:hAnsi="Arial Black"/>
          <w:b/>
          <w:sz w:val="24"/>
          <w:szCs w:val="24"/>
        </w:rPr>
      </w:pPr>
    </w:p>
    <w:p w14:paraId="07E27496" w14:textId="77777777" w:rsidR="00F326E5" w:rsidRPr="00BE5483" w:rsidRDefault="00F326E5" w:rsidP="00F326E5">
      <w:pPr>
        <w:rPr>
          <w:b/>
          <w:sz w:val="24"/>
          <w:szCs w:val="24"/>
        </w:rPr>
      </w:pPr>
    </w:p>
    <w:p w14:paraId="2055BCF2" w14:textId="71659E16" w:rsidR="00DE0F03" w:rsidRDefault="00DE0F03" w:rsidP="00DE0F03">
      <w:pPr>
        <w:pStyle w:val="NoSpacing"/>
        <w:rPr>
          <w:rFonts w:ascii="Arial Black" w:hAnsi="Arial Black"/>
          <w:sz w:val="24"/>
          <w:szCs w:val="24"/>
        </w:rPr>
      </w:pPr>
      <w:r>
        <w:rPr>
          <w:rFonts w:ascii="Arial Black" w:hAnsi="Arial Black"/>
          <w:sz w:val="24"/>
          <w:szCs w:val="24"/>
        </w:rPr>
        <w:t>13-10</w:t>
      </w:r>
    </w:p>
    <w:p w14:paraId="159F44A2" w14:textId="77777777" w:rsidR="00F326E5" w:rsidRDefault="00F326E5" w:rsidP="00F326E5">
      <w:pPr>
        <w:pStyle w:val="NoSpacing"/>
        <w:rPr>
          <w:rFonts w:ascii="Arial Black" w:hAnsi="Arial Black"/>
          <w:b/>
          <w:sz w:val="24"/>
          <w:szCs w:val="24"/>
        </w:rPr>
      </w:pPr>
    </w:p>
    <w:p w14:paraId="1A18BFCA" w14:textId="77777777" w:rsidR="00F326E5" w:rsidRPr="00BE5483" w:rsidRDefault="00F326E5" w:rsidP="00F326E5">
      <w:pPr>
        <w:pStyle w:val="NoSpacing"/>
        <w:rPr>
          <w:rFonts w:ascii="Arial Black" w:hAnsi="Arial Black"/>
          <w:b/>
          <w:sz w:val="24"/>
          <w:szCs w:val="24"/>
        </w:rPr>
      </w:pPr>
    </w:p>
    <w:p w14:paraId="4282600E" w14:textId="4C86F806" w:rsidR="00F326E5" w:rsidRPr="00CA2809" w:rsidRDefault="00F326E5" w:rsidP="00F326E5">
      <w:pPr>
        <w:rPr>
          <w:rFonts w:eastAsia="Times New Roman"/>
          <w:b/>
          <w:sz w:val="24"/>
          <w:szCs w:val="24"/>
        </w:rPr>
      </w:pPr>
      <w:bookmarkStart w:id="542" w:name="_Hlk41154622"/>
      <w:bookmarkStart w:id="543" w:name="_Hlk7346894"/>
      <w:r w:rsidRPr="00BE5483">
        <w:rPr>
          <w:rFonts w:ascii="Arial Black" w:eastAsia="Times New Roman" w:hAnsi="Arial Black"/>
          <w:b/>
          <w:sz w:val="28"/>
          <w:szCs w:val="28"/>
        </w:rPr>
        <w:t>IN:</w:t>
      </w:r>
      <w:r>
        <w:rPr>
          <w:rFonts w:eastAsia="Times New Roman"/>
          <w:b/>
          <w:sz w:val="24"/>
          <w:szCs w:val="24"/>
        </w:rPr>
        <w:t xml:space="preserve"> </w:t>
      </w:r>
      <w:r>
        <w:rPr>
          <w:rFonts w:ascii="Arial Black" w:eastAsia="Times New Roman" w:hAnsi="Arial Black"/>
          <w:b/>
          <w:sz w:val="28"/>
          <w:szCs w:val="28"/>
        </w:rPr>
        <w:t>SEDATIVE FOR NAKED PATIENT RUNNING IN STREET – DIED -QUALIFIED IMMUNITY FOR EMS</w:t>
      </w:r>
    </w:p>
    <w:p w14:paraId="3FB1D2F8" w14:textId="0048CABA" w:rsidR="006114FF" w:rsidRDefault="00F326E5" w:rsidP="00F326E5">
      <w:pPr>
        <w:rPr>
          <w:rFonts w:ascii="Times New Roman" w:eastAsia="Times New Roman" w:hAnsi="Times New Roman"/>
          <w:sz w:val="24"/>
          <w:szCs w:val="24"/>
        </w:rPr>
      </w:pPr>
      <w:r w:rsidRPr="006114FF">
        <w:rPr>
          <w:rFonts w:ascii="Times New Roman" w:eastAsia="Times New Roman" w:hAnsi="Times New Roman"/>
          <w:sz w:val="24"/>
          <w:szCs w:val="24"/>
        </w:rPr>
        <w:t xml:space="preserve">On Aug. 14, 2018, in </w:t>
      </w:r>
      <w:r w:rsidRPr="006114FF">
        <w:rPr>
          <w:rFonts w:ascii="Times New Roman" w:eastAsia="Times New Roman" w:hAnsi="Times New Roman"/>
          <w:sz w:val="24"/>
          <w:szCs w:val="24"/>
          <w:u w:val="single"/>
        </w:rPr>
        <w:t>Billie Thompson v. Lance Cope</w:t>
      </w:r>
      <w:r w:rsidRPr="006114FF">
        <w:rPr>
          <w:rFonts w:ascii="Times New Roman" w:eastAsia="Times New Roman" w:hAnsi="Times New Roman"/>
          <w:sz w:val="24"/>
          <w:szCs w:val="24"/>
        </w:rPr>
        <w:t xml:space="preserve"> , 7</w:t>
      </w:r>
      <w:r w:rsidRPr="006114FF">
        <w:rPr>
          <w:rFonts w:ascii="Times New Roman" w:eastAsia="Times New Roman" w:hAnsi="Times New Roman"/>
          <w:sz w:val="24"/>
          <w:szCs w:val="24"/>
          <w:vertAlign w:val="superscript"/>
        </w:rPr>
        <w:t>th</w:t>
      </w:r>
      <w:r w:rsidRPr="006114FF">
        <w:rPr>
          <w:rFonts w:ascii="Times New Roman" w:eastAsia="Times New Roman" w:hAnsi="Times New Roman"/>
          <w:sz w:val="24"/>
          <w:szCs w:val="24"/>
        </w:rPr>
        <w:t xml:space="preserve"> Circuit, the Court </w:t>
      </w:r>
      <w:proofErr w:type="gramStart"/>
      <w:r w:rsidRPr="006114FF">
        <w:rPr>
          <w:rFonts w:ascii="Times New Roman" w:eastAsia="Times New Roman" w:hAnsi="Times New Roman"/>
          <w:sz w:val="24"/>
          <w:szCs w:val="24"/>
        </w:rPr>
        <w:t>held</w:t>
      </w:r>
      <w:proofErr w:type="gramEnd"/>
      <w:r w:rsidRPr="006114FF">
        <w:rPr>
          <w:rFonts w:ascii="Times New Roman" w:eastAsia="Times New Roman" w:hAnsi="Times New Roman"/>
          <w:sz w:val="24"/>
          <w:szCs w:val="24"/>
        </w:rPr>
        <w:t xml:space="preserve"> (3 to 0), </w:t>
      </w:r>
    </w:p>
    <w:p w14:paraId="408B427C" w14:textId="51B59F6C" w:rsidR="00F326E5" w:rsidRPr="006114FF" w:rsidRDefault="00F326E5" w:rsidP="006114FF">
      <w:pPr>
        <w:ind w:left="720"/>
        <w:rPr>
          <w:rFonts w:ascii="Times New Roman" w:eastAsia="Times New Roman" w:hAnsi="Times New Roman"/>
          <w:b/>
          <w:sz w:val="24"/>
          <w:szCs w:val="24"/>
        </w:rPr>
      </w:pPr>
      <w:r w:rsidRPr="006114FF">
        <w:rPr>
          <w:rFonts w:ascii="Times New Roman" w:eastAsia="Times New Roman" w:hAnsi="Times New Roman"/>
          <w:sz w:val="24"/>
          <w:szCs w:val="24"/>
        </w:rPr>
        <w:t xml:space="preserve">“The paramedic is entitled to qualified immunity on the excessive force claim. Case law did not (and does not) clearly establish that a paramedic can violate a patient-arrestee’s Fourth Amendment rights by exercising medical judgment to administer a sedative in a medical </w:t>
      </w:r>
      <w:proofErr w:type="gramStart"/>
      <w:r w:rsidRPr="006114FF">
        <w:rPr>
          <w:rFonts w:ascii="Times New Roman" w:eastAsia="Times New Roman" w:hAnsi="Times New Roman"/>
          <w:sz w:val="24"/>
          <w:szCs w:val="24"/>
        </w:rPr>
        <w:t>emergency.”</w:t>
      </w:r>
      <w:proofErr w:type="gramEnd"/>
      <w:r w:rsidRPr="006114FF">
        <w:rPr>
          <w:rFonts w:ascii="Times New Roman" w:eastAsia="Times New Roman" w:hAnsi="Times New Roman"/>
          <w:sz w:val="24"/>
          <w:szCs w:val="24"/>
        </w:rPr>
        <w:t xml:space="preserve">  Indianapolis police called EMS to help with person found naked, running in street, high on amphetamines, and combative.  EMS administered a sedative; patient died 8-days later.  </w:t>
      </w:r>
      <w:hyperlink r:id="rId2301" w:history="1">
        <w:r w:rsidRPr="006114FF">
          <w:rPr>
            <w:rStyle w:val="Hyperlink"/>
            <w:rFonts w:ascii="Times New Roman" w:hAnsi="Times New Roman"/>
            <w:sz w:val="24"/>
            <w:szCs w:val="24"/>
          </w:rPr>
          <w:t>https://cases.justia.com/federal/appellate-courts/ca7/17-3060/17-3060-2018-08-14.pdf?ts=1534262420</w:t>
        </w:r>
      </w:hyperlink>
      <w:r w:rsidRPr="006114FF">
        <w:rPr>
          <w:rFonts w:ascii="Times New Roman" w:eastAsia="Times New Roman" w:hAnsi="Times New Roman"/>
          <w:b/>
          <w:sz w:val="24"/>
          <w:szCs w:val="24"/>
        </w:rPr>
        <w:t xml:space="preserve"> </w:t>
      </w:r>
    </w:p>
    <w:p w14:paraId="39827241" w14:textId="77777777" w:rsidR="00F326E5" w:rsidRPr="006114FF" w:rsidRDefault="00F326E5" w:rsidP="00F326E5">
      <w:pPr>
        <w:rPr>
          <w:rFonts w:ascii="Times New Roman" w:eastAsia="Times New Roman" w:hAnsi="Times New Roman"/>
          <w:b/>
          <w:sz w:val="24"/>
          <w:szCs w:val="24"/>
        </w:rPr>
      </w:pPr>
      <w:r w:rsidRPr="006114FF">
        <w:rPr>
          <w:rFonts w:ascii="Times New Roman" w:eastAsia="Times New Roman" w:hAnsi="Times New Roman"/>
          <w:b/>
          <w:sz w:val="24"/>
          <w:szCs w:val="24"/>
        </w:rPr>
        <w:t xml:space="preserve">Legal Lessons Learned: Qualified Immunity protects police, fire, EMS personnel from personal liability.   </w:t>
      </w:r>
    </w:p>
    <w:p w14:paraId="4D673270" w14:textId="66734710" w:rsidR="00F326E5" w:rsidRPr="006114FF" w:rsidRDefault="00F326E5" w:rsidP="00F326E5">
      <w:pPr>
        <w:ind w:left="720"/>
        <w:rPr>
          <w:rFonts w:ascii="Times New Roman" w:eastAsia="Times New Roman" w:hAnsi="Times New Roman"/>
          <w:sz w:val="24"/>
          <w:szCs w:val="24"/>
        </w:rPr>
      </w:pPr>
      <w:r w:rsidRPr="006114FF">
        <w:rPr>
          <w:rFonts w:ascii="Times New Roman" w:eastAsia="Times New Roman" w:hAnsi="Times New Roman"/>
          <w:sz w:val="24"/>
          <w:szCs w:val="24"/>
        </w:rPr>
        <w:lastRenderedPageBreak/>
        <w:t xml:space="preserve">See also U.S. Supreme Court’s </w:t>
      </w:r>
      <w:r w:rsidRPr="006114FF">
        <w:rPr>
          <w:rFonts w:ascii="Times New Roman" w:hAnsi="Times New Roman"/>
          <w:sz w:val="24"/>
          <w:szCs w:val="24"/>
        </w:rPr>
        <w:t xml:space="preserve">Jan. 7, </w:t>
      </w:r>
      <w:proofErr w:type="gramStart"/>
      <w:r w:rsidRPr="006114FF">
        <w:rPr>
          <w:rFonts w:ascii="Times New Roman" w:hAnsi="Times New Roman"/>
          <w:sz w:val="24"/>
          <w:szCs w:val="24"/>
        </w:rPr>
        <w:t>2019</w:t>
      </w:r>
      <w:proofErr w:type="gramEnd"/>
      <w:r w:rsidRPr="006114FF">
        <w:rPr>
          <w:rFonts w:ascii="Times New Roman" w:hAnsi="Times New Roman"/>
          <w:sz w:val="24"/>
          <w:szCs w:val="24"/>
        </w:rPr>
        <w:t xml:space="preserve"> decision, in </w:t>
      </w:r>
      <w:r w:rsidRPr="006114FF">
        <w:rPr>
          <w:rFonts w:ascii="Times New Roman" w:hAnsi="Times New Roman"/>
          <w:sz w:val="24"/>
          <w:szCs w:val="24"/>
          <w:u w:val="single"/>
        </w:rPr>
        <w:t>City of Escondido, California v. Mart Emmons</w:t>
      </w:r>
      <w:r w:rsidRPr="006114FF">
        <w:rPr>
          <w:rFonts w:ascii="Times New Roman" w:hAnsi="Times New Roman"/>
          <w:sz w:val="24"/>
          <w:szCs w:val="24"/>
        </w:rPr>
        <w:t>, (9 to 0), in a per curiam decision [not authored by a specific Justice], reversed the 9</w:t>
      </w:r>
      <w:r w:rsidRPr="006114FF">
        <w:rPr>
          <w:rFonts w:ascii="Times New Roman" w:hAnsi="Times New Roman"/>
          <w:sz w:val="24"/>
          <w:szCs w:val="24"/>
          <w:vertAlign w:val="superscript"/>
        </w:rPr>
        <w:t>th</w:t>
      </w:r>
      <w:r w:rsidRPr="006114FF">
        <w:rPr>
          <w:rFonts w:ascii="Times New Roman" w:hAnsi="Times New Roman"/>
          <w:sz w:val="24"/>
          <w:szCs w:val="24"/>
        </w:rPr>
        <w:t xml:space="preserve"> Circuit without the need to even hear oral argument.  The Court held: “</w:t>
      </w:r>
      <w:r w:rsidRPr="006114FF">
        <w:rPr>
          <w:rFonts w:ascii="Times New Roman" w:eastAsia="Times New Roman" w:hAnsi="Times New Roman"/>
          <w:sz w:val="24"/>
          <w:szCs w:val="24"/>
        </w:rPr>
        <w:t xml:space="preserve">As to Officer Craig, the Ninth Circuit also erred. As we have explained many times: ‘Qualified immunity attaches when an official’s conduct does not violate clearly established statutory or constitutional rights of which a reasonable person would have known.’” </w:t>
      </w:r>
      <w:hyperlink r:id="rId2302" w:history="1">
        <w:r w:rsidRPr="006114FF">
          <w:rPr>
            <w:rStyle w:val="Hyperlink"/>
            <w:rFonts w:ascii="Times New Roman" w:hAnsi="Times New Roman"/>
            <w:sz w:val="24"/>
            <w:szCs w:val="24"/>
          </w:rPr>
          <w:t>https://www.supremecourt.gov/opinions/18pdf/17-1660_5ifl.pdf</w:t>
        </w:r>
      </w:hyperlink>
      <w:r w:rsidRPr="006114FF">
        <w:rPr>
          <w:rFonts w:ascii="Times New Roman" w:eastAsia="Times New Roman" w:hAnsi="Times New Roman"/>
          <w:sz w:val="24"/>
          <w:szCs w:val="24"/>
        </w:rPr>
        <w:t xml:space="preserve"> </w:t>
      </w:r>
    </w:p>
    <w:bookmarkEnd w:id="542"/>
    <w:p w14:paraId="6F7A1A89" w14:textId="77777777" w:rsidR="00536545" w:rsidRPr="00BE5483" w:rsidRDefault="00536545" w:rsidP="00F326E5">
      <w:pPr>
        <w:ind w:left="720"/>
        <w:rPr>
          <w:rFonts w:eastAsia="Times New Roman"/>
          <w:sz w:val="24"/>
          <w:szCs w:val="24"/>
        </w:rPr>
      </w:pPr>
    </w:p>
    <w:p w14:paraId="0B06C962" w14:textId="77777777" w:rsidR="00F326E5" w:rsidRPr="00CA2809" w:rsidRDefault="00F326E5" w:rsidP="00F326E5">
      <w:pPr>
        <w:rPr>
          <w:b/>
          <w:sz w:val="24"/>
          <w:szCs w:val="24"/>
        </w:rPr>
      </w:pPr>
    </w:p>
    <w:bookmarkEnd w:id="543"/>
    <w:p w14:paraId="4C3FFA8B" w14:textId="15E8D590" w:rsidR="00DE0F03" w:rsidRDefault="00DE0F03" w:rsidP="00DE0F03">
      <w:pPr>
        <w:pStyle w:val="NoSpacing"/>
        <w:rPr>
          <w:rFonts w:ascii="Arial Black" w:hAnsi="Arial Black"/>
          <w:sz w:val="24"/>
          <w:szCs w:val="24"/>
        </w:rPr>
      </w:pPr>
      <w:r>
        <w:rPr>
          <w:rFonts w:ascii="Arial Black" w:hAnsi="Arial Black"/>
          <w:sz w:val="24"/>
          <w:szCs w:val="24"/>
        </w:rPr>
        <w:t>13-9</w:t>
      </w:r>
    </w:p>
    <w:p w14:paraId="1E686E26" w14:textId="77777777" w:rsidR="00F326E5" w:rsidRDefault="00F326E5" w:rsidP="00F326E5">
      <w:pPr>
        <w:pStyle w:val="NoSpacing"/>
        <w:rPr>
          <w:b/>
          <w:sz w:val="24"/>
          <w:szCs w:val="24"/>
        </w:rPr>
      </w:pPr>
    </w:p>
    <w:p w14:paraId="27566E77" w14:textId="70E5C9B4" w:rsidR="00F326E5" w:rsidRPr="0002048B" w:rsidRDefault="00F326E5" w:rsidP="00F326E5">
      <w:pPr>
        <w:pStyle w:val="NoSpacing"/>
        <w:rPr>
          <w:b/>
          <w:sz w:val="24"/>
          <w:szCs w:val="24"/>
        </w:rPr>
      </w:pPr>
      <w:bookmarkStart w:id="544" w:name="_Hlk41154698"/>
      <w:bookmarkStart w:id="545" w:name="_Hlk7346941"/>
      <w:r w:rsidRPr="00C17E65">
        <w:rPr>
          <w:rFonts w:ascii="Arial Black" w:hAnsi="Arial Black"/>
          <w:b/>
          <w:sz w:val="28"/>
          <w:szCs w:val="28"/>
        </w:rPr>
        <w:t xml:space="preserve">OH: DYING DECLARATION </w:t>
      </w:r>
      <w:r>
        <w:rPr>
          <w:rFonts w:ascii="Arial Black" w:hAnsi="Arial Black"/>
          <w:b/>
          <w:sz w:val="28"/>
          <w:szCs w:val="28"/>
        </w:rPr>
        <w:t xml:space="preserve">BY VICTIM </w:t>
      </w:r>
      <w:r w:rsidRPr="00C17E65">
        <w:rPr>
          <w:rFonts w:ascii="Arial Black" w:hAnsi="Arial Black"/>
          <w:b/>
          <w:sz w:val="28"/>
          <w:szCs w:val="28"/>
        </w:rPr>
        <w:t>IN BACK OF AMBULANCE ADMISSIBLE IN MURDER TRIAL</w:t>
      </w:r>
      <w:r>
        <w:rPr>
          <w:rFonts w:ascii="Arial Black" w:hAnsi="Arial Black"/>
          <w:b/>
          <w:sz w:val="24"/>
          <w:szCs w:val="24"/>
        </w:rPr>
        <w:t xml:space="preserve"> </w:t>
      </w:r>
      <w:r w:rsidRPr="00C17E65">
        <w:rPr>
          <w:sz w:val="24"/>
          <w:szCs w:val="24"/>
        </w:rPr>
        <w:t>[also filed Chap. 1]</w:t>
      </w:r>
    </w:p>
    <w:p w14:paraId="39D889B9" w14:textId="77777777" w:rsidR="00F326E5" w:rsidRPr="006114FF" w:rsidRDefault="00F326E5" w:rsidP="00F326E5">
      <w:pPr>
        <w:rPr>
          <w:rFonts w:ascii="Times New Roman" w:eastAsia="Times New Roman" w:hAnsi="Times New Roman"/>
          <w:sz w:val="24"/>
          <w:szCs w:val="24"/>
        </w:rPr>
      </w:pPr>
      <w:r w:rsidRPr="006114FF">
        <w:rPr>
          <w:rFonts w:ascii="Times New Roman" w:hAnsi="Times New Roman"/>
          <w:sz w:val="24"/>
          <w:szCs w:val="24"/>
        </w:rPr>
        <w:t xml:space="preserve">On July 25, 2018, in </w:t>
      </w:r>
      <w:r w:rsidRPr="006114FF">
        <w:rPr>
          <w:rFonts w:ascii="Times New Roman" w:eastAsia="Times New Roman" w:hAnsi="Times New Roman"/>
          <w:sz w:val="24"/>
          <w:szCs w:val="24"/>
          <w:u w:val="single"/>
        </w:rPr>
        <w:t>State v. Fred Taylor</w:t>
      </w:r>
      <w:r w:rsidRPr="006114FF">
        <w:rPr>
          <w:rFonts w:ascii="Times New Roman" w:eastAsia="Times New Roman" w:hAnsi="Times New Roman"/>
          <w:sz w:val="24"/>
          <w:szCs w:val="24"/>
        </w:rPr>
        <w:t xml:space="preserve">, 2018-Ohio-2921, the Ohio Court of Appeals for Summit County, upheld (3 to 0) his conviction of felony murder of Javon Knaff.   </w:t>
      </w:r>
    </w:p>
    <w:p w14:paraId="7AD577E9" w14:textId="648FE652" w:rsidR="00F326E5" w:rsidRPr="006114FF" w:rsidRDefault="00F326E5" w:rsidP="006114FF">
      <w:pPr>
        <w:ind w:left="720"/>
        <w:rPr>
          <w:rFonts w:ascii="Times New Roman" w:eastAsia="Times New Roman" w:hAnsi="Times New Roman"/>
          <w:sz w:val="24"/>
          <w:szCs w:val="24"/>
        </w:rPr>
      </w:pPr>
      <w:r w:rsidRPr="006114FF">
        <w:rPr>
          <w:rFonts w:ascii="Times New Roman" w:eastAsia="Times New Roman" w:hAnsi="Times New Roman"/>
          <w:sz w:val="24"/>
          <w:szCs w:val="24"/>
        </w:rPr>
        <w:t>“Mr. Knaff’s repeated statements concerning the fact that he was dying, coupled with the severity of his condition, demonstrate his awareness of his impending death at the time that he stated, ‘Fred shot [me].’ Consequently, this statement was admissible as a dying declaration.”</w:t>
      </w:r>
      <w:r w:rsidR="006114FF">
        <w:rPr>
          <w:rFonts w:ascii="Times New Roman" w:eastAsia="Times New Roman" w:hAnsi="Times New Roman"/>
          <w:sz w:val="24"/>
          <w:szCs w:val="24"/>
        </w:rPr>
        <w:t xml:space="preserve"> </w:t>
      </w:r>
      <w:hyperlink r:id="rId2303" w:history="1">
        <w:r w:rsidRPr="006114FF">
          <w:rPr>
            <w:rStyle w:val="Hyperlink"/>
            <w:rFonts w:ascii="Times New Roman" w:hAnsi="Times New Roman"/>
            <w:sz w:val="24"/>
            <w:szCs w:val="24"/>
          </w:rPr>
          <w:t>https://cases.justia.com/ohio/ninth-district-court-of-appeals/2018-28746.pdf?ts=1532525904</w:t>
        </w:r>
      </w:hyperlink>
      <w:r w:rsidRPr="006114FF">
        <w:rPr>
          <w:rFonts w:ascii="Times New Roman" w:eastAsia="Times New Roman" w:hAnsi="Times New Roman"/>
          <w:sz w:val="24"/>
          <w:szCs w:val="24"/>
        </w:rPr>
        <w:t xml:space="preserve"> </w:t>
      </w:r>
    </w:p>
    <w:p w14:paraId="6A662AF1" w14:textId="77777777" w:rsidR="00F326E5" w:rsidRPr="006114FF" w:rsidRDefault="00F326E5" w:rsidP="00F326E5">
      <w:pPr>
        <w:rPr>
          <w:rFonts w:ascii="Times New Roman" w:hAnsi="Times New Roman"/>
          <w:b/>
          <w:sz w:val="24"/>
          <w:szCs w:val="24"/>
        </w:rPr>
      </w:pPr>
      <w:r w:rsidRPr="006114FF">
        <w:rPr>
          <w:rFonts w:ascii="Times New Roman" w:hAnsi="Times New Roman"/>
          <w:b/>
          <w:sz w:val="24"/>
          <w:szCs w:val="24"/>
        </w:rPr>
        <w:t xml:space="preserve">Legal Lessons Learned:  Document on your EMS run report the actual words spoken by the patient; a “dying declaration” is admissible in evidence.   Recording the comments on your run report can help prosecution reach a plea agreement. </w:t>
      </w:r>
    </w:p>
    <w:bookmarkEnd w:id="544"/>
    <w:p w14:paraId="039DECD5" w14:textId="77777777" w:rsidR="00DE0F03" w:rsidRDefault="00DE0F03" w:rsidP="00DE0F03">
      <w:pPr>
        <w:pStyle w:val="NoSpacing"/>
        <w:rPr>
          <w:rFonts w:ascii="Arial Black" w:hAnsi="Arial Black"/>
          <w:sz w:val="24"/>
          <w:szCs w:val="24"/>
        </w:rPr>
      </w:pPr>
    </w:p>
    <w:p w14:paraId="1C67915A" w14:textId="77777777" w:rsidR="00DE0F03" w:rsidRDefault="00DE0F03" w:rsidP="00DE0F03">
      <w:pPr>
        <w:pStyle w:val="NoSpacing"/>
        <w:rPr>
          <w:rFonts w:ascii="Arial Black" w:hAnsi="Arial Black"/>
          <w:sz w:val="24"/>
          <w:szCs w:val="24"/>
        </w:rPr>
      </w:pPr>
    </w:p>
    <w:p w14:paraId="6C8A3EC8" w14:textId="5C935D1A" w:rsidR="00F326E5" w:rsidRDefault="00DE0F03" w:rsidP="00DE0F03">
      <w:pPr>
        <w:pStyle w:val="NoSpacing"/>
        <w:rPr>
          <w:rFonts w:ascii="Arial Black" w:hAnsi="Arial Black"/>
          <w:sz w:val="24"/>
          <w:szCs w:val="24"/>
        </w:rPr>
      </w:pPr>
      <w:r>
        <w:rPr>
          <w:rFonts w:ascii="Arial Black" w:hAnsi="Arial Black"/>
          <w:sz w:val="24"/>
          <w:szCs w:val="24"/>
        </w:rPr>
        <w:t>13-8</w:t>
      </w:r>
    </w:p>
    <w:p w14:paraId="42FCE522" w14:textId="77777777" w:rsidR="00DE0F03" w:rsidRDefault="00DE0F03" w:rsidP="00DE0F03">
      <w:pPr>
        <w:pStyle w:val="NoSpacing"/>
        <w:rPr>
          <w:rFonts w:eastAsia="Times New Roman"/>
          <w:sz w:val="25"/>
          <w:szCs w:val="25"/>
        </w:rPr>
      </w:pPr>
    </w:p>
    <w:p w14:paraId="56A2135A" w14:textId="3A780231" w:rsidR="00DA4990" w:rsidRPr="008A5B80" w:rsidRDefault="00DA4990" w:rsidP="00DA4990">
      <w:pPr>
        <w:pStyle w:val="NoSpacing"/>
        <w:rPr>
          <w:rFonts w:ascii="Arial Black" w:hAnsi="Arial Black"/>
          <w:sz w:val="24"/>
          <w:szCs w:val="24"/>
        </w:rPr>
      </w:pPr>
      <w:bookmarkStart w:id="546" w:name="_Hlk7347158"/>
      <w:bookmarkEnd w:id="545"/>
      <w:r w:rsidRPr="00732C84">
        <w:rPr>
          <w:rFonts w:ascii="Arial Black" w:hAnsi="Arial Black"/>
          <w:b/>
          <w:sz w:val="28"/>
          <w:szCs w:val="28"/>
        </w:rPr>
        <w:t xml:space="preserve">LA: </w:t>
      </w:r>
      <w:r>
        <w:rPr>
          <w:rFonts w:ascii="Arial Black" w:hAnsi="Arial Black"/>
          <w:b/>
          <w:sz w:val="28"/>
          <w:szCs w:val="28"/>
        </w:rPr>
        <w:t xml:space="preserve">FREE SPEECH CASE NOT DISMISSED - TWO PARAMEDICS FIRED AFTER LETTER TO BOARD ABOUT MGT </w:t>
      </w:r>
      <w:r w:rsidRPr="008A5B80">
        <w:rPr>
          <w:sz w:val="24"/>
          <w:szCs w:val="24"/>
        </w:rPr>
        <w:t xml:space="preserve">[also filed, Chap. </w:t>
      </w:r>
      <w:r>
        <w:rPr>
          <w:sz w:val="24"/>
          <w:szCs w:val="24"/>
        </w:rPr>
        <w:t>6</w:t>
      </w:r>
      <w:r w:rsidRPr="008A5B80">
        <w:rPr>
          <w:sz w:val="24"/>
          <w:szCs w:val="24"/>
        </w:rPr>
        <w:t>]</w:t>
      </w:r>
    </w:p>
    <w:p w14:paraId="22CD49E7" w14:textId="77777777" w:rsidR="00DA4990" w:rsidRDefault="00DA4990" w:rsidP="00DA4990">
      <w:pPr>
        <w:pStyle w:val="NoSpacing"/>
        <w:rPr>
          <w:b/>
          <w:sz w:val="24"/>
          <w:szCs w:val="24"/>
        </w:rPr>
      </w:pPr>
    </w:p>
    <w:p w14:paraId="1A052ED3" w14:textId="77777777" w:rsidR="006114FF" w:rsidRDefault="00DA4990" w:rsidP="006114FF">
      <w:pPr>
        <w:rPr>
          <w:rFonts w:ascii="Times New Roman" w:hAnsi="Times New Roman"/>
          <w:sz w:val="24"/>
          <w:szCs w:val="24"/>
        </w:rPr>
      </w:pPr>
      <w:r w:rsidRPr="006114FF">
        <w:rPr>
          <w:rFonts w:ascii="Times New Roman" w:hAnsi="Times New Roman"/>
          <w:sz w:val="24"/>
          <w:szCs w:val="24"/>
        </w:rPr>
        <w:t xml:space="preserve">On July 18, 2018, in </w:t>
      </w:r>
      <w:r w:rsidRPr="006114FF">
        <w:rPr>
          <w:rFonts w:ascii="Times New Roman" w:hAnsi="Times New Roman"/>
          <w:sz w:val="24"/>
          <w:szCs w:val="24"/>
          <w:u w:val="single"/>
        </w:rPr>
        <w:t>Patrick Alan Benfield &amp; Brian Warren v. Joe Magee, et al</w:t>
      </w:r>
      <w:r w:rsidRPr="006114FF">
        <w:rPr>
          <w:rFonts w:ascii="Times New Roman" w:hAnsi="Times New Roman"/>
          <w:sz w:val="24"/>
          <w:szCs w:val="24"/>
        </w:rPr>
        <w:t xml:space="preserve">., U.S. District Court Judge Elizabeth Foote, Western District of Louisiana, held that a lawsuit by two paramedics fired by Desoto Parish EMS may proceed to trial.  They were fired after Warren wrote a letter to a member of the Desoto Parish Police Jury (they </w:t>
      </w:r>
      <w:proofErr w:type="gramStart"/>
      <w:r w:rsidRPr="006114FF">
        <w:rPr>
          <w:rFonts w:ascii="Times New Roman" w:hAnsi="Times New Roman"/>
          <w:sz w:val="24"/>
          <w:szCs w:val="24"/>
        </w:rPr>
        <w:t>appoint</w:t>
      </w:r>
      <w:proofErr w:type="gramEnd"/>
      <w:r w:rsidRPr="006114FF">
        <w:rPr>
          <w:rFonts w:ascii="Times New Roman" w:hAnsi="Times New Roman"/>
          <w:sz w:val="24"/>
          <w:szCs w:val="24"/>
        </w:rPr>
        <w:t xml:space="preserve"> the Board of Commissioners of the Desoto Parish EMS).   The Judge ruled: </w:t>
      </w:r>
    </w:p>
    <w:p w14:paraId="08727202" w14:textId="00DA1F5E" w:rsidR="00DA4990" w:rsidRPr="006114FF" w:rsidRDefault="00DA4990" w:rsidP="00BC17B3">
      <w:pPr>
        <w:ind w:left="720"/>
        <w:rPr>
          <w:rFonts w:ascii="Times New Roman" w:hAnsi="Times New Roman"/>
          <w:sz w:val="24"/>
          <w:szCs w:val="24"/>
        </w:rPr>
      </w:pPr>
      <w:r w:rsidRPr="006114FF">
        <w:rPr>
          <w:rFonts w:ascii="Times New Roman" w:hAnsi="Times New Roman"/>
          <w:sz w:val="24"/>
          <w:szCs w:val="24"/>
        </w:rPr>
        <w:t xml:space="preserve">“The motion [to dismiss] is DENIED as to Warren’s free speech claim because the facts alleged establish that his letter was protected speech.”  </w:t>
      </w:r>
      <w:hyperlink r:id="rId2304" w:history="1">
        <w:r w:rsidRPr="006114FF">
          <w:rPr>
            <w:rStyle w:val="Hyperlink"/>
            <w:rFonts w:ascii="Times New Roman" w:hAnsi="Times New Roman"/>
            <w:sz w:val="24"/>
            <w:szCs w:val="24"/>
          </w:rPr>
          <w:t>https://cases.justia.com/federal/district-courts/louisiana/lawdce/5:2018cv00034/160852/18/0.pdf?ts=1532079100</w:t>
        </w:r>
      </w:hyperlink>
    </w:p>
    <w:p w14:paraId="298C6974" w14:textId="77777777" w:rsidR="00DA4990" w:rsidRPr="006114FF" w:rsidRDefault="00DA4990" w:rsidP="00DA4990">
      <w:pPr>
        <w:rPr>
          <w:rFonts w:ascii="Times New Roman" w:hAnsi="Times New Roman"/>
          <w:b/>
          <w:sz w:val="24"/>
          <w:szCs w:val="24"/>
        </w:rPr>
      </w:pPr>
      <w:r w:rsidRPr="006114FF">
        <w:rPr>
          <w:rFonts w:ascii="Times New Roman" w:hAnsi="Times New Roman"/>
          <w:b/>
          <w:sz w:val="24"/>
          <w:szCs w:val="24"/>
        </w:rPr>
        <w:t xml:space="preserve">Legal Lessons Learned: First Amendment free speech cases are </w:t>
      </w:r>
      <w:proofErr w:type="gramStart"/>
      <w:r w:rsidRPr="006114FF">
        <w:rPr>
          <w:rFonts w:ascii="Times New Roman" w:hAnsi="Times New Roman"/>
          <w:b/>
          <w:sz w:val="24"/>
          <w:szCs w:val="24"/>
        </w:rPr>
        <w:t>increasing</w:t>
      </w:r>
      <w:proofErr w:type="gramEnd"/>
      <w:r w:rsidRPr="006114FF">
        <w:rPr>
          <w:rFonts w:ascii="Times New Roman" w:hAnsi="Times New Roman"/>
          <w:b/>
          <w:sz w:val="24"/>
          <w:szCs w:val="24"/>
        </w:rPr>
        <w:t xml:space="preserve"> </w:t>
      </w:r>
      <w:proofErr w:type="gramStart"/>
      <w:r w:rsidRPr="006114FF">
        <w:rPr>
          <w:rFonts w:ascii="Times New Roman" w:hAnsi="Times New Roman"/>
          <w:b/>
          <w:sz w:val="24"/>
          <w:szCs w:val="24"/>
        </w:rPr>
        <w:t>being permitted</w:t>
      </w:r>
      <w:proofErr w:type="gramEnd"/>
      <w:r w:rsidRPr="006114FF">
        <w:rPr>
          <w:rFonts w:ascii="Times New Roman" w:hAnsi="Times New Roman"/>
          <w:b/>
          <w:sz w:val="24"/>
          <w:szCs w:val="24"/>
        </w:rPr>
        <w:t xml:space="preserve"> to go to the jury.  Fire &amp; EMS Departments should thoroughly document reasons for termination, including employees who serve “at will.”</w:t>
      </w:r>
    </w:p>
    <w:bookmarkEnd w:id="546"/>
    <w:p w14:paraId="04D8F5AE" w14:textId="77777777" w:rsidR="00BC17B3" w:rsidRDefault="00BC17B3" w:rsidP="00DE0F03">
      <w:pPr>
        <w:pStyle w:val="NoSpacing"/>
        <w:rPr>
          <w:rFonts w:ascii="Arial Black" w:hAnsi="Arial Black"/>
          <w:sz w:val="24"/>
          <w:szCs w:val="24"/>
        </w:rPr>
      </w:pPr>
    </w:p>
    <w:p w14:paraId="746CA2B1" w14:textId="4A60F662" w:rsidR="00DE0F03" w:rsidRDefault="00DE0F03" w:rsidP="00DE0F03">
      <w:pPr>
        <w:pStyle w:val="NoSpacing"/>
        <w:rPr>
          <w:rFonts w:ascii="Arial Black" w:hAnsi="Arial Black"/>
          <w:sz w:val="24"/>
          <w:szCs w:val="24"/>
        </w:rPr>
      </w:pPr>
      <w:r>
        <w:rPr>
          <w:rFonts w:ascii="Arial Black" w:hAnsi="Arial Black"/>
          <w:sz w:val="24"/>
          <w:szCs w:val="24"/>
        </w:rPr>
        <w:t>13-7</w:t>
      </w:r>
    </w:p>
    <w:p w14:paraId="3FDB1CEF" w14:textId="77777777" w:rsidR="00DA4990" w:rsidRDefault="00DA4990" w:rsidP="00F326E5">
      <w:pPr>
        <w:pStyle w:val="NoSpacing"/>
        <w:rPr>
          <w:sz w:val="24"/>
          <w:szCs w:val="24"/>
        </w:rPr>
      </w:pPr>
    </w:p>
    <w:p w14:paraId="31735E12" w14:textId="28F8D8C2" w:rsidR="00F326E5" w:rsidRDefault="00F326E5" w:rsidP="00F326E5">
      <w:pPr>
        <w:pStyle w:val="NoSpacing"/>
        <w:rPr>
          <w:rFonts w:ascii="Arial Black" w:hAnsi="Arial Black"/>
          <w:b/>
          <w:sz w:val="24"/>
          <w:szCs w:val="24"/>
        </w:rPr>
      </w:pPr>
      <w:bookmarkStart w:id="547" w:name="_Hlk7347202"/>
      <w:r w:rsidRPr="00C17E65">
        <w:rPr>
          <w:rFonts w:ascii="Arial Black" w:hAnsi="Arial Black"/>
          <w:b/>
          <w:sz w:val="28"/>
          <w:szCs w:val="28"/>
        </w:rPr>
        <w:t>KY: EMT WHISTLEBLOWER</w:t>
      </w:r>
      <w:r w:rsidR="00DA4990">
        <w:rPr>
          <w:rFonts w:ascii="Arial Black" w:hAnsi="Arial Black"/>
          <w:b/>
          <w:sz w:val="28"/>
          <w:szCs w:val="28"/>
        </w:rPr>
        <w:t xml:space="preserve"> – ALLEGED </w:t>
      </w:r>
      <w:r>
        <w:rPr>
          <w:rFonts w:ascii="Arial Black" w:hAnsi="Arial Black"/>
          <w:b/>
          <w:sz w:val="28"/>
          <w:szCs w:val="28"/>
        </w:rPr>
        <w:t xml:space="preserve">TRANSPORTS NOT MEDICALLY NECESSARY – BUT </w:t>
      </w:r>
      <w:r w:rsidR="00DA4990">
        <w:rPr>
          <w:rFonts w:ascii="Arial Black" w:hAnsi="Arial Black"/>
          <w:b/>
          <w:sz w:val="28"/>
          <w:szCs w:val="28"/>
        </w:rPr>
        <w:t xml:space="preserve">FAILED TO PROVIDE </w:t>
      </w:r>
      <w:r>
        <w:rPr>
          <w:rFonts w:ascii="Arial Black" w:hAnsi="Arial Black"/>
          <w:b/>
          <w:sz w:val="28"/>
          <w:szCs w:val="28"/>
        </w:rPr>
        <w:t>SPECIFIC</w:t>
      </w:r>
      <w:r w:rsidR="00DA4990">
        <w:rPr>
          <w:rFonts w:ascii="Arial Black" w:hAnsi="Arial Black"/>
          <w:b/>
          <w:sz w:val="28"/>
          <w:szCs w:val="28"/>
        </w:rPr>
        <w:t>S</w:t>
      </w:r>
      <w:r>
        <w:rPr>
          <w:rFonts w:ascii="Arial Black" w:hAnsi="Arial Black"/>
          <w:b/>
          <w:sz w:val="28"/>
          <w:szCs w:val="28"/>
        </w:rPr>
        <w:t xml:space="preserve"> </w:t>
      </w:r>
    </w:p>
    <w:p w14:paraId="31EC9695"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June 21, </w:t>
      </w:r>
      <w:proofErr w:type="gramStart"/>
      <w:r w:rsidRPr="00BC17B3">
        <w:rPr>
          <w:rFonts w:ascii="Times New Roman" w:eastAsia="Times New Roman" w:hAnsi="Times New Roman"/>
          <w:sz w:val="24"/>
          <w:szCs w:val="24"/>
        </w:rPr>
        <w:t>2018</w:t>
      </w:r>
      <w:proofErr w:type="gramEnd"/>
      <w:r w:rsidRPr="00BC17B3">
        <w:rPr>
          <w:rFonts w:ascii="Times New Roman" w:eastAsia="Times New Roman" w:hAnsi="Times New Roman"/>
          <w:sz w:val="24"/>
          <w:szCs w:val="24"/>
        </w:rPr>
        <w:t xml:space="preserve"> in </w:t>
      </w:r>
      <w:r w:rsidRPr="00BC17B3">
        <w:rPr>
          <w:rFonts w:ascii="Times New Roman" w:eastAsia="Times New Roman" w:hAnsi="Times New Roman"/>
          <w:sz w:val="24"/>
          <w:szCs w:val="24"/>
          <w:u w:val="single"/>
        </w:rPr>
        <w:t>United States of America ex rel. Jessica N. Stripe v. Powell County Fiscal Court</w:t>
      </w:r>
      <w:r w:rsidRPr="00BC17B3">
        <w:rPr>
          <w:rFonts w:ascii="Times New Roman" w:eastAsia="Times New Roman" w:hAnsi="Times New Roman"/>
          <w:sz w:val="24"/>
          <w:szCs w:val="24"/>
        </w:rPr>
        <w:t xml:space="preserve">, U.S. District Court Judge Karen Caldwell, Lexington, Kentucky, dismissed a “whistleblower” lawsuit by an EMS employee.    </w:t>
      </w:r>
    </w:p>
    <w:p w14:paraId="5C5994E3" w14:textId="77777777" w:rsidR="00F326E5" w:rsidRPr="00BC17B3" w:rsidRDefault="00F326E5" w:rsidP="00F326E5">
      <w:pPr>
        <w:ind w:left="720"/>
        <w:rPr>
          <w:rFonts w:ascii="Times New Roman" w:eastAsia="Times New Roman" w:hAnsi="Times New Roman"/>
          <w:sz w:val="24"/>
          <w:szCs w:val="24"/>
        </w:rPr>
      </w:pPr>
      <w:r w:rsidRPr="00BC17B3">
        <w:rPr>
          <w:rFonts w:ascii="Times New Roman" w:eastAsia="Times New Roman" w:hAnsi="Times New Roman"/>
          <w:sz w:val="24"/>
          <w:szCs w:val="24"/>
        </w:rPr>
        <w:t xml:space="preserve">“Stipe was employed in a care provider role as an </w:t>
      </w:r>
      <w:proofErr w:type="gramStart"/>
      <w:r w:rsidRPr="00BC17B3">
        <w:rPr>
          <w:rFonts w:ascii="Times New Roman" w:eastAsia="Times New Roman" w:hAnsi="Times New Roman"/>
          <w:sz w:val="24"/>
          <w:szCs w:val="24"/>
        </w:rPr>
        <w:t>EMT</w:t>
      </w:r>
      <w:proofErr w:type="gramEnd"/>
      <w:r w:rsidRPr="00BC17B3">
        <w:rPr>
          <w:rFonts w:ascii="Times New Roman" w:eastAsia="Times New Roman" w:hAnsi="Times New Roman"/>
          <w:sz w:val="24"/>
          <w:szCs w:val="24"/>
        </w:rPr>
        <w:t xml:space="preserve"> and she does not allege that her job involved any work related to billing or that it gave her detailed or specialized knowledge of PCFC's billing practices…. Accordingly, Stipe lacks the specialized knowledge necessary to invoke the exception to Rule 9(b).”</w:t>
      </w:r>
    </w:p>
    <w:p w14:paraId="73B1C298" w14:textId="77777777" w:rsidR="00F326E5" w:rsidRPr="00BC17B3" w:rsidRDefault="00F326E5" w:rsidP="00F326E5">
      <w:pPr>
        <w:ind w:left="720"/>
        <w:rPr>
          <w:rFonts w:ascii="Times New Roman" w:eastAsia="Times New Roman" w:hAnsi="Times New Roman"/>
          <w:sz w:val="24"/>
          <w:szCs w:val="24"/>
        </w:rPr>
      </w:pPr>
      <w:hyperlink r:id="rId2305" w:history="1">
        <w:r w:rsidRPr="00BC17B3">
          <w:rPr>
            <w:rStyle w:val="Hyperlink"/>
            <w:rFonts w:ascii="Times New Roman" w:hAnsi="Times New Roman"/>
            <w:sz w:val="24"/>
            <w:szCs w:val="24"/>
          </w:rPr>
          <w:t>https://cases.justia.com/federal/district-courts/kentucky/kyedce/5:2016cv00446/81785/59/0.pdf?ts=1529661227</w:t>
        </w:r>
      </w:hyperlink>
      <w:r w:rsidRPr="00BC17B3">
        <w:rPr>
          <w:rFonts w:ascii="Times New Roman" w:eastAsia="Times New Roman" w:hAnsi="Times New Roman"/>
          <w:sz w:val="24"/>
          <w:szCs w:val="24"/>
        </w:rPr>
        <w:t xml:space="preserve"> </w:t>
      </w:r>
    </w:p>
    <w:p w14:paraId="05834446" w14:textId="77777777" w:rsidR="00F326E5" w:rsidRPr="00BC17B3" w:rsidRDefault="00F326E5" w:rsidP="00F326E5">
      <w:pPr>
        <w:pStyle w:val="NoSpacing"/>
        <w:rPr>
          <w:rFonts w:ascii="Times New Roman" w:hAnsi="Times New Roman"/>
          <w:b/>
          <w:sz w:val="24"/>
          <w:szCs w:val="24"/>
        </w:rPr>
      </w:pPr>
      <w:r w:rsidRPr="00BC17B3">
        <w:rPr>
          <w:rFonts w:ascii="Times New Roman" w:hAnsi="Times New Roman"/>
          <w:b/>
          <w:sz w:val="24"/>
          <w:szCs w:val="24"/>
        </w:rPr>
        <w:t xml:space="preserve">Legal Lessons Learned:  Whistleblowers alleging fraudulent “up charging” must include in their complaint specific information about </w:t>
      </w:r>
      <w:proofErr w:type="gramStart"/>
      <w:r w:rsidRPr="00BC17B3">
        <w:rPr>
          <w:rFonts w:ascii="Times New Roman" w:hAnsi="Times New Roman"/>
          <w:b/>
          <w:sz w:val="24"/>
          <w:szCs w:val="24"/>
        </w:rPr>
        <w:t>particular EMS</w:t>
      </w:r>
      <w:proofErr w:type="gramEnd"/>
      <w:r w:rsidRPr="00BC17B3">
        <w:rPr>
          <w:rFonts w:ascii="Times New Roman" w:hAnsi="Times New Roman"/>
          <w:b/>
          <w:sz w:val="24"/>
          <w:szCs w:val="24"/>
        </w:rPr>
        <w:t xml:space="preserve"> runs where Medicare was overbilled.  With specifics, the U.S. Attorney can launch an investigation of the complaint that has been filed under seal.  </w:t>
      </w:r>
    </w:p>
    <w:p w14:paraId="17DED912" w14:textId="77777777" w:rsidR="00F326E5" w:rsidRPr="00BC17B3" w:rsidRDefault="00F326E5" w:rsidP="00F326E5">
      <w:pPr>
        <w:pStyle w:val="NoSpacing"/>
        <w:ind w:left="720"/>
        <w:rPr>
          <w:rFonts w:ascii="Times New Roman" w:eastAsia="Times New Roman" w:hAnsi="Times New Roman"/>
          <w:sz w:val="24"/>
          <w:szCs w:val="24"/>
        </w:rPr>
      </w:pPr>
      <w:r w:rsidRPr="00BC17B3">
        <w:rPr>
          <w:rFonts w:ascii="Times New Roman" w:hAnsi="Times New Roman"/>
          <w:sz w:val="24"/>
          <w:szCs w:val="24"/>
        </w:rPr>
        <w:t xml:space="preserve">See U.S. Department of Justice report: </w:t>
      </w:r>
      <w:r w:rsidRPr="00BC17B3">
        <w:rPr>
          <w:rFonts w:ascii="Times New Roman" w:eastAsia="Times New Roman" w:hAnsi="Times New Roman"/>
          <w:sz w:val="24"/>
          <w:szCs w:val="24"/>
        </w:rPr>
        <w:t xml:space="preserve">“Of the $3.7 billion in settlements and judgments reported by the government in fiscal year 2017, $3.4 billion related to lawsuits filed under the qui tam provisions of the False Claims Act.  During the same period, the government paid out $392 million to the individuals who exposed fraud and false claims by filing a qui tam complaint.” </w:t>
      </w:r>
      <w:hyperlink r:id="rId2306" w:history="1">
        <w:r w:rsidRPr="00BC17B3">
          <w:rPr>
            <w:rStyle w:val="Hyperlink"/>
            <w:rFonts w:ascii="Times New Roman" w:hAnsi="Times New Roman"/>
            <w:sz w:val="24"/>
            <w:szCs w:val="24"/>
          </w:rPr>
          <w:t>https://www.justice.gov/opa/pr/justice-department-recovers-over-37-billion-false-claims-act-cases-fiscal-year-2017</w:t>
        </w:r>
      </w:hyperlink>
      <w:r w:rsidRPr="00BC17B3">
        <w:rPr>
          <w:rFonts w:ascii="Times New Roman" w:eastAsia="Times New Roman" w:hAnsi="Times New Roman"/>
          <w:sz w:val="24"/>
          <w:szCs w:val="24"/>
        </w:rPr>
        <w:t xml:space="preserve"> </w:t>
      </w:r>
    </w:p>
    <w:bookmarkEnd w:id="547"/>
    <w:p w14:paraId="5B3A3E63" w14:textId="77777777" w:rsidR="00F326E5" w:rsidRPr="00BC17B3" w:rsidRDefault="00F326E5" w:rsidP="00F326E5">
      <w:pPr>
        <w:ind w:left="720"/>
        <w:rPr>
          <w:rFonts w:ascii="Times New Roman" w:eastAsia="Times New Roman" w:hAnsi="Times New Roman"/>
          <w:sz w:val="24"/>
          <w:szCs w:val="24"/>
        </w:rPr>
      </w:pPr>
    </w:p>
    <w:p w14:paraId="1C21654E" w14:textId="2C4F2C8B" w:rsidR="00DE0F03" w:rsidRDefault="00DE0F03" w:rsidP="00DE0F03">
      <w:pPr>
        <w:pStyle w:val="NoSpacing"/>
        <w:rPr>
          <w:rFonts w:ascii="Arial Black" w:hAnsi="Arial Black"/>
          <w:sz w:val="24"/>
          <w:szCs w:val="24"/>
        </w:rPr>
      </w:pPr>
      <w:r>
        <w:rPr>
          <w:rFonts w:ascii="Arial Black" w:hAnsi="Arial Black"/>
          <w:sz w:val="24"/>
          <w:szCs w:val="24"/>
        </w:rPr>
        <w:t>13-6</w:t>
      </w:r>
    </w:p>
    <w:p w14:paraId="727B7417" w14:textId="77777777" w:rsidR="00F326E5" w:rsidRDefault="00F326E5" w:rsidP="00F326E5">
      <w:pPr>
        <w:pStyle w:val="NoSpacing"/>
        <w:rPr>
          <w:b/>
          <w:sz w:val="24"/>
          <w:szCs w:val="24"/>
        </w:rPr>
      </w:pPr>
    </w:p>
    <w:p w14:paraId="05219BCF" w14:textId="6DF89A59" w:rsidR="00F326E5" w:rsidRPr="00F65F37" w:rsidRDefault="00F326E5" w:rsidP="00F326E5">
      <w:pPr>
        <w:pStyle w:val="NoSpacing"/>
        <w:rPr>
          <w:b/>
          <w:sz w:val="28"/>
          <w:szCs w:val="28"/>
        </w:rPr>
      </w:pPr>
      <w:bookmarkStart w:id="548" w:name="_Hlk7347344"/>
      <w:r w:rsidRPr="00F65F37">
        <w:rPr>
          <w:rFonts w:ascii="Arial Black" w:hAnsi="Arial Black"/>
          <w:b/>
          <w:sz w:val="28"/>
          <w:szCs w:val="28"/>
        </w:rPr>
        <w:t xml:space="preserve">VA: </w:t>
      </w:r>
      <w:r>
        <w:rPr>
          <w:rFonts w:ascii="Arial Black" w:hAnsi="Arial Black"/>
          <w:b/>
          <w:sz w:val="28"/>
          <w:szCs w:val="28"/>
        </w:rPr>
        <w:t xml:space="preserve">AMMONIA CAPSULES FOUND IN NOSE OF </w:t>
      </w:r>
      <w:r w:rsidR="0048537E">
        <w:rPr>
          <w:rFonts w:ascii="Arial Black" w:hAnsi="Arial Black"/>
          <w:b/>
          <w:sz w:val="28"/>
          <w:szCs w:val="28"/>
        </w:rPr>
        <w:t xml:space="preserve">DECEASED </w:t>
      </w:r>
      <w:r>
        <w:rPr>
          <w:rFonts w:ascii="Arial Black" w:hAnsi="Arial Black"/>
          <w:b/>
          <w:sz w:val="28"/>
          <w:szCs w:val="28"/>
        </w:rPr>
        <w:t xml:space="preserve">JAIL INMATE - LAWSUIT AGAINST NURSE, OTHERS </w:t>
      </w:r>
      <w:r w:rsidR="0048537E">
        <w:rPr>
          <w:rFonts w:ascii="Arial Black" w:hAnsi="Arial Black"/>
          <w:b/>
          <w:sz w:val="28"/>
          <w:szCs w:val="28"/>
        </w:rPr>
        <w:t xml:space="preserve">MAY </w:t>
      </w:r>
      <w:r>
        <w:rPr>
          <w:rFonts w:ascii="Arial Black" w:hAnsi="Arial Black"/>
          <w:b/>
          <w:sz w:val="28"/>
          <w:szCs w:val="28"/>
        </w:rPr>
        <w:t>PROCEED</w:t>
      </w:r>
    </w:p>
    <w:p w14:paraId="7562F4A4"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May 31, 2018, in </w:t>
      </w:r>
      <w:r w:rsidRPr="00BC17B3">
        <w:rPr>
          <w:rFonts w:ascii="Times New Roman" w:eastAsia="Times New Roman" w:hAnsi="Times New Roman"/>
          <w:sz w:val="24"/>
          <w:szCs w:val="24"/>
          <w:u w:val="single"/>
        </w:rPr>
        <w:t>Benjamin M. Andrews, Administrator of Estate of Zachary Tuggle v. Sheriff C.T. Woody, et al.</w:t>
      </w:r>
      <w:r w:rsidRPr="00BC17B3">
        <w:rPr>
          <w:rFonts w:ascii="Times New Roman" w:eastAsia="Times New Roman" w:hAnsi="Times New Roman"/>
          <w:sz w:val="24"/>
          <w:szCs w:val="24"/>
        </w:rPr>
        <w:t>, a U.S. District Court Judge for Eastern District of Virginia (Richmond Division), issued two memorandum, holding (1) jail nurse and other jail personnel will not be granted summary judgment; and (2) that defense expert report of Dr. William J. Brady will not be admitted.</w:t>
      </w:r>
    </w:p>
    <w:p w14:paraId="70502A5E" w14:textId="77777777" w:rsidR="00F326E5" w:rsidRPr="00BC17B3" w:rsidRDefault="00F326E5" w:rsidP="00F326E5">
      <w:pPr>
        <w:pStyle w:val="ListParagraph"/>
        <w:rPr>
          <w:rFonts w:ascii="Times New Roman" w:eastAsia="Times New Roman" w:hAnsi="Times New Roman" w:cs="Times New Roman"/>
          <w:sz w:val="24"/>
          <w:szCs w:val="24"/>
        </w:rPr>
      </w:pPr>
      <w:hyperlink r:id="rId2307" w:history="1">
        <w:r w:rsidRPr="00BC17B3">
          <w:rPr>
            <w:rStyle w:val="Hyperlink"/>
            <w:rFonts w:ascii="Times New Roman" w:hAnsi="Times New Roman" w:cs="Times New Roman"/>
            <w:sz w:val="24"/>
            <w:szCs w:val="24"/>
          </w:rPr>
          <w:t>https://cases.justia.com/federal/district-courts/virginia/vaedce/3:2017cv00167/360316/92/0.pdf?ts=1527856286</w:t>
        </w:r>
      </w:hyperlink>
      <w:r w:rsidRPr="00BC17B3">
        <w:rPr>
          <w:rFonts w:ascii="Times New Roman" w:eastAsia="Times New Roman" w:hAnsi="Times New Roman" w:cs="Times New Roman"/>
          <w:sz w:val="24"/>
          <w:szCs w:val="24"/>
        </w:rPr>
        <w:t xml:space="preserve"> </w:t>
      </w:r>
    </w:p>
    <w:p w14:paraId="28FAF68E" w14:textId="77777777" w:rsidR="00F326E5" w:rsidRPr="00BC17B3" w:rsidRDefault="00F326E5" w:rsidP="00F326E5">
      <w:pPr>
        <w:spacing w:before="100" w:beforeAutospacing="1" w:after="100" w:afterAutospacing="1"/>
        <w:rPr>
          <w:rFonts w:ascii="Times New Roman" w:eastAsia="Times New Roman" w:hAnsi="Times New Roman"/>
          <w:b/>
          <w:sz w:val="24"/>
          <w:szCs w:val="24"/>
        </w:rPr>
      </w:pPr>
      <w:r w:rsidRPr="00BC17B3">
        <w:rPr>
          <w:rFonts w:ascii="Times New Roman" w:eastAsia="Times New Roman" w:hAnsi="Times New Roman"/>
          <w:b/>
          <w:sz w:val="24"/>
          <w:szCs w:val="24"/>
        </w:rPr>
        <w:t xml:space="preserve">Legal Lessons Learned: EMS in this case properly documented to unusual conditions they observed.  </w:t>
      </w:r>
    </w:p>
    <w:p w14:paraId="3ED15E15" w14:textId="77777777" w:rsidR="00F326E5" w:rsidRPr="00BC17B3" w:rsidRDefault="00F326E5" w:rsidP="00F326E5">
      <w:pPr>
        <w:spacing w:before="100" w:beforeAutospacing="1" w:after="100" w:afterAutospacing="1"/>
        <w:ind w:left="720"/>
        <w:rPr>
          <w:rFonts w:ascii="Times New Roman" w:eastAsia="Times New Roman" w:hAnsi="Times New Roman"/>
          <w:b/>
          <w:sz w:val="24"/>
          <w:szCs w:val="24"/>
        </w:rPr>
      </w:pPr>
      <w:r w:rsidRPr="00BC17B3">
        <w:rPr>
          <w:rFonts w:ascii="Times New Roman" w:eastAsia="Times New Roman" w:hAnsi="Times New Roman"/>
          <w:sz w:val="24"/>
          <w:szCs w:val="24"/>
        </w:rPr>
        <w:t xml:space="preserve">The U.S. Supreme Court has instructed judges to carefully screen reports of proposed “experts.”  Daubert v. Merrell Dow Pharms., Inc., 509 U.S. 579 (1993); Kumho Tire Co. v. Carmichael, 526 U.S. 137 (1999).  Federal Rules of Evidence were adopted to further clarify review of proposed expert written reports: </w:t>
      </w:r>
      <w:hyperlink r:id="rId2308" w:history="1">
        <w:r w:rsidRPr="00BC17B3">
          <w:rPr>
            <w:rStyle w:val="Hyperlink"/>
            <w:rFonts w:ascii="Times New Roman" w:hAnsi="Times New Roman"/>
            <w:sz w:val="24"/>
            <w:szCs w:val="24"/>
          </w:rPr>
          <w:t>https://www.law.cornell.edu/rules/frcp/rule_26</w:t>
        </w:r>
      </w:hyperlink>
      <w:r w:rsidRPr="00BC17B3">
        <w:rPr>
          <w:rFonts w:ascii="Times New Roman" w:eastAsia="Times New Roman" w:hAnsi="Times New Roman"/>
          <w:sz w:val="24"/>
          <w:szCs w:val="24"/>
        </w:rPr>
        <w:t xml:space="preserve"> </w:t>
      </w:r>
    </w:p>
    <w:p w14:paraId="011323D3" w14:textId="77777777" w:rsidR="00F326E5" w:rsidRPr="00BC17B3" w:rsidRDefault="00F326E5" w:rsidP="00F326E5">
      <w:pPr>
        <w:pStyle w:val="statutory-body-2em"/>
        <w:ind w:left="720"/>
      </w:pPr>
      <w:r w:rsidRPr="00BC17B3">
        <w:lastRenderedPageBreak/>
        <w:t xml:space="preserve">(B) </w:t>
      </w:r>
      <w:r w:rsidRPr="00BC17B3">
        <w:rPr>
          <w:rStyle w:val="Emphasis"/>
        </w:rPr>
        <w:t>Witnesses Who Must Provide a</w:t>
      </w:r>
      <w:r w:rsidRPr="00BC17B3">
        <w:t xml:space="preserve"> </w:t>
      </w:r>
      <w:r w:rsidRPr="00BC17B3">
        <w:rPr>
          <w:rStyle w:val="Emphasis"/>
        </w:rPr>
        <w:t>Written Report.</w:t>
      </w:r>
      <w:r w:rsidRPr="00BC17B3">
        <w:t xml:space="preserve"> Unless otherwise stipulated or ordered by the court, this disclosure must be accompanied by a written report—prepared and signed by the witness—if the witness is one retained or specially employed to provide expert testimony in the case or one whose duties as the party's employee regularly involve giving expert testimony. The report must contain:</w:t>
      </w:r>
    </w:p>
    <w:p w14:paraId="5652011C" w14:textId="77777777" w:rsidR="00F326E5" w:rsidRPr="00BC17B3" w:rsidRDefault="00F326E5" w:rsidP="00F326E5">
      <w:pPr>
        <w:pStyle w:val="statutory-body-3em"/>
        <w:ind w:left="720"/>
      </w:pPr>
      <w:r w:rsidRPr="00BC17B3">
        <w:t>(</w:t>
      </w:r>
      <w:proofErr w:type="spellStart"/>
      <w:r w:rsidRPr="00BC17B3">
        <w:t>i</w:t>
      </w:r>
      <w:proofErr w:type="spellEnd"/>
      <w:r w:rsidRPr="00BC17B3">
        <w:t>) a complete statement of all opinions the witness will express and the basis and reasons for them;</w:t>
      </w:r>
    </w:p>
    <w:p w14:paraId="23017680" w14:textId="77777777" w:rsidR="00F326E5" w:rsidRPr="00BC17B3" w:rsidRDefault="00F326E5" w:rsidP="00F326E5">
      <w:pPr>
        <w:pStyle w:val="statutory-body-3em"/>
        <w:ind w:firstLine="720"/>
      </w:pPr>
      <w:r w:rsidRPr="00BC17B3">
        <w:t>(ii) the facts or data considered by the witness in forming them;</w:t>
      </w:r>
    </w:p>
    <w:p w14:paraId="0A2BDDF3" w14:textId="77777777" w:rsidR="00F326E5" w:rsidRPr="00BC17B3" w:rsidRDefault="00F326E5" w:rsidP="00F326E5">
      <w:pPr>
        <w:pStyle w:val="statutory-body-3em"/>
        <w:ind w:left="720"/>
      </w:pPr>
      <w:r w:rsidRPr="00BC17B3">
        <w:t>(iii) any exhibits that will be used to summarize or support them;(iv) the witness's qualifications, including a list of all publications authored in the previous 10 years;</w:t>
      </w:r>
    </w:p>
    <w:p w14:paraId="4FEE77C3" w14:textId="77777777" w:rsidR="00F326E5" w:rsidRPr="00BC17B3" w:rsidRDefault="00F326E5" w:rsidP="00F326E5">
      <w:pPr>
        <w:pStyle w:val="statutory-body-3em"/>
        <w:ind w:left="720"/>
      </w:pPr>
      <w:r w:rsidRPr="00BC17B3">
        <w:t>(v) a list of all other cases in which, during the previous 4 years, the witness testified as an expert at trial or by deposition; and</w:t>
      </w:r>
    </w:p>
    <w:p w14:paraId="0A754E6F" w14:textId="77777777" w:rsidR="00F326E5" w:rsidRPr="00BC17B3" w:rsidRDefault="00F326E5" w:rsidP="00F326E5">
      <w:pPr>
        <w:pStyle w:val="statutory-body-3em"/>
        <w:ind w:firstLine="720"/>
      </w:pPr>
      <w:r w:rsidRPr="00BC17B3">
        <w:t xml:space="preserve">(vi) a statement of </w:t>
      </w:r>
      <w:proofErr w:type="gramStart"/>
      <w:r w:rsidRPr="00BC17B3">
        <w:t>the compensation</w:t>
      </w:r>
      <w:proofErr w:type="gramEnd"/>
      <w:r w:rsidRPr="00BC17B3">
        <w:t xml:space="preserve"> to be paid for the study and testimony in the case.</w:t>
      </w:r>
    </w:p>
    <w:bookmarkEnd w:id="548"/>
    <w:p w14:paraId="514E9C97" w14:textId="77777777" w:rsidR="00F326E5" w:rsidRPr="00BE5483" w:rsidRDefault="00F326E5" w:rsidP="00F326E5">
      <w:pPr>
        <w:ind w:left="720"/>
        <w:rPr>
          <w:rFonts w:eastAsia="Times New Roman"/>
          <w:sz w:val="24"/>
          <w:szCs w:val="24"/>
        </w:rPr>
      </w:pPr>
    </w:p>
    <w:p w14:paraId="6B70332B" w14:textId="0CD6810C" w:rsidR="00DE0F03" w:rsidRDefault="00DE0F03" w:rsidP="00DE0F03">
      <w:pPr>
        <w:pStyle w:val="NoSpacing"/>
        <w:rPr>
          <w:rFonts w:ascii="Arial Black" w:hAnsi="Arial Black"/>
          <w:sz w:val="24"/>
          <w:szCs w:val="24"/>
        </w:rPr>
      </w:pPr>
      <w:r>
        <w:rPr>
          <w:rFonts w:ascii="Arial Black" w:hAnsi="Arial Black"/>
          <w:sz w:val="24"/>
          <w:szCs w:val="24"/>
        </w:rPr>
        <w:t>13-5</w:t>
      </w:r>
    </w:p>
    <w:p w14:paraId="34A0A897" w14:textId="77777777" w:rsidR="0048537E" w:rsidRDefault="0048537E" w:rsidP="00F326E5">
      <w:pPr>
        <w:rPr>
          <w:sz w:val="24"/>
          <w:szCs w:val="24"/>
        </w:rPr>
      </w:pPr>
    </w:p>
    <w:p w14:paraId="4FDA2366" w14:textId="3D496831" w:rsidR="00F326E5" w:rsidRPr="00F65F37" w:rsidRDefault="00F326E5" w:rsidP="00F326E5">
      <w:pPr>
        <w:rPr>
          <w:rFonts w:ascii="Arial Black" w:hAnsi="Arial Black"/>
          <w:sz w:val="24"/>
          <w:szCs w:val="24"/>
        </w:rPr>
      </w:pPr>
      <w:bookmarkStart w:id="549" w:name="_Hlk41154942"/>
      <w:bookmarkStart w:id="550" w:name="_Hlk7347398"/>
      <w:r w:rsidRPr="00F65F37">
        <w:rPr>
          <w:rFonts w:ascii="Arial Black" w:hAnsi="Arial Black"/>
          <w:sz w:val="28"/>
          <w:szCs w:val="28"/>
        </w:rPr>
        <w:t xml:space="preserve">OH: 911 </w:t>
      </w:r>
      <w:r>
        <w:rPr>
          <w:rFonts w:ascii="Arial Black" w:hAnsi="Arial Black"/>
          <w:sz w:val="28"/>
          <w:szCs w:val="28"/>
        </w:rPr>
        <w:t>“</w:t>
      </w:r>
      <w:r w:rsidRPr="00F65F37">
        <w:rPr>
          <w:rFonts w:ascii="Arial Black" w:hAnsi="Arial Black"/>
          <w:sz w:val="28"/>
          <w:szCs w:val="28"/>
        </w:rPr>
        <w:t>G</w:t>
      </w:r>
      <w:r>
        <w:rPr>
          <w:rFonts w:ascii="Arial Black" w:hAnsi="Arial Black"/>
          <w:sz w:val="28"/>
          <w:szCs w:val="28"/>
        </w:rPr>
        <w:t>OOD SAMARITAN” LAW – DRUG OVERDOSE, CAN AVOID PROSECUTION IF CALL 911</w:t>
      </w:r>
      <w:r w:rsidR="0048537E">
        <w:rPr>
          <w:rFonts w:ascii="Arial Black" w:hAnsi="Arial Black"/>
          <w:sz w:val="28"/>
          <w:szCs w:val="28"/>
        </w:rPr>
        <w:t>, GET TREATMENT</w:t>
      </w:r>
      <w:r>
        <w:rPr>
          <w:rFonts w:ascii="Arial Black" w:hAnsi="Arial Black"/>
          <w:sz w:val="28"/>
          <w:szCs w:val="28"/>
        </w:rPr>
        <w:t xml:space="preserve"> </w:t>
      </w:r>
      <w:r w:rsidRPr="00F65F37">
        <w:rPr>
          <w:sz w:val="24"/>
          <w:szCs w:val="24"/>
        </w:rPr>
        <w:t>[also filed, Chap. 18]</w:t>
      </w:r>
    </w:p>
    <w:p w14:paraId="7E8CD206"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May 18, 2018, in </w:t>
      </w:r>
      <w:r w:rsidRPr="00BC17B3">
        <w:rPr>
          <w:rFonts w:ascii="Times New Roman" w:eastAsia="Times New Roman" w:hAnsi="Times New Roman"/>
          <w:sz w:val="24"/>
          <w:szCs w:val="24"/>
          <w:u w:val="single"/>
        </w:rPr>
        <w:t>State of Ohio v. Andrew Melms</w:t>
      </w:r>
      <w:r w:rsidRPr="00BC17B3">
        <w:rPr>
          <w:rFonts w:ascii="Times New Roman" w:eastAsia="Times New Roman" w:hAnsi="Times New Roman"/>
          <w:sz w:val="24"/>
          <w:szCs w:val="24"/>
        </w:rPr>
        <w:t xml:space="preserve">, the Court of Appeals For Second District (Montgomery County), held (3 to 0) that an overdose victim, arrested with </w:t>
      </w:r>
      <w:r w:rsidRPr="00BC17B3">
        <w:rPr>
          <w:rFonts w:ascii="Times New Roman" w:hAnsi="Times New Roman"/>
          <w:sz w:val="24"/>
          <w:szCs w:val="24"/>
        </w:rPr>
        <w:t>six gel caps of fentanyl, was not eligible for immunity; he was in jail and did not enroll in treatment within the 30-day limit set under the new Ohio statute enacted in 2016.  The Court urged the Ohio General Assembly to modify the law: “</w:t>
      </w:r>
      <w:r w:rsidRPr="00BC17B3">
        <w:rPr>
          <w:rFonts w:ascii="Times New Roman" w:eastAsia="Times New Roman" w:hAnsi="Times New Roman"/>
          <w:sz w:val="24"/>
          <w:szCs w:val="24"/>
        </w:rPr>
        <w:t xml:space="preserve">Granted Melms seemingly was an ideal candidate for immunity, but for the clear and unambiguous 30-day window set forth by the legislature. The remedy lies with the </w:t>
      </w:r>
      <w:proofErr w:type="gramStart"/>
      <w:r w:rsidRPr="00BC17B3">
        <w:rPr>
          <w:rFonts w:ascii="Times New Roman" w:eastAsia="Times New Roman" w:hAnsi="Times New Roman"/>
          <w:sz w:val="24"/>
          <w:szCs w:val="24"/>
        </w:rPr>
        <w:t>legislature to</w:t>
      </w:r>
      <w:proofErr w:type="gramEnd"/>
      <w:r w:rsidRPr="00BC17B3">
        <w:rPr>
          <w:rFonts w:ascii="Times New Roman" w:eastAsia="Times New Roman" w:hAnsi="Times New Roman"/>
          <w:sz w:val="24"/>
          <w:szCs w:val="24"/>
        </w:rPr>
        <w:t xml:space="preserve"> either eliminate the 30-day restriction or </w:t>
      </w:r>
      <w:proofErr w:type="gramStart"/>
      <w:r w:rsidRPr="00BC17B3">
        <w:rPr>
          <w:rFonts w:ascii="Times New Roman" w:eastAsia="Times New Roman" w:hAnsi="Times New Roman"/>
          <w:sz w:val="24"/>
          <w:szCs w:val="24"/>
        </w:rPr>
        <w:t>to provide</w:t>
      </w:r>
      <w:proofErr w:type="gramEnd"/>
      <w:r w:rsidRPr="00BC17B3">
        <w:rPr>
          <w:rFonts w:ascii="Times New Roman" w:eastAsia="Times New Roman" w:hAnsi="Times New Roman"/>
          <w:sz w:val="24"/>
          <w:szCs w:val="24"/>
        </w:rPr>
        <w:t xml:space="preserve"> for the exercise of judicial discretion, particularly in those cases of the most vulnerable, often indigent, incarcerated individuals who are unaware of the time limit until after counsel is appointed on the drug offense. In our view, an immediate legislative fix is warranted so that this legislation achieves its laudable </w:t>
      </w:r>
      <w:proofErr w:type="gramStart"/>
      <w:r w:rsidRPr="00BC17B3">
        <w:rPr>
          <w:rFonts w:ascii="Times New Roman" w:eastAsia="Times New Roman" w:hAnsi="Times New Roman"/>
          <w:sz w:val="24"/>
          <w:szCs w:val="24"/>
        </w:rPr>
        <w:t>goals.”</w:t>
      </w:r>
      <w:proofErr w:type="gramEnd"/>
    </w:p>
    <w:p w14:paraId="7B622570" w14:textId="77777777" w:rsidR="00F326E5" w:rsidRPr="00BC17B3" w:rsidRDefault="00F326E5" w:rsidP="00F326E5">
      <w:pPr>
        <w:rPr>
          <w:rStyle w:val="Hyperlink"/>
          <w:rFonts w:ascii="Times New Roman" w:hAnsi="Times New Roman"/>
          <w:b/>
          <w:sz w:val="24"/>
          <w:szCs w:val="24"/>
        </w:rPr>
      </w:pPr>
      <w:hyperlink r:id="rId2309" w:history="1">
        <w:r w:rsidRPr="00BC17B3">
          <w:rPr>
            <w:rStyle w:val="Hyperlink"/>
            <w:rFonts w:ascii="Times New Roman" w:hAnsi="Times New Roman"/>
            <w:sz w:val="24"/>
            <w:szCs w:val="24"/>
          </w:rPr>
          <w:t>https://cases.justia.com/ohio/second-district-court-of-appeals/2018-27685.pdf?ts=1526679598</w:t>
        </w:r>
      </w:hyperlink>
    </w:p>
    <w:p w14:paraId="7F43443A" w14:textId="77777777" w:rsidR="00F326E5" w:rsidRPr="00BC17B3" w:rsidRDefault="00F326E5" w:rsidP="00F326E5">
      <w:pPr>
        <w:rPr>
          <w:rFonts w:ascii="Times New Roman" w:eastAsia="Times New Roman" w:hAnsi="Times New Roman"/>
          <w:b/>
          <w:sz w:val="24"/>
          <w:szCs w:val="24"/>
        </w:rPr>
      </w:pPr>
      <w:r w:rsidRPr="00BC17B3">
        <w:rPr>
          <w:rFonts w:ascii="Times New Roman" w:eastAsia="Times New Roman" w:hAnsi="Times New Roman"/>
          <w:b/>
          <w:sz w:val="24"/>
          <w:szCs w:val="24"/>
        </w:rPr>
        <w:t xml:space="preserve">Legal Lessons Learned:  The “911 Good Samaritan” immunity statute is to encourage drug users and their associates to call 911 for an overdose, and to promptly seek treatment (can receive immunity only twice). </w:t>
      </w:r>
    </w:p>
    <w:p w14:paraId="529D5FBA" w14:textId="77777777" w:rsidR="00F326E5" w:rsidRPr="00BC17B3" w:rsidRDefault="00F326E5" w:rsidP="00F326E5">
      <w:pPr>
        <w:ind w:firstLine="720"/>
        <w:rPr>
          <w:rFonts w:ascii="Times New Roman" w:eastAsia="Times New Roman" w:hAnsi="Times New Roman"/>
          <w:sz w:val="24"/>
          <w:szCs w:val="24"/>
        </w:rPr>
      </w:pPr>
      <w:r w:rsidRPr="00BC17B3">
        <w:rPr>
          <w:rFonts w:ascii="Times New Roman" w:eastAsia="Times New Roman" w:hAnsi="Times New Roman"/>
          <w:sz w:val="24"/>
          <w:szCs w:val="24"/>
        </w:rPr>
        <w:t>Note: 911 Dispatchers ae required to inform overdose patients about the new law:</w:t>
      </w:r>
    </w:p>
    <w:p w14:paraId="7A6E49BE"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R.C. 128.04 provides as follows: </w:t>
      </w:r>
    </w:p>
    <w:p w14:paraId="741002CB"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(A) Public safety answering point personnel who are certified as emergency service </w:t>
      </w:r>
    </w:p>
    <w:p w14:paraId="254820DB"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telecommunicators under section 4742.03 of the Revised Code shall receive training in </w:t>
      </w:r>
    </w:p>
    <w:p w14:paraId="5B2135D1" w14:textId="77777777" w:rsidR="00F326E5" w:rsidRPr="00BC17B3" w:rsidRDefault="00F326E5" w:rsidP="00F326E5">
      <w:pPr>
        <w:pStyle w:val="NoSpacing"/>
        <w:ind w:left="720"/>
        <w:rPr>
          <w:rFonts w:ascii="Times New Roman" w:hAnsi="Times New Roman"/>
          <w:sz w:val="24"/>
          <w:szCs w:val="24"/>
        </w:rPr>
      </w:pPr>
      <w:proofErr w:type="gramStart"/>
      <w:r w:rsidRPr="00BC17B3">
        <w:rPr>
          <w:rFonts w:ascii="Times New Roman" w:hAnsi="Times New Roman"/>
          <w:sz w:val="24"/>
          <w:szCs w:val="24"/>
        </w:rPr>
        <w:t>informing</w:t>
      </w:r>
      <w:proofErr w:type="gramEnd"/>
      <w:r w:rsidRPr="00BC17B3">
        <w:rPr>
          <w:rFonts w:ascii="Times New Roman" w:hAnsi="Times New Roman"/>
          <w:sz w:val="24"/>
          <w:szCs w:val="24"/>
        </w:rPr>
        <w:t xml:space="preserve"> individuals who call about an apparent drug overdose about the immunity from prosecution for a minor drug possession offense created by section 2925.11 of the Revised Code. </w:t>
      </w:r>
    </w:p>
    <w:p w14:paraId="241A7EF9"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(B) Public safety answering point personnel who receive a call about an apparent drug </w:t>
      </w:r>
    </w:p>
    <w:p w14:paraId="2785ED73"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lastRenderedPageBreak/>
        <w:t xml:space="preserve">overdose shall make reasonable efforts, upon the caller's inquiry, to inform the caller </w:t>
      </w:r>
    </w:p>
    <w:p w14:paraId="57F32A32"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about the immunity from prosecution for a minor drug possession offense created </w:t>
      </w:r>
    </w:p>
    <w:p w14:paraId="26A69CB4"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by section 2925.11 of the Revised Code. </w:t>
      </w:r>
    </w:p>
    <w:p w14:paraId="60D66561" w14:textId="77777777" w:rsidR="00F326E5" w:rsidRPr="00BC17B3" w:rsidRDefault="00F326E5" w:rsidP="00F326E5">
      <w:pPr>
        <w:pStyle w:val="NoSpacing"/>
        <w:rPr>
          <w:rFonts w:ascii="Times New Roman" w:hAnsi="Times New Roman"/>
          <w:sz w:val="24"/>
          <w:szCs w:val="24"/>
        </w:rPr>
      </w:pPr>
    </w:p>
    <w:bookmarkEnd w:id="549"/>
    <w:p w14:paraId="00581AC2" w14:textId="77777777" w:rsidR="00BC17B3" w:rsidRDefault="00BC17B3" w:rsidP="00F326E5">
      <w:pPr>
        <w:pStyle w:val="NoSpacing"/>
        <w:rPr>
          <w:rFonts w:ascii="Arial Black" w:hAnsi="Arial Black"/>
          <w:sz w:val="24"/>
          <w:szCs w:val="24"/>
        </w:rPr>
      </w:pPr>
    </w:p>
    <w:p w14:paraId="1BFC18BA" w14:textId="5AC63124" w:rsidR="00F326E5" w:rsidRDefault="00DE0F03" w:rsidP="00F326E5">
      <w:pPr>
        <w:pStyle w:val="NoSpacing"/>
        <w:rPr>
          <w:rFonts w:ascii="Arial Black" w:hAnsi="Arial Black"/>
          <w:sz w:val="24"/>
          <w:szCs w:val="24"/>
        </w:rPr>
      </w:pPr>
      <w:r>
        <w:rPr>
          <w:rFonts w:ascii="Arial Black" w:hAnsi="Arial Black"/>
          <w:sz w:val="24"/>
          <w:szCs w:val="24"/>
        </w:rPr>
        <w:t>13-4</w:t>
      </w:r>
    </w:p>
    <w:p w14:paraId="4FF1041C" w14:textId="77777777" w:rsidR="00DE0F03" w:rsidRPr="00BE5483" w:rsidRDefault="00DE0F03" w:rsidP="00F326E5">
      <w:pPr>
        <w:pStyle w:val="NoSpacing"/>
        <w:rPr>
          <w:rFonts w:ascii="Arial Black" w:hAnsi="Arial Black"/>
          <w:sz w:val="24"/>
          <w:szCs w:val="24"/>
        </w:rPr>
      </w:pPr>
    </w:p>
    <w:p w14:paraId="314D4CEC" w14:textId="442F02C8" w:rsidR="00F326E5" w:rsidRPr="00F65F37" w:rsidRDefault="00F326E5" w:rsidP="00F326E5">
      <w:pPr>
        <w:pStyle w:val="NoSpacing"/>
        <w:rPr>
          <w:rFonts w:ascii="Arial Black" w:eastAsia="Times New Roman" w:hAnsi="Arial Black"/>
          <w:sz w:val="28"/>
          <w:szCs w:val="28"/>
        </w:rPr>
      </w:pPr>
      <w:bookmarkStart w:id="551" w:name="_Hlk515212934"/>
      <w:bookmarkStart w:id="552" w:name="_Hlk7347462"/>
      <w:bookmarkEnd w:id="550"/>
      <w:r w:rsidRPr="00F65F37">
        <w:rPr>
          <w:rFonts w:ascii="Arial Black" w:eastAsia="Times New Roman" w:hAnsi="Arial Black"/>
          <w:sz w:val="28"/>
          <w:szCs w:val="28"/>
        </w:rPr>
        <w:t xml:space="preserve">MI: DYING DECLARATION </w:t>
      </w:r>
      <w:r>
        <w:rPr>
          <w:rFonts w:ascii="Arial Black" w:eastAsia="Times New Roman" w:hAnsi="Arial Black"/>
          <w:sz w:val="28"/>
          <w:szCs w:val="28"/>
        </w:rPr>
        <w:t xml:space="preserve">BY VICTIM </w:t>
      </w:r>
      <w:r w:rsidRPr="00F65F37">
        <w:rPr>
          <w:rFonts w:ascii="Arial Black" w:eastAsia="Times New Roman" w:hAnsi="Arial Black"/>
          <w:sz w:val="28"/>
          <w:szCs w:val="28"/>
        </w:rPr>
        <w:t>TO PARAMEDIC – ADMISSIBLE IN MURDER TRIAL</w:t>
      </w:r>
    </w:p>
    <w:bookmarkEnd w:id="551"/>
    <w:p w14:paraId="7D8CB9CB"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April 19, 2018, in </w:t>
      </w:r>
      <w:r w:rsidRPr="00BC17B3">
        <w:rPr>
          <w:rFonts w:ascii="Times New Roman" w:eastAsia="Times New Roman" w:hAnsi="Times New Roman"/>
          <w:sz w:val="24"/>
          <w:szCs w:val="24"/>
          <w:u w:val="single"/>
        </w:rPr>
        <w:t>State of Michigan v. Christopher Tank</w:t>
      </w:r>
      <w:r w:rsidRPr="00BC17B3">
        <w:rPr>
          <w:rFonts w:ascii="Times New Roman" w:eastAsia="Times New Roman" w:hAnsi="Times New Roman"/>
          <w:sz w:val="24"/>
          <w:szCs w:val="24"/>
        </w:rPr>
        <w:t xml:space="preserve">, the State of Michigan Court of Appeals, upheld the jury conviction (3 to 0), holding “there was no plain error in admitting the victim’s dying declaration identifying defendant as his assailant.”  </w:t>
      </w:r>
      <w:hyperlink r:id="rId2310" w:history="1">
        <w:r w:rsidRPr="00BC17B3">
          <w:rPr>
            <w:rStyle w:val="Hyperlink"/>
            <w:rFonts w:ascii="Times New Roman" w:hAnsi="Times New Roman"/>
            <w:sz w:val="24"/>
            <w:szCs w:val="24"/>
          </w:rPr>
          <w:t>https://cases.justia.com/michigan/court-of-appeals-unpublished/2018-335366.pdf?ts=1524229247</w:t>
        </w:r>
      </w:hyperlink>
      <w:r w:rsidRPr="00BC17B3">
        <w:rPr>
          <w:rFonts w:ascii="Times New Roman" w:eastAsia="Times New Roman" w:hAnsi="Times New Roman"/>
          <w:sz w:val="24"/>
          <w:szCs w:val="24"/>
        </w:rPr>
        <w:t xml:space="preserve"> </w:t>
      </w:r>
    </w:p>
    <w:p w14:paraId="1AC0AC91" w14:textId="77777777" w:rsidR="00F326E5" w:rsidRPr="00BC17B3" w:rsidRDefault="00F326E5" w:rsidP="00F326E5">
      <w:pPr>
        <w:rPr>
          <w:rFonts w:ascii="Times New Roman" w:eastAsia="Times New Roman" w:hAnsi="Times New Roman"/>
          <w:b/>
          <w:sz w:val="24"/>
          <w:szCs w:val="24"/>
        </w:rPr>
      </w:pPr>
      <w:r w:rsidRPr="00BC17B3">
        <w:rPr>
          <w:rFonts w:ascii="Times New Roman" w:eastAsia="Times New Roman" w:hAnsi="Times New Roman"/>
          <w:b/>
          <w:sz w:val="24"/>
          <w:szCs w:val="24"/>
        </w:rPr>
        <w:t>Legal Lessons Learned: Dying declarations are admissible; include victim’s exact words in “quotes” in the EMS run report.</w:t>
      </w:r>
    </w:p>
    <w:bookmarkEnd w:id="552"/>
    <w:p w14:paraId="6CA8E80D" w14:textId="77777777" w:rsidR="00F326E5" w:rsidRDefault="00F326E5" w:rsidP="00F326E5">
      <w:pPr>
        <w:rPr>
          <w:rFonts w:eastAsia="Times New Roman"/>
          <w:sz w:val="24"/>
          <w:szCs w:val="24"/>
        </w:rPr>
      </w:pPr>
    </w:p>
    <w:p w14:paraId="014DEED9" w14:textId="5179C159" w:rsidR="00DE0F03" w:rsidRDefault="00DE0F03" w:rsidP="00DE0F03">
      <w:pPr>
        <w:rPr>
          <w:b/>
          <w:szCs w:val="24"/>
        </w:rPr>
      </w:pPr>
      <w:bookmarkStart w:id="553" w:name="_Hlk7347500"/>
      <w:r>
        <w:rPr>
          <w:rFonts w:ascii="Arial Black" w:hAnsi="Arial Black"/>
          <w:b/>
          <w:sz w:val="24"/>
          <w:szCs w:val="24"/>
        </w:rPr>
        <w:t>13-3</w:t>
      </w:r>
    </w:p>
    <w:p w14:paraId="26DB2F76" w14:textId="4134DF2F" w:rsidR="00F326E5" w:rsidRPr="00F65F37" w:rsidRDefault="00F326E5" w:rsidP="00F326E5">
      <w:pPr>
        <w:rPr>
          <w:rFonts w:eastAsia="Times New Roman"/>
          <w:sz w:val="28"/>
          <w:szCs w:val="28"/>
        </w:rPr>
      </w:pPr>
      <w:bookmarkStart w:id="554" w:name="_Hlk41155031"/>
      <w:r w:rsidRPr="00F65F37">
        <w:rPr>
          <w:rFonts w:ascii="Arial Black" w:eastAsia="Times New Roman" w:hAnsi="Arial Black"/>
          <w:sz w:val="28"/>
          <w:szCs w:val="28"/>
        </w:rPr>
        <w:t xml:space="preserve">MI:  CPR – NO NEED TO PERFORM WHEN </w:t>
      </w:r>
      <w:r>
        <w:rPr>
          <w:rFonts w:ascii="Arial Black" w:eastAsia="Times New Roman" w:hAnsi="Arial Black"/>
          <w:sz w:val="28"/>
          <w:szCs w:val="28"/>
        </w:rPr>
        <w:t xml:space="preserve">PATIENT CLEARLY DEAD - </w:t>
      </w:r>
      <w:r w:rsidRPr="00F65F37">
        <w:rPr>
          <w:rFonts w:ascii="Arial Black" w:eastAsia="Times New Roman" w:hAnsi="Arial Black"/>
          <w:sz w:val="28"/>
          <w:szCs w:val="28"/>
        </w:rPr>
        <w:t>LIVIDITY, NO PULSE</w:t>
      </w:r>
    </w:p>
    <w:p w14:paraId="41B89BB5" w14:textId="77777777" w:rsidR="00F326E5" w:rsidRPr="00BC17B3" w:rsidRDefault="00F326E5" w:rsidP="00F326E5">
      <w:pPr>
        <w:rPr>
          <w:rFonts w:ascii="Times New Roman" w:hAnsi="Times New Roman"/>
          <w:sz w:val="24"/>
          <w:szCs w:val="24"/>
        </w:rPr>
      </w:pPr>
      <w:r w:rsidRPr="00BC17B3">
        <w:rPr>
          <w:rFonts w:ascii="Times New Roman" w:eastAsia="Times New Roman" w:hAnsi="Times New Roman"/>
          <w:sz w:val="24"/>
          <w:szCs w:val="24"/>
        </w:rPr>
        <w:t xml:space="preserve">On April 12, 2018, in </w:t>
      </w:r>
      <w:r w:rsidRPr="00BC17B3">
        <w:rPr>
          <w:rFonts w:ascii="Times New Roman" w:eastAsia="Times New Roman" w:hAnsi="Times New Roman"/>
          <w:sz w:val="24"/>
          <w:szCs w:val="24"/>
          <w:u w:val="single"/>
        </w:rPr>
        <w:t>Eusebio Saldana v. Nathan Smith and Sanilac County Sheriff’s Office</w:t>
      </w:r>
      <w:r w:rsidRPr="00BC17B3">
        <w:rPr>
          <w:rFonts w:ascii="Times New Roman" w:eastAsia="Times New Roman" w:hAnsi="Times New Roman"/>
          <w:sz w:val="24"/>
          <w:szCs w:val="24"/>
        </w:rPr>
        <w:t>, the State of Michigan Court of Appeals held (3 to 0; unpublished decision) that the police officer “</w:t>
      </w:r>
      <w:r w:rsidRPr="00BC17B3">
        <w:rPr>
          <w:rFonts w:ascii="Times New Roman" w:hAnsi="Times New Roman"/>
          <w:sz w:val="24"/>
          <w:szCs w:val="24"/>
        </w:rPr>
        <w:t xml:space="preserve">exercised his discretion based on his experience and training in identifying Michael's condition and acting according to those conclusions.”  </w:t>
      </w:r>
      <w:hyperlink r:id="rId2311" w:history="1">
        <w:r w:rsidRPr="00BC17B3">
          <w:rPr>
            <w:rStyle w:val="Hyperlink"/>
            <w:rFonts w:ascii="Times New Roman" w:hAnsi="Times New Roman"/>
            <w:sz w:val="24"/>
            <w:szCs w:val="24"/>
          </w:rPr>
          <w:t>https://scholar.google.com/scholar_case?case=10284773024569378667&amp;hl=en&amp;as_sdt=6&amp;as_vis=1&amp;oi=scholarr</w:t>
        </w:r>
      </w:hyperlink>
      <w:r w:rsidRPr="00BC17B3">
        <w:rPr>
          <w:rFonts w:ascii="Times New Roman" w:hAnsi="Times New Roman"/>
          <w:sz w:val="24"/>
          <w:szCs w:val="24"/>
        </w:rPr>
        <w:t xml:space="preserve"> </w:t>
      </w:r>
    </w:p>
    <w:p w14:paraId="623A406D" w14:textId="77777777" w:rsidR="00F326E5" w:rsidRPr="00BC17B3" w:rsidRDefault="00F326E5" w:rsidP="00F326E5">
      <w:pPr>
        <w:rPr>
          <w:rFonts w:ascii="Times New Roman" w:hAnsi="Times New Roman"/>
          <w:b/>
          <w:sz w:val="24"/>
          <w:szCs w:val="24"/>
        </w:rPr>
      </w:pPr>
      <w:r w:rsidRPr="00BC17B3">
        <w:rPr>
          <w:rFonts w:ascii="Times New Roman" w:hAnsi="Times New Roman"/>
          <w:b/>
          <w:sz w:val="24"/>
          <w:szCs w:val="24"/>
        </w:rPr>
        <w:t>Legal Lessons Learned:  Michigan statues protect police &amp; EMS from liability, unless proof of gross negligence.</w:t>
      </w:r>
    </w:p>
    <w:bookmarkEnd w:id="553"/>
    <w:bookmarkEnd w:id="554"/>
    <w:p w14:paraId="6FC66EFC" w14:textId="77777777" w:rsidR="00F326E5" w:rsidRDefault="00F326E5" w:rsidP="00F326E5">
      <w:pPr>
        <w:rPr>
          <w:rFonts w:eastAsia="Times New Roman"/>
          <w:sz w:val="24"/>
          <w:szCs w:val="24"/>
        </w:rPr>
      </w:pPr>
    </w:p>
    <w:p w14:paraId="30B2109F" w14:textId="07A43293" w:rsidR="00DE0F03" w:rsidRDefault="00DE0F03" w:rsidP="00DE0F03">
      <w:pPr>
        <w:rPr>
          <w:b/>
          <w:szCs w:val="24"/>
        </w:rPr>
      </w:pPr>
      <w:bookmarkStart w:id="555" w:name="_Hlk515213164"/>
      <w:r>
        <w:rPr>
          <w:rFonts w:ascii="Arial Black" w:hAnsi="Arial Black"/>
          <w:b/>
          <w:sz w:val="24"/>
          <w:szCs w:val="24"/>
        </w:rPr>
        <w:t>13-2</w:t>
      </w:r>
    </w:p>
    <w:p w14:paraId="57D14077" w14:textId="77777777" w:rsidR="00F326E5" w:rsidRDefault="00F326E5" w:rsidP="00F326E5">
      <w:pPr>
        <w:pStyle w:val="NoSpacing"/>
        <w:rPr>
          <w:sz w:val="24"/>
          <w:szCs w:val="24"/>
        </w:rPr>
      </w:pPr>
    </w:p>
    <w:p w14:paraId="11A30793" w14:textId="0FEF194E" w:rsidR="00F326E5" w:rsidRDefault="00F326E5" w:rsidP="00F326E5">
      <w:pPr>
        <w:pStyle w:val="NoSpacing"/>
        <w:rPr>
          <w:rFonts w:ascii="Arial Black" w:hAnsi="Arial Black"/>
          <w:b/>
          <w:sz w:val="28"/>
          <w:szCs w:val="28"/>
        </w:rPr>
      </w:pPr>
      <w:bookmarkStart w:id="556" w:name="_Hlk7347620"/>
      <w:r w:rsidRPr="00B018B0">
        <w:rPr>
          <w:rFonts w:ascii="Arial Black" w:hAnsi="Arial Black"/>
          <w:b/>
          <w:sz w:val="28"/>
          <w:szCs w:val="28"/>
        </w:rPr>
        <w:t>OH</w:t>
      </w:r>
      <w:r>
        <w:rPr>
          <w:rFonts w:ascii="Arial Black" w:hAnsi="Arial Black"/>
          <w:b/>
          <w:sz w:val="28"/>
          <w:szCs w:val="28"/>
        </w:rPr>
        <w:t xml:space="preserve">: </w:t>
      </w:r>
      <w:r w:rsidRPr="00B018B0">
        <w:rPr>
          <w:rFonts w:ascii="Arial Black" w:hAnsi="Arial Black"/>
          <w:b/>
          <w:sz w:val="28"/>
          <w:szCs w:val="28"/>
        </w:rPr>
        <w:t xml:space="preserve"> DRUNK DRIVER </w:t>
      </w:r>
      <w:r>
        <w:rPr>
          <w:rFonts w:ascii="Arial Black" w:hAnsi="Arial Black"/>
          <w:b/>
          <w:sz w:val="28"/>
          <w:szCs w:val="28"/>
        </w:rPr>
        <w:t xml:space="preserve">- </w:t>
      </w:r>
      <w:r w:rsidRPr="00B018B0">
        <w:rPr>
          <w:rFonts w:ascii="Arial Black" w:hAnsi="Arial Black"/>
          <w:b/>
          <w:sz w:val="28"/>
          <w:szCs w:val="28"/>
        </w:rPr>
        <w:t xml:space="preserve">URINE </w:t>
      </w:r>
      <w:r>
        <w:rPr>
          <w:rFonts w:ascii="Arial Black" w:hAnsi="Arial Black"/>
          <w:b/>
          <w:sz w:val="28"/>
          <w:szCs w:val="28"/>
        </w:rPr>
        <w:t xml:space="preserve">/ </w:t>
      </w:r>
      <w:r w:rsidRPr="00B018B0">
        <w:rPr>
          <w:rFonts w:ascii="Arial Black" w:hAnsi="Arial Black"/>
          <w:b/>
          <w:sz w:val="28"/>
          <w:szCs w:val="28"/>
        </w:rPr>
        <w:t xml:space="preserve">BLOOD TESTS </w:t>
      </w:r>
      <w:r>
        <w:rPr>
          <w:rFonts w:ascii="Arial Black" w:hAnsi="Arial Black"/>
          <w:b/>
          <w:sz w:val="28"/>
          <w:szCs w:val="28"/>
        </w:rPr>
        <w:t>IN E</w:t>
      </w:r>
      <w:r w:rsidR="0048537E">
        <w:rPr>
          <w:rFonts w:ascii="Arial Black" w:hAnsi="Arial Black"/>
          <w:b/>
          <w:sz w:val="28"/>
          <w:szCs w:val="28"/>
        </w:rPr>
        <w:t>MERGENCY ROOM BY ORDERS OF PHYSICIAN</w:t>
      </w:r>
      <w:r>
        <w:rPr>
          <w:rFonts w:ascii="Arial Black" w:hAnsi="Arial Black"/>
          <w:b/>
          <w:sz w:val="28"/>
          <w:szCs w:val="28"/>
        </w:rPr>
        <w:t xml:space="preserve"> - </w:t>
      </w:r>
      <w:r w:rsidRPr="00B018B0">
        <w:rPr>
          <w:rFonts w:ascii="Arial Black" w:hAnsi="Arial Black"/>
          <w:b/>
          <w:sz w:val="28"/>
          <w:szCs w:val="28"/>
        </w:rPr>
        <w:t>NO 4</w:t>
      </w:r>
      <w:r w:rsidRPr="00B018B0">
        <w:rPr>
          <w:rFonts w:ascii="Arial Black" w:hAnsi="Arial Black"/>
          <w:b/>
          <w:sz w:val="28"/>
          <w:szCs w:val="28"/>
          <w:vertAlign w:val="superscript"/>
        </w:rPr>
        <w:t>TH</w:t>
      </w:r>
      <w:r w:rsidRPr="00B018B0">
        <w:rPr>
          <w:rFonts w:ascii="Arial Black" w:hAnsi="Arial Black"/>
          <w:b/>
          <w:sz w:val="28"/>
          <w:szCs w:val="28"/>
        </w:rPr>
        <w:t xml:space="preserve"> AMENDMENT VIOL</w:t>
      </w:r>
      <w:r w:rsidR="0048537E">
        <w:rPr>
          <w:rFonts w:ascii="Arial Black" w:hAnsi="Arial Black"/>
          <w:b/>
          <w:sz w:val="28"/>
          <w:szCs w:val="28"/>
        </w:rPr>
        <w:t xml:space="preserve">. BY PD </w:t>
      </w:r>
    </w:p>
    <w:bookmarkEnd w:id="555"/>
    <w:p w14:paraId="36664CEC" w14:textId="77777777" w:rsidR="00F326E5" w:rsidRPr="00BC17B3" w:rsidRDefault="00F326E5" w:rsidP="00F326E5">
      <w:pPr>
        <w:rPr>
          <w:rFonts w:ascii="Times New Roman" w:hAnsi="Times New Roman"/>
          <w:b/>
          <w:sz w:val="24"/>
          <w:szCs w:val="24"/>
        </w:rPr>
      </w:pPr>
      <w:r w:rsidRPr="00BC17B3">
        <w:rPr>
          <w:rFonts w:ascii="Times New Roman" w:hAnsi="Times New Roman"/>
          <w:sz w:val="24"/>
          <w:szCs w:val="24"/>
        </w:rPr>
        <w:t xml:space="preserve">On March 26, 2018, in </w:t>
      </w:r>
      <w:r w:rsidRPr="00BC17B3">
        <w:rPr>
          <w:rFonts w:ascii="Times New Roman" w:hAnsi="Times New Roman"/>
          <w:sz w:val="24"/>
          <w:szCs w:val="24"/>
          <w:u w:val="single"/>
        </w:rPr>
        <w:t>John W. Gold v. City of Sandusky, et al</w:t>
      </w:r>
      <w:r w:rsidRPr="00BC17B3">
        <w:rPr>
          <w:rFonts w:ascii="Times New Roman" w:hAnsi="Times New Roman"/>
          <w:sz w:val="24"/>
          <w:szCs w:val="24"/>
        </w:rPr>
        <w:t xml:space="preserve">., U.S. Magistrate Judge for the U.S. District Court, Northern, OH, issued a Memorandum Opinion and Order dismissing the civil rights lawsuit filed against the City, police officers, and ER medical staff, holding: “To the extent Plaintiff argues the officers violated his Fourth Amendment rights in the insertion of the catheter or in taking his blood, such a claim fails for the reasons stated above. That is, there is no </w:t>
      </w:r>
      <w:proofErr w:type="gramStart"/>
      <w:r w:rsidRPr="00BC17B3">
        <w:rPr>
          <w:rFonts w:ascii="Times New Roman" w:hAnsi="Times New Roman"/>
          <w:sz w:val="24"/>
          <w:szCs w:val="24"/>
        </w:rPr>
        <w:t>evidence</w:t>
      </w:r>
      <w:proofErr w:type="gramEnd"/>
      <w:r w:rsidRPr="00BC17B3">
        <w:rPr>
          <w:rFonts w:ascii="Times New Roman" w:hAnsi="Times New Roman"/>
          <w:sz w:val="24"/>
          <w:szCs w:val="24"/>
        </w:rPr>
        <w:t xml:space="preserve"> the catheter was placed, or blood drawn, at the request of the </w:t>
      </w:r>
      <w:r w:rsidRPr="00BC17B3">
        <w:rPr>
          <w:rFonts w:ascii="Times New Roman" w:hAnsi="Times New Roman"/>
          <w:sz w:val="24"/>
          <w:szCs w:val="24"/>
        </w:rPr>
        <w:lastRenderedPageBreak/>
        <w:t>police. Rather, it was medical personnel who made the decision and performed the action.”</w:t>
      </w:r>
      <w:r w:rsidRPr="00BC17B3">
        <w:rPr>
          <w:rFonts w:ascii="Times New Roman" w:hAnsi="Times New Roman"/>
          <w:b/>
          <w:sz w:val="24"/>
          <w:szCs w:val="24"/>
        </w:rPr>
        <w:t xml:space="preserve"> </w:t>
      </w:r>
      <w:hyperlink r:id="rId2312" w:history="1">
        <w:r w:rsidRPr="00BC17B3">
          <w:rPr>
            <w:rStyle w:val="Hyperlink"/>
            <w:rFonts w:ascii="Times New Roman" w:hAnsi="Times New Roman"/>
            <w:sz w:val="24"/>
            <w:szCs w:val="24"/>
          </w:rPr>
          <w:t>http://courtweb.pamd.uscourts.gov/courtwebsearch/ndoh/AlKFf0ZU_k.pdf</w:t>
        </w:r>
      </w:hyperlink>
      <w:r w:rsidRPr="00BC17B3">
        <w:rPr>
          <w:rFonts w:ascii="Times New Roman" w:hAnsi="Times New Roman"/>
          <w:b/>
          <w:sz w:val="24"/>
          <w:szCs w:val="24"/>
        </w:rPr>
        <w:t xml:space="preserve"> </w:t>
      </w:r>
    </w:p>
    <w:p w14:paraId="0DA1CE42" w14:textId="77777777" w:rsidR="00F326E5" w:rsidRPr="00BC17B3" w:rsidRDefault="00F326E5" w:rsidP="00F326E5">
      <w:pPr>
        <w:rPr>
          <w:rFonts w:ascii="Times New Roman" w:hAnsi="Times New Roman"/>
          <w:b/>
          <w:sz w:val="24"/>
          <w:szCs w:val="24"/>
        </w:rPr>
      </w:pPr>
      <w:r w:rsidRPr="00BC17B3">
        <w:rPr>
          <w:rFonts w:ascii="Times New Roman" w:hAnsi="Times New Roman"/>
          <w:b/>
          <w:sz w:val="24"/>
          <w:szCs w:val="24"/>
        </w:rPr>
        <w:t xml:space="preserve">LEGAL LESSONS LEARNED:  Blood and urine may be obtained in ER for medical reasons, without patient consent; police may obtain a search warrant for use in criminal </w:t>
      </w:r>
      <w:proofErr w:type="gramStart"/>
      <w:r w:rsidRPr="00BC17B3">
        <w:rPr>
          <w:rFonts w:ascii="Times New Roman" w:hAnsi="Times New Roman"/>
          <w:b/>
          <w:sz w:val="24"/>
          <w:szCs w:val="24"/>
        </w:rPr>
        <w:t>case</w:t>
      </w:r>
      <w:proofErr w:type="gramEnd"/>
      <w:r w:rsidRPr="00BC17B3">
        <w:rPr>
          <w:rFonts w:ascii="Times New Roman" w:hAnsi="Times New Roman"/>
          <w:b/>
          <w:sz w:val="24"/>
          <w:szCs w:val="24"/>
        </w:rPr>
        <w:t>.</w:t>
      </w:r>
    </w:p>
    <w:bookmarkEnd w:id="556"/>
    <w:p w14:paraId="51B12EA0" w14:textId="77777777" w:rsidR="0036327D" w:rsidRDefault="0036327D" w:rsidP="00DE0F03">
      <w:pPr>
        <w:rPr>
          <w:rFonts w:ascii="Arial Black" w:hAnsi="Arial Black"/>
          <w:b/>
          <w:sz w:val="24"/>
          <w:szCs w:val="24"/>
        </w:rPr>
      </w:pPr>
    </w:p>
    <w:p w14:paraId="639FF713" w14:textId="2C18E25F" w:rsidR="00F326E5" w:rsidRDefault="00DE0F03" w:rsidP="00DE0F03">
      <w:pPr>
        <w:rPr>
          <w:b/>
          <w:szCs w:val="24"/>
        </w:rPr>
      </w:pPr>
      <w:r>
        <w:rPr>
          <w:rFonts w:ascii="Arial Black" w:hAnsi="Arial Black"/>
          <w:b/>
          <w:sz w:val="24"/>
          <w:szCs w:val="24"/>
        </w:rPr>
        <w:t>13-1</w:t>
      </w:r>
    </w:p>
    <w:p w14:paraId="0AD67384" w14:textId="77777777" w:rsidR="00F326E5" w:rsidRDefault="00F326E5" w:rsidP="00F326E5">
      <w:pPr>
        <w:pStyle w:val="NoSpacing"/>
        <w:rPr>
          <w:b/>
          <w:szCs w:val="24"/>
        </w:rPr>
      </w:pPr>
    </w:p>
    <w:p w14:paraId="601A39BC" w14:textId="62AA748A" w:rsidR="00F326E5" w:rsidRPr="008D7D88" w:rsidRDefault="00F326E5" w:rsidP="00F326E5">
      <w:pPr>
        <w:pStyle w:val="NoSpacing"/>
        <w:rPr>
          <w:b/>
          <w:sz w:val="24"/>
          <w:szCs w:val="24"/>
        </w:rPr>
      </w:pPr>
      <w:bookmarkStart w:id="557" w:name="_Hlk7347790"/>
      <w:r w:rsidRPr="0066326F">
        <w:rPr>
          <w:rFonts w:ascii="Arial Black" w:hAnsi="Arial Black"/>
          <w:sz w:val="28"/>
          <w:szCs w:val="28"/>
        </w:rPr>
        <w:t xml:space="preserve">OH: </w:t>
      </w:r>
      <w:r w:rsidR="0048537E">
        <w:rPr>
          <w:rFonts w:ascii="Arial Black" w:hAnsi="Arial Black"/>
          <w:sz w:val="28"/>
          <w:szCs w:val="28"/>
        </w:rPr>
        <w:t xml:space="preserve">AMBULANCE IN MVA </w:t>
      </w:r>
      <w:r w:rsidR="00247719">
        <w:rPr>
          <w:rFonts w:ascii="Arial Black" w:hAnsi="Arial Black"/>
          <w:sz w:val="28"/>
          <w:szCs w:val="28"/>
        </w:rPr>
        <w:t>–</w:t>
      </w:r>
      <w:r w:rsidR="0048537E">
        <w:rPr>
          <w:rFonts w:ascii="Arial Black" w:hAnsi="Arial Black"/>
          <w:sz w:val="28"/>
          <w:szCs w:val="28"/>
        </w:rPr>
        <w:t xml:space="preserve"> </w:t>
      </w:r>
      <w:r w:rsidR="00247719">
        <w:rPr>
          <w:rFonts w:ascii="Arial Black" w:hAnsi="Arial Black"/>
          <w:sz w:val="28"/>
          <w:szCs w:val="28"/>
        </w:rPr>
        <w:t xml:space="preserve">EMT </w:t>
      </w:r>
      <w:r w:rsidRPr="0066326F">
        <w:rPr>
          <w:rFonts w:ascii="Arial Black" w:hAnsi="Arial Black"/>
          <w:sz w:val="28"/>
          <w:szCs w:val="28"/>
        </w:rPr>
        <w:t xml:space="preserve">DRIVER SPEEDING, </w:t>
      </w:r>
      <w:r w:rsidR="00247719">
        <w:rPr>
          <w:rFonts w:ascii="Arial Black" w:hAnsi="Arial Black"/>
          <w:sz w:val="28"/>
          <w:szCs w:val="28"/>
        </w:rPr>
        <w:t xml:space="preserve">PASSING </w:t>
      </w:r>
      <w:r w:rsidRPr="0066326F">
        <w:rPr>
          <w:rFonts w:ascii="Arial Black" w:hAnsi="Arial Black"/>
          <w:sz w:val="28"/>
          <w:szCs w:val="28"/>
        </w:rPr>
        <w:t>IN NO PASSING ZONE, NO LIGHTS &amp; SIREN</w:t>
      </w:r>
      <w:r>
        <w:rPr>
          <w:rFonts w:ascii="Arial Black" w:hAnsi="Arial Black"/>
          <w:sz w:val="28"/>
          <w:szCs w:val="28"/>
        </w:rPr>
        <w:t xml:space="preserve"> </w:t>
      </w:r>
      <w:r w:rsidRPr="008D7D88">
        <w:rPr>
          <w:b/>
          <w:sz w:val="24"/>
          <w:szCs w:val="24"/>
        </w:rPr>
        <w:t>[also filed, Chap. 5]</w:t>
      </w:r>
    </w:p>
    <w:p w14:paraId="492C1AF9" w14:textId="77777777" w:rsidR="0048537E" w:rsidRPr="00BC17B3" w:rsidRDefault="00F326E5" w:rsidP="00F326E5">
      <w:pPr>
        <w:pStyle w:val="NoSpacing"/>
        <w:rPr>
          <w:rFonts w:ascii="Times New Roman" w:hAnsi="Times New Roman"/>
          <w:b/>
          <w:sz w:val="24"/>
          <w:szCs w:val="24"/>
        </w:rPr>
      </w:pPr>
      <w:r w:rsidRPr="00BC17B3">
        <w:rPr>
          <w:rFonts w:ascii="Times New Roman" w:hAnsi="Times New Roman"/>
          <w:sz w:val="24"/>
          <w:szCs w:val="24"/>
        </w:rPr>
        <w:t xml:space="preserve">On Jan. 2, 2018, in </w:t>
      </w:r>
      <w:r w:rsidRPr="00BC17B3">
        <w:rPr>
          <w:rFonts w:ascii="Times New Roman" w:hAnsi="Times New Roman"/>
          <w:sz w:val="24"/>
          <w:szCs w:val="24"/>
          <w:u w:val="single"/>
        </w:rPr>
        <w:t>Folmer v. Meigs County Commissioners, et al.,</w:t>
      </w:r>
      <w:r w:rsidRPr="00BC17B3">
        <w:rPr>
          <w:rFonts w:ascii="Times New Roman" w:hAnsi="Times New Roman"/>
          <w:sz w:val="24"/>
          <w:szCs w:val="24"/>
        </w:rPr>
        <w:t xml:space="preserve"> 2018-Ohio- 31, 4th Appellate District (Meigs County), the Court held that the EMS driver may have been negligent when transporting a patient traveling over 20 mph above posted speed limit, with no lights or siren, and attempted to pass vehicle in no passing lane, hitting oncoming vehicle. While the lawsuit may proceed against Meigs County EMS, the EMS driver enjoys immunity from personal liability since plaintiff did not </w:t>
      </w:r>
      <w:proofErr w:type="gramStart"/>
      <w:r w:rsidRPr="00BC17B3">
        <w:rPr>
          <w:rFonts w:ascii="Times New Roman" w:hAnsi="Times New Roman"/>
          <w:sz w:val="24"/>
          <w:szCs w:val="24"/>
        </w:rPr>
        <w:t>alleged</w:t>
      </w:r>
      <w:proofErr w:type="gramEnd"/>
      <w:r w:rsidRPr="00BC17B3">
        <w:rPr>
          <w:rFonts w:ascii="Times New Roman" w:hAnsi="Times New Roman"/>
          <w:sz w:val="24"/>
          <w:szCs w:val="24"/>
        </w:rPr>
        <w:t xml:space="preserve"> he “acted with malicious purpose, bad faith, or recklessness under R.C. 2744.03(A)(6)(b).”</w:t>
      </w:r>
      <w:r w:rsidRPr="00BC17B3">
        <w:rPr>
          <w:rFonts w:ascii="Times New Roman" w:hAnsi="Times New Roman"/>
          <w:b/>
          <w:sz w:val="24"/>
          <w:szCs w:val="24"/>
        </w:rPr>
        <w:t xml:space="preserve"> </w:t>
      </w:r>
    </w:p>
    <w:p w14:paraId="6925D6A2" w14:textId="6D0861F7" w:rsidR="00F326E5" w:rsidRPr="00BC17B3" w:rsidRDefault="0048537E" w:rsidP="00F326E5">
      <w:pPr>
        <w:pStyle w:val="NoSpacing"/>
        <w:rPr>
          <w:rFonts w:ascii="Times New Roman" w:hAnsi="Times New Roman"/>
          <w:b/>
          <w:sz w:val="24"/>
          <w:szCs w:val="24"/>
        </w:rPr>
      </w:pPr>
      <w:hyperlink r:id="rId2313" w:history="1">
        <w:r w:rsidRPr="00BC17B3">
          <w:rPr>
            <w:rStyle w:val="Hyperlink"/>
            <w:rFonts w:ascii="Times New Roman" w:hAnsi="Times New Roman"/>
            <w:sz w:val="24"/>
            <w:szCs w:val="24"/>
          </w:rPr>
          <w:t>https://www.supremecourt.ohio.gov/rod/docs/pdf/4/2018/2018-Ohio-31.pdf</w:t>
        </w:r>
      </w:hyperlink>
      <w:r w:rsidR="00F326E5" w:rsidRPr="00BC17B3">
        <w:rPr>
          <w:rFonts w:ascii="Times New Roman" w:hAnsi="Times New Roman"/>
          <w:b/>
          <w:sz w:val="24"/>
          <w:szCs w:val="24"/>
        </w:rPr>
        <w:t xml:space="preserve"> </w:t>
      </w:r>
    </w:p>
    <w:p w14:paraId="093FD0A7" w14:textId="77777777" w:rsidR="00BC17B3" w:rsidRDefault="00BC17B3" w:rsidP="00F326E5">
      <w:pPr>
        <w:pStyle w:val="NoSpacing"/>
        <w:rPr>
          <w:rFonts w:ascii="Times New Roman" w:hAnsi="Times New Roman"/>
          <w:b/>
          <w:sz w:val="24"/>
          <w:szCs w:val="24"/>
        </w:rPr>
      </w:pPr>
    </w:p>
    <w:p w14:paraId="6BA7EFEC" w14:textId="79428D9E" w:rsidR="00F326E5" w:rsidRPr="00BC17B3" w:rsidRDefault="00F326E5" w:rsidP="00F326E5">
      <w:pPr>
        <w:pStyle w:val="NoSpacing"/>
        <w:rPr>
          <w:rFonts w:ascii="Times New Roman" w:hAnsi="Times New Roman"/>
          <w:b/>
          <w:sz w:val="24"/>
          <w:szCs w:val="24"/>
        </w:rPr>
      </w:pPr>
      <w:r w:rsidRPr="00BC17B3">
        <w:rPr>
          <w:rFonts w:ascii="Times New Roman" w:hAnsi="Times New Roman"/>
          <w:b/>
          <w:sz w:val="24"/>
          <w:szCs w:val="24"/>
        </w:rPr>
        <w:t>Legal Lessons Learned: If transporting without lights and siren, then EMS driver must obey speed limit and no passing zone. The EMS driver was fortunate the plaintiff did not allege he was driving in “wanton or reckless manner.</w:t>
      </w:r>
    </w:p>
    <w:bookmarkEnd w:id="557"/>
    <w:p w14:paraId="24AC203B" w14:textId="77777777" w:rsidR="00F326E5" w:rsidRPr="00952ED4" w:rsidRDefault="00F326E5" w:rsidP="00F326E5">
      <w:pPr>
        <w:rPr>
          <w:rFonts w:eastAsia="Times New Roman"/>
          <w:b/>
          <w:sz w:val="24"/>
          <w:szCs w:val="24"/>
        </w:rPr>
      </w:pPr>
    </w:p>
    <w:p w14:paraId="7A5D35B2" w14:textId="66A9C55B" w:rsidR="00247719" w:rsidRDefault="00247719">
      <w:pPr>
        <w:spacing w:after="0" w:line="240" w:lineRule="auto"/>
        <w:rPr>
          <w:b/>
          <w:sz w:val="24"/>
          <w:szCs w:val="24"/>
        </w:rPr>
      </w:pPr>
      <w:r>
        <w:rPr>
          <w:b/>
          <w:sz w:val="24"/>
          <w:szCs w:val="24"/>
        </w:rPr>
        <w:br w:type="page"/>
      </w:r>
    </w:p>
    <w:p w14:paraId="11C44DFC" w14:textId="77777777" w:rsidR="00F326E5" w:rsidRPr="00CA2809" w:rsidRDefault="00F326E5" w:rsidP="00F326E5">
      <w:pPr>
        <w:pStyle w:val="NoSpacing"/>
        <w:rPr>
          <w:b/>
          <w:sz w:val="24"/>
          <w:szCs w:val="24"/>
        </w:rPr>
      </w:pPr>
    </w:p>
    <w:p w14:paraId="4CA8BBA7" w14:textId="63043C04" w:rsidR="00F86334" w:rsidRDefault="00F86334">
      <w:pPr>
        <w:spacing w:after="0" w:line="240" w:lineRule="auto"/>
        <w:rPr>
          <w:rFonts w:ascii="Arial Black" w:hAnsi="Arial Black"/>
          <w:sz w:val="40"/>
          <w:szCs w:val="40"/>
        </w:rPr>
      </w:pPr>
      <w:r>
        <w:rPr>
          <w:rFonts w:ascii="Arial Black" w:hAnsi="Arial Black"/>
          <w:sz w:val="40"/>
          <w:szCs w:val="40"/>
        </w:rPr>
        <w:br w:type="page"/>
      </w:r>
    </w:p>
    <w:p w14:paraId="61F3DA22" w14:textId="77777777" w:rsidR="00F86334" w:rsidRDefault="00F86334" w:rsidP="00F326E5">
      <w:pPr>
        <w:pStyle w:val="NoSpacing"/>
        <w:rPr>
          <w:rFonts w:ascii="Arial Black" w:hAnsi="Arial Black"/>
          <w:sz w:val="40"/>
          <w:szCs w:val="40"/>
        </w:rPr>
      </w:pPr>
    </w:p>
    <w:p w14:paraId="32F06443" w14:textId="33D5CE78" w:rsidR="00F326E5" w:rsidRDefault="00F326E5" w:rsidP="00F326E5">
      <w:pPr>
        <w:pStyle w:val="NoSpacing"/>
        <w:rPr>
          <w:rFonts w:ascii="Arial Black" w:hAnsi="Arial Black"/>
          <w:sz w:val="40"/>
          <w:szCs w:val="40"/>
        </w:rPr>
      </w:pPr>
      <w:r w:rsidRPr="007732FA">
        <w:rPr>
          <w:rFonts w:ascii="Arial Black" w:hAnsi="Arial Black"/>
          <w:sz w:val="40"/>
          <w:szCs w:val="40"/>
        </w:rPr>
        <w:t>Chap. 14</w:t>
      </w:r>
      <w:r w:rsidRPr="007732FA">
        <w:rPr>
          <w:rFonts w:ascii="Arial Black" w:hAnsi="Arial Black"/>
          <w:sz w:val="40"/>
          <w:szCs w:val="40"/>
        </w:rPr>
        <w:tab/>
      </w:r>
      <w:r w:rsidRPr="007732FA">
        <w:rPr>
          <w:rFonts w:ascii="Arial Black" w:hAnsi="Arial Black"/>
          <w:sz w:val="40"/>
          <w:szCs w:val="40"/>
        </w:rPr>
        <w:tab/>
        <w:t>Physical Fitness</w:t>
      </w:r>
      <w:r w:rsidR="00344E40">
        <w:rPr>
          <w:rFonts w:ascii="Arial Black" w:hAnsi="Arial Black"/>
          <w:sz w:val="40"/>
          <w:szCs w:val="40"/>
        </w:rPr>
        <w:t xml:space="preserve"> and </w:t>
      </w:r>
      <w:r w:rsidR="00D5755F">
        <w:rPr>
          <w:rFonts w:ascii="Arial Black" w:hAnsi="Arial Black"/>
          <w:sz w:val="40"/>
          <w:szCs w:val="40"/>
        </w:rPr>
        <w:t xml:space="preserve">Light Duty </w:t>
      </w:r>
      <w:r w:rsidR="00344E40">
        <w:rPr>
          <w:rFonts w:ascii="Arial Black" w:hAnsi="Arial Black"/>
          <w:sz w:val="40"/>
          <w:szCs w:val="40"/>
        </w:rPr>
        <w:t xml:space="preserve"> </w:t>
      </w:r>
      <w:r w:rsidRPr="007732FA">
        <w:rPr>
          <w:rFonts w:ascii="Arial Black" w:hAnsi="Arial Black"/>
          <w:sz w:val="40"/>
          <w:szCs w:val="40"/>
        </w:rPr>
        <w:tab/>
      </w:r>
    </w:p>
    <w:p w14:paraId="3EC3C8EF" w14:textId="77777777" w:rsidR="00BC5936" w:rsidRDefault="00BC5936" w:rsidP="00F326E5">
      <w:pPr>
        <w:pStyle w:val="NoSpacing"/>
        <w:rPr>
          <w:rFonts w:ascii="Arial Black" w:hAnsi="Arial Black"/>
          <w:sz w:val="28"/>
          <w:szCs w:val="28"/>
        </w:rPr>
      </w:pPr>
    </w:p>
    <w:p w14:paraId="728415D3" w14:textId="1B4195BD" w:rsidR="00116265" w:rsidRDefault="00116265" w:rsidP="00116265">
      <w:pPr>
        <w:pStyle w:val="NoSpacing"/>
        <w:rPr>
          <w:rFonts w:ascii="Arial Black" w:hAnsi="Arial Black"/>
          <w:sz w:val="28"/>
          <w:szCs w:val="28"/>
        </w:rPr>
      </w:pPr>
      <w:r>
        <w:rPr>
          <w:rFonts w:ascii="Arial Black" w:hAnsi="Arial Black"/>
          <w:sz w:val="28"/>
          <w:szCs w:val="28"/>
        </w:rPr>
        <w:t>14-9</w:t>
      </w:r>
      <w:r w:rsidR="008C7243">
        <w:rPr>
          <w:rFonts w:ascii="Arial Black" w:hAnsi="Arial Black"/>
          <w:sz w:val="28"/>
          <w:szCs w:val="28"/>
        </w:rPr>
        <w:t xml:space="preserve"> [also filed, Chap. 9, ADA]</w:t>
      </w:r>
    </w:p>
    <w:p w14:paraId="67278772" w14:textId="77777777" w:rsidR="00116265" w:rsidRDefault="00116265" w:rsidP="00116265">
      <w:pPr>
        <w:pStyle w:val="NoSpacing"/>
        <w:rPr>
          <w:rFonts w:ascii="Arial Black" w:hAnsi="Arial Black"/>
          <w:sz w:val="28"/>
          <w:szCs w:val="28"/>
        </w:rPr>
      </w:pPr>
    </w:p>
    <w:p w14:paraId="1D69FC85" w14:textId="7273FFC1" w:rsidR="00116265" w:rsidRDefault="00116265" w:rsidP="00116265">
      <w:pPr>
        <w:pStyle w:val="NoSpacing"/>
        <w:rPr>
          <w:rFonts w:ascii="Arial Black" w:hAnsi="Arial Black"/>
          <w:bCs/>
          <w:sz w:val="28"/>
          <w:szCs w:val="28"/>
        </w:rPr>
      </w:pPr>
      <w:r>
        <w:rPr>
          <w:rFonts w:ascii="Arial Black" w:hAnsi="Arial Black"/>
          <w:sz w:val="28"/>
          <w:szCs w:val="28"/>
        </w:rPr>
        <w:t>MD: DEPRESSION – SLOWER STATION – CASE PROCEED</w:t>
      </w:r>
    </w:p>
    <w:p w14:paraId="06092CBF" w14:textId="77777777" w:rsidR="00116265" w:rsidRDefault="00116265" w:rsidP="00116265">
      <w:pPr>
        <w:pStyle w:val="NoSpacing"/>
        <w:rPr>
          <w:rFonts w:ascii="Arial Black" w:hAnsi="Arial Black"/>
          <w:bCs/>
          <w:sz w:val="28"/>
          <w:szCs w:val="28"/>
        </w:rPr>
      </w:pPr>
    </w:p>
    <w:p w14:paraId="2906583B" w14:textId="77777777" w:rsidR="00116265" w:rsidRDefault="00116265" w:rsidP="00116265">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2314" w:history="1">
        <w:r w:rsidRPr="003A1948">
          <w:rPr>
            <w:rStyle w:val="Hyperlink"/>
          </w:rPr>
          <w:t>https://cases.justia.com/federal/district-courts/maryland/mddce/1:2024cv03580/573207/56/0.pdf?ts=1777474810</w:t>
        </w:r>
      </w:hyperlink>
      <w:r>
        <w:t xml:space="preserve"> </w:t>
      </w:r>
    </w:p>
    <w:p w14:paraId="737395CA" w14:textId="77777777" w:rsidR="00116265" w:rsidRDefault="00116265" w:rsidP="00116265">
      <w:pPr>
        <w:pStyle w:val="NoSpacing"/>
      </w:pPr>
    </w:p>
    <w:p w14:paraId="344655BA" w14:textId="77777777" w:rsidR="00116265" w:rsidRDefault="00116265" w:rsidP="00116265">
      <w:pPr>
        <w:pStyle w:val="NoSpacing"/>
      </w:pPr>
      <w:r>
        <w:t xml:space="preserve">THE COURT HELD: </w:t>
      </w:r>
    </w:p>
    <w:p w14:paraId="0953976A" w14:textId="77777777" w:rsidR="00116265" w:rsidRDefault="00116265" w:rsidP="00116265">
      <w:pPr>
        <w:pStyle w:val="NoSpacing"/>
      </w:pPr>
    </w:p>
    <w:p w14:paraId="66E484FD" w14:textId="77777777" w:rsidR="00116265" w:rsidRDefault="00116265" w:rsidP="00116265">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67CEC2B0" w14:textId="77777777" w:rsidR="00116265" w:rsidRDefault="00116265" w:rsidP="00116265">
      <w:pPr>
        <w:pStyle w:val="NoSpacing"/>
        <w:ind w:left="720"/>
      </w:pPr>
    </w:p>
    <w:p w14:paraId="020FBF8B" w14:textId="77777777" w:rsidR="00116265" w:rsidRDefault="00116265" w:rsidP="00116265">
      <w:pPr>
        <w:pStyle w:val="NoSpacing"/>
        <w:ind w:left="720"/>
      </w:pPr>
      <w:r>
        <w:t>***</w:t>
      </w:r>
    </w:p>
    <w:p w14:paraId="3133F6A9" w14:textId="77777777" w:rsidR="00116265" w:rsidRDefault="00116265" w:rsidP="00116265">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318A8FF5" w14:textId="77777777" w:rsidR="00116265" w:rsidRDefault="00116265" w:rsidP="00116265">
      <w:pPr>
        <w:pStyle w:val="NoSpacing"/>
        <w:ind w:left="720"/>
      </w:pPr>
    </w:p>
    <w:p w14:paraId="2BC17D53" w14:textId="77777777" w:rsidR="00116265" w:rsidRDefault="00116265" w:rsidP="00116265">
      <w:pPr>
        <w:pStyle w:val="NoSpacing"/>
        <w:ind w:left="720"/>
      </w:pPr>
      <w:r>
        <w:t>***</w:t>
      </w:r>
    </w:p>
    <w:p w14:paraId="38F1B265" w14:textId="77777777" w:rsidR="00116265" w:rsidRDefault="00116265" w:rsidP="00116265">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2B558CFB" w14:textId="77777777" w:rsidR="00116265" w:rsidRDefault="00116265" w:rsidP="00116265">
      <w:pPr>
        <w:pStyle w:val="NoSpacing"/>
        <w:ind w:left="720"/>
      </w:pPr>
    </w:p>
    <w:p w14:paraId="0C0E4D2F" w14:textId="77777777" w:rsidR="00116265" w:rsidRDefault="00116265" w:rsidP="00116265">
      <w:pPr>
        <w:pStyle w:val="NoSpacing"/>
        <w:ind w:left="720"/>
      </w:pPr>
      <w:r>
        <w:t>***</w:t>
      </w:r>
    </w:p>
    <w:p w14:paraId="1BB3A8F1" w14:textId="77777777" w:rsidR="00116265" w:rsidRDefault="00116265" w:rsidP="00116265">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5664E71D" w14:textId="77777777" w:rsidR="00116265" w:rsidRDefault="00116265" w:rsidP="00116265">
      <w:pPr>
        <w:pStyle w:val="NoSpacing"/>
        <w:ind w:left="720"/>
      </w:pPr>
    </w:p>
    <w:p w14:paraId="78031AE6" w14:textId="77777777" w:rsidR="00116265" w:rsidRPr="004A2357" w:rsidRDefault="00116265" w:rsidP="00116265">
      <w:pPr>
        <w:rPr>
          <w:b/>
          <w:bCs/>
        </w:rPr>
      </w:pPr>
      <w:r>
        <w:rPr>
          <w:b/>
        </w:rPr>
        <w:t>Legal lesson learned: The firefighter has burden of proof in this ADA case; permanent assignment to a slower station is a unique request for “reasonable accommodation.”</w:t>
      </w:r>
    </w:p>
    <w:p w14:paraId="5891AC5A" w14:textId="77777777" w:rsidR="0091755D" w:rsidRDefault="0091755D" w:rsidP="00F326E5">
      <w:pPr>
        <w:pStyle w:val="NoSpacing"/>
        <w:rPr>
          <w:rFonts w:ascii="Arial Black" w:hAnsi="Arial Black"/>
          <w:sz w:val="28"/>
          <w:szCs w:val="28"/>
        </w:rPr>
      </w:pPr>
    </w:p>
    <w:p w14:paraId="4B42105B" w14:textId="77777777" w:rsidR="0091755D" w:rsidRDefault="0091755D" w:rsidP="00F326E5">
      <w:pPr>
        <w:pStyle w:val="NoSpacing"/>
        <w:rPr>
          <w:rFonts w:ascii="Arial Black" w:hAnsi="Arial Black"/>
          <w:sz w:val="28"/>
          <w:szCs w:val="28"/>
        </w:rPr>
      </w:pPr>
    </w:p>
    <w:p w14:paraId="3218205F" w14:textId="77777777" w:rsidR="0091755D" w:rsidRDefault="0091755D" w:rsidP="00F326E5">
      <w:pPr>
        <w:pStyle w:val="NoSpacing"/>
        <w:rPr>
          <w:rFonts w:ascii="Arial Black" w:hAnsi="Arial Black"/>
          <w:sz w:val="28"/>
          <w:szCs w:val="28"/>
        </w:rPr>
      </w:pPr>
    </w:p>
    <w:p w14:paraId="40116357" w14:textId="407A6241" w:rsidR="0026368F" w:rsidRDefault="0026368F" w:rsidP="00F326E5">
      <w:pPr>
        <w:pStyle w:val="NoSpacing"/>
        <w:rPr>
          <w:rFonts w:ascii="Arial Black" w:hAnsi="Arial Black"/>
          <w:sz w:val="28"/>
          <w:szCs w:val="28"/>
        </w:rPr>
      </w:pPr>
      <w:r>
        <w:rPr>
          <w:rFonts w:ascii="Arial Black" w:hAnsi="Arial Black"/>
          <w:sz w:val="28"/>
          <w:szCs w:val="28"/>
        </w:rPr>
        <w:t>14-9</w:t>
      </w:r>
    </w:p>
    <w:p w14:paraId="5AA0CFDE" w14:textId="77777777" w:rsidR="008F1833" w:rsidRDefault="008F1833" w:rsidP="0026368F">
      <w:pPr>
        <w:pStyle w:val="NoSpacing"/>
        <w:rPr>
          <w:rFonts w:ascii="Arial Black" w:hAnsi="Arial Black"/>
          <w:b/>
          <w:sz w:val="28"/>
          <w:szCs w:val="28"/>
        </w:rPr>
      </w:pPr>
    </w:p>
    <w:p w14:paraId="4791AD03" w14:textId="0F44BA03" w:rsidR="0026368F" w:rsidRPr="008F1833" w:rsidRDefault="0026368F" w:rsidP="0026368F">
      <w:pPr>
        <w:pStyle w:val="NoSpacing"/>
        <w:rPr>
          <w:rFonts w:ascii="Times New Roman" w:hAnsi="Times New Roman"/>
          <w:b/>
          <w:sz w:val="24"/>
          <w:szCs w:val="24"/>
        </w:rPr>
      </w:pPr>
      <w:r>
        <w:rPr>
          <w:rFonts w:ascii="Arial Black" w:hAnsi="Arial Black"/>
          <w:b/>
          <w:sz w:val="28"/>
          <w:szCs w:val="28"/>
        </w:rPr>
        <w:t>FL: FF FIRED – ANNUAL PHYSICAL – TRIED AVOID TB TEST</w:t>
      </w:r>
      <w:r w:rsidR="008F1833">
        <w:rPr>
          <w:rFonts w:ascii="Arial Black" w:hAnsi="Arial Black"/>
          <w:b/>
          <w:sz w:val="28"/>
          <w:szCs w:val="28"/>
        </w:rPr>
        <w:t xml:space="preserve"> </w:t>
      </w:r>
      <w:r w:rsidR="008F1833" w:rsidRPr="008F1833">
        <w:rPr>
          <w:rFonts w:ascii="Times New Roman" w:hAnsi="Times New Roman"/>
          <w:b/>
          <w:sz w:val="24"/>
          <w:szCs w:val="24"/>
        </w:rPr>
        <w:t>[also filed, Chap. 16]</w:t>
      </w:r>
    </w:p>
    <w:p w14:paraId="3AA73271" w14:textId="77777777" w:rsidR="0026368F" w:rsidRDefault="0026368F" w:rsidP="0026368F">
      <w:pPr>
        <w:pStyle w:val="NoSpacing"/>
        <w:rPr>
          <w:b/>
        </w:rPr>
      </w:pPr>
    </w:p>
    <w:p w14:paraId="3B46F789" w14:textId="77777777" w:rsidR="0026368F" w:rsidRPr="00FF0E3F" w:rsidRDefault="0026368F" w:rsidP="0026368F">
      <w:pPr>
        <w:pStyle w:val="NoSpacing"/>
        <w:rPr>
          <w:bCs/>
        </w:rPr>
      </w:pPr>
      <w:r w:rsidRPr="001D2253">
        <w:t xml:space="preserve">On February 6, 2026, in </w:t>
      </w:r>
      <w:r w:rsidRPr="001D2253">
        <w:rPr>
          <w:u w:val="single"/>
        </w:rPr>
        <w:t>Nathaniel Griffin v. City of South Pasadena and The St. Petersburg International Association of Fire Fighters, Local 747</w:t>
      </w:r>
      <w:r w:rsidRPr="001D2253">
        <w:t xml:space="preserve">, </w:t>
      </w:r>
      <w:r>
        <w:t xml:space="preserve">U.S. District Court Judge William F. Jung, </w:t>
      </w:r>
      <w:r w:rsidRPr="00FF0E3F">
        <w:t>United States District Court for the Middle District of Florida, Tampa Division</w:t>
      </w:r>
      <w:r>
        <w:t xml:space="preserve">, dismissed the lawsuit against both the </w:t>
      </w:r>
      <w:proofErr w:type="gramStart"/>
      <w:r>
        <w:t>City</w:t>
      </w:r>
      <w:proofErr w:type="gramEnd"/>
      <w:r>
        <w:t xml:space="preserve"> and the Local.  Firefighter, paramedic Griffin, on </w:t>
      </w:r>
      <w:r w:rsidRPr="00F470E1">
        <w:t xml:space="preserve">August 12, </w:t>
      </w:r>
      <w:proofErr w:type="gramStart"/>
      <w:r w:rsidRPr="00F470E1">
        <w:t>2022</w:t>
      </w:r>
      <w:proofErr w:type="gramEnd"/>
      <w:r w:rsidRPr="00F470E1">
        <w:t xml:space="preserve"> underwent his annual physical examination at Life Scan Wellness Center</w:t>
      </w:r>
      <w:r>
        <w:t xml:space="preserve">; he </w:t>
      </w:r>
      <w:r w:rsidRPr="00F470E1">
        <w:t>completed most of the medical examination without issue, except for the TB test</w:t>
      </w:r>
      <w:r>
        <w:t xml:space="preserve">, when asked </w:t>
      </w:r>
      <w:r w:rsidRPr="00F470E1">
        <w:t>the Life Scan technician to skip the TB test but fraudulently report that a test had been done.</w:t>
      </w:r>
      <w:r>
        <w:t xml:space="preserve">  The Fire Chief gave the plaintiff an opportunity to </w:t>
      </w:r>
      <w:proofErr w:type="gramStart"/>
      <w:r>
        <w:t>resigned</w:t>
      </w:r>
      <w:proofErr w:type="gramEnd"/>
      <w:r>
        <w:t xml:space="preserve">; he refused and was fired on September 13, 2022. </w:t>
      </w:r>
      <w:hyperlink r:id="rId2315" w:history="1">
        <w:r w:rsidRPr="00C72C21">
          <w:rPr>
            <w:rStyle w:val="Hyperlink"/>
          </w:rPr>
          <w:t>https://cases.justia.com/federal/district-courts/florida/flmdce/8:2025cv02787/448658/35/0.pdf</w:t>
        </w:r>
      </w:hyperlink>
      <w:r>
        <w:t xml:space="preserve"> </w:t>
      </w:r>
    </w:p>
    <w:p w14:paraId="2C931E7C" w14:textId="77777777" w:rsidR="0026368F" w:rsidRDefault="0026368F" w:rsidP="0026368F">
      <w:pPr>
        <w:pStyle w:val="NoSpacing"/>
        <w:rPr>
          <w:bCs/>
        </w:rPr>
      </w:pPr>
    </w:p>
    <w:p w14:paraId="23053B1D" w14:textId="77777777" w:rsidR="0026368F" w:rsidRDefault="0026368F" w:rsidP="0026368F">
      <w:pPr>
        <w:pStyle w:val="NoSpacing"/>
      </w:pPr>
      <w:r>
        <w:t>THE COURT HELD: “</w:t>
      </w:r>
      <w:r w:rsidRPr="005C306F">
        <w:t>When evaluating the results of the physical examination, the CBA requires the physician to follow the national guidelines set forth in the National Fire Protection Association (</w:t>
      </w:r>
      <w:r>
        <w:t>‘</w:t>
      </w:r>
      <w:r w:rsidRPr="005C306F">
        <w:t>NFPA</w:t>
      </w:r>
      <w:r>
        <w:t>’</w:t>
      </w:r>
      <w:r w:rsidRPr="005C306F">
        <w:t>) 1582, Chapter 9</w:t>
      </w:r>
      <w:r>
        <w:t xml:space="preserve">…. </w:t>
      </w:r>
      <w:r w:rsidRPr="005C306F">
        <w:t xml:space="preserve"> As relevant to this lawsuit, the annual physical examination includes tuberculosis (</w:t>
      </w:r>
      <w:r>
        <w:t>‘</w:t>
      </w:r>
      <w:r w:rsidRPr="005C306F">
        <w:t>TB</w:t>
      </w:r>
      <w:r>
        <w:t>’</w:t>
      </w:r>
      <w:r w:rsidRPr="005C306F">
        <w:t>) testing, which may require an additional chest X-ray if the TB test comes back positive</w:t>
      </w:r>
      <w:r>
        <w:t xml:space="preserve">…. </w:t>
      </w:r>
      <w:r w:rsidRPr="005C306F">
        <w:t xml:space="preserve">Plaintiff alleges that at some unspecified point during the CBA negotiations, he objected to the CBA agreement due </w:t>
      </w:r>
      <w:r>
        <w:t>‘</w:t>
      </w:r>
      <w:r w:rsidRPr="005C306F">
        <w:t>to the breath [sic] and intrusive nature of the mandatory medical examinations.</w:t>
      </w:r>
      <w:r>
        <w:t xml:space="preserve">’ … </w:t>
      </w:r>
      <w:r w:rsidRPr="005C306F">
        <w:t xml:space="preserve">Plaintiff further alleges that he continually voiced his objection to the CBA, even after the agreement was adopted on August 28, 2019. </w:t>
      </w:r>
      <w:r>
        <w:t xml:space="preserve">***  </w:t>
      </w:r>
      <w:r w:rsidRPr="00901B14">
        <w:t>Based on a careful review of the pleadings, the Court grants the City's motion to dismiss. As discussed below, Plaintiff has failed to state a claim under the ADA, GINA, Title VII, and Section 1983</w:t>
      </w:r>
      <w:r>
        <w:t xml:space="preserve">…. </w:t>
      </w:r>
      <w:r w:rsidRPr="003E7359">
        <w:t xml:space="preserve">Here, even when accepting the meager factual allegations as true, Plaintiff fails to allege any Fourth Amendment violation since the Complaint fails to allege that any private interests outweigh the City's interest in public safety. The Complaint vaguely asserts that the August 2022 physical examination violated </w:t>
      </w:r>
      <w:r>
        <w:t>‘</w:t>
      </w:r>
      <w:r w:rsidRPr="003E7359">
        <w:t xml:space="preserve">Plaintiff's personal privacy </w:t>
      </w:r>
      <w:proofErr w:type="gramStart"/>
      <w:r w:rsidRPr="003E7359">
        <w:t>rights</w:t>
      </w:r>
      <w:r>
        <w:t>’</w:t>
      </w:r>
      <w:proofErr w:type="gramEnd"/>
      <w:r w:rsidRPr="003E7359">
        <w:t xml:space="preserve"> due to the exam's </w:t>
      </w:r>
      <w:r>
        <w:t>‘</w:t>
      </w:r>
      <w:r w:rsidRPr="003E7359">
        <w:t>breadth and intrusive nature.</w:t>
      </w:r>
      <w:r>
        <w:t xml:space="preserve">’ … </w:t>
      </w:r>
      <w:r w:rsidRPr="003E7359">
        <w:t xml:space="preserve">But Plaintiff never specifies what aspect of the physical examination was so </w:t>
      </w:r>
      <w:r>
        <w:t>‘</w:t>
      </w:r>
      <w:proofErr w:type="spellStart"/>
      <w:r w:rsidRPr="003E7359">
        <w:t>intrusiv</w:t>
      </w:r>
      <w:proofErr w:type="spellEnd"/>
      <w:r>
        <w:t>’</w:t>
      </w:r>
      <w:r w:rsidRPr="003E7359">
        <w:t xml:space="preserve"> and overbroad that it violated Plaintiff's diminished expectation of privacy due to his job as a firefighter and paramedic. </w:t>
      </w:r>
      <w:r w:rsidRPr="003E7359">
        <w:rPr>
          <w:i/>
          <w:iCs/>
        </w:rPr>
        <w:t xml:space="preserve">See </w:t>
      </w:r>
      <w:proofErr w:type="spellStart"/>
      <w:r w:rsidRPr="003E7359">
        <w:rPr>
          <w:i/>
          <w:iCs/>
        </w:rPr>
        <w:t>Nat'l</w:t>
      </w:r>
      <w:proofErr w:type="spellEnd"/>
      <w:r w:rsidRPr="003E7359">
        <w:rPr>
          <w:i/>
          <w:iCs/>
        </w:rPr>
        <w:t xml:space="preserve"> Treasury Emps. Union v. Von Raab</w:t>
      </w:r>
      <w:r w:rsidRPr="003E7359">
        <w:t>, 489 U.S. 656, 671 (1989) (</w:t>
      </w:r>
      <w:r>
        <w:t>‘</w:t>
      </w:r>
      <w:r w:rsidRPr="003E7359">
        <w:t>[I]t is plain that certain forms of public employment may diminish privacy expectations even with respect to . . . personal searches.</w:t>
      </w:r>
      <w:r>
        <w:t>’</w:t>
      </w:r>
      <w:r w:rsidRPr="003E7359">
        <w:t xml:space="preserve">); </w:t>
      </w:r>
      <w:r w:rsidRPr="003E7359">
        <w:rPr>
          <w:i/>
          <w:iCs/>
        </w:rPr>
        <w:t>Scott</w:t>
      </w:r>
      <w:r w:rsidRPr="003E7359">
        <w:t>, 717 F.3d at 869 (</w:t>
      </w:r>
      <w:r>
        <w:t>‘</w:t>
      </w:r>
      <w:r w:rsidRPr="003E7359">
        <w:t xml:space="preserve">Another category-a natural extension of the Supreme Court's holding in </w:t>
      </w:r>
      <w:r w:rsidRPr="003E7359">
        <w:rPr>
          <w:i/>
          <w:iCs/>
        </w:rPr>
        <w:t>Von Raab</w:t>
      </w:r>
      <w:r w:rsidRPr="003E7359">
        <w:t>-encompasses . . . firefighters.</w:t>
      </w:r>
      <w:r>
        <w:t>’</w:t>
      </w:r>
      <w:r w:rsidRPr="003E7359">
        <w:t xml:space="preserve">); </w:t>
      </w:r>
      <w:r w:rsidRPr="003E7359">
        <w:rPr>
          <w:i/>
          <w:iCs/>
        </w:rPr>
        <w:t>Williams v. Bd. of Regents of Univ. Sys. of Georgia</w:t>
      </w:r>
      <w:r w:rsidRPr="003E7359">
        <w:t>, No. CV 120-100, 2021 WL 2827293, at *7 (S.D. Ga. July 7, 2021) (dismissing the plaintiff's Fourth Amendment search and seizure claim, as her employer's drug test fell under the special needs exception).</w:t>
      </w:r>
      <w:r>
        <w:t xml:space="preserve"> ***  Local 747’s motion seeks dismissal of the single ADA discrimination claim</w:t>
      </w:r>
    </w:p>
    <w:p w14:paraId="1AB986A1" w14:textId="77777777" w:rsidR="0026368F" w:rsidRDefault="0026368F" w:rsidP="0026368F">
      <w:pPr>
        <w:pStyle w:val="NoSpacing"/>
      </w:pPr>
      <w:r>
        <w:t xml:space="preserve">in Count IX. Local 747 asserts that the ADA claim is time-barred since Plaintiff ‘failed to file a charge against the Local challenging the medical exam requirement at issue within 300 days after Local 747 entered into the CBA on August 28, 2019.’ … Plaintiff’s discrimination charge must have been filed with the FCHR or the EEOC within 300 days—i.e., by June 23, 2020.” </w:t>
      </w:r>
    </w:p>
    <w:p w14:paraId="5A6E7FB7" w14:textId="77777777" w:rsidR="0026368F" w:rsidRDefault="0026368F" w:rsidP="0026368F">
      <w:pPr>
        <w:pStyle w:val="NoSpacing"/>
      </w:pPr>
    </w:p>
    <w:p w14:paraId="5C267648" w14:textId="77777777" w:rsidR="0026368F" w:rsidRDefault="0026368F" w:rsidP="0026368F">
      <w:pPr>
        <w:pStyle w:val="NoSpacing"/>
        <w:rPr>
          <w:b/>
          <w:bCs/>
        </w:rPr>
      </w:pPr>
      <w:r w:rsidRPr="00C65E3A">
        <w:rPr>
          <w:b/>
        </w:rPr>
        <w:t xml:space="preserve">Legal lesson learned: </w:t>
      </w:r>
      <w:r>
        <w:rPr>
          <w:b/>
        </w:rPr>
        <w:t xml:space="preserve">Very unusual to have a firefighter complain about annual physical. </w:t>
      </w:r>
    </w:p>
    <w:p w14:paraId="4A948A16" w14:textId="77777777" w:rsidR="0026368F" w:rsidRDefault="0026368F" w:rsidP="0026368F">
      <w:pPr>
        <w:pStyle w:val="NoSpacing"/>
        <w:rPr>
          <w:b/>
          <w:bCs/>
        </w:rPr>
      </w:pPr>
      <w:r>
        <w:rPr>
          <w:b/>
        </w:rPr>
        <w:tab/>
      </w:r>
      <w:r w:rsidRPr="00EA4E78">
        <w:t>Note: In Footnote 7, the Court wrote</w:t>
      </w:r>
      <w:r>
        <w:rPr>
          <w:b/>
        </w:rPr>
        <w:t xml:space="preserve">: </w:t>
      </w:r>
    </w:p>
    <w:p w14:paraId="3F825757" w14:textId="77777777" w:rsidR="0026368F" w:rsidRDefault="0026368F" w:rsidP="0026368F">
      <w:pPr>
        <w:pStyle w:val="NoSpacing"/>
        <w:ind w:left="720"/>
      </w:pPr>
      <w:r>
        <w:rPr>
          <w:b/>
        </w:rPr>
        <w:t>“</w:t>
      </w:r>
      <w:r w:rsidRPr="00975937">
        <w:t xml:space="preserve">Firefighters reside in close quarters. They must be strong and hale. They must be able to provide emergency lifesaving techniques in difficult circumstances to people of varying health. </w:t>
      </w:r>
      <w:r w:rsidRPr="00975937">
        <w:rPr>
          <w:i/>
          <w:iCs/>
        </w:rPr>
        <w:t>See Cremeens v. City of Montgomery, Ala.</w:t>
      </w:r>
      <w:r w:rsidRPr="00975937">
        <w:t xml:space="preserve">, 427 </w:t>
      </w:r>
      <w:proofErr w:type="spellStart"/>
      <w:r w:rsidRPr="00975937">
        <w:t>Fed.Appx</w:t>
      </w:r>
      <w:proofErr w:type="spellEnd"/>
      <w:r w:rsidRPr="00975937">
        <w:t>. 855, 858 (11th Cir. 2011) (</w:t>
      </w:r>
      <w:r>
        <w:t>‘</w:t>
      </w:r>
      <w:r w:rsidRPr="00975937">
        <w:t>The physical fitness requirements are directly related to a Fire Investigator's duty to fight fires, and they are necessary to ensure that Fire Investigators are able to perform that function when called upon to do so.).</w:t>
      </w:r>
      <w:r>
        <w:t>”</w:t>
      </w:r>
    </w:p>
    <w:p w14:paraId="065D8D49" w14:textId="77777777" w:rsidR="0026368F" w:rsidRPr="003E7359" w:rsidRDefault="0026368F" w:rsidP="0026368F">
      <w:pPr>
        <w:pStyle w:val="NoSpacing"/>
        <w:rPr>
          <w:b/>
          <w:bCs/>
        </w:rPr>
      </w:pPr>
    </w:p>
    <w:p w14:paraId="0C4ED6C3" w14:textId="77777777" w:rsidR="0026368F" w:rsidRDefault="0026368F" w:rsidP="00F326E5">
      <w:pPr>
        <w:pStyle w:val="NoSpacing"/>
        <w:rPr>
          <w:rFonts w:ascii="Arial Black" w:hAnsi="Arial Black"/>
          <w:sz w:val="28"/>
          <w:szCs w:val="28"/>
        </w:rPr>
      </w:pPr>
    </w:p>
    <w:p w14:paraId="4C3FD5B9" w14:textId="77777777" w:rsidR="0026368F" w:rsidRDefault="0026368F" w:rsidP="00F326E5">
      <w:pPr>
        <w:pStyle w:val="NoSpacing"/>
        <w:rPr>
          <w:rFonts w:ascii="Arial Black" w:hAnsi="Arial Black"/>
          <w:sz w:val="28"/>
          <w:szCs w:val="28"/>
        </w:rPr>
      </w:pPr>
    </w:p>
    <w:p w14:paraId="5F20C882" w14:textId="761CDC64" w:rsidR="006A02A4" w:rsidRDefault="009002CD" w:rsidP="00F326E5">
      <w:pPr>
        <w:pStyle w:val="NoSpacing"/>
        <w:rPr>
          <w:rFonts w:ascii="Arial Black" w:hAnsi="Arial Black"/>
          <w:sz w:val="28"/>
          <w:szCs w:val="28"/>
        </w:rPr>
      </w:pPr>
      <w:r>
        <w:rPr>
          <w:rFonts w:ascii="Arial Black" w:hAnsi="Arial Black"/>
          <w:sz w:val="28"/>
          <w:szCs w:val="28"/>
        </w:rPr>
        <w:t>14-8</w:t>
      </w:r>
    </w:p>
    <w:p w14:paraId="53F016D7" w14:textId="77777777" w:rsidR="0026368F" w:rsidRDefault="0026368F" w:rsidP="009002CD">
      <w:pPr>
        <w:rPr>
          <w:rFonts w:ascii="Arial Black" w:hAnsi="Arial Black"/>
          <w:sz w:val="28"/>
          <w:szCs w:val="28"/>
        </w:rPr>
      </w:pPr>
    </w:p>
    <w:p w14:paraId="0725B673" w14:textId="422D039B" w:rsidR="009002CD" w:rsidRDefault="009002CD" w:rsidP="009002CD">
      <w:pPr>
        <w:rPr>
          <w:rFonts w:ascii="Arial Black" w:hAnsi="Arial Black"/>
          <w:bCs/>
          <w:sz w:val="28"/>
          <w:szCs w:val="28"/>
        </w:rPr>
      </w:pPr>
      <w:r>
        <w:rPr>
          <w:rFonts w:ascii="Arial Black" w:hAnsi="Arial Black"/>
          <w:sz w:val="28"/>
          <w:szCs w:val="28"/>
        </w:rPr>
        <w:t>NY: VOL. FF - “PARTIALLY DISABLED” – DIDN’T TELL FD</w:t>
      </w:r>
    </w:p>
    <w:p w14:paraId="4CD507DC" w14:textId="77777777" w:rsidR="009002CD" w:rsidRPr="009002CD" w:rsidRDefault="009002CD" w:rsidP="009002CD">
      <w:pPr>
        <w:rPr>
          <w:rFonts w:ascii="Times New Roman" w:hAnsi="Times New Roman"/>
          <w:bCs/>
          <w:sz w:val="24"/>
          <w:szCs w:val="24"/>
        </w:rPr>
      </w:pPr>
      <w:r w:rsidRPr="009002CD">
        <w:rPr>
          <w:rFonts w:ascii="Times New Roman" w:hAnsi="Times New Roman"/>
          <w:sz w:val="24"/>
          <w:szCs w:val="24"/>
        </w:rPr>
        <w:t xml:space="preserve">On April 30, 2025, </w:t>
      </w:r>
      <w:r w:rsidRPr="009002CD">
        <w:rPr>
          <w:rFonts w:ascii="Times New Roman" w:hAnsi="Times New Roman"/>
          <w:sz w:val="24"/>
          <w:szCs w:val="24"/>
          <w:u w:val="single"/>
        </w:rPr>
        <w:t>In the Matter of Robert Correra v. Millwood Fire District, et al</w:t>
      </w:r>
      <w:r w:rsidRPr="009002CD">
        <w:rPr>
          <w:rFonts w:ascii="Times New Roman" w:hAnsi="Times New Roman"/>
          <w:sz w:val="24"/>
          <w:szCs w:val="24"/>
        </w:rPr>
        <w:t xml:space="preserve">., the Supreme Court of New York, Second Department, held (4 to 0) that the trial court properly adopted the report and recommendation of the Hearing Officer, which found the volunteer firefighter (volunteer since 2003; terminated Jan. 17, 2022) guilty of two charges: (1) provided false information regarding his failure to disclose his designation by the Workers' Compensation Board as ‘permanently, partially disabled’ on a form in connection with the 2020 physical examination; and (2) misconduct and insubordination, for improperly obtaining a physical examination while his operational privileges were suspended and for failing to provide a medical provider with the current job performance requirements for a firefighter. </w:t>
      </w:r>
      <w:hyperlink r:id="rId2316" w:history="1">
        <w:r w:rsidRPr="009002CD">
          <w:rPr>
            <w:rStyle w:val="Hyperlink"/>
            <w:rFonts w:ascii="Times New Roman" w:hAnsi="Times New Roman"/>
            <w:sz w:val="24"/>
            <w:szCs w:val="24"/>
          </w:rPr>
          <w:t>https://cdn.ca9.uscourts.gov/datastore/memoranda/2025/04/30/24-3195.pdf</w:t>
        </w:r>
      </w:hyperlink>
      <w:r w:rsidRPr="009002CD">
        <w:rPr>
          <w:rFonts w:ascii="Times New Roman" w:hAnsi="Times New Roman"/>
          <w:sz w:val="24"/>
          <w:szCs w:val="24"/>
        </w:rPr>
        <w:t xml:space="preserve"> </w:t>
      </w:r>
    </w:p>
    <w:p w14:paraId="41FF3899" w14:textId="77777777" w:rsidR="00AA11C3" w:rsidRPr="00AA11C3" w:rsidRDefault="00AA11C3" w:rsidP="00AA11C3">
      <w:pPr>
        <w:rPr>
          <w:rFonts w:ascii="Times New Roman" w:hAnsi="Times New Roman"/>
          <w:b/>
          <w:sz w:val="24"/>
          <w:szCs w:val="24"/>
        </w:rPr>
      </w:pPr>
      <w:r w:rsidRPr="00AA11C3">
        <w:rPr>
          <w:rFonts w:ascii="Times New Roman" w:hAnsi="Times New Roman"/>
          <w:b/>
          <w:sz w:val="24"/>
          <w:szCs w:val="24"/>
        </w:rPr>
        <w:t>Legal Lesson Learned: A firefighter’s failure to disclose that he is “permanently, partially disabled’ is threat to fellow firefighters and the public.</w:t>
      </w:r>
    </w:p>
    <w:p w14:paraId="2487C1E2" w14:textId="77777777" w:rsidR="009002CD" w:rsidRDefault="009002CD" w:rsidP="00F326E5">
      <w:pPr>
        <w:pStyle w:val="NoSpacing"/>
        <w:rPr>
          <w:rFonts w:ascii="Arial Black" w:hAnsi="Arial Black"/>
          <w:sz w:val="28"/>
          <w:szCs w:val="28"/>
        </w:rPr>
      </w:pPr>
    </w:p>
    <w:p w14:paraId="1E94C294" w14:textId="77777777" w:rsidR="009002CD" w:rsidRDefault="009002CD" w:rsidP="00F326E5">
      <w:pPr>
        <w:pStyle w:val="NoSpacing"/>
        <w:rPr>
          <w:rFonts w:ascii="Arial Black" w:hAnsi="Arial Black"/>
          <w:sz w:val="28"/>
          <w:szCs w:val="28"/>
        </w:rPr>
      </w:pPr>
    </w:p>
    <w:p w14:paraId="38E902CA" w14:textId="77777777" w:rsidR="009002CD" w:rsidRDefault="009002CD" w:rsidP="00F326E5">
      <w:pPr>
        <w:pStyle w:val="NoSpacing"/>
        <w:rPr>
          <w:rFonts w:ascii="Arial Black" w:hAnsi="Arial Black"/>
          <w:sz w:val="28"/>
          <w:szCs w:val="28"/>
        </w:rPr>
      </w:pPr>
    </w:p>
    <w:p w14:paraId="684E347A" w14:textId="4BF9601C" w:rsidR="004A59EC" w:rsidRDefault="004A59EC" w:rsidP="00F326E5">
      <w:pPr>
        <w:pStyle w:val="NoSpacing"/>
        <w:rPr>
          <w:rFonts w:ascii="Arial Black" w:hAnsi="Arial Black"/>
          <w:sz w:val="28"/>
          <w:szCs w:val="28"/>
        </w:rPr>
      </w:pPr>
      <w:r>
        <w:rPr>
          <w:rFonts w:ascii="Arial Black" w:hAnsi="Arial Black"/>
          <w:sz w:val="28"/>
          <w:szCs w:val="28"/>
        </w:rPr>
        <w:t>14-7</w:t>
      </w:r>
    </w:p>
    <w:p w14:paraId="30D15665" w14:textId="77777777" w:rsidR="004A59EC" w:rsidRDefault="004A59EC" w:rsidP="00F326E5">
      <w:pPr>
        <w:pStyle w:val="NoSpacing"/>
        <w:rPr>
          <w:rFonts w:ascii="Arial Black" w:hAnsi="Arial Black"/>
          <w:sz w:val="28"/>
          <w:szCs w:val="28"/>
        </w:rPr>
      </w:pPr>
    </w:p>
    <w:p w14:paraId="5B3DDF47" w14:textId="573E5642" w:rsidR="004A59EC" w:rsidRPr="00085C8F" w:rsidRDefault="004A59EC" w:rsidP="004A59EC">
      <w:pPr>
        <w:pStyle w:val="NoSpacing"/>
        <w:rPr>
          <w:rFonts w:ascii="Arial Black" w:hAnsi="Arial Black"/>
          <w:b/>
          <w:sz w:val="28"/>
          <w:szCs w:val="28"/>
        </w:rPr>
      </w:pPr>
      <w:r>
        <w:rPr>
          <w:rFonts w:ascii="Arial Black" w:hAnsi="Arial Black"/>
          <w:b/>
          <w:sz w:val="28"/>
          <w:szCs w:val="28"/>
        </w:rPr>
        <w:t xml:space="preserve">AR:  </w:t>
      </w:r>
      <w:r w:rsidR="00D87B7D">
        <w:rPr>
          <w:rFonts w:ascii="Arial Black" w:hAnsi="Arial Black"/>
          <w:b/>
          <w:sz w:val="28"/>
          <w:szCs w:val="28"/>
        </w:rPr>
        <w:t xml:space="preserve">WORKING OUT - </w:t>
      </w:r>
      <w:r>
        <w:rPr>
          <w:rFonts w:ascii="Arial Black" w:hAnsi="Arial Black"/>
          <w:b/>
          <w:sz w:val="28"/>
          <w:szCs w:val="28"/>
        </w:rPr>
        <w:t xml:space="preserve">INJURED LUMBAR – WORK COMP </w:t>
      </w:r>
    </w:p>
    <w:p w14:paraId="6FAB9F5A" w14:textId="77777777" w:rsidR="004A59EC" w:rsidRDefault="004A59EC" w:rsidP="004A59EC">
      <w:pPr>
        <w:pStyle w:val="NoSpacing"/>
        <w:rPr>
          <w:b/>
        </w:rPr>
      </w:pPr>
    </w:p>
    <w:p w14:paraId="0B65BC26" w14:textId="77777777" w:rsidR="00E077F6" w:rsidRPr="00932110" w:rsidRDefault="00E077F6" w:rsidP="00932110">
      <w:pPr>
        <w:pStyle w:val="NoSpacing"/>
        <w:rPr>
          <w:rFonts w:ascii="Times New Roman" w:hAnsi="Times New Roman"/>
          <w:bCs/>
          <w:sz w:val="24"/>
          <w:szCs w:val="24"/>
        </w:rPr>
      </w:pPr>
      <w:r w:rsidRPr="00932110">
        <w:rPr>
          <w:rFonts w:ascii="Times New Roman" w:hAnsi="Times New Roman"/>
          <w:sz w:val="24"/>
          <w:szCs w:val="24"/>
        </w:rPr>
        <w:t xml:space="preserve">On Dec. 13, 2024, in </w:t>
      </w:r>
      <w:r w:rsidRPr="00932110">
        <w:rPr>
          <w:rFonts w:ascii="Times New Roman" w:hAnsi="Times New Roman"/>
          <w:sz w:val="24"/>
          <w:szCs w:val="24"/>
          <w:u w:val="single"/>
        </w:rPr>
        <w:t>City of Tucson v. The Indus. Comm'n of Ariz</w:t>
      </w:r>
      <w:r w:rsidRPr="00932110">
        <w:rPr>
          <w:rFonts w:ascii="Times New Roman" w:hAnsi="Times New Roman"/>
          <w:sz w:val="24"/>
          <w:szCs w:val="24"/>
        </w:rPr>
        <w:t xml:space="preserve">., Court of Appeals of Arizona, Second Division held (3 to 0) that ALJ properly found Spitzer's lumbar surgery claim compensable.  The Court held: “The City contends Dr. Jeong's testimony was ‘foundationally deficient’ and should not have been used as competent medical evidence to support the ALJ's award of a compensable claim. We conclude otherwise. Jeong, Spitzer's surgeon, testified that the ‘deadlift episode’ was ‘more likely than not’ the cause of Spitzer's lumbar disk herniation. Dr. Eskay-Auerbach, the City's expert, opined that Spitzer's workout resulted in a 'lumbar sprain’ and noted that deadlifting is ‘not an activity that causes disk herniations.’ Eskay-Auerbach attributed Spitzer's disk herniation to ‘age related degenerative changes.’"  </w:t>
      </w:r>
      <w:hyperlink r:id="rId2317" w:history="1">
        <w:r w:rsidRPr="00932110">
          <w:rPr>
            <w:rStyle w:val="Hyperlink"/>
            <w:rFonts w:ascii="Times New Roman" w:hAnsi="Times New Roman"/>
            <w:sz w:val="24"/>
            <w:szCs w:val="24"/>
          </w:rPr>
          <w:t>https://casetext.com/case/city-of-tucson-v-the-indus-commn-of-ariz</w:t>
        </w:r>
      </w:hyperlink>
    </w:p>
    <w:p w14:paraId="58EFB061" w14:textId="77777777" w:rsidR="00E077F6" w:rsidRDefault="00E077F6" w:rsidP="00E077F6">
      <w:pPr>
        <w:ind w:left="720"/>
      </w:pPr>
    </w:p>
    <w:p w14:paraId="260D2380" w14:textId="38D0F8A9" w:rsidR="004A59EC" w:rsidRPr="004A59EC" w:rsidRDefault="004A59EC" w:rsidP="004A59EC">
      <w:pPr>
        <w:pStyle w:val="NoSpacing"/>
        <w:rPr>
          <w:rFonts w:ascii="Times New Roman" w:hAnsi="Times New Roman"/>
          <w:bCs/>
          <w:sz w:val="24"/>
          <w:szCs w:val="24"/>
        </w:rPr>
      </w:pPr>
      <w:r w:rsidRPr="004A59EC">
        <w:rPr>
          <w:rFonts w:ascii="Times New Roman" w:hAnsi="Times New Roman"/>
          <w:sz w:val="24"/>
          <w:szCs w:val="24"/>
        </w:rPr>
        <w:t>The Court held:</w:t>
      </w:r>
    </w:p>
    <w:p w14:paraId="6117BD3D" w14:textId="77777777" w:rsidR="004A59EC" w:rsidRPr="004A59EC" w:rsidRDefault="004A59EC" w:rsidP="004A59EC">
      <w:pPr>
        <w:pStyle w:val="NoSpacing"/>
        <w:ind w:left="720"/>
        <w:rPr>
          <w:rFonts w:ascii="Times New Roman" w:hAnsi="Times New Roman"/>
          <w:bCs/>
          <w:sz w:val="24"/>
          <w:szCs w:val="24"/>
        </w:rPr>
      </w:pPr>
    </w:p>
    <w:p w14:paraId="66C3C1E5" w14:textId="77777777" w:rsidR="004A59EC" w:rsidRPr="004A59EC" w:rsidRDefault="004A59EC" w:rsidP="004A59EC">
      <w:pPr>
        <w:pStyle w:val="NoSpacing"/>
        <w:ind w:left="720"/>
        <w:rPr>
          <w:rFonts w:ascii="Times New Roman" w:hAnsi="Times New Roman"/>
          <w:bCs/>
          <w:sz w:val="24"/>
          <w:szCs w:val="24"/>
        </w:rPr>
      </w:pPr>
      <w:r w:rsidRPr="004A59EC">
        <w:rPr>
          <w:rFonts w:ascii="Times New Roman" w:hAnsi="Times New Roman"/>
          <w:sz w:val="24"/>
          <w:szCs w:val="24"/>
        </w:rPr>
        <w:t xml:space="preserve">“The </w:t>
      </w:r>
      <w:proofErr w:type="gramStart"/>
      <w:r w:rsidRPr="004A59EC">
        <w:rPr>
          <w:rFonts w:ascii="Times New Roman" w:hAnsi="Times New Roman"/>
          <w:sz w:val="24"/>
          <w:szCs w:val="24"/>
        </w:rPr>
        <w:t>City</w:t>
      </w:r>
      <w:proofErr w:type="gramEnd"/>
      <w:r w:rsidRPr="004A59EC">
        <w:rPr>
          <w:rFonts w:ascii="Times New Roman" w:hAnsi="Times New Roman"/>
          <w:sz w:val="24"/>
          <w:szCs w:val="24"/>
        </w:rPr>
        <w:t xml:space="preserve"> contends Dr. Jeong's testimony was ‘foundationally deficient’ and should not have been used as competent medical evidence to support the ALJ's award of a compensable claim. We conclude otherwise. Jeong, Spitzer's surgeon, testified that the ‘deadlift episode’ was ‘more likely than not’ the cause of Spitzer's lumbar disk herniation. Dr. Eskay-Auerbach, the City's expert, opined that Spitzer's workout resulted in a 'lumbar sprain’ and noted that deadlifting is ‘not an activity that causes disk herniations.’ Eskay-Auerbach attributed Spitzer's disk herniation to ‘age related degenerative changes.’"  </w:t>
      </w:r>
      <w:hyperlink r:id="rId2318" w:history="1">
        <w:r w:rsidRPr="004A59EC">
          <w:rPr>
            <w:rStyle w:val="Hyperlink"/>
            <w:rFonts w:ascii="Times New Roman" w:hAnsi="Times New Roman"/>
            <w:sz w:val="24"/>
            <w:szCs w:val="24"/>
          </w:rPr>
          <w:t>https://casetext.com/case/city-of-tucson-v-the-indus-commn-of-ariz</w:t>
        </w:r>
      </w:hyperlink>
      <w:r w:rsidRPr="004A59EC">
        <w:rPr>
          <w:rFonts w:ascii="Times New Roman" w:hAnsi="Times New Roman"/>
          <w:sz w:val="24"/>
          <w:szCs w:val="24"/>
        </w:rPr>
        <w:t xml:space="preserve"> </w:t>
      </w:r>
    </w:p>
    <w:p w14:paraId="7EF26E3E" w14:textId="77777777" w:rsidR="004A59EC" w:rsidRPr="002A425F" w:rsidRDefault="004A59EC" w:rsidP="004A59EC">
      <w:pPr>
        <w:pStyle w:val="NoSpacing"/>
        <w:rPr>
          <w:bCs/>
        </w:rPr>
      </w:pPr>
    </w:p>
    <w:p w14:paraId="6113C16E" w14:textId="77777777" w:rsidR="00C0038F" w:rsidRPr="001B383B" w:rsidRDefault="00C0038F" w:rsidP="00C0038F">
      <w:pPr>
        <w:pStyle w:val="NoSpacing"/>
        <w:rPr>
          <w:rFonts w:ascii="Times New Roman" w:hAnsi="Times New Roman"/>
          <w:bCs/>
          <w:sz w:val="24"/>
          <w:szCs w:val="24"/>
        </w:rPr>
      </w:pPr>
      <w:r w:rsidRPr="001B383B">
        <w:rPr>
          <w:rFonts w:ascii="Times New Roman" w:hAnsi="Times New Roman"/>
          <w:sz w:val="24"/>
          <w:szCs w:val="24"/>
        </w:rPr>
        <w:lastRenderedPageBreak/>
        <w:t>HOLDING:</w:t>
      </w:r>
    </w:p>
    <w:p w14:paraId="4DF09664" w14:textId="77777777" w:rsidR="00C0038F" w:rsidRPr="001B383B" w:rsidRDefault="00C0038F" w:rsidP="00C0038F">
      <w:pPr>
        <w:pStyle w:val="NoSpacing"/>
        <w:rPr>
          <w:rFonts w:ascii="Times New Roman" w:hAnsi="Times New Roman"/>
          <w:bCs/>
          <w:sz w:val="24"/>
          <w:szCs w:val="24"/>
        </w:rPr>
      </w:pPr>
    </w:p>
    <w:p w14:paraId="21C656B8" w14:textId="77777777" w:rsidR="00C0038F" w:rsidRPr="001B383B" w:rsidRDefault="00C0038F" w:rsidP="00C0038F">
      <w:pPr>
        <w:pStyle w:val="NoSpacing"/>
        <w:ind w:left="720"/>
        <w:rPr>
          <w:rFonts w:ascii="Times New Roman" w:hAnsi="Times New Roman"/>
          <w:sz w:val="24"/>
          <w:szCs w:val="24"/>
        </w:rPr>
      </w:pPr>
      <w:r w:rsidRPr="001B383B">
        <w:rPr>
          <w:rFonts w:ascii="Times New Roman" w:hAnsi="Times New Roman"/>
          <w:sz w:val="24"/>
          <w:szCs w:val="24"/>
        </w:rPr>
        <w:t>“However, Spitzer consistently testified that his back was ‘sore’ leading up to January 27 and differentiated that soreness from it being painful or hurting. For example, Spitzer explained that he did not report his back injury on the date it occurred because it was ‘sore and not hurt’ and that the ‘soreness lined up with having done a workout.’ Therefore, the ALJ's follow-up accurately reflected the record. The ALJ did not err in finding Dr. Jeong's medical opinion more probably correct. Consequently, we conclude substantial evidence supports the ALJ's findings and award.”</w:t>
      </w:r>
    </w:p>
    <w:p w14:paraId="50F982E5" w14:textId="77777777" w:rsidR="00C0038F" w:rsidRPr="001B383B" w:rsidRDefault="00C0038F" w:rsidP="00C0038F">
      <w:pPr>
        <w:pStyle w:val="NoSpacing"/>
        <w:ind w:left="720"/>
        <w:rPr>
          <w:rFonts w:ascii="Times New Roman" w:hAnsi="Times New Roman"/>
          <w:sz w:val="24"/>
          <w:szCs w:val="24"/>
        </w:rPr>
      </w:pPr>
    </w:p>
    <w:p w14:paraId="0F1F71EC" w14:textId="77777777" w:rsidR="00C0038F" w:rsidRPr="001B383B" w:rsidRDefault="00C0038F" w:rsidP="00C0038F">
      <w:pPr>
        <w:pStyle w:val="NoSpacing"/>
        <w:rPr>
          <w:rFonts w:ascii="Times New Roman" w:hAnsi="Times New Roman"/>
          <w:b/>
          <w:bCs/>
          <w:sz w:val="24"/>
          <w:szCs w:val="24"/>
        </w:rPr>
      </w:pPr>
      <w:r w:rsidRPr="001B383B">
        <w:rPr>
          <w:rFonts w:ascii="Times New Roman" w:hAnsi="Times New Roman"/>
          <w:b/>
          <w:sz w:val="24"/>
          <w:szCs w:val="24"/>
        </w:rPr>
        <w:t xml:space="preserve">Legal Lesson Learned:  The firefighter presented expert testimony that persuaded the Administrative Law Judge. </w:t>
      </w:r>
    </w:p>
    <w:p w14:paraId="44621F56" w14:textId="77777777" w:rsidR="00C0038F" w:rsidRPr="001B383B" w:rsidRDefault="00C0038F" w:rsidP="00C0038F">
      <w:pPr>
        <w:pStyle w:val="NoSpacing"/>
        <w:rPr>
          <w:rFonts w:ascii="Times New Roman" w:hAnsi="Times New Roman"/>
          <w:b/>
          <w:bCs/>
          <w:sz w:val="24"/>
          <w:szCs w:val="24"/>
        </w:rPr>
      </w:pPr>
    </w:p>
    <w:p w14:paraId="221358AE" w14:textId="77777777" w:rsidR="004A59EC" w:rsidRDefault="004A59EC" w:rsidP="00F326E5">
      <w:pPr>
        <w:pStyle w:val="NoSpacing"/>
        <w:rPr>
          <w:rFonts w:ascii="Arial Black" w:hAnsi="Arial Black"/>
          <w:sz w:val="28"/>
          <w:szCs w:val="28"/>
        </w:rPr>
      </w:pPr>
    </w:p>
    <w:p w14:paraId="0532E24D" w14:textId="77777777" w:rsidR="004A59EC" w:rsidRDefault="004A59EC" w:rsidP="00F326E5">
      <w:pPr>
        <w:pStyle w:val="NoSpacing"/>
        <w:rPr>
          <w:rFonts w:ascii="Arial Black" w:hAnsi="Arial Black"/>
          <w:sz w:val="28"/>
          <w:szCs w:val="28"/>
        </w:rPr>
      </w:pPr>
    </w:p>
    <w:p w14:paraId="4423A638" w14:textId="1B401A05" w:rsidR="006C4BDE" w:rsidRDefault="006C4BDE" w:rsidP="00F326E5">
      <w:pPr>
        <w:pStyle w:val="NoSpacing"/>
        <w:rPr>
          <w:rFonts w:ascii="Arial Black" w:hAnsi="Arial Black"/>
          <w:sz w:val="28"/>
          <w:szCs w:val="28"/>
        </w:rPr>
      </w:pPr>
      <w:r>
        <w:rPr>
          <w:rFonts w:ascii="Arial Black" w:hAnsi="Arial Black"/>
          <w:sz w:val="28"/>
          <w:szCs w:val="28"/>
        </w:rPr>
        <w:t>14-6 [Also filed, Chap. 7]</w:t>
      </w:r>
    </w:p>
    <w:p w14:paraId="1D0DA59C" w14:textId="2488F8A5" w:rsidR="006C4BDE" w:rsidRPr="00F315B4"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WI: FEMALE FAILS APPLICANT PHYSICAL FITNESS TEST –</w:t>
      </w:r>
      <w:r w:rsidR="006B7287">
        <w:rPr>
          <w:rFonts w:ascii="Arial Black" w:hAnsi="Arial Black"/>
          <w:sz w:val="28"/>
          <w:szCs w:val="28"/>
        </w:rPr>
        <w:t xml:space="preserve"> </w:t>
      </w:r>
      <w:r>
        <w:rPr>
          <w:rFonts w:ascii="Arial Black" w:hAnsi="Arial Black"/>
          <w:sz w:val="28"/>
          <w:szCs w:val="28"/>
        </w:rPr>
        <w:t>NOT CPAT, BUT MEETS EEOC GUIDELINES – TEST UPHELD</w:t>
      </w:r>
    </w:p>
    <w:p w14:paraId="6F425D2A" w14:textId="77777777" w:rsidR="00744AE5" w:rsidRDefault="006C4BDE" w:rsidP="006C4BDE">
      <w:pPr>
        <w:spacing w:before="100" w:beforeAutospacing="1" w:after="100" w:afterAutospacing="1" w:line="240" w:lineRule="auto"/>
        <w:rPr>
          <w:rFonts w:ascii="Times New Roman" w:eastAsia="Times New Roman" w:hAnsi="Times New Roman"/>
          <w:sz w:val="24"/>
          <w:szCs w:val="24"/>
        </w:rPr>
      </w:pPr>
      <w:r w:rsidRPr="00A4532F">
        <w:rPr>
          <w:rFonts w:ascii="Times New Roman" w:hAnsi="Times New Roman"/>
          <w:sz w:val="24"/>
          <w:szCs w:val="24"/>
        </w:rPr>
        <w:t xml:space="preserve">On July 20, 2022, in </w:t>
      </w:r>
      <w:r w:rsidRPr="00A4532F">
        <w:rPr>
          <w:rFonts w:ascii="Times New Roman" w:hAnsi="Times New Roman"/>
          <w:sz w:val="24"/>
          <w:szCs w:val="24"/>
          <w:u w:val="single"/>
        </w:rPr>
        <w:t>Catherine Erdman v. City of Madison</w:t>
      </w:r>
      <w:r>
        <w:rPr>
          <w:rFonts w:ascii="Times New Roman" w:hAnsi="Times New Roman"/>
          <w:sz w:val="24"/>
          <w:szCs w:val="24"/>
        </w:rPr>
        <w:t xml:space="preserve">, U.S. District Court Judge William M. Conley dismissed the lawsuit, findings that the Madison Fire Department in their 2014 applicant testing did not violate Title VII of the Civil Rights Act of 1964, even if more female failed compared to fire departments using the CPAT, since the tests were developed by consultants to assess actual job duties and meet the EEOC’s </w:t>
      </w:r>
      <w:r w:rsidRPr="005403E6">
        <w:rPr>
          <w:rFonts w:ascii="Times New Roman" w:eastAsia="Times New Roman" w:hAnsi="Times New Roman"/>
          <w:sz w:val="24"/>
          <w:szCs w:val="24"/>
        </w:rPr>
        <w:t>Uniform Guidelines on Employee Selection Procedures</w:t>
      </w:r>
      <w:r>
        <w:rPr>
          <w:rFonts w:ascii="Times New Roman" w:eastAsia="Times New Roman" w:hAnsi="Times New Roman"/>
          <w:sz w:val="24"/>
          <w:szCs w:val="24"/>
        </w:rPr>
        <w:t xml:space="preserve">. </w:t>
      </w:r>
    </w:p>
    <w:p w14:paraId="023A36A0" w14:textId="77777777" w:rsidR="00744AE5" w:rsidRPr="004C0299" w:rsidRDefault="00744AE5" w:rsidP="00744AE5">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2F972285" w14:textId="5FFD10C9" w:rsidR="006C4BDE" w:rsidRPr="005403E6" w:rsidRDefault="006C4BDE" w:rsidP="006C4BD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Plaintiff’s lawsuit claimed that she would have passed CPAT [Madison FD’s pass rate for women was 14%; the pass rate for women taking CPAT at Austin, Teas FD was 48%].  </w:t>
      </w:r>
      <w:r>
        <w:rPr>
          <w:rFonts w:ascii="Times New Roman" w:hAnsi="Times New Roman"/>
          <w:sz w:val="24"/>
          <w:szCs w:val="24"/>
        </w:rPr>
        <w:t xml:space="preserve">Plaintiff failed the “pike pole” which required </w:t>
      </w:r>
      <w:r w:rsidRPr="005403E6">
        <w:rPr>
          <w:rFonts w:ascii="Times New Roman" w:eastAsia="Times New Roman" w:hAnsi="Times New Roman"/>
          <w:sz w:val="24"/>
          <w:szCs w:val="24"/>
        </w:rPr>
        <w:t>applicants to stand at least 18 inches back from the ceiling being pulled down with a pike pole to account for safety concerns with</w:t>
      </w:r>
      <w:r>
        <w:rPr>
          <w:rFonts w:ascii="Times New Roman" w:eastAsia="Times New Roman" w:hAnsi="Times New Roman"/>
          <w:sz w:val="24"/>
          <w:szCs w:val="24"/>
        </w:rPr>
        <w:t xml:space="preserve"> test takers </w:t>
      </w:r>
      <w:r w:rsidRPr="005403E6">
        <w:rPr>
          <w:rFonts w:ascii="Times New Roman" w:eastAsia="Times New Roman" w:hAnsi="Times New Roman"/>
          <w:sz w:val="24"/>
          <w:szCs w:val="24"/>
        </w:rPr>
        <w:t>standing directly under the ceiling</w:t>
      </w:r>
      <w:r>
        <w:rPr>
          <w:rFonts w:ascii="Times New Roman" w:eastAsia="Times New Roman" w:hAnsi="Times New Roman"/>
          <w:sz w:val="24"/>
          <w:szCs w:val="24"/>
        </w:rPr>
        <w:t xml:space="preserve">; </w:t>
      </w:r>
      <w:r w:rsidRPr="005403E6">
        <w:rPr>
          <w:rFonts w:ascii="Times New Roman" w:eastAsia="Times New Roman" w:hAnsi="Times New Roman"/>
          <w:sz w:val="24"/>
          <w:szCs w:val="24"/>
        </w:rPr>
        <w:t>the pole was long enough to allow applicants of different heights to adjust the hold to account for that differential.</w:t>
      </w:r>
      <w:r>
        <w:rPr>
          <w:rFonts w:ascii="Times New Roman" w:eastAsia="Times New Roman" w:hAnsi="Times New Roman"/>
          <w:sz w:val="24"/>
          <w:szCs w:val="24"/>
        </w:rPr>
        <w:t xml:space="preserve"> </w:t>
      </w:r>
      <w:hyperlink r:id="rId2319" w:history="1">
        <w:r w:rsidRPr="00355029">
          <w:rPr>
            <w:rStyle w:val="Hyperlink"/>
            <w:rFonts w:ascii="Times New Roman" w:hAnsi="Times New Roman"/>
            <w:sz w:val="24"/>
            <w:szCs w:val="24"/>
          </w:rPr>
          <w:t>https://public.fastcase.com/J%2FJP6pdidelsXxEE4k%2BLMiptlpkB0gZD0zq9ZoOKNJuhacmaRfGRvhQDw8Dzjp093sUgUkI4CwYYkhqoix%2B0P6g4YOgoDnx2kMnRYwj%2FWdA%3D</w:t>
        </w:r>
      </w:hyperlink>
      <w:r>
        <w:rPr>
          <w:rFonts w:ascii="Times New Roman" w:hAnsi="Times New Roman"/>
          <w:sz w:val="24"/>
          <w:szCs w:val="24"/>
        </w:rPr>
        <w:t xml:space="preserve"> </w:t>
      </w:r>
    </w:p>
    <w:p w14:paraId="7245A580" w14:textId="77777777" w:rsidR="006C4BDE" w:rsidRPr="006E479D" w:rsidRDefault="006C4BDE" w:rsidP="006C4BDE">
      <w:pPr>
        <w:spacing w:before="100" w:beforeAutospacing="1" w:after="100" w:afterAutospacing="1" w:line="240" w:lineRule="auto"/>
        <w:rPr>
          <w:rFonts w:ascii="Times New Roman" w:hAnsi="Times New Roman"/>
          <w:b/>
          <w:bCs/>
          <w:sz w:val="24"/>
          <w:szCs w:val="24"/>
        </w:rPr>
      </w:pPr>
      <w:r w:rsidRPr="00604285">
        <w:rPr>
          <w:rFonts w:ascii="Times New Roman" w:hAnsi="Times New Roman"/>
          <w:b/>
          <w:bCs/>
          <w:sz w:val="24"/>
          <w:szCs w:val="24"/>
        </w:rPr>
        <w:t>Legal Lesson Learned:</w:t>
      </w:r>
      <w:r>
        <w:rPr>
          <w:rFonts w:ascii="Times New Roman" w:hAnsi="Times New Roman"/>
          <w:b/>
          <w:bCs/>
          <w:sz w:val="24"/>
          <w:szCs w:val="24"/>
        </w:rPr>
        <w:t xml:space="preserve"> </w:t>
      </w:r>
      <w:r w:rsidRPr="006E479D">
        <w:rPr>
          <w:rFonts w:ascii="Times New Roman" w:hAnsi="Times New Roman"/>
          <w:b/>
          <w:bCs/>
          <w:sz w:val="24"/>
          <w:szCs w:val="24"/>
        </w:rPr>
        <w:t xml:space="preserve">This alternative test passed EEOC “Uniform Guidelines </w:t>
      </w:r>
      <w:r w:rsidRPr="006E479D">
        <w:rPr>
          <w:rFonts w:ascii="Times New Roman" w:eastAsia="Times New Roman" w:hAnsi="Times New Roman"/>
          <w:b/>
          <w:bCs/>
          <w:sz w:val="24"/>
          <w:szCs w:val="24"/>
        </w:rPr>
        <w:t xml:space="preserve">on Employee Selection Procedures (1978), 29 C.F.R. § 1607, </w:t>
      </w:r>
      <w:r w:rsidRPr="006E479D">
        <w:rPr>
          <w:rFonts w:ascii="Times New Roman" w:eastAsia="Times New Roman" w:hAnsi="Times New Roman"/>
          <w:b/>
          <w:bCs/>
          <w:i/>
          <w:iCs/>
          <w:sz w:val="24"/>
          <w:szCs w:val="24"/>
        </w:rPr>
        <w:t xml:space="preserve">et seq.” </w:t>
      </w:r>
      <w:r w:rsidRPr="006E479D">
        <w:rPr>
          <w:rFonts w:ascii="Times New Roman" w:hAnsi="Times New Roman"/>
          <w:b/>
          <w:bCs/>
          <w:sz w:val="24"/>
          <w:szCs w:val="24"/>
        </w:rPr>
        <w:t xml:space="preserve">  </w:t>
      </w:r>
    </w:p>
    <w:p w14:paraId="6BD9C955" w14:textId="77777777" w:rsidR="006C4BDE" w:rsidRDefault="006C4BDE" w:rsidP="00F326E5">
      <w:pPr>
        <w:pStyle w:val="NoSpacing"/>
        <w:rPr>
          <w:rFonts w:ascii="Arial Black" w:hAnsi="Arial Black"/>
          <w:sz w:val="28"/>
          <w:szCs w:val="28"/>
        </w:rPr>
      </w:pPr>
    </w:p>
    <w:p w14:paraId="42575218" w14:textId="77777777" w:rsidR="006C4BDE" w:rsidRDefault="006C4BDE" w:rsidP="00F326E5">
      <w:pPr>
        <w:pStyle w:val="NoSpacing"/>
        <w:rPr>
          <w:rFonts w:ascii="Arial Black" w:hAnsi="Arial Black"/>
          <w:sz w:val="28"/>
          <w:szCs w:val="28"/>
        </w:rPr>
      </w:pPr>
    </w:p>
    <w:p w14:paraId="3C49D17B" w14:textId="26AC7D80" w:rsidR="00506EE7" w:rsidRDefault="00506EE7" w:rsidP="00F326E5">
      <w:pPr>
        <w:pStyle w:val="NoSpacing"/>
        <w:rPr>
          <w:rFonts w:ascii="Arial Black" w:hAnsi="Arial Black"/>
          <w:sz w:val="28"/>
          <w:szCs w:val="28"/>
        </w:rPr>
      </w:pPr>
      <w:r>
        <w:rPr>
          <w:rFonts w:ascii="Arial Black" w:hAnsi="Arial Black"/>
          <w:sz w:val="28"/>
          <w:szCs w:val="28"/>
        </w:rPr>
        <w:t>14-5</w:t>
      </w:r>
    </w:p>
    <w:p w14:paraId="4F26E956" w14:textId="77777777" w:rsidR="00506EE7" w:rsidRPr="002D2746" w:rsidRDefault="00506EE7" w:rsidP="00506EE7">
      <w:pPr>
        <w:spacing w:before="100" w:beforeAutospacing="1" w:after="100" w:afterAutospacing="1" w:line="240" w:lineRule="auto"/>
        <w:rPr>
          <w:rFonts w:ascii="Arial Black" w:eastAsia="Times New Roman" w:hAnsi="Arial Black"/>
          <w:b/>
          <w:bCs/>
          <w:sz w:val="28"/>
          <w:szCs w:val="28"/>
        </w:rPr>
      </w:pPr>
      <w:bookmarkStart w:id="558" w:name="_Hlk89148163"/>
      <w:r w:rsidRPr="002D2746">
        <w:rPr>
          <w:rFonts w:ascii="Arial Black" w:eastAsia="Times New Roman" w:hAnsi="Arial Black"/>
          <w:b/>
          <w:bCs/>
          <w:sz w:val="28"/>
          <w:szCs w:val="28"/>
        </w:rPr>
        <w:t>VA: PSYCHIA</w:t>
      </w:r>
      <w:r>
        <w:rPr>
          <w:rFonts w:ascii="Arial Black" w:eastAsia="Times New Roman" w:hAnsi="Arial Black"/>
          <w:b/>
          <w:bCs/>
          <w:sz w:val="28"/>
          <w:szCs w:val="28"/>
        </w:rPr>
        <w:t>T</w:t>
      </w:r>
      <w:r w:rsidRPr="002D2746">
        <w:rPr>
          <w:rFonts w:ascii="Arial Black" w:eastAsia="Times New Roman" w:hAnsi="Arial Black"/>
          <w:b/>
          <w:bCs/>
          <w:sz w:val="28"/>
          <w:szCs w:val="28"/>
        </w:rPr>
        <w:t>RIST</w:t>
      </w:r>
      <w:r>
        <w:rPr>
          <w:rFonts w:ascii="Arial Black" w:eastAsia="Times New Roman" w:hAnsi="Arial Black"/>
          <w:b/>
          <w:bCs/>
          <w:sz w:val="28"/>
          <w:szCs w:val="28"/>
        </w:rPr>
        <w:t xml:space="preserve"> (AGE 67) COULD NOT PASS PHYSICAL AGILITY TEST - JOB IN FED. PRISON – CASE TO PROCEED</w:t>
      </w:r>
    </w:p>
    <w:p w14:paraId="22D26C6C" w14:textId="77777777" w:rsidR="00506EE7" w:rsidRDefault="00506EE7" w:rsidP="00506EE7">
      <w:pPr>
        <w:spacing w:before="100" w:beforeAutospacing="1" w:after="100" w:afterAutospacing="1" w:line="240" w:lineRule="auto"/>
        <w:rPr>
          <w:rFonts w:ascii="Times New Roman" w:hAnsi="Times New Roman"/>
          <w:sz w:val="24"/>
          <w:szCs w:val="24"/>
        </w:rPr>
      </w:pPr>
      <w:r w:rsidRPr="009366B6">
        <w:rPr>
          <w:rFonts w:ascii="Times New Roman" w:eastAsia="Times New Roman" w:hAnsi="Times New Roman"/>
          <w:sz w:val="24"/>
          <w:szCs w:val="24"/>
        </w:rPr>
        <w:t xml:space="preserve">On </w:t>
      </w:r>
      <w:r>
        <w:rPr>
          <w:rFonts w:ascii="Times New Roman" w:eastAsia="Times New Roman" w:hAnsi="Times New Roman"/>
          <w:sz w:val="24"/>
          <w:szCs w:val="24"/>
        </w:rPr>
        <w:t xml:space="preserve">Nov. 17, 2021, in </w:t>
      </w:r>
      <w:r w:rsidRPr="009366B6">
        <w:rPr>
          <w:rFonts w:ascii="Times New Roman" w:eastAsia="Times New Roman" w:hAnsi="Times New Roman"/>
          <w:sz w:val="24"/>
          <w:szCs w:val="24"/>
          <w:u w:val="single"/>
        </w:rPr>
        <w:t>Jane D. Dicocco, MD v. Merick B. Garland, Attorney General, U.S. Department of Justice</w:t>
      </w:r>
      <w:r>
        <w:rPr>
          <w:rFonts w:ascii="Times New Roman" w:eastAsia="Times New Roman" w:hAnsi="Times New Roman"/>
          <w:sz w:val="24"/>
          <w:szCs w:val="24"/>
        </w:rPr>
        <w:t>, the U.S. Court of Appeals for the 4</w:t>
      </w:r>
      <w:r w:rsidRPr="009366B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(Richmond, VA) holds (2 to 1) that the psychiatrist may </w:t>
      </w:r>
      <w:r>
        <w:rPr>
          <w:rFonts w:ascii="Times New Roman" w:eastAsia="Times New Roman" w:hAnsi="Times New Roman"/>
          <w:sz w:val="24"/>
          <w:szCs w:val="24"/>
        </w:rPr>
        <w:lastRenderedPageBreak/>
        <w:t xml:space="preserve">proceed with her case under Title VII of the Civil Rights Act, but </w:t>
      </w:r>
      <w:r>
        <w:rPr>
          <w:rStyle w:val="markedcontent"/>
          <w:rFonts w:ascii="Times New Roman" w:hAnsi="Times New Roman"/>
          <w:sz w:val="24"/>
          <w:szCs w:val="24"/>
        </w:rPr>
        <w:t>cannot sue Federal government under the A</w:t>
      </w:r>
      <w:r w:rsidRPr="00E84A85">
        <w:rPr>
          <w:rStyle w:val="markedcontent"/>
          <w:rFonts w:ascii="Times New Roman" w:hAnsi="Times New Roman"/>
          <w:sz w:val="24"/>
          <w:szCs w:val="24"/>
        </w:rPr>
        <w:t>ge Discrimination in Employment Act of 1967 (ADEA)</w:t>
      </w:r>
      <w:r>
        <w:rPr>
          <w:rStyle w:val="markedcontent"/>
          <w:rFonts w:ascii="Times New Roman" w:hAnsi="Times New Roman"/>
          <w:sz w:val="24"/>
          <w:szCs w:val="24"/>
        </w:rPr>
        <w:t xml:space="preserve">, because Congress never authorized Federal government to be sued for “adverse impact” on employees age 40 or older.  </w:t>
      </w:r>
      <w:r>
        <w:rPr>
          <w:rFonts w:ascii="Times New Roman" w:hAnsi="Times New Roman"/>
          <w:sz w:val="24"/>
          <w:szCs w:val="24"/>
        </w:rPr>
        <w:t xml:space="preserve">Note: </w:t>
      </w:r>
      <w:r>
        <w:rPr>
          <w:rFonts w:ascii="Times New Roman" w:eastAsia="Times New Roman" w:hAnsi="Times New Roman"/>
          <w:sz w:val="24"/>
          <w:szCs w:val="24"/>
        </w:rPr>
        <w:t>The Bureau of Prisons “Physical Abilities Test” includes: “</w:t>
      </w:r>
      <w:r w:rsidRPr="00CF5EED">
        <w:rPr>
          <w:rFonts w:ascii="Times New Roman" w:hAnsi="Times New Roman"/>
          <w:sz w:val="24"/>
          <w:szCs w:val="24"/>
        </w:rPr>
        <w:t>Employees taking the test must drag a seventy-five-pound dummy at least 694 feet for three minutes, climb a ladder to retrieve an object within seven seconds, complete an obstacle course in fifty-eight seconds, run a quarter mile and handcuff someone within two minutes and thirty-five seconds, and climb three flights of stairs in forty-five seconds while wearing a twenty-pound weight belt. Employees receive scores for the five components, which are aggregated and measured against a passing composite score.</w:t>
      </w:r>
      <w:r>
        <w:rPr>
          <w:rFonts w:ascii="Times New Roman" w:hAnsi="Times New Roman"/>
          <w:sz w:val="24"/>
          <w:szCs w:val="24"/>
        </w:rPr>
        <w:t xml:space="preserve">” </w:t>
      </w:r>
    </w:p>
    <w:p w14:paraId="7D963F73" w14:textId="77777777" w:rsidR="00506EE7" w:rsidRPr="001C3BEE" w:rsidRDefault="00506EE7" w:rsidP="00506EE7">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1C3BEE">
        <w:rPr>
          <w:rStyle w:val="markedcontent"/>
          <w:rFonts w:ascii="Times New Roman" w:hAnsi="Times New Roman"/>
          <w:sz w:val="24"/>
          <w:szCs w:val="24"/>
        </w:rPr>
        <w:t xml:space="preserve">Dr. DiCocco alleged that she suffered financial and job-related injuries in fact that are </w:t>
      </w:r>
      <w:proofErr w:type="gramStart"/>
      <w:r w:rsidRPr="001C3BEE">
        <w:rPr>
          <w:rStyle w:val="markedcontent"/>
          <w:rFonts w:ascii="Times New Roman" w:hAnsi="Times New Roman"/>
          <w:sz w:val="24"/>
          <w:szCs w:val="24"/>
        </w:rPr>
        <w:t>fairly traceable</w:t>
      </w:r>
      <w:proofErr w:type="gramEnd"/>
      <w:r w:rsidRPr="001C3BEE">
        <w:rPr>
          <w:rStyle w:val="markedcontent"/>
          <w:rFonts w:ascii="Times New Roman" w:hAnsi="Times New Roman"/>
          <w:sz w:val="24"/>
          <w:szCs w:val="24"/>
        </w:rPr>
        <w:t xml:space="preserve"> to the government’s action and likely to be redressed by a favorable ruling</w:t>
      </w:r>
      <w:r>
        <w:rPr>
          <w:rStyle w:val="markedcontent"/>
          <w:rFonts w:ascii="Times New Roman" w:hAnsi="Times New Roman"/>
          <w:sz w:val="24"/>
          <w:szCs w:val="24"/>
        </w:rPr>
        <w:t xml:space="preserve">…. </w:t>
      </w:r>
      <w:r w:rsidRPr="001C3BEE">
        <w:rPr>
          <w:rStyle w:val="markedcontent"/>
          <w:rFonts w:ascii="Times New Roman" w:hAnsi="Times New Roman"/>
          <w:sz w:val="24"/>
          <w:szCs w:val="24"/>
        </w:rPr>
        <w:t xml:space="preserve"> </w:t>
      </w:r>
      <w:proofErr w:type="gramStart"/>
      <w:r w:rsidRPr="001C3BEE">
        <w:rPr>
          <w:rStyle w:val="markedcontent"/>
          <w:rFonts w:ascii="Times New Roman" w:hAnsi="Times New Roman"/>
          <w:sz w:val="24"/>
          <w:szCs w:val="24"/>
        </w:rPr>
        <w:t>So</w:t>
      </w:r>
      <w:proofErr w:type="gramEnd"/>
      <w:r w:rsidRPr="001C3BEE">
        <w:rPr>
          <w:rStyle w:val="markedcontent"/>
          <w:rFonts w:ascii="Times New Roman" w:hAnsi="Times New Roman"/>
          <w:sz w:val="24"/>
          <w:szCs w:val="24"/>
        </w:rPr>
        <w:t xml:space="preserve"> she has Article III standing. But we must still dismiss her ADEA claim because the ADEA provision applicable to federal-sector employees does not provide a disparate-impact cause of action. </w:t>
      </w:r>
      <w:proofErr w:type="gramStart"/>
      <w:r w:rsidRPr="001C3BEE">
        <w:rPr>
          <w:rStyle w:val="markedcontent"/>
          <w:rFonts w:ascii="Times New Roman" w:hAnsi="Times New Roman"/>
          <w:sz w:val="24"/>
          <w:szCs w:val="24"/>
        </w:rPr>
        <w:t>So</w:t>
      </w:r>
      <w:proofErr w:type="gramEnd"/>
      <w:r w:rsidRPr="001C3BEE">
        <w:rPr>
          <w:rStyle w:val="markedcontent"/>
          <w:rFonts w:ascii="Times New Roman" w:hAnsi="Times New Roman"/>
          <w:sz w:val="24"/>
          <w:szCs w:val="24"/>
        </w:rPr>
        <w:t xml:space="preserve"> her claim does not fall within the government’s waiver of sovereign immunity. We decline, however, to address arguments for rejecting her remaining Title VII claim under Rule 12(b)(6). We therefore affirm the district court’s dismissal of the ADEA claim but remand the Title VII claim for further proceedings.</w:t>
      </w:r>
      <w:r>
        <w:rPr>
          <w:rStyle w:val="markedcontent"/>
          <w:rFonts w:ascii="Times New Roman" w:hAnsi="Times New Roman"/>
          <w:sz w:val="24"/>
          <w:szCs w:val="24"/>
        </w:rPr>
        <w:t xml:space="preserve">” </w:t>
      </w:r>
      <w:hyperlink r:id="rId2320" w:history="1">
        <w:r w:rsidRPr="00C13A89">
          <w:rPr>
            <w:rStyle w:val="Hyperlink"/>
            <w:rFonts w:ascii="Times New Roman" w:hAnsi="Times New Roman"/>
            <w:sz w:val="24"/>
            <w:szCs w:val="24"/>
          </w:rPr>
          <w:t>https://www.ca4.uscourts.gov/Opinions/201342.P.pdf</w:t>
        </w:r>
      </w:hyperlink>
      <w:r>
        <w:rPr>
          <w:rStyle w:val="markedcontent"/>
          <w:rFonts w:ascii="Times New Roman" w:hAnsi="Times New Roman"/>
          <w:sz w:val="24"/>
          <w:szCs w:val="24"/>
        </w:rPr>
        <w:t xml:space="preserve"> </w:t>
      </w:r>
    </w:p>
    <w:p w14:paraId="0ED4A994" w14:textId="77777777" w:rsidR="00506EE7" w:rsidRDefault="00506EE7" w:rsidP="00506EE7">
      <w:pPr>
        <w:pStyle w:val="NormalWeb"/>
        <w:rPr>
          <w:b/>
          <w:bCs/>
        </w:rPr>
      </w:pPr>
      <w:r w:rsidRPr="006C5BC9">
        <w:rPr>
          <w:b/>
          <w:bCs/>
        </w:rPr>
        <w:t>Legal Lesson Learned:</w:t>
      </w:r>
      <w:r>
        <w:rPr>
          <w:b/>
          <w:bCs/>
        </w:rPr>
        <w:t xml:space="preserve">  Fire &amp; EMS Departments may impose physical fitness requirements as a condition of hire of emergency responders, such as passing CPAT test.  But requiring all employees, including secretaries and mechanics, to pass such a test would be a violation of Title VII. </w:t>
      </w:r>
    </w:p>
    <w:bookmarkEnd w:id="558"/>
    <w:p w14:paraId="1567EE1F" w14:textId="77777777" w:rsidR="00506EE7" w:rsidRDefault="00506EE7" w:rsidP="00F326E5">
      <w:pPr>
        <w:pStyle w:val="NoSpacing"/>
        <w:rPr>
          <w:rFonts w:ascii="Arial Black" w:hAnsi="Arial Black"/>
          <w:sz w:val="28"/>
          <w:szCs w:val="28"/>
        </w:rPr>
      </w:pPr>
    </w:p>
    <w:p w14:paraId="5E33CA11" w14:textId="77777777" w:rsidR="00506EE7" w:rsidRDefault="00506EE7" w:rsidP="00F326E5">
      <w:pPr>
        <w:pStyle w:val="NoSpacing"/>
        <w:rPr>
          <w:rFonts w:ascii="Arial Black" w:hAnsi="Arial Black"/>
          <w:sz w:val="28"/>
          <w:szCs w:val="28"/>
        </w:rPr>
      </w:pPr>
    </w:p>
    <w:p w14:paraId="4B431C28" w14:textId="76F633F2" w:rsidR="00F326E5" w:rsidRPr="00102FD0" w:rsidRDefault="00102FD0" w:rsidP="00F326E5">
      <w:pPr>
        <w:pStyle w:val="NoSpacing"/>
        <w:rPr>
          <w:rFonts w:ascii="Arial Black" w:hAnsi="Arial Black"/>
          <w:sz w:val="28"/>
          <w:szCs w:val="28"/>
        </w:rPr>
      </w:pPr>
      <w:r w:rsidRPr="00102FD0">
        <w:rPr>
          <w:rFonts w:ascii="Arial Black" w:hAnsi="Arial Black"/>
          <w:sz w:val="28"/>
          <w:szCs w:val="28"/>
        </w:rPr>
        <w:t>14-4</w:t>
      </w:r>
    </w:p>
    <w:p w14:paraId="3A655A75" w14:textId="77777777" w:rsidR="00102FD0" w:rsidRPr="00493410" w:rsidRDefault="00102FD0" w:rsidP="00102FD0">
      <w:pPr>
        <w:spacing w:before="100" w:beforeAutospacing="1" w:after="100" w:afterAutospacing="1" w:line="240" w:lineRule="auto"/>
        <w:rPr>
          <w:rFonts w:ascii="Arial Black" w:eastAsia="Times New Roman" w:hAnsi="Arial Black"/>
          <w:b/>
          <w:bCs/>
          <w:sz w:val="28"/>
          <w:szCs w:val="28"/>
        </w:rPr>
      </w:pPr>
      <w:bookmarkStart w:id="559" w:name="_Hlk66949804"/>
      <w:r w:rsidRPr="00493410">
        <w:rPr>
          <w:rFonts w:ascii="Arial Black" w:eastAsia="Times New Roman" w:hAnsi="Arial Black"/>
          <w:b/>
          <w:bCs/>
          <w:sz w:val="28"/>
          <w:szCs w:val="28"/>
        </w:rPr>
        <w:t xml:space="preserve">TX: </w:t>
      </w:r>
      <w:r>
        <w:rPr>
          <w:rFonts w:ascii="Arial Black" w:eastAsia="Times New Roman" w:hAnsi="Arial Black"/>
          <w:b/>
          <w:bCs/>
          <w:sz w:val="28"/>
          <w:szCs w:val="28"/>
        </w:rPr>
        <w:t>RECRUIT BROKE ANKLE TRAINING RUN, RESIGNED - CLAIMS HARASSED BY LIEUTENANT – AN “ISOLATED INCIDENT” - DISMISSED</w:t>
      </w:r>
    </w:p>
    <w:p w14:paraId="5D4BFDA3"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sidRPr="00493410">
        <w:rPr>
          <w:rFonts w:ascii="Times New Roman" w:eastAsia="Times New Roman" w:hAnsi="Times New Roman"/>
          <w:sz w:val="24"/>
          <w:szCs w:val="24"/>
        </w:rPr>
        <w:t xml:space="preserve">On Oct. 14, 2020, in </w:t>
      </w:r>
      <w:r w:rsidRPr="00493410">
        <w:rPr>
          <w:rFonts w:ascii="Times New Roman" w:eastAsia="Times New Roman" w:hAnsi="Times New Roman"/>
          <w:sz w:val="24"/>
          <w:szCs w:val="24"/>
          <w:u w:val="single"/>
        </w:rPr>
        <w:t>Bryce Baker v. City of Arlington</w:t>
      </w:r>
      <w:r>
        <w:rPr>
          <w:rFonts w:ascii="Times New Roman" w:eastAsia="Times New Roman" w:hAnsi="Times New Roman"/>
          <w:sz w:val="24"/>
          <w:szCs w:val="24"/>
        </w:rPr>
        <w:t xml:space="preserve">, U.S. District Court Judge Mark T. Pittman, Northern District of Texas, granted the City’s motion to dismiss.  The recruit broke his ankle during a training run and resigned; he claims that prior to injury, Training Lieutenant harassed him in front of recruit class about having joined in a class action lawsuit against </w:t>
      </w:r>
      <w:proofErr w:type="gramStart"/>
      <w:r>
        <w:rPr>
          <w:rFonts w:ascii="Times New Roman" w:eastAsia="Times New Roman" w:hAnsi="Times New Roman"/>
          <w:sz w:val="24"/>
          <w:szCs w:val="24"/>
        </w:rPr>
        <w:t>City, and</w:t>
      </w:r>
      <w:proofErr w:type="gramEnd"/>
      <w:r>
        <w:rPr>
          <w:rFonts w:ascii="Times New Roman" w:eastAsia="Times New Roman" w:hAnsi="Times New Roman"/>
          <w:sz w:val="24"/>
          <w:szCs w:val="24"/>
        </w:rPr>
        <w:t xml:space="preserve"> following the injury urging him to resign.  Case dismissed; isolated acts by training officer does not prove City endorses such conduct.   </w:t>
      </w:r>
    </w:p>
    <w:bookmarkEnd w:id="559"/>
    <w:p w14:paraId="474E4CD4" w14:textId="77777777" w:rsidR="00102FD0" w:rsidRDefault="00102FD0" w:rsidP="00102FD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E40DB8">
        <w:rPr>
          <w:rFonts w:ascii="Times New Roman" w:hAnsi="Times New Roman"/>
          <w:sz w:val="24"/>
          <w:szCs w:val="24"/>
        </w:rPr>
        <w:t xml:space="preserve">Baker asserts a single claim against Arlington for First Amendment retaliation under 42 U.S.C. § 1983. </w:t>
      </w:r>
      <w:proofErr w:type="spellStart"/>
      <w:r w:rsidRPr="00E40DB8">
        <w:rPr>
          <w:rFonts w:ascii="Times New Roman" w:hAnsi="Times New Roman"/>
          <w:sz w:val="24"/>
          <w:szCs w:val="24"/>
        </w:rPr>
        <w:t>Compl</w:t>
      </w:r>
      <w:proofErr w:type="spellEnd"/>
      <w:r w:rsidRPr="00E40DB8">
        <w:rPr>
          <w:rFonts w:ascii="Times New Roman" w:hAnsi="Times New Roman"/>
          <w:sz w:val="24"/>
          <w:szCs w:val="24"/>
        </w:rPr>
        <w:t xml:space="preserve">. </w:t>
      </w:r>
      <w:proofErr w:type="gramStart"/>
      <w:r w:rsidRPr="00E40DB8">
        <w:rPr>
          <w:rFonts w:ascii="Times New Roman" w:hAnsi="Times New Roman"/>
          <w:sz w:val="24"/>
          <w:szCs w:val="24"/>
        </w:rPr>
        <w:t>at ¶¶</w:t>
      </w:r>
      <w:proofErr w:type="gramEnd"/>
      <w:r w:rsidRPr="00E40DB8">
        <w:rPr>
          <w:rFonts w:ascii="Times New Roman" w:hAnsi="Times New Roman"/>
          <w:sz w:val="24"/>
          <w:szCs w:val="24"/>
        </w:rPr>
        <w:t xml:space="preserve"> 20-24. However, as explained below, Arlington cannot be held liable under </w:t>
      </w:r>
      <w:r w:rsidRPr="00E40DB8">
        <w:rPr>
          <w:rFonts w:ascii="Times New Roman" w:hAnsi="Times New Roman"/>
          <w:i/>
          <w:iCs/>
          <w:sz w:val="24"/>
          <w:szCs w:val="24"/>
        </w:rPr>
        <w:t>Monell</w:t>
      </w:r>
      <w:r w:rsidRPr="00E40DB8">
        <w:rPr>
          <w:rFonts w:ascii="Times New Roman" w:hAnsi="Times New Roman"/>
          <w:sz w:val="24"/>
          <w:szCs w:val="24"/>
        </w:rPr>
        <w:t xml:space="preserve"> because Baker </w:t>
      </w:r>
      <w:proofErr w:type="gramStart"/>
      <w:r w:rsidRPr="00E40DB8">
        <w:rPr>
          <w:rFonts w:ascii="Times New Roman" w:hAnsi="Times New Roman"/>
          <w:sz w:val="24"/>
          <w:szCs w:val="24"/>
        </w:rPr>
        <w:t>actually pleaded</w:t>
      </w:r>
      <w:proofErr w:type="gramEnd"/>
      <w:r w:rsidRPr="00E40DB8">
        <w:rPr>
          <w:rFonts w:ascii="Times New Roman" w:hAnsi="Times New Roman"/>
          <w:sz w:val="24"/>
          <w:szCs w:val="24"/>
        </w:rPr>
        <w:t xml:space="preserve"> a policy </w:t>
      </w:r>
      <w:r w:rsidRPr="00E40DB8">
        <w:rPr>
          <w:rFonts w:ascii="Times New Roman" w:hAnsi="Times New Roman"/>
          <w:b/>
          <w:bCs/>
          <w:i/>
          <w:iCs/>
          <w:sz w:val="24"/>
          <w:szCs w:val="24"/>
        </w:rPr>
        <w:t>against</w:t>
      </w:r>
      <w:r w:rsidRPr="00E40DB8">
        <w:rPr>
          <w:rFonts w:ascii="Times New Roman" w:hAnsi="Times New Roman"/>
          <w:sz w:val="24"/>
          <w:szCs w:val="24"/>
        </w:rPr>
        <w:t xml:space="preserve"> the harassment Baker alleges. </w:t>
      </w:r>
      <w:r w:rsidRPr="00E40DB8">
        <w:rPr>
          <w:rFonts w:ascii="Times New Roman" w:hAnsi="Times New Roman"/>
          <w:i/>
          <w:iCs/>
          <w:sz w:val="24"/>
          <w:szCs w:val="24"/>
        </w:rPr>
        <w:t>Id</w:t>
      </w:r>
      <w:r w:rsidRPr="00E40DB8">
        <w:rPr>
          <w:rFonts w:ascii="Times New Roman" w:hAnsi="Times New Roman"/>
          <w:sz w:val="24"/>
          <w:szCs w:val="24"/>
        </w:rPr>
        <w:t>. at ¶ 18. Further, Baker's bare allegation that Lt. Price is a policymaker is conclusory and, as such, is insufficient to state a claim.</w:t>
      </w:r>
    </w:p>
    <w:p w14:paraId="21E62919" w14:textId="77777777" w:rsidR="00102FD0" w:rsidRPr="00E40DB8" w:rsidRDefault="00102FD0" w:rsidP="00102FD0">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p>
    <w:p w14:paraId="30329BAB" w14:textId="15C373E2" w:rsidR="00102FD0" w:rsidRDefault="00102FD0" w:rsidP="00102FD0">
      <w:pPr>
        <w:pStyle w:val="NoSpacing"/>
        <w:rPr>
          <w:sz w:val="24"/>
          <w:szCs w:val="24"/>
        </w:rPr>
      </w:pPr>
      <w:r w:rsidRPr="0037516D">
        <w:rPr>
          <w:rFonts w:ascii="Times New Roman" w:eastAsia="Times New Roman" w:hAnsi="Times New Roman"/>
          <w:sz w:val="24"/>
          <w:szCs w:val="24"/>
        </w:rPr>
        <w:t xml:space="preserve">Further, Arlington cannot be held liable under § 1983 for an isolated incident involving one of its employees. Under § 1983, "isolated unconstitutional actions by municipal employees will almost never trigger liability." </w:t>
      </w:r>
      <w:r w:rsidRPr="0037516D">
        <w:rPr>
          <w:rFonts w:ascii="Times New Roman" w:eastAsia="Times New Roman" w:hAnsi="Times New Roman"/>
          <w:i/>
          <w:iCs/>
          <w:sz w:val="24"/>
          <w:szCs w:val="24"/>
        </w:rPr>
        <w:t>Piotrowski</w:t>
      </w:r>
      <w:r w:rsidRPr="0037516D">
        <w:rPr>
          <w:rFonts w:ascii="Times New Roman" w:eastAsia="Times New Roman" w:hAnsi="Times New Roman"/>
          <w:sz w:val="24"/>
          <w:szCs w:val="24"/>
        </w:rPr>
        <w:t xml:space="preserve">, 237 F.3d at 578. Arlington makes this argument in its Motion to Dismiss when it states that Baker's claims are </w:t>
      </w:r>
      <w:r>
        <w:rPr>
          <w:rFonts w:ascii="Times New Roman" w:eastAsia="Times New Roman" w:hAnsi="Times New Roman"/>
          <w:sz w:val="24"/>
          <w:szCs w:val="24"/>
        </w:rPr>
        <w:t>‘</w:t>
      </w:r>
      <w:r w:rsidRPr="0037516D">
        <w:rPr>
          <w:rFonts w:ascii="Times New Roman" w:eastAsia="Times New Roman" w:hAnsi="Times New Roman"/>
          <w:sz w:val="24"/>
          <w:szCs w:val="24"/>
        </w:rPr>
        <w:t>directed at a single former Arlington employee—a fire department trainer.</w:t>
      </w:r>
      <w:r>
        <w:rPr>
          <w:rFonts w:ascii="Times New Roman" w:eastAsia="Times New Roman" w:hAnsi="Times New Roman"/>
          <w:sz w:val="24"/>
          <w:szCs w:val="24"/>
        </w:rPr>
        <w:t>’</w:t>
      </w:r>
      <w:r w:rsidRPr="0037516D">
        <w:rPr>
          <w:rFonts w:ascii="Times New Roman" w:eastAsia="Times New Roman" w:hAnsi="Times New Roman"/>
          <w:sz w:val="24"/>
          <w:szCs w:val="24"/>
        </w:rPr>
        <w:t xml:space="preserve"> MTD at ¶ 2.01. Baker fails to plead any facts that the alleged harassment and badgering were</w:t>
      </w:r>
      <w:r w:rsidRPr="00E911C8">
        <w:rPr>
          <w:rFonts w:ascii="Times New Roman" w:eastAsia="Times New Roman" w:hAnsi="Times New Roman"/>
          <w:sz w:val="24"/>
          <w:szCs w:val="24"/>
        </w:rPr>
        <w:t xml:space="preserve"> </w:t>
      </w:r>
      <w:r w:rsidRPr="0037516D">
        <w:rPr>
          <w:rFonts w:ascii="Times New Roman" w:eastAsia="Times New Roman" w:hAnsi="Times New Roman"/>
          <w:sz w:val="24"/>
          <w:szCs w:val="24"/>
        </w:rPr>
        <w:t xml:space="preserve">anything more than an isolated situation between one trainer and one employee. These isolated acts of one employee do not constitute </w:t>
      </w:r>
      <w:r>
        <w:rPr>
          <w:rFonts w:ascii="Times New Roman" w:eastAsia="Times New Roman" w:hAnsi="Times New Roman"/>
          <w:sz w:val="24"/>
          <w:szCs w:val="24"/>
        </w:rPr>
        <w:t>‘</w:t>
      </w:r>
      <w:r w:rsidRPr="0037516D">
        <w:rPr>
          <w:rFonts w:ascii="Times New Roman" w:eastAsia="Times New Roman" w:hAnsi="Times New Roman"/>
          <w:sz w:val="24"/>
          <w:szCs w:val="24"/>
        </w:rPr>
        <w:t>widespread practice</w:t>
      </w:r>
      <w:r>
        <w:rPr>
          <w:rFonts w:ascii="Times New Roman" w:eastAsia="Times New Roman" w:hAnsi="Times New Roman"/>
          <w:sz w:val="24"/>
          <w:szCs w:val="24"/>
        </w:rPr>
        <w:t>’</w:t>
      </w:r>
      <w:r w:rsidRPr="0037516D">
        <w:rPr>
          <w:rFonts w:ascii="Times New Roman" w:eastAsia="Times New Roman" w:hAnsi="Times New Roman"/>
          <w:sz w:val="24"/>
          <w:szCs w:val="24"/>
        </w:rPr>
        <w:t xml:space="preserve"> and thus cannot be said to qualify as a custom under </w:t>
      </w:r>
      <w:r w:rsidRPr="0037516D">
        <w:rPr>
          <w:rFonts w:ascii="Times New Roman" w:eastAsia="Times New Roman" w:hAnsi="Times New Roman"/>
          <w:i/>
          <w:iCs/>
          <w:sz w:val="24"/>
          <w:szCs w:val="24"/>
        </w:rPr>
        <w:t>Monell</w:t>
      </w:r>
      <w:r w:rsidRPr="0037516D">
        <w:rPr>
          <w:rFonts w:ascii="Times New Roman" w:eastAsia="Times New Roman" w:hAnsi="Times New Roman"/>
          <w:sz w:val="24"/>
          <w:szCs w:val="24"/>
        </w:rPr>
        <w:t xml:space="preserve">. </w:t>
      </w:r>
      <w:r w:rsidRPr="0037516D">
        <w:rPr>
          <w:rFonts w:ascii="Times New Roman" w:eastAsia="Times New Roman" w:hAnsi="Times New Roman"/>
          <w:i/>
          <w:iCs/>
          <w:sz w:val="24"/>
          <w:szCs w:val="24"/>
        </w:rPr>
        <w:t>See Peterson</w:t>
      </w:r>
      <w:r w:rsidRPr="0037516D">
        <w:rPr>
          <w:rFonts w:ascii="Times New Roman" w:eastAsia="Times New Roman" w:hAnsi="Times New Roman"/>
          <w:sz w:val="24"/>
          <w:szCs w:val="24"/>
        </w:rPr>
        <w:t xml:space="preserve">, 588 F.3d at 847. Therefore, </w:t>
      </w:r>
      <w:r w:rsidRPr="0037516D">
        <w:rPr>
          <w:rFonts w:ascii="Times New Roman" w:eastAsia="Times New Roman" w:hAnsi="Times New Roman"/>
          <w:sz w:val="24"/>
          <w:szCs w:val="24"/>
        </w:rPr>
        <w:lastRenderedPageBreak/>
        <w:t xml:space="preserve">the Court finds that Baker did not plead sufficient facts to identify any official Arlington policies or customs actionable under § 1983. Arlington's Motion to Dismiss should be and hereby is </w:t>
      </w:r>
      <w:r w:rsidRPr="0037516D">
        <w:rPr>
          <w:rFonts w:ascii="Times New Roman" w:eastAsia="Times New Roman" w:hAnsi="Times New Roman"/>
          <w:b/>
          <w:bCs/>
          <w:sz w:val="24"/>
          <w:szCs w:val="24"/>
        </w:rPr>
        <w:t>GRANTED.</w:t>
      </w:r>
      <w:r>
        <w:rPr>
          <w:rFonts w:ascii="Times New Roman" w:eastAsia="Times New Roman" w:hAnsi="Times New Roman"/>
          <w:b/>
          <w:bCs/>
          <w:sz w:val="24"/>
          <w:szCs w:val="24"/>
        </w:rPr>
        <w:t xml:space="preserve">” </w:t>
      </w:r>
      <w:bookmarkStart w:id="560" w:name="_Hlk66949840"/>
      <w:r w:rsidR="00F00958">
        <w:fldChar w:fldCharType="begin"/>
      </w:r>
      <w:r w:rsidR="00F00958">
        <w:instrText xml:space="preserve"> HYPERLINK "https://public.fastcase.com/Wl%2B2t%2BeVuI35%2FN70vAMFZnHSF8BEUL1CjKubfF2B3NrqkfafOcq09oBO0aW1DE51" </w:instrText>
      </w:r>
      <w:r w:rsidR="00F00958">
        <w:fldChar w:fldCharType="separate"/>
      </w:r>
      <w:r w:rsidRPr="00E911C8">
        <w:rPr>
          <w:rStyle w:val="Hyperlink"/>
          <w:rFonts w:ascii="Times New Roman" w:eastAsia="Times New Roman" w:hAnsi="Times New Roman"/>
          <w:sz w:val="24"/>
          <w:szCs w:val="24"/>
        </w:rPr>
        <w:t>https://public.fastcase.com/Wl%2B2t%2BeVuI35%2FN70vAMFZnHSF8BEUL1CjKubfF2B3NrqkfafOcq09oBO0aW1DE51</w:t>
      </w:r>
      <w:r w:rsidR="00F00958">
        <w:rPr>
          <w:rStyle w:val="Hyperlink"/>
          <w:rFonts w:ascii="Times New Roman" w:eastAsia="Times New Roman" w:hAnsi="Times New Roman"/>
          <w:sz w:val="24"/>
          <w:szCs w:val="24"/>
        </w:rPr>
        <w:fldChar w:fldCharType="end"/>
      </w:r>
    </w:p>
    <w:p w14:paraId="5F9BD153" w14:textId="77777777" w:rsidR="00102FD0" w:rsidRPr="00E40DB8" w:rsidRDefault="00102FD0" w:rsidP="00102FD0">
      <w:pPr>
        <w:spacing w:before="100" w:beforeAutospacing="1" w:after="100" w:afterAutospacing="1" w:line="240" w:lineRule="auto"/>
        <w:rPr>
          <w:rFonts w:ascii="Times New Roman" w:eastAsia="Times New Roman" w:hAnsi="Times New Roman"/>
          <w:b/>
          <w:bCs/>
          <w:sz w:val="24"/>
          <w:szCs w:val="24"/>
        </w:rPr>
      </w:pPr>
      <w:bookmarkStart w:id="561" w:name="_Hlk7348114"/>
      <w:r w:rsidRPr="00E40DB8">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Isolated acts by training lieutenant, while unfortunate, do not establish a basis for liability of the City.  </w:t>
      </w:r>
    </w:p>
    <w:bookmarkEnd w:id="560"/>
    <w:p w14:paraId="52238CA7" w14:textId="07C27398" w:rsidR="00102FD0" w:rsidRDefault="00102FD0" w:rsidP="00F326E5">
      <w:pPr>
        <w:pStyle w:val="NoSpacing"/>
        <w:rPr>
          <w:rFonts w:ascii="Arial Black" w:hAnsi="Arial Black"/>
          <w:sz w:val="24"/>
          <w:szCs w:val="24"/>
        </w:rPr>
      </w:pPr>
    </w:p>
    <w:p w14:paraId="49D933D5" w14:textId="77777777" w:rsidR="00102FD0" w:rsidRDefault="00102FD0" w:rsidP="00F326E5">
      <w:pPr>
        <w:pStyle w:val="NoSpacing"/>
        <w:rPr>
          <w:rFonts w:ascii="Arial Black" w:hAnsi="Arial Black"/>
          <w:sz w:val="24"/>
          <w:szCs w:val="24"/>
        </w:rPr>
      </w:pPr>
    </w:p>
    <w:p w14:paraId="48BDA982" w14:textId="77777777" w:rsidR="00102FD0" w:rsidRDefault="00102FD0" w:rsidP="00F326E5">
      <w:pPr>
        <w:pStyle w:val="NoSpacing"/>
        <w:rPr>
          <w:rFonts w:ascii="Arial Black" w:hAnsi="Arial Black"/>
          <w:sz w:val="24"/>
          <w:szCs w:val="24"/>
        </w:rPr>
      </w:pPr>
    </w:p>
    <w:p w14:paraId="1220EFA7" w14:textId="38D7C56D" w:rsidR="002147DA" w:rsidRDefault="002147DA" w:rsidP="00F326E5">
      <w:pPr>
        <w:pStyle w:val="NoSpacing"/>
        <w:rPr>
          <w:rFonts w:ascii="Arial Black" w:hAnsi="Arial Black"/>
          <w:sz w:val="24"/>
          <w:szCs w:val="24"/>
        </w:rPr>
      </w:pPr>
      <w:r>
        <w:rPr>
          <w:rFonts w:ascii="Arial Black" w:hAnsi="Arial Black"/>
          <w:sz w:val="24"/>
          <w:szCs w:val="24"/>
        </w:rPr>
        <w:t>14-3 [Also posted, Chap. 7]</w:t>
      </w:r>
    </w:p>
    <w:p w14:paraId="2FD32C62" w14:textId="535A793A" w:rsidR="002147DA" w:rsidRDefault="002147DA" w:rsidP="00F326E5">
      <w:pPr>
        <w:pStyle w:val="NoSpacing"/>
        <w:rPr>
          <w:rFonts w:ascii="Arial Black" w:hAnsi="Arial Black"/>
          <w:sz w:val="24"/>
          <w:szCs w:val="24"/>
        </w:rPr>
      </w:pPr>
    </w:p>
    <w:p w14:paraId="29E5536C" w14:textId="77777777" w:rsidR="002147DA" w:rsidRDefault="002147DA" w:rsidP="002147DA">
      <w:pPr>
        <w:pStyle w:val="NoSpacing"/>
        <w:rPr>
          <w:rFonts w:ascii="Arial Black" w:hAnsi="Arial Black"/>
          <w:sz w:val="28"/>
          <w:szCs w:val="28"/>
        </w:rPr>
      </w:pPr>
      <w:bookmarkStart w:id="562" w:name="_Hlk39772505"/>
      <w:r>
        <w:rPr>
          <w:rFonts w:ascii="Arial Black" w:hAnsi="Arial Black"/>
          <w:sz w:val="28"/>
          <w:szCs w:val="28"/>
        </w:rPr>
        <w:t xml:space="preserve">AL:  PREGNANT EMT – DENIED LIGHT DUTY – AMR CO. PROVIDES ONLY INJURED ON JOB - LAWSUIT REINSTATED </w:t>
      </w:r>
    </w:p>
    <w:p w14:paraId="5DBE0DC1" w14:textId="77777777" w:rsidR="002147DA" w:rsidRDefault="002147DA" w:rsidP="002147DA">
      <w:pPr>
        <w:pStyle w:val="NoSpacing"/>
        <w:rPr>
          <w:b/>
          <w:bCs/>
          <w:sz w:val="24"/>
          <w:szCs w:val="24"/>
        </w:rPr>
      </w:pPr>
    </w:p>
    <w:p w14:paraId="5F2295CE"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April 17, 2020, in </w:t>
      </w:r>
      <w:r w:rsidRPr="00AE3A49">
        <w:rPr>
          <w:rFonts w:ascii="Times New Roman" w:hAnsi="Times New Roman"/>
          <w:bCs/>
          <w:sz w:val="24"/>
          <w:szCs w:val="24"/>
          <w:u w:val="single"/>
        </w:rPr>
        <w:t>Kimberlie Michelle Durham v. Rural/Metro Corporation</w:t>
      </w:r>
      <w:r w:rsidRPr="00AE3A49">
        <w:rPr>
          <w:rFonts w:ascii="Times New Roman" w:hAnsi="Times New Roman"/>
          <w:bCs/>
          <w:sz w:val="24"/>
          <w:szCs w:val="24"/>
        </w:rPr>
        <w:t>, the U.S. Court of Appeals for the 11</w:t>
      </w:r>
      <w:r w:rsidRPr="00AE3A49">
        <w:rPr>
          <w:rFonts w:ascii="Times New Roman" w:hAnsi="Times New Roman"/>
          <w:bCs/>
          <w:sz w:val="24"/>
          <w:szCs w:val="24"/>
          <w:vertAlign w:val="superscript"/>
        </w:rPr>
        <w:t>th</w:t>
      </w:r>
      <w:r w:rsidRPr="00AE3A49">
        <w:rPr>
          <w:rFonts w:ascii="Times New Roman" w:hAnsi="Times New Roman"/>
          <w:bCs/>
          <w:sz w:val="24"/>
          <w:szCs w:val="24"/>
        </w:rPr>
        <w:t xml:space="preserve"> Circuit (Atlanta) held (3 to 0) that the U.S. District Court judge had improperly granted summary judgment to AMR.  </w:t>
      </w:r>
    </w:p>
    <w:p w14:paraId="4CD9E0DE" w14:textId="77777777" w:rsidR="002147DA" w:rsidRDefault="002147DA" w:rsidP="002147DA">
      <w:pPr>
        <w:pStyle w:val="NoSpacing"/>
        <w:ind w:left="720"/>
        <w:rPr>
          <w:rFonts w:ascii="Times New Roman" w:hAnsi="Times New Roman"/>
          <w:bCs/>
          <w:sz w:val="24"/>
          <w:szCs w:val="24"/>
        </w:rPr>
      </w:pPr>
    </w:p>
    <w:p w14:paraId="5D94871A" w14:textId="77777777" w:rsidR="002147DA" w:rsidRPr="00AE3A49" w:rsidRDefault="002147DA" w:rsidP="002147DA">
      <w:pPr>
        <w:pStyle w:val="NoSpacing"/>
        <w:ind w:left="720"/>
        <w:rPr>
          <w:rFonts w:ascii="Times New Roman" w:hAnsi="Times New Roman"/>
          <w:sz w:val="24"/>
          <w:szCs w:val="24"/>
        </w:rPr>
      </w:pPr>
      <w:r w:rsidRPr="00AE3A49">
        <w:rPr>
          <w:rFonts w:ascii="Times New Roman" w:hAnsi="Times New Roman"/>
          <w:bCs/>
          <w:sz w:val="24"/>
          <w:szCs w:val="24"/>
        </w:rPr>
        <w:t>“We therefore vacate the grant of summary judgment. Neither a non-pregnant EMT who is limited to lifting 10 or 20 pounds nor a pregnant EMT who is restricted to lifting 50 pounds or less can lift the required 100 pounds to serve as an EMT. Since neither can meet the lifting requirement, they are the same in their ‘inability to work’ as an EMT. And that satisfies the plaintiff’s prima facie requirement to establish that she was ‘similar [to other employees] in their ability or inability to work.’</w:t>
      </w:r>
      <w:r w:rsidRPr="00AE3A49">
        <w:rPr>
          <w:rFonts w:ascii="Times New Roman" w:hAnsi="Times New Roman"/>
          <w:sz w:val="24"/>
          <w:szCs w:val="24"/>
        </w:rPr>
        <w:t xml:space="preserve">” </w:t>
      </w:r>
      <w:hyperlink r:id="rId2321" w:history="1">
        <w:r w:rsidRPr="00AE3A49">
          <w:rPr>
            <w:rStyle w:val="Hyperlink"/>
            <w:rFonts w:ascii="Times New Roman" w:hAnsi="Times New Roman"/>
            <w:b/>
            <w:sz w:val="24"/>
            <w:szCs w:val="24"/>
          </w:rPr>
          <w:t>http://media.ca11.uscourts.gov/opinions/pub/files/201814687.pdf</w:t>
        </w:r>
      </w:hyperlink>
      <w:r w:rsidRPr="00AE3A49">
        <w:rPr>
          <w:rFonts w:ascii="Times New Roman" w:hAnsi="Times New Roman"/>
          <w:sz w:val="24"/>
          <w:szCs w:val="24"/>
        </w:rPr>
        <w:t xml:space="preserve"> </w:t>
      </w:r>
    </w:p>
    <w:bookmarkEnd w:id="562"/>
    <w:p w14:paraId="260FE436" w14:textId="77777777" w:rsidR="002147DA" w:rsidRDefault="002147DA" w:rsidP="002147DA">
      <w:pPr>
        <w:pStyle w:val="NoSpacing"/>
        <w:rPr>
          <w:rFonts w:ascii="Times New Roman" w:hAnsi="Times New Roman"/>
          <w:b/>
          <w:bCs/>
          <w:sz w:val="24"/>
          <w:szCs w:val="24"/>
        </w:rPr>
      </w:pPr>
    </w:p>
    <w:p w14:paraId="4AB2B772"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Congress in enacting the Pregnancy Discrimination Act did not specifically address the issue of light-duty; hopefully the U.S. Supreme Court will ultimately give clear direction on this issue.  </w:t>
      </w:r>
    </w:p>
    <w:p w14:paraId="4534635C" w14:textId="77777777" w:rsidR="002147DA" w:rsidRDefault="002147DA" w:rsidP="002147DA">
      <w:pPr>
        <w:rPr>
          <w:rFonts w:ascii="Arial Black" w:hAnsi="Arial Black"/>
          <w:b/>
          <w:sz w:val="24"/>
          <w:szCs w:val="24"/>
        </w:rPr>
      </w:pPr>
    </w:p>
    <w:p w14:paraId="50E986CD" w14:textId="77777777" w:rsidR="002147DA" w:rsidRDefault="002147DA" w:rsidP="00F326E5">
      <w:pPr>
        <w:pStyle w:val="NoSpacing"/>
        <w:rPr>
          <w:rFonts w:ascii="Arial Black" w:hAnsi="Arial Black"/>
          <w:sz w:val="24"/>
          <w:szCs w:val="24"/>
        </w:rPr>
      </w:pPr>
    </w:p>
    <w:p w14:paraId="6F163196" w14:textId="77777777" w:rsidR="002147DA" w:rsidRDefault="002147DA" w:rsidP="00F326E5">
      <w:pPr>
        <w:pStyle w:val="NoSpacing"/>
        <w:rPr>
          <w:rFonts w:ascii="Arial Black" w:hAnsi="Arial Black"/>
          <w:sz w:val="24"/>
          <w:szCs w:val="24"/>
        </w:rPr>
      </w:pPr>
    </w:p>
    <w:p w14:paraId="6050DC6B" w14:textId="77777777" w:rsidR="002147DA" w:rsidRDefault="002147DA" w:rsidP="00F326E5">
      <w:pPr>
        <w:pStyle w:val="NoSpacing"/>
        <w:rPr>
          <w:rFonts w:ascii="Arial Black" w:hAnsi="Arial Black"/>
          <w:sz w:val="24"/>
          <w:szCs w:val="24"/>
        </w:rPr>
      </w:pPr>
    </w:p>
    <w:p w14:paraId="4E9E9E58" w14:textId="41792A19" w:rsidR="00DE0F03" w:rsidRDefault="00DE0F03" w:rsidP="00F326E5">
      <w:pPr>
        <w:pStyle w:val="NoSpacing"/>
        <w:rPr>
          <w:rFonts w:ascii="Arial Black" w:hAnsi="Arial Black"/>
          <w:sz w:val="28"/>
          <w:szCs w:val="28"/>
        </w:rPr>
      </w:pPr>
      <w:r>
        <w:rPr>
          <w:rFonts w:ascii="Arial Black" w:hAnsi="Arial Black"/>
          <w:sz w:val="24"/>
          <w:szCs w:val="24"/>
        </w:rPr>
        <w:t>14-2</w:t>
      </w:r>
    </w:p>
    <w:p w14:paraId="0A3AF1F3" w14:textId="77777777" w:rsidR="00DE0F03" w:rsidRDefault="00DE0F03" w:rsidP="00F326E5">
      <w:pPr>
        <w:pStyle w:val="NoSpacing"/>
        <w:rPr>
          <w:rFonts w:ascii="Arial Black" w:hAnsi="Arial Black"/>
          <w:sz w:val="28"/>
          <w:szCs w:val="28"/>
        </w:rPr>
      </w:pPr>
    </w:p>
    <w:p w14:paraId="689BFEC0" w14:textId="6A722DB6" w:rsidR="00F326E5" w:rsidRDefault="00F326E5" w:rsidP="00F326E5">
      <w:pPr>
        <w:pStyle w:val="NoSpacing"/>
        <w:rPr>
          <w:rFonts w:ascii="Arial Black" w:hAnsi="Arial Black"/>
          <w:b/>
          <w:sz w:val="24"/>
          <w:szCs w:val="24"/>
        </w:rPr>
      </w:pPr>
      <w:bookmarkStart w:id="563" w:name="_Hlk39772584"/>
      <w:bookmarkStart w:id="564" w:name="_Hlk66949967"/>
      <w:r w:rsidRPr="0010462B">
        <w:rPr>
          <w:rFonts w:ascii="Arial Black" w:hAnsi="Arial Black"/>
          <w:sz w:val="28"/>
          <w:szCs w:val="28"/>
        </w:rPr>
        <w:t>NY</w:t>
      </w:r>
      <w:r>
        <w:rPr>
          <w:rFonts w:ascii="Arial Black" w:hAnsi="Arial Black"/>
          <w:sz w:val="28"/>
          <w:szCs w:val="28"/>
        </w:rPr>
        <w:t xml:space="preserve">: </w:t>
      </w:r>
      <w:r w:rsidRPr="0010462B">
        <w:rPr>
          <w:rFonts w:ascii="Arial Black" w:hAnsi="Arial Black"/>
          <w:sz w:val="28"/>
          <w:szCs w:val="28"/>
        </w:rPr>
        <w:t>FDNY RECRUIT DIED DURING PHYSICAL EXERCISES –</w:t>
      </w:r>
      <w:r>
        <w:rPr>
          <w:rFonts w:ascii="Arial Black" w:hAnsi="Arial Black"/>
          <w:sz w:val="28"/>
          <w:szCs w:val="28"/>
        </w:rPr>
        <w:t xml:space="preserve"> </w:t>
      </w:r>
      <w:r w:rsidRPr="0010462B">
        <w:rPr>
          <w:rFonts w:ascii="Arial Black" w:hAnsi="Arial Black"/>
          <w:sz w:val="28"/>
          <w:szCs w:val="28"/>
        </w:rPr>
        <w:t>HEART CONDITION</w:t>
      </w:r>
      <w:r w:rsidR="0016102B">
        <w:rPr>
          <w:rFonts w:ascii="Arial Black" w:hAnsi="Arial Black"/>
          <w:sz w:val="28"/>
          <w:szCs w:val="28"/>
        </w:rPr>
        <w:t xml:space="preserve"> – DEATH CLAIM DENIED </w:t>
      </w:r>
      <w:r w:rsidRPr="0010462B">
        <w:rPr>
          <w:rFonts w:ascii="Arial Black" w:hAnsi="Arial Black"/>
          <w:sz w:val="28"/>
          <w:szCs w:val="28"/>
        </w:rPr>
        <w:t xml:space="preserve"> </w:t>
      </w:r>
      <w:r w:rsidRPr="0010462B">
        <w:rPr>
          <w:b/>
          <w:sz w:val="24"/>
          <w:szCs w:val="24"/>
        </w:rPr>
        <w:t>[also filed, Chap. 2]</w:t>
      </w:r>
      <w:r>
        <w:rPr>
          <w:b/>
          <w:sz w:val="24"/>
          <w:szCs w:val="24"/>
        </w:rPr>
        <w:t xml:space="preserve">  </w:t>
      </w:r>
    </w:p>
    <w:p w14:paraId="47AFA6A8" w14:textId="77777777" w:rsidR="00BC17B3" w:rsidRDefault="00F326E5" w:rsidP="00F326E5">
      <w:pPr>
        <w:pStyle w:val="NoSpacing"/>
        <w:rPr>
          <w:rFonts w:ascii="Times New Roman" w:hAnsi="Times New Roman"/>
          <w:sz w:val="24"/>
          <w:szCs w:val="24"/>
        </w:rPr>
      </w:pPr>
      <w:r w:rsidRPr="00BC17B3">
        <w:rPr>
          <w:rFonts w:ascii="Times New Roman" w:hAnsi="Times New Roman"/>
          <w:sz w:val="24"/>
          <w:szCs w:val="24"/>
        </w:rPr>
        <w:t xml:space="preserve">On April 10, 2018, in </w:t>
      </w:r>
      <w:r w:rsidRPr="00BC17B3">
        <w:rPr>
          <w:rFonts w:ascii="Times New Roman" w:hAnsi="Times New Roman"/>
          <w:sz w:val="24"/>
          <w:szCs w:val="24"/>
          <w:u w:val="single"/>
        </w:rPr>
        <w:t>Sherita Sears v. The City of New York</w:t>
      </w:r>
      <w:r w:rsidRPr="00BC17B3">
        <w:rPr>
          <w:rFonts w:ascii="Times New Roman" w:hAnsi="Times New Roman"/>
          <w:sz w:val="24"/>
          <w:szCs w:val="24"/>
        </w:rPr>
        <w:t>, the Appellate Division of the Supreme Court of State of New York (5 to 0) denied the death claim, holding:</w:t>
      </w:r>
    </w:p>
    <w:p w14:paraId="6CB8C7EC" w14:textId="77777777" w:rsidR="00BC17B3" w:rsidRDefault="00BC17B3" w:rsidP="00F326E5">
      <w:pPr>
        <w:pStyle w:val="NoSpacing"/>
        <w:rPr>
          <w:rFonts w:ascii="Times New Roman" w:hAnsi="Times New Roman"/>
          <w:sz w:val="24"/>
          <w:szCs w:val="24"/>
        </w:rPr>
      </w:pPr>
    </w:p>
    <w:p w14:paraId="4388EBE2" w14:textId="07DAA917" w:rsidR="00F326E5" w:rsidRPr="00BC17B3" w:rsidRDefault="00F326E5" w:rsidP="00BC17B3">
      <w:pPr>
        <w:pStyle w:val="NoSpacing"/>
        <w:ind w:left="720"/>
        <w:rPr>
          <w:rFonts w:ascii="Times New Roman" w:hAnsi="Times New Roman"/>
          <w:sz w:val="24"/>
          <w:szCs w:val="24"/>
        </w:rPr>
      </w:pPr>
      <w:r w:rsidRPr="00BC17B3">
        <w:rPr>
          <w:rFonts w:ascii="Times New Roman" w:hAnsi="Times New Roman"/>
          <w:sz w:val="24"/>
          <w:szCs w:val="24"/>
        </w:rPr>
        <w:t>“Plaintiff is not entitled to recover under GML §</w:t>
      </w:r>
      <w:r w:rsidRPr="00BC17B3">
        <w:rPr>
          <w:rFonts w:ascii="Times New Roman" w:hAnsi="Times New Roman"/>
          <w:sz w:val="24"/>
          <w:szCs w:val="24"/>
        </w:rPr>
        <w:t> </w:t>
      </w:r>
      <w:r w:rsidRPr="00BC17B3">
        <w:rPr>
          <w:rFonts w:ascii="Times New Roman" w:hAnsi="Times New Roman"/>
          <w:sz w:val="24"/>
          <w:szCs w:val="24"/>
        </w:rPr>
        <w:t>205–a, as the injuries decedent sustained were not the type of occupational injury that Labor Law §</w:t>
      </w:r>
      <w:r w:rsidRPr="00BC17B3">
        <w:rPr>
          <w:rFonts w:ascii="Times New Roman" w:hAnsi="Times New Roman"/>
          <w:sz w:val="24"/>
          <w:szCs w:val="24"/>
        </w:rPr>
        <w:t> </w:t>
      </w:r>
      <w:r w:rsidRPr="00BC17B3">
        <w:rPr>
          <w:rFonts w:ascii="Times New Roman" w:hAnsi="Times New Roman"/>
          <w:sz w:val="24"/>
          <w:szCs w:val="24"/>
        </w:rPr>
        <w:t xml:space="preserve">27–a was designed to protect, but rather, arose from risks unique to firefighting work (Williams v. City of New York, 2 N.Y.3d 352, 368, 779 N.Y.S.2d 449, 811 N.E.2d 1103 [2004] ).”  </w:t>
      </w:r>
      <w:hyperlink r:id="rId2322" w:history="1">
        <w:r w:rsidRPr="00BC17B3">
          <w:rPr>
            <w:rStyle w:val="Hyperlink"/>
            <w:rFonts w:ascii="Times New Roman" w:hAnsi="Times New Roman"/>
            <w:sz w:val="24"/>
            <w:szCs w:val="24"/>
          </w:rPr>
          <w:t>https://caselaw.findlaw.com/ny-supreme-court-appellate-division/1893546.html</w:t>
        </w:r>
      </w:hyperlink>
      <w:bookmarkEnd w:id="563"/>
      <w:r w:rsidRPr="00BC17B3">
        <w:rPr>
          <w:rFonts w:ascii="Times New Roman" w:hAnsi="Times New Roman"/>
          <w:sz w:val="24"/>
          <w:szCs w:val="24"/>
        </w:rPr>
        <w:t xml:space="preserve"> </w:t>
      </w:r>
    </w:p>
    <w:bookmarkEnd w:id="564"/>
    <w:p w14:paraId="51234441" w14:textId="77777777" w:rsidR="00BC17B3" w:rsidRDefault="00BC17B3" w:rsidP="00F326E5">
      <w:pPr>
        <w:pStyle w:val="NoSpacing"/>
        <w:rPr>
          <w:rFonts w:ascii="Times New Roman" w:hAnsi="Times New Roman"/>
          <w:b/>
          <w:sz w:val="24"/>
          <w:szCs w:val="24"/>
        </w:rPr>
      </w:pPr>
    </w:p>
    <w:p w14:paraId="76CE18A9" w14:textId="64BD66F2" w:rsidR="00F326E5" w:rsidRPr="00BC17B3" w:rsidRDefault="00F326E5" w:rsidP="00F326E5">
      <w:pPr>
        <w:pStyle w:val="NoSpacing"/>
        <w:rPr>
          <w:rFonts w:ascii="Times New Roman" w:hAnsi="Times New Roman"/>
          <w:sz w:val="24"/>
          <w:szCs w:val="24"/>
        </w:rPr>
      </w:pPr>
      <w:bookmarkStart w:id="565" w:name="_Hlk66950038"/>
      <w:r w:rsidRPr="00BC17B3">
        <w:rPr>
          <w:rFonts w:ascii="Times New Roman" w:hAnsi="Times New Roman"/>
          <w:b/>
          <w:sz w:val="24"/>
          <w:szCs w:val="24"/>
        </w:rPr>
        <w:lastRenderedPageBreak/>
        <w:t>Legal Lessons Learned: The New York statute requires proof of “neglect, omission, willful or culpable negligence.”</w:t>
      </w:r>
      <w:r w:rsidRPr="00BC17B3">
        <w:rPr>
          <w:rFonts w:ascii="Times New Roman" w:hAnsi="Times New Roman"/>
          <w:sz w:val="24"/>
          <w:szCs w:val="24"/>
        </w:rPr>
        <w:t xml:space="preserve"> </w:t>
      </w:r>
    </w:p>
    <w:bookmarkEnd w:id="565"/>
    <w:p w14:paraId="058519D2" w14:textId="77777777" w:rsidR="0016102B" w:rsidRDefault="0016102B" w:rsidP="00F326E5">
      <w:pPr>
        <w:pStyle w:val="NoSpacing"/>
        <w:ind w:firstLine="720"/>
      </w:pPr>
    </w:p>
    <w:p w14:paraId="5B950A3F" w14:textId="4AF10FA7" w:rsidR="00F326E5" w:rsidRPr="00BC17B3" w:rsidRDefault="0016102B" w:rsidP="00F326E5">
      <w:pPr>
        <w:pStyle w:val="NoSpacing"/>
        <w:ind w:firstLine="720"/>
        <w:rPr>
          <w:rFonts w:ascii="Times New Roman" w:hAnsi="Times New Roman"/>
          <w:b/>
          <w:bCs/>
          <w:kern w:val="36"/>
          <w:sz w:val="24"/>
          <w:szCs w:val="24"/>
        </w:rPr>
      </w:pPr>
      <w:r w:rsidRPr="0016102B">
        <w:rPr>
          <w:rFonts w:ascii="Times New Roman" w:hAnsi="Times New Roman"/>
          <w:sz w:val="24"/>
          <w:szCs w:val="24"/>
        </w:rPr>
        <w:t>Note:</w:t>
      </w:r>
      <w:r>
        <w:t xml:space="preserve"> </w:t>
      </w:r>
      <w:hyperlink r:id="rId2323" w:history="1">
        <w:r w:rsidRPr="00AC42F8">
          <w:rPr>
            <w:rStyle w:val="Hyperlink"/>
            <w:rFonts w:ascii="Times New Roman" w:hAnsi="Times New Roman"/>
            <w:sz w:val="24"/>
            <w:szCs w:val="24"/>
          </w:rPr>
          <w:t>https://codes.findlaw.com/ny/general-municipal-law/gmu-sect-205-a.html</w:t>
        </w:r>
      </w:hyperlink>
      <w:r w:rsidR="00F326E5" w:rsidRPr="00BC17B3">
        <w:rPr>
          <w:rFonts w:ascii="Times New Roman" w:hAnsi="Times New Roman"/>
          <w:b/>
          <w:bCs/>
          <w:kern w:val="36"/>
          <w:sz w:val="24"/>
          <w:szCs w:val="24"/>
        </w:rPr>
        <w:t xml:space="preserve"> </w:t>
      </w:r>
    </w:p>
    <w:p w14:paraId="7FB700A7" w14:textId="77777777" w:rsidR="00F326E5" w:rsidRPr="00BC17B3" w:rsidRDefault="00F326E5" w:rsidP="00F326E5">
      <w:pPr>
        <w:pStyle w:val="NoSpacing"/>
        <w:ind w:left="720"/>
        <w:rPr>
          <w:rFonts w:ascii="Times New Roman" w:hAnsi="Times New Roman"/>
          <w:sz w:val="24"/>
          <w:szCs w:val="24"/>
        </w:rPr>
      </w:pPr>
      <w:r w:rsidRPr="00BC17B3">
        <w:rPr>
          <w:rFonts w:ascii="Times New Roman" w:eastAsia="Times New Roman" w:hAnsi="Times New Roman"/>
          <w:bCs/>
          <w:kern w:val="36"/>
          <w:sz w:val="24"/>
          <w:szCs w:val="24"/>
        </w:rPr>
        <w:t xml:space="preserve">New York Consolidated Laws, General Municipal Law - GMU § 205-a. Additional right of action to certain injured or representatives of certain deceased firefighters </w:t>
      </w:r>
      <w:r w:rsidRPr="00BC17B3">
        <w:rPr>
          <w:rFonts w:ascii="Times New Roman" w:hAnsi="Times New Roman"/>
          <w:sz w:val="24"/>
          <w:szCs w:val="24"/>
        </w:rPr>
        <w:t>“In addition to any other right of action or recovery under any other provision of law, in the event any accident, causing injury, death or a disease which results in death, occurs directly or indirectly as a result of any neglect, omission, willful or culpable negligence of any person or persons in failing to comply with the requirements of any of the statutes, ordinances, rules, orders and requirements of the federal, state, county, village, town or city governments or of any and all their departments, divisions and bureaus, the person or persons guilty of said neglect, omission, willful or culpable negligence at the time of such injury or death shall be liable to pay any officer, member, agent or employee of any fire department injured, or whose life may be lost while in the discharge or performance at any time or place of any duty imposed by the fire commissioner, fire chief or other superior officer of the fire department, or to pay to the wife and children, or to pay to the parents, or to pay to the brothers and sisters, being the surviving heirs-at-law of any deceased person thus having lost his life, a sum of money, in case of injury to person, not less than ten thousand dollars, and in case of death not less than forty thousand dollars, such liability to be determined and such sums recovered in an action to be instituted by any person injured or the family or relatives of any person killed as aforesaid.”</w:t>
      </w:r>
    </w:p>
    <w:bookmarkEnd w:id="561"/>
    <w:p w14:paraId="2AA10AD8" w14:textId="77777777" w:rsidR="00F326E5" w:rsidRPr="00BC17B3" w:rsidRDefault="00F326E5" w:rsidP="00F326E5">
      <w:pPr>
        <w:pStyle w:val="NoSpacing"/>
        <w:rPr>
          <w:rFonts w:ascii="Times New Roman" w:hAnsi="Times New Roman"/>
          <w:sz w:val="24"/>
          <w:szCs w:val="24"/>
        </w:rPr>
      </w:pPr>
    </w:p>
    <w:p w14:paraId="7F29C3D3" w14:textId="77777777" w:rsidR="00F326E5" w:rsidRDefault="00F326E5" w:rsidP="00F326E5">
      <w:pPr>
        <w:pStyle w:val="NoSpacing"/>
        <w:rPr>
          <w:sz w:val="24"/>
          <w:szCs w:val="24"/>
        </w:rPr>
      </w:pPr>
    </w:p>
    <w:p w14:paraId="3F3556C3" w14:textId="18997406" w:rsidR="00DE0F03" w:rsidRDefault="00DE0F03" w:rsidP="00DE0F03">
      <w:pPr>
        <w:pStyle w:val="NoSpacing"/>
        <w:rPr>
          <w:rFonts w:ascii="Arial Black" w:hAnsi="Arial Black"/>
          <w:sz w:val="24"/>
          <w:szCs w:val="24"/>
        </w:rPr>
      </w:pPr>
      <w:bookmarkStart w:id="566" w:name="_Hlk7348210"/>
      <w:r>
        <w:rPr>
          <w:rFonts w:ascii="Arial Black" w:hAnsi="Arial Black"/>
          <w:sz w:val="24"/>
          <w:szCs w:val="24"/>
        </w:rPr>
        <w:t>14-1</w:t>
      </w:r>
    </w:p>
    <w:p w14:paraId="11FD5868" w14:textId="77777777" w:rsidR="00DE0F03" w:rsidRDefault="00DE0F03" w:rsidP="00F326E5">
      <w:pPr>
        <w:pStyle w:val="NoSpacing"/>
        <w:rPr>
          <w:rFonts w:ascii="Arial Black" w:hAnsi="Arial Black"/>
          <w:sz w:val="28"/>
          <w:szCs w:val="28"/>
        </w:rPr>
      </w:pPr>
    </w:p>
    <w:p w14:paraId="004A812C" w14:textId="42DC217C" w:rsidR="00F326E5" w:rsidRPr="00247719" w:rsidRDefault="00F326E5" w:rsidP="00F326E5">
      <w:pPr>
        <w:pStyle w:val="NoSpacing"/>
        <w:rPr>
          <w:rFonts w:ascii="[Times New Roman" w:hAnsi="[Times New Roman"/>
          <w:b/>
          <w:sz w:val="24"/>
          <w:szCs w:val="24"/>
        </w:rPr>
      </w:pPr>
      <w:bookmarkStart w:id="567" w:name="_Hlk39772641"/>
      <w:r>
        <w:rPr>
          <w:rFonts w:ascii="Arial Black" w:hAnsi="Arial Black"/>
          <w:sz w:val="28"/>
          <w:szCs w:val="28"/>
        </w:rPr>
        <w:t xml:space="preserve">OH: DAYTON FD RECRUIT – REMOVED FROM CLASS AFTER KNEE INJURY </w:t>
      </w:r>
      <w:r w:rsidR="00247719">
        <w:rPr>
          <w:rFonts w:ascii="Arial Black" w:hAnsi="Arial Black"/>
          <w:sz w:val="28"/>
          <w:szCs w:val="28"/>
        </w:rPr>
        <w:t xml:space="preserve">– NO FMLA VIOLATION </w:t>
      </w:r>
      <w:r w:rsidR="00247719">
        <w:rPr>
          <w:rFonts w:ascii="[Times New Roman" w:hAnsi="[Times New Roman"/>
          <w:sz w:val="24"/>
          <w:szCs w:val="24"/>
        </w:rPr>
        <w:t>[also filed, Chap. 10]</w:t>
      </w:r>
    </w:p>
    <w:p w14:paraId="6D7A83C8" w14:textId="77777777" w:rsidR="00BC17B3" w:rsidRDefault="00F326E5" w:rsidP="00F326E5">
      <w:pPr>
        <w:rPr>
          <w:rFonts w:ascii="Times New Roman" w:hAnsi="Times New Roman"/>
          <w:sz w:val="24"/>
          <w:szCs w:val="24"/>
        </w:rPr>
      </w:pPr>
      <w:r w:rsidRPr="00BC17B3">
        <w:rPr>
          <w:rFonts w:ascii="Times New Roman" w:hAnsi="Times New Roman"/>
          <w:sz w:val="24"/>
          <w:szCs w:val="24"/>
        </w:rPr>
        <w:t xml:space="preserve">On Feb. 9, </w:t>
      </w:r>
      <w:proofErr w:type="gramStart"/>
      <w:r w:rsidRPr="00BC17B3">
        <w:rPr>
          <w:rFonts w:ascii="Times New Roman" w:hAnsi="Times New Roman"/>
          <w:sz w:val="24"/>
          <w:szCs w:val="24"/>
        </w:rPr>
        <w:t>2018</w:t>
      </w:r>
      <w:proofErr w:type="gramEnd"/>
      <w:r w:rsidRPr="00BC17B3">
        <w:rPr>
          <w:rFonts w:ascii="Times New Roman" w:hAnsi="Times New Roman"/>
          <w:sz w:val="24"/>
          <w:szCs w:val="24"/>
        </w:rPr>
        <w:t xml:space="preserve"> in </w:t>
      </w:r>
      <w:r w:rsidRPr="00BC17B3">
        <w:rPr>
          <w:rFonts w:ascii="Times New Roman" w:hAnsi="Times New Roman"/>
          <w:sz w:val="24"/>
          <w:szCs w:val="24"/>
          <w:u w:val="single"/>
        </w:rPr>
        <w:t>Shawn N. Geisel v. City of Dayton, et al</w:t>
      </w:r>
      <w:r w:rsidRPr="00BC17B3">
        <w:rPr>
          <w:rFonts w:ascii="Times New Roman" w:hAnsi="Times New Roman"/>
          <w:sz w:val="24"/>
          <w:szCs w:val="24"/>
        </w:rPr>
        <w:t xml:space="preserve">., Ohio Court of Appeals for Second Circuit (Montgomery County) held (3 to 0) that the FD had the authority to remove him from the recruit class and ‘demote’ him back to EMT.   </w:t>
      </w:r>
    </w:p>
    <w:p w14:paraId="454A30DA" w14:textId="3AF1E8BE" w:rsidR="00F326E5" w:rsidRPr="00BC17B3" w:rsidRDefault="00F326E5" w:rsidP="00BC17B3">
      <w:pPr>
        <w:ind w:left="720"/>
        <w:rPr>
          <w:rFonts w:ascii="Times New Roman" w:hAnsi="Times New Roman"/>
          <w:sz w:val="24"/>
          <w:szCs w:val="24"/>
        </w:rPr>
      </w:pPr>
      <w:r w:rsidRPr="00BC17B3">
        <w:rPr>
          <w:rFonts w:ascii="Times New Roman" w:hAnsi="Times New Roman"/>
          <w:sz w:val="24"/>
          <w:szCs w:val="24"/>
        </w:rPr>
        <w:t xml:space="preserve">“We do not mean to imply that Geisel could not reapply for the position, but only that his appointment to Firefighter Recruit was a self-contained opportunity that did not entail a right to be reappointed or to continue as a recruit until he could complete the training program.”  </w:t>
      </w:r>
      <w:hyperlink r:id="rId2324" w:history="1">
        <w:r w:rsidRPr="00BC17B3">
          <w:rPr>
            <w:rStyle w:val="Hyperlink"/>
            <w:rFonts w:ascii="Times New Roman" w:hAnsi="Times New Roman"/>
            <w:sz w:val="24"/>
            <w:szCs w:val="24"/>
          </w:rPr>
          <w:t>http://www.supremecourt.ohio.gov/rod/docs/pdf/2/2018/2018-ohio-512.pdf</w:t>
        </w:r>
      </w:hyperlink>
      <w:r w:rsidRPr="00BC17B3">
        <w:rPr>
          <w:rFonts w:ascii="Times New Roman" w:hAnsi="Times New Roman"/>
          <w:sz w:val="24"/>
          <w:szCs w:val="24"/>
        </w:rPr>
        <w:t xml:space="preserve"> </w:t>
      </w:r>
    </w:p>
    <w:p w14:paraId="4A40FA0E" w14:textId="5DA50009" w:rsidR="00F326E5" w:rsidRPr="00BC17B3" w:rsidRDefault="00F326E5" w:rsidP="00F326E5">
      <w:pPr>
        <w:rPr>
          <w:rFonts w:ascii="Times New Roman" w:hAnsi="Times New Roman"/>
          <w:b/>
          <w:sz w:val="24"/>
          <w:szCs w:val="24"/>
        </w:rPr>
      </w:pPr>
      <w:bookmarkStart w:id="568" w:name="_Hlk1066962"/>
      <w:bookmarkEnd w:id="567"/>
      <w:r w:rsidRPr="00BC17B3">
        <w:rPr>
          <w:rFonts w:ascii="Times New Roman" w:hAnsi="Times New Roman"/>
          <w:b/>
          <w:sz w:val="24"/>
          <w:szCs w:val="24"/>
        </w:rPr>
        <w:t xml:space="preserve">Legal Lessons Learned:  Dayton Civil Services rules treat </w:t>
      </w:r>
      <w:proofErr w:type="gramStart"/>
      <w:r w:rsidRPr="00BC17B3">
        <w:rPr>
          <w:rFonts w:ascii="Times New Roman" w:hAnsi="Times New Roman"/>
          <w:b/>
          <w:sz w:val="24"/>
          <w:szCs w:val="24"/>
        </w:rPr>
        <w:t>a</w:t>
      </w:r>
      <w:proofErr w:type="gramEnd"/>
      <w:r w:rsidRPr="00BC17B3">
        <w:rPr>
          <w:rFonts w:ascii="Times New Roman" w:hAnsi="Times New Roman"/>
          <w:b/>
          <w:sz w:val="24"/>
          <w:szCs w:val="24"/>
        </w:rPr>
        <w:t xml:space="preserve"> FF recruit as a probationary employee; when injured in recruit school, can be “demoted” back to EMT-B and placed on light duty.</w:t>
      </w:r>
    </w:p>
    <w:p w14:paraId="1DFF312A" w14:textId="78F4250F" w:rsidR="000C4DF5" w:rsidRDefault="000C4DF5">
      <w:pPr>
        <w:spacing w:after="0" w:line="240" w:lineRule="auto"/>
        <w:rPr>
          <w:b/>
          <w:sz w:val="24"/>
          <w:szCs w:val="24"/>
        </w:rPr>
      </w:pPr>
      <w:r>
        <w:rPr>
          <w:b/>
          <w:sz w:val="24"/>
          <w:szCs w:val="24"/>
        </w:rPr>
        <w:br w:type="page"/>
      </w:r>
    </w:p>
    <w:bookmarkEnd w:id="566"/>
    <w:bookmarkEnd w:id="568"/>
    <w:p w14:paraId="16EB49F9" w14:textId="77777777" w:rsidR="004378B8" w:rsidRDefault="004378B8" w:rsidP="00F326E5">
      <w:pPr>
        <w:rPr>
          <w:rFonts w:ascii="Arial Black" w:hAnsi="Arial Black"/>
          <w:sz w:val="40"/>
          <w:szCs w:val="40"/>
        </w:rPr>
      </w:pPr>
    </w:p>
    <w:p w14:paraId="178B1B2A" w14:textId="77777777" w:rsidR="004378B8" w:rsidRDefault="004378B8" w:rsidP="00F326E5">
      <w:pPr>
        <w:rPr>
          <w:rFonts w:ascii="Arial Black" w:hAnsi="Arial Black"/>
          <w:sz w:val="40"/>
          <w:szCs w:val="40"/>
        </w:rPr>
      </w:pPr>
    </w:p>
    <w:p w14:paraId="1AC74A7C" w14:textId="77777777" w:rsidR="004378B8" w:rsidRDefault="004378B8" w:rsidP="00F326E5">
      <w:pPr>
        <w:rPr>
          <w:rFonts w:ascii="Arial Black" w:hAnsi="Arial Black"/>
          <w:sz w:val="40"/>
          <w:szCs w:val="40"/>
        </w:rPr>
      </w:pPr>
    </w:p>
    <w:p w14:paraId="787CE605" w14:textId="77777777" w:rsidR="004378B8" w:rsidRDefault="004378B8" w:rsidP="00F326E5">
      <w:pPr>
        <w:rPr>
          <w:rFonts w:ascii="Arial Black" w:hAnsi="Arial Black"/>
          <w:sz w:val="40"/>
          <w:szCs w:val="40"/>
        </w:rPr>
      </w:pPr>
    </w:p>
    <w:p w14:paraId="63BB63F1" w14:textId="77777777" w:rsidR="004378B8" w:rsidRDefault="004378B8" w:rsidP="00F326E5">
      <w:pPr>
        <w:rPr>
          <w:rFonts w:ascii="Arial Black" w:hAnsi="Arial Black"/>
          <w:sz w:val="40"/>
          <w:szCs w:val="40"/>
        </w:rPr>
      </w:pPr>
    </w:p>
    <w:p w14:paraId="44B5D944" w14:textId="77777777" w:rsidR="004378B8" w:rsidRDefault="004378B8" w:rsidP="00F326E5">
      <w:pPr>
        <w:rPr>
          <w:rFonts w:ascii="Arial Black" w:hAnsi="Arial Black"/>
          <w:sz w:val="40"/>
          <w:szCs w:val="40"/>
        </w:rPr>
      </w:pPr>
    </w:p>
    <w:p w14:paraId="79630461" w14:textId="77777777" w:rsidR="004378B8" w:rsidRDefault="004378B8" w:rsidP="00F326E5">
      <w:pPr>
        <w:rPr>
          <w:rFonts w:ascii="Arial Black" w:hAnsi="Arial Black"/>
          <w:sz w:val="40"/>
          <w:szCs w:val="40"/>
        </w:rPr>
      </w:pPr>
    </w:p>
    <w:p w14:paraId="6F3AC8F7" w14:textId="77777777" w:rsidR="004378B8" w:rsidRDefault="004378B8" w:rsidP="00F326E5">
      <w:pPr>
        <w:rPr>
          <w:rFonts w:ascii="Arial Black" w:hAnsi="Arial Black"/>
          <w:sz w:val="40"/>
          <w:szCs w:val="40"/>
        </w:rPr>
      </w:pPr>
    </w:p>
    <w:p w14:paraId="594F7C28" w14:textId="77777777" w:rsidR="004378B8" w:rsidRDefault="004378B8" w:rsidP="00F326E5">
      <w:pPr>
        <w:rPr>
          <w:rFonts w:ascii="Arial Black" w:hAnsi="Arial Black"/>
          <w:sz w:val="40"/>
          <w:szCs w:val="40"/>
        </w:rPr>
      </w:pPr>
    </w:p>
    <w:p w14:paraId="111CE97C" w14:textId="77777777" w:rsidR="004378B8" w:rsidRDefault="004378B8" w:rsidP="00F326E5">
      <w:pPr>
        <w:rPr>
          <w:rFonts w:ascii="Arial Black" w:hAnsi="Arial Black"/>
          <w:sz w:val="40"/>
          <w:szCs w:val="40"/>
        </w:rPr>
      </w:pPr>
    </w:p>
    <w:p w14:paraId="3B9AC02F" w14:textId="77777777" w:rsidR="004378B8" w:rsidRDefault="004378B8" w:rsidP="00F326E5">
      <w:pPr>
        <w:rPr>
          <w:rFonts w:ascii="Arial Black" w:hAnsi="Arial Black"/>
          <w:sz w:val="40"/>
          <w:szCs w:val="40"/>
        </w:rPr>
      </w:pPr>
    </w:p>
    <w:p w14:paraId="32151016" w14:textId="77777777" w:rsidR="004378B8" w:rsidRDefault="004378B8" w:rsidP="00F326E5">
      <w:pPr>
        <w:rPr>
          <w:rFonts w:ascii="Arial Black" w:hAnsi="Arial Black"/>
          <w:sz w:val="40"/>
          <w:szCs w:val="40"/>
        </w:rPr>
      </w:pPr>
    </w:p>
    <w:p w14:paraId="22103E84" w14:textId="77777777" w:rsidR="004378B8" w:rsidRDefault="004378B8" w:rsidP="00F326E5">
      <w:pPr>
        <w:rPr>
          <w:rFonts w:ascii="Arial Black" w:hAnsi="Arial Black"/>
          <w:sz w:val="40"/>
          <w:szCs w:val="40"/>
        </w:rPr>
      </w:pPr>
    </w:p>
    <w:p w14:paraId="466DADBD" w14:textId="77777777" w:rsidR="004378B8" w:rsidRDefault="004378B8" w:rsidP="00F326E5">
      <w:pPr>
        <w:rPr>
          <w:rFonts w:ascii="Arial Black" w:hAnsi="Arial Black"/>
          <w:sz w:val="40"/>
          <w:szCs w:val="40"/>
        </w:rPr>
      </w:pPr>
    </w:p>
    <w:p w14:paraId="6AF4ADE1" w14:textId="77777777" w:rsidR="004378B8" w:rsidRDefault="004378B8" w:rsidP="00F326E5">
      <w:pPr>
        <w:rPr>
          <w:rFonts w:ascii="Arial Black" w:hAnsi="Arial Black"/>
          <w:sz w:val="40"/>
          <w:szCs w:val="40"/>
        </w:rPr>
      </w:pPr>
    </w:p>
    <w:p w14:paraId="1A36CA2A" w14:textId="77777777" w:rsidR="004378B8" w:rsidRDefault="004378B8" w:rsidP="00F326E5">
      <w:pPr>
        <w:rPr>
          <w:rFonts w:ascii="Arial Black" w:hAnsi="Arial Black"/>
          <w:sz w:val="40"/>
          <w:szCs w:val="40"/>
        </w:rPr>
      </w:pPr>
    </w:p>
    <w:p w14:paraId="0206712B" w14:textId="77777777" w:rsidR="004378B8" w:rsidRDefault="004378B8" w:rsidP="00F326E5">
      <w:pPr>
        <w:rPr>
          <w:rFonts w:ascii="Arial Black" w:hAnsi="Arial Black"/>
          <w:sz w:val="40"/>
          <w:szCs w:val="40"/>
        </w:rPr>
      </w:pPr>
    </w:p>
    <w:p w14:paraId="1E590846" w14:textId="05B8579E" w:rsidR="00F326E5" w:rsidRDefault="00F326E5" w:rsidP="00F326E5">
      <w:pPr>
        <w:rPr>
          <w:rFonts w:ascii="Arial Black" w:hAnsi="Arial Black"/>
          <w:sz w:val="40"/>
          <w:szCs w:val="40"/>
        </w:rPr>
      </w:pPr>
      <w:r w:rsidRPr="007732FA">
        <w:rPr>
          <w:rFonts w:ascii="Arial Black" w:hAnsi="Arial Black"/>
          <w:sz w:val="40"/>
          <w:szCs w:val="40"/>
        </w:rPr>
        <w:lastRenderedPageBreak/>
        <w:t>Chap. 15</w:t>
      </w:r>
      <w:r>
        <w:rPr>
          <w:rFonts w:ascii="Arial Black" w:hAnsi="Arial Black"/>
          <w:sz w:val="40"/>
          <w:szCs w:val="40"/>
        </w:rPr>
        <w:t xml:space="preserve"> </w:t>
      </w:r>
      <w:r w:rsidR="00CA57F1">
        <w:rPr>
          <w:rFonts w:ascii="Arial Black" w:hAnsi="Arial Black"/>
          <w:sz w:val="40"/>
          <w:szCs w:val="40"/>
        </w:rPr>
        <w:t xml:space="preserve"> </w:t>
      </w:r>
      <w:r w:rsidR="00EC5D4A">
        <w:rPr>
          <w:rFonts w:ascii="Arial Black" w:hAnsi="Arial Black"/>
          <w:sz w:val="40"/>
          <w:szCs w:val="40"/>
        </w:rPr>
        <w:t>Mental Health, incl.</w:t>
      </w:r>
      <w:r w:rsidR="00CA57F1">
        <w:rPr>
          <w:rFonts w:ascii="Arial Black" w:hAnsi="Arial Black"/>
          <w:sz w:val="40"/>
          <w:szCs w:val="40"/>
        </w:rPr>
        <w:t xml:space="preserve"> </w:t>
      </w:r>
      <w:r w:rsidRPr="007732FA">
        <w:rPr>
          <w:rFonts w:ascii="Arial Black" w:hAnsi="Arial Black"/>
          <w:sz w:val="40"/>
          <w:szCs w:val="40"/>
        </w:rPr>
        <w:t>C</w:t>
      </w:r>
      <w:r w:rsidR="006D5E9F">
        <w:rPr>
          <w:rFonts w:ascii="Arial Black" w:hAnsi="Arial Black"/>
          <w:sz w:val="40"/>
          <w:szCs w:val="40"/>
        </w:rPr>
        <w:t xml:space="preserve">ISM / </w:t>
      </w:r>
      <w:r w:rsidR="00636395">
        <w:rPr>
          <w:rFonts w:ascii="Arial Black" w:hAnsi="Arial Black"/>
          <w:sz w:val="40"/>
          <w:szCs w:val="40"/>
        </w:rPr>
        <w:t>Peer Support</w:t>
      </w:r>
      <w:r w:rsidR="006D5E9F">
        <w:rPr>
          <w:rFonts w:ascii="Arial Black" w:hAnsi="Arial Black"/>
          <w:sz w:val="40"/>
          <w:szCs w:val="40"/>
        </w:rPr>
        <w:t xml:space="preserve"> </w:t>
      </w:r>
    </w:p>
    <w:p w14:paraId="164A4EB6" w14:textId="5279E774" w:rsidR="004D70DC" w:rsidRDefault="004D70DC" w:rsidP="004D70DC">
      <w:pPr>
        <w:pStyle w:val="NoSpacing"/>
        <w:rPr>
          <w:rFonts w:ascii="Arial Black" w:hAnsi="Arial Black"/>
          <w:sz w:val="24"/>
          <w:szCs w:val="24"/>
        </w:rPr>
      </w:pPr>
      <w:r>
        <w:rPr>
          <w:rFonts w:ascii="Arial Black" w:hAnsi="Arial Black"/>
          <w:sz w:val="24"/>
          <w:szCs w:val="24"/>
        </w:rPr>
        <w:t>15-52</w:t>
      </w:r>
      <w:r w:rsidR="003E35D8">
        <w:rPr>
          <w:rFonts w:ascii="Arial Black" w:hAnsi="Arial Black"/>
          <w:sz w:val="24"/>
          <w:szCs w:val="24"/>
        </w:rPr>
        <w:t xml:space="preserve"> [also filed, Chap. 9 – ADA]</w:t>
      </w:r>
    </w:p>
    <w:p w14:paraId="5566CD44" w14:textId="77777777" w:rsidR="004D70DC" w:rsidRDefault="004D70DC" w:rsidP="00073CC7">
      <w:pPr>
        <w:pStyle w:val="NoSpacing"/>
        <w:rPr>
          <w:rFonts w:ascii="Arial Black" w:hAnsi="Arial Black"/>
          <w:sz w:val="28"/>
          <w:szCs w:val="28"/>
        </w:rPr>
      </w:pPr>
    </w:p>
    <w:p w14:paraId="2F7BA50A" w14:textId="63DD979F" w:rsidR="00073CC7" w:rsidRDefault="00073CC7" w:rsidP="00073CC7">
      <w:pPr>
        <w:pStyle w:val="NoSpacing"/>
        <w:rPr>
          <w:rFonts w:ascii="Arial Black" w:hAnsi="Arial Black"/>
          <w:bCs/>
          <w:sz w:val="28"/>
          <w:szCs w:val="28"/>
        </w:rPr>
      </w:pPr>
      <w:r>
        <w:rPr>
          <w:rFonts w:ascii="Arial Black" w:hAnsi="Arial Black"/>
          <w:sz w:val="28"/>
          <w:szCs w:val="28"/>
        </w:rPr>
        <w:t>MD: DEPRESSION – SLOWER STATION – CASE PROCEED</w:t>
      </w:r>
    </w:p>
    <w:p w14:paraId="35772BD4" w14:textId="77777777" w:rsidR="00073CC7" w:rsidRDefault="00073CC7" w:rsidP="00073CC7">
      <w:pPr>
        <w:pStyle w:val="NoSpacing"/>
        <w:rPr>
          <w:rFonts w:ascii="Arial Black" w:hAnsi="Arial Black"/>
          <w:bCs/>
          <w:sz w:val="28"/>
          <w:szCs w:val="28"/>
        </w:rPr>
      </w:pPr>
    </w:p>
    <w:p w14:paraId="37D92A86" w14:textId="77777777" w:rsidR="00073CC7" w:rsidRDefault="00073CC7" w:rsidP="00073CC7">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2325" w:history="1">
        <w:r w:rsidRPr="003A1948">
          <w:rPr>
            <w:rStyle w:val="Hyperlink"/>
          </w:rPr>
          <w:t>https://cases.justia.com/federal/district-courts/maryland/mddce/1:2024cv03580/573207/56/0.pdf?ts=1777474810</w:t>
        </w:r>
      </w:hyperlink>
      <w:r>
        <w:t xml:space="preserve"> </w:t>
      </w:r>
    </w:p>
    <w:p w14:paraId="21412D99" w14:textId="77777777" w:rsidR="00073CC7" w:rsidRDefault="00073CC7" w:rsidP="00073CC7">
      <w:pPr>
        <w:pStyle w:val="NoSpacing"/>
      </w:pPr>
    </w:p>
    <w:p w14:paraId="5C7F1508" w14:textId="77777777" w:rsidR="00073CC7" w:rsidRDefault="00073CC7" w:rsidP="00073CC7">
      <w:pPr>
        <w:pStyle w:val="NoSpacing"/>
      </w:pPr>
      <w:r>
        <w:t xml:space="preserve">THE COURT HELD: </w:t>
      </w:r>
    </w:p>
    <w:p w14:paraId="1256B491" w14:textId="77777777" w:rsidR="00073CC7" w:rsidRDefault="00073CC7" w:rsidP="00073CC7">
      <w:pPr>
        <w:pStyle w:val="NoSpacing"/>
      </w:pPr>
    </w:p>
    <w:p w14:paraId="2359DE4B" w14:textId="77777777" w:rsidR="00073CC7" w:rsidRDefault="00073CC7" w:rsidP="00073CC7">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49B19EE4" w14:textId="77777777" w:rsidR="00073CC7" w:rsidRDefault="00073CC7" w:rsidP="00073CC7">
      <w:pPr>
        <w:pStyle w:val="NoSpacing"/>
        <w:ind w:left="720"/>
      </w:pPr>
    </w:p>
    <w:p w14:paraId="3E295AC8" w14:textId="77777777" w:rsidR="00073CC7" w:rsidRDefault="00073CC7" w:rsidP="00073CC7">
      <w:pPr>
        <w:pStyle w:val="NoSpacing"/>
        <w:ind w:left="720"/>
      </w:pPr>
      <w:r>
        <w:t>***</w:t>
      </w:r>
    </w:p>
    <w:p w14:paraId="538C8F36" w14:textId="77777777" w:rsidR="00073CC7" w:rsidRDefault="00073CC7" w:rsidP="00073CC7">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525EDB50" w14:textId="77777777" w:rsidR="00073CC7" w:rsidRDefault="00073CC7" w:rsidP="00073CC7">
      <w:pPr>
        <w:pStyle w:val="NoSpacing"/>
        <w:ind w:left="720"/>
      </w:pPr>
    </w:p>
    <w:p w14:paraId="1C107DF5" w14:textId="77777777" w:rsidR="00073CC7" w:rsidRDefault="00073CC7" w:rsidP="00073CC7">
      <w:pPr>
        <w:pStyle w:val="NoSpacing"/>
        <w:ind w:left="720"/>
      </w:pPr>
      <w:r>
        <w:t>***</w:t>
      </w:r>
    </w:p>
    <w:p w14:paraId="3FBCD714" w14:textId="77777777" w:rsidR="00073CC7" w:rsidRDefault="00073CC7" w:rsidP="00073CC7">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4A93E126" w14:textId="77777777" w:rsidR="00073CC7" w:rsidRDefault="00073CC7" w:rsidP="00073CC7">
      <w:pPr>
        <w:pStyle w:val="NoSpacing"/>
        <w:ind w:left="720"/>
      </w:pPr>
    </w:p>
    <w:p w14:paraId="26314234" w14:textId="77777777" w:rsidR="00073CC7" w:rsidRDefault="00073CC7" w:rsidP="00073CC7">
      <w:pPr>
        <w:pStyle w:val="NoSpacing"/>
        <w:ind w:left="720"/>
      </w:pPr>
      <w:r>
        <w:t>***</w:t>
      </w:r>
    </w:p>
    <w:p w14:paraId="4AC57EBC" w14:textId="77777777" w:rsidR="00073CC7" w:rsidRDefault="00073CC7" w:rsidP="00073CC7">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159BD4D5" w14:textId="77777777" w:rsidR="00073CC7" w:rsidRDefault="00073CC7" w:rsidP="00073CC7">
      <w:pPr>
        <w:pStyle w:val="NoSpacing"/>
        <w:ind w:left="720"/>
      </w:pPr>
    </w:p>
    <w:p w14:paraId="16409D63" w14:textId="77777777" w:rsidR="00073CC7" w:rsidRPr="004A2357" w:rsidRDefault="00073CC7" w:rsidP="00073CC7">
      <w:pPr>
        <w:rPr>
          <w:b/>
          <w:bCs/>
        </w:rPr>
      </w:pPr>
      <w:r>
        <w:rPr>
          <w:b/>
        </w:rPr>
        <w:t>Legal lesson learned: The firefighter has burden of proof in this ADA case; permanent assignment to a slower station is a unique request for “reasonable accommodation.”</w:t>
      </w:r>
    </w:p>
    <w:p w14:paraId="00192D29" w14:textId="77777777" w:rsidR="00116265" w:rsidRDefault="00116265" w:rsidP="000C4DF5">
      <w:pPr>
        <w:pStyle w:val="NoSpacing"/>
        <w:rPr>
          <w:rFonts w:ascii="Arial Black" w:hAnsi="Arial Black"/>
          <w:sz w:val="24"/>
          <w:szCs w:val="24"/>
        </w:rPr>
      </w:pPr>
    </w:p>
    <w:p w14:paraId="614A862A" w14:textId="77777777" w:rsidR="00073CC7" w:rsidRDefault="00073CC7" w:rsidP="00C143F8">
      <w:pPr>
        <w:pStyle w:val="NoSpacing"/>
        <w:rPr>
          <w:rFonts w:ascii="Arial Black" w:hAnsi="Arial Black"/>
          <w:b/>
          <w:sz w:val="28"/>
          <w:szCs w:val="28"/>
        </w:rPr>
      </w:pPr>
    </w:p>
    <w:p w14:paraId="32235DA2" w14:textId="77777777" w:rsidR="004D70DC" w:rsidRDefault="004D70DC" w:rsidP="004D70DC">
      <w:pPr>
        <w:pStyle w:val="NoSpacing"/>
        <w:rPr>
          <w:rFonts w:ascii="Arial Black" w:hAnsi="Arial Black"/>
          <w:sz w:val="24"/>
          <w:szCs w:val="24"/>
        </w:rPr>
      </w:pPr>
    </w:p>
    <w:p w14:paraId="67DF0229" w14:textId="026BE2FD" w:rsidR="004D70DC" w:rsidRDefault="004D70DC" w:rsidP="004D70DC">
      <w:pPr>
        <w:pStyle w:val="NoSpacing"/>
        <w:rPr>
          <w:rFonts w:ascii="Arial Black" w:hAnsi="Arial Black"/>
          <w:sz w:val="24"/>
          <w:szCs w:val="24"/>
        </w:rPr>
      </w:pPr>
      <w:r>
        <w:rPr>
          <w:rFonts w:ascii="Arial Black" w:hAnsi="Arial Black"/>
          <w:sz w:val="24"/>
          <w:szCs w:val="24"/>
        </w:rPr>
        <w:t>15-51</w:t>
      </w:r>
      <w:r w:rsidR="00BC4752">
        <w:rPr>
          <w:rFonts w:ascii="Arial Black" w:hAnsi="Arial Black"/>
          <w:sz w:val="24"/>
          <w:szCs w:val="24"/>
        </w:rPr>
        <w:t xml:space="preserve">  [also filed, Chap. 9, ADA]</w:t>
      </w:r>
    </w:p>
    <w:p w14:paraId="3015DCA7" w14:textId="77777777" w:rsidR="00073CC7" w:rsidRDefault="00073CC7" w:rsidP="00C143F8">
      <w:pPr>
        <w:pStyle w:val="NoSpacing"/>
        <w:rPr>
          <w:rFonts w:ascii="Arial Black" w:hAnsi="Arial Black"/>
          <w:b/>
          <w:sz w:val="28"/>
          <w:szCs w:val="28"/>
        </w:rPr>
      </w:pPr>
    </w:p>
    <w:p w14:paraId="1F2026C2" w14:textId="77777777" w:rsidR="00073CC7" w:rsidRDefault="00073CC7" w:rsidP="00C143F8">
      <w:pPr>
        <w:pStyle w:val="NoSpacing"/>
        <w:rPr>
          <w:rFonts w:ascii="Arial Black" w:hAnsi="Arial Black"/>
          <w:b/>
          <w:sz w:val="28"/>
          <w:szCs w:val="28"/>
        </w:rPr>
      </w:pPr>
    </w:p>
    <w:p w14:paraId="3964AC7F" w14:textId="51BEC88A" w:rsidR="00C143F8" w:rsidRDefault="00C143F8" w:rsidP="00C143F8">
      <w:pPr>
        <w:pStyle w:val="NoSpacing"/>
        <w:rPr>
          <w:rFonts w:ascii="Arial Black" w:hAnsi="Arial Black"/>
          <w:b/>
          <w:sz w:val="28"/>
          <w:szCs w:val="28"/>
        </w:rPr>
      </w:pPr>
      <w:r>
        <w:rPr>
          <w:rFonts w:ascii="Arial Black" w:hAnsi="Arial Black"/>
          <w:b/>
          <w:sz w:val="28"/>
          <w:szCs w:val="28"/>
        </w:rPr>
        <w:t xml:space="preserve">TX: ASSISTANT CHIEF – PTSD – NOT RIGHT INDEF. LEAVE </w:t>
      </w:r>
    </w:p>
    <w:p w14:paraId="663A5AE7" w14:textId="77777777" w:rsidR="00C143F8" w:rsidRDefault="00C143F8" w:rsidP="00C143F8">
      <w:pPr>
        <w:pStyle w:val="NoSpacing"/>
        <w:rPr>
          <w:rFonts w:ascii="Arial Black" w:hAnsi="Arial Black"/>
          <w:b/>
          <w:sz w:val="28"/>
          <w:szCs w:val="28"/>
        </w:rPr>
      </w:pPr>
    </w:p>
    <w:p w14:paraId="67BE36CB" w14:textId="77777777" w:rsidR="00C143F8" w:rsidRDefault="00C143F8" w:rsidP="00C143F8">
      <w:pPr>
        <w:pStyle w:val="NoSpacing"/>
        <w:rPr>
          <w:b/>
        </w:rPr>
      </w:pPr>
      <w:r>
        <w:t xml:space="preserve">On April 8, 2026, in </w:t>
      </w:r>
      <w:r w:rsidRPr="003A1915">
        <w:rPr>
          <w:u w:val="single"/>
        </w:rPr>
        <w:t>Cameron Kramer v. City of Frisco, Texas</w:t>
      </w:r>
      <w:r>
        <w:t xml:space="preserve">, the </w:t>
      </w:r>
      <w:r w:rsidRPr="003A1915">
        <w:t>Court of Appeals of Texas, Twelfth District, Tyler</w:t>
      </w:r>
      <w:r>
        <w:t xml:space="preserve"> held (3 to 0) that trial court properly granted summary judgment to the City since the Assistant Chief never able to provide a </w:t>
      </w:r>
      <w:r w:rsidRPr="006D408F">
        <w:t xml:space="preserve">psychological </w:t>
      </w:r>
      <w:r w:rsidRPr="008C5C09">
        <w:t>clearance</w:t>
      </w:r>
      <w:r>
        <w:t xml:space="preserve"> to return to work and indefinite leave is not a reasonable accommodation.   </w:t>
      </w:r>
      <w:r w:rsidRPr="00AA4727">
        <w:t>On August 15, 2022</w:t>
      </w:r>
      <w:r>
        <w:t xml:space="preserve"> he took Family Medical Leave Act leave for PTSD until November 1, 2022; took another 90 days of leave under City’s policy; in January 31, 2023 the city approved additional unpaid leave until March 31 as an accommodation for his PTSD; o</w:t>
      </w:r>
      <w:r w:rsidRPr="00E87171">
        <w:t>n March 31, Kraemer requested additional unpaid leave through April 30, stating at the</w:t>
      </w:r>
      <w:r>
        <w:t xml:space="preserve"> </w:t>
      </w:r>
      <w:r w:rsidRPr="00E87171">
        <w:t xml:space="preserve">end of the leave period, he would </w:t>
      </w:r>
      <w:r>
        <w:t>‘</w:t>
      </w:r>
      <w:r w:rsidRPr="00E87171">
        <w:t>be re-evaluated</w:t>
      </w:r>
      <w:r>
        <w:t xml:space="preserve">” by his treating physician.  </w:t>
      </w:r>
      <w:r w:rsidRPr="00C4058E">
        <w:t>The City viewed this as a request for</w:t>
      </w:r>
      <w:r>
        <w:t xml:space="preserve"> </w:t>
      </w:r>
      <w:r w:rsidRPr="00C4058E">
        <w:t>indefinite unpaid leave and the City’s human resources director, Lauren Safranek, initially</w:t>
      </w:r>
      <w:r>
        <w:t xml:space="preserve"> </w:t>
      </w:r>
      <w:r w:rsidRPr="00C4058E">
        <w:t xml:space="preserve">informed Kraemer that the City could not grant such a </w:t>
      </w:r>
      <w:proofErr w:type="gramStart"/>
      <w:r w:rsidRPr="00C4058E">
        <w:t>reques</w:t>
      </w:r>
      <w:r>
        <w:t>t, but</w:t>
      </w:r>
      <w:proofErr w:type="gramEnd"/>
      <w:r>
        <w:t xml:space="preserve"> gave him until </w:t>
      </w:r>
      <w:r w:rsidRPr="008C5C09">
        <w:t>April 30 to allow him to</w:t>
      </w:r>
      <w:r>
        <w:t xml:space="preserve"> </w:t>
      </w:r>
      <w:r w:rsidRPr="008C5C09">
        <w:t xml:space="preserve">obtain the required </w:t>
      </w:r>
      <w:r w:rsidRPr="006D408F">
        <w:t xml:space="preserve">psychological </w:t>
      </w:r>
      <w:r w:rsidRPr="008C5C09">
        <w:t>clearance, which Kraemer did not submit.</w:t>
      </w:r>
      <w:r>
        <w:t xml:space="preserve"> </w:t>
      </w:r>
      <w:r w:rsidRPr="00FB0730">
        <w:t xml:space="preserve">On May 1, 2023, the </w:t>
      </w:r>
      <w:proofErr w:type="gramStart"/>
      <w:r w:rsidRPr="00FB0730">
        <w:t>City</w:t>
      </w:r>
      <w:proofErr w:type="gramEnd"/>
      <w:r w:rsidRPr="00FB0730">
        <w:t xml:space="preserve"> informed Kraemer via letter that his employment was</w:t>
      </w:r>
      <w:r>
        <w:t xml:space="preserve"> </w:t>
      </w:r>
      <w:r w:rsidRPr="00FB0730">
        <w:t>terminated because of his inability to return to work “with or without reasonable</w:t>
      </w:r>
      <w:r>
        <w:t xml:space="preserve"> </w:t>
      </w:r>
      <w:r w:rsidRPr="00FB0730">
        <w:t>accommodations” following the end of his leave period</w:t>
      </w:r>
      <w:r>
        <w:t xml:space="preserve">. The letter stated, in relevant part, that “the vacancy in the position of Assistant Fire Chief is compromising the operations of the City of Frisco Fire Department and granting continued accommodations of additional leave would cause an undue burden and hardship for the department and the City, placing the safety of the community and the department at risk.” </w:t>
      </w:r>
      <w:hyperlink r:id="rId2326" w:history="1">
        <w:r w:rsidRPr="00941A72">
          <w:rPr>
            <w:rStyle w:val="Hyperlink"/>
            <w:b/>
          </w:rPr>
          <w:t>https://cases.justia.com/texas/twelfth-court-of-appeals/2026-12-25-00273-cv.pdf?ts=1775749638</w:t>
        </w:r>
      </w:hyperlink>
      <w:r>
        <w:rPr>
          <w:b/>
        </w:rPr>
        <w:t xml:space="preserve"> </w:t>
      </w:r>
    </w:p>
    <w:p w14:paraId="0748F2A6" w14:textId="77777777" w:rsidR="00C143F8" w:rsidRDefault="00C143F8" w:rsidP="00C143F8">
      <w:pPr>
        <w:pStyle w:val="NoSpacing"/>
      </w:pPr>
      <w:r>
        <w:t xml:space="preserve"> </w:t>
      </w:r>
    </w:p>
    <w:p w14:paraId="1491892C" w14:textId="77777777" w:rsidR="00C143F8" w:rsidRDefault="00C143F8" w:rsidP="00C143F8">
      <w:pPr>
        <w:pStyle w:val="NoSpacing"/>
        <w:rPr>
          <w:bCs/>
        </w:rPr>
      </w:pPr>
      <w:r>
        <w:t>THE COURT HELD:</w:t>
      </w:r>
    </w:p>
    <w:p w14:paraId="2E481FAC" w14:textId="77777777" w:rsidR="00C143F8" w:rsidRDefault="00C143F8" w:rsidP="00C143F8">
      <w:pPr>
        <w:pStyle w:val="NoSpacing"/>
        <w:rPr>
          <w:bCs/>
        </w:rPr>
      </w:pPr>
    </w:p>
    <w:p w14:paraId="1FF3D64A" w14:textId="77777777" w:rsidR="00C143F8" w:rsidRDefault="00C143F8" w:rsidP="00C143F8">
      <w:pPr>
        <w:pStyle w:val="NoSpacing"/>
        <w:ind w:left="720"/>
      </w:pPr>
      <w:r>
        <w:t>“Although taking leave that is limited in duration may be a reasonable accommodation to enable an employee to perform the essential functions of the job upon return, taking leave without a specified date to return is not a reasonable accommodation.</w:t>
      </w:r>
    </w:p>
    <w:p w14:paraId="68708F53" w14:textId="77777777" w:rsidR="00C143F8" w:rsidRDefault="00C143F8" w:rsidP="00C143F8">
      <w:pPr>
        <w:pStyle w:val="NoSpacing"/>
        <w:ind w:left="720"/>
      </w:pPr>
    </w:p>
    <w:p w14:paraId="41375711" w14:textId="77777777" w:rsidR="00C143F8" w:rsidRDefault="00C143F8" w:rsidP="00C143F8">
      <w:pPr>
        <w:pStyle w:val="NoSpacing"/>
        <w:ind w:left="720"/>
      </w:pPr>
      <w:r>
        <w:t>***</w:t>
      </w:r>
    </w:p>
    <w:p w14:paraId="031400F2" w14:textId="77777777" w:rsidR="00C143F8" w:rsidRDefault="00C143F8" w:rsidP="00C143F8">
      <w:pPr>
        <w:pStyle w:val="NoSpacing"/>
      </w:pPr>
    </w:p>
    <w:p w14:paraId="3174E841" w14:textId="77777777" w:rsidR="00C143F8" w:rsidRDefault="00C143F8" w:rsidP="00C143F8">
      <w:pPr>
        <w:pStyle w:val="NoSpacing"/>
        <w:ind w:firstLine="720"/>
      </w:pPr>
      <w:r>
        <w:t>The evidence shows that Kraemer discussed with Safranek whether he might be capable</w:t>
      </w:r>
    </w:p>
    <w:p w14:paraId="6CFEE320" w14:textId="77777777" w:rsidR="00C143F8" w:rsidRDefault="00C143F8" w:rsidP="00C143F8">
      <w:pPr>
        <w:pStyle w:val="NoSpacing"/>
        <w:ind w:left="720"/>
      </w:pPr>
      <w:r>
        <w:t xml:space="preserve">of returning to work on a reduced schedule, but nothing showing that he, or any of his doctors, ever concluded that, despite his disability, he </w:t>
      </w:r>
      <w:proofErr w:type="gramStart"/>
      <w:r>
        <w:t>was capable of performing</w:t>
      </w:r>
      <w:proofErr w:type="gramEnd"/>
      <w:r>
        <w:t xml:space="preserve"> the functions of the assistant fire chief position at all, even on a part-time basis…. In April of 2024, Dr. </w:t>
      </w:r>
      <w:proofErr w:type="spellStart"/>
      <w:r>
        <w:t>Tedwell</w:t>
      </w:r>
      <w:proofErr w:type="spellEnd"/>
      <w:r>
        <w:t xml:space="preserve"> testified before an administrative law judge that throughout her treatment relationship with Kraemer, her opinion has ‘always been that he has not been ready to go back to Frisco Fire Department[,]” an opinion which persisted until the time of her testimony.”</w:t>
      </w:r>
    </w:p>
    <w:p w14:paraId="095C277B" w14:textId="77777777" w:rsidR="00C143F8" w:rsidRDefault="00C143F8" w:rsidP="00C143F8">
      <w:pPr>
        <w:pStyle w:val="NoSpacing"/>
        <w:ind w:left="720"/>
      </w:pPr>
    </w:p>
    <w:p w14:paraId="2F63600B" w14:textId="77777777" w:rsidR="00C143F8" w:rsidRDefault="00C143F8" w:rsidP="00C143F8">
      <w:pPr>
        <w:pStyle w:val="NoSpacing"/>
      </w:pPr>
      <w:r>
        <w:rPr>
          <w:b/>
        </w:rPr>
        <w:t xml:space="preserve">Legal lesson learned: Indefinite leave is not reasonable accommodation. </w:t>
      </w:r>
    </w:p>
    <w:p w14:paraId="12684EFB" w14:textId="77777777" w:rsidR="00C143F8" w:rsidRDefault="00C143F8" w:rsidP="00C143F8">
      <w:pPr>
        <w:pStyle w:val="NoSpacing"/>
        <w:rPr>
          <w:b/>
        </w:rPr>
      </w:pPr>
    </w:p>
    <w:p w14:paraId="46AAA383" w14:textId="77777777" w:rsidR="00C143F8" w:rsidRDefault="00C143F8" w:rsidP="00C143F8">
      <w:pPr>
        <w:pStyle w:val="NoSpacing"/>
        <w:rPr>
          <w:bCs/>
        </w:rPr>
      </w:pPr>
    </w:p>
    <w:p w14:paraId="27C5B9FA" w14:textId="77777777" w:rsidR="00C143F8" w:rsidRDefault="00C143F8" w:rsidP="000C4DF5">
      <w:pPr>
        <w:pStyle w:val="NoSpacing"/>
        <w:rPr>
          <w:rFonts w:ascii="Arial Black" w:hAnsi="Arial Black"/>
          <w:sz w:val="24"/>
          <w:szCs w:val="24"/>
        </w:rPr>
      </w:pPr>
    </w:p>
    <w:p w14:paraId="2BB69D62" w14:textId="77777777" w:rsidR="00C143F8" w:rsidRDefault="00C143F8" w:rsidP="000C4DF5">
      <w:pPr>
        <w:pStyle w:val="NoSpacing"/>
        <w:rPr>
          <w:rFonts w:ascii="Arial Black" w:hAnsi="Arial Black"/>
          <w:sz w:val="24"/>
          <w:szCs w:val="24"/>
        </w:rPr>
      </w:pPr>
    </w:p>
    <w:p w14:paraId="4FB3A242" w14:textId="77777777" w:rsidR="00C143F8" w:rsidRDefault="00C143F8" w:rsidP="000C4DF5">
      <w:pPr>
        <w:pStyle w:val="NoSpacing"/>
        <w:rPr>
          <w:rFonts w:ascii="Arial Black" w:hAnsi="Arial Black"/>
          <w:sz w:val="24"/>
          <w:szCs w:val="24"/>
        </w:rPr>
      </w:pPr>
    </w:p>
    <w:p w14:paraId="79D2DD40" w14:textId="77777777" w:rsidR="00116265" w:rsidRDefault="00116265" w:rsidP="000C4DF5">
      <w:pPr>
        <w:pStyle w:val="NoSpacing"/>
        <w:rPr>
          <w:rFonts w:ascii="Arial Black" w:hAnsi="Arial Black"/>
          <w:sz w:val="24"/>
          <w:szCs w:val="24"/>
        </w:rPr>
      </w:pPr>
    </w:p>
    <w:p w14:paraId="39BCE9BA" w14:textId="60E6302B" w:rsidR="009256C3" w:rsidRDefault="009256C3" w:rsidP="000C4DF5">
      <w:pPr>
        <w:pStyle w:val="NoSpacing"/>
        <w:rPr>
          <w:rFonts w:ascii="Arial Black" w:hAnsi="Arial Black"/>
          <w:sz w:val="24"/>
          <w:szCs w:val="24"/>
        </w:rPr>
      </w:pPr>
      <w:r>
        <w:rPr>
          <w:rFonts w:ascii="Arial Black" w:hAnsi="Arial Black"/>
          <w:sz w:val="24"/>
          <w:szCs w:val="24"/>
        </w:rPr>
        <w:t>15-50</w:t>
      </w:r>
    </w:p>
    <w:p w14:paraId="313520FC" w14:textId="77777777" w:rsidR="009256C3" w:rsidRDefault="009256C3" w:rsidP="000C4DF5">
      <w:pPr>
        <w:pStyle w:val="NoSpacing"/>
        <w:rPr>
          <w:rFonts w:ascii="Arial Black" w:hAnsi="Arial Black"/>
          <w:sz w:val="24"/>
          <w:szCs w:val="24"/>
        </w:rPr>
      </w:pPr>
    </w:p>
    <w:p w14:paraId="5AB78115" w14:textId="77777777" w:rsidR="0075332D" w:rsidRPr="00745672" w:rsidRDefault="0075332D" w:rsidP="0075332D">
      <w:pPr>
        <w:pStyle w:val="NoSpacing"/>
        <w:rPr>
          <w:rFonts w:ascii="Arial Black" w:hAnsi="Arial Black"/>
          <w:b/>
          <w:sz w:val="28"/>
          <w:szCs w:val="28"/>
        </w:rPr>
      </w:pPr>
      <w:r>
        <w:rPr>
          <w:rFonts w:ascii="Arial Black" w:hAnsi="Arial Black"/>
          <w:b/>
          <w:sz w:val="28"/>
          <w:szCs w:val="28"/>
        </w:rPr>
        <w:t xml:space="preserve">MI: PSYCH EXAM – UNFIT DUTY / FF NO FOLLOW UP - FIRED </w:t>
      </w:r>
    </w:p>
    <w:p w14:paraId="4CDFDF17" w14:textId="77777777" w:rsidR="0075332D" w:rsidRDefault="0075332D" w:rsidP="0075332D">
      <w:pPr>
        <w:pStyle w:val="NoSpacing"/>
      </w:pPr>
    </w:p>
    <w:p w14:paraId="437E54BD" w14:textId="77777777" w:rsidR="0075332D" w:rsidRPr="000713CE" w:rsidRDefault="0075332D" w:rsidP="0075332D">
      <w:pPr>
        <w:pStyle w:val="NoSpacing"/>
        <w:rPr>
          <w:b/>
        </w:rPr>
      </w:pPr>
      <w:r>
        <w:t xml:space="preserve">On March 17, </w:t>
      </w:r>
      <w:proofErr w:type="gramStart"/>
      <w:r>
        <w:t>2026</w:t>
      </w:r>
      <w:proofErr w:type="gramEnd"/>
      <w:r>
        <w:t xml:space="preserve"> in </w:t>
      </w:r>
      <w:r w:rsidRPr="004C658C">
        <w:rPr>
          <w:u w:val="single"/>
        </w:rPr>
        <w:t>Dan Martin v. City of Flat Rock Fire Department and City of Flat Rock</w:t>
      </w:r>
      <w:r>
        <w:t xml:space="preserve">, the </w:t>
      </w:r>
      <w:r w:rsidRPr="004C658C">
        <w:t>Court of Appeals of Michigan</w:t>
      </w:r>
      <w:r>
        <w:t xml:space="preserve"> held (3 to 0; unpublished decision) that trial court properly granted summary judgment to the defense after pre-trial discovery was completed.  Plaintiff </w:t>
      </w:r>
      <w:proofErr w:type="gramStart"/>
      <w:r>
        <w:t>clamed</w:t>
      </w:r>
      <w:proofErr w:type="gramEnd"/>
      <w:r>
        <w:t xml:space="preserve"> retaliation for being a whistleblower about hostile conduct towards him by another firefighter and his support for a discrimination claim by another firefighter. The Court held that  the Fire Chief had a legitimate basis to order him on May 8, 2029 to undergo a psychological examination, to continue him on administrative leave when he was determined to currently be unfit for duty, and to terminate him in December 2019 for failure to the undertake the recommended </w:t>
      </w:r>
      <w:r w:rsidRPr="001C3227">
        <w:t>neuropsychological testing</w:t>
      </w:r>
      <w:r>
        <w:t xml:space="preserve">, and </w:t>
      </w:r>
      <w:r w:rsidRPr="001C3227">
        <w:t>12 psychotherapy sessions with a therapist</w:t>
      </w:r>
      <w:r>
        <w:t xml:space="preserve">, and </w:t>
      </w:r>
      <w:r w:rsidRPr="001C3227">
        <w:t>consultation with his physician regarding antidepression medication</w:t>
      </w:r>
      <w:r>
        <w:t xml:space="preserve">. </w:t>
      </w:r>
      <w:hyperlink r:id="rId2327" w:history="1">
        <w:r w:rsidRPr="004D13CD">
          <w:rPr>
            <w:rStyle w:val="Hyperlink"/>
          </w:rPr>
          <w:t>https://www.courts.michigan.gov/494b62/siteassets/case-documents/uploads/opinions/final/coa/20260317_c372830_50_372830.opn.pdf</w:t>
        </w:r>
      </w:hyperlink>
      <w:r>
        <w:t xml:space="preserve">  </w:t>
      </w:r>
    </w:p>
    <w:p w14:paraId="6085B944" w14:textId="77777777" w:rsidR="0075332D" w:rsidRDefault="0075332D" w:rsidP="0075332D">
      <w:pPr>
        <w:pStyle w:val="NoSpacing"/>
      </w:pPr>
    </w:p>
    <w:p w14:paraId="0521410B" w14:textId="77777777" w:rsidR="0075332D" w:rsidRDefault="0075332D" w:rsidP="0075332D">
      <w:pPr>
        <w:pStyle w:val="NoSpacing"/>
      </w:pPr>
    </w:p>
    <w:p w14:paraId="67C90694" w14:textId="77777777" w:rsidR="0075332D" w:rsidRDefault="0075332D" w:rsidP="0075332D">
      <w:pPr>
        <w:pStyle w:val="NoSpacing"/>
      </w:pPr>
      <w:r>
        <w:t xml:space="preserve">THE COURT HELD: “Plaintiff has failed to present sufficient evidence from which a </w:t>
      </w:r>
      <w:proofErr w:type="gramStart"/>
      <w:r>
        <w:t>fact-finder</w:t>
      </w:r>
      <w:proofErr w:type="gramEnd"/>
      <w:r>
        <w:t xml:space="preserve"> could reasonably infer that defendants’ decisions to place plaintiff on administrative leave and to continue his leave had a retaliatory basis.</w:t>
      </w:r>
    </w:p>
    <w:p w14:paraId="260E55D3" w14:textId="77777777" w:rsidR="0075332D" w:rsidRDefault="0075332D" w:rsidP="0075332D">
      <w:pPr>
        <w:pStyle w:val="NoSpacing"/>
      </w:pPr>
    </w:p>
    <w:p w14:paraId="0EFF5560" w14:textId="77777777" w:rsidR="0075332D" w:rsidRDefault="0075332D" w:rsidP="0075332D">
      <w:pPr>
        <w:pStyle w:val="NoSpacing"/>
      </w:pPr>
      <w:r>
        <w:t>***</w:t>
      </w:r>
    </w:p>
    <w:p w14:paraId="747AEF8E" w14:textId="77777777" w:rsidR="0075332D" w:rsidRPr="009E0DEA" w:rsidRDefault="0075332D" w:rsidP="0075332D">
      <w:pPr>
        <w:pStyle w:val="NoSpacing"/>
      </w:pPr>
      <w:r w:rsidRPr="009E0DEA">
        <w:t xml:space="preserve">Fire Chief </w:t>
      </w:r>
      <w:proofErr w:type="spellStart"/>
      <w:r w:rsidRPr="009E0DEA">
        <w:t>Vack</w:t>
      </w:r>
      <w:proofErr w:type="spellEnd"/>
      <w:r w:rsidRPr="009E0DEA">
        <w:t xml:space="preserve"> recommended that plaintiff undergo physical and psychological</w:t>
      </w:r>
    </w:p>
    <w:p w14:paraId="2B4516D2" w14:textId="77777777" w:rsidR="0075332D" w:rsidRPr="009E0DEA" w:rsidRDefault="0075332D" w:rsidP="0075332D">
      <w:pPr>
        <w:pStyle w:val="NoSpacing"/>
      </w:pPr>
      <w:r w:rsidRPr="009E0DEA">
        <w:t xml:space="preserve">evaluations </w:t>
      </w:r>
      <w:proofErr w:type="gramStart"/>
      <w:r w:rsidRPr="009E0DEA">
        <w:t>on the basis of</w:t>
      </w:r>
      <w:proofErr w:type="gramEnd"/>
      <w:r w:rsidRPr="009E0DEA">
        <w:t xml:space="preserve"> his own observations as well as concerns reported to him by Sergeant</w:t>
      </w:r>
    </w:p>
    <w:p w14:paraId="14893010" w14:textId="77777777" w:rsidR="0075332D" w:rsidRPr="009E0DEA" w:rsidRDefault="0075332D" w:rsidP="0075332D">
      <w:pPr>
        <w:pStyle w:val="NoSpacing"/>
      </w:pPr>
      <w:r w:rsidRPr="009E0DEA">
        <w:t>John Rose, Sergeant Rich, Metzger, and other firefighters. These concerns included: plaintiff</w:t>
      </w:r>
    </w:p>
    <w:p w14:paraId="6E058B02" w14:textId="77777777" w:rsidR="0075332D" w:rsidRPr="009E0DEA" w:rsidRDefault="0075332D" w:rsidP="0075332D">
      <w:pPr>
        <w:pStyle w:val="NoSpacing"/>
      </w:pPr>
      <w:r w:rsidRPr="009E0DEA">
        <w:t>failed to pay attention to details, acted strangely, had slurred/mumbled speech, had issues</w:t>
      </w:r>
    </w:p>
    <w:p w14:paraId="65B2CA94" w14:textId="77777777" w:rsidR="0075332D" w:rsidRPr="009E0DEA" w:rsidRDefault="0075332D" w:rsidP="0075332D">
      <w:pPr>
        <w:pStyle w:val="NoSpacing"/>
      </w:pPr>
      <w:r w:rsidRPr="009E0DEA">
        <w:t>maintaining his train of thought during a conversation, was taking numerous medications that</w:t>
      </w:r>
    </w:p>
    <w:p w14:paraId="17127D8A" w14:textId="77777777" w:rsidR="0075332D" w:rsidRPr="009E0DEA" w:rsidRDefault="0075332D" w:rsidP="0075332D">
      <w:pPr>
        <w:pStyle w:val="NoSpacing"/>
      </w:pPr>
      <w:r w:rsidRPr="009E0DEA">
        <w:t>appeared to alter his mental status, embellished stories, authored reports that did not make sense,</w:t>
      </w:r>
    </w:p>
    <w:p w14:paraId="3B66CE95" w14:textId="77777777" w:rsidR="0075332D" w:rsidRPr="009E0DEA" w:rsidRDefault="0075332D" w:rsidP="0075332D">
      <w:pPr>
        <w:pStyle w:val="NoSpacing"/>
      </w:pPr>
      <w:r w:rsidRPr="009E0DEA">
        <w:t xml:space="preserve">had driving issues, </w:t>
      </w:r>
      <w:proofErr w:type="gramStart"/>
      <w:r w:rsidRPr="009E0DEA">
        <w:t>provided</w:t>
      </w:r>
      <w:proofErr w:type="gramEnd"/>
      <w:r w:rsidRPr="009E0DEA">
        <w:t xml:space="preserve"> inaccurate patient histories, and behaved erratically. Fire Chief </w:t>
      </w:r>
      <w:proofErr w:type="spellStart"/>
      <w:r w:rsidRPr="009E0DEA">
        <w:t>Vack</w:t>
      </w:r>
      <w:proofErr w:type="spellEnd"/>
    </w:p>
    <w:p w14:paraId="720FED7D" w14:textId="77777777" w:rsidR="0075332D" w:rsidRPr="009E0DEA" w:rsidRDefault="0075332D" w:rsidP="0075332D">
      <w:pPr>
        <w:pStyle w:val="NoSpacing"/>
      </w:pPr>
      <w:r w:rsidRPr="009E0DEA">
        <w:t>expressed that he was concerned about plaintiff’s physical and mental health as well at the city’s</w:t>
      </w:r>
    </w:p>
    <w:p w14:paraId="6816B990" w14:textId="77777777" w:rsidR="0075332D" w:rsidRDefault="0075332D" w:rsidP="0075332D">
      <w:pPr>
        <w:pStyle w:val="NoSpacing"/>
      </w:pPr>
      <w:r w:rsidRPr="009E0DEA">
        <w:t>and fire department’s liability exposure.</w:t>
      </w:r>
      <w:r>
        <w:t>”</w:t>
      </w:r>
    </w:p>
    <w:p w14:paraId="4AD9AB8B" w14:textId="77777777" w:rsidR="0075332D" w:rsidRDefault="0075332D" w:rsidP="0075332D">
      <w:pPr>
        <w:pStyle w:val="NoSpacing"/>
      </w:pPr>
    </w:p>
    <w:p w14:paraId="1B96D25C" w14:textId="77777777" w:rsidR="0075332D" w:rsidRPr="003852D1" w:rsidRDefault="0075332D" w:rsidP="0075332D">
      <w:pPr>
        <w:pStyle w:val="NoSpacing"/>
        <w:rPr>
          <w:b/>
          <w:bCs/>
        </w:rPr>
      </w:pPr>
      <w:r w:rsidRPr="003852D1">
        <w:rPr>
          <w:b/>
        </w:rPr>
        <w:t>Legal lesson learned:</w:t>
      </w:r>
      <w:r>
        <w:rPr>
          <w:b/>
        </w:rPr>
        <w:t xml:space="preserve"> There was a legitimate basis to order psychological exam of the firefighter. </w:t>
      </w:r>
    </w:p>
    <w:p w14:paraId="0410C541" w14:textId="77777777" w:rsidR="0075332D" w:rsidRDefault="0075332D" w:rsidP="0075332D">
      <w:pPr>
        <w:pStyle w:val="NoSpacing"/>
      </w:pPr>
    </w:p>
    <w:p w14:paraId="1FC81AC3" w14:textId="77777777" w:rsidR="0075332D" w:rsidRDefault="0075332D" w:rsidP="000C4DF5">
      <w:pPr>
        <w:pStyle w:val="NoSpacing"/>
        <w:rPr>
          <w:rFonts w:ascii="Arial Black" w:hAnsi="Arial Black"/>
          <w:sz w:val="24"/>
          <w:szCs w:val="24"/>
        </w:rPr>
      </w:pPr>
    </w:p>
    <w:p w14:paraId="26123236" w14:textId="77777777" w:rsidR="009256C3" w:rsidRDefault="009256C3" w:rsidP="000C4DF5">
      <w:pPr>
        <w:pStyle w:val="NoSpacing"/>
        <w:rPr>
          <w:rFonts w:ascii="Arial Black" w:hAnsi="Arial Black"/>
          <w:sz w:val="24"/>
          <w:szCs w:val="24"/>
        </w:rPr>
      </w:pPr>
    </w:p>
    <w:p w14:paraId="2A497C01" w14:textId="77777777" w:rsidR="009256C3" w:rsidRDefault="009256C3" w:rsidP="000C4DF5">
      <w:pPr>
        <w:pStyle w:val="NoSpacing"/>
        <w:rPr>
          <w:rFonts w:ascii="Arial Black" w:hAnsi="Arial Black"/>
          <w:sz w:val="24"/>
          <w:szCs w:val="24"/>
        </w:rPr>
      </w:pPr>
    </w:p>
    <w:p w14:paraId="7154C7CA" w14:textId="231CFE03" w:rsidR="00816988" w:rsidRDefault="00610D0A" w:rsidP="000C4DF5">
      <w:pPr>
        <w:pStyle w:val="NoSpacing"/>
        <w:rPr>
          <w:rFonts w:ascii="Arial Black" w:hAnsi="Arial Black"/>
          <w:sz w:val="24"/>
          <w:szCs w:val="24"/>
        </w:rPr>
      </w:pPr>
      <w:r>
        <w:rPr>
          <w:rFonts w:ascii="Arial Black" w:hAnsi="Arial Black"/>
          <w:sz w:val="24"/>
          <w:szCs w:val="24"/>
        </w:rPr>
        <w:t>15-</w:t>
      </w:r>
      <w:r w:rsidR="001F6F71">
        <w:rPr>
          <w:rFonts w:ascii="Arial Black" w:hAnsi="Arial Black"/>
          <w:sz w:val="24"/>
          <w:szCs w:val="24"/>
        </w:rPr>
        <w:t>49</w:t>
      </w:r>
    </w:p>
    <w:p w14:paraId="507A0D33" w14:textId="77777777" w:rsidR="009256C3" w:rsidRDefault="009256C3" w:rsidP="000C4DF5">
      <w:pPr>
        <w:pStyle w:val="NoSpacing"/>
        <w:rPr>
          <w:rFonts w:ascii="Arial Black" w:hAnsi="Arial Black"/>
          <w:sz w:val="24"/>
          <w:szCs w:val="24"/>
        </w:rPr>
      </w:pPr>
    </w:p>
    <w:p w14:paraId="1A1F67C3" w14:textId="77777777" w:rsidR="001F6F71" w:rsidRPr="00D32581" w:rsidRDefault="001F6F71" w:rsidP="001F6F71">
      <w:pPr>
        <w:pStyle w:val="NoSpacing"/>
        <w:rPr>
          <w:rFonts w:ascii="Arial Black" w:hAnsi="Arial Black"/>
          <w:sz w:val="28"/>
          <w:szCs w:val="28"/>
        </w:rPr>
      </w:pPr>
      <w:r>
        <w:rPr>
          <w:rFonts w:ascii="Arial Black" w:hAnsi="Arial Black"/>
          <w:sz w:val="28"/>
          <w:szCs w:val="28"/>
        </w:rPr>
        <w:t>TX: MEDIC SUICIDE – COUNTY SUBPOENA PSYCH RECORDS</w:t>
      </w:r>
    </w:p>
    <w:p w14:paraId="41DC524C" w14:textId="77777777" w:rsidR="001F6F71" w:rsidRDefault="001F6F71" w:rsidP="001F6F71">
      <w:pPr>
        <w:pStyle w:val="NoSpacing"/>
      </w:pPr>
    </w:p>
    <w:p w14:paraId="3C4DF8C3" w14:textId="77777777" w:rsidR="001F6F71" w:rsidRDefault="001F6F71" w:rsidP="001F6F71">
      <w:pPr>
        <w:pStyle w:val="NoSpacing"/>
      </w:pPr>
      <w:r>
        <w:t xml:space="preserve">On February 24, 2026, in </w:t>
      </w:r>
      <w:r w:rsidRPr="00DD524A">
        <w:rPr>
          <w:u w:val="single"/>
        </w:rPr>
        <w:t>In Re Fort Bend County, et al. v. Joshua Heiliger, individually and</w:t>
      </w:r>
      <w:r>
        <w:rPr>
          <w:u w:val="single"/>
        </w:rPr>
        <w:t xml:space="preserve"> </w:t>
      </w:r>
      <w:r w:rsidRPr="00DD524A">
        <w:rPr>
          <w:u w:val="single"/>
        </w:rPr>
        <w:t>on behalf</w:t>
      </w:r>
      <w:r>
        <w:rPr>
          <w:u w:val="single"/>
        </w:rPr>
        <w:t xml:space="preserve"> </w:t>
      </w:r>
      <w:r w:rsidRPr="00DD524A">
        <w:rPr>
          <w:u w:val="single"/>
        </w:rPr>
        <w:t xml:space="preserve"> o</w:t>
      </w:r>
      <w:r>
        <w:rPr>
          <w:u w:val="single"/>
        </w:rPr>
        <w:t>f</w:t>
      </w:r>
      <w:r w:rsidRPr="00DD524A">
        <w:rPr>
          <w:u w:val="single"/>
        </w:rPr>
        <w:t xml:space="preserve"> the estate of Lauren Smith, deceased, et al</w:t>
      </w:r>
      <w:r>
        <w:t xml:space="preserve">., the </w:t>
      </w:r>
      <w:r w:rsidRPr="00DD524A">
        <w:t>Court of Appeals of Texas, Fifteenth District</w:t>
      </w:r>
      <w:r>
        <w:t xml:space="preserve"> held (3 to 0) that the trial court had no jurisdiction in this contested worker’s compensation case about dispute of Lauren’s medical records. The worker’s comp Administrative Law Judge should decide of the County’s subpoena can be enforced for the medical records from </w:t>
      </w:r>
      <w:r w:rsidRPr="00D245C9">
        <w:t>Dr. John Marcellus, the doctor who prescribed Lauren's ADHD medication</w:t>
      </w:r>
      <w:r>
        <w:t xml:space="preserve">, her </w:t>
      </w:r>
      <w:r w:rsidRPr="00D245C9">
        <w:t>hypertension along with her complaints about stress.</w:t>
      </w:r>
      <w:r>
        <w:t xml:space="preserve"> His lawsuit is therefore ordered dismissed.   </w:t>
      </w:r>
    </w:p>
    <w:p w14:paraId="164D31CD" w14:textId="77777777" w:rsidR="001F6F71" w:rsidRDefault="001F6F71" w:rsidP="001F6F71">
      <w:pPr>
        <w:pStyle w:val="NoSpacing"/>
      </w:pPr>
      <w:hyperlink r:id="rId2328" w:history="1">
        <w:r w:rsidRPr="00CB2F3F">
          <w:rPr>
            <w:rStyle w:val="Hyperlink"/>
          </w:rPr>
          <w:t>https://cases.justia.com/texas/fifteenth-court-of-appeals/2026-15-25-00102-cv.pdf?ts=1771951104</w:t>
        </w:r>
      </w:hyperlink>
      <w:r>
        <w:t xml:space="preserve"> </w:t>
      </w:r>
    </w:p>
    <w:p w14:paraId="2A7C3A99" w14:textId="77777777" w:rsidR="001F6F71" w:rsidRDefault="001F6F71" w:rsidP="001F6F71">
      <w:pPr>
        <w:pStyle w:val="NoSpacing"/>
      </w:pPr>
    </w:p>
    <w:p w14:paraId="7AE0D11A" w14:textId="77777777" w:rsidR="001F6F71" w:rsidRDefault="001F6F71" w:rsidP="001F6F71">
      <w:pPr>
        <w:pStyle w:val="NoSpacing"/>
        <w:rPr>
          <w:bCs/>
        </w:rPr>
      </w:pPr>
      <w:r>
        <w:t>THE COURT HELD:  “</w:t>
      </w:r>
      <w:r w:rsidRPr="00766FC4">
        <w:t>Heiliger</w:t>
      </w:r>
      <w:r>
        <w:t xml:space="preserve"> … </w:t>
      </w:r>
      <w:r w:rsidRPr="00766FC4">
        <w:t>filed his claim with the Division</w:t>
      </w:r>
      <w:r>
        <w:t xml:space="preserve"> [of Worker’s Compensation]</w:t>
      </w:r>
      <w:r w:rsidRPr="00766FC4">
        <w:t xml:space="preserve">, seeking a finding that he and his daughter are entitled to workers' compensation benefits because his wife died </w:t>
      </w:r>
      <w:proofErr w:type="gramStart"/>
      <w:r w:rsidRPr="00766FC4">
        <w:t>as a result of</w:t>
      </w:r>
      <w:proofErr w:type="gramEnd"/>
      <w:r w:rsidRPr="00766FC4">
        <w:t xml:space="preserve"> her work, a contention her employer contests</w:t>
      </w:r>
      <w:r>
        <w:t>…. I</w:t>
      </w:r>
      <w:r w:rsidRPr="00E11DDE">
        <w:t>n this case, that means if Heiliger objected to the amended subpoena or the subpoenaed party did not comply, then the ALJ or Fort Bend County</w:t>
      </w:r>
      <w:r>
        <w:t xml:space="preserve"> </w:t>
      </w:r>
      <w:r w:rsidRPr="00E11DDE">
        <w:t>-</w:t>
      </w:r>
      <w:r>
        <w:t xml:space="preserve"> </w:t>
      </w:r>
      <w:r w:rsidRPr="00E11DDE">
        <w:t>not Heiliger-</w:t>
      </w:r>
      <w:r>
        <w:t xml:space="preserve"> </w:t>
      </w:r>
      <w:r w:rsidRPr="00E11DDE">
        <w:t>would have the option to seek an order compelling compliance from a district court in Travis County or Harris County. Instead, Heiliger took matters into his own hands and filed a suit in Harris County to enjoin the subpoena instead of waiting for the administrative process to play out</w:t>
      </w:r>
      <w:r>
        <w:t xml:space="preserve">…. </w:t>
      </w:r>
      <w:r w:rsidRPr="00A22D34">
        <w:t xml:space="preserve">We first address whether the trial court has jurisdiction over Heiliger's suit and </w:t>
      </w:r>
      <w:proofErr w:type="gramStart"/>
      <w:r w:rsidRPr="00A22D34">
        <w:t>conclude</w:t>
      </w:r>
      <w:proofErr w:type="gramEnd"/>
      <w:r w:rsidRPr="00A22D34">
        <w:t xml:space="preserve"> it does not. "The Division of </w:t>
      </w:r>
      <w:r w:rsidRPr="00A22D34">
        <w:lastRenderedPageBreak/>
        <w:t xml:space="preserve">Workers' Compensation administers the [workers' compensation] system and has exclusive jurisdiction to determine </w:t>
      </w:r>
      <w:r>
        <w:t xml:space="preserve"> </w:t>
      </w:r>
      <w:r w:rsidRPr="00A22D34">
        <w:t xml:space="preserve">compensation entitlement and to award any benefits." </w:t>
      </w:r>
      <w:r w:rsidRPr="00A22D34">
        <w:rPr>
          <w:i/>
          <w:iCs/>
        </w:rPr>
        <w:t>University of Tex. Rio Grande Valley v. Oteka</w:t>
      </w:r>
      <w:r w:rsidRPr="00A22D34">
        <w:t xml:space="preserve">, 715 S.W.3d 734, 736 (Tex. 2025). </w:t>
      </w:r>
    </w:p>
    <w:p w14:paraId="1DC2C444" w14:textId="77777777" w:rsidR="001F6F71" w:rsidRDefault="001F6F71" w:rsidP="001F6F71">
      <w:pPr>
        <w:pStyle w:val="NoSpacing"/>
        <w:rPr>
          <w:bCs/>
        </w:rPr>
      </w:pPr>
    </w:p>
    <w:p w14:paraId="53F014E2" w14:textId="77777777" w:rsidR="001F6F71" w:rsidRPr="00445625" w:rsidRDefault="001F6F71" w:rsidP="001F6F71">
      <w:pPr>
        <w:pStyle w:val="NoSpacing"/>
        <w:rPr>
          <w:b/>
        </w:rPr>
      </w:pPr>
      <w:r>
        <w:rPr>
          <w:b/>
        </w:rPr>
        <w:t xml:space="preserve">Legal lesson learned: The worker’s comp. Hearing Officer will now decide if the deceased’s medical records must be disclosed and then hold a hearing on the worker’s comp claim. </w:t>
      </w:r>
    </w:p>
    <w:p w14:paraId="3C5DF413" w14:textId="77777777" w:rsidR="001F6F71" w:rsidRDefault="001F6F71" w:rsidP="001F6F71">
      <w:pPr>
        <w:pStyle w:val="NoSpacing"/>
        <w:rPr>
          <w:bCs/>
        </w:rPr>
      </w:pPr>
    </w:p>
    <w:p w14:paraId="4EA13948" w14:textId="77777777" w:rsidR="001F6F71" w:rsidRDefault="001F6F71" w:rsidP="000C4DF5">
      <w:pPr>
        <w:pStyle w:val="NoSpacing"/>
        <w:rPr>
          <w:rFonts w:ascii="Arial Black" w:hAnsi="Arial Black"/>
          <w:sz w:val="24"/>
          <w:szCs w:val="24"/>
        </w:rPr>
      </w:pPr>
    </w:p>
    <w:p w14:paraId="6075AF63" w14:textId="77777777" w:rsidR="00683602" w:rsidRDefault="00683602" w:rsidP="00683602">
      <w:pPr>
        <w:pStyle w:val="NoSpacing"/>
        <w:rPr>
          <w:rFonts w:ascii="Arial Black" w:hAnsi="Arial Black"/>
          <w:b/>
          <w:sz w:val="28"/>
          <w:szCs w:val="28"/>
        </w:rPr>
      </w:pPr>
      <w:r>
        <w:rPr>
          <w:rFonts w:ascii="Arial Black" w:hAnsi="Arial Black"/>
          <w:b/>
          <w:sz w:val="28"/>
          <w:szCs w:val="28"/>
        </w:rPr>
        <w:t>OR: DISPATCHER – 20 YRS – 2 MDs / NO PTSD - NO WK COMP</w:t>
      </w:r>
    </w:p>
    <w:p w14:paraId="1DD65FCE" w14:textId="77777777" w:rsidR="00683602" w:rsidRDefault="00683602" w:rsidP="00683602">
      <w:pPr>
        <w:pStyle w:val="NoSpacing"/>
        <w:rPr>
          <w:b/>
        </w:rPr>
      </w:pPr>
    </w:p>
    <w:p w14:paraId="44261875" w14:textId="77777777" w:rsidR="00683602" w:rsidRPr="00BD3E91" w:rsidRDefault="00683602" w:rsidP="00683602">
      <w:pPr>
        <w:pStyle w:val="NoSpacing"/>
        <w:rPr>
          <w:bCs/>
        </w:rPr>
      </w:pPr>
      <w:r>
        <w:t xml:space="preserve">On Feb. 11, 2026, in </w:t>
      </w:r>
      <w:r w:rsidRPr="00817C08">
        <w:rPr>
          <w:u w:val="single"/>
        </w:rPr>
        <w:t>In The Matter Of The Compensation Of Camille Smicz v. Deschutes County 911 Service District</w:t>
      </w:r>
      <w:r>
        <w:t xml:space="preserve">, the </w:t>
      </w:r>
      <w:r w:rsidRPr="00817C08">
        <w:t>Court of Appeals of Oregon</w:t>
      </w:r>
      <w:r>
        <w:t xml:space="preserve"> held (3 to 0) that the </w:t>
      </w:r>
      <w:r w:rsidRPr="00FB066E">
        <w:t>Workers' Compensation Board</w:t>
      </w:r>
      <w:r>
        <w:t xml:space="preserve">’s </w:t>
      </w:r>
      <w:r w:rsidRPr="00BD3E91">
        <w:t>determination</w:t>
      </w:r>
      <w:r>
        <w:t xml:space="preserve"> was s</w:t>
      </w:r>
      <w:r w:rsidRPr="00BD3E91">
        <w:t>upported by substantial evidence</w:t>
      </w:r>
      <w:r>
        <w:t>; the   c</w:t>
      </w:r>
      <w:r w:rsidRPr="00BD3E91">
        <w:t xml:space="preserve">laimant </w:t>
      </w:r>
      <w:r>
        <w:t xml:space="preserve">failed to </w:t>
      </w:r>
      <w:r w:rsidRPr="00BD3E91">
        <w:t xml:space="preserve">establish by a preponderance of persuasive medical evidence that </w:t>
      </w:r>
      <w:r>
        <w:t xml:space="preserve">she </w:t>
      </w:r>
      <w:r w:rsidRPr="00BD3E91">
        <w:t>met the criteria for PTSD.</w:t>
      </w:r>
      <w:r>
        <w:t xml:space="preserve"> </w:t>
      </w:r>
      <w:r w:rsidRPr="00225020">
        <w:t xml:space="preserve">The </w:t>
      </w:r>
      <w:r>
        <w:t xml:space="preserve">Administrative Law Judge after a hearing denied her claim, and </w:t>
      </w:r>
      <w:r w:rsidRPr="00225020">
        <w:t xml:space="preserve">Board found that </w:t>
      </w:r>
      <w:r>
        <w:t>the opinion of Dr. Barran (psychologist who interviewed her for 3 hours)</w:t>
      </w:r>
      <w:r w:rsidRPr="00225020">
        <w:t xml:space="preserve"> "was not based on a complete or accurate history" because he did not review the reports of the </w:t>
      </w:r>
      <w:r>
        <w:t xml:space="preserve">two </w:t>
      </w:r>
      <w:r w:rsidRPr="00225020">
        <w:t>other diagnosing medical doctors</w:t>
      </w:r>
      <w:r>
        <w:t xml:space="preserve"> (psychiatrist and a psychologist) who concluded she does suffer from PTSD. </w:t>
      </w:r>
      <w:hyperlink r:id="rId2329" w:history="1">
        <w:r w:rsidRPr="002B0907">
          <w:rPr>
            <w:rStyle w:val="Hyperlink"/>
          </w:rPr>
          <w:t>https://www.casemine.com/judgement/us/698dd4328a508cf645e20167</w:t>
        </w:r>
      </w:hyperlink>
      <w:r>
        <w:t xml:space="preserve"> </w:t>
      </w:r>
    </w:p>
    <w:p w14:paraId="04852A4E" w14:textId="77777777" w:rsidR="00683602" w:rsidRPr="00817C08" w:rsidRDefault="00683602" w:rsidP="00683602">
      <w:pPr>
        <w:pStyle w:val="NoSpacing"/>
        <w:rPr>
          <w:bCs/>
        </w:rPr>
      </w:pPr>
    </w:p>
    <w:p w14:paraId="03B4B819" w14:textId="77777777" w:rsidR="00683602" w:rsidRDefault="00683602" w:rsidP="00683602">
      <w:pPr>
        <w:pStyle w:val="NoSpacing"/>
      </w:pPr>
      <w:r>
        <w:t>THE COURT HELD: “</w:t>
      </w:r>
      <w:r w:rsidRPr="00A972C2">
        <w:t xml:space="preserve">Claimant worked as a 9-1-1 dispatcher for 20 years. Over her 20 years as a dispatcher, claimant assisted by phone with many alarming and disturbing situations, and she eventually asserted that the </w:t>
      </w:r>
      <w:r>
        <w:t>‘</w:t>
      </w:r>
      <w:r w:rsidRPr="00A972C2">
        <w:t>continued exposure to trauma and critical incidents</w:t>
      </w:r>
      <w:r>
        <w:t>’</w:t>
      </w:r>
      <w:r w:rsidRPr="00A972C2">
        <w:t xml:space="preserve"> led to an occupational disease of </w:t>
      </w:r>
      <w:r>
        <w:t>‘</w:t>
      </w:r>
      <w:r w:rsidRPr="00A972C2">
        <w:t>PTSD, secondary trauma, [and] cumulative stress disorder.</w:t>
      </w:r>
      <w:r>
        <w:t>’</w:t>
      </w:r>
      <w:r w:rsidRPr="00A972C2">
        <w:t xml:space="preserve"> However, the combined medical history that all three testifying experts relied upon also indicated significant non-work-related stressors that claimant experienced and that had led to her receiving other mental health diagnoses in the past—including that claimant's son had been in residential facilities due to developmental disabilities and violence toward claimant, such as holding a belt across claim- ant's neck while she was sleeping; that claimant recently went through a divorce that required a restraining order; and that claimant had severe health complications from an unsuccessful surgery.</w:t>
      </w:r>
      <w:r>
        <w:t xml:space="preserve"> *** </w:t>
      </w:r>
      <w:r w:rsidRPr="00C54522">
        <w:t xml:space="preserve">The three experts differed in their assessment of claimant. Drs. Wicher (a psychologist) and </w:t>
      </w:r>
      <w:proofErr w:type="spellStart"/>
      <w:r w:rsidRPr="00C54522">
        <w:t>Telew</w:t>
      </w:r>
      <w:proofErr w:type="spellEnd"/>
      <w:r w:rsidRPr="00C54522">
        <w:t xml:space="preserve"> (a psychiatrist) conducted medical evaluations at the request of claimant's employer and could not determine that claimant suffered from PTSD. Wicher concluded that her symptoms better fit the criteria for an adjustment disorder, and upon reviewing her previous diagnoses, concluded that her major depressive disorder and unspecified anxiety disorder developed </w:t>
      </w:r>
      <w:proofErr w:type="gramStart"/>
      <w:r w:rsidRPr="00C54522">
        <w:t>during the course of</w:t>
      </w:r>
      <w:proofErr w:type="gramEnd"/>
      <w:r w:rsidRPr="00C54522">
        <w:t xml:space="preserve"> her </w:t>
      </w:r>
      <w:proofErr w:type="gramStart"/>
      <w:r w:rsidRPr="00C54522">
        <w:t xml:space="preserve">work, </w:t>
      </w:r>
      <w:r>
        <w:t>‘</w:t>
      </w:r>
      <w:proofErr w:type="gramEnd"/>
      <w:r w:rsidRPr="00C54522">
        <w:t>but not largely due to the experiences at work.</w:t>
      </w:r>
      <w:r>
        <w:t>’</w:t>
      </w:r>
      <w:r w:rsidRPr="00C54522">
        <w:t xml:space="preserve"> </w:t>
      </w:r>
      <w:proofErr w:type="spellStart"/>
      <w:r w:rsidRPr="00C54522">
        <w:t>Telew</w:t>
      </w:r>
      <w:proofErr w:type="spellEnd"/>
      <w:r w:rsidRPr="00C54522">
        <w:t xml:space="preserve"> similarly opined that </w:t>
      </w:r>
      <w:r>
        <w:t>‘</w:t>
      </w:r>
      <w:r w:rsidRPr="00C54522">
        <w:t>[</w:t>
      </w:r>
      <w:proofErr w:type="spellStart"/>
      <w:r w:rsidRPr="00C54522">
        <w:t>i</w:t>
      </w:r>
      <w:proofErr w:type="spellEnd"/>
      <w:r w:rsidRPr="00C54522">
        <w:t>]t is evident that she does not have sufficient symptomatology to make a diagnosis of PTSD.</w:t>
      </w:r>
      <w:r>
        <w:t>’</w:t>
      </w:r>
      <w:r w:rsidRPr="00C54522">
        <w:t xml:space="preserve"> His analysis included indications that she was exaggerating symptoms, did not have a problem discussing events she identified as traumatic, and did not avoid or even evi</w:t>
      </w:r>
      <w:r>
        <w:t>de</w:t>
      </w:r>
      <w:r w:rsidRPr="00C54522">
        <w:t xml:space="preserve">nce a reaction to stimuli that she had identified as causing panic </w:t>
      </w:r>
      <w:proofErr w:type="gramStart"/>
      <w:r w:rsidRPr="00C54522">
        <w:t>attacks.</w:t>
      </w:r>
      <w:r>
        <w:t>”</w:t>
      </w:r>
      <w:proofErr w:type="gramEnd"/>
    </w:p>
    <w:p w14:paraId="47074EAE" w14:textId="77777777" w:rsidR="00683602" w:rsidRDefault="00683602" w:rsidP="00683602">
      <w:pPr>
        <w:pStyle w:val="NoSpacing"/>
      </w:pPr>
    </w:p>
    <w:p w14:paraId="7E623A81" w14:textId="77777777" w:rsidR="00683602" w:rsidRPr="00B71524" w:rsidRDefault="00683602" w:rsidP="00683602">
      <w:pPr>
        <w:pStyle w:val="NoSpacing"/>
      </w:pPr>
      <w:r w:rsidRPr="00AA6A27">
        <w:rPr>
          <w:b/>
        </w:rPr>
        <w:t xml:space="preserve">Legal lesson learned: </w:t>
      </w:r>
      <w:r>
        <w:rPr>
          <w:b/>
        </w:rPr>
        <w:t xml:space="preserve">Battle of the experts; two experts found no work created PTSD. </w:t>
      </w:r>
    </w:p>
    <w:p w14:paraId="22FD0A02" w14:textId="77777777" w:rsidR="00683602" w:rsidRDefault="00683602" w:rsidP="000C4DF5">
      <w:pPr>
        <w:pStyle w:val="NoSpacing"/>
        <w:rPr>
          <w:rFonts w:ascii="Arial Black" w:hAnsi="Arial Black"/>
          <w:sz w:val="24"/>
          <w:szCs w:val="24"/>
        </w:rPr>
      </w:pPr>
    </w:p>
    <w:p w14:paraId="111CEE87" w14:textId="77777777" w:rsidR="00610D0A" w:rsidRDefault="00610D0A" w:rsidP="00491756">
      <w:pPr>
        <w:pStyle w:val="NoSpacing"/>
        <w:rPr>
          <w:rFonts w:ascii="Arial Black" w:hAnsi="Arial Black"/>
          <w:sz w:val="24"/>
          <w:szCs w:val="24"/>
        </w:rPr>
      </w:pPr>
    </w:p>
    <w:p w14:paraId="3A086F43" w14:textId="77777777" w:rsidR="00610D0A" w:rsidRDefault="00610D0A" w:rsidP="00491756">
      <w:pPr>
        <w:pStyle w:val="NoSpacing"/>
        <w:rPr>
          <w:rFonts w:ascii="Arial Black" w:hAnsi="Arial Black"/>
          <w:sz w:val="24"/>
          <w:szCs w:val="24"/>
        </w:rPr>
      </w:pPr>
    </w:p>
    <w:p w14:paraId="70D213C8" w14:textId="77777777" w:rsidR="00610D0A" w:rsidRDefault="00610D0A" w:rsidP="00491756">
      <w:pPr>
        <w:pStyle w:val="NoSpacing"/>
        <w:rPr>
          <w:rFonts w:ascii="Arial Black" w:hAnsi="Arial Black"/>
          <w:sz w:val="24"/>
          <w:szCs w:val="24"/>
        </w:rPr>
      </w:pPr>
    </w:p>
    <w:p w14:paraId="4AB005F8" w14:textId="70A1233F" w:rsidR="00CD6C01" w:rsidRPr="00977F30" w:rsidRDefault="00CD6C01" w:rsidP="00491756">
      <w:pPr>
        <w:pStyle w:val="NoSpacing"/>
        <w:rPr>
          <w:rFonts w:ascii="Times New Roman" w:hAnsi="Times New Roman"/>
          <w:sz w:val="24"/>
          <w:szCs w:val="24"/>
        </w:rPr>
      </w:pPr>
      <w:r>
        <w:rPr>
          <w:rFonts w:ascii="Arial Black" w:hAnsi="Arial Black"/>
          <w:sz w:val="24"/>
          <w:szCs w:val="24"/>
        </w:rPr>
        <w:t>15-4</w:t>
      </w:r>
      <w:r w:rsidR="003D2AAD">
        <w:rPr>
          <w:rFonts w:ascii="Arial Black" w:hAnsi="Arial Black"/>
          <w:sz w:val="24"/>
          <w:szCs w:val="24"/>
        </w:rPr>
        <w:t xml:space="preserve">7 </w:t>
      </w:r>
      <w:r w:rsidR="003D2AAD" w:rsidRPr="003D2AAD">
        <w:rPr>
          <w:rFonts w:ascii="Times New Roman" w:hAnsi="Times New Roman"/>
          <w:sz w:val="24"/>
          <w:szCs w:val="24"/>
        </w:rPr>
        <w:t>[also filed,</w:t>
      </w:r>
      <w:r w:rsidR="003D2AAD">
        <w:rPr>
          <w:rFonts w:ascii="Arial Black" w:hAnsi="Arial Black"/>
          <w:sz w:val="24"/>
          <w:szCs w:val="24"/>
        </w:rPr>
        <w:t xml:space="preserve"> </w:t>
      </w:r>
      <w:r w:rsidR="00977F30" w:rsidRPr="00977F30">
        <w:rPr>
          <w:rFonts w:ascii="Times New Roman" w:hAnsi="Times New Roman"/>
          <w:sz w:val="24"/>
          <w:szCs w:val="24"/>
        </w:rPr>
        <w:t xml:space="preserve">Chap. 9, ADA] </w:t>
      </w:r>
    </w:p>
    <w:p w14:paraId="60E43917" w14:textId="77777777" w:rsidR="003D2AAD" w:rsidRDefault="003D2AAD" w:rsidP="00491756">
      <w:pPr>
        <w:pStyle w:val="NoSpacing"/>
        <w:rPr>
          <w:rFonts w:ascii="Arial Black" w:hAnsi="Arial Black"/>
          <w:sz w:val="24"/>
          <w:szCs w:val="24"/>
        </w:rPr>
      </w:pPr>
    </w:p>
    <w:p w14:paraId="5A32F3ED" w14:textId="77777777" w:rsidR="003D2AAD" w:rsidRPr="00FC582A" w:rsidRDefault="003D2AAD" w:rsidP="003D2AAD">
      <w:pPr>
        <w:pStyle w:val="NoSpacing"/>
        <w:rPr>
          <w:rFonts w:ascii="Arial Black" w:hAnsi="Arial Black"/>
          <w:sz w:val="28"/>
          <w:szCs w:val="28"/>
        </w:rPr>
      </w:pPr>
      <w:r>
        <w:rPr>
          <w:rFonts w:ascii="Arial Black" w:hAnsi="Arial Black"/>
          <w:sz w:val="28"/>
          <w:szCs w:val="28"/>
        </w:rPr>
        <w:t>SC: MEDIC PTSD – DIDN’T INTERVIEW FOR BILLING JOB</w:t>
      </w:r>
    </w:p>
    <w:p w14:paraId="6FC4C3CE" w14:textId="77777777" w:rsidR="003D2AAD" w:rsidRDefault="003D2AAD" w:rsidP="003D2AAD">
      <w:pPr>
        <w:pStyle w:val="NoSpacing"/>
        <w:ind w:left="720"/>
      </w:pPr>
    </w:p>
    <w:p w14:paraId="6A98A793" w14:textId="77777777" w:rsidR="003D2AAD" w:rsidRDefault="003D2AAD" w:rsidP="003D2AAD">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w:t>
      </w:r>
      <w:r>
        <w:lastRenderedPageBreak/>
        <w:t xml:space="preserve">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2330" w:history="1">
        <w:r w:rsidRPr="007B3445">
          <w:rPr>
            <w:rStyle w:val="Hyperlink"/>
          </w:rPr>
          <w:t>https://cases.justia.com/federal/district-courts/south-carolina/scdce/0:2024cv00826/288831/46/0.pdf</w:t>
        </w:r>
      </w:hyperlink>
      <w:r>
        <w:t xml:space="preserve"> </w:t>
      </w:r>
    </w:p>
    <w:p w14:paraId="7D61A869" w14:textId="77777777" w:rsidR="003D2AAD" w:rsidRDefault="003D2AAD" w:rsidP="003D2AAD">
      <w:pPr>
        <w:pStyle w:val="NoSpacing"/>
        <w:rPr>
          <w:bCs/>
        </w:rPr>
      </w:pPr>
    </w:p>
    <w:p w14:paraId="2686C792" w14:textId="77777777" w:rsidR="003D2AAD" w:rsidRDefault="003D2AAD" w:rsidP="003D2AAD">
      <w:pPr>
        <w:pStyle w:val="NoSpacing"/>
        <w:rPr>
          <w:bCs/>
        </w:rPr>
      </w:pPr>
      <w:r>
        <w:t xml:space="preserve">THE COURT HELD: </w:t>
      </w:r>
    </w:p>
    <w:p w14:paraId="1BA2F698" w14:textId="77777777" w:rsidR="003D2AAD" w:rsidRDefault="003D2AAD" w:rsidP="003D2AAD">
      <w:pPr>
        <w:pStyle w:val="NoSpacing"/>
        <w:rPr>
          <w:bCs/>
        </w:rPr>
      </w:pPr>
    </w:p>
    <w:p w14:paraId="55DAF4CB" w14:textId="77777777" w:rsidR="003D2AAD" w:rsidRDefault="003D2AAD" w:rsidP="003D2AAD">
      <w:pPr>
        <w:pStyle w:val="NoSpacing"/>
        <w:ind w:firstLine="720"/>
      </w:pPr>
      <w:r>
        <w:t>“Plaintiff was employed by Chester County in its Emergency Medical Services (‘EMS’)</w:t>
      </w:r>
    </w:p>
    <w:p w14:paraId="4BEDE5D7" w14:textId="77777777" w:rsidR="003D2AAD" w:rsidRDefault="003D2AAD" w:rsidP="003D2AAD">
      <w:pPr>
        <w:pStyle w:val="NoSpacing"/>
        <w:ind w:left="720"/>
      </w:pPr>
      <w:r>
        <w:t xml:space="preserve">department from May 2016 until January 2023….He was promoted to Senior Paramedic on December 4, 2021…. An essential function of the Senior Paramedic was operation of an ambulance. </w:t>
      </w:r>
    </w:p>
    <w:p w14:paraId="009737A2" w14:textId="77777777" w:rsidR="003D2AAD" w:rsidRDefault="003D2AAD" w:rsidP="003D2AAD">
      <w:pPr>
        <w:pStyle w:val="NoSpacing"/>
        <w:ind w:left="720"/>
      </w:pPr>
    </w:p>
    <w:p w14:paraId="443E031D" w14:textId="77777777" w:rsidR="003D2AAD" w:rsidRDefault="003D2AAD" w:rsidP="003D2AAD">
      <w:pPr>
        <w:pStyle w:val="NoSpacing"/>
        <w:ind w:left="720"/>
      </w:pPr>
      <w:r>
        <w:t>***</w:t>
      </w:r>
    </w:p>
    <w:p w14:paraId="1A0A5165" w14:textId="77777777" w:rsidR="003D2AAD" w:rsidRDefault="003D2AAD" w:rsidP="003D2AAD">
      <w:pPr>
        <w:pStyle w:val="NoSpacing"/>
      </w:pPr>
    </w:p>
    <w:p w14:paraId="18E1572D" w14:textId="77777777" w:rsidR="003D2AAD" w:rsidRDefault="003D2AAD" w:rsidP="003D2AAD">
      <w:pPr>
        <w:pStyle w:val="NoSpacing"/>
        <w:ind w:firstLine="720"/>
      </w:pPr>
      <w:r>
        <w:t xml:space="preserve">Plaintiff was </w:t>
      </w:r>
      <w:proofErr w:type="gramStart"/>
      <w:r>
        <w:t>provided</w:t>
      </w:r>
      <w:proofErr w:type="gramEnd"/>
      <w:r>
        <w:t xml:space="preserve"> the opportunity to apply and interview for the billing specialist</w:t>
      </w:r>
    </w:p>
    <w:p w14:paraId="17DA17C4" w14:textId="77777777" w:rsidR="003D2AAD" w:rsidRDefault="003D2AAD" w:rsidP="003D2AAD">
      <w:pPr>
        <w:pStyle w:val="NoSpacing"/>
        <w:ind w:left="720"/>
      </w:pPr>
      <w:r>
        <w:t>position when it was posted, but cancelled the interview the day before, and did not respond to inquiries about another option for the interview. The job was filled by a person with finance or accounting experience. For the reasons above, the court finds summary judgment is appropriate for Defendant on Plaintiff’s claims of ADA discrimination and retaliation.</w:t>
      </w:r>
    </w:p>
    <w:p w14:paraId="24CE7972" w14:textId="77777777" w:rsidR="003D2AAD" w:rsidRDefault="003D2AAD" w:rsidP="003D2AAD">
      <w:pPr>
        <w:pStyle w:val="NoSpacing"/>
        <w:ind w:left="720"/>
      </w:pPr>
    </w:p>
    <w:p w14:paraId="2015C995" w14:textId="77777777" w:rsidR="003D2AAD" w:rsidRDefault="003D2AAD" w:rsidP="003D2AAD">
      <w:pPr>
        <w:pStyle w:val="NoSpacing"/>
        <w:ind w:left="720"/>
      </w:pPr>
      <w:r>
        <w:t>***</w:t>
      </w:r>
    </w:p>
    <w:p w14:paraId="7EE31152" w14:textId="77777777" w:rsidR="003D2AAD" w:rsidRDefault="003D2AAD" w:rsidP="003D2AAD">
      <w:pPr>
        <w:pStyle w:val="NoSpacing"/>
      </w:pPr>
    </w:p>
    <w:p w14:paraId="681C7FD5" w14:textId="77777777" w:rsidR="003D2AAD" w:rsidRDefault="003D2AAD" w:rsidP="003D2AAD">
      <w:pPr>
        <w:pStyle w:val="NoSpacing"/>
        <w:ind w:firstLine="720"/>
      </w:pPr>
      <w:r>
        <w:t>To make out an FMLA interference claim, an employee must demonstrate he was entitled</w:t>
      </w:r>
    </w:p>
    <w:p w14:paraId="2860F0C3" w14:textId="77777777" w:rsidR="003D2AAD" w:rsidRDefault="003D2AAD" w:rsidP="003D2AAD">
      <w:pPr>
        <w:pStyle w:val="NoSpacing"/>
        <w:ind w:left="720"/>
      </w:pPr>
      <w:r>
        <w:t xml:space="preserve">to an FMLA benefit, his employer interfered with the provision of that benefit, and the interference caused him harm. Adkins v. CSX Transp., Inc., 70 F.4th 785, 796 (4th Cir. 2023). The court agrees with the Magistrate Judge Defendant has produced evidence Plaintiff was provided his twelve-week statutorily mandated FMLA leave, his position was protected during that time, and there is no evidence his use of FMLA leave was a factor in his termination. Plaintiff has failed to refute this evidence. In fact, the record shows Defendant went out of its way to assist Plaintiff in obtaining the appropriate paperwork when Plaintiff indicated he was ready to come back to work, even though he indicated he would not be going back on an </w:t>
      </w:r>
      <w:proofErr w:type="gramStart"/>
      <w:r>
        <w:t>ambulance.”</w:t>
      </w:r>
      <w:proofErr w:type="gramEnd"/>
    </w:p>
    <w:p w14:paraId="2A012F46" w14:textId="77777777" w:rsidR="003D2AAD" w:rsidRDefault="003D2AAD" w:rsidP="003D2AAD">
      <w:pPr>
        <w:pStyle w:val="NoSpacing"/>
        <w:ind w:left="720"/>
      </w:pPr>
    </w:p>
    <w:p w14:paraId="0A7F6062" w14:textId="77777777" w:rsidR="003D2AAD" w:rsidRPr="00E35214" w:rsidRDefault="003D2AAD" w:rsidP="003D2AAD">
      <w:pPr>
        <w:pStyle w:val="NoSpacing"/>
        <w:rPr>
          <w:b/>
          <w:bCs/>
        </w:rPr>
      </w:pPr>
      <w:r>
        <w:rPr>
          <w:b/>
        </w:rPr>
        <w:t xml:space="preserve">Legal lesson learned:  Plaintiff’s supervisors went out of their way to assist the paramedic. </w:t>
      </w:r>
    </w:p>
    <w:p w14:paraId="53A13BCF" w14:textId="77777777" w:rsidR="003D2AAD" w:rsidRDefault="003D2AAD" w:rsidP="003D2AAD">
      <w:pPr>
        <w:pStyle w:val="NoSpacing"/>
      </w:pPr>
    </w:p>
    <w:p w14:paraId="73AD4B69" w14:textId="77777777" w:rsidR="003D2AAD" w:rsidRDefault="003D2AAD" w:rsidP="00491756">
      <w:pPr>
        <w:pStyle w:val="NoSpacing"/>
        <w:rPr>
          <w:rFonts w:ascii="Arial Black" w:hAnsi="Arial Black"/>
          <w:sz w:val="24"/>
          <w:szCs w:val="24"/>
        </w:rPr>
      </w:pPr>
    </w:p>
    <w:p w14:paraId="3B708979" w14:textId="77777777" w:rsidR="00CD6C01" w:rsidRDefault="00CD6C01" w:rsidP="00491756">
      <w:pPr>
        <w:pStyle w:val="NoSpacing"/>
        <w:rPr>
          <w:rFonts w:ascii="Arial Black" w:hAnsi="Arial Black"/>
          <w:sz w:val="24"/>
          <w:szCs w:val="24"/>
        </w:rPr>
      </w:pPr>
    </w:p>
    <w:p w14:paraId="0312E79C" w14:textId="77777777" w:rsidR="00CD6C01" w:rsidRDefault="00CD6C01" w:rsidP="00491756">
      <w:pPr>
        <w:pStyle w:val="NoSpacing"/>
        <w:rPr>
          <w:rFonts w:ascii="Arial Black" w:hAnsi="Arial Black"/>
          <w:sz w:val="24"/>
          <w:szCs w:val="24"/>
        </w:rPr>
      </w:pPr>
    </w:p>
    <w:p w14:paraId="0E6D54FF" w14:textId="6756AC0A" w:rsidR="004B6753" w:rsidRDefault="0000182B" w:rsidP="00491756">
      <w:pPr>
        <w:pStyle w:val="NoSpacing"/>
        <w:rPr>
          <w:rFonts w:ascii="Arial Black" w:hAnsi="Arial Black"/>
          <w:sz w:val="24"/>
          <w:szCs w:val="24"/>
        </w:rPr>
      </w:pPr>
      <w:r>
        <w:rPr>
          <w:rFonts w:ascii="Arial Black" w:hAnsi="Arial Black"/>
          <w:sz w:val="24"/>
          <w:szCs w:val="24"/>
        </w:rPr>
        <w:t>15-46</w:t>
      </w:r>
    </w:p>
    <w:p w14:paraId="5AEB231A" w14:textId="77777777" w:rsidR="0000182B" w:rsidRDefault="0000182B" w:rsidP="00491756">
      <w:pPr>
        <w:pStyle w:val="NoSpacing"/>
        <w:rPr>
          <w:rFonts w:ascii="Arial Black" w:hAnsi="Arial Black"/>
          <w:sz w:val="24"/>
          <w:szCs w:val="24"/>
        </w:rPr>
      </w:pPr>
    </w:p>
    <w:p w14:paraId="7825D952" w14:textId="77777777" w:rsidR="00594C0D" w:rsidRPr="0082689F" w:rsidRDefault="00594C0D" w:rsidP="00594C0D">
      <w:pPr>
        <w:rPr>
          <w:rFonts w:ascii="Arial Black" w:hAnsi="Arial Black"/>
          <w:b/>
          <w:sz w:val="28"/>
          <w:szCs w:val="28"/>
        </w:rPr>
      </w:pPr>
      <w:r>
        <w:rPr>
          <w:rFonts w:ascii="Arial Black" w:hAnsi="Arial Black"/>
          <w:b/>
          <w:sz w:val="28"/>
          <w:szCs w:val="28"/>
        </w:rPr>
        <w:t xml:space="preserve">IL: CHICAGO FD – PASSED MENTAL FITNESS FOR DUTY </w:t>
      </w:r>
    </w:p>
    <w:p w14:paraId="5F0F0E81" w14:textId="77777777" w:rsidR="00594C0D" w:rsidRDefault="00594C0D" w:rsidP="00594C0D">
      <w:pPr>
        <w:rPr>
          <w:bCs/>
        </w:rPr>
      </w:pPr>
      <w:r>
        <w:t xml:space="preserve">On December 3, 2025, in </w:t>
      </w:r>
      <w:r w:rsidRPr="00CE42F8">
        <w:rPr>
          <w:u w:val="single"/>
        </w:rPr>
        <w:t>Lee Ann McKay v. Nicole Patino, et al</w:t>
      </w:r>
      <w:r>
        <w:t xml:space="preserve">., U.S. District Court Judge Jorge L. Alonso, </w:t>
      </w:r>
      <w:r w:rsidRPr="007D31A0">
        <w:t>United States District Court, N.D. Illinois, Eastern Division</w:t>
      </w:r>
      <w:r>
        <w:t xml:space="preserve">, dismissed the plaintiff’s pro se [no attorney] lawsuit.  There were no constitutional rights violated when in May 2024 two Office of Inspector General investigators came to her home, unannounced, to interview her about her January 2024 complain of inferior </w:t>
      </w:r>
      <w:r w:rsidRPr="005A21BE">
        <w:t>bathroom facilities available to women in certain firehouses</w:t>
      </w:r>
      <w:r>
        <w:t xml:space="preserve">.   Likewise, there was no violation of her constitutional rights when </w:t>
      </w:r>
      <w:r w:rsidRPr="00793C90">
        <w:t>Dr. Nicole Patino, Chief Medical Director for the City of Chicago</w:t>
      </w:r>
      <w:r>
        <w:t>,</w:t>
      </w:r>
      <w:r w:rsidRPr="00793C90">
        <w:t xml:space="preserve"> Office of Public Safety Administration</w:t>
      </w:r>
      <w:r>
        <w:t xml:space="preserve"> on July 11, 2024 took her blood pressure, or when she was ordered by Dr. Patino to take a </w:t>
      </w:r>
      <w:r w:rsidRPr="009D0ED5">
        <w:t>mental capacity examination</w:t>
      </w:r>
      <w:r>
        <w:t xml:space="preserve"> with a </w:t>
      </w:r>
      <w:r w:rsidRPr="009D0ED5">
        <w:t>psychologist</w:t>
      </w:r>
      <w:r>
        <w:t xml:space="preserve"> (July 15 tests, and </w:t>
      </w:r>
      <w:r w:rsidRPr="0078051A">
        <w:t>August 2024, psychologist found her fit for duty</w:t>
      </w:r>
      <w:r>
        <w:t xml:space="preserve">); or to take pulmonary function test on </w:t>
      </w:r>
      <w:r w:rsidRPr="00792A7A">
        <w:t>December 31, 2024</w:t>
      </w:r>
      <w:r>
        <w:t xml:space="preserve">. </w:t>
      </w:r>
      <w:hyperlink r:id="rId2331" w:history="1">
        <w:r w:rsidRPr="00B64AD8">
          <w:rPr>
            <w:rStyle w:val="Hyperlink"/>
          </w:rPr>
          <w:t>https://public.fastcase.com/Jhe1Qn%2BmJndQYQU6z%2FeNm%2BcFVCy5tJw2gy1zfbpkLaze9U67QqLJTV5FE2cJQCoqnSyWDfbWSo3ic5o1p0zHzyDw8vgxY%2BBok5izm2ejH6U%3D?utm_medium=email&amp;_hsenc=p2ANqtz--</w:t>
        </w:r>
        <w:r w:rsidRPr="00B64AD8">
          <w:rPr>
            <w:rStyle w:val="Hyperlink"/>
          </w:rPr>
          <w:lastRenderedPageBreak/>
          <w:t>bkYiy1pyPlPSsVe74xwULcEQroRrEa3UI3GrVMXxBGgBl78iSBqXQuZMV2NG07-VaF6HXpA1gGzG-xJKwbOenCq2wOg&amp;_hsmi=226712652&amp;utm_content=226712652&amp;utm_source=hs_email</w:t>
        </w:r>
      </w:hyperlink>
      <w:r>
        <w:t xml:space="preserve">   </w:t>
      </w:r>
    </w:p>
    <w:p w14:paraId="5FAC6478" w14:textId="77777777" w:rsidR="00594C0D" w:rsidRPr="008E10FD" w:rsidRDefault="00594C0D" w:rsidP="00594C0D">
      <w:pPr>
        <w:rPr>
          <w:bCs/>
        </w:rPr>
      </w:pPr>
      <w:r w:rsidRPr="008E10FD">
        <w:t xml:space="preserve">THE COURT HELD:  </w:t>
      </w:r>
    </w:p>
    <w:p w14:paraId="7397483A" w14:textId="77777777" w:rsidR="00594C0D" w:rsidRDefault="00594C0D" w:rsidP="00594C0D">
      <w:pPr>
        <w:pStyle w:val="NoSpacing"/>
        <w:ind w:left="720"/>
      </w:pPr>
      <w:r>
        <w:t>“</w:t>
      </w:r>
      <w:r w:rsidRPr="00D61F0C">
        <w:t xml:space="preserve">To the extent Plaintiff complains of </w:t>
      </w:r>
      <w:r>
        <w:t xml:space="preserve">[OIG investigators] </w:t>
      </w:r>
      <w:r w:rsidRPr="00D61F0C">
        <w:t>Lauder and Arellano showing up to her house or of any psychological test she was given, she fails to state a claim of a constitutional violation.</w:t>
      </w:r>
    </w:p>
    <w:p w14:paraId="0DBAC3D9" w14:textId="77777777" w:rsidR="00594C0D" w:rsidRDefault="00594C0D" w:rsidP="00594C0D">
      <w:pPr>
        <w:pStyle w:val="NoSpacing"/>
        <w:ind w:left="720"/>
      </w:pPr>
    </w:p>
    <w:p w14:paraId="50F8092A" w14:textId="77777777" w:rsidR="00594C0D" w:rsidRDefault="00594C0D" w:rsidP="00594C0D">
      <w:pPr>
        <w:pStyle w:val="NoSpacing"/>
        <w:ind w:left="720"/>
      </w:pPr>
      <w:r>
        <w:t>***</w:t>
      </w:r>
    </w:p>
    <w:p w14:paraId="568465FA" w14:textId="77777777" w:rsidR="00594C0D" w:rsidRDefault="00594C0D" w:rsidP="00594C0D">
      <w:pPr>
        <w:pStyle w:val="NoSpacing"/>
      </w:pPr>
    </w:p>
    <w:p w14:paraId="3048F9DE" w14:textId="77777777" w:rsidR="00594C0D" w:rsidRDefault="00594C0D" w:rsidP="00594C0D">
      <w:pPr>
        <w:pStyle w:val="NoSpacing"/>
        <w:ind w:left="720"/>
      </w:pPr>
      <w:r w:rsidRPr="00B16BE9">
        <w:t>Dr. Patino is entitled to qualified immunity on the issue of whether the pulmonary function testing violated the Fourth Amendment.</w:t>
      </w:r>
    </w:p>
    <w:p w14:paraId="7AA68F83" w14:textId="77777777" w:rsidR="00594C0D" w:rsidRDefault="00594C0D" w:rsidP="00594C0D">
      <w:pPr>
        <w:pStyle w:val="NoSpacing"/>
        <w:ind w:left="720"/>
      </w:pPr>
    </w:p>
    <w:p w14:paraId="62DC9AEF" w14:textId="77777777" w:rsidR="00594C0D" w:rsidRDefault="00594C0D" w:rsidP="00594C0D">
      <w:pPr>
        <w:pStyle w:val="NoSpacing"/>
        <w:ind w:left="720"/>
      </w:pPr>
      <w:r>
        <w:t>***</w:t>
      </w:r>
    </w:p>
    <w:p w14:paraId="4430B6E3" w14:textId="77777777" w:rsidR="00594C0D" w:rsidRDefault="00594C0D" w:rsidP="00594C0D">
      <w:pPr>
        <w:pStyle w:val="NoSpacing"/>
      </w:pPr>
    </w:p>
    <w:p w14:paraId="1BE50A2B" w14:textId="77777777" w:rsidR="00594C0D" w:rsidRDefault="00594C0D" w:rsidP="00594C0D">
      <w:pPr>
        <w:pStyle w:val="NoSpacing"/>
        <w:ind w:left="720" w:firstLine="60"/>
      </w:pPr>
      <w:r w:rsidRPr="008D2049">
        <w:t>It follows that Dr. Marder</w:t>
      </w:r>
      <w:r>
        <w:t xml:space="preserve"> [pulmonary function test] </w:t>
      </w:r>
      <w:r w:rsidRPr="008D2049">
        <w:t>and any other defendant alleged to have participated in the testing is likewise protected by qualified immunity from any Fourth Amendment claim</w:t>
      </w:r>
      <w:r>
        <w:t>.</w:t>
      </w:r>
    </w:p>
    <w:p w14:paraId="3CC3D615" w14:textId="77777777" w:rsidR="00594C0D" w:rsidRDefault="00594C0D" w:rsidP="00594C0D">
      <w:pPr>
        <w:pStyle w:val="NoSpacing"/>
        <w:ind w:left="720" w:firstLine="60"/>
      </w:pPr>
    </w:p>
    <w:p w14:paraId="3FF8C1E4" w14:textId="77777777" w:rsidR="00594C0D" w:rsidRDefault="00594C0D" w:rsidP="00594C0D">
      <w:pPr>
        <w:pStyle w:val="NoSpacing"/>
        <w:ind w:left="720" w:firstLine="60"/>
      </w:pPr>
      <w:r>
        <w:t>***</w:t>
      </w:r>
    </w:p>
    <w:p w14:paraId="45330EA3" w14:textId="77777777" w:rsidR="00594C0D" w:rsidRDefault="00594C0D" w:rsidP="00594C0D">
      <w:pPr>
        <w:pStyle w:val="NoSpacing"/>
      </w:pPr>
    </w:p>
    <w:p w14:paraId="52C54FA4" w14:textId="77777777" w:rsidR="00594C0D" w:rsidRDefault="00594C0D" w:rsidP="00594C0D">
      <w:pPr>
        <w:pStyle w:val="NoSpacing"/>
        <w:ind w:left="720"/>
      </w:pPr>
      <w:r w:rsidRPr="00AD6383">
        <w:t xml:space="preserve">Plaintiff's </w:t>
      </w:r>
      <w:r w:rsidRPr="00AD6383">
        <w:rPr>
          <w:i/>
          <w:iCs/>
        </w:rPr>
        <w:t>pro se</w:t>
      </w:r>
      <w:r w:rsidRPr="00AD6383">
        <w:t xml:space="preserve"> status and the surplusage in Plaintiff's complaint counsel against dismissal with prejudice at this point. As the Court has taken pains to recount in some detail above, Plaintiff's allegations go far beyond what is necessary to assert a Fourth Amendment claim. Although she does not rely on any other legal theory in her response briefs, the Court cannot say for certain whether there is not some potentially viable claim within the scope of the events described in her complaint that she might be able to plausibly state in an amended complaint. Therefore, the Court will grant Plaintiff leave to file an amended complaint, if she can do so in compliance with the principles set forth in this Order and the Federal Rules of Civil Procedure.</w:t>
      </w:r>
      <w:r>
        <w:t>”</w:t>
      </w:r>
    </w:p>
    <w:p w14:paraId="768D2AE7" w14:textId="77777777" w:rsidR="00594C0D" w:rsidRDefault="00594C0D" w:rsidP="00594C0D">
      <w:pPr>
        <w:pStyle w:val="NoSpacing"/>
        <w:ind w:left="720"/>
      </w:pPr>
    </w:p>
    <w:p w14:paraId="20B3E871" w14:textId="77777777" w:rsidR="00594C0D" w:rsidRPr="0015463F" w:rsidRDefault="00594C0D" w:rsidP="00594C0D">
      <w:pPr>
        <w:pStyle w:val="NoSpacing"/>
        <w:rPr>
          <w:b/>
          <w:bCs/>
        </w:rPr>
      </w:pPr>
      <w:r>
        <w:rPr>
          <w:b/>
        </w:rPr>
        <w:t xml:space="preserve">Legal lesson learned: Qualified immunity protects Fire Department’s physicians conducting fitness for duty exams. </w:t>
      </w:r>
    </w:p>
    <w:p w14:paraId="30E8E8BB" w14:textId="77777777" w:rsidR="00594C0D" w:rsidRDefault="00594C0D" w:rsidP="00594C0D">
      <w:pPr>
        <w:pStyle w:val="NoSpacing"/>
      </w:pPr>
    </w:p>
    <w:p w14:paraId="2E47160E" w14:textId="77777777" w:rsidR="00594C0D" w:rsidRDefault="00594C0D" w:rsidP="00491756">
      <w:pPr>
        <w:pStyle w:val="NoSpacing"/>
        <w:rPr>
          <w:rFonts w:ascii="Arial Black" w:hAnsi="Arial Black"/>
          <w:sz w:val="24"/>
          <w:szCs w:val="24"/>
        </w:rPr>
      </w:pPr>
    </w:p>
    <w:p w14:paraId="5F537BAE" w14:textId="77777777" w:rsidR="0000182B" w:rsidRDefault="0000182B" w:rsidP="00491756">
      <w:pPr>
        <w:pStyle w:val="NoSpacing"/>
        <w:rPr>
          <w:rFonts w:ascii="Arial Black" w:hAnsi="Arial Black"/>
          <w:sz w:val="24"/>
          <w:szCs w:val="24"/>
        </w:rPr>
      </w:pPr>
    </w:p>
    <w:p w14:paraId="01BAEDDE" w14:textId="77777777" w:rsidR="0000182B" w:rsidRDefault="0000182B" w:rsidP="00491756">
      <w:pPr>
        <w:pStyle w:val="NoSpacing"/>
        <w:rPr>
          <w:rFonts w:ascii="Arial Black" w:hAnsi="Arial Black"/>
          <w:sz w:val="24"/>
          <w:szCs w:val="24"/>
        </w:rPr>
      </w:pPr>
    </w:p>
    <w:p w14:paraId="408932D5" w14:textId="20BCB00F" w:rsidR="004B6753" w:rsidRDefault="00F02AD2" w:rsidP="00491756">
      <w:pPr>
        <w:pStyle w:val="NoSpacing"/>
        <w:rPr>
          <w:rFonts w:ascii="Arial Black" w:hAnsi="Arial Black"/>
          <w:sz w:val="24"/>
          <w:szCs w:val="24"/>
        </w:rPr>
      </w:pPr>
      <w:r>
        <w:rPr>
          <w:rFonts w:ascii="Arial Black" w:hAnsi="Arial Black"/>
          <w:sz w:val="24"/>
          <w:szCs w:val="24"/>
        </w:rPr>
        <w:t>15-4</w:t>
      </w:r>
      <w:r w:rsidR="00D92FBD">
        <w:rPr>
          <w:rFonts w:ascii="Arial Black" w:hAnsi="Arial Black"/>
          <w:sz w:val="24"/>
          <w:szCs w:val="24"/>
        </w:rPr>
        <w:t>5</w:t>
      </w:r>
    </w:p>
    <w:p w14:paraId="242B23BA" w14:textId="77777777" w:rsidR="00F02AD2" w:rsidRDefault="00F02AD2" w:rsidP="00491756">
      <w:pPr>
        <w:pStyle w:val="NoSpacing"/>
        <w:rPr>
          <w:rFonts w:ascii="Arial Black" w:hAnsi="Arial Black"/>
          <w:sz w:val="24"/>
          <w:szCs w:val="24"/>
        </w:rPr>
      </w:pPr>
    </w:p>
    <w:p w14:paraId="38D66C82" w14:textId="499C2990" w:rsidR="001C617A" w:rsidRPr="00F75C74" w:rsidRDefault="001C617A" w:rsidP="001C617A">
      <w:pPr>
        <w:pStyle w:val="NoSpacing"/>
        <w:rPr>
          <w:rFonts w:ascii="Arial Black" w:hAnsi="Arial Black"/>
          <w:sz w:val="28"/>
          <w:szCs w:val="28"/>
        </w:rPr>
      </w:pPr>
      <w:r>
        <w:rPr>
          <w:rFonts w:ascii="Arial Black" w:hAnsi="Arial Black"/>
          <w:sz w:val="28"/>
          <w:szCs w:val="28"/>
        </w:rPr>
        <w:t xml:space="preserve">PA: PTSD – 2 INFANT CPR </w:t>
      </w:r>
      <w:r w:rsidR="00771197">
        <w:rPr>
          <w:rFonts w:ascii="Arial Black" w:hAnsi="Arial Black"/>
          <w:sz w:val="28"/>
          <w:szCs w:val="28"/>
        </w:rPr>
        <w:t xml:space="preserve">- </w:t>
      </w:r>
      <w:r>
        <w:rPr>
          <w:rFonts w:ascii="Arial Black" w:hAnsi="Arial Black"/>
          <w:sz w:val="28"/>
          <w:szCs w:val="28"/>
        </w:rPr>
        <w:t>“ABNORMAL”</w:t>
      </w:r>
      <w:r w:rsidR="00771197">
        <w:rPr>
          <w:rFonts w:ascii="Arial Black" w:hAnsi="Arial Black"/>
          <w:sz w:val="28"/>
          <w:szCs w:val="28"/>
        </w:rPr>
        <w:t xml:space="preserve"> RUNS</w:t>
      </w:r>
      <w:r>
        <w:rPr>
          <w:rFonts w:ascii="Arial Black" w:hAnsi="Arial Black"/>
          <w:sz w:val="28"/>
          <w:szCs w:val="28"/>
        </w:rPr>
        <w:t xml:space="preserve"> –- GETS WORK COMP</w:t>
      </w:r>
    </w:p>
    <w:p w14:paraId="150D77D1" w14:textId="77777777" w:rsidR="001C617A" w:rsidRDefault="001C617A" w:rsidP="001C617A">
      <w:pPr>
        <w:pStyle w:val="NoSpacing"/>
      </w:pPr>
    </w:p>
    <w:p w14:paraId="40BA566E" w14:textId="77777777" w:rsidR="001C617A" w:rsidRDefault="001C617A" w:rsidP="001C617A">
      <w:pPr>
        <w:pStyle w:val="NoSpacing"/>
        <w:rPr>
          <w:bCs/>
        </w:rPr>
      </w:pPr>
      <w:r>
        <w:t xml:space="preserve">On Oct. 22, 2025, in </w:t>
      </w:r>
      <w:r w:rsidRPr="006259EC">
        <w:rPr>
          <w:u w:val="single"/>
        </w:rPr>
        <w:t>Brian Ganley v. Upper Darby Township (Workers Compensation Appeal Board)</w:t>
      </w:r>
      <w:r>
        <w:t>, the</w:t>
      </w:r>
      <w:r w:rsidRPr="00A72D5F">
        <w:rPr>
          <w:b/>
        </w:rPr>
        <w:t xml:space="preserve"> </w:t>
      </w:r>
      <w:r w:rsidRPr="00A72D5F">
        <w:t>Commonwealth Court of Pennsylvania</w:t>
      </w:r>
      <w:r>
        <w:t xml:space="preserve"> held (3 to 0) that a career firefighter with 33 years’ experience should be awarded worker’s comp after performing two separate CPRs on infants within 16 months (Nov. 2018; May 2021).  The Court reversed the Workers Comp Law Judge and the Appeal Board – holding that the two incidents met the requirement of “abnormal” event. </w:t>
      </w:r>
      <w:hyperlink r:id="rId2332" w:history="1">
        <w:r w:rsidRPr="00410A8E">
          <w:rPr>
            <w:rStyle w:val="Hyperlink"/>
          </w:rPr>
          <w:t>https://www.pacourts.us/assets/opinions/Commonwealth/out/770CD24_10-22-25.pdf?cb=1</w:t>
        </w:r>
      </w:hyperlink>
      <w:r>
        <w:t xml:space="preserve"> </w:t>
      </w:r>
    </w:p>
    <w:p w14:paraId="47929B11" w14:textId="77777777" w:rsidR="001C617A" w:rsidRDefault="001C617A" w:rsidP="001C617A">
      <w:pPr>
        <w:pStyle w:val="NoSpacing"/>
        <w:rPr>
          <w:bCs/>
        </w:rPr>
      </w:pPr>
    </w:p>
    <w:p w14:paraId="5E53C499" w14:textId="77777777" w:rsidR="001C617A" w:rsidRPr="003424B4" w:rsidRDefault="001C617A" w:rsidP="001C617A">
      <w:pPr>
        <w:pStyle w:val="NoSpacing"/>
        <w:rPr>
          <w:b/>
        </w:rPr>
      </w:pPr>
      <w:r>
        <w:t xml:space="preserve">THE COURT HELD: </w:t>
      </w:r>
    </w:p>
    <w:p w14:paraId="4EAA113A" w14:textId="77777777" w:rsidR="001C617A" w:rsidRDefault="001C617A" w:rsidP="001C617A">
      <w:pPr>
        <w:pStyle w:val="NoSpacing"/>
      </w:pPr>
    </w:p>
    <w:p w14:paraId="6D63AA45" w14:textId="77777777" w:rsidR="001C617A" w:rsidRDefault="001C617A" w:rsidP="001C617A">
      <w:pPr>
        <w:pStyle w:val="NoSpacing"/>
        <w:ind w:left="720"/>
      </w:pPr>
      <w:r>
        <w:t>“Consequently, the [PA] Supreme Court held that claimants seeking benefits</w:t>
      </w:r>
    </w:p>
    <w:p w14:paraId="23880EDB" w14:textId="77777777" w:rsidR="001C617A" w:rsidRDefault="001C617A" w:rsidP="001C617A">
      <w:pPr>
        <w:pStyle w:val="NoSpacing"/>
        <w:ind w:left="720"/>
      </w:pPr>
      <w:r>
        <w:t>for psychological injuries must meet a higher burden for causation by proving a</w:t>
      </w:r>
    </w:p>
    <w:p w14:paraId="35AEAFB7" w14:textId="77777777" w:rsidR="001C617A" w:rsidRDefault="001C617A" w:rsidP="001C617A">
      <w:pPr>
        <w:pStyle w:val="NoSpacing"/>
        <w:ind w:left="720"/>
      </w:pPr>
      <w:proofErr w:type="gramStart"/>
      <w:r>
        <w:t>psychological</w:t>
      </w:r>
      <w:proofErr w:type="gramEnd"/>
      <w:r>
        <w:t xml:space="preserve"> injury is more than a subjective reaction to normal working</w:t>
      </w:r>
    </w:p>
    <w:p w14:paraId="0997D640" w14:textId="77777777" w:rsidR="001C617A" w:rsidRDefault="001C617A" w:rsidP="001C617A">
      <w:pPr>
        <w:pStyle w:val="NoSpacing"/>
        <w:ind w:left="720"/>
      </w:pPr>
      <w:r>
        <w:t>conditions, in other words, that the psychological injury was caused by ‘abnormal</w:t>
      </w:r>
    </w:p>
    <w:p w14:paraId="210315C4" w14:textId="77777777" w:rsidR="001C617A" w:rsidRDefault="001C617A" w:rsidP="001C617A">
      <w:pPr>
        <w:pStyle w:val="NoSpacing"/>
        <w:ind w:left="720"/>
      </w:pPr>
      <w:r>
        <w:t xml:space="preserve">working conditions.’ </w:t>
      </w:r>
    </w:p>
    <w:p w14:paraId="0E66C2BE" w14:textId="77777777" w:rsidR="001C617A" w:rsidRDefault="001C617A" w:rsidP="001C617A">
      <w:pPr>
        <w:pStyle w:val="NoSpacing"/>
        <w:ind w:left="720"/>
      </w:pPr>
    </w:p>
    <w:p w14:paraId="1749B1E4" w14:textId="77777777" w:rsidR="001C617A" w:rsidRDefault="001C617A" w:rsidP="001C617A">
      <w:pPr>
        <w:pStyle w:val="NoSpacing"/>
        <w:ind w:left="720"/>
      </w:pPr>
      <w:r>
        <w:lastRenderedPageBreak/>
        <w:t>***</w:t>
      </w:r>
    </w:p>
    <w:p w14:paraId="013A3A85" w14:textId="77777777" w:rsidR="001C617A" w:rsidRDefault="001C617A" w:rsidP="001C617A">
      <w:pPr>
        <w:pStyle w:val="NoSpacing"/>
        <w:ind w:left="720"/>
      </w:pPr>
    </w:p>
    <w:p w14:paraId="31E3A6C1" w14:textId="77777777" w:rsidR="001C617A" w:rsidRDefault="001C617A" w:rsidP="001C617A">
      <w:pPr>
        <w:pStyle w:val="NoSpacing"/>
        <w:ind w:left="720"/>
      </w:pPr>
      <w:r w:rsidRPr="00873946">
        <w:t>The reality of Claimant’s situation was that he performed CPR on and</w:t>
      </w:r>
      <w:r>
        <w:t xml:space="preserve"> </w:t>
      </w:r>
      <w:r w:rsidRPr="00873946">
        <w:t>witnessed the deaths of two infant children within a 16-month period. It was the compounded effect of these two incidents that caused Claimant’s disabling PTSD.</w:t>
      </w:r>
      <w:r>
        <w:t xml:space="preserve"> </w:t>
      </w:r>
      <w:r w:rsidRPr="00873946">
        <w:t>There can be little doubt that firefighters experience a high amount of stress in their</w:t>
      </w:r>
      <w:r>
        <w:t xml:space="preserve"> </w:t>
      </w:r>
      <w:r w:rsidRPr="00873946">
        <w:t>jobs. Nonetheless, we must recognize that certain events, even in high-stress</w:t>
      </w:r>
      <w:r>
        <w:t xml:space="preserve"> </w:t>
      </w:r>
      <w:r w:rsidRPr="00873946">
        <w:t>professions, may rise to the level of abnormal working conditions. Claimant did not</w:t>
      </w:r>
      <w:r>
        <w:t xml:space="preserve"> </w:t>
      </w:r>
      <w:r w:rsidRPr="00873946">
        <w:t>simply witness death at a usual call involving a fire or a motor vehicle crash.</w:t>
      </w:r>
    </w:p>
    <w:p w14:paraId="05811AED" w14:textId="77777777" w:rsidR="001C617A" w:rsidRDefault="001C617A" w:rsidP="001C617A">
      <w:pPr>
        <w:pStyle w:val="NoSpacing"/>
        <w:ind w:left="720"/>
      </w:pPr>
    </w:p>
    <w:p w14:paraId="44F2A8C9" w14:textId="77777777" w:rsidR="001C617A" w:rsidRPr="00873946" w:rsidRDefault="001C617A" w:rsidP="001C617A">
      <w:pPr>
        <w:pStyle w:val="NoSpacing"/>
        <w:ind w:left="720"/>
      </w:pPr>
      <w:r>
        <w:t>***</w:t>
      </w:r>
    </w:p>
    <w:p w14:paraId="2C420F6F" w14:textId="77777777" w:rsidR="001C617A" w:rsidRDefault="001C617A" w:rsidP="001C617A">
      <w:pPr>
        <w:pStyle w:val="NoSpacing"/>
        <w:ind w:left="720"/>
      </w:pPr>
      <w:r w:rsidRPr="00873946">
        <w:t>Claimant was actively involved in attempting to resuscitate two separate</w:t>
      </w:r>
      <w:r>
        <w:t xml:space="preserve"> </w:t>
      </w:r>
      <w:r w:rsidRPr="00873946">
        <w:t>unresponsive babies and witnessing each of their deaths. We cannot agree that</w:t>
      </w:r>
      <w:r>
        <w:t xml:space="preserve"> </w:t>
      </w:r>
      <w:r w:rsidRPr="00873946">
        <w:t xml:space="preserve">Claimant’s experience in this regard was a </w:t>
      </w:r>
      <w:r>
        <w:t>‘</w:t>
      </w:r>
      <w:r w:rsidRPr="00873946">
        <w:t>normal</w:t>
      </w:r>
      <w:r>
        <w:t xml:space="preserve">’ </w:t>
      </w:r>
      <w:r w:rsidRPr="00873946">
        <w:t xml:space="preserve">or </w:t>
      </w:r>
      <w:r>
        <w:t>‘</w:t>
      </w:r>
      <w:r w:rsidRPr="00873946">
        <w:t>expected</w:t>
      </w:r>
      <w:r>
        <w:t xml:space="preserve">’ </w:t>
      </w:r>
      <w:r w:rsidRPr="00873946">
        <w:t xml:space="preserve"> consequence of</w:t>
      </w:r>
      <w:r>
        <w:t xml:space="preserve"> </w:t>
      </w:r>
      <w:r w:rsidRPr="00873946">
        <w:t>being a firefighter.</w:t>
      </w:r>
      <w:r>
        <w:t xml:space="preserve"> Indeed, in Claimant’s 20 years’ experience in firefighting service before the first event, Claimant had </w:t>
      </w:r>
      <w:proofErr w:type="gramStart"/>
      <w:r>
        <w:t>never before</w:t>
      </w:r>
      <w:proofErr w:type="gramEnd"/>
      <w:r>
        <w:t xml:space="preserve"> had to perform CPR on an infant. There is no evidence in the record that suggests firefighters in Upper Darby or even in Pennsylvania routinely or normally perform CPR on infant children or witness the deaths of infant children. Furthermore, it is noteworthy that of the three instances in which Employer called upon the county’s Critical Incident Stress [Management] Team between 2018 and 2022, two of those calls were in response to these two incidents involving Claimant and the infants. Id. </w:t>
      </w:r>
      <w:proofErr w:type="gramStart"/>
      <w:r>
        <w:t>at</w:t>
      </w:r>
      <w:proofErr w:type="gramEnd"/>
      <w:r>
        <w:t xml:space="preserve"> 251-52. Certainly, this highlights both the rarity of these events and the potential for substantial</w:t>
      </w:r>
    </w:p>
    <w:p w14:paraId="7D56E066" w14:textId="77777777" w:rsidR="001C617A" w:rsidRDefault="001C617A" w:rsidP="001C617A">
      <w:pPr>
        <w:pStyle w:val="NoSpacing"/>
        <w:ind w:firstLine="720"/>
      </w:pPr>
      <w:r>
        <w:t xml:space="preserve">psychological impact </w:t>
      </w:r>
      <w:proofErr w:type="gramStart"/>
      <w:r>
        <w:t>to</w:t>
      </w:r>
      <w:proofErr w:type="gramEnd"/>
      <w:r>
        <w:t xml:space="preserve"> the participants, which is further magnified by the fact that</w:t>
      </w:r>
    </w:p>
    <w:p w14:paraId="08EBA969" w14:textId="77777777" w:rsidR="001C617A" w:rsidRDefault="001C617A" w:rsidP="001C617A">
      <w:pPr>
        <w:pStyle w:val="NoSpacing"/>
        <w:ind w:firstLine="720"/>
      </w:pPr>
      <w:r>
        <w:t>the same person, Claimant, administered CPR on infants on each occasion.</w:t>
      </w:r>
    </w:p>
    <w:p w14:paraId="53CEDA77" w14:textId="77777777" w:rsidR="001C617A" w:rsidRDefault="001C617A" w:rsidP="001C617A">
      <w:pPr>
        <w:pStyle w:val="NoSpacing"/>
        <w:ind w:firstLine="720"/>
      </w:pPr>
    </w:p>
    <w:p w14:paraId="419FDF59" w14:textId="77777777" w:rsidR="001C617A" w:rsidRPr="00873946" w:rsidRDefault="001C617A" w:rsidP="001C617A">
      <w:pPr>
        <w:pStyle w:val="NoSpacing"/>
        <w:ind w:firstLine="720"/>
      </w:pPr>
      <w:r>
        <w:t>***</w:t>
      </w:r>
    </w:p>
    <w:p w14:paraId="2D482430" w14:textId="77777777" w:rsidR="001C617A" w:rsidRDefault="001C617A" w:rsidP="001C617A">
      <w:pPr>
        <w:pStyle w:val="NoSpacing"/>
      </w:pPr>
    </w:p>
    <w:p w14:paraId="43A10A86" w14:textId="77777777" w:rsidR="001C617A" w:rsidRDefault="001C617A" w:rsidP="001C617A">
      <w:pPr>
        <w:pStyle w:val="NoSpacing"/>
        <w:ind w:left="720"/>
      </w:pPr>
      <w:r>
        <w:t>During the first event, in November 2018, Claimant responded to a report of cardiac arrest for a two-week-old infant. Claimant performed CPR on the infant, assisted by paramedics. Despite Claimant’s efforts, he was unable to bring the baby back. Claimant continued to work for Employer but suffered from mental issues related to the first incident.</w:t>
      </w:r>
    </w:p>
    <w:p w14:paraId="141D7C4B" w14:textId="77777777" w:rsidR="001C617A" w:rsidRDefault="001C617A" w:rsidP="001C617A">
      <w:pPr>
        <w:pStyle w:val="NoSpacing"/>
      </w:pPr>
    </w:p>
    <w:p w14:paraId="4A35F2E8" w14:textId="77777777" w:rsidR="001C617A" w:rsidRDefault="001C617A" w:rsidP="001C617A">
      <w:pPr>
        <w:pStyle w:val="NoSpacing"/>
        <w:ind w:left="720"/>
      </w:pPr>
      <w:r>
        <w:t xml:space="preserve">During the second event, in May 2021, a father brought a nine-month-old infant who was not breathing into the fire station. Claimant and co-workers performed CPR on the nine-month-old baby, who was not revived. After the second incident, Claimant’s mental health symptoms intensified, and he left his duties as a </w:t>
      </w:r>
      <w:proofErr w:type="gramStart"/>
      <w:r>
        <w:t>firefighter.”</w:t>
      </w:r>
      <w:proofErr w:type="gramEnd"/>
    </w:p>
    <w:p w14:paraId="12B487D3" w14:textId="77777777" w:rsidR="001C617A" w:rsidRDefault="001C617A" w:rsidP="001C617A">
      <w:pPr>
        <w:pStyle w:val="NoSpacing"/>
        <w:ind w:left="720"/>
      </w:pPr>
    </w:p>
    <w:p w14:paraId="32CB5F74" w14:textId="7B1E5972" w:rsidR="001C617A" w:rsidRPr="00237F1C" w:rsidRDefault="001C617A" w:rsidP="001C617A">
      <w:pPr>
        <w:pStyle w:val="NoSpacing"/>
        <w:rPr>
          <w:b/>
          <w:bCs/>
        </w:rPr>
      </w:pPr>
      <w:r w:rsidRPr="00237F1C">
        <w:rPr>
          <w:b/>
        </w:rPr>
        <w:t xml:space="preserve">Lesson learned: </w:t>
      </w:r>
      <w:r>
        <w:rPr>
          <w:b/>
        </w:rPr>
        <w:t xml:space="preserve"> The firefighter proved the two infant CPR incidents were “abnormal” for his fire department.</w:t>
      </w:r>
    </w:p>
    <w:p w14:paraId="3F19A8A7" w14:textId="77777777" w:rsidR="001C617A" w:rsidRPr="00873946" w:rsidRDefault="001C617A" w:rsidP="001C617A">
      <w:pPr>
        <w:pStyle w:val="NoSpacing"/>
      </w:pPr>
    </w:p>
    <w:p w14:paraId="5667DB65" w14:textId="77777777" w:rsidR="001C617A" w:rsidRDefault="001C617A" w:rsidP="001C617A">
      <w:pPr>
        <w:spacing w:after="0"/>
        <w:rPr>
          <w:sz w:val="20"/>
          <w:szCs w:val="20"/>
        </w:rPr>
      </w:pPr>
    </w:p>
    <w:p w14:paraId="69588B87" w14:textId="77777777" w:rsidR="001C617A" w:rsidRDefault="001C617A" w:rsidP="001C617A">
      <w:pPr>
        <w:spacing w:after="0"/>
        <w:rPr>
          <w:sz w:val="20"/>
          <w:szCs w:val="20"/>
        </w:rPr>
      </w:pPr>
    </w:p>
    <w:p w14:paraId="0D7767D1" w14:textId="68EF738F" w:rsidR="001C617A" w:rsidRDefault="00D92FBD" w:rsidP="00491756">
      <w:pPr>
        <w:pStyle w:val="NoSpacing"/>
        <w:rPr>
          <w:rFonts w:ascii="Arial Black" w:hAnsi="Arial Black"/>
          <w:sz w:val="24"/>
          <w:szCs w:val="24"/>
        </w:rPr>
      </w:pPr>
      <w:r>
        <w:rPr>
          <w:rFonts w:ascii="Arial Black" w:hAnsi="Arial Black"/>
          <w:sz w:val="24"/>
          <w:szCs w:val="24"/>
        </w:rPr>
        <w:t>15-44</w:t>
      </w:r>
    </w:p>
    <w:p w14:paraId="078C9BFD" w14:textId="77777777" w:rsidR="00D92FBD" w:rsidRDefault="00D92FBD" w:rsidP="00491756">
      <w:pPr>
        <w:pStyle w:val="NoSpacing"/>
        <w:rPr>
          <w:rFonts w:ascii="Arial Black" w:hAnsi="Arial Black"/>
          <w:sz w:val="24"/>
          <w:szCs w:val="24"/>
        </w:rPr>
      </w:pPr>
    </w:p>
    <w:p w14:paraId="47908250" w14:textId="66C55835" w:rsidR="008F05D1" w:rsidRDefault="008F05D1" w:rsidP="008F05D1">
      <w:pPr>
        <w:pStyle w:val="NoSpacing"/>
        <w:rPr>
          <w:rFonts w:ascii="Arial Black" w:hAnsi="Arial Black"/>
          <w:b/>
          <w:sz w:val="28"/>
          <w:szCs w:val="28"/>
        </w:rPr>
      </w:pPr>
      <w:r>
        <w:rPr>
          <w:rFonts w:ascii="Arial Black" w:hAnsi="Arial Black"/>
          <w:b/>
          <w:sz w:val="28"/>
          <w:szCs w:val="28"/>
        </w:rPr>
        <w:t xml:space="preserve">TN: PTSD – </w:t>
      </w:r>
      <w:r w:rsidR="00902336">
        <w:rPr>
          <w:rFonts w:ascii="Arial Black" w:hAnsi="Arial Black"/>
          <w:b/>
          <w:sz w:val="28"/>
          <w:szCs w:val="28"/>
        </w:rPr>
        <w:t>DENIED “</w:t>
      </w:r>
      <w:r w:rsidR="00973D14">
        <w:rPr>
          <w:rFonts w:ascii="Arial Black" w:hAnsi="Arial Black"/>
          <w:b/>
          <w:sz w:val="28"/>
          <w:szCs w:val="28"/>
        </w:rPr>
        <w:t>DISAB</w:t>
      </w:r>
      <w:r w:rsidR="00284724">
        <w:rPr>
          <w:rFonts w:ascii="Arial Black" w:hAnsi="Arial Black"/>
          <w:b/>
          <w:sz w:val="28"/>
          <w:szCs w:val="28"/>
        </w:rPr>
        <w:t xml:space="preserve">ILITY” </w:t>
      </w:r>
      <w:r>
        <w:rPr>
          <w:rFonts w:ascii="Arial Black" w:hAnsi="Arial Black"/>
          <w:b/>
          <w:sz w:val="28"/>
          <w:szCs w:val="28"/>
        </w:rPr>
        <w:t xml:space="preserve">PENSION / TRAUMA NOT “UNEXPECTED” </w:t>
      </w:r>
    </w:p>
    <w:p w14:paraId="025345A9" w14:textId="77777777" w:rsidR="00AE5515" w:rsidRDefault="00AE5515" w:rsidP="008F05D1">
      <w:pPr>
        <w:pStyle w:val="NoSpacing"/>
      </w:pPr>
    </w:p>
    <w:p w14:paraId="7F585762" w14:textId="06B5AA4F" w:rsidR="008F05D1" w:rsidRDefault="008F05D1" w:rsidP="008F05D1">
      <w:pPr>
        <w:pStyle w:val="NoSpacing"/>
      </w:pPr>
      <w:r>
        <w:t xml:space="preserve">On Oct. 13, 2025, in </w:t>
      </w:r>
      <w:r w:rsidRPr="005A20C3">
        <w:rPr>
          <w:u w:val="single"/>
        </w:rPr>
        <w:t xml:space="preserve">Matthew Long v. Chattanooga Fire </w:t>
      </w:r>
      <w:proofErr w:type="gramStart"/>
      <w:r w:rsidRPr="005A20C3">
        <w:rPr>
          <w:u w:val="single"/>
        </w:rPr>
        <w:t>And</w:t>
      </w:r>
      <w:proofErr w:type="gramEnd"/>
      <w:r w:rsidRPr="005A20C3">
        <w:rPr>
          <w:u w:val="single"/>
        </w:rPr>
        <w:t xml:space="preserve"> Police Pension</w:t>
      </w:r>
      <w:r>
        <w:t xml:space="preserve">, the Supreme Court of Tennessee a Knoxville held (5 to 0) that Board correctly denied </w:t>
      </w:r>
      <w:r w:rsidRPr="00B022C6">
        <w:t>disability pension benefit</w:t>
      </w:r>
      <w:r>
        <w:t>s to a 15-year firefighter after a hearing, since his PTSD did not arise from “unexpected” traumatic runs.  The Board consists of eight members: three active members of the police department, three active members of the fire department, the mayor or the mayor’s appointee, and a member appointed by the City Council. In February 2020, Mr. Long completed treatment at the Center</w:t>
      </w:r>
    </w:p>
    <w:p w14:paraId="7B1D415C" w14:textId="77777777" w:rsidR="008F05D1" w:rsidRDefault="008F05D1" w:rsidP="008F05D1">
      <w:pPr>
        <w:pStyle w:val="NoSpacing"/>
      </w:pPr>
      <w:r>
        <w:t>for Excellence in Maryland and then returned home. Mr. Long continued receiving care</w:t>
      </w:r>
    </w:p>
    <w:p w14:paraId="2C6162E1" w14:textId="77777777" w:rsidR="008F05D1" w:rsidRDefault="008F05D1" w:rsidP="008F05D1">
      <w:pPr>
        <w:pStyle w:val="NoSpacing"/>
      </w:pPr>
      <w:r>
        <w:t>from primary care providers but reported difficulty finding satisfactory follow-up mental</w:t>
      </w:r>
    </w:p>
    <w:p w14:paraId="2F1B2057" w14:textId="77777777" w:rsidR="008F05D1" w:rsidRDefault="008F05D1" w:rsidP="008F05D1">
      <w:pPr>
        <w:pStyle w:val="NoSpacing"/>
      </w:pPr>
      <w:r>
        <w:t xml:space="preserve">health care. In June 2020, FD had psychiatrist Dr. Keith Caruso again </w:t>
      </w:r>
      <w:proofErr w:type="gramStart"/>
      <w:r>
        <w:t>evaluate</w:t>
      </w:r>
      <w:proofErr w:type="gramEnd"/>
      <w:r>
        <w:t xml:space="preserve"> Mr. Long’s fitness for duty and he determined that Mr. Long was “permanently and totally disabled as a firefighter.”  The Court reversed both the trial court and the Court of Appeals, which had found Board term ambiguous, </w:t>
      </w:r>
      <w:proofErr w:type="gramStart"/>
      <w:r>
        <w:t>an</w:t>
      </w:r>
      <w:proofErr w:type="gramEnd"/>
      <w:r>
        <w:t xml:space="preserve"> applied the liberal construction doctrine to </w:t>
      </w:r>
      <w:r>
        <w:lastRenderedPageBreak/>
        <w:t xml:space="preserve">award benefits. </w:t>
      </w:r>
      <w:hyperlink r:id="rId2333" w:history="1">
        <w:r w:rsidRPr="002D5C71">
          <w:rPr>
            <w:rStyle w:val="Hyperlink"/>
          </w:rPr>
          <w:t>https://www.tncourts.gov/sites/default/files/OpinionsPDFVersion/Majority%20Opinion%20-%20E2022-01151-SC-R11-CV.pdf</w:t>
        </w:r>
      </w:hyperlink>
      <w:r>
        <w:t xml:space="preserve"> </w:t>
      </w:r>
    </w:p>
    <w:p w14:paraId="3EB471D6" w14:textId="77777777" w:rsidR="008F05D1" w:rsidRDefault="008F05D1" w:rsidP="008F05D1">
      <w:pPr>
        <w:pStyle w:val="NoSpacing"/>
      </w:pPr>
    </w:p>
    <w:p w14:paraId="2B7FFC7B" w14:textId="77777777" w:rsidR="008F05D1" w:rsidRDefault="008F05D1" w:rsidP="008F05D1">
      <w:pPr>
        <w:pStyle w:val="NoSpacing"/>
      </w:pPr>
      <w:r>
        <w:t>THE COURT HELD:</w:t>
      </w:r>
    </w:p>
    <w:p w14:paraId="6805B713" w14:textId="77777777" w:rsidR="008F05D1" w:rsidRDefault="008F05D1" w:rsidP="008F05D1">
      <w:pPr>
        <w:pStyle w:val="NoSpacing"/>
      </w:pPr>
    </w:p>
    <w:p w14:paraId="3E4D3D2D" w14:textId="77777777" w:rsidR="008F05D1" w:rsidRDefault="008F05D1" w:rsidP="008F05D1">
      <w:pPr>
        <w:pStyle w:val="NoSpacing"/>
        <w:ind w:left="720"/>
      </w:pPr>
      <w:r>
        <w:t>“At the heart of this dispute is the Policy requirement that, to be eligible for benefits, a mental health ‘disability [must be] a direct result of a traumatic event that is . . . unexpected.’ Specifically, what does it mean for a traumatic event to be “unexpected” as required by the Policy?</w:t>
      </w:r>
    </w:p>
    <w:p w14:paraId="3430C90E" w14:textId="77777777" w:rsidR="008F05D1" w:rsidRDefault="008F05D1" w:rsidP="008F05D1">
      <w:pPr>
        <w:pStyle w:val="NoSpacing"/>
      </w:pPr>
    </w:p>
    <w:p w14:paraId="4E9DF288" w14:textId="77777777" w:rsidR="008F05D1" w:rsidRDefault="008F05D1" w:rsidP="008F05D1">
      <w:pPr>
        <w:pStyle w:val="NoSpacing"/>
        <w:ind w:firstLine="720"/>
      </w:pPr>
      <w:r>
        <w:t>The Court of Appeals found the term ambiguous, applied the liberal construction</w:t>
      </w:r>
    </w:p>
    <w:p w14:paraId="1C6E1A15" w14:textId="77777777" w:rsidR="008F05D1" w:rsidRDefault="008F05D1" w:rsidP="008F05D1">
      <w:pPr>
        <w:pStyle w:val="NoSpacing"/>
        <w:ind w:firstLine="720"/>
      </w:pPr>
      <w:r>
        <w:t>doctrine, and then construed the Policy in favor of Mr. Long. Long, 2023 WL 8716539, at</w:t>
      </w:r>
    </w:p>
    <w:p w14:paraId="46EB66D4" w14:textId="77777777" w:rsidR="008F05D1" w:rsidRDefault="008F05D1" w:rsidP="008F05D1">
      <w:pPr>
        <w:pStyle w:val="NoSpacing"/>
        <w:ind w:firstLine="720"/>
      </w:pPr>
      <w:r>
        <w:t xml:space="preserve">*9–11. The Fund disputes the finding of ambiguity </w:t>
      </w:r>
      <w:proofErr w:type="gramStart"/>
      <w:r>
        <w:t>and also</w:t>
      </w:r>
      <w:proofErr w:type="gramEnd"/>
      <w:r>
        <w:t xml:space="preserve"> argues that the Court should</w:t>
      </w:r>
    </w:p>
    <w:p w14:paraId="4FD4ACA1" w14:textId="77777777" w:rsidR="008F05D1" w:rsidRPr="0081000D" w:rsidRDefault="008F05D1" w:rsidP="008F05D1">
      <w:pPr>
        <w:pStyle w:val="NoSpacing"/>
        <w:ind w:left="720"/>
      </w:pPr>
      <w:proofErr w:type="gramStart"/>
      <w:r>
        <w:t>defer</w:t>
      </w:r>
      <w:proofErr w:type="gramEnd"/>
      <w:r>
        <w:t xml:space="preserve"> to the Board’s interpretation of the Policy. We hold that the Policy is not ambiguous, and we interpret it according to its unambiguous plain meaning. </w:t>
      </w:r>
    </w:p>
    <w:p w14:paraId="2CEF7F9F" w14:textId="77777777" w:rsidR="008F05D1" w:rsidRDefault="008F05D1" w:rsidP="008F05D1">
      <w:pPr>
        <w:pStyle w:val="NoSpacing"/>
        <w:ind w:left="720"/>
      </w:pPr>
    </w:p>
    <w:p w14:paraId="7AFFB626" w14:textId="77777777" w:rsidR="008F05D1" w:rsidRDefault="008F05D1" w:rsidP="008F05D1">
      <w:pPr>
        <w:pStyle w:val="NoSpacing"/>
        <w:ind w:left="720"/>
      </w:pPr>
      <w:r>
        <w:t>***</w:t>
      </w:r>
    </w:p>
    <w:p w14:paraId="3EFBC345" w14:textId="77777777" w:rsidR="008F05D1" w:rsidRDefault="008F05D1" w:rsidP="008F05D1">
      <w:pPr>
        <w:pStyle w:val="NoSpacing"/>
        <w:ind w:left="720"/>
      </w:pPr>
      <w:r>
        <w:t xml:space="preserve">Matthew Long was employed as a firefighter with the Chattanooga Fire Department for fifteen years before he applied to the Chattanooga Fire and Police Pension </w:t>
      </w:r>
      <w:proofErr w:type="gramStart"/>
      <w:r>
        <w:t>Fund (‘</w:t>
      </w:r>
      <w:proofErr w:type="gramEnd"/>
      <w:r>
        <w:t xml:space="preserve">Fund’) </w:t>
      </w:r>
      <w:proofErr w:type="gramStart"/>
      <w:r>
        <w:t>for disability</w:t>
      </w:r>
      <w:proofErr w:type="gramEnd"/>
      <w:r>
        <w:t xml:space="preserve"> pension benefits. The denial of Mr. Long’s application is the subject of this appeal.</w:t>
      </w:r>
    </w:p>
    <w:p w14:paraId="5B7F0475" w14:textId="77777777" w:rsidR="008F05D1" w:rsidRDefault="008F05D1" w:rsidP="008F05D1">
      <w:pPr>
        <w:pStyle w:val="NoSpacing"/>
        <w:ind w:left="720"/>
      </w:pPr>
    </w:p>
    <w:p w14:paraId="32DAE6E7" w14:textId="77777777" w:rsidR="008F05D1" w:rsidRPr="00614036" w:rsidRDefault="008F05D1" w:rsidP="008F05D1">
      <w:pPr>
        <w:pStyle w:val="NoSpacing"/>
        <w:ind w:left="720"/>
      </w:pPr>
      <w:r>
        <w:t>***</w:t>
      </w:r>
    </w:p>
    <w:p w14:paraId="12D90310" w14:textId="77777777" w:rsidR="008F05D1" w:rsidRDefault="008F05D1" w:rsidP="008F05D1">
      <w:pPr>
        <w:pStyle w:val="NoSpacing"/>
        <w:ind w:firstLine="720"/>
      </w:pPr>
      <w:r>
        <w:t xml:space="preserve">Mr. Long responded to many </w:t>
      </w:r>
      <w:proofErr w:type="gramStart"/>
      <w:r>
        <w:t>emergency</w:t>
      </w:r>
      <w:proofErr w:type="gramEnd"/>
      <w:r>
        <w:t xml:space="preserve"> calls over the course of his career. This</w:t>
      </w:r>
    </w:p>
    <w:p w14:paraId="2A5739CE" w14:textId="77777777" w:rsidR="008F05D1" w:rsidRDefault="008F05D1" w:rsidP="008F05D1">
      <w:pPr>
        <w:pStyle w:val="NoSpacing"/>
        <w:ind w:firstLine="720"/>
      </w:pPr>
      <w:r>
        <w:t>case focuses on four traumatic events that Mr. Long identifies as contributing to his</w:t>
      </w:r>
    </w:p>
    <w:p w14:paraId="6F516821" w14:textId="77777777" w:rsidR="008F05D1" w:rsidRDefault="008F05D1" w:rsidP="008F05D1">
      <w:pPr>
        <w:pStyle w:val="NoSpacing"/>
        <w:ind w:firstLine="720"/>
      </w:pPr>
      <w:r>
        <w:t>disability.1 We will discuss them in the order they occurred.</w:t>
      </w:r>
    </w:p>
    <w:p w14:paraId="2114A118" w14:textId="77777777" w:rsidR="008F05D1" w:rsidRDefault="008F05D1" w:rsidP="008F05D1">
      <w:pPr>
        <w:pStyle w:val="NoSpacing"/>
      </w:pPr>
    </w:p>
    <w:p w14:paraId="2F74C6CC" w14:textId="77777777" w:rsidR="008F05D1" w:rsidRDefault="008F05D1" w:rsidP="008F05D1">
      <w:pPr>
        <w:pStyle w:val="NoSpacing"/>
        <w:ind w:firstLine="720"/>
      </w:pPr>
      <w:r>
        <w:t>The first event Mr. Long identified was a car accident near the Bailey-Willow</w:t>
      </w:r>
    </w:p>
    <w:p w14:paraId="2DFB58FA" w14:textId="77777777" w:rsidR="008F05D1" w:rsidRDefault="008F05D1" w:rsidP="008F05D1">
      <w:pPr>
        <w:pStyle w:val="NoSpacing"/>
        <w:ind w:left="720"/>
      </w:pPr>
      <w:r>
        <w:t>intersection in 2008. Mr. Long was called to the scene of a car wreck involving a mother and three children. Mr. Long testified that the mother had run a red-light and been T-boned by an SUV. The children, including an infant in a car seat, were not buckled in when the wreck occurred. Mr. Long rendered aid to the infant whose skull had been crushed after the car seat bounced around the car as well as to a young girl who had been thrown out of the car. Two of the three children died from their injuries. Mr. Long noted that this incident was deeply troubling to all the firefighters who were on the call and that it was particularly hard for him because his children were about the same age as the children in the wreck.</w:t>
      </w:r>
    </w:p>
    <w:p w14:paraId="1E9132A2" w14:textId="77777777" w:rsidR="008F05D1" w:rsidRDefault="008F05D1" w:rsidP="008F05D1">
      <w:pPr>
        <w:pStyle w:val="NoSpacing"/>
      </w:pPr>
    </w:p>
    <w:p w14:paraId="43503317" w14:textId="77777777" w:rsidR="008F05D1" w:rsidRDefault="008F05D1" w:rsidP="008F05D1">
      <w:pPr>
        <w:pStyle w:val="NoSpacing"/>
        <w:ind w:firstLine="720"/>
      </w:pPr>
      <w:r>
        <w:t>The second event Mr. Long identified was the Highland Park fire in 2013. Mr. Long</w:t>
      </w:r>
    </w:p>
    <w:p w14:paraId="76C4C2B5" w14:textId="77777777" w:rsidR="008F05D1" w:rsidRDefault="008F05D1" w:rsidP="008F05D1">
      <w:pPr>
        <w:pStyle w:val="NoSpacing"/>
        <w:ind w:firstLine="720"/>
      </w:pPr>
      <w:r>
        <w:t>was called to a fire at an apartment where two children were trapped in the burning</w:t>
      </w:r>
    </w:p>
    <w:p w14:paraId="756E9349" w14:textId="77777777" w:rsidR="008F05D1" w:rsidRDefault="008F05D1" w:rsidP="008F05D1">
      <w:pPr>
        <w:pStyle w:val="NoSpacing"/>
        <w:ind w:firstLine="720"/>
      </w:pPr>
      <w:r>
        <w:t>building. Mr. Long rendered aid to one of the children and remembered that the child’s</w:t>
      </w:r>
    </w:p>
    <w:p w14:paraId="2E154956" w14:textId="77777777" w:rsidR="008F05D1" w:rsidRDefault="008F05D1" w:rsidP="008F05D1">
      <w:pPr>
        <w:pStyle w:val="NoSpacing"/>
        <w:ind w:firstLine="720"/>
      </w:pPr>
      <w:r>
        <w:t>hair was ‘sloughing off,’ his ‘skin was hanging,’ and he was ‘covered in soot.’ Mr. Long</w:t>
      </w:r>
    </w:p>
    <w:p w14:paraId="01AB3ECA" w14:textId="77777777" w:rsidR="008F05D1" w:rsidRDefault="008F05D1" w:rsidP="008F05D1">
      <w:pPr>
        <w:pStyle w:val="NoSpacing"/>
        <w:ind w:firstLine="720"/>
      </w:pPr>
      <w:r>
        <w:t>and the other firefighters revived the child and then sent him in an ambulance for further</w:t>
      </w:r>
    </w:p>
    <w:p w14:paraId="219476FE" w14:textId="77777777" w:rsidR="008F05D1" w:rsidRDefault="008F05D1" w:rsidP="008F05D1">
      <w:pPr>
        <w:pStyle w:val="NoSpacing"/>
        <w:ind w:left="720"/>
      </w:pPr>
      <w:r>
        <w:t>treatment. Unfortunately, the other child died at the scene. Mr. Long also discussed the aftermath of the Highland Park fire. More than a year after the fire, the surviving child came to visit the fire station to thank Mr. Long and the other firefighters. Mr. Long did not know in advance that the child was coming to visit, and the child was “so disfigured that . . . it was something that stuck with [Mr. Long].” Mr. Long also testified that he rarely learned anything about the people he helped and the child “was one of the few” he ever saw again.</w:t>
      </w:r>
    </w:p>
    <w:p w14:paraId="57A5BD2D" w14:textId="77777777" w:rsidR="008F05D1" w:rsidRDefault="008F05D1" w:rsidP="008F05D1">
      <w:pPr>
        <w:pStyle w:val="NoSpacing"/>
      </w:pPr>
    </w:p>
    <w:p w14:paraId="0C573C18" w14:textId="77777777" w:rsidR="008F05D1" w:rsidRDefault="008F05D1" w:rsidP="008F05D1">
      <w:pPr>
        <w:pStyle w:val="NoSpacing"/>
        <w:ind w:firstLine="720"/>
      </w:pPr>
      <w:r>
        <w:t>The third event was a pedestrian being struck by a car.2 Mr. Long was one of the</w:t>
      </w:r>
    </w:p>
    <w:p w14:paraId="09A928E8" w14:textId="77777777" w:rsidR="008F05D1" w:rsidRDefault="008F05D1" w:rsidP="008F05D1">
      <w:pPr>
        <w:pStyle w:val="NoSpacing"/>
        <w:ind w:firstLine="720"/>
      </w:pPr>
      <w:r>
        <w:t>responders to an accident where a man was hit by a car while pushing his girlfriend out of</w:t>
      </w:r>
    </w:p>
    <w:p w14:paraId="39930AFF" w14:textId="77777777" w:rsidR="008F05D1" w:rsidRDefault="008F05D1" w:rsidP="008F05D1">
      <w:pPr>
        <w:pStyle w:val="NoSpacing"/>
        <w:ind w:firstLine="720"/>
      </w:pPr>
      <w:r>
        <w:t>the way. The man died on the scene after “spitting out pieces of his lungs.” Mr. Long</w:t>
      </w:r>
    </w:p>
    <w:p w14:paraId="5919B3C0" w14:textId="77777777" w:rsidR="008F05D1" w:rsidRDefault="008F05D1" w:rsidP="008F05D1">
      <w:pPr>
        <w:pStyle w:val="NoSpacing"/>
        <w:ind w:firstLine="720"/>
      </w:pPr>
      <w:r>
        <w:t>found this particularly troubling because the man’s friends and girlfriend were asking Mr.</w:t>
      </w:r>
    </w:p>
    <w:p w14:paraId="4A11A1CB" w14:textId="77777777" w:rsidR="008F05D1" w:rsidRDefault="008F05D1" w:rsidP="008F05D1">
      <w:pPr>
        <w:pStyle w:val="NoSpacing"/>
        <w:ind w:firstLine="720"/>
      </w:pPr>
      <w:r>
        <w:t>Long if the man would be okay.</w:t>
      </w:r>
    </w:p>
    <w:p w14:paraId="2178C8CE" w14:textId="77777777" w:rsidR="008F05D1" w:rsidRDefault="008F05D1" w:rsidP="008F05D1">
      <w:pPr>
        <w:pStyle w:val="NoSpacing"/>
      </w:pPr>
    </w:p>
    <w:p w14:paraId="31BC5B6E" w14:textId="77777777" w:rsidR="008F05D1" w:rsidRDefault="008F05D1" w:rsidP="008F05D1">
      <w:pPr>
        <w:pStyle w:val="NoSpacing"/>
        <w:ind w:firstLine="720"/>
      </w:pPr>
      <w:r>
        <w:t>The fourth event was an encounter with an armed man in July 2019. Mr. Long and</w:t>
      </w:r>
    </w:p>
    <w:p w14:paraId="220C6793" w14:textId="77777777" w:rsidR="008F05D1" w:rsidRDefault="008F05D1" w:rsidP="008F05D1">
      <w:pPr>
        <w:pStyle w:val="NoSpacing"/>
        <w:ind w:left="720"/>
      </w:pPr>
      <w:r>
        <w:lastRenderedPageBreak/>
        <w:t>other firefighters responded to a call that an elderly woman had fallen. When they arrived, Mr. Long came upon a man cutting pills. The man had a handgun out on the table and looked at Mr. Long in a way that made him feel threatened, particularly because the call was without police backup. Mr. Long testified of this encounter, “I’ve seen people with guns and different things, but at this moment I was done.” This event occurred around the time that Mr. Long began mental health treatment.</w:t>
      </w:r>
    </w:p>
    <w:p w14:paraId="50EE395C" w14:textId="77777777" w:rsidR="008F05D1" w:rsidRDefault="008F05D1" w:rsidP="008F05D1">
      <w:pPr>
        <w:pStyle w:val="NoSpacing"/>
      </w:pPr>
    </w:p>
    <w:p w14:paraId="5E1B58C9" w14:textId="77777777" w:rsidR="008F05D1" w:rsidRDefault="008F05D1" w:rsidP="008F05D1">
      <w:pPr>
        <w:pStyle w:val="NoSpacing"/>
      </w:pPr>
      <w:r>
        <w:tab/>
        <w:t>***</w:t>
      </w:r>
    </w:p>
    <w:p w14:paraId="5A29F31B" w14:textId="77777777" w:rsidR="008F05D1" w:rsidRDefault="008F05D1" w:rsidP="008F05D1">
      <w:pPr>
        <w:pStyle w:val="NoSpacing"/>
      </w:pPr>
    </w:p>
    <w:p w14:paraId="166035B8" w14:textId="77777777" w:rsidR="008F05D1" w:rsidRDefault="008F05D1" w:rsidP="008F05D1">
      <w:pPr>
        <w:pStyle w:val="NoSpacing"/>
        <w:ind w:left="720"/>
      </w:pPr>
      <w:r>
        <w:t xml:space="preserve">There is little evidence that the events causing Mr. Long’s PTSD were ‘unexpected,’ and there is significant evidence that the events were expected. There is certainly ‘more than a scintilla of evidence’  to support the Board’s decision. The Policy placed the burden of proof on Mr. Long to show that the events causing his PTSD were unexpected, and our review of the record yields little evidence that he met that burden. Accordingly, we find that the Board’s decision is supported by substantial and material evidence in the record and there is ample basis for a reasonable person to reach the same </w:t>
      </w:r>
      <w:proofErr w:type="gramStart"/>
      <w:r>
        <w:t>conclusion.”</w:t>
      </w:r>
      <w:proofErr w:type="gramEnd"/>
    </w:p>
    <w:p w14:paraId="03F97E55" w14:textId="77777777" w:rsidR="008F05D1" w:rsidRDefault="008F05D1" w:rsidP="008F05D1">
      <w:pPr>
        <w:pStyle w:val="NoSpacing"/>
        <w:ind w:left="720"/>
      </w:pPr>
    </w:p>
    <w:p w14:paraId="157035FC" w14:textId="0E41A0F2" w:rsidR="008F05D1" w:rsidRPr="006A66F3" w:rsidRDefault="008F05D1" w:rsidP="008F05D1">
      <w:pPr>
        <w:pStyle w:val="NoSpacing"/>
        <w:rPr>
          <w:b/>
          <w:bCs/>
        </w:rPr>
      </w:pPr>
      <w:r>
        <w:rPr>
          <w:b/>
        </w:rPr>
        <w:t xml:space="preserve">Lesson learned:  </w:t>
      </w:r>
      <w:r w:rsidR="0002141E">
        <w:rPr>
          <w:b/>
        </w:rPr>
        <w:t xml:space="preserve">The </w:t>
      </w:r>
      <w:r>
        <w:rPr>
          <w:b/>
        </w:rPr>
        <w:t xml:space="preserve">claimant failed to prove </w:t>
      </w:r>
      <w:r w:rsidR="0002141E">
        <w:rPr>
          <w:b/>
        </w:rPr>
        <w:t xml:space="preserve">his </w:t>
      </w:r>
      <w:r>
        <w:rPr>
          <w:b/>
        </w:rPr>
        <w:t xml:space="preserve">mental health </w:t>
      </w:r>
      <w:r w:rsidRPr="006A66F3">
        <w:rPr>
          <w:b/>
        </w:rPr>
        <w:t xml:space="preserve">disability </w:t>
      </w:r>
      <w:r w:rsidR="0002141E">
        <w:rPr>
          <w:b/>
        </w:rPr>
        <w:t xml:space="preserve"> was “</w:t>
      </w:r>
      <w:r w:rsidRPr="006A66F3">
        <w:rPr>
          <w:b/>
        </w:rPr>
        <w:t>a direct result of a traumatic event that is . . . unexpected.”</w:t>
      </w:r>
    </w:p>
    <w:p w14:paraId="0CD3B361" w14:textId="77777777" w:rsidR="008F05D1" w:rsidRPr="006A66F3" w:rsidRDefault="008F05D1" w:rsidP="008F05D1">
      <w:pPr>
        <w:pStyle w:val="NoSpacing"/>
        <w:ind w:left="720"/>
        <w:rPr>
          <w:b/>
          <w:bCs/>
        </w:rPr>
      </w:pPr>
    </w:p>
    <w:p w14:paraId="309557DF" w14:textId="77777777" w:rsidR="008F05D1" w:rsidRDefault="008F05D1" w:rsidP="008F05D1">
      <w:pPr>
        <w:pStyle w:val="NoSpacing"/>
        <w:ind w:left="720"/>
      </w:pPr>
      <w:r w:rsidRPr="00496071">
        <w:t xml:space="preserve"> Note: See Oct. 15, </w:t>
      </w:r>
      <w:proofErr w:type="gramStart"/>
      <w:r w:rsidRPr="00496071">
        <w:t>2025</w:t>
      </w:r>
      <w:proofErr w:type="gramEnd"/>
      <w:r w:rsidRPr="00496071">
        <w:t xml:space="preserve"> article, “Tenn. Supreme Court reinstates denial of PTSD benefits for former firefighter. “ </w:t>
      </w:r>
      <w:hyperlink r:id="rId2334" w:history="1">
        <w:r w:rsidRPr="00496071">
          <w:rPr>
            <w:rStyle w:val="Hyperlink"/>
          </w:rPr>
          <w:t>https://www.firerescue1.com/legal/tenn-supreme-court-reinstates-denial-of-ptsd-benefits-for-former-firefighter?utm_source=delivra&amp;utm_medium=email&amp;utm_campaign=FR1-Daily-10-15-25&amp;utm_id=9641961&amp;dlv-emuid=fed355b8-46a2-4fa4-b55c-4d602dde33c4&amp;dlv-mlid=964196</w:t>
        </w:r>
      </w:hyperlink>
      <w:r w:rsidRPr="00496071">
        <w:t xml:space="preserve"> </w:t>
      </w:r>
    </w:p>
    <w:p w14:paraId="386BF20C" w14:textId="77777777" w:rsidR="00F02AD2" w:rsidRDefault="00F02AD2" w:rsidP="00491756">
      <w:pPr>
        <w:pStyle w:val="NoSpacing"/>
        <w:rPr>
          <w:rFonts w:ascii="Arial Black" w:hAnsi="Arial Black"/>
          <w:sz w:val="24"/>
          <w:szCs w:val="24"/>
        </w:rPr>
      </w:pPr>
    </w:p>
    <w:p w14:paraId="2889E54C" w14:textId="77777777" w:rsidR="00F02AD2" w:rsidRDefault="00F02AD2" w:rsidP="00491756">
      <w:pPr>
        <w:pStyle w:val="NoSpacing"/>
        <w:rPr>
          <w:rFonts w:ascii="Arial Black" w:hAnsi="Arial Black"/>
          <w:sz w:val="24"/>
          <w:szCs w:val="24"/>
        </w:rPr>
      </w:pPr>
    </w:p>
    <w:p w14:paraId="04EC1605" w14:textId="77777777" w:rsidR="00F02AD2" w:rsidRDefault="00F02AD2" w:rsidP="00491756">
      <w:pPr>
        <w:pStyle w:val="NoSpacing"/>
        <w:rPr>
          <w:rFonts w:ascii="Arial Black" w:hAnsi="Arial Black"/>
          <w:sz w:val="24"/>
          <w:szCs w:val="24"/>
        </w:rPr>
      </w:pPr>
    </w:p>
    <w:p w14:paraId="5F3BA784" w14:textId="776368B7" w:rsidR="00F02AD2" w:rsidRDefault="00F02AD2" w:rsidP="00491756">
      <w:pPr>
        <w:pStyle w:val="NoSpacing"/>
        <w:rPr>
          <w:rFonts w:ascii="Arial Black" w:hAnsi="Arial Black"/>
          <w:sz w:val="24"/>
          <w:szCs w:val="24"/>
        </w:rPr>
      </w:pPr>
      <w:r>
        <w:rPr>
          <w:rFonts w:ascii="Arial Black" w:hAnsi="Arial Black"/>
          <w:sz w:val="24"/>
          <w:szCs w:val="24"/>
        </w:rPr>
        <w:t>15-4</w:t>
      </w:r>
      <w:r w:rsidR="00CF6AB5">
        <w:rPr>
          <w:rFonts w:ascii="Arial Black" w:hAnsi="Arial Black"/>
          <w:sz w:val="24"/>
          <w:szCs w:val="24"/>
        </w:rPr>
        <w:t>3</w:t>
      </w:r>
    </w:p>
    <w:p w14:paraId="374EF672" w14:textId="77777777" w:rsidR="00F02AD2" w:rsidRDefault="00F02AD2" w:rsidP="00491756">
      <w:pPr>
        <w:pStyle w:val="NoSpacing"/>
        <w:rPr>
          <w:rFonts w:ascii="Arial Black" w:hAnsi="Arial Black"/>
          <w:sz w:val="24"/>
          <w:szCs w:val="24"/>
        </w:rPr>
      </w:pPr>
    </w:p>
    <w:p w14:paraId="5E21C88E" w14:textId="77777777" w:rsidR="00876E96" w:rsidRDefault="00876E96" w:rsidP="00491756">
      <w:pPr>
        <w:pStyle w:val="NoSpacing"/>
        <w:rPr>
          <w:rFonts w:ascii="Arial Black" w:hAnsi="Arial Black"/>
          <w:sz w:val="24"/>
          <w:szCs w:val="24"/>
        </w:rPr>
      </w:pPr>
    </w:p>
    <w:p w14:paraId="60F6CBE0" w14:textId="77777777" w:rsidR="00876E96" w:rsidRDefault="00876E96" w:rsidP="00876E96">
      <w:pPr>
        <w:spacing w:after="0"/>
        <w:rPr>
          <w:rFonts w:ascii="Arial Black" w:hAnsi="Arial Black"/>
          <w:b/>
          <w:sz w:val="28"/>
          <w:szCs w:val="28"/>
        </w:rPr>
      </w:pPr>
      <w:bookmarkStart w:id="569" w:name="_Hlk212805120"/>
      <w:r>
        <w:rPr>
          <w:rFonts w:ascii="Arial Black" w:hAnsi="Arial Black"/>
          <w:b/>
          <w:sz w:val="28"/>
          <w:szCs w:val="28"/>
        </w:rPr>
        <w:t>NY: PTSD – GET “ORDINARY” DISAB – NOT “ACCIDENTAL”</w:t>
      </w:r>
    </w:p>
    <w:p w14:paraId="76F84017" w14:textId="77777777" w:rsidR="00876E96" w:rsidRDefault="00876E96" w:rsidP="00876E96">
      <w:pPr>
        <w:spacing w:after="0"/>
        <w:rPr>
          <w:bCs/>
        </w:rPr>
      </w:pPr>
    </w:p>
    <w:p w14:paraId="2CBFABE4" w14:textId="77777777" w:rsidR="00876E96" w:rsidRPr="005153BB" w:rsidRDefault="00876E96" w:rsidP="00876E96">
      <w:pPr>
        <w:spacing w:after="0"/>
        <w:rPr>
          <w:b/>
        </w:rPr>
      </w:pPr>
      <w:r w:rsidRPr="00CA4B2B">
        <w:t xml:space="preserve">On October 10, 2025, in </w:t>
      </w:r>
      <w:r w:rsidRPr="009C2E71">
        <w:rPr>
          <w:u w:val="single"/>
        </w:rPr>
        <w:t>Gordon Springs v. The New York City Fire Pension Fund</w:t>
      </w:r>
      <w:r>
        <w:rPr>
          <w:u w:val="single"/>
        </w:rPr>
        <w:t>, et al.</w:t>
      </w:r>
      <w:r>
        <w:t xml:space="preserve">, Judge  </w:t>
      </w:r>
      <w:r w:rsidRPr="00230706">
        <w:t>Lyle E. Frank</w:t>
      </w:r>
      <w:r>
        <w:t xml:space="preserve">, </w:t>
      </w:r>
      <w:r w:rsidRPr="000452AD">
        <w:t>Supreme Court, New York County</w:t>
      </w:r>
      <w:r>
        <w:t xml:space="preserve"> (unpublished decision) held that the Pension Board, while granting the retired firefighter ordinary disability benefits, properly denied him Accidental Disability Retirement (ADR). The case was first </w:t>
      </w:r>
      <w:proofErr w:type="gramStart"/>
      <w:r>
        <w:t>remanded</w:t>
      </w:r>
      <w:proofErr w:type="gramEnd"/>
      <w:r>
        <w:t xml:space="preserve"> to the Board, which reconfirmed its </w:t>
      </w:r>
      <w:proofErr w:type="gramStart"/>
      <w:r>
        <w:t>decision</w:t>
      </w:r>
      <w:proofErr w:type="gramEnd"/>
      <w:r>
        <w:t xml:space="preserve"> denying ADR.  </w:t>
      </w:r>
      <w:hyperlink r:id="rId2335" w:history="1">
        <w:r w:rsidRPr="00C117F2">
          <w:rPr>
            <w:rStyle w:val="Hyperlink"/>
          </w:rPr>
          <w:t>https://cases.justia.com/new-york/other-courts/2025-2025-ny-slip-op-33910-u.pdf?ts=1761341305</w:t>
        </w:r>
      </w:hyperlink>
      <w:bookmarkEnd w:id="569"/>
      <w:r w:rsidRPr="00C117F2">
        <w:t xml:space="preserve"> </w:t>
      </w:r>
    </w:p>
    <w:p w14:paraId="50321548" w14:textId="77777777" w:rsidR="00876E96" w:rsidRDefault="00876E96" w:rsidP="00876E96">
      <w:pPr>
        <w:spacing w:after="0"/>
        <w:rPr>
          <w:b/>
        </w:rPr>
      </w:pPr>
    </w:p>
    <w:p w14:paraId="2C6741A0" w14:textId="77777777" w:rsidR="00876E96" w:rsidRDefault="00876E96" w:rsidP="00876E96">
      <w:pPr>
        <w:spacing w:after="0"/>
        <w:rPr>
          <w:bCs/>
        </w:rPr>
      </w:pPr>
      <w:r>
        <w:t>THE COURT HELD:</w:t>
      </w:r>
    </w:p>
    <w:p w14:paraId="104D6222" w14:textId="77777777" w:rsidR="00876E96" w:rsidRDefault="00876E96" w:rsidP="00876E96">
      <w:pPr>
        <w:spacing w:after="0"/>
        <w:ind w:firstLine="720"/>
        <w:rPr>
          <w:bCs/>
        </w:rPr>
      </w:pPr>
    </w:p>
    <w:p w14:paraId="03BA5F03" w14:textId="77777777" w:rsidR="00876E96" w:rsidRPr="008A0293" w:rsidRDefault="00876E96" w:rsidP="00876E96">
      <w:pPr>
        <w:spacing w:after="0"/>
        <w:ind w:firstLine="720"/>
        <w:rPr>
          <w:bCs/>
        </w:rPr>
      </w:pPr>
      <w:r>
        <w:t>“</w:t>
      </w:r>
      <w:r w:rsidRPr="008A0293">
        <w:t xml:space="preserve">To receive ADR, a member must establish that they are </w:t>
      </w:r>
      <w:r>
        <w:t>‘</w:t>
      </w:r>
      <w:r w:rsidRPr="008A0293">
        <w:t>physically or mentally</w:t>
      </w:r>
    </w:p>
    <w:p w14:paraId="1FDBB375" w14:textId="77777777" w:rsidR="00876E96" w:rsidRPr="008A0293" w:rsidRDefault="00876E96" w:rsidP="00876E96">
      <w:pPr>
        <w:spacing w:after="0"/>
        <w:ind w:firstLine="720"/>
        <w:rPr>
          <w:bCs/>
        </w:rPr>
      </w:pPr>
      <w:r w:rsidRPr="008A0293">
        <w:t>incapacitated for the performance of city-service, as a natural and proximate result</w:t>
      </w:r>
      <w:r>
        <w:t>’</w:t>
      </w:r>
      <w:r w:rsidRPr="008A0293">
        <w:t xml:space="preserve"> of an</w:t>
      </w:r>
    </w:p>
    <w:p w14:paraId="4A806047" w14:textId="77777777" w:rsidR="00876E96" w:rsidRDefault="00876E96" w:rsidP="00876E96">
      <w:pPr>
        <w:spacing w:after="0"/>
        <w:ind w:firstLine="720"/>
        <w:rPr>
          <w:bCs/>
        </w:rPr>
      </w:pPr>
      <w:r w:rsidRPr="008A0293">
        <w:t>accidental injury received in such city-service. Administrative Code §13-353.</w:t>
      </w:r>
    </w:p>
    <w:p w14:paraId="39FA564A" w14:textId="77777777" w:rsidR="00876E96" w:rsidRDefault="00876E96" w:rsidP="00876E96">
      <w:pPr>
        <w:spacing w:after="0"/>
        <w:ind w:firstLine="720"/>
        <w:rPr>
          <w:bCs/>
        </w:rPr>
      </w:pPr>
    </w:p>
    <w:p w14:paraId="53CD2E32" w14:textId="77777777" w:rsidR="00876E96" w:rsidRDefault="00876E96" w:rsidP="00876E96">
      <w:pPr>
        <w:spacing w:after="0"/>
        <w:ind w:firstLine="720"/>
        <w:rPr>
          <w:bCs/>
        </w:rPr>
      </w:pPr>
      <w:r>
        <w:t>***</w:t>
      </w:r>
    </w:p>
    <w:p w14:paraId="017221CA" w14:textId="77777777" w:rsidR="00876E96" w:rsidRPr="00E529FB" w:rsidRDefault="00876E96" w:rsidP="00876E96">
      <w:pPr>
        <w:spacing w:after="0"/>
        <w:ind w:firstLine="720"/>
        <w:rPr>
          <w:bCs/>
        </w:rPr>
      </w:pPr>
      <w:r w:rsidRPr="00E529FB">
        <w:t>With respect to petitioner’s psychological disability, the Court similarly finds that</w:t>
      </w:r>
    </w:p>
    <w:p w14:paraId="1286EBE5" w14:textId="77777777" w:rsidR="00876E96" w:rsidRDefault="00876E96" w:rsidP="00876E96">
      <w:pPr>
        <w:spacing w:after="0"/>
        <w:ind w:left="720"/>
        <w:rPr>
          <w:bCs/>
        </w:rPr>
      </w:pPr>
      <w:r w:rsidRPr="00E529FB">
        <w:t>respondents, consistent with binding precedent, reasonably determined that it was not causally</w:t>
      </w:r>
      <w:r>
        <w:t xml:space="preserve"> </w:t>
      </w:r>
      <w:r w:rsidRPr="00E529FB">
        <w:t>related to his duties as a firefighter. See Smith v City of N.Y., 208 AD3d 1335 [2d Dept 2022]</w:t>
      </w:r>
      <w:r>
        <w:t xml:space="preserve"> </w:t>
      </w:r>
      <w:r w:rsidRPr="00E529FB">
        <w:t>(firefighter physically and sexually assaulted by two fellow firefighters and subsequently</w:t>
      </w:r>
      <w:r>
        <w:t xml:space="preserve"> </w:t>
      </w:r>
      <w:r w:rsidRPr="00E529FB">
        <w:t xml:space="preserve">developed PTSD in connection with </w:t>
      </w:r>
      <w:proofErr w:type="spellStart"/>
      <w:r w:rsidRPr="00E529FB">
        <w:t>assualt</w:t>
      </w:r>
      <w:proofErr w:type="spellEnd"/>
      <w:r w:rsidRPr="00E529FB">
        <w:t xml:space="preserve">); Picciurro v. Bd. of </w:t>
      </w:r>
      <w:proofErr w:type="spellStart"/>
      <w:r w:rsidRPr="00E529FB">
        <w:t>Trs</w:t>
      </w:r>
      <w:proofErr w:type="spellEnd"/>
      <w:r w:rsidRPr="00E529FB">
        <w:t>. of the N.Y.C. Police</w:t>
      </w:r>
      <w:r>
        <w:t xml:space="preserve"> </w:t>
      </w:r>
      <w:r w:rsidRPr="00E529FB">
        <w:t xml:space="preserve">Pension Fund, 46 AD3d 346, 348-49 [1st Dept 2007] (police officer suffered PTSD </w:t>
      </w:r>
      <w:r w:rsidRPr="00E529FB">
        <w:lastRenderedPageBreak/>
        <w:t>and</w:t>
      </w:r>
      <w:r>
        <w:t xml:space="preserve"> </w:t>
      </w:r>
      <w:r w:rsidRPr="00E529FB">
        <w:t>depression after humiliation, harassment and taunting by coworkers); Baird v Kelly, 25 AD3d</w:t>
      </w:r>
      <w:r>
        <w:t xml:space="preserve"> </w:t>
      </w:r>
      <w:r w:rsidRPr="00E529FB">
        <w:t>311, 313 [1st Dept 2006] (</w:t>
      </w:r>
      <w:r>
        <w:t>‘</w:t>
      </w:r>
      <w:r w:rsidRPr="00E529FB">
        <w:t>campaign of harassment does not constitute an accident</w:t>
      </w:r>
      <w:r>
        <w:t>’</w:t>
      </w:r>
      <w:r w:rsidRPr="00E529FB">
        <w:t>).</w:t>
      </w:r>
    </w:p>
    <w:p w14:paraId="5D147BCB" w14:textId="77777777" w:rsidR="00876E96" w:rsidRDefault="00876E96" w:rsidP="00876E96">
      <w:pPr>
        <w:spacing w:after="0"/>
        <w:ind w:left="720"/>
        <w:rPr>
          <w:bCs/>
        </w:rPr>
      </w:pPr>
    </w:p>
    <w:p w14:paraId="75DE0AA6" w14:textId="727777D4" w:rsidR="00876E96" w:rsidRDefault="00876E96" w:rsidP="00876E96">
      <w:pPr>
        <w:spacing w:after="0"/>
        <w:rPr>
          <w:b/>
        </w:rPr>
      </w:pPr>
      <w:r>
        <w:rPr>
          <w:b/>
        </w:rPr>
        <w:t xml:space="preserve">Lesson Learned: Under New York precedent, harassment does not constitute an accident. </w:t>
      </w:r>
    </w:p>
    <w:p w14:paraId="624B7A0A" w14:textId="77777777" w:rsidR="00876E96" w:rsidRDefault="00876E96" w:rsidP="00876E96">
      <w:pPr>
        <w:spacing w:after="0"/>
        <w:rPr>
          <w:b/>
        </w:rPr>
      </w:pPr>
    </w:p>
    <w:p w14:paraId="0495B5AB" w14:textId="77777777" w:rsidR="00876E96" w:rsidRDefault="00876E96" w:rsidP="00876E96">
      <w:pPr>
        <w:pStyle w:val="NoSpacing"/>
        <w:ind w:left="720"/>
      </w:pPr>
      <w:r w:rsidRPr="0065117A">
        <w:t xml:space="preserve">Note: </w:t>
      </w:r>
      <w:r>
        <w:t xml:space="preserve"> See plaintiff’s Feb. 8, </w:t>
      </w:r>
      <w:proofErr w:type="gramStart"/>
      <w:r>
        <w:t>2000</w:t>
      </w:r>
      <w:proofErr w:type="gramEnd"/>
      <w:r>
        <w:t xml:space="preserve"> Complaint where he alleged harassment as a Black, Muslim firefighter. </w:t>
      </w:r>
      <w:hyperlink r:id="rId2336" w:history="1">
        <w:r w:rsidRPr="00E52E8B">
          <w:rPr>
            <w:rStyle w:val="Hyperlink"/>
            <w:b/>
          </w:rPr>
          <w:t>file:///C:/Users/lawre/Downloads/US_DIS_NYSD_1_19cv11555_COMPLAINT_against_City_of_New_York_City_of_New_Yor.pdf</w:t>
        </w:r>
      </w:hyperlink>
      <w:r>
        <w:t xml:space="preserve"> </w:t>
      </w:r>
    </w:p>
    <w:p w14:paraId="7E670109" w14:textId="77777777" w:rsidR="00876E96" w:rsidRPr="0065117A" w:rsidRDefault="00876E96" w:rsidP="00876E96">
      <w:pPr>
        <w:spacing w:after="0"/>
        <w:ind w:left="720"/>
        <w:rPr>
          <w:bCs/>
        </w:rPr>
      </w:pPr>
      <w:r>
        <w:t xml:space="preserve"> </w:t>
      </w:r>
    </w:p>
    <w:p w14:paraId="509FC502" w14:textId="77777777" w:rsidR="00876E96" w:rsidRPr="000452AD" w:rsidRDefault="00876E96" w:rsidP="00876E96">
      <w:pPr>
        <w:spacing w:after="0"/>
        <w:rPr>
          <w:bCs/>
        </w:rPr>
      </w:pPr>
    </w:p>
    <w:p w14:paraId="04F92309" w14:textId="1B2B9424" w:rsidR="00491756" w:rsidRDefault="00491756" w:rsidP="000C4DF5">
      <w:pPr>
        <w:pStyle w:val="NoSpacing"/>
        <w:rPr>
          <w:rFonts w:ascii="Arial Black" w:hAnsi="Arial Black"/>
          <w:sz w:val="24"/>
          <w:szCs w:val="24"/>
        </w:rPr>
      </w:pPr>
    </w:p>
    <w:p w14:paraId="76320291" w14:textId="77777777" w:rsidR="00491756" w:rsidRDefault="00491756" w:rsidP="000C4DF5">
      <w:pPr>
        <w:pStyle w:val="NoSpacing"/>
        <w:rPr>
          <w:rFonts w:ascii="Arial Black" w:hAnsi="Arial Black"/>
          <w:sz w:val="24"/>
          <w:szCs w:val="24"/>
        </w:rPr>
      </w:pPr>
    </w:p>
    <w:p w14:paraId="6A909376" w14:textId="64C1B462" w:rsidR="00A93EB6" w:rsidRDefault="00A93EB6" w:rsidP="000C4DF5">
      <w:pPr>
        <w:pStyle w:val="NoSpacing"/>
        <w:rPr>
          <w:rFonts w:ascii="Arial Black" w:hAnsi="Arial Black"/>
          <w:sz w:val="24"/>
          <w:szCs w:val="24"/>
        </w:rPr>
      </w:pPr>
      <w:r>
        <w:rPr>
          <w:rFonts w:ascii="Arial Black" w:hAnsi="Arial Black"/>
          <w:sz w:val="24"/>
          <w:szCs w:val="24"/>
        </w:rPr>
        <w:t>15-42</w:t>
      </w:r>
    </w:p>
    <w:p w14:paraId="7531E8F3" w14:textId="77777777" w:rsidR="00A93EB6" w:rsidRDefault="00A93EB6" w:rsidP="000C4DF5">
      <w:pPr>
        <w:pStyle w:val="NoSpacing"/>
        <w:rPr>
          <w:rFonts w:ascii="Arial Black" w:hAnsi="Arial Black"/>
          <w:sz w:val="24"/>
          <w:szCs w:val="24"/>
        </w:rPr>
      </w:pPr>
    </w:p>
    <w:p w14:paraId="71EC53F1" w14:textId="77777777" w:rsidR="00A93EB6" w:rsidRPr="004D227C" w:rsidRDefault="00A93EB6" w:rsidP="00A93EB6">
      <w:pPr>
        <w:rPr>
          <w:rFonts w:ascii="Arial Black" w:hAnsi="Arial Black"/>
          <w:sz w:val="28"/>
          <w:szCs w:val="28"/>
        </w:rPr>
      </w:pPr>
      <w:r>
        <w:rPr>
          <w:rFonts w:ascii="Arial Black" w:hAnsi="Arial Black"/>
          <w:sz w:val="28"/>
          <w:szCs w:val="28"/>
        </w:rPr>
        <w:t>IL: CHICAGO – PSYCHOLOGICAL “SUITABILITY SCREENING”</w:t>
      </w:r>
    </w:p>
    <w:p w14:paraId="5A11A4CE" w14:textId="125D2DFA" w:rsidR="00A93EB6" w:rsidRPr="000449B4" w:rsidRDefault="00A93EB6" w:rsidP="00A93EB6">
      <w:pPr>
        <w:pStyle w:val="NoSpacing"/>
        <w:rPr>
          <w:rFonts w:ascii="Times New Roman" w:hAnsi="Times New Roman"/>
          <w:sz w:val="24"/>
          <w:szCs w:val="24"/>
        </w:rPr>
      </w:pPr>
      <w:r w:rsidRPr="000449B4">
        <w:rPr>
          <w:rFonts w:ascii="Times New Roman" w:hAnsi="Times New Roman"/>
          <w:sz w:val="24"/>
          <w:szCs w:val="24"/>
        </w:rPr>
        <w:t xml:space="preserve">On July 1, 2025, in </w:t>
      </w:r>
      <w:r w:rsidRPr="000449B4">
        <w:rPr>
          <w:rFonts w:ascii="Times New Roman" w:hAnsi="Times New Roman"/>
          <w:sz w:val="24"/>
          <w:szCs w:val="24"/>
          <w:u w:val="single"/>
        </w:rPr>
        <w:t>Nicholas Sintos v. City of Chicago</w:t>
      </w:r>
      <w:r w:rsidRPr="000449B4">
        <w:rPr>
          <w:rFonts w:ascii="Times New Roman" w:hAnsi="Times New Roman"/>
          <w:sz w:val="24"/>
          <w:szCs w:val="24"/>
        </w:rPr>
        <w:t xml:space="preserve">, U.S. District Court Judge Sara L. Ellis, United States District Court for Northern District of Illinois (Eastern Divion) held that plaintiff, who in February 2019 was rejected by the Chicago Fire Department’s Medical Director after undergoing a “psychological suitability screening” may proceed with his ADA lawsuit.  In 2020, the </w:t>
      </w:r>
      <w:proofErr w:type="gramStart"/>
      <w:r w:rsidRPr="000449B4">
        <w:rPr>
          <w:rFonts w:ascii="Times New Roman" w:hAnsi="Times New Roman"/>
          <w:sz w:val="24"/>
          <w:szCs w:val="24"/>
        </w:rPr>
        <w:t>City</w:t>
      </w:r>
      <w:proofErr w:type="gramEnd"/>
      <w:r w:rsidRPr="000449B4">
        <w:rPr>
          <w:rFonts w:ascii="Times New Roman" w:hAnsi="Times New Roman"/>
          <w:sz w:val="24"/>
          <w:szCs w:val="24"/>
        </w:rPr>
        <w:t xml:space="preserve"> stopped using this screening for applicants with mental health history.  THE COUT HELD:  “Dr. Wong also referred </w:t>
      </w:r>
      <w:proofErr w:type="spellStart"/>
      <w:r w:rsidRPr="000449B4">
        <w:rPr>
          <w:rFonts w:ascii="Times New Roman" w:hAnsi="Times New Roman"/>
          <w:sz w:val="24"/>
          <w:szCs w:val="24"/>
        </w:rPr>
        <w:t>Sintos</w:t>
      </w:r>
      <w:proofErr w:type="spellEnd"/>
      <w:r w:rsidRPr="000449B4">
        <w:rPr>
          <w:rFonts w:ascii="Times New Roman" w:hAnsi="Times New Roman"/>
          <w:sz w:val="24"/>
          <w:szCs w:val="24"/>
        </w:rPr>
        <w:t xml:space="preserve"> for a psychological suitability screening administered by Dr. Diana Goldstein of the Isaac Ray Forensic Group. The screening consisted of a twenty-three-page biographical questionnaire, two psychometric exams (the Minnesota Multiphasic Personality Inventory, revised (“MMPI-2”): Public Safety Module, and the Personality Assessment Inventory: Law Enforcement, Corrections and Public Safety Selection Report (“PAI”)), and an interview…. Dr. Goldstein rated individuals as acceptable, acceptable with reservations, or unacceptable. An unacceptable finding [rating she gave to plaintiff] on the screening meant that the candidate's results did not look like those of a sample group of individuals who completed the probationary period…. The parties agree that the second [ADA] element, whether </w:t>
      </w:r>
      <w:proofErr w:type="spellStart"/>
      <w:r w:rsidRPr="000449B4">
        <w:rPr>
          <w:rFonts w:ascii="Times New Roman" w:hAnsi="Times New Roman"/>
          <w:sz w:val="24"/>
          <w:szCs w:val="24"/>
        </w:rPr>
        <w:t>Sintos</w:t>
      </w:r>
      <w:proofErr w:type="spellEnd"/>
      <w:r w:rsidRPr="000449B4">
        <w:rPr>
          <w:rFonts w:ascii="Times New Roman" w:hAnsi="Times New Roman"/>
          <w:sz w:val="24"/>
          <w:szCs w:val="24"/>
        </w:rPr>
        <w:t xml:space="preserve"> was qualified to perform the essential functions of a firefighter/EMT with or without a reasonable accommodation, remains a question for the jury.”  </w:t>
      </w:r>
      <w:hyperlink r:id="rId2337" w:history="1">
        <w:r w:rsidRPr="000449B4">
          <w:rPr>
            <w:rStyle w:val="Hyperlink"/>
            <w:rFonts w:ascii="Times New Roman" w:hAnsi="Times New Roman"/>
            <w:sz w:val="24"/>
            <w:szCs w:val="24"/>
          </w:rPr>
          <w:t>https://cases.justia.com/federal/district-courts/illinois/ilndce/1:2021cv05327/407800/161/0.pdf?ts=1751450196</w:t>
        </w:r>
      </w:hyperlink>
    </w:p>
    <w:p w14:paraId="765E9D30" w14:textId="77777777" w:rsidR="000449B4" w:rsidRPr="000449B4" w:rsidRDefault="000449B4" w:rsidP="000449B4">
      <w:pPr>
        <w:rPr>
          <w:rFonts w:ascii="Times New Roman" w:hAnsi="Times New Roman"/>
          <w:b/>
          <w:bCs/>
          <w:sz w:val="24"/>
          <w:szCs w:val="24"/>
        </w:rPr>
      </w:pPr>
      <w:r w:rsidRPr="000449B4">
        <w:rPr>
          <w:rFonts w:ascii="Times New Roman" w:hAnsi="Times New Roman"/>
          <w:b/>
          <w:sz w:val="24"/>
          <w:szCs w:val="24"/>
        </w:rPr>
        <w:t xml:space="preserve">Legal lesson learned: The case will now go to a jury trial unless the parties settle.  </w:t>
      </w:r>
    </w:p>
    <w:p w14:paraId="1A2E1EC1" w14:textId="77777777" w:rsidR="000449B4" w:rsidRDefault="000449B4" w:rsidP="00A93EB6">
      <w:pPr>
        <w:pStyle w:val="NoSpacing"/>
        <w:rPr>
          <w:rFonts w:ascii="Arial Black" w:hAnsi="Arial Black"/>
          <w:sz w:val="24"/>
          <w:szCs w:val="24"/>
        </w:rPr>
      </w:pPr>
    </w:p>
    <w:p w14:paraId="140C3253" w14:textId="77777777" w:rsidR="00A93EB6" w:rsidRDefault="00A93EB6" w:rsidP="000C4DF5">
      <w:pPr>
        <w:pStyle w:val="NoSpacing"/>
        <w:rPr>
          <w:rFonts w:ascii="Arial Black" w:hAnsi="Arial Black"/>
          <w:sz w:val="24"/>
          <w:szCs w:val="24"/>
        </w:rPr>
      </w:pPr>
    </w:p>
    <w:p w14:paraId="719D3BEC" w14:textId="4775FA32" w:rsidR="00816988" w:rsidRDefault="00816988" w:rsidP="000C4DF5">
      <w:pPr>
        <w:pStyle w:val="NoSpacing"/>
        <w:rPr>
          <w:rFonts w:ascii="Arial Black" w:hAnsi="Arial Black"/>
          <w:sz w:val="24"/>
          <w:szCs w:val="24"/>
        </w:rPr>
      </w:pPr>
      <w:r>
        <w:rPr>
          <w:rFonts w:ascii="Arial Black" w:hAnsi="Arial Black"/>
          <w:sz w:val="24"/>
          <w:szCs w:val="24"/>
        </w:rPr>
        <w:t>15-41</w:t>
      </w:r>
    </w:p>
    <w:p w14:paraId="41537DFD" w14:textId="77777777" w:rsidR="00816988" w:rsidRDefault="00816988" w:rsidP="000C4DF5">
      <w:pPr>
        <w:pStyle w:val="NoSpacing"/>
        <w:rPr>
          <w:rFonts w:ascii="Arial Black" w:hAnsi="Arial Black"/>
          <w:sz w:val="24"/>
          <w:szCs w:val="24"/>
        </w:rPr>
      </w:pPr>
    </w:p>
    <w:p w14:paraId="78A3F431" w14:textId="77777777" w:rsidR="00E67DEA" w:rsidRPr="006F2B87" w:rsidRDefault="00E67DEA" w:rsidP="00E67DEA">
      <w:pPr>
        <w:pStyle w:val="NoSpacing"/>
        <w:rPr>
          <w:rFonts w:ascii="Arial Black" w:hAnsi="Arial Black"/>
          <w:bCs/>
          <w:sz w:val="28"/>
          <w:szCs w:val="28"/>
        </w:rPr>
      </w:pPr>
      <w:r w:rsidRPr="006F2B87">
        <w:rPr>
          <w:rFonts w:ascii="Arial Black" w:hAnsi="Arial Black"/>
          <w:sz w:val="28"/>
          <w:szCs w:val="28"/>
        </w:rPr>
        <w:t xml:space="preserve">WA: MECHANIC – ANXIETY – </w:t>
      </w:r>
      <w:r>
        <w:rPr>
          <w:rFonts w:ascii="Arial Black" w:hAnsi="Arial Black"/>
          <w:sz w:val="28"/>
          <w:szCs w:val="28"/>
        </w:rPr>
        <w:t xml:space="preserve">NO ADA / DIDN’T </w:t>
      </w:r>
      <w:r w:rsidRPr="006F2B87">
        <w:rPr>
          <w:rFonts w:ascii="Arial Black" w:hAnsi="Arial Black"/>
          <w:sz w:val="28"/>
          <w:szCs w:val="28"/>
        </w:rPr>
        <w:t>COOPERATE</w:t>
      </w:r>
    </w:p>
    <w:p w14:paraId="44DC000D" w14:textId="77777777" w:rsidR="00E67DEA" w:rsidRPr="006F2B87" w:rsidRDefault="00E67DEA" w:rsidP="00E67DEA">
      <w:pPr>
        <w:pStyle w:val="NoSpacing"/>
        <w:rPr>
          <w:bCs/>
        </w:rPr>
      </w:pPr>
    </w:p>
    <w:p w14:paraId="46FABD20" w14:textId="77777777" w:rsidR="00E67DEA" w:rsidRPr="00E67DEA" w:rsidRDefault="00E67DEA" w:rsidP="00E67DEA">
      <w:pPr>
        <w:pStyle w:val="NoSpacing"/>
        <w:rPr>
          <w:rFonts w:ascii="Times New Roman" w:hAnsi="Times New Roman"/>
          <w:bCs/>
          <w:sz w:val="24"/>
          <w:szCs w:val="24"/>
        </w:rPr>
      </w:pPr>
      <w:r w:rsidRPr="00E67DEA">
        <w:rPr>
          <w:rFonts w:ascii="Times New Roman" w:hAnsi="Times New Roman"/>
          <w:sz w:val="24"/>
          <w:szCs w:val="24"/>
        </w:rPr>
        <w:t xml:space="preserve">On May 20, 2025, in </w:t>
      </w:r>
      <w:r w:rsidRPr="00E67DEA">
        <w:rPr>
          <w:rFonts w:ascii="Times New Roman" w:hAnsi="Times New Roman"/>
          <w:sz w:val="24"/>
          <w:szCs w:val="24"/>
          <w:u w:val="single"/>
        </w:rPr>
        <w:t>Liam Riley v. City of Tacoma; Tacoma Fire Department</w:t>
      </w:r>
      <w:r w:rsidRPr="00E67DEA">
        <w:rPr>
          <w:rFonts w:ascii="Times New Roman" w:hAnsi="Times New Roman"/>
          <w:sz w:val="24"/>
          <w:szCs w:val="24"/>
        </w:rPr>
        <w:t xml:space="preserve">, the Court of Appeals of Washington, Division 2, held (3 to 0; unpublished decision) that trial court properly dismissed his ADA claim.  </w:t>
      </w:r>
    </w:p>
    <w:p w14:paraId="1C365CA1" w14:textId="77777777" w:rsidR="00E67DEA" w:rsidRPr="00E67DEA" w:rsidRDefault="00E67DEA" w:rsidP="00E67DEA">
      <w:pPr>
        <w:pStyle w:val="NoSpacing"/>
        <w:rPr>
          <w:rFonts w:ascii="Times New Roman" w:hAnsi="Times New Roman"/>
          <w:bCs/>
          <w:sz w:val="24"/>
          <w:szCs w:val="24"/>
        </w:rPr>
      </w:pPr>
    </w:p>
    <w:p w14:paraId="6C8C4475" w14:textId="77777777" w:rsidR="00E67DEA" w:rsidRPr="00E67DEA" w:rsidRDefault="00E67DEA" w:rsidP="00E67DEA">
      <w:pPr>
        <w:pStyle w:val="NoSpacing"/>
        <w:rPr>
          <w:rFonts w:ascii="Times New Roman" w:hAnsi="Times New Roman"/>
          <w:bCs/>
          <w:sz w:val="24"/>
          <w:szCs w:val="24"/>
        </w:rPr>
      </w:pPr>
      <w:r w:rsidRPr="00E67DEA">
        <w:rPr>
          <w:rFonts w:ascii="Times New Roman" w:hAnsi="Times New Roman"/>
          <w:sz w:val="24"/>
          <w:szCs w:val="24"/>
        </w:rPr>
        <w:t xml:space="preserve">The Court wrote: “The trial court properly dismissed the failure to accommodate claim because the undisputed evidence established that Riley failed to cooperate with the City during the interactive process for evaluating Riley’s need for accommodation. Despite several clear requests from the </w:t>
      </w:r>
      <w:proofErr w:type="gramStart"/>
      <w:r w:rsidRPr="00E67DEA">
        <w:rPr>
          <w:rFonts w:ascii="Times New Roman" w:hAnsi="Times New Roman"/>
          <w:sz w:val="24"/>
          <w:szCs w:val="24"/>
        </w:rPr>
        <w:t>City</w:t>
      </w:r>
      <w:proofErr w:type="gramEnd"/>
      <w:r w:rsidRPr="00E67DEA">
        <w:rPr>
          <w:rFonts w:ascii="Times New Roman" w:hAnsi="Times New Roman"/>
          <w:sz w:val="24"/>
          <w:szCs w:val="24"/>
        </w:rPr>
        <w:t xml:space="preserve">, Riley failed to provide requested medical documentation addressing the nexus between his disability and his ability to perform the essential functions of his job. Riley’s lack of cooperation was fatal to his claim. The trial court also properly dismissed the hostile work environment claim because Riley failed to establish more than isolated incidents of hostility </w:t>
      </w:r>
      <w:r w:rsidRPr="00E67DEA">
        <w:rPr>
          <w:rFonts w:ascii="Times New Roman" w:hAnsi="Times New Roman"/>
          <w:sz w:val="24"/>
          <w:szCs w:val="24"/>
        </w:rPr>
        <w:lastRenderedPageBreak/>
        <w:t xml:space="preserve">and he did not offer any evidence they were a result of his disability. We affirm.” </w:t>
      </w:r>
      <w:hyperlink r:id="rId2338" w:history="1">
        <w:r w:rsidRPr="00E67DEA">
          <w:rPr>
            <w:rStyle w:val="Hyperlink"/>
            <w:rFonts w:ascii="Times New Roman" w:hAnsi="Times New Roman"/>
            <w:sz w:val="24"/>
            <w:szCs w:val="24"/>
          </w:rPr>
          <w:t>https://www.courts.wa.gov/opinions/pdf/D2%2058295-3-II%20Unpublished%20Opinion.pdf</w:t>
        </w:r>
      </w:hyperlink>
      <w:r w:rsidRPr="00E67DEA">
        <w:rPr>
          <w:rFonts w:ascii="Times New Roman" w:hAnsi="Times New Roman"/>
          <w:sz w:val="24"/>
          <w:szCs w:val="24"/>
        </w:rPr>
        <w:t xml:space="preserve"> </w:t>
      </w:r>
    </w:p>
    <w:p w14:paraId="5C2B30A4" w14:textId="77777777" w:rsidR="00E67DEA" w:rsidRPr="00E67DEA" w:rsidRDefault="00E67DEA" w:rsidP="00E67DEA">
      <w:pPr>
        <w:pStyle w:val="NoSpacing"/>
        <w:rPr>
          <w:rFonts w:ascii="Times New Roman" w:hAnsi="Times New Roman"/>
          <w:b/>
          <w:bCs/>
          <w:sz w:val="24"/>
          <w:szCs w:val="24"/>
        </w:rPr>
      </w:pPr>
    </w:p>
    <w:p w14:paraId="2E976304" w14:textId="77777777" w:rsidR="009701FE" w:rsidRPr="009701FE" w:rsidRDefault="009701FE" w:rsidP="009701FE">
      <w:pPr>
        <w:pStyle w:val="NoSpacing"/>
        <w:rPr>
          <w:rFonts w:ascii="Times New Roman" w:hAnsi="Times New Roman"/>
          <w:b/>
          <w:bCs/>
          <w:sz w:val="24"/>
          <w:szCs w:val="24"/>
        </w:rPr>
      </w:pPr>
      <w:r w:rsidRPr="009701FE">
        <w:rPr>
          <w:rFonts w:ascii="Times New Roman" w:hAnsi="Times New Roman"/>
          <w:b/>
          <w:sz w:val="24"/>
          <w:szCs w:val="24"/>
        </w:rPr>
        <w:t xml:space="preserve">Legal Lesson Learned: The City promptly conducted a “Climate Assessment” of the garage workplace; plaintiff failed to cooperate with the city, including refusing to provide city access to his medical records. </w:t>
      </w:r>
    </w:p>
    <w:p w14:paraId="7FF5F265" w14:textId="77777777" w:rsidR="00E67DEA" w:rsidRPr="009701FE" w:rsidRDefault="00E67DEA" w:rsidP="00E67DEA">
      <w:pPr>
        <w:pStyle w:val="NoSpacing"/>
        <w:rPr>
          <w:rFonts w:ascii="Times New Roman" w:hAnsi="Times New Roman"/>
          <w:bCs/>
          <w:sz w:val="24"/>
          <w:szCs w:val="24"/>
        </w:rPr>
      </w:pPr>
    </w:p>
    <w:p w14:paraId="081947BE" w14:textId="77777777" w:rsidR="00E67DEA" w:rsidRPr="009701FE" w:rsidRDefault="00E67DEA" w:rsidP="000C4DF5">
      <w:pPr>
        <w:pStyle w:val="NoSpacing"/>
        <w:rPr>
          <w:rFonts w:ascii="Times New Roman" w:hAnsi="Times New Roman"/>
          <w:sz w:val="24"/>
          <w:szCs w:val="24"/>
        </w:rPr>
      </w:pPr>
    </w:p>
    <w:p w14:paraId="120C3041" w14:textId="77777777" w:rsidR="00E67DEA" w:rsidRDefault="00E67DEA" w:rsidP="000C4DF5">
      <w:pPr>
        <w:pStyle w:val="NoSpacing"/>
        <w:rPr>
          <w:rFonts w:ascii="Arial Black" w:hAnsi="Arial Black"/>
          <w:sz w:val="24"/>
          <w:szCs w:val="24"/>
        </w:rPr>
      </w:pPr>
    </w:p>
    <w:p w14:paraId="77BE0311" w14:textId="77777777" w:rsidR="00816988" w:rsidRDefault="00816988" w:rsidP="000C4DF5">
      <w:pPr>
        <w:pStyle w:val="NoSpacing"/>
        <w:rPr>
          <w:rFonts w:ascii="Arial Black" w:hAnsi="Arial Black"/>
          <w:sz w:val="24"/>
          <w:szCs w:val="24"/>
        </w:rPr>
      </w:pPr>
    </w:p>
    <w:p w14:paraId="49472C61" w14:textId="3810CE10" w:rsidR="00F37D60" w:rsidRDefault="00F37D60" w:rsidP="000C4DF5">
      <w:pPr>
        <w:pStyle w:val="NoSpacing"/>
        <w:rPr>
          <w:rFonts w:ascii="Arial Black" w:hAnsi="Arial Black"/>
          <w:sz w:val="24"/>
          <w:szCs w:val="24"/>
        </w:rPr>
      </w:pPr>
      <w:r>
        <w:rPr>
          <w:rFonts w:ascii="Arial Black" w:hAnsi="Arial Black"/>
          <w:sz w:val="24"/>
          <w:szCs w:val="24"/>
        </w:rPr>
        <w:t>15-</w:t>
      </w:r>
      <w:r w:rsidR="00C96532">
        <w:rPr>
          <w:rFonts w:ascii="Arial Black" w:hAnsi="Arial Black"/>
          <w:sz w:val="24"/>
          <w:szCs w:val="24"/>
        </w:rPr>
        <w:t>40</w:t>
      </w:r>
    </w:p>
    <w:p w14:paraId="26F2F651" w14:textId="77777777" w:rsidR="00F37D60" w:rsidRDefault="00F37D60" w:rsidP="000C4DF5">
      <w:pPr>
        <w:pStyle w:val="NoSpacing"/>
        <w:rPr>
          <w:rFonts w:ascii="Arial Black" w:hAnsi="Arial Black"/>
          <w:sz w:val="24"/>
          <w:szCs w:val="24"/>
        </w:rPr>
      </w:pPr>
    </w:p>
    <w:p w14:paraId="51ABB297" w14:textId="77777777" w:rsidR="00F37D60" w:rsidRDefault="00F37D60" w:rsidP="00F37D60">
      <w:pPr>
        <w:rPr>
          <w:rFonts w:ascii="Arial Black" w:hAnsi="Arial Black"/>
          <w:bCs/>
          <w:sz w:val="28"/>
          <w:szCs w:val="28"/>
        </w:rPr>
      </w:pPr>
      <w:r>
        <w:rPr>
          <w:rFonts w:ascii="Arial Black" w:hAnsi="Arial Black"/>
          <w:sz w:val="28"/>
          <w:szCs w:val="28"/>
        </w:rPr>
        <w:t xml:space="preserve">AR:  FF PTSD – RESPONDED 2 SHOOTINGS - NO WORK COMP </w:t>
      </w:r>
    </w:p>
    <w:p w14:paraId="42EF2658" w14:textId="77777777" w:rsidR="00F37D60" w:rsidRPr="006F79FB" w:rsidRDefault="00F37D60" w:rsidP="00F37D60">
      <w:pPr>
        <w:pStyle w:val="NoSpacing"/>
        <w:rPr>
          <w:rFonts w:ascii="Times New Roman" w:hAnsi="Times New Roman"/>
          <w:sz w:val="24"/>
          <w:szCs w:val="24"/>
        </w:rPr>
      </w:pPr>
      <w:r w:rsidRPr="006F79FB">
        <w:rPr>
          <w:rFonts w:ascii="Times New Roman" w:hAnsi="Times New Roman"/>
          <w:sz w:val="24"/>
          <w:szCs w:val="24"/>
        </w:rPr>
        <w:t xml:space="preserve">On April 29, 2025, in </w:t>
      </w:r>
      <w:r w:rsidRPr="006F79FB">
        <w:rPr>
          <w:rFonts w:ascii="Times New Roman" w:hAnsi="Times New Roman"/>
          <w:sz w:val="24"/>
          <w:szCs w:val="24"/>
          <w:u w:val="single"/>
        </w:rPr>
        <w:t>Shawn Lawless v. The Industrial Commission of Arizona, and the Northern AZ Consolidated Fire District</w:t>
      </w:r>
      <w:r w:rsidRPr="006F79FB">
        <w:rPr>
          <w:rFonts w:ascii="Times New Roman" w:hAnsi="Times New Roman"/>
          <w:sz w:val="24"/>
          <w:szCs w:val="24"/>
        </w:rPr>
        <w:t xml:space="preserve">, the Court of Appeals of Arizona, First Division, held (3 to 0) that a firefighter </w:t>
      </w:r>
      <w:r w:rsidRPr="006F79FB">
        <w:rPr>
          <w:rFonts w:ascii="Times New Roman" w:hAnsi="Times New Roman"/>
          <w:bCs/>
          <w:sz w:val="24"/>
          <w:szCs w:val="24"/>
        </w:rPr>
        <w:t xml:space="preserve">was properly denied workers comp since responding to shooting is </w:t>
      </w:r>
      <w:r w:rsidRPr="006F79FB">
        <w:rPr>
          <w:rFonts w:ascii="Times New Roman" w:hAnsi="Times New Roman"/>
          <w:sz w:val="24"/>
          <w:szCs w:val="24"/>
        </w:rPr>
        <w:t xml:space="preserve">not “unexpected, unusual, or extraordinary.”  Shawn Lewis has had PTSD since 2017 when working for another Lake Havasu City FD when he responded to a fatal watercraft.   In April 2020, while working for Northern AZ Consolidated Fire District [NAFD] he responded to two shootings.  April 1, 2020: he and firefighter / EMT Dillon Haskell were dispatched to Mohave Community College, where police had shot ‘one of the subjects’ involved in the shooting of the DPS officer earlier that day. On April 7, 2020, he and Haskell were dispatched to a scene of a random shooting that happened at a stop sign.  When they arrived, they saw that the driver of a car was dead from “multiple” gun shots “in the chest.” In both incidents, the hearing officer concluded they were not “unexpected, unusual or extraordinary.” A.R.S. § 23-1043.01(B). </w:t>
      </w:r>
      <w:hyperlink r:id="rId2339" w:history="1">
        <w:r w:rsidRPr="006F79FB">
          <w:rPr>
            <w:rStyle w:val="Hyperlink"/>
            <w:rFonts w:ascii="Times New Roman" w:hAnsi="Times New Roman"/>
            <w:sz w:val="24"/>
            <w:szCs w:val="24"/>
          </w:rPr>
          <w:t>https://cases.justia.com/arizona/court-of-appeals-division-one-published/2025-1-ca-ic-24-0009.pdf?ts=1745946035</w:t>
        </w:r>
      </w:hyperlink>
      <w:r w:rsidRPr="006F79FB">
        <w:rPr>
          <w:rFonts w:ascii="Times New Roman" w:hAnsi="Times New Roman"/>
          <w:sz w:val="24"/>
          <w:szCs w:val="24"/>
        </w:rPr>
        <w:t xml:space="preserve"> </w:t>
      </w:r>
    </w:p>
    <w:p w14:paraId="6B9ECF7D" w14:textId="77777777" w:rsidR="00F37D60" w:rsidRDefault="00F37D60" w:rsidP="00F37D60">
      <w:pPr>
        <w:pStyle w:val="NoSpacing"/>
        <w:rPr>
          <w:rFonts w:ascii="Times New Roman" w:hAnsi="Times New Roman"/>
          <w:sz w:val="24"/>
          <w:szCs w:val="24"/>
        </w:rPr>
      </w:pPr>
    </w:p>
    <w:p w14:paraId="7FFF24EC" w14:textId="77777777" w:rsidR="00325997" w:rsidRDefault="00325997" w:rsidP="00325997">
      <w:pPr>
        <w:pStyle w:val="NoSpacing"/>
        <w:rPr>
          <w:rFonts w:ascii="Times New Roman" w:hAnsi="Times New Roman"/>
          <w:b/>
          <w:sz w:val="24"/>
          <w:szCs w:val="24"/>
        </w:rPr>
      </w:pPr>
      <w:r w:rsidRPr="00290C93">
        <w:rPr>
          <w:rFonts w:ascii="Times New Roman" w:hAnsi="Times New Roman"/>
          <w:b/>
          <w:sz w:val="24"/>
          <w:szCs w:val="24"/>
        </w:rPr>
        <w:t xml:space="preserve">Legal Lesson Learned: It is very difficult to prove that </w:t>
      </w:r>
      <w:r w:rsidRPr="00290C93">
        <w:rPr>
          <w:rFonts w:ascii="Times New Roman" w:hAnsi="Times New Roman"/>
          <w:b/>
          <w:bCs/>
          <w:sz w:val="24"/>
          <w:szCs w:val="24"/>
        </w:rPr>
        <w:t xml:space="preserve">responding to a shooting </w:t>
      </w:r>
      <w:r w:rsidRPr="00290C93">
        <w:rPr>
          <w:rFonts w:ascii="Times New Roman" w:hAnsi="Times New Roman"/>
          <w:b/>
          <w:sz w:val="24"/>
          <w:szCs w:val="24"/>
        </w:rPr>
        <w:t>was “unexpected, unusual, or extraordinary.”</w:t>
      </w:r>
    </w:p>
    <w:p w14:paraId="12CCFB0A" w14:textId="77777777" w:rsidR="00C96532" w:rsidRDefault="00C96532" w:rsidP="00325997">
      <w:pPr>
        <w:pStyle w:val="NoSpacing"/>
        <w:rPr>
          <w:rFonts w:ascii="Times New Roman" w:hAnsi="Times New Roman"/>
          <w:b/>
          <w:sz w:val="24"/>
          <w:szCs w:val="24"/>
        </w:rPr>
      </w:pPr>
    </w:p>
    <w:p w14:paraId="315C23A2" w14:textId="77777777" w:rsidR="00C96532" w:rsidRDefault="00C96532" w:rsidP="00325997">
      <w:pPr>
        <w:pStyle w:val="NoSpacing"/>
        <w:rPr>
          <w:rFonts w:ascii="Arial Black" w:hAnsi="Arial Black"/>
          <w:b/>
          <w:sz w:val="28"/>
          <w:szCs w:val="28"/>
        </w:rPr>
      </w:pPr>
    </w:p>
    <w:p w14:paraId="6C0AEFCD" w14:textId="40C71ACE" w:rsidR="00C96532" w:rsidRPr="00C96532" w:rsidRDefault="00C96532" w:rsidP="00325997">
      <w:pPr>
        <w:pStyle w:val="NoSpacing"/>
        <w:rPr>
          <w:rFonts w:ascii="Arial Black" w:hAnsi="Arial Black"/>
          <w:b/>
          <w:sz w:val="24"/>
          <w:szCs w:val="24"/>
        </w:rPr>
      </w:pPr>
      <w:r w:rsidRPr="00C96532">
        <w:rPr>
          <w:rFonts w:ascii="Arial Black" w:hAnsi="Arial Black"/>
          <w:b/>
          <w:sz w:val="24"/>
          <w:szCs w:val="24"/>
        </w:rPr>
        <w:t>15-39</w:t>
      </w:r>
    </w:p>
    <w:p w14:paraId="3229C256" w14:textId="77777777" w:rsidR="00C96532" w:rsidRDefault="00C96532" w:rsidP="00325997">
      <w:pPr>
        <w:pStyle w:val="NoSpacing"/>
        <w:rPr>
          <w:rFonts w:ascii="Times New Roman" w:hAnsi="Times New Roman"/>
          <w:b/>
          <w:sz w:val="24"/>
          <w:szCs w:val="24"/>
        </w:rPr>
      </w:pPr>
    </w:p>
    <w:p w14:paraId="13BB66F6" w14:textId="77777777" w:rsidR="00C96532" w:rsidRPr="00CD07A8" w:rsidRDefault="00C96532" w:rsidP="00C96532">
      <w:pPr>
        <w:rPr>
          <w:rFonts w:ascii="Arial Black" w:hAnsi="Arial Black"/>
          <w:sz w:val="28"/>
          <w:szCs w:val="28"/>
        </w:rPr>
      </w:pPr>
      <w:r>
        <w:rPr>
          <w:rFonts w:ascii="Arial Black" w:hAnsi="Arial Black"/>
          <w:sz w:val="28"/>
          <w:szCs w:val="28"/>
        </w:rPr>
        <w:t>MI: FF WITH PTSD – NO RIGHT TO BRING HIS DOG TO WORK</w:t>
      </w:r>
    </w:p>
    <w:p w14:paraId="3ABA2F75" w14:textId="17699B79" w:rsidR="00C96532" w:rsidRPr="00C96532" w:rsidRDefault="00C96532" w:rsidP="00C96532">
      <w:pPr>
        <w:pStyle w:val="NoSpacing"/>
        <w:rPr>
          <w:rFonts w:ascii="Times New Roman" w:hAnsi="Times New Roman"/>
          <w:b/>
          <w:bCs/>
          <w:sz w:val="24"/>
          <w:szCs w:val="24"/>
        </w:rPr>
      </w:pPr>
      <w:r w:rsidRPr="00C96532">
        <w:rPr>
          <w:rFonts w:ascii="Times New Roman" w:hAnsi="Times New Roman"/>
          <w:sz w:val="24"/>
          <w:szCs w:val="24"/>
        </w:rPr>
        <w:t xml:space="preserve">On April 29, 2025, in </w:t>
      </w:r>
      <w:r w:rsidRPr="00C96532">
        <w:rPr>
          <w:rFonts w:ascii="Times New Roman" w:hAnsi="Times New Roman"/>
          <w:sz w:val="24"/>
          <w:szCs w:val="24"/>
          <w:u w:val="single"/>
        </w:rPr>
        <w:t>Aaron Fisher v. City of Lansing</w:t>
      </w:r>
      <w:r w:rsidRPr="00C96532">
        <w:rPr>
          <w:rFonts w:ascii="Times New Roman" w:hAnsi="Times New Roman"/>
          <w:sz w:val="24"/>
          <w:szCs w:val="24"/>
        </w:rPr>
        <w:t xml:space="preserve">, U.S. District Court Judge Paul L. Maloney, United States District Court for Western District of Michigan, Southern Division, granted the City’s motion for summary judgment, since the City established that Plaintiff could perform his duties at the fire station without a service animal.  The firefighter / engineer joined the FD in 2004; he started suffering from PTSD around 2010. In March 2020 he asked his Battalion Chief if he could bring his personal dog, “Chet” to work.  This was unofficially authorized, and he did this for four months.  On July 30, 2020, the City issued a notice to all fire department employees stating that employees were not allowed to bring pets of any kind to work.  In mid-August 2020, Plaintiff submitted his request for “service animal” using the City's approved form, and submitted a letter from Dr. Ronald Fandrick, a licensed clinical psychologist, who concluded that Plaintiff needed an “emotional support animal” during work hours at the fire station….  Around August 26, 2020, Kathy Woodman, the City's Health and Wellness Director, met with Plaintiff for over an hour to discuss his request; near the end of September, Defendant denied Plaintiff's request for accommodation. </w:t>
      </w:r>
      <w:hyperlink r:id="rId2340" w:history="1">
        <w:r w:rsidRPr="00C96532">
          <w:rPr>
            <w:rStyle w:val="Hyperlink"/>
            <w:rFonts w:ascii="Times New Roman" w:hAnsi="Times New Roman"/>
            <w:sz w:val="24"/>
            <w:szCs w:val="24"/>
          </w:rPr>
          <w:t>https://hr.cch.com/ELD/FisherLansing042925.pdf</w:t>
        </w:r>
      </w:hyperlink>
    </w:p>
    <w:p w14:paraId="33272690" w14:textId="77777777" w:rsidR="00325997" w:rsidRPr="00C96532" w:rsidRDefault="00325997" w:rsidP="00F37D60">
      <w:pPr>
        <w:pStyle w:val="NoSpacing"/>
        <w:rPr>
          <w:rFonts w:ascii="Times New Roman" w:hAnsi="Times New Roman"/>
          <w:sz w:val="24"/>
          <w:szCs w:val="24"/>
        </w:rPr>
      </w:pPr>
    </w:p>
    <w:p w14:paraId="220DA4E6" w14:textId="77777777" w:rsidR="00153742" w:rsidRPr="00D55B6E" w:rsidRDefault="00153742" w:rsidP="00153742">
      <w:pPr>
        <w:pStyle w:val="NoSpacing"/>
        <w:rPr>
          <w:rFonts w:ascii="Times New Roman" w:hAnsi="Times New Roman"/>
          <w:b/>
          <w:bCs/>
          <w:sz w:val="24"/>
          <w:szCs w:val="24"/>
        </w:rPr>
      </w:pPr>
      <w:r w:rsidRPr="00D55B6E">
        <w:rPr>
          <w:rFonts w:ascii="Times New Roman" w:hAnsi="Times New Roman"/>
          <w:b/>
          <w:sz w:val="24"/>
          <w:szCs w:val="24"/>
        </w:rPr>
        <w:lastRenderedPageBreak/>
        <w:t xml:space="preserve">Legal Lesson Learned: The ADA </w:t>
      </w:r>
      <w:r w:rsidRPr="00D55B6E">
        <w:rPr>
          <w:rFonts w:ascii="Times New Roman" w:hAnsi="Times New Roman"/>
          <w:b/>
          <w:bCs/>
          <w:sz w:val="24"/>
          <w:szCs w:val="24"/>
        </w:rPr>
        <w:t>applies to employees who need a “service animal” to perform work duties,  not “</w:t>
      </w:r>
      <w:r w:rsidRPr="00D55B6E">
        <w:rPr>
          <w:rFonts w:ascii="Times New Roman" w:hAnsi="Times New Roman"/>
          <w:b/>
          <w:sz w:val="24"/>
          <w:szCs w:val="24"/>
        </w:rPr>
        <w:t>emotional support animals</w:t>
      </w:r>
      <w:r w:rsidRPr="00D55B6E">
        <w:rPr>
          <w:rFonts w:ascii="Times New Roman" w:hAnsi="Times New Roman"/>
          <w:b/>
          <w:bCs/>
          <w:sz w:val="24"/>
          <w:szCs w:val="24"/>
        </w:rPr>
        <w:t xml:space="preserve">.” </w:t>
      </w:r>
      <w:r w:rsidRPr="00D55B6E">
        <w:rPr>
          <w:rFonts w:ascii="Times New Roman" w:hAnsi="Times New Roman"/>
          <w:b/>
          <w:sz w:val="24"/>
          <w:szCs w:val="24"/>
        </w:rPr>
        <w:t xml:space="preserve"> </w:t>
      </w:r>
    </w:p>
    <w:p w14:paraId="26597A0B" w14:textId="7CACCB8D" w:rsidR="00F37D60" w:rsidRPr="00D55B6E" w:rsidRDefault="00153742" w:rsidP="00D55B6E">
      <w:pPr>
        <w:pStyle w:val="NoSpacing"/>
        <w:ind w:left="720"/>
        <w:rPr>
          <w:rFonts w:ascii="Times New Roman" w:hAnsi="Times New Roman"/>
          <w:sz w:val="24"/>
          <w:szCs w:val="24"/>
        </w:rPr>
      </w:pPr>
      <w:r w:rsidRPr="00D55B6E">
        <w:rPr>
          <w:rFonts w:ascii="Times New Roman" w:hAnsi="Times New Roman"/>
          <w:sz w:val="24"/>
          <w:szCs w:val="24"/>
        </w:rPr>
        <w:t xml:space="preserve">Note: See article on this case. </w:t>
      </w:r>
      <w:hyperlink r:id="rId2341" w:history="1">
        <w:r w:rsidR="00D55B6E" w:rsidRPr="00D55B6E">
          <w:rPr>
            <w:rStyle w:val="Hyperlink"/>
            <w:rFonts w:ascii="Times New Roman" w:hAnsi="Times New Roman"/>
            <w:sz w:val="24"/>
            <w:szCs w:val="24"/>
          </w:rPr>
          <w:t>https://www.vitallaw.com/news/discrimination-disability-w-d-mich-firefighter-with-ptsd-fails-to-show-firehouse-dog-was-reasonable-accommodation/eld0112d25548de2942ffb5b58765cda11301</w:t>
        </w:r>
      </w:hyperlink>
    </w:p>
    <w:p w14:paraId="6C3ABDA2" w14:textId="77777777" w:rsidR="00F37D60" w:rsidRDefault="00F37D60" w:rsidP="000C4DF5">
      <w:pPr>
        <w:pStyle w:val="NoSpacing"/>
        <w:rPr>
          <w:rFonts w:ascii="Arial Black" w:hAnsi="Arial Black"/>
          <w:sz w:val="24"/>
          <w:szCs w:val="24"/>
        </w:rPr>
      </w:pPr>
    </w:p>
    <w:p w14:paraId="5B0D37EF" w14:textId="77777777" w:rsidR="00F37D60" w:rsidRDefault="00F37D60" w:rsidP="000C4DF5">
      <w:pPr>
        <w:pStyle w:val="NoSpacing"/>
        <w:rPr>
          <w:rFonts w:ascii="Arial Black" w:hAnsi="Arial Black"/>
          <w:sz w:val="24"/>
          <w:szCs w:val="24"/>
        </w:rPr>
      </w:pPr>
    </w:p>
    <w:p w14:paraId="674A8451" w14:textId="2489F1C7" w:rsidR="006F1059" w:rsidRDefault="00A84B8B" w:rsidP="000C4DF5">
      <w:pPr>
        <w:pStyle w:val="NoSpacing"/>
        <w:rPr>
          <w:rFonts w:ascii="Arial Black" w:hAnsi="Arial Black"/>
          <w:sz w:val="24"/>
          <w:szCs w:val="24"/>
        </w:rPr>
      </w:pPr>
      <w:r>
        <w:rPr>
          <w:rFonts w:ascii="Arial Black" w:hAnsi="Arial Black"/>
          <w:sz w:val="24"/>
          <w:szCs w:val="24"/>
        </w:rPr>
        <w:t>15-38</w:t>
      </w:r>
    </w:p>
    <w:p w14:paraId="56B6329E" w14:textId="77777777" w:rsidR="00A84B8B" w:rsidRDefault="00A84B8B" w:rsidP="000C4DF5">
      <w:pPr>
        <w:pStyle w:val="NoSpacing"/>
        <w:rPr>
          <w:rFonts w:ascii="Arial Black" w:hAnsi="Arial Black"/>
          <w:sz w:val="24"/>
          <w:szCs w:val="24"/>
        </w:rPr>
      </w:pPr>
    </w:p>
    <w:p w14:paraId="45AD527B" w14:textId="25375FE5" w:rsidR="00A84B8B" w:rsidRPr="00EB63ED" w:rsidRDefault="00A84B8B" w:rsidP="00A84B8B">
      <w:pPr>
        <w:pStyle w:val="NoSpacing"/>
        <w:rPr>
          <w:rFonts w:ascii="Arial Black" w:hAnsi="Arial Black"/>
          <w:sz w:val="28"/>
          <w:szCs w:val="28"/>
        </w:rPr>
      </w:pPr>
      <w:r w:rsidRPr="00EB63ED">
        <w:rPr>
          <w:rFonts w:ascii="Arial Black" w:hAnsi="Arial Black"/>
          <w:sz w:val="28"/>
          <w:szCs w:val="28"/>
        </w:rPr>
        <w:t xml:space="preserve">NY: NYPD RESONSE </w:t>
      </w:r>
      <w:r w:rsidR="0061722F">
        <w:rPr>
          <w:rFonts w:ascii="Arial Black" w:hAnsi="Arial Black"/>
          <w:sz w:val="28"/>
          <w:szCs w:val="28"/>
        </w:rPr>
        <w:t xml:space="preserve">TO </w:t>
      </w:r>
      <w:r w:rsidRPr="00EB63ED">
        <w:rPr>
          <w:rFonts w:ascii="Arial Black" w:hAnsi="Arial Black"/>
          <w:sz w:val="28"/>
          <w:szCs w:val="28"/>
        </w:rPr>
        <w:t xml:space="preserve">MENTAL RUNS - PROP. CLASS ACTION </w:t>
      </w:r>
    </w:p>
    <w:p w14:paraId="254221F6" w14:textId="77777777" w:rsidR="00A84B8B" w:rsidRPr="00D11443" w:rsidRDefault="00A84B8B" w:rsidP="00A84B8B">
      <w:pPr>
        <w:pStyle w:val="NoSpacing"/>
        <w:rPr>
          <w:rFonts w:ascii="Times New Roman" w:hAnsi="Times New Roman"/>
          <w:sz w:val="24"/>
          <w:szCs w:val="24"/>
        </w:rPr>
      </w:pPr>
    </w:p>
    <w:p w14:paraId="4C787F02" w14:textId="751D95B5" w:rsidR="00A84B8B" w:rsidRPr="00D11443" w:rsidRDefault="00A84B8B" w:rsidP="00A84B8B">
      <w:pPr>
        <w:pStyle w:val="NoSpacing"/>
        <w:rPr>
          <w:rFonts w:ascii="Times New Roman" w:hAnsi="Times New Roman"/>
          <w:sz w:val="24"/>
          <w:szCs w:val="24"/>
        </w:rPr>
      </w:pPr>
      <w:r w:rsidRPr="00D11443">
        <w:rPr>
          <w:rFonts w:ascii="Times New Roman" w:hAnsi="Times New Roman"/>
          <w:sz w:val="24"/>
          <w:szCs w:val="24"/>
        </w:rPr>
        <w:t xml:space="preserve">On March 28, 2025, in </w:t>
      </w:r>
      <w:r w:rsidRPr="00D11443">
        <w:rPr>
          <w:rFonts w:ascii="Times New Roman" w:hAnsi="Times New Roman"/>
          <w:sz w:val="24"/>
          <w:szCs w:val="24"/>
          <w:u w:val="single"/>
        </w:rPr>
        <w:t>Steve Greene, et al. v. City of New York, et al</w:t>
      </w:r>
      <w:r w:rsidRPr="00D11443">
        <w:rPr>
          <w:rFonts w:ascii="Times New Roman" w:hAnsi="Times New Roman"/>
          <w:sz w:val="24"/>
          <w:szCs w:val="24"/>
        </w:rPr>
        <w:t xml:space="preserve">., Senior U.S. District Court Judge Loretta A. Preska, U.S. District Court for Southern District of New York, in proposed class action lawsuit by several community action groups, including Community Access, Inc, National Alliance of Mental Illness of New York City, Inc., the federal judge denied the City’s motion to strike the class action from the complaint at this early stage of litigation, and held that the case may proceed on the City’s current practice of sending police to mental health calls (instead of a mental health crisis team, such as the City’s limited “B-Heard” program).  “Defendants' motion to dismiss the disability claims regarding the on-site response pursuant to Title II of the ADA, Section 504 of the Rehabilitation Act, and the NYCHRL is DENIED.” </w:t>
      </w:r>
      <w:hyperlink r:id="rId2342" w:history="1">
        <w:r w:rsidRPr="00D11443">
          <w:rPr>
            <w:rStyle w:val="Hyperlink"/>
            <w:rFonts w:ascii="Times New Roman" w:hAnsi="Times New Roman"/>
            <w:sz w:val="24"/>
            <w:szCs w:val="24"/>
          </w:rPr>
          <w:t>https://public.fastcase.com/jaEE2PXzRXmZ99jOLMt1IgF1yYEhvQDwrp3nUQiGNB%2BGSciFeLM%2FmBTuULLxAVc6AJd7N%2FBSzM%2BwBsHVa7Iixu%2BNwJWRs9nDd4Lbk0%2BZyEc%3D?utm_medium=email&amp;_hsenc=p2ANqtz-_AJp8PZettrdOWllyvjduuYkYNLjKGvTo7FG_iUypW4feeCV7HNQpd9yy59szCksxig4Y61bV5hSQSKDqcsmFU4r11KQ&amp;_hsmi=226712652&amp;utm_content=226712652&amp;utm_source=hs_email</w:t>
        </w:r>
      </w:hyperlink>
    </w:p>
    <w:p w14:paraId="2C86C4AA" w14:textId="77777777" w:rsidR="00D11443" w:rsidRPr="00D11443" w:rsidRDefault="00D11443" w:rsidP="00D11443">
      <w:pPr>
        <w:pStyle w:val="NoSpacing"/>
        <w:rPr>
          <w:rFonts w:ascii="Times New Roman" w:hAnsi="Times New Roman"/>
          <w:b/>
          <w:sz w:val="24"/>
          <w:szCs w:val="24"/>
        </w:rPr>
      </w:pPr>
    </w:p>
    <w:p w14:paraId="6B785B13" w14:textId="77777777" w:rsidR="006361FE" w:rsidRPr="008A731F" w:rsidRDefault="006361FE" w:rsidP="006361FE">
      <w:pPr>
        <w:pStyle w:val="NoSpacing"/>
        <w:rPr>
          <w:rFonts w:ascii="Times New Roman" w:hAnsi="Times New Roman"/>
          <w:b/>
          <w:bCs/>
          <w:sz w:val="24"/>
          <w:szCs w:val="24"/>
        </w:rPr>
      </w:pPr>
      <w:r w:rsidRPr="008A731F">
        <w:rPr>
          <w:rFonts w:ascii="Times New Roman" w:hAnsi="Times New Roman"/>
          <w:b/>
          <w:sz w:val="24"/>
          <w:szCs w:val="24"/>
        </w:rPr>
        <w:t xml:space="preserve">Legal Lessons Learned:  Litigation will proceed on NYPD response to mental health patients. </w:t>
      </w:r>
    </w:p>
    <w:p w14:paraId="77BB0503" w14:textId="77777777" w:rsidR="00A84B8B" w:rsidRDefault="00A84B8B" w:rsidP="000C4DF5">
      <w:pPr>
        <w:pStyle w:val="NoSpacing"/>
        <w:rPr>
          <w:rFonts w:ascii="Arial Black" w:hAnsi="Arial Black"/>
          <w:sz w:val="24"/>
          <w:szCs w:val="24"/>
        </w:rPr>
      </w:pPr>
    </w:p>
    <w:p w14:paraId="3AF70134" w14:textId="77777777" w:rsidR="00A84B8B" w:rsidRDefault="00A84B8B" w:rsidP="000C4DF5">
      <w:pPr>
        <w:pStyle w:val="NoSpacing"/>
        <w:rPr>
          <w:rFonts w:ascii="Arial Black" w:hAnsi="Arial Black"/>
          <w:sz w:val="24"/>
          <w:szCs w:val="24"/>
        </w:rPr>
      </w:pPr>
    </w:p>
    <w:p w14:paraId="1A8B2B93" w14:textId="5CBC32D5" w:rsidR="004D6FB2" w:rsidRDefault="004D6FB2" w:rsidP="000C4DF5">
      <w:pPr>
        <w:pStyle w:val="NoSpacing"/>
        <w:rPr>
          <w:rFonts w:ascii="Arial Black" w:hAnsi="Arial Black"/>
          <w:sz w:val="24"/>
          <w:szCs w:val="24"/>
        </w:rPr>
      </w:pPr>
      <w:r>
        <w:rPr>
          <w:rFonts w:ascii="Arial Black" w:hAnsi="Arial Black"/>
          <w:sz w:val="24"/>
          <w:szCs w:val="24"/>
        </w:rPr>
        <w:t>15-</w:t>
      </w:r>
      <w:r w:rsidR="00062DA4">
        <w:rPr>
          <w:rFonts w:ascii="Arial Black" w:hAnsi="Arial Black"/>
          <w:sz w:val="24"/>
          <w:szCs w:val="24"/>
        </w:rPr>
        <w:t>3</w:t>
      </w:r>
      <w:r w:rsidR="001A4CAA">
        <w:rPr>
          <w:rFonts w:ascii="Arial Black" w:hAnsi="Arial Black"/>
          <w:sz w:val="24"/>
          <w:szCs w:val="24"/>
        </w:rPr>
        <w:t>7</w:t>
      </w:r>
      <w:r w:rsidR="00062DA4">
        <w:rPr>
          <w:rFonts w:ascii="Arial Black" w:hAnsi="Arial Black"/>
          <w:sz w:val="24"/>
          <w:szCs w:val="24"/>
        </w:rPr>
        <w:t xml:space="preserve"> [also filed, Chap. 13]</w:t>
      </w:r>
    </w:p>
    <w:p w14:paraId="47B8B26C" w14:textId="77777777" w:rsidR="00062DA4" w:rsidRDefault="00062DA4" w:rsidP="000C4DF5">
      <w:pPr>
        <w:pStyle w:val="NoSpacing"/>
        <w:rPr>
          <w:rFonts w:ascii="Arial Black" w:hAnsi="Arial Black"/>
          <w:sz w:val="24"/>
          <w:szCs w:val="24"/>
        </w:rPr>
      </w:pPr>
    </w:p>
    <w:p w14:paraId="1EDAD8D1" w14:textId="77777777" w:rsidR="00062DA4" w:rsidRPr="000B7F2C" w:rsidRDefault="00062DA4" w:rsidP="00062DA4">
      <w:pPr>
        <w:rPr>
          <w:rFonts w:ascii="Arial Black" w:hAnsi="Arial Black"/>
          <w:sz w:val="28"/>
          <w:szCs w:val="28"/>
        </w:rPr>
      </w:pPr>
      <w:r w:rsidRPr="000B7F2C">
        <w:rPr>
          <w:rFonts w:ascii="Arial Black" w:hAnsi="Arial Black"/>
          <w:sz w:val="28"/>
          <w:szCs w:val="28"/>
        </w:rPr>
        <w:t>CO: PARAMEDIC TACKLED MENTAL - PT DIED – NO CASE</w:t>
      </w:r>
    </w:p>
    <w:p w14:paraId="4CBC7EC0" w14:textId="77777777" w:rsidR="00062DA4" w:rsidRPr="00CA2B3F" w:rsidRDefault="00062DA4" w:rsidP="00062DA4">
      <w:pPr>
        <w:rPr>
          <w:rFonts w:ascii="Times New Roman" w:hAnsi="Times New Roman"/>
          <w:sz w:val="24"/>
          <w:szCs w:val="24"/>
        </w:rPr>
      </w:pPr>
      <w:r w:rsidRPr="00CA2B3F">
        <w:rPr>
          <w:rFonts w:ascii="Times New Roman" w:hAnsi="Times New Roman"/>
          <w:sz w:val="24"/>
          <w:szCs w:val="24"/>
        </w:rPr>
        <w:t xml:space="preserve">On Feb. 28, 2025, in </w:t>
      </w:r>
      <w:r w:rsidRPr="00CA2B3F">
        <w:rPr>
          <w:rFonts w:ascii="Times New Roman" w:hAnsi="Times New Roman"/>
          <w:sz w:val="24"/>
          <w:szCs w:val="24"/>
          <w:u w:val="single"/>
        </w:rPr>
        <w:t>Estate of Kevin Dizmang v. Sean Reed, a Colorado Springs Police Officer and Nick Fischer, a Colorado Springs Paramedic</w:t>
      </w:r>
      <w:r w:rsidRPr="00CA2B3F">
        <w:rPr>
          <w:rFonts w:ascii="Times New Roman" w:hAnsi="Times New Roman"/>
          <w:sz w:val="24"/>
          <w:szCs w:val="24"/>
        </w:rPr>
        <w:t xml:space="preserve">, United States District Court Judge Charlotte N. Sweeney, U.S. District Court for District of Colorado, granted motions to dismiss the paramedic and the police officer.  The paramedic was on a three-person crisis response team (CRT) with a police officer and a licensed clinician.  The paramedic tackled the mental patient to prevent him walking back into the street and then render care. Both the paramedic and the police officer have qualified immunity.  </w:t>
      </w:r>
      <w:hyperlink r:id="rId2343" w:history="1">
        <w:r w:rsidRPr="00CA2B3F">
          <w:rPr>
            <w:rStyle w:val="Hyperlink"/>
            <w:rFonts w:ascii="Times New Roman" w:hAnsi="Times New Roman"/>
            <w:sz w:val="24"/>
            <w:szCs w:val="24"/>
          </w:rPr>
          <w:t>https://storage.courtlistener.com/recap/gov.uscourts.cod.231472/gov.uscourts.cod.231472.63.0.pdf</w:t>
        </w:r>
      </w:hyperlink>
      <w:r w:rsidRPr="00CA2B3F">
        <w:rPr>
          <w:rFonts w:ascii="Times New Roman" w:hAnsi="Times New Roman"/>
          <w:sz w:val="24"/>
          <w:szCs w:val="24"/>
        </w:rPr>
        <w:t xml:space="preserve"> </w:t>
      </w:r>
    </w:p>
    <w:p w14:paraId="765767C2"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 xml:space="preserve">The Court described facts:  </w:t>
      </w:r>
    </w:p>
    <w:p w14:paraId="12347FC8" w14:textId="77777777" w:rsidR="00062DA4" w:rsidRPr="00CA2B3F" w:rsidRDefault="00062DA4" w:rsidP="00062DA4">
      <w:pPr>
        <w:pStyle w:val="NoSpacing"/>
        <w:rPr>
          <w:rFonts w:ascii="Times New Roman" w:hAnsi="Times New Roman"/>
          <w:sz w:val="24"/>
          <w:szCs w:val="24"/>
        </w:rPr>
      </w:pPr>
    </w:p>
    <w:p w14:paraId="0316CA57" w14:textId="6E055EF3"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“[Officer]</w:t>
      </w:r>
      <w:r w:rsidR="00387756">
        <w:rPr>
          <w:rFonts w:ascii="Times New Roman" w:hAnsi="Times New Roman"/>
          <w:sz w:val="24"/>
          <w:szCs w:val="24"/>
        </w:rPr>
        <w:t xml:space="preserve"> </w:t>
      </w:r>
      <w:r w:rsidRPr="00CA2B3F">
        <w:rPr>
          <w:rFonts w:ascii="Times New Roman" w:hAnsi="Times New Roman"/>
          <w:sz w:val="24"/>
          <w:szCs w:val="24"/>
        </w:rPr>
        <w:t xml:space="preserve">Reed approached Mr. Dizmang, who walked back into traffic and bent over with his hands on his knees, displaying respiratory distress. Id. Mr. Dizmang said, ‘HELP me,’ then walked farther into the road…. Mr. Dizmang repeatedly </w:t>
      </w:r>
      <w:proofErr w:type="gramStart"/>
      <w:r w:rsidRPr="00CA2B3F">
        <w:rPr>
          <w:rFonts w:ascii="Times New Roman" w:hAnsi="Times New Roman"/>
          <w:sz w:val="24"/>
          <w:szCs w:val="24"/>
        </w:rPr>
        <w:t>said ‘please’</w:t>
      </w:r>
      <w:proofErr w:type="gramEnd"/>
      <w:r w:rsidRPr="00CA2B3F">
        <w:rPr>
          <w:rFonts w:ascii="Times New Roman" w:hAnsi="Times New Roman"/>
          <w:sz w:val="24"/>
          <w:szCs w:val="24"/>
        </w:rPr>
        <w:t xml:space="preserve"> and walked in circles in a ‘clearly </w:t>
      </w:r>
      <w:proofErr w:type="gramStart"/>
      <w:r w:rsidRPr="00CA2B3F">
        <w:rPr>
          <w:rFonts w:ascii="Times New Roman" w:hAnsi="Times New Roman"/>
          <w:sz w:val="24"/>
          <w:szCs w:val="24"/>
        </w:rPr>
        <w:t>confused</w:t>
      </w:r>
      <w:proofErr w:type="gramEnd"/>
      <w:r w:rsidRPr="00CA2B3F">
        <w:rPr>
          <w:rFonts w:ascii="Times New Roman" w:hAnsi="Times New Roman"/>
          <w:sz w:val="24"/>
          <w:szCs w:val="24"/>
        </w:rPr>
        <w:t xml:space="preserve"> and panicked state.’ … Defendant Reed then told Mr. Dizmang, </w:t>
      </w:r>
      <w:proofErr w:type="gramStart"/>
      <w:r w:rsidRPr="00CA2B3F">
        <w:rPr>
          <w:rFonts w:ascii="Times New Roman" w:hAnsi="Times New Roman"/>
          <w:sz w:val="24"/>
          <w:szCs w:val="24"/>
        </w:rPr>
        <w:t>‘sit</w:t>
      </w:r>
      <w:proofErr w:type="gramEnd"/>
      <w:r w:rsidRPr="00CA2B3F">
        <w:rPr>
          <w:rFonts w:ascii="Times New Roman" w:hAnsi="Times New Roman"/>
          <w:sz w:val="24"/>
          <w:szCs w:val="24"/>
        </w:rPr>
        <w:t xml:space="preserve"> down or put your hands behind your back.’</w:t>
      </w:r>
    </w:p>
    <w:p w14:paraId="1C5D254E" w14:textId="77777777" w:rsidR="00062DA4" w:rsidRPr="00CA2B3F" w:rsidRDefault="00062DA4" w:rsidP="00062DA4">
      <w:pPr>
        <w:pStyle w:val="NoSpacing"/>
        <w:rPr>
          <w:rFonts w:ascii="Times New Roman" w:hAnsi="Times New Roman"/>
          <w:sz w:val="24"/>
          <w:szCs w:val="24"/>
        </w:rPr>
      </w:pPr>
    </w:p>
    <w:p w14:paraId="3C6CCF92"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3563E14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lastRenderedPageBreak/>
        <w:t xml:space="preserve">The parties </w:t>
      </w:r>
      <w:proofErr w:type="gramStart"/>
      <w:r w:rsidRPr="00CA2B3F">
        <w:rPr>
          <w:rFonts w:ascii="Times New Roman" w:hAnsi="Times New Roman"/>
          <w:sz w:val="24"/>
          <w:szCs w:val="24"/>
        </w:rPr>
        <w:t>dispute</w:t>
      </w:r>
      <w:proofErr w:type="gramEnd"/>
      <w:r w:rsidRPr="00CA2B3F">
        <w:rPr>
          <w:rFonts w:ascii="Times New Roman" w:hAnsi="Times New Roman"/>
          <w:sz w:val="24"/>
          <w:szCs w:val="24"/>
        </w:rPr>
        <w:t xml:space="preserve"> what happened next. [Court now references the plaintiff’s complaint.] Plaintiff alleges that, as Mr. Dizmang stood in the tree line approximately 20 feet from the road, [Paramedic] Fischer ‘suddenly and violently tackled’ him to the ground…. As alleged, Defendant Fischer put Mr. Dizmang into a chokehold by wrapping his arms around his neck while Defendant Reed handcuffed Mr. Dizmang’s hands behind his back….  Defendant Fischer maintained this hold for approximately 30 seconds…. Mr. Dizmang stopped moving.</w:t>
      </w:r>
    </w:p>
    <w:p w14:paraId="53C6B823" w14:textId="77777777" w:rsidR="00062DA4" w:rsidRPr="00CA2B3F" w:rsidRDefault="00062DA4" w:rsidP="00062DA4">
      <w:pPr>
        <w:pStyle w:val="NoSpacing"/>
        <w:rPr>
          <w:rFonts w:ascii="Times New Roman" w:hAnsi="Times New Roman"/>
          <w:sz w:val="24"/>
          <w:szCs w:val="24"/>
        </w:rPr>
      </w:pPr>
    </w:p>
    <w:p w14:paraId="0992F1E8"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then rolled Mr. Dizmang face down on the ground, with his</w:t>
      </w:r>
    </w:p>
    <w:p w14:paraId="655706EE"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hands on the back of Mr. Dizmang’s neck and ‘driving his body weight downward, [Mr. Dizmang’s] neck and face into the ground. … Plaintiff alleges that Defendant Fischer stayed in that position, ‘with his body weight on [Mr. Dizmang’s] neck and back,’ for approximately forty-five seconds….Defendants Fischer and Reed then rolled Mr. Dizmang into a seated position….  At that point, Mr. Dizmang still had a faint pulse, but he was struggling to breathe and was unresponsive to questions and commands…. A bystander repeatedly told Mr. Dizmang, </w:t>
      </w:r>
      <w:proofErr w:type="gramStart"/>
      <w:r w:rsidRPr="00CA2B3F">
        <w:rPr>
          <w:rFonts w:ascii="Times New Roman" w:hAnsi="Times New Roman"/>
          <w:sz w:val="24"/>
          <w:szCs w:val="24"/>
        </w:rPr>
        <w:t>‘talk</w:t>
      </w:r>
      <w:proofErr w:type="gramEnd"/>
      <w:r w:rsidRPr="00CA2B3F">
        <w:rPr>
          <w:rFonts w:ascii="Times New Roman" w:hAnsi="Times New Roman"/>
          <w:sz w:val="24"/>
          <w:szCs w:val="24"/>
        </w:rPr>
        <w:t xml:space="preserve"> to me,’ but he never responded…. Defendant Reed called for an ambulance…. Defendants Reed and Fischer left Mr. Dizmang in handcuffs…. He remained handcuffed for nearly seven minutes before he was loaded onto a stretcher and moved into an ambulance…. As alleged,</w:t>
      </w:r>
    </w:p>
    <w:p w14:paraId="56B1B466"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took no actions to provide medical care or resuscitate Mr. Dizmang….</w:t>
      </w:r>
    </w:p>
    <w:p w14:paraId="7A62820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commented, ‘He’s not aspirating’ and ‘I want to attempt a</w:t>
      </w:r>
    </w:p>
    <w:p w14:paraId="3022F94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nasal airway.’ …Medical staff attempted resuscitation measures once Mr. Dizmang was</w:t>
      </w:r>
    </w:p>
    <w:p w14:paraId="48C1A4D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transferred to the ambulance…. Once at the hospital, emergency room staff also attempted life-saving measures, but Mr. Dizmang was pronounced dead at 6:16 p.m.”</w:t>
      </w:r>
    </w:p>
    <w:p w14:paraId="47DE48C3" w14:textId="77777777" w:rsidR="00062DA4" w:rsidRPr="00CA2B3F" w:rsidRDefault="00062DA4" w:rsidP="00062DA4">
      <w:pPr>
        <w:pStyle w:val="NoSpacing"/>
        <w:rPr>
          <w:rFonts w:ascii="Times New Roman" w:hAnsi="Times New Roman"/>
          <w:sz w:val="24"/>
          <w:szCs w:val="24"/>
        </w:rPr>
      </w:pPr>
    </w:p>
    <w:p w14:paraId="359A4D90"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The Court held:</w:t>
      </w:r>
    </w:p>
    <w:p w14:paraId="7B9E564A" w14:textId="77777777" w:rsidR="00062DA4" w:rsidRPr="00CA2B3F" w:rsidRDefault="00062DA4" w:rsidP="00062DA4">
      <w:pPr>
        <w:pStyle w:val="NoSpacing"/>
        <w:rPr>
          <w:rFonts w:ascii="Times New Roman" w:hAnsi="Times New Roman"/>
          <w:sz w:val="24"/>
          <w:szCs w:val="24"/>
        </w:rPr>
      </w:pPr>
    </w:p>
    <w:p w14:paraId="046151F1"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“Here, based on the allegations in the complaint, it appears that [Paramedic] Fischer</w:t>
      </w:r>
    </w:p>
    <w:p w14:paraId="2491442C"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was not attempting to arrest Mr. Dizmang or otherwise enforce the law; he was trying to</w:t>
      </w:r>
    </w:p>
    <w:p w14:paraId="73F1199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subdue him so that he could be properly treated…. </w:t>
      </w:r>
      <w:proofErr w:type="gramStart"/>
      <w:r w:rsidRPr="00CA2B3F">
        <w:rPr>
          <w:rFonts w:ascii="Times New Roman" w:hAnsi="Times New Roman"/>
          <w:sz w:val="24"/>
          <w:szCs w:val="24"/>
        </w:rPr>
        <w:t>It is clear that Mr. Dizmang</w:t>
      </w:r>
      <w:proofErr w:type="gramEnd"/>
      <w:r w:rsidRPr="00CA2B3F">
        <w:rPr>
          <w:rFonts w:ascii="Times New Roman" w:hAnsi="Times New Roman"/>
          <w:sz w:val="24"/>
          <w:szCs w:val="24"/>
        </w:rPr>
        <w:t xml:space="preserve"> needed </w:t>
      </w:r>
    </w:p>
    <w:p w14:paraId="03705669"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treatment and that Defendant Fischer was attempting to fulfill his role as a treatment provider.</w:t>
      </w:r>
    </w:p>
    <w:p w14:paraId="07AF9A71" w14:textId="77777777" w:rsidR="00062DA4" w:rsidRPr="00CA2B3F" w:rsidRDefault="00062DA4" w:rsidP="00062DA4">
      <w:pPr>
        <w:pStyle w:val="NoSpacing"/>
        <w:rPr>
          <w:rFonts w:ascii="Times New Roman" w:hAnsi="Times New Roman"/>
          <w:sz w:val="24"/>
          <w:szCs w:val="24"/>
        </w:rPr>
      </w:pPr>
    </w:p>
    <w:p w14:paraId="76C49F8A"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70295DB4"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Even if a paramedic’s attempt to provide treatment amounts to a violation of a constitutional right to be free from </w:t>
      </w:r>
      <w:proofErr w:type="gramStart"/>
      <w:r w:rsidRPr="00CA2B3F">
        <w:rPr>
          <w:rFonts w:ascii="Times New Roman" w:hAnsi="Times New Roman"/>
          <w:sz w:val="24"/>
          <w:szCs w:val="24"/>
        </w:rPr>
        <w:t>an unlawful</w:t>
      </w:r>
      <w:proofErr w:type="gramEnd"/>
      <w:r w:rsidRPr="00CA2B3F">
        <w:rPr>
          <w:rFonts w:ascii="Times New Roman" w:hAnsi="Times New Roman"/>
          <w:sz w:val="24"/>
          <w:szCs w:val="24"/>
        </w:rPr>
        <w:t xml:space="preserve"> seizure, the right was not clearly established. The Tenth Circuit has not opined on whether or in what circumstances a paramedic can effectuate a Fourth Amendment seizure…. Thus, the Court grants Defendant Fischer’s motion to dismiss and declines to exercise supplemental jurisdiction over state law claims brought here.</w:t>
      </w:r>
    </w:p>
    <w:p w14:paraId="7DFCA3DE" w14:textId="77777777" w:rsidR="00062DA4" w:rsidRPr="00CA2B3F" w:rsidRDefault="00062DA4" w:rsidP="00062DA4">
      <w:pPr>
        <w:pStyle w:val="NoSpacing"/>
        <w:rPr>
          <w:rFonts w:ascii="Times New Roman" w:hAnsi="Times New Roman"/>
          <w:sz w:val="24"/>
          <w:szCs w:val="24"/>
        </w:rPr>
      </w:pPr>
    </w:p>
    <w:p w14:paraId="602787FD"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6798D6FD" w14:textId="77777777" w:rsidR="00062DA4" w:rsidRPr="00CA2B3F" w:rsidRDefault="00062DA4" w:rsidP="00062DA4">
      <w:pPr>
        <w:pStyle w:val="NoSpacing"/>
        <w:rPr>
          <w:rFonts w:ascii="Times New Roman" w:hAnsi="Times New Roman"/>
          <w:sz w:val="24"/>
          <w:szCs w:val="24"/>
        </w:rPr>
      </w:pPr>
    </w:p>
    <w:p w14:paraId="6D7C9F32"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[Police Officer] Reed is also entitled to qualified immunity based on the second prong. Plaintiff has not pointed to any Tenth Circuit precedent establishing a Fourth Amendment claim based on a failure to intervene in a paramedic’s alleged use of excessive </w:t>
      </w:r>
      <w:proofErr w:type="gramStart"/>
      <w:r w:rsidRPr="00CA2B3F">
        <w:rPr>
          <w:rFonts w:ascii="Times New Roman" w:hAnsi="Times New Roman"/>
          <w:sz w:val="24"/>
          <w:szCs w:val="24"/>
        </w:rPr>
        <w:t>force.”</w:t>
      </w:r>
      <w:proofErr w:type="gramEnd"/>
    </w:p>
    <w:p w14:paraId="60F42198" w14:textId="77777777" w:rsidR="00062DA4" w:rsidRPr="00CA2B3F" w:rsidRDefault="00062DA4" w:rsidP="00062DA4">
      <w:pPr>
        <w:pStyle w:val="NoSpacing"/>
        <w:rPr>
          <w:rFonts w:ascii="Times New Roman" w:hAnsi="Times New Roman"/>
          <w:sz w:val="24"/>
          <w:szCs w:val="24"/>
        </w:rPr>
      </w:pPr>
    </w:p>
    <w:p w14:paraId="10B9BBBC" w14:textId="77777777" w:rsidR="00062DA4" w:rsidRPr="00CA2B3F" w:rsidRDefault="00062DA4" w:rsidP="00062DA4">
      <w:pPr>
        <w:rPr>
          <w:rFonts w:ascii="Times New Roman" w:hAnsi="Times New Roman"/>
          <w:b/>
          <w:bCs/>
          <w:sz w:val="24"/>
          <w:szCs w:val="24"/>
        </w:rPr>
      </w:pPr>
      <w:r w:rsidRPr="00CA2B3F">
        <w:rPr>
          <w:rFonts w:ascii="Times New Roman" w:hAnsi="Times New Roman"/>
          <w:b/>
          <w:sz w:val="24"/>
          <w:szCs w:val="24"/>
        </w:rPr>
        <w:t xml:space="preserve">Legal Lesson Learned:  Critical Response Teams are a wonderful community asset; when subduing a mental </w:t>
      </w:r>
      <w:proofErr w:type="gramStart"/>
      <w:r w:rsidRPr="00CA2B3F">
        <w:rPr>
          <w:rFonts w:ascii="Times New Roman" w:hAnsi="Times New Roman"/>
          <w:b/>
          <w:sz w:val="24"/>
          <w:szCs w:val="24"/>
        </w:rPr>
        <w:t>patient</w:t>
      </w:r>
      <w:proofErr w:type="gramEnd"/>
      <w:r w:rsidRPr="00CA2B3F">
        <w:rPr>
          <w:rFonts w:ascii="Times New Roman" w:hAnsi="Times New Roman"/>
          <w:b/>
          <w:sz w:val="24"/>
          <w:szCs w:val="24"/>
        </w:rPr>
        <w:t xml:space="preserve"> it is helpful to have a member of the team videotape the conduct</w:t>
      </w:r>
    </w:p>
    <w:p w14:paraId="4063C3E9" w14:textId="77777777" w:rsidR="00062DA4" w:rsidRPr="00CA2B3F" w:rsidRDefault="00062DA4" w:rsidP="00062DA4">
      <w:pPr>
        <w:rPr>
          <w:rFonts w:ascii="Times New Roman" w:hAnsi="Times New Roman"/>
          <w:b/>
          <w:bCs/>
          <w:sz w:val="24"/>
          <w:szCs w:val="24"/>
        </w:rPr>
      </w:pPr>
    </w:p>
    <w:p w14:paraId="3EE97FDB" w14:textId="7695F3BE" w:rsidR="00062DA4" w:rsidRDefault="001A4CAA" w:rsidP="000C4DF5">
      <w:pPr>
        <w:pStyle w:val="NoSpacing"/>
        <w:rPr>
          <w:rFonts w:ascii="Arial Black" w:hAnsi="Arial Black"/>
          <w:sz w:val="24"/>
          <w:szCs w:val="24"/>
        </w:rPr>
      </w:pPr>
      <w:r>
        <w:rPr>
          <w:rFonts w:ascii="Arial Black" w:hAnsi="Arial Black"/>
          <w:sz w:val="24"/>
          <w:szCs w:val="24"/>
        </w:rPr>
        <w:t>15-36</w:t>
      </w:r>
      <w:r w:rsidR="00144037">
        <w:rPr>
          <w:rFonts w:ascii="Arial Black" w:hAnsi="Arial Black"/>
          <w:sz w:val="24"/>
          <w:szCs w:val="24"/>
        </w:rPr>
        <w:t xml:space="preserve"> [also filed, Chap. 6]</w:t>
      </w:r>
    </w:p>
    <w:p w14:paraId="3EE8DB43" w14:textId="77777777" w:rsidR="00144037" w:rsidRDefault="00144037" w:rsidP="000C4DF5">
      <w:pPr>
        <w:pStyle w:val="NoSpacing"/>
        <w:rPr>
          <w:rFonts w:ascii="Arial Black" w:hAnsi="Arial Black"/>
          <w:sz w:val="24"/>
          <w:szCs w:val="24"/>
        </w:rPr>
      </w:pPr>
    </w:p>
    <w:p w14:paraId="02D321ED" w14:textId="77777777" w:rsidR="001A4CAA" w:rsidRPr="000B7F2C" w:rsidRDefault="001A4CAA" w:rsidP="001A4CAA">
      <w:pPr>
        <w:rPr>
          <w:rFonts w:ascii="Arial Black" w:hAnsi="Arial Black"/>
          <w:sz w:val="28"/>
          <w:szCs w:val="28"/>
        </w:rPr>
      </w:pPr>
      <w:r w:rsidRPr="000B7F2C">
        <w:rPr>
          <w:rFonts w:ascii="Arial Black" w:hAnsi="Arial Black"/>
          <w:sz w:val="28"/>
          <w:szCs w:val="28"/>
        </w:rPr>
        <w:t>AR: PTSD –1 YR OF “DIAGNOSIS” TO FILE WORK COMP</w:t>
      </w:r>
    </w:p>
    <w:p w14:paraId="78C93492" w14:textId="77777777" w:rsidR="001A4CAA" w:rsidRPr="00144037" w:rsidRDefault="001A4CAA" w:rsidP="001A4CAA">
      <w:pPr>
        <w:rPr>
          <w:rFonts w:ascii="Times New Roman" w:hAnsi="Times New Roman"/>
          <w:sz w:val="24"/>
          <w:szCs w:val="24"/>
        </w:rPr>
      </w:pPr>
      <w:r w:rsidRPr="00144037">
        <w:rPr>
          <w:rFonts w:ascii="Times New Roman" w:hAnsi="Times New Roman"/>
          <w:sz w:val="24"/>
          <w:szCs w:val="24"/>
        </w:rPr>
        <w:lastRenderedPageBreak/>
        <w:t xml:space="preserve">On January 27, 2025, in </w:t>
      </w:r>
      <w:r w:rsidRPr="00144037">
        <w:rPr>
          <w:rFonts w:ascii="Times New Roman" w:hAnsi="Times New Roman"/>
          <w:sz w:val="24"/>
          <w:szCs w:val="24"/>
          <w:u w:val="single"/>
        </w:rPr>
        <w:t>City of Tucson v. The Industrial Commission of Arizona; Christopher Mercer, Respondent Employee</w:t>
      </w:r>
      <w:r w:rsidRPr="00144037">
        <w:rPr>
          <w:rFonts w:ascii="Times New Roman" w:hAnsi="Times New Roman"/>
          <w:sz w:val="24"/>
          <w:szCs w:val="24"/>
        </w:rPr>
        <w:t xml:space="preserve">, the Court of Appeals of Arizona, Second Division, (3 to 0; unpublished decision) upheld the Administrative Law Judge who ruled the 1-Year statute of limitations to file worker’s comp claim starts when the official diagnosis of PTSD has been made, not when employee has sought help for mental issues.  Time line: In 2017, with anger issues, his Captain suggested he see a psychiatrist; met six times between 2017 and 2021; in 2020 moved to slower station; April 2022 attended music festival off duty and helped female patient who feel 15 feet; that night at home threatened suicide including pulling trigger of 9 mil firearm (presumably unloaded); hospitalized 28 days at facility for first responders where for first time was diagnosed with PTSD; filed works comp claim July 30, 2022.  </w:t>
      </w:r>
      <w:hyperlink r:id="rId2344" w:history="1">
        <w:r w:rsidRPr="00144037">
          <w:rPr>
            <w:rStyle w:val="Hyperlink"/>
            <w:rFonts w:ascii="Times New Roman" w:hAnsi="Times New Roman"/>
            <w:sz w:val="24"/>
            <w:szCs w:val="24"/>
          </w:rPr>
          <w:t>https://cases.justia.com/arizona/court-of-appeals-division-two-unpublished/2025-2-ca-ic-2024-0003.pdf?ts=1738026580</w:t>
        </w:r>
      </w:hyperlink>
      <w:r w:rsidRPr="00144037">
        <w:rPr>
          <w:rFonts w:ascii="Times New Roman" w:hAnsi="Times New Roman"/>
          <w:sz w:val="24"/>
          <w:szCs w:val="24"/>
        </w:rPr>
        <w:t xml:space="preserve"> </w:t>
      </w:r>
    </w:p>
    <w:p w14:paraId="59F2BD13" w14:textId="77777777" w:rsidR="001A4CAA" w:rsidRPr="00144037" w:rsidRDefault="001A4CAA" w:rsidP="001A4CAA">
      <w:pPr>
        <w:rPr>
          <w:rFonts w:ascii="Times New Roman" w:hAnsi="Times New Roman"/>
          <w:sz w:val="24"/>
          <w:szCs w:val="24"/>
        </w:rPr>
      </w:pPr>
    </w:p>
    <w:p w14:paraId="504C725E" w14:textId="77777777" w:rsidR="001A4CAA" w:rsidRPr="00144037" w:rsidRDefault="001A4CAA" w:rsidP="001A4CAA">
      <w:pPr>
        <w:pStyle w:val="NoSpacing"/>
        <w:rPr>
          <w:rFonts w:ascii="Times New Roman" w:hAnsi="Times New Roman"/>
          <w:sz w:val="24"/>
          <w:szCs w:val="24"/>
        </w:rPr>
      </w:pPr>
      <w:r w:rsidRPr="00144037">
        <w:rPr>
          <w:rFonts w:ascii="Times New Roman" w:hAnsi="Times New Roman"/>
          <w:sz w:val="24"/>
          <w:szCs w:val="24"/>
        </w:rPr>
        <w:t xml:space="preserve">The Court wrote: </w:t>
      </w:r>
    </w:p>
    <w:p w14:paraId="1FCC72A4" w14:textId="77777777" w:rsidR="001A4CAA" w:rsidRPr="00144037" w:rsidRDefault="001A4CAA" w:rsidP="001A4CAA">
      <w:pPr>
        <w:pStyle w:val="NoSpacing"/>
        <w:rPr>
          <w:rFonts w:ascii="Times New Roman" w:hAnsi="Times New Roman"/>
          <w:sz w:val="24"/>
          <w:szCs w:val="24"/>
        </w:rPr>
      </w:pPr>
    </w:p>
    <w:p w14:paraId="0156C60A" w14:textId="77777777" w:rsidR="001A4CAA" w:rsidRPr="00144037" w:rsidRDefault="001A4CAA" w:rsidP="001A4CAA">
      <w:pPr>
        <w:pStyle w:val="NoSpacing"/>
        <w:ind w:left="720"/>
        <w:rPr>
          <w:rFonts w:ascii="Times New Roman" w:hAnsi="Times New Roman"/>
          <w:sz w:val="24"/>
          <w:szCs w:val="24"/>
        </w:rPr>
      </w:pPr>
      <w:r w:rsidRPr="00144037">
        <w:rPr>
          <w:rFonts w:ascii="Times New Roman" w:hAnsi="Times New Roman"/>
          <w:sz w:val="24"/>
          <w:szCs w:val="24"/>
        </w:rPr>
        <w:t>“The ALJ determined that he was never ‘officially diagnosed with PTSD’ until April 2022, and there was ‘insufficient evidence to find that his symptoms had become serious and acute enough to meet the diagnosis for PTSD’ before then. The ALJ further explained that April 2022 was also the point at which Mercer first required inpatient psychiatric treatment and first became unable to return to work. Accordingly, the ALJ determined that Mercer’s July 2022 ICA claim was timely.</w:t>
      </w:r>
    </w:p>
    <w:p w14:paraId="78F8138B" w14:textId="77777777" w:rsidR="001A4CAA" w:rsidRPr="00144037" w:rsidRDefault="001A4CAA" w:rsidP="001A4CAA">
      <w:pPr>
        <w:pStyle w:val="NoSpacing"/>
        <w:rPr>
          <w:rFonts w:ascii="Times New Roman" w:hAnsi="Times New Roman"/>
          <w:sz w:val="24"/>
          <w:szCs w:val="24"/>
        </w:rPr>
      </w:pPr>
    </w:p>
    <w:p w14:paraId="6012B840" w14:textId="77777777" w:rsidR="001A4CAA" w:rsidRPr="00144037" w:rsidRDefault="001A4CAA" w:rsidP="001A4CAA">
      <w:pPr>
        <w:pStyle w:val="NoSpacing"/>
        <w:ind w:firstLine="720"/>
        <w:rPr>
          <w:rFonts w:ascii="Times New Roman" w:hAnsi="Times New Roman"/>
          <w:sz w:val="24"/>
          <w:szCs w:val="24"/>
        </w:rPr>
      </w:pPr>
      <w:r w:rsidRPr="00144037">
        <w:rPr>
          <w:rFonts w:ascii="Times New Roman" w:hAnsi="Times New Roman"/>
          <w:sz w:val="24"/>
          <w:szCs w:val="24"/>
        </w:rPr>
        <w:t>***</w:t>
      </w:r>
    </w:p>
    <w:p w14:paraId="49336543" w14:textId="77777777" w:rsidR="001A4CAA" w:rsidRPr="00144037" w:rsidRDefault="001A4CAA" w:rsidP="001A4CAA">
      <w:pPr>
        <w:pStyle w:val="NoSpacing"/>
        <w:rPr>
          <w:rFonts w:ascii="Times New Roman" w:hAnsi="Times New Roman"/>
          <w:sz w:val="24"/>
          <w:szCs w:val="24"/>
        </w:rPr>
      </w:pPr>
    </w:p>
    <w:p w14:paraId="53C09866" w14:textId="77777777" w:rsidR="001A4CAA" w:rsidRPr="00144037" w:rsidRDefault="001A4CAA" w:rsidP="001A4CAA">
      <w:pPr>
        <w:pStyle w:val="NoSpacing"/>
        <w:ind w:left="720"/>
        <w:rPr>
          <w:rFonts w:ascii="Times New Roman" w:hAnsi="Times New Roman"/>
          <w:sz w:val="24"/>
          <w:szCs w:val="24"/>
        </w:rPr>
      </w:pPr>
      <w:r w:rsidRPr="00144037">
        <w:rPr>
          <w:rFonts w:ascii="Times New Roman" w:hAnsi="Times New Roman"/>
          <w:sz w:val="24"/>
          <w:szCs w:val="24"/>
        </w:rPr>
        <w:t>[T]</w:t>
      </w:r>
      <w:proofErr w:type="gramStart"/>
      <w:r w:rsidRPr="00144037">
        <w:rPr>
          <w:rFonts w:ascii="Times New Roman" w:hAnsi="Times New Roman"/>
          <w:sz w:val="24"/>
          <w:szCs w:val="24"/>
        </w:rPr>
        <w:t>he</w:t>
      </w:r>
      <w:proofErr w:type="gramEnd"/>
      <w:r w:rsidRPr="00144037">
        <w:rPr>
          <w:rFonts w:ascii="Times New Roman" w:hAnsi="Times New Roman"/>
          <w:sz w:val="24"/>
          <w:szCs w:val="24"/>
        </w:rPr>
        <w:t xml:space="preserve"> City contends it produced expert testimony that Mercer’s PTSD was diagnosable prior to July 2021, it has satisfied some portion of the test for the accrual of mental injuries. Not so.” </w:t>
      </w:r>
    </w:p>
    <w:p w14:paraId="1EA371D3" w14:textId="77777777" w:rsidR="001A4CAA" w:rsidRPr="00144037" w:rsidRDefault="001A4CAA" w:rsidP="001A4CAA">
      <w:pPr>
        <w:pStyle w:val="NoSpacing"/>
        <w:rPr>
          <w:rFonts w:ascii="Times New Roman" w:hAnsi="Times New Roman"/>
          <w:b/>
          <w:bCs/>
          <w:sz w:val="24"/>
          <w:szCs w:val="24"/>
        </w:rPr>
      </w:pPr>
    </w:p>
    <w:p w14:paraId="7F526D49" w14:textId="77777777" w:rsidR="001A4CAA" w:rsidRPr="00144037" w:rsidRDefault="001A4CAA" w:rsidP="001A4CAA">
      <w:pPr>
        <w:pStyle w:val="NoSpacing"/>
        <w:rPr>
          <w:rFonts w:ascii="Times New Roman" w:hAnsi="Times New Roman"/>
          <w:b/>
          <w:bCs/>
          <w:sz w:val="24"/>
          <w:szCs w:val="24"/>
        </w:rPr>
      </w:pPr>
      <w:r w:rsidRPr="00144037">
        <w:rPr>
          <w:rFonts w:ascii="Times New Roman" w:hAnsi="Times New Roman"/>
          <w:b/>
          <w:sz w:val="24"/>
          <w:szCs w:val="24"/>
        </w:rPr>
        <w:t xml:space="preserve">Legal Lesson Learned: Excellent decision; city can’t force employees to file workers comp claim when they are merely seeking assistance. </w:t>
      </w:r>
    </w:p>
    <w:p w14:paraId="18378E38" w14:textId="77777777" w:rsidR="001A4CAA" w:rsidRPr="00144037" w:rsidRDefault="001A4CAA" w:rsidP="001A4CAA">
      <w:pPr>
        <w:pStyle w:val="NoSpacing"/>
        <w:rPr>
          <w:rFonts w:ascii="Times New Roman" w:hAnsi="Times New Roman"/>
          <w:sz w:val="24"/>
          <w:szCs w:val="24"/>
        </w:rPr>
      </w:pPr>
    </w:p>
    <w:p w14:paraId="7C23C1EA" w14:textId="77777777" w:rsidR="001A4CAA" w:rsidRPr="00144037" w:rsidRDefault="001A4CAA" w:rsidP="000C4DF5">
      <w:pPr>
        <w:pStyle w:val="NoSpacing"/>
        <w:rPr>
          <w:rFonts w:ascii="Times New Roman" w:hAnsi="Times New Roman"/>
          <w:sz w:val="24"/>
          <w:szCs w:val="24"/>
        </w:rPr>
      </w:pPr>
    </w:p>
    <w:p w14:paraId="49D9197F" w14:textId="77777777" w:rsidR="004D6FB2" w:rsidRDefault="004D6FB2" w:rsidP="000C4DF5">
      <w:pPr>
        <w:pStyle w:val="NoSpacing"/>
        <w:rPr>
          <w:rFonts w:ascii="Arial Black" w:hAnsi="Arial Black"/>
          <w:sz w:val="24"/>
          <w:szCs w:val="24"/>
        </w:rPr>
      </w:pPr>
    </w:p>
    <w:p w14:paraId="1A8CACB4" w14:textId="77777777" w:rsidR="004D6FB2" w:rsidRDefault="004D6FB2" w:rsidP="000C4DF5">
      <w:pPr>
        <w:pStyle w:val="NoSpacing"/>
        <w:rPr>
          <w:rFonts w:ascii="Arial Black" w:hAnsi="Arial Black"/>
          <w:sz w:val="24"/>
          <w:szCs w:val="24"/>
        </w:rPr>
      </w:pPr>
    </w:p>
    <w:p w14:paraId="2031D947" w14:textId="28B3F362" w:rsidR="00503691" w:rsidRDefault="00503691" w:rsidP="000C4DF5">
      <w:pPr>
        <w:pStyle w:val="NoSpacing"/>
        <w:rPr>
          <w:rFonts w:ascii="Arial Black" w:hAnsi="Arial Black"/>
          <w:sz w:val="24"/>
          <w:szCs w:val="24"/>
        </w:rPr>
      </w:pPr>
      <w:r>
        <w:rPr>
          <w:rFonts w:ascii="Arial Black" w:hAnsi="Arial Black"/>
          <w:sz w:val="24"/>
          <w:szCs w:val="24"/>
        </w:rPr>
        <w:t>15-35</w:t>
      </w:r>
    </w:p>
    <w:p w14:paraId="7D8A8A4B" w14:textId="77777777" w:rsidR="00503691" w:rsidRDefault="00503691" w:rsidP="000C4DF5">
      <w:pPr>
        <w:pStyle w:val="NoSpacing"/>
        <w:rPr>
          <w:rFonts w:ascii="Arial Black" w:hAnsi="Arial Black"/>
          <w:sz w:val="24"/>
          <w:szCs w:val="24"/>
        </w:rPr>
      </w:pPr>
    </w:p>
    <w:p w14:paraId="091FA3E1" w14:textId="23260C29" w:rsidR="008619DE" w:rsidRPr="00A34AEC" w:rsidRDefault="008619DE" w:rsidP="008619DE">
      <w:pPr>
        <w:pStyle w:val="NoSpacing"/>
        <w:rPr>
          <w:rFonts w:ascii="Arial Black" w:hAnsi="Arial Black"/>
          <w:b/>
          <w:sz w:val="28"/>
          <w:szCs w:val="28"/>
        </w:rPr>
      </w:pPr>
      <w:r>
        <w:rPr>
          <w:rFonts w:ascii="Arial Black" w:hAnsi="Arial Black"/>
          <w:b/>
          <w:sz w:val="28"/>
          <w:szCs w:val="28"/>
        </w:rPr>
        <w:t xml:space="preserve">TX: SUICIDE ATT. – DORM FIRE – </w:t>
      </w:r>
      <w:r w:rsidR="00441F95">
        <w:rPr>
          <w:rFonts w:ascii="Arial Black" w:hAnsi="Arial Black"/>
          <w:b/>
          <w:sz w:val="28"/>
          <w:szCs w:val="28"/>
        </w:rPr>
        <w:t>AIR FORCE DISCHARGE</w:t>
      </w:r>
      <w:r>
        <w:rPr>
          <w:rFonts w:ascii="Arial Black" w:hAnsi="Arial Black"/>
          <w:b/>
          <w:sz w:val="28"/>
          <w:szCs w:val="28"/>
        </w:rPr>
        <w:t xml:space="preserve"> </w:t>
      </w:r>
    </w:p>
    <w:p w14:paraId="1DDEA12B" w14:textId="77777777" w:rsidR="008619DE" w:rsidRDefault="008619DE" w:rsidP="008619DE">
      <w:pPr>
        <w:pStyle w:val="NoSpacing"/>
        <w:rPr>
          <w:b/>
        </w:rPr>
      </w:pPr>
    </w:p>
    <w:p w14:paraId="00D9AB78" w14:textId="77777777" w:rsidR="008619DE" w:rsidRPr="008619DE" w:rsidRDefault="008619DE" w:rsidP="008619DE">
      <w:pPr>
        <w:pStyle w:val="NoSpacing"/>
        <w:rPr>
          <w:rFonts w:ascii="Times New Roman" w:hAnsi="Times New Roman"/>
          <w:bCs/>
          <w:sz w:val="24"/>
          <w:szCs w:val="24"/>
        </w:rPr>
      </w:pPr>
      <w:r w:rsidRPr="008619DE">
        <w:rPr>
          <w:rFonts w:ascii="Times New Roman" w:hAnsi="Times New Roman"/>
          <w:sz w:val="24"/>
          <w:szCs w:val="24"/>
        </w:rPr>
        <w:t xml:space="preserve">On Dec. 23, 2024, in </w:t>
      </w:r>
      <w:r w:rsidRPr="008619DE">
        <w:rPr>
          <w:rFonts w:ascii="Times New Roman" w:hAnsi="Times New Roman"/>
          <w:sz w:val="24"/>
          <w:szCs w:val="24"/>
          <w:u w:val="single"/>
        </w:rPr>
        <w:t>United States v. Randy B. Giles, Jr., Airman Basic (E-1), U.S. Air Force</w:t>
      </w:r>
      <w:r w:rsidRPr="008619DE">
        <w:rPr>
          <w:rFonts w:ascii="Times New Roman" w:hAnsi="Times New Roman"/>
          <w:sz w:val="24"/>
          <w:szCs w:val="24"/>
        </w:rPr>
        <w:t>, the United States Air Force Court of Criminal Appeals, held (3 to 0) that the bad-conduct discharge, confinement for 30 days, and forfeiture of $1,917.00 pay for one month was appropriate penalty, given the attempted suicide by starting a fire on Aug. 16, 2022 in his dormitory room at Sheppard Air Force Base (AFB), Wichita Falls, Texas.  Instructors had sent him to be evaluated by Air Force mental, which allowed him to return to his dorm. The Court wrote:</w:t>
      </w:r>
    </w:p>
    <w:p w14:paraId="3993BA97" w14:textId="77777777" w:rsidR="008619DE" w:rsidRPr="008619DE" w:rsidRDefault="008619DE" w:rsidP="008619DE">
      <w:pPr>
        <w:pStyle w:val="NoSpacing"/>
        <w:rPr>
          <w:rFonts w:ascii="Times New Roman" w:hAnsi="Times New Roman"/>
          <w:bCs/>
          <w:sz w:val="24"/>
          <w:szCs w:val="24"/>
        </w:rPr>
      </w:pPr>
    </w:p>
    <w:p w14:paraId="7369FBD5" w14:textId="77777777" w:rsidR="008619DE" w:rsidRPr="008619DE" w:rsidRDefault="008619DE" w:rsidP="008619DE">
      <w:pPr>
        <w:pStyle w:val="NoSpacing"/>
        <w:ind w:left="720"/>
        <w:rPr>
          <w:rFonts w:ascii="Times New Roman" w:hAnsi="Times New Roman"/>
          <w:b/>
          <w:sz w:val="24"/>
          <w:szCs w:val="24"/>
        </w:rPr>
      </w:pPr>
      <w:r w:rsidRPr="008619DE">
        <w:rPr>
          <w:rFonts w:ascii="Times New Roman" w:hAnsi="Times New Roman"/>
          <w:sz w:val="24"/>
          <w:szCs w:val="24"/>
        </w:rPr>
        <w:t xml:space="preserve">“We are not persuaded Appellant’s bad-conduct discharge is inappropriately severe. Contrary to Appellant’s argument, he was not prosecuted for attempting suicide; he was prosecuted for the serious offense of aggravated arson and related offenses, which created a risk to the health and safety to many of his fellow Airmen as well as himself. Appellant pleaded guilty to the charges, unconditionally admitting his criminal responsibility. Based on his guilty pleas, Appellant faced a maximum punishment that included a dishonorable discharge and confinement for 25 years, among other penalties. Through the  admitted evidence and Appellant’s unsworn statements, the court members were well-informed of the </w:t>
      </w:r>
      <w:r w:rsidRPr="008619DE">
        <w:rPr>
          <w:rFonts w:ascii="Times New Roman" w:hAnsi="Times New Roman"/>
          <w:sz w:val="24"/>
          <w:szCs w:val="24"/>
        </w:rPr>
        <w:lastRenderedPageBreak/>
        <w:t xml:space="preserve">nature of his mental health problems and the progress of his inpatient treatment. The court members likely took these factors into account when they adjudged a relatively lenient sentence including only 30 days of confinement and one month of forfeitures—entirely nullified by the sentence credit the military judge awarded—in addition to the bad-conduct discharge. Having </w:t>
      </w:r>
      <w:proofErr w:type="gramStart"/>
      <w:r w:rsidRPr="008619DE">
        <w:rPr>
          <w:rFonts w:ascii="Times New Roman" w:hAnsi="Times New Roman"/>
          <w:sz w:val="24"/>
          <w:szCs w:val="24"/>
        </w:rPr>
        <w:t>given individualized consideration to</w:t>
      </w:r>
      <w:proofErr w:type="gramEnd"/>
      <w:r w:rsidRPr="008619DE">
        <w:rPr>
          <w:rFonts w:ascii="Times New Roman" w:hAnsi="Times New Roman"/>
          <w:sz w:val="24"/>
          <w:szCs w:val="24"/>
        </w:rPr>
        <w:t xml:space="preserve"> Appellant, the nature and seriousness of the offenses, Appellant’s record of service, and all other matters contained in the record of trial, we conclude Appellant’s sentence is not inappropriately severe.” </w:t>
      </w:r>
      <w:hyperlink r:id="rId2345" w:history="1">
        <w:r w:rsidRPr="008619DE">
          <w:rPr>
            <w:rStyle w:val="Hyperlink"/>
            <w:rFonts w:ascii="Times New Roman" w:hAnsi="Times New Roman"/>
            <w:b/>
            <w:sz w:val="24"/>
            <w:szCs w:val="24"/>
          </w:rPr>
          <w:t>https://afcca.law.af.mil/afcca_opinions/cp/giles_-_40482_u_2091447.pdf</w:t>
        </w:r>
      </w:hyperlink>
      <w:r w:rsidRPr="008619DE">
        <w:rPr>
          <w:rFonts w:ascii="Times New Roman" w:hAnsi="Times New Roman"/>
          <w:b/>
          <w:sz w:val="24"/>
          <w:szCs w:val="24"/>
        </w:rPr>
        <w:t xml:space="preserve"> </w:t>
      </w:r>
    </w:p>
    <w:p w14:paraId="43EF22E6" w14:textId="77777777" w:rsidR="008619DE" w:rsidRDefault="008619DE" w:rsidP="008619DE">
      <w:pPr>
        <w:pStyle w:val="NoSpacing"/>
        <w:ind w:left="720"/>
        <w:rPr>
          <w:bCs/>
        </w:rPr>
      </w:pPr>
      <w:r>
        <w:t xml:space="preserve"> </w:t>
      </w:r>
    </w:p>
    <w:p w14:paraId="4172A425" w14:textId="77777777" w:rsidR="009A3152" w:rsidRPr="00441F95" w:rsidRDefault="009A3152" w:rsidP="009A3152">
      <w:pPr>
        <w:pStyle w:val="NoSpacing"/>
        <w:rPr>
          <w:rFonts w:ascii="Times New Roman" w:hAnsi="Times New Roman"/>
          <w:bCs/>
          <w:sz w:val="24"/>
          <w:szCs w:val="24"/>
        </w:rPr>
      </w:pPr>
      <w:r w:rsidRPr="00441F95">
        <w:rPr>
          <w:rFonts w:ascii="Times New Roman" w:hAnsi="Times New Roman"/>
          <w:sz w:val="24"/>
          <w:szCs w:val="24"/>
        </w:rPr>
        <w:t xml:space="preserve">HOLDING:  </w:t>
      </w:r>
    </w:p>
    <w:p w14:paraId="660FE5A6" w14:textId="77777777" w:rsidR="009A3152" w:rsidRPr="00441F95" w:rsidRDefault="009A3152" w:rsidP="009A3152">
      <w:pPr>
        <w:pStyle w:val="NoSpacing"/>
        <w:rPr>
          <w:rFonts w:ascii="Times New Roman" w:hAnsi="Times New Roman"/>
          <w:bCs/>
          <w:sz w:val="24"/>
          <w:szCs w:val="24"/>
        </w:rPr>
      </w:pPr>
    </w:p>
    <w:p w14:paraId="0AE9F2B7" w14:textId="77777777" w:rsidR="009A3152" w:rsidRPr="00441F95" w:rsidRDefault="009A3152" w:rsidP="009A3152">
      <w:pPr>
        <w:pStyle w:val="NoSpacing"/>
        <w:ind w:left="720"/>
        <w:rPr>
          <w:rFonts w:ascii="Times New Roman" w:hAnsi="Times New Roman"/>
          <w:bCs/>
          <w:sz w:val="24"/>
          <w:szCs w:val="24"/>
        </w:rPr>
      </w:pPr>
      <w:r w:rsidRPr="00441F95">
        <w:rPr>
          <w:rFonts w:ascii="Times New Roman" w:hAnsi="Times New Roman"/>
          <w:sz w:val="24"/>
          <w:szCs w:val="24"/>
        </w:rPr>
        <w:t>“The findings as entered are correct in law, the sentence as entered is correct in law and fact, and no error materially prejudicial to the substantial rights of Appellant occurred. Articles 59(a) and 66(d), UCMJ, 10 U.S.C. §§ 859(a), 866(d). Accordingly, the findings and sentence are AFFIRMED.”</w:t>
      </w:r>
    </w:p>
    <w:p w14:paraId="4C110F0D" w14:textId="77777777" w:rsidR="009A3152" w:rsidRPr="00441F95" w:rsidRDefault="009A3152" w:rsidP="009A3152">
      <w:pPr>
        <w:pStyle w:val="NoSpacing"/>
        <w:ind w:left="720"/>
        <w:rPr>
          <w:rFonts w:ascii="Times New Roman" w:hAnsi="Times New Roman"/>
          <w:bCs/>
          <w:sz w:val="24"/>
          <w:szCs w:val="24"/>
        </w:rPr>
      </w:pPr>
    </w:p>
    <w:p w14:paraId="457B44E2" w14:textId="77777777" w:rsidR="009A3152" w:rsidRPr="00441F95" w:rsidRDefault="009A3152" w:rsidP="009A3152">
      <w:pPr>
        <w:pStyle w:val="NoSpacing"/>
        <w:rPr>
          <w:rFonts w:ascii="Times New Roman" w:hAnsi="Times New Roman"/>
          <w:b/>
          <w:sz w:val="24"/>
          <w:szCs w:val="24"/>
        </w:rPr>
      </w:pPr>
      <w:r w:rsidRPr="00441F95">
        <w:rPr>
          <w:rFonts w:ascii="Times New Roman" w:hAnsi="Times New Roman"/>
          <w:b/>
          <w:sz w:val="24"/>
          <w:szCs w:val="24"/>
        </w:rPr>
        <w:t xml:space="preserve">Legal Lesson Learned:  A fellow airman properly reported the arson threat to Instructors, who promptly referred him for mental evaluation.  It is unfortunate that the evaluation did not immediately lead to inpatient treatment. </w:t>
      </w:r>
    </w:p>
    <w:p w14:paraId="593B6C33" w14:textId="77777777" w:rsidR="00503691" w:rsidRPr="00441F95" w:rsidRDefault="00503691" w:rsidP="000C4DF5">
      <w:pPr>
        <w:pStyle w:val="NoSpacing"/>
        <w:rPr>
          <w:rFonts w:ascii="Times New Roman" w:hAnsi="Times New Roman"/>
          <w:sz w:val="24"/>
          <w:szCs w:val="24"/>
        </w:rPr>
      </w:pPr>
    </w:p>
    <w:p w14:paraId="0327D0AA" w14:textId="77777777" w:rsidR="00503691" w:rsidRDefault="00503691" w:rsidP="000C4DF5">
      <w:pPr>
        <w:pStyle w:val="NoSpacing"/>
        <w:rPr>
          <w:rFonts w:ascii="Arial Black" w:hAnsi="Arial Black"/>
          <w:sz w:val="24"/>
          <w:szCs w:val="24"/>
        </w:rPr>
      </w:pPr>
    </w:p>
    <w:p w14:paraId="57C0408D" w14:textId="77777777" w:rsidR="00955FF9" w:rsidRDefault="006547A0" w:rsidP="000C4DF5">
      <w:pPr>
        <w:pStyle w:val="NoSpacing"/>
        <w:rPr>
          <w:rFonts w:ascii="Arial Black" w:hAnsi="Arial Black"/>
          <w:sz w:val="24"/>
          <w:szCs w:val="24"/>
        </w:rPr>
      </w:pPr>
      <w:r>
        <w:rPr>
          <w:rFonts w:ascii="Arial Black" w:hAnsi="Arial Black"/>
          <w:sz w:val="24"/>
          <w:szCs w:val="24"/>
        </w:rPr>
        <w:t>15-34</w:t>
      </w:r>
      <w:r w:rsidR="00955FF9">
        <w:rPr>
          <w:rFonts w:ascii="Arial Black" w:hAnsi="Arial Black"/>
          <w:sz w:val="24"/>
          <w:szCs w:val="24"/>
        </w:rPr>
        <w:t xml:space="preserve">  </w:t>
      </w:r>
    </w:p>
    <w:p w14:paraId="1693C9B8" w14:textId="77777777" w:rsidR="00955FF9" w:rsidRDefault="00955FF9" w:rsidP="000C4DF5">
      <w:pPr>
        <w:pStyle w:val="NoSpacing"/>
        <w:rPr>
          <w:rFonts w:ascii="Arial Black" w:hAnsi="Arial Black"/>
          <w:sz w:val="24"/>
          <w:szCs w:val="24"/>
        </w:rPr>
      </w:pPr>
    </w:p>
    <w:p w14:paraId="01C62B28" w14:textId="342D26F5" w:rsidR="006547A0" w:rsidRDefault="008A552F" w:rsidP="000C4DF5">
      <w:pPr>
        <w:pStyle w:val="NoSpacing"/>
        <w:rPr>
          <w:rFonts w:ascii="Arial Black" w:hAnsi="Arial Black"/>
          <w:sz w:val="24"/>
          <w:szCs w:val="24"/>
        </w:rPr>
      </w:pPr>
      <w:r>
        <w:rPr>
          <w:rFonts w:ascii="Arial Black" w:hAnsi="Arial Black"/>
          <w:sz w:val="24"/>
          <w:szCs w:val="24"/>
        </w:rPr>
        <w:t xml:space="preserve">AR: </w:t>
      </w:r>
      <w:r w:rsidR="00955FF9">
        <w:rPr>
          <w:rFonts w:ascii="Arial Black" w:hAnsi="Arial Black"/>
          <w:sz w:val="24"/>
          <w:szCs w:val="24"/>
        </w:rPr>
        <w:t>FF DENIED WORKERS COMP – LACK PROOF PTSD CAUSED BY JOB</w:t>
      </w:r>
    </w:p>
    <w:p w14:paraId="59401C46" w14:textId="77777777" w:rsidR="006547A0" w:rsidRPr="005D4D24" w:rsidRDefault="006547A0" w:rsidP="000C4DF5">
      <w:pPr>
        <w:pStyle w:val="NoSpacing"/>
        <w:rPr>
          <w:rFonts w:ascii="Times New Roman" w:hAnsi="Times New Roman"/>
          <w:sz w:val="24"/>
          <w:szCs w:val="24"/>
        </w:rPr>
      </w:pPr>
    </w:p>
    <w:p w14:paraId="2BCEF997" w14:textId="671A12BA"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 xml:space="preserve">On September 26, 2024, in </w:t>
      </w:r>
      <w:r w:rsidRPr="005D4D24">
        <w:rPr>
          <w:rFonts w:ascii="Times New Roman" w:hAnsi="Times New Roman"/>
          <w:sz w:val="24"/>
          <w:szCs w:val="24"/>
          <w:u w:val="single"/>
        </w:rPr>
        <w:t>Jerald Franzmeier v. Industrial Commission of Arizona; City of Tolleson</w:t>
      </w:r>
      <w:r w:rsidRPr="005D4D24">
        <w:rPr>
          <w:rFonts w:ascii="Times New Roman" w:hAnsi="Times New Roman"/>
          <w:sz w:val="24"/>
          <w:szCs w:val="24"/>
        </w:rPr>
        <w:t xml:space="preserve">, the Court of Appeals of Arizona, First Division, held (3 to 0) that the firefighter was properly denied workers comp.  While fighting a fire in November 2021, Franzmeier experienced a “sudden alteration in [his] mental status” that left him confused and disorientated, and caused him to hallucinate; he was diagnosed by a psychiatrist with PTSD. In </w:t>
      </w:r>
      <w:proofErr w:type="gramStart"/>
      <w:r w:rsidRPr="005D4D24">
        <w:rPr>
          <w:rFonts w:ascii="Times New Roman" w:hAnsi="Times New Roman"/>
          <w:sz w:val="24"/>
          <w:szCs w:val="24"/>
        </w:rPr>
        <w:t>May</w:t>
      </w:r>
      <w:r w:rsidR="00955FF9">
        <w:rPr>
          <w:rFonts w:ascii="Times New Roman" w:hAnsi="Times New Roman"/>
          <w:sz w:val="24"/>
          <w:szCs w:val="24"/>
        </w:rPr>
        <w:t>,</w:t>
      </w:r>
      <w:proofErr w:type="gramEnd"/>
      <w:r w:rsidRPr="005D4D24">
        <w:rPr>
          <w:rFonts w:ascii="Times New Roman" w:hAnsi="Times New Roman"/>
          <w:sz w:val="24"/>
          <w:szCs w:val="24"/>
        </w:rPr>
        <w:t xml:space="preserve"> 2022 he filed a worker’s comp claim that alleged he got COVID from fellow firefighter on Aug. 21, 2020 [a week after he had flow to Maryland wearing mask and gloves on the plane] and that “long COVID” was the cause of his PTSD. The Court wrote: “However, Franzmeier offered no competent evidence showing, with a reasonable degree of medical probability, that his COVID-19 infection contributed to his mental injury.”  </w:t>
      </w:r>
      <w:hyperlink r:id="rId2346" w:history="1">
        <w:r w:rsidRPr="005D4D24">
          <w:rPr>
            <w:rStyle w:val="Hyperlink"/>
            <w:rFonts w:ascii="Times New Roman" w:hAnsi="Times New Roman"/>
            <w:sz w:val="24"/>
            <w:szCs w:val="24"/>
          </w:rPr>
          <w:t>https://cases.justia.com/arizona/court-of-appeals-division-one-unpublished/2024-1-ca-ic-23-0013.pdf?ts=1727375455</w:t>
        </w:r>
      </w:hyperlink>
    </w:p>
    <w:p w14:paraId="3E49EECC" w14:textId="77777777" w:rsidR="005D4D24" w:rsidRPr="005D4D24" w:rsidRDefault="005D4D24" w:rsidP="005D4D24">
      <w:pPr>
        <w:pStyle w:val="NoSpacing"/>
        <w:rPr>
          <w:rFonts w:ascii="Times New Roman" w:hAnsi="Times New Roman"/>
          <w:sz w:val="24"/>
          <w:szCs w:val="24"/>
        </w:rPr>
      </w:pPr>
    </w:p>
    <w:p w14:paraId="355AD2E4" w14:textId="77777777"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THE COURT HELD:</w:t>
      </w:r>
    </w:p>
    <w:p w14:paraId="785932F1" w14:textId="77777777"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 xml:space="preserve"> </w:t>
      </w:r>
    </w:p>
    <w:p w14:paraId="110437A6"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“Thus, Franzmeier needed to offer medical expert opinion evidence linking his mental injury to his employment, but he offered none. Instead, he testified to what his doctors told him, that there was ‘the possibility of a COVID claim,’ but his testimony made clear that these opinions were speculative. The Respondents presented the only competent medical evidence on causation through Dr. Lee, who opined that Franzmeier was probably infected during his cross-country trip.</w:t>
      </w:r>
    </w:p>
    <w:p w14:paraId="69D78497" w14:textId="77777777" w:rsidR="005D4D24" w:rsidRPr="005D4D24" w:rsidRDefault="005D4D24" w:rsidP="005D4D24">
      <w:pPr>
        <w:pStyle w:val="NoSpacing"/>
        <w:ind w:left="720"/>
        <w:rPr>
          <w:rFonts w:ascii="Times New Roman" w:hAnsi="Times New Roman"/>
          <w:sz w:val="24"/>
          <w:szCs w:val="24"/>
        </w:rPr>
      </w:pPr>
    </w:p>
    <w:p w14:paraId="0C0671EB"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6E4D0EC6" w14:textId="77777777" w:rsidR="005D4D24" w:rsidRPr="005D4D24" w:rsidRDefault="005D4D24" w:rsidP="005D4D24">
      <w:pPr>
        <w:pStyle w:val="NoSpacing"/>
        <w:ind w:left="720"/>
        <w:rPr>
          <w:rFonts w:ascii="Times New Roman" w:hAnsi="Times New Roman"/>
          <w:sz w:val="24"/>
          <w:szCs w:val="24"/>
        </w:rPr>
      </w:pPr>
    </w:p>
    <w:p w14:paraId="1D3CA9EF"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Meanwhile, in preparation for the February 2023 hearing [before Worker’s Comp. Administrative Law Judge] , neurologist Dr. Leo Kahn performed an independent medical examination of Franzmeier at the Respondents’ request. Dr. Kahn physically examined Franzmeier and reviewed the available records, including medical records.</w:t>
      </w:r>
    </w:p>
    <w:p w14:paraId="3B4FEDCC"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Dr. Kahn acknowledged Franzmeier’s underlying psychological condition but concluded that no objective evidence supported Franzmeier’s claim that he sustained a neurological injury from contracting COVID-19 in 2020.”</w:t>
      </w:r>
    </w:p>
    <w:p w14:paraId="046278E4" w14:textId="77777777" w:rsidR="005D4D24" w:rsidRPr="005D4D24" w:rsidRDefault="005D4D24" w:rsidP="005D4D24">
      <w:pPr>
        <w:pStyle w:val="NoSpacing"/>
        <w:ind w:left="720"/>
        <w:rPr>
          <w:rFonts w:ascii="Times New Roman" w:hAnsi="Times New Roman"/>
          <w:sz w:val="24"/>
          <w:szCs w:val="24"/>
        </w:rPr>
      </w:pPr>
    </w:p>
    <w:p w14:paraId="50C464C5" w14:textId="77777777"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FACTS:</w:t>
      </w:r>
    </w:p>
    <w:p w14:paraId="195ABE46" w14:textId="77777777" w:rsidR="005D4D24" w:rsidRPr="005D4D24" w:rsidRDefault="005D4D24" w:rsidP="005D4D24">
      <w:pPr>
        <w:pStyle w:val="NoSpacing"/>
        <w:rPr>
          <w:rFonts w:ascii="Times New Roman" w:hAnsi="Times New Roman"/>
          <w:sz w:val="24"/>
          <w:szCs w:val="24"/>
        </w:rPr>
      </w:pPr>
    </w:p>
    <w:p w14:paraId="49423BB3"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“For nearly two decades, Franzmeier worked as a paramedic and firefighter for the City of Tolleson (‘City’). On August 18, 2020, he flew home to Arizona after visiting family in Maryland. The next day, he returned to work for a 48-hour shift, working closely with others at the fire station. On August 21, a co-worker tested positive for COVID-19. Five days later, Franzmeier tested positive. For the next ten days, Franzmeier quarantined at home before returning to work without incident. He experienced mild symptoms but never sought medical attention.</w:t>
      </w:r>
    </w:p>
    <w:p w14:paraId="0CF92BAE" w14:textId="77777777" w:rsidR="005D4D24" w:rsidRPr="005D4D24" w:rsidRDefault="005D4D24" w:rsidP="005D4D24">
      <w:pPr>
        <w:pStyle w:val="NoSpacing"/>
        <w:ind w:left="720"/>
        <w:rPr>
          <w:rFonts w:ascii="Times New Roman" w:hAnsi="Times New Roman"/>
          <w:sz w:val="24"/>
          <w:szCs w:val="24"/>
        </w:rPr>
      </w:pPr>
    </w:p>
    <w:p w14:paraId="4E0D6A08"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73A99B1B" w14:textId="77777777" w:rsidR="005D4D24" w:rsidRPr="005D4D24" w:rsidRDefault="005D4D24" w:rsidP="005D4D24">
      <w:pPr>
        <w:pStyle w:val="NoSpacing"/>
        <w:rPr>
          <w:rFonts w:ascii="Times New Roman" w:hAnsi="Times New Roman"/>
          <w:sz w:val="24"/>
          <w:szCs w:val="24"/>
        </w:rPr>
      </w:pPr>
    </w:p>
    <w:p w14:paraId="4CB051B8"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 xml:space="preserve">More than a year later, while fighting a fire in November 2021, Franzmeier experienced a “sudden alteration in [his] mental status” that left him confused and disorientated, and caused him to hallucinate. He was taken off duty and evaluated by a psychiatrist, who diagnosed him with post-traumatic stress </w:t>
      </w:r>
      <w:proofErr w:type="gramStart"/>
      <w:r w:rsidRPr="005D4D24">
        <w:rPr>
          <w:rFonts w:ascii="Times New Roman" w:hAnsi="Times New Roman"/>
          <w:sz w:val="24"/>
          <w:szCs w:val="24"/>
        </w:rPr>
        <w:t>disorder (‘</w:t>
      </w:r>
      <w:proofErr w:type="gramEnd"/>
      <w:r w:rsidRPr="005D4D24">
        <w:rPr>
          <w:rFonts w:ascii="Times New Roman" w:hAnsi="Times New Roman"/>
          <w:sz w:val="24"/>
          <w:szCs w:val="24"/>
        </w:rPr>
        <w:t xml:space="preserve">PTSD’). Franzmeier believed his PTSD and other mental health symptoms resulted from ‘long COVID’ or </w:t>
      </w:r>
      <w:proofErr w:type="gramStart"/>
      <w:r w:rsidRPr="005D4D24">
        <w:rPr>
          <w:rFonts w:ascii="Times New Roman" w:hAnsi="Times New Roman"/>
          <w:sz w:val="24"/>
          <w:szCs w:val="24"/>
        </w:rPr>
        <w:t>a post-</w:t>
      </w:r>
      <w:proofErr w:type="gramEnd"/>
    </w:p>
    <w:p w14:paraId="233BE3E0"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COVID condition. He also believed he contracted the COVID-19 virus in August 2020 while at work and not during his earlier travels to and from Maryland.</w:t>
      </w:r>
    </w:p>
    <w:p w14:paraId="4BA1CEA8" w14:textId="77777777" w:rsidR="005D4D24" w:rsidRPr="005D4D24" w:rsidRDefault="005D4D24" w:rsidP="005D4D24">
      <w:pPr>
        <w:pStyle w:val="NoSpacing"/>
        <w:ind w:left="720"/>
        <w:rPr>
          <w:rFonts w:ascii="Times New Roman" w:hAnsi="Times New Roman"/>
          <w:sz w:val="24"/>
          <w:szCs w:val="24"/>
        </w:rPr>
      </w:pPr>
    </w:p>
    <w:p w14:paraId="1981EB69"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2830CF99" w14:textId="77777777" w:rsidR="005D4D24" w:rsidRPr="005D4D24" w:rsidRDefault="005D4D24" w:rsidP="005D4D24">
      <w:pPr>
        <w:pStyle w:val="NoSpacing"/>
        <w:ind w:left="720"/>
        <w:rPr>
          <w:rFonts w:ascii="Times New Roman" w:hAnsi="Times New Roman"/>
          <w:sz w:val="24"/>
          <w:szCs w:val="24"/>
        </w:rPr>
      </w:pPr>
    </w:p>
    <w:p w14:paraId="7398D9C0"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The week before the scheduled hearing (Nov. 2022), Franzmeier’s wife checked him into an inpatient care facility for PTSD. Consequently, the ICA hearing was postponed to February 2023.</w:t>
      </w:r>
    </w:p>
    <w:p w14:paraId="49E68B4B" w14:textId="77777777" w:rsidR="005D4D24" w:rsidRPr="005D4D24" w:rsidRDefault="005D4D24" w:rsidP="005D4D24">
      <w:pPr>
        <w:pStyle w:val="NoSpacing"/>
        <w:ind w:left="720"/>
        <w:rPr>
          <w:rFonts w:ascii="Times New Roman" w:hAnsi="Times New Roman"/>
          <w:sz w:val="24"/>
          <w:szCs w:val="24"/>
        </w:rPr>
      </w:pPr>
    </w:p>
    <w:p w14:paraId="2C7A8F7E"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74DFA70B"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 xml:space="preserve">Franzmeier represented himself and, outside of his own testimony, called no witnesses. When asked why he had not requested a medical expert to testify on his behalf, Franzmeier responded, ‘I believe that the -- </w:t>
      </w:r>
      <w:proofErr w:type="spellStart"/>
      <w:r w:rsidRPr="005D4D24">
        <w:rPr>
          <w:rFonts w:ascii="Times New Roman" w:hAnsi="Times New Roman"/>
          <w:sz w:val="24"/>
          <w:szCs w:val="24"/>
        </w:rPr>
        <w:t>the</w:t>
      </w:r>
      <w:proofErr w:type="spellEnd"/>
      <w:r w:rsidRPr="005D4D24">
        <w:rPr>
          <w:rFonts w:ascii="Times New Roman" w:hAnsi="Times New Roman"/>
          <w:sz w:val="24"/>
          <w:szCs w:val="24"/>
        </w:rPr>
        <w:t xml:space="preserve"> incident speaks for itself as -- </w:t>
      </w:r>
      <w:proofErr w:type="spellStart"/>
      <w:r w:rsidRPr="005D4D24">
        <w:rPr>
          <w:rFonts w:ascii="Times New Roman" w:hAnsi="Times New Roman"/>
          <w:sz w:val="24"/>
          <w:szCs w:val="24"/>
        </w:rPr>
        <w:t>as</w:t>
      </w:r>
      <w:proofErr w:type="spellEnd"/>
      <w:r w:rsidRPr="005D4D24">
        <w:rPr>
          <w:rFonts w:ascii="Times New Roman" w:hAnsi="Times New Roman"/>
          <w:sz w:val="24"/>
          <w:szCs w:val="24"/>
        </w:rPr>
        <w:t xml:space="preserve"> far as -- </w:t>
      </w:r>
      <w:proofErr w:type="spellStart"/>
      <w:r w:rsidRPr="005D4D24">
        <w:rPr>
          <w:rFonts w:ascii="Times New Roman" w:hAnsi="Times New Roman"/>
          <w:sz w:val="24"/>
          <w:szCs w:val="24"/>
        </w:rPr>
        <w:t>as</w:t>
      </w:r>
      <w:proofErr w:type="spellEnd"/>
      <w:r w:rsidRPr="005D4D24">
        <w:rPr>
          <w:rFonts w:ascii="Times New Roman" w:hAnsi="Times New Roman"/>
          <w:sz w:val="24"/>
          <w:szCs w:val="24"/>
        </w:rPr>
        <w:t xml:space="preserve"> mathematical possibilities.’ Franzmeier then testified that he believed he contracted the</w:t>
      </w:r>
    </w:p>
    <w:p w14:paraId="43183BC5"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virus in August 2020 while at work, not while traveling to or from Maryland. In describing the injury he suffered, he recounted his PTSD symptoms and other cognitive events experienced in November 2021 and the months that followed. The ALJ asked Franzmeier whether he was asserting a claim that COVID-19 caused his mental health issues. Franzmeier testified that he had undergone an MRI that suggested ‘the possibility of a COVID claim because of COVID exposures,’ and further stated that the flashback he experienced in November 2021 ‘could be an exacerbation of COVID.’ But when the ALJ pressed whether any doctor had opined that COVID-19 caused his PTSD symptoms, Franzmeier admitted that none had. Franzmeier concluded his testimony by asserting that during the relevant ‘14-day incubation period,’ he had worked and slept for 304 hours (out of the 336 total hours), which he claimed established only a 10% probability that he became infected outside of work.”</w:t>
      </w:r>
    </w:p>
    <w:p w14:paraId="13B9C844" w14:textId="77777777" w:rsidR="005D4D24" w:rsidRPr="005D4D24" w:rsidRDefault="005D4D24" w:rsidP="005D4D24">
      <w:pPr>
        <w:pStyle w:val="NoSpacing"/>
        <w:ind w:left="720"/>
        <w:rPr>
          <w:rFonts w:ascii="Times New Roman" w:hAnsi="Times New Roman"/>
          <w:sz w:val="24"/>
          <w:szCs w:val="24"/>
        </w:rPr>
      </w:pPr>
    </w:p>
    <w:p w14:paraId="5944880E" w14:textId="77777777" w:rsidR="005D4D24" w:rsidRPr="005D4D24" w:rsidRDefault="005D4D24" w:rsidP="005D4D24">
      <w:pPr>
        <w:pStyle w:val="NoSpacing"/>
        <w:rPr>
          <w:rFonts w:ascii="Times New Roman" w:hAnsi="Times New Roman"/>
          <w:b/>
          <w:bCs/>
          <w:sz w:val="24"/>
          <w:szCs w:val="24"/>
        </w:rPr>
      </w:pPr>
      <w:r w:rsidRPr="005D4D24">
        <w:rPr>
          <w:rFonts w:ascii="Times New Roman" w:hAnsi="Times New Roman"/>
          <w:b/>
          <w:bCs/>
          <w:sz w:val="24"/>
          <w:szCs w:val="24"/>
        </w:rPr>
        <w:t>Legal Lesson Learned: The firefighter never offered any expert testimony or other proof that his PTSD was caused by exposure to COVID-19.</w:t>
      </w:r>
    </w:p>
    <w:p w14:paraId="36133904" w14:textId="77777777" w:rsidR="006547A0" w:rsidRDefault="006547A0" w:rsidP="000C4DF5">
      <w:pPr>
        <w:pStyle w:val="NoSpacing"/>
        <w:rPr>
          <w:rFonts w:ascii="Arial Black" w:hAnsi="Arial Black"/>
          <w:sz w:val="24"/>
          <w:szCs w:val="24"/>
        </w:rPr>
      </w:pPr>
    </w:p>
    <w:p w14:paraId="7E2A7071" w14:textId="77777777" w:rsidR="006547A0" w:rsidRDefault="006547A0" w:rsidP="000C4DF5">
      <w:pPr>
        <w:pStyle w:val="NoSpacing"/>
        <w:rPr>
          <w:rFonts w:ascii="Arial Black" w:hAnsi="Arial Black"/>
          <w:sz w:val="24"/>
          <w:szCs w:val="24"/>
        </w:rPr>
      </w:pPr>
    </w:p>
    <w:p w14:paraId="592AA11A" w14:textId="77777777" w:rsidR="006547A0" w:rsidRDefault="006547A0" w:rsidP="000C4DF5">
      <w:pPr>
        <w:pStyle w:val="NoSpacing"/>
        <w:rPr>
          <w:rFonts w:ascii="Arial Black" w:hAnsi="Arial Black"/>
          <w:sz w:val="24"/>
          <w:szCs w:val="24"/>
        </w:rPr>
      </w:pPr>
    </w:p>
    <w:p w14:paraId="2EFC7D46" w14:textId="3D2896B6" w:rsidR="003F2037" w:rsidRDefault="003F2037" w:rsidP="000C4DF5">
      <w:pPr>
        <w:pStyle w:val="NoSpacing"/>
        <w:rPr>
          <w:rFonts w:ascii="Arial Black" w:hAnsi="Arial Black"/>
          <w:sz w:val="24"/>
          <w:szCs w:val="24"/>
        </w:rPr>
      </w:pPr>
      <w:r>
        <w:rPr>
          <w:rFonts w:ascii="Arial Black" w:hAnsi="Arial Black"/>
          <w:sz w:val="24"/>
          <w:szCs w:val="24"/>
        </w:rPr>
        <w:t>15-33</w:t>
      </w:r>
    </w:p>
    <w:p w14:paraId="6498C0D0" w14:textId="4B45EBAE" w:rsidR="003F2037" w:rsidRPr="004A2F1A" w:rsidRDefault="003F2037" w:rsidP="003F2037">
      <w:pPr>
        <w:rPr>
          <w:rFonts w:ascii="Arial Black" w:hAnsi="Arial Black"/>
          <w:b/>
          <w:bCs/>
          <w:sz w:val="28"/>
        </w:rPr>
      </w:pPr>
      <w:r>
        <w:rPr>
          <w:rFonts w:ascii="Arial Black" w:hAnsi="Arial Black"/>
          <w:b/>
          <w:bCs/>
          <w:sz w:val="28"/>
        </w:rPr>
        <w:t xml:space="preserve">IL: FEMALE FF / MEDIC – PTSD AFTER FATHER’S DEATH – NO “LINE-OF-DUTY” PENSION – RECEIVES NON-DUTY PENSION </w:t>
      </w:r>
    </w:p>
    <w:p w14:paraId="5329C806"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lastRenderedPageBreak/>
        <w:t xml:space="preserve">On September 25, 2024, in </w:t>
      </w:r>
      <w:r w:rsidRPr="006547A0">
        <w:rPr>
          <w:rFonts w:ascii="Times New Roman" w:hAnsi="Times New Roman"/>
          <w:sz w:val="24"/>
          <w:szCs w:val="24"/>
          <w:u w:val="single"/>
        </w:rPr>
        <w:t>Cheryl Mayer v. The Board of Trustees of the Calumet City Firefighters Pension</w:t>
      </w:r>
      <w:r w:rsidRPr="006547A0">
        <w:rPr>
          <w:rFonts w:ascii="Times New Roman" w:hAnsi="Times New Roman"/>
          <w:sz w:val="24"/>
          <w:szCs w:val="24"/>
        </w:rPr>
        <w:t>, the Court of Appeals of Illinois, First District, Third Division, held (3 to 0) that the Board correctly denied her a “line-of-duty” pension based on findings of four independent medical evaluators, and the fact that prior to her father’s death in April, 2020, she could handle difficult EMS and other runs, including 2015 (active shooter scene), 2018 (suicide</w:t>
      </w:r>
    </w:p>
    <w:p w14:paraId="04EB6D91"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 xml:space="preserve">by hanging), and 2019 (suicide by self-inflicted gunshot wound).  The Court wrote: “Contrary to plaintiff’s contentions, the record reveals that the Board did not solely rely on the independent medical evaluators’ opinions as to the cause of her medical condition. The Board also relied on plaintiff’s own testimony, where she acknowledged that she did not abuse alcohol or suffer from depression or PTSD, until after her father’s death.” </w:t>
      </w:r>
      <w:hyperlink r:id="rId2347" w:history="1">
        <w:r w:rsidRPr="006547A0">
          <w:rPr>
            <w:rStyle w:val="Hyperlink"/>
            <w:rFonts w:ascii="Times New Roman" w:hAnsi="Times New Roman"/>
            <w:sz w:val="24"/>
            <w:szCs w:val="24"/>
          </w:rPr>
          <w:t>https://ilcourtsaudio.blob.core.windows.net/antilles-resources/resources/519d3cc5-abe9-4494-b624-73bca90ee228/Mayer%20v.%20%20Calumet%20Firefighters%20Pension%20Fund,%202024%20IL%20App%20(1st)%20232059-U.pdf</w:t>
        </w:r>
      </w:hyperlink>
      <w:r w:rsidRPr="006547A0">
        <w:rPr>
          <w:rFonts w:ascii="Times New Roman" w:hAnsi="Times New Roman"/>
          <w:sz w:val="24"/>
          <w:szCs w:val="24"/>
        </w:rPr>
        <w:t xml:space="preserve"> </w:t>
      </w:r>
    </w:p>
    <w:p w14:paraId="56D70FEB" w14:textId="77777777" w:rsidR="003F2037" w:rsidRPr="006547A0" w:rsidRDefault="003F2037" w:rsidP="003F2037">
      <w:pPr>
        <w:pStyle w:val="NoSpacing"/>
        <w:rPr>
          <w:rFonts w:ascii="Times New Roman" w:hAnsi="Times New Roman"/>
          <w:sz w:val="24"/>
          <w:szCs w:val="24"/>
        </w:rPr>
      </w:pPr>
    </w:p>
    <w:p w14:paraId="138A85B6"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THE COURT HELD:</w:t>
      </w:r>
    </w:p>
    <w:p w14:paraId="44385AB4" w14:textId="77777777" w:rsidR="003F2037" w:rsidRPr="006547A0" w:rsidRDefault="003F2037" w:rsidP="003F2037">
      <w:pPr>
        <w:pStyle w:val="NoSpacing"/>
        <w:rPr>
          <w:rFonts w:ascii="Times New Roman" w:hAnsi="Times New Roman"/>
          <w:sz w:val="24"/>
          <w:szCs w:val="24"/>
        </w:rPr>
      </w:pPr>
    </w:p>
    <w:p w14:paraId="40FC7F16"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ab/>
        <w:t>“To be entitled to a line-of-duty disability pension, a claimant is required to establish a</w:t>
      </w:r>
    </w:p>
    <w:p w14:paraId="31A444B6"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causal connection between the claimant’s disability and an act of duty.</w:t>
      </w:r>
    </w:p>
    <w:p w14:paraId="05ECCC2B" w14:textId="77777777" w:rsidR="003F2037" w:rsidRPr="006547A0" w:rsidRDefault="003F2037" w:rsidP="003F2037">
      <w:pPr>
        <w:pStyle w:val="NoSpacing"/>
        <w:ind w:firstLine="720"/>
        <w:rPr>
          <w:rFonts w:ascii="Times New Roman" w:hAnsi="Times New Roman"/>
          <w:sz w:val="24"/>
          <w:szCs w:val="24"/>
        </w:rPr>
      </w:pPr>
    </w:p>
    <w:p w14:paraId="68613D20"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w:t>
      </w:r>
    </w:p>
    <w:p w14:paraId="7572D49B"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Here, the independent medical evaluators all agreed that plaintiff suffered from preexisting mental and emotional issues that contributed to her disability, namely, depression, anxiety disorder, and PTSD. The issue is whether plaintiff’s preexisting conditions were aggravated by her duties as a firefighter/paramedic, thereby establishing a causal connection between her disability and service as a firefighter/paramedic.</w:t>
      </w:r>
    </w:p>
    <w:p w14:paraId="5153324C" w14:textId="77777777" w:rsidR="003F2037" w:rsidRPr="006547A0" w:rsidRDefault="003F2037" w:rsidP="003F2037">
      <w:pPr>
        <w:pStyle w:val="NoSpacing"/>
        <w:ind w:left="720"/>
        <w:rPr>
          <w:rFonts w:ascii="Times New Roman" w:hAnsi="Times New Roman"/>
          <w:sz w:val="24"/>
          <w:szCs w:val="24"/>
        </w:rPr>
      </w:pPr>
    </w:p>
    <w:p w14:paraId="7FBD6E57"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213EEC8E" w14:textId="77777777" w:rsidR="003F2037" w:rsidRPr="006547A0" w:rsidRDefault="003F2037" w:rsidP="003F2037">
      <w:pPr>
        <w:pStyle w:val="NoSpacing"/>
        <w:rPr>
          <w:rFonts w:ascii="Times New Roman" w:hAnsi="Times New Roman"/>
          <w:sz w:val="24"/>
          <w:szCs w:val="24"/>
        </w:rPr>
      </w:pPr>
    </w:p>
    <w:p w14:paraId="0605BB43"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Contrary to plaintiff’s contentions, the record reveals that the Board did not solely rely on</w:t>
      </w:r>
    </w:p>
    <w:p w14:paraId="24EDAB3E"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the independent medical evaluators’ opinions as to the cause of her medical condition. The Board also relied on plaintiff’s own testimony, where she acknowledged that she did not abuse alcohol or suffer from depression or PTSD, until after her father’s death. The documentary evidence and testimony presented at the administrative hearing gave rise to a factual issue concerning whether plaintiff’s preexisting conditions were aggravated by her duties as a firefighter/paramedic.</w:t>
      </w:r>
    </w:p>
    <w:p w14:paraId="4CCF4250" w14:textId="77777777" w:rsidR="003F2037" w:rsidRPr="006547A0" w:rsidRDefault="003F2037" w:rsidP="003F2037">
      <w:pPr>
        <w:pStyle w:val="NoSpacing"/>
        <w:ind w:left="720"/>
        <w:rPr>
          <w:rFonts w:ascii="Times New Roman" w:hAnsi="Times New Roman"/>
          <w:sz w:val="24"/>
          <w:szCs w:val="24"/>
        </w:rPr>
      </w:pPr>
    </w:p>
    <w:p w14:paraId="462FDA44"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34D54F6D"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The Board made a factual finding that plaintiff failed to meet her burden of establishing a</w:t>
      </w:r>
    </w:p>
    <w:p w14:paraId="7654D193"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 xml:space="preserve">causal connection between her preexisting conditions and her duties as a firefighter/paramedic. </w:t>
      </w:r>
      <w:proofErr w:type="gramStart"/>
      <w:r w:rsidRPr="006547A0">
        <w:rPr>
          <w:rFonts w:ascii="Times New Roman" w:hAnsi="Times New Roman"/>
          <w:sz w:val="24"/>
          <w:szCs w:val="24"/>
        </w:rPr>
        <w:t>In light of</w:t>
      </w:r>
      <w:proofErr w:type="gramEnd"/>
      <w:r w:rsidRPr="006547A0">
        <w:rPr>
          <w:rFonts w:ascii="Times New Roman" w:hAnsi="Times New Roman"/>
          <w:sz w:val="24"/>
          <w:szCs w:val="24"/>
        </w:rPr>
        <w:t xml:space="preserve"> the record before us, and the deference we must afford to a board’s credibility determinations and factual findings, we cannot say that the Board’s finding that plaintiff failed to meet her burden of proof was against the manifest weight of the evidence. We find that the Board’s </w:t>
      </w:r>
      <w:proofErr w:type="gramStart"/>
      <w:r w:rsidRPr="006547A0">
        <w:rPr>
          <w:rFonts w:ascii="Times New Roman" w:hAnsi="Times New Roman"/>
          <w:sz w:val="24"/>
          <w:szCs w:val="24"/>
        </w:rPr>
        <w:t>finding was</w:t>
      </w:r>
      <w:proofErr w:type="gramEnd"/>
      <w:r w:rsidRPr="006547A0">
        <w:rPr>
          <w:rFonts w:ascii="Times New Roman" w:hAnsi="Times New Roman"/>
          <w:sz w:val="24"/>
          <w:szCs w:val="24"/>
        </w:rPr>
        <w:t xml:space="preserve"> supported by competent </w:t>
      </w:r>
      <w:proofErr w:type="gramStart"/>
      <w:r w:rsidRPr="006547A0">
        <w:rPr>
          <w:rFonts w:ascii="Times New Roman" w:hAnsi="Times New Roman"/>
          <w:sz w:val="24"/>
          <w:szCs w:val="24"/>
        </w:rPr>
        <w:t>evidence.”</w:t>
      </w:r>
      <w:proofErr w:type="gramEnd"/>
    </w:p>
    <w:p w14:paraId="2EF8F176" w14:textId="77777777" w:rsidR="003F2037" w:rsidRPr="006547A0" w:rsidRDefault="003F2037" w:rsidP="003F2037">
      <w:pPr>
        <w:pStyle w:val="NoSpacing"/>
        <w:ind w:left="720"/>
        <w:rPr>
          <w:rFonts w:ascii="Times New Roman" w:hAnsi="Times New Roman"/>
          <w:sz w:val="24"/>
          <w:szCs w:val="24"/>
        </w:rPr>
      </w:pPr>
    </w:p>
    <w:p w14:paraId="1F53F57D"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FACTS:</w:t>
      </w:r>
    </w:p>
    <w:p w14:paraId="72FD8A08" w14:textId="77777777" w:rsidR="003F2037" w:rsidRPr="006547A0" w:rsidRDefault="003F2037" w:rsidP="003F2037">
      <w:pPr>
        <w:pStyle w:val="NoSpacing"/>
        <w:rPr>
          <w:rFonts w:ascii="Times New Roman" w:hAnsi="Times New Roman"/>
          <w:sz w:val="24"/>
          <w:szCs w:val="24"/>
        </w:rPr>
      </w:pPr>
    </w:p>
    <w:p w14:paraId="03A55C02"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“Plaintiff was 46 years old at the time of the hearing and the married mother of two sons,</w:t>
      </w:r>
    </w:p>
    <w:p w14:paraId="79C75904" w14:textId="77777777" w:rsidR="003F2037" w:rsidRPr="006547A0" w:rsidRDefault="003F2037" w:rsidP="003F2037">
      <w:pPr>
        <w:pStyle w:val="NoSpacing"/>
        <w:ind w:left="720"/>
        <w:rPr>
          <w:rFonts w:ascii="Times New Roman" w:hAnsi="Times New Roman"/>
          <w:sz w:val="24"/>
          <w:szCs w:val="24"/>
        </w:rPr>
      </w:pPr>
      <w:proofErr w:type="gramStart"/>
      <w:r w:rsidRPr="006547A0">
        <w:rPr>
          <w:rFonts w:ascii="Times New Roman" w:hAnsi="Times New Roman"/>
          <w:sz w:val="24"/>
          <w:szCs w:val="24"/>
        </w:rPr>
        <w:t>both over</w:t>
      </w:r>
      <w:proofErr w:type="gramEnd"/>
      <w:r w:rsidRPr="006547A0">
        <w:rPr>
          <w:rFonts w:ascii="Times New Roman" w:hAnsi="Times New Roman"/>
          <w:sz w:val="24"/>
          <w:szCs w:val="24"/>
        </w:rPr>
        <w:t xml:space="preserve"> twenty-one years of age. Plaintiff’s background included instances of domestic conflict between her mother and father; the murder of her older brother when she was nine years old; sexual molestation by a neighbor’s teenaged son when she was ten and eleven years old; and verbal and physical abuse by her mother, until she left home at eighteen. In 1998, plaintiff was successfully treated with Zoloft for post-partum depression after the birth of her second son.</w:t>
      </w:r>
    </w:p>
    <w:p w14:paraId="6FAEF9AB" w14:textId="77777777" w:rsidR="003F2037" w:rsidRPr="006547A0" w:rsidRDefault="003F2037" w:rsidP="003F2037">
      <w:pPr>
        <w:pStyle w:val="NoSpacing"/>
        <w:rPr>
          <w:rFonts w:ascii="Times New Roman" w:hAnsi="Times New Roman"/>
          <w:sz w:val="24"/>
          <w:szCs w:val="24"/>
        </w:rPr>
      </w:pPr>
    </w:p>
    <w:p w14:paraId="26AD01D8"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ab/>
        <w:t>***</w:t>
      </w:r>
    </w:p>
    <w:p w14:paraId="562C8486" w14:textId="77777777" w:rsidR="003F2037" w:rsidRPr="006547A0" w:rsidRDefault="003F2037" w:rsidP="003F2037">
      <w:pPr>
        <w:pStyle w:val="NoSpacing"/>
        <w:rPr>
          <w:rFonts w:ascii="Times New Roman" w:hAnsi="Times New Roman"/>
          <w:sz w:val="24"/>
          <w:szCs w:val="24"/>
        </w:rPr>
      </w:pPr>
    </w:p>
    <w:p w14:paraId="04E4E658"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Plaintiff joined the Calumet Fire Department as a firefighter/paramedic on March 1, 2009. Before she was hired, plaintiff underwent and passed physical and psychological examinations. She was neither diagnosed with nor receiving treatment for any psychiatric conditions.</w:t>
      </w:r>
    </w:p>
    <w:p w14:paraId="5C657364" w14:textId="77777777" w:rsidR="003F2037" w:rsidRPr="006547A0" w:rsidRDefault="003F2037" w:rsidP="003F2037">
      <w:pPr>
        <w:pStyle w:val="NoSpacing"/>
        <w:ind w:left="720"/>
        <w:rPr>
          <w:rFonts w:ascii="Times New Roman" w:hAnsi="Times New Roman"/>
          <w:sz w:val="24"/>
          <w:szCs w:val="24"/>
        </w:rPr>
      </w:pPr>
    </w:p>
    <w:p w14:paraId="3B08B0B9"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57708A8A" w14:textId="77777777" w:rsidR="003F2037" w:rsidRPr="006547A0" w:rsidRDefault="003F2037" w:rsidP="003F2037">
      <w:pPr>
        <w:pStyle w:val="NoSpacing"/>
        <w:rPr>
          <w:rFonts w:ascii="Times New Roman" w:hAnsi="Times New Roman"/>
          <w:sz w:val="24"/>
          <w:szCs w:val="24"/>
        </w:rPr>
      </w:pPr>
    </w:p>
    <w:p w14:paraId="137FA81A"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In July 2020, plaintiff began receiving psychological counseling from Dr. Katie Johnson,</w:t>
      </w:r>
    </w:p>
    <w:p w14:paraId="2360AA5D"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 xml:space="preserve">a licensed clinical professional counselor. On August 14, 2020, plaintiff reported to Johnson that she had suicidal ideations and had posted to Facebook that she put a firearm </w:t>
      </w:r>
      <w:proofErr w:type="gramStart"/>
      <w:r w:rsidRPr="006547A0">
        <w:rPr>
          <w:rFonts w:ascii="Times New Roman" w:hAnsi="Times New Roman"/>
          <w:sz w:val="24"/>
          <w:szCs w:val="24"/>
        </w:rPr>
        <w:t>to</w:t>
      </w:r>
      <w:proofErr w:type="gramEnd"/>
      <w:r w:rsidRPr="006547A0">
        <w:rPr>
          <w:rFonts w:ascii="Times New Roman" w:hAnsi="Times New Roman"/>
          <w:sz w:val="24"/>
          <w:szCs w:val="24"/>
        </w:rPr>
        <w:t xml:space="preserve"> her head and contemplated committing suicide. Plaintiff was eventually referred to Dr. Kelsey Oster, for a neuropsychological evaluation. She was admitted into a 28-day inpatient substance-abuse program at Advanced Recovery Systems in Orlando, Florida. Plaintiff testified that the program helped her stop drinking. After her discharge from the program, plaintiff continued working full duty without restrictions. At the time of the hearing, plaintiff was still seeing Dr. Johnson ‘every week to two weeks.’</w:t>
      </w:r>
    </w:p>
    <w:p w14:paraId="4E747F1C" w14:textId="77777777" w:rsidR="003F2037" w:rsidRPr="006547A0" w:rsidRDefault="003F2037" w:rsidP="003F2037">
      <w:pPr>
        <w:pStyle w:val="NoSpacing"/>
        <w:ind w:left="720"/>
        <w:rPr>
          <w:rFonts w:ascii="Times New Roman" w:hAnsi="Times New Roman"/>
          <w:sz w:val="24"/>
          <w:szCs w:val="24"/>
        </w:rPr>
      </w:pPr>
    </w:p>
    <w:p w14:paraId="663D4064"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56DC39C2" w14:textId="77777777" w:rsidR="003F2037" w:rsidRPr="006547A0" w:rsidRDefault="003F2037" w:rsidP="003F2037">
      <w:pPr>
        <w:pStyle w:val="NoSpacing"/>
        <w:rPr>
          <w:rFonts w:ascii="Times New Roman" w:hAnsi="Times New Roman"/>
          <w:sz w:val="24"/>
          <w:szCs w:val="24"/>
        </w:rPr>
      </w:pPr>
    </w:p>
    <w:p w14:paraId="59A0A3DD"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On February 12, 2021, plaintiff responded to a call involving a man in full cardiac arrest.</w:t>
      </w:r>
    </w:p>
    <w:p w14:paraId="02BB2DB4"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As plaintiff was attempting resuscitation efforts, a female family member, who did not have a ‘do-not-resuscitate’ order or a power of attorney, started yelling not to touch him. When plaintiff’s supervisor instructed emergency personnel to honor the woman’s wishes, plaintiff became upset and asked why they were not following the pandemic protocols. Plaintiff left the house and began complaining and swearing to a nearby police officer. Plaintiff returned to the station, but did not finish her shift, claiming she was sick and needed to go home. That was the last day plaintiff worked in a full and unrestricted capacity as a firefighter/paramedic for the Calumet Fire Department.”</w:t>
      </w:r>
    </w:p>
    <w:p w14:paraId="61D512C1" w14:textId="77777777" w:rsidR="003F2037" w:rsidRPr="006547A0" w:rsidRDefault="003F2037" w:rsidP="003F2037">
      <w:pPr>
        <w:pStyle w:val="NoSpacing"/>
        <w:ind w:left="720"/>
        <w:rPr>
          <w:rFonts w:ascii="Times New Roman" w:hAnsi="Times New Roman"/>
          <w:sz w:val="24"/>
          <w:szCs w:val="24"/>
        </w:rPr>
      </w:pPr>
    </w:p>
    <w:p w14:paraId="463D5114" w14:textId="77777777" w:rsidR="003F2037" w:rsidRPr="006547A0" w:rsidRDefault="003F2037" w:rsidP="003F2037">
      <w:pPr>
        <w:pStyle w:val="NoSpacing"/>
        <w:rPr>
          <w:rFonts w:ascii="Times New Roman" w:hAnsi="Times New Roman"/>
          <w:b/>
          <w:bCs/>
          <w:sz w:val="24"/>
          <w:szCs w:val="24"/>
        </w:rPr>
      </w:pPr>
      <w:r w:rsidRPr="006547A0">
        <w:rPr>
          <w:rFonts w:ascii="Times New Roman" w:hAnsi="Times New Roman"/>
          <w:b/>
          <w:bCs/>
          <w:sz w:val="24"/>
          <w:szCs w:val="24"/>
        </w:rPr>
        <w:t xml:space="preserve">Legal Lesson Learned: The Board’s independent medical experts found that she could perform her duties as firefighter / medic, despite her anxiety and depression, until death of her father.   </w:t>
      </w:r>
    </w:p>
    <w:p w14:paraId="395C4A60" w14:textId="77777777" w:rsidR="003F2037" w:rsidRPr="006547A0" w:rsidRDefault="003F2037" w:rsidP="003F2037">
      <w:pPr>
        <w:pStyle w:val="NoSpacing"/>
        <w:rPr>
          <w:rFonts w:ascii="Times New Roman" w:hAnsi="Times New Roman"/>
          <w:sz w:val="24"/>
          <w:szCs w:val="24"/>
        </w:rPr>
      </w:pPr>
    </w:p>
    <w:p w14:paraId="249E241C"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 xml:space="preserve">Note:  Dr. </w:t>
      </w:r>
      <w:proofErr w:type="spellStart"/>
      <w:r w:rsidRPr="006547A0">
        <w:rPr>
          <w:rFonts w:ascii="Times New Roman" w:hAnsi="Times New Roman"/>
          <w:sz w:val="24"/>
          <w:szCs w:val="24"/>
        </w:rPr>
        <w:t>Ganellen</w:t>
      </w:r>
      <w:proofErr w:type="spellEnd"/>
      <w:r w:rsidRPr="006547A0">
        <w:rPr>
          <w:rFonts w:ascii="Times New Roman" w:hAnsi="Times New Roman"/>
          <w:sz w:val="24"/>
          <w:szCs w:val="24"/>
        </w:rPr>
        <w:t xml:space="preserve"> noted that plaintiff’s medical records revealed she was being treated for anxiety and depression as early as 2018, but that these conditions “markedly” worsened after the death of her father in April 2020.</w:t>
      </w:r>
    </w:p>
    <w:p w14:paraId="61DC1AD7" w14:textId="77777777" w:rsidR="003F2037" w:rsidRPr="006547A0" w:rsidRDefault="003F2037" w:rsidP="003F2037">
      <w:pPr>
        <w:pStyle w:val="NoSpacing"/>
        <w:ind w:left="720"/>
        <w:rPr>
          <w:rFonts w:ascii="Times New Roman" w:hAnsi="Times New Roman"/>
          <w:sz w:val="24"/>
          <w:szCs w:val="24"/>
        </w:rPr>
      </w:pPr>
    </w:p>
    <w:p w14:paraId="53FE8DAF"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678E5BC5" w14:textId="77777777" w:rsidR="003F2037" w:rsidRPr="006547A0" w:rsidRDefault="003F2037" w:rsidP="003F2037">
      <w:pPr>
        <w:pStyle w:val="NoSpacing"/>
        <w:rPr>
          <w:rFonts w:ascii="Times New Roman" w:hAnsi="Times New Roman"/>
          <w:sz w:val="24"/>
          <w:szCs w:val="24"/>
        </w:rPr>
      </w:pPr>
    </w:p>
    <w:p w14:paraId="5B6395AB"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Dr. Conroe noted that plaintiff exhibited symptoms of anxiety and depression prior to her father’s death, but that ‘they were moderate and did not interfere with her functioning at work.’ According to the doctor, the death of plaintiff’s father ‘lessened her stress tolerance and affected her ability to respond appropriately to similar subsequent emergencies.’ Dr. Conroe determined that work events ‘were not the cause of [plaintiff’s] disability, but rather her father’s death and the surrounding circumstances fueled her emotional reactions to these demanding situations.’”</w:t>
      </w:r>
    </w:p>
    <w:p w14:paraId="4D44D47E" w14:textId="77777777" w:rsidR="003F2037" w:rsidRDefault="003F2037" w:rsidP="000C4DF5">
      <w:pPr>
        <w:pStyle w:val="NoSpacing"/>
        <w:rPr>
          <w:rFonts w:ascii="Arial Black" w:hAnsi="Arial Black"/>
          <w:sz w:val="24"/>
          <w:szCs w:val="24"/>
        </w:rPr>
      </w:pPr>
    </w:p>
    <w:p w14:paraId="7725BE34" w14:textId="77777777" w:rsidR="003F2037" w:rsidRDefault="003F2037" w:rsidP="000C4DF5">
      <w:pPr>
        <w:pStyle w:val="NoSpacing"/>
        <w:rPr>
          <w:rFonts w:ascii="Arial Black" w:hAnsi="Arial Black"/>
          <w:sz w:val="24"/>
          <w:szCs w:val="24"/>
        </w:rPr>
      </w:pPr>
    </w:p>
    <w:p w14:paraId="329FE35D" w14:textId="77777777" w:rsidR="003F2037" w:rsidRDefault="003F2037" w:rsidP="000C4DF5">
      <w:pPr>
        <w:pStyle w:val="NoSpacing"/>
        <w:rPr>
          <w:rFonts w:ascii="Arial Black" w:hAnsi="Arial Black"/>
          <w:sz w:val="24"/>
          <w:szCs w:val="24"/>
        </w:rPr>
      </w:pPr>
    </w:p>
    <w:p w14:paraId="425F8798" w14:textId="7DFECA32" w:rsidR="00AB3777" w:rsidRDefault="00AB3777" w:rsidP="000C4DF5">
      <w:pPr>
        <w:pStyle w:val="NoSpacing"/>
        <w:rPr>
          <w:rFonts w:ascii="Arial Black" w:hAnsi="Arial Black"/>
          <w:sz w:val="24"/>
          <w:szCs w:val="24"/>
        </w:rPr>
      </w:pPr>
      <w:r>
        <w:rPr>
          <w:rFonts w:ascii="Arial Black" w:hAnsi="Arial Black"/>
          <w:sz w:val="24"/>
          <w:szCs w:val="24"/>
        </w:rPr>
        <w:t>15-32</w:t>
      </w:r>
    </w:p>
    <w:p w14:paraId="1B018D5B" w14:textId="77777777" w:rsidR="00AB3777" w:rsidRDefault="00AB3777" w:rsidP="000C4DF5">
      <w:pPr>
        <w:pStyle w:val="NoSpacing"/>
        <w:rPr>
          <w:rFonts w:ascii="Arial Black" w:hAnsi="Arial Black"/>
          <w:sz w:val="24"/>
          <w:szCs w:val="24"/>
        </w:rPr>
      </w:pPr>
    </w:p>
    <w:p w14:paraId="5676A8E1" w14:textId="78952469" w:rsidR="009622FF" w:rsidRPr="003066C5" w:rsidRDefault="009622FF" w:rsidP="009622FF">
      <w:pPr>
        <w:rPr>
          <w:rFonts w:ascii="Arial Black" w:hAnsi="Arial Black"/>
          <w:b/>
          <w:bCs/>
          <w:sz w:val="28"/>
          <w:szCs w:val="28"/>
        </w:rPr>
      </w:pPr>
      <w:r>
        <w:rPr>
          <w:rFonts w:ascii="Arial Black" w:hAnsi="Arial Black"/>
          <w:b/>
          <w:bCs/>
          <w:sz w:val="28"/>
          <w:szCs w:val="28"/>
        </w:rPr>
        <w:t>ME: DROWNING / PSYCH - FF SHOUTED: “GONNA KICK HIS ASS IF HE GETS OUT OF THAT WATER” – CASE DISMISSED</w:t>
      </w:r>
    </w:p>
    <w:p w14:paraId="2139B35B" w14:textId="77777777" w:rsidR="009622FF" w:rsidRDefault="009622FF" w:rsidP="009622FF">
      <w:pPr>
        <w:jc w:val="both"/>
        <w:rPr>
          <w:rFonts w:ascii="Times New Roman" w:hAnsi="Times New Roman"/>
          <w:sz w:val="24"/>
          <w:szCs w:val="24"/>
        </w:rPr>
      </w:pPr>
      <w:r>
        <w:rPr>
          <w:rFonts w:ascii="Times New Roman" w:hAnsi="Times New Roman"/>
          <w:sz w:val="24"/>
          <w:szCs w:val="24"/>
        </w:rPr>
        <w:lastRenderedPageBreak/>
        <w:t xml:space="preserve">On Aug. 1, 2024, in </w:t>
      </w:r>
      <w:r w:rsidRPr="002D27CC">
        <w:rPr>
          <w:rFonts w:ascii="Times New Roman" w:hAnsi="Times New Roman"/>
          <w:sz w:val="24"/>
          <w:szCs w:val="24"/>
          <w:u w:val="single"/>
        </w:rPr>
        <w:t>John Cohen v. City of Portland, et al.</w:t>
      </w:r>
      <w:r>
        <w:rPr>
          <w:rFonts w:ascii="Times New Roman" w:hAnsi="Times New Roman"/>
          <w:sz w:val="24"/>
          <w:szCs w:val="24"/>
        </w:rPr>
        <w:t>, the U.S. Court of Appeals for 1</w:t>
      </w:r>
      <w:r w:rsidRPr="002D27CC">
        <w:rPr>
          <w:rFonts w:ascii="Times New Roman" w:hAnsi="Times New Roman"/>
          <w:sz w:val="24"/>
          <w:szCs w:val="24"/>
          <w:vertAlign w:val="superscript"/>
        </w:rPr>
        <w:t>st</w:t>
      </w:r>
      <w:r>
        <w:rPr>
          <w:rFonts w:ascii="Times New Roman" w:hAnsi="Times New Roman"/>
          <w:sz w:val="24"/>
          <w:szCs w:val="24"/>
        </w:rPr>
        <w:t xml:space="preserve"> Circuit (Boston), held (3 to 0) that Federal District Court judge properly granted summary judgment to City, police officers and the firefighter who made the “kick ass” comments.  </w:t>
      </w:r>
      <w:proofErr w:type="spellStart"/>
      <w:r>
        <w:rPr>
          <w:rFonts w:ascii="Times New Roman" w:hAnsi="Times New Roman"/>
          <w:sz w:val="24"/>
          <w:szCs w:val="24"/>
        </w:rPr>
        <w:t>Regardling</w:t>
      </w:r>
      <w:proofErr w:type="spellEnd"/>
      <w:r>
        <w:rPr>
          <w:rFonts w:ascii="Times New Roman" w:hAnsi="Times New Roman"/>
          <w:sz w:val="24"/>
          <w:szCs w:val="24"/>
        </w:rPr>
        <w:t xml:space="preserve"> the claim against the firefighter, on appeal “</w:t>
      </w:r>
      <w:r w:rsidRPr="00A85C9C">
        <w:rPr>
          <w:rFonts w:ascii="Times New Roman" w:hAnsi="Times New Roman"/>
          <w:sz w:val="24"/>
          <w:szCs w:val="24"/>
        </w:rPr>
        <w:t xml:space="preserve">the estate simply asserts that Cohen was in shallow water, and therefore </w:t>
      </w:r>
      <w:r>
        <w:rPr>
          <w:rFonts w:ascii="Times New Roman" w:hAnsi="Times New Roman"/>
          <w:sz w:val="24"/>
          <w:szCs w:val="24"/>
        </w:rPr>
        <w:t>‘</w:t>
      </w:r>
      <w:r w:rsidRPr="00A85C9C">
        <w:rPr>
          <w:rFonts w:ascii="Times New Roman" w:hAnsi="Times New Roman"/>
          <w:sz w:val="24"/>
          <w:szCs w:val="24"/>
        </w:rPr>
        <w:t>may have been able to come out of the water</w:t>
      </w:r>
      <w:r>
        <w:rPr>
          <w:rFonts w:ascii="Times New Roman" w:hAnsi="Times New Roman"/>
          <w:sz w:val="24"/>
          <w:szCs w:val="24"/>
        </w:rPr>
        <w:t>’</w:t>
      </w:r>
      <w:r w:rsidRPr="00A85C9C">
        <w:rPr>
          <w:rFonts w:ascii="Times New Roman" w:hAnsi="Times New Roman"/>
          <w:sz w:val="24"/>
          <w:szCs w:val="24"/>
        </w:rPr>
        <w:t xml:space="preserve"> absent </w:t>
      </w:r>
      <w:r>
        <w:rPr>
          <w:rFonts w:ascii="Times New Roman" w:hAnsi="Times New Roman"/>
          <w:sz w:val="24"/>
          <w:szCs w:val="24"/>
        </w:rPr>
        <w:t xml:space="preserve">[firefighter Ronald] </w:t>
      </w:r>
      <w:r w:rsidRPr="00A85C9C">
        <w:rPr>
          <w:rFonts w:ascii="Times New Roman" w:hAnsi="Times New Roman"/>
          <w:sz w:val="24"/>
          <w:szCs w:val="24"/>
        </w:rPr>
        <w:t>Giroux's threat. Even if we assume that Cohen could have come out of the water in defiance of Giroux's bellowed threat, this assumption would not justify finding that (1) he would have done so, (2) he would have done so before the rescue boat arrived, or (3) doing so would have prevented his eventual death.</w:t>
      </w:r>
      <w:r>
        <w:rPr>
          <w:rFonts w:ascii="Times New Roman" w:hAnsi="Times New Roman"/>
          <w:sz w:val="24"/>
          <w:szCs w:val="24"/>
        </w:rPr>
        <w:t xml:space="preserve">” </w:t>
      </w:r>
      <w:hyperlink r:id="rId2348" w:history="1">
        <w:r w:rsidRPr="005A083B">
          <w:rPr>
            <w:rStyle w:val="Hyperlink"/>
            <w:rFonts w:ascii="Times New Roman" w:hAnsi="Times New Roman"/>
            <w:sz w:val="24"/>
            <w:szCs w:val="24"/>
          </w:rPr>
          <w:t>https://caselaw.findlaw.com/court/us-1st-circuit/116442772.html</w:t>
        </w:r>
      </w:hyperlink>
      <w:r>
        <w:rPr>
          <w:rFonts w:ascii="Times New Roman" w:hAnsi="Times New Roman"/>
          <w:sz w:val="24"/>
          <w:szCs w:val="24"/>
        </w:rPr>
        <w:t xml:space="preserve"> </w:t>
      </w:r>
    </w:p>
    <w:p w14:paraId="3DA267F3" w14:textId="77777777" w:rsidR="009622FF" w:rsidRDefault="009622FF" w:rsidP="009622FF">
      <w:pPr>
        <w:rPr>
          <w:rFonts w:ascii="Times New Roman" w:hAnsi="Times New Roman"/>
          <w:sz w:val="24"/>
          <w:szCs w:val="24"/>
        </w:rPr>
      </w:pPr>
      <w:r>
        <w:rPr>
          <w:rFonts w:ascii="Times New Roman" w:hAnsi="Times New Roman"/>
          <w:sz w:val="24"/>
          <w:szCs w:val="24"/>
        </w:rPr>
        <w:t>THE COURT HELD:</w:t>
      </w:r>
    </w:p>
    <w:p w14:paraId="1A7AB078" w14:textId="77777777" w:rsidR="009622FF" w:rsidRPr="0039533E" w:rsidRDefault="009622FF" w:rsidP="009622FF">
      <w:pPr>
        <w:ind w:left="720"/>
        <w:rPr>
          <w:rFonts w:ascii="Times New Roman" w:hAnsi="Times New Roman"/>
          <w:sz w:val="24"/>
          <w:szCs w:val="24"/>
        </w:rPr>
      </w:pPr>
      <w:r w:rsidRPr="0039533E">
        <w:rPr>
          <w:rFonts w:ascii="Times New Roman" w:hAnsi="Times New Roman"/>
          <w:sz w:val="24"/>
          <w:szCs w:val="24"/>
        </w:rPr>
        <w:t xml:space="preserve">“We first consider the state-created danger claim against Giroux. Giroux arrived at the Back Cove at 1:42 p.m. Cohen had already been in the water for around twenty minutes. Giroux did not know that Cohen was </w:t>
      </w:r>
      <w:proofErr w:type="gramStart"/>
      <w:r w:rsidRPr="0039533E">
        <w:rPr>
          <w:rFonts w:ascii="Times New Roman" w:hAnsi="Times New Roman"/>
          <w:sz w:val="24"/>
          <w:szCs w:val="24"/>
        </w:rPr>
        <w:t>in the midst of</w:t>
      </w:r>
      <w:proofErr w:type="gramEnd"/>
      <w:r w:rsidRPr="0039533E">
        <w:rPr>
          <w:rFonts w:ascii="Times New Roman" w:hAnsi="Times New Roman"/>
          <w:sz w:val="24"/>
          <w:szCs w:val="24"/>
        </w:rPr>
        <w:t xml:space="preserve"> a psychotic episode. He knew only that Cohen had assaulted his girlfriend before fleeing into the water. At 1:43 p.m., Giroux called out: “Tell him we're </w:t>
      </w:r>
      <w:proofErr w:type="spellStart"/>
      <w:r w:rsidRPr="0039533E">
        <w:rPr>
          <w:rFonts w:ascii="Times New Roman" w:hAnsi="Times New Roman"/>
          <w:sz w:val="24"/>
          <w:szCs w:val="24"/>
        </w:rPr>
        <w:t>gonna</w:t>
      </w:r>
      <w:proofErr w:type="spellEnd"/>
      <w:r w:rsidRPr="0039533E">
        <w:rPr>
          <w:rFonts w:ascii="Times New Roman" w:hAnsi="Times New Roman"/>
          <w:sz w:val="24"/>
          <w:szCs w:val="24"/>
        </w:rPr>
        <w:t xml:space="preserve"> kick his ass if he gets out of that water.” Giroux's only other involvement at the scene was to hand</w:t>
      </w:r>
      <w:r>
        <w:rPr>
          <w:rFonts w:ascii="Times New Roman" w:hAnsi="Times New Roman"/>
          <w:sz w:val="24"/>
          <w:szCs w:val="24"/>
        </w:rPr>
        <w:t xml:space="preserve"> [Police Sergeant Michael]</w:t>
      </w:r>
      <w:r w:rsidRPr="0039533E">
        <w:rPr>
          <w:rFonts w:ascii="Times New Roman" w:hAnsi="Times New Roman"/>
          <w:sz w:val="24"/>
          <w:szCs w:val="24"/>
        </w:rPr>
        <w:t xml:space="preserve"> Rand a life jacket for </w:t>
      </w:r>
      <w:r>
        <w:rPr>
          <w:rFonts w:ascii="Times New Roman" w:hAnsi="Times New Roman"/>
          <w:sz w:val="24"/>
          <w:szCs w:val="24"/>
        </w:rPr>
        <w:t xml:space="preserve">[police officer Blake] </w:t>
      </w:r>
      <w:r w:rsidRPr="0039533E">
        <w:rPr>
          <w:rFonts w:ascii="Times New Roman" w:hAnsi="Times New Roman"/>
          <w:sz w:val="24"/>
          <w:szCs w:val="24"/>
        </w:rPr>
        <w:t>Cunningham</w:t>
      </w:r>
      <w:r>
        <w:rPr>
          <w:rFonts w:ascii="Times New Roman" w:hAnsi="Times New Roman"/>
          <w:sz w:val="24"/>
          <w:szCs w:val="24"/>
        </w:rPr>
        <w:t xml:space="preserve"> [a former U.S. Coast Guard rescue swimmer]</w:t>
      </w:r>
      <w:r w:rsidRPr="00A1474A">
        <w:rPr>
          <w:rFonts w:ascii="Times New Roman" w:hAnsi="Times New Roman"/>
          <w:sz w:val="24"/>
          <w:szCs w:val="24"/>
        </w:rPr>
        <w:t>.</w:t>
      </w:r>
    </w:p>
    <w:p w14:paraId="6FD0A13D" w14:textId="77777777" w:rsidR="009622FF" w:rsidRDefault="009622FF" w:rsidP="009622FF">
      <w:pPr>
        <w:ind w:left="720"/>
        <w:rPr>
          <w:rFonts w:ascii="Times New Roman" w:hAnsi="Times New Roman"/>
          <w:sz w:val="24"/>
          <w:szCs w:val="24"/>
        </w:rPr>
      </w:pPr>
      <w:r>
        <w:rPr>
          <w:rFonts w:ascii="Times New Roman" w:hAnsi="Times New Roman"/>
          <w:sz w:val="24"/>
          <w:szCs w:val="24"/>
        </w:rPr>
        <w:t>***</w:t>
      </w:r>
    </w:p>
    <w:p w14:paraId="31C6A376" w14:textId="77777777" w:rsidR="009622FF" w:rsidRPr="0039533E" w:rsidRDefault="009622FF" w:rsidP="009622FF">
      <w:pPr>
        <w:ind w:left="720"/>
        <w:rPr>
          <w:rFonts w:ascii="Times New Roman" w:hAnsi="Times New Roman"/>
          <w:sz w:val="24"/>
          <w:szCs w:val="24"/>
        </w:rPr>
      </w:pPr>
      <w:r w:rsidRPr="0039533E">
        <w:rPr>
          <w:rFonts w:ascii="Times New Roman" w:hAnsi="Times New Roman"/>
          <w:sz w:val="24"/>
          <w:szCs w:val="24"/>
        </w:rPr>
        <w:t>Here, the district court found that no reasonable jury could conclude that Giroux's threat factually or legally caused Cohen's death. See Cohen ex rel. Est. of Cohen v. City of Portland, No. 2:21-CV-00267-NT, 2023 WL 8187213, at *10 (D. Me. Nov. 27, 2023). Specifically, the court found that a jury could only find causation via a series of increasingly speculative inferences:</w:t>
      </w:r>
    </w:p>
    <w:p w14:paraId="2C79BAEA" w14:textId="77777777" w:rsidR="009622FF" w:rsidRDefault="009622FF" w:rsidP="009622FF">
      <w:pPr>
        <w:ind w:left="1440"/>
        <w:rPr>
          <w:rFonts w:ascii="Times New Roman" w:hAnsi="Times New Roman"/>
          <w:sz w:val="24"/>
          <w:szCs w:val="24"/>
        </w:rPr>
      </w:pPr>
      <w:r w:rsidRPr="0039533E">
        <w:rPr>
          <w:rFonts w:ascii="Times New Roman" w:hAnsi="Times New Roman"/>
          <w:sz w:val="24"/>
          <w:szCs w:val="24"/>
        </w:rPr>
        <w:t>[The jury] would have to find that Cohen could have made the deliberate choice to come to shore while in a state of alleged psychosis, would have been able to get himself to shore after having been in the cold water for twenty minutes already, could have done so faster than the rescue boat ultimately did, and would not have died of hypothermia or drowning if he had started for the shore at the time the comment was made.</w:t>
      </w:r>
      <w:r>
        <w:rPr>
          <w:rFonts w:ascii="Times New Roman" w:hAnsi="Times New Roman"/>
          <w:sz w:val="24"/>
          <w:szCs w:val="24"/>
        </w:rPr>
        <w:t>”</w:t>
      </w:r>
    </w:p>
    <w:p w14:paraId="0A43522F" w14:textId="77777777" w:rsidR="00713EF6" w:rsidRDefault="00713EF6" w:rsidP="00713EF6">
      <w:pPr>
        <w:rPr>
          <w:rFonts w:ascii="Times New Roman" w:hAnsi="Times New Roman"/>
          <w:b/>
          <w:bCs/>
          <w:sz w:val="24"/>
          <w:szCs w:val="24"/>
        </w:rPr>
      </w:pPr>
      <w:r w:rsidRPr="00CB3ACA">
        <w:rPr>
          <w:rFonts w:ascii="Times New Roman" w:hAnsi="Times New Roman"/>
          <w:b/>
          <w:bCs/>
          <w:sz w:val="24"/>
          <w:szCs w:val="24"/>
        </w:rPr>
        <w:t>Legal Lesson Learned: No liability</w:t>
      </w:r>
      <w:r>
        <w:rPr>
          <w:rFonts w:ascii="Times New Roman" w:hAnsi="Times New Roman"/>
          <w:b/>
          <w:bCs/>
          <w:sz w:val="24"/>
          <w:szCs w:val="24"/>
        </w:rPr>
        <w:t xml:space="preserve"> </w:t>
      </w:r>
      <w:r w:rsidRPr="00CB3ACA">
        <w:rPr>
          <w:rFonts w:ascii="Times New Roman" w:hAnsi="Times New Roman"/>
          <w:b/>
          <w:bCs/>
          <w:sz w:val="24"/>
          <w:szCs w:val="24"/>
        </w:rPr>
        <w:t>but avoid making threatening remarks at an emergency scene</w:t>
      </w:r>
      <w:r>
        <w:rPr>
          <w:rFonts w:ascii="Times New Roman" w:hAnsi="Times New Roman"/>
          <w:b/>
          <w:bCs/>
          <w:sz w:val="24"/>
          <w:szCs w:val="24"/>
        </w:rPr>
        <w:t xml:space="preserve">; particularly dealing with psycho patient. </w:t>
      </w:r>
      <w:r w:rsidRPr="00CB3ACA">
        <w:rPr>
          <w:rFonts w:ascii="Times New Roman" w:hAnsi="Times New Roman"/>
          <w:b/>
          <w:bCs/>
          <w:sz w:val="24"/>
          <w:szCs w:val="24"/>
        </w:rPr>
        <w:t xml:space="preserve"> </w:t>
      </w:r>
    </w:p>
    <w:p w14:paraId="53B49057" w14:textId="77777777" w:rsidR="00713EF6" w:rsidRDefault="00713EF6" w:rsidP="00713EF6">
      <w:pPr>
        <w:rPr>
          <w:rFonts w:ascii="Times New Roman" w:hAnsi="Times New Roman"/>
          <w:sz w:val="24"/>
          <w:szCs w:val="24"/>
        </w:rPr>
      </w:pPr>
      <w:r>
        <w:rPr>
          <w:rFonts w:ascii="Times New Roman" w:hAnsi="Times New Roman"/>
          <w:b/>
          <w:bCs/>
          <w:sz w:val="24"/>
          <w:szCs w:val="24"/>
        </w:rPr>
        <w:tab/>
      </w:r>
      <w:r w:rsidRPr="000B0B4D">
        <w:rPr>
          <w:rFonts w:ascii="Times New Roman" w:hAnsi="Times New Roman"/>
          <w:sz w:val="24"/>
          <w:szCs w:val="24"/>
        </w:rPr>
        <w:t xml:space="preserve">Note: Court remarked about </w:t>
      </w:r>
      <w:r>
        <w:rPr>
          <w:rFonts w:ascii="Times New Roman" w:hAnsi="Times New Roman"/>
          <w:sz w:val="24"/>
          <w:szCs w:val="24"/>
        </w:rPr>
        <w:t xml:space="preserve">Police Department’s rescue efforts </w:t>
      </w:r>
      <w:r w:rsidRPr="000B0B4D">
        <w:rPr>
          <w:rFonts w:ascii="Times New Roman" w:hAnsi="Times New Roman"/>
          <w:sz w:val="24"/>
          <w:szCs w:val="24"/>
        </w:rPr>
        <w:t xml:space="preserve">at the scene. </w:t>
      </w:r>
    </w:p>
    <w:p w14:paraId="51124D72" w14:textId="77777777" w:rsidR="00713EF6" w:rsidRPr="00A155F3" w:rsidRDefault="00713EF6" w:rsidP="00713EF6">
      <w:pPr>
        <w:ind w:left="1440"/>
        <w:rPr>
          <w:rFonts w:ascii="Times New Roman" w:hAnsi="Times New Roman"/>
          <w:sz w:val="24"/>
          <w:szCs w:val="24"/>
        </w:rPr>
      </w:pPr>
      <w:r>
        <w:rPr>
          <w:rFonts w:ascii="Times New Roman" w:hAnsi="Times New Roman"/>
          <w:sz w:val="24"/>
          <w:szCs w:val="24"/>
        </w:rPr>
        <w:t>“’</w:t>
      </w:r>
      <w:r w:rsidRPr="00F57035">
        <w:rPr>
          <w:rFonts w:ascii="Times New Roman" w:hAnsi="Times New Roman"/>
          <w:sz w:val="24"/>
          <w:szCs w:val="24"/>
        </w:rPr>
        <w:t>Protect and serve</w:t>
      </w:r>
      <w:r>
        <w:rPr>
          <w:rFonts w:ascii="Times New Roman" w:hAnsi="Times New Roman"/>
          <w:sz w:val="24"/>
          <w:szCs w:val="24"/>
        </w:rPr>
        <w:t>’</w:t>
      </w:r>
      <w:r w:rsidRPr="00F57035">
        <w:rPr>
          <w:rFonts w:ascii="Times New Roman" w:hAnsi="Times New Roman"/>
          <w:sz w:val="24"/>
          <w:szCs w:val="24"/>
        </w:rPr>
        <w:t xml:space="preserve"> is the motto of the Portland Police Department. Even acknowledging the challenge posed by Cohen's behavior, the efforts of the responding officers likely fell short of the aspirations behind that motto. </w:t>
      </w:r>
      <w:proofErr w:type="gramStart"/>
      <w:r w:rsidRPr="00F57035">
        <w:rPr>
          <w:rFonts w:ascii="Times New Roman" w:hAnsi="Times New Roman"/>
          <w:sz w:val="24"/>
          <w:szCs w:val="24"/>
        </w:rPr>
        <w:t>That being said, this</w:t>
      </w:r>
      <w:proofErr w:type="gramEnd"/>
      <w:r w:rsidRPr="00F57035">
        <w:rPr>
          <w:rFonts w:ascii="Times New Roman" w:hAnsi="Times New Roman"/>
          <w:sz w:val="24"/>
          <w:szCs w:val="24"/>
        </w:rPr>
        <w:t xml:space="preserve"> appeal turns on whether any defendant violated Cohen's constitutional rights. And for the foregoing reasons, the answer is clearly no. The district court's dismissal and summary judgment orders are therefore affirmed.</w:t>
      </w:r>
      <w:r>
        <w:rPr>
          <w:rFonts w:ascii="Times New Roman" w:hAnsi="Times New Roman"/>
          <w:sz w:val="24"/>
          <w:szCs w:val="24"/>
        </w:rPr>
        <w:t>”</w:t>
      </w:r>
    </w:p>
    <w:p w14:paraId="6B25D127" w14:textId="77777777" w:rsidR="00AB3777" w:rsidRDefault="00AB3777" w:rsidP="000C4DF5">
      <w:pPr>
        <w:pStyle w:val="NoSpacing"/>
        <w:rPr>
          <w:rFonts w:ascii="Arial Black" w:hAnsi="Arial Black"/>
          <w:sz w:val="24"/>
          <w:szCs w:val="24"/>
        </w:rPr>
      </w:pPr>
    </w:p>
    <w:p w14:paraId="1C0B9EB6" w14:textId="77777777" w:rsidR="00AB3777" w:rsidRDefault="00AB3777" w:rsidP="000C4DF5">
      <w:pPr>
        <w:pStyle w:val="NoSpacing"/>
        <w:rPr>
          <w:rFonts w:ascii="Arial Black" w:hAnsi="Arial Black"/>
          <w:sz w:val="24"/>
          <w:szCs w:val="24"/>
        </w:rPr>
      </w:pPr>
    </w:p>
    <w:p w14:paraId="38BA5786" w14:textId="65E1A1DE" w:rsidR="00C825BD" w:rsidRDefault="00C825BD" w:rsidP="000C4DF5">
      <w:pPr>
        <w:pStyle w:val="NoSpacing"/>
        <w:rPr>
          <w:rFonts w:ascii="Arial Black" w:hAnsi="Arial Black"/>
          <w:sz w:val="24"/>
          <w:szCs w:val="24"/>
        </w:rPr>
      </w:pPr>
      <w:r>
        <w:rPr>
          <w:rFonts w:ascii="Arial Black" w:hAnsi="Arial Black"/>
          <w:sz w:val="24"/>
          <w:szCs w:val="24"/>
        </w:rPr>
        <w:t>15-31</w:t>
      </w:r>
    </w:p>
    <w:p w14:paraId="1D93AEC6" w14:textId="77777777" w:rsidR="00AE4AE1" w:rsidRPr="009B0477" w:rsidRDefault="00AE4AE1" w:rsidP="00AE4AE1">
      <w:pPr>
        <w:pStyle w:val="NormalWeb"/>
        <w:rPr>
          <w:rFonts w:ascii="Arial Black" w:hAnsi="Arial Black"/>
          <w:sz w:val="28"/>
          <w:szCs w:val="28"/>
        </w:rPr>
      </w:pPr>
      <w:r>
        <w:rPr>
          <w:rFonts w:ascii="Arial Black" w:hAnsi="Arial Black"/>
          <w:sz w:val="28"/>
          <w:szCs w:val="28"/>
        </w:rPr>
        <w:lastRenderedPageBreak/>
        <w:t>WA: FF WITH PTSD IN 2010 – NO INJURY / NO WORKERS COMP – LAW CHANGED 2018 BUT LAW NOT RETROACTIVE</w:t>
      </w:r>
    </w:p>
    <w:p w14:paraId="45A4AEBB" w14:textId="77777777" w:rsidR="00AE4AE1" w:rsidRPr="00AE4AE1" w:rsidRDefault="00AE4AE1" w:rsidP="00AE4AE1">
      <w:pPr>
        <w:pStyle w:val="NormalWeb"/>
      </w:pPr>
      <w:r w:rsidRPr="00AE4AE1">
        <w:t xml:space="preserve">On May 2, 2024, in </w:t>
      </w:r>
      <w:r w:rsidRPr="00AE4AE1">
        <w:rPr>
          <w:u w:val="single"/>
        </w:rPr>
        <w:t>Frank Shaw v. Kittitas Valley Fire and Rescue, et al.</w:t>
      </w:r>
      <w:r w:rsidRPr="00AE4AE1">
        <w:t xml:space="preserve">, the Court of Appeals of Washington, Division 3, held (3 to 1; unpublished opinion), that the firefighter paramedic (1989 – 2007) was not entitled to workers’ compensation since he suffered no physical injury. On June 7, 2018, the laws in Washington changed, to allow for occupational disease claims resulting from PTSD for certain firefighters, in an amendment to the Industrial Insurance Act, Title 51 RCW. </w:t>
      </w:r>
      <w:r w:rsidRPr="00AE4AE1">
        <w:rPr>
          <w:rStyle w:val="Emphasis"/>
          <w:rFonts w:eastAsiaTheme="majorEastAsia"/>
        </w:rPr>
        <w:t>See</w:t>
      </w:r>
      <w:r w:rsidRPr="00AE4AE1">
        <w:t xml:space="preserve"> former RCW 51.08.142 (2018); Laws of 2018, </w:t>
      </w:r>
      <w:proofErr w:type="spellStart"/>
      <w:r w:rsidRPr="00AE4AE1">
        <w:t>ch.</w:t>
      </w:r>
      <w:proofErr w:type="spellEnd"/>
      <w:r w:rsidRPr="00AE4AE1">
        <w:t xml:space="preserve"> 264. The Court held:</w:t>
      </w:r>
    </w:p>
    <w:p w14:paraId="0D6D8B56" w14:textId="59D01CBD" w:rsidR="00C825BD" w:rsidRDefault="00AE4AE1" w:rsidP="00AE4AE1">
      <w:pPr>
        <w:pStyle w:val="NoSpacing"/>
        <w:ind w:left="720"/>
        <w:rPr>
          <w:rStyle w:val="Hyperlink"/>
          <w:rFonts w:ascii="Times New Roman" w:hAnsi="Times New Roman"/>
          <w:sz w:val="24"/>
          <w:szCs w:val="24"/>
        </w:rPr>
      </w:pPr>
      <w:r w:rsidRPr="00AE4AE1">
        <w:rPr>
          <w:rFonts w:ascii="Times New Roman" w:hAnsi="Times New Roman"/>
          <w:sz w:val="24"/>
          <w:szCs w:val="24"/>
        </w:rPr>
        <w:t xml:space="preserve">“Looking first to the retroactivity test, the legislature did not adopt any language explicitly providing for retroactivity. Mr. Shaw argues that the legislature's choice of various adjectives and verbs </w:t>
      </w:r>
      <w:proofErr w:type="gramStart"/>
      <w:r w:rsidRPr="00AE4AE1">
        <w:rPr>
          <w:rFonts w:ascii="Times New Roman" w:hAnsi="Times New Roman"/>
          <w:sz w:val="24"/>
          <w:szCs w:val="24"/>
        </w:rPr>
        <w:t>reveal</w:t>
      </w:r>
      <w:proofErr w:type="gramEnd"/>
      <w:r w:rsidRPr="00AE4AE1">
        <w:rPr>
          <w:rFonts w:ascii="Times New Roman" w:hAnsi="Times New Roman"/>
          <w:sz w:val="24"/>
          <w:szCs w:val="24"/>
        </w:rPr>
        <w:t xml:space="preserve"> retroactive intent. We reject this reasoning. An explicit choice as to retroactivity is not one that turns on analyzing subtle textual clues. The legislature </w:t>
      </w:r>
      <w:proofErr w:type="gramStart"/>
      <w:r w:rsidRPr="00AE4AE1">
        <w:rPr>
          <w:rFonts w:ascii="Times New Roman" w:hAnsi="Times New Roman"/>
          <w:sz w:val="24"/>
          <w:szCs w:val="24"/>
        </w:rPr>
        <w:t>is well aware that</w:t>
      </w:r>
      <w:proofErr w:type="gramEnd"/>
      <w:r w:rsidRPr="00AE4AE1">
        <w:rPr>
          <w:rFonts w:ascii="Times New Roman" w:hAnsi="Times New Roman"/>
          <w:sz w:val="24"/>
          <w:szCs w:val="24"/>
        </w:rPr>
        <w:t xml:space="preserve"> it must make an explicit declaration if it intends a statute to have retroactive effect. It is accustomed to passing statutes with clear and explicit statements as to retroactivity. </w:t>
      </w:r>
      <w:r w:rsidRPr="00AE4AE1">
        <w:rPr>
          <w:rStyle w:val="Emphasis"/>
          <w:rFonts w:ascii="Times New Roman" w:eastAsiaTheme="majorEastAsia" w:hAnsi="Times New Roman"/>
          <w:sz w:val="24"/>
          <w:szCs w:val="24"/>
        </w:rPr>
        <w:t>See, e.g.</w:t>
      </w:r>
      <w:r w:rsidRPr="00AE4AE1">
        <w:rPr>
          <w:rFonts w:ascii="Times New Roman" w:hAnsi="Times New Roman"/>
          <w:sz w:val="24"/>
          <w:szCs w:val="24"/>
        </w:rPr>
        <w:t xml:space="preserve">, RCW 51.32.187(5)(c); RCW 67.16.300; Laws of 2023, </w:t>
      </w:r>
      <w:proofErr w:type="spellStart"/>
      <w:r w:rsidRPr="00AE4AE1">
        <w:rPr>
          <w:rFonts w:ascii="Times New Roman" w:hAnsi="Times New Roman"/>
          <w:sz w:val="24"/>
          <w:szCs w:val="24"/>
        </w:rPr>
        <w:t>ch.</w:t>
      </w:r>
      <w:proofErr w:type="spellEnd"/>
      <w:r w:rsidRPr="00AE4AE1">
        <w:rPr>
          <w:rFonts w:ascii="Times New Roman" w:hAnsi="Times New Roman"/>
          <w:sz w:val="24"/>
          <w:szCs w:val="24"/>
        </w:rPr>
        <w:t xml:space="preserve"> 171 § 13; Laws of 2019, </w:t>
      </w:r>
      <w:proofErr w:type="spellStart"/>
      <w:r w:rsidRPr="00AE4AE1">
        <w:rPr>
          <w:rFonts w:ascii="Times New Roman" w:hAnsi="Times New Roman"/>
          <w:sz w:val="24"/>
          <w:szCs w:val="24"/>
        </w:rPr>
        <w:t>ch.</w:t>
      </w:r>
      <w:proofErr w:type="spellEnd"/>
      <w:r w:rsidRPr="00AE4AE1">
        <w:rPr>
          <w:rFonts w:ascii="Times New Roman" w:hAnsi="Times New Roman"/>
          <w:sz w:val="24"/>
          <w:szCs w:val="24"/>
        </w:rPr>
        <w:t xml:space="preserve"> 159 § 6; Laws of 2007, </w:t>
      </w:r>
      <w:proofErr w:type="spellStart"/>
      <w:r w:rsidRPr="00AE4AE1">
        <w:rPr>
          <w:rFonts w:ascii="Times New Roman" w:hAnsi="Times New Roman"/>
          <w:sz w:val="24"/>
          <w:szCs w:val="24"/>
        </w:rPr>
        <w:t>ch.</w:t>
      </w:r>
      <w:proofErr w:type="spellEnd"/>
      <w:r w:rsidRPr="00AE4AE1">
        <w:rPr>
          <w:rFonts w:ascii="Times New Roman" w:hAnsi="Times New Roman"/>
          <w:sz w:val="24"/>
          <w:szCs w:val="24"/>
        </w:rPr>
        <w:t xml:space="preserve"> 317, § 3. But no explicit statement was made here. Mr. Shaw's arguments to the contrary </w:t>
      </w:r>
      <w:proofErr w:type="gramStart"/>
      <w:r w:rsidRPr="00AE4AE1">
        <w:rPr>
          <w:rFonts w:ascii="Times New Roman" w:hAnsi="Times New Roman"/>
          <w:sz w:val="24"/>
          <w:szCs w:val="24"/>
        </w:rPr>
        <w:t>fail</w:t>
      </w:r>
      <w:proofErr w:type="gramEnd"/>
      <w:r w:rsidRPr="00AE4AE1">
        <w:rPr>
          <w:rFonts w:ascii="Times New Roman" w:hAnsi="Times New Roman"/>
          <w:sz w:val="24"/>
          <w:szCs w:val="24"/>
        </w:rPr>
        <w:t xml:space="preserve">.” </w:t>
      </w:r>
      <w:hyperlink r:id="rId2349" w:history="1">
        <w:r w:rsidRPr="00AE4AE1">
          <w:rPr>
            <w:rStyle w:val="Hyperlink"/>
            <w:rFonts w:ascii="Times New Roman" w:hAnsi="Times New Roman"/>
            <w:sz w:val="24"/>
            <w:szCs w:val="24"/>
          </w:rPr>
          <w:t>https://casetext.com/case/shaw-v-kittitas-valley-fire-rescue</w:t>
        </w:r>
      </w:hyperlink>
    </w:p>
    <w:p w14:paraId="2BAA0A7A" w14:textId="77777777" w:rsidR="000E1441" w:rsidRDefault="000E1441" w:rsidP="00AE4AE1">
      <w:pPr>
        <w:pStyle w:val="NoSpacing"/>
        <w:ind w:left="720"/>
        <w:rPr>
          <w:rStyle w:val="Hyperlink"/>
          <w:rFonts w:ascii="Times New Roman" w:hAnsi="Times New Roman"/>
          <w:sz w:val="24"/>
          <w:szCs w:val="24"/>
        </w:rPr>
      </w:pPr>
    </w:p>
    <w:p w14:paraId="518329DF" w14:textId="77777777" w:rsidR="000E1441" w:rsidRDefault="000E1441" w:rsidP="000E1441">
      <w:pPr>
        <w:pStyle w:val="NormalWeb"/>
        <w:rPr>
          <w:b/>
          <w:bCs/>
        </w:rPr>
      </w:pPr>
      <w:r w:rsidRPr="00551B71">
        <w:rPr>
          <w:b/>
          <w:bCs/>
        </w:rPr>
        <w:t>Legal Lesson Learned:</w:t>
      </w:r>
      <w:r>
        <w:rPr>
          <w:b/>
          <w:bCs/>
        </w:rPr>
        <w:t xml:space="preserve"> PTSD statute was not retroactive. </w:t>
      </w:r>
    </w:p>
    <w:p w14:paraId="2FEA4281" w14:textId="77777777" w:rsidR="000E1441" w:rsidRDefault="000E1441" w:rsidP="000E1441">
      <w:pPr>
        <w:pStyle w:val="NormalWeb"/>
        <w:ind w:left="720"/>
      </w:pPr>
      <w:r w:rsidRPr="00145389">
        <w:t>Note: See this law f</w:t>
      </w:r>
      <w:r>
        <w:t>i</w:t>
      </w:r>
      <w:r w:rsidRPr="00145389">
        <w:t xml:space="preserve">rm review of new WA law. </w:t>
      </w:r>
      <w:hyperlink r:id="rId2350" w:history="1">
        <w:r w:rsidRPr="00145389">
          <w:rPr>
            <w:rStyle w:val="Hyperlink"/>
          </w:rPr>
          <w:t>https://www.firstresponderptsdclaims.com/faq/</w:t>
        </w:r>
      </w:hyperlink>
      <w:r w:rsidRPr="00145389">
        <w:t xml:space="preserve"> </w:t>
      </w:r>
    </w:p>
    <w:p w14:paraId="49061752" w14:textId="77777777" w:rsidR="000E1441" w:rsidRDefault="000E1441" w:rsidP="000E1441">
      <w:pPr>
        <w:pStyle w:val="NormalWeb"/>
        <w:ind w:left="720"/>
      </w:pPr>
      <w:r>
        <w:t>“Eligible ‘</w:t>
      </w:r>
      <w:proofErr w:type="gramStart"/>
      <w:r>
        <w:t>firefighters’</w:t>
      </w:r>
      <w:proofErr w:type="gramEnd"/>
      <w:r>
        <w:t xml:space="preserve"> must meet at least one of the definitions set forth in </w:t>
      </w:r>
      <w:hyperlink r:id="rId2351" w:tgtFrame="_blank" w:history="1">
        <w:r>
          <w:rPr>
            <w:rStyle w:val="Hyperlink"/>
            <w:rFonts w:eastAsiaTheme="majorEastAsia"/>
          </w:rPr>
          <w:t>RCW 41.26.030(17)(a)(b)(c) and (h)</w:t>
        </w:r>
      </w:hyperlink>
      <w:r>
        <w:t>, which include:</w:t>
      </w:r>
    </w:p>
    <w:p w14:paraId="09B97112"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Any person who is serving on a full time, fully compensated basis as a member of a fire department of an employer and who is serving in a position which requires passing a civil service examination for firefighter, and who is actively employed as such;</w:t>
      </w:r>
    </w:p>
    <w:p w14:paraId="2A336F92"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 xml:space="preserve">Anyone who is actively employed as a </w:t>
      </w:r>
      <w:proofErr w:type="gramStart"/>
      <w:r w:rsidRPr="00A8246F">
        <w:rPr>
          <w:rFonts w:ascii="Times New Roman" w:hAnsi="Times New Roman"/>
          <w:sz w:val="24"/>
          <w:szCs w:val="24"/>
        </w:rPr>
        <w:t>full time</w:t>
      </w:r>
      <w:proofErr w:type="gramEnd"/>
      <w:r w:rsidRPr="00A8246F">
        <w:rPr>
          <w:rFonts w:ascii="Times New Roman" w:hAnsi="Times New Roman"/>
          <w:sz w:val="24"/>
          <w:szCs w:val="24"/>
        </w:rPr>
        <w:t xml:space="preserve"> firefighter where the fire department does not have a civil service examination;</w:t>
      </w:r>
    </w:p>
    <w:p w14:paraId="124BF814"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Supervisory firefighter personnel; and,</w:t>
      </w:r>
    </w:p>
    <w:p w14:paraId="0778C80C"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 xml:space="preserve">Any person who is employed on a full-time, fully compensated basis by an employer as an emergency medical technician that meets the requirements of </w:t>
      </w:r>
      <w:hyperlink r:id="rId2352" w:tgtFrame="_blank" w:history="1">
        <w:r w:rsidRPr="00A8246F">
          <w:rPr>
            <w:rStyle w:val="Hyperlink"/>
            <w:rFonts w:ascii="Times New Roman" w:hAnsi="Times New Roman"/>
            <w:sz w:val="24"/>
            <w:szCs w:val="24"/>
          </w:rPr>
          <w:t>RCW 18.71.200</w:t>
        </w:r>
      </w:hyperlink>
      <w:r w:rsidRPr="00A8246F">
        <w:rPr>
          <w:rFonts w:ascii="Times New Roman" w:hAnsi="Times New Roman"/>
          <w:sz w:val="24"/>
          <w:szCs w:val="24"/>
        </w:rPr>
        <w:t> or </w:t>
      </w:r>
      <w:hyperlink r:id="rId2353" w:tgtFrame="_blank" w:history="1">
        <w:r w:rsidRPr="00A8246F">
          <w:rPr>
            <w:rStyle w:val="Hyperlink"/>
            <w:rFonts w:ascii="Times New Roman" w:hAnsi="Times New Roman"/>
            <w:sz w:val="24"/>
            <w:szCs w:val="24"/>
          </w:rPr>
          <w:t>18.73.030(12)</w:t>
        </w:r>
      </w:hyperlink>
      <w:r w:rsidRPr="00A8246F">
        <w:rPr>
          <w:rFonts w:ascii="Times New Roman" w:hAnsi="Times New Roman"/>
          <w:sz w:val="24"/>
          <w:szCs w:val="24"/>
        </w:rPr>
        <w:t xml:space="preserve">, and whose duties include providing emergency medical services as defined in </w:t>
      </w:r>
      <w:hyperlink r:id="rId2354" w:tgtFrame="_blank" w:history="1">
        <w:r w:rsidRPr="00A8246F">
          <w:rPr>
            <w:rStyle w:val="Hyperlink"/>
            <w:rFonts w:ascii="Times New Roman" w:hAnsi="Times New Roman"/>
            <w:sz w:val="24"/>
            <w:szCs w:val="24"/>
          </w:rPr>
          <w:t>RCW 18.73.030</w:t>
        </w:r>
      </w:hyperlink>
      <w:r w:rsidRPr="00A8246F">
        <w:rPr>
          <w:rFonts w:ascii="Times New Roman" w:hAnsi="Times New Roman"/>
          <w:sz w:val="24"/>
          <w:szCs w:val="24"/>
        </w:rPr>
        <w:t>.</w:t>
      </w:r>
    </w:p>
    <w:p w14:paraId="3F9F315A" w14:textId="77777777" w:rsidR="000E1441" w:rsidRPr="00145389" w:rsidRDefault="000E1441" w:rsidP="000E1441">
      <w:pPr>
        <w:spacing w:before="100" w:beforeAutospacing="1" w:after="100" w:afterAutospacing="1" w:line="240" w:lineRule="auto"/>
        <w:ind w:left="720"/>
      </w:pPr>
      <w:r>
        <w:t>***</w:t>
      </w:r>
    </w:p>
    <w:p w14:paraId="59351DFD" w14:textId="77777777" w:rsidR="000E1441" w:rsidRPr="00551B71" w:rsidRDefault="000E1441" w:rsidP="000E1441">
      <w:pPr>
        <w:pStyle w:val="NormalWeb"/>
        <w:ind w:left="720"/>
        <w:rPr>
          <w:b/>
          <w:bCs/>
        </w:rPr>
      </w:pPr>
      <w:r>
        <w:t>Washington State is taking steps to help our firefighters, paramedics, and police officers suffering from PTSD due to their inherently stressful jobs. More work remains to be done as the new law does not apply to volunteer firefighters, reserve police officers or other professional first responders depending upon their membership in certain state retirement plans.”</w:t>
      </w:r>
    </w:p>
    <w:p w14:paraId="5B1BB888" w14:textId="77777777" w:rsidR="000E1441" w:rsidRPr="00AE4AE1" w:rsidRDefault="000E1441" w:rsidP="00AE4AE1">
      <w:pPr>
        <w:pStyle w:val="NoSpacing"/>
        <w:ind w:left="720"/>
        <w:rPr>
          <w:rFonts w:ascii="Times New Roman" w:hAnsi="Times New Roman"/>
          <w:sz w:val="24"/>
          <w:szCs w:val="24"/>
        </w:rPr>
      </w:pPr>
    </w:p>
    <w:p w14:paraId="6067544E" w14:textId="77777777" w:rsidR="00C825BD" w:rsidRDefault="00C825BD" w:rsidP="000C4DF5">
      <w:pPr>
        <w:pStyle w:val="NoSpacing"/>
        <w:rPr>
          <w:rFonts w:ascii="Arial Black" w:hAnsi="Arial Black"/>
          <w:sz w:val="24"/>
          <w:szCs w:val="24"/>
        </w:rPr>
      </w:pPr>
    </w:p>
    <w:p w14:paraId="21EAC371" w14:textId="5FBC932F" w:rsidR="00725A91" w:rsidRDefault="00725A91" w:rsidP="000C4DF5">
      <w:pPr>
        <w:pStyle w:val="NoSpacing"/>
        <w:rPr>
          <w:rFonts w:ascii="Arial Black" w:hAnsi="Arial Black"/>
          <w:sz w:val="24"/>
          <w:szCs w:val="24"/>
        </w:rPr>
      </w:pPr>
      <w:r>
        <w:rPr>
          <w:rFonts w:ascii="Arial Black" w:hAnsi="Arial Black"/>
          <w:sz w:val="24"/>
          <w:szCs w:val="24"/>
        </w:rPr>
        <w:t>15-30</w:t>
      </w:r>
    </w:p>
    <w:p w14:paraId="43EFE65C" w14:textId="77777777" w:rsidR="00725A91" w:rsidRDefault="00725A91" w:rsidP="00725A91">
      <w:pPr>
        <w:pStyle w:val="NormalWeb"/>
        <w:rPr>
          <w:rFonts w:ascii="Arial Black" w:hAnsi="Arial Black"/>
          <w:sz w:val="28"/>
          <w:szCs w:val="28"/>
        </w:rPr>
      </w:pPr>
      <w:r>
        <w:rPr>
          <w:rFonts w:ascii="Arial Black" w:hAnsi="Arial Black"/>
          <w:sz w:val="28"/>
          <w:szCs w:val="28"/>
        </w:rPr>
        <w:lastRenderedPageBreak/>
        <w:t>AR: PTSD – CAREER FF DISABILITY RETIREMENT – BUT STILL VOL. FF – NOT ELIGIBLE DUTY- RELATED DISABILITY</w:t>
      </w:r>
    </w:p>
    <w:p w14:paraId="656533CE" w14:textId="77777777" w:rsidR="00725A91" w:rsidRDefault="00725A91" w:rsidP="00725A91">
      <w:pPr>
        <w:pStyle w:val="NoSpacing"/>
        <w:rPr>
          <w:rFonts w:ascii="Times New Roman" w:hAnsi="Times New Roman"/>
          <w:sz w:val="24"/>
          <w:szCs w:val="24"/>
        </w:rPr>
      </w:pPr>
      <w:r w:rsidRPr="006C40B3">
        <w:rPr>
          <w:rFonts w:ascii="Times New Roman" w:hAnsi="Times New Roman"/>
          <w:sz w:val="24"/>
          <w:szCs w:val="24"/>
        </w:rPr>
        <w:t xml:space="preserve">On April 24, 2024, in </w:t>
      </w:r>
      <w:r w:rsidRPr="006C40B3">
        <w:rPr>
          <w:rFonts w:ascii="Times New Roman" w:hAnsi="Times New Roman"/>
          <w:sz w:val="24"/>
          <w:szCs w:val="24"/>
          <w:u w:val="single"/>
        </w:rPr>
        <w:t xml:space="preserve">Gregory Mills v. Arkansas Local Police </w:t>
      </w:r>
      <w:proofErr w:type="gramStart"/>
      <w:r w:rsidRPr="006C40B3">
        <w:rPr>
          <w:rFonts w:ascii="Times New Roman" w:hAnsi="Times New Roman"/>
          <w:sz w:val="24"/>
          <w:szCs w:val="24"/>
          <w:u w:val="single"/>
        </w:rPr>
        <w:t>And</w:t>
      </w:r>
      <w:proofErr w:type="gramEnd"/>
      <w:r w:rsidRPr="006C40B3">
        <w:rPr>
          <w:rFonts w:ascii="Times New Roman" w:hAnsi="Times New Roman"/>
          <w:sz w:val="24"/>
          <w:szCs w:val="24"/>
          <w:u w:val="single"/>
        </w:rPr>
        <w:t xml:space="preserve"> Fire Retirement System</w:t>
      </w:r>
      <w:r w:rsidRPr="006C40B3">
        <w:rPr>
          <w:rFonts w:ascii="Times New Roman" w:hAnsi="Times New Roman"/>
          <w:sz w:val="24"/>
          <w:szCs w:val="24"/>
        </w:rPr>
        <w:t xml:space="preserve">, the Arkansas Court of Appeals held (3 to 0) the retirement Board decision was supported by substantial evidence. </w:t>
      </w:r>
      <w:r>
        <w:rPr>
          <w:rFonts w:ascii="Times New Roman" w:hAnsi="Times New Roman"/>
          <w:sz w:val="24"/>
          <w:szCs w:val="24"/>
        </w:rPr>
        <w:t xml:space="preserve"> Oct. 2019 FD placed him on medical leave when informed by his doctor needed to avoid trauma events; terminated April 4, </w:t>
      </w:r>
      <w:proofErr w:type="gramStart"/>
      <w:r>
        <w:rPr>
          <w:rFonts w:ascii="Times New Roman" w:hAnsi="Times New Roman"/>
          <w:sz w:val="24"/>
          <w:szCs w:val="24"/>
        </w:rPr>
        <w:t>2020</w:t>
      </w:r>
      <w:proofErr w:type="gramEnd"/>
      <w:r>
        <w:rPr>
          <w:rFonts w:ascii="Times New Roman" w:hAnsi="Times New Roman"/>
          <w:sz w:val="24"/>
          <w:szCs w:val="24"/>
        </w:rPr>
        <w:t xml:space="preserve"> when he was </w:t>
      </w:r>
      <w:proofErr w:type="gramStart"/>
      <w:r>
        <w:rPr>
          <w:rFonts w:ascii="Times New Roman" w:hAnsi="Times New Roman"/>
          <w:sz w:val="24"/>
          <w:szCs w:val="24"/>
        </w:rPr>
        <w:t>approved</w:t>
      </w:r>
      <w:proofErr w:type="gramEnd"/>
      <w:r>
        <w:rPr>
          <w:rFonts w:ascii="Times New Roman" w:hAnsi="Times New Roman"/>
          <w:sz w:val="24"/>
          <w:szCs w:val="24"/>
        </w:rPr>
        <w:t xml:space="preserve"> long-term disability.  Retirement board rejected his claim for duty-related disability retirement benefits since he is still running as a volunteer at another FD; trial court agreed.   State statute:  </w:t>
      </w:r>
    </w:p>
    <w:p w14:paraId="7681649D" w14:textId="77777777" w:rsidR="00725A91" w:rsidRDefault="00725A91" w:rsidP="00725A91">
      <w:pPr>
        <w:pStyle w:val="NoSpacing"/>
        <w:rPr>
          <w:rFonts w:ascii="Times New Roman" w:hAnsi="Times New Roman"/>
          <w:sz w:val="24"/>
          <w:szCs w:val="24"/>
        </w:rPr>
      </w:pPr>
    </w:p>
    <w:p w14:paraId="5CFDC1C3" w14:textId="77777777" w:rsidR="00725A91" w:rsidRPr="00ED333B" w:rsidRDefault="00725A91" w:rsidP="00725A91">
      <w:pPr>
        <w:pStyle w:val="NoSpacing"/>
        <w:ind w:firstLine="720"/>
        <w:rPr>
          <w:rFonts w:ascii="Times New Roman" w:hAnsi="Times New Roman"/>
          <w:sz w:val="24"/>
          <w:szCs w:val="24"/>
        </w:rPr>
      </w:pPr>
      <w:r>
        <w:rPr>
          <w:rFonts w:ascii="Times New Roman" w:hAnsi="Times New Roman"/>
          <w:sz w:val="24"/>
          <w:szCs w:val="24"/>
        </w:rPr>
        <w:t>“</w:t>
      </w:r>
      <w:r w:rsidRPr="00ED333B">
        <w:rPr>
          <w:rFonts w:ascii="Times New Roman" w:hAnsi="Times New Roman"/>
          <w:sz w:val="24"/>
          <w:szCs w:val="24"/>
        </w:rPr>
        <w:t>Any active member who while an active member becomes totally and</w:t>
      </w:r>
    </w:p>
    <w:p w14:paraId="0DFF30E2" w14:textId="77777777" w:rsidR="00725A91" w:rsidRPr="00ED333B" w:rsidRDefault="00725A91" w:rsidP="00725A91">
      <w:pPr>
        <w:pStyle w:val="NoSpacing"/>
        <w:ind w:firstLine="720"/>
        <w:rPr>
          <w:rFonts w:ascii="Times New Roman" w:hAnsi="Times New Roman"/>
          <w:sz w:val="24"/>
          <w:szCs w:val="24"/>
        </w:rPr>
      </w:pPr>
      <w:r w:rsidRPr="00ED333B">
        <w:rPr>
          <w:rFonts w:ascii="Times New Roman" w:hAnsi="Times New Roman"/>
          <w:sz w:val="24"/>
          <w:szCs w:val="24"/>
        </w:rPr>
        <w:t>permanently physically or mentally incapacitated for any suitable duty as an employee</w:t>
      </w:r>
    </w:p>
    <w:p w14:paraId="1202F5D1" w14:textId="77777777" w:rsidR="00725A91" w:rsidRPr="00ED333B" w:rsidRDefault="00725A91" w:rsidP="00725A91">
      <w:pPr>
        <w:pStyle w:val="NoSpacing"/>
        <w:ind w:firstLine="720"/>
        <w:rPr>
          <w:rFonts w:ascii="Times New Roman" w:hAnsi="Times New Roman"/>
          <w:sz w:val="24"/>
          <w:szCs w:val="24"/>
        </w:rPr>
      </w:pPr>
      <w:r w:rsidRPr="00ED333B">
        <w:rPr>
          <w:rFonts w:ascii="Times New Roman" w:hAnsi="Times New Roman"/>
          <w:sz w:val="24"/>
          <w:szCs w:val="24"/>
        </w:rPr>
        <w:t>as the result of a personal injury or disease that the board finds to have arisen out of</w:t>
      </w:r>
    </w:p>
    <w:p w14:paraId="169D10BF" w14:textId="77777777" w:rsidR="00725A91" w:rsidRPr="006C7C3B" w:rsidRDefault="00725A91" w:rsidP="00725A91">
      <w:pPr>
        <w:pStyle w:val="NoSpacing"/>
        <w:ind w:firstLine="720"/>
        <w:rPr>
          <w:rFonts w:ascii="Times New Roman" w:hAnsi="Times New Roman"/>
          <w:sz w:val="24"/>
          <w:szCs w:val="24"/>
        </w:rPr>
      </w:pPr>
      <w:r w:rsidRPr="00ED333B">
        <w:rPr>
          <w:rFonts w:ascii="Times New Roman" w:hAnsi="Times New Roman"/>
          <w:sz w:val="24"/>
          <w:szCs w:val="24"/>
        </w:rPr>
        <w:t xml:space="preserve">and </w:t>
      </w:r>
      <w:proofErr w:type="gramStart"/>
      <w:r w:rsidRPr="00ED333B">
        <w:rPr>
          <w:rFonts w:ascii="Times New Roman" w:hAnsi="Times New Roman"/>
          <w:sz w:val="24"/>
          <w:szCs w:val="24"/>
        </w:rPr>
        <w:t>in the course of</w:t>
      </w:r>
      <w:proofErr w:type="gramEnd"/>
      <w:r w:rsidRPr="00ED333B">
        <w:rPr>
          <w:rFonts w:ascii="Times New Roman" w:hAnsi="Times New Roman"/>
          <w:sz w:val="24"/>
          <w:szCs w:val="24"/>
        </w:rPr>
        <w:t xml:space="preserve"> his or her actual performance of duty as an employee may be</w:t>
      </w:r>
      <w:r>
        <w:rPr>
          <w:rFonts w:ascii="Times New Roman" w:hAnsi="Times New Roman"/>
          <w:sz w:val="24"/>
          <w:szCs w:val="24"/>
        </w:rPr>
        <w:t xml:space="preserve"> </w:t>
      </w:r>
      <w:r w:rsidRPr="006C7C3B">
        <w:rPr>
          <w:rFonts w:ascii="Times New Roman" w:hAnsi="Times New Roman"/>
          <w:sz w:val="24"/>
          <w:szCs w:val="24"/>
        </w:rPr>
        <w:t>3</w:t>
      </w:r>
    </w:p>
    <w:p w14:paraId="22981D3F" w14:textId="77777777" w:rsidR="00725A91" w:rsidRPr="006C7C3B" w:rsidRDefault="00725A91" w:rsidP="00725A91">
      <w:pPr>
        <w:pStyle w:val="NoSpacing"/>
        <w:ind w:firstLine="720"/>
        <w:rPr>
          <w:rFonts w:ascii="Times New Roman" w:hAnsi="Times New Roman"/>
          <w:sz w:val="24"/>
          <w:szCs w:val="24"/>
        </w:rPr>
      </w:pPr>
      <w:r w:rsidRPr="006C7C3B">
        <w:rPr>
          <w:rFonts w:ascii="Times New Roman" w:hAnsi="Times New Roman"/>
          <w:sz w:val="24"/>
          <w:szCs w:val="24"/>
        </w:rPr>
        <w:t>retired by the board upon proper application filed with the board by or on behalf of</w:t>
      </w:r>
    </w:p>
    <w:p w14:paraId="40A6B3A8" w14:textId="77777777" w:rsidR="00725A91" w:rsidRDefault="00725A91" w:rsidP="00725A91">
      <w:pPr>
        <w:pStyle w:val="NoSpacing"/>
        <w:ind w:firstLine="720"/>
        <w:rPr>
          <w:rFonts w:ascii="Times New Roman" w:hAnsi="Times New Roman"/>
          <w:sz w:val="24"/>
          <w:szCs w:val="24"/>
        </w:rPr>
      </w:pPr>
      <w:r w:rsidRPr="006C7C3B">
        <w:rPr>
          <w:rFonts w:ascii="Times New Roman" w:hAnsi="Times New Roman"/>
          <w:sz w:val="24"/>
          <w:szCs w:val="24"/>
        </w:rPr>
        <w:t>the member or former member.</w:t>
      </w:r>
      <w:r>
        <w:rPr>
          <w:rFonts w:ascii="Times New Roman" w:hAnsi="Times New Roman"/>
          <w:sz w:val="24"/>
          <w:szCs w:val="24"/>
        </w:rPr>
        <w:t>”</w:t>
      </w:r>
    </w:p>
    <w:p w14:paraId="56470F98" w14:textId="77777777" w:rsidR="00725A91" w:rsidRDefault="00725A91" w:rsidP="00725A91">
      <w:pPr>
        <w:pStyle w:val="NoSpacing"/>
        <w:rPr>
          <w:rFonts w:ascii="Times New Roman" w:hAnsi="Times New Roman"/>
          <w:sz w:val="24"/>
          <w:szCs w:val="24"/>
        </w:rPr>
      </w:pPr>
    </w:p>
    <w:p w14:paraId="7F2E12B5" w14:textId="77777777" w:rsidR="00725A91" w:rsidRPr="006C40B3" w:rsidRDefault="00725A91" w:rsidP="00725A91">
      <w:pPr>
        <w:pStyle w:val="NoSpacing"/>
        <w:rPr>
          <w:rFonts w:ascii="Times New Roman" w:hAnsi="Times New Roman"/>
          <w:sz w:val="24"/>
          <w:szCs w:val="24"/>
        </w:rPr>
      </w:pPr>
      <w:hyperlink r:id="rId2355" w:history="1">
        <w:r w:rsidRPr="0005504F">
          <w:rPr>
            <w:rStyle w:val="Hyperlink"/>
            <w:rFonts w:ascii="Times New Roman" w:hAnsi="Times New Roman"/>
            <w:sz w:val="24"/>
            <w:szCs w:val="24"/>
          </w:rPr>
          <w:t>https://cases.justia.com/arkansas/court-of-appeals/2024-cv-22-650.pdf?ts=1713971302</w:t>
        </w:r>
      </w:hyperlink>
      <w:r>
        <w:rPr>
          <w:rFonts w:ascii="Times New Roman" w:hAnsi="Times New Roman"/>
          <w:sz w:val="24"/>
          <w:szCs w:val="24"/>
        </w:rPr>
        <w:t xml:space="preserve"> </w:t>
      </w:r>
    </w:p>
    <w:p w14:paraId="25909773" w14:textId="77777777" w:rsidR="00725A91" w:rsidRDefault="00725A91" w:rsidP="00725A91">
      <w:pPr>
        <w:pStyle w:val="NoSpacing"/>
        <w:rPr>
          <w:rFonts w:ascii="Times New Roman" w:hAnsi="Times New Roman"/>
          <w:sz w:val="24"/>
          <w:szCs w:val="24"/>
        </w:rPr>
      </w:pPr>
    </w:p>
    <w:p w14:paraId="370EED9F" w14:textId="77777777" w:rsidR="00725A91" w:rsidRDefault="00725A91" w:rsidP="00725A91">
      <w:pPr>
        <w:pStyle w:val="NormalWeb"/>
      </w:pPr>
      <w:r>
        <w:t>COURT HELD:</w:t>
      </w:r>
    </w:p>
    <w:p w14:paraId="52BEB43E" w14:textId="77777777" w:rsidR="00725A91" w:rsidRDefault="00725A91" w:rsidP="00725A91">
      <w:pPr>
        <w:pStyle w:val="NormalWeb"/>
        <w:ind w:left="720"/>
      </w:pPr>
      <w:r>
        <w:t>“On April 4, 2020, the Bella Vista Fire Department terminated his employment because Mills was notified that he had been approved for a long-term disability policy.</w:t>
      </w:r>
    </w:p>
    <w:p w14:paraId="7915934D" w14:textId="77777777" w:rsidR="00725A91" w:rsidRDefault="00725A91" w:rsidP="00725A91">
      <w:pPr>
        <w:pStyle w:val="NormalWeb"/>
        <w:ind w:left="720"/>
      </w:pPr>
      <w:r>
        <w:t>***</w:t>
      </w:r>
    </w:p>
    <w:p w14:paraId="4BC0D693" w14:textId="77777777" w:rsidR="00725A91" w:rsidRPr="00A271C9" w:rsidRDefault="00725A91" w:rsidP="00725A91">
      <w:pPr>
        <w:pStyle w:val="NoSpacing"/>
        <w:ind w:firstLine="720"/>
        <w:rPr>
          <w:rFonts w:ascii="Times New Roman" w:hAnsi="Times New Roman"/>
          <w:sz w:val="24"/>
          <w:szCs w:val="24"/>
        </w:rPr>
      </w:pPr>
      <w:r w:rsidRPr="00A271C9">
        <w:rPr>
          <w:rFonts w:ascii="Times New Roman" w:hAnsi="Times New Roman"/>
          <w:sz w:val="24"/>
          <w:szCs w:val="24"/>
        </w:rPr>
        <w:t xml:space="preserve">The Board’s designated physician, Dr. </w:t>
      </w:r>
      <w:proofErr w:type="spellStart"/>
      <w:r w:rsidRPr="00A271C9">
        <w:rPr>
          <w:rFonts w:ascii="Times New Roman" w:hAnsi="Times New Roman"/>
          <w:sz w:val="24"/>
          <w:szCs w:val="24"/>
        </w:rPr>
        <w:t>Podkova</w:t>
      </w:r>
      <w:proofErr w:type="spellEnd"/>
      <w:r w:rsidRPr="00A271C9">
        <w:rPr>
          <w:rFonts w:ascii="Times New Roman" w:hAnsi="Times New Roman"/>
          <w:sz w:val="24"/>
          <w:szCs w:val="24"/>
        </w:rPr>
        <w:t>, examined Mills and reviewed his</w:t>
      </w:r>
    </w:p>
    <w:p w14:paraId="3FF4AAEE" w14:textId="77777777" w:rsidR="00725A91" w:rsidRPr="00A271C9" w:rsidRDefault="00725A91" w:rsidP="00725A91">
      <w:pPr>
        <w:pStyle w:val="NoSpacing"/>
        <w:ind w:firstLine="720"/>
        <w:rPr>
          <w:rFonts w:ascii="Times New Roman" w:hAnsi="Times New Roman"/>
          <w:sz w:val="24"/>
          <w:szCs w:val="24"/>
        </w:rPr>
      </w:pPr>
      <w:r w:rsidRPr="00A271C9">
        <w:rPr>
          <w:rFonts w:ascii="Times New Roman" w:hAnsi="Times New Roman"/>
          <w:sz w:val="24"/>
          <w:szCs w:val="24"/>
        </w:rPr>
        <w:t xml:space="preserve">medical records submitted to LOPFI. On June 29, 2020, Dr. </w:t>
      </w:r>
      <w:proofErr w:type="spellStart"/>
      <w:r w:rsidRPr="00A271C9">
        <w:rPr>
          <w:rFonts w:ascii="Times New Roman" w:hAnsi="Times New Roman"/>
          <w:sz w:val="24"/>
          <w:szCs w:val="24"/>
        </w:rPr>
        <w:t>Podkova</w:t>
      </w:r>
      <w:proofErr w:type="spellEnd"/>
      <w:r w:rsidRPr="00A271C9">
        <w:rPr>
          <w:rFonts w:ascii="Times New Roman" w:hAnsi="Times New Roman"/>
          <w:sz w:val="24"/>
          <w:szCs w:val="24"/>
        </w:rPr>
        <w:t xml:space="preserve"> issued a detailed</w:t>
      </w:r>
    </w:p>
    <w:p w14:paraId="284E4B06" w14:textId="77777777" w:rsidR="00725A91" w:rsidRPr="00A271C9" w:rsidRDefault="00725A91" w:rsidP="00725A91">
      <w:pPr>
        <w:pStyle w:val="NoSpacing"/>
        <w:ind w:firstLine="720"/>
        <w:rPr>
          <w:rFonts w:ascii="Times New Roman" w:hAnsi="Times New Roman"/>
          <w:sz w:val="24"/>
          <w:szCs w:val="24"/>
        </w:rPr>
      </w:pPr>
      <w:r w:rsidRPr="00A271C9">
        <w:rPr>
          <w:rFonts w:ascii="Times New Roman" w:hAnsi="Times New Roman"/>
          <w:sz w:val="24"/>
          <w:szCs w:val="24"/>
        </w:rPr>
        <w:t>report and determined that Mills was not totally and permanently disabled from his</w:t>
      </w:r>
    </w:p>
    <w:p w14:paraId="5EA0E17F" w14:textId="77777777" w:rsidR="00725A91" w:rsidRPr="00A271C9" w:rsidRDefault="00725A91" w:rsidP="00725A91">
      <w:pPr>
        <w:pStyle w:val="NoSpacing"/>
        <w:ind w:left="720"/>
        <w:rPr>
          <w:rFonts w:ascii="Times New Roman" w:hAnsi="Times New Roman"/>
          <w:sz w:val="24"/>
          <w:szCs w:val="24"/>
        </w:rPr>
      </w:pPr>
      <w:r w:rsidRPr="00A271C9">
        <w:rPr>
          <w:rFonts w:ascii="Times New Roman" w:hAnsi="Times New Roman"/>
          <w:sz w:val="24"/>
          <w:szCs w:val="24"/>
        </w:rPr>
        <w:t xml:space="preserve">firefighting activity. Dr. </w:t>
      </w:r>
      <w:proofErr w:type="spellStart"/>
      <w:r w:rsidRPr="00A271C9">
        <w:rPr>
          <w:rFonts w:ascii="Times New Roman" w:hAnsi="Times New Roman"/>
          <w:sz w:val="24"/>
          <w:szCs w:val="24"/>
        </w:rPr>
        <w:t>Podkova</w:t>
      </w:r>
      <w:proofErr w:type="spellEnd"/>
      <w:r w:rsidRPr="00A271C9">
        <w:rPr>
          <w:rFonts w:ascii="Times New Roman" w:hAnsi="Times New Roman"/>
          <w:sz w:val="24"/>
          <w:szCs w:val="24"/>
        </w:rPr>
        <w:t xml:space="preserve"> concluded that Mills met the criteria for PTSD and that it</w:t>
      </w:r>
      <w:r>
        <w:rPr>
          <w:rFonts w:ascii="Times New Roman" w:hAnsi="Times New Roman"/>
          <w:sz w:val="24"/>
          <w:szCs w:val="24"/>
        </w:rPr>
        <w:t xml:space="preserve"> </w:t>
      </w:r>
      <w:r w:rsidRPr="00A271C9">
        <w:rPr>
          <w:rFonts w:ascii="Times New Roman" w:hAnsi="Times New Roman"/>
          <w:sz w:val="24"/>
          <w:szCs w:val="24"/>
        </w:rPr>
        <w:t>was more likely than not that Mills’s PTSD arose from his employment. However, she opined</w:t>
      </w:r>
      <w:r>
        <w:rPr>
          <w:rFonts w:ascii="Times New Roman" w:hAnsi="Times New Roman"/>
          <w:sz w:val="24"/>
          <w:szCs w:val="24"/>
        </w:rPr>
        <w:t xml:space="preserve"> </w:t>
      </w:r>
      <w:r w:rsidRPr="00A271C9">
        <w:rPr>
          <w:rFonts w:ascii="Times New Roman" w:hAnsi="Times New Roman"/>
          <w:sz w:val="24"/>
          <w:szCs w:val="24"/>
        </w:rPr>
        <w:t>that the disability was not total and permanent due, among other things, to Mills’s mental</w:t>
      </w:r>
      <w:r>
        <w:rPr>
          <w:rFonts w:ascii="Times New Roman" w:hAnsi="Times New Roman"/>
          <w:sz w:val="24"/>
          <w:szCs w:val="24"/>
        </w:rPr>
        <w:t xml:space="preserve"> </w:t>
      </w:r>
      <w:r w:rsidRPr="00A271C9">
        <w:rPr>
          <w:rFonts w:ascii="Times New Roman" w:hAnsi="Times New Roman"/>
          <w:sz w:val="24"/>
          <w:szCs w:val="24"/>
        </w:rPr>
        <w:t>status, the severity of his impairment, his noted improvement in symptoms with treatment,</w:t>
      </w:r>
      <w:r>
        <w:rPr>
          <w:rFonts w:ascii="Times New Roman" w:hAnsi="Times New Roman"/>
          <w:sz w:val="24"/>
          <w:szCs w:val="24"/>
        </w:rPr>
        <w:t xml:space="preserve"> </w:t>
      </w:r>
      <w:r w:rsidRPr="00A271C9">
        <w:rPr>
          <w:rFonts w:ascii="Times New Roman" w:hAnsi="Times New Roman"/>
          <w:sz w:val="24"/>
          <w:szCs w:val="24"/>
        </w:rPr>
        <w:t>his presentation, and the fact that he continued to volunteer with the Little Flock Fire</w:t>
      </w:r>
      <w:r>
        <w:rPr>
          <w:rFonts w:ascii="Times New Roman" w:hAnsi="Times New Roman"/>
          <w:sz w:val="24"/>
          <w:szCs w:val="24"/>
        </w:rPr>
        <w:t xml:space="preserve"> </w:t>
      </w:r>
      <w:r w:rsidRPr="00A271C9">
        <w:rPr>
          <w:rFonts w:ascii="Times New Roman" w:hAnsi="Times New Roman"/>
          <w:sz w:val="24"/>
          <w:szCs w:val="24"/>
        </w:rPr>
        <w:t>Department in addition to his full-time employment with the Bella Vista Fire Department</w:t>
      </w:r>
      <w:r>
        <w:rPr>
          <w:rFonts w:ascii="Times New Roman" w:hAnsi="Times New Roman"/>
          <w:sz w:val="24"/>
          <w:szCs w:val="24"/>
        </w:rPr>
        <w:t xml:space="preserve"> </w:t>
      </w:r>
      <w:r w:rsidRPr="00A271C9">
        <w:rPr>
          <w:rFonts w:ascii="Times New Roman" w:hAnsi="Times New Roman"/>
          <w:sz w:val="24"/>
          <w:szCs w:val="24"/>
        </w:rPr>
        <w:t>for a period of years after he started seeking help for his PTSD symptoms.</w:t>
      </w:r>
      <w:r>
        <w:rPr>
          <w:rFonts w:ascii="Times New Roman" w:hAnsi="Times New Roman"/>
          <w:sz w:val="24"/>
          <w:szCs w:val="24"/>
        </w:rPr>
        <w:t>”</w:t>
      </w:r>
    </w:p>
    <w:p w14:paraId="5CF7A771" w14:textId="77777777" w:rsidR="00725A91" w:rsidRDefault="00725A91" w:rsidP="00725A91">
      <w:pPr>
        <w:pStyle w:val="NormalWeb"/>
        <w:spacing w:before="0" w:beforeAutospacing="0"/>
        <w:rPr>
          <w:b/>
          <w:bCs/>
          <w:color w:val="454545"/>
          <w:shd w:val="clear" w:color="auto" w:fill="FFFFFF"/>
        </w:rPr>
      </w:pPr>
    </w:p>
    <w:p w14:paraId="72351711" w14:textId="77777777" w:rsidR="00725A91" w:rsidRDefault="00725A91" w:rsidP="00725A91">
      <w:pPr>
        <w:pStyle w:val="NoSpacing"/>
        <w:ind w:left="720"/>
        <w:rPr>
          <w:rFonts w:ascii="Times New Roman" w:hAnsi="Times New Roman"/>
          <w:sz w:val="24"/>
          <w:szCs w:val="24"/>
          <w:shd w:val="clear" w:color="auto" w:fill="FFFFFF"/>
        </w:rPr>
      </w:pPr>
    </w:p>
    <w:p w14:paraId="79C2E055" w14:textId="77777777" w:rsidR="00725A91" w:rsidRPr="00A961ED" w:rsidRDefault="00725A91" w:rsidP="00725A91">
      <w:pPr>
        <w:pStyle w:val="NoSpacing"/>
        <w:rPr>
          <w:rFonts w:ascii="Times New Roman" w:hAnsi="Times New Roman"/>
          <w:b/>
          <w:bCs/>
          <w:sz w:val="24"/>
          <w:szCs w:val="24"/>
          <w:shd w:val="clear" w:color="auto" w:fill="FFFFFF"/>
        </w:rPr>
      </w:pPr>
      <w:r w:rsidRPr="00A961ED">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Firefighter failed to prove he was “</w:t>
      </w:r>
      <w:r w:rsidRPr="00CC13B5">
        <w:rPr>
          <w:rFonts w:ascii="Times New Roman" w:hAnsi="Times New Roman"/>
          <w:b/>
          <w:bCs/>
          <w:sz w:val="24"/>
          <w:szCs w:val="24"/>
          <w:shd w:val="clear" w:color="auto" w:fill="FFFFFF"/>
        </w:rPr>
        <w:t>totally and</w:t>
      </w:r>
      <w:r>
        <w:rPr>
          <w:rFonts w:ascii="Times New Roman" w:hAnsi="Times New Roman"/>
          <w:b/>
          <w:bCs/>
          <w:sz w:val="24"/>
          <w:szCs w:val="24"/>
          <w:shd w:val="clear" w:color="auto" w:fill="FFFFFF"/>
        </w:rPr>
        <w:t xml:space="preserve"> </w:t>
      </w:r>
      <w:r w:rsidRPr="00CC13B5">
        <w:rPr>
          <w:rFonts w:ascii="Times New Roman" w:hAnsi="Times New Roman"/>
          <w:b/>
          <w:bCs/>
          <w:sz w:val="24"/>
          <w:szCs w:val="24"/>
          <w:shd w:val="clear" w:color="auto" w:fill="FFFFFF"/>
        </w:rPr>
        <w:t>permanently physically or mentally incapacitated for any suitable duty as an employee</w:t>
      </w:r>
      <w:r>
        <w:rPr>
          <w:rFonts w:ascii="Times New Roman" w:hAnsi="Times New Roman"/>
          <w:b/>
          <w:bCs/>
          <w:sz w:val="24"/>
          <w:szCs w:val="24"/>
          <w:shd w:val="clear" w:color="auto" w:fill="FFFFFF"/>
        </w:rPr>
        <w:t>.”</w:t>
      </w:r>
    </w:p>
    <w:p w14:paraId="44251224" w14:textId="77777777" w:rsidR="00725A91" w:rsidRDefault="00725A91" w:rsidP="00725A91">
      <w:pPr>
        <w:pStyle w:val="NormalWeb"/>
        <w:spacing w:before="0" w:beforeAutospacing="0"/>
        <w:jc w:val="center"/>
        <w:rPr>
          <w:b/>
          <w:bCs/>
          <w:color w:val="454545"/>
          <w:shd w:val="clear" w:color="auto" w:fill="FFFFFF"/>
        </w:rPr>
      </w:pPr>
    </w:p>
    <w:p w14:paraId="5D35D341" w14:textId="77777777" w:rsidR="00725A91" w:rsidRPr="000E0B66" w:rsidRDefault="00725A91" w:rsidP="00725A91">
      <w:pPr>
        <w:pStyle w:val="NormalWeb"/>
        <w:spacing w:before="0" w:beforeAutospacing="0"/>
      </w:pPr>
    </w:p>
    <w:p w14:paraId="3D830BE7" w14:textId="77777777" w:rsidR="00725A91" w:rsidRDefault="00725A91" w:rsidP="000C4DF5">
      <w:pPr>
        <w:pStyle w:val="NoSpacing"/>
        <w:rPr>
          <w:rFonts w:ascii="Arial Black" w:hAnsi="Arial Black"/>
          <w:sz w:val="24"/>
          <w:szCs w:val="24"/>
        </w:rPr>
      </w:pPr>
    </w:p>
    <w:p w14:paraId="4CAAF129" w14:textId="77777777" w:rsidR="00725A91" w:rsidRDefault="00725A91" w:rsidP="000C4DF5">
      <w:pPr>
        <w:pStyle w:val="NoSpacing"/>
        <w:rPr>
          <w:rFonts w:ascii="Arial Black" w:hAnsi="Arial Black"/>
          <w:sz w:val="24"/>
          <w:szCs w:val="24"/>
        </w:rPr>
      </w:pPr>
    </w:p>
    <w:p w14:paraId="4623BC08" w14:textId="4658831E" w:rsidR="006F1059" w:rsidRDefault="006F1059" w:rsidP="000C4DF5">
      <w:pPr>
        <w:pStyle w:val="NoSpacing"/>
        <w:rPr>
          <w:rFonts w:ascii="Arial Black" w:hAnsi="Arial Black"/>
          <w:sz w:val="24"/>
          <w:szCs w:val="24"/>
        </w:rPr>
      </w:pPr>
      <w:r>
        <w:rPr>
          <w:rFonts w:ascii="Arial Black" w:hAnsi="Arial Black"/>
          <w:sz w:val="24"/>
          <w:szCs w:val="24"/>
        </w:rPr>
        <w:t>15-29</w:t>
      </w:r>
    </w:p>
    <w:p w14:paraId="4EFCCE20" w14:textId="77777777" w:rsidR="00776614" w:rsidRPr="00801B4D" w:rsidRDefault="00776614" w:rsidP="00776614">
      <w:pPr>
        <w:pStyle w:val="Heading1"/>
        <w:rPr>
          <w:rFonts w:ascii="Arial Black" w:hAnsi="Arial Black"/>
          <w:b w:val="0"/>
          <w:bCs w:val="0"/>
          <w:sz w:val="28"/>
          <w:szCs w:val="28"/>
        </w:rPr>
      </w:pPr>
      <w:r>
        <w:rPr>
          <w:rFonts w:ascii="Arial Black" w:hAnsi="Arial Black"/>
          <w:b w:val="0"/>
          <w:bCs w:val="0"/>
          <w:sz w:val="28"/>
          <w:szCs w:val="28"/>
        </w:rPr>
        <w:lastRenderedPageBreak/>
        <w:t>NY: PTSD - PERUVIAN FDNY FF – HAZING – HOSTILE WORK ATMOSPHERE – 2015-2021 – FIRED - CASE PROCEED</w:t>
      </w:r>
    </w:p>
    <w:p w14:paraId="537C7193" w14:textId="77777777" w:rsidR="00776614" w:rsidRDefault="00776614" w:rsidP="00776614">
      <w:pPr>
        <w:pStyle w:val="Heading1"/>
        <w:rPr>
          <w:b w:val="0"/>
          <w:bCs w:val="0"/>
          <w:sz w:val="24"/>
          <w:szCs w:val="24"/>
        </w:rPr>
      </w:pPr>
      <w:r>
        <w:rPr>
          <w:b w:val="0"/>
          <w:bCs w:val="0"/>
          <w:sz w:val="24"/>
          <w:szCs w:val="24"/>
        </w:rPr>
        <w:t xml:space="preserve">Jan. 5, 2024, Court granted FDNY motion for protective order (pre-trial discovery extended to March 15, 2024).  On March 31, 2023, in </w:t>
      </w:r>
      <w:r w:rsidRPr="00A65A6D">
        <w:rPr>
          <w:b w:val="0"/>
          <w:bCs w:val="0"/>
          <w:sz w:val="24"/>
          <w:szCs w:val="24"/>
          <w:u w:val="single"/>
        </w:rPr>
        <w:t>Joseph Mendoza v. City of New York, et al</w:t>
      </w:r>
      <w:r>
        <w:rPr>
          <w:b w:val="0"/>
          <w:bCs w:val="0"/>
          <w:sz w:val="24"/>
          <w:szCs w:val="24"/>
        </w:rPr>
        <w:t xml:space="preserve">., U.S. District Court Judge Lashann Dearcy Hall, U.S. District Court for Eastern District of New York, dismissed most of the plaintiff’s claims, but denied the defense motion to dismiss Section 1983 hostile work environment claim. </w:t>
      </w:r>
    </w:p>
    <w:p w14:paraId="681DE6F9" w14:textId="77777777" w:rsidR="00776614" w:rsidRDefault="00776614" w:rsidP="00776614">
      <w:pPr>
        <w:pStyle w:val="paragraph"/>
      </w:pPr>
      <w:r>
        <w:t xml:space="preserve">The Court held: </w:t>
      </w:r>
    </w:p>
    <w:p w14:paraId="5E32BEBD" w14:textId="77777777" w:rsidR="00776614" w:rsidRDefault="00776614" w:rsidP="00776614">
      <w:pPr>
        <w:pStyle w:val="paragraph"/>
        <w:ind w:left="720"/>
      </w:pPr>
      <w:r>
        <w:t xml:space="preserve">“Plaintiff's hostile work environment claims warrant different treatment. “A charge alleging a hostile work environment claim . . . will not be time barred so long as all acts which constitute the claim are part of the same unlawful employment practice and at least one act falls within the time period.” </w:t>
      </w:r>
      <w:r>
        <w:rPr>
          <w:i/>
          <w:iCs/>
        </w:rPr>
        <w:t>Sotomayor v. City of New York</w:t>
      </w:r>
      <w:r>
        <w:t xml:space="preserve">, </w:t>
      </w:r>
      <w:hyperlink r:id="rId2356" w:anchor="p250" w:history="1">
        <w:r>
          <w:rPr>
            <w:rStyle w:val="Hyperlink"/>
          </w:rPr>
          <w:t>862 F.Supp.2d 226, 250</w:t>
        </w:r>
      </w:hyperlink>
      <w:r>
        <w:t xml:space="preserve"> (E.D.N.Y. 2012) (quoting </w:t>
      </w:r>
      <w:r>
        <w:rPr>
          <w:i/>
          <w:iCs/>
        </w:rPr>
        <w:t>Morgan</w:t>
      </w:r>
      <w:r>
        <w:t>, 536 U.S. at 122). As Plaintiff correctly argues, the amended complaint alleges a continuous and ongoing period of racial harassment that began in 2015 and continued through at least May 2019, when he alleges he received a racially offensive text message in the group chat. (</w:t>
      </w:r>
      <w:r>
        <w:rPr>
          <w:i/>
          <w:iCs/>
        </w:rPr>
        <w:t>See</w:t>
      </w:r>
      <w:r>
        <w:t xml:space="preserve"> Pl's </w:t>
      </w:r>
      <w:proofErr w:type="spellStart"/>
      <w:r>
        <w:t>Opp'n</w:t>
      </w:r>
      <w:proofErr w:type="spellEnd"/>
      <w:r>
        <w:t xml:space="preserve"> at 6-7; </w:t>
      </w:r>
      <w:r>
        <w:rPr>
          <w:i/>
          <w:iCs/>
        </w:rPr>
        <w:t>see also</w:t>
      </w:r>
      <w:r>
        <w:t xml:space="preserve"> Am. </w:t>
      </w:r>
      <w:proofErr w:type="spellStart"/>
      <w:r>
        <w:t>Compl</w:t>
      </w:r>
      <w:proofErr w:type="spellEnd"/>
      <w:r>
        <w:t xml:space="preserve">. ¶¶ 23, 38, 56.) Plaintiff alleges he was subjected to racially demeaning conduct throughout this </w:t>
      </w:r>
      <w:proofErr w:type="gramStart"/>
      <w:r>
        <w:t>time period</w:t>
      </w:r>
      <w:proofErr w:type="gramEnd"/>
      <w:r>
        <w:t>, and none of those individual comments or racial incidents could constitute a discrete act or be considered unrelated to the racial incidents he experienced within the limitations period.”</w:t>
      </w:r>
      <w:r w:rsidRPr="00D36ABB">
        <w:t xml:space="preserve"> </w:t>
      </w:r>
      <w:hyperlink r:id="rId2357" w:history="1">
        <w:r w:rsidRPr="00E007C4">
          <w:rPr>
            <w:rStyle w:val="Hyperlink"/>
          </w:rPr>
          <w:t>https://casetext.com/case/mendoza-v-the-city-of-new-york-3</w:t>
        </w:r>
      </w:hyperlink>
      <w:r>
        <w:t xml:space="preserve"> </w:t>
      </w:r>
    </w:p>
    <w:p w14:paraId="6D11FED5" w14:textId="77777777" w:rsidR="00776614" w:rsidRPr="00EB6336" w:rsidRDefault="00776614" w:rsidP="00776614">
      <w:pPr>
        <w:pStyle w:val="paragraph"/>
        <w:rPr>
          <w:b/>
          <w:bCs/>
        </w:rPr>
      </w:pPr>
      <w:r w:rsidRPr="00EB6336">
        <w:rPr>
          <w:b/>
          <w:bCs/>
        </w:rPr>
        <w:t xml:space="preserve">Legal Lesson Learned: </w:t>
      </w:r>
      <w:r>
        <w:rPr>
          <w:b/>
          <w:bCs/>
        </w:rPr>
        <w:t xml:space="preserve">Continuous hazing can lead to hostile work atmosphere litigation. </w:t>
      </w:r>
    </w:p>
    <w:p w14:paraId="66A64024" w14:textId="77777777" w:rsidR="006F1059" w:rsidRDefault="006F1059" w:rsidP="000C4DF5">
      <w:pPr>
        <w:pStyle w:val="NoSpacing"/>
        <w:rPr>
          <w:rFonts w:ascii="Arial Black" w:hAnsi="Arial Black"/>
          <w:sz w:val="24"/>
          <w:szCs w:val="24"/>
        </w:rPr>
      </w:pPr>
    </w:p>
    <w:p w14:paraId="3EDD726D" w14:textId="77777777" w:rsidR="006F1059" w:rsidRDefault="006F1059" w:rsidP="000C4DF5">
      <w:pPr>
        <w:pStyle w:val="NoSpacing"/>
        <w:rPr>
          <w:rFonts w:ascii="Arial Black" w:hAnsi="Arial Black"/>
          <w:sz w:val="24"/>
          <w:szCs w:val="24"/>
        </w:rPr>
      </w:pPr>
    </w:p>
    <w:p w14:paraId="065E298F" w14:textId="63F165DB" w:rsidR="003A2816" w:rsidRDefault="003A2816" w:rsidP="000C4DF5">
      <w:pPr>
        <w:pStyle w:val="NoSpacing"/>
        <w:rPr>
          <w:rFonts w:ascii="Arial Black" w:hAnsi="Arial Black"/>
          <w:sz w:val="24"/>
          <w:szCs w:val="24"/>
        </w:rPr>
      </w:pPr>
      <w:r>
        <w:rPr>
          <w:rFonts w:ascii="Arial Black" w:hAnsi="Arial Black"/>
          <w:sz w:val="24"/>
          <w:szCs w:val="24"/>
        </w:rPr>
        <w:t>15-28</w:t>
      </w:r>
    </w:p>
    <w:p w14:paraId="719B7E88" w14:textId="77777777" w:rsidR="00787369" w:rsidRDefault="00787369" w:rsidP="00787369">
      <w:pPr>
        <w:pStyle w:val="NormalWeb"/>
        <w:rPr>
          <w:rFonts w:ascii="Arial Black" w:hAnsi="Arial Black"/>
          <w:b/>
          <w:bCs/>
          <w:sz w:val="28"/>
          <w:szCs w:val="28"/>
        </w:rPr>
      </w:pPr>
      <w:r>
        <w:rPr>
          <w:rFonts w:ascii="Arial Black" w:hAnsi="Arial Black"/>
          <w:b/>
          <w:bCs/>
          <w:sz w:val="28"/>
          <w:szCs w:val="28"/>
        </w:rPr>
        <w:t xml:space="preserve">OH: MENTAL CALL / SUICIDE GUNSHOT – DEPUTIES NOT RECKLESS - CALLED MOBILE CRISIS - NOT LIABLE </w:t>
      </w:r>
    </w:p>
    <w:p w14:paraId="75520E94" w14:textId="77777777" w:rsidR="00787369" w:rsidRDefault="00787369" w:rsidP="00787369">
      <w:pPr>
        <w:pStyle w:val="NormalWeb"/>
      </w:pPr>
      <w:r>
        <w:t xml:space="preserve">On Dec. 28, 2023, in </w:t>
      </w:r>
      <w:r w:rsidRPr="00DF2081">
        <w:rPr>
          <w:u w:val="single"/>
        </w:rPr>
        <w:t>Sarah Wilson, Administrator of the Estate of Jack Huelsman, et al. v. Eric Gregory, et al.</w:t>
      </w:r>
      <w:r>
        <w:t>, the Court of Appeals of Ohio, Twelfth District, held (3 to 0) that lawsuit against two Deputy Sheriff’s for not taking the patient to mental health facility was properly dismissed, since patient at that time did not appear to be a risk to himself or others.  The Court held:  “We find that the Deputies did not engage in reckless conduct because there is no evidence in the record that they consciously disregarded or were indifferent to a known or obvious risk of harm to Jack [Huelsmann].”.</w:t>
      </w:r>
      <w:hyperlink r:id="rId2358" w:history="1">
        <w:r w:rsidRPr="0044657D">
          <w:rPr>
            <w:rStyle w:val="Hyperlink"/>
          </w:rPr>
          <w:t>https://cases.justia.com/ohio/twelfth-district-court-of-appeals/2023-ca2023-06-039.pdf?ts=1703791198</w:t>
        </w:r>
      </w:hyperlink>
    </w:p>
    <w:p w14:paraId="4FA17AAC" w14:textId="77777777" w:rsidR="004C2189" w:rsidRDefault="004C2189" w:rsidP="004C2189">
      <w:pPr>
        <w:pStyle w:val="NormalWeb"/>
        <w:rPr>
          <w:b/>
          <w:bCs/>
        </w:rPr>
      </w:pPr>
      <w:r w:rsidRPr="00190E94">
        <w:rPr>
          <w:b/>
          <w:bCs/>
        </w:rPr>
        <w:t>Legal Lesson Learned:</w:t>
      </w:r>
      <w:r>
        <w:rPr>
          <w:b/>
          <w:bCs/>
        </w:rPr>
        <w:t xml:space="preserve"> A tragic outcome to a mental health run; lengthy litigation, if the Deputies had not cancelled EMS there would have been four witnesses to testify about patient’s condition.  </w:t>
      </w:r>
    </w:p>
    <w:p w14:paraId="00EBF9F8" w14:textId="77777777" w:rsidR="004C2189" w:rsidRDefault="004C2189" w:rsidP="004C2189">
      <w:pPr>
        <w:pStyle w:val="NormalWeb"/>
        <w:ind w:left="720"/>
      </w:pPr>
      <w:r>
        <w:t xml:space="preserve">Note: FEDERAL LAWSUIT. Plaintiff  had originally filed a lawsuit against the Deputies in Federal court. On Sept. 30, 2020, U.S. District Court granted summary judgment to the Deputies. </w:t>
      </w:r>
      <w:hyperlink r:id="rId2359" w:history="1">
        <w:r w:rsidRPr="003C00DD">
          <w:rPr>
            <w:rStyle w:val="Hyperlink"/>
          </w:rPr>
          <w:t>https://caselaw.findlaw.com/court/us-dis-crt-s-d-ohi-wes-div/2089388.html</w:t>
        </w:r>
      </w:hyperlink>
      <w:r>
        <w:t>. On July 1, 2021, the 6</w:t>
      </w:r>
      <w:r w:rsidRPr="0021237F">
        <w:rPr>
          <w:vertAlign w:val="superscript"/>
        </w:rPr>
        <w:t>th</w:t>
      </w:r>
      <w:r>
        <w:t xml:space="preserve"> Circuit Court of Appeals directed District Court judge “to determine whether to exercise supplemental jurisdiction” over the state law claims that remain.”</w:t>
      </w:r>
      <w:r>
        <w:tab/>
        <w:t xml:space="preserve"> </w:t>
      </w:r>
      <w:hyperlink r:id="rId2360" w:history="1">
        <w:r w:rsidRPr="003C00DD">
          <w:rPr>
            <w:rStyle w:val="Hyperlink"/>
          </w:rPr>
          <w:t>https://www.opn.ca6.uscourts.gov/opinions.pdf/21a0151p-06.pdf</w:t>
        </w:r>
      </w:hyperlink>
      <w:r>
        <w:t xml:space="preserve">.] On Aug. 18, 2021, the U.S. District </w:t>
      </w:r>
      <w:r>
        <w:lastRenderedPageBreak/>
        <w:t>Court judge declined to exercise supplemental jurisdiction and dismisses all remaining claims without prejudice.</w:t>
      </w:r>
      <w:r w:rsidRPr="00D83569">
        <w:t xml:space="preserve"> </w:t>
      </w:r>
      <w:hyperlink r:id="rId2361" w:history="1">
        <w:r w:rsidRPr="003C00DD">
          <w:rPr>
            <w:rStyle w:val="Hyperlink"/>
          </w:rPr>
          <w:t>https://casetext.com/case/wilson-v-gregory-4</w:t>
        </w:r>
      </w:hyperlink>
    </w:p>
    <w:p w14:paraId="77E15EA1" w14:textId="77777777" w:rsidR="004C2189" w:rsidRDefault="004C2189" w:rsidP="004C2189">
      <w:pPr>
        <w:pStyle w:val="NoSpacing"/>
        <w:ind w:firstLine="720"/>
        <w:rPr>
          <w:rFonts w:ascii="Times New Roman" w:hAnsi="Times New Roman"/>
          <w:sz w:val="24"/>
          <w:szCs w:val="24"/>
        </w:rPr>
      </w:pPr>
      <w:r>
        <w:rPr>
          <w:rFonts w:ascii="Times New Roman" w:hAnsi="Times New Roman"/>
          <w:sz w:val="24"/>
          <w:szCs w:val="24"/>
        </w:rPr>
        <w:t>6</w:t>
      </w:r>
      <w:r w:rsidRPr="00102E41">
        <w:rPr>
          <w:rFonts w:ascii="Times New Roman" w:hAnsi="Times New Roman"/>
          <w:sz w:val="24"/>
          <w:szCs w:val="24"/>
          <w:vertAlign w:val="superscript"/>
        </w:rPr>
        <w:t>th</w:t>
      </w:r>
      <w:r>
        <w:rPr>
          <w:rFonts w:ascii="Times New Roman" w:hAnsi="Times New Roman"/>
          <w:sz w:val="24"/>
          <w:szCs w:val="24"/>
        </w:rPr>
        <w:t xml:space="preserve"> Circuit focused on EMS being cancelled. </w:t>
      </w:r>
    </w:p>
    <w:p w14:paraId="1BF847E5" w14:textId="77777777" w:rsidR="004C2189" w:rsidRDefault="004C2189" w:rsidP="004C2189">
      <w:pPr>
        <w:pStyle w:val="NoSpacing"/>
        <w:ind w:left="1440"/>
        <w:rPr>
          <w:rFonts w:ascii="Times New Roman" w:hAnsi="Times New Roman"/>
          <w:sz w:val="24"/>
          <w:szCs w:val="24"/>
        </w:rPr>
      </w:pPr>
    </w:p>
    <w:p w14:paraId="1EEACF85" w14:textId="77777777" w:rsidR="004C2189" w:rsidRDefault="004C2189" w:rsidP="004C2189">
      <w:pPr>
        <w:pStyle w:val="NoSpacing"/>
        <w:ind w:left="720"/>
        <w:rPr>
          <w:rFonts w:ascii="Times New Roman" w:hAnsi="Times New Roman"/>
          <w:sz w:val="24"/>
          <w:szCs w:val="24"/>
        </w:rPr>
      </w:pPr>
      <w:r w:rsidRPr="00692EF2">
        <w:rPr>
          <w:rFonts w:ascii="Times New Roman" w:hAnsi="Times New Roman"/>
          <w:sz w:val="24"/>
          <w:szCs w:val="24"/>
        </w:rPr>
        <w:t>In the meantime, emergency medical services (EMS) personnel had arrived and were</w:t>
      </w:r>
      <w:r>
        <w:rPr>
          <w:rFonts w:ascii="Times New Roman" w:hAnsi="Times New Roman"/>
          <w:sz w:val="24"/>
          <w:szCs w:val="24"/>
        </w:rPr>
        <w:t xml:space="preserve"> </w:t>
      </w:r>
      <w:r w:rsidRPr="00692EF2">
        <w:rPr>
          <w:rFonts w:ascii="Times New Roman" w:hAnsi="Times New Roman"/>
          <w:sz w:val="24"/>
          <w:szCs w:val="24"/>
        </w:rPr>
        <w:t>waiting for the Deputies’ go-ahead. Though EMS personnel’s ability to provide mental health</w:t>
      </w:r>
      <w:r>
        <w:rPr>
          <w:rFonts w:ascii="Times New Roman" w:hAnsi="Times New Roman"/>
          <w:sz w:val="24"/>
          <w:szCs w:val="24"/>
        </w:rPr>
        <w:t xml:space="preserve"> </w:t>
      </w:r>
      <w:r w:rsidRPr="00692EF2">
        <w:rPr>
          <w:rFonts w:ascii="Times New Roman" w:hAnsi="Times New Roman"/>
          <w:sz w:val="24"/>
          <w:szCs w:val="24"/>
        </w:rPr>
        <w:t>services was limited to asking basic questions to test a person’s mental acuity, their training and</w:t>
      </w:r>
      <w:r>
        <w:rPr>
          <w:rFonts w:ascii="Times New Roman" w:hAnsi="Times New Roman"/>
          <w:sz w:val="24"/>
          <w:szCs w:val="24"/>
        </w:rPr>
        <w:t xml:space="preserve"> </w:t>
      </w:r>
      <w:r w:rsidRPr="00692EF2">
        <w:rPr>
          <w:rFonts w:ascii="Times New Roman" w:hAnsi="Times New Roman"/>
          <w:sz w:val="24"/>
          <w:szCs w:val="24"/>
        </w:rPr>
        <w:t>policy permitted them to assess a person’s mental condition and make a recommendation to a</w:t>
      </w:r>
      <w:r>
        <w:rPr>
          <w:rFonts w:ascii="Times New Roman" w:hAnsi="Times New Roman"/>
          <w:sz w:val="24"/>
          <w:szCs w:val="24"/>
        </w:rPr>
        <w:t xml:space="preserve"> </w:t>
      </w:r>
      <w:r w:rsidRPr="00692EF2">
        <w:rPr>
          <w:rFonts w:ascii="Times New Roman" w:hAnsi="Times New Roman"/>
          <w:sz w:val="24"/>
          <w:szCs w:val="24"/>
        </w:rPr>
        <w:t>deputy that the person should or should not be detained. Within four minutes of his arrival at the</w:t>
      </w:r>
      <w:r>
        <w:rPr>
          <w:rFonts w:ascii="Times New Roman" w:hAnsi="Times New Roman"/>
          <w:sz w:val="24"/>
          <w:szCs w:val="24"/>
        </w:rPr>
        <w:t xml:space="preserve"> </w:t>
      </w:r>
      <w:proofErr w:type="spellStart"/>
      <w:r w:rsidRPr="00692EF2">
        <w:rPr>
          <w:rFonts w:ascii="Times New Roman" w:hAnsi="Times New Roman"/>
          <w:sz w:val="24"/>
          <w:szCs w:val="24"/>
        </w:rPr>
        <w:t>Huelsmans</w:t>
      </w:r>
      <w:proofErr w:type="spellEnd"/>
      <w:r w:rsidRPr="00692EF2">
        <w:rPr>
          <w:rFonts w:ascii="Times New Roman" w:hAnsi="Times New Roman"/>
          <w:sz w:val="24"/>
          <w:szCs w:val="24"/>
        </w:rPr>
        <w:t>’ home, Deputy Gregory called off EMS.</w:t>
      </w:r>
    </w:p>
    <w:p w14:paraId="3127E50E" w14:textId="77777777" w:rsidR="004C2189" w:rsidRDefault="004C2189" w:rsidP="004C2189">
      <w:pPr>
        <w:pStyle w:val="NoSpacing"/>
        <w:rPr>
          <w:rFonts w:ascii="Times New Roman" w:hAnsi="Times New Roman"/>
          <w:sz w:val="24"/>
          <w:szCs w:val="24"/>
        </w:rPr>
      </w:pPr>
    </w:p>
    <w:p w14:paraId="628B055A" w14:textId="77777777" w:rsidR="004C2189" w:rsidRDefault="004C2189" w:rsidP="004C2189">
      <w:pPr>
        <w:pStyle w:val="NoSpacing"/>
        <w:ind w:firstLine="720"/>
        <w:rPr>
          <w:rFonts w:ascii="Times New Roman" w:hAnsi="Times New Roman"/>
          <w:sz w:val="24"/>
          <w:szCs w:val="24"/>
        </w:rPr>
      </w:pPr>
      <w:r>
        <w:rPr>
          <w:rFonts w:ascii="Times New Roman" w:hAnsi="Times New Roman"/>
          <w:sz w:val="24"/>
          <w:szCs w:val="24"/>
        </w:rPr>
        <w:t>***</w:t>
      </w:r>
    </w:p>
    <w:p w14:paraId="0A59418A" w14:textId="77777777" w:rsidR="004C2189" w:rsidRDefault="004C2189" w:rsidP="004C2189">
      <w:pPr>
        <w:pStyle w:val="NoSpacing"/>
        <w:ind w:left="720"/>
        <w:rPr>
          <w:rFonts w:ascii="Times New Roman" w:hAnsi="Times New Roman"/>
          <w:sz w:val="24"/>
          <w:szCs w:val="24"/>
        </w:rPr>
      </w:pPr>
      <w:r w:rsidRPr="003C7982">
        <w:rPr>
          <w:rFonts w:ascii="Times New Roman" w:hAnsi="Times New Roman"/>
          <w:sz w:val="24"/>
          <w:szCs w:val="24"/>
        </w:rPr>
        <w:t>A reasonable juror could conclude from some combination of these indicia that</w:t>
      </w:r>
      <w:r>
        <w:rPr>
          <w:rFonts w:ascii="Times New Roman" w:hAnsi="Times New Roman"/>
          <w:sz w:val="24"/>
          <w:szCs w:val="24"/>
        </w:rPr>
        <w:t xml:space="preserve"> </w:t>
      </w:r>
      <w:r w:rsidRPr="003C7982">
        <w:rPr>
          <w:rFonts w:ascii="Times New Roman" w:hAnsi="Times New Roman"/>
          <w:sz w:val="24"/>
          <w:szCs w:val="24"/>
        </w:rPr>
        <w:t>the risk of Mr. Huelsman’s suicide was indeed obvious and that Deputies Gregory and/or Walsh</w:t>
      </w:r>
      <w:r>
        <w:rPr>
          <w:rFonts w:ascii="Times New Roman" w:hAnsi="Times New Roman"/>
          <w:sz w:val="24"/>
          <w:szCs w:val="24"/>
        </w:rPr>
        <w:t xml:space="preserve"> </w:t>
      </w:r>
      <w:r w:rsidRPr="003C7982">
        <w:rPr>
          <w:rFonts w:ascii="Times New Roman" w:hAnsi="Times New Roman"/>
          <w:sz w:val="24"/>
          <w:szCs w:val="24"/>
        </w:rPr>
        <w:t>acted recklessly as a result. It may well be that when presented with this case, a jury would</w:t>
      </w:r>
      <w:r>
        <w:rPr>
          <w:rFonts w:ascii="Times New Roman" w:hAnsi="Times New Roman"/>
          <w:sz w:val="24"/>
          <w:szCs w:val="24"/>
        </w:rPr>
        <w:t xml:space="preserve"> </w:t>
      </w:r>
      <w:r w:rsidRPr="003C7982">
        <w:rPr>
          <w:rFonts w:ascii="Times New Roman" w:hAnsi="Times New Roman"/>
          <w:sz w:val="24"/>
          <w:szCs w:val="24"/>
        </w:rPr>
        <w:t>conclude Deputies Gregory and/or Walsh did not act recklessly on the rationales that the separate</w:t>
      </w:r>
      <w:r>
        <w:rPr>
          <w:rFonts w:ascii="Times New Roman" w:hAnsi="Times New Roman"/>
          <w:sz w:val="24"/>
          <w:szCs w:val="24"/>
        </w:rPr>
        <w:t xml:space="preserve"> </w:t>
      </w:r>
      <w:r w:rsidRPr="003C7982">
        <w:rPr>
          <w:rFonts w:ascii="Times New Roman" w:hAnsi="Times New Roman"/>
          <w:sz w:val="24"/>
          <w:szCs w:val="24"/>
        </w:rPr>
        <w:t>writing discusses. But on this record and given Ohio courts’ strong preference for a jury to</w:t>
      </w:r>
      <w:r>
        <w:rPr>
          <w:rFonts w:ascii="Times New Roman" w:hAnsi="Times New Roman"/>
          <w:sz w:val="24"/>
          <w:szCs w:val="24"/>
        </w:rPr>
        <w:t xml:space="preserve"> </w:t>
      </w:r>
      <w:r w:rsidRPr="003C7982">
        <w:rPr>
          <w:rFonts w:ascii="Times New Roman" w:hAnsi="Times New Roman"/>
          <w:sz w:val="24"/>
          <w:szCs w:val="24"/>
        </w:rPr>
        <w:t xml:space="preserve">determine whether </w:t>
      </w:r>
      <w:proofErr w:type="gramStart"/>
      <w:r w:rsidRPr="003C7982">
        <w:rPr>
          <w:rFonts w:ascii="Times New Roman" w:hAnsi="Times New Roman"/>
          <w:sz w:val="24"/>
          <w:szCs w:val="24"/>
        </w:rPr>
        <w:t>particular acts</w:t>
      </w:r>
      <w:proofErr w:type="gramEnd"/>
      <w:r w:rsidRPr="003C7982">
        <w:rPr>
          <w:rFonts w:ascii="Times New Roman" w:hAnsi="Times New Roman"/>
          <w:sz w:val="24"/>
          <w:szCs w:val="24"/>
        </w:rPr>
        <w:t xml:space="preserve"> or decisions demonstrate recklessness, the grant of statutory</w:t>
      </w:r>
      <w:r>
        <w:rPr>
          <w:rFonts w:ascii="Times New Roman" w:hAnsi="Times New Roman"/>
          <w:sz w:val="24"/>
          <w:szCs w:val="24"/>
        </w:rPr>
        <w:t xml:space="preserve"> </w:t>
      </w:r>
      <w:r w:rsidRPr="003C7982">
        <w:rPr>
          <w:rFonts w:ascii="Times New Roman" w:hAnsi="Times New Roman"/>
          <w:sz w:val="24"/>
          <w:szCs w:val="24"/>
        </w:rPr>
        <w:t>immunity to Deputies Gregory and Walsh, and therefore the grant of summary judgment in their</w:t>
      </w:r>
      <w:r>
        <w:rPr>
          <w:rFonts w:ascii="Times New Roman" w:hAnsi="Times New Roman"/>
          <w:sz w:val="24"/>
          <w:szCs w:val="24"/>
        </w:rPr>
        <w:t xml:space="preserve"> </w:t>
      </w:r>
      <w:r w:rsidRPr="003C7982">
        <w:rPr>
          <w:rFonts w:ascii="Times New Roman" w:hAnsi="Times New Roman"/>
          <w:sz w:val="24"/>
          <w:szCs w:val="24"/>
        </w:rPr>
        <w:t xml:space="preserve">favor on the </w:t>
      </w:r>
      <w:proofErr w:type="spellStart"/>
      <w:r w:rsidRPr="003C7982">
        <w:rPr>
          <w:rFonts w:ascii="Times New Roman" w:hAnsi="Times New Roman"/>
          <w:sz w:val="24"/>
          <w:szCs w:val="24"/>
        </w:rPr>
        <w:t>Huelsmans</w:t>
      </w:r>
      <w:proofErr w:type="spellEnd"/>
      <w:r w:rsidRPr="003C7982">
        <w:rPr>
          <w:rFonts w:ascii="Times New Roman" w:hAnsi="Times New Roman"/>
          <w:sz w:val="24"/>
          <w:szCs w:val="24"/>
        </w:rPr>
        <w:t>’ state law claims, was also error.</w:t>
      </w:r>
    </w:p>
    <w:p w14:paraId="1D33F791" w14:textId="77777777" w:rsidR="004C2189" w:rsidRDefault="004C2189" w:rsidP="004C2189">
      <w:pPr>
        <w:pStyle w:val="NormalWeb"/>
        <w:ind w:left="720"/>
      </w:pPr>
      <w:r w:rsidRPr="00784817">
        <w:t>Note</w:t>
      </w:r>
      <w:r>
        <w:t xml:space="preserve"> – Pink Slip</w:t>
      </w:r>
    </w:p>
    <w:p w14:paraId="6DAD447F" w14:textId="77777777" w:rsidR="004C2189" w:rsidRDefault="004C2189" w:rsidP="004C2189">
      <w:pPr>
        <w:pStyle w:val="NormalWeb"/>
        <w:ind w:left="720"/>
      </w:pPr>
      <w:r w:rsidRPr="00784817">
        <w:t xml:space="preserve">In Ohio, police officers have authority to “pink slip” an individual for </w:t>
      </w:r>
      <w:proofErr w:type="gramStart"/>
      <w:r w:rsidRPr="00784817">
        <w:t>72 hour</w:t>
      </w:r>
      <w:proofErr w:type="gramEnd"/>
      <w:r w:rsidRPr="00784817">
        <w:t xml:space="preserve"> mental health hold, under Ohio Rev. Code 5122.10</w:t>
      </w:r>
      <w:r>
        <w:t xml:space="preserve">: “substantial risk of physical harm to self or others.”  </w:t>
      </w:r>
      <w:hyperlink r:id="rId2362" w:history="1">
        <w:r w:rsidRPr="003C00DD">
          <w:rPr>
            <w:rStyle w:val="Hyperlink"/>
          </w:rPr>
          <w:t>https://codes.ohio.gov/ohio-revised-code/section-5122.10/9-17-2014</w:t>
        </w:r>
      </w:hyperlink>
      <w:r>
        <w:t xml:space="preserve"> </w:t>
      </w:r>
    </w:p>
    <w:p w14:paraId="2B29BFA3" w14:textId="77777777" w:rsidR="004C2189" w:rsidRPr="00784817" w:rsidRDefault="004C2189" w:rsidP="004C2189">
      <w:pPr>
        <w:pStyle w:val="NormalWeb"/>
        <w:ind w:left="720"/>
      </w:pPr>
      <w:r w:rsidRPr="00784817">
        <w:t>See</w:t>
      </w:r>
      <w:r>
        <w:t xml:space="preserve"> also</w:t>
      </w:r>
      <w:r w:rsidRPr="00784817">
        <w:t xml:space="preserve"> this research publication by Legislative </w:t>
      </w:r>
      <w:r>
        <w:t xml:space="preserve">Service Commission for </w:t>
      </w:r>
      <w:r w:rsidRPr="00784817">
        <w:t xml:space="preserve">Ohio General Assembly, “Involuntary Treatment for Mental Illness.” </w:t>
      </w:r>
      <w:hyperlink r:id="rId2363" w:history="1">
        <w:r w:rsidRPr="00784817">
          <w:rPr>
            <w:rStyle w:val="Hyperlink"/>
          </w:rPr>
          <w:t>https://www.lsc.ohio.gov/assets/organizations/legislative-service-commission/files/involuntary-treatment-for-mental-illness.pdf</w:t>
        </w:r>
      </w:hyperlink>
      <w:r w:rsidRPr="00784817">
        <w:t xml:space="preserve"> </w:t>
      </w:r>
    </w:p>
    <w:p w14:paraId="6E590CC7" w14:textId="77777777" w:rsidR="003A2816" w:rsidRDefault="003A2816" w:rsidP="000C4DF5">
      <w:pPr>
        <w:pStyle w:val="NoSpacing"/>
        <w:rPr>
          <w:rFonts w:ascii="Arial Black" w:hAnsi="Arial Black"/>
          <w:sz w:val="24"/>
          <w:szCs w:val="24"/>
        </w:rPr>
      </w:pPr>
    </w:p>
    <w:p w14:paraId="24B8BCF5" w14:textId="77777777" w:rsidR="003A2816" w:rsidRDefault="003A2816" w:rsidP="000C4DF5">
      <w:pPr>
        <w:pStyle w:val="NoSpacing"/>
        <w:rPr>
          <w:rFonts w:ascii="Arial Black" w:hAnsi="Arial Black"/>
          <w:sz w:val="24"/>
          <w:szCs w:val="24"/>
        </w:rPr>
      </w:pPr>
    </w:p>
    <w:p w14:paraId="523569D9" w14:textId="77777777" w:rsidR="003A2816" w:rsidRDefault="003A2816" w:rsidP="000C4DF5">
      <w:pPr>
        <w:pStyle w:val="NoSpacing"/>
        <w:rPr>
          <w:rFonts w:ascii="Arial Black" w:hAnsi="Arial Black"/>
          <w:sz w:val="24"/>
          <w:szCs w:val="24"/>
        </w:rPr>
      </w:pPr>
    </w:p>
    <w:p w14:paraId="5344F339" w14:textId="5E35D4E6" w:rsidR="00EC5D4A" w:rsidRDefault="00EC5D4A" w:rsidP="000C4DF5">
      <w:pPr>
        <w:pStyle w:val="NoSpacing"/>
        <w:rPr>
          <w:rFonts w:ascii="Arial Black" w:hAnsi="Arial Black"/>
          <w:sz w:val="24"/>
          <w:szCs w:val="24"/>
        </w:rPr>
      </w:pPr>
      <w:r>
        <w:rPr>
          <w:rFonts w:ascii="Arial Black" w:hAnsi="Arial Black"/>
          <w:sz w:val="24"/>
          <w:szCs w:val="24"/>
        </w:rPr>
        <w:t>15-27</w:t>
      </w:r>
    </w:p>
    <w:p w14:paraId="395AC890" w14:textId="77777777" w:rsidR="00EC5D4A" w:rsidRDefault="00EC5D4A" w:rsidP="00EC5D4A">
      <w:pPr>
        <w:pStyle w:val="NormalWeb"/>
        <w:rPr>
          <w:rFonts w:ascii="Arial Black" w:hAnsi="Arial Black"/>
          <w:b/>
          <w:bCs/>
          <w:sz w:val="28"/>
          <w:szCs w:val="28"/>
        </w:rPr>
      </w:pPr>
      <w:r>
        <w:rPr>
          <w:rFonts w:ascii="Arial Black" w:hAnsi="Arial Black"/>
          <w:b/>
          <w:bCs/>
          <w:sz w:val="28"/>
          <w:szCs w:val="28"/>
        </w:rPr>
        <w:t>WV: MENTAL CALL / SUICIDE – LAWUIT PROCEED SHERIFF POLICY “NO SUNDAY” RESPONSES – EMS / PD IMMUNITY</w:t>
      </w:r>
    </w:p>
    <w:p w14:paraId="27105A09" w14:textId="6ACD061D" w:rsidR="00EC5D4A" w:rsidRDefault="00EC5D4A" w:rsidP="00EC5D4A">
      <w:pPr>
        <w:pStyle w:val="NoSpacing"/>
        <w:rPr>
          <w:rStyle w:val="Hyperlink"/>
          <w:rFonts w:ascii="Times New Roman" w:hAnsi="Times New Roman"/>
          <w:sz w:val="24"/>
          <w:szCs w:val="24"/>
        </w:rPr>
      </w:pPr>
      <w:r w:rsidRPr="00EC5D4A">
        <w:rPr>
          <w:rFonts w:ascii="Times New Roman" w:hAnsi="Times New Roman"/>
          <w:sz w:val="24"/>
          <w:szCs w:val="24"/>
        </w:rPr>
        <w:t xml:space="preserve">On Dec. 21, 2023, in </w:t>
      </w:r>
      <w:r w:rsidRPr="00EC5D4A">
        <w:rPr>
          <w:rFonts w:ascii="Times New Roman" w:hAnsi="Times New Roman"/>
          <w:sz w:val="24"/>
          <w:szCs w:val="24"/>
          <w:u w:val="single"/>
        </w:rPr>
        <w:t>Rex Eagon and Diane Egon, individually as co-administrators of the Estate of Darien M. Eagon v. Cambell County Emergency Medical Service, et al</w:t>
      </w:r>
      <w:r w:rsidRPr="00EC5D4A">
        <w:rPr>
          <w:rFonts w:ascii="Times New Roman" w:hAnsi="Times New Roman"/>
          <w:sz w:val="24"/>
          <w:szCs w:val="24"/>
        </w:rPr>
        <w:t xml:space="preserve">., U.S. District Court Judge Robert C. Chambers, United States District Court, S.D. West Virginia, Huntington Division, held that City of Huntington police officers and County EMS are immune from liability, but plaintiffs may proceed with pre-trial discovery on allegations that County Sheriff.  The Court wrote: “Certainly, there are no allegations that Sheriff Zerkle or any employee of the Sheriff's Department were at the scene, had any knowledge of Ms. Eagon's situation, or ever had any contact with her. Without any of these connections with Ms. Eagon, the Court agrees with the County Defendants that Plaintiffs have not plausibly alleged Sheriff Zerkle acted with direct ‘intent’ to inflict emotional distress upon Ms. Eagon or her parents. However, for purposes of a motion to dismiss, the Court must assume the truthfulness of Plaintiffs' allegation that Sheriff Zerkle adopted, enforced, and made known to EMS and </w:t>
      </w:r>
      <w:r w:rsidRPr="00EC5D4A">
        <w:rPr>
          <w:rFonts w:ascii="Times New Roman" w:hAnsi="Times New Roman"/>
          <w:sz w:val="24"/>
          <w:szCs w:val="24"/>
        </w:rPr>
        <w:lastRenderedPageBreak/>
        <w:t xml:space="preserve">HPD that his Department had a custom, practice, or policy of not dispatching deputies to respond to any mental health crises on a Sunday, regardless of how urgent or dire the situation presents. From this vantage, the Court finds this allegation is sufficient to plausibly allege Sheriff Zerkle intentionally acted so recklessly that it was substantially certain that someone like Plaintiffs would suffer emotional distress. Additionally, it is plausible that such custom, practice, or policy could be found to be ‘atrocious, intolerable, and so extreme and outrageous as to exceed the bounds of decency[.]’ </w:t>
      </w:r>
      <w:r w:rsidRPr="00EC5D4A">
        <w:rPr>
          <w:rStyle w:val="Emphasis"/>
          <w:rFonts w:ascii="Times New Roman" w:hAnsi="Times New Roman"/>
          <w:sz w:val="24"/>
          <w:szCs w:val="24"/>
        </w:rPr>
        <w:t>Hoops</w:t>
      </w:r>
      <w:r w:rsidRPr="00EC5D4A">
        <w:rPr>
          <w:rFonts w:ascii="Times New Roman" w:hAnsi="Times New Roman"/>
          <w:sz w:val="24"/>
          <w:szCs w:val="24"/>
        </w:rPr>
        <w:t xml:space="preserve">, 2022 WL 2400039, at *7 (internal quotation marks and citation omitted). Therefore, the Court finds Count IV is sufficient as to Sheriff Zerkle and </w:t>
      </w:r>
      <w:r w:rsidRPr="00EC5D4A">
        <w:rPr>
          <w:rStyle w:val="Strong"/>
          <w:rFonts w:ascii="Times New Roman" w:hAnsi="Times New Roman"/>
          <w:b w:val="0"/>
          <w:bCs w:val="0"/>
          <w:sz w:val="24"/>
          <w:szCs w:val="24"/>
        </w:rPr>
        <w:t>DENIES</w:t>
      </w:r>
      <w:r w:rsidRPr="00EC5D4A">
        <w:rPr>
          <w:rFonts w:ascii="Times New Roman" w:hAnsi="Times New Roman"/>
          <w:sz w:val="24"/>
          <w:szCs w:val="24"/>
        </w:rPr>
        <w:t xml:space="preserve"> the County Defendants' motion to have this Count dismissed against him.</w:t>
      </w:r>
      <w:r w:rsidRPr="00EC5D4A">
        <w:rPr>
          <w:rFonts w:ascii="Times New Roman" w:hAnsi="Times New Roman"/>
          <w:sz w:val="24"/>
          <w:szCs w:val="24"/>
          <w:vertAlign w:val="superscript"/>
        </w:rPr>
        <w:t xml:space="preserve">” </w:t>
      </w:r>
      <w:hyperlink r:id="rId2364" w:history="1">
        <w:r w:rsidRPr="00EC5D4A">
          <w:rPr>
            <w:rStyle w:val="Hyperlink"/>
            <w:rFonts w:ascii="Times New Roman" w:hAnsi="Times New Roman"/>
            <w:sz w:val="24"/>
            <w:szCs w:val="24"/>
          </w:rPr>
          <w:t>https://public.fastcase.com/ZZhmr5v9wN%2FXOe5IsQ%2FqD7d2ApzwrZCQvAZQlM%2B4VVcvgALpNi2VKyyjI%2Bz22f3P?utm_medium=email&amp;_hsmi=226712652&amp;_hsenc=p2ANqtz-9QV0nznODHw4_m_j0AE4K8p0b7Wes2e9d7AzOOyb86IGbeyJ8jbpovdpcqHFVtvrmWyxti44YX_ZuNCNTYmJshWS7Dxw&amp;utm_content=226712652&amp;utm_source=hs_email</w:t>
        </w:r>
      </w:hyperlink>
    </w:p>
    <w:p w14:paraId="1AB70322" w14:textId="77777777" w:rsidR="003A2816" w:rsidRDefault="003A2816" w:rsidP="00EC5D4A">
      <w:pPr>
        <w:pStyle w:val="NoSpacing"/>
        <w:rPr>
          <w:rStyle w:val="Hyperlink"/>
          <w:rFonts w:ascii="Times New Roman" w:hAnsi="Times New Roman"/>
          <w:sz w:val="24"/>
          <w:szCs w:val="24"/>
        </w:rPr>
      </w:pPr>
    </w:p>
    <w:p w14:paraId="0EFF8B1F" w14:textId="77777777" w:rsidR="003A2816" w:rsidRDefault="003A2816" w:rsidP="003A2816">
      <w:pPr>
        <w:pStyle w:val="NormalWeb"/>
        <w:rPr>
          <w:b/>
          <w:bCs/>
        </w:rPr>
      </w:pPr>
      <w:r w:rsidRPr="00E57983">
        <w:rPr>
          <w:b/>
          <w:bCs/>
        </w:rPr>
        <w:t xml:space="preserve">Legal Lesson Learned: </w:t>
      </w:r>
      <w:r>
        <w:rPr>
          <w:b/>
          <w:bCs/>
        </w:rPr>
        <w:t xml:space="preserve">Police body camera footage of interaction with </w:t>
      </w:r>
      <w:proofErr w:type="gramStart"/>
      <w:r>
        <w:rPr>
          <w:b/>
          <w:bCs/>
        </w:rPr>
        <w:t>patient</w:t>
      </w:r>
      <w:proofErr w:type="gramEnd"/>
      <w:r>
        <w:rPr>
          <w:b/>
          <w:bCs/>
        </w:rPr>
        <w:t xml:space="preserve"> very helpful; EMS should likewise consider using body cameras on mental health and other patient refusals. </w:t>
      </w:r>
    </w:p>
    <w:p w14:paraId="7C88DF87" w14:textId="77777777" w:rsidR="003A2816" w:rsidRPr="006E25D9" w:rsidRDefault="003A2816" w:rsidP="003A2816">
      <w:pPr>
        <w:pStyle w:val="NormalWeb"/>
        <w:ind w:left="720"/>
      </w:pPr>
      <w:r w:rsidRPr="006E25D9">
        <w:t xml:space="preserve">Note:  The Court referenced </w:t>
      </w:r>
      <w:proofErr w:type="gramStart"/>
      <w:r>
        <w:t>in its decision (Footnote 3) this interview</w:t>
      </w:r>
      <w:proofErr w:type="gramEnd"/>
      <w:r>
        <w:t xml:space="preserve">. </w:t>
      </w:r>
      <w:r w:rsidRPr="006E25D9">
        <w:t xml:space="preserve">West Virginia Public Broadcasting, Cabell Sheriff Says System Broken As 20 Percent </w:t>
      </w:r>
      <w:proofErr w:type="gramStart"/>
      <w:r w:rsidRPr="006E25D9">
        <w:t>Of</w:t>
      </w:r>
      <w:proofErr w:type="gramEnd"/>
      <w:r w:rsidRPr="006E25D9">
        <w:t xml:space="preserve"> Mental Safety Pickups Go Unanswered </w:t>
      </w:r>
      <w:proofErr w:type="gramStart"/>
      <w:r w:rsidRPr="006E25D9">
        <w:t>In</w:t>
      </w:r>
      <w:proofErr w:type="gramEnd"/>
      <w:r w:rsidRPr="006E25D9">
        <w:t xml:space="preserve"> County (Apr. 5, 2021) </w:t>
      </w:r>
      <w:r w:rsidRPr="006E25D9">
        <w:rPr>
          <w:rStyle w:val="Emphasis"/>
        </w:rPr>
        <w:t>https://perma.cc/4EPP-E4TC</w:t>
      </w:r>
      <w:r w:rsidRPr="006E25D9">
        <w:t>.</w:t>
      </w:r>
    </w:p>
    <w:p w14:paraId="29F431E2" w14:textId="77777777" w:rsidR="003A2816" w:rsidRPr="006B4455" w:rsidRDefault="003A2816" w:rsidP="003A2816">
      <w:pPr>
        <w:pStyle w:val="NormalWeb"/>
        <w:ind w:left="720"/>
      </w:pPr>
      <w:r w:rsidRPr="006B4455">
        <w:t xml:space="preserve">“Cabell Sheriff Says System Broken As 20 Percent </w:t>
      </w:r>
      <w:proofErr w:type="gramStart"/>
      <w:r w:rsidRPr="006B4455">
        <w:t>Of</w:t>
      </w:r>
      <w:proofErr w:type="gramEnd"/>
      <w:r w:rsidRPr="006B4455">
        <w:t xml:space="preserve"> Mental Safety Pickups Go Unanswered </w:t>
      </w:r>
      <w:proofErr w:type="gramStart"/>
      <w:r w:rsidRPr="006B4455">
        <w:t>In</w:t>
      </w:r>
      <w:proofErr w:type="gramEnd"/>
      <w:r w:rsidRPr="006B4455">
        <w:t xml:space="preserve"> County,” April 5, 2021.  </w:t>
      </w:r>
      <w:hyperlink r:id="rId2365" w:history="1">
        <w:r w:rsidRPr="006B4455">
          <w:rPr>
            <w:rStyle w:val="Hyperlink"/>
          </w:rPr>
          <w:t>https://perma.cc/4EPP-E4TC</w:t>
        </w:r>
      </w:hyperlink>
      <w:r w:rsidRPr="006B4455">
        <w:t xml:space="preserve"> </w:t>
      </w:r>
    </w:p>
    <w:p w14:paraId="182A7E0D" w14:textId="77777777" w:rsidR="003A2816" w:rsidRPr="002A3F08" w:rsidRDefault="003A2816" w:rsidP="003A2816">
      <w:pPr>
        <w:pStyle w:val="NormalWeb"/>
        <w:ind w:left="720"/>
      </w:pPr>
      <w:r>
        <w:t>“</w:t>
      </w:r>
      <w:r w:rsidRPr="002A3F08">
        <w:t xml:space="preserve">In West Virginia, when a person is thought to be a threat to themselves or others, they can be involuntarily committed to a mental health facility through a process known as a </w:t>
      </w:r>
      <w:r>
        <w:t>‘</w:t>
      </w:r>
      <w:r w:rsidRPr="002A3F08">
        <w:t>mental hygiene petition.</w:t>
      </w:r>
      <w:r>
        <w:t>’</w:t>
      </w:r>
      <w:r w:rsidRPr="002A3F08">
        <w:t xml:space="preserve"> These petitions, usually taken out by a family member or outreach worker, </w:t>
      </w:r>
      <w:proofErr w:type="gramStart"/>
      <w:r w:rsidRPr="002A3F08">
        <w:t>have to</w:t>
      </w:r>
      <w:proofErr w:type="gramEnd"/>
      <w:r w:rsidRPr="002A3F08">
        <w:t xml:space="preserve"> be approved by a county court and require a sheriff’s deputy to help transport the person being committed.</w:t>
      </w:r>
    </w:p>
    <w:p w14:paraId="31326F1F" w14:textId="77777777" w:rsidR="003A2816" w:rsidRDefault="003A2816" w:rsidP="003A2816">
      <w:pPr>
        <w:pStyle w:val="NormalWeb"/>
        <w:ind w:left="720"/>
      </w:pPr>
      <w:r w:rsidRPr="002A3F08">
        <w:t>But in Cabell County, data from a mental health facility show at least 75 mental hygiene orders went unanswered by the Cabell County Sheriff’s Department in 2020. The sheriff says his department is overwhelmed.</w:t>
      </w:r>
    </w:p>
    <w:p w14:paraId="76DDCD27" w14:textId="77777777" w:rsidR="003A2816" w:rsidRDefault="003A2816" w:rsidP="003A2816">
      <w:pPr>
        <w:pStyle w:val="NormalWeb"/>
        <w:ind w:left="720"/>
      </w:pPr>
      <w:r>
        <w:t>***</w:t>
      </w:r>
    </w:p>
    <w:p w14:paraId="361449A7" w14:textId="77777777" w:rsidR="003A2816" w:rsidRDefault="003A2816" w:rsidP="003A2816">
      <w:pPr>
        <w:pStyle w:val="NormalWeb"/>
        <w:ind w:left="720"/>
      </w:pPr>
      <w:r>
        <w:t>Cabell County Sheriff Chuck Zerkle explains the mental hygiene process at his office in Huntington, West Virginia, on Wednesday, March 31, 2021.</w:t>
      </w:r>
    </w:p>
    <w:p w14:paraId="435A6881" w14:textId="77777777" w:rsidR="003A2816" w:rsidRDefault="003A2816" w:rsidP="003A2816">
      <w:pPr>
        <w:pStyle w:val="NormalWeb"/>
        <w:ind w:left="720"/>
      </w:pPr>
      <w:r>
        <w:t xml:space="preserve">Zerkle added that in 2020 alone, his office received approximately one mental hygiene order </w:t>
      </w:r>
      <w:r>
        <w:rPr>
          <w:i/>
          <w:iCs/>
        </w:rPr>
        <w:t>a day</w:t>
      </w:r>
      <w:r>
        <w:t xml:space="preserve"> from the courts. And per the WV State Code, only sheriffs and their deputies are approved to execute mental hygiene. He says his office can’t keep up.</w:t>
      </w:r>
    </w:p>
    <w:p w14:paraId="7E67F8B9" w14:textId="77777777" w:rsidR="003A2816" w:rsidRDefault="003A2816" w:rsidP="003A2816">
      <w:pPr>
        <w:pStyle w:val="NormalWeb"/>
        <w:ind w:left="1440"/>
      </w:pPr>
      <w:r>
        <w:rPr>
          <w:b/>
          <w:bCs/>
        </w:rPr>
        <w:t>“</w:t>
      </w:r>
      <w:r>
        <w:t>We all want to agree that we’re all wanting to help ourselves dig out of this opioid issue and the mental health issue. But you’ve got a small minority of law enforcement that is saddled with doing this.</w:t>
      </w:r>
    </w:p>
    <w:p w14:paraId="75BDC591" w14:textId="77777777" w:rsidR="003A2816" w:rsidRDefault="003A2816" w:rsidP="003A2816">
      <w:pPr>
        <w:pStyle w:val="NormalWeb"/>
        <w:ind w:left="720"/>
      </w:pPr>
      <w:r>
        <w:t>For Zerkle, the only way to fix the problem is to change the law regarding mental hygiene orders. He doesn’t see why lawmakers can’t approve all law enforcement agencies to do these pickups.</w:t>
      </w:r>
    </w:p>
    <w:p w14:paraId="0C514F54" w14:textId="77777777" w:rsidR="003A2816" w:rsidRDefault="003A2816" w:rsidP="003A2816">
      <w:pPr>
        <w:pStyle w:val="NormalWeb"/>
        <w:ind w:left="1440"/>
      </w:pPr>
      <w:r>
        <w:t>“My perfect world would be law enforcement would secure them, get them to the facility, get the stuff started, and then we leave and turn it over to someone else that’s medically trained to take care of these people,” he said.</w:t>
      </w:r>
    </w:p>
    <w:p w14:paraId="265D028A" w14:textId="77777777" w:rsidR="003A2816" w:rsidRDefault="003A2816" w:rsidP="003A2816">
      <w:pPr>
        <w:pStyle w:val="NormalWeb"/>
        <w:ind w:left="720"/>
      </w:pPr>
      <w:r>
        <w:lastRenderedPageBreak/>
        <w:t xml:space="preserve">Currently, two bills have been introduced by Sen. Charles Trump, a Republican from Morgan County, that would address mental hygiene orders in the state. The new bills would expand the window deputies have to pick people up from 10 to 20 days and remove the need for deputies to first take people to the hospital prior to transporting them to a mental health facility. </w:t>
      </w:r>
      <w:proofErr w:type="gramStart"/>
      <w:r>
        <w:t>Both of these</w:t>
      </w:r>
      <w:proofErr w:type="gramEnd"/>
      <w:r>
        <w:t xml:space="preserve"> bills have made it out of the senate and are currently being heard by the House Health and Human Resources Committee.”</w:t>
      </w:r>
    </w:p>
    <w:p w14:paraId="59372460" w14:textId="77777777" w:rsidR="003A2816" w:rsidRDefault="003A2816" w:rsidP="003A2816">
      <w:pPr>
        <w:pStyle w:val="NoSpacing"/>
        <w:ind w:left="720"/>
        <w:rPr>
          <w:rFonts w:ascii="Times New Roman" w:hAnsi="Times New Roman"/>
          <w:sz w:val="24"/>
          <w:szCs w:val="24"/>
        </w:rPr>
      </w:pPr>
    </w:p>
    <w:p w14:paraId="6D7079DA" w14:textId="77777777" w:rsidR="003A2816" w:rsidRPr="00EC5D4A" w:rsidRDefault="003A2816" w:rsidP="00EC5D4A">
      <w:pPr>
        <w:pStyle w:val="NoSpacing"/>
        <w:rPr>
          <w:rFonts w:ascii="Times New Roman" w:hAnsi="Times New Roman"/>
          <w:sz w:val="24"/>
          <w:szCs w:val="24"/>
        </w:rPr>
      </w:pPr>
    </w:p>
    <w:p w14:paraId="35B31B3D" w14:textId="77777777" w:rsidR="00EC5D4A" w:rsidRDefault="00EC5D4A" w:rsidP="000C4DF5">
      <w:pPr>
        <w:pStyle w:val="NoSpacing"/>
        <w:rPr>
          <w:rFonts w:ascii="Arial Black" w:hAnsi="Arial Black"/>
          <w:sz w:val="24"/>
          <w:szCs w:val="24"/>
        </w:rPr>
      </w:pPr>
    </w:p>
    <w:p w14:paraId="6F0DB125" w14:textId="1733B4FD" w:rsidR="00832745" w:rsidRDefault="00832745" w:rsidP="000C4DF5">
      <w:pPr>
        <w:pStyle w:val="NoSpacing"/>
        <w:rPr>
          <w:rFonts w:ascii="Arial Black" w:hAnsi="Arial Black"/>
          <w:sz w:val="24"/>
          <w:szCs w:val="24"/>
        </w:rPr>
      </w:pPr>
      <w:r>
        <w:rPr>
          <w:rFonts w:ascii="Arial Black" w:hAnsi="Arial Black"/>
          <w:sz w:val="24"/>
          <w:szCs w:val="24"/>
        </w:rPr>
        <w:t>15-26</w:t>
      </w:r>
    </w:p>
    <w:p w14:paraId="58D4A639" w14:textId="77777777" w:rsidR="00832745" w:rsidRDefault="00832745" w:rsidP="00832745">
      <w:pPr>
        <w:pStyle w:val="NormalWeb"/>
        <w:rPr>
          <w:rFonts w:ascii="Arial Black" w:hAnsi="Arial Black"/>
          <w:sz w:val="28"/>
          <w:szCs w:val="28"/>
        </w:rPr>
      </w:pPr>
      <w:r>
        <w:rPr>
          <w:rFonts w:ascii="Arial Black" w:hAnsi="Arial Black"/>
          <w:sz w:val="28"/>
          <w:szCs w:val="28"/>
        </w:rPr>
        <w:t xml:space="preserve">WA: NEW PTSD LAW NOT RETROACTIVE – FF HAD EXHIBITED PTSD PRIOR EFFECTIVE DATE – NOT COVERED </w:t>
      </w:r>
    </w:p>
    <w:p w14:paraId="70F9BF95" w14:textId="77777777" w:rsidR="00832745" w:rsidRDefault="00832745" w:rsidP="00832745">
      <w:pPr>
        <w:pStyle w:val="NormalWeb"/>
      </w:pPr>
      <w:r>
        <w:t xml:space="preserve">On Oct. 2, 2023, in </w:t>
      </w:r>
      <w:r>
        <w:rPr>
          <w:u w:val="single"/>
        </w:rPr>
        <w:t>Frank DeYoung v. The City of Mount Vernon and the Department of Labor and Industries</w:t>
      </w:r>
      <w:r>
        <w:t xml:space="preserve">, the Court of Appeals of the State of Washington, held (3 to 0) that the new PTSD statute for police and fire, making PTSD </w:t>
      </w:r>
      <w:proofErr w:type="spellStart"/>
      <w:proofErr w:type="gramStart"/>
      <w:r>
        <w:t>a</w:t>
      </w:r>
      <w:proofErr w:type="spellEnd"/>
      <w:proofErr w:type="gramEnd"/>
      <w:r>
        <w:t xml:space="preserve"> occupational disease, is not retroactive.  The Court held that the firefighter’s claim on Oct. 24, </w:t>
      </w:r>
      <w:proofErr w:type="gramStart"/>
      <w:r>
        <w:t>2019</w:t>
      </w:r>
      <w:proofErr w:type="gramEnd"/>
      <w:r>
        <w:t xml:space="preserve"> is not covered by the statute. “DeYoung also asserts that the requirement in RCW 51.32.185(5) that a firefighter must have served at least ten years before they are eligible to make a claim indicates the legislature’s intent to apply the statute retroactively. According to DeYoung, applying the statute prospectively would mean that no firefighter will be eligible to file a claim for occupational disease benefits for PTSD until 2028. Id. The plain language of the statute does not support such an interpretation. The statute establishes that only firefighters who have served the minimum number of years may file a claim for occupational disease benefits for PTSD. Nothing about the provision is indicative of retroactivity.” </w:t>
      </w:r>
      <w:hyperlink r:id="rId2366" w:history="1">
        <w:r>
          <w:rPr>
            <w:rStyle w:val="Hyperlink"/>
          </w:rPr>
          <w:t>https://cases.justia.com/washington/court-of-appeals-division-i/2023-84561-6-0.pdf?ts=1696273779</w:t>
        </w:r>
      </w:hyperlink>
      <w:r>
        <w:t xml:space="preserve"> </w:t>
      </w:r>
    </w:p>
    <w:p w14:paraId="49B95CAC" w14:textId="77777777" w:rsidR="000518BE" w:rsidRDefault="000518BE" w:rsidP="000518BE">
      <w:pPr>
        <w:pStyle w:val="Heading1"/>
        <w:rPr>
          <w:sz w:val="24"/>
          <w:szCs w:val="24"/>
        </w:rPr>
      </w:pPr>
      <w:r>
        <w:rPr>
          <w:sz w:val="24"/>
          <w:szCs w:val="24"/>
        </w:rPr>
        <w:t xml:space="preserve">Legal Lesson Learned: Legislatures when drafting new benefits for firefighters should in the statute or the legislative history make clear whether the law is retroactive. </w:t>
      </w:r>
    </w:p>
    <w:p w14:paraId="63268BF8" w14:textId="77777777" w:rsidR="00832745" w:rsidRDefault="00832745" w:rsidP="000C4DF5">
      <w:pPr>
        <w:pStyle w:val="NoSpacing"/>
        <w:rPr>
          <w:rFonts w:ascii="Arial Black" w:hAnsi="Arial Black"/>
          <w:sz w:val="24"/>
          <w:szCs w:val="24"/>
        </w:rPr>
      </w:pPr>
    </w:p>
    <w:p w14:paraId="0D52EABB" w14:textId="77777777" w:rsidR="00832745" w:rsidRDefault="00832745" w:rsidP="000C4DF5">
      <w:pPr>
        <w:pStyle w:val="NoSpacing"/>
        <w:rPr>
          <w:rFonts w:ascii="Arial Black" w:hAnsi="Arial Black"/>
          <w:sz w:val="24"/>
          <w:szCs w:val="24"/>
        </w:rPr>
      </w:pPr>
    </w:p>
    <w:p w14:paraId="302C51AA" w14:textId="7B51D485" w:rsidR="00D66BAA" w:rsidRDefault="00D66BAA" w:rsidP="000C4DF5">
      <w:pPr>
        <w:pStyle w:val="NoSpacing"/>
        <w:rPr>
          <w:rFonts w:ascii="Arial Black" w:hAnsi="Arial Black"/>
          <w:sz w:val="24"/>
          <w:szCs w:val="24"/>
        </w:rPr>
      </w:pPr>
      <w:r>
        <w:rPr>
          <w:rFonts w:ascii="Arial Black" w:hAnsi="Arial Black"/>
          <w:sz w:val="24"/>
          <w:szCs w:val="24"/>
        </w:rPr>
        <w:t>15-25</w:t>
      </w:r>
    </w:p>
    <w:p w14:paraId="7A84A0DA" w14:textId="6B2DAF80" w:rsidR="00D66BAA" w:rsidRDefault="00D66BAA" w:rsidP="00D66BAA">
      <w:pPr>
        <w:pStyle w:val="NormalWeb"/>
        <w:rPr>
          <w:rFonts w:ascii="Arial Black" w:hAnsi="Arial Black"/>
          <w:sz w:val="28"/>
          <w:szCs w:val="28"/>
        </w:rPr>
      </w:pPr>
      <w:r>
        <w:rPr>
          <w:rFonts w:ascii="Arial Black" w:hAnsi="Arial Black"/>
          <w:sz w:val="28"/>
          <w:szCs w:val="28"/>
        </w:rPr>
        <w:t xml:space="preserve">IL: PTSD - DENIED LINE-OF-DUTY DISABILITY PENSION – FELL OFF LADDER 2007 – STRESS FROM DEMOTION 2019 </w:t>
      </w:r>
    </w:p>
    <w:p w14:paraId="4D1BB1D9" w14:textId="77777777" w:rsidR="00D66BAA" w:rsidRDefault="00D66BAA" w:rsidP="00D66BAA">
      <w:pPr>
        <w:pStyle w:val="NormalWeb"/>
      </w:pPr>
      <w:r>
        <w:t xml:space="preserve">On March 24, 2023, in </w:t>
      </w:r>
      <w:r>
        <w:rPr>
          <w:u w:val="single"/>
        </w:rPr>
        <w:t>Arthur Szymala v, Romeoville Firefighters’ Pension Fund, et al</w:t>
      </w:r>
      <w:r>
        <w:t xml:space="preserve">., the Court of Appeals of Illinois, Third District, held (3 to 0) that the Pension Board, and the trial court judge, each properly held that the firefighter was not entitled to Line-Of-Duty disability; the firefighter claimed he was disabled due to his posttraumatic stress disorder (PTSD) and major depressive disorder. </w:t>
      </w:r>
    </w:p>
    <w:p w14:paraId="3A82A5FA" w14:textId="77777777" w:rsidR="00D66BAA" w:rsidRDefault="00D66BAA" w:rsidP="00D66BAA">
      <w:pPr>
        <w:pStyle w:val="NormalWeb"/>
        <w:ind w:left="720"/>
      </w:pPr>
      <w:r>
        <w:t xml:space="preserve">The Court of Appeals referenced Board decision, which was made after the firefighter was examined by three independent medical experts (IMEs): “The Board concluded that the plaintiff did not prove a disability, noting: (1) the minor injuries reported after the fall that he fully recovered from, (2) Dr. Eschbach's opinion linking the fall and his condition was based on incomplete and inaccurate information, (3) the plaintiff succeeded in his career for many years following the fall and was promoted after a competitive test, (4) the plaintiff reported a change in work conditions when the department brought in a new battalion chief who frequently challenged the plaintiff's work performance (evidencing a personal dispute rather than a deficit in brain functioning from a fall seven to eight years prior), and (5) </w:t>
      </w:r>
      <w:r>
        <w:lastRenderedPageBreak/>
        <w:t xml:space="preserve">the plaintiff only ever reported the claimed conditions immediately following his demotion.” </w:t>
      </w:r>
      <w:hyperlink r:id="rId2367" w:history="1">
        <w:r>
          <w:rPr>
            <w:rStyle w:val="Hyperlink"/>
          </w:rPr>
          <w:t>https://ilcourtsaudio.blob.core.windows.net/antilles-resources/resources/92cdfb54-2dda-4342-acee-d86ea11493ea/Szymala%20v.%20Romeoville%20Firefighters%27%20Pension%20Fund,%202023%20IL%20App%20(3d)%20220093-U.pdf</w:t>
        </w:r>
      </w:hyperlink>
      <w:r>
        <w:t xml:space="preserve"> </w:t>
      </w:r>
    </w:p>
    <w:p w14:paraId="412640FC" w14:textId="77777777" w:rsidR="00D66BAA" w:rsidRDefault="00D66BAA" w:rsidP="00D66BAA">
      <w:pPr>
        <w:pStyle w:val="NormalWeb"/>
        <w:ind w:left="720"/>
      </w:pPr>
      <w:r>
        <w:t xml:space="preserve">“In 2013, the plaintiff was promoted to lieutenant following a competitive promotional testing process. However, he testified that management decided that his performance as lieutenant was inadequate between 2015 and 2018. Around May 2017, the plaintiff was placed on a ‘Performance Improvement Plan’, which included an evaluation of his work performance as lieutenant from May 24, 2017, through February 28, 2018. He </w:t>
      </w:r>
      <w:proofErr w:type="gramStart"/>
      <w:r>
        <w:t>entered into</w:t>
      </w:r>
      <w:proofErr w:type="gramEnd"/>
      <w:r>
        <w:t xml:space="preserve"> a ‘Last Chance Agreement’ in April 2018, where he acknowledged deficiencies in his work performance and agreed to improve these areas during a period of 60 work shifts or risk </w:t>
      </w:r>
      <w:proofErr w:type="gramStart"/>
      <w:r>
        <w:t>a demotion</w:t>
      </w:r>
      <w:proofErr w:type="gramEnd"/>
      <w:r>
        <w:t xml:space="preserve">. The agreement </w:t>
      </w:r>
      <w:proofErr w:type="gramStart"/>
      <w:r>
        <w:t>provided that</w:t>
      </w:r>
      <w:proofErr w:type="gramEnd"/>
      <w:r>
        <w:t xml:space="preserve"> he failed to meet various guidelines, such as working as a team, leading personnel, communicating effectively, and working calmly in stressful situations.</w:t>
      </w:r>
    </w:p>
    <w:p w14:paraId="7397E33A" w14:textId="77777777" w:rsidR="00D66BAA" w:rsidRDefault="00D66BAA" w:rsidP="00D66BAA">
      <w:pPr>
        <w:pStyle w:val="NormalWeb"/>
        <w:ind w:left="720"/>
      </w:pPr>
      <w:r>
        <w:t>***</w:t>
      </w:r>
    </w:p>
    <w:p w14:paraId="24F5268D" w14:textId="77777777" w:rsidR="00D66BAA" w:rsidRDefault="00D66BAA" w:rsidP="00D66BAA">
      <w:pPr>
        <w:pStyle w:val="NormalWeb"/>
        <w:ind w:left="720"/>
      </w:pPr>
      <w:r>
        <w:t>On January 29, 2019, the plaintiff attended a meeting with Chief Kent Adams, other fire department officials, and the Union Executive Board. During the meeting, Chief Adams informed the plaintiff that he failed to satisfactorily complete the Performance Improvement Plan and terms of the Last Chance Agreement and that his performance as lieutenant remained inadequate. The plaintiff was also informed that he was being demoted from lieutenant to firefighter/paramedic effectively immediately.”</w:t>
      </w:r>
    </w:p>
    <w:p w14:paraId="6BD4BA13" w14:textId="77777777" w:rsidR="00D66BAA" w:rsidRDefault="00D66BAA" w:rsidP="00D66BAA">
      <w:pPr>
        <w:pStyle w:val="NormalWeb"/>
        <w:rPr>
          <w:b/>
          <w:bCs/>
        </w:rPr>
      </w:pPr>
      <w:r>
        <w:rPr>
          <w:b/>
          <w:bCs/>
        </w:rPr>
        <w:t xml:space="preserve">Legal Lesson Learned: Working for a “difficult” Battalion Chief may </w:t>
      </w:r>
      <w:proofErr w:type="gramStart"/>
      <w:r>
        <w:rPr>
          <w:b/>
          <w:bCs/>
        </w:rPr>
        <w:t>definitely cause</w:t>
      </w:r>
      <w:proofErr w:type="gramEnd"/>
      <w:r>
        <w:rPr>
          <w:b/>
          <w:bCs/>
        </w:rPr>
        <w:t xml:space="preserve"> stress, but it is not proof of a line-of-duty disability.</w:t>
      </w:r>
    </w:p>
    <w:p w14:paraId="5AF35659" w14:textId="77777777" w:rsidR="00D66BAA" w:rsidRDefault="00D66BAA" w:rsidP="00D66BAA">
      <w:pPr>
        <w:pStyle w:val="NormalWeb"/>
        <w:rPr>
          <w:b/>
          <w:bCs/>
        </w:rPr>
      </w:pPr>
    </w:p>
    <w:p w14:paraId="1CF19242" w14:textId="77777777" w:rsidR="00D66BAA" w:rsidRDefault="00D66BAA" w:rsidP="000C4DF5">
      <w:pPr>
        <w:pStyle w:val="NoSpacing"/>
        <w:rPr>
          <w:rFonts w:ascii="Arial Black" w:hAnsi="Arial Black"/>
          <w:sz w:val="24"/>
          <w:szCs w:val="24"/>
        </w:rPr>
      </w:pPr>
    </w:p>
    <w:p w14:paraId="1D7CB2FD" w14:textId="77777777" w:rsidR="00D66BAA" w:rsidRDefault="00D66BAA" w:rsidP="000C4DF5">
      <w:pPr>
        <w:pStyle w:val="NoSpacing"/>
        <w:rPr>
          <w:rFonts w:ascii="Arial Black" w:hAnsi="Arial Black"/>
          <w:sz w:val="24"/>
          <w:szCs w:val="24"/>
        </w:rPr>
      </w:pPr>
    </w:p>
    <w:p w14:paraId="03DF357C" w14:textId="77777777" w:rsidR="00D66BAA" w:rsidRDefault="00D66BAA" w:rsidP="000C4DF5">
      <w:pPr>
        <w:pStyle w:val="NoSpacing"/>
        <w:rPr>
          <w:rFonts w:ascii="Arial Black" w:hAnsi="Arial Black"/>
          <w:sz w:val="24"/>
          <w:szCs w:val="24"/>
        </w:rPr>
      </w:pPr>
    </w:p>
    <w:p w14:paraId="0593526A" w14:textId="53EB45BD" w:rsidR="00F55395" w:rsidRDefault="00F55395" w:rsidP="000C4DF5">
      <w:pPr>
        <w:pStyle w:val="NoSpacing"/>
        <w:rPr>
          <w:rFonts w:ascii="Arial Black" w:hAnsi="Arial Black"/>
          <w:sz w:val="24"/>
          <w:szCs w:val="24"/>
        </w:rPr>
      </w:pPr>
      <w:r>
        <w:rPr>
          <w:rFonts w:ascii="Arial Black" w:hAnsi="Arial Black"/>
          <w:sz w:val="24"/>
          <w:szCs w:val="24"/>
        </w:rPr>
        <w:t>15-24</w:t>
      </w:r>
    </w:p>
    <w:p w14:paraId="0B98FCC8" w14:textId="77777777" w:rsidR="00F55395" w:rsidRPr="00AD7734" w:rsidRDefault="00F55395" w:rsidP="00F55395">
      <w:pPr>
        <w:pStyle w:val="NormalWeb"/>
        <w:rPr>
          <w:rFonts w:ascii="Arial Black" w:hAnsi="Arial Black"/>
          <w:b/>
          <w:bCs/>
          <w:sz w:val="28"/>
          <w:szCs w:val="28"/>
        </w:rPr>
      </w:pPr>
      <w:r>
        <w:rPr>
          <w:rFonts w:ascii="Arial Black" w:hAnsi="Arial Black"/>
          <w:b/>
          <w:bCs/>
          <w:sz w:val="28"/>
          <w:szCs w:val="28"/>
        </w:rPr>
        <w:t>LA: FD FINANCE MGR. – EAP COUNSELING SESSIONS ONLY AFTER WORK – RESIGNED - NO CONSTRUCTIVE DISCHARGE</w:t>
      </w:r>
    </w:p>
    <w:p w14:paraId="07262CBF" w14:textId="77777777" w:rsidR="00F55395" w:rsidRDefault="00F55395" w:rsidP="00F55395">
      <w:pPr>
        <w:pStyle w:val="NormalWeb"/>
      </w:pPr>
      <w:r>
        <w:t xml:space="preserve">On March 1, 2023, in </w:t>
      </w:r>
      <w:r w:rsidRPr="00AD7734">
        <w:rPr>
          <w:u w:val="single"/>
        </w:rPr>
        <w:t>Sherita Ann Cooks v. The City of Shreveport, et al</w:t>
      </w:r>
      <w:r>
        <w:t xml:space="preserve">., the Court of Appeals of Louisiana, Second Circuit, held (3 to 0) that the trial court properly dismissed her claim of that workplace was so hostile that she was forced to quit.  The Court wrote: “The plaintiff's summary judgment evidence falls far short of prima facie proof of constructive termination. The entirety of the evidence that she cites in support of that claim consists of an April 2016 email exchange between her and Chief Tolliver wherein the plaintiff requested an explanation as to why she could not attend an EAP session during her lunch hour, even though it would take more than one hour when including travel time. The plaintiff offered to compensate the </w:t>
      </w:r>
      <w:proofErr w:type="gramStart"/>
      <w:r>
        <w:t>City</w:t>
      </w:r>
      <w:proofErr w:type="gramEnd"/>
      <w:r>
        <w:t xml:space="preserve"> for the time the session required </w:t>
      </w:r>
      <w:proofErr w:type="gramStart"/>
      <w:r>
        <w:t>in excess of</w:t>
      </w:r>
      <w:proofErr w:type="gramEnd"/>
      <w:r>
        <w:t xml:space="preserve"> the allotted one-hour lunch by taking sick leave. In response, Chief Tolliver granted the plaintiff permission to attend one session during her lunch hour, but stated that, thereafter, the plaintiff would have to adhere to the fire department's policy of requiring that EAP sessions take place after work hours.” </w:t>
      </w:r>
      <w:hyperlink r:id="rId2368" w:history="1">
        <w:r w:rsidRPr="003F256B">
          <w:rPr>
            <w:rStyle w:val="Hyperlink"/>
            <w:rFonts w:eastAsiaTheme="majorEastAsia"/>
          </w:rPr>
          <w:t>https://law.justia.com/cases/louisiana/second-circuit-court-of-appeal/2023/54-841-ca.html</w:t>
        </w:r>
      </w:hyperlink>
      <w:r>
        <w:t xml:space="preserve"> </w:t>
      </w:r>
    </w:p>
    <w:p w14:paraId="5E8F55AE" w14:textId="77777777" w:rsidR="00F55395" w:rsidRDefault="00F55395" w:rsidP="00F55395">
      <w:pPr>
        <w:pStyle w:val="NormalWeb"/>
        <w:ind w:left="720"/>
      </w:pPr>
      <w:r>
        <w:t xml:space="preserve">“This case stems from the plaintiff's employment as a financial accreditation manager with the Shreveport Fire Department, which began in June 2014. In or around December 2014, the plaintiff's </w:t>
      </w:r>
      <w:r>
        <w:lastRenderedPageBreak/>
        <w:t xml:space="preserve">immediate supervisor, Chief of Communications, Kathy Rushworth (‘Chief Rushworth’), allegedly ordered the plaintiff to spend her personal money on official fire department business and indicated that plaintiff would be reimbursed from an "off the books" bank account known as the International CAD Consortium fund (‘ICC fund’). It contained money that was to fund a consortium event; the event was later canceled, but the money was not refunded. The plaintiff alleged that her assistant, Ashley </w:t>
      </w:r>
      <w:proofErr w:type="gramStart"/>
      <w:r>
        <w:t>Wiggins (‘</w:t>
      </w:r>
      <w:proofErr w:type="gramEnd"/>
      <w:r>
        <w:t>Wiggins’), and Chief Rushworth, used the ICC fund as a ‘slush fund,’ and that Chief Rushworth instructed her to not open the ICC bank statements or mention the ICC fund to the finance auditor or Violet Anderson, the Assistant Chief of Communications.</w:t>
      </w:r>
    </w:p>
    <w:p w14:paraId="3BD6DA30" w14:textId="77777777" w:rsidR="00F55395" w:rsidRDefault="00F55395" w:rsidP="00F55395">
      <w:pPr>
        <w:pStyle w:val="NormalWeb"/>
        <w:ind w:left="720"/>
      </w:pPr>
      <w:r>
        <w:t>***</w:t>
      </w:r>
    </w:p>
    <w:p w14:paraId="3C7D4572" w14:textId="77777777" w:rsidR="00F55395" w:rsidRDefault="00F55395" w:rsidP="00F55395">
      <w:pPr>
        <w:pStyle w:val="NormalWeb"/>
        <w:ind w:left="720"/>
      </w:pPr>
      <w:r>
        <w:t xml:space="preserve">Also, in April 2016, because of the stress that the hostile work environment and the slush fund matter allegedly </w:t>
      </w:r>
      <w:proofErr w:type="gramStart"/>
      <w:r>
        <w:t>caused her</w:t>
      </w:r>
      <w:proofErr w:type="gramEnd"/>
      <w:r>
        <w:t xml:space="preserve">, the plaintiff voluntarily began counseling or psychiatry sessions pursuant to the city's employee assistance </w:t>
      </w:r>
      <w:proofErr w:type="gramStart"/>
      <w:r>
        <w:t>program (‘</w:t>
      </w:r>
      <w:proofErr w:type="gramEnd"/>
      <w:r>
        <w:t>EAP’). However, with only one exception, she was not allowed to use her sick leave to attend these sessions during the workday. Furthermore, as previously stated, the plaintiff took a two-month sabbatical beginning in April 2016. It bears repeating that when the plaintiff returned to work in June 2016, both Chief Rushworth and Wiggins were no longer employed with the Shreveport Fire Department. The plaintiff did not quit her job until November 2016.”</w:t>
      </w:r>
    </w:p>
    <w:p w14:paraId="2CDDF05F" w14:textId="77777777" w:rsidR="00F55395" w:rsidRPr="00927A58" w:rsidRDefault="00F55395" w:rsidP="00F55395">
      <w:pPr>
        <w:pStyle w:val="NormalWeb"/>
        <w:rPr>
          <w:b/>
          <w:bCs/>
        </w:rPr>
      </w:pPr>
      <w:r w:rsidRPr="00927A58">
        <w:rPr>
          <w:b/>
          <w:bCs/>
        </w:rPr>
        <w:t>Legal Lesson Learned:</w:t>
      </w:r>
      <w:r>
        <w:rPr>
          <w:b/>
          <w:bCs/>
        </w:rPr>
        <w:t xml:space="preserve">  Employee Assistance Programs (EAP) can be very beneficial.  Consider adding a provision in employee handbook allowing sick leave to be used.  </w:t>
      </w:r>
    </w:p>
    <w:p w14:paraId="4D2B278C" w14:textId="757CC001" w:rsidR="00F55395" w:rsidRDefault="00F55395" w:rsidP="000C4DF5">
      <w:pPr>
        <w:pStyle w:val="NoSpacing"/>
        <w:rPr>
          <w:rFonts w:ascii="Arial Black" w:hAnsi="Arial Black"/>
          <w:sz w:val="24"/>
          <w:szCs w:val="24"/>
        </w:rPr>
      </w:pPr>
    </w:p>
    <w:p w14:paraId="79593F02" w14:textId="77777777" w:rsidR="00F55395" w:rsidRDefault="00F55395" w:rsidP="000C4DF5">
      <w:pPr>
        <w:pStyle w:val="NoSpacing"/>
        <w:rPr>
          <w:rFonts w:ascii="Arial Black" w:hAnsi="Arial Black"/>
          <w:sz w:val="24"/>
          <w:szCs w:val="24"/>
        </w:rPr>
      </w:pPr>
    </w:p>
    <w:p w14:paraId="1239225A" w14:textId="77777777" w:rsidR="00F55395" w:rsidRDefault="00F55395" w:rsidP="000C4DF5">
      <w:pPr>
        <w:pStyle w:val="NoSpacing"/>
        <w:rPr>
          <w:rFonts w:ascii="Arial Black" w:hAnsi="Arial Black"/>
          <w:sz w:val="24"/>
          <w:szCs w:val="24"/>
        </w:rPr>
      </w:pPr>
    </w:p>
    <w:p w14:paraId="4DDEDF4C" w14:textId="6FD324D6" w:rsidR="00F55395" w:rsidRDefault="00F55395" w:rsidP="000C4DF5">
      <w:pPr>
        <w:pStyle w:val="NoSpacing"/>
        <w:rPr>
          <w:rFonts w:ascii="Arial Black" w:hAnsi="Arial Black"/>
          <w:sz w:val="24"/>
          <w:szCs w:val="24"/>
        </w:rPr>
      </w:pPr>
      <w:r>
        <w:rPr>
          <w:rFonts w:ascii="Arial Black" w:hAnsi="Arial Black"/>
          <w:sz w:val="24"/>
          <w:szCs w:val="24"/>
        </w:rPr>
        <w:t>15-23</w:t>
      </w:r>
    </w:p>
    <w:p w14:paraId="41E250C5" w14:textId="77777777" w:rsidR="00F55395" w:rsidRDefault="00F55395" w:rsidP="00F55395">
      <w:pPr>
        <w:pStyle w:val="NormalWeb"/>
        <w:rPr>
          <w:rFonts w:ascii="Arial Black" w:hAnsi="Arial Black"/>
          <w:b/>
          <w:bCs/>
          <w:sz w:val="28"/>
          <w:szCs w:val="28"/>
        </w:rPr>
      </w:pPr>
      <w:r>
        <w:rPr>
          <w:rFonts w:ascii="Arial Black" w:hAnsi="Arial Black"/>
          <w:b/>
          <w:bCs/>
          <w:sz w:val="28"/>
          <w:szCs w:val="28"/>
        </w:rPr>
        <w:t xml:space="preserve">FL: BAT. CHIEF “EXTREMELY ANXIOUS” MAKING EMER. RUNS – DENIED OFFICE WORK ONLY - PIP - FIRED </w:t>
      </w:r>
    </w:p>
    <w:p w14:paraId="22417CBF" w14:textId="77777777" w:rsidR="00F55395" w:rsidRDefault="00F55395" w:rsidP="00F55395">
      <w:pPr>
        <w:pStyle w:val="NormalWeb"/>
      </w:pPr>
      <w:r w:rsidRPr="00930FD8">
        <w:t xml:space="preserve">On Feb. 14, 2023, in </w:t>
      </w:r>
      <w:r w:rsidRPr="00930FD8">
        <w:rPr>
          <w:u w:val="single"/>
        </w:rPr>
        <w:t>William Valencia v. Haines City, Florida,</w:t>
      </w:r>
      <w:r w:rsidRPr="00930FD8">
        <w:t xml:space="preserve"> </w:t>
      </w:r>
      <w:r>
        <w:t xml:space="preserve">U.S. District Court Judge Tom Barber granted City’s motion for summary judgment.  The Battalion Chief suffered from high blood pressure and anxiety, and in 2018 the Fire Chief allowed him to do administrative work and not make emergency runs. In February 2019, Jeffrey Davidson became the new Fire Chief. Plaintiff asked Davidson to excuse him from running calls. Davidson did not agree, and he asked Plaintiff to provide medical documentation to support the request, which Plaintiff never did. He was placed on a 90-day Performance Improvement Plan [PIPO|] in </w:t>
      </w:r>
      <w:proofErr w:type="gramStart"/>
      <w:r>
        <w:t>Nov. 2019, and</w:t>
      </w:r>
      <w:proofErr w:type="gramEnd"/>
      <w:r>
        <w:t xml:space="preserve"> ultimately fired after a pre-disciplinary hearing on April 10, 2020.  The Court held: “In short, Defendant has pointed to legitimate reasons that would motivate a reasonable employer to take the actions it did, and Plaintiff has not shown that the reasons were pretextual under the standards set forth above. Defendant may have been high-handed, unfair, or wrong, but Plaintiff has pointed to no evidence that its stated reasons were not the real reasons. Accordingly, Defendant's motion for summary judgment is granted.” </w:t>
      </w:r>
      <w:hyperlink r:id="rId2369" w:history="1">
        <w:r w:rsidRPr="00933DFB">
          <w:rPr>
            <w:rStyle w:val="Hyperlink"/>
            <w:rFonts w:eastAsiaTheme="majorEastAsia"/>
          </w:rPr>
          <w:t>https://storage.courtlistener.com/recap/gov.uscourts.flmd.392068/gov.uscourts.flmd.392068.43.0.pdf</w:t>
        </w:r>
      </w:hyperlink>
      <w:r>
        <w:t xml:space="preserve"> </w:t>
      </w:r>
    </w:p>
    <w:p w14:paraId="455B636F" w14:textId="77777777" w:rsidR="00F55395" w:rsidRPr="00930FD8" w:rsidRDefault="00F55395" w:rsidP="00F55395">
      <w:pPr>
        <w:pStyle w:val="NormalWeb"/>
        <w:ind w:left="720"/>
        <w:rPr>
          <w:rFonts w:ascii="Arial Black" w:hAnsi="Arial Black"/>
          <w:b/>
          <w:bCs/>
          <w:sz w:val="28"/>
          <w:szCs w:val="28"/>
        </w:rPr>
      </w:pPr>
      <w:r>
        <w:t xml:space="preserve">“Defendant [Fire Department] has offered legitimate non-discriminatory and non-retaliatory reasons for Plaintiff's discipline and termination, identifying numerous specific incidents and problems with Plaintiff's performance as Battalion Chief in 2019. Chief Davidson supported his recommendation that Plaintiff be terminated by citing the following issues, among others: multiple instances of improper use of a department purchasing card for supplies without using a tax exemption as required by department policy, failure to turn in an assignment in time for Davidson to use at a meeting, failure to send part of another assignment until reminded to do so by Davidson, turning in a report that was due in October on </w:t>
      </w:r>
      <w:r>
        <w:lastRenderedPageBreak/>
        <w:t xml:space="preserve">November 1, 2019, failing to attend a training class as directed, failing to prepare a draft purchasing procedure as directed, and coming to a meeting without a list of specific job responsibilities as directed.” </w:t>
      </w:r>
    </w:p>
    <w:p w14:paraId="5E026E11" w14:textId="77777777" w:rsidR="00F55395" w:rsidRDefault="00F55395" w:rsidP="00F55395">
      <w:pPr>
        <w:pStyle w:val="NormalWeb"/>
        <w:rPr>
          <w:b/>
          <w:bCs/>
        </w:rPr>
      </w:pPr>
      <w:r w:rsidRPr="006C0460">
        <w:rPr>
          <w:b/>
          <w:bCs/>
        </w:rPr>
        <w:t>Legal Lesson Learned:</w:t>
      </w:r>
      <w:r>
        <w:rPr>
          <w:b/>
          <w:bCs/>
        </w:rPr>
        <w:t xml:space="preserve">  A “PIP” can be an effective management tool.    </w:t>
      </w:r>
    </w:p>
    <w:p w14:paraId="1E456CBA" w14:textId="77777777" w:rsidR="00F55395" w:rsidRPr="006C0460" w:rsidRDefault="00F55395" w:rsidP="00F55395">
      <w:pPr>
        <w:pStyle w:val="NormalWeb"/>
        <w:ind w:left="720"/>
        <w:rPr>
          <w:b/>
          <w:bCs/>
        </w:rPr>
      </w:pPr>
      <w:r w:rsidRPr="00FE0DD3">
        <w:t xml:space="preserve">Note: See EEOC description of “reasonable </w:t>
      </w:r>
      <w:r>
        <w:t>a</w:t>
      </w:r>
      <w:r w:rsidRPr="00FE0DD3">
        <w:t>ccommodations” obligations under ADA</w:t>
      </w:r>
      <w:r>
        <w:t>.</w:t>
      </w:r>
      <w:r w:rsidRPr="00FE0DD3">
        <w:t xml:space="preserve"> “</w:t>
      </w:r>
      <w:r>
        <w:t xml:space="preserve">An employer doesn't have to provide an accommodation if doing so would cause undue hardship to the business.  Undue hardship means that the accommodation would be too difficult or too expensive to provide, </w:t>
      </w:r>
      <w:proofErr w:type="gramStart"/>
      <w:r>
        <w:t>in light of</w:t>
      </w:r>
      <w:proofErr w:type="gramEnd"/>
      <w:r>
        <w:t xml:space="preserve"> the employer's size, financial resources, and the needs of the business.” </w:t>
      </w:r>
      <w:hyperlink r:id="rId2370" w:history="1">
        <w:r w:rsidRPr="00557FA1">
          <w:rPr>
            <w:rStyle w:val="Hyperlink"/>
            <w:rFonts w:eastAsiaTheme="majorEastAsia"/>
          </w:rPr>
          <w:t>https://www.eeoc.gov/disability-discrimination-and-employment-decisions</w:t>
        </w:r>
      </w:hyperlink>
      <w:r>
        <w:t xml:space="preserve"> </w:t>
      </w:r>
    </w:p>
    <w:p w14:paraId="0F2963B2" w14:textId="77777777" w:rsidR="00F55395" w:rsidRDefault="00F55395" w:rsidP="000C4DF5">
      <w:pPr>
        <w:pStyle w:val="NoSpacing"/>
        <w:rPr>
          <w:rFonts w:ascii="Arial Black" w:hAnsi="Arial Black"/>
          <w:sz w:val="24"/>
          <w:szCs w:val="24"/>
        </w:rPr>
      </w:pPr>
    </w:p>
    <w:p w14:paraId="02A65238" w14:textId="77777777" w:rsidR="00F55395" w:rsidRDefault="00F55395" w:rsidP="000C4DF5">
      <w:pPr>
        <w:pStyle w:val="NoSpacing"/>
        <w:rPr>
          <w:rFonts w:ascii="Arial Black" w:hAnsi="Arial Black"/>
          <w:sz w:val="24"/>
          <w:szCs w:val="24"/>
        </w:rPr>
      </w:pPr>
    </w:p>
    <w:p w14:paraId="1DF8E2A4" w14:textId="77777777" w:rsidR="00F55395" w:rsidRDefault="00F55395" w:rsidP="000C4DF5">
      <w:pPr>
        <w:pStyle w:val="NoSpacing"/>
        <w:rPr>
          <w:rFonts w:ascii="Arial Black" w:hAnsi="Arial Black"/>
          <w:sz w:val="24"/>
          <w:szCs w:val="24"/>
        </w:rPr>
      </w:pPr>
    </w:p>
    <w:p w14:paraId="2346BD04" w14:textId="41ACD1C9" w:rsidR="00BA3CDE" w:rsidRDefault="00BA3CDE" w:rsidP="000C4DF5">
      <w:pPr>
        <w:pStyle w:val="NoSpacing"/>
        <w:rPr>
          <w:rFonts w:ascii="Arial Black" w:hAnsi="Arial Black"/>
          <w:sz w:val="24"/>
          <w:szCs w:val="24"/>
        </w:rPr>
      </w:pPr>
      <w:r>
        <w:rPr>
          <w:rFonts w:ascii="Arial Black" w:hAnsi="Arial Black"/>
          <w:sz w:val="24"/>
          <w:szCs w:val="24"/>
        </w:rPr>
        <w:t>15-22</w:t>
      </w:r>
    </w:p>
    <w:p w14:paraId="27E01CB9" w14:textId="77777777" w:rsidR="00BA3CDE" w:rsidRPr="009024DC" w:rsidRDefault="00BA3CDE" w:rsidP="00BA3CDE">
      <w:pPr>
        <w:pStyle w:val="NormalWeb"/>
        <w:rPr>
          <w:rFonts w:ascii="Arial Black" w:hAnsi="Arial Black"/>
          <w:sz w:val="28"/>
          <w:szCs w:val="28"/>
        </w:rPr>
      </w:pPr>
      <w:r>
        <w:rPr>
          <w:rFonts w:ascii="Arial Black" w:hAnsi="Arial Black"/>
          <w:sz w:val="28"/>
          <w:szCs w:val="28"/>
        </w:rPr>
        <w:t xml:space="preserve">MN: PTSD STATUTORY PRESUMPTION - DEPUTY GET WORKER COMP – COUNTY PSYCH IME NOT FOR 10 MONTHS </w:t>
      </w:r>
    </w:p>
    <w:p w14:paraId="5BBAA844" w14:textId="77777777" w:rsidR="00BA3CDE" w:rsidRDefault="00BA3CDE" w:rsidP="00BA3CDE">
      <w:pPr>
        <w:pStyle w:val="NormalWeb"/>
      </w:pPr>
      <w:r>
        <w:t xml:space="preserve">On Dec. 21, 2022, in </w:t>
      </w:r>
      <w:r w:rsidRPr="00DB4210">
        <w:t>Douglas Juntunen v. Carlton County, et al.,</w:t>
      </w:r>
      <w:r>
        <w:t xml:space="preserve"> the Supreme Court of Minnesota held (7 to 0; including 2 concurring opinions) that Deputy Juntunen is entitled to workers compensation. The Deputy’s psychiatrist concluded he suffered from PTSD on the date of the exam, Aug. 20, 2019. The County took 10 months to arrange for their psychiatrist to conduct an independent medical exam (July 20, 2020), who concluded that the Deputy now suffers from major depression but not PTSD. The County therefore failed to rebut the Minnesota statutory presumption for emergency responders.  The Deputy also submitted proof of seeking mental help after the suicide of a former partner in 2016.  He contacted County EAP who referred him to Beth Jordan, a licensed mental health clinician, who he saw four our times during next 3 months. Then in Dec. 2018, he renewed meeting with the Beth Jordan when he found it </w:t>
      </w:r>
      <w:proofErr w:type="gramStart"/>
      <w:r>
        <w:t>more and more</w:t>
      </w:r>
      <w:proofErr w:type="gramEnd"/>
      <w:r>
        <w:t xml:space="preserve"> difficult to report to duty.  Over the next few months, he met with Jordan a few times a month, and he received eye movement desensitization and reprocessing (EMDR) therapy to process the pursuit and suicide, his partner's suicide, his mother's death, and the death of a 16-year-old boy in MVA who had just received his driver’s license. The Workers Comp administrative law judge denied coverage based on the County’s psychiatrist’s report.  On appeal, the Workers' Compensation Court of Appeals reversed since that report was 10 months after the Deputy’s report of PTSD (Aug. 20, 2019).  The Minnesota statutory presumption law became effective for claims made on or after Jan. 1, 2019.</w:t>
      </w:r>
    </w:p>
    <w:p w14:paraId="22D62859" w14:textId="77777777" w:rsidR="00BA3CDE" w:rsidRPr="00B57D9A" w:rsidRDefault="00BA3CDE" w:rsidP="00BA3CDE">
      <w:pPr>
        <w:pStyle w:val="NormalWeb"/>
        <w:ind w:left="720"/>
      </w:pPr>
      <w:r>
        <w:t>“</w:t>
      </w:r>
      <w:r w:rsidRPr="00B57D9A">
        <w:t xml:space="preserve">The employer argues that Dr. Arbisi's opinion from July 2020 was sufficient to rebut the presumption. We disagree. The WCCA determined that the County did not rebut the presumption for the following reason: </w:t>
      </w:r>
    </w:p>
    <w:p w14:paraId="0CD6AA8A" w14:textId="77777777" w:rsidR="00BA3CDE" w:rsidRDefault="00BA3CDE" w:rsidP="00BA3CDE">
      <w:pPr>
        <w:spacing w:after="100" w:line="240" w:lineRule="auto"/>
        <w:ind w:left="1440"/>
        <w:rPr>
          <w:rFonts w:ascii="Times New Roman" w:eastAsia="Times New Roman" w:hAnsi="Times New Roman"/>
          <w:sz w:val="24"/>
          <w:szCs w:val="24"/>
        </w:rPr>
      </w:pPr>
      <w:r w:rsidRPr="00B57D9A">
        <w:rPr>
          <w:rFonts w:ascii="Times New Roman" w:eastAsia="Times New Roman" w:hAnsi="Times New Roman"/>
          <w:sz w:val="24"/>
          <w:szCs w:val="24"/>
        </w:rPr>
        <w:t>The presumption [based on Dr. Keller's diagnosis in September 2019] established that at the time of his disablement from work, the employee had compensable PTSD. To rebut, the employer needed to offer evidence that at the time of the employee's disablement, he did not have a PTSD diagnosis. The employer failed to do so as Dr. Arbisi's opinion was, at the time of his July 2020 evaluation and for the 30 days preceding that evaluation, that the employee did not have a PTSD diagnosis. His opinion, in both his report and his deposition testimony, failed to address the issue surrounding the statutory presumption, specifically whether the employee had a diagnosis of PTSD in September 2019.</w:t>
      </w:r>
      <w:r>
        <w:rPr>
          <w:rFonts w:ascii="Times New Roman" w:eastAsia="Times New Roman" w:hAnsi="Times New Roman"/>
          <w:sz w:val="24"/>
          <w:szCs w:val="24"/>
        </w:rPr>
        <w:t>”</w:t>
      </w:r>
    </w:p>
    <w:p w14:paraId="22591932" w14:textId="77777777" w:rsidR="00BA3CDE" w:rsidRPr="00B57D9A" w:rsidRDefault="00BA3CDE" w:rsidP="00BA3CDE">
      <w:pPr>
        <w:spacing w:after="100" w:line="240" w:lineRule="auto"/>
        <w:ind w:left="720"/>
        <w:rPr>
          <w:rFonts w:ascii="Times New Roman" w:eastAsia="Times New Roman" w:hAnsi="Times New Roman"/>
          <w:sz w:val="24"/>
          <w:szCs w:val="24"/>
        </w:rPr>
      </w:pPr>
      <w:hyperlink r:id="rId2371" w:history="1">
        <w:r w:rsidRPr="006B595F">
          <w:rPr>
            <w:rStyle w:val="Hyperlink"/>
            <w:rFonts w:ascii="Times New Roman" w:eastAsia="Times New Roman" w:hAnsi="Times New Roman"/>
            <w:sz w:val="24"/>
            <w:szCs w:val="24"/>
          </w:rPr>
          <w:t>https://mn.gov/workcomp-stat/2021/Juntunen%20-%2012-28-21.html</w:t>
        </w:r>
      </w:hyperlink>
      <w:r>
        <w:rPr>
          <w:rFonts w:ascii="Times New Roman" w:eastAsia="Times New Roman" w:hAnsi="Times New Roman"/>
          <w:sz w:val="24"/>
          <w:szCs w:val="24"/>
        </w:rPr>
        <w:t xml:space="preserve"> </w:t>
      </w:r>
    </w:p>
    <w:p w14:paraId="4F285B52" w14:textId="77777777" w:rsidR="00BA3CDE" w:rsidRPr="00B57D9A" w:rsidRDefault="00BA3CDE" w:rsidP="00BA3CDE">
      <w:pPr>
        <w:pStyle w:val="NormalWeb"/>
        <w:rPr>
          <w:b/>
          <w:bCs/>
        </w:rPr>
      </w:pPr>
      <w:r w:rsidRPr="00B57D9A">
        <w:rPr>
          <w:b/>
          <w:bCs/>
        </w:rPr>
        <w:lastRenderedPageBreak/>
        <w:t xml:space="preserve">Legal Lesson Learned: </w:t>
      </w:r>
      <w:r>
        <w:rPr>
          <w:b/>
          <w:bCs/>
        </w:rPr>
        <w:t xml:space="preserve"> Statutory presumption for emergency responders </w:t>
      </w:r>
      <w:proofErr w:type="gramStart"/>
      <w:r>
        <w:rPr>
          <w:b/>
          <w:bCs/>
        </w:rPr>
        <w:t>are</w:t>
      </w:r>
      <w:proofErr w:type="gramEnd"/>
      <w:r>
        <w:rPr>
          <w:b/>
          <w:bCs/>
        </w:rPr>
        <w:t xml:space="preserve"> extremely helpful for those seeking workers comp for PTSD,</w:t>
      </w:r>
    </w:p>
    <w:p w14:paraId="5A442F8E" w14:textId="77777777" w:rsidR="00BA3CDE" w:rsidRDefault="00BA3CDE" w:rsidP="00BA3CDE">
      <w:pPr>
        <w:pStyle w:val="NormalWeb"/>
        <w:ind w:left="720"/>
      </w:pPr>
      <w:r>
        <w:t>Note: Two of the seven Minnesota Supreme Court Justices issued a concurring opinion. Justice Anderson wrote:</w:t>
      </w:r>
    </w:p>
    <w:p w14:paraId="04E14177" w14:textId="77777777" w:rsidR="00BA3CDE" w:rsidRPr="00C02792" w:rsidRDefault="00BA3CDE" w:rsidP="00BA3CDE">
      <w:pPr>
        <w:pStyle w:val="NormalWeb"/>
        <w:ind w:left="720"/>
      </w:pPr>
      <w:r>
        <w:t xml:space="preserve">“This [opinion] leaves local government units, and by extension, taxpayers, potentially required to pay disability compensation to any covered employee who is diagnosed with PTSD from the time the employee files the claim until the employer can schedule an independent medical examination, regardless of the validity of the initial diagnosis. *** What amendments, if any, are necessary to clarify the operation of Minn. Stat. § 176.011, subd. 15(e), are within the purview of the Legislative and Executive branches of our government. I write separately only to highlight some potential issues that may, or may not, require further action by those branches.” </w:t>
      </w:r>
      <w:hyperlink r:id="rId2372" w:history="1">
        <w:r w:rsidRPr="00037B1A">
          <w:rPr>
            <w:rStyle w:val="Hyperlink"/>
            <w:rFonts w:eastAsiaTheme="majorEastAsia"/>
          </w:rPr>
          <w:t>https://public.fastcase.com/J%2FJP6pdidelsXxEE4k%2BLMrxVcam7rKBSdRgmN0M2d%2BrW9J8HXjyMcs%2BCJsDK%2Fusk%2B2E9D%2F1BAqASOG07gYFsTW16dm6lb%2FBgwI52A7gDyzw%3D?utm_medium=email&amp;_hsmi=226712652&amp;_hsenc=p2ANqtz-9PBrRsgZ6dWHR_pYoIAB1lqWQVVefDA3UXzg06QZf9i4O0NAY5ywCEjL-xcfOhIm7moLGvuFP1IQS4Gks-qJ07TvkP3Q&amp;utm_content=226712652&amp;utm_source=hs_email</w:t>
        </w:r>
      </w:hyperlink>
    </w:p>
    <w:p w14:paraId="6C9B9641" w14:textId="77777777" w:rsidR="00BA3CDE" w:rsidRDefault="00BA3CDE" w:rsidP="000C4DF5">
      <w:pPr>
        <w:pStyle w:val="NoSpacing"/>
        <w:rPr>
          <w:rFonts w:ascii="Arial Black" w:hAnsi="Arial Black"/>
          <w:sz w:val="24"/>
          <w:szCs w:val="24"/>
        </w:rPr>
      </w:pPr>
    </w:p>
    <w:p w14:paraId="5B8AED27" w14:textId="77777777" w:rsidR="00BA3CDE" w:rsidRDefault="00BA3CDE" w:rsidP="000C4DF5">
      <w:pPr>
        <w:pStyle w:val="NoSpacing"/>
        <w:rPr>
          <w:rFonts w:ascii="Arial Black" w:hAnsi="Arial Black"/>
          <w:sz w:val="24"/>
          <w:szCs w:val="24"/>
        </w:rPr>
      </w:pPr>
    </w:p>
    <w:p w14:paraId="7C1A1458" w14:textId="77777777" w:rsidR="00BA3CDE" w:rsidRDefault="00BA3CDE" w:rsidP="000C4DF5">
      <w:pPr>
        <w:pStyle w:val="NoSpacing"/>
        <w:rPr>
          <w:rFonts w:ascii="Arial Black" w:hAnsi="Arial Black"/>
          <w:sz w:val="24"/>
          <w:szCs w:val="24"/>
        </w:rPr>
      </w:pPr>
    </w:p>
    <w:p w14:paraId="167E6E98" w14:textId="7BB8D040" w:rsidR="00BA3CDE" w:rsidRDefault="00BA3CDE" w:rsidP="000C4DF5">
      <w:pPr>
        <w:pStyle w:val="NoSpacing"/>
        <w:rPr>
          <w:rFonts w:ascii="Arial Black" w:hAnsi="Arial Black"/>
          <w:sz w:val="24"/>
          <w:szCs w:val="24"/>
        </w:rPr>
      </w:pPr>
      <w:r>
        <w:rPr>
          <w:rFonts w:ascii="Arial Black" w:hAnsi="Arial Black"/>
          <w:sz w:val="24"/>
          <w:szCs w:val="24"/>
        </w:rPr>
        <w:t>15-21</w:t>
      </w:r>
    </w:p>
    <w:p w14:paraId="3810AAC9" w14:textId="77777777" w:rsidR="00BA3CDE" w:rsidRDefault="00BA3CDE" w:rsidP="00BA3CDE">
      <w:pPr>
        <w:pStyle w:val="NormalWeb"/>
        <w:rPr>
          <w:rFonts w:ascii="Arial Black" w:hAnsi="Arial Black"/>
          <w:sz w:val="28"/>
          <w:szCs w:val="28"/>
        </w:rPr>
      </w:pPr>
      <w:r>
        <w:rPr>
          <w:rFonts w:ascii="Arial Black" w:hAnsi="Arial Black"/>
          <w:sz w:val="28"/>
          <w:szCs w:val="28"/>
        </w:rPr>
        <w:t>MN: DEPUTY SHERIFF SUICIDE – “KILLED IN LINE-OF-DUTY” PENSION AWARDED TO WIFE – COURT OVERTURNS ALJ</w:t>
      </w:r>
    </w:p>
    <w:p w14:paraId="72749FA8" w14:textId="77777777" w:rsidR="00BA3CDE" w:rsidRDefault="00BA3CDE" w:rsidP="00BA3CDE">
      <w:pPr>
        <w:pStyle w:val="NormalWeb"/>
      </w:pPr>
      <w:r>
        <w:t xml:space="preserve">On Dec. 19, 2022, in </w:t>
      </w:r>
      <w:r w:rsidRPr="00036152">
        <w:rPr>
          <w:u w:val="single"/>
        </w:rPr>
        <w:t xml:space="preserve">In </w:t>
      </w:r>
      <w:proofErr w:type="gramStart"/>
      <w:r w:rsidRPr="00036152">
        <w:rPr>
          <w:u w:val="single"/>
        </w:rPr>
        <w:t>The</w:t>
      </w:r>
      <w:proofErr w:type="gramEnd"/>
      <w:r w:rsidRPr="00036152">
        <w:rPr>
          <w:u w:val="single"/>
        </w:rPr>
        <w:t xml:space="preserve"> Matter </w:t>
      </w:r>
      <w:proofErr w:type="gramStart"/>
      <w:r w:rsidRPr="00036152">
        <w:rPr>
          <w:u w:val="single"/>
        </w:rPr>
        <w:t>Of</w:t>
      </w:r>
      <w:proofErr w:type="gramEnd"/>
      <w:r w:rsidRPr="00036152">
        <w:rPr>
          <w:u w:val="single"/>
        </w:rPr>
        <w:t xml:space="preserve"> </w:t>
      </w:r>
      <w:proofErr w:type="gramStart"/>
      <w:r w:rsidRPr="00036152">
        <w:rPr>
          <w:u w:val="single"/>
        </w:rPr>
        <w:t>A</w:t>
      </w:r>
      <w:proofErr w:type="gramEnd"/>
      <w:r w:rsidRPr="00036152">
        <w:rPr>
          <w:u w:val="single"/>
        </w:rPr>
        <w:t xml:space="preserve"> Public Safety Officer Death Benefit </w:t>
      </w:r>
      <w:proofErr w:type="gramStart"/>
      <w:r w:rsidRPr="00036152">
        <w:rPr>
          <w:u w:val="single"/>
        </w:rPr>
        <w:t>For</w:t>
      </w:r>
      <w:proofErr w:type="gramEnd"/>
      <w:r w:rsidRPr="00036152">
        <w:rPr>
          <w:u w:val="single"/>
        </w:rPr>
        <w:t xml:space="preserve"> Jerome Ri</w:t>
      </w:r>
      <w:r>
        <w:rPr>
          <w:u w:val="single"/>
        </w:rPr>
        <w:t>h</w:t>
      </w:r>
      <w:r w:rsidRPr="00036152">
        <w:rPr>
          <w:u w:val="single"/>
        </w:rPr>
        <w:t>card Lannon (deceased)</w:t>
      </w:r>
      <w:r>
        <w:t>, the Court of Appeals on Minnesota, held (3 to 0) that Administrative Law Judge incorrectly ruled that a deputy’s suicide cannot be considered a “line of duty death.” Deputy Lannon committed suicide in 2018; he had been employed by Washington County Sheriff’s Office since 1999 and had responded to numerous critical incidents including a double murder, multiple suicides, a child's sexual assault, and fatal vehicle crashes. He was also involved in high-stress situations like apprehending a suspect in a domestic dispute who had fired a weapon in the home. Inn 2015, Deputy Lannon was diagnosed with anxiety and depression. In 2016, he began attending therapy to address symptoms of anxiety and depression. In September 2018, he was further injured in a serious car accident and in Nov. 2018 a supervisor brought him to a hospital because he was experiencing suicidal ideations; after his release he committed suicide on Nov. 26, 2018.</w:t>
      </w:r>
    </w:p>
    <w:p w14:paraId="7F1DEA89" w14:textId="77777777" w:rsidR="00BA3CDE" w:rsidRDefault="00BA3CDE" w:rsidP="00BA3CDE">
      <w:pPr>
        <w:pStyle w:val="NormalWeb"/>
        <w:ind w:left="720"/>
      </w:pPr>
      <w:r>
        <w:t xml:space="preserve">“The primary question before us is whether a public safety officer who dies by suicide </w:t>
      </w:r>
      <w:proofErr w:type="gramStart"/>
      <w:r>
        <w:t>as a result of</w:t>
      </w:r>
      <w:proofErr w:type="gramEnd"/>
      <w:r>
        <w:t xml:space="preserve"> job-related PTSD</w:t>
      </w:r>
      <w:r>
        <w:rPr>
          <w:vertAlign w:val="superscript"/>
        </w:rPr>
        <w:t xml:space="preserve"> </w:t>
      </w:r>
      <w:r>
        <w:t xml:space="preserve">is ‘killed in the line of duty’ within the meaning of the death-benefit statute, Minn. Stat. § 299A.44…. We conclude that ‘killed in the line of duty,’ as used in Minn. Stat. § 299A.44, includes a death by suicide resulting from PTSD caused by performing duties peculiar to a public safety officer. Accordingly, survivors of such an officer may qualify for the death benefit provided by Minn. Stat. § 299A.44. We further conclude that relator has presented sufficient evidence to raise a genuine issue of material fact as to whether Deputy Lannon's death by suicide meets that qualification. We therefore reverse and remand to the Office of Administrative Hearings for further proceedings consistent with this </w:t>
      </w:r>
      <w:proofErr w:type="gramStart"/>
      <w:r>
        <w:t>opinion.”</w:t>
      </w:r>
      <w:proofErr w:type="gramEnd"/>
      <w:r>
        <w:t xml:space="preserve"> </w:t>
      </w:r>
      <w:hyperlink r:id="rId2373" w:history="1">
        <w:r w:rsidRPr="00212B30">
          <w:rPr>
            <w:rStyle w:val="Hyperlink"/>
            <w:rFonts w:eastAsiaTheme="majorEastAsia"/>
          </w:rPr>
          <w:t>https://law.justia.com/cases/minnesota/court-of-appeals/2022/a22-0507.html</w:t>
        </w:r>
      </w:hyperlink>
      <w:r>
        <w:t xml:space="preserve"> </w:t>
      </w:r>
    </w:p>
    <w:p w14:paraId="39BB8960" w14:textId="77777777" w:rsidR="00BA3CDE" w:rsidRDefault="00BA3CDE" w:rsidP="00BA3CDE">
      <w:pPr>
        <w:pStyle w:val="NormalWeb"/>
        <w:rPr>
          <w:b/>
          <w:bCs/>
        </w:rPr>
      </w:pPr>
      <w:r w:rsidRPr="003E7459">
        <w:rPr>
          <w:b/>
          <w:bCs/>
        </w:rPr>
        <w:t>Legal Lesson Learned:</w:t>
      </w:r>
      <w:r>
        <w:rPr>
          <w:b/>
          <w:bCs/>
        </w:rPr>
        <w:t xml:space="preserve"> Suicide by public safety officers is a nationwide issue. I hope the widow receives LODD benefits. </w:t>
      </w:r>
    </w:p>
    <w:p w14:paraId="0D6689E0" w14:textId="77777777" w:rsidR="00BA3CDE" w:rsidRDefault="00BA3CDE" w:rsidP="000C4DF5">
      <w:pPr>
        <w:pStyle w:val="NoSpacing"/>
        <w:rPr>
          <w:rFonts w:ascii="Arial Black" w:hAnsi="Arial Black"/>
          <w:sz w:val="24"/>
          <w:szCs w:val="24"/>
        </w:rPr>
      </w:pPr>
    </w:p>
    <w:p w14:paraId="4F8138BD" w14:textId="77777777" w:rsidR="00BA3CDE" w:rsidRDefault="00BA3CDE" w:rsidP="000C4DF5">
      <w:pPr>
        <w:pStyle w:val="NoSpacing"/>
        <w:rPr>
          <w:rFonts w:ascii="Arial Black" w:hAnsi="Arial Black"/>
          <w:sz w:val="24"/>
          <w:szCs w:val="24"/>
        </w:rPr>
      </w:pPr>
    </w:p>
    <w:p w14:paraId="30B1D0F1" w14:textId="77777777" w:rsidR="00BA3CDE" w:rsidRDefault="00BA3CDE" w:rsidP="000C4DF5">
      <w:pPr>
        <w:pStyle w:val="NoSpacing"/>
        <w:rPr>
          <w:rFonts w:ascii="Arial Black" w:hAnsi="Arial Black"/>
          <w:sz w:val="24"/>
          <w:szCs w:val="24"/>
        </w:rPr>
      </w:pPr>
    </w:p>
    <w:p w14:paraId="44243A38" w14:textId="2B6A8660" w:rsidR="00F31C1B" w:rsidRDefault="00F31C1B" w:rsidP="000C4DF5">
      <w:pPr>
        <w:pStyle w:val="NoSpacing"/>
        <w:rPr>
          <w:rFonts w:ascii="Arial Black" w:hAnsi="Arial Black"/>
          <w:sz w:val="24"/>
          <w:szCs w:val="24"/>
        </w:rPr>
      </w:pPr>
      <w:r>
        <w:rPr>
          <w:rFonts w:ascii="Arial Black" w:hAnsi="Arial Black"/>
          <w:sz w:val="24"/>
          <w:szCs w:val="24"/>
        </w:rPr>
        <w:t>15-20</w:t>
      </w:r>
    </w:p>
    <w:p w14:paraId="7A442755" w14:textId="77777777" w:rsidR="00F31C1B" w:rsidRDefault="00F31C1B" w:rsidP="00F31C1B">
      <w:pPr>
        <w:spacing w:before="100" w:beforeAutospacing="1" w:after="100" w:afterAutospacing="1" w:line="240" w:lineRule="auto"/>
        <w:outlineLvl w:val="0"/>
        <w:rPr>
          <w:rFonts w:ascii="Times New Roman" w:eastAsia="Times New Roman" w:hAnsi="Times New Roman"/>
          <w:b/>
          <w:bCs/>
          <w:kern w:val="36"/>
          <w:sz w:val="48"/>
          <w:szCs w:val="48"/>
        </w:rPr>
      </w:pPr>
      <w:bookmarkStart w:id="570" w:name="_Hlk120872340"/>
      <w:r>
        <w:rPr>
          <w:rFonts w:ascii="Arial Black" w:eastAsia="Times New Roman" w:hAnsi="Arial Black"/>
          <w:b/>
          <w:bCs/>
          <w:kern w:val="36"/>
          <w:sz w:val="28"/>
          <w:szCs w:val="28"/>
        </w:rPr>
        <w:t>FL: PTSD – MEDIC WINS WORKERS’ COMP – WHILE TRAUMA RUNS PRIOR NEW STATUTE, LOSS WAGES AFTER 2018 LAW</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F31C1B" w:rsidRPr="004879C2" w14:paraId="71B79F3C" w14:textId="77777777" w:rsidTr="00317ED5">
        <w:trPr>
          <w:tblCellSpacing w:w="15" w:type="dxa"/>
        </w:trPr>
        <w:tc>
          <w:tcPr>
            <w:tcW w:w="0" w:type="auto"/>
            <w:vAlign w:val="center"/>
          </w:tcPr>
          <w:p w14:paraId="23A5ECE1" w14:textId="77777777" w:rsidR="00F31C1B" w:rsidRDefault="00F31C1B" w:rsidP="00317ED5">
            <w:pPr>
              <w:spacing w:after="0" w:line="240" w:lineRule="auto"/>
              <w:rPr>
                <w:rFonts w:ascii="Times New Roman" w:eastAsia="Times New Roman" w:hAnsi="Times New Roman"/>
                <w:kern w:val="36"/>
                <w:sz w:val="24"/>
                <w:szCs w:val="24"/>
              </w:rPr>
            </w:pPr>
            <w:r>
              <w:rPr>
                <w:rFonts w:ascii="Times New Roman" w:eastAsia="Times New Roman" w:hAnsi="Times New Roman"/>
                <w:kern w:val="36"/>
                <w:sz w:val="24"/>
                <w:szCs w:val="24"/>
              </w:rPr>
              <w:t xml:space="preserve">On Nov. 2, 2022, in </w:t>
            </w:r>
            <w:r w:rsidRPr="004879C2">
              <w:rPr>
                <w:rFonts w:ascii="Times New Roman" w:eastAsia="Times New Roman" w:hAnsi="Times New Roman"/>
                <w:kern w:val="36"/>
                <w:sz w:val="24"/>
                <w:szCs w:val="24"/>
                <w:u w:val="single"/>
              </w:rPr>
              <w:t>Mandy Lynn Wyatt v. Polk County Board of Commissioners, et al</w:t>
            </w:r>
            <w:r>
              <w:rPr>
                <w:rFonts w:ascii="Times New Roman" w:eastAsia="Times New Roman" w:hAnsi="Times New Roman"/>
                <w:kern w:val="36"/>
                <w:sz w:val="24"/>
                <w:szCs w:val="24"/>
              </w:rPr>
              <w:t xml:space="preserve">., the Florida Court of Appeals, First District, held (3 to 0) that the firefighter is entitled to workers comp coverage for PTSD.  She first began experiencing nightmares in 2016; began seeing a therapist in 2017; after trauma runs involving children in 2017 and 2018, she left the Department on Nov. 27. 2018.   Statute no longer requires proof of physical injury for workers comp. claim for mental stress. The new Florida statute expanding coverage for emergency responders with PTSD, without need to prove physical injury, was effective Oct. 1, 2018. She lost wages </w:t>
            </w:r>
            <w:proofErr w:type="gramStart"/>
            <w:r>
              <w:rPr>
                <w:rFonts w:ascii="Times New Roman" w:eastAsia="Times New Roman" w:hAnsi="Times New Roman"/>
                <w:kern w:val="36"/>
                <w:sz w:val="24"/>
                <w:szCs w:val="24"/>
              </w:rPr>
              <w:t>because</w:t>
            </w:r>
            <w:proofErr w:type="gramEnd"/>
            <w:r>
              <w:rPr>
                <w:rFonts w:ascii="Times New Roman" w:eastAsia="Times New Roman" w:hAnsi="Times New Roman"/>
                <w:kern w:val="36"/>
                <w:sz w:val="24"/>
                <w:szCs w:val="24"/>
              </w:rPr>
              <w:t xml:space="preserve"> her PTSD after the effective date of the statute and is therefore entitled to workers’ comp for her prior traumatic incidents. </w:t>
            </w:r>
          </w:p>
          <w:p w14:paraId="2F7D371A" w14:textId="77777777" w:rsidR="00F31C1B" w:rsidRPr="006158E8" w:rsidRDefault="00F31C1B" w:rsidP="00317ED5">
            <w:pPr>
              <w:spacing w:after="0" w:line="240" w:lineRule="auto"/>
              <w:rPr>
                <w:rFonts w:ascii="Times New Roman" w:eastAsia="Times New Roman" w:hAnsi="Times New Roman"/>
                <w:sz w:val="24"/>
                <w:szCs w:val="24"/>
              </w:rPr>
            </w:pPr>
          </w:p>
        </w:tc>
      </w:tr>
    </w:tbl>
    <w:bookmarkEnd w:id="570"/>
    <w:p w14:paraId="2C64A2E1" w14:textId="77777777" w:rsidR="00F31C1B" w:rsidRDefault="00F31C1B" w:rsidP="00F31C1B">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r w:rsidRPr="00806239">
        <w:rPr>
          <w:rStyle w:val="markedcontent"/>
          <w:rFonts w:ascii="Times New Roman" w:hAnsi="Times New Roman"/>
          <w:sz w:val="24"/>
          <w:szCs w:val="24"/>
        </w:rPr>
        <w:t>Application of section 112.1815 makes a difference in the</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determination of a claim like Wyatt’s. For example, Wyatt does not</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claim to have suffered a physical injury at work, and the Workers’</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Compensation Law generally places strict limits on</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compensability for a mental or nervous work injury. A</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compensable physical injury must be the major contributing cause</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of the mental or nervous injury, and temporary benefits may not</w:t>
      </w:r>
      <w:r w:rsidRPr="00806239">
        <w:br/>
      </w:r>
      <w:r w:rsidRPr="00806239">
        <w:rPr>
          <w:rStyle w:val="markedcontent"/>
          <w:rFonts w:ascii="Times New Roman" w:hAnsi="Times New Roman"/>
          <w:sz w:val="24"/>
          <w:szCs w:val="24"/>
        </w:rPr>
        <w:t>be paid for more than six months following the date of maximum</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medical improvement for the physical injury. See § 440.093, Fla.</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Stat. (2018). Under this provision (considered alone), Wyatt’s</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claimed injury would not be compensable at all. Since its original</w:t>
      </w:r>
      <w:r>
        <w:rPr>
          <w:rStyle w:val="markedcontent"/>
          <w:rFonts w:ascii="Times New Roman" w:hAnsi="Times New Roman"/>
          <w:sz w:val="24"/>
          <w:szCs w:val="24"/>
        </w:rPr>
        <w:t xml:space="preserve"> e</w:t>
      </w:r>
      <w:r w:rsidRPr="00806239">
        <w:rPr>
          <w:rStyle w:val="markedcontent"/>
          <w:rFonts w:ascii="Times New Roman" w:hAnsi="Times New Roman"/>
          <w:sz w:val="24"/>
          <w:szCs w:val="24"/>
        </w:rPr>
        <w:t>nactment in 2007, however, section 112.1815 has eased this</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limitation for first responders like Wyatt by allowing for medical</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benefits under section 440.13 to treat a mental or nervous injury</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 xml:space="preserve">suffered at work, even if it was </w:t>
      </w:r>
      <w:r>
        <w:rPr>
          <w:rStyle w:val="markedcontent"/>
          <w:rFonts w:ascii="Times New Roman" w:hAnsi="Times New Roman"/>
          <w:sz w:val="24"/>
          <w:szCs w:val="24"/>
        </w:rPr>
        <w:t>‘</w:t>
      </w:r>
      <w:r w:rsidRPr="00806239">
        <w:rPr>
          <w:rStyle w:val="markedcontent"/>
          <w:rFonts w:ascii="Times New Roman" w:hAnsi="Times New Roman"/>
          <w:sz w:val="24"/>
          <w:szCs w:val="24"/>
        </w:rPr>
        <w:t>unaccompanied by a physical</w:t>
      </w:r>
      <w:r w:rsidRPr="00806239">
        <w:br/>
      </w:r>
      <w:r w:rsidRPr="00806239">
        <w:rPr>
          <w:rStyle w:val="markedcontent"/>
          <w:rFonts w:ascii="Times New Roman" w:hAnsi="Times New Roman"/>
          <w:sz w:val="24"/>
          <w:szCs w:val="24"/>
        </w:rPr>
        <w:t>injury.</w:t>
      </w:r>
      <w:r>
        <w:rPr>
          <w:rStyle w:val="markedcontent"/>
          <w:rFonts w:ascii="Times New Roman" w:hAnsi="Times New Roman"/>
          <w:sz w:val="24"/>
          <w:szCs w:val="24"/>
        </w:rPr>
        <w:t>’</w:t>
      </w:r>
      <w:r w:rsidRPr="00806239">
        <w:rPr>
          <w:rStyle w:val="markedcontent"/>
          <w:rFonts w:ascii="Times New Roman" w:hAnsi="Times New Roman"/>
          <w:sz w:val="24"/>
          <w:szCs w:val="24"/>
        </w:rPr>
        <w:t xml:space="preserve"> § 112.1815(2)(a)3., Fla. Stat. (2018)</w:t>
      </w:r>
      <w:r>
        <w:rPr>
          <w:rStyle w:val="markedcontent"/>
          <w:rFonts w:ascii="Times New Roman" w:hAnsi="Times New Roman"/>
          <w:sz w:val="24"/>
          <w:szCs w:val="24"/>
        </w:rPr>
        <w:t>.</w:t>
      </w:r>
    </w:p>
    <w:p w14:paraId="2BC962BD" w14:textId="77777777" w:rsidR="00F31C1B" w:rsidRDefault="00F31C1B" w:rsidP="00F31C1B">
      <w:pPr>
        <w:pStyle w:val="NoSpacing"/>
        <w:ind w:left="720"/>
        <w:rPr>
          <w:rStyle w:val="markedcontent"/>
          <w:rFonts w:ascii="Times New Roman" w:hAnsi="Times New Roman"/>
          <w:sz w:val="24"/>
          <w:szCs w:val="24"/>
        </w:rPr>
      </w:pPr>
    </w:p>
    <w:p w14:paraId="67DDADB2" w14:textId="77777777" w:rsidR="00F31C1B" w:rsidRDefault="00F31C1B" w:rsidP="00F31C1B">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p>
    <w:p w14:paraId="3E5D78FB" w14:textId="77777777" w:rsidR="00F31C1B" w:rsidRPr="004879C2" w:rsidRDefault="00F31C1B" w:rsidP="00F31C1B">
      <w:pPr>
        <w:pStyle w:val="NoSpacing"/>
        <w:ind w:left="720"/>
        <w:rPr>
          <w:rFonts w:ascii="Times New Roman" w:eastAsia="Times New Roman" w:hAnsi="Times New Roman"/>
          <w:b/>
          <w:bCs/>
          <w:kern w:val="36"/>
          <w:sz w:val="24"/>
          <w:szCs w:val="24"/>
        </w:rPr>
      </w:pPr>
      <w:r>
        <w:rPr>
          <w:rFonts w:ascii="Times New Roman" w:hAnsi="Times New Roman"/>
          <w:sz w:val="24"/>
          <w:szCs w:val="24"/>
        </w:rPr>
        <w:t xml:space="preserve">In </w:t>
      </w:r>
      <w:r w:rsidRPr="004879C2">
        <w:rPr>
          <w:rFonts w:ascii="Times New Roman" w:hAnsi="Times New Roman"/>
          <w:sz w:val="24"/>
          <w:szCs w:val="24"/>
        </w:rPr>
        <w:t xml:space="preserve">2018, the Legislature added </w:t>
      </w:r>
      <w:proofErr w:type="gramStart"/>
      <w:r w:rsidRPr="004879C2">
        <w:rPr>
          <w:rFonts w:ascii="Times New Roman" w:hAnsi="Times New Roman"/>
          <w:sz w:val="24"/>
          <w:szCs w:val="24"/>
        </w:rPr>
        <w:t>a subsection</w:t>
      </w:r>
      <w:proofErr w:type="gramEnd"/>
      <w:r w:rsidRPr="004879C2">
        <w:rPr>
          <w:rFonts w:ascii="Times New Roman" w:hAnsi="Times New Roman"/>
          <w:sz w:val="24"/>
          <w:szCs w:val="24"/>
        </w:rPr>
        <w:t xml:space="preserve"> five to section 112.1815. </w:t>
      </w:r>
      <w:r w:rsidRPr="004879C2">
        <w:rPr>
          <w:rStyle w:val="Emphasis"/>
          <w:rFonts w:ascii="Times New Roman" w:hAnsi="Times New Roman"/>
          <w:sz w:val="24"/>
          <w:szCs w:val="24"/>
        </w:rPr>
        <w:t>See</w:t>
      </w:r>
      <w:r w:rsidRPr="004879C2">
        <w:rPr>
          <w:rFonts w:ascii="Times New Roman" w:hAnsi="Times New Roman"/>
          <w:sz w:val="24"/>
          <w:szCs w:val="24"/>
        </w:rPr>
        <w:t xml:space="preserve"> </w:t>
      </w:r>
      <w:proofErr w:type="spellStart"/>
      <w:r w:rsidRPr="004879C2">
        <w:rPr>
          <w:rFonts w:ascii="Times New Roman" w:hAnsi="Times New Roman"/>
          <w:sz w:val="24"/>
          <w:szCs w:val="24"/>
        </w:rPr>
        <w:t>ch.</w:t>
      </w:r>
      <w:proofErr w:type="spellEnd"/>
      <w:r w:rsidRPr="004879C2">
        <w:rPr>
          <w:rFonts w:ascii="Times New Roman" w:hAnsi="Times New Roman"/>
          <w:sz w:val="24"/>
          <w:szCs w:val="24"/>
        </w:rPr>
        <w:t xml:space="preserve"> 2018-124, § 1, at 1655-57, Laws of Fla. The law took effect October 1, 2018, which was after Wyatt's exposure to the various traumas that we identified above, but before Wyatt suffered lost wages </w:t>
      </w:r>
      <w:proofErr w:type="gramStart"/>
      <w:r w:rsidRPr="004879C2">
        <w:rPr>
          <w:rFonts w:ascii="Times New Roman" w:hAnsi="Times New Roman"/>
          <w:sz w:val="24"/>
          <w:szCs w:val="24"/>
        </w:rPr>
        <w:t>as a result of</w:t>
      </w:r>
      <w:proofErr w:type="gramEnd"/>
      <w:r w:rsidRPr="004879C2">
        <w:rPr>
          <w:rFonts w:ascii="Times New Roman" w:hAnsi="Times New Roman"/>
          <w:sz w:val="24"/>
          <w:szCs w:val="24"/>
        </w:rPr>
        <w:t xml:space="preserve"> going out of work for her PTSD. </w:t>
      </w:r>
      <w:r w:rsidRPr="004879C2">
        <w:rPr>
          <w:rStyle w:val="Emphasis"/>
          <w:rFonts w:ascii="Times New Roman" w:hAnsi="Times New Roman"/>
          <w:sz w:val="24"/>
          <w:szCs w:val="24"/>
        </w:rPr>
        <w:t>See id.</w:t>
      </w:r>
      <w:r w:rsidRPr="004879C2">
        <w:rPr>
          <w:rFonts w:ascii="Times New Roman" w:hAnsi="Times New Roman"/>
          <w:sz w:val="24"/>
          <w:szCs w:val="24"/>
        </w:rPr>
        <w:t xml:space="preserve"> § 3, at 1657. The new provision expands compensability for first responders who suffer specifically from PTSD, a particular type of mental injury that ordinarily would have to be addressed under subparagraph (2)(a)3., which we just discussed. Subsection five now directs that PTSD suffered by a first responder be considered a </w:t>
      </w:r>
      <w:r>
        <w:rPr>
          <w:rFonts w:ascii="Times New Roman" w:hAnsi="Times New Roman"/>
          <w:sz w:val="24"/>
          <w:szCs w:val="24"/>
        </w:rPr>
        <w:t>‘</w:t>
      </w:r>
      <w:r w:rsidRPr="004879C2">
        <w:rPr>
          <w:rFonts w:ascii="Times New Roman" w:hAnsi="Times New Roman"/>
          <w:sz w:val="24"/>
          <w:szCs w:val="24"/>
        </w:rPr>
        <w:t>compensable occupational disease</w:t>
      </w:r>
      <w:r>
        <w:rPr>
          <w:rFonts w:ascii="Times New Roman" w:hAnsi="Times New Roman"/>
          <w:sz w:val="24"/>
          <w:szCs w:val="24"/>
        </w:rPr>
        <w:t>’</w:t>
      </w:r>
      <w:r w:rsidRPr="004879C2">
        <w:rPr>
          <w:rFonts w:ascii="Times New Roman" w:hAnsi="Times New Roman"/>
          <w:sz w:val="24"/>
          <w:szCs w:val="24"/>
        </w:rPr>
        <w:t xml:space="preserve"> as provided in section 440.151. § 112.1815(5)(a), (c)1, Fla. Stat. (2018); </w:t>
      </w:r>
      <w:r w:rsidRPr="004879C2">
        <w:rPr>
          <w:rStyle w:val="Emphasis"/>
          <w:rFonts w:ascii="Times New Roman" w:hAnsi="Times New Roman"/>
          <w:sz w:val="24"/>
          <w:szCs w:val="24"/>
        </w:rPr>
        <w:t>see Wilkes</w:t>
      </w:r>
      <w:r w:rsidRPr="004879C2">
        <w:rPr>
          <w:rFonts w:ascii="Times New Roman" w:hAnsi="Times New Roman"/>
          <w:sz w:val="24"/>
          <w:szCs w:val="24"/>
        </w:rPr>
        <w:t xml:space="preserve">, 309 So.3d at 688. Under section 440.151, then, a first responder who cannot work because of PTSD is entitled to not just medical benefits but also indemnity for lost wages stemming from the disability-even without any accompanying physical injury. </w:t>
      </w:r>
      <w:r w:rsidRPr="004879C2">
        <w:rPr>
          <w:rStyle w:val="Emphasis"/>
          <w:rFonts w:ascii="Times New Roman" w:hAnsi="Times New Roman"/>
          <w:sz w:val="24"/>
          <w:szCs w:val="24"/>
        </w:rPr>
        <w:t>Cf.</w:t>
      </w:r>
      <w:r w:rsidRPr="004879C2">
        <w:rPr>
          <w:rFonts w:ascii="Times New Roman" w:hAnsi="Times New Roman"/>
          <w:sz w:val="24"/>
          <w:szCs w:val="24"/>
        </w:rPr>
        <w:t xml:space="preserve"> § 440.151(1), Fla. Stat. (providing that an employee </w:t>
      </w:r>
      <w:r>
        <w:rPr>
          <w:rFonts w:ascii="Times New Roman" w:hAnsi="Times New Roman"/>
          <w:sz w:val="24"/>
          <w:szCs w:val="24"/>
        </w:rPr>
        <w:t>‘</w:t>
      </w:r>
      <w:r w:rsidRPr="004879C2">
        <w:rPr>
          <w:rFonts w:ascii="Times New Roman" w:hAnsi="Times New Roman"/>
          <w:sz w:val="24"/>
          <w:szCs w:val="24"/>
        </w:rPr>
        <w:t>shall be entitled to compensation as provided by this chapter</w:t>
      </w:r>
      <w:r>
        <w:rPr>
          <w:rFonts w:ascii="Times New Roman" w:hAnsi="Times New Roman"/>
          <w:sz w:val="24"/>
          <w:szCs w:val="24"/>
        </w:rPr>
        <w:t>’</w:t>
      </w:r>
      <w:r w:rsidRPr="004879C2">
        <w:rPr>
          <w:rFonts w:ascii="Times New Roman" w:hAnsi="Times New Roman"/>
          <w:sz w:val="24"/>
          <w:szCs w:val="24"/>
        </w:rPr>
        <w:t xml:space="preserve"> if the employee becomes disabled </w:t>
      </w:r>
      <w:proofErr w:type="gramStart"/>
      <w:r w:rsidRPr="004879C2">
        <w:rPr>
          <w:rFonts w:ascii="Times New Roman" w:hAnsi="Times New Roman"/>
          <w:sz w:val="24"/>
          <w:szCs w:val="24"/>
        </w:rPr>
        <w:t>as a result of</w:t>
      </w:r>
      <w:proofErr w:type="gramEnd"/>
      <w:r w:rsidRPr="004879C2">
        <w:rPr>
          <w:rFonts w:ascii="Times New Roman" w:hAnsi="Times New Roman"/>
          <w:sz w:val="24"/>
          <w:szCs w:val="24"/>
        </w:rPr>
        <w:t xml:space="preserve"> </w:t>
      </w:r>
      <w:r>
        <w:rPr>
          <w:rFonts w:ascii="Times New Roman" w:hAnsi="Times New Roman"/>
          <w:sz w:val="24"/>
          <w:szCs w:val="24"/>
        </w:rPr>
        <w:t>‘</w:t>
      </w:r>
      <w:r w:rsidRPr="004879C2">
        <w:rPr>
          <w:rFonts w:ascii="Times New Roman" w:hAnsi="Times New Roman"/>
          <w:sz w:val="24"/>
          <w:szCs w:val="24"/>
        </w:rPr>
        <w:t>an occupational disease</w:t>
      </w:r>
      <w:r>
        <w:rPr>
          <w:rFonts w:ascii="Times New Roman" w:hAnsi="Times New Roman"/>
          <w:sz w:val="24"/>
          <w:szCs w:val="24"/>
        </w:rPr>
        <w:t>’</w:t>
      </w:r>
      <w:r w:rsidRPr="004879C2">
        <w:rPr>
          <w:rFonts w:ascii="Times New Roman" w:hAnsi="Times New Roman"/>
          <w:sz w:val="24"/>
          <w:szCs w:val="24"/>
        </w:rPr>
        <w:t>).</w:t>
      </w:r>
      <w:r>
        <w:rPr>
          <w:rFonts w:ascii="Times New Roman" w:hAnsi="Times New Roman"/>
          <w:sz w:val="24"/>
          <w:szCs w:val="24"/>
        </w:rPr>
        <w:t xml:space="preserve"> </w:t>
      </w:r>
      <w:hyperlink r:id="rId2374" w:history="1">
        <w:r w:rsidRPr="00E8516D">
          <w:rPr>
            <w:rStyle w:val="Hyperlink"/>
            <w:rFonts w:ascii="Times New Roman" w:hAnsi="Times New Roman"/>
            <w:sz w:val="24"/>
            <w:szCs w:val="24"/>
          </w:rPr>
          <w:t>https://law.justia.com/cases/florida/first-district-court-of-appeal/2022/19-4601.html</w:t>
        </w:r>
      </w:hyperlink>
      <w:r>
        <w:rPr>
          <w:rFonts w:ascii="Times New Roman" w:hAnsi="Times New Roman"/>
          <w:sz w:val="24"/>
          <w:szCs w:val="24"/>
        </w:rPr>
        <w:t xml:space="preserve"> </w:t>
      </w:r>
    </w:p>
    <w:p w14:paraId="6ACA9F0A" w14:textId="0B489CE4" w:rsidR="00F31C1B" w:rsidRDefault="00F31C1B" w:rsidP="000C4DF5">
      <w:pPr>
        <w:pStyle w:val="NoSpacing"/>
        <w:rPr>
          <w:rFonts w:ascii="Arial Black" w:hAnsi="Arial Black"/>
          <w:sz w:val="24"/>
          <w:szCs w:val="24"/>
        </w:rPr>
      </w:pPr>
    </w:p>
    <w:p w14:paraId="4AD468EC" w14:textId="77777777" w:rsidR="00F31C1B" w:rsidRPr="0084660B" w:rsidRDefault="00F31C1B" w:rsidP="00F31C1B">
      <w:pPr>
        <w:pStyle w:val="NormalWeb"/>
        <w:rPr>
          <w:b/>
          <w:bCs/>
        </w:rPr>
      </w:pPr>
      <w:r w:rsidRPr="0084660B">
        <w:rPr>
          <w:b/>
          <w:bCs/>
        </w:rPr>
        <w:t>Legal Lesson Learned:</w:t>
      </w:r>
      <w:r>
        <w:rPr>
          <w:b/>
          <w:bCs/>
        </w:rPr>
        <w:t xml:space="preserve"> The new PTSD statute covers </w:t>
      </w:r>
      <w:proofErr w:type="gramStart"/>
      <w:r>
        <w:rPr>
          <w:b/>
          <w:bCs/>
        </w:rPr>
        <w:t>loses</w:t>
      </w:r>
      <w:proofErr w:type="gramEnd"/>
      <w:r>
        <w:rPr>
          <w:b/>
          <w:bCs/>
        </w:rPr>
        <w:t xml:space="preserve"> of income incurred after its effective date. </w:t>
      </w:r>
    </w:p>
    <w:p w14:paraId="7BB78774" w14:textId="77777777" w:rsidR="00F31C1B" w:rsidRDefault="00F31C1B" w:rsidP="000C4DF5">
      <w:pPr>
        <w:pStyle w:val="NoSpacing"/>
        <w:rPr>
          <w:rFonts w:ascii="Arial Black" w:hAnsi="Arial Black"/>
          <w:sz w:val="24"/>
          <w:szCs w:val="24"/>
        </w:rPr>
      </w:pPr>
    </w:p>
    <w:p w14:paraId="1E206E4D" w14:textId="77777777" w:rsidR="00F31C1B" w:rsidRDefault="00F31C1B" w:rsidP="000C4DF5">
      <w:pPr>
        <w:pStyle w:val="NoSpacing"/>
        <w:rPr>
          <w:rFonts w:ascii="Arial Black" w:hAnsi="Arial Black"/>
          <w:sz w:val="24"/>
          <w:szCs w:val="24"/>
        </w:rPr>
      </w:pPr>
    </w:p>
    <w:p w14:paraId="1984BEA9" w14:textId="3CDA4F49" w:rsidR="00936792" w:rsidRDefault="00936792" w:rsidP="000C4DF5">
      <w:pPr>
        <w:pStyle w:val="NoSpacing"/>
        <w:rPr>
          <w:rFonts w:ascii="Arial Black" w:hAnsi="Arial Black"/>
          <w:sz w:val="24"/>
          <w:szCs w:val="24"/>
        </w:rPr>
      </w:pPr>
      <w:r>
        <w:rPr>
          <w:rFonts w:ascii="Arial Black" w:hAnsi="Arial Black"/>
          <w:sz w:val="24"/>
          <w:szCs w:val="24"/>
        </w:rPr>
        <w:lastRenderedPageBreak/>
        <w:t>15-19</w:t>
      </w:r>
    </w:p>
    <w:p w14:paraId="032E18E6" w14:textId="77777777" w:rsidR="00FC62FF" w:rsidRDefault="00FC62FF" w:rsidP="00FC62FF">
      <w:pPr>
        <w:spacing w:before="100" w:beforeAutospacing="1" w:after="100" w:afterAutospacing="1" w:line="240" w:lineRule="auto"/>
        <w:rPr>
          <w:rFonts w:ascii="Arial Black" w:hAnsi="Arial Black"/>
          <w:sz w:val="28"/>
          <w:szCs w:val="28"/>
        </w:rPr>
      </w:pPr>
      <w:bookmarkStart w:id="571" w:name="_Hlk107816326"/>
      <w:r>
        <w:rPr>
          <w:rFonts w:ascii="Arial Black" w:hAnsi="Arial Black"/>
          <w:sz w:val="28"/>
          <w:szCs w:val="28"/>
        </w:rPr>
        <w:t>IL: PTSD - CAPTAIN RESPONDED TO DOG ATTACK ON CHILD -  LINE OF DUTY PENSION, AND WORKERS COMP PPD</w:t>
      </w:r>
    </w:p>
    <w:p w14:paraId="6E7D542F" w14:textId="16AFBA2F" w:rsidR="00501BDD" w:rsidRDefault="00FC62FF" w:rsidP="00FC62FF">
      <w:pPr>
        <w:pStyle w:val="NoSpacing"/>
        <w:rPr>
          <w:rStyle w:val="Hyperlink"/>
          <w:sz w:val="24"/>
          <w:szCs w:val="24"/>
        </w:rPr>
      </w:pPr>
      <w:r>
        <w:rPr>
          <w:rFonts w:ascii="Times New Roman" w:hAnsi="Times New Roman"/>
          <w:sz w:val="24"/>
          <w:szCs w:val="24"/>
        </w:rPr>
        <w:t xml:space="preserve">On June 27, 2022, in </w:t>
      </w:r>
      <w:r>
        <w:rPr>
          <w:rFonts w:ascii="Times New Roman" w:hAnsi="Times New Roman"/>
          <w:sz w:val="24"/>
          <w:szCs w:val="24"/>
          <w:u w:val="single"/>
        </w:rPr>
        <w:t>City of Springfield v. The Illinois Workers’ Compensation Commission (Robert Talbott)</w:t>
      </w:r>
      <w:r>
        <w:rPr>
          <w:rFonts w:ascii="Times New Roman" w:hAnsi="Times New Roman"/>
          <w:sz w:val="24"/>
          <w:szCs w:val="24"/>
        </w:rPr>
        <w:t xml:space="preserve">, the Court of Appeals of Illinois, Fourth District (Workers’ Compensation Commission Division), held (5 to 0), </w:t>
      </w:r>
      <w:r>
        <w:rPr>
          <w:rFonts w:ascii="Times New Roman" w:eastAsia="Times New Roman" w:hAnsi="Times New Roman"/>
          <w:sz w:val="24"/>
          <w:szCs w:val="24"/>
        </w:rPr>
        <w:t xml:space="preserve">2022 IL App (4th) 210338WC-U, that the Commission properly held that Captain Robert Talbott, who </w:t>
      </w:r>
      <w:r w:rsidRPr="00F95159">
        <w:rPr>
          <w:rFonts w:ascii="Times New Roman" w:hAnsi="Times New Roman"/>
          <w:sz w:val="24"/>
          <w:szCs w:val="24"/>
        </w:rPr>
        <w:t>was awarded a line-of-duty disability pension on June 30, 2017</w:t>
      </w:r>
      <w:r>
        <w:rPr>
          <w:rFonts w:ascii="Times New Roman" w:hAnsi="Times New Roman"/>
          <w:sz w:val="24"/>
          <w:szCs w:val="24"/>
        </w:rPr>
        <w:t xml:space="preserve">, was also eligible to receive workers comp PPD [permanent partial disability] award </w:t>
      </w:r>
      <w:r w:rsidRPr="0058484A">
        <w:rPr>
          <w:rFonts w:ascii="Times New Roman" w:hAnsi="Times New Roman"/>
          <w:sz w:val="24"/>
          <w:szCs w:val="24"/>
        </w:rPr>
        <w:t>$721.66 per week for 250 weeks</w:t>
      </w:r>
      <w:r>
        <w:rPr>
          <w:rFonts w:ascii="Times New Roman" w:hAnsi="Times New Roman"/>
          <w:sz w:val="24"/>
          <w:szCs w:val="24"/>
        </w:rPr>
        <w:t xml:space="preserve">; case remanded to Commission to re-calculate award. The </w:t>
      </w:r>
      <w:r w:rsidRPr="00FC1C3B">
        <w:rPr>
          <w:rFonts w:ascii="Times New Roman" w:hAnsi="Times New Roman"/>
          <w:sz w:val="24"/>
          <w:szCs w:val="24"/>
        </w:rPr>
        <w:t>claimant developed PTSD following the dog-attack incident and it was causing emotional symptoms that were preventing him from returning to work.</w:t>
      </w:r>
      <w:r>
        <w:rPr>
          <w:rFonts w:ascii="Times New Roman" w:hAnsi="Times New Roman"/>
          <w:sz w:val="24"/>
          <w:szCs w:val="24"/>
        </w:rPr>
        <w:t xml:space="preserve"> Captain Robert Talbott on April 11, </w:t>
      </w:r>
      <w:proofErr w:type="gramStart"/>
      <w:r>
        <w:rPr>
          <w:rFonts w:ascii="Times New Roman" w:hAnsi="Times New Roman"/>
          <w:sz w:val="24"/>
          <w:szCs w:val="24"/>
        </w:rPr>
        <w:t>2015</w:t>
      </w:r>
      <w:proofErr w:type="gramEnd"/>
      <w:r>
        <w:rPr>
          <w:rFonts w:ascii="Times New Roman" w:hAnsi="Times New Roman"/>
          <w:sz w:val="24"/>
          <w:szCs w:val="24"/>
        </w:rPr>
        <w:t xml:space="preserve"> responded to a terrible dog bite scene, that contributed with subsequent diagnosis of PTSD.   Claimant was awarded a line-of-duty disability pension on June 30, 2017. The </w:t>
      </w:r>
      <w:proofErr w:type="gramStart"/>
      <w:r>
        <w:rPr>
          <w:rFonts w:ascii="Times New Roman" w:hAnsi="Times New Roman"/>
          <w:sz w:val="24"/>
          <w:szCs w:val="24"/>
        </w:rPr>
        <w:t>City</w:t>
      </w:r>
      <w:proofErr w:type="gramEnd"/>
      <w:r>
        <w:rPr>
          <w:rFonts w:ascii="Times New Roman" w:hAnsi="Times New Roman"/>
          <w:sz w:val="24"/>
          <w:szCs w:val="24"/>
        </w:rPr>
        <w:t xml:space="preserve"> challenged an award of “permanent partial disability” arguing he could work in other professions, such as his 14 years parttime work at a funeral home. </w:t>
      </w:r>
      <w:hyperlink r:id="rId2375" w:history="1">
        <w:r>
          <w:rPr>
            <w:rStyle w:val="Hyperlink"/>
            <w:sz w:val="24"/>
            <w:szCs w:val="24"/>
          </w:rPr>
          <w:t>https://public.fastcase.com/J%2FJP6pdidelsXxEE4k%2BLMmppr1xeX1%2Bm2bW38%2FPoc%2BjXR15UXAVR8dC2RoWWa4H5Xq9pVObZCpSmCaBhyWr74I1EN1To2hIbHKD6%2F8UayPI%3D</w:t>
        </w:r>
      </w:hyperlink>
      <w:bookmarkEnd w:id="571"/>
    </w:p>
    <w:p w14:paraId="6E865B0A" w14:textId="335F70CA" w:rsidR="00FC62FF" w:rsidRDefault="00FC62FF" w:rsidP="00FC62FF">
      <w:pPr>
        <w:pStyle w:val="NoSpacing"/>
        <w:rPr>
          <w:rStyle w:val="Hyperlink"/>
          <w:sz w:val="24"/>
          <w:szCs w:val="24"/>
        </w:rPr>
      </w:pPr>
    </w:p>
    <w:p w14:paraId="62551E09" w14:textId="77777777" w:rsidR="00FC62FF" w:rsidRDefault="00FC62FF" w:rsidP="00FC62FF">
      <w:pPr>
        <w:spacing w:before="100" w:beforeAutospacing="1" w:after="100" w:afterAutospacing="1" w:line="240" w:lineRule="auto"/>
        <w:rPr>
          <w:rFonts w:ascii="Times New Roman" w:eastAsia="Times New Roman" w:hAnsi="Times New Roman"/>
          <w:b/>
          <w:bCs/>
          <w:sz w:val="24"/>
          <w:szCs w:val="24"/>
        </w:rPr>
      </w:pPr>
      <w:bookmarkStart w:id="572" w:name="_Hlk107816439"/>
      <w:r>
        <w:rPr>
          <w:rFonts w:ascii="Times New Roman" w:eastAsia="Times New Roman" w:hAnsi="Times New Roman"/>
          <w:b/>
          <w:bCs/>
          <w:sz w:val="24"/>
          <w:szCs w:val="24"/>
        </w:rPr>
        <w:t xml:space="preserve">Legal Lesson Learned: PTSD can lead to a line-of-duty disability retirement and a  permanent partial disability award.   </w:t>
      </w:r>
    </w:p>
    <w:bookmarkEnd w:id="572"/>
    <w:p w14:paraId="73076866" w14:textId="7E3D0A96" w:rsidR="00FC62FF" w:rsidRDefault="00FC62FF" w:rsidP="00FC62FF">
      <w:pPr>
        <w:pStyle w:val="NoSpacing"/>
        <w:rPr>
          <w:rStyle w:val="Hyperlink"/>
          <w:sz w:val="24"/>
          <w:szCs w:val="24"/>
        </w:rPr>
      </w:pPr>
    </w:p>
    <w:p w14:paraId="06CC0E50" w14:textId="5D4DC33D" w:rsidR="00FC62FF" w:rsidRDefault="00FC62FF" w:rsidP="00FC62FF">
      <w:pPr>
        <w:pStyle w:val="NoSpacing"/>
        <w:rPr>
          <w:rStyle w:val="Hyperlink"/>
          <w:sz w:val="24"/>
          <w:szCs w:val="24"/>
        </w:rPr>
      </w:pPr>
    </w:p>
    <w:p w14:paraId="0B47F380" w14:textId="77777777" w:rsidR="00FC62FF" w:rsidRDefault="00FC62FF" w:rsidP="00FC62FF">
      <w:pPr>
        <w:pStyle w:val="NoSpacing"/>
        <w:rPr>
          <w:rFonts w:ascii="Arial Black" w:hAnsi="Arial Black"/>
          <w:sz w:val="24"/>
          <w:szCs w:val="24"/>
        </w:rPr>
      </w:pPr>
    </w:p>
    <w:p w14:paraId="6C8648F6" w14:textId="77777777" w:rsidR="00936792" w:rsidRDefault="00936792" w:rsidP="000C4DF5">
      <w:pPr>
        <w:pStyle w:val="NoSpacing"/>
        <w:rPr>
          <w:rFonts w:ascii="Arial Black" w:hAnsi="Arial Black"/>
          <w:sz w:val="24"/>
          <w:szCs w:val="24"/>
        </w:rPr>
      </w:pPr>
    </w:p>
    <w:p w14:paraId="28423E59" w14:textId="14932886" w:rsidR="009453FA" w:rsidRDefault="009453FA" w:rsidP="000C4DF5">
      <w:pPr>
        <w:pStyle w:val="NoSpacing"/>
        <w:rPr>
          <w:rFonts w:ascii="Arial Black" w:hAnsi="Arial Black"/>
          <w:sz w:val="24"/>
          <w:szCs w:val="24"/>
        </w:rPr>
      </w:pPr>
      <w:r>
        <w:rPr>
          <w:rFonts w:ascii="Arial Black" w:hAnsi="Arial Black"/>
          <w:sz w:val="24"/>
          <w:szCs w:val="24"/>
        </w:rPr>
        <w:t>15-18</w:t>
      </w:r>
    </w:p>
    <w:p w14:paraId="6E82213A" w14:textId="77777777" w:rsidR="009453FA" w:rsidRDefault="009453FA" w:rsidP="009453FA">
      <w:pPr>
        <w:spacing w:before="100" w:beforeAutospacing="1" w:after="100" w:afterAutospacing="1" w:line="240" w:lineRule="auto"/>
        <w:rPr>
          <w:rFonts w:ascii="Arial Black" w:hAnsi="Arial Black"/>
          <w:sz w:val="28"/>
          <w:szCs w:val="28"/>
        </w:rPr>
      </w:pPr>
      <w:bookmarkStart w:id="573" w:name="_Hlk99871263"/>
      <w:r>
        <w:rPr>
          <w:rFonts w:ascii="Arial Black" w:hAnsi="Arial Black"/>
          <w:sz w:val="28"/>
          <w:szCs w:val="28"/>
        </w:rPr>
        <w:t xml:space="preserve">NJ: PTSD - OFFICER CALLED TO FF’S SUICIDE WITH SHOTGUN – NOT CLOSE FRIENDS - NO ACCIDENTAL DISAB. </w:t>
      </w:r>
    </w:p>
    <w:p w14:paraId="1141A8BB" w14:textId="77777777" w:rsidR="009453FA" w:rsidRDefault="009453FA" w:rsidP="009453F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March 30, 2022, in </w:t>
      </w:r>
      <w:r w:rsidRPr="00483D1D">
        <w:rPr>
          <w:rFonts w:ascii="Times New Roman" w:hAnsi="Times New Roman"/>
          <w:sz w:val="24"/>
          <w:szCs w:val="24"/>
          <w:u w:val="single"/>
        </w:rPr>
        <w:t>Barry Mesmer v. Board of Trustee, Police And Firemen’s Retirement System</w:t>
      </w:r>
      <w:r>
        <w:rPr>
          <w:rFonts w:ascii="Times New Roman" w:hAnsi="Times New Roman"/>
          <w:sz w:val="24"/>
          <w:szCs w:val="24"/>
        </w:rPr>
        <w:t xml:space="preserve">, the Superior Court of New Jersey, Appellate Division, held (3 to 0), unpublished decision, the Board properly denied the application for accidental disability retirement; the deceased firefighter was someone he casually knew, but not close friends; under New Jersey case law the traumatic event must be “undesigned and unexpected” in job duties of a police officer.  </w:t>
      </w:r>
      <w:hyperlink r:id="rId2376" w:history="1">
        <w:r w:rsidRPr="002477AB">
          <w:rPr>
            <w:rStyle w:val="Hyperlink"/>
            <w:rFonts w:ascii="Times New Roman" w:eastAsia="Times New Roman" w:hAnsi="Times New Roman"/>
            <w:sz w:val="24"/>
            <w:szCs w:val="24"/>
          </w:rPr>
          <w:t>https://www.njcourts.gov/attorneys/assets/opinions/appellate/unpublished/a3633-19.pdf</w:t>
        </w:r>
      </w:hyperlink>
    </w:p>
    <w:bookmarkEnd w:id="573"/>
    <w:p w14:paraId="1EF2CEC0" w14:textId="77777777" w:rsidR="009453FA" w:rsidRDefault="009453FA" w:rsidP="009453FA">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A63115">
        <w:rPr>
          <w:rFonts w:ascii="Times New Roman" w:eastAsia="Times New Roman" w:hAnsi="Times New Roman"/>
          <w:sz w:val="24"/>
          <w:szCs w:val="24"/>
        </w:rPr>
        <w:t xml:space="preserve">Mesmer received training, both at the police academy and through the course of his career in law enforcement, in responding to situations involving graphic and gruesome deaths. Mesmer was not a rookie officer and, during his career in law enforcement, he responded to at least ten calls involving gruesome and disfigured dead bodies or serious injuries. Mesmer conceded he did not experience any disabling mental injury after responding to those deaths and he returned to work without incident after each of those events. </w:t>
      </w:r>
    </w:p>
    <w:p w14:paraId="63F253CB" w14:textId="77777777" w:rsidR="009453FA" w:rsidRPr="00A63115" w:rsidRDefault="009453FA" w:rsidP="009453FA">
      <w:pPr>
        <w:spacing w:before="100" w:beforeAutospacing="1" w:after="100" w:afterAutospacing="1" w:line="240" w:lineRule="auto"/>
        <w:ind w:left="720"/>
        <w:rPr>
          <w:rFonts w:ascii="Times New Roman" w:hAnsi="Times New Roman"/>
          <w:sz w:val="24"/>
          <w:szCs w:val="24"/>
        </w:rPr>
      </w:pPr>
      <w:r w:rsidRPr="00A63115">
        <w:rPr>
          <w:rFonts w:ascii="Times New Roman" w:hAnsi="Times New Roman"/>
          <w:sz w:val="24"/>
          <w:szCs w:val="24"/>
        </w:rPr>
        <w:t xml:space="preserve">Additionally, while Mesmer knew M.H., the two men were not even casual friends. Mesmer provided no evidence of any close, personal relationship with the deceased that might have satisfied the undesigned and unexpected requirement under </w:t>
      </w:r>
      <w:r w:rsidRPr="00A63115">
        <w:rPr>
          <w:rStyle w:val="Emphasis"/>
          <w:rFonts w:ascii="Times New Roman" w:hAnsi="Times New Roman"/>
          <w:sz w:val="24"/>
          <w:szCs w:val="24"/>
        </w:rPr>
        <w:t>Richardson</w:t>
      </w:r>
      <w:r w:rsidRPr="00A63115">
        <w:rPr>
          <w:rFonts w:ascii="Times New Roman" w:hAnsi="Times New Roman"/>
          <w:sz w:val="24"/>
          <w:szCs w:val="24"/>
        </w:rPr>
        <w:t xml:space="preserve">. </w:t>
      </w:r>
    </w:p>
    <w:p w14:paraId="62858DDA" w14:textId="77777777" w:rsidR="009453FA" w:rsidRPr="00A63115" w:rsidRDefault="009453FA" w:rsidP="009453FA">
      <w:pPr>
        <w:spacing w:before="100" w:beforeAutospacing="1" w:after="100" w:afterAutospacing="1" w:line="240" w:lineRule="auto"/>
        <w:ind w:left="720"/>
        <w:rPr>
          <w:rFonts w:ascii="Times New Roman" w:eastAsia="Times New Roman" w:hAnsi="Times New Roman"/>
          <w:sz w:val="24"/>
          <w:szCs w:val="24"/>
        </w:rPr>
      </w:pPr>
      <w:r w:rsidRPr="00A63115">
        <w:rPr>
          <w:rFonts w:ascii="Times New Roman" w:eastAsia="Times New Roman" w:hAnsi="Times New Roman"/>
          <w:sz w:val="24"/>
          <w:szCs w:val="24"/>
        </w:rPr>
        <w:lastRenderedPageBreak/>
        <w:t xml:space="preserve">Mesmer knew he was responding to a suicide at an address where he knew the homeowner. On this record, nothing about the events of February 14, 2016, fell outside the scope of Mesmer's general duties as a police officer. Given the totality of the circumstances, it was not unreasonable for Mesmer to anticipate the aftermath of M.H.'s suicide. </w:t>
      </w:r>
    </w:p>
    <w:p w14:paraId="389FCEBE" w14:textId="77777777" w:rsidR="009453FA" w:rsidRDefault="009453FA" w:rsidP="009453FA">
      <w:pPr>
        <w:spacing w:before="100" w:beforeAutospacing="1" w:after="100" w:afterAutospacing="1" w:line="240" w:lineRule="auto"/>
        <w:ind w:left="720"/>
        <w:rPr>
          <w:rFonts w:ascii="Times New Roman" w:eastAsia="Times New Roman" w:hAnsi="Times New Roman"/>
          <w:sz w:val="24"/>
          <w:szCs w:val="24"/>
        </w:rPr>
      </w:pPr>
      <w:r w:rsidRPr="00A63115">
        <w:rPr>
          <w:rFonts w:ascii="Times New Roman" w:eastAsia="Times New Roman" w:hAnsi="Times New Roman"/>
          <w:sz w:val="24"/>
          <w:szCs w:val="24"/>
        </w:rPr>
        <w:t>On this record, we are satisfied there is ample credible evidence supporting the denial of Mesmer's application for ADR benefits and the Board's decision was not arbitrary, capricious, or unreasonable.</w:t>
      </w:r>
      <w:r>
        <w:rPr>
          <w:rFonts w:ascii="Times New Roman" w:eastAsia="Times New Roman" w:hAnsi="Times New Roman"/>
          <w:sz w:val="24"/>
          <w:szCs w:val="24"/>
        </w:rPr>
        <w:t xml:space="preserve">” </w:t>
      </w:r>
      <w:hyperlink r:id="rId2377" w:history="1">
        <w:r w:rsidRPr="002477AB">
          <w:rPr>
            <w:rStyle w:val="Hyperlink"/>
            <w:rFonts w:ascii="Times New Roman" w:eastAsia="Times New Roman" w:hAnsi="Times New Roman"/>
            <w:sz w:val="24"/>
            <w:szCs w:val="24"/>
          </w:rPr>
          <w:t>https://www.njcourts.gov/attorneys/assets/opinions/appellate/unpublished/a3633-19.pdf</w:t>
        </w:r>
      </w:hyperlink>
      <w:r>
        <w:rPr>
          <w:rFonts w:ascii="Times New Roman" w:eastAsia="Times New Roman" w:hAnsi="Times New Roman"/>
          <w:sz w:val="24"/>
          <w:szCs w:val="24"/>
        </w:rPr>
        <w:t xml:space="preserve"> </w:t>
      </w:r>
    </w:p>
    <w:p w14:paraId="54BC8C61" w14:textId="77777777" w:rsidR="009453FA" w:rsidRPr="005F0249" w:rsidRDefault="009453FA" w:rsidP="009453FA">
      <w:pPr>
        <w:spacing w:before="100" w:beforeAutospacing="1" w:after="100" w:afterAutospacing="1" w:line="240" w:lineRule="auto"/>
        <w:rPr>
          <w:rFonts w:ascii="Times New Roman" w:eastAsia="Times New Roman" w:hAnsi="Times New Roman"/>
          <w:b/>
          <w:bCs/>
          <w:sz w:val="24"/>
          <w:szCs w:val="24"/>
        </w:rPr>
      </w:pPr>
      <w:r w:rsidRPr="005F0249">
        <w:rPr>
          <w:rFonts w:ascii="Times New Roman" w:hAnsi="Times New Roman"/>
          <w:b/>
          <w:bCs/>
          <w:sz w:val="24"/>
          <w:szCs w:val="24"/>
        </w:rPr>
        <w:t>Legal Lesson Learned:</w:t>
      </w:r>
      <w:r>
        <w:rPr>
          <w:rFonts w:ascii="Times New Roman" w:hAnsi="Times New Roman"/>
          <w:b/>
          <w:bCs/>
          <w:sz w:val="24"/>
          <w:szCs w:val="24"/>
        </w:rPr>
        <w:t xml:space="preserve"> Under N.J. case law, this single traumatic event leading to PTSD did not qualify for added retirement benefits. </w:t>
      </w:r>
    </w:p>
    <w:p w14:paraId="1D7F54EC" w14:textId="77777777" w:rsidR="009453FA" w:rsidRDefault="009453FA" w:rsidP="000C4DF5">
      <w:pPr>
        <w:pStyle w:val="NoSpacing"/>
        <w:rPr>
          <w:rFonts w:ascii="Arial Black" w:hAnsi="Arial Black"/>
          <w:sz w:val="24"/>
          <w:szCs w:val="24"/>
        </w:rPr>
      </w:pPr>
    </w:p>
    <w:p w14:paraId="19EA6567" w14:textId="77777777" w:rsidR="009453FA" w:rsidRDefault="009453FA" w:rsidP="000C4DF5">
      <w:pPr>
        <w:pStyle w:val="NoSpacing"/>
        <w:rPr>
          <w:rFonts w:ascii="Arial Black" w:hAnsi="Arial Black"/>
          <w:sz w:val="24"/>
          <w:szCs w:val="24"/>
        </w:rPr>
      </w:pPr>
    </w:p>
    <w:p w14:paraId="660D1BD2" w14:textId="77777777" w:rsidR="009453FA" w:rsidRDefault="009453FA" w:rsidP="000C4DF5">
      <w:pPr>
        <w:pStyle w:val="NoSpacing"/>
        <w:rPr>
          <w:rFonts w:ascii="Arial Black" w:hAnsi="Arial Black"/>
          <w:sz w:val="24"/>
          <w:szCs w:val="24"/>
        </w:rPr>
      </w:pPr>
    </w:p>
    <w:p w14:paraId="5A7859D0" w14:textId="5040EE91" w:rsidR="009453FA" w:rsidRDefault="009453FA" w:rsidP="000C4DF5">
      <w:pPr>
        <w:pStyle w:val="NoSpacing"/>
        <w:rPr>
          <w:rFonts w:ascii="Arial Black" w:hAnsi="Arial Black"/>
          <w:sz w:val="24"/>
          <w:szCs w:val="24"/>
        </w:rPr>
      </w:pPr>
      <w:r>
        <w:rPr>
          <w:rFonts w:ascii="Arial Black" w:hAnsi="Arial Black"/>
          <w:sz w:val="24"/>
          <w:szCs w:val="24"/>
        </w:rPr>
        <w:t>15-17</w:t>
      </w:r>
    </w:p>
    <w:p w14:paraId="7971465A" w14:textId="77777777" w:rsidR="009453FA" w:rsidRPr="00C130F0" w:rsidRDefault="009453FA" w:rsidP="009453FA">
      <w:pPr>
        <w:spacing w:before="100" w:beforeAutospacing="1" w:after="100" w:afterAutospacing="1" w:line="240" w:lineRule="auto"/>
        <w:rPr>
          <w:rFonts w:ascii="Arial Black" w:eastAsia="Times New Roman" w:hAnsi="Arial Black"/>
          <w:b/>
          <w:bCs/>
          <w:sz w:val="28"/>
          <w:szCs w:val="28"/>
        </w:rPr>
      </w:pPr>
      <w:bookmarkStart w:id="574" w:name="_Hlk99871308"/>
      <w:r>
        <w:rPr>
          <w:rFonts w:ascii="Arial Black" w:eastAsia="Times New Roman" w:hAnsi="Arial Black"/>
          <w:b/>
          <w:bCs/>
          <w:sz w:val="28"/>
          <w:szCs w:val="28"/>
        </w:rPr>
        <w:t>MD: PTSD - MEDICAL LEAVE 1-YR – OFFERED TAKE DEMOTION TO FF - CAN’T PERFORM DUTIES - NO FED. VIOL.</w:t>
      </w:r>
    </w:p>
    <w:p w14:paraId="09A4D8D8" w14:textId="77777777" w:rsidR="009453FA" w:rsidRDefault="009453FA" w:rsidP="009453FA">
      <w:pPr>
        <w:spacing w:before="100" w:beforeAutospacing="1" w:after="100" w:afterAutospacing="1" w:line="240" w:lineRule="auto"/>
        <w:rPr>
          <w:rFonts w:ascii="Times New Roman" w:hAnsi="Times New Roman"/>
          <w:sz w:val="24"/>
          <w:szCs w:val="24"/>
        </w:rPr>
      </w:pPr>
      <w:r w:rsidRPr="00632C03">
        <w:rPr>
          <w:rFonts w:ascii="Times New Roman" w:eastAsia="Times New Roman" w:hAnsi="Times New Roman"/>
          <w:sz w:val="24"/>
          <w:szCs w:val="24"/>
        </w:rPr>
        <w:t xml:space="preserve">On </w:t>
      </w:r>
      <w:r>
        <w:rPr>
          <w:rFonts w:ascii="Times New Roman" w:eastAsia="Times New Roman" w:hAnsi="Times New Roman"/>
          <w:sz w:val="24"/>
          <w:szCs w:val="24"/>
        </w:rPr>
        <w:t xml:space="preserve">March 18, 2022, in </w:t>
      </w:r>
      <w:r w:rsidRPr="00632C03">
        <w:rPr>
          <w:rFonts w:ascii="Times New Roman" w:eastAsia="Times New Roman" w:hAnsi="Times New Roman"/>
          <w:sz w:val="24"/>
          <w:szCs w:val="24"/>
          <w:u w:val="single"/>
        </w:rPr>
        <w:t>Stanley Abler v. Mayor and City Council of Baltimore</w:t>
      </w:r>
      <w:r>
        <w:rPr>
          <w:rFonts w:ascii="Times New Roman" w:eastAsia="Times New Roman" w:hAnsi="Times New Roman"/>
          <w:sz w:val="24"/>
          <w:szCs w:val="24"/>
        </w:rPr>
        <w:t xml:space="preserve">, Beth P. Gesner, Chief U.S. Magistrate Judge, U.S. District Court for District of Maryland, granted the defense motion for summary judgment, finding no violation of the federal Rehabilitation Act since he could no longer perform the duties of a medic or a firefighter.  Paramedic Abler </w:t>
      </w:r>
      <w:r w:rsidRPr="00C130F0">
        <w:rPr>
          <w:rFonts w:ascii="Times New Roman" w:hAnsi="Times New Roman"/>
          <w:sz w:val="24"/>
          <w:szCs w:val="24"/>
        </w:rPr>
        <w:t>suffered from PTSD stemming from an incident in April 2015</w:t>
      </w:r>
      <w:r>
        <w:rPr>
          <w:rFonts w:ascii="Times New Roman" w:hAnsi="Times New Roman"/>
          <w:sz w:val="24"/>
          <w:szCs w:val="24"/>
        </w:rPr>
        <w:t xml:space="preserve"> [no details about the incident in Court’s opinion].  “</w:t>
      </w:r>
      <w:r w:rsidRPr="00632C03">
        <w:rPr>
          <w:rFonts w:ascii="Times New Roman" w:hAnsi="Times New Roman"/>
          <w:sz w:val="24"/>
          <w:szCs w:val="24"/>
        </w:rPr>
        <w:t>After reporting to the Baltimore City Public Safety Infirmary (</w:t>
      </w:r>
      <w:r>
        <w:rPr>
          <w:rFonts w:ascii="Times New Roman" w:hAnsi="Times New Roman"/>
          <w:sz w:val="24"/>
          <w:szCs w:val="24"/>
        </w:rPr>
        <w:t>‘</w:t>
      </w:r>
      <w:r w:rsidRPr="00632C03">
        <w:rPr>
          <w:rFonts w:ascii="Times New Roman" w:hAnsi="Times New Roman"/>
          <w:sz w:val="24"/>
          <w:szCs w:val="24"/>
        </w:rPr>
        <w:t>PSI</w:t>
      </w:r>
      <w:r>
        <w:rPr>
          <w:rFonts w:ascii="Times New Roman" w:hAnsi="Times New Roman"/>
          <w:sz w:val="24"/>
          <w:szCs w:val="24"/>
        </w:rPr>
        <w:t>’</w:t>
      </w:r>
      <w:r w:rsidRPr="00632C03">
        <w:rPr>
          <w:rFonts w:ascii="Times New Roman" w:hAnsi="Times New Roman"/>
          <w:sz w:val="24"/>
          <w:szCs w:val="24"/>
        </w:rPr>
        <w:t>) for a medical evaluation, plaintiff was placed on medical leave effective June 7, 2015</w:t>
      </w:r>
      <w:r>
        <w:rPr>
          <w:rFonts w:ascii="Times New Roman" w:hAnsi="Times New Roman"/>
          <w:sz w:val="24"/>
          <w:szCs w:val="24"/>
        </w:rPr>
        <w:t xml:space="preserve">…. </w:t>
      </w:r>
      <w:r w:rsidRPr="00632C03">
        <w:rPr>
          <w:rFonts w:ascii="Times New Roman" w:hAnsi="Times New Roman"/>
          <w:sz w:val="24"/>
          <w:szCs w:val="24"/>
        </w:rPr>
        <w:t xml:space="preserve">Plaintiff remained on medical leave </w:t>
      </w:r>
      <w:r>
        <w:rPr>
          <w:rFonts w:ascii="Times New Roman" w:hAnsi="Times New Roman"/>
          <w:sz w:val="24"/>
          <w:szCs w:val="24"/>
        </w:rPr>
        <w:t xml:space="preserve">for a year, and his clinician noted he was “disabled from all work.” He requested a reduction in rank to return to work as a firefighter, but this was not granted and was forced to retire on </w:t>
      </w:r>
      <w:r w:rsidRPr="00332157">
        <w:rPr>
          <w:rFonts w:ascii="Times New Roman" w:hAnsi="Times New Roman"/>
          <w:sz w:val="24"/>
          <w:szCs w:val="24"/>
        </w:rPr>
        <w:t>November 22, 2016</w:t>
      </w:r>
      <w:r>
        <w:rPr>
          <w:rFonts w:ascii="Times New Roman" w:hAnsi="Times New Roman"/>
          <w:sz w:val="24"/>
          <w:szCs w:val="24"/>
        </w:rPr>
        <w:t xml:space="preserve">. </w:t>
      </w:r>
      <w:hyperlink r:id="rId2378" w:history="1">
        <w:r w:rsidRPr="002477AB">
          <w:rPr>
            <w:rStyle w:val="Hyperlink"/>
            <w:rFonts w:ascii="Times New Roman" w:hAnsi="Times New Roman"/>
            <w:sz w:val="24"/>
            <w:szCs w:val="24"/>
          </w:rPr>
          <w:t>https://casetext.com/case/abler-v-mayor-of-balt</w:t>
        </w:r>
      </w:hyperlink>
      <w:r>
        <w:rPr>
          <w:rFonts w:ascii="Times New Roman" w:hAnsi="Times New Roman"/>
          <w:sz w:val="24"/>
          <w:szCs w:val="24"/>
        </w:rPr>
        <w:t xml:space="preserve"> </w:t>
      </w:r>
    </w:p>
    <w:bookmarkEnd w:id="574"/>
    <w:p w14:paraId="141F8A8C" w14:textId="77777777" w:rsidR="009453FA" w:rsidRDefault="009453FA" w:rsidP="009453F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AB0831">
        <w:rPr>
          <w:rFonts w:ascii="Times New Roman" w:eastAsia="Times New Roman" w:hAnsi="Times New Roman"/>
          <w:sz w:val="24"/>
          <w:szCs w:val="24"/>
        </w:rPr>
        <w:t>Here, plaintiff argues that he and his clinician believed he could perform the essential functions of a firefighter</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Plaintiff, however, provides no evidence to support his claim. Instead, plaintiff references documents indicating that the BCFD engaged in the interactive process with other disabled employees, but these documents do not provide evidence of </w:t>
      </w:r>
      <w:r w:rsidRPr="00AB0831">
        <w:rPr>
          <w:rFonts w:ascii="Times New Roman" w:eastAsia="Times New Roman" w:hAnsi="Times New Roman"/>
          <w:i/>
          <w:iCs/>
          <w:sz w:val="24"/>
          <w:szCs w:val="24"/>
        </w:rPr>
        <w:t>plaintiff's</w:t>
      </w:r>
      <w:r w:rsidRPr="00AB0831">
        <w:rPr>
          <w:rFonts w:ascii="Times New Roman" w:eastAsia="Times New Roman" w:hAnsi="Times New Roman"/>
          <w:sz w:val="24"/>
          <w:szCs w:val="24"/>
        </w:rPr>
        <w:t xml:space="preserve"> ability to perform the essential functions of a firefighter or some other position within the BCFD</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Further, plaintiff contends that while his medical providers noted that he </w:t>
      </w:r>
      <w:proofErr w:type="gramStart"/>
      <w:r w:rsidRPr="00AB0831">
        <w:rPr>
          <w:rFonts w:ascii="Times New Roman" w:eastAsia="Times New Roman" w:hAnsi="Times New Roman"/>
          <w:sz w:val="24"/>
          <w:szCs w:val="24"/>
        </w:rPr>
        <w:t>was not able to</w:t>
      </w:r>
      <w:proofErr w:type="gramEnd"/>
      <w:r w:rsidRPr="00AB0831">
        <w:rPr>
          <w:rFonts w:ascii="Times New Roman" w:eastAsia="Times New Roman" w:hAnsi="Times New Roman"/>
          <w:sz w:val="24"/>
          <w:szCs w:val="24"/>
        </w:rPr>
        <w:t xml:space="preserve"> work as a paramedic, they did not otherwise indicate that he was unable to perform as a firefighter or in a variety of other positions</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Plaintiff's argument, however, is not supported by the record. For example, while plaintiff's clinician opined that plaintiff was </w:t>
      </w:r>
      <w:r>
        <w:rPr>
          <w:rFonts w:ascii="Times New Roman" w:eastAsia="Times New Roman" w:hAnsi="Times New Roman"/>
          <w:sz w:val="24"/>
          <w:szCs w:val="24"/>
        </w:rPr>
        <w:t>‘</w:t>
      </w:r>
      <w:r w:rsidRPr="00AB0831">
        <w:rPr>
          <w:rFonts w:ascii="Times New Roman" w:eastAsia="Times New Roman" w:hAnsi="Times New Roman"/>
          <w:sz w:val="24"/>
          <w:szCs w:val="24"/>
        </w:rPr>
        <w:t>permanently disabled from returning to the BCFD as a Paramedic,</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she also noted, two days before plaintiff retired, that plaintiff was </w:t>
      </w:r>
      <w:r>
        <w:rPr>
          <w:rFonts w:ascii="Times New Roman" w:eastAsia="Times New Roman" w:hAnsi="Times New Roman"/>
          <w:sz w:val="24"/>
          <w:szCs w:val="24"/>
        </w:rPr>
        <w:t>‘</w:t>
      </w:r>
      <w:r w:rsidRPr="00AB0831">
        <w:rPr>
          <w:rFonts w:ascii="Times New Roman" w:eastAsia="Times New Roman" w:hAnsi="Times New Roman"/>
          <w:sz w:val="24"/>
          <w:szCs w:val="24"/>
        </w:rPr>
        <w:t xml:space="preserve">disabled from </w:t>
      </w:r>
      <w:r w:rsidRPr="00AB0831">
        <w:rPr>
          <w:rFonts w:ascii="Times New Roman" w:eastAsia="Times New Roman" w:hAnsi="Times New Roman"/>
          <w:i/>
          <w:iCs/>
          <w:sz w:val="24"/>
          <w:szCs w:val="24"/>
        </w:rPr>
        <w:t>all work</w:t>
      </w:r>
      <w:r w:rsidRPr="00AB0831">
        <w:rPr>
          <w:rFonts w:ascii="Times New Roman" w:eastAsia="Times New Roman" w:hAnsi="Times New Roman"/>
          <w:sz w:val="24"/>
          <w:szCs w:val="24"/>
        </w:rPr>
        <w:t xml:space="preserve"> at this time</w:t>
      </w:r>
      <w:r>
        <w:rPr>
          <w:rFonts w:ascii="Times New Roman" w:eastAsia="Times New Roman" w:hAnsi="Times New Roman"/>
          <w:sz w:val="24"/>
          <w:szCs w:val="24"/>
        </w:rPr>
        <w:t>’</w:t>
      </w:r>
      <w:r w:rsidRPr="00AB0831">
        <w:rPr>
          <w:rFonts w:ascii="Times New Roman" w:eastAsia="Times New Roman" w:hAnsi="Times New Roman"/>
          <w:sz w:val="24"/>
          <w:szCs w:val="24"/>
        </w:rPr>
        <w:t xml:space="preserve"> and that she would </w:t>
      </w:r>
      <w:r>
        <w:rPr>
          <w:rFonts w:ascii="Times New Roman" w:eastAsia="Times New Roman" w:hAnsi="Times New Roman"/>
          <w:sz w:val="24"/>
          <w:szCs w:val="24"/>
        </w:rPr>
        <w:t>‘</w:t>
      </w:r>
      <w:r w:rsidRPr="00AB0831">
        <w:rPr>
          <w:rFonts w:ascii="Times New Roman" w:eastAsia="Times New Roman" w:hAnsi="Times New Roman"/>
          <w:sz w:val="24"/>
          <w:szCs w:val="24"/>
        </w:rPr>
        <w:t>re-evaluate his condition in two months to see if he is prepared to try to enter the job force in a different position.</w:t>
      </w:r>
      <w:r>
        <w:rPr>
          <w:rFonts w:ascii="Times New Roman" w:eastAsia="Times New Roman" w:hAnsi="Times New Roman"/>
          <w:sz w:val="24"/>
          <w:szCs w:val="24"/>
        </w:rPr>
        <w:t>’</w:t>
      </w:r>
      <w:r w:rsidRPr="00AB0831">
        <w:rPr>
          <w:rFonts w:ascii="Times New Roman" w:eastAsia="Times New Roman" w:hAnsi="Times New Roman"/>
          <w:sz w:val="24"/>
          <w:szCs w:val="24"/>
        </w:rPr>
        <w:t xml:space="preserve"> (emphasis added). </w:t>
      </w:r>
    </w:p>
    <w:p w14:paraId="1912D98E" w14:textId="77777777" w:rsidR="009453FA" w:rsidRDefault="009453FA" w:rsidP="009453FA">
      <w:pPr>
        <w:spacing w:before="100" w:beforeAutospacing="1" w:after="100" w:afterAutospacing="1" w:line="240" w:lineRule="auto"/>
        <w:ind w:left="720"/>
        <w:rPr>
          <w:rFonts w:ascii="Times New Roman" w:hAnsi="Times New Roman"/>
          <w:sz w:val="24"/>
          <w:szCs w:val="24"/>
        </w:rPr>
      </w:pPr>
      <w:r w:rsidRPr="00C130F0">
        <w:rPr>
          <w:rFonts w:ascii="Times New Roman" w:hAnsi="Times New Roman"/>
          <w:sz w:val="24"/>
          <w:szCs w:val="24"/>
        </w:rPr>
        <w:t>In addition, plaintiff admits that he “was not able to do any job functions, for the entire year [he] was off injured</w:t>
      </w:r>
      <w:r>
        <w:rPr>
          <w:rFonts w:ascii="Times New Roman" w:hAnsi="Times New Roman"/>
          <w:sz w:val="24"/>
          <w:szCs w:val="24"/>
        </w:rPr>
        <w:t>….</w:t>
      </w:r>
      <w:r w:rsidRPr="00C130F0">
        <w:rPr>
          <w:rFonts w:ascii="Times New Roman" w:hAnsi="Times New Roman"/>
          <w:sz w:val="24"/>
          <w:szCs w:val="24"/>
        </w:rPr>
        <w:t>”</w:t>
      </w:r>
      <w:r>
        <w:rPr>
          <w:rFonts w:ascii="Times New Roman" w:hAnsi="Times New Roman"/>
          <w:sz w:val="24"/>
          <w:szCs w:val="24"/>
        </w:rPr>
        <w:t xml:space="preserve"> </w:t>
      </w:r>
      <w:r w:rsidRPr="00C130F0">
        <w:rPr>
          <w:rFonts w:ascii="Times New Roman" w:hAnsi="Times New Roman"/>
          <w:sz w:val="24"/>
          <w:szCs w:val="24"/>
        </w:rPr>
        <w:t xml:space="preserve"> Further, plaintiff indicated in his answers to defendant's interrogatories that he suffered from PTSD stemming from an incident in April 2015, and he struggled with </w:t>
      </w:r>
      <w:r>
        <w:rPr>
          <w:rFonts w:ascii="Times New Roman" w:hAnsi="Times New Roman"/>
          <w:sz w:val="24"/>
          <w:szCs w:val="24"/>
        </w:rPr>
        <w:t>‘</w:t>
      </w:r>
      <w:r w:rsidRPr="00C130F0">
        <w:rPr>
          <w:rFonts w:ascii="Times New Roman" w:hAnsi="Times New Roman"/>
          <w:sz w:val="24"/>
          <w:szCs w:val="24"/>
        </w:rPr>
        <w:t>depression, anxiety, insomnia, flashback [sic], [and] cognitive issues that make it hard to focus, at times it is extremely debilitating where daily activities of living are difficult</w:t>
      </w:r>
      <w:r>
        <w:rPr>
          <w:rFonts w:ascii="Times New Roman" w:hAnsi="Times New Roman"/>
          <w:sz w:val="24"/>
          <w:szCs w:val="24"/>
        </w:rPr>
        <w:t xml:space="preserve">….’ </w:t>
      </w:r>
      <w:r w:rsidRPr="00C130F0">
        <w:rPr>
          <w:rFonts w:ascii="Times New Roman" w:hAnsi="Times New Roman"/>
          <w:sz w:val="24"/>
          <w:szCs w:val="24"/>
        </w:rPr>
        <w:t xml:space="preserve">Plaintiff, however, fails to provide any evidence of how, despite his PTSD and </w:t>
      </w:r>
      <w:r>
        <w:rPr>
          <w:rFonts w:ascii="Times New Roman" w:hAnsi="Times New Roman"/>
          <w:sz w:val="24"/>
          <w:szCs w:val="24"/>
        </w:rPr>
        <w:t>‘</w:t>
      </w:r>
      <w:r w:rsidRPr="00C130F0">
        <w:rPr>
          <w:rFonts w:ascii="Times New Roman" w:hAnsi="Times New Roman"/>
          <w:sz w:val="24"/>
          <w:szCs w:val="24"/>
        </w:rPr>
        <w:t>extremely debilitating</w:t>
      </w:r>
      <w:r>
        <w:rPr>
          <w:rFonts w:ascii="Times New Roman" w:hAnsi="Times New Roman"/>
          <w:sz w:val="24"/>
          <w:szCs w:val="24"/>
        </w:rPr>
        <w:t>’</w:t>
      </w:r>
      <w:r w:rsidRPr="00C130F0">
        <w:rPr>
          <w:rFonts w:ascii="Times New Roman" w:hAnsi="Times New Roman"/>
          <w:sz w:val="24"/>
          <w:szCs w:val="24"/>
        </w:rPr>
        <w:t xml:space="preserve"> medical conditions, he was able to perform the essential functions of a firefighter, such as extinguishing fires and rescuing emergency </w:t>
      </w:r>
      <w:r w:rsidRPr="00C130F0">
        <w:rPr>
          <w:rFonts w:ascii="Times New Roman" w:hAnsi="Times New Roman"/>
          <w:sz w:val="24"/>
          <w:szCs w:val="24"/>
        </w:rPr>
        <w:lastRenderedPageBreak/>
        <w:t>victims</w:t>
      </w:r>
      <w:r>
        <w:rPr>
          <w:rFonts w:ascii="Times New Roman" w:hAnsi="Times New Roman"/>
          <w:sz w:val="24"/>
          <w:szCs w:val="24"/>
        </w:rPr>
        <w:t xml:space="preserve">…. </w:t>
      </w:r>
      <w:r w:rsidRPr="00C130F0">
        <w:rPr>
          <w:rFonts w:ascii="Times New Roman" w:hAnsi="Times New Roman"/>
          <w:sz w:val="24"/>
          <w:szCs w:val="24"/>
        </w:rPr>
        <w:t xml:space="preserve"> The court, therefore, concludes that plaintiff has failed to offer evidence that he was able to perform the essential functions of a firefighter or some other position within the BCFD</w:t>
      </w:r>
      <w:r>
        <w:rPr>
          <w:rFonts w:ascii="Times New Roman" w:hAnsi="Times New Roman"/>
          <w:sz w:val="24"/>
          <w:szCs w:val="24"/>
        </w:rPr>
        <w:t xml:space="preserve">…. </w:t>
      </w:r>
      <w:r w:rsidRPr="00C130F0">
        <w:rPr>
          <w:rFonts w:ascii="Times New Roman" w:hAnsi="Times New Roman"/>
          <w:sz w:val="24"/>
          <w:szCs w:val="24"/>
        </w:rPr>
        <w:t>Accordingly, plaintiff fails to satisfy the third element of his prima facie claim of failure to accommodate under the Rehabilitation Act.</w:t>
      </w:r>
      <w:r>
        <w:rPr>
          <w:rFonts w:ascii="Times New Roman" w:hAnsi="Times New Roman"/>
          <w:sz w:val="24"/>
          <w:szCs w:val="24"/>
        </w:rPr>
        <w:t xml:space="preserve">” </w:t>
      </w:r>
      <w:hyperlink r:id="rId2379" w:history="1">
        <w:r w:rsidRPr="002477AB">
          <w:rPr>
            <w:rStyle w:val="Hyperlink"/>
            <w:rFonts w:ascii="Times New Roman" w:hAnsi="Times New Roman"/>
            <w:sz w:val="24"/>
            <w:szCs w:val="24"/>
          </w:rPr>
          <w:t>https://casetext.com/case/abler-v-mayor-of-balt</w:t>
        </w:r>
      </w:hyperlink>
      <w:r>
        <w:rPr>
          <w:rFonts w:ascii="Times New Roman" w:hAnsi="Times New Roman"/>
          <w:sz w:val="24"/>
          <w:szCs w:val="24"/>
        </w:rPr>
        <w:t xml:space="preserve"> </w:t>
      </w:r>
    </w:p>
    <w:p w14:paraId="50B1BB29" w14:textId="77777777" w:rsidR="009453FA" w:rsidRDefault="009453FA" w:rsidP="009453FA">
      <w:pPr>
        <w:spacing w:before="100" w:beforeAutospacing="1" w:after="100" w:afterAutospacing="1" w:line="240" w:lineRule="auto"/>
        <w:rPr>
          <w:rFonts w:ascii="Times New Roman" w:eastAsia="Times New Roman" w:hAnsi="Times New Roman"/>
          <w:b/>
          <w:bCs/>
          <w:sz w:val="24"/>
          <w:szCs w:val="24"/>
        </w:rPr>
      </w:pPr>
      <w:r w:rsidRPr="00E94438">
        <w:rPr>
          <w:rFonts w:ascii="Times New Roman" w:hAnsi="Times New Roman"/>
          <w:b/>
          <w:bCs/>
          <w:sz w:val="24"/>
          <w:szCs w:val="24"/>
        </w:rPr>
        <w:t>Legal Lesson Learned:</w:t>
      </w:r>
      <w:r>
        <w:rPr>
          <w:rFonts w:ascii="Times New Roman" w:hAnsi="Times New Roman"/>
          <w:b/>
          <w:bCs/>
          <w:sz w:val="24"/>
          <w:szCs w:val="24"/>
        </w:rPr>
        <w:t xml:space="preserve"> The clinician’s determination that he was disabled “from all work” meant FD did not need to try find an accommodation. </w:t>
      </w:r>
    </w:p>
    <w:p w14:paraId="4CFC683A" w14:textId="77777777" w:rsidR="009453FA" w:rsidRDefault="009453FA" w:rsidP="000C4DF5">
      <w:pPr>
        <w:pStyle w:val="NoSpacing"/>
        <w:rPr>
          <w:rFonts w:ascii="Arial Black" w:hAnsi="Arial Black"/>
          <w:sz w:val="24"/>
          <w:szCs w:val="24"/>
        </w:rPr>
      </w:pPr>
    </w:p>
    <w:p w14:paraId="0740C8A6" w14:textId="77777777" w:rsidR="009453FA" w:rsidRDefault="009453FA" w:rsidP="000C4DF5">
      <w:pPr>
        <w:pStyle w:val="NoSpacing"/>
        <w:rPr>
          <w:rFonts w:ascii="Arial Black" w:hAnsi="Arial Black"/>
          <w:sz w:val="24"/>
          <w:szCs w:val="24"/>
        </w:rPr>
      </w:pPr>
    </w:p>
    <w:p w14:paraId="48B53E80" w14:textId="77777777" w:rsidR="009453FA" w:rsidRDefault="009453FA" w:rsidP="000C4DF5">
      <w:pPr>
        <w:pStyle w:val="NoSpacing"/>
        <w:rPr>
          <w:rFonts w:ascii="Arial Black" w:hAnsi="Arial Black"/>
          <w:sz w:val="24"/>
          <w:szCs w:val="24"/>
        </w:rPr>
      </w:pPr>
    </w:p>
    <w:p w14:paraId="140F5CEE" w14:textId="032E6A42" w:rsidR="009453FA" w:rsidRDefault="009453FA" w:rsidP="000C4DF5">
      <w:pPr>
        <w:pStyle w:val="NoSpacing"/>
        <w:rPr>
          <w:rFonts w:ascii="Arial Black" w:hAnsi="Arial Black"/>
          <w:sz w:val="24"/>
          <w:szCs w:val="24"/>
        </w:rPr>
      </w:pPr>
      <w:r>
        <w:rPr>
          <w:rFonts w:ascii="Arial Black" w:hAnsi="Arial Black"/>
          <w:sz w:val="24"/>
          <w:szCs w:val="24"/>
        </w:rPr>
        <w:t>15-16 [also filed, Chap. 7]</w:t>
      </w:r>
    </w:p>
    <w:p w14:paraId="63389D1E" w14:textId="4ADC5C59" w:rsidR="009453FA" w:rsidRDefault="009453FA" w:rsidP="000C4DF5">
      <w:pPr>
        <w:pStyle w:val="NoSpacing"/>
        <w:rPr>
          <w:rFonts w:ascii="Arial Black" w:hAnsi="Arial Black"/>
          <w:sz w:val="24"/>
          <w:szCs w:val="24"/>
        </w:rPr>
      </w:pPr>
    </w:p>
    <w:p w14:paraId="74DD3C21" w14:textId="77777777" w:rsidR="009453FA" w:rsidRDefault="009453FA" w:rsidP="009453F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TX: PTSD - FEMALE FF NUDE VIDEO FOR HER HUSBAND (FF) – LEARNED 9 YRS LATER FF WATCHED IT – MAY SUE FD </w:t>
      </w:r>
    </w:p>
    <w:p w14:paraId="6658C05D" w14:textId="77777777" w:rsidR="009453FA" w:rsidRPr="004D78BE" w:rsidRDefault="009453FA" w:rsidP="009453F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11, 2022, in </w:t>
      </w:r>
      <w:r w:rsidRPr="004C0507">
        <w:rPr>
          <w:rFonts w:ascii="Times New Roman" w:eastAsia="Times New Roman" w:hAnsi="Times New Roman"/>
          <w:sz w:val="24"/>
          <w:szCs w:val="24"/>
          <w:u w:val="single"/>
        </w:rPr>
        <w:t xml:space="preserve">Melinda </w:t>
      </w:r>
      <w:proofErr w:type="spellStart"/>
      <w:r w:rsidRPr="004C0507">
        <w:rPr>
          <w:rFonts w:ascii="Times New Roman" w:eastAsia="Times New Roman" w:hAnsi="Times New Roman"/>
          <w:sz w:val="24"/>
          <w:szCs w:val="24"/>
          <w:u w:val="single"/>
        </w:rPr>
        <w:t>Abbt</w:t>
      </w:r>
      <w:proofErr w:type="spellEnd"/>
      <w:r w:rsidRPr="004C0507">
        <w:rPr>
          <w:rFonts w:ascii="Times New Roman" w:eastAsia="Times New Roman" w:hAnsi="Times New Roman"/>
          <w:sz w:val="24"/>
          <w:szCs w:val="24"/>
          <w:u w:val="single"/>
        </w:rPr>
        <w:t xml:space="preserve"> v. City of Houston, John Chris Barrientes</w:t>
      </w:r>
      <w:r>
        <w:rPr>
          <w:rFonts w:ascii="Times New Roman" w:eastAsia="Times New Roman" w:hAnsi="Times New Roman"/>
          <w:sz w:val="24"/>
          <w:szCs w:val="24"/>
        </w:rPr>
        <w:t>, the U.S. Court of Appeals for 5</w:t>
      </w:r>
      <w:r w:rsidRPr="004C0507">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(New Orleans) held (3 to 0) that the lawsuit against the City of Houston and Captain Barrientes should be reinstated. </w:t>
      </w:r>
      <w:r w:rsidRPr="003170E5">
        <w:rPr>
          <w:rFonts w:ascii="Times New Roman" w:hAnsi="Times New Roman"/>
          <w:sz w:val="24"/>
          <w:szCs w:val="24"/>
        </w:rPr>
        <w:t>“</w:t>
      </w:r>
      <w:proofErr w:type="spellStart"/>
      <w:r w:rsidRPr="003170E5">
        <w:rPr>
          <w:rFonts w:ascii="Times New Roman" w:hAnsi="Times New Roman"/>
          <w:sz w:val="24"/>
          <w:szCs w:val="24"/>
        </w:rPr>
        <w:t>Abbt</w:t>
      </w:r>
      <w:proofErr w:type="spellEnd"/>
      <w:r w:rsidRPr="003170E5">
        <w:rPr>
          <w:rFonts w:ascii="Times New Roman" w:hAnsi="Times New Roman"/>
          <w:sz w:val="24"/>
          <w:szCs w:val="24"/>
        </w:rPr>
        <w:t xml:space="preserve"> has presented sufficient evidence to create a genuine dispute as to whether the City knew or should have known about the </w:t>
      </w:r>
      <w:proofErr w:type="gramStart"/>
      <w:r w:rsidRPr="003170E5">
        <w:rPr>
          <w:rFonts w:ascii="Times New Roman" w:hAnsi="Times New Roman"/>
          <w:sz w:val="24"/>
          <w:szCs w:val="24"/>
        </w:rPr>
        <w:t>harassment, and</w:t>
      </w:r>
      <w:proofErr w:type="gramEnd"/>
      <w:r w:rsidRPr="003170E5">
        <w:rPr>
          <w:rFonts w:ascii="Times New Roman" w:hAnsi="Times New Roman"/>
          <w:sz w:val="24"/>
          <w:szCs w:val="24"/>
        </w:rPr>
        <w:t xml:space="preserve"> thus can be held liable.”</w:t>
      </w:r>
      <w:r>
        <w:rPr>
          <w:rFonts w:ascii="Times New Roman" w:hAnsi="Times New Roman"/>
          <w:sz w:val="24"/>
          <w:szCs w:val="24"/>
        </w:rPr>
        <w:t xml:space="preserve"> </w:t>
      </w:r>
      <w:hyperlink r:id="rId2380" w:history="1">
        <w:r w:rsidRPr="000247F2">
          <w:rPr>
            <w:rStyle w:val="Hyperlink"/>
            <w:rFonts w:ascii="Times New Roman" w:eastAsia="Times New Roman" w:hAnsi="Times New Roman"/>
            <w:sz w:val="24"/>
            <w:szCs w:val="24"/>
          </w:rPr>
          <w:t>https://www.ca5.uscourts.gov/opinions/pub/21/21-20085-CV0.pdf</w:t>
        </w:r>
      </w:hyperlink>
      <w:r>
        <w:rPr>
          <w:rFonts w:ascii="Times New Roman" w:eastAsia="Times New Roman" w:hAnsi="Times New Roman"/>
          <w:sz w:val="24"/>
          <w:szCs w:val="24"/>
        </w:rPr>
        <w:t xml:space="preserve"> </w:t>
      </w:r>
    </w:p>
    <w:p w14:paraId="75D8A2CC" w14:textId="77777777" w:rsidR="009453FA" w:rsidRDefault="009453FA" w:rsidP="009453F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In a Concurring Opinion, Justice James C. Ho wrote: </w:t>
      </w:r>
    </w:p>
    <w:p w14:paraId="12EA6559" w14:textId="77777777" w:rsidR="009453FA" w:rsidRPr="004D78BE" w:rsidRDefault="009453FA" w:rsidP="009453F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4D78BE">
        <w:rPr>
          <w:rFonts w:ascii="Times New Roman" w:eastAsia="Times New Roman" w:hAnsi="Times New Roman"/>
          <w:sz w:val="24"/>
          <w:szCs w:val="24"/>
        </w:rPr>
        <w:t xml:space="preserve">Melinda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is a firefighter. But at least two of her male superiors at the Houston Fire Department-Chris Barrientes and David Elliott-and perhaps countless others treated her as nothing more than a sexual object. They accessed a private, intimate, nude video that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had obviously made exclusively for her husband. They did so without her knowledge or permission. And they watched it repeatedly, both on and off-duty, alone and in front of co-workers, </w:t>
      </w:r>
      <w:r w:rsidRPr="004D78BE">
        <w:rPr>
          <w:rFonts w:ascii="Times New Roman" w:eastAsia="Times New Roman" w:hAnsi="Times New Roman"/>
          <w:i/>
          <w:iCs/>
          <w:sz w:val="24"/>
          <w:szCs w:val="24"/>
        </w:rPr>
        <w:t>for over nine years</w:t>
      </w:r>
      <w:r w:rsidRPr="004D78BE">
        <w:rPr>
          <w:rFonts w:ascii="Times New Roman" w:eastAsia="Times New Roman" w:hAnsi="Times New Roman"/>
          <w:sz w:val="24"/>
          <w:szCs w:val="24"/>
        </w:rPr>
        <w:t xml:space="preserve">. The only reason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ever discovered this most invasive violation of privacy was because Elliott finally confessed to her husband. Even to this day,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cannot be sure whether anyone else at the Department has already seen the video-or may watch it in the future.</w:t>
      </w:r>
      <w:r>
        <w:rPr>
          <w:rFonts w:ascii="Times New Roman" w:eastAsia="Times New Roman" w:hAnsi="Times New Roman"/>
          <w:sz w:val="24"/>
          <w:szCs w:val="24"/>
        </w:rPr>
        <w:t xml:space="preserve">”  </w:t>
      </w:r>
      <w:hyperlink r:id="rId2381" w:history="1">
        <w:r w:rsidRPr="000247F2">
          <w:rPr>
            <w:rStyle w:val="Hyperlink"/>
            <w:rFonts w:ascii="Times New Roman" w:eastAsia="Times New Roman" w:hAnsi="Times New Roman"/>
            <w:sz w:val="24"/>
            <w:szCs w:val="24"/>
          </w:rPr>
          <w:t>https://www.ca5.uscourts.gov/opinions/pub/21/21-20085-CV0.pdf</w:t>
        </w:r>
      </w:hyperlink>
      <w:r>
        <w:rPr>
          <w:rFonts w:ascii="Times New Roman" w:eastAsia="Times New Roman" w:hAnsi="Times New Roman"/>
          <w:sz w:val="24"/>
          <w:szCs w:val="24"/>
        </w:rPr>
        <w:t xml:space="preserve"> </w:t>
      </w:r>
    </w:p>
    <w:p w14:paraId="7C1D7575" w14:textId="77777777" w:rsidR="009453FA" w:rsidRDefault="009453FA" w:rsidP="009453FA">
      <w:pPr>
        <w:pStyle w:val="NormalWeb"/>
        <w:rPr>
          <w:b/>
          <w:bCs/>
        </w:rPr>
      </w:pPr>
      <w:r w:rsidRPr="00DA6A29">
        <w:rPr>
          <w:b/>
          <w:bCs/>
        </w:rPr>
        <w:t>Legal Lesson Learned:</w:t>
      </w:r>
      <w:r>
        <w:rPr>
          <w:b/>
          <w:bCs/>
        </w:rPr>
        <w:t xml:space="preserve"> Terrible facts; City would be wise to quickly settle this case. </w:t>
      </w:r>
    </w:p>
    <w:p w14:paraId="02CFB19B" w14:textId="77777777" w:rsidR="009453FA" w:rsidRDefault="009453FA" w:rsidP="000C4DF5">
      <w:pPr>
        <w:pStyle w:val="NoSpacing"/>
        <w:rPr>
          <w:rFonts w:ascii="Arial Black" w:hAnsi="Arial Black"/>
          <w:sz w:val="24"/>
          <w:szCs w:val="24"/>
        </w:rPr>
      </w:pPr>
    </w:p>
    <w:p w14:paraId="5DB3B55C" w14:textId="77777777" w:rsidR="009453FA" w:rsidRDefault="009453FA" w:rsidP="000C4DF5">
      <w:pPr>
        <w:pStyle w:val="NoSpacing"/>
        <w:rPr>
          <w:rFonts w:ascii="Arial Black" w:hAnsi="Arial Black"/>
          <w:sz w:val="24"/>
          <w:szCs w:val="24"/>
        </w:rPr>
      </w:pPr>
    </w:p>
    <w:p w14:paraId="19612664" w14:textId="0DF07B37" w:rsidR="00221640" w:rsidRDefault="00221640" w:rsidP="000C4DF5">
      <w:pPr>
        <w:pStyle w:val="NoSpacing"/>
        <w:rPr>
          <w:rFonts w:ascii="Arial Black" w:hAnsi="Arial Black"/>
          <w:sz w:val="24"/>
          <w:szCs w:val="24"/>
        </w:rPr>
      </w:pPr>
      <w:r>
        <w:rPr>
          <w:rFonts w:ascii="Arial Black" w:hAnsi="Arial Black"/>
          <w:sz w:val="24"/>
          <w:szCs w:val="24"/>
        </w:rPr>
        <w:t>15-15</w:t>
      </w:r>
    </w:p>
    <w:p w14:paraId="0A03C679" w14:textId="77777777" w:rsidR="00221640" w:rsidRPr="003A47ED" w:rsidRDefault="00221640" w:rsidP="00221640">
      <w:pPr>
        <w:spacing w:before="100" w:beforeAutospacing="1" w:after="100" w:afterAutospacing="1" w:line="240" w:lineRule="auto"/>
        <w:rPr>
          <w:rFonts w:ascii="Arial Black" w:eastAsia="Times New Roman" w:hAnsi="Arial Black"/>
          <w:b/>
          <w:bCs/>
          <w:sz w:val="28"/>
          <w:szCs w:val="28"/>
        </w:rPr>
      </w:pPr>
      <w:bookmarkStart w:id="575" w:name="_Hlk99871184"/>
      <w:r>
        <w:rPr>
          <w:rFonts w:ascii="Arial Black" w:eastAsia="Times New Roman" w:hAnsi="Arial Black"/>
          <w:b/>
          <w:bCs/>
          <w:sz w:val="28"/>
          <w:szCs w:val="28"/>
        </w:rPr>
        <w:t>CA: PTSD – CHP TROOPER – FIREARM RETURNED – KILLED WIFE – SHOT HER BOYFRIEND, SUICIDE – NO IMMUNITY</w:t>
      </w:r>
    </w:p>
    <w:p w14:paraId="4DE1CAA0" w14:textId="77777777" w:rsidR="00221640" w:rsidRDefault="00221640" w:rsidP="00221640">
      <w:pPr>
        <w:spacing w:before="100" w:beforeAutospacing="1" w:after="100" w:afterAutospacing="1" w:line="240" w:lineRule="auto"/>
        <w:rPr>
          <w:rFonts w:ascii="Times New Roman" w:hAnsi="Times New Roman"/>
          <w:sz w:val="24"/>
          <w:szCs w:val="24"/>
        </w:rPr>
      </w:pPr>
      <w:r w:rsidRPr="00021501">
        <w:rPr>
          <w:rFonts w:ascii="Times New Roman" w:eastAsia="Times New Roman" w:hAnsi="Times New Roman"/>
          <w:sz w:val="24"/>
          <w:szCs w:val="24"/>
        </w:rPr>
        <w:t xml:space="preserve">On Feb. 25, 2022, in </w:t>
      </w:r>
      <w:r w:rsidRPr="00021501">
        <w:rPr>
          <w:rFonts w:ascii="Times New Roman" w:eastAsia="Times New Roman" w:hAnsi="Times New Roman"/>
          <w:sz w:val="24"/>
          <w:szCs w:val="24"/>
          <w:u w:val="single"/>
        </w:rPr>
        <w:t>Phil</w:t>
      </w:r>
      <w:r>
        <w:rPr>
          <w:rFonts w:ascii="Times New Roman" w:eastAsia="Times New Roman" w:hAnsi="Times New Roman"/>
          <w:sz w:val="24"/>
          <w:szCs w:val="24"/>
          <w:u w:val="single"/>
        </w:rPr>
        <w:t xml:space="preserve"> </w:t>
      </w:r>
      <w:proofErr w:type="spellStart"/>
      <w:r w:rsidRPr="00021501">
        <w:rPr>
          <w:rFonts w:ascii="Times New Roman" w:eastAsia="Times New Roman" w:hAnsi="Times New Roman"/>
          <w:sz w:val="24"/>
          <w:szCs w:val="24"/>
          <w:u w:val="single"/>
        </w:rPr>
        <w:t>Debeaubien</w:t>
      </w:r>
      <w:proofErr w:type="spellEnd"/>
      <w:r w:rsidRPr="00021501">
        <w:rPr>
          <w:rFonts w:ascii="Times New Roman" w:eastAsia="Times New Roman" w:hAnsi="Times New Roman"/>
          <w:sz w:val="24"/>
          <w:szCs w:val="24"/>
          <w:u w:val="single"/>
        </w:rPr>
        <w:t xml:space="preserve"> v. State of California, California Highway Patrol, Todd Brown, et al.</w:t>
      </w:r>
      <w:r w:rsidRPr="00021501">
        <w:rPr>
          <w:rFonts w:ascii="Times New Roman" w:eastAsia="Times New Roman" w:hAnsi="Times New Roman"/>
          <w:sz w:val="24"/>
          <w:szCs w:val="24"/>
        </w:rPr>
        <w:t xml:space="preserve">, U.S. District Court Judge William B. </w:t>
      </w:r>
      <w:proofErr w:type="spellStart"/>
      <w:r w:rsidRPr="00021501">
        <w:rPr>
          <w:rFonts w:ascii="Times New Roman" w:eastAsia="Times New Roman" w:hAnsi="Times New Roman"/>
          <w:sz w:val="24"/>
          <w:szCs w:val="24"/>
        </w:rPr>
        <w:t>Shubb</w:t>
      </w:r>
      <w:proofErr w:type="spellEnd"/>
      <w:r w:rsidRPr="00021501">
        <w:rPr>
          <w:rFonts w:ascii="Times New Roman" w:eastAsia="Times New Roman" w:hAnsi="Times New Roman"/>
          <w:sz w:val="24"/>
          <w:szCs w:val="24"/>
        </w:rPr>
        <w:t xml:space="preserve">, U.S. District Court for Eastern District of California, in a lawsuit filed by </w:t>
      </w:r>
      <w:r>
        <w:rPr>
          <w:rFonts w:ascii="Times New Roman" w:eastAsia="Times New Roman" w:hAnsi="Times New Roman"/>
          <w:sz w:val="24"/>
          <w:szCs w:val="24"/>
        </w:rPr>
        <w:t xml:space="preserve">estranged wife’s boyfriend who was shot in arm, </w:t>
      </w:r>
      <w:r w:rsidRPr="00021501">
        <w:rPr>
          <w:rFonts w:ascii="Times New Roman" w:eastAsia="Times New Roman" w:hAnsi="Times New Roman"/>
          <w:sz w:val="24"/>
          <w:szCs w:val="24"/>
        </w:rPr>
        <w:t>denied the State of California and the CHP supervisors’ motion for summary judgment</w:t>
      </w:r>
      <w:r>
        <w:rPr>
          <w:rFonts w:ascii="Times New Roman" w:eastAsia="Times New Roman" w:hAnsi="Times New Roman"/>
          <w:sz w:val="24"/>
          <w:szCs w:val="24"/>
        </w:rPr>
        <w:t xml:space="preserve">. The service weapon had been returned after EAP counselors advised CHP he could return to work. </w:t>
      </w:r>
      <w:hyperlink r:id="rId2382" w:history="1">
        <w:r w:rsidRPr="002477AB">
          <w:rPr>
            <w:rStyle w:val="Hyperlink"/>
            <w:rFonts w:ascii="Times New Roman" w:eastAsia="Times New Roman" w:hAnsi="Times New Roman"/>
            <w:sz w:val="24"/>
            <w:szCs w:val="24"/>
          </w:rPr>
          <w:t>https://public.fastcase.com/waZtJvSA54UAurM2rmIZz6DHvxBXKDNOBT4bWQ9B2C2XMExqnhPDmJ4RTlgjq%2FCO3g5z%2BjC1yjBDqKCmneuiR5bS8Q3ELHfgftRpjN8MXvk%3D</w:t>
        </w:r>
      </w:hyperlink>
      <w:bookmarkEnd w:id="575"/>
      <w:r>
        <w:rPr>
          <w:rFonts w:ascii="Times New Roman" w:eastAsia="Times New Roman" w:hAnsi="Times New Roman"/>
          <w:sz w:val="24"/>
          <w:szCs w:val="24"/>
        </w:rPr>
        <w:t xml:space="preserve"> </w:t>
      </w:r>
    </w:p>
    <w:p w14:paraId="6A273E94" w14:textId="77777777" w:rsidR="00221640" w:rsidRDefault="00221640" w:rsidP="00221640">
      <w:pPr>
        <w:pStyle w:val="NormalWeb"/>
        <w:ind w:left="720" w:firstLine="60"/>
      </w:pPr>
      <w:r>
        <w:t xml:space="preserve">“Plaintiff Philip </w:t>
      </w:r>
      <w:proofErr w:type="spellStart"/>
      <w:r>
        <w:t>Debeaubien</w:t>
      </w:r>
      <w:proofErr w:type="spellEnd"/>
      <w:r>
        <w:t xml:space="preserve"> (‘plaintiff’) brought this section 1983 action against the State of California; the California Highway Patrol (‘CHP’); CHP officers Todd Brown, Reggie Whitehead, Ryan Stonebraker, Brent Newman, and Jeremy Dobler (collectively the ‘CHP defendants’); Joy Graf; and Sabrena Swain; for various alleged constitutional and state tort offenses…</w:t>
      </w:r>
      <w:r>
        <w:rPr>
          <w:vertAlign w:val="superscript"/>
        </w:rPr>
        <w:t xml:space="preserve">. </w:t>
      </w:r>
      <w:r>
        <w:t xml:space="preserve"> The case arises out of events on September 3, 2018, wherein CHP officer Brad Wheat (‘Wheat’) shot plaintiff before fatally shooting Wheat's wife and himself.</w:t>
      </w:r>
    </w:p>
    <w:p w14:paraId="7E98A787" w14:textId="77777777" w:rsidR="00221640" w:rsidRDefault="00221640" w:rsidP="00221640">
      <w:pPr>
        <w:pStyle w:val="NormalWeb"/>
        <w:ind w:left="720" w:firstLine="60"/>
      </w:pPr>
      <w:r>
        <w:t>***</w:t>
      </w:r>
    </w:p>
    <w:p w14:paraId="415FD83C" w14:textId="77777777" w:rsidR="00221640" w:rsidRDefault="00221640" w:rsidP="0022164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[Motion to dismiss is] </w:t>
      </w:r>
      <w:r w:rsidRPr="007E70C2">
        <w:rPr>
          <w:rFonts w:ascii="Times New Roman" w:hAnsi="Times New Roman"/>
          <w:sz w:val="24"/>
          <w:szCs w:val="24"/>
        </w:rPr>
        <w:t>DENIED as to defendants Dobler, Brown, Stonebraker, State of California, and California Highway Patrol on the issue of whether these defendants owed plaintiff a duty not to entrust Wheat with a firearm</w:t>
      </w:r>
      <w:r>
        <w:rPr>
          <w:rFonts w:ascii="Times New Roman" w:hAnsi="Times New Roman"/>
          <w:sz w:val="24"/>
          <w:szCs w:val="24"/>
        </w:rPr>
        <w:t xml:space="preserve">.” </w:t>
      </w:r>
    </w:p>
    <w:p w14:paraId="14F748BF" w14:textId="77777777" w:rsidR="00221640" w:rsidRPr="00021501" w:rsidRDefault="00221640" w:rsidP="00221640">
      <w:pPr>
        <w:pStyle w:val="Heading1"/>
        <w:rPr>
          <w:sz w:val="24"/>
          <w:szCs w:val="24"/>
        </w:rPr>
      </w:pPr>
      <w:r>
        <w:rPr>
          <w:b w:val="0"/>
          <w:bCs w:val="0"/>
          <w:sz w:val="24"/>
          <w:szCs w:val="24"/>
        </w:rPr>
        <w:t xml:space="preserve">Watch the Jan. 26, </w:t>
      </w:r>
      <w:proofErr w:type="gramStart"/>
      <w:r>
        <w:rPr>
          <w:b w:val="0"/>
          <w:bCs w:val="0"/>
          <w:sz w:val="24"/>
          <w:szCs w:val="24"/>
        </w:rPr>
        <w:t>2022</w:t>
      </w:r>
      <w:proofErr w:type="gramEnd"/>
      <w:r>
        <w:rPr>
          <w:b w:val="0"/>
          <w:bCs w:val="0"/>
          <w:sz w:val="24"/>
          <w:szCs w:val="24"/>
        </w:rPr>
        <w:t xml:space="preserve"> TV interview with Plaintiff - includes bystander video of scene on </w:t>
      </w:r>
      <w:proofErr w:type="gramStart"/>
      <w:r>
        <w:rPr>
          <w:b w:val="0"/>
          <w:bCs w:val="0"/>
          <w:sz w:val="24"/>
          <w:szCs w:val="24"/>
        </w:rPr>
        <w:t>Sept,</w:t>
      </w:r>
      <w:proofErr w:type="gramEnd"/>
      <w:r>
        <w:rPr>
          <w:b w:val="0"/>
          <w:bCs w:val="0"/>
          <w:sz w:val="24"/>
          <w:szCs w:val="24"/>
        </w:rPr>
        <w:t xml:space="preserve"> 3, 2018 where you can hear shots being fired. </w:t>
      </w:r>
    </w:p>
    <w:p w14:paraId="6DAE7DC8" w14:textId="77777777" w:rsidR="00221640" w:rsidRDefault="00221640" w:rsidP="00221640">
      <w:pPr>
        <w:pStyle w:val="ListParagraph"/>
        <w:spacing w:before="100" w:beforeAutospacing="1" w:after="100" w:afterAutospacing="1" w:line="240" w:lineRule="auto"/>
        <w:ind w:left="1440"/>
        <w:rPr>
          <w:rStyle w:val="Hyperlink"/>
          <w:rFonts w:ascii="Times New Roman" w:hAnsi="Times New Roman" w:cs="Times New Roman"/>
          <w:sz w:val="24"/>
          <w:szCs w:val="24"/>
        </w:rPr>
      </w:pPr>
      <w:r w:rsidRPr="00021501">
        <w:rPr>
          <w:rFonts w:ascii="Times New Roman" w:hAnsi="Times New Roman" w:cs="Times New Roman"/>
          <w:sz w:val="24"/>
          <w:szCs w:val="24"/>
        </w:rPr>
        <w:t xml:space="preserve">“He’s suing the CHP after an off-duty officer shot him. Here’s what he hopes to change.  Bystander video shows part of the 2018 murder-suicide incident involving CHP Lt. Brad Wheat and his estranged wife, Mary. Trae </w:t>
      </w:r>
      <w:proofErr w:type="spellStart"/>
      <w:r w:rsidRPr="00021501">
        <w:rPr>
          <w:rFonts w:ascii="Times New Roman" w:hAnsi="Times New Roman" w:cs="Times New Roman"/>
          <w:sz w:val="24"/>
          <w:szCs w:val="24"/>
        </w:rPr>
        <w:t>deBeaubien</w:t>
      </w:r>
      <w:proofErr w:type="spellEnd"/>
      <w:r w:rsidRPr="00021501">
        <w:rPr>
          <w:rFonts w:ascii="Times New Roman" w:hAnsi="Times New Roman" w:cs="Times New Roman"/>
          <w:sz w:val="24"/>
          <w:szCs w:val="24"/>
        </w:rPr>
        <w:t xml:space="preserve">, who was dating Mary, was also shot and is suing the agency for returning Wheat's gun after he made threats.” </w:t>
      </w:r>
      <w:hyperlink r:id="rId2383" w:history="1">
        <w:r w:rsidRPr="00021501">
          <w:rPr>
            <w:rStyle w:val="Hyperlink"/>
            <w:rFonts w:ascii="Times New Roman" w:hAnsi="Times New Roman" w:cs="Times New Roman"/>
            <w:sz w:val="24"/>
            <w:szCs w:val="24"/>
          </w:rPr>
          <w:t>https://www.sacbee.com/news/local/article257698263.html</w:t>
        </w:r>
      </w:hyperlink>
    </w:p>
    <w:p w14:paraId="5A1C5CE9" w14:textId="77777777" w:rsidR="00221640" w:rsidRDefault="00221640" w:rsidP="00221640">
      <w:pPr>
        <w:spacing w:before="100" w:beforeAutospacing="1" w:after="100" w:afterAutospacing="1" w:line="240" w:lineRule="auto"/>
        <w:rPr>
          <w:rStyle w:val="Hyperlink"/>
          <w:rFonts w:ascii="Times New Roman" w:hAnsi="Times New Roman"/>
          <w:sz w:val="24"/>
          <w:szCs w:val="24"/>
        </w:rPr>
      </w:pPr>
      <w:r w:rsidRPr="0050050C">
        <w:rPr>
          <w:rFonts w:ascii="Times New Roman" w:hAnsi="Times New Roman"/>
          <w:sz w:val="24"/>
          <w:szCs w:val="24"/>
        </w:rPr>
        <w:t xml:space="preserve">Feb. 25, 2022: “An Off-Duty Cop Murdered His Ex-Girlfriend. The California Highway Patrol Ignored the Red Flags.” </w:t>
      </w:r>
      <w:hyperlink r:id="rId2384" w:history="1">
        <w:r w:rsidRPr="0050050C">
          <w:rPr>
            <w:rStyle w:val="Hyperlink"/>
            <w:rFonts w:ascii="Times New Roman" w:hAnsi="Times New Roman"/>
            <w:sz w:val="24"/>
            <w:szCs w:val="24"/>
          </w:rPr>
          <w:t>https://gemm.site/2022/02/25/an-off-duty-cop-murdered-his-ex-girlfriend-the-california-highway-patrol-ignored-the-red-flags/</w:t>
        </w:r>
      </w:hyperlink>
    </w:p>
    <w:p w14:paraId="65052A0E" w14:textId="77777777" w:rsidR="009453FA" w:rsidRPr="004B6F15" w:rsidRDefault="009453FA" w:rsidP="009453FA">
      <w:pPr>
        <w:pStyle w:val="NormalWeb"/>
        <w:rPr>
          <w:b/>
          <w:bCs/>
        </w:rPr>
      </w:pPr>
      <w:r w:rsidRPr="004B6F15">
        <w:rPr>
          <w:b/>
          <w:bCs/>
        </w:rPr>
        <w:t xml:space="preserve">Legal Lesson Learned: Returning a service weapon to a police officer suffering </w:t>
      </w:r>
      <w:r>
        <w:rPr>
          <w:b/>
          <w:bCs/>
        </w:rPr>
        <w:t xml:space="preserve">from PTSD or other serious </w:t>
      </w:r>
      <w:r w:rsidRPr="004B6F15">
        <w:rPr>
          <w:b/>
          <w:bCs/>
        </w:rPr>
        <w:t>mental should only be done after a Fitness for Duty</w:t>
      </w:r>
      <w:r>
        <w:rPr>
          <w:b/>
          <w:bCs/>
        </w:rPr>
        <w:t xml:space="preserve"> (FFDE)</w:t>
      </w:r>
      <w:r w:rsidRPr="004B6F15">
        <w:rPr>
          <w:b/>
          <w:bCs/>
        </w:rPr>
        <w:t xml:space="preserve"> psychological evaluation (FFDE) by an appropriately trained and competent licensed mental health professional.</w:t>
      </w:r>
    </w:p>
    <w:p w14:paraId="122B53A6" w14:textId="7F0701A2" w:rsidR="009453FA" w:rsidRPr="00B572BA" w:rsidRDefault="009453FA" w:rsidP="009453FA">
      <w:pPr>
        <w:spacing w:before="100" w:beforeAutospacing="1" w:after="100" w:afterAutospacing="1" w:line="240" w:lineRule="auto"/>
        <w:ind w:left="720"/>
        <w:rPr>
          <w:rFonts w:ascii="Times New Roman" w:eastAsia="Times New Roman" w:hAnsi="Times New Roman"/>
          <w:sz w:val="24"/>
          <w:szCs w:val="24"/>
        </w:rPr>
      </w:pPr>
      <w:r w:rsidRPr="00B572BA">
        <w:rPr>
          <w:rFonts w:ascii="Times New Roman" w:eastAsia="Times New Roman" w:hAnsi="Times New Roman"/>
          <w:sz w:val="24"/>
          <w:szCs w:val="24"/>
        </w:rPr>
        <w:t xml:space="preserve">Note: Dr. Eric Birkley, Psychologist, has kindly provided this info on Fitness </w:t>
      </w:r>
      <w:proofErr w:type="gramStart"/>
      <w:r w:rsidRPr="00B572BA">
        <w:rPr>
          <w:rFonts w:ascii="Times New Roman" w:eastAsia="Times New Roman" w:hAnsi="Times New Roman"/>
          <w:sz w:val="24"/>
          <w:szCs w:val="24"/>
        </w:rPr>
        <w:t>For</w:t>
      </w:r>
      <w:proofErr w:type="gramEnd"/>
      <w:r w:rsidRPr="00B572BA">
        <w:rPr>
          <w:rFonts w:ascii="Times New Roman" w:eastAsia="Times New Roman" w:hAnsi="Times New Roman"/>
          <w:sz w:val="24"/>
          <w:szCs w:val="24"/>
        </w:rPr>
        <w:t xml:space="preserve"> Duty Evaluations </w:t>
      </w:r>
      <w:bookmarkStart w:id="576" w:name="_Hlk99975468"/>
      <w:r w:rsidRPr="00B572BA">
        <w:rPr>
          <w:rFonts w:ascii="Times New Roman" w:eastAsia="Times New Roman" w:hAnsi="Times New Roman"/>
          <w:sz w:val="24"/>
          <w:szCs w:val="24"/>
        </w:rPr>
        <w:t xml:space="preserve">[posted with her permission]. </w:t>
      </w:r>
      <w:bookmarkEnd w:id="576"/>
      <w:r w:rsidRPr="00B572BA">
        <w:rPr>
          <w:rFonts w:ascii="Times New Roman" w:eastAsia="Times New Roman" w:hAnsi="Times New Roman"/>
          <w:sz w:val="24"/>
          <w:szCs w:val="24"/>
        </w:rPr>
        <w:t xml:space="preserve">On May 26, 2022, Dr. Birley and the author of this </w:t>
      </w:r>
      <w:proofErr w:type="gramStart"/>
      <w:r w:rsidRPr="00B572BA">
        <w:rPr>
          <w:rFonts w:ascii="Times New Roman" w:eastAsia="Times New Roman" w:hAnsi="Times New Roman"/>
          <w:sz w:val="24"/>
          <w:szCs w:val="24"/>
        </w:rPr>
        <w:t>newsletter,</w:t>
      </w:r>
      <w:proofErr w:type="gramEnd"/>
      <w:r w:rsidRPr="00B572BA">
        <w:rPr>
          <w:rFonts w:ascii="Times New Roman" w:eastAsia="Times New Roman" w:hAnsi="Times New Roman"/>
          <w:sz w:val="24"/>
          <w:szCs w:val="24"/>
        </w:rPr>
        <w:t xml:space="preserve"> will both be on a panel for First Responder Mental Health Symposium. </w:t>
      </w:r>
      <w:hyperlink r:id="rId2385" w:history="1">
        <w:r w:rsidRPr="00B572BA">
          <w:rPr>
            <w:rStyle w:val="Hyperlink"/>
            <w:rFonts w:ascii="Times New Roman" w:eastAsia="Times New Roman" w:hAnsi="Times New Roman"/>
            <w:sz w:val="24"/>
            <w:szCs w:val="24"/>
          </w:rPr>
          <w:t>https://ceas.uc.edu/academics/departments/aerospace-engineering-mechanics/fire-science/news.html</w:t>
        </w:r>
      </w:hyperlink>
      <w:r w:rsidRPr="00B572BA">
        <w:rPr>
          <w:rFonts w:ascii="Times New Roman" w:eastAsia="Times New Roman" w:hAnsi="Times New Roman"/>
          <w:sz w:val="24"/>
          <w:szCs w:val="24"/>
        </w:rPr>
        <w:t xml:space="preserve"> </w:t>
      </w:r>
    </w:p>
    <w:p w14:paraId="2334C4BF" w14:textId="77777777" w:rsidR="009453FA" w:rsidRPr="00B572BA" w:rsidRDefault="009453FA" w:rsidP="009453FA">
      <w:pPr>
        <w:ind w:firstLine="720"/>
        <w:rPr>
          <w:rFonts w:ascii="Times New Roman" w:hAnsi="Times New Roman"/>
          <w:sz w:val="24"/>
          <w:szCs w:val="24"/>
        </w:rPr>
      </w:pPr>
      <w:r w:rsidRPr="00B572BA">
        <w:rPr>
          <w:rFonts w:ascii="Times New Roman" w:hAnsi="Times New Roman"/>
          <w:sz w:val="24"/>
          <w:szCs w:val="24"/>
        </w:rPr>
        <w:t>3/25/2022</w:t>
      </w:r>
    </w:p>
    <w:p w14:paraId="3A6CAB21" w14:textId="77777777" w:rsidR="009453FA" w:rsidRPr="00B572BA" w:rsidRDefault="009453FA" w:rsidP="009453FA">
      <w:pPr>
        <w:ind w:firstLine="720"/>
        <w:rPr>
          <w:rFonts w:ascii="Times New Roman" w:hAnsi="Times New Roman"/>
          <w:sz w:val="24"/>
          <w:szCs w:val="24"/>
        </w:rPr>
      </w:pPr>
      <w:r w:rsidRPr="00B572BA">
        <w:rPr>
          <w:rFonts w:ascii="Times New Roman" w:hAnsi="Times New Roman"/>
          <w:sz w:val="24"/>
          <w:szCs w:val="24"/>
        </w:rPr>
        <w:t>Hi Larry,</w:t>
      </w:r>
    </w:p>
    <w:p w14:paraId="75EDDF5C"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 xml:space="preserve">I would specify that when an employed officer makes specific threats of violence that the criterion standard is (under all circumstances I can think of) met to order a Fitness for Duty psychological evaluation (FFDE) by an appropriately trained and competent licensed mental health professional.  Part of that professional’s job is to provide feedback to the first responder agency on whether the criterion standard for a FFDE is met given the facts of the case. As mental health professionals, we expect that if a person is </w:t>
      </w:r>
      <w:proofErr w:type="gramStart"/>
      <w:r w:rsidRPr="00B572BA">
        <w:rPr>
          <w:rFonts w:ascii="Times New Roman" w:hAnsi="Times New Roman"/>
          <w:sz w:val="24"/>
          <w:szCs w:val="24"/>
        </w:rPr>
        <w:t>referred</w:t>
      </w:r>
      <w:proofErr w:type="gramEnd"/>
      <w:r w:rsidRPr="00B572BA">
        <w:rPr>
          <w:rFonts w:ascii="Times New Roman" w:hAnsi="Times New Roman"/>
          <w:sz w:val="24"/>
          <w:szCs w:val="24"/>
        </w:rPr>
        <w:t xml:space="preserve"> for a Fitness for Duty evaluation that they will most likely be placed on administrative leave, and/or other actions have been taken by the agency to limit their duties appropriately. </w:t>
      </w:r>
    </w:p>
    <w:p w14:paraId="419ECC79" w14:textId="77777777" w:rsidR="009453FA" w:rsidRPr="00B572BA" w:rsidRDefault="009453FA" w:rsidP="009453FA">
      <w:pPr>
        <w:rPr>
          <w:rFonts w:ascii="Times New Roman" w:hAnsi="Times New Roman"/>
          <w:sz w:val="24"/>
          <w:szCs w:val="24"/>
        </w:rPr>
      </w:pPr>
    </w:p>
    <w:p w14:paraId="04172822"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This is the criterion standard for a fitness for duty evaluation: “According to the Americans with Disabilities Act (ADA), when an employer has a reasonable belief, based on objective evidence, that a police officer may have a psychological condition that impairs his or her ability to perform essential job functions or poses a direct threat, an FFDE is “job-related and consistent with business necessity” (42 U.S.C. §12112[d][4][A]; 29 C.F.R. §1630.14[c]). Case law has established that an employer need not wait for objective evidence of impaired performance before justifying an FFDE when the employee is engaged in dangerous work.”</w:t>
      </w:r>
    </w:p>
    <w:p w14:paraId="076B6298" w14:textId="77777777" w:rsidR="009453FA" w:rsidRPr="00B572BA" w:rsidRDefault="009453FA" w:rsidP="009453FA">
      <w:pPr>
        <w:rPr>
          <w:rFonts w:ascii="Times New Roman" w:hAnsi="Times New Roman"/>
          <w:sz w:val="24"/>
          <w:szCs w:val="24"/>
        </w:rPr>
      </w:pPr>
    </w:p>
    <w:p w14:paraId="3DB20436"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 xml:space="preserve">I perform FFDE for LEOs and most often agencies aren’t abreast of the criterion standard for ordering an FFDE and order one too prematurely (when someone is an “asshole” but does not have an identifiable mental health impairment) or wait too long as in this case as they may be unaware of their options. FFDEs are designed to safeguard the public and the agency and save departments/taxpayers millions – they cost around $3500 for a psychologist to </w:t>
      </w:r>
      <w:proofErr w:type="gramStart"/>
      <w:r w:rsidRPr="00B572BA">
        <w:rPr>
          <w:rFonts w:ascii="Times New Roman" w:hAnsi="Times New Roman"/>
          <w:sz w:val="24"/>
          <w:szCs w:val="24"/>
        </w:rPr>
        <w:t>perform</w:t>
      </w:r>
      <w:proofErr w:type="gramEnd"/>
      <w:r w:rsidRPr="00B572BA">
        <w:rPr>
          <w:rFonts w:ascii="Times New Roman" w:hAnsi="Times New Roman"/>
          <w:sz w:val="24"/>
          <w:szCs w:val="24"/>
        </w:rPr>
        <w:t xml:space="preserve"> and some departments don’t consider the alternative cost of a lawsuit. </w:t>
      </w:r>
    </w:p>
    <w:p w14:paraId="663936AF"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 xml:space="preserve">Hope this is helpful! I attached a key article written by two leading police psychologists who literally wrote the book on FFDEs for LEO with several case law examples included. </w:t>
      </w:r>
    </w:p>
    <w:p w14:paraId="3BF3C68B" w14:textId="77777777" w:rsidR="009453FA" w:rsidRPr="00B572BA" w:rsidRDefault="009453FA" w:rsidP="001E264B">
      <w:pPr>
        <w:pStyle w:val="NoSpacing"/>
        <w:ind w:left="720"/>
        <w:rPr>
          <w:rFonts w:ascii="Times New Roman" w:hAnsi="Times New Roman"/>
          <w:sz w:val="24"/>
          <w:szCs w:val="24"/>
        </w:rPr>
      </w:pPr>
      <w:r w:rsidRPr="00B572BA">
        <w:rPr>
          <w:rFonts w:ascii="Times New Roman" w:hAnsi="Times New Roman"/>
          <w:sz w:val="24"/>
          <w:szCs w:val="24"/>
        </w:rPr>
        <w:t xml:space="preserve">Current Issues in Psychological Fitness-for-Duty Evaluations of Law Enforcement Officers: Legal and Practice Implications (2016): </w:t>
      </w:r>
      <w:hyperlink r:id="rId2386" w:history="1">
        <w:r w:rsidRPr="00B572BA">
          <w:rPr>
            <w:rStyle w:val="Hyperlink"/>
            <w:rFonts w:ascii="Times New Roman" w:hAnsi="Times New Roman"/>
            <w:sz w:val="24"/>
            <w:szCs w:val="24"/>
          </w:rPr>
          <w:t>Mayer ^0 Corey 2016 Current Issues in FFD evaluations of LEOs.pdf</w:t>
        </w:r>
      </w:hyperlink>
      <w:r w:rsidRPr="00B572BA">
        <w:rPr>
          <w:rFonts w:ascii="Times New Roman" w:hAnsi="Times New Roman"/>
          <w:sz w:val="24"/>
          <w:szCs w:val="24"/>
        </w:rPr>
        <w:t xml:space="preserve"> </w:t>
      </w:r>
    </w:p>
    <w:p w14:paraId="12149CB6" w14:textId="77777777" w:rsidR="009453FA" w:rsidRPr="00B572BA" w:rsidRDefault="009453FA" w:rsidP="009453FA">
      <w:pPr>
        <w:ind w:left="720"/>
        <w:rPr>
          <w:rFonts w:ascii="Times New Roman" w:hAnsi="Times New Roman"/>
          <w:sz w:val="24"/>
          <w:szCs w:val="24"/>
        </w:rPr>
      </w:pPr>
    </w:p>
    <w:p w14:paraId="3BCCC045" w14:textId="77777777" w:rsidR="009453FA" w:rsidRPr="00B572BA" w:rsidRDefault="009453FA" w:rsidP="009453FA">
      <w:pPr>
        <w:ind w:firstLine="720"/>
        <w:rPr>
          <w:rFonts w:ascii="Times New Roman" w:hAnsi="Times New Roman"/>
          <w:sz w:val="24"/>
          <w:szCs w:val="24"/>
        </w:rPr>
      </w:pPr>
      <w:r w:rsidRPr="00B572BA">
        <w:rPr>
          <w:rFonts w:ascii="Times New Roman" w:hAnsi="Times New Roman"/>
          <w:sz w:val="24"/>
          <w:szCs w:val="24"/>
        </w:rPr>
        <w:t>Erica</w:t>
      </w:r>
    </w:p>
    <w:p w14:paraId="3E170A4B"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Erica Birkley, PhD</w:t>
      </w:r>
    </w:p>
    <w:p w14:paraId="14F2BFC2"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Associate Professor</w:t>
      </w:r>
    </w:p>
    <w:p w14:paraId="3FB32728"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Psychologist</w:t>
      </w:r>
    </w:p>
    <w:p w14:paraId="56F1ED6A"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UC Department of Psychiatry and Behavioral Neuroscience</w:t>
      </w:r>
    </w:p>
    <w:p w14:paraId="1A2DEB14"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513-585-7742 (direct office)</w:t>
      </w:r>
    </w:p>
    <w:p w14:paraId="6EA0237F"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513-585-7700 (scheduling desk)</w:t>
      </w:r>
    </w:p>
    <w:p w14:paraId="107EB90C"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513-585-7778 (fax)</w:t>
      </w:r>
    </w:p>
    <w:p w14:paraId="688DC937" w14:textId="77777777" w:rsidR="009453FA" w:rsidRPr="00B572BA" w:rsidRDefault="009453FA" w:rsidP="009453FA">
      <w:pPr>
        <w:pStyle w:val="NoSpacing"/>
        <w:ind w:firstLine="720"/>
        <w:rPr>
          <w:rFonts w:ascii="Times New Roman" w:hAnsi="Times New Roman"/>
          <w:sz w:val="24"/>
          <w:szCs w:val="24"/>
        </w:rPr>
      </w:pPr>
      <w:hyperlink r:id="rId2387" w:history="1">
        <w:r w:rsidRPr="00B572BA">
          <w:rPr>
            <w:rStyle w:val="Hyperlink"/>
            <w:rFonts w:ascii="Times New Roman" w:hAnsi="Times New Roman"/>
            <w:sz w:val="24"/>
            <w:szCs w:val="24"/>
          </w:rPr>
          <w:t>Birkleea@ucmail.uc.edu</w:t>
        </w:r>
      </w:hyperlink>
    </w:p>
    <w:p w14:paraId="226D243D" w14:textId="77777777" w:rsidR="009453FA" w:rsidRPr="00B572BA" w:rsidRDefault="009453FA" w:rsidP="009453FA">
      <w:pPr>
        <w:pStyle w:val="NoSpacing"/>
        <w:ind w:firstLine="720"/>
        <w:rPr>
          <w:rFonts w:ascii="Times New Roman" w:hAnsi="Times New Roman"/>
          <w:sz w:val="24"/>
          <w:szCs w:val="24"/>
        </w:rPr>
      </w:pPr>
    </w:p>
    <w:p w14:paraId="31AE6274" w14:textId="77777777" w:rsidR="00221640" w:rsidRPr="00B572BA" w:rsidRDefault="00221640" w:rsidP="000C4DF5">
      <w:pPr>
        <w:pStyle w:val="NoSpacing"/>
        <w:rPr>
          <w:rFonts w:ascii="Times New Roman" w:hAnsi="Times New Roman"/>
          <w:sz w:val="24"/>
          <w:szCs w:val="24"/>
        </w:rPr>
      </w:pPr>
    </w:p>
    <w:p w14:paraId="10C296ED" w14:textId="77777777" w:rsidR="00221640" w:rsidRDefault="00221640" w:rsidP="000C4DF5">
      <w:pPr>
        <w:pStyle w:val="NoSpacing"/>
        <w:rPr>
          <w:rFonts w:ascii="Arial Black" w:hAnsi="Arial Black"/>
          <w:sz w:val="24"/>
          <w:szCs w:val="24"/>
        </w:rPr>
      </w:pPr>
    </w:p>
    <w:p w14:paraId="5E6AE4AD" w14:textId="77777777" w:rsidR="00221640" w:rsidRDefault="00221640" w:rsidP="000C4DF5">
      <w:pPr>
        <w:pStyle w:val="NoSpacing"/>
        <w:rPr>
          <w:rFonts w:ascii="Arial Black" w:hAnsi="Arial Black"/>
          <w:sz w:val="24"/>
          <w:szCs w:val="24"/>
        </w:rPr>
      </w:pPr>
    </w:p>
    <w:p w14:paraId="7DF0D82F" w14:textId="1424AF6F" w:rsidR="00FF5FCF" w:rsidRDefault="00BD3FE4" w:rsidP="000C4DF5">
      <w:pPr>
        <w:pStyle w:val="NoSpacing"/>
        <w:rPr>
          <w:rFonts w:ascii="Arial Black" w:hAnsi="Arial Black"/>
          <w:sz w:val="24"/>
          <w:szCs w:val="24"/>
        </w:rPr>
      </w:pPr>
      <w:r>
        <w:rPr>
          <w:rFonts w:ascii="Arial Black" w:hAnsi="Arial Black"/>
          <w:sz w:val="24"/>
          <w:szCs w:val="24"/>
        </w:rPr>
        <w:t>15-14</w:t>
      </w:r>
      <w:r w:rsidR="00680939">
        <w:rPr>
          <w:rFonts w:ascii="Arial Black" w:hAnsi="Arial Black"/>
          <w:sz w:val="24"/>
          <w:szCs w:val="24"/>
        </w:rPr>
        <w:t xml:space="preserve"> [also filed Chap. 10]</w:t>
      </w:r>
    </w:p>
    <w:p w14:paraId="65841AB0" w14:textId="77777777" w:rsidR="00BD3FE4" w:rsidRDefault="00BD3FE4" w:rsidP="00BD3FE4">
      <w:pPr>
        <w:pStyle w:val="NormalWeb"/>
        <w:rPr>
          <w:rFonts w:ascii="Arial Black" w:hAnsi="Arial Black"/>
          <w:b/>
          <w:bCs/>
          <w:sz w:val="28"/>
          <w:szCs w:val="28"/>
        </w:rPr>
      </w:pPr>
      <w:r>
        <w:rPr>
          <w:rFonts w:ascii="Arial Black" w:hAnsi="Arial Black"/>
          <w:b/>
          <w:bCs/>
          <w:sz w:val="28"/>
          <w:szCs w:val="28"/>
        </w:rPr>
        <w:t xml:space="preserve">MA: CAPTAIN PSYCHIATRICT EXAM – FIRE CHIEF DENIED IMMUNITY – ALLEGED RETALIATION / BREACH OF FMLA </w:t>
      </w:r>
    </w:p>
    <w:p w14:paraId="1800C362" w14:textId="77777777" w:rsidR="00BD3FE4" w:rsidRDefault="00BD3FE4" w:rsidP="00BD3FE4">
      <w:pPr>
        <w:pStyle w:val="NormalWeb"/>
      </w:pPr>
      <w:r w:rsidRPr="00944162">
        <w:t xml:space="preserve">On </w:t>
      </w:r>
      <w:r>
        <w:t xml:space="preserve">Jan. 26, 2022, in </w:t>
      </w:r>
      <w:r w:rsidRPr="00944162">
        <w:rPr>
          <w:u w:val="single"/>
        </w:rPr>
        <w:t>Andrew Brennan v. City of Everett and Anthony Carli</w:t>
      </w:r>
      <w:r>
        <w:t>, the Appeals Court of Massachusetts held (3 to 0; unpublished decision) that trial judge properly denied the Fire Chief Anthony Carli’s  motion to be dismissed from lawsuit based on qualified immunity.  “</w:t>
      </w:r>
      <w:r w:rsidRPr="00DE5CFC">
        <w:t>Here, Brennan alleged that Carli placed him on leave and provided false information to medical evaluators under the false belief that Brennan was mentally unfit.</w:t>
      </w:r>
      <w:r>
        <w:t xml:space="preserve">” </w:t>
      </w:r>
      <w:hyperlink r:id="rId2388" w:history="1">
        <w:r w:rsidRPr="003B2357">
          <w:rPr>
            <w:rStyle w:val="Hyperlink"/>
            <w:rFonts w:eastAsiaTheme="majorEastAsia"/>
          </w:rPr>
          <w:t>https://public.fastcase.com/9SKwsfNqTc6OieYDhNMyM%2BsbSTu241pOZ38l1fL3GtOxRE1iLhH6RZm0FIyTdVeF1XRK6Ebg7B5equTDg4ZQiMxFMDQEZko4UYsaxrmOuYk%3D</w:t>
        </w:r>
      </w:hyperlink>
      <w:r>
        <w:t xml:space="preserve"> </w:t>
      </w:r>
      <w:r w:rsidRPr="00266965">
        <w:t xml:space="preserve"> </w:t>
      </w:r>
      <w:r>
        <w:t xml:space="preserve"> </w:t>
      </w:r>
    </w:p>
    <w:p w14:paraId="2A469E66" w14:textId="7EC0D23D" w:rsidR="00BD3FE4" w:rsidRDefault="00BD3FE4" w:rsidP="00BD3FE4">
      <w:pPr>
        <w:spacing w:before="100" w:beforeAutospacing="1" w:after="100" w:afterAutospacing="1" w:line="240" w:lineRule="auto"/>
        <w:rPr>
          <w:rFonts w:ascii="Times New Roman" w:hAnsi="Times New Roman"/>
          <w:b/>
          <w:bCs/>
          <w:sz w:val="24"/>
          <w:szCs w:val="24"/>
        </w:rPr>
      </w:pPr>
      <w:r w:rsidRPr="003B747D">
        <w:rPr>
          <w:rFonts w:ascii="Times New Roman" w:hAnsi="Times New Roman"/>
          <w:b/>
          <w:bCs/>
          <w:sz w:val="24"/>
          <w:szCs w:val="24"/>
        </w:rPr>
        <w:t>Legal Lesson Learned:</w:t>
      </w:r>
      <w:r>
        <w:rPr>
          <w:rFonts w:ascii="Times New Roman" w:hAnsi="Times New Roman"/>
          <w:b/>
          <w:bCs/>
          <w:sz w:val="24"/>
          <w:szCs w:val="24"/>
        </w:rPr>
        <w:t xml:space="preserve">  If employee may need psychiatric evaluation, provide specific information to the medical evaluators; and if employee asks about FMLA, provide form to request leave.  </w:t>
      </w:r>
    </w:p>
    <w:p w14:paraId="06CE7F4D" w14:textId="77777777" w:rsidR="00FB73E3" w:rsidRDefault="00FB73E3" w:rsidP="00BD3FE4">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FB73E3">
        <w:rPr>
          <w:rFonts w:ascii="Times New Roman" w:hAnsi="Times New Roman"/>
          <w:sz w:val="24"/>
          <w:szCs w:val="24"/>
        </w:rPr>
        <w:t>Note:</w:t>
      </w:r>
      <w:r>
        <w:rPr>
          <w:rFonts w:ascii="Times New Roman" w:hAnsi="Times New Roman"/>
          <w:sz w:val="24"/>
          <w:szCs w:val="24"/>
        </w:rPr>
        <w:t xml:space="preserve"> The Court wrote:</w:t>
      </w:r>
    </w:p>
    <w:p w14:paraId="464E7BC6" w14:textId="3AF66325" w:rsidR="00FB73E3" w:rsidRPr="003B747D" w:rsidRDefault="00FB73E3" w:rsidP="00FB73E3">
      <w:pPr>
        <w:spacing w:before="100" w:beforeAutospacing="1" w:after="100" w:afterAutospacing="1" w:line="240" w:lineRule="auto"/>
        <w:ind w:left="720"/>
        <w:rPr>
          <w:rFonts w:ascii="Times New Roman" w:hAnsi="Times New Roman"/>
          <w:b/>
          <w:bCs/>
          <w:sz w:val="24"/>
          <w:szCs w:val="24"/>
        </w:rPr>
      </w:pPr>
      <w:r w:rsidRPr="00DE5CFC">
        <w:rPr>
          <w:rFonts w:ascii="Times New Roman" w:eastAsia="Times New Roman" w:hAnsi="Times New Roman"/>
          <w:i/>
          <w:iCs/>
          <w:sz w:val="24"/>
          <w:szCs w:val="24"/>
        </w:rPr>
        <w:t>FMLA interference claim</w:t>
      </w:r>
      <w:r w:rsidRPr="00DE5CFC">
        <w:rPr>
          <w:rFonts w:ascii="Times New Roman" w:eastAsia="Times New Roman" w:hAnsi="Times New Roman"/>
          <w:sz w:val="24"/>
          <w:szCs w:val="24"/>
        </w:rPr>
        <w:t xml:space="preserve">. Employers are required to notify employees of their FMLA rights and to respond promptly to employee questions about the applicability and procedures for FMLA leave. See 29 C.F.R. §§ 825.300 (c)(1), (d) (2019). More specifically, an employer must provide an employee who requests FMLA leave with notice of eligibility within five business days absent extenuating circumstances. See 29 C.F.R. § 825.300(b)(1) (2019). Here, Brennan claimed that Carli interfered with his FMLA rights by refusing to provide him with information about these rights upon </w:t>
      </w:r>
      <w:proofErr w:type="gramStart"/>
      <w:r w:rsidRPr="00DE5CFC">
        <w:rPr>
          <w:rFonts w:ascii="Times New Roman" w:eastAsia="Times New Roman" w:hAnsi="Times New Roman"/>
          <w:sz w:val="24"/>
          <w:szCs w:val="24"/>
        </w:rPr>
        <w:t>request</w:t>
      </w:r>
      <w:proofErr w:type="gramEnd"/>
      <w:r w:rsidRPr="00DE5CFC">
        <w:rPr>
          <w:rFonts w:ascii="Times New Roman" w:eastAsia="Times New Roman" w:hAnsi="Times New Roman"/>
          <w:sz w:val="24"/>
          <w:szCs w:val="24"/>
        </w:rPr>
        <w:t xml:space="preserve"> thereby causing </w:t>
      </w:r>
      <w:proofErr w:type="gramStart"/>
      <w:r w:rsidRPr="00DE5CFC">
        <w:rPr>
          <w:rFonts w:ascii="Times New Roman" w:eastAsia="Times New Roman" w:hAnsi="Times New Roman"/>
          <w:sz w:val="24"/>
          <w:szCs w:val="24"/>
        </w:rPr>
        <w:t>damages</w:t>
      </w:r>
      <w:proofErr w:type="gramEnd"/>
      <w:r w:rsidRPr="00DE5CFC">
        <w:rPr>
          <w:rFonts w:ascii="Times New Roman" w:eastAsia="Times New Roman" w:hAnsi="Times New Roman"/>
          <w:sz w:val="24"/>
          <w:szCs w:val="24"/>
        </w:rPr>
        <w:t xml:space="preserve">. On these facts, the complaint alleged violations of clearly established law of which a reasonable fire chief would be aware. Cf. </w:t>
      </w:r>
      <w:r w:rsidRPr="00DE5CFC">
        <w:rPr>
          <w:rFonts w:ascii="Times New Roman" w:eastAsia="Times New Roman" w:hAnsi="Times New Roman"/>
          <w:i/>
          <w:iCs/>
          <w:sz w:val="24"/>
          <w:szCs w:val="24"/>
        </w:rPr>
        <w:t>Crevier</w:t>
      </w:r>
      <w:r w:rsidRPr="00DE5CFC">
        <w:rPr>
          <w:rFonts w:ascii="Times New Roman" w:eastAsia="Times New Roman" w:hAnsi="Times New Roman"/>
          <w:sz w:val="24"/>
          <w:szCs w:val="24"/>
        </w:rPr>
        <w:t xml:space="preserve"> </w:t>
      </w:r>
      <w:r w:rsidRPr="00DE5CFC">
        <w:rPr>
          <w:rFonts w:ascii="Times New Roman" w:eastAsia="Times New Roman" w:hAnsi="Times New Roman"/>
          <w:i/>
          <w:iCs/>
          <w:sz w:val="24"/>
          <w:szCs w:val="24"/>
        </w:rPr>
        <w:t>v. Spencer</w:t>
      </w:r>
      <w:r w:rsidRPr="00DE5CFC">
        <w:rPr>
          <w:rFonts w:ascii="Times New Roman" w:eastAsia="Times New Roman" w:hAnsi="Times New Roman"/>
          <w:sz w:val="24"/>
          <w:szCs w:val="24"/>
        </w:rPr>
        <w:t>, 600 F.Supp.2d 242, 257 (D. Mass. 2008) (</w:t>
      </w:r>
      <w:r>
        <w:rPr>
          <w:rFonts w:ascii="Times New Roman" w:eastAsia="Times New Roman" w:hAnsi="Times New Roman"/>
          <w:sz w:val="24"/>
          <w:szCs w:val="24"/>
        </w:rPr>
        <w:t>‘</w:t>
      </w:r>
      <w:r w:rsidRPr="00DE5CFC">
        <w:rPr>
          <w:rFonts w:ascii="Times New Roman" w:eastAsia="Times New Roman" w:hAnsi="Times New Roman"/>
          <w:sz w:val="24"/>
          <w:szCs w:val="24"/>
        </w:rPr>
        <w:t>employer's failure to explain FMLA procedures can constitute interference with employee's FMLA rights</w:t>
      </w:r>
      <w:r>
        <w:rPr>
          <w:rFonts w:ascii="Times New Roman" w:eastAsia="Times New Roman" w:hAnsi="Times New Roman"/>
          <w:sz w:val="24"/>
          <w:szCs w:val="24"/>
        </w:rPr>
        <w:t>’</w:t>
      </w:r>
      <w:r w:rsidRPr="00DE5CFC">
        <w:rPr>
          <w:rFonts w:ascii="Times New Roman" w:eastAsia="Times New Roman" w:hAnsi="Times New Roman"/>
          <w:sz w:val="24"/>
          <w:szCs w:val="24"/>
        </w:rPr>
        <w:t xml:space="preserve"> [quotation and citation omitted]).</w:t>
      </w:r>
      <w:r>
        <w:rPr>
          <w:rFonts w:ascii="Times New Roman" w:eastAsia="Times New Roman" w:hAnsi="Times New Roman"/>
          <w:sz w:val="24"/>
          <w:szCs w:val="24"/>
        </w:rPr>
        <w:t xml:space="preserve">” </w:t>
      </w:r>
      <w:hyperlink r:id="rId2389" w:history="1">
        <w:r w:rsidRPr="003B2357">
          <w:rPr>
            <w:rStyle w:val="Hyperlink"/>
            <w:rFonts w:ascii="Times New Roman" w:eastAsia="Times New Roman" w:hAnsi="Times New Roman"/>
            <w:sz w:val="24"/>
            <w:szCs w:val="24"/>
          </w:rPr>
          <w:t>https://public.fastcase.com/9SKwsfNqTc6OieYDhNMyM%2BsbSTu241pOZ38l1fL3GtOxRE1iLhH6RZm0FIyTdVeF1XRK6Ebg7B5equTDg4ZQiMxFMDQEZko4UYsaxrmOuYk%3D</w:t>
        </w:r>
      </w:hyperlink>
    </w:p>
    <w:p w14:paraId="4E4C707C" w14:textId="77777777" w:rsidR="00BD3FE4" w:rsidRDefault="00BD3FE4" w:rsidP="000C4DF5">
      <w:pPr>
        <w:pStyle w:val="NoSpacing"/>
        <w:rPr>
          <w:rFonts w:ascii="Arial Black" w:hAnsi="Arial Black"/>
          <w:sz w:val="24"/>
          <w:szCs w:val="24"/>
        </w:rPr>
      </w:pPr>
    </w:p>
    <w:p w14:paraId="25D50362" w14:textId="77777777" w:rsidR="00BD3FE4" w:rsidRDefault="00BD3FE4" w:rsidP="000C4DF5">
      <w:pPr>
        <w:pStyle w:val="NoSpacing"/>
        <w:rPr>
          <w:rFonts w:ascii="Arial Black" w:hAnsi="Arial Black"/>
          <w:sz w:val="24"/>
          <w:szCs w:val="24"/>
        </w:rPr>
      </w:pPr>
    </w:p>
    <w:p w14:paraId="3975DF93" w14:textId="77777777" w:rsidR="00BD3FE4" w:rsidRDefault="00BD3FE4" w:rsidP="000C4DF5">
      <w:pPr>
        <w:pStyle w:val="NoSpacing"/>
        <w:rPr>
          <w:rFonts w:ascii="Arial Black" w:hAnsi="Arial Black"/>
          <w:sz w:val="24"/>
          <w:szCs w:val="24"/>
        </w:rPr>
      </w:pPr>
    </w:p>
    <w:p w14:paraId="4484AD43" w14:textId="77EF7C06" w:rsidR="00FF5FCF" w:rsidRDefault="00FF5FCF" w:rsidP="000C4DF5">
      <w:pPr>
        <w:pStyle w:val="NoSpacing"/>
        <w:rPr>
          <w:rFonts w:ascii="Arial Black" w:hAnsi="Arial Black"/>
          <w:sz w:val="24"/>
          <w:szCs w:val="24"/>
        </w:rPr>
      </w:pPr>
      <w:r>
        <w:rPr>
          <w:rFonts w:ascii="Arial Black" w:hAnsi="Arial Black"/>
          <w:sz w:val="24"/>
          <w:szCs w:val="24"/>
        </w:rPr>
        <w:t>15-13</w:t>
      </w:r>
    </w:p>
    <w:p w14:paraId="2B2759EB" w14:textId="77777777" w:rsidR="00FF5FCF" w:rsidRPr="00CD0CC5" w:rsidRDefault="00FF5FCF" w:rsidP="00FF5FCF">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b/>
          <w:bCs/>
          <w:sz w:val="28"/>
          <w:szCs w:val="28"/>
        </w:rPr>
        <w:t xml:space="preserve">NY:  PTSD - </w:t>
      </w:r>
      <w:r>
        <w:rPr>
          <w:rFonts w:ascii="Arial Black" w:eastAsia="Times New Roman" w:hAnsi="Arial Black"/>
          <w:sz w:val="28"/>
          <w:szCs w:val="28"/>
        </w:rPr>
        <w:t>BASED ON SEVERAL INCIDENTS 26 YRS ON FD –</w:t>
      </w:r>
      <w:r>
        <w:rPr>
          <w:rFonts w:ascii="Arial Black" w:eastAsia="Times New Roman" w:hAnsi="Arial Black"/>
          <w:b/>
          <w:bCs/>
          <w:sz w:val="28"/>
          <w:szCs w:val="28"/>
        </w:rPr>
        <w:t>WOR</w:t>
      </w:r>
      <w:r>
        <w:rPr>
          <w:rFonts w:ascii="Arial Black" w:eastAsia="Times New Roman" w:hAnsi="Arial Black"/>
          <w:sz w:val="28"/>
          <w:szCs w:val="28"/>
        </w:rPr>
        <w:t>KER’S COMP – DON’T NEED “EXTRAORDINARY” EVENT</w:t>
      </w:r>
    </w:p>
    <w:p w14:paraId="1FB14744" w14:textId="77777777" w:rsidR="00FF5FCF" w:rsidRPr="002D426A" w:rsidRDefault="00FF5FCF" w:rsidP="00FF5FCF">
      <w:pPr>
        <w:spacing w:before="100" w:beforeAutospacing="1" w:after="100" w:afterAutospacing="1" w:line="240" w:lineRule="auto"/>
        <w:rPr>
          <w:rFonts w:ascii="Times New Roman" w:eastAsia="Times New Roman" w:hAnsi="Times New Roman"/>
          <w:sz w:val="24"/>
          <w:szCs w:val="24"/>
        </w:rPr>
      </w:pPr>
      <w:r w:rsidRPr="00CD0CC5">
        <w:rPr>
          <w:rFonts w:ascii="Times New Roman" w:eastAsia="Times New Roman" w:hAnsi="Times New Roman"/>
          <w:sz w:val="24"/>
          <w:szCs w:val="24"/>
        </w:rPr>
        <w:t xml:space="preserve">On Dec. </w:t>
      </w:r>
      <w:r>
        <w:rPr>
          <w:rFonts w:ascii="Times New Roman" w:eastAsia="Times New Roman" w:hAnsi="Times New Roman"/>
          <w:sz w:val="24"/>
          <w:szCs w:val="24"/>
        </w:rPr>
        <w:t xml:space="preserve">23, 2021, </w:t>
      </w:r>
      <w:r w:rsidRPr="00CD0CC5">
        <w:rPr>
          <w:rFonts w:ascii="Times New Roman" w:eastAsia="Times New Roman" w:hAnsi="Times New Roman"/>
          <w:sz w:val="24"/>
          <w:szCs w:val="24"/>
          <w:u w:val="single"/>
        </w:rPr>
        <w:t>In the Matter of the Claim of Brian C. Reith v. City of Albany, and Workers. Compensation Board</w:t>
      </w:r>
      <w:r>
        <w:rPr>
          <w:rFonts w:ascii="Times New Roman" w:eastAsia="Times New Roman" w:hAnsi="Times New Roman"/>
          <w:sz w:val="24"/>
          <w:szCs w:val="24"/>
        </w:rPr>
        <w:t xml:space="preserve">, the Supreme Court of New York (Third Department, held (4 to 0) that the Workers Compensation Board is reversed and the firefighter is entitled to workers comp since he </w:t>
      </w:r>
      <w:r w:rsidRPr="00C46511">
        <w:rPr>
          <w:rFonts w:ascii="Times New Roman" w:eastAsia="Times New Roman" w:hAnsi="Times New Roman"/>
          <w:sz w:val="24"/>
          <w:szCs w:val="24"/>
        </w:rPr>
        <w:t>did “</w:t>
      </w:r>
      <w:r w:rsidRPr="00C46511">
        <w:rPr>
          <w:rFonts w:ascii="Times New Roman" w:hAnsi="Times New Roman"/>
          <w:sz w:val="24"/>
          <w:szCs w:val="24"/>
        </w:rPr>
        <w:t xml:space="preserve">sustain a </w:t>
      </w:r>
      <w:proofErr w:type="gramStart"/>
      <w:r w:rsidRPr="002D426A">
        <w:rPr>
          <w:rFonts w:ascii="Times New Roman" w:hAnsi="Times New Roman"/>
          <w:sz w:val="24"/>
          <w:szCs w:val="24"/>
        </w:rPr>
        <w:t>causally-related</w:t>
      </w:r>
      <w:proofErr w:type="gramEnd"/>
      <w:r w:rsidRPr="002D426A">
        <w:rPr>
          <w:rFonts w:ascii="Times New Roman" w:hAnsi="Times New Roman"/>
          <w:sz w:val="24"/>
          <w:szCs w:val="24"/>
        </w:rPr>
        <w:t xml:space="preserve"> psychological injury” based on several incidents. </w:t>
      </w:r>
      <w:r>
        <w:rPr>
          <w:rFonts w:ascii="Times New Roman" w:hAnsi="Times New Roman"/>
          <w:sz w:val="24"/>
          <w:szCs w:val="24"/>
        </w:rPr>
        <w:t xml:space="preserve"> New York in 2017 amended statute so no longer must prove stressful incident was “greater than that which other similarly situated workers experienced in the normal work environment.”</w:t>
      </w:r>
    </w:p>
    <w:p w14:paraId="6F07CCB3" w14:textId="77777777" w:rsidR="00FF5FCF" w:rsidRPr="00C46511" w:rsidRDefault="00FF5FCF" w:rsidP="00FF5FCF">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C46511">
        <w:rPr>
          <w:rFonts w:ascii="Times New Roman" w:hAnsi="Times New Roman"/>
          <w:sz w:val="24"/>
          <w:szCs w:val="24"/>
        </w:rPr>
        <w:t xml:space="preserve">During the hearing, claimant explained that he had witnessed several traumatic incidents during his nearly 26-year career as a firefighter, including a suicide, a triple homicide of children, car accidents with fatalities and individuals who had been "dead for days stuck to the floor." He also recounted spraining his ankle after he slipped on brain matter while rendering aid to a victim, experiencing CPR regurgitation while attempting to resuscitate a fellow firefighter and dragging a woman out of a fire, which resulted in </w:t>
      </w:r>
      <w:r>
        <w:rPr>
          <w:rFonts w:ascii="Times New Roman" w:hAnsi="Times New Roman"/>
          <w:sz w:val="24"/>
          <w:szCs w:val="24"/>
        </w:rPr>
        <w:t>‘</w:t>
      </w:r>
      <w:proofErr w:type="spellStart"/>
      <w:r w:rsidRPr="00C46511">
        <w:rPr>
          <w:rFonts w:ascii="Times New Roman" w:hAnsi="Times New Roman"/>
          <w:sz w:val="24"/>
          <w:szCs w:val="24"/>
        </w:rPr>
        <w:t>deglov</w:t>
      </w:r>
      <w:proofErr w:type="spellEnd"/>
      <w:r w:rsidRPr="00C46511">
        <w:rPr>
          <w:rFonts w:ascii="Times New Roman" w:hAnsi="Times New Roman"/>
          <w:sz w:val="24"/>
          <w:szCs w:val="24"/>
        </w:rPr>
        <w:t>[</w:t>
      </w:r>
      <w:proofErr w:type="spellStart"/>
      <w:r w:rsidRPr="00C46511">
        <w:rPr>
          <w:rFonts w:ascii="Times New Roman" w:hAnsi="Times New Roman"/>
          <w:sz w:val="24"/>
          <w:szCs w:val="24"/>
        </w:rPr>
        <w:t>ing</w:t>
      </w:r>
      <w:proofErr w:type="spellEnd"/>
      <w:r w:rsidRPr="00C46511">
        <w:rPr>
          <w:rFonts w:ascii="Times New Roman" w:hAnsi="Times New Roman"/>
          <w:sz w:val="24"/>
          <w:szCs w:val="24"/>
        </w:rPr>
        <w:t>] her.</w:t>
      </w:r>
      <w:r>
        <w:rPr>
          <w:rFonts w:ascii="Times New Roman" w:hAnsi="Times New Roman"/>
          <w:sz w:val="24"/>
          <w:szCs w:val="24"/>
        </w:rPr>
        <w:t xml:space="preserve">’ *** We reverse. </w:t>
      </w:r>
      <w:r w:rsidRPr="002D426A">
        <w:rPr>
          <w:rFonts w:ascii="Times New Roman" w:hAnsi="Times New Roman"/>
          <w:sz w:val="24"/>
          <w:szCs w:val="24"/>
        </w:rPr>
        <w:t xml:space="preserve">Prior to the enactment of Workers' Compensation Law § 10 (3) (b) in April 2017 (see L 2017, </w:t>
      </w:r>
      <w:proofErr w:type="spellStart"/>
      <w:r w:rsidRPr="002D426A">
        <w:rPr>
          <w:rFonts w:ascii="Times New Roman" w:hAnsi="Times New Roman"/>
          <w:sz w:val="24"/>
          <w:szCs w:val="24"/>
        </w:rPr>
        <w:t>ch</w:t>
      </w:r>
      <w:proofErr w:type="spellEnd"/>
      <w:r w:rsidRPr="002D426A">
        <w:rPr>
          <w:rFonts w:ascii="Times New Roman" w:hAnsi="Times New Roman"/>
          <w:sz w:val="24"/>
          <w:szCs w:val="24"/>
        </w:rPr>
        <w:t xml:space="preserve"> 59, part NNN, subpart I, § 1), a claimant seeking to recover for a psychological injury was required to </w:t>
      </w:r>
      <w:r>
        <w:rPr>
          <w:rFonts w:ascii="Times New Roman" w:hAnsi="Times New Roman"/>
          <w:sz w:val="24"/>
          <w:szCs w:val="24"/>
        </w:rPr>
        <w:t>‘</w:t>
      </w:r>
      <w:r w:rsidRPr="002D426A">
        <w:rPr>
          <w:rFonts w:ascii="Times New Roman" w:hAnsi="Times New Roman"/>
          <w:sz w:val="24"/>
          <w:szCs w:val="24"/>
        </w:rPr>
        <w:t>demonstrate that the stress that caused the claimed mental injury was greater than that which other similarly situated workers experienced in the normal work environment</w:t>
      </w:r>
      <w:r>
        <w:rPr>
          <w:rFonts w:ascii="Times New Roman" w:hAnsi="Times New Roman"/>
          <w:sz w:val="24"/>
          <w:szCs w:val="24"/>
        </w:rPr>
        <w:t xml:space="preserve">’ … </w:t>
      </w:r>
      <w:r w:rsidRPr="002D426A">
        <w:rPr>
          <w:rFonts w:ascii="Times New Roman" w:hAnsi="Times New Roman"/>
          <w:sz w:val="24"/>
          <w:szCs w:val="24"/>
        </w:rPr>
        <w:t xml:space="preserve">The statutory amendment, however, effectively removed that hurdle for certain first responders by providing, as relevant here, that where a firefighter </w:t>
      </w:r>
      <w:r>
        <w:rPr>
          <w:rFonts w:ascii="Times New Roman" w:hAnsi="Times New Roman"/>
          <w:sz w:val="24"/>
          <w:szCs w:val="24"/>
        </w:rPr>
        <w:t>‘</w:t>
      </w:r>
      <w:r w:rsidRPr="002D426A">
        <w:rPr>
          <w:rFonts w:ascii="Times New Roman" w:hAnsi="Times New Roman"/>
          <w:sz w:val="24"/>
          <w:szCs w:val="24"/>
        </w:rPr>
        <w:t>files a claim for mental injury premised upon extraordinary work-related stress incurred in a work-related emergency, the [B]</w:t>
      </w:r>
      <w:proofErr w:type="spellStart"/>
      <w:r w:rsidRPr="002D426A">
        <w:rPr>
          <w:rFonts w:ascii="Times New Roman" w:hAnsi="Times New Roman"/>
          <w:sz w:val="24"/>
          <w:szCs w:val="24"/>
        </w:rPr>
        <w:t>oard</w:t>
      </w:r>
      <w:proofErr w:type="spellEnd"/>
      <w:r w:rsidRPr="002D426A">
        <w:rPr>
          <w:rFonts w:ascii="Times New Roman" w:hAnsi="Times New Roman"/>
          <w:sz w:val="24"/>
          <w:szCs w:val="24"/>
        </w:rPr>
        <w:t xml:space="preserve"> may not disallow the claim, upon a factual finding that the stress was not greater than that which usually occurs in the normal work environment</w:t>
      </w:r>
      <w:r>
        <w:rPr>
          <w:rFonts w:ascii="Times New Roman" w:hAnsi="Times New Roman"/>
          <w:sz w:val="24"/>
          <w:szCs w:val="24"/>
        </w:rPr>
        <w:t>’</w:t>
      </w:r>
      <w:r w:rsidRPr="002D426A">
        <w:rPr>
          <w:rFonts w:ascii="Times New Roman" w:hAnsi="Times New Roman"/>
          <w:sz w:val="24"/>
          <w:szCs w:val="24"/>
        </w:rPr>
        <w:t xml:space="preserve"> (Workers' Compensation Law § 10 [3] [b]; see Matter of </w:t>
      </w:r>
      <w:r w:rsidRPr="002D426A">
        <w:rPr>
          <w:rFonts w:ascii="Times New Roman" w:hAnsi="Times New Roman"/>
          <w:sz w:val="24"/>
          <w:szCs w:val="24"/>
        </w:rPr>
        <w:lastRenderedPageBreak/>
        <w:t>McMillan v Town of New Castle, 162 A.D.3d 1425, 1426 [2018]).</w:t>
      </w:r>
      <w:r>
        <w:rPr>
          <w:rFonts w:ascii="Times New Roman" w:hAnsi="Times New Roman"/>
          <w:sz w:val="24"/>
          <w:szCs w:val="24"/>
        </w:rPr>
        <w:t xml:space="preserve">” </w:t>
      </w:r>
      <w:hyperlink r:id="rId2390" w:history="1">
        <w:r w:rsidRPr="00EC5853">
          <w:rPr>
            <w:rStyle w:val="Hyperlink"/>
            <w:rFonts w:ascii="Times New Roman" w:hAnsi="Times New Roman"/>
            <w:sz w:val="24"/>
            <w:szCs w:val="24"/>
          </w:rPr>
          <w:t>https://law.justia.com/cases/new-york/appellate-division-third-department/2021/532779.html</w:t>
        </w:r>
      </w:hyperlink>
      <w:r>
        <w:rPr>
          <w:rFonts w:ascii="Times New Roman" w:hAnsi="Times New Roman"/>
          <w:sz w:val="24"/>
          <w:szCs w:val="24"/>
        </w:rPr>
        <w:t xml:space="preserve"> </w:t>
      </w:r>
    </w:p>
    <w:p w14:paraId="277BA0BB" w14:textId="77777777" w:rsidR="00AC5DED" w:rsidRPr="00E21469" w:rsidRDefault="00AC5DED" w:rsidP="00AC5DED">
      <w:pPr>
        <w:spacing w:before="100" w:beforeAutospacing="1" w:after="100" w:afterAutospacing="1" w:line="240" w:lineRule="auto"/>
        <w:rPr>
          <w:rFonts w:ascii="Times New Roman" w:eastAsia="Times New Roman" w:hAnsi="Times New Roman"/>
          <w:b/>
          <w:bCs/>
          <w:sz w:val="24"/>
          <w:szCs w:val="24"/>
        </w:rPr>
      </w:pPr>
      <w:r w:rsidRPr="00E21469">
        <w:rPr>
          <w:rFonts w:ascii="Times New Roman" w:hAnsi="Times New Roman"/>
          <w:b/>
          <w:bCs/>
          <w:sz w:val="24"/>
          <w:szCs w:val="24"/>
        </w:rPr>
        <w:t>Legal Lesson Learned:</w:t>
      </w:r>
      <w:r>
        <w:rPr>
          <w:rFonts w:ascii="Times New Roman" w:hAnsi="Times New Roman"/>
          <w:b/>
          <w:bCs/>
          <w:sz w:val="24"/>
          <w:szCs w:val="24"/>
        </w:rPr>
        <w:t xml:space="preserve"> Great decision, and helpful statute, recognizing that PTSD can arise from multiple incidents. </w:t>
      </w:r>
    </w:p>
    <w:p w14:paraId="4CD1FAD4" w14:textId="77777777" w:rsidR="00AC5DED" w:rsidRDefault="00AC5DED" w:rsidP="00AC5DE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The Workers Comp. Board wisely recognized the 2017 statutory amendment applied to multiple incidents, not just a singular event. </w:t>
      </w:r>
    </w:p>
    <w:p w14:paraId="2E906923" w14:textId="77777777" w:rsidR="00AC5DED" w:rsidRDefault="00AC5DED" w:rsidP="00AC5DED">
      <w:pPr>
        <w:spacing w:before="100" w:beforeAutospacing="1" w:after="100" w:afterAutospacing="1" w:line="240" w:lineRule="auto"/>
        <w:ind w:left="1440"/>
        <w:rPr>
          <w:rFonts w:ascii="Times New Roman" w:hAnsi="Times New Roman"/>
          <w:sz w:val="24"/>
          <w:szCs w:val="24"/>
        </w:rPr>
      </w:pPr>
      <w:r>
        <w:rPr>
          <w:rFonts w:ascii="Times New Roman" w:hAnsi="Times New Roman"/>
          <w:sz w:val="24"/>
          <w:szCs w:val="24"/>
        </w:rPr>
        <w:t>Footnote 1: “</w:t>
      </w:r>
      <w:r w:rsidRPr="00E21469">
        <w:rPr>
          <w:rFonts w:ascii="Times New Roman" w:hAnsi="Times New Roman"/>
          <w:sz w:val="24"/>
          <w:szCs w:val="24"/>
        </w:rPr>
        <w:t xml:space="preserve">The Board initially ruled - citing the singular form of the phrase </w:t>
      </w:r>
      <w:r>
        <w:rPr>
          <w:rFonts w:ascii="Times New Roman" w:hAnsi="Times New Roman"/>
          <w:sz w:val="24"/>
          <w:szCs w:val="24"/>
        </w:rPr>
        <w:t>‘</w:t>
      </w:r>
      <w:r w:rsidRPr="00E21469">
        <w:rPr>
          <w:rFonts w:ascii="Times New Roman" w:hAnsi="Times New Roman"/>
          <w:sz w:val="24"/>
          <w:szCs w:val="24"/>
        </w:rPr>
        <w:t>in a work-related emergency</w:t>
      </w:r>
      <w:r>
        <w:rPr>
          <w:rFonts w:ascii="Times New Roman" w:hAnsi="Times New Roman"/>
          <w:sz w:val="24"/>
          <w:szCs w:val="24"/>
        </w:rPr>
        <w:t>’</w:t>
      </w:r>
      <w:r w:rsidRPr="00E21469">
        <w:rPr>
          <w:rFonts w:ascii="Times New Roman" w:hAnsi="Times New Roman"/>
          <w:sz w:val="24"/>
          <w:szCs w:val="24"/>
        </w:rPr>
        <w:t xml:space="preserve"> - that the statutory amendment did not apply where the injury sustained was the product of stress-inducing events incurred over </w:t>
      </w:r>
      <w:proofErr w:type="gramStart"/>
      <w:r w:rsidRPr="00E21469">
        <w:rPr>
          <w:rFonts w:ascii="Times New Roman" w:hAnsi="Times New Roman"/>
          <w:sz w:val="24"/>
          <w:szCs w:val="24"/>
        </w:rPr>
        <w:t>a period of time</w:t>
      </w:r>
      <w:proofErr w:type="gramEnd"/>
      <w:r w:rsidRPr="00E21469">
        <w:rPr>
          <w:rFonts w:ascii="Times New Roman" w:hAnsi="Times New Roman"/>
          <w:sz w:val="24"/>
          <w:szCs w:val="24"/>
        </w:rPr>
        <w:t xml:space="preserve">. Upon reconsideration, the Board effectively reversed course, ruling that the amendment could apply where, as here, a claimant </w:t>
      </w:r>
      <w:r>
        <w:rPr>
          <w:rFonts w:ascii="Times New Roman" w:hAnsi="Times New Roman"/>
          <w:sz w:val="24"/>
          <w:szCs w:val="24"/>
        </w:rPr>
        <w:t>‘</w:t>
      </w:r>
      <w:r w:rsidRPr="00E21469">
        <w:rPr>
          <w:rFonts w:ascii="Times New Roman" w:hAnsi="Times New Roman"/>
          <w:sz w:val="24"/>
          <w:szCs w:val="24"/>
        </w:rPr>
        <w:t>alleges multiple incidents of exposure rather than one singular event</w:t>
      </w:r>
      <w:r>
        <w:rPr>
          <w:rFonts w:ascii="Times New Roman" w:hAnsi="Times New Roman"/>
          <w:sz w:val="24"/>
          <w:szCs w:val="24"/>
        </w:rPr>
        <w:t>’</w:t>
      </w:r>
      <w:r w:rsidRPr="00E21469">
        <w:rPr>
          <w:rFonts w:ascii="Times New Roman" w:hAnsi="Times New Roman"/>
          <w:sz w:val="24"/>
          <w:szCs w:val="24"/>
        </w:rPr>
        <w:t xml:space="preserve"> (citing Employer: Town of New Castle, 2018 WL 6132752, *4, 2018 NY Wrk Comp LEXIS 11628, *10 [WCB No. G140 4105, Nov. 16, 2018]).</w:t>
      </w:r>
      <w:r>
        <w:rPr>
          <w:rFonts w:ascii="Times New Roman" w:hAnsi="Times New Roman"/>
          <w:sz w:val="24"/>
          <w:szCs w:val="24"/>
        </w:rPr>
        <w:t>”</w:t>
      </w:r>
    </w:p>
    <w:p w14:paraId="751E408C" w14:textId="77777777" w:rsidR="00AC5DED" w:rsidRDefault="00AC5DED" w:rsidP="00AC5DED">
      <w:pPr>
        <w:ind w:left="720"/>
      </w:pPr>
      <w:r>
        <w:rPr>
          <w:rFonts w:ascii="Times New Roman" w:hAnsi="Times New Roman"/>
          <w:sz w:val="24"/>
          <w:szCs w:val="24"/>
        </w:rPr>
        <w:t xml:space="preserve">In Ohio, Governor DeWine on Jan. 9, </w:t>
      </w:r>
      <w:proofErr w:type="gramStart"/>
      <w:r>
        <w:rPr>
          <w:rFonts w:ascii="Times New Roman" w:hAnsi="Times New Roman"/>
          <w:sz w:val="24"/>
          <w:szCs w:val="24"/>
        </w:rPr>
        <w:t>2021</w:t>
      </w:r>
      <w:proofErr w:type="gramEnd"/>
      <w:r>
        <w:rPr>
          <w:rFonts w:ascii="Times New Roman" w:hAnsi="Times New Roman"/>
          <w:sz w:val="24"/>
          <w:szCs w:val="24"/>
        </w:rPr>
        <w:t xml:space="preserve"> signed into law House Bill 308, which created a fund for first responders who become disabled from PTSD, without any need to also have physical injury. See statutory language: </w:t>
      </w:r>
      <w:hyperlink r:id="rId2391" w:history="1">
        <w:r w:rsidRPr="00EC5853">
          <w:rPr>
            <w:rStyle w:val="Hyperlink"/>
            <w:rFonts w:ascii="Times New Roman" w:hAnsi="Times New Roman"/>
            <w:sz w:val="24"/>
            <w:szCs w:val="24"/>
          </w:rPr>
          <w:t>https://search-prod.lis.state.oh.us/solarapi/v1/general_assembly_133/bills/hb308/EN/06?format=pdf</w:t>
        </w:r>
      </w:hyperlink>
      <w:r>
        <w:rPr>
          <w:rFonts w:ascii="Times New Roman" w:hAnsi="Times New Roman"/>
          <w:sz w:val="24"/>
          <w:szCs w:val="24"/>
        </w:rPr>
        <w:t xml:space="preserve"> </w:t>
      </w:r>
    </w:p>
    <w:p w14:paraId="249F3D16" w14:textId="77777777" w:rsidR="00AC5DED" w:rsidRPr="00BF5169" w:rsidRDefault="00AC5DED" w:rsidP="00AC5DED">
      <w:pPr>
        <w:spacing w:before="100" w:beforeAutospacing="1" w:after="100" w:afterAutospacing="1" w:line="240" w:lineRule="auto"/>
        <w:ind w:left="1440"/>
        <w:rPr>
          <w:rFonts w:ascii="Times New Roman" w:hAnsi="Times New Roman"/>
          <w:sz w:val="24"/>
          <w:szCs w:val="24"/>
        </w:rPr>
      </w:pPr>
      <w:r w:rsidRPr="00BF5169">
        <w:rPr>
          <w:rFonts w:ascii="Times New Roman" w:hAnsi="Times New Roman"/>
          <w:sz w:val="24"/>
          <w:szCs w:val="24"/>
        </w:rPr>
        <w:t>Sec. 126.65. (A) The state post-traumatic stress fund is created in the state treasury. The</w:t>
      </w:r>
      <w:r>
        <w:rPr>
          <w:rFonts w:ascii="Times New Roman" w:hAnsi="Times New Roman"/>
          <w:sz w:val="24"/>
          <w:szCs w:val="24"/>
        </w:rPr>
        <w:t xml:space="preserve"> </w:t>
      </w:r>
      <w:r w:rsidRPr="00BF5169">
        <w:rPr>
          <w:rFonts w:ascii="Times New Roman" w:hAnsi="Times New Roman"/>
          <w:sz w:val="24"/>
          <w:szCs w:val="24"/>
        </w:rPr>
        <w:t>director of budget and management shall be the trustee of the fund.</w:t>
      </w:r>
      <w:r w:rsidRPr="00BF5169">
        <w:rPr>
          <w:rFonts w:ascii="Times New Roman" w:hAnsi="Times New Roman"/>
          <w:sz w:val="24"/>
          <w:szCs w:val="24"/>
        </w:rPr>
        <w:br/>
        <w:t>(B) The state post-traumatic stress fund shall be used for the following purposes:</w:t>
      </w:r>
      <w:r w:rsidRPr="00BF5169">
        <w:rPr>
          <w:rFonts w:ascii="Times New Roman" w:hAnsi="Times New Roman"/>
          <w:sz w:val="24"/>
          <w:szCs w:val="24"/>
        </w:rPr>
        <w:br/>
        <w:t>(1) Payment of compensation for lost wages that result from a public safety officer being</w:t>
      </w:r>
      <w:r>
        <w:rPr>
          <w:rFonts w:ascii="Times New Roman" w:hAnsi="Times New Roman"/>
          <w:sz w:val="24"/>
          <w:szCs w:val="24"/>
        </w:rPr>
        <w:t xml:space="preserve"> </w:t>
      </w:r>
      <w:r w:rsidRPr="00BF5169">
        <w:rPr>
          <w:rFonts w:ascii="Times New Roman" w:hAnsi="Times New Roman"/>
          <w:sz w:val="24"/>
          <w:szCs w:val="24"/>
        </w:rPr>
        <w:t>disabled by post-traumatic stress disorder received in the course of, and arising</w:t>
      </w:r>
      <w:r>
        <w:rPr>
          <w:rFonts w:ascii="Times New Roman" w:hAnsi="Times New Roman"/>
          <w:sz w:val="24"/>
          <w:szCs w:val="24"/>
        </w:rPr>
        <w:t xml:space="preserve"> </w:t>
      </w:r>
      <w:r w:rsidRPr="00BF5169">
        <w:rPr>
          <w:rFonts w:ascii="Times New Roman" w:hAnsi="Times New Roman"/>
          <w:sz w:val="24"/>
          <w:szCs w:val="24"/>
        </w:rPr>
        <w:t>out of, employment</w:t>
      </w:r>
      <w:r>
        <w:rPr>
          <w:rFonts w:ascii="Times New Roman" w:hAnsi="Times New Roman"/>
          <w:sz w:val="24"/>
          <w:szCs w:val="24"/>
        </w:rPr>
        <w:t xml:space="preserve"> </w:t>
      </w:r>
      <w:r w:rsidRPr="00BF5169">
        <w:rPr>
          <w:rFonts w:ascii="Times New Roman" w:hAnsi="Times New Roman"/>
          <w:sz w:val="24"/>
          <w:szCs w:val="24"/>
        </w:rPr>
        <w:t>as a public safety officer but without an accompanying physical injury.</w:t>
      </w:r>
      <w:r>
        <w:rPr>
          <w:rFonts w:ascii="Times New Roman" w:hAnsi="Times New Roman"/>
          <w:sz w:val="24"/>
          <w:szCs w:val="24"/>
        </w:rPr>
        <w:t>”</w:t>
      </w:r>
    </w:p>
    <w:p w14:paraId="15B3BB5B" w14:textId="77777777" w:rsidR="00FF5FCF" w:rsidRDefault="00FF5FCF" w:rsidP="000C4DF5">
      <w:pPr>
        <w:pStyle w:val="NoSpacing"/>
        <w:rPr>
          <w:rFonts w:ascii="Arial Black" w:hAnsi="Arial Black"/>
          <w:sz w:val="24"/>
          <w:szCs w:val="24"/>
        </w:rPr>
      </w:pPr>
    </w:p>
    <w:p w14:paraId="2A7D86C2" w14:textId="77777777" w:rsidR="00FF5FCF" w:rsidRDefault="00FF5FCF" w:rsidP="000C4DF5">
      <w:pPr>
        <w:pStyle w:val="NoSpacing"/>
        <w:rPr>
          <w:rFonts w:ascii="Arial Black" w:hAnsi="Arial Black"/>
          <w:sz w:val="24"/>
          <w:szCs w:val="24"/>
        </w:rPr>
      </w:pPr>
    </w:p>
    <w:p w14:paraId="3A709F00" w14:textId="30F7B8E9" w:rsidR="00663A6A" w:rsidRDefault="00BD1702" w:rsidP="000C4DF5">
      <w:pPr>
        <w:pStyle w:val="NoSpacing"/>
        <w:rPr>
          <w:rFonts w:ascii="Arial Black" w:hAnsi="Arial Black"/>
          <w:sz w:val="24"/>
          <w:szCs w:val="24"/>
        </w:rPr>
      </w:pPr>
      <w:r>
        <w:rPr>
          <w:rFonts w:ascii="Arial Black" w:hAnsi="Arial Black"/>
          <w:sz w:val="24"/>
          <w:szCs w:val="24"/>
        </w:rPr>
        <w:t>15-12</w:t>
      </w:r>
    </w:p>
    <w:p w14:paraId="3B86D474" w14:textId="77777777" w:rsidR="00BD1702" w:rsidRDefault="00BD1702" w:rsidP="00BD1702">
      <w:pPr>
        <w:pStyle w:val="NormalWeb"/>
        <w:rPr>
          <w:rFonts w:ascii="Arial Black" w:hAnsi="Arial Black"/>
          <w:b/>
          <w:bCs/>
          <w:sz w:val="28"/>
          <w:szCs w:val="28"/>
        </w:rPr>
      </w:pPr>
      <w:r>
        <w:rPr>
          <w:rFonts w:ascii="Arial Black" w:hAnsi="Arial Black"/>
          <w:b/>
          <w:bCs/>
          <w:sz w:val="28"/>
          <w:szCs w:val="28"/>
        </w:rPr>
        <w:t xml:space="preserve">PA: PET THERAPY DOG – IN COURT TO COMFORT 13-YEAR- OLD AUSTIC CHILD – WITNESS TO A MURDER </w:t>
      </w:r>
    </w:p>
    <w:p w14:paraId="3E914B38" w14:textId="77777777" w:rsidR="00BD1702" w:rsidRDefault="00BD1702" w:rsidP="00BD1702">
      <w:pPr>
        <w:pStyle w:val="NormalWeb"/>
      </w:pPr>
      <w:r>
        <w:t xml:space="preserve">On September 22, 2021, in </w:t>
      </w:r>
      <w:r>
        <w:rPr>
          <w:u w:val="single"/>
        </w:rPr>
        <w:t>Commonwealth of Pennsylvania v. Sheron Jalen Purnell</w:t>
      </w:r>
      <w:r>
        <w:t xml:space="preserve">, the Supreme Court of Pennsylvania (Middle District) held (7 to 0) that judge properly allowed the comfort dog in the courtroom, and upheld jury verdict of guilty of third-degree murder and sentence of 20.5 to 47 years of imprisonment. </w:t>
      </w:r>
    </w:p>
    <w:p w14:paraId="66FF7E74" w14:textId="77777777" w:rsidR="00BD1702" w:rsidRDefault="00BD1702" w:rsidP="00BD1702">
      <w:pPr>
        <w:pStyle w:val="NormalWeb"/>
        <w:ind w:left="720"/>
      </w:pPr>
      <w:r>
        <w:t xml:space="preserve">“We granted allowance of appeal in this matter to consider the appropriate test to apply to a trial court’s determination concerning whether a witness in a criminal case may utilize a ‘comfort dog’ for support during his or her trial testimony. We hold that a trial court should balance the degree to which the accommodation will assist the witness in testifying in a truthful manner against any possible prejudice </w:t>
      </w:r>
      <w:proofErr w:type="gramStart"/>
      <w:r>
        <w:t>to</w:t>
      </w:r>
      <w:proofErr w:type="gramEnd"/>
      <w:r>
        <w:t xml:space="preserve"> the defendant’s right to a fair trial. Here, the trial court allowed a witness to testify with the assistance of a comfort dog, and the Superior Court concluded that the trial court did not abuse its discretion in this regard. For the reasons stated below, we agree with the Superior Court and, therefore, affirm that court’s judgment.</w:t>
      </w:r>
    </w:p>
    <w:p w14:paraId="72A3238B" w14:textId="77777777" w:rsidR="00BD1702" w:rsidRDefault="00BD1702" w:rsidP="00BD1702">
      <w:pPr>
        <w:pStyle w:val="NormalWeb"/>
        <w:ind w:left="720"/>
      </w:pPr>
      <w:r>
        <w:lastRenderedPageBreak/>
        <w:t>***</w:t>
      </w:r>
    </w:p>
    <w:p w14:paraId="779791EA" w14:textId="77777777" w:rsidR="00BD1702" w:rsidRDefault="00BD1702" w:rsidP="00BD1702">
      <w:pPr>
        <w:pStyle w:val="NormalWeb"/>
        <w:ind w:left="720"/>
      </w:pPr>
      <w:r>
        <w:t xml:space="preserve">The court noted that: (1) its legal reasoning for allowing the dog to be present could be found on the record; (2) the dog was situated under the witness box prior to the jury entering the courtroom and could not be seen by the jury, and (3) it provided instructions to the jury concerning the presence of the dog.”  </w:t>
      </w:r>
      <w:hyperlink r:id="rId2392" w:history="1">
        <w:r>
          <w:rPr>
            <w:rStyle w:val="Hyperlink"/>
          </w:rPr>
          <w:t>https://casetext.com/case/commonwealth-v-purnell-10</w:t>
        </w:r>
      </w:hyperlink>
      <w:r>
        <w:t xml:space="preserve"> </w:t>
      </w:r>
    </w:p>
    <w:p w14:paraId="4F9F6DE5" w14:textId="77777777" w:rsidR="00BD1702" w:rsidRDefault="00BD1702" w:rsidP="00BD1702">
      <w:pPr>
        <w:pStyle w:val="Heading1"/>
        <w:rPr>
          <w:sz w:val="24"/>
          <w:szCs w:val="24"/>
        </w:rPr>
      </w:pPr>
      <w:r>
        <w:rPr>
          <w:sz w:val="24"/>
          <w:szCs w:val="24"/>
        </w:rPr>
        <w:t xml:space="preserve">Legal Lesson Learned: Great decision! Dogs can also comfort emergency responders. </w:t>
      </w:r>
    </w:p>
    <w:p w14:paraId="59782E83" w14:textId="31639F4C" w:rsidR="00BD1702" w:rsidRDefault="00BD1702" w:rsidP="00BD1702">
      <w:pPr>
        <w:pStyle w:val="NoSpacing"/>
        <w:ind w:left="720"/>
        <w:rPr>
          <w:rFonts w:ascii="Arial Black" w:hAnsi="Arial Black"/>
          <w:sz w:val="24"/>
          <w:szCs w:val="24"/>
        </w:rPr>
      </w:pPr>
      <w:r>
        <w:rPr>
          <w:sz w:val="24"/>
          <w:szCs w:val="24"/>
        </w:rPr>
        <w:t xml:space="preserve">See article: “Comfort Dogs Allowed </w:t>
      </w:r>
      <w:proofErr w:type="gramStart"/>
      <w:r>
        <w:rPr>
          <w:sz w:val="24"/>
          <w:szCs w:val="24"/>
        </w:rPr>
        <w:t>For</w:t>
      </w:r>
      <w:proofErr w:type="gramEnd"/>
      <w:r>
        <w:rPr>
          <w:sz w:val="24"/>
          <w:szCs w:val="24"/>
        </w:rPr>
        <w:t xml:space="preserve"> Some During Criminal Trials, PA Supreme Court Rules (9/22/2021).” </w:t>
      </w:r>
      <w:hyperlink r:id="rId2393" w:history="1">
        <w:r w:rsidRPr="00936B2D">
          <w:rPr>
            <w:rStyle w:val="Hyperlink"/>
            <w:b/>
            <w:bCs/>
            <w:sz w:val="24"/>
            <w:szCs w:val="24"/>
          </w:rPr>
          <w:t>https://dailyvoice.com/pennsylvania/chester/news/comfort-dogs-allowed-for-some-during-criminal-trials-pa-supreme-court-rules/816798/</w:t>
        </w:r>
      </w:hyperlink>
    </w:p>
    <w:p w14:paraId="2DFEE32E" w14:textId="77777777" w:rsidR="00BD1702" w:rsidRDefault="00BD1702" w:rsidP="000C4DF5">
      <w:pPr>
        <w:pStyle w:val="NoSpacing"/>
        <w:rPr>
          <w:rFonts w:ascii="Arial Black" w:hAnsi="Arial Black"/>
          <w:sz w:val="24"/>
          <w:szCs w:val="24"/>
        </w:rPr>
      </w:pPr>
      <w:bookmarkStart w:id="577" w:name="_Hlk66950092"/>
    </w:p>
    <w:p w14:paraId="041FD798" w14:textId="77777777" w:rsidR="00BD1702" w:rsidRDefault="00BD1702" w:rsidP="000C4DF5">
      <w:pPr>
        <w:pStyle w:val="NoSpacing"/>
        <w:rPr>
          <w:rFonts w:ascii="Arial Black" w:hAnsi="Arial Black"/>
          <w:sz w:val="24"/>
          <w:szCs w:val="24"/>
        </w:rPr>
      </w:pPr>
    </w:p>
    <w:p w14:paraId="694FA015" w14:textId="265E20DF" w:rsidR="00F37F48" w:rsidRDefault="00F37F48" w:rsidP="000C4DF5">
      <w:pPr>
        <w:pStyle w:val="NoSpacing"/>
        <w:rPr>
          <w:rFonts w:ascii="Arial Black" w:hAnsi="Arial Black"/>
          <w:sz w:val="24"/>
          <w:szCs w:val="24"/>
        </w:rPr>
      </w:pPr>
      <w:r>
        <w:rPr>
          <w:rFonts w:ascii="Arial Black" w:hAnsi="Arial Black"/>
          <w:sz w:val="24"/>
          <w:szCs w:val="24"/>
        </w:rPr>
        <w:t>15-11</w:t>
      </w:r>
    </w:p>
    <w:p w14:paraId="67BD830B" w14:textId="6C591B07" w:rsidR="00F37F48" w:rsidRDefault="00F37F48" w:rsidP="000C4DF5">
      <w:pPr>
        <w:pStyle w:val="NoSpacing"/>
        <w:rPr>
          <w:rFonts w:ascii="Arial Black" w:hAnsi="Arial Black"/>
          <w:sz w:val="24"/>
          <w:szCs w:val="24"/>
        </w:rPr>
      </w:pPr>
    </w:p>
    <w:p w14:paraId="04B4A2EE" w14:textId="77777777" w:rsidR="00F37F48" w:rsidRDefault="00F37F48" w:rsidP="00F37F48">
      <w:pPr>
        <w:rPr>
          <w:rFonts w:asciiTheme="minorHAnsi" w:hAnsiTheme="minorHAnsi" w:cstheme="minorBidi"/>
        </w:rPr>
      </w:pPr>
      <w:r>
        <w:rPr>
          <w:rFonts w:ascii="Arial Black" w:hAnsi="Arial Black"/>
          <w:sz w:val="28"/>
          <w:szCs w:val="28"/>
        </w:rPr>
        <w:t xml:space="preserve">WV: FF WITH PTSD – 20 YRS ON THE JOB – DENIED WORKERS COMP – STATE LAW REQUIRES THERE BE PHYSICAL INJURY </w:t>
      </w:r>
    </w:p>
    <w:p w14:paraId="20DB28E1"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11, 2020, in </w:t>
      </w:r>
      <w:r>
        <w:rPr>
          <w:rFonts w:ascii="Times New Roman" w:eastAsia="Times New Roman" w:hAnsi="Times New Roman"/>
          <w:sz w:val="24"/>
          <w:szCs w:val="24"/>
          <w:u w:val="single"/>
        </w:rPr>
        <w:t>John Angle v. City of Huntington</w:t>
      </w:r>
      <w:r>
        <w:rPr>
          <w:rFonts w:ascii="Times New Roman" w:eastAsia="Times New Roman" w:hAnsi="Times New Roman"/>
          <w:sz w:val="24"/>
          <w:szCs w:val="24"/>
        </w:rPr>
        <w:t xml:space="preserve">, the State of West Virginia Supreme Court of Appeals, held (5 to 0) that under state statute he was not entitled to workers comp for his PTSD.  </w:t>
      </w:r>
    </w:p>
    <w:bookmarkEnd w:id="577"/>
    <w:p w14:paraId="12BBFDDB" w14:textId="77777777" w:rsidR="00F37F48" w:rsidRDefault="00F37F48" w:rsidP="00F37F48">
      <w:pPr>
        <w:ind w:left="720"/>
        <w:rPr>
          <w:rFonts w:ascii="Times New Roman" w:eastAsiaTheme="minorHAnsi" w:hAnsi="Times New Roman"/>
          <w:sz w:val="24"/>
          <w:szCs w:val="24"/>
        </w:rPr>
      </w:pPr>
      <w:r>
        <w:rPr>
          <w:rFonts w:ascii="Times New Roman" w:hAnsi="Times New Roman"/>
          <w:sz w:val="24"/>
          <w:szCs w:val="24"/>
        </w:rPr>
        <w:t>“All of Mr. Angle's symptoms, and the requested diagnoses, were caused by nonphysical means and did not result in any physical injury or disease. Pursuant to West Virginia Code § 23-4-1F, the claim was properly denied.</w:t>
      </w:r>
    </w:p>
    <w:p w14:paraId="5106844A" w14:textId="77777777" w:rsidR="00F37F48" w:rsidRDefault="00F37F48" w:rsidP="00F37F48">
      <w:pPr>
        <w:ind w:left="720"/>
        <w:rPr>
          <w:rFonts w:ascii="Times New Roman" w:hAnsi="Times New Roman"/>
          <w:sz w:val="24"/>
          <w:szCs w:val="24"/>
        </w:rPr>
      </w:pPr>
      <w:r>
        <w:rPr>
          <w:rFonts w:ascii="Times New Roman" w:hAnsi="Times New Roman"/>
          <w:sz w:val="24"/>
          <w:szCs w:val="24"/>
        </w:rPr>
        <w:t>***</w:t>
      </w:r>
    </w:p>
    <w:p w14:paraId="020DDA89" w14:textId="77777777" w:rsidR="00F37F48" w:rsidRDefault="00F37F48" w:rsidP="00F37F48">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West Virginia Code § 23-4-1F provides that: </w:t>
      </w:r>
    </w:p>
    <w:p w14:paraId="68857077" w14:textId="77777777" w:rsidR="00F37F48" w:rsidRDefault="00F37F48" w:rsidP="00F37F48">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no alleged injury or disease shall be recognized as a compensable injury or disease which was solely caused by nonphysical </w:t>
      </w:r>
      <w:proofErr w:type="gramStart"/>
      <w:r>
        <w:rPr>
          <w:rFonts w:ascii="Times New Roman" w:eastAsia="Times New Roman" w:hAnsi="Times New Roman"/>
          <w:sz w:val="24"/>
          <w:szCs w:val="24"/>
        </w:rPr>
        <w:t>means</w:t>
      </w:r>
      <w:proofErr w:type="gramEnd"/>
      <w:r>
        <w:rPr>
          <w:rFonts w:ascii="Times New Roman" w:eastAsia="Times New Roman" w:hAnsi="Times New Roman"/>
          <w:sz w:val="24"/>
          <w:szCs w:val="24"/>
        </w:rPr>
        <w:t xml:space="preserve"> and which did not result in any physical injury or disease to the person claiming benefits. It is the purpose of this section to clarify that so-called mental-mental claims are not compensable under this chapter.” </w:t>
      </w:r>
      <w:bookmarkStart w:id="578" w:name="_Hlk66950115"/>
      <w:r w:rsidR="00F00958">
        <w:fldChar w:fldCharType="begin"/>
      </w:r>
      <w:r w:rsidR="00F00958">
        <w:instrText xml:space="preserve"> HYPERLINK "https://law.justia.com/cases/west-virginia/supreme-court/2020/19-0970.html" </w:instrText>
      </w:r>
      <w:r w:rsidR="00F00958">
        <w:fldChar w:fldCharType="separate"/>
      </w:r>
      <w:r>
        <w:rPr>
          <w:rStyle w:val="Hyperlink"/>
        </w:rPr>
        <w:t>https://law.justia.com/cases/west-virginia/supreme-court/2020/19-0970.html</w:t>
      </w:r>
      <w:r w:rsidR="00F00958">
        <w:rPr>
          <w:rStyle w:val="Hyperlink"/>
        </w:rPr>
        <w:fldChar w:fldCharType="end"/>
      </w:r>
      <w:r>
        <w:rPr>
          <w:rFonts w:ascii="Times New Roman" w:eastAsia="Times New Roman" w:hAnsi="Times New Roman"/>
          <w:sz w:val="24"/>
          <w:szCs w:val="24"/>
        </w:rPr>
        <w:t xml:space="preserve"> </w:t>
      </w:r>
    </w:p>
    <w:p w14:paraId="73D221EE" w14:textId="77777777" w:rsidR="00F37F48" w:rsidRDefault="00F37F48" w:rsidP="00F37F48">
      <w:pPr>
        <w:pStyle w:val="NormalWeb"/>
        <w:rPr>
          <w:b/>
          <w:bCs/>
        </w:rPr>
      </w:pPr>
      <w:r>
        <w:rPr>
          <w:b/>
          <w:bCs/>
        </w:rPr>
        <w:t>Legal Lesson Learned: Some states have now enacted statutes allowing PTSD coverage without physical injury.</w:t>
      </w:r>
    </w:p>
    <w:p w14:paraId="5F6C98D3" w14:textId="77777777" w:rsidR="00F37F48" w:rsidRPr="00500548" w:rsidRDefault="00F37F48" w:rsidP="00F37F48">
      <w:pPr>
        <w:pStyle w:val="Heading1"/>
        <w:ind w:left="720"/>
        <w:rPr>
          <w:b w:val="0"/>
          <w:bCs w:val="0"/>
          <w:sz w:val="24"/>
          <w:szCs w:val="24"/>
        </w:rPr>
      </w:pPr>
      <w:bookmarkStart w:id="579" w:name="_Hlk66950170"/>
      <w:r>
        <w:rPr>
          <w:b w:val="0"/>
          <w:bCs w:val="0"/>
          <w:sz w:val="24"/>
          <w:szCs w:val="24"/>
        </w:rPr>
        <w:t>Note:</w:t>
      </w:r>
      <w:r>
        <w:t xml:space="preserve">  </w:t>
      </w:r>
      <w:r>
        <w:rPr>
          <w:b w:val="0"/>
          <w:bCs w:val="0"/>
          <w:sz w:val="24"/>
          <w:szCs w:val="24"/>
        </w:rPr>
        <w:t xml:space="preserve">Feb. 13, 2020: “Ohio House passes bill expanding first </w:t>
      </w:r>
      <w:proofErr w:type="gramStart"/>
      <w:r>
        <w:rPr>
          <w:b w:val="0"/>
          <w:bCs w:val="0"/>
          <w:sz w:val="24"/>
          <w:szCs w:val="24"/>
        </w:rPr>
        <w:t>responders</w:t>
      </w:r>
      <w:proofErr w:type="gramEnd"/>
      <w:r>
        <w:rPr>
          <w:b w:val="0"/>
          <w:bCs w:val="0"/>
          <w:sz w:val="24"/>
          <w:szCs w:val="24"/>
        </w:rPr>
        <w:t xml:space="preserve"> workers' compensation for PTSD. The legislation would allow first responders to seek workers' compensation even if they don't have a physical condition that led to PTSD.” </w:t>
      </w:r>
      <w:hyperlink r:id="rId2394" w:history="1">
        <w:r w:rsidRPr="00500548">
          <w:rPr>
            <w:rStyle w:val="Hyperlink"/>
            <w:b w:val="0"/>
            <w:bCs w:val="0"/>
            <w:sz w:val="24"/>
            <w:szCs w:val="24"/>
          </w:rPr>
          <w:t>https://www.firerescue1.com/ptsd/articles/ohio-house-passes-bill-expanding-first-responders-workers-compensation-for-ptsd-QXXQPU6H47rb9Z8o/</w:t>
        </w:r>
      </w:hyperlink>
      <w:r w:rsidRPr="00500548">
        <w:rPr>
          <w:b w:val="0"/>
          <w:bCs w:val="0"/>
          <w:sz w:val="24"/>
          <w:szCs w:val="24"/>
        </w:rPr>
        <w:t xml:space="preserve"> </w:t>
      </w:r>
    </w:p>
    <w:p w14:paraId="316EDA2C" w14:textId="642FD01C" w:rsidR="00F37F48" w:rsidRPr="00F37F48" w:rsidRDefault="00F37F48" w:rsidP="00F37F48">
      <w:pPr>
        <w:pStyle w:val="NoSpacing"/>
        <w:ind w:left="720"/>
        <w:rPr>
          <w:rFonts w:ascii="Times New Roman" w:hAnsi="Times New Roman"/>
          <w:sz w:val="24"/>
          <w:szCs w:val="24"/>
        </w:rPr>
      </w:pPr>
      <w:r w:rsidRPr="00F37F48">
        <w:rPr>
          <w:rFonts w:ascii="Times New Roman" w:hAnsi="Times New Roman"/>
          <w:sz w:val="24"/>
          <w:szCs w:val="24"/>
        </w:rPr>
        <w:t xml:space="preserve">See also: “Nine states (California, Connecticut, Idaho, Louisiana, Nevada, New Hampshire, New Mexico, Oregon, and Texas) have passed legislation addressing benefits for first responders with PTSD in 2019. In 2018, 2 states (Florida and Washington) passed legislation expanding benefits for first responders with </w:t>
      </w:r>
      <w:proofErr w:type="gramStart"/>
      <w:r w:rsidRPr="00F37F48">
        <w:rPr>
          <w:rFonts w:ascii="Times New Roman" w:hAnsi="Times New Roman"/>
          <w:sz w:val="24"/>
          <w:szCs w:val="24"/>
        </w:rPr>
        <w:t>PTSD.”</w:t>
      </w:r>
      <w:proofErr w:type="gramEnd"/>
      <w:r w:rsidRPr="00F37F48">
        <w:rPr>
          <w:rFonts w:ascii="Times New Roman" w:hAnsi="Times New Roman"/>
          <w:sz w:val="24"/>
          <w:szCs w:val="24"/>
        </w:rPr>
        <w:t xml:space="preserve"> </w:t>
      </w:r>
      <w:hyperlink r:id="rId2395" w:history="1">
        <w:r w:rsidRPr="00F37F48">
          <w:rPr>
            <w:rStyle w:val="Hyperlink"/>
            <w:rFonts w:ascii="Times New Roman" w:hAnsi="Times New Roman"/>
            <w:sz w:val="24"/>
            <w:szCs w:val="24"/>
          </w:rPr>
          <w:t>https://www.gerberholderlaw.com/workers-comp-ptsd-by-state/</w:t>
        </w:r>
      </w:hyperlink>
    </w:p>
    <w:bookmarkEnd w:id="578"/>
    <w:bookmarkEnd w:id="579"/>
    <w:p w14:paraId="2ABA6CC2" w14:textId="77777777" w:rsidR="00F37F48" w:rsidRDefault="00F37F48" w:rsidP="000C4DF5">
      <w:pPr>
        <w:pStyle w:val="NoSpacing"/>
        <w:rPr>
          <w:rFonts w:ascii="Arial Black" w:hAnsi="Arial Black"/>
          <w:sz w:val="24"/>
          <w:szCs w:val="24"/>
        </w:rPr>
      </w:pPr>
    </w:p>
    <w:p w14:paraId="7F791A4D" w14:textId="2EBD2ED5" w:rsidR="00663A6A" w:rsidRDefault="00663A6A" w:rsidP="000C4DF5">
      <w:pPr>
        <w:pStyle w:val="NoSpacing"/>
        <w:rPr>
          <w:rFonts w:ascii="Arial Black" w:hAnsi="Arial Black"/>
          <w:sz w:val="24"/>
          <w:szCs w:val="24"/>
        </w:rPr>
      </w:pPr>
      <w:r>
        <w:rPr>
          <w:rFonts w:ascii="Arial Black" w:hAnsi="Arial Black"/>
          <w:sz w:val="24"/>
          <w:szCs w:val="24"/>
        </w:rPr>
        <w:lastRenderedPageBreak/>
        <w:t>15-10</w:t>
      </w:r>
    </w:p>
    <w:p w14:paraId="4F1BA4A6" w14:textId="72885F60" w:rsidR="00663A6A" w:rsidRDefault="00663A6A" w:rsidP="000C4DF5">
      <w:pPr>
        <w:pStyle w:val="NoSpacing"/>
        <w:rPr>
          <w:rFonts w:ascii="Arial Black" w:hAnsi="Arial Black"/>
          <w:sz w:val="24"/>
          <w:szCs w:val="24"/>
        </w:rPr>
      </w:pPr>
    </w:p>
    <w:p w14:paraId="7E695BC6" w14:textId="77777777" w:rsidR="00663A6A" w:rsidRDefault="00663A6A" w:rsidP="00663A6A">
      <w:pPr>
        <w:pStyle w:val="NoSpacing"/>
        <w:rPr>
          <w:rFonts w:ascii="Arial Black" w:hAnsi="Arial Black"/>
          <w:sz w:val="28"/>
          <w:szCs w:val="28"/>
        </w:rPr>
      </w:pPr>
      <w:r>
        <w:rPr>
          <w:rFonts w:ascii="Arial Black" w:hAnsi="Arial Black"/>
          <w:sz w:val="28"/>
          <w:szCs w:val="28"/>
        </w:rPr>
        <w:t xml:space="preserve">TX: PARAMEDIC WITH PTSD – DENIED “ON-DUTY” DISABILITY PENSION – 75% Of SALARY - CONFLICING PSYCHOLOGISTS </w:t>
      </w:r>
    </w:p>
    <w:p w14:paraId="2AF2B909" w14:textId="77777777" w:rsidR="00663A6A" w:rsidRDefault="00663A6A" w:rsidP="00663A6A">
      <w:pPr>
        <w:pStyle w:val="NoSpacing"/>
        <w:rPr>
          <w:rFonts w:ascii="Arial Black" w:hAnsi="Arial Black"/>
          <w:sz w:val="28"/>
          <w:szCs w:val="28"/>
        </w:rPr>
      </w:pPr>
    </w:p>
    <w:p w14:paraId="3CB15CB8" w14:textId="77777777" w:rsidR="00663A6A" w:rsidRDefault="00663A6A" w:rsidP="00663A6A">
      <w:pPr>
        <w:pStyle w:val="NoSpacing"/>
        <w:rPr>
          <w:rFonts w:ascii="Times New Roman" w:hAnsi="Times New Roman"/>
          <w:sz w:val="24"/>
          <w:szCs w:val="24"/>
        </w:rPr>
      </w:pPr>
      <w:r>
        <w:rPr>
          <w:rFonts w:ascii="Times New Roman" w:hAnsi="Times New Roman"/>
          <w:sz w:val="24"/>
          <w:szCs w:val="24"/>
        </w:rPr>
        <w:t xml:space="preserve">On Nov. 17, 2020, in </w:t>
      </w:r>
      <w:r w:rsidRPr="008B5E95">
        <w:rPr>
          <w:rFonts w:ascii="Times New Roman" w:hAnsi="Times New Roman"/>
          <w:sz w:val="24"/>
          <w:szCs w:val="24"/>
          <w:u w:val="single"/>
        </w:rPr>
        <w:t xml:space="preserve">Gregory Green v. Houston Firefighters’ Relief </w:t>
      </w:r>
      <w:proofErr w:type="gramStart"/>
      <w:r w:rsidRPr="008B5E95">
        <w:rPr>
          <w:rFonts w:ascii="Times New Roman" w:hAnsi="Times New Roman"/>
          <w:sz w:val="24"/>
          <w:szCs w:val="24"/>
          <w:u w:val="single"/>
        </w:rPr>
        <w:t>And</w:t>
      </w:r>
      <w:proofErr w:type="gramEnd"/>
      <w:r w:rsidRPr="008B5E95">
        <w:rPr>
          <w:rFonts w:ascii="Times New Roman" w:hAnsi="Times New Roman"/>
          <w:sz w:val="24"/>
          <w:szCs w:val="24"/>
          <w:u w:val="single"/>
        </w:rPr>
        <w:t xml:space="preserve"> Retirement Fund</w:t>
      </w:r>
      <w:r>
        <w:rPr>
          <w:rFonts w:ascii="Times New Roman" w:hAnsi="Times New Roman"/>
          <w:sz w:val="24"/>
          <w:szCs w:val="24"/>
        </w:rPr>
        <w:t xml:space="preserve">, the State of Texas in the Fourteenth Court of Appeals, held (3 to 0) that trial court correctly upheld the Board to deny on-duty disability pension for </w:t>
      </w:r>
      <w:proofErr w:type="gramStart"/>
      <w:r>
        <w:rPr>
          <w:rFonts w:ascii="Times New Roman" w:hAnsi="Times New Roman"/>
          <w:sz w:val="24"/>
          <w:szCs w:val="24"/>
        </w:rPr>
        <w:t>paramedic</w:t>
      </w:r>
      <w:proofErr w:type="gramEnd"/>
      <w:r>
        <w:rPr>
          <w:rFonts w:ascii="Times New Roman" w:hAnsi="Times New Roman"/>
          <w:sz w:val="24"/>
          <w:szCs w:val="24"/>
        </w:rPr>
        <w:t xml:space="preserve"> with 17-years of experience,  given conflicting opinions of two mental health professionals.  Plaintiff may be eligible for a non-duty disability pension; on-duty disability pensions are 75% of average salary if not capable of any gainful future employment; or 50% if can’t perform firefighter duties. </w:t>
      </w:r>
    </w:p>
    <w:p w14:paraId="7B3EDF7F" w14:textId="77777777" w:rsidR="00663A6A" w:rsidRDefault="00663A6A" w:rsidP="00663A6A">
      <w:pPr>
        <w:pStyle w:val="NoSpacing"/>
        <w:rPr>
          <w:rFonts w:ascii="Times New Roman" w:hAnsi="Times New Roman"/>
          <w:sz w:val="24"/>
          <w:szCs w:val="24"/>
        </w:rPr>
      </w:pPr>
    </w:p>
    <w:p w14:paraId="74BFD55E" w14:textId="564A8A7B" w:rsidR="00663A6A" w:rsidRDefault="00663A6A" w:rsidP="00663A6A">
      <w:pPr>
        <w:pStyle w:val="NoSpacing"/>
        <w:rPr>
          <w:rStyle w:val="Hyperlink"/>
          <w:rFonts w:ascii="Times New Roman" w:hAnsi="Times New Roman"/>
          <w:sz w:val="24"/>
          <w:szCs w:val="24"/>
        </w:rPr>
      </w:pPr>
      <w:r>
        <w:rPr>
          <w:rFonts w:ascii="Times New Roman" w:hAnsi="Times New Roman"/>
          <w:sz w:val="24"/>
          <w:szCs w:val="24"/>
        </w:rPr>
        <w:t>“</w:t>
      </w:r>
      <w:r w:rsidRPr="008B5E95">
        <w:rPr>
          <w:rFonts w:ascii="Times New Roman" w:hAnsi="Times New Roman"/>
          <w:sz w:val="24"/>
          <w:szCs w:val="24"/>
        </w:rPr>
        <w:t xml:space="preserve">The evidence before the Board and subsequently before the trial court was in direct conflict. </w:t>
      </w:r>
      <w:r>
        <w:rPr>
          <w:rFonts w:ascii="Times New Roman" w:hAnsi="Times New Roman"/>
          <w:sz w:val="24"/>
          <w:szCs w:val="24"/>
        </w:rPr>
        <w:t xml:space="preserve">[Dr. Ashley] </w:t>
      </w:r>
      <w:r w:rsidRPr="008B5E95">
        <w:rPr>
          <w:rFonts w:ascii="Times New Roman" w:hAnsi="Times New Roman"/>
          <w:sz w:val="24"/>
          <w:szCs w:val="24"/>
        </w:rPr>
        <w:t xml:space="preserve">Woolbert opined that Green experienced disability to the degree that he could not perform any full-time work. </w:t>
      </w:r>
      <w:r>
        <w:rPr>
          <w:rFonts w:ascii="Times New Roman" w:hAnsi="Times New Roman"/>
          <w:sz w:val="24"/>
          <w:szCs w:val="24"/>
        </w:rPr>
        <w:t xml:space="preserve">[Dr. Edwin] </w:t>
      </w:r>
      <w:r w:rsidRPr="008B5E95">
        <w:rPr>
          <w:rFonts w:ascii="Times New Roman" w:hAnsi="Times New Roman"/>
          <w:sz w:val="24"/>
          <w:szCs w:val="24"/>
        </w:rPr>
        <w:t>Johnstone, on the other hand, opined that Green</w:t>
      </w:r>
      <w:r>
        <w:rPr>
          <w:rFonts w:ascii="Times New Roman" w:hAnsi="Times New Roman"/>
          <w:sz w:val="24"/>
          <w:szCs w:val="24"/>
        </w:rPr>
        <w:t>’</w:t>
      </w:r>
      <w:r w:rsidRPr="008B5E95">
        <w:rPr>
          <w:rFonts w:ascii="Times New Roman" w:hAnsi="Times New Roman"/>
          <w:sz w:val="24"/>
          <w:szCs w:val="24"/>
        </w:rPr>
        <w:t>s only limitation in performing full-time work was the physical limitation of his shoulder. In a substantial evidence review the agency</w:t>
      </w:r>
      <w:r>
        <w:rPr>
          <w:rFonts w:ascii="Times New Roman" w:hAnsi="Times New Roman"/>
          <w:sz w:val="24"/>
          <w:szCs w:val="24"/>
        </w:rPr>
        <w:t>’</w:t>
      </w:r>
      <w:r w:rsidRPr="008B5E95">
        <w:rPr>
          <w:rFonts w:ascii="Times New Roman" w:hAnsi="Times New Roman"/>
          <w:sz w:val="24"/>
          <w:szCs w:val="24"/>
        </w:rPr>
        <w:t xml:space="preserve">s action will be sustained if the evidence is such that reasonable minds could have reached the conclusion that the agency must have reached to justify its actions. </w:t>
      </w:r>
      <w:r w:rsidRPr="008B5E95">
        <w:rPr>
          <w:rFonts w:ascii="Times New Roman" w:hAnsi="Times New Roman"/>
          <w:i/>
          <w:iCs/>
          <w:sz w:val="24"/>
          <w:szCs w:val="24"/>
        </w:rPr>
        <w:t xml:space="preserve">Texas Health Facilities </w:t>
      </w:r>
      <w:proofErr w:type="spellStart"/>
      <w:r w:rsidRPr="008B5E95">
        <w:rPr>
          <w:rFonts w:ascii="Times New Roman" w:hAnsi="Times New Roman"/>
          <w:i/>
          <w:iCs/>
          <w:sz w:val="24"/>
          <w:szCs w:val="24"/>
        </w:rPr>
        <w:t>Com</w:t>
      </w:r>
      <w:r>
        <w:rPr>
          <w:rFonts w:ascii="Times New Roman" w:hAnsi="Times New Roman"/>
          <w:i/>
          <w:iCs/>
          <w:sz w:val="24"/>
          <w:szCs w:val="24"/>
        </w:rPr>
        <w:t>’</w:t>
      </w:r>
      <w:r w:rsidRPr="008B5E95">
        <w:rPr>
          <w:rFonts w:ascii="Times New Roman" w:hAnsi="Times New Roman"/>
          <w:i/>
          <w:iCs/>
          <w:sz w:val="24"/>
          <w:szCs w:val="24"/>
        </w:rPr>
        <w:t>n</w:t>
      </w:r>
      <w:proofErr w:type="spellEnd"/>
      <w:r w:rsidRPr="008B5E95">
        <w:rPr>
          <w:rFonts w:ascii="Times New Roman" w:hAnsi="Times New Roman"/>
          <w:sz w:val="24"/>
          <w:szCs w:val="24"/>
        </w:rPr>
        <w:t>, 665 S.W.2d at 453. Because the evidence was conflicting, the Board could have determined after reviewing Johnstone</w:t>
      </w:r>
      <w:r>
        <w:rPr>
          <w:rFonts w:ascii="Times New Roman" w:hAnsi="Times New Roman"/>
          <w:sz w:val="24"/>
          <w:szCs w:val="24"/>
        </w:rPr>
        <w:t>’</w:t>
      </w:r>
      <w:r w:rsidRPr="008B5E95">
        <w:rPr>
          <w:rFonts w:ascii="Times New Roman" w:hAnsi="Times New Roman"/>
          <w:sz w:val="24"/>
          <w:szCs w:val="24"/>
        </w:rPr>
        <w:t xml:space="preserve">s reports that Green did not qualify under the Act for on-duty disability. </w:t>
      </w:r>
      <w:r w:rsidRPr="008B5E95">
        <w:rPr>
          <w:rFonts w:ascii="Times New Roman" w:hAnsi="Times New Roman"/>
          <w:i/>
          <w:iCs/>
          <w:sz w:val="24"/>
          <w:szCs w:val="24"/>
        </w:rPr>
        <w:t>See id</w:t>
      </w:r>
      <w:r w:rsidRPr="008B5E95">
        <w:rPr>
          <w:rFonts w:ascii="Times New Roman" w:hAnsi="Times New Roman"/>
          <w:sz w:val="24"/>
          <w:szCs w:val="24"/>
        </w:rPr>
        <w:t>. (If there is evidence to support either affirmative or negative findings on a specific matter, the decision of the agency must be upheld).</w:t>
      </w:r>
      <w:r>
        <w:rPr>
          <w:rFonts w:ascii="Times New Roman" w:hAnsi="Times New Roman"/>
          <w:sz w:val="24"/>
          <w:szCs w:val="24"/>
        </w:rPr>
        <w:t>”</w:t>
      </w:r>
      <w:r w:rsidRPr="008B5E95">
        <w:t xml:space="preserve"> </w:t>
      </w:r>
      <w:hyperlink r:id="rId2396" w:history="1">
        <w:r w:rsidRPr="00804FA5">
          <w:rPr>
            <w:rStyle w:val="Hyperlink"/>
            <w:rFonts w:ascii="Times New Roman" w:hAnsi="Times New Roman"/>
            <w:sz w:val="24"/>
            <w:szCs w:val="24"/>
          </w:rPr>
          <w:t>https://public.fastcase.com/Wl%2B2t%2BeVuI35%2FN70vAMFZlfrbL2Iv9t8X190JkA%2BKSgGR212V5tgaR0%2FcTyilOxc</w:t>
        </w:r>
      </w:hyperlink>
    </w:p>
    <w:p w14:paraId="04AF6728" w14:textId="58150E2C" w:rsidR="00663A6A" w:rsidRDefault="00663A6A" w:rsidP="00663A6A">
      <w:pPr>
        <w:pStyle w:val="NoSpacing"/>
        <w:rPr>
          <w:rStyle w:val="Hyperlink"/>
          <w:rFonts w:ascii="Times New Roman" w:hAnsi="Times New Roman"/>
          <w:sz w:val="24"/>
          <w:szCs w:val="24"/>
        </w:rPr>
      </w:pPr>
    </w:p>
    <w:p w14:paraId="78DAE717" w14:textId="77777777" w:rsidR="00663A6A" w:rsidRPr="00D22C73" w:rsidRDefault="00663A6A" w:rsidP="00663A6A">
      <w:pPr>
        <w:pStyle w:val="NormalWeb"/>
        <w:rPr>
          <w:b/>
          <w:bCs/>
        </w:rPr>
      </w:pPr>
      <w:r w:rsidRPr="00D22C73">
        <w:rPr>
          <w:b/>
          <w:bCs/>
        </w:rPr>
        <w:t>Legal Lesson Learned:</w:t>
      </w:r>
      <w:r>
        <w:rPr>
          <w:b/>
          <w:bCs/>
        </w:rPr>
        <w:t xml:space="preserve"> Given the conflicting experts’ reports, Courts will uphold decisions of Boards. </w:t>
      </w:r>
    </w:p>
    <w:p w14:paraId="3ACD8101" w14:textId="77777777" w:rsidR="00663A6A" w:rsidRDefault="00663A6A" w:rsidP="00663A6A">
      <w:pPr>
        <w:pStyle w:val="NoSpacing"/>
        <w:rPr>
          <w:rFonts w:ascii="Arial Black" w:hAnsi="Arial Black"/>
          <w:sz w:val="24"/>
          <w:szCs w:val="24"/>
        </w:rPr>
      </w:pPr>
    </w:p>
    <w:p w14:paraId="7A4E4CD9" w14:textId="77777777" w:rsidR="00663A6A" w:rsidRDefault="00663A6A" w:rsidP="000C4DF5">
      <w:pPr>
        <w:pStyle w:val="NoSpacing"/>
        <w:rPr>
          <w:rFonts w:ascii="Arial Black" w:hAnsi="Arial Black"/>
          <w:sz w:val="24"/>
          <w:szCs w:val="24"/>
        </w:rPr>
      </w:pPr>
    </w:p>
    <w:p w14:paraId="375271BB" w14:textId="63F2F282" w:rsidR="000F18B0" w:rsidRDefault="001C563D" w:rsidP="000C4DF5">
      <w:pPr>
        <w:pStyle w:val="NoSpacing"/>
        <w:rPr>
          <w:rFonts w:ascii="Arial Black" w:hAnsi="Arial Black"/>
          <w:sz w:val="24"/>
          <w:szCs w:val="24"/>
        </w:rPr>
      </w:pPr>
      <w:r>
        <w:rPr>
          <w:rFonts w:ascii="Arial Black" w:hAnsi="Arial Black"/>
          <w:sz w:val="24"/>
          <w:szCs w:val="24"/>
        </w:rPr>
        <w:t>15-</w:t>
      </w:r>
      <w:r w:rsidR="001A653A">
        <w:rPr>
          <w:rFonts w:ascii="Arial Black" w:hAnsi="Arial Black"/>
          <w:sz w:val="24"/>
          <w:szCs w:val="24"/>
        </w:rPr>
        <w:t>9</w:t>
      </w:r>
    </w:p>
    <w:p w14:paraId="23FC37D0" w14:textId="1DF5E8CD" w:rsidR="001C563D" w:rsidRDefault="001C563D" w:rsidP="000C4DF5">
      <w:pPr>
        <w:pStyle w:val="NoSpacing"/>
        <w:rPr>
          <w:rFonts w:ascii="Arial Black" w:hAnsi="Arial Black"/>
          <w:sz w:val="24"/>
          <w:szCs w:val="24"/>
        </w:rPr>
      </w:pPr>
    </w:p>
    <w:p w14:paraId="50D0D24B" w14:textId="77777777" w:rsidR="001C563D" w:rsidRPr="00BF19C3" w:rsidRDefault="001C563D" w:rsidP="001C563D">
      <w:pPr>
        <w:pStyle w:val="NoSpacing"/>
        <w:rPr>
          <w:rFonts w:ascii="Arial Black" w:hAnsi="Arial Black"/>
          <w:sz w:val="28"/>
          <w:szCs w:val="28"/>
        </w:rPr>
      </w:pPr>
      <w:r w:rsidRPr="00BF19C3">
        <w:rPr>
          <w:rFonts w:ascii="Arial Black" w:hAnsi="Arial Black"/>
          <w:sz w:val="28"/>
          <w:szCs w:val="28"/>
        </w:rPr>
        <w:t xml:space="preserve">SC: </w:t>
      </w:r>
      <w:r>
        <w:rPr>
          <w:rFonts w:ascii="Arial Black" w:hAnsi="Arial Black"/>
          <w:sz w:val="28"/>
          <w:szCs w:val="28"/>
        </w:rPr>
        <w:t>PARAMEDIC ON BAD MVA RUN – PTSD / PANIC ATTACKS – TOLD HOSP. CAN NO LONGER DO JOB, TERMINATED</w:t>
      </w:r>
    </w:p>
    <w:p w14:paraId="264B2C36" w14:textId="77777777" w:rsidR="006E50D9" w:rsidRDefault="006E50D9" w:rsidP="001C563D">
      <w:pPr>
        <w:pStyle w:val="NoSpacing"/>
        <w:rPr>
          <w:rFonts w:ascii="Times New Roman" w:hAnsi="Times New Roman"/>
          <w:sz w:val="24"/>
          <w:szCs w:val="24"/>
        </w:rPr>
      </w:pPr>
    </w:p>
    <w:p w14:paraId="7DF0C9D3" w14:textId="36F313CB" w:rsidR="001C563D" w:rsidRDefault="001C563D" w:rsidP="001C563D">
      <w:pPr>
        <w:pStyle w:val="NoSpacing"/>
        <w:rPr>
          <w:rStyle w:val="Hyperlink"/>
          <w:rFonts w:ascii="Times New Roman" w:hAnsi="Times New Roman"/>
          <w:sz w:val="24"/>
          <w:szCs w:val="24"/>
        </w:rPr>
      </w:pPr>
      <w:r w:rsidRPr="00633872">
        <w:rPr>
          <w:rFonts w:ascii="Times New Roman" w:hAnsi="Times New Roman"/>
          <w:sz w:val="24"/>
          <w:szCs w:val="24"/>
        </w:rPr>
        <w:t xml:space="preserve">On </w:t>
      </w:r>
      <w:r>
        <w:rPr>
          <w:rFonts w:ascii="Times New Roman" w:hAnsi="Times New Roman"/>
          <w:sz w:val="24"/>
          <w:szCs w:val="24"/>
        </w:rPr>
        <w:t xml:space="preserve">June 25, 2020, in </w:t>
      </w:r>
      <w:r w:rsidRPr="00633872">
        <w:rPr>
          <w:rFonts w:ascii="Times New Roman" w:hAnsi="Times New Roman"/>
          <w:sz w:val="24"/>
          <w:szCs w:val="24"/>
          <w:u w:val="single"/>
        </w:rPr>
        <w:t>Stephen E. Sanders v. McLeod Health</w:t>
      </w:r>
      <w:r>
        <w:rPr>
          <w:rFonts w:ascii="Times New Roman" w:hAnsi="Times New Roman"/>
          <w:sz w:val="24"/>
          <w:szCs w:val="24"/>
          <w:u w:val="single"/>
        </w:rPr>
        <w:t xml:space="preserve"> </w:t>
      </w:r>
      <w:proofErr w:type="spellStart"/>
      <w:r w:rsidRPr="00633872">
        <w:rPr>
          <w:rFonts w:ascii="Times New Roman" w:hAnsi="Times New Roman"/>
          <w:sz w:val="24"/>
          <w:szCs w:val="24"/>
          <w:u w:val="single"/>
        </w:rPr>
        <w:t>Claredon</w:t>
      </w:r>
      <w:proofErr w:type="spellEnd"/>
      <w:r>
        <w:rPr>
          <w:rFonts w:ascii="Times New Roman" w:hAnsi="Times New Roman"/>
          <w:sz w:val="24"/>
          <w:szCs w:val="24"/>
        </w:rPr>
        <w:t>, U.S. District Court Judge David C. Norton, U.S. District Court of South Carolina, Charleston Division, granted the hospital’s motion for summary judgment; on A</w:t>
      </w:r>
      <w:r w:rsidRPr="001B71D1">
        <w:rPr>
          <w:rFonts w:ascii="Times New Roman" w:eastAsia="Times New Roman" w:hAnsi="Times New Roman"/>
          <w:sz w:val="24"/>
          <w:szCs w:val="24"/>
        </w:rPr>
        <w:t xml:space="preserve">ugust 10, 2017, </w:t>
      </w:r>
      <w:r>
        <w:rPr>
          <w:rFonts w:ascii="Times New Roman" w:eastAsia="Times New Roman" w:hAnsi="Times New Roman"/>
          <w:sz w:val="24"/>
          <w:szCs w:val="24"/>
        </w:rPr>
        <w:t xml:space="preserve">he responded MVA involving </w:t>
      </w:r>
      <w:r w:rsidRPr="001B71D1">
        <w:rPr>
          <w:rFonts w:ascii="Times New Roman" w:eastAsia="Times New Roman" w:hAnsi="Times New Roman"/>
          <w:sz w:val="24"/>
          <w:szCs w:val="24"/>
        </w:rPr>
        <w:t>logging truck and an SUV</w:t>
      </w:r>
      <w:r>
        <w:rPr>
          <w:rFonts w:ascii="Times New Roman" w:eastAsia="Times New Roman" w:hAnsi="Times New Roman"/>
          <w:sz w:val="24"/>
          <w:szCs w:val="24"/>
        </w:rPr>
        <w:t xml:space="preserve">, where SUV driver was trapped by logs and died. </w:t>
      </w:r>
      <w:r>
        <w:rPr>
          <w:rFonts w:ascii="Times New Roman" w:hAnsi="Times New Roman"/>
          <w:sz w:val="24"/>
          <w:szCs w:val="24"/>
        </w:rPr>
        <w:t>Court wrote: “</w:t>
      </w:r>
      <w:r>
        <w:rPr>
          <w:rFonts w:ascii="Times New Roman" w:eastAsia="Times New Roman" w:hAnsi="Times New Roman"/>
          <w:sz w:val="24"/>
          <w:szCs w:val="24"/>
        </w:rPr>
        <w:t xml:space="preserve">[T]here </w:t>
      </w:r>
      <w:r w:rsidRPr="00BF19C3">
        <w:rPr>
          <w:rFonts w:ascii="Times New Roman" w:eastAsia="Times New Roman" w:hAnsi="Times New Roman"/>
          <w:sz w:val="24"/>
          <w:szCs w:val="24"/>
        </w:rPr>
        <w:t xml:space="preserve">is evidence in the record that Sanders could not perform the essential functions of his job at the time of his August 18, </w:t>
      </w:r>
      <w:proofErr w:type="gramStart"/>
      <w:r w:rsidRPr="00BF19C3">
        <w:rPr>
          <w:rFonts w:ascii="Times New Roman" w:eastAsia="Times New Roman" w:hAnsi="Times New Roman"/>
          <w:sz w:val="24"/>
          <w:szCs w:val="24"/>
        </w:rPr>
        <w:t>2017</w:t>
      </w:r>
      <w:proofErr w:type="gramEnd"/>
      <w:r w:rsidRPr="00BF19C3">
        <w:rPr>
          <w:rFonts w:ascii="Times New Roman" w:eastAsia="Times New Roman" w:hAnsi="Times New Roman"/>
          <w:sz w:val="24"/>
          <w:szCs w:val="24"/>
        </w:rPr>
        <w:t xml:space="preserve"> discharge. Sanders testified in his deposition that shortly after the August 10th accident, he began experiencing </w:t>
      </w:r>
      <w:r>
        <w:rPr>
          <w:rFonts w:ascii="Times New Roman" w:eastAsia="Times New Roman" w:hAnsi="Times New Roman"/>
          <w:sz w:val="24"/>
          <w:szCs w:val="24"/>
        </w:rPr>
        <w:t>‘</w:t>
      </w:r>
      <w:r w:rsidRPr="00BF19C3">
        <w:rPr>
          <w:rFonts w:ascii="Times New Roman" w:eastAsia="Times New Roman" w:hAnsi="Times New Roman"/>
          <w:sz w:val="24"/>
          <w:szCs w:val="24"/>
        </w:rPr>
        <w:t>severe . . . emotional problems</w:t>
      </w:r>
      <w:r>
        <w:rPr>
          <w:rFonts w:ascii="Times New Roman" w:eastAsia="Times New Roman" w:hAnsi="Times New Roman"/>
          <w:sz w:val="24"/>
          <w:szCs w:val="24"/>
        </w:rPr>
        <w:t>’</w:t>
      </w:r>
      <w:r w:rsidRPr="00BF19C3">
        <w:rPr>
          <w:rFonts w:ascii="Times New Roman" w:eastAsia="Times New Roman" w:hAnsi="Times New Roman"/>
          <w:sz w:val="24"/>
          <w:szCs w:val="24"/>
        </w:rPr>
        <w:t>, including "anxiety, depression [and] panic attacks</w:t>
      </w:r>
      <w:r>
        <w:rPr>
          <w:rFonts w:ascii="Times New Roman" w:eastAsia="Times New Roman" w:hAnsi="Times New Roman"/>
          <w:sz w:val="24"/>
          <w:szCs w:val="24"/>
        </w:rPr>
        <w:t xml:space="preserve"> …. </w:t>
      </w:r>
      <w:r w:rsidRPr="00BF19C3">
        <w:rPr>
          <w:rFonts w:ascii="Times New Roman" w:eastAsia="Times New Roman" w:hAnsi="Times New Roman"/>
          <w:sz w:val="24"/>
          <w:szCs w:val="24"/>
        </w:rPr>
        <w:t xml:space="preserve">As a result, Sanders noted that he </w:t>
      </w:r>
      <w:r>
        <w:rPr>
          <w:rFonts w:ascii="Times New Roman" w:eastAsia="Times New Roman" w:hAnsi="Times New Roman"/>
          <w:sz w:val="24"/>
          <w:szCs w:val="24"/>
        </w:rPr>
        <w:t>‘</w:t>
      </w:r>
      <w:r w:rsidRPr="00BF19C3">
        <w:rPr>
          <w:rFonts w:ascii="Times New Roman" w:eastAsia="Times New Roman" w:hAnsi="Times New Roman"/>
          <w:sz w:val="24"/>
          <w:szCs w:val="24"/>
        </w:rPr>
        <w:t>couldn't stay around</w:t>
      </w:r>
      <w:r>
        <w:rPr>
          <w:rFonts w:ascii="Times New Roman" w:eastAsia="Times New Roman" w:hAnsi="Times New Roman"/>
          <w:sz w:val="24"/>
          <w:szCs w:val="24"/>
        </w:rPr>
        <w:t>’</w:t>
      </w:r>
      <w:r w:rsidRPr="00BF19C3">
        <w:rPr>
          <w:rFonts w:ascii="Times New Roman" w:eastAsia="Times New Roman" w:hAnsi="Times New Roman"/>
          <w:sz w:val="24"/>
          <w:szCs w:val="24"/>
        </w:rPr>
        <w:t xml:space="preserve"> his place of work</w:t>
      </w:r>
      <w:r>
        <w:rPr>
          <w:rFonts w:ascii="Times New Roman" w:eastAsia="Times New Roman" w:hAnsi="Times New Roman"/>
          <w:sz w:val="24"/>
          <w:szCs w:val="24"/>
        </w:rPr>
        <w:t>… A</w:t>
      </w:r>
      <w:r w:rsidRPr="008D16D6">
        <w:rPr>
          <w:rFonts w:ascii="Times New Roman" w:hAnsi="Times New Roman"/>
          <w:sz w:val="24"/>
          <w:szCs w:val="24"/>
        </w:rPr>
        <w:t>s the first element of a prima facie case of disability discrimination, Sanders must show that he was a qualified individual with a disability at the time of his firing. There is no dispute that Sanders suffered from PTSD, a disability under the ADA, at the time of his discharge. The court's inquiry thus focuses on whether Sanders was a "qualified individual." Under the ADA, "the term 'qualified individual' means an individual who, with or without reasonable accommodation, can perform the essential functions of the employment position that such individual holds or desires." 42 U.S.C. § 12111(8). The court agrees with the R&amp;R that summary judgment is warranted on this basis because there is no evidence in the record that Sanders could perform the essential functions of his job at the time of his firing.</w:t>
      </w:r>
      <w:r>
        <w:rPr>
          <w:rFonts w:ascii="Times New Roman" w:hAnsi="Times New Roman"/>
          <w:sz w:val="24"/>
          <w:szCs w:val="24"/>
        </w:rPr>
        <w:t xml:space="preserve"> </w:t>
      </w:r>
      <w:hyperlink r:id="rId2397" w:history="1">
        <w:r w:rsidRPr="006B0F65">
          <w:rPr>
            <w:rStyle w:val="Hyperlink"/>
            <w:rFonts w:ascii="Times New Roman" w:hAnsi="Times New Roman"/>
            <w:sz w:val="24"/>
            <w:szCs w:val="24"/>
          </w:rPr>
          <w:t>https://public.fastcase.com/Wl%2B2t%2BeVuI35%2FN70vAMFZkQk422sTW9%2BWIlpk%2BnE1B7e7DrNn16tDd9SfmLDmtL4</w:t>
        </w:r>
      </w:hyperlink>
    </w:p>
    <w:p w14:paraId="73C013E4" w14:textId="2AC80811" w:rsidR="001C563D" w:rsidRDefault="001C563D" w:rsidP="001C563D">
      <w:pPr>
        <w:pStyle w:val="NoSpacing"/>
        <w:rPr>
          <w:rStyle w:val="Hyperlink"/>
          <w:rFonts w:ascii="Times New Roman" w:hAnsi="Times New Roman"/>
          <w:sz w:val="24"/>
          <w:szCs w:val="24"/>
        </w:rPr>
      </w:pPr>
    </w:p>
    <w:p w14:paraId="73A3596F" w14:textId="77777777" w:rsidR="001C563D" w:rsidRDefault="001C563D" w:rsidP="001C563D">
      <w:pPr>
        <w:pStyle w:val="NoSpacing"/>
        <w:tabs>
          <w:tab w:val="left" w:pos="3040"/>
        </w:tabs>
        <w:rPr>
          <w:rFonts w:ascii="Times New Roman" w:hAnsi="Times New Roman"/>
          <w:b/>
          <w:bCs/>
          <w:sz w:val="24"/>
          <w:szCs w:val="24"/>
        </w:rPr>
      </w:pPr>
      <w:r w:rsidRPr="008D16D6">
        <w:rPr>
          <w:rFonts w:ascii="Times New Roman" w:hAnsi="Times New Roman"/>
          <w:b/>
          <w:bCs/>
          <w:sz w:val="24"/>
          <w:szCs w:val="24"/>
        </w:rPr>
        <w:t>Legal Lessons Learned</w:t>
      </w:r>
      <w:r>
        <w:rPr>
          <w:rFonts w:ascii="Times New Roman" w:hAnsi="Times New Roman"/>
          <w:b/>
          <w:bCs/>
          <w:sz w:val="24"/>
          <w:szCs w:val="24"/>
        </w:rPr>
        <w:t xml:space="preserve">:  If the paramedic had asked the hospital for a leave of absence or other reasonable accommodation, and the hospital refused, this lawsuit might not have been dismissed. </w:t>
      </w:r>
    </w:p>
    <w:p w14:paraId="56EA3FED" w14:textId="77777777" w:rsidR="001C563D" w:rsidRDefault="001C563D" w:rsidP="001C563D">
      <w:pPr>
        <w:pStyle w:val="NoSpacing"/>
        <w:rPr>
          <w:rFonts w:ascii="Arial Black" w:hAnsi="Arial Black"/>
          <w:sz w:val="24"/>
          <w:szCs w:val="24"/>
        </w:rPr>
      </w:pPr>
    </w:p>
    <w:p w14:paraId="4598F4E3" w14:textId="62952EA5" w:rsidR="001C563D" w:rsidRDefault="001A653A" w:rsidP="000C4DF5">
      <w:pPr>
        <w:pStyle w:val="NoSpacing"/>
        <w:rPr>
          <w:rFonts w:ascii="Arial Black" w:hAnsi="Arial Black"/>
          <w:sz w:val="24"/>
          <w:szCs w:val="24"/>
        </w:rPr>
      </w:pPr>
      <w:r>
        <w:rPr>
          <w:rFonts w:ascii="Arial Black" w:hAnsi="Arial Black"/>
          <w:sz w:val="24"/>
          <w:szCs w:val="24"/>
        </w:rPr>
        <w:t>15-8</w:t>
      </w:r>
    </w:p>
    <w:p w14:paraId="102B4DAE" w14:textId="684FC89A" w:rsidR="001A653A" w:rsidRDefault="001A653A" w:rsidP="000C4DF5">
      <w:pPr>
        <w:pStyle w:val="NoSpacing"/>
        <w:rPr>
          <w:rFonts w:ascii="Arial Black" w:hAnsi="Arial Black"/>
          <w:sz w:val="24"/>
          <w:szCs w:val="24"/>
        </w:rPr>
      </w:pPr>
    </w:p>
    <w:p w14:paraId="5402370D" w14:textId="77777777" w:rsidR="001A653A" w:rsidRPr="00B64EBC" w:rsidRDefault="001A653A" w:rsidP="001A653A">
      <w:pPr>
        <w:pStyle w:val="NoSpacing"/>
        <w:rPr>
          <w:rFonts w:ascii="Arial Black" w:hAnsi="Arial Black"/>
          <w:b/>
          <w:bCs/>
          <w:sz w:val="28"/>
          <w:szCs w:val="28"/>
        </w:rPr>
      </w:pPr>
      <w:bookmarkStart w:id="580" w:name="_Hlk66950286"/>
      <w:r w:rsidRPr="00B64EBC">
        <w:rPr>
          <w:rFonts w:ascii="Arial Black" w:hAnsi="Arial Black"/>
          <w:b/>
          <w:bCs/>
          <w:sz w:val="28"/>
          <w:szCs w:val="28"/>
        </w:rPr>
        <w:t>NJ:</w:t>
      </w:r>
      <w:r>
        <w:rPr>
          <w:rFonts w:ascii="Arial Black" w:hAnsi="Arial Black"/>
          <w:b/>
          <w:bCs/>
          <w:sz w:val="28"/>
          <w:szCs w:val="28"/>
        </w:rPr>
        <w:t xml:space="preserve">  FF FAILED PSYCHOLOGICAL EXAM FOR CAREER POSITION – FORMER MARINE – MEDICAL DISCHARGE WITH PTSD – APPEAL DENIED</w:t>
      </w:r>
    </w:p>
    <w:p w14:paraId="7406C22A" w14:textId="77777777" w:rsidR="001A653A" w:rsidRDefault="001A653A" w:rsidP="001A653A">
      <w:pPr>
        <w:pStyle w:val="NoSpacing"/>
        <w:rPr>
          <w:rFonts w:ascii="Times New Roman" w:hAnsi="Times New Roman"/>
          <w:sz w:val="24"/>
          <w:szCs w:val="24"/>
        </w:rPr>
      </w:pPr>
    </w:p>
    <w:p w14:paraId="4253BA4C" w14:textId="77777777" w:rsidR="001A653A" w:rsidRPr="00C32347" w:rsidRDefault="001A653A" w:rsidP="001A653A">
      <w:pPr>
        <w:pStyle w:val="NoSpacing"/>
        <w:rPr>
          <w:rFonts w:ascii="Times New Roman" w:eastAsia="Times New Roman" w:hAnsi="Times New Roman"/>
          <w:b/>
          <w:bCs/>
          <w:sz w:val="24"/>
          <w:szCs w:val="24"/>
        </w:rPr>
      </w:pPr>
      <w:r w:rsidRPr="00B64EBC">
        <w:rPr>
          <w:rFonts w:ascii="Times New Roman" w:hAnsi="Times New Roman"/>
          <w:sz w:val="24"/>
          <w:szCs w:val="24"/>
        </w:rPr>
        <w:t xml:space="preserve">On </w:t>
      </w:r>
      <w:r>
        <w:rPr>
          <w:rFonts w:ascii="Times New Roman" w:hAnsi="Times New Roman"/>
          <w:sz w:val="24"/>
          <w:szCs w:val="24"/>
        </w:rPr>
        <w:t xml:space="preserve">June 12, 2020, in </w:t>
      </w:r>
      <w:r w:rsidRPr="00B64EBC">
        <w:rPr>
          <w:rFonts w:ascii="Times New Roman" w:hAnsi="Times New Roman"/>
          <w:sz w:val="24"/>
          <w:szCs w:val="24"/>
          <w:u w:val="single"/>
        </w:rPr>
        <w:t>Frank Rivera v. Township of Cranford</w:t>
      </w:r>
      <w:r>
        <w:rPr>
          <w:rFonts w:ascii="Times New Roman" w:hAnsi="Times New Roman"/>
          <w:sz w:val="24"/>
          <w:szCs w:val="24"/>
        </w:rPr>
        <w:t>, the Superior Court of New Jersey, Appellate Division, held (unpublished opinion) that the jury’s decision in favor of the Township is affirmed. The Court wrote: “P</w:t>
      </w:r>
      <w:r w:rsidRPr="00C32347">
        <w:rPr>
          <w:rFonts w:ascii="Times New Roman" w:hAnsi="Times New Roman"/>
          <w:sz w:val="24"/>
          <w:szCs w:val="24"/>
        </w:rPr>
        <w:t>laintiff's</w:t>
      </w:r>
      <w:r>
        <w:rPr>
          <w:rFonts w:ascii="Times New Roman" w:hAnsi="Times New Roman"/>
          <w:sz w:val="24"/>
          <w:szCs w:val="24"/>
        </w:rPr>
        <w:t xml:space="preserve"> </w:t>
      </w:r>
      <w:r w:rsidRPr="00C32347">
        <w:rPr>
          <w:rFonts w:ascii="Times New Roman" w:hAnsi="Times New Roman"/>
          <w:sz w:val="24"/>
          <w:szCs w:val="24"/>
        </w:rPr>
        <w:t>superiors</w:t>
      </w:r>
      <w:r>
        <w:rPr>
          <w:rFonts w:ascii="Times New Roman" w:hAnsi="Times New Roman"/>
          <w:sz w:val="24"/>
          <w:szCs w:val="24"/>
        </w:rPr>
        <w:t xml:space="preserve"> </w:t>
      </w:r>
      <w:r w:rsidRPr="00C32347">
        <w:rPr>
          <w:rFonts w:ascii="Times New Roman" w:hAnsi="Times New Roman"/>
          <w:sz w:val="24"/>
          <w:szCs w:val="24"/>
        </w:rPr>
        <w:t>denied ever hearing about any issues stemming from plaintiff's military service or any medical diagnoses or treatment.</w:t>
      </w:r>
      <w:r>
        <w:rPr>
          <w:rFonts w:ascii="Times New Roman" w:hAnsi="Times New Roman"/>
          <w:sz w:val="24"/>
          <w:szCs w:val="24"/>
        </w:rPr>
        <w:t xml:space="preserve"> </w:t>
      </w:r>
      <w:r w:rsidRPr="00C32347">
        <w:rPr>
          <w:rFonts w:ascii="Times New Roman" w:hAnsi="Times New Roman"/>
          <w:sz w:val="24"/>
          <w:szCs w:val="24"/>
        </w:rPr>
        <w:t>There is no evidence to support the conclusion that the persons responsible for deciding whether to appoint plaintiff as a career firefighter–Dolan and the Township Committee–had either engaged in making or had heard the negative comments</w:t>
      </w:r>
      <w:r>
        <w:rPr>
          <w:rFonts w:ascii="Times New Roman" w:hAnsi="Times New Roman"/>
          <w:sz w:val="24"/>
          <w:szCs w:val="24"/>
        </w:rPr>
        <w:t xml:space="preserve">.”  </w:t>
      </w:r>
      <w:hyperlink r:id="rId2398" w:history="1">
        <w:r w:rsidRPr="00F9258E">
          <w:rPr>
            <w:rStyle w:val="Hyperlink"/>
            <w:rFonts w:ascii="Times New Roman" w:hAnsi="Times New Roman"/>
            <w:sz w:val="24"/>
            <w:szCs w:val="24"/>
          </w:rPr>
          <w:t>https://images.law.com/contrib/content/uploads/documents/399/44956/psych.pdf</w:t>
        </w:r>
      </w:hyperlink>
      <w:r>
        <w:rPr>
          <w:rFonts w:ascii="Times New Roman" w:hAnsi="Times New Roman"/>
          <w:sz w:val="24"/>
          <w:szCs w:val="24"/>
        </w:rPr>
        <w:t xml:space="preserve"> </w:t>
      </w:r>
    </w:p>
    <w:p w14:paraId="57CFA538" w14:textId="0BC8A4DB" w:rsidR="001A653A" w:rsidRDefault="001A653A" w:rsidP="000C4DF5">
      <w:pPr>
        <w:pStyle w:val="NoSpacing"/>
        <w:rPr>
          <w:rFonts w:ascii="Arial Black" w:hAnsi="Arial Black"/>
          <w:sz w:val="24"/>
          <w:szCs w:val="24"/>
        </w:rPr>
      </w:pPr>
    </w:p>
    <w:p w14:paraId="7AA1980D" w14:textId="77777777" w:rsidR="001A653A" w:rsidRDefault="001A653A" w:rsidP="001A653A">
      <w:pPr>
        <w:pStyle w:val="NoSpacing"/>
        <w:rPr>
          <w:rFonts w:ascii="Times New Roman" w:hAnsi="Times New Roman"/>
          <w:b/>
          <w:bCs/>
          <w:sz w:val="24"/>
          <w:szCs w:val="24"/>
        </w:rPr>
      </w:pPr>
      <w:r w:rsidRPr="00EA7DA2">
        <w:rPr>
          <w:rFonts w:ascii="Times New Roman" w:hAnsi="Times New Roman"/>
          <w:b/>
          <w:bCs/>
          <w:sz w:val="24"/>
          <w:szCs w:val="24"/>
        </w:rPr>
        <w:t xml:space="preserve">Legal Lessons Learned: </w:t>
      </w:r>
      <w:r>
        <w:rPr>
          <w:rFonts w:ascii="Times New Roman" w:hAnsi="Times New Roman"/>
          <w:b/>
          <w:bCs/>
          <w:sz w:val="24"/>
          <w:szCs w:val="24"/>
        </w:rPr>
        <w:t>PTSD is a difficult burden.  Question: Would you allow the firefighter in this case to later take another psychological exam?</w:t>
      </w:r>
    </w:p>
    <w:p w14:paraId="24531546" w14:textId="77777777" w:rsidR="001A653A" w:rsidRDefault="001A653A" w:rsidP="001A653A">
      <w:pPr>
        <w:pStyle w:val="NoSpacing"/>
        <w:rPr>
          <w:rFonts w:ascii="Times New Roman" w:hAnsi="Times New Roman"/>
          <w:b/>
          <w:bCs/>
          <w:sz w:val="24"/>
          <w:szCs w:val="24"/>
        </w:rPr>
      </w:pPr>
    </w:p>
    <w:p w14:paraId="2263DD4C" w14:textId="77777777" w:rsidR="001A653A" w:rsidRPr="00EA7DA2" w:rsidRDefault="001A653A" w:rsidP="001A653A">
      <w:pPr>
        <w:pStyle w:val="NoSpacing"/>
        <w:ind w:left="720"/>
        <w:rPr>
          <w:rFonts w:ascii="Times New Roman" w:hAnsi="Times New Roman"/>
          <w:sz w:val="24"/>
          <w:szCs w:val="24"/>
        </w:rPr>
      </w:pPr>
      <w:r w:rsidRPr="00EA7DA2">
        <w:rPr>
          <w:rFonts w:ascii="Times New Roman" w:hAnsi="Times New Roman"/>
          <w:sz w:val="24"/>
          <w:szCs w:val="24"/>
        </w:rPr>
        <w:t xml:space="preserve">Note: </w:t>
      </w:r>
      <w:r>
        <w:rPr>
          <w:rFonts w:ascii="Times New Roman" w:hAnsi="Times New Roman"/>
          <w:sz w:val="24"/>
          <w:szCs w:val="24"/>
        </w:rPr>
        <w:t xml:space="preserve">See this article: </w:t>
      </w:r>
      <w:r w:rsidRPr="00EA7DA2">
        <w:rPr>
          <w:rFonts w:ascii="Times New Roman" w:hAnsi="Times New Roman"/>
          <w:sz w:val="24"/>
          <w:szCs w:val="24"/>
          <w:u w:val="single"/>
        </w:rPr>
        <w:t>Tips on how to pass your Firefighter Psychological Test</w:t>
      </w:r>
      <w:r w:rsidRPr="00EA7DA2">
        <w:rPr>
          <w:rFonts w:ascii="Times New Roman" w:hAnsi="Times New Roman"/>
          <w:sz w:val="24"/>
          <w:szCs w:val="24"/>
        </w:rPr>
        <w:t xml:space="preserve"> (June 24, 2019):</w:t>
      </w:r>
      <w:r>
        <w:rPr>
          <w:rFonts w:ascii="Times New Roman" w:hAnsi="Times New Roman"/>
          <w:sz w:val="24"/>
          <w:szCs w:val="24"/>
        </w:rPr>
        <w:t xml:space="preserve"> </w:t>
      </w:r>
      <w:r w:rsidRPr="00EA7DA2">
        <w:rPr>
          <w:rFonts w:ascii="Times New Roman" w:hAnsi="Times New Roman"/>
          <w:sz w:val="24"/>
          <w:szCs w:val="24"/>
        </w:rPr>
        <w:t xml:space="preserve">First, consider answering the questions briefly and honestly with the best of your ability. Secondly, before you answer any questions from the interviewer, take time to think and come up with the correct answer. Thirdly, don’t rush with your answers, be calm consider the questions for some time, take a deep breath and offer your solutions. </w:t>
      </w:r>
      <w:hyperlink r:id="rId2399" w:history="1">
        <w:r w:rsidRPr="00EA7DA2">
          <w:rPr>
            <w:rStyle w:val="Hyperlink"/>
            <w:rFonts w:ascii="Times New Roman" w:hAnsi="Times New Roman"/>
            <w:sz w:val="24"/>
            <w:szCs w:val="24"/>
          </w:rPr>
          <w:t>http://www.firefighters-exam.com/2019/06/24/tips-on-how-to-pass-your-firefighter-psychological-test/</w:t>
        </w:r>
      </w:hyperlink>
      <w:r w:rsidRPr="00EA7DA2">
        <w:rPr>
          <w:rFonts w:ascii="Times New Roman" w:hAnsi="Times New Roman"/>
          <w:sz w:val="24"/>
          <w:szCs w:val="24"/>
        </w:rPr>
        <w:t xml:space="preserve"> </w:t>
      </w:r>
    </w:p>
    <w:bookmarkEnd w:id="580"/>
    <w:p w14:paraId="6C2D6F4B" w14:textId="77777777" w:rsidR="001A653A" w:rsidRDefault="001A653A" w:rsidP="001A653A">
      <w:pPr>
        <w:pStyle w:val="NoSpacing"/>
        <w:rPr>
          <w:rFonts w:ascii="Times New Roman" w:hAnsi="Times New Roman"/>
          <w:sz w:val="24"/>
          <w:szCs w:val="24"/>
        </w:rPr>
      </w:pPr>
    </w:p>
    <w:p w14:paraId="2B691D9B" w14:textId="77777777" w:rsidR="001A653A" w:rsidRDefault="001A653A" w:rsidP="000C4DF5">
      <w:pPr>
        <w:pStyle w:val="NoSpacing"/>
        <w:rPr>
          <w:rFonts w:ascii="Arial Black" w:hAnsi="Arial Black"/>
          <w:sz w:val="24"/>
          <w:szCs w:val="24"/>
        </w:rPr>
      </w:pPr>
    </w:p>
    <w:p w14:paraId="0FC9FF6E" w14:textId="77777777" w:rsidR="001C563D" w:rsidRDefault="001C563D" w:rsidP="000C4DF5">
      <w:pPr>
        <w:pStyle w:val="NoSpacing"/>
        <w:rPr>
          <w:rFonts w:ascii="Arial Black" w:hAnsi="Arial Black"/>
          <w:sz w:val="24"/>
          <w:szCs w:val="24"/>
        </w:rPr>
      </w:pPr>
    </w:p>
    <w:p w14:paraId="05856C7B" w14:textId="17F792DE" w:rsidR="00FA7B26" w:rsidRDefault="00FA7B26" w:rsidP="000C4DF5">
      <w:pPr>
        <w:pStyle w:val="NoSpacing"/>
        <w:rPr>
          <w:rFonts w:ascii="Arial Black" w:hAnsi="Arial Black"/>
          <w:sz w:val="24"/>
          <w:szCs w:val="24"/>
        </w:rPr>
      </w:pPr>
      <w:r>
        <w:rPr>
          <w:rFonts w:ascii="Arial Black" w:hAnsi="Arial Black"/>
          <w:sz w:val="24"/>
          <w:szCs w:val="24"/>
        </w:rPr>
        <w:t>15-7</w:t>
      </w:r>
    </w:p>
    <w:p w14:paraId="5321AC53" w14:textId="77777777" w:rsidR="00FA7B26" w:rsidRDefault="00FA7B26" w:rsidP="00FA7B26">
      <w:pPr>
        <w:spacing w:before="100" w:beforeAutospacing="1" w:after="100" w:afterAutospacing="1" w:line="240" w:lineRule="auto"/>
        <w:jc w:val="both"/>
        <w:rPr>
          <w:rFonts w:ascii="Arial Black" w:eastAsia="Times New Roman" w:hAnsi="Arial Black"/>
          <w:b/>
          <w:bCs/>
          <w:sz w:val="28"/>
          <w:szCs w:val="28"/>
        </w:rPr>
      </w:pPr>
      <w:r w:rsidRPr="00EF0D90">
        <w:rPr>
          <w:rFonts w:ascii="Arial Black" w:eastAsia="Times New Roman" w:hAnsi="Arial Black"/>
          <w:b/>
          <w:bCs/>
          <w:sz w:val="28"/>
          <w:szCs w:val="28"/>
        </w:rPr>
        <w:t xml:space="preserve">NY: </w:t>
      </w:r>
      <w:r>
        <w:rPr>
          <w:rFonts w:ascii="Arial Black" w:eastAsia="Times New Roman" w:hAnsi="Arial Black"/>
          <w:b/>
          <w:bCs/>
          <w:sz w:val="28"/>
          <w:szCs w:val="28"/>
        </w:rPr>
        <w:t>FORMER FDNY EMT WITH PTSD – U.S. SOCIAL SECURITY DENIED BECAUSE SHE CAN PERFORM OTHER JOBS – COURT ORDERS SOCIAL SECURITY TO MAKE FUTHER REVIEW</w:t>
      </w:r>
    </w:p>
    <w:p w14:paraId="7D0C1229" w14:textId="195A357B" w:rsidR="00FA7B26" w:rsidRDefault="00FA7B26" w:rsidP="00FA7B26">
      <w:pPr>
        <w:pStyle w:val="NoSpacing"/>
        <w:rPr>
          <w:rStyle w:val="Hyperlink"/>
          <w:sz w:val="24"/>
          <w:szCs w:val="24"/>
        </w:rPr>
      </w:pPr>
      <w:r w:rsidRPr="002C5236">
        <w:rPr>
          <w:rFonts w:ascii="Times New Roman" w:eastAsia="Times New Roman" w:hAnsi="Times New Roman"/>
          <w:sz w:val="24"/>
          <w:szCs w:val="24"/>
        </w:rPr>
        <w:t xml:space="preserve">On May 18, 2020, in </w:t>
      </w:r>
      <w:r w:rsidRPr="002C5236">
        <w:rPr>
          <w:rFonts w:ascii="Times New Roman" w:eastAsia="Times New Roman" w:hAnsi="Times New Roman"/>
          <w:sz w:val="24"/>
          <w:szCs w:val="24"/>
          <w:u w:val="single"/>
        </w:rPr>
        <w:t xml:space="preserve">Eileen </w:t>
      </w:r>
      <w:proofErr w:type="spellStart"/>
      <w:r w:rsidRPr="002C5236">
        <w:rPr>
          <w:rFonts w:ascii="Times New Roman" w:eastAsia="Times New Roman" w:hAnsi="Times New Roman"/>
          <w:sz w:val="24"/>
          <w:szCs w:val="24"/>
          <w:u w:val="single"/>
        </w:rPr>
        <w:t>Dechberry</w:t>
      </w:r>
      <w:proofErr w:type="spellEnd"/>
      <w:r w:rsidRPr="002C5236">
        <w:rPr>
          <w:rFonts w:ascii="Times New Roman" w:eastAsia="Times New Roman" w:hAnsi="Times New Roman"/>
          <w:sz w:val="24"/>
          <w:szCs w:val="24"/>
          <w:u w:val="single"/>
        </w:rPr>
        <w:t xml:space="preserve"> v. Nancy A. Berryhill, Acting Commissioner of Social Security</w:t>
      </w:r>
      <w:r>
        <w:rPr>
          <w:rFonts w:ascii="Times New Roman" w:eastAsia="Times New Roman" w:hAnsi="Times New Roman"/>
          <w:sz w:val="24"/>
          <w:szCs w:val="24"/>
        </w:rPr>
        <w:t xml:space="preserve">, Chief U.S. District Court Judge Roslynn R. Mauskopf, Eastern District of New York (Brooklyn) granted the EMT’s motion to remand to Social Security for further review. </w:t>
      </w:r>
      <w:hyperlink r:id="rId2400" w:history="1">
        <w:r w:rsidRPr="00502F08">
          <w:rPr>
            <w:rStyle w:val="Hyperlink"/>
            <w:sz w:val="24"/>
            <w:szCs w:val="24"/>
          </w:rPr>
          <w:t>https://public.fastcase.com/Wl%2B2t%2BeVuI35%2FN70vAMFZhAr68AdbratCNmy2dcHSKg4lqOPhLPvbyL5oFysv%2FPr</w:t>
        </w:r>
      </w:hyperlink>
    </w:p>
    <w:p w14:paraId="375C20C4" w14:textId="77777777" w:rsidR="00FA7B26" w:rsidRPr="002C5236" w:rsidRDefault="00FA7B26" w:rsidP="00FA7B26">
      <w:pPr>
        <w:spacing w:before="100" w:beforeAutospacing="1" w:after="100" w:afterAutospacing="1" w:line="240" w:lineRule="auto"/>
        <w:rPr>
          <w:rFonts w:ascii="Times New Roman" w:eastAsia="Times New Roman" w:hAnsi="Times New Roman"/>
          <w:b/>
          <w:bCs/>
          <w:sz w:val="24"/>
          <w:szCs w:val="24"/>
        </w:rPr>
      </w:pPr>
      <w:r w:rsidRPr="00EA4371">
        <w:rPr>
          <w:rFonts w:ascii="Times New Roman" w:eastAsia="Times New Roman" w:hAnsi="Times New Roman"/>
          <w:b/>
          <w:bCs/>
          <w:sz w:val="24"/>
          <w:szCs w:val="24"/>
        </w:rPr>
        <w:t xml:space="preserve">Legal Lessons Learned: Mental health for emergency responders is thankfully now an item of great attention in </w:t>
      </w:r>
      <w:proofErr w:type="gramStart"/>
      <w:r w:rsidRPr="00EA4371">
        <w:rPr>
          <w:rFonts w:ascii="Times New Roman" w:eastAsia="Times New Roman" w:hAnsi="Times New Roman"/>
          <w:b/>
          <w:bCs/>
          <w:sz w:val="24"/>
          <w:szCs w:val="24"/>
        </w:rPr>
        <w:t>the Fire</w:t>
      </w:r>
      <w:proofErr w:type="gramEnd"/>
      <w:r w:rsidRPr="00EA4371">
        <w:rPr>
          <w:rFonts w:ascii="Times New Roman" w:eastAsia="Times New Roman" w:hAnsi="Times New Roman"/>
          <w:b/>
          <w:bCs/>
          <w:sz w:val="24"/>
          <w:szCs w:val="24"/>
        </w:rPr>
        <w:t xml:space="preserve">, EMS and Law Enforcement, including Peer Support Teams. </w:t>
      </w:r>
    </w:p>
    <w:p w14:paraId="74AD4C7C" w14:textId="77777777" w:rsidR="00FA7B26" w:rsidRDefault="00FA7B26" w:rsidP="00FA7B26">
      <w:pPr>
        <w:pStyle w:val="NoSpacing"/>
        <w:rPr>
          <w:rFonts w:ascii="Arial Black" w:hAnsi="Arial Black"/>
          <w:sz w:val="24"/>
          <w:szCs w:val="24"/>
        </w:rPr>
      </w:pPr>
    </w:p>
    <w:p w14:paraId="572BB697" w14:textId="77777777" w:rsidR="00FA7B26" w:rsidRDefault="00FA7B26" w:rsidP="000C4DF5">
      <w:pPr>
        <w:pStyle w:val="NoSpacing"/>
        <w:rPr>
          <w:rFonts w:ascii="Arial Black" w:hAnsi="Arial Black"/>
          <w:sz w:val="24"/>
          <w:szCs w:val="24"/>
        </w:rPr>
      </w:pPr>
    </w:p>
    <w:p w14:paraId="3E8B772B" w14:textId="77777777" w:rsidR="00FA7B26" w:rsidRDefault="00FA7B26" w:rsidP="000C4DF5">
      <w:pPr>
        <w:pStyle w:val="NoSpacing"/>
        <w:rPr>
          <w:rFonts w:ascii="Arial Black" w:hAnsi="Arial Black"/>
          <w:sz w:val="24"/>
          <w:szCs w:val="24"/>
        </w:rPr>
      </w:pPr>
    </w:p>
    <w:p w14:paraId="610B8C77" w14:textId="4308AAC1" w:rsidR="00366CDD" w:rsidRPr="00D8433A" w:rsidRDefault="00366CDD" w:rsidP="000C4DF5">
      <w:pPr>
        <w:pStyle w:val="NoSpacing"/>
        <w:rPr>
          <w:rFonts w:ascii="Times New Roman" w:hAnsi="Times New Roman"/>
          <w:sz w:val="24"/>
          <w:szCs w:val="24"/>
        </w:rPr>
      </w:pPr>
      <w:r>
        <w:rPr>
          <w:rFonts w:ascii="Arial Black" w:hAnsi="Arial Black"/>
          <w:sz w:val="24"/>
          <w:szCs w:val="24"/>
        </w:rPr>
        <w:t>15-</w:t>
      </w:r>
      <w:r w:rsidR="000F18B0">
        <w:rPr>
          <w:rFonts w:ascii="Arial Black" w:hAnsi="Arial Black"/>
          <w:sz w:val="24"/>
          <w:szCs w:val="24"/>
        </w:rPr>
        <w:t>6</w:t>
      </w:r>
      <w:r>
        <w:rPr>
          <w:rFonts w:ascii="Arial Black" w:hAnsi="Arial Black"/>
          <w:sz w:val="24"/>
          <w:szCs w:val="24"/>
        </w:rPr>
        <w:t xml:space="preserve"> </w:t>
      </w:r>
      <w:r w:rsidRPr="00D8433A">
        <w:rPr>
          <w:rFonts w:ascii="Times New Roman" w:hAnsi="Times New Roman"/>
          <w:sz w:val="24"/>
          <w:szCs w:val="24"/>
        </w:rPr>
        <w:t>[Also filed, Chap. 9 &amp; Chap. 10]</w:t>
      </w:r>
    </w:p>
    <w:p w14:paraId="60B2594B" w14:textId="77777777" w:rsidR="00366CDD" w:rsidRPr="00A670C3" w:rsidRDefault="00366CDD" w:rsidP="00366CDD">
      <w:pPr>
        <w:spacing w:before="100" w:beforeAutospacing="1" w:after="100" w:afterAutospacing="1" w:line="240" w:lineRule="auto"/>
        <w:rPr>
          <w:rFonts w:ascii="Arial Black" w:eastAsia="Times New Roman" w:hAnsi="Arial Black"/>
          <w:sz w:val="28"/>
          <w:szCs w:val="28"/>
        </w:rPr>
      </w:pPr>
      <w:r w:rsidRPr="00A670C3">
        <w:rPr>
          <w:rFonts w:ascii="Arial Black" w:eastAsia="Times New Roman" w:hAnsi="Arial Black"/>
          <w:sz w:val="28"/>
          <w:szCs w:val="28"/>
        </w:rPr>
        <w:t xml:space="preserve">PA: </w:t>
      </w:r>
      <w:r>
        <w:rPr>
          <w:rFonts w:ascii="Arial Black" w:eastAsia="Times New Roman" w:hAnsi="Arial Black"/>
          <w:sz w:val="28"/>
          <w:szCs w:val="28"/>
        </w:rPr>
        <w:t>FF PANIC ATTACK ON DUTY – PTSD, MEDICATION – NO LONGER QUALIFIED AS FF – TERMINATION NOT VIOL. ADA</w:t>
      </w:r>
    </w:p>
    <w:p w14:paraId="35186AF6" w14:textId="77777777" w:rsidR="00366CDD" w:rsidRPr="008561E5" w:rsidRDefault="00366CDD" w:rsidP="00366CD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17, 2020, in </w:t>
      </w:r>
      <w:r w:rsidRPr="008561E5">
        <w:rPr>
          <w:rFonts w:ascii="Times New Roman" w:eastAsia="Times New Roman" w:hAnsi="Times New Roman"/>
          <w:sz w:val="24"/>
          <w:szCs w:val="24"/>
          <w:u w:val="single"/>
        </w:rPr>
        <w:t xml:space="preserve">Robert Carpenter v. York Area United Fire </w:t>
      </w:r>
      <w:proofErr w:type="gramStart"/>
      <w:r w:rsidRPr="008561E5">
        <w:rPr>
          <w:rFonts w:ascii="Times New Roman" w:eastAsia="Times New Roman" w:hAnsi="Times New Roman"/>
          <w:sz w:val="24"/>
          <w:szCs w:val="24"/>
          <w:u w:val="single"/>
        </w:rPr>
        <w:t>And</w:t>
      </w:r>
      <w:proofErr w:type="gramEnd"/>
      <w:r w:rsidRPr="008561E5">
        <w:rPr>
          <w:rFonts w:ascii="Times New Roman" w:eastAsia="Times New Roman" w:hAnsi="Times New Roman"/>
          <w:sz w:val="24"/>
          <w:szCs w:val="24"/>
          <w:u w:val="single"/>
        </w:rPr>
        <w:t xml:space="preserve"> Rescue</w:t>
      </w:r>
      <w:r>
        <w:rPr>
          <w:rFonts w:ascii="Times New Roman" w:eastAsia="Times New Roman" w:hAnsi="Times New Roman"/>
          <w:sz w:val="24"/>
          <w:szCs w:val="24"/>
        </w:rPr>
        <w:t>, U.S. District Court Judge Christopher C. Conner, Chief Judge, Middle District of Pennsylvania, granted the FD’s motion for summary judgment.  The Court held that the firefighter was not a “</w:t>
      </w:r>
      <w:r w:rsidRPr="00A670C3">
        <w:rPr>
          <w:rFonts w:ascii="Times New Roman" w:eastAsia="Times New Roman" w:hAnsi="Times New Roman"/>
          <w:sz w:val="24"/>
          <w:szCs w:val="24"/>
        </w:rPr>
        <w:t>qualified individual for ADA purposes because he could not perform the essential functions of his job with or without reasonable accommodation</w:t>
      </w:r>
      <w:r>
        <w:rPr>
          <w:rFonts w:ascii="Times New Roman" w:eastAsia="Times New Roman" w:hAnsi="Times New Roman"/>
          <w:sz w:val="24"/>
          <w:szCs w:val="24"/>
        </w:rPr>
        <w:t>,” and indefinite leave of absence was not a reasonable accommodation; “</w:t>
      </w:r>
      <w:r w:rsidRPr="008561E5">
        <w:rPr>
          <w:rFonts w:ascii="Times New Roman" w:hAnsi="Times New Roman"/>
          <w:sz w:val="24"/>
          <w:szCs w:val="24"/>
        </w:rPr>
        <w:t xml:space="preserve">there must be some expectation that the employee could perform his essential job functions in the </w:t>
      </w:r>
      <w:r>
        <w:rPr>
          <w:rFonts w:ascii="Times New Roman" w:hAnsi="Times New Roman"/>
          <w:sz w:val="24"/>
          <w:szCs w:val="24"/>
        </w:rPr>
        <w:t>‘</w:t>
      </w:r>
      <w:r w:rsidRPr="008561E5">
        <w:rPr>
          <w:rFonts w:ascii="Times New Roman" w:hAnsi="Times New Roman"/>
          <w:sz w:val="24"/>
          <w:szCs w:val="24"/>
        </w:rPr>
        <w:t>near future</w:t>
      </w:r>
      <w:r>
        <w:rPr>
          <w:rFonts w:ascii="Times New Roman" w:hAnsi="Times New Roman"/>
          <w:sz w:val="24"/>
          <w:szCs w:val="24"/>
        </w:rPr>
        <w:t>’</w:t>
      </w:r>
      <w:r w:rsidRPr="008561E5">
        <w:rPr>
          <w:rFonts w:ascii="Times New Roman" w:hAnsi="Times New Roman"/>
          <w:sz w:val="24"/>
          <w:szCs w:val="24"/>
        </w:rPr>
        <w:t xml:space="preserve"> following the requested leave.</w:t>
      </w:r>
      <w:r>
        <w:rPr>
          <w:rFonts w:ascii="Times New Roman" w:hAnsi="Times New Roman"/>
          <w:sz w:val="24"/>
          <w:szCs w:val="24"/>
        </w:rPr>
        <w:t xml:space="preserve">   </w:t>
      </w:r>
    </w:p>
    <w:p w14:paraId="04CC3B9C" w14:textId="77777777" w:rsidR="00366CDD" w:rsidRDefault="00366CDD" w:rsidP="00366CDD">
      <w:pPr>
        <w:pStyle w:val="NormalWeb"/>
        <w:ind w:left="720"/>
      </w:pPr>
      <w:r>
        <w:t xml:space="preserve">“[Fire Department] </w:t>
      </w:r>
      <w:r w:rsidRPr="00A670C3">
        <w:t>argues that Carpenter is not a qualified individual for ADA purposes because he could not perform the essential functions of his job with or without reasonable accommodation. We agree.</w:t>
      </w:r>
      <w:r>
        <w:t xml:space="preserve">” </w:t>
      </w:r>
      <w:hyperlink r:id="rId2401" w:history="1">
        <w:r w:rsidRPr="00377614">
          <w:rPr>
            <w:rStyle w:val="Hyperlink"/>
          </w:rPr>
          <w:t>https://public.fastcase.com/Wl%2B2t%2BeVuI35%2FN70vAMFZkkc03nKI8qkpSJ%2FzmzLggswfoR1RvbDETmM60pPGUhc</w:t>
        </w:r>
      </w:hyperlink>
      <w:r>
        <w:t xml:space="preserve"> </w:t>
      </w:r>
    </w:p>
    <w:p w14:paraId="2A1773CA" w14:textId="77777777" w:rsidR="00366CDD" w:rsidRPr="00DE2E06" w:rsidRDefault="00366CDD" w:rsidP="00366CDD">
      <w:pPr>
        <w:rPr>
          <w:rFonts w:ascii="Times New Roman" w:hAnsi="Times New Roman"/>
          <w:b/>
          <w:bCs/>
          <w:sz w:val="24"/>
          <w:szCs w:val="24"/>
        </w:rPr>
      </w:pPr>
      <w:r w:rsidRPr="00DE2E06">
        <w:rPr>
          <w:rFonts w:ascii="Times New Roman" w:hAnsi="Times New Roman"/>
          <w:b/>
          <w:bCs/>
          <w:sz w:val="24"/>
          <w:szCs w:val="24"/>
        </w:rPr>
        <w:t>Legal Lessons Learned:  FF on leave and undergoing treatment, who desires to get back to the job, needs to stay in communication with FD.</w:t>
      </w:r>
      <w:r>
        <w:rPr>
          <w:rFonts w:ascii="Times New Roman" w:hAnsi="Times New Roman"/>
          <w:b/>
          <w:bCs/>
          <w:sz w:val="24"/>
          <w:szCs w:val="24"/>
        </w:rPr>
        <w:t xml:space="preserve">   FMLA also addressed (see below).</w:t>
      </w:r>
    </w:p>
    <w:p w14:paraId="60C1D4FD" w14:textId="77777777" w:rsidR="00366CDD" w:rsidRPr="00063DF6" w:rsidRDefault="00366CDD" w:rsidP="00366CDD">
      <w:pPr>
        <w:pStyle w:val="NormalWeb"/>
        <w:ind w:left="720"/>
        <w:rPr>
          <w:b/>
          <w:bCs/>
        </w:rPr>
      </w:pPr>
      <w:r w:rsidRPr="00063DF6">
        <w:t xml:space="preserve">Note:  </w:t>
      </w:r>
      <w:r>
        <w:t xml:space="preserve">Court also held that the FF was not </w:t>
      </w:r>
      <w:proofErr w:type="gramStart"/>
      <w:r>
        <w:t>entitle</w:t>
      </w:r>
      <w:proofErr w:type="gramEnd"/>
      <w:r>
        <w:t xml:space="preserve"> the FMLA leave. </w:t>
      </w:r>
      <w:r>
        <w:rPr>
          <w:bCs/>
        </w:rPr>
        <w:t>“</w:t>
      </w:r>
      <w:r w:rsidRPr="00A670C3">
        <w:rPr>
          <w:bCs/>
        </w:rPr>
        <w:t>In a letter dated October 11, 2017, YAUFR denied Carpenter's FMLA leave request</w:t>
      </w:r>
      <w:r>
        <w:rPr>
          <w:bCs/>
        </w:rPr>
        <w:t xml:space="preserve">…. </w:t>
      </w:r>
      <w:r w:rsidRPr="00A670C3">
        <w:rPr>
          <w:bCs/>
        </w:rPr>
        <w:t xml:space="preserve"> </w:t>
      </w:r>
      <w:r>
        <w:rPr>
          <w:bCs/>
        </w:rPr>
        <w:tab/>
      </w:r>
      <w:r w:rsidRPr="00A670C3">
        <w:rPr>
          <w:bCs/>
        </w:rPr>
        <w:t xml:space="preserve"> YAUFR explained that, although it was a covered employer under the FMLA, it did not employ the requisite number of people for Carpenter to be considered an </w:t>
      </w:r>
      <w:r>
        <w:rPr>
          <w:bCs/>
        </w:rPr>
        <w:t>‘</w:t>
      </w:r>
      <w:r w:rsidRPr="00A670C3">
        <w:rPr>
          <w:bCs/>
        </w:rPr>
        <w:t>eligible employee</w:t>
      </w:r>
      <w:r>
        <w:rPr>
          <w:bCs/>
        </w:rPr>
        <w:t>’</w:t>
      </w:r>
      <w:r w:rsidRPr="00A670C3">
        <w:rPr>
          <w:bCs/>
        </w:rPr>
        <w:t xml:space="preserve"> under FMLA regulations.</w:t>
      </w:r>
      <w:r>
        <w:rPr>
          <w:bCs/>
        </w:rPr>
        <w:t xml:space="preserve"> *** </w:t>
      </w:r>
      <w:r w:rsidRPr="00063DF6">
        <w:rPr>
          <w:bCs/>
        </w:rPr>
        <w:t xml:space="preserve">To qualify as an </w:t>
      </w:r>
      <w:r>
        <w:rPr>
          <w:bCs/>
        </w:rPr>
        <w:t>‘</w:t>
      </w:r>
      <w:r w:rsidRPr="00063DF6">
        <w:rPr>
          <w:bCs/>
        </w:rPr>
        <w:t>eligible employee,</w:t>
      </w:r>
      <w:r>
        <w:rPr>
          <w:bCs/>
        </w:rPr>
        <w:t>’</w:t>
      </w:r>
      <w:r w:rsidRPr="00063DF6">
        <w:rPr>
          <w:bCs/>
        </w:rPr>
        <w:t xml:space="preserve"> the employee must be </w:t>
      </w:r>
      <w:r>
        <w:rPr>
          <w:bCs/>
        </w:rPr>
        <w:t>‘</w:t>
      </w:r>
      <w:r w:rsidRPr="00063DF6">
        <w:rPr>
          <w:bCs/>
        </w:rPr>
        <w:t>employed at a worksite where 50 or more employees are employed by the employer within 75 miles of that worksite.</w:t>
      </w:r>
      <w:r>
        <w:rPr>
          <w:bCs/>
        </w:rPr>
        <w:t>’</w:t>
      </w:r>
      <w:r w:rsidRPr="00063DF6">
        <w:rPr>
          <w:bCs/>
        </w:rPr>
        <w:t xml:space="preserve"> 29 C.F.R. § 825.110(a)(3); see 29 U.S.C. § 2611(2)(B)(ii). YAUFR avers, and Carpenter concedes, that YAUFR has never employed 50 or more people.</w:t>
      </w:r>
      <w:r>
        <w:rPr>
          <w:bCs/>
        </w:rPr>
        <w:t>”</w:t>
      </w:r>
    </w:p>
    <w:p w14:paraId="10C495C5" w14:textId="77777777" w:rsidR="00366CDD" w:rsidRDefault="00366CDD" w:rsidP="000C4DF5">
      <w:pPr>
        <w:pStyle w:val="NoSpacing"/>
        <w:rPr>
          <w:rFonts w:ascii="Arial Black" w:hAnsi="Arial Black"/>
          <w:sz w:val="24"/>
          <w:szCs w:val="24"/>
        </w:rPr>
      </w:pPr>
    </w:p>
    <w:p w14:paraId="27E214B3" w14:textId="0DAB946C" w:rsidR="00366CDD" w:rsidRDefault="0012517E" w:rsidP="000C4DF5">
      <w:pPr>
        <w:pStyle w:val="NoSpacing"/>
        <w:rPr>
          <w:rFonts w:ascii="Arial Black" w:hAnsi="Arial Black"/>
          <w:sz w:val="24"/>
          <w:szCs w:val="24"/>
        </w:rPr>
      </w:pPr>
      <w:r>
        <w:rPr>
          <w:rFonts w:ascii="Arial Black" w:hAnsi="Arial Black"/>
          <w:sz w:val="24"/>
          <w:szCs w:val="24"/>
        </w:rPr>
        <w:t>15-5</w:t>
      </w:r>
    </w:p>
    <w:p w14:paraId="3EA60D97" w14:textId="7ACBA758" w:rsidR="0012517E" w:rsidRDefault="0012517E" w:rsidP="000C4DF5">
      <w:pPr>
        <w:pStyle w:val="NoSpacing"/>
        <w:rPr>
          <w:rFonts w:ascii="Arial Black" w:hAnsi="Arial Black"/>
          <w:sz w:val="24"/>
          <w:szCs w:val="24"/>
        </w:rPr>
      </w:pPr>
    </w:p>
    <w:p w14:paraId="31EE0F7E" w14:textId="77777777" w:rsidR="0012517E" w:rsidRPr="00C6323F" w:rsidRDefault="0012517E" w:rsidP="0012517E">
      <w:pPr>
        <w:pStyle w:val="NoSpacing"/>
        <w:rPr>
          <w:rFonts w:ascii="Arial Black" w:hAnsi="Arial Black"/>
          <w:sz w:val="28"/>
          <w:szCs w:val="28"/>
        </w:rPr>
      </w:pPr>
      <w:r w:rsidRPr="00C6323F">
        <w:rPr>
          <w:rFonts w:ascii="Arial Black" w:hAnsi="Arial Black"/>
          <w:sz w:val="28"/>
          <w:szCs w:val="28"/>
        </w:rPr>
        <w:t>MA:</w:t>
      </w:r>
      <w:r>
        <w:rPr>
          <w:rFonts w:ascii="Arial Black" w:hAnsi="Arial Black"/>
          <w:sz w:val="28"/>
          <w:szCs w:val="28"/>
        </w:rPr>
        <w:t xml:space="preserve"> ANGER MGT, THREATS TO “GO POSTAL” – PAID LEAVE 1-YR - DIDN’T COMPLY RETURN-TO-WORK REQUIREMENTS - FIRED</w:t>
      </w:r>
    </w:p>
    <w:p w14:paraId="14D5319D" w14:textId="77777777" w:rsidR="0012517E" w:rsidRDefault="0012517E" w:rsidP="0012517E">
      <w:pPr>
        <w:pStyle w:val="NoSpacing"/>
        <w:rPr>
          <w:b/>
          <w:bCs/>
          <w:sz w:val="24"/>
          <w:szCs w:val="24"/>
        </w:rPr>
      </w:pPr>
    </w:p>
    <w:p w14:paraId="51DD0988" w14:textId="77777777" w:rsidR="0012517E" w:rsidRPr="00D61723" w:rsidRDefault="0012517E" w:rsidP="0012517E">
      <w:pPr>
        <w:pStyle w:val="NoSpacing"/>
        <w:rPr>
          <w:rFonts w:ascii="Times New Roman" w:hAnsi="Times New Roman"/>
          <w:b/>
          <w:bCs/>
          <w:sz w:val="24"/>
          <w:szCs w:val="24"/>
        </w:rPr>
      </w:pPr>
      <w:r w:rsidRPr="00D61723">
        <w:rPr>
          <w:rFonts w:ascii="Times New Roman" w:hAnsi="Times New Roman"/>
          <w:bCs/>
          <w:sz w:val="24"/>
          <w:szCs w:val="24"/>
        </w:rPr>
        <w:t xml:space="preserve">On April 2, 2020, in </w:t>
      </w:r>
      <w:r w:rsidRPr="00D61723">
        <w:rPr>
          <w:rFonts w:ascii="Times New Roman" w:hAnsi="Times New Roman"/>
          <w:bCs/>
          <w:sz w:val="24"/>
          <w:szCs w:val="24"/>
          <w:u w:val="single"/>
        </w:rPr>
        <w:t>Gerald Alston v. Town of Brookline, Massachusetts</w:t>
      </w:r>
      <w:r w:rsidRPr="00D61723">
        <w:rPr>
          <w:rFonts w:ascii="Times New Roman" w:hAnsi="Times New Roman"/>
          <w:bCs/>
          <w:sz w:val="24"/>
          <w:szCs w:val="24"/>
        </w:rPr>
        <w:t xml:space="preserve">, Senior U.S. District Court Judge George A. O’Toole, Jr., District of Massachusetts, granted summary judgment for the Town, finding that he failed to meet the Fire Chiefs return to work requirements, including completing an anger management course, and passing a fitness for duty evaluation, and drug test.  </w:t>
      </w:r>
    </w:p>
    <w:p w14:paraId="27C39AC6" w14:textId="77777777" w:rsidR="0012517E" w:rsidRPr="00D61723" w:rsidRDefault="0012517E" w:rsidP="0012517E">
      <w:pPr>
        <w:pStyle w:val="NoSpacing"/>
        <w:rPr>
          <w:rFonts w:ascii="Times New Roman" w:hAnsi="Times New Roman"/>
          <w:sz w:val="24"/>
          <w:szCs w:val="24"/>
        </w:rPr>
      </w:pPr>
    </w:p>
    <w:p w14:paraId="362B84D2" w14:textId="2E4D1637" w:rsidR="0012517E" w:rsidRDefault="0012517E" w:rsidP="000C4DF5">
      <w:pPr>
        <w:pStyle w:val="NoSpacing"/>
        <w:rPr>
          <w:rFonts w:ascii="Arial Black" w:hAnsi="Arial Black"/>
          <w:sz w:val="24"/>
          <w:szCs w:val="24"/>
        </w:rPr>
      </w:pPr>
      <w:r w:rsidRPr="00D61723">
        <w:rPr>
          <w:rFonts w:ascii="Times New Roman" w:hAnsi="Times New Roman"/>
          <w:bCs/>
          <w:sz w:val="24"/>
          <w:szCs w:val="24"/>
        </w:rPr>
        <w:t xml:space="preserve">“Alston was evaluated both by a psychiatrist chosen by the Town and, after his request for evaluation by a different doctor, an evaluation by a psychiatrist from the Massachusetts General Hospital was arranged. Both psychiatrists recommended essentially the same return-to-work conditions for Alston, and it is undisputed that Alston never complied with those conditions. Nor did he provide any conflicting opinion from another psychiatrist.” </w:t>
      </w:r>
      <w:hyperlink r:id="rId2402" w:history="1">
        <w:r w:rsidRPr="00D61723">
          <w:rPr>
            <w:rStyle w:val="Hyperlink"/>
            <w:rFonts w:ascii="Times New Roman" w:hAnsi="Times New Roman"/>
            <w:b/>
            <w:sz w:val="24"/>
            <w:szCs w:val="24"/>
          </w:rPr>
          <w:t>https://jgpr.net/wp-content/uploads/2020/04/433-MSJ-Order.pdf</w:t>
        </w:r>
      </w:hyperlink>
    </w:p>
    <w:p w14:paraId="7E877980" w14:textId="77777777" w:rsidR="0012517E" w:rsidRPr="00D61723" w:rsidRDefault="0012517E" w:rsidP="0012517E">
      <w:pPr>
        <w:spacing w:before="100" w:beforeAutospacing="1" w:after="100" w:afterAutospacing="1" w:line="240" w:lineRule="auto"/>
        <w:rPr>
          <w:rFonts w:ascii="Times New Roman" w:hAnsi="Times New Roman"/>
          <w:b/>
          <w:bCs/>
          <w:sz w:val="24"/>
          <w:szCs w:val="24"/>
        </w:rPr>
      </w:pPr>
      <w:r w:rsidRPr="00D61723">
        <w:rPr>
          <w:rFonts w:ascii="Times New Roman" w:hAnsi="Times New Roman"/>
          <w:b/>
          <w:bCs/>
          <w:sz w:val="24"/>
          <w:szCs w:val="24"/>
        </w:rPr>
        <w:lastRenderedPageBreak/>
        <w:t xml:space="preserve">Legal Lessons Learned: The Town wisely proposed a return-to-work plan and provided adequate time for completion of the plan. </w:t>
      </w:r>
    </w:p>
    <w:p w14:paraId="06C27836" w14:textId="77777777" w:rsidR="0012517E" w:rsidRDefault="0012517E" w:rsidP="000C4DF5">
      <w:pPr>
        <w:pStyle w:val="NoSpacing"/>
        <w:rPr>
          <w:rFonts w:ascii="Arial Black" w:hAnsi="Arial Black"/>
          <w:sz w:val="24"/>
          <w:szCs w:val="24"/>
        </w:rPr>
      </w:pPr>
    </w:p>
    <w:p w14:paraId="73BA4259" w14:textId="77777777" w:rsidR="0012517E" w:rsidRDefault="0012517E" w:rsidP="000C4DF5">
      <w:pPr>
        <w:pStyle w:val="NoSpacing"/>
        <w:rPr>
          <w:rFonts w:ascii="Arial Black" w:hAnsi="Arial Black"/>
          <w:sz w:val="24"/>
          <w:szCs w:val="24"/>
        </w:rPr>
      </w:pPr>
    </w:p>
    <w:p w14:paraId="7BA4DB8C" w14:textId="77777777" w:rsidR="0012517E" w:rsidRDefault="0012517E" w:rsidP="000C4DF5">
      <w:pPr>
        <w:pStyle w:val="NoSpacing"/>
        <w:rPr>
          <w:rFonts w:ascii="Arial Black" w:hAnsi="Arial Black"/>
          <w:sz w:val="24"/>
          <w:szCs w:val="24"/>
        </w:rPr>
      </w:pPr>
    </w:p>
    <w:p w14:paraId="23429A29" w14:textId="4B9058A0" w:rsidR="006508FC" w:rsidRDefault="006508FC" w:rsidP="000C4DF5">
      <w:pPr>
        <w:pStyle w:val="NoSpacing"/>
        <w:rPr>
          <w:rFonts w:ascii="Arial Black" w:hAnsi="Arial Black"/>
          <w:sz w:val="24"/>
          <w:szCs w:val="24"/>
        </w:rPr>
      </w:pPr>
      <w:r>
        <w:rPr>
          <w:rFonts w:ascii="Arial Black" w:hAnsi="Arial Black"/>
          <w:sz w:val="24"/>
          <w:szCs w:val="24"/>
        </w:rPr>
        <w:t>15-4</w:t>
      </w:r>
    </w:p>
    <w:p w14:paraId="124103C3" w14:textId="633A0915" w:rsidR="006508FC" w:rsidRDefault="006508FC" w:rsidP="000C4DF5">
      <w:pPr>
        <w:pStyle w:val="NoSpacing"/>
        <w:rPr>
          <w:rFonts w:ascii="Arial Black" w:hAnsi="Arial Black"/>
          <w:sz w:val="24"/>
          <w:szCs w:val="24"/>
        </w:rPr>
      </w:pPr>
    </w:p>
    <w:p w14:paraId="3342711F" w14:textId="77777777" w:rsidR="006508FC" w:rsidRPr="006508FC" w:rsidRDefault="006508FC" w:rsidP="000C4DF5">
      <w:pPr>
        <w:pStyle w:val="NoSpacing"/>
        <w:rPr>
          <w:rFonts w:ascii="Arial Black" w:hAnsi="Arial Black" w:cs="Arial"/>
          <w:sz w:val="28"/>
          <w:szCs w:val="28"/>
        </w:rPr>
      </w:pPr>
      <w:bookmarkStart w:id="581" w:name="_Hlk39772708"/>
      <w:r w:rsidRPr="006508FC">
        <w:rPr>
          <w:rFonts w:ascii="Arial Black" w:hAnsi="Arial Black" w:cs="Arial"/>
          <w:sz w:val="28"/>
          <w:szCs w:val="28"/>
        </w:rPr>
        <w:t>NY: PTSD - CAR FIRE / MASK DISLODGED BY SNOW - PSYCHIATRIST’S NOTES FF INTERVIEW - ACCIDENTAL DISAB. RETIREMENT DENIED</w:t>
      </w:r>
    </w:p>
    <w:p w14:paraId="7E98E737" w14:textId="77777777" w:rsidR="00BC17B3" w:rsidRDefault="006508FC" w:rsidP="000C4DF5">
      <w:pPr>
        <w:pStyle w:val="NoSpacing"/>
        <w:rPr>
          <w:rFonts w:ascii="Times New Roman" w:hAnsi="Times New Roman"/>
          <w:sz w:val="24"/>
          <w:szCs w:val="24"/>
        </w:rPr>
      </w:pPr>
      <w:r w:rsidRPr="0036327D">
        <w:rPr>
          <w:rFonts w:ascii="Times New Roman" w:hAnsi="Times New Roman"/>
          <w:sz w:val="24"/>
          <w:szCs w:val="24"/>
        </w:rPr>
        <w:t xml:space="preserve">On April 25, 2019, In </w:t>
      </w:r>
      <w:proofErr w:type="gramStart"/>
      <w:r w:rsidRPr="0036327D">
        <w:rPr>
          <w:rFonts w:ascii="Times New Roman" w:hAnsi="Times New Roman"/>
          <w:sz w:val="24"/>
          <w:szCs w:val="24"/>
        </w:rPr>
        <w:t>The</w:t>
      </w:r>
      <w:proofErr w:type="gramEnd"/>
      <w:r w:rsidRPr="0036327D">
        <w:rPr>
          <w:rFonts w:ascii="Times New Roman" w:hAnsi="Times New Roman"/>
          <w:sz w:val="24"/>
          <w:szCs w:val="24"/>
        </w:rPr>
        <w:t xml:space="preserve"> Matter of Alexander Hanon v. Thomas P. </w:t>
      </w:r>
      <w:proofErr w:type="spellStart"/>
      <w:r w:rsidRPr="0036327D">
        <w:rPr>
          <w:rFonts w:ascii="Times New Roman" w:hAnsi="Times New Roman"/>
          <w:sz w:val="24"/>
          <w:szCs w:val="24"/>
        </w:rPr>
        <w:t>PiNapoli</w:t>
      </w:r>
      <w:proofErr w:type="spellEnd"/>
      <w:r w:rsidRPr="0036327D">
        <w:rPr>
          <w:rFonts w:ascii="Times New Roman" w:hAnsi="Times New Roman"/>
          <w:sz w:val="24"/>
          <w:szCs w:val="24"/>
        </w:rPr>
        <w:t xml:space="preserve">, State Comptroller, the New York Appellate Division, Third Department, (5 to 0), upheld the denial of his claim. </w:t>
      </w:r>
    </w:p>
    <w:p w14:paraId="3AE55E68" w14:textId="77777777" w:rsidR="00BC17B3" w:rsidRDefault="00BC17B3" w:rsidP="000C4DF5">
      <w:pPr>
        <w:pStyle w:val="NoSpacing"/>
        <w:rPr>
          <w:rFonts w:ascii="Times New Roman" w:hAnsi="Times New Roman"/>
          <w:sz w:val="24"/>
          <w:szCs w:val="24"/>
        </w:rPr>
      </w:pPr>
    </w:p>
    <w:p w14:paraId="447B6224" w14:textId="4AEB2B35" w:rsidR="006508FC" w:rsidRPr="0036327D" w:rsidRDefault="006508FC" w:rsidP="00BC17B3">
      <w:pPr>
        <w:pStyle w:val="NoSpacing"/>
        <w:ind w:left="720"/>
        <w:rPr>
          <w:rFonts w:ascii="Times New Roman" w:hAnsi="Times New Roman"/>
          <w:sz w:val="24"/>
          <w:szCs w:val="24"/>
        </w:rPr>
      </w:pPr>
      <w:r w:rsidRPr="0036327D">
        <w:rPr>
          <w:rFonts w:ascii="Times New Roman" w:hAnsi="Times New Roman"/>
          <w:sz w:val="24"/>
          <w:szCs w:val="24"/>
        </w:rPr>
        <w:t>“Leslie Citrome, the psychiatrist who conducted an independent medical examination of petitioner on behalf of the Retirement System, opined that petitioner's PTSD and depressive disorder were causally related to [his off duty] June 2010 motor vehicle accident. He stated that the February 2010 accident [car fire run, snow from garage roof] was incidental to his psychiatric assessment as petitioner only mentioned this incident briefly, indicating that he suffered cardiac problems from inhaling smoke, and focused primarily on the June 2010 motor vehicle accident in discussing his history of psychiatric problems and symptoms.</w:t>
      </w:r>
      <w:r w:rsidR="00F4486C" w:rsidRPr="0036327D">
        <w:rPr>
          <w:rFonts w:ascii="Times New Roman" w:hAnsi="Times New Roman"/>
          <w:sz w:val="24"/>
          <w:szCs w:val="24"/>
        </w:rPr>
        <w:t xml:space="preserve"> </w:t>
      </w:r>
      <w:hyperlink r:id="rId2403" w:history="1">
        <w:r w:rsidR="00F4486C" w:rsidRPr="0036327D">
          <w:rPr>
            <w:rStyle w:val="Hyperlink"/>
            <w:rFonts w:ascii="Times New Roman" w:hAnsi="Times New Roman"/>
            <w:sz w:val="24"/>
            <w:szCs w:val="24"/>
          </w:rPr>
          <w:t>https://law.justia.com/cases/new-york/appellate-division-third-department/2019/527240.html</w:t>
        </w:r>
      </w:hyperlink>
      <w:r w:rsidR="00F4486C" w:rsidRPr="0036327D">
        <w:rPr>
          <w:rFonts w:ascii="Times New Roman" w:hAnsi="Times New Roman"/>
          <w:sz w:val="24"/>
          <w:szCs w:val="24"/>
        </w:rPr>
        <w:t xml:space="preserve"> </w:t>
      </w:r>
    </w:p>
    <w:bookmarkEnd w:id="581"/>
    <w:p w14:paraId="5A659DE9" w14:textId="0767D8A7" w:rsidR="00F4486C" w:rsidRPr="0036327D" w:rsidRDefault="00F4486C" w:rsidP="000C4DF5">
      <w:pPr>
        <w:pStyle w:val="NoSpacing"/>
        <w:rPr>
          <w:rFonts w:ascii="Times New Roman" w:hAnsi="Times New Roman"/>
          <w:sz w:val="24"/>
          <w:szCs w:val="24"/>
        </w:rPr>
      </w:pPr>
    </w:p>
    <w:p w14:paraId="35EF2C73" w14:textId="76F511DB" w:rsidR="00F4486C" w:rsidRPr="0036327D" w:rsidRDefault="00F4486C" w:rsidP="000C4DF5">
      <w:pPr>
        <w:pStyle w:val="NoSpacing"/>
        <w:rPr>
          <w:rFonts w:ascii="Times New Roman" w:hAnsi="Times New Roman"/>
          <w:b/>
          <w:bCs/>
          <w:sz w:val="24"/>
          <w:szCs w:val="24"/>
        </w:rPr>
      </w:pPr>
      <w:bookmarkStart w:id="582" w:name="_Hlk40516405"/>
      <w:r w:rsidRPr="0036327D">
        <w:rPr>
          <w:rFonts w:ascii="Times New Roman" w:hAnsi="Times New Roman"/>
          <w:b/>
          <w:bCs/>
          <w:sz w:val="24"/>
          <w:szCs w:val="24"/>
        </w:rPr>
        <w:t>Legal Lessons Learned: Courts rely on the expert testimony of independent medical examiners. Psychiatrist’s notes from interview with firefighter become part of the “psychiatric history” of patient.</w:t>
      </w:r>
    </w:p>
    <w:p w14:paraId="32BAED14" w14:textId="4825EF1B" w:rsidR="00F4486C" w:rsidRPr="0036327D" w:rsidRDefault="00F4486C" w:rsidP="000C4DF5">
      <w:pPr>
        <w:pStyle w:val="NoSpacing"/>
        <w:rPr>
          <w:rFonts w:ascii="Times New Roman" w:hAnsi="Times New Roman"/>
          <w:b/>
          <w:bCs/>
          <w:sz w:val="24"/>
          <w:szCs w:val="24"/>
        </w:rPr>
      </w:pPr>
    </w:p>
    <w:bookmarkEnd w:id="582"/>
    <w:p w14:paraId="6D7D57FC" w14:textId="77777777" w:rsidR="0012517E" w:rsidRDefault="0012517E" w:rsidP="000C4DF5">
      <w:pPr>
        <w:pStyle w:val="NoSpacing"/>
        <w:rPr>
          <w:rFonts w:ascii="Arial Black" w:hAnsi="Arial Black"/>
          <w:sz w:val="24"/>
          <w:szCs w:val="24"/>
        </w:rPr>
      </w:pPr>
    </w:p>
    <w:p w14:paraId="0B7DC144" w14:textId="6C8CB80A" w:rsidR="000C4DF5" w:rsidRDefault="000C4DF5" w:rsidP="000C4DF5">
      <w:pPr>
        <w:pStyle w:val="NoSpacing"/>
        <w:rPr>
          <w:rFonts w:ascii="Arial Black" w:hAnsi="Arial Black"/>
          <w:sz w:val="24"/>
          <w:szCs w:val="24"/>
        </w:rPr>
      </w:pPr>
      <w:r>
        <w:rPr>
          <w:rFonts w:ascii="Arial Black" w:hAnsi="Arial Black"/>
          <w:sz w:val="24"/>
          <w:szCs w:val="24"/>
        </w:rPr>
        <w:t>15-3</w:t>
      </w:r>
    </w:p>
    <w:p w14:paraId="589F27BD" w14:textId="77777777" w:rsidR="00F326E5" w:rsidRDefault="00F326E5" w:rsidP="00F326E5">
      <w:pPr>
        <w:pStyle w:val="NoSpacing"/>
        <w:rPr>
          <w:rFonts w:ascii="FeTimes New Roman" w:hAnsi="FeTimes New Roman"/>
          <w:sz w:val="24"/>
          <w:szCs w:val="24"/>
        </w:rPr>
      </w:pPr>
    </w:p>
    <w:p w14:paraId="6CC47458" w14:textId="08A9F7D7" w:rsidR="00F326E5" w:rsidRDefault="00F326E5" w:rsidP="00F326E5">
      <w:pPr>
        <w:pStyle w:val="NoSpacing"/>
        <w:rPr>
          <w:rFonts w:ascii="Arial Black" w:hAnsi="Arial Black"/>
          <w:sz w:val="28"/>
          <w:szCs w:val="28"/>
        </w:rPr>
      </w:pPr>
      <w:bookmarkStart w:id="583" w:name="_Hlk39772756"/>
      <w:bookmarkStart w:id="584" w:name="_Hlk41155654"/>
      <w:bookmarkStart w:id="585" w:name="_Hlk7348353"/>
      <w:r w:rsidRPr="0091233E">
        <w:rPr>
          <w:rFonts w:ascii="Arial Black" w:hAnsi="Arial Black"/>
          <w:sz w:val="28"/>
          <w:szCs w:val="28"/>
        </w:rPr>
        <w:t xml:space="preserve">IL: </w:t>
      </w:r>
      <w:r>
        <w:rPr>
          <w:rFonts w:ascii="Arial Black" w:hAnsi="Arial Black"/>
          <w:sz w:val="28"/>
          <w:szCs w:val="28"/>
        </w:rPr>
        <w:t>PTSD –</w:t>
      </w:r>
      <w:r w:rsidR="000F18B0">
        <w:rPr>
          <w:rFonts w:ascii="Arial Black" w:hAnsi="Arial Black"/>
          <w:sz w:val="28"/>
          <w:szCs w:val="28"/>
        </w:rPr>
        <w:t xml:space="preserve"> </w:t>
      </w:r>
      <w:r>
        <w:rPr>
          <w:rFonts w:ascii="Arial Black" w:hAnsi="Arial Black"/>
          <w:sz w:val="28"/>
          <w:szCs w:val="28"/>
        </w:rPr>
        <w:t>COURT ORDERS DISABILITY PENSION - CHICAGO PARAMEDIC’S TRAUMATIC WORK EXPERIENCES</w:t>
      </w:r>
    </w:p>
    <w:p w14:paraId="3FDC7CBB" w14:textId="77777777" w:rsidR="000F18B0" w:rsidRDefault="000F18B0" w:rsidP="00F326E5">
      <w:pPr>
        <w:rPr>
          <w:rFonts w:ascii="Times New Roman" w:hAnsi="Times New Roman"/>
          <w:sz w:val="24"/>
          <w:szCs w:val="24"/>
        </w:rPr>
      </w:pPr>
    </w:p>
    <w:p w14:paraId="1F71FDEB" w14:textId="26F5D441" w:rsidR="00BC17B3" w:rsidRDefault="00F326E5" w:rsidP="00F326E5">
      <w:pPr>
        <w:rPr>
          <w:rFonts w:ascii="Times New Roman" w:hAnsi="Times New Roman"/>
          <w:sz w:val="24"/>
          <w:szCs w:val="24"/>
        </w:rPr>
      </w:pPr>
      <w:r w:rsidRPr="00BC17B3">
        <w:rPr>
          <w:rFonts w:ascii="Times New Roman" w:hAnsi="Times New Roman"/>
          <w:sz w:val="24"/>
          <w:szCs w:val="24"/>
        </w:rPr>
        <w:t xml:space="preserve">On Feb. 1, 2019, in </w:t>
      </w:r>
      <w:r w:rsidRPr="00BC17B3">
        <w:rPr>
          <w:rFonts w:ascii="Times New Roman" w:hAnsi="Times New Roman"/>
          <w:sz w:val="24"/>
          <w:szCs w:val="24"/>
          <w:u w:val="single"/>
        </w:rPr>
        <w:t>Leah Siwinski v. The Retirement Board of the Fireman’s Annuity and Benefit Fund of the City of Chicago</w:t>
      </w:r>
      <w:r w:rsidRPr="00BC17B3">
        <w:rPr>
          <w:rFonts w:ascii="Times New Roman" w:hAnsi="Times New Roman"/>
          <w:sz w:val="24"/>
          <w:szCs w:val="24"/>
        </w:rPr>
        <w:t xml:space="preserve">, the Appellate Court of Illinois (First District) held (3 to 0), </w:t>
      </w:r>
    </w:p>
    <w:p w14:paraId="47B04962" w14:textId="09AF26D9" w:rsidR="00F326E5" w:rsidRPr="00BC17B3" w:rsidRDefault="00F326E5" w:rsidP="00BC17B3">
      <w:pPr>
        <w:ind w:left="720"/>
        <w:rPr>
          <w:rFonts w:ascii="Times New Roman" w:eastAsia="Times New Roman" w:hAnsi="Times New Roman"/>
          <w:bCs/>
          <w:sz w:val="24"/>
          <w:szCs w:val="24"/>
        </w:rPr>
      </w:pPr>
      <w:r w:rsidRPr="00BC17B3">
        <w:rPr>
          <w:rFonts w:ascii="Times New Roman" w:hAnsi="Times New Roman"/>
          <w:sz w:val="24"/>
          <w:szCs w:val="24"/>
        </w:rPr>
        <w:t xml:space="preserve">“In summary, because the manifest weight of the evidence showed that the plaintiff sustained PTSD arising from an act or acts of duty while working for CFD, and as a result, was disabled from performing any of her assigned duties, we reverse the decision of the Board that denied her a duty disability pension, and reverse the decision of the circuit court, which confirmed the Board’s decision." </w:t>
      </w:r>
      <w:hyperlink r:id="rId2404" w:history="1">
        <w:r w:rsidRPr="00BC17B3">
          <w:rPr>
            <w:rStyle w:val="Hyperlink"/>
            <w:rFonts w:ascii="Times New Roman" w:hAnsi="Times New Roman"/>
            <w:sz w:val="24"/>
            <w:szCs w:val="24"/>
          </w:rPr>
          <w:t>https://law.justia.com/cases/illinois/court-of-appeals-first-appellate-district/2019/1-18-0388.html</w:t>
        </w:r>
      </w:hyperlink>
      <w:r w:rsidRPr="00BC17B3">
        <w:rPr>
          <w:rFonts w:ascii="Times New Roman" w:eastAsia="Times New Roman" w:hAnsi="Times New Roman"/>
          <w:bCs/>
          <w:sz w:val="24"/>
          <w:szCs w:val="24"/>
        </w:rPr>
        <w:t xml:space="preserve"> </w:t>
      </w:r>
    </w:p>
    <w:p w14:paraId="50FC005A" w14:textId="77777777" w:rsidR="00F326E5" w:rsidRPr="00BC17B3" w:rsidRDefault="00F326E5" w:rsidP="00F326E5">
      <w:pPr>
        <w:rPr>
          <w:rFonts w:ascii="Times New Roman" w:hAnsi="Times New Roman"/>
          <w:b/>
          <w:sz w:val="24"/>
          <w:szCs w:val="24"/>
        </w:rPr>
      </w:pPr>
      <w:bookmarkStart w:id="586" w:name="_Hlk40516463"/>
      <w:bookmarkEnd w:id="583"/>
      <w:r w:rsidRPr="00BC17B3">
        <w:rPr>
          <w:rFonts w:ascii="Times New Roman" w:hAnsi="Times New Roman"/>
          <w:b/>
          <w:sz w:val="24"/>
          <w:szCs w:val="24"/>
        </w:rPr>
        <w:t xml:space="preserve">Legal Lesson Learned:  PTSD is a recognized disability issue in </w:t>
      </w:r>
      <w:proofErr w:type="gramStart"/>
      <w:r w:rsidRPr="00BC17B3">
        <w:rPr>
          <w:rFonts w:ascii="Times New Roman" w:hAnsi="Times New Roman"/>
          <w:b/>
          <w:sz w:val="24"/>
          <w:szCs w:val="24"/>
        </w:rPr>
        <w:t>the emergency</w:t>
      </w:r>
      <w:proofErr w:type="gramEnd"/>
      <w:r w:rsidRPr="00BC17B3">
        <w:rPr>
          <w:rFonts w:ascii="Times New Roman" w:hAnsi="Times New Roman"/>
          <w:b/>
          <w:sz w:val="24"/>
          <w:szCs w:val="24"/>
        </w:rPr>
        <w:t xml:space="preserve"> services. </w:t>
      </w:r>
    </w:p>
    <w:p w14:paraId="6EA66F09" w14:textId="33AC367F" w:rsidR="00F326E5" w:rsidRPr="00BC17B3" w:rsidRDefault="000164B1" w:rsidP="00F326E5">
      <w:pPr>
        <w:pStyle w:val="NoSpacing"/>
        <w:ind w:left="720"/>
        <w:rPr>
          <w:rFonts w:ascii="Times New Roman" w:hAnsi="Times New Roman"/>
          <w:sz w:val="24"/>
          <w:szCs w:val="24"/>
        </w:rPr>
      </w:pPr>
      <w:r>
        <w:rPr>
          <w:rFonts w:ascii="Times New Roman" w:eastAsia="Times New Roman" w:hAnsi="Times New Roman"/>
          <w:bCs/>
          <w:sz w:val="24"/>
          <w:szCs w:val="24"/>
        </w:rPr>
        <w:t xml:space="preserve">Note: </w:t>
      </w:r>
      <w:r w:rsidR="00F326E5" w:rsidRPr="00BC17B3">
        <w:rPr>
          <w:rFonts w:ascii="Times New Roman" w:eastAsia="Times New Roman" w:hAnsi="Times New Roman"/>
          <w:bCs/>
          <w:sz w:val="24"/>
          <w:szCs w:val="24"/>
        </w:rPr>
        <w:t xml:space="preserve">See April 13, </w:t>
      </w:r>
      <w:proofErr w:type="gramStart"/>
      <w:r w:rsidR="00F326E5" w:rsidRPr="00BC17B3">
        <w:rPr>
          <w:rFonts w:ascii="Times New Roman" w:eastAsia="Times New Roman" w:hAnsi="Times New Roman"/>
          <w:bCs/>
          <w:sz w:val="24"/>
          <w:szCs w:val="24"/>
        </w:rPr>
        <w:t>2018</w:t>
      </w:r>
      <w:proofErr w:type="gramEnd"/>
      <w:r w:rsidR="00F326E5" w:rsidRPr="00BC17B3">
        <w:rPr>
          <w:rFonts w:ascii="Times New Roman" w:eastAsia="Times New Roman" w:hAnsi="Times New Roman"/>
          <w:bCs/>
          <w:sz w:val="24"/>
          <w:szCs w:val="24"/>
        </w:rPr>
        <w:t xml:space="preserve"> article: </w:t>
      </w:r>
      <w:r w:rsidR="00F326E5" w:rsidRPr="00BC17B3">
        <w:rPr>
          <w:rFonts w:ascii="Times New Roman" w:hAnsi="Times New Roman"/>
          <w:sz w:val="24"/>
          <w:szCs w:val="24"/>
        </w:rPr>
        <w:t xml:space="preserve">Study: More firefighters died by suicide than in the line of duty in 2017 - A study found that 103 firefighters and 140 police officers died by suicide in 2017. </w:t>
      </w:r>
      <w:hyperlink r:id="rId2405" w:history="1">
        <w:r w:rsidR="00F326E5" w:rsidRPr="00BC17B3">
          <w:rPr>
            <w:rStyle w:val="Hyperlink"/>
            <w:rFonts w:ascii="Times New Roman" w:hAnsi="Times New Roman"/>
            <w:sz w:val="24"/>
            <w:szCs w:val="24"/>
          </w:rPr>
          <w:t>https://www.firerescue1.com/fallen-firefighters/articles/379994018-Study-More-firefighters-died-by-suicide-than-in-the-line-of-duty-in-2017/</w:t>
        </w:r>
      </w:hyperlink>
      <w:r w:rsidR="00F326E5" w:rsidRPr="00BC17B3">
        <w:rPr>
          <w:rFonts w:ascii="Times New Roman" w:hAnsi="Times New Roman"/>
          <w:sz w:val="24"/>
          <w:szCs w:val="24"/>
        </w:rPr>
        <w:t xml:space="preserve"> </w:t>
      </w:r>
      <w:bookmarkEnd w:id="584"/>
      <w:r w:rsidR="00F326E5" w:rsidRPr="00BC17B3">
        <w:rPr>
          <w:rFonts w:ascii="Times New Roman" w:hAnsi="Times New Roman"/>
          <w:sz w:val="24"/>
          <w:szCs w:val="24"/>
        </w:rPr>
        <w:br/>
      </w:r>
    </w:p>
    <w:bookmarkEnd w:id="585"/>
    <w:bookmarkEnd w:id="586"/>
    <w:p w14:paraId="4269EABC" w14:textId="77777777" w:rsidR="000C4DF5" w:rsidRDefault="000C4DF5" w:rsidP="000C4DF5">
      <w:pPr>
        <w:pStyle w:val="NoSpacing"/>
        <w:rPr>
          <w:sz w:val="24"/>
          <w:szCs w:val="24"/>
        </w:rPr>
      </w:pPr>
    </w:p>
    <w:p w14:paraId="485914DD" w14:textId="77777777" w:rsidR="00BC17B3" w:rsidRDefault="00BC17B3" w:rsidP="000C4DF5">
      <w:pPr>
        <w:pStyle w:val="NoSpacing"/>
        <w:rPr>
          <w:rFonts w:ascii="Arial Black" w:hAnsi="Arial Black"/>
          <w:sz w:val="24"/>
          <w:szCs w:val="24"/>
        </w:rPr>
      </w:pPr>
    </w:p>
    <w:p w14:paraId="0E28ACF9" w14:textId="50C8F483" w:rsidR="000C4DF5" w:rsidRDefault="000C4DF5" w:rsidP="000C4DF5">
      <w:pPr>
        <w:pStyle w:val="NoSpacing"/>
        <w:rPr>
          <w:rFonts w:ascii="Arial Black" w:hAnsi="Arial Black"/>
          <w:sz w:val="24"/>
          <w:szCs w:val="24"/>
        </w:rPr>
      </w:pPr>
      <w:r>
        <w:rPr>
          <w:rFonts w:ascii="Arial Black" w:hAnsi="Arial Black"/>
          <w:sz w:val="24"/>
          <w:szCs w:val="24"/>
        </w:rPr>
        <w:t>15-2</w:t>
      </w:r>
    </w:p>
    <w:p w14:paraId="7ED320D9" w14:textId="77777777" w:rsidR="000C4DF5" w:rsidRDefault="000C4DF5" w:rsidP="00F326E5">
      <w:pPr>
        <w:pStyle w:val="NoSpacing"/>
        <w:rPr>
          <w:rFonts w:ascii="Arial Black" w:eastAsia="Times New Roman" w:hAnsi="Arial Black" w:cs="Arial"/>
          <w:sz w:val="28"/>
          <w:szCs w:val="28"/>
        </w:rPr>
      </w:pPr>
      <w:bookmarkStart w:id="587" w:name="_Hlk7184137"/>
    </w:p>
    <w:p w14:paraId="364BAE1A" w14:textId="745F15C5" w:rsidR="00F326E5" w:rsidRDefault="00F326E5" w:rsidP="00F326E5">
      <w:pPr>
        <w:pStyle w:val="NoSpacing"/>
        <w:rPr>
          <w:rFonts w:ascii="Arial Black" w:eastAsia="Times New Roman" w:hAnsi="Arial Black" w:cs="Arial"/>
          <w:sz w:val="28"/>
          <w:szCs w:val="28"/>
        </w:rPr>
      </w:pPr>
      <w:bookmarkStart w:id="588" w:name="_Hlk39820545"/>
      <w:r w:rsidRPr="00A15120">
        <w:rPr>
          <w:rFonts w:ascii="Arial Black" w:eastAsia="Times New Roman" w:hAnsi="Arial Black" w:cs="Arial"/>
          <w:sz w:val="28"/>
          <w:szCs w:val="28"/>
        </w:rPr>
        <w:t>MN</w:t>
      </w:r>
      <w:r>
        <w:rPr>
          <w:rFonts w:ascii="Arial Black" w:eastAsia="Times New Roman" w:hAnsi="Arial Black" w:cs="Arial"/>
          <w:sz w:val="28"/>
          <w:szCs w:val="28"/>
        </w:rPr>
        <w:t xml:space="preserve">: </w:t>
      </w:r>
      <w:r w:rsidRPr="00A15120">
        <w:rPr>
          <w:rFonts w:ascii="Arial Black" w:eastAsia="Times New Roman" w:hAnsi="Arial Black" w:cs="Arial"/>
          <w:sz w:val="28"/>
          <w:szCs w:val="28"/>
        </w:rPr>
        <w:t>PTSD – NEW STATUT</w:t>
      </w:r>
      <w:r>
        <w:rPr>
          <w:rFonts w:ascii="Arial Black" w:eastAsia="Times New Roman" w:hAnsi="Arial Black" w:cs="Arial"/>
          <w:sz w:val="28"/>
          <w:szCs w:val="28"/>
        </w:rPr>
        <w:t xml:space="preserve">ORY </w:t>
      </w:r>
      <w:r w:rsidRPr="00A15120">
        <w:rPr>
          <w:rFonts w:ascii="Arial Black" w:eastAsia="Times New Roman" w:hAnsi="Arial Black" w:cs="Arial"/>
          <w:sz w:val="28"/>
          <w:szCs w:val="28"/>
        </w:rPr>
        <w:t xml:space="preserve">PRESUMPTION </w:t>
      </w:r>
      <w:r>
        <w:rPr>
          <w:rFonts w:ascii="Arial Black" w:eastAsia="Times New Roman" w:hAnsi="Arial Black" w:cs="Arial"/>
          <w:sz w:val="28"/>
          <w:szCs w:val="28"/>
        </w:rPr>
        <w:t xml:space="preserve">THAT PTSD IS WORKPLACE </w:t>
      </w:r>
    </w:p>
    <w:p w14:paraId="476D646C" w14:textId="77777777" w:rsidR="00BC17B3" w:rsidRDefault="00F326E5" w:rsidP="00F326E5">
      <w:pPr>
        <w:rPr>
          <w:rFonts w:ascii="Times New Roman" w:hAnsi="Times New Roman"/>
          <w:sz w:val="24"/>
          <w:szCs w:val="24"/>
        </w:rPr>
      </w:pPr>
      <w:r w:rsidRPr="00BC17B3">
        <w:rPr>
          <w:rFonts w:ascii="Times New Roman" w:hAnsi="Times New Roman"/>
          <w:sz w:val="24"/>
          <w:szCs w:val="24"/>
        </w:rPr>
        <w:t xml:space="preserve">Effective Jan. 1, 2019, the new state statute, </w:t>
      </w:r>
    </w:p>
    <w:p w14:paraId="1062ECBF" w14:textId="08307E64" w:rsidR="00F326E5" w:rsidRPr="00BC17B3" w:rsidRDefault="00F326E5" w:rsidP="00BC17B3">
      <w:pPr>
        <w:ind w:left="720"/>
        <w:rPr>
          <w:rFonts w:ascii="Times New Roman" w:eastAsia="Times New Roman" w:hAnsi="Times New Roman"/>
          <w:sz w:val="24"/>
          <w:szCs w:val="24"/>
        </w:rPr>
      </w:pPr>
      <w:proofErr w:type="gramStart"/>
      <w:r w:rsidRPr="00BC17B3">
        <w:rPr>
          <w:rFonts w:ascii="Times New Roman" w:hAnsi="Times New Roman"/>
          <w:sz w:val="24"/>
          <w:szCs w:val="24"/>
        </w:rPr>
        <w:t>“post</w:t>
      </w:r>
      <w:proofErr w:type="gramEnd"/>
      <w:r w:rsidRPr="00BC17B3">
        <w:rPr>
          <w:rFonts w:ascii="Times New Roman" w:hAnsi="Times New Roman"/>
          <w:sz w:val="24"/>
          <w:szCs w:val="24"/>
        </w:rPr>
        <w:t xml:space="preserve">-traumatic stress disorder was reclassified as an occupational disease for first responders. That includes police officers, firefighters, paramedics, emergency medical technicians, and nurses who provide emergency medical services outside of a medical facility.” </w:t>
      </w:r>
      <w:hyperlink r:id="rId2406" w:history="1">
        <w:r w:rsidRPr="00BC17B3">
          <w:rPr>
            <w:rStyle w:val="Hyperlink"/>
            <w:rFonts w:ascii="Times New Roman" w:hAnsi="Times New Roman"/>
            <w:sz w:val="24"/>
            <w:szCs w:val="24"/>
          </w:rPr>
          <w:t>https://www.postbulletin.com/news/public_safety/ptsd-now-an-occupational-disease-for-first-responders/article_27a2353c-15d3-11e9-a864-cb74a37ce7f1.html</w:t>
        </w:r>
      </w:hyperlink>
      <w:bookmarkEnd w:id="588"/>
      <w:r w:rsidRPr="00BC17B3">
        <w:rPr>
          <w:rFonts w:ascii="Times New Roman" w:hAnsi="Times New Roman"/>
          <w:b/>
          <w:sz w:val="24"/>
          <w:szCs w:val="24"/>
        </w:rPr>
        <w:t xml:space="preserve"> </w:t>
      </w:r>
    </w:p>
    <w:p w14:paraId="3E2111EF" w14:textId="77777777" w:rsidR="00F326E5" w:rsidRPr="00BC17B3" w:rsidRDefault="00F326E5" w:rsidP="00F326E5">
      <w:pPr>
        <w:pStyle w:val="Heading1"/>
        <w:rPr>
          <w:sz w:val="24"/>
          <w:szCs w:val="24"/>
        </w:rPr>
      </w:pPr>
      <w:r w:rsidRPr="00BC17B3">
        <w:rPr>
          <w:sz w:val="24"/>
          <w:szCs w:val="24"/>
        </w:rPr>
        <w:t xml:space="preserve">Legal Lessons Learned: Several states have enacted similar statutes.  See “Update: Workers’ Comp Coverage for Firefighters,” </w:t>
      </w:r>
      <w:hyperlink r:id="rId2407" w:history="1">
        <w:r w:rsidRPr="00BC17B3">
          <w:rPr>
            <w:rStyle w:val="Hyperlink"/>
            <w:b w:val="0"/>
            <w:sz w:val="24"/>
            <w:szCs w:val="24"/>
          </w:rPr>
          <w:t>https://www.wci360.com/update-workers-comp-coverage-for-firefighters/</w:t>
        </w:r>
      </w:hyperlink>
      <w:r w:rsidRPr="00BC17B3">
        <w:rPr>
          <w:sz w:val="24"/>
          <w:szCs w:val="24"/>
        </w:rPr>
        <w:t xml:space="preserve">.  </w:t>
      </w:r>
    </w:p>
    <w:p w14:paraId="15B9E0A8" w14:textId="77777777" w:rsidR="00F326E5" w:rsidRPr="00BC17B3" w:rsidRDefault="00F326E5" w:rsidP="00F326E5">
      <w:pPr>
        <w:spacing w:before="100" w:beforeAutospacing="1" w:after="100" w:afterAutospacing="1"/>
        <w:ind w:left="360"/>
        <w:rPr>
          <w:rFonts w:ascii="Times New Roman" w:hAnsi="Times New Roman"/>
          <w:sz w:val="24"/>
          <w:szCs w:val="24"/>
        </w:rPr>
      </w:pPr>
      <w:r w:rsidRPr="00BC17B3">
        <w:rPr>
          <w:rFonts w:ascii="Times New Roman" w:hAnsi="Times New Roman"/>
          <w:sz w:val="24"/>
          <w:szCs w:val="24"/>
        </w:rPr>
        <w:t xml:space="preserve">See also this report: </w:t>
      </w:r>
      <w:hyperlink r:id="rId2408" w:history="1">
        <w:r w:rsidRPr="00BC17B3">
          <w:rPr>
            <w:rStyle w:val="Hyperlink"/>
            <w:rFonts w:ascii="Times New Roman" w:hAnsi="Times New Roman"/>
            <w:sz w:val="24"/>
            <w:szCs w:val="24"/>
          </w:rPr>
          <w:t>https://www.minnesotacomp.com/blog/2018/11/post-traumatic-stress-disorder-may-become-a-presumptive-condition-for-first-responders/</w:t>
        </w:r>
      </w:hyperlink>
      <w:r w:rsidRPr="00BC17B3">
        <w:rPr>
          <w:rFonts w:ascii="Times New Roman" w:eastAsia="Times New Roman" w:hAnsi="Times New Roman"/>
          <w:sz w:val="24"/>
          <w:szCs w:val="24"/>
        </w:rPr>
        <w:t xml:space="preserve">  </w:t>
      </w:r>
    </w:p>
    <w:p w14:paraId="16EC56EA"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 xml:space="preserve">So far in 2018, of 103 state bills dealt with workers compensation provisions for first responders and only 6 bills past passed “true occupational presumption for PTSD.”  </w:t>
      </w:r>
      <w:hyperlink r:id="rId2409" w:tgtFrame="_blank" w:history="1">
        <w:r w:rsidRPr="00BC17B3">
          <w:rPr>
            <w:rStyle w:val="Hyperlink"/>
            <w:rFonts w:ascii="Times New Roman" w:hAnsi="Times New Roman"/>
            <w:sz w:val="24"/>
            <w:szCs w:val="24"/>
          </w:rPr>
          <w:t>Washington State</w:t>
        </w:r>
      </w:hyperlink>
      <w:r w:rsidRPr="00BC17B3">
        <w:rPr>
          <w:rFonts w:ascii="Times New Roman" w:hAnsi="Times New Roman"/>
          <w:sz w:val="24"/>
          <w:szCs w:val="24"/>
        </w:rPr>
        <w:t>, Florida, Vermont, Hawaii, New Jersey, and New Hampshire enacted inclusion of the PTSD presumption into their workers’ compensation legislation.</w:t>
      </w:r>
    </w:p>
    <w:p w14:paraId="03CF063C"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In 2017, Colorado passed a bill recognizing PTSD as compensable under workers compensation. Then the state passed a bill allowing the treatment of PTSD using medical marijuana.</w:t>
      </w:r>
    </w:p>
    <w:p w14:paraId="382EDA41"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South Carolina created a $500,000 fund to help fund first responders out of pocket medical costs related to the treatment of PTSD.</w:t>
      </w:r>
    </w:p>
    <w:p w14:paraId="7877BAC3"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Texas passed an act that eases the burden for first responders filing PTSD claims, requiring the lower standard of proof: “preponderance of evidence” and without the need to declare medical impairment.</w:t>
      </w:r>
    </w:p>
    <w:p w14:paraId="2444D22A" w14:textId="77777777" w:rsidR="00F326E5" w:rsidRPr="00BC17B3" w:rsidRDefault="00F326E5" w:rsidP="00F326E5">
      <w:pPr>
        <w:numPr>
          <w:ilvl w:val="0"/>
          <w:numId w:val="2"/>
        </w:numPr>
        <w:spacing w:before="100" w:beforeAutospacing="1" w:after="100" w:afterAutospacing="1" w:line="240" w:lineRule="auto"/>
        <w:rPr>
          <w:rFonts w:ascii="Times New Roman" w:eastAsia="Times New Roman" w:hAnsi="Times New Roman"/>
          <w:sz w:val="24"/>
          <w:szCs w:val="24"/>
        </w:rPr>
      </w:pPr>
      <w:r w:rsidRPr="00BC17B3">
        <w:rPr>
          <w:rFonts w:ascii="Times New Roman" w:hAnsi="Times New Roman"/>
          <w:sz w:val="24"/>
          <w:szCs w:val="24"/>
        </w:rPr>
        <w:t xml:space="preserve">New York included PTSD references in the 2018 budget that would allow first responders to claim personal injury based on “extraordinary work-related stress” [Hanson &amp; Watson, “Addressing the Emergence of PTSD Presumption: Issues and Solutions” pdf]. </w:t>
      </w:r>
    </w:p>
    <w:p w14:paraId="7F3F4A87" w14:textId="77777777" w:rsidR="00F326E5" w:rsidRPr="00BC17B3" w:rsidRDefault="00F326E5" w:rsidP="00F326E5">
      <w:pPr>
        <w:pStyle w:val="Heading1"/>
        <w:ind w:left="720"/>
        <w:rPr>
          <w:sz w:val="24"/>
          <w:szCs w:val="24"/>
        </w:rPr>
      </w:pPr>
      <w:r w:rsidRPr="00BC17B3">
        <w:rPr>
          <w:sz w:val="24"/>
          <w:szCs w:val="24"/>
        </w:rPr>
        <w:t xml:space="preserve">See also Jan. 17, </w:t>
      </w:r>
      <w:proofErr w:type="gramStart"/>
      <w:r w:rsidRPr="00BC17B3">
        <w:rPr>
          <w:sz w:val="24"/>
          <w:szCs w:val="24"/>
        </w:rPr>
        <w:t>2019</w:t>
      </w:r>
      <w:proofErr w:type="gramEnd"/>
      <w:r w:rsidRPr="00BC17B3">
        <w:rPr>
          <w:sz w:val="24"/>
          <w:szCs w:val="24"/>
        </w:rPr>
        <w:t xml:space="preserve"> article from Massachusetts: “Critical incident intervention for first responders bill signed into law.” </w:t>
      </w:r>
      <w:hyperlink r:id="rId2410" w:history="1">
        <w:r w:rsidRPr="00BC17B3">
          <w:rPr>
            <w:rStyle w:val="Hyperlink"/>
            <w:sz w:val="24"/>
            <w:szCs w:val="24"/>
          </w:rPr>
          <w:t>https://www.wwlp.com/news/massachusetts/critical-incident-intervention-for-first-responders-bill-signed-into-law/1706453191</w:t>
        </w:r>
      </w:hyperlink>
      <w:r w:rsidRPr="00BC17B3">
        <w:rPr>
          <w:sz w:val="24"/>
          <w:szCs w:val="24"/>
        </w:rPr>
        <w:t xml:space="preserve"> </w:t>
      </w:r>
    </w:p>
    <w:bookmarkEnd w:id="587"/>
    <w:p w14:paraId="5FAAE6C5" w14:textId="77777777" w:rsidR="00536545" w:rsidRDefault="00536545" w:rsidP="000C4DF5">
      <w:pPr>
        <w:pStyle w:val="NoSpacing"/>
        <w:rPr>
          <w:rFonts w:ascii="Arial Black" w:hAnsi="Arial Black"/>
          <w:sz w:val="24"/>
          <w:szCs w:val="24"/>
        </w:rPr>
      </w:pPr>
    </w:p>
    <w:p w14:paraId="34B2A7A8" w14:textId="2D16D30A" w:rsidR="000C4DF5" w:rsidRDefault="000C4DF5" w:rsidP="000C4DF5">
      <w:pPr>
        <w:pStyle w:val="NoSpacing"/>
        <w:rPr>
          <w:rFonts w:ascii="Arial Black" w:hAnsi="Arial Black"/>
          <w:sz w:val="24"/>
          <w:szCs w:val="24"/>
        </w:rPr>
      </w:pPr>
      <w:r>
        <w:rPr>
          <w:rFonts w:ascii="Arial Black" w:hAnsi="Arial Black"/>
          <w:sz w:val="24"/>
          <w:szCs w:val="24"/>
        </w:rPr>
        <w:t>15-1</w:t>
      </w:r>
    </w:p>
    <w:p w14:paraId="0A6358D3" w14:textId="77777777" w:rsidR="00F326E5" w:rsidRDefault="00F326E5" w:rsidP="00F326E5">
      <w:pPr>
        <w:pStyle w:val="NoSpacing"/>
        <w:rPr>
          <w:sz w:val="24"/>
          <w:szCs w:val="24"/>
        </w:rPr>
      </w:pPr>
    </w:p>
    <w:p w14:paraId="34F9950D" w14:textId="0EB6C5DB" w:rsidR="00F326E5" w:rsidRDefault="00F326E5" w:rsidP="00F326E5">
      <w:pPr>
        <w:pStyle w:val="NoSpacing"/>
        <w:rPr>
          <w:rFonts w:ascii="Arial Black" w:hAnsi="Arial Black"/>
          <w:b/>
          <w:sz w:val="28"/>
          <w:szCs w:val="28"/>
        </w:rPr>
      </w:pPr>
      <w:bookmarkStart w:id="589" w:name="_Hlk39772846"/>
      <w:bookmarkStart w:id="590" w:name="_Hlk7348476"/>
      <w:r w:rsidRPr="008C56F7">
        <w:rPr>
          <w:rFonts w:ascii="Arial Black" w:hAnsi="Arial Black"/>
          <w:b/>
          <w:sz w:val="28"/>
          <w:szCs w:val="28"/>
        </w:rPr>
        <w:t>NJ</w:t>
      </w:r>
      <w:r>
        <w:rPr>
          <w:rFonts w:ascii="Arial Black" w:hAnsi="Arial Black"/>
          <w:b/>
          <w:sz w:val="28"/>
          <w:szCs w:val="28"/>
        </w:rPr>
        <w:t xml:space="preserve">: </w:t>
      </w:r>
      <w:r w:rsidRPr="008C56F7">
        <w:rPr>
          <w:rFonts w:ascii="Arial Black" w:hAnsi="Arial Black"/>
          <w:b/>
          <w:sz w:val="28"/>
          <w:szCs w:val="28"/>
        </w:rPr>
        <w:t xml:space="preserve">PTSD – </w:t>
      </w:r>
      <w:r>
        <w:rPr>
          <w:rFonts w:ascii="Arial Black" w:hAnsi="Arial Black"/>
          <w:b/>
          <w:sz w:val="28"/>
          <w:szCs w:val="28"/>
        </w:rPr>
        <w:t xml:space="preserve">POLICE OFFICERS MUST PROVE EXPERIENCED “TERRIFYING” &amp; “UNEXPECTED” EVENT </w:t>
      </w:r>
    </w:p>
    <w:p w14:paraId="3E2AA062" w14:textId="77777777" w:rsidR="005B7BBD" w:rsidRDefault="00F326E5" w:rsidP="00F326E5">
      <w:pPr>
        <w:pStyle w:val="NoSpacing"/>
        <w:rPr>
          <w:rFonts w:ascii="Times New Roman" w:eastAsia="Times New Roman" w:hAnsi="Times New Roman"/>
          <w:sz w:val="24"/>
          <w:szCs w:val="24"/>
        </w:rPr>
      </w:pPr>
      <w:r w:rsidRPr="00BC17B3">
        <w:rPr>
          <w:rFonts w:ascii="Times New Roman" w:eastAsia="Times New Roman" w:hAnsi="Times New Roman"/>
          <w:sz w:val="24"/>
          <w:szCs w:val="24"/>
        </w:rPr>
        <w:t xml:space="preserve">On June 5, 2018, in </w:t>
      </w:r>
      <w:r w:rsidRPr="00BC17B3">
        <w:rPr>
          <w:rFonts w:ascii="Times New Roman" w:eastAsia="Times New Roman" w:hAnsi="Times New Roman"/>
          <w:sz w:val="24"/>
          <w:szCs w:val="24"/>
          <w:u w:val="single"/>
        </w:rPr>
        <w:t>Christopher Mount v. Board of Trustees, Police and Fireman’s Retirement System</w:t>
      </w:r>
      <w:r w:rsidRPr="00BC17B3">
        <w:rPr>
          <w:rFonts w:ascii="Times New Roman" w:eastAsia="Times New Roman" w:hAnsi="Times New Roman"/>
          <w:sz w:val="24"/>
          <w:szCs w:val="24"/>
        </w:rPr>
        <w:t xml:space="preserve">, the New Jersey Supreme Court (7 to 0) held in two cases (1) that police officer who observed three teenagers burned to death in MVA may have a claim; but (2) police hostage negotiator has no claim when SWAT Team killed the assailant.  </w:t>
      </w:r>
    </w:p>
    <w:p w14:paraId="2F23A738" w14:textId="77777777" w:rsidR="005B7BBD" w:rsidRDefault="005B7BBD" w:rsidP="00F326E5">
      <w:pPr>
        <w:pStyle w:val="NoSpacing"/>
        <w:rPr>
          <w:rFonts w:ascii="Times New Roman" w:eastAsia="Times New Roman" w:hAnsi="Times New Roman"/>
          <w:sz w:val="24"/>
          <w:szCs w:val="24"/>
        </w:rPr>
      </w:pPr>
    </w:p>
    <w:p w14:paraId="65D7E4CB" w14:textId="0457960A" w:rsidR="00F326E5" w:rsidRPr="00BC17B3" w:rsidRDefault="00F326E5" w:rsidP="005B7BBD">
      <w:pPr>
        <w:pStyle w:val="NoSpacing"/>
        <w:ind w:left="720"/>
        <w:rPr>
          <w:rFonts w:ascii="Times New Roman" w:eastAsia="Times New Roman" w:hAnsi="Times New Roman"/>
          <w:sz w:val="24"/>
          <w:szCs w:val="24"/>
        </w:rPr>
      </w:pPr>
      <w:r w:rsidRPr="00BC17B3">
        <w:rPr>
          <w:rFonts w:ascii="Times New Roman" w:eastAsia="Times New Roman" w:hAnsi="Times New Roman"/>
          <w:sz w:val="24"/>
          <w:szCs w:val="24"/>
        </w:rPr>
        <w:t xml:space="preserve">“Although the shooting was clearly devastating to Martinez -- an officer exemplary for his professionalism and compassion in highly stressful circumstances -- it was not “unexpected….” </w:t>
      </w:r>
    </w:p>
    <w:p w14:paraId="26712E1E" w14:textId="61523A8C" w:rsidR="00F326E5" w:rsidRPr="00BC17B3" w:rsidRDefault="005B7BBD" w:rsidP="005B7BBD">
      <w:pPr>
        <w:ind w:firstLine="720"/>
        <w:rPr>
          <w:rFonts w:ascii="Times New Roman" w:eastAsia="Times New Roman" w:hAnsi="Times New Roman"/>
          <w:sz w:val="24"/>
          <w:szCs w:val="24"/>
        </w:rPr>
      </w:pPr>
      <w:hyperlink r:id="rId2411" w:history="1">
        <w:r w:rsidRPr="00D07486">
          <w:rPr>
            <w:rStyle w:val="Hyperlink"/>
            <w:rFonts w:ascii="Times New Roman" w:hAnsi="Times New Roman"/>
            <w:sz w:val="24"/>
            <w:szCs w:val="24"/>
          </w:rPr>
          <w:t>https://law.justia.com/cases/new-jersey/supreme-court/2018/a-9-16.html</w:t>
        </w:r>
      </w:hyperlink>
      <w:bookmarkEnd w:id="589"/>
      <w:r w:rsidR="00F326E5" w:rsidRPr="00BC17B3">
        <w:rPr>
          <w:rFonts w:ascii="Times New Roman" w:eastAsia="Times New Roman" w:hAnsi="Times New Roman"/>
          <w:sz w:val="24"/>
          <w:szCs w:val="24"/>
        </w:rPr>
        <w:t xml:space="preserve"> </w:t>
      </w:r>
    </w:p>
    <w:p w14:paraId="5F02FDBA" w14:textId="336E5178" w:rsidR="00F326E5" w:rsidRPr="00BC17B3" w:rsidRDefault="00F326E5" w:rsidP="00F326E5">
      <w:pPr>
        <w:pStyle w:val="HTMLPreformatted"/>
        <w:rPr>
          <w:rFonts w:ascii="Times New Roman" w:hAnsi="Times New Roman" w:cs="Times New Roman"/>
          <w:b/>
          <w:sz w:val="24"/>
          <w:szCs w:val="24"/>
        </w:rPr>
      </w:pPr>
      <w:bookmarkStart w:id="591" w:name="_Hlk40516566"/>
      <w:r w:rsidRPr="00BC17B3">
        <w:rPr>
          <w:rFonts w:ascii="Times New Roman" w:hAnsi="Times New Roman" w:cs="Times New Roman"/>
          <w:b/>
          <w:sz w:val="24"/>
          <w:szCs w:val="24"/>
        </w:rPr>
        <w:t xml:space="preserve">Legal Lessons Learned:  PTSD accidental disbenefit ability claims, with no physical injury, are particularly difficult </w:t>
      </w:r>
      <w:r w:rsidR="000164B1">
        <w:rPr>
          <w:rFonts w:ascii="Times New Roman" w:hAnsi="Times New Roman" w:cs="Times New Roman"/>
          <w:b/>
          <w:sz w:val="24"/>
          <w:szCs w:val="24"/>
        </w:rPr>
        <w:t>to prove.</w:t>
      </w:r>
    </w:p>
    <w:bookmarkEnd w:id="591"/>
    <w:p w14:paraId="10CCB7B1" w14:textId="77777777" w:rsidR="00F326E5" w:rsidRDefault="00F326E5" w:rsidP="00F326E5">
      <w:pPr>
        <w:rPr>
          <w:rFonts w:ascii="Arial Black" w:hAnsi="Arial Black"/>
          <w:sz w:val="40"/>
          <w:szCs w:val="40"/>
        </w:rPr>
      </w:pPr>
      <w:r>
        <w:rPr>
          <w:rFonts w:ascii="Arial Black" w:hAnsi="Arial Black"/>
          <w:sz w:val="40"/>
          <w:szCs w:val="40"/>
        </w:rPr>
        <w:br w:type="page"/>
      </w:r>
    </w:p>
    <w:bookmarkEnd w:id="590"/>
    <w:p w14:paraId="18AFC317" w14:textId="77777777" w:rsidR="00F326E5" w:rsidRPr="007732FA" w:rsidRDefault="00F326E5" w:rsidP="00F326E5">
      <w:pPr>
        <w:pStyle w:val="NoSpacing"/>
        <w:rPr>
          <w:rFonts w:ascii="Arial Black" w:hAnsi="Arial Black"/>
          <w:sz w:val="40"/>
          <w:szCs w:val="40"/>
        </w:rPr>
      </w:pPr>
    </w:p>
    <w:p w14:paraId="1C364A7F" w14:textId="77777777" w:rsidR="00635D7C" w:rsidRDefault="00635D7C" w:rsidP="00F326E5">
      <w:pPr>
        <w:pStyle w:val="NoSpacing"/>
        <w:rPr>
          <w:rFonts w:ascii="Arial Black" w:hAnsi="Arial Black"/>
          <w:sz w:val="40"/>
          <w:szCs w:val="40"/>
        </w:rPr>
      </w:pPr>
    </w:p>
    <w:p w14:paraId="1EF127B7" w14:textId="77777777" w:rsidR="00635D7C" w:rsidRDefault="00635D7C" w:rsidP="00F326E5">
      <w:pPr>
        <w:pStyle w:val="NoSpacing"/>
        <w:rPr>
          <w:rFonts w:ascii="Arial Black" w:hAnsi="Arial Black"/>
          <w:sz w:val="40"/>
          <w:szCs w:val="40"/>
        </w:rPr>
      </w:pPr>
    </w:p>
    <w:p w14:paraId="5DC8F06C" w14:textId="77777777" w:rsidR="00635D7C" w:rsidRDefault="00635D7C" w:rsidP="00F326E5">
      <w:pPr>
        <w:pStyle w:val="NoSpacing"/>
        <w:rPr>
          <w:rFonts w:ascii="Arial Black" w:hAnsi="Arial Black"/>
          <w:sz w:val="40"/>
          <w:szCs w:val="40"/>
        </w:rPr>
      </w:pPr>
    </w:p>
    <w:p w14:paraId="50F1B38C" w14:textId="77777777" w:rsidR="00635D7C" w:rsidRDefault="00635D7C" w:rsidP="00F326E5">
      <w:pPr>
        <w:pStyle w:val="NoSpacing"/>
        <w:rPr>
          <w:rFonts w:ascii="Arial Black" w:hAnsi="Arial Black"/>
          <w:sz w:val="40"/>
          <w:szCs w:val="40"/>
        </w:rPr>
      </w:pPr>
    </w:p>
    <w:p w14:paraId="07D35F4C" w14:textId="77777777" w:rsidR="00635D7C" w:rsidRDefault="00635D7C" w:rsidP="00F326E5">
      <w:pPr>
        <w:pStyle w:val="NoSpacing"/>
        <w:rPr>
          <w:rFonts w:ascii="Arial Black" w:hAnsi="Arial Black"/>
          <w:sz w:val="40"/>
          <w:szCs w:val="40"/>
        </w:rPr>
      </w:pPr>
    </w:p>
    <w:p w14:paraId="18AC572B" w14:textId="77777777" w:rsidR="00635D7C" w:rsidRDefault="00635D7C" w:rsidP="00F326E5">
      <w:pPr>
        <w:pStyle w:val="NoSpacing"/>
        <w:rPr>
          <w:rFonts w:ascii="Arial Black" w:hAnsi="Arial Black"/>
          <w:sz w:val="40"/>
          <w:szCs w:val="40"/>
        </w:rPr>
      </w:pPr>
    </w:p>
    <w:p w14:paraId="4E504245" w14:textId="77777777" w:rsidR="00635D7C" w:rsidRDefault="00635D7C" w:rsidP="00F326E5">
      <w:pPr>
        <w:pStyle w:val="NoSpacing"/>
        <w:rPr>
          <w:rFonts w:ascii="Arial Black" w:hAnsi="Arial Black"/>
          <w:sz w:val="40"/>
          <w:szCs w:val="40"/>
        </w:rPr>
      </w:pPr>
    </w:p>
    <w:p w14:paraId="5F3A9ACC" w14:textId="77777777" w:rsidR="00635D7C" w:rsidRDefault="00635D7C" w:rsidP="00F326E5">
      <w:pPr>
        <w:pStyle w:val="NoSpacing"/>
        <w:rPr>
          <w:rFonts w:ascii="Arial Black" w:hAnsi="Arial Black"/>
          <w:sz w:val="40"/>
          <w:szCs w:val="40"/>
        </w:rPr>
      </w:pPr>
    </w:p>
    <w:p w14:paraId="5C936DAB" w14:textId="77777777" w:rsidR="00635D7C" w:rsidRDefault="00635D7C" w:rsidP="00F326E5">
      <w:pPr>
        <w:pStyle w:val="NoSpacing"/>
        <w:rPr>
          <w:rFonts w:ascii="Arial Black" w:hAnsi="Arial Black"/>
          <w:sz w:val="40"/>
          <w:szCs w:val="40"/>
        </w:rPr>
      </w:pPr>
    </w:p>
    <w:p w14:paraId="0C1B4DD9" w14:textId="77777777" w:rsidR="00635D7C" w:rsidRDefault="00635D7C" w:rsidP="00F326E5">
      <w:pPr>
        <w:pStyle w:val="NoSpacing"/>
        <w:rPr>
          <w:rFonts w:ascii="Arial Black" w:hAnsi="Arial Black"/>
          <w:sz w:val="40"/>
          <w:szCs w:val="40"/>
        </w:rPr>
      </w:pPr>
    </w:p>
    <w:p w14:paraId="4DBF6E21" w14:textId="77777777" w:rsidR="00635D7C" w:rsidRDefault="00635D7C" w:rsidP="00F326E5">
      <w:pPr>
        <w:pStyle w:val="NoSpacing"/>
        <w:rPr>
          <w:rFonts w:ascii="Arial Black" w:hAnsi="Arial Black"/>
          <w:sz w:val="40"/>
          <w:szCs w:val="40"/>
        </w:rPr>
      </w:pPr>
    </w:p>
    <w:p w14:paraId="06207580" w14:textId="77777777" w:rsidR="00635D7C" w:rsidRDefault="00635D7C" w:rsidP="00F326E5">
      <w:pPr>
        <w:pStyle w:val="NoSpacing"/>
        <w:rPr>
          <w:rFonts w:ascii="Arial Black" w:hAnsi="Arial Black"/>
          <w:sz w:val="40"/>
          <w:szCs w:val="40"/>
        </w:rPr>
      </w:pPr>
    </w:p>
    <w:p w14:paraId="44DE41E7" w14:textId="77777777" w:rsidR="00635D7C" w:rsidRDefault="00635D7C" w:rsidP="00F326E5">
      <w:pPr>
        <w:pStyle w:val="NoSpacing"/>
        <w:rPr>
          <w:rFonts w:ascii="Arial Black" w:hAnsi="Arial Black"/>
          <w:sz w:val="40"/>
          <w:szCs w:val="40"/>
        </w:rPr>
      </w:pPr>
    </w:p>
    <w:p w14:paraId="2E176D95" w14:textId="77777777" w:rsidR="00635D7C" w:rsidRDefault="00635D7C" w:rsidP="00F326E5">
      <w:pPr>
        <w:pStyle w:val="NoSpacing"/>
        <w:rPr>
          <w:rFonts w:ascii="Arial Black" w:hAnsi="Arial Black"/>
          <w:sz w:val="40"/>
          <w:szCs w:val="40"/>
        </w:rPr>
      </w:pPr>
    </w:p>
    <w:p w14:paraId="7BA50ADF" w14:textId="77777777" w:rsidR="00635D7C" w:rsidRDefault="00635D7C" w:rsidP="00F326E5">
      <w:pPr>
        <w:pStyle w:val="NoSpacing"/>
        <w:rPr>
          <w:rFonts w:ascii="Arial Black" w:hAnsi="Arial Black"/>
          <w:sz w:val="40"/>
          <w:szCs w:val="40"/>
        </w:rPr>
      </w:pPr>
    </w:p>
    <w:p w14:paraId="3ED9AA9C" w14:textId="77777777" w:rsidR="00635D7C" w:rsidRDefault="00635D7C" w:rsidP="00F326E5">
      <w:pPr>
        <w:pStyle w:val="NoSpacing"/>
        <w:rPr>
          <w:rFonts w:ascii="Arial Black" w:hAnsi="Arial Black"/>
          <w:sz w:val="40"/>
          <w:szCs w:val="40"/>
        </w:rPr>
      </w:pPr>
    </w:p>
    <w:p w14:paraId="3B1CCA71" w14:textId="77777777" w:rsidR="00635D7C" w:rsidRDefault="00635D7C" w:rsidP="00F326E5">
      <w:pPr>
        <w:pStyle w:val="NoSpacing"/>
        <w:rPr>
          <w:rFonts w:ascii="Arial Black" w:hAnsi="Arial Black"/>
          <w:sz w:val="40"/>
          <w:szCs w:val="40"/>
        </w:rPr>
      </w:pPr>
    </w:p>
    <w:p w14:paraId="3FA9F2CE" w14:textId="77777777" w:rsidR="00635D7C" w:rsidRDefault="00635D7C" w:rsidP="00F326E5">
      <w:pPr>
        <w:pStyle w:val="NoSpacing"/>
        <w:rPr>
          <w:rFonts w:ascii="Arial Black" w:hAnsi="Arial Black"/>
          <w:sz w:val="40"/>
          <w:szCs w:val="40"/>
        </w:rPr>
      </w:pPr>
    </w:p>
    <w:p w14:paraId="789A0237" w14:textId="77777777" w:rsidR="00635D7C" w:rsidRDefault="00635D7C" w:rsidP="00F326E5">
      <w:pPr>
        <w:pStyle w:val="NoSpacing"/>
        <w:rPr>
          <w:rFonts w:ascii="Arial Black" w:hAnsi="Arial Black"/>
          <w:sz w:val="40"/>
          <w:szCs w:val="40"/>
        </w:rPr>
      </w:pPr>
    </w:p>
    <w:p w14:paraId="7BA9F1B7" w14:textId="77777777" w:rsidR="00635D7C" w:rsidRDefault="00635D7C" w:rsidP="00F326E5">
      <w:pPr>
        <w:pStyle w:val="NoSpacing"/>
        <w:rPr>
          <w:rFonts w:ascii="Arial Black" w:hAnsi="Arial Black"/>
          <w:sz w:val="40"/>
          <w:szCs w:val="40"/>
        </w:rPr>
      </w:pPr>
    </w:p>
    <w:p w14:paraId="54E0BB6D" w14:textId="77777777" w:rsidR="00635D7C" w:rsidRDefault="00635D7C" w:rsidP="00F326E5">
      <w:pPr>
        <w:pStyle w:val="NoSpacing"/>
        <w:rPr>
          <w:rFonts w:ascii="Arial Black" w:hAnsi="Arial Black"/>
          <w:sz w:val="40"/>
          <w:szCs w:val="40"/>
        </w:rPr>
      </w:pPr>
    </w:p>
    <w:p w14:paraId="5C112D6B" w14:textId="77777777" w:rsidR="00635D7C" w:rsidRDefault="00635D7C" w:rsidP="00F326E5">
      <w:pPr>
        <w:pStyle w:val="NoSpacing"/>
        <w:rPr>
          <w:rFonts w:ascii="Arial Black" w:hAnsi="Arial Black"/>
          <w:sz w:val="40"/>
          <w:szCs w:val="40"/>
        </w:rPr>
      </w:pPr>
    </w:p>
    <w:p w14:paraId="4DB8AF4F" w14:textId="77777777" w:rsidR="00635D7C" w:rsidRDefault="00635D7C" w:rsidP="00F326E5">
      <w:pPr>
        <w:pStyle w:val="NoSpacing"/>
        <w:rPr>
          <w:rFonts w:ascii="Arial Black" w:hAnsi="Arial Black"/>
          <w:sz w:val="40"/>
          <w:szCs w:val="40"/>
        </w:rPr>
      </w:pPr>
    </w:p>
    <w:p w14:paraId="0CE0FD25" w14:textId="77777777" w:rsidR="00635D7C" w:rsidRDefault="00635D7C" w:rsidP="00F326E5">
      <w:pPr>
        <w:pStyle w:val="NoSpacing"/>
        <w:rPr>
          <w:rFonts w:ascii="Arial Black" w:hAnsi="Arial Black"/>
          <w:sz w:val="40"/>
          <w:szCs w:val="40"/>
        </w:rPr>
      </w:pPr>
    </w:p>
    <w:p w14:paraId="29DC0F44" w14:textId="412A3FDE"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16</w:t>
      </w:r>
      <w:r w:rsidRPr="007732FA">
        <w:rPr>
          <w:rFonts w:ascii="Arial Black" w:hAnsi="Arial Black"/>
          <w:sz w:val="40"/>
          <w:szCs w:val="40"/>
        </w:rPr>
        <w:tab/>
      </w:r>
      <w:r w:rsidRPr="007732FA">
        <w:rPr>
          <w:rFonts w:ascii="Arial Black" w:hAnsi="Arial Black"/>
          <w:sz w:val="40"/>
          <w:szCs w:val="40"/>
        </w:rPr>
        <w:tab/>
        <w:t>Discipline</w:t>
      </w:r>
      <w:r w:rsidRPr="007732FA">
        <w:rPr>
          <w:rFonts w:ascii="Arial Black" w:hAnsi="Arial Black"/>
          <w:sz w:val="40"/>
          <w:szCs w:val="40"/>
        </w:rPr>
        <w:tab/>
      </w:r>
      <w:r w:rsidR="00BC5936">
        <w:rPr>
          <w:rFonts w:ascii="Arial Black" w:hAnsi="Arial Black"/>
          <w:sz w:val="40"/>
          <w:szCs w:val="40"/>
        </w:rPr>
        <w:t>, incl. Social Media</w:t>
      </w:r>
    </w:p>
    <w:p w14:paraId="7A42693C" w14:textId="77777777" w:rsidR="00F326E5" w:rsidRDefault="00F326E5" w:rsidP="00F326E5">
      <w:pPr>
        <w:pStyle w:val="NoSpacing"/>
        <w:rPr>
          <w:b/>
          <w:sz w:val="24"/>
          <w:szCs w:val="24"/>
        </w:rPr>
      </w:pPr>
    </w:p>
    <w:p w14:paraId="4B0F1F23" w14:textId="54D618FC" w:rsidR="00DA3352" w:rsidRDefault="00DA3352" w:rsidP="00DA3352">
      <w:pPr>
        <w:pStyle w:val="NoSpacing"/>
        <w:rPr>
          <w:rFonts w:ascii="Arial Black" w:hAnsi="Arial Black"/>
          <w:b/>
          <w:sz w:val="24"/>
          <w:szCs w:val="24"/>
        </w:rPr>
      </w:pPr>
      <w:r>
        <w:rPr>
          <w:rFonts w:ascii="Arial Black" w:hAnsi="Arial Black"/>
          <w:b/>
          <w:sz w:val="24"/>
          <w:szCs w:val="24"/>
        </w:rPr>
        <w:t>16-155</w:t>
      </w:r>
    </w:p>
    <w:p w14:paraId="5B5B81C1" w14:textId="77777777" w:rsidR="00E11253" w:rsidRDefault="00E11253" w:rsidP="002F7727">
      <w:pPr>
        <w:pStyle w:val="NoSpacing"/>
        <w:rPr>
          <w:rFonts w:ascii="Arial Black" w:hAnsi="Arial Black"/>
          <w:b/>
          <w:sz w:val="24"/>
          <w:szCs w:val="24"/>
        </w:rPr>
      </w:pPr>
    </w:p>
    <w:p w14:paraId="15E6990D" w14:textId="77777777" w:rsidR="00F838A9" w:rsidRPr="00E67138" w:rsidRDefault="00F838A9" w:rsidP="00F838A9">
      <w:pPr>
        <w:pStyle w:val="NoSpacing"/>
        <w:rPr>
          <w:rFonts w:ascii="Arial Black" w:hAnsi="Arial Black"/>
          <w:b/>
          <w:sz w:val="28"/>
          <w:szCs w:val="28"/>
        </w:rPr>
      </w:pPr>
      <w:r>
        <w:rPr>
          <w:rFonts w:ascii="Arial Black" w:hAnsi="Arial Black"/>
          <w:b/>
          <w:sz w:val="28"/>
          <w:szCs w:val="28"/>
        </w:rPr>
        <w:t>LA: 48-HR DISCIPLINE SET ASIDE – NO BILL RIGHTS NOTICE</w:t>
      </w:r>
    </w:p>
    <w:p w14:paraId="4A8A3F05" w14:textId="77777777" w:rsidR="00F838A9" w:rsidRDefault="00F838A9" w:rsidP="00F838A9">
      <w:pPr>
        <w:pStyle w:val="NoSpacing"/>
        <w:rPr>
          <w:b/>
        </w:rPr>
      </w:pPr>
    </w:p>
    <w:p w14:paraId="34A07E9B" w14:textId="77777777" w:rsidR="00F838A9" w:rsidRDefault="00F838A9" w:rsidP="00F838A9">
      <w:pPr>
        <w:pStyle w:val="NoSpacing"/>
        <w:rPr>
          <w:bCs/>
        </w:rPr>
      </w:pPr>
      <w:r>
        <w:t xml:space="preserve">On April 29, 2026, in </w:t>
      </w:r>
      <w:r w:rsidRPr="000B1335">
        <w:rPr>
          <w:u w:val="single"/>
        </w:rPr>
        <w:t>Donald Adams v. New Orleans Fire Department</w:t>
      </w:r>
      <w:r>
        <w:t xml:space="preserve">, the </w:t>
      </w:r>
      <w:r w:rsidRPr="000B1335">
        <w:t>Court of Appeals of Louisiana, Fourth Circuit</w:t>
      </w:r>
      <w:r>
        <w:t xml:space="preserve"> held (2 to 1) that 48-hour suspension is set aside; he was disciplined  for leaving a courthouse while the rest of 4-member team looked for cause of smoke alarm. The Court wrote: </w:t>
      </w:r>
    </w:p>
    <w:p w14:paraId="0C25C758" w14:textId="77777777" w:rsidR="00F838A9" w:rsidRDefault="00F838A9" w:rsidP="00F838A9">
      <w:pPr>
        <w:pStyle w:val="NoSpacing"/>
        <w:ind w:left="720" w:firstLine="60"/>
        <w:rPr>
          <w:bCs/>
        </w:rPr>
      </w:pPr>
    </w:p>
    <w:p w14:paraId="205D35F1" w14:textId="77777777" w:rsidR="00F838A9" w:rsidRDefault="00F838A9" w:rsidP="00F838A9">
      <w:pPr>
        <w:pStyle w:val="NoSpacing"/>
        <w:ind w:left="720" w:firstLine="60"/>
      </w:pPr>
      <w:r>
        <w:t xml:space="preserve">“First Platoon Deputy Chief </w:t>
      </w:r>
      <w:r w:rsidRPr="00960F97">
        <w:t xml:space="preserve">Castle completed his investigation and on April 22, 2024, he issued a letter to Adams informing him that he was suspended for 48 hours for violating fire department policy. The letter advised Adams that, </w:t>
      </w:r>
      <w:r>
        <w:t>‘</w:t>
      </w:r>
      <w:r w:rsidRPr="00960F97">
        <w:t xml:space="preserve">Specifically, on </w:t>
      </w:r>
      <w:r>
        <w:t xml:space="preserve">[March 17, </w:t>
      </w:r>
      <w:r w:rsidRPr="00960F97">
        <w:t>2024</w:t>
      </w:r>
      <w:r>
        <w:t>]</w:t>
      </w:r>
      <w:r w:rsidRPr="00960F97">
        <w:t xml:space="preserve"> while on an incident investigating an alarm you exited the building without the captain's permission while the rest of the crew remained inside to confirm the alarm status and mitigate the incident</w:t>
      </w:r>
      <w:r>
        <w:t xml:space="preserve">…. </w:t>
      </w:r>
      <w:r w:rsidRPr="00654C32">
        <w:t>We are constrained to hold that the strict statutory requirements of La. R.S. 33:2181 were not met in this process</w:t>
      </w:r>
      <w:r>
        <w:t xml:space="preserve">…. </w:t>
      </w:r>
      <w:r w:rsidRPr="00DB6DA9">
        <w:t>At no point in the investigation was Adams notified of his rights under the Firefighter's Bill of Rights. To the extent that the record in this case reveals the substance of the investigation we conclude that the investigators were Edwards and Castle.</w:t>
      </w:r>
      <w:r>
        <w:t xml:space="preserve"> </w:t>
      </w:r>
      <w:hyperlink r:id="rId2412" w:history="1">
        <w:r w:rsidRPr="00A118A9">
          <w:rPr>
            <w:rStyle w:val="Hyperlink"/>
          </w:rPr>
          <w:t>https://caselaw.findlaw.com/court/la-court-of-appeal/118312488.html</w:t>
        </w:r>
      </w:hyperlink>
      <w:r>
        <w:t xml:space="preserve"> </w:t>
      </w:r>
    </w:p>
    <w:p w14:paraId="32EB1028" w14:textId="77777777" w:rsidR="00F838A9" w:rsidRDefault="00F838A9" w:rsidP="00F838A9">
      <w:pPr>
        <w:pStyle w:val="NoSpacing"/>
      </w:pPr>
    </w:p>
    <w:p w14:paraId="7ED78B72" w14:textId="77777777" w:rsidR="00F838A9" w:rsidRDefault="00F838A9" w:rsidP="00F838A9">
      <w:pPr>
        <w:pStyle w:val="NoSpacing"/>
      </w:pPr>
      <w:r>
        <w:t>THE COURT HELD:</w:t>
      </w:r>
    </w:p>
    <w:p w14:paraId="2E0D881B" w14:textId="77777777" w:rsidR="00F838A9" w:rsidRDefault="00F838A9" w:rsidP="00F838A9">
      <w:pPr>
        <w:pStyle w:val="NoSpacing"/>
      </w:pPr>
    </w:p>
    <w:p w14:paraId="582B38AB" w14:textId="77777777" w:rsidR="00F838A9" w:rsidRDefault="00F838A9" w:rsidP="00F838A9">
      <w:pPr>
        <w:pStyle w:val="NoSpacing"/>
        <w:ind w:left="720"/>
      </w:pPr>
      <w:r>
        <w:t>“</w:t>
      </w:r>
      <w:r w:rsidRPr="009B5BDC">
        <w:t xml:space="preserve">On March 17, 2024, firefighters from Engine Company 20 were called out to the Second City Courthouse on Morgan Street in Algiers. The firefighters involved were Captain Randolph </w:t>
      </w:r>
      <w:proofErr w:type="gramStart"/>
      <w:r w:rsidRPr="009B5BDC">
        <w:t>Edwards (</w:t>
      </w:r>
      <w:r>
        <w:t>‘</w:t>
      </w:r>
      <w:r w:rsidRPr="009B5BDC">
        <w:t>Edwards</w:t>
      </w:r>
      <w:r>
        <w:t>’</w:t>
      </w:r>
      <w:r w:rsidRPr="009B5BDC">
        <w:t>)</w:t>
      </w:r>
      <w:proofErr w:type="gramEnd"/>
      <w:r w:rsidRPr="009B5BDC">
        <w:t xml:space="preserve">, Anthony </w:t>
      </w:r>
      <w:proofErr w:type="gramStart"/>
      <w:r w:rsidRPr="009B5BDC">
        <w:t>Donseroaux (</w:t>
      </w:r>
      <w:r>
        <w:t>‘</w:t>
      </w:r>
      <w:proofErr w:type="spellStart"/>
      <w:r w:rsidRPr="009B5BDC">
        <w:t>Donseroaux</w:t>
      </w:r>
      <w:proofErr w:type="spellEnd"/>
      <w:r>
        <w:t>’</w:t>
      </w:r>
      <w:r w:rsidRPr="009B5BDC">
        <w:t>)</w:t>
      </w:r>
      <w:proofErr w:type="gramEnd"/>
      <w:r w:rsidRPr="009B5BDC">
        <w:t xml:space="preserve">, Milton </w:t>
      </w:r>
      <w:proofErr w:type="gramStart"/>
      <w:r w:rsidRPr="009B5BDC">
        <w:t>Smith (</w:t>
      </w:r>
      <w:r>
        <w:t>‘</w:t>
      </w:r>
      <w:r w:rsidRPr="009B5BDC">
        <w:t>Smith</w:t>
      </w:r>
      <w:r>
        <w:t>’</w:t>
      </w:r>
      <w:r w:rsidRPr="009B5BDC">
        <w:t>)</w:t>
      </w:r>
      <w:proofErr w:type="gramEnd"/>
      <w:r w:rsidRPr="009B5BDC">
        <w:t xml:space="preserve"> and Adams. It was the third callout to this address that day. On the two prior occasions, the team </w:t>
      </w:r>
      <w:proofErr w:type="gramStart"/>
      <w:r w:rsidRPr="009B5BDC">
        <w:t>was not able to</w:t>
      </w:r>
      <w:proofErr w:type="gramEnd"/>
      <w:r w:rsidRPr="009B5BDC">
        <w:t xml:space="preserve"> get into the courthouse. On this third occasion, a building representative was present and let the men in. They searched the building and found no evidence of fire. They were unable to stop the alarm. While awaiting someone from the alarm company to stop the false alarm, Edwards, who was the ranking firefighter on the scene, began a conversation with the building representative on matters unrelated to the fire call. </w:t>
      </w:r>
      <w:r>
        <w:t xml:space="preserve"> </w:t>
      </w:r>
      <w:r w:rsidRPr="009B5BDC">
        <w:t>         </w:t>
      </w:r>
    </w:p>
    <w:p w14:paraId="0D29CF31" w14:textId="77777777" w:rsidR="00F838A9" w:rsidRDefault="00F838A9" w:rsidP="00F838A9">
      <w:pPr>
        <w:pStyle w:val="NoSpacing"/>
        <w:ind w:left="720"/>
      </w:pPr>
    </w:p>
    <w:p w14:paraId="17FE40D4" w14:textId="77777777" w:rsidR="00F838A9" w:rsidRDefault="00F838A9" w:rsidP="00F838A9">
      <w:pPr>
        <w:pStyle w:val="NoSpacing"/>
        <w:ind w:left="720"/>
      </w:pPr>
      <w:r w:rsidRPr="009B5BDC">
        <w:t xml:space="preserve">Approximately 10 to 15 minutes after the building was searched, the captain and other firefighters walked outside and saw Adams talking to Smith, the firetruck operator. The building representative commented that the two firefighters by the truck were ready to leave. Edwards then walked to the truck and chastised Adams for leaving the scene inside the building and informed him that he should stay next to his captain. </w:t>
      </w:r>
    </w:p>
    <w:p w14:paraId="1009B712" w14:textId="77777777" w:rsidR="00F838A9" w:rsidRPr="009B5BDC" w:rsidRDefault="00F838A9" w:rsidP="00F838A9">
      <w:pPr>
        <w:pStyle w:val="NoSpacing"/>
        <w:ind w:left="720"/>
      </w:pPr>
    </w:p>
    <w:p w14:paraId="5FC0EDE7" w14:textId="77777777" w:rsidR="00F838A9" w:rsidRDefault="00F838A9" w:rsidP="00F838A9">
      <w:pPr>
        <w:pStyle w:val="NoSpacing"/>
        <w:ind w:left="720"/>
      </w:pPr>
      <w:r w:rsidRPr="009B5BDC">
        <w:t xml:space="preserve">Edwards alleges that Adams told him, </w:t>
      </w:r>
      <w:proofErr w:type="gramStart"/>
      <w:r>
        <w:t>‘</w:t>
      </w:r>
      <w:r w:rsidRPr="009B5BDC">
        <w:t>you</w:t>
      </w:r>
      <w:proofErr w:type="gramEnd"/>
      <w:r w:rsidRPr="009B5BDC">
        <w:t xml:space="preserve"> think you're in charge of f*****g </w:t>
      </w:r>
      <w:r>
        <w:t xml:space="preserve"> </w:t>
      </w:r>
      <w:r w:rsidRPr="009B5BDC">
        <w:t>E20 but you're not in charge.</w:t>
      </w:r>
      <w:r>
        <w:t xml:space="preserve">’ </w:t>
      </w:r>
      <w:r w:rsidRPr="009B5BDC">
        <w:t xml:space="preserve"> Adams alleges that he said, </w:t>
      </w:r>
      <w:r>
        <w:t>‘</w:t>
      </w:r>
      <w:r w:rsidRPr="009B5BDC">
        <w:t>you think you're in charge of E20 but it's a team.</w:t>
      </w:r>
      <w:r>
        <w:t xml:space="preserve">’ </w:t>
      </w:r>
      <w:r w:rsidRPr="009B5BDC">
        <w:t xml:space="preserve">Neither Smith nor </w:t>
      </w:r>
      <w:proofErr w:type="spellStart"/>
      <w:r w:rsidRPr="009B5BDC">
        <w:t>Donseroaux</w:t>
      </w:r>
      <w:proofErr w:type="spellEnd"/>
      <w:r w:rsidRPr="009B5BDC">
        <w:t xml:space="preserve"> heard the profanity that Edwards described but both witnesses testified that the conversation was heated. Smith, who </w:t>
      </w:r>
      <w:proofErr w:type="gramStart"/>
      <w:r w:rsidRPr="009B5BDC">
        <w:t>was outside at all times</w:t>
      </w:r>
      <w:proofErr w:type="gramEnd"/>
      <w:r w:rsidRPr="009B5BDC">
        <w:t xml:space="preserve">, explained that he called Adams to the truck to ask if the inspection revealed anything. </w:t>
      </w:r>
    </w:p>
    <w:p w14:paraId="077391E2" w14:textId="77777777" w:rsidR="00F838A9" w:rsidRDefault="00F838A9" w:rsidP="00F838A9">
      <w:pPr>
        <w:pStyle w:val="NoSpacing"/>
        <w:ind w:left="720"/>
      </w:pPr>
    </w:p>
    <w:p w14:paraId="77B05235" w14:textId="77777777" w:rsidR="00F838A9" w:rsidRDefault="00F838A9" w:rsidP="00F838A9">
      <w:pPr>
        <w:pStyle w:val="NoSpacing"/>
        <w:ind w:left="720"/>
      </w:pPr>
      <w:r>
        <w:t>***</w:t>
      </w:r>
    </w:p>
    <w:p w14:paraId="424EA38E" w14:textId="77777777" w:rsidR="00F838A9" w:rsidRDefault="00F838A9" w:rsidP="00F838A9">
      <w:pPr>
        <w:pStyle w:val="NoSpacing"/>
        <w:ind w:left="720"/>
      </w:pPr>
      <w:r w:rsidRPr="00A9657E">
        <w:t xml:space="preserve">After the incident, Edwards asked every member of the team to write a Special Report (statement) regarding the call out. </w:t>
      </w:r>
      <w:r>
        <w:t xml:space="preserve"> </w:t>
      </w:r>
      <w:r w:rsidRPr="00A9657E">
        <w:t xml:space="preserve">Edwards completed a Documentation of Disciplinary </w:t>
      </w:r>
      <w:proofErr w:type="gramStart"/>
      <w:r w:rsidRPr="00A9657E">
        <w:t>Action (</w:t>
      </w:r>
      <w:r>
        <w:t>‘</w:t>
      </w:r>
      <w:proofErr w:type="gramEnd"/>
      <w:r w:rsidRPr="00A9657E">
        <w:t>DDA</w:t>
      </w:r>
      <w:r>
        <w:t>’</w:t>
      </w:r>
      <w:r w:rsidRPr="00A9657E">
        <w:t xml:space="preserve">) form charging Adams with violating NOFDRR57 of the New Orleans Fire </w:t>
      </w:r>
      <w:proofErr w:type="gramStart"/>
      <w:r w:rsidRPr="00A9657E">
        <w:t>Department (</w:t>
      </w:r>
      <w:r>
        <w:t>‘</w:t>
      </w:r>
      <w:proofErr w:type="gramEnd"/>
      <w:r w:rsidRPr="00A9657E">
        <w:t>NOFD</w:t>
      </w:r>
      <w:r>
        <w:t>’</w:t>
      </w:r>
      <w:r w:rsidRPr="00A9657E">
        <w:t xml:space="preserve">) Rules and Regulations. RR 57 provides that, </w:t>
      </w:r>
      <w:r>
        <w:t>‘</w:t>
      </w:r>
      <w:r w:rsidRPr="00A9657E">
        <w:t>At fire scenes or emergency calls, members shall not perform tasks without direction or orders from command or perform tasks that do not support incident objectives (i.e. freelancing).</w:t>
      </w:r>
      <w:r>
        <w:t>’</w:t>
      </w:r>
    </w:p>
    <w:p w14:paraId="5DE5526E" w14:textId="77777777" w:rsidR="00F838A9" w:rsidRDefault="00F838A9" w:rsidP="00F838A9">
      <w:pPr>
        <w:pStyle w:val="NoSpacing"/>
        <w:ind w:left="720"/>
      </w:pPr>
    </w:p>
    <w:p w14:paraId="4198299E" w14:textId="77777777" w:rsidR="00F838A9" w:rsidRDefault="00F838A9" w:rsidP="00F838A9">
      <w:pPr>
        <w:pStyle w:val="NoSpacing"/>
        <w:ind w:left="720"/>
      </w:pPr>
      <w:r>
        <w:t>***</w:t>
      </w:r>
    </w:p>
    <w:p w14:paraId="05815C35" w14:textId="77777777" w:rsidR="00F838A9" w:rsidRPr="00F24C16" w:rsidRDefault="00F838A9" w:rsidP="00F838A9">
      <w:pPr>
        <w:pStyle w:val="NoSpacing"/>
        <w:ind w:left="720"/>
      </w:pPr>
      <w:r w:rsidRPr="00F24C16">
        <w:lastRenderedPageBreak/>
        <w:t xml:space="preserve">We believe that Edwards' initiation of a disciplinary procedure based on Adams' actions was appropriate. In this case, it does not appear that there was an emergency in progress when Adams decided to walk away from the working group in the courthouse. However, it is the very nature of emergencies that they occur without warning. No one was injured and there was no loss of life or property in this situation. For that, everyone must be grateful to good fortune. In the business of protecting life and property, good fortune is never a substitute for safe procedure. </w:t>
      </w:r>
    </w:p>
    <w:p w14:paraId="4EBB0D82" w14:textId="77777777" w:rsidR="00F838A9" w:rsidRDefault="00F838A9" w:rsidP="00F838A9">
      <w:pPr>
        <w:pStyle w:val="NoSpacing"/>
        <w:ind w:left="720"/>
      </w:pPr>
      <w:r w:rsidRPr="00F24C16">
        <w:t>         </w:t>
      </w:r>
    </w:p>
    <w:p w14:paraId="79020D2A" w14:textId="77777777" w:rsidR="00F838A9" w:rsidRDefault="00F838A9" w:rsidP="00F838A9">
      <w:pPr>
        <w:pStyle w:val="NoSpacing"/>
        <w:ind w:left="720"/>
      </w:pPr>
      <w:r w:rsidRPr="00F24C16">
        <w:t>Having noted for the record this court's support for the intention of the disciplinary proceeding, we find that the decision of the CSC was not manifestly erroneous. We are constrained to hold that the strict statutory requirements of La. R.S. 33:2181 were not met in this process.</w:t>
      </w:r>
      <w:r>
        <w:t>”</w:t>
      </w:r>
    </w:p>
    <w:p w14:paraId="5EBFF566" w14:textId="77777777" w:rsidR="00F838A9" w:rsidRDefault="00F838A9" w:rsidP="00F838A9">
      <w:pPr>
        <w:pStyle w:val="NoSpacing"/>
        <w:ind w:left="720"/>
      </w:pPr>
    </w:p>
    <w:p w14:paraId="05362EB0" w14:textId="77777777" w:rsidR="00F838A9" w:rsidRDefault="00F838A9" w:rsidP="00F838A9">
      <w:pPr>
        <w:pStyle w:val="NoSpacing"/>
      </w:pPr>
      <w:r>
        <w:t>DISSENT:</w:t>
      </w:r>
    </w:p>
    <w:p w14:paraId="0AA9C73E" w14:textId="77777777" w:rsidR="00F838A9" w:rsidRDefault="00F838A9" w:rsidP="00F838A9">
      <w:pPr>
        <w:pStyle w:val="NoSpacing"/>
      </w:pPr>
    </w:p>
    <w:p w14:paraId="2E4D5CEE" w14:textId="77777777" w:rsidR="00F838A9" w:rsidRDefault="00F838A9" w:rsidP="00F838A9">
      <w:pPr>
        <w:pStyle w:val="NoSpacing"/>
        <w:ind w:left="720"/>
      </w:pPr>
      <w:r>
        <w:t xml:space="preserve">“The distinction between investigation and formal investigation is an important one. Initial steps taken to prepare for a formal investigation (i.e., gathering witness statements, promulgating Documentation of Disciplinary Action) are distinguishable from the formal investigation itself. A formal investigation cannot commence unless and until a complaint is lodged, evidence is gathered, and such documentation is submitted to the appointing authority to determine whether a formal investigation is </w:t>
      </w:r>
      <w:proofErr w:type="gramStart"/>
      <w:r>
        <w:t>merited.”</w:t>
      </w:r>
      <w:proofErr w:type="gramEnd"/>
      <w:r>
        <w:t xml:space="preserve"> </w:t>
      </w:r>
      <w:hyperlink r:id="rId2413" w:history="1">
        <w:r w:rsidRPr="00A118A9">
          <w:rPr>
            <w:rStyle w:val="Hyperlink"/>
          </w:rPr>
          <w:t>https://cases.justia.com/louisiana/fourth-circuit-court-of-appeal/2026-2025-ca-0639-0.pdf?ts=1777519082</w:t>
        </w:r>
      </w:hyperlink>
      <w:r>
        <w:t xml:space="preserve"> </w:t>
      </w:r>
    </w:p>
    <w:p w14:paraId="68F2F445" w14:textId="77777777" w:rsidR="00F838A9" w:rsidRDefault="00F838A9" w:rsidP="00F838A9">
      <w:pPr>
        <w:pStyle w:val="NoSpacing"/>
        <w:ind w:left="720"/>
      </w:pPr>
    </w:p>
    <w:p w14:paraId="4B91E4CA" w14:textId="77777777" w:rsidR="00F838A9" w:rsidRPr="009B5BDC" w:rsidRDefault="00F838A9" w:rsidP="00F838A9">
      <w:pPr>
        <w:pStyle w:val="NoSpacing"/>
      </w:pPr>
      <w:r>
        <w:rPr>
          <w:b/>
        </w:rPr>
        <w:t xml:space="preserve">Legal lesson learned: This is second New Orleans FD recent case where discipline is set aside.  There is a clear need for written guidance from State’s Attorney General on when a “formal investigation” is deemed to start. </w:t>
      </w:r>
    </w:p>
    <w:p w14:paraId="3702FE89" w14:textId="77777777" w:rsidR="00F838A9" w:rsidRDefault="00F838A9" w:rsidP="00F838A9">
      <w:pPr>
        <w:pStyle w:val="NoSpacing"/>
      </w:pPr>
    </w:p>
    <w:p w14:paraId="31B6C0CC" w14:textId="77777777" w:rsidR="00DA3352" w:rsidRDefault="00DA3352" w:rsidP="00DA3352">
      <w:pPr>
        <w:pStyle w:val="NoSpacing"/>
        <w:rPr>
          <w:rFonts w:ascii="Arial Black" w:hAnsi="Arial Black"/>
          <w:b/>
          <w:sz w:val="24"/>
          <w:szCs w:val="24"/>
        </w:rPr>
      </w:pPr>
    </w:p>
    <w:p w14:paraId="1841EA4D" w14:textId="45282F98" w:rsidR="00DA3352" w:rsidRDefault="00DA3352" w:rsidP="00DA3352">
      <w:pPr>
        <w:pStyle w:val="NoSpacing"/>
        <w:rPr>
          <w:rFonts w:ascii="Arial Black" w:hAnsi="Arial Black"/>
          <w:b/>
          <w:sz w:val="24"/>
          <w:szCs w:val="24"/>
        </w:rPr>
      </w:pPr>
      <w:r>
        <w:rPr>
          <w:rFonts w:ascii="Arial Black" w:hAnsi="Arial Black"/>
          <w:b/>
          <w:sz w:val="24"/>
          <w:szCs w:val="24"/>
        </w:rPr>
        <w:t>16-154</w:t>
      </w:r>
    </w:p>
    <w:p w14:paraId="33C65973" w14:textId="77777777" w:rsidR="00DA3352" w:rsidRDefault="00DA3352" w:rsidP="00DA3352">
      <w:pPr>
        <w:pStyle w:val="NoSpacing"/>
        <w:rPr>
          <w:rFonts w:ascii="Arial Black" w:hAnsi="Arial Black"/>
          <w:b/>
          <w:sz w:val="24"/>
          <w:szCs w:val="24"/>
        </w:rPr>
      </w:pPr>
    </w:p>
    <w:p w14:paraId="0CADA8D4" w14:textId="77777777" w:rsidR="00C03046" w:rsidRPr="00807158" w:rsidRDefault="00C03046" w:rsidP="00C03046">
      <w:pPr>
        <w:pStyle w:val="NoSpacing"/>
        <w:rPr>
          <w:rFonts w:ascii="Arial Black" w:hAnsi="Arial Black"/>
          <w:b/>
          <w:sz w:val="28"/>
          <w:szCs w:val="28"/>
        </w:rPr>
      </w:pPr>
      <w:r>
        <w:rPr>
          <w:rFonts w:ascii="Arial Black" w:hAnsi="Arial Black"/>
          <w:b/>
          <w:sz w:val="28"/>
          <w:szCs w:val="28"/>
        </w:rPr>
        <w:t>LA: 36-HR DISCIPLINE SET ASIDE– NO BILL RIGHTS NOTICE</w:t>
      </w:r>
    </w:p>
    <w:p w14:paraId="7D3285CF" w14:textId="77777777" w:rsidR="00C03046" w:rsidRDefault="00C03046" w:rsidP="00C03046">
      <w:pPr>
        <w:pStyle w:val="NoSpacing"/>
      </w:pPr>
    </w:p>
    <w:p w14:paraId="16444A44" w14:textId="77777777" w:rsidR="00C03046" w:rsidRDefault="00C03046" w:rsidP="00C03046">
      <w:pPr>
        <w:pStyle w:val="NoSpacing"/>
      </w:pPr>
      <w:r>
        <w:t xml:space="preserve">On April 28, 2026, in </w:t>
      </w:r>
      <w:r w:rsidRPr="00AB5D12">
        <w:rPr>
          <w:u w:val="single"/>
        </w:rPr>
        <w:t>Michael Murphy v. New Orleans Fire Department</w:t>
      </w:r>
      <w:r>
        <w:t xml:space="preserve">, the </w:t>
      </w:r>
      <w:r w:rsidRPr="00AB5D12">
        <w:t>Court of Appeals of Louisiana, Fourth Circuit</w:t>
      </w:r>
      <w:r>
        <w:t xml:space="preserve"> held (3 to 0) that under the Louisiana </w:t>
      </w:r>
      <w:r w:rsidRPr="007D2D81">
        <w:t>Firefighter Bill of Rights</w:t>
      </w:r>
      <w:r>
        <w:t xml:space="preserve">, even though there is no question that the Fire Apparatus Operator’s failed to wear seat belts on December 2 and December 11, 2024 when driving </w:t>
      </w:r>
      <w:r w:rsidRPr="004C28D7">
        <w:t>Fire Engine 14</w:t>
      </w:r>
      <w:r>
        <w:t xml:space="preserve">. The NOFD Samsara video monitoring system recorded </w:t>
      </w:r>
      <w:proofErr w:type="gramStart"/>
      <w:r>
        <w:t>the seatbelt</w:t>
      </w:r>
      <w:proofErr w:type="gramEnd"/>
      <w:r>
        <w:t xml:space="preserve"> infractions and alerted Captain Jason Dufrene, who on December 20, </w:t>
      </w:r>
      <w:proofErr w:type="gramStart"/>
      <w:r>
        <w:t>2024</w:t>
      </w:r>
      <w:proofErr w:type="gramEnd"/>
      <w:r>
        <w:t xml:space="preserve"> issued the charges.  The Civil Service Commission held (2 to 1) that there was no “formal investigation” under the Bill of Rights which would require the following notices: “notify the employee in writing of the nature of the investigation, of the identity and authority of the person conducting such investigation, and of the specific charges or violations being investigated. The Commission held: “Captain Dufrene’s routine review of photos or videos from an electronic monitoring system does not rise to the level of a formal investigation.” The Court of Appeals disagreed and set aside the suspensions. “The NOFD conducted a formal investigation of Mr. Murphy’s seatbelt violations without providing written notice of an investigation. The SAMSARA evidence does not abrogate the Firefighter Bill of Rights. Accordingly, we find that Mr. Murphy’s discipline was an absolute </w:t>
      </w:r>
      <w:proofErr w:type="gramStart"/>
      <w:r>
        <w:t>nullity.”</w:t>
      </w:r>
      <w:proofErr w:type="gramEnd"/>
      <w:r>
        <w:t xml:space="preserve"> </w:t>
      </w:r>
      <w:hyperlink r:id="rId2414" w:history="1">
        <w:r w:rsidRPr="00CF721F">
          <w:rPr>
            <w:rStyle w:val="Hyperlink"/>
          </w:rPr>
          <w:t>https://www.la4th.org/opinion/2025/4959829_1.pdf</w:t>
        </w:r>
      </w:hyperlink>
      <w:r>
        <w:t xml:space="preserve"> </w:t>
      </w:r>
    </w:p>
    <w:p w14:paraId="54E1D41D" w14:textId="77777777" w:rsidR="00C03046" w:rsidRDefault="00C03046" w:rsidP="00C03046">
      <w:pPr>
        <w:pStyle w:val="NoSpacing"/>
      </w:pPr>
    </w:p>
    <w:p w14:paraId="76934C53" w14:textId="77777777" w:rsidR="00C03046" w:rsidRDefault="00C03046" w:rsidP="00C03046">
      <w:pPr>
        <w:pStyle w:val="NoSpacing"/>
      </w:pPr>
      <w:r>
        <w:t>THE COURT HELD:</w:t>
      </w:r>
    </w:p>
    <w:p w14:paraId="0BE40CA8" w14:textId="77777777" w:rsidR="00C03046" w:rsidRDefault="00C03046" w:rsidP="00C03046">
      <w:pPr>
        <w:pStyle w:val="NoSpacing"/>
      </w:pPr>
    </w:p>
    <w:p w14:paraId="46C6504A" w14:textId="77777777" w:rsidR="00C03046" w:rsidRDefault="00C03046" w:rsidP="00C03046">
      <w:pPr>
        <w:pStyle w:val="NoSpacing"/>
        <w:ind w:firstLine="720"/>
      </w:pPr>
      <w:r>
        <w:t>“[The] NOFD asserts that no formal investigation was warranted or</w:t>
      </w:r>
    </w:p>
    <w:p w14:paraId="4102F6C2" w14:textId="77777777" w:rsidR="00C03046" w:rsidRDefault="00C03046" w:rsidP="00C03046">
      <w:pPr>
        <w:pStyle w:val="NoSpacing"/>
        <w:ind w:firstLine="720"/>
      </w:pPr>
      <w:r>
        <w:t>conducted due to the conclusive SAMSARA video evidence of Mr. Murphy’s</w:t>
      </w:r>
    </w:p>
    <w:p w14:paraId="29C13C15" w14:textId="77777777" w:rsidR="00C03046" w:rsidRDefault="00C03046" w:rsidP="00C03046">
      <w:pPr>
        <w:pStyle w:val="NoSpacing"/>
        <w:ind w:firstLine="720"/>
      </w:pPr>
      <w:r>
        <w:t xml:space="preserve">infractions. Nonetheless, the NOFD </w:t>
      </w:r>
      <w:proofErr w:type="gramStart"/>
      <w:r>
        <w:t>contends, ‘</w:t>
      </w:r>
      <w:proofErr w:type="gramEnd"/>
      <w:r>
        <w:t>[t]o the extent any investigation</w:t>
      </w:r>
    </w:p>
    <w:p w14:paraId="752AAFAB" w14:textId="77777777" w:rsidR="00C03046" w:rsidRDefault="00C03046" w:rsidP="00C03046">
      <w:pPr>
        <w:pStyle w:val="NoSpacing"/>
        <w:ind w:firstLine="720"/>
      </w:pPr>
      <w:r>
        <w:t>was conducted, which is denied, it was informal and had not arisen to the level of a</w:t>
      </w:r>
    </w:p>
    <w:p w14:paraId="01A21C40" w14:textId="77777777" w:rsidR="00C03046" w:rsidRDefault="00C03046" w:rsidP="00C03046">
      <w:pPr>
        <w:pStyle w:val="NoSpacing"/>
        <w:ind w:firstLine="720"/>
      </w:pPr>
      <w:r>
        <w:t>formal investigation and the required procedural steps pursuant to La R.S.</w:t>
      </w:r>
    </w:p>
    <w:p w14:paraId="432270BB" w14:textId="77777777" w:rsidR="00C03046" w:rsidRDefault="00C03046" w:rsidP="00C03046">
      <w:pPr>
        <w:pStyle w:val="NoSpacing"/>
        <w:ind w:firstLine="720"/>
      </w:pPr>
      <w:r>
        <w:t>§33:2181(B).’</w:t>
      </w:r>
    </w:p>
    <w:p w14:paraId="1B4B9998" w14:textId="77777777" w:rsidR="00C03046" w:rsidRDefault="00C03046" w:rsidP="00C03046">
      <w:pPr>
        <w:pStyle w:val="NoSpacing"/>
        <w:ind w:firstLine="720"/>
      </w:pPr>
    </w:p>
    <w:p w14:paraId="3E500B20" w14:textId="77777777" w:rsidR="00C03046" w:rsidRDefault="00C03046" w:rsidP="00C03046">
      <w:pPr>
        <w:pStyle w:val="NoSpacing"/>
        <w:ind w:firstLine="720"/>
      </w:pPr>
      <w:r>
        <w:t>***</w:t>
      </w:r>
    </w:p>
    <w:p w14:paraId="1FC7993A" w14:textId="77777777" w:rsidR="00C03046" w:rsidRDefault="00C03046" w:rsidP="00C03046">
      <w:pPr>
        <w:pStyle w:val="NoSpacing"/>
      </w:pPr>
    </w:p>
    <w:p w14:paraId="474E0E4D" w14:textId="77777777" w:rsidR="00C03046" w:rsidRDefault="00C03046" w:rsidP="00C03046">
      <w:pPr>
        <w:pStyle w:val="NoSpacing"/>
        <w:ind w:firstLine="720"/>
      </w:pPr>
      <w:r>
        <w:t>We must determine whether the NOFD conducted a formal investigation of</w:t>
      </w:r>
    </w:p>
    <w:p w14:paraId="18877DB6" w14:textId="77777777" w:rsidR="00C03046" w:rsidRDefault="00C03046" w:rsidP="00C03046">
      <w:pPr>
        <w:pStyle w:val="NoSpacing"/>
        <w:ind w:firstLine="720"/>
      </w:pPr>
      <w:r>
        <w:t>Mr. Murphy.</w:t>
      </w:r>
    </w:p>
    <w:p w14:paraId="20EE6B83" w14:textId="77777777" w:rsidR="00C03046" w:rsidRDefault="00C03046" w:rsidP="00C03046">
      <w:pPr>
        <w:pStyle w:val="NoSpacing"/>
        <w:ind w:firstLine="720"/>
      </w:pPr>
    </w:p>
    <w:p w14:paraId="759F437F" w14:textId="77777777" w:rsidR="00C03046" w:rsidRDefault="00C03046" w:rsidP="00C03046">
      <w:pPr>
        <w:pStyle w:val="NoSpacing"/>
        <w:ind w:firstLine="720"/>
      </w:pPr>
      <w:r>
        <w:t xml:space="preserve">As stated above, </w:t>
      </w:r>
      <w:proofErr w:type="gramStart"/>
      <w:r>
        <w:t>the NOFD</w:t>
      </w:r>
      <w:proofErr w:type="gramEnd"/>
      <w:r>
        <w:t xml:space="preserve"> is required to provide notice in writing of a</w:t>
      </w:r>
    </w:p>
    <w:p w14:paraId="79ED6734" w14:textId="77777777" w:rsidR="00C03046" w:rsidRDefault="00C03046" w:rsidP="00C03046">
      <w:pPr>
        <w:pStyle w:val="NoSpacing"/>
        <w:ind w:firstLine="720"/>
      </w:pPr>
      <w:r>
        <w:t>formal investigation into a firefighter’s conduct. “The Louisiana Attorney</w:t>
      </w:r>
    </w:p>
    <w:p w14:paraId="239D30B3" w14:textId="77777777" w:rsidR="00C03046" w:rsidRDefault="00C03046" w:rsidP="00C03046">
      <w:pPr>
        <w:pStyle w:val="NoSpacing"/>
        <w:ind w:firstLine="720"/>
      </w:pPr>
      <w:r>
        <w:t>General’s office has interpreted La. R.S. 33:2181 as applying to all situations when</w:t>
      </w:r>
    </w:p>
    <w:p w14:paraId="606211C6" w14:textId="77777777" w:rsidR="00C03046" w:rsidRDefault="00C03046" w:rsidP="00C03046">
      <w:pPr>
        <w:pStyle w:val="NoSpacing"/>
        <w:ind w:firstLine="720"/>
      </w:pPr>
      <w:r>
        <w:t>an authorized person makes an inquiry or collects evidence with a view to</w:t>
      </w:r>
    </w:p>
    <w:p w14:paraId="2D50D576" w14:textId="77777777" w:rsidR="00C03046" w:rsidRDefault="00C03046" w:rsidP="00C03046">
      <w:pPr>
        <w:pStyle w:val="NoSpacing"/>
        <w:ind w:firstLine="720"/>
      </w:pPr>
      <w:r>
        <w:t xml:space="preserve">disciplinary action.” Farrelly, 2019-216, p. 4, 284 So.3d at 683 (citing La. </w:t>
      </w:r>
      <w:proofErr w:type="spellStart"/>
      <w:r>
        <w:t>Att’y</w:t>
      </w:r>
      <w:proofErr w:type="spellEnd"/>
    </w:p>
    <w:p w14:paraId="1119E55D" w14:textId="77777777" w:rsidR="00C03046" w:rsidRDefault="00C03046" w:rsidP="00C03046">
      <w:pPr>
        <w:pStyle w:val="NoSpacing"/>
        <w:ind w:firstLine="720"/>
      </w:pPr>
      <w:r>
        <w:t>Gen. Op. No. 13-0207, 2014 WL 1404481). This Court held that a formal</w:t>
      </w:r>
    </w:p>
    <w:p w14:paraId="2980DDEE" w14:textId="77777777" w:rsidR="00C03046" w:rsidRDefault="00C03046" w:rsidP="00C03046">
      <w:pPr>
        <w:pStyle w:val="NoSpacing"/>
        <w:ind w:firstLine="720"/>
      </w:pPr>
      <w:r>
        <w:t>investigation began when the NOFD was made aware of the firefighter’s alleged</w:t>
      </w:r>
    </w:p>
    <w:p w14:paraId="4FCEAF54" w14:textId="77777777" w:rsidR="00C03046" w:rsidRDefault="00C03046" w:rsidP="00C03046">
      <w:pPr>
        <w:pStyle w:val="NoSpacing"/>
        <w:ind w:firstLine="720"/>
      </w:pPr>
      <w:r>
        <w:t xml:space="preserve">behavior and evidence </w:t>
      </w:r>
      <w:proofErr w:type="gramStart"/>
      <w:r>
        <w:t>was</w:t>
      </w:r>
      <w:proofErr w:type="gramEnd"/>
      <w:r>
        <w:t xml:space="preserve"> received.</w:t>
      </w:r>
    </w:p>
    <w:p w14:paraId="47290860" w14:textId="77777777" w:rsidR="00C03046" w:rsidRDefault="00C03046" w:rsidP="00C03046">
      <w:pPr>
        <w:pStyle w:val="NoSpacing"/>
        <w:ind w:firstLine="720"/>
      </w:pPr>
    </w:p>
    <w:p w14:paraId="0C332312" w14:textId="77777777" w:rsidR="00C03046" w:rsidRDefault="00C03046" w:rsidP="00C03046">
      <w:pPr>
        <w:pStyle w:val="NoSpacing"/>
        <w:ind w:firstLine="720"/>
      </w:pPr>
      <w:r>
        <w:t>***</w:t>
      </w:r>
    </w:p>
    <w:p w14:paraId="20D51500" w14:textId="77777777" w:rsidR="00C03046" w:rsidRDefault="00C03046" w:rsidP="00C03046">
      <w:pPr>
        <w:pStyle w:val="NoSpacing"/>
        <w:ind w:left="720"/>
      </w:pPr>
      <w:r>
        <w:t>Louisiana Revised Statutes: 33:2181(B), a portion of the Firefighter Bill of Rights, provides:</w:t>
      </w:r>
    </w:p>
    <w:p w14:paraId="299361F7" w14:textId="77777777" w:rsidR="00C03046" w:rsidRDefault="00C03046" w:rsidP="00C03046">
      <w:pPr>
        <w:pStyle w:val="NoSpacing"/>
        <w:ind w:left="720" w:firstLine="720"/>
      </w:pPr>
      <w:r>
        <w:t>B. Whenever a fire employee is under investigation, the following</w:t>
      </w:r>
    </w:p>
    <w:p w14:paraId="162206B7" w14:textId="77777777" w:rsidR="00C03046" w:rsidRDefault="00C03046" w:rsidP="00C03046">
      <w:pPr>
        <w:pStyle w:val="NoSpacing"/>
        <w:ind w:left="720" w:firstLine="720"/>
      </w:pPr>
      <w:r>
        <w:t>minimum standards shall apply:</w:t>
      </w:r>
    </w:p>
    <w:p w14:paraId="326866FC" w14:textId="77777777" w:rsidR="00C03046" w:rsidRDefault="00C03046" w:rsidP="00C03046">
      <w:pPr>
        <w:pStyle w:val="NoSpacing"/>
        <w:ind w:left="720" w:firstLine="720"/>
      </w:pPr>
      <w:r>
        <w:t>(1) Prior to commencing a formal investigation of a fire employee,</w:t>
      </w:r>
    </w:p>
    <w:p w14:paraId="6A43967B" w14:textId="77777777" w:rsidR="00C03046" w:rsidRDefault="00C03046" w:rsidP="00C03046">
      <w:pPr>
        <w:pStyle w:val="NoSpacing"/>
        <w:ind w:left="720" w:firstLine="720"/>
      </w:pPr>
      <w:r>
        <w:t>the appointing authority shall notify the employee in writing of the</w:t>
      </w:r>
    </w:p>
    <w:p w14:paraId="3DF0CAB8" w14:textId="77777777" w:rsidR="00C03046" w:rsidRDefault="00C03046" w:rsidP="00C03046">
      <w:pPr>
        <w:pStyle w:val="NoSpacing"/>
        <w:ind w:left="720" w:firstLine="720"/>
      </w:pPr>
      <w:r>
        <w:t>nature of the investigation, of the identity and authority of the</w:t>
      </w:r>
    </w:p>
    <w:p w14:paraId="599DCD1C" w14:textId="77777777" w:rsidR="00C03046" w:rsidRDefault="00C03046" w:rsidP="00C03046">
      <w:pPr>
        <w:pStyle w:val="NoSpacing"/>
        <w:ind w:left="720" w:firstLine="720"/>
      </w:pPr>
      <w:r>
        <w:t>person conducting such investigation, and of the specific charges or</w:t>
      </w:r>
    </w:p>
    <w:p w14:paraId="15D283F7" w14:textId="77777777" w:rsidR="00C03046" w:rsidRDefault="00C03046" w:rsidP="00C03046">
      <w:pPr>
        <w:pStyle w:val="NoSpacing"/>
        <w:ind w:left="720" w:firstLine="720"/>
      </w:pPr>
      <w:r>
        <w:t>violations being investigated.”</w:t>
      </w:r>
    </w:p>
    <w:p w14:paraId="481D5792" w14:textId="77777777" w:rsidR="00C03046" w:rsidRDefault="00C03046" w:rsidP="00C03046">
      <w:pPr>
        <w:pStyle w:val="NoSpacing"/>
        <w:ind w:firstLine="720"/>
      </w:pPr>
    </w:p>
    <w:p w14:paraId="28B568C3" w14:textId="77777777" w:rsidR="00C03046" w:rsidRDefault="00C03046" w:rsidP="00C03046">
      <w:pPr>
        <w:pStyle w:val="NoSpacing"/>
        <w:ind w:firstLine="720"/>
      </w:pPr>
    </w:p>
    <w:p w14:paraId="5280C9D2" w14:textId="77777777" w:rsidR="00C03046" w:rsidRPr="008F3E61" w:rsidRDefault="00C03046" w:rsidP="00C03046">
      <w:pPr>
        <w:pStyle w:val="NoSpacing"/>
        <w:rPr>
          <w:b/>
          <w:bCs/>
        </w:rPr>
      </w:pPr>
      <w:r w:rsidRPr="008F3E61">
        <w:rPr>
          <w:b/>
        </w:rPr>
        <w:t>Legal lesson learned:</w:t>
      </w:r>
      <w:r>
        <w:rPr>
          <w:b/>
        </w:rPr>
        <w:t xml:space="preserve"> Given this very broad decision about “formal” investigations, the fire department should consider providing written notice for all infractions that can lead to discipline. </w:t>
      </w:r>
    </w:p>
    <w:p w14:paraId="31CB53FB" w14:textId="77777777" w:rsidR="00C03046" w:rsidRDefault="00C03046" w:rsidP="00C03046">
      <w:pPr>
        <w:pStyle w:val="NoSpacing"/>
        <w:ind w:firstLine="720"/>
      </w:pPr>
    </w:p>
    <w:p w14:paraId="6061A417" w14:textId="77777777" w:rsidR="00C03046" w:rsidRDefault="00C03046" w:rsidP="00C03046">
      <w:pPr>
        <w:pStyle w:val="NoSpacing"/>
        <w:ind w:left="720"/>
      </w:pPr>
      <w:r>
        <w:t xml:space="preserve">Note: Read the Civil Service Commission report. </w:t>
      </w:r>
      <w:hyperlink r:id="rId2415" w:history="1">
        <w:r w:rsidRPr="00D41613">
          <w:rPr>
            <w:rStyle w:val="Hyperlink"/>
          </w:rPr>
          <w:t>https://nola.gov/getattachment/a5d775b2-685d-43c3-a7ff-ae60a9dcf745/Murphy,-Michael-9697-9698/</w:t>
        </w:r>
      </w:hyperlink>
      <w:r>
        <w:t xml:space="preserve">  </w:t>
      </w:r>
    </w:p>
    <w:p w14:paraId="1CE0F361" w14:textId="77777777" w:rsidR="00C03046" w:rsidRDefault="00C03046" w:rsidP="00C03046">
      <w:pPr>
        <w:pStyle w:val="NoSpacing"/>
      </w:pPr>
    </w:p>
    <w:p w14:paraId="7CE58EBA" w14:textId="77777777" w:rsidR="00C03046" w:rsidRDefault="00C03046" w:rsidP="00C03046">
      <w:pPr>
        <w:pStyle w:val="NoSpacing"/>
        <w:ind w:left="1440"/>
      </w:pPr>
      <w:r>
        <w:t xml:space="preserve">“Deputy Chief Larry White instructed the District Chief to instruct Captain Wiltz to charge Operator Murphy with a violation of the seatbelt policy. Captain Wiltz charged Operator Murphy on December 20, 2024, with violating the seatbelt policy, RR-55. Operator Murphy prepared a special report about the seatbelt infraction, which District Chiefs Ashburn and </w:t>
      </w:r>
      <w:proofErr w:type="spellStart"/>
      <w:r>
        <w:t>Kuruda</w:t>
      </w:r>
      <w:proofErr w:type="spellEnd"/>
      <w:r>
        <w:t xml:space="preserve"> required him to rewrite several times. (Tr. at 94-95). Operator Murphy appeared at a pre-disciplinary hearing before a panel of Deputy Chief White and two District Chiefs on January 16, 2025. NOFD suspended Operator Murphy for 12 hours for the December 2 offense, the minimum penalty for the offense under NOFD policy. (Tr. at 44). NOFD suspended Operator Murphy for 24 hours for the second offense on December 11, the minimum penalty for a second offense. (Tr. At 44).” </w:t>
      </w:r>
    </w:p>
    <w:p w14:paraId="0DA16225" w14:textId="77777777" w:rsidR="00C03046" w:rsidRDefault="00C03046" w:rsidP="00C03046">
      <w:pPr>
        <w:pStyle w:val="NoSpacing"/>
        <w:ind w:left="1440"/>
      </w:pPr>
      <w:hyperlink r:id="rId2416" w:history="1">
        <w:r w:rsidRPr="00CF721F">
          <w:rPr>
            <w:rStyle w:val="Hyperlink"/>
          </w:rPr>
          <w:t>https://nola.gov/getattachment/a5d775b2-685d-43c3-a7ff-ae60a9dcf745/Murphy,-Michael-9697-9698/</w:t>
        </w:r>
      </w:hyperlink>
      <w:r>
        <w:t xml:space="preserve"> </w:t>
      </w:r>
    </w:p>
    <w:p w14:paraId="53F5D4F2" w14:textId="77777777" w:rsidR="00E11253" w:rsidRDefault="00E11253" w:rsidP="002F7727">
      <w:pPr>
        <w:pStyle w:val="NoSpacing"/>
        <w:rPr>
          <w:rFonts w:ascii="Arial Black" w:hAnsi="Arial Black"/>
          <w:b/>
          <w:sz w:val="24"/>
          <w:szCs w:val="24"/>
        </w:rPr>
      </w:pPr>
    </w:p>
    <w:p w14:paraId="2B440090" w14:textId="4028E5AE" w:rsidR="00DA3352" w:rsidRDefault="00DA3352" w:rsidP="00DA3352">
      <w:pPr>
        <w:pStyle w:val="NoSpacing"/>
        <w:rPr>
          <w:rFonts w:ascii="Arial Black" w:hAnsi="Arial Black"/>
          <w:b/>
          <w:sz w:val="24"/>
          <w:szCs w:val="24"/>
        </w:rPr>
      </w:pPr>
      <w:r>
        <w:rPr>
          <w:rFonts w:ascii="Arial Black" w:hAnsi="Arial Black"/>
          <w:b/>
          <w:sz w:val="24"/>
          <w:szCs w:val="24"/>
        </w:rPr>
        <w:t>16-153</w:t>
      </w:r>
    </w:p>
    <w:p w14:paraId="6AD66682" w14:textId="77777777" w:rsidR="00DA3352" w:rsidRDefault="00DA3352" w:rsidP="00DA3352">
      <w:pPr>
        <w:pStyle w:val="NoSpacing"/>
        <w:rPr>
          <w:rFonts w:ascii="Arial Black" w:hAnsi="Arial Black"/>
          <w:b/>
          <w:sz w:val="24"/>
          <w:szCs w:val="24"/>
        </w:rPr>
      </w:pPr>
    </w:p>
    <w:p w14:paraId="356FBC20" w14:textId="77777777" w:rsidR="00DA3352" w:rsidRDefault="00DA3352" w:rsidP="002F7727">
      <w:pPr>
        <w:pStyle w:val="NoSpacing"/>
        <w:rPr>
          <w:rFonts w:ascii="Arial Black" w:hAnsi="Arial Black"/>
          <w:b/>
          <w:sz w:val="24"/>
          <w:szCs w:val="24"/>
        </w:rPr>
      </w:pPr>
    </w:p>
    <w:p w14:paraId="7B284716" w14:textId="77777777" w:rsidR="00DA3352" w:rsidRPr="0030539D" w:rsidRDefault="00DA3352" w:rsidP="00DA3352">
      <w:pPr>
        <w:pStyle w:val="NoSpacing"/>
        <w:rPr>
          <w:rFonts w:ascii="Arial Black" w:hAnsi="Arial Black"/>
          <w:b/>
          <w:sz w:val="28"/>
          <w:szCs w:val="28"/>
        </w:rPr>
      </w:pPr>
      <w:r w:rsidRPr="0030539D">
        <w:rPr>
          <w:rFonts w:ascii="Arial Black" w:hAnsi="Arial Black"/>
          <w:b/>
          <w:sz w:val="28"/>
          <w:szCs w:val="28"/>
        </w:rPr>
        <w:t xml:space="preserve">MA: </w:t>
      </w:r>
      <w:r>
        <w:rPr>
          <w:rFonts w:ascii="Arial Black" w:hAnsi="Arial Black"/>
          <w:b/>
          <w:sz w:val="28"/>
          <w:szCs w:val="28"/>
        </w:rPr>
        <w:t>FIRE CHIEF – FIRED - SCAMMERS – NO DEFEMATION</w:t>
      </w:r>
    </w:p>
    <w:p w14:paraId="533C0390" w14:textId="77777777" w:rsidR="00DA3352" w:rsidRDefault="00DA3352" w:rsidP="00DA3352">
      <w:pPr>
        <w:pStyle w:val="NoSpacing"/>
      </w:pPr>
    </w:p>
    <w:p w14:paraId="40618CCB" w14:textId="77777777" w:rsidR="00DA3352" w:rsidRDefault="00DA3352" w:rsidP="00DA3352">
      <w:pPr>
        <w:pStyle w:val="NoSpacing"/>
      </w:pPr>
      <w:r>
        <w:t xml:space="preserve">On March 26, 2026, in </w:t>
      </w:r>
      <w:r w:rsidRPr="00C81E1F">
        <w:rPr>
          <w:u w:val="single"/>
        </w:rPr>
        <w:t>Ernest J. Cardillo, Jr. v. Donald M. Chabon</w:t>
      </w:r>
      <w:r>
        <w:t xml:space="preserve">, the </w:t>
      </w:r>
      <w:r w:rsidRPr="005E251C">
        <w:t>Appeals Court of Massachusetts</w:t>
      </w:r>
      <w:r>
        <w:t xml:space="preserve"> held (3 to 0) that trial court properly granted summary judgment to </w:t>
      </w:r>
      <w:r w:rsidRPr="00C12454">
        <w:t xml:space="preserve">because </w:t>
      </w:r>
      <w:r>
        <w:t xml:space="preserve">the Town of </w:t>
      </w:r>
      <w:r w:rsidRPr="005A489C">
        <w:t>Stockbridge</w:t>
      </w:r>
      <w:r>
        <w:t>’s</w:t>
      </w:r>
      <w:r w:rsidRPr="005A489C">
        <w:t xml:space="preserve"> Selectboard Chair Donald M. Chabon</w:t>
      </w:r>
      <w:r>
        <w:t xml:space="preserve">’s </w:t>
      </w:r>
      <w:r w:rsidRPr="00C12454">
        <w:t xml:space="preserve">statements to a newspaper reporter </w:t>
      </w:r>
      <w:r>
        <w:t xml:space="preserve">about the former Fire Chief </w:t>
      </w:r>
      <w:r w:rsidRPr="00C12454">
        <w:t>were</w:t>
      </w:r>
      <w:r>
        <w:t xml:space="preserve"> not </w:t>
      </w:r>
      <w:r w:rsidRPr="00C12454">
        <w:t xml:space="preserve">defamatory and </w:t>
      </w:r>
      <w:r>
        <w:t xml:space="preserve">not </w:t>
      </w:r>
      <w:r w:rsidRPr="00C12454">
        <w:t>made with actual malice</w:t>
      </w:r>
      <w:r>
        <w:t xml:space="preserve">.  </w:t>
      </w:r>
      <w:r w:rsidRPr="0030539D">
        <w:t xml:space="preserve">On February 8, 2019, the Springfield Republican newspaper published an article in response to members of the fire department protesting Cardillo's termination. The article stated that Cardillo was terminated after repeatedly falling "victim to scammers" in the purchasing of equipment for the fire department. The article reported that the </w:t>
      </w:r>
      <w:r w:rsidRPr="0030539D">
        <w:lastRenderedPageBreak/>
        <w:t>selectboard had estimated that Cardillo's actions cost the town around $83,000. Chabon told the reporter that after Cardillo had learned that he had been taken advantage of, he tried to conceal the purchases and "[h]e changed the books." After the newspaper article was published, Cardillo filed suit against Chabon alleging defamation and infliction of emotional distress.</w:t>
      </w:r>
      <w:r>
        <w:t xml:space="preserve"> </w:t>
      </w:r>
      <w:hyperlink r:id="rId2417" w:history="1">
        <w:r w:rsidRPr="00682DA7">
          <w:rPr>
            <w:rStyle w:val="Hyperlink"/>
          </w:rPr>
          <w:t>https://public.fastcase.com/Jhe1Qn%2BmJndQYQU6z%2FeNm0JH5q8gWciAXAF9bixHugWdaYIct3CF769DEA6AolcFot0MADEgf34paIS5RxXYfLHjDYkVz561VNE3Py00FLo%3D?utm_medium=email&amp;_hsenc=p2ANqtz--lMiV9AKrZhOCKCU8G42zfsMnA0WduNXw5NGIFgBNIi3qKeq5uCBwN2k8_bjKsGZk1kObDueEzHePI446cTwvuol4Y2w&amp;_hsmi=226712652&amp;utm_content=226712652&amp;utm_source=hs_email</w:t>
        </w:r>
      </w:hyperlink>
      <w:r>
        <w:t xml:space="preserve"> </w:t>
      </w:r>
    </w:p>
    <w:p w14:paraId="79632DA5" w14:textId="77777777" w:rsidR="00DA3352" w:rsidRDefault="00DA3352" w:rsidP="00DA3352">
      <w:pPr>
        <w:pStyle w:val="NoSpacing"/>
      </w:pPr>
    </w:p>
    <w:p w14:paraId="6CDB1457" w14:textId="77777777" w:rsidR="00DA3352" w:rsidRDefault="00DA3352" w:rsidP="00DA3352">
      <w:pPr>
        <w:pStyle w:val="NoSpacing"/>
      </w:pPr>
      <w:r>
        <w:t>THE COURT HELD:</w:t>
      </w:r>
    </w:p>
    <w:p w14:paraId="2BA8421F" w14:textId="77777777" w:rsidR="00DA3352" w:rsidRDefault="00DA3352" w:rsidP="00DA3352">
      <w:pPr>
        <w:pStyle w:val="NoSpacing"/>
      </w:pPr>
    </w:p>
    <w:p w14:paraId="70FD641E" w14:textId="77777777" w:rsidR="00DA3352" w:rsidRDefault="00DA3352" w:rsidP="00DA3352">
      <w:pPr>
        <w:pStyle w:val="NoSpacing"/>
        <w:ind w:left="720"/>
      </w:pPr>
      <w:r>
        <w:t>“</w:t>
      </w:r>
      <w:r w:rsidRPr="00EA4E4C">
        <w:t>In 2012, Cardillo was appointed to the position of fire chief for the town of Stockbridge. That same year, Cardillo received an unsolicited telephone call from a sales representative of a New York company, Pioneer Products Inc. (Pioneer). Cardillo agreed to purchase four gallons of fire hose and gear cleaner from Pioneer. While the parties did not sign a written contract, it is undisputed that Cardillo agreed to this purchase and submitted the invoice to the town for payment.</w:t>
      </w:r>
      <w:r w:rsidRPr="00EA4E4C">
        <w:rPr>
          <w:vertAlign w:val="superscript"/>
        </w:rPr>
        <w:t>[</w:t>
      </w:r>
      <w:hyperlink r:id="rId2418" w:anchor="ftn.FN3" w:history="1">
        <w:r w:rsidRPr="00EA4E4C">
          <w:rPr>
            <w:rStyle w:val="Hyperlink"/>
            <w:vertAlign w:val="superscript"/>
          </w:rPr>
          <w:t>3</w:t>
        </w:r>
      </w:hyperlink>
      <w:r w:rsidRPr="00EA4E4C">
        <w:rPr>
          <w:vertAlign w:val="superscript"/>
        </w:rPr>
        <w:t>]</w:t>
      </w:r>
      <w:r w:rsidRPr="00EA4E4C">
        <w:t xml:space="preserve"> Sometime after the initial purchase, Cardillo was contacted by Pioneer and told that the purchase price paid for his first order was contingent on accepting additional shipments. The sales representative told Cardillo that if he did not place an additional order, Pioneer would submit an amended invoice for the first shipment at a significantly higher price. Although there did not appear to be anything in writing memorializing Pioneer's claim that the price could be increased retroactively, Cardillo felt pressured and placed an additional order to avoid the ballooning costs. </w:t>
      </w:r>
    </w:p>
    <w:p w14:paraId="43F6D054" w14:textId="77777777" w:rsidR="00DA3352" w:rsidRDefault="00DA3352" w:rsidP="00DA3352">
      <w:pPr>
        <w:pStyle w:val="NoSpacing"/>
        <w:ind w:left="720"/>
      </w:pPr>
    </w:p>
    <w:p w14:paraId="6EA3030D" w14:textId="77777777" w:rsidR="00DA3352" w:rsidRDefault="00DA3352" w:rsidP="00DA3352">
      <w:pPr>
        <w:pStyle w:val="NoSpacing"/>
        <w:ind w:left="720"/>
      </w:pPr>
      <w:r>
        <w:t>***</w:t>
      </w:r>
    </w:p>
    <w:p w14:paraId="7EB8F012" w14:textId="77777777" w:rsidR="00DA3352" w:rsidRDefault="00DA3352" w:rsidP="00DA3352">
      <w:pPr>
        <w:pStyle w:val="NoSpacing"/>
        <w:ind w:left="720"/>
      </w:pPr>
    </w:p>
    <w:p w14:paraId="17DEE78A" w14:textId="77777777" w:rsidR="00DA3352" w:rsidRDefault="00DA3352" w:rsidP="00DA3352">
      <w:pPr>
        <w:pStyle w:val="NoSpacing"/>
        <w:ind w:left="720"/>
      </w:pPr>
      <w:r w:rsidRPr="000F2420">
        <w:t xml:space="preserve">December 2016, Cardillo agreed to purchase $6,779 of deicer from Pioneer. However, Cardillo's spreadsheet identified the vendor as Fire Tech instead of Pioneer. Two months later, Cardillo purchased additional deicer from Pioneer totaling $6,780 but logged the vendor as Meadow Farm and described the expenditure as fuel. The pattern was repeated in 2017, when Cardillo purchased over $7,500 of supplies (heavy duty truck wash and hose and gear cleaner) despite making the same purchase several months </w:t>
      </w:r>
      <w:proofErr w:type="gramStart"/>
      <w:r w:rsidRPr="000F2420">
        <w:t>previous</w:t>
      </w:r>
      <w:proofErr w:type="gramEnd"/>
      <w:r w:rsidRPr="000F2420">
        <w:t>. This purchase was from Noble, but Cardillo listed the vendor as Stock Motor Car on the spreadsheets.</w:t>
      </w:r>
    </w:p>
    <w:p w14:paraId="5D655C7E" w14:textId="77777777" w:rsidR="00DA3352" w:rsidRDefault="00DA3352" w:rsidP="00DA3352">
      <w:pPr>
        <w:pStyle w:val="NoSpacing"/>
        <w:ind w:left="720"/>
      </w:pPr>
    </w:p>
    <w:p w14:paraId="149A32EE" w14:textId="77777777" w:rsidR="00DA3352" w:rsidRDefault="00DA3352" w:rsidP="00DA3352">
      <w:pPr>
        <w:pStyle w:val="NoSpacing"/>
        <w:ind w:left="720"/>
      </w:pPr>
      <w:r>
        <w:t>***</w:t>
      </w:r>
    </w:p>
    <w:p w14:paraId="7AA0902D" w14:textId="77777777" w:rsidR="00DA3352" w:rsidRDefault="00DA3352" w:rsidP="00DA3352">
      <w:pPr>
        <w:pStyle w:val="NoSpacing"/>
        <w:ind w:left="720"/>
      </w:pPr>
      <w:r w:rsidRPr="00575870">
        <w:t xml:space="preserve">In 2018, one of Cardillo's purchases came to the attention of the town administrator, resulting in the selectboard retaining town counsel. Town </w:t>
      </w:r>
      <w:proofErr w:type="spellStart"/>
      <w:r w:rsidRPr="00575870">
        <w:t>counsel</w:t>
      </w:r>
      <w:proofErr w:type="spellEnd"/>
      <w:r w:rsidRPr="00575870">
        <w:t xml:space="preserve"> (Miyares) was tasked with investigating Cardillo's purchases from Pioneer and a related company, Noble Industrial Supply Corp. (Noble), and issuing a report (the </w:t>
      </w:r>
      <w:r>
        <w:t>‘</w:t>
      </w:r>
      <w:r w:rsidRPr="00575870">
        <w:t>Miyares report</w:t>
      </w:r>
      <w:r>
        <w:t>’</w:t>
      </w:r>
      <w:r w:rsidRPr="00575870">
        <w:t xml:space="preserve">). The Miyares report found that both Pioneer and Noble had a history of defrauding </w:t>
      </w:r>
      <w:proofErr w:type="gramStart"/>
      <w:r w:rsidRPr="00575870">
        <w:t>small town</w:t>
      </w:r>
      <w:proofErr w:type="gramEnd"/>
      <w:r w:rsidRPr="00575870">
        <w:t xml:space="preserve"> governments, especially fire departments. The Better Business Bureau had received complaints that the companies would initially offer to sell a product at a "seemingly favorable price" but then later demand additional purchases be made to avoid being charged for prior purchases at a higher rate. Pioneer and Noble shipped more </w:t>
      </w:r>
      <w:proofErr w:type="gramStart"/>
      <w:r w:rsidRPr="00575870">
        <w:t>products,</w:t>
      </w:r>
      <w:proofErr w:type="gramEnd"/>
      <w:r w:rsidRPr="00575870">
        <w:t xml:space="preserve"> each time with the representation that the customer had to accept the delivery to avoid additional charges. Even when customers complained that they had an adequate supply of a particular product, the message from Pioneer and Noble was firm. They would offer to switch to a different product, but the customer was obligated to pay for additional purchases.</w:t>
      </w:r>
    </w:p>
    <w:p w14:paraId="7CC805A1" w14:textId="77777777" w:rsidR="00DA3352" w:rsidRDefault="00DA3352" w:rsidP="00DA3352">
      <w:pPr>
        <w:pStyle w:val="NoSpacing"/>
        <w:ind w:left="720"/>
      </w:pPr>
    </w:p>
    <w:p w14:paraId="208CF849" w14:textId="77777777" w:rsidR="00DA3352" w:rsidRDefault="00DA3352" w:rsidP="00DA3352">
      <w:pPr>
        <w:pStyle w:val="NoSpacing"/>
        <w:ind w:left="720"/>
      </w:pPr>
      <w:r>
        <w:t>***</w:t>
      </w:r>
    </w:p>
    <w:p w14:paraId="5B1DD9AA" w14:textId="77777777" w:rsidR="00DA3352" w:rsidRPr="00B52D12" w:rsidRDefault="00DA3352" w:rsidP="00DA3352">
      <w:pPr>
        <w:pStyle w:val="NoSpacing"/>
        <w:ind w:left="720"/>
      </w:pPr>
      <w:r w:rsidRPr="00B52D12">
        <w:t> Here, Chabon's statement, read as a whole, communicated that the town incurred a substantial cost when Cardillo fell prey to a purchasing scam orchestrated by Pioneer and Noble. The gist of Chabon's statement, even if the precise amount of loss to the town was inaccurate, is substantially true. The impact on the reader was the same regardless of whether Chabon's or Miyares's estimate reflected a thorough accounting of the financial harm to the town</w:t>
      </w:r>
      <w:r>
        <w:t xml:space="preserve">…. </w:t>
      </w:r>
      <w:r w:rsidRPr="00B52D12">
        <w:t xml:space="preserve">We conclude that, given the substance of the statement and when read as a whole, Chabon's statement was essentially true and was insufficient to establish falsehood for purposes of a claim of </w:t>
      </w:r>
      <w:proofErr w:type="gramStart"/>
      <w:r w:rsidRPr="00B52D12">
        <w:t>defamation.</w:t>
      </w:r>
      <w:r>
        <w:t>”</w:t>
      </w:r>
      <w:proofErr w:type="gramEnd"/>
    </w:p>
    <w:p w14:paraId="23344419" w14:textId="77777777" w:rsidR="00DA3352" w:rsidRDefault="00DA3352" w:rsidP="00DA3352">
      <w:pPr>
        <w:pStyle w:val="NoSpacing"/>
        <w:ind w:left="720"/>
      </w:pPr>
    </w:p>
    <w:p w14:paraId="272537CB" w14:textId="77777777" w:rsidR="00DA3352" w:rsidRDefault="00DA3352" w:rsidP="00DA3352">
      <w:pPr>
        <w:pStyle w:val="NoSpacing"/>
        <w:ind w:left="720"/>
      </w:pPr>
    </w:p>
    <w:p w14:paraId="59DA2FE0" w14:textId="77777777" w:rsidR="00DA3352" w:rsidRPr="00575870" w:rsidRDefault="00DA3352" w:rsidP="00DA3352">
      <w:pPr>
        <w:rPr>
          <w:b/>
          <w:bCs/>
        </w:rPr>
      </w:pPr>
      <w:r>
        <w:rPr>
          <w:b/>
        </w:rPr>
        <w:t xml:space="preserve">Legal lesson learned: The Town’s statements to the reporter were “essentially true” – no defamation. </w:t>
      </w:r>
    </w:p>
    <w:p w14:paraId="68BECF6C" w14:textId="77777777" w:rsidR="00DA3352" w:rsidRDefault="00DA3352" w:rsidP="002F7727">
      <w:pPr>
        <w:pStyle w:val="NoSpacing"/>
        <w:rPr>
          <w:rFonts w:ascii="Arial Black" w:hAnsi="Arial Black"/>
          <w:b/>
          <w:sz w:val="24"/>
          <w:szCs w:val="24"/>
        </w:rPr>
      </w:pPr>
    </w:p>
    <w:p w14:paraId="46276CEB" w14:textId="77777777" w:rsidR="00DA3352" w:rsidRDefault="00DA3352" w:rsidP="002F7727">
      <w:pPr>
        <w:pStyle w:val="NoSpacing"/>
        <w:rPr>
          <w:rFonts w:ascii="Arial Black" w:hAnsi="Arial Black"/>
          <w:b/>
          <w:sz w:val="24"/>
          <w:szCs w:val="24"/>
        </w:rPr>
      </w:pPr>
    </w:p>
    <w:p w14:paraId="62D4D5DF" w14:textId="77777777" w:rsidR="00DA3352" w:rsidRDefault="00DA3352" w:rsidP="002F7727">
      <w:pPr>
        <w:pStyle w:val="NoSpacing"/>
        <w:rPr>
          <w:rFonts w:ascii="Arial Black" w:hAnsi="Arial Black"/>
          <w:b/>
          <w:sz w:val="24"/>
          <w:szCs w:val="24"/>
        </w:rPr>
      </w:pPr>
    </w:p>
    <w:p w14:paraId="0258C0DE" w14:textId="77777777" w:rsidR="00DA3352" w:rsidRDefault="00DA3352" w:rsidP="002F7727">
      <w:pPr>
        <w:pStyle w:val="NoSpacing"/>
        <w:rPr>
          <w:rFonts w:ascii="Arial Black" w:hAnsi="Arial Black"/>
          <w:b/>
          <w:sz w:val="24"/>
          <w:szCs w:val="24"/>
        </w:rPr>
      </w:pPr>
    </w:p>
    <w:p w14:paraId="74CA35A5" w14:textId="04267F7F" w:rsidR="008F1833" w:rsidRDefault="0075332D" w:rsidP="002F7727">
      <w:pPr>
        <w:pStyle w:val="NoSpacing"/>
        <w:rPr>
          <w:rFonts w:ascii="Arial Black" w:hAnsi="Arial Black"/>
          <w:b/>
          <w:sz w:val="24"/>
          <w:szCs w:val="24"/>
        </w:rPr>
      </w:pPr>
      <w:r>
        <w:rPr>
          <w:rFonts w:ascii="Arial Black" w:hAnsi="Arial Black"/>
          <w:b/>
          <w:sz w:val="24"/>
          <w:szCs w:val="24"/>
        </w:rPr>
        <w:t>16-15</w:t>
      </w:r>
      <w:r w:rsidR="000301F2">
        <w:rPr>
          <w:rFonts w:ascii="Arial Black" w:hAnsi="Arial Black"/>
          <w:b/>
          <w:sz w:val="24"/>
          <w:szCs w:val="24"/>
        </w:rPr>
        <w:t>2</w:t>
      </w:r>
    </w:p>
    <w:p w14:paraId="000BA964" w14:textId="77777777" w:rsidR="0075332D" w:rsidRDefault="0075332D" w:rsidP="002F7727">
      <w:pPr>
        <w:pStyle w:val="NoSpacing"/>
        <w:rPr>
          <w:rFonts w:ascii="Arial Black" w:hAnsi="Arial Black"/>
          <w:b/>
          <w:sz w:val="24"/>
          <w:szCs w:val="24"/>
        </w:rPr>
      </w:pPr>
    </w:p>
    <w:p w14:paraId="7805EB33" w14:textId="77777777" w:rsidR="009352C7" w:rsidRPr="00495C7E" w:rsidRDefault="009352C7" w:rsidP="009352C7">
      <w:pPr>
        <w:pStyle w:val="NoSpacing"/>
        <w:rPr>
          <w:rFonts w:ascii="Arial Black" w:hAnsi="Arial Black"/>
          <w:sz w:val="28"/>
          <w:szCs w:val="28"/>
        </w:rPr>
      </w:pPr>
      <w:r>
        <w:rPr>
          <w:rFonts w:ascii="Arial Black" w:hAnsi="Arial Black"/>
          <w:sz w:val="28"/>
          <w:szCs w:val="28"/>
        </w:rPr>
        <w:t>TX: FF MISD – NO WRITTEN NOTICE TO CHIEF – 3 DAY SUSP</w:t>
      </w:r>
    </w:p>
    <w:p w14:paraId="161CF772" w14:textId="77777777" w:rsidR="009352C7" w:rsidRDefault="009352C7" w:rsidP="009352C7">
      <w:pPr>
        <w:pStyle w:val="NoSpacing"/>
      </w:pPr>
    </w:p>
    <w:p w14:paraId="704D83E3" w14:textId="77777777" w:rsidR="009352C7" w:rsidRDefault="009352C7" w:rsidP="009352C7">
      <w:pPr>
        <w:pStyle w:val="NoSpacing"/>
      </w:pPr>
      <w:r>
        <w:t xml:space="preserve">On March 17, 2026, in </w:t>
      </w:r>
      <w:r w:rsidRPr="002C29C3">
        <w:rPr>
          <w:u w:val="single"/>
        </w:rPr>
        <w:t>Fenton Petry v. City of Houston, Texas, and Police Officers and Firefighters Civil Service Commission</w:t>
      </w:r>
      <w:r>
        <w:t xml:space="preserve">, the </w:t>
      </w:r>
      <w:r w:rsidRPr="002C29C3">
        <w:t>Court of Appeals of Texas, Fourteenth District</w:t>
      </w:r>
      <w:r>
        <w:t xml:space="preserve"> held that both the “independent hearing examiner” and a District Court judge properly upheld the 3-day suspension for firefighter’s failure to inform the fire chief of his misdemeanor conviction of </w:t>
      </w:r>
      <w:r w:rsidRPr="004C4F78">
        <w:t>abuse of official capacity</w:t>
      </w:r>
      <w:r>
        <w:t xml:space="preserve">.  Fire Department regulations require firefighters to give written notice to the Fire Chief within twenty-four hours of “any court hearing dates and results involving a criminal matter.” </w:t>
      </w:r>
      <w:hyperlink r:id="rId2419" w:history="1">
        <w:r w:rsidRPr="004D13CD">
          <w:rPr>
            <w:rStyle w:val="Hyperlink"/>
          </w:rPr>
          <w:t>https://search.txcourts.gov/SearchMedia.aspx?MediaVersionID=2b0bcd7a-4ade-4d61-a274-df674ed3857f&amp;coa=coa14&amp;DT=Opinion&amp;MediaID=e76a99e8-4da0-48c8-9433-ea85e5f312cd</w:t>
        </w:r>
      </w:hyperlink>
      <w:r>
        <w:t xml:space="preserve"> </w:t>
      </w:r>
    </w:p>
    <w:p w14:paraId="68C9937F" w14:textId="77777777" w:rsidR="009352C7" w:rsidRDefault="009352C7" w:rsidP="009352C7">
      <w:pPr>
        <w:pStyle w:val="NoSpacing"/>
      </w:pPr>
    </w:p>
    <w:p w14:paraId="182C6F0B" w14:textId="77777777" w:rsidR="009352C7" w:rsidRPr="004C4F78" w:rsidRDefault="009352C7" w:rsidP="009352C7">
      <w:pPr>
        <w:pStyle w:val="NoSpacing"/>
      </w:pPr>
      <w:r>
        <w:t xml:space="preserve"> THE COURT HELD:  “</w:t>
      </w:r>
      <w:r w:rsidRPr="004C4F78">
        <w:t>Fenton Petry, the firefighter at issue, was charged with a felony count of</w:t>
      </w:r>
    </w:p>
    <w:p w14:paraId="7BACAECB" w14:textId="77777777" w:rsidR="009352C7" w:rsidRPr="004C4F78" w:rsidRDefault="009352C7" w:rsidP="009352C7">
      <w:pPr>
        <w:pStyle w:val="NoSpacing"/>
      </w:pPr>
      <w:r w:rsidRPr="004C4F78">
        <w:t>misuse of official information. See Tex. Penal Code § 39.06. He later pleaded guilty</w:t>
      </w:r>
    </w:p>
    <w:p w14:paraId="2ABA8B9F" w14:textId="77777777" w:rsidR="009352C7" w:rsidRDefault="009352C7" w:rsidP="009352C7">
      <w:pPr>
        <w:pStyle w:val="NoSpacing"/>
        <w:rPr>
          <w:bCs/>
        </w:rPr>
      </w:pPr>
      <w:r w:rsidRPr="004C4F78">
        <w:t>to a lesser misdemeanor count of abuse of official capacity</w:t>
      </w:r>
      <w:r>
        <w:t xml:space="preserve">…. </w:t>
      </w:r>
      <w:r w:rsidRPr="00235407">
        <w:t>Another document attached to the court slip alluded to a conviction. This</w:t>
      </w:r>
      <w:r>
        <w:t xml:space="preserve"> </w:t>
      </w:r>
      <w:r w:rsidRPr="00235407">
        <w:t xml:space="preserve">document was styled as </w:t>
      </w:r>
      <w:r>
        <w:t>‘</w:t>
      </w:r>
      <w:r w:rsidRPr="00235407">
        <w:t>Collections Instructions,</w:t>
      </w:r>
      <w:r>
        <w:t>’</w:t>
      </w:r>
      <w:r w:rsidRPr="00235407">
        <w:t xml:space="preserve"> and it contained a note saying</w:t>
      </w:r>
      <w:r>
        <w:t xml:space="preserve"> ‘</w:t>
      </w:r>
      <w:r w:rsidRPr="00235407">
        <w:t>$100 fine, Class C, court cost payment plan granted.</w:t>
      </w:r>
      <w:r>
        <w:t>’</w:t>
      </w:r>
      <w:r w:rsidRPr="00235407">
        <w:t xml:space="preserve"> But the document did not</w:t>
      </w:r>
      <w:r>
        <w:t xml:space="preserve"> </w:t>
      </w:r>
      <w:r w:rsidRPr="00235407">
        <w:t>identify the offense or even state that there had been a conviction.</w:t>
      </w:r>
      <w:r>
        <w:t>”</w:t>
      </w:r>
    </w:p>
    <w:p w14:paraId="518B1F90" w14:textId="77777777" w:rsidR="009352C7" w:rsidRDefault="009352C7" w:rsidP="009352C7">
      <w:pPr>
        <w:pStyle w:val="NoSpacing"/>
      </w:pPr>
    </w:p>
    <w:p w14:paraId="6146B81E" w14:textId="77777777" w:rsidR="009352C7" w:rsidRDefault="009352C7" w:rsidP="009352C7">
      <w:pPr>
        <w:pStyle w:val="NoSpacing"/>
      </w:pPr>
      <w:r>
        <w:t>***</w:t>
      </w:r>
    </w:p>
    <w:p w14:paraId="71124ACF" w14:textId="77777777" w:rsidR="009352C7" w:rsidRDefault="009352C7" w:rsidP="009352C7">
      <w:pPr>
        <w:pStyle w:val="NoSpacing"/>
      </w:pPr>
      <w:r>
        <w:t>Petry testified that he timely gave a copy of the judgment of conviction to his station captain, rather than the Fire Chief. But he also indicated that he anticipated that his captain would forward that judgment up the chain of command to the Fire Chief…. The Assistant Fire Chief further testified that the captain did not inform anyone in the chain of command about Petry’s conviction, and that the burden of providing that notice ultimately fell on Petry. The Assistant Fire Chief said that Petry knew of this burden because he had complied with it in the past when such notice happened to paint him in a beneficial light. The Assistant Fire Chief referred to an earlier occasion when Petry had been charged with DWI, and Petry directly notified the Fire Chief after that charge had been dismissed.”</w:t>
      </w:r>
    </w:p>
    <w:p w14:paraId="65CCE753" w14:textId="77777777" w:rsidR="009352C7" w:rsidRDefault="009352C7" w:rsidP="009352C7">
      <w:pPr>
        <w:pStyle w:val="NoSpacing"/>
        <w:rPr>
          <w:bCs/>
        </w:rPr>
      </w:pPr>
    </w:p>
    <w:p w14:paraId="00D34C60" w14:textId="77777777" w:rsidR="009352C7" w:rsidRDefault="009352C7" w:rsidP="009352C7">
      <w:pPr>
        <w:pStyle w:val="NoSpacing"/>
        <w:rPr>
          <w:b/>
        </w:rPr>
      </w:pPr>
      <w:r w:rsidRPr="00CA50E8">
        <w:rPr>
          <w:b/>
        </w:rPr>
        <w:t xml:space="preserve">Legal lesson learned: </w:t>
      </w:r>
      <w:r>
        <w:rPr>
          <w:b/>
        </w:rPr>
        <w:t xml:space="preserve">Excellent Fire Department policy – 24-hour written notice to Fire Chief of </w:t>
      </w:r>
      <w:r w:rsidRPr="00411EF9">
        <w:rPr>
          <w:b/>
        </w:rPr>
        <w:t>“any court hearing dates and results involving a criminal matter.”</w:t>
      </w:r>
    </w:p>
    <w:p w14:paraId="44A09BC3" w14:textId="77777777" w:rsidR="000301F2" w:rsidRDefault="000301F2" w:rsidP="009352C7">
      <w:pPr>
        <w:pStyle w:val="NoSpacing"/>
        <w:rPr>
          <w:b/>
        </w:rPr>
      </w:pPr>
    </w:p>
    <w:p w14:paraId="53648DB5" w14:textId="77777777" w:rsidR="000301F2" w:rsidRDefault="000301F2" w:rsidP="009352C7">
      <w:pPr>
        <w:pStyle w:val="NoSpacing"/>
        <w:rPr>
          <w:b/>
        </w:rPr>
      </w:pPr>
    </w:p>
    <w:p w14:paraId="51FDF3A1" w14:textId="75ABF0CC" w:rsidR="000301F2" w:rsidRPr="003C1133" w:rsidRDefault="000301F2" w:rsidP="009352C7">
      <w:pPr>
        <w:pStyle w:val="NoSpacing"/>
        <w:rPr>
          <w:b/>
          <w:sz w:val="28"/>
          <w:szCs w:val="28"/>
        </w:rPr>
      </w:pPr>
      <w:r w:rsidRPr="003C1133">
        <w:rPr>
          <w:b/>
          <w:sz w:val="28"/>
          <w:szCs w:val="28"/>
        </w:rPr>
        <w:t>16-151</w:t>
      </w:r>
    </w:p>
    <w:p w14:paraId="55C28911" w14:textId="77777777" w:rsidR="000301F2" w:rsidRDefault="000301F2" w:rsidP="009352C7">
      <w:pPr>
        <w:pStyle w:val="NoSpacing"/>
        <w:rPr>
          <w:b/>
        </w:rPr>
      </w:pPr>
    </w:p>
    <w:p w14:paraId="133CC37A" w14:textId="77777777" w:rsidR="000301F2" w:rsidRDefault="000301F2" w:rsidP="000301F2">
      <w:pPr>
        <w:pStyle w:val="NoSpacing"/>
        <w:rPr>
          <w:rFonts w:ascii="Arial Black" w:hAnsi="Arial Black"/>
          <w:sz w:val="28"/>
          <w:szCs w:val="28"/>
        </w:rPr>
      </w:pPr>
      <w:r>
        <w:rPr>
          <w:rFonts w:ascii="Arial Black" w:hAnsi="Arial Black"/>
          <w:sz w:val="28"/>
          <w:szCs w:val="28"/>
        </w:rPr>
        <w:t>MO: BC FIRED – USED AFFF STRUCTURE FIRE – VIOL ORDER</w:t>
      </w:r>
    </w:p>
    <w:p w14:paraId="1D23EAA0" w14:textId="77777777" w:rsidR="000301F2" w:rsidRDefault="000301F2" w:rsidP="000301F2">
      <w:pPr>
        <w:pStyle w:val="NoSpacing"/>
        <w:rPr>
          <w:rFonts w:ascii="Arial Black" w:hAnsi="Arial Black"/>
          <w:sz w:val="28"/>
          <w:szCs w:val="28"/>
        </w:rPr>
      </w:pPr>
    </w:p>
    <w:p w14:paraId="05ECC4A9" w14:textId="77777777" w:rsidR="000301F2" w:rsidRDefault="000301F2" w:rsidP="000301F2">
      <w:pPr>
        <w:pStyle w:val="NoSpacing"/>
      </w:pPr>
      <w:r>
        <w:t xml:space="preserve">On March 3, 2026, in </w:t>
      </w:r>
      <w:r w:rsidRPr="002E2C1B">
        <w:rPr>
          <w:u w:val="single"/>
        </w:rPr>
        <w:t>David Matusik v. Lake Ozark Fire Protection District</w:t>
      </w:r>
      <w:r>
        <w:t xml:space="preserve">, the </w:t>
      </w:r>
      <w:r w:rsidRPr="007F3B5A">
        <w:t>Court of Appeals of Missouri, Western District, Third Division</w:t>
      </w:r>
      <w:r>
        <w:t xml:space="preserve"> held (3 to 0) that the </w:t>
      </w:r>
      <w:r w:rsidRPr="00D37D10">
        <w:t>Board of Directors</w:t>
      </w:r>
      <w:r>
        <w:t xml:space="preserve"> held a due process hearing and had </w:t>
      </w:r>
      <w:r w:rsidRPr="00AB4BDB">
        <w:t>just cause to terminate Matusik’s employment.</w:t>
      </w:r>
      <w:r>
        <w:t xml:space="preserve">  New Fire Chief was hired in April 2023, and in </w:t>
      </w:r>
      <w:r w:rsidRPr="003E2F37">
        <w:t xml:space="preserve">November 2023, </w:t>
      </w:r>
      <w:r>
        <w:t xml:space="preserve">he </w:t>
      </w:r>
      <w:r w:rsidRPr="003E2F37">
        <w:t xml:space="preserve">discovered the </w:t>
      </w:r>
      <w:proofErr w:type="gramStart"/>
      <w:r w:rsidRPr="003E2F37">
        <w:t>District</w:t>
      </w:r>
      <w:proofErr w:type="gramEnd"/>
      <w:r w:rsidRPr="003E2F37">
        <w:t xml:space="preserve"> was still using AFFF</w:t>
      </w:r>
      <w:r>
        <w:t xml:space="preserve"> foam (cancer risk); on November 11, </w:t>
      </w:r>
      <w:proofErr w:type="gramStart"/>
      <w:r>
        <w:t>2023</w:t>
      </w:r>
      <w:proofErr w:type="gramEnd"/>
      <w:r>
        <w:t xml:space="preserve"> issued a written order prohibiting its use “unless an absolute life safety issue exists.” Less </w:t>
      </w:r>
      <w:proofErr w:type="spellStart"/>
      <w:r>
        <w:t>that</w:t>
      </w:r>
      <w:proofErr w:type="spellEnd"/>
      <w:r>
        <w:t xml:space="preserve"> two weeks later, on November 24, 2023, Matusik responded to a rekindled fire; was a “wind driven” fire that had spread to two homes beyond the initial involved home, and he decided to use the AFFF at the fire. The Fire Chief recommended his termination for this decision, plus working a shift trade that he </w:t>
      </w:r>
      <w:r>
        <w:lastRenderedPageBreak/>
        <w:t xml:space="preserve">converted to overtime pay without Chief’s permission. The Battalion Chief appealed to Circuit Court judge that reversed the termination;  the Court of Appeals reinstated the termination. </w:t>
      </w:r>
      <w:hyperlink r:id="rId2420" w:history="1">
        <w:r w:rsidRPr="002E59C2">
          <w:rPr>
            <w:rStyle w:val="Hyperlink"/>
          </w:rPr>
          <w:t>https://cases.justia.com/missouri/court-of-appeals/2026-wd88004.pdf?ts=1772555406</w:t>
        </w:r>
      </w:hyperlink>
      <w:r>
        <w:t xml:space="preserve"> </w:t>
      </w:r>
    </w:p>
    <w:p w14:paraId="67413446" w14:textId="77777777" w:rsidR="000301F2" w:rsidRDefault="000301F2" w:rsidP="000301F2">
      <w:pPr>
        <w:pStyle w:val="NoSpacing"/>
      </w:pPr>
    </w:p>
    <w:p w14:paraId="4B7F5A10" w14:textId="77777777" w:rsidR="000301F2" w:rsidRDefault="000301F2" w:rsidP="000301F2">
      <w:pPr>
        <w:pStyle w:val="NoSpacing"/>
      </w:pPr>
      <w:r>
        <w:t xml:space="preserve">THE COURT HELD: “We affirm the decision of the Board and remand the cause to the circuit court with directions to reinstate the Board’s decision terminating Matusik’s employment… With respect to his use of the AFFF, the Board found that Matusik was aware of Fire Chief’s order regarding the use of AFFF and knew that use of the foam without a life safety emergency was prohibited. The Board also discounted Matusik’s testimony that Fire Chief’s order gave him discretion to use AFFF because the only discretion afforded was if there was a life safety issue. The Board concluded that the evidence did not support </w:t>
      </w:r>
      <w:proofErr w:type="gramStart"/>
      <w:r>
        <w:t>a finding</w:t>
      </w:r>
      <w:proofErr w:type="gramEnd"/>
      <w:r>
        <w:t xml:space="preserve"> that any person’s life was in danger and that Matusik had other options available to him to fight the fire. The Board found Matusik’s decision to use the AFFF contradicted a direct order and was not supported by the facts…. </w:t>
      </w:r>
      <w:r w:rsidRPr="004474C8">
        <w:t>The Board affirmed the disciplinary recommendation and terminated Matusik’s employment.</w:t>
      </w:r>
      <w:r>
        <w:t>”</w:t>
      </w:r>
    </w:p>
    <w:p w14:paraId="6FAF0295" w14:textId="77777777" w:rsidR="000301F2" w:rsidRDefault="000301F2" w:rsidP="000301F2">
      <w:pPr>
        <w:pStyle w:val="NoSpacing"/>
      </w:pPr>
    </w:p>
    <w:p w14:paraId="2803081D" w14:textId="77777777" w:rsidR="000301F2" w:rsidRDefault="000301F2" w:rsidP="000301F2">
      <w:pPr>
        <w:pStyle w:val="NoSpacing"/>
      </w:pPr>
      <w:r w:rsidRPr="00C015D9">
        <w:rPr>
          <w:b/>
        </w:rPr>
        <w:t xml:space="preserve">Legal lesson learned: </w:t>
      </w:r>
      <w:r>
        <w:rPr>
          <w:b/>
        </w:rPr>
        <w:t xml:space="preserve">The Battalion Chief disobeyed the Chief’s order to not use AFFF foam. </w:t>
      </w:r>
    </w:p>
    <w:p w14:paraId="175B0F4A" w14:textId="77777777" w:rsidR="000301F2" w:rsidRDefault="000301F2" w:rsidP="000301F2">
      <w:pPr>
        <w:pStyle w:val="NoSpacing"/>
      </w:pPr>
    </w:p>
    <w:p w14:paraId="1B6639B1" w14:textId="77777777" w:rsidR="000301F2" w:rsidRPr="001C5BE8" w:rsidRDefault="000301F2" w:rsidP="000301F2">
      <w:pPr>
        <w:pStyle w:val="NoSpacing"/>
        <w:ind w:left="720"/>
        <w:rPr>
          <w:bCs/>
        </w:rPr>
      </w:pPr>
      <w:r w:rsidRPr="000425E7">
        <w:t>Note: See</w:t>
      </w:r>
      <w:r>
        <w:t xml:space="preserve"> July 8, </w:t>
      </w:r>
      <w:proofErr w:type="gramStart"/>
      <w:r>
        <w:t>2024</w:t>
      </w:r>
      <w:proofErr w:type="gramEnd"/>
      <w:r>
        <w:t xml:space="preserve"> GAO report: “</w:t>
      </w:r>
      <w:r w:rsidRPr="001C5BE8">
        <w:t>Firefighting Foam: DOD is Working to Address Challenges to Transitioning to PFAS-Free Alternatives</w:t>
      </w:r>
      <w:r>
        <w:t xml:space="preserve">.” </w:t>
      </w:r>
      <w:hyperlink r:id="rId2421" w:history="1">
        <w:r w:rsidRPr="0045422A">
          <w:rPr>
            <w:rStyle w:val="Hyperlink"/>
          </w:rPr>
          <w:t>https://www.gao.gov/products/gao-24-107322</w:t>
        </w:r>
      </w:hyperlink>
      <w:r>
        <w:t xml:space="preserve"> </w:t>
      </w:r>
    </w:p>
    <w:p w14:paraId="3BBFEA6E" w14:textId="77777777" w:rsidR="000301F2" w:rsidRDefault="000301F2" w:rsidP="000301F2">
      <w:pPr>
        <w:pStyle w:val="NoSpacing"/>
        <w:ind w:left="720"/>
        <w:rPr>
          <w:bCs/>
        </w:rPr>
      </w:pPr>
    </w:p>
    <w:p w14:paraId="4C916177" w14:textId="77777777" w:rsidR="000301F2" w:rsidRDefault="000301F2" w:rsidP="000301F2">
      <w:pPr>
        <w:pStyle w:val="NoSpacing"/>
        <w:ind w:left="720"/>
      </w:pPr>
      <w:r>
        <w:t>“</w:t>
      </w:r>
      <w:r w:rsidRPr="00C435C4">
        <w:t>The Defense Department is required to transition away from using firefighting foam that contains PFAS, a class of chemicals that poses health risks and has been found in drinking water around bases. This kind of foam has been considered the most effective product for suppressing jet fuel fires.</w:t>
      </w:r>
      <w:r>
        <w:t>”</w:t>
      </w:r>
    </w:p>
    <w:p w14:paraId="0054F477" w14:textId="77777777" w:rsidR="000301F2" w:rsidRDefault="000301F2" w:rsidP="000301F2">
      <w:pPr>
        <w:pStyle w:val="NoSpacing"/>
        <w:ind w:left="720"/>
      </w:pPr>
    </w:p>
    <w:p w14:paraId="66E250A5" w14:textId="77777777" w:rsidR="000301F2" w:rsidRPr="00CA50E8" w:rsidRDefault="000301F2" w:rsidP="009352C7">
      <w:pPr>
        <w:pStyle w:val="NoSpacing"/>
        <w:rPr>
          <w:b/>
        </w:rPr>
      </w:pPr>
    </w:p>
    <w:p w14:paraId="5A1523A9" w14:textId="77777777" w:rsidR="009352C7" w:rsidRDefault="009352C7" w:rsidP="002F7727">
      <w:pPr>
        <w:pStyle w:val="NoSpacing"/>
        <w:rPr>
          <w:rFonts w:ascii="Arial Black" w:hAnsi="Arial Black"/>
          <w:b/>
          <w:sz w:val="24"/>
          <w:szCs w:val="24"/>
        </w:rPr>
      </w:pPr>
    </w:p>
    <w:p w14:paraId="67954119" w14:textId="77777777" w:rsidR="0075332D" w:rsidRDefault="0075332D" w:rsidP="002F7727">
      <w:pPr>
        <w:pStyle w:val="NoSpacing"/>
        <w:rPr>
          <w:rFonts w:ascii="Arial Black" w:hAnsi="Arial Black"/>
          <w:b/>
          <w:sz w:val="24"/>
          <w:szCs w:val="24"/>
        </w:rPr>
      </w:pPr>
    </w:p>
    <w:p w14:paraId="6E80C789" w14:textId="77777777" w:rsidR="0075332D" w:rsidRDefault="0075332D" w:rsidP="002F7727">
      <w:pPr>
        <w:pStyle w:val="NoSpacing"/>
        <w:rPr>
          <w:rFonts w:ascii="Arial Black" w:hAnsi="Arial Black"/>
          <w:b/>
          <w:sz w:val="24"/>
          <w:szCs w:val="24"/>
        </w:rPr>
      </w:pPr>
    </w:p>
    <w:p w14:paraId="1983BDF7" w14:textId="63EF4D99" w:rsidR="008F1833" w:rsidRDefault="002F409C" w:rsidP="002F7727">
      <w:pPr>
        <w:pStyle w:val="NoSpacing"/>
        <w:rPr>
          <w:rFonts w:ascii="Arial Black" w:hAnsi="Arial Black"/>
          <w:b/>
          <w:sz w:val="24"/>
          <w:szCs w:val="24"/>
        </w:rPr>
      </w:pPr>
      <w:r>
        <w:rPr>
          <w:rFonts w:ascii="Arial Black" w:hAnsi="Arial Black"/>
          <w:b/>
          <w:sz w:val="24"/>
          <w:szCs w:val="24"/>
        </w:rPr>
        <w:t>16-150</w:t>
      </w:r>
      <w:r w:rsidR="00DB1FBE">
        <w:rPr>
          <w:rFonts w:ascii="Arial Black" w:hAnsi="Arial Black"/>
          <w:b/>
          <w:sz w:val="24"/>
          <w:szCs w:val="24"/>
        </w:rPr>
        <w:t xml:space="preserve">  </w:t>
      </w:r>
      <w:r w:rsidR="00DB1FBE" w:rsidRPr="00DB1FBE">
        <w:rPr>
          <w:rFonts w:ascii="Times New Roman" w:hAnsi="Times New Roman"/>
          <w:b/>
          <w:sz w:val="24"/>
          <w:szCs w:val="24"/>
        </w:rPr>
        <w:t>[also filed, Chap. 13]</w:t>
      </w:r>
      <w:r w:rsidR="00DB1FBE">
        <w:rPr>
          <w:rFonts w:ascii="Arial Black" w:hAnsi="Arial Black"/>
          <w:b/>
          <w:sz w:val="24"/>
          <w:szCs w:val="24"/>
        </w:rPr>
        <w:t xml:space="preserve"> </w:t>
      </w:r>
    </w:p>
    <w:p w14:paraId="145F0D18" w14:textId="77777777" w:rsidR="00DB1FBE" w:rsidRDefault="00DB1FBE" w:rsidP="002F7727">
      <w:pPr>
        <w:pStyle w:val="NoSpacing"/>
        <w:rPr>
          <w:rFonts w:ascii="Arial Black" w:hAnsi="Arial Black"/>
          <w:b/>
          <w:sz w:val="24"/>
          <w:szCs w:val="24"/>
        </w:rPr>
      </w:pPr>
    </w:p>
    <w:p w14:paraId="322B0E8A" w14:textId="77777777" w:rsidR="002F409C" w:rsidRDefault="002F409C" w:rsidP="002F409C">
      <w:pPr>
        <w:pStyle w:val="NoSpacing"/>
        <w:rPr>
          <w:rFonts w:ascii="Arial Black" w:hAnsi="Arial Black"/>
          <w:b/>
          <w:sz w:val="28"/>
          <w:szCs w:val="28"/>
        </w:rPr>
      </w:pPr>
      <w:r>
        <w:rPr>
          <w:rFonts w:ascii="Arial Black" w:hAnsi="Arial Black"/>
          <w:b/>
          <w:sz w:val="28"/>
          <w:szCs w:val="28"/>
        </w:rPr>
        <w:t xml:space="preserve">FL: B/C FIRED – REFUSED TO ISSUE COVID REPRIMANDS </w:t>
      </w:r>
    </w:p>
    <w:p w14:paraId="38D9810D" w14:textId="77777777" w:rsidR="002F409C" w:rsidRDefault="002F409C" w:rsidP="002F409C">
      <w:pPr>
        <w:pStyle w:val="NoSpacing"/>
        <w:rPr>
          <w:rFonts w:ascii="Arial Black" w:hAnsi="Arial Black"/>
          <w:b/>
          <w:sz w:val="28"/>
          <w:szCs w:val="28"/>
        </w:rPr>
      </w:pPr>
    </w:p>
    <w:p w14:paraId="0B38A88E" w14:textId="77777777" w:rsidR="002F409C" w:rsidRDefault="002F409C" w:rsidP="002F409C">
      <w:pPr>
        <w:pStyle w:val="NoSpacing"/>
        <w:rPr>
          <w:bCs/>
        </w:rPr>
      </w:pPr>
      <w:r>
        <w:t xml:space="preserve">On February 13, 2026, in </w:t>
      </w:r>
      <w:r w:rsidRPr="00805F39">
        <w:rPr>
          <w:u w:val="single"/>
        </w:rPr>
        <w:t>Stephen M. Davis v. Orange County</w:t>
      </w:r>
      <w:r>
        <w:t xml:space="preserve">, the United States Court of Appeals for the Eleventh Circuit (Atlanta) held (3 to 0; unpublished decision) that his lawsuit was properly dismissed.  </w:t>
      </w:r>
      <w:r w:rsidRPr="00CD2C4C">
        <w:t xml:space="preserve">Davis worked for the department for 15 years and advanced through the ranks to battalion chief. In 2021, Davis was terminated after he did not reprimand department personnel who refused the Orange County’s mandated COVID-19 vaccine. </w:t>
      </w:r>
      <w:r>
        <w:t xml:space="preserve"> Davis has failed to allege an” objectively reasonable” belief that issuing the written reprimands to firefighters who hadn’t timely provided a vaccination certificate or exemption request, because the union had negotiated an MOU with the County that COVID reprimands could not be considered or used in a union member’s performance evaluation, and that no further disciplinary action could be taken against employees who didn’t file a timely vaccination certificate or exemption request. </w:t>
      </w:r>
      <w:hyperlink r:id="rId2422" w:history="1">
        <w:r w:rsidRPr="002B0907">
          <w:rPr>
            <w:rStyle w:val="Hyperlink"/>
          </w:rPr>
          <w:t>https://www.govinfo.gov/content/pkg/USCOURTS-ca11-25-11434/pdf/USCOURTS-ca11-25-11434-0.pdf</w:t>
        </w:r>
      </w:hyperlink>
      <w:r>
        <w:t xml:space="preserve"> </w:t>
      </w:r>
    </w:p>
    <w:p w14:paraId="17A6FCB2" w14:textId="77777777" w:rsidR="002F409C" w:rsidRDefault="002F409C" w:rsidP="002F409C">
      <w:pPr>
        <w:pStyle w:val="NoSpacing"/>
        <w:rPr>
          <w:bCs/>
        </w:rPr>
      </w:pPr>
    </w:p>
    <w:p w14:paraId="7C38F979" w14:textId="77777777" w:rsidR="002F409C" w:rsidRDefault="002F409C" w:rsidP="002F409C">
      <w:pPr>
        <w:pStyle w:val="NoSpacing"/>
      </w:pPr>
      <w:r>
        <w:t>THE COURT HELD: “It is undisputed that Davis’s termination was an adverse employment action caused by his refusal to issue reprimands for violations of the department’s COVID-19 policy, so this case comes down to whether that refusal was protected activity…. Here, Davis asserts that he believed the reprimands he was ordered to issue violated Title VII’s anti-discrimination provision. That belief wasn’t objectively reasonable….  The memorandum of understanding between the union representing Orange County firefighters and the county stated that the reprimands could not be considered or used in a union member’s performance</w:t>
      </w:r>
    </w:p>
    <w:p w14:paraId="30C79BBB" w14:textId="77777777" w:rsidR="002F409C" w:rsidRDefault="002F409C" w:rsidP="002F409C">
      <w:pPr>
        <w:pStyle w:val="NoSpacing"/>
      </w:pPr>
      <w:r>
        <w:t xml:space="preserve">evaluation, and that no further disciplinary action could be taken against employees who didn’t file a timely vaccination certificate or exemption request. In other words, the reprimands were toothless—they themselves didn’t rise to the level of an adverse employment action, and a future adverse employment action couldn’t be based on them…. In other words, the reprimands were toothless—they themselves didn’t rise to the level of an adverse employment action, and a </w:t>
      </w:r>
      <w:r>
        <w:lastRenderedPageBreak/>
        <w:t xml:space="preserve">future adverse employment action couldn’t be based on them. </w:t>
      </w:r>
      <w:proofErr w:type="gramStart"/>
      <w:r>
        <w:t>So</w:t>
      </w:r>
      <w:proofErr w:type="gramEnd"/>
      <w:r>
        <w:t xml:space="preserve"> Davis has failed to allege an objectively reasonable belief that a written reprimand—that by its own terms could</w:t>
      </w:r>
    </w:p>
    <w:p w14:paraId="74AE29AD" w14:textId="77777777" w:rsidR="002F409C" w:rsidRDefault="002F409C" w:rsidP="002F409C">
      <w:pPr>
        <w:pStyle w:val="NoSpacing"/>
      </w:pPr>
      <w:r>
        <w:t>not impact the terms or conditions of a firefighter’s employment— would disadvantage, harm, or make “worse off” his subordinates’ employment in any way.”</w:t>
      </w:r>
    </w:p>
    <w:p w14:paraId="5881BC65" w14:textId="77777777" w:rsidR="002F409C" w:rsidRDefault="002F409C" w:rsidP="002F409C">
      <w:pPr>
        <w:pStyle w:val="NoSpacing"/>
      </w:pPr>
    </w:p>
    <w:p w14:paraId="042553EC" w14:textId="77777777" w:rsidR="002F409C" w:rsidRDefault="002F409C" w:rsidP="002F409C">
      <w:pPr>
        <w:pStyle w:val="NoSpacing"/>
        <w:rPr>
          <w:b/>
          <w:bCs/>
        </w:rPr>
      </w:pPr>
      <w:r>
        <w:rPr>
          <w:b/>
        </w:rPr>
        <w:t>Legal lesson learned:  Davis should have consulted an employment layer before refusing to issue the COVID reprimands.</w:t>
      </w:r>
    </w:p>
    <w:p w14:paraId="2711476C" w14:textId="77777777" w:rsidR="002F409C" w:rsidRDefault="002F409C" w:rsidP="002F409C">
      <w:pPr>
        <w:pStyle w:val="NoSpacing"/>
        <w:rPr>
          <w:b/>
          <w:bCs/>
        </w:rPr>
      </w:pPr>
    </w:p>
    <w:p w14:paraId="5CEDC709" w14:textId="77777777" w:rsidR="002F409C" w:rsidRDefault="002F409C" w:rsidP="002F409C">
      <w:pPr>
        <w:pStyle w:val="NoSpacing"/>
        <w:ind w:left="720"/>
      </w:pPr>
      <w:r>
        <w:t xml:space="preserve">Note: See June 15, </w:t>
      </w:r>
      <w:proofErr w:type="gramStart"/>
      <w:r>
        <w:t>2024</w:t>
      </w:r>
      <w:proofErr w:type="gramEnd"/>
      <w:r>
        <w:t xml:space="preserve"> article</w:t>
      </w:r>
      <w:r w:rsidRPr="001260AC">
        <w:rPr>
          <w:b/>
        </w:rPr>
        <w:t xml:space="preserve">: </w:t>
      </w:r>
      <w:r>
        <w:rPr>
          <w:b/>
        </w:rPr>
        <w:t>“</w:t>
      </w:r>
      <w:r w:rsidRPr="001260AC">
        <w:t>BREAKING: Former Orange County Fire Rescue battalion chief announces candidacy for County Commission District 1</w:t>
      </w:r>
      <w:r>
        <w:t xml:space="preserve">. </w:t>
      </w:r>
      <w:hyperlink r:id="rId2423" w:history="1">
        <w:r w:rsidRPr="002B0907">
          <w:rPr>
            <w:rStyle w:val="Hyperlink"/>
          </w:rPr>
          <w:t>https://www.orangeobserver.com/news/2024/jun/15/breaking-former-orange-county-fire-rescue-battalion-chief-announces-candidacy-for-county-commission-district-1/</w:t>
        </w:r>
      </w:hyperlink>
      <w:r>
        <w:t xml:space="preserve"> </w:t>
      </w:r>
    </w:p>
    <w:p w14:paraId="28F98514" w14:textId="77777777" w:rsidR="002F409C" w:rsidRDefault="002F409C" w:rsidP="002F409C">
      <w:pPr>
        <w:pStyle w:val="NoSpacing"/>
        <w:ind w:left="720"/>
      </w:pPr>
    </w:p>
    <w:p w14:paraId="07731DD2" w14:textId="77777777" w:rsidR="002F409C" w:rsidRPr="00A21182" w:rsidRDefault="002F409C" w:rsidP="002F409C">
      <w:pPr>
        <w:pStyle w:val="NoSpacing"/>
        <w:ind w:left="720"/>
      </w:pPr>
      <w:r>
        <w:t>“</w:t>
      </w:r>
      <w:r w:rsidRPr="00722EC8">
        <w:t xml:space="preserve">Stephen Davis, a former Orange County Fire Rescue battalion chief has filed as a qualified write-in candidate for the </w:t>
      </w:r>
      <w:proofErr w:type="gramStart"/>
      <w:r w:rsidRPr="00722EC8">
        <w:t>District</w:t>
      </w:r>
      <w:proofErr w:type="gramEnd"/>
      <w:r w:rsidRPr="00722EC8">
        <w:t xml:space="preserve"> 1 Orange County Commission seat.</w:t>
      </w:r>
      <w:r>
        <w:t xml:space="preserve"> </w:t>
      </w:r>
      <w:r w:rsidRPr="00722EC8">
        <w:t xml:space="preserve">Davis joins incumbent Nicole Wilson and challenger Austin Arthur in the race. </w:t>
      </w:r>
      <w:proofErr w:type="spellStart"/>
      <w:r w:rsidRPr="00722EC8">
        <w:t>Davis’</w:t>
      </w:r>
      <w:proofErr w:type="spellEnd"/>
      <w:r w:rsidRPr="00722EC8">
        <w:t xml:space="preserve"> candidacy also moves the race from November general election up to the primary ballot, Aug. 20.</w:t>
      </w:r>
      <w:r>
        <w:t xml:space="preserve"> </w:t>
      </w:r>
      <w:r w:rsidRPr="00722EC8">
        <w:t xml:space="preserve">If one candidate gets 50% plus one vote in the primary, that person wins the seat, Orange County Supervisor of Elections Public Information Officer Christopher Heath said. </w:t>
      </w:r>
      <w:r>
        <w:t xml:space="preserve"> </w:t>
      </w:r>
      <w:r w:rsidRPr="00722EC8">
        <w:t>Davis worked for the department for 15 years and advanced through the ranks to battalion chief. In 2021, Davis was terminated after he did not reprimand department personnel who refused the Orange County’s mandated COVID-19 vaccine.</w:t>
      </w:r>
      <w:r w:rsidRPr="00A21182">
        <w:rPr>
          <w:rFonts w:eastAsia="Times New Roman"/>
        </w:rPr>
        <w:t xml:space="preserve"> </w:t>
      </w:r>
      <w:r w:rsidRPr="00A21182">
        <w:t xml:space="preserve">He later filed a lawsuit against the county for wrongful termination </w:t>
      </w:r>
      <w:proofErr w:type="gramStart"/>
      <w:r w:rsidRPr="00A21182">
        <w:t>and also</w:t>
      </w:r>
      <w:proofErr w:type="gramEnd"/>
      <w:r w:rsidRPr="00A21182">
        <w:t xml:space="preserve"> has written a book about his experience.</w:t>
      </w:r>
      <w:r>
        <w:t xml:space="preserve"> ‘</w:t>
      </w:r>
      <w:r w:rsidRPr="00A21182">
        <w:t>History has now proven Orange County was wrong to mandate the so-called vaccine,</w:t>
      </w:r>
      <w:r>
        <w:t>’</w:t>
      </w:r>
      <w:r w:rsidRPr="00A21182">
        <w:t xml:space="preserve"> Davis said. </w:t>
      </w:r>
      <w:r>
        <w:t>‘</w:t>
      </w:r>
      <w:r w:rsidRPr="00A21182">
        <w:t>It did not stop the spread. Worse, Commissioner Nicole Wilson ridiculed and showed disdain for the firefighters who refused it. That’s why I’m running — to make sure this issue does not go away.</w:t>
      </w:r>
      <w:r>
        <w:t>’”</w:t>
      </w:r>
    </w:p>
    <w:p w14:paraId="664BB4B0" w14:textId="77777777" w:rsidR="002F409C" w:rsidRPr="00722EC8" w:rsidRDefault="002F409C" w:rsidP="002F409C">
      <w:pPr>
        <w:pStyle w:val="NoSpacing"/>
        <w:ind w:left="720"/>
      </w:pPr>
    </w:p>
    <w:p w14:paraId="015FB502" w14:textId="77777777" w:rsidR="002F409C" w:rsidRDefault="002F409C" w:rsidP="002F409C">
      <w:pPr>
        <w:pStyle w:val="NoSpacing"/>
      </w:pPr>
    </w:p>
    <w:p w14:paraId="4FAFC4E0" w14:textId="23635BD7" w:rsidR="002F409C" w:rsidRPr="008A774F" w:rsidRDefault="00B8457C" w:rsidP="008A774F">
      <w:pPr>
        <w:pStyle w:val="NoSpacing"/>
        <w:rPr>
          <w:rFonts w:ascii="Arial Black" w:hAnsi="Arial Black"/>
          <w:sz w:val="28"/>
          <w:szCs w:val="28"/>
        </w:rPr>
      </w:pPr>
      <w:r w:rsidRPr="008A774F">
        <w:rPr>
          <w:rFonts w:ascii="Arial Black" w:hAnsi="Arial Black"/>
          <w:sz w:val="28"/>
          <w:szCs w:val="28"/>
        </w:rPr>
        <w:t>16-149</w:t>
      </w:r>
    </w:p>
    <w:p w14:paraId="2E59CE5D" w14:textId="77777777" w:rsidR="00B8457C" w:rsidRDefault="00B8457C" w:rsidP="002F409C">
      <w:pPr>
        <w:pStyle w:val="NoSpacing"/>
        <w:ind w:left="720"/>
      </w:pPr>
    </w:p>
    <w:p w14:paraId="0F963F48" w14:textId="77777777" w:rsidR="00B8457C" w:rsidRPr="008A1D44" w:rsidRDefault="00B8457C" w:rsidP="00B8457C">
      <w:pPr>
        <w:pStyle w:val="NoSpacing"/>
        <w:rPr>
          <w:rFonts w:ascii="Arial Black" w:hAnsi="Arial Black"/>
          <w:sz w:val="28"/>
          <w:szCs w:val="28"/>
        </w:rPr>
      </w:pPr>
      <w:r>
        <w:rPr>
          <w:rFonts w:ascii="Arial Black" w:hAnsi="Arial Black"/>
          <w:sz w:val="28"/>
          <w:szCs w:val="28"/>
        </w:rPr>
        <w:t>TX: FEMALE LT – 5-DAY &amp; 10-DAY SUSP - LEAVING STATION</w:t>
      </w:r>
    </w:p>
    <w:p w14:paraId="1206711F" w14:textId="77777777" w:rsidR="00B8457C" w:rsidRDefault="00B8457C" w:rsidP="00B8457C">
      <w:pPr>
        <w:pStyle w:val="NoSpacing"/>
      </w:pPr>
      <w:r w:rsidRPr="008A1D44">
        <w:t> </w:t>
      </w:r>
    </w:p>
    <w:p w14:paraId="1C2E5C13" w14:textId="77777777" w:rsidR="00B8457C" w:rsidRDefault="00B8457C" w:rsidP="00B8457C">
      <w:pPr>
        <w:pStyle w:val="NoSpacing"/>
      </w:pPr>
      <w:r>
        <w:t xml:space="preserve">On February 12, 2026, in </w:t>
      </w:r>
      <w:r w:rsidRPr="003851F7">
        <w:rPr>
          <w:u w:val="single"/>
        </w:rPr>
        <w:t>City of Pharr v. Lt. Krystle Guerra</w:t>
      </w:r>
      <w:r>
        <w:t xml:space="preserve">, the </w:t>
      </w:r>
      <w:r w:rsidRPr="003851F7">
        <w:t>Court of Appeals of Texas, Thirteenth District, Corpus Christi-Edinburg</w:t>
      </w:r>
      <w:r>
        <w:t xml:space="preserve">, held that the </w:t>
      </w:r>
      <w:r w:rsidRPr="00D62030">
        <w:t>City of Pharr Fire &amp; Police Civil Service Commission</w:t>
      </w:r>
      <w:r>
        <w:t xml:space="preserve"> upheld her two separate suspensions after hearings, and the trial court should have dismissed her lawsuit.   </w:t>
      </w:r>
      <w:hyperlink r:id="rId2424" w:history="1">
        <w:r w:rsidRPr="00C72C21">
          <w:rPr>
            <w:rStyle w:val="Hyperlink"/>
          </w:rPr>
          <w:t>https://cases.justia.com/texas/thirteenth-court-of-appeals/2026-13-24-00112-cv.pdf?ts=1770913029</w:t>
        </w:r>
      </w:hyperlink>
      <w:r>
        <w:t xml:space="preserve"> </w:t>
      </w:r>
    </w:p>
    <w:p w14:paraId="398F0604" w14:textId="77777777" w:rsidR="00B8457C" w:rsidRDefault="00B8457C" w:rsidP="00B8457C">
      <w:pPr>
        <w:pStyle w:val="NoSpacing"/>
      </w:pPr>
    </w:p>
    <w:p w14:paraId="3EE69B60" w14:textId="77777777" w:rsidR="00B8457C" w:rsidRDefault="00B8457C" w:rsidP="00B8457C">
      <w:pPr>
        <w:pStyle w:val="NoSpacing"/>
      </w:pPr>
      <w:r>
        <w:t>THE COURT HELD: “</w:t>
      </w:r>
      <w:r w:rsidRPr="00363CB9">
        <w:t>On June 22, 2021, Guerra received written notice that then-Fire Chief Leonardo Perez was investigating allegations that she violated Department policies on multiple occasions. The allegations largely centered on several reports that, without prior authorization, Guerra repeatedly left her assigned fire station and district to conduct personal business or socialize at other stations while on duty.</w:t>
      </w:r>
      <w:r>
        <w:t xml:space="preserve"> </w:t>
      </w:r>
      <w:r w:rsidRPr="00363CB9">
        <w:t xml:space="preserve">During a disciplinary hearing before Chief Perez, Guerra did not dispute those allegations; instead, she generally claimed that it was common for other Department personnel to run personal errands during work hours. Chief Perez invited Guerra to provide examples to support her contention. In a follow-up email to Chief Perez, she accused him of running personal errands while on duty and cited specific instances of him allegedly doing so. After considering Guerra's response, Chief Perez found the allegations against her to be true and suspended Guerra for five days without pay. </w:t>
      </w:r>
      <w:r>
        <w:t xml:space="preserve">*** </w:t>
      </w:r>
      <w:r w:rsidRPr="00001403">
        <w:t xml:space="preserve">In January 2022, Chief Perez's successor, Pilar Rodriguez, sent Guerra written notice of contemplated discipline concerning two incidents. Guerra was accused of </w:t>
      </w:r>
      <w:r>
        <w:t>‘</w:t>
      </w:r>
      <w:r w:rsidRPr="00001403">
        <w:t>exchanging time</w:t>
      </w:r>
      <w:r>
        <w:t>’</w:t>
      </w:r>
      <w:r w:rsidRPr="00001403">
        <w:t xml:space="preserve"> with another lieutenant in violation of a supervisor's prior directive not to do so. She was also accused of leaving her post for two hours without obtaining prior authorization from her immediate supervisor or notifying others above her in the chain of command.</w:t>
      </w:r>
      <w:r>
        <w:t xml:space="preserve"> *** </w:t>
      </w:r>
      <w:r w:rsidRPr="00802436">
        <w:t xml:space="preserve">Guerra alleged in her petition that her protected activities consisted of </w:t>
      </w:r>
      <w:r>
        <w:t>‘</w:t>
      </w:r>
      <w:r w:rsidRPr="00802436">
        <w:t>reporting misbehavior by a male firefighter and [Chief Perez]</w:t>
      </w:r>
      <w:r>
        <w:t>’</w:t>
      </w:r>
      <w:r w:rsidRPr="00802436">
        <w:t xml:space="preserve"> and that her transfer to another station and suspensions constituted </w:t>
      </w:r>
      <w:r>
        <w:t>‘</w:t>
      </w:r>
      <w:r w:rsidRPr="00802436">
        <w:t>retaliation</w:t>
      </w:r>
      <w:r>
        <w:t>’</w:t>
      </w:r>
      <w:r w:rsidRPr="00802436">
        <w:t xml:space="preserve"> for making these reports. However, as she described in her own petition, the January 2021 report concerned </w:t>
      </w:r>
      <w:proofErr w:type="gramStart"/>
      <w:r w:rsidRPr="00802436">
        <w:t xml:space="preserve">a subordinate's </w:t>
      </w:r>
      <w:r>
        <w:t>‘</w:t>
      </w:r>
      <w:proofErr w:type="gramEnd"/>
      <w:r w:rsidRPr="00802436">
        <w:t>work performance issues." For example, Guerra reported that this employee's job performance was "unsatisfactory</w:t>
      </w:r>
      <w:r>
        <w:t>’</w:t>
      </w:r>
      <w:r w:rsidRPr="00802436">
        <w:t xml:space="preserve"> because of his poor interpersonal skills. Nowhere in the report did Guerra state that the employee had </w:t>
      </w:r>
      <w:r w:rsidRPr="00802436">
        <w:lastRenderedPageBreak/>
        <w:t>engaged in any kind of discriminatory behavior</w:t>
      </w:r>
      <w:r>
        <w:t xml:space="preserve">…. </w:t>
      </w:r>
      <w:r w:rsidRPr="00C83518">
        <w:t>In short, Guerra's pleadings and evidence conclusively establish that her retaliation claims are based on activities that are not protected by Chapter 2</w:t>
      </w:r>
      <w:r>
        <w:t>1.”</w:t>
      </w:r>
    </w:p>
    <w:p w14:paraId="2FE37623" w14:textId="77777777" w:rsidR="00B8457C" w:rsidRDefault="00B8457C" w:rsidP="00B8457C">
      <w:pPr>
        <w:pStyle w:val="NoSpacing"/>
      </w:pPr>
    </w:p>
    <w:p w14:paraId="4437E266" w14:textId="77777777" w:rsidR="00B8457C" w:rsidRPr="00FB3A46" w:rsidRDefault="00B8457C" w:rsidP="00B8457C">
      <w:pPr>
        <w:pStyle w:val="NoSpacing"/>
        <w:rPr>
          <w:b/>
          <w:bCs/>
        </w:rPr>
      </w:pPr>
      <w:r w:rsidRPr="00FB3A46">
        <w:rPr>
          <w:b/>
        </w:rPr>
        <w:t xml:space="preserve">Legal lesson learned: </w:t>
      </w:r>
      <w:r>
        <w:rPr>
          <w:b/>
        </w:rPr>
        <w:t xml:space="preserve">Laving a station without permission, particularly when you are the OIC, can lead to discipline. </w:t>
      </w:r>
    </w:p>
    <w:p w14:paraId="4C666750" w14:textId="77777777" w:rsidR="00B8457C" w:rsidRDefault="00B8457C" w:rsidP="002F409C">
      <w:pPr>
        <w:pStyle w:val="NoSpacing"/>
        <w:ind w:left="720"/>
      </w:pPr>
    </w:p>
    <w:p w14:paraId="2520933B" w14:textId="77777777" w:rsidR="002F409C" w:rsidRPr="005E4175" w:rsidRDefault="002F409C" w:rsidP="002F409C">
      <w:pPr>
        <w:pStyle w:val="NoSpacing"/>
        <w:ind w:left="720"/>
        <w:rPr>
          <w:bCs/>
        </w:rPr>
      </w:pPr>
    </w:p>
    <w:p w14:paraId="015843BB" w14:textId="77777777" w:rsidR="002F409C" w:rsidRDefault="002F409C" w:rsidP="002F7727">
      <w:pPr>
        <w:pStyle w:val="NoSpacing"/>
        <w:rPr>
          <w:rFonts w:ascii="Arial Black" w:hAnsi="Arial Black"/>
          <w:b/>
          <w:sz w:val="24"/>
          <w:szCs w:val="24"/>
        </w:rPr>
      </w:pPr>
    </w:p>
    <w:p w14:paraId="0CD8FBB3" w14:textId="77777777" w:rsidR="002F409C" w:rsidRDefault="002F409C" w:rsidP="002F7727">
      <w:pPr>
        <w:pStyle w:val="NoSpacing"/>
        <w:rPr>
          <w:rFonts w:ascii="Arial Black" w:hAnsi="Arial Black"/>
          <w:b/>
          <w:sz w:val="24"/>
          <w:szCs w:val="24"/>
        </w:rPr>
      </w:pPr>
    </w:p>
    <w:p w14:paraId="657BAB78" w14:textId="77777777" w:rsidR="002F409C" w:rsidRDefault="002F409C" w:rsidP="002F7727">
      <w:pPr>
        <w:pStyle w:val="NoSpacing"/>
        <w:rPr>
          <w:rFonts w:ascii="Arial Black" w:hAnsi="Arial Black"/>
          <w:b/>
          <w:sz w:val="24"/>
          <w:szCs w:val="24"/>
        </w:rPr>
      </w:pPr>
    </w:p>
    <w:p w14:paraId="1D2F6AFE" w14:textId="77777777" w:rsidR="002F409C" w:rsidRDefault="002F409C" w:rsidP="002F7727">
      <w:pPr>
        <w:pStyle w:val="NoSpacing"/>
        <w:rPr>
          <w:rFonts w:ascii="Arial Black" w:hAnsi="Arial Black"/>
          <w:b/>
          <w:sz w:val="24"/>
          <w:szCs w:val="24"/>
        </w:rPr>
      </w:pPr>
    </w:p>
    <w:p w14:paraId="2D4EEB85" w14:textId="546E0E82" w:rsidR="008F1833" w:rsidRDefault="008F1833" w:rsidP="002F7727">
      <w:pPr>
        <w:pStyle w:val="NoSpacing"/>
        <w:rPr>
          <w:rFonts w:ascii="Arial Black" w:hAnsi="Arial Black"/>
          <w:b/>
          <w:sz w:val="24"/>
          <w:szCs w:val="24"/>
        </w:rPr>
      </w:pPr>
      <w:r>
        <w:rPr>
          <w:rFonts w:ascii="Arial Black" w:hAnsi="Arial Black"/>
          <w:b/>
          <w:sz w:val="24"/>
          <w:szCs w:val="24"/>
        </w:rPr>
        <w:t>16-148</w:t>
      </w:r>
    </w:p>
    <w:p w14:paraId="3629D51F" w14:textId="77777777" w:rsidR="008F1833" w:rsidRDefault="008F1833" w:rsidP="002F7727">
      <w:pPr>
        <w:pStyle w:val="NoSpacing"/>
        <w:rPr>
          <w:rFonts w:ascii="Arial Black" w:hAnsi="Arial Black"/>
          <w:b/>
          <w:sz w:val="24"/>
          <w:szCs w:val="24"/>
        </w:rPr>
      </w:pPr>
    </w:p>
    <w:p w14:paraId="2425D079" w14:textId="3802543F" w:rsidR="008F1833" w:rsidRPr="008F1833" w:rsidRDefault="008F1833" w:rsidP="008F1833">
      <w:pPr>
        <w:pStyle w:val="NoSpacing"/>
        <w:rPr>
          <w:rFonts w:ascii="Times New Roman" w:hAnsi="Times New Roman"/>
          <w:b/>
          <w:sz w:val="24"/>
          <w:szCs w:val="24"/>
        </w:rPr>
      </w:pPr>
      <w:r>
        <w:rPr>
          <w:rFonts w:ascii="Arial Black" w:hAnsi="Arial Black"/>
          <w:b/>
          <w:sz w:val="28"/>
          <w:szCs w:val="28"/>
        </w:rPr>
        <w:t xml:space="preserve">FL: FF FIRED – ANNUAL PHYSICAL – TRIED AVOID TB TEST </w:t>
      </w:r>
      <w:r w:rsidRPr="008F1833">
        <w:rPr>
          <w:rFonts w:ascii="Times New Roman" w:hAnsi="Times New Roman"/>
          <w:b/>
          <w:sz w:val="24"/>
          <w:szCs w:val="24"/>
        </w:rPr>
        <w:t>[also filed, Chap. 1</w:t>
      </w:r>
      <w:r>
        <w:rPr>
          <w:rFonts w:ascii="Times New Roman" w:hAnsi="Times New Roman"/>
          <w:b/>
          <w:sz w:val="24"/>
          <w:szCs w:val="24"/>
        </w:rPr>
        <w:t>4</w:t>
      </w:r>
      <w:r w:rsidRPr="008F1833">
        <w:rPr>
          <w:rFonts w:ascii="Times New Roman" w:hAnsi="Times New Roman"/>
          <w:b/>
          <w:sz w:val="24"/>
          <w:szCs w:val="24"/>
        </w:rPr>
        <w:t>]</w:t>
      </w:r>
    </w:p>
    <w:p w14:paraId="59BB6ECC" w14:textId="77777777" w:rsidR="008F1833" w:rsidRDefault="008F1833" w:rsidP="008F1833">
      <w:pPr>
        <w:pStyle w:val="NoSpacing"/>
        <w:rPr>
          <w:b/>
        </w:rPr>
      </w:pPr>
    </w:p>
    <w:p w14:paraId="069674D6" w14:textId="77777777" w:rsidR="008F1833" w:rsidRPr="00FF0E3F" w:rsidRDefault="008F1833" w:rsidP="008F1833">
      <w:pPr>
        <w:pStyle w:val="NoSpacing"/>
        <w:rPr>
          <w:bCs/>
        </w:rPr>
      </w:pPr>
      <w:r w:rsidRPr="001D2253">
        <w:t xml:space="preserve">On February 6, 2026, in </w:t>
      </w:r>
      <w:r w:rsidRPr="001D2253">
        <w:rPr>
          <w:u w:val="single"/>
        </w:rPr>
        <w:t>Nathaniel Griffin v. City of South Pasadena and The St. Petersburg International Association of Fire Fighters, Local 747</w:t>
      </w:r>
      <w:r w:rsidRPr="001D2253">
        <w:t xml:space="preserve">, </w:t>
      </w:r>
      <w:r>
        <w:t xml:space="preserve">U.S. District Court Judge William F. Jung, </w:t>
      </w:r>
      <w:r w:rsidRPr="00FF0E3F">
        <w:t>United States District Court for the Middle District of Florida, Tampa Division</w:t>
      </w:r>
      <w:r>
        <w:t xml:space="preserve">, dismissed the lawsuit against both the </w:t>
      </w:r>
      <w:proofErr w:type="gramStart"/>
      <w:r>
        <w:t>City</w:t>
      </w:r>
      <w:proofErr w:type="gramEnd"/>
      <w:r>
        <w:t xml:space="preserve"> and the Local.  Firefighter, paramedic Griffin, on </w:t>
      </w:r>
      <w:r w:rsidRPr="00F470E1">
        <w:t xml:space="preserve">August 12, </w:t>
      </w:r>
      <w:proofErr w:type="gramStart"/>
      <w:r w:rsidRPr="00F470E1">
        <w:t>2022</w:t>
      </w:r>
      <w:proofErr w:type="gramEnd"/>
      <w:r w:rsidRPr="00F470E1">
        <w:t xml:space="preserve"> underwent his annual physical examination at Life Scan Wellness Center</w:t>
      </w:r>
      <w:r>
        <w:t xml:space="preserve">; he </w:t>
      </w:r>
      <w:r w:rsidRPr="00F470E1">
        <w:t>completed most of the medical examination without issue, except for the TB test</w:t>
      </w:r>
      <w:r>
        <w:t xml:space="preserve">, when asked </w:t>
      </w:r>
      <w:r w:rsidRPr="00F470E1">
        <w:t>the Life Scan technician to skip the TB test but fraudulently report that a test had been done.</w:t>
      </w:r>
      <w:r>
        <w:t xml:space="preserve">  The Fire Chief gave the plaintiff an opportunity to </w:t>
      </w:r>
      <w:proofErr w:type="gramStart"/>
      <w:r>
        <w:t>resigned</w:t>
      </w:r>
      <w:proofErr w:type="gramEnd"/>
      <w:r>
        <w:t xml:space="preserve">; he refused and was fired on September 13, 2022. </w:t>
      </w:r>
      <w:hyperlink r:id="rId2425" w:history="1">
        <w:r w:rsidRPr="00C72C21">
          <w:rPr>
            <w:rStyle w:val="Hyperlink"/>
          </w:rPr>
          <w:t>https://cases.justia.com/federal/district-courts/florida/flmdce/8:2025cv02787/448658/35/0.pdf</w:t>
        </w:r>
      </w:hyperlink>
      <w:r>
        <w:t xml:space="preserve"> </w:t>
      </w:r>
    </w:p>
    <w:p w14:paraId="550CD85C" w14:textId="77777777" w:rsidR="008F1833" w:rsidRDefault="008F1833" w:rsidP="008F1833">
      <w:pPr>
        <w:pStyle w:val="NoSpacing"/>
        <w:rPr>
          <w:bCs/>
        </w:rPr>
      </w:pPr>
    </w:p>
    <w:p w14:paraId="68D5181D" w14:textId="77777777" w:rsidR="008F1833" w:rsidRDefault="008F1833" w:rsidP="008F1833">
      <w:pPr>
        <w:pStyle w:val="NoSpacing"/>
      </w:pPr>
      <w:r>
        <w:t>THE COURT HELD: “</w:t>
      </w:r>
      <w:r w:rsidRPr="005C306F">
        <w:t>When evaluating the results of the physical examination, the CBA requires the physician to follow the national guidelines set forth in the National Fire Protection Association (</w:t>
      </w:r>
      <w:r>
        <w:t>‘</w:t>
      </w:r>
      <w:r w:rsidRPr="005C306F">
        <w:t>NFPA</w:t>
      </w:r>
      <w:r>
        <w:t>’</w:t>
      </w:r>
      <w:r w:rsidRPr="005C306F">
        <w:t>) 1582, Chapter 9</w:t>
      </w:r>
      <w:r>
        <w:t xml:space="preserve">…. </w:t>
      </w:r>
      <w:r w:rsidRPr="005C306F">
        <w:t xml:space="preserve"> As relevant to this lawsuit, the annual physical examination includes tuberculosis (</w:t>
      </w:r>
      <w:r>
        <w:t>‘</w:t>
      </w:r>
      <w:r w:rsidRPr="005C306F">
        <w:t>TB</w:t>
      </w:r>
      <w:r>
        <w:t>’</w:t>
      </w:r>
      <w:r w:rsidRPr="005C306F">
        <w:t>) testing, which may require an additional chest X-ray if the TB test comes back positive</w:t>
      </w:r>
      <w:r>
        <w:t xml:space="preserve">…. </w:t>
      </w:r>
      <w:r w:rsidRPr="005C306F">
        <w:t xml:space="preserve">Plaintiff alleges that at some unspecified point during the CBA negotiations, he objected to the CBA agreement due </w:t>
      </w:r>
      <w:r>
        <w:t>‘</w:t>
      </w:r>
      <w:r w:rsidRPr="005C306F">
        <w:t>to the breath [sic] and intrusive nature of the mandatory medical examinations.</w:t>
      </w:r>
      <w:r>
        <w:t xml:space="preserve">’ … </w:t>
      </w:r>
      <w:r w:rsidRPr="005C306F">
        <w:t xml:space="preserve">Plaintiff further alleges that he continually voiced his objection to the CBA, even after the agreement was adopted on August 28, 2019. </w:t>
      </w:r>
      <w:r>
        <w:t xml:space="preserve">***  </w:t>
      </w:r>
      <w:r w:rsidRPr="00901B14">
        <w:t>Based on a careful review of the pleadings, the Court grants the City's motion to dismiss. As discussed below, Plaintiff has failed to state a claim under the ADA, GINA, Title VII, and Section 1983</w:t>
      </w:r>
      <w:r>
        <w:t xml:space="preserve">…. </w:t>
      </w:r>
      <w:r w:rsidRPr="003E7359">
        <w:t xml:space="preserve">Here, even when accepting the meager factual allegations as true, Plaintiff fails to allege any Fourth Amendment violation since the Complaint fails to allege that any private interests outweigh the City's interest in public safety. The Complaint vaguely asserts that the August 2022 physical examination violated </w:t>
      </w:r>
      <w:r>
        <w:t>‘</w:t>
      </w:r>
      <w:r w:rsidRPr="003E7359">
        <w:t xml:space="preserve">Plaintiff's personal privacy </w:t>
      </w:r>
      <w:proofErr w:type="gramStart"/>
      <w:r w:rsidRPr="003E7359">
        <w:t>rights</w:t>
      </w:r>
      <w:r>
        <w:t>’</w:t>
      </w:r>
      <w:proofErr w:type="gramEnd"/>
      <w:r w:rsidRPr="003E7359">
        <w:t xml:space="preserve"> due to the exam's </w:t>
      </w:r>
      <w:r>
        <w:t>‘</w:t>
      </w:r>
      <w:r w:rsidRPr="003E7359">
        <w:t>breadth and intrusive nature.</w:t>
      </w:r>
      <w:r>
        <w:t xml:space="preserve">’ … </w:t>
      </w:r>
      <w:r w:rsidRPr="003E7359">
        <w:t xml:space="preserve">But Plaintiff never specifies what aspect of the physical examination was so </w:t>
      </w:r>
      <w:r>
        <w:t>‘</w:t>
      </w:r>
      <w:proofErr w:type="spellStart"/>
      <w:r w:rsidRPr="003E7359">
        <w:t>intrusiv</w:t>
      </w:r>
      <w:proofErr w:type="spellEnd"/>
      <w:r>
        <w:t>’</w:t>
      </w:r>
      <w:r w:rsidRPr="003E7359">
        <w:t xml:space="preserve"> and overbroad that it violated Plaintiff's diminished expectation of privacy due to his job as a firefighter and paramedic. </w:t>
      </w:r>
      <w:r w:rsidRPr="003E7359">
        <w:rPr>
          <w:i/>
          <w:iCs/>
        </w:rPr>
        <w:t xml:space="preserve">See </w:t>
      </w:r>
      <w:proofErr w:type="spellStart"/>
      <w:r w:rsidRPr="003E7359">
        <w:rPr>
          <w:i/>
          <w:iCs/>
        </w:rPr>
        <w:t>Nat'l</w:t>
      </w:r>
      <w:proofErr w:type="spellEnd"/>
      <w:r w:rsidRPr="003E7359">
        <w:rPr>
          <w:i/>
          <w:iCs/>
        </w:rPr>
        <w:t xml:space="preserve"> Treasury Emps. Union v. Von Raab</w:t>
      </w:r>
      <w:r w:rsidRPr="003E7359">
        <w:t>, 489 U.S. 656, 671 (1989) (</w:t>
      </w:r>
      <w:r>
        <w:t>‘</w:t>
      </w:r>
      <w:r w:rsidRPr="003E7359">
        <w:t>[I]t is plain that certain forms of public employment may diminish privacy expectations even with respect to . . . personal searches.</w:t>
      </w:r>
      <w:r>
        <w:t>’</w:t>
      </w:r>
      <w:r w:rsidRPr="003E7359">
        <w:t xml:space="preserve">); </w:t>
      </w:r>
      <w:r w:rsidRPr="003E7359">
        <w:rPr>
          <w:i/>
          <w:iCs/>
        </w:rPr>
        <w:t>Scott</w:t>
      </w:r>
      <w:r w:rsidRPr="003E7359">
        <w:t>, 717 F.3d at 869 (</w:t>
      </w:r>
      <w:r>
        <w:t>‘</w:t>
      </w:r>
      <w:r w:rsidRPr="003E7359">
        <w:t xml:space="preserve">Another category-a natural extension of the Supreme Court's holding in </w:t>
      </w:r>
      <w:r w:rsidRPr="003E7359">
        <w:rPr>
          <w:i/>
          <w:iCs/>
        </w:rPr>
        <w:t>Von Raab</w:t>
      </w:r>
      <w:r w:rsidRPr="003E7359">
        <w:t>-encompasses . . . firefighters.</w:t>
      </w:r>
      <w:r>
        <w:t>’</w:t>
      </w:r>
      <w:r w:rsidRPr="003E7359">
        <w:t xml:space="preserve">); </w:t>
      </w:r>
      <w:r w:rsidRPr="003E7359">
        <w:rPr>
          <w:i/>
          <w:iCs/>
        </w:rPr>
        <w:t>Williams v. Bd. of Regents of Univ. Sys. of Georgia</w:t>
      </w:r>
      <w:r w:rsidRPr="003E7359">
        <w:t>, No. CV 120-100, 2021 WL 2827293, at *7 (S.D. Ga. July 7, 2021) (dismissing the plaintiff's Fourth Amendment search and seizure claim, as her employer's drug test fell under the special needs exception).</w:t>
      </w:r>
      <w:r>
        <w:t xml:space="preserve"> ***  Local 747’s motion seeks dismissal of the single ADA discrimination claim</w:t>
      </w:r>
    </w:p>
    <w:p w14:paraId="520AF071" w14:textId="77777777" w:rsidR="008F1833" w:rsidRDefault="008F1833" w:rsidP="008F1833">
      <w:pPr>
        <w:pStyle w:val="NoSpacing"/>
      </w:pPr>
      <w:r>
        <w:t xml:space="preserve">in Count IX. Local 747 asserts that the ADA claim is time-barred since Plaintiff ‘failed to file a charge against the Local challenging the medical exam requirement at issue within 300 days after Local 747 entered into the CBA on August 28, 2019.’ … Plaintiff’s discrimination charge must have been filed with the FCHR or the EEOC within 300 days—i.e., by June 23, 2020.” </w:t>
      </w:r>
    </w:p>
    <w:p w14:paraId="08B70C13" w14:textId="77777777" w:rsidR="008F1833" w:rsidRDefault="008F1833" w:rsidP="008F1833">
      <w:pPr>
        <w:pStyle w:val="NoSpacing"/>
      </w:pPr>
    </w:p>
    <w:p w14:paraId="7156F364" w14:textId="77777777" w:rsidR="008F1833" w:rsidRDefault="008F1833" w:rsidP="008F1833">
      <w:pPr>
        <w:pStyle w:val="NoSpacing"/>
        <w:rPr>
          <w:b/>
          <w:bCs/>
        </w:rPr>
      </w:pPr>
      <w:r w:rsidRPr="00C65E3A">
        <w:rPr>
          <w:b/>
        </w:rPr>
        <w:t xml:space="preserve">Legal lesson learned: </w:t>
      </w:r>
      <w:r>
        <w:rPr>
          <w:b/>
        </w:rPr>
        <w:t xml:space="preserve">Very unusual to have a firefighter complain about annual physical. </w:t>
      </w:r>
    </w:p>
    <w:p w14:paraId="2FC42FE7" w14:textId="77777777" w:rsidR="008F1833" w:rsidRDefault="008F1833" w:rsidP="008F1833">
      <w:pPr>
        <w:pStyle w:val="NoSpacing"/>
        <w:rPr>
          <w:b/>
          <w:bCs/>
        </w:rPr>
      </w:pPr>
      <w:r>
        <w:rPr>
          <w:b/>
        </w:rPr>
        <w:tab/>
      </w:r>
      <w:r w:rsidRPr="00EA4E78">
        <w:t>Note: In Footnote 7, the Court wrote</w:t>
      </w:r>
      <w:r>
        <w:rPr>
          <w:b/>
        </w:rPr>
        <w:t xml:space="preserve">: </w:t>
      </w:r>
    </w:p>
    <w:p w14:paraId="146E6C0A" w14:textId="77777777" w:rsidR="008F1833" w:rsidRDefault="008F1833" w:rsidP="008F1833">
      <w:pPr>
        <w:pStyle w:val="NoSpacing"/>
        <w:ind w:left="720"/>
      </w:pPr>
      <w:r>
        <w:rPr>
          <w:b/>
        </w:rPr>
        <w:lastRenderedPageBreak/>
        <w:t>“</w:t>
      </w:r>
      <w:r w:rsidRPr="00975937">
        <w:t xml:space="preserve">Firefighters reside in close quarters. They must be strong and hale. They must be able to provide emergency lifesaving techniques in difficult circumstances to people of varying health. </w:t>
      </w:r>
      <w:r w:rsidRPr="00975937">
        <w:rPr>
          <w:i/>
          <w:iCs/>
        </w:rPr>
        <w:t>See Cremeens v. City of Montgomery, Ala.</w:t>
      </w:r>
      <w:r w:rsidRPr="00975937">
        <w:t xml:space="preserve">, 427 </w:t>
      </w:r>
      <w:proofErr w:type="spellStart"/>
      <w:r w:rsidRPr="00975937">
        <w:t>Fed.Appx</w:t>
      </w:r>
      <w:proofErr w:type="spellEnd"/>
      <w:r w:rsidRPr="00975937">
        <w:t>. 855, 858 (11th Cir. 2011) (</w:t>
      </w:r>
      <w:r>
        <w:t>‘</w:t>
      </w:r>
      <w:r w:rsidRPr="00975937">
        <w:t>The physical fitness requirements are directly related to a Fire Investigator's duty to fight fires, and they are necessary to ensure that Fire Investigators are able to perform that function when called upon to do so.).</w:t>
      </w:r>
      <w:r>
        <w:t>”</w:t>
      </w:r>
    </w:p>
    <w:p w14:paraId="6B337B2B" w14:textId="77777777" w:rsidR="008F1833" w:rsidRPr="003E7359" w:rsidRDefault="008F1833" w:rsidP="008F1833">
      <w:pPr>
        <w:pStyle w:val="NoSpacing"/>
        <w:rPr>
          <w:b/>
          <w:bCs/>
        </w:rPr>
      </w:pPr>
    </w:p>
    <w:p w14:paraId="5CA43F86" w14:textId="77777777" w:rsidR="008F1833" w:rsidRDefault="008F1833" w:rsidP="002F7727">
      <w:pPr>
        <w:pStyle w:val="NoSpacing"/>
        <w:rPr>
          <w:rFonts w:ascii="Arial Black" w:hAnsi="Arial Black"/>
          <w:b/>
          <w:sz w:val="24"/>
          <w:szCs w:val="24"/>
        </w:rPr>
      </w:pPr>
    </w:p>
    <w:p w14:paraId="7C861934" w14:textId="77777777" w:rsidR="008F1833" w:rsidRDefault="008F1833" w:rsidP="002F7727">
      <w:pPr>
        <w:pStyle w:val="NoSpacing"/>
        <w:rPr>
          <w:rFonts w:ascii="Arial Black" w:hAnsi="Arial Black"/>
          <w:b/>
          <w:sz w:val="24"/>
          <w:szCs w:val="24"/>
        </w:rPr>
      </w:pPr>
    </w:p>
    <w:p w14:paraId="73FA9069" w14:textId="77777777" w:rsidR="008F1833" w:rsidRDefault="008F1833" w:rsidP="002F7727">
      <w:pPr>
        <w:pStyle w:val="NoSpacing"/>
        <w:rPr>
          <w:rFonts w:ascii="Arial Black" w:hAnsi="Arial Black"/>
          <w:b/>
          <w:sz w:val="24"/>
          <w:szCs w:val="24"/>
        </w:rPr>
      </w:pPr>
    </w:p>
    <w:p w14:paraId="4E085C1C" w14:textId="3F81DCA6" w:rsidR="00E775DC" w:rsidRDefault="00D03249" w:rsidP="002F7727">
      <w:pPr>
        <w:pStyle w:val="NoSpacing"/>
        <w:rPr>
          <w:rFonts w:ascii="Arial Black" w:hAnsi="Arial Black"/>
          <w:b/>
          <w:sz w:val="24"/>
          <w:szCs w:val="24"/>
        </w:rPr>
      </w:pPr>
      <w:r>
        <w:rPr>
          <w:rFonts w:ascii="Arial Black" w:hAnsi="Arial Black"/>
          <w:b/>
          <w:sz w:val="24"/>
          <w:szCs w:val="24"/>
        </w:rPr>
        <w:t>16-147</w:t>
      </w:r>
    </w:p>
    <w:p w14:paraId="13A2D7BC" w14:textId="77777777" w:rsidR="00D03249" w:rsidRDefault="00D03249" w:rsidP="002F7727">
      <w:pPr>
        <w:pStyle w:val="NoSpacing"/>
        <w:rPr>
          <w:rFonts w:ascii="Arial Black" w:hAnsi="Arial Black"/>
          <w:b/>
          <w:sz w:val="24"/>
          <w:szCs w:val="24"/>
        </w:rPr>
      </w:pPr>
    </w:p>
    <w:p w14:paraId="3215AEE9" w14:textId="7C81C2E3" w:rsidR="00C01200" w:rsidRDefault="00C01200" w:rsidP="00C01200">
      <w:r>
        <w:rPr>
          <w:rFonts w:ascii="Arial Black" w:hAnsi="Arial Black"/>
          <w:b/>
          <w:sz w:val="28"/>
          <w:szCs w:val="28"/>
        </w:rPr>
        <w:t xml:space="preserve">IL: CPT / FFs WORE TRUMP MASKS STATION – </w:t>
      </w:r>
      <w:r w:rsidR="006648D0">
        <w:rPr>
          <w:rFonts w:ascii="Arial Black" w:hAnsi="Arial Black"/>
          <w:b/>
          <w:sz w:val="28"/>
          <w:szCs w:val="28"/>
        </w:rPr>
        <w:t xml:space="preserve">CASE </w:t>
      </w:r>
      <w:r>
        <w:rPr>
          <w:rFonts w:ascii="Arial Black" w:hAnsi="Arial Black"/>
          <w:b/>
          <w:sz w:val="28"/>
          <w:szCs w:val="28"/>
        </w:rPr>
        <w:t>PROCEED</w:t>
      </w:r>
    </w:p>
    <w:p w14:paraId="04E3E00A" w14:textId="77777777" w:rsidR="00C01200" w:rsidRDefault="00C01200" w:rsidP="00C01200">
      <w:pPr>
        <w:pStyle w:val="NoSpacing"/>
      </w:pPr>
      <w:r>
        <w:t xml:space="preserve">On January 27, 2026, in </w:t>
      </w:r>
      <w:r w:rsidRPr="00F55727">
        <w:rPr>
          <w:u w:val="single"/>
        </w:rPr>
        <w:t>Curt Koopman v. City of Evanston, et al</w:t>
      </w:r>
      <w:r>
        <w:t xml:space="preserve">., U.S. District Court Judge </w:t>
      </w:r>
      <w:r w:rsidRPr="00F55727">
        <w:t>Joan B. Gottschall</w:t>
      </w:r>
      <w:r>
        <w:t xml:space="preserve">, United States District Court for Northern District of Illinois, Eastern Division, denied the City’s motion to dismiss. The </w:t>
      </w:r>
      <w:proofErr w:type="gramStart"/>
      <w:r>
        <w:t>Captain</w:t>
      </w:r>
      <w:proofErr w:type="gramEnd"/>
      <w:r>
        <w:t xml:space="preserve"> and other members of his crew briefly wore Trump masks while watch the inauguration on TV, and a photo was taken.  During the disciplinary interrogation, the </w:t>
      </w:r>
      <w:proofErr w:type="gramStart"/>
      <w:r>
        <w:t>Captain</w:t>
      </w:r>
      <w:proofErr w:type="gramEnd"/>
      <w:r>
        <w:t xml:space="preserve"> was asked “whether he supported Donald Trump during the recent presidential election.”</w:t>
      </w:r>
      <w:r w:rsidRPr="008367D7">
        <w:t xml:space="preserve"> </w:t>
      </w:r>
      <w:hyperlink r:id="rId2426" w:history="1">
        <w:r w:rsidRPr="00560ED8">
          <w:rPr>
            <w:rStyle w:val="Hyperlink"/>
          </w:rPr>
          <w:t>https://cases.justia.com/federal/district-courts/illinois/ilndce/1:2025cv10892/485962/24/0.pdf?ts=1769597667</w:t>
        </w:r>
      </w:hyperlink>
      <w:r>
        <w:t xml:space="preserve"> </w:t>
      </w:r>
    </w:p>
    <w:p w14:paraId="3516865F" w14:textId="77777777" w:rsidR="00C01200" w:rsidRDefault="00C01200" w:rsidP="00C01200">
      <w:pPr>
        <w:pStyle w:val="NoSpacing"/>
      </w:pPr>
    </w:p>
    <w:p w14:paraId="3C2DC0D4" w14:textId="77777777" w:rsidR="00C01200" w:rsidRDefault="00C01200" w:rsidP="00C01200">
      <w:pPr>
        <w:pStyle w:val="NoSpacing"/>
      </w:pPr>
      <w:r>
        <w:t xml:space="preserve">THE COURT HELD: </w:t>
      </w:r>
    </w:p>
    <w:p w14:paraId="424B6872" w14:textId="77777777" w:rsidR="00C01200" w:rsidRDefault="00C01200" w:rsidP="00C01200">
      <w:pPr>
        <w:pStyle w:val="NoSpacing"/>
      </w:pPr>
    </w:p>
    <w:p w14:paraId="61F2B8AD" w14:textId="77777777" w:rsidR="00C01200" w:rsidRDefault="00C01200" w:rsidP="00C01200">
      <w:pPr>
        <w:pStyle w:val="NoSpacing"/>
        <w:ind w:left="720"/>
      </w:pPr>
      <w:r>
        <w:t>“Koopman’s complaint alleges that on ‘January 20, 2025, Plaintiff and multiple other members of the Evanston Fire Department briefly donned Donald Trump masks</w:t>
      </w:r>
    </w:p>
    <w:p w14:paraId="37A3A7D4" w14:textId="77777777" w:rsidR="00C01200" w:rsidRDefault="00C01200" w:rsidP="00C01200">
      <w:pPr>
        <w:pStyle w:val="NoSpacing"/>
        <w:ind w:firstLine="720"/>
      </w:pPr>
      <w:r>
        <w:t>while watching the presidential inauguration on television.’ …Further, plaintiff</w:t>
      </w:r>
    </w:p>
    <w:p w14:paraId="1C6A47D6" w14:textId="77777777" w:rsidR="00C01200" w:rsidRDefault="00C01200" w:rsidP="00C01200">
      <w:pPr>
        <w:pStyle w:val="NoSpacing"/>
        <w:ind w:left="720"/>
      </w:pPr>
      <w:r>
        <w:t xml:space="preserve">alleges, ‘[a]t some point thereafter, someone posted an image of Plaintiff and several other members of the Evanston Fire Department wearing Donald Trump masks on an internet site.’… ‘When wearing the mask,’ plaintiff alleges, he ‘did not make any political statement, or express any political views.’… </w:t>
      </w:r>
    </w:p>
    <w:p w14:paraId="34528BB9" w14:textId="77777777" w:rsidR="00C01200" w:rsidRDefault="00C01200" w:rsidP="00C01200">
      <w:pPr>
        <w:pStyle w:val="NoSpacing"/>
        <w:ind w:left="720"/>
      </w:pPr>
    </w:p>
    <w:p w14:paraId="5DC70DC6" w14:textId="77777777" w:rsidR="00C01200" w:rsidRDefault="00C01200" w:rsidP="00C01200">
      <w:pPr>
        <w:pStyle w:val="NoSpacing"/>
        <w:ind w:left="720"/>
      </w:pPr>
      <w:r>
        <w:t>‘On or about January 23, 2025, Plaintiff received written notification that he was being subjected to a disciplinary investigation,’ which required his attendance at a ‘disciplinary</w:t>
      </w:r>
    </w:p>
    <w:p w14:paraId="38684F67" w14:textId="77777777" w:rsidR="00C01200" w:rsidRDefault="00C01200" w:rsidP="00C01200">
      <w:pPr>
        <w:pStyle w:val="NoSpacing"/>
        <w:ind w:left="720"/>
      </w:pPr>
      <w:r>
        <w:t xml:space="preserve">interrogation.’… Plaintiff alleges that during the interrogation, ‘Defendant [Fire Chief Paul] </w:t>
      </w:r>
      <w:proofErr w:type="spellStart"/>
      <w:r>
        <w:t>Polep</w:t>
      </w:r>
      <w:proofErr w:type="spellEnd"/>
      <w:r>
        <w:t xml:space="preserve"> ordered Plaintiff to answer all questions,’ including ‘whether he supported Donald Trump during the recent presidential election.’… After being ‘required to reveal that he was a supporter of Donald Trump,’ plaintiff ‘was subjected to a seven (7) shift suspension by Defendant </w:t>
      </w:r>
      <w:proofErr w:type="spellStart"/>
      <w:r>
        <w:t>Polep</w:t>
      </w:r>
      <w:proofErr w:type="spellEnd"/>
      <w:r>
        <w:t xml:space="preserve">.’ …The suspension, plaintiff alleges, ‘was motivated by a desire to punish Plaintiff for his political support of a presidential candidate [who] was unpopular in the City of Evanston.’ … Koopman lost wages </w:t>
      </w:r>
      <w:proofErr w:type="gramStart"/>
      <w:r>
        <w:t>as a result of</w:t>
      </w:r>
      <w:proofErr w:type="gramEnd"/>
      <w:r>
        <w:t xml:space="preserve"> the suspension.</w:t>
      </w:r>
    </w:p>
    <w:p w14:paraId="14BB0088" w14:textId="77777777" w:rsidR="00C01200" w:rsidRDefault="00C01200" w:rsidP="00C01200">
      <w:pPr>
        <w:pStyle w:val="NoSpacing"/>
        <w:ind w:left="720"/>
      </w:pPr>
    </w:p>
    <w:p w14:paraId="65101A46" w14:textId="77777777" w:rsidR="00C01200" w:rsidRDefault="00C01200" w:rsidP="00C01200">
      <w:pPr>
        <w:pStyle w:val="NoSpacing"/>
        <w:ind w:left="720"/>
      </w:pPr>
      <w:r>
        <w:t>***</w:t>
      </w:r>
    </w:p>
    <w:p w14:paraId="35CCEA76" w14:textId="77777777" w:rsidR="00C01200" w:rsidRDefault="00C01200" w:rsidP="00C01200">
      <w:pPr>
        <w:pStyle w:val="NoSpacing"/>
        <w:ind w:firstLine="720"/>
      </w:pPr>
      <w:r>
        <w:t>The court need not decide whether the complaint’s allegation of the reason for plaintiff’s</w:t>
      </w:r>
    </w:p>
    <w:p w14:paraId="114B9473" w14:textId="77777777" w:rsidR="00C01200" w:rsidRDefault="00C01200" w:rsidP="00C01200">
      <w:pPr>
        <w:pStyle w:val="NoSpacing"/>
        <w:ind w:firstLine="720"/>
      </w:pPr>
      <w:r>
        <w:t>discipline, standing alone, would be considered plausible because the transcript of the</w:t>
      </w:r>
    </w:p>
    <w:p w14:paraId="1B8AC29E" w14:textId="77777777" w:rsidR="00C01200" w:rsidRDefault="00C01200" w:rsidP="00C01200">
      <w:pPr>
        <w:pStyle w:val="NoSpacing"/>
        <w:ind w:left="720"/>
      </w:pPr>
      <w:proofErr w:type="gramStart"/>
      <w:r>
        <w:t>disciplinary</w:t>
      </w:r>
      <w:proofErr w:type="gramEnd"/>
      <w:r>
        <w:t xml:space="preserve"> interrogation offered by defendants provides evidence that plaintiff’s political affiliation was explicitly considered before he was disciplined. Plaintiff’s “support” of Donald Trump, which as far as the complaint alleges was limited to his personal beliefs and his vote, is constitutionally protected…. Because plaintiff has alleged a plausible First Amendment retaliation claim, the motion to dismiss for failure to allege that the plaintiff engaged in conduct protected by the First Amendment is denied.</w:t>
      </w:r>
    </w:p>
    <w:p w14:paraId="3558DBC6" w14:textId="77777777" w:rsidR="00C01200" w:rsidRDefault="00C01200" w:rsidP="00C01200">
      <w:pPr>
        <w:pStyle w:val="NoSpacing"/>
        <w:ind w:left="720"/>
      </w:pPr>
    </w:p>
    <w:p w14:paraId="2CF4137F" w14:textId="77777777" w:rsidR="00C01200" w:rsidRDefault="00C01200" w:rsidP="00C01200">
      <w:pPr>
        <w:pStyle w:val="NoSpacing"/>
        <w:ind w:left="720"/>
      </w:pPr>
      <w:r>
        <w:t>***</w:t>
      </w:r>
    </w:p>
    <w:p w14:paraId="2A9CBD70" w14:textId="77777777" w:rsidR="00C01200" w:rsidRDefault="00C01200" w:rsidP="00C01200">
      <w:pPr>
        <w:pStyle w:val="NoSpacing"/>
        <w:ind w:firstLine="720"/>
      </w:pPr>
      <w:r>
        <w:t>With a few exceptions like the need for governmental efficiency or effectiveness (which</w:t>
      </w:r>
    </w:p>
    <w:p w14:paraId="5A1C4468" w14:textId="77777777" w:rsidR="00C01200" w:rsidRDefault="00C01200" w:rsidP="00C01200">
      <w:pPr>
        <w:pStyle w:val="NoSpacing"/>
        <w:ind w:left="720"/>
      </w:pPr>
      <w:r>
        <w:lastRenderedPageBreak/>
        <w:t>would not appear to apply to plaintiff’s actions in the privacy of his conscience or the sanctity of the voting booth), a government employer may not discipline an employee because the employee supports a particular political candidate. See Heffernan v. City of Paterson, 578 U.S. 266, 270 (2016).”</w:t>
      </w:r>
    </w:p>
    <w:p w14:paraId="09793801" w14:textId="77777777" w:rsidR="00C01200" w:rsidRDefault="00C01200" w:rsidP="00C01200">
      <w:pPr>
        <w:pStyle w:val="NoSpacing"/>
        <w:ind w:left="720"/>
      </w:pPr>
    </w:p>
    <w:p w14:paraId="0A663943" w14:textId="77777777" w:rsidR="00C01200" w:rsidRDefault="00C01200" w:rsidP="00C01200">
      <w:pPr>
        <w:pStyle w:val="NoSpacing"/>
        <w:rPr>
          <w:b/>
          <w:bCs/>
        </w:rPr>
      </w:pPr>
      <w:r>
        <w:rPr>
          <w:b/>
        </w:rPr>
        <w:t xml:space="preserve">Legal lesson learned: Captain’s conduct was </w:t>
      </w:r>
      <w:proofErr w:type="gramStart"/>
      <w:r>
        <w:rPr>
          <w:b/>
        </w:rPr>
        <w:t>stupid, but</w:t>
      </w:r>
      <w:proofErr w:type="gramEnd"/>
      <w:r>
        <w:rPr>
          <w:b/>
        </w:rPr>
        <w:t xml:space="preserve"> avoid asking employees about their political views in the disciplinary process.  </w:t>
      </w:r>
    </w:p>
    <w:p w14:paraId="0EAF69FA" w14:textId="77777777" w:rsidR="00C01200" w:rsidRDefault="00C01200" w:rsidP="00C01200">
      <w:pPr>
        <w:pStyle w:val="NoSpacing"/>
        <w:rPr>
          <w:b/>
          <w:bCs/>
        </w:rPr>
      </w:pPr>
    </w:p>
    <w:p w14:paraId="7A815CDB" w14:textId="77777777" w:rsidR="00C01200" w:rsidRDefault="00C01200" w:rsidP="00C01200">
      <w:pPr>
        <w:pStyle w:val="NoSpacing"/>
        <w:ind w:left="720"/>
      </w:pPr>
      <w:r w:rsidRPr="00FF0890">
        <w:t>Note:</w:t>
      </w:r>
      <w:r>
        <w:t xml:space="preserve"> The U.S. Supreme Court in </w:t>
      </w:r>
      <w:r w:rsidRPr="00FF0890">
        <w:t>Heffernan v. City of Paterson, 578 U.S. 266, 270 (2016)</w:t>
      </w:r>
      <w:r>
        <w:t xml:space="preserve"> held:</w:t>
      </w:r>
    </w:p>
    <w:p w14:paraId="4FD430DF" w14:textId="77777777" w:rsidR="00C01200" w:rsidRPr="00FF0890" w:rsidRDefault="00C01200" w:rsidP="00C01200">
      <w:pPr>
        <w:pStyle w:val="NoSpacing"/>
        <w:ind w:left="720"/>
      </w:pPr>
      <w:r>
        <w:t>“</w:t>
      </w:r>
      <w:r w:rsidRPr="00E21DE5">
        <w:t xml:space="preserve">In this case a government official </w:t>
      </w:r>
      <w:r>
        <w:t xml:space="preserve">[police chief] </w:t>
      </w:r>
      <w:r w:rsidRPr="00E21DE5">
        <w:t>demoted an employee</w:t>
      </w:r>
      <w:r>
        <w:t xml:space="preserve"> [detective demoted to patrol officer]</w:t>
      </w:r>
      <w:r w:rsidRPr="00E21DE5">
        <w:t xml:space="preserve"> because the official believed, but </w:t>
      </w:r>
      <w:r w:rsidRPr="00E21DE5">
        <w:rPr>
          <w:i/>
          <w:iCs/>
        </w:rPr>
        <w:t>incorrectly</w:t>
      </w:r>
      <w:r w:rsidRPr="00E21DE5">
        <w:t xml:space="preserve"> believed, that the employee had supported a particular candidate for mayor. The question is whether the official’s factual mistake makes a critical legal difference. Even though the employee had not in fact engaged in protected political activity, did his demotion </w:t>
      </w:r>
      <w:r>
        <w:t>‘</w:t>
      </w:r>
      <w:r w:rsidRPr="00E21DE5">
        <w:t>deprive</w:t>
      </w:r>
      <w:r>
        <w:t>’</w:t>
      </w:r>
      <w:r w:rsidRPr="00E21DE5">
        <w:t xml:space="preserve"> him of a </w:t>
      </w:r>
      <w:r>
        <w:t>‘</w:t>
      </w:r>
      <w:r w:rsidRPr="00E21DE5">
        <w:t>right . . . secured by the Constitution</w:t>
      </w:r>
      <w:r>
        <w:t>’</w:t>
      </w:r>
      <w:r w:rsidRPr="00E21DE5">
        <w:t>? 42 U. S. C. §1983. We hold that it did.</w:t>
      </w:r>
      <w:r>
        <w:t xml:space="preserve">” </w:t>
      </w:r>
      <w:hyperlink r:id="rId2427" w:history="1">
        <w:r w:rsidRPr="00560ED8">
          <w:rPr>
            <w:rStyle w:val="Hyperlink"/>
          </w:rPr>
          <w:t>https://supreme.justia.com/cases/federal/us/578/14-1280/</w:t>
        </w:r>
      </w:hyperlink>
      <w:r>
        <w:t xml:space="preserve"> </w:t>
      </w:r>
    </w:p>
    <w:p w14:paraId="1A63C9D5" w14:textId="77777777" w:rsidR="00C01200" w:rsidRDefault="00C01200" w:rsidP="00C01200">
      <w:pPr>
        <w:pStyle w:val="NoSpacing"/>
      </w:pPr>
    </w:p>
    <w:p w14:paraId="0142BCA9" w14:textId="77777777" w:rsidR="00C01200" w:rsidRDefault="00C01200" w:rsidP="00C01200">
      <w:pPr>
        <w:rPr>
          <w:b/>
        </w:rPr>
      </w:pPr>
    </w:p>
    <w:p w14:paraId="423CD073" w14:textId="77777777" w:rsidR="00C01200" w:rsidRDefault="00C01200" w:rsidP="002F7727">
      <w:pPr>
        <w:pStyle w:val="NoSpacing"/>
        <w:rPr>
          <w:rFonts w:ascii="Arial Black" w:hAnsi="Arial Black"/>
          <w:b/>
          <w:sz w:val="24"/>
          <w:szCs w:val="24"/>
        </w:rPr>
      </w:pPr>
    </w:p>
    <w:p w14:paraId="507A821A" w14:textId="77777777" w:rsidR="00D03249" w:rsidRDefault="00D03249" w:rsidP="002F7727">
      <w:pPr>
        <w:pStyle w:val="NoSpacing"/>
        <w:rPr>
          <w:rFonts w:ascii="Arial Black" w:hAnsi="Arial Black"/>
          <w:b/>
          <w:sz w:val="24"/>
          <w:szCs w:val="24"/>
        </w:rPr>
      </w:pPr>
    </w:p>
    <w:p w14:paraId="0C46DBFB" w14:textId="77777777" w:rsidR="00D03249" w:rsidRDefault="00D03249" w:rsidP="002F7727">
      <w:pPr>
        <w:pStyle w:val="NoSpacing"/>
        <w:rPr>
          <w:rFonts w:ascii="Arial Black" w:hAnsi="Arial Black"/>
          <w:b/>
          <w:sz w:val="24"/>
          <w:szCs w:val="24"/>
        </w:rPr>
      </w:pPr>
    </w:p>
    <w:p w14:paraId="6FBB0CE9" w14:textId="06DDF684" w:rsidR="00745B4B" w:rsidRDefault="00745B4B" w:rsidP="002F7727">
      <w:pPr>
        <w:pStyle w:val="NoSpacing"/>
        <w:rPr>
          <w:rFonts w:ascii="Arial Black" w:hAnsi="Arial Black"/>
          <w:b/>
          <w:sz w:val="24"/>
          <w:szCs w:val="24"/>
        </w:rPr>
      </w:pPr>
      <w:r>
        <w:rPr>
          <w:rFonts w:ascii="Arial Black" w:hAnsi="Arial Black"/>
          <w:b/>
          <w:sz w:val="24"/>
          <w:szCs w:val="24"/>
        </w:rPr>
        <w:t>16-146</w:t>
      </w:r>
    </w:p>
    <w:p w14:paraId="45A40338" w14:textId="77777777" w:rsidR="00745B4B" w:rsidRDefault="00745B4B" w:rsidP="002F7727">
      <w:pPr>
        <w:pStyle w:val="NoSpacing"/>
        <w:rPr>
          <w:rFonts w:ascii="Arial Black" w:hAnsi="Arial Black"/>
          <w:b/>
          <w:sz w:val="24"/>
          <w:szCs w:val="24"/>
        </w:rPr>
      </w:pPr>
    </w:p>
    <w:p w14:paraId="1FB1EA57" w14:textId="77777777" w:rsidR="00BA59D3" w:rsidRPr="002B3436" w:rsidRDefault="00BA59D3" w:rsidP="00BA59D3">
      <w:pPr>
        <w:rPr>
          <w:rFonts w:ascii="Arial Black" w:hAnsi="Arial Black"/>
          <w:b/>
          <w:sz w:val="28"/>
          <w:szCs w:val="28"/>
        </w:rPr>
      </w:pPr>
      <w:r>
        <w:rPr>
          <w:rFonts w:ascii="Arial Black" w:hAnsi="Arial Black"/>
          <w:b/>
          <w:sz w:val="28"/>
          <w:szCs w:val="28"/>
        </w:rPr>
        <w:t>NV: CITY MGR FIRED – 2022 VIDEO FIRE CHIEF RESIGNING</w:t>
      </w:r>
    </w:p>
    <w:p w14:paraId="0777C8C0" w14:textId="77777777" w:rsidR="00BA59D3" w:rsidRDefault="00BA59D3" w:rsidP="00BA59D3">
      <w:r>
        <w:t xml:space="preserve">On January 22, 2026, in </w:t>
      </w:r>
      <w:r w:rsidRPr="008674C8">
        <w:rPr>
          <w:u w:val="single"/>
        </w:rPr>
        <w:t>Neil C. Krutz v. The City of Sparks</w:t>
      </w:r>
      <w:r>
        <w:t xml:space="preserve">, U.S. District Court Judge Miranda M. Du, United States District Court for the District of Nevada, held that the terminated City Manager lawsuit may proceed with his lawsuit on some claims, including that he was fired on September 5, </w:t>
      </w:r>
      <w:proofErr w:type="gramStart"/>
      <w:r>
        <w:t>2023</w:t>
      </w:r>
      <w:proofErr w:type="gramEnd"/>
      <w:r>
        <w:t xml:space="preserve"> in violation of his </w:t>
      </w:r>
      <w:r w:rsidRPr="00FC1E14">
        <w:t>procedural due process protections</w:t>
      </w:r>
      <w:r>
        <w:t xml:space="preserve">. His contract included a provision allowing termination “for cause”). On December 5, 2022, the fire chief resigned over pending drug charge, and the City Manager made a video reporting the resignation.   In 2024, the city settled with the former chief about the public leak of the video for $381,000.   </w:t>
      </w:r>
      <w:hyperlink r:id="rId2428" w:history="1">
        <w:r w:rsidRPr="003E5AED">
          <w:rPr>
            <w:rStyle w:val="Hyperlink"/>
          </w:rPr>
          <w:t>https://cases.justia.com/federal/district-courts/nevada/nvdce/3:2025cv00159/173760/49/0.pdf</w:t>
        </w:r>
      </w:hyperlink>
    </w:p>
    <w:p w14:paraId="195D299F" w14:textId="77777777" w:rsidR="00BA59D3" w:rsidRDefault="00BA59D3" w:rsidP="00BA59D3">
      <w:r>
        <w:t>THE COURT HELD:</w:t>
      </w:r>
    </w:p>
    <w:p w14:paraId="26127142" w14:textId="77777777" w:rsidR="00BA59D3" w:rsidRDefault="00BA59D3" w:rsidP="00BA59D3">
      <w:pPr>
        <w:ind w:left="720"/>
      </w:pPr>
      <w:r>
        <w:t>Footnote 5:  “</w:t>
      </w:r>
      <w:r w:rsidRPr="00270580">
        <w:t>The parties dispute whether Krutz publicly disseminated the video statement or whether it was instead leaked to the public</w:t>
      </w:r>
      <w:r>
        <w:t xml:space="preserve">…. </w:t>
      </w:r>
      <w:r w:rsidRPr="00270580">
        <w:t>Defendants contend that Krutz posted the video on YouTube</w:t>
      </w:r>
      <w:r>
        <w:t xml:space="preserve"> …</w:t>
      </w:r>
      <w:r w:rsidRPr="00270580">
        <w:t xml:space="preserve"> whereas Krutz asserts that the video was shared privately via email with only the City of Sparks Fire Department employees, Mayor Lawson, Councilmembers Abbott, </w:t>
      </w:r>
      <w:proofErr w:type="spellStart"/>
      <w:r w:rsidRPr="00270580">
        <w:t>VanderWell</w:t>
      </w:r>
      <w:proofErr w:type="spellEnd"/>
      <w:r w:rsidRPr="00270580">
        <w:t>, Anderson, Bybee, and Dahir, and Assistant City Managers Alyson McCormick and John Martini</w:t>
      </w:r>
      <w:r>
        <w:t>.”</w:t>
      </w:r>
    </w:p>
    <w:p w14:paraId="2C8FC92B" w14:textId="77777777" w:rsidR="00BA59D3" w:rsidRPr="00270580" w:rsidRDefault="00BA59D3" w:rsidP="00BA59D3">
      <w:pPr>
        <w:rPr>
          <w:b/>
          <w:bCs/>
        </w:rPr>
      </w:pPr>
      <w:r>
        <w:rPr>
          <w:b/>
        </w:rPr>
        <w:t xml:space="preserve">Legal Lesson Learned: When a Fire Chief or other senior manager resigns, be very cautious in communicating info beyond the fact that there was a resignation; consult with legal counsel. </w:t>
      </w:r>
    </w:p>
    <w:p w14:paraId="23254872" w14:textId="77777777" w:rsidR="00BA59D3" w:rsidRPr="0059689A" w:rsidRDefault="00BA59D3" w:rsidP="00BA59D3">
      <w:pPr>
        <w:ind w:left="720"/>
        <w:rPr>
          <w:bCs/>
        </w:rPr>
      </w:pPr>
      <w:r>
        <w:t xml:space="preserve">Note: See September 23, </w:t>
      </w:r>
      <w:proofErr w:type="gramStart"/>
      <w:r>
        <w:t>2024</w:t>
      </w:r>
      <w:proofErr w:type="gramEnd"/>
      <w:r>
        <w:t xml:space="preserve"> article and TV Video: “</w:t>
      </w:r>
      <w:r w:rsidRPr="0059689A">
        <w:t>Former Sparks Fire Chief pleads no contest to drug-related charge</w:t>
      </w:r>
      <w:r>
        <w:t xml:space="preserve">.” </w:t>
      </w:r>
      <w:hyperlink r:id="rId2429" w:history="1">
        <w:r w:rsidRPr="00700587">
          <w:rPr>
            <w:rStyle w:val="Hyperlink"/>
          </w:rPr>
          <w:t>https://www.2news.com/news/local/former-sparks-fire-chief-pleads-no-contest-to-drug-related-charge/article_484d699c-7023-11ed-b795-ff8664a2c2d9.html</w:t>
        </w:r>
      </w:hyperlink>
      <w:r>
        <w:t xml:space="preserve"> </w:t>
      </w:r>
    </w:p>
    <w:p w14:paraId="6858FE60" w14:textId="77777777" w:rsidR="00BA59D3" w:rsidRDefault="00BA59D3" w:rsidP="00BA59D3">
      <w:pPr>
        <w:pStyle w:val="NoSpacing"/>
        <w:ind w:left="720"/>
      </w:pPr>
      <w:r>
        <w:t>“</w:t>
      </w:r>
      <w:r w:rsidRPr="00793EF3">
        <w:t>Former Sparks Fire Chief Mark Lawson pleaded no-contest last month to a drug-related charge brought against him in Dec. 2022.</w:t>
      </w:r>
      <w:r>
        <w:t xml:space="preserve"> </w:t>
      </w:r>
      <w:r w:rsidRPr="00793EF3">
        <w:t xml:space="preserve">Included in the court’s judgement, Lawson is guilty of conspiracy to possess a drug that may not be introduced into interstate commerce, and he will have to pay </w:t>
      </w:r>
      <w:proofErr w:type="gramStart"/>
      <w:r w:rsidRPr="00793EF3">
        <w:t xml:space="preserve">a $2,000 fine and complete eight hours of </w:t>
      </w:r>
      <w:r w:rsidRPr="00793EF3">
        <w:lastRenderedPageBreak/>
        <w:t>substance abuse education</w:t>
      </w:r>
      <w:proofErr w:type="gramEnd"/>
      <w:r w:rsidRPr="00793EF3">
        <w:t>.</w:t>
      </w:r>
      <w:r>
        <w:t xml:space="preserve"> </w:t>
      </w:r>
      <w:r w:rsidRPr="00793EF3">
        <w:t>Earlier this year, the City of Sparks paid Lawson $381,000 to settle a lawsuit over his firing. His attorneys argued that he was unfairly fired for pending criminal charges, and that the City’s actions damaged Lawson’s reputation and ability to seek reemployment.</w:t>
      </w:r>
      <w:r>
        <w:t>”</w:t>
      </w:r>
    </w:p>
    <w:p w14:paraId="39239539" w14:textId="77777777" w:rsidR="00BA59D3" w:rsidRDefault="00BA59D3" w:rsidP="00BA59D3">
      <w:pPr>
        <w:pStyle w:val="NoSpacing"/>
        <w:ind w:left="720"/>
      </w:pPr>
    </w:p>
    <w:p w14:paraId="25207836" w14:textId="77777777" w:rsidR="00BA59D3" w:rsidRDefault="00BA59D3" w:rsidP="00BA59D3">
      <w:pPr>
        <w:ind w:left="720"/>
      </w:pPr>
      <w:r w:rsidRPr="00574E88">
        <w:t>See also: Sept. 5, 2024</w:t>
      </w:r>
      <w:r>
        <w:t xml:space="preserve">, </w:t>
      </w:r>
      <w:r w:rsidRPr="00574E88">
        <w:t xml:space="preserve">Sparks City Council Special Meeting. </w:t>
      </w:r>
      <w:hyperlink r:id="rId2430" w:history="1">
        <w:r w:rsidRPr="00700587">
          <w:rPr>
            <w:rStyle w:val="Hyperlink"/>
          </w:rPr>
          <w:t>https://www.youtube.com/watch?v=5NXiLsCyQwc</w:t>
        </w:r>
      </w:hyperlink>
      <w:r>
        <w:t xml:space="preserve">. </w:t>
      </w:r>
      <w:r w:rsidRPr="00574E88">
        <w:t xml:space="preserve">IAFF President calls for termination of City Manager (at 2:07) </w:t>
      </w:r>
    </w:p>
    <w:p w14:paraId="69B0748D" w14:textId="77777777" w:rsidR="00BA59D3" w:rsidRDefault="00BA59D3" w:rsidP="00BA59D3">
      <w:pPr>
        <w:ind w:left="720"/>
        <w:rPr>
          <w:bCs/>
        </w:rPr>
      </w:pPr>
      <w:r>
        <w:t xml:space="preserve">See also: May 9, 2023: City Manager Survives Termination Vote [3 to 2]:  </w:t>
      </w:r>
      <w:hyperlink r:id="rId2431" w:history="1">
        <w:r w:rsidRPr="00700587">
          <w:rPr>
            <w:rStyle w:val="Hyperlink"/>
          </w:rPr>
          <w:t>https://www.youtube.com/watch?v=RmdIuKRFVuU</w:t>
        </w:r>
      </w:hyperlink>
      <w:r>
        <w:t xml:space="preserve"> </w:t>
      </w:r>
    </w:p>
    <w:p w14:paraId="31742342" w14:textId="77777777" w:rsidR="00BA59D3" w:rsidRDefault="00BA59D3" w:rsidP="00BA59D3">
      <w:pPr>
        <w:rPr>
          <w:rFonts w:ascii="Arial Black" w:hAnsi="Arial Black"/>
          <w:b/>
          <w:sz w:val="28"/>
          <w:szCs w:val="28"/>
        </w:rPr>
      </w:pPr>
    </w:p>
    <w:p w14:paraId="17AC9864" w14:textId="77777777" w:rsidR="00745B4B" w:rsidRDefault="00745B4B" w:rsidP="002F7727">
      <w:pPr>
        <w:pStyle w:val="NoSpacing"/>
        <w:rPr>
          <w:rFonts w:ascii="Arial Black" w:hAnsi="Arial Black"/>
          <w:b/>
          <w:sz w:val="24"/>
          <w:szCs w:val="24"/>
        </w:rPr>
      </w:pPr>
    </w:p>
    <w:p w14:paraId="5ED2FB86" w14:textId="77777777" w:rsidR="00745B4B" w:rsidRDefault="00745B4B" w:rsidP="002F7727">
      <w:pPr>
        <w:pStyle w:val="NoSpacing"/>
        <w:rPr>
          <w:rFonts w:ascii="Arial Black" w:hAnsi="Arial Black"/>
          <w:b/>
          <w:sz w:val="24"/>
          <w:szCs w:val="24"/>
        </w:rPr>
      </w:pPr>
    </w:p>
    <w:p w14:paraId="59215DCB" w14:textId="77777777" w:rsidR="00745B4B" w:rsidRDefault="00745B4B" w:rsidP="002F7727">
      <w:pPr>
        <w:pStyle w:val="NoSpacing"/>
        <w:rPr>
          <w:rFonts w:ascii="Arial Black" w:hAnsi="Arial Black"/>
          <w:b/>
          <w:sz w:val="24"/>
          <w:szCs w:val="24"/>
        </w:rPr>
      </w:pPr>
    </w:p>
    <w:p w14:paraId="78A4212F" w14:textId="5F08368B" w:rsidR="00A66F20" w:rsidRDefault="00A66F20" w:rsidP="002F7727">
      <w:pPr>
        <w:pStyle w:val="NoSpacing"/>
        <w:rPr>
          <w:rFonts w:ascii="Arial Black" w:hAnsi="Arial Black"/>
          <w:b/>
          <w:sz w:val="24"/>
          <w:szCs w:val="24"/>
        </w:rPr>
      </w:pPr>
      <w:r>
        <w:rPr>
          <w:rFonts w:ascii="Arial Black" w:hAnsi="Arial Black"/>
          <w:b/>
          <w:sz w:val="24"/>
          <w:szCs w:val="24"/>
        </w:rPr>
        <w:t>16-145</w:t>
      </w:r>
    </w:p>
    <w:p w14:paraId="60F6E9A0" w14:textId="77777777" w:rsidR="00745B4B" w:rsidRDefault="00745B4B" w:rsidP="002F7727">
      <w:pPr>
        <w:pStyle w:val="NoSpacing"/>
        <w:rPr>
          <w:rFonts w:ascii="Arial Black" w:hAnsi="Arial Black"/>
          <w:b/>
          <w:sz w:val="24"/>
          <w:szCs w:val="24"/>
        </w:rPr>
      </w:pPr>
    </w:p>
    <w:p w14:paraId="06A161C9" w14:textId="77777777" w:rsidR="00745B4B" w:rsidRDefault="00745B4B" w:rsidP="00745B4B">
      <w:pPr>
        <w:rPr>
          <w:rFonts w:ascii="Arial Black" w:hAnsi="Arial Black"/>
          <w:b/>
          <w:sz w:val="28"/>
          <w:szCs w:val="28"/>
        </w:rPr>
      </w:pPr>
      <w:r>
        <w:rPr>
          <w:rFonts w:ascii="Arial Black" w:hAnsi="Arial Black"/>
          <w:b/>
          <w:sz w:val="28"/>
          <w:szCs w:val="28"/>
        </w:rPr>
        <w:t xml:space="preserve">OH: CHIEF FIRED – NO FED CT TRO / STATE CT CASE  </w:t>
      </w:r>
    </w:p>
    <w:p w14:paraId="783106BA" w14:textId="77777777" w:rsidR="00745B4B" w:rsidRDefault="00745B4B" w:rsidP="00745B4B">
      <w:pPr>
        <w:rPr>
          <w:bCs/>
        </w:rPr>
      </w:pPr>
      <w:r w:rsidRPr="00967F0E">
        <w:t xml:space="preserve">On January 7, 2026, </w:t>
      </w:r>
      <w:r>
        <w:t xml:space="preserve">in </w:t>
      </w:r>
      <w:r w:rsidRPr="00793D2D">
        <w:rPr>
          <w:u w:val="single"/>
        </w:rPr>
        <w:t>Jeremy Betsa v. City of Avon Lake, Ohio</w:t>
      </w:r>
      <w:r>
        <w:rPr>
          <w:u w:val="single"/>
        </w:rPr>
        <w:t xml:space="preserve">, IAFF Local </w:t>
      </w:r>
      <w:r w:rsidRPr="00007CC8">
        <w:rPr>
          <w:u w:val="single"/>
        </w:rPr>
        <w:t>1361</w:t>
      </w:r>
      <w:r>
        <w:rPr>
          <w:u w:val="single"/>
        </w:rPr>
        <w:t xml:space="preserve">, et al., </w:t>
      </w:r>
      <w:r>
        <w:t xml:space="preserve"> U.S. Magistrate Judge James E. Grimes, Jr., issued a Report and Recommendation to U.S. District Court Judge Donald C. Nugent, United States District Court for the Northern District of Ohio, Eastern Division, recommending the Court deny Jeremy Betsa’s December 15, 2025 “Emergency Motion For A Temporary Restraining Order.”  He had a pending lawsuit in </w:t>
      </w:r>
      <w:r w:rsidRPr="00030F83">
        <w:t>Lorain County Court of Common Plea</w:t>
      </w:r>
      <w:r>
        <w:t xml:space="preserve">, also seeking a TRO (been suspended with pay since August 2025; he was ultimately fired December 31, </w:t>
      </w:r>
      <w:proofErr w:type="gramStart"/>
      <w:r>
        <w:t>2025</w:t>
      </w:r>
      <w:proofErr w:type="gramEnd"/>
      <w:r>
        <w:t xml:space="preserve"> </w:t>
      </w:r>
      <w:r w:rsidRPr="001240F1">
        <w:t>for “workplace conduct and leadership</w:t>
      </w:r>
      <w:r>
        <w:t xml:space="preserve">” issues),  Federal courts follow “abstention” doctrine where they decline to intervene in matters already pending in state court. He can appeal his termination to the City’s Civil Service Commission. </w:t>
      </w:r>
      <w:hyperlink r:id="rId2432" w:history="1">
        <w:r w:rsidRPr="00091B3B">
          <w:rPr>
            <w:rStyle w:val="Hyperlink"/>
          </w:rPr>
          <w:t>https://public.fastcase.com/Jhe1Qn%2BmJndQYQU6z%2FeNmypmOFzJk4IjV67xdVBvH10%2BbioR%2BE7hDrSDKPa8oeXy4gUzK0dNFlYVAdtPS9qapAikGtcKVY%2BDC%2Fxrd0A1wWk%3D?utm_medium=email&amp;_hsenc=p2ANqtz--Rb3GwipZHtCJJMLiUWpVHk6Q4w73GSXOI_LD5Raf1axu72BnOP1L2YEQ80fNqXbpHCp329zbZOj3hD1ZT_BRNOO8R9w&amp;_hsmi=226712652&amp;utm_content=226712652&amp;utm_source=hs_email</w:t>
        </w:r>
      </w:hyperlink>
      <w:r>
        <w:t xml:space="preserve"> </w:t>
      </w:r>
    </w:p>
    <w:p w14:paraId="0BDBFBF1" w14:textId="77777777" w:rsidR="00745B4B" w:rsidRDefault="00745B4B" w:rsidP="00745B4B">
      <w:pPr>
        <w:rPr>
          <w:rFonts w:eastAsia="Times New Roman"/>
          <w:bCs/>
        </w:rPr>
      </w:pPr>
      <w:r>
        <w:t>THE MAGISTRATE WROTE:</w:t>
      </w:r>
      <w:r w:rsidRPr="00CE0948">
        <w:rPr>
          <w:rFonts w:eastAsia="Times New Roman"/>
        </w:rPr>
        <w:t xml:space="preserve"> </w:t>
      </w:r>
    </w:p>
    <w:p w14:paraId="115D1576" w14:textId="77777777" w:rsidR="00745B4B" w:rsidRDefault="00745B4B" w:rsidP="00745B4B">
      <w:pPr>
        <w:ind w:left="720"/>
        <w:rPr>
          <w:rFonts w:eastAsia="Times New Roman"/>
          <w:bCs/>
        </w:rPr>
      </w:pPr>
      <w:r>
        <w:rPr>
          <w:rFonts w:eastAsia="Times New Roman"/>
        </w:rPr>
        <w:t>“</w:t>
      </w:r>
      <w:r w:rsidRPr="00416673">
        <w:rPr>
          <w:rFonts w:eastAsia="Times New Roman"/>
        </w:rPr>
        <w:t>The District Court referred Betsa's Motion to me on January 2, 2026. Doc. 28. That day, I set a hearing by videoconference for January 6</w:t>
      </w:r>
      <w:r>
        <w:rPr>
          <w:rFonts w:eastAsia="Times New Roman"/>
        </w:rPr>
        <w:t xml:space="preserve">…. </w:t>
      </w:r>
      <w:r w:rsidRPr="009E6596">
        <w:rPr>
          <w:rFonts w:eastAsia="Times New Roman"/>
        </w:rPr>
        <w:t xml:space="preserve">To recap, Betsa has two lawsuits pending related to the same factual </w:t>
      </w:r>
      <w:proofErr w:type="gramStart"/>
      <w:r w:rsidRPr="009E6596">
        <w:rPr>
          <w:rFonts w:eastAsia="Times New Roman"/>
        </w:rPr>
        <w:t>matter—</w:t>
      </w:r>
      <w:proofErr w:type="gramEnd"/>
      <w:r w:rsidRPr="009E6596">
        <w:rPr>
          <w:rFonts w:eastAsia="Times New Roman"/>
        </w:rPr>
        <w:t>one in state court and one in federal court. Also pending in both cases are Betsa's TRO motions. The heart of Betsa's lawsuits, and his TRO motions, are his claims that the City suspended him, and later terminated him, in violation of Ohio law and his federal due process rights. At the TRO hearing, Betsa explained that his Ohio lawsuit focuses on his state-law claims, whereas his federal lawsuit focuses on federal claims.</w:t>
      </w:r>
    </w:p>
    <w:p w14:paraId="3B0CF93A" w14:textId="77777777" w:rsidR="00745B4B" w:rsidRDefault="00745B4B" w:rsidP="00745B4B">
      <w:pPr>
        <w:ind w:left="720"/>
        <w:rPr>
          <w:rFonts w:eastAsia="Times New Roman"/>
          <w:bCs/>
        </w:rPr>
      </w:pPr>
      <w:r>
        <w:rPr>
          <w:rFonts w:eastAsia="Times New Roman"/>
        </w:rPr>
        <w:t>***</w:t>
      </w:r>
    </w:p>
    <w:p w14:paraId="7BC20A19" w14:textId="77777777" w:rsidR="00745B4B" w:rsidRPr="00CE0948" w:rsidRDefault="00745B4B" w:rsidP="00745B4B">
      <w:pPr>
        <w:ind w:left="720"/>
      </w:pPr>
      <w:r w:rsidRPr="00CE0948">
        <w:t xml:space="preserve">Betsa hasn't shown a likelihood of success on his due process claim because this Court should abstain from deciding the issue under the authority of </w:t>
      </w:r>
      <w:proofErr w:type="gramStart"/>
      <w:r w:rsidRPr="00CE0948">
        <w:rPr>
          <w:i/>
          <w:iCs/>
        </w:rPr>
        <w:t>Younger</w:t>
      </w:r>
      <w:proofErr w:type="gramEnd"/>
      <w:r w:rsidRPr="00CE0948">
        <w:rPr>
          <w:i/>
          <w:iCs/>
        </w:rPr>
        <w:t xml:space="preserve"> v. Harris</w:t>
      </w:r>
      <w:r w:rsidRPr="00CE0948">
        <w:t xml:space="preserve">, 401 U.S. 37 (1971). </w:t>
      </w:r>
    </w:p>
    <w:p w14:paraId="5E0A4DBA" w14:textId="77777777" w:rsidR="00745B4B" w:rsidRDefault="00745B4B" w:rsidP="00745B4B">
      <w:pPr>
        <w:ind w:left="720"/>
      </w:pPr>
      <w:r>
        <w:t>‘</w:t>
      </w:r>
      <w:r w:rsidRPr="00CE0948">
        <w:t xml:space="preserve">Under </w:t>
      </w:r>
      <w:r w:rsidRPr="00CE0948">
        <w:rPr>
          <w:i/>
          <w:iCs/>
        </w:rPr>
        <w:t>Younger</w:t>
      </w:r>
      <w:r w:rsidRPr="00CE0948">
        <w:t xml:space="preserve"> abstention ... a federal court must decline to interfere with pending state civil or criminal proceedings when important state interests are involved.</w:t>
      </w:r>
      <w:r>
        <w:t>’</w:t>
      </w:r>
      <w:r w:rsidRPr="00CE0948">
        <w:t xml:space="preserve"> </w:t>
      </w:r>
      <w:r w:rsidRPr="00CE0948">
        <w:rPr>
          <w:i/>
          <w:iCs/>
        </w:rPr>
        <w:t>O'Neill v. Coughlan</w:t>
      </w:r>
      <w:r w:rsidRPr="00CE0948">
        <w:t xml:space="preserve">, 511 F.3d 638, 641 (6th Cir. 2008) (citations omitted). </w:t>
      </w:r>
      <w:r>
        <w:t>‘</w:t>
      </w:r>
      <w:r w:rsidRPr="00CE0948">
        <w:rPr>
          <w:i/>
          <w:iCs/>
        </w:rPr>
        <w:t>Younger</w:t>
      </w:r>
      <w:r w:rsidRPr="00CE0948">
        <w:t xml:space="preserve"> abstention is not a question of </w:t>
      </w:r>
      <w:proofErr w:type="gramStart"/>
      <w:r w:rsidRPr="00CE0948">
        <w:t>jurisdiction, but</w:t>
      </w:r>
      <w:proofErr w:type="gramEnd"/>
      <w:r w:rsidRPr="00CE0948">
        <w:t xml:space="preserve"> is rather based on ‘strong policies </w:t>
      </w:r>
      <w:r w:rsidRPr="00CE0948">
        <w:lastRenderedPageBreak/>
        <w:t xml:space="preserve">counseling against the exercise of such jurisdiction.' </w:t>
      </w:r>
      <w:r w:rsidRPr="00CE0948">
        <w:rPr>
          <w:i/>
          <w:iCs/>
        </w:rPr>
        <w:t>Id</w:t>
      </w:r>
      <w:r w:rsidRPr="00CE0948">
        <w:t xml:space="preserve">. (citing </w:t>
      </w:r>
      <w:r w:rsidRPr="00CE0948">
        <w:rPr>
          <w:i/>
          <w:iCs/>
        </w:rPr>
        <w:t>Ohio Civil Rights Comm'n v. Dayton Christian Sch., Inc</w:t>
      </w:r>
      <w:r w:rsidRPr="00CE0948">
        <w:t xml:space="preserve">., 477 U.S. 619, 626 (1986). </w:t>
      </w:r>
    </w:p>
    <w:p w14:paraId="4C54C118" w14:textId="77777777" w:rsidR="00745B4B" w:rsidRDefault="00745B4B" w:rsidP="00745B4B">
      <w:pPr>
        <w:ind w:left="720"/>
      </w:pPr>
      <w:r>
        <w:t>***</w:t>
      </w:r>
    </w:p>
    <w:p w14:paraId="6A809E77" w14:textId="77777777" w:rsidR="00745B4B" w:rsidRDefault="00745B4B" w:rsidP="00745B4B">
      <w:pPr>
        <w:ind w:left="720"/>
      </w:pPr>
      <w:r w:rsidRPr="001633A5">
        <w:t xml:space="preserve">Even if Betsa had cleanly separated his state-law and federal claims in the relevant venues, which he has not done, abstention under </w:t>
      </w:r>
      <w:r w:rsidRPr="001633A5">
        <w:rPr>
          <w:i/>
          <w:iCs/>
        </w:rPr>
        <w:t>Younger</w:t>
      </w:r>
      <w:r w:rsidRPr="001633A5">
        <w:t xml:space="preserve"> would still be warranted. This is so because Betsa's procedural due process claim is inextricably intertwined with his state-law procedural issues which he has raised in his state case. Indeed, Betsa concedes that he is not arguing that Ohio's disciplinary and termination procedures are unconstitutional. This means that if the City properly adhered to Ohio law when it suspended and terminated Betsa, it necessarily </w:t>
      </w:r>
      <w:r w:rsidRPr="001633A5">
        <w:rPr>
          <w:i/>
          <w:iCs/>
        </w:rPr>
        <w:t>did not</w:t>
      </w:r>
      <w:r w:rsidRPr="001633A5">
        <w:t xml:space="preserve"> violate Betsa's due process rights.</w:t>
      </w:r>
      <w:r w:rsidRPr="001633A5">
        <w:rPr>
          <w:vertAlign w:val="superscript"/>
        </w:rPr>
        <w:t>[</w:t>
      </w:r>
      <w:r w:rsidRPr="001633A5">
        <w:t xml:space="preserve"> And Betsa has only asked the Ohio court—not this Court—to determine whether the City properly adhered to Ohio law. </w:t>
      </w:r>
      <w:proofErr w:type="gramStart"/>
      <w:r w:rsidRPr="001633A5">
        <w:t>So</w:t>
      </w:r>
      <w:proofErr w:type="gramEnd"/>
      <w:r w:rsidRPr="001633A5">
        <w:t xml:space="preserve"> the Ohio court should resolve Betsa's state-law claim before this Court wades into Betsa's related due process </w:t>
      </w:r>
      <w:proofErr w:type="gramStart"/>
      <w:r w:rsidRPr="001633A5">
        <w:t>claim.</w:t>
      </w:r>
      <w:r>
        <w:t>”</w:t>
      </w:r>
      <w:proofErr w:type="gramEnd"/>
    </w:p>
    <w:p w14:paraId="634C38E2" w14:textId="77777777" w:rsidR="00745B4B" w:rsidRDefault="00745B4B" w:rsidP="00745B4B">
      <w:pPr>
        <w:rPr>
          <w:b/>
          <w:bCs/>
        </w:rPr>
      </w:pPr>
      <w:r>
        <w:rPr>
          <w:b/>
        </w:rPr>
        <w:t>Legal lesson learned:  Federal courts will normally abstain when the employee has already filed a lawsuit in state court on similar issues.</w:t>
      </w:r>
    </w:p>
    <w:p w14:paraId="7E2F2764" w14:textId="77777777" w:rsidR="00745B4B" w:rsidRDefault="00745B4B" w:rsidP="00745B4B">
      <w:pPr>
        <w:ind w:left="720"/>
      </w:pPr>
      <w:r w:rsidRPr="00D55245">
        <w:t xml:space="preserve">Note: </w:t>
      </w:r>
      <w:r w:rsidRPr="001B7700">
        <w:rPr>
          <w:vanish/>
        </w:rPr>
        <w:t>Top of Form</w:t>
      </w:r>
    </w:p>
    <w:p w14:paraId="720719BE" w14:textId="77777777" w:rsidR="00745B4B" w:rsidRDefault="00745B4B" w:rsidP="00745B4B">
      <w:pPr>
        <w:ind w:left="720"/>
        <w:rPr>
          <w:bCs/>
        </w:rPr>
      </w:pPr>
      <w:r>
        <w:t>Jan. 1, 2026:</w:t>
      </w:r>
      <w:r w:rsidRPr="000D33A9">
        <w:t xml:space="preserve">Avon Lake terminates fire chief after investigation into 'workplace conduct and leadership </w:t>
      </w:r>
      <w:r>
        <w:t>[</w:t>
      </w:r>
      <w:r w:rsidRPr="000D33A9">
        <w:t xml:space="preserve">TV VIDEO.]: </w:t>
      </w:r>
      <w:hyperlink r:id="rId2433" w:history="1">
        <w:r w:rsidRPr="000D33A9">
          <w:rPr>
            <w:rStyle w:val="Hyperlink"/>
          </w:rPr>
          <w:t>https://www.youtube.com/watch?v=NQ_XX2qp684</w:t>
        </w:r>
      </w:hyperlink>
      <w:r w:rsidRPr="000D33A9">
        <w:t xml:space="preserve"> </w:t>
      </w:r>
    </w:p>
    <w:p w14:paraId="157375F4" w14:textId="77777777" w:rsidR="00745B4B" w:rsidRDefault="00745B4B" w:rsidP="00745B4B">
      <w:pPr>
        <w:ind w:left="720"/>
      </w:pPr>
      <w:r>
        <w:t xml:space="preserve">Jan. 1, 2026: </w:t>
      </w:r>
      <w:hyperlink r:id="rId2434" w:history="1">
        <w:r w:rsidRPr="00F620D0">
          <w:rPr>
            <w:rStyle w:val="Hyperlink"/>
          </w:rPr>
          <w:t>https://www.wkyc.com/article/news/local/lorain-county/3news-investigates-avon-lake-terminates-fire-chief-investigation-into-workplace-conduct-leadership/95-a94cb6d7-c3ff-4355-be21-18103dc8f3f4</w:t>
        </w:r>
      </w:hyperlink>
    </w:p>
    <w:p w14:paraId="33029F2D" w14:textId="77777777" w:rsidR="00745B4B" w:rsidRDefault="00745B4B" w:rsidP="002F7727">
      <w:pPr>
        <w:pStyle w:val="NoSpacing"/>
        <w:rPr>
          <w:rFonts w:ascii="Arial Black" w:hAnsi="Arial Black"/>
          <w:b/>
          <w:sz w:val="24"/>
          <w:szCs w:val="24"/>
        </w:rPr>
      </w:pPr>
    </w:p>
    <w:p w14:paraId="6F649BBA" w14:textId="77777777" w:rsidR="00A66F20" w:rsidRDefault="00A66F20" w:rsidP="002F7727">
      <w:pPr>
        <w:pStyle w:val="NoSpacing"/>
        <w:rPr>
          <w:rFonts w:ascii="Arial Black" w:hAnsi="Arial Black"/>
          <w:b/>
          <w:sz w:val="24"/>
          <w:szCs w:val="24"/>
        </w:rPr>
      </w:pPr>
    </w:p>
    <w:p w14:paraId="699EA9B7" w14:textId="77777777" w:rsidR="00A66F20" w:rsidRDefault="00A66F20" w:rsidP="002F7727">
      <w:pPr>
        <w:pStyle w:val="NoSpacing"/>
        <w:rPr>
          <w:rFonts w:ascii="Arial Black" w:hAnsi="Arial Black"/>
          <w:b/>
          <w:sz w:val="24"/>
          <w:szCs w:val="24"/>
        </w:rPr>
      </w:pPr>
    </w:p>
    <w:p w14:paraId="1C8459CD" w14:textId="77777777" w:rsidR="00A66F20" w:rsidRDefault="00A66F20" w:rsidP="002F7727">
      <w:pPr>
        <w:pStyle w:val="NoSpacing"/>
        <w:rPr>
          <w:rFonts w:ascii="Arial Black" w:hAnsi="Arial Black"/>
          <w:b/>
          <w:sz w:val="24"/>
          <w:szCs w:val="24"/>
        </w:rPr>
      </w:pPr>
    </w:p>
    <w:p w14:paraId="437AE70E" w14:textId="06E1B90A" w:rsidR="006D1F52" w:rsidRDefault="006D1F52" w:rsidP="002F7727">
      <w:pPr>
        <w:pStyle w:val="NoSpacing"/>
        <w:rPr>
          <w:rFonts w:ascii="Arial Black" w:hAnsi="Arial Black"/>
          <w:b/>
          <w:sz w:val="24"/>
          <w:szCs w:val="24"/>
        </w:rPr>
      </w:pPr>
      <w:r>
        <w:rPr>
          <w:rFonts w:ascii="Arial Black" w:hAnsi="Arial Black"/>
          <w:b/>
          <w:sz w:val="24"/>
          <w:szCs w:val="24"/>
        </w:rPr>
        <w:t>16-144</w:t>
      </w:r>
    </w:p>
    <w:p w14:paraId="7E665A36" w14:textId="77777777" w:rsidR="006D1F52" w:rsidRDefault="006D1F52" w:rsidP="002F7727">
      <w:pPr>
        <w:pStyle w:val="NoSpacing"/>
        <w:rPr>
          <w:rFonts w:ascii="Arial Black" w:hAnsi="Arial Black"/>
          <w:b/>
          <w:sz w:val="24"/>
          <w:szCs w:val="24"/>
        </w:rPr>
      </w:pPr>
    </w:p>
    <w:p w14:paraId="33A27F3A" w14:textId="102937FE" w:rsidR="006D1F52" w:rsidRDefault="006D1F52" w:rsidP="006D1F52">
      <w:pPr>
        <w:rPr>
          <w:rFonts w:ascii="Arial Black" w:hAnsi="Arial Black"/>
          <w:sz w:val="28"/>
          <w:szCs w:val="28"/>
        </w:rPr>
      </w:pPr>
      <w:r>
        <w:rPr>
          <w:rFonts w:ascii="Arial Black" w:hAnsi="Arial Black"/>
          <w:sz w:val="28"/>
          <w:szCs w:val="28"/>
        </w:rPr>
        <w:t xml:space="preserve">MA: FF FIRED – MUST </w:t>
      </w:r>
      <w:r w:rsidR="00357F5D">
        <w:rPr>
          <w:rFonts w:ascii="Arial Black" w:hAnsi="Arial Black"/>
          <w:sz w:val="28"/>
          <w:szCs w:val="28"/>
        </w:rPr>
        <w:t xml:space="preserve">FIRST </w:t>
      </w:r>
      <w:r>
        <w:rPr>
          <w:rFonts w:ascii="Arial Black" w:hAnsi="Arial Black"/>
          <w:sz w:val="28"/>
          <w:szCs w:val="28"/>
        </w:rPr>
        <w:t>APPEAL TO CIVIL SERVICE COMM.</w:t>
      </w:r>
    </w:p>
    <w:p w14:paraId="7BF79807" w14:textId="77777777" w:rsidR="006D1F52" w:rsidRDefault="006D1F52" w:rsidP="006D1F52">
      <w:r>
        <w:t xml:space="preserve">On January 5, 2026, in </w:t>
      </w:r>
      <w:r w:rsidRPr="00EC756F">
        <w:rPr>
          <w:u w:val="single"/>
        </w:rPr>
        <w:t>Casley Bailey v. Boston Fire Department</w:t>
      </w:r>
      <w:r>
        <w:t xml:space="preserve">, the Commonwealth of Massachusetts Appeal Court held (3 to 0; unpublished opinion) that the trial court properly denied his “emergency motion for a preliminary injunction to stay the disciplinary proceedings.” He was fired the same day (regarding alleged workplace injury) he filed his complaint; he must first exercise his appeal rights to the state’s Civil Service Commission (where he has previously appealed </w:t>
      </w:r>
      <w:proofErr w:type="gramStart"/>
      <w:r>
        <w:t>other</w:t>
      </w:r>
      <w:proofErr w:type="gramEnd"/>
      <w:r>
        <w:t xml:space="preserve"> discipline). </w:t>
      </w:r>
      <w:hyperlink r:id="rId2435" w:history="1">
        <w:r w:rsidRPr="001D590B">
          <w:rPr>
            <w:rStyle w:val="Hyperlink"/>
          </w:rPr>
          <w:t>file:///C:/Users/lawre/Downloads/25P0275.pdf</w:t>
        </w:r>
      </w:hyperlink>
      <w:r>
        <w:t xml:space="preserve">  </w:t>
      </w:r>
    </w:p>
    <w:p w14:paraId="64903B14" w14:textId="77777777" w:rsidR="006D1F52" w:rsidRDefault="006D1F52" w:rsidP="006D1F52">
      <w:r>
        <w:t>THE COURT HELD:</w:t>
      </w:r>
    </w:p>
    <w:p w14:paraId="0C3755E5" w14:textId="77777777" w:rsidR="006D1F52" w:rsidRDefault="006D1F52" w:rsidP="006D1F52">
      <w:pPr>
        <w:pStyle w:val="NoSpacing"/>
        <w:ind w:left="720"/>
      </w:pPr>
      <w:r>
        <w:t>“The plaintiff, Casley Bailey, filed a complaint in the Superior Court against the defendant Boston Fire Department (department) seeking to stay the department's ongoing</w:t>
      </w:r>
    </w:p>
    <w:p w14:paraId="41E6EDAF" w14:textId="77777777" w:rsidR="006D1F52" w:rsidRDefault="006D1F52" w:rsidP="006D1F52">
      <w:pPr>
        <w:pStyle w:val="NoSpacing"/>
        <w:ind w:left="720"/>
      </w:pPr>
      <w:r>
        <w:t>disciplinary action against him. He accompanied the complaint with an emergency motion for a preliminary injunction to stay the disciplinary proceedings.</w:t>
      </w:r>
    </w:p>
    <w:p w14:paraId="533934F4" w14:textId="77777777" w:rsidR="006D1F52" w:rsidRDefault="006D1F52" w:rsidP="006D1F52">
      <w:pPr>
        <w:pStyle w:val="NoSpacing"/>
        <w:ind w:left="720"/>
      </w:pPr>
    </w:p>
    <w:p w14:paraId="54B16170" w14:textId="77777777" w:rsidR="006D1F52" w:rsidRDefault="006D1F52" w:rsidP="006D1F52">
      <w:pPr>
        <w:pStyle w:val="NoSpacing"/>
        <w:ind w:left="720"/>
      </w:pPr>
      <w:r>
        <w:t xml:space="preserve">Meanwhile, the same day the plaintiff filed his complaint, the department announced its final decision and discharged him from service as a firefighter. In opposition to the preliminary injunction, the department argued that the request should be dismissed as moot </w:t>
      </w:r>
      <w:proofErr w:type="gramStart"/>
      <w:r>
        <w:t>and also</w:t>
      </w:r>
      <w:proofErr w:type="gramEnd"/>
      <w:r>
        <w:t xml:space="preserve"> for failure to exhaust administrative remedies. After a </w:t>
      </w:r>
      <w:r>
        <w:lastRenderedPageBreak/>
        <w:t>hearing, a Superior Court judge denied injunctive relief on the ground that the plaintiff ‘must first exhaust his administrative remedies before coming to Court.’ Shortly thereafter the judge dismissed the complaint because the only relief the plaintiff sought -- the stay of the disciplinary</w:t>
      </w:r>
    </w:p>
    <w:p w14:paraId="33F3D5A3" w14:textId="77777777" w:rsidR="006D1F52" w:rsidRDefault="006D1F52" w:rsidP="006D1F52">
      <w:pPr>
        <w:pStyle w:val="NoSpacing"/>
        <w:ind w:left="720"/>
      </w:pPr>
      <w:r>
        <w:t>procedures -- had been denied.</w:t>
      </w:r>
    </w:p>
    <w:p w14:paraId="2C57A0CA" w14:textId="77777777" w:rsidR="006D1F52" w:rsidRDefault="006D1F52" w:rsidP="006D1F52">
      <w:pPr>
        <w:pStyle w:val="NoSpacing"/>
        <w:ind w:left="720"/>
      </w:pPr>
    </w:p>
    <w:p w14:paraId="38C01F4E" w14:textId="77777777" w:rsidR="006D1F52" w:rsidRDefault="006D1F52" w:rsidP="006D1F52">
      <w:pPr>
        <w:pStyle w:val="NoSpacing"/>
        <w:ind w:left="720"/>
      </w:pPr>
      <w:r>
        <w:t xml:space="preserve">The plaintiff appeals </w:t>
      </w:r>
      <w:proofErr w:type="gramStart"/>
      <w:r>
        <w:t>from</w:t>
      </w:r>
      <w:proofErr w:type="gramEnd"/>
      <w:r>
        <w:t xml:space="preserve"> the dismissal of his complaint. He asserts that the physician who examined him in connection with his claimed work-related injury forged a medical release; that the department chief who oversaw the disciplinary action was biased against him; that his union colluded with the department and failed to provide adequate representation, "rendering administrative remedies futile"; that the judge failed to consider his claim of irreparable harm, particularly the loss of health insurance for his family; and, finally, that he was disciplined more severely than similarly situated</w:t>
      </w:r>
    </w:p>
    <w:p w14:paraId="3D7DB679" w14:textId="77777777" w:rsidR="006D1F52" w:rsidRDefault="006D1F52" w:rsidP="006D1F52">
      <w:pPr>
        <w:pStyle w:val="NoSpacing"/>
        <w:ind w:left="720"/>
      </w:pPr>
      <w:r>
        <w:t xml:space="preserve">firefighters. </w:t>
      </w:r>
    </w:p>
    <w:p w14:paraId="1ACE1035" w14:textId="77777777" w:rsidR="006D1F52" w:rsidRDefault="006D1F52" w:rsidP="006D1F52">
      <w:pPr>
        <w:pStyle w:val="NoSpacing"/>
        <w:ind w:left="720"/>
      </w:pPr>
    </w:p>
    <w:p w14:paraId="6E508955" w14:textId="77777777" w:rsidR="006D1F52" w:rsidRDefault="006D1F52" w:rsidP="006D1F52">
      <w:pPr>
        <w:pStyle w:val="NoSpacing"/>
        <w:ind w:left="720"/>
      </w:pPr>
      <w:r>
        <w:t>Notwithstanding these claims of ‘fraudulent evidence, procedural misconduct, and labor law violations,’ we conclude that the judge did not abuse his discretion in denying the</w:t>
      </w:r>
    </w:p>
    <w:p w14:paraId="22B1780B" w14:textId="77777777" w:rsidR="006D1F52" w:rsidRDefault="006D1F52" w:rsidP="006D1F52">
      <w:pPr>
        <w:pStyle w:val="NoSpacing"/>
        <w:ind w:left="720"/>
      </w:pPr>
      <w:r>
        <w:t>injunction and dismissing the complaint for failure to exhaust available remedies.</w:t>
      </w:r>
    </w:p>
    <w:p w14:paraId="0D5702B5" w14:textId="77777777" w:rsidR="006D1F52" w:rsidRDefault="006D1F52" w:rsidP="006D1F52">
      <w:pPr>
        <w:pStyle w:val="NoSpacing"/>
        <w:ind w:left="720"/>
      </w:pPr>
    </w:p>
    <w:p w14:paraId="5E0FA2E2" w14:textId="77777777" w:rsidR="006D1F52" w:rsidRDefault="006D1F52" w:rsidP="006D1F52">
      <w:pPr>
        <w:pStyle w:val="NoSpacing"/>
        <w:ind w:left="720"/>
      </w:pPr>
      <w:r>
        <w:t>***</w:t>
      </w:r>
    </w:p>
    <w:p w14:paraId="18E89CBC" w14:textId="77777777" w:rsidR="006D1F52" w:rsidRDefault="006D1F52" w:rsidP="006D1F52">
      <w:pPr>
        <w:pStyle w:val="NoSpacing"/>
        <w:ind w:left="720"/>
      </w:pPr>
    </w:p>
    <w:p w14:paraId="2ED1899A" w14:textId="77777777" w:rsidR="006D1F52" w:rsidRDefault="006D1F52" w:rsidP="006D1F52">
      <w:pPr>
        <w:pStyle w:val="NoSpacing"/>
        <w:ind w:left="720"/>
      </w:pPr>
      <w:r>
        <w:t>Moreover, at the time the preliminary injunction was denied and the case was dismissed, the plaintiff had not yet availed himself of the remedies available to him under the civil service statute, G. L</w:t>
      </w:r>
      <w:proofErr w:type="gramStart"/>
      <w:r>
        <w:t>. c</w:t>
      </w:r>
      <w:proofErr w:type="gramEnd"/>
      <w:r>
        <w:t>. 31, §§ 41-45. The plaintiff was a tenured civil servant entitled to the protection of the statute. Documents in the plaintiff's record appendix show that within one month of the dismissal of his complaint he was actively challenging his termination in proceedings before the Civil Service Commission (commission).</w:t>
      </w:r>
    </w:p>
    <w:p w14:paraId="3798A05A" w14:textId="77777777" w:rsidR="006D1F52" w:rsidRDefault="006D1F52" w:rsidP="006D1F52">
      <w:pPr>
        <w:pStyle w:val="NoSpacing"/>
        <w:ind w:left="720"/>
      </w:pPr>
    </w:p>
    <w:p w14:paraId="754C7A81" w14:textId="77777777" w:rsidR="006D1F52" w:rsidRDefault="006D1F52" w:rsidP="006D1F52">
      <w:pPr>
        <w:pStyle w:val="NoSpacing"/>
        <w:ind w:left="720"/>
      </w:pPr>
      <w:r>
        <w:t xml:space="preserve">The plaintiff's claim of irreparable harm -- the harm from loss of employment -- is generally not sufficient to obtain an </w:t>
      </w:r>
      <w:proofErr w:type="gramStart"/>
      <w:r>
        <w:t>injunction.”</w:t>
      </w:r>
      <w:proofErr w:type="gramEnd"/>
    </w:p>
    <w:p w14:paraId="12049097" w14:textId="77777777" w:rsidR="006D1F52" w:rsidRDefault="006D1F52" w:rsidP="006D1F52">
      <w:pPr>
        <w:pStyle w:val="NoSpacing"/>
        <w:ind w:left="720"/>
      </w:pPr>
    </w:p>
    <w:p w14:paraId="542BAFB8" w14:textId="77777777" w:rsidR="006D1F52" w:rsidRDefault="006D1F52" w:rsidP="006D1F52">
      <w:pPr>
        <w:pStyle w:val="NoSpacing"/>
        <w:rPr>
          <w:b/>
          <w:bCs/>
        </w:rPr>
      </w:pPr>
      <w:r>
        <w:rPr>
          <w:b/>
        </w:rPr>
        <w:t xml:space="preserve">Legal lesson learned: Must first exhaust administrative right of appeal to Civil Service Commission before seeking judicial relief. </w:t>
      </w:r>
    </w:p>
    <w:p w14:paraId="2B010EE5" w14:textId="77777777" w:rsidR="006D1F52" w:rsidRDefault="006D1F52" w:rsidP="006D1F52">
      <w:pPr>
        <w:pStyle w:val="NoSpacing"/>
        <w:rPr>
          <w:b/>
          <w:bCs/>
        </w:rPr>
      </w:pPr>
    </w:p>
    <w:p w14:paraId="62A533FE" w14:textId="77777777" w:rsidR="006D1F52" w:rsidRDefault="006D1F52" w:rsidP="006D1F52">
      <w:pPr>
        <w:pStyle w:val="NoSpacing"/>
      </w:pPr>
      <w:r>
        <w:rPr>
          <w:b/>
        </w:rPr>
        <w:tab/>
      </w:r>
      <w:r>
        <w:t xml:space="preserve">Note:  See his prior discipline appeals. </w:t>
      </w:r>
    </w:p>
    <w:p w14:paraId="76C87814" w14:textId="77777777" w:rsidR="006D1F52" w:rsidRDefault="006D1F52" w:rsidP="006D1F52">
      <w:pPr>
        <w:ind w:left="720"/>
      </w:pPr>
      <w:r>
        <w:t xml:space="preserve">February 6, 2025: Civil Service Commission: </w:t>
      </w:r>
      <w:hyperlink r:id="rId2436" w:history="1">
        <w:r w:rsidRPr="002B4D2D">
          <w:rPr>
            <w:rStyle w:val="Hyperlink"/>
          </w:rPr>
          <w:t>https://www.mass.gov/doc/bailey-casley-v-boston-fire-department-2625/download</w:t>
        </w:r>
      </w:hyperlink>
      <w:r>
        <w:t xml:space="preserve"> </w:t>
      </w:r>
    </w:p>
    <w:p w14:paraId="03B38B2F" w14:textId="77777777" w:rsidR="006D1F52" w:rsidRDefault="006D1F52" w:rsidP="006D1F52">
      <w:pPr>
        <w:pStyle w:val="NoSpacing"/>
        <w:ind w:left="720"/>
        <w:rPr>
          <w:bCs/>
        </w:rPr>
      </w:pPr>
      <w:r>
        <w:t>“</w:t>
      </w:r>
      <w:r w:rsidRPr="00301812">
        <w:t>The Commission affirmed the decision of the Boston Fire Department (BFD) to suspend a</w:t>
      </w:r>
      <w:r>
        <w:t xml:space="preserve"> </w:t>
      </w:r>
      <w:r w:rsidRPr="00301812">
        <w:t>firefighter for 60 days for violation of rules related to untruthfulness and misrepresentation</w:t>
      </w:r>
      <w:r>
        <w:t xml:space="preserve"> </w:t>
      </w:r>
      <w:r w:rsidRPr="00301812">
        <w:t>regarding the unauthorized use of emergency lights and sirens on his personal vehicle.</w:t>
      </w:r>
      <w:r>
        <w:t>”</w:t>
      </w:r>
    </w:p>
    <w:p w14:paraId="19EF3D8D" w14:textId="77777777" w:rsidR="006D1F52" w:rsidRDefault="006D1F52" w:rsidP="006D1F52">
      <w:pPr>
        <w:pStyle w:val="NoSpacing"/>
        <w:ind w:left="720"/>
      </w:pPr>
    </w:p>
    <w:p w14:paraId="0A191BE6" w14:textId="77777777" w:rsidR="006D1F52" w:rsidRDefault="006D1F52" w:rsidP="006D1F52">
      <w:pPr>
        <w:pStyle w:val="NoSpacing"/>
        <w:ind w:left="720"/>
      </w:pPr>
      <w:r>
        <w:t xml:space="preserve">May 6, 2024: Civil Service Commission - </w:t>
      </w:r>
      <w:hyperlink r:id="rId2437" w:history="1">
        <w:r w:rsidRPr="001D590B">
          <w:rPr>
            <w:rStyle w:val="Hyperlink"/>
          </w:rPr>
          <w:t>https://www.mass.gov/doc/bailey-casley-v-boston-fire-department-62724/download</w:t>
        </w:r>
      </w:hyperlink>
    </w:p>
    <w:p w14:paraId="004FF996" w14:textId="77777777" w:rsidR="006D1F52" w:rsidRDefault="006D1F52" w:rsidP="006D1F52">
      <w:pPr>
        <w:pStyle w:val="NoSpacing"/>
        <w:ind w:left="720"/>
      </w:pPr>
      <w:r>
        <w:t>“The four-tour suspension [took FMLA leave to take Lt. exam] is modified to a two-tour</w:t>
      </w:r>
    </w:p>
    <w:p w14:paraId="1726975B" w14:textId="77777777" w:rsidR="006D1F52" w:rsidRDefault="006D1F52" w:rsidP="006D1F52">
      <w:pPr>
        <w:pStyle w:val="NoSpacing"/>
        <w:ind w:left="720"/>
      </w:pPr>
      <w:r>
        <w:t>suspension and the Appellant shall be restored to his position for the two remaining tours</w:t>
      </w:r>
    </w:p>
    <w:p w14:paraId="3E8949D0" w14:textId="77777777" w:rsidR="006D1F52" w:rsidRDefault="006D1F52" w:rsidP="006D1F52">
      <w:pPr>
        <w:pStyle w:val="NoSpacing"/>
        <w:ind w:left="720"/>
        <w:rPr>
          <w:b/>
        </w:rPr>
      </w:pPr>
      <w:r>
        <w:t>without loss of pay or other benefits.”</w:t>
      </w:r>
      <w:r>
        <w:rPr>
          <w:b/>
        </w:rPr>
        <w:t xml:space="preserve"> </w:t>
      </w:r>
    </w:p>
    <w:p w14:paraId="33E18AE9" w14:textId="77777777" w:rsidR="006D1F52" w:rsidRDefault="006D1F52" w:rsidP="006D1F52">
      <w:pPr>
        <w:rPr>
          <w:b/>
        </w:rPr>
      </w:pPr>
    </w:p>
    <w:p w14:paraId="6E9ACA3C" w14:textId="77777777" w:rsidR="006D1F52" w:rsidRDefault="006D1F52" w:rsidP="006D1F52">
      <w:pPr>
        <w:rPr>
          <w:b/>
        </w:rPr>
      </w:pPr>
    </w:p>
    <w:p w14:paraId="090583EB" w14:textId="77777777" w:rsidR="006D1F52" w:rsidRDefault="006D1F52" w:rsidP="002F7727">
      <w:pPr>
        <w:pStyle w:val="NoSpacing"/>
        <w:rPr>
          <w:rFonts w:ascii="Arial Black" w:hAnsi="Arial Black"/>
          <w:b/>
          <w:sz w:val="24"/>
          <w:szCs w:val="24"/>
        </w:rPr>
      </w:pPr>
    </w:p>
    <w:p w14:paraId="368C562E" w14:textId="77777777" w:rsidR="006D1F52" w:rsidRDefault="006D1F52" w:rsidP="002F7727">
      <w:pPr>
        <w:pStyle w:val="NoSpacing"/>
        <w:rPr>
          <w:rFonts w:ascii="Arial Black" w:hAnsi="Arial Black"/>
          <w:b/>
          <w:sz w:val="24"/>
          <w:szCs w:val="24"/>
        </w:rPr>
      </w:pPr>
    </w:p>
    <w:p w14:paraId="75EB0486" w14:textId="77777777" w:rsidR="006D1F52" w:rsidRDefault="006D1F52" w:rsidP="002F7727">
      <w:pPr>
        <w:pStyle w:val="NoSpacing"/>
        <w:rPr>
          <w:rFonts w:ascii="Arial Black" w:hAnsi="Arial Black"/>
          <w:b/>
          <w:sz w:val="24"/>
          <w:szCs w:val="24"/>
        </w:rPr>
      </w:pPr>
    </w:p>
    <w:p w14:paraId="5789EED6" w14:textId="40D2E6BF" w:rsidR="00966476" w:rsidRDefault="00966476"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143</w:t>
      </w:r>
    </w:p>
    <w:p w14:paraId="7A11CE31" w14:textId="77777777" w:rsidR="004F5159" w:rsidRDefault="004F5159" w:rsidP="002F7727">
      <w:pPr>
        <w:pStyle w:val="NoSpacing"/>
        <w:rPr>
          <w:rFonts w:ascii="Arial Black" w:hAnsi="Arial Black"/>
          <w:b/>
          <w:sz w:val="24"/>
          <w:szCs w:val="24"/>
        </w:rPr>
      </w:pPr>
    </w:p>
    <w:p w14:paraId="6459F85A" w14:textId="77777777" w:rsidR="000637E4" w:rsidRPr="00E72C24" w:rsidRDefault="000637E4" w:rsidP="000637E4">
      <w:pPr>
        <w:rPr>
          <w:rFonts w:ascii="Arial Black" w:hAnsi="Arial Black"/>
          <w:b/>
          <w:sz w:val="28"/>
          <w:szCs w:val="28"/>
        </w:rPr>
      </w:pPr>
      <w:r>
        <w:rPr>
          <w:rFonts w:ascii="Arial Black" w:hAnsi="Arial Black"/>
          <w:b/>
          <w:sz w:val="28"/>
          <w:szCs w:val="28"/>
        </w:rPr>
        <w:t>CA: KOBE BRYANT CRASH – PHOTOS – NO RETALIATION</w:t>
      </w:r>
    </w:p>
    <w:p w14:paraId="6A9986A9" w14:textId="77777777" w:rsidR="000637E4" w:rsidRDefault="000637E4" w:rsidP="000637E4">
      <w:pPr>
        <w:pStyle w:val="NoSpacing"/>
      </w:pPr>
      <w:r>
        <w:t xml:space="preserve">On December 23, 2025, in </w:t>
      </w:r>
      <w:r w:rsidRPr="00524324">
        <w:rPr>
          <w:u w:val="single"/>
        </w:rPr>
        <w:t>Brian Jordan v. County of Los Angeles</w:t>
      </w:r>
      <w:r>
        <w:t xml:space="preserve">, the </w:t>
      </w:r>
      <w:r w:rsidRPr="00524324">
        <w:t>California Court of Appeals, Second District, Third Division</w:t>
      </w:r>
      <w:r>
        <w:t xml:space="preserve"> held (3 to 0, unpublished decision) that trial court properly dismissed the former Captain’s lawsuit for retaliation.  </w:t>
      </w:r>
      <w:r w:rsidRPr="00726530">
        <w:t>Jordan responded to the</w:t>
      </w:r>
      <w:r>
        <w:t xml:space="preserve"> </w:t>
      </w:r>
      <w:r w:rsidRPr="00726530">
        <w:t xml:space="preserve">scene of the </w:t>
      </w:r>
      <w:r>
        <w:t xml:space="preserve">Jan. 26, </w:t>
      </w:r>
      <w:proofErr w:type="gramStart"/>
      <w:r>
        <w:t>2020</w:t>
      </w:r>
      <w:proofErr w:type="gramEnd"/>
      <w:r>
        <w:t xml:space="preserve"> </w:t>
      </w:r>
      <w:r w:rsidRPr="00726530">
        <w:t>helicopter crash that killed NBA star Kobe Bryant</w:t>
      </w:r>
      <w:r>
        <w:t xml:space="preserve">, his daughter, Christopher Chester’s wife and daughter, among others.  He was ordered to take photos of the scene.  </w:t>
      </w:r>
      <w:r w:rsidRPr="00726530">
        <w:t>He alleged that he was later told to lie about taking</w:t>
      </w:r>
      <w:r>
        <w:t xml:space="preserve"> </w:t>
      </w:r>
      <w:r w:rsidRPr="00726530">
        <w:t>those photos. He further alleged that when he refused to lie, the</w:t>
      </w:r>
      <w:r>
        <w:t xml:space="preserve"> </w:t>
      </w:r>
      <w:r w:rsidRPr="00726530">
        <w:t>County retaliated against him by failing to pay for his legal</w:t>
      </w:r>
      <w:r>
        <w:t xml:space="preserve"> </w:t>
      </w:r>
      <w:r w:rsidRPr="00726530">
        <w:t>representation in an action brought by the crash victims’</w:t>
      </w:r>
      <w:r>
        <w:t xml:space="preserve"> </w:t>
      </w:r>
      <w:r w:rsidRPr="00726530">
        <w:t>families</w:t>
      </w:r>
      <w:r>
        <w:t xml:space="preserve"> (November 2021 deposition and August 2022 trial) </w:t>
      </w:r>
      <w:r w:rsidRPr="00726530">
        <w:t>and by denying him a retirement badge.</w:t>
      </w:r>
      <w:r>
        <w:t xml:space="preserve">  </w:t>
      </w:r>
      <w:hyperlink r:id="rId2438" w:history="1">
        <w:r w:rsidRPr="00F75E71">
          <w:rPr>
            <w:rStyle w:val="Hyperlink"/>
          </w:rPr>
          <w:t>https://www4.courts.ca.gov/opinions/nonpub/B333041.PDF</w:t>
        </w:r>
      </w:hyperlink>
      <w:r>
        <w:t xml:space="preserve"> </w:t>
      </w:r>
    </w:p>
    <w:p w14:paraId="1ECFE5CD" w14:textId="77777777" w:rsidR="000637E4" w:rsidRDefault="000637E4" w:rsidP="000637E4">
      <w:pPr>
        <w:pStyle w:val="NoSpacing"/>
      </w:pPr>
    </w:p>
    <w:p w14:paraId="28AFAC3C" w14:textId="77777777" w:rsidR="000637E4" w:rsidRDefault="000637E4" w:rsidP="000637E4">
      <w:pPr>
        <w:pStyle w:val="NoSpacing"/>
      </w:pPr>
      <w:r>
        <w:t>THE COURT HELD:</w:t>
      </w:r>
    </w:p>
    <w:p w14:paraId="766F4D90" w14:textId="77777777" w:rsidR="000637E4" w:rsidRDefault="000637E4" w:rsidP="000637E4">
      <w:pPr>
        <w:pStyle w:val="NoSpacing"/>
      </w:pPr>
    </w:p>
    <w:p w14:paraId="26FF905D" w14:textId="77777777" w:rsidR="000637E4" w:rsidRDefault="000637E4" w:rsidP="000637E4">
      <w:pPr>
        <w:pStyle w:val="NoSpacing"/>
        <w:ind w:left="720"/>
      </w:pPr>
      <w:r>
        <w:t>“A superior officer, Anthony Marrone, ordered Jordan, in the scope of Jordan’s work as a safety officer for the LACFD, to photograph the crash site. Jordan did so. An unnamed superior officer later told Jordan to delete all photos he had taken, and he complied. According to the complaint, at an unspecified later date, ‘defendants’ told Jordan to claim he had not taken any pictures. He refused to do so.</w:t>
      </w:r>
    </w:p>
    <w:p w14:paraId="35520DC9" w14:textId="77777777" w:rsidR="000637E4" w:rsidRDefault="000637E4" w:rsidP="000637E4">
      <w:pPr>
        <w:pStyle w:val="NoSpacing"/>
        <w:ind w:left="720"/>
      </w:pPr>
    </w:p>
    <w:p w14:paraId="27E7B53B" w14:textId="77777777" w:rsidR="000637E4" w:rsidRDefault="000637E4" w:rsidP="000637E4">
      <w:pPr>
        <w:pStyle w:val="NoSpacing"/>
        <w:ind w:left="720"/>
      </w:pPr>
      <w:r>
        <w:t>***</w:t>
      </w:r>
    </w:p>
    <w:p w14:paraId="7F2070C5" w14:textId="77777777" w:rsidR="000637E4" w:rsidRDefault="000637E4" w:rsidP="000637E4">
      <w:pPr>
        <w:pStyle w:val="NoSpacing"/>
        <w:ind w:left="720"/>
      </w:pPr>
      <w:r>
        <w:t>On December 2, 2020, Jordan applied for disability retirement. On December 3, he received a Notice of Intent to Terminate (Notice) from the LACFD. The Notice was based on the claim that Jordan had taken and disseminated photos of the crash site without authorization.</w:t>
      </w:r>
    </w:p>
    <w:p w14:paraId="1A933BB1" w14:textId="77777777" w:rsidR="000637E4" w:rsidRDefault="000637E4" w:rsidP="000637E4">
      <w:pPr>
        <w:pStyle w:val="NoSpacing"/>
        <w:ind w:left="720"/>
      </w:pPr>
    </w:p>
    <w:p w14:paraId="1D65AE2C" w14:textId="77777777" w:rsidR="000637E4" w:rsidRDefault="000637E4" w:rsidP="000637E4">
      <w:pPr>
        <w:pStyle w:val="NoSpacing"/>
        <w:ind w:left="720"/>
      </w:pPr>
      <w:r>
        <w:t>***</w:t>
      </w:r>
    </w:p>
    <w:p w14:paraId="60D7A2A7" w14:textId="77777777" w:rsidR="000637E4" w:rsidRDefault="000637E4" w:rsidP="000637E4">
      <w:pPr>
        <w:pStyle w:val="NoSpacing"/>
        <w:ind w:left="720"/>
      </w:pPr>
    </w:p>
    <w:p w14:paraId="4B87C43F" w14:textId="77777777" w:rsidR="000637E4" w:rsidRDefault="000637E4" w:rsidP="000637E4">
      <w:pPr>
        <w:pStyle w:val="NoSpacing"/>
        <w:ind w:left="720"/>
      </w:pPr>
      <w:r>
        <w:t>In May 2021, Christopher Chester named Jordan as a defendant in his lawsuit concerning the crash photographs. Jordan retained an attorney to represent him in the matter. The</w:t>
      </w:r>
    </w:p>
    <w:p w14:paraId="32808E16" w14:textId="77777777" w:rsidR="000637E4" w:rsidRDefault="000637E4" w:rsidP="000637E4">
      <w:pPr>
        <w:pStyle w:val="NoSpacing"/>
        <w:ind w:left="720"/>
      </w:pPr>
      <w:r>
        <w:t>County, through Deputy Fire Chief William McCloud, offered to pay for Jordan’s legal defense, but [Jordan alleges] only if he was willing to change lawyers and testify that he did not take any pictures at the crash site. Jordan rejected the County’s offer through his attorney.</w:t>
      </w:r>
    </w:p>
    <w:p w14:paraId="08D7BCBC" w14:textId="77777777" w:rsidR="000637E4" w:rsidRDefault="000637E4" w:rsidP="000637E4">
      <w:pPr>
        <w:pStyle w:val="NoSpacing"/>
        <w:ind w:left="720"/>
      </w:pPr>
    </w:p>
    <w:p w14:paraId="57702A7F" w14:textId="77777777" w:rsidR="000637E4" w:rsidRDefault="000637E4" w:rsidP="000637E4">
      <w:pPr>
        <w:pStyle w:val="NoSpacing"/>
        <w:ind w:left="720"/>
      </w:pPr>
      <w:r>
        <w:t>***</w:t>
      </w:r>
    </w:p>
    <w:p w14:paraId="051B3ECE" w14:textId="77777777" w:rsidR="000637E4" w:rsidRDefault="000637E4" w:rsidP="000637E4">
      <w:pPr>
        <w:pStyle w:val="NoSpacing"/>
        <w:ind w:left="720"/>
      </w:pPr>
      <w:r>
        <w:t>Thus, the only employment action at issue is the Notice. However, the County’s issuance of the Notice in December 2020 could not be retaliation for Jordan’s deposition and trial</w:t>
      </w:r>
    </w:p>
    <w:p w14:paraId="01451133" w14:textId="77777777" w:rsidR="000637E4" w:rsidRDefault="000637E4" w:rsidP="000637E4">
      <w:pPr>
        <w:pStyle w:val="NoSpacing"/>
        <w:ind w:left="720"/>
      </w:pPr>
      <w:r>
        <w:t>testimony which did not take place until November 2021 and August 2022, respectively…. However, Jordan’s government claim, which he attached to the</w:t>
      </w:r>
    </w:p>
    <w:p w14:paraId="51B17305" w14:textId="77777777" w:rsidR="000637E4" w:rsidRDefault="000637E4" w:rsidP="000637E4">
      <w:pPr>
        <w:pStyle w:val="NoSpacing"/>
        <w:ind w:left="720"/>
      </w:pPr>
      <w:r>
        <w:t>second amended complaint, indicates that this conversation occurred after he was named as a defendant in the Chester action in May 2021, several months after the County issued the Notice…. it is apparent on the face of the complaint that there could be no causal link between the protected activity and the actionable alleged retaliatory conduct.”</w:t>
      </w:r>
    </w:p>
    <w:p w14:paraId="1F966814" w14:textId="77777777" w:rsidR="000637E4" w:rsidRDefault="000637E4" w:rsidP="000637E4">
      <w:pPr>
        <w:pStyle w:val="NoSpacing"/>
        <w:ind w:left="720"/>
      </w:pPr>
    </w:p>
    <w:p w14:paraId="68237D5D" w14:textId="77777777" w:rsidR="000637E4" w:rsidRDefault="000637E4" w:rsidP="000637E4">
      <w:pPr>
        <w:pStyle w:val="NoSpacing"/>
        <w:rPr>
          <w:b/>
          <w:bCs/>
        </w:rPr>
      </w:pPr>
      <w:r>
        <w:rPr>
          <w:b/>
        </w:rPr>
        <w:t xml:space="preserve">Legal lesson learned: If ever ordered to destroy photos or other evidence, or to lie about your </w:t>
      </w:r>
      <w:proofErr w:type="gramStart"/>
      <w:r>
        <w:rPr>
          <w:b/>
        </w:rPr>
        <w:t>on duty</w:t>
      </w:r>
      <w:proofErr w:type="gramEnd"/>
      <w:r>
        <w:rPr>
          <w:b/>
        </w:rPr>
        <w:t xml:space="preserve"> conduct, immediately report it to a senior supervisor or prosecutor. </w:t>
      </w:r>
    </w:p>
    <w:p w14:paraId="348D382B" w14:textId="77777777" w:rsidR="000637E4" w:rsidRDefault="000637E4" w:rsidP="000637E4">
      <w:pPr>
        <w:pStyle w:val="NoSpacing"/>
        <w:rPr>
          <w:b/>
          <w:bCs/>
        </w:rPr>
      </w:pPr>
    </w:p>
    <w:p w14:paraId="28B0AC3A" w14:textId="77777777" w:rsidR="000637E4" w:rsidRDefault="000637E4" w:rsidP="000637E4">
      <w:pPr>
        <w:pStyle w:val="NoSpacing"/>
        <w:ind w:firstLine="720"/>
      </w:pPr>
      <w:r w:rsidRPr="003847B3">
        <w:t xml:space="preserve">Note: For example, see Ohio Revised Code – Whistleblower statute: </w:t>
      </w:r>
    </w:p>
    <w:p w14:paraId="1CCC0869" w14:textId="77777777" w:rsidR="000637E4" w:rsidRPr="00D47016" w:rsidRDefault="000637E4" w:rsidP="000637E4">
      <w:pPr>
        <w:pStyle w:val="NoSpacing"/>
        <w:ind w:firstLine="720"/>
        <w:rPr>
          <w:b/>
          <w:bCs/>
        </w:rPr>
      </w:pPr>
      <w:r w:rsidRPr="00D47016">
        <w:t>Section 4113.52 | Reporting violations by state and local officials and employees</w:t>
      </w:r>
    </w:p>
    <w:p w14:paraId="5A6B67BB" w14:textId="77777777" w:rsidR="000637E4" w:rsidRPr="003847B3" w:rsidRDefault="000637E4" w:rsidP="000637E4">
      <w:pPr>
        <w:pStyle w:val="NoSpacing"/>
        <w:ind w:firstLine="720"/>
      </w:pPr>
      <w:hyperlink r:id="rId2439" w:history="1">
        <w:r w:rsidRPr="00F75E71">
          <w:rPr>
            <w:rStyle w:val="Hyperlink"/>
          </w:rPr>
          <w:t>https://codes.ohio.gov/ohio-revised-code/section-4113.52</w:t>
        </w:r>
      </w:hyperlink>
      <w:r>
        <w:t xml:space="preserve"> </w:t>
      </w:r>
    </w:p>
    <w:p w14:paraId="657744A0" w14:textId="77777777" w:rsidR="000637E4" w:rsidRDefault="000637E4" w:rsidP="000637E4">
      <w:pPr>
        <w:pStyle w:val="NoSpacing"/>
        <w:ind w:left="720"/>
        <w:rPr>
          <w:bCs/>
        </w:rPr>
      </w:pPr>
    </w:p>
    <w:p w14:paraId="2B90AA35" w14:textId="77777777" w:rsidR="000637E4" w:rsidRPr="00727820" w:rsidRDefault="000637E4" w:rsidP="000637E4">
      <w:pPr>
        <w:pStyle w:val="NoSpacing"/>
        <w:ind w:left="720"/>
        <w:rPr>
          <w:bCs/>
        </w:rPr>
      </w:pPr>
      <w:r>
        <w:t>“</w:t>
      </w:r>
      <w:r w:rsidRPr="00727820">
        <w:t xml:space="preserve">(f) If a person becomes aware in the course of the person's employment of a violation of any state or federal statute or any ordinance or regulation of a political subdivision that the person's employer has authority to correct, and the person reasonably believes that the violation is a criminal offense that is likely to cause an </w:t>
      </w:r>
      <w:r w:rsidRPr="00727820">
        <w:lastRenderedPageBreak/>
        <w:t xml:space="preserve">imminent risk of physical harm to persons or a hazard to public health or safety, a felony, or an improper solicitation for a contribution, the person orally shall notify the person's supervisor or other responsible officer of the person's employer of the violation and subsequently shall file with that supervisor or officer a written report that provides sufficient detail to identify and describe the violation. If the employer does not correct the violation or make a reasonable and good faith effort to correct the violation within twenty-four hours after the oral notification or the receipt of the report, whichever is earlier, the person may file a written report that provides sufficient detail to identify and describe the violation with the prosecuting authority of the county or municipal corporation where the violation occurred, with a peace officer, with the inspector general if the violation is within the inspector general's jurisdiction, with the auditor of state's fraud-reporting system under section </w:t>
      </w:r>
      <w:hyperlink r:id="rId2440" w:history="1">
        <w:r w:rsidRPr="00727820">
          <w:rPr>
            <w:rStyle w:val="Hyperlink"/>
          </w:rPr>
          <w:t>117.103</w:t>
        </w:r>
      </w:hyperlink>
      <w:r w:rsidRPr="00727820">
        <w:t xml:space="preserve"> of the Revised Code if applicable, or with any other appropriate public official or agency that has regulatory authority over the employer and the industry, trade, or business in which the employer is engaged.</w:t>
      </w:r>
      <w:r>
        <w:t>”</w:t>
      </w:r>
    </w:p>
    <w:p w14:paraId="67DE854C" w14:textId="77777777" w:rsidR="000637E4" w:rsidRDefault="000637E4" w:rsidP="000637E4">
      <w:pPr>
        <w:pStyle w:val="NoSpacing"/>
        <w:ind w:left="720"/>
      </w:pPr>
    </w:p>
    <w:p w14:paraId="5EACB0D7" w14:textId="77777777" w:rsidR="000637E4" w:rsidRDefault="000637E4" w:rsidP="000637E4">
      <w:pPr>
        <w:pStyle w:val="NoSpacing"/>
      </w:pPr>
    </w:p>
    <w:p w14:paraId="22090817" w14:textId="77777777" w:rsidR="000637E4" w:rsidRDefault="000637E4" w:rsidP="000637E4">
      <w:pPr>
        <w:pStyle w:val="NoSpacing"/>
        <w:ind w:left="720"/>
      </w:pPr>
    </w:p>
    <w:p w14:paraId="5957C0A1" w14:textId="55687991" w:rsidR="00790D60" w:rsidRDefault="000637E4"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142</w:t>
      </w:r>
    </w:p>
    <w:p w14:paraId="084CF9C5" w14:textId="77777777" w:rsidR="00FC6682" w:rsidRDefault="00FC6682" w:rsidP="002F7727">
      <w:pPr>
        <w:pStyle w:val="NoSpacing"/>
        <w:rPr>
          <w:rFonts w:ascii="Arial Black" w:hAnsi="Arial Black"/>
          <w:b/>
          <w:sz w:val="24"/>
          <w:szCs w:val="24"/>
        </w:rPr>
      </w:pPr>
    </w:p>
    <w:p w14:paraId="1B7C880B" w14:textId="77777777" w:rsidR="00FC6682" w:rsidRPr="0072287A" w:rsidRDefault="00FC6682" w:rsidP="00FC6682">
      <w:pPr>
        <w:pStyle w:val="NoSpacing"/>
        <w:rPr>
          <w:rFonts w:ascii="Arial Black" w:hAnsi="Arial Black"/>
          <w:sz w:val="28"/>
          <w:szCs w:val="28"/>
        </w:rPr>
      </w:pPr>
      <w:r>
        <w:rPr>
          <w:rFonts w:ascii="Arial Black" w:hAnsi="Arial Black"/>
          <w:sz w:val="28"/>
          <w:szCs w:val="28"/>
        </w:rPr>
        <w:t xml:space="preserve">FEMA: 13-DAY SUSP – PROFANITY – TENSION FEMALES  </w:t>
      </w:r>
    </w:p>
    <w:p w14:paraId="137BD6FB" w14:textId="77777777" w:rsidR="00FC6682" w:rsidRDefault="00FC6682" w:rsidP="00FC6682">
      <w:pPr>
        <w:pStyle w:val="NoSpacing"/>
      </w:pPr>
    </w:p>
    <w:p w14:paraId="10F30B84" w14:textId="77777777" w:rsidR="00FC6682" w:rsidRDefault="00FC6682" w:rsidP="00FC6682">
      <w:pPr>
        <w:pStyle w:val="NoSpacing"/>
      </w:pPr>
      <w:r>
        <w:t xml:space="preserve">On December 22, 2025, in </w:t>
      </w:r>
      <w:r w:rsidRPr="004E708C">
        <w:rPr>
          <w:u w:val="single"/>
        </w:rPr>
        <w:t xml:space="preserve">Karl Rabenhorst v. Kristi L. Noem, Secretary, Department of Homeland </w:t>
      </w:r>
      <w:r>
        <w:rPr>
          <w:u w:val="single"/>
        </w:rPr>
        <w:t>S</w:t>
      </w:r>
      <w:r w:rsidRPr="004E708C">
        <w:rPr>
          <w:u w:val="single"/>
        </w:rPr>
        <w:t>ecurity</w:t>
      </w:r>
      <w:r>
        <w:t xml:space="preserve">, the U.S. Court of Appeals for Seventh Circuit (Chicago) held (3 to 0) that the DHS was properly granted summary judgment; the former FEMA employee was suspended for 13 days and also removed from deployment in Puerto Rice in October 2017 because of his misconduct. </w:t>
      </w:r>
      <w:hyperlink r:id="rId2441" w:history="1">
        <w:r w:rsidRPr="001402A1">
          <w:rPr>
            <w:rStyle w:val="Hyperlink"/>
          </w:rPr>
          <w:t>https://cases.justia.com/federal/appellate-courts/ca7/24-1297/24-1297-2025-12-22.pdf?ts=1766437242</w:t>
        </w:r>
      </w:hyperlink>
      <w:r>
        <w:t xml:space="preserve"> </w:t>
      </w:r>
    </w:p>
    <w:p w14:paraId="570D807F" w14:textId="77777777" w:rsidR="00FC6682" w:rsidRDefault="00FC6682" w:rsidP="00FC6682">
      <w:pPr>
        <w:pStyle w:val="NoSpacing"/>
      </w:pPr>
    </w:p>
    <w:p w14:paraId="3C077528" w14:textId="77777777" w:rsidR="00FC6682" w:rsidRDefault="00FC6682" w:rsidP="00FC6682">
      <w:pPr>
        <w:pStyle w:val="NoSpacing"/>
      </w:pPr>
    </w:p>
    <w:p w14:paraId="05266463" w14:textId="77777777" w:rsidR="00FC6682" w:rsidRDefault="00FC6682" w:rsidP="00FC6682">
      <w:pPr>
        <w:pStyle w:val="NoSpacing"/>
      </w:pPr>
      <w:r>
        <w:t>THE COURT HELD:</w:t>
      </w:r>
    </w:p>
    <w:p w14:paraId="2CE5F02D" w14:textId="77777777" w:rsidR="00FC6682" w:rsidRDefault="00FC6682" w:rsidP="00FC6682">
      <w:pPr>
        <w:pStyle w:val="NoSpacing"/>
      </w:pPr>
    </w:p>
    <w:p w14:paraId="0C3BA965" w14:textId="77777777" w:rsidR="00FC6682" w:rsidRDefault="00FC6682" w:rsidP="00FC6682">
      <w:pPr>
        <w:pStyle w:val="NoSpacing"/>
        <w:ind w:left="720"/>
      </w:pPr>
      <w:r>
        <w:t xml:space="preserve">“Rabenhorst was deployed to Puerto Rico in October 2017 in the wake of Hurricane Maria. Based on his military aviation and air operations experience, Rabenhorst was assigned to help oversee Puerto Rico air operations related to the disaster relief effort, including the airlifting of emergency aid to the island and medical evacuations from the island. In that capacity, Rabenhorst was working with female FEMA employees in their twenties who, according to him, knew nothing about air operations and management. Tensions arose between Rabenhorst and his female coworkers, and </w:t>
      </w:r>
      <w:proofErr w:type="gramStart"/>
      <w:r>
        <w:t>a number of</w:t>
      </w:r>
      <w:proofErr w:type="gramEnd"/>
      <w:r>
        <w:t xml:space="preserve"> the women became uncomfortable working with him. During staff meetings, Rabenhorst reportedly used profanity, treated his female coworkers and supervisors with disrespect, and on one </w:t>
      </w:r>
    </w:p>
    <w:p w14:paraId="67DE4043" w14:textId="77777777" w:rsidR="00FC6682" w:rsidRDefault="00FC6682" w:rsidP="00FC6682">
      <w:pPr>
        <w:pStyle w:val="NoSpacing"/>
        <w:ind w:left="720"/>
      </w:pPr>
      <w:r>
        <w:t>occasion referred to one or more of female colleagues as ‘sorority girls’ and remarked as to one of them that he had ‘paddled the butts of daughters who were older than her.’ Ultimately, approximately one month after Rabenhorst arrived in Puerto Rico, Josie Arcurio, the FEMA official serving as chief of staff for the relief effort, decided to remove him from the operation for cause, in view of his treatment of co-workers, and had him escorted out of the air operations branch in the view of other employees.</w:t>
      </w:r>
    </w:p>
    <w:p w14:paraId="5454297F" w14:textId="77777777" w:rsidR="00FC6682" w:rsidRDefault="00FC6682" w:rsidP="00FC6682">
      <w:pPr>
        <w:pStyle w:val="NoSpacing"/>
        <w:ind w:left="720"/>
      </w:pPr>
    </w:p>
    <w:p w14:paraId="3BC8E134" w14:textId="77777777" w:rsidR="00FC6682" w:rsidRDefault="00FC6682" w:rsidP="00FC6682">
      <w:pPr>
        <w:pStyle w:val="NoSpacing"/>
        <w:ind w:left="720"/>
      </w:pPr>
      <w:r>
        <w:t>***</w:t>
      </w:r>
    </w:p>
    <w:p w14:paraId="2474493B" w14:textId="77777777" w:rsidR="00FC6682" w:rsidRDefault="00FC6682" w:rsidP="00FC6682">
      <w:pPr>
        <w:pStyle w:val="NoSpacing"/>
        <w:ind w:left="720"/>
      </w:pPr>
      <w:r>
        <w:t xml:space="preserve">There was nothing suggesting that O’Leary [his </w:t>
      </w:r>
      <w:proofErr w:type="gramStart"/>
      <w:r>
        <w:t>Supervisor</w:t>
      </w:r>
      <w:proofErr w:type="gramEnd"/>
      <w:r>
        <w:t xml:space="preserve">] may have harbored a retaliatory animus; nothing indicating that </w:t>
      </w:r>
      <w:proofErr w:type="gramStart"/>
      <w:r>
        <w:t>similarly-situated</w:t>
      </w:r>
      <w:proofErr w:type="gramEnd"/>
      <w:r>
        <w:t xml:space="preserve"> employees were treated more leniently than Rabenhorst; and nothing suggesting that O’Leary’s stated reasons for disciplining Rabenhorst were pretextual.”</w:t>
      </w:r>
    </w:p>
    <w:p w14:paraId="1C2A1EE6" w14:textId="77777777" w:rsidR="00FC6682" w:rsidRDefault="00FC6682" w:rsidP="00FC6682">
      <w:pPr>
        <w:pStyle w:val="NoSpacing"/>
      </w:pPr>
    </w:p>
    <w:p w14:paraId="16F01574" w14:textId="77777777" w:rsidR="00FC6682" w:rsidRPr="00B85FEC" w:rsidRDefault="00FC6682" w:rsidP="00FC6682">
      <w:pPr>
        <w:pStyle w:val="NoSpacing"/>
        <w:rPr>
          <w:b/>
          <w:bCs/>
        </w:rPr>
      </w:pPr>
      <w:r>
        <w:rPr>
          <w:b/>
        </w:rPr>
        <w:t xml:space="preserve">Legal lesson learned: Inappropriate comments can lead to discipline. </w:t>
      </w:r>
    </w:p>
    <w:p w14:paraId="5CF76F7A" w14:textId="77777777" w:rsidR="00FC6682" w:rsidRDefault="00FC6682" w:rsidP="002F7727">
      <w:pPr>
        <w:pStyle w:val="NoSpacing"/>
        <w:rPr>
          <w:rFonts w:ascii="Arial Black" w:hAnsi="Arial Black"/>
          <w:b/>
          <w:sz w:val="24"/>
          <w:szCs w:val="24"/>
        </w:rPr>
      </w:pPr>
    </w:p>
    <w:p w14:paraId="570C3AA8" w14:textId="77777777" w:rsidR="00FC6682" w:rsidRDefault="00FC6682" w:rsidP="002F7727">
      <w:pPr>
        <w:pStyle w:val="NoSpacing"/>
        <w:rPr>
          <w:rFonts w:ascii="Arial Black" w:hAnsi="Arial Black"/>
          <w:b/>
          <w:sz w:val="24"/>
          <w:szCs w:val="24"/>
        </w:rPr>
      </w:pPr>
    </w:p>
    <w:p w14:paraId="4376075D" w14:textId="1D3C8363" w:rsidR="00FC6682" w:rsidRDefault="00FC6682"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141</w:t>
      </w:r>
    </w:p>
    <w:p w14:paraId="0F111372" w14:textId="77777777" w:rsidR="00A26558" w:rsidRDefault="00A26558" w:rsidP="002F7727">
      <w:pPr>
        <w:pStyle w:val="NoSpacing"/>
        <w:rPr>
          <w:rFonts w:ascii="Arial Black" w:hAnsi="Arial Black"/>
          <w:b/>
          <w:sz w:val="24"/>
          <w:szCs w:val="24"/>
        </w:rPr>
      </w:pPr>
    </w:p>
    <w:p w14:paraId="42224E97" w14:textId="2B785E23" w:rsidR="00A26558" w:rsidRPr="00EF05BE" w:rsidRDefault="00A26558" w:rsidP="00A26558">
      <w:pPr>
        <w:rPr>
          <w:rFonts w:ascii="Arial Black" w:hAnsi="Arial Black"/>
          <w:bCs/>
          <w:sz w:val="28"/>
          <w:szCs w:val="28"/>
        </w:rPr>
      </w:pPr>
      <w:r>
        <w:rPr>
          <w:rFonts w:ascii="Arial Black" w:hAnsi="Arial Black"/>
          <w:sz w:val="28"/>
          <w:szCs w:val="28"/>
        </w:rPr>
        <w:lastRenderedPageBreak/>
        <w:t xml:space="preserve">IL: FF CONVICTED – ENTERED FALSE HRS </w:t>
      </w:r>
      <w:r w:rsidR="006063CB">
        <w:rPr>
          <w:rFonts w:ascii="Arial Black" w:hAnsi="Arial Black"/>
          <w:sz w:val="28"/>
          <w:szCs w:val="28"/>
        </w:rPr>
        <w:t xml:space="preserve">FOR </w:t>
      </w:r>
      <w:r>
        <w:rPr>
          <w:rFonts w:ascii="Arial Black" w:hAnsi="Arial Black"/>
          <w:sz w:val="28"/>
          <w:szCs w:val="28"/>
        </w:rPr>
        <w:t xml:space="preserve">2 YRS - $17,000 </w:t>
      </w:r>
    </w:p>
    <w:p w14:paraId="392DCE60" w14:textId="77777777" w:rsidR="00A26558" w:rsidRDefault="00A26558" w:rsidP="00A26558">
      <w:pPr>
        <w:rPr>
          <w:bCs/>
        </w:rPr>
      </w:pPr>
      <w:r>
        <w:t xml:space="preserve">On December 15, 2025, in </w:t>
      </w:r>
      <w:r w:rsidRPr="007072AE">
        <w:rPr>
          <w:u w:val="single"/>
        </w:rPr>
        <w:t>The People of the State of Illinois v. Greg Algrim</w:t>
      </w:r>
      <w:r>
        <w:t xml:space="preserve">, the </w:t>
      </w:r>
      <w:r w:rsidRPr="007072AE">
        <w:t>Appellate Court of Illinois, Second District</w:t>
      </w:r>
      <w:r>
        <w:t xml:space="preserve"> held (3 to 0) that the firefighter, with 22 years on the job, was properly convicted in bench trial of </w:t>
      </w:r>
      <w:r w:rsidRPr="00B02511">
        <w:t>19 counts of theft</w:t>
      </w:r>
      <w:r>
        <w:t xml:space="preserve">, which occurred </w:t>
      </w:r>
      <w:r w:rsidRPr="00C75DBC">
        <w:t>between August 2, 2019, and September 10, 2021</w:t>
      </w:r>
      <w:r>
        <w:t xml:space="preserve">. The firefighter had administrator privileges with the scheduling software, and would add a false day that he worked a shift, and then after he was paid by direct </w:t>
      </w:r>
      <w:proofErr w:type="gramStart"/>
      <w:r>
        <w:t>deposit</w:t>
      </w:r>
      <w:proofErr w:type="gramEnd"/>
      <w:r>
        <w:t xml:space="preserve"> he would delete the false entry.  </w:t>
      </w:r>
      <w:r w:rsidRPr="008D6B98">
        <w:t xml:space="preserve">The </w:t>
      </w:r>
      <w:r>
        <w:t xml:space="preserve">trial </w:t>
      </w:r>
      <w:r w:rsidRPr="008D6B98">
        <w:t>court sentenced him to three</w:t>
      </w:r>
      <w:r>
        <w:t xml:space="preserve"> </w:t>
      </w:r>
      <w:r w:rsidRPr="008D6B98">
        <w:t>years’ probation and ordered him to pay $17,211.52 in restitution.</w:t>
      </w:r>
      <w:r>
        <w:t xml:space="preserve"> </w:t>
      </w:r>
      <w:hyperlink r:id="rId2442" w:history="1">
        <w:r w:rsidRPr="00811005">
          <w:rPr>
            <w:rStyle w:val="Hyperlink"/>
          </w:rPr>
          <w:t>https://cases.justia.com/illinois/court-of-appeals-second-appellate-district/2025-2-24-0565.pdf?ts=1765847849</w:t>
        </w:r>
      </w:hyperlink>
      <w:r>
        <w:t xml:space="preserve"> </w:t>
      </w:r>
    </w:p>
    <w:p w14:paraId="2D52FDCF" w14:textId="77777777" w:rsidR="00A26558" w:rsidRDefault="00A26558" w:rsidP="00A26558">
      <w:pPr>
        <w:rPr>
          <w:bCs/>
        </w:rPr>
      </w:pPr>
      <w:r>
        <w:t>THE COURT HELD:</w:t>
      </w:r>
    </w:p>
    <w:p w14:paraId="63DFCC3B" w14:textId="77777777" w:rsidR="00A26558" w:rsidRDefault="00A26558" w:rsidP="00A26558">
      <w:pPr>
        <w:pStyle w:val="NoSpacing"/>
        <w:ind w:left="720"/>
      </w:pPr>
      <w:r>
        <w:t>“</w:t>
      </w:r>
      <w:r w:rsidRPr="00C75DBC">
        <w:t>Defendant worked as a firefighter for the Elburn and Countryside Fire Protection District</w:t>
      </w:r>
      <w:r>
        <w:t xml:space="preserve"> </w:t>
      </w:r>
      <w:r w:rsidRPr="00C75DBC">
        <w:t>(District) until September 20, 2021, when he was placed on paid administrative leave pending the</w:t>
      </w:r>
      <w:r>
        <w:t xml:space="preserve"> </w:t>
      </w:r>
      <w:proofErr w:type="gramStart"/>
      <w:r w:rsidRPr="00C75DBC">
        <w:t>District’s</w:t>
      </w:r>
      <w:proofErr w:type="gramEnd"/>
      <w:r w:rsidRPr="00C75DBC">
        <w:t xml:space="preserve"> inquiry into discrepancies between the </w:t>
      </w:r>
      <w:proofErr w:type="gramStart"/>
      <w:r w:rsidRPr="00C75DBC">
        <w:t>hours</w:t>
      </w:r>
      <w:proofErr w:type="gramEnd"/>
      <w:r w:rsidRPr="00C75DBC">
        <w:t xml:space="preserve"> he had been paid for and the hours he had</w:t>
      </w:r>
      <w:r>
        <w:t xml:space="preserve"> </w:t>
      </w:r>
      <w:proofErr w:type="gramStart"/>
      <w:r w:rsidRPr="00C75DBC">
        <w:t>actually worked</w:t>
      </w:r>
      <w:proofErr w:type="gramEnd"/>
      <w:r w:rsidRPr="00C75DBC">
        <w:t>. The police interviewed defendant on September 30, 2021, and he subsequently</w:t>
      </w:r>
      <w:r>
        <w:t xml:space="preserve"> </w:t>
      </w:r>
      <w:r w:rsidRPr="00C75DBC">
        <w:t xml:space="preserve">resigned on November 25, 2021. </w:t>
      </w:r>
    </w:p>
    <w:p w14:paraId="1BAAF211" w14:textId="77777777" w:rsidR="00A26558" w:rsidRDefault="00A26558" w:rsidP="00A26558">
      <w:pPr>
        <w:pStyle w:val="NoSpacing"/>
        <w:ind w:left="720"/>
      </w:pPr>
    </w:p>
    <w:p w14:paraId="0815289B" w14:textId="77777777" w:rsidR="00A26558" w:rsidRDefault="00A26558" w:rsidP="00A26558">
      <w:pPr>
        <w:pStyle w:val="NoSpacing"/>
        <w:ind w:left="720"/>
      </w:pPr>
      <w:r w:rsidRPr="00C75DBC">
        <w:t>On July 20, 2022, a grand jury indicted defendant on 20 counts</w:t>
      </w:r>
      <w:r>
        <w:t xml:space="preserve"> </w:t>
      </w:r>
      <w:r w:rsidRPr="00C75DBC">
        <w:t>of theft that occurred between August 2, 2019, and September 10, 2021</w:t>
      </w:r>
      <w:proofErr w:type="gramStart"/>
      <w:r>
        <w:t>…..</w:t>
      </w:r>
      <w:proofErr w:type="gramEnd"/>
      <w:r>
        <w:t xml:space="preserve"> Defendant waived his right to a jury trial, and a bench trial was held over the course of four days in 2024: February 1 and 2, March 21, and April 9.</w:t>
      </w:r>
    </w:p>
    <w:p w14:paraId="2EC37F27" w14:textId="77777777" w:rsidR="00A26558" w:rsidRDefault="00A26558" w:rsidP="00A26558">
      <w:pPr>
        <w:pStyle w:val="NoSpacing"/>
        <w:ind w:left="720"/>
      </w:pPr>
    </w:p>
    <w:p w14:paraId="1CF1C187" w14:textId="77777777" w:rsidR="00A26558" w:rsidRDefault="00A26558" w:rsidP="00A26558">
      <w:pPr>
        <w:pStyle w:val="NoSpacing"/>
        <w:ind w:left="720"/>
      </w:pPr>
      <w:r>
        <w:t>***</w:t>
      </w:r>
    </w:p>
    <w:p w14:paraId="019A2107" w14:textId="77777777" w:rsidR="00A26558" w:rsidRDefault="00A26558" w:rsidP="00A26558">
      <w:pPr>
        <w:pStyle w:val="NoSpacing"/>
      </w:pPr>
    </w:p>
    <w:p w14:paraId="10F1B9E0" w14:textId="77777777" w:rsidR="00A26558" w:rsidRDefault="00A26558" w:rsidP="00A26558">
      <w:pPr>
        <w:pStyle w:val="NoSpacing"/>
        <w:ind w:left="720"/>
      </w:pPr>
      <w:r>
        <w:t xml:space="preserve">The State first called Merry Morris, who had worked as a financial specialist for the </w:t>
      </w:r>
      <w:proofErr w:type="gramStart"/>
      <w:r>
        <w:t>District</w:t>
      </w:r>
      <w:proofErr w:type="gramEnd"/>
      <w:r>
        <w:t xml:space="preserve"> for nearly 12 years. In that role, Morris processed payroll for the </w:t>
      </w:r>
      <w:proofErr w:type="gramStart"/>
      <w:r>
        <w:t>District</w:t>
      </w:r>
      <w:proofErr w:type="gramEnd"/>
      <w:r>
        <w:t>. When asked to describe her role in the payroll process, Morris stated:</w:t>
      </w:r>
    </w:p>
    <w:p w14:paraId="24747FEC" w14:textId="77777777" w:rsidR="00A26558" w:rsidRDefault="00A26558" w:rsidP="00A26558">
      <w:pPr>
        <w:pStyle w:val="NoSpacing"/>
      </w:pPr>
    </w:p>
    <w:p w14:paraId="245C52E5" w14:textId="77777777" w:rsidR="00A26558" w:rsidRDefault="00A26558" w:rsidP="00A26558">
      <w:pPr>
        <w:pStyle w:val="NoSpacing"/>
        <w:ind w:left="720" w:firstLine="720"/>
      </w:pPr>
      <w:r>
        <w:t>“Once I was advised that the timecards had been looked at [by supervisors], then I</w:t>
      </w:r>
    </w:p>
    <w:p w14:paraId="04E4E856" w14:textId="77777777" w:rsidR="00A26558" w:rsidRDefault="00A26558" w:rsidP="00A26558">
      <w:pPr>
        <w:pStyle w:val="NoSpacing"/>
        <w:ind w:left="1440"/>
      </w:pPr>
      <w:r>
        <w:t>would pull the schedule from the scheduling software and download that into an Excel spreadsheet, and then I would look over the spreadsheet for any obvious anomalies or errors, and then that was downloaded into the payroll company’s software so that checks could be written.”</w:t>
      </w:r>
    </w:p>
    <w:p w14:paraId="5CB1CB7F" w14:textId="77777777" w:rsidR="00A26558" w:rsidRDefault="00A26558" w:rsidP="00A26558">
      <w:pPr>
        <w:pStyle w:val="NoSpacing"/>
      </w:pPr>
    </w:p>
    <w:p w14:paraId="2BD8BBB0" w14:textId="77777777" w:rsidR="00A26558" w:rsidRDefault="00A26558" w:rsidP="00A26558">
      <w:pPr>
        <w:pStyle w:val="NoSpacing"/>
        <w:ind w:left="720"/>
      </w:pPr>
      <w:r>
        <w:t xml:space="preserve">Defendant was one of three employees who had administrator privileges with the scheduling software. Morris said she had no way to check whether employees worked the number of hours listed; she “wasn’t there, so [she] had no means of doing that.” Employees were paid every other Friday and were required to report their hours by Monday morning preceding </w:t>
      </w:r>
      <w:proofErr w:type="gramStart"/>
      <w:r>
        <w:t>a payday</w:t>
      </w:r>
      <w:proofErr w:type="gramEnd"/>
      <w:r>
        <w:t>. The hours reported by employees had to be approved by their “officers.” All payments were made by direct deposit.</w:t>
      </w:r>
    </w:p>
    <w:p w14:paraId="34A52A5A" w14:textId="77777777" w:rsidR="00A26558" w:rsidRDefault="00A26558" w:rsidP="00A26558">
      <w:pPr>
        <w:pStyle w:val="NoSpacing"/>
        <w:ind w:left="720"/>
      </w:pPr>
    </w:p>
    <w:p w14:paraId="3F568940" w14:textId="77777777" w:rsidR="00A26558" w:rsidRDefault="00A26558" w:rsidP="00A26558">
      <w:pPr>
        <w:pStyle w:val="NoSpacing"/>
        <w:ind w:left="720"/>
      </w:pPr>
      <w:r>
        <w:t>***</w:t>
      </w:r>
    </w:p>
    <w:p w14:paraId="75DC2BD2" w14:textId="77777777" w:rsidR="00A26558" w:rsidRDefault="00A26558" w:rsidP="00A26558">
      <w:pPr>
        <w:pStyle w:val="NoSpacing"/>
        <w:ind w:firstLine="720"/>
      </w:pPr>
    </w:p>
    <w:p w14:paraId="1A8A13BF" w14:textId="77777777" w:rsidR="00A26558" w:rsidRDefault="00A26558" w:rsidP="00A26558">
      <w:pPr>
        <w:pStyle w:val="NoSpacing"/>
        <w:ind w:left="720"/>
      </w:pPr>
      <w:r>
        <w:t xml:space="preserve">[Assistant Fire Chief] Huneke testified that, on September 10, 2021, defendant informed him that an employee of the </w:t>
      </w:r>
      <w:proofErr w:type="gramStart"/>
      <w:r>
        <w:t>District</w:t>
      </w:r>
      <w:proofErr w:type="gramEnd"/>
      <w:r>
        <w:t xml:space="preserve"> had not received overtime pay for a particular day. When Huneke accessed the scheduling software to investigate the issue, he happened to notice that defendant appeared on the schedule as a fourth medic on the day in question. Huneke explained that, typically, only three medics were assigned to each ambulance. Huneke verified that defendant received pay for working that day. Huneke then texted defendant to ask if he had been paid for working that day. Defendant replied that he was unsure whether he had been paid, but if he had, it was a mistake and the money should be deducted from his next paycheck. Huneke notified Joe Cluchey, the fire chief at the time, of defendant’s payroll discrepancy. Cluchey instructed Huneke to examine the entire payroll for other discrepancies. Huneke found two additional payroll discrepancies, both for wages paid to defendant. Huneke did not find discrepancies for any other employee.</w:t>
      </w:r>
    </w:p>
    <w:p w14:paraId="3E2454FD" w14:textId="77777777" w:rsidR="00A26558" w:rsidRDefault="00A26558" w:rsidP="00A26558">
      <w:pPr>
        <w:pStyle w:val="NoSpacing"/>
      </w:pPr>
    </w:p>
    <w:p w14:paraId="12DD3625" w14:textId="77777777" w:rsidR="00A26558" w:rsidRDefault="00A26558" w:rsidP="00A26558">
      <w:pPr>
        <w:pStyle w:val="NoSpacing"/>
      </w:pPr>
      <w:r>
        <w:tab/>
        <w:t>***</w:t>
      </w:r>
    </w:p>
    <w:p w14:paraId="4B72E0D0" w14:textId="77777777" w:rsidR="00A26558" w:rsidRDefault="00A26558" w:rsidP="00A26558">
      <w:pPr>
        <w:pStyle w:val="NoSpacing"/>
        <w:ind w:left="720"/>
      </w:pPr>
      <w:r>
        <w:lastRenderedPageBreak/>
        <w:t xml:space="preserve">The log for the scheduling software showed that, on July 29 at 7:45 a.m., defendant signed into the scheduling software. At 7:57 a.m., defendant added himself to the schedule as a medic for voluntary overtime from 7 a.m. on July 24 to 7 a.m. on July 25. Payroll processing occurred the following Monday, July 29. On August 2, defendant signed into the scheduling software and deleted the 24-hour overtime shift that he had added. Huneke went on to testify about other discrepancies in the reports that inflated defendant’s pay. Huneke stated that his investigation found no discrepancies affecting other </w:t>
      </w:r>
      <w:proofErr w:type="gramStart"/>
      <w:r>
        <w:t>employees.”</w:t>
      </w:r>
      <w:proofErr w:type="gramEnd"/>
    </w:p>
    <w:p w14:paraId="11276E52" w14:textId="77777777" w:rsidR="00A26558" w:rsidRDefault="00A26558" w:rsidP="00A26558">
      <w:pPr>
        <w:pStyle w:val="NoSpacing"/>
        <w:ind w:left="720"/>
      </w:pPr>
    </w:p>
    <w:p w14:paraId="30C002B4" w14:textId="77777777" w:rsidR="00A26558" w:rsidRDefault="00A26558" w:rsidP="00A26558">
      <w:pPr>
        <w:pStyle w:val="NoSpacing"/>
        <w:rPr>
          <w:b/>
          <w:bCs/>
        </w:rPr>
      </w:pPr>
      <w:r>
        <w:rPr>
          <w:b/>
        </w:rPr>
        <w:t xml:space="preserve">Legal lesson learned:  Payroll software should reflect all entries and deletions; and should be audited at least each year by auditing entity. </w:t>
      </w:r>
    </w:p>
    <w:p w14:paraId="51346EBC" w14:textId="77777777" w:rsidR="00A26558" w:rsidRDefault="00A26558" w:rsidP="00A26558">
      <w:pPr>
        <w:pStyle w:val="NoSpacing"/>
        <w:rPr>
          <w:b/>
          <w:bCs/>
        </w:rPr>
      </w:pPr>
    </w:p>
    <w:p w14:paraId="6388F6BD" w14:textId="77777777" w:rsidR="00A26558" w:rsidRDefault="00A26558" w:rsidP="00A26558">
      <w:pPr>
        <w:pStyle w:val="NoSpacing"/>
        <w:rPr>
          <w:b/>
          <w:bCs/>
        </w:rPr>
      </w:pPr>
    </w:p>
    <w:p w14:paraId="00D9E491" w14:textId="51B58937" w:rsidR="00A26558" w:rsidRDefault="00A26558"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140</w:t>
      </w:r>
    </w:p>
    <w:p w14:paraId="47B46F42" w14:textId="77777777" w:rsidR="00583923" w:rsidRDefault="00583923" w:rsidP="002F7727">
      <w:pPr>
        <w:pStyle w:val="NoSpacing"/>
        <w:rPr>
          <w:rFonts w:ascii="Arial Black" w:hAnsi="Arial Black"/>
          <w:b/>
          <w:sz w:val="24"/>
          <w:szCs w:val="24"/>
        </w:rPr>
      </w:pPr>
    </w:p>
    <w:p w14:paraId="27B05BF3" w14:textId="2948F767" w:rsidR="00583923" w:rsidRPr="00C51DC6" w:rsidRDefault="00583923" w:rsidP="00583923">
      <w:pPr>
        <w:pStyle w:val="NoSpacing"/>
        <w:rPr>
          <w:rFonts w:ascii="Arial Black" w:hAnsi="Arial Black"/>
          <w:bCs/>
          <w:sz w:val="28"/>
          <w:szCs w:val="28"/>
        </w:rPr>
      </w:pPr>
      <w:r>
        <w:rPr>
          <w:rFonts w:ascii="Arial Black" w:hAnsi="Arial Black"/>
          <w:sz w:val="28"/>
          <w:szCs w:val="28"/>
        </w:rPr>
        <w:t>NY: FDNY – COVID RELIGIOUS APPEAL – NO CASE</w:t>
      </w:r>
    </w:p>
    <w:p w14:paraId="33C43BAA" w14:textId="77777777" w:rsidR="00583923" w:rsidRDefault="00583923" w:rsidP="00583923">
      <w:pPr>
        <w:pStyle w:val="NoSpacing"/>
        <w:ind w:left="720"/>
        <w:rPr>
          <w:bCs/>
        </w:rPr>
      </w:pPr>
    </w:p>
    <w:p w14:paraId="0A31C00E" w14:textId="77777777" w:rsidR="00583923" w:rsidRDefault="00583923" w:rsidP="00583923">
      <w:pPr>
        <w:rPr>
          <w:bCs/>
        </w:rPr>
      </w:pPr>
      <w:r>
        <w:t xml:space="preserve">On December 17, 2025, </w:t>
      </w:r>
      <w:r w:rsidRPr="00C54553">
        <w:rPr>
          <w:u w:val="single"/>
        </w:rPr>
        <w:t xml:space="preserve">In </w:t>
      </w:r>
      <w:proofErr w:type="gramStart"/>
      <w:r w:rsidRPr="00C54553">
        <w:rPr>
          <w:u w:val="single"/>
        </w:rPr>
        <w:t>The</w:t>
      </w:r>
      <w:proofErr w:type="gramEnd"/>
      <w:r w:rsidRPr="00C54553">
        <w:rPr>
          <w:u w:val="single"/>
        </w:rPr>
        <w:t xml:space="preserve"> Matter</w:t>
      </w:r>
      <w:r w:rsidRPr="00B2157A">
        <w:rPr>
          <w:u w:val="single"/>
        </w:rPr>
        <w:t xml:space="preserve"> of Christopher Hughes v. New York City Fire Department, et al</w:t>
      </w:r>
      <w:r w:rsidRPr="00B2157A">
        <w:t>.,</w:t>
      </w:r>
      <w:r w:rsidRPr="0013709D">
        <w:rPr>
          <w:b/>
        </w:rPr>
        <w:t xml:space="preserve"> </w:t>
      </w:r>
      <w:r w:rsidRPr="00B2157A">
        <w:t>the Supreme Court of New York, Second Department</w:t>
      </w:r>
      <w:r>
        <w:t xml:space="preserve"> held (4 to 0) that the trial court judge decision reinstating the firefighter is reversed; NYFD properly fired the plaintiff on July 27, </w:t>
      </w:r>
      <w:proofErr w:type="gramStart"/>
      <w:r>
        <w:t>2022</w:t>
      </w:r>
      <w:proofErr w:type="gramEnd"/>
      <w:r>
        <w:t xml:space="preserve"> after denying his religious accommodation request. </w:t>
      </w:r>
      <w:hyperlink r:id="rId2443" w:history="1">
        <w:r w:rsidRPr="00B346EB">
          <w:rPr>
            <w:rStyle w:val="Hyperlink"/>
          </w:rPr>
          <w:t>https://law.justia.com/cases/new-york/appellate-division-second-department/2025/2024-01225.html</w:t>
        </w:r>
      </w:hyperlink>
      <w:r>
        <w:t xml:space="preserve"> </w:t>
      </w:r>
    </w:p>
    <w:p w14:paraId="31A17DA7" w14:textId="77777777" w:rsidR="00583923" w:rsidRDefault="00583923" w:rsidP="00583923">
      <w:pPr>
        <w:pStyle w:val="NoSpacing"/>
      </w:pPr>
      <w:r>
        <w:t>THE COURT HELD:</w:t>
      </w:r>
    </w:p>
    <w:p w14:paraId="1B5E3BB9" w14:textId="77777777" w:rsidR="00583923" w:rsidRDefault="00583923" w:rsidP="00583923">
      <w:pPr>
        <w:pStyle w:val="NoSpacing"/>
      </w:pPr>
    </w:p>
    <w:p w14:paraId="0925E9B3" w14:textId="77777777" w:rsidR="00583923" w:rsidRDefault="00583923" w:rsidP="00583923">
      <w:pPr>
        <w:pStyle w:val="NoSpacing"/>
        <w:ind w:left="720"/>
      </w:pPr>
      <w:r>
        <w:t>“</w:t>
      </w:r>
      <w:r w:rsidRPr="00042449">
        <w:t>The petitioner was a firefighter with the New York City Fire Department (hereinafter the FDNY). By order dated October 20, 2021, the New York City Commissioner of Health and Mental Hygiene issued a mandate requiring all City employees, among others, to submit proof that they had received at least one dose of a COVID-19 vaccine by October 29, 2021 (hereinafter the vaccine mandate). On November 1, 2021, the petitioner was placed on leave, without pay, since he failed to submit proof of vaccination or request a reasonable accommodation by the specified deadline.</w:t>
      </w:r>
    </w:p>
    <w:p w14:paraId="0E832211" w14:textId="77777777" w:rsidR="00583923" w:rsidRDefault="00583923" w:rsidP="00583923">
      <w:pPr>
        <w:pStyle w:val="NoSpacing"/>
      </w:pPr>
    </w:p>
    <w:p w14:paraId="57BE95D4" w14:textId="77777777" w:rsidR="00583923" w:rsidRDefault="00583923" w:rsidP="00583923">
      <w:pPr>
        <w:pStyle w:val="NoSpacing"/>
        <w:ind w:left="720"/>
      </w:pPr>
      <w:r w:rsidRPr="00507DFD">
        <w:t xml:space="preserve">On November 5, 2021, the petitioner submitted a request to the FDNY's Equal Employment Opportunity Office for a reasonable accommodation from the vaccine mandate based on his religion, which was denied on December 8, 2021. The petitioner then appealed to the City of New York Reasonable Accommodation Appeals Panel (hereinafter the Panel). In a determination dated July 11, 2022, the Panel upheld the FDNY's denial of the petitioner's request for </w:t>
      </w:r>
      <w:proofErr w:type="gramStart"/>
      <w:r w:rsidRPr="00507DFD">
        <w:t>a reasonable</w:t>
      </w:r>
      <w:proofErr w:type="gramEnd"/>
      <w:r w:rsidRPr="00507DFD">
        <w:t xml:space="preserve"> accommodation. The FDNY then terminated the petitioner's employment on July 27, 2022.</w:t>
      </w:r>
    </w:p>
    <w:p w14:paraId="4586D3EF" w14:textId="77777777" w:rsidR="00583923" w:rsidRDefault="00583923" w:rsidP="00583923">
      <w:pPr>
        <w:pStyle w:val="NoSpacing"/>
        <w:ind w:left="720"/>
      </w:pPr>
    </w:p>
    <w:p w14:paraId="607D6392" w14:textId="77777777" w:rsidR="00583923" w:rsidRDefault="00583923" w:rsidP="00583923">
      <w:pPr>
        <w:pStyle w:val="NoSpacing"/>
        <w:ind w:left="720"/>
      </w:pPr>
      <w:r>
        <w:t>***</w:t>
      </w:r>
    </w:p>
    <w:p w14:paraId="4561B985" w14:textId="77777777" w:rsidR="00583923" w:rsidRDefault="00583923" w:rsidP="00583923">
      <w:pPr>
        <w:pStyle w:val="NoSpacing"/>
        <w:ind w:left="720"/>
      </w:pPr>
      <w:r w:rsidRPr="00E03C01">
        <w:t>Supreme Court, Kings County (Joy F. Campanelli, J), dated October 18, 2023</w:t>
      </w:r>
      <w:r>
        <w:t xml:space="preserve"> … </w:t>
      </w:r>
      <w:r w:rsidRPr="00E03C01">
        <w:t>granted the petition, in effect, annulled the determination dated July 11, 2022, directed the New York City Fire Department and the City of New York to reinstate the petitioner to his position as a firefighter with a reasonable accommodation from the vaccine mandate and back pay, and directed that the petitioner was entitled to an award of attorneys' fees.</w:t>
      </w:r>
    </w:p>
    <w:p w14:paraId="51170938" w14:textId="77777777" w:rsidR="00583923" w:rsidRDefault="00583923" w:rsidP="00583923">
      <w:pPr>
        <w:pStyle w:val="NoSpacing"/>
        <w:ind w:left="720"/>
      </w:pPr>
    </w:p>
    <w:p w14:paraId="7BC98461" w14:textId="77777777" w:rsidR="00583923" w:rsidRDefault="00583923" w:rsidP="00583923">
      <w:pPr>
        <w:pStyle w:val="NoSpacing"/>
        <w:ind w:left="720"/>
      </w:pPr>
      <w:r>
        <w:t>***</w:t>
      </w:r>
    </w:p>
    <w:p w14:paraId="7CE871AC" w14:textId="77777777" w:rsidR="00583923" w:rsidRDefault="00583923" w:rsidP="00583923">
      <w:pPr>
        <w:pStyle w:val="NoSpacing"/>
        <w:ind w:left="720"/>
      </w:pPr>
    </w:p>
    <w:p w14:paraId="7C5DDE2C" w14:textId="77777777" w:rsidR="00583923" w:rsidRDefault="00583923" w:rsidP="00583923">
      <w:pPr>
        <w:pStyle w:val="NoSpacing"/>
        <w:ind w:left="720"/>
      </w:pPr>
      <w:r w:rsidRPr="008D4AC1">
        <w:t xml:space="preserve">The </w:t>
      </w:r>
      <w:r>
        <w:t xml:space="preserve">[FDNY] </w:t>
      </w:r>
      <w:r w:rsidRPr="008D4AC1">
        <w:t>provided information on the process for reviewing accommodation requests related to the vaccine mandate and informed employees on how to appeal request denials. The record demonstrates that the petitioner availed himself of this process. Moreover, the record shows that there were multiple communications between the petitioner, the FDNY, and the Panel regarding the petitioner's request. The petitioner "failed to establish that, under the unique circumstances present at the time of the vaccine mandate, the NYCHRL required a more robust or individual dialogue" (</w:t>
      </w:r>
      <w:r w:rsidRPr="008D4AC1">
        <w:rPr>
          <w:i/>
          <w:iCs/>
        </w:rPr>
        <w:t>Matter of Smith v New York City Fire Dept.</w:t>
      </w:r>
      <w:r w:rsidRPr="008D4AC1">
        <w:t>, 239 AD3d at 872).</w:t>
      </w:r>
      <w:r>
        <w:t>”</w:t>
      </w:r>
    </w:p>
    <w:p w14:paraId="38214694" w14:textId="77777777" w:rsidR="00583923" w:rsidRDefault="00583923" w:rsidP="00583923">
      <w:pPr>
        <w:pStyle w:val="NoSpacing"/>
        <w:ind w:left="720"/>
      </w:pPr>
    </w:p>
    <w:p w14:paraId="6F9D7AB2" w14:textId="77777777" w:rsidR="00583923" w:rsidRPr="00431A3E" w:rsidRDefault="00583923" w:rsidP="00583923">
      <w:pPr>
        <w:pStyle w:val="NoSpacing"/>
        <w:rPr>
          <w:b/>
          <w:bCs/>
        </w:rPr>
      </w:pPr>
      <w:r>
        <w:rPr>
          <w:b/>
        </w:rPr>
        <w:lastRenderedPageBreak/>
        <w:t xml:space="preserve">Legal lesson learned: </w:t>
      </w:r>
      <w:r w:rsidRPr="00431A3E">
        <w:rPr>
          <w:b/>
        </w:rPr>
        <w:t xml:space="preserve">The </w:t>
      </w:r>
      <w:r>
        <w:rPr>
          <w:b/>
        </w:rPr>
        <w:t xml:space="preserve">Supreme </w:t>
      </w:r>
      <w:r w:rsidRPr="00431A3E">
        <w:rPr>
          <w:b/>
        </w:rPr>
        <w:t>Court</w:t>
      </w:r>
      <w:r>
        <w:rPr>
          <w:b/>
        </w:rPr>
        <w:t xml:space="preserve"> of New York</w:t>
      </w:r>
      <w:r w:rsidRPr="00431A3E">
        <w:rPr>
          <w:b/>
        </w:rPr>
        <w:t xml:space="preserve"> has repeatedly upheld </w:t>
      </w:r>
      <w:r>
        <w:rPr>
          <w:b/>
        </w:rPr>
        <w:t xml:space="preserve">termination decisions after firefighters </w:t>
      </w:r>
      <w:proofErr w:type="gramStart"/>
      <w:r>
        <w:rPr>
          <w:b/>
        </w:rPr>
        <w:t>has</w:t>
      </w:r>
      <w:proofErr w:type="gramEnd"/>
      <w:r>
        <w:rPr>
          <w:b/>
        </w:rPr>
        <w:t xml:space="preserve"> appealed to t</w:t>
      </w:r>
      <w:r w:rsidRPr="00431A3E">
        <w:rPr>
          <w:b/>
        </w:rPr>
        <w:t>he City of New York Reasonable Accommodation Appeals Panel</w:t>
      </w:r>
      <w:r>
        <w:rPr>
          <w:b/>
        </w:rPr>
        <w:t>.</w:t>
      </w:r>
    </w:p>
    <w:p w14:paraId="07790431" w14:textId="77777777" w:rsidR="00583923" w:rsidRDefault="00583923" w:rsidP="00583923">
      <w:pPr>
        <w:rPr>
          <w:b/>
        </w:rPr>
      </w:pPr>
    </w:p>
    <w:p w14:paraId="28FDB25D" w14:textId="77777777" w:rsidR="00583923" w:rsidRDefault="00583923" w:rsidP="002F7727">
      <w:pPr>
        <w:pStyle w:val="NoSpacing"/>
        <w:rPr>
          <w:rFonts w:ascii="Arial Black" w:hAnsi="Arial Black"/>
          <w:b/>
          <w:sz w:val="24"/>
          <w:szCs w:val="24"/>
        </w:rPr>
      </w:pPr>
    </w:p>
    <w:p w14:paraId="47FC3B6E" w14:textId="77777777" w:rsidR="00966476" w:rsidRDefault="00966476" w:rsidP="002F7727">
      <w:pPr>
        <w:pStyle w:val="NoSpacing"/>
        <w:rPr>
          <w:rFonts w:ascii="Arial Black" w:hAnsi="Arial Black"/>
          <w:b/>
          <w:sz w:val="24"/>
          <w:szCs w:val="24"/>
        </w:rPr>
      </w:pPr>
    </w:p>
    <w:p w14:paraId="10446712" w14:textId="77777777" w:rsidR="00966476" w:rsidRDefault="00966476" w:rsidP="002F7727">
      <w:pPr>
        <w:pStyle w:val="NoSpacing"/>
        <w:rPr>
          <w:rFonts w:ascii="Arial Black" w:hAnsi="Arial Black"/>
          <w:b/>
          <w:sz w:val="24"/>
          <w:szCs w:val="24"/>
        </w:rPr>
      </w:pPr>
    </w:p>
    <w:p w14:paraId="0D1E15C8" w14:textId="3280BFA2" w:rsidR="00E775DC" w:rsidRDefault="00E775DC"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9</w:t>
      </w:r>
    </w:p>
    <w:p w14:paraId="4BCCC6D2" w14:textId="77777777" w:rsidR="007E0BE0" w:rsidRDefault="007E0BE0" w:rsidP="00E775DC">
      <w:pPr>
        <w:pStyle w:val="NoSpacing"/>
        <w:rPr>
          <w:rFonts w:ascii="Arial Black" w:hAnsi="Arial Black"/>
          <w:sz w:val="28"/>
          <w:szCs w:val="28"/>
        </w:rPr>
      </w:pPr>
    </w:p>
    <w:p w14:paraId="507A8B4A" w14:textId="4A161267" w:rsidR="00E775DC" w:rsidRDefault="00E775DC" w:rsidP="00E775DC">
      <w:pPr>
        <w:pStyle w:val="NoSpacing"/>
        <w:rPr>
          <w:rFonts w:ascii="Arial Black" w:hAnsi="Arial Black"/>
          <w:sz w:val="28"/>
          <w:szCs w:val="28"/>
        </w:rPr>
      </w:pPr>
      <w:r>
        <w:rPr>
          <w:rFonts w:ascii="Arial Black" w:hAnsi="Arial Black"/>
          <w:sz w:val="28"/>
          <w:szCs w:val="28"/>
        </w:rPr>
        <w:t>OH: FF ARRESTED CHILD PORN – IN JAIL UNTIL TRIAL</w:t>
      </w:r>
    </w:p>
    <w:p w14:paraId="083E6BAE" w14:textId="77777777" w:rsidR="00E775DC" w:rsidRDefault="00E775DC" w:rsidP="00E775DC">
      <w:pPr>
        <w:pStyle w:val="NoSpacing"/>
        <w:rPr>
          <w:rFonts w:ascii="Arial Black" w:hAnsi="Arial Black"/>
          <w:sz w:val="28"/>
          <w:szCs w:val="28"/>
        </w:rPr>
      </w:pPr>
    </w:p>
    <w:p w14:paraId="5DB5A4DC" w14:textId="77777777" w:rsidR="00E775DC" w:rsidRDefault="00E775DC" w:rsidP="00E775DC">
      <w:pPr>
        <w:pStyle w:val="NoSpacing"/>
      </w:pPr>
      <w:r>
        <w:t xml:space="preserve">On November 18, </w:t>
      </w:r>
      <w:proofErr w:type="gramStart"/>
      <w:r>
        <w:t>2025</w:t>
      </w:r>
      <w:proofErr w:type="gramEnd"/>
      <w:r>
        <w:t xml:space="preserve"> in </w:t>
      </w:r>
      <w:r w:rsidRPr="00831A9A">
        <w:rPr>
          <w:u w:val="single"/>
        </w:rPr>
        <w:t>United States of America v. Carson A. Bigham</w:t>
      </w:r>
      <w:r>
        <w:t xml:space="preserve">, U.S. District Court Judge Algenon L. Marbley, United States District Court for Southern District of Ohio, Eastern Division, denied the firefighter’s </w:t>
      </w:r>
      <w:r w:rsidRPr="00006775">
        <w:t>Motion for the Revocation of Detention</w:t>
      </w:r>
      <w:r>
        <w:t xml:space="preserve">; he was arrested on May 22, 2025, and denied release by U.S. Magistrate Judge </w:t>
      </w:r>
      <w:r w:rsidRPr="001337BD">
        <w:t>Kimberly A. Jolson</w:t>
      </w:r>
      <w:r>
        <w:t>. The Government advised the Court that Bigham, us</w:t>
      </w:r>
      <w:r w:rsidRPr="00A96EF6">
        <w:t>ing an alias</w:t>
      </w:r>
      <w:r>
        <w:t xml:space="preserve"> starting </w:t>
      </w:r>
      <w:proofErr w:type="spellStart"/>
      <w:r>
        <w:t>n</w:t>
      </w:r>
      <w:proofErr w:type="spellEnd"/>
      <w:r>
        <w:t xml:space="preserve"> August 2024, </w:t>
      </w:r>
      <w:r w:rsidRPr="00A96EF6">
        <w:t>began communicating with a one Mr. Richard Tyler Campbell over Snapchat, where they discussed having sex with minors.</w:t>
      </w:r>
      <w:r>
        <w:t xml:space="preserve">  THE COURT WROTE: “</w:t>
      </w:r>
      <w:r w:rsidRPr="00434B35">
        <w:t>Here, the weight of evidence of Bigham's dangerousness is apparent. Carson Bigham is a firefighter entrusted with public safety.</w:t>
      </w:r>
      <w:r>
        <w:t xml:space="preserve"> *** </w:t>
      </w:r>
      <w:r w:rsidRPr="00434B35">
        <w:t>He even left his underwear and a used condom for Campbell outside the Columbus fire station he worked at as a “show of good faith.” (</w:t>
      </w:r>
      <w:r w:rsidRPr="00434B35">
        <w:rPr>
          <w:i/>
          <w:iCs/>
        </w:rPr>
        <w:t>Id.</w:t>
      </w:r>
      <w:r w:rsidRPr="00434B35">
        <w:t xml:space="preserve"> at 12-13). Bigham used his own fire station as a personal playground for his fetishes and took brazen, public steps to view and obtain more child pornography. This demonstrates the danger that he would pose to minors and the public if released. This factor also weighs in favor of detention.</w:t>
      </w:r>
      <w:r>
        <w:t xml:space="preserve">” </w:t>
      </w:r>
    </w:p>
    <w:p w14:paraId="1C828409" w14:textId="77777777" w:rsidR="00E775DC" w:rsidRDefault="00E775DC" w:rsidP="00E775DC">
      <w:pPr>
        <w:pStyle w:val="NoSpacing"/>
      </w:pPr>
      <w:hyperlink r:id="rId2444" w:history="1">
        <w:r w:rsidRPr="00583A8C">
          <w:rPr>
            <w:rStyle w:val="Hyperlink"/>
          </w:rPr>
          <w:t>https://public.fastcase.com/jaEE2PXzRXmZ99jOLMt1Io06bpL9%2FLcVXr53aaIUyQvAP5%2BtJH87Oz9onDjzcythnenHIV2f708%2FwR4gt4qkO1f7jeRt%2FKEtj1yUDHm75oU%3D?utm_medium=email&amp;_hsenc=p2ANqtz-_2UmH9uPWr2Na6-FEToPkSf6GcL7PU5KfrxYC2lQgS-z6zkFrF54nulArls3PhR-gkNqFrsBzQlt3BvLsHbxpWeUso_A&amp;_hsmi=226712652&amp;utm_content=226712652&amp;utm_source=hs_email</w:t>
        </w:r>
      </w:hyperlink>
      <w:r>
        <w:t xml:space="preserve"> </w:t>
      </w:r>
    </w:p>
    <w:p w14:paraId="56100743" w14:textId="77777777" w:rsidR="00E775DC" w:rsidRDefault="00E775DC" w:rsidP="00E775DC">
      <w:pPr>
        <w:pStyle w:val="NoSpacing"/>
      </w:pPr>
    </w:p>
    <w:p w14:paraId="3FF385CF" w14:textId="77777777" w:rsidR="00E775DC" w:rsidRDefault="00E775DC" w:rsidP="00E775DC">
      <w:pPr>
        <w:pStyle w:val="NoSpacing"/>
      </w:pPr>
      <w:r>
        <w:t>THE COURT HELD:</w:t>
      </w:r>
    </w:p>
    <w:p w14:paraId="7C612253" w14:textId="77777777" w:rsidR="00E775DC" w:rsidRDefault="00E775DC" w:rsidP="00E775DC">
      <w:pPr>
        <w:pStyle w:val="NoSpacing"/>
      </w:pPr>
    </w:p>
    <w:p w14:paraId="356EB8F9" w14:textId="77777777" w:rsidR="00E775DC" w:rsidRDefault="00E775DC" w:rsidP="00E775DC">
      <w:pPr>
        <w:pStyle w:val="NoSpacing"/>
        <w:ind w:left="720"/>
        <w:rPr>
          <w:bCs/>
        </w:rPr>
      </w:pPr>
      <w:r>
        <w:t>“</w:t>
      </w:r>
      <w:r w:rsidRPr="00A13912">
        <w:t> Mr. Bigham is a firefighter in the Columbus area who is charged with possession of child pornography</w:t>
      </w:r>
      <w:r>
        <w:t xml:space="preserve">…. </w:t>
      </w:r>
      <w:r w:rsidRPr="00A13912">
        <w:t>The Government alleges that in August 2024, Bigham, using an alias, began communicating with a one Mr. Richard Tyler Campbell over Snapchat, where they discussed having sex with minors</w:t>
      </w:r>
      <w:r>
        <w:t xml:space="preserve">…. </w:t>
      </w:r>
      <w:r w:rsidRPr="00A13912">
        <w:t xml:space="preserve">Campbell sent Bigham a video of an adult man engaging in sex acts prepubescent minor who appeared to be 6 or 7 years old. Bigham expressed gratitude and requested specific child pornography from Campbell, including pornography that would depict the minor child </w:t>
      </w:r>
      <w:r>
        <w:t>‘</w:t>
      </w:r>
      <w:r w:rsidRPr="00A13912">
        <w:t>bent over</w:t>
      </w:r>
      <w:r>
        <w:t>’</w:t>
      </w:r>
      <w:r w:rsidRPr="00A13912">
        <w:t xml:space="preserve"> in the way that Bigham </w:t>
      </w:r>
      <w:r>
        <w:t>‘</w:t>
      </w:r>
      <w:r w:rsidRPr="00A13912">
        <w:t>[would] want her.</w:t>
      </w:r>
      <w:r>
        <w:t xml:space="preserve">’ … </w:t>
      </w:r>
      <w:r w:rsidRPr="00A13912">
        <w:t xml:space="preserve"> The two met at a restaurant for lunch, where they watched child pornography on Campbell's phone-including videos of a minor victim being sexually assaulted. Campbell told Bigham that this video showing sexual assault of a minor depicted Campbell</w:t>
      </w:r>
      <w:r>
        <w:t xml:space="preserve">…. </w:t>
      </w:r>
    </w:p>
    <w:p w14:paraId="73BAF4CE" w14:textId="77777777" w:rsidR="00E775DC" w:rsidRDefault="00E775DC" w:rsidP="00E775DC">
      <w:pPr>
        <w:pStyle w:val="NoSpacing"/>
        <w:ind w:left="720"/>
        <w:rPr>
          <w:bCs/>
        </w:rPr>
      </w:pPr>
    </w:p>
    <w:p w14:paraId="664E868F" w14:textId="77777777" w:rsidR="00E775DC" w:rsidRDefault="00E775DC" w:rsidP="00E775DC">
      <w:pPr>
        <w:pStyle w:val="NoSpacing"/>
        <w:ind w:left="720"/>
      </w:pPr>
      <w:r w:rsidRPr="008D447A">
        <w:t xml:space="preserve">Law enforcement executed a search warrant </w:t>
      </w:r>
      <w:proofErr w:type="gramStart"/>
      <w:r w:rsidRPr="008D447A">
        <w:t>of</w:t>
      </w:r>
      <w:proofErr w:type="gramEnd"/>
      <w:r w:rsidRPr="008D447A">
        <w:t xml:space="preserve"> Campbell's residence in February 2025, and after reviewing Campbell's devices, discovered the correspondence with Bigham. Campbell was arrested in March 2025, and Bigham was arrested and ordered temporarily detained on May 22, 2025</w:t>
      </w:r>
      <w:r>
        <w:t xml:space="preserve">…. </w:t>
      </w:r>
      <w:r w:rsidRPr="008D447A">
        <w:t>The Magistrate Judge held a detention hearing on May 27 where the Government proffered Bigham's full confession to law enforcement; Bigham was ordered detained pending trial</w:t>
      </w:r>
      <w:r>
        <w:t xml:space="preserve">… </w:t>
      </w:r>
      <w:r w:rsidRPr="008D447A">
        <w:t xml:space="preserve">Law enforcement completed its forensic review of Bigham's cellular phone following his detention, locating his correspondence with Campbell, along with </w:t>
      </w:r>
      <w:r>
        <w:t>‘</w:t>
      </w:r>
      <w:r w:rsidRPr="008D447A">
        <w:t>one other file of child pornography.</w:t>
      </w:r>
      <w:r>
        <w:t xml:space="preserve">’ … </w:t>
      </w:r>
      <w:r w:rsidRPr="008D447A">
        <w:t xml:space="preserve">Bigham moved to revoke his detention pursuant to 18 U.S.C. § 3145(b) on September 19, 2025, arguing that no substantial </w:t>
      </w:r>
      <w:r>
        <w:t>‘</w:t>
      </w:r>
      <w:r w:rsidRPr="008D447A">
        <w:t>trove</w:t>
      </w:r>
      <w:r>
        <w:t>’</w:t>
      </w:r>
      <w:r w:rsidRPr="008D447A">
        <w:t xml:space="preserve"> of child pornography had materialized</w:t>
      </w:r>
      <w:r>
        <w:t xml:space="preserve">…. </w:t>
      </w:r>
      <w:r w:rsidRPr="008D447A">
        <w:t xml:space="preserve"> The Government opposed revocation of his pre-trial detention, and on October 31, this Court heard argument on the issue.</w:t>
      </w:r>
    </w:p>
    <w:p w14:paraId="6D8D0260" w14:textId="77777777" w:rsidR="00E775DC" w:rsidRDefault="00E775DC" w:rsidP="00E775DC">
      <w:pPr>
        <w:pStyle w:val="NoSpacing"/>
        <w:ind w:left="720"/>
      </w:pPr>
    </w:p>
    <w:p w14:paraId="55A10254" w14:textId="77777777" w:rsidR="00E775DC" w:rsidRDefault="00E775DC" w:rsidP="00E775DC">
      <w:pPr>
        <w:pStyle w:val="NoSpacing"/>
        <w:ind w:left="720"/>
      </w:pPr>
      <w:r>
        <w:t>***</w:t>
      </w:r>
    </w:p>
    <w:p w14:paraId="1CE32842" w14:textId="77777777" w:rsidR="00E775DC" w:rsidRDefault="00E775DC" w:rsidP="00E775DC">
      <w:pPr>
        <w:pStyle w:val="NoSpacing"/>
        <w:ind w:left="720"/>
      </w:pPr>
    </w:p>
    <w:p w14:paraId="518C3A5A" w14:textId="77777777" w:rsidR="00E775DC" w:rsidRDefault="00E775DC" w:rsidP="00E775DC">
      <w:pPr>
        <w:pStyle w:val="NoSpacing"/>
        <w:ind w:left="720"/>
      </w:pPr>
      <w:r w:rsidRPr="00434B35">
        <w:t xml:space="preserve">Yet, according to the Government, Bigham requested child pornography from Campbell. Bigham did not notify authorities when he was under the impression that Campbell was abusing a minor; instead, he plotted with </w:t>
      </w:r>
      <w:r w:rsidRPr="00434B35">
        <w:lastRenderedPageBreak/>
        <w:t>Campbell to have sexual relations with a minor he believed to be Campbell's niece</w:t>
      </w:r>
      <w:r>
        <w:t xml:space="preserve">…. </w:t>
      </w:r>
      <w:r w:rsidRPr="00434B35">
        <w:t xml:space="preserve">Bigham was excited and sexually stimulated by minors being abused, failed to report this abuse, and allegedly stated that his sexual interest in 12-to-15-year-old minors presented challenges because they could </w:t>
      </w:r>
      <w:r>
        <w:t>‘</w:t>
      </w:r>
      <w:r w:rsidRPr="00434B35">
        <w:t>remember faces, tattle, whatever</w:t>
      </w:r>
      <w:proofErr w:type="gramStart"/>
      <w:r>
        <w:t>…..</w:t>
      </w:r>
      <w:proofErr w:type="gramEnd"/>
      <w:r>
        <w:t xml:space="preserve">’ </w:t>
      </w:r>
    </w:p>
    <w:p w14:paraId="0BA76863" w14:textId="77777777" w:rsidR="00E775DC" w:rsidRDefault="00E775DC" w:rsidP="00E775DC">
      <w:pPr>
        <w:pStyle w:val="NoSpacing"/>
        <w:ind w:left="720"/>
        <w:rPr>
          <w:bCs/>
        </w:rPr>
      </w:pPr>
    </w:p>
    <w:p w14:paraId="305C61B4" w14:textId="78337BD7" w:rsidR="00E775DC" w:rsidRDefault="00E775DC" w:rsidP="00E775DC">
      <w:pPr>
        <w:pStyle w:val="NoSpacing"/>
        <w:rPr>
          <w:b/>
        </w:rPr>
      </w:pPr>
      <w:r>
        <w:rPr>
          <w:b/>
        </w:rPr>
        <w:t>Legal lesson learned:  Child pornography is a very serious offense</w:t>
      </w:r>
      <w:r w:rsidR="007E0BE0">
        <w:rPr>
          <w:b/>
        </w:rPr>
        <w:t>.</w:t>
      </w:r>
      <w:r>
        <w:rPr>
          <w:b/>
        </w:rPr>
        <w:t xml:space="preserve"> </w:t>
      </w:r>
    </w:p>
    <w:p w14:paraId="631CF1A8" w14:textId="77777777" w:rsidR="00E775DC" w:rsidRDefault="00E775DC" w:rsidP="00E775DC">
      <w:pPr>
        <w:pStyle w:val="NoSpacing"/>
        <w:rPr>
          <w:b/>
        </w:rPr>
      </w:pPr>
    </w:p>
    <w:p w14:paraId="686FADDE" w14:textId="77777777" w:rsidR="00E775DC" w:rsidRDefault="00E775DC" w:rsidP="00E775DC">
      <w:pPr>
        <w:pStyle w:val="NoSpacing"/>
        <w:ind w:left="720"/>
      </w:pPr>
      <w:r w:rsidRPr="00505347">
        <w:t xml:space="preserve">Note: See May 22, </w:t>
      </w:r>
      <w:proofErr w:type="gramStart"/>
      <w:r w:rsidRPr="00505347">
        <w:t>2025</w:t>
      </w:r>
      <w:proofErr w:type="gramEnd"/>
      <w:r w:rsidRPr="00505347">
        <w:t xml:space="preserve"> article</w:t>
      </w:r>
      <w:r>
        <w:t>: “</w:t>
      </w:r>
      <w:r w:rsidRPr="00505347">
        <w:t xml:space="preserve">Columbus firefighter living in Lancaster accused of receiving child pornography.  </w:t>
      </w:r>
      <w:r w:rsidRPr="00E54ACC">
        <w:t>A Fairfield County man who works as a Columbus firefighter was arrested on Wednesday, May 21, on federal child pornography charges, the U.S. Attorney's Office for the Southern District of Ohio has announced</w:t>
      </w:r>
      <w:r>
        <w:t xml:space="preserve">…. </w:t>
      </w:r>
      <w:r w:rsidRPr="00FE13DF">
        <w:t xml:space="preserve">Steven Stein, president of the Columbus Firefighters Union IAFF Local No. 67, is aware of Bigham's arrest and said the union is taking the charges </w:t>
      </w:r>
      <w:r>
        <w:t>‘</w:t>
      </w:r>
      <w:r w:rsidRPr="00FE13DF">
        <w:t>very seriously.</w:t>
      </w:r>
      <w:r>
        <w:t>’ ‘</w:t>
      </w:r>
      <w:r w:rsidRPr="0057230C">
        <w:t>As Fire Fighters and members of this community we want to provide the best possible service to the citizens of Columbus— that means holding our members to the highest standards of trust and responsibility,</w:t>
      </w:r>
      <w:r>
        <w:t>’</w:t>
      </w:r>
      <w:r w:rsidRPr="0057230C">
        <w:t xml:space="preserve"> Stein said in a prepared statement.</w:t>
      </w:r>
      <w:r>
        <w:t>”</w:t>
      </w:r>
    </w:p>
    <w:p w14:paraId="1F6E16CF" w14:textId="77777777" w:rsidR="00E775DC" w:rsidRPr="00505347" w:rsidRDefault="00E775DC" w:rsidP="00E775DC">
      <w:pPr>
        <w:pStyle w:val="NoSpacing"/>
        <w:ind w:left="720"/>
        <w:rPr>
          <w:bCs/>
        </w:rPr>
      </w:pPr>
      <w:hyperlink r:id="rId2445" w:history="1">
        <w:r w:rsidRPr="003869A6">
          <w:rPr>
            <w:rStyle w:val="Hyperlink"/>
          </w:rPr>
          <w:t>https://www.dispatch.com/story/news/crime/2025/05/22/columbus-firefighter-child-porn-charges-lancaster-ohio-carson-bigham/83795834007/</w:t>
        </w:r>
      </w:hyperlink>
      <w:r w:rsidRPr="00505347">
        <w:t xml:space="preserve"> </w:t>
      </w:r>
    </w:p>
    <w:p w14:paraId="5D6DD206" w14:textId="77777777" w:rsidR="00E775DC" w:rsidRPr="00A13912" w:rsidRDefault="00E775DC" w:rsidP="00E775DC">
      <w:pPr>
        <w:pStyle w:val="NoSpacing"/>
        <w:rPr>
          <w:bCs/>
        </w:rPr>
      </w:pPr>
    </w:p>
    <w:p w14:paraId="7E16EC77" w14:textId="77777777" w:rsidR="00E775DC" w:rsidRDefault="00E775DC" w:rsidP="002F7727">
      <w:pPr>
        <w:pStyle w:val="NoSpacing"/>
        <w:rPr>
          <w:rFonts w:ascii="Arial Black" w:hAnsi="Arial Black"/>
          <w:b/>
          <w:sz w:val="24"/>
          <w:szCs w:val="24"/>
        </w:rPr>
      </w:pPr>
    </w:p>
    <w:p w14:paraId="25CB65A0" w14:textId="77777777" w:rsidR="00E775DC" w:rsidRDefault="00E775DC" w:rsidP="002F7727">
      <w:pPr>
        <w:pStyle w:val="NoSpacing"/>
        <w:rPr>
          <w:rFonts w:ascii="Arial Black" w:hAnsi="Arial Black"/>
          <w:b/>
          <w:sz w:val="24"/>
          <w:szCs w:val="24"/>
        </w:rPr>
      </w:pPr>
    </w:p>
    <w:p w14:paraId="1E7B7CAD" w14:textId="77777777" w:rsidR="00E775DC" w:rsidRDefault="00E775DC" w:rsidP="002F7727">
      <w:pPr>
        <w:pStyle w:val="NoSpacing"/>
        <w:rPr>
          <w:rFonts w:ascii="Arial Black" w:hAnsi="Arial Black"/>
          <w:b/>
          <w:sz w:val="24"/>
          <w:szCs w:val="24"/>
        </w:rPr>
      </w:pPr>
    </w:p>
    <w:p w14:paraId="7D4DD69B" w14:textId="694B23CD" w:rsidR="00E775DC" w:rsidRDefault="00E775DC"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8</w:t>
      </w:r>
    </w:p>
    <w:p w14:paraId="0541BAB5" w14:textId="77777777" w:rsidR="00311014" w:rsidRDefault="00311014" w:rsidP="002F7727">
      <w:pPr>
        <w:pStyle w:val="NoSpacing"/>
        <w:rPr>
          <w:rFonts w:ascii="Arial Black" w:hAnsi="Arial Black"/>
          <w:b/>
          <w:sz w:val="24"/>
          <w:szCs w:val="24"/>
        </w:rPr>
      </w:pPr>
    </w:p>
    <w:p w14:paraId="4F3FED32" w14:textId="77777777" w:rsidR="00311014" w:rsidRPr="00D83843" w:rsidRDefault="00311014" w:rsidP="00311014">
      <w:pPr>
        <w:rPr>
          <w:rFonts w:ascii="Arial Black" w:hAnsi="Arial Black"/>
          <w:b/>
          <w:sz w:val="28"/>
          <w:szCs w:val="28"/>
        </w:rPr>
      </w:pPr>
      <w:r>
        <w:rPr>
          <w:rFonts w:ascii="Arial Black" w:hAnsi="Arial Black"/>
          <w:b/>
          <w:sz w:val="28"/>
          <w:szCs w:val="28"/>
        </w:rPr>
        <w:t xml:space="preserve">CA: MECHANIC’S THREAT – “TARONE” - KILLED FF STAT. 81 </w:t>
      </w:r>
    </w:p>
    <w:p w14:paraId="627B7280" w14:textId="77777777" w:rsidR="00311014" w:rsidRDefault="00311014" w:rsidP="00311014">
      <w:pPr>
        <w:pStyle w:val="NoSpacing"/>
      </w:pPr>
      <w:r w:rsidRPr="00DE351B">
        <w:t xml:space="preserve">On October 31, 2025, in </w:t>
      </w:r>
      <w:r w:rsidRPr="00DE351B">
        <w:rPr>
          <w:u w:val="single"/>
        </w:rPr>
        <w:t>County of Los Angeles v. Neill Francis Niblett</w:t>
      </w:r>
      <w:r w:rsidRPr="00DE351B">
        <w:t xml:space="preserve">, </w:t>
      </w:r>
      <w:r>
        <w:t xml:space="preserve">the </w:t>
      </w:r>
      <w:r w:rsidRPr="00DE351B">
        <w:t>California Court of Appeals, Second District, First Division</w:t>
      </w:r>
      <w:r>
        <w:t xml:space="preserve"> held (3 to 0) that trial court judge properly issued a three-year </w:t>
      </w:r>
      <w:r w:rsidRPr="005B58D8">
        <w:t>workplace violence restraining order on January 18, 2023</w:t>
      </w:r>
      <w:r>
        <w:t xml:space="preserve">, on the petition filed by the LA County Fire Department on behalf of an Assistant Fire Chief.  Neill Niblett is barred until Jan. 18, </w:t>
      </w:r>
      <w:proofErr w:type="gramStart"/>
      <w:r>
        <w:t>2026</w:t>
      </w:r>
      <w:proofErr w:type="gramEnd"/>
      <w:r>
        <w:t xml:space="preserve"> from harassing the Assistant Fire Chief or entering his </w:t>
      </w:r>
      <w:proofErr w:type="gramStart"/>
      <w:r>
        <w:t>workplace, and</w:t>
      </w:r>
      <w:proofErr w:type="gramEnd"/>
      <w:r>
        <w:t xml:space="preserve"> prohibits Niblett from possessing firearms or ammunition. THE COURT WROTE:  “</w:t>
      </w:r>
      <w:r w:rsidRPr="003B559C">
        <w:t>In sum, the trial court reasonably could have found it</w:t>
      </w:r>
      <w:r>
        <w:t xml:space="preserve"> </w:t>
      </w:r>
      <w:r w:rsidRPr="003B559C">
        <w:t xml:space="preserve">highly probable that by telling Hughes, </w:t>
      </w:r>
      <w:r>
        <w:t>‘</w:t>
      </w:r>
      <w:r w:rsidRPr="003B559C">
        <w:t>If they don’t change</w:t>
      </w:r>
      <w:r>
        <w:t xml:space="preserve"> </w:t>
      </w:r>
      <w:r w:rsidRPr="003B559C">
        <w:t>things in this department, they’re going to have another situation</w:t>
      </w:r>
      <w:r>
        <w:t xml:space="preserve"> </w:t>
      </w:r>
      <w:r w:rsidRPr="003B559C">
        <w:t>like they had with Tatone,</w:t>
      </w:r>
      <w:r>
        <w:t>’</w:t>
      </w:r>
      <w:r w:rsidRPr="003B559C">
        <w:t xml:space="preserve"> </w:t>
      </w:r>
      <w:r>
        <w:t xml:space="preserve">[who shot and killed another firefighter in Station 81 on June 1, 2021] </w:t>
      </w:r>
      <w:r w:rsidRPr="003B559C">
        <w:t>Niblett made a knowing and willful</w:t>
      </w:r>
      <w:r>
        <w:t xml:space="preserve"> </w:t>
      </w:r>
      <w:r w:rsidRPr="003B559C">
        <w:t>statement that would place a reasonable person in fear for his or</w:t>
      </w:r>
      <w:r>
        <w:t xml:space="preserve"> </w:t>
      </w:r>
      <w:r w:rsidRPr="003B559C">
        <w:t>her safety</w:t>
      </w:r>
      <w:r>
        <w:t xml:space="preserve">.”  </w:t>
      </w:r>
      <w:hyperlink r:id="rId2446" w:history="1">
        <w:r w:rsidRPr="00B165D1">
          <w:rPr>
            <w:rStyle w:val="Hyperlink"/>
          </w:rPr>
          <w:t>https://cases.justia.com/california/court-of-appeal/2025-b327744.pdf?ts=1764194477</w:t>
        </w:r>
      </w:hyperlink>
      <w:r>
        <w:t xml:space="preserve"> </w:t>
      </w:r>
    </w:p>
    <w:p w14:paraId="34E48273" w14:textId="77777777" w:rsidR="00311014" w:rsidRDefault="00311014" w:rsidP="00311014">
      <w:pPr>
        <w:pStyle w:val="NoSpacing"/>
      </w:pPr>
    </w:p>
    <w:p w14:paraId="3D6D4979" w14:textId="77777777" w:rsidR="00311014" w:rsidRDefault="00311014" w:rsidP="00311014">
      <w:pPr>
        <w:pStyle w:val="NoSpacing"/>
        <w:rPr>
          <w:bCs/>
        </w:rPr>
      </w:pPr>
      <w:r>
        <w:t>THE COURT HELD:</w:t>
      </w:r>
    </w:p>
    <w:p w14:paraId="24A87CAD" w14:textId="77777777" w:rsidR="00311014" w:rsidRDefault="00311014" w:rsidP="00311014">
      <w:pPr>
        <w:pStyle w:val="NoSpacing"/>
        <w:rPr>
          <w:bCs/>
        </w:rPr>
      </w:pPr>
    </w:p>
    <w:p w14:paraId="6EC3CAE4" w14:textId="77777777" w:rsidR="00311014" w:rsidRDefault="00311014" w:rsidP="00311014">
      <w:pPr>
        <w:ind w:left="720"/>
      </w:pPr>
      <w:r>
        <w:t xml:space="preserve">“Prior to the commencement of the instant action, Niblett was employed as a senior mechanic at the County’s fire department and Assistant Chief [A/C - Court did not use his last name] was Niblett’s supervisor.  </w:t>
      </w:r>
    </w:p>
    <w:p w14:paraId="684B890F" w14:textId="77777777" w:rsidR="00311014" w:rsidRDefault="00311014" w:rsidP="00311014">
      <w:pPr>
        <w:pStyle w:val="NoSpacing"/>
        <w:ind w:left="720"/>
      </w:pPr>
      <w:r>
        <w:t>***</w:t>
      </w:r>
    </w:p>
    <w:p w14:paraId="34D5E495" w14:textId="77777777" w:rsidR="00311014" w:rsidRDefault="00311014" w:rsidP="00311014">
      <w:pPr>
        <w:pStyle w:val="NoSpacing"/>
        <w:ind w:left="720"/>
      </w:pPr>
      <w:r>
        <w:t>According to the County, on October 5, 2022, Niblett acted in a ‘verbally abusive’ manner toward [A/C] after [A/C] asked Niblett to pick up parts Niblett had left on the floor of a fire department facility. The County further avers that on October 11, 2022, Niblett made the following statement to Cari Hughes, a secretary for the fire department: ‘If they don’t change things in this department, they’re going to have another situation like they had with Tatone.’ There is no dispute that in June 2021, a firefighter named ‘Tatone’ fatally shot another firefighter at Station 81.</w:t>
      </w:r>
    </w:p>
    <w:p w14:paraId="0CAF03B2" w14:textId="77777777" w:rsidR="00311014" w:rsidRDefault="00311014" w:rsidP="00311014">
      <w:pPr>
        <w:pStyle w:val="NoSpacing"/>
        <w:ind w:left="720"/>
      </w:pPr>
    </w:p>
    <w:p w14:paraId="312D75CB" w14:textId="77777777" w:rsidR="00311014" w:rsidRDefault="00311014" w:rsidP="00311014">
      <w:pPr>
        <w:pStyle w:val="NoSpacing"/>
        <w:ind w:left="720"/>
      </w:pPr>
      <w:r>
        <w:t>***</w:t>
      </w:r>
    </w:p>
    <w:p w14:paraId="380CB414" w14:textId="77777777" w:rsidR="00311014" w:rsidRDefault="00311014" w:rsidP="00311014">
      <w:pPr>
        <w:pStyle w:val="NoSpacing"/>
        <w:ind w:left="720"/>
        <w:rPr>
          <w:bCs/>
        </w:rPr>
      </w:pPr>
      <w:r>
        <w:t xml:space="preserve">Footnote 5: [A/C] </w:t>
      </w:r>
      <w:r w:rsidRPr="00DB7C6D">
        <w:t xml:space="preserve">testified that the County </w:t>
      </w:r>
      <w:r>
        <w:t>‘</w:t>
      </w:r>
      <w:r w:rsidRPr="00DB7C6D">
        <w:t>placed [Niblett] off of</w:t>
      </w:r>
      <w:r>
        <w:t xml:space="preserve"> </w:t>
      </w:r>
      <w:r w:rsidRPr="00DB7C6D">
        <w:t>work</w:t>
      </w:r>
      <w:r>
        <w:t>’</w:t>
      </w:r>
      <w:r w:rsidRPr="00DB7C6D">
        <w:t xml:space="preserve"> because of his threatening conduct</w:t>
      </w:r>
      <w:r>
        <w:t xml:space="preserve">…. </w:t>
      </w:r>
    </w:p>
    <w:p w14:paraId="5A653A1B" w14:textId="77777777" w:rsidR="00311014" w:rsidRDefault="00311014" w:rsidP="00311014">
      <w:pPr>
        <w:pStyle w:val="NoSpacing"/>
        <w:ind w:left="720"/>
        <w:rPr>
          <w:bCs/>
        </w:rPr>
      </w:pPr>
    </w:p>
    <w:p w14:paraId="78730BA6" w14:textId="77777777" w:rsidR="00311014" w:rsidRDefault="00311014" w:rsidP="00311014">
      <w:pPr>
        <w:pStyle w:val="NoSpacing"/>
        <w:ind w:left="720"/>
      </w:pPr>
      <w:r>
        <w:t>***</w:t>
      </w:r>
    </w:p>
    <w:p w14:paraId="7092EA72" w14:textId="77777777" w:rsidR="00311014" w:rsidRDefault="00311014" w:rsidP="00311014">
      <w:pPr>
        <w:pStyle w:val="NoSpacing"/>
        <w:ind w:left="720"/>
      </w:pPr>
    </w:p>
    <w:p w14:paraId="4F38FD17" w14:textId="77777777" w:rsidR="00311014" w:rsidRDefault="00311014" w:rsidP="00311014">
      <w:pPr>
        <w:pStyle w:val="NoSpacing"/>
        <w:ind w:left="720"/>
      </w:pPr>
      <w:r>
        <w:t xml:space="preserve">Niblett insists he was not threatening to shoot department </w:t>
      </w:r>
      <w:proofErr w:type="gramStart"/>
      <w:r>
        <w:t>management, but</w:t>
      </w:r>
      <w:proofErr w:type="gramEnd"/>
      <w:r>
        <w:t xml:space="preserve"> instead made ‘a hypothetical warning about potential consequences of poor management . . . .’  As</w:t>
      </w:r>
    </w:p>
    <w:p w14:paraId="585247ED" w14:textId="77777777" w:rsidR="00311014" w:rsidRDefault="00311014" w:rsidP="00311014">
      <w:pPr>
        <w:pStyle w:val="NoSpacing"/>
        <w:ind w:left="720"/>
      </w:pPr>
      <w:r>
        <w:t xml:space="preserve">explained above, the trial court rationally could have inferred it is highly probable that a reasonable person hearing this statement would have feared for his or her </w:t>
      </w:r>
      <w:proofErr w:type="gramStart"/>
      <w:r>
        <w:t>safety.”</w:t>
      </w:r>
      <w:proofErr w:type="gramEnd"/>
    </w:p>
    <w:p w14:paraId="679E3081" w14:textId="77777777" w:rsidR="00311014" w:rsidRDefault="00311014" w:rsidP="00311014">
      <w:pPr>
        <w:pStyle w:val="NoSpacing"/>
        <w:ind w:left="720"/>
      </w:pPr>
    </w:p>
    <w:p w14:paraId="3AB7A3CC" w14:textId="3576294C" w:rsidR="00311014" w:rsidRPr="005419F9" w:rsidRDefault="00311014" w:rsidP="00311014">
      <w:pPr>
        <w:pStyle w:val="NoSpacing"/>
        <w:rPr>
          <w:b/>
          <w:bCs/>
        </w:rPr>
      </w:pPr>
      <w:r>
        <w:rPr>
          <w:b/>
        </w:rPr>
        <w:t>Legal Lesson Learned:  Threats of workplace violence must be taken very seriously; immediate suspension from duty</w:t>
      </w:r>
      <w:r w:rsidR="00DB3D9D">
        <w:rPr>
          <w:b/>
        </w:rPr>
        <w:t xml:space="preserve">, notify police </w:t>
      </w:r>
      <w:r>
        <w:rPr>
          <w:b/>
        </w:rPr>
        <w:t xml:space="preserve">and </w:t>
      </w:r>
      <w:r w:rsidR="00DB3D9D">
        <w:rPr>
          <w:b/>
        </w:rPr>
        <w:t xml:space="preserve">conduct </w:t>
      </w:r>
      <w:r>
        <w:rPr>
          <w:b/>
        </w:rPr>
        <w:t>prompt investigation.</w:t>
      </w:r>
    </w:p>
    <w:p w14:paraId="3213A845" w14:textId="77777777" w:rsidR="00311014" w:rsidRDefault="00311014" w:rsidP="00311014">
      <w:pPr>
        <w:pStyle w:val="NoSpacing"/>
        <w:ind w:left="720"/>
        <w:rPr>
          <w:bCs/>
        </w:rPr>
      </w:pPr>
    </w:p>
    <w:p w14:paraId="372B2CC5" w14:textId="77777777" w:rsidR="00311014" w:rsidRDefault="00311014" w:rsidP="00311014">
      <w:pPr>
        <w:pStyle w:val="NoSpacing"/>
        <w:ind w:left="720"/>
      </w:pPr>
      <w:r>
        <w:t xml:space="preserve">Note: See this September 11, </w:t>
      </w:r>
      <w:proofErr w:type="gramStart"/>
      <w:r>
        <w:t>2024</w:t>
      </w:r>
      <w:proofErr w:type="gramEnd"/>
      <w:r>
        <w:t xml:space="preserve"> article.   “</w:t>
      </w:r>
      <w:r w:rsidRPr="002772E6">
        <w:t>L.A. County pays $7.2M to family of firefighter killed in firehouse shooting. A station captain later told investigators that Firefighter Carlon had voiced concerns his harasser would one day shoot and kill him.</w:t>
      </w:r>
      <w:r>
        <w:t xml:space="preserve"> </w:t>
      </w:r>
      <w:r w:rsidRPr="0003781D">
        <w:t>More than three years after a firefighter was shot and killed by a co-worker at a remote station in Agua Dulce, the Los Angeles County Board of Supervisors agreed Tuesday to pay his family $7.2 million.</w:t>
      </w:r>
      <w:r>
        <w:t xml:space="preserve"> </w:t>
      </w:r>
      <w:r w:rsidRPr="0003781D">
        <w:t xml:space="preserve">Tory Carlon was fatally shot while on duty at L.A. County Fire Station 81 on June 1, 2021. The following year, Carlon’s widow, Heidi, and the couple’s three children filed a wrongful-death lawsuit against L.A. County, alleging fire officials had known about the shooter’s </w:t>
      </w:r>
      <w:r>
        <w:t>‘</w:t>
      </w:r>
      <w:r w:rsidRPr="0003781D">
        <w:t>dangerous conduct</w:t>
      </w:r>
      <w:r>
        <w:t>’</w:t>
      </w:r>
      <w:r w:rsidRPr="0003781D">
        <w:t xml:space="preserve"> for years.</w:t>
      </w:r>
      <w:r>
        <w:t xml:space="preserve"> </w:t>
      </w:r>
      <w:r w:rsidRPr="00063FAE">
        <w:t>The gunman, Jonathan Tatone, also shot and injured Fire Capt. Arnoldo Sandoval, before later killing himself. Last year, the board agreed to pay Sandoval nearly $2.6 million.</w:t>
      </w:r>
      <w:r>
        <w:t xml:space="preserve">” </w:t>
      </w:r>
      <w:hyperlink r:id="rId2447" w:history="1">
        <w:r w:rsidRPr="00A22012">
          <w:rPr>
            <w:rStyle w:val="Hyperlink"/>
          </w:rPr>
          <w:t>https://www.firerescue1.com/legal/l-a-county-pays-7-2m-to-family-of-firefighter-killed-in-firehouse-shooting</w:t>
        </w:r>
      </w:hyperlink>
      <w:r>
        <w:t xml:space="preserve"> </w:t>
      </w:r>
    </w:p>
    <w:p w14:paraId="0E6142E8" w14:textId="77777777" w:rsidR="00311014" w:rsidRDefault="00311014" w:rsidP="00311014">
      <w:pPr>
        <w:pStyle w:val="NoSpacing"/>
        <w:ind w:left="720"/>
      </w:pPr>
    </w:p>
    <w:p w14:paraId="445080BE" w14:textId="77777777" w:rsidR="00311014" w:rsidRDefault="00311014" w:rsidP="00311014">
      <w:pPr>
        <w:pStyle w:val="NoSpacing"/>
        <w:ind w:left="720"/>
      </w:pPr>
    </w:p>
    <w:p w14:paraId="4D034EAB" w14:textId="77777777" w:rsidR="00311014" w:rsidRDefault="00311014" w:rsidP="002F7727">
      <w:pPr>
        <w:pStyle w:val="NoSpacing"/>
        <w:rPr>
          <w:rFonts w:ascii="Arial Black" w:hAnsi="Arial Black"/>
          <w:b/>
          <w:sz w:val="24"/>
          <w:szCs w:val="24"/>
        </w:rPr>
      </w:pPr>
    </w:p>
    <w:p w14:paraId="48B47D83" w14:textId="77777777" w:rsidR="00311014" w:rsidRDefault="00311014" w:rsidP="002F7727">
      <w:pPr>
        <w:pStyle w:val="NoSpacing"/>
        <w:rPr>
          <w:rFonts w:ascii="Arial Black" w:hAnsi="Arial Black"/>
          <w:b/>
          <w:sz w:val="24"/>
          <w:szCs w:val="24"/>
        </w:rPr>
      </w:pPr>
    </w:p>
    <w:p w14:paraId="592360CE" w14:textId="77777777" w:rsidR="00E775DC" w:rsidRDefault="00E775DC" w:rsidP="002F7727">
      <w:pPr>
        <w:pStyle w:val="NoSpacing"/>
        <w:rPr>
          <w:rFonts w:ascii="Arial Black" w:hAnsi="Arial Black"/>
          <w:b/>
          <w:sz w:val="24"/>
          <w:szCs w:val="24"/>
        </w:rPr>
      </w:pPr>
    </w:p>
    <w:p w14:paraId="7413FEE7" w14:textId="3C164EA6" w:rsidR="002F7727" w:rsidRDefault="002F7727"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7</w:t>
      </w:r>
    </w:p>
    <w:p w14:paraId="0D8CF808" w14:textId="77777777" w:rsidR="002F7727" w:rsidRDefault="002F7727" w:rsidP="001F4CDF">
      <w:pPr>
        <w:pStyle w:val="NoSpacing"/>
        <w:rPr>
          <w:rFonts w:ascii="Arial Black" w:hAnsi="Arial Black"/>
          <w:sz w:val="28"/>
          <w:szCs w:val="28"/>
        </w:rPr>
      </w:pPr>
    </w:p>
    <w:p w14:paraId="72AE168A" w14:textId="35DD803A" w:rsidR="001F4CDF" w:rsidRPr="00B763EB" w:rsidRDefault="001F4CDF" w:rsidP="001F4CDF">
      <w:pPr>
        <w:pStyle w:val="NoSpacing"/>
        <w:rPr>
          <w:rFonts w:ascii="Arial Black" w:hAnsi="Arial Black"/>
          <w:sz w:val="28"/>
          <w:szCs w:val="28"/>
        </w:rPr>
      </w:pPr>
      <w:r>
        <w:rPr>
          <w:rFonts w:ascii="Arial Black" w:hAnsi="Arial Black"/>
          <w:sz w:val="28"/>
          <w:szCs w:val="28"/>
        </w:rPr>
        <w:t xml:space="preserve">NC: FF AFFAIR – WOMAN TOLD FD “STALKING” – FF FIRED </w:t>
      </w:r>
    </w:p>
    <w:p w14:paraId="1BA39FAD" w14:textId="77777777" w:rsidR="001F4CDF" w:rsidRDefault="001F4CDF" w:rsidP="001F4CDF">
      <w:pPr>
        <w:pStyle w:val="NoSpacing"/>
      </w:pPr>
    </w:p>
    <w:p w14:paraId="6F3166EB" w14:textId="77777777" w:rsidR="001F4CDF" w:rsidRDefault="001F4CDF" w:rsidP="001F4CDF">
      <w:pPr>
        <w:pStyle w:val="NoSpacing"/>
      </w:pPr>
      <w:r>
        <w:t xml:space="preserve">On September 15, 2025, in </w:t>
      </w:r>
      <w:r w:rsidRPr="00B26718">
        <w:rPr>
          <w:u w:val="single"/>
        </w:rPr>
        <w:t>Robert Patterson v. City of Graham, et al</w:t>
      </w:r>
      <w:r w:rsidRPr="000A6483">
        <w:rPr>
          <w:u w:val="single"/>
        </w:rPr>
        <w:t>.</w:t>
      </w:r>
      <w:r>
        <w:t xml:space="preserve">, U.S. Magistrate Judge </w:t>
      </w:r>
      <w:r w:rsidRPr="00D35A64">
        <w:t>L. Patrick Auld</w:t>
      </w:r>
      <w:r>
        <w:t xml:space="preserve">, United States District Court for Middle District of North Carolina, issued an opinion and recommendation that the U.S. District Court judge dismiss the firefighter’s lawsuit claiming age discrimination and hostile workplace.  </w:t>
      </w:r>
    </w:p>
    <w:p w14:paraId="5546329E" w14:textId="77777777" w:rsidR="001F4CDF" w:rsidRDefault="001F4CDF" w:rsidP="001F4CDF">
      <w:pPr>
        <w:pStyle w:val="NoSpacing"/>
      </w:pPr>
    </w:p>
    <w:p w14:paraId="0110AAF3" w14:textId="77777777" w:rsidR="001F4CDF" w:rsidRDefault="001F4CDF" w:rsidP="001F4CDF">
      <w:pPr>
        <w:pStyle w:val="NoSpacing"/>
      </w:pPr>
      <w:r w:rsidRPr="00913B5B">
        <w:rPr>
          <w:b/>
        </w:rPr>
        <w:t>THE MAGISTRATE WROTE</w:t>
      </w:r>
      <w:r>
        <w:t>: “</w:t>
      </w:r>
      <w:r w:rsidRPr="00C01814">
        <w:t>Plaintiff contends that Defendants terminated his employment because of his age</w:t>
      </w:r>
      <w:r>
        <w:t>…. [T]</w:t>
      </w:r>
      <w:r w:rsidRPr="00253C24">
        <w:t>he Amended Complaint reveals that Plaintiff experienced his termination (and non-promotion) only after the revelation of his affair with a married woman and the volatile aftermath of the cessation of that affair, which involved allegations of violence and criminally inappropriate conduct by Plaintiff and other community members (</w:t>
      </w:r>
      <w:r w:rsidRPr="00253C24">
        <w:rPr>
          <w:i/>
          <w:iCs/>
        </w:rPr>
        <w:t>see, e.g.</w:t>
      </w:r>
      <w:r w:rsidRPr="00253C24">
        <w:t xml:space="preserve">, Docket Entries 12-2 to 12-4 (confirming the </w:t>
      </w:r>
      <w:proofErr w:type="spellStart"/>
      <w:r w:rsidRPr="00253C24">
        <w:t>Wrenns</w:t>
      </w:r>
      <w:proofErr w:type="spellEnd"/>
      <w:r w:rsidRPr="00253C24">
        <w:t>' status as members of City community)). These circumstances render implausible any notion that age bias motivated Defendants' termination of Plaintiff's employment, necessitating dismissal of Plaintiff's ADEA discrimination claim.</w:t>
      </w:r>
      <w:r>
        <w:t xml:space="preserve"> *** </w:t>
      </w:r>
      <w:r w:rsidRPr="00174919">
        <w:t>A plaintiff must provide objective facts or dates linking his termination[ or non-promotion] to his protected conduct other than his own opinions about a supervisor's motives. Plaintiff provides only his own opinions about the cause of his termination[ and non-promotion], with objective facts and dates that do not align with retaliation as a plausible motive. Thus, Plaintiff falls short of alleging facts sufficient for a retaliation case</w:t>
      </w:r>
      <w:r>
        <w:t>.</w:t>
      </w:r>
      <w:r w:rsidRPr="00174919">
        <w:t xml:space="preserve">... </w:t>
      </w:r>
      <w:r>
        <w:t xml:space="preserve"> </w:t>
      </w:r>
      <w:hyperlink r:id="rId2448" w:history="1">
        <w:r w:rsidRPr="00B31461">
          <w:rPr>
            <w:rStyle w:val="Hyperlink"/>
          </w:rPr>
          <w:t>https://public.fastcase.com/jaEE2PXzRXmZ99jOLMt1Ilcjd44wj1gOUELzUZUXmDmbuUsOiVZitmDUzsj9wpOSz4ErC%2Bb83%2Bac%2Bxbf2Y5XWbaFtY83bMRM%2FnYjCn7PkRA%3D?utm_medium=email&amp;_hsenc=p2ANqtz-_fx1n9_ms4yphjYB4YK1tT4ojMXKWZyFtyDBkZEK1fupUD4WQ_rkXhMfyPQZmyXGwaNXHPYYCETcsN16Fd9R-eiG6PHw&amp;_hsmi=226712652&amp;utm_content=226712652&amp;utm_source=hs_email</w:t>
        </w:r>
      </w:hyperlink>
      <w:r>
        <w:t xml:space="preserve"> </w:t>
      </w:r>
    </w:p>
    <w:p w14:paraId="777ACDB1" w14:textId="77777777" w:rsidR="001F4CDF" w:rsidRDefault="001F4CDF" w:rsidP="001F4CDF">
      <w:pPr>
        <w:pStyle w:val="NoSpacing"/>
      </w:pPr>
    </w:p>
    <w:p w14:paraId="3D31FFF4" w14:textId="77777777" w:rsidR="001F4CDF" w:rsidRPr="00913B5B" w:rsidRDefault="001F4CDF" w:rsidP="001F4CDF">
      <w:pPr>
        <w:pStyle w:val="NoSpacing"/>
        <w:rPr>
          <w:b/>
          <w:bCs/>
        </w:rPr>
      </w:pPr>
      <w:r w:rsidRPr="00913B5B">
        <w:rPr>
          <w:b/>
        </w:rPr>
        <w:t>KEY FACTS:</w:t>
      </w:r>
    </w:p>
    <w:p w14:paraId="42351460" w14:textId="77777777" w:rsidR="001F4CDF" w:rsidRDefault="001F4CDF" w:rsidP="001F4CDF">
      <w:pPr>
        <w:pStyle w:val="NoSpacing"/>
      </w:pPr>
    </w:p>
    <w:p w14:paraId="095B6D76" w14:textId="77777777" w:rsidR="001F4CDF" w:rsidRDefault="001F4CDF" w:rsidP="001F4CDF">
      <w:pPr>
        <w:pStyle w:val="NoSpacing"/>
        <w:ind w:left="720"/>
      </w:pPr>
      <w:r>
        <w:t>“</w:t>
      </w:r>
      <w:r w:rsidRPr="003D716B">
        <w:t xml:space="preserve">In October 2022 Plaintiff advised Chief Cole that he was involved in an affair that had ended, and that the wife had threatened that her husband would do everything in his power to get him fired. [Plaintiff] also informed </w:t>
      </w:r>
      <w:r w:rsidRPr="003D716B">
        <w:lastRenderedPageBreak/>
        <w:t>[Chief Cole] that: a) the wife was previously in an affair that ended in a murder-suicide in 2009, with the failed suicide attempt on her part; b) the wife attempted suicide again October 18, 2022; and c) he was extremely fearful of what measures this couple would take to have him fired</w:t>
      </w:r>
      <w:r>
        <w:t>….‘</w:t>
      </w:r>
      <w:r w:rsidRPr="003D716B">
        <w:t>On October 25, 2022, an internal affairs investigation was opened against Plaintiff for an affair he had with Mrs. Wrenn that occurred while he was off duty</w:t>
      </w:r>
      <w:r>
        <w:t>….’</w:t>
      </w:r>
      <w:r w:rsidRPr="003D716B">
        <w:t xml:space="preserve">  </w:t>
      </w:r>
    </w:p>
    <w:p w14:paraId="1382FF64" w14:textId="77777777" w:rsidR="001F4CDF" w:rsidRPr="003D716B" w:rsidRDefault="001F4CDF" w:rsidP="001F4CDF">
      <w:pPr>
        <w:pStyle w:val="NoSpacing"/>
        <w:ind w:left="720"/>
      </w:pPr>
    </w:p>
    <w:p w14:paraId="238C69A9" w14:textId="77777777" w:rsidR="001F4CDF" w:rsidRDefault="001F4CDF" w:rsidP="001F4CDF">
      <w:pPr>
        <w:pStyle w:val="NoSpacing"/>
        <w:ind w:left="720"/>
      </w:pPr>
      <w:r>
        <w:t>‘</w:t>
      </w:r>
      <w:r w:rsidRPr="003D716B">
        <w:t xml:space="preserve">On October 28, </w:t>
      </w:r>
      <w:proofErr w:type="gramStart"/>
      <w:r w:rsidRPr="003D716B">
        <w:t>2022</w:t>
      </w:r>
      <w:proofErr w:type="gramEnd"/>
      <w:r w:rsidRPr="003D716B">
        <w:t xml:space="preserve"> Mrs. Wrenn advised the City of Graham Fire Department's Fire Chief, Defendant Cole and City of Graham Investigator, Billy Clayton, that Plaintiff was responsible for the whistleblower complaints against Chief Cole and Capt. Moore.</w:t>
      </w:r>
      <w:r>
        <w:t>’</w:t>
      </w:r>
      <w:r w:rsidRPr="003D716B">
        <w:t xml:space="preserve"> </w:t>
      </w:r>
      <w:r>
        <w:t>…</w:t>
      </w:r>
      <w:r w:rsidRPr="003D716B">
        <w:t xml:space="preserve"> </w:t>
      </w:r>
      <w:r>
        <w:t>‘</w:t>
      </w:r>
      <w:r w:rsidRPr="003D716B">
        <w:t>On October 28, 2022 Mrs. Wrenn also advised Chief Cole and Investigator Billy Clayton that Plaintiff planned to expose Chief Cole and City Manager Megan Garner in their direct attempts to ‘poison the well'</w:t>
      </w:r>
      <w:r>
        <w:t>….</w:t>
      </w:r>
      <w:r w:rsidRPr="003D716B">
        <w:t>After Mrs. Wrenn's involvement with the Plaintiff had been exposed in mid-October 2022, and the involvement between these two parties had ended, Mrs. Wrenn willfully and falsely misled her husband to believe she had been threatened and forced to remain involved with Plaintiff for fear of retaliation</w:t>
      </w:r>
      <w:r>
        <w:t>….</w:t>
      </w:r>
      <w:r w:rsidRPr="003D716B">
        <w:t xml:space="preserve"> </w:t>
      </w:r>
    </w:p>
    <w:p w14:paraId="5CBE3310" w14:textId="77777777" w:rsidR="001F4CDF" w:rsidRDefault="001F4CDF" w:rsidP="001F4CDF">
      <w:pPr>
        <w:pStyle w:val="NoSpacing"/>
        <w:ind w:left="720"/>
      </w:pPr>
    </w:p>
    <w:p w14:paraId="07B9CF46" w14:textId="77777777" w:rsidR="001F4CDF" w:rsidRDefault="001F4CDF" w:rsidP="001F4CDF">
      <w:pPr>
        <w:pStyle w:val="NoSpacing"/>
        <w:ind w:left="720"/>
      </w:pPr>
      <w:r>
        <w:t>***</w:t>
      </w:r>
    </w:p>
    <w:p w14:paraId="7E515777" w14:textId="77777777" w:rsidR="001F4CDF" w:rsidRPr="005709ED" w:rsidRDefault="001F4CDF" w:rsidP="001F4CDF">
      <w:pPr>
        <w:pStyle w:val="NoSpacing"/>
        <w:ind w:left="720"/>
      </w:pPr>
      <w:r>
        <w:t>‘</w:t>
      </w:r>
      <w:r w:rsidRPr="005709ED">
        <w:t>Plaintiff received a pre-disciplinary conference notice on May 10, 2023. He was denied an attorney again. He filed a formal complaint against Fire Chief Tommy Cole for retaliation with the City Manager, Megan Garner.</w:t>
      </w:r>
      <w:r>
        <w:t>’ …</w:t>
      </w:r>
      <w:r w:rsidRPr="005709ED">
        <w:t xml:space="preserve"> Nonetheless: </w:t>
      </w:r>
      <w:r>
        <w:t xml:space="preserve">  </w:t>
      </w:r>
      <w:r w:rsidRPr="005709ED">
        <w:t xml:space="preserve">On May 17, 2023, Plaintiff was placed on paid administrative leave and was terminated via email after 8:00 pm that evening. Mrs. Wrenn was contacted that same day by the City of Graham and advised of his termination. He </w:t>
      </w:r>
      <w:proofErr w:type="gramStart"/>
      <w:r w:rsidRPr="005709ED">
        <w:t>appealed</w:t>
      </w:r>
      <w:proofErr w:type="gramEnd"/>
      <w:r w:rsidRPr="005709ED">
        <w:t xml:space="preserve"> the termination. [City Manager] Garner was the person who presided over his appeals hearing and made the decision to uphold his termination.</w:t>
      </w:r>
      <w:r>
        <w:t xml:space="preserve">” </w:t>
      </w:r>
    </w:p>
    <w:p w14:paraId="1195626D" w14:textId="77777777" w:rsidR="001F4CDF" w:rsidRPr="003D716B" w:rsidRDefault="001F4CDF" w:rsidP="001F4CDF">
      <w:pPr>
        <w:pStyle w:val="NoSpacing"/>
        <w:ind w:left="720"/>
      </w:pPr>
    </w:p>
    <w:p w14:paraId="2AED9C2E" w14:textId="77777777" w:rsidR="001F4CDF" w:rsidRPr="00E415CE" w:rsidRDefault="001F4CDF" w:rsidP="001F4CDF">
      <w:pPr>
        <w:pStyle w:val="NoSpacing"/>
        <w:rPr>
          <w:b/>
          <w:bCs/>
        </w:rPr>
      </w:pPr>
      <w:r>
        <w:rPr>
          <w:b/>
        </w:rPr>
        <w:t xml:space="preserve">Legal lesson learned:  Affair can lead to ugly allegations and internal investigations. </w:t>
      </w:r>
    </w:p>
    <w:p w14:paraId="788D6D78" w14:textId="77777777" w:rsidR="001F4CDF" w:rsidRDefault="001F4CDF" w:rsidP="001F4CDF">
      <w:pPr>
        <w:pStyle w:val="NoSpacing"/>
        <w:ind w:left="720"/>
      </w:pPr>
    </w:p>
    <w:p w14:paraId="4CAA8A56" w14:textId="77777777" w:rsidR="00D11FFB" w:rsidRDefault="00D11FFB" w:rsidP="002F7727">
      <w:pPr>
        <w:pStyle w:val="NoSpacing"/>
        <w:rPr>
          <w:rFonts w:ascii="Arial Black" w:hAnsi="Arial Black"/>
          <w:b/>
          <w:sz w:val="24"/>
          <w:szCs w:val="24"/>
        </w:rPr>
      </w:pPr>
    </w:p>
    <w:p w14:paraId="5195B3FD" w14:textId="1C282F47" w:rsidR="002F7727" w:rsidRDefault="002F7727"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6</w:t>
      </w:r>
    </w:p>
    <w:p w14:paraId="39E749BB" w14:textId="77777777" w:rsidR="002F7727" w:rsidRDefault="002F7727" w:rsidP="008F4B50">
      <w:pPr>
        <w:pStyle w:val="NoSpacing"/>
        <w:rPr>
          <w:rFonts w:ascii="Arial Black" w:hAnsi="Arial Black"/>
          <w:sz w:val="28"/>
          <w:szCs w:val="28"/>
        </w:rPr>
      </w:pPr>
    </w:p>
    <w:p w14:paraId="20A5B6C5" w14:textId="0479249E" w:rsidR="008F4B50" w:rsidRDefault="008F4B50" w:rsidP="008F4B50">
      <w:pPr>
        <w:pStyle w:val="NoSpacing"/>
        <w:rPr>
          <w:rFonts w:ascii="Arial Black" w:hAnsi="Arial Black"/>
          <w:sz w:val="28"/>
          <w:szCs w:val="28"/>
        </w:rPr>
      </w:pPr>
      <w:r>
        <w:rPr>
          <w:rFonts w:ascii="Arial Black" w:hAnsi="Arial Black"/>
          <w:sz w:val="28"/>
          <w:szCs w:val="28"/>
        </w:rPr>
        <w:t xml:space="preserve">FL: FORMER CHIEF – SEX </w:t>
      </w:r>
      <w:r w:rsidR="0061722F">
        <w:rPr>
          <w:rFonts w:ascii="Arial Black" w:hAnsi="Arial Black"/>
          <w:sz w:val="28"/>
          <w:szCs w:val="28"/>
        </w:rPr>
        <w:t xml:space="preserve">WITH </w:t>
      </w:r>
      <w:r>
        <w:rPr>
          <w:rFonts w:ascii="Arial Black" w:hAnsi="Arial Black"/>
          <w:sz w:val="28"/>
          <w:szCs w:val="28"/>
        </w:rPr>
        <w:t>HIS MINOR CHILD – LIFE PRISON</w:t>
      </w:r>
    </w:p>
    <w:p w14:paraId="10615D7D" w14:textId="77777777" w:rsidR="008F4B50" w:rsidRDefault="008F4B50" w:rsidP="008F4B50">
      <w:pPr>
        <w:pStyle w:val="NoSpacing"/>
      </w:pPr>
    </w:p>
    <w:p w14:paraId="024C478D" w14:textId="77777777" w:rsidR="008F4B50" w:rsidRDefault="008F4B50" w:rsidP="008F4B50">
      <w:pPr>
        <w:pStyle w:val="NoSpacing"/>
      </w:pPr>
      <w:r>
        <w:t xml:space="preserve">On September 4, 2025, in </w:t>
      </w:r>
      <w:r w:rsidRPr="006B7EF4">
        <w:rPr>
          <w:u w:val="single"/>
        </w:rPr>
        <w:t>Jamie Douglas Geer v. Secretary, Department of Corrections</w:t>
      </w:r>
      <w:r>
        <w:t xml:space="preserve">, </w:t>
      </w:r>
      <w:r w:rsidRPr="006B7EF4">
        <w:t>U</w:t>
      </w:r>
      <w:r>
        <w:t>.</w:t>
      </w:r>
      <w:r w:rsidRPr="006B7EF4">
        <w:t xml:space="preserve">S. District </w:t>
      </w:r>
      <w:r>
        <w:t>Court Judge Kathryn Kimball Mizelle, United States District Court for Middle District of Florida (Tampa Division) held that Geer, former Fire Chief of City of Clearwater, is denied habeas corpus and must serve sentence of life in prison in Florida prison.</w:t>
      </w:r>
    </w:p>
    <w:p w14:paraId="4361961C" w14:textId="77777777" w:rsidR="008F4B50" w:rsidRDefault="008F4B50" w:rsidP="008F4B50">
      <w:pPr>
        <w:pStyle w:val="NoSpacing"/>
      </w:pPr>
    </w:p>
    <w:p w14:paraId="11C87842" w14:textId="77777777" w:rsidR="008F4B50" w:rsidRDefault="008F4B50" w:rsidP="008F4B50">
      <w:pPr>
        <w:pStyle w:val="NoSpacing"/>
      </w:pPr>
      <w:r w:rsidRPr="00D70E6E">
        <w:rPr>
          <w:b/>
        </w:rPr>
        <w:t>THE COURT HELD</w:t>
      </w:r>
      <w:r>
        <w:t>:  “</w:t>
      </w:r>
      <w:r w:rsidRPr="003802F4">
        <w:t>Geer, a Florida prisoner, timely filed a pro se second amended petition for writ of habeas corpus under 28 U.S.C. § 2254</w:t>
      </w:r>
      <w:r>
        <w:t xml:space="preserve">…. </w:t>
      </w:r>
      <w:r w:rsidRPr="003802F4">
        <w:t>Also, Geer moved for an evidentiary hearing</w:t>
      </w:r>
      <w:r>
        <w:t xml:space="preserve">…. </w:t>
      </w:r>
      <w:r w:rsidRPr="003802F4">
        <w:t xml:space="preserve">Having considered the second amended </w:t>
      </w:r>
      <w:proofErr w:type="gramStart"/>
      <w:r w:rsidRPr="003802F4">
        <w:t>petition,</w:t>
      </w:r>
      <w:r>
        <w:t>…</w:t>
      </w:r>
      <w:proofErr w:type="gramEnd"/>
      <w:r>
        <w:t xml:space="preserve"> </w:t>
      </w:r>
      <w:r w:rsidRPr="003802F4">
        <w:t>the response in opposition</w:t>
      </w:r>
      <w:r>
        <w:t xml:space="preserve"> … </w:t>
      </w:r>
      <w:r w:rsidRPr="003802F4">
        <w:t>and the reply and the supplemental reply</w:t>
      </w:r>
      <w:r>
        <w:t xml:space="preserve"> … </w:t>
      </w:r>
      <w:r w:rsidRPr="003802F4">
        <w:t>the petition is denied</w:t>
      </w:r>
      <w:r>
        <w:t xml:space="preserve">.” </w:t>
      </w:r>
      <w:hyperlink r:id="rId2449" w:history="1">
        <w:r w:rsidRPr="00204094">
          <w:rPr>
            <w:rStyle w:val="Hyperlink"/>
          </w:rPr>
          <w:t>https://app.midpage.ai/document/geer-v-secretary-department-of-11133637?refG=true</w:t>
        </w:r>
      </w:hyperlink>
      <w:r>
        <w:t xml:space="preserve"> </w:t>
      </w:r>
    </w:p>
    <w:p w14:paraId="52BA3C6A" w14:textId="77777777" w:rsidR="008F4B50" w:rsidRDefault="008F4B50" w:rsidP="008F4B50">
      <w:pPr>
        <w:pStyle w:val="NoSpacing"/>
      </w:pPr>
    </w:p>
    <w:p w14:paraId="4DAC9070" w14:textId="77777777" w:rsidR="008F4B50" w:rsidRPr="003802F4" w:rsidRDefault="008F4B50" w:rsidP="008F4B50">
      <w:pPr>
        <w:pStyle w:val="NoSpacing"/>
        <w:rPr>
          <w:b/>
          <w:bCs/>
        </w:rPr>
      </w:pPr>
      <w:r w:rsidRPr="003802F4">
        <w:rPr>
          <w:b/>
        </w:rPr>
        <w:t xml:space="preserve">KEY FACTS: </w:t>
      </w:r>
    </w:p>
    <w:p w14:paraId="702E0209" w14:textId="77777777" w:rsidR="008F4B50" w:rsidRDefault="008F4B50" w:rsidP="008F4B50">
      <w:pPr>
        <w:pStyle w:val="NoSpacing"/>
      </w:pPr>
    </w:p>
    <w:p w14:paraId="3010FBF2" w14:textId="77777777" w:rsidR="008F4B50" w:rsidRDefault="008F4B50" w:rsidP="008F4B50">
      <w:pPr>
        <w:pStyle w:val="NoSpacing"/>
        <w:ind w:left="720"/>
      </w:pPr>
      <w:r>
        <w:t>“</w:t>
      </w:r>
      <w:r w:rsidRPr="007139A8">
        <w:t>A state court jury convicted Geer of sexual battery, lewd and lascivious battery, and unlawful sexual activity with a minor</w:t>
      </w:r>
      <w:r>
        <w:t xml:space="preserve">…. </w:t>
      </w:r>
      <w:r w:rsidRPr="007139A8">
        <w:t>The state trial court sentenced him to life in prison for the sexual battery conviction, a concurrent fifteen years in prison for the lewd and lascivious battery conviction, and a consecutive fifteen years in prison for the unlawful sexual activity with a minor conviction</w:t>
      </w:r>
      <w:r>
        <w:t xml:space="preserve">…. </w:t>
      </w:r>
      <w:r w:rsidRPr="007139A8">
        <w:t>The state appellate court per curiam affirmed the convictions and sentences</w:t>
      </w:r>
      <w:r>
        <w:t>….</w:t>
      </w:r>
    </w:p>
    <w:p w14:paraId="169E4351" w14:textId="77777777" w:rsidR="008F4B50" w:rsidRDefault="008F4B50" w:rsidP="008F4B50">
      <w:pPr>
        <w:pStyle w:val="NoSpacing"/>
        <w:ind w:left="720"/>
      </w:pPr>
    </w:p>
    <w:p w14:paraId="50892A14" w14:textId="77777777" w:rsidR="008F4B50" w:rsidRDefault="008F4B50" w:rsidP="008F4B50">
      <w:pPr>
        <w:pStyle w:val="NoSpacing"/>
        <w:ind w:left="720"/>
      </w:pPr>
      <w:r>
        <w:t>***</w:t>
      </w:r>
    </w:p>
    <w:p w14:paraId="39202F30" w14:textId="77777777" w:rsidR="008F4B50" w:rsidRDefault="008F4B50" w:rsidP="008F4B50">
      <w:pPr>
        <w:pStyle w:val="NoSpacing"/>
        <w:ind w:left="720"/>
      </w:pPr>
      <w:r w:rsidRPr="002D71DC">
        <w:t xml:space="preserve">At trial, the victim, who was nineteen, testified that Geer began to engage in sexual activity with </w:t>
      </w:r>
      <w:r>
        <w:t>‘</w:t>
      </w:r>
      <w:r w:rsidRPr="002D71DC">
        <w:t>her when she was seven, began to engage in oral sex with her when she was eleven, and began to engage in vaginal sex with her when she was fifteen.</w:t>
      </w:r>
      <w:r>
        <w:t xml:space="preserve">’ </w:t>
      </w:r>
      <w:r w:rsidRPr="008E332A">
        <w:t>A state court jury convicted Geer</w:t>
      </w:r>
      <w:r>
        <w:t xml:space="preserve"> in 2012</w:t>
      </w:r>
      <w:r w:rsidRPr="008E332A">
        <w:t xml:space="preserve"> of sexual battery, lewd and lascivious battery, and unlawful sexual activity with a minor</w:t>
      </w:r>
      <w:r>
        <w:t xml:space="preserve"> (started at age 7)</w:t>
      </w:r>
      <w:r w:rsidRPr="008E332A">
        <w:t xml:space="preserve">. </w:t>
      </w:r>
      <w:r>
        <w:t>T</w:t>
      </w:r>
      <w:r w:rsidRPr="008E332A">
        <w:t xml:space="preserve">he state trial court sentenced him to life in </w:t>
      </w:r>
      <w:r w:rsidRPr="008E332A">
        <w:lastRenderedPageBreak/>
        <w:t>prison for the sexual battery conviction, a concurrent fifteen years in prison for the lewd and lascivious battery conviction, and a consecutive fifteen years in prison for unlawful sexual activity with a minor conviction.</w:t>
      </w:r>
      <w:r>
        <w:t xml:space="preserve">” </w:t>
      </w:r>
    </w:p>
    <w:p w14:paraId="22BF09D3" w14:textId="77777777" w:rsidR="008F4B50" w:rsidRDefault="008F4B50" w:rsidP="008F4B50">
      <w:pPr>
        <w:pStyle w:val="NoSpacing"/>
      </w:pPr>
    </w:p>
    <w:p w14:paraId="15E89EC6" w14:textId="77777777" w:rsidR="008F4B50" w:rsidRPr="00827C25" w:rsidRDefault="008F4B50" w:rsidP="008F4B50">
      <w:pPr>
        <w:pStyle w:val="NoSpacing"/>
        <w:rPr>
          <w:b/>
        </w:rPr>
      </w:pPr>
      <w:r w:rsidRPr="00827C25">
        <w:rPr>
          <w:b/>
        </w:rPr>
        <w:t xml:space="preserve">Legal lesson learned: </w:t>
      </w:r>
      <w:r>
        <w:rPr>
          <w:b/>
        </w:rPr>
        <w:t xml:space="preserve">Terrible conduct; life in prison appropriate sentence. </w:t>
      </w:r>
    </w:p>
    <w:p w14:paraId="181FD179" w14:textId="77777777" w:rsidR="008F4B50" w:rsidRDefault="008F4B50" w:rsidP="008F4B50">
      <w:pPr>
        <w:pStyle w:val="NoSpacing"/>
        <w:ind w:left="720"/>
      </w:pPr>
    </w:p>
    <w:p w14:paraId="17B3C3A2" w14:textId="77777777" w:rsidR="008F4B50" w:rsidRPr="0040299C" w:rsidRDefault="008F4B50" w:rsidP="008F4B50">
      <w:pPr>
        <w:pStyle w:val="NoSpacing"/>
        <w:ind w:left="720"/>
        <w:rPr>
          <w:rFonts w:ascii="Arial Black" w:hAnsi="Arial Black"/>
          <w:b/>
          <w:sz w:val="28"/>
          <w:szCs w:val="28"/>
        </w:rPr>
      </w:pPr>
      <w:r>
        <w:t xml:space="preserve">Note: </w:t>
      </w:r>
      <w:r w:rsidRPr="00827C25">
        <w:t xml:space="preserve">See </w:t>
      </w:r>
      <w:r w:rsidRPr="0040299C">
        <w:t xml:space="preserve">April 27, </w:t>
      </w:r>
      <w:proofErr w:type="gramStart"/>
      <w:r w:rsidRPr="0040299C">
        <w:t>2012</w:t>
      </w:r>
      <w:proofErr w:type="gramEnd"/>
      <w:r w:rsidRPr="0040299C">
        <w:t xml:space="preserve"> article, “Ex-fire chief convicted in child sex abuse trial. A former Clearwater fire chief is going to prison for life for having sex with a minor</w:t>
      </w:r>
      <w:r>
        <w:t>.”</w:t>
      </w:r>
    </w:p>
    <w:p w14:paraId="6664EBED" w14:textId="77777777" w:rsidR="008F4B50" w:rsidRDefault="008F4B50" w:rsidP="008F4B50">
      <w:pPr>
        <w:pStyle w:val="NoSpacing"/>
        <w:ind w:left="720"/>
        <w:rPr>
          <w:b/>
        </w:rPr>
      </w:pPr>
      <w:hyperlink r:id="rId2450" w:history="1">
        <w:r w:rsidRPr="006219A0">
          <w:rPr>
            <w:rStyle w:val="Hyperlink"/>
            <w:b/>
          </w:rPr>
          <w:t>https://www.wtsp.com/article/news/local/ex-fire-chief-convicted-in-child-sex-abuse-trial/67-376283027</w:t>
        </w:r>
      </w:hyperlink>
      <w:r w:rsidRPr="00AB2879">
        <w:rPr>
          <w:b/>
        </w:rPr>
        <w:t xml:space="preserve"> </w:t>
      </w:r>
    </w:p>
    <w:p w14:paraId="48BBC747" w14:textId="77777777" w:rsidR="008F4B50" w:rsidRDefault="008F4B50" w:rsidP="008F4B50">
      <w:pPr>
        <w:pStyle w:val="NoSpacing"/>
        <w:ind w:left="720"/>
        <w:rPr>
          <w:bCs/>
        </w:rPr>
      </w:pPr>
    </w:p>
    <w:p w14:paraId="66D8C303" w14:textId="77777777" w:rsidR="008F4B50" w:rsidRPr="002376C5" w:rsidRDefault="008F4B50" w:rsidP="008F4B50">
      <w:pPr>
        <w:pStyle w:val="NoSpacing"/>
        <w:ind w:left="720"/>
        <w:rPr>
          <w:bCs/>
        </w:rPr>
      </w:pPr>
      <w:r>
        <w:t xml:space="preserve">See closing arguments [VIDEO]: </w:t>
      </w:r>
      <w:hyperlink r:id="rId2451" w:history="1">
        <w:r w:rsidRPr="00FE3641">
          <w:rPr>
            <w:rStyle w:val="Hyperlink"/>
          </w:rPr>
          <w:t>https://www.youtube.com/watch?v=J9a7dzpchr4</w:t>
        </w:r>
      </w:hyperlink>
      <w:r>
        <w:t xml:space="preserve"> </w:t>
      </w:r>
    </w:p>
    <w:p w14:paraId="24BE2A3A" w14:textId="77777777" w:rsidR="008F4B50" w:rsidRDefault="008F4B50" w:rsidP="008F4B50">
      <w:pPr>
        <w:pStyle w:val="NoSpacing"/>
        <w:ind w:left="720"/>
        <w:rPr>
          <w:bCs/>
        </w:rPr>
      </w:pPr>
    </w:p>
    <w:p w14:paraId="5137F7DA" w14:textId="11F90AC5" w:rsidR="002F7727" w:rsidRDefault="002F7727"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5</w:t>
      </w:r>
    </w:p>
    <w:p w14:paraId="056E02E6" w14:textId="77777777" w:rsidR="00524648" w:rsidRDefault="00524648" w:rsidP="00F326E5">
      <w:pPr>
        <w:pStyle w:val="NoSpacing"/>
        <w:rPr>
          <w:rFonts w:ascii="Arial Black" w:hAnsi="Arial Black"/>
          <w:b/>
          <w:sz w:val="24"/>
          <w:szCs w:val="24"/>
        </w:rPr>
      </w:pPr>
    </w:p>
    <w:p w14:paraId="08BE13CD" w14:textId="2EE029D2" w:rsidR="00C222A8" w:rsidRPr="004F4C85" w:rsidRDefault="00C222A8" w:rsidP="00C222A8">
      <w:pPr>
        <w:pStyle w:val="NoSpacing"/>
        <w:rPr>
          <w:rFonts w:ascii="Arial Black" w:hAnsi="Arial Black"/>
          <w:sz w:val="28"/>
          <w:szCs w:val="28"/>
        </w:rPr>
      </w:pPr>
      <w:r>
        <w:rPr>
          <w:rFonts w:ascii="Arial Black" w:hAnsi="Arial Black"/>
          <w:sz w:val="28"/>
          <w:szCs w:val="28"/>
        </w:rPr>
        <w:t>LA: CAPT TRANF</w:t>
      </w:r>
      <w:r w:rsidR="0061722F">
        <w:rPr>
          <w:rFonts w:ascii="Arial Black" w:hAnsi="Arial Black"/>
          <w:sz w:val="28"/>
          <w:szCs w:val="28"/>
        </w:rPr>
        <w:t>ER</w:t>
      </w:r>
      <w:r>
        <w:rPr>
          <w:rFonts w:ascii="Arial Black" w:hAnsi="Arial Black"/>
          <w:sz w:val="28"/>
          <w:szCs w:val="28"/>
        </w:rPr>
        <w:t xml:space="preserve"> - NOT “DISCIPLINE” – FF BILL OF RIGHTS </w:t>
      </w:r>
    </w:p>
    <w:p w14:paraId="7F0A5D96" w14:textId="77777777" w:rsidR="00C222A8" w:rsidRDefault="00C222A8" w:rsidP="00C222A8">
      <w:pPr>
        <w:pStyle w:val="NoSpacing"/>
      </w:pPr>
    </w:p>
    <w:p w14:paraId="4BB53396" w14:textId="77777777" w:rsidR="00C222A8" w:rsidRDefault="00C222A8" w:rsidP="00C222A8">
      <w:pPr>
        <w:pStyle w:val="NoSpacing"/>
      </w:pPr>
      <w:r>
        <w:t xml:space="preserve">On Aug. 28, 2025, in </w:t>
      </w:r>
      <w:r w:rsidRPr="00AA47E1">
        <w:rPr>
          <w:u w:val="single"/>
        </w:rPr>
        <w:t>Marlan Hyde, Sr. v. New Orleans Fire Department</w:t>
      </w:r>
      <w:r>
        <w:t xml:space="preserve">, the </w:t>
      </w:r>
      <w:r w:rsidRPr="00D2578E">
        <w:t>Court of Appeals of Louisiana, Fourth Circuit</w:t>
      </w:r>
      <w:r>
        <w:t xml:space="preserve"> held (3 to 0) that the City Civil Service Commission properly held that the transfer from District Four to District Three, three months after the December 17, 2023 “physical altercation” with another fire captain, Craig Armant, was not a disciplinary action.   The pre-disciplinary hearing was conducted on March 20, 2024, and the FD decided to not issue any discipline, to avoid any violation of “60-day rule” of Louisiana Firefighters Bill of Rights Act. “Any investigation of a fire employee . . . shall be completed within sixty days, including the conducting of any pre-disciplinary hearing or conference.  </w:t>
      </w:r>
    </w:p>
    <w:p w14:paraId="0188D125" w14:textId="77777777" w:rsidR="00C222A8" w:rsidRDefault="00C222A8" w:rsidP="00C222A8">
      <w:pPr>
        <w:pStyle w:val="NoSpacing"/>
      </w:pPr>
    </w:p>
    <w:p w14:paraId="78CC2F23" w14:textId="77777777" w:rsidR="00C222A8" w:rsidRPr="00733C69" w:rsidRDefault="00C222A8" w:rsidP="00C222A8">
      <w:pPr>
        <w:pStyle w:val="NoSpacing"/>
        <w:rPr>
          <w:b/>
          <w:bCs/>
        </w:rPr>
      </w:pPr>
      <w:r w:rsidRPr="00733C69">
        <w:rPr>
          <w:b/>
        </w:rPr>
        <w:t xml:space="preserve">THE COURT HELD: </w:t>
      </w:r>
      <w:r>
        <w:t xml:space="preserve">In its October 3, </w:t>
      </w:r>
      <w:proofErr w:type="gramStart"/>
      <w:r>
        <w:t>2024</w:t>
      </w:r>
      <w:proofErr w:type="gramEnd"/>
      <w:r>
        <w:t xml:space="preserve"> decision, the Commission found that NOFD’s transfer of Hyde without any attendant loss in pay “[was] not discipline” under Civil Service Rule II, § 4.13 ‘so [he] has no right of appeal’  and denied Hyde’s civil service appeal. This appeal follows…. Accordingly, we find no error in the Commission’s determination that Hyde’s transfer was not disciplinary in nature, such that he had no right under Civil Service Rule II, § </w:t>
      </w:r>
      <w:proofErr w:type="gramStart"/>
      <w:r>
        <w:t>4.1</w:t>
      </w:r>
      <w:proofErr w:type="gramEnd"/>
      <w:r>
        <w:t xml:space="preserve"> to appeal the transfer. We find this assignment without merit… Hyde has failed to demonstrate that his transfer will cause him to suffer any negative effect. Accordingly, the Court finds that Hyde’s transfer does not amount to an adverse action under the Firefighters Bill of Rights.” </w:t>
      </w:r>
      <w:hyperlink r:id="rId2452" w:history="1">
        <w:r w:rsidRPr="00494FBC">
          <w:rPr>
            <w:rStyle w:val="Hyperlink"/>
            <w:b/>
          </w:rPr>
          <w:t>https://cases.justia.com/louisiana/fourth-circuit-court-of-appeal/2025-2025-ca-0114.pdf?ts=1756426619</w:t>
        </w:r>
      </w:hyperlink>
    </w:p>
    <w:p w14:paraId="4C39427C" w14:textId="77777777" w:rsidR="00C222A8" w:rsidRDefault="00C222A8" w:rsidP="00C222A8">
      <w:pPr>
        <w:pStyle w:val="NoSpacing"/>
      </w:pPr>
    </w:p>
    <w:p w14:paraId="4BB85C4C" w14:textId="77777777" w:rsidR="00C222A8" w:rsidRPr="00F86675" w:rsidRDefault="00C222A8" w:rsidP="00C222A8">
      <w:pPr>
        <w:pStyle w:val="NoSpacing"/>
        <w:rPr>
          <w:b/>
          <w:bCs/>
        </w:rPr>
      </w:pPr>
      <w:r w:rsidRPr="00F86675">
        <w:rPr>
          <w:b/>
        </w:rPr>
        <w:t xml:space="preserve">KEY FACTS: </w:t>
      </w:r>
    </w:p>
    <w:p w14:paraId="7AB9B3DC" w14:textId="77777777" w:rsidR="00C222A8" w:rsidRDefault="00C222A8" w:rsidP="00C222A8">
      <w:pPr>
        <w:pStyle w:val="NoSpacing"/>
      </w:pPr>
    </w:p>
    <w:p w14:paraId="41360079" w14:textId="77777777" w:rsidR="00C222A8" w:rsidRDefault="00C222A8" w:rsidP="00C222A8">
      <w:pPr>
        <w:pStyle w:val="NoSpacing"/>
        <w:ind w:left="720"/>
      </w:pPr>
      <w:r>
        <w:t>“On December 17, 2023, Hyde engaged in a physical altercation with another fire captain, Craig Armant (‘Captain Armant’), at a fire station in the Fourth District where they both worked. Following the altercation, NOFD initiated an investigation into the incident.</w:t>
      </w:r>
    </w:p>
    <w:p w14:paraId="4FBCFE0B" w14:textId="77777777" w:rsidR="00C222A8" w:rsidRDefault="00C222A8" w:rsidP="00C222A8">
      <w:pPr>
        <w:pStyle w:val="NoSpacing"/>
      </w:pPr>
    </w:p>
    <w:p w14:paraId="206ACEE7" w14:textId="77777777" w:rsidR="00C222A8" w:rsidRDefault="00C222A8" w:rsidP="00C222A8">
      <w:pPr>
        <w:pStyle w:val="NoSpacing"/>
      </w:pPr>
      <w:r>
        <w:tab/>
        <w:t>***</w:t>
      </w:r>
    </w:p>
    <w:p w14:paraId="3C9044C4" w14:textId="77777777" w:rsidR="00C222A8" w:rsidRDefault="00C222A8" w:rsidP="00C222A8">
      <w:pPr>
        <w:pStyle w:val="NoSpacing"/>
      </w:pPr>
    </w:p>
    <w:p w14:paraId="05AAECAC" w14:textId="77777777" w:rsidR="00C222A8" w:rsidRDefault="00C222A8" w:rsidP="00C222A8">
      <w:pPr>
        <w:pStyle w:val="NoSpacing"/>
        <w:ind w:left="720"/>
      </w:pPr>
      <w:r>
        <w:t xml:space="preserve">On January 24, 2024, NOFD charged Hyde with violating its departmental rule RR-25, which provides </w:t>
      </w:r>
      <w:proofErr w:type="gramStart"/>
      <w:r>
        <w:t>that, ‘[</w:t>
      </w:r>
      <w:proofErr w:type="gramEnd"/>
      <w:r>
        <w:t>t]</w:t>
      </w:r>
      <w:proofErr w:type="spellStart"/>
      <w:r>
        <w:t>hreats</w:t>
      </w:r>
      <w:proofErr w:type="spellEnd"/>
      <w:r>
        <w:t xml:space="preserve"> or acts of physical violence against the public or other members is strictly prohibited.’ A pre-disciplinary hearing was conducted on March 20, 2024. At the hearing, Hyde, through his representative, raised NOFD’s failure to complete the investigation into the December 17, </w:t>
      </w:r>
      <w:proofErr w:type="gramStart"/>
      <w:r>
        <w:t>2023</w:t>
      </w:r>
      <w:proofErr w:type="gramEnd"/>
      <w:r>
        <w:t xml:space="preserve"> incident within sixty days, as required by the Firefighters Bill of Rights, La. R.S.33:2181 et seq., and requested that the disciplinary matter be ‘thrown out immediately.’ The request was denied.</w:t>
      </w:r>
    </w:p>
    <w:p w14:paraId="09463151" w14:textId="77777777" w:rsidR="00C222A8" w:rsidRDefault="00C222A8" w:rsidP="00C222A8">
      <w:pPr>
        <w:pStyle w:val="NoSpacing"/>
        <w:ind w:left="720"/>
      </w:pPr>
    </w:p>
    <w:p w14:paraId="64DEB80E" w14:textId="77777777" w:rsidR="00C222A8" w:rsidRDefault="00C222A8" w:rsidP="00C222A8">
      <w:pPr>
        <w:pStyle w:val="NoSpacing"/>
        <w:ind w:left="720"/>
      </w:pPr>
      <w:r>
        <w:t>***</w:t>
      </w:r>
    </w:p>
    <w:p w14:paraId="4F47E3CD" w14:textId="77777777" w:rsidR="00C222A8" w:rsidRDefault="00C222A8" w:rsidP="00C222A8">
      <w:pPr>
        <w:pStyle w:val="NoSpacing"/>
        <w:ind w:left="720"/>
      </w:pPr>
      <w:r>
        <w:t xml:space="preserve">On March 25, 2024, Deputy Chief Larry White verbally informed Hyde that NOFD was transferring him to a fire station in the Third District. Hyde objected to the transfer and requested a meeting with the Superintendent of Fire of NOFD, Roman Nelson, to discuss the transfer. Superintendent Nelson and Deputy Superintendent of Operations Armand Bourdais met with Hyde and his representative the following day at fire headquarters. </w:t>
      </w:r>
      <w:r>
        <w:lastRenderedPageBreak/>
        <w:t xml:space="preserve">During this meeting, Superintendent Nelson informed Hyde that no disciplinary action would be taken against him for the December 17, </w:t>
      </w:r>
      <w:proofErr w:type="gramStart"/>
      <w:r>
        <w:t>2023</w:t>
      </w:r>
      <w:proofErr w:type="gramEnd"/>
      <w:r>
        <w:t xml:space="preserve"> incident, but that he was being transferred due to safety concerns.</w:t>
      </w:r>
    </w:p>
    <w:p w14:paraId="13FB0CD6" w14:textId="77777777" w:rsidR="00C222A8" w:rsidRDefault="00C222A8" w:rsidP="00C222A8">
      <w:pPr>
        <w:pStyle w:val="NoSpacing"/>
        <w:ind w:left="720"/>
      </w:pPr>
    </w:p>
    <w:p w14:paraId="21282DA9" w14:textId="77777777" w:rsidR="00C222A8" w:rsidRDefault="00C222A8" w:rsidP="00C222A8">
      <w:pPr>
        <w:pStyle w:val="NoSpacing"/>
        <w:ind w:left="720"/>
      </w:pPr>
      <w:r>
        <w:t>***</w:t>
      </w:r>
    </w:p>
    <w:p w14:paraId="1D6C5D8D" w14:textId="77777777" w:rsidR="00C222A8" w:rsidRDefault="00C222A8" w:rsidP="00C222A8">
      <w:pPr>
        <w:pStyle w:val="NoSpacing"/>
      </w:pPr>
    </w:p>
    <w:p w14:paraId="614DA3B1" w14:textId="77777777" w:rsidR="00C222A8" w:rsidRDefault="00C222A8" w:rsidP="00C222A8">
      <w:pPr>
        <w:pStyle w:val="NoSpacing"/>
        <w:ind w:left="720"/>
      </w:pPr>
      <w:r>
        <w:t>Hyde was transferred to the Third District effective March 28, 2024. NOFD issued a letter to Hyde on April 18, 2024, informing him that no action would be taken against him due to the expiration of the 60-day period set forth in the Firefighters Bill of Rights.”</w:t>
      </w:r>
    </w:p>
    <w:p w14:paraId="7A8DA35A" w14:textId="77777777" w:rsidR="00C222A8" w:rsidRDefault="00C222A8" w:rsidP="00C222A8">
      <w:pPr>
        <w:pStyle w:val="NoSpacing"/>
        <w:ind w:left="720"/>
      </w:pPr>
    </w:p>
    <w:p w14:paraId="26C09CAC" w14:textId="77777777" w:rsidR="00C222A8" w:rsidRDefault="00C222A8" w:rsidP="00C222A8">
      <w:pPr>
        <w:pStyle w:val="NoSpacing"/>
        <w:ind w:left="720"/>
      </w:pPr>
    </w:p>
    <w:p w14:paraId="46473864" w14:textId="622D5839" w:rsidR="00C222A8" w:rsidRDefault="00C222A8" w:rsidP="00C222A8">
      <w:pPr>
        <w:pStyle w:val="NoSpacing"/>
        <w:rPr>
          <w:b/>
          <w:bCs/>
        </w:rPr>
      </w:pPr>
      <w:r>
        <w:rPr>
          <w:b/>
        </w:rPr>
        <w:t xml:space="preserve">Legal lesson learned: Transfer to another station is not </w:t>
      </w:r>
      <w:proofErr w:type="gramStart"/>
      <w:r>
        <w:rPr>
          <w:b/>
        </w:rPr>
        <w:t>discipline</w:t>
      </w:r>
      <w:proofErr w:type="gramEnd"/>
      <w:r>
        <w:rPr>
          <w:b/>
        </w:rPr>
        <w:t xml:space="preserve"> in violation of the state’s </w:t>
      </w:r>
      <w:r w:rsidRPr="00A94B6A">
        <w:rPr>
          <w:b/>
        </w:rPr>
        <w:t>Firefighters Bill of Rights</w:t>
      </w:r>
      <w:r w:rsidR="00E73B34">
        <w:rPr>
          <w:b/>
        </w:rPr>
        <w:t xml:space="preserve">. </w:t>
      </w:r>
    </w:p>
    <w:p w14:paraId="354B403A" w14:textId="77777777" w:rsidR="00C222A8" w:rsidRDefault="00C222A8" w:rsidP="00C222A8">
      <w:pPr>
        <w:pStyle w:val="NoSpacing"/>
        <w:rPr>
          <w:b/>
          <w:bCs/>
        </w:rPr>
      </w:pPr>
    </w:p>
    <w:p w14:paraId="23672FA5" w14:textId="77777777" w:rsidR="00D11FFB" w:rsidRDefault="00D11FFB" w:rsidP="002F7727">
      <w:pPr>
        <w:pStyle w:val="NoSpacing"/>
        <w:rPr>
          <w:rFonts w:ascii="Arial Black" w:hAnsi="Arial Black"/>
          <w:b/>
          <w:sz w:val="24"/>
          <w:szCs w:val="24"/>
        </w:rPr>
      </w:pPr>
    </w:p>
    <w:p w14:paraId="4449F8A5" w14:textId="158B7DD6" w:rsidR="002F7727" w:rsidRDefault="00075CD4" w:rsidP="002F7727">
      <w:pPr>
        <w:pStyle w:val="NoSpacing"/>
        <w:rPr>
          <w:rFonts w:ascii="Arial Black" w:hAnsi="Arial Black"/>
          <w:b/>
          <w:sz w:val="24"/>
          <w:szCs w:val="24"/>
        </w:rPr>
      </w:pPr>
      <w:r>
        <w:rPr>
          <w:rFonts w:ascii="Arial Black" w:hAnsi="Arial Black"/>
          <w:b/>
          <w:sz w:val="24"/>
          <w:szCs w:val="24"/>
        </w:rPr>
        <w:t>16-134</w:t>
      </w:r>
    </w:p>
    <w:p w14:paraId="0D8C1A27" w14:textId="77777777" w:rsidR="00140433" w:rsidRDefault="00140433" w:rsidP="002F7727">
      <w:pPr>
        <w:pStyle w:val="NoSpacing"/>
        <w:rPr>
          <w:rFonts w:ascii="Arial Black" w:hAnsi="Arial Black"/>
          <w:b/>
          <w:sz w:val="24"/>
          <w:szCs w:val="24"/>
        </w:rPr>
      </w:pPr>
    </w:p>
    <w:p w14:paraId="3656767C" w14:textId="77777777" w:rsidR="00140433" w:rsidRPr="00A63A50" w:rsidRDefault="00140433" w:rsidP="00140433">
      <w:pPr>
        <w:rPr>
          <w:rFonts w:ascii="Arial Black" w:hAnsi="Arial Black"/>
          <w:sz w:val="28"/>
          <w:szCs w:val="28"/>
        </w:rPr>
      </w:pPr>
      <w:r>
        <w:rPr>
          <w:rFonts w:ascii="Arial Black" w:hAnsi="Arial Black"/>
          <w:sz w:val="28"/>
          <w:szCs w:val="28"/>
        </w:rPr>
        <w:t>AR: FACEBOOK - FIRED – “BALANCING” - CASE TO TRIAL</w:t>
      </w:r>
    </w:p>
    <w:p w14:paraId="4DC2725C" w14:textId="77777777" w:rsidR="00075CD4" w:rsidRDefault="00075CD4" w:rsidP="00075CD4">
      <w:pPr>
        <w:pStyle w:val="NoSpacing"/>
      </w:pPr>
      <w:r>
        <w:t xml:space="preserve">On Aug. 13, 2025, in </w:t>
      </w:r>
      <w:r w:rsidRPr="00642A93">
        <w:rPr>
          <w:u w:val="single"/>
        </w:rPr>
        <w:t>Steven Melton v. City of Forrest City</w:t>
      </w:r>
      <w:r w:rsidRPr="00423BB5">
        <w:t xml:space="preserve">, </w:t>
      </w:r>
      <w:r>
        <w:t>the United States Court of Appeals for the 8</w:t>
      </w:r>
      <w:r w:rsidRPr="00751559">
        <w:rPr>
          <w:vertAlign w:val="superscript"/>
        </w:rPr>
        <w:t>th</w:t>
      </w:r>
      <w:r>
        <w:t xml:space="preserve"> Circuit (St. Louis) held (3 to 0) that the trial court improperly granted summary judgement to the city’ the pro-life firefighter is entitled to a jury trial.  Under the U.S. Supreme Court’s </w:t>
      </w:r>
      <w:r w:rsidRPr="004E09A7">
        <w:rPr>
          <w:i/>
          <w:iCs/>
        </w:rPr>
        <w:t>Pickering</w:t>
      </w:r>
      <w:r>
        <w:t xml:space="preserve"> “balancing” decision, the Facebook posting caused little disruption to the fire department during the two weeks it was posted, but the </w:t>
      </w:r>
      <w:proofErr w:type="gramStart"/>
      <w:r>
        <w:t>Mayor</w:t>
      </w:r>
      <w:proofErr w:type="gramEnd"/>
      <w:r>
        <w:t xml:space="preserve"> feared great community outrage. THE COURT WROTE: “Does a Forrest City fireman who lost his job because he posted a provocative image on his personal Facebook page have a First Amendment retaliation claim that can get to a jury? We conclude that he does…. Steven Melton is a pro-life, evangelical Christian. In June 2020, he reposted a black-and-white image on Facebook [see posting in this decision] that depicted a silhouette of a baby in the womb with a rope around its neck. His intent was to convey that he was ‘anti-abortion.’  … The problem is that there was no showing that Melton’s post had an impact  on the fire department itself. No current firefighter complained or confronted him about it. Nor did any co-worker or supervisor refuse to work with him.” </w:t>
      </w:r>
      <w:hyperlink r:id="rId2453" w:history="1">
        <w:r w:rsidRPr="009C046C">
          <w:rPr>
            <w:rStyle w:val="Hyperlink"/>
          </w:rPr>
          <w:t>https://cases.justia.com/federal/appellate-courts/ca8/23-3398/23-3398-2025-08-13.pdf?ts=1755099027</w:t>
        </w:r>
      </w:hyperlink>
      <w:r>
        <w:t xml:space="preserve"> </w:t>
      </w:r>
    </w:p>
    <w:p w14:paraId="37AA167A" w14:textId="77777777" w:rsidR="00075CD4" w:rsidRDefault="00075CD4" w:rsidP="00075CD4">
      <w:pPr>
        <w:pStyle w:val="NoSpacing"/>
      </w:pPr>
    </w:p>
    <w:p w14:paraId="132D251C" w14:textId="77777777" w:rsidR="00075CD4" w:rsidRDefault="00075CD4" w:rsidP="00075CD4">
      <w:r>
        <w:t>THE COURT HELD:</w:t>
      </w:r>
    </w:p>
    <w:p w14:paraId="45F54E08" w14:textId="77777777" w:rsidR="00075CD4" w:rsidRDefault="00075CD4" w:rsidP="00075CD4">
      <w:pPr>
        <w:pStyle w:val="NoSpacing"/>
        <w:ind w:left="720"/>
      </w:pPr>
      <w:r>
        <w:t xml:space="preserve">“Two weeks after he posted it, a retired fire-department supervisor complained to Melton that he thought it looked like a noose around the neck of a black child. It upset him because the caption of the image, ‘I can’t </w:t>
      </w:r>
      <w:proofErr w:type="gramStart"/>
      <w:r>
        <w:t>breathe!,</w:t>
      </w:r>
      <w:proofErr w:type="gramEnd"/>
      <w:r>
        <w:t>’ was associated with the protests surrounding George Floyd’s death. Melton agreed to delete it immediately.</w:t>
      </w:r>
    </w:p>
    <w:p w14:paraId="6EBF5ED9" w14:textId="77777777" w:rsidR="00075CD4" w:rsidRDefault="00075CD4" w:rsidP="00075CD4">
      <w:pPr>
        <w:pStyle w:val="NoSpacing"/>
      </w:pPr>
    </w:p>
    <w:p w14:paraId="3EA691C9" w14:textId="77777777" w:rsidR="00075CD4" w:rsidRDefault="00075CD4" w:rsidP="00075CD4">
      <w:pPr>
        <w:pStyle w:val="NoSpacing"/>
        <w:ind w:left="720"/>
      </w:pPr>
      <w:r>
        <w:t>Deleting it was not enough for Mayor Cedric Williams, who called him into his office the next day. Although Melton was ‘apologetic,’ the mayor placed him on administrative leave pending an investigation. After a single day reviewing Melton’s Facebook page and discussing the post with the current fire chief, two retired firefighters, several attorneys, and a human-resources officer, the mayor decided to fire Melton over the image’s ‘egregious nature.’</w:t>
      </w:r>
    </w:p>
    <w:p w14:paraId="173395AD" w14:textId="77777777" w:rsidR="00075CD4" w:rsidRDefault="00075CD4" w:rsidP="00075CD4">
      <w:pPr>
        <w:pStyle w:val="NoSpacing"/>
        <w:ind w:left="720"/>
      </w:pPr>
    </w:p>
    <w:p w14:paraId="3101D688" w14:textId="77777777" w:rsidR="00075CD4" w:rsidRDefault="00075CD4" w:rsidP="00075CD4">
      <w:pPr>
        <w:pStyle w:val="NoSpacing"/>
        <w:ind w:left="720"/>
      </w:pPr>
      <w:r>
        <w:t>He was concerned about the ‘huge firestorm’ it had created. Among other things, the fire chief’s phone had been ‘blowing up,’ ‘several’ police officers had become ‘very upset,’ and the ‘phone lines’ were jammed with calls from angry city-council members and citizens. Some said that Melton ‘should not be a part of the . . . fire department responding to calls.’  A few even said that they did not want ‘him coming to their house . . . for a medical call or fire emergency.”’ According to the mayor, these complaints ‘threaten[ed] the City’s ability to administer public services.’</w:t>
      </w:r>
    </w:p>
    <w:p w14:paraId="2E8FDA3A" w14:textId="77777777" w:rsidR="00075CD4" w:rsidRDefault="00075CD4" w:rsidP="00075CD4">
      <w:pPr>
        <w:pStyle w:val="NoSpacing"/>
        <w:ind w:left="720"/>
      </w:pPr>
    </w:p>
    <w:p w14:paraId="5FB3AD19" w14:textId="77777777" w:rsidR="00075CD4" w:rsidRDefault="00075CD4" w:rsidP="00075CD4">
      <w:pPr>
        <w:pStyle w:val="NoSpacing"/>
        <w:ind w:left="720"/>
      </w:pPr>
      <w:r>
        <w:lastRenderedPageBreak/>
        <w:t>Melton found out about the decision to fire him from the local news. In response to a ‘media request,’ Mayor Williams had issued a press release stating that ‘[q]</w:t>
      </w:r>
      <w:proofErr w:type="spellStart"/>
      <w:r>
        <w:t>uestionable</w:t>
      </w:r>
      <w:proofErr w:type="spellEnd"/>
      <w:r>
        <w:t xml:space="preserve"> social[-]media posts’ had led to his termination. It marked the end of his ‘four and a half years’ of ‘unblemished’ service.”</w:t>
      </w:r>
    </w:p>
    <w:p w14:paraId="0B04839C" w14:textId="77777777" w:rsidR="00075CD4" w:rsidRDefault="00075CD4" w:rsidP="00075CD4">
      <w:pPr>
        <w:pStyle w:val="NoSpacing"/>
        <w:ind w:left="720"/>
      </w:pPr>
    </w:p>
    <w:p w14:paraId="47399DE3" w14:textId="77777777" w:rsidR="00075CD4" w:rsidRDefault="00075CD4" w:rsidP="00075CD4">
      <w:pPr>
        <w:pStyle w:val="NoSpacing"/>
        <w:rPr>
          <w:b/>
          <w:bCs/>
        </w:rPr>
      </w:pPr>
      <w:r w:rsidRPr="0057733E">
        <w:rPr>
          <w:b/>
        </w:rPr>
        <w:t xml:space="preserve">Legal lesson learned: </w:t>
      </w:r>
      <w:r>
        <w:rPr>
          <w:b/>
        </w:rPr>
        <w:t>Emergency responders must be extremely careful in their social media posts; we are living in a hyper-sensitive age.</w:t>
      </w:r>
    </w:p>
    <w:p w14:paraId="086AD95F" w14:textId="77777777" w:rsidR="00075CD4" w:rsidRDefault="00075CD4" w:rsidP="00075CD4">
      <w:pPr>
        <w:pStyle w:val="NoSpacing"/>
        <w:rPr>
          <w:b/>
          <w:bCs/>
        </w:rPr>
      </w:pPr>
    </w:p>
    <w:p w14:paraId="0621C511" w14:textId="77777777" w:rsidR="00075CD4" w:rsidRPr="0059407F" w:rsidRDefault="00075CD4" w:rsidP="00075CD4">
      <w:pPr>
        <w:pStyle w:val="NoSpacing"/>
        <w:ind w:left="720"/>
        <w:rPr>
          <w:bCs/>
        </w:rPr>
      </w:pPr>
      <w:r>
        <w:t xml:space="preserve">Note: See Nov. 12, </w:t>
      </w:r>
      <w:proofErr w:type="gramStart"/>
      <w:r>
        <w:t>2025</w:t>
      </w:r>
      <w:proofErr w:type="gramEnd"/>
      <w:r>
        <w:t xml:space="preserve"> article: </w:t>
      </w:r>
      <w:r w:rsidRPr="0059407F">
        <w:t>Toledo fire lieutenant fired after investigation into social media post about Charlie Kirk</w:t>
      </w:r>
      <w:r>
        <w:t xml:space="preserve">. </w:t>
      </w:r>
      <w:hyperlink r:id="rId2454" w:history="1">
        <w:r w:rsidRPr="009C046C">
          <w:rPr>
            <w:rStyle w:val="Hyperlink"/>
          </w:rPr>
          <w:t>https://www.wtol.com/article/news/local/toledo-fire-lieutenant-fired-investigation-social-media-post-about-charlie-kirk/512-599961fb-9233-4ebc-8628-cfa2b96c7722</w:t>
        </w:r>
      </w:hyperlink>
      <w:r>
        <w:t xml:space="preserve"> </w:t>
      </w:r>
    </w:p>
    <w:p w14:paraId="5891CF74" w14:textId="77777777" w:rsidR="00075CD4" w:rsidRPr="0059407F" w:rsidRDefault="00075CD4" w:rsidP="00075CD4">
      <w:pPr>
        <w:pStyle w:val="NoSpacing"/>
        <w:rPr>
          <w:bCs/>
        </w:rPr>
      </w:pPr>
      <w:r w:rsidRPr="0059407F">
        <w:t xml:space="preserve"> </w:t>
      </w:r>
    </w:p>
    <w:p w14:paraId="099BF3AC" w14:textId="77777777" w:rsidR="00075CD4" w:rsidRDefault="00075CD4" w:rsidP="002F7727">
      <w:pPr>
        <w:pStyle w:val="NoSpacing"/>
        <w:rPr>
          <w:rFonts w:ascii="Arial Black" w:hAnsi="Arial Black"/>
          <w:b/>
          <w:sz w:val="24"/>
          <w:szCs w:val="24"/>
        </w:rPr>
      </w:pPr>
    </w:p>
    <w:p w14:paraId="2B58F3C1" w14:textId="77777777" w:rsidR="00075CD4" w:rsidRDefault="00075CD4" w:rsidP="002F7727">
      <w:pPr>
        <w:pStyle w:val="NoSpacing"/>
        <w:rPr>
          <w:rFonts w:ascii="Arial Black" w:hAnsi="Arial Black"/>
          <w:b/>
          <w:sz w:val="24"/>
          <w:szCs w:val="24"/>
        </w:rPr>
      </w:pPr>
    </w:p>
    <w:p w14:paraId="29F44B31" w14:textId="77777777" w:rsidR="00075CD4" w:rsidRDefault="00075CD4" w:rsidP="002F7727">
      <w:pPr>
        <w:pStyle w:val="NoSpacing"/>
        <w:rPr>
          <w:rFonts w:ascii="Arial Black" w:hAnsi="Arial Black"/>
          <w:b/>
          <w:sz w:val="24"/>
          <w:szCs w:val="24"/>
        </w:rPr>
      </w:pPr>
    </w:p>
    <w:p w14:paraId="2DB36602" w14:textId="77777777" w:rsidR="00075CD4" w:rsidRDefault="00075CD4" w:rsidP="002F7727">
      <w:pPr>
        <w:pStyle w:val="NoSpacing"/>
        <w:rPr>
          <w:rFonts w:ascii="Arial Black" w:hAnsi="Arial Black"/>
          <w:b/>
          <w:sz w:val="24"/>
          <w:szCs w:val="24"/>
        </w:rPr>
      </w:pPr>
    </w:p>
    <w:p w14:paraId="4C115D60" w14:textId="77777777" w:rsidR="002F7727" w:rsidRDefault="002F7727" w:rsidP="002F7727">
      <w:pPr>
        <w:pStyle w:val="NoSpacing"/>
        <w:rPr>
          <w:rFonts w:ascii="Arial Black" w:hAnsi="Arial Black"/>
          <w:b/>
          <w:sz w:val="24"/>
          <w:szCs w:val="24"/>
        </w:rPr>
      </w:pPr>
    </w:p>
    <w:p w14:paraId="0932CFD9" w14:textId="64D4A02A" w:rsidR="002F7727" w:rsidRDefault="002F7727" w:rsidP="002F7727">
      <w:pPr>
        <w:pStyle w:val="NoSpacing"/>
        <w:rPr>
          <w:rFonts w:ascii="Arial Black" w:hAnsi="Arial Black"/>
          <w:b/>
          <w:sz w:val="24"/>
          <w:szCs w:val="24"/>
        </w:rPr>
      </w:pPr>
      <w:r>
        <w:rPr>
          <w:rFonts w:ascii="Arial Black" w:hAnsi="Arial Black"/>
          <w:b/>
          <w:sz w:val="24"/>
          <w:szCs w:val="24"/>
        </w:rPr>
        <w:t>16-133</w:t>
      </w:r>
    </w:p>
    <w:p w14:paraId="22EBBA21" w14:textId="77777777" w:rsidR="00C222A8" w:rsidRDefault="00C222A8" w:rsidP="00C222A8">
      <w:pPr>
        <w:pStyle w:val="NoSpacing"/>
      </w:pPr>
    </w:p>
    <w:p w14:paraId="0B7DB272" w14:textId="75F28435" w:rsidR="008C05B9" w:rsidRPr="00966909" w:rsidRDefault="008C05B9" w:rsidP="008C05B9">
      <w:pPr>
        <w:pStyle w:val="NoSpacing"/>
        <w:rPr>
          <w:rFonts w:ascii="Arial Black" w:hAnsi="Arial Black"/>
          <w:sz w:val="28"/>
          <w:szCs w:val="28"/>
        </w:rPr>
      </w:pPr>
      <w:r>
        <w:rPr>
          <w:rFonts w:ascii="Arial Black" w:hAnsi="Arial Black"/>
          <w:sz w:val="28"/>
          <w:szCs w:val="28"/>
        </w:rPr>
        <w:t>VA: FACEBOOK POSTS</w:t>
      </w:r>
      <w:r w:rsidR="006D160C">
        <w:rPr>
          <w:rFonts w:ascii="Arial Black" w:hAnsi="Arial Black"/>
          <w:sz w:val="28"/>
          <w:szCs w:val="28"/>
        </w:rPr>
        <w:t xml:space="preserve"> – ABOUT </w:t>
      </w:r>
      <w:r>
        <w:rPr>
          <w:rFonts w:ascii="Arial Black" w:hAnsi="Arial Black"/>
          <w:sz w:val="28"/>
          <w:szCs w:val="28"/>
        </w:rPr>
        <w:t>TRANSGENDERS – CAPT FIRED</w:t>
      </w:r>
    </w:p>
    <w:p w14:paraId="70336A9C" w14:textId="77777777" w:rsidR="008C05B9" w:rsidRDefault="008C05B9" w:rsidP="008C05B9">
      <w:pPr>
        <w:pStyle w:val="NoSpacing"/>
      </w:pPr>
    </w:p>
    <w:p w14:paraId="7F8DC4C9" w14:textId="543310C7" w:rsidR="008C05B9" w:rsidRDefault="008C05B9" w:rsidP="008C05B9">
      <w:pPr>
        <w:pStyle w:val="NoSpacing"/>
      </w:pPr>
      <w:r>
        <w:t xml:space="preserve">On June 2, 2025, in </w:t>
      </w:r>
      <w:r w:rsidRPr="000A24BF">
        <w:rPr>
          <w:u w:val="single"/>
        </w:rPr>
        <w:t xml:space="preserve">Martin </w:t>
      </w:r>
      <w:proofErr w:type="spellStart"/>
      <w:r w:rsidRPr="000A24BF">
        <w:rPr>
          <w:u w:val="single"/>
        </w:rPr>
        <w:t>Misjuns</w:t>
      </w:r>
      <w:proofErr w:type="spellEnd"/>
      <w:r w:rsidRPr="000A24BF">
        <w:rPr>
          <w:u w:val="single"/>
        </w:rPr>
        <w:t xml:space="preserve"> v. City of Lynchburg</w:t>
      </w:r>
      <w:r>
        <w:t xml:space="preserve">, the United States Court of Appeals for the Fourth Circuit (Richmond, VA) held (3 to 0) that the City properly fired the </w:t>
      </w:r>
      <w:proofErr w:type="gramStart"/>
      <w:r>
        <w:t>Captain</w:t>
      </w:r>
      <w:proofErr w:type="gramEnd"/>
      <w:r>
        <w:t xml:space="preserve"> for the offensive Facebook posts.  The trial court </w:t>
      </w:r>
      <w:proofErr w:type="gramStart"/>
      <w:r>
        <w:t>had granted</w:t>
      </w:r>
      <w:proofErr w:type="gramEnd"/>
      <w:r>
        <w:t xml:space="preserve"> City’s motion to dismiss.  </w:t>
      </w:r>
      <w:r w:rsidR="00AA584B">
        <w:t xml:space="preserve"> </w:t>
      </w:r>
      <w:hyperlink r:id="rId2455" w:history="1">
        <w:r w:rsidR="00AA584B" w:rsidRPr="00586BA9">
          <w:rPr>
            <w:rStyle w:val="Hyperlink"/>
          </w:rPr>
          <w:t>https://cases.justia.com/federal/appellate-courts/ca4/24-1782/24-1782-2025-06-05.pdf?ts=1749150038</w:t>
        </w:r>
      </w:hyperlink>
    </w:p>
    <w:p w14:paraId="7CC36101" w14:textId="77777777" w:rsidR="008C05B9" w:rsidRDefault="008C05B9" w:rsidP="008C05B9">
      <w:pPr>
        <w:pStyle w:val="NoSpacing"/>
      </w:pPr>
    </w:p>
    <w:p w14:paraId="6E6D6BA8" w14:textId="77777777" w:rsidR="008C05B9" w:rsidRDefault="008C05B9" w:rsidP="008C05B9">
      <w:pPr>
        <w:pStyle w:val="NoSpacing"/>
      </w:pPr>
      <w:r w:rsidRPr="00045997">
        <w:rPr>
          <w:b/>
        </w:rPr>
        <w:t xml:space="preserve">THE COURT HELD: </w:t>
      </w:r>
      <w:r>
        <w:rPr>
          <w:b/>
        </w:rPr>
        <w:t xml:space="preserve"> “</w:t>
      </w:r>
      <w:r>
        <w:t xml:space="preserve">On January 26, 2021, </w:t>
      </w:r>
      <w:proofErr w:type="spellStart"/>
      <w:r>
        <w:t>Misjuns</w:t>
      </w:r>
      <w:proofErr w:type="spellEnd"/>
      <w:r>
        <w:t xml:space="preserve"> posted four cartoons on his public figure Facebook page with the caption “#</w:t>
      </w:r>
      <w:proofErr w:type="spellStart"/>
      <w:r>
        <w:t>BidenErasedWomen</w:t>
      </w:r>
      <w:proofErr w:type="spellEnd"/>
      <w:r>
        <w:t xml:space="preserve"> – Coming to your daughters [sic] high school locker room in the near future.” … The cartoons depicted offensive stereotypes</w:t>
      </w:r>
    </w:p>
    <w:p w14:paraId="76C7F574" w14:textId="77777777" w:rsidR="008C05B9" w:rsidRDefault="008C05B9" w:rsidP="008C05B9">
      <w:pPr>
        <w:pStyle w:val="NoSpacing"/>
      </w:pPr>
      <w:r>
        <w:t xml:space="preserve">of transgender women in bathrooms and participating in sports…. </w:t>
      </w:r>
      <w:proofErr w:type="spellStart"/>
      <w:r>
        <w:t>Misjuns</w:t>
      </w:r>
      <w:proofErr w:type="spellEnd"/>
      <w:r>
        <w:t xml:space="preserve"> became aware of the citizen complaints. On February 1, 2021, he posted a meme to his public figure Facebook page with the caption, ‘Let’s set something straight for the attacks I’ve been taking from a local activist group . . ..’  The meme stated:  ‘In the beginning, God created Adam &amp; Eve. Adam could never be a Madam. Eve could never become Steve. Anyone who tells you otherwise defies the one true God. Threatening anyone for believing &amp; saying this is most likely a hate crime.”’ </w:t>
      </w:r>
    </w:p>
    <w:p w14:paraId="702052DB" w14:textId="77777777" w:rsidR="008C05B9" w:rsidRDefault="008C05B9" w:rsidP="008C05B9">
      <w:pPr>
        <w:pStyle w:val="NoSpacing"/>
      </w:pPr>
    </w:p>
    <w:p w14:paraId="2317952B" w14:textId="77777777" w:rsidR="008C05B9" w:rsidRDefault="008C05B9" w:rsidP="008C05B9">
      <w:pPr>
        <w:pStyle w:val="NoSpacing"/>
      </w:pPr>
      <w:r>
        <w:t>***</w:t>
      </w:r>
    </w:p>
    <w:p w14:paraId="5AC264F7" w14:textId="77777777" w:rsidR="008C05B9" w:rsidRDefault="008C05B9" w:rsidP="008C05B9">
      <w:pPr>
        <w:pStyle w:val="NoSpacing"/>
      </w:pPr>
    </w:p>
    <w:p w14:paraId="6EA84978" w14:textId="77777777" w:rsidR="008C05B9" w:rsidRDefault="008C05B9" w:rsidP="008C05B9">
      <w:pPr>
        <w:pStyle w:val="NoSpacing"/>
      </w:pPr>
      <w:r>
        <w:t>The plaintiff has every right to express his views, hateful though they be. But he has</w:t>
      </w:r>
    </w:p>
    <w:p w14:paraId="49177675" w14:textId="77777777" w:rsidR="008C05B9" w:rsidRDefault="008C05B9" w:rsidP="008C05B9">
      <w:pPr>
        <w:pStyle w:val="NoSpacing"/>
      </w:pPr>
      <w:r>
        <w:t>no right to impair the Fire Department’s work and efficiency. His transparently bigoted</w:t>
      </w:r>
    </w:p>
    <w:p w14:paraId="242835B5" w14:textId="77777777" w:rsidR="008C05B9" w:rsidRDefault="008C05B9" w:rsidP="008C05B9">
      <w:pPr>
        <w:pStyle w:val="NoSpacing"/>
      </w:pPr>
      <w:r>
        <w:t>remarks gave rise to a reasonable apprehension on the part of Lynchburg’s citizens that the</w:t>
      </w:r>
    </w:p>
    <w:p w14:paraId="35A11401" w14:textId="77777777" w:rsidR="008C05B9" w:rsidRDefault="008C05B9" w:rsidP="008C05B9">
      <w:pPr>
        <w:pStyle w:val="NoSpacing"/>
      </w:pPr>
      <w:r>
        <w:t xml:space="preserve">Fire Department’s </w:t>
      </w:r>
      <w:proofErr w:type="gramStart"/>
      <w:r>
        <w:t>emergency-response</w:t>
      </w:r>
      <w:proofErr w:type="gramEnd"/>
      <w:r>
        <w:t xml:space="preserve"> tasks would not be carried out in an even-handed</w:t>
      </w:r>
    </w:p>
    <w:p w14:paraId="7F894D7D" w14:textId="77777777" w:rsidR="008C05B9" w:rsidRDefault="008C05B9" w:rsidP="008C05B9">
      <w:pPr>
        <w:pStyle w:val="NoSpacing"/>
      </w:pPr>
      <w:r>
        <w:t>and unbiased way.</w:t>
      </w:r>
    </w:p>
    <w:p w14:paraId="516EC086" w14:textId="77777777" w:rsidR="008C05B9" w:rsidRDefault="008C05B9" w:rsidP="008C05B9">
      <w:pPr>
        <w:pStyle w:val="NoSpacing"/>
      </w:pPr>
    </w:p>
    <w:p w14:paraId="20DCC84C" w14:textId="77777777" w:rsidR="008C05B9" w:rsidRDefault="008C05B9" w:rsidP="008C05B9">
      <w:pPr>
        <w:pStyle w:val="NoSpacing"/>
      </w:pPr>
      <w:r>
        <w:t>The city, in turn, was fully justified in responding to the possible corruption of its</w:t>
      </w:r>
    </w:p>
    <w:p w14:paraId="50FCC980" w14:textId="77777777" w:rsidR="008C05B9" w:rsidRDefault="008C05B9" w:rsidP="008C05B9">
      <w:pPr>
        <w:pStyle w:val="NoSpacing"/>
      </w:pPr>
      <w:r>
        <w:t xml:space="preserve">basic services and to the negative effects on recruitment that the well-known views </w:t>
      </w:r>
      <w:proofErr w:type="gramStart"/>
      <w:r>
        <w:t>of a</w:t>
      </w:r>
      <w:proofErr w:type="gramEnd"/>
    </w:p>
    <w:p w14:paraId="0CCB0EB1" w14:textId="77777777" w:rsidR="008C05B9" w:rsidRDefault="008C05B9" w:rsidP="008C05B9">
      <w:pPr>
        <w:pStyle w:val="NoSpacing"/>
      </w:pPr>
      <w:r>
        <w:t>well-known Captain in the Fire Department would likely have. There was nothing</w:t>
      </w:r>
    </w:p>
    <w:p w14:paraId="64FF51F3" w14:textId="77777777" w:rsidR="008C05B9" w:rsidRDefault="008C05B9" w:rsidP="008C05B9">
      <w:pPr>
        <w:pStyle w:val="NoSpacing"/>
      </w:pPr>
      <w:r>
        <w:t>pretextual in the City’s invocation of the principles of good governance here, and the Supreme Court in Pickering v. Board of Education, 391 U.S. 563 (1968) and its numerous</w:t>
      </w:r>
    </w:p>
    <w:p w14:paraId="31F7B337" w14:textId="77777777" w:rsidR="008C05B9" w:rsidRDefault="008C05B9" w:rsidP="008C05B9">
      <w:pPr>
        <w:pStyle w:val="NoSpacing"/>
      </w:pPr>
      <w:r>
        <w:t>progeny has granted municipalities, in a case such as this, the right to act precisely as the</w:t>
      </w:r>
    </w:p>
    <w:p w14:paraId="06A319F4" w14:textId="77777777" w:rsidR="008C05B9" w:rsidRDefault="008C05B9" w:rsidP="008C05B9">
      <w:pPr>
        <w:pStyle w:val="NoSpacing"/>
      </w:pPr>
      <w:r>
        <w:t xml:space="preserve">City did.” </w:t>
      </w:r>
      <w:hyperlink r:id="rId2456" w:history="1">
        <w:r w:rsidRPr="00586BA9">
          <w:rPr>
            <w:rStyle w:val="Hyperlink"/>
          </w:rPr>
          <w:t>https://cases.justia.com/federal/appellate-courts/ca4/24-1782/24-1782-2025-06-05.pdf?ts=1749150038</w:t>
        </w:r>
      </w:hyperlink>
      <w:r>
        <w:t xml:space="preserve"> </w:t>
      </w:r>
    </w:p>
    <w:p w14:paraId="3A27585E" w14:textId="77777777" w:rsidR="008C05B9" w:rsidRPr="00045997" w:rsidRDefault="008C05B9" w:rsidP="008C05B9">
      <w:pPr>
        <w:pStyle w:val="NoSpacing"/>
        <w:rPr>
          <w:b/>
          <w:bCs/>
        </w:rPr>
      </w:pPr>
    </w:p>
    <w:p w14:paraId="1275E6DE" w14:textId="77777777" w:rsidR="008C05B9" w:rsidRDefault="008C05B9" w:rsidP="008C05B9">
      <w:pPr>
        <w:pStyle w:val="NoSpacing"/>
        <w:rPr>
          <w:b/>
          <w:bCs/>
        </w:rPr>
      </w:pPr>
      <w:r>
        <w:rPr>
          <w:b/>
        </w:rPr>
        <w:t xml:space="preserve">KEY FACTS: </w:t>
      </w:r>
    </w:p>
    <w:p w14:paraId="50268885" w14:textId="77777777" w:rsidR="008C05B9" w:rsidRDefault="008C05B9" w:rsidP="008C05B9">
      <w:pPr>
        <w:pStyle w:val="NoSpacing"/>
        <w:rPr>
          <w:b/>
          <w:bCs/>
        </w:rPr>
      </w:pPr>
    </w:p>
    <w:p w14:paraId="71504728" w14:textId="77777777" w:rsidR="008C05B9" w:rsidRPr="001342C2" w:rsidRDefault="008C05B9" w:rsidP="008C05B9">
      <w:pPr>
        <w:pStyle w:val="NoSpacing"/>
        <w:ind w:firstLine="720"/>
        <w:rPr>
          <w:bCs/>
        </w:rPr>
      </w:pPr>
      <w:r>
        <w:t>“</w:t>
      </w:r>
      <w:r w:rsidRPr="001342C2">
        <w:t xml:space="preserve">Martin </w:t>
      </w:r>
      <w:proofErr w:type="spellStart"/>
      <w:r w:rsidRPr="001342C2">
        <w:t>Misjuns</w:t>
      </w:r>
      <w:proofErr w:type="spellEnd"/>
      <w:r w:rsidRPr="001342C2">
        <w:t xml:space="preserve"> was employed as a Fire Captain and paramedic by the </w:t>
      </w:r>
      <w:proofErr w:type="gramStart"/>
      <w:r w:rsidRPr="001342C2">
        <w:t>City</w:t>
      </w:r>
      <w:proofErr w:type="gramEnd"/>
      <w:r w:rsidRPr="001342C2">
        <w:t xml:space="preserve"> of</w:t>
      </w:r>
    </w:p>
    <w:p w14:paraId="2FC6B880" w14:textId="77777777" w:rsidR="008C05B9" w:rsidRPr="001342C2" w:rsidRDefault="008C05B9" w:rsidP="008C05B9">
      <w:pPr>
        <w:pStyle w:val="NoSpacing"/>
        <w:ind w:firstLine="720"/>
        <w:rPr>
          <w:bCs/>
        </w:rPr>
      </w:pPr>
      <w:r w:rsidRPr="001342C2">
        <w:t>Lynchburg as part of the Lynchburg Fire Department (“LFD”)</w:t>
      </w:r>
      <w:r>
        <w:t xml:space="preserve">…. </w:t>
      </w:r>
      <w:r w:rsidRPr="001342C2">
        <w:t>He was also a</w:t>
      </w:r>
    </w:p>
    <w:p w14:paraId="75A0E0C9" w14:textId="77777777" w:rsidR="008C05B9" w:rsidRPr="001342C2" w:rsidRDefault="008C05B9" w:rsidP="008C05B9">
      <w:pPr>
        <w:pStyle w:val="NoSpacing"/>
        <w:ind w:firstLine="720"/>
        <w:rPr>
          <w:bCs/>
        </w:rPr>
      </w:pPr>
      <w:r w:rsidRPr="001342C2">
        <w:t>union representative with IAFF Local 1146, the Lynchburg division of the International</w:t>
      </w:r>
    </w:p>
    <w:p w14:paraId="37DC7A81" w14:textId="77777777" w:rsidR="008C05B9" w:rsidRPr="001342C2" w:rsidRDefault="008C05B9" w:rsidP="008C05B9">
      <w:pPr>
        <w:pStyle w:val="NoSpacing"/>
        <w:ind w:firstLine="720"/>
        <w:rPr>
          <w:bCs/>
        </w:rPr>
      </w:pPr>
      <w:r w:rsidRPr="001342C2">
        <w:t>Association of Fire Fighters labor union, and Ward I Chair for the Lynchburg Republican</w:t>
      </w:r>
    </w:p>
    <w:p w14:paraId="20546787" w14:textId="77777777" w:rsidR="008C05B9" w:rsidRDefault="008C05B9" w:rsidP="008C05B9">
      <w:pPr>
        <w:pStyle w:val="NoSpacing"/>
        <w:ind w:firstLine="720"/>
        <w:rPr>
          <w:bCs/>
        </w:rPr>
      </w:pPr>
      <w:r w:rsidRPr="001342C2">
        <w:t>City Committee</w:t>
      </w:r>
      <w:r>
        <w:t xml:space="preserve">…. </w:t>
      </w:r>
    </w:p>
    <w:p w14:paraId="61147684" w14:textId="77777777" w:rsidR="008C05B9" w:rsidRPr="001342C2" w:rsidRDefault="008C05B9" w:rsidP="008C05B9">
      <w:pPr>
        <w:pStyle w:val="NoSpacing"/>
        <w:ind w:firstLine="720"/>
        <w:rPr>
          <w:bCs/>
        </w:rPr>
      </w:pPr>
    </w:p>
    <w:p w14:paraId="691382F0" w14:textId="77777777" w:rsidR="008C05B9" w:rsidRPr="001342C2" w:rsidRDefault="008C05B9" w:rsidP="008C05B9">
      <w:pPr>
        <w:pStyle w:val="NoSpacing"/>
        <w:ind w:firstLine="720"/>
        <w:rPr>
          <w:bCs/>
        </w:rPr>
      </w:pPr>
      <w:r w:rsidRPr="001342C2">
        <w:t xml:space="preserve">Before the events that </w:t>
      </w:r>
      <w:proofErr w:type="gramStart"/>
      <w:r w:rsidRPr="001342C2">
        <w:t>serve</w:t>
      </w:r>
      <w:proofErr w:type="gramEnd"/>
      <w:r w:rsidRPr="001342C2">
        <w:t xml:space="preserve"> as the basis of this suit, </w:t>
      </w:r>
      <w:proofErr w:type="gramStart"/>
      <w:r w:rsidRPr="001342C2">
        <w:t>there</w:t>
      </w:r>
      <w:proofErr w:type="gramEnd"/>
      <w:r w:rsidRPr="001342C2">
        <w:t xml:space="preserve"> were already deep-seated</w:t>
      </w:r>
    </w:p>
    <w:p w14:paraId="2C931AFD" w14:textId="77777777" w:rsidR="008C05B9" w:rsidRPr="001342C2" w:rsidRDefault="008C05B9" w:rsidP="008C05B9">
      <w:pPr>
        <w:pStyle w:val="NoSpacing"/>
        <w:ind w:firstLine="720"/>
        <w:rPr>
          <w:bCs/>
        </w:rPr>
      </w:pPr>
      <w:r w:rsidRPr="001342C2">
        <w:t xml:space="preserve">tensions between </w:t>
      </w:r>
      <w:proofErr w:type="spellStart"/>
      <w:r w:rsidRPr="001342C2">
        <w:t>Misjuns</w:t>
      </w:r>
      <w:proofErr w:type="spellEnd"/>
      <w:r w:rsidRPr="001342C2">
        <w:t xml:space="preserve"> and the City. For example, </w:t>
      </w:r>
      <w:proofErr w:type="spellStart"/>
      <w:r w:rsidRPr="001342C2">
        <w:t>Misjuns</w:t>
      </w:r>
      <w:proofErr w:type="spellEnd"/>
      <w:r w:rsidRPr="001342C2">
        <w:t xml:space="preserve"> alleged that LFD engaged</w:t>
      </w:r>
    </w:p>
    <w:p w14:paraId="227F21AC" w14:textId="77777777" w:rsidR="008C05B9" w:rsidRPr="0023213A" w:rsidRDefault="008C05B9" w:rsidP="008C05B9">
      <w:pPr>
        <w:pStyle w:val="NoSpacing"/>
        <w:ind w:left="720"/>
        <w:rPr>
          <w:bCs/>
        </w:rPr>
      </w:pPr>
      <w:r w:rsidRPr="001342C2">
        <w:t xml:space="preserve">in </w:t>
      </w:r>
      <w:r>
        <w:t>‘</w:t>
      </w:r>
      <w:r w:rsidRPr="001342C2">
        <w:t xml:space="preserve">discriminatory training and promotion practices” against him in 2019 and 2020. </w:t>
      </w:r>
      <w:r>
        <w:t xml:space="preserve">… </w:t>
      </w:r>
      <w:r w:rsidRPr="001342C2">
        <w:t xml:space="preserve"> He also alleged </w:t>
      </w:r>
      <w:proofErr w:type="gramStart"/>
      <w:r w:rsidRPr="001342C2">
        <w:t>politically-motivated</w:t>
      </w:r>
      <w:proofErr w:type="gramEnd"/>
      <w:r w:rsidRPr="001342C2">
        <w:t xml:space="preserve"> actions.</w:t>
      </w:r>
      <w:r>
        <w:t xml:space="preserve"> </w:t>
      </w:r>
      <w:r w:rsidRPr="0023213A">
        <w:t>In spring 2020, IAFF Local 1146 and</w:t>
      </w:r>
    </w:p>
    <w:p w14:paraId="023B7B16" w14:textId="77777777" w:rsidR="008C05B9" w:rsidRPr="0023213A" w:rsidRDefault="008C05B9" w:rsidP="008C05B9">
      <w:pPr>
        <w:pStyle w:val="NoSpacing"/>
        <w:ind w:left="720"/>
        <w:rPr>
          <w:bCs/>
        </w:rPr>
      </w:pPr>
      <w:proofErr w:type="spellStart"/>
      <w:r w:rsidRPr="0023213A">
        <w:t>Misjuns</w:t>
      </w:r>
      <w:proofErr w:type="spellEnd"/>
      <w:r w:rsidRPr="0023213A">
        <w:t xml:space="preserve"> supported Republican candidates for Lynchburg City Council who ran against</w:t>
      </w:r>
    </w:p>
    <w:p w14:paraId="3EEDA5ED" w14:textId="77777777" w:rsidR="008C05B9" w:rsidRPr="0023213A" w:rsidRDefault="008C05B9" w:rsidP="008C05B9">
      <w:pPr>
        <w:pStyle w:val="NoSpacing"/>
        <w:ind w:left="720"/>
        <w:rPr>
          <w:bCs/>
        </w:rPr>
      </w:pPr>
      <w:r w:rsidRPr="0023213A">
        <w:t>candidates supported by the Democratic majority on City Council, including Defendants</w:t>
      </w:r>
    </w:p>
    <w:p w14:paraId="3E035203" w14:textId="77777777" w:rsidR="008C05B9" w:rsidRPr="0023213A" w:rsidRDefault="008C05B9" w:rsidP="008C05B9">
      <w:pPr>
        <w:pStyle w:val="NoSpacing"/>
        <w:ind w:left="720"/>
        <w:rPr>
          <w:bCs/>
        </w:rPr>
      </w:pPr>
      <w:r w:rsidRPr="0023213A">
        <w:t>Mayor Mary Dolan and Vice-Mayor Beau Wright</w:t>
      </w:r>
      <w:r>
        <w:t xml:space="preserve">…. </w:t>
      </w:r>
      <w:r w:rsidRPr="0023213A">
        <w:t>One of the Deputy Fire</w:t>
      </w:r>
    </w:p>
    <w:p w14:paraId="206E1090" w14:textId="77777777" w:rsidR="008C05B9" w:rsidRPr="009B4C07" w:rsidRDefault="008C05B9" w:rsidP="008C05B9">
      <w:pPr>
        <w:pStyle w:val="NoSpacing"/>
        <w:ind w:left="720"/>
        <w:rPr>
          <w:bCs/>
        </w:rPr>
      </w:pPr>
      <w:r w:rsidRPr="0023213A">
        <w:t xml:space="preserve">Chiefs allegedly </w:t>
      </w:r>
      <w:r>
        <w:t>‘</w:t>
      </w:r>
      <w:r w:rsidRPr="0023213A">
        <w:t>began a pattern of harassing behavior</w:t>
      </w:r>
      <w:r>
        <w:t>’</w:t>
      </w:r>
      <w:r w:rsidRPr="0023213A">
        <w:t xml:space="preserve"> against </w:t>
      </w:r>
      <w:proofErr w:type="spellStart"/>
      <w:r w:rsidRPr="0023213A">
        <w:t>Misjuns</w:t>
      </w:r>
      <w:proofErr w:type="spellEnd"/>
      <w:r w:rsidRPr="0023213A">
        <w:t>, including</w:t>
      </w:r>
      <w:r>
        <w:t xml:space="preserve"> </w:t>
      </w:r>
      <w:r w:rsidRPr="009B4C07">
        <w:t>sending him a text message that he did not approve of Local 1146’s post supporting the</w:t>
      </w:r>
    </w:p>
    <w:p w14:paraId="397E2520" w14:textId="77777777" w:rsidR="008C05B9" w:rsidRDefault="008C05B9" w:rsidP="008C05B9">
      <w:pPr>
        <w:pStyle w:val="NoSpacing"/>
        <w:ind w:left="720"/>
        <w:rPr>
          <w:bCs/>
        </w:rPr>
      </w:pPr>
      <w:r w:rsidRPr="009B4C07">
        <w:t>Republican candidates.</w:t>
      </w:r>
    </w:p>
    <w:p w14:paraId="37631B09" w14:textId="77777777" w:rsidR="008C05B9" w:rsidRDefault="008C05B9" w:rsidP="008C05B9">
      <w:pPr>
        <w:pStyle w:val="NoSpacing"/>
        <w:ind w:left="720"/>
        <w:rPr>
          <w:bCs/>
        </w:rPr>
      </w:pPr>
    </w:p>
    <w:p w14:paraId="7010FD03" w14:textId="77777777" w:rsidR="008C05B9" w:rsidRDefault="008C05B9" w:rsidP="008C05B9">
      <w:pPr>
        <w:pStyle w:val="NoSpacing"/>
        <w:ind w:left="720"/>
        <w:rPr>
          <w:bCs/>
        </w:rPr>
      </w:pPr>
      <w:r>
        <w:t>***</w:t>
      </w:r>
    </w:p>
    <w:p w14:paraId="56C746A3" w14:textId="77777777" w:rsidR="008C05B9" w:rsidRPr="00831D7E" w:rsidRDefault="008C05B9" w:rsidP="008C05B9">
      <w:pPr>
        <w:pStyle w:val="NoSpacing"/>
        <w:ind w:left="720"/>
        <w:rPr>
          <w:bCs/>
        </w:rPr>
      </w:pPr>
      <w:r w:rsidRPr="00831D7E">
        <w:t xml:space="preserve">On March 25, 2021, </w:t>
      </w:r>
      <w:proofErr w:type="spellStart"/>
      <w:r w:rsidRPr="00831D7E">
        <w:t>Misjuns</w:t>
      </w:r>
      <w:proofErr w:type="spellEnd"/>
      <w:r w:rsidRPr="00831D7E">
        <w:t xml:space="preserve"> received a letter from Fire Chief Wormser, which he</w:t>
      </w:r>
    </w:p>
    <w:p w14:paraId="35EDC072" w14:textId="77777777" w:rsidR="008C05B9" w:rsidRPr="00831D7E" w:rsidRDefault="008C05B9" w:rsidP="008C05B9">
      <w:pPr>
        <w:pStyle w:val="NoSpacing"/>
        <w:ind w:left="720"/>
        <w:rPr>
          <w:bCs/>
        </w:rPr>
      </w:pPr>
      <w:r w:rsidRPr="00831D7E">
        <w:t xml:space="preserve">alleged Wormser sent </w:t>
      </w:r>
      <w:r>
        <w:t>‘</w:t>
      </w:r>
      <w:r w:rsidRPr="00831D7E">
        <w:t>in response to instructions from one or more of Dolan, Wright, and</w:t>
      </w:r>
    </w:p>
    <w:p w14:paraId="7CFC9819" w14:textId="77777777" w:rsidR="008C05B9" w:rsidRPr="00831D7E" w:rsidRDefault="008C05B9" w:rsidP="008C05B9">
      <w:pPr>
        <w:pStyle w:val="NoSpacing"/>
        <w:ind w:left="720"/>
        <w:rPr>
          <w:bCs/>
        </w:rPr>
      </w:pPr>
      <w:r w:rsidRPr="00831D7E">
        <w:t>Wodicka.</w:t>
      </w:r>
      <w:r>
        <w:t xml:space="preserve">’ … </w:t>
      </w:r>
      <w:r w:rsidRPr="00831D7E">
        <w:t xml:space="preserve">The letter ordered </w:t>
      </w:r>
      <w:proofErr w:type="spellStart"/>
      <w:r w:rsidRPr="00831D7E">
        <w:t>Misjuns</w:t>
      </w:r>
      <w:proofErr w:type="spellEnd"/>
      <w:r w:rsidRPr="00831D7E">
        <w:t xml:space="preserve"> to attend an </w:t>
      </w:r>
      <w:r>
        <w:t>‘</w:t>
      </w:r>
      <w:r w:rsidRPr="00831D7E">
        <w:t>interrogation</w:t>
      </w:r>
      <w:r>
        <w:t>’</w:t>
      </w:r>
      <w:r w:rsidRPr="00831D7E">
        <w:t xml:space="preserve"> </w:t>
      </w:r>
      <w:proofErr w:type="gramStart"/>
      <w:r w:rsidRPr="00831D7E">
        <w:t>on</w:t>
      </w:r>
      <w:proofErr w:type="gramEnd"/>
      <w:r w:rsidRPr="00831D7E">
        <w:t xml:space="preserve"> March</w:t>
      </w:r>
    </w:p>
    <w:p w14:paraId="0163EA40" w14:textId="77777777" w:rsidR="008C05B9" w:rsidRPr="00831D7E" w:rsidRDefault="008C05B9" w:rsidP="008C05B9">
      <w:pPr>
        <w:pStyle w:val="NoSpacing"/>
        <w:ind w:left="720"/>
        <w:rPr>
          <w:bCs/>
        </w:rPr>
      </w:pPr>
      <w:r w:rsidRPr="00831D7E">
        <w:t>29 to discuss several citizen complaints regarding the cartoons and meme</w:t>
      </w:r>
      <w:r>
        <w:t xml:space="preserve">…. </w:t>
      </w:r>
      <w:r w:rsidRPr="00831D7E">
        <w:t xml:space="preserve">Wormser also informed </w:t>
      </w:r>
      <w:proofErr w:type="spellStart"/>
      <w:r w:rsidRPr="00831D7E">
        <w:t>Misjuns</w:t>
      </w:r>
      <w:proofErr w:type="spellEnd"/>
      <w:r w:rsidRPr="00831D7E">
        <w:t xml:space="preserve"> that he was under investigation for social media</w:t>
      </w:r>
      <w:r>
        <w:t xml:space="preserve"> </w:t>
      </w:r>
      <w:r w:rsidRPr="00831D7E">
        <w:t>statements making political criticisms of Dolan</w:t>
      </w:r>
      <w:r>
        <w:t xml:space="preserve">…. </w:t>
      </w:r>
      <w:r w:rsidRPr="00831D7E">
        <w:t>The record shows that Wormser</w:t>
      </w:r>
    </w:p>
    <w:p w14:paraId="711E53C4" w14:textId="77777777" w:rsidR="008C05B9" w:rsidRPr="00831D7E" w:rsidRDefault="008C05B9" w:rsidP="008C05B9">
      <w:pPr>
        <w:pStyle w:val="NoSpacing"/>
        <w:ind w:left="720"/>
        <w:rPr>
          <w:bCs/>
        </w:rPr>
      </w:pPr>
      <w:r w:rsidRPr="00831D7E">
        <w:t xml:space="preserve">provided </w:t>
      </w:r>
      <w:proofErr w:type="spellStart"/>
      <w:r w:rsidRPr="00831D7E">
        <w:t>Misjuns</w:t>
      </w:r>
      <w:proofErr w:type="spellEnd"/>
      <w:r w:rsidRPr="00831D7E">
        <w:t xml:space="preserve"> with a notice of the complaints made against him</w:t>
      </w:r>
      <w:r>
        <w:t xml:space="preserve">…. </w:t>
      </w:r>
      <w:r w:rsidRPr="00831D7E">
        <w:t xml:space="preserve"> </w:t>
      </w:r>
      <w:proofErr w:type="gramStart"/>
      <w:r w:rsidRPr="00831D7E">
        <w:t>On</w:t>
      </w:r>
      <w:proofErr w:type="gramEnd"/>
      <w:r w:rsidRPr="00831D7E">
        <w:t xml:space="preserve"> March</w:t>
      </w:r>
    </w:p>
    <w:p w14:paraId="33808116" w14:textId="77777777" w:rsidR="008C05B9" w:rsidRDefault="008C05B9" w:rsidP="008C05B9">
      <w:pPr>
        <w:pStyle w:val="NoSpacing"/>
        <w:ind w:left="720"/>
        <w:rPr>
          <w:bCs/>
        </w:rPr>
      </w:pPr>
      <w:r w:rsidRPr="00831D7E">
        <w:t xml:space="preserve">29, 2021, the initial </w:t>
      </w:r>
      <w:r>
        <w:t>‘</w:t>
      </w:r>
      <w:r w:rsidRPr="00831D7E">
        <w:t>interrogation</w:t>
      </w:r>
      <w:r>
        <w:t>’</w:t>
      </w:r>
      <w:r w:rsidRPr="00831D7E">
        <w:t xml:space="preserve"> occurred</w:t>
      </w:r>
      <w:r>
        <w:t xml:space="preserve">…. </w:t>
      </w:r>
      <w:r w:rsidRPr="00831D7E">
        <w:t xml:space="preserve">Per </w:t>
      </w:r>
      <w:proofErr w:type="spellStart"/>
      <w:r w:rsidRPr="00831D7E">
        <w:t>Misjuns</w:t>
      </w:r>
      <w:proofErr w:type="spellEnd"/>
      <w:r w:rsidRPr="00831D7E">
        <w:t>’ account, Deputy Fire Chief Robert Lipscomb then began collecting</w:t>
      </w:r>
      <w:r>
        <w:t xml:space="preserve"> </w:t>
      </w:r>
      <w:r w:rsidRPr="00831D7E">
        <w:t xml:space="preserve">allegedly false reports accusing </w:t>
      </w:r>
      <w:proofErr w:type="spellStart"/>
      <w:r w:rsidRPr="00831D7E">
        <w:t>Misjuns</w:t>
      </w:r>
      <w:proofErr w:type="spellEnd"/>
      <w:r w:rsidRPr="00831D7E">
        <w:t xml:space="preserve"> of creating a hostile work environment</w:t>
      </w:r>
      <w:r>
        <w:t xml:space="preserve">…. </w:t>
      </w:r>
      <w:r w:rsidRPr="00831D7E">
        <w:t xml:space="preserve">On May 10, 2021, Wormser notified </w:t>
      </w:r>
      <w:proofErr w:type="spellStart"/>
      <w:r w:rsidRPr="00831D7E">
        <w:t>Misjuns</w:t>
      </w:r>
      <w:proofErr w:type="spellEnd"/>
      <w:r w:rsidRPr="00831D7E">
        <w:t xml:space="preserve"> of his decision to suspend </w:t>
      </w:r>
      <w:proofErr w:type="spellStart"/>
      <w:r w:rsidRPr="00831D7E">
        <w:t>Misjuns</w:t>
      </w:r>
      <w:proofErr w:type="spellEnd"/>
      <w:r>
        <w:t xml:space="preserve">…. </w:t>
      </w:r>
      <w:r w:rsidRPr="00831D7E">
        <w:t xml:space="preserve">On June 27, Lipscomb ordered </w:t>
      </w:r>
      <w:proofErr w:type="spellStart"/>
      <w:r w:rsidRPr="00831D7E">
        <w:t>Misjuns</w:t>
      </w:r>
      <w:proofErr w:type="spellEnd"/>
      <w:r w:rsidRPr="00831D7E">
        <w:t xml:space="preserve"> to attend a second </w:t>
      </w:r>
      <w:r>
        <w:t>‘</w:t>
      </w:r>
      <w:r w:rsidRPr="00831D7E">
        <w:t>interrogation,</w:t>
      </w:r>
      <w:r>
        <w:t xml:space="preserve">’ </w:t>
      </w:r>
      <w:r w:rsidRPr="00831D7E">
        <w:t>which</w:t>
      </w:r>
      <w:r>
        <w:t xml:space="preserve"> </w:t>
      </w:r>
      <w:r w:rsidRPr="00831D7E">
        <w:t>occurred on August 2</w:t>
      </w:r>
      <w:r>
        <w:t>….</w:t>
      </w:r>
      <w:r w:rsidRPr="00831D7E">
        <w:t xml:space="preserve">On October 18, 2021, Wormser notified </w:t>
      </w:r>
      <w:proofErr w:type="spellStart"/>
      <w:r w:rsidRPr="00831D7E">
        <w:t>Misjuns</w:t>
      </w:r>
      <w:proofErr w:type="spellEnd"/>
      <w:r w:rsidRPr="00831D7E">
        <w:t xml:space="preserve"> via letter that</w:t>
      </w:r>
      <w:r>
        <w:t xml:space="preserve"> </w:t>
      </w:r>
      <w:r w:rsidRPr="00831D7E">
        <w:t xml:space="preserve">he was terminated from employment. </w:t>
      </w:r>
    </w:p>
    <w:p w14:paraId="63E50A2C" w14:textId="77777777" w:rsidR="008C05B9" w:rsidRDefault="008C05B9" w:rsidP="008C05B9">
      <w:pPr>
        <w:pStyle w:val="NoSpacing"/>
        <w:ind w:left="720"/>
        <w:rPr>
          <w:bCs/>
        </w:rPr>
      </w:pPr>
    </w:p>
    <w:p w14:paraId="64C42A60" w14:textId="77777777" w:rsidR="008C05B9" w:rsidRDefault="008C05B9" w:rsidP="008C05B9">
      <w:pPr>
        <w:pStyle w:val="NoSpacing"/>
        <w:ind w:left="720"/>
        <w:rPr>
          <w:bCs/>
        </w:rPr>
      </w:pPr>
      <w:r>
        <w:t>***</w:t>
      </w:r>
    </w:p>
    <w:p w14:paraId="549A9065" w14:textId="77777777" w:rsidR="008C05B9" w:rsidRPr="00327189" w:rsidRDefault="008C05B9" w:rsidP="008C05B9">
      <w:pPr>
        <w:pStyle w:val="NoSpacing"/>
        <w:ind w:left="720"/>
        <w:rPr>
          <w:bCs/>
        </w:rPr>
      </w:pPr>
      <w:proofErr w:type="spellStart"/>
      <w:r w:rsidRPr="00327189">
        <w:t>Misjuns</w:t>
      </w:r>
      <w:proofErr w:type="spellEnd"/>
      <w:r w:rsidRPr="00327189">
        <w:t xml:space="preserve"> appealed his firing in accordance with the City’s grievance procedures,</w:t>
      </w:r>
    </w:p>
    <w:p w14:paraId="48A265A2" w14:textId="77777777" w:rsidR="008C05B9" w:rsidRPr="00327189" w:rsidRDefault="008C05B9" w:rsidP="008C05B9">
      <w:pPr>
        <w:pStyle w:val="NoSpacing"/>
        <w:ind w:left="720"/>
        <w:rPr>
          <w:bCs/>
        </w:rPr>
      </w:pPr>
      <w:r w:rsidRPr="00327189">
        <w:t>including appealing to the City’s Employee Appeal Board. J.A. 17. In March 2022, the</w:t>
      </w:r>
    </w:p>
    <w:p w14:paraId="1921C3C2" w14:textId="77777777" w:rsidR="008C05B9" w:rsidRDefault="008C05B9" w:rsidP="008C05B9">
      <w:pPr>
        <w:pStyle w:val="NoSpacing"/>
        <w:ind w:left="720"/>
        <w:rPr>
          <w:bCs/>
        </w:rPr>
      </w:pPr>
      <w:r w:rsidRPr="00327189">
        <w:t>Board upheld his firing.</w:t>
      </w:r>
      <w:r>
        <w:t>”</w:t>
      </w:r>
    </w:p>
    <w:p w14:paraId="3F5F9D07" w14:textId="77777777" w:rsidR="008C05B9" w:rsidRDefault="008C05B9" w:rsidP="008C05B9">
      <w:pPr>
        <w:pStyle w:val="NoSpacing"/>
        <w:ind w:left="720"/>
        <w:rPr>
          <w:bCs/>
        </w:rPr>
      </w:pPr>
    </w:p>
    <w:p w14:paraId="5217EE2F" w14:textId="77777777" w:rsidR="008C05B9" w:rsidRPr="00327189" w:rsidRDefault="008C05B9" w:rsidP="008C05B9">
      <w:pPr>
        <w:pStyle w:val="NoSpacing"/>
        <w:rPr>
          <w:b/>
        </w:rPr>
      </w:pPr>
      <w:r>
        <w:rPr>
          <w:b/>
        </w:rPr>
        <w:t>Legal lesson learned: Firefighters and other public employees must exercise extreme care in posting on social media that may offend residents.</w:t>
      </w:r>
    </w:p>
    <w:p w14:paraId="7B195657" w14:textId="77777777" w:rsidR="008C05B9" w:rsidRDefault="008C05B9" w:rsidP="008C05B9">
      <w:pPr>
        <w:pStyle w:val="NoSpacing"/>
      </w:pPr>
    </w:p>
    <w:p w14:paraId="16123C92" w14:textId="77777777" w:rsidR="008C05B9" w:rsidRDefault="008C05B9" w:rsidP="008C05B9">
      <w:pPr>
        <w:pStyle w:val="NoSpacing"/>
      </w:pPr>
    </w:p>
    <w:p w14:paraId="1F9753FC" w14:textId="77777777" w:rsidR="008C05B9" w:rsidRDefault="008C05B9" w:rsidP="00F326E5">
      <w:pPr>
        <w:pStyle w:val="NoSpacing"/>
        <w:rPr>
          <w:rFonts w:ascii="Arial Black" w:hAnsi="Arial Black"/>
          <w:b/>
          <w:sz w:val="24"/>
          <w:szCs w:val="24"/>
        </w:rPr>
      </w:pPr>
    </w:p>
    <w:p w14:paraId="0AE5CBD7" w14:textId="77777777" w:rsidR="009821C1" w:rsidRDefault="009821C1" w:rsidP="00F326E5">
      <w:pPr>
        <w:pStyle w:val="NoSpacing"/>
        <w:rPr>
          <w:rFonts w:ascii="Arial Black" w:hAnsi="Arial Black"/>
          <w:b/>
          <w:sz w:val="24"/>
          <w:szCs w:val="24"/>
        </w:rPr>
      </w:pPr>
    </w:p>
    <w:p w14:paraId="3958DB02" w14:textId="79279C17" w:rsidR="00C466BB" w:rsidRDefault="00C466BB" w:rsidP="00F326E5">
      <w:pPr>
        <w:pStyle w:val="NoSpacing"/>
        <w:rPr>
          <w:rFonts w:ascii="Arial Black" w:hAnsi="Arial Black"/>
          <w:b/>
          <w:sz w:val="24"/>
          <w:szCs w:val="24"/>
        </w:rPr>
      </w:pPr>
      <w:r>
        <w:rPr>
          <w:rFonts w:ascii="Arial Black" w:hAnsi="Arial Black"/>
          <w:b/>
          <w:sz w:val="24"/>
          <w:szCs w:val="24"/>
        </w:rPr>
        <w:t>16-132</w:t>
      </w:r>
    </w:p>
    <w:p w14:paraId="6F21E9E8" w14:textId="77777777" w:rsidR="00C466BB" w:rsidRDefault="00C466BB" w:rsidP="00F326E5">
      <w:pPr>
        <w:pStyle w:val="NoSpacing"/>
        <w:rPr>
          <w:rFonts w:ascii="Arial Black" w:hAnsi="Arial Black"/>
          <w:b/>
          <w:sz w:val="24"/>
          <w:szCs w:val="24"/>
        </w:rPr>
      </w:pPr>
    </w:p>
    <w:p w14:paraId="2DA93EF4" w14:textId="1DE46D19" w:rsidR="00331400" w:rsidRPr="00C34488" w:rsidRDefault="00331400" w:rsidP="00331400">
      <w:pPr>
        <w:pStyle w:val="NoSpacing"/>
        <w:rPr>
          <w:rFonts w:ascii="Arial Black" w:hAnsi="Arial Black"/>
          <w:sz w:val="28"/>
          <w:szCs w:val="28"/>
        </w:rPr>
      </w:pPr>
      <w:r w:rsidRPr="00C34488">
        <w:rPr>
          <w:rFonts w:ascii="Arial Black" w:hAnsi="Arial Black"/>
          <w:sz w:val="28"/>
          <w:szCs w:val="28"/>
        </w:rPr>
        <w:t>OH: FORMER CHIEF’S DEFAMATION CLAIM REINSTATED –</w:t>
      </w:r>
      <w:r w:rsidR="009B1B97">
        <w:rPr>
          <w:rFonts w:ascii="Arial Black" w:hAnsi="Arial Black"/>
          <w:sz w:val="28"/>
          <w:szCs w:val="28"/>
        </w:rPr>
        <w:t xml:space="preserve"> </w:t>
      </w:r>
      <w:r>
        <w:rPr>
          <w:rFonts w:ascii="Arial Black" w:hAnsi="Arial Black"/>
          <w:sz w:val="28"/>
          <w:szCs w:val="28"/>
        </w:rPr>
        <w:t xml:space="preserve">PUBLIC OFFICIALS – MUST PROVE “ACTUAL MALICE” </w:t>
      </w:r>
    </w:p>
    <w:p w14:paraId="50E0F2F4" w14:textId="77777777" w:rsidR="00331400" w:rsidRDefault="00331400" w:rsidP="00331400">
      <w:pPr>
        <w:pStyle w:val="NoSpacing"/>
      </w:pPr>
    </w:p>
    <w:p w14:paraId="60D54C16" w14:textId="77777777" w:rsidR="00331400" w:rsidRPr="009D0025" w:rsidRDefault="00331400" w:rsidP="00331400">
      <w:pPr>
        <w:pStyle w:val="NoSpacing"/>
        <w:rPr>
          <w:rFonts w:ascii="Times New Roman" w:hAnsi="Times New Roman"/>
          <w:sz w:val="24"/>
          <w:szCs w:val="24"/>
        </w:rPr>
      </w:pPr>
      <w:r w:rsidRPr="009D0025">
        <w:rPr>
          <w:rFonts w:ascii="Times New Roman" w:hAnsi="Times New Roman"/>
          <w:sz w:val="24"/>
          <w:szCs w:val="24"/>
        </w:rPr>
        <w:t xml:space="preserve">On Aug. 29, 2025, in </w:t>
      </w:r>
      <w:r w:rsidRPr="009D0025">
        <w:rPr>
          <w:rFonts w:ascii="Times New Roman" w:hAnsi="Times New Roman"/>
          <w:sz w:val="24"/>
          <w:szCs w:val="24"/>
          <w:u w:val="single"/>
        </w:rPr>
        <w:t>Kent D. Johnson v. City of Port Clinton</w:t>
      </w:r>
      <w:r w:rsidRPr="009D0025">
        <w:rPr>
          <w:rFonts w:ascii="Times New Roman" w:hAnsi="Times New Roman"/>
          <w:sz w:val="24"/>
          <w:szCs w:val="24"/>
        </w:rPr>
        <w:t xml:space="preserve">, the Court of Appeals of Ohio, Sixth District, Ottawa County, held (3 to 0) that trial judge improperly dismissed the defamation claim in his lawsuit; all his </w:t>
      </w:r>
      <w:r w:rsidRPr="009D0025">
        <w:rPr>
          <w:rFonts w:ascii="Times New Roman" w:hAnsi="Times New Roman"/>
          <w:sz w:val="24"/>
          <w:szCs w:val="24"/>
        </w:rPr>
        <w:lastRenderedPageBreak/>
        <w:t>other claims were properly dismissed: Violation of Civil Service Statutes; Infliction of Emotional Distress; Violation of Rights under the Ohio Constitution; Wrongful Termination; and Retaliation.</w:t>
      </w:r>
    </w:p>
    <w:p w14:paraId="71D4D2D6" w14:textId="77777777" w:rsidR="00331400" w:rsidRPr="009D0025" w:rsidRDefault="00331400" w:rsidP="00331400">
      <w:pPr>
        <w:pStyle w:val="NoSpacing"/>
        <w:rPr>
          <w:rFonts w:ascii="Times New Roman" w:hAnsi="Times New Roman"/>
          <w:sz w:val="24"/>
          <w:szCs w:val="24"/>
        </w:rPr>
      </w:pPr>
    </w:p>
    <w:p w14:paraId="0CA95CB2"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“In sum, appellant alleged sufficient facts that, if proven, would satisfy all the elements of a claim for defamation. The trial court, therefore, erred when it granted [City’s] motion for judgment on the pleadings as to that claim…. [Trial Court judge’s] judgment dismissing appellant’s third claim for defamation is reversed, and the matter is remanded to the trial court for further proceedings on that claim only.” </w:t>
      </w:r>
      <w:hyperlink r:id="rId2457" w:history="1">
        <w:r w:rsidRPr="009D0025">
          <w:rPr>
            <w:rStyle w:val="Hyperlink"/>
            <w:rFonts w:ascii="Times New Roman" w:hAnsi="Times New Roman"/>
            <w:sz w:val="24"/>
            <w:szCs w:val="24"/>
          </w:rPr>
          <w:t>https://www.supremecourt.ohio.gov/rod/docs/pdf/6/2025/2025-Ohio-3100.pdf</w:t>
        </w:r>
      </w:hyperlink>
      <w:r w:rsidRPr="009D0025">
        <w:rPr>
          <w:rFonts w:ascii="Times New Roman" w:hAnsi="Times New Roman"/>
          <w:sz w:val="24"/>
          <w:szCs w:val="24"/>
        </w:rPr>
        <w:t xml:space="preserve"> </w:t>
      </w:r>
    </w:p>
    <w:p w14:paraId="5855E35E" w14:textId="77777777" w:rsidR="00331400" w:rsidRPr="009D0025" w:rsidRDefault="00331400" w:rsidP="00331400">
      <w:pPr>
        <w:pStyle w:val="NoSpacing"/>
        <w:rPr>
          <w:rFonts w:ascii="Times New Roman" w:hAnsi="Times New Roman"/>
          <w:sz w:val="24"/>
          <w:szCs w:val="24"/>
        </w:rPr>
      </w:pPr>
    </w:p>
    <w:p w14:paraId="72006AA8" w14:textId="77777777" w:rsidR="00331400" w:rsidRPr="009D0025" w:rsidRDefault="00331400" w:rsidP="00331400">
      <w:pPr>
        <w:pStyle w:val="NoSpacing"/>
        <w:rPr>
          <w:rFonts w:ascii="Times New Roman" w:hAnsi="Times New Roman"/>
          <w:sz w:val="24"/>
          <w:szCs w:val="24"/>
        </w:rPr>
      </w:pPr>
      <w:r w:rsidRPr="009D0025">
        <w:rPr>
          <w:rFonts w:ascii="Times New Roman" w:hAnsi="Times New Roman"/>
          <w:sz w:val="24"/>
          <w:szCs w:val="24"/>
        </w:rPr>
        <w:t>THREE KEY SUMMARIES:</w:t>
      </w:r>
    </w:p>
    <w:p w14:paraId="1508A33F" w14:textId="77777777" w:rsidR="00331400" w:rsidRPr="009D0025" w:rsidRDefault="00331400" w:rsidP="00331400">
      <w:pPr>
        <w:pStyle w:val="NoSpacing"/>
        <w:rPr>
          <w:rFonts w:ascii="Times New Roman" w:hAnsi="Times New Roman"/>
          <w:sz w:val="24"/>
          <w:szCs w:val="24"/>
        </w:rPr>
      </w:pPr>
    </w:p>
    <w:p w14:paraId="076B773D" w14:textId="77777777" w:rsidR="00331400" w:rsidRPr="009D0025" w:rsidRDefault="00331400" w:rsidP="00331400">
      <w:pPr>
        <w:pStyle w:val="NoSpacing"/>
        <w:numPr>
          <w:ilvl w:val="0"/>
          <w:numId w:val="29"/>
        </w:numPr>
        <w:rPr>
          <w:rFonts w:ascii="Times New Roman" w:hAnsi="Times New Roman"/>
          <w:sz w:val="24"/>
          <w:szCs w:val="24"/>
        </w:rPr>
      </w:pPr>
      <w:r w:rsidRPr="009D0025">
        <w:rPr>
          <w:rFonts w:ascii="Times New Roman" w:hAnsi="Times New Roman"/>
          <w:sz w:val="24"/>
          <w:szCs w:val="24"/>
        </w:rPr>
        <w:t xml:space="preserve">“On January 17, 2024, [the </w:t>
      </w:r>
      <w:proofErr w:type="gramStart"/>
      <w:r w:rsidRPr="009D0025">
        <w:rPr>
          <w:rFonts w:ascii="Times New Roman" w:hAnsi="Times New Roman"/>
          <w:sz w:val="24"/>
          <w:szCs w:val="24"/>
        </w:rPr>
        <w:t>City</w:t>
      </w:r>
      <w:proofErr w:type="gramEnd"/>
      <w:r w:rsidRPr="009D0025">
        <w:rPr>
          <w:rFonts w:ascii="Times New Roman" w:hAnsi="Times New Roman"/>
          <w:sz w:val="24"/>
          <w:szCs w:val="24"/>
        </w:rPr>
        <w:t xml:space="preserve">] removed him from his position…. Appellant has been employed by the </w:t>
      </w:r>
      <w:proofErr w:type="gramStart"/>
      <w:r w:rsidRPr="009D0025">
        <w:rPr>
          <w:rFonts w:ascii="Times New Roman" w:hAnsi="Times New Roman"/>
          <w:sz w:val="24"/>
          <w:szCs w:val="24"/>
        </w:rPr>
        <w:t>City</w:t>
      </w:r>
      <w:proofErr w:type="gramEnd"/>
      <w:r w:rsidRPr="009D0025">
        <w:rPr>
          <w:rFonts w:ascii="Times New Roman" w:hAnsi="Times New Roman"/>
          <w:sz w:val="24"/>
          <w:szCs w:val="24"/>
        </w:rPr>
        <w:t xml:space="preserve"> as a fire fighter since 1992 and has served as Fire Chief since 2008.   </w:t>
      </w:r>
    </w:p>
    <w:p w14:paraId="40CA2059"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During that time, he has never been reprimanded or disciplined. On June 6, 2023, Dina Shenker, Law Director for the City, received a phone call from the attorney for Port Clinton EMS employee, Rebecca Huskey, alleging that appellant sexually harassed his client. Shenker and Tina Colston, Director of Safety and Service for the City, placed appellant on administrative leave that day, informing him that he was prohibited from being at the Port Clinton Fire Station and from having any contact with Huskey. They also informed him that the </w:t>
      </w:r>
      <w:proofErr w:type="gramStart"/>
      <w:r w:rsidRPr="009D0025">
        <w:rPr>
          <w:rFonts w:ascii="Times New Roman" w:hAnsi="Times New Roman"/>
          <w:sz w:val="24"/>
          <w:szCs w:val="24"/>
        </w:rPr>
        <w:t>City</w:t>
      </w:r>
      <w:proofErr w:type="gramEnd"/>
      <w:r w:rsidRPr="009D0025">
        <w:rPr>
          <w:rFonts w:ascii="Times New Roman" w:hAnsi="Times New Roman"/>
          <w:sz w:val="24"/>
          <w:szCs w:val="24"/>
        </w:rPr>
        <w:t xml:space="preserve"> was referring the matter to Clemans Nelson Associates (‘Clemans’) for an investigation.”</w:t>
      </w:r>
    </w:p>
    <w:p w14:paraId="2547D139" w14:textId="77777777" w:rsidR="00331400" w:rsidRPr="009D0025" w:rsidRDefault="00331400" w:rsidP="00331400">
      <w:pPr>
        <w:pStyle w:val="NoSpacing"/>
        <w:ind w:left="720"/>
        <w:rPr>
          <w:rFonts w:ascii="Times New Roman" w:hAnsi="Times New Roman"/>
          <w:sz w:val="24"/>
          <w:szCs w:val="24"/>
        </w:rPr>
      </w:pPr>
    </w:p>
    <w:p w14:paraId="4F3237D8" w14:textId="77777777" w:rsidR="00331400" w:rsidRPr="009D0025" w:rsidRDefault="00331400" w:rsidP="00331400">
      <w:pPr>
        <w:pStyle w:val="NoSpacing"/>
        <w:ind w:left="720"/>
        <w:rPr>
          <w:rFonts w:ascii="Times New Roman" w:hAnsi="Times New Roman"/>
          <w:sz w:val="24"/>
          <w:szCs w:val="24"/>
        </w:rPr>
      </w:pPr>
    </w:p>
    <w:p w14:paraId="549545E4" w14:textId="77777777" w:rsidR="00331400" w:rsidRPr="009D0025" w:rsidRDefault="00331400" w:rsidP="00331400">
      <w:pPr>
        <w:pStyle w:val="NoSpacing"/>
        <w:numPr>
          <w:ilvl w:val="0"/>
          <w:numId w:val="29"/>
        </w:numPr>
        <w:rPr>
          <w:rFonts w:ascii="Times New Roman" w:hAnsi="Times New Roman"/>
          <w:sz w:val="24"/>
          <w:szCs w:val="24"/>
        </w:rPr>
      </w:pPr>
      <w:r w:rsidRPr="009D0025">
        <w:rPr>
          <w:rFonts w:ascii="Times New Roman" w:hAnsi="Times New Roman"/>
          <w:sz w:val="24"/>
          <w:szCs w:val="24"/>
        </w:rPr>
        <w:t xml:space="preserve">“Clemans submitted its report on December 15, 2023. That same day, Colston and the mayor of the city, Michael Snider, served appellant with a ‘Notice of </w:t>
      </w:r>
      <w:proofErr w:type="spellStart"/>
      <w:r w:rsidRPr="009D0025">
        <w:rPr>
          <w:rFonts w:ascii="Times New Roman" w:hAnsi="Times New Roman"/>
          <w:sz w:val="24"/>
          <w:szCs w:val="24"/>
        </w:rPr>
        <w:t>Predisciplinary</w:t>
      </w:r>
      <w:proofErr w:type="spellEnd"/>
      <w:r w:rsidRPr="009D0025">
        <w:rPr>
          <w:rFonts w:ascii="Times New Roman" w:hAnsi="Times New Roman"/>
          <w:sz w:val="24"/>
          <w:szCs w:val="24"/>
        </w:rPr>
        <w:t xml:space="preserve"> Conference” to be held on December 21, 2023, regarding three charges. Two of the charges pertained to payroll matters concerning Huskey. The third referenced</w:t>
      </w:r>
    </w:p>
    <w:p w14:paraId="7DA70F4B"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Huskey’s sexual harassment claim. Each of the charges was listed as ‘Group III</w:t>
      </w:r>
    </w:p>
    <w:p w14:paraId="0D02BDCA"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Offenses’ and warned that a violation would be subject to ‘discipline for cause up to and</w:t>
      </w:r>
    </w:p>
    <w:p w14:paraId="3D37A681"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including termination of employment.’ The hearing was rescheduled to January 9, 2024,</w:t>
      </w:r>
    </w:p>
    <w:p w14:paraId="1AFB7E94"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upon appellant’s request. *** The </w:t>
      </w:r>
      <w:proofErr w:type="spellStart"/>
      <w:r w:rsidRPr="009D0025">
        <w:rPr>
          <w:rFonts w:ascii="Times New Roman" w:hAnsi="Times New Roman"/>
          <w:sz w:val="24"/>
          <w:szCs w:val="24"/>
        </w:rPr>
        <w:t>predisciplinary</w:t>
      </w:r>
      <w:proofErr w:type="spellEnd"/>
      <w:r w:rsidRPr="009D0025">
        <w:rPr>
          <w:rFonts w:ascii="Times New Roman" w:hAnsi="Times New Roman"/>
          <w:sz w:val="24"/>
          <w:szCs w:val="24"/>
        </w:rPr>
        <w:t xml:space="preserve"> conference occurred as scheduled on January 9, 2024. Colston served as the hearing officer. *** Colston failed to</w:t>
      </w:r>
    </w:p>
    <w:p w14:paraId="3D33B3D4"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prepare a written report with findings of fact and failed to provide it to appellant in a</w:t>
      </w:r>
    </w:p>
    <w:p w14:paraId="0386B179"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timely manner.”</w:t>
      </w:r>
    </w:p>
    <w:p w14:paraId="6153202F" w14:textId="77777777" w:rsidR="00331400" w:rsidRPr="009D0025" w:rsidRDefault="00331400" w:rsidP="00331400">
      <w:pPr>
        <w:pStyle w:val="NoSpacing"/>
        <w:ind w:left="720"/>
        <w:rPr>
          <w:rFonts w:ascii="Times New Roman" w:hAnsi="Times New Roman"/>
          <w:sz w:val="24"/>
          <w:szCs w:val="24"/>
        </w:rPr>
      </w:pPr>
    </w:p>
    <w:p w14:paraId="4D0691E0" w14:textId="77777777" w:rsidR="00331400" w:rsidRPr="009D0025" w:rsidRDefault="00331400" w:rsidP="00331400">
      <w:pPr>
        <w:pStyle w:val="NoSpacing"/>
        <w:numPr>
          <w:ilvl w:val="0"/>
          <w:numId w:val="29"/>
        </w:numPr>
        <w:rPr>
          <w:rFonts w:ascii="Times New Roman" w:hAnsi="Times New Roman"/>
          <w:sz w:val="24"/>
          <w:szCs w:val="24"/>
        </w:rPr>
      </w:pPr>
      <w:r w:rsidRPr="009D0025">
        <w:rPr>
          <w:rFonts w:ascii="Times New Roman" w:hAnsi="Times New Roman"/>
          <w:sz w:val="24"/>
          <w:szCs w:val="24"/>
        </w:rPr>
        <w:t>“Here, appellant argues that the complaint alleges that appellees defamed</w:t>
      </w:r>
    </w:p>
    <w:p w14:paraId="1017204F"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him when it </w:t>
      </w:r>
      <w:proofErr w:type="gramStart"/>
      <w:r w:rsidRPr="009D0025">
        <w:rPr>
          <w:rFonts w:ascii="Times New Roman" w:hAnsi="Times New Roman"/>
          <w:sz w:val="24"/>
          <w:szCs w:val="24"/>
        </w:rPr>
        <w:t>published</w:t>
      </w:r>
      <w:proofErr w:type="gramEnd"/>
      <w:r w:rsidRPr="009D0025">
        <w:rPr>
          <w:rFonts w:ascii="Times New Roman" w:hAnsi="Times New Roman"/>
          <w:sz w:val="24"/>
          <w:szCs w:val="24"/>
        </w:rPr>
        <w:t xml:space="preserve"> to news media, other City employees, and members of the fire</w:t>
      </w:r>
    </w:p>
    <w:p w14:paraId="623F39AF"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department the Order of Removal that charged him with intentionally overpaying</w:t>
      </w:r>
    </w:p>
    <w:p w14:paraId="2E94D740"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Huskey. *** The parties agree that appellant is a public figure, and thus he must prove that </w:t>
      </w:r>
      <w:proofErr w:type="gramStart"/>
      <w:r w:rsidRPr="009D0025">
        <w:rPr>
          <w:rFonts w:ascii="Times New Roman" w:hAnsi="Times New Roman"/>
          <w:sz w:val="24"/>
          <w:szCs w:val="24"/>
        </w:rPr>
        <w:t>appellees</w:t>
      </w:r>
      <w:proofErr w:type="gramEnd"/>
      <w:r w:rsidRPr="009D0025">
        <w:rPr>
          <w:rFonts w:ascii="Times New Roman" w:hAnsi="Times New Roman"/>
          <w:sz w:val="24"/>
          <w:szCs w:val="24"/>
        </w:rPr>
        <w:t xml:space="preserve"> acted with actual malice. Scott v. News-Herald, 25 Ohio St.3d 243, 248 (1986). ‘Actual malice’ means that the statement was published “with knowledge that it was false or with reckless disregard of whether it was false or not.’ Id., quoting New York Times Co. v. Sullivan, 376 U.S. 254, 279-280 (1964). In this case, contrary to </w:t>
      </w:r>
      <w:proofErr w:type="gramStart"/>
      <w:r w:rsidRPr="009D0025">
        <w:rPr>
          <w:rFonts w:ascii="Times New Roman" w:hAnsi="Times New Roman"/>
          <w:sz w:val="24"/>
          <w:szCs w:val="24"/>
        </w:rPr>
        <w:t>appellees’</w:t>
      </w:r>
      <w:proofErr w:type="gramEnd"/>
      <w:r w:rsidRPr="009D0025">
        <w:rPr>
          <w:rFonts w:ascii="Times New Roman" w:hAnsi="Times New Roman"/>
          <w:sz w:val="24"/>
          <w:szCs w:val="24"/>
        </w:rPr>
        <w:t xml:space="preserve"> argument, paragraph 58 of the complaint directly alleges that the claims were made ‘intentionally, recklessly, with actual knowledge of their falsity and with actual malice.’ *** In sum, under the notice pleading standards, the complaint alleges that</w:t>
      </w:r>
    </w:p>
    <w:p w14:paraId="1F128293"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appellees made a false statement that appellant committed a crime of dishonesty or moral</w:t>
      </w:r>
    </w:p>
    <w:p w14:paraId="24281074"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turpitude constituting defamation per se, the statement was published to news media</w:t>
      </w:r>
    </w:p>
    <w:p w14:paraId="300BFDD2"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outlets and City employees, and it was made with actual malice. Therefore, we hold that</w:t>
      </w:r>
    </w:p>
    <w:p w14:paraId="5715264C" w14:textId="77777777" w:rsidR="00331400" w:rsidRPr="009D0025" w:rsidRDefault="00331400" w:rsidP="00331400">
      <w:pPr>
        <w:pStyle w:val="NoSpacing"/>
        <w:ind w:left="720"/>
        <w:rPr>
          <w:rFonts w:ascii="Times New Roman" w:hAnsi="Times New Roman"/>
          <w:sz w:val="24"/>
          <w:szCs w:val="24"/>
        </w:rPr>
      </w:pPr>
      <w:proofErr w:type="gramStart"/>
      <w:r w:rsidRPr="009D0025">
        <w:rPr>
          <w:rFonts w:ascii="Times New Roman" w:hAnsi="Times New Roman"/>
          <w:sz w:val="24"/>
          <w:szCs w:val="24"/>
        </w:rPr>
        <w:t>the</w:t>
      </w:r>
      <w:proofErr w:type="gramEnd"/>
      <w:r w:rsidRPr="009D0025">
        <w:rPr>
          <w:rFonts w:ascii="Times New Roman" w:hAnsi="Times New Roman"/>
          <w:sz w:val="24"/>
          <w:szCs w:val="24"/>
        </w:rPr>
        <w:t xml:space="preserve"> complaint alleges all the elements for a defamation action, and the trial court erred in</w:t>
      </w:r>
    </w:p>
    <w:p w14:paraId="616B169C"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granting appellees’ motion for judgment on the pleadings.”</w:t>
      </w:r>
    </w:p>
    <w:p w14:paraId="644F592E" w14:textId="77777777" w:rsidR="00331400" w:rsidRPr="009D0025" w:rsidRDefault="00331400" w:rsidP="00331400">
      <w:pPr>
        <w:pStyle w:val="NoSpacing"/>
        <w:ind w:left="720"/>
        <w:rPr>
          <w:rFonts w:ascii="Times New Roman" w:hAnsi="Times New Roman"/>
          <w:sz w:val="24"/>
          <w:szCs w:val="24"/>
        </w:rPr>
      </w:pPr>
    </w:p>
    <w:p w14:paraId="531D12E0" w14:textId="77777777" w:rsidR="00331400" w:rsidRPr="009D0025" w:rsidRDefault="00331400" w:rsidP="00331400">
      <w:pPr>
        <w:pStyle w:val="NoSpacing"/>
        <w:rPr>
          <w:rFonts w:ascii="Times New Roman" w:hAnsi="Times New Roman"/>
          <w:color w:val="C00000"/>
          <w:sz w:val="24"/>
          <w:szCs w:val="24"/>
        </w:rPr>
      </w:pPr>
      <w:r w:rsidRPr="009D0025">
        <w:rPr>
          <w:rFonts w:ascii="Times New Roman" w:hAnsi="Times New Roman"/>
          <w:b/>
          <w:sz w:val="24"/>
          <w:szCs w:val="24"/>
        </w:rPr>
        <w:t xml:space="preserve">Legal lesson learned: Former Fire Chief is a public official; he has an uphill task proving “actual malice” under New York Times v. Sullivan. </w:t>
      </w:r>
      <w:hyperlink r:id="rId2458" w:history="1">
        <w:r w:rsidRPr="009D0025">
          <w:rPr>
            <w:rStyle w:val="Hyperlink"/>
            <w:rFonts w:ascii="Times New Roman" w:hAnsi="Times New Roman"/>
            <w:b/>
            <w:sz w:val="24"/>
            <w:szCs w:val="24"/>
          </w:rPr>
          <w:t>https://supreme.justia.com/cases/federal/us/376/254/</w:t>
        </w:r>
      </w:hyperlink>
      <w:r w:rsidRPr="009D0025">
        <w:rPr>
          <w:rFonts w:ascii="Times New Roman" w:hAnsi="Times New Roman"/>
          <w:b/>
          <w:sz w:val="24"/>
          <w:szCs w:val="24"/>
        </w:rPr>
        <w:t xml:space="preserve"> </w:t>
      </w:r>
    </w:p>
    <w:p w14:paraId="1D69FB10" w14:textId="77777777" w:rsidR="00331400" w:rsidRPr="009D0025" w:rsidRDefault="00331400" w:rsidP="00331400">
      <w:pPr>
        <w:pStyle w:val="NoSpacing"/>
        <w:rPr>
          <w:rFonts w:ascii="Times New Roman" w:hAnsi="Times New Roman"/>
          <w:color w:val="C00000"/>
          <w:sz w:val="24"/>
          <w:szCs w:val="24"/>
        </w:rPr>
      </w:pPr>
    </w:p>
    <w:p w14:paraId="05D14692"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Note: See July 11, </w:t>
      </w:r>
      <w:proofErr w:type="gramStart"/>
      <w:r w:rsidRPr="009D0025">
        <w:rPr>
          <w:rFonts w:ascii="Times New Roman" w:hAnsi="Times New Roman"/>
          <w:sz w:val="24"/>
          <w:szCs w:val="24"/>
        </w:rPr>
        <w:t>2025</w:t>
      </w:r>
      <w:proofErr w:type="gramEnd"/>
      <w:r w:rsidRPr="009D0025">
        <w:rPr>
          <w:rFonts w:ascii="Times New Roman" w:hAnsi="Times New Roman"/>
          <w:sz w:val="24"/>
          <w:szCs w:val="24"/>
        </w:rPr>
        <w:t xml:space="preserve"> article, “Judge sentences former Port Clinton fire chief in sexual harassment case.” </w:t>
      </w:r>
    </w:p>
    <w:p w14:paraId="488CF387" w14:textId="77777777" w:rsidR="00331400" w:rsidRPr="009D0025" w:rsidRDefault="00331400" w:rsidP="00331400">
      <w:pPr>
        <w:pStyle w:val="NoSpacing"/>
        <w:ind w:left="720"/>
        <w:rPr>
          <w:rFonts w:ascii="Times New Roman" w:hAnsi="Times New Roman"/>
          <w:sz w:val="24"/>
          <w:szCs w:val="24"/>
        </w:rPr>
      </w:pPr>
      <w:hyperlink r:id="rId2459" w:history="1">
        <w:r w:rsidRPr="009D0025">
          <w:rPr>
            <w:rStyle w:val="Hyperlink"/>
            <w:rFonts w:ascii="Times New Roman" w:hAnsi="Times New Roman"/>
            <w:sz w:val="24"/>
            <w:szCs w:val="24"/>
          </w:rPr>
          <w:t>https://www.wtol.com/article/news/crime/port-clinton-fire-chief-kent-johnson-sentenced-to-jail-for-sexual-harassment-case/512-0facde5b-63e1-457e-9908-521ed4a422af</w:t>
        </w:r>
      </w:hyperlink>
      <w:r w:rsidRPr="009D0025">
        <w:rPr>
          <w:rFonts w:ascii="Times New Roman" w:hAnsi="Times New Roman"/>
          <w:sz w:val="24"/>
          <w:szCs w:val="24"/>
        </w:rPr>
        <w:t xml:space="preserve"> </w:t>
      </w:r>
    </w:p>
    <w:p w14:paraId="62676D7D" w14:textId="77777777" w:rsidR="00331400" w:rsidRPr="009D0025" w:rsidRDefault="00331400" w:rsidP="00331400">
      <w:pPr>
        <w:pStyle w:val="NoSpacing"/>
        <w:rPr>
          <w:rFonts w:ascii="Times New Roman" w:hAnsi="Times New Roman"/>
          <w:sz w:val="24"/>
          <w:szCs w:val="24"/>
        </w:rPr>
      </w:pPr>
    </w:p>
    <w:p w14:paraId="34E04062" w14:textId="77777777" w:rsidR="00331400" w:rsidRPr="009D0025" w:rsidRDefault="00331400" w:rsidP="00331400">
      <w:pPr>
        <w:pStyle w:val="NoSpacing"/>
        <w:rPr>
          <w:rFonts w:ascii="Times New Roman" w:hAnsi="Times New Roman"/>
          <w:color w:val="C00000"/>
          <w:sz w:val="24"/>
          <w:szCs w:val="24"/>
        </w:rPr>
      </w:pPr>
    </w:p>
    <w:p w14:paraId="1A12BFA1" w14:textId="77777777" w:rsidR="00331400" w:rsidRPr="009D0025" w:rsidRDefault="00331400" w:rsidP="00331400">
      <w:pPr>
        <w:pStyle w:val="NoSpacing"/>
        <w:jc w:val="center"/>
        <w:rPr>
          <w:rFonts w:ascii="Times New Roman" w:hAnsi="Times New Roman"/>
          <w:color w:val="C00000"/>
          <w:sz w:val="24"/>
          <w:szCs w:val="24"/>
        </w:rPr>
      </w:pPr>
    </w:p>
    <w:p w14:paraId="318C70E1" w14:textId="77777777" w:rsidR="00C466BB" w:rsidRPr="009D0025" w:rsidRDefault="00C466BB" w:rsidP="00F326E5">
      <w:pPr>
        <w:pStyle w:val="NoSpacing"/>
        <w:rPr>
          <w:rFonts w:ascii="Times New Roman" w:hAnsi="Times New Roman"/>
          <w:b/>
          <w:sz w:val="24"/>
          <w:szCs w:val="24"/>
        </w:rPr>
      </w:pPr>
    </w:p>
    <w:p w14:paraId="689006E1" w14:textId="77777777" w:rsidR="00C466BB" w:rsidRPr="009D0025" w:rsidRDefault="00C466BB" w:rsidP="00F326E5">
      <w:pPr>
        <w:pStyle w:val="NoSpacing"/>
        <w:rPr>
          <w:rFonts w:ascii="Times New Roman" w:hAnsi="Times New Roman"/>
          <w:b/>
          <w:sz w:val="24"/>
          <w:szCs w:val="24"/>
        </w:rPr>
      </w:pPr>
    </w:p>
    <w:p w14:paraId="4FA2B992" w14:textId="77777777" w:rsidR="00C466BB" w:rsidRPr="009D0025" w:rsidRDefault="00C466BB" w:rsidP="00F326E5">
      <w:pPr>
        <w:pStyle w:val="NoSpacing"/>
        <w:rPr>
          <w:rFonts w:ascii="Times New Roman" w:hAnsi="Times New Roman"/>
          <w:b/>
          <w:sz w:val="24"/>
          <w:szCs w:val="24"/>
        </w:rPr>
      </w:pPr>
    </w:p>
    <w:p w14:paraId="75522B3B" w14:textId="7864D740" w:rsidR="00524648" w:rsidRPr="009D0025" w:rsidRDefault="00524648" w:rsidP="00F326E5">
      <w:pPr>
        <w:pStyle w:val="NoSpacing"/>
        <w:rPr>
          <w:rFonts w:ascii="Times New Roman" w:hAnsi="Times New Roman"/>
          <w:b/>
          <w:sz w:val="24"/>
          <w:szCs w:val="24"/>
        </w:rPr>
      </w:pPr>
      <w:r w:rsidRPr="009D0025">
        <w:rPr>
          <w:rFonts w:ascii="Times New Roman" w:hAnsi="Times New Roman"/>
          <w:b/>
          <w:sz w:val="24"/>
          <w:szCs w:val="24"/>
        </w:rPr>
        <w:t>16-131</w:t>
      </w:r>
    </w:p>
    <w:p w14:paraId="422897A9" w14:textId="77777777" w:rsidR="00524648" w:rsidRDefault="00524648" w:rsidP="00F326E5">
      <w:pPr>
        <w:pStyle w:val="NoSpacing"/>
        <w:rPr>
          <w:rFonts w:ascii="Arial Black" w:hAnsi="Arial Black"/>
          <w:b/>
          <w:sz w:val="24"/>
          <w:szCs w:val="24"/>
        </w:rPr>
      </w:pPr>
    </w:p>
    <w:p w14:paraId="23E72A14" w14:textId="77777777" w:rsidR="00524648" w:rsidRPr="002D352D" w:rsidRDefault="00524648" w:rsidP="00524648">
      <w:pPr>
        <w:pStyle w:val="NoSpacing"/>
        <w:rPr>
          <w:rFonts w:ascii="Arial Black" w:hAnsi="Arial Black"/>
          <w:b/>
          <w:sz w:val="28"/>
          <w:szCs w:val="28"/>
        </w:rPr>
      </w:pPr>
      <w:r w:rsidRPr="00C34488">
        <w:rPr>
          <w:rFonts w:ascii="Arial Black" w:hAnsi="Arial Black"/>
          <w:b/>
          <w:sz w:val="28"/>
          <w:szCs w:val="28"/>
        </w:rPr>
        <w:t xml:space="preserve">OH: FORMER CINCINNATI FIRE </w:t>
      </w:r>
      <w:r w:rsidRPr="00C34488">
        <w:rPr>
          <w:rFonts w:ascii="Arial Black" w:hAnsi="Arial Black"/>
          <w:sz w:val="28"/>
          <w:szCs w:val="28"/>
        </w:rPr>
        <w:t>CHIEF - NO PRIOR NOTICE O</w:t>
      </w:r>
      <w:r w:rsidRPr="00C34488">
        <w:rPr>
          <w:rFonts w:ascii="Arial Black" w:hAnsi="Arial Black"/>
          <w:b/>
          <w:sz w:val="28"/>
          <w:szCs w:val="28"/>
        </w:rPr>
        <w:t>F CHARGES / NO PRE-TERMINATION HEARING</w:t>
      </w:r>
    </w:p>
    <w:p w14:paraId="7645F603" w14:textId="77777777" w:rsidR="00524648" w:rsidRPr="00C34488" w:rsidRDefault="00524648" w:rsidP="00524648">
      <w:pPr>
        <w:pStyle w:val="NoSpacing"/>
        <w:rPr>
          <w:rFonts w:ascii="Arial Black" w:hAnsi="Arial Black"/>
          <w:b/>
        </w:rPr>
      </w:pPr>
    </w:p>
    <w:p w14:paraId="74FBCC7E" w14:textId="77777777" w:rsidR="00524648" w:rsidRPr="00C34488" w:rsidRDefault="00524648" w:rsidP="00524648">
      <w:pPr>
        <w:pStyle w:val="NoSpacing"/>
      </w:pPr>
      <w:r w:rsidRPr="00C34488">
        <w:t xml:space="preserve">On Aug. 26, 2025, in </w:t>
      </w:r>
      <w:r w:rsidRPr="00C34488">
        <w:rPr>
          <w:u w:val="single"/>
        </w:rPr>
        <w:t>Michael J. Washington v. City of Cincinnati, et al</w:t>
      </w:r>
      <w:r w:rsidRPr="00C34488">
        <w:t>.,</w:t>
      </w:r>
      <w:r w:rsidRPr="00C34488">
        <w:rPr>
          <w:b/>
        </w:rPr>
        <w:t xml:space="preserve"> </w:t>
      </w:r>
      <w:r w:rsidRPr="00C34488">
        <w:t>Stephanie K. Bowman, United States Chief Magistrate Judge</w:t>
      </w:r>
      <w:r>
        <w:t xml:space="preserve"> Stephanie K. Bowman</w:t>
      </w:r>
      <w:r w:rsidRPr="00C34488">
        <w:t xml:space="preserve">, United States District Court for Southern District of Ohio, held that his lawsuit may proceed to trial [scheduled for September 29, 2025]. </w:t>
      </w:r>
    </w:p>
    <w:p w14:paraId="7AE10444" w14:textId="77777777" w:rsidR="00524648" w:rsidRDefault="00524648" w:rsidP="00524648">
      <w:pPr>
        <w:pStyle w:val="NoSpacing"/>
      </w:pPr>
    </w:p>
    <w:p w14:paraId="256DA6B5" w14:textId="77777777" w:rsidR="00524648" w:rsidRPr="00C34488" w:rsidRDefault="00524648" w:rsidP="00524648">
      <w:pPr>
        <w:pStyle w:val="NoSpacing"/>
        <w:ind w:left="720"/>
      </w:pPr>
      <w:r w:rsidRPr="00C34488">
        <w:t xml:space="preserve">“Defendants Long [City Manager Sheryl Long] and the </w:t>
      </w:r>
      <w:proofErr w:type="gramStart"/>
      <w:r w:rsidRPr="00C34488">
        <w:t>City</w:t>
      </w:r>
      <w:proofErr w:type="gramEnd"/>
      <w:r w:rsidRPr="00C34488">
        <w:t xml:space="preserve"> failed to provide Washington with adequate pretermination procedural due process when they terminated him on March 24, 2023, in violation of the Due Process Clause of the Fourteenth</w:t>
      </w:r>
    </w:p>
    <w:p w14:paraId="7AA126EC" w14:textId="77777777" w:rsidR="00524648" w:rsidRDefault="00524648" w:rsidP="00524648">
      <w:pPr>
        <w:pStyle w:val="NoSpacing"/>
        <w:ind w:left="720"/>
      </w:pPr>
      <w:r w:rsidRPr="00C34488">
        <w:t xml:space="preserve">Amendment.  *** </w:t>
      </w:r>
      <w:r>
        <w:t>No one disputes that the Charter language gave City Manager Long the authority to fire Plaintiff, albeit ‘only for cause’ given his length of service. But even the Charter language confirms that a pretermination hearing before the City Manager was required. *** Thus, before executing her authority to terminate Washington, Long</w:t>
      </w:r>
    </w:p>
    <w:p w14:paraId="135F1C48" w14:textId="77777777" w:rsidR="00524648" w:rsidRDefault="00524648" w:rsidP="00524648">
      <w:pPr>
        <w:pStyle w:val="NoSpacing"/>
        <w:ind w:left="720"/>
      </w:pPr>
      <w:r>
        <w:t>was required to provide him with advance oral or written notice of the charges against</w:t>
      </w:r>
    </w:p>
    <w:p w14:paraId="42CCA30A" w14:textId="77777777" w:rsidR="00524648" w:rsidRDefault="00524648" w:rsidP="00524648">
      <w:pPr>
        <w:pStyle w:val="NoSpacing"/>
        <w:ind w:left="720"/>
      </w:pPr>
      <w:r>
        <w:t>him, an explanation of her evidence, and a hearing at which Plaintiff had a reasonable</w:t>
      </w:r>
    </w:p>
    <w:p w14:paraId="3F9788E8" w14:textId="77777777" w:rsidR="00524648" w:rsidRDefault="00524648" w:rsidP="00524648">
      <w:pPr>
        <w:pStyle w:val="NoSpacing"/>
        <w:ind w:left="720"/>
      </w:pPr>
      <w:r>
        <w:t xml:space="preserve">opportunity to respond. *** </w:t>
      </w:r>
      <w:r w:rsidRPr="00C34488">
        <w:t>These remaining issues shall proceed to trial: (a) the adequacy of the post-termination process and whether Plaintiff waived his post-termination hearing;</w:t>
      </w:r>
      <w:r>
        <w:t xml:space="preserve"> </w:t>
      </w:r>
      <w:r w:rsidRPr="00C34488">
        <w:t>(b) whether Defendants had cause to terminate Plaintiff; (c) whether Defendant</w:t>
      </w:r>
      <w:r>
        <w:t xml:space="preserve"> </w:t>
      </w:r>
      <w:r w:rsidRPr="00C34488">
        <w:t xml:space="preserve">Long defamed Plaintiff; and (d) what damages, if any, Plaintiff may recover.”  </w:t>
      </w:r>
    </w:p>
    <w:p w14:paraId="336BF0B1" w14:textId="77777777" w:rsidR="00524648" w:rsidRPr="00C34488" w:rsidRDefault="00524648" w:rsidP="00524648">
      <w:pPr>
        <w:pStyle w:val="NoSpacing"/>
        <w:ind w:left="720"/>
      </w:pPr>
      <w:hyperlink r:id="rId2460" w:history="1">
        <w:r w:rsidRPr="00C34488">
          <w:rPr>
            <w:rStyle w:val="Hyperlink"/>
          </w:rPr>
          <w:t>https://cases.justia.com/federal/district-courts/ohio/ohsdce/1:2023cv00230/279336/47/0.pdf?ts=1756299215</w:t>
        </w:r>
      </w:hyperlink>
      <w:r w:rsidRPr="00C34488">
        <w:t xml:space="preserve"> </w:t>
      </w:r>
    </w:p>
    <w:p w14:paraId="4EFD89EC" w14:textId="77777777" w:rsidR="00524648" w:rsidRPr="00C34488" w:rsidRDefault="00524648" w:rsidP="00524648">
      <w:pPr>
        <w:pStyle w:val="NoSpacing"/>
      </w:pPr>
    </w:p>
    <w:p w14:paraId="6FA0F17B" w14:textId="77777777" w:rsidR="00524648" w:rsidRPr="00C34488" w:rsidRDefault="00524648" w:rsidP="00524648">
      <w:pPr>
        <w:pStyle w:val="NoSpacing"/>
        <w:rPr>
          <w:rFonts w:ascii="Arial Black" w:hAnsi="Arial Black"/>
        </w:rPr>
      </w:pPr>
    </w:p>
    <w:p w14:paraId="0C5CF838" w14:textId="77777777" w:rsidR="00524648" w:rsidRPr="00C34488" w:rsidRDefault="00524648" w:rsidP="00524648">
      <w:pPr>
        <w:pStyle w:val="NoSpacing"/>
      </w:pPr>
      <w:r w:rsidRPr="00C34488">
        <w:t xml:space="preserve">THREE KEY </w:t>
      </w:r>
      <w:r>
        <w:t>SUMMARIES:</w:t>
      </w:r>
    </w:p>
    <w:p w14:paraId="65AB2B9F" w14:textId="77777777" w:rsidR="00524648" w:rsidRPr="00C34488" w:rsidRDefault="00524648" w:rsidP="00524648">
      <w:pPr>
        <w:pStyle w:val="NoSpacing"/>
        <w:rPr>
          <w:rFonts w:ascii="Arial Black" w:hAnsi="Arial Black"/>
        </w:rPr>
      </w:pPr>
    </w:p>
    <w:p w14:paraId="72B56433" w14:textId="77777777" w:rsidR="00524648" w:rsidRPr="00C34488" w:rsidRDefault="00524648" w:rsidP="00524648">
      <w:pPr>
        <w:pStyle w:val="NoSpacing"/>
        <w:numPr>
          <w:ilvl w:val="0"/>
          <w:numId w:val="28"/>
        </w:numPr>
      </w:pPr>
      <w:r w:rsidRPr="00C34488">
        <w:t>“Plaintiff’s thirty-year career came to an abrupt close on March 24, 2023, when he</w:t>
      </w:r>
    </w:p>
    <w:p w14:paraId="33D1F8E1" w14:textId="77777777" w:rsidR="00524648" w:rsidRPr="00C34488" w:rsidRDefault="00524648" w:rsidP="00524648">
      <w:pPr>
        <w:pStyle w:val="NoSpacing"/>
        <w:ind w:firstLine="720"/>
      </w:pPr>
      <w:r w:rsidRPr="00C34488">
        <w:t>was summoned to a meeting at City Hall. City Manager Sheryl Long and two Human</w:t>
      </w:r>
    </w:p>
    <w:p w14:paraId="1945AF6D" w14:textId="77777777" w:rsidR="00524648" w:rsidRPr="00C34488" w:rsidRDefault="00524648" w:rsidP="00524648">
      <w:pPr>
        <w:pStyle w:val="NoSpacing"/>
        <w:ind w:firstLine="720"/>
      </w:pPr>
      <w:r w:rsidRPr="00C34488">
        <w:t>Resources representatives attended the meeting. Once Washington arrived, Long told</w:t>
      </w:r>
    </w:p>
    <w:p w14:paraId="21679A5A" w14:textId="77777777" w:rsidR="00524648" w:rsidRPr="00C34488" w:rsidRDefault="00524648" w:rsidP="00524648">
      <w:pPr>
        <w:pStyle w:val="NoSpacing"/>
        <w:ind w:firstLine="720"/>
      </w:pPr>
      <w:r w:rsidRPr="00C34488">
        <w:t>Washington that he was being terminated, effective immediately, and handed him a</w:t>
      </w:r>
    </w:p>
    <w:p w14:paraId="1E99398D" w14:textId="77777777" w:rsidR="00524648" w:rsidRPr="00C34488" w:rsidRDefault="00524648" w:rsidP="00524648">
      <w:pPr>
        <w:pStyle w:val="NoSpacing"/>
        <w:ind w:firstLine="720"/>
      </w:pPr>
      <w:r w:rsidRPr="00C34488">
        <w:t>termination letter. The termination letter accused Plaintiff of various leadership and</w:t>
      </w:r>
    </w:p>
    <w:p w14:paraId="77419B4E" w14:textId="77777777" w:rsidR="00524648" w:rsidRPr="00C34488" w:rsidRDefault="00524648" w:rsidP="00524648">
      <w:pPr>
        <w:pStyle w:val="NoSpacing"/>
        <w:ind w:firstLine="720"/>
      </w:pPr>
      <w:r w:rsidRPr="00C34488">
        <w:t>conduct failures, including: (1) poor workplace culture; (2) absence from a high-rise fire;</w:t>
      </w:r>
    </w:p>
    <w:p w14:paraId="2AEFEB4F" w14:textId="77777777" w:rsidR="00524648" w:rsidRPr="00C34488" w:rsidRDefault="00524648" w:rsidP="00524648">
      <w:pPr>
        <w:pStyle w:val="NoSpacing"/>
        <w:ind w:firstLine="720"/>
      </w:pPr>
      <w:r w:rsidRPr="00C34488">
        <w:t>(3) mishandling of personnel matters regarding a lieutenant charged with assault; (4)</w:t>
      </w:r>
    </w:p>
    <w:p w14:paraId="512305CC" w14:textId="77777777" w:rsidR="00524648" w:rsidRPr="00C34488" w:rsidRDefault="00524648" w:rsidP="00524648">
      <w:pPr>
        <w:pStyle w:val="NoSpacing"/>
        <w:ind w:firstLine="720"/>
      </w:pPr>
      <w:r w:rsidRPr="00C34488">
        <w:t>ineffective management of the acquisition of a training facility; and (5) ineffective</w:t>
      </w:r>
    </w:p>
    <w:p w14:paraId="47A2439E" w14:textId="77777777" w:rsidR="00524648" w:rsidRPr="00C34488" w:rsidRDefault="00524648" w:rsidP="00524648">
      <w:pPr>
        <w:pStyle w:val="NoSpacing"/>
        <w:ind w:left="720"/>
      </w:pPr>
      <w:r w:rsidRPr="00C34488">
        <w:t xml:space="preserve">communication with Long and others…. When she left the meeting, </w:t>
      </w:r>
      <w:proofErr w:type="gramStart"/>
      <w:r w:rsidRPr="00C34488">
        <w:t>Long</w:t>
      </w:r>
      <w:proofErr w:type="gramEnd"/>
      <w:r w:rsidRPr="00C34488">
        <w:t xml:space="preserve"> notified the </w:t>
      </w:r>
      <w:proofErr w:type="gramStart"/>
      <w:r w:rsidRPr="00C34488">
        <w:t>Mayor</w:t>
      </w:r>
      <w:proofErr w:type="gramEnd"/>
      <w:r w:rsidRPr="00C34488">
        <w:t xml:space="preserve"> and members of City Council that Plaintiff had been terminated for cause…. In a Memorandum entitled “For Your Information,” Long listed her reasons for terminating</w:t>
      </w:r>
    </w:p>
    <w:p w14:paraId="3708DC71" w14:textId="77777777" w:rsidR="00524648" w:rsidRPr="00C34488" w:rsidRDefault="00524648" w:rsidP="00524648">
      <w:pPr>
        <w:pStyle w:val="NoSpacing"/>
        <w:ind w:left="720"/>
      </w:pPr>
      <w:r w:rsidRPr="00C34488">
        <w:t xml:space="preserve">Washington, and announced his interim replacement…. The same morning, </w:t>
      </w:r>
      <w:proofErr w:type="gramStart"/>
      <w:r w:rsidRPr="00C34488">
        <w:t>Long</w:t>
      </w:r>
      <w:proofErr w:type="gramEnd"/>
      <w:r w:rsidRPr="00C34488">
        <w:t xml:space="preserve"> notified media outlets of Washington’s termination and replacement, providing a copy of the termination letter and making statements in </w:t>
      </w:r>
      <w:r w:rsidRPr="00C34488">
        <w:lastRenderedPageBreak/>
        <w:t>interviews consistent with the statements in the termination letter and Memorandum. *** A review of the [Memorandum]… reveals specific examples of misconduct (e.g., ‘multiple women have come forward with concerns about the workplace environment,’ Washington ‘never moved forward’ with the climate assessment)</w:t>
      </w:r>
      <w:r>
        <w:t>.”</w:t>
      </w:r>
      <w:r w:rsidRPr="00C34488">
        <w:t xml:space="preserve"> </w:t>
      </w:r>
    </w:p>
    <w:p w14:paraId="69FD9EEF" w14:textId="77777777" w:rsidR="00524648" w:rsidRPr="00C34488" w:rsidRDefault="00524648" w:rsidP="00524648">
      <w:pPr>
        <w:pStyle w:val="NoSpacing"/>
      </w:pPr>
    </w:p>
    <w:p w14:paraId="41C72665" w14:textId="77777777" w:rsidR="00524648" w:rsidRPr="00C34488" w:rsidRDefault="00524648" w:rsidP="00524648">
      <w:pPr>
        <w:pStyle w:val="NoSpacing"/>
        <w:numPr>
          <w:ilvl w:val="0"/>
          <w:numId w:val="28"/>
        </w:numPr>
      </w:pPr>
      <w:r w:rsidRPr="00C34488">
        <w:t>“Plaintiff requested a post-termination hearing before a neutral decisionmaker.</w:t>
      </w:r>
    </w:p>
    <w:p w14:paraId="1018B5EE" w14:textId="77777777" w:rsidR="00524648" w:rsidRPr="00C34488" w:rsidRDefault="00524648" w:rsidP="00524648">
      <w:pPr>
        <w:pStyle w:val="NoSpacing"/>
        <w:ind w:firstLine="720"/>
      </w:pPr>
      <w:r w:rsidRPr="00C34488">
        <w:t xml:space="preserve">Defendants responded by offering a post-termination hearing before Long, citing </w:t>
      </w:r>
      <w:proofErr w:type="gramStart"/>
      <w:r w:rsidRPr="00C34488">
        <w:t>to</w:t>
      </w:r>
      <w:proofErr w:type="gramEnd"/>
      <w:r w:rsidRPr="00C34488">
        <w:t xml:space="preserve"> the</w:t>
      </w:r>
    </w:p>
    <w:p w14:paraId="1F0818A5" w14:textId="77777777" w:rsidR="00524648" w:rsidRPr="00C34488" w:rsidRDefault="00524648" w:rsidP="00524648">
      <w:pPr>
        <w:pStyle w:val="NoSpacing"/>
        <w:ind w:left="720"/>
      </w:pPr>
      <w:r w:rsidRPr="00C34488">
        <w:t>City Charter…. No hearing was ever held.”</w:t>
      </w:r>
    </w:p>
    <w:p w14:paraId="14A639BA" w14:textId="77777777" w:rsidR="00524648" w:rsidRPr="00C34488" w:rsidRDefault="00524648" w:rsidP="00524648">
      <w:pPr>
        <w:pStyle w:val="NoSpacing"/>
      </w:pPr>
    </w:p>
    <w:p w14:paraId="4801487F" w14:textId="77777777" w:rsidR="00524648" w:rsidRPr="00C34488" w:rsidRDefault="00524648" w:rsidP="00524648">
      <w:pPr>
        <w:pStyle w:val="NoSpacing"/>
        <w:ind w:left="720" w:firstLine="720"/>
      </w:pPr>
      <w:r w:rsidRPr="00C34488">
        <w:t xml:space="preserve">City Charter provides: </w:t>
      </w:r>
    </w:p>
    <w:p w14:paraId="74470541" w14:textId="77777777" w:rsidR="00524648" w:rsidRPr="00C34488" w:rsidRDefault="00524648" w:rsidP="00524648">
      <w:pPr>
        <w:pStyle w:val="NoSpacing"/>
      </w:pPr>
    </w:p>
    <w:p w14:paraId="63A175A3" w14:textId="77777777" w:rsidR="00524648" w:rsidRPr="00C34488" w:rsidRDefault="00524648" w:rsidP="00524648">
      <w:pPr>
        <w:pStyle w:val="NoSpacing"/>
        <w:ind w:left="1440"/>
      </w:pPr>
      <w:r w:rsidRPr="00C34488">
        <w:t>“After the fire chief has served six months, he or she shall be subject to removal only for cause including incompetency, inefficiency, dishonesty, insubordination, unsatisfactory performance, any other failure of good behavior, any other acts of misfeasance, malfeasance, or nonfeasance in office, or conviction of any felony. If removed for cause the fire chief may demand written charges and the right to be heard thereon before the city manager. Pending the completion of such hearing the city manager may suspend the fire chief from office.”</w:t>
      </w:r>
    </w:p>
    <w:p w14:paraId="442AE520" w14:textId="77777777" w:rsidR="00524648" w:rsidRPr="00C34488" w:rsidRDefault="00524648" w:rsidP="00524648">
      <w:pPr>
        <w:pStyle w:val="NoSpacing"/>
      </w:pPr>
    </w:p>
    <w:p w14:paraId="3CA4E094" w14:textId="77777777" w:rsidR="00524648" w:rsidRPr="00C34488" w:rsidRDefault="00524648" w:rsidP="00524648">
      <w:pPr>
        <w:pStyle w:val="NoSpacing"/>
        <w:numPr>
          <w:ilvl w:val="0"/>
          <w:numId w:val="28"/>
        </w:numPr>
      </w:pPr>
      <w:r w:rsidRPr="00C34488">
        <w:t xml:space="preserve">“Here, Long's purposeful decision not to investigate or even to permit Washington to respond to the bullet points in the termination letter, combined with making allegedly false representations of verifiable facts within her knowledge, is sufficient to support a finding of actual malice…. No one disputes that the Charter language gave City Manager Long the authority to fire Plaintiff, albeit ‘only for cause’ given his length of service. But even the Charter language confirms that a pretermination hearing before the City Manager was required…. In </w:t>
      </w:r>
      <w:r w:rsidRPr="00C34488">
        <w:rPr>
          <w:u w:val="single"/>
        </w:rPr>
        <w:t>Loudermill</w:t>
      </w:r>
      <w:r w:rsidRPr="00C34488">
        <w:t>, the Supreme Court explained that suspension with pay strikes a balance between a government’s interest in immediate termination and an employee’s constitutional right to a pretermination hearing.”</w:t>
      </w:r>
    </w:p>
    <w:p w14:paraId="1C487372" w14:textId="77777777" w:rsidR="00524648" w:rsidRPr="00C34488" w:rsidRDefault="00524648" w:rsidP="00524648">
      <w:pPr>
        <w:pStyle w:val="NoSpacing"/>
      </w:pPr>
    </w:p>
    <w:p w14:paraId="2281A28D" w14:textId="77777777" w:rsidR="00524648" w:rsidRPr="00C34488" w:rsidRDefault="00524648" w:rsidP="00524648">
      <w:pPr>
        <w:pStyle w:val="NoSpacing"/>
        <w:rPr>
          <w:b/>
        </w:rPr>
      </w:pPr>
      <w:r w:rsidRPr="00C34488">
        <w:rPr>
          <w:b/>
        </w:rPr>
        <w:t xml:space="preserve">Legal lesson learned: A jury will now decide if the </w:t>
      </w:r>
      <w:r>
        <w:rPr>
          <w:b/>
        </w:rPr>
        <w:t xml:space="preserve">former Chief is entitled to damages when the </w:t>
      </w:r>
      <w:r w:rsidRPr="00C34488">
        <w:rPr>
          <w:b/>
        </w:rPr>
        <w:t xml:space="preserve">City Manager </w:t>
      </w:r>
      <w:r>
        <w:rPr>
          <w:b/>
        </w:rPr>
        <w:t xml:space="preserve">did not offer a pre-termination hearing; read the 1985 U.S. Supreme Court decision in </w:t>
      </w:r>
      <w:r w:rsidRPr="00C34488">
        <w:rPr>
          <w:b/>
          <w:u w:val="single"/>
        </w:rPr>
        <w:t>Cleveland Board of Education v. Loudermill</w:t>
      </w:r>
      <w:r w:rsidRPr="00C34488">
        <w:t xml:space="preserve">, </w:t>
      </w:r>
      <w:hyperlink r:id="rId2461" w:history="1">
        <w:r w:rsidRPr="00820086">
          <w:rPr>
            <w:rStyle w:val="Hyperlink"/>
          </w:rPr>
          <w:t>https://supreme.justia.com/cases/federal/us/470/532/</w:t>
        </w:r>
      </w:hyperlink>
      <w:r>
        <w:t xml:space="preserve"> </w:t>
      </w:r>
      <w:r w:rsidRPr="00C34488">
        <w:rPr>
          <w:b/>
        </w:rPr>
        <w:t xml:space="preserve"> </w:t>
      </w:r>
    </w:p>
    <w:p w14:paraId="6245AF4C" w14:textId="77777777" w:rsidR="00524648" w:rsidRPr="00C34488" w:rsidRDefault="00524648" w:rsidP="00524648">
      <w:pPr>
        <w:pStyle w:val="NoSpacing"/>
      </w:pPr>
    </w:p>
    <w:p w14:paraId="2662D9AB" w14:textId="77777777" w:rsidR="00524648" w:rsidRPr="00C34488" w:rsidRDefault="00524648" w:rsidP="00524648">
      <w:pPr>
        <w:pStyle w:val="NoSpacing"/>
        <w:ind w:left="720"/>
      </w:pPr>
      <w:r w:rsidRPr="00C34488">
        <w:t xml:space="preserve">Note: See Aug. 27, </w:t>
      </w:r>
      <w:proofErr w:type="gramStart"/>
      <w:r w:rsidRPr="00C34488">
        <w:t>2025</w:t>
      </w:r>
      <w:proofErr w:type="gramEnd"/>
      <w:r w:rsidRPr="00C34488">
        <w:t xml:space="preserve"> article, “Former Cincinnati fire chief's wrongful termination lawsuit is set for trial.”  </w:t>
      </w:r>
      <w:hyperlink r:id="rId2462" w:history="1">
        <w:r w:rsidRPr="00820086">
          <w:rPr>
            <w:rStyle w:val="Hyperlink"/>
          </w:rPr>
          <w:t>https://www.wvxu.org/politics/2025-08-27/michael-washington-wrongful-termination-lawsuit-trial</w:t>
        </w:r>
      </w:hyperlink>
      <w:r>
        <w:t xml:space="preserve"> </w:t>
      </w:r>
    </w:p>
    <w:p w14:paraId="39452D8B" w14:textId="77777777" w:rsidR="00524648" w:rsidRPr="00C34488" w:rsidRDefault="00524648" w:rsidP="00524648">
      <w:pPr>
        <w:pStyle w:val="NoSpacing"/>
        <w:rPr>
          <w:b/>
        </w:rPr>
      </w:pPr>
    </w:p>
    <w:p w14:paraId="33272C8D" w14:textId="77777777" w:rsidR="00524648" w:rsidRDefault="00524648" w:rsidP="00F326E5">
      <w:pPr>
        <w:pStyle w:val="NoSpacing"/>
        <w:rPr>
          <w:rFonts w:ascii="Arial Black" w:hAnsi="Arial Black"/>
          <w:b/>
          <w:sz w:val="24"/>
          <w:szCs w:val="24"/>
        </w:rPr>
      </w:pPr>
    </w:p>
    <w:p w14:paraId="680433B8" w14:textId="77777777" w:rsidR="00524648" w:rsidRDefault="00524648" w:rsidP="00F326E5">
      <w:pPr>
        <w:pStyle w:val="NoSpacing"/>
        <w:rPr>
          <w:rFonts w:ascii="Arial Black" w:hAnsi="Arial Black"/>
          <w:b/>
          <w:sz w:val="24"/>
          <w:szCs w:val="24"/>
        </w:rPr>
      </w:pPr>
    </w:p>
    <w:p w14:paraId="4E3E1644" w14:textId="77777777" w:rsidR="00524648" w:rsidRDefault="00524648" w:rsidP="00F326E5">
      <w:pPr>
        <w:pStyle w:val="NoSpacing"/>
        <w:rPr>
          <w:rFonts w:ascii="Arial Black" w:hAnsi="Arial Black"/>
          <w:b/>
          <w:sz w:val="24"/>
          <w:szCs w:val="24"/>
        </w:rPr>
      </w:pPr>
    </w:p>
    <w:p w14:paraId="08C6050E" w14:textId="77777777" w:rsidR="00524648" w:rsidRDefault="00524648" w:rsidP="00F326E5">
      <w:pPr>
        <w:pStyle w:val="NoSpacing"/>
        <w:rPr>
          <w:rFonts w:ascii="Arial Black" w:hAnsi="Arial Black"/>
          <w:b/>
          <w:sz w:val="24"/>
          <w:szCs w:val="24"/>
        </w:rPr>
      </w:pPr>
    </w:p>
    <w:p w14:paraId="388BCCFD" w14:textId="6C515F68" w:rsidR="000C4268" w:rsidRPr="000C4268" w:rsidRDefault="000C4268" w:rsidP="00F326E5">
      <w:pPr>
        <w:pStyle w:val="NoSpacing"/>
        <w:rPr>
          <w:rFonts w:ascii="Arial Black" w:hAnsi="Arial Black"/>
          <w:b/>
          <w:sz w:val="24"/>
          <w:szCs w:val="24"/>
        </w:rPr>
      </w:pPr>
      <w:r w:rsidRPr="000C4268">
        <w:rPr>
          <w:rFonts w:ascii="Arial Black" w:hAnsi="Arial Black"/>
          <w:b/>
          <w:sz w:val="24"/>
          <w:szCs w:val="24"/>
        </w:rPr>
        <w:t>16-130</w:t>
      </w:r>
    </w:p>
    <w:p w14:paraId="21E7035D" w14:textId="77777777" w:rsidR="00635D7C" w:rsidRDefault="00635D7C" w:rsidP="00CF19EA">
      <w:pPr>
        <w:pStyle w:val="NoSpacing"/>
        <w:rPr>
          <w:rFonts w:ascii="Arial Black" w:hAnsi="Arial Black"/>
          <w:sz w:val="28"/>
          <w:szCs w:val="28"/>
        </w:rPr>
      </w:pPr>
    </w:p>
    <w:p w14:paraId="042BABBF" w14:textId="77777777" w:rsidR="00DB5954" w:rsidRPr="00DD4F1A" w:rsidRDefault="00DB5954" w:rsidP="00DB5954">
      <w:pPr>
        <w:rPr>
          <w:rFonts w:ascii="Arial Black" w:hAnsi="Arial Black"/>
          <w:b/>
          <w:sz w:val="28"/>
          <w:szCs w:val="28"/>
        </w:rPr>
      </w:pPr>
      <w:r>
        <w:rPr>
          <w:rFonts w:ascii="Arial Black" w:hAnsi="Arial Black"/>
          <w:b/>
          <w:sz w:val="28"/>
          <w:szCs w:val="28"/>
        </w:rPr>
        <w:t>IN: FIRE CHIEF CONV. FRAUD – FD STOP ONLINE SALE PROP.</w:t>
      </w:r>
    </w:p>
    <w:p w14:paraId="1A6864FA" w14:textId="77777777" w:rsidR="00DB5954" w:rsidRPr="004B4757" w:rsidRDefault="00DB5954" w:rsidP="00DB5954">
      <w:pPr>
        <w:rPr>
          <w:rFonts w:ascii="Times New Roman" w:hAnsi="Times New Roman"/>
          <w:sz w:val="24"/>
          <w:szCs w:val="24"/>
        </w:rPr>
      </w:pPr>
      <w:r w:rsidRPr="004B4757">
        <w:rPr>
          <w:rFonts w:ascii="Times New Roman" w:hAnsi="Times New Roman"/>
          <w:sz w:val="24"/>
          <w:szCs w:val="24"/>
        </w:rPr>
        <w:t xml:space="preserve">On July 18, 2025, in </w:t>
      </w:r>
      <w:r w:rsidRPr="004B4757">
        <w:rPr>
          <w:rFonts w:ascii="Times New Roman" w:hAnsi="Times New Roman"/>
          <w:sz w:val="24"/>
          <w:szCs w:val="24"/>
          <w:u w:val="single"/>
        </w:rPr>
        <w:t>Utica Township Volunteer Fire Fighters Association d/b/a New Chapel EMS, and Utica Township Fire Department Incorporated d/b/a New Chapel Fire &amp; EMS v. Board of Trustees, Utica Township Fire Protection District</w:t>
      </w:r>
      <w:r w:rsidRPr="004B4757">
        <w:rPr>
          <w:rFonts w:ascii="Times New Roman" w:hAnsi="Times New Roman"/>
          <w:sz w:val="24"/>
          <w:szCs w:val="24"/>
        </w:rPr>
        <w:t xml:space="preserve">, the </w:t>
      </w:r>
      <w:r w:rsidRPr="004B4757">
        <w:rPr>
          <w:rFonts w:ascii="Times New Roman" w:hAnsi="Times New Roman"/>
          <w:bCs/>
          <w:sz w:val="24"/>
          <w:szCs w:val="24"/>
        </w:rPr>
        <w:t>Court of Appeals of Indiana</w:t>
      </w:r>
      <w:r w:rsidRPr="004B4757">
        <w:rPr>
          <w:rFonts w:ascii="Times New Roman" w:hAnsi="Times New Roman"/>
          <w:sz w:val="24"/>
          <w:szCs w:val="24"/>
        </w:rPr>
        <w:t xml:space="preserve"> held (3 to 0) that trial court properly issued a preliminary injunction on behalf of the Board of Trustees of the Utica Township Fire Protection District, preventing the Association and  the Department from selling various items of Fire District property via online sites.  Jamey Noel was the CEO of both the Association and the Department, and a former Indiana State Trooper; in Oct. 2014 he was sentenced to 15 years in prison under plea agreement.  According to press report: “Additionally included in the plea deal is an agreement for Noel to pay back more than $3.1 million in public funds: $2,870,924 to the Utica Volunteer Firefighters Association; $61,190 to the Clark County Sheriff’s </w:t>
      </w:r>
      <w:r w:rsidRPr="004B4757">
        <w:rPr>
          <w:rFonts w:ascii="Times New Roman" w:hAnsi="Times New Roman"/>
          <w:sz w:val="24"/>
          <w:szCs w:val="24"/>
        </w:rPr>
        <w:lastRenderedPageBreak/>
        <w:t xml:space="preserve">Department; $173,155 to the Indiana Department of Revenue; and $35,245 to the Indiana State Police… Using findings from a long-term Indiana State Police investigation, state prosecutors alleged Noel used millions of taxpayer dollars from the Utica Volunteer Firefighters Association and New Chapel EMS to buy cars, planes, vacations, clothing and other personal luxury purchases. Investigators said public funds were also used to pay for college tuition and child </w:t>
      </w:r>
      <w:proofErr w:type="gramStart"/>
      <w:r w:rsidRPr="004B4757">
        <w:rPr>
          <w:rFonts w:ascii="Times New Roman" w:hAnsi="Times New Roman"/>
          <w:sz w:val="24"/>
          <w:szCs w:val="24"/>
        </w:rPr>
        <w:t>support.”</w:t>
      </w:r>
      <w:proofErr w:type="gramEnd"/>
      <w:r w:rsidRPr="004B4757">
        <w:rPr>
          <w:rFonts w:ascii="Times New Roman" w:hAnsi="Times New Roman"/>
          <w:sz w:val="24"/>
          <w:szCs w:val="24"/>
        </w:rPr>
        <w:t xml:space="preserve"> </w:t>
      </w:r>
      <w:hyperlink r:id="rId2463" w:history="1">
        <w:r w:rsidRPr="004B4757">
          <w:rPr>
            <w:rStyle w:val="Hyperlink"/>
            <w:rFonts w:ascii="Times New Roman" w:hAnsi="Times New Roman"/>
            <w:sz w:val="24"/>
            <w:szCs w:val="24"/>
          </w:rPr>
          <w:t>https://indianacapitalchronicle.com/2024/10/14/former-indiana-sheriff-jamey-noel-sentenced-to-15-years-in-prison-as-part-of-plea-deal/</w:t>
        </w:r>
      </w:hyperlink>
      <w:r w:rsidRPr="004B4757">
        <w:rPr>
          <w:rFonts w:ascii="Times New Roman" w:hAnsi="Times New Roman"/>
          <w:sz w:val="24"/>
          <w:szCs w:val="24"/>
        </w:rPr>
        <w:t xml:space="preserve"> .  THE COURT HELD:  “New Chapel first asserts that the trial court lacked sufficient evidence of the value of the Fire District's property that New Chapel was attempting to misappropriate. But New Chapel is incorrect. The Fire District made it abundantly clear at the hearing that it had expended substantial sums on certain equipment, including nearly $700,000 on three vehicles alone. The record also makes New Chapel's ability to pay reasonable financial damages to the Fire District clear, including New Chapel's own admissions to the court. New Chapel's argument here is not supported by either the record or cogent </w:t>
      </w:r>
      <w:proofErr w:type="gramStart"/>
      <w:r w:rsidRPr="004B4757">
        <w:rPr>
          <w:rFonts w:ascii="Times New Roman" w:hAnsi="Times New Roman"/>
          <w:sz w:val="24"/>
          <w:szCs w:val="24"/>
        </w:rPr>
        <w:t>reasoning.”</w:t>
      </w:r>
      <w:proofErr w:type="gramEnd"/>
      <w:r w:rsidRPr="004B4757">
        <w:rPr>
          <w:rFonts w:ascii="Times New Roman" w:hAnsi="Times New Roman"/>
          <w:sz w:val="24"/>
          <w:szCs w:val="24"/>
        </w:rPr>
        <w:t xml:space="preserve"> </w:t>
      </w:r>
      <w:hyperlink r:id="rId2464" w:history="1">
        <w:r w:rsidRPr="004B4757">
          <w:rPr>
            <w:rStyle w:val="Hyperlink"/>
            <w:rFonts w:ascii="Times New Roman" w:hAnsi="Times New Roman"/>
            <w:sz w:val="24"/>
            <w:szCs w:val="24"/>
          </w:rPr>
          <w:t>https://cases.justia.com/indiana/court-of-appeals/2025-24a-pl-02646.pdf?ts=1752863306</w:t>
        </w:r>
      </w:hyperlink>
      <w:r w:rsidRPr="004B4757">
        <w:rPr>
          <w:rFonts w:ascii="Times New Roman" w:hAnsi="Times New Roman"/>
          <w:sz w:val="24"/>
          <w:szCs w:val="24"/>
        </w:rPr>
        <w:t xml:space="preserve"> </w:t>
      </w:r>
    </w:p>
    <w:p w14:paraId="17AFDDD8" w14:textId="77777777" w:rsidR="004B4757" w:rsidRPr="004B4757" w:rsidRDefault="004B4757" w:rsidP="004B4757">
      <w:pPr>
        <w:rPr>
          <w:rFonts w:ascii="Times New Roman" w:hAnsi="Times New Roman"/>
          <w:b/>
          <w:sz w:val="24"/>
          <w:szCs w:val="24"/>
        </w:rPr>
      </w:pPr>
      <w:r w:rsidRPr="004B4757">
        <w:rPr>
          <w:rFonts w:ascii="Times New Roman" w:hAnsi="Times New Roman"/>
          <w:b/>
          <w:sz w:val="24"/>
          <w:szCs w:val="24"/>
        </w:rPr>
        <w:t xml:space="preserve">Legal lesson learned:  Conduct annual financial audits. </w:t>
      </w:r>
    </w:p>
    <w:p w14:paraId="50DE6270" w14:textId="77777777" w:rsidR="004B4757" w:rsidRPr="004B4757" w:rsidRDefault="004B4757" w:rsidP="004B4757">
      <w:pPr>
        <w:ind w:left="720"/>
        <w:rPr>
          <w:rFonts w:ascii="Times New Roman" w:hAnsi="Times New Roman"/>
          <w:sz w:val="24"/>
          <w:szCs w:val="24"/>
        </w:rPr>
      </w:pPr>
      <w:r w:rsidRPr="004B4757">
        <w:rPr>
          <w:rFonts w:ascii="Times New Roman" w:hAnsi="Times New Roman"/>
          <w:sz w:val="24"/>
          <w:szCs w:val="24"/>
        </w:rPr>
        <w:t xml:space="preserve">Note:  Watch this July 28, 2025 – YouTube: “Utica Fire Department still reeling from Jamey Noel Scandal as debt, distrust remain.” </w:t>
      </w:r>
      <w:hyperlink r:id="rId2465" w:history="1">
        <w:r w:rsidRPr="004B4757">
          <w:rPr>
            <w:rStyle w:val="Hyperlink"/>
            <w:rFonts w:ascii="Times New Roman" w:hAnsi="Times New Roman"/>
            <w:sz w:val="24"/>
            <w:szCs w:val="24"/>
          </w:rPr>
          <w:t>https://www.youtube.com/watch?v=roZMeWZrCG4</w:t>
        </w:r>
      </w:hyperlink>
      <w:r w:rsidRPr="004B4757">
        <w:rPr>
          <w:rFonts w:ascii="Times New Roman" w:hAnsi="Times New Roman"/>
          <w:sz w:val="24"/>
          <w:szCs w:val="24"/>
        </w:rPr>
        <w:t xml:space="preserve">  </w:t>
      </w:r>
    </w:p>
    <w:p w14:paraId="61E33337" w14:textId="77777777" w:rsidR="000C4268" w:rsidRDefault="000C4268" w:rsidP="00075D20">
      <w:pPr>
        <w:pStyle w:val="NoSpacing"/>
        <w:rPr>
          <w:rFonts w:ascii="Arial Black" w:hAnsi="Arial Black"/>
          <w:sz w:val="24"/>
          <w:szCs w:val="24"/>
        </w:rPr>
      </w:pPr>
    </w:p>
    <w:p w14:paraId="081EEA86" w14:textId="254BA41A" w:rsidR="000F4170" w:rsidRDefault="000C4268" w:rsidP="00075D20">
      <w:pPr>
        <w:pStyle w:val="NoSpacing"/>
        <w:rPr>
          <w:rFonts w:ascii="Arial Black" w:hAnsi="Arial Black"/>
          <w:sz w:val="24"/>
          <w:szCs w:val="24"/>
        </w:rPr>
      </w:pPr>
      <w:r>
        <w:rPr>
          <w:rFonts w:ascii="Arial Black" w:hAnsi="Arial Black"/>
          <w:sz w:val="24"/>
          <w:szCs w:val="24"/>
        </w:rPr>
        <w:t>16-129</w:t>
      </w:r>
    </w:p>
    <w:p w14:paraId="123327BD" w14:textId="77777777" w:rsidR="00075D20" w:rsidRDefault="00075D20" w:rsidP="00FB04CF">
      <w:pPr>
        <w:pStyle w:val="NoSpacing"/>
        <w:rPr>
          <w:rFonts w:ascii="Arial Black" w:hAnsi="Arial Black"/>
          <w:sz w:val="24"/>
          <w:szCs w:val="24"/>
        </w:rPr>
      </w:pPr>
    </w:p>
    <w:p w14:paraId="7CEA9B98" w14:textId="77777777" w:rsidR="00680D61" w:rsidRPr="0078246B" w:rsidRDefault="00680D61" w:rsidP="00680D61">
      <w:pPr>
        <w:rPr>
          <w:rFonts w:ascii="Arial Black" w:hAnsi="Arial Black"/>
          <w:b/>
          <w:sz w:val="28"/>
          <w:szCs w:val="28"/>
        </w:rPr>
      </w:pPr>
      <w:r>
        <w:rPr>
          <w:rFonts w:ascii="Arial Black" w:hAnsi="Arial Black"/>
          <w:b/>
          <w:sz w:val="28"/>
          <w:szCs w:val="28"/>
        </w:rPr>
        <w:t>PA: FF / SEX 8</w:t>
      </w:r>
      <w:r w:rsidRPr="00CC082C">
        <w:rPr>
          <w:rFonts w:ascii="Arial Black" w:hAnsi="Arial Black"/>
          <w:b/>
          <w:sz w:val="28"/>
          <w:szCs w:val="28"/>
          <w:vertAlign w:val="superscript"/>
        </w:rPr>
        <w:t>th</w:t>
      </w:r>
      <w:r>
        <w:rPr>
          <w:rFonts w:ascii="Arial Black" w:hAnsi="Arial Black"/>
          <w:b/>
          <w:sz w:val="28"/>
          <w:szCs w:val="28"/>
        </w:rPr>
        <w:t xml:space="preserve"> GRADER - FED. &amp; PA JUDGES – STAY PRISON </w:t>
      </w:r>
    </w:p>
    <w:p w14:paraId="4F601A8B" w14:textId="77777777" w:rsidR="00680D61" w:rsidRPr="000C4268" w:rsidRDefault="00680D61" w:rsidP="00680D61">
      <w:pPr>
        <w:pStyle w:val="NoSpacing"/>
        <w:rPr>
          <w:rFonts w:ascii="Times New Roman" w:hAnsi="Times New Roman"/>
          <w:sz w:val="24"/>
          <w:szCs w:val="24"/>
        </w:rPr>
      </w:pPr>
      <w:r w:rsidRPr="000C4268">
        <w:rPr>
          <w:rFonts w:ascii="Times New Roman" w:hAnsi="Times New Roman"/>
          <w:sz w:val="24"/>
          <w:szCs w:val="24"/>
        </w:rPr>
        <w:t xml:space="preserve">On July 14, 2025, in </w:t>
      </w:r>
      <w:r w:rsidRPr="000C4268">
        <w:rPr>
          <w:rFonts w:ascii="Times New Roman" w:hAnsi="Times New Roman"/>
          <w:sz w:val="24"/>
          <w:szCs w:val="24"/>
          <w:u w:val="single"/>
        </w:rPr>
        <w:t>Christopher Anthony Taylor v. George M. Little</w:t>
      </w:r>
      <w:r w:rsidRPr="000C4268">
        <w:rPr>
          <w:rFonts w:ascii="Times New Roman" w:hAnsi="Times New Roman"/>
          <w:sz w:val="24"/>
          <w:szCs w:val="24"/>
        </w:rPr>
        <w:t xml:space="preserve">, U.S. District Court Judge Robert D. Mariani, United States District Court for Middle District of Pennsylvania, denied Mr. Taylor’s petition for a </w:t>
      </w:r>
      <w:proofErr w:type="spellStart"/>
      <w:r w:rsidRPr="000C4268">
        <w:rPr>
          <w:rFonts w:ascii="Times New Roman" w:hAnsi="Times New Roman"/>
          <w:sz w:val="24"/>
          <w:szCs w:val="24"/>
        </w:rPr>
        <w:t>write</w:t>
      </w:r>
      <w:proofErr w:type="spellEnd"/>
      <w:r w:rsidRPr="000C4268">
        <w:rPr>
          <w:rFonts w:ascii="Times New Roman" w:hAnsi="Times New Roman"/>
          <w:sz w:val="24"/>
          <w:szCs w:val="24"/>
        </w:rPr>
        <w:t xml:space="preserve"> of habeas corpus; he is currently serving an 8 – 16 -year prison sentence in Pennsylvania state prison for having sexual relations with 8</w:t>
      </w:r>
      <w:r w:rsidRPr="000C4268">
        <w:rPr>
          <w:rFonts w:ascii="Times New Roman" w:hAnsi="Times New Roman"/>
          <w:sz w:val="24"/>
          <w:szCs w:val="24"/>
          <w:vertAlign w:val="superscript"/>
        </w:rPr>
        <w:t>th</w:t>
      </w:r>
      <w:r w:rsidRPr="000C4268">
        <w:rPr>
          <w:rFonts w:ascii="Times New Roman" w:hAnsi="Times New Roman"/>
          <w:sz w:val="24"/>
          <w:szCs w:val="24"/>
        </w:rPr>
        <w:t xml:space="preserve"> grade cadet.  On March 6, 2013, following a jury trial, Taylor was convicted of one count each of statutory sexual assault [victim was 8</w:t>
      </w:r>
      <w:r w:rsidRPr="000C4268">
        <w:rPr>
          <w:rFonts w:ascii="Times New Roman" w:hAnsi="Times New Roman"/>
          <w:sz w:val="24"/>
          <w:szCs w:val="24"/>
          <w:vertAlign w:val="superscript"/>
        </w:rPr>
        <w:t>th</w:t>
      </w:r>
      <w:r w:rsidRPr="000C4268">
        <w:rPr>
          <w:rFonts w:ascii="Times New Roman" w:hAnsi="Times New Roman"/>
          <w:sz w:val="24"/>
          <w:szCs w:val="24"/>
        </w:rPr>
        <w:t xml:space="preserve"> grader, fire cadet, when started sexual relations], aggravated indecent assault—less than 16 years of age, indecent assault—less than 16 years of age, unlawful contact with a minor—sexual offenses, involuntary deviate sexual intercourse—less than 16 years of age, and corruption of minors.  A trial court later denied his petition for release, and on Nov. 22, 2021, the Superior Court of Pennsylvania likewise denied his release from prison, and on June 2, 2022, the Pennsylvania Supreme Court denied Taylor's petition for allowance of appeal.  THE COURT HELD:  “Further, under 28 U.S.C. § 2254(e)(1), a federal court is required to presume that a state court's findings of fact are correct. A petitioner may only rebut this presumption with clear and convincing evidence of the state court's error…. The Court will deny the § 2254 petition for writ of habeas corpus.”</w:t>
      </w:r>
    </w:p>
    <w:p w14:paraId="51DF41C2" w14:textId="34E717F2" w:rsidR="00680D61" w:rsidRPr="000C4268" w:rsidRDefault="00680D61" w:rsidP="00680D61">
      <w:pPr>
        <w:pStyle w:val="NoSpacing"/>
        <w:rPr>
          <w:rFonts w:ascii="Times New Roman" w:hAnsi="Times New Roman"/>
          <w:sz w:val="24"/>
          <w:szCs w:val="24"/>
        </w:rPr>
      </w:pPr>
      <w:hyperlink r:id="rId2466" w:history="1">
        <w:r w:rsidRPr="000C4268">
          <w:rPr>
            <w:rStyle w:val="Hyperlink"/>
            <w:rFonts w:ascii="Times New Roman" w:hAnsi="Times New Roman"/>
            <w:sz w:val="24"/>
            <w:szCs w:val="24"/>
          </w:rPr>
          <w:t>https://public.fastcase.com/jaEE2PXzRXmZ99jOLMt1IqmI6%2FwIkVosxkHnLXFS%2Fh3vCPBsdexRYsXhu3dcS77RM93%2Fb%2FlmP%2FEht28r%2FEOUuz%2BdIsVF1KqStdKclsmvBXo%3D?utm_medium=email&amp;_hsenc=p2ANqtz-_Dn6dsk63fb2EPfPT1163Ju7zkOyiRsNHg_eV5kST7JoaZI-2AGCvSnryJrMriUeP5UHxNkfyzrDvNunm7WCvoOt678w&amp;_hsmi=226712652&amp;utm_content=226712652&amp;utm_source=hs_email</w:t>
        </w:r>
      </w:hyperlink>
    </w:p>
    <w:p w14:paraId="5B731448" w14:textId="77777777" w:rsidR="000C4268" w:rsidRDefault="000C4268" w:rsidP="000C4268">
      <w:pPr>
        <w:rPr>
          <w:b/>
        </w:rPr>
      </w:pPr>
      <w:r w:rsidRPr="000C4268">
        <w:rPr>
          <w:rFonts w:ascii="Times New Roman" w:hAnsi="Times New Roman"/>
          <w:b/>
          <w:sz w:val="24"/>
          <w:szCs w:val="24"/>
        </w:rPr>
        <w:t>Legal lesson learned: Sex with a minor led to prison, and judges in PA and U.S. District Court have denied his release</w:t>
      </w:r>
      <w:r>
        <w:rPr>
          <w:b/>
        </w:rPr>
        <w:t xml:space="preserve">. </w:t>
      </w:r>
    </w:p>
    <w:p w14:paraId="3592CBBE" w14:textId="77777777" w:rsidR="00075D20" w:rsidRDefault="00075D20" w:rsidP="00FB04CF">
      <w:pPr>
        <w:pStyle w:val="NoSpacing"/>
        <w:rPr>
          <w:rFonts w:ascii="Arial Black" w:hAnsi="Arial Black"/>
          <w:sz w:val="24"/>
          <w:szCs w:val="24"/>
        </w:rPr>
      </w:pPr>
    </w:p>
    <w:p w14:paraId="7FFBC2C6" w14:textId="77777777" w:rsidR="00075D20" w:rsidRDefault="00075D20" w:rsidP="00FB04CF">
      <w:pPr>
        <w:pStyle w:val="NoSpacing"/>
        <w:rPr>
          <w:rFonts w:ascii="Arial Black" w:hAnsi="Arial Black"/>
          <w:sz w:val="24"/>
          <w:szCs w:val="24"/>
        </w:rPr>
      </w:pPr>
    </w:p>
    <w:p w14:paraId="4B82F522" w14:textId="5B9F0E7D" w:rsidR="00FB04CF" w:rsidRDefault="00FB04CF" w:rsidP="00FB04CF">
      <w:pPr>
        <w:pStyle w:val="NoSpacing"/>
        <w:rPr>
          <w:rFonts w:ascii="Arial Black" w:hAnsi="Arial Black"/>
          <w:sz w:val="24"/>
          <w:szCs w:val="24"/>
        </w:rPr>
      </w:pPr>
      <w:r>
        <w:rPr>
          <w:rFonts w:ascii="Arial Black" w:hAnsi="Arial Black"/>
          <w:sz w:val="24"/>
          <w:szCs w:val="24"/>
        </w:rPr>
        <w:t>16-128</w:t>
      </w:r>
    </w:p>
    <w:p w14:paraId="10CE0ADA" w14:textId="77777777" w:rsidR="00FB04CF" w:rsidRDefault="00FB04CF" w:rsidP="00CF19EA">
      <w:pPr>
        <w:pStyle w:val="NoSpacing"/>
        <w:rPr>
          <w:rFonts w:ascii="Arial Black" w:hAnsi="Arial Black"/>
          <w:sz w:val="28"/>
          <w:szCs w:val="28"/>
        </w:rPr>
      </w:pPr>
    </w:p>
    <w:p w14:paraId="1F241C7E" w14:textId="52BBA427" w:rsidR="00444FB7" w:rsidRPr="005967C5" w:rsidRDefault="00444FB7" w:rsidP="00444FB7">
      <w:pPr>
        <w:pStyle w:val="NoSpacing"/>
        <w:rPr>
          <w:rFonts w:ascii="Arial Black" w:hAnsi="Arial Black"/>
          <w:sz w:val="28"/>
          <w:szCs w:val="28"/>
        </w:rPr>
      </w:pPr>
      <w:r w:rsidRPr="005967C5">
        <w:rPr>
          <w:rFonts w:ascii="Arial Black" w:hAnsi="Arial Black"/>
          <w:sz w:val="28"/>
          <w:szCs w:val="28"/>
        </w:rPr>
        <w:t xml:space="preserve">HI: INVEST OF 2 B/C – PAID SUSP. 6-MO - NOT “DISCIPLINE” </w:t>
      </w:r>
    </w:p>
    <w:p w14:paraId="4765D6C1" w14:textId="77777777" w:rsidR="00444FB7" w:rsidRPr="00393E4D" w:rsidRDefault="00444FB7" w:rsidP="00444FB7">
      <w:pPr>
        <w:pStyle w:val="NoSpacing"/>
        <w:rPr>
          <w:rFonts w:ascii="Times New Roman" w:hAnsi="Times New Roman"/>
          <w:sz w:val="24"/>
          <w:szCs w:val="24"/>
        </w:rPr>
      </w:pPr>
    </w:p>
    <w:p w14:paraId="28EC80CF" w14:textId="77777777" w:rsidR="00444FB7" w:rsidRPr="00393E4D" w:rsidRDefault="00444FB7" w:rsidP="00444FB7">
      <w:pPr>
        <w:pStyle w:val="NoSpacing"/>
        <w:rPr>
          <w:rFonts w:ascii="Times New Roman" w:hAnsi="Times New Roman"/>
          <w:sz w:val="24"/>
          <w:szCs w:val="24"/>
        </w:rPr>
      </w:pPr>
      <w:r w:rsidRPr="00393E4D">
        <w:rPr>
          <w:rFonts w:ascii="Times New Roman" w:hAnsi="Times New Roman"/>
          <w:sz w:val="24"/>
          <w:szCs w:val="24"/>
        </w:rPr>
        <w:t xml:space="preserve">On June 27, 2025, in </w:t>
      </w:r>
      <w:r w:rsidRPr="00393E4D">
        <w:rPr>
          <w:rFonts w:ascii="Times New Roman" w:hAnsi="Times New Roman"/>
          <w:sz w:val="24"/>
          <w:szCs w:val="24"/>
          <w:u w:val="single"/>
        </w:rPr>
        <w:t>Steve F. Loyola and Ty Aaron Madeiros v. County of Hawaii</w:t>
      </w:r>
      <w:r w:rsidRPr="00393E4D">
        <w:rPr>
          <w:rFonts w:ascii="Times New Roman" w:hAnsi="Times New Roman"/>
          <w:sz w:val="24"/>
          <w:szCs w:val="24"/>
        </w:rPr>
        <w:t xml:space="preserve">, the Intermediate Court of Appeals of Hawaii held (3 to 0; unpublished decision) that the trial court judge and the Merit Appeals Board of the County (MAP) properly found that the two Battalion Chiefs were never “disciplined” when they were suspended with pay from November 21, 2014 until June 2015 while retired Police Chief conducted an investigation of their allegations of unsatisfactory management by Fire Chief Darren J. Rosario.  The investigation was conducted by a retired Police Chief after the Battalion Chief made written allegations against the Fire Chief: (1) Medeiros on September 15, 2014 sent a memorandum to the Fire Chief, copying the Mayor and the Fire Commission, requesting the Fire Chief's resignation to protect HFD from ‘further damage’ and to protect the safety of HFD personnel. (2) Loyola on September 23, </w:t>
      </w:r>
      <w:proofErr w:type="gramStart"/>
      <w:r w:rsidRPr="00393E4D">
        <w:rPr>
          <w:rFonts w:ascii="Times New Roman" w:hAnsi="Times New Roman"/>
          <w:sz w:val="24"/>
          <w:szCs w:val="24"/>
        </w:rPr>
        <w:t>2014</w:t>
      </w:r>
      <w:proofErr w:type="gramEnd"/>
      <w:r w:rsidRPr="00393E4D">
        <w:rPr>
          <w:rFonts w:ascii="Times New Roman" w:hAnsi="Times New Roman"/>
          <w:sz w:val="24"/>
          <w:szCs w:val="24"/>
        </w:rPr>
        <w:t xml:space="preserve"> sent a ‘Letter of No Confidence’ in the Fire Chief to the Fire Commission requesting Fire Chief's removal for ‘unsatisfactory management.’  The retired Police Chief interviewed 23 </w:t>
      </w:r>
      <w:proofErr w:type="gramStart"/>
      <w:r w:rsidRPr="00393E4D">
        <w:rPr>
          <w:rFonts w:ascii="Times New Roman" w:hAnsi="Times New Roman"/>
          <w:sz w:val="24"/>
          <w:szCs w:val="24"/>
        </w:rPr>
        <w:t>people, and</w:t>
      </w:r>
      <w:proofErr w:type="gramEnd"/>
      <w:r w:rsidRPr="00393E4D">
        <w:rPr>
          <w:rFonts w:ascii="Times New Roman" w:hAnsi="Times New Roman"/>
          <w:sz w:val="24"/>
          <w:szCs w:val="24"/>
        </w:rPr>
        <w:t xml:space="preserve"> submitted a 106-page final report on June 9, 2015, concluding most of allegations against the Fire Chief were ‘speculative,’ ‘unsubstantiated’ and ‘uncorroborated’ and the two Battalion Chiefs had violated six FD regulations.  THE COURT HELD: “The record supports that the approximately six-months-long duration of Appellants' paid administrative leave, from November 21, 2014 to June 2015, while the investigation was being completed, was reasonable due to the volume of interviews conducted (23 witnesses), the large number of allegations (27 total) raised by Appellants, and the Fire Chief's accusations against the Appellants…. Appellants' ‘indefinite leave with </w:t>
      </w:r>
      <w:proofErr w:type="spellStart"/>
      <w:r w:rsidRPr="00393E4D">
        <w:rPr>
          <w:rFonts w:ascii="Times New Roman" w:hAnsi="Times New Roman"/>
          <w:sz w:val="24"/>
          <w:szCs w:val="24"/>
        </w:rPr>
        <w:t>pay"’challenge</w:t>
      </w:r>
      <w:proofErr w:type="spellEnd"/>
      <w:r w:rsidRPr="00393E4D">
        <w:rPr>
          <w:rFonts w:ascii="Times New Roman" w:hAnsi="Times New Roman"/>
          <w:sz w:val="24"/>
          <w:szCs w:val="24"/>
        </w:rPr>
        <w:t xml:space="preserve"> lacks merit…. We conclude the Circuit Court correctly affirmed the MAB's conclusion resolving the claim of entitlement to overtime while on paid administrative leave…. Appellants' ‘denial of overtime’ challenge lacks merit.” </w:t>
      </w:r>
    </w:p>
    <w:p w14:paraId="14163EBF" w14:textId="77777777" w:rsidR="00444FB7" w:rsidRPr="00393E4D" w:rsidRDefault="00444FB7" w:rsidP="00444FB7">
      <w:pPr>
        <w:pStyle w:val="NoSpacing"/>
        <w:rPr>
          <w:rFonts w:ascii="Times New Roman" w:hAnsi="Times New Roman"/>
          <w:sz w:val="24"/>
          <w:szCs w:val="24"/>
        </w:rPr>
      </w:pPr>
      <w:hyperlink r:id="rId2467" w:history="1">
        <w:r w:rsidRPr="00393E4D">
          <w:rPr>
            <w:rStyle w:val="Hyperlink"/>
            <w:rFonts w:ascii="Times New Roman" w:hAnsi="Times New Roman"/>
            <w:sz w:val="24"/>
            <w:szCs w:val="24"/>
          </w:rPr>
          <w:t>https://www.courts.state.hi.us/wp-content/uploads/2025/06/CAAP-22-0000641sdo.pdf</w:t>
        </w:r>
      </w:hyperlink>
      <w:r w:rsidRPr="00393E4D">
        <w:rPr>
          <w:rFonts w:ascii="Times New Roman" w:hAnsi="Times New Roman"/>
          <w:sz w:val="24"/>
          <w:szCs w:val="24"/>
        </w:rPr>
        <w:t xml:space="preserve"> </w:t>
      </w:r>
    </w:p>
    <w:p w14:paraId="3471EC0C" w14:textId="77777777" w:rsidR="00444FB7" w:rsidRPr="00393E4D" w:rsidRDefault="00444FB7" w:rsidP="00444FB7">
      <w:pPr>
        <w:pStyle w:val="NoSpacing"/>
        <w:rPr>
          <w:rFonts w:ascii="Times New Roman" w:hAnsi="Times New Roman"/>
          <w:sz w:val="24"/>
          <w:szCs w:val="24"/>
        </w:rPr>
      </w:pPr>
    </w:p>
    <w:p w14:paraId="00C50028" w14:textId="77777777" w:rsidR="00393E4D" w:rsidRDefault="00393E4D" w:rsidP="00393E4D">
      <w:pPr>
        <w:pStyle w:val="NoSpacing"/>
        <w:rPr>
          <w:rFonts w:ascii="Times New Roman" w:hAnsi="Times New Roman"/>
          <w:b/>
          <w:sz w:val="24"/>
          <w:szCs w:val="24"/>
        </w:rPr>
      </w:pPr>
      <w:r w:rsidRPr="00393E4D">
        <w:rPr>
          <w:rFonts w:ascii="Times New Roman" w:hAnsi="Times New Roman"/>
          <w:b/>
          <w:sz w:val="24"/>
          <w:szCs w:val="24"/>
        </w:rPr>
        <w:t xml:space="preserve">Legal lesson learned: Suspension without loss of pay is a reasonable management response to investigate serious allegations.  </w:t>
      </w:r>
    </w:p>
    <w:p w14:paraId="3E5B5B44" w14:textId="77777777" w:rsidR="00C305D0" w:rsidRDefault="00C305D0" w:rsidP="00393E4D">
      <w:pPr>
        <w:pStyle w:val="NoSpacing"/>
        <w:rPr>
          <w:rFonts w:ascii="Times New Roman" w:hAnsi="Times New Roman"/>
          <w:b/>
          <w:sz w:val="24"/>
          <w:szCs w:val="24"/>
        </w:rPr>
      </w:pPr>
    </w:p>
    <w:p w14:paraId="2A2803B5" w14:textId="77777777" w:rsidR="00C305D0" w:rsidRDefault="00C305D0" w:rsidP="00393E4D">
      <w:pPr>
        <w:pStyle w:val="NoSpacing"/>
        <w:rPr>
          <w:rFonts w:ascii="Times New Roman" w:hAnsi="Times New Roman"/>
          <w:b/>
          <w:sz w:val="24"/>
          <w:szCs w:val="24"/>
        </w:rPr>
      </w:pPr>
    </w:p>
    <w:p w14:paraId="5E569175" w14:textId="12BB879B" w:rsidR="00FB04CF" w:rsidRDefault="00FB04CF" w:rsidP="00FB04CF">
      <w:pPr>
        <w:pStyle w:val="NoSpacing"/>
        <w:rPr>
          <w:rFonts w:ascii="Arial Black" w:hAnsi="Arial Black"/>
          <w:sz w:val="24"/>
          <w:szCs w:val="24"/>
        </w:rPr>
      </w:pPr>
      <w:r>
        <w:rPr>
          <w:rFonts w:ascii="Arial Black" w:hAnsi="Arial Black"/>
          <w:sz w:val="24"/>
          <w:szCs w:val="24"/>
        </w:rPr>
        <w:t>16-127</w:t>
      </w:r>
    </w:p>
    <w:p w14:paraId="4A1E5FCF" w14:textId="77777777" w:rsidR="00FB04CF" w:rsidRDefault="00FB04CF" w:rsidP="00393E4D">
      <w:pPr>
        <w:pStyle w:val="NoSpacing"/>
        <w:rPr>
          <w:rFonts w:ascii="Times New Roman" w:hAnsi="Times New Roman"/>
          <w:b/>
          <w:sz w:val="24"/>
          <w:szCs w:val="24"/>
        </w:rPr>
      </w:pPr>
    </w:p>
    <w:p w14:paraId="7BCC0E89" w14:textId="77777777" w:rsidR="00FB04CF" w:rsidRDefault="00FB04CF" w:rsidP="00393E4D">
      <w:pPr>
        <w:pStyle w:val="NoSpacing"/>
        <w:rPr>
          <w:rFonts w:ascii="Times New Roman" w:hAnsi="Times New Roman"/>
          <w:b/>
          <w:sz w:val="24"/>
          <w:szCs w:val="24"/>
        </w:rPr>
      </w:pPr>
    </w:p>
    <w:p w14:paraId="18318FD4" w14:textId="77777777" w:rsidR="00C305D0" w:rsidRDefault="00C305D0" w:rsidP="00C305D0">
      <w:pPr>
        <w:rPr>
          <w:rFonts w:ascii="Arial Black" w:hAnsi="Arial Black"/>
          <w:b/>
          <w:sz w:val="28"/>
          <w:szCs w:val="28"/>
        </w:rPr>
      </w:pPr>
      <w:r>
        <w:rPr>
          <w:rFonts w:ascii="Arial Black" w:hAnsi="Arial Black"/>
          <w:b/>
          <w:sz w:val="28"/>
          <w:szCs w:val="28"/>
        </w:rPr>
        <w:t xml:space="preserve">DE: DEP. CHIEF – SEX 15-YR OLD CADET – 35-YRS IN PRISON </w:t>
      </w:r>
    </w:p>
    <w:p w14:paraId="40676EDD" w14:textId="77777777" w:rsidR="00C305D0" w:rsidRPr="00BF3522" w:rsidRDefault="00C305D0" w:rsidP="00C305D0">
      <w:pPr>
        <w:pStyle w:val="NoSpacing"/>
        <w:rPr>
          <w:rFonts w:ascii="Times New Roman" w:hAnsi="Times New Roman"/>
          <w:bCs/>
          <w:sz w:val="24"/>
          <w:szCs w:val="24"/>
        </w:rPr>
      </w:pPr>
      <w:r w:rsidRPr="00BF3522">
        <w:rPr>
          <w:rFonts w:ascii="Times New Roman" w:hAnsi="Times New Roman"/>
          <w:sz w:val="24"/>
          <w:szCs w:val="24"/>
        </w:rPr>
        <w:t xml:space="preserve">On June 24, 2025, in </w:t>
      </w:r>
      <w:r w:rsidRPr="00BF3522">
        <w:rPr>
          <w:rFonts w:ascii="Times New Roman" w:hAnsi="Times New Roman"/>
          <w:sz w:val="24"/>
          <w:szCs w:val="24"/>
          <w:u w:val="single"/>
        </w:rPr>
        <w:t>Dwayne L. Pearson v. State of Delaware</w:t>
      </w:r>
      <w:r w:rsidRPr="00BF3522">
        <w:rPr>
          <w:rFonts w:ascii="Times New Roman" w:hAnsi="Times New Roman"/>
          <w:sz w:val="24"/>
          <w:szCs w:val="24"/>
        </w:rPr>
        <w:t xml:space="preserve">, the Supreme Court of Delaware held (5 to 0) that the former Deputy Fire Chief was properly convicted of for sexual abuse of a child “by a person in a position of trust, authority or supervision.”  In May 2022, fifteen-year-old M.M. was voted in as a Mill Creek junior firefighter.  Dwayne Peasrson was Deputy Fire Chief of neighboring Belvedere Fire Department; the evidence showed he groomed her into having several sexual contacts in August 2022.  He was arrested in January 2023, indicted and then proceeded to trial on January 22, 2024, convicted by a jury and sentenced July 3, </w:t>
      </w:r>
      <w:proofErr w:type="gramStart"/>
      <w:r w:rsidRPr="00BF3522">
        <w:rPr>
          <w:rFonts w:ascii="Times New Roman" w:hAnsi="Times New Roman"/>
          <w:sz w:val="24"/>
          <w:szCs w:val="24"/>
        </w:rPr>
        <w:t>2024</w:t>
      </w:r>
      <w:proofErr w:type="gramEnd"/>
      <w:r w:rsidRPr="00BF3522">
        <w:rPr>
          <w:rFonts w:ascii="Times New Roman" w:hAnsi="Times New Roman"/>
          <w:sz w:val="24"/>
          <w:szCs w:val="24"/>
        </w:rPr>
        <w:t xml:space="preserve"> to 35 years in prison.  THE COURT HELD: “A reasonable jury could find that Pearson stood in a ‘position of trust, authority or supervision’ over M.M. under subsection (e)(2) of the statute.” </w:t>
      </w:r>
    </w:p>
    <w:p w14:paraId="42F3A5EF" w14:textId="5B14ECA0" w:rsidR="00C305D0" w:rsidRPr="00BF3522" w:rsidRDefault="00C305D0" w:rsidP="00C305D0">
      <w:pPr>
        <w:pStyle w:val="NoSpacing"/>
        <w:rPr>
          <w:rFonts w:ascii="Times New Roman" w:hAnsi="Times New Roman"/>
          <w:sz w:val="24"/>
          <w:szCs w:val="24"/>
        </w:rPr>
      </w:pPr>
      <w:hyperlink r:id="rId2468" w:history="1">
        <w:r w:rsidRPr="00BF3522">
          <w:rPr>
            <w:rStyle w:val="Hyperlink"/>
            <w:rFonts w:ascii="Times New Roman" w:hAnsi="Times New Roman"/>
            <w:sz w:val="24"/>
            <w:szCs w:val="24"/>
          </w:rPr>
          <w:t>https://courts.delaware.gov/Opinions/Download.aspx?id=381340</w:t>
        </w:r>
      </w:hyperlink>
      <w:r w:rsidRPr="00BF3522">
        <w:rPr>
          <w:rFonts w:ascii="Times New Roman" w:hAnsi="Times New Roman"/>
          <w:sz w:val="24"/>
          <w:szCs w:val="24"/>
        </w:rPr>
        <w:t xml:space="preserve">  </w:t>
      </w:r>
    </w:p>
    <w:p w14:paraId="1D24BF21" w14:textId="77777777" w:rsidR="00BF3522" w:rsidRPr="00BF3522" w:rsidRDefault="00BF3522" w:rsidP="00C305D0">
      <w:pPr>
        <w:pStyle w:val="NoSpacing"/>
        <w:rPr>
          <w:rFonts w:ascii="Times New Roman" w:hAnsi="Times New Roman"/>
          <w:sz w:val="24"/>
          <w:szCs w:val="24"/>
        </w:rPr>
      </w:pPr>
    </w:p>
    <w:p w14:paraId="4695CDA7" w14:textId="77777777" w:rsidR="00BF3522" w:rsidRPr="00BF3522" w:rsidRDefault="00BF3522" w:rsidP="00BF3522">
      <w:pPr>
        <w:pStyle w:val="NoSpacing"/>
        <w:rPr>
          <w:rFonts w:ascii="Times New Roman" w:hAnsi="Times New Roman"/>
          <w:b/>
          <w:bCs/>
          <w:sz w:val="24"/>
          <w:szCs w:val="24"/>
        </w:rPr>
      </w:pPr>
      <w:r w:rsidRPr="00BF3522">
        <w:rPr>
          <w:rFonts w:ascii="Times New Roman" w:hAnsi="Times New Roman"/>
          <w:b/>
          <w:sz w:val="24"/>
          <w:szCs w:val="24"/>
        </w:rPr>
        <w:t xml:space="preserve">Legal lesson learned: Former Deputy Chief now in prison and has exhausted all his state court appeals. </w:t>
      </w:r>
    </w:p>
    <w:p w14:paraId="7BFF4BDE" w14:textId="77777777" w:rsidR="00BF3522" w:rsidRPr="00BF3522" w:rsidRDefault="00BF3522" w:rsidP="00BF3522">
      <w:pPr>
        <w:pStyle w:val="NoSpacing"/>
        <w:rPr>
          <w:rFonts w:ascii="Times New Roman" w:hAnsi="Times New Roman"/>
          <w:b/>
          <w:bCs/>
          <w:sz w:val="24"/>
          <w:szCs w:val="24"/>
        </w:rPr>
      </w:pPr>
      <w:r w:rsidRPr="00BF3522">
        <w:rPr>
          <w:rFonts w:ascii="Times New Roman" w:hAnsi="Times New Roman"/>
          <w:b/>
          <w:sz w:val="24"/>
          <w:szCs w:val="24"/>
        </w:rPr>
        <w:tab/>
      </w:r>
    </w:p>
    <w:p w14:paraId="0C0E7970" w14:textId="77777777" w:rsidR="00BF3522" w:rsidRPr="00BF3522" w:rsidRDefault="00BF3522" w:rsidP="00BF3522">
      <w:pPr>
        <w:pStyle w:val="NoSpacing"/>
        <w:rPr>
          <w:rFonts w:ascii="Times New Roman" w:hAnsi="Times New Roman"/>
          <w:sz w:val="24"/>
          <w:szCs w:val="24"/>
        </w:rPr>
      </w:pPr>
      <w:r w:rsidRPr="00BF3522">
        <w:rPr>
          <w:rFonts w:ascii="Times New Roman" w:hAnsi="Times New Roman"/>
          <w:b/>
          <w:sz w:val="24"/>
          <w:szCs w:val="24"/>
        </w:rPr>
        <w:tab/>
      </w:r>
      <w:r w:rsidRPr="00BF3522">
        <w:rPr>
          <w:rFonts w:ascii="Times New Roman" w:hAnsi="Times New Roman"/>
          <w:sz w:val="24"/>
          <w:szCs w:val="24"/>
        </w:rPr>
        <w:t xml:space="preserve">Note: See this article, “Former Deputy Fire Chief Arrested for Rape” (Jan. 13, 2023). </w:t>
      </w:r>
    </w:p>
    <w:p w14:paraId="225585D8" w14:textId="77777777" w:rsidR="00BF3522" w:rsidRPr="00BF3522" w:rsidRDefault="00BF3522" w:rsidP="00BF3522">
      <w:pPr>
        <w:ind w:firstLine="720"/>
        <w:rPr>
          <w:rFonts w:ascii="Times New Roman" w:hAnsi="Times New Roman"/>
          <w:b/>
          <w:sz w:val="24"/>
          <w:szCs w:val="24"/>
        </w:rPr>
      </w:pPr>
      <w:hyperlink r:id="rId2469" w:history="1">
        <w:r w:rsidRPr="00BF3522">
          <w:rPr>
            <w:rStyle w:val="Hyperlink"/>
            <w:rFonts w:ascii="Times New Roman" w:hAnsi="Times New Roman"/>
            <w:sz w:val="24"/>
            <w:szCs w:val="24"/>
          </w:rPr>
          <w:t>https://dsp.delaware.gov/2023/01/13/former-deputy-fire-chief-arrested-for-rape/</w:t>
        </w:r>
      </w:hyperlink>
      <w:r w:rsidRPr="00BF3522">
        <w:rPr>
          <w:rFonts w:ascii="Times New Roman" w:hAnsi="Times New Roman"/>
          <w:b/>
          <w:sz w:val="24"/>
          <w:szCs w:val="24"/>
        </w:rPr>
        <w:t xml:space="preserve"> </w:t>
      </w:r>
    </w:p>
    <w:p w14:paraId="45FC863C" w14:textId="77777777" w:rsidR="00BF3522" w:rsidRPr="00BF3522" w:rsidRDefault="00BF3522" w:rsidP="00BF3522">
      <w:pPr>
        <w:ind w:left="720"/>
        <w:rPr>
          <w:rFonts w:ascii="Times New Roman" w:hAnsi="Times New Roman"/>
          <w:b/>
          <w:sz w:val="24"/>
          <w:szCs w:val="24"/>
        </w:rPr>
      </w:pPr>
      <w:r w:rsidRPr="00BF3522">
        <w:rPr>
          <w:rFonts w:ascii="Times New Roman" w:hAnsi="Times New Roman"/>
          <w:sz w:val="24"/>
          <w:szCs w:val="24"/>
        </w:rPr>
        <w:lastRenderedPageBreak/>
        <w:t xml:space="preserve">This is his second appeal (and our second review of this case); on June 10, 2024, his appeal to the Superior Court of Delaware was denied. </w:t>
      </w:r>
      <w:hyperlink r:id="rId2470" w:history="1">
        <w:r w:rsidRPr="00BF3522">
          <w:rPr>
            <w:rStyle w:val="Hyperlink"/>
            <w:rFonts w:ascii="Times New Roman" w:hAnsi="Times New Roman"/>
            <w:sz w:val="24"/>
            <w:szCs w:val="24"/>
          </w:rPr>
          <w:t>https://cases.justia.com/delaware/superior-court/2024-2301003924.pdf?ts=1718040749</w:t>
        </w:r>
      </w:hyperlink>
    </w:p>
    <w:p w14:paraId="176631EB" w14:textId="77777777" w:rsidR="00BF3522" w:rsidRPr="00393E4D" w:rsidRDefault="00BF3522" w:rsidP="00C305D0">
      <w:pPr>
        <w:pStyle w:val="NoSpacing"/>
        <w:rPr>
          <w:rFonts w:ascii="Times New Roman" w:hAnsi="Times New Roman"/>
          <w:b/>
          <w:bCs/>
          <w:sz w:val="24"/>
          <w:szCs w:val="24"/>
        </w:rPr>
      </w:pPr>
    </w:p>
    <w:p w14:paraId="769D8FA5" w14:textId="3FDAA4E1" w:rsidR="00FB04CF" w:rsidRDefault="00FB04CF" w:rsidP="00FB04CF">
      <w:pPr>
        <w:pStyle w:val="NoSpacing"/>
        <w:rPr>
          <w:rFonts w:ascii="Arial Black" w:hAnsi="Arial Black"/>
          <w:sz w:val="24"/>
          <w:szCs w:val="24"/>
        </w:rPr>
      </w:pPr>
      <w:r>
        <w:rPr>
          <w:rFonts w:ascii="Arial Black" w:hAnsi="Arial Black"/>
          <w:sz w:val="24"/>
          <w:szCs w:val="24"/>
        </w:rPr>
        <w:t>16-126</w:t>
      </w:r>
    </w:p>
    <w:p w14:paraId="20A3A9EB" w14:textId="77777777" w:rsidR="00393E4D" w:rsidRDefault="00393E4D" w:rsidP="00393E4D">
      <w:pPr>
        <w:pStyle w:val="NoSpacing"/>
        <w:ind w:left="720"/>
      </w:pPr>
    </w:p>
    <w:p w14:paraId="39CFDEA7" w14:textId="77777777" w:rsidR="00FB04CF" w:rsidRDefault="00FB04CF" w:rsidP="00393E4D">
      <w:pPr>
        <w:pStyle w:val="NoSpacing"/>
        <w:ind w:left="720"/>
      </w:pPr>
    </w:p>
    <w:p w14:paraId="6F25DC5E" w14:textId="77777777" w:rsidR="004160C7" w:rsidRDefault="004160C7" w:rsidP="004160C7">
      <w:pPr>
        <w:rPr>
          <w:rFonts w:ascii="Arial Black" w:hAnsi="Arial Black"/>
          <w:b/>
          <w:sz w:val="28"/>
          <w:szCs w:val="28"/>
        </w:rPr>
      </w:pPr>
      <w:r>
        <w:rPr>
          <w:rFonts w:ascii="Arial Black" w:hAnsi="Arial Black"/>
          <w:b/>
          <w:sz w:val="28"/>
          <w:szCs w:val="28"/>
        </w:rPr>
        <w:t>TX: CHIEF FIRED – DIDN’T TELL CITY / TESTIFYING FF CASE</w:t>
      </w:r>
    </w:p>
    <w:p w14:paraId="1A83FD55" w14:textId="77777777" w:rsidR="004160C7" w:rsidRPr="000174EF" w:rsidRDefault="004160C7" w:rsidP="004160C7">
      <w:pPr>
        <w:pStyle w:val="NoSpacing"/>
        <w:rPr>
          <w:rFonts w:ascii="Times New Roman" w:hAnsi="Times New Roman"/>
          <w:sz w:val="24"/>
          <w:szCs w:val="24"/>
        </w:rPr>
      </w:pPr>
      <w:r w:rsidRPr="000174EF">
        <w:rPr>
          <w:rFonts w:ascii="Times New Roman" w:hAnsi="Times New Roman"/>
          <w:sz w:val="24"/>
          <w:szCs w:val="24"/>
        </w:rPr>
        <w:t xml:space="preserve">On June 16, 2025, in </w:t>
      </w:r>
      <w:r w:rsidRPr="000174EF">
        <w:rPr>
          <w:rFonts w:ascii="Times New Roman" w:hAnsi="Times New Roman"/>
          <w:sz w:val="24"/>
          <w:szCs w:val="24"/>
          <w:u w:val="single"/>
        </w:rPr>
        <w:t>Mark Hamilton v. The City of Wilmer, Texas, et al</w:t>
      </w:r>
      <w:r w:rsidRPr="000174EF">
        <w:rPr>
          <w:rFonts w:ascii="Times New Roman" w:hAnsi="Times New Roman"/>
          <w:sz w:val="24"/>
          <w:szCs w:val="24"/>
        </w:rPr>
        <w:t xml:space="preserve">., the U.S. Court of Appeals for the Fifth Circuit (New Orleans) held (3 to 0) that the trial court properly granted the City’s motion for summary judgment.  Fire Chief did not have First Amendment right to testify in a firefighter’s criminal probation revocation hearing. Failure to get prior permission by City Administrator, or City Attorney, was serious breach of “maintaining proper discipline in public service.” The Chief’s testimony “could have been seen as an endorsement on behalf of the Fire Department rather than merely his personal opinion.”  In 2019 the firefighter was arrested for putting recording equipment in the bathroom of the fire station (he claimed it was to find out who stole items from his locker).  He was eventually returned to duty, and on probation in criminal case.  The Fire Chief received a subpoena on June 22, 2022, for a hearing the next day – but he didn’t tell City Administrator or City Attorney. The firefighter told him it was simply about getting new legal counsel. The June 23, </w:t>
      </w:r>
      <w:proofErr w:type="gramStart"/>
      <w:r w:rsidRPr="000174EF">
        <w:rPr>
          <w:rFonts w:ascii="Times New Roman" w:hAnsi="Times New Roman"/>
          <w:sz w:val="24"/>
          <w:szCs w:val="24"/>
        </w:rPr>
        <w:t>2022</w:t>
      </w:r>
      <w:proofErr w:type="gramEnd"/>
      <w:r w:rsidRPr="000174EF">
        <w:rPr>
          <w:rFonts w:ascii="Times New Roman" w:hAnsi="Times New Roman"/>
          <w:sz w:val="24"/>
          <w:szCs w:val="24"/>
        </w:rPr>
        <w:t xml:space="preserve"> hearing was </w:t>
      </w:r>
      <w:proofErr w:type="gramStart"/>
      <w:r w:rsidRPr="000174EF">
        <w:rPr>
          <w:rFonts w:ascii="Times New Roman" w:hAnsi="Times New Roman"/>
          <w:sz w:val="24"/>
          <w:szCs w:val="24"/>
        </w:rPr>
        <w:t>actually about</w:t>
      </w:r>
      <w:proofErr w:type="gramEnd"/>
      <w:r w:rsidRPr="000174EF">
        <w:rPr>
          <w:rFonts w:ascii="Times New Roman" w:hAnsi="Times New Roman"/>
          <w:sz w:val="24"/>
          <w:szCs w:val="24"/>
        </w:rPr>
        <w:t xml:space="preserve"> County Prosecutor seeking to revoke probation because the firefighter had “visited adult sexually oriented websites on his phone.”  At the conclusion of the hearing the Chief was “shocked” when judge revoked the firefighter’s probation and ordered him into custody to serve three months (270 days) in prison.  The firefighter resigned that day.  The Fire Chief didn’t inform City </w:t>
      </w:r>
      <w:proofErr w:type="gramStart"/>
      <w:r w:rsidRPr="000174EF">
        <w:rPr>
          <w:rFonts w:ascii="Times New Roman" w:hAnsi="Times New Roman"/>
          <w:sz w:val="24"/>
          <w:szCs w:val="24"/>
        </w:rPr>
        <w:t>Administrator</w:t>
      </w:r>
      <w:proofErr w:type="gramEnd"/>
      <w:r w:rsidRPr="000174EF">
        <w:rPr>
          <w:rFonts w:ascii="Times New Roman" w:hAnsi="Times New Roman"/>
          <w:sz w:val="24"/>
          <w:szCs w:val="24"/>
        </w:rPr>
        <w:t xml:space="preserve"> didn’t immediately inform the City Administrator about the hearing results or the resignation; he waited until the following afternoon.  THE COURT HELD: “The issue here is whether Hamilton has stated a claim that he was fired in retaliation for protected First Amendment activity. We find that he has not, so we AFFIRM the decision of the district court.”</w:t>
      </w:r>
    </w:p>
    <w:p w14:paraId="29885B5E" w14:textId="4D927D67" w:rsidR="004160C7" w:rsidRPr="000174EF" w:rsidRDefault="00910AD4" w:rsidP="00A359DC">
      <w:pPr>
        <w:pStyle w:val="NoSpacing"/>
        <w:rPr>
          <w:rFonts w:ascii="Times New Roman" w:hAnsi="Times New Roman"/>
          <w:sz w:val="24"/>
          <w:szCs w:val="24"/>
        </w:rPr>
      </w:pPr>
      <w:hyperlink r:id="rId2471" w:history="1">
        <w:r w:rsidRPr="000174EF">
          <w:rPr>
            <w:rStyle w:val="Hyperlink"/>
            <w:rFonts w:ascii="Times New Roman" w:hAnsi="Times New Roman"/>
            <w:sz w:val="24"/>
            <w:szCs w:val="24"/>
          </w:rPr>
          <w:t>https://www.ca5.uscourts.gov/opinions/pub/23/23-10881-CV0.pdf</w:t>
        </w:r>
      </w:hyperlink>
    </w:p>
    <w:p w14:paraId="514F0559" w14:textId="77777777" w:rsidR="00635D7C" w:rsidRPr="000174EF" w:rsidRDefault="00635D7C" w:rsidP="00CF19EA">
      <w:pPr>
        <w:pStyle w:val="NoSpacing"/>
        <w:rPr>
          <w:rFonts w:ascii="Times New Roman" w:hAnsi="Times New Roman"/>
          <w:sz w:val="24"/>
          <w:szCs w:val="24"/>
        </w:rPr>
      </w:pPr>
    </w:p>
    <w:p w14:paraId="1CDF3564" w14:textId="77777777" w:rsidR="000174EF" w:rsidRPr="000174EF" w:rsidRDefault="000174EF" w:rsidP="000174EF">
      <w:pPr>
        <w:pStyle w:val="NoSpacing"/>
        <w:rPr>
          <w:rFonts w:ascii="Times New Roman" w:hAnsi="Times New Roman"/>
          <w:sz w:val="24"/>
          <w:szCs w:val="24"/>
        </w:rPr>
      </w:pPr>
      <w:r w:rsidRPr="000174EF">
        <w:rPr>
          <w:rFonts w:ascii="Times New Roman" w:hAnsi="Times New Roman"/>
          <w:b/>
          <w:sz w:val="24"/>
          <w:szCs w:val="24"/>
        </w:rPr>
        <w:t xml:space="preserve">Legal lesson learned: If subpoenaed to testify about a firefighter in a criminal </w:t>
      </w:r>
      <w:r w:rsidRPr="000174EF">
        <w:rPr>
          <w:rFonts w:ascii="Times New Roman" w:hAnsi="Times New Roman"/>
          <w:b/>
          <w:bCs/>
          <w:sz w:val="24"/>
          <w:szCs w:val="24"/>
        </w:rPr>
        <w:t xml:space="preserve">or other court </w:t>
      </w:r>
      <w:r w:rsidRPr="000174EF">
        <w:rPr>
          <w:rFonts w:ascii="Times New Roman" w:hAnsi="Times New Roman"/>
          <w:b/>
          <w:sz w:val="24"/>
          <w:szCs w:val="24"/>
        </w:rPr>
        <w:t xml:space="preserve">proceeding, inform </w:t>
      </w:r>
      <w:r w:rsidRPr="000174EF">
        <w:rPr>
          <w:rFonts w:ascii="Times New Roman" w:hAnsi="Times New Roman"/>
          <w:b/>
          <w:bCs/>
          <w:sz w:val="24"/>
          <w:szCs w:val="24"/>
        </w:rPr>
        <w:t xml:space="preserve">Manager and </w:t>
      </w:r>
      <w:r w:rsidRPr="000174EF">
        <w:rPr>
          <w:rFonts w:ascii="Times New Roman" w:hAnsi="Times New Roman"/>
          <w:b/>
          <w:sz w:val="24"/>
          <w:szCs w:val="24"/>
        </w:rPr>
        <w:t xml:space="preserve">Legal Counsel and follow their advice.  </w:t>
      </w:r>
    </w:p>
    <w:p w14:paraId="0DDE1BDA" w14:textId="77777777" w:rsidR="000174EF" w:rsidRPr="000174EF" w:rsidRDefault="000174EF" w:rsidP="00CF19EA">
      <w:pPr>
        <w:pStyle w:val="NoSpacing"/>
        <w:rPr>
          <w:rFonts w:ascii="Times New Roman" w:hAnsi="Times New Roman"/>
          <w:sz w:val="24"/>
          <w:szCs w:val="24"/>
        </w:rPr>
      </w:pPr>
    </w:p>
    <w:p w14:paraId="3E3F347F" w14:textId="77777777" w:rsidR="00635D7C" w:rsidRDefault="00635D7C" w:rsidP="00CF19EA">
      <w:pPr>
        <w:pStyle w:val="NoSpacing"/>
        <w:rPr>
          <w:rFonts w:ascii="Arial Black" w:hAnsi="Arial Black"/>
          <w:sz w:val="28"/>
          <w:szCs w:val="28"/>
        </w:rPr>
      </w:pPr>
    </w:p>
    <w:p w14:paraId="29782655" w14:textId="3B2A3EE3" w:rsidR="00FB04CF" w:rsidRDefault="00FB04CF" w:rsidP="00FB04CF">
      <w:pPr>
        <w:pStyle w:val="NoSpacing"/>
        <w:rPr>
          <w:rFonts w:ascii="Arial Black" w:hAnsi="Arial Black"/>
          <w:sz w:val="24"/>
          <w:szCs w:val="24"/>
        </w:rPr>
      </w:pPr>
      <w:r>
        <w:rPr>
          <w:rFonts w:ascii="Arial Black" w:hAnsi="Arial Black"/>
          <w:sz w:val="24"/>
          <w:szCs w:val="24"/>
        </w:rPr>
        <w:t>16-125</w:t>
      </w:r>
    </w:p>
    <w:p w14:paraId="014AB115" w14:textId="77777777" w:rsidR="00FB04CF" w:rsidRDefault="00FB04CF" w:rsidP="00E631C5">
      <w:pPr>
        <w:pStyle w:val="NoSpacing"/>
        <w:rPr>
          <w:rFonts w:ascii="Arial Black" w:hAnsi="Arial Black"/>
          <w:sz w:val="28"/>
          <w:szCs w:val="28"/>
        </w:rPr>
      </w:pPr>
    </w:p>
    <w:p w14:paraId="2539C951" w14:textId="0F9A3CFE" w:rsidR="00E631C5" w:rsidRDefault="00E631C5" w:rsidP="00E631C5">
      <w:pPr>
        <w:pStyle w:val="NoSpacing"/>
        <w:rPr>
          <w:rFonts w:ascii="Arial Black" w:hAnsi="Arial Black"/>
          <w:sz w:val="28"/>
          <w:szCs w:val="28"/>
        </w:rPr>
      </w:pPr>
      <w:r>
        <w:rPr>
          <w:rFonts w:ascii="Arial Black" w:hAnsi="Arial Black"/>
          <w:sz w:val="28"/>
          <w:szCs w:val="28"/>
        </w:rPr>
        <w:t xml:space="preserve">NJ: EMS CHIEF / OFFICE ROMANCE </w:t>
      </w:r>
      <w:r w:rsidR="009B1B97">
        <w:rPr>
          <w:rFonts w:ascii="Arial Black" w:hAnsi="Arial Black"/>
          <w:sz w:val="28"/>
          <w:szCs w:val="28"/>
        </w:rPr>
        <w:t xml:space="preserve">WITH </w:t>
      </w:r>
      <w:r>
        <w:rPr>
          <w:rFonts w:ascii="Arial Black" w:hAnsi="Arial Black"/>
          <w:sz w:val="28"/>
          <w:szCs w:val="28"/>
        </w:rPr>
        <w:t>SUBORDINATE – FIRED</w:t>
      </w:r>
    </w:p>
    <w:p w14:paraId="447C31A6" w14:textId="77777777" w:rsidR="009B1B97" w:rsidRPr="00FB04CF" w:rsidRDefault="009B1B97" w:rsidP="009B1B97">
      <w:pPr>
        <w:pStyle w:val="NoSpacing"/>
        <w:rPr>
          <w:rFonts w:ascii="Times New Roman" w:hAnsi="Times New Roman"/>
          <w:sz w:val="24"/>
          <w:szCs w:val="24"/>
        </w:rPr>
      </w:pPr>
      <w:hyperlink r:id="rId2472" w:history="1">
        <w:r w:rsidRPr="00FB04CF">
          <w:rPr>
            <w:rStyle w:val="Hyperlink"/>
            <w:rFonts w:ascii="Times New Roman" w:hAnsi="Times New Roman"/>
            <w:sz w:val="24"/>
            <w:szCs w:val="24"/>
          </w:rPr>
          <w:t>https://www.njcourts.gov/system/files/court-opinions/2025/a1587-23.pdf</w:t>
        </w:r>
      </w:hyperlink>
      <w:r w:rsidRPr="00FB04CF">
        <w:rPr>
          <w:rFonts w:ascii="Times New Roman" w:hAnsi="Times New Roman"/>
          <w:sz w:val="24"/>
          <w:szCs w:val="24"/>
        </w:rPr>
        <w:t xml:space="preserve"> </w:t>
      </w:r>
    </w:p>
    <w:p w14:paraId="65FD60EC" w14:textId="77777777" w:rsidR="009B1B97" w:rsidRDefault="009B1B97" w:rsidP="00E631C5">
      <w:pPr>
        <w:pStyle w:val="NoSpacing"/>
        <w:rPr>
          <w:rFonts w:ascii="Arial Black" w:hAnsi="Arial Black"/>
          <w:sz w:val="28"/>
          <w:szCs w:val="28"/>
        </w:rPr>
      </w:pPr>
    </w:p>
    <w:p w14:paraId="34ECEAE3" w14:textId="77777777" w:rsidR="00E631C5" w:rsidRPr="00FB04CF" w:rsidRDefault="00E631C5" w:rsidP="00E631C5">
      <w:pPr>
        <w:pStyle w:val="NoSpacing"/>
        <w:rPr>
          <w:rFonts w:ascii="Times New Roman" w:hAnsi="Times New Roman"/>
          <w:sz w:val="24"/>
          <w:szCs w:val="24"/>
        </w:rPr>
      </w:pPr>
      <w:r w:rsidRPr="00FB04CF">
        <w:rPr>
          <w:rFonts w:ascii="Times New Roman" w:hAnsi="Times New Roman"/>
          <w:sz w:val="24"/>
          <w:szCs w:val="24"/>
        </w:rPr>
        <w:t xml:space="preserve">On May 20, 2025, </w:t>
      </w:r>
      <w:r w:rsidRPr="00FB04CF">
        <w:rPr>
          <w:rFonts w:ascii="Times New Roman" w:hAnsi="Times New Roman"/>
          <w:sz w:val="24"/>
          <w:szCs w:val="24"/>
          <w:u w:val="single"/>
        </w:rPr>
        <w:t xml:space="preserve">In </w:t>
      </w:r>
      <w:proofErr w:type="gramStart"/>
      <w:r w:rsidRPr="00FB04CF">
        <w:rPr>
          <w:rFonts w:ascii="Times New Roman" w:hAnsi="Times New Roman"/>
          <w:sz w:val="24"/>
          <w:szCs w:val="24"/>
          <w:u w:val="single"/>
        </w:rPr>
        <w:t>The</w:t>
      </w:r>
      <w:proofErr w:type="gramEnd"/>
      <w:r w:rsidRPr="00FB04CF">
        <w:rPr>
          <w:rFonts w:ascii="Times New Roman" w:hAnsi="Times New Roman"/>
          <w:sz w:val="24"/>
          <w:szCs w:val="24"/>
          <w:u w:val="single"/>
        </w:rPr>
        <w:t xml:space="preserve"> Matter </w:t>
      </w:r>
      <w:proofErr w:type="gramStart"/>
      <w:r w:rsidRPr="00FB04CF">
        <w:rPr>
          <w:rFonts w:ascii="Times New Roman" w:hAnsi="Times New Roman"/>
          <w:sz w:val="24"/>
          <w:szCs w:val="24"/>
          <w:u w:val="single"/>
        </w:rPr>
        <w:t>Of</w:t>
      </w:r>
      <w:proofErr w:type="gramEnd"/>
      <w:r w:rsidRPr="00FB04CF">
        <w:rPr>
          <w:rFonts w:ascii="Times New Roman" w:hAnsi="Times New Roman"/>
          <w:sz w:val="24"/>
          <w:szCs w:val="24"/>
          <w:u w:val="single"/>
        </w:rPr>
        <w:t xml:space="preserve"> Michelle Sampson. Upper Township, Department of Recreation and Public Health</w:t>
      </w:r>
      <w:r w:rsidRPr="00FB04CF">
        <w:rPr>
          <w:rFonts w:ascii="Times New Roman" w:hAnsi="Times New Roman"/>
          <w:sz w:val="24"/>
          <w:szCs w:val="24"/>
        </w:rPr>
        <w:t xml:space="preserve">, the Superior Court of New Jersey, Appellate Division, held (2 to 0; unpublished decision) that the New Jersey Civil Service Commission on December 20, </w:t>
      </w:r>
      <w:proofErr w:type="gramStart"/>
      <w:r w:rsidRPr="00FB04CF">
        <w:rPr>
          <w:rFonts w:ascii="Times New Roman" w:hAnsi="Times New Roman"/>
          <w:sz w:val="24"/>
          <w:szCs w:val="24"/>
        </w:rPr>
        <w:t>2023</w:t>
      </w:r>
      <w:proofErr w:type="gramEnd"/>
      <w:r w:rsidRPr="00FB04CF">
        <w:rPr>
          <w:rFonts w:ascii="Times New Roman" w:hAnsi="Times New Roman"/>
          <w:sz w:val="24"/>
          <w:szCs w:val="24"/>
        </w:rPr>
        <w:t xml:space="preserve"> properly upheld Township’s firing M. Sampson for repeatedly violating the Dating Policy.  Petitioner and [her boyfriend] J.H. were engaged in a romantic relationship that began and ended in 2007 while both were co-employees. In 2016, petitioner and J.H., both married to others, rekindled their romantic relationship and began an extra-marital affair and never reported this to the Township. THE COURT HELD: “Petitioner should have disclosed the conflict or abstained from taking part in the hiring process once M.H. [wife of J.H.] was a candidate. As such, the Agency's final decision was not arbitrary and capricious.”  </w:t>
      </w:r>
    </w:p>
    <w:p w14:paraId="7FFBE4B9" w14:textId="77777777" w:rsidR="00E631C5" w:rsidRPr="00FB04CF" w:rsidRDefault="00E631C5" w:rsidP="00E631C5">
      <w:pPr>
        <w:pStyle w:val="NoSpacing"/>
        <w:rPr>
          <w:rFonts w:ascii="Times New Roman" w:hAnsi="Times New Roman"/>
          <w:sz w:val="24"/>
          <w:szCs w:val="24"/>
        </w:rPr>
      </w:pPr>
      <w:hyperlink r:id="rId2473" w:history="1">
        <w:r w:rsidRPr="00FB04CF">
          <w:rPr>
            <w:rStyle w:val="Hyperlink"/>
            <w:rFonts w:ascii="Times New Roman" w:hAnsi="Times New Roman"/>
            <w:sz w:val="24"/>
            <w:szCs w:val="24"/>
          </w:rPr>
          <w:t>https://www.njcourts.gov/system/files/court-opinions/2025/a1587-23.pdf</w:t>
        </w:r>
      </w:hyperlink>
      <w:r w:rsidRPr="00FB04CF">
        <w:rPr>
          <w:rFonts w:ascii="Times New Roman" w:hAnsi="Times New Roman"/>
          <w:sz w:val="24"/>
          <w:szCs w:val="24"/>
        </w:rPr>
        <w:t xml:space="preserve"> </w:t>
      </w:r>
    </w:p>
    <w:p w14:paraId="7D827A60" w14:textId="77777777" w:rsidR="00E631C5" w:rsidRPr="00FB04CF" w:rsidRDefault="00E631C5" w:rsidP="00E631C5">
      <w:pPr>
        <w:pStyle w:val="NoSpacing"/>
        <w:rPr>
          <w:rFonts w:ascii="Times New Roman" w:hAnsi="Times New Roman"/>
          <w:sz w:val="24"/>
          <w:szCs w:val="24"/>
        </w:rPr>
      </w:pPr>
    </w:p>
    <w:p w14:paraId="257DBC9E" w14:textId="77777777" w:rsidR="00FB04CF" w:rsidRPr="00FB04CF" w:rsidRDefault="00FB04CF" w:rsidP="00FB04CF">
      <w:pPr>
        <w:pStyle w:val="NoSpacing"/>
        <w:rPr>
          <w:rFonts w:ascii="Times New Roman" w:hAnsi="Times New Roman"/>
          <w:b/>
          <w:bCs/>
          <w:sz w:val="24"/>
          <w:szCs w:val="24"/>
        </w:rPr>
      </w:pPr>
      <w:r w:rsidRPr="00FB04CF">
        <w:rPr>
          <w:rFonts w:ascii="Times New Roman" w:hAnsi="Times New Roman"/>
          <w:b/>
          <w:sz w:val="24"/>
          <w:szCs w:val="24"/>
        </w:rPr>
        <w:t>Legal lesson learned:  A “Dating Policy” requiring supervisors to report dating of subordinates is an excellent management tool.</w:t>
      </w:r>
    </w:p>
    <w:p w14:paraId="63B9D170" w14:textId="77777777" w:rsidR="00FB04CF" w:rsidRPr="00FB04CF" w:rsidRDefault="00FB04CF" w:rsidP="00FB04CF">
      <w:pPr>
        <w:pStyle w:val="NoSpacing"/>
        <w:rPr>
          <w:rFonts w:ascii="Times New Roman" w:hAnsi="Times New Roman"/>
          <w:sz w:val="24"/>
          <w:szCs w:val="24"/>
        </w:rPr>
      </w:pPr>
    </w:p>
    <w:p w14:paraId="45D2239A" w14:textId="77777777" w:rsidR="00E631C5" w:rsidRDefault="00E631C5" w:rsidP="00CF19EA">
      <w:pPr>
        <w:pStyle w:val="NoSpacing"/>
        <w:rPr>
          <w:rFonts w:ascii="Arial Black" w:hAnsi="Arial Black"/>
          <w:sz w:val="28"/>
          <w:szCs w:val="28"/>
        </w:rPr>
      </w:pPr>
    </w:p>
    <w:p w14:paraId="5ACCE129" w14:textId="4DFC0E5F" w:rsidR="00FB04CF" w:rsidRDefault="00FB04CF" w:rsidP="00FB04CF">
      <w:pPr>
        <w:pStyle w:val="NoSpacing"/>
        <w:rPr>
          <w:rFonts w:ascii="Arial Black" w:hAnsi="Arial Black"/>
          <w:sz w:val="24"/>
          <w:szCs w:val="24"/>
        </w:rPr>
      </w:pPr>
      <w:r>
        <w:rPr>
          <w:rFonts w:ascii="Arial Black" w:hAnsi="Arial Black"/>
          <w:sz w:val="24"/>
          <w:szCs w:val="24"/>
        </w:rPr>
        <w:t>16-124</w:t>
      </w:r>
    </w:p>
    <w:p w14:paraId="5FFDFBE5" w14:textId="77777777" w:rsidR="00E631C5" w:rsidRDefault="00E631C5" w:rsidP="00CF19EA">
      <w:pPr>
        <w:pStyle w:val="NoSpacing"/>
        <w:rPr>
          <w:rFonts w:ascii="Arial Black" w:hAnsi="Arial Black"/>
          <w:sz w:val="28"/>
          <w:szCs w:val="28"/>
        </w:rPr>
      </w:pPr>
    </w:p>
    <w:p w14:paraId="1D187F3B" w14:textId="19CDB21F" w:rsidR="00CF19EA" w:rsidRPr="006F2B87" w:rsidRDefault="00CF19EA" w:rsidP="00CF19EA">
      <w:pPr>
        <w:pStyle w:val="NoSpacing"/>
        <w:rPr>
          <w:rFonts w:ascii="Arial Black" w:hAnsi="Arial Black"/>
          <w:sz w:val="28"/>
          <w:szCs w:val="28"/>
        </w:rPr>
      </w:pPr>
      <w:r w:rsidRPr="006F2B87">
        <w:rPr>
          <w:rFonts w:ascii="Arial Black" w:hAnsi="Arial Black"/>
          <w:sz w:val="28"/>
          <w:szCs w:val="28"/>
        </w:rPr>
        <w:t>OR:  FF FIRED – MISUSE SICK LEAVE – GPS TRACKER</w:t>
      </w:r>
      <w:r>
        <w:rPr>
          <w:rFonts w:ascii="Arial Black" w:hAnsi="Arial Black"/>
          <w:sz w:val="28"/>
          <w:szCs w:val="28"/>
        </w:rPr>
        <w:t xml:space="preserve"> / CELL</w:t>
      </w:r>
    </w:p>
    <w:p w14:paraId="4FD5B1F4" w14:textId="77777777" w:rsidR="00CF19EA" w:rsidRPr="006F2B87" w:rsidRDefault="00CF19EA" w:rsidP="00CF19EA">
      <w:pPr>
        <w:pStyle w:val="NoSpacing"/>
      </w:pPr>
    </w:p>
    <w:p w14:paraId="5418CE55" w14:textId="77777777" w:rsidR="00CF19EA" w:rsidRPr="00CF19EA" w:rsidRDefault="00CF19EA" w:rsidP="00CF19EA">
      <w:pPr>
        <w:pStyle w:val="NoSpacing"/>
        <w:rPr>
          <w:rFonts w:ascii="Times New Roman" w:hAnsi="Times New Roman"/>
          <w:sz w:val="24"/>
          <w:szCs w:val="24"/>
        </w:rPr>
      </w:pPr>
      <w:r w:rsidRPr="00CF19EA">
        <w:rPr>
          <w:rFonts w:ascii="Times New Roman" w:hAnsi="Times New Roman"/>
          <w:sz w:val="24"/>
          <w:szCs w:val="24"/>
        </w:rPr>
        <w:t xml:space="preserve">On May 2, 2025, in </w:t>
      </w:r>
      <w:r w:rsidRPr="00CF19EA">
        <w:rPr>
          <w:rFonts w:ascii="Times New Roman" w:hAnsi="Times New Roman"/>
          <w:sz w:val="24"/>
          <w:szCs w:val="24"/>
          <w:u w:val="single"/>
        </w:rPr>
        <w:t>Zachary Taylor v. Sweet Home Fire &amp; Ambulance District; Mark Nicholas Tyler et al</w:t>
      </w:r>
      <w:r w:rsidRPr="00CF19EA">
        <w:rPr>
          <w:rFonts w:ascii="Times New Roman" w:hAnsi="Times New Roman"/>
          <w:sz w:val="24"/>
          <w:szCs w:val="24"/>
        </w:rPr>
        <w:t xml:space="preserve">., U.S. District Court Judge Mustafa T. </w:t>
      </w:r>
      <w:proofErr w:type="spellStart"/>
      <w:r w:rsidRPr="00CF19EA">
        <w:rPr>
          <w:rFonts w:ascii="Times New Roman" w:hAnsi="Times New Roman"/>
          <w:sz w:val="24"/>
          <w:szCs w:val="24"/>
        </w:rPr>
        <w:t>Kasubhai</w:t>
      </w:r>
      <w:proofErr w:type="spellEnd"/>
      <w:r w:rsidRPr="00CF19EA">
        <w:rPr>
          <w:rFonts w:ascii="Times New Roman" w:hAnsi="Times New Roman"/>
          <w:sz w:val="24"/>
          <w:szCs w:val="24"/>
        </w:rPr>
        <w:t>, United States District Court for the District of Oregon, held that the plaintiff, who was fired on March 29, 2023 for misuse of sick time may proceed with claim that Fire Chief tracked his location using GPS on his personal cell phone.  Plaintiff is pro se (no attorney) and six claims were dismissed, but 4</w:t>
      </w:r>
      <w:r w:rsidRPr="00CF19EA">
        <w:rPr>
          <w:rFonts w:ascii="Times New Roman" w:hAnsi="Times New Roman"/>
          <w:sz w:val="24"/>
          <w:szCs w:val="24"/>
          <w:vertAlign w:val="superscript"/>
        </w:rPr>
        <w:t>th</w:t>
      </w:r>
      <w:r w:rsidRPr="00CF19EA">
        <w:rPr>
          <w:rFonts w:ascii="Times New Roman" w:hAnsi="Times New Roman"/>
          <w:sz w:val="24"/>
          <w:szCs w:val="24"/>
        </w:rPr>
        <w:t xml:space="preserve"> Amendment claim and claim he was denied Civil Service hearing may proceed with pre-trial discovery.  </w:t>
      </w:r>
    </w:p>
    <w:p w14:paraId="56B073E9" w14:textId="77777777" w:rsidR="00CF19EA" w:rsidRPr="00CF19EA" w:rsidRDefault="00CF19EA" w:rsidP="00CF19EA">
      <w:pPr>
        <w:pStyle w:val="NoSpacing"/>
        <w:rPr>
          <w:rFonts w:ascii="Times New Roman" w:hAnsi="Times New Roman"/>
          <w:sz w:val="24"/>
          <w:szCs w:val="24"/>
        </w:rPr>
      </w:pPr>
    </w:p>
    <w:p w14:paraId="5A7DDF2B" w14:textId="4A5B941A" w:rsidR="007B4499" w:rsidRPr="00CF19EA" w:rsidRDefault="00CF19EA" w:rsidP="00CF19EA">
      <w:pPr>
        <w:pStyle w:val="NoSpacing"/>
        <w:rPr>
          <w:rFonts w:ascii="Times New Roman" w:hAnsi="Times New Roman"/>
          <w:sz w:val="24"/>
          <w:szCs w:val="24"/>
        </w:rPr>
      </w:pPr>
      <w:r w:rsidRPr="00CF19EA">
        <w:rPr>
          <w:rFonts w:ascii="Times New Roman" w:hAnsi="Times New Roman"/>
          <w:sz w:val="24"/>
          <w:szCs w:val="24"/>
        </w:rPr>
        <w:t xml:space="preserve">The Court wrote: “Third Claim - Unreasonable Search and Seizure. Plaintiff's Third Claim is a § 1983 claim alleging that Barringer violated Plaintiff's Fourth Amendment rights by using a first responder application installed on Plaintiff's phone to track Plaintiff's location for a non-emergency response purpose. FAC [First Amended Complaint] ¶ 175. Plaintiff alleges that on April 18, 2022, he called in sick to work because he was nervous about Barringer being there. FAC ¶ 71-72. Barringer became immediately suspicious that Plaintiff was abusing his use of sick time. FAC ¶ 72. Barringer located Plaintiff using the first responder application installed on Plaintiff's phone and drove twenty-two miles from work to spy on Plaintiff. FAC ¶ 72. Plaintiff was then placed on administrative leave pending a fit for duty evaluation. FAC ¶ 175. *** The remainder of Plaintiff's FAC relates to an investigation that took place from May 2022 to March 2023 regarding Plaintiff's alleged misuse of sick leave. </w:t>
      </w:r>
      <w:r w:rsidRPr="00CF19EA">
        <w:rPr>
          <w:rFonts w:ascii="Times New Roman" w:hAnsi="Times New Roman"/>
          <w:i/>
          <w:iCs/>
          <w:sz w:val="24"/>
          <w:szCs w:val="24"/>
        </w:rPr>
        <w:t>Id</w:t>
      </w:r>
      <w:r w:rsidRPr="00CF19EA">
        <w:rPr>
          <w:rFonts w:ascii="Times New Roman" w:hAnsi="Times New Roman"/>
          <w:sz w:val="24"/>
          <w:szCs w:val="24"/>
        </w:rPr>
        <w:t xml:space="preserve">. ¶¶ 70-133. Plaintiff was placed on administrative leave for eleven </w:t>
      </w:r>
      <w:proofErr w:type="gramStart"/>
      <w:r w:rsidRPr="00CF19EA">
        <w:rPr>
          <w:rFonts w:ascii="Times New Roman" w:hAnsi="Times New Roman"/>
          <w:sz w:val="24"/>
          <w:szCs w:val="24"/>
        </w:rPr>
        <w:t>months, and</w:t>
      </w:r>
      <w:proofErr w:type="gramEnd"/>
      <w:r w:rsidRPr="00CF19EA">
        <w:rPr>
          <w:rFonts w:ascii="Times New Roman" w:hAnsi="Times New Roman"/>
          <w:sz w:val="24"/>
          <w:szCs w:val="24"/>
        </w:rPr>
        <w:t xml:space="preserve"> ultimately terminated from his position on March 29, 2023. </w:t>
      </w:r>
      <w:r w:rsidRPr="00CF19EA">
        <w:rPr>
          <w:rFonts w:ascii="Times New Roman" w:hAnsi="Times New Roman"/>
          <w:i/>
          <w:iCs/>
          <w:sz w:val="24"/>
          <w:szCs w:val="24"/>
        </w:rPr>
        <w:t>Id.</w:t>
      </w:r>
      <w:r w:rsidRPr="00CF19EA">
        <w:rPr>
          <w:rFonts w:ascii="Times New Roman" w:hAnsi="Times New Roman"/>
          <w:sz w:val="24"/>
          <w:szCs w:val="24"/>
        </w:rPr>
        <w:t xml:space="preserve"> ¶¶ 43, 72, 131, 145. *** The underlying conduct giving rise to Plaintiff's Third Claim occurred within the two-year statute of limitations. Defendants did not move to dismiss this claim against Barringer on substantive </w:t>
      </w:r>
      <w:proofErr w:type="gramStart"/>
      <w:r w:rsidRPr="00CF19EA">
        <w:rPr>
          <w:rFonts w:ascii="Times New Roman" w:hAnsi="Times New Roman"/>
          <w:sz w:val="24"/>
          <w:szCs w:val="24"/>
        </w:rPr>
        <w:t>grounds.”</w:t>
      </w:r>
      <w:proofErr w:type="gramEnd"/>
      <w:r w:rsidRPr="00CF19EA">
        <w:rPr>
          <w:rFonts w:ascii="Times New Roman" w:hAnsi="Times New Roman"/>
          <w:sz w:val="24"/>
          <w:szCs w:val="24"/>
        </w:rPr>
        <w:t xml:space="preserve">  </w:t>
      </w:r>
      <w:hyperlink r:id="rId2474" w:history="1">
        <w:r w:rsidRPr="00CF19EA">
          <w:rPr>
            <w:rStyle w:val="Hyperlink"/>
            <w:rFonts w:ascii="Times New Roman" w:hAnsi="Times New Roman"/>
            <w:sz w:val="24"/>
            <w:szCs w:val="24"/>
          </w:rPr>
          <w:t>https://public.fastcase.com/jaEE2PXzRXmZ99jOLMt1Im1keUzBtfiIHvEUrgtpCe4tsCgV6NtJX3IH6wzppmaYdMf24%2B5puOWV6%2FBXnYGObJXUVli9SMl09cYxEMCDiBI%3D?utm_medium=email&amp;_hsenc=p2ANqtz-_d7OiIN91ZAk7Y1LfM1ALZw-U0OSyNxgKb6pVH2Z92AnZk8gKeX6P0Vdjf87FJH4FQPvAXMckV1s5VI4fjARMOTrnriQ&amp;_hsmi=226712652&amp;utm_content=226712652&amp;utm_source=hs_email</w:t>
        </w:r>
      </w:hyperlink>
    </w:p>
    <w:p w14:paraId="47192970" w14:textId="77777777" w:rsidR="009701FE" w:rsidRDefault="009701FE" w:rsidP="00F91F9F">
      <w:pPr>
        <w:pStyle w:val="NoSpacing"/>
        <w:rPr>
          <w:rFonts w:ascii="Arial Black" w:hAnsi="Arial Black"/>
          <w:sz w:val="24"/>
          <w:szCs w:val="24"/>
        </w:rPr>
      </w:pPr>
    </w:p>
    <w:p w14:paraId="2446681C" w14:textId="77777777" w:rsidR="0020461D" w:rsidRPr="001F3D0F" w:rsidRDefault="0020461D" w:rsidP="0020461D">
      <w:pPr>
        <w:pStyle w:val="NoSpacing"/>
        <w:rPr>
          <w:rFonts w:ascii="Times New Roman" w:hAnsi="Times New Roman"/>
          <w:b/>
          <w:bCs/>
          <w:sz w:val="24"/>
          <w:szCs w:val="24"/>
        </w:rPr>
      </w:pPr>
      <w:r w:rsidRPr="001F3D0F">
        <w:rPr>
          <w:rFonts w:ascii="Times New Roman" w:hAnsi="Times New Roman"/>
          <w:b/>
          <w:sz w:val="24"/>
          <w:szCs w:val="24"/>
        </w:rPr>
        <w:t xml:space="preserve">Legal Lesson Learned: Case will now proceed to pre-trial discovery.  If </w:t>
      </w:r>
      <w:r w:rsidRPr="001F3D0F">
        <w:rPr>
          <w:rFonts w:ascii="Times New Roman" w:hAnsi="Times New Roman"/>
          <w:b/>
          <w:bCs/>
          <w:sz w:val="24"/>
          <w:szCs w:val="24"/>
        </w:rPr>
        <w:t>F</w:t>
      </w:r>
      <w:r w:rsidRPr="001F3D0F">
        <w:rPr>
          <w:rFonts w:ascii="Times New Roman" w:hAnsi="Times New Roman"/>
          <w:b/>
          <w:sz w:val="24"/>
          <w:szCs w:val="24"/>
        </w:rPr>
        <w:t xml:space="preserve">ire </w:t>
      </w:r>
      <w:r w:rsidRPr="001F3D0F">
        <w:rPr>
          <w:rFonts w:ascii="Times New Roman" w:hAnsi="Times New Roman"/>
          <w:b/>
          <w:bCs/>
          <w:sz w:val="24"/>
          <w:szCs w:val="24"/>
        </w:rPr>
        <w:t xml:space="preserve">or EMS </w:t>
      </w:r>
      <w:r w:rsidRPr="001F3D0F">
        <w:rPr>
          <w:rFonts w:ascii="Times New Roman" w:hAnsi="Times New Roman"/>
          <w:b/>
          <w:sz w:val="24"/>
          <w:szCs w:val="24"/>
        </w:rPr>
        <w:t xml:space="preserve">department requires personnel to have a GPS locator on their personal cell, consult with legal counsel about laws in your state on requiring personnel to sign a written consent. </w:t>
      </w:r>
    </w:p>
    <w:p w14:paraId="3C14BA89" w14:textId="77777777" w:rsidR="0020461D" w:rsidRPr="001F3D0F" w:rsidRDefault="0020461D" w:rsidP="0020461D">
      <w:pPr>
        <w:pStyle w:val="NoSpacing"/>
        <w:rPr>
          <w:rFonts w:ascii="Times New Roman" w:hAnsi="Times New Roman"/>
          <w:b/>
          <w:bCs/>
          <w:sz w:val="24"/>
          <w:szCs w:val="24"/>
        </w:rPr>
      </w:pPr>
    </w:p>
    <w:p w14:paraId="0244F4BD" w14:textId="77777777" w:rsidR="0020461D" w:rsidRPr="001F3D0F" w:rsidRDefault="0020461D" w:rsidP="0020461D">
      <w:pPr>
        <w:pStyle w:val="NoSpacing"/>
        <w:ind w:left="720"/>
        <w:rPr>
          <w:rFonts w:ascii="Times New Roman" w:hAnsi="Times New Roman"/>
          <w:sz w:val="24"/>
          <w:szCs w:val="24"/>
        </w:rPr>
      </w:pPr>
      <w:r w:rsidRPr="001F3D0F">
        <w:rPr>
          <w:rFonts w:ascii="Times New Roman" w:hAnsi="Times New Roman"/>
          <w:sz w:val="24"/>
          <w:szCs w:val="24"/>
        </w:rPr>
        <w:t xml:space="preserve">Note: See this article: “Stay Compliant: Employee GPS Tracking Laws by State.” </w:t>
      </w:r>
      <w:hyperlink r:id="rId2475" w:history="1">
        <w:r w:rsidRPr="001F3D0F">
          <w:rPr>
            <w:rStyle w:val="Hyperlink"/>
            <w:rFonts w:ascii="Times New Roman" w:hAnsi="Times New Roman"/>
            <w:sz w:val="24"/>
            <w:szCs w:val="24"/>
          </w:rPr>
          <w:t>https://timeero.com/resources-page/employee-gps-tracking-laws</w:t>
        </w:r>
      </w:hyperlink>
      <w:r w:rsidRPr="001F3D0F">
        <w:rPr>
          <w:rFonts w:ascii="Times New Roman" w:hAnsi="Times New Roman"/>
          <w:sz w:val="24"/>
          <w:szCs w:val="24"/>
        </w:rPr>
        <w:t xml:space="preserve"> </w:t>
      </w:r>
    </w:p>
    <w:p w14:paraId="2A6D9768" w14:textId="77777777" w:rsidR="0020461D" w:rsidRPr="001F3D0F" w:rsidRDefault="0020461D" w:rsidP="0020461D">
      <w:pPr>
        <w:pStyle w:val="NoSpacing"/>
        <w:ind w:firstLine="720"/>
        <w:rPr>
          <w:rFonts w:ascii="Times New Roman" w:hAnsi="Times New Roman"/>
          <w:sz w:val="24"/>
          <w:szCs w:val="24"/>
        </w:rPr>
      </w:pPr>
      <w:r w:rsidRPr="001F3D0F">
        <w:rPr>
          <w:rFonts w:ascii="Times New Roman" w:hAnsi="Times New Roman"/>
          <w:sz w:val="24"/>
          <w:szCs w:val="24"/>
        </w:rPr>
        <w:t xml:space="preserve">“Wondering if it’s legal to track your employees’ location with GPS? </w:t>
      </w:r>
    </w:p>
    <w:p w14:paraId="495632B8" w14:textId="77777777" w:rsidR="0020461D" w:rsidRPr="001F3D0F" w:rsidRDefault="0020461D" w:rsidP="0020461D">
      <w:pPr>
        <w:pStyle w:val="NoSpacing"/>
        <w:ind w:left="720"/>
        <w:rPr>
          <w:rFonts w:ascii="Times New Roman" w:hAnsi="Times New Roman"/>
          <w:sz w:val="24"/>
          <w:szCs w:val="24"/>
        </w:rPr>
      </w:pPr>
      <w:r w:rsidRPr="001F3D0F">
        <w:rPr>
          <w:rFonts w:ascii="Times New Roman" w:hAnsi="Times New Roman"/>
          <w:sz w:val="24"/>
          <w:szCs w:val="24"/>
        </w:rPr>
        <w:t>The answer isn't as simple as yes or no. While federal laws offer some guidance, state-specific regulations play a crucial role in determining what's permissible.‍ For example, in California, you must get explicit consent from your employees before tracking their location, even if they’re using company-owned vehicles.  But, in states like Georgia, there are no specific laws regarding GPS tracking.”</w:t>
      </w:r>
    </w:p>
    <w:p w14:paraId="0AE4A7B2" w14:textId="77777777" w:rsidR="0020461D" w:rsidRPr="006F2B87" w:rsidRDefault="0020461D" w:rsidP="0020461D">
      <w:pPr>
        <w:pStyle w:val="NoSpacing"/>
      </w:pPr>
    </w:p>
    <w:p w14:paraId="585E930F" w14:textId="77777777" w:rsidR="009701FE" w:rsidRDefault="009701FE" w:rsidP="00F91F9F">
      <w:pPr>
        <w:pStyle w:val="NoSpacing"/>
        <w:rPr>
          <w:rFonts w:ascii="Arial Black" w:hAnsi="Arial Black"/>
          <w:sz w:val="24"/>
          <w:szCs w:val="24"/>
        </w:rPr>
      </w:pPr>
    </w:p>
    <w:p w14:paraId="0FC4A08A" w14:textId="77777777" w:rsidR="009701FE" w:rsidRDefault="009701FE" w:rsidP="00F91F9F">
      <w:pPr>
        <w:pStyle w:val="NoSpacing"/>
        <w:rPr>
          <w:rFonts w:ascii="Arial Black" w:hAnsi="Arial Black"/>
          <w:sz w:val="24"/>
          <w:szCs w:val="24"/>
        </w:rPr>
      </w:pPr>
    </w:p>
    <w:p w14:paraId="580EF99E" w14:textId="77777777" w:rsidR="009701FE" w:rsidRDefault="009701FE" w:rsidP="00F91F9F">
      <w:pPr>
        <w:pStyle w:val="NoSpacing"/>
        <w:rPr>
          <w:rFonts w:ascii="Arial Black" w:hAnsi="Arial Black"/>
          <w:sz w:val="24"/>
          <w:szCs w:val="24"/>
        </w:rPr>
      </w:pPr>
    </w:p>
    <w:p w14:paraId="5BA545B6" w14:textId="77777777" w:rsidR="009701FE" w:rsidRDefault="009701FE" w:rsidP="00F91F9F">
      <w:pPr>
        <w:pStyle w:val="NoSpacing"/>
        <w:rPr>
          <w:rFonts w:ascii="Arial Black" w:hAnsi="Arial Black"/>
          <w:sz w:val="24"/>
          <w:szCs w:val="24"/>
        </w:rPr>
      </w:pPr>
    </w:p>
    <w:p w14:paraId="2CFB880A" w14:textId="518AF9FD" w:rsidR="007B4499" w:rsidRDefault="007B4499" w:rsidP="00F91F9F">
      <w:pPr>
        <w:pStyle w:val="NoSpacing"/>
        <w:rPr>
          <w:rFonts w:ascii="Arial Black" w:hAnsi="Arial Black"/>
          <w:sz w:val="24"/>
          <w:szCs w:val="24"/>
        </w:rPr>
      </w:pPr>
      <w:r>
        <w:rPr>
          <w:rFonts w:ascii="Arial Black" w:hAnsi="Arial Black"/>
          <w:sz w:val="24"/>
          <w:szCs w:val="24"/>
        </w:rPr>
        <w:t>16-123</w:t>
      </w:r>
    </w:p>
    <w:p w14:paraId="4F5E2AE5" w14:textId="32FE14A6" w:rsidR="00B927E4" w:rsidRDefault="00B927E4" w:rsidP="00B927E4">
      <w:pPr>
        <w:rPr>
          <w:rFonts w:ascii="Arial Black" w:hAnsi="Arial Black"/>
          <w:b/>
          <w:sz w:val="28"/>
          <w:szCs w:val="28"/>
        </w:rPr>
      </w:pPr>
      <w:r>
        <w:rPr>
          <w:rFonts w:ascii="Arial Black" w:hAnsi="Arial Black"/>
          <w:b/>
          <w:sz w:val="28"/>
          <w:szCs w:val="28"/>
        </w:rPr>
        <w:t xml:space="preserve">MI:  FF WHISTLEBLOWER – </w:t>
      </w:r>
      <w:r w:rsidR="000A6C09">
        <w:rPr>
          <w:rFonts w:ascii="Arial Black" w:hAnsi="Arial Black"/>
          <w:b/>
          <w:sz w:val="28"/>
          <w:szCs w:val="28"/>
        </w:rPr>
        <w:t xml:space="preserve">REPORTED </w:t>
      </w:r>
      <w:r>
        <w:rPr>
          <w:rFonts w:ascii="Arial Black" w:hAnsi="Arial Black"/>
          <w:b/>
          <w:sz w:val="28"/>
          <w:szCs w:val="28"/>
        </w:rPr>
        <w:t xml:space="preserve">TIMECARD FRAUD </w:t>
      </w:r>
      <w:r w:rsidR="00DC0946">
        <w:rPr>
          <w:rFonts w:ascii="Arial Black" w:hAnsi="Arial Black"/>
          <w:b/>
          <w:sz w:val="28"/>
          <w:szCs w:val="28"/>
        </w:rPr>
        <w:t>–</w:t>
      </w:r>
      <w:r>
        <w:rPr>
          <w:rFonts w:ascii="Arial Black" w:hAnsi="Arial Black"/>
          <w:b/>
          <w:sz w:val="28"/>
          <w:szCs w:val="28"/>
        </w:rPr>
        <w:t xml:space="preserve"> </w:t>
      </w:r>
      <w:r w:rsidR="00DC0946">
        <w:rPr>
          <w:rFonts w:ascii="Arial Black" w:hAnsi="Arial Black"/>
          <w:b/>
          <w:sz w:val="28"/>
          <w:szCs w:val="28"/>
        </w:rPr>
        <w:t xml:space="preserve">CASE </w:t>
      </w:r>
      <w:r>
        <w:rPr>
          <w:rFonts w:ascii="Arial Black" w:hAnsi="Arial Black"/>
          <w:b/>
          <w:sz w:val="28"/>
          <w:szCs w:val="28"/>
        </w:rPr>
        <w:t>PROCEED</w:t>
      </w:r>
    </w:p>
    <w:p w14:paraId="6AA06D7A" w14:textId="77777777" w:rsidR="00B927E4" w:rsidRPr="00B927E4" w:rsidRDefault="00B927E4" w:rsidP="00B927E4">
      <w:pPr>
        <w:pStyle w:val="NoSpacing"/>
        <w:rPr>
          <w:rFonts w:ascii="Times New Roman" w:hAnsi="Times New Roman"/>
          <w:sz w:val="24"/>
          <w:szCs w:val="24"/>
        </w:rPr>
      </w:pPr>
      <w:r w:rsidRPr="00B927E4">
        <w:rPr>
          <w:rFonts w:ascii="Times New Roman" w:hAnsi="Times New Roman"/>
          <w:sz w:val="24"/>
          <w:szCs w:val="24"/>
        </w:rPr>
        <w:t xml:space="preserve">On April 24, 2025, in </w:t>
      </w:r>
      <w:r w:rsidRPr="00B927E4">
        <w:rPr>
          <w:rFonts w:ascii="Times New Roman" w:hAnsi="Times New Roman"/>
          <w:sz w:val="24"/>
          <w:szCs w:val="24"/>
          <w:u w:val="single"/>
        </w:rPr>
        <w:t>Craig Williamson v. City of Riverview</w:t>
      </w:r>
      <w:r w:rsidRPr="00B927E4">
        <w:rPr>
          <w:rFonts w:ascii="Times New Roman" w:hAnsi="Times New Roman"/>
          <w:sz w:val="24"/>
          <w:szCs w:val="24"/>
        </w:rPr>
        <w:t xml:space="preserve">, the Court of Appeals of Michigan held (3 to 0) that trial court improperly dismissed his current lawsuit for being filed untimely.  Craig Williamson worked as a firefighter and officer for the </w:t>
      </w:r>
      <w:proofErr w:type="gramStart"/>
      <w:r w:rsidRPr="00B927E4">
        <w:rPr>
          <w:rFonts w:ascii="Times New Roman" w:hAnsi="Times New Roman"/>
          <w:sz w:val="24"/>
          <w:szCs w:val="24"/>
        </w:rPr>
        <w:t>City</w:t>
      </w:r>
      <w:proofErr w:type="gramEnd"/>
      <w:r w:rsidRPr="00B927E4">
        <w:rPr>
          <w:rFonts w:ascii="Times New Roman" w:hAnsi="Times New Roman"/>
          <w:sz w:val="24"/>
          <w:szCs w:val="24"/>
        </w:rPr>
        <w:t xml:space="preserve"> for  “several decades” and claims he suffered retaliation for reporting in 2015 “what he believed to be timecard fraud among some of his colleagues.” On May 30, 2018, plaintiff filed his first complaint in the Wayne Circuit Court, alleging the retaliatory actions taken against him in violation of the Whistleblowers’ Protection Act (WPA). In October 2018, the fire department charged plaintiff with violations of staffing policies; after a hearing, the fire department suspended plaintiff for 90 days and demoted him to lieutenant. On November 26, 2018, plaintiff filed a supplemental complaint, alleging additional violations of the WPA related to the staffing issue. Plaintiff alleged that defendant forced him to work alone or with only one other firefighter, had discriminated against him by suspending him on December 23, 2019, because he was asking co-workers to support him in this lawsuit, and had treated him “like a pariah in the workplace” since 2015 and continuing until his recent suspension. Plaintiff alleged that his “work environment has become hostile, intolerable and unsafe for Plaintiff as a result of Defendant’s retaliation.” </w:t>
      </w:r>
    </w:p>
    <w:p w14:paraId="2794DCCE" w14:textId="77777777" w:rsidR="00B927E4" w:rsidRDefault="00B927E4" w:rsidP="00B927E4">
      <w:pPr>
        <w:pStyle w:val="NoSpacing"/>
        <w:rPr>
          <w:rFonts w:ascii="Times New Roman" w:hAnsi="Times New Roman"/>
          <w:sz w:val="24"/>
          <w:szCs w:val="24"/>
        </w:rPr>
      </w:pPr>
      <w:hyperlink r:id="rId2476" w:history="1">
        <w:r w:rsidRPr="00B927E4">
          <w:rPr>
            <w:rStyle w:val="Hyperlink"/>
            <w:rFonts w:ascii="Times New Roman" w:hAnsi="Times New Roman"/>
            <w:sz w:val="24"/>
            <w:szCs w:val="24"/>
          </w:rPr>
          <w:t>https://cases.justia.com/michigan/court-of-appeals-unpublished/2025-368047.pdf?ts=1745586008</w:t>
        </w:r>
      </w:hyperlink>
      <w:r w:rsidRPr="00B927E4">
        <w:rPr>
          <w:rFonts w:ascii="Times New Roman" w:hAnsi="Times New Roman"/>
          <w:sz w:val="24"/>
          <w:szCs w:val="24"/>
        </w:rPr>
        <w:t xml:space="preserve"> </w:t>
      </w:r>
    </w:p>
    <w:p w14:paraId="318F69F5" w14:textId="77777777" w:rsidR="00EB44F4" w:rsidRDefault="00EB44F4" w:rsidP="00B927E4">
      <w:pPr>
        <w:pStyle w:val="NoSpacing"/>
        <w:rPr>
          <w:rFonts w:ascii="Times New Roman" w:hAnsi="Times New Roman"/>
          <w:sz w:val="24"/>
          <w:szCs w:val="24"/>
        </w:rPr>
      </w:pPr>
    </w:p>
    <w:p w14:paraId="6EEE63F8" w14:textId="77777777" w:rsidR="00EB44F4" w:rsidRPr="00EB44F4" w:rsidRDefault="00EB44F4" w:rsidP="00EB44F4">
      <w:pPr>
        <w:pStyle w:val="NoSpacing"/>
        <w:rPr>
          <w:rFonts w:ascii="Times New Roman" w:hAnsi="Times New Roman"/>
          <w:b/>
          <w:sz w:val="24"/>
          <w:szCs w:val="24"/>
        </w:rPr>
      </w:pPr>
      <w:r w:rsidRPr="00EB44F4">
        <w:rPr>
          <w:rFonts w:ascii="Times New Roman" w:hAnsi="Times New Roman"/>
          <w:b/>
          <w:sz w:val="24"/>
          <w:szCs w:val="24"/>
        </w:rPr>
        <w:t xml:space="preserve">Legal Lesson Learned: Courts are reluctant to dismiss whistleblower cases until pre-trial discovery is completed. </w:t>
      </w:r>
    </w:p>
    <w:p w14:paraId="4A7E2066" w14:textId="77777777" w:rsidR="00EB44F4" w:rsidRPr="00EB44F4" w:rsidRDefault="00EB44F4" w:rsidP="00EB44F4">
      <w:pPr>
        <w:pStyle w:val="NoSpacing"/>
        <w:rPr>
          <w:rFonts w:ascii="Times New Roman" w:hAnsi="Times New Roman"/>
          <w:bCs/>
          <w:sz w:val="24"/>
          <w:szCs w:val="24"/>
        </w:rPr>
      </w:pPr>
    </w:p>
    <w:p w14:paraId="63ADB3E8" w14:textId="77777777" w:rsidR="00EB44F4" w:rsidRPr="00EB44F4" w:rsidRDefault="00EB44F4" w:rsidP="00EB44F4">
      <w:pPr>
        <w:pStyle w:val="NoSpacing"/>
        <w:ind w:left="720"/>
        <w:rPr>
          <w:rFonts w:ascii="Times New Roman" w:hAnsi="Times New Roman"/>
          <w:bCs/>
          <w:sz w:val="24"/>
          <w:szCs w:val="24"/>
        </w:rPr>
      </w:pPr>
      <w:r w:rsidRPr="00EB44F4">
        <w:rPr>
          <w:rFonts w:ascii="Times New Roman" w:hAnsi="Times New Roman"/>
          <w:sz w:val="24"/>
          <w:szCs w:val="24"/>
        </w:rPr>
        <w:t>Note:  The Michigan Whistleblower Protect Act prohibits an employer from discharging, threatening, or otherwise discriminating against an employee “regarding the employee’s compensation, terms, conditions, location, or privileges of employment” because the employee reported, or was about to report, a violation or suspected violation of law to a public body, “verbally or in writing.” MCL 15.362</w:t>
      </w:r>
    </w:p>
    <w:p w14:paraId="758AF538" w14:textId="77777777" w:rsidR="00EB44F4" w:rsidRPr="00EB44F4" w:rsidRDefault="00EB44F4" w:rsidP="00B927E4">
      <w:pPr>
        <w:pStyle w:val="NoSpacing"/>
        <w:rPr>
          <w:rFonts w:ascii="Times New Roman" w:hAnsi="Times New Roman"/>
          <w:sz w:val="24"/>
          <w:szCs w:val="24"/>
        </w:rPr>
      </w:pPr>
    </w:p>
    <w:p w14:paraId="14E78B81" w14:textId="77777777" w:rsidR="00B927E4" w:rsidRPr="00B927E4" w:rsidRDefault="00B927E4" w:rsidP="00B927E4">
      <w:pPr>
        <w:pStyle w:val="NoSpacing"/>
        <w:rPr>
          <w:rFonts w:ascii="Times New Roman" w:hAnsi="Times New Roman"/>
          <w:sz w:val="24"/>
          <w:szCs w:val="24"/>
        </w:rPr>
      </w:pPr>
    </w:p>
    <w:p w14:paraId="57F0E3C0" w14:textId="77777777" w:rsidR="00B927E4" w:rsidRDefault="00B927E4" w:rsidP="00F91F9F">
      <w:pPr>
        <w:pStyle w:val="NoSpacing"/>
        <w:rPr>
          <w:rFonts w:ascii="Arial Black" w:hAnsi="Arial Black"/>
          <w:sz w:val="24"/>
          <w:szCs w:val="24"/>
        </w:rPr>
      </w:pPr>
    </w:p>
    <w:p w14:paraId="0B23CB25" w14:textId="77777777" w:rsidR="007B4499" w:rsidRDefault="007B4499" w:rsidP="00F91F9F">
      <w:pPr>
        <w:pStyle w:val="NoSpacing"/>
        <w:rPr>
          <w:rFonts w:ascii="Arial Black" w:hAnsi="Arial Black"/>
          <w:sz w:val="24"/>
          <w:szCs w:val="24"/>
        </w:rPr>
      </w:pPr>
    </w:p>
    <w:p w14:paraId="470C5165" w14:textId="77777777" w:rsidR="007B4499" w:rsidRDefault="007B4499" w:rsidP="00F91F9F">
      <w:pPr>
        <w:pStyle w:val="NoSpacing"/>
        <w:rPr>
          <w:rFonts w:ascii="Arial Black" w:hAnsi="Arial Black"/>
          <w:sz w:val="24"/>
          <w:szCs w:val="24"/>
        </w:rPr>
      </w:pPr>
    </w:p>
    <w:p w14:paraId="50931163" w14:textId="7734FE4A" w:rsidR="008E4442" w:rsidRDefault="008E4442" w:rsidP="00F91F9F">
      <w:pPr>
        <w:pStyle w:val="NoSpacing"/>
        <w:rPr>
          <w:rFonts w:ascii="Arial Black" w:hAnsi="Arial Black"/>
          <w:sz w:val="24"/>
          <w:szCs w:val="24"/>
        </w:rPr>
      </w:pPr>
      <w:r>
        <w:rPr>
          <w:rFonts w:ascii="Arial Black" w:hAnsi="Arial Black"/>
          <w:sz w:val="24"/>
          <w:szCs w:val="24"/>
        </w:rPr>
        <w:t>16-122</w:t>
      </w:r>
    </w:p>
    <w:p w14:paraId="5BBFAE15" w14:textId="77777777" w:rsidR="008E4442" w:rsidRDefault="008E4442" w:rsidP="00F91F9F">
      <w:pPr>
        <w:pStyle w:val="NoSpacing"/>
        <w:rPr>
          <w:rFonts w:ascii="Arial Black" w:hAnsi="Arial Black"/>
          <w:sz w:val="24"/>
          <w:szCs w:val="24"/>
        </w:rPr>
      </w:pPr>
    </w:p>
    <w:p w14:paraId="2C90BC01" w14:textId="77777777" w:rsidR="008E4442" w:rsidRDefault="008E4442" w:rsidP="008E4442">
      <w:pPr>
        <w:pStyle w:val="NoSpacing"/>
        <w:rPr>
          <w:rFonts w:ascii="Arial Black" w:hAnsi="Arial Black"/>
          <w:bCs/>
          <w:sz w:val="28"/>
          <w:szCs w:val="28"/>
        </w:rPr>
      </w:pPr>
      <w:r>
        <w:rPr>
          <w:rFonts w:ascii="Arial Black" w:hAnsi="Arial Black"/>
          <w:sz w:val="28"/>
          <w:szCs w:val="28"/>
        </w:rPr>
        <w:t>CO: CHIEF FIRED BY NEW BOARD – VIDEO / INSUR. LAPSE</w:t>
      </w:r>
    </w:p>
    <w:p w14:paraId="478935F3" w14:textId="77777777" w:rsidR="008E4442" w:rsidRDefault="008E4442" w:rsidP="008E4442">
      <w:pPr>
        <w:pStyle w:val="NoSpacing"/>
        <w:rPr>
          <w:rFonts w:ascii="Arial Black" w:hAnsi="Arial Black"/>
          <w:bCs/>
          <w:sz w:val="28"/>
          <w:szCs w:val="28"/>
        </w:rPr>
      </w:pPr>
    </w:p>
    <w:p w14:paraId="75E77EF8" w14:textId="77777777" w:rsidR="008E4442" w:rsidRPr="00803906" w:rsidRDefault="008E4442" w:rsidP="008E4442">
      <w:pPr>
        <w:pStyle w:val="NoSpacing"/>
        <w:rPr>
          <w:rFonts w:ascii="Times New Roman" w:hAnsi="Times New Roman"/>
          <w:bCs/>
          <w:sz w:val="24"/>
          <w:szCs w:val="24"/>
        </w:rPr>
      </w:pPr>
      <w:r w:rsidRPr="00803906">
        <w:rPr>
          <w:rFonts w:ascii="Times New Roman" w:hAnsi="Times New Roman"/>
          <w:sz w:val="24"/>
          <w:szCs w:val="24"/>
        </w:rPr>
        <w:t xml:space="preserve">On March 28, 2025, in </w:t>
      </w:r>
      <w:r w:rsidRPr="00803906">
        <w:rPr>
          <w:rFonts w:ascii="Times New Roman" w:hAnsi="Times New Roman"/>
          <w:sz w:val="24"/>
          <w:szCs w:val="24"/>
          <w:u w:val="single"/>
        </w:rPr>
        <w:t>Erik Holt v. Florissant Fire Protection District</w:t>
      </w:r>
      <w:r w:rsidRPr="00803906">
        <w:rPr>
          <w:rFonts w:ascii="Times New Roman" w:hAnsi="Times New Roman"/>
          <w:sz w:val="24"/>
          <w:szCs w:val="24"/>
        </w:rPr>
        <w:t xml:space="preserve">, U.S. District Court Judge </w:t>
      </w:r>
    </w:p>
    <w:p w14:paraId="4CFEEC2D" w14:textId="77777777" w:rsidR="008E4442" w:rsidRPr="00803906" w:rsidRDefault="008E4442" w:rsidP="008E4442">
      <w:pPr>
        <w:pStyle w:val="NoSpacing"/>
        <w:rPr>
          <w:rFonts w:ascii="Times New Roman" w:hAnsi="Times New Roman"/>
          <w:bCs/>
          <w:sz w:val="24"/>
          <w:szCs w:val="24"/>
        </w:rPr>
      </w:pPr>
      <w:r w:rsidRPr="00803906">
        <w:rPr>
          <w:rFonts w:ascii="Times New Roman" w:hAnsi="Times New Roman"/>
          <w:sz w:val="24"/>
          <w:szCs w:val="24"/>
        </w:rPr>
        <w:t xml:space="preserve">Nina Y. Wang, U.S. District Court of Colorado, granted the FD’s motion for summary judgment on the former Fire Chiefs sole remaining claim of First Amendment retaliation.  He was the only full-time employee of the Fire District since April 2022.  On May 2, 2023, an election was held at the Fire Station and mail in ballots for the FD Board, which resulted in the election of five non-incumbent candidates (taking office June 10).  The former Board President filed a civil lawsuit </w:t>
      </w:r>
      <w:proofErr w:type="gramStart"/>
      <w:r w:rsidRPr="00803906">
        <w:rPr>
          <w:rFonts w:ascii="Times New Roman" w:hAnsi="Times New Roman"/>
          <w:sz w:val="24"/>
          <w:szCs w:val="24"/>
        </w:rPr>
        <w:t>and also</w:t>
      </w:r>
      <w:proofErr w:type="gramEnd"/>
      <w:r w:rsidRPr="00803906">
        <w:rPr>
          <w:rFonts w:ascii="Times New Roman" w:hAnsi="Times New Roman"/>
          <w:sz w:val="24"/>
          <w:szCs w:val="24"/>
        </w:rPr>
        <w:t xml:space="preserve"> made a complaint to Teller County District Attorney's Office alleging the non-incumbents and their poll watchers violated state law against electioneering at polling places.  Without telling new Board President, on May 19 or 20 the Fire Chief met with DA investigator and turned over fire station security camera video of the May 2 voting at the station.  In early June the FD briefly lost insurance coverage for non-payment; the Fire Chief blamed new Board President, Paul del Toro, for freezing the district’s bank account without authorization. The Board fired Holt on June 22.  On Nov. 7, 2024, </w:t>
      </w:r>
      <w:r w:rsidRPr="00803906">
        <w:rPr>
          <w:rFonts w:ascii="Times New Roman" w:hAnsi="Times New Roman"/>
          <w:sz w:val="24"/>
          <w:szCs w:val="24"/>
        </w:rPr>
        <w:lastRenderedPageBreak/>
        <w:t xml:space="preserve">U.S. District Court Judge Wang dismissed most of the Chief’s initial lawsuit </w:t>
      </w:r>
      <w:proofErr w:type="gramStart"/>
      <w:r w:rsidRPr="00803906">
        <w:rPr>
          <w:rFonts w:ascii="Times New Roman" w:hAnsi="Times New Roman"/>
          <w:sz w:val="24"/>
          <w:szCs w:val="24"/>
        </w:rPr>
        <w:t>on the basis of</w:t>
      </w:r>
      <w:proofErr w:type="gramEnd"/>
      <w:r w:rsidRPr="00803906">
        <w:rPr>
          <w:rFonts w:ascii="Times New Roman" w:hAnsi="Times New Roman"/>
          <w:sz w:val="24"/>
          <w:szCs w:val="24"/>
        </w:rPr>
        <w:t xml:space="preserve"> governmental immunity – public entities such as FD are not liable under Colorado law for misconduct by its employees, even “willful or wanton misconduct.”  The Court allowed only the First Amendment retaliation claim to proceed – and now Judge Wang has dismissed that claim under </w:t>
      </w:r>
      <w:r w:rsidRPr="00803906">
        <w:rPr>
          <w:rFonts w:ascii="Times New Roman" w:hAnsi="Times New Roman"/>
          <w:i/>
          <w:iCs/>
          <w:sz w:val="24"/>
          <w:szCs w:val="24"/>
        </w:rPr>
        <w:t>Pickering v. Bd. Of Ed.</w:t>
      </w:r>
      <w:r w:rsidRPr="00803906">
        <w:rPr>
          <w:rFonts w:ascii="Times New Roman" w:hAnsi="Times New Roman"/>
          <w:sz w:val="24"/>
          <w:szCs w:val="24"/>
        </w:rPr>
        <w:t xml:space="preserve"> balancing test.  No First Amendment protection against retaliation since Fire Chief was not speaking as a citizen addressing matters of public concern.  </w:t>
      </w:r>
    </w:p>
    <w:p w14:paraId="6AB74C64" w14:textId="77777777" w:rsidR="008E4442" w:rsidRPr="00803906" w:rsidRDefault="008E4442" w:rsidP="008E4442">
      <w:pPr>
        <w:pStyle w:val="NoSpacing"/>
        <w:rPr>
          <w:rFonts w:ascii="Times New Roman" w:hAnsi="Times New Roman"/>
          <w:bCs/>
          <w:sz w:val="24"/>
          <w:szCs w:val="24"/>
        </w:rPr>
      </w:pPr>
      <w:hyperlink r:id="rId2477" w:history="1">
        <w:r w:rsidRPr="00803906">
          <w:rPr>
            <w:rStyle w:val="Hyperlink"/>
            <w:rFonts w:ascii="Times New Roman" w:hAnsi="Times New Roman"/>
            <w:sz w:val="24"/>
            <w:szCs w:val="24"/>
          </w:rPr>
          <w:t>https://public.fastcase.com/jaEE2PXzRXmZ99jOLMt1IhQHA9AMm9CcSN%2BGfYyS2p0Y8T4gWwr35mn7gDgy%2FrLSk1%2BX3TZDVCgonvjR5kmTn9ieZn6lPYykAdycfBPhja8%3D?utm_medium=email&amp;_hsenc=p2ANqtz-96viAoOgtBhpN3k-FXu0IciBKBTpaPEffa5PyEi7FQVITmUz8Kiu79qOEJdxGOe1egzOzFwK07j5P1hSXOAN4VGdmpNA&amp;_hsmi=226712652&amp;utm_content=226712652&amp;utm_source=hs_email</w:t>
        </w:r>
      </w:hyperlink>
      <w:r w:rsidRPr="00803906">
        <w:rPr>
          <w:rFonts w:ascii="Times New Roman" w:hAnsi="Times New Roman"/>
          <w:sz w:val="24"/>
          <w:szCs w:val="24"/>
        </w:rPr>
        <w:t xml:space="preserve">   </w:t>
      </w:r>
    </w:p>
    <w:p w14:paraId="2F92C4B2" w14:textId="77777777" w:rsidR="008E4442" w:rsidRPr="00803906" w:rsidRDefault="008E4442" w:rsidP="00F91F9F">
      <w:pPr>
        <w:pStyle w:val="NoSpacing"/>
        <w:rPr>
          <w:rFonts w:ascii="Times New Roman" w:hAnsi="Times New Roman"/>
          <w:sz w:val="24"/>
          <w:szCs w:val="24"/>
        </w:rPr>
      </w:pPr>
    </w:p>
    <w:p w14:paraId="2FB96EAB" w14:textId="77777777" w:rsidR="00803906" w:rsidRPr="00803906" w:rsidRDefault="00803906" w:rsidP="00803906">
      <w:pPr>
        <w:pStyle w:val="NoSpacing"/>
        <w:rPr>
          <w:rFonts w:ascii="Times New Roman" w:hAnsi="Times New Roman"/>
          <w:b/>
          <w:bCs/>
          <w:sz w:val="24"/>
          <w:szCs w:val="24"/>
        </w:rPr>
      </w:pPr>
      <w:r w:rsidRPr="00803906">
        <w:rPr>
          <w:rFonts w:ascii="Times New Roman" w:hAnsi="Times New Roman"/>
          <w:b/>
          <w:sz w:val="24"/>
          <w:szCs w:val="24"/>
        </w:rPr>
        <w:t xml:space="preserve">Legal Lesson Learned: </w:t>
      </w:r>
      <w:r w:rsidRPr="00803906">
        <w:rPr>
          <w:rFonts w:ascii="Times New Roman" w:hAnsi="Times New Roman"/>
          <w:b/>
          <w:i/>
          <w:iCs/>
          <w:sz w:val="24"/>
          <w:szCs w:val="24"/>
        </w:rPr>
        <w:t>Pickering</w:t>
      </w:r>
      <w:r w:rsidRPr="00803906">
        <w:rPr>
          <w:rFonts w:ascii="Times New Roman" w:hAnsi="Times New Roman"/>
          <w:b/>
          <w:sz w:val="24"/>
          <w:szCs w:val="24"/>
        </w:rPr>
        <w:t xml:space="preserve"> balancing test led to dismissal of this lawsuit – “interests of public employees in commenting on matters of public concern must be balanced with the employer's interests in promoting the efficiency of the public services.”</w:t>
      </w:r>
    </w:p>
    <w:p w14:paraId="77D774E7" w14:textId="77777777" w:rsidR="00803906" w:rsidRPr="00803906" w:rsidRDefault="00803906" w:rsidP="00803906">
      <w:pPr>
        <w:pStyle w:val="NoSpacing"/>
        <w:rPr>
          <w:rFonts w:ascii="Times New Roman" w:hAnsi="Times New Roman"/>
          <w:b/>
          <w:bCs/>
          <w:sz w:val="24"/>
          <w:szCs w:val="24"/>
        </w:rPr>
      </w:pPr>
    </w:p>
    <w:p w14:paraId="1FACB981" w14:textId="77777777" w:rsidR="00803906" w:rsidRPr="00803906" w:rsidRDefault="00803906" w:rsidP="00803906">
      <w:pPr>
        <w:pStyle w:val="NoSpacing"/>
        <w:ind w:left="720"/>
        <w:rPr>
          <w:rFonts w:ascii="Times New Roman" w:hAnsi="Times New Roman"/>
          <w:bCs/>
          <w:sz w:val="24"/>
          <w:szCs w:val="24"/>
        </w:rPr>
      </w:pPr>
      <w:r w:rsidRPr="00803906">
        <w:rPr>
          <w:rFonts w:ascii="Times New Roman" w:hAnsi="Times New Roman"/>
          <w:sz w:val="24"/>
          <w:szCs w:val="24"/>
        </w:rPr>
        <w:t xml:space="preserve">Note: See Nov. 24, </w:t>
      </w:r>
      <w:proofErr w:type="gramStart"/>
      <w:r w:rsidRPr="00803906">
        <w:rPr>
          <w:rFonts w:ascii="Times New Roman" w:hAnsi="Times New Roman"/>
          <w:sz w:val="24"/>
          <w:szCs w:val="24"/>
        </w:rPr>
        <w:t>2023</w:t>
      </w:r>
      <w:proofErr w:type="gramEnd"/>
      <w:r w:rsidRPr="00803906">
        <w:rPr>
          <w:rFonts w:ascii="Times New Roman" w:hAnsi="Times New Roman"/>
          <w:sz w:val="24"/>
          <w:szCs w:val="24"/>
        </w:rPr>
        <w:t xml:space="preserve"> article, “Federal judge partially dismisses ex-Florissant fire chief's wrongful termination claims. Erik Holt is continuing to pursue his First Amendment retaliation claim against his former </w:t>
      </w:r>
      <w:proofErr w:type="gramStart"/>
      <w:r w:rsidRPr="00803906">
        <w:rPr>
          <w:rFonts w:ascii="Times New Roman" w:hAnsi="Times New Roman"/>
          <w:sz w:val="24"/>
          <w:szCs w:val="24"/>
        </w:rPr>
        <w:t>employer.”</w:t>
      </w:r>
      <w:proofErr w:type="gramEnd"/>
      <w:r w:rsidRPr="00803906">
        <w:rPr>
          <w:rFonts w:ascii="Times New Roman" w:hAnsi="Times New Roman"/>
          <w:sz w:val="24"/>
          <w:szCs w:val="24"/>
        </w:rPr>
        <w:t xml:space="preserve"> </w:t>
      </w:r>
      <w:hyperlink r:id="rId2478" w:anchor="google_vignette" w:history="1">
        <w:r w:rsidRPr="00803906">
          <w:rPr>
            <w:rStyle w:val="Hyperlink"/>
            <w:rFonts w:ascii="Times New Roman" w:hAnsi="Times New Roman"/>
            <w:sz w:val="24"/>
            <w:szCs w:val="24"/>
          </w:rPr>
          <w:t>https://www.coloradopolitics.com/courts/federal-judge-partially-dismisses-ex-florissant-fire-chiefs-wrongful-termination-claims/article_7d67c6be-898a-11ee-b97e-7732fa191308.html#google_vignette</w:t>
        </w:r>
      </w:hyperlink>
      <w:r w:rsidRPr="00803906">
        <w:rPr>
          <w:rFonts w:ascii="Times New Roman" w:hAnsi="Times New Roman"/>
          <w:sz w:val="24"/>
          <w:szCs w:val="24"/>
        </w:rPr>
        <w:t xml:space="preserve"> </w:t>
      </w:r>
    </w:p>
    <w:p w14:paraId="40555FCE" w14:textId="77777777" w:rsidR="00803906" w:rsidRPr="00803906" w:rsidRDefault="00803906" w:rsidP="00803906">
      <w:pPr>
        <w:pStyle w:val="NoSpacing"/>
        <w:rPr>
          <w:rFonts w:ascii="Times New Roman" w:hAnsi="Times New Roman"/>
          <w:bCs/>
          <w:sz w:val="24"/>
          <w:szCs w:val="24"/>
        </w:rPr>
      </w:pPr>
    </w:p>
    <w:p w14:paraId="264948CA" w14:textId="77777777" w:rsidR="00803906" w:rsidRDefault="00803906" w:rsidP="00803906">
      <w:pPr>
        <w:pStyle w:val="NoSpacing"/>
        <w:ind w:left="720"/>
        <w:rPr>
          <w:bCs/>
        </w:rPr>
      </w:pPr>
      <w:r w:rsidRPr="00803906">
        <w:rPr>
          <w:rFonts w:ascii="Times New Roman" w:hAnsi="Times New Roman"/>
          <w:sz w:val="24"/>
          <w:szCs w:val="24"/>
        </w:rPr>
        <w:t xml:space="preserve">See Nov. 7, </w:t>
      </w:r>
      <w:proofErr w:type="gramStart"/>
      <w:r w:rsidRPr="00803906">
        <w:rPr>
          <w:rFonts w:ascii="Times New Roman" w:hAnsi="Times New Roman"/>
          <w:sz w:val="24"/>
          <w:szCs w:val="24"/>
        </w:rPr>
        <w:t>2024</w:t>
      </w:r>
      <w:proofErr w:type="gramEnd"/>
      <w:r w:rsidRPr="00803906">
        <w:rPr>
          <w:rFonts w:ascii="Times New Roman" w:hAnsi="Times New Roman"/>
          <w:sz w:val="24"/>
          <w:szCs w:val="24"/>
        </w:rPr>
        <w:t xml:space="preserve"> Court decision: </w:t>
      </w:r>
      <w:hyperlink r:id="rId2479" w:history="1">
        <w:r w:rsidRPr="00803906">
          <w:rPr>
            <w:rStyle w:val="Hyperlink"/>
            <w:rFonts w:ascii="Times New Roman" w:hAnsi="Times New Roman"/>
            <w:sz w:val="24"/>
            <w:szCs w:val="24"/>
          </w:rPr>
          <w:t>https://www.govinfo.gov/content/pkg/USCOURTS-cod-1_23-cv-01798/pdf/USCOURTS-cod-1_23-cv-01798-0.pdf</w:t>
        </w:r>
      </w:hyperlink>
      <w:r>
        <w:t xml:space="preserve"> </w:t>
      </w:r>
    </w:p>
    <w:p w14:paraId="59A52641" w14:textId="77777777" w:rsidR="00803906" w:rsidRDefault="00803906" w:rsidP="00F91F9F">
      <w:pPr>
        <w:pStyle w:val="NoSpacing"/>
        <w:rPr>
          <w:rFonts w:ascii="Arial Black" w:hAnsi="Arial Black"/>
          <w:sz w:val="24"/>
          <w:szCs w:val="24"/>
        </w:rPr>
      </w:pPr>
    </w:p>
    <w:p w14:paraId="180867B0" w14:textId="77777777" w:rsidR="008E4442" w:rsidRDefault="008E4442" w:rsidP="00F91F9F">
      <w:pPr>
        <w:pStyle w:val="NoSpacing"/>
        <w:rPr>
          <w:rFonts w:ascii="Arial Black" w:hAnsi="Arial Black"/>
          <w:sz w:val="24"/>
          <w:szCs w:val="24"/>
        </w:rPr>
      </w:pPr>
    </w:p>
    <w:p w14:paraId="34C0EC45" w14:textId="77777777" w:rsidR="008E4442" w:rsidRDefault="008E4442" w:rsidP="00F91F9F">
      <w:pPr>
        <w:pStyle w:val="NoSpacing"/>
        <w:rPr>
          <w:rFonts w:ascii="Arial Black" w:hAnsi="Arial Black"/>
          <w:sz w:val="24"/>
          <w:szCs w:val="24"/>
        </w:rPr>
      </w:pPr>
    </w:p>
    <w:p w14:paraId="7A27FEF6" w14:textId="157E9904" w:rsidR="00457219" w:rsidRDefault="00FD3A33" w:rsidP="00F91F9F">
      <w:pPr>
        <w:pStyle w:val="NoSpacing"/>
        <w:rPr>
          <w:rFonts w:ascii="Arial Black" w:hAnsi="Arial Black"/>
          <w:sz w:val="24"/>
          <w:szCs w:val="24"/>
        </w:rPr>
      </w:pPr>
      <w:r>
        <w:rPr>
          <w:rFonts w:ascii="Arial Black" w:hAnsi="Arial Black"/>
          <w:sz w:val="24"/>
          <w:szCs w:val="24"/>
        </w:rPr>
        <w:t>16-121</w:t>
      </w:r>
    </w:p>
    <w:p w14:paraId="5099BBA7" w14:textId="77777777" w:rsidR="008E4442" w:rsidRDefault="008E4442" w:rsidP="00FD3A33">
      <w:pPr>
        <w:rPr>
          <w:rFonts w:ascii="Arial Black" w:hAnsi="Arial Black"/>
          <w:b/>
          <w:sz w:val="28"/>
          <w:szCs w:val="28"/>
        </w:rPr>
      </w:pPr>
    </w:p>
    <w:p w14:paraId="7F4E000E" w14:textId="532A9835" w:rsidR="00FD3A33" w:rsidRPr="000B7F2C" w:rsidRDefault="00FD3A33" w:rsidP="00FD3A33">
      <w:pPr>
        <w:rPr>
          <w:rFonts w:ascii="Arial Black" w:hAnsi="Arial Black"/>
          <w:b/>
          <w:sz w:val="28"/>
          <w:szCs w:val="28"/>
        </w:rPr>
      </w:pPr>
      <w:r w:rsidRPr="000B7F2C">
        <w:rPr>
          <w:rFonts w:ascii="Arial Black" w:hAnsi="Arial Black"/>
          <w:b/>
          <w:sz w:val="28"/>
          <w:szCs w:val="28"/>
        </w:rPr>
        <w:t xml:space="preserve">CA: CHIEF FIRED B/C </w:t>
      </w:r>
      <w:r w:rsidR="000D4A64">
        <w:rPr>
          <w:rFonts w:ascii="Arial Black" w:hAnsi="Arial Black"/>
          <w:b/>
          <w:sz w:val="28"/>
          <w:szCs w:val="28"/>
        </w:rPr>
        <w:t>–</w:t>
      </w:r>
      <w:r w:rsidRPr="000B7F2C">
        <w:rPr>
          <w:rFonts w:ascii="Arial Black" w:hAnsi="Arial Black"/>
          <w:b/>
          <w:sz w:val="28"/>
          <w:szCs w:val="28"/>
        </w:rPr>
        <w:t xml:space="preserve"> </w:t>
      </w:r>
      <w:r w:rsidR="000D4A64">
        <w:rPr>
          <w:rFonts w:ascii="Arial Black" w:hAnsi="Arial Black"/>
          <w:b/>
          <w:sz w:val="28"/>
          <w:szCs w:val="28"/>
        </w:rPr>
        <w:t xml:space="preserve">AGAINST </w:t>
      </w:r>
      <w:r w:rsidRPr="000B7F2C">
        <w:rPr>
          <w:rFonts w:ascii="Arial Black" w:hAnsi="Arial Black"/>
          <w:b/>
          <w:sz w:val="28"/>
          <w:szCs w:val="28"/>
        </w:rPr>
        <w:t xml:space="preserve">CITY </w:t>
      </w:r>
      <w:r w:rsidR="000D4A64">
        <w:rPr>
          <w:rFonts w:ascii="Arial Black" w:hAnsi="Arial Black"/>
          <w:b/>
          <w:sz w:val="28"/>
          <w:szCs w:val="28"/>
        </w:rPr>
        <w:t xml:space="preserve">ADVICE </w:t>
      </w:r>
      <w:r w:rsidR="0046766E">
        <w:rPr>
          <w:rFonts w:ascii="Arial Black" w:hAnsi="Arial Black"/>
          <w:b/>
          <w:sz w:val="28"/>
          <w:szCs w:val="28"/>
        </w:rPr>
        <w:t>–</w:t>
      </w:r>
      <w:r w:rsidR="000D4A64">
        <w:rPr>
          <w:rFonts w:ascii="Arial Black" w:hAnsi="Arial Black"/>
          <w:b/>
          <w:sz w:val="28"/>
          <w:szCs w:val="28"/>
        </w:rPr>
        <w:t xml:space="preserve"> </w:t>
      </w:r>
      <w:r w:rsidR="0046766E">
        <w:rPr>
          <w:rFonts w:ascii="Arial Black" w:hAnsi="Arial Black"/>
          <w:b/>
          <w:sz w:val="28"/>
          <w:szCs w:val="28"/>
        </w:rPr>
        <w:t>CASE PROCEED</w:t>
      </w:r>
    </w:p>
    <w:p w14:paraId="6E6506EE" w14:textId="77777777" w:rsidR="00FD3A33" w:rsidRPr="00FD3A33" w:rsidRDefault="00FD3A33" w:rsidP="00FD3A33">
      <w:pPr>
        <w:rPr>
          <w:rFonts w:ascii="Times New Roman" w:hAnsi="Times New Roman"/>
          <w:sz w:val="24"/>
          <w:szCs w:val="24"/>
        </w:rPr>
      </w:pPr>
      <w:r w:rsidRPr="00FD3A33">
        <w:rPr>
          <w:rFonts w:ascii="Times New Roman" w:hAnsi="Times New Roman"/>
          <w:sz w:val="24"/>
          <w:szCs w:val="24"/>
        </w:rPr>
        <w:t xml:space="preserve">On Feb. 21, 2025, in </w:t>
      </w:r>
      <w:r w:rsidRPr="00FD3A33">
        <w:rPr>
          <w:rFonts w:ascii="Times New Roman" w:hAnsi="Times New Roman"/>
          <w:sz w:val="24"/>
          <w:szCs w:val="24"/>
          <w:u w:val="single"/>
        </w:rPr>
        <w:t>Patrick Vargas v. City of Tracy, South San Joaquin County Fire Authority; Randall Bradley, et al</w:t>
      </w:r>
      <w:r w:rsidRPr="00FD3A33">
        <w:rPr>
          <w:rFonts w:ascii="Times New Roman" w:hAnsi="Times New Roman"/>
          <w:sz w:val="24"/>
          <w:szCs w:val="24"/>
        </w:rPr>
        <w:t xml:space="preserve">., United States District Court Judge William B. </w:t>
      </w:r>
      <w:proofErr w:type="spellStart"/>
      <w:r w:rsidRPr="00FD3A33">
        <w:rPr>
          <w:rFonts w:ascii="Times New Roman" w:hAnsi="Times New Roman"/>
          <w:sz w:val="24"/>
          <w:szCs w:val="24"/>
        </w:rPr>
        <w:t>Shubb</w:t>
      </w:r>
      <w:proofErr w:type="spellEnd"/>
      <w:r w:rsidRPr="00FD3A33">
        <w:rPr>
          <w:rFonts w:ascii="Times New Roman" w:hAnsi="Times New Roman"/>
          <w:sz w:val="24"/>
          <w:szCs w:val="24"/>
        </w:rPr>
        <w:t xml:space="preserve">, U.S. District Court for Eastern District of California, denied the defense motion for summary judgment by County Fire Authority and Fire Chief Randall Bradley.  Battalion Chief Vargas’ wife on city council and opposed city fire department becoming county department.  He was suspended during investigation of harassment, but “City officials concluded that the harassment investigation did not provide a basis to terminate plaintiff and directed that plaintiff be removed from administrative leave and return to work, but [Fire Chief] Bradley terminated plaintiff on January 12, 2022.” </w:t>
      </w:r>
      <w:hyperlink r:id="rId2480" w:history="1">
        <w:r w:rsidRPr="00FD3A33">
          <w:rPr>
            <w:rStyle w:val="Hyperlink"/>
            <w:rFonts w:ascii="Times New Roman" w:hAnsi="Times New Roman"/>
            <w:sz w:val="24"/>
            <w:szCs w:val="24"/>
          </w:rPr>
          <w:t>https://public.fastcase.com/jaEE2PXzRXmZ99jOLMt1IvnyNWPww1WM4x9Gu%2FtN0VhNRAtIpNmmlJ0KM%2F7ZbO911LK6og3L2kiKY%2FASa5mScG8uOsEhAwFbnlzs62F6rSE%3D?utm_medium=email&amp;_hsenc=p2ANqtz-8WZqH_E7rdb_OeZm87WsAQDzZautt0uiTp2Bj7gwVxym265a6f7pCBzZ-RPNW5j-Z8_i7kqeL1it9h0mjMyyn0Q0mh5A&amp;_hsmi=226712652&amp;utm_content=226712652&amp;utm_source=hs_email</w:t>
        </w:r>
      </w:hyperlink>
      <w:r w:rsidRPr="00FD3A33">
        <w:rPr>
          <w:rFonts w:ascii="Times New Roman" w:hAnsi="Times New Roman"/>
          <w:sz w:val="24"/>
          <w:szCs w:val="24"/>
        </w:rPr>
        <w:t xml:space="preserve"> </w:t>
      </w:r>
    </w:p>
    <w:p w14:paraId="34C7BD64" w14:textId="77777777" w:rsidR="00FD3A33" w:rsidRPr="00FD3A33" w:rsidRDefault="00FD3A33" w:rsidP="00FD3A33">
      <w:pPr>
        <w:pStyle w:val="NoSpacing"/>
        <w:rPr>
          <w:rFonts w:ascii="Times New Roman" w:hAnsi="Times New Roman"/>
          <w:sz w:val="24"/>
          <w:szCs w:val="24"/>
        </w:rPr>
      </w:pPr>
      <w:r w:rsidRPr="00FD3A33">
        <w:rPr>
          <w:rFonts w:ascii="Times New Roman" w:hAnsi="Times New Roman"/>
          <w:sz w:val="24"/>
          <w:szCs w:val="24"/>
        </w:rPr>
        <w:t>The Court wrote:</w:t>
      </w:r>
    </w:p>
    <w:p w14:paraId="6DB97294" w14:textId="77777777" w:rsidR="00FD3A33" w:rsidRPr="00FD3A33" w:rsidRDefault="00FD3A33" w:rsidP="00FD3A33">
      <w:pPr>
        <w:pStyle w:val="NoSpacing"/>
        <w:rPr>
          <w:rFonts w:ascii="Times New Roman" w:hAnsi="Times New Roman"/>
          <w:sz w:val="24"/>
          <w:szCs w:val="24"/>
        </w:rPr>
      </w:pPr>
    </w:p>
    <w:p w14:paraId="7E6D7C04" w14:textId="77777777" w:rsidR="00FD3A33" w:rsidRPr="00FD3A33" w:rsidRDefault="00FD3A33" w:rsidP="00FD3A33">
      <w:pPr>
        <w:pStyle w:val="NoSpacing"/>
        <w:ind w:left="720"/>
        <w:rPr>
          <w:rFonts w:ascii="Times New Roman" w:hAnsi="Times New Roman"/>
          <w:sz w:val="24"/>
          <w:szCs w:val="24"/>
        </w:rPr>
      </w:pPr>
      <w:r w:rsidRPr="00FD3A33">
        <w:rPr>
          <w:rFonts w:ascii="Times New Roman" w:hAnsi="Times New Roman"/>
          <w:sz w:val="24"/>
          <w:szCs w:val="24"/>
        </w:rPr>
        <w:t xml:space="preserve">“Bradley brought allegations of timecard fraud to [City] Human Resources Director Kimberly Murdaugh on September 15, 2020 and third-party investigators ultimately found the allegation </w:t>
      </w:r>
      <w:r w:rsidRPr="00FD3A33">
        <w:rPr>
          <w:rFonts w:ascii="Times New Roman" w:hAnsi="Times New Roman"/>
          <w:sz w:val="24"/>
          <w:szCs w:val="24"/>
        </w:rPr>
        <w:lastRenderedPageBreak/>
        <w:t>unsupported on March 23, 2021….On March 31, 2021, Bradley contacted Ms. Murdaugh and implored her to further investigate plaintiff, and harassment allegations against plaintiff surfaced on April 7, 2021, prompting a second investigation during which Bradley placed plaintiff on paid administrative leave. City officials concluded that the harassment investigation did not provide a basis to terminate plaintiff and directed that plaintiff be removed from administrative leave and return to work, but Bradley terminated plaintiff on January 12, 2022.</w:t>
      </w:r>
    </w:p>
    <w:p w14:paraId="493BA727" w14:textId="77777777" w:rsidR="00FD3A33" w:rsidRPr="00FD3A33" w:rsidRDefault="00FD3A33" w:rsidP="00FD3A33">
      <w:pPr>
        <w:pStyle w:val="NoSpacing"/>
        <w:rPr>
          <w:rFonts w:ascii="Times New Roman" w:hAnsi="Times New Roman"/>
          <w:sz w:val="24"/>
          <w:szCs w:val="24"/>
        </w:rPr>
      </w:pPr>
    </w:p>
    <w:p w14:paraId="10886D32" w14:textId="77777777" w:rsidR="00FD3A33" w:rsidRPr="00FD3A33" w:rsidRDefault="00FD3A33" w:rsidP="00FD3A33">
      <w:pPr>
        <w:pStyle w:val="NoSpacing"/>
        <w:ind w:firstLine="720"/>
        <w:rPr>
          <w:rFonts w:ascii="Times New Roman" w:hAnsi="Times New Roman"/>
          <w:sz w:val="24"/>
          <w:szCs w:val="24"/>
        </w:rPr>
      </w:pPr>
      <w:r w:rsidRPr="00FD3A33">
        <w:rPr>
          <w:rFonts w:ascii="Times New Roman" w:hAnsi="Times New Roman"/>
          <w:sz w:val="24"/>
          <w:szCs w:val="24"/>
        </w:rPr>
        <w:t>***</w:t>
      </w:r>
    </w:p>
    <w:p w14:paraId="5CD1CB76" w14:textId="77777777" w:rsidR="00FD3A33" w:rsidRPr="00FD3A33" w:rsidRDefault="00FD3A33" w:rsidP="00FD3A33">
      <w:pPr>
        <w:pStyle w:val="NoSpacing"/>
        <w:ind w:left="720"/>
        <w:rPr>
          <w:rFonts w:ascii="Times New Roman" w:hAnsi="Times New Roman"/>
          <w:sz w:val="24"/>
          <w:szCs w:val="24"/>
        </w:rPr>
      </w:pPr>
      <w:r w:rsidRPr="00FD3A33">
        <w:rPr>
          <w:rFonts w:ascii="Times New Roman" w:hAnsi="Times New Roman"/>
          <w:sz w:val="24"/>
          <w:szCs w:val="24"/>
        </w:rPr>
        <w:t xml:space="preserve">Plaintiff contends that Bradley, on behalf of the Fire Authority, took adverse employment actions against him based on Bradley's perception that plaintiff spoke negatively of the Plan [to replace city fire department with County department] to his wife, Ms. Vargas, who was a city councilor and was involved in the adoption and implementation of the Plan. Regardless of whether plaintiff </w:t>
      </w:r>
      <w:proofErr w:type="gramStart"/>
      <w:r w:rsidRPr="00FD3A33">
        <w:rPr>
          <w:rFonts w:ascii="Times New Roman" w:hAnsi="Times New Roman"/>
          <w:sz w:val="24"/>
          <w:szCs w:val="24"/>
        </w:rPr>
        <w:t>actually spoke</w:t>
      </w:r>
      <w:proofErr w:type="gramEnd"/>
      <w:r w:rsidRPr="00FD3A33">
        <w:rPr>
          <w:rFonts w:ascii="Times New Roman" w:hAnsi="Times New Roman"/>
          <w:sz w:val="24"/>
          <w:szCs w:val="24"/>
        </w:rPr>
        <w:t xml:space="preserve"> to his wife about the Plan, a retaliation claim based on ‘perceived speech’--i.e., speech that the plaintiff was incorrectly thought to have made -- is cognizable under the First Amendment.</w:t>
      </w:r>
    </w:p>
    <w:p w14:paraId="777765D3" w14:textId="77777777" w:rsidR="00FD3A33" w:rsidRPr="00FD3A33" w:rsidRDefault="00FD3A33" w:rsidP="00FD3A33">
      <w:pPr>
        <w:pStyle w:val="NoSpacing"/>
        <w:rPr>
          <w:rFonts w:ascii="Times New Roman" w:hAnsi="Times New Roman"/>
          <w:sz w:val="24"/>
          <w:szCs w:val="24"/>
        </w:rPr>
      </w:pPr>
    </w:p>
    <w:p w14:paraId="3A8A4870" w14:textId="77777777" w:rsidR="00FD3A33" w:rsidRPr="00FD3A33" w:rsidRDefault="00FD3A33" w:rsidP="00FD3A33">
      <w:pPr>
        <w:pStyle w:val="NoSpacing"/>
        <w:ind w:firstLine="720"/>
        <w:rPr>
          <w:rFonts w:ascii="Times New Roman" w:hAnsi="Times New Roman"/>
          <w:sz w:val="24"/>
          <w:szCs w:val="24"/>
        </w:rPr>
      </w:pPr>
      <w:r w:rsidRPr="00FD3A33">
        <w:rPr>
          <w:rFonts w:ascii="Times New Roman" w:hAnsi="Times New Roman"/>
          <w:sz w:val="24"/>
          <w:szCs w:val="24"/>
        </w:rPr>
        <w:t>***</w:t>
      </w:r>
    </w:p>
    <w:p w14:paraId="6609C308" w14:textId="77777777" w:rsidR="00FD3A33" w:rsidRPr="00FD3A33" w:rsidRDefault="00FD3A33" w:rsidP="00FD3A33">
      <w:pPr>
        <w:pStyle w:val="NoSpacing"/>
        <w:ind w:left="720"/>
        <w:rPr>
          <w:rFonts w:ascii="Times New Roman" w:hAnsi="Times New Roman"/>
          <w:sz w:val="24"/>
          <w:szCs w:val="24"/>
        </w:rPr>
      </w:pPr>
      <w:r w:rsidRPr="00FD3A33">
        <w:rPr>
          <w:rFonts w:ascii="Times New Roman" w:hAnsi="Times New Roman"/>
          <w:sz w:val="24"/>
          <w:szCs w:val="24"/>
        </w:rPr>
        <w:t>There is also evidence tending to show that Bradley's proffered reason for plaintiff's termination was pretextual. After an independent investigation found that the harassment investigation into plaintiff was biased by Bradley's involvement, City officials concluded that the harassment investigation's findings did not warrant termination and instructed Bradley to remove plaintiff from administrative leave, but Bradley terminated plaintiff regardless.”</w:t>
      </w:r>
    </w:p>
    <w:p w14:paraId="1F8BFBA6" w14:textId="77777777" w:rsidR="00FD3A33" w:rsidRPr="00FD3A33" w:rsidRDefault="00FD3A33" w:rsidP="00FD3A33">
      <w:pPr>
        <w:pStyle w:val="NoSpacing"/>
        <w:rPr>
          <w:rFonts w:ascii="Times New Roman" w:hAnsi="Times New Roman"/>
          <w:sz w:val="24"/>
          <w:szCs w:val="24"/>
        </w:rPr>
      </w:pPr>
    </w:p>
    <w:p w14:paraId="5841DECD" w14:textId="77777777" w:rsidR="00FD3A33" w:rsidRPr="00FD3A33" w:rsidRDefault="00FD3A33" w:rsidP="00FD3A33">
      <w:pPr>
        <w:pStyle w:val="NoSpacing"/>
        <w:rPr>
          <w:rFonts w:ascii="Times New Roman" w:hAnsi="Times New Roman"/>
          <w:b/>
          <w:bCs/>
          <w:sz w:val="24"/>
          <w:szCs w:val="24"/>
        </w:rPr>
      </w:pPr>
      <w:r w:rsidRPr="00FD3A33">
        <w:rPr>
          <w:rFonts w:ascii="Times New Roman" w:hAnsi="Times New Roman"/>
          <w:b/>
          <w:sz w:val="24"/>
          <w:szCs w:val="24"/>
        </w:rPr>
        <w:t>Legal Lesson Learned: Terminating a Battalion Chief, despite an independent investigation and city recommendation not to fire, raises serious suspicion of retaliation that can now go to a jury trial.</w:t>
      </w:r>
    </w:p>
    <w:p w14:paraId="720D53F5" w14:textId="77777777" w:rsidR="00FD3A33" w:rsidRDefault="00FD3A33" w:rsidP="00FD3A33">
      <w:pPr>
        <w:rPr>
          <w:bCs/>
        </w:rPr>
      </w:pPr>
    </w:p>
    <w:p w14:paraId="4147ECA3" w14:textId="77777777" w:rsidR="00FD3A33" w:rsidRDefault="00FD3A33" w:rsidP="00F91F9F">
      <w:pPr>
        <w:pStyle w:val="NoSpacing"/>
        <w:rPr>
          <w:rFonts w:ascii="Arial Black" w:hAnsi="Arial Black"/>
          <w:sz w:val="24"/>
          <w:szCs w:val="24"/>
        </w:rPr>
      </w:pPr>
    </w:p>
    <w:p w14:paraId="5498AE2F" w14:textId="77777777" w:rsidR="00457219" w:rsidRDefault="00457219" w:rsidP="00F91F9F">
      <w:pPr>
        <w:pStyle w:val="NoSpacing"/>
        <w:rPr>
          <w:rFonts w:ascii="Arial Black" w:hAnsi="Arial Black"/>
          <w:sz w:val="24"/>
          <w:szCs w:val="24"/>
        </w:rPr>
      </w:pPr>
    </w:p>
    <w:p w14:paraId="359452B6" w14:textId="6B6D2105" w:rsidR="008A7077" w:rsidRDefault="008A7077" w:rsidP="00F91F9F">
      <w:pPr>
        <w:pStyle w:val="NoSpacing"/>
        <w:rPr>
          <w:rFonts w:ascii="Arial Black" w:hAnsi="Arial Black"/>
          <w:sz w:val="24"/>
          <w:szCs w:val="24"/>
        </w:rPr>
      </w:pPr>
      <w:r>
        <w:rPr>
          <w:rFonts w:ascii="Arial Black" w:hAnsi="Arial Black"/>
          <w:sz w:val="24"/>
          <w:szCs w:val="24"/>
        </w:rPr>
        <w:t>16-120</w:t>
      </w:r>
    </w:p>
    <w:p w14:paraId="2E0B30AD" w14:textId="77777777" w:rsidR="008A7077" w:rsidRDefault="008A7077" w:rsidP="00F91F9F">
      <w:pPr>
        <w:pStyle w:val="NoSpacing"/>
        <w:rPr>
          <w:rFonts w:ascii="Arial Black" w:hAnsi="Arial Black"/>
          <w:sz w:val="24"/>
          <w:szCs w:val="24"/>
        </w:rPr>
      </w:pPr>
    </w:p>
    <w:p w14:paraId="6ACBAAEA" w14:textId="36061B21" w:rsidR="008A7077" w:rsidRDefault="008A7077" w:rsidP="008A7077">
      <w:pPr>
        <w:rPr>
          <w:rFonts w:ascii="Arial Black" w:hAnsi="Arial Black"/>
          <w:b/>
          <w:sz w:val="28"/>
          <w:szCs w:val="28"/>
        </w:rPr>
      </w:pPr>
      <w:r>
        <w:rPr>
          <w:rFonts w:ascii="Arial Black" w:hAnsi="Arial Black"/>
          <w:b/>
          <w:sz w:val="28"/>
          <w:szCs w:val="28"/>
        </w:rPr>
        <w:t xml:space="preserve">WV: OWNER </w:t>
      </w:r>
      <w:r w:rsidR="0046766E">
        <w:rPr>
          <w:rFonts w:ascii="Arial Black" w:hAnsi="Arial Black"/>
          <w:b/>
          <w:sz w:val="28"/>
          <w:szCs w:val="28"/>
        </w:rPr>
        <w:t>“</w:t>
      </w:r>
      <w:r>
        <w:rPr>
          <w:rFonts w:ascii="Arial Black" w:hAnsi="Arial Black"/>
          <w:b/>
          <w:sz w:val="28"/>
          <w:szCs w:val="28"/>
        </w:rPr>
        <w:t>STAT EMS</w:t>
      </w:r>
      <w:r w:rsidR="0046766E">
        <w:rPr>
          <w:rFonts w:ascii="Arial Black" w:hAnsi="Arial Black"/>
          <w:b/>
          <w:sz w:val="28"/>
          <w:szCs w:val="28"/>
        </w:rPr>
        <w:t>” COMPANY</w:t>
      </w:r>
      <w:r>
        <w:rPr>
          <w:rFonts w:ascii="Arial Black" w:hAnsi="Arial Black"/>
          <w:b/>
          <w:sz w:val="28"/>
          <w:szCs w:val="28"/>
        </w:rPr>
        <w:t xml:space="preserve"> – $3.3M UNPAID TAXES – CONV</w:t>
      </w:r>
      <w:r w:rsidR="0046766E">
        <w:rPr>
          <w:rFonts w:ascii="Arial Black" w:hAnsi="Arial Black"/>
          <w:b/>
          <w:sz w:val="28"/>
          <w:szCs w:val="28"/>
        </w:rPr>
        <w:t>ICTED</w:t>
      </w:r>
    </w:p>
    <w:p w14:paraId="2268C460" w14:textId="77777777" w:rsidR="008A7077" w:rsidRPr="00DF71DE" w:rsidRDefault="008A7077" w:rsidP="008A7077">
      <w:pPr>
        <w:pStyle w:val="NoSpacing"/>
        <w:rPr>
          <w:rFonts w:ascii="Times New Roman" w:hAnsi="Times New Roman"/>
          <w:sz w:val="24"/>
          <w:szCs w:val="24"/>
        </w:rPr>
      </w:pPr>
      <w:r w:rsidRPr="00DF71DE">
        <w:rPr>
          <w:rFonts w:ascii="Times New Roman" w:hAnsi="Times New Roman"/>
          <w:sz w:val="24"/>
          <w:szCs w:val="24"/>
        </w:rPr>
        <w:t xml:space="preserve">On Jan. 2, 2025, in </w:t>
      </w:r>
      <w:r w:rsidRPr="00DF71DE">
        <w:rPr>
          <w:rFonts w:ascii="Times New Roman" w:hAnsi="Times New Roman"/>
          <w:sz w:val="24"/>
          <w:szCs w:val="24"/>
          <w:u w:val="single"/>
        </w:rPr>
        <w:t>United States of America v. Christopher Smyth</w:t>
      </w:r>
      <w:r w:rsidRPr="00DF71DE">
        <w:rPr>
          <w:rFonts w:ascii="Times New Roman" w:hAnsi="Times New Roman"/>
          <w:sz w:val="24"/>
          <w:szCs w:val="24"/>
        </w:rPr>
        <w:t xml:space="preserve">, U.S. District Court Chief Judge Frank W. Volk denied the defendant’s request for a downward departure from the federal sentencing guidelines.  He was convicted by a jury on May 3, </w:t>
      </w:r>
      <w:proofErr w:type="gramStart"/>
      <w:r w:rsidRPr="00DF71DE">
        <w:rPr>
          <w:rFonts w:ascii="Times New Roman" w:hAnsi="Times New Roman"/>
          <w:sz w:val="24"/>
          <w:szCs w:val="24"/>
        </w:rPr>
        <w:t>2024</w:t>
      </w:r>
      <w:proofErr w:type="gramEnd"/>
      <w:r w:rsidRPr="00DF71DE">
        <w:rPr>
          <w:rFonts w:ascii="Times New Roman" w:hAnsi="Times New Roman"/>
          <w:sz w:val="24"/>
          <w:szCs w:val="24"/>
        </w:rPr>
        <w:t xml:space="preserve"> by a federal jury in Beckley, West Virginia, for failing to pay the taxes withheld from employees’ wages at an ambulance service he operated and for obstructing the IRS.   Judge Volk was not impressed by the argument that the defendant was motivated by a desire to protect his community by continuing critical emergency services.  “Simply put, Mr. Smyth could have paid the trust fund taxes he had already collected from STAT EMS employees. He redirected the funds elsewhere.”  Mr. Smith will be sentenced on March 3, 2025. </w:t>
      </w:r>
      <w:hyperlink r:id="rId2481" w:history="1">
        <w:r w:rsidRPr="00DF71DE">
          <w:rPr>
            <w:rStyle w:val="Hyperlink"/>
            <w:rFonts w:ascii="Times New Roman" w:hAnsi="Times New Roman"/>
            <w:sz w:val="24"/>
            <w:szCs w:val="24"/>
          </w:rPr>
          <w:t>https://www.wvsd.uscourts.gov/sites/wvsd/files/opinions/MOO_20250102_5_22-cr-00182.pdf</w:t>
        </w:r>
      </w:hyperlink>
      <w:r w:rsidRPr="00DF71DE">
        <w:rPr>
          <w:rFonts w:ascii="Times New Roman" w:hAnsi="Times New Roman"/>
          <w:sz w:val="24"/>
          <w:szCs w:val="24"/>
        </w:rPr>
        <w:t xml:space="preserve"> </w:t>
      </w:r>
    </w:p>
    <w:p w14:paraId="284269F9" w14:textId="77777777" w:rsidR="008A7077" w:rsidRPr="00DF71DE" w:rsidRDefault="008A7077" w:rsidP="008A7077">
      <w:pPr>
        <w:pStyle w:val="NoSpacing"/>
        <w:rPr>
          <w:rFonts w:ascii="Times New Roman" w:hAnsi="Times New Roman"/>
          <w:sz w:val="24"/>
          <w:szCs w:val="24"/>
        </w:rPr>
      </w:pPr>
    </w:p>
    <w:p w14:paraId="16E839CB" w14:textId="77777777" w:rsidR="008A7077" w:rsidRPr="00DF71DE" w:rsidRDefault="008A7077" w:rsidP="008A7077">
      <w:pPr>
        <w:pStyle w:val="NoSpacing"/>
        <w:rPr>
          <w:rFonts w:ascii="Times New Roman" w:hAnsi="Times New Roman"/>
          <w:sz w:val="24"/>
          <w:szCs w:val="24"/>
        </w:rPr>
      </w:pPr>
      <w:r w:rsidRPr="00DF71DE">
        <w:rPr>
          <w:rFonts w:ascii="Times New Roman" w:hAnsi="Times New Roman"/>
          <w:sz w:val="24"/>
          <w:szCs w:val="24"/>
        </w:rPr>
        <w:t>The Court wrote:</w:t>
      </w:r>
    </w:p>
    <w:p w14:paraId="65FDED65" w14:textId="77777777" w:rsidR="008A7077" w:rsidRPr="00DF71DE" w:rsidRDefault="008A7077" w:rsidP="008A7077">
      <w:pPr>
        <w:pStyle w:val="NoSpacing"/>
        <w:rPr>
          <w:rFonts w:ascii="Times New Roman" w:hAnsi="Times New Roman"/>
          <w:sz w:val="24"/>
          <w:szCs w:val="24"/>
        </w:rPr>
      </w:pPr>
    </w:p>
    <w:p w14:paraId="598934ED"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“Mr. Smyth contends his criminal conduct was motivated by a desire to protect his</w:t>
      </w:r>
    </w:p>
    <w:p w14:paraId="7FC03DE3"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 xml:space="preserve">community by continuing critical emergency services. [ECF 148 at 4]. He claims STAT EMS lacked sufficient funds to pay the trust fund taxes, </w:t>
      </w:r>
      <w:proofErr w:type="gramStart"/>
      <w:r w:rsidRPr="00DF71DE">
        <w:rPr>
          <w:rFonts w:ascii="Times New Roman" w:hAnsi="Times New Roman"/>
          <w:sz w:val="24"/>
          <w:szCs w:val="24"/>
        </w:rPr>
        <w:t>inasmuch as</w:t>
      </w:r>
      <w:proofErr w:type="gramEnd"/>
      <w:r w:rsidRPr="00DF71DE">
        <w:rPr>
          <w:rFonts w:ascii="Times New Roman" w:hAnsi="Times New Roman"/>
          <w:sz w:val="24"/>
          <w:szCs w:val="24"/>
        </w:rPr>
        <w:t xml:space="preserve"> </w:t>
      </w:r>
      <w:proofErr w:type="gramStart"/>
      <w:r w:rsidRPr="00DF71DE">
        <w:rPr>
          <w:rFonts w:ascii="Times New Roman" w:hAnsi="Times New Roman"/>
          <w:sz w:val="24"/>
          <w:szCs w:val="24"/>
        </w:rPr>
        <w:t>it earlier</w:t>
      </w:r>
      <w:proofErr w:type="gramEnd"/>
      <w:r w:rsidRPr="00DF71DE">
        <w:rPr>
          <w:rFonts w:ascii="Times New Roman" w:hAnsi="Times New Roman"/>
          <w:sz w:val="24"/>
          <w:szCs w:val="24"/>
        </w:rPr>
        <w:t xml:space="preserve"> absorbed two failed ambulance companies. [Id. at 3–4]. He further contends the IRS acknowledged the importance of the services by </w:t>
      </w:r>
      <w:r w:rsidRPr="00DF71DE">
        <w:rPr>
          <w:rFonts w:ascii="Times New Roman" w:hAnsi="Times New Roman"/>
          <w:sz w:val="24"/>
          <w:szCs w:val="24"/>
        </w:rPr>
        <w:lastRenderedPageBreak/>
        <w:t>foregoing levy against STAT EMS or liquidating its assets. [Id. at 4]. For these reasons, he seeks the subject departure and a downward variance.</w:t>
      </w:r>
    </w:p>
    <w:p w14:paraId="0D132CD9" w14:textId="77777777" w:rsidR="008A7077" w:rsidRPr="00DF71DE" w:rsidRDefault="008A7077" w:rsidP="008A7077">
      <w:pPr>
        <w:pStyle w:val="NoSpacing"/>
        <w:rPr>
          <w:rFonts w:ascii="Times New Roman" w:hAnsi="Times New Roman"/>
          <w:sz w:val="24"/>
          <w:szCs w:val="24"/>
        </w:rPr>
      </w:pPr>
    </w:p>
    <w:p w14:paraId="33AC2C37"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w:t>
      </w:r>
    </w:p>
    <w:p w14:paraId="6F291A56" w14:textId="77777777" w:rsidR="008A7077" w:rsidRPr="00DF71DE" w:rsidRDefault="008A7077" w:rsidP="008A7077">
      <w:pPr>
        <w:pStyle w:val="NoSpacing"/>
        <w:rPr>
          <w:rFonts w:ascii="Times New Roman" w:hAnsi="Times New Roman"/>
          <w:sz w:val="24"/>
          <w:szCs w:val="24"/>
        </w:rPr>
      </w:pPr>
    </w:p>
    <w:p w14:paraId="16E445B6"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Mr. Smyth’s decades-long dodge of his taxpayer obligations deprived the Sovereign of monies used to fund essential governmental services. It is our elected representatives who hold the privilege and responsibility for funding decisions. Instead of permitting those policy decisions to be made by the ones to whom the power is reserved, however, Mr. Smyth made his own funding allocation. And he seeks a reduction for doing so. The approach is quite distorted.</w:t>
      </w:r>
    </w:p>
    <w:p w14:paraId="4E532352" w14:textId="77777777" w:rsidR="008A7077" w:rsidRPr="00DF71DE" w:rsidRDefault="008A7077" w:rsidP="008A7077">
      <w:pPr>
        <w:pStyle w:val="NoSpacing"/>
        <w:rPr>
          <w:rFonts w:ascii="Times New Roman" w:hAnsi="Times New Roman"/>
          <w:sz w:val="24"/>
          <w:szCs w:val="24"/>
        </w:rPr>
      </w:pPr>
    </w:p>
    <w:p w14:paraId="667ED036"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Mr. Smyth also contends his crimes resulted from insufficient funds after absorbing</w:t>
      </w:r>
    </w:p>
    <w:p w14:paraId="2A069623"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 xml:space="preserve">two failed ambulance services in 2014. [ECF 148 at 3–4]. That is inaccurate. His tax crimes started long prior. [See PSR at 5]. The trial surfaced not only Mr. Smyth’s failure to pay his trust fund taxes, but also his decision to pay himself, his family, his friends, and the businesses they operated. Mr. Smyth also managed to meet his tax obligations shortly after coming </w:t>
      </w:r>
      <w:proofErr w:type="gramStart"/>
      <w:r w:rsidRPr="00DF71DE">
        <w:rPr>
          <w:rFonts w:ascii="Times New Roman" w:hAnsi="Times New Roman"/>
          <w:sz w:val="24"/>
          <w:szCs w:val="24"/>
        </w:rPr>
        <w:t>under</w:t>
      </w:r>
      <w:proofErr w:type="gramEnd"/>
      <w:r w:rsidRPr="00DF71DE">
        <w:rPr>
          <w:rFonts w:ascii="Times New Roman" w:hAnsi="Times New Roman"/>
          <w:sz w:val="24"/>
          <w:szCs w:val="24"/>
        </w:rPr>
        <w:t xml:space="preserve"> criminal investigation. Simply put, Mr. Smyth could have paid the trust fund taxes he had already collected from STAT EMS employees. He redirected the funds elsewhere.</w:t>
      </w:r>
    </w:p>
    <w:p w14:paraId="59BA937B" w14:textId="77777777" w:rsidR="008A7077" w:rsidRPr="00DF71DE" w:rsidRDefault="008A7077" w:rsidP="008A7077">
      <w:pPr>
        <w:pStyle w:val="NoSpacing"/>
        <w:rPr>
          <w:rFonts w:ascii="Times New Roman" w:hAnsi="Times New Roman"/>
          <w:sz w:val="24"/>
          <w:szCs w:val="24"/>
        </w:rPr>
      </w:pPr>
    </w:p>
    <w:p w14:paraId="65B8BC8F"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In sum, Mr. Smyth shorted the Sovereign and the tax-paying public. Under such</w:t>
      </w:r>
    </w:p>
    <w:p w14:paraId="7B26A2D8"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circumstances, a downward departure is inappropriate. A ruling on the variance request awaits further development by counsel at sentencing.”</w:t>
      </w:r>
    </w:p>
    <w:p w14:paraId="14424410" w14:textId="77777777" w:rsidR="008A7077" w:rsidRPr="00DF71DE" w:rsidRDefault="008A7077" w:rsidP="008A7077">
      <w:pPr>
        <w:pStyle w:val="NoSpacing"/>
        <w:ind w:left="720"/>
        <w:rPr>
          <w:rFonts w:ascii="Times New Roman" w:hAnsi="Times New Roman"/>
          <w:sz w:val="24"/>
          <w:szCs w:val="24"/>
        </w:rPr>
      </w:pPr>
    </w:p>
    <w:p w14:paraId="4D39DC93" w14:textId="77777777" w:rsidR="008A7077" w:rsidRPr="00DF71DE" w:rsidRDefault="008A7077" w:rsidP="008A7077">
      <w:pPr>
        <w:pStyle w:val="NoSpacing"/>
        <w:rPr>
          <w:rFonts w:ascii="Times New Roman" w:hAnsi="Times New Roman"/>
          <w:b/>
          <w:bCs/>
          <w:sz w:val="24"/>
          <w:szCs w:val="24"/>
        </w:rPr>
      </w:pPr>
      <w:r w:rsidRPr="00DF71DE">
        <w:rPr>
          <w:rFonts w:ascii="Times New Roman" w:hAnsi="Times New Roman"/>
          <w:b/>
          <w:sz w:val="24"/>
          <w:szCs w:val="24"/>
        </w:rPr>
        <w:t xml:space="preserve">Legal Lesson Learned:  Failure to pay taxes can result in jail time. </w:t>
      </w:r>
    </w:p>
    <w:p w14:paraId="3FCFC72C" w14:textId="77777777" w:rsidR="008A7077" w:rsidRPr="00DF71DE" w:rsidRDefault="008A7077" w:rsidP="008A7077">
      <w:pPr>
        <w:rPr>
          <w:rFonts w:ascii="Times New Roman" w:hAnsi="Times New Roman"/>
          <w:b/>
          <w:sz w:val="24"/>
          <w:szCs w:val="24"/>
        </w:rPr>
      </w:pPr>
    </w:p>
    <w:p w14:paraId="2118BFAC" w14:textId="77777777" w:rsidR="008A7077" w:rsidRPr="00DF71DE" w:rsidRDefault="008A7077" w:rsidP="008A7077">
      <w:pPr>
        <w:ind w:left="720"/>
        <w:rPr>
          <w:rFonts w:ascii="Times New Roman" w:hAnsi="Times New Roman"/>
          <w:bCs/>
          <w:sz w:val="24"/>
          <w:szCs w:val="24"/>
        </w:rPr>
      </w:pPr>
      <w:r w:rsidRPr="00DF71DE">
        <w:rPr>
          <w:rFonts w:ascii="Times New Roman" w:hAnsi="Times New Roman"/>
          <w:sz w:val="24"/>
          <w:szCs w:val="24"/>
        </w:rPr>
        <w:t>Note: See May 3, 2024, U.S. Department of Justice press release, “West Virginia Ambulance Services Business Owner Convicted of Tax Crimes.”</w:t>
      </w:r>
    </w:p>
    <w:p w14:paraId="4D7DF769" w14:textId="77777777" w:rsidR="008A7077" w:rsidRPr="00DF71DE" w:rsidRDefault="008A7077" w:rsidP="008A7077">
      <w:pPr>
        <w:ind w:left="720"/>
        <w:rPr>
          <w:rFonts w:ascii="Times New Roman" w:hAnsi="Times New Roman"/>
          <w:bCs/>
          <w:sz w:val="24"/>
          <w:szCs w:val="24"/>
        </w:rPr>
      </w:pPr>
      <w:r w:rsidRPr="00DF71DE">
        <w:rPr>
          <w:rFonts w:ascii="Times New Roman" w:hAnsi="Times New Roman"/>
          <w:sz w:val="24"/>
          <w:szCs w:val="24"/>
        </w:rPr>
        <w:t>“A federal jury in Beckley, West Virginia, convicted a man yesterday for failing to pay the taxes withheld from employees’ wages at an ambulance service he operated and for obstructing the IRS.   According to evidence presented at trial, from 2012 through part of 2017, Christopher Jason Smyth operated Stat EMS LLC, an ambulance service located in Pineville, West Virginia. Smyth created Stat EMS after a previous ambulance business Smyth operated accrued millions of dollars of employment tax liabilities and filed for bankruptcy. Smyth caused Stat EMS to be founded in the name of a nominee owner but continued operating the business in the same manner as before.</w:t>
      </w:r>
    </w:p>
    <w:p w14:paraId="74894D62" w14:textId="25178C41" w:rsidR="008A7077" w:rsidRPr="00DF71DE" w:rsidRDefault="008A7077" w:rsidP="008A7077">
      <w:pPr>
        <w:ind w:left="720"/>
        <w:rPr>
          <w:rFonts w:ascii="Times New Roman" w:hAnsi="Times New Roman"/>
          <w:bCs/>
          <w:sz w:val="24"/>
          <w:szCs w:val="24"/>
        </w:rPr>
      </w:pPr>
      <w:r w:rsidRPr="00DF71DE">
        <w:rPr>
          <w:rFonts w:ascii="Times New Roman" w:hAnsi="Times New Roman"/>
          <w:sz w:val="24"/>
          <w:szCs w:val="24"/>
        </w:rPr>
        <w:t xml:space="preserve">At Stat EMS, Smyth was responsible for withholding Social Security, Medicare and income taxes from employees’ wages and paying them to the IRS. For two quarters in 2016, Smyth, however, did not fully pay the taxes to the IRS. Instead, he paid various personal expenses and transferred funds to businesses held by his friends and family. The IRS determined that Stat EMS accrued approximately $3.3 million in unpaid </w:t>
      </w:r>
      <w:proofErr w:type="gramStart"/>
      <w:r w:rsidR="00DF71DE" w:rsidRPr="00DF71DE">
        <w:rPr>
          <w:rFonts w:ascii="Times New Roman" w:hAnsi="Times New Roman"/>
          <w:sz w:val="24"/>
          <w:szCs w:val="24"/>
        </w:rPr>
        <w:t>taxes.</w:t>
      </w:r>
      <w:r w:rsidR="00DF71DE">
        <w:rPr>
          <w:rFonts w:ascii="Times New Roman" w:hAnsi="Times New Roman"/>
          <w:sz w:val="24"/>
          <w:szCs w:val="24"/>
        </w:rPr>
        <w:t>”</w:t>
      </w:r>
      <w:proofErr w:type="gramEnd"/>
    </w:p>
    <w:p w14:paraId="526AAB6D" w14:textId="77777777" w:rsidR="008A7077" w:rsidRDefault="008A7077" w:rsidP="008A7077">
      <w:pPr>
        <w:rPr>
          <w:b/>
        </w:rPr>
      </w:pPr>
    </w:p>
    <w:p w14:paraId="6DF1A81F" w14:textId="77777777" w:rsidR="008A7077" w:rsidRDefault="008A7077" w:rsidP="00F91F9F">
      <w:pPr>
        <w:pStyle w:val="NoSpacing"/>
        <w:rPr>
          <w:rFonts w:ascii="Arial Black" w:hAnsi="Arial Black"/>
          <w:sz w:val="24"/>
          <w:szCs w:val="24"/>
        </w:rPr>
      </w:pPr>
    </w:p>
    <w:p w14:paraId="2DE44799" w14:textId="77777777" w:rsidR="008A7077" w:rsidRDefault="008A7077" w:rsidP="00F91F9F">
      <w:pPr>
        <w:pStyle w:val="NoSpacing"/>
        <w:rPr>
          <w:rFonts w:ascii="Arial Black" w:hAnsi="Arial Black"/>
          <w:sz w:val="24"/>
          <w:szCs w:val="24"/>
        </w:rPr>
      </w:pPr>
    </w:p>
    <w:p w14:paraId="4FF3EEEA" w14:textId="77777777" w:rsidR="008A7077" w:rsidRDefault="008A7077" w:rsidP="00F91F9F">
      <w:pPr>
        <w:pStyle w:val="NoSpacing"/>
        <w:rPr>
          <w:rFonts w:ascii="Arial Black" w:hAnsi="Arial Black"/>
          <w:sz w:val="24"/>
          <w:szCs w:val="24"/>
        </w:rPr>
      </w:pPr>
    </w:p>
    <w:p w14:paraId="1A3E4068" w14:textId="299B901A" w:rsidR="00921B8A" w:rsidRDefault="00921B8A" w:rsidP="00F91F9F">
      <w:pPr>
        <w:pStyle w:val="NoSpacing"/>
        <w:rPr>
          <w:rFonts w:ascii="Arial Black" w:hAnsi="Arial Black"/>
          <w:sz w:val="24"/>
          <w:szCs w:val="24"/>
        </w:rPr>
      </w:pPr>
      <w:r>
        <w:rPr>
          <w:rFonts w:ascii="Arial Black" w:hAnsi="Arial Black"/>
          <w:sz w:val="24"/>
          <w:szCs w:val="24"/>
        </w:rPr>
        <w:t>16-119</w:t>
      </w:r>
    </w:p>
    <w:p w14:paraId="0BBF3020" w14:textId="77777777" w:rsidR="00921B8A" w:rsidRDefault="00921B8A" w:rsidP="00F91F9F">
      <w:pPr>
        <w:pStyle w:val="NoSpacing"/>
        <w:rPr>
          <w:rFonts w:ascii="Arial Black" w:hAnsi="Arial Black"/>
          <w:sz w:val="24"/>
          <w:szCs w:val="24"/>
        </w:rPr>
      </w:pPr>
    </w:p>
    <w:p w14:paraId="3F309FF6" w14:textId="77777777" w:rsidR="0063723E" w:rsidRPr="00913FB8" w:rsidRDefault="0063723E" w:rsidP="0063723E">
      <w:pPr>
        <w:pStyle w:val="NoSpacing"/>
        <w:rPr>
          <w:rFonts w:ascii="Arial Black" w:hAnsi="Arial Black"/>
          <w:sz w:val="28"/>
          <w:szCs w:val="28"/>
        </w:rPr>
      </w:pPr>
      <w:r>
        <w:rPr>
          <w:rFonts w:ascii="Arial Black" w:hAnsi="Arial Black"/>
          <w:sz w:val="28"/>
          <w:szCs w:val="28"/>
        </w:rPr>
        <w:lastRenderedPageBreak/>
        <w:t xml:space="preserve">MI: WHISTLEBLOWER, REPT BAD TIRES – LATER FIRED </w:t>
      </w:r>
    </w:p>
    <w:p w14:paraId="4775763C" w14:textId="77777777" w:rsidR="0063723E" w:rsidRDefault="0063723E" w:rsidP="0063723E">
      <w:pPr>
        <w:pStyle w:val="NoSpacing"/>
      </w:pPr>
    </w:p>
    <w:p w14:paraId="05A387C3" w14:textId="77777777" w:rsidR="00054479" w:rsidRPr="00054479" w:rsidRDefault="00054479" w:rsidP="00054479">
      <w:pPr>
        <w:pStyle w:val="NoSpacing"/>
        <w:rPr>
          <w:rFonts w:ascii="Times New Roman" w:hAnsi="Times New Roman"/>
          <w:sz w:val="24"/>
          <w:szCs w:val="24"/>
        </w:rPr>
      </w:pPr>
      <w:r w:rsidRPr="00054479">
        <w:rPr>
          <w:rFonts w:ascii="Times New Roman" w:hAnsi="Times New Roman"/>
          <w:sz w:val="24"/>
          <w:szCs w:val="24"/>
        </w:rPr>
        <w:t xml:space="preserve">On Dec. 19, 2024, in </w:t>
      </w:r>
      <w:r w:rsidRPr="00054479">
        <w:rPr>
          <w:rFonts w:ascii="Times New Roman" w:hAnsi="Times New Roman"/>
          <w:sz w:val="24"/>
          <w:szCs w:val="24"/>
          <w:u w:val="single"/>
        </w:rPr>
        <w:t>Dale Gorm v. Northern Bay Ambulance &amp; Rescue</w:t>
      </w:r>
      <w:r w:rsidRPr="00054479">
        <w:rPr>
          <w:rFonts w:ascii="Times New Roman" w:hAnsi="Times New Roman"/>
          <w:sz w:val="24"/>
          <w:szCs w:val="24"/>
        </w:rPr>
        <w:t xml:space="preserve">, the Michigan Court of Appeals held (3 to 0; unpublished decision) that the trial court improperly granted summary judgment to the ambulance company.  In 2022, Paramedic Gorm complained twice to Chairman of Board about poor tires on the ambulances </w:t>
      </w:r>
      <w:proofErr w:type="gramStart"/>
      <w:r w:rsidRPr="00054479">
        <w:rPr>
          <w:rFonts w:ascii="Times New Roman" w:hAnsi="Times New Roman"/>
          <w:sz w:val="24"/>
          <w:szCs w:val="24"/>
        </w:rPr>
        <w:t>and also</w:t>
      </w:r>
      <w:proofErr w:type="gramEnd"/>
      <w:r w:rsidRPr="00054479">
        <w:rPr>
          <w:rFonts w:ascii="Times New Roman" w:hAnsi="Times New Roman"/>
          <w:sz w:val="24"/>
          <w:szCs w:val="24"/>
        </w:rPr>
        <w:t xml:space="preserve"> complained that the Operations Manager, Ms. Jones, was doing poor job and should be fired.  The complaint was about two months prior to being fired.  On July 1, 2022, he inadvertently found on the common-use copier a document with EMS salary info and social security numbers, and he showed it two other EMS on duty.  He was fired July 14 for “privacy breach.” </w:t>
      </w:r>
      <w:hyperlink r:id="rId2482" w:history="1">
        <w:r w:rsidRPr="00054479">
          <w:rPr>
            <w:rStyle w:val="Hyperlink"/>
            <w:rFonts w:ascii="Times New Roman" w:hAnsi="Times New Roman"/>
            <w:sz w:val="24"/>
            <w:szCs w:val="24"/>
          </w:rPr>
          <w:t>https://cases.justia.com/michigan/court-of-appeals-unpublished/2024-368783.pdf?ts=1734703212</w:t>
        </w:r>
      </w:hyperlink>
      <w:r w:rsidRPr="00054479">
        <w:rPr>
          <w:rFonts w:ascii="Times New Roman" w:hAnsi="Times New Roman"/>
          <w:sz w:val="24"/>
          <w:szCs w:val="24"/>
        </w:rPr>
        <w:t xml:space="preserve"> </w:t>
      </w:r>
    </w:p>
    <w:p w14:paraId="0B490466" w14:textId="77777777" w:rsidR="00054479" w:rsidRDefault="00054479" w:rsidP="0063723E">
      <w:pPr>
        <w:pStyle w:val="NoSpacing"/>
        <w:rPr>
          <w:rFonts w:ascii="Times New Roman" w:hAnsi="Times New Roman"/>
          <w:sz w:val="24"/>
          <w:szCs w:val="24"/>
        </w:rPr>
      </w:pPr>
    </w:p>
    <w:p w14:paraId="5A8633E4" w14:textId="77777777" w:rsidR="00054479" w:rsidRDefault="00054479" w:rsidP="0063723E">
      <w:pPr>
        <w:pStyle w:val="NoSpacing"/>
        <w:rPr>
          <w:rFonts w:ascii="Times New Roman" w:hAnsi="Times New Roman"/>
          <w:sz w:val="24"/>
          <w:szCs w:val="24"/>
        </w:rPr>
      </w:pPr>
    </w:p>
    <w:p w14:paraId="0E41B549" w14:textId="18EDB9E4" w:rsidR="0063723E" w:rsidRPr="0063723E" w:rsidRDefault="0063723E" w:rsidP="0063723E">
      <w:pPr>
        <w:pStyle w:val="NoSpacing"/>
        <w:rPr>
          <w:rFonts w:ascii="Times New Roman" w:hAnsi="Times New Roman"/>
          <w:sz w:val="24"/>
          <w:szCs w:val="24"/>
        </w:rPr>
      </w:pPr>
      <w:r w:rsidRPr="0063723E">
        <w:rPr>
          <w:rFonts w:ascii="Times New Roman" w:hAnsi="Times New Roman"/>
          <w:sz w:val="24"/>
          <w:szCs w:val="24"/>
        </w:rPr>
        <w:t>The Cour</w:t>
      </w:r>
      <w:r w:rsidR="0080636C">
        <w:rPr>
          <w:rFonts w:ascii="Times New Roman" w:hAnsi="Times New Roman"/>
          <w:sz w:val="24"/>
          <w:szCs w:val="24"/>
        </w:rPr>
        <w:t>t wrote</w:t>
      </w:r>
      <w:r w:rsidRPr="0063723E">
        <w:rPr>
          <w:rFonts w:ascii="Times New Roman" w:hAnsi="Times New Roman"/>
          <w:sz w:val="24"/>
          <w:szCs w:val="24"/>
        </w:rPr>
        <w:t xml:space="preserve">: </w:t>
      </w:r>
    </w:p>
    <w:p w14:paraId="0A9C3108" w14:textId="77777777" w:rsidR="0080636C" w:rsidRDefault="0080636C" w:rsidP="0063723E">
      <w:pPr>
        <w:pStyle w:val="NoSpacing"/>
        <w:ind w:firstLine="720"/>
        <w:rPr>
          <w:rFonts w:ascii="Times New Roman" w:hAnsi="Times New Roman"/>
          <w:sz w:val="24"/>
          <w:szCs w:val="24"/>
        </w:rPr>
      </w:pPr>
    </w:p>
    <w:p w14:paraId="09D46BE5" w14:textId="73010EA8" w:rsidR="0063723E" w:rsidRPr="0063723E" w:rsidRDefault="0063723E" w:rsidP="0063723E">
      <w:pPr>
        <w:pStyle w:val="NoSpacing"/>
        <w:ind w:firstLine="720"/>
        <w:rPr>
          <w:rFonts w:ascii="Times New Roman" w:hAnsi="Times New Roman"/>
          <w:sz w:val="24"/>
          <w:szCs w:val="24"/>
        </w:rPr>
      </w:pPr>
      <w:r w:rsidRPr="0063723E">
        <w:rPr>
          <w:rFonts w:ascii="Times New Roman" w:hAnsi="Times New Roman"/>
          <w:sz w:val="24"/>
          <w:szCs w:val="24"/>
        </w:rPr>
        <w:t>“In sum, plaintiff presented sufficient circumstantial evidence to allow a reasonable fact-</w:t>
      </w:r>
    </w:p>
    <w:p w14:paraId="353BDEC7" w14:textId="2511A5E6" w:rsidR="0063723E" w:rsidRPr="0063723E" w:rsidRDefault="0063723E" w:rsidP="0063723E">
      <w:pPr>
        <w:pStyle w:val="NoSpacing"/>
        <w:ind w:left="720"/>
        <w:rPr>
          <w:rFonts w:ascii="Times New Roman" w:hAnsi="Times New Roman"/>
          <w:sz w:val="24"/>
          <w:szCs w:val="24"/>
        </w:rPr>
      </w:pPr>
      <w:r w:rsidRPr="0063723E">
        <w:rPr>
          <w:rFonts w:ascii="Times New Roman" w:hAnsi="Times New Roman"/>
          <w:sz w:val="24"/>
          <w:szCs w:val="24"/>
        </w:rPr>
        <w:t xml:space="preserve">finder to infer that plaintiff’s protected activity, i.e., reporting Jones’s failures to the Chairman, was a motivating factor in the decision to terminate him. A reasonable </w:t>
      </w:r>
      <w:proofErr w:type="gramStart"/>
      <w:r w:rsidRPr="0063723E">
        <w:rPr>
          <w:rFonts w:ascii="Times New Roman" w:hAnsi="Times New Roman"/>
          <w:sz w:val="24"/>
          <w:szCs w:val="24"/>
        </w:rPr>
        <w:t>fact-finder</w:t>
      </w:r>
      <w:proofErr w:type="gramEnd"/>
      <w:r w:rsidRPr="0063723E">
        <w:rPr>
          <w:rFonts w:ascii="Times New Roman" w:hAnsi="Times New Roman"/>
          <w:sz w:val="24"/>
          <w:szCs w:val="24"/>
        </w:rPr>
        <w:t xml:space="preserve"> could also infer that the proposed legitimate business reason—the privacy breach—was just a pretext. Therefore, there is an issue of fact as to why plaintiff was fired ‘upon which reasonable minds might differ.’ West, 469 Mich at 183.” </w:t>
      </w:r>
    </w:p>
    <w:p w14:paraId="30460BB9" w14:textId="77777777" w:rsidR="00850F47" w:rsidRDefault="00850F47" w:rsidP="002E3928">
      <w:pPr>
        <w:pStyle w:val="NoSpacing"/>
      </w:pPr>
    </w:p>
    <w:p w14:paraId="6110C56C" w14:textId="42FE4912" w:rsidR="002E3928" w:rsidRPr="00850F47" w:rsidRDefault="002E3928" w:rsidP="002E3928">
      <w:pPr>
        <w:pStyle w:val="NoSpacing"/>
        <w:rPr>
          <w:rFonts w:ascii="Times New Roman" w:hAnsi="Times New Roman"/>
          <w:sz w:val="24"/>
          <w:szCs w:val="24"/>
        </w:rPr>
      </w:pPr>
      <w:r w:rsidRPr="00850F47">
        <w:rPr>
          <w:rFonts w:ascii="Times New Roman" w:hAnsi="Times New Roman"/>
          <w:sz w:val="24"/>
          <w:szCs w:val="24"/>
        </w:rPr>
        <w:t>HOLDING:</w:t>
      </w:r>
    </w:p>
    <w:p w14:paraId="5B729953" w14:textId="77777777" w:rsidR="002E3928" w:rsidRPr="00850F47" w:rsidRDefault="002E3928" w:rsidP="002E3928">
      <w:pPr>
        <w:pStyle w:val="NoSpacing"/>
        <w:ind w:left="720"/>
        <w:rPr>
          <w:rFonts w:ascii="Times New Roman" w:hAnsi="Times New Roman"/>
          <w:sz w:val="24"/>
          <w:szCs w:val="24"/>
        </w:rPr>
      </w:pPr>
    </w:p>
    <w:p w14:paraId="5670DDDE"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“Plaintiff filed a lawsuit alleging that defendant retaliated against him in violation of the</w:t>
      </w:r>
    </w:p>
    <w:p w14:paraId="42FC69E3"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Whistleblowers’ Protection Act (WPA), MCL 15.369 et seq</w:t>
      </w:r>
      <w:proofErr w:type="gramStart"/>
      <w:r w:rsidRPr="00850F47">
        <w:rPr>
          <w:rFonts w:ascii="Times New Roman" w:hAnsi="Times New Roman"/>
          <w:sz w:val="24"/>
          <w:szCs w:val="24"/>
        </w:rPr>
        <w:t>.…</w:t>
      </w:r>
      <w:proofErr w:type="gramEnd"/>
      <w:r w:rsidRPr="00850F47">
        <w:rPr>
          <w:rFonts w:ascii="Times New Roman" w:hAnsi="Times New Roman"/>
          <w:sz w:val="24"/>
          <w:szCs w:val="24"/>
        </w:rPr>
        <w:t xml:space="preserve"> Pursuant to MCL 15.362, the WPA prohibits an employer from taking adverse employment action against an employee who </w:t>
      </w:r>
      <w:proofErr w:type="gramStart"/>
      <w:r w:rsidRPr="00850F47">
        <w:rPr>
          <w:rFonts w:ascii="Times New Roman" w:hAnsi="Times New Roman"/>
          <w:sz w:val="24"/>
          <w:szCs w:val="24"/>
        </w:rPr>
        <w:t>reports, ‘</w:t>
      </w:r>
      <w:proofErr w:type="gramEnd"/>
      <w:r w:rsidRPr="00850F47">
        <w:rPr>
          <w:rFonts w:ascii="Times New Roman" w:hAnsi="Times New Roman"/>
          <w:sz w:val="24"/>
          <w:szCs w:val="24"/>
        </w:rPr>
        <w:t>or is about to report, a violation or suspected violation</w:t>
      </w:r>
    </w:p>
    <w:p w14:paraId="6876F3F1"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of law to a public body,’ verbally or in writing.</w:t>
      </w:r>
    </w:p>
    <w:p w14:paraId="36795385" w14:textId="77777777" w:rsidR="002E3928" w:rsidRPr="00850F47" w:rsidRDefault="002E3928" w:rsidP="002E3928">
      <w:pPr>
        <w:pStyle w:val="NoSpacing"/>
        <w:ind w:left="720"/>
        <w:rPr>
          <w:rFonts w:ascii="Times New Roman" w:hAnsi="Times New Roman"/>
          <w:sz w:val="24"/>
          <w:szCs w:val="24"/>
        </w:rPr>
      </w:pPr>
    </w:p>
    <w:p w14:paraId="6785EF87"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w:t>
      </w:r>
    </w:p>
    <w:p w14:paraId="1843028F" w14:textId="77777777" w:rsidR="002E3928" w:rsidRPr="00850F47" w:rsidRDefault="002E3928" w:rsidP="002E3928">
      <w:pPr>
        <w:pStyle w:val="NoSpacing"/>
        <w:ind w:firstLine="720"/>
        <w:rPr>
          <w:rFonts w:ascii="Times New Roman" w:hAnsi="Times New Roman"/>
          <w:sz w:val="24"/>
          <w:szCs w:val="24"/>
        </w:rPr>
      </w:pPr>
      <w:r w:rsidRPr="00850F47">
        <w:rPr>
          <w:rFonts w:ascii="Times New Roman" w:hAnsi="Times New Roman"/>
          <w:sz w:val="24"/>
          <w:szCs w:val="24"/>
        </w:rPr>
        <w:t>In this case, plaintiff reported twice about poorly maintained tires. It is undisputed that</w:t>
      </w:r>
    </w:p>
    <w:p w14:paraId="5DC5ECBB" w14:textId="77777777" w:rsidR="002E3928" w:rsidRPr="00850F47" w:rsidRDefault="002E3928" w:rsidP="002E3928">
      <w:pPr>
        <w:pStyle w:val="NoSpacing"/>
        <w:ind w:firstLine="720"/>
        <w:rPr>
          <w:rFonts w:ascii="Times New Roman" w:hAnsi="Times New Roman"/>
          <w:sz w:val="24"/>
          <w:szCs w:val="24"/>
        </w:rPr>
      </w:pPr>
      <w:proofErr w:type="gramStart"/>
      <w:r w:rsidRPr="00850F47">
        <w:rPr>
          <w:rFonts w:ascii="Times New Roman" w:hAnsi="Times New Roman"/>
          <w:sz w:val="24"/>
          <w:szCs w:val="24"/>
        </w:rPr>
        <w:t>both</w:t>
      </w:r>
      <w:proofErr w:type="gramEnd"/>
      <w:r w:rsidRPr="00850F47">
        <w:rPr>
          <w:rFonts w:ascii="Times New Roman" w:hAnsi="Times New Roman"/>
          <w:sz w:val="24"/>
          <w:szCs w:val="24"/>
        </w:rPr>
        <w:t xml:space="preserve"> of those reports constitute a protected activity under the WPA.</w:t>
      </w:r>
    </w:p>
    <w:p w14:paraId="0D17B866" w14:textId="77777777" w:rsidR="002E3928" w:rsidRPr="00850F47" w:rsidRDefault="002E3928" w:rsidP="002E3928">
      <w:pPr>
        <w:pStyle w:val="NoSpacing"/>
        <w:ind w:firstLine="720"/>
        <w:rPr>
          <w:rFonts w:ascii="Times New Roman" w:hAnsi="Times New Roman"/>
          <w:sz w:val="24"/>
          <w:szCs w:val="24"/>
        </w:rPr>
      </w:pPr>
    </w:p>
    <w:p w14:paraId="6209DB33" w14:textId="77777777" w:rsidR="002E3928" w:rsidRPr="00850F47" w:rsidRDefault="002E3928" w:rsidP="002E3928">
      <w:pPr>
        <w:pStyle w:val="NoSpacing"/>
        <w:ind w:firstLine="720"/>
        <w:rPr>
          <w:rFonts w:ascii="Times New Roman" w:hAnsi="Times New Roman"/>
          <w:sz w:val="24"/>
          <w:szCs w:val="24"/>
        </w:rPr>
      </w:pPr>
      <w:r w:rsidRPr="00850F47">
        <w:rPr>
          <w:rFonts w:ascii="Times New Roman" w:hAnsi="Times New Roman"/>
          <w:sz w:val="24"/>
          <w:szCs w:val="24"/>
        </w:rPr>
        <w:t>***</w:t>
      </w:r>
    </w:p>
    <w:p w14:paraId="2F2B0B92"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 xml:space="preserve">There is no clear reason why Jones fired plaintiff but did not take any disciplinary actions against Granger, even though Granger </w:t>
      </w:r>
      <w:proofErr w:type="gramStart"/>
      <w:r w:rsidRPr="00850F47">
        <w:rPr>
          <w:rFonts w:ascii="Times New Roman" w:hAnsi="Times New Roman"/>
          <w:sz w:val="24"/>
          <w:szCs w:val="24"/>
        </w:rPr>
        <w:t>actually took</w:t>
      </w:r>
      <w:proofErr w:type="gramEnd"/>
      <w:r w:rsidRPr="00850F47">
        <w:rPr>
          <w:rFonts w:ascii="Times New Roman" w:hAnsi="Times New Roman"/>
          <w:sz w:val="24"/>
          <w:szCs w:val="24"/>
        </w:rPr>
        <w:t xml:space="preserve"> extra steps and indicated her plan to use private and sensitive information against her colleague, albeit jokingly. If a party submits documentary evidence to support his or her position, the jury should decide issues of </w:t>
      </w:r>
      <w:proofErr w:type="gramStart"/>
      <w:r w:rsidRPr="00850F47">
        <w:rPr>
          <w:rFonts w:ascii="Times New Roman" w:hAnsi="Times New Roman"/>
          <w:sz w:val="24"/>
          <w:szCs w:val="24"/>
        </w:rPr>
        <w:t>credibility.”</w:t>
      </w:r>
      <w:proofErr w:type="gramEnd"/>
    </w:p>
    <w:p w14:paraId="2167A3ED" w14:textId="77777777" w:rsidR="002E3928" w:rsidRPr="00850F47" w:rsidRDefault="002E3928" w:rsidP="002E3928">
      <w:pPr>
        <w:pStyle w:val="NoSpacing"/>
        <w:ind w:left="720"/>
        <w:rPr>
          <w:rFonts w:ascii="Times New Roman" w:hAnsi="Times New Roman"/>
          <w:sz w:val="24"/>
          <w:szCs w:val="24"/>
        </w:rPr>
      </w:pPr>
    </w:p>
    <w:p w14:paraId="2008844E" w14:textId="4F1FDF64" w:rsidR="002E3928" w:rsidRPr="00850F47" w:rsidRDefault="002E3928" w:rsidP="002E3928">
      <w:pPr>
        <w:pStyle w:val="NoSpacing"/>
        <w:rPr>
          <w:rFonts w:ascii="Times New Roman" w:hAnsi="Times New Roman"/>
          <w:b/>
          <w:bCs/>
          <w:sz w:val="24"/>
          <w:szCs w:val="24"/>
        </w:rPr>
      </w:pPr>
      <w:r w:rsidRPr="00850F47">
        <w:rPr>
          <w:rFonts w:ascii="Times New Roman" w:hAnsi="Times New Roman"/>
          <w:b/>
          <w:sz w:val="24"/>
          <w:szCs w:val="24"/>
        </w:rPr>
        <w:t>Legal Lesson Learned:  Employees, including “at will” employees</w:t>
      </w:r>
      <w:r w:rsidRPr="00850F47">
        <w:rPr>
          <w:rFonts w:ascii="Times New Roman" w:hAnsi="Times New Roman"/>
          <w:b/>
          <w:bCs/>
          <w:sz w:val="24"/>
          <w:szCs w:val="24"/>
        </w:rPr>
        <w:t>,</w:t>
      </w:r>
      <w:r w:rsidRPr="00850F47">
        <w:rPr>
          <w:rFonts w:ascii="Times New Roman" w:hAnsi="Times New Roman"/>
          <w:b/>
          <w:sz w:val="24"/>
          <w:szCs w:val="24"/>
        </w:rPr>
        <w:t xml:space="preserve"> are</w:t>
      </w:r>
      <w:r w:rsidR="00850F47">
        <w:rPr>
          <w:rFonts w:ascii="Times New Roman" w:hAnsi="Times New Roman"/>
          <w:b/>
          <w:sz w:val="24"/>
          <w:szCs w:val="24"/>
        </w:rPr>
        <w:t xml:space="preserve"> covered</w:t>
      </w:r>
      <w:r w:rsidRPr="00850F47">
        <w:rPr>
          <w:rFonts w:ascii="Times New Roman" w:hAnsi="Times New Roman"/>
          <w:b/>
          <w:sz w:val="24"/>
          <w:szCs w:val="24"/>
        </w:rPr>
        <w:t xml:space="preserve"> under the state’s Whistleblower’s Protection Act</w:t>
      </w:r>
      <w:r w:rsidRPr="00850F47">
        <w:rPr>
          <w:rFonts w:ascii="Times New Roman" w:hAnsi="Times New Roman"/>
          <w:b/>
          <w:bCs/>
          <w:sz w:val="24"/>
          <w:szCs w:val="24"/>
        </w:rPr>
        <w:t>.</w:t>
      </w:r>
    </w:p>
    <w:p w14:paraId="57B112F2" w14:textId="77777777" w:rsidR="0063723E" w:rsidRPr="00850F47" w:rsidRDefault="0063723E" w:rsidP="00F91F9F">
      <w:pPr>
        <w:pStyle w:val="NoSpacing"/>
        <w:rPr>
          <w:rFonts w:ascii="Times New Roman" w:hAnsi="Times New Roman"/>
          <w:sz w:val="24"/>
          <w:szCs w:val="24"/>
        </w:rPr>
      </w:pPr>
    </w:p>
    <w:p w14:paraId="77A11727" w14:textId="77777777" w:rsidR="00921B8A" w:rsidRDefault="00921B8A" w:rsidP="00F91F9F">
      <w:pPr>
        <w:pStyle w:val="NoSpacing"/>
        <w:rPr>
          <w:rFonts w:ascii="Arial Black" w:hAnsi="Arial Black"/>
          <w:sz w:val="24"/>
          <w:szCs w:val="24"/>
        </w:rPr>
      </w:pPr>
    </w:p>
    <w:p w14:paraId="41FAEF5D" w14:textId="77777777" w:rsidR="00921B8A" w:rsidRDefault="00921B8A" w:rsidP="00F91F9F">
      <w:pPr>
        <w:pStyle w:val="NoSpacing"/>
        <w:rPr>
          <w:rFonts w:ascii="Arial Black" w:hAnsi="Arial Black"/>
          <w:sz w:val="24"/>
          <w:szCs w:val="24"/>
        </w:rPr>
      </w:pPr>
    </w:p>
    <w:p w14:paraId="414A2F96" w14:textId="7A0236BD" w:rsidR="00034955" w:rsidRDefault="00034955" w:rsidP="00F91F9F">
      <w:pPr>
        <w:pStyle w:val="NoSpacing"/>
        <w:rPr>
          <w:rFonts w:ascii="Arial Black" w:hAnsi="Arial Black"/>
          <w:sz w:val="24"/>
          <w:szCs w:val="24"/>
        </w:rPr>
      </w:pPr>
      <w:r>
        <w:rPr>
          <w:rFonts w:ascii="Arial Black" w:hAnsi="Arial Black"/>
          <w:sz w:val="24"/>
          <w:szCs w:val="24"/>
        </w:rPr>
        <w:t>16-118</w:t>
      </w:r>
    </w:p>
    <w:p w14:paraId="3EDBF3D1" w14:textId="77777777" w:rsidR="00034955" w:rsidRDefault="00034955" w:rsidP="00F91F9F">
      <w:pPr>
        <w:pStyle w:val="NoSpacing"/>
        <w:rPr>
          <w:rFonts w:ascii="Arial Black" w:hAnsi="Arial Black"/>
          <w:sz w:val="24"/>
          <w:szCs w:val="24"/>
        </w:rPr>
      </w:pPr>
    </w:p>
    <w:p w14:paraId="01F143A2" w14:textId="77777777" w:rsidR="00512D69" w:rsidRPr="00CF26B4" w:rsidRDefault="00512D69" w:rsidP="00512D69">
      <w:pPr>
        <w:rPr>
          <w:rFonts w:ascii="Arial Black" w:hAnsi="Arial Black"/>
          <w:b/>
          <w:sz w:val="28"/>
          <w:szCs w:val="28"/>
        </w:rPr>
      </w:pPr>
      <w:r>
        <w:rPr>
          <w:rFonts w:ascii="Arial Black" w:hAnsi="Arial Black"/>
          <w:b/>
          <w:sz w:val="28"/>
          <w:szCs w:val="28"/>
        </w:rPr>
        <w:t>PA: AIR MEDICAL PILOT FIRED – NO PRE-FLIGHT CHECKLIST – “AT WILL” – VERY LARGE JURY VERDICT SET ASIDE</w:t>
      </w:r>
    </w:p>
    <w:p w14:paraId="1FBC5992" w14:textId="77777777" w:rsidR="00512D69" w:rsidRPr="006F7539" w:rsidRDefault="00512D69" w:rsidP="00512D69">
      <w:pPr>
        <w:pStyle w:val="NoSpacing"/>
        <w:rPr>
          <w:rFonts w:ascii="Times New Roman" w:hAnsi="Times New Roman"/>
          <w:sz w:val="24"/>
          <w:szCs w:val="24"/>
        </w:rPr>
      </w:pPr>
      <w:r w:rsidRPr="006F7539">
        <w:rPr>
          <w:rFonts w:ascii="Times New Roman" w:hAnsi="Times New Roman"/>
          <w:sz w:val="24"/>
          <w:szCs w:val="24"/>
        </w:rPr>
        <w:lastRenderedPageBreak/>
        <w:t xml:space="preserve">On Nov. 18, 2024, in </w:t>
      </w:r>
      <w:r w:rsidRPr="006F7539">
        <w:rPr>
          <w:rFonts w:ascii="Times New Roman" w:hAnsi="Times New Roman"/>
          <w:sz w:val="24"/>
          <w:szCs w:val="24"/>
          <w:u w:val="single"/>
        </w:rPr>
        <w:t>Patrick DeVore v. Metro Aviation, Inc., et al</w:t>
      </w:r>
      <w:r w:rsidRPr="006F7539">
        <w:rPr>
          <w:rFonts w:ascii="Times New Roman" w:hAnsi="Times New Roman"/>
          <w:sz w:val="24"/>
          <w:szCs w:val="24"/>
        </w:rPr>
        <w:t xml:space="preserve">., the Superior Court of Pennsylvania held (3 to 0) that the pilot was properly fired.  The Court wrote: “[T]he trial court erred in allowing DeVore to invoke the public policy exception and pursue a wrongful termination claim under the facts of this case. *** The jury awarded DeVore $1,142,582.00 in economic damages, as well as non-economic damages in the amounts of $500,000.000 for harm to reputation, $300,000.00 for pain and suffering, $300,000.00 for  embarrassment and humiliation, and $257,418.00 for loss of the ability to enjoy the pleasures of </w:t>
      </w:r>
      <w:proofErr w:type="gramStart"/>
      <w:r w:rsidRPr="006F7539">
        <w:rPr>
          <w:rFonts w:ascii="Times New Roman" w:hAnsi="Times New Roman"/>
          <w:sz w:val="24"/>
          <w:szCs w:val="24"/>
        </w:rPr>
        <w:t>life.”</w:t>
      </w:r>
      <w:proofErr w:type="gramEnd"/>
    </w:p>
    <w:p w14:paraId="17C506F7" w14:textId="77777777" w:rsidR="00512D69" w:rsidRPr="006F7539" w:rsidRDefault="00512D69" w:rsidP="00512D69">
      <w:pPr>
        <w:rPr>
          <w:rFonts w:ascii="Times New Roman" w:hAnsi="Times New Roman"/>
          <w:bCs/>
          <w:sz w:val="24"/>
          <w:szCs w:val="24"/>
        </w:rPr>
      </w:pPr>
      <w:hyperlink r:id="rId2483" w:history="1">
        <w:r w:rsidRPr="006F7539">
          <w:rPr>
            <w:rStyle w:val="Hyperlink"/>
            <w:rFonts w:ascii="Times New Roman" w:hAnsi="Times New Roman"/>
            <w:sz w:val="24"/>
            <w:szCs w:val="24"/>
          </w:rPr>
          <w:t>https://www.pacourts.us/assets/opinions/Superior/out/J-A22023-23o%20-%20106151918288524284.pdf?cb=1</w:t>
        </w:r>
      </w:hyperlink>
      <w:r w:rsidRPr="006F7539">
        <w:rPr>
          <w:rFonts w:ascii="Times New Roman" w:hAnsi="Times New Roman"/>
          <w:sz w:val="24"/>
          <w:szCs w:val="24"/>
        </w:rPr>
        <w:t xml:space="preserve"> </w:t>
      </w:r>
    </w:p>
    <w:p w14:paraId="35AF606C" w14:textId="5340E7B7" w:rsidR="006F7539" w:rsidRPr="006F7539" w:rsidRDefault="006F7539" w:rsidP="006F7539">
      <w:pPr>
        <w:pStyle w:val="NoSpacing"/>
        <w:rPr>
          <w:rFonts w:ascii="Times New Roman" w:hAnsi="Times New Roman"/>
          <w:b/>
          <w:bCs/>
          <w:sz w:val="24"/>
          <w:szCs w:val="24"/>
        </w:rPr>
      </w:pPr>
      <w:r w:rsidRPr="006F7539">
        <w:rPr>
          <w:rFonts w:ascii="Times New Roman" w:hAnsi="Times New Roman"/>
          <w:b/>
          <w:sz w:val="24"/>
          <w:szCs w:val="24"/>
        </w:rPr>
        <w:t xml:space="preserve">Legal Lesson Learned:  The pilot was an “at will” employee and was terminated for allegedly failing to perform a pre-flight checklist.   </w:t>
      </w:r>
    </w:p>
    <w:p w14:paraId="4E253BE1" w14:textId="77777777" w:rsidR="00034955" w:rsidRDefault="00034955" w:rsidP="00F91F9F">
      <w:pPr>
        <w:pStyle w:val="NoSpacing"/>
        <w:rPr>
          <w:rFonts w:ascii="Arial Black" w:hAnsi="Arial Black"/>
          <w:sz w:val="24"/>
          <w:szCs w:val="24"/>
        </w:rPr>
      </w:pPr>
    </w:p>
    <w:p w14:paraId="40EB049C" w14:textId="77777777" w:rsidR="00034955" w:rsidRDefault="00034955" w:rsidP="00F91F9F">
      <w:pPr>
        <w:pStyle w:val="NoSpacing"/>
        <w:rPr>
          <w:rFonts w:ascii="Arial Black" w:hAnsi="Arial Black"/>
          <w:sz w:val="24"/>
          <w:szCs w:val="24"/>
        </w:rPr>
      </w:pPr>
    </w:p>
    <w:p w14:paraId="267AB9E4" w14:textId="0576FD96" w:rsidR="001A19F9" w:rsidRDefault="001A19F9" w:rsidP="00F91F9F">
      <w:pPr>
        <w:pStyle w:val="NoSpacing"/>
        <w:rPr>
          <w:rFonts w:ascii="Arial Black" w:hAnsi="Arial Black"/>
          <w:sz w:val="24"/>
          <w:szCs w:val="24"/>
        </w:rPr>
      </w:pPr>
      <w:r>
        <w:rPr>
          <w:rFonts w:ascii="Arial Black" w:hAnsi="Arial Black"/>
          <w:sz w:val="24"/>
          <w:szCs w:val="24"/>
        </w:rPr>
        <w:t>16-117</w:t>
      </w:r>
    </w:p>
    <w:p w14:paraId="1199C76C" w14:textId="77777777" w:rsidR="00034955" w:rsidRDefault="00034955" w:rsidP="001A19F9">
      <w:pPr>
        <w:pStyle w:val="NoSpacing"/>
        <w:rPr>
          <w:rFonts w:ascii="Arial Black" w:hAnsi="Arial Black"/>
          <w:sz w:val="28"/>
          <w:szCs w:val="28"/>
        </w:rPr>
      </w:pPr>
    </w:p>
    <w:p w14:paraId="734D687A" w14:textId="17256B80" w:rsidR="001A19F9" w:rsidRDefault="001A19F9" w:rsidP="001A19F9">
      <w:pPr>
        <w:pStyle w:val="NoSpacing"/>
        <w:rPr>
          <w:rFonts w:ascii="Arial Black" w:hAnsi="Arial Black"/>
          <w:sz w:val="28"/>
          <w:szCs w:val="28"/>
        </w:rPr>
      </w:pPr>
      <w:r>
        <w:rPr>
          <w:rFonts w:ascii="Arial Black" w:hAnsi="Arial Black"/>
          <w:sz w:val="28"/>
          <w:szCs w:val="28"/>
        </w:rPr>
        <w:t>MI: FIREFIGHTER HAD SEX WITH 14-YEAR-OLD GIRL – FIRE CHIEF’S DAUGHTER – TO PRISON – 180 TO 540 MONTHS</w:t>
      </w:r>
    </w:p>
    <w:p w14:paraId="7BADFD1D" w14:textId="77777777" w:rsidR="001A19F9" w:rsidRDefault="001A19F9" w:rsidP="001A19F9">
      <w:pPr>
        <w:pStyle w:val="NoSpacing"/>
      </w:pPr>
    </w:p>
    <w:p w14:paraId="5CD437D8" w14:textId="77777777" w:rsidR="001A19F9" w:rsidRPr="00034955" w:rsidRDefault="001A19F9" w:rsidP="001A19F9">
      <w:pPr>
        <w:pStyle w:val="NoSpacing"/>
        <w:rPr>
          <w:rFonts w:ascii="Times New Roman" w:hAnsi="Times New Roman"/>
          <w:sz w:val="24"/>
          <w:szCs w:val="24"/>
        </w:rPr>
      </w:pPr>
      <w:r w:rsidRPr="00034955">
        <w:rPr>
          <w:rFonts w:ascii="Times New Roman" w:hAnsi="Times New Roman"/>
          <w:sz w:val="24"/>
          <w:szCs w:val="24"/>
        </w:rPr>
        <w:t xml:space="preserve">On Nov. 18, 2024, in </w:t>
      </w:r>
      <w:r w:rsidRPr="00034955">
        <w:rPr>
          <w:rFonts w:ascii="Times New Roman" w:hAnsi="Times New Roman"/>
          <w:sz w:val="24"/>
          <w:szCs w:val="24"/>
          <w:u w:val="single"/>
        </w:rPr>
        <w:t>People of State of Michigan v. Caleb Zechariah-Lee Kimel</w:t>
      </w:r>
      <w:r w:rsidRPr="00034955">
        <w:rPr>
          <w:rFonts w:ascii="Times New Roman" w:hAnsi="Times New Roman"/>
          <w:sz w:val="24"/>
          <w:szCs w:val="24"/>
        </w:rPr>
        <w:t xml:space="preserve">, the Court of Appeals of Michigan held (3 to 0; unpublished decision) that trial court judge properly sentenced the defendant to prison.  The Court wrote: “The trial court stated that it wanted defendant to think about how ‘for just a couple of moments of selfish gratification [he had] caused this child a lifetime of pain,’ she would never forget what defendant had done, and she would ‘need help for the rest of her life.’ … Accordingly, the trial court sentenced defendant, within the guidelines, to 180 to 540 months in prison for the CSC-I [criminal sexual conduct] conviction and 71 to 180 months in prison for the CSC-II convictions.” </w:t>
      </w:r>
      <w:hyperlink r:id="rId2484" w:history="1">
        <w:r w:rsidRPr="00034955">
          <w:rPr>
            <w:rStyle w:val="Hyperlink"/>
            <w:rFonts w:ascii="Times New Roman" w:hAnsi="Times New Roman"/>
            <w:sz w:val="24"/>
            <w:szCs w:val="24"/>
          </w:rPr>
          <w:t>https://cases.justia.com/michigan/court-of-appeals-unpublished/2024-365464.pdf?ts=1732024807</w:t>
        </w:r>
      </w:hyperlink>
      <w:r w:rsidRPr="00034955">
        <w:rPr>
          <w:rFonts w:ascii="Times New Roman" w:hAnsi="Times New Roman"/>
          <w:sz w:val="24"/>
          <w:szCs w:val="24"/>
        </w:rPr>
        <w:t xml:space="preserve"> </w:t>
      </w:r>
    </w:p>
    <w:p w14:paraId="207CEAEE" w14:textId="77777777" w:rsidR="001A19F9" w:rsidRPr="00034955" w:rsidRDefault="001A19F9" w:rsidP="00F91F9F">
      <w:pPr>
        <w:pStyle w:val="NoSpacing"/>
        <w:rPr>
          <w:rFonts w:ascii="Times New Roman" w:hAnsi="Times New Roman"/>
          <w:sz w:val="24"/>
          <w:szCs w:val="24"/>
        </w:rPr>
      </w:pPr>
    </w:p>
    <w:p w14:paraId="0E14CACB" w14:textId="77777777" w:rsidR="00034955" w:rsidRPr="00034955" w:rsidRDefault="00034955" w:rsidP="00034955">
      <w:pPr>
        <w:pStyle w:val="NoSpacing"/>
        <w:rPr>
          <w:rFonts w:ascii="Times New Roman" w:hAnsi="Times New Roman"/>
          <w:b/>
          <w:bCs/>
          <w:sz w:val="24"/>
          <w:szCs w:val="24"/>
        </w:rPr>
      </w:pPr>
      <w:r w:rsidRPr="00034955">
        <w:rPr>
          <w:rFonts w:ascii="Times New Roman" w:hAnsi="Times New Roman"/>
          <w:b/>
          <w:sz w:val="24"/>
          <w:szCs w:val="24"/>
        </w:rPr>
        <w:t xml:space="preserve">Legal Lesson Learned: Firefighter was properly sentenced to prison.  </w:t>
      </w:r>
    </w:p>
    <w:p w14:paraId="33E25CF4" w14:textId="77777777" w:rsidR="00034955" w:rsidRPr="00034955" w:rsidRDefault="00034955" w:rsidP="00F91F9F">
      <w:pPr>
        <w:pStyle w:val="NoSpacing"/>
        <w:rPr>
          <w:rFonts w:ascii="Times New Roman" w:hAnsi="Times New Roman"/>
          <w:sz w:val="24"/>
          <w:szCs w:val="24"/>
        </w:rPr>
      </w:pPr>
    </w:p>
    <w:p w14:paraId="48A461C4" w14:textId="77777777" w:rsidR="001A19F9" w:rsidRDefault="001A19F9" w:rsidP="00F91F9F">
      <w:pPr>
        <w:pStyle w:val="NoSpacing"/>
        <w:rPr>
          <w:rFonts w:ascii="Arial Black" w:hAnsi="Arial Black"/>
          <w:sz w:val="24"/>
          <w:szCs w:val="24"/>
        </w:rPr>
      </w:pPr>
    </w:p>
    <w:p w14:paraId="0160177C" w14:textId="77777777" w:rsidR="001A19F9" w:rsidRDefault="001A19F9" w:rsidP="00F91F9F">
      <w:pPr>
        <w:pStyle w:val="NoSpacing"/>
        <w:rPr>
          <w:rFonts w:ascii="Arial Black" w:hAnsi="Arial Black"/>
          <w:sz w:val="24"/>
          <w:szCs w:val="24"/>
        </w:rPr>
      </w:pPr>
    </w:p>
    <w:p w14:paraId="3A87ED5C" w14:textId="654774FE" w:rsidR="004E152C" w:rsidRDefault="004E152C" w:rsidP="00F91F9F">
      <w:pPr>
        <w:pStyle w:val="NoSpacing"/>
        <w:rPr>
          <w:rFonts w:ascii="Arial Black" w:hAnsi="Arial Black"/>
          <w:sz w:val="24"/>
          <w:szCs w:val="24"/>
        </w:rPr>
      </w:pPr>
      <w:r>
        <w:rPr>
          <w:rFonts w:ascii="Arial Black" w:hAnsi="Arial Black"/>
          <w:sz w:val="24"/>
          <w:szCs w:val="24"/>
        </w:rPr>
        <w:t>16-116</w:t>
      </w:r>
    </w:p>
    <w:p w14:paraId="569AC362" w14:textId="77777777" w:rsidR="004E152C" w:rsidRDefault="004E152C" w:rsidP="00F91F9F">
      <w:pPr>
        <w:pStyle w:val="NoSpacing"/>
        <w:rPr>
          <w:rFonts w:ascii="Arial Black" w:hAnsi="Arial Black"/>
          <w:sz w:val="24"/>
          <w:szCs w:val="24"/>
        </w:rPr>
      </w:pPr>
    </w:p>
    <w:p w14:paraId="2B59CC4E" w14:textId="77777777" w:rsidR="00684C64" w:rsidRPr="00D60720" w:rsidRDefault="00684C64" w:rsidP="00684C64">
      <w:pPr>
        <w:pStyle w:val="NoSpacing"/>
        <w:rPr>
          <w:rFonts w:ascii="Times New Roman" w:hAnsi="Times New Roman"/>
          <w:b/>
          <w:bCs/>
          <w:sz w:val="24"/>
          <w:szCs w:val="24"/>
        </w:rPr>
      </w:pPr>
      <w:r w:rsidRPr="00D60720">
        <w:rPr>
          <w:rFonts w:ascii="Times New Roman" w:hAnsi="Times New Roman"/>
          <w:b/>
          <w:bCs/>
          <w:sz w:val="24"/>
          <w:szCs w:val="24"/>
        </w:rPr>
        <w:t xml:space="preserve">NY: NO DEFAMATION -  REPORTED FF USING TOWING CO. FD BUSINESS - THEFT BUS SEAT / CATALYTIC CONVERTER </w:t>
      </w:r>
    </w:p>
    <w:p w14:paraId="2EFF8D4D" w14:textId="77777777" w:rsidR="00684C64" w:rsidRPr="00D60720" w:rsidRDefault="00684C64" w:rsidP="00684C64">
      <w:pPr>
        <w:pStyle w:val="NoSpacing"/>
        <w:rPr>
          <w:rFonts w:ascii="Times New Roman" w:hAnsi="Times New Roman"/>
          <w:sz w:val="24"/>
          <w:szCs w:val="24"/>
        </w:rPr>
      </w:pPr>
    </w:p>
    <w:p w14:paraId="1CDC88F5" w14:textId="77777777" w:rsidR="00684C64" w:rsidRPr="00D60720" w:rsidRDefault="00684C64" w:rsidP="00684C64">
      <w:pPr>
        <w:pStyle w:val="NoSpacing"/>
        <w:rPr>
          <w:rFonts w:ascii="Times New Roman" w:hAnsi="Times New Roman"/>
          <w:sz w:val="24"/>
          <w:szCs w:val="24"/>
        </w:rPr>
      </w:pPr>
      <w:r w:rsidRPr="00D60720">
        <w:rPr>
          <w:rFonts w:ascii="Times New Roman" w:hAnsi="Times New Roman"/>
          <w:sz w:val="24"/>
          <w:szCs w:val="24"/>
        </w:rPr>
        <w:t xml:space="preserve">On Oct. 17, 2024, in </w:t>
      </w:r>
      <w:r w:rsidRPr="00D60720">
        <w:rPr>
          <w:rFonts w:ascii="Times New Roman" w:hAnsi="Times New Roman"/>
          <w:sz w:val="24"/>
          <w:szCs w:val="24"/>
          <w:u w:val="single"/>
        </w:rPr>
        <w:t>Timothy Halpin v. George M. Banks, et al</w:t>
      </w:r>
      <w:r w:rsidRPr="00D60720">
        <w:rPr>
          <w:rFonts w:ascii="Times New Roman" w:hAnsi="Times New Roman"/>
          <w:sz w:val="24"/>
          <w:szCs w:val="24"/>
        </w:rPr>
        <w:t xml:space="preserve">., the New York Appellate Division, Third Department, held (5 to 0): “Appeal from an order of the Supreme Court (Kevin R. Bryant, J.), entered May 26, </w:t>
      </w:r>
      <w:proofErr w:type="gramStart"/>
      <w:r w:rsidRPr="00D60720">
        <w:rPr>
          <w:rFonts w:ascii="Times New Roman" w:hAnsi="Times New Roman"/>
          <w:sz w:val="24"/>
          <w:szCs w:val="24"/>
        </w:rPr>
        <w:t>2023</w:t>
      </w:r>
      <w:proofErr w:type="gramEnd"/>
      <w:r w:rsidRPr="00D60720">
        <w:rPr>
          <w:rFonts w:ascii="Times New Roman" w:hAnsi="Times New Roman"/>
          <w:sz w:val="24"/>
          <w:szCs w:val="24"/>
        </w:rPr>
        <w:t xml:space="preserve"> in Ulster County, which granted defendants' motion for summary judgment dismissing the complaint. *** Appeal from an order of the Supreme Court (Kevin R. Bryant, J.), entered May 26, </w:t>
      </w:r>
      <w:proofErr w:type="gramStart"/>
      <w:r w:rsidRPr="00D60720">
        <w:rPr>
          <w:rFonts w:ascii="Times New Roman" w:hAnsi="Times New Roman"/>
          <w:sz w:val="24"/>
          <w:szCs w:val="24"/>
        </w:rPr>
        <w:t>2023</w:t>
      </w:r>
      <w:proofErr w:type="gramEnd"/>
      <w:r w:rsidRPr="00D60720">
        <w:rPr>
          <w:rFonts w:ascii="Times New Roman" w:hAnsi="Times New Roman"/>
          <w:sz w:val="24"/>
          <w:szCs w:val="24"/>
        </w:rPr>
        <w:t xml:space="preserve"> in Ulster County, which granted defendants' motion for summary judgment dismissing the complaint. *** Supreme Court also properly dismissed the complaint against PEFD. The Board investigated plaintiff's complaint against Banks and is vested with discretion to determine if disciplinary action should be taken or if the matter should be closed (</w:t>
      </w:r>
      <w:r w:rsidRPr="00D60720">
        <w:rPr>
          <w:rFonts w:ascii="Times New Roman" w:hAnsi="Times New Roman"/>
          <w:i/>
          <w:iCs/>
          <w:sz w:val="24"/>
          <w:szCs w:val="24"/>
        </w:rPr>
        <w:t xml:space="preserve">see </w:t>
      </w:r>
      <w:r w:rsidRPr="00D60720">
        <w:rPr>
          <w:rFonts w:ascii="Times New Roman" w:hAnsi="Times New Roman"/>
          <w:sz w:val="24"/>
          <w:szCs w:val="24"/>
        </w:rPr>
        <w:t>Port Ewen Fire District Personnel Policy § 8).”</w:t>
      </w:r>
    </w:p>
    <w:p w14:paraId="537EEB81" w14:textId="77777777" w:rsidR="00684C64" w:rsidRPr="00D60720" w:rsidRDefault="00684C64" w:rsidP="00684C64">
      <w:pPr>
        <w:pStyle w:val="NoSpacing"/>
        <w:rPr>
          <w:rFonts w:ascii="Times New Roman" w:hAnsi="Times New Roman"/>
          <w:sz w:val="24"/>
          <w:szCs w:val="24"/>
        </w:rPr>
      </w:pPr>
      <w:r w:rsidRPr="00D60720">
        <w:rPr>
          <w:rFonts w:ascii="Times New Roman" w:hAnsi="Times New Roman"/>
          <w:sz w:val="24"/>
          <w:szCs w:val="24"/>
        </w:rPr>
        <w:t xml:space="preserve"> </w:t>
      </w:r>
      <w:hyperlink r:id="rId2485" w:history="1">
        <w:r w:rsidRPr="00D60720">
          <w:rPr>
            <w:rStyle w:val="Hyperlink"/>
            <w:rFonts w:ascii="Times New Roman" w:hAnsi="Times New Roman"/>
            <w:sz w:val="24"/>
            <w:szCs w:val="24"/>
          </w:rPr>
          <w:t>https://law.justia.com/cases/new-york/appellate-division-third-department/2024/cv-23-1185.html</w:t>
        </w:r>
      </w:hyperlink>
      <w:r w:rsidRPr="00D60720">
        <w:rPr>
          <w:rFonts w:ascii="Times New Roman" w:hAnsi="Times New Roman"/>
          <w:sz w:val="24"/>
          <w:szCs w:val="24"/>
        </w:rPr>
        <w:t xml:space="preserve"> </w:t>
      </w:r>
    </w:p>
    <w:p w14:paraId="27CA5DEB" w14:textId="77777777" w:rsidR="000F4991" w:rsidRPr="00D60720" w:rsidRDefault="000F4991" w:rsidP="00684C64">
      <w:pPr>
        <w:pStyle w:val="NoSpacing"/>
        <w:rPr>
          <w:rFonts w:ascii="Times New Roman" w:hAnsi="Times New Roman"/>
          <w:sz w:val="24"/>
          <w:szCs w:val="24"/>
        </w:rPr>
      </w:pPr>
    </w:p>
    <w:p w14:paraId="4315477F" w14:textId="77777777" w:rsidR="000F4991" w:rsidRPr="00D60720" w:rsidRDefault="000F4991" w:rsidP="000F4991">
      <w:pPr>
        <w:pStyle w:val="NoSpacing"/>
        <w:rPr>
          <w:rFonts w:ascii="Times New Roman" w:hAnsi="Times New Roman"/>
          <w:b/>
          <w:bCs/>
          <w:sz w:val="24"/>
          <w:szCs w:val="24"/>
        </w:rPr>
      </w:pPr>
      <w:r w:rsidRPr="00D60720">
        <w:rPr>
          <w:rFonts w:ascii="Times New Roman" w:hAnsi="Times New Roman"/>
          <w:b/>
          <w:sz w:val="24"/>
          <w:szCs w:val="24"/>
        </w:rPr>
        <w:t xml:space="preserve">Legal Lesson Learned:  Qualified privilege when </w:t>
      </w:r>
      <w:r w:rsidRPr="00D60720">
        <w:rPr>
          <w:rFonts w:ascii="Times New Roman" w:hAnsi="Times New Roman"/>
          <w:b/>
          <w:bCs/>
          <w:sz w:val="24"/>
          <w:szCs w:val="24"/>
        </w:rPr>
        <w:t xml:space="preserve">honestly </w:t>
      </w:r>
      <w:r w:rsidRPr="00D60720">
        <w:rPr>
          <w:rFonts w:ascii="Times New Roman" w:hAnsi="Times New Roman"/>
          <w:b/>
          <w:sz w:val="24"/>
          <w:szCs w:val="24"/>
        </w:rPr>
        <w:t xml:space="preserve">reporting possible wrongdoing to Fire Department Board. </w:t>
      </w:r>
    </w:p>
    <w:p w14:paraId="22649F31" w14:textId="77777777" w:rsidR="000F4991" w:rsidRDefault="000F4991" w:rsidP="000F4991">
      <w:pPr>
        <w:pStyle w:val="NoSpacing"/>
        <w:ind w:left="720"/>
      </w:pPr>
    </w:p>
    <w:p w14:paraId="221963C5" w14:textId="77777777" w:rsidR="000F4991" w:rsidRDefault="000F4991" w:rsidP="00684C64">
      <w:pPr>
        <w:pStyle w:val="NoSpacing"/>
      </w:pPr>
    </w:p>
    <w:p w14:paraId="14CB0D18" w14:textId="3DC14767" w:rsidR="004E152C" w:rsidRDefault="004E152C" w:rsidP="00F91F9F">
      <w:pPr>
        <w:pStyle w:val="NoSpacing"/>
        <w:rPr>
          <w:rFonts w:ascii="Arial Black" w:hAnsi="Arial Black"/>
          <w:sz w:val="24"/>
          <w:szCs w:val="24"/>
        </w:rPr>
      </w:pPr>
      <w:r>
        <w:rPr>
          <w:rFonts w:ascii="Arial Black" w:hAnsi="Arial Black"/>
          <w:sz w:val="24"/>
          <w:szCs w:val="24"/>
        </w:rPr>
        <w:lastRenderedPageBreak/>
        <w:t>16-115</w:t>
      </w:r>
    </w:p>
    <w:p w14:paraId="495CABB3" w14:textId="77777777" w:rsidR="004E152C" w:rsidRDefault="004E152C" w:rsidP="00F91F9F">
      <w:pPr>
        <w:pStyle w:val="NoSpacing"/>
        <w:rPr>
          <w:rFonts w:ascii="Arial Black" w:hAnsi="Arial Black"/>
          <w:sz w:val="24"/>
          <w:szCs w:val="24"/>
        </w:rPr>
      </w:pPr>
    </w:p>
    <w:p w14:paraId="4C95D845" w14:textId="3245D586" w:rsidR="0038724B" w:rsidRPr="00182CF1" w:rsidRDefault="0038724B" w:rsidP="0038724B">
      <w:pPr>
        <w:pStyle w:val="NoSpacing"/>
        <w:rPr>
          <w:rFonts w:ascii="Times New Roman" w:hAnsi="Times New Roman"/>
          <w:b/>
          <w:bCs/>
          <w:sz w:val="24"/>
          <w:szCs w:val="24"/>
        </w:rPr>
      </w:pPr>
      <w:r w:rsidRPr="00182CF1">
        <w:rPr>
          <w:rFonts w:ascii="Times New Roman" w:hAnsi="Times New Roman"/>
          <w:b/>
          <w:bCs/>
          <w:sz w:val="24"/>
          <w:szCs w:val="24"/>
        </w:rPr>
        <w:t>UT</w:t>
      </w:r>
      <w:r w:rsidR="00D1140F">
        <w:rPr>
          <w:rFonts w:ascii="Times New Roman" w:hAnsi="Times New Roman"/>
          <w:b/>
          <w:bCs/>
          <w:sz w:val="24"/>
          <w:szCs w:val="24"/>
        </w:rPr>
        <w:t>:</w:t>
      </w:r>
      <w:r w:rsidRPr="00182CF1">
        <w:rPr>
          <w:rFonts w:ascii="Times New Roman" w:hAnsi="Times New Roman"/>
          <w:b/>
          <w:bCs/>
          <w:sz w:val="24"/>
          <w:szCs w:val="24"/>
        </w:rPr>
        <w:t xml:space="preserve"> ASSISTANT FIRE CHIEF – PLED GUITY TO FORCIBLE RAPE OF FEMALE FF – SENTENCED 1-15 YEARS</w:t>
      </w:r>
    </w:p>
    <w:p w14:paraId="2B969AD2" w14:textId="77777777" w:rsidR="0038724B" w:rsidRPr="00182CF1" w:rsidRDefault="0038724B" w:rsidP="0038724B">
      <w:pPr>
        <w:pStyle w:val="NoSpacing"/>
        <w:rPr>
          <w:rFonts w:ascii="Times New Roman" w:hAnsi="Times New Roman"/>
          <w:b/>
          <w:bCs/>
          <w:sz w:val="24"/>
          <w:szCs w:val="24"/>
        </w:rPr>
      </w:pPr>
    </w:p>
    <w:p w14:paraId="4BBE3644"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 xml:space="preserve">On Oct. 3, 2024, in  </w:t>
      </w:r>
      <w:r w:rsidRPr="00182CF1">
        <w:rPr>
          <w:rFonts w:ascii="Times New Roman" w:hAnsi="Times New Roman"/>
          <w:sz w:val="24"/>
          <w:szCs w:val="24"/>
          <w:u w:val="single"/>
        </w:rPr>
        <w:t>State of Utah v. Austin James Corry</w:t>
      </w:r>
      <w:r w:rsidRPr="00182CF1">
        <w:rPr>
          <w:rFonts w:ascii="Times New Roman" w:hAnsi="Times New Roman"/>
          <w:sz w:val="24"/>
          <w:szCs w:val="24"/>
        </w:rPr>
        <w:t>. The Utah Court of Appeals held (3 to 0): “Austin James Corry, an assistant fire chief, pled guilty to four counts of forcible sexual abuse of a female firefighter he supervised. In its presentence report, Adult Probation and Parole</w:t>
      </w:r>
    </w:p>
    <w:p w14:paraId="5B34AF96"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(AP&amp;P) recommended a prison sentence even though the Utah Sentencing Commission’s Adult Sentencing &amp; Release Guidelines recommended that Corry serve up to 210 days in jail and Corry</w:t>
      </w:r>
    </w:p>
    <w:p w14:paraId="0F40E204"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 xml:space="preserve">had already served more than 210 days in pretrial detention. *** We discern </w:t>
      </w:r>
      <w:proofErr w:type="gramStart"/>
      <w:r w:rsidRPr="00182CF1">
        <w:rPr>
          <w:rFonts w:ascii="Times New Roman" w:hAnsi="Times New Roman"/>
          <w:sz w:val="24"/>
          <w:szCs w:val="24"/>
        </w:rPr>
        <w:t>either</w:t>
      </w:r>
      <w:proofErr w:type="gramEnd"/>
      <w:r w:rsidRPr="00182CF1">
        <w:rPr>
          <w:rFonts w:ascii="Times New Roman" w:hAnsi="Times New Roman"/>
          <w:sz w:val="24"/>
          <w:szCs w:val="24"/>
        </w:rPr>
        <w:t xml:space="preserve"> no</w:t>
      </w:r>
    </w:p>
    <w:p w14:paraId="472B62BC"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 xml:space="preserve">error or no prejudice related to each of these claims and therefore affirm Corry’s sentence.” </w:t>
      </w:r>
    </w:p>
    <w:p w14:paraId="6677915F" w14:textId="77777777" w:rsidR="0038724B" w:rsidRPr="00182CF1" w:rsidRDefault="0038724B" w:rsidP="0038724B">
      <w:pPr>
        <w:pStyle w:val="NoSpacing"/>
        <w:rPr>
          <w:rFonts w:ascii="Times New Roman" w:hAnsi="Times New Roman"/>
          <w:sz w:val="24"/>
          <w:szCs w:val="24"/>
        </w:rPr>
      </w:pPr>
      <w:hyperlink r:id="rId2486" w:history="1">
        <w:r w:rsidRPr="00182CF1">
          <w:rPr>
            <w:rStyle w:val="Hyperlink"/>
            <w:rFonts w:ascii="Times New Roman" w:hAnsi="Times New Roman"/>
            <w:sz w:val="24"/>
            <w:szCs w:val="24"/>
          </w:rPr>
          <w:t>https://cases.justia.com/utah/court-of-appeals-published/2024-20220074-ca.pdf?ts=172806708</w:t>
        </w:r>
      </w:hyperlink>
      <w:r w:rsidRPr="00182CF1">
        <w:rPr>
          <w:rFonts w:ascii="Times New Roman" w:hAnsi="Times New Roman"/>
          <w:sz w:val="24"/>
          <w:szCs w:val="24"/>
        </w:rPr>
        <w:t xml:space="preserve"> </w:t>
      </w:r>
    </w:p>
    <w:p w14:paraId="600A8F14" w14:textId="77777777" w:rsidR="00D60720" w:rsidRPr="00182CF1" w:rsidRDefault="00D60720" w:rsidP="00F91F9F">
      <w:pPr>
        <w:pStyle w:val="NoSpacing"/>
        <w:rPr>
          <w:rFonts w:ascii="Times New Roman" w:hAnsi="Times New Roman"/>
          <w:sz w:val="24"/>
          <w:szCs w:val="24"/>
        </w:rPr>
      </w:pPr>
    </w:p>
    <w:p w14:paraId="1CED42F5" w14:textId="77777777" w:rsidR="00182CF1" w:rsidRPr="00182CF1" w:rsidRDefault="00182CF1" w:rsidP="00182CF1">
      <w:pPr>
        <w:pStyle w:val="NoSpacing"/>
        <w:rPr>
          <w:rFonts w:ascii="Times New Roman" w:hAnsi="Times New Roman"/>
          <w:b/>
          <w:bCs/>
          <w:sz w:val="24"/>
          <w:szCs w:val="24"/>
        </w:rPr>
      </w:pPr>
      <w:r w:rsidRPr="00182CF1">
        <w:rPr>
          <w:rFonts w:ascii="Times New Roman" w:hAnsi="Times New Roman"/>
          <w:b/>
          <w:sz w:val="24"/>
          <w:szCs w:val="24"/>
        </w:rPr>
        <w:t>Legal Lesson Learned: A prison sentence was appropriate for this terrible conduct.</w:t>
      </w:r>
    </w:p>
    <w:p w14:paraId="4170BC1C" w14:textId="77777777" w:rsidR="00182CF1" w:rsidRDefault="00182CF1" w:rsidP="00F91F9F">
      <w:pPr>
        <w:pStyle w:val="NoSpacing"/>
        <w:rPr>
          <w:rFonts w:ascii="Arial Black" w:hAnsi="Arial Black"/>
          <w:sz w:val="24"/>
          <w:szCs w:val="24"/>
        </w:rPr>
      </w:pPr>
    </w:p>
    <w:p w14:paraId="30E88255" w14:textId="77777777" w:rsidR="00D60720" w:rsidRDefault="00D60720" w:rsidP="00F91F9F">
      <w:pPr>
        <w:pStyle w:val="NoSpacing"/>
        <w:rPr>
          <w:rFonts w:ascii="Arial Black" w:hAnsi="Arial Black"/>
          <w:sz w:val="24"/>
          <w:szCs w:val="24"/>
        </w:rPr>
      </w:pPr>
    </w:p>
    <w:p w14:paraId="7EB7C904" w14:textId="101FD985" w:rsidR="004E152C" w:rsidRDefault="004E152C" w:rsidP="00F91F9F">
      <w:pPr>
        <w:pStyle w:val="NoSpacing"/>
        <w:rPr>
          <w:rFonts w:ascii="Arial Black" w:hAnsi="Arial Black"/>
          <w:sz w:val="24"/>
          <w:szCs w:val="24"/>
        </w:rPr>
      </w:pPr>
      <w:r>
        <w:rPr>
          <w:rFonts w:ascii="Arial Black" w:hAnsi="Arial Black"/>
          <w:sz w:val="24"/>
          <w:szCs w:val="24"/>
        </w:rPr>
        <w:t>16-114</w:t>
      </w:r>
    </w:p>
    <w:p w14:paraId="1844E75E" w14:textId="77777777" w:rsidR="004E152C" w:rsidRDefault="004E152C" w:rsidP="00F91F9F">
      <w:pPr>
        <w:pStyle w:val="NoSpacing"/>
        <w:rPr>
          <w:rFonts w:ascii="Arial Black" w:hAnsi="Arial Black"/>
          <w:sz w:val="24"/>
          <w:szCs w:val="24"/>
        </w:rPr>
      </w:pPr>
    </w:p>
    <w:p w14:paraId="34F9FE01" w14:textId="77777777" w:rsidR="00DC3117" w:rsidRPr="00924F58" w:rsidRDefault="00DC3117" w:rsidP="00DC3117">
      <w:pPr>
        <w:pStyle w:val="NoSpacing"/>
        <w:rPr>
          <w:rFonts w:ascii="Times New Roman" w:hAnsi="Times New Roman"/>
          <w:b/>
          <w:bCs/>
          <w:sz w:val="24"/>
          <w:szCs w:val="24"/>
        </w:rPr>
      </w:pPr>
      <w:r w:rsidRPr="00924F58">
        <w:rPr>
          <w:rFonts w:ascii="Times New Roman" w:hAnsi="Times New Roman"/>
          <w:b/>
          <w:bCs/>
          <w:sz w:val="24"/>
          <w:szCs w:val="24"/>
        </w:rPr>
        <w:t>MI: WHISTLEBLOWER PROTECTION ACT – AC FIRED AFTER TOLD FD BOARD - FIRE CHIEF CONDUCT - CASE PROCEED</w:t>
      </w:r>
    </w:p>
    <w:p w14:paraId="75923DBC" w14:textId="77777777" w:rsidR="00DC3117" w:rsidRPr="00924F58" w:rsidRDefault="00DC3117" w:rsidP="00DC3117">
      <w:pPr>
        <w:pStyle w:val="NoSpacing"/>
        <w:rPr>
          <w:rFonts w:ascii="Times New Roman" w:hAnsi="Times New Roman"/>
          <w:b/>
          <w:bCs/>
          <w:sz w:val="24"/>
          <w:szCs w:val="24"/>
        </w:rPr>
      </w:pPr>
    </w:p>
    <w:p w14:paraId="0657392E" w14:textId="77777777" w:rsidR="00DC3117" w:rsidRPr="00924F58" w:rsidRDefault="00DC3117" w:rsidP="00DC3117">
      <w:pPr>
        <w:pStyle w:val="NoSpacing"/>
        <w:rPr>
          <w:rFonts w:ascii="Times New Roman" w:hAnsi="Times New Roman"/>
          <w:sz w:val="24"/>
          <w:szCs w:val="24"/>
        </w:rPr>
      </w:pPr>
      <w:r w:rsidRPr="00924F58">
        <w:rPr>
          <w:rFonts w:ascii="Times New Roman" w:hAnsi="Times New Roman"/>
          <w:sz w:val="24"/>
          <w:szCs w:val="24"/>
        </w:rPr>
        <w:t xml:space="preserve">On Sept. 5, 2024, in </w:t>
      </w:r>
      <w:r w:rsidRPr="00924F58">
        <w:rPr>
          <w:rFonts w:ascii="Times New Roman" w:hAnsi="Times New Roman"/>
          <w:sz w:val="24"/>
          <w:szCs w:val="24"/>
          <w:u w:val="single"/>
        </w:rPr>
        <w:t>Eric Dale v. Marshall Township</w:t>
      </w:r>
      <w:r w:rsidRPr="00924F58">
        <w:rPr>
          <w:rFonts w:ascii="Times New Roman" w:hAnsi="Times New Roman"/>
          <w:sz w:val="24"/>
          <w:szCs w:val="24"/>
        </w:rPr>
        <w:t xml:space="preserve">, the Michigan Court of Appeals held (3 to 0; unpublished opinion): “Because Dale established that he was engaged in a protected activity and that there was a causal connection between his protected activity and his termination, the trial court legally erred by holding that he failed to establish a prima facie case under the WPA [The Whistleblowers’ Protection Act]. Accordingly, we reverse the trial court’s grant of summary disposition to the township.” </w:t>
      </w:r>
    </w:p>
    <w:p w14:paraId="5B395221" w14:textId="77777777" w:rsidR="00DC3117" w:rsidRPr="00924F58" w:rsidRDefault="00DC3117" w:rsidP="00DC3117">
      <w:pPr>
        <w:pStyle w:val="NoSpacing"/>
        <w:rPr>
          <w:rFonts w:ascii="Times New Roman" w:hAnsi="Times New Roman"/>
          <w:sz w:val="24"/>
          <w:szCs w:val="24"/>
        </w:rPr>
      </w:pPr>
      <w:r w:rsidRPr="00924F58">
        <w:rPr>
          <w:rFonts w:ascii="Times New Roman" w:hAnsi="Times New Roman"/>
          <w:sz w:val="24"/>
          <w:szCs w:val="24"/>
        </w:rPr>
        <w:t xml:space="preserve"> </w:t>
      </w:r>
      <w:hyperlink r:id="rId2487" w:history="1">
        <w:r w:rsidRPr="00924F58">
          <w:rPr>
            <w:rStyle w:val="Hyperlink"/>
            <w:rFonts w:ascii="Times New Roman" w:hAnsi="Times New Roman"/>
            <w:sz w:val="24"/>
            <w:szCs w:val="24"/>
          </w:rPr>
          <w:t>https://www.courts.michigan.gov/siteassets/case-documents/uploads/OPINIONS/FINAL/COA/20240905_C364971_42_364971.OPN.PDF</w:t>
        </w:r>
      </w:hyperlink>
      <w:r w:rsidRPr="00924F58">
        <w:rPr>
          <w:rFonts w:ascii="Times New Roman" w:hAnsi="Times New Roman"/>
          <w:sz w:val="24"/>
          <w:szCs w:val="24"/>
        </w:rPr>
        <w:t xml:space="preserve"> </w:t>
      </w:r>
    </w:p>
    <w:p w14:paraId="4110B393" w14:textId="77777777" w:rsidR="00DC3117" w:rsidRPr="00924F58" w:rsidRDefault="00DC3117" w:rsidP="00DC3117">
      <w:pPr>
        <w:pStyle w:val="NoSpacing"/>
        <w:rPr>
          <w:rFonts w:ascii="Times New Roman" w:hAnsi="Times New Roman"/>
          <w:sz w:val="24"/>
          <w:szCs w:val="24"/>
        </w:rPr>
      </w:pPr>
    </w:p>
    <w:p w14:paraId="7A725BF0" w14:textId="77777777" w:rsidR="00924F58" w:rsidRPr="00924F58" w:rsidRDefault="00924F58" w:rsidP="00924F58">
      <w:pPr>
        <w:pStyle w:val="NoSpacing"/>
        <w:rPr>
          <w:rFonts w:ascii="Times New Roman" w:hAnsi="Times New Roman"/>
          <w:b/>
          <w:bCs/>
          <w:sz w:val="24"/>
          <w:szCs w:val="24"/>
        </w:rPr>
      </w:pPr>
      <w:r w:rsidRPr="00924F58">
        <w:rPr>
          <w:rFonts w:ascii="Times New Roman" w:hAnsi="Times New Roman"/>
          <w:b/>
          <w:sz w:val="24"/>
          <w:szCs w:val="24"/>
        </w:rPr>
        <w:t xml:space="preserve">Legal Lesson Learned: The State’s Whistleblower Protection Act is important protection against retaliation. </w:t>
      </w:r>
    </w:p>
    <w:p w14:paraId="103DF4EF" w14:textId="77777777" w:rsidR="00924F58" w:rsidRDefault="00924F58" w:rsidP="00924F58">
      <w:pPr>
        <w:rPr>
          <w:rFonts w:asciiTheme="majorHAnsi" w:hAnsiTheme="majorHAnsi"/>
          <w:b/>
          <w:bCs/>
          <w:sz w:val="28"/>
          <w:szCs w:val="28"/>
        </w:rPr>
      </w:pPr>
    </w:p>
    <w:p w14:paraId="19252D7B" w14:textId="77777777" w:rsidR="00DC3117" w:rsidRDefault="00DC3117" w:rsidP="00F91F9F">
      <w:pPr>
        <w:pStyle w:val="NoSpacing"/>
        <w:rPr>
          <w:rFonts w:ascii="Arial Black" w:hAnsi="Arial Black"/>
          <w:sz w:val="24"/>
          <w:szCs w:val="24"/>
        </w:rPr>
      </w:pPr>
    </w:p>
    <w:p w14:paraId="5B559D58" w14:textId="77777777" w:rsidR="00DC3117" w:rsidRDefault="00DC3117" w:rsidP="00F91F9F">
      <w:pPr>
        <w:pStyle w:val="NoSpacing"/>
        <w:rPr>
          <w:rFonts w:ascii="Arial Black" w:hAnsi="Arial Black"/>
          <w:sz w:val="24"/>
          <w:szCs w:val="24"/>
        </w:rPr>
      </w:pPr>
    </w:p>
    <w:p w14:paraId="626E1A76" w14:textId="77777777" w:rsidR="00DC3117" w:rsidRDefault="00DC3117" w:rsidP="00F91F9F">
      <w:pPr>
        <w:pStyle w:val="NoSpacing"/>
        <w:rPr>
          <w:rFonts w:ascii="Arial Black" w:hAnsi="Arial Black"/>
          <w:sz w:val="24"/>
          <w:szCs w:val="24"/>
        </w:rPr>
      </w:pPr>
    </w:p>
    <w:p w14:paraId="47879A3A" w14:textId="7E82290F" w:rsidR="005F3DA4" w:rsidRDefault="005F3DA4" w:rsidP="00F91F9F">
      <w:pPr>
        <w:pStyle w:val="NoSpacing"/>
        <w:rPr>
          <w:rFonts w:ascii="Arial Black" w:hAnsi="Arial Black"/>
          <w:sz w:val="24"/>
          <w:szCs w:val="24"/>
        </w:rPr>
      </w:pPr>
      <w:r>
        <w:rPr>
          <w:rFonts w:ascii="Arial Black" w:hAnsi="Arial Black"/>
          <w:sz w:val="24"/>
          <w:szCs w:val="24"/>
        </w:rPr>
        <w:t>16-113</w:t>
      </w:r>
      <w:r w:rsidR="004C0E50">
        <w:rPr>
          <w:rFonts w:ascii="Arial Black" w:hAnsi="Arial Black"/>
          <w:sz w:val="24"/>
          <w:szCs w:val="24"/>
        </w:rPr>
        <w:t xml:space="preserve"> </w:t>
      </w:r>
    </w:p>
    <w:p w14:paraId="05A2D13C" w14:textId="77777777" w:rsidR="005F3DA4" w:rsidRDefault="005F3DA4" w:rsidP="00F91F9F">
      <w:pPr>
        <w:pStyle w:val="NoSpacing"/>
        <w:rPr>
          <w:rFonts w:ascii="Arial Black" w:hAnsi="Arial Black"/>
          <w:sz w:val="24"/>
          <w:szCs w:val="24"/>
        </w:rPr>
      </w:pPr>
    </w:p>
    <w:p w14:paraId="67ABDE65" w14:textId="77777777" w:rsidR="00A313D5" w:rsidRPr="00711EF1" w:rsidRDefault="00A313D5" w:rsidP="00A313D5">
      <w:pPr>
        <w:pStyle w:val="NoSpacing"/>
        <w:rPr>
          <w:rFonts w:ascii="Arial Black" w:hAnsi="Arial Black"/>
          <w:sz w:val="28"/>
        </w:rPr>
      </w:pPr>
      <w:r>
        <w:rPr>
          <w:rFonts w:ascii="Arial Black" w:hAnsi="Arial Black"/>
          <w:sz w:val="28"/>
        </w:rPr>
        <w:t>MI: FIRE CHIEF 1</w:t>
      </w:r>
      <w:r w:rsidRPr="00114554">
        <w:rPr>
          <w:rFonts w:ascii="Arial Black" w:hAnsi="Arial Black"/>
          <w:sz w:val="28"/>
          <w:vertAlign w:val="superscript"/>
        </w:rPr>
        <w:t>ST</w:t>
      </w:r>
      <w:r>
        <w:rPr>
          <w:rFonts w:ascii="Arial Black" w:hAnsi="Arial Black"/>
          <w:sz w:val="28"/>
        </w:rPr>
        <w:t xml:space="preserve"> AMEND. RIGHT REFUSE TO CHANGE REPORT / LIE  – DEATH TWO BOYS, POOR FD SEARCH</w:t>
      </w:r>
    </w:p>
    <w:p w14:paraId="477FABE5" w14:textId="77777777" w:rsidR="00A313D5" w:rsidRDefault="00A313D5" w:rsidP="00A313D5">
      <w:pPr>
        <w:pStyle w:val="NoSpacing"/>
        <w:rPr>
          <w:szCs w:val="24"/>
        </w:rPr>
      </w:pPr>
    </w:p>
    <w:p w14:paraId="77E345FC" w14:textId="044BD4C7" w:rsidR="00A313D5" w:rsidRPr="00194CC1" w:rsidRDefault="00A313D5" w:rsidP="00A313D5">
      <w:pPr>
        <w:pStyle w:val="NoSpacing"/>
        <w:rPr>
          <w:rFonts w:ascii="Times New Roman" w:hAnsi="Times New Roman"/>
          <w:sz w:val="24"/>
          <w:szCs w:val="24"/>
        </w:rPr>
      </w:pPr>
      <w:r w:rsidRPr="00194CC1">
        <w:rPr>
          <w:rFonts w:ascii="Times New Roman" w:hAnsi="Times New Roman"/>
          <w:sz w:val="24"/>
          <w:szCs w:val="24"/>
        </w:rPr>
        <w:t xml:space="preserve">On Aug. 22, 2024, in </w:t>
      </w:r>
      <w:r w:rsidRPr="00194CC1">
        <w:rPr>
          <w:rFonts w:ascii="Times New Roman" w:hAnsi="Times New Roman"/>
          <w:sz w:val="24"/>
          <w:szCs w:val="24"/>
          <w:u w:val="single"/>
        </w:rPr>
        <w:t>Raymond C. Barton v. Sheldon Neeley</w:t>
      </w:r>
      <w:r w:rsidRPr="00194CC1">
        <w:rPr>
          <w:rFonts w:ascii="Times New Roman" w:hAnsi="Times New Roman"/>
          <w:sz w:val="24"/>
          <w:szCs w:val="24"/>
        </w:rPr>
        <w:t xml:space="preserve">, the U.S. Court of Appeals for Sixth Circuit (Cincinnati) held (3 to 0) that the Federal District Court Judge in Michigan properly denied the </w:t>
      </w:r>
      <w:proofErr w:type="gramStart"/>
      <w:r w:rsidRPr="00194CC1">
        <w:rPr>
          <w:rFonts w:ascii="Times New Roman" w:hAnsi="Times New Roman"/>
          <w:sz w:val="24"/>
          <w:szCs w:val="24"/>
        </w:rPr>
        <w:t>Mayor’s</w:t>
      </w:r>
      <w:proofErr w:type="gramEnd"/>
      <w:r w:rsidRPr="00194CC1">
        <w:rPr>
          <w:rFonts w:ascii="Times New Roman" w:hAnsi="Times New Roman"/>
          <w:sz w:val="24"/>
          <w:szCs w:val="24"/>
        </w:rPr>
        <w:t xml:space="preserve"> motion to dismiss the case on qualified immunity.  The Court wrote: “Two young African American boys died after two City of Flint firefighters failed to properly sweep a burning house. Then-City Fire Chief, plaintiff Raymond Barton, tried to discharge the firefighters for gross misconduct, but Flint’s Mayor, defendant Sheldon Neeley, intervened and allegedly covered up the firefighters’ malfeasance to advance his support from the firefighters’ </w:t>
      </w:r>
      <w:r w:rsidRPr="00194CC1">
        <w:rPr>
          <w:rFonts w:ascii="Times New Roman" w:hAnsi="Times New Roman"/>
          <w:sz w:val="24"/>
          <w:szCs w:val="24"/>
        </w:rPr>
        <w:lastRenderedPageBreak/>
        <w:t>union in an upcoming election. When Chief Barton refused Mayor Neeley’s directives to cover up the malfeasance, Neeley fired Barton. *** However, Barton’s speech at the city council meeting is not the only speech at issue in this case. Barton’s relevant speech also included (1) his refusal to change his report on his own, and (2) his refusal to make a public announcement saying that he initiated and agreed with the changed report. Indeed, Barton pleads that these refusals ultimately led to the termination of his employment. It is well established that the First Amendment protects “both the right to speak freely and the right to refrain from speaking at all.” Wooley v. Maynard, 430 U.S. 705, 714 (1977). After reviewing the content and context of this refusal-to-speak conduct, Fox, 605 F.3d at 348, we conclude that Barton sufficiently alleged that his unwillingness to lie in order to further Neeley’s political campaign was not within the scope of his official duties, see Boulton v.</w:t>
      </w:r>
      <w:r w:rsidR="00194CC1">
        <w:rPr>
          <w:rFonts w:ascii="Times New Roman" w:hAnsi="Times New Roman"/>
          <w:sz w:val="24"/>
          <w:szCs w:val="24"/>
        </w:rPr>
        <w:t xml:space="preserve"> </w:t>
      </w:r>
      <w:r w:rsidRPr="00194CC1">
        <w:rPr>
          <w:rFonts w:ascii="Times New Roman" w:hAnsi="Times New Roman"/>
          <w:sz w:val="24"/>
          <w:szCs w:val="24"/>
        </w:rPr>
        <w:t xml:space="preserve">Swanson, 795 F.3d 526, 534 (6th Cir. 2015) (explaining that the ‘exception to First Amendment protection’—speech made pursuant to one’s official duties—'must be read narrowly’). ***[W]e hold that it is clearly established that public employees cannot be compelled to make false statements on matters of public concern in response to threats of retaliation.”  </w:t>
      </w:r>
      <w:hyperlink r:id="rId2488" w:history="1">
        <w:r w:rsidRPr="00194CC1">
          <w:rPr>
            <w:rStyle w:val="Hyperlink"/>
            <w:rFonts w:ascii="Times New Roman" w:hAnsi="Times New Roman"/>
            <w:sz w:val="24"/>
            <w:szCs w:val="24"/>
          </w:rPr>
          <w:t>https://www.opn.ca6.uscourts.gov/opinions.pdf/24a0201p-06.pdf</w:t>
        </w:r>
      </w:hyperlink>
      <w:r w:rsidRPr="00194CC1">
        <w:rPr>
          <w:rFonts w:ascii="Times New Roman" w:hAnsi="Times New Roman"/>
          <w:sz w:val="24"/>
          <w:szCs w:val="24"/>
        </w:rPr>
        <w:t xml:space="preserve"> </w:t>
      </w:r>
    </w:p>
    <w:p w14:paraId="6500D19A" w14:textId="77777777" w:rsidR="00A313D5" w:rsidRPr="00194CC1" w:rsidRDefault="00A313D5" w:rsidP="00A313D5">
      <w:pPr>
        <w:pStyle w:val="NoSpacing"/>
        <w:rPr>
          <w:rFonts w:ascii="Times New Roman" w:hAnsi="Times New Roman"/>
          <w:sz w:val="24"/>
          <w:szCs w:val="24"/>
        </w:rPr>
      </w:pPr>
    </w:p>
    <w:p w14:paraId="6B75E0ED" w14:textId="77777777" w:rsidR="00A313D5" w:rsidRPr="00194CC1" w:rsidRDefault="00A313D5" w:rsidP="00A313D5">
      <w:pPr>
        <w:pStyle w:val="NoSpacing"/>
        <w:rPr>
          <w:rFonts w:ascii="Times New Roman" w:hAnsi="Times New Roman"/>
          <w:sz w:val="24"/>
          <w:szCs w:val="24"/>
        </w:rPr>
      </w:pPr>
    </w:p>
    <w:p w14:paraId="2442D817" w14:textId="77777777" w:rsidR="00A313D5" w:rsidRPr="00194CC1" w:rsidRDefault="00A313D5" w:rsidP="00A313D5">
      <w:pPr>
        <w:pStyle w:val="NoSpacing"/>
        <w:rPr>
          <w:rFonts w:ascii="Times New Roman" w:hAnsi="Times New Roman"/>
          <w:sz w:val="24"/>
          <w:szCs w:val="24"/>
        </w:rPr>
      </w:pPr>
      <w:r w:rsidRPr="00194CC1">
        <w:rPr>
          <w:rFonts w:ascii="Times New Roman" w:hAnsi="Times New Roman"/>
          <w:sz w:val="24"/>
          <w:szCs w:val="24"/>
        </w:rPr>
        <w:t>THE COURT HELD:</w:t>
      </w:r>
    </w:p>
    <w:p w14:paraId="3368A4BA" w14:textId="77777777" w:rsidR="00A313D5" w:rsidRPr="00194CC1" w:rsidRDefault="00A313D5" w:rsidP="00A313D5">
      <w:pPr>
        <w:pStyle w:val="NoSpacing"/>
        <w:rPr>
          <w:rFonts w:ascii="Times New Roman" w:hAnsi="Times New Roman"/>
          <w:sz w:val="24"/>
          <w:szCs w:val="24"/>
        </w:rPr>
      </w:pPr>
    </w:p>
    <w:p w14:paraId="50843A27" w14:textId="77777777" w:rsidR="00A313D5" w:rsidRPr="00194CC1" w:rsidRDefault="00A313D5" w:rsidP="00A313D5">
      <w:pPr>
        <w:pStyle w:val="NoSpacing"/>
        <w:ind w:left="720"/>
        <w:rPr>
          <w:rFonts w:ascii="Times New Roman" w:hAnsi="Times New Roman"/>
          <w:sz w:val="24"/>
          <w:szCs w:val="24"/>
        </w:rPr>
      </w:pPr>
      <w:r w:rsidRPr="00194CC1">
        <w:rPr>
          <w:rFonts w:ascii="Times New Roman" w:hAnsi="Times New Roman"/>
          <w:sz w:val="24"/>
          <w:szCs w:val="24"/>
        </w:rPr>
        <w:t xml:space="preserve">“The “critical question” is whether Barton’s official duties included taking actions that furthered Neeley’s reelection efforts. See id. At most, Barton’s refusals of  Neeley’s threats ‘merely concern[ed]’ his duties as Fire Chief, which is not enough to constitute public speech. See id.; Boulton, 795 F.3d at 534; </w:t>
      </w:r>
      <w:proofErr w:type="spellStart"/>
      <w:r w:rsidRPr="00194CC1">
        <w:rPr>
          <w:rFonts w:ascii="Times New Roman" w:hAnsi="Times New Roman"/>
          <w:sz w:val="24"/>
          <w:szCs w:val="24"/>
        </w:rPr>
        <w:t>Jackler</w:t>
      </w:r>
      <w:proofErr w:type="spellEnd"/>
      <w:r w:rsidRPr="00194CC1">
        <w:rPr>
          <w:rFonts w:ascii="Times New Roman" w:hAnsi="Times New Roman"/>
          <w:sz w:val="24"/>
          <w:szCs w:val="24"/>
        </w:rPr>
        <w:t>, 658 F.3d at 241 (‘In the context of the demands [by a superior] that [a public employee] retract his truthful statements and make statements that were false, we conclude that his refusals to accede to those demands constituted speech activity that was significantly different from the mere filing of his initial [r]</w:t>
      </w:r>
      <w:proofErr w:type="spellStart"/>
      <w:r w:rsidRPr="00194CC1">
        <w:rPr>
          <w:rFonts w:ascii="Times New Roman" w:hAnsi="Times New Roman"/>
          <w:sz w:val="24"/>
          <w:szCs w:val="24"/>
        </w:rPr>
        <w:t>eport</w:t>
      </w:r>
      <w:proofErr w:type="spellEnd"/>
      <w:r w:rsidRPr="00194CC1">
        <w:rPr>
          <w:rFonts w:ascii="Times New Roman" w:hAnsi="Times New Roman"/>
          <w:sz w:val="24"/>
          <w:szCs w:val="24"/>
        </w:rPr>
        <w:t xml:space="preserve">.’). In sum, Barton was (refraining from) speaking in his capacity as a private citizen when he declined to help Neeley win re-election and cover up racism within the fire department, which he alleges caused his termination as Fire Chief. </w:t>
      </w:r>
      <w:proofErr w:type="gramStart"/>
      <w:r w:rsidRPr="00194CC1">
        <w:rPr>
          <w:rFonts w:ascii="Times New Roman" w:hAnsi="Times New Roman"/>
          <w:sz w:val="24"/>
          <w:szCs w:val="24"/>
        </w:rPr>
        <w:t>So</w:t>
      </w:r>
      <w:proofErr w:type="gramEnd"/>
      <w:r w:rsidRPr="00194CC1">
        <w:rPr>
          <w:rFonts w:ascii="Times New Roman" w:hAnsi="Times New Roman"/>
          <w:sz w:val="24"/>
          <w:szCs w:val="24"/>
        </w:rPr>
        <w:t xml:space="preserve"> we affirm the district court’s holding that Barton plausibly alleged a violation of his constitutional </w:t>
      </w:r>
      <w:proofErr w:type="gramStart"/>
      <w:r w:rsidRPr="00194CC1">
        <w:rPr>
          <w:rFonts w:ascii="Times New Roman" w:hAnsi="Times New Roman"/>
          <w:sz w:val="24"/>
          <w:szCs w:val="24"/>
        </w:rPr>
        <w:t>rights.”</w:t>
      </w:r>
      <w:proofErr w:type="gramEnd"/>
    </w:p>
    <w:p w14:paraId="7BB7C80D" w14:textId="77777777" w:rsidR="00A313D5" w:rsidRPr="00194CC1" w:rsidRDefault="00A313D5" w:rsidP="00A313D5">
      <w:pPr>
        <w:pStyle w:val="NoSpacing"/>
        <w:rPr>
          <w:rFonts w:ascii="Times New Roman" w:hAnsi="Times New Roman"/>
          <w:sz w:val="24"/>
          <w:szCs w:val="24"/>
        </w:rPr>
      </w:pPr>
    </w:p>
    <w:p w14:paraId="4537AE55" w14:textId="77777777" w:rsidR="00A313D5" w:rsidRPr="00194CC1" w:rsidRDefault="00A313D5" w:rsidP="00A313D5">
      <w:pPr>
        <w:pStyle w:val="NoSpacing"/>
        <w:ind w:left="720"/>
        <w:rPr>
          <w:rFonts w:ascii="Times New Roman" w:hAnsi="Times New Roman"/>
          <w:sz w:val="24"/>
          <w:szCs w:val="24"/>
        </w:rPr>
      </w:pPr>
    </w:p>
    <w:p w14:paraId="0427CAB3" w14:textId="77777777" w:rsidR="00A313D5" w:rsidRPr="00194CC1" w:rsidRDefault="00A313D5" w:rsidP="00A313D5">
      <w:pPr>
        <w:pStyle w:val="NoSpacing"/>
        <w:rPr>
          <w:rFonts w:ascii="Times New Roman" w:hAnsi="Times New Roman"/>
          <w:b/>
          <w:bCs/>
          <w:sz w:val="24"/>
          <w:szCs w:val="24"/>
        </w:rPr>
      </w:pPr>
      <w:r w:rsidRPr="00194CC1">
        <w:rPr>
          <w:rFonts w:ascii="Times New Roman" w:hAnsi="Times New Roman"/>
          <w:b/>
          <w:bCs/>
          <w:sz w:val="24"/>
          <w:szCs w:val="24"/>
        </w:rPr>
        <w:t>Legal Lesson Learned: Great decision; can be great precedent in future cases.</w:t>
      </w:r>
    </w:p>
    <w:p w14:paraId="393102D0" w14:textId="77777777" w:rsidR="005F3DA4" w:rsidRDefault="005F3DA4" w:rsidP="00F91F9F">
      <w:pPr>
        <w:pStyle w:val="NoSpacing"/>
        <w:rPr>
          <w:rFonts w:ascii="Arial Black" w:hAnsi="Arial Black"/>
          <w:sz w:val="24"/>
          <w:szCs w:val="24"/>
        </w:rPr>
      </w:pPr>
    </w:p>
    <w:p w14:paraId="5091C95A" w14:textId="77777777" w:rsidR="005F3DA4" w:rsidRDefault="005F3DA4" w:rsidP="00F91F9F">
      <w:pPr>
        <w:pStyle w:val="NoSpacing"/>
        <w:rPr>
          <w:rFonts w:ascii="Arial Black" w:hAnsi="Arial Black"/>
          <w:sz w:val="24"/>
          <w:szCs w:val="24"/>
        </w:rPr>
      </w:pPr>
    </w:p>
    <w:p w14:paraId="36723288" w14:textId="77777777" w:rsidR="005F3DA4" w:rsidRDefault="005F3DA4" w:rsidP="00F91F9F">
      <w:pPr>
        <w:pStyle w:val="NoSpacing"/>
        <w:rPr>
          <w:rFonts w:ascii="Arial Black" w:hAnsi="Arial Black"/>
          <w:sz w:val="24"/>
          <w:szCs w:val="24"/>
        </w:rPr>
      </w:pPr>
    </w:p>
    <w:p w14:paraId="703C4748" w14:textId="03E655B2" w:rsidR="00CE27F4" w:rsidRDefault="00CE27F4" w:rsidP="00F91F9F">
      <w:pPr>
        <w:pStyle w:val="NoSpacing"/>
        <w:rPr>
          <w:rFonts w:ascii="Arial Black" w:hAnsi="Arial Black"/>
          <w:sz w:val="24"/>
          <w:szCs w:val="24"/>
        </w:rPr>
      </w:pPr>
      <w:r>
        <w:rPr>
          <w:rFonts w:ascii="Arial Black" w:hAnsi="Arial Black"/>
          <w:sz w:val="24"/>
          <w:szCs w:val="24"/>
        </w:rPr>
        <w:t>16-112</w:t>
      </w:r>
    </w:p>
    <w:p w14:paraId="61F0921F" w14:textId="77777777" w:rsidR="00FE25A3" w:rsidRDefault="00FE25A3" w:rsidP="00F91F9F">
      <w:pPr>
        <w:pStyle w:val="NoSpacing"/>
        <w:rPr>
          <w:rFonts w:ascii="Arial Black" w:hAnsi="Arial Black"/>
          <w:sz w:val="24"/>
          <w:szCs w:val="24"/>
        </w:rPr>
      </w:pPr>
    </w:p>
    <w:p w14:paraId="50F4DCE8" w14:textId="77777777" w:rsidR="00FE25A3" w:rsidRPr="007718BF" w:rsidRDefault="00FE25A3" w:rsidP="00FE25A3">
      <w:pPr>
        <w:rPr>
          <w:rFonts w:ascii="Arial Black" w:hAnsi="Arial Black"/>
          <w:sz w:val="28"/>
          <w:szCs w:val="28"/>
        </w:rPr>
      </w:pPr>
      <w:r>
        <w:rPr>
          <w:rFonts w:ascii="Arial Black" w:hAnsi="Arial Black"/>
          <w:sz w:val="28"/>
          <w:szCs w:val="28"/>
        </w:rPr>
        <w:t>NJ: FF FIRED - “DELIBERATE SHELL GAME” - RETURNED MILITARY LEAVE – BUT ALSO STAYED ON ACTIVE DUTY</w:t>
      </w:r>
    </w:p>
    <w:p w14:paraId="5CCB900A" w14:textId="77777777" w:rsidR="00FE25A3" w:rsidRPr="00DD5D06" w:rsidRDefault="00FE25A3" w:rsidP="00FE25A3">
      <w:pPr>
        <w:rPr>
          <w:rFonts w:ascii="Times New Roman" w:hAnsi="Times New Roman"/>
          <w:sz w:val="24"/>
          <w:szCs w:val="24"/>
        </w:rPr>
      </w:pPr>
      <w:r w:rsidRPr="00DD5D06">
        <w:rPr>
          <w:rFonts w:ascii="Times New Roman" w:hAnsi="Times New Roman"/>
          <w:sz w:val="24"/>
          <w:szCs w:val="24"/>
        </w:rPr>
        <w:t xml:space="preserve">On July 31, 2024, </w:t>
      </w:r>
      <w:r w:rsidRPr="00DD5D06">
        <w:rPr>
          <w:rFonts w:ascii="Times New Roman" w:hAnsi="Times New Roman"/>
          <w:sz w:val="24"/>
          <w:szCs w:val="24"/>
          <w:u w:val="single"/>
        </w:rPr>
        <w:t xml:space="preserve">In </w:t>
      </w:r>
      <w:proofErr w:type="gramStart"/>
      <w:r w:rsidRPr="00DD5D06">
        <w:rPr>
          <w:rFonts w:ascii="Times New Roman" w:hAnsi="Times New Roman"/>
          <w:sz w:val="24"/>
          <w:szCs w:val="24"/>
          <w:u w:val="single"/>
        </w:rPr>
        <w:t>The</w:t>
      </w:r>
      <w:proofErr w:type="gramEnd"/>
      <w:r w:rsidRPr="00DD5D06">
        <w:rPr>
          <w:rFonts w:ascii="Times New Roman" w:hAnsi="Times New Roman"/>
          <w:sz w:val="24"/>
          <w:szCs w:val="24"/>
          <w:u w:val="single"/>
        </w:rPr>
        <w:t xml:space="preserve"> Matter </w:t>
      </w:r>
      <w:proofErr w:type="gramStart"/>
      <w:r w:rsidRPr="00DD5D06">
        <w:rPr>
          <w:rFonts w:ascii="Times New Roman" w:hAnsi="Times New Roman"/>
          <w:sz w:val="24"/>
          <w:szCs w:val="24"/>
          <w:u w:val="single"/>
        </w:rPr>
        <w:t>Of</w:t>
      </w:r>
      <w:proofErr w:type="gramEnd"/>
      <w:r w:rsidRPr="00DD5D06">
        <w:rPr>
          <w:rFonts w:ascii="Times New Roman" w:hAnsi="Times New Roman"/>
          <w:sz w:val="24"/>
          <w:szCs w:val="24"/>
          <w:u w:val="single"/>
        </w:rPr>
        <w:t xml:space="preserve"> John Tayag-Kosky, Town </w:t>
      </w:r>
      <w:proofErr w:type="gramStart"/>
      <w:r w:rsidRPr="00DD5D06">
        <w:rPr>
          <w:rFonts w:ascii="Times New Roman" w:hAnsi="Times New Roman"/>
          <w:sz w:val="24"/>
          <w:szCs w:val="24"/>
          <w:u w:val="single"/>
        </w:rPr>
        <w:t>Of</w:t>
      </w:r>
      <w:proofErr w:type="gramEnd"/>
      <w:r w:rsidRPr="00DD5D06">
        <w:rPr>
          <w:rFonts w:ascii="Times New Roman" w:hAnsi="Times New Roman"/>
          <w:sz w:val="24"/>
          <w:szCs w:val="24"/>
          <w:u w:val="single"/>
        </w:rPr>
        <w:t xml:space="preserve"> Kearny Fire Department</w:t>
      </w:r>
      <w:r w:rsidRPr="00DD5D06">
        <w:rPr>
          <w:rFonts w:ascii="Times New Roman" w:hAnsi="Times New Roman"/>
          <w:sz w:val="24"/>
          <w:szCs w:val="24"/>
        </w:rPr>
        <w:t>, the Superior Court of New Jersey, Appellate Division, held (2 to 0; unpublished opinion), that the Civil Service Commission properly upheld the termination.  In 20</w:t>
      </w:r>
      <w:r>
        <w:rPr>
          <w:rFonts w:ascii="Times New Roman" w:hAnsi="Times New Roman"/>
          <w:sz w:val="24"/>
          <w:szCs w:val="24"/>
        </w:rPr>
        <w:t>1</w:t>
      </w:r>
      <w:r w:rsidRPr="00DD5D06">
        <w:rPr>
          <w:rFonts w:ascii="Times New Roman" w:hAnsi="Times New Roman"/>
          <w:sz w:val="24"/>
          <w:szCs w:val="24"/>
        </w:rPr>
        <w:t xml:space="preserve">4, when he returned from active duty to FD, he worked 24 / </w:t>
      </w:r>
      <w:proofErr w:type="gramStart"/>
      <w:r w:rsidRPr="00DD5D06">
        <w:rPr>
          <w:rFonts w:ascii="Times New Roman" w:hAnsi="Times New Roman"/>
          <w:sz w:val="24"/>
          <w:szCs w:val="24"/>
        </w:rPr>
        <w:t>72 hour</w:t>
      </w:r>
      <w:proofErr w:type="gramEnd"/>
      <w:r w:rsidRPr="00DD5D06">
        <w:rPr>
          <w:rFonts w:ascii="Times New Roman" w:hAnsi="Times New Roman"/>
          <w:sz w:val="24"/>
          <w:szCs w:val="24"/>
        </w:rPr>
        <w:t xml:space="preserve"> shift.  He </w:t>
      </w:r>
      <w:r>
        <w:rPr>
          <w:rFonts w:ascii="Times New Roman" w:hAnsi="Times New Roman"/>
          <w:sz w:val="24"/>
          <w:szCs w:val="24"/>
        </w:rPr>
        <w:t>“</w:t>
      </w:r>
      <w:r w:rsidRPr="00DD5D06">
        <w:rPr>
          <w:rFonts w:ascii="Times New Roman" w:hAnsi="Times New Roman"/>
          <w:sz w:val="24"/>
          <w:szCs w:val="24"/>
        </w:rPr>
        <w:t>actively concealed</w:t>
      </w:r>
      <w:r>
        <w:rPr>
          <w:rFonts w:ascii="Times New Roman" w:hAnsi="Times New Roman"/>
          <w:sz w:val="24"/>
          <w:szCs w:val="24"/>
        </w:rPr>
        <w:t>” from FD</w:t>
      </w:r>
      <w:r w:rsidRPr="00DD5D06">
        <w:rPr>
          <w:rFonts w:ascii="Times New Roman" w:hAnsi="Times New Roman"/>
          <w:sz w:val="24"/>
          <w:szCs w:val="24"/>
        </w:rPr>
        <w:t xml:space="preserve"> </w:t>
      </w:r>
      <w:r>
        <w:rPr>
          <w:rFonts w:ascii="Times New Roman" w:hAnsi="Times New Roman"/>
          <w:sz w:val="24"/>
          <w:szCs w:val="24"/>
        </w:rPr>
        <w:t xml:space="preserve">[2014-2018] </w:t>
      </w:r>
      <w:r w:rsidRPr="00DD5D06">
        <w:rPr>
          <w:rFonts w:ascii="Times New Roman" w:hAnsi="Times New Roman"/>
          <w:sz w:val="24"/>
          <w:szCs w:val="24"/>
        </w:rPr>
        <w:t>that he was still employed as a full-time military recruiter and an active-duty member of the Army National Guard</w:t>
      </w:r>
      <w:r>
        <w:rPr>
          <w:rFonts w:ascii="Times New Roman" w:hAnsi="Times New Roman"/>
          <w:sz w:val="24"/>
          <w:szCs w:val="24"/>
        </w:rPr>
        <w:t>, and concealed from Army he was working as a career FF</w:t>
      </w:r>
      <w:r w:rsidRPr="00DD5D06">
        <w:rPr>
          <w:rFonts w:ascii="Times New Roman" w:hAnsi="Times New Roman"/>
          <w:sz w:val="24"/>
          <w:szCs w:val="24"/>
        </w:rPr>
        <w:t xml:space="preserve">. The Court rejected his argument that under “progressive discipline” the firing was too harsh.  </w:t>
      </w:r>
      <w:hyperlink r:id="rId2489" w:history="1">
        <w:r w:rsidRPr="00DD5D06">
          <w:rPr>
            <w:rStyle w:val="Hyperlink"/>
            <w:rFonts w:ascii="Times New Roman" w:hAnsi="Times New Roman"/>
            <w:sz w:val="24"/>
            <w:szCs w:val="24"/>
          </w:rPr>
          <w:t>https://www.njcourts.gov/system/files/court-opinions/2024/a1537-22.pdf</w:t>
        </w:r>
      </w:hyperlink>
      <w:r w:rsidRPr="00DD5D06">
        <w:rPr>
          <w:rFonts w:ascii="Times New Roman" w:hAnsi="Times New Roman"/>
          <w:sz w:val="24"/>
          <w:szCs w:val="24"/>
        </w:rPr>
        <w:t xml:space="preserve"> </w:t>
      </w:r>
    </w:p>
    <w:p w14:paraId="0861AEB8" w14:textId="77777777" w:rsidR="00FE25A3" w:rsidRPr="007718BF" w:rsidRDefault="00FE25A3" w:rsidP="00FE25A3">
      <w:pPr>
        <w:rPr>
          <w:rFonts w:ascii="Times New Roman" w:hAnsi="Times New Roman"/>
          <w:sz w:val="24"/>
          <w:szCs w:val="24"/>
        </w:rPr>
      </w:pPr>
      <w:r w:rsidRPr="007718BF">
        <w:rPr>
          <w:rFonts w:ascii="Times New Roman" w:hAnsi="Times New Roman"/>
          <w:sz w:val="24"/>
          <w:szCs w:val="24"/>
        </w:rPr>
        <w:t>THE COURT HELD:</w:t>
      </w:r>
    </w:p>
    <w:p w14:paraId="26788F94" w14:textId="77777777" w:rsidR="00FE25A3" w:rsidRDefault="00FE25A3" w:rsidP="00FE25A3">
      <w:pPr>
        <w:ind w:left="720"/>
        <w:rPr>
          <w:rFonts w:ascii="Times New Roman" w:hAnsi="Times New Roman"/>
          <w:sz w:val="24"/>
          <w:szCs w:val="24"/>
        </w:rPr>
      </w:pPr>
      <w:r>
        <w:rPr>
          <w:rFonts w:ascii="Times New Roman" w:hAnsi="Times New Roman"/>
          <w:sz w:val="24"/>
          <w:szCs w:val="24"/>
        </w:rPr>
        <w:lastRenderedPageBreak/>
        <w:t>“</w:t>
      </w:r>
      <w:r w:rsidRPr="007718BF">
        <w:rPr>
          <w:rFonts w:ascii="Times New Roman" w:hAnsi="Times New Roman"/>
          <w:sz w:val="24"/>
          <w:szCs w:val="24"/>
        </w:rPr>
        <w:t>Kosky argues termination was not justified and violated</w:t>
      </w:r>
      <w:r>
        <w:rPr>
          <w:rFonts w:ascii="Times New Roman" w:hAnsi="Times New Roman"/>
          <w:sz w:val="24"/>
          <w:szCs w:val="24"/>
        </w:rPr>
        <w:t xml:space="preserve"> </w:t>
      </w:r>
      <w:r w:rsidRPr="007718BF">
        <w:rPr>
          <w:rFonts w:ascii="Times New Roman" w:hAnsi="Times New Roman"/>
          <w:sz w:val="24"/>
          <w:szCs w:val="24"/>
        </w:rPr>
        <w:t>principles of progressive discipline since he had no prior discipline or</w:t>
      </w:r>
      <w:r>
        <w:rPr>
          <w:rFonts w:ascii="Times New Roman" w:hAnsi="Times New Roman"/>
          <w:sz w:val="24"/>
          <w:szCs w:val="24"/>
        </w:rPr>
        <w:t xml:space="preserve"> </w:t>
      </w:r>
      <w:r w:rsidRPr="007718BF">
        <w:rPr>
          <w:rFonts w:ascii="Times New Roman" w:hAnsi="Times New Roman"/>
          <w:sz w:val="24"/>
          <w:szCs w:val="24"/>
        </w:rPr>
        <w:t>infractions with the Department. In making its determination on this issue, the</w:t>
      </w:r>
      <w:r>
        <w:rPr>
          <w:rFonts w:ascii="Times New Roman" w:hAnsi="Times New Roman"/>
          <w:sz w:val="24"/>
          <w:szCs w:val="24"/>
        </w:rPr>
        <w:t xml:space="preserve"> </w:t>
      </w:r>
      <w:r w:rsidRPr="007718BF">
        <w:rPr>
          <w:rFonts w:ascii="Times New Roman" w:hAnsi="Times New Roman"/>
          <w:sz w:val="24"/>
          <w:szCs w:val="24"/>
        </w:rPr>
        <w:t>Commission reviewed the ALJ's detailed findings and conclusions, including</w:t>
      </w:r>
      <w:r>
        <w:rPr>
          <w:rFonts w:ascii="Times New Roman" w:hAnsi="Times New Roman"/>
          <w:sz w:val="24"/>
          <w:szCs w:val="24"/>
        </w:rPr>
        <w:t xml:space="preserve"> </w:t>
      </w:r>
      <w:r w:rsidRPr="007718BF">
        <w:rPr>
          <w:rFonts w:ascii="Times New Roman" w:hAnsi="Times New Roman"/>
          <w:sz w:val="24"/>
          <w:szCs w:val="24"/>
        </w:rPr>
        <w:t xml:space="preserve">that Kosky's testimony was not </w:t>
      </w:r>
      <w:proofErr w:type="gramStart"/>
      <w:r w:rsidRPr="007718BF">
        <w:rPr>
          <w:rFonts w:ascii="Times New Roman" w:hAnsi="Times New Roman"/>
          <w:sz w:val="24"/>
          <w:szCs w:val="24"/>
        </w:rPr>
        <w:t>credible</w:t>
      </w:r>
      <w:proofErr w:type="gramEnd"/>
      <w:r w:rsidRPr="007718BF">
        <w:rPr>
          <w:rFonts w:ascii="Times New Roman" w:hAnsi="Times New Roman"/>
          <w:sz w:val="24"/>
          <w:szCs w:val="24"/>
        </w:rPr>
        <w:t xml:space="preserve"> and his actions warranted a departure</w:t>
      </w:r>
      <w:r>
        <w:rPr>
          <w:rFonts w:ascii="Times New Roman" w:hAnsi="Times New Roman"/>
          <w:sz w:val="24"/>
          <w:szCs w:val="24"/>
        </w:rPr>
        <w:t xml:space="preserve"> </w:t>
      </w:r>
      <w:r w:rsidRPr="007718BF">
        <w:rPr>
          <w:rFonts w:ascii="Times New Roman" w:hAnsi="Times New Roman"/>
          <w:sz w:val="24"/>
          <w:szCs w:val="24"/>
        </w:rPr>
        <w:t xml:space="preserve">from progressive discipline. Progressive discipline is not </w:t>
      </w:r>
      <w:r>
        <w:rPr>
          <w:rFonts w:ascii="Times New Roman" w:hAnsi="Times New Roman"/>
          <w:sz w:val="24"/>
          <w:szCs w:val="24"/>
        </w:rPr>
        <w:t>‘</w:t>
      </w:r>
      <w:r w:rsidRPr="007718BF">
        <w:rPr>
          <w:rFonts w:ascii="Times New Roman" w:hAnsi="Times New Roman"/>
          <w:sz w:val="24"/>
          <w:szCs w:val="24"/>
        </w:rPr>
        <w:t>a fixed and</w:t>
      </w:r>
      <w:r>
        <w:rPr>
          <w:rFonts w:ascii="Times New Roman" w:hAnsi="Times New Roman"/>
          <w:sz w:val="24"/>
          <w:szCs w:val="24"/>
        </w:rPr>
        <w:t xml:space="preserve"> </w:t>
      </w:r>
      <w:r w:rsidRPr="007718BF">
        <w:rPr>
          <w:rFonts w:ascii="Times New Roman" w:hAnsi="Times New Roman"/>
          <w:sz w:val="24"/>
          <w:szCs w:val="24"/>
        </w:rPr>
        <w:t>immutable rule to be followed without question</w:t>
      </w:r>
      <w:r>
        <w:rPr>
          <w:rFonts w:ascii="Times New Roman" w:hAnsi="Times New Roman"/>
          <w:sz w:val="24"/>
          <w:szCs w:val="24"/>
        </w:rPr>
        <w:t>’</w:t>
      </w:r>
      <w:r w:rsidRPr="007718BF">
        <w:rPr>
          <w:rFonts w:ascii="Times New Roman" w:hAnsi="Times New Roman"/>
          <w:sz w:val="24"/>
          <w:szCs w:val="24"/>
        </w:rPr>
        <w:t xml:space="preserve"> because </w:t>
      </w:r>
      <w:r>
        <w:rPr>
          <w:rFonts w:ascii="Times New Roman" w:hAnsi="Times New Roman"/>
          <w:sz w:val="24"/>
          <w:szCs w:val="24"/>
        </w:rPr>
        <w:t>‘</w:t>
      </w:r>
      <w:r w:rsidRPr="007718BF">
        <w:rPr>
          <w:rFonts w:ascii="Times New Roman" w:hAnsi="Times New Roman"/>
          <w:sz w:val="24"/>
          <w:szCs w:val="24"/>
        </w:rPr>
        <w:t>some disciplinary</w:t>
      </w:r>
      <w:r>
        <w:rPr>
          <w:rFonts w:ascii="Times New Roman" w:hAnsi="Times New Roman"/>
          <w:sz w:val="24"/>
          <w:szCs w:val="24"/>
        </w:rPr>
        <w:t xml:space="preserve"> </w:t>
      </w:r>
      <w:r w:rsidRPr="007718BF">
        <w:rPr>
          <w:rFonts w:ascii="Times New Roman" w:hAnsi="Times New Roman"/>
          <w:sz w:val="24"/>
          <w:szCs w:val="24"/>
        </w:rPr>
        <w:t>infractions are so serious that removal is appropriate notwithstanding a largely</w:t>
      </w:r>
      <w:r>
        <w:rPr>
          <w:rFonts w:ascii="Times New Roman" w:hAnsi="Times New Roman"/>
          <w:sz w:val="24"/>
          <w:szCs w:val="24"/>
        </w:rPr>
        <w:t xml:space="preserve"> </w:t>
      </w:r>
      <w:r w:rsidRPr="007718BF">
        <w:rPr>
          <w:rFonts w:ascii="Times New Roman" w:hAnsi="Times New Roman"/>
          <w:sz w:val="24"/>
          <w:szCs w:val="24"/>
        </w:rPr>
        <w:t>unblemished prior record.</w:t>
      </w:r>
      <w:r>
        <w:rPr>
          <w:rFonts w:ascii="Times New Roman" w:hAnsi="Times New Roman"/>
          <w:sz w:val="24"/>
          <w:szCs w:val="24"/>
        </w:rPr>
        <w:t>’</w:t>
      </w:r>
      <w:r w:rsidRPr="007718BF">
        <w:rPr>
          <w:rFonts w:ascii="Times New Roman" w:hAnsi="Times New Roman"/>
          <w:sz w:val="24"/>
          <w:szCs w:val="24"/>
        </w:rPr>
        <w:t xml:space="preserve"> Stallworth, 208 N.J. at 196 (citing Carter, 191 N.J.</w:t>
      </w:r>
      <w:r>
        <w:rPr>
          <w:rFonts w:ascii="Times New Roman" w:hAnsi="Times New Roman"/>
          <w:sz w:val="24"/>
          <w:szCs w:val="24"/>
        </w:rPr>
        <w:t xml:space="preserve"> </w:t>
      </w:r>
      <w:r w:rsidRPr="007718BF">
        <w:rPr>
          <w:rFonts w:ascii="Times New Roman" w:hAnsi="Times New Roman"/>
          <w:sz w:val="24"/>
          <w:szCs w:val="24"/>
        </w:rPr>
        <w:t>at 484); Herrmann, 192 N.J. at 34-36. The Commission's decision was clearly</w:t>
      </w:r>
      <w:r>
        <w:rPr>
          <w:rFonts w:ascii="Times New Roman" w:hAnsi="Times New Roman"/>
          <w:sz w:val="24"/>
          <w:szCs w:val="24"/>
        </w:rPr>
        <w:t xml:space="preserve"> </w:t>
      </w:r>
      <w:r w:rsidRPr="007718BF">
        <w:rPr>
          <w:rFonts w:ascii="Times New Roman" w:hAnsi="Times New Roman"/>
          <w:sz w:val="24"/>
          <w:szCs w:val="24"/>
        </w:rPr>
        <w:t>supported by the record which showed Kosky deliberately deceived the</w:t>
      </w:r>
      <w:r>
        <w:rPr>
          <w:rFonts w:ascii="Times New Roman" w:hAnsi="Times New Roman"/>
          <w:sz w:val="24"/>
          <w:szCs w:val="24"/>
        </w:rPr>
        <w:t xml:space="preserve"> </w:t>
      </w:r>
      <w:r w:rsidRPr="007718BF">
        <w:rPr>
          <w:rFonts w:ascii="Times New Roman" w:hAnsi="Times New Roman"/>
          <w:sz w:val="24"/>
          <w:szCs w:val="24"/>
        </w:rPr>
        <w:t xml:space="preserve">Department by failing to disclose he was holding two full-time positions </w:t>
      </w:r>
      <w:proofErr w:type="gramStart"/>
      <w:r w:rsidRPr="007718BF">
        <w:rPr>
          <w:rFonts w:ascii="Times New Roman" w:hAnsi="Times New Roman"/>
          <w:sz w:val="24"/>
          <w:szCs w:val="24"/>
        </w:rPr>
        <w:t>in an</w:t>
      </w:r>
      <w:r>
        <w:rPr>
          <w:rFonts w:ascii="Times New Roman" w:hAnsi="Times New Roman"/>
          <w:sz w:val="24"/>
          <w:szCs w:val="24"/>
        </w:rPr>
        <w:t xml:space="preserve"> </w:t>
      </w:r>
      <w:r w:rsidRPr="007718BF">
        <w:rPr>
          <w:rFonts w:ascii="Times New Roman" w:hAnsi="Times New Roman"/>
          <w:sz w:val="24"/>
          <w:szCs w:val="24"/>
        </w:rPr>
        <w:t>effort to</w:t>
      </w:r>
      <w:proofErr w:type="gramEnd"/>
      <w:r w:rsidRPr="007718BF">
        <w:rPr>
          <w:rFonts w:ascii="Times New Roman" w:hAnsi="Times New Roman"/>
          <w:sz w:val="24"/>
          <w:szCs w:val="24"/>
        </w:rPr>
        <w:t xml:space="preserve"> gain personal advantage in the form of additional pension and health</w:t>
      </w:r>
      <w:r>
        <w:rPr>
          <w:rFonts w:ascii="Times New Roman" w:hAnsi="Times New Roman"/>
          <w:sz w:val="24"/>
          <w:szCs w:val="24"/>
        </w:rPr>
        <w:t xml:space="preserve"> </w:t>
      </w:r>
      <w:r w:rsidRPr="007718BF">
        <w:rPr>
          <w:rFonts w:ascii="Times New Roman" w:hAnsi="Times New Roman"/>
          <w:sz w:val="24"/>
          <w:szCs w:val="24"/>
        </w:rPr>
        <w:t>benefits.</w:t>
      </w:r>
      <w:r>
        <w:rPr>
          <w:rFonts w:ascii="Times New Roman" w:hAnsi="Times New Roman"/>
          <w:sz w:val="24"/>
          <w:szCs w:val="24"/>
        </w:rPr>
        <w:t>”</w:t>
      </w:r>
    </w:p>
    <w:p w14:paraId="6F2EE934" w14:textId="77777777" w:rsidR="004C22AB" w:rsidRDefault="004C22AB" w:rsidP="004C22AB">
      <w:pPr>
        <w:rPr>
          <w:rFonts w:ascii="Times New Roman" w:hAnsi="Times New Roman"/>
          <w:b/>
          <w:bCs/>
          <w:sz w:val="24"/>
          <w:szCs w:val="24"/>
        </w:rPr>
      </w:pPr>
      <w:r w:rsidRPr="00346E64">
        <w:rPr>
          <w:rFonts w:ascii="Times New Roman" w:hAnsi="Times New Roman"/>
          <w:b/>
          <w:bCs/>
          <w:sz w:val="24"/>
          <w:szCs w:val="24"/>
        </w:rPr>
        <w:t xml:space="preserve">Legal Lesson Learned: </w:t>
      </w:r>
      <w:r>
        <w:rPr>
          <w:rFonts w:ascii="Times New Roman" w:hAnsi="Times New Roman"/>
          <w:b/>
          <w:bCs/>
          <w:sz w:val="24"/>
          <w:szCs w:val="24"/>
        </w:rPr>
        <w:t xml:space="preserve">Termination was appropriate; progressive discipline not appropriate who someone conducting a “deliberate shell game.” </w:t>
      </w:r>
    </w:p>
    <w:p w14:paraId="75B5586A" w14:textId="77777777" w:rsidR="004C22AB" w:rsidRPr="00270653" w:rsidRDefault="004C22AB" w:rsidP="004C22AB">
      <w:pPr>
        <w:ind w:left="720"/>
        <w:rPr>
          <w:rFonts w:ascii="Times New Roman" w:hAnsi="Times New Roman"/>
          <w:sz w:val="24"/>
          <w:szCs w:val="24"/>
        </w:rPr>
      </w:pPr>
      <w:r w:rsidRPr="00270653">
        <w:rPr>
          <w:rFonts w:ascii="Times New Roman" w:hAnsi="Times New Roman"/>
          <w:sz w:val="24"/>
          <w:szCs w:val="24"/>
        </w:rPr>
        <w:t xml:space="preserve">Note: Read the Civil Service Commission report. </w:t>
      </w:r>
      <w:hyperlink r:id="rId2490" w:history="1">
        <w:r w:rsidRPr="00270653">
          <w:rPr>
            <w:rStyle w:val="Hyperlink"/>
            <w:rFonts w:ascii="Times New Roman" w:hAnsi="Times New Roman"/>
            <w:sz w:val="24"/>
            <w:szCs w:val="24"/>
          </w:rPr>
          <w:t>https://www.nj.gov/csc/about/meetings/decisions/pdf/2023/01-18-23/A005%20TAYAG-KOSKY%20JOHN.pdf</w:t>
        </w:r>
      </w:hyperlink>
      <w:r w:rsidRPr="00270653">
        <w:rPr>
          <w:rFonts w:ascii="Times New Roman" w:hAnsi="Times New Roman"/>
          <w:sz w:val="24"/>
          <w:szCs w:val="24"/>
        </w:rPr>
        <w:t xml:space="preserve"> </w:t>
      </w:r>
    </w:p>
    <w:p w14:paraId="696E8BC4" w14:textId="77777777" w:rsidR="00FE25A3" w:rsidRDefault="00FE25A3" w:rsidP="00F91F9F">
      <w:pPr>
        <w:pStyle w:val="NoSpacing"/>
        <w:rPr>
          <w:rFonts w:ascii="Arial Black" w:hAnsi="Arial Black"/>
          <w:sz w:val="24"/>
          <w:szCs w:val="24"/>
        </w:rPr>
      </w:pPr>
    </w:p>
    <w:p w14:paraId="146E111B" w14:textId="77777777" w:rsidR="00CE27F4" w:rsidRDefault="00CE27F4" w:rsidP="00F91F9F">
      <w:pPr>
        <w:pStyle w:val="NoSpacing"/>
        <w:rPr>
          <w:rFonts w:ascii="Arial Black" w:hAnsi="Arial Black"/>
          <w:sz w:val="24"/>
          <w:szCs w:val="24"/>
        </w:rPr>
      </w:pPr>
    </w:p>
    <w:p w14:paraId="67ADA7A1" w14:textId="77777777" w:rsidR="00CE27F4" w:rsidRDefault="00CE27F4" w:rsidP="00F91F9F">
      <w:pPr>
        <w:pStyle w:val="NoSpacing"/>
        <w:rPr>
          <w:rFonts w:ascii="Arial Black" w:hAnsi="Arial Black"/>
          <w:sz w:val="24"/>
          <w:szCs w:val="24"/>
        </w:rPr>
      </w:pPr>
    </w:p>
    <w:p w14:paraId="58529998" w14:textId="5D92E6D0" w:rsidR="00B55AFC" w:rsidRDefault="00BB3D8E" w:rsidP="00F91F9F">
      <w:pPr>
        <w:pStyle w:val="NoSpacing"/>
        <w:rPr>
          <w:rFonts w:ascii="Arial Black" w:hAnsi="Arial Black"/>
          <w:sz w:val="24"/>
          <w:szCs w:val="24"/>
        </w:rPr>
      </w:pPr>
      <w:r>
        <w:rPr>
          <w:rFonts w:ascii="Arial Black" w:hAnsi="Arial Black"/>
          <w:sz w:val="24"/>
          <w:szCs w:val="24"/>
        </w:rPr>
        <w:t>16-111</w:t>
      </w:r>
    </w:p>
    <w:p w14:paraId="499ED00B" w14:textId="77777777" w:rsidR="00BB3D8E" w:rsidRDefault="00BB3D8E" w:rsidP="00F91F9F">
      <w:pPr>
        <w:pStyle w:val="NoSpacing"/>
        <w:rPr>
          <w:rFonts w:ascii="Arial Black" w:hAnsi="Arial Black"/>
          <w:sz w:val="24"/>
          <w:szCs w:val="24"/>
        </w:rPr>
      </w:pPr>
    </w:p>
    <w:p w14:paraId="43D6E405" w14:textId="77777777" w:rsidR="00B34746" w:rsidRDefault="00B34746" w:rsidP="00B34746">
      <w:pPr>
        <w:pStyle w:val="NoSpacing"/>
        <w:rPr>
          <w:rFonts w:ascii="Arial Black" w:hAnsi="Arial Black"/>
          <w:sz w:val="28"/>
          <w:szCs w:val="28"/>
        </w:rPr>
      </w:pPr>
      <w:r w:rsidRPr="0049649C">
        <w:rPr>
          <w:rFonts w:ascii="Arial Black" w:hAnsi="Arial Black"/>
          <w:sz w:val="28"/>
          <w:szCs w:val="28"/>
        </w:rPr>
        <w:t xml:space="preserve">CA: </w:t>
      </w:r>
      <w:r>
        <w:rPr>
          <w:rFonts w:ascii="Arial Black" w:hAnsi="Arial Black"/>
          <w:sz w:val="28"/>
          <w:szCs w:val="28"/>
        </w:rPr>
        <w:t xml:space="preserve">FIRE </w:t>
      </w:r>
      <w:r w:rsidRPr="0049649C">
        <w:rPr>
          <w:rFonts w:ascii="Arial Black" w:hAnsi="Arial Black"/>
          <w:sz w:val="28"/>
          <w:szCs w:val="28"/>
        </w:rPr>
        <w:t>CHIEF</w:t>
      </w:r>
      <w:r>
        <w:rPr>
          <w:rFonts w:ascii="Arial Black" w:hAnsi="Arial Black"/>
          <w:sz w:val="28"/>
          <w:szCs w:val="28"/>
        </w:rPr>
        <w:t xml:space="preserve"> FIRED – “RELIGIOUS DISCRIMINATION” CASE WAS DISMISSED – 9</w:t>
      </w:r>
      <w:r w:rsidRPr="005322F9">
        <w:rPr>
          <w:rFonts w:ascii="Arial Black" w:hAnsi="Arial Black"/>
          <w:sz w:val="28"/>
          <w:szCs w:val="28"/>
          <w:vertAlign w:val="superscript"/>
        </w:rPr>
        <w:t>th</w:t>
      </w:r>
      <w:r>
        <w:rPr>
          <w:rFonts w:ascii="Arial Black" w:hAnsi="Arial Black"/>
          <w:sz w:val="28"/>
          <w:szCs w:val="28"/>
        </w:rPr>
        <w:t xml:space="preserve"> CIR. NO “EN BANC” REVIEW</w:t>
      </w:r>
    </w:p>
    <w:p w14:paraId="25F66989" w14:textId="77777777" w:rsidR="00B34746" w:rsidRDefault="00B34746" w:rsidP="00B34746">
      <w:pPr>
        <w:pStyle w:val="NoSpacing"/>
      </w:pPr>
    </w:p>
    <w:p w14:paraId="793B7ED0" w14:textId="77777777" w:rsidR="00B34746" w:rsidRDefault="00B34746" w:rsidP="00B34746">
      <w:pPr>
        <w:pStyle w:val="NoSpacing"/>
        <w:rPr>
          <w:rFonts w:ascii="Times New Roman" w:hAnsi="Times New Roman"/>
          <w:sz w:val="24"/>
          <w:szCs w:val="24"/>
        </w:rPr>
      </w:pPr>
      <w:r w:rsidRPr="00675CE0">
        <w:rPr>
          <w:rFonts w:ascii="Times New Roman" w:hAnsi="Times New Roman"/>
          <w:sz w:val="24"/>
          <w:szCs w:val="24"/>
        </w:rPr>
        <w:t xml:space="preserve">On May 17, 2024, in </w:t>
      </w:r>
      <w:r w:rsidRPr="00675CE0">
        <w:rPr>
          <w:rFonts w:ascii="Times New Roman" w:hAnsi="Times New Roman"/>
          <w:sz w:val="24"/>
          <w:szCs w:val="24"/>
          <w:u w:val="single"/>
        </w:rPr>
        <w:t>Ronald Hittle v. City of Stockton, California</w:t>
      </w:r>
      <w:r w:rsidRPr="00675CE0">
        <w:rPr>
          <w:rFonts w:ascii="Times New Roman" w:hAnsi="Times New Roman"/>
          <w:sz w:val="24"/>
          <w:szCs w:val="24"/>
        </w:rPr>
        <w:t xml:space="preserve">, </w:t>
      </w:r>
      <w:r>
        <w:rPr>
          <w:rFonts w:ascii="Times New Roman" w:hAnsi="Times New Roman"/>
          <w:sz w:val="24"/>
          <w:szCs w:val="24"/>
        </w:rPr>
        <w:t>U.S. Court of Appeals for 9</w:t>
      </w:r>
      <w:r w:rsidRPr="00082FD4">
        <w:rPr>
          <w:rFonts w:ascii="Times New Roman" w:hAnsi="Times New Roman"/>
          <w:sz w:val="24"/>
          <w:szCs w:val="24"/>
          <w:vertAlign w:val="superscript"/>
        </w:rPr>
        <w:t>th</w:t>
      </w:r>
      <w:r>
        <w:rPr>
          <w:rFonts w:ascii="Times New Roman" w:hAnsi="Times New Roman"/>
          <w:sz w:val="24"/>
          <w:szCs w:val="24"/>
        </w:rPr>
        <w:t xml:space="preserve"> Circuit (San Francisco) a majority of the 29 Circuit Judges declined to hear his appeal, and </w:t>
      </w:r>
      <w:r w:rsidRPr="00675CE0">
        <w:rPr>
          <w:rFonts w:ascii="Times New Roman" w:hAnsi="Times New Roman"/>
          <w:sz w:val="24"/>
          <w:szCs w:val="24"/>
        </w:rPr>
        <w:t>the 3-</w:t>
      </w:r>
      <w:r>
        <w:rPr>
          <w:rFonts w:ascii="Times New Roman" w:hAnsi="Times New Roman"/>
          <w:sz w:val="24"/>
          <w:szCs w:val="24"/>
        </w:rPr>
        <w:t>J</w:t>
      </w:r>
      <w:r w:rsidRPr="00675CE0">
        <w:rPr>
          <w:rFonts w:ascii="Times New Roman" w:hAnsi="Times New Roman"/>
          <w:sz w:val="24"/>
          <w:szCs w:val="24"/>
        </w:rPr>
        <w:t xml:space="preserve">udge panel </w:t>
      </w:r>
      <w:r>
        <w:rPr>
          <w:rFonts w:ascii="Times New Roman" w:hAnsi="Times New Roman"/>
          <w:sz w:val="24"/>
          <w:szCs w:val="24"/>
        </w:rPr>
        <w:t xml:space="preserve">that originally denied his appeal on Aug. 4, </w:t>
      </w:r>
      <w:proofErr w:type="gramStart"/>
      <w:r>
        <w:rPr>
          <w:rFonts w:ascii="Times New Roman" w:hAnsi="Times New Roman"/>
          <w:sz w:val="24"/>
          <w:szCs w:val="24"/>
        </w:rPr>
        <w:t>2023</w:t>
      </w:r>
      <w:proofErr w:type="gramEnd"/>
      <w:r>
        <w:rPr>
          <w:rFonts w:ascii="Times New Roman" w:hAnsi="Times New Roman"/>
          <w:sz w:val="24"/>
          <w:szCs w:val="24"/>
        </w:rPr>
        <w:t xml:space="preserve"> issued a more detailed second decision.  The City fired Chief Hittle on Sept. 30, 2011 after it retained an outside attorney who wrote 250 page investigative report that included allegations the Chief had formed a “Christian Coalition” in FD, including taking three officers in a FD vehicle to Aug. 5 &amp; 6, 2020 a Christian “</w:t>
      </w:r>
      <w:r w:rsidRPr="005616B7">
        <w:rPr>
          <w:rFonts w:ascii="Times New Roman" w:hAnsi="Times New Roman"/>
          <w:sz w:val="24"/>
          <w:szCs w:val="24"/>
        </w:rPr>
        <w:t>Global Leadership Summit</w:t>
      </w:r>
      <w:r>
        <w:rPr>
          <w:rFonts w:ascii="Times New Roman" w:hAnsi="Times New Roman"/>
          <w:sz w:val="24"/>
          <w:szCs w:val="24"/>
        </w:rPr>
        <w:t xml:space="preserve">” conference at a church in Livermore, on city time.  The 3-Judge panel in its May 17, </w:t>
      </w:r>
      <w:proofErr w:type="gramStart"/>
      <w:r>
        <w:rPr>
          <w:rFonts w:ascii="Times New Roman" w:hAnsi="Times New Roman"/>
          <w:sz w:val="24"/>
          <w:szCs w:val="24"/>
        </w:rPr>
        <w:t>2024</w:t>
      </w:r>
      <w:proofErr w:type="gramEnd"/>
      <w:r>
        <w:rPr>
          <w:rFonts w:ascii="Times New Roman" w:hAnsi="Times New Roman"/>
          <w:sz w:val="24"/>
          <w:szCs w:val="24"/>
        </w:rPr>
        <w:t xml:space="preserve"> decision held:</w:t>
      </w:r>
    </w:p>
    <w:p w14:paraId="7A7CEDCA" w14:textId="77777777" w:rsidR="00B34746" w:rsidRDefault="00B34746" w:rsidP="00B34746">
      <w:pPr>
        <w:pStyle w:val="NoSpacing"/>
        <w:rPr>
          <w:rFonts w:ascii="Times New Roman" w:hAnsi="Times New Roman"/>
          <w:sz w:val="24"/>
          <w:szCs w:val="24"/>
        </w:rPr>
      </w:pPr>
    </w:p>
    <w:p w14:paraId="25BB64E2" w14:textId="77777777" w:rsidR="00B34746" w:rsidRDefault="00B34746" w:rsidP="00B34746">
      <w:pPr>
        <w:pStyle w:val="NoSpacing"/>
        <w:ind w:left="720"/>
        <w:rPr>
          <w:rFonts w:ascii="Times New Roman" w:hAnsi="Times New Roman"/>
          <w:sz w:val="24"/>
          <w:szCs w:val="24"/>
        </w:rPr>
      </w:pPr>
      <w:r>
        <w:rPr>
          <w:rFonts w:ascii="Times New Roman" w:hAnsi="Times New Roman"/>
          <w:sz w:val="24"/>
          <w:szCs w:val="24"/>
        </w:rPr>
        <w:t>“</w:t>
      </w:r>
      <w:r w:rsidRPr="00F62C43">
        <w:rPr>
          <w:rFonts w:ascii="Times New Roman" w:hAnsi="Times New Roman"/>
          <w:sz w:val="24"/>
          <w:szCs w:val="24"/>
        </w:rPr>
        <w:t xml:space="preserve">The </w:t>
      </w:r>
      <w:proofErr w:type="gramStart"/>
      <w:r w:rsidRPr="00F62C43">
        <w:rPr>
          <w:rFonts w:ascii="Times New Roman" w:hAnsi="Times New Roman"/>
          <w:sz w:val="24"/>
          <w:szCs w:val="24"/>
        </w:rPr>
        <w:t>City</w:t>
      </w:r>
      <w:proofErr w:type="gramEnd"/>
      <w:r w:rsidRPr="00F62C43">
        <w:rPr>
          <w:rFonts w:ascii="Times New Roman" w:hAnsi="Times New Roman"/>
          <w:sz w:val="24"/>
          <w:szCs w:val="24"/>
        </w:rPr>
        <w:t xml:space="preserve"> hired an outside independent</w:t>
      </w:r>
      <w:r>
        <w:rPr>
          <w:rFonts w:ascii="Times New Roman" w:hAnsi="Times New Roman"/>
          <w:sz w:val="24"/>
          <w:szCs w:val="24"/>
        </w:rPr>
        <w:t xml:space="preserve"> </w:t>
      </w:r>
      <w:r w:rsidRPr="00F62C43">
        <w:rPr>
          <w:rFonts w:ascii="Times New Roman" w:hAnsi="Times New Roman"/>
          <w:sz w:val="24"/>
          <w:szCs w:val="24"/>
        </w:rPr>
        <w:t>investigator, Trudy Largent (</w:t>
      </w:r>
      <w:r>
        <w:rPr>
          <w:rFonts w:ascii="Times New Roman" w:hAnsi="Times New Roman"/>
          <w:sz w:val="24"/>
          <w:szCs w:val="24"/>
        </w:rPr>
        <w:t>‘</w:t>
      </w:r>
      <w:r w:rsidRPr="00F62C43">
        <w:rPr>
          <w:rFonts w:ascii="Times New Roman" w:hAnsi="Times New Roman"/>
          <w:sz w:val="24"/>
          <w:szCs w:val="24"/>
        </w:rPr>
        <w:t>Largent</w:t>
      </w:r>
      <w:r>
        <w:rPr>
          <w:rFonts w:ascii="Times New Roman" w:hAnsi="Times New Roman"/>
          <w:sz w:val="24"/>
          <w:szCs w:val="24"/>
        </w:rPr>
        <w:t>’</w:t>
      </w:r>
      <w:r w:rsidRPr="00F62C43">
        <w:rPr>
          <w:rFonts w:ascii="Times New Roman" w:hAnsi="Times New Roman"/>
          <w:sz w:val="24"/>
          <w:szCs w:val="24"/>
        </w:rPr>
        <w:t>),</w:t>
      </w:r>
      <w:r>
        <w:rPr>
          <w:rFonts w:ascii="Times New Roman" w:hAnsi="Times New Roman"/>
          <w:sz w:val="24"/>
          <w:szCs w:val="24"/>
        </w:rPr>
        <w:t xml:space="preserve"> [CA attorney] </w:t>
      </w:r>
      <w:r w:rsidRPr="00F62C43">
        <w:rPr>
          <w:rFonts w:ascii="Times New Roman" w:hAnsi="Times New Roman"/>
          <w:sz w:val="24"/>
          <w:szCs w:val="24"/>
        </w:rPr>
        <w:t>to investigate</w:t>
      </w:r>
      <w:r>
        <w:rPr>
          <w:rFonts w:ascii="Times New Roman" w:hAnsi="Times New Roman"/>
          <w:sz w:val="24"/>
          <w:szCs w:val="24"/>
        </w:rPr>
        <w:t xml:space="preserve"> </w:t>
      </w:r>
      <w:r w:rsidRPr="00F62C43">
        <w:rPr>
          <w:rFonts w:ascii="Times New Roman" w:hAnsi="Times New Roman"/>
          <w:sz w:val="24"/>
          <w:szCs w:val="24"/>
        </w:rPr>
        <w:t>various allegations of misconduct. In a 250-page report</w:t>
      </w:r>
      <w:r>
        <w:rPr>
          <w:rFonts w:ascii="Times New Roman" w:hAnsi="Times New Roman"/>
          <w:sz w:val="24"/>
          <w:szCs w:val="24"/>
        </w:rPr>
        <w:t xml:space="preserve">  </w:t>
      </w:r>
      <w:r w:rsidRPr="009A57BD">
        <w:rPr>
          <w:rFonts w:ascii="Times New Roman" w:hAnsi="Times New Roman"/>
          <w:sz w:val="24"/>
          <w:szCs w:val="24"/>
        </w:rPr>
        <w:t xml:space="preserve">referencing over 50 exhibits, Largent sustained almost </w:t>
      </w:r>
      <w:proofErr w:type="gramStart"/>
      <w:r w:rsidRPr="009A57BD">
        <w:rPr>
          <w:rFonts w:ascii="Times New Roman" w:hAnsi="Times New Roman"/>
          <w:sz w:val="24"/>
          <w:szCs w:val="24"/>
        </w:rPr>
        <w:t>all of</w:t>
      </w:r>
      <w:proofErr w:type="gramEnd"/>
      <w:r>
        <w:rPr>
          <w:rFonts w:ascii="Times New Roman" w:hAnsi="Times New Roman"/>
          <w:sz w:val="24"/>
          <w:szCs w:val="24"/>
        </w:rPr>
        <w:t xml:space="preserve"> </w:t>
      </w:r>
      <w:r w:rsidRPr="009A57BD">
        <w:rPr>
          <w:rFonts w:ascii="Times New Roman" w:hAnsi="Times New Roman"/>
          <w:sz w:val="24"/>
          <w:szCs w:val="24"/>
        </w:rPr>
        <w:t>the allegations of misconduct against Hittle.</w:t>
      </w:r>
      <w:r>
        <w:rPr>
          <w:rFonts w:ascii="Times New Roman" w:hAnsi="Times New Roman"/>
          <w:sz w:val="24"/>
          <w:szCs w:val="24"/>
        </w:rPr>
        <w:t xml:space="preserve"> </w:t>
      </w:r>
      <w:r w:rsidRPr="009A57BD">
        <w:rPr>
          <w:rFonts w:ascii="Times New Roman" w:hAnsi="Times New Roman"/>
          <w:sz w:val="24"/>
          <w:szCs w:val="24"/>
        </w:rPr>
        <w:t>Largent’s Report specifically concluded that Hittle:</w:t>
      </w:r>
      <w:r>
        <w:rPr>
          <w:rFonts w:ascii="Times New Roman" w:hAnsi="Times New Roman"/>
          <w:sz w:val="24"/>
          <w:szCs w:val="24"/>
        </w:rPr>
        <w:t xml:space="preserve"> </w:t>
      </w:r>
      <w:r w:rsidRPr="009A57BD">
        <w:rPr>
          <w:rFonts w:ascii="Times New Roman" w:hAnsi="Times New Roman"/>
          <w:sz w:val="24"/>
          <w:szCs w:val="24"/>
        </w:rPr>
        <w:t>(1) lacked effectiveness and judgment in his ongoing</w:t>
      </w:r>
      <w:r>
        <w:rPr>
          <w:rFonts w:ascii="Times New Roman" w:hAnsi="Times New Roman"/>
          <w:sz w:val="24"/>
          <w:szCs w:val="24"/>
        </w:rPr>
        <w:t xml:space="preserve"> </w:t>
      </w:r>
      <w:r w:rsidRPr="009A57BD">
        <w:rPr>
          <w:rFonts w:ascii="Times New Roman" w:hAnsi="Times New Roman"/>
          <w:sz w:val="24"/>
          <w:szCs w:val="24"/>
        </w:rPr>
        <w:t>leadership of the Fire Department; (2) used City time and a</w:t>
      </w:r>
      <w:r>
        <w:rPr>
          <w:rFonts w:ascii="Times New Roman" w:hAnsi="Times New Roman"/>
          <w:sz w:val="24"/>
          <w:szCs w:val="24"/>
        </w:rPr>
        <w:t xml:space="preserve"> </w:t>
      </w:r>
      <w:r w:rsidRPr="009A57BD">
        <w:rPr>
          <w:rFonts w:ascii="Times New Roman" w:hAnsi="Times New Roman"/>
          <w:sz w:val="24"/>
          <w:szCs w:val="24"/>
        </w:rPr>
        <w:t>City vehicle to attend a religious event, and approved on-duty attendance of other Fire Department managers to do the</w:t>
      </w:r>
      <w:r>
        <w:rPr>
          <w:rFonts w:ascii="Times New Roman" w:hAnsi="Times New Roman"/>
          <w:sz w:val="24"/>
          <w:szCs w:val="24"/>
        </w:rPr>
        <w:t xml:space="preserve"> </w:t>
      </w:r>
      <w:r w:rsidRPr="009A57BD">
        <w:rPr>
          <w:rFonts w:ascii="Times New Roman" w:hAnsi="Times New Roman"/>
          <w:sz w:val="24"/>
          <w:szCs w:val="24"/>
        </w:rPr>
        <w:t>same; (3) failed to properly report his time off; (4) engaged</w:t>
      </w:r>
      <w:r>
        <w:rPr>
          <w:rFonts w:ascii="Times New Roman" w:hAnsi="Times New Roman"/>
          <w:sz w:val="24"/>
          <w:szCs w:val="24"/>
        </w:rPr>
        <w:t xml:space="preserve"> </w:t>
      </w:r>
      <w:r w:rsidRPr="009A57BD">
        <w:rPr>
          <w:rFonts w:ascii="Times New Roman" w:hAnsi="Times New Roman"/>
          <w:sz w:val="24"/>
          <w:szCs w:val="24"/>
        </w:rPr>
        <w:t>in potential favoritism of certain Fire Department employees</w:t>
      </w:r>
      <w:r>
        <w:rPr>
          <w:rFonts w:ascii="Times New Roman" w:hAnsi="Times New Roman"/>
          <w:sz w:val="24"/>
          <w:szCs w:val="24"/>
        </w:rPr>
        <w:t xml:space="preserve"> </w:t>
      </w:r>
      <w:r w:rsidRPr="009A57BD">
        <w:rPr>
          <w:rFonts w:ascii="Times New Roman" w:hAnsi="Times New Roman"/>
          <w:sz w:val="24"/>
          <w:szCs w:val="24"/>
        </w:rPr>
        <w:t>based on a financial conflict of interest not disclosed to the</w:t>
      </w:r>
      <w:r>
        <w:rPr>
          <w:rFonts w:ascii="Times New Roman" w:hAnsi="Times New Roman"/>
          <w:sz w:val="24"/>
          <w:szCs w:val="24"/>
        </w:rPr>
        <w:t xml:space="preserve"> </w:t>
      </w:r>
      <w:r w:rsidRPr="009A57BD">
        <w:rPr>
          <w:rFonts w:ascii="Times New Roman" w:hAnsi="Times New Roman"/>
          <w:sz w:val="24"/>
          <w:szCs w:val="24"/>
        </w:rPr>
        <w:t>City; (5) endorsed a private consultant’s business in</w:t>
      </w:r>
      <w:r>
        <w:rPr>
          <w:rFonts w:ascii="Times New Roman" w:hAnsi="Times New Roman"/>
          <w:sz w:val="24"/>
          <w:szCs w:val="24"/>
        </w:rPr>
        <w:t xml:space="preserve"> </w:t>
      </w:r>
      <w:r w:rsidRPr="009A57BD">
        <w:rPr>
          <w:rFonts w:ascii="Times New Roman" w:hAnsi="Times New Roman"/>
          <w:sz w:val="24"/>
          <w:szCs w:val="24"/>
        </w:rPr>
        <w:t>violation of City policy; and (6) had potentially conflicting</w:t>
      </w:r>
      <w:r>
        <w:rPr>
          <w:rFonts w:ascii="Times New Roman" w:hAnsi="Times New Roman"/>
          <w:sz w:val="24"/>
          <w:szCs w:val="24"/>
        </w:rPr>
        <w:t xml:space="preserve"> </w:t>
      </w:r>
      <w:r w:rsidRPr="009A57BD">
        <w:rPr>
          <w:rFonts w:ascii="Times New Roman" w:hAnsi="Times New Roman"/>
          <w:sz w:val="24"/>
          <w:szCs w:val="24"/>
        </w:rPr>
        <w:t>loyalties in his management role and responsibilities,</w:t>
      </w:r>
      <w:r>
        <w:rPr>
          <w:rFonts w:ascii="Times New Roman" w:hAnsi="Times New Roman"/>
          <w:sz w:val="24"/>
          <w:szCs w:val="24"/>
        </w:rPr>
        <w:t xml:space="preserve"> </w:t>
      </w:r>
      <w:r w:rsidRPr="009A57BD">
        <w:rPr>
          <w:rFonts w:ascii="Times New Roman" w:hAnsi="Times New Roman"/>
          <w:sz w:val="24"/>
          <w:szCs w:val="24"/>
        </w:rPr>
        <w:t>including Hittle’s relationship with the head of the local</w:t>
      </w:r>
      <w:r>
        <w:rPr>
          <w:rFonts w:ascii="Times New Roman" w:hAnsi="Times New Roman"/>
          <w:sz w:val="24"/>
          <w:szCs w:val="24"/>
        </w:rPr>
        <w:t xml:space="preserve"> </w:t>
      </w:r>
      <w:r w:rsidRPr="009A57BD">
        <w:rPr>
          <w:rFonts w:ascii="Times New Roman" w:hAnsi="Times New Roman"/>
          <w:sz w:val="24"/>
          <w:szCs w:val="24"/>
        </w:rPr>
        <w:t>firefighters’ union. Based on the independent findings and</w:t>
      </w:r>
      <w:r>
        <w:rPr>
          <w:rFonts w:ascii="Times New Roman" w:hAnsi="Times New Roman"/>
          <w:sz w:val="24"/>
          <w:szCs w:val="24"/>
        </w:rPr>
        <w:t xml:space="preserve"> </w:t>
      </w:r>
      <w:r w:rsidRPr="009A57BD">
        <w:rPr>
          <w:rFonts w:ascii="Times New Roman" w:hAnsi="Times New Roman"/>
          <w:sz w:val="24"/>
          <w:szCs w:val="24"/>
        </w:rPr>
        <w:t xml:space="preserve">conclusions set forth in Largent’s report, the </w:t>
      </w:r>
      <w:proofErr w:type="gramStart"/>
      <w:r w:rsidRPr="009A57BD">
        <w:rPr>
          <w:rFonts w:ascii="Times New Roman" w:hAnsi="Times New Roman"/>
          <w:sz w:val="24"/>
          <w:szCs w:val="24"/>
        </w:rPr>
        <w:t>City</w:t>
      </w:r>
      <w:proofErr w:type="gramEnd"/>
      <w:r w:rsidRPr="009A57BD">
        <w:rPr>
          <w:rFonts w:ascii="Times New Roman" w:hAnsi="Times New Roman"/>
          <w:sz w:val="24"/>
          <w:szCs w:val="24"/>
        </w:rPr>
        <w:t xml:space="preserve"> removed</w:t>
      </w:r>
      <w:r>
        <w:rPr>
          <w:rFonts w:ascii="Times New Roman" w:hAnsi="Times New Roman"/>
          <w:sz w:val="24"/>
          <w:szCs w:val="24"/>
        </w:rPr>
        <w:t xml:space="preserve"> </w:t>
      </w:r>
      <w:r w:rsidRPr="009A57BD">
        <w:rPr>
          <w:rFonts w:ascii="Times New Roman" w:hAnsi="Times New Roman"/>
          <w:sz w:val="24"/>
          <w:szCs w:val="24"/>
        </w:rPr>
        <w:t>Hittle from his position as Fire Chief.</w:t>
      </w:r>
    </w:p>
    <w:p w14:paraId="2119E761" w14:textId="77777777" w:rsidR="00B34746" w:rsidRDefault="00B34746" w:rsidP="00B34746">
      <w:pPr>
        <w:pStyle w:val="NoSpacing"/>
        <w:ind w:left="720"/>
        <w:rPr>
          <w:rFonts w:ascii="Times New Roman" w:hAnsi="Times New Roman"/>
          <w:sz w:val="24"/>
          <w:szCs w:val="24"/>
        </w:rPr>
      </w:pPr>
    </w:p>
    <w:p w14:paraId="79CE2D55" w14:textId="77777777" w:rsidR="00B34746" w:rsidRDefault="00B34746" w:rsidP="00B34746">
      <w:pPr>
        <w:pStyle w:val="NoSpacing"/>
        <w:ind w:left="720"/>
        <w:rPr>
          <w:rFonts w:ascii="Times New Roman" w:hAnsi="Times New Roman"/>
          <w:sz w:val="24"/>
          <w:szCs w:val="24"/>
        </w:rPr>
      </w:pPr>
      <w:r>
        <w:rPr>
          <w:rFonts w:ascii="Times New Roman" w:hAnsi="Times New Roman"/>
          <w:sz w:val="24"/>
          <w:szCs w:val="24"/>
        </w:rPr>
        <w:t>***</w:t>
      </w:r>
    </w:p>
    <w:p w14:paraId="75ADFF73" w14:textId="77777777" w:rsidR="00B34746" w:rsidRDefault="00B34746" w:rsidP="00B34746">
      <w:pPr>
        <w:pStyle w:val="NoSpacing"/>
        <w:ind w:left="720"/>
        <w:rPr>
          <w:rFonts w:ascii="Times New Roman" w:hAnsi="Times New Roman"/>
          <w:sz w:val="24"/>
          <w:szCs w:val="24"/>
        </w:rPr>
      </w:pPr>
    </w:p>
    <w:p w14:paraId="2F2DDC6F" w14:textId="77777777" w:rsidR="00B34746" w:rsidRDefault="00B34746" w:rsidP="00B34746">
      <w:pPr>
        <w:pStyle w:val="NoSpacing"/>
        <w:ind w:left="720"/>
        <w:rPr>
          <w:rFonts w:ascii="Times New Roman" w:hAnsi="Times New Roman"/>
          <w:sz w:val="24"/>
          <w:szCs w:val="24"/>
        </w:rPr>
      </w:pPr>
      <w:r w:rsidRPr="00E2791B">
        <w:rPr>
          <w:rFonts w:ascii="Times New Roman" w:hAnsi="Times New Roman"/>
          <w:sz w:val="24"/>
          <w:szCs w:val="24"/>
        </w:rPr>
        <w:lastRenderedPageBreak/>
        <w:t>To summarize, we hold that, based on the record before</w:t>
      </w:r>
      <w:r>
        <w:rPr>
          <w:rFonts w:ascii="Times New Roman" w:hAnsi="Times New Roman"/>
          <w:sz w:val="24"/>
          <w:szCs w:val="24"/>
        </w:rPr>
        <w:t xml:space="preserve"> </w:t>
      </w:r>
      <w:r w:rsidRPr="00E2791B">
        <w:rPr>
          <w:rFonts w:ascii="Times New Roman" w:hAnsi="Times New Roman"/>
          <w:sz w:val="24"/>
          <w:szCs w:val="24"/>
        </w:rPr>
        <w:t>us, the district court’s granting of summary judgment in</w:t>
      </w:r>
      <w:r>
        <w:rPr>
          <w:rFonts w:ascii="Times New Roman" w:hAnsi="Times New Roman"/>
          <w:sz w:val="24"/>
          <w:szCs w:val="24"/>
        </w:rPr>
        <w:t xml:space="preserve"> </w:t>
      </w:r>
      <w:r w:rsidRPr="00E2791B">
        <w:rPr>
          <w:rFonts w:ascii="Times New Roman" w:hAnsi="Times New Roman"/>
          <w:sz w:val="24"/>
          <w:szCs w:val="24"/>
        </w:rPr>
        <w:t>Defendants’ favor was appropriate where Defendants’</w:t>
      </w:r>
      <w:r>
        <w:rPr>
          <w:rFonts w:ascii="Times New Roman" w:hAnsi="Times New Roman"/>
          <w:sz w:val="24"/>
          <w:szCs w:val="24"/>
        </w:rPr>
        <w:t xml:space="preserve"> l</w:t>
      </w:r>
      <w:r w:rsidRPr="005A0758">
        <w:rPr>
          <w:rFonts w:ascii="Times New Roman" w:hAnsi="Times New Roman"/>
          <w:sz w:val="24"/>
          <w:szCs w:val="24"/>
        </w:rPr>
        <w:t>egitimate, non-discriminatory reasons for firing Hittle were,</w:t>
      </w:r>
      <w:r>
        <w:rPr>
          <w:rFonts w:ascii="Times New Roman" w:hAnsi="Times New Roman"/>
          <w:sz w:val="24"/>
          <w:szCs w:val="24"/>
        </w:rPr>
        <w:t xml:space="preserve"> </w:t>
      </w:r>
      <w:r w:rsidRPr="005A0758">
        <w:rPr>
          <w:rFonts w:ascii="Times New Roman" w:hAnsi="Times New Roman"/>
          <w:sz w:val="24"/>
          <w:szCs w:val="24"/>
        </w:rPr>
        <w:t>in sum, sufficient to rebut Hittle’s evidence of</w:t>
      </w:r>
      <w:r>
        <w:rPr>
          <w:rFonts w:ascii="Times New Roman" w:hAnsi="Times New Roman"/>
          <w:sz w:val="24"/>
          <w:szCs w:val="24"/>
        </w:rPr>
        <w:t xml:space="preserve"> </w:t>
      </w:r>
      <w:r w:rsidRPr="005A0758">
        <w:rPr>
          <w:rFonts w:ascii="Times New Roman" w:hAnsi="Times New Roman"/>
          <w:sz w:val="24"/>
          <w:szCs w:val="24"/>
        </w:rPr>
        <w:t>discrimination, and Hittle has failed to persuasively argue</w:t>
      </w:r>
      <w:r>
        <w:rPr>
          <w:rFonts w:ascii="Times New Roman" w:hAnsi="Times New Roman"/>
          <w:sz w:val="24"/>
          <w:szCs w:val="24"/>
        </w:rPr>
        <w:t xml:space="preserve"> </w:t>
      </w:r>
      <w:r w:rsidRPr="005A0758">
        <w:rPr>
          <w:rFonts w:ascii="Times New Roman" w:hAnsi="Times New Roman"/>
          <w:sz w:val="24"/>
          <w:szCs w:val="24"/>
        </w:rPr>
        <w:t>that these non-discriminatory reasons were pretextual.</w:t>
      </w:r>
      <w:r>
        <w:rPr>
          <w:rFonts w:ascii="Times New Roman" w:hAnsi="Times New Roman"/>
          <w:sz w:val="24"/>
          <w:szCs w:val="24"/>
        </w:rPr>
        <w:t xml:space="preserve"> </w:t>
      </w:r>
      <w:r w:rsidRPr="005A0758">
        <w:rPr>
          <w:rFonts w:ascii="Times New Roman" w:hAnsi="Times New Roman"/>
          <w:sz w:val="24"/>
          <w:szCs w:val="24"/>
        </w:rPr>
        <w:t>When discriminatory remarks are merely quoting third</w:t>
      </w:r>
      <w:r>
        <w:rPr>
          <w:rFonts w:ascii="Times New Roman" w:hAnsi="Times New Roman"/>
          <w:sz w:val="24"/>
          <w:szCs w:val="24"/>
        </w:rPr>
        <w:t xml:space="preserve"> </w:t>
      </w:r>
      <w:r w:rsidRPr="005A0758">
        <w:rPr>
          <w:rFonts w:ascii="Times New Roman" w:hAnsi="Times New Roman"/>
          <w:sz w:val="24"/>
          <w:szCs w:val="24"/>
        </w:rPr>
        <w:t>parties and the real issue is public perception or other forms</w:t>
      </w:r>
      <w:r>
        <w:rPr>
          <w:rFonts w:ascii="Times New Roman" w:hAnsi="Times New Roman"/>
          <w:sz w:val="24"/>
          <w:szCs w:val="24"/>
        </w:rPr>
        <w:t xml:space="preserve"> </w:t>
      </w:r>
      <w:r w:rsidRPr="005A0758">
        <w:rPr>
          <w:rFonts w:ascii="Times New Roman" w:hAnsi="Times New Roman"/>
          <w:sz w:val="24"/>
          <w:szCs w:val="24"/>
        </w:rPr>
        <w:t>of misconduct (such as engaging in an activity that does not</w:t>
      </w:r>
      <w:r>
        <w:rPr>
          <w:rFonts w:ascii="Times New Roman" w:hAnsi="Times New Roman"/>
          <w:sz w:val="24"/>
          <w:szCs w:val="24"/>
        </w:rPr>
        <w:t xml:space="preserve"> </w:t>
      </w:r>
      <w:r w:rsidRPr="005A0758">
        <w:rPr>
          <w:rFonts w:ascii="Times New Roman" w:hAnsi="Times New Roman"/>
          <w:sz w:val="24"/>
          <w:szCs w:val="24"/>
        </w:rPr>
        <w:t>benefit the employer), there is no genuine issue of material</w:t>
      </w:r>
      <w:r>
        <w:rPr>
          <w:rFonts w:ascii="Times New Roman" w:hAnsi="Times New Roman"/>
          <w:sz w:val="24"/>
          <w:szCs w:val="24"/>
        </w:rPr>
        <w:t xml:space="preserve"> </w:t>
      </w:r>
      <w:r w:rsidRPr="005A0758">
        <w:rPr>
          <w:rFonts w:ascii="Times New Roman" w:hAnsi="Times New Roman"/>
          <w:sz w:val="24"/>
          <w:szCs w:val="24"/>
        </w:rPr>
        <w:t>fact that the employer was discriminatory. For the foregoing</w:t>
      </w:r>
      <w:r>
        <w:rPr>
          <w:rFonts w:ascii="Times New Roman" w:hAnsi="Times New Roman"/>
          <w:sz w:val="24"/>
          <w:szCs w:val="24"/>
        </w:rPr>
        <w:t xml:space="preserve"> </w:t>
      </w:r>
      <w:r w:rsidRPr="005A0758">
        <w:rPr>
          <w:rFonts w:ascii="Times New Roman" w:hAnsi="Times New Roman"/>
          <w:sz w:val="24"/>
          <w:szCs w:val="24"/>
        </w:rPr>
        <w:t>reasons, the judgment of the district court is AFFIRMED.</w:t>
      </w:r>
      <w:r>
        <w:rPr>
          <w:rFonts w:ascii="Times New Roman" w:hAnsi="Times New Roman"/>
          <w:sz w:val="24"/>
          <w:szCs w:val="24"/>
        </w:rPr>
        <w:t xml:space="preserve">” </w:t>
      </w:r>
      <w:hyperlink r:id="rId2491" w:history="1">
        <w:r w:rsidRPr="00065774">
          <w:rPr>
            <w:rStyle w:val="Hyperlink"/>
            <w:rFonts w:ascii="Times New Roman" w:hAnsi="Times New Roman"/>
            <w:sz w:val="24"/>
            <w:szCs w:val="24"/>
          </w:rPr>
          <w:t>https://cases.justia.com/federal/appellate-courts/ca9/22-15485/22-15485-2024-05-17.pdf?ts=1715961637</w:t>
        </w:r>
      </w:hyperlink>
      <w:r>
        <w:rPr>
          <w:rFonts w:ascii="Times New Roman" w:hAnsi="Times New Roman"/>
          <w:sz w:val="24"/>
          <w:szCs w:val="24"/>
        </w:rPr>
        <w:t xml:space="preserve"> </w:t>
      </w:r>
    </w:p>
    <w:p w14:paraId="0D6E5955" w14:textId="77777777" w:rsidR="00B34746" w:rsidRDefault="00B34746" w:rsidP="00B34746">
      <w:pPr>
        <w:pStyle w:val="NoSpacing"/>
        <w:rPr>
          <w:rFonts w:ascii="Times New Roman" w:hAnsi="Times New Roman"/>
          <w:sz w:val="24"/>
          <w:szCs w:val="24"/>
        </w:rPr>
      </w:pPr>
    </w:p>
    <w:p w14:paraId="5E34946E" w14:textId="77777777" w:rsidR="006428AD" w:rsidRPr="00D36E4C" w:rsidRDefault="006428AD" w:rsidP="006428AD">
      <w:pPr>
        <w:pStyle w:val="NoSpacing"/>
        <w:rPr>
          <w:rFonts w:ascii="Times New Roman" w:hAnsi="Times New Roman"/>
          <w:b/>
          <w:bCs/>
          <w:sz w:val="24"/>
          <w:szCs w:val="24"/>
        </w:rPr>
      </w:pPr>
      <w:r>
        <w:rPr>
          <w:rFonts w:ascii="Times New Roman" w:hAnsi="Times New Roman"/>
          <w:b/>
          <w:bCs/>
          <w:sz w:val="24"/>
          <w:szCs w:val="24"/>
        </w:rPr>
        <w:t xml:space="preserve">Legal Lesson Learned: Religious discrimination claim is very difficult to prove, particularly after outside investigator submits a 250-page report detailing leadership issues. </w:t>
      </w:r>
    </w:p>
    <w:p w14:paraId="222F1ED3" w14:textId="77777777" w:rsidR="006428AD" w:rsidRDefault="006428AD" w:rsidP="006428AD">
      <w:pPr>
        <w:pStyle w:val="NoSpacing"/>
        <w:rPr>
          <w:rFonts w:ascii="Times New Roman" w:hAnsi="Times New Roman"/>
          <w:sz w:val="24"/>
          <w:szCs w:val="24"/>
        </w:rPr>
      </w:pPr>
    </w:p>
    <w:p w14:paraId="04BE367C" w14:textId="77777777" w:rsidR="006428AD" w:rsidRDefault="006428AD" w:rsidP="006428AD">
      <w:pPr>
        <w:pStyle w:val="NoSpacing"/>
        <w:ind w:left="720"/>
        <w:rPr>
          <w:rFonts w:ascii="Times New Roman" w:hAnsi="Times New Roman"/>
          <w:sz w:val="24"/>
          <w:szCs w:val="24"/>
        </w:rPr>
      </w:pPr>
      <w:r>
        <w:rPr>
          <w:rFonts w:ascii="Times New Roman" w:hAnsi="Times New Roman"/>
          <w:sz w:val="24"/>
          <w:szCs w:val="24"/>
        </w:rPr>
        <w:t xml:space="preserve">Note: Here is the 3-Judge panel’s original Aug. 4, </w:t>
      </w:r>
      <w:proofErr w:type="gramStart"/>
      <w:r>
        <w:rPr>
          <w:rFonts w:ascii="Times New Roman" w:hAnsi="Times New Roman"/>
          <w:sz w:val="24"/>
          <w:szCs w:val="24"/>
        </w:rPr>
        <w:t>2023</w:t>
      </w:r>
      <w:proofErr w:type="gramEnd"/>
      <w:r>
        <w:rPr>
          <w:rFonts w:ascii="Times New Roman" w:hAnsi="Times New Roman"/>
          <w:sz w:val="24"/>
          <w:szCs w:val="24"/>
        </w:rPr>
        <w:t xml:space="preserve"> decision: </w:t>
      </w:r>
      <w:hyperlink r:id="rId2492" w:history="1">
        <w:r w:rsidRPr="00065774">
          <w:rPr>
            <w:rStyle w:val="Hyperlink"/>
            <w:rFonts w:ascii="Times New Roman" w:hAnsi="Times New Roman"/>
            <w:sz w:val="24"/>
            <w:szCs w:val="24"/>
          </w:rPr>
          <w:t>https://cdn.ca9.uscourts.gov/datastore/opinions/2023/08/04/22-15485.pdf</w:t>
        </w:r>
      </w:hyperlink>
      <w:r>
        <w:rPr>
          <w:rFonts w:ascii="Times New Roman" w:hAnsi="Times New Roman"/>
          <w:sz w:val="24"/>
          <w:szCs w:val="24"/>
        </w:rPr>
        <w:t xml:space="preserve"> </w:t>
      </w:r>
    </w:p>
    <w:p w14:paraId="546F6C32" w14:textId="77777777" w:rsidR="00BB3D8E" w:rsidRDefault="00BB3D8E" w:rsidP="00F91F9F">
      <w:pPr>
        <w:pStyle w:val="NoSpacing"/>
        <w:rPr>
          <w:rFonts w:ascii="Arial Black" w:hAnsi="Arial Black"/>
          <w:sz w:val="24"/>
          <w:szCs w:val="24"/>
        </w:rPr>
      </w:pPr>
    </w:p>
    <w:p w14:paraId="714A47CA" w14:textId="77777777" w:rsidR="00BB3D8E" w:rsidRDefault="00BB3D8E" w:rsidP="00F91F9F">
      <w:pPr>
        <w:pStyle w:val="NoSpacing"/>
        <w:rPr>
          <w:rFonts w:ascii="Arial Black" w:hAnsi="Arial Black"/>
          <w:sz w:val="24"/>
          <w:szCs w:val="24"/>
        </w:rPr>
      </w:pPr>
    </w:p>
    <w:p w14:paraId="26DC3301" w14:textId="77777777" w:rsidR="00BB3D8E" w:rsidRDefault="00BB3D8E" w:rsidP="00F91F9F">
      <w:pPr>
        <w:pStyle w:val="NoSpacing"/>
        <w:rPr>
          <w:rFonts w:ascii="Arial Black" w:hAnsi="Arial Black"/>
          <w:sz w:val="24"/>
          <w:szCs w:val="24"/>
        </w:rPr>
      </w:pPr>
    </w:p>
    <w:p w14:paraId="3D67BB98" w14:textId="49B10366" w:rsidR="00B55AFC" w:rsidRDefault="00536594" w:rsidP="00F91F9F">
      <w:pPr>
        <w:pStyle w:val="NoSpacing"/>
        <w:rPr>
          <w:rFonts w:ascii="Arial Black" w:hAnsi="Arial Black"/>
          <w:sz w:val="24"/>
          <w:szCs w:val="24"/>
        </w:rPr>
      </w:pPr>
      <w:r>
        <w:rPr>
          <w:rFonts w:ascii="Arial Black" w:hAnsi="Arial Black"/>
          <w:sz w:val="24"/>
          <w:szCs w:val="24"/>
        </w:rPr>
        <w:t>16-110</w:t>
      </w:r>
    </w:p>
    <w:p w14:paraId="573E9808" w14:textId="77777777" w:rsidR="00536594" w:rsidRDefault="00536594" w:rsidP="00536594">
      <w:pPr>
        <w:pStyle w:val="NormalWeb"/>
        <w:shd w:val="clear" w:color="auto" w:fill="FFFFFF"/>
        <w:spacing w:before="0" w:beforeAutospacing="0"/>
        <w:rPr>
          <w:rFonts w:ascii="Arial Black" w:hAnsi="Arial Black"/>
          <w:sz w:val="28"/>
          <w:szCs w:val="28"/>
        </w:rPr>
      </w:pPr>
      <w:r>
        <w:rPr>
          <w:rFonts w:ascii="Arial Black" w:hAnsi="Arial Black"/>
          <w:sz w:val="28"/>
          <w:szCs w:val="28"/>
        </w:rPr>
        <w:t xml:space="preserve">OR: FIRE CHIEF FIRED – SUES FF / BOARD DEFAMATION -MUST PROVE “MALICE” – STRONG “ANTI-SLAPP” DEFENSE </w:t>
      </w:r>
    </w:p>
    <w:p w14:paraId="175B5B4D" w14:textId="77777777" w:rsidR="00536594" w:rsidRDefault="00536594" w:rsidP="00536594">
      <w:pPr>
        <w:pStyle w:val="NormalWeb"/>
        <w:shd w:val="clear" w:color="auto" w:fill="FFFFFF"/>
        <w:spacing w:before="0" w:beforeAutospacing="0"/>
      </w:pPr>
      <w:r>
        <w:t xml:space="preserve">On May 15, 2024, in </w:t>
      </w:r>
      <w:r w:rsidRPr="00A82D99">
        <w:rPr>
          <w:u w:val="single"/>
        </w:rPr>
        <w:t xml:space="preserve">Joel A. Medina v. Columbia River Fire &amp; Rescue, an Oregon Municipality, </w:t>
      </w:r>
      <w:r w:rsidRPr="00263156">
        <w:rPr>
          <w:u w:val="single"/>
        </w:rPr>
        <w:t>Rhonda Melton</w:t>
      </w:r>
      <w:r>
        <w:t xml:space="preserve">, </w:t>
      </w:r>
      <w:r w:rsidRPr="00A82D99">
        <w:rPr>
          <w:u w:val="single"/>
        </w:rPr>
        <w:t>et al.,</w:t>
      </w:r>
      <w:r>
        <w:t xml:space="preserve"> United States District Court Judge Marco A. Hernandez, U.S. District Court for the District of Oregon, held that lawsuit may proceed and Chief as a public official can only succeed as can prove “malice” by those who spoke to FD Board and posted items on social media.  The judge denied Rhonda Melton’s defense motion to immediately dismiss the case under the Oregon “anti-SLAPP” statute (strategic lawsuit against public participation) which is designed to protect public and reporters when commenting on public officials.   In April 2023, Defendant Rhonda Melton prepared and published statements on social media about Plaintiff.  In </w:t>
      </w:r>
      <w:proofErr w:type="gramStart"/>
      <w:r>
        <w:t>May,</w:t>
      </w:r>
      <w:proofErr w:type="gramEnd"/>
      <w:r>
        <w:t xml:space="preserve"> 2023, three new members were elected to the Board, who sought his termination, and in August the Board terminated him. The Court ordered that the lawsuit proceed with pretrial discovery, noting that the Fire Chief as a public official must prove “malice” to sue others for defamation. The Court held”</w:t>
      </w:r>
    </w:p>
    <w:p w14:paraId="26CA5E22" w14:textId="77777777" w:rsidR="00536594" w:rsidRDefault="00536594" w:rsidP="00536594">
      <w:pPr>
        <w:pStyle w:val="NormalWeb"/>
        <w:ind w:left="720"/>
      </w:pPr>
      <w:r>
        <w:t>“Defendant asserts that her statements, both verbal and written, fall under two of the four categories of protected speech in [Oregon anti-SLAPP statute] O.R.S. 31.150(2). Def. Mot. 7-8. The statute protects “[a]</w:t>
      </w:r>
      <w:proofErr w:type="spellStart"/>
      <w:r>
        <w:t>ny</w:t>
      </w:r>
      <w:proofErr w:type="spellEnd"/>
      <w:r>
        <w:t xml:space="preserve"> oral statement made, or written statement or other document presented, in a place open to the public or a public forum in connection with an issue of public interest” and “[a]</w:t>
      </w:r>
      <w:proofErr w:type="spellStart"/>
      <w:r>
        <w:t>ny</w:t>
      </w:r>
      <w:proofErr w:type="spellEnd"/>
      <w:r>
        <w:t xml:space="preserve"> other conduct in furtherance of the exercise of the constitutional right of petition or the constitutional right of free speech in connection with a public issue or an issue of public interest.” O.R.S. 31.150(2)(c) and (d). </w:t>
      </w:r>
      <w:proofErr w:type="gramStart"/>
      <w:r>
        <w:t>Defendant</w:t>
      </w:r>
      <w:proofErr w:type="gramEnd"/>
      <w:r>
        <w:t xml:space="preserve"> made oral statements at CRFR Board meetings and posted written statements on the Columbia County Transparency &amp; Accountability Facebook page. Melton Decl. ¶¶ 2-7, </w:t>
      </w:r>
      <w:proofErr w:type="spellStart"/>
      <w:r>
        <w:t>Exs</w:t>
      </w:r>
      <w:proofErr w:type="spellEnd"/>
      <w:r>
        <w:t xml:space="preserve">. 1-5; Medina Decl. ¶¶ 5, 6, 8, 11; </w:t>
      </w:r>
      <w:proofErr w:type="spellStart"/>
      <w:r>
        <w:t>Exs</w:t>
      </w:r>
      <w:proofErr w:type="spellEnd"/>
      <w:r>
        <w:t xml:space="preserve">. 2, 3, 5, 8. In these statements, Defendant criticized actions Plaintiff took as CRFR Chief and expressed concerns about CRFR leadership. Plaintiff acknowledges that Defendant has met her initial burden to show that her statements were made in a public forum and in connection with an issue of public interest. Pl. Resp. 3, ECF 42. The Court agrees that Defendant has met her initial burden under the anti-SLAPP statute. </w:t>
      </w:r>
    </w:p>
    <w:p w14:paraId="3C8A0AEE" w14:textId="77777777" w:rsidR="00536594" w:rsidRDefault="00536594" w:rsidP="00536594">
      <w:pPr>
        <w:pStyle w:val="NormalWeb"/>
        <w:ind w:left="720"/>
      </w:pPr>
      <w:r>
        <w:t>***</w:t>
      </w:r>
    </w:p>
    <w:p w14:paraId="16D2185E" w14:textId="77777777" w:rsidR="00536594" w:rsidRDefault="00536594" w:rsidP="00536594">
      <w:pPr>
        <w:pStyle w:val="NormalWeb"/>
        <w:shd w:val="clear" w:color="auto" w:fill="FFFFFF"/>
        <w:spacing w:before="0" w:beforeAutospacing="0"/>
        <w:ind w:left="720"/>
      </w:pPr>
      <w:r>
        <w:lastRenderedPageBreak/>
        <w:t xml:space="preserve">However, factual issues preclude a determination of whether Plaintiff is likely to succeed on his claims. The Court therefore concludes that Plaintiff is entitled to </w:t>
      </w:r>
      <w:proofErr w:type="gramStart"/>
      <w:r>
        <w:t>discovery on</w:t>
      </w:r>
      <w:proofErr w:type="gramEnd"/>
      <w:r>
        <w:t xml:space="preserve"> those factual issues.</w:t>
      </w:r>
    </w:p>
    <w:p w14:paraId="14FD81B4" w14:textId="77777777" w:rsidR="00536594" w:rsidRDefault="00536594" w:rsidP="00536594">
      <w:pPr>
        <w:pStyle w:val="NormalWeb"/>
        <w:shd w:val="clear" w:color="auto" w:fill="FFFFFF"/>
        <w:spacing w:before="0" w:beforeAutospacing="0"/>
        <w:ind w:firstLine="720"/>
      </w:pPr>
      <w:r>
        <w:t>***</w:t>
      </w:r>
    </w:p>
    <w:p w14:paraId="5C6588AB" w14:textId="77777777" w:rsidR="00536594" w:rsidRDefault="00536594" w:rsidP="00536594">
      <w:pPr>
        <w:pStyle w:val="NormalWeb"/>
        <w:shd w:val="clear" w:color="auto" w:fill="FFFFFF"/>
        <w:spacing w:before="0" w:beforeAutospacing="0"/>
        <w:ind w:left="720"/>
      </w:pPr>
      <w:r>
        <w:t>To the extent Defendant's statements are actionable under the First Amendment, Plaintiff must be permitted to engage in discovery to determine whether they are true or false. While the purpose of Oregon's anti-SLAPP statute is to avoid extended proceedings on claims that improperly chill free speech, the Court must balance this against Plaintiff's right to fully litigate his claims.</w:t>
      </w:r>
    </w:p>
    <w:p w14:paraId="3E38DD64" w14:textId="77777777" w:rsidR="00536594" w:rsidRDefault="00536594" w:rsidP="00536594">
      <w:pPr>
        <w:pStyle w:val="NormalWeb"/>
        <w:shd w:val="clear" w:color="auto" w:fill="FFFFFF"/>
        <w:spacing w:before="0" w:beforeAutospacing="0"/>
        <w:ind w:left="720"/>
      </w:pPr>
      <w:r>
        <w:t>***</w:t>
      </w:r>
    </w:p>
    <w:p w14:paraId="269213EE" w14:textId="77777777" w:rsidR="00536594" w:rsidRDefault="00536594" w:rsidP="00536594">
      <w:pPr>
        <w:pStyle w:val="NormalWeb"/>
        <w:shd w:val="clear" w:color="auto" w:fill="FFFFFF"/>
        <w:spacing w:before="0" w:beforeAutospacing="0"/>
        <w:ind w:left="720"/>
      </w:pPr>
      <w:r>
        <w:t xml:space="preserve">Plaintiff also acknowledges that because he was a public official at the time Defendant made the statements and they concerned his actions as chief, he must show that Defendant made them with knowledge that they were false or in reckless disregard of whether they were true or false. Pl. Resp. 6 (citing </w:t>
      </w:r>
      <w:r>
        <w:rPr>
          <w:rStyle w:val="Emphasis"/>
          <w:rFonts w:eastAsiaTheme="majorEastAsia"/>
        </w:rPr>
        <w:t>New York Times Co. v. Sullivan</w:t>
      </w:r>
      <w:r>
        <w:t xml:space="preserve">, 376 U.S. 254, 279-80 (1964)).”  </w:t>
      </w:r>
      <w:hyperlink r:id="rId2493" w:history="1">
        <w:r w:rsidRPr="00DF21B2">
          <w:rPr>
            <w:rStyle w:val="Hyperlink"/>
          </w:rPr>
          <w:t>https://casetext.com/case/medina-v-columbia-river-fire-rescue</w:t>
        </w:r>
      </w:hyperlink>
      <w:r>
        <w:t xml:space="preserve"> </w:t>
      </w:r>
    </w:p>
    <w:p w14:paraId="6A4450C9" w14:textId="77777777" w:rsidR="00BB3D8E" w:rsidRDefault="00BB3D8E" w:rsidP="00BB3D8E">
      <w:pPr>
        <w:pStyle w:val="NormalWeb"/>
        <w:rPr>
          <w:b/>
          <w:bCs/>
        </w:rPr>
      </w:pPr>
      <w:r w:rsidRPr="00354274">
        <w:rPr>
          <w:b/>
          <w:bCs/>
        </w:rPr>
        <w:t xml:space="preserve">Legal Lesson Learned: </w:t>
      </w:r>
      <w:r>
        <w:rPr>
          <w:b/>
          <w:bCs/>
        </w:rPr>
        <w:t>The former Fire Chief has an uphill challenge – he must prove “malice” and FD Board members and others also have the “anti-SLAPP” statute as a defense.</w:t>
      </w:r>
    </w:p>
    <w:p w14:paraId="59DC1585" w14:textId="77777777" w:rsidR="00BB3D8E" w:rsidRPr="007879D8" w:rsidRDefault="00BB3D8E" w:rsidP="00BB3D8E">
      <w:pPr>
        <w:pStyle w:val="NormalWeb"/>
        <w:ind w:left="720"/>
      </w:pPr>
      <w:r w:rsidRPr="007879D8">
        <w:t>Note:</w:t>
      </w:r>
      <w:r>
        <w:t xml:space="preserve"> See “Reporters Committee </w:t>
      </w:r>
      <w:proofErr w:type="gramStart"/>
      <w:r>
        <w:t>For</w:t>
      </w:r>
      <w:proofErr w:type="gramEnd"/>
      <w:r>
        <w:t xml:space="preserve"> Predom of the Press – Anti-SLAPP Legal Guide.” </w:t>
      </w:r>
      <w:hyperlink r:id="rId2494" w:history="1">
        <w:r w:rsidRPr="00DF21B2">
          <w:rPr>
            <w:rStyle w:val="Hyperlink"/>
          </w:rPr>
          <w:t>https://www.rcfp.org/anti-slapp-legal-guide/</w:t>
        </w:r>
      </w:hyperlink>
      <w:r>
        <w:t xml:space="preserve"> </w:t>
      </w:r>
    </w:p>
    <w:p w14:paraId="6B327BBC" w14:textId="77777777" w:rsidR="00BB3D8E" w:rsidRDefault="00BB3D8E" w:rsidP="00BB3D8E">
      <w:pPr>
        <w:pStyle w:val="NormalWeb"/>
        <w:ind w:left="1440"/>
      </w:pPr>
      <w:r>
        <w:t>“Anti-SLAPP laws provide defendants a way to quickly dismiss meritless lawsuits — known as SLAPPs or strategic lawsuits against public participation — filed against them for exercising speech, press, assembly, petition, or association rights. These laws aim to discourage the filing of SLAPP suits and prevent them from imposing significant litigation costs and chilling protected speech. In recent years, several states have adopted or amended their anti-SLAPP laws. As of May 2024, 34 states and the District of Columbia have anti-SLAPP laws, including Arizona, Arkansas, California, Colorado, Connecticut, Delaware, Florida, Georgia, Hawaii, Illinois, Indiana, Kansas, Kentucky, Louisiana, Maine, Maryland, Massachusetts, Minnesota, Missouri, Nebraska, Nevada, New Jersey, New Mexico, New York, Oklahoma, Oregon, Pennsylvania, Rhode Island, Tennessee, Texas, Utah, Vermont, Virginia, and Washington.”</w:t>
      </w:r>
    </w:p>
    <w:p w14:paraId="6A0830A2" w14:textId="77777777" w:rsidR="00536594" w:rsidRDefault="00536594" w:rsidP="00F91F9F">
      <w:pPr>
        <w:pStyle w:val="NoSpacing"/>
        <w:rPr>
          <w:rFonts w:ascii="Arial Black" w:hAnsi="Arial Black"/>
          <w:sz w:val="24"/>
          <w:szCs w:val="24"/>
        </w:rPr>
      </w:pPr>
    </w:p>
    <w:p w14:paraId="10143062" w14:textId="77777777" w:rsidR="00B55AFC" w:rsidRDefault="00B55AFC" w:rsidP="00F91F9F">
      <w:pPr>
        <w:pStyle w:val="NoSpacing"/>
        <w:rPr>
          <w:rFonts w:ascii="Arial Black" w:hAnsi="Arial Black"/>
          <w:sz w:val="24"/>
          <w:szCs w:val="24"/>
        </w:rPr>
      </w:pPr>
    </w:p>
    <w:p w14:paraId="5FCFCBF7" w14:textId="77777777" w:rsidR="00B55AFC" w:rsidRDefault="00B55AFC" w:rsidP="00F91F9F">
      <w:pPr>
        <w:pStyle w:val="NoSpacing"/>
        <w:rPr>
          <w:rFonts w:ascii="Arial Black" w:hAnsi="Arial Black"/>
          <w:sz w:val="24"/>
          <w:szCs w:val="24"/>
        </w:rPr>
      </w:pPr>
    </w:p>
    <w:p w14:paraId="69C00C79" w14:textId="7190EC8D" w:rsidR="00F91F9F" w:rsidRDefault="00F91F9F" w:rsidP="00F91F9F">
      <w:pPr>
        <w:pStyle w:val="NoSpacing"/>
        <w:rPr>
          <w:rFonts w:ascii="Arial Black" w:hAnsi="Arial Black"/>
          <w:sz w:val="24"/>
          <w:szCs w:val="24"/>
        </w:rPr>
      </w:pPr>
      <w:r>
        <w:rPr>
          <w:rFonts w:ascii="Arial Black" w:hAnsi="Arial Black"/>
          <w:sz w:val="24"/>
          <w:szCs w:val="24"/>
        </w:rPr>
        <w:t>16-109</w:t>
      </w:r>
    </w:p>
    <w:p w14:paraId="3FC639D7" w14:textId="77777777" w:rsidR="001D190A" w:rsidRDefault="001D190A" w:rsidP="00F326E5">
      <w:pPr>
        <w:pStyle w:val="NoSpacing"/>
        <w:rPr>
          <w:rFonts w:ascii="Arial Black" w:hAnsi="Arial Black"/>
          <w:sz w:val="24"/>
          <w:szCs w:val="24"/>
        </w:rPr>
      </w:pPr>
    </w:p>
    <w:p w14:paraId="4A3F40C7" w14:textId="77777777" w:rsidR="00F91F9F" w:rsidRPr="00E670DB" w:rsidRDefault="00F91F9F" w:rsidP="00F91F9F">
      <w:pPr>
        <w:pStyle w:val="NormalWeb"/>
        <w:spacing w:before="0" w:beforeAutospacing="0"/>
        <w:rPr>
          <w:rFonts w:ascii="Arial Black" w:hAnsi="Arial Black"/>
          <w:sz w:val="28"/>
          <w:szCs w:val="28"/>
        </w:rPr>
      </w:pPr>
      <w:r>
        <w:rPr>
          <w:rFonts w:ascii="Arial Black" w:hAnsi="Arial Black"/>
          <w:sz w:val="28"/>
          <w:szCs w:val="28"/>
        </w:rPr>
        <w:t>IL: FF PLED GUILTY – SEX 17-YR OLD FD CADET – AFTER RETIRED HIS PENSION WAS REVOKED - 5 YRS LATER</w:t>
      </w:r>
    </w:p>
    <w:p w14:paraId="77A4F6EB" w14:textId="77777777" w:rsidR="00F91F9F" w:rsidRDefault="00F91F9F" w:rsidP="00F91F9F">
      <w:pPr>
        <w:pStyle w:val="NoSpacing"/>
        <w:rPr>
          <w:rFonts w:ascii="Times New Roman" w:hAnsi="Times New Roman"/>
          <w:sz w:val="24"/>
          <w:szCs w:val="24"/>
        </w:rPr>
      </w:pPr>
      <w:r>
        <w:rPr>
          <w:rFonts w:ascii="Times New Roman" w:hAnsi="Times New Roman"/>
          <w:sz w:val="24"/>
          <w:szCs w:val="24"/>
        </w:rPr>
        <w:t xml:space="preserve">On March 20, 2024, in </w:t>
      </w:r>
      <w:r w:rsidRPr="00B524D0">
        <w:rPr>
          <w:rFonts w:ascii="Times New Roman" w:hAnsi="Times New Roman"/>
          <w:sz w:val="24"/>
          <w:szCs w:val="24"/>
          <w:u w:val="single"/>
        </w:rPr>
        <w:t>John Trapp v. City of Burbank Firefighters’ Pension Fund, et al</w:t>
      </w:r>
      <w:r>
        <w:rPr>
          <w:rFonts w:ascii="Times New Roman" w:hAnsi="Times New Roman"/>
          <w:sz w:val="24"/>
          <w:szCs w:val="24"/>
        </w:rPr>
        <w:t xml:space="preserve">., the Appellate Court of Illinois, First Judicial District, held (3 to 0) that the Pension Board and trial court judge properly held that the firefighter, who had sex with a 17 year-old-cadet when he was still employed as a firefighter, can lose his pension five years after he retired. </w:t>
      </w:r>
    </w:p>
    <w:p w14:paraId="3A9FDCBC" w14:textId="77777777" w:rsidR="00744AE5" w:rsidRDefault="00744AE5" w:rsidP="00744AE5">
      <w:pPr>
        <w:pStyle w:val="NoSpacing"/>
        <w:rPr>
          <w:rFonts w:ascii="Times New Roman" w:hAnsi="Times New Roman"/>
          <w:sz w:val="24"/>
          <w:szCs w:val="24"/>
          <w:shd w:val="clear" w:color="auto" w:fill="FFFFFF"/>
        </w:rPr>
      </w:pPr>
    </w:p>
    <w:p w14:paraId="0B8E65DE" w14:textId="6891C0D7" w:rsidR="00744AE5" w:rsidRPr="004C0299" w:rsidRDefault="00744AE5" w:rsidP="00744AE5">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B19102C" w14:textId="77777777" w:rsidR="00744AE5" w:rsidRDefault="00744AE5" w:rsidP="00F91F9F">
      <w:pPr>
        <w:pStyle w:val="NoSpacing"/>
        <w:rPr>
          <w:rFonts w:ascii="Times New Roman" w:hAnsi="Times New Roman"/>
          <w:sz w:val="24"/>
          <w:szCs w:val="24"/>
        </w:rPr>
      </w:pPr>
    </w:p>
    <w:p w14:paraId="67A09DF9"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lastRenderedPageBreak/>
        <w:t>“</w:t>
      </w:r>
      <w:r w:rsidRPr="000B2A57">
        <w:rPr>
          <w:rFonts w:ascii="Times New Roman" w:hAnsi="Times New Roman"/>
          <w:sz w:val="24"/>
          <w:szCs w:val="24"/>
        </w:rPr>
        <w:t xml:space="preserve">Section 4-138 of the Code provides as follows: </w:t>
      </w:r>
      <w:r>
        <w:rPr>
          <w:rFonts w:ascii="Times New Roman" w:hAnsi="Times New Roman"/>
          <w:sz w:val="24"/>
          <w:szCs w:val="24"/>
        </w:rPr>
        <w:t>‘</w:t>
      </w:r>
      <w:r w:rsidRPr="000B2A57">
        <w:rPr>
          <w:rFonts w:ascii="Times New Roman" w:hAnsi="Times New Roman"/>
          <w:sz w:val="24"/>
          <w:szCs w:val="24"/>
        </w:rPr>
        <w:t>None of the benefits provided under this</w:t>
      </w:r>
      <w:r>
        <w:rPr>
          <w:rFonts w:ascii="Times New Roman" w:hAnsi="Times New Roman"/>
          <w:sz w:val="24"/>
          <w:szCs w:val="24"/>
        </w:rPr>
        <w:t xml:space="preserve"> </w:t>
      </w:r>
      <w:r w:rsidRPr="000B2A57">
        <w:rPr>
          <w:rFonts w:ascii="Times New Roman" w:hAnsi="Times New Roman"/>
          <w:sz w:val="24"/>
          <w:szCs w:val="24"/>
        </w:rPr>
        <w:t>Article shall be paid to any person who is convicted of any felony relating to or arising out of or</w:t>
      </w:r>
      <w:r>
        <w:rPr>
          <w:rFonts w:ascii="Times New Roman" w:hAnsi="Times New Roman"/>
          <w:sz w:val="24"/>
          <w:szCs w:val="24"/>
        </w:rPr>
        <w:t xml:space="preserve"> </w:t>
      </w:r>
      <w:r w:rsidRPr="000B2A57">
        <w:rPr>
          <w:rFonts w:ascii="Times New Roman" w:hAnsi="Times New Roman"/>
          <w:sz w:val="24"/>
          <w:szCs w:val="24"/>
        </w:rPr>
        <w:t>in connection with service as a firefighter.</w:t>
      </w:r>
      <w:r>
        <w:rPr>
          <w:rFonts w:ascii="Times New Roman" w:hAnsi="Times New Roman"/>
          <w:sz w:val="24"/>
          <w:szCs w:val="24"/>
        </w:rPr>
        <w:t>’</w:t>
      </w:r>
      <w:r w:rsidRPr="000B2A57">
        <w:rPr>
          <w:rFonts w:ascii="Times New Roman" w:hAnsi="Times New Roman"/>
          <w:sz w:val="24"/>
          <w:szCs w:val="24"/>
        </w:rPr>
        <w:t xml:space="preserve"> 40 ILCS 5/4-138 (West 2022).</w:t>
      </w:r>
    </w:p>
    <w:p w14:paraId="17D94535" w14:textId="77777777" w:rsidR="00F91F9F" w:rsidRDefault="00F91F9F" w:rsidP="00F91F9F">
      <w:pPr>
        <w:pStyle w:val="NoSpacing"/>
        <w:ind w:left="720"/>
        <w:rPr>
          <w:rFonts w:ascii="Times New Roman" w:hAnsi="Times New Roman"/>
          <w:sz w:val="24"/>
          <w:szCs w:val="24"/>
        </w:rPr>
      </w:pPr>
    </w:p>
    <w:p w14:paraId="0540BD60"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w:t>
      </w:r>
    </w:p>
    <w:p w14:paraId="1FADCB6B" w14:textId="77777777" w:rsidR="00F91F9F" w:rsidRDefault="00F91F9F" w:rsidP="00F91F9F">
      <w:pPr>
        <w:pStyle w:val="NoSpacing"/>
        <w:rPr>
          <w:rFonts w:ascii="Times New Roman" w:hAnsi="Times New Roman"/>
          <w:sz w:val="24"/>
          <w:szCs w:val="24"/>
        </w:rPr>
      </w:pPr>
      <w:r>
        <w:rPr>
          <w:rFonts w:ascii="Times New Roman" w:hAnsi="Times New Roman"/>
          <w:sz w:val="24"/>
          <w:szCs w:val="24"/>
        </w:rPr>
        <w:tab/>
      </w:r>
    </w:p>
    <w:p w14:paraId="69617C8B" w14:textId="77777777" w:rsidR="00F91F9F" w:rsidRPr="000307C4" w:rsidRDefault="00F91F9F" w:rsidP="00F91F9F">
      <w:pPr>
        <w:pStyle w:val="NoSpacing"/>
        <w:ind w:firstLine="720"/>
        <w:rPr>
          <w:rFonts w:ascii="Times New Roman" w:hAnsi="Times New Roman"/>
          <w:sz w:val="24"/>
          <w:szCs w:val="24"/>
        </w:rPr>
      </w:pPr>
      <w:r w:rsidRPr="000307C4">
        <w:rPr>
          <w:rFonts w:ascii="Times New Roman" w:hAnsi="Times New Roman"/>
          <w:sz w:val="24"/>
          <w:szCs w:val="24"/>
        </w:rPr>
        <w:t>Here, plaintiff was plainly ineligible for a pension benefit under the terms of section</w:t>
      </w:r>
    </w:p>
    <w:p w14:paraId="5BF3D4EF" w14:textId="77777777" w:rsidR="00F91F9F" w:rsidRDefault="00F91F9F" w:rsidP="00F91F9F">
      <w:pPr>
        <w:pStyle w:val="NoSpacing"/>
        <w:ind w:left="720"/>
        <w:rPr>
          <w:rFonts w:ascii="Times New Roman" w:hAnsi="Times New Roman"/>
          <w:sz w:val="24"/>
          <w:szCs w:val="24"/>
        </w:rPr>
      </w:pPr>
      <w:r w:rsidRPr="000307C4">
        <w:rPr>
          <w:rFonts w:ascii="Times New Roman" w:hAnsi="Times New Roman"/>
          <w:sz w:val="24"/>
          <w:szCs w:val="24"/>
        </w:rPr>
        <w:t>4-138. The Board was therefore required by statute to divest plaintiff of his pension award because</w:t>
      </w:r>
      <w:r>
        <w:rPr>
          <w:rFonts w:ascii="Times New Roman" w:hAnsi="Times New Roman"/>
          <w:sz w:val="24"/>
          <w:szCs w:val="24"/>
        </w:rPr>
        <w:t xml:space="preserve"> </w:t>
      </w:r>
      <w:r w:rsidRPr="000307C4">
        <w:rPr>
          <w:rFonts w:ascii="Times New Roman" w:hAnsi="Times New Roman"/>
          <w:sz w:val="24"/>
          <w:szCs w:val="24"/>
        </w:rPr>
        <w:t>it no longer had the power to pay that money pursuant to section 4-138.</w:t>
      </w:r>
    </w:p>
    <w:p w14:paraId="343CB901" w14:textId="77777777" w:rsidR="00F91F9F" w:rsidRDefault="00F91F9F" w:rsidP="00F91F9F">
      <w:pPr>
        <w:pStyle w:val="NoSpacing"/>
        <w:ind w:left="720"/>
        <w:rPr>
          <w:rFonts w:ascii="Times New Roman" w:hAnsi="Times New Roman"/>
          <w:sz w:val="24"/>
          <w:szCs w:val="24"/>
        </w:rPr>
      </w:pPr>
    </w:p>
    <w:p w14:paraId="18922F96" w14:textId="77777777" w:rsidR="00F91F9F" w:rsidRPr="00642077" w:rsidRDefault="00F91F9F" w:rsidP="00F91F9F">
      <w:pPr>
        <w:pStyle w:val="NoSpacing"/>
        <w:ind w:firstLine="720"/>
        <w:rPr>
          <w:rFonts w:ascii="Times New Roman" w:hAnsi="Times New Roman"/>
          <w:sz w:val="24"/>
          <w:szCs w:val="24"/>
        </w:rPr>
      </w:pPr>
      <w:r w:rsidRPr="00642077">
        <w:rPr>
          <w:rFonts w:ascii="Times New Roman" w:hAnsi="Times New Roman"/>
          <w:sz w:val="24"/>
          <w:szCs w:val="24"/>
        </w:rPr>
        <w:t xml:space="preserve">Nonetheless, plaintiff argues </w:t>
      </w:r>
      <w:proofErr w:type="gramStart"/>
      <w:r w:rsidRPr="00642077">
        <w:rPr>
          <w:rFonts w:ascii="Times New Roman" w:hAnsi="Times New Roman"/>
          <w:sz w:val="24"/>
          <w:szCs w:val="24"/>
        </w:rPr>
        <w:t>that,</w:t>
      </w:r>
      <w:proofErr w:type="gramEnd"/>
      <w:r w:rsidRPr="00642077">
        <w:rPr>
          <w:rFonts w:ascii="Times New Roman" w:hAnsi="Times New Roman"/>
          <w:sz w:val="24"/>
          <w:szCs w:val="24"/>
        </w:rPr>
        <w:t xml:space="preserve"> at the time the Board granted his pension benefit</w:t>
      </w:r>
    </w:p>
    <w:p w14:paraId="3B384743" w14:textId="77777777" w:rsidR="00F91F9F" w:rsidRPr="00642077" w:rsidRDefault="00F91F9F" w:rsidP="00F91F9F">
      <w:pPr>
        <w:pStyle w:val="NoSpacing"/>
        <w:ind w:left="720"/>
        <w:rPr>
          <w:rFonts w:ascii="Times New Roman" w:hAnsi="Times New Roman"/>
          <w:sz w:val="24"/>
          <w:szCs w:val="24"/>
        </w:rPr>
      </w:pPr>
      <w:r w:rsidRPr="00642077">
        <w:rPr>
          <w:rFonts w:ascii="Times New Roman" w:hAnsi="Times New Roman"/>
          <w:sz w:val="24"/>
          <w:szCs w:val="24"/>
        </w:rPr>
        <w:t xml:space="preserve">application, it knew of the </w:t>
      </w:r>
      <w:r>
        <w:rPr>
          <w:rFonts w:ascii="Times New Roman" w:hAnsi="Times New Roman"/>
          <w:sz w:val="24"/>
          <w:szCs w:val="24"/>
        </w:rPr>
        <w:t>‘</w:t>
      </w:r>
      <w:r w:rsidRPr="00642077">
        <w:rPr>
          <w:rFonts w:ascii="Times New Roman" w:hAnsi="Times New Roman"/>
          <w:sz w:val="24"/>
          <w:szCs w:val="24"/>
        </w:rPr>
        <w:t>underlying facts of the allegations against [him]</w:t>
      </w:r>
      <w:r>
        <w:rPr>
          <w:rFonts w:ascii="Times New Roman" w:hAnsi="Times New Roman"/>
          <w:sz w:val="24"/>
          <w:szCs w:val="24"/>
        </w:rPr>
        <w:t>’</w:t>
      </w:r>
      <w:r w:rsidRPr="00642077">
        <w:rPr>
          <w:rFonts w:ascii="Times New Roman" w:hAnsi="Times New Roman"/>
          <w:sz w:val="24"/>
          <w:szCs w:val="24"/>
        </w:rPr>
        <w:t xml:space="preserve"> but failed to retain</w:t>
      </w:r>
      <w:r>
        <w:rPr>
          <w:rFonts w:ascii="Times New Roman" w:hAnsi="Times New Roman"/>
          <w:sz w:val="24"/>
          <w:szCs w:val="24"/>
        </w:rPr>
        <w:t xml:space="preserve"> </w:t>
      </w:r>
      <w:r w:rsidRPr="00642077">
        <w:rPr>
          <w:rFonts w:ascii="Times New Roman" w:hAnsi="Times New Roman"/>
          <w:sz w:val="24"/>
          <w:szCs w:val="24"/>
        </w:rPr>
        <w:t>jurisdiction</w:t>
      </w:r>
      <w:r>
        <w:rPr>
          <w:rFonts w:ascii="Times New Roman" w:hAnsi="Times New Roman"/>
          <w:sz w:val="24"/>
          <w:szCs w:val="24"/>
        </w:rPr>
        <w:t>’</w:t>
      </w:r>
      <w:r w:rsidRPr="00642077">
        <w:rPr>
          <w:rFonts w:ascii="Times New Roman" w:hAnsi="Times New Roman"/>
          <w:sz w:val="24"/>
          <w:szCs w:val="24"/>
        </w:rPr>
        <w:t xml:space="preserve"> pending the outcome of the investigation. Plaintiff then concludes that the Board’s</w:t>
      </w:r>
      <w:r>
        <w:rPr>
          <w:rFonts w:ascii="Times New Roman" w:hAnsi="Times New Roman"/>
          <w:sz w:val="24"/>
          <w:szCs w:val="24"/>
        </w:rPr>
        <w:t xml:space="preserve"> </w:t>
      </w:r>
      <w:r w:rsidRPr="00642077">
        <w:rPr>
          <w:rFonts w:ascii="Times New Roman" w:hAnsi="Times New Roman"/>
          <w:sz w:val="24"/>
          <w:szCs w:val="24"/>
        </w:rPr>
        <w:t xml:space="preserve">failure to do so deprived it of jurisdiction to </w:t>
      </w:r>
      <w:r>
        <w:rPr>
          <w:rFonts w:ascii="Times New Roman" w:hAnsi="Times New Roman"/>
          <w:sz w:val="24"/>
          <w:szCs w:val="24"/>
        </w:rPr>
        <w:t>‘</w:t>
      </w:r>
      <w:r w:rsidRPr="00642077">
        <w:rPr>
          <w:rFonts w:ascii="Times New Roman" w:hAnsi="Times New Roman"/>
          <w:sz w:val="24"/>
          <w:szCs w:val="24"/>
        </w:rPr>
        <w:t>review *** and reverse its September 12, 2017,</w:t>
      </w:r>
      <w:r>
        <w:rPr>
          <w:rFonts w:ascii="Times New Roman" w:hAnsi="Times New Roman"/>
          <w:sz w:val="24"/>
          <w:szCs w:val="24"/>
        </w:rPr>
        <w:t xml:space="preserve"> </w:t>
      </w:r>
      <w:r w:rsidRPr="00642077">
        <w:rPr>
          <w:rFonts w:ascii="Times New Roman" w:hAnsi="Times New Roman"/>
          <w:sz w:val="24"/>
          <w:szCs w:val="24"/>
        </w:rPr>
        <w:t>administrative decision.</w:t>
      </w:r>
      <w:r>
        <w:rPr>
          <w:rFonts w:ascii="Times New Roman" w:hAnsi="Times New Roman"/>
          <w:sz w:val="24"/>
          <w:szCs w:val="24"/>
        </w:rPr>
        <w:t>’</w:t>
      </w:r>
      <w:r w:rsidRPr="00642077">
        <w:rPr>
          <w:rFonts w:ascii="Times New Roman" w:hAnsi="Times New Roman"/>
          <w:sz w:val="24"/>
          <w:szCs w:val="24"/>
        </w:rPr>
        <w:t xml:space="preserve"> As noted above, the Board’s September 2022 decision was the result of</w:t>
      </w:r>
      <w:r>
        <w:rPr>
          <w:rFonts w:ascii="Times New Roman" w:hAnsi="Times New Roman"/>
          <w:sz w:val="24"/>
          <w:szCs w:val="24"/>
        </w:rPr>
        <w:t xml:space="preserve"> </w:t>
      </w:r>
      <w:r w:rsidRPr="00642077">
        <w:rPr>
          <w:rFonts w:ascii="Times New Roman" w:hAnsi="Times New Roman"/>
          <w:sz w:val="24"/>
          <w:szCs w:val="24"/>
        </w:rPr>
        <w:t>a new action, not a reversal of its September 2017 decision. Moreover, plaintiff’s suggestion that</w:t>
      </w:r>
      <w:r>
        <w:rPr>
          <w:rFonts w:ascii="Times New Roman" w:hAnsi="Times New Roman"/>
          <w:sz w:val="24"/>
          <w:szCs w:val="24"/>
        </w:rPr>
        <w:t xml:space="preserve"> </w:t>
      </w:r>
      <w:r w:rsidRPr="00642077">
        <w:rPr>
          <w:rFonts w:ascii="Times New Roman" w:hAnsi="Times New Roman"/>
          <w:sz w:val="24"/>
          <w:szCs w:val="24"/>
        </w:rPr>
        <w:t>the Board retain jurisdiction to enable it to divest a member of his award following a duty-related</w:t>
      </w:r>
      <w:r>
        <w:rPr>
          <w:rFonts w:ascii="Times New Roman" w:hAnsi="Times New Roman"/>
          <w:sz w:val="24"/>
          <w:szCs w:val="24"/>
        </w:rPr>
        <w:t xml:space="preserve"> </w:t>
      </w:r>
      <w:r w:rsidRPr="00642077">
        <w:rPr>
          <w:rFonts w:ascii="Times New Roman" w:hAnsi="Times New Roman"/>
          <w:sz w:val="24"/>
          <w:szCs w:val="24"/>
        </w:rPr>
        <w:t>felony conviction would require the Board to retain jurisdiction in every granting of a member’s</w:t>
      </w:r>
      <w:r>
        <w:rPr>
          <w:rFonts w:ascii="Times New Roman" w:hAnsi="Times New Roman"/>
          <w:sz w:val="24"/>
          <w:szCs w:val="24"/>
        </w:rPr>
        <w:t xml:space="preserve"> </w:t>
      </w:r>
      <w:r w:rsidRPr="00642077">
        <w:rPr>
          <w:rFonts w:ascii="Times New Roman" w:hAnsi="Times New Roman"/>
          <w:sz w:val="24"/>
          <w:szCs w:val="24"/>
        </w:rPr>
        <w:t>application for a pension benefit. Plaintiff provides no indication—and we have found none—that</w:t>
      </w:r>
      <w:r>
        <w:rPr>
          <w:rFonts w:ascii="Times New Roman" w:hAnsi="Times New Roman"/>
          <w:sz w:val="24"/>
          <w:szCs w:val="24"/>
        </w:rPr>
        <w:t xml:space="preserve"> </w:t>
      </w:r>
      <w:r w:rsidRPr="00642077">
        <w:rPr>
          <w:rFonts w:ascii="Times New Roman" w:hAnsi="Times New Roman"/>
          <w:sz w:val="24"/>
          <w:szCs w:val="24"/>
        </w:rPr>
        <w:t>the legislature intended such an absurdity.</w:t>
      </w:r>
      <w:r>
        <w:rPr>
          <w:rFonts w:ascii="Times New Roman" w:hAnsi="Times New Roman"/>
          <w:sz w:val="24"/>
          <w:szCs w:val="24"/>
        </w:rPr>
        <w:t xml:space="preserve">”  </w:t>
      </w:r>
      <w:hyperlink r:id="rId2495" w:history="1">
        <w:r w:rsidRPr="0090046C">
          <w:rPr>
            <w:rStyle w:val="Hyperlink"/>
            <w:rFonts w:ascii="Times New Roman" w:hAnsi="Times New Roman"/>
            <w:sz w:val="24"/>
            <w:szCs w:val="24"/>
          </w:rPr>
          <w:t>https://ilcourtsaudio.blob.core.windows.net/antilles-resources/resources/3038c42d-d9bb-4837-b172-ba33498af3cf/Trapp%20v.%20City%20of%20Burbank%20Firefighters'%20Pension%20Fund,%202024%20IL%20App%20(1st)%20231311-U.pdf</w:t>
        </w:r>
      </w:hyperlink>
      <w:r>
        <w:rPr>
          <w:rFonts w:ascii="Times New Roman" w:hAnsi="Times New Roman"/>
          <w:sz w:val="24"/>
          <w:szCs w:val="24"/>
        </w:rPr>
        <w:t xml:space="preserve"> </w:t>
      </w:r>
    </w:p>
    <w:p w14:paraId="7912B0E6" w14:textId="77777777" w:rsidR="00F91F9F" w:rsidRDefault="00F91F9F" w:rsidP="00F91F9F">
      <w:pPr>
        <w:pStyle w:val="NoSpacing"/>
        <w:rPr>
          <w:rFonts w:ascii="Times New Roman" w:hAnsi="Times New Roman"/>
          <w:sz w:val="24"/>
          <w:szCs w:val="24"/>
        </w:rPr>
      </w:pPr>
    </w:p>
    <w:p w14:paraId="4372954F" w14:textId="77777777" w:rsidR="00F91F9F" w:rsidRDefault="00F91F9F" w:rsidP="00F91F9F">
      <w:pPr>
        <w:pStyle w:val="NoSpacing"/>
        <w:ind w:left="720"/>
        <w:rPr>
          <w:rFonts w:ascii="Times New Roman" w:hAnsi="Times New Roman"/>
          <w:sz w:val="24"/>
          <w:szCs w:val="24"/>
        </w:rPr>
      </w:pPr>
    </w:p>
    <w:p w14:paraId="1DD6C195" w14:textId="77777777" w:rsidR="00F91F9F" w:rsidRPr="00A63E2B" w:rsidRDefault="00F91F9F" w:rsidP="00F91F9F">
      <w:pPr>
        <w:pStyle w:val="NoSpacing"/>
        <w:rPr>
          <w:rFonts w:ascii="Times New Roman" w:hAnsi="Times New Roman"/>
          <w:b/>
          <w:bCs/>
          <w:sz w:val="24"/>
          <w:szCs w:val="24"/>
        </w:rPr>
      </w:pPr>
      <w:r>
        <w:rPr>
          <w:rFonts w:ascii="Times New Roman" w:hAnsi="Times New Roman"/>
          <w:b/>
          <w:bCs/>
          <w:sz w:val="24"/>
          <w:szCs w:val="24"/>
        </w:rPr>
        <w:t xml:space="preserve">Legal Lesson Learned: A service-connected felony led to forfeiture of his pension; wonder why it took 5 years.  </w:t>
      </w:r>
    </w:p>
    <w:p w14:paraId="52CD285A" w14:textId="77777777" w:rsidR="00F91F9F" w:rsidRDefault="00F91F9F" w:rsidP="00F91F9F">
      <w:pPr>
        <w:pStyle w:val="NormalWeb"/>
        <w:spacing w:before="0" w:beforeAutospacing="0"/>
        <w:jc w:val="center"/>
      </w:pPr>
    </w:p>
    <w:p w14:paraId="2391D984" w14:textId="77777777" w:rsidR="00F91F9F" w:rsidRDefault="00F91F9F" w:rsidP="00F91F9F">
      <w:pPr>
        <w:pStyle w:val="NormalWeb"/>
        <w:spacing w:before="0" w:beforeAutospacing="0"/>
      </w:pPr>
    </w:p>
    <w:p w14:paraId="70BE8FFD" w14:textId="52177A6A" w:rsidR="00F91F9F" w:rsidRDefault="00F91F9F" w:rsidP="00F91F9F">
      <w:pPr>
        <w:pStyle w:val="NoSpacing"/>
        <w:rPr>
          <w:rFonts w:ascii="Arial Black" w:hAnsi="Arial Black"/>
          <w:sz w:val="24"/>
          <w:szCs w:val="24"/>
        </w:rPr>
      </w:pPr>
      <w:r>
        <w:rPr>
          <w:rFonts w:ascii="Arial Black" w:hAnsi="Arial Black"/>
          <w:sz w:val="24"/>
          <w:szCs w:val="24"/>
        </w:rPr>
        <w:t>16-108</w:t>
      </w:r>
    </w:p>
    <w:p w14:paraId="4D70B4C4" w14:textId="77777777" w:rsidR="00F91F9F" w:rsidRPr="002D1156" w:rsidRDefault="00F91F9F" w:rsidP="00F91F9F">
      <w:pPr>
        <w:pStyle w:val="NoSpacing"/>
        <w:rPr>
          <w:rFonts w:ascii="Times New Roman" w:hAnsi="Times New Roman"/>
          <w:color w:val="454545"/>
          <w:sz w:val="24"/>
          <w:szCs w:val="24"/>
        </w:rPr>
      </w:pPr>
    </w:p>
    <w:p w14:paraId="0C7BBDD4" w14:textId="77777777" w:rsidR="00F91F9F" w:rsidRDefault="00F91F9F" w:rsidP="00F91F9F">
      <w:pPr>
        <w:spacing w:before="100" w:beforeAutospacing="1" w:after="100" w:afterAutospacing="1" w:line="240" w:lineRule="auto"/>
        <w:rPr>
          <w:rFonts w:ascii="Arial Black" w:hAnsi="Arial Black"/>
          <w:sz w:val="28"/>
          <w:szCs w:val="28"/>
        </w:rPr>
      </w:pPr>
      <w:r>
        <w:rPr>
          <w:rFonts w:ascii="Arial Black" w:hAnsi="Arial Black"/>
          <w:sz w:val="28"/>
          <w:szCs w:val="28"/>
        </w:rPr>
        <w:t>WI: VOL. FF FIRED AFTER COMPLAINED ABOUT HOW PD QUESTIONED HIM - “WHISTLEBLOWER” CASE PROCEED</w:t>
      </w:r>
    </w:p>
    <w:p w14:paraId="022E131C" w14:textId="77777777" w:rsidR="00F91F9F" w:rsidRDefault="00F91F9F" w:rsidP="00F91F9F">
      <w:pPr>
        <w:spacing w:before="100" w:beforeAutospacing="1" w:after="100" w:afterAutospacing="1" w:line="240" w:lineRule="auto"/>
        <w:rPr>
          <w:rFonts w:ascii="Times New Roman" w:hAnsi="Times New Roman"/>
          <w:sz w:val="24"/>
          <w:szCs w:val="24"/>
        </w:rPr>
      </w:pPr>
      <w:r w:rsidRPr="0018036B">
        <w:rPr>
          <w:rFonts w:ascii="Times New Roman" w:hAnsi="Times New Roman"/>
          <w:sz w:val="24"/>
          <w:szCs w:val="24"/>
        </w:rPr>
        <w:t xml:space="preserve">On March 22, 2024, in </w:t>
      </w:r>
      <w:r w:rsidRPr="0018036B">
        <w:rPr>
          <w:rFonts w:ascii="Times New Roman" w:hAnsi="Times New Roman"/>
          <w:sz w:val="24"/>
          <w:szCs w:val="24"/>
          <w:u w:val="single"/>
        </w:rPr>
        <w:t xml:space="preserve">Matthew Donahue v. Village of </w:t>
      </w:r>
      <w:proofErr w:type="spellStart"/>
      <w:r w:rsidRPr="0018036B">
        <w:rPr>
          <w:rFonts w:ascii="Times New Roman" w:hAnsi="Times New Roman"/>
          <w:sz w:val="24"/>
          <w:szCs w:val="24"/>
          <w:u w:val="single"/>
        </w:rPr>
        <w:t>Elm</w:t>
      </w:r>
      <w:proofErr w:type="spellEnd"/>
      <w:r w:rsidRPr="0018036B">
        <w:rPr>
          <w:rFonts w:ascii="Times New Roman" w:hAnsi="Times New Roman"/>
          <w:sz w:val="24"/>
          <w:szCs w:val="24"/>
          <w:u w:val="single"/>
        </w:rPr>
        <w:t xml:space="preserve"> Grove, et al</w:t>
      </w:r>
      <w:r w:rsidRPr="0018036B">
        <w:rPr>
          <w:rFonts w:ascii="Times New Roman" w:hAnsi="Times New Roman"/>
          <w:sz w:val="24"/>
          <w:szCs w:val="24"/>
        </w:rPr>
        <w:t xml:space="preserve">., United States District Court Chief Judge Pamela Pepper, U.S. District Court for Eastern District of Wisconsin, held the volunteer’s claim </w:t>
      </w:r>
      <w:r>
        <w:rPr>
          <w:rFonts w:ascii="Times New Roman" w:hAnsi="Times New Roman"/>
          <w:sz w:val="24"/>
          <w:szCs w:val="24"/>
        </w:rPr>
        <w:t xml:space="preserve">of retaliation </w:t>
      </w:r>
      <w:r w:rsidRPr="0018036B">
        <w:rPr>
          <w:rFonts w:ascii="Times New Roman" w:hAnsi="Times New Roman"/>
          <w:sz w:val="24"/>
          <w:szCs w:val="24"/>
        </w:rPr>
        <w:t>may proceed to pre-trial discovery</w:t>
      </w:r>
      <w:r>
        <w:rPr>
          <w:rFonts w:ascii="Times New Roman" w:hAnsi="Times New Roman"/>
          <w:sz w:val="24"/>
          <w:szCs w:val="24"/>
        </w:rPr>
        <w:t xml:space="preserve">, after he files an Amended Complaint with more details. </w:t>
      </w:r>
      <w:r w:rsidRPr="003B51B9">
        <w:rPr>
          <w:rFonts w:ascii="Times New Roman" w:hAnsi="Times New Roman"/>
          <w:sz w:val="24"/>
          <w:szCs w:val="24"/>
        </w:rPr>
        <w:t xml:space="preserve">On March 6, 2019, he was questioned by officers from the </w:t>
      </w:r>
      <w:proofErr w:type="spellStart"/>
      <w:r w:rsidRPr="003B51B9">
        <w:rPr>
          <w:rFonts w:ascii="Times New Roman" w:hAnsi="Times New Roman"/>
          <w:sz w:val="24"/>
          <w:szCs w:val="24"/>
        </w:rPr>
        <w:t>Elm</w:t>
      </w:r>
      <w:proofErr w:type="spellEnd"/>
      <w:r w:rsidRPr="003B51B9">
        <w:rPr>
          <w:rFonts w:ascii="Times New Roman" w:hAnsi="Times New Roman"/>
          <w:sz w:val="24"/>
          <w:szCs w:val="24"/>
        </w:rPr>
        <w:t xml:space="preserve"> Grove and Brookfield Police Departments</w:t>
      </w:r>
      <w:r>
        <w:rPr>
          <w:rFonts w:ascii="Times New Roman" w:hAnsi="Times New Roman"/>
          <w:sz w:val="24"/>
          <w:szCs w:val="24"/>
        </w:rPr>
        <w:t xml:space="preserve"> after the PD received a complaint from Father Peter Berger of St. Mary’s Church. “</w:t>
      </w:r>
      <w:r w:rsidRPr="00D81337">
        <w:rPr>
          <w:rFonts w:ascii="Times New Roman" w:hAnsi="Times New Roman"/>
          <w:sz w:val="24"/>
          <w:szCs w:val="24"/>
        </w:rPr>
        <w:t>The plaintiff was a member of St. Mary's congregation; recently Father Berger had officiated at the plaintiff's marriage and on March 6, 2019, the two had exchanged emails regarding a personal issue ‘between the Church and [the plaintiff].</w:t>
      </w:r>
      <w:r>
        <w:rPr>
          <w:rFonts w:ascii="Times New Roman" w:hAnsi="Times New Roman"/>
          <w:sz w:val="24"/>
          <w:szCs w:val="24"/>
        </w:rPr>
        <w:t>”  The plaintiff filed complaint against PD, and Village Manager directed Fire Chief to investigate, leading to his termination.</w:t>
      </w:r>
    </w:p>
    <w:p w14:paraId="5F80AC92" w14:textId="77777777" w:rsidR="00744AE5" w:rsidRPr="004C0299" w:rsidRDefault="00744AE5" w:rsidP="00744AE5">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C9FC947" w14:textId="77777777" w:rsidR="00F91F9F" w:rsidRDefault="00F91F9F" w:rsidP="00F91F9F">
      <w:pPr>
        <w:pStyle w:val="NormalWeb"/>
        <w:ind w:left="720"/>
      </w:pPr>
      <w:r>
        <w:t xml:space="preserve">“Construing these allegations in the light most favorable to the plaintiff, the court concludes that the plaintiff has alleged that he engaged in activity protected by the First Amendment-making a complaint through his statement of charges. He has alleged that he suffered a deprivation that likely would deter </w:t>
      </w:r>
      <w:r>
        <w:lastRenderedPageBreak/>
        <w:t xml:space="preserve">his First Amendment activity in the future-he was subjected to an investigation, a hearing and removal. And he has alleged that the fact he made complaints caused the fire department to investigate him, which led to the commission's hearing and his removal. He has alleged that [Village Manager David] DeAngelis knew of his First Amendment activity (by alleging that DeAngelis received his statement of charges and advised the village board about them), that DeAngelis basically rejected the plaintiff's complaints by advising the board of trustees not to investigate them and by misrepresenting them and that DeAngelis caused at least one deprivation-the institution of a fire department investigation into the plaintiff-which led to the others. While the allegations against [Village Manager] DeAngelis are sparse, they are sufficient to state a plausible claim at the pleading stage.” </w:t>
      </w:r>
      <w:hyperlink r:id="rId2496" w:history="1">
        <w:r w:rsidRPr="00525B4E">
          <w:rPr>
            <w:rStyle w:val="Hyperlink"/>
          </w:rPr>
          <w:t>https://public.fastcase.com/H1P9uiW3J20SFp%2BGCG%2BxLf0QXfMdGqdqZlQXVQLOVSo%2BRVxC5joRx%2Bn0W0bwooepXLY2KUKQY%2FNa4DzAR11NEG8M8s0LDdmLgDmSoVIjHEI%3D?utm_medium=email&amp;_hsmi=226712652&amp;_hsenc=p2ANqtz--j20uR-GYo6WCSGz4uB5jXz0CJaW80ssMVqf4KPGqbFwk9_LUt6on4Dgf3xdmVustFIoMmyBcwEiGPMrkJq9j9MAGPKA&amp;utm_content=226712652&amp;utm_source=hs_email</w:t>
        </w:r>
      </w:hyperlink>
      <w:r>
        <w:t xml:space="preserve"> </w:t>
      </w:r>
    </w:p>
    <w:p w14:paraId="6FAC588A" w14:textId="77777777" w:rsidR="00F91F9F" w:rsidRPr="004C7B9F" w:rsidRDefault="00F91F9F" w:rsidP="00F91F9F">
      <w:pPr>
        <w:pStyle w:val="NormalWeb"/>
        <w:rPr>
          <w:b/>
          <w:bCs/>
        </w:rPr>
      </w:pPr>
      <w:r w:rsidRPr="004C7B9F">
        <w:rPr>
          <w:b/>
          <w:bCs/>
        </w:rPr>
        <w:t>Legal Lesson Learned:</w:t>
      </w:r>
      <w:r>
        <w:rPr>
          <w:b/>
          <w:bCs/>
        </w:rPr>
        <w:t xml:space="preserve"> Filing a complaint about alleged police misconduct is protected conduct under 1</w:t>
      </w:r>
      <w:r w:rsidRPr="00676A56">
        <w:rPr>
          <w:b/>
          <w:bCs/>
          <w:vertAlign w:val="superscript"/>
        </w:rPr>
        <w:t>st</w:t>
      </w:r>
      <w:r>
        <w:rPr>
          <w:b/>
          <w:bCs/>
        </w:rPr>
        <w:t xml:space="preserve"> Amendment and state whistleblower law.</w:t>
      </w:r>
    </w:p>
    <w:p w14:paraId="41CD8A76"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4966F504" w14:textId="348C765F" w:rsidR="00F91F9F" w:rsidRDefault="00F91F9F" w:rsidP="00F91F9F">
      <w:pPr>
        <w:pStyle w:val="NoSpacing"/>
        <w:rPr>
          <w:rFonts w:ascii="Arial Black" w:hAnsi="Arial Black"/>
          <w:sz w:val="24"/>
          <w:szCs w:val="24"/>
        </w:rPr>
      </w:pPr>
      <w:r>
        <w:rPr>
          <w:rFonts w:ascii="Arial Black" w:hAnsi="Arial Black"/>
          <w:sz w:val="24"/>
          <w:szCs w:val="24"/>
        </w:rPr>
        <w:t>16-107</w:t>
      </w:r>
    </w:p>
    <w:p w14:paraId="5DF4A4F1" w14:textId="77777777" w:rsidR="00F91F9F" w:rsidRDefault="00F91F9F" w:rsidP="00F91F9F">
      <w:pPr>
        <w:pStyle w:val="NoSpacing"/>
        <w:rPr>
          <w:rFonts w:ascii="Arial Black" w:hAnsi="Arial Black"/>
          <w:sz w:val="28"/>
          <w:szCs w:val="28"/>
        </w:rPr>
      </w:pPr>
    </w:p>
    <w:p w14:paraId="0D6889BF" w14:textId="77777777" w:rsidR="00F91F9F" w:rsidRPr="009140CD" w:rsidRDefault="00F91F9F" w:rsidP="00F91F9F">
      <w:pPr>
        <w:pStyle w:val="NoSpacing"/>
        <w:rPr>
          <w:rFonts w:ascii="Arial Black" w:hAnsi="Arial Black"/>
          <w:sz w:val="28"/>
          <w:szCs w:val="28"/>
        </w:rPr>
      </w:pPr>
      <w:r>
        <w:rPr>
          <w:rFonts w:ascii="Arial Black" w:hAnsi="Arial Black"/>
          <w:sz w:val="28"/>
          <w:szCs w:val="28"/>
        </w:rPr>
        <w:t>NH: POLICE OFFICER RESIGNATION / PD INTERNAL AFFAIRS DOCS OUT PERSONNEL FILE – CT. ORDERS DOCS RELEASED</w:t>
      </w:r>
    </w:p>
    <w:p w14:paraId="7E790FD7" w14:textId="77777777" w:rsidR="00F91F9F" w:rsidRDefault="00F91F9F" w:rsidP="00F91F9F">
      <w:pPr>
        <w:pStyle w:val="NoSpacing"/>
        <w:rPr>
          <w:rFonts w:ascii="Times New Roman" w:hAnsi="Times New Roman"/>
          <w:sz w:val="24"/>
          <w:szCs w:val="24"/>
        </w:rPr>
      </w:pPr>
    </w:p>
    <w:p w14:paraId="0561B8CC" w14:textId="77777777" w:rsidR="00F91F9F" w:rsidRDefault="00F91F9F" w:rsidP="00F91F9F">
      <w:pPr>
        <w:pStyle w:val="NoSpacing"/>
        <w:rPr>
          <w:rFonts w:ascii="Times New Roman" w:hAnsi="Times New Roman"/>
          <w:sz w:val="24"/>
          <w:szCs w:val="24"/>
        </w:rPr>
      </w:pPr>
      <w:r>
        <w:rPr>
          <w:rFonts w:ascii="Times New Roman" w:hAnsi="Times New Roman"/>
          <w:sz w:val="24"/>
          <w:szCs w:val="24"/>
        </w:rPr>
        <w:t xml:space="preserve">On March 20, 2024, in </w:t>
      </w:r>
      <w:r w:rsidRPr="00310885">
        <w:rPr>
          <w:rFonts w:ascii="Times New Roman" w:hAnsi="Times New Roman"/>
          <w:sz w:val="24"/>
          <w:szCs w:val="24"/>
          <w:u w:val="single"/>
        </w:rPr>
        <w:t>Jonathan Stone v. City of Claremont</w:t>
      </w:r>
      <w:r>
        <w:rPr>
          <w:rFonts w:ascii="Times New Roman" w:hAnsi="Times New Roman"/>
          <w:sz w:val="24"/>
          <w:szCs w:val="24"/>
        </w:rPr>
        <w:t xml:space="preserve">, the Supreme Court of New Hampshire, held (5 to 0) that the 2007 resignation agreement with former City police officer and his union, removing from his personnel file the internal affairs investigation and notice of termination, does not protect the requested records from disclosure. </w:t>
      </w:r>
    </w:p>
    <w:p w14:paraId="39169A74" w14:textId="77777777" w:rsidR="004305B6" w:rsidRPr="004C0299" w:rsidRDefault="004305B6" w:rsidP="004305B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10FB302C" w14:textId="77777777" w:rsidR="00F91F9F" w:rsidRDefault="00F91F9F" w:rsidP="00F91F9F">
      <w:pPr>
        <w:pStyle w:val="NoSpacing"/>
        <w:rPr>
          <w:rFonts w:ascii="Times New Roman" w:hAnsi="Times New Roman"/>
          <w:sz w:val="24"/>
          <w:szCs w:val="24"/>
        </w:rPr>
      </w:pPr>
    </w:p>
    <w:p w14:paraId="0F73B518" w14:textId="77777777" w:rsidR="00F91F9F" w:rsidRPr="00B3168D" w:rsidRDefault="00F91F9F" w:rsidP="00F91F9F">
      <w:pPr>
        <w:pStyle w:val="NoSpacing"/>
        <w:ind w:left="720"/>
        <w:rPr>
          <w:rFonts w:ascii="Times New Roman" w:hAnsi="Times New Roman"/>
          <w:sz w:val="24"/>
          <w:szCs w:val="24"/>
        </w:rPr>
      </w:pPr>
      <w:r>
        <w:rPr>
          <w:rFonts w:ascii="Times New Roman" w:hAnsi="Times New Roman"/>
          <w:sz w:val="24"/>
          <w:szCs w:val="24"/>
        </w:rPr>
        <w:t>“</w:t>
      </w:r>
      <w:r w:rsidRPr="00B3168D">
        <w:rPr>
          <w:rFonts w:ascii="Times New Roman" w:hAnsi="Times New Roman"/>
          <w:sz w:val="24"/>
          <w:szCs w:val="24"/>
        </w:rPr>
        <w:t xml:space="preserve">The intervenors </w:t>
      </w:r>
      <w:r>
        <w:rPr>
          <w:rFonts w:ascii="Times New Roman" w:hAnsi="Times New Roman"/>
          <w:sz w:val="24"/>
          <w:szCs w:val="24"/>
        </w:rPr>
        <w:t xml:space="preserve">[ACLU and Union Leader Corp., Union Leader Corp] </w:t>
      </w:r>
      <w:r w:rsidRPr="00B3168D">
        <w:rPr>
          <w:rFonts w:ascii="Times New Roman" w:hAnsi="Times New Roman"/>
          <w:sz w:val="24"/>
          <w:szCs w:val="24"/>
        </w:rPr>
        <w:t>contend that the purging provision</w:t>
      </w:r>
      <w:r>
        <w:rPr>
          <w:rFonts w:ascii="Times New Roman" w:hAnsi="Times New Roman"/>
          <w:sz w:val="24"/>
          <w:szCs w:val="24"/>
        </w:rPr>
        <w:t xml:space="preserve"> </w:t>
      </w:r>
      <w:r w:rsidRPr="00B3168D">
        <w:rPr>
          <w:rFonts w:ascii="Times New Roman" w:hAnsi="Times New Roman"/>
          <w:sz w:val="24"/>
          <w:szCs w:val="24"/>
        </w:rPr>
        <w:t>of the Stipulated Award does not state that the relevant records will be</w:t>
      </w:r>
    </w:p>
    <w:p w14:paraId="64F71A88" w14:textId="77777777" w:rsidR="00F91F9F" w:rsidRDefault="00F91F9F" w:rsidP="00F91F9F">
      <w:pPr>
        <w:pStyle w:val="NoSpacing"/>
        <w:ind w:left="720"/>
        <w:rPr>
          <w:rFonts w:ascii="Times New Roman" w:hAnsi="Times New Roman"/>
          <w:sz w:val="24"/>
          <w:szCs w:val="24"/>
        </w:rPr>
      </w:pPr>
      <w:r w:rsidRPr="00B3168D">
        <w:rPr>
          <w:rFonts w:ascii="Times New Roman" w:hAnsi="Times New Roman"/>
          <w:sz w:val="24"/>
          <w:szCs w:val="24"/>
        </w:rPr>
        <w:t>destroyed or that they will cease to exist within the CPD. According to the</w:t>
      </w:r>
      <w:r>
        <w:rPr>
          <w:rFonts w:ascii="Times New Roman" w:hAnsi="Times New Roman"/>
          <w:sz w:val="24"/>
          <w:szCs w:val="24"/>
        </w:rPr>
        <w:t xml:space="preserve"> </w:t>
      </w:r>
      <w:r w:rsidRPr="00B3168D">
        <w:rPr>
          <w:rFonts w:ascii="Times New Roman" w:hAnsi="Times New Roman"/>
          <w:sz w:val="24"/>
          <w:szCs w:val="24"/>
        </w:rPr>
        <w:t>intervenors, the Stipulated Award provides only that the relevant records will</w:t>
      </w:r>
      <w:r>
        <w:rPr>
          <w:rFonts w:ascii="Times New Roman" w:hAnsi="Times New Roman"/>
          <w:sz w:val="24"/>
          <w:szCs w:val="24"/>
        </w:rPr>
        <w:t xml:space="preserve"> </w:t>
      </w:r>
      <w:r w:rsidRPr="00B3168D">
        <w:rPr>
          <w:rFonts w:ascii="Times New Roman" w:hAnsi="Times New Roman"/>
          <w:sz w:val="24"/>
          <w:szCs w:val="24"/>
        </w:rPr>
        <w:t>be purged from the plaintiff’s personnel file but does not state that the records</w:t>
      </w:r>
      <w:r>
        <w:rPr>
          <w:rFonts w:ascii="Times New Roman" w:hAnsi="Times New Roman"/>
          <w:sz w:val="24"/>
          <w:szCs w:val="24"/>
        </w:rPr>
        <w:t xml:space="preserve"> </w:t>
      </w:r>
      <w:r w:rsidRPr="00B3168D">
        <w:rPr>
          <w:rFonts w:ascii="Times New Roman" w:hAnsi="Times New Roman"/>
          <w:sz w:val="24"/>
          <w:szCs w:val="24"/>
        </w:rPr>
        <w:t>will be purged from all other locations. Similarly, the intervenors argue that</w:t>
      </w:r>
      <w:r>
        <w:rPr>
          <w:rFonts w:ascii="Times New Roman" w:hAnsi="Times New Roman"/>
          <w:sz w:val="24"/>
          <w:szCs w:val="24"/>
        </w:rPr>
        <w:t xml:space="preserve"> </w:t>
      </w:r>
      <w:r w:rsidRPr="00B3168D">
        <w:rPr>
          <w:rFonts w:ascii="Times New Roman" w:hAnsi="Times New Roman"/>
          <w:sz w:val="24"/>
          <w:szCs w:val="24"/>
        </w:rPr>
        <w:t xml:space="preserve">the confidentiality provision </w:t>
      </w:r>
      <w:r>
        <w:rPr>
          <w:rFonts w:ascii="Times New Roman" w:hAnsi="Times New Roman"/>
          <w:sz w:val="24"/>
          <w:szCs w:val="24"/>
        </w:rPr>
        <w:t>‘</w:t>
      </w:r>
      <w:r w:rsidRPr="00B3168D">
        <w:rPr>
          <w:rFonts w:ascii="Times New Roman" w:hAnsi="Times New Roman"/>
          <w:sz w:val="24"/>
          <w:szCs w:val="24"/>
        </w:rPr>
        <w:t>does not provide the blanket confidentiality that</w:t>
      </w:r>
      <w:r>
        <w:rPr>
          <w:rFonts w:ascii="Times New Roman" w:hAnsi="Times New Roman"/>
          <w:sz w:val="24"/>
          <w:szCs w:val="24"/>
        </w:rPr>
        <w:t xml:space="preserve"> </w:t>
      </w:r>
      <w:r w:rsidRPr="00B3168D">
        <w:rPr>
          <w:rFonts w:ascii="Times New Roman" w:hAnsi="Times New Roman"/>
          <w:sz w:val="24"/>
          <w:szCs w:val="24"/>
        </w:rPr>
        <w:t>[the plaintiff] asserts.</w:t>
      </w:r>
      <w:r>
        <w:rPr>
          <w:rFonts w:ascii="Times New Roman" w:hAnsi="Times New Roman"/>
          <w:sz w:val="24"/>
          <w:szCs w:val="24"/>
        </w:rPr>
        <w:t>’</w:t>
      </w:r>
      <w:r w:rsidRPr="00B3168D">
        <w:rPr>
          <w:rFonts w:ascii="Times New Roman" w:hAnsi="Times New Roman"/>
          <w:sz w:val="24"/>
          <w:szCs w:val="24"/>
        </w:rPr>
        <w:t xml:space="preserve"> Rather, the Stipulated Award </w:t>
      </w:r>
      <w:r>
        <w:rPr>
          <w:rFonts w:ascii="Times New Roman" w:hAnsi="Times New Roman"/>
          <w:sz w:val="24"/>
          <w:szCs w:val="24"/>
        </w:rPr>
        <w:t>‘</w:t>
      </w:r>
      <w:r w:rsidRPr="00B3168D">
        <w:rPr>
          <w:rFonts w:ascii="Times New Roman" w:hAnsi="Times New Roman"/>
          <w:sz w:val="24"/>
          <w:szCs w:val="24"/>
        </w:rPr>
        <w:t>makes clear that its</w:t>
      </w:r>
      <w:r>
        <w:rPr>
          <w:rFonts w:ascii="Times New Roman" w:hAnsi="Times New Roman"/>
          <w:sz w:val="24"/>
          <w:szCs w:val="24"/>
        </w:rPr>
        <w:t xml:space="preserve"> </w:t>
      </w:r>
      <w:r w:rsidRPr="00B3168D">
        <w:rPr>
          <w:rFonts w:ascii="Times New Roman" w:hAnsi="Times New Roman"/>
          <w:sz w:val="24"/>
          <w:szCs w:val="24"/>
        </w:rPr>
        <w:t>confidentiality provision applies ‘except to the extent required by . . . law,’</w:t>
      </w:r>
      <w:r>
        <w:rPr>
          <w:rFonts w:ascii="Times New Roman" w:hAnsi="Times New Roman"/>
          <w:sz w:val="24"/>
          <w:szCs w:val="24"/>
        </w:rPr>
        <w:t xml:space="preserve"> </w:t>
      </w:r>
      <w:r w:rsidRPr="00B3168D">
        <w:rPr>
          <w:rFonts w:ascii="Times New Roman" w:hAnsi="Times New Roman"/>
          <w:sz w:val="24"/>
          <w:szCs w:val="24"/>
        </w:rPr>
        <w:t xml:space="preserve">which includes the requirements of RSA </w:t>
      </w:r>
      <w:proofErr w:type="spellStart"/>
      <w:r w:rsidRPr="00B3168D">
        <w:rPr>
          <w:rFonts w:ascii="Times New Roman" w:hAnsi="Times New Roman"/>
          <w:sz w:val="24"/>
          <w:szCs w:val="24"/>
        </w:rPr>
        <w:t>ch.</w:t>
      </w:r>
      <w:proofErr w:type="spellEnd"/>
      <w:r w:rsidRPr="00B3168D">
        <w:rPr>
          <w:rFonts w:ascii="Times New Roman" w:hAnsi="Times New Roman"/>
          <w:sz w:val="24"/>
          <w:szCs w:val="24"/>
        </w:rPr>
        <w:t xml:space="preserve"> 91-A.</w:t>
      </w:r>
      <w:r>
        <w:rPr>
          <w:rFonts w:ascii="Times New Roman" w:hAnsi="Times New Roman"/>
          <w:sz w:val="24"/>
          <w:szCs w:val="24"/>
        </w:rPr>
        <w:t>’</w:t>
      </w:r>
      <w:r w:rsidRPr="00B3168D">
        <w:rPr>
          <w:rFonts w:ascii="Times New Roman" w:hAnsi="Times New Roman"/>
          <w:sz w:val="24"/>
          <w:szCs w:val="24"/>
        </w:rPr>
        <w:t xml:space="preserve"> We agree with the</w:t>
      </w:r>
      <w:r>
        <w:rPr>
          <w:rFonts w:ascii="Times New Roman" w:hAnsi="Times New Roman"/>
          <w:sz w:val="24"/>
          <w:szCs w:val="24"/>
        </w:rPr>
        <w:t xml:space="preserve"> </w:t>
      </w:r>
      <w:r w:rsidRPr="00B3168D">
        <w:rPr>
          <w:rFonts w:ascii="Times New Roman" w:hAnsi="Times New Roman"/>
          <w:sz w:val="24"/>
          <w:szCs w:val="24"/>
        </w:rPr>
        <w:t>intervenors.</w:t>
      </w:r>
    </w:p>
    <w:p w14:paraId="76C1B1D0" w14:textId="77777777" w:rsidR="00F91F9F" w:rsidRDefault="00F91F9F" w:rsidP="00F91F9F">
      <w:pPr>
        <w:pStyle w:val="NoSpacing"/>
        <w:ind w:left="720"/>
        <w:rPr>
          <w:rFonts w:ascii="Times New Roman" w:hAnsi="Times New Roman"/>
          <w:sz w:val="24"/>
          <w:szCs w:val="24"/>
        </w:rPr>
      </w:pPr>
    </w:p>
    <w:p w14:paraId="7FCF73AB"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w:t>
      </w:r>
    </w:p>
    <w:p w14:paraId="549551BE" w14:textId="77777777" w:rsidR="00F91F9F" w:rsidRDefault="00F91F9F" w:rsidP="00F91F9F">
      <w:pPr>
        <w:pStyle w:val="NoSpacing"/>
        <w:rPr>
          <w:rFonts w:ascii="Times New Roman" w:hAnsi="Times New Roman"/>
          <w:sz w:val="24"/>
          <w:szCs w:val="24"/>
        </w:rPr>
      </w:pPr>
    </w:p>
    <w:p w14:paraId="7F6DD224"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I</w:t>
      </w:r>
      <w:r w:rsidRPr="00B5597E">
        <w:rPr>
          <w:rFonts w:ascii="Times New Roman" w:hAnsi="Times New Roman"/>
          <w:sz w:val="24"/>
          <w:szCs w:val="24"/>
        </w:rPr>
        <w:t>n summary, we conclude that the 2007 Stipulated Award does not</w:t>
      </w:r>
      <w:r>
        <w:rPr>
          <w:rFonts w:ascii="Times New Roman" w:hAnsi="Times New Roman"/>
          <w:sz w:val="24"/>
          <w:szCs w:val="24"/>
        </w:rPr>
        <w:t xml:space="preserve"> </w:t>
      </w:r>
      <w:r w:rsidRPr="00B5597E">
        <w:rPr>
          <w:rFonts w:ascii="Times New Roman" w:hAnsi="Times New Roman"/>
          <w:sz w:val="24"/>
          <w:szCs w:val="24"/>
        </w:rPr>
        <w:t xml:space="preserve">protect the requested records at issue on appeal from </w:t>
      </w:r>
      <w:proofErr w:type="gramStart"/>
      <w:r w:rsidRPr="00B5597E">
        <w:rPr>
          <w:rFonts w:ascii="Times New Roman" w:hAnsi="Times New Roman"/>
          <w:sz w:val="24"/>
          <w:szCs w:val="24"/>
        </w:rPr>
        <w:t>disclosure.</w:t>
      </w:r>
      <w:r>
        <w:rPr>
          <w:rFonts w:ascii="Times New Roman" w:hAnsi="Times New Roman"/>
          <w:sz w:val="24"/>
          <w:szCs w:val="24"/>
        </w:rPr>
        <w:t>”</w:t>
      </w:r>
      <w:proofErr w:type="gramEnd"/>
      <w:r>
        <w:rPr>
          <w:rFonts w:ascii="Times New Roman" w:hAnsi="Times New Roman"/>
          <w:sz w:val="24"/>
          <w:szCs w:val="24"/>
        </w:rPr>
        <w:t xml:space="preserve"> </w:t>
      </w:r>
      <w:hyperlink r:id="rId2497" w:history="1">
        <w:r w:rsidRPr="0090046C">
          <w:rPr>
            <w:rStyle w:val="Hyperlink"/>
            <w:rFonts w:ascii="Times New Roman" w:hAnsi="Times New Roman"/>
            <w:sz w:val="24"/>
            <w:szCs w:val="24"/>
          </w:rPr>
          <w:t>https://www.courts.nh.gov/sites/g/files/ehbemt471/files/documents/2024-03/20230083stone.pdf</w:t>
        </w:r>
      </w:hyperlink>
      <w:r>
        <w:rPr>
          <w:rFonts w:ascii="Times New Roman" w:hAnsi="Times New Roman"/>
          <w:sz w:val="24"/>
          <w:szCs w:val="24"/>
        </w:rPr>
        <w:t xml:space="preserve"> </w:t>
      </w:r>
    </w:p>
    <w:p w14:paraId="3323B367" w14:textId="77777777" w:rsidR="00F91F9F" w:rsidRDefault="00F91F9F" w:rsidP="00F91F9F">
      <w:pPr>
        <w:pStyle w:val="NoSpacing"/>
        <w:ind w:left="720"/>
        <w:rPr>
          <w:rFonts w:ascii="Times New Roman" w:hAnsi="Times New Roman"/>
          <w:sz w:val="24"/>
          <w:szCs w:val="24"/>
        </w:rPr>
      </w:pPr>
    </w:p>
    <w:p w14:paraId="5EC0FC00" w14:textId="77777777" w:rsidR="00F91F9F" w:rsidRDefault="00F91F9F" w:rsidP="00F91F9F">
      <w:pPr>
        <w:rPr>
          <w:rFonts w:ascii="Times New Roman" w:hAnsi="Times New Roman"/>
          <w:sz w:val="24"/>
          <w:szCs w:val="24"/>
        </w:rPr>
      </w:pPr>
    </w:p>
    <w:p w14:paraId="2C906923" w14:textId="77777777" w:rsidR="00F91F9F" w:rsidRPr="00354746" w:rsidRDefault="00F91F9F" w:rsidP="00F91F9F">
      <w:pPr>
        <w:rPr>
          <w:rFonts w:ascii="Times New Roman" w:hAnsi="Times New Roman"/>
          <w:b/>
          <w:bCs/>
          <w:sz w:val="24"/>
          <w:szCs w:val="24"/>
        </w:rPr>
      </w:pPr>
      <w:r w:rsidRPr="00354746">
        <w:rPr>
          <w:rFonts w:ascii="Times New Roman" w:hAnsi="Times New Roman"/>
          <w:b/>
          <w:bCs/>
          <w:sz w:val="24"/>
          <w:szCs w:val="24"/>
        </w:rPr>
        <w:t xml:space="preserve">Legal Lesson Learned: </w:t>
      </w:r>
      <w:r>
        <w:rPr>
          <w:rFonts w:ascii="Times New Roman" w:hAnsi="Times New Roman"/>
          <w:b/>
          <w:bCs/>
          <w:sz w:val="24"/>
          <w:szCs w:val="24"/>
        </w:rPr>
        <w:t xml:space="preserve">It is common in a resignation agreement to remove investigative documents from a personnel file, but Court may later require disclosure under state public records statute. </w:t>
      </w:r>
    </w:p>
    <w:p w14:paraId="3B1E3516" w14:textId="77777777" w:rsidR="00F91F9F" w:rsidRDefault="00F91F9F" w:rsidP="00F91F9F">
      <w:pPr>
        <w:ind w:left="720"/>
        <w:rPr>
          <w:rFonts w:ascii="Times New Roman" w:hAnsi="Times New Roman"/>
          <w:sz w:val="24"/>
          <w:szCs w:val="24"/>
        </w:rPr>
      </w:pPr>
      <w:r w:rsidRPr="00AB7992">
        <w:rPr>
          <w:rFonts w:ascii="Times New Roman" w:hAnsi="Times New Roman"/>
          <w:sz w:val="24"/>
          <w:szCs w:val="24"/>
        </w:rPr>
        <w:lastRenderedPageBreak/>
        <w:t xml:space="preserve">Note: </w:t>
      </w:r>
      <w:r>
        <w:rPr>
          <w:rFonts w:ascii="Times New Roman" w:hAnsi="Times New Roman"/>
          <w:sz w:val="24"/>
          <w:szCs w:val="24"/>
        </w:rPr>
        <w:t xml:space="preserve">Justice Hantz Marconi concurred </w:t>
      </w:r>
      <w:proofErr w:type="gramStart"/>
      <w:r>
        <w:rPr>
          <w:rFonts w:ascii="Times New Roman" w:hAnsi="Times New Roman"/>
          <w:sz w:val="24"/>
          <w:szCs w:val="24"/>
        </w:rPr>
        <w:t>in</w:t>
      </w:r>
      <w:proofErr w:type="gramEnd"/>
      <w:r>
        <w:rPr>
          <w:rFonts w:ascii="Times New Roman" w:hAnsi="Times New Roman"/>
          <w:sz w:val="24"/>
          <w:szCs w:val="24"/>
        </w:rPr>
        <w:t xml:space="preserve"> the decision, but wrote a Concurring Opinion where he stated:</w:t>
      </w:r>
    </w:p>
    <w:p w14:paraId="10E770E0" w14:textId="77777777" w:rsidR="00F91F9F" w:rsidRPr="00597B2D" w:rsidRDefault="00F91F9F" w:rsidP="00F91F9F">
      <w:pPr>
        <w:pStyle w:val="NoSpacing"/>
        <w:ind w:left="720" w:firstLine="720"/>
        <w:rPr>
          <w:rFonts w:ascii="Times New Roman" w:hAnsi="Times New Roman"/>
          <w:sz w:val="24"/>
          <w:szCs w:val="24"/>
        </w:rPr>
      </w:pPr>
      <w:r>
        <w:rPr>
          <w:rFonts w:ascii="Times New Roman" w:hAnsi="Times New Roman"/>
          <w:sz w:val="24"/>
          <w:szCs w:val="24"/>
        </w:rPr>
        <w:t>“</w:t>
      </w:r>
      <w:r w:rsidRPr="00597B2D">
        <w:rPr>
          <w:rFonts w:ascii="Times New Roman" w:hAnsi="Times New Roman"/>
          <w:sz w:val="24"/>
          <w:szCs w:val="24"/>
        </w:rPr>
        <w:t>I am concerned that the majority’s opinion takes an incremental</w:t>
      </w:r>
    </w:p>
    <w:p w14:paraId="19E1F9B9"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step, under the facts of this case, to preclude the use of confidential</w:t>
      </w:r>
    </w:p>
    <w:p w14:paraId="0D35F877"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settlements by governmental entities. Such agreements can serve an</w:t>
      </w:r>
    </w:p>
    <w:p w14:paraId="6A89A0EE"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important purpose, and our developing RSA 91-A jurisprudence, along with</w:t>
      </w:r>
    </w:p>
    <w:p w14:paraId="3CEFB10A"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other record retention policies, may reduce or eliminate the availability of this</w:t>
      </w:r>
    </w:p>
    <w:p w14:paraId="526799A9"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device. Restrictions on confidential settlement agreements with respect to</w:t>
      </w:r>
    </w:p>
    <w:p w14:paraId="6B7EB7BE"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public employees, and in particular, law enforcement officers, raise policy</w:t>
      </w:r>
    </w:p>
    <w:p w14:paraId="775BDB92" w14:textId="77777777" w:rsidR="00F91F9F" w:rsidRPr="00597B2D" w:rsidRDefault="00F91F9F" w:rsidP="00F91F9F">
      <w:pPr>
        <w:pStyle w:val="NoSpacing"/>
        <w:ind w:left="1440"/>
        <w:rPr>
          <w:rFonts w:ascii="Times New Roman" w:hAnsi="Times New Roman"/>
          <w:sz w:val="24"/>
          <w:szCs w:val="24"/>
        </w:rPr>
      </w:pPr>
      <w:r w:rsidRPr="00597B2D">
        <w:rPr>
          <w:rFonts w:ascii="Times New Roman" w:hAnsi="Times New Roman"/>
          <w:sz w:val="24"/>
          <w:szCs w:val="24"/>
        </w:rPr>
        <w:t>considerations beyond the outcome of this case.</w:t>
      </w:r>
      <w:r>
        <w:rPr>
          <w:rFonts w:ascii="Times New Roman" w:hAnsi="Times New Roman"/>
          <w:sz w:val="24"/>
          <w:szCs w:val="24"/>
        </w:rPr>
        <w:t xml:space="preserve">” </w:t>
      </w:r>
      <w:hyperlink r:id="rId2498" w:history="1">
        <w:r w:rsidRPr="0090046C">
          <w:rPr>
            <w:rStyle w:val="Hyperlink"/>
            <w:rFonts w:ascii="Times New Roman" w:hAnsi="Times New Roman"/>
            <w:sz w:val="24"/>
            <w:szCs w:val="24"/>
          </w:rPr>
          <w:t>https://www.courts.nh.gov/sites/g/files/ehbemt471/files/documents/2024-03/20230083stone.pdf</w:t>
        </w:r>
      </w:hyperlink>
      <w:r>
        <w:rPr>
          <w:rFonts w:ascii="Times New Roman" w:hAnsi="Times New Roman"/>
          <w:sz w:val="24"/>
          <w:szCs w:val="24"/>
        </w:rPr>
        <w:t xml:space="preserve"> </w:t>
      </w:r>
    </w:p>
    <w:p w14:paraId="1A037171" w14:textId="77777777" w:rsidR="00F91F9F" w:rsidRDefault="00F91F9F" w:rsidP="00F91F9F">
      <w:pPr>
        <w:ind w:left="720"/>
        <w:rPr>
          <w:rFonts w:ascii="Times New Roman" w:hAnsi="Times New Roman"/>
          <w:sz w:val="24"/>
          <w:szCs w:val="24"/>
        </w:rPr>
      </w:pPr>
    </w:p>
    <w:p w14:paraId="1123CA34" w14:textId="77777777" w:rsidR="00F91F9F" w:rsidRPr="00AB7992" w:rsidRDefault="00F91F9F" w:rsidP="00F91F9F">
      <w:pPr>
        <w:ind w:left="1440"/>
        <w:rPr>
          <w:rFonts w:ascii="Times New Roman" w:hAnsi="Times New Roman"/>
          <w:sz w:val="24"/>
          <w:szCs w:val="24"/>
        </w:rPr>
      </w:pPr>
      <w:r w:rsidRPr="00AB7992">
        <w:rPr>
          <w:rFonts w:ascii="Times New Roman" w:hAnsi="Times New Roman"/>
          <w:sz w:val="24"/>
          <w:szCs w:val="24"/>
        </w:rPr>
        <w:t xml:space="preserve">See March 20, </w:t>
      </w:r>
      <w:proofErr w:type="gramStart"/>
      <w:r w:rsidRPr="00AB7992">
        <w:rPr>
          <w:rFonts w:ascii="Times New Roman" w:hAnsi="Times New Roman"/>
          <w:sz w:val="24"/>
          <w:szCs w:val="24"/>
        </w:rPr>
        <w:t>2024</w:t>
      </w:r>
      <w:proofErr w:type="gramEnd"/>
      <w:r w:rsidRPr="00AB7992">
        <w:rPr>
          <w:rFonts w:ascii="Times New Roman" w:hAnsi="Times New Roman"/>
          <w:sz w:val="24"/>
          <w:szCs w:val="24"/>
        </w:rPr>
        <w:t xml:space="preserve"> article, “Court denies ex-officer’s attempt to block records’ release.” </w:t>
      </w:r>
      <w:hyperlink r:id="rId2499" w:history="1">
        <w:r w:rsidRPr="0090046C">
          <w:rPr>
            <w:rStyle w:val="Hyperlink"/>
            <w:rFonts w:ascii="Times New Roman" w:hAnsi="Times New Roman"/>
            <w:sz w:val="24"/>
            <w:szCs w:val="24"/>
          </w:rPr>
          <w:t>https://www.vnews.com/Jonathan-Stone-loses-his-appeal-to-state-supreme-court-to-keep-personnel-records-private-54453646</w:t>
        </w:r>
      </w:hyperlink>
      <w:r>
        <w:rPr>
          <w:rFonts w:ascii="Times New Roman" w:hAnsi="Times New Roman"/>
          <w:sz w:val="24"/>
          <w:szCs w:val="24"/>
        </w:rPr>
        <w:t xml:space="preserve"> </w:t>
      </w:r>
    </w:p>
    <w:p w14:paraId="2510F1AD" w14:textId="77777777" w:rsidR="00F91F9F" w:rsidRDefault="00F91F9F" w:rsidP="00F91F9F">
      <w:pPr>
        <w:pStyle w:val="NormalWeb"/>
        <w:spacing w:before="0" w:beforeAutospacing="0"/>
        <w:ind w:left="1440"/>
      </w:pPr>
      <w:r>
        <w:t>“In a decision that could ripple across the law enforcement community around the state, the New Hampshire Supreme Court has ruled that a former Claremont officer and current state legislator’s disciplinary records relating to his time as a police officer for the city can be released to the public.”</w:t>
      </w:r>
    </w:p>
    <w:p w14:paraId="161449F3" w14:textId="77777777" w:rsidR="00F91F9F" w:rsidRDefault="00F91F9F" w:rsidP="00F91F9F">
      <w:pPr>
        <w:pStyle w:val="Heading1"/>
        <w:ind w:left="1440"/>
        <w:rPr>
          <w:sz w:val="24"/>
          <w:szCs w:val="24"/>
        </w:rPr>
      </w:pPr>
      <w:r w:rsidRPr="00EE2C86">
        <w:rPr>
          <w:sz w:val="24"/>
          <w:szCs w:val="24"/>
        </w:rPr>
        <w:t xml:space="preserve">See also Nov. 14, </w:t>
      </w:r>
      <w:proofErr w:type="gramStart"/>
      <w:r w:rsidRPr="00EE2C86">
        <w:rPr>
          <w:sz w:val="24"/>
          <w:szCs w:val="24"/>
        </w:rPr>
        <w:t>2023</w:t>
      </w:r>
      <w:proofErr w:type="gramEnd"/>
      <w:r w:rsidRPr="00EE2C86">
        <w:rPr>
          <w:sz w:val="24"/>
          <w:szCs w:val="24"/>
        </w:rPr>
        <w:t xml:space="preserve"> article, “Rep. Jon Stone’s Records </w:t>
      </w:r>
      <w:proofErr w:type="gramStart"/>
      <w:r w:rsidRPr="00EE2C86">
        <w:rPr>
          <w:sz w:val="24"/>
          <w:szCs w:val="24"/>
        </w:rPr>
        <w:t>As</w:t>
      </w:r>
      <w:proofErr w:type="gramEnd"/>
      <w:r w:rsidRPr="00EE2C86">
        <w:rPr>
          <w:sz w:val="24"/>
          <w:szCs w:val="24"/>
        </w:rPr>
        <w:t xml:space="preserve"> a Cop Are Humiliating, Lawyer Tells NH Supreme Court.”</w:t>
      </w:r>
      <w:r>
        <w:rPr>
          <w:sz w:val="24"/>
          <w:szCs w:val="24"/>
        </w:rPr>
        <w:t xml:space="preserve"> </w:t>
      </w:r>
      <w:hyperlink r:id="rId2500" w:history="1">
        <w:r w:rsidRPr="0090046C">
          <w:rPr>
            <w:rStyle w:val="Hyperlink"/>
            <w:sz w:val="24"/>
            <w:szCs w:val="24"/>
          </w:rPr>
          <w:t>https://indepthnh.org/2023/11/14/rep-jon-stones-records-as-a-cop-are-humiliating-lawyer-tells-nh-supreme-court/</w:t>
        </w:r>
      </w:hyperlink>
      <w:r>
        <w:rPr>
          <w:sz w:val="24"/>
          <w:szCs w:val="24"/>
        </w:rPr>
        <w:t xml:space="preserve"> </w:t>
      </w:r>
    </w:p>
    <w:p w14:paraId="2365A96C" w14:textId="77777777" w:rsidR="00F91F9F" w:rsidRDefault="00F91F9F" w:rsidP="00F91F9F">
      <w:pPr>
        <w:pStyle w:val="NormalWeb"/>
        <w:ind w:left="1440"/>
      </w:pPr>
      <w:r>
        <w:t>“Whatever is in the Claremont Police Department’s internal affairs records that state Rep. Jon Stone is trying to hide from the public, it’s bad, his lawyer told the New Hampshire Supreme Court on Tuesday.  ‘It will embarrass and humiliate my client, and it will embarrass and humiliate multiple people in the city of Claremont,</w:t>
      </w:r>
      <w:proofErr w:type="gramStart"/>
      <w:r>
        <w:t>’ attorney Peter DeCato said</w:t>
      </w:r>
      <w:proofErr w:type="gramEnd"/>
      <w:r>
        <w:t>. *** After Stone left the department, then Police Chief Alex Scott would subsequently file a Form B with the New Hampshire Police Standards and Training Council informing the council Stone was terminated for reasons of moral turpitude.”</w:t>
      </w:r>
    </w:p>
    <w:p w14:paraId="0E216C47"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3343A3AE"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44EB136A"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38FD1E4C" w14:textId="581332B8" w:rsidR="00F91F9F" w:rsidRDefault="00F91F9F" w:rsidP="00F91F9F">
      <w:pPr>
        <w:pStyle w:val="NoSpacing"/>
        <w:rPr>
          <w:rFonts w:ascii="Arial Black" w:hAnsi="Arial Black"/>
          <w:sz w:val="24"/>
          <w:szCs w:val="24"/>
        </w:rPr>
      </w:pPr>
      <w:r>
        <w:rPr>
          <w:rFonts w:ascii="Arial Black" w:hAnsi="Arial Black"/>
          <w:sz w:val="24"/>
          <w:szCs w:val="24"/>
        </w:rPr>
        <w:t>16-106</w:t>
      </w:r>
    </w:p>
    <w:p w14:paraId="11B4A05B" w14:textId="4FE9DF47" w:rsidR="00F91F9F" w:rsidRPr="004B4468" w:rsidRDefault="00F91F9F" w:rsidP="00F91F9F">
      <w:pPr>
        <w:spacing w:before="100" w:beforeAutospacing="1" w:after="100" w:afterAutospacing="1" w:line="240" w:lineRule="auto"/>
        <w:outlineLvl w:val="0"/>
        <w:rPr>
          <w:rFonts w:ascii="Arial Black" w:hAnsi="Arial Black"/>
          <w:sz w:val="28"/>
          <w:szCs w:val="28"/>
        </w:rPr>
      </w:pPr>
      <w:r>
        <w:rPr>
          <w:rFonts w:ascii="Arial Black" w:hAnsi="Arial Black"/>
          <w:sz w:val="28"/>
          <w:szCs w:val="28"/>
        </w:rPr>
        <w:t xml:space="preserve">WI: CIVIL UNREST – FF ORDERED TO EVACUATE STATION TO ANOTHER STATION – SAYS MIGHT “LAY UP” – FIRED </w:t>
      </w:r>
    </w:p>
    <w:p w14:paraId="59788AD7" w14:textId="77777777" w:rsidR="00F91F9F" w:rsidRDefault="00F91F9F" w:rsidP="00F91F9F">
      <w:pPr>
        <w:spacing w:before="100" w:beforeAutospacing="1" w:after="100" w:afterAutospacing="1" w:line="240" w:lineRule="auto"/>
        <w:outlineLvl w:val="0"/>
        <w:rPr>
          <w:rFonts w:ascii="Times New Roman" w:hAnsi="Times New Roman"/>
          <w:sz w:val="24"/>
          <w:szCs w:val="24"/>
        </w:rPr>
      </w:pPr>
      <w:proofErr w:type="gramStart"/>
      <w:r>
        <w:rPr>
          <w:rFonts w:ascii="Times New Roman" w:hAnsi="Times New Roman"/>
          <w:sz w:val="24"/>
          <w:szCs w:val="24"/>
        </w:rPr>
        <w:t>On March</w:t>
      </w:r>
      <w:proofErr w:type="gramEnd"/>
      <w:r>
        <w:rPr>
          <w:rFonts w:ascii="Times New Roman" w:hAnsi="Times New Roman"/>
          <w:sz w:val="24"/>
          <w:szCs w:val="24"/>
        </w:rPr>
        <w:t xml:space="preserve"> 5, 2024, </w:t>
      </w:r>
      <w:r w:rsidRPr="00577C94">
        <w:rPr>
          <w:rFonts w:ascii="Times New Roman" w:hAnsi="Times New Roman"/>
          <w:sz w:val="24"/>
          <w:szCs w:val="24"/>
          <w:u w:val="single"/>
        </w:rPr>
        <w:t>in Michael. S. Peden v. City of Milwaukee Board of Fire and Police Commissioners</w:t>
      </w:r>
      <w:r>
        <w:rPr>
          <w:rFonts w:ascii="Times New Roman" w:hAnsi="Times New Roman"/>
          <w:sz w:val="24"/>
          <w:szCs w:val="24"/>
        </w:rPr>
        <w:t xml:space="preserve">, the Court of Appeals of Wisconsin, District I, held (3 to 0; unpublished decision) that the Board properly upheld the termination after a fair hearing. </w:t>
      </w:r>
      <w:r w:rsidRPr="006D4804">
        <w:rPr>
          <w:rFonts w:ascii="Times New Roman" w:hAnsi="Times New Roman"/>
          <w:sz w:val="24"/>
          <w:szCs w:val="24"/>
        </w:rPr>
        <w:t>Peden explained that he believed that</w:t>
      </w:r>
      <w:r>
        <w:rPr>
          <w:rFonts w:ascii="Times New Roman" w:hAnsi="Times New Roman"/>
          <w:sz w:val="24"/>
          <w:szCs w:val="24"/>
        </w:rPr>
        <w:t xml:space="preserve"> another firefighter</w:t>
      </w:r>
      <w:r w:rsidRPr="006D4804">
        <w:rPr>
          <w:rFonts w:ascii="Times New Roman" w:hAnsi="Times New Roman"/>
          <w:sz w:val="24"/>
          <w:szCs w:val="24"/>
        </w:rPr>
        <w:t>, who had allegedly framed him in a past sexual assault case, was scheduled to be working at the other station</w:t>
      </w:r>
      <w:r>
        <w:rPr>
          <w:rFonts w:ascii="Times New Roman" w:hAnsi="Times New Roman"/>
          <w:sz w:val="24"/>
          <w:szCs w:val="24"/>
        </w:rPr>
        <w:t xml:space="preserve">; he never claimed he was actual ill. </w:t>
      </w:r>
    </w:p>
    <w:p w14:paraId="23D7E072" w14:textId="77777777" w:rsidR="004305B6" w:rsidRPr="004C0299" w:rsidRDefault="004305B6" w:rsidP="004305B6">
      <w:pPr>
        <w:pStyle w:val="NoSpacing"/>
        <w:rPr>
          <w:rFonts w:ascii="Times New Roman" w:hAnsi="Times New Roman"/>
          <w:sz w:val="24"/>
          <w:szCs w:val="24"/>
        </w:rPr>
      </w:pPr>
      <w:r>
        <w:rPr>
          <w:rFonts w:ascii="Times New Roman" w:hAnsi="Times New Roman"/>
          <w:sz w:val="24"/>
          <w:szCs w:val="24"/>
          <w:shd w:val="clear" w:color="auto" w:fill="FFFFFF"/>
        </w:rPr>
        <w:lastRenderedPageBreak/>
        <w:t>THE COURT HELD:</w:t>
      </w:r>
    </w:p>
    <w:p w14:paraId="00733466" w14:textId="77777777" w:rsidR="00F91F9F" w:rsidRPr="00792421" w:rsidRDefault="00F91F9F" w:rsidP="00F91F9F">
      <w:pPr>
        <w:spacing w:before="100" w:beforeAutospacing="1" w:after="100" w:afterAutospacing="1" w:line="240" w:lineRule="auto"/>
        <w:ind w:left="720"/>
        <w:outlineLvl w:val="0"/>
        <w:rPr>
          <w:rFonts w:ascii="Times New Roman" w:hAnsi="Times New Roman"/>
          <w:sz w:val="24"/>
          <w:szCs w:val="24"/>
        </w:rPr>
      </w:pPr>
      <w:r>
        <w:t>“</w:t>
      </w:r>
      <w:r w:rsidRPr="00792421">
        <w:rPr>
          <w:rFonts w:ascii="Times New Roman" w:hAnsi="Times New Roman"/>
          <w:sz w:val="24"/>
          <w:szCs w:val="24"/>
        </w:rPr>
        <w:t>The Board heard testimony from multiple witnesses, including Assistant Chief Aaron Lipski, Peden, Rebecca Coffee-Peden's former defense attorney who represented him in the sexual assault case-and psychotherapist Jay Schrinsky, who opined that Peden suffers from posttraumatic stress disorder (PTSD) stemming from the sexual assault case. The Board unanimously concluded that Peden should be terminated.</w:t>
      </w:r>
    </w:p>
    <w:p w14:paraId="5EADDBCF" w14:textId="77777777" w:rsidR="00F91F9F" w:rsidRDefault="00F91F9F" w:rsidP="00F91F9F">
      <w:pPr>
        <w:pStyle w:val="NormalWeb"/>
        <w:ind w:left="720"/>
      </w:pPr>
      <w:r>
        <w:t>***</w:t>
      </w:r>
    </w:p>
    <w:p w14:paraId="4ED67B3A" w14:textId="77777777" w:rsidR="00F91F9F" w:rsidRDefault="00F91F9F" w:rsidP="00F91F9F">
      <w:pPr>
        <w:pStyle w:val="NormalWeb"/>
        <w:ind w:left="720"/>
      </w:pPr>
      <w:r>
        <w:t>In this case, Peden was terminated for his refusal to comply with a direct order to transfer to a different station for the duration of his shift during civil unrest. As the City argued in closing at the administrative hearing, ‘[t]his case boils down to was [Peden] given a direct order? Was he capable of following that direct order? Did he choose not to follow that direct order?’ The circumstances surrounding the sexual assault case against Peden were not relevant.</w:t>
      </w:r>
    </w:p>
    <w:p w14:paraId="15423C03" w14:textId="77777777" w:rsidR="00F91F9F" w:rsidRDefault="00F91F9F" w:rsidP="00F91F9F">
      <w:pPr>
        <w:pStyle w:val="NormalWeb"/>
        <w:ind w:left="720"/>
      </w:pPr>
      <w:r>
        <w:t>***</w:t>
      </w:r>
    </w:p>
    <w:p w14:paraId="2904EDB2" w14:textId="77777777" w:rsidR="00F91F9F" w:rsidRDefault="00F91F9F" w:rsidP="00F91F9F">
      <w:pPr>
        <w:pStyle w:val="NormalWeb"/>
        <w:ind w:left="720"/>
      </w:pPr>
      <w:r w:rsidRPr="00DC5CF1">
        <w:t>Footnote 1:  In 2017, Peden was charged with second-degree sexual assault of another firefighter, Aleah Ellis. Jason Strzelecki, also a firefighter and Ellis's then-boyfriend, was interviewed in the investigation. In 2019, the criminal case was dismissed.</w:t>
      </w:r>
      <w:r>
        <w:t xml:space="preserve">”  </w:t>
      </w:r>
      <w:hyperlink r:id="rId2501" w:history="1">
        <w:r w:rsidRPr="0090149E">
          <w:rPr>
            <w:rStyle w:val="Hyperlink"/>
          </w:rPr>
          <w:t>https://public.fastcase.com/H1P9uiW3J20SFp%2BGCG%2BxLYnumIVIfsGACQtvjphi2XY03JuMe7fj8LYdA6mgqlK3BbmtQ%2FoJ5o3JnUu66xez4U0Yi6wQOqSsnYT7%2FU1%2BNuI%3D?utm_medium=email&amp;_hsmi=226712652&amp;_hsenc=p2ANqtz-_mOZCnm_LbXEmI1zB76drE4EDUF13YglxTvTeEnBHhjbPE-34_IMopnnbUF8mE8HxS5G0Ftb4dM_ZSxt2dhhqJsyxB9A&amp;utm_content=226712652&amp;utm_source=hs_email</w:t>
        </w:r>
      </w:hyperlink>
      <w:r>
        <w:t xml:space="preserve"> </w:t>
      </w:r>
    </w:p>
    <w:p w14:paraId="63E9E340" w14:textId="77777777" w:rsidR="00F91F9F" w:rsidRDefault="00F91F9F" w:rsidP="00F91F9F">
      <w:pPr>
        <w:spacing w:before="100" w:beforeAutospacing="1" w:after="100" w:afterAutospacing="1" w:line="240" w:lineRule="auto"/>
        <w:outlineLvl w:val="0"/>
        <w:rPr>
          <w:rFonts w:ascii="Times New Roman" w:hAnsi="Times New Roman"/>
          <w:b/>
          <w:bCs/>
          <w:sz w:val="24"/>
          <w:szCs w:val="24"/>
        </w:rPr>
      </w:pPr>
      <w:r w:rsidRPr="00122C10">
        <w:rPr>
          <w:rFonts w:ascii="Times New Roman" w:hAnsi="Times New Roman"/>
          <w:b/>
          <w:bCs/>
          <w:sz w:val="24"/>
          <w:szCs w:val="24"/>
        </w:rPr>
        <w:t>Legal Lesson Learned:</w:t>
      </w:r>
      <w:r>
        <w:rPr>
          <w:rFonts w:ascii="Times New Roman" w:hAnsi="Times New Roman"/>
          <w:b/>
          <w:bCs/>
          <w:sz w:val="24"/>
          <w:szCs w:val="24"/>
        </w:rPr>
        <w:t xml:space="preserve"> Violating a direct order can be basis for termination, particularly in a period of civil unrest where fire stations were being evacuated to protect the firefighters. </w:t>
      </w:r>
    </w:p>
    <w:p w14:paraId="0C2612DC" w14:textId="77777777" w:rsidR="00F91F9F" w:rsidRDefault="00F91F9F" w:rsidP="00F326E5">
      <w:pPr>
        <w:pStyle w:val="NoSpacing"/>
        <w:rPr>
          <w:rFonts w:ascii="Arial Black" w:hAnsi="Arial Black"/>
          <w:sz w:val="24"/>
          <w:szCs w:val="24"/>
        </w:rPr>
      </w:pPr>
    </w:p>
    <w:p w14:paraId="530D1534" w14:textId="77777777" w:rsidR="00F91F9F" w:rsidRDefault="00F91F9F" w:rsidP="00F326E5">
      <w:pPr>
        <w:pStyle w:val="NoSpacing"/>
        <w:rPr>
          <w:rFonts w:ascii="Arial Black" w:hAnsi="Arial Black"/>
          <w:sz w:val="24"/>
          <w:szCs w:val="24"/>
        </w:rPr>
      </w:pPr>
    </w:p>
    <w:p w14:paraId="0BA43EA7" w14:textId="77777777" w:rsidR="00F91F9F" w:rsidRDefault="00F91F9F" w:rsidP="00F326E5">
      <w:pPr>
        <w:pStyle w:val="NoSpacing"/>
        <w:rPr>
          <w:rFonts w:ascii="Arial Black" w:hAnsi="Arial Black"/>
          <w:sz w:val="24"/>
          <w:szCs w:val="24"/>
        </w:rPr>
      </w:pPr>
    </w:p>
    <w:p w14:paraId="377CCFDE" w14:textId="77777777" w:rsidR="00F91F9F" w:rsidRDefault="00F91F9F" w:rsidP="00F326E5">
      <w:pPr>
        <w:pStyle w:val="NoSpacing"/>
        <w:rPr>
          <w:rFonts w:ascii="Arial Black" w:hAnsi="Arial Black"/>
          <w:sz w:val="24"/>
          <w:szCs w:val="24"/>
        </w:rPr>
      </w:pPr>
    </w:p>
    <w:p w14:paraId="552C734D" w14:textId="37043548" w:rsidR="00D1090F" w:rsidRDefault="00D1090F" w:rsidP="00F326E5">
      <w:pPr>
        <w:pStyle w:val="NoSpacing"/>
        <w:rPr>
          <w:rFonts w:ascii="Arial Black" w:hAnsi="Arial Black"/>
          <w:sz w:val="24"/>
          <w:szCs w:val="24"/>
        </w:rPr>
      </w:pPr>
      <w:r>
        <w:rPr>
          <w:rFonts w:ascii="Arial Black" w:hAnsi="Arial Black"/>
          <w:sz w:val="24"/>
          <w:szCs w:val="24"/>
        </w:rPr>
        <w:t>16-105</w:t>
      </w:r>
    </w:p>
    <w:p w14:paraId="000C4F3D" w14:textId="77777777" w:rsidR="006E77A8" w:rsidRPr="00D26276" w:rsidRDefault="006E77A8" w:rsidP="006E77A8">
      <w:pPr>
        <w:spacing w:before="100" w:beforeAutospacing="1" w:after="100" w:afterAutospacing="1"/>
        <w:outlineLvl w:val="0"/>
        <w:rPr>
          <w:rFonts w:ascii="Arial Black" w:eastAsia="Times New Roman" w:hAnsi="Arial Black"/>
          <w:b/>
          <w:bCs/>
          <w:kern w:val="36"/>
          <w:sz w:val="28"/>
          <w:szCs w:val="28"/>
        </w:rPr>
      </w:pPr>
      <w:r>
        <w:rPr>
          <w:rFonts w:ascii="Arial Black" w:eastAsia="Times New Roman" w:hAnsi="Arial Black"/>
          <w:b/>
          <w:bCs/>
          <w:kern w:val="36"/>
          <w:sz w:val="28"/>
          <w:szCs w:val="28"/>
        </w:rPr>
        <w:t>OH: CINCINNATI FIRE CHIEF WAS FIRED – NOT “AT WILL” AFTER 6 MO. PROB. - ONLY “FOR CAUSE” – CASE PROCEED</w:t>
      </w:r>
    </w:p>
    <w:p w14:paraId="7348841D" w14:textId="77777777" w:rsidR="006E77A8" w:rsidRDefault="006E77A8" w:rsidP="006E77A8">
      <w:pPr>
        <w:pStyle w:val="NoSpacing"/>
        <w:rPr>
          <w:rFonts w:ascii="Times New Roman" w:hAnsi="Times New Roman"/>
          <w:sz w:val="24"/>
          <w:szCs w:val="24"/>
        </w:rPr>
      </w:pPr>
      <w:r>
        <w:rPr>
          <w:rFonts w:ascii="Times New Roman" w:hAnsi="Times New Roman"/>
          <w:sz w:val="24"/>
          <w:szCs w:val="24"/>
        </w:rPr>
        <w:t xml:space="preserve">On Feb. 7, 2023, in </w:t>
      </w:r>
      <w:r w:rsidRPr="00DC5906">
        <w:rPr>
          <w:rFonts w:ascii="Times New Roman" w:hAnsi="Times New Roman"/>
          <w:sz w:val="24"/>
          <w:szCs w:val="24"/>
          <w:u w:val="single"/>
        </w:rPr>
        <w:t>Michael Washington v. City of Cincinnati and Sheryl Long</w:t>
      </w:r>
      <w:r>
        <w:rPr>
          <w:rFonts w:ascii="Times New Roman" w:hAnsi="Times New Roman"/>
          <w:sz w:val="24"/>
          <w:szCs w:val="24"/>
        </w:rPr>
        <w:t>, U.S. District Court Judge Douglas R. Cole, U.S. District Court for Southern District of Ohio (Western Division) denied Citty’s motion for dismissal; finding that “</w:t>
      </w:r>
      <w:r w:rsidRPr="00945D7C">
        <w:rPr>
          <w:rFonts w:ascii="Times New Roman" w:hAnsi="Times New Roman"/>
          <w:sz w:val="24"/>
          <w:szCs w:val="24"/>
        </w:rPr>
        <w:t>Washington has validly pleaded claims for state and federal due process</w:t>
      </w:r>
      <w:r>
        <w:rPr>
          <w:rFonts w:ascii="Times New Roman" w:hAnsi="Times New Roman"/>
          <w:sz w:val="24"/>
          <w:szCs w:val="24"/>
        </w:rPr>
        <w:t xml:space="preserve"> </w:t>
      </w:r>
      <w:r w:rsidRPr="00945D7C">
        <w:rPr>
          <w:rFonts w:ascii="Times New Roman" w:hAnsi="Times New Roman"/>
          <w:sz w:val="24"/>
          <w:szCs w:val="24"/>
        </w:rPr>
        <w:t>violations, defamation, and entitlement to declaratory relief. Furthermore, based on</w:t>
      </w:r>
      <w:r>
        <w:rPr>
          <w:rFonts w:ascii="Times New Roman" w:hAnsi="Times New Roman"/>
          <w:sz w:val="24"/>
          <w:szCs w:val="24"/>
        </w:rPr>
        <w:t xml:space="preserve"> </w:t>
      </w:r>
      <w:r w:rsidRPr="00945D7C">
        <w:rPr>
          <w:rFonts w:ascii="Times New Roman" w:hAnsi="Times New Roman"/>
          <w:sz w:val="24"/>
          <w:szCs w:val="24"/>
        </w:rPr>
        <w:t xml:space="preserve">the allegations in the Amended Complaint, </w:t>
      </w:r>
      <w:r>
        <w:rPr>
          <w:rFonts w:ascii="Times New Roman" w:hAnsi="Times New Roman"/>
          <w:sz w:val="24"/>
          <w:szCs w:val="24"/>
        </w:rPr>
        <w:t>[City Mgr.]</w:t>
      </w:r>
      <w:r w:rsidRPr="00945D7C">
        <w:rPr>
          <w:rFonts w:ascii="Times New Roman" w:hAnsi="Times New Roman"/>
          <w:sz w:val="24"/>
          <w:szCs w:val="24"/>
        </w:rPr>
        <w:t>Long cannot rely on either qualified or</w:t>
      </w:r>
      <w:r>
        <w:rPr>
          <w:rFonts w:ascii="Times New Roman" w:hAnsi="Times New Roman"/>
          <w:sz w:val="24"/>
          <w:szCs w:val="24"/>
        </w:rPr>
        <w:t xml:space="preserve"> </w:t>
      </w:r>
      <w:r w:rsidRPr="00945D7C">
        <w:rPr>
          <w:rFonts w:ascii="Times New Roman" w:hAnsi="Times New Roman"/>
          <w:sz w:val="24"/>
          <w:szCs w:val="24"/>
        </w:rPr>
        <w:t>state-law immunity to extinguish the individual-capacity claims against her.</w:t>
      </w:r>
      <w:r>
        <w:rPr>
          <w:rFonts w:ascii="Times New Roman" w:hAnsi="Times New Roman"/>
          <w:sz w:val="24"/>
          <w:szCs w:val="24"/>
        </w:rPr>
        <w:t xml:space="preserve">” </w:t>
      </w:r>
    </w:p>
    <w:p w14:paraId="40014C24" w14:textId="77777777" w:rsidR="006E77A8" w:rsidRDefault="006E77A8" w:rsidP="006E77A8">
      <w:pPr>
        <w:pStyle w:val="NoSpacing"/>
        <w:rPr>
          <w:rFonts w:ascii="Times New Roman" w:hAnsi="Times New Roman"/>
          <w:sz w:val="24"/>
          <w:szCs w:val="24"/>
        </w:rPr>
      </w:pPr>
    </w:p>
    <w:p w14:paraId="0CD2CF15" w14:textId="77777777" w:rsidR="006E77A8" w:rsidRDefault="006E77A8" w:rsidP="006E77A8">
      <w:pPr>
        <w:pStyle w:val="NoSpacing"/>
        <w:rPr>
          <w:rFonts w:ascii="Times New Roman" w:hAnsi="Times New Roman"/>
          <w:sz w:val="24"/>
          <w:szCs w:val="24"/>
        </w:rPr>
      </w:pPr>
      <w:r>
        <w:rPr>
          <w:rFonts w:ascii="Times New Roman" w:hAnsi="Times New Roman"/>
          <w:sz w:val="24"/>
          <w:szCs w:val="24"/>
        </w:rPr>
        <w:t>The Court held:</w:t>
      </w:r>
    </w:p>
    <w:p w14:paraId="0E5F0F7B" w14:textId="77777777" w:rsidR="006E77A8" w:rsidRDefault="006E77A8" w:rsidP="006E77A8">
      <w:pPr>
        <w:pStyle w:val="NoSpacing"/>
        <w:ind w:firstLine="720"/>
        <w:rPr>
          <w:rFonts w:ascii="Times New Roman" w:hAnsi="Times New Roman"/>
          <w:sz w:val="24"/>
          <w:szCs w:val="24"/>
        </w:rPr>
      </w:pPr>
    </w:p>
    <w:p w14:paraId="6FE193A8" w14:textId="77777777" w:rsidR="006E77A8" w:rsidRPr="00D26276" w:rsidRDefault="006E77A8" w:rsidP="006E77A8">
      <w:pPr>
        <w:pStyle w:val="NoSpacing"/>
        <w:ind w:firstLine="720"/>
        <w:rPr>
          <w:rFonts w:ascii="Times New Roman" w:hAnsi="Times New Roman"/>
          <w:sz w:val="24"/>
          <w:szCs w:val="24"/>
        </w:rPr>
      </w:pPr>
      <w:r>
        <w:rPr>
          <w:rFonts w:ascii="Times New Roman" w:hAnsi="Times New Roman"/>
          <w:sz w:val="24"/>
          <w:szCs w:val="24"/>
        </w:rPr>
        <w:lastRenderedPageBreak/>
        <w:t>“</w:t>
      </w:r>
      <w:r w:rsidRPr="00D26276">
        <w:rPr>
          <w:rFonts w:ascii="Times New Roman" w:hAnsi="Times New Roman"/>
          <w:sz w:val="24"/>
          <w:szCs w:val="24"/>
        </w:rPr>
        <w:t>As explained further below, the Court concludes dismissal is unwarranted.</w:t>
      </w:r>
    </w:p>
    <w:p w14:paraId="3BEA9A27"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Washington has alleged a cognizable property interest in his employment under the</w:t>
      </w:r>
    </w:p>
    <w:p w14:paraId="3228A967"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City’s charter, which made him removable only “for cause.” Thus, Washington’s due</w:t>
      </w:r>
    </w:p>
    <w:p w14:paraId="5CF7A916"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process claims and attendant demand for declaratory relief premised on the due</w:t>
      </w:r>
    </w:p>
    <w:p w14:paraId="241E9493"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process violations clear the 12(b)(6) hurdle. The Amended Complaint also plausibly</w:t>
      </w:r>
    </w:p>
    <w:p w14:paraId="44368E3D"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states a claim for defamation—but Washington can proceed to the merits of this claim</w:t>
      </w:r>
    </w:p>
    <w:p w14:paraId="7BFB94E5"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 xml:space="preserve">on only two of the allegedly defamatory </w:t>
      </w:r>
      <w:proofErr w:type="gramStart"/>
      <w:r w:rsidRPr="00D26276">
        <w:rPr>
          <w:rFonts w:ascii="Times New Roman" w:hAnsi="Times New Roman"/>
          <w:sz w:val="24"/>
          <w:szCs w:val="24"/>
        </w:rPr>
        <w:t>statements</w:t>
      </w:r>
      <w:proofErr w:type="gramEnd"/>
      <w:r w:rsidRPr="00D26276">
        <w:rPr>
          <w:rFonts w:ascii="Times New Roman" w:hAnsi="Times New Roman"/>
          <w:sz w:val="24"/>
          <w:szCs w:val="24"/>
        </w:rPr>
        <w:t xml:space="preserve"> he identifies in the Amended</w:t>
      </w:r>
    </w:p>
    <w:p w14:paraId="7D8C141E"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Complaint. Finally, Long’s claims of immunity from suit in her individual capacity</w:t>
      </w:r>
    </w:p>
    <w:p w14:paraId="01ECB7B7" w14:textId="77777777" w:rsidR="006E77A8" w:rsidRPr="00D26276" w:rsidRDefault="006E77A8" w:rsidP="006E77A8">
      <w:pPr>
        <w:pStyle w:val="NoSpacing"/>
        <w:ind w:left="720"/>
        <w:rPr>
          <w:rFonts w:ascii="Times New Roman" w:hAnsi="Times New Roman"/>
          <w:sz w:val="24"/>
          <w:szCs w:val="24"/>
        </w:rPr>
      </w:pPr>
      <w:r w:rsidRPr="00D26276">
        <w:rPr>
          <w:rFonts w:ascii="Times New Roman" w:hAnsi="Times New Roman"/>
          <w:sz w:val="24"/>
          <w:szCs w:val="24"/>
        </w:rPr>
        <w:t>fall short at this stage of the litigation.</w:t>
      </w:r>
      <w:r>
        <w:rPr>
          <w:rFonts w:ascii="Times New Roman" w:hAnsi="Times New Roman"/>
          <w:sz w:val="24"/>
          <w:szCs w:val="24"/>
        </w:rPr>
        <w:t xml:space="preserve">” </w:t>
      </w:r>
      <w:hyperlink r:id="rId2502" w:history="1">
        <w:r w:rsidRPr="00216BB3">
          <w:rPr>
            <w:rStyle w:val="Hyperlink"/>
            <w:rFonts w:ascii="Times New Roman" w:hAnsi="Times New Roman"/>
            <w:sz w:val="24"/>
            <w:szCs w:val="24"/>
          </w:rPr>
          <w:t>https://cases.justia.com/federal/district-courts/ohio/ohsdce/1:2023cv00230/279336/13/0.pdf?ts=1707452867</w:t>
        </w:r>
      </w:hyperlink>
      <w:r>
        <w:rPr>
          <w:rFonts w:ascii="Times New Roman" w:hAnsi="Times New Roman"/>
          <w:sz w:val="24"/>
          <w:szCs w:val="24"/>
        </w:rPr>
        <w:t xml:space="preserve"> </w:t>
      </w:r>
    </w:p>
    <w:p w14:paraId="763C1CFC" w14:textId="77777777" w:rsidR="006E77A8" w:rsidRDefault="006E77A8" w:rsidP="006E77A8">
      <w:pPr>
        <w:pStyle w:val="NoSpacing"/>
        <w:rPr>
          <w:rFonts w:ascii="Times New Roman" w:hAnsi="Times New Roman"/>
          <w:b/>
          <w:bCs/>
          <w:sz w:val="24"/>
          <w:szCs w:val="24"/>
        </w:rPr>
      </w:pPr>
      <w:r w:rsidRPr="00BB6010">
        <w:rPr>
          <w:rFonts w:ascii="Times New Roman" w:hAnsi="Times New Roman"/>
          <w:b/>
          <w:bCs/>
          <w:sz w:val="24"/>
          <w:szCs w:val="24"/>
        </w:rPr>
        <w:t>Legal Lesson Learned:</w:t>
      </w:r>
      <w:r>
        <w:rPr>
          <w:rFonts w:ascii="Times New Roman" w:hAnsi="Times New Roman"/>
          <w:b/>
          <w:bCs/>
          <w:sz w:val="24"/>
          <w:szCs w:val="24"/>
        </w:rPr>
        <w:t xml:space="preserve"> Provide due process to Fire Chief or other senior officers, even if position is “unclassified” and not covered by civil service protection, including written notice of concerns, and then if concerns not addressed, a pre-disciplinary conference. </w:t>
      </w:r>
    </w:p>
    <w:p w14:paraId="7B30F823" w14:textId="77777777" w:rsidR="006E77A8" w:rsidRDefault="006E77A8" w:rsidP="006E77A8">
      <w:pPr>
        <w:pStyle w:val="NoSpacing"/>
        <w:rPr>
          <w:rFonts w:ascii="Times New Roman" w:hAnsi="Times New Roman"/>
          <w:b/>
          <w:bCs/>
          <w:sz w:val="24"/>
          <w:szCs w:val="24"/>
        </w:rPr>
      </w:pPr>
    </w:p>
    <w:p w14:paraId="20AC5C04" w14:textId="77777777" w:rsidR="006E77A8" w:rsidRPr="00F93B49" w:rsidRDefault="006E77A8" w:rsidP="006E77A8">
      <w:pPr>
        <w:pStyle w:val="NoSpacing"/>
        <w:rPr>
          <w:rFonts w:ascii="Times New Roman" w:hAnsi="Times New Roman"/>
          <w:sz w:val="24"/>
          <w:szCs w:val="24"/>
        </w:rPr>
      </w:pPr>
      <w:r>
        <w:rPr>
          <w:rFonts w:ascii="Times New Roman" w:hAnsi="Times New Roman"/>
          <w:b/>
          <w:bCs/>
          <w:sz w:val="24"/>
          <w:szCs w:val="24"/>
        </w:rPr>
        <w:tab/>
      </w:r>
      <w:r w:rsidRPr="00F93B49">
        <w:rPr>
          <w:rFonts w:ascii="Times New Roman" w:hAnsi="Times New Roman"/>
          <w:sz w:val="24"/>
          <w:szCs w:val="24"/>
        </w:rPr>
        <w:t>Note: The Court wrote: “And Washington alleges that he was given no pre-deprivation</w:t>
      </w:r>
    </w:p>
    <w:p w14:paraId="0F52BE54" w14:textId="77777777" w:rsidR="006E77A8" w:rsidRPr="00F93B49" w:rsidRDefault="006E77A8" w:rsidP="006E77A8">
      <w:pPr>
        <w:pStyle w:val="NoSpacing"/>
        <w:ind w:left="720"/>
        <w:rPr>
          <w:rFonts w:ascii="Times New Roman" w:hAnsi="Times New Roman"/>
          <w:sz w:val="24"/>
          <w:szCs w:val="24"/>
        </w:rPr>
      </w:pPr>
      <w:r w:rsidRPr="00F93B49">
        <w:rPr>
          <w:rFonts w:ascii="Times New Roman" w:hAnsi="Times New Roman"/>
          <w:sz w:val="24"/>
          <w:szCs w:val="24"/>
        </w:rPr>
        <w:t xml:space="preserve">notice or hearing </w:t>
      </w:r>
      <w:r>
        <w:rPr>
          <w:rFonts w:ascii="Times New Roman" w:hAnsi="Times New Roman"/>
          <w:sz w:val="24"/>
          <w:szCs w:val="24"/>
        </w:rPr>
        <w:t xml:space="preserve"> - </w:t>
      </w:r>
      <w:r w:rsidRPr="00F93B49">
        <w:rPr>
          <w:rFonts w:ascii="Times New Roman" w:hAnsi="Times New Roman"/>
          <w:sz w:val="24"/>
          <w:szCs w:val="24"/>
        </w:rPr>
        <w:t>thereby plausibly alleging a lack of adequate pre-deprivation process to challenge Long’s termination decision. Cleveland Bd. of Ed. v.</w:t>
      </w:r>
      <w:r>
        <w:rPr>
          <w:rFonts w:ascii="Times New Roman" w:hAnsi="Times New Roman"/>
          <w:sz w:val="24"/>
          <w:szCs w:val="24"/>
        </w:rPr>
        <w:t xml:space="preserve"> </w:t>
      </w:r>
      <w:r w:rsidRPr="00F93B49">
        <w:rPr>
          <w:rFonts w:ascii="Times New Roman" w:hAnsi="Times New Roman"/>
          <w:sz w:val="24"/>
          <w:szCs w:val="24"/>
        </w:rPr>
        <w:t>Loudermill, 470 U.S. 532, 542 (1985)</w:t>
      </w:r>
      <w:r>
        <w:rPr>
          <w:rFonts w:ascii="Times New Roman" w:hAnsi="Times New Roman"/>
          <w:sz w:val="24"/>
          <w:szCs w:val="24"/>
        </w:rPr>
        <w:t xml:space="preserve">. </w:t>
      </w:r>
    </w:p>
    <w:p w14:paraId="745C4AD2" w14:textId="77777777" w:rsidR="006E77A8" w:rsidRPr="003F6B2A" w:rsidRDefault="006E77A8" w:rsidP="006E77A8">
      <w:pPr>
        <w:spacing w:before="100" w:beforeAutospacing="1" w:after="100" w:afterAutospacing="1"/>
        <w:ind w:left="720"/>
        <w:outlineLvl w:val="0"/>
        <w:rPr>
          <w:rStyle w:val="Hyperlink"/>
          <w:rFonts w:ascii="Times New Roman" w:eastAsia="Times New Roman" w:hAnsi="Times New Roman"/>
          <w:kern w:val="36"/>
          <w:sz w:val="24"/>
          <w:szCs w:val="24"/>
        </w:rPr>
      </w:pPr>
      <w:r w:rsidRPr="003F6B2A">
        <w:rPr>
          <w:rFonts w:ascii="Times New Roman" w:eastAsia="Times New Roman" w:hAnsi="Times New Roman"/>
          <w:kern w:val="36"/>
          <w:sz w:val="24"/>
          <w:szCs w:val="24"/>
        </w:rPr>
        <w:t xml:space="preserve">See Feb. 8, </w:t>
      </w:r>
      <w:proofErr w:type="gramStart"/>
      <w:r w:rsidRPr="003F6B2A">
        <w:rPr>
          <w:rFonts w:ascii="Times New Roman" w:eastAsia="Times New Roman" w:hAnsi="Times New Roman"/>
          <w:kern w:val="36"/>
          <w:sz w:val="24"/>
          <w:szCs w:val="24"/>
        </w:rPr>
        <w:t>2024</w:t>
      </w:r>
      <w:proofErr w:type="gramEnd"/>
      <w:r w:rsidRPr="003F6B2A">
        <w:rPr>
          <w:rFonts w:ascii="Times New Roman" w:eastAsia="Times New Roman" w:hAnsi="Times New Roman"/>
          <w:kern w:val="36"/>
          <w:sz w:val="24"/>
          <w:szCs w:val="24"/>
        </w:rPr>
        <w:t xml:space="preserve"> article, “'First step towards justice': Court says ex-Cincinnati fire chief can sue city over firing.” </w:t>
      </w:r>
      <w:hyperlink r:id="rId2503" w:history="1">
        <w:r w:rsidRPr="003F6B2A">
          <w:rPr>
            <w:rStyle w:val="Hyperlink"/>
            <w:rFonts w:ascii="Times New Roman" w:eastAsia="Times New Roman" w:hAnsi="Times New Roman"/>
            <w:kern w:val="36"/>
            <w:sz w:val="24"/>
            <w:szCs w:val="24"/>
          </w:rPr>
          <w:t>https://www.cincinnati.com/story/news/politics/2024/02/08/court-former-fire-chief-michael-washington-can-sue-city/72523727007/</w:t>
        </w:r>
      </w:hyperlink>
    </w:p>
    <w:p w14:paraId="13AF3DDF" w14:textId="77777777" w:rsidR="006E77A8" w:rsidRDefault="006E77A8" w:rsidP="006E77A8">
      <w:pPr>
        <w:pStyle w:val="NormalWeb"/>
        <w:jc w:val="center"/>
      </w:pPr>
    </w:p>
    <w:p w14:paraId="23333F33" w14:textId="77777777" w:rsidR="006E77A8" w:rsidRDefault="006E77A8" w:rsidP="00F326E5">
      <w:pPr>
        <w:pStyle w:val="NoSpacing"/>
        <w:rPr>
          <w:rFonts w:ascii="Arial Black" w:hAnsi="Arial Black"/>
          <w:sz w:val="24"/>
          <w:szCs w:val="24"/>
        </w:rPr>
      </w:pPr>
    </w:p>
    <w:p w14:paraId="1EF89963" w14:textId="77777777" w:rsidR="00D1090F" w:rsidRDefault="00D1090F" w:rsidP="00F326E5">
      <w:pPr>
        <w:pStyle w:val="NoSpacing"/>
        <w:rPr>
          <w:rFonts w:ascii="Arial Black" w:hAnsi="Arial Black"/>
          <w:sz w:val="24"/>
          <w:szCs w:val="24"/>
        </w:rPr>
      </w:pPr>
    </w:p>
    <w:p w14:paraId="12056DFE" w14:textId="77777777" w:rsidR="00D1090F" w:rsidRDefault="00D1090F" w:rsidP="00F326E5">
      <w:pPr>
        <w:pStyle w:val="NoSpacing"/>
        <w:rPr>
          <w:rFonts w:ascii="Arial Black" w:hAnsi="Arial Black"/>
          <w:sz w:val="24"/>
          <w:szCs w:val="24"/>
        </w:rPr>
      </w:pPr>
    </w:p>
    <w:p w14:paraId="6644EEF6" w14:textId="25503B73" w:rsidR="00004BED" w:rsidRDefault="00004BED" w:rsidP="00F326E5">
      <w:pPr>
        <w:pStyle w:val="NoSpacing"/>
        <w:rPr>
          <w:rFonts w:ascii="Arial Black" w:hAnsi="Arial Black"/>
          <w:sz w:val="24"/>
          <w:szCs w:val="24"/>
        </w:rPr>
      </w:pPr>
      <w:r>
        <w:rPr>
          <w:rFonts w:ascii="Arial Black" w:hAnsi="Arial Black"/>
          <w:sz w:val="24"/>
          <w:szCs w:val="24"/>
        </w:rPr>
        <w:t>16-104</w:t>
      </w:r>
    </w:p>
    <w:p w14:paraId="01D2753C" w14:textId="77777777" w:rsidR="00004BED" w:rsidRPr="001C660F" w:rsidRDefault="00004BED" w:rsidP="00004BED">
      <w:pPr>
        <w:pStyle w:val="Heading1"/>
        <w:rPr>
          <w:rFonts w:ascii="Arial Black" w:hAnsi="Arial Black"/>
          <w:sz w:val="28"/>
          <w:szCs w:val="28"/>
        </w:rPr>
      </w:pPr>
      <w:r>
        <w:rPr>
          <w:rFonts w:ascii="Arial Black" w:hAnsi="Arial Black"/>
          <w:sz w:val="28"/>
          <w:szCs w:val="28"/>
        </w:rPr>
        <w:t>DC: FEMA -  SUSPENDED 13 DAYS – WELL DOCUMENTED REPRIMANDS – CASE DISMISSED, NO RETALIATION</w:t>
      </w:r>
    </w:p>
    <w:p w14:paraId="01E82C0F" w14:textId="77777777" w:rsidR="00004BED" w:rsidRDefault="00004BED" w:rsidP="00004BED">
      <w:pPr>
        <w:pStyle w:val="NoSpacing"/>
        <w:rPr>
          <w:rFonts w:ascii="Times New Roman" w:hAnsi="Times New Roman"/>
          <w:sz w:val="24"/>
          <w:szCs w:val="24"/>
        </w:rPr>
      </w:pPr>
      <w:r>
        <w:rPr>
          <w:rFonts w:ascii="Times New Roman" w:hAnsi="Times New Roman"/>
          <w:sz w:val="24"/>
          <w:szCs w:val="24"/>
        </w:rPr>
        <w:t xml:space="preserve">On Jan. 22, 2024, in </w:t>
      </w:r>
      <w:r w:rsidRPr="00D859E0">
        <w:rPr>
          <w:rFonts w:ascii="Times New Roman" w:hAnsi="Times New Roman"/>
          <w:sz w:val="24"/>
          <w:szCs w:val="24"/>
          <w:u w:val="single"/>
        </w:rPr>
        <w:t>Karl Rabenhorst v. Alejandro Mayorkas, Secretary, U.S. Department of Homeland Security</w:t>
      </w:r>
      <w:r>
        <w:rPr>
          <w:rFonts w:ascii="Times New Roman" w:hAnsi="Times New Roman"/>
          <w:sz w:val="24"/>
          <w:szCs w:val="24"/>
        </w:rPr>
        <w:t xml:space="preserve">, U.S. District Court Judge Manish S. Shah, U.S. District Court for Northern District of Illinois (Eastern Division), granted the Government’s motion for summary judgment.  </w:t>
      </w:r>
    </w:p>
    <w:p w14:paraId="42EEE3D7" w14:textId="77777777" w:rsidR="00004BED" w:rsidRDefault="00004BED" w:rsidP="00004BED">
      <w:pPr>
        <w:pStyle w:val="NoSpacing"/>
        <w:rPr>
          <w:rFonts w:ascii="Times New Roman" w:hAnsi="Times New Roman"/>
          <w:sz w:val="24"/>
          <w:szCs w:val="24"/>
        </w:rPr>
      </w:pPr>
    </w:p>
    <w:p w14:paraId="61A775E8" w14:textId="77777777" w:rsidR="00004BED" w:rsidRDefault="00004BED" w:rsidP="00004BED">
      <w:pPr>
        <w:pStyle w:val="NoSpacing"/>
        <w:ind w:left="720"/>
        <w:rPr>
          <w:rFonts w:ascii="Times New Roman" w:hAnsi="Times New Roman"/>
          <w:sz w:val="24"/>
          <w:szCs w:val="24"/>
        </w:rPr>
      </w:pPr>
      <w:r>
        <w:rPr>
          <w:rFonts w:ascii="Times New Roman" w:hAnsi="Times New Roman"/>
          <w:sz w:val="24"/>
          <w:szCs w:val="24"/>
        </w:rPr>
        <w:t>“</w:t>
      </w:r>
      <w:r w:rsidRPr="00395707">
        <w:rPr>
          <w:rFonts w:ascii="Times New Roman" w:hAnsi="Times New Roman"/>
          <w:sz w:val="24"/>
          <w:szCs w:val="24"/>
        </w:rPr>
        <w:t>Rabenhorst also fails to offer any evidence</w:t>
      </w:r>
      <w:r>
        <w:rPr>
          <w:rFonts w:ascii="Times New Roman" w:hAnsi="Times New Roman"/>
          <w:sz w:val="24"/>
          <w:szCs w:val="24"/>
        </w:rPr>
        <w:t xml:space="preserve"> </w:t>
      </w:r>
      <w:r w:rsidRPr="00395707">
        <w:rPr>
          <w:rFonts w:ascii="Times New Roman" w:hAnsi="Times New Roman"/>
          <w:sz w:val="24"/>
          <w:szCs w:val="24"/>
        </w:rPr>
        <w:t>of ambiguous statements of animus or similarly situated employees who were treated</w:t>
      </w:r>
      <w:r>
        <w:rPr>
          <w:rFonts w:ascii="Times New Roman" w:hAnsi="Times New Roman"/>
          <w:sz w:val="24"/>
          <w:szCs w:val="24"/>
        </w:rPr>
        <w:t xml:space="preserve"> </w:t>
      </w:r>
      <w:r w:rsidRPr="00395707">
        <w:rPr>
          <w:rFonts w:ascii="Times New Roman" w:hAnsi="Times New Roman"/>
          <w:sz w:val="24"/>
          <w:szCs w:val="24"/>
        </w:rPr>
        <w:t>differently. Rabenhorst has not presented any evidence that O’Leary’s reasons for the</w:t>
      </w:r>
      <w:r>
        <w:rPr>
          <w:rFonts w:ascii="Times New Roman" w:hAnsi="Times New Roman"/>
          <w:sz w:val="24"/>
          <w:szCs w:val="24"/>
        </w:rPr>
        <w:t xml:space="preserve"> </w:t>
      </w:r>
      <w:r w:rsidRPr="00395707">
        <w:rPr>
          <w:rFonts w:ascii="Times New Roman" w:hAnsi="Times New Roman"/>
          <w:sz w:val="24"/>
          <w:szCs w:val="24"/>
        </w:rPr>
        <w:t>suspension were pretextual. There is no evidence that would allow a jury to find that</w:t>
      </w:r>
      <w:r>
        <w:rPr>
          <w:rFonts w:ascii="Times New Roman" w:hAnsi="Times New Roman"/>
          <w:sz w:val="24"/>
          <w:szCs w:val="24"/>
        </w:rPr>
        <w:t xml:space="preserve"> </w:t>
      </w:r>
      <w:r w:rsidRPr="00395707">
        <w:rPr>
          <w:rFonts w:ascii="Times New Roman" w:hAnsi="Times New Roman"/>
          <w:sz w:val="24"/>
          <w:szCs w:val="24"/>
        </w:rPr>
        <w:t>O’Leary’s decision to suspend Rabenhorst without pay for 13 days was motivated by</w:t>
      </w:r>
      <w:r>
        <w:rPr>
          <w:rFonts w:ascii="Times New Roman" w:hAnsi="Times New Roman"/>
          <w:sz w:val="24"/>
          <w:szCs w:val="24"/>
        </w:rPr>
        <w:t xml:space="preserve"> </w:t>
      </w:r>
      <w:r w:rsidRPr="00395707">
        <w:rPr>
          <w:rFonts w:ascii="Times New Roman" w:hAnsi="Times New Roman"/>
          <w:sz w:val="24"/>
          <w:szCs w:val="24"/>
        </w:rPr>
        <w:t>anything but Rabenhorst’s misconduct.</w:t>
      </w:r>
      <w:r>
        <w:rPr>
          <w:rFonts w:ascii="Times New Roman" w:hAnsi="Times New Roman"/>
          <w:sz w:val="24"/>
          <w:szCs w:val="24"/>
        </w:rPr>
        <w:t xml:space="preserve">” </w:t>
      </w:r>
    </w:p>
    <w:p w14:paraId="036982FA" w14:textId="7063306D" w:rsidR="00004BED" w:rsidRDefault="00004BED" w:rsidP="00004BED">
      <w:pPr>
        <w:pStyle w:val="NoSpacing"/>
        <w:rPr>
          <w:rFonts w:ascii="Arial Black" w:hAnsi="Arial Black"/>
          <w:sz w:val="24"/>
          <w:szCs w:val="24"/>
        </w:rPr>
      </w:pPr>
      <w:hyperlink r:id="rId2504" w:history="1">
        <w:r w:rsidRPr="00624A20">
          <w:rPr>
            <w:rStyle w:val="Hyperlink"/>
            <w:rFonts w:ascii="Times New Roman" w:hAnsi="Times New Roman"/>
            <w:sz w:val="24"/>
            <w:szCs w:val="24"/>
          </w:rPr>
          <w:t>https://cases.justia.com/federal/district-courts/illinois/ilndce/1:2021cv03620/405182/52/0.pdf?ts=1706027592</w:t>
        </w:r>
      </w:hyperlink>
    </w:p>
    <w:p w14:paraId="2361AB0B" w14:textId="77777777" w:rsidR="00004BED" w:rsidRDefault="00004BED" w:rsidP="00F326E5">
      <w:pPr>
        <w:pStyle w:val="NoSpacing"/>
        <w:rPr>
          <w:rFonts w:ascii="Arial Black" w:hAnsi="Arial Black"/>
          <w:sz w:val="24"/>
          <w:szCs w:val="24"/>
        </w:rPr>
      </w:pPr>
    </w:p>
    <w:p w14:paraId="5805E9E1" w14:textId="77777777" w:rsidR="001B7DE1" w:rsidRDefault="001B7DE1" w:rsidP="001B7DE1">
      <w:pPr>
        <w:pStyle w:val="NoSpacing"/>
        <w:rPr>
          <w:b/>
          <w:bCs/>
        </w:rPr>
      </w:pPr>
      <w:r w:rsidRPr="004041F9">
        <w:rPr>
          <w:rFonts w:ascii="Times New Roman" w:hAnsi="Times New Roman"/>
          <w:b/>
          <w:bCs/>
          <w:sz w:val="24"/>
          <w:szCs w:val="24"/>
        </w:rPr>
        <w:t xml:space="preserve">Legal Lesson Learned: </w:t>
      </w:r>
      <w:r>
        <w:rPr>
          <w:rFonts w:ascii="Times New Roman" w:hAnsi="Times New Roman"/>
          <w:b/>
          <w:bCs/>
          <w:sz w:val="24"/>
          <w:szCs w:val="24"/>
        </w:rPr>
        <w:t xml:space="preserve">Thorough documentation of discipline led to dismissal of this lawsuit.  </w:t>
      </w:r>
    </w:p>
    <w:p w14:paraId="0AACF249" w14:textId="77777777" w:rsidR="00004BED" w:rsidRDefault="00004BED" w:rsidP="00F326E5">
      <w:pPr>
        <w:pStyle w:val="NoSpacing"/>
        <w:rPr>
          <w:rFonts w:ascii="Arial Black" w:hAnsi="Arial Black"/>
          <w:sz w:val="24"/>
          <w:szCs w:val="24"/>
        </w:rPr>
      </w:pPr>
    </w:p>
    <w:p w14:paraId="58796F2F" w14:textId="77777777" w:rsidR="001B7DE1" w:rsidRDefault="001B7DE1" w:rsidP="00F326E5">
      <w:pPr>
        <w:pStyle w:val="NoSpacing"/>
        <w:rPr>
          <w:rFonts w:ascii="Arial Black" w:hAnsi="Arial Black"/>
          <w:sz w:val="24"/>
          <w:szCs w:val="24"/>
        </w:rPr>
      </w:pPr>
    </w:p>
    <w:p w14:paraId="586C9110" w14:textId="77777777" w:rsidR="001B7DE1" w:rsidRDefault="001B7DE1" w:rsidP="00F326E5">
      <w:pPr>
        <w:pStyle w:val="NoSpacing"/>
        <w:rPr>
          <w:rFonts w:ascii="Arial Black" w:hAnsi="Arial Black"/>
          <w:sz w:val="24"/>
          <w:szCs w:val="24"/>
        </w:rPr>
      </w:pPr>
    </w:p>
    <w:p w14:paraId="1D8E9AEC" w14:textId="74EB8728" w:rsidR="001D190A" w:rsidRDefault="001D190A" w:rsidP="00F326E5">
      <w:pPr>
        <w:pStyle w:val="NoSpacing"/>
        <w:rPr>
          <w:rFonts w:ascii="Arial Black" w:hAnsi="Arial Black"/>
          <w:sz w:val="24"/>
          <w:szCs w:val="24"/>
        </w:rPr>
      </w:pPr>
      <w:r>
        <w:rPr>
          <w:rFonts w:ascii="Arial Black" w:hAnsi="Arial Black"/>
          <w:sz w:val="24"/>
          <w:szCs w:val="24"/>
        </w:rPr>
        <w:t>16-103</w:t>
      </w:r>
    </w:p>
    <w:p w14:paraId="312C76B5" w14:textId="77777777" w:rsidR="001D190A" w:rsidRDefault="001D190A" w:rsidP="00F326E5">
      <w:pPr>
        <w:pStyle w:val="NoSpacing"/>
        <w:rPr>
          <w:rFonts w:ascii="Arial Black" w:hAnsi="Arial Black"/>
          <w:sz w:val="24"/>
          <w:szCs w:val="24"/>
        </w:rPr>
      </w:pPr>
    </w:p>
    <w:p w14:paraId="35599DF1" w14:textId="77777777" w:rsidR="001D190A" w:rsidRPr="00A34D02" w:rsidRDefault="001D190A" w:rsidP="001D190A">
      <w:pPr>
        <w:pStyle w:val="NoSpacing"/>
        <w:rPr>
          <w:rFonts w:ascii="Arial Black" w:hAnsi="Arial Black"/>
          <w:sz w:val="28"/>
          <w:szCs w:val="28"/>
        </w:rPr>
      </w:pPr>
      <w:r>
        <w:rPr>
          <w:rFonts w:ascii="Arial Black" w:hAnsi="Arial Black"/>
          <w:sz w:val="28"/>
          <w:szCs w:val="28"/>
        </w:rPr>
        <w:t>WV: FF TERMINATION UPHELD - ARRESTS DOMESTIC VIOL – DISCHARGED FIREARM - CIVIL SERVICE COMM. REVERSED</w:t>
      </w:r>
    </w:p>
    <w:p w14:paraId="4A0CF2D4" w14:textId="77777777" w:rsidR="001D190A" w:rsidRDefault="001D190A" w:rsidP="001D190A">
      <w:pPr>
        <w:pStyle w:val="NoSpacing"/>
        <w:rPr>
          <w:rFonts w:ascii="Times New Roman" w:hAnsi="Times New Roman"/>
          <w:sz w:val="24"/>
          <w:szCs w:val="24"/>
        </w:rPr>
      </w:pPr>
    </w:p>
    <w:p w14:paraId="6DCC8568" w14:textId="77777777" w:rsidR="001D190A" w:rsidRDefault="001D190A" w:rsidP="001D190A">
      <w:pPr>
        <w:pStyle w:val="NoSpacing"/>
        <w:rPr>
          <w:rFonts w:ascii="Times New Roman" w:hAnsi="Times New Roman"/>
          <w:sz w:val="24"/>
          <w:szCs w:val="24"/>
        </w:rPr>
      </w:pPr>
      <w:r>
        <w:rPr>
          <w:rFonts w:ascii="Times New Roman" w:hAnsi="Times New Roman"/>
          <w:sz w:val="24"/>
          <w:szCs w:val="24"/>
        </w:rPr>
        <w:t xml:space="preserve">On Dec. 27, 2023, in </w:t>
      </w:r>
      <w:r w:rsidRPr="00ED4A72">
        <w:rPr>
          <w:rFonts w:ascii="Times New Roman" w:hAnsi="Times New Roman"/>
          <w:sz w:val="24"/>
          <w:szCs w:val="24"/>
          <w:u w:val="single"/>
        </w:rPr>
        <w:t>Nicholas Graley v. City of South Charleston</w:t>
      </w:r>
      <w:r>
        <w:rPr>
          <w:rFonts w:ascii="Times New Roman" w:hAnsi="Times New Roman"/>
          <w:sz w:val="24"/>
          <w:szCs w:val="24"/>
        </w:rPr>
        <w:t xml:space="preserve">, the Intermediate Court of Appeals of West Virginia held (3 to 0) that the firefighters </w:t>
      </w:r>
      <w:proofErr w:type="gramStart"/>
      <w:r>
        <w:rPr>
          <w:rFonts w:ascii="Times New Roman" w:hAnsi="Times New Roman"/>
          <w:sz w:val="24"/>
          <w:szCs w:val="24"/>
        </w:rPr>
        <w:t>was</w:t>
      </w:r>
      <w:proofErr w:type="gramEnd"/>
      <w:r>
        <w:rPr>
          <w:rFonts w:ascii="Times New Roman" w:hAnsi="Times New Roman"/>
          <w:sz w:val="24"/>
          <w:szCs w:val="24"/>
        </w:rPr>
        <w:t xml:space="preserve"> properly terminated, upholding the decision of the Circuit Court judge of </w:t>
      </w:r>
      <w:r w:rsidRPr="00A95B2F">
        <w:rPr>
          <w:rFonts w:ascii="Times New Roman" w:hAnsi="Times New Roman"/>
          <w:sz w:val="24"/>
          <w:szCs w:val="24"/>
        </w:rPr>
        <w:t xml:space="preserve">Kanawha </w:t>
      </w:r>
      <w:r>
        <w:rPr>
          <w:rFonts w:ascii="Times New Roman" w:hAnsi="Times New Roman"/>
          <w:sz w:val="24"/>
          <w:szCs w:val="24"/>
        </w:rPr>
        <w:t>County; the City’s Civil Service Commission decision to only suspend firefighter reversed.  The Court held: “</w:t>
      </w:r>
      <w:r w:rsidRPr="0023429B">
        <w:rPr>
          <w:rFonts w:ascii="Times New Roman" w:hAnsi="Times New Roman"/>
          <w:sz w:val="24"/>
          <w:szCs w:val="24"/>
        </w:rPr>
        <w:t>Further, the final order of the Commission is reversed because the Commission</w:t>
      </w:r>
      <w:r>
        <w:rPr>
          <w:rFonts w:ascii="Times New Roman" w:hAnsi="Times New Roman"/>
          <w:sz w:val="24"/>
          <w:szCs w:val="24"/>
        </w:rPr>
        <w:t xml:space="preserve"> </w:t>
      </w:r>
      <w:r w:rsidRPr="0023429B">
        <w:rPr>
          <w:rFonts w:ascii="Times New Roman" w:hAnsi="Times New Roman"/>
          <w:sz w:val="24"/>
          <w:szCs w:val="24"/>
        </w:rPr>
        <w:t>entirely failed to consider important aspects of the case and offered explanations that ran</w:t>
      </w:r>
      <w:r>
        <w:rPr>
          <w:rFonts w:ascii="Times New Roman" w:hAnsi="Times New Roman"/>
          <w:sz w:val="24"/>
          <w:szCs w:val="24"/>
        </w:rPr>
        <w:t xml:space="preserve"> </w:t>
      </w:r>
      <w:r w:rsidRPr="0023429B">
        <w:rPr>
          <w:rFonts w:ascii="Times New Roman" w:hAnsi="Times New Roman"/>
          <w:sz w:val="24"/>
          <w:szCs w:val="24"/>
        </w:rPr>
        <w:t>counter to the evidence.</w:t>
      </w:r>
      <w:r>
        <w:rPr>
          <w:rFonts w:ascii="Times New Roman" w:hAnsi="Times New Roman"/>
          <w:sz w:val="24"/>
          <w:szCs w:val="24"/>
        </w:rPr>
        <w:t xml:space="preserve"> </w:t>
      </w:r>
      <w:r w:rsidRPr="0023429B">
        <w:rPr>
          <w:rFonts w:ascii="Times New Roman" w:hAnsi="Times New Roman"/>
          <w:sz w:val="24"/>
          <w:szCs w:val="24"/>
        </w:rPr>
        <w:t>For instance, the Commission failed to consider any of the facts related to the May</w:t>
      </w:r>
      <w:r>
        <w:rPr>
          <w:rFonts w:ascii="Times New Roman" w:hAnsi="Times New Roman"/>
          <w:sz w:val="24"/>
          <w:szCs w:val="24"/>
        </w:rPr>
        <w:t xml:space="preserve"> </w:t>
      </w:r>
      <w:r w:rsidRPr="0023429B">
        <w:rPr>
          <w:rFonts w:ascii="Times New Roman" w:hAnsi="Times New Roman"/>
          <w:sz w:val="24"/>
          <w:szCs w:val="24"/>
        </w:rPr>
        <w:t>30, 2019, incident wherein Mr. Graley was involved in an altercation while drinking in</w:t>
      </w:r>
      <w:r>
        <w:rPr>
          <w:rFonts w:ascii="Times New Roman" w:hAnsi="Times New Roman"/>
          <w:sz w:val="24"/>
          <w:szCs w:val="24"/>
        </w:rPr>
        <w:t xml:space="preserve"> </w:t>
      </w:r>
      <w:r w:rsidRPr="0023429B">
        <w:rPr>
          <w:rFonts w:ascii="Times New Roman" w:hAnsi="Times New Roman"/>
          <w:sz w:val="24"/>
          <w:szCs w:val="24"/>
        </w:rPr>
        <w:t>public then followed members of that altercation home after being asked not to, discharged</w:t>
      </w:r>
      <w:r>
        <w:rPr>
          <w:rFonts w:ascii="Times New Roman" w:hAnsi="Times New Roman"/>
          <w:sz w:val="24"/>
          <w:szCs w:val="24"/>
        </w:rPr>
        <w:t xml:space="preserve"> </w:t>
      </w:r>
      <w:r w:rsidRPr="0023429B">
        <w:rPr>
          <w:rFonts w:ascii="Times New Roman" w:hAnsi="Times New Roman"/>
          <w:sz w:val="24"/>
          <w:szCs w:val="24"/>
        </w:rPr>
        <w:t>his firearm from his vehicle, and initially lied to law enforcement about his actions. The</w:t>
      </w:r>
      <w:r>
        <w:rPr>
          <w:rFonts w:ascii="Times New Roman" w:hAnsi="Times New Roman"/>
          <w:sz w:val="24"/>
          <w:szCs w:val="24"/>
        </w:rPr>
        <w:t xml:space="preserve"> </w:t>
      </w:r>
      <w:r w:rsidRPr="0023429B">
        <w:rPr>
          <w:rFonts w:ascii="Times New Roman" w:hAnsi="Times New Roman"/>
          <w:sz w:val="24"/>
          <w:szCs w:val="24"/>
        </w:rPr>
        <w:t>Commission also failed to consider that Mr. Graley lied about, or minimized, his actions</w:t>
      </w:r>
      <w:r>
        <w:rPr>
          <w:rFonts w:ascii="Times New Roman" w:hAnsi="Times New Roman"/>
          <w:sz w:val="24"/>
          <w:szCs w:val="24"/>
        </w:rPr>
        <w:t xml:space="preserve"> </w:t>
      </w:r>
      <w:r w:rsidRPr="0023429B">
        <w:rPr>
          <w:rFonts w:ascii="Times New Roman" w:hAnsi="Times New Roman"/>
          <w:sz w:val="24"/>
          <w:szCs w:val="24"/>
        </w:rPr>
        <w:t xml:space="preserve">concerning this incident to Chief </w:t>
      </w:r>
      <w:proofErr w:type="gramStart"/>
      <w:r w:rsidRPr="0023429B">
        <w:rPr>
          <w:rFonts w:ascii="Times New Roman" w:hAnsi="Times New Roman"/>
          <w:sz w:val="24"/>
          <w:szCs w:val="24"/>
        </w:rPr>
        <w:t>White.</w:t>
      </w:r>
      <w:r>
        <w:rPr>
          <w:rFonts w:ascii="Times New Roman" w:hAnsi="Times New Roman"/>
          <w:sz w:val="24"/>
          <w:szCs w:val="24"/>
        </w:rPr>
        <w:t>”</w:t>
      </w:r>
      <w:proofErr w:type="gramEnd"/>
      <w:r>
        <w:rPr>
          <w:rFonts w:ascii="Times New Roman" w:hAnsi="Times New Roman"/>
          <w:sz w:val="24"/>
          <w:szCs w:val="24"/>
        </w:rPr>
        <w:t xml:space="preserve">  </w:t>
      </w:r>
      <w:hyperlink r:id="rId2505" w:history="1">
        <w:r w:rsidRPr="00911235">
          <w:rPr>
            <w:rStyle w:val="Hyperlink"/>
            <w:rFonts w:ascii="Times New Roman" w:hAnsi="Times New Roman"/>
            <w:sz w:val="24"/>
            <w:szCs w:val="24"/>
          </w:rPr>
          <w:t>https://www.courtswv.gov/sites/default/pubfilesmnt/2023-12/22-ICA-267_MD.pdf</w:t>
        </w:r>
      </w:hyperlink>
      <w:r>
        <w:rPr>
          <w:rFonts w:ascii="Times New Roman" w:hAnsi="Times New Roman"/>
          <w:sz w:val="24"/>
          <w:szCs w:val="24"/>
        </w:rPr>
        <w:t xml:space="preserve"> </w:t>
      </w:r>
    </w:p>
    <w:p w14:paraId="27A990B8" w14:textId="77777777" w:rsidR="004E344B" w:rsidRDefault="004E344B" w:rsidP="004E344B">
      <w:pPr>
        <w:pStyle w:val="NormalWeb"/>
        <w:rPr>
          <w:b/>
          <w:bCs/>
        </w:rPr>
      </w:pPr>
      <w:r>
        <w:rPr>
          <w:b/>
          <w:bCs/>
        </w:rPr>
        <w:t>Legal Lesson Learned: Fire Chief properly terminated, not suspended firefighter; four Judges properly overruled Civil Service Commission.</w:t>
      </w:r>
    </w:p>
    <w:p w14:paraId="5AE1E8B7" w14:textId="77777777" w:rsidR="004E344B" w:rsidRDefault="004E344B" w:rsidP="00F326E5">
      <w:pPr>
        <w:pStyle w:val="NoSpacing"/>
        <w:rPr>
          <w:rFonts w:ascii="Arial Black" w:hAnsi="Arial Black"/>
          <w:sz w:val="24"/>
          <w:szCs w:val="24"/>
        </w:rPr>
      </w:pPr>
    </w:p>
    <w:p w14:paraId="55D05BAB" w14:textId="77777777" w:rsidR="001D190A" w:rsidRDefault="001D190A" w:rsidP="00F326E5">
      <w:pPr>
        <w:pStyle w:val="NoSpacing"/>
        <w:rPr>
          <w:rFonts w:ascii="Arial Black" w:hAnsi="Arial Black"/>
          <w:sz w:val="24"/>
          <w:szCs w:val="24"/>
        </w:rPr>
      </w:pPr>
    </w:p>
    <w:p w14:paraId="05462BEA" w14:textId="77777777" w:rsidR="001D190A" w:rsidRDefault="001D190A" w:rsidP="00F326E5">
      <w:pPr>
        <w:pStyle w:val="NoSpacing"/>
        <w:rPr>
          <w:rFonts w:ascii="Arial Black" w:hAnsi="Arial Black"/>
          <w:sz w:val="24"/>
          <w:szCs w:val="24"/>
        </w:rPr>
      </w:pPr>
    </w:p>
    <w:p w14:paraId="7EEFFA19" w14:textId="02DA218F" w:rsidR="00A01262" w:rsidRDefault="00ED6448" w:rsidP="00F326E5">
      <w:pPr>
        <w:pStyle w:val="NoSpacing"/>
        <w:rPr>
          <w:rFonts w:ascii="Arial Black" w:hAnsi="Arial Black"/>
          <w:sz w:val="24"/>
          <w:szCs w:val="24"/>
        </w:rPr>
      </w:pPr>
      <w:r>
        <w:rPr>
          <w:rFonts w:ascii="Arial Black" w:hAnsi="Arial Black"/>
          <w:sz w:val="24"/>
          <w:szCs w:val="24"/>
        </w:rPr>
        <w:t>16-102</w:t>
      </w:r>
    </w:p>
    <w:p w14:paraId="6B35D75F" w14:textId="77777777" w:rsidR="008B2E73" w:rsidRPr="006268B1" w:rsidRDefault="008B2E73" w:rsidP="008B2E73">
      <w:pPr>
        <w:pStyle w:val="NormalWeb"/>
        <w:rPr>
          <w:rFonts w:ascii="Arial Black" w:hAnsi="Arial Black"/>
          <w:b/>
          <w:bCs/>
          <w:sz w:val="28"/>
          <w:szCs w:val="28"/>
        </w:rPr>
      </w:pPr>
      <w:r>
        <w:rPr>
          <w:rFonts w:ascii="Arial Black" w:hAnsi="Arial Black"/>
          <w:b/>
          <w:bCs/>
          <w:sz w:val="28"/>
          <w:szCs w:val="28"/>
        </w:rPr>
        <w:t>CA: FD OFFICER WRONGFULLY FIRED – “INTENTIONAL”  VIOL. DUE PROCESS BY CHIEF – JURY: $3M DAMAGES</w:t>
      </w:r>
    </w:p>
    <w:p w14:paraId="0B944DE7" w14:textId="77777777" w:rsidR="008B2E73" w:rsidRDefault="008B2E73" w:rsidP="008B2E73">
      <w:pPr>
        <w:pStyle w:val="NoSpacing"/>
      </w:pPr>
      <w:r w:rsidRPr="00271EFB">
        <w:rPr>
          <w:rFonts w:ascii="Times New Roman" w:hAnsi="Times New Roman"/>
          <w:sz w:val="24"/>
          <w:szCs w:val="24"/>
        </w:rPr>
        <w:t xml:space="preserve">On Dec. 19, 2023, in </w:t>
      </w:r>
      <w:r w:rsidRPr="00271EFB">
        <w:rPr>
          <w:rFonts w:ascii="Times New Roman" w:hAnsi="Times New Roman"/>
          <w:sz w:val="24"/>
          <w:szCs w:val="24"/>
          <w:u w:val="single"/>
        </w:rPr>
        <w:t>Timothy O’Hara v. Liberty Rural County Fire Protection District, et al</w:t>
      </w:r>
      <w:r w:rsidRPr="00271EFB">
        <w:rPr>
          <w:rFonts w:ascii="Times New Roman" w:hAnsi="Times New Roman"/>
          <w:sz w:val="24"/>
          <w:szCs w:val="24"/>
        </w:rPr>
        <w:t xml:space="preserve">., the California Court of Appeals, Third District, San Joaquin, held (3 to 0; unpublished decision) that jury properly found the Fire Chief intentionally </w:t>
      </w:r>
      <w:r>
        <w:rPr>
          <w:rFonts w:ascii="Times New Roman" w:hAnsi="Times New Roman"/>
          <w:sz w:val="24"/>
          <w:szCs w:val="24"/>
        </w:rPr>
        <w:t>violated</w:t>
      </w:r>
      <w:r w:rsidRPr="00271EFB">
        <w:rPr>
          <w:rFonts w:ascii="Times New Roman" w:hAnsi="Times New Roman"/>
          <w:sz w:val="24"/>
          <w:szCs w:val="24"/>
        </w:rPr>
        <w:t xml:space="preserve"> the</w:t>
      </w:r>
      <w:r>
        <w:rPr>
          <w:rFonts w:ascii="Times New Roman" w:hAnsi="Times New Roman"/>
          <w:sz w:val="24"/>
          <w:szCs w:val="24"/>
        </w:rPr>
        <w:t xml:space="preserve"> CA </w:t>
      </w:r>
      <w:r w:rsidRPr="00907648">
        <w:rPr>
          <w:rFonts w:ascii="Times New Roman" w:hAnsi="Times New Roman"/>
          <w:sz w:val="24"/>
          <w:szCs w:val="24"/>
        </w:rPr>
        <w:t>Firefighters Procedural Bill of Rights Act</w:t>
      </w:r>
      <w:r w:rsidRPr="00271EFB">
        <w:rPr>
          <w:rFonts w:ascii="Times New Roman" w:hAnsi="Times New Roman"/>
          <w:sz w:val="24"/>
          <w:szCs w:val="24"/>
        </w:rPr>
        <w:t xml:space="preserve"> by denying Shift Supervisor</w:t>
      </w:r>
      <w:r>
        <w:rPr>
          <w:rFonts w:ascii="Times New Roman" w:hAnsi="Times New Roman"/>
          <w:sz w:val="24"/>
          <w:szCs w:val="24"/>
        </w:rPr>
        <w:t xml:space="preserve"> Tim O’Hara </w:t>
      </w:r>
      <w:r w:rsidRPr="00271EFB">
        <w:rPr>
          <w:rFonts w:ascii="Times New Roman" w:hAnsi="Times New Roman"/>
          <w:sz w:val="24"/>
          <w:szCs w:val="24"/>
        </w:rPr>
        <w:t xml:space="preserve">(12 years on FD) due process, and effectively ending his career in fire service at age 51.  The Court </w:t>
      </w:r>
      <w:proofErr w:type="gramStart"/>
      <w:r w:rsidRPr="00271EFB">
        <w:rPr>
          <w:rFonts w:ascii="Times New Roman" w:hAnsi="Times New Roman"/>
          <w:sz w:val="24"/>
          <w:szCs w:val="24"/>
        </w:rPr>
        <w:t xml:space="preserve">held: </w:t>
      </w:r>
      <w:r>
        <w:rPr>
          <w:rFonts w:ascii="Times New Roman" w:hAnsi="Times New Roman"/>
          <w:sz w:val="24"/>
          <w:szCs w:val="24"/>
        </w:rPr>
        <w:t>“</w:t>
      </w:r>
      <w:proofErr w:type="gramEnd"/>
      <w:r>
        <w:rPr>
          <w:rFonts w:ascii="Times New Roman" w:hAnsi="Times New Roman"/>
          <w:sz w:val="24"/>
          <w:szCs w:val="24"/>
        </w:rPr>
        <w:t xml:space="preserve">[Fire Chief] </w:t>
      </w:r>
      <w:r w:rsidRPr="00271EFB">
        <w:rPr>
          <w:rFonts w:ascii="Times New Roman" w:hAnsi="Times New Roman"/>
          <w:sz w:val="24"/>
          <w:szCs w:val="24"/>
        </w:rPr>
        <w:t>Seifert and the District give similarly short shrift to the deliberate</w:t>
      </w:r>
      <w:r>
        <w:rPr>
          <w:rFonts w:ascii="Times New Roman" w:hAnsi="Times New Roman"/>
          <w:sz w:val="24"/>
          <w:szCs w:val="24"/>
        </w:rPr>
        <w:t xml:space="preserve"> </w:t>
      </w:r>
      <w:r w:rsidRPr="00271EFB">
        <w:rPr>
          <w:rFonts w:ascii="Times New Roman" w:hAnsi="Times New Roman"/>
          <w:sz w:val="24"/>
          <w:szCs w:val="24"/>
        </w:rPr>
        <w:t>flouting standard with which the jury was instructed and offer no challenge to the special</w:t>
      </w:r>
      <w:r>
        <w:rPr>
          <w:rFonts w:ascii="Times New Roman" w:hAnsi="Times New Roman"/>
          <w:sz w:val="24"/>
          <w:szCs w:val="24"/>
        </w:rPr>
        <w:t xml:space="preserve"> </w:t>
      </w:r>
      <w:r w:rsidRPr="00271EFB">
        <w:rPr>
          <w:rFonts w:ascii="Times New Roman" w:hAnsi="Times New Roman"/>
          <w:sz w:val="24"/>
          <w:szCs w:val="24"/>
        </w:rPr>
        <w:t>verdict finding that Seifert intentionally trammeled O’Hara’s rights under the FPBOR.</w:t>
      </w:r>
      <w:r>
        <w:rPr>
          <w:rFonts w:ascii="Times New Roman" w:hAnsi="Times New Roman"/>
          <w:sz w:val="24"/>
          <w:szCs w:val="24"/>
        </w:rPr>
        <w:t xml:space="preserve"> </w:t>
      </w:r>
      <w:r w:rsidRPr="00271EFB">
        <w:rPr>
          <w:rFonts w:ascii="Times New Roman" w:hAnsi="Times New Roman"/>
          <w:sz w:val="24"/>
          <w:szCs w:val="24"/>
        </w:rPr>
        <w:t>Under the circumstances, we need not consider whether the evidence compels findings in</w:t>
      </w:r>
      <w:r>
        <w:rPr>
          <w:rFonts w:ascii="Times New Roman" w:hAnsi="Times New Roman"/>
          <w:sz w:val="24"/>
          <w:szCs w:val="24"/>
        </w:rPr>
        <w:t xml:space="preserve"> </w:t>
      </w:r>
      <w:r w:rsidRPr="00271EFB">
        <w:rPr>
          <w:rFonts w:ascii="Times New Roman" w:hAnsi="Times New Roman"/>
          <w:sz w:val="24"/>
          <w:szCs w:val="24"/>
        </w:rPr>
        <w:t>their favor on the theory they violated substantive due process by intentionally and</w:t>
      </w:r>
      <w:r>
        <w:rPr>
          <w:rFonts w:ascii="Times New Roman" w:hAnsi="Times New Roman"/>
          <w:sz w:val="24"/>
          <w:szCs w:val="24"/>
        </w:rPr>
        <w:t xml:space="preserve"> </w:t>
      </w:r>
      <w:r w:rsidRPr="00271EFB">
        <w:rPr>
          <w:rFonts w:ascii="Times New Roman" w:hAnsi="Times New Roman"/>
          <w:sz w:val="24"/>
          <w:szCs w:val="24"/>
        </w:rPr>
        <w:t>deliberately flouting the FPBOR as part of a personal vendetta against O’Hara. We need</w:t>
      </w:r>
      <w:r>
        <w:rPr>
          <w:rFonts w:ascii="Times New Roman" w:hAnsi="Times New Roman"/>
          <w:sz w:val="24"/>
          <w:szCs w:val="24"/>
        </w:rPr>
        <w:t xml:space="preserve"> </w:t>
      </w:r>
      <w:r w:rsidRPr="00271EFB">
        <w:rPr>
          <w:rFonts w:ascii="Times New Roman" w:hAnsi="Times New Roman"/>
          <w:sz w:val="24"/>
          <w:szCs w:val="24"/>
        </w:rPr>
        <w:t>only conclude that Seifert and the District have failed to show the evidence compels</w:t>
      </w:r>
      <w:r>
        <w:rPr>
          <w:rFonts w:ascii="Times New Roman" w:hAnsi="Times New Roman"/>
          <w:sz w:val="24"/>
          <w:szCs w:val="24"/>
        </w:rPr>
        <w:t xml:space="preserve"> </w:t>
      </w:r>
      <w:r w:rsidRPr="00271EFB">
        <w:rPr>
          <w:rFonts w:ascii="Times New Roman" w:hAnsi="Times New Roman"/>
          <w:sz w:val="24"/>
          <w:szCs w:val="24"/>
        </w:rPr>
        <w:t>findings in their favor on substantive due process as a matter of law. They likewise fail</w:t>
      </w:r>
      <w:r>
        <w:rPr>
          <w:rFonts w:ascii="Times New Roman" w:hAnsi="Times New Roman"/>
          <w:sz w:val="24"/>
          <w:szCs w:val="24"/>
        </w:rPr>
        <w:t xml:space="preserve"> </w:t>
      </w:r>
      <w:r w:rsidRPr="00271EFB">
        <w:rPr>
          <w:rFonts w:ascii="Times New Roman" w:hAnsi="Times New Roman"/>
          <w:sz w:val="24"/>
          <w:szCs w:val="24"/>
        </w:rPr>
        <w:t xml:space="preserve">to show the trial court </w:t>
      </w:r>
      <w:proofErr w:type="gramStart"/>
      <w:r w:rsidRPr="00271EFB">
        <w:rPr>
          <w:rFonts w:ascii="Times New Roman" w:hAnsi="Times New Roman"/>
          <w:sz w:val="24"/>
          <w:szCs w:val="24"/>
        </w:rPr>
        <w:t>erred</w:t>
      </w:r>
      <w:proofErr w:type="gramEnd"/>
      <w:r w:rsidRPr="00271EFB">
        <w:rPr>
          <w:rFonts w:ascii="Times New Roman" w:hAnsi="Times New Roman"/>
          <w:sz w:val="24"/>
          <w:szCs w:val="24"/>
        </w:rPr>
        <w:t xml:space="preserve"> in denying the motions for judgment notwithstanding the</w:t>
      </w:r>
      <w:r>
        <w:rPr>
          <w:rFonts w:ascii="Times New Roman" w:hAnsi="Times New Roman"/>
          <w:sz w:val="24"/>
          <w:szCs w:val="24"/>
        </w:rPr>
        <w:t xml:space="preserve"> </w:t>
      </w:r>
      <w:r w:rsidRPr="00271EFB">
        <w:rPr>
          <w:rFonts w:ascii="Times New Roman" w:hAnsi="Times New Roman"/>
          <w:sz w:val="24"/>
          <w:szCs w:val="24"/>
        </w:rPr>
        <w:t xml:space="preserve">verdict so far as the section 1983 cause of action was </w:t>
      </w:r>
      <w:proofErr w:type="gramStart"/>
      <w:r w:rsidRPr="00271EFB">
        <w:rPr>
          <w:rFonts w:ascii="Times New Roman" w:hAnsi="Times New Roman"/>
          <w:sz w:val="24"/>
          <w:szCs w:val="24"/>
        </w:rPr>
        <w:t>concerned.</w:t>
      </w:r>
      <w:r>
        <w:rPr>
          <w:rFonts w:ascii="Times New Roman" w:hAnsi="Times New Roman"/>
          <w:sz w:val="24"/>
          <w:szCs w:val="24"/>
        </w:rPr>
        <w:t>”</w:t>
      </w:r>
      <w:proofErr w:type="gramEnd"/>
      <w:r>
        <w:rPr>
          <w:rFonts w:ascii="Times New Roman" w:hAnsi="Times New Roman"/>
          <w:sz w:val="24"/>
          <w:szCs w:val="24"/>
        </w:rPr>
        <w:t xml:space="preserve"> </w:t>
      </w:r>
      <w:hyperlink r:id="rId2506" w:history="1">
        <w:r w:rsidRPr="0044657D">
          <w:rPr>
            <w:rStyle w:val="Hyperlink"/>
          </w:rPr>
          <w:t>https://www.courts.ca.gov/opinions/nonpub/C096135.PDF</w:t>
        </w:r>
      </w:hyperlink>
      <w:r>
        <w:t xml:space="preserve"> </w:t>
      </w:r>
    </w:p>
    <w:p w14:paraId="7E0B7735" w14:textId="77777777" w:rsidR="00460215" w:rsidRPr="002263B6" w:rsidRDefault="00460215" w:rsidP="00460215">
      <w:pPr>
        <w:pStyle w:val="NormalWeb"/>
        <w:rPr>
          <w:b/>
          <w:bCs/>
        </w:rPr>
      </w:pPr>
      <w:r w:rsidRPr="002263B6">
        <w:rPr>
          <w:b/>
          <w:bCs/>
        </w:rPr>
        <w:t>Legal Lesson Learned:</w:t>
      </w:r>
      <w:r>
        <w:rPr>
          <w:b/>
          <w:bCs/>
        </w:rPr>
        <w:t xml:space="preserve"> Very expensive lesson learned; the Fire Chief should have held a  pre-disciplinary conference, and the Fire Board should have provided a hearing. </w:t>
      </w:r>
    </w:p>
    <w:p w14:paraId="18E931DB" w14:textId="77777777" w:rsidR="00460215" w:rsidRDefault="00460215" w:rsidP="00460215">
      <w:pPr>
        <w:pStyle w:val="NormalWeb"/>
      </w:pPr>
    </w:p>
    <w:p w14:paraId="14F41ECC" w14:textId="6C38F8F9" w:rsidR="00787BFA" w:rsidRDefault="00787BFA" w:rsidP="00F326E5">
      <w:pPr>
        <w:pStyle w:val="NoSpacing"/>
        <w:rPr>
          <w:rFonts w:ascii="Arial Black" w:hAnsi="Arial Black"/>
          <w:sz w:val="24"/>
          <w:szCs w:val="24"/>
        </w:rPr>
      </w:pPr>
      <w:r>
        <w:rPr>
          <w:rFonts w:ascii="Arial Black" w:hAnsi="Arial Black"/>
          <w:sz w:val="24"/>
          <w:szCs w:val="24"/>
        </w:rPr>
        <w:t>16-101</w:t>
      </w:r>
    </w:p>
    <w:p w14:paraId="62B7F616" w14:textId="77777777" w:rsidR="00230D1C" w:rsidRDefault="00230D1C" w:rsidP="00230D1C">
      <w:pPr>
        <w:pStyle w:val="NormalWeb"/>
        <w:rPr>
          <w:rFonts w:ascii="Arial Black" w:hAnsi="Arial Black"/>
          <w:b/>
          <w:bCs/>
          <w:sz w:val="28"/>
          <w:szCs w:val="28"/>
        </w:rPr>
      </w:pPr>
      <w:r>
        <w:rPr>
          <w:rFonts w:ascii="Arial Black" w:hAnsi="Arial Black"/>
          <w:b/>
          <w:bCs/>
          <w:sz w:val="28"/>
          <w:szCs w:val="28"/>
        </w:rPr>
        <w:lastRenderedPageBreak/>
        <w:t>LA: ASSIST. FIRE CHIEF – DEMOTED 6 MO. PROB. PERIOD – TWO REPRIMANDS – CIVIL SERVICE BOARD REVERSED</w:t>
      </w:r>
    </w:p>
    <w:p w14:paraId="4668979D" w14:textId="77777777" w:rsidR="00230D1C" w:rsidRDefault="00230D1C" w:rsidP="00230D1C">
      <w:pPr>
        <w:pStyle w:val="NormalWeb"/>
        <w:rPr>
          <w:b/>
          <w:bCs/>
        </w:rPr>
      </w:pPr>
      <w:r w:rsidRPr="00BF4B35">
        <w:t xml:space="preserve">On Dec. 13, 2023, in </w:t>
      </w:r>
      <w:r w:rsidRPr="007D14BE">
        <w:rPr>
          <w:u w:val="single"/>
        </w:rPr>
        <w:t>E. “Ben” Zahn, III v. Kenner Municipal Fire and Police Civil Service  Board</w:t>
      </w:r>
      <w:r>
        <w:t xml:space="preserve">, the Court of Appeals of Louisiana, Fifth Circuit, held (3 to 0) that the Civil Service Board incorrectly ordered Joseph Sunseri reappointed as Assistant Fire Chief.  The Court wrote:” Mr. Sunseri received written reprimands on January 21, </w:t>
      </w:r>
      <w:proofErr w:type="gramStart"/>
      <w:r>
        <w:t>2019</w:t>
      </w:r>
      <w:proofErr w:type="gramEnd"/>
      <w:r>
        <w:t xml:space="preserve"> and March 29, 2019. The first reprimand was issued because he submitted ‘vague and then inappropriate documentation’ from several of his subordinate firefighters in response to an investigation of property damage that a citizen sustained while the department was responding to a call, in violation of several of the Department's Rules of Conduct. The second reprimand Mr. Sunseri received was for a violation of Rule of Conduct Article 50.2 - Conduct Unbecoming an Officer - after Mr. Sunseri questioned a request to perform welfare checks on Department members out on sick leave due to surgery and stated, ‘This is getting absurd.’ in a February 28, 2019 email addressed to Chief Ryan Bergeron, Chief of Administration Terence Morris, and Chief of Administration Charles Hudson…***The Board's findings do not provide a rational basis for the Board's conclusory finding that Kenner [Fire Department] did not provide Mr. Sunseri a fair opportunity to prove his ability in the position of Assistant Chief. It is not clear from the report what inferences the Board made, or which facts it determined Mr. Sunseri proved in support of his appeal (other than Kenner's failure to timely provide written notice of his rejection pursuant to La. R.S. 33:2495(C)). The lack of evidence to support the Board's decision left the district court no choice but to conclude that the Board's decision was arbitrary and </w:t>
      </w:r>
      <w:proofErr w:type="gramStart"/>
      <w:r>
        <w:t>capricious, and</w:t>
      </w:r>
      <w:proofErr w:type="gramEnd"/>
      <w:r>
        <w:t xml:space="preserve"> not made in good faith and for statutory cause.” </w:t>
      </w:r>
      <w:hyperlink r:id="rId2507" w:history="1">
        <w:r w:rsidRPr="009A4BDE">
          <w:rPr>
            <w:rStyle w:val="Hyperlink"/>
          </w:rPr>
          <w:t>https://casetext.com/case/zahn-v-kenner-mun-fire-police-civil-serv-bd</w:t>
        </w:r>
      </w:hyperlink>
      <w:r>
        <w:t xml:space="preserve"> </w:t>
      </w:r>
    </w:p>
    <w:p w14:paraId="087E81D0" w14:textId="77777777" w:rsidR="00ED6448" w:rsidRDefault="00ED6448" w:rsidP="00ED6448">
      <w:pPr>
        <w:pStyle w:val="NormalWeb"/>
        <w:rPr>
          <w:b/>
          <w:bCs/>
        </w:rPr>
      </w:pPr>
      <w:r>
        <w:rPr>
          <w:b/>
          <w:bCs/>
        </w:rPr>
        <w:t xml:space="preserve">Legal Lesson Learned: The Civil Service Board failed to write detailed “Finding of Fact” to support reinstatement decision. When appealing to the Board, the firefighter should consider videotaping and transcribing the proceedings. </w:t>
      </w:r>
    </w:p>
    <w:p w14:paraId="4A9F777E" w14:textId="77777777" w:rsidR="00230D1C" w:rsidRDefault="00230D1C" w:rsidP="00F326E5">
      <w:pPr>
        <w:pStyle w:val="NoSpacing"/>
        <w:rPr>
          <w:rFonts w:ascii="Arial Black" w:hAnsi="Arial Black"/>
          <w:sz w:val="24"/>
          <w:szCs w:val="24"/>
        </w:rPr>
      </w:pPr>
    </w:p>
    <w:p w14:paraId="7974626C" w14:textId="77777777" w:rsidR="00787BFA" w:rsidRDefault="00787BFA" w:rsidP="00F326E5">
      <w:pPr>
        <w:pStyle w:val="NoSpacing"/>
        <w:rPr>
          <w:rFonts w:ascii="Arial Black" w:hAnsi="Arial Black"/>
          <w:sz w:val="24"/>
          <w:szCs w:val="24"/>
        </w:rPr>
      </w:pPr>
    </w:p>
    <w:p w14:paraId="314CD559" w14:textId="77777777" w:rsidR="00787BFA" w:rsidRDefault="00787BFA" w:rsidP="00F326E5">
      <w:pPr>
        <w:pStyle w:val="NoSpacing"/>
        <w:rPr>
          <w:rFonts w:ascii="Arial Black" w:hAnsi="Arial Black"/>
          <w:sz w:val="24"/>
          <w:szCs w:val="24"/>
        </w:rPr>
      </w:pPr>
    </w:p>
    <w:p w14:paraId="67A876D4" w14:textId="00F0CF49" w:rsidR="009F4E32" w:rsidRDefault="00024992" w:rsidP="00F326E5">
      <w:pPr>
        <w:pStyle w:val="NoSpacing"/>
        <w:rPr>
          <w:rFonts w:ascii="Arial Black" w:hAnsi="Arial Black"/>
          <w:sz w:val="24"/>
          <w:szCs w:val="24"/>
        </w:rPr>
      </w:pPr>
      <w:r>
        <w:rPr>
          <w:rFonts w:ascii="Arial Black" w:hAnsi="Arial Black"/>
          <w:sz w:val="24"/>
          <w:szCs w:val="24"/>
        </w:rPr>
        <w:t>16-100</w:t>
      </w:r>
    </w:p>
    <w:p w14:paraId="7328B403" w14:textId="77777777" w:rsidR="00147626" w:rsidRDefault="00147626" w:rsidP="00147626">
      <w:pPr>
        <w:pStyle w:val="NormalWeb"/>
        <w:rPr>
          <w:rFonts w:ascii="Arial Black" w:hAnsi="Arial Black"/>
          <w:b/>
          <w:bCs/>
          <w:sz w:val="28"/>
          <w:szCs w:val="28"/>
        </w:rPr>
      </w:pPr>
      <w:r>
        <w:rPr>
          <w:rFonts w:ascii="Arial Black" w:hAnsi="Arial Black"/>
          <w:b/>
          <w:bCs/>
          <w:sz w:val="28"/>
          <w:szCs w:val="28"/>
        </w:rPr>
        <w:t>LA: ASSIST. FIRE CHIEF – DEMOTED 6 MO. PROB. PERIOD – TWO REPRIMANDS – CIVIL SERVICE BOARD REVERSED</w:t>
      </w:r>
    </w:p>
    <w:p w14:paraId="7B8ED50A" w14:textId="77777777" w:rsidR="00147626" w:rsidRDefault="00147626" w:rsidP="00147626">
      <w:pPr>
        <w:pStyle w:val="NormalWeb"/>
      </w:pPr>
      <w:r w:rsidRPr="00BF4B35">
        <w:t xml:space="preserve">On Dec. 13, 2023, in </w:t>
      </w:r>
      <w:r w:rsidRPr="007D14BE">
        <w:rPr>
          <w:u w:val="single"/>
        </w:rPr>
        <w:t>E. “Ben” Zahn, III v. Kenner Municipal Fire and Police Civil Service  Board</w:t>
      </w:r>
      <w:r>
        <w:t xml:space="preserve">, the Court of Appeals of Louisiana, Fifth Circuit, held (3 to 0) that the Civil Service Board incorrectly ordered Joseph Sunseri reappointed as Assistant Fire Chief.  The Court wrote:” Mr. Sunseri received written reprimands on January 21, </w:t>
      </w:r>
      <w:proofErr w:type="gramStart"/>
      <w:r>
        <w:t>2019</w:t>
      </w:r>
      <w:proofErr w:type="gramEnd"/>
      <w:r>
        <w:t xml:space="preserve"> and March 29, 2019. The first reprimand was issued because he submitted ‘vague and then inappropriate documentation’ from several of his subordinate firefighters in response to an investigation of property damage that a citizen sustained while the department was responding to a call, in violation of several of the Department's Rules of Conduct. The second reprimand Mr. Sunseri received was for a violation of Rule of Conduct Article 50.2 - Conduct Unbecoming an Officer - after Mr. Sunseri questioned a request to perform welfare checks on Department members out on sick leave due to surgery and stated, ‘This is getting absurd.’ in a February 28, 2019 email addressed to Chief Ryan Bergeron, Chief of Administration Terence Morris, and Chief of Administration Charles Hudson…***The Board's findings do not provide a rational basis for the Board's conclusory finding that Kenner [Fire Department] did not provide Mr. Sunseri a fair opportunity to prove his ability in the position of Assistant Chief. It is not clear from the report what inferences the Board made, or which facts it determined Mr. Sunseri proved in support of his appeal (other than Kenner's failure to timely provide written notice of his rejection pursuant to La. R.S. 33:2495(C)). The lack of evidence to support </w:t>
      </w:r>
      <w:r>
        <w:lastRenderedPageBreak/>
        <w:t xml:space="preserve">the Board's decision left the district court no choice but to conclude that the Board's decision was arbitrary and </w:t>
      </w:r>
      <w:proofErr w:type="gramStart"/>
      <w:r>
        <w:t>capricious, and</w:t>
      </w:r>
      <w:proofErr w:type="gramEnd"/>
      <w:r>
        <w:t xml:space="preserve"> not made in good faith and for statutory cause.” </w:t>
      </w:r>
      <w:hyperlink r:id="rId2508" w:history="1">
        <w:r w:rsidRPr="009A4BDE">
          <w:rPr>
            <w:rStyle w:val="Hyperlink"/>
          </w:rPr>
          <w:t>https://casetext.com/case/zahn-v-kenner-mun-fire-police-civil-serv-bd</w:t>
        </w:r>
      </w:hyperlink>
      <w:r>
        <w:t xml:space="preserve"> </w:t>
      </w:r>
    </w:p>
    <w:p w14:paraId="683A9D9D" w14:textId="77777777" w:rsidR="00787BFA" w:rsidRDefault="00787BFA" w:rsidP="00787BFA">
      <w:pPr>
        <w:pStyle w:val="NormalWeb"/>
        <w:rPr>
          <w:b/>
          <w:bCs/>
        </w:rPr>
      </w:pPr>
      <w:r>
        <w:rPr>
          <w:b/>
          <w:bCs/>
        </w:rPr>
        <w:t xml:space="preserve">Legal Lesson Learned: The Civil Service Board failed to write detailed “Finding of Fact” to support reinstatement decision. When appealing to the Board, the firefighter should consider videotaping and transcribing the proceedings. </w:t>
      </w:r>
    </w:p>
    <w:p w14:paraId="5119DCDB" w14:textId="77777777" w:rsidR="00787BFA" w:rsidRDefault="00787BFA" w:rsidP="00147626">
      <w:pPr>
        <w:pStyle w:val="NormalWeb"/>
        <w:rPr>
          <w:b/>
          <w:bCs/>
        </w:rPr>
      </w:pPr>
    </w:p>
    <w:p w14:paraId="796489F0" w14:textId="77777777" w:rsidR="00024992" w:rsidRDefault="00024992" w:rsidP="00F326E5">
      <w:pPr>
        <w:pStyle w:val="NoSpacing"/>
        <w:rPr>
          <w:rFonts w:ascii="Arial Black" w:hAnsi="Arial Black"/>
          <w:sz w:val="24"/>
          <w:szCs w:val="24"/>
        </w:rPr>
      </w:pPr>
    </w:p>
    <w:p w14:paraId="54F1B51B" w14:textId="77777777" w:rsidR="00024992" w:rsidRDefault="00024992" w:rsidP="00F326E5">
      <w:pPr>
        <w:pStyle w:val="NoSpacing"/>
        <w:rPr>
          <w:rFonts w:ascii="Arial Black" w:hAnsi="Arial Black"/>
          <w:sz w:val="24"/>
          <w:szCs w:val="24"/>
        </w:rPr>
      </w:pPr>
    </w:p>
    <w:p w14:paraId="23C5A7ED" w14:textId="77777777" w:rsidR="00024992" w:rsidRDefault="00024992" w:rsidP="00F326E5">
      <w:pPr>
        <w:pStyle w:val="NoSpacing"/>
        <w:rPr>
          <w:rFonts w:ascii="Arial Black" w:hAnsi="Arial Black"/>
          <w:sz w:val="24"/>
          <w:szCs w:val="24"/>
        </w:rPr>
      </w:pPr>
    </w:p>
    <w:p w14:paraId="6708A5EB" w14:textId="57BDB495" w:rsidR="009F4E32" w:rsidRDefault="009F4E32" w:rsidP="00F326E5">
      <w:pPr>
        <w:pStyle w:val="NoSpacing"/>
        <w:rPr>
          <w:rFonts w:ascii="Arial Black" w:hAnsi="Arial Black"/>
          <w:sz w:val="24"/>
          <w:szCs w:val="24"/>
        </w:rPr>
      </w:pPr>
      <w:r>
        <w:rPr>
          <w:rFonts w:ascii="Arial Black" w:hAnsi="Arial Black"/>
          <w:sz w:val="24"/>
          <w:szCs w:val="24"/>
        </w:rPr>
        <w:t>16-99</w:t>
      </w:r>
    </w:p>
    <w:p w14:paraId="02B7F1CC" w14:textId="77777777" w:rsidR="009F4E32" w:rsidRPr="00717F66" w:rsidRDefault="009F4E32" w:rsidP="009F4E32">
      <w:pPr>
        <w:pStyle w:val="NormalWeb"/>
        <w:rPr>
          <w:rFonts w:ascii="Arial Black" w:hAnsi="Arial Black"/>
          <w:b/>
          <w:bCs/>
          <w:sz w:val="28"/>
          <w:szCs w:val="28"/>
        </w:rPr>
      </w:pPr>
      <w:r>
        <w:rPr>
          <w:rFonts w:ascii="Arial Black" w:hAnsi="Arial Black"/>
          <w:b/>
          <w:bCs/>
          <w:sz w:val="28"/>
          <w:szCs w:val="28"/>
        </w:rPr>
        <w:t xml:space="preserve">IN: FF MEDICAL LEAVE – BUT WORKING MEDIC ANOTHER FD – FALSE DISAB. BENEFITS APPLICATION – FIRED  </w:t>
      </w:r>
    </w:p>
    <w:p w14:paraId="65C3D2A8" w14:textId="77777777" w:rsidR="009F4E32" w:rsidRDefault="009F4E32" w:rsidP="009F4E32">
      <w:pPr>
        <w:pStyle w:val="NormalWeb"/>
      </w:pPr>
      <w:r w:rsidRPr="00625E97">
        <w:t xml:space="preserve">On Dec. 8, 2023, in </w:t>
      </w:r>
      <w:r w:rsidRPr="00625E97">
        <w:rPr>
          <w:u w:val="single"/>
        </w:rPr>
        <w:t>Mark A. Goodlett v. Town of Clarksville and Town of Clarksville Fire Department,</w:t>
      </w:r>
      <w:r w:rsidRPr="00625E97">
        <w:t xml:space="preserve"> </w:t>
      </w:r>
      <w:r>
        <w:t xml:space="preserve">the Court of Appeals of Indiana held (3 to 0) that trial court judge properly upheld the termination of the firefighter. Progressive discipline policy is only a “guide.” The Court held:  “The Board [Town of Clarksville Board of Police and Fire Commissioners] properly exercised its authority under </w:t>
      </w:r>
      <w:hyperlink r:id="rId2509" w:history="1">
        <w:r>
          <w:rPr>
            <w:rStyle w:val="Hyperlink"/>
          </w:rPr>
          <w:t>Indiana Code section 36-8-3-4</w:t>
        </w:r>
      </w:hyperlink>
      <w:r>
        <w:t xml:space="preserve"> and the department's General Orders. Accordingly, the Board's decision to terminate Goodlett for neglect of duty, immoral conduct, conduct unbecoming an officer, violations of department rules, and breaches of discipline was not arbitrary and capricious, and it did not otherwise violate Goodlett's due process rights.” </w:t>
      </w:r>
      <w:hyperlink r:id="rId2510" w:history="1">
        <w:r w:rsidRPr="0024537E">
          <w:rPr>
            <w:rStyle w:val="Hyperlink"/>
          </w:rPr>
          <w:t>https://casetext.com/case/goodlett-v-town-of-clarksville</w:t>
        </w:r>
      </w:hyperlink>
      <w:r>
        <w:t xml:space="preserve"> </w:t>
      </w:r>
    </w:p>
    <w:p w14:paraId="508F3DA8" w14:textId="77777777" w:rsidR="00024992" w:rsidRPr="003845F4" w:rsidRDefault="00024992" w:rsidP="00024992">
      <w:pPr>
        <w:pStyle w:val="paragraph"/>
        <w:rPr>
          <w:b/>
          <w:bCs/>
        </w:rPr>
      </w:pPr>
      <w:r w:rsidRPr="003845F4">
        <w:rPr>
          <w:b/>
          <w:bCs/>
        </w:rPr>
        <w:t xml:space="preserve">Legal Lesson Learned:  </w:t>
      </w:r>
      <w:r>
        <w:rPr>
          <w:b/>
          <w:bCs/>
        </w:rPr>
        <w:t xml:space="preserve">Progressive discipline policy stated it is “merely a guide.” </w:t>
      </w:r>
    </w:p>
    <w:p w14:paraId="2FE51734" w14:textId="77777777" w:rsidR="009F4E32" w:rsidRDefault="009F4E32" w:rsidP="00F326E5">
      <w:pPr>
        <w:pStyle w:val="NoSpacing"/>
        <w:rPr>
          <w:rFonts w:ascii="Arial Black" w:hAnsi="Arial Black"/>
          <w:sz w:val="24"/>
          <w:szCs w:val="24"/>
        </w:rPr>
      </w:pPr>
    </w:p>
    <w:p w14:paraId="0221527B" w14:textId="77777777" w:rsidR="009F4E32" w:rsidRDefault="009F4E32" w:rsidP="00F326E5">
      <w:pPr>
        <w:pStyle w:val="NoSpacing"/>
        <w:rPr>
          <w:rFonts w:ascii="Arial Black" w:hAnsi="Arial Black"/>
          <w:sz w:val="24"/>
          <w:szCs w:val="24"/>
        </w:rPr>
      </w:pPr>
    </w:p>
    <w:p w14:paraId="7542A717" w14:textId="77777777" w:rsidR="0042334A" w:rsidRDefault="0042334A" w:rsidP="00F326E5">
      <w:pPr>
        <w:pStyle w:val="NoSpacing"/>
        <w:rPr>
          <w:rFonts w:ascii="Arial Black" w:hAnsi="Arial Black"/>
          <w:sz w:val="24"/>
          <w:szCs w:val="24"/>
        </w:rPr>
      </w:pPr>
    </w:p>
    <w:p w14:paraId="3EC4DE6C" w14:textId="13C88AEF" w:rsidR="0042334A" w:rsidRDefault="0042334A" w:rsidP="00F326E5">
      <w:pPr>
        <w:pStyle w:val="NoSpacing"/>
        <w:rPr>
          <w:rFonts w:ascii="Arial Black" w:hAnsi="Arial Black"/>
          <w:sz w:val="24"/>
          <w:szCs w:val="24"/>
        </w:rPr>
      </w:pPr>
      <w:r>
        <w:rPr>
          <w:rFonts w:ascii="Arial Black" w:hAnsi="Arial Black"/>
          <w:sz w:val="24"/>
          <w:szCs w:val="24"/>
        </w:rPr>
        <w:t>16-98</w:t>
      </w:r>
    </w:p>
    <w:p w14:paraId="3FC87A0E" w14:textId="77777777" w:rsidR="0042334A" w:rsidRDefault="0042334A" w:rsidP="00F326E5">
      <w:pPr>
        <w:pStyle w:val="NoSpacing"/>
        <w:rPr>
          <w:rFonts w:ascii="Arial Black" w:hAnsi="Arial Black"/>
          <w:sz w:val="24"/>
          <w:szCs w:val="24"/>
        </w:rPr>
      </w:pPr>
    </w:p>
    <w:p w14:paraId="4FEA0319" w14:textId="77777777" w:rsidR="00706FEC" w:rsidRDefault="00706FEC" w:rsidP="00706FEC">
      <w:pPr>
        <w:pStyle w:val="NoSpacing"/>
        <w:rPr>
          <w:rFonts w:ascii="Arial Black" w:hAnsi="Arial Black"/>
          <w:b/>
          <w:sz w:val="28"/>
          <w:szCs w:val="28"/>
        </w:rPr>
      </w:pPr>
      <w:r>
        <w:rPr>
          <w:rFonts w:ascii="Arial Black" w:hAnsi="Arial Black"/>
          <w:b/>
          <w:sz w:val="28"/>
          <w:szCs w:val="28"/>
        </w:rPr>
        <w:t>MI: FIRE CHIEF FIRED – MAYOR REFUSED TO FIRE TWO FF AFTER DEATH 2 BOYS – 1</w:t>
      </w:r>
      <w:r w:rsidRPr="002F340D">
        <w:rPr>
          <w:rFonts w:ascii="Arial Black" w:hAnsi="Arial Black"/>
          <w:b/>
          <w:sz w:val="28"/>
          <w:szCs w:val="28"/>
          <w:vertAlign w:val="superscript"/>
        </w:rPr>
        <w:t>st</w:t>
      </w:r>
      <w:r>
        <w:rPr>
          <w:rFonts w:ascii="Arial Black" w:hAnsi="Arial Black"/>
          <w:b/>
          <w:sz w:val="28"/>
          <w:szCs w:val="28"/>
        </w:rPr>
        <w:t xml:space="preserve"> AMEND. RETALIATION PROCEED </w:t>
      </w:r>
    </w:p>
    <w:p w14:paraId="1B2E4E73" w14:textId="77777777" w:rsidR="00706FEC" w:rsidRDefault="00706FEC" w:rsidP="00706FEC">
      <w:pPr>
        <w:pStyle w:val="NoSpacing"/>
        <w:rPr>
          <w:rFonts w:ascii="Times New Roman" w:hAnsi="Times New Roman"/>
          <w:bCs/>
          <w:sz w:val="24"/>
          <w:szCs w:val="24"/>
        </w:rPr>
      </w:pPr>
    </w:p>
    <w:p w14:paraId="28DFC9B5" w14:textId="4FB984F3" w:rsidR="00706FEC" w:rsidRDefault="00706FEC" w:rsidP="00706FEC">
      <w:pPr>
        <w:pStyle w:val="NoSpacing"/>
        <w:rPr>
          <w:rFonts w:ascii="Times New Roman" w:hAnsi="Times New Roman"/>
          <w:bCs/>
          <w:sz w:val="24"/>
          <w:szCs w:val="24"/>
        </w:rPr>
      </w:pPr>
      <w:r w:rsidRPr="00C755A6">
        <w:rPr>
          <w:rFonts w:ascii="Times New Roman" w:hAnsi="Times New Roman"/>
          <w:bCs/>
          <w:sz w:val="24"/>
          <w:szCs w:val="24"/>
        </w:rPr>
        <w:t xml:space="preserve">On Nov. 20, 2023, in </w:t>
      </w:r>
      <w:r w:rsidRPr="00AE5219">
        <w:rPr>
          <w:rFonts w:ascii="Times New Roman" w:hAnsi="Times New Roman"/>
          <w:bCs/>
          <w:sz w:val="24"/>
          <w:szCs w:val="24"/>
          <w:u w:val="single"/>
        </w:rPr>
        <w:t>Raymond C. Barton v. Sheldon Neely and City of Flint, Michigan</w:t>
      </w:r>
      <w:r>
        <w:rPr>
          <w:rFonts w:ascii="Times New Roman" w:hAnsi="Times New Roman"/>
          <w:bCs/>
          <w:sz w:val="24"/>
          <w:szCs w:val="24"/>
        </w:rPr>
        <w:t xml:space="preserve">, U.S. District Court Judge Nancy G. Edmunds held that the former Fire Chiefs claim of First Amendment retaliation may proceed against the Mayor and the City. The Court refused to grant qualified immunity to the </w:t>
      </w:r>
      <w:proofErr w:type="gramStart"/>
      <w:r>
        <w:rPr>
          <w:rFonts w:ascii="Times New Roman" w:hAnsi="Times New Roman"/>
          <w:bCs/>
          <w:sz w:val="24"/>
          <w:szCs w:val="24"/>
        </w:rPr>
        <w:t>Mayor</w:t>
      </w:r>
      <w:proofErr w:type="gramEnd"/>
      <w:r>
        <w:rPr>
          <w:rFonts w:ascii="Times New Roman" w:hAnsi="Times New Roman"/>
          <w:bCs/>
          <w:sz w:val="24"/>
          <w:szCs w:val="24"/>
        </w:rPr>
        <w:t xml:space="preserve"> and ordered pre-trial discovery to proceed.  While the Fire Chief was an “at will” employee, he is protected from retaliation for telling City Council that he recommended termination of two firefighters for failure to find two boys during search second floor of house fire.  </w:t>
      </w:r>
      <w:proofErr w:type="gramStart"/>
      <w:r>
        <w:rPr>
          <w:rFonts w:ascii="Times New Roman" w:hAnsi="Times New Roman"/>
          <w:bCs/>
          <w:sz w:val="24"/>
          <w:szCs w:val="24"/>
        </w:rPr>
        <w:t>Mayor’s</w:t>
      </w:r>
      <w:proofErr w:type="gramEnd"/>
      <w:r>
        <w:rPr>
          <w:rFonts w:ascii="Times New Roman" w:hAnsi="Times New Roman"/>
          <w:bCs/>
          <w:sz w:val="24"/>
          <w:szCs w:val="24"/>
        </w:rPr>
        <w:t xml:space="preserve"> repeatedly told Fire Chief to only suspend the firefighters since Mayor was running for reelection and wanted Union support. </w:t>
      </w:r>
      <w:hyperlink r:id="rId2511" w:history="1">
        <w:r w:rsidRPr="00553FEF">
          <w:rPr>
            <w:rStyle w:val="Hyperlink"/>
            <w:rFonts w:ascii="Times New Roman" w:hAnsi="Times New Roman"/>
            <w:bCs/>
            <w:sz w:val="24"/>
            <w:szCs w:val="24"/>
          </w:rPr>
          <w:t>https://cases.justia.com/federal/district-courts/michigan/miedce/2:2023cv10051/366865/15/0.pdf?ts=1700584910</w:t>
        </w:r>
      </w:hyperlink>
      <w:r>
        <w:rPr>
          <w:rFonts w:ascii="Times New Roman" w:hAnsi="Times New Roman"/>
          <w:bCs/>
          <w:sz w:val="24"/>
          <w:szCs w:val="24"/>
        </w:rPr>
        <w:t xml:space="preserve"> </w:t>
      </w:r>
    </w:p>
    <w:p w14:paraId="055ABC7F" w14:textId="77777777" w:rsidR="00286CE9" w:rsidRDefault="00286CE9" w:rsidP="00706FEC">
      <w:pPr>
        <w:pStyle w:val="NoSpacing"/>
        <w:rPr>
          <w:rFonts w:ascii="Times New Roman" w:hAnsi="Times New Roman"/>
          <w:bCs/>
          <w:sz w:val="24"/>
          <w:szCs w:val="24"/>
        </w:rPr>
      </w:pPr>
    </w:p>
    <w:p w14:paraId="62384D65" w14:textId="77777777" w:rsidR="00286CE9" w:rsidRDefault="00286CE9" w:rsidP="00286CE9">
      <w:pPr>
        <w:pStyle w:val="NoSpacing"/>
        <w:rPr>
          <w:rFonts w:ascii="Times New Roman" w:hAnsi="Times New Roman"/>
          <w:b/>
          <w:sz w:val="24"/>
          <w:szCs w:val="24"/>
        </w:rPr>
      </w:pPr>
      <w:r w:rsidRPr="00B662B4">
        <w:rPr>
          <w:rFonts w:ascii="Times New Roman" w:hAnsi="Times New Roman"/>
          <w:b/>
          <w:sz w:val="24"/>
          <w:szCs w:val="24"/>
        </w:rPr>
        <w:t>Legal Lesson Learned:</w:t>
      </w:r>
      <w:r>
        <w:rPr>
          <w:rFonts w:ascii="Times New Roman" w:hAnsi="Times New Roman"/>
          <w:b/>
          <w:sz w:val="24"/>
          <w:szCs w:val="24"/>
        </w:rPr>
        <w:t xml:space="preserve">  Even “at will” Fire Chiefs are protected from retaliation for his First Amendment comments to City Council as a private citizen. </w:t>
      </w:r>
    </w:p>
    <w:p w14:paraId="24FE1933" w14:textId="77777777" w:rsidR="00286CE9" w:rsidRDefault="00286CE9" w:rsidP="00286CE9">
      <w:pPr>
        <w:pStyle w:val="Heading1"/>
        <w:ind w:left="720"/>
        <w:rPr>
          <w:b w:val="0"/>
          <w:bCs w:val="0"/>
          <w:sz w:val="24"/>
          <w:szCs w:val="24"/>
        </w:rPr>
      </w:pPr>
      <w:r w:rsidRPr="00064C32">
        <w:rPr>
          <w:b w:val="0"/>
          <w:sz w:val="24"/>
          <w:szCs w:val="24"/>
        </w:rPr>
        <w:lastRenderedPageBreak/>
        <w:t>Note: See Nov. 2</w:t>
      </w:r>
      <w:r>
        <w:rPr>
          <w:b w:val="0"/>
          <w:sz w:val="24"/>
          <w:szCs w:val="24"/>
        </w:rPr>
        <w:t>0</w:t>
      </w:r>
      <w:r w:rsidRPr="00064C32">
        <w:rPr>
          <w:b w:val="0"/>
          <w:sz w:val="24"/>
          <w:szCs w:val="24"/>
        </w:rPr>
        <w:t xml:space="preserve">, </w:t>
      </w:r>
      <w:proofErr w:type="gramStart"/>
      <w:r w:rsidRPr="00064C32">
        <w:rPr>
          <w:b w:val="0"/>
          <w:sz w:val="24"/>
          <w:szCs w:val="24"/>
        </w:rPr>
        <w:t>2023</w:t>
      </w:r>
      <w:proofErr w:type="gramEnd"/>
      <w:r w:rsidRPr="00064C32">
        <w:rPr>
          <w:b w:val="0"/>
          <w:sz w:val="24"/>
          <w:szCs w:val="24"/>
        </w:rPr>
        <w:t xml:space="preserve"> article, </w:t>
      </w:r>
      <w:r w:rsidRPr="00A7321C">
        <w:rPr>
          <w:b w:val="0"/>
          <w:bCs w:val="0"/>
          <w:sz w:val="24"/>
          <w:szCs w:val="24"/>
        </w:rPr>
        <w:t xml:space="preserve">“Judge rules lawsuit filed by former fire chief against Flint mayor can continue.” </w:t>
      </w:r>
      <w:hyperlink r:id="rId2512" w:history="1">
        <w:r w:rsidRPr="00A7321C">
          <w:rPr>
            <w:rStyle w:val="Hyperlink"/>
            <w:b w:val="0"/>
            <w:bCs w:val="0"/>
            <w:sz w:val="24"/>
            <w:szCs w:val="24"/>
          </w:rPr>
          <w:t>https://midmichigannow.com/news/local/judge-rules-lawsuit-filed-by-former-fire-chief-against-flint-mayor-can-continue</w:t>
        </w:r>
      </w:hyperlink>
      <w:r w:rsidRPr="00A7321C">
        <w:rPr>
          <w:b w:val="0"/>
          <w:bCs w:val="0"/>
          <w:sz w:val="24"/>
          <w:szCs w:val="24"/>
        </w:rPr>
        <w:t xml:space="preserve"> </w:t>
      </w:r>
    </w:p>
    <w:p w14:paraId="43197685" w14:textId="77777777" w:rsidR="00286CE9" w:rsidRDefault="00286CE9" w:rsidP="00286CE9">
      <w:pPr>
        <w:pStyle w:val="NoSpacing"/>
        <w:ind w:firstLine="720"/>
        <w:rPr>
          <w:rFonts w:ascii="Times New Roman" w:hAnsi="Times New Roman"/>
          <w:bCs/>
          <w:sz w:val="24"/>
          <w:szCs w:val="24"/>
        </w:rPr>
      </w:pPr>
      <w:r>
        <w:rPr>
          <w:rFonts w:ascii="Times New Roman" w:hAnsi="Times New Roman"/>
          <w:bCs/>
          <w:sz w:val="24"/>
          <w:szCs w:val="24"/>
        </w:rPr>
        <w:t xml:space="preserve">The </w:t>
      </w:r>
      <w:r w:rsidRPr="00A05EF8">
        <w:rPr>
          <w:rFonts w:ascii="Times New Roman" w:hAnsi="Times New Roman"/>
          <w:bCs/>
          <w:sz w:val="24"/>
          <w:szCs w:val="24"/>
        </w:rPr>
        <w:t xml:space="preserve">Court </w:t>
      </w:r>
      <w:r>
        <w:rPr>
          <w:rFonts w:ascii="Times New Roman" w:hAnsi="Times New Roman"/>
          <w:bCs/>
          <w:sz w:val="24"/>
          <w:szCs w:val="24"/>
        </w:rPr>
        <w:t>referenced detailed facts from the Fire Chiefs amended complaint:</w:t>
      </w:r>
      <w:r w:rsidRPr="00A05EF8">
        <w:rPr>
          <w:rFonts w:ascii="Times New Roman" w:hAnsi="Times New Roman"/>
          <w:bCs/>
          <w:sz w:val="24"/>
          <w:szCs w:val="24"/>
        </w:rPr>
        <w:t xml:space="preserve"> </w:t>
      </w:r>
    </w:p>
    <w:p w14:paraId="42E4A09C" w14:textId="77777777" w:rsidR="00286CE9" w:rsidRDefault="00286CE9" w:rsidP="00286CE9">
      <w:pPr>
        <w:pStyle w:val="NoSpacing"/>
        <w:rPr>
          <w:rFonts w:ascii="Times New Roman" w:hAnsi="Times New Roman"/>
          <w:bCs/>
          <w:sz w:val="24"/>
          <w:szCs w:val="24"/>
        </w:rPr>
      </w:pPr>
    </w:p>
    <w:p w14:paraId="57F267C6" w14:textId="77777777" w:rsidR="00286CE9" w:rsidRPr="00E90346" w:rsidRDefault="00286CE9" w:rsidP="00286CE9">
      <w:pPr>
        <w:pStyle w:val="NoSpacing"/>
        <w:rPr>
          <w:rFonts w:ascii="Times New Roman" w:hAnsi="Times New Roman"/>
          <w:b/>
          <w:sz w:val="24"/>
          <w:szCs w:val="24"/>
        </w:rPr>
      </w:pPr>
      <w:r>
        <w:rPr>
          <w:rFonts w:ascii="Times New Roman" w:hAnsi="Times New Roman"/>
          <w:bCs/>
          <w:sz w:val="24"/>
          <w:szCs w:val="24"/>
        </w:rPr>
        <w:tab/>
      </w:r>
      <w:r>
        <w:rPr>
          <w:rFonts w:ascii="Times New Roman" w:hAnsi="Times New Roman"/>
          <w:b/>
          <w:sz w:val="24"/>
          <w:szCs w:val="24"/>
        </w:rPr>
        <w:t>“</w:t>
      </w:r>
      <w:r w:rsidRPr="00E90346">
        <w:rPr>
          <w:rFonts w:ascii="Times New Roman" w:hAnsi="Times New Roman"/>
          <w:bCs/>
          <w:sz w:val="24"/>
          <w:szCs w:val="24"/>
        </w:rPr>
        <w:t>This lawsuit arises out of the discharge of Plaintiff from his position as Flint City</w:t>
      </w:r>
    </w:p>
    <w:p w14:paraId="0983EE60" w14:textId="77777777" w:rsidR="00286CE9" w:rsidRDefault="00286CE9" w:rsidP="00286CE9">
      <w:pPr>
        <w:pStyle w:val="NoSpacing"/>
        <w:ind w:left="720"/>
        <w:rPr>
          <w:rFonts w:ascii="Times New Roman" w:hAnsi="Times New Roman"/>
          <w:bCs/>
          <w:sz w:val="24"/>
          <w:szCs w:val="24"/>
        </w:rPr>
      </w:pPr>
      <w:r w:rsidRPr="00E90346">
        <w:rPr>
          <w:rFonts w:ascii="Times New Roman" w:hAnsi="Times New Roman"/>
          <w:bCs/>
          <w:sz w:val="24"/>
          <w:szCs w:val="24"/>
        </w:rPr>
        <w:t xml:space="preserve">Fire Chief by Defendant Neely, Flint City Mayor. On May 28, 2022, a fire broke out at a house on Pulaski Street in Flint, Michigan. (ECF No. 2, PageID.18–19.) Six firefighters arrived at the scene of the fire, where they were told that residents were likely still inside. (Id. at PageID.19.) Two firefighters conducted a search for </w:t>
      </w:r>
      <w:proofErr w:type="gramStart"/>
      <w:r w:rsidRPr="00E90346">
        <w:rPr>
          <w:rFonts w:ascii="Times New Roman" w:hAnsi="Times New Roman"/>
          <w:bCs/>
          <w:sz w:val="24"/>
          <w:szCs w:val="24"/>
        </w:rPr>
        <w:t>persons</w:t>
      </w:r>
      <w:proofErr w:type="gramEnd"/>
      <w:r w:rsidRPr="00E90346">
        <w:rPr>
          <w:rFonts w:ascii="Times New Roman" w:hAnsi="Times New Roman"/>
          <w:bCs/>
          <w:sz w:val="24"/>
          <w:szCs w:val="24"/>
        </w:rPr>
        <w:t xml:space="preserve"> on the second floor of the home. (Id.) Both claimed they thoroughly searched all rooms on the upper level and used infrared equipment and thermal imaging to aid in the search. (Id.) The two firefighters then returned to the first floor and told the other firefighters there was no one else in the home. (Id.) At that point, a second set of firefighters went up to the second floor and immediately found two young boys in a bedroom. (Id. at PageID.20.) Neither boy was covered by any objects or obstructions and were visible to the naked eye. (Id.) The boys were discovered approximately seven minutes after the first two firefighters had asserted that the house was all clear. (Id.) The boys died </w:t>
      </w:r>
      <w:proofErr w:type="gramStart"/>
      <w:r w:rsidRPr="00E90346">
        <w:rPr>
          <w:rFonts w:ascii="Times New Roman" w:hAnsi="Times New Roman"/>
          <w:bCs/>
          <w:sz w:val="24"/>
          <w:szCs w:val="24"/>
        </w:rPr>
        <w:t>as a result of</w:t>
      </w:r>
      <w:proofErr w:type="gramEnd"/>
      <w:r w:rsidRPr="00E90346">
        <w:rPr>
          <w:rFonts w:ascii="Times New Roman" w:hAnsi="Times New Roman"/>
          <w:bCs/>
          <w:sz w:val="24"/>
          <w:szCs w:val="24"/>
        </w:rPr>
        <w:t xml:space="preserve"> the fire. (Id. at PageID.17.)</w:t>
      </w:r>
    </w:p>
    <w:p w14:paraId="255C8B61" w14:textId="77777777" w:rsidR="00286CE9" w:rsidRDefault="00286CE9" w:rsidP="00286CE9">
      <w:pPr>
        <w:pStyle w:val="NoSpacing"/>
        <w:ind w:left="720"/>
        <w:rPr>
          <w:rFonts w:ascii="Times New Roman" w:hAnsi="Times New Roman"/>
          <w:bCs/>
          <w:sz w:val="24"/>
          <w:szCs w:val="24"/>
        </w:rPr>
      </w:pPr>
    </w:p>
    <w:p w14:paraId="6A5BCC0C" w14:textId="77777777" w:rsidR="00286CE9" w:rsidRPr="00E90346" w:rsidRDefault="00286CE9" w:rsidP="00286CE9">
      <w:pPr>
        <w:pStyle w:val="NoSpacing"/>
        <w:ind w:left="720"/>
        <w:rPr>
          <w:rFonts w:ascii="Times New Roman" w:hAnsi="Times New Roman"/>
          <w:bCs/>
          <w:sz w:val="24"/>
          <w:szCs w:val="24"/>
        </w:rPr>
      </w:pPr>
      <w:r>
        <w:rPr>
          <w:rFonts w:ascii="Times New Roman" w:hAnsi="Times New Roman"/>
          <w:bCs/>
          <w:sz w:val="24"/>
          <w:szCs w:val="24"/>
        </w:rPr>
        <w:t>***</w:t>
      </w:r>
    </w:p>
    <w:p w14:paraId="5EAFD0F5" w14:textId="77777777" w:rsidR="00286CE9" w:rsidRPr="00E90346" w:rsidRDefault="00286CE9" w:rsidP="00286CE9">
      <w:pPr>
        <w:pStyle w:val="NoSpacing"/>
        <w:rPr>
          <w:rFonts w:ascii="Times New Roman" w:hAnsi="Times New Roman"/>
          <w:bCs/>
          <w:sz w:val="24"/>
          <w:szCs w:val="24"/>
        </w:rPr>
      </w:pPr>
    </w:p>
    <w:p w14:paraId="19F036BA" w14:textId="77777777" w:rsidR="00286CE9" w:rsidRDefault="00286CE9" w:rsidP="00286CE9">
      <w:pPr>
        <w:pStyle w:val="NoSpacing"/>
        <w:ind w:left="720"/>
        <w:rPr>
          <w:rFonts w:ascii="Times New Roman" w:hAnsi="Times New Roman"/>
          <w:bCs/>
          <w:sz w:val="24"/>
          <w:szCs w:val="24"/>
        </w:rPr>
      </w:pPr>
      <w:r w:rsidRPr="00E90346">
        <w:rPr>
          <w:rFonts w:ascii="Times New Roman" w:hAnsi="Times New Roman"/>
          <w:bCs/>
          <w:sz w:val="24"/>
          <w:szCs w:val="24"/>
        </w:rPr>
        <w:t>According to Plaintiff, the firefighters did not comply with the investigation and were unwilling to correct factual misrepresentations in their official reports on the fire. (Id. at PageID.21.)</w:t>
      </w:r>
    </w:p>
    <w:p w14:paraId="2F702A61" w14:textId="77777777" w:rsidR="00286CE9" w:rsidRDefault="00286CE9" w:rsidP="00286CE9">
      <w:pPr>
        <w:pStyle w:val="NoSpacing"/>
        <w:ind w:left="720"/>
        <w:rPr>
          <w:rFonts w:ascii="Times New Roman" w:hAnsi="Times New Roman"/>
          <w:bCs/>
          <w:sz w:val="24"/>
          <w:szCs w:val="24"/>
        </w:rPr>
      </w:pPr>
    </w:p>
    <w:p w14:paraId="7D16968A" w14:textId="77777777" w:rsidR="00286CE9" w:rsidRPr="00E90346" w:rsidRDefault="00286CE9" w:rsidP="00286CE9">
      <w:pPr>
        <w:pStyle w:val="NoSpacing"/>
        <w:ind w:left="720"/>
        <w:rPr>
          <w:rFonts w:ascii="Times New Roman" w:hAnsi="Times New Roman"/>
          <w:bCs/>
          <w:sz w:val="24"/>
          <w:szCs w:val="24"/>
        </w:rPr>
      </w:pPr>
      <w:r>
        <w:rPr>
          <w:rFonts w:ascii="Times New Roman" w:hAnsi="Times New Roman"/>
          <w:bCs/>
          <w:sz w:val="24"/>
          <w:szCs w:val="24"/>
        </w:rPr>
        <w:t>***</w:t>
      </w:r>
    </w:p>
    <w:p w14:paraId="669A1B06" w14:textId="77777777" w:rsidR="00286CE9" w:rsidRPr="00E90346" w:rsidRDefault="00286CE9" w:rsidP="00286CE9">
      <w:pPr>
        <w:pStyle w:val="NoSpacing"/>
        <w:rPr>
          <w:rFonts w:ascii="Times New Roman" w:hAnsi="Times New Roman"/>
          <w:bCs/>
          <w:sz w:val="24"/>
          <w:szCs w:val="24"/>
        </w:rPr>
      </w:pPr>
    </w:p>
    <w:p w14:paraId="410BAECA"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Plaintiff then recommended that the firefighters be suspended without pay pending</w:t>
      </w:r>
    </w:p>
    <w:p w14:paraId="783D4DA7"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a final investigation and discharged at the conclusion of the investigation. (Id.) When</w:t>
      </w:r>
    </w:p>
    <w:p w14:paraId="62D8EA70"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Plaintiff informed the city council and other city officials of his recommendations,</w:t>
      </w:r>
    </w:p>
    <w:p w14:paraId="36A6C4BF"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Defendant Neely instructed Plaintiff to change his factual findings and recommendations.</w:t>
      </w:r>
    </w:p>
    <w:p w14:paraId="36D6A91B"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(Id.) Plaintiff’s Amended Complaint states that Defendant Neely wanted Plaintiff to</w:t>
      </w:r>
    </w:p>
    <w:p w14:paraId="642242DA" w14:textId="77777777" w:rsidR="00286CE9" w:rsidRPr="00E90346" w:rsidRDefault="00286CE9" w:rsidP="00286CE9">
      <w:pPr>
        <w:pStyle w:val="NoSpacing"/>
        <w:ind w:firstLine="720"/>
        <w:rPr>
          <w:rFonts w:ascii="Times New Roman" w:hAnsi="Times New Roman"/>
          <w:bCs/>
          <w:sz w:val="24"/>
          <w:szCs w:val="24"/>
        </w:rPr>
      </w:pPr>
      <w:r>
        <w:rPr>
          <w:rFonts w:ascii="Times New Roman" w:hAnsi="Times New Roman"/>
          <w:bCs/>
          <w:sz w:val="24"/>
          <w:szCs w:val="24"/>
        </w:rPr>
        <w:t>‘</w:t>
      </w:r>
      <w:proofErr w:type="gramStart"/>
      <w:r w:rsidRPr="00E90346">
        <w:rPr>
          <w:rFonts w:ascii="Times New Roman" w:hAnsi="Times New Roman"/>
          <w:bCs/>
          <w:sz w:val="24"/>
          <w:szCs w:val="24"/>
        </w:rPr>
        <w:t>disguise</w:t>
      </w:r>
      <w:proofErr w:type="gramEnd"/>
      <w:r w:rsidRPr="00E90346">
        <w:rPr>
          <w:rFonts w:ascii="Times New Roman" w:hAnsi="Times New Roman"/>
          <w:bCs/>
          <w:sz w:val="24"/>
          <w:szCs w:val="24"/>
        </w:rPr>
        <w:t xml:space="preserve"> the firefighters’ misconduct, suspend the firefighters with pay, and drop his 3</w:t>
      </w:r>
    </w:p>
    <w:p w14:paraId="116BA16E"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recommendation that they be discharged.</w:t>
      </w:r>
      <w:r>
        <w:rPr>
          <w:rFonts w:ascii="Times New Roman" w:hAnsi="Times New Roman"/>
          <w:bCs/>
          <w:sz w:val="24"/>
          <w:szCs w:val="24"/>
        </w:rPr>
        <w:t>’</w:t>
      </w:r>
      <w:r w:rsidRPr="00E90346">
        <w:rPr>
          <w:rFonts w:ascii="Times New Roman" w:hAnsi="Times New Roman"/>
          <w:bCs/>
          <w:sz w:val="24"/>
          <w:szCs w:val="24"/>
        </w:rPr>
        <w:t xml:space="preserve"> (Id.) Defendant Neely then informed Plaintiff</w:t>
      </w:r>
    </w:p>
    <w:p w14:paraId="691CB294"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that Defendant Neely and his wife were up for election and re-election in their respective</w:t>
      </w:r>
    </w:p>
    <w:p w14:paraId="0CFBCBC2"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positions and needed the support of the firefighters’ union. (Id.) Plaintiff interpreted that</w:t>
      </w:r>
    </w:p>
    <w:p w14:paraId="32C48BD9" w14:textId="77777777" w:rsidR="00286CE9" w:rsidRPr="00E90346" w:rsidRDefault="00286CE9" w:rsidP="00286CE9">
      <w:pPr>
        <w:pStyle w:val="NoSpacing"/>
        <w:ind w:left="720"/>
        <w:rPr>
          <w:rFonts w:ascii="Times New Roman" w:hAnsi="Times New Roman"/>
          <w:bCs/>
          <w:sz w:val="24"/>
          <w:szCs w:val="24"/>
        </w:rPr>
      </w:pPr>
      <w:r w:rsidRPr="00E90346">
        <w:rPr>
          <w:rFonts w:ascii="Times New Roman" w:hAnsi="Times New Roman"/>
          <w:bCs/>
          <w:sz w:val="24"/>
          <w:szCs w:val="24"/>
        </w:rPr>
        <w:t>to mean that Defendant Neely wanted to “cover up [the firefighters’] wrongdoing and fraud for the sole purpose of winning personal political support from the firefighters’ union.” (Id.)</w:t>
      </w:r>
    </w:p>
    <w:p w14:paraId="3935CA6A" w14:textId="77777777" w:rsidR="00286CE9" w:rsidRPr="00E90346" w:rsidRDefault="00286CE9" w:rsidP="00286CE9">
      <w:pPr>
        <w:pStyle w:val="NoSpacing"/>
        <w:rPr>
          <w:rFonts w:ascii="Times New Roman" w:hAnsi="Times New Roman"/>
          <w:bCs/>
          <w:sz w:val="24"/>
          <w:szCs w:val="24"/>
        </w:rPr>
      </w:pPr>
    </w:p>
    <w:p w14:paraId="5FA32264"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Plaintiff refused to change his findings and recommendations or make false</w:t>
      </w:r>
    </w:p>
    <w:p w14:paraId="106B4706"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statements about the incident. (Id. at PageID.22.) Defendant Neely continued to insist</w:t>
      </w:r>
    </w:p>
    <w:p w14:paraId="7E906BD8" w14:textId="77777777" w:rsidR="00286CE9" w:rsidRPr="00E90346" w:rsidRDefault="00286CE9" w:rsidP="00286CE9">
      <w:pPr>
        <w:pStyle w:val="NoSpacing"/>
        <w:ind w:firstLine="720"/>
        <w:rPr>
          <w:rFonts w:ascii="Times New Roman" w:hAnsi="Times New Roman"/>
          <w:bCs/>
          <w:sz w:val="24"/>
          <w:szCs w:val="24"/>
        </w:rPr>
      </w:pPr>
      <w:proofErr w:type="gramStart"/>
      <w:r w:rsidRPr="00E90346">
        <w:rPr>
          <w:rFonts w:ascii="Times New Roman" w:hAnsi="Times New Roman"/>
          <w:bCs/>
          <w:sz w:val="24"/>
          <w:szCs w:val="24"/>
        </w:rPr>
        <w:t>Plaintiff</w:t>
      </w:r>
      <w:proofErr w:type="gramEnd"/>
      <w:r w:rsidRPr="00E90346">
        <w:rPr>
          <w:rFonts w:ascii="Times New Roman" w:hAnsi="Times New Roman"/>
          <w:bCs/>
          <w:sz w:val="24"/>
          <w:szCs w:val="24"/>
        </w:rPr>
        <w:t xml:space="preserve"> </w:t>
      </w:r>
      <w:proofErr w:type="gramStart"/>
      <w:r w:rsidRPr="00E90346">
        <w:rPr>
          <w:rFonts w:ascii="Times New Roman" w:hAnsi="Times New Roman"/>
          <w:bCs/>
          <w:sz w:val="24"/>
          <w:szCs w:val="24"/>
        </w:rPr>
        <w:t>change</w:t>
      </w:r>
      <w:proofErr w:type="gramEnd"/>
      <w:r w:rsidRPr="00E90346">
        <w:rPr>
          <w:rFonts w:ascii="Times New Roman" w:hAnsi="Times New Roman"/>
          <w:bCs/>
          <w:sz w:val="24"/>
          <w:szCs w:val="24"/>
        </w:rPr>
        <w:t xml:space="preserve"> his recommendations. (Id.) Plaintiff continued to refuse. (Id.)</w:t>
      </w:r>
    </w:p>
    <w:p w14:paraId="0586464B" w14:textId="77777777" w:rsidR="00286CE9" w:rsidRPr="00E90346" w:rsidRDefault="00286CE9" w:rsidP="00286CE9">
      <w:pPr>
        <w:pStyle w:val="NoSpacing"/>
        <w:rPr>
          <w:rFonts w:ascii="Times New Roman" w:hAnsi="Times New Roman"/>
          <w:bCs/>
          <w:sz w:val="24"/>
          <w:szCs w:val="24"/>
        </w:rPr>
      </w:pPr>
    </w:p>
    <w:p w14:paraId="0B435270"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 xml:space="preserve">In October 2023, Plaintiff learned that Defendant Neely had </w:t>
      </w:r>
      <w:r>
        <w:rPr>
          <w:rFonts w:ascii="Times New Roman" w:hAnsi="Times New Roman"/>
          <w:bCs/>
          <w:sz w:val="24"/>
          <w:szCs w:val="24"/>
        </w:rPr>
        <w:t>‘</w:t>
      </w:r>
      <w:r w:rsidRPr="00E90346">
        <w:rPr>
          <w:rFonts w:ascii="Times New Roman" w:hAnsi="Times New Roman"/>
          <w:bCs/>
          <w:sz w:val="24"/>
          <w:szCs w:val="24"/>
        </w:rPr>
        <w:t>unilaterally and</w:t>
      </w:r>
    </w:p>
    <w:p w14:paraId="30BE4617"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Surreptitiously</w:t>
      </w:r>
      <w:r>
        <w:rPr>
          <w:rFonts w:ascii="Times New Roman" w:hAnsi="Times New Roman"/>
          <w:bCs/>
          <w:sz w:val="24"/>
          <w:szCs w:val="24"/>
        </w:rPr>
        <w:t xml:space="preserve">’ </w:t>
      </w:r>
      <w:r w:rsidRPr="00E90346">
        <w:rPr>
          <w:rFonts w:ascii="Times New Roman" w:hAnsi="Times New Roman"/>
          <w:bCs/>
          <w:sz w:val="24"/>
          <w:szCs w:val="24"/>
        </w:rPr>
        <w:t>changed Plaintiff’s official recommendation. (Id.) Defendant Neely then</w:t>
      </w:r>
    </w:p>
    <w:p w14:paraId="0E93AB10"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instructed Plaintiff to make a public statement saying Plaintiff initiated the change and</w:t>
      </w:r>
    </w:p>
    <w:p w14:paraId="52163BF5"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agreed with it. (Id. at PageID.23.) Plaintiff refused. (Id.) Defendant Neely continued to</w:t>
      </w:r>
    </w:p>
    <w:p w14:paraId="3A071A38"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insist that Plaintiff make the public statement. (Id.) Plaintiff again refused and told</w:t>
      </w:r>
    </w:p>
    <w:p w14:paraId="3D85A59E"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 xml:space="preserve">Defendant </w:t>
      </w:r>
      <w:proofErr w:type="gramStart"/>
      <w:r w:rsidRPr="00E90346">
        <w:rPr>
          <w:rFonts w:ascii="Times New Roman" w:hAnsi="Times New Roman"/>
          <w:bCs/>
          <w:sz w:val="24"/>
          <w:szCs w:val="24"/>
        </w:rPr>
        <w:t>Neely</w:t>
      </w:r>
      <w:proofErr w:type="gramEnd"/>
      <w:r w:rsidRPr="00E90346">
        <w:rPr>
          <w:rFonts w:ascii="Times New Roman" w:hAnsi="Times New Roman"/>
          <w:bCs/>
          <w:sz w:val="24"/>
          <w:szCs w:val="24"/>
        </w:rPr>
        <w:t xml:space="preserve"> that he would not make false statements regarding his original findings</w:t>
      </w:r>
    </w:p>
    <w:p w14:paraId="4B2F7EFB"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and recommendations about the incident. (Id.)</w:t>
      </w:r>
    </w:p>
    <w:p w14:paraId="78274231" w14:textId="77777777" w:rsidR="00286CE9" w:rsidRPr="00C755A6" w:rsidRDefault="00286CE9" w:rsidP="00286CE9">
      <w:pPr>
        <w:pStyle w:val="NoSpacing"/>
        <w:ind w:left="720"/>
        <w:rPr>
          <w:rFonts w:ascii="Times New Roman" w:hAnsi="Times New Roman"/>
          <w:bCs/>
          <w:sz w:val="24"/>
          <w:szCs w:val="24"/>
        </w:rPr>
      </w:pPr>
    </w:p>
    <w:p w14:paraId="21CA1FF2" w14:textId="77777777" w:rsidR="00286CE9" w:rsidRDefault="00286CE9" w:rsidP="00706FEC">
      <w:pPr>
        <w:pStyle w:val="NoSpacing"/>
        <w:rPr>
          <w:rFonts w:ascii="Times New Roman" w:hAnsi="Times New Roman"/>
          <w:bCs/>
          <w:sz w:val="24"/>
          <w:szCs w:val="24"/>
        </w:rPr>
      </w:pPr>
    </w:p>
    <w:p w14:paraId="2C49EA4A" w14:textId="77777777" w:rsidR="00706FEC" w:rsidRDefault="00706FEC" w:rsidP="00706FEC">
      <w:pPr>
        <w:pStyle w:val="NoSpacing"/>
        <w:ind w:left="720"/>
        <w:rPr>
          <w:rFonts w:ascii="Times New Roman" w:hAnsi="Times New Roman"/>
          <w:bCs/>
          <w:sz w:val="24"/>
          <w:szCs w:val="24"/>
        </w:rPr>
      </w:pPr>
    </w:p>
    <w:p w14:paraId="626ECE37" w14:textId="21095888" w:rsidR="00706FEC" w:rsidRDefault="00286CE9" w:rsidP="00F326E5">
      <w:pPr>
        <w:pStyle w:val="NoSpacing"/>
        <w:rPr>
          <w:rFonts w:ascii="Arial Black" w:hAnsi="Arial Black"/>
          <w:sz w:val="24"/>
          <w:szCs w:val="24"/>
        </w:rPr>
      </w:pPr>
      <w:r>
        <w:rPr>
          <w:rFonts w:ascii="Arial Black" w:hAnsi="Arial Black"/>
          <w:sz w:val="24"/>
          <w:szCs w:val="24"/>
        </w:rPr>
        <w:lastRenderedPageBreak/>
        <w:t>16-</w:t>
      </w:r>
      <w:r w:rsidR="00E135DF">
        <w:rPr>
          <w:rFonts w:ascii="Arial Black" w:hAnsi="Arial Black"/>
          <w:sz w:val="24"/>
          <w:szCs w:val="24"/>
        </w:rPr>
        <w:t>97</w:t>
      </w:r>
    </w:p>
    <w:p w14:paraId="433690C3" w14:textId="77777777" w:rsidR="00920338" w:rsidRDefault="00920338" w:rsidP="00F326E5">
      <w:pPr>
        <w:pStyle w:val="NoSpacing"/>
        <w:rPr>
          <w:rFonts w:ascii="Arial Black" w:hAnsi="Arial Black"/>
          <w:sz w:val="24"/>
          <w:szCs w:val="24"/>
        </w:rPr>
      </w:pPr>
    </w:p>
    <w:p w14:paraId="23E67678" w14:textId="77777777" w:rsidR="00920338" w:rsidRDefault="00920338" w:rsidP="00920338">
      <w:pPr>
        <w:pStyle w:val="NormalWeb"/>
        <w:rPr>
          <w:rFonts w:ascii="Arial Black" w:hAnsi="Arial Black"/>
          <w:sz w:val="28"/>
          <w:szCs w:val="28"/>
        </w:rPr>
      </w:pPr>
      <w:r>
        <w:rPr>
          <w:rFonts w:ascii="Arial Black" w:hAnsi="Arial Black"/>
          <w:sz w:val="28"/>
          <w:szCs w:val="28"/>
        </w:rPr>
        <w:t>CO: NEW FIRE BOARD ELECTED – FIRED FIRE CHIEF – MAY SUE RETALIATION – HE REPORTED POSS. ELECTION FRAUD</w:t>
      </w:r>
    </w:p>
    <w:p w14:paraId="3836A862" w14:textId="5B5B9C47" w:rsidR="00920338" w:rsidRDefault="00920338" w:rsidP="00920338">
      <w:pPr>
        <w:pStyle w:val="NoSpacing"/>
        <w:rPr>
          <w:rStyle w:val="Hyperlink"/>
          <w:rFonts w:ascii="Times New Roman" w:hAnsi="Times New Roman"/>
          <w:sz w:val="24"/>
          <w:szCs w:val="24"/>
        </w:rPr>
      </w:pPr>
      <w:r w:rsidRPr="001D0A41">
        <w:rPr>
          <w:rFonts w:ascii="Times New Roman" w:hAnsi="Times New Roman"/>
          <w:sz w:val="24"/>
          <w:szCs w:val="24"/>
        </w:rPr>
        <w:t xml:space="preserve">On Nov. 17, 2023, in </w:t>
      </w:r>
      <w:r w:rsidRPr="001D0A41">
        <w:rPr>
          <w:rFonts w:ascii="Times New Roman" w:hAnsi="Times New Roman"/>
          <w:sz w:val="24"/>
          <w:szCs w:val="24"/>
          <w:u w:val="single"/>
        </w:rPr>
        <w:t>Erik Holt v. Florissant Fire Protection District</w:t>
      </w:r>
      <w:r w:rsidRPr="001D0A41">
        <w:rPr>
          <w:rFonts w:ascii="Times New Roman" w:hAnsi="Times New Roman"/>
          <w:sz w:val="24"/>
          <w:szCs w:val="24"/>
        </w:rPr>
        <w:t>, U.S. District Court Judge Nina Y. Wang, U.S. District Court for District of Colorado, held that the plaintiff’s 1</w:t>
      </w:r>
      <w:r w:rsidRPr="001D0A41">
        <w:rPr>
          <w:rFonts w:ascii="Times New Roman" w:hAnsi="Times New Roman"/>
          <w:sz w:val="24"/>
          <w:szCs w:val="24"/>
          <w:vertAlign w:val="superscript"/>
        </w:rPr>
        <w:t>st</w:t>
      </w:r>
      <w:r w:rsidRPr="001D0A41">
        <w:rPr>
          <w:rFonts w:ascii="Times New Roman" w:hAnsi="Times New Roman"/>
          <w:sz w:val="24"/>
          <w:szCs w:val="24"/>
        </w:rPr>
        <w:t xml:space="preserve"> Amendment retaliation claim may proceed to pre-trial discovery, but under Colorado law he cannot sue the Fire District for wrongful termination since it enjoys immunity under the Colorado Governmental Immunity Act (“CGIA”).  The Town held an election at the Fire District for Board </w:t>
      </w:r>
      <w:proofErr w:type="gramStart"/>
      <w:r w:rsidRPr="001D0A41">
        <w:rPr>
          <w:rFonts w:ascii="Times New Roman" w:hAnsi="Times New Roman"/>
          <w:sz w:val="24"/>
          <w:szCs w:val="24"/>
        </w:rPr>
        <w:t>members</w:t>
      </w:r>
      <w:proofErr w:type="gramEnd"/>
      <w:r w:rsidRPr="001D0A41">
        <w:rPr>
          <w:rFonts w:ascii="Times New Roman" w:hAnsi="Times New Roman"/>
          <w:sz w:val="24"/>
          <w:szCs w:val="24"/>
        </w:rPr>
        <w:t xml:space="preserve"> and five new members were elected, but Fire Chief was advised that there </w:t>
      </w:r>
      <w:proofErr w:type="gramStart"/>
      <w:r w:rsidRPr="001D0A41">
        <w:rPr>
          <w:rFonts w:ascii="Times New Roman" w:hAnsi="Times New Roman"/>
          <w:sz w:val="24"/>
          <w:szCs w:val="24"/>
        </w:rPr>
        <w:t>was</w:t>
      </w:r>
      <w:proofErr w:type="gramEnd"/>
      <w:r w:rsidRPr="001D0A41">
        <w:rPr>
          <w:rFonts w:ascii="Times New Roman" w:hAnsi="Times New Roman"/>
          <w:sz w:val="24"/>
          <w:szCs w:val="24"/>
        </w:rPr>
        <w:t xml:space="preserve"> intimidation and harassment of voters at the election and he gathered videotapes which he provided to criminal investigators.  </w:t>
      </w:r>
      <w:hyperlink r:id="rId2513" w:history="1">
        <w:r w:rsidRPr="001D0A41">
          <w:rPr>
            <w:rStyle w:val="Hyperlink"/>
            <w:rFonts w:ascii="Times New Roman" w:hAnsi="Times New Roman"/>
            <w:sz w:val="24"/>
            <w:szCs w:val="24"/>
          </w:rPr>
          <w:t>https://casetext.com/case/holt-v-florissant-fire-prot-dist</w:t>
        </w:r>
      </w:hyperlink>
    </w:p>
    <w:p w14:paraId="693F647D" w14:textId="77777777" w:rsidR="00F33C79" w:rsidRDefault="00F33C79" w:rsidP="00920338">
      <w:pPr>
        <w:pStyle w:val="NoSpacing"/>
        <w:rPr>
          <w:rStyle w:val="Hyperlink"/>
          <w:rFonts w:ascii="Times New Roman" w:hAnsi="Times New Roman"/>
          <w:sz w:val="24"/>
          <w:szCs w:val="24"/>
        </w:rPr>
      </w:pPr>
    </w:p>
    <w:p w14:paraId="3AE390AA" w14:textId="77777777" w:rsidR="00F33C79" w:rsidRDefault="00F33C79" w:rsidP="00F33C79">
      <w:pPr>
        <w:rPr>
          <w:rFonts w:ascii="Times New Roman" w:hAnsi="Times New Roman"/>
          <w:b/>
          <w:bCs/>
          <w:sz w:val="24"/>
          <w:szCs w:val="24"/>
        </w:rPr>
      </w:pPr>
      <w:r w:rsidRPr="00154003">
        <w:rPr>
          <w:rFonts w:ascii="Times New Roman" w:hAnsi="Times New Roman"/>
          <w:b/>
          <w:bCs/>
          <w:sz w:val="24"/>
          <w:szCs w:val="24"/>
        </w:rPr>
        <w:t xml:space="preserve">Legal Lesson Learned: The Fire Chief may now proceed with pre-trial discovery under his First Amendment claim of retaliation. </w:t>
      </w:r>
    </w:p>
    <w:p w14:paraId="3346B6E7" w14:textId="77777777" w:rsidR="00F33C79" w:rsidRDefault="00F33C79" w:rsidP="00920338">
      <w:pPr>
        <w:pStyle w:val="NoSpacing"/>
        <w:rPr>
          <w:rFonts w:ascii="Arial Black" w:hAnsi="Arial Black"/>
          <w:sz w:val="24"/>
          <w:szCs w:val="24"/>
        </w:rPr>
      </w:pPr>
    </w:p>
    <w:p w14:paraId="46D6E15C" w14:textId="77777777" w:rsidR="00F33C79" w:rsidRDefault="00F33C79" w:rsidP="00920338">
      <w:pPr>
        <w:pStyle w:val="NoSpacing"/>
        <w:rPr>
          <w:rFonts w:ascii="Arial Black" w:hAnsi="Arial Black"/>
          <w:sz w:val="24"/>
          <w:szCs w:val="24"/>
        </w:rPr>
      </w:pPr>
    </w:p>
    <w:p w14:paraId="0A0EB8E9" w14:textId="54E3E27F" w:rsidR="00F33C79" w:rsidRDefault="00F33C79" w:rsidP="00920338">
      <w:pPr>
        <w:pStyle w:val="NoSpacing"/>
        <w:rPr>
          <w:rFonts w:ascii="Arial Black" w:hAnsi="Arial Black"/>
          <w:sz w:val="24"/>
          <w:szCs w:val="24"/>
        </w:rPr>
      </w:pPr>
      <w:r>
        <w:rPr>
          <w:rFonts w:ascii="Arial Black" w:hAnsi="Arial Black"/>
          <w:sz w:val="24"/>
          <w:szCs w:val="24"/>
        </w:rPr>
        <w:t>16-96</w:t>
      </w:r>
    </w:p>
    <w:p w14:paraId="767DCC3B" w14:textId="77777777" w:rsidR="0046271A" w:rsidRDefault="0046271A" w:rsidP="0046271A">
      <w:pPr>
        <w:rPr>
          <w:rFonts w:ascii="Arial Black" w:hAnsi="Arial Black"/>
          <w:b/>
          <w:bCs/>
          <w:sz w:val="28"/>
          <w:szCs w:val="28"/>
        </w:rPr>
      </w:pPr>
      <w:r>
        <w:rPr>
          <w:rFonts w:ascii="Arial Black" w:hAnsi="Arial Black"/>
          <w:b/>
          <w:bCs/>
          <w:sz w:val="28"/>
          <w:szCs w:val="28"/>
        </w:rPr>
        <w:t>MA: BOSTON FF – SOCIAL MEDIA POSTS ATTACKING RELIGION, SEXUAL ORIENTATION, RACE - FIRED</w:t>
      </w:r>
    </w:p>
    <w:p w14:paraId="5310F73B" w14:textId="77777777" w:rsidR="0046271A" w:rsidRDefault="0046271A" w:rsidP="0046271A">
      <w:pPr>
        <w:rPr>
          <w:rFonts w:ascii="Times New Roman" w:hAnsi="Times New Roman"/>
          <w:sz w:val="24"/>
          <w:szCs w:val="24"/>
        </w:rPr>
      </w:pPr>
      <w:r w:rsidRPr="00C972D3">
        <w:rPr>
          <w:rFonts w:ascii="Times New Roman" w:hAnsi="Times New Roman"/>
          <w:sz w:val="24"/>
          <w:szCs w:val="24"/>
        </w:rPr>
        <w:t xml:space="preserve">On </w:t>
      </w:r>
      <w:r>
        <w:rPr>
          <w:rFonts w:ascii="Times New Roman" w:hAnsi="Times New Roman"/>
          <w:sz w:val="24"/>
          <w:szCs w:val="24"/>
        </w:rPr>
        <w:t xml:space="preserve">Nov. 6, 2023, in </w:t>
      </w:r>
      <w:r w:rsidRPr="00442665">
        <w:rPr>
          <w:rFonts w:ascii="Times New Roman" w:hAnsi="Times New Roman"/>
          <w:sz w:val="24"/>
          <w:szCs w:val="24"/>
          <w:u w:val="single"/>
        </w:rPr>
        <w:t>Octavius Rowe v. Civil Service Commission</w:t>
      </w:r>
      <w:r>
        <w:rPr>
          <w:rFonts w:ascii="Times New Roman" w:hAnsi="Times New Roman"/>
          <w:sz w:val="24"/>
          <w:szCs w:val="24"/>
        </w:rPr>
        <w:t xml:space="preserve">, the Appeals Court of Massachusetts held (3 to 0) that the Boston Fire Department and the city’s Civil Service Commission properly upheld the termination of the firefighter.  The Black firefighter claimed that white firefighters were treated less harshly, but two firefighters had resigned and a third received a suspension for less serious misconduct.   </w:t>
      </w:r>
      <w:hyperlink r:id="rId2514" w:history="1">
        <w:r w:rsidRPr="00182321">
          <w:rPr>
            <w:rStyle w:val="Hyperlink"/>
            <w:rFonts w:ascii="Times New Roman" w:hAnsi="Times New Roman"/>
            <w:sz w:val="24"/>
            <w:szCs w:val="24"/>
          </w:rPr>
          <w:t>https://caselaw.findlaw.com/court/ma-court-of-appeals/115411600.html</w:t>
        </w:r>
      </w:hyperlink>
      <w:r>
        <w:rPr>
          <w:rFonts w:ascii="Times New Roman" w:hAnsi="Times New Roman"/>
          <w:sz w:val="24"/>
          <w:szCs w:val="24"/>
        </w:rPr>
        <w:t xml:space="preserve"> </w:t>
      </w:r>
    </w:p>
    <w:p w14:paraId="4C47C07C" w14:textId="77777777" w:rsidR="00075DAE" w:rsidRDefault="00075DAE" w:rsidP="00075DAE">
      <w:pPr>
        <w:rPr>
          <w:rFonts w:ascii="Times New Roman" w:hAnsi="Times New Roman"/>
          <w:b/>
          <w:bCs/>
          <w:sz w:val="24"/>
          <w:szCs w:val="24"/>
        </w:rPr>
      </w:pPr>
      <w:r w:rsidRPr="00025468">
        <w:rPr>
          <w:rFonts w:ascii="Times New Roman" w:hAnsi="Times New Roman"/>
          <w:b/>
          <w:bCs/>
          <w:sz w:val="24"/>
          <w:szCs w:val="24"/>
        </w:rPr>
        <w:t>Legal Lesson Learned:</w:t>
      </w:r>
      <w:r>
        <w:rPr>
          <w:rFonts w:ascii="Times New Roman" w:hAnsi="Times New Roman"/>
          <w:b/>
          <w:bCs/>
          <w:sz w:val="24"/>
          <w:szCs w:val="24"/>
        </w:rPr>
        <w:t xml:space="preserve"> Social media posts by fire or EMS can result in discipline, including termination.</w:t>
      </w:r>
    </w:p>
    <w:p w14:paraId="5ED6EE38" w14:textId="77777777" w:rsidR="0046271A" w:rsidRDefault="0046271A" w:rsidP="00920338">
      <w:pPr>
        <w:pStyle w:val="NoSpacing"/>
        <w:rPr>
          <w:rFonts w:ascii="Arial Black" w:hAnsi="Arial Black"/>
          <w:sz w:val="24"/>
          <w:szCs w:val="24"/>
        </w:rPr>
      </w:pPr>
    </w:p>
    <w:p w14:paraId="07A94F39" w14:textId="77777777" w:rsidR="0042334A" w:rsidRDefault="0042334A" w:rsidP="00F326E5">
      <w:pPr>
        <w:pStyle w:val="NoSpacing"/>
        <w:rPr>
          <w:rFonts w:ascii="Arial Black" w:hAnsi="Arial Black"/>
          <w:sz w:val="24"/>
          <w:szCs w:val="24"/>
        </w:rPr>
      </w:pPr>
    </w:p>
    <w:p w14:paraId="0DA0457B" w14:textId="77777777" w:rsidR="0042334A" w:rsidRDefault="0042334A" w:rsidP="00F326E5">
      <w:pPr>
        <w:pStyle w:val="NoSpacing"/>
        <w:rPr>
          <w:rFonts w:ascii="Arial Black" w:hAnsi="Arial Black"/>
          <w:sz w:val="24"/>
          <w:szCs w:val="24"/>
        </w:rPr>
      </w:pPr>
    </w:p>
    <w:p w14:paraId="7CA5F048" w14:textId="0550F3A9" w:rsidR="000518BE" w:rsidRDefault="000518BE" w:rsidP="00F326E5">
      <w:pPr>
        <w:pStyle w:val="NoSpacing"/>
        <w:rPr>
          <w:rFonts w:ascii="Arial Black" w:hAnsi="Arial Black"/>
          <w:sz w:val="24"/>
          <w:szCs w:val="24"/>
        </w:rPr>
      </w:pPr>
      <w:r>
        <w:rPr>
          <w:rFonts w:ascii="Arial Black" w:hAnsi="Arial Black"/>
          <w:sz w:val="24"/>
          <w:szCs w:val="24"/>
        </w:rPr>
        <w:t>16-95</w:t>
      </w:r>
    </w:p>
    <w:p w14:paraId="54B09E71" w14:textId="77777777" w:rsidR="000518BE" w:rsidRDefault="000518BE" w:rsidP="000518BE">
      <w:pPr>
        <w:pStyle w:val="NormalWeb"/>
        <w:rPr>
          <w:rFonts w:ascii="Arial Black" w:hAnsi="Arial Black"/>
          <w:b/>
          <w:bCs/>
          <w:sz w:val="28"/>
          <w:szCs w:val="28"/>
        </w:rPr>
      </w:pPr>
      <w:r>
        <w:rPr>
          <w:rFonts w:ascii="Arial Black" w:hAnsi="Arial Black"/>
          <w:b/>
          <w:bCs/>
          <w:sz w:val="28"/>
          <w:szCs w:val="28"/>
        </w:rPr>
        <w:t>LA: “OFFICE ROMANCE” - WIFE OF ASSISTANT FIRE CHIEF DIVORCES - MARRIES DIST. CHIEF – FIRED – NO CASE</w:t>
      </w:r>
    </w:p>
    <w:p w14:paraId="08523464" w14:textId="16BB4525" w:rsidR="000518BE" w:rsidRPr="000518BE" w:rsidRDefault="000518BE" w:rsidP="000518BE">
      <w:pPr>
        <w:pStyle w:val="NoSpacing"/>
        <w:rPr>
          <w:rFonts w:ascii="Times New Roman" w:hAnsi="Times New Roman"/>
          <w:sz w:val="24"/>
          <w:szCs w:val="24"/>
        </w:rPr>
      </w:pPr>
      <w:r w:rsidRPr="000518BE">
        <w:rPr>
          <w:rFonts w:ascii="Times New Roman" w:hAnsi="Times New Roman"/>
          <w:sz w:val="24"/>
          <w:szCs w:val="24"/>
        </w:rPr>
        <w:t xml:space="preserve">On Oct. 19, 2023, in </w:t>
      </w:r>
      <w:r w:rsidRPr="000518BE">
        <w:rPr>
          <w:rFonts w:ascii="Times New Roman" w:hAnsi="Times New Roman"/>
          <w:sz w:val="24"/>
          <w:szCs w:val="24"/>
          <w:u w:val="single"/>
        </w:rPr>
        <w:t xml:space="preserve">Stacie </w:t>
      </w:r>
      <w:proofErr w:type="spellStart"/>
      <w:r w:rsidRPr="000518BE">
        <w:rPr>
          <w:rFonts w:ascii="Times New Roman" w:hAnsi="Times New Roman"/>
          <w:sz w:val="24"/>
          <w:szCs w:val="24"/>
          <w:u w:val="single"/>
        </w:rPr>
        <w:t>Dellucky</w:t>
      </w:r>
      <w:proofErr w:type="spellEnd"/>
      <w:r w:rsidRPr="000518BE">
        <w:rPr>
          <w:rFonts w:ascii="Times New Roman" w:hAnsi="Times New Roman"/>
          <w:sz w:val="24"/>
          <w:szCs w:val="24"/>
          <w:u w:val="single"/>
        </w:rPr>
        <w:t xml:space="preserve"> &amp; Frank Dellucky v. St. George Fire Protection District, et al.</w:t>
      </w:r>
      <w:r w:rsidRPr="000518BE">
        <w:rPr>
          <w:rFonts w:ascii="Times New Roman" w:hAnsi="Times New Roman"/>
          <w:sz w:val="24"/>
          <w:szCs w:val="24"/>
        </w:rPr>
        <w:t>, U.S. District Court Judge Brian A, Jackson granted defense motion for summary judgment. The Court held: “Specifically, Frank voluntarily resigned to avoid participating in an employee disciplinary investigation, after he sent sordid Facebook messages to the co-worker referenced above. (</w:t>
      </w:r>
      <w:r w:rsidRPr="000518BE">
        <w:rPr>
          <w:rStyle w:val="Emphasis"/>
          <w:rFonts w:ascii="Times New Roman" w:hAnsi="Times New Roman"/>
          <w:sz w:val="24"/>
          <w:szCs w:val="24"/>
        </w:rPr>
        <w:t>Id.</w:t>
      </w:r>
      <w:r w:rsidRPr="000518BE">
        <w:rPr>
          <w:rFonts w:ascii="Times New Roman" w:hAnsi="Times New Roman"/>
          <w:sz w:val="24"/>
          <w:szCs w:val="24"/>
        </w:rPr>
        <w:t xml:space="preserve"> ¶¶ 23-29). In conjunction with his resignation, Frank executed a Settlement Agreement with the </w:t>
      </w:r>
      <w:proofErr w:type="gramStart"/>
      <w:r w:rsidRPr="000518BE">
        <w:rPr>
          <w:rFonts w:ascii="Times New Roman" w:hAnsi="Times New Roman"/>
          <w:sz w:val="24"/>
          <w:szCs w:val="24"/>
        </w:rPr>
        <w:t>District, ‘</w:t>
      </w:r>
      <w:proofErr w:type="gramEnd"/>
      <w:r w:rsidRPr="000518BE">
        <w:rPr>
          <w:rFonts w:ascii="Times New Roman" w:hAnsi="Times New Roman"/>
          <w:sz w:val="24"/>
          <w:szCs w:val="24"/>
        </w:rPr>
        <w:t xml:space="preserve">through its duly authorized Fire Chief and Appointing Authority, Gerard C. Tarleton.’ *** Here, no evidence suggests that </w:t>
      </w:r>
      <w:proofErr w:type="gramStart"/>
      <w:r w:rsidRPr="000518BE">
        <w:rPr>
          <w:rFonts w:ascii="Times New Roman" w:hAnsi="Times New Roman"/>
          <w:sz w:val="24"/>
          <w:szCs w:val="24"/>
        </w:rPr>
        <w:t>Defendants' ‘</w:t>
      </w:r>
      <w:proofErr w:type="gramEnd"/>
      <w:r w:rsidRPr="000518BE">
        <w:rPr>
          <w:rFonts w:ascii="Times New Roman" w:hAnsi="Times New Roman"/>
          <w:sz w:val="24"/>
          <w:szCs w:val="24"/>
        </w:rPr>
        <w:t xml:space="preserve">policy’ against Stacie marrying Frank was aimed </w:t>
      </w:r>
      <w:proofErr w:type="gramStart"/>
      <w:r w:rsidRPr="000518BE">
        <w:rPr>
          <w:rFonts w:ascii="Times New Roman" w:hAnsi="Times New Roman"/>
          <w:sz w:val="24"/>
          <w:szCs w:val="24"/>
        </w:rPr>
        <w:t>to prohibit ‘</w:t>
      </w:r>
      <w:proofErr w:type="gramEnd"/>
      <w:r w:rsidRPr="000518BE">
        <w:rPr>
          <w:rFonts w:ascii="Times New Roman" w:hAnsi="Times New Roman"/>
          <w:sz w:val="24"/>
          <w:szCs w:val="24"/>
        </w:rPr>
        <w:t xml:space="preserve">one class of people from being with another.’ To the </w:t>
      </w:r>
      <w:r w:rsidRPr="000518BE">
        <w:rPr>
          <w:rFonts w:ascii="Times New Roman" w:hAnsi="Times New Roman"/>
          <w:sz w:val="24"/>
          <w:szCs w:val="24"/>
        </w:rPr>
        <w:lastRenderedPageBreak/>
        <w:t xml:space="preserve">contrary, Defendants only prohibited Stacie from marrying Frank to avoid chain-of-command and workplace morale issues that would arise from Stacie being managed by Chad Roberson, the District's Assistant Fire Chief, and Stacie's ex-husband. Stacie disregarded this prohibition, married Frank, and lost her job. But this was merely an ‘incidental’ consequence because Defendants' actions did ‘not prohibit the relationship itself.’” </w:t>
      </w:r>
      <w:hyperlink r:id="rId2515" w:history="1">
        <w:r w:rsidRPr="000518BE">
          <w:rPr>
            <w:rStyle w:val="Hyperlink"/>
            <w:rFonts w:ascii="Times New Roman" w:hAnsi="Times New Roman"/>
            <w:sz w:val="24"/>
            <w:szCs w:val="24"/>
          </w:rPr>
          <w:t>https://cases.justia.com/federal/district-courts/louisiana/lamdce/3:2021cv00287/59089/59/0.pdf?ts=1697816120</w:t>
        </w:r>
      </w:hyperlink>
    </w:p>
    <w:p w14:paraId="684925B8" w14:textId="77777777" w:rsidR="000518BE" w:rsidRDefault="000518BE" w:rsidP="00F326E5">
      <w:pPr>
        <w:pStyle w:val="NoSpacing"/>
        <w:rPr>
          <w:rFonts w:ascii="Arial Black" w:hAnsi="Arial Black"/>
          <w:sz w:val="24"/>
          <w:szCs w:val="24"/>
        </w:rPr>
      </w:pPr>
    </w:p>
    <w:p w14:paraId="1A2A8C3E" w14:textId="77777777" w:rsidR="000518BE" w:rsidRDefault="000518BE" w:rsidP="000518BE">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Many Fire Departments and political subdivisions have anti-nepotism policies. </w:t>
      </w:r>
    </w:p>
    <w:p w14:paraId="6A548ADF" w14:textId="77777777" w:rsidR="000518BE" w:rsidRDefault="000518BE" w:rsidP="00F326E5">
      <w:pPr>
        <w:pStyle w:val="NoSpacing"/>
        <w:rPr>
          <w:rFonts w:ascii="Arial Black" w:hAnsi="Arial Black"/>
          <w:sz w:val="24"/>
          <w:szCs w:val="24"/>
        </w:rPr>
      </w:pPr>
    </w:p>
    <w:p w14:paraId="39307E82" w14:textId="77777777" w:rsidR="000518BE" w:rsidRDefault="000518BE" w:rsidP="00F326E5">
      <w:pPr>
        <w:pStyle w:val="NoSpacing"/>
        <w:rPr>
          <w:rFonts w:ascii="Arial Black" w:hAnsi="Arial Black"/>
          <w:sz w:val="24"/>
          <w:szCs w:val="24"/>
        </w:rPr>
      </w:pPr>
    </w:p>
    <w:p w14:paraId="7D51B9DA" w14:textId="4860808D" w:rsidR="009B0593" w:rsidRDefault="008F7EBA" w:rsidP="00F326E5">
      <w:pPr>
        <w:pStyle w:val="NoSpacing"/>
        <w:rPr>
          <w:rFonts w:ascii="Arial Black" w:hAnsi="Arial Black"/>
          <w:sz w:val="24"/>
          <w:szCs w:val="24"/>
        </w:rPr>
      </w:pPr>
      <w:r>
        <w:rPr>
          <w:rFonts w:ascii="Arial Black" w:hAnsi="Arial Black"/>
          <w:sz w:val="24"/>
          <w:szCs w:val="24"/>
        </w:rPr>
        <w:t>16-94</w:t>
      </w:r>
    </w:p>
    <w:p w14:paraId="06EF77C1" w14:textId="77777777" w:rsidR="008F7EBA" w:rsidRDefault="008F7EBA" w:rsidP="00F326E5">
      <w:pPr>
        <w:pStyle w:val="NoSpacing"/>
        <w:rPr>
          <w:rFonts w:ascii="Arial Black" w:hAnsi="Arial Black"/>
          <w:sz w:val="24"/>
          <w:szCs w:val="24"/>
        </w:rPr>
      </w:pPr>
    </w:p>
    <w:p w14:paraId="13F8432C" w14:textId="77777777" w:rsidR="008F7EBA" w:rsidRPr="000A219B" w:rsidRDefault="008F7EBA" w:rsidP="008F7EBA">
      <w:pPr>
        <w:pStyle w:val="NoSpacing"/>
        <w:rPr>
          <w:rFonts w:ascii="Arial Black" w:hAnsi="Arial Black"/>
          <w:sz w:val="28"/>
          <w:szCs w:val="28"/>
        </w:rPr>
      </w:pPr>
      <w:r>
        <w:rPr>
          <w:rFonts w:ascii="Arial Black" w:hAnsi="Arial Black"/>
          <w:sz w:val="28"/>
          <w:szCs w:val="28"/>
        </w:rPr>
        <w:t xml:space="preserve">TN: FD CAPT. DEMOTED - FACEBOOK POSTS GEORGE FLOYD RIOTS – CASE PROCEED / “BALACING TEST” </w:t>
      </w:r>
    </w:p>
    <w:p w14:paraId="3635BD6F" w14:textId="77777777" w:rsidR="008F7EBA" w:rsidRDefault="008F7EBA" w:rsidP="008F7EBA">
      <w:pPr>
        <w:pStyle w:val="NoSpacing"/>
        <w:rPr>
          <w:rFonts w:ascii="Times New Roman" w:hAnsi="Times New Roman"/>
          <w:sz w:val="24"/>
          <w:szCs w:val="24"/>
        </w:rPr>
      </w:pPr>
    </w:p>
    <w:p w14:paraId="46B12BFB" w14:textId="77777777" w:rsidR="008F7EBA" w:rsidRDefault="008F7EBA" w:rsidP="008F7EBA">
      <w:pPr>
        <w:pStyle w:val="NoSpacing"/>
        <w:rPr>
          <w:rFonts w:ascii="Times New Roman" w:hAnsi="Times New Roman"/>
          <w:sz w:val="24"/>
          <w:szCs w:val="24"/>
        </w:rPr>
      </w:pPr>
      <w:r>
        <w:rPr>
          <w:rFonts w:ascii="Times New Roman" w:hAnsi="Times New Roman"/>
          <w:sz w:val="24"/>
          <w:szCs w:val="24"/>
        </w:rPr>
        <w:t xml:space="preserve">On Sept. 19, 2023, in </w:t>
      </w:r>
      <w:r w:rsidRPr="003B777F">
        <w:rPr>
          <w:rFonts w:ascii="Times New Roman" w:hAnsi="Times New Roman"/>
          <w:sz w:val="24"/>
          <w:szCs w:val="24"/>
          <w:u w:val="single"/>
        </w:rPr>
        <w:t xml:space="preserve">Tracy R. Turner v. Metropolitan Government of Nashville </w:t>
      </w:r>
      <w:proofErr w:type="gramStart"/>
      <w:r w:rsidRPr="003B777F">
        <w:rPr>
          <w:rFonts w:ascii="Times New Roman" w:hAnsi="Times New Roman"/>
          <w:sz w:val="24"/>
          <w:szCs w:val="24"/>
          <w:u w:val="single"/>
        </w:rPr>
        <w:t>And</w:t>
      </w:r>
      <w:proofErr w:type="gramEnd"/>
      <w:r w:rsidRPr="003B777F">
        <w:rPr>
          <w:rFonts w:ascii="Times New Roman" w:hAnsi="Times New Roman"/>
          <w:sz w:val="24"/>
          <w:szCs w:val="24"/>
          <w:u w:val="single"/>
        </w:rPr>
        <w:t xml:space="preserve"> Davidson County,</w:t>
      </w:r>
      <w:r>
        <w:rPr>
          <w:rFonts w:ascii="Times New Roman" w:hAnsi="Times New Roman"/>
          <w:sz w:val="24"/>
          <w:szCs w:val="24"/>
        </w:rPr>
        <w:t xml:space="preserve"> U.S. District Court Judge Eli Richardson, U.S. District Court for the Middle District of Tennessee, Nashville Division, denied the City’s motion for summary judgment.  The </w:t>
      </w:r>
      <w:proofErr w:type="gramStart"/>
      <w:r>
        <w:rPr>
          <w:rFonts w:ascii="Times New Roman" w:hAnsi="Times New Roman"/>
          <w:sz w:val="24"/>
          <w:szCs w:val="24"/>
        </w:rPr>
        <w:t>Captain</w:t>
      </w:r>
      <w:proofErr w:type="gramEnd"/>
      <w:r>
        <w:rPr>
          <w:rFonts w:ascii="Times New Roman" w:hAnsi="Times New Roman"/>
          <w:sz w:val="24"/>
          <w:szCs w:val="24"/>
        </w:rPr>
        <w:t xml:space="preserve"> was demoted to firefighter, ordered to attend “sensitivity” training and moved to another station. While there were several calls from citizens about the posts, there was little evidence that the </w:t>
      </w:r>
      <w:proofErr w:type="gramStart"/>
      <w:r>
        <w:rPr>
          <w:rFonts w:ascii="Times New Roman" w:hAnsi="Times New Roman"/>
          <w:sz w:val="24"/>
          <w:szCs w:val="24"/>
        </w:rPr>
        <w:t>Captain’s</w:t>
      </w:r>
      <w:proofErr w:type="gramEnd"/>
      <w:r>
        <w:rPr>
          <w:rFonts w:ascii="Times New Roman" w:hAnsi="Times New Roman"/>
          <w:sz w:val="24"/>
          <w:szCs w:val="24"/>
        </w:rPr>
        <w:t xml:space="preserve"> posts had disruptive impact on the Fire Department. </w:t>
      </w:r>
    </w:p>
    <w:p w14:paraId="15F1222A" w14:textId="77777777" w:rsidR="008F7EBA" w:rsidRDefault="008F7EBA" w:rsidP="008F7EBA">
      <w:pPr>
        <w:pStyle w:val="NoSpacing"/>
        <w:rPr>
          <w:rFonts w:ascii="Times New Roman" w:hAnsi="Times New Roman"/>
          <w:sz w:val="24"/>
          <w:szCs w:val="24"/>
        </w:rPr>
      </w:pPr>
    </w:p>
    <w:p w14:paraId="5EB860E6" w14:textId="77777777" w:rsidR="008F7EBA" w:rsidRPr="003B777F" w:rsidRDefault="008F7EBA" w:rsidP="008F7EBA">
      <w:pPr>
        <w:pStyle w:val="NoSpacing"/>
        <w:ind w:left="720"/>
        <w:rPr>
          <w:rFonts w:ascii="Times New Roman" w:hAnsi="Times New Roman"/>
          <w:sz w:val="24"/>
          <w:szCs w:val="24"/>
        </w:rPr>
      </w:pPr>
      <w:r>
        <w:rPr>
          <w:rFonts w:ascii="Times New Roman" w:hAnsi="Times New Roman"/>
          <w:sz w:val="24"/>
          <w:szCs w:val="24"/>
        </w:rPr>
        <w:t>The Court held: “</w:t>
      </w:r>
      <w:r w:rsidRPr="003B777F">
        <w:rPr>
          <w:rFonts w:ascii="Times New Roman" w:hAnsi="Times New Roman"/>
          <w:sz w:val="24"/>
          <w:szCs w:val="24"/>
        </w:rPr>
        <w:t>From May through July 2020, Plaintiff posted on Facebook his opinions on several topics</w:t>
      </w:r>
      <w:r>
        <w:rPr>
          <w:rFonts w:ascii="Times New Roman" w:hAnsi="Times New Roman"/>
          <w:sz w:val="24"/>
          <w:szCs w:val="24"/>
        </w:rPr>
        <w:t xml:space="preserve"> </w:t>
      </w:r>
      <w:r w:rsidRPr="003B777F">
        <w:rPr>
          <w:rFonts w:ascii="Times New Roman" w:hAnsi="Times New Roman"/>
          <w:sz w:val="24"/>
          <w:szCs w:val="24"/>
        </w:rPr>
        <w:t>of national interest. For example, Plaintiff referred to people reacting violently to the death of</w:t>
      </w:r>
      <w:r>
        <w:rPr>
          <w:rFonts w:ascii="Times New Roman" w:hAnsi="Times New Roman"/>
          <w:sz w:val="24"/>
          <w:szCs w:val="24"/>
        </w:rPr>
        <w:t xml:space="preserve"> </w:t>
      </w:r>
      <w:r w:rsidRPr="003B777F">
        <w:rPr>
          <w:rFonts w:ascii="Times New Roman" w:hAnsi="Times New Roman"/>
          <w:sz w:val="24"/>
          <w:szCs w:val="24"/>
        </w:rPr>
        <w:t xml:space="preserve">George Floyd as </w:t>
      </w:r>
      <w:r>
        <w:rPr>
          <w:rFonts w:ascii="Times New Roman" w:hAnsi="Times New Roman"/>
          <w:sz w:val="24"/>
          <w:szCs w:val="24"/>
        </w:rPr>
        <w:t>‘</w:t>
      </w:r>
      <w:r w:rsidRPr="003B777F">
        <w:rPr>
          <w:rFonts w:ascii="Times New Roman" w:hAnsi="Times New Roman"/>
          <w:sz w:val="24"/>
          <w:szCs w:val="24"/>
        </w:rPr>
        <w:t>animals.</w:t>
      </w:r>
      <w:r>
        <w:rPr>
          <w:rFonts w:ascii="Times New Roman" w:hAnsi="Times New Roman"/>
          <w:sz w:val="24"/>
          <w:szCs w:val="24"/>
        </w:rPr>
        <w:t xml:space="preserve">’ </w:t>
      </w:r>
      <w:r w:rsidRPr="003B777F">
        <w:rPr>
          <w:rFonts w:ascii="Times New Roman" w:hAnsi="Times New Roman"/>
          <w:sz w:val="24"/>
          <w:szCs w:val="24"/>
        </w:rPr>
        <w:t xml:space="preserve">He made other posts referring to </w:t>
      </w:r>
      <w:r>
        <w:rPr>
          <w:rFonts w:ascii="Times New Roman" w:hAnsi="Times New Roman"/>
          <w:sz w:val="24"/>
          <w:szCs w:val="24"/>
        </w:rPr>
        <w:t>‘</w:t>
      </w:r>
      <w:r w:rsidRPr="003B777F">
        <w:rPr>
          <w:rFonts w:ascii="Times New Roman" w:hAnsi="Times New Roman"/>
          <w:sz w:val="24"/>
          <w:szCs w:val="24"/>
        </w:rPr>
        <w:t>Anti-Fa and BLM thugs,</w:t>
      </w:r>
      <w:r>
        <w:rPr>
          <w:rFonts w:ascii="Times New Roman" w:hAnsi="Times New Roman"/>
          <w:sz w:val="24"/>
          <w:szCs w:val="24"/>
        </w:rPr>
        <w:t>’</w:t>
      </w:r>
      <w:r w:rsidRPr="003B777F">
        <w:rPr>
          <w:rFonts w:ascii="Times New Roman" w:hAnsi="Times New Roman"/>
          <w:sz w:val="24"/>
          <w:szCs w:val="24"/>
        </w:rPr>
        <w:t xml:space="preserve"> and other</w:t>
      </w:r>
      <w:r>
        <w:rPr>
          <w:rFonts w:ascii="Times New Roman" w:hAnsi="Times New Roman"/>
          <w:sz w:val="24"/>
          <w:szCs w:val="24"/>
        </w:rPr>
        <w:t xml:space="preserve"> </w:t>
      </w:r>
      <w:r w:rsidRPr="003B777F">
        <w:rPr>
          <w:rFonts w:ascii="Times New Roman" w:hAnsi="Times New Roman"/>
          <w:sz w:val="24"/>
          <w:szCs w:val="24"/>
        </w:rPr>
        <w:t xml:space="preserve">generally negative posts about protestors, BLM, and the </w:t>
      </w:r>
      <w:r>
        <w:rPr>
          <w:rFonts w:ascii="Times New Roman" w:hAnsi="Times New Roman"/>
          <w:sz w:val="24"/>
          <w:szCs w:val="24"/>
        </w:rPr>
        <w:t>‘</w:t>
      </w:r>
      <w:r w:rsidRPr="003B777F">
        <w:rPr>
          <w:rFonts w:ascii="Times New Roman" w:hAnsi="Times New Roman"/>
          <w:sz w:val="24"/>
          <w:szCs w:val="24"/>
        </w:rPr>
        <w:t>Left agenda</w:t>
      </w:r>
      <w:r>
        <w:rPr>
          <w:rFonts w:ascii="Times New Roman" w:hAnsi="Times New Roman"/>
          <w:sz w:val="24"/>
          <w:szCs w:val="24"/>
        </w:rPr>
        <w:t xml:space="preserve">.’ </w:t>
      </w:r>
    </w:p>
    <w:p w14:paraId="626A47DF" w14:textId="77777777" w:rsidR="008F7EBA" w:rsidRDefault="008F7EBA" w:rsidP="008F7EBA">
      <w:pPr>
        <w:pStyle w:val="NoSpacing"/>
        <w:ind w:left="720"/>
        <w:rPr>
          <w:rFonts w:ascii="Times New Roman" w:hAnsi="Times New Roman"/>
          <w:sz w:val="24"/>
          <w:szCs w:val="24"/>
        </w:rPr>
      </w:pPr>
    </w:p>
    <w:p w14:paraId="22541A91" w14:textId="77777777" w:rsidR="008F7EBA" w:rsidRDefault="008F7EBA" w:rsidP="008F7EBA">
      <w:pPr>
        <w:pStyle w:val="NoSpacing"/>
        <w:ind w:left="720"/>
        <w:rPr>
          <w:rFonts w:ascii="Times New Roman" w:hAnsi="Times New Roman"/>
          <w:sz w:val="24"/>
          <w:szCs w:val="24"/>
        </w:rPr>
      </w:pPr>
      <w:r>
        <w:rPr>
          <w:rFonts w:ascii="Times New Roman" w:hAnsi="Times New Roman"/>
          <w:sz w:val="24"/>
          <w:szCs w:val="24"/>
        </w:rPr>
        <w:t>***</w:t>
      </w:r>
    </w:p>
    <w:p w14:paraId="0F8BFD60" w14:textId="77777777" w:rsidR="008F7EBA" w:rsidRDefault="008F7EBA" w:rsidP="008F7EBA">
      <w:pPr>
        <w:pStyle w:val="NoSpacing"/>
        <w:ind w:left="720"/>
        <w:rPr>
          <w:rFonts w:ascii="Times New Roman" w:hAnsi="Times New Roman"/>
          <w:sz w:val="24"/>
          <w:szCs w:val="24"/>
        </w:rPr>
      </w:pPr>
    </w:p>
    <w:p w14:paraId="08841768" w14:textId="77777777" w:rsidR="008F7EBA" w:rsidRDefault="008F7EBA" w:rsidP="008F7EBA">
      <w:pPr>
        <w:pStyle w:val="NoSpacing"/>
        <w:ind w:left="720"/>
        <w:rPr>
          <w:rFonts w:ascii="Times New Roman" w:hAnsi="Times New Roman"/>
          <w:sz w:val="24"/>
          <w:szCs w:val="24"/>
        </w:rPr>
      </w:pPr>
      <w:r w:rsidRPr="003B777F">
        <w:rPr>
          <w:rFonts w:ascii="Times New Roman" w:hAnsi="Times New Roman"/>
          <w:sz w:val="24"/>
          <w:szCs w:val="24"/>
        </w:rPr>
        <w:t>Defendant filed its motion for summary judgment and memoranda in support, arguing that</w:t>
      </w:r>
      <w:r>
        <w:rPr>
          <w:rFonts w:ascii="Times New Roman" w:hAnsi="Times New Roman"/>
          <w:sz w:val="24"/>
          <w:szCs w:val="24"/>
        </w:rPr>
        <w:t xml:space="preserve"> </w:t>
      </w:r>
      <w:r w:rsidRPr="003B777F">
        <w:rPr>
          <w:rFonts w:ascii="Times New Roman" w:hAnsi="Times New Roman"/>
          <w:sz w:val="24"/>
          <w:szCs w:val="24"/>
        </w:rPr>
        <w:t>(1) Plaintiff’s speech does not receive the highest level of protection under the First Amendment</w:t>
      </w:r>
      <w:r>
        <w:rPr>
          <w:rFonts w:ascii="Times New Roman" w:hAnsi="Times New Roman"/>
          <w:sz w:val="24"/>
          <w:szCs w:val="24"/>
        </w:rPr>
        <w:t xml:space="preserve"> </w:t>
      </w:r>
      <w:r w:rsidRPr="003B777F">
        <w:rPr>
          <w:rFonts w:ascii="Times New Roman" w:hAnsi="Times New Roman"/>
          <w:sz w:val="24"/>
          <w:szCs w:val="24"/>
        </w:rPr>
        <w:t>and (2) under so-called Pickering balancing (as established in Pickering v. Bd. Of Ed. Of Tup. High</w:t>
      </w:r>
      <w:r>
        <w:rPr>
          <w:rFonts w:ascii="Times New Roman" w:hAnsi="Times New Roman"/>
          <w:sz w:val="24"/>
          <w:szCs w:val="24"/>
        </w:rPr>
        <w:t xml:space="preserve"> </w:t>
      </w:r>
      <w:r w:rsidRPr="003B777F">
        <w:rPr>
          <w:rFonts w:ascii="Times New Roman" w:hAnsi="Times New Roman"/>
          <w:sz w:val="24"/>
          <w:szCs w:val="24"/>
        </w:rPr>
        <w:t>Sch. Dist. 205, Will Cnty., 391 U.S. 563, 568 (1968)</w:t>
      </w:r>
      <w:r>
        <w:rPr>
          <w:rFonts w:ascii="Times New Roman" w:hAnsi="Times New Roman"/>
          <w:sz w:val="24"/>
          <w:szCs w:val="24"/>
        </w:rPr>
        <w:t xml:space="preserve"> </w:t>
      </w:r>
      <w:r w:rsidRPr="003B777F">
        <w:rPr>
          <w:rFonts w:ascii="Times New Roman" w:hAnsi="Times New Roman"/>
          <w:sz w:val="24"/>
          <w:szCs w:val="24"/>
        </w:rPr>
        <w:t>(establishing that the Court must weigh the</w:t>
      </w:r>
      <w:r>
        <w:rPr>
          <w:rFonts w:ascii="Times New Roman" w:hAnsi="Times New Roman"/>
          <w:sz w:val="24"/>
          <w:szCs w:val="24"/>
        </w:rPr>
        <w:t xml:space="preserve"> </w:t>
      </w:r>
      <w:r w:rsidRPr="003B777F">
        <w:rPr>
          <w:rFonts w:ascii="Times New Roman" w:hAnsi="Times New Roman"/>
          <w:sz w:val="24"/>
          <w:szCs w:val="24"/>
        </w:rPr>
        <w:t>interests of the state against those of the public official in commenting on matters of public</w:t>
      </w:r>
      <w:r>
        <w:rPr>
          <w:rFonts w:ascii="Times New Roman" w:hAnsi="Times New Roman"/>
          <w:sz w:val="24"/>
          <w:szCs w:val="24"/>
        </w:rPr>
        <w:t xml:space="preserve"> </w:t>
      </w:r>
      <w:r w:rsidRPr="003B777F">
        <w:rPr>
          <w:rFonts w:ascii="Times New Roman" w:hAnsi="Times New Roman"/>
          <w:sz w:val="24"/>
          <w:szCs w:val="24"/>
        </w:rPr>
        <w:t>concern)), the Fire Department’s interest in public trust and efficiency outweigh Plaintiff’s</w:t>
      </w:r>
      <w:r>
        <w:rPr>
          <w:rFonts w:ascii="Times New Roman" w:hAnsi="Times New Roman"/>
          <w:sz w:val="24"/>
          <w:szCs w:val="24"/>
        </w:rPr>
        <w:t xml:space="preserve"> </w:t>
      </w:r>
      <w:r w:rsidRPr="003B777F">
        <w:rPr>
          <w:rFonts w:ascii="Times New Roman" w:hAnsi="Times New Roman"/>
          <w:sz w:val="24"/>
          <w:szCs w:val="24"/>
        </w:rPr>
        <w:t>countervailing speech interests.</w:t>
      </w:r>
    </w:p>
    <w:p w14:paraId="4E82A7DA" w14:textId="77777777" w:rsidR="008F7EBA" w:rsidRDefault="008F7EBA" w:rsidP="008F7EBA">
      <w:pPr>
        <w:pStyle w:val="NoSpacing"/>
        <w:ind w:left="720"/>
        <w:rPr>
          <w:rFonts w:ascii="Times New Roman" w:hAnsi="Times New Roman"/>
          <w:sz w:val="24"/>
          <w:szCs w:val="24"/>
        </w:rPr>
      </w:pPr>
    </w:p>
    <w:p w14:paraId="056E4372" w14:textId="77777777" w:rsidR="008F7EBA" w:rsidRDefault="008F7EBA" w:rsidP="008F7EBA">
      <w:pPr>
        <w:pStyle w:val="NoSpacing"/>
        <w:ind w:left="720"/>
        <w:rPr>
          <w:rFonts w:ascii="Times New Roman" w:hAnsi="Times New Roman"/>
          <w:sz w:val="24"/>
          <w:szCs w:val="24"/>
        </w:rPr>
      </w:pPr>
      <w:r>
        <w:rPr>
          <w:rFonts w:ascii="Times New Roman" w:hAnsi="Times New Roman"/>
          <w:sz w:val="24"/>
          <w:szCs w:val="24"/>
        </w:rPr>
        <w:t>***</w:t>
      </w:r>
    </w:p>
    <w:p w14:paraId="721E1971" w14:textId="77777777" w:rsidR="008F7EBA" w:rsidRDefault="008F7EBA" w:rsidP="008F7EBA">
      <w:pPr>
        <w:pStyle w:val="NoSpacing"/>
        <w:ind w:left="720"/>
        <w:rPr>
          <w:rFonts w:ascii="Times New Roman" w:hAnsi="Times New Roman"/>
          <w:sz w:val="24"/>
          <w:szCs w:val="24"/>
        </w:rPr>
      </w:pPr>
      <w:r w:rsidRPr="00057C7A">
        <w:rPr>
          <w:rFonts w:ascii="Times New Roman" w:hAnsi="Times New Roman"/>
          <w:sz w:val="24"/>
          <w:szCs w:val="24"/>
        </w:rPr>
        <w:t>And although Defendant relies on the testimony of Mark Young</w:t>
      </w:r>
      <w:r>
        <w:rPr>
          <w:rFonts w:ascii="Times New Roman" w:hAnsi="Times New Roman"/>
          <w:sz w:val="24"/>
          <w:szCs w:val="24"/>
        </w:rPr>
        <w:t xml:space="preserve"> [</w:t>
      </w:r>
      <w:r w:rsidRPr="00057C7A">
        <w:rPr>
          <w:rFonts w:ascii="Times New Roman" w:hAnsi="Times New Roman"/>
          <w:sz w:val="24"/>
          <w:szCs w:val="24"/>
        </w:rPr>
        <w:t>president of the local firefighter union</w:t>
      </w:r>
      <w:r>
        <w:rPr>
          <w:rFonts w:ascii="Times New Roman" w:hAnsi="Times New Roman"/>
          <w:sz w:val="24"/>
          <w:szCs w:val="24"/>
        </w:rPr>
        <w:t xml:space="preserve">] </w:t>
      </w:r>
      <w:r w:rsidRPr="00057C7A">
        <w:rPr>
          <w:rFonts w:ascii="Times New Roman" w:hAnsi="Times New Roman"/>
          <w:sz w:val="24"/>
          <w:szCs w:val="24"/>
        </w:rPr>
        <w:t>and Summers</w:t>
      </w:r>
      <w:r>
        <w:rPr>
          <w:rFonts w:ascii="Times New Roman" w:hAnsi="Times New Roman"/>
          <w:sz w:val="24"/>
          <w:szCs w:val="24"/>
        </w:rPr>
        <w:t xml:space="preserve"> [HR Director]</w:t>
      </w:r>
      <w:r w:rsidRPr="00057C7A">
        <w:rPr>
          <w:rFonts w:ascii="Times New Roman" w:hAnsi="Times New Roman"/>
          <w:sz w:val="24"/>
          <w:szCs w:val="24"/>
        </w:rPr>
        <w:t xml:space="preserve"> to establish</w:t>
      </w:r>
      <w:r>
        <w:rPr>
          <w:rFonts w:ascii="Times New Roman" w:hAnsi="Times New Roman"/>
          <w:sz w:val="24"/>
          <w:szCs w:val="24"/>
        </w:rPr>
        <w:t xml:space="preserve"> </w:t>
      </w:r>
      <w:r w:rsidRPr="00057C7A">
        <w:rPr>
          <w:rFonts w:ascii="Times New Roman" w:hAnsi="Times New Roman"/>
          <w:sz w:val="24"/>
          <w:szCs w:val="24"/>
        </w:rPr>
        <w:t>that NFD received many calls, their testimony fails to support that there was disruption to NFD’s</w:t>
      </w:r>
      <w:r>
        <w:rPr>
          <w:rFonts w:ascii="Times New Roman" w:hAnsi="Times New Roman"/>
          <w:sz w:val="24"/>
          <w:szCs w:val="24"/>
        </w:rPr>
        <w:t xml:space="preserve"> </w:t>
      </w:r>
      <w:r w:rsidRPr="00057C7A">
        <w:rPr>
          <w:rFonts w:ascii="Times New Roman" w:hAnsi="Times New Roman"/>
          <w:sz w:val="24"/>
          <w:szCs w:val="24"/>
        </w:rPr>
        <w:t>operations caused by Plaintiff’s speech. Summers testified that to his understanding, there was no</w:t>
      </w:r>
      <w:r>
        <w:rPr>
          <w:rFonts w:ascii="Times New Roman" w:hAnsi="Times New Roman"/>
          <w:sz w:val="24"/>
          <w:szCs w:val="24"/>
        </w:rPr>
        <w:t xml:space="preserve"> </w:t>
      </w:r>
      <w:r w:rsidRPr="00057C7A">
        <w:rPr>
          <w:rFonts w:ascii="Times New Roman" w:hAnsi="Times New Roman"/>
          <w:sz w:val="24"/>
          <w:szCs w:val="24"/>
        </w:rPr>
        <w:t xml:space="preserve">discernible disruption to NFD’s </w:t>
      </w:r>
      <w:r>
        <w:rPr>
          <w:rFonts w:ascii="Times New Roman" w:hAnsi="Times New Roman"/>
          <w:sz w:val="24"/>
          <w:szCs w:val="24"/>
        </w:rPr>
        <w:t>‘</w:t>
      </w:r>
      <w:r w:rsidRPr="00057C7A">
        <w:rPr>
          <w:rFonts w:ascii="Times New Roman" w:hAnsi="Times New Roman"/>
          <w:sz w:val="24"/>
          <w:szCs w:val="24"/>
        </w:rPr>
        <w:t>workflow</w:t>
      </w:r>
      <w:r>
        <w:rPr>
          <w:rFonts w:ascii="Times New Roman" w:hAnsi="Times New Roman"/>
          <w:sz w:val="24"/>
          <w:szCs w:val="24"/>
        </w:rPr>
        <w:t>’</w:t>
      </w:r>
      <w:r w:rsidRPr="00057C7A">
        <w:rPr>
          <w:rFonts w:ascii="Times New Roman" w:hAnsi="Times New Roman"/>
          <w:sz w:val="24"/>
          <w:szCs w:val="24"/>
        </w:rPr>
        <w:t xml:space="preserve"> </w:t>
      </w:r>
      <w:proofErr w:type="gramStart"/>
      <w:r w:rsidRPr="00057C7A">
        <w:rPr>
          <w:rFonts w:ascii="Times New Roman" w:hAnsi="Times New Roman"/>
          <w:sz w:val="24"/>
          <w:szCs w:val="24"/>
        </w:rPr>
        <w:t>as a result of</w:t>
      </w:r>
      <w:proofErr w:type="gramEnd"/>
      <w:r w:rsidRPr="00057C7A">
        <w:rPr>
          <w:rFonts w:ascii="Times New Roman" w:hAnsi="Times New Roman"/>
          <w:sz w:val="24"/>
          <w:szCs w:val="24"/>
        </w:rPr>
        <w:t xml:space="preserve"> that speech</w:t>
      </w:r>
      <w:r>
        <w:rPr>
          <w:rFonts w:ascii="Times New Roman" w:hAnsi="Times New Roman"/>
          <w:sz w:val="24"/>
          <w:szCs w:val="24"/>
        </w:rPr>
        <w:t xml:space="preserve"> … </w:t>
      </w:r>
      <w:r w:rsidRPr="00057C7A">
        <w:rPr>
          <w:rFonts w:ascii="Times New Roman" w:hAnsi="Times New Roman"/>
          <w:sz w:val="24"/>
          <w:szCs w:val="24"/>
        </w:rPr>
        <w:t xml:space="preserve"> and</w:t>
      </w:r>
      <w:r>
        <w:rPr>
          <w:rFonts w:ascii="Times New Roman" w:hAnsi="Times New Roman"/>
          <w:sz w:val="24"/>
          <w:szCs w:val="24"/>
        </w:rPr>
        <w:t xml:space="preserve"> </w:t>
      </w:r>
      <w:r w:rsidRPr="00057C7A">
        <w:rPr>
          <w:rFonts w:ascii="Times New Roman" w:hAnsi="Times New Roman"/>
          <w:sz w:val="24"/>
          <w:szCs w:val="24"/>
        </w:rPr>
        <w:t>Young testified to having no knowledge of the existence of various circumstances (effect on NFD</w:t>
      </w:r>
      <w:r>
        <w:rPr>
          <w:rFonts w:ascii="Times New Roman" w:hAnsi="Times New Roman"/>
          <w:sz w:val="24"/>
          <w:szCs w:val="24"/>
        </w:rPr>
        <w:t xml:space="preserve"> </w:t>
      </w:r>
      <w:r w:rsidRPr="00057C7A">
        <w:rPr>
          <w:rFonts w:ascii="Times New Roman" w:hAnsi="Times New Roman"/>
          <w:sz w:val="24"/>
          <w:szCs w:val="24"/>
        </w:rPr>
        <w:t>morale or close working relationships, unwillingness of NFD personnel to work with Plaintiff,</w:t>
      </w:r>
      <w:r>
        <w:rPr>
          <w:rFonts w:ascii="Times New Roman" w:hAnsi="Times New Roman"/>
          <w:sz w:val="24"/>
          <w:szCs w:val="24"/>
        </w:rPr>
        <w:t xml:space="preserve"> </w:t>
      </w:r>
      <w:r w:rsidRPr="00057C7A">
        <w:rPr>
          <w:rFonts w:ascii="Times New Roman" w:hAnsi="Times New Roman"/>
          <w:sz w:val="24"/>
          <w:szCs w:val="24"/>
        </w:rPr>
        <w:t>impairment of Plaintiff’s own performance as a firefighter, and undermining of NFD’s mission</w:t>
      </w:r>
      <w:r>
        <w:rPr>
          <w:rFonts w:ascii="Times New Roman" w:hAnsi="Times New Roman"/>
          <w:sz w:val="24"/>
          <w:szCs w:val="24"/>
        </w:rPr>
        <w:t xml:space="preserve">) … </w:t>
      </w:r>
      <w:r w:rsidRPr="00057C7A">
        <w:rPr>
          <w:rFonts w:ascii="Times New Roman" w:hAnsi="Times New Roman"/>
          <w:sz w:val="24"/>
          <w:szCs w:val="24"/>
        </w:rPr>
        <w:t xml:space="preserve"> that would be the kinds of things that would cause disruption; the Court</w:t>
      </w:r>
      <w:r>
        <w:rPr>
          <w:rFonts w:ascii="Times New Roman" w:hAnsi="Times New Roman"/>
          <w:sz w:val="24"/>
          <w:szCs w:val="24"/>
        </w:rPr>
        <w:t xml:space="preserve"> </w:t>
      </w:r>
      <w:r w:rsidRPr="00057C7A">
        <w:rPr>
          <w:rFonts w:ascii="Times New Roman" w:hAnsi="Times New Roman"/>
          <w:sz w:val="24"/>
          <w:szCs w:val="24"/>
        </w:rPr>
        <w:t>does not see where his testimony leaves room for an inference of disruption to NFD operations.</w:t>
      </w:r>
      <w:r>
        <w:rPr>
          <w:rFonts w:ascii="Times New Roman" w:hAnsi="Times New Roman"/>
          <w:sz w:val="24"/>
          <w:szCs w:val="24"/>
        </w:rPr>
        <w:t xml:space="preserve"> </w:t>
      </w:r>
      <w:r w:rsidRPr="00057C7A">
        <w:rPr>
          <w:rFonts w:ascii="Times New Roman" w:hAnsi="Times New Roman"/>
          <w:sz w:val="24"/>
          <w:szCs w:val="24"/>
        </w:rPr>
        <w:t>Thus, Defendant has not met its burden in showing that there is no genuine dispute of material fact</w:t>
      </w:r>
      <w:r>
        <w:rPr>
          <w:rFonts w:ascii="Times New Roman" w:hAnsi="Times New Roman"/>
          <w:sz w:val="24"/>
          <w:szCs w:val="24"/>
        </w:rPr>
        <w:t xml:space="preserve"> </w:t>
      </w:r>
      <w:r w:rsidRPr="00057C7A">
        <w:rPr>
          <w:rFonts w:ascii="Times New Roman" w:hAnsi="Times New Roman"/>
          <w:sz w:val="24"/>
          <w:szCs w:val="24"/>
        </w:rPr>
        <w:t>regarding factor (c), and this factor weighs in favor of Plaintiff</w:t>
      </w:r>
      <w:r>
        <w:rPr>
          <w:rFonts w:ascii="Times New Roman" w:hAnsi="Times New Roman"/>
          <w:sz w:val="24"/>
          <w:szCs w:val="24"/>
        </w:rPr>
        <w:t xml:space="preserve">…. </w:t>
      </w:r>
    </w:p>
    <w:p w14:paraId="07C30AA0" w14:textId="77777777" w:rsidR="008F7EBA" w:rsidRPr="000A219B" w:rsidRDefault="008F7EBA" w:rsidP="008F7EBA">
      <w:pPr>
        <w:pStyle w:val="NoSpacing"/>
        <w:ind w:firstLine="720"/>
        <w:rPr>
          <w:rFonts w:ascii="Times New Roman" w:hAnsi="Times New Roman"/>
          <w:sz w:val="24"/>
          <w:szCs w:val="24"/>
        </w:rPr>
      </w:pPr>
      <w:r w:rsidRPr="000A219B">
        <w:rPr>
          <w:rFonts w:ascii="Times New Roman" w:hAnsi="Times New Roman"/>
          <w:sz w:val="24"/>
          <w:szCs w:val="24"/>
        </w:rPr>
        <w:t>For the reasons discussed herein, the Court will deny Defendant’s motion for summary</w:t>
      </w:r>
    </w:p>
    <w:p w14:paraId="607B584A" w14:textId="77777777" w:rsidR="008F7EBA" w:rsidRDefault="008F7EBA" w:rsidP="008F7EBA">
      <w:pPr>
        <w:pStyle w:val="NoSpacing"/>
        <w:ind w:left="720"/>
        <w:rPr>
          <w:rFonts w:ascii="Times New Roman" w:hAnsi="Times New Roman"/>
          <w:sz w:val="24"/>
          <w:szCs w:val="24"/>
        </w:rPr>
      </w:pPr>
      <w:r w:rsidRPr="000A219B">
        <w:rPr>
          <w:rFonts w:ascii="Times New Roman" w:hAnsi="Times New Roman"/>
          <w:sz w:val="24"/>
          <w:szCs w:val="24"/>
        </w:rPr>
        <w:t>Judgment</w:t>
      </w:r>
      <w:r>
        <w:rPr>
          <w:rFonts w:ascii="Times New Roman" w:hAnsi="Times New Roman"/>
          <w:sz w:val="24"/>
          <w:szCs w:val="24"/>
        </w:rPr>
        <w:t xml:space="preserve">. </w:t>
      </w:r>
      <w:hyperlink r:id="rId2516" w:history="1">
        <w:r w:rsidRPr="00C13311">
          <w:rPr>
            <w:rStyle w:val="Hyperlink"/>
            <w:rFonts w:ascii="Times New Roman" w:hAnsi="Times New Roman"/>
            <w:sz w:val="24"/>
            <w:szCs w:val="24"/>
          </w:rPr>
          <w:t>https://cases.justia.com/federal/district-courts/tennessee/tnmdce/3:2021cv00042/85053/46/0.pdf?ts=1695225093</w:t>
        </w:r>
      </w:hyperlink>
      <w:r>
        <w:rPr>
          <w:rFonts w:ascii="Times New Roman" w:hAnsi="Times New Roman"/>
          <w:sz w:val="24"/>
          <w:szCs w:val="24"/>
        </w:rPr>
        <w:t xml:space="preserve"> </w:t>
      </w:r>
    </w:p>
    <w:p w14:paraId="2DE3B735" w14:textId="77777777" w:rsidR="008F7EBA" w:rsidRDefault="008F7EBA" w:rsidP="00F326E5">
      <w:pPr>
        <w:pStyle w:val="NoSpacing"/>
        <w:rPr>
          <w:rFonts w:ascii="Arial Black" w:hAnsi="Arial Black"/>
          <w:sz w:val="24"/>
          <w:szCs w:val="24"/>
        </w:rPr>
      </w:pPr>
    </w:p>
    <w:p w14:paraId="2319F427" w14:textId="77777777" w:rsidR="008F7EBA" w:rsidRPr="00057C7A" w:rsidRDefault="008F7EBA" w:rsidP="008F7EBA">
      <w:pPr>
        <w:pStyle w:val="NoSpacing"/>
        <w:rPr>
          <w:rFonts w:ascii="Times New Roman" w:hAnsi="Times New Roman"/>
          <w:b/>
          <w:bCs/>
          <w:sz w:val="24"/>
          <w:szCs w:val="24"/>
        </w:rPr>
      </w:pPr>
      <w:r w:rsidRPr="00057C7A">
        <w:rPr>
          <w:rFonts w:ascii="Times New Roman" w:hAnsi="Times New Roman"/>
          <w:b/>
          <w:bCs/>
          <w:sz w:val="24"/>
          <w:szCs w:val="24"/>
        </w:rPr>
        <w:t xml:space="preserve">Legal Lesson Learned: </w:t>
      </w:r>
      <w:r>
        <w:rPr>
          <w:rFonts w:ascii="Times New Roman" w:hAnsi="Times New Roman"/>
          <w:b/>
          <w:bCs/>
          <w:sz w:val="24"/>
          <w:szCs w:val="24"/>
        </w:rPr>
        <w:t xml:space="preserve"> The Pickering “balancing test” requires Court to examine the impact on FD of social media posts.  FD officers must be particularly cautious about posts that might appear racial in nature.</w:t>
      </w:r>
    </w:p>
    <w:p w14:paraId="35B84E4A" w14:textId="77777777" w:rsidR="008F7EBA" w:rsidRDefault="008F7EBA" w:rsidP="008F7EBA">
      <w:pPr>
        <w:pStyle w:val="NoSpacing"/>
        <w:rPr>
          <w:rFonts w:ascii="Times New Roman" w:hAnsi="Times New Roman"/>
          <w:sz w:val="24"/>
          <w:szCs w:val="24"/>
        </w:rPr>
      </w:pPr>
    </w:p>
    <w:p w14:paraId="7AA049B7" w14:textId="77777777" w:rsidR="008F7EBA" w:rsidRDefault="008F7EBA" w:rsidP="008F7EBA">
      <w:pPr>
        <w:pStyle w:val="NoSpacing"/>
        <w:rPr>
          <w:rFonts w:ascii="Times New Roman" w:hAnsi="Times New Roman"/>
          <w:sz w:val="24"/>
          <w:szCs w:val="24"/>
        </w:rPr>
      </w:pPr>
      <w:r>
        <w:rPr>
          <w:rFonts w:ascii="Times New Roman" w:hAnsi="Times New Roman"/>
          <w:sz w:val="24"/>
          <w:szCs w:val="24"/>
        </w:rPr>
        <w:tab/>
        <w:t>Note:  See Footnote 10 of the opinion:</w:t>
      </w:r>
    </w:p>
    <w:p w14:paraId="7238F3B4" w14:textId="77777777" w:rsidR="008F7EBA" w:rsidRDefault="008F7EBA" w:rsidP="008F7EBA">
      <w:pPr>
        <w:pStyle w:val="NoSpacing"/>
        <w:rPr>
          <w:rFonts w:ascii="Times New Roman" w:hAnsi="Times New Roman"/>
          <w:sz w:val="24"/>
          <w:szCs w:val="24"/>
        </w:rPr>
      </w:pPr>
    </w:p>
    <w:p w14:paraId="0DEA34E8" w14:textId="77777777" w:rsidR="008F7EBA" w:rsidRDefault="008F7EBA" w:rsidP="008F7EBA">
      <w:pPr>
        <w:pStyle w:val="NoSpacing"/>
        <w:ind w:left="1440"/>
        <w:rPr>
          <w:rFonts w:ascii="Times New Roman" w:hAnsi="Times New Roman"/>
          <w:sz w:val="24"/>
          <w:szCs w:val="24"/>
        </w:rPr>
      </w:pPr>
      <w:r>
        <w:rPr>
          <w:rFonts w:ascii="Times New Roman" w:hAnsi="Times New Roman"/>
          <w:sz w:val="24"/>
          <w:szCs w:val="24"/>
        </w:rPr>
        <w:t>“</w:t>
      </w:r>
      <w:r w:rsidRPr="00E2462F">
        <w:rPr>
          <w:rFonts w:ascii="Times New Roman" w:hAnsi="Times New Roman"/>
          <w:sz w:val="24"/>
          <w:szCs w:val="24"/>
        </w:rPr>
        <w:t>The Court declines to opine on whether these comments were necessarily racially biased, in the sense of</w:t>
      </w:r>
      <w:r>
        <w:rPr>
          <w:rFonts w:ascii="Times New Roman" w:hAnsi="Times New Roman"/>
          <w:sz w:val="24"/>
          <w:szCs w:val="24"/>
        </w:rPr>
        <w:t xml:space="preserve"> </w:t>
      </w:r>
      <w:r w:rsidRPr="00E2462F">
        <w:rPr>
          <w:rFonts w:ascii="Times New Roman" w:hAnsi="Times New Roman"/>
          <w:sz w:val="24"/>
          <w:szCs w:val="24"/>
        </w:rPr>
        <w:t>reflecting bias against Black members of the community, or whether instead they reflected a bias only</w:t>
      </w:r>
      <w:r>
        <w:rPr>
          <w:rFonts w:ascii="Times New Roman" w:hAnsi="Times New Roman"/>
          <w:sz w:val="24"/>
          <w:szCs w:val="24"/>
        </w:rPr>
        <w:t xml:space="preserve"> </w:t>
      </w:r>
      <w:r w:rsidRPr="00E2462F">
        <w:rPr>
          <w:rFonts w:ascii="Times New Roman" w:hAnsi="Times New Roman"/>
          <w:sz w:val="24"/>
          <w:szCs w:val="24"/>
        </w:rPr>
        <w:t>against two kinds of individuals —rioters, and members and supporters of Black Lives Matter—that, to say</w:t>
      </w:r>
      <w:r>
        <w:rPr>
          <w:rFonts w:ascii="Times New Roman" w:hAnsi="Times New Roman"/>
          <w:sz w:val="24"/>
          <w:szCs w:val="24"/>
        </w:rPr>
        <w:t xml:space="preserve"> </w:t>
      </w:r>
      <w:r w:rsidRPr="00E2462F">
        <w:rPr>
          <w:rFonts w:ascii="Times New Roman" w:hAnsi="Times New Roman"/>
          <w:sz w:val="24"/>
          <w:szCs w:val="24"/>
        </w:rPr>
        <w:t>the very least, obviously include persons who are not Black.</w:t>
      </w:r>
      <w:r>
        <w:rPr>
          <w:rFonts w:ascii="Times New Roman" w:hAnsi="Times New Roman"/>
          <w:sz w:val="24"/>
          <w:szCs w:val="24"/>
        </w:rPr>
        <w:t>”</w:t>
      </w:r>
    </w:p>
    <w:p w14:paraId="19578138" w14:textId="77777777" w:rsidR="008F7EBA" w:rsidRDefault="008F7EBA" w:rsidP="00F326E5">
      <w:pPr>
        <w:pStyle w:val="NoSpacing"/>
        <w:rPr>
          <w:rFonts w:ascii="Arial Black" w:hAnsi="Arial Black"/>
          <w:sz w:val="24"/>
          <w:szCs w:val="24"/>
        </w:rPr>
      </w:pPr>
    </w:p>
    <w:p w14:paraId="08EB4090" w14:textId="67037E16" w:rsidR="008F7EBA" w:rsidRDefault="008F7EBA" w:rsidP="00F326E5">
      <w:pPr>
        <w:pStyle w:val="NoSpacing"/>
        <w:rPr>
          <w:rFonts w:ascii="Arial Black" w:hAnsi="Arial Black"/>
          <w:sz w:val="24"/>
          <w:szCs w:val="24"/>
        </w:rPr>
      </w:pPr>
      <w:r>
        <w:rPr>
          <w:rFonts w:ascii="Arial Black" w:hAnsi="Arial Black"/>
          <w:sz w:val="24"/>
          <w:szCs w:val="24"/>
        </w:rPr>
        <w:t>16-93</w:t>
      </w:r>
    </w:p>
    <w:p w14:paraId="5298DF02" w14:textId="77777777" w:rsidR="008F7EBA" w:rsidRDefault="008F7EBA" w:rsidP="00F326E5">
      <w:pPr>
        <w:pStyle w:val="NoSpacing"/>
        <w:rPr>
          <w:rFonts w:ascii="Arial Black" w:hAnsi="Arial Black"/>
          <w:sz w:val="24"/>
          <w:szCs w:val="24"/>
        </w:rPr>
      </w:pPr>
    </w:p>
    <w:p w14:paraId="042E905A" w14:textId="77777777" w:rsidR="008F7EBA" w:rsidRPr="00E87A47" w:rsidRDefault="008F7EBA" w:rsidP="008F7EBA">
      <w:pPr>
        <w:rPr>
          <w:rFonts w:ascii="Arial Black" w:eastAsia="Times New Roman" w:hAnsi="Arial Black" w:cs="Segoe UI"/>
          <w:sz w:val="28"/>
          <w:szCs w:val="28"/>
        </w:rPr>
      </w:pPr>
      <w:r>
        <w:rPr>
          <w:rFonts w:ascii="Arial Black" w:eastAsia="Times New Roman" w:hAnsi="Arial Black" w:cs="Segoe UI"/>
          <w:sz w:val="28"/>
          <w:szCs w:val="28"/>
        </w:rPr>
        <w:t xml:space="preserve">NC: CHILD SEXUAL ASSAULTED BY FF AT FD – 24-30 YRS PRISON – VICTIM CAN NOW SUE WITHIN  2-YRS FF CONV. </w:t>
      </w:r>
    </w:p>
    <w:p w14:paraId="09647D7A" w14:textId="77777777" w:rsidR="008F7EBA" w:rsidRDefault="008F7EBA" w:rsidP="008F7EBA">
      <w:pPr>
        <w:pStyle w:val="NoSpacing"/>
        <w:rPr>
          <w:rFonts w:ascii="Times New Roman" w:hAnsi="Times New Roman"/>
          <w:sz w:val="24"/>
          <w:szCs w:val="24"/>
        </w:rPr>
      </w:pPr>
      <w:r w:rsidRPr="00040EC5">
        <w:rPr>
          <w:rFonts w:ascii="Times New Roman" w:hAnsi="Times New Roman"/>
          <w:sz w:val="24"/>
          <w:szCs w:val="24"/>
        </w:rPr>
        <w:t xml:space="preserve">On Sept. 12, 2023, in </w:t>
      </w:r>
      <w:r w:rsidRPr="00040EC5">
        <w:rPr>
          <w:rFonts w:ascii="Times New Roman" w:hAnsi="Times New Roman"/>
          <w:sz w:val="24"/>
          <w:szCs w:val="24"/>
          <w:u w:val="single"/>
        </w:rPr>
        <w:t>Michael Taylor v. The Piney Grove Volunteer Fire And Rescue Department, Inc., et al.</w:t>
      </w:r>
      <w:r w:rsidRPr="00040EC5">
        <w:rPr>
          <w:rFonts w:ascii="Times New Roman" w:hAnsi="Times New Roman"/>
          <w:sz w:val="24"/>
          <w:szCs w:val="24"/>
        </w:rPr>
        <w:t xml:space="preserve">, the Court of Appeals of North Carolina held (2 to 1) that the State Legislature can lawfully expand the statute of limitation for juveniles to sue </w:t>
      </w:r>
      <w:r>
        <w:rPr>
          <w:rFonts w:ascii="Times New Roman" w:hAnsi="Times New Roman"/>
          <w:sz w:val="24"/>
          <w:szCs w:val="24"/>
        </w:rPr>
        <w:t xml:space="preserve">when they become adults </w:t>
      </w:r>
      <w:r w:rsidRPr="00040EC5">
        <w:rPr>
          <w:rFonts w:ascii="Times New Roman" w:hAnsi="Times New Roman"/>
          <w:sz w:val="24"/>
          <w:szCs w:val="24"/>
        </w:rPr>
        <w:t xml:space="preserve">for child sexual abuse under the Sexual Assault Fast </w:t>
      </w:r>
      <w:r>
        <w:rPr>
          <w:rFonts w:ascii="Times New Roman" w:hAnsi="Times New Roman"/>
          <w:sz w:val="24"/>
          <w:szCs w:val="24"/>
        </w:rPr>
        <w:t>R</w:t>
      </w:r>
      <w:r w:rsidRPr="00040EC5">
        <w:rPr>
          <w:rFonts w:ascii="Times New Roman" w:hAnsi="Times New Roman"/>
          <w:sz w:val="24"/>
          <w:szCs w:val="24"/>
        </w:rPr>
        <w:t xml:space="preserve">eporting </w:t>
      </w:r>
      <w:r>
        <w:rPr>
          <w:rFonts w:ascii="Times New Roman" w:hAnsi="Times New Roman"/>
          <w:sz w:val="24"/>
          <w:szCs w:val="24"/>
        </w:rPr>
        <w:t>A</w:t>
      </w:r>
      <w:r w:rsidRPr="00040EC5">
        <w:rPr>
          <w:rFonts w:ascii="Times New Roman" w:hAnsi="Times New Roman"/>
          <w:sz w:val="24"/>
          <w:szCs w:val="24"/>
        </w:rPr>
        <w:t>nd Enforcement Act</w:t>
      </w:r>
      <w:r>
        <w:rPr>
          <w:rFonts w:ascii="Times New Roman" w:hAnsi="Times New Roman"/>
          <w:sz w:val="24"/>
          <w:szCs w:val="24"/>
        </w:rPr>
        <w:t xml:space="preserve"> (“</w:t>
      </w:r>
      <w:r w:rsidRPr="00040EC5">
        <w:rPr>
          <w:rFonts w:ascii="Times New Roman" w:hAnsi="Times New Roman"/>
          <w:sz w:val="24"/>
          <w:szCs w:val="24"/>
        </w:rPr>
        <w:t xml:space="preserve">SAFE Child Act”).  </w:t>
      </w:r>
      <w:r>
        <w:rPr>
          <w:rFonts w:ascii="Times New Roman" w:hAnsi="Times New Roman"/>
          <w:sz w:val="24"/>
          <w:szCs w:val="24"/>
        </w:rPr>
        <w:t>The North Carolina legislature amended the law to give child victims the right to sue two years after the conviction of the assailant. Michael Taylor turned 18 in April 2000; under prior law he had three years to sue the assailant (April 2003).  Under new statute, he could sue two years after the conviction of his assailant.  The firefighter pled guilty in 2019 to multiple counts of sexual assault and is now serving 24-to-</w:t>
      </w:r>
      <w:proofErr w:type="gramStart"/>
      <w:r>
        <w:rPr>
          <w:rFonts w:ascii="Times New Roman" w:hAnsi="Times New Roman"/>
          <w:sz w:val="24"/>
          <w:szCs w:val="24"/>
        </w:rPr>
        <w:t>30 year</w:t>
      </w:r>
      <w:proofErr w:type="gramEnd"/>
      <w:r>
        <w:rPr>
          <w:rFonts w:ascii="Times New Roman" w:hAnsi="Times New Roman"/>
          <w:sz w:val="24"/>
          <w:szCs w:val="24"/>
        </w:rPr>
        <w:t xml:space="preserve"> sentence in state prison.  The Court held that this lawsuit was timely filed on March 4, 2020.  </w:t>
      </w:r>
    </w:p>
    <w:p w14:paraId="6F2E6E4F" w14:textId="77777777" w:rsidR="008F7EBA" w:rsidRDefault="008F7EBA" w:rsidP="008F7EBA">
      <w:pPr>
        <w:pStyle w:val="NoSpacing"/>
        <w:rPr>
          <w:rFonts w:ascii="Times New Roman" w:hAnsi="Times New Roman"/>
          <w:sz w:val="24"/>
          <w:szCs w:val="24"/>
        </w:rPr>
      </w:pPr>
    </w:p>
    <w:p w14:paraId="634AC75B" w14:textId="77777777" w:rsidR="008F7EBA" w:rsidRDefault="008F7EBA" w:rsidP="008F7EBA">
      <w:pPr>
        <w:pStyle w:val="NoSpacing"/>
        <w:ind w:left="720" w:firstLine="60"/>
        <w:rPr>
          <w:rFonts w:ascii="Times New Roman" w:hAnsi="Times New Roman"/>
          <w:sz w:val="24"/>
          <w:szCs w:val="24"/>
        </w:rPr>
      </w:pPr>
      <w:r w:rsidRPr="00040EC5">
        <w:rPr>
          <w:rFonts w:ascii="Times New Roman" w:hAnsi="Times New Roman"/>
          <w:sz w:val="24"/>
          <w:szCs w:val="24"/>
        </w:rPr>
        <w:t>“Because we agree with Appellants that the North Carolina Constitution does not prohibit the General Assembly from reviving Plaintiff’s civil claims under the SAFE Child Act as set forth in McKinney, we reverse and remand the trial court’s order for further proceedings not inconsistent with this opinion.</w:t>
      </w:r>
    </w:p>
    <w:p w14:paraId="46CED53C" w14:textId="77777777" w:rsidR="008F7EBA" w:rsidRDefault="008F7EBA" w:rsidP="008F7EBA">
      <w:pPr>
        <w:pStyle w:val="NoSpacing"/>
        <w:ind w:left="720" w:firstLine="60"/>
        <w:rPr>
          <w:rFonts w:ascii="Times New Roman" w:hAnsi="Times New Roman"/>
          <w:sz w:val="24"/>
          <w:szCs w:val="24"/>
        </w:rPr>
      </w:pPr>
    </w:p>
    <w:p w14:paraId="07D73D36" w14:textId="77777777" w:rsidR="008F7EBA" w:rsidRDefault="008F7EBA" w:rsidP="008F7EBA">
      <w:pPr>
        <w:pStyle w:val="NoSpacing"/>
        <w:ind w:left="720" w:firstLine="60"/>
        <w:rPr>
          <w:rFonts w:ascii="Times New Roman" w:hAnsi="Times New Roman"/>
          <w:sz w:val="24"/>
          <w:szCs w:val="24"/>
        </w:rPr>
      </w:pPr>
      <w:r>
        <w:rPr>
          <w:rFonts w:ascii="Times New Roman" w:hAnsi="Times New Roman"/>
          <w:sz w:val="24"/>
          <w:szCs w:val="24"/>
        </w:rPr>
        <w:t>***</w:t>
      </w:r>
    </w:p>
    <w:p w14:paraId="6753EEFF" w14:textId="77777777" w:rsidR="008F7EBA" w:rsidRDefault="008F7EBA" w:rsidP="008F7EBA">
      <w:pPr>
        <w:pStyle w:val="NoSpacing"/>
        <w:ind w:left="720"/>
        <w:rPr>
          <w:rFonts w:ascii="Times New Roman" w:hAnsi="Times New Roman"/>
          <w:sz w:val="24"/>
          <w:szCs w:val="24"/>
        </w:rPr>
      </w:pPr>
      <w:r w:rsidRPr="002A67C8">
        <w:rPr>
          <w:rFonts w:ascii="Times New Roman" w:hAnsi="Times New Roman"/>
          <w:sz w:val="24"/>
          <w:szCs w:val="24"/>
        </w:rPr>
        <w:t>In the 2000s, 2010s, and early 2020s—and largely after Plaintiff’s tort claims</w:t>
      </w:r>
      <w:r>
        <w:rPr>
          <w:rFonts w:ascii="Times New Roman" w:hAnsi="Times New Roman"/>
          <w:sz w:val="24"/>
          <w:szCs w:val="24"/>
        </w:rPr>
        <w:t xml:space="preserve"> </w:t>
      </w:r>
      <w:r w:rsidRPr="002A67C8">
        <w:rPr>
          <w:rFonts w:ascii="Times New Roman" w:hAnsi="Times New Roman"/>
          <w:sz w:val="24"/>
          <w:szCs w:val="24"/>
        </w:rPr>
        <w:t>had expired—scientific research into childhood sexual trauma solidified around two</w:t>
      </w:r>
      <w:r>
        <w:rPr>
          <w:rFonts w:ascii="Times New Roman" w:hAnsi="Times New Roman"/>
          <w:sz w:val="24"/>
          <w:szCs w:val="24"/>
        </w:rPr>
        <w:t xml:space="preserve"> </w:t>
      </w:r>
      <w:r w:rsidRPr="002A67C8">
        <w:rPr>
          <w:rFonts w:ascii="Times New Roman" w:hAnsi="Times New Roman"/>
          <w:sz w:val="24"/>
          <w:szCs w:val="24"/>
        </w:rPr>
        <w:t>key facts: (1) victims of childhood sexual abuse frequently delayed disclosure of their</w:t>
      </w:r>
      <w:r>
        <w:rPr>
          <w:rFonts w:ascii="Times New Roman" w:hAnsi="Times New Roman"/>
          <w:sz w:val="24"/>
          <w:szCs w:val="24"/>
        </w:rPr>
        <w:t xml:space="preserve"> </w:t>
      </w:r>
      <w:r w:rsidRPr="002A67C8">
        <w:rPr>
          <w:rFonts w:ascii="Times New Roman" w:hAnsi="Times New Roman"/>
          <w:sz w:val="24"/>
          <w:szCs w:val="24"/>
        </w:rPr>
        <w:t>trauma well into adulthood; and (2) the abuse frequently resulted in lifelong injury</w:t>
      </w:r>
      <w:r>
        <w:rPr>
          <w:rFonts w:ascii="Times New Roman" w:hAnsi="Times New Roman"/>
          <w:sz w:val="24"/>
          <w:szCs w:val="24"/>
        </w:rPr>
        <w:t xml:space="preserve">…. </w:t>
      </w:r>
      <w:r w:rsidRPr="002A67C8">
        <w:rPr>
          <w:rFonts w:ascii="Times New Roman" w:hAnsi="Times New Roman"/>
          <w:sz w:val="24"/>
          <w:szCs w:val="24"/>
        </w:rPr>
        <w:t>Legislatures across the country responded to these scientific developments</w:t>
      </w:r>
      <w:r>
        <w:rPr>
          <w:rFonts w:ascii="Times New Roman" w:hAnsi="Times New Roman"/>
          <w:sz w:val="24"/>
          <w:szCs w:val="24"/>
        </w:rPr>
        <w:t xml:space="preserve"> </w:t>
      </w:r>
      <w:r w:rsidRPr="002A67C8">
        <w:rPr>
          <w:rFonts w:ascii="Times New Roman" w:hAnsi="Times New Roman"/>
          <w:sz w:val="24"/>
          <w:szCs w:val="24"/>
        </w:rPr>
        <w:t>by, among other actions, enacting statutes reviving stale civil claims for child sexual</w:t>
      </w:r>
      <w:r>
        <w:rPr>
          <w:rFonts w:ascii="Times New Roman" w:hAnsi="Times New Roman"/>
          <w:sz w:val="24"/>
          <w:szCs w:val="24"/>
        </w:rPr>
        <w:t xml:space="preserve"> </w:t>
      </w:r>
      <w:r w:rsidRPr="002A67C8">
        <w:rPr>
          <w:rFonts w:ascii="Times New Roman" w:hAnsi="Times New Roman"/>
          <w:sz w:val="24"/>
          <w:szCs w:val="24"/>
        </w:rPr>
        <w:t>abuse that had previously expired under the applicable statutes of limitation.</w:t>
      </w:r>
      <w:r>
        <w:rPr>
          <w:rFonts w:ascii="Times New Roman" w:hAnsi="Times New Roman"/>
          <w:sz w:val="24"/>
          <w:szCs w:val="24"/>
        </w:rPr>
        <w:t xml:space="preserve">” </w:t>
      </w:r>
    </w:p>
    <w:p w14:paraId="1A049730" w14:textId="77777777" w:rsidR="008F7EBA" w:rsidRPr="00040EC5" w:rsidRDefault="008F7EBA" w:rsidP="008F7EBA">
      <w:pPr>
        <w:pStyle w:val="NoSpacing"/>
        <w:ind w:left="720" w:firstLine="60"/>
        <w:rPr>
          <w:rFonts w:ascii="Times New Roman" w:hAnsi="Times New Roman"/>
          <w:sz w:val="24"/>
          <w:szCs w:val="24"/>
        </w:rPr>
      </w:pPr>
      <w:hyperlink r:id="rId2517" w:history="1">
        <w:r w:rsidRPr="002230B5">
          <w:rPr>
            <w:rStyle w:val="Hyperlink"/>
            <w:rFonts w:ascii="Times New Roman" w:hAnsi="Times New Roman"/>
            <w:sz w:val="24"/>
            <w:szCs w:val="24"/>
          </w:rPr>
          <w:t>https://cases.justia.com/north-carolina/court-of-appeals/2023-22-259.pdf?ts=1694553709</w:t>
        </w:r>
      </w:hyperlink>
      <w:r w:rsidRPr="00040EC5">
        <w:rPr>
          <w:rFonts w:ascii="Times New Roman" w:hAnsi="Times New Roman"/>
          <w:sz w:val="24"/>
          <w:szCs w:val="24"/>
        </w:rPr>
        <w:t xml:space="preserve"> </w:t>
      </w:r>
    </w:p>
    <w:p w14:paraId="52BA10CC" w14:textId="77777777" w:rsidR="008F7EBA" w:rsidRDefault="008F7EBA" w:rsidP="008F7EBA">
      <w:pPr>
        <w:pStyle w:val="NoSpacing"/>
        <w:rPr>
          <w:rFonts w:ascii="Times New Roman" w:hAnsi="Times New Roman"/>
          <w:b/>
          <w:bCs/>
          <w:sz w:val="24"/>
          <w:szCs w:val="24"/>
        </w:rPr>
      </w:pPr>
    </w:p>
    <w:p w14:paraId="7D98C8DC" w14:textId="402B2869" w:rsidR="008F7EBA" w:rsidRPr="002A67C8" w:rsidRDefault="008F7EBA" w:rsidP="008F7EBA">
      <w:pPr>
        <w:pStyle w:val="NoSpacing"/>
        <w:rPr>
          <w:rFonts w:ascii="Times New Roman" w:hAnsi="Times New Roman"/>
          <w:b/>
          <w:bCs/>
          <w:sz w:val="24"/>
          <w:szCs w:val="24"/>
        </w:rPr>
      </w:pPr>
      <w:r w:rsidRPr="002A67C8">
        <w:rPr>
          <w:rFonts w:ascii="Times New Roman" w:hAnsi="Times New Roman"/>
          <w:b/>
          <w:bCs/>
          <w:sz w:val="24"/>
          <w:szCs w:val="24"/>
        </w:rPr>
        <w:t>Legal Lesson Learned:</w:t>
      </w:r>
      <w:r>
        <w:rPr>
          <w:rFonts w:ascii="Times New Roman" w:hAnsi="Times New Roman"/>
          <w:b/>
          <w:bCs/>
          <w:sz w:val="24"/>
          <w:szCs w:val="24"/>
        </w:rPr>
        <w:t xml:space="preserve"> Many state legislatures have likewise expanded the statute of limitations for victims of sexual assault as children. </w:t>
      </w:r>
    </w:p>
    <w:p w14:paraId="695E9F13" w14:textId="77777777" w:rsidR="008F7EBA" w:rsidRDefault="008F7EBA" w:rsidP="008F7EBA">
      <w:pPr>
        <w:pStyle w:val="NoSpacing"/>
        <w:ind w:left="720"/>
        <w:rPr>
          <w:rFonts w:ascii="Times New Roman" w:hAnsi="Times New Roman"/>
          <w:sz w:val="24"/>
          <w:szCs w:val="24"/>
        </w:rPr>
      </w:pPr>
    </w:p>
    <w:p w14:paraId="6E097F2E" w14:textId="77777777" w:rsidR="008F7EBA" w:rsidRPr="00842639" w:rsidRDefault="008F7EBA" w:rsidP="008F7EBA">
      <w:pPr>
        <w:pStyle w:val="NoSpacing"/>
        <w:ind w:left="720"/>
        <w:rPr>
          <w:rFonts w:ascii="Times New Roman" w:hAnsi="Times New Roman"/>
          <w:sz w:val="24"/>
          <w:szCs w:val="24"/>
        </w:rPr>
      </w:pPr>
      <w:r w:rsidRPr="00842639">
        <w:rPr>
          <w:rFonts w:ascii="Times New Roman" w:hAnsi="Times New Roman"/>
          <w:sz w:val="24"/>
          <w:szCs w:val="24"/>
        </w:rPr>
        <w:t xml:space="preserve">Note: See June 26, </w:t>
      </w:r>
      <w:proofErr w:type="gramStart"/>
      <w:r w:rsidRPr="00842639">
        <w:rPr>
          <w:rFonts w:ascii="Times New Roman" w:hAnsi="Times New Roman"/>
          <w:sz w:val="24"/>
          <w:szCs w:val="24"/>
        </w:rPr>
        <w:t>2019</w:t>
      </w:r>
      <w:proofErr w:type="gramEnd"/>
      <w:r w:rsidRPr="00842639">
        <w:rPr>
          <w:rFonts w:ascii="Times New Roman" w:hAnsi="Times New Roman"/>
          <w:sz w:val="24"/>
          <w:szCs w:val="24"/>
        </w:rPr>
        <w:t xml:space="preserve"> article, 'He stole my innocence, my childhood, my virginity:' Former YMCA counselor convicted of child sex abuse.” A search warrant revealed at least eight possible victims, one of them who was 10 years old at the time.  </w:t>
      </w:r>
      <w:hyperlink r:id="rId2518" w:history="1">
        <w:r w:rsidRPr="00842639">
          <w:rPr>
            <w:rStyle w:val="Hyperlink"/>
            <w:rFonts w:ascii="Times New Roman" w:hAnsi="Times New Roman"/>
            <w:sz w:val="24"/>
            <w:szCs w:val="24"/>
          </w:rPr>
          <w:t>https://www.wxii12.com/article/former-ymca-counselor-volunteer-firefighter-pleads-guilty-to-sexually-assaulting-young-boys/28196918</w:t>
        </w:r>
      </w:hyperlink>
      <w:r w:rsidRPr="00842639">
        <w:rPr>
          <w:rFonts w:ascii="Times New Roman" w:hAnsi="Times New Roman"/>
          <w:sz w:val="24"/>
          <w:szCs w:val="24"/>
        </w:rPr>
        <w:t xml:space="preserve"> </w:t>
      </w:r>
    </w:p>
    <w:p w14:paraId="7D60FB66" w14:textId="77777777" w:rsidR="008F7EBA" w:rsidRDefault="008F7EBA" w:rsidP="008F7EBA">
      <w:pPr>
        <w:pStyle w:val="NormalWeb"/>
      </w:pPr>
    </w:p>
    <w:p w14:paraId="7BDB1E76" w14:textId="77777777" w:rsidR="008F7EBA" w:rsidRDefault="008F7EBA" w:rsidP="00F326E5">
      <w:pPr>
        <w:pStyle w:val="NoSpacing"/>
        <w:rPr>
          <w:rFonts w:ascii="Arial Black" w:hAnsi="Arial Black"/>
          <w:sz w:val="24"/>
          <w:szCs w:val="24"/>
        </w:rPr>
      </w:pPr>
    </w:p>
    <w:p w14:paraId="55B7855A" w14:textId="77777777" w:rsidR="008F7EBA" w:rsidRDefault="008F7EBA" w:rsidP="00F326E5">
      <w:pPr>
        <w:pStyle w:val="NoSpacing"/>
        <w:rPr>
          <w:rFonts w:ascii="Arial Black" w:hAnsi="Arial Black"/>
          <w:sz w:val="24"/>
          <w:szCs w:val="24"/>
        </w:rPr>
      </w:pPr>
    </w:p>
    <w:p w14:paraId="3C17A371" w14:textId="4D050C59" w:rsidR="009B0593" w:rsidRDefault="009B0593" w:rsidP="00F326E5">
      <w:pPr>
        <w:pStyle w:val="NoSpacing"/>
        <w:rPr>
          <w:rFonts w:ascii="Arial Black" w:hAnsi="Arial Black"/>
          <w:sz w:val="24"/>
          <w:szCs w:val="24"/>
        </w:rPr>
      </w:pPr>
      <w:r>
        <w:rPr>
          <w:rFonts w:ascii="Arial Black" w:hAnsi="Arial Black"/>
          <w:sz w:val="24"/>
          <w:szCs w:val="24"/>
        </w:rPr>
        <w:t>16-92</w:t>
      </w:r>
    </w:p>
    <w:p w14:paraId="45AECEE9" w14:textId="77777777" w:rsidR="009B0593" w:rsidRDefault="009B0593" w:rsidP="009B0593">
      <w:pPr>
        <w:pStyle w:val="NormalWeb"/>
        <w:rPr>
          <w:rFonts w:ascii="Arial Black" w:hAnsi="Arial Black"/>
          <w:b/>
          <w:bCs/>
          <w:sz w:val="28"/>
          <w:szCs w:val="28"/>
        </w:rPr>
      </w:pPr>
      <w:r>
        <w:rPr>
          <w:rFonts w:ascii="Arial Black" w:hAnsi="Arial Black"/>
          <w:b/>
          <w:bCs/>
          <w:sz w:val="28"/>
          <w:szCs w:val="28"/>
        </w:rPr>
        <w:t>CA: BORDER PATROL SUPERVISOR ARRESTED AT BAR - FALSELY TOLD EMS DIABETIC 1 – FIRED LACK CANDOR</w:t>
      </w:r>
    </w:p>
    <w:p w14:paraId="5E44AA5E" w14:textId="77777777" w:rsidR="009B0593" w:rsidRDefault="009B0593" w:rsidP="009B0593">
      <w:pPr>
        <w:pStyle w:val="NormalWeb"/>
      </w:pPr>
      <w:r>
        <w:t xml:space="preserve">On Aug. 18, 2023, in </w:t>
      </w:r>
      <w:r w:rsidRPr="00425C38">
        <w:rPr>
          <w:u w:val="single"/>
        </w:rPr>
        <w:t>Nick Santos v. Department of Homeland Security</w:t>
      </w:r>
      <w:r>
        <w:t xml:space="preserve">, the United States of America Merit Systems Protection Board (2 to 0) reversed Administrative Law Judge and upheld the termination of the Agent for lack of candor. </w:t>
      </w:r>
    </w:p>
    <w:p w14:paraId="0B48BD4E" w14:textId="77777777" w:rsidR="009B0593" w:rsidRDefault="009B0593" w:rsidP="009B0593">
      <w:pPr>
        <w:pStyle w:val="NormalWeb"/>
      </w:pPr>
      <w:r>
        <w:tab/>
        <w:t>The Board held:</w:t>
      </w:r>
    </w:p>
    <w:p w14:paraId="0093150F" w14:textId="77777777" w:rsidR="009B0593" w:rsidRPr="009B0593" w:rsidRDefault="009B0593" w:rsidP="009B0593">
      <w:pPr>
        <w:pStyle w:val="NormalWeb"/>
        <w:ind w:left="720"/>
      </w:pPr>
      <w:r>
        <w:t xml:space="preserve">“In this case, the agency has provided evidence that the appellant's </w:t>
      </w:r>
      <w:proofErr w:type="gramStart"/>
      <w:r>
        <w:t>off-duty</w:t>
      </w:r>
      <w:proofErr w:type="gramEnd"/>
      <w:r>
        <w:t xml:space="preserve"> conduct adversely affected its trust and confidence in the appellant's ability to serve as a Supervisory Border Patrol Agent. *** We have considered relevant mitigating factors, including the appellant's length of service, his record of performance-based awards, and the rehabilitative potential evidenced by his willingness to admit to conduct unbecoming. However, considering that the sustained charge of lack of candor could potentially result in the appellant's </w:t>
      </w:r>
      <w:r>
        <w:rPr>
          <w:rStyle w:val="Emphasis"/>
        </w:rPr>
        <w:t>Giglio</w:t>
      </w:r>
      <w:r>
        <w:t xml:space="preserve"> impairment [footnote 4] it is doubtful that an alternative sanction, such as a suspension or demotion to a nonsupervisory law enforcement position, would be a viable option in this case. We find that the penalty of </w:t>
      </w:r>
      <w:r w:rsidRPr="009B0593">
        <w:t>removal is within the bounds of reasonableness, and we therefore sustain it.</w:t>
      </w:r>
    </w:p>
    <w:p w14:paraId="6FF92FE1" w14:textId="259B8B03" w:rsidR="009B0593" w:rsidRPr="009B0593" w:rsidRDefault="009B0593" w:rsidP="009B0593">
      <w:pPr>
        <w:pStyle w:val="NoSpacing"/>
        <w:ind w:left="720"/>
        <w:rPr>
          <w:rFonts w:ascii="Times New Roman" w:hAnsi="Times New Roman"/>
          <w:sz w:val="24"/>
          <w:szCs w:val="24"/>
        </w:rPr>
      </w:pPr>
      <w:r w:rsidRPr="009B0593">
        <w:rPr>
          <w:rFonts w:ascii="Times New Roman" w:hAnsi="Times New Roman"/>
          <w:sz w:val="24"/>
          <w:szCs w:val="24"/>
        </w:rPr>
        <w:t xml:space="preserve">Footnote 4: </w:t>
      </w:r>
      <w:r w:rsidRPr="009B0593">
        <w:rPr>
          <w:rFonts w:ascii="Times New Roman" w:eastAsiaTheme="minorHAnsi" w:hAnsi="Times New Roman"/>
          <w:kern w:val="2"/>
          <w:sz w:val="24"/>
          <w:szCs w:val="24"/>
          <w14:ligatures w14:val="standardContextual"/>
        </w:rPr>
        <w:t xml:space="preserve">In </w:t>
      </w:r>
      <w:r w:rsidRPr="009B0593">
        <w:rPr>
          <w:rFonts w:ascii="Times New Roman" w:eastAsiaTheme="minorHAnsi" w:hAnsi="Times New Roman"/>
          <w:i/>
          <w:iCs/>
          <w:kern w:val="2"/>
          <w:sz w:val="24"/>
          <w:szCs w:val="24"/>
          <w14:ligatures w14:val="standardContextual"/>
        </w:rPr>
        <w:t>Giglio v. United States</w:t>
      </w:r>
      <w:r w:rsidRPr="009B0593">
        <w:rPr>
          <w:rFonts w:ascii="Times New Roman" w:eastAsiaTheme="minorHAnsi" w:hAnsi="Times New Roman"/>
          <w:kern w:val="2"/>
          <w:sz w:val="24"/>
          <w:szCs w:val="24"/>
          <w14:ligatures w14:val="standardContextual"/>
        </w:rPr>
        <w:t xml:space="preserve">, 405 U.S. 150, 154 (1972), the Supreme Court held that the Government must disclose evidence affecting the credibility of Government witnesses. Subsequent case law has extended this rule to require Government agencies to review the personnel files of Government witnesses and disclose material that could cast doubt on their credibility or potential for bias. </w:t>
      </w:r>
      <w:r w:rsidRPr="009B0593">
        <w:rPr>
          <w:rFonts w:ascii="Times New Roman" w:eastAsiaTheme="minorHAnsi" w:hAnsi="Times New Roman"/>
          <w:i/>
          <w:iCs/>
          <w:kern w:val="2"/>
          <w:sz w:val="24"/>
          <w:szCs w:val="24"/>
          <w14:ligatures w14:val="standardContextual"/>
        </w:rPr>
        <w:t>See United States v. Henthorn</w:t>
      </w:r>
      <w:r w:rsidRPr="009B0593">
        <w:rPr>
          <w:rFonts w:ascii="Times New Roman" w:eastAsiaTheme="minorHAnsi" w:hAnsi="Times New Roman"/>
          <w:kern w:val="2"/>
          <w:sz w:val="24"/>
          <w:szCs w:val="24"/>
          <w14:ligatures w14:val="standardContextual"/>
        </w:rPr>
        <w:t xml:space="preserve">, 931 F.2d 29, 30-31 (9th Cir. 1991).” </w:t>
      </w:r>
      <w:hyperlink r:id="rId2519" w:history="1">
        <w:r w:rsidRPr="009B0593">
          <w:rPr>
            <w:rStyle w:val="Hyperlink"/>
            <w:rFonts w:ascii="Times New Roman" w:eastAsiaTheme="majorEastAsia" w:hAnsi="Times New Roman"/>
            <w:sz w:val="24"/>
            <w:szCs w:val="24"/>
          </w:rPr>
          <w:t>https://www.mspb.gov/decisions/nonprecedential/SANTOS_NICK_SF_0752_20_0114_I_1_FINAL_ORDER_2060932.pdf</w:t>
        </w:r>
      </w:hyperlink>
    </w:p>
    <w:p w14:paraId="2173CA09" w14:textId="77777777" w:rsidR="009B0593" w:rsidRDefault="009B0593" w:rsidP="00F326E5">
      <w:pPr>
        <w:pStyle w:val="NoSpacing"/>
        <w:rPr>
          <w:rFonts w:ascii="Arial Black" w:hAnsi="Arial Black"/>
          <w:sz w:val="24"/>
          <w:szCs w:val="24"/>
        </w:rPr>
      </w:pPr>
    </w:p>
    <w:p w14:paraId="7AD918E2" w14:textId="77777777" w:rsidR="009B0593" w:rsidRDefault="009B0593" w:rsidP="009B0593">
      <w:pPr>
        <w:rPr>
          <w:rFonts w:ascii="Times New Roman" w:hAnsi="Times New Roman"/>
          <w:b/>
          <w:bCs/>
          <w:sz w:val="24"/>
          <w:szCs w:val="24"/>
        </w:rPr>
      </w:pPr>
      <w:r w:rsidRPr="0060003D">
        <w:rPr>
          <w:rFonts w:ascii="Times New Roman" w:hAnsi="Times New Roman"/>
          <w:b/>
          <w:bCs/>
          <w:sz w:val="24"/>
          <w:szCs w:val="24"/>
        </w:rPr>
        <w:t xml:space="preserve">Legal Lesson Learned: </w:t>
      </w:r>
      <w:r>
        <w:rPr>
          <w:rFonts w:ascii="Times New Roman" w:hAnsi="Times New Roman"/>
          <w:b/>
          <w:bCs/>
          <w:sz w:val="24"/>
          <w:szCs w:val="24"/>
        </w:rPr>
        <w:t xml:space="preserve"> Under the U.S. Supreme Court’s decision in Giglio v. United States. if this Supervisor Agent testifies in a criminal case the Government may need to disclose the “lack of candor” administrative charge.</w:t>
      </w:r>
    </w:p>
    <w:p w14:paraId="243AB25B" w14:textId="759C8F68" w:rsidR="009B0593" w:rsidRDefault="009B0593" w:rsidP="009B0593">
      <w:pPr>
        <w:pStyle w:val="NoSpacing"/>
        <w:ind w:left="720"/>
        <w:rPr>
          <w:rFonts w:ascii="Arial Black" w:hAnsi="Arial Black"/>
          <w:sz w:val="24"/>
          <w:szCs w:val="24"/>
        </w:rPr>
      </w:pPr>
      <w:r>
        <w:rPr>
          <w:rFonts w:ascii="Times New Roman" w:hAnsi="Times New Roman"/>
          <w:sz w:val="24"/>
          <w:szCs w:val="24"/>
        </w:rPr>
        <w:t xml:space="preserve">Note: </w:t>
      </w:r>
      <w:r w:rsidRPr="00B07F0E">
        <w:rPr>
          <w:rFonts w:ascii="Times New Roman" w:hAnsi="Times New Roman"/>
          <w:sz w:val="24"/>
          <w:szCs w:val="24"/>
        </w:rPr>
        <w:t xml:space="preserve">In </w:t>
      </w:r>
      <w:r w:rsidRPr="00B07F0E">
        <w:rPr>
          <w:rStyle w:val="Strong"/>
          <w:rFonts w:ascii="Times New Roman" w:hAnsi="Times New Roman"/>
          <w:sz w:val="24"/>
          <w:szCs w:val="24"/>
          <w:u w:val="single"/>
        </w:rPr>
        <w:t>Giglio v. United States</w:t>
      </w:r>
      <w:r w:rsidRPr="00B07F0E">
        <w:rPr>
          <w:rStyle w:val="Strong"/>
          <w:rFonts w:ascii="Times New Roman" w:hAnsi="Times New Roman"/>
          <w:sz w:val="24"/>
          <w:szCs w:val="24"/>
        </w:rPr>
        <w:t xml:space="preserve">, </w:t>
      </w:r>
      <w:hyperlink r:id="rId2520" w:history="1">
        <w:r w:rsidRPr="00B07F0E">
          <w:rPr>
            <w:rStyle w:val="Hyperlink"/>
            <w:rFonts w:ascii="Times New Roman" w:hAnsi="Times New Roman"/>
            <w:sz w:val="24"/>
            <w:szCs w:val="24"/>
          </w:rPr>
          <w:t>405 U.S. 150</w:t>
        </w:r>
      </w:hyperlink>
      <w:r w:rsidRPr="00B07F0E">
        <w:rPr>
          <w:rStyle w:val="Strong"/>
          <w:rFonts w:ascii="Times New Roman" w:hAnsi="Times New Roman"/>
          <w:sz w:val="24"/>
          <w:szCs w:val="24"/>
        </w:rPr>
        <w:t xml:space="preserve"> (1972), the U.S. Supreme Court </w:t>
      </w:r>
      <w:r>
        <w:rPr>
          <w:rStyle w:val="Strong"/>
          <w:rFonts w:ascii="Times New Roman" w:hAnsi="Times New Roman"/>
          <w:sz w:val="24"/>
          <w:szCs w:val="24"/>
        </w:rPr>
        <w:t xml:space="preserve">reversed the conviction of </w:t>
      </w:r>
      <w:r w:rsidRPr="00B07F0E">
        <w:rPr>
          <w:rFonts w:ascii="Times New Roman" w:eastAsia="Times New Roman" w:hAnsi="Times New Roman"/>
          <w:sz w:val="24"/>
          <w:szCs w:val="24"/>
        </w:rPr>
        <w:t xml:space="preserve">passing forged money </w:t>
      </w:r>
      <w:proofErr w:type="gramStart"/>
      <w:r w:rsidRPr="00B07F0E">
        <w:rPr>
          <w:rFonts w:ascii="Times New Roman" w:eastAsia="Times New Roman" w:hAnsi="Times New Roman"/>
          <w:sz w:val="24"/>
          <w:szCs w:val="24"/>
        </w:rPr>
        <w:t>orders, and</w:t>
      </w:r>
      <w:proofErr w:type="gramEnd"/>
      <w:r w:rsidRPr="00B07F0E">
        <w:rPr>
          <w:rFonts w:ascii="Times New Roman" w:eastAsia="Times New Roman" w:hAnsi="Times New Roman"/>
          <w:sz w:val="24"/>
          <w:szCs w:val="24"/>
        </w:rPr>
        <w:t xml:space="preserve"> </w:t>
      </w:r>
      <w:r>
        <w:rPr>
          <w:rFonts w:ascii="Times New Roman" w:eastAsia="Times New Roman" w:hAnsi="Times New Roman"/>
          <w:sz w:val="24"/>
          <w:szCs w:val="24"/>
        </w:rPr>
        <w:t xml:space="preserve">ordered a new trial.  </w:t>
      </w:r>
      <w:r w:rsidRPr="00B07F0E">
        <w:rPr>
          <w:rFonts w:ascii="Times New Roman" w:eastAsia="Times New Roman" w:hAnsi="Times New Roman"/>
          <w:sz w:val="24"/>
          <w:szCs w:val="24"/>
        </w:rPr>
        <w:t xml:space="preserve">While appeal was pending in the Court of Appeals, defense counsel discovered new evidence indicating that the Government had failed to disclose an alleged promise made to its key witness [bank teller who gave defendant </w:t>
      </w:r>
      <w:r w:rsidRPr="00B07F0E">
        <w:rPr>
          <w:rStyle w:val="headertext"/>
          <w:rFonts w:ascii="Times New Roman" w:hAnsi="Times New Roman"/>
          <w:sz w:val="24"/>
          <w:szCs w:val="24"/>
        </w:rPr>
        <w:t>one of the bank's customer signature cards]</w:t>
      </w:r>
      <w:r w:rsidRPr="00B07F0E">
        <w:rPr>
          <w:rFonts w:ascii="Times New Roman" w:eastAsia="Times New Roman" w:hAnsi="Times New Roman"/>
          <w:sz w:val="24"/>
          <w:szCs w:val="24"/>
        </w:rPr>
        <w:t xml:space="preserve"> that he would not be prosecuted if he testified for the Government.</w:t>
      </w:r>
      <w:r>
        <w:rPr>
          <w:rFonts w:ascii="Times New Roman" w:eastAsia="Times New Roman" w:hAnsi="Times New Roman"/>
          <w:sz w:val="24"/>
          <w:szCs w:val="24"/>
        </w:rPr>
        <w:t xml:space="preserve"> </w:t>
      </w:r>
      <w:hyperlink r:id="rId2521" w:history="1">
        <w:r w:rsidRPr="003B4116">
          <w:rPr>
            <w:rStyle w:val="Hyperlink"/>
            <w:rFonts w:ascii="Times New Roman" w:hAnsi="Times New Roman"/>
            <w:sz w:val="24"/>
            <w:szCs w:val="24"/>
          </w:rPr>
          <w:t>https://supreme.justia.com/cases/federal/us/405/150/</w:t>
        </w:r>
      </w:hyperlink>
    </w:p>
    <w:p w14:paraId="7BFD5CB6" w14:textId="77777777" w:rsidR="009B0593" w:rsidRDefault="009B0593" w:rsidP="00F326E5">
      <w:pPr>
        <w:pStyle w:val="NoSpacing"/>
        <w:rPr>
          <w:rFonts w:ascii="Arial Black" w:hAnsi="Arial Black"/>
          <w:sz w:val="24"/>
          <w:szCs w:val="24"/>
        </w:rPr>
      </w:pPr>
    </w:p>
    <w:p w14:paraId="0FB525D4" w14:textId="77777777" w:rsidR="0055155D" w:rsidRDefault="0055155D" w:rsidP="00F326E5">
      <w:pPr>
        <w:pStyle w:val="NoSpacing"/>
        <w:rPr>
          <w:rFonts w:ascii="Arial Black" w:hAnsi="Arial Black"/>
          <w:sz w:val="24"/>
          <w:szCs w:val="24"/>
        </w:rPr>
      </w:pPr>
    </w:p>
    <w:p w14:paraId="045E7499" w14:textId="43A44342" w:rsidR="009B0593" w:rsidRDefault="009B0593" w:rsidP="00F326E5">
      <w:pPr>
        <w:pStyle w:val="NoSpacing"/>
        <w:rPr>
          <w:rFonts w:ascii="Arial Black" w:hAnsi="Arial Black"/>
          <w:sz w:val="24"/>
          <w:szCs w:val="24"/>
        </w:rPr>
      </w:pPr>
      <w:r>
        <w:rPr>
          <w:rFonts w:ascii="Arial Black" w:hAnsi="Arial Black"/>
          <w:sz w:val="24"/>
          <w:szCs w:val="24"/>
        </w:rPr>
        <w:t>16-91</w:t>
      </w:r>
    </w:p>
    <w:p w14:paraId="40BF1727" w14:textId="77777777" w:rsidR="0055155D" w:rsidRDefault="0055155D" w:rsidP="00F326E5">
      <w:pPr>
        <w:pStyle w:val="NoSpacing"/>
        <w:rPr>
          <w:rFonts w:ascii="Arial Black" w:hAnsi="Arial Black"/>
          <w:sz w:val="24"/>
          <w:szCs w:val="24"/>
        </w:rPr>
      </w:pPr>
    </w:p>
    <w:p w14:paraId="4D050A68" w14:textId="77777777" w:rsidR="0055155D" w:rsidRPr="00C5347C" w:rsidRDefault="0055155D" w:rsidP="0055155D">
      <w:pPr>
        <w:pStyle w:val="NormalWeb"/>
        <w:rPr>
          <w:rFonts w:ascii="Arial Black" w:hAnsi="Arial Black"/>
          <w:b/>
          <w:bCs/>
          <w:sz w:val="28"/>
          <w:szCs w:val="28"/>
        </w:rPr>
      </w:pPr>
      <w:r>
        <w:rPr>
          <w:rFonts w:ascii="Arial Black" w:hAnsi="Arial Black"/>
          <w:b/>
          <w:bCs/>
          <w:sz w:val="28"/>
          <w:szCs w:val="28"/>
        </w:rPr>
        <w:t xml:space="preserve">TX: SIX FFs FIRED – OUTSIDE INVEST. THEY HARRASED CO-WORKERS – NOT RETALIATION UNION REQ. CHANGE SHIFT </w:t>
      </w:r>
    </w:p>
    <w:p w14:paraId="556D0375" w14:textId="77777777" w:rsidR="0055155D" w:rsidRDefault="0055155D" w:rsidP="0055155D">
      <w:pPr>
        <w:pStyle w:val="NormalWeb"/>
      </w:pPr>
      <w:r>
        <w:lastRenderedPageBreak/>
        <w:t xml:space="preserve">On Aug. 15, 2023, in </w:t>
      </w:r>
      <w:r w:rsidRPr="00C5347C">
        <w:rPr>
          <w:u w:val="single"/>
        </w:rPr>
        <w:t>Stan Kozlowsi, et al. v. William Buck, individually and in his official capacity as Fire Chief, et al</w:t>
      </w:r>
      <w:r>
        <w:t>., the U.S. Court of Appeals for 5</w:t>
      </w:r>
      <w:r w:rsidRPr="00C5347C">
        <w:rPr>
          <w:vertAlign w:val="superscript"/>
        </w:rPr>
        <w:t>th</w:t>
      </w:r>
      <w:r>
        <w:t xml:space="preserve"> Circuit (New Orlean), held (3 to 0) that the U.S. District Court judge properly dismissed their lawsuit.  The FD used an outside investigator to investigate allegations of harassment.  There was no proof of retaliation because union officers pushed for a shift change; the discipline was imposed nine months after Fire Chief approved union request for shift change.   </w:t>
      </w:r>
    </w:p>
    <w:p w14:paraId="522A8AE0" w14:textId="77777777" w:rsidR="0055155D" w:rsidRDefault="0055155D" w:rsidP="0055155D">
      <w:pPr>
        <w:pStyle w:val="NormalWeb"/>
        <w:ind w:left="720"/>
      </w:pPr>
      <w:r>
        <w:t>Court of Appeals held: “The firefighters insist they were disciplined because of their union activities. But their claims rest on speculation and hearsay. Because that is not enough to establish a genuine dispute of material fact as to causation, we AFFIRM.”</w:t>
      </w:r>
      <w:r w:rsidRPr="00A6118A">
        <w:t xml:space="preserve"> </w:t>
      </w:r>
      <w:hyperlink r:id="rId2522" w:history="1">
        <w:r w:rsidRPr="00955A98">
          <w:rPr>
            <w:rStyle w:val="Hyperlink"/>
            <w:rFonts w:eastAsiaTheme="majorEastAsia"/>
          </w:rPr>
          <w:t>https://law.justia.com/cases/federal/appellate-courts/ca5/22-40438/22-40438-2023-08-15.html</w:t>
        </w:r>
      </w:hyperlink>
      <w:r>
        <w:t xml:space="preserve"> </w:t>
      </w:r>
    </w:p>
    <w:p w14:paraId="4738EBFC" w14:textId="77777777" w:rsidR="0055155D" w:rsidRDefault="0055155D" w:rsidP="0055155D">
      <w:pPr>
        <w:pStyle w:val="NormalWeb"/>
        <w:rPr>
          <w:b/>
          <w:bCs/>
        </w:rPr>
      </w:pPr>
      <w:r w:rsidRPr="00B64C15">
        <w:rPr>
          <w:b/>
          <w:bCs/>
        </w:rPr>
        <w:t xml:space="preserve">Legal Lesson Learned: FD may retain an outside investigator to review complaints of harassment. </w:t>
      </w:r>
    </w:p>
    <w:p w14:paraId="49C95D17" w14:textId="77777777" w:rsidR="0055155D" w:rsidRDefault="0055155D" w:rsidP="00F326E5">
      <w:pPr>
        <w:pStyle w:val="NoSpacing"/>
        <w:rPr>
          <w:rFonts w:ascii="Arial Black" w:hAnsi="Arial Black"/>
          <w:sz w:val="24"/>
          <w:szCs w:val="24"/>
        </w:rPr>
      </w:pPr>
    </w:p>
    <w:p w14:paraId="76C7C136" w14:textId="77777777" w:rsidR="009B0593" w:rsidRDefault="009B0593" w:rsidP="00F326E5">
      <w:pPr>
        <w:pStyle w:val="NoSpacing"/>
        <w:rPr>
          <w:rFonts w:ascii="Arial Black" w:hAnsi="Arial Black"/>
          <w:sz w:val="24"/>
          <w:szCs w:val="24"/>
        </w:rPr>
      </w:pPr>
    </w:p>
    <w:p w14:paraId="18381D8D" w14:textId="36ABC595" w:rsidR="00F771FA" w:rsidRDefault="00F771FA" w:rsidP="00F326E5">
      <w:pPr>
        <w:pStyle w:val="NoSpacing"/>
        <w:rPr>
          <w:rFonts w:ascii="Arial Black" w:hAnsi="Arial Black"/>
          <w:sz w:val="24"/>
          <w:szCs w:val="24"/>
        </w:rPr>
      </w:pPr>
      <w:r>
        <w:rPr>
          <w:rFonts w:ascii="Arial Black" w:hAnsi="Arial Black"/>
          <w:sz w:val="24"/>
          <w:szCs w:val="24"/>
        </w:rPr>
        <w:t>16-90</w:t>
      </w:r>
    </w:p>
    <w:p w14:paraId="7657200C" w14:textId="77777777" w:rsidR="00F771FA" w:rsidRPr="008F62D2" w:rsidRDefault="00F771FA" w:rsidP="00F771FA">
      <w:pPr>
        <w:pStyle w:val="NormalWeb"/>
        <w:rPr>
          <w:rFonts w:ascii="Arial Black" w:hAnsi="Arial Black"/>
          <w:sz w:val="28"/>
          <w:szCs w:val="28"/>
        </w:rPr>
      </w:pPr>
      <w:r>
        <w:rPr>
          <w:rFonts w:ascii="Arial Black" w:hAnsi="Arial Black"/>
          <w:sz w:val="28"/>
          <w:szCs w:val="28"/>
        </w:rPr>
        <w:t>FL: B/C FIRED – NO WHISTLEBLOWER PROTECTION – REFUSED ORDER TO REPRIMAND FFs COVID VACCINATION</w:t>
      </w:r>
    </w:p>
    <w:p w14:paraId="077573AF" w14:textId="77777777" w:rsidR="00F771FA" w:rsidRPr="00F771FA" w:rsidRDefault="00F771FA" w:rsidP="00F771FA">
      <w:pPr>
        <w:pStyle w:val="NormalWeb"/>
      </w:pPr>
      <w:r w:rsidRPr="00F771FA">
        <w:t xml:space="preserve">On July 25, 2023, in </w:t>
      </w:r>
      <w:r w:rsidRPr="00F771FA">
        <w:rPr>
          <w:u w:val="single"/>
        </w:rPr>
        <w:t>Stephen M. Davis v. Orange County</w:t>
      </w:r>
      <w:r w:rsidRPr="00F771FA">
        <w:t xml:space="preserve">, U.S. District Court Judge Paul G. Byron. for Middle District of Florida, Orlando Division, granted the County’s motion to dismiss, holding that Florida Whistleblower Act only protects officers who refuse to follow an order that would create a “substantial and specific danger to the public's health, safety, or welfare.”  On October 5, 2021, Assistant Chief Kimberly Buffkin gave an order to the Battalion Chiefs to issue written reprimands for those employees on a provided list for failure to comply with the vaccination policy [FF not facing further discipline].  Battalion Chief Davis thought some on his list had complied, and he met with Assistant Chief and when he refused to issue </w:t>
      </w:r>
      <w:proofErr w:type="gramStart"/>
      <w:r w:rsidRPr="00F771FA">
        <w:t>reprimands</w:t>
      </w:r>
      <w:proofErr w:type="gramEnd"/>
      <w:r w:rsidRPr="00F771FA">
        <w:t xml:space="preserve"> he was immediately suspended and later fired on Oct. 13, </w:t>
      </w:r>
      <w:proofErr w:type="gramStart"/>
      <w:r w:rsidRPr="00F771FA">
        <w:t>2021</w:t>
      </w:r>
      <w:proofErr w:type="gramEnd"/>
      <w:r w:rsidRPr="00F771FA">
        <w:t xml:space="preserve"> after a pre-determination hearing. The Battalion Chief had previously joined a lawsuit in State court challenging any discipline of firefighters who refused to get vaccinated.  After his termination he went to arbitration and the arbitrator ruled against him. </w:t>
      </w:r>
    </w:p>
    <w:p w14:paraId="3FE3B5D9" w14:textId="77777777" w:rsidR="00F771FA" w:rsidRPr="00F771FA" w:rsidRDefault="00F771FA" w:rsidP="00F771FA">
      <w:pPr>
        <w:pStyle w:val="NormalWeb"/>
      </w:pPr>
      <w:r w:rsidRPr="00F771FA">
        <w:t xml:space="preserve">The Court held: </w:t>
      </w:r>
    </w:p>
    <w:p w14:paraId="1DC4254B" w14:textId="77777777" w:rsidR="00F771FA" w:rsidRPr="00F771FA" w:rsidRDefault="00F771FA" w:rsidP="00F771FA">
      <w:pPr>
        <w:pStyle w:val="NormalWeb"/>
      </w:pPr>
      <w:r w:rsidRPr="00F771FA">
        <w:t xml:space="preserve">“[N]o reasonable person in Plaintiff's position would have believed that Defendant would not wipe out this discipline from the records of its employees who did, in fact, comply with the policy after its human resource lists were accurately updated as Defendant, through Assistant Chief Buffkin, had reiterated would occur. </w:t>
      </w:r>
    </w:p>
    <w:p w14:paraId="08D77176" w14:textId="77777777" w:rsidR="00F771FA" w:rsidRPr="00F771FA" w:rsidRDefault="00F771FA" w:rsidP="00F771FA">
      <w:pPr>
        <w:pStyle w:val="NormalWeb"/>
      </w:pPr>
      <w:r w:rsidRPr="00F771FA">
        <w:t>***</w:t>
      </w:r>
    </w:p>
    <w:p w14:paraId="76741DB8" w14:textId="4C286CB8" w:rsidR="00F771FA" w:rsidRPr="00F771FA" w:rsidRDefault="00F771FA" w:rsidP="00F771FA">
      <w:pPr>
        <w:pStyle w:val="NoSpacing"/>
        <w:rPr>
          <w:rStyle w:val="Hyperlink"/>
          <w:rFonts w:ascii="Times New Roman" w:eastAsiaTheme="majorEastAsia" w:hAnsi="Times New Roman"/>
          <w:sz w:val="24"/>
          <w:szCs w:val="24"/>
        </w:rPr>
      </w:pPr>
      <w:r w:rsidRPr="00F771FA">
        <w:rPr>
          <w:rFonts w:ascii="Times New Roman" w:hAnsi="Times New Roman"/>
          <w:sz w:val="24"/>
          <w:szCs w:val="24"/>
        </w:rPr>
        <w:t xml:space="preserve">What is more, the insinuation that such a bureaucratic snafu could have plausibly created a ‘substantial and specific danger to the public's health, safety, or welfare’ is not tenable. </w:t>
      </w:r>
      <w:r w:rsidRPr="00F771FA">
        <w:rPr>
          <w:rStyle w:val="Emphasis"/>
          <w:rFonts w:ascii="Times New Roman" w:hAnsi="Times New Roman"/>
          <w:sz w:val="24"/>
          <w:szCs w:val="24"/>
        </w:rPr>
        <w:t>Id.</w:t>
      </w:r>
      <w:r w:rsidRPr="00F771FA">
        <w:rPr>
          <w:rFonts w:ascii="Times New Roman" w:hAnsi="Times New Roman"/>
          <w:sz w:val="24"/>
          <w:szCs w:val="24"/>
        </w:rPr>
        <w:t xml:space="preserve"> Accordingly, Plaintiff fails to plausibly allege he engaged in protected activity under the FWA [Florida Whistleblower Act] and thus fails to state such a claim.” </w:t>
      </w:r>
      <w:hyperlink r:id="rId2523" w:history="1">
        <w:r w:rsidRPr="00F771FA">
          <w:rPr>
            <w:rStyle w:val="Hyperlink"/>
            <w:rFonts w:ascii="Times New Roman" w:eastAsiaTheme="majorEastAsia" w:hAnsi="Times New Roman"/>
            <w:sz w:val="24"/>
            <w:szCs w:val="24"/>
          </w:rPr>
          <w:t>https://public.fastcase.com/ZZhmr5v9wN%2FXOe5IsQ%2FqD51KXiWhfZ5Tknms713VsyNiKeidGSjUYd5fLyeguf86yRHn46LHKSVIqu1aE%2FP%2F4wzm%2Bs9CN3Gxx%2Fta1hJ8xsU%3D?utm_medium=email&amp;_hsmi=226712652&amp;_hsenc=p2ANqtz--6hfqXp_6GwCwKFg5My80cUvTOTZgLDUuB3F-yLygp7svvTJd39SzNL3yXkJv1N0M6expfT3HAdh1FcYblCg0-pEKOfg&amp;utm_content=226712652&amp;utm_source=hs_email</w:t>
        </w:r>
      </w:hyperlink>
    </w:p>
    <w:p w14:paraId="65FEB787" w14:textId="77777777" w:rsidR="00F771FA" w:rsidRDefault="00F771FA" w:rsidP="00F771FA">
      <w:pPr>
        <w:pStyle w:val="NoSpacing"/>
        <w:rPr>
          <w:rStyle w:val="Hyperlink"/>
          <w:rFonts w:eastAsiaTheme="majorEastAsia"/>
        </w:rPr>
      </w:pPr>
    </w:p>
    <w:p w14:paraId="7736A1B1" w14:textId="77777777" w:rsidR="00F771FA" w:rsidRPr="00A95E8C" w:rsidRDefault="00F771FA" w:rsidP="00F771FA">
      <w:pPr>
        <w:pStyle w:val="NormalWeb"/>
        <w:rPr>
          <w:b/>
          <w:bCs/>
        </w:rPr>
      </w:pPr>
      <w:r w:rsidRPr="00A95E8C">
        <w:rPr>
          <w:b/>
          <w:bCs/>
        </w:rPr>
        <w:lastRenderedPageBreak/>
        <w:t>Legal Lesson Learned: The Florida whistleblower act allows refusal of an order only if following the order would have either created a “substantial and specific danger to the public's health, safety, or welfare” or constituted an “act or suspected act of gross mismanagement, malfeasance, misfeasance, gross waste of public funds, . . . or gross neglect of duty.” FLA. STAT. § 112.3187(5).</w:t>
      </w:r>
    </w:p>
    <w:p w14:paraId="0B7734F0" w14:textId="77777777" w:rsidR="00F771FA" w:rsidRDefault="00F771FA" w:rsidP="00F771FA">
      <w:pPr>
        <w:pStyle w:val="NoSpacing"/>
        <w:rPr>
          <w:rFonts w:ascii="Arial Black" w:hAnsi="Arial Black"/>
          <w:sz w:val="24"/>
          <w:szCs w:val="24"/>
        </w:rPr>
      </w:pPr>
    </w:p>
    <w:p w14:paraId="10F4071B" w14:textId="77777777" w:rsidR="00F771FA" w:rsidRDefault="00F771FA" w:rsidP="00F326E5">
      <w:pPr>
        <w:pStyle w:val="NoSpacing"/>
        <w:rPr>
          <w:rFonts w:ascii="Arial Black" w:hAnsi="Arial Black"/>
          <w:sz w:val="24"/>
          <w:szCs w:val="24"/>
        </w:rPr>
      </w:pPr>
    </w:p>
    <w:p w14:paraId="10B8D94A" w14:textId="3BD26185" w:rsidR="00D33F96" w:rsidRDefault="00D33F96" w:rsidP="00F326E5">
      <w:pPr>
        <w:pStyle w:val="NoSpacing"/>
        <w:rPr>
          <w:rFonts w:ascii="Arial Black" w:hAnsi="Arial Black"/>
          <w:sz w:val="24"/>
          <w:szCs w:val="24"/>
        </w:rPr>
      </w:pPr>
      <w:r>
        <w:rPr>
          <w:rFonts w:ascii="Arial Black" w:hAnsi="Arial Black"/>
          <w:sz w:val="24"/>
          <w:szCs w:val="24"/>
        </w:rPr>
        <w:t>16-89</w:t>
      </w:r>
    </w:p>
    <w:p w14:paraId="3001C671" w14:textId="77777777" w:rsidR="00F771FA" w:rsidRDefault="00F771FA" w:rsidP="00F326E5">
      <w:pPr>
        <w:pStyle w:val="NoSpacing"/>
        <w:rPr>
          <w:rFonts w:ascii="Arial Black" w:hAnsi="Arial Black"/>
          <w:sz w:val="24"/>
          <w:szCs w:val="24"/>
        </w:rPr>
      </w:pPr>
    </w:p>
    <w:p w14:paraId="39DE11FC" w14:textId="77777777" w:rsidR="00D33F96" w:rsidRDefault="00D33F96" w:rsidP="00D33F96">
      <w:pPr>
        <w:rPr>
          <w:rFonts w:ascii="Arial Black" w:hAnsi="Arial Black"/>
          <w:sz w:val="28"/>
          <w:szCs w:val="28"/>
        </w:rPr>
      </w:pPr>
      <w:r>
        <w:rPr>
          <w:rFonts w:ascii="Arial Black" w:hAnsi="Arial Black"/>
          <w:sz w:val="28"/>
          <w:szCs w:val="28"/>
        </w:rPr>
        <w:t>NY: STATE PASSES “FF BILL OF RIGHTS” LAW – INDEP.  HEARING OFFICERS FOR DISCIPLINE - CASE REMANDED</w:t>
      </w:r>
    </w:p>
    <w:p w14:paraId="1764CCDD" w14:textId="77777777" w:rsidR="00D33F96" w:rsidRDefault="00D33F96" w:rsidP="00D33F96">
      <w:pPr>
        <w:rPr>
          <w:rFonts w:ascii="Times New Roman" w:hAnsi="Times New Roman"/>
          <w:sz w:val="24"/>
          <w:szCs w:val="24"/>
        </w:rPr>
      </w:pPr>
      <w:r>
        <w:rPr>
          <w:rFonts w:ascii="Times New Roman" w:hAnsi="Times New Roman"/>
          <w:sz w:val="24"/>
          <w:szCs w:val="24"/>
        </w:rPr>
        <w:t xml:space="preserve">On June 22, 2023, </w:t>
      </w:r>
      <w:r w:rsidRPr="00655D75">
        <w:rPr>
          <w:rFonts w:ascii="Times New Roman" w:hAnsi="Times New Roman"/>
          <w:sz w:val="24"/>
          <w:szCs w:val="24"/>
          <w:u w:val="single"/>
        </w:rPr>
        <w:t>In The Matter of Local 32, International Association of Firefighters, AFL-CIO, Utica Professional Firefighters Association v. New York State Public Employment Relations Board</w:t>
      </w:r>
      <w:r>
        <w:rPr>
          <w:rFonts w:ascii="Times New Roman" w:hAnsi="Times New Roman"/>
          <w:sz w:val="24"/>
          <w:szCs w:val="24"/>
        </w:rPr>
        <w:t xml:space="preserve">, the Supreme Court of New York, Third Department, held (5 to 0) that in light of new State law, PERS </w:t>
      </w:r>
      <w:r w:rsidRPr="00FD3278">
        <w:rPr>
          <w:rFonts w:ascii="Times New Roman" w:hAnsi="Times New Roman"/>
          <w:sz w:val="24"/>
          <w:szCs w:val="24"/>
        </w:rPr>
        <w:t>[New York Public Employment Relations Board]</w:t>
      </w:r>
      <w:r>
        <w:rPr>
          <w:rFonts w:ascii="Times New Roman" w:hAnsi="Times New Roman"/>
          <w:sz w:val="24"/>
          <w:szCs w:val="24"/>
        </w:rPr>
        <w:t xml:space="preserve"> must be given new opportunity to decide whether City of Utica must negotiate changes in disciplinary interrogation practices. The new law, “</w:t>
      </w:r>
      <w:r w:rsidRPr="000B64C0">
        <w:rPr>
          <w:rFonts w:ascii="Times New Roman" w:hAnsi="Times New Roman"/>
          <w:sz w:val="24"/>
          <w:szCs w:val="24"/>
        </w:rPr>
        <w:t>New York State firefighter bill of rights act</w:t>
      </w:r>
      <w:r>
        <w:rPr>
          <w:rFonts w:ascii="Times New Roman" w:hAnsi="Times New Roman"/>
          <w:sz w:val="24"/>
          <w:szCs w:val="24"/>
        </w:rPr>
        <w:t>,</w:t>
      </w:r>
      <w:r w:rsidRPr="000B64C0">
        <w:rPr>
          <w:rFonts w:ascii="Times New Roman" w:hAnsi="Times New Roman"/>
          <w:sz w:val="24"/>
          <w:szCs w:val="24"/>
        </w:rPr>
        <w:t>”</w:t>
      </w:r>
      <w:r>
        <w:rPr>
          <w:rFonts w:ascii="Times New Roman" w:hAnsi="Times New Roman"/>
          <w:sz w:val="24"/>
          <w:szCs w:val="24"/>
        </w:rPr>
        <w:t xml:space="preserve"> effective March 1, 2023, provides that paid firefighters in cities less than one million population now have right to independent hearing officer before discipline, including termination, can be imposed.  The legislative history of the new law also addresses “presumption of negotiability” before a city may change its disciplinary practices. </w:t>
      </w:r>
    </w:p>
    <w:p w14:paraId="1113E55F" w14:textId="77777777" w:rsidR="00D33F96" w:rsidRPr="00EA61D4" w:rsidRDefault="00D33F96" w:rsidP="00D33F96">
      <w:pPr>
        <w:rPr>
          <w:rFonts w:ascii="Times New Roman" w:hAnsi="Times New Roman"/>
          <w:sz w:val="24"/>
          <w:szCs w:val="24"/>
        </w:rPr>
      </w:pPr>
      <w:r>
        <w:rPr>
          <w:rFonts w:ascii="Times New Roman" w:hAnsi="Times New Roman"/>
          <w:sz w:val="24"/>
          <w:szCs w:val="24"/>
        </w:rPr>
        <w:t>The Court held: “</w:t>
      </w:r>
      <w:r w:rsidRPr="000B64C0">
        <w:rPr>
          <w:rFonts w:ascii="Times New Roman" w:hAnsi="Times New Roman"/>
          <w:sz w:val="24"/>
          <w:szCs w:val="24"/>
        </w:rPr>
        <w:t xml:space="preserve">During the pendency of this appeal, the Legislature enacted the New York State Firefighter Bill of Rights Act (L 2022, </w:t>
      </w:r>
      <w:proofErr w:type="spellStart"/>
      <w:r w:rsidRPr="000B64C0">
        <w:rPr>
          <w:rFonts w:ascii="Times New Roman" w:hAnsi="Times New Roman"/>
          <w:sz w:val="24"/>
          <w:szCs w:val="24"/>
        </w:rPr>
        <w:t>ch</w:t>
      </w:r>
      <w:proofErr w:type="spellEnd"/>
      <w:r w:rsidRPr="000B64C0">
        <w:rPr>
          <w:rFonts w:ascii="Times New Roman" w:hAnsi="Times New Roman"/>
          <w:sz w:val="24"/>
          <w:szCs w:val="24"/>
        </w:rPr>
        <w:t xml:space="preserve"> 674), which amended both the Taylor Law and Civil Service Law § 75, addressing removal of and other disciplinary action against public employees. The Senate Introducer's memorandum in support of the bill recognized that "court decisions have noted that... several statutes contain[ ] provisions favoring the local control of police and fire discipline that would override the Taylor Law presumption of negotiability," and, against that backdrop, the Legislature saw it necessary to "declare it to be the public policy of the State of New York that[,] for firefighters, disciplinary procedures are terms and conditions of employment subject to mandatory negotiation under the Taylor Law" (Senate Introducer's Mem in Support of 2022 NY Senate Bill S8481, enacted as L 2022, </w:t>
      </w:r>
      <w:proofErr w:type="spellStart"/>
      <w:r w:rsidRPr="000B64C0">
        <w:rPr>
          <w:rFonts w:ascii="Times New Roman" w:hAnsi="Times New Roman"/>
          <w:sz w:val="24"/>
          <w:szCs w:val="24"/>
        </w:rPr>
        <w:t>ch</w:t>
      </w:r>
      <w:proofErr w:type="spellEnd"/>
      <w:r w:rsidRPr="000B64C0">
        <w:rPr>
          <w:rFonts w:ascii="Times New Roman" w:hAnsi="Times New Roman"/>
          <w:sz w:val="24"/>
          <w:szCs w:val="24"/>
        </w:rPr>
        <w:t xml:space="preserve"> 674). The act thus amends the </w:t>
      </w:r>
      <w:proofErr w:type="gramStart"/>
      <w:r w:rsidRPr="00EA61D4">
        <w:rPr>
          <w:rFonts w:ascii="Times New Roman" w:hAnsi="Times New Roman"/>
          <w:sz w:val="24"/>
          <w:szCs w:val="24"/>
        </w:rPr>
        <w:t>aforementioned statutes</w:t>
      </w:r>
      <w:proofErr w:type="gramEnd"/>
      <w:r w:rsidRPr="000B64C0">
        <w:rPr>
          <w:rFonts w:ascii="Times New Roman" w:hAnsi="Times New Roman"/>
          <w:sz w:val="24"/>
          <w:szCs w:val="24"/>
        </w:rPr>
        <w:t xml:space="preserve"> accordingly (</w:t>
      </w:r>
      <w:r w:rsidRPr="000B64C0">
        <w:rPr>
          <w:rStyle w:val="Emphasis"/>
          <w:rFonts w:ascii="Times New Roman" w:hAnsi="Times New Roman"/>
          <w:sz w:val="24"/>
          <w:szCs w:val="24"/>
        </w:rPr>
        <w:t>see</w:t>
      </w:r>
      <w:r w:rsidRPr="000B64C0">
        <w:rPr>
          <w:rFonts w:ascii="Times New Roman" w:hAnsi="Times New Roman"/>
          <w:sz w:val="24"/>
          <w:szCs w:val="24"/>
        </w:rPr>
        <w:t xml:space="preserve"> Civil Service Law §§ 75 [2-a]; 201 [4]; 204-a [4]).</w:t>
      </w:r>
      <w:r>
        <w:rPr>
          <w:rFonts w:ascii="Times New Roman" w:hAnsi="Times New Roman"/>
          <w:sz w:val="24"/>
          <w:szCs w:val="24"/>
        </w:rPr>
        <w:t xml:space="preserve">” </w:t>
      </w:r>
      <w:hyperlink r:id="rId2524" w:history="1">
        <w:r w:rsidRPr="00EA61D4">
          <w:rPr>
            <w:rStyle w:val="Hyperlink"/>
            <w:sz w:val="24"/>
            <w:szCs w:val="24"/>
          </w:rPr>
          <w:t>https://law.justia.com/cases/new-york/appellate-division-third-department/2023/535052.html</w:t>
        </w:r>
      </w:hyperlink>
      <w:r w:rsidRPr="00EA61D4">
        <w:rPr>
          <w:rFonts w:ascii="Times New Roman" w:hAnsi="Times New Roman"/>
          <w:sz w:val="24"/>
          <w:szCs w:val="24"/>
        </w:rPr>
        <w:t xml:space="preserve">   </w:t>
      </w:r>
    </w:p>
    <w:p w14:paraId="138FDCDF" w14:textId="77777777" w:rsidR="00D33F96" w:rsidRPr="00FD3278" w:rsidRDefault="00D33F96" w:rsidP="00D33F96">
      <w:pPr>
        <w:rPr>
          <w:rFonts w:ascii="Times New Roman" w:hAnsi="Times New Roman"/>
          <w:b/>
          <w:bCs/>
          <w:sz w:val="24"/>
          <w:szCs w:val="24"/>
        </w:rPr>
      </w:pPr>
      <w:r w:rsidRPr="00FD3278">
        <w:rPr>
          <w:rFonts w:ascii="Times New Roman" w:hAnsi="Times New Roman"/>
          <w:b/>
          <w:bCs/>
          <w:sz w:val="24"/>
          <w:szCs w:val="24"/>
        </w:rPr>
        <w:t xml:space="preserve">Legal Lesson Learned: </w:t>
      </w:r>
      <w:r>
        <w:rPr>
          <w:rFonts w:ascii="Times New Roman" w:hAnsi="Times New Roman"/>
          <w:b/>
          <w:bCs/>
          <w:sz w:val="24"/>
          <w:szCs w:val="24"/>
        </w:rPr>
        <w:t xml:space="preserve">PERS will now decide if Utica Local’s charge is well founded.  </w:t>
      </w:r>
    </w:p>
    <w:p w14:paraId="1119234B" w14:textId="77777777" w:rsidR="00D33F96" w:rsidRDefault="00D33F96" w:rsidP="00D33F96">
      <w:pPr>
        <w:ind w:left="720"/>
        <w:rPr>
          <w:rFonts w:ascii="Times New Roman" w:hAnsi="Times New Roman"/>
          <w:sz w:val="24"/>
          <w:szCs w:val="24"/>
        </w:rPr>
      </w:pPr>
      <w:r>
        <w:rPr>
          <w:rFonts w:ascii="Times New Roman" w:hAnsi="Times New Roman"/>
          <w:sz w:val="24"/>
          <w:szCs w:val="24"/>
        </w:rPr>
        <w:t xml:space="preserve">Note: Several states have enacted a “Firefighter Bill of Rights” such as California, Florida, New Mexico and Illinois, which broadly address procedural rights in discipline, including written notice of charges.  This new NY law only addresses the right to third-party independent hearing officer.  </w:t>
      </w:r>
      <w:hyperlink r:id="rId2525" w:history="1">
        <w:r w:rsidRPr="00104E3B">
          <w:rPr>
            <w:rStyle w:val="Hyperlink"/>
            <w:sz w:val="24"/>
            <w:szCs w:val="24"/>
          </w:rPr>
          <w:t>https://legislation.nysenate.gov/pdf/bills/2021/S8481</w:t>
        </w:r>
      </w:hyperlink>
      <w:r>
        <w:rPr>
          <w:rFonts w:ascii="Times New Roman" w:hAnsi="Times New Roman"/>
          <w:sz w:val="24"/>
          <w:szCs w:val="24"/>
        </w:rPr>
        <w:t xml:space="preserve"> </w:t>
      </w:r>
    </w:p>
    <w:p w14:paraId="0C6BA447" w14:textId="77777777" w:rsidR="00D33F96" w:rsidRPr="00DD572C" w:rsidRDefault="00D33F96" w:rsidP="00D33F96">
      <w:pPr>
        <w:ind w:left="1440"/>
        <w:rPr>
          <w:rFonts w:ascii="Times New Roman" w:eastAsia="Times New Roman" w:hAnsi="Times New Roman"/>
          <w:sz w:val="24"/>
          <w:szCs w:val="24"/>
        </w:rPr>
      </w:pPr>
      <w:r>
        <w:rPr>
          <w:rFonts w:ascii="Times New Roman" w:hAnsi="Times New Roman"/>
          <w:sz w:val="24"/>
          <w:szCs w:val="24"/>
        </w:rPr>
        <w:t>“S</w:t>
      </w:r>
      <w:r w:rsidRPr="00DD572C">
        <w:rPr>
          <w:rFonts w:ascii="Times New Roman" w:eastAsia="Times New Roman" w:hAnsi="Times New Roman"/>
          <w:sz w:val="24"/>
          <w:szCs w:val="24"/>
        </w:rPr>
        <w:t>ection 75 of the civil service law is amended by adding a new</w:t>
      </w:r>
      <w:r>
        <w:rPr>
          <w:rFonts w:ascii="Times New Roman" w:eastAsia="Times New Roman" w:hAnsi="Times New Roman"/>
          <w:sz w:val="24"/>
          <w:szCs w:val="24"/>
        </w:rPr>
        <w:t xml:space="preserve"> </w:t>
      </w:r>
      <w:r w:rsidRPr="00DD572C">
        <w:rPr>
          <w:rFonts w:ascii="Times New Roman" w:eastAsia="Times New Roman" w:hAnsi="Times New Roman"/>
          <w:sz w:val="24"/>
          <w:szCs w:val="24"/>
        </w:rPr>
        <w:t>subdivision 2-a to read as follows:</w:t>
      </w:r>
    </w:p>
    <w:p w14:paraId="1889FBD5" w14:textId="77777777" w:rsidR="00D33F96" w:rsidRPr="00DD572C" w:rsidRDefault="00D33F96" w:rsidP="00D33F96">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DD572C">
        <w:rPr>
          <w:rFonts w:ascii="Times New Roman" w:eastAsia="Times New Roman" w:hAnsi="Times New Roman"/>
          <w:sz w:val="24"/>
          <w:szCs w:val="24"/>
        </w:rPr>
        <w:t>2-a.</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w:t>
      </w:r>
      <w:r w:rsidRPr="00DD572C">
        <w:rPr>
          <w:rFonts w:ascii="Times New Roman" w:eastAsia="Times New Roman" w:hAnsi="Times New Roman"/>
          <w:sz w:val="24"/>
          <w:szCs w:val="24"/>
        </w:rPr>
        <w:t>ndependent</w:t>
      </w:r>
      <w:proofErr w:type="gramEnd"/>
      <w:r w:rsidRPr="00DD572C">
        <w:rPr>
          <w:rFonts w:ascii="Times New Roman" w:eastAsia="Times New Roman" w:hAnsi="Times New Roman"/>
          <w:sz w:val="24"/>
          <w:szCs w:val="24"/>
        </w:rPr>
        <w:t xml:space="preserve"> hearing officer. (a) Notwithstanding any other</w:t>
      </w:r>
      <w:r>
        <w:rPr>
          <w:rFonts w:ascii="Times New Roman" w:eastAsia="Times New Roman" w:hAnsi="Times New Roman"/>
          <w:sz w:val="24"/>
          <w:szCs w:val="24"/>
        </w:rPr>
        <w:t xml:space="preserve"> </w:t>
      </w:r>
      <w:r w:rsidRPr="00DD572C">
        <w:rPr>
          <w:rFonts w:ascii="Times New Roman" w:eastAsia="Times New Roman" w:hAnsi="Times New Roman"/>
          <w:sz w:val="24"/>
          <w:szCs w:val="24"/>
        </w:rPr>
        <w:t>provision of law to the contrary, including but not limited to subdivision four of section seventy-six of this title, any paid officer or</w:t>
      </w:r>
      <w:r>
        <w:rPr>
          <w:rFonts w:ascii="Times New Roman" w:eastAsia="Times New Roman" w:hAnsi="Times New Roman"/>
          <w:sz w:val="24"/>
          <w:szCs w:val="24"/>
        </w:rPr>
        <w:t xml:space="preserve"> </w:t>
      </w:r>
      <w:r w:rsidRPr="00DD572C">
        <w:rPr>
          <w:rFonts w:ascii="Times New Roman" w:eastAsia="Times New Roman" w:hAnsi="Times New Roman"/>
          <w:sz w:val="24"/>
          <w:szCs w:val="24"/>
        </w:rPr>
        <w:t>member of an organized fire company or fire department of a city of less</w:t>
      </w:r>
      <w:r>
        <w:rPr>
          <w:rFonts w:ascii="Times New Roman" w:eastAsia="Times New Roman" w:hAnsi="Times New Roman"/>
          <w:sz w:val="24"/>
          <w:szCs w:val="24"/>
        </w:rPr>
        <w:t xml:space="preserve"> </w:t>
      </w:r>
      <w:r w:rsidRPr="00DD572C">
        <w:rPr>
          <w:rFonts w:ascii="Times New Roman" w:eastAsia="Times New Roman" w:hAnsi="Times New Roman"/>
          <w:sz w:val="24"/>
          <w:szCs w:val="24"/>
        </w:rPr>
        <w:t>than one million population, or town, village or fire district who is</w:t>
      </w:r>
      <w:r>
        <w:rPr>
          <w:rFonts w:ascii="Times New Roman" w:eastAsia="Times New Roman" w:hAnsi="Times New Roman"/>
          <w:sz w:val="24"/>
          <w:szCs w:val="24"/>
        </w:rPr>
        <w:t xml:space="preserve"> </w:t>
      </w:r>
      <w:r w:rsidRPr="00DD572C">
        <w:rPr>
          <w:rFonts w:ascii="Times New Roman" w:eastAsia="Times New Roman" w:hAnsi="Times New Roman"/>
          <w:sz w:val="24"/>
          <w:szCs w:val="24"/>
        </w:rPr>
        <w:t xml:space="preserve">represented by a certified or recognized </w:t>
      </w:r>
      <w:r w:rsidRPr="00DD572C">
        <w:rPr>
          <w:rFonts w:ascii="Times New Roman" w:eastAsia="Times New Roman" w:hAnsi="Times New Roman"/>
          <w:sz w:val="24"/>
          <w:szCs w:val="24"/>
        </w:rPr>
        <w:lastRenderedPageBreak/>
        <w:t>employee organization pursuant</w:t>
      </w:r>
      <w:r>
        <w:rPr>
          <w:rFonts w:ascii="Times New Roman" w:eastAsia="Times New Roman" w:hAnsi="Times New Roman"/>
          <w:sz w:val="24"/>
          <w:szCs w:val="24"/>
        </w:rPr>
        <w:t xml:space="preserve"> </w:t>
      </w:r>
      <w:r w:rsidRPr="00DD572C">
        <w:rPr>
          <w:rFonts w:ascii="Times New Roman" w:eastAsia="Times New Roman" w:hAnsi="Times New Roman"/>
          <w:sz w:val="24"/>
          <w:szCs w:val="24"/>
        </w:rPr>
        <w:t>to article fourteen of this chapter shall not be subjected to the pena</w:t>
      </w:r>
      <w:r>
        <w:rPr>
          <w:rFonts w:ascii="Times New Roman" w:eastAsia="Times New Roman" w:hAnsi="Times New Roman"/>
          <w:sz w:val="24"/>
          <w:szCs w:val="24"/>
        </w:rPr>
        <w:t>l</w:t>
      </w:r>
      <w:r w:rsidRPr="00DD572C">
        <w:rPr>
          <w:rFonts w:ascii="Times New Roman" w:eastAsia="Times New Roman" w:hAnsi="Times New Roman"/>
          <w:sz w:val="24"/>
          <w:szCs w:val="24"/>
        </w:rPr>
        <w:t>ty of dismissal from service or any other discipline if the hearing,</w:t>
      </w:r>
      <w:r>
        <w:rPr>
          <w:rFonts w:ascii="Times New Roman" w:eastAsia="Times New Roman" w:hAnsi="Times New Roman"/>
          <w:sz w:val="24"/>
          <w:szCs w:val="24"/>
        </w:rPr>
        <w:t xml:space="preserve"> </w:t>
      </w:r>
      <w:r w:rsidRPr="00DD572C">
        <w:rPr>
          <w:rFonts w:ascii="Times New Roman" w:eastAsia="Times New Roman" w:hAnsi="Times New Roman"/>
          <w:sz w:val="24"/>
          <w:szCs w:val="24"/>
        </w:rPr>
        <w:t>upon such charge, has been conducted by someone other than an</w:t>
      </w:r>
      <w:r>
        <w:rPr>
          <w:rFonts w:ascii="Times New Roman" w:eastAsia="Times New Roman" w:hAnsi="Times New Roman"/>
          <w:sz w:val="24"/>
          <w:szCs w:val="24"/>
        </w:rPr>
        <w:t xml:space="preserve"> </w:t>
      </w:r>
      <w:r w:rsidRPr="00DD572C">
        <w:rPr>
          <w:rFonts w:ascii="Times New Roman" w:eastAsia="Times New Roman" w:hAnsi="Times New Roman"/>
          <w:sz w:val="24"/>
          <w:szCs w:val="24"/>
        </w:rPr>
        <w:t>independent hearing officer to be agreed to by the employer and the person</w:t>
      </w:r>
      <w:r>
        <w:rPr>
          <w:rFonts w:ascii="Times New Roman" w:eastAsia="Times New Roman" w:hAnsi="Times New Roman"/>
          <w:sz w:val="24"/>
          <w:szCs w:val="24"/>
        </w:rPr>
        <w:t xml:space="preserve"> </w:t>
      </w:r>
      <w:r w:rsidRPr="00DD572C">
        <w:rPr>
          <w:rFonts w:ascii="Times New Roman" w:eastAsia="Times New Roman" w:hAnsi="Times New Roman"/>
          <w:sz w:val="24"/>
          <w:szCs w:val="24"/>
        </w:rPr>
        <w:t>against whom disciplinary action is proposed.</w:t>
      </w:r>
      <w:r>
        <w:rPr>
          <w:rFonts w:ascii="Times New Roman" w:eastAsia="Times New Roman" w:hAnsi="Times New Roman"/>
          <w:sz w:val="24"/>
          <w:szCs w:val="24"/>
        </w:rPr>
        <w:t xml:space="preserve">” </w:t>
      </w:r>
    </w:p>
    <w:p w14:paraId="008ECB29" w14:textId="77777777" w:rsidR="00D33F96" w:rsidRDefault="00D33F96" w:rsidP="00D33F96">
      <w:pPr>
        <w:rPr>
          <w:rFonts w:ascii="Arial Black" w:hAnsi="Arial Black"/>
          <w:sz w:val="28"/>
          <w:szCs w:val="28"/>
        </w:rPr>
      </w:pPr>
    </w:p>
    <w:p w14:paraId="492F6261" w14:textId="3122BF31" w:rsidR="00D33F96" w:rsidRDefault="00D33F96" w:rsidP="00F326E5">
      <w:pPr>
        <w:pStyle w:val="NoSpacing"/>
        <w:rPr>
          <w:rFonts w:ascii="Arial Black" w:hAnsi="Arial Black"/>
          <w:sz w:val="24"/>
          <w:szCs w:val="24"/>
        </w:rPr>
      </w:pPr>
      <w:r>
        <w:rPr>
          <w:rFonts w:ascii="Arial Black" w:hAnsi="Arial Black"/>
          <w:sz w:val="24"/>
          <w:szCs w:val="24"/>
        </w:rPr>
        <w:t>16-88</w:t>
      </w:r>
    </w:p>
    <w:p w14:paraId="29D32E5E" w14:textId="77777777" w:rsidR="00D33F96" w:rsidRDefault="00D33F96" w:rsidP="00F326E5">
      <w:pPr>
        <w:pStyle w:val="NoSpacing"/>
        <w:rPr>
          <w:rFonts w:ascii="Arial Black" w:hAnsi="Arial Black"/>
          <w:sz w:val="24"/>
          <w:szCs w:val="24"/>
        </w:rPr>
      </w:pPr>
    </w:p>
    <w:p w14:paraId="5C591DED" w14:textId="77777777" w:rsidR="00D33F96" w:rsidRPr="00687D28" w:rsidRDefault="00D33F96" w:rsidP="00D33F96">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IL: ANGRY LT. PUSHED FEMALE LT. WALL 3 TIMES – SUSP. 24 HRS - NO PROOF FD CONDONED THIS CONDUCT</w:t>
      </w:r>
    </w:p>
    <w:p w14:paraId="61DDFFA9" w14:textId="77777777" w:rsidR="00D33F96" w:rsidRDefault="00D33F96" w:rsidP="00D33F96">
      <w:pPr>
        <w:pStyle w:val="NormalWeb"/>
      </w:pPr>
      <w:r>
        <w:t xml:space="preserve">On June 15, 2023, in </w:t>
      </w:r>
      <w:r w:rsidRPr="0096290C">
        <w:rPr>
          <w:u w:val="single"/>
        </w:rPr>
        <w:t>Michelle Giese v. City of Kankakee, Damon Schuldt and Nathan Boyce</w:t>
      </w:r>
      <w:r>
        <w:t>, the U.S. Court of Appeals for 7</w:t>
      </w:r>
      <w:r w:rsidRPr="0096290C">
        <w:rPr>
          <w:vertAlign w:val="superscript"/>
        </w:rPr>
        <w:t>th</w:t>
      </w:r>
      <w:r>
        <w:t xml:space="preserve"> Circuit (Chicago) held (3 to 0) that U.S. District Court had properly granted summary judgment to all defendants, and there was no proof FD condoning aggressive conduct or a “code of silence.” </w:t>
      </w:r>
    </w:p>
    <w:p w14:paraId="1CA5EC2F" w14:textId="77777777" w:rsidR="00D33F96" w:rsidRPr="0096290C" w:rsidRDefault="00D33F96" w:rsidP="00D33F96">
      <w:pPr>
        <w:pStyle w:val="NormalWeb"/>
      </w:pPr>
      <w:r>
        <w:t>The Court held: “</w:t>
      </w:r>
      <w:r w:rsidRPr="0096290C">
        <w:t>We are sympathetic to Giese, who continues to suffer mental and physical injuries from an attack that should never have occurred. But Giese's remedy, if any, is not in federal court.</w:t>
      </w:r>
      <w:r>
        <w:t xml:space="preserve"> *** </w:t>
      </w:r>
      <w:r w:rsidRPr="0096290C">
        <w:t xml:space="preserve">On the merits, Giese's claim fails because none of her evidence, separately or taken together, creates a genuine dispute regarding whether the defendants had </w:t>
      </w:r>
      <w:proofErr w:type="gramStart"/>
      <w:r w:rsidRPr="0096290C">
        <w:t>a practice</w:t>
      </w:r>
      <w:proofErr w:type="gramEnd"/>
      <w:r w:rsidRPr="0096290C">
        <w:t xml:space="preserve"> of condoning aggressive behavior, resulting in a constitutional injury. Although we have previously recognized that a defendant's </w:t>
      </w:r>
      <w:r>
        <w:t>‘</w:t>
      </w:r>
      <w:r w:rsidRPr="0096290C">
        <w:t>code of silence</w:t>
      </w:r>
      <w:r>
        <w:t>’</w:t>
      </w:r>
      <w:r w:rsidRPr="0096290C">
        <w:t xml:space="preserve"> can give rise to a valid </w:t>
      </w:r>
      <w:r w:rsidRPr="0096290C">
        <w:rPr>
          <w:i/>
          <w:iCs/>
        </w:rPr>
        <w:t>Monell</w:t>
      </w:r>
      <w:r w:rsidRPr="0096290C">
        <w:t xml:space="preserve"> claim, such a claim requires more than evidence of </w:t>
      </w:r>
      <w:r>
        <w:t>‘</w:t>
      </w:r>
      <w:r w:rsidRPr="0096290C">
        <w:t>individual misconduct by ... officers</w:t>
      </w:r>
      <w:r>
        <w:t>’</w:t>
      </w:r>
      <w:r w:rsidRPr="0096290C">
        <w:t xml:space="preserve">; it requires </w:t>
      </w:r>
      <w:r>
        <w:t>‘</w:t>
      </w:r>
      <w:r w:rsidRPr="0096290C">
        <w:t xml:space="preserve">a </w:t>
      </w:r>
      <w:r w:rsidRPr="0096290C">
        <w:rPr>
          <w:i/>
          <w:iCs/>
        </w:rPr>
        <w:t>widespread practice</w:t>
      </w:r>
      <w:r w:rsidRPr="0096290C">
        <w:t xml:space="preserve"> that permeates a critical mass of an institutional body.</w:t>
      </w:r>
      <w:r>
        <w:t>’</w:t>
      </w:r>
      <w:r w:rsidRPr="0096290C">
        <w:t xml:space="preserve"> </w:t>
      </w:r>
      <w:r w:rsidRPr="0096290C">
        <w:rPr>
          <w:i/>
          <w:iCs/>
        </w:rPr>
        <w:t>Rossi v. City of Chicago,</w:t>
      </w:r>
      <w:r w:rsidRPr="0096290C">
        <w:t xml:space="preserve"> 790 F.3d 729, 737 (7th Cir. 2015); </w:t>
      </w:r>
      <w:r w:rsidRPr="0096290C">
        <w:rPr>
          <w:i/>
          <w:iCs/>
        </w:rPr>
        <w:t>see also Sledd v. Lindsay</w:t>
      </w:r>
      <w:r w:rsidRPr="0096290C">
        <w:t>, 102 F.3d 282, 289 (7th Cir. 1996).</w:t>
      </w:r>
      <w:r>
        <w:t xml:space="preserve">” </w:t>
      </w:r>
      <w:hyperlink r:id="rId2526" w:history="1">
        <w:r w:rsidRPr="00812663">
          <w:rPr>
            <w:rStyle w:val="Hyperlink"/>
          </w:rPr>
          <w:t>https://caselaw.findlaw.com/court/us-7th-circuit/2204869.html</w:t>
        </w:r>
      </w:hyperlink>
      <w:r>
        <w:t xml:space="preserve"> </w:t>
      </w:r>
    </w:p>
    <w:p w14:paraId="0E0A2BA2" w14:textId="77777777" w:rsidR="00D33F96" w:rsidRPr="007B4180" w:rsidRDefault="00D33F96" w:rsidP="00D33F96">
      <w:pPr>
        <w:spacing w:before="100" w:beforeAutospacing="1" w:after="100" w:afterAutospacing="1" w:line="240" w:lineRule="auto"/>
        <w:rPr>
          <w:rFonts w:ascii="Times New Roman" w:eastAsia="Times New Roman" w:hAnsi="Times New Roman"/>
          <w:b/>
          <w:bCs/>
          <w:sz w:val="24"/>
          <w:szCs w:val="24"/>
        </w:rPr>
      </w:pPr>
      <w:r w:rsidRPr="007B4180">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Plaintiff did not have evidence to prove alleged violent workplace or “code of silence.”</w:t>
      </w:r>
    </w:p>
    <w:p w14:paraId="042F589D" w14:textId="77777777" w:rsidR="00D33F96" w:rsidRDefault="00D33F96" w:rsidP="00F326E5">
      <w:pPr>
        <w:pStyle w:val="NoSpacing"/>
        <w:rPr>
          <w:rFonts w:ascii="Arial Black" w:hAnsi="Arial Black"/>
          <w:sz w:val="24"/>
          <w:szCs w:val="24"/>
        </w:rPr>
      </w:pPr>
    </w:p>
    <w:p w14:paraId="7B0F7E38" w14:textId="77777777" w:rsidR="00D33F96" w:rsidRDefault="00D33F96" w:rsidP="00F326E5">
      <w:pPr>
        <w:pStyle w:val="NoSpacing"/>
        <w:rPr>
          <w:rFonts w:ascii="Arial Black" w:hAnsi="Arial Black"/>
          <w:sz w:val="24"/>
          <w:szCs w:val="24"/>
        </w:rPr>
      </w:pPr>
    </w:p>
    <w:p w14:paraId="307BE832" w14:textId="77777777" w:rsidR="00D33F96" w:rsidRDefault="00D33F96" w:rsidP="00F326E5">
      <w:pPr>
        <w:pStyle w:val="NoSpacing"/>
        <w:rPr>
          <w:rFonts w:ascii="Arial Black" w:hAnsi="Arial Black"/>
          <w:sz w:val="24"/>
          <w:szCs w:val="24"/>
        </w:rPr>
      </w:pPr>
    </w:p>
    <w:p w14:paraId="4EBBDE3F" w14:textId="1C6A2E38" w:rsidR="00C032D6" w:rsidRDefault="00C032D6" w:rsidP="00F326E5">
      <w:pPr>
        <w:pStyle w:val="NoSpacing"/>
        <w:rPr>
          <w:rFonts w:ascii="Arial Black" w:hAnsi="Arial Black"/>
          <w:sz w:val="24"/>
          <w:szCs w:val="24"/>
        </w:rPr>
      </w:pPr>
      <w:r>
        <w:rPr>
          <w:rFonts w:ascii="Arial Black" w:hAnsi="Arial Black"/>
          <w:sz w:val="24"/>
          <w:szCs w:val="24"/>
        </w:rPr>
        <w:t>16-87</w:t>
      </w:r>
    </w:p>
    <w:p w14:paraId="4B41C1C2" w14:textId="77777777" w:rsidR="00C032D6" w:rsidRDefault="00C032D6" w:rsidP="00C032D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U.S. SUP. CT: FACEBOOK CYBERSTALKING POSTS TO FEMALE SINGER – PROS. PROVE DEF. INTENDED THREAT</w:t>
      </w:r>
    </w:p>
    <w:p w14:paraId="34B31C0C" w14:textId="77777777" w:rsidR="00C032D6" w:rsidRDefault="00C032D6" w:rsidP="00C032D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June 27, 2023, in </w:t>
      </w:r>
      <w:r>
        <w:rPr>
          <w:rFonts w:ascii="Times New Roman" w:eastAsia="Times New Roman" w:hAnsi="Times New Roman"/>
          <w:sz w:val="24"/>
          <w:szCs w:val="24"/>
          <w:u w:val="single"/>
        </w:rPr>
        <w:t>Counterman v. Colorado</w:t>
      </w:r>
      <w:r>
        <w:rPr>
          <w:rFonts w:ascii="Times New Roman" w:eastAsia="Times New Roman" w:hAnsi="Times New Roman"/>
          <w:sz w:val="24"/>
          <w:szCs w:val="24"/>
        </w:rPr>
        <w:t>, the U.S. Supreme Court held (7 to 2) in an opinion by Justice Elena Kagan, that Billy Cunningham, who was convicted by a jury under state stalking statute, and sentenced to 4 ½ years in prison, after sending hundreds of Facebook posts to a local singer / musician. Several of his posts expressed anger at C. W. and envisaged harm befalling her: “Fuck off permanently….” “Staying in cyber life is going to kill you….” “You’re not being good for human relations. Die.”  The Court reversed the conviction since state prosecutors did not introduce any evidence, other than his Facebook posts, of his intentions to harm the singer.  If state decides to try him again, they must include proof that the “defendant had some understanding of his statements’ threatening character.”</w:t>
      </w:r>
      <w:r>
        <w:t xml:space="preserve"> </w:t>
      </w:r>
      <w:hyperlink r:id="rId2527" w:history="1">
        <w:r>
          <w:rPr>
            <w:rStyle w:val="Hyperlink"/>
            <w:sz w:val="24"/>
            <w:szCs w:val="24"/>
          </w:rPr>
          <w:t>https://www.supremecourt.gov/opinions/22pdf/22-138_43j7.pdf</w:t>
        </w:r>
      </w:hyperlink>
      <w:r>
        <w:rPr>
          <w:rFonts w:ascii="Times New Roman" w:eastAsia="Times New Roman" w:hAnsi="Times New Roman"/>
          <w:sz w:val="24"/>
          <w:szCs w:val="24"/>
        </w:rPr>
        <w:t xml:space="preserve"> </w:t>
      </w:r>
    </w:p>
    <w:p w14:paraId="73927333" w14:textId="77777777" w:rsidR="00C032D6" w:rsidRDefault="00C032D6" w:rsidP="00C032D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Legal Lesson Learned: Fire &amp; EMS Departments should review employee handbooks and confirm there is a section on threatening conduct, including online posts.</w:t>
      </w:r>
    </w:p>
    <w:p w14:paraId="545A6582" w14:textId="77777777" w:rsidR="00C032D6" w:rsidRDefault="00C032D6" w:rsidP="00C032D6">
      <w:pPr>
        <w:spacing w:before="100" w:beforeAutospacing="1" w:after="100" w:afterAutospacing="1" w:line="240" w:lineRule="auto"/>
        <w:ind w:left="720"/>
        <w:rPr>
          <w:rFonts w:ascii="Times New Roman" w:hAnsi="Times New Roman"/>
          <w:kern w:val="2"/>
          <w:sz w:val="24"/>
          <w:szCs w:val="24"/>
          <w14:ligatures w14:val="standardContextual"/>
        </w:rPr>
      </w:pPr>
      <w:r>
        <w:rPr>
          <w:rFonts w:ascii="Times New Roman" w:eastAsia="Times New Roman" w:hAnsi="Times New Roman"/>
          <w:sz w:val="24"/>
          <w:szCs w:val="24"/>
        </w:rPr>
        <w:t xml:space="preserve">Note: See photo of this stalker, and the victim: </w:t>
      </w:r>
      <w:hyperlink r:id="rId2528" w:history="1">
        <w:r>
          <w:rPr>
            <w:rStyle w:val="Hyperlink"/>
            <w:sz w:val="24"/>
            <w:szCs w:val="24"/>
          </w:rPr>
          <w:t>https://www.dailymail.co.uk/news/article-12240293/Man-accused-stalking-local-Colorado-musician-stalking-conviction-tossed-Supreme-Court.html</w:t>
        </w:r>
      </w:hyperlink>
      <w:r>
        <w:rPr>
          <w:rFonts w:ascii="Times New Roman" w:eastAsia="Times New Roman" w:hAnsi="Times New Roman"/>
          <w:sz w:val="24"/>
          <w:szCs w:val="24"/>
        </w:rPr>
        <w:t xml:space="preserve">. </w:t>
      </w:r>
      <w:r>
        <w:rPr>
          <w:rFonts w:ascii="Times New Roman" w:hAnsi="Times New Roman"/>
          <w:sz w:val="24"/>
          <w:szCs w:val="24"/>
        </w:rPr>
        <w:t>“Counterman had a history of making violent threats to women and was on supervised release from one such federal conviction during the two years he continuously messaged Whalen.”</w:t>
      </w:r>
    </w:p>
    <w:p w14:paraId="2AF52157" w14:textId="77777777" w:rsidR="00C032D6" w:rsidRDefault="00C032D6" w:rsidP="00C032D6">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 xml:space="preserve">On June 30, 2023, the U.S. Supreme Court has decided another First Amendment case: </w:t>
      </w:r>
      <w:r>
        <w:rPr>
          <w:rFonts w:ascii="Times New Roman" w:hAnsi="Times New Roman"/>
          <w:sz w:val="24"/>
          <w:szCs w:val="24"/>
          <w:u w:val="single"/>
        </w:rPr>
        <w:t>303 Creative LLC et al. v. Elenis, et al</w:t>
      </w:r>
      <w:r>
        <w:rPr>
          <w:rFonts w:ascii="Times New Roman" w:hAnsi="Times New Roman"/>
          <w:sz w:val="24"/>
          <w:szCs w:val="24"/>
        </w:rPr>
        <w:t>., holding (6 to 3) that Colorado Anti-Discrimination Act (CADA) cannot require wedding website owner to design websites for gay couples.  “</w:t>
      </w:r>
      <w:r>
        <w:rPr>
          <w:rFonts w:ascii="Times New Roman" w:eastAsia="Times New Roman" w:hAnsi="Times New Roman"/>
          <w:sz w:val="24"/>
          <w:szCs w:val="24"/>
        </w:rPr>
        <w:t xml:space="preserve">Specifically, she worries that, if she enters the wedding website business, the State will force her to convey messages inconsistent with her belief that marriage should be reserved to unions between one man and one woman. *** The First Amendment envisions the United States as a rich and complex place where all persons are free to think and speak as they wish, not as the government demands. Because Colorado seeks to deny that promise, the judgment is Reversed.” </w:t>
      </w:r>
      <w:hyperlink r:id="rId2529" w:history="1">
        <w:r>
          <w:rPr>
            <w:rStyle w:val="Hyperlink"/>
            <w:sz w:val="24"/>
            <w:szCs w:val="24"/>
          </w:rPr>
          <w:t>https://www.supremecourt.gov/opinions/22pdf/21-476_c185.pdf</w:t>
        </w:r>
      </w:hyperlink>
      <w:r>
        <w:rPr>
          <w:rFonts w:ascii="Times New Roman" w:eastAsia="Times New Roman" w:hAnsi="Times New Roman"/>
          <w:sz w:val="24"/>
          <w:szCs w:val="24"/>
        </w:rPr>
        <w:t xml:space="preserve"> </w:t>
      </w:r>
    </w:p>
    <w:p w14:paraId="190CDCC7" w14:textId="77777777" w:rsidR="00C032D6" w:rsidRDefault="00C032D6" w:rsidP="00C032D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Online threatening conduct can take many forms.  On June 30, 2023, a former Deputy U.S. Marshal was sentenced to 10 years in prison for cyberstalking, perjury and obstruction. </w:t>
      </w:r>
      <w:hyperlink r:id="rId2530" w:history="1">
        <w:r>
          <w:rPr>
            <w:rStyle w:val="Hyperlink"/>
            <w:sz w:val="24"/>
            <w:szCs w:val="24"/>
          </w:rPr>
          <w:t>https://www.justice.gov/opa/pr/former-deputy-us-marshal-sentenced-cyberstalking-perjury-and-obstruction</w:t>
        </w:r>
      </w:hyperlink>
      <w:r>
        <w:rPr>
          <w:rFonts w:ascii="Times New Roman" w:eastAsia="Times New Roman" w:hAnsi="Times New Roman"/>
          <w:sz w:val="24"/>
          <w:szCs w:val="24"/>
        </w:rPr>
        <w:t xml:space="preserve"> </w:t>
      </w:r>
    </w:p>
    <w:p w14:paraId="1D7E6D6D" w14:textId="77777777" w:rsidR="00C032D6" w:rsidRDefault="00C032D6" w:rsidP="00C032D6">
      <w:pPr>
        <w:spacing w:before="100" w:beforeAutospacing="1" w:after="100" w:afterAutospacing="1" w:line="240" w:lineRule="auto"/>
        <w:ind w:left="1440"/>
        <w:rPr>
          <w:rFonts w:ascii="Times New Roman" w:hAnsi="Times New Roman"/>
          <w:kern w:val="2"/>
          <w:sz w:val="24"/>
          <w:szCs w:val="24"/>
          <w14:ligatures w14:val="standardContextual"/>
        </w:rPr>
      </w:pPr>
      <w:r>
        <w:rPr>
          <w:rFonts w:ascii="Times New Roman" w:hAnsi="Times New Roman"/>
          <w:sz w:val="24"/>
          <w:szCs w:val="24"/>
        </w:rPr>
        <w:t xml:space="preserve">“According to court documents and evidence presented at trial, Ian R. Diaz, 45, of Glendora, California, and his then-wife, an unindicted co-conspirator (CC-1), posed as a person with whom Diaz was formerly in a relationship (Jane Doe). In that guise, they sent themselves harassing and threatening electronic communications that contained apparent threats to harm CC-1; solicited and lured men found through Craigslist ‘personal’ advertisements to engage in so-called ‘rape fantasies’ in an attempt to stage a purported sexual assault on CC-1 orchestrated by Jane Doe; and staged one or more hoax sexual assaults and attempted sexual assaults on CC-1. Diaz and CC-1 then reported this conduct to local law enforcement, falsely claiming that Jane Doe posed a genuine and serious threat to Diaz and CC-1. Their actions caused local law enforcement to arrest, charge, and detain Jane Doe in jail for nearly three months for conduct for which Diaz and CC-1 framed </w:t>
      </w:r>
      <w:proofErr w:type="gramStart"/>
      <w:r>
        <w:rPr>
          <w:rFonts w:ascii="Times New Roman" w:hAnsi="Times New Roman"/>
          <w:sz w:val="24"/>
          <w:szCs w:val="24"/>
        </w:rPr>
        <w:t>her.”</w:t>
      </w:r>
      <w:proofErr w:type="gramEnd"/>
    </w:p>
    <w:p w14:paraId="2533B209" w14:textId="77777777" w:rsidR="00C032D6" w:rsidRDefault="00C032D6" w:rsidP="00F326E5">
      <w:pPr>
        <w:pStyle w:val="NoSpacing"/>
        <w:rPr>
          <w:rFonts w:ascii="Arial Black" w:hAnsi="Arial Black"/>
          <w:sz w:val="24"/>
          <w:szCs w:val="24"/>
        </w:rPr>
      </w:pPr>
    </w:p>
    <w:p w14:paraId="65A53843" w14:textId="77777777" w:rsidR="00C032D6" w:rsidRDefault="00C032D6" w:rsidP="00F326E5">
      <w:pPr>
        <w:pStyle w:val="NoSpacing"/>
        <w:rPr>
          <w:rFonts w:ascii="Arial Black" w:hAnsi="Arial Black"/>
          <w:sz w:val="24"/>
          <w:szCs w:val="24"/>
        </w:rPr>
      </w:pPr>
    </w:p>
    <w:p w14:paraId="69EE7B23" w14:textId="77777777" w:rsidR="00C032D6" w:rsidRDefault="00C032D6" w:rsidP="00F326E5">
      <w:pPr>
        <w:pStyle w:val="NoSpacing"/>
        <w:rPr>
          <w:rFonts w:ascii="Arial Black" w:hAnsi="Arial Black"/>
          <w:sz w:val="24"/>
          <w:szCs w:val="24"/>
        </w:rPr>
      </w:pPr>
    </w:p>
    <w:p w14:paraId="46092BEC" w14:textId="0E6C4061" w:rsidR="00A01262" w:rsidRDefault="00A01262" w:rsidP="00F326E5">
      <w:pPr>
        <w:pStyle w:val="NoSpacing"/>
        <w:rPr>
          <w:rFonts w:ascii="Arial Black" w:hAnsi="Arial Black"/>
          <w:sz w:val="24"/>
          <w:szCs w:val="24"/>
        </w:rPr>
      </w:pPr>
      <w:r>
        <w:rPr>
          <w:rFonts w:ascii="Arial Black" w:hAnsi="Arial Black"/>
          <w:sz w:val="24"/>
          <w:szCs w:val="24"/>
        </w:rPr>
        <w:t>16-86</w:t>
      </w:r>
    </w:p>
    <w:p w14:paraId="0B6CEF60" w14:textId="77777777" w:rsidR="00A01262" w:rsidRDefault="00A01262" w:rsidP="00F326E5">
      <w:pPr>
        <w:pStyle w:val="NoSpacing"/>
        <w:rPr>
          <w:rFonts w:ascii="Arial Black" w:hAnsi="Arial Black"/>
          <w:sz w:val="24"/>
          <w:szCs w:val="24"/>
        </w:rPr>
      </w:pPr>
    </w:p>
    <w:p w14:paraId="2E3F3D83" w14:textId="77777777" w:rsidR="00A01262" w:rsidRDefault="00A01262" w:rsidP="00A01262">
      <w:pPr>
        <w:pStyle w:val="NormalWeb"/>
        <w:rPr>
          <w:b/>
          <w:bCs/>
        </w:rPr>
      </w:pPr>
      <w:bookmarkStart w:id="592" w:name="_Hlk136860992"/>
      <w:r>
        <w:rPr>
          <w:rFonts w:ascii="Arial Black" w:hAnsi="Arial Black"/>
          <w:b/>
          <w:bCs/>
          <w:sz w:val="28"/>
          <w:szCs w:val="28"/>
        </w:rPr>
        <w:t>TX: HOUSTON ROCKETS PLAYER DROVE HIGH-WATER VEHICLE / SIREN – D/C SUSP. 3 DAYS NOT REPORTING</w:t>
      </w:r>
    </w:p>
    <w:bookmarkEnd w:id="592"/>
    <w:p w14:paraId="4B2783AF" w14:textId="77777777" w:rsidR="00A01262" w:rsidRDefault="00A01262" w:rsidP="00A01262">
      <w:pPr>
        <w:pStyle w:val="NormalWeb"/>
      </w:pPr>
      <w:r w:rsidRPr="00DB6B29">
        <w:t xml:space="preserve">On May 23, 2023, in </w:t>
      </w:r>
      <w:r w:rsidRPr="00DB6B29">
        <w:rPr>
          <w:u w:val="single"/>
        </w:rPr>
        <w:t>City of Houston v. Steven M. Dunbar</w:t>
      </w:r>
      <w:r>
        <w:t xml:space="preserve">, the Court of Appeals of Texas, Fourteenth District, held (3 to 1) that the 3-day suspension without pay for not submitting formal report of the incident was properly upheld by Civil Service Commission. The Court of Appeals reversed a District Court judge who had held a “trial de novo” and overturned the suspension.  </w:t>
      </w:r>
      <w:hyperlink r:id="rId2531" w:history="1">
        <w:r w:rsidRPr="009A7773">
          <w:rPr>
            <w:rStyle w:val="Hyperlink"/>
            <w:rFonts w:eastAsiaTheme="majorEastAsia"/>
          </w:rPr>
          <w:t>https://public.fastcase.com/ZZhmr5v9wN%2FXOe5IsQ%2FqD%2FO0LT6Pz0KJcARt671qvqgQi3DbocRDtQ4betl84jRGTGzfHSJMEalmGTdX9780fy05zDa4clbi%2BS%2BLkJBZYf4%3D?utm_medium=email&amp;_hsmi=</w:t>
        </w:r>
        <w:r w:rsidRPr="009A7773">
          <w:rPr>
            <w:rStyle w:val="Hyperlink"/>
            <w:rFonts w:eastAsiaTheme="majorEastAsia"/>
          </w:rPr>
          <w:lastRenderedPageBreak/>
          <w:t>226712652&amp;_hsenc=p2ANqtz-9l-n7ipvtzcORFmZd03PYol8SHQvcVi0Z6evQ7ScfpqYiZ21zByukFjNZtNWzEIrK0lXEwA0RlErFoyPgnUEJbLhoGpw&amp;utm_content=226712652&amp;utm_source=hs_email</w:t>
        </w:r>
      </w:hyperlink>
      <w:r>
        <w:t xml:space="preserve"> </w:t>
      </w:r>
    </w:p>
    <w:p w14:paraId="45F3BA26" w14:textId="77777777" w:rsidR="00A01262" w:rsidRDefault="00A01262" w:rsidP="00A01262">
      <w:pPr>
        <w:pStyle w:val="NormalWeb"/>
        <w:ind w:left="720"/>
      </w:pPr>
      <w:r>
        <w:t xml:space="preserve">“Dunbar nonetheless argues he had no duty to report the conduct he witnessed. Dunbar first argues that he did not have enough information to report any violation ‘by well-sustained charges,’ as prescribed by section 6.06. The evidence, however, shows that Dunbar witnessed a Houston Rockets player driving a high-water vehicle despite his knowledge that such vehicles could only be driven by HFD members with specific credentials, which would appear to be substantial evidence of a violation of the provisions listed above. Dunbar further argues that he could not determine whether a violation had taken place because he was aware of other events at which athletes had ridden on or driven HFD vehicles. Evidence of such incidents, however, does not dispel substantial evidence of a reportable violation in this </w:t>
      </w:r>
      <w:proofErr w:type="gramStart"/>
      <w:r>
        <w:t>instance.”</w:t>
      </w:r>
      <w:proofErr w:type="gramEnd"/>
      <w:r w:rsidRPr="00137F5F">
        <w:t xml:space="preserve"> </w:t>
      </w:r>
    </w:p>
    <w:p w14:paraId="0D09FDE5" w14:textId="77777777" w:rsidR="00A01262" w:rsidRPr="00137F5F" w:rsidRDefault="00A01262" w:rsidP="00A01262">
      <w:pPr>
        <w:pStyle w:val="NormalWeb"/>
        <w:rPr>
          <w:b/>
          <w:bCs/>
        </w:rPr>
      </w:pPr>
      <w:r w:rsidRPr="00137F5F">
        <w:rPr>
          <w:b/>
          <w:bCs/>
        </w:rPr>
        <w:t xml:space="preserve">Legal Lesson Learned:  </w:t>
      </w:r>
      <w:r>
        <w:rPr>
          <w:b/>
          <w:bCs/>
        </w:rPr>
        <w:t xml:space="preserve">Do not allow civilians to drive your apparatus, including professional athletes at a PR event. </w:t>
      </w:r>
    </w:p>
    <w:p w14:paraId="2FB42D6B" w14:textId="77777777" w:rsidR="00A01262" w:rsidRDefault="00A01262" w:rsidP="00F326E5">
      <w:pPr>
        <w:pStyle w:val="NoSpacing"/>
        <w:rPr>
          <w:rFonts w:ascii="Arial Black" w:hAnsi="Arial Black"/>
          <w:sz w:val="24"/>
          <w:szCs w:val="24"/>
        </w:rPr>
      </w:pPr>
    </w:p>
    <w:p w14:paraId="7B49B0FE" w14:textId="77777777" w:rsidR="00A01262" w:rsidRDefault="00A01262" w:rsidP="00F326E5">
      <w:pPr>
        <w:pStyle w:val="NoSpacing"/>
        <w:rPr>
          <w:rFonts w:ascii="Arial Black" w:hAnsi="Arial Black"/>
          <w:sz w:val="24"/>
          <w:szCs w:val="24"/>
        </w:rPr>
      </w:pPr>
    </w:p>
    <w:p w14:paraId="34ADBA42" w14:textId="68E6DA18" w:rsidR="006A02A4" w:rsidRDefault="006A02A4" w:rsidP="00F326E5">
      <w:pPr>
        <w:pStyle w:val="NoSpacing"/>
        <w:rPr>
          <w:rFonts w:ascii="Arial Black" w:hAnsi="Arial Black"/>
          <w:sz w:val="24"/>
          <w:szCs w:val="24"/>
        </w:rPr>
      </w:pPr>
      <w:r>
        <w:rPr>
          <w:rFonts w:ascii="Arial Black" w:hAnsi="Arial Black"/>
          <w:sz w:val="24"/>
          <w:szCs w:val="24"/>
        </w:rPr>
        <w:t>16-85</w:t>
      </w:r>
    </w:p>
    <w:p w14:paraId="260DA05A" w14:textId="77777777" w:rsidR="006A02A4" w:rsidRDefault="006A02A4" w:rsidP="006A02A4">
      <w:pPr>
        <w:pStyle w:val="NoSpacing"/>
        <w:rPr>
          <w:rStyle w:val="Emphasis"/>
          <w:rFonts w:ascii="Arial Black" w:hAnsi="Arial Black"/>
          <w:i w:val="0"/>
          <w:iCs w:val="0"/>
          <w:sz w:val="28"/>
          <w:szCs w:val="28"/>
        </w:rPr>
      </w:pPr>
    </w:p>
    <w:p w14:paraId="0B1723DE" w14:textId="57F67C5B" w:rsidR="006A02A4" w:rsidRPr="006A02A4" w:rsidRDefault="006A02A4" w:rsidP="006A02A4">
      <w:pPr>
        <w:pStyle w:val="NoSpacing"/>
        <w:rPr>
          <w:rStyle w:val="Emphasis"/>
          <w:rFonts w:ascii="Arial Black" w:hAnsi="Arial Black"/>
          <w:i w:val="0"/>
          <w:iCs w:val="0"/>
          <w:sz w:val="28"/>
          <w:szCs w:val="28"/>
        </w:rPr>
      </w:pPr>
      <w:r w:rsidRPr="006A02A4">
        <w:rPr>
          <w:rStyle w:val="Emphasis"/>
          <w:rFonts w:ascii="Arial Black" w:hAnsi="Arial Black"/>
          <w:i w:val="0"/>
          <w:iCs w:val="0"/>
          <w:sz w:val="28"/>
          <w:szCs w:val="28"/>
        </w:rPr>
        <w:t>IL (4/19/2023) – POLICE DISPATCHER FIRED – CONV. RESISTING PD – NO PD ENTRY HOME DISPUTE WITH KIDS</w:t>
      </w:r>
    </w:p>
    <w:p w14:paraId="11C7AB3B" w14:textId="77777777" w:rsidR="006A02A4" w:rsidRPr="006A02A4" w:rsidRDefault="006A02A4" w:rsidP="006A02A4">
      <w:pPr>
        <w:pStyle w:val="NoSpacing"/>
      </w:pPr>
    </w:p>
    <w:p w14:paraId="715CAAF3" w14:textId="77B7AEFE" w:rsidR="006A02A4" w:rsidRDefault="006A02A4" w:rsidP="00F326E5">
      <w:pPr>
        <w:pStyle w:val="NoSpacing"/>
        <w:rPr>
          <w:rFonts w:ascii="Arial Black" w:hAnsi="Arial Black"/>
          <w:sz w:val="24"/>
          <w:szCs w:val="24"/>
        </w:rPr>
      </w:pPr>
      <w:r w:rsidRPr="003C1643">
        <w:rPr>
          <w:rFonts w:ascii="Times New Roman" w:hAnsi="Times New Roman"/>
          <w:sz w:val="24"/>
          <w:szCs w:val="24"/>
          <w:u w:val="single"/>
        </w:rPr>
        <w:t xml:space="preserve">Nancy McDonald v. </w:t>
      </w:r>
      <w:proofErr w:type="spellStart"/>
      <w:r w:rsidRPr="003C1643">
        <w:rPr>
          <w:rFonts w:ascii="Times New Roman" w:hAnsi="Times New Roman"/>
          <w:sz w:val="24"/>
          <w:szCs w:val="24"/>
          <w:u w:val="single"/>
        </w:rPr>
        <w:t>Dupage</w:t>
      </w:r>
      <w:proofErr w:type="spellEnd"/>
      <w:r w:rsidRPr="003C1643">
        <w:rPr>
          <w:rFonts w:ascii="Times New Roman" w:hAnsi="Times New Roman"/>
          <w:sz w:val="24"/>
          <w:szCs w:val="24"/>
          <w:u w:val="single"/>
        </w:rPr>
        <w:t xml:space="preserve"> Public Safety Communications d/b/a Du-Comm</w:t>
      </w:r>
      <w:r w:rsidRPr="003C1643">
        <w:rPr>
          <w:rFonts w:ascii="Times New Roman" w:hAnsi="Times New Roman"/>
          <w:sz w:val="24"/>
          <w:szCs w:val="24"/>
        </w:rPr>
        <w:t xml:space="preserve">, U.S. District Court Judge Charles P. </w:t>
      </w:r>
      <w:proofErr w:type="spellStart"/>
      <w:r w:rsidRPr="003C1643">
        <w:rPr>
          <w:rFonts w:ascii="Times New Roman" w:hAnsi="Times New Roman"/>
          <w:sz w:val="24"/>
          <w:szCs w:val="24"/>
        </w:rPr>
        <w:t>Kocoras</w:t>
      </w:r>
      <w:proofErr w:type="spellEnd"/>
      <w:r w:rsidRPr="003C1643">
        <w:rPr>
          <w:rFonts w:ascii="Times New Roman" w:hAnsi="Times New Roman"/>
          <w:sz w:val="24"/>
          <w:szCs w:val="24"/>
        </w:rPr>
        <w:t xml:space="preserve">, U.S. District Court for Northern District of Illinois, Eastern Division.  </w:t>
      </w:r>
    </w:p>
    <w:p w14:paraId="4D44A7B5" w14:textId="77777777" w:rsidR="006A02A4" w:rsidRPr="003C1643" w:rsidRDefault="006A02A4" w:rsidP="006A02A4">
      <w:pPr>
        <w:pStyle w:val="NoSpacing"/>
        <w:rPr>
          <w:rFonts w:ascii="Times New Roman" w:hAnsi="Times New Roman"/>
          <w:sz w:val="24"/>
          <w:szCs w:val="24"/>
        </w:rPr>
      </w:pPr>
      <w:hyperlink r:id="rId2532" w:history="1">
        <w:r w:rsidRPr="003C1643">
          <w:rPr>
            <w:rStyle w:val="Hyperlink"/>
            <w:rFonts w:ascii="Times New Roman" w:hAnsi="Times New Roman"/>
            <w:sz w:val="24"/>
            <w:szCs w:val="24"/>
          </w:rPr>
          <w:t>https://public.fastcase.com/ZZhmr5v9wN%2FXOe5IsQ%2FqD%2FbRI5yk0CTLrJ1wUlp23a2jtoF9iRGzOsDdRZIWd9GyXFY2izvgsnflzL0%2FFWSL%2FPpsQUa%2FiEphINoTWEFNJVE%3D?utm_medium=email&amp;_hsmi=226712652&amp;_hsenc=p2ANqtz-8tSxN7q872uN51HDKRs8bBT2KkYc5se6Y34IcB-qusszHk_1kcdMtqv3s-tJTiEGYg-zZ48WEGXoPe6gX9Sz_hnuHHnA&amp;utm_content=226712652&amp;utm_source=hs_email</w:t>
        </w:r>
      </w:hyperlink>
      <w:r w:rsidRPr="003C1643">
        <w:rPr>
          <w:rFonts w:ascii="Times New Roman" w:hAnsi="Times New Roman"/>
          <w:sz w:val="24"/>
          <w:szCs w:val="24"/>
        </w:rPr>
        <w:t xml:space="preserve"> </w:t>
      </w:r>
    </w:p>
    <w:p w14:paraId="5DE2AEB5" w14:textId="77777777" w:rsidR="006A02A4" w:rsidRPr="003C1643" w:rsidRDefault="006A02A4" w:rsidP="006A02A4">
      <w:pPr>
        <w:pStyle w:val="NormalWeb"/>
        <w:rPr>
          <w:b/>
          <w:bCs/>
        </w:rPr>
      </w:pPr>
      <w:r w:rsidRPr="003C1643">
        <w:rPr>
          <w:b/>
          <w:bCs/>
        </w:rPr>
        <w:t xml:space="preserve">Legal Lesson Learned: A police dispatcher must avoid conduct leading to arrest for obstructing police. </w:t>
      </w:r>
    </w:p>
    <w:p w14:paraId="37EDCE52" w14:textId="77777777" w:rsidR="006A02A4" w:rsidRDefault="006A02A4" w:rsidP="00F326E5">
      <w:pPr>
        <w:pStyle w:val="NoSpacing"/>
        <w:rPr>
          <w:rFonts w:ascii="Arial Black" w:hAnsi="Arial Black"/>
          <w:sz w:val="24"/>
          <w:szCs w:val="24"/>
        </w:rPr>
      </w:pPr>
    </w:p>
    <w:p w14:paraId="5BEC1FA8" w14:textId="77777777" w:rsidR="006A02A4" w:rsidRDefault="006A02A4" w:rsidP="00F326E5">
      <w:pPr>
        <w:pStyle w:val="NoSpacing"/>
        <w:rPr>
          <w:rFonts w:ascii="Arial Black" w:hAnsi="Arial Black"/>
          <w:sz w:val="24"/>
          <w:szCs w:val="24"/>
        </w:rPr>
      </w:pPr>
    </w:p>
    <w:p w14:paraId="37AA26D6" w14:textId="3910FDFA" w:rsidR="007F5C26" w:rsidRDefault="00D66BAA" w:rsidP="00F326E5">
      <w:pPr>
        <w:pStyle w:val="NoSpacing"/>
        <w:rPr>
          <w:rFonts w:ascii="Arial Black" w:hAnsi="Arial Black"/>
          <w:sz w:val="24"/>
          <w:szCs w:val="24"/>
        </w:rPr>
      </w:pPr>
      <w:r>
        <w:rPr>
          <w:rFonts w:ascii="Arial Black" w:hAnsi="Arial Black"/>
          <w:sz w:val="24"/>
          <w:szCs w:val="24"/>
        </w:rPr>
        <w:t>16-84</w:t>
      </w:r>
    </w:p>
    <w:p w14:paraId="23F3B2E3" w14:textId="77777777" w:rsidR="00D66BAA" w:rsidRDefault="00D66BAA" w:rsidP="00D66BAA">
      <w:pPr>
        <w:pStyle w:val="NormalWeb"/>
        <w:rPr>
          <w:rFonts w:ascii="Arial Black" w:hAnsi="Arial Black" w:cs="Arial"/>
          <w:sz w:val="28"/>
          <w:szCs w:val="28"/>
        </w:rPr>
      </w:pPr>
      <w:r>
        <w:rPr>
          <w:rFonts w:ascii="Arial Black" w:hAnsi="Arial Black" w:cs="Arial"/>
          <w:sz w:val="28"/>
          <w:szCs w:val="28"/>
        </w:rPr>
        <w:t>FL: FIRE CHIEF HAS “ABSOLUTE IMMUNITY” DEFAMATION – 6 FF FIRED DEFACING BLACK LT’s FAMILY PICTURES</w:t>
      </w:r>
    </w:p>
    <w:p w14:paraId="5722628A" w14:textId="77777777" w:rsidR="00D66BAA" w:rsidRDefault="00D66BAA" w:rsidP="00D66BAA">
      <w:pPr>
        <w:pStyle w:val="NormalWeb"/>
      </w:pPr>
      <w:r>
        <w:t xml:space="preserve">On March 24, 2023, the Florida Supreme Court declined to hear the appeal of three firefighters, who were part of a group of six fired on Nov. 1, 2017. </w:t>
      </w:r>
      <w:hyperlink r:id="rId2533" w:history="1">
        <w:r>
          <w:rPr>
            <w:rStyle w:val="Hyperlink"/>
          </w:rPr>
          <w:t>https://public.fastcase.com/ppbqSQpNDaJE%2F8PlIk0b8GrZRoSxZNSyZ1IPMsly8LQqd8zJpEjl6u9Blu91YAS9</w:t>
        </w:r>
      </w:hyperlink>
      <w:r>
        <w:t xml:space="preserve">.  Three firefighters won their jobs back after arbitration and then sued the Fire Chief and City for defamation.  They alleged they were put in a false light when the Fire Chief issued a Press Release with their photos, and held a Press Conference that connected the three firefighters (A-Shift firefighters) not only with drawing of the phallic images on the family photos of a Black Lieutenant (occurred on Sept. 9, 2017, A-Shift), but also falsely connected them with and the placing of a string shaped like a noose over one of the Lt’s family photos (Sept. 10, 2017, B-Shift firefighters). </w:t>
      </w:r>
    </w:p>
    <w:p w14:paraId="5D2B2B30" w14:textId="77777777" w:rsidR="00D66BAA" w:rsidRDefault="00D66BAA" w:rsidP="00D66BAA">
      <w:pPr>
        <w:pStyle w:val="NormalWeb"/>
        <w:ind w:left="720"/>
      </w:pPr>
      <w:r>
        <w:lastRenderedPageBreak/>
        <w:t xml:space="preserve">The State Supreme Court thereby declined to set aside the Florida Third District Court of Appeals decision on Aug. 24, </w:t>
      </w:r>
      <w:proofErr w:type="gramStart"/>
      <w:r>
        <w:t>2022</w:t>
      </w:r>
      <w:proofErr w:type="gramEnd"/>
      <w:r>
        <w:t xml:space="preserve"> which held Fire Chief enjoys “absolute immunity” from defamation lawsuit.  Court of Appeals held (3 to 0), “In Florida, public officials are </w:t>
      </w:r>
      <w:proofErr w:type="gramStart"/>
      <w:r>
        <w:t>absolutely immune</w:t>
      </w:r>
      <w:proofErr w:type="gramEnd"/>
      <w:r>
        <w:t xml:space="preserve"> from suit for defamation </w:t>
      </w:r>
      <w:proofErr w:type="gramStart"/>
      <w:r>
        <w:t>as long as</w:t>
      </w:r>
      <w:proofErr w:type="gramEnd"/>
      <w:r>
        <w:t xml:space="preserve"> their allegedly defamatory statements were made within the scope of their duties….Here, Chief </w:t>
      </w:r>
      <w:proofErr w:type="spellStart"/>
      <w:r>
        <w:t>Zahralban</w:t>
      </w:r>
      <w:proofErr w:type="spellEnd"/>
      <w:r>
        <w:t xml:space="preserve"> is the director of the City’s fire-rescue department…. Therefore, Chief </w:t>
      </w:r>
      <w:proofErr w:type="spellStart"/>
      <w:r>
        <w:t>Zahralban</w:t>
      </w:r>
      <w:proofErr w:type="spellEnd"/>
      <w:r>
        <w:t xml:space="preserve"> and the City are </w:t>
      </w:r>
      <w:proofErr w:type="gramStart"/>
      <w:r>
        <w:t>absolutely immune</w:t>
      </w:r>
      <w:proofErr w:type="gramEnd"/>
      <w:r>
        <w:t xml:space="preserve"> from suit for Chief Zahralban’s written and oral statements relating to the City’s termination of the Respondents as the statements were made within the scope of Chief Zahralban’s duties as the director of the City’s fire-rescue department.” </w:t>
      </w:r>
      <w:hyperlink r:id="rId2534" w:history="1">
        <w:r>
          <w:rPr>
            <w:rStyle w:val="Hyperlink"/>
          </w:rPr>
          <w:t>https://law.justia.com/cases/florida/third-district-court-of-appeal/2022/3d21-2413.html</w:t>
        </w:r>
      </w:hyperlink>
      <w:r>
        <w:t xml:space="preserve"> </w:t>
      </w:r>
    </w:p>
    <w:p w14:paraId="5C24AF38" w14:textId="77777777" w:rsidR="00D66BAA" w:rsidRDefault="00D66BAA" w:rsidP="00D66BAA">
      <w:pPr>
        <w:pStyle w:val="NormalWeb"/>
        <w:ind w:left="720"/>
      </w:pPr>
      <w:r>
        <w:t xml:space="preserve">The Fire Chief issued a written Press Release on Nov. 2, 2017, and held a Press Conference on Nov. 3. The written Press Release stated, in part, as follows: </w:t>
      </w:r>
    </w:p>
    <w:p w14:paraId="0662EEEF" w14:textId="77777777" w:rsidR="00D66BAA" w:rsidRDefault="00D66BAA" w:rsidP="00D66BAA">
      <w:pPr>
        <w:pStyle w:val="NormalWeb"/>
        <w:ind w:left="1440"/>
      </w:pPr>
      <w:r>
        <w:t xml:space="preserve">“On September 9th, 2017, a member with the City of Miami Fire Rescue was a victim of a hideous, distasteful act of hate in one of our fire stations. This </w:t>
      </w:r>
      <w:proofErr w:type="gramStart"/>
      <w:r>
        <w:t>Lieutenant of</w:t>
      </w:r>
      <w:proofErr w:type="gramEnd"/>
      <w:r>
        <w:t xml:space="preserve"> 17 </w:t>
      </w:r>
      <w:proofErr w:type="gramStart"/>
      <w:r>
        <w:t>years with the department</w:t>
      </w:r>
      <w:proofErr w:type="gramEnd"/>
      <w:r>
        <w:t xml:space="preserve">, discovered his family photos were defaced with lewd and sexually explicit renderings and a </w:t>
      </w:r>
      <w:proofErr w:type="gramStart"/>
      <w:r>
        <w:t>noose</w:t>
      </w:r>
      <w:proofErr w:type="gramEnd"/>
      <w:r>
        <w:t xml:space="preserve"> draped over one [of] the photos. This was immediately reported to my staff and as a result, I personally responded to the station. Appalled by my observation, I immediately requested the Miami Police Department investigate the matter and temporarily transferred all personnel assigned to that station, </w:t>
      </w:r>
      <w:proofErr w:type="gramStart"/>
      <w:r>
        <w:t>per</w:t>
      </w:r>
      <w:proofErr w:type="gramEnd"/>
      <w:r>
        <w:t xml:space="preserve"> our department policy. During the investigation, findings determined eleven (11) personnel had some involvement with the incident and they were relieved of duty. Additional evidence discovered identified six (6) of those individuals directly involved and swift administrative action was implemented. Under my authority, a Captain, a Lieutenant and 4 firefighters were terminated for offenses surrounding egregious and hateful conduct.”</w:t>
      </w:r>
    </w:p>
    <w:p w14:paraId="1C74F668" w14:textId="77777777" w:rsidR="00D66BAA" w:rsidRDefault="00D66BAA" w:rsidP="00D66BAA">
      <w:pPr>
        <w:pStyle w:val="NormalWeb"/>
        <w:rPr>
          <w:b/>
          <w:bCs/>
        </w:rPr>
      </w:pPr>
      <w:r>
        <w:rPr>
          <w:b/>
          <w:bCs/>
        </w:rPr>
        <w:t xml:space="preserve">Legal Lesson Learned: Helpful Florida decision about a “hideous, distasteful act of hate.” </w:t>
      </w:r>
    </w:p>
    <w:p w14:paraId="4E1DB45E" w14:textId="77777777" w:rsidR="00D66BAA" w:rsidRDefault="00D66BAA" w:rsidP="00D66BAA">
      <w:pPr>
        <w:pStyle w:val="Heading1"/>
        <w:ind w:left="720"/>
        <w:rPr>
          <w:b w:val="0"/>
          <w:bCs w:val="0"/>
          <w:sz w:val="24"/>
          <w:szCs w:val="24"/>
        </w:rPr>
      </w:pPr>
      <w:r>
        <w:rPr>
          <w:b w:val="0"/>
          <w:bCs w:val="0"/>
          <w:sz w:val="24"/>
          <w:szCs w:val="24"/>
        </w:rPr>
        <w:t xml:space="preserve">Note: See March 27, </w:t>
      </w:r>
      <w:proofErr w:type="gramStart"/>
      <w:r>
        <w:rPr>
          <w:b w:val="0"/>
          <w:bCs w:val="0"/>
          <w:sz w:val="24"/>
          <w:szCs w:val="24"/>
        </w:rPr>
        <w:t>2023</w:t>
      </w:r>
      <w:proofErr w:type="gramEnd"/>
      <w:r>
        <w:rPr>
          <w:b w:val="0"/>
          <w:bCs w:val="0"/>
          <w:sz w:val="24"/>
          <w:szCs w:val="24"/>
        </w:rPr>
        <w:t xml:space="preserve"> Press Coverage: “Florida Supreme Court turns down Miami firefighter defamation case.” </w:t>
      </w:r>
      <w:hyperlink r:id="rId2535" w:history="1">
        <w:r>
          <w:rPr>
            <w:rStyle w:val="Hyperlink"/>
            <w:b w:val="0"/>
            <w:bCs w:val="0"/>
            <w:sz w:val="24"/>
            <w:szCs w:val="24"/>
          </w:rPr>
          <w:t>https://www.cbsnews.com/miami/news/florida-supreme-court-turns-down-miami-firefighter-defamation-case/</w:t>
        </w:r>
      </w:hyperlink>
      <w:r>
        <w:rPr>
          <w:b w:val="0"/>
          <w:bCs w:val="0"/>
          <w:sz w:val="24"/>
          <w:szCs w:val="24"/>
        </w:rPr>
        <w:t xml:space="preserve"> </w:t>
      </w:r>
    </w:p>
    <w:p w14:paraId="649D6A04" w14:textId="77777777" w:rsidR="00D66BAA" w:rsidRDefault="00D66BAA" w:rsidP="00D66BAA">
      <w:pPr>
        <w:pStyle w:val="NormalWeb"/>
      </w:pPr>
    </w:p>
    <w:p w14:paraId="342253C0" w14:textId="33E8A81E" w:rsidR="00D66BAA" w:rsidRDefault="00D66BAA" w:rsidP="00F326E5">
      <w:pPr>
        <w:pStyle w:val="NoSpacing"/>
        <w:rPr>
          <w:rFonts w:ascii="Arial Black" w:hAnsi="Arial Black"/>
          <w:sz w:val="24"/>
          <w:szCs w:val="24"/>
        </w:rPr>
      </w:pPr>
      <w:r>
        <w:rPr>
          <w:rFonts w:ascii="Arial Black" w:hAnsi="Arial Black"/>
          <w:sz w:val="24"/>
          <w:szCs w:val="24"/>
        </w:rPr>
        <w:t>16-83</w:t>
      </w:r>
    </w:p>
    <w:p w14:paraId="7F866694" w14:textId="621A3A3E" w:rsidR="00D66BAA" w:rsidRDefault="00D66BAA" w:rsidP="00F326E5">
      <w:pPr>
        <w:pStyle w:val="NoSpacing"/>
        <w:rPr>
          <w:rFonts w:ascii="Arial Black" w:hAnsi="Arial Black"/>
          <w:sz w:val="24"/>
          <w:szCs w:val="24"/>
        </w:rPr>
      </w:pPr>
    </w:p>
    <w:p w14:paraId="5DC9089D" w14:textId="77777777" w:rsidR="00D66BAA" w:rsidRDefault="00D66BAA" w:rsidP="00D66BAA">
      <w:pPr>
        <w:pStyle w:val="NormalWeb"/>
        <w:rPr>
          <w:rFonts w:ascii="Arial Black" w:hAnsi="Arial Black"/>
          <w:sz w:val="28"/>
          <w:szCs w:val="28"/>
        </w:rPr>
      </w:pPr>
      <w:r>
        <w:rPr>
          <w:rFonts w:ascii="Arial Black" w:hAnsi="Arial Black"/>
          <w:sz w:val="28"/>
          <w:szCs w:val="28"/>
        </w:rPr>
        <w:t>TN:  FF CONV. ASSAULT WITH .38 - FIRED – LIMITED CROSS-EXAM CHIEF OTHER FF DISCIPLINE WAS APPROPRIATE</w:t>
      </w:r>
    </w:p>
    <w:p w14:paraId="045C5504" w14:textId="77777777" w:rsidR="00D66BAA" w:rsidRDefault="00D66BAA" w:rsidP="00D66BAA">
      <w:pPr>
        <w:pStyle w:val="NormalWeb"/>
      </w:pPr>
      <w:r>
        <w:t xml:space="preserve">On March 21, 2023, in </w:t>
      </w:r>
      <w:r>
        <w:rPr>
          <w:u w:val="single"/>
        </w:rPr>
        <w:t>Paul Zachary Moss v. Shelby County Civil Service Merit Board</w:t>
      </w:r>
      <w:r>
        <w:t xml:space="preserve">, the Supreme Court of Tennessee, held (5 to 0) that the Civil Service Board properly limited cross-examination of the Fire Chief after he testified about his “uniform” policy of terminating firefighters convicted of misuse of firearms. The Court noted that at the Board hearing: “During cross-examination, counsel for Mr. Moss attempted to question Chief Benson about whether he had uniformly applied this policy to prior disciplinary incidents, specifically asking about a firefighter who had committed sexual assault. Chief Benson testified that ‘a firefighter who committed sexual </w:t>
      </w:r>
      <w:proofErr w:type="gramStart"/>
      <w:r>
        <w:t>battery</w:t>
      </w:r>
      <w:proofErr w:type="gramEnd"/>
      <w:r>
        <w:t xml:space="preserve"> would likely be terminated.’ When Mr. Moss's attorney asked Chief Benson why he had not terminated that </w:t>
      </w:r>
      <w:proofErr w:type="gramStart"/>
      <w:r>
        <w:t>particular firefighter</w:t>
      </w:r>
      <w:proofErr w:type="gramEnd"/>
      <w:r>
        <w:t xml:space="preserve">, counsel for the Fire Department objected to the line of questioning as irrelevant. The Board sustained the objection and declined to hear evidence relating to the prior discipline.”  The TN Court of Appeals held this violated the firefighters due process rights. </w:t>
      </w:r>
    </w:p>
    <w:p w14:paraId="65363618" w14:textId="77777777" w:rsidR="00D66BAA" w:rsidRDefault="00D66BAA" w:rsidP="00D66BAA">
      <w:pPr>
        <w:pStyle w:val="NormalWeb"/>
        <w:ind w:left="720"/>
      </w:pPr>
      <w:r>
        <w:lastRenderedPageBreak/>
        <w:t xml:space="preserve">The TN Supreme Court ruled overturned the Court of Appeals: “If allowed to stand, the Court of Appeals decision would confine civil service agencies to a level of imposed discipline in line with previous instances. For example, if a civil service agency wants to "crack down" on particularly troubling behavior within the agency, it would be limited to whatever discipline was previously meted out in the past, essentially nullifying any deterrent effect. There is also the issue of pragmatism. If Mr. Moss's argument carries the day, merit boards (and the courts to which their decisions are appealed) will sift through instances of past discipline to determine whether the prior instances are analogous to the cases before them. And, at the very least, Mr. Moss's position does not fit within the "limited scope of review" utilized by this Court in reviewing administrative agency decisions and would undermine the deference we have traditionally given to agencies </w:t>
      </w:r>
      <w:proofErr w:type="gramStart"/>
      <w:r>
        <w:t>with regard to</w:t>
      </w:r>
      <w:proofErr w:type="gramEnd"/>
      <w:r>
        <w:t xml:space="preserve"> personnel matters…. In sum, the Board's decision to exclude Mr. Moss's disparate discipline evidence was not a clear error in judgment…. The Board did not abuse its discretion in determining that the evidence was irrelevant to the issue of whether there was just cause to terminate Mr. Moss's employment.” </w:t>
      </w:r>
      <w:hyperlink r:id="rId2536" w:history="1">
        <w:r>
          <w:rPr>
            <w:rStyle w:val="Hyperlink"/>
          </w:rPr>
          <w:t>https://www.tncourts.gov/sites/default/files/OpinionsPDFVersion/MOSS%20-%20Majority%20Opinion.pdf</w:t>
        </w:r>
      </w:hyperlink>
      <w:r>
        <w:t xml:space="preserve"> </w:t>
      </w:r>
    </w:p>
    <w:p w14:paraId="6BC62709" w14:textId="77777777" w:rsidR="00D66BAA" w:rsidRDefault="00D66BAA" w:rsidP="00D66BAA">
      <w:pPr>
        <w:pStyle w:val="NormalWeb"/>
        <w:ind w:left="720"/>
      </w:pPr>
      <w:r>
        <w:t xml:space="preserve">“On November 1, 2013, several individuals held a political rally on an interstate overpass in Memphis. Rally participants held signs that advocated for the impeachment of then-President Barack Obama, and at least one individual wore a plastic mask depicting President Obama. Passing motorists reacted negatively to the demonstration. Fearful of the possibility of violence, participants called the Memphis Police </w:t>
      </w:r>
      <w:proofErr w:type="gramStart"/>
      <w:r>
        <w:t>Department (‘</w:t>
      </w:r>
      <w:proofErr w:type="gramEnd"/>
      <w:r>
        <w:t xml:space="preserve">MPD’) for assistance. </w:t>
      </w:r>
    </w:p>
    <w:p w14:paraId="2BD468D3" w14:textId="77777777" w:rsidR="00D66BAA" w:rsidRDefault="00D66BAA" w:rsidP="00D66BAA">
      <w:pPr>
        <w:pStyle w:val="NormalWeb"/>
        <w:ind w:left="720" w:firstLine="60"/>
      </w:pPr>
      <w:r>
        <w:t xml:space="preserve">Paul Zachary Moss arrived at the overpass after his wife, a rally attendee, said she </w:t>
      </w:r>
      <w:proofErr w:type="gramStart"/>
      <w:r>
        <w:t>feared for</w:t>
      </w:r>
      <w:proofErr w:type="gramEnd"/>
      <w:r>
        <w:t xml:space="preserve"> her safety. Mr. Moss approached the scene armed with a .38 caliber handgun. Upon learning that an attendee, Thomas Mason Ezzell, Jr., wore the ‘Obama mask,’ Mr. Moss became angry. The situation escalated into a physical altercation between Mr. Moss, Mr. Ezzell, and another rally attendee, Earl Mayfield. Mr. Moss pointed his handgun at both men, threatening to kill them. Mr. Ezzell and Mr. Mayfield relented, and Mr. Moss returned to his truck where he was disarmed and arrested by MPD officers. Mr. Moss informed the Fire Department about the incident. </w:t>
      </w:r>
    </w:p>
    <w:p w14:paraId="0EC63781" w14:textId="77777777" w:rsidR="00D66BAA" w:rsidRDefault="00D66BAA" w:rsidP="00D66BAA">
      <w:pPr>
        <w:pStyle w:val="NormalWeb"/>
        <w:ind w:left="720" w:firstLine="60"/>
      </w:pPr>
      <w:r>
        <w:t>***</w:t>
      </w:r>
    </w:p>
    <w:p w14:paraId="654C02F6" w14:textId="77777777" w:rsidR="00D66BAA" w:rsidRDefault="00D66BAA" w:rsidP="00D66BA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[At the Board hearing] Mr. Moss said he became upset and yelled at Mr. Ezzell because Mr. Moss's wife had been put in a dangerous situation. He admitted saying to Mr. Ezzell, ‘Are you stupid?’ He also acknowledged that he was ‘trying to be heard,’ but denied swinging at, grabbing, or punching Mr. Ezzell. Mr. Moss explained that Mr. Mayfield hit him from behind and put him on the ground in a headlock, and Mr. Ezzell tried to grab his arms. When Mr. Moss freed himself, he </w:t>
      </w:r>
      <w:proofErr w:type="gramStart"/>
      <w:r>
        <w:rPr>
          <w:rFonts w:ascii="Times New Roman" w:eastAsia="Times New Roman" w:hAnsi="Times New Roman"/>
          <w:sz w:val="24"/>
          <w:szCs w:val="24"/>
        </w:rPr>
        <w:t>pulled</w:t>
      </w:r>
      <w:proofErr w:type="gramEnd"/>
      <w:r>
        <w:rPr>
          <w:rFonts w:ascii="Times New Roman" w:eastAsia="Times New Roman" w:hAnsi="Times New Roman"/>
          <w:sz w:val="24"/>
          <w:szCs w:val="24"/>
        </w:rPr>
        <w:t xml:space="preserve"> his gun because he felt he was in imminent danger. The police arrested Mr. Moss and took him to the police station. After his release, Mr. Moss reported his arrest to his battalion chief. </w:t>
      </w:r>
    </w:p>
    <w:p w14:paraId="301A92ED" w14:textId="77777777" w:rsidR="00D66BAA" w:rsidRDefault="00D66BAA" w:rsidP="00D66BAA">
      <w:pPr>
        <w:spacing w:after="100" w:line="240" w:lineRule="auto"/>
        <w:ind w:left="720"/>
      </w:pPr>
      <w:r>
        <w:rPr>
          <w:rFonts w:ascii="Times New Roman" w:eastAsia="Times New Roman" w:hAnsi="Times New Roman"/>
          <w:sz w:val="24"/>
          <w:szCs w:val="24"/>
        </w:rPr>
        <w:t>***</w:t>
      </w:r>
    </w:p>
    <w:p w14:paraId="068355BC" w14:textId="77777777" w:rsidR="00D66BAA" w:rsidRDefault="00D66BAA" w:rsidP="00D66BAA">
      <w:pPr>
        <w:pStyle w:val="NormalWeb"/>
        <w:ind w:left="720" w:firstLine="60"/>
      </w:pPr>
      <w:r>
        <w:t xml:space="preserve">Later, a grand jury indicted Mr. Moss on two counts of aggravated assault. He entered an </w:t>
      </w:r>
      <w:r>
        <w:rPr>
          <w:rStyle w:val="Emphasis"/>
        </w:rPr>
        <w:t>Alford</w:t>
      </w:r>
      <w:r>
        <w:t xml:space="preserve"> plea to one count of aggravated assault. After successfully completing three years of judicial diversion, the diverted charge was </w:t>
      </w:r>
      <w:proofErr w:type="gramStart"/>
      <w:r>
        <w:t>dismissed.”</w:t>
      </w:r>
      <w:proofErr w:type="gramEnd"/>
    </w:p>
    <w:p w14:paraId="777CB348" w14:textId="77777777" w:rsidR="00D66BAA" w:rsidRDefault="00D66BAA" w:rsidP="00D66BAA">
      <w:pPr>
        <w:pStyle w:val="NormalWeb"/>
        <w:rPr>
          <w:rStyle w:val="Emphasis"/>
          <w:b/>
          <w:bCs/>
        </w:rPr>
      </w:pPr>
      <w:r>
        <w:rPr>
          <w:b/>
          <w:bCs/>
        </w:rPr>
        <w:t xml:space="preserve">Legal Lesson Learned: Serious facts involving improper use of </w:t>
      </w:r>
      <w:proofErr w:type="gramStart"/>
      <w:r>
        <w:rPr>
          <w:b/>
          <w:bCs/>
        </w:rPr>
        <w:t>firearm</w:t>
      </w:r>
      <w:proofErr w:type="gramEnd"/>
      <w:r>
        <w:rPr>
          <w:b/>
          <w:bCs/>
        </w:rPr>
        <w:t xml:space="preserve"> has led to termination. </w:t>
      </w:r>
    </w:p>
    <w:p w14:paraId="23394DBE" w14:textId="77777777" w:rsidR="00D66BAA" w:rsidRDefault="00D66BAA" w:rsidP="00F326E5">
      <w:pPr>
        <w:pStyle w:val="NoSpacing"/>
        <w:rPr>
          <w:rFonts w:ascii="Arial Black" w:hAnsi="Arial Black"/>
          <w:sz w:val="24"/>
          <w:szCs w:val="24"/>
        </w:rPr>
      </w:pPr>
    </w:p>
    <w:p w14:paraId="5058242C" w14:textId="77777777" w:rsidR="00D66BAA" w:rsidRDefault="00D66BAA" w:rsidP="00F326E5">
      <w:pPr>
        <w:pStyle w:val="NoSpacing"/>
        <w:rPr>
          <w:rFonts w:ascii="Arial Black" w:hAnsi="Arial Black"/>
          <w:sz w:val="24"/>
          <w:szCs w:val="24"/>
        </w:rPr>
      </w:pPr>
    </w:p>
    <w:p w14:paraId="58773990" w14:textId="77777777" w:rsidR="00D66BAA" w:rsidRDefault="00D66BAA" w:rsidP="00F326E5">
      <w:pPr>
        <w:pStyle w:val="NoSpacing"/>
        <w:rPr>
          <w:rFonts w:ascii="Arial Black" w:hAnsi="Arial Black"/>
          <w:sz w:val="24"/>
          <w:szCs w:val="24"/>
        </w:rPr>
      </w:pPr>
    </w:p>
    <w:p w14:paraId="0550BF23" w14:textId="60708A51" w:rsidR="00F55395" w:rsidRDefault="00F55395" w:rsidP="00F326E5">
      <w:pPr>
        <w:pStyle w:val="NoSpacing"/>
        <w:rPr>
          <w:rFonts w:ascii="Arial Black" w:hAnsi="Arial Black"/>
          <w:sz w:val="24"/>
          <w:szCs w:val="24"/>
        </w:rPr>
      </w:pPr>
      <w:r>
        <w:rPr>
          <w:rFonts w:ascii="Arial Black" w:hAnsi="Arial Black"/>
          <w:sz w:val="24"/>
          <w:szCs w:val="24"/>
        </w:rPr>
        <w:lastRenderedPageBreak/>
        <w:t>16-82</w:t>
      </w:r>
    </w:p>
    <w:p w14:paraId="1DDBF8C0" w14:textId="77777777" w:rsidR="00F55395" w:rsidRDefault="00F55395" w:rsidP="00F55395">
      <w:pPr>
        <w:pStyle w:val="NormalWeb"/>
        <w:rPr>
          <w:rFonts w:ascii="Arial Black" w:hAnsi="Arial Black"/>
          <w:sz w:val="28"/>
          <w:szCs w:val="28"/>
        </w:rPr>
      </w:pPr>
      <w:r>
        <w:rPr>
          <w:rFonts w:ascii="Arial Black" w:hAnsi="Arial Black"/>
          <w:sz w:val="28"/>
          <w:szCs w:val="28"/>
        </w:rPr>
        <w:t>IL: RACIST FACEBOOK POSTINGS – CHICAGO FF FIRED –CASE PROCEED DISCOVERY – “BALANCING” TEST</w:t>
      </w:r>
    </w:p>
    <w:p w14:paraId="1AE290EE" w14:textId="77777777" w:rsidR="00F55395" w:rsidRDefault="00F55395" w:rsidP="00F55395">
      <w:pPr>
        <w:pStyle w:val="NormalWeb"/>
      </w:pPr>
      <w:r>
        <w:t xml:space="preserve">On March 3, 2023, in </w:t>
      </w:r>
      <w:r w:rsidRPr="007543F8">
        <w:rPr>
          <w:u w:val="single"/>
        </w:rPr>
        <w:t>Sam Inendino v. Lori Lightfoot, City of Chicago, et al</w:t>
      </w:r>
      <w:r>
        <w:t xml:space="preserve">., U.S. District Court Judge Thomas M. Durkin, Northern District of Illinois, denied in part the City’s motion to dismiss.  The Judge wrote: “The Seventh Circuit, however, has advised courts that the relative balancing of the state's interests against the employee's interests should not be decided at the pleading stage because it is “preferable to leave to the defendant the burden of raising justification as an affirmative defense.” </w:t>
      </w:r>
      <w:r>
        <w:rPr>
          <w:rStyle w:val="Emphasis"/>
        </w:rPr>
        <w:t>Gustafson v. Jones</w:t>
      </w:r>
      <w:r>
        <w:t xml:space="preserve">, 117 F.3d 1015, 1019 (7th Cir. 1997); </w:t>
      </w:r>
      <w:r>
        <w:rPr>
          <w:rStyle w:val="Emphasis"/>
        </w:rPr>
        <w:t>Glass v. Dachel</w:t>
      </w:r>
      <w:r>
        <w:t xml:space="preserve">, 2 F.3d 733, 744 (7th Cir. 1993) (explaining that the state bears the burden of demonstrating an interest which outweighs the employee's interest in speaking). *** </w:t>
      </w:r>
      <w:r w:rsidRPr="00FB7CED">
        <w:t xml:space="preserve"> </w:t>
      </w:r>
      <w:r>
        <w:t xml:space="preserve">Therefore, and because the </w:t>
      </w:r>
      <w:r>
        <w:rPr>
          <w:rStyle w:val="Emphasis"/>
        </w:rPr>
        <w:t>Pickering</w:t>
      </w:r>
      <w:r>
        <w:t xml:space="preserve"> </w:t>
      </w:r>
      <w:r w:rsidRPr="00FB7CED">
        <w:rPr>
          <w:color w:val="000000" w:themeColor="text1"/>
        </w:rPr>
        <w:t>[</w:t>
      </w:r>
      <w:hyperlink r:id="rId2537" w:tgtFrame="_blank" w:history="1">
        <w:r w:rsidRPr="00FB7CED">
          <w:rPr>
            <w:rStyle w:val="Emphasis"/>
            <w:color w:val="000000" w:themeColor="text1"/>
          </w:rPr>
          <w:t xml:space="preserve">Pickering v. Board of Education, </w:t>
        </w:r>
        <w:r w:rsidRPr="00FB7CED">
          <w:rPr>
            <w:rStyle w:val="Hyperlink"/>
            <w:rFonts w:eastAsiaTheme="majorEastAsia"/>
            <w:color w:val="000000" w:themeColor="text1"/>
          </w:rPr>
          <w:t>391 U.S. 563 (1968)</w:t>
        </w:r>
      </w:hyperlink>
      <w:r w:rsidRPr="00FB7CED">
        <w:rPr>
          <w:rStyle w:val="s1"/>
        </w:rPr>
        <w:t>]</w:t>
      </w:r>
      <w:r>
        <w:rPr>
          <w:rStyle w:val="s1"/>
        </w:rPr>
        <w:t xml:space="preserve"> </w:t>
      </w:r>
      <w:r>
        <w:t>balancing test is highly fact dependent, its application ‘will be possible only after the parties have had an opportunity to conduct some discovery.’”</w:t>
      </w:r>
      <w:r w:rsidRPr="00FB7CED">
        <w:t xml:space="preserve"> </w:t>
      </w:r>
      <w:hyperlink r:id="rId2538" w:history="1">
        <w:r w:rsidRPr="00C863CC">
          <w:rPr>
            <w:rStyle w:val="Hyperlink"/>
            <w:rFonts w:eastAsiaTheme="majorEastAsia"/>
          </w:rPr>
          <w:t>https://public.fastcase.com/J%2FJP6pdidelsXxEE4k%2BLMjaDEWROmrH16cfc6gra3ASxsA6ABb5gmKr7dgTVPZFAyucR%2F24MD4mhTmh6U3JDqNSXBmdIcjdrjArbqC4ueHA%3D?utm_medium=email&amp;_hsmi=226712652&amp;_hsenc=p2ANqtz-8djIG1sQ_3FyKMXC40KW2oDEllslyVj_QIL_DW9IJ-72SY8jUMapn9qVvf0Txy9Aeh2fYzSIF_AEMjkupRX651B5mjNw&amp;utm_content=226712652&amp;utm_source=hs_email</w:t>
        </w:r>
      </w:hyperlink>
      <w:r>
        <w:t xml:space="preserve"> </w:t>
      </w:r>
    </w:p>
    <w:p w14:paraId="00DEB043" w14:textId="77777777" w:rsidR="00F55395" w:rsidRDefault="00F55395" w:rsidP="00F55395">
      <w:pPr>
        <w:pStyle w:val="NormalWeb"/>
        <w:ind w:left="720"/>
      </w:pPr>
      <w:proofErr w:type="spellStart"/>
      <w:r>
        <w:t>Inendino</w:t>
      </w:r>
      <w:proofErr w:type="spellEnd"/>
      <w:r>
        <w:t xml:space="preserve"> was employed as a Chicago firefighter and EMT beginning in May 2005….  He served as a firefighter with Engine 54 and Truck 20 in the Englewood neighborhood of Chicago without incident for sixteen years until he was terminated on June 8, 2021….  </w:t>
      </w:r>
      <w:proofErr w:type="spellStart"/>
      <w:r>
        <w:t>Inendino</w:t>
      </w:r>
      <w:proofErr w:type="spellEnd"/>
      <w:r>
        <w:t xml:space="preserve"> was well-respected within his workplace, acted as the cook in the firehouse, and never had any complaints against him by the public until the incidents at issue. </w:t>
      </w:r>
    </w:p>
    <w:p w14:paraId="7A1CBDD9" w14:textId="77777777" w:rsidR="00F55395" w:rsidRDefault="00F55395" w:rsidP="00F55395">
      <w:pPr>
        <w:pStyle w:val="NormalWeb"/>
        <w:ind w:left="720"/>
      </w:pPr>
      <w:r>
        <w:t>***</w:t>
      </w:r>
    </w:p>
    <w:p w14:paraId="3BAC20EC" w14:textId="77777777" w:rsidR="00F55395" w:rsidRDefault="00F55395" w:rsidP="00F55395">
      <w:pPr>
        <w:pStyle w:val="NormalWeb"/>
        <w:ind w:left="720"/>
      </w:pPr>
      <w:r>
        <w:t xml:space="preserve">In October 2019, </w:t>
      </w:r>
      <w:proofErr w:type="spellStart"/>
      <w:r>
        <w:t>Inendino</w:t>
      </w:r>
      <w:proofErr w:type="spellEnd"/>
      <w:r>
        <w:t xml:space="preserve"> commented on a Hispanic person's post which complained about the poster's brother's treatment by a Chicago Police Department lieutenant….  After some back and forth, </w:t>
      </w:r>
      <w:proofErr w:type="spellStart"/>
      <w:r>
        <w:t>Inendino</w:t>
      </w:r>
      <w:proofErr w:type="spellEnd"/>
      <w:r>
        <w:t xml:space="preserve"> stated, ‘Your comments are all weak... can't talk I have to go to work to pay for all your scumbag kids that </w:t>
      </w:r>
      <w:proofErr w:type="gramStart"/>
      <w:r>
        <w:t>you</w:t>
      </w:r>
      <w:proofErr w:type="gramEnd"/>
      <w:r>
        <w:t xml:space="preserve"> welfare fucks keep having,”’ and ‘[ . . .] that's a good come back. NOT get all HOOD on me YO. take your ass back over the border where </w:t>
      </w:r>
      <w:proofErr w:type="spellStart"/>
      <w:r>
        <w:t>ya</w:t>
      </w:r>
      <w:proofErr w:type="spellEnd"/>
      <w:r>
        <w:t xml:space="preserve"> belong. </w:t>
      </w:r>
      <w:proofErr w:type="spellStart"/>
      <w:proofErr w:type="gramStart"/>
      <w:r>
        <w:t>gotta</w:t>
      </w:r>
      <w:proofErr w:type="spellEnd"/>
      <w:proofErr w:type="gramEnd"/>
      <w:r>
        <w:t xml:space="preserve"> go I have a real job.’</w:t>
      </w:r>
    </w:p>
    <w:p w14:paraId="5577E31D" w14:textId="77777777" w:rsidR="00F55395" w:rsidRDefault="00F55395" w:rsidP="00F55395">
      <w:pPr>
        <w:pStyle w:val="NormalWeb"/>
        <w:ind w:left="720"/>
        <w:rPr>
          <w:rStyle w:val="Emphasis"/>
        </w:rPr>
      </w:pPr>
      <w:r>
        <w:t>***</w:t>
      </w:r>
      <w:r>
        <w:rPr>
          <w:rStyle w:val="Emphasis"/>
        </w:rPr>
        <w:t>.</w:t>
      </w:r>
    </w:p>
    <w:p w14:paraId="7350A028" w14:textId="77777777" w:rsidR="00F55395" w:rsidRDefault="00F55395" w:rsidP="00F55395">
      <w:pPr>
        <w:pStyle w:val="NormalWeb"/>
        <w:ind w:left="720"/>
      </w:pPr>
      <w:proofErr w:type="spellStart"/>
      <w:r>
        <w:t>Inendino's</w:t>
      </w:r>
      <w:proofErr w:type="spellEnd"/>
      <w:r>
        <w:t xml:space="preserve"> other Facebook posts contained in the OIG report contain a mix of fairly inflammatory politically and racially charged memes, including criticisms and personal attacks of [Chicago Mayor Lori] Lightfoot like, ‘you could take one out of the ghetto but can't take the ghetto out of them, what a dirty </w:t>
      </w:r>
      <w:proofErr w:type="spellStart"/>
      <w:r>
        <w:t>hoodrat</w:t>
      </w:r>
      <w:proofErr w:type="spellEnd"/>
      <w:r>
        <w:t xml:space="preserve"> she is,’ ‘hope she chokes on something,’ and ‘fluent in ghetto….’He also posted a petition to recall Lightfoot. </w:t>
      </w:r>
    </w:p>
    <w:p w14:paraId="771D0973" w14:textId="77777777" w:rsidR="00F55395" w:rsidRDefault="00F55395" w:rsidP="00F55395">
      <w:pPr>
        <w:pStyle w:val="NormalWeb"/>
        <w:ind w:left="720"/>
      </w:pPr>
      <w:r>
        <w:t>***</w:t>
      </w:r>
    </w:p>
    <w:p w14:paraId="300088C6" w14:textId="77777777" w:rsidR="00F55395" w:rsidRDefault="00F55395" w:rsidP="00F55395">
      <w:pPr>
        <w:pStyle w:val="NormalWeb"/>
        <w:ind w:left="720"/>
      </w:pPr>
      <w:r w:rsidRPr="007543F8">
        <w:t xml:space="preserve">Other examples contained in the OIG report include an image of pregnant black women, captioned, </w:t>
      </w:r>
      <w:r>
        <w:t>‘</w:t>
      </w:r>
      <w:r w:rsidRPr="007543F8">
        <w:t>the real housewives of public housing</w:t>
      </w:r>
      <w:r>
        <w:t xml:space="preserve">…; </w:t>
      </w:r>
      <w:r w:rsidRPr="007543F8">
        <w:t>various memes about black-on-black crime statistics</w:t>
      </w:r>
      <w:r>
        <w:t>…</w:t>
      </w:r>
      <w:r w:rsidRPr="007543F8">
        <w:t xml:space="preserve">; posts supporting a shooting at a protest in Kenosha, Wisconsin (including captions like, </w:t>
      </w:r>
      <w:r>
        <w:t>‘</w:t>
      </w:r>
      <w:r w:rsidRPr="007543F8">
        <w:t>Good for him should aim for the torso!!!</w:t>
      </w:r>
      <w:r>
        <w:t>’</w:t>
      </w:r>
      <w:r w:rsidRPr="007543F8">
        <w:t>)</w:t>
      </w:r>
      <w:r>
        <w:t>…</w:t>
      </w:r>
      <w:r w:rsidRPr="007543F8">
        <w:t>; comments about wanting to leave Chicago because of crime and protests</w:t>
      </w:r>
      <w:r>
        <w:t xml:space="preserve"> ….</w:t>
      </w:r>
      <w:r w:rsidRPr="007543F8">
        <w:t xml:space="preserve">; comments calling looters </w:t>
      </w:r>
      <w:r>
        <w:t>‘</w:t>
      </w:r>
      <w:r w:rsidRPr="007543F8">
        <w:t>animals</w:t>
      </w:r>
      <w:r>
        <w:t>’</w:t>
      </w:r>
      <w:r w:rsidRPr="007543F8">
        <w:t xml:space="preserve"> and implying they receive government aid</w:t>
      </w:r>
      <w:r>
        <w:t>…</w:t>
      </w:r>
      <w:r w:rsidRPr="007543F8">
        <w:t xml:space="preserve">; memes discussing why </w:t>
      </w:r>
      <w:r w:rsidRPr="007543F8">
        <w:lastRenderedPageBreak/>
        <w:t>the shooting of Breonna Taylor was justified</w:t>
      </w:r>
      <w:r>
        <w:t xml:space="preserve"> …</w:t>
      </w:r>
      <w:r w:rsidRPr="007543F8">
        <w:t>; a post making fun of an Asian-American White House correspondent's accent</w:t>
      </w:r>
      <w:r>
        <w:t>…</w:t>
      </w:r>
      <w:r w:rsidRPr="007543F8">
        <w:t xml:space="preserve">; and a cartoon image of a truck running over stick figures with the caption, </w:t>
      </w:r>
      <w:r>
        <w:t>‘</w:t>
      </w:r>
      <w:r w:rsidRPr="007543F8">
        <w:t>All Lives Splatter. Nobody Cares About Your Protest. Keep Your Ass Out of the Road</w:t>
      </w:r>
      <w:r>
        <w:t xml:space="preserve">…’” </w:t>
      </w:r>
    </w:p>
    <w:p w14:paraId="1F8BE17C" w14:textId="77777777" w:rsidR="00F55395" w:rsidRPr="00AA1ACA" w:rsidRDefault="00F55395" w:rsidP="00F55395">
      <w:pPr>
        <w:pStyle w:val="NormalWeb"/>
        <w:rPr>
          <w:b/>
          <w:bCs/>
        </w:rPr>
      </w:pPr>
      <w:r w:rsidRPr="00AA1ACA">
        <w:rPr>
          <w:b/>
          <w:bCs/>
        </w:rPr>
        <w:t xml:space="preserve">Legal Lesson Learned: </w:t>
      </w:r>
      <w:r>
        <w:rPr>
          <w:b/>
          <w:bCs/>
        </w:rPr>
        <w:t>U</w:t>
      </w:r>
      <w:r w:rsidRPr="00AA1ACA">
        <w:rPr>
          <w:b/>
          <w:bCs/>
        </w:rPr>
        <w:t xml:space="preserve">nder the </w:t>
      </w:r>
      <w:r w:rsidRPr="00AA1ACA">
        <w:rPr>
          <w:b/>
          <w:bCs/>
          <w:u w:val="single"/>
        </w:rPr>
        <w:t xml:space="preserve">Pickering </w:t>
      </w:r>
      <w:r w:rsidRPr="00AA1ACA">
        <w:rPr>
          <w:b/>
          <w:bCs/>
        </w:rPr>
        <w:t xml:space="preserve">“balancing test” the City </w:t>
      </w:r>
      <w:r>
        <w:rPr>
          <w:b/>
          <w:bCs/>
        </w:rPr>
        <w:t xml:space="preserve">clearly </w:t>
      </w:r>
      <w:r w:rsidRPr="00AA1ACA">
        <w:rPr>
          <w:b/>
          <w:bCs/>
        </w:rPr>
        <w:t xml:space="preserve">has a legitimate interest in limiting </w:t>
      </w:r>
      <w:r>
        <w:rPr>
          <w:b/>
          <w:bCs/>
        </w:rPr>
        <w:t xml:space="preserve">Facebook posts that are </w:t>
      </w:r>
      <w:r w:rsidRPr="00AA1ACA">
        <w:rPr>
          <w:b/>
          <w:bCs/>
        </w:rPr>
        <w:t>highly offensive</w:t>
      </w:r>
      <w:r>
        <w:rPr>
          <w:b/>
          <w:bCs/>
        </w:rPr>
        <w:t xml:space="preserve"> to the public. </w:t>
      </w:r>
    </w:p>
    <w:p w14:paraId="4C02AE0D" w14:textId="77777777" w:rsidR="00F55395" w:rsidRDefault="00F55395" w:rsidP="00F326E5">
      <w:pPr>
        <w:pStyle w:val="NoSpacing"/>
        <w:rPr>
          <w:rFonts w:ascii="Arial Black" w:hAnsi="Arial Black"/>
          <w:sz w:val="24"/>
          <w:szCs w:val="24"/>
        </w:rPr>
      </w:pPr>
    </w:p>
    <w:p w14:paraId="63501D18" w14:textId="77777777" w:rsidR="00F55395" w:rsidRDefault="00F55395" w:rsidP="00F326E5">
      <w:pPr>
        <w:pStyle w:val="NoSpacing"/>
        <w:rPr>
          <w:rFonts w:ascii="Arial Black" w:hAnsi="Arial Black"/>
          <w:sz w:val="24"/>
          <w:szCs w:val="24"/>
        </w:rPr>
      </w:pPr>
    </w:p>
    <w:p w14:paraId="25F8105C" w14:textId="77777777" w:rsidR="00F55395" w:rsidRDefault="00F55395" w:rsidP="00F326E5">
      <w:pPr>
        <w:pStyle w:val="NoSpacing"/>
        <w:rPr>
          <w:rFonts w:ascii="Arial Black" w:hAnsi="Arial Black"/>
          <w:sz w:val="24"/>
          <w:szCs w:val="24"/>
        </w:rPr>
      </w:pPr>
    </w:p>
    <w:p w14:paraId="7229565A" w14:textId="13790D18" w:rsidR="00F31C1B" w:rsidRDefault="008A4533" w:rsidP="00F326E5">
      <w:pPr>
        <w:pStyle w:val="NoSpacing"/>
        <w:rPr>
          <w:rFonts w:ascii="Arial Black" w:hAnsi="Arial Black"/>
          <w:sz w:val="24"/>
          <w:szCs w:val="24"/>
        </w:rPr>
      </w:pPr>
      <w:r>
        <w:rPr>
          <w:rFonts w:ascii="Arial Black" w:hAnsi="Arial Black"/>
          <w:sz w:val="24"/>
          <w:szCs w:val="24"/>
        </w:rPr>
        <w:t>16-81</w:t>
      </w:r>
    </w:p>
    <w:p w14:paraId="09DDE34D" w14:textId="77777777" w:rsidR="008A4533" w:rsidRPr="00E15641" w:rsidRDefault="008A4533" w:rsidP="008A4533">
      <w:pPr>
        <w:pStyle w:val="NormalWeb"/>
        <w:rPr>
          <w:rFonts w:ascii="Arial Black" w:hAnsi="Arial Black"/>
          <w:b/>
          <w:bCs/>
          <w:sz w:val="28"/>
          <w:szCs w:val="28"/>
        </w:rPr>
      </w:pPr>
      <w:r>
        <w:rPr>
          <w:rFonts w:ascii="Arial Black" w:hAnsi="Arial Black"/>
          <w:b/>
          <w:bCs/>
          <w:sz w:val="28"/>
          <w:szCs w:val="28"/>
        </w:rPr>
        <w:t>OH: CLEVELAND EMS CAPTAIN FIRED – FACEBOOK POST – WISHED HE HAD KILLED TAMIR RICE – “BALANCING TEST”</w:t>
      </w:r>
    </w:p>
    <w:p w14:paraId="2065AA8F" w14:textId="77777777" w:rsidR="008A4533" w:rsidRDefault="008A4533" w:rsidP="008A4533">
      <w:pPr>
        <w:pStyle w:val="NormalWeb"/>
      </w:pPr>
      <w:r>
        <w:t xml:space="preserve">On Jan. 25, 2023, in </w:t>
      </w:r>
      <w:r w:rsidRPr="00DD39F8">
        <w:rPr>
          <w:u w:val="single"/>
        </w:rPr>
        <w:t>Jamie Marquardt v. Nicole Carlton, et al</w:t>
      </w:r>
      <w:r>
        <w:t xml:space="preserve">., the U.S. Court of Appeals for the Sixth Circuit (Cincinnati) held (3 to 0; unpublished decision) that U.S. District Court Judge in Cleveland properly granted summary judgment to the City of Cleveland; the City's interest as an employer outweighed Marquardt's free speech interest.  [T]he district court, applying the balancing test announced in </w:t>
      </w:r>
      <w:r>
        <w:rPr>
          <w:rStyle w:val="Emphasis"/>
        </w:rPr>
        <w:t>Pickering v. Board of Education</w:t>
      </w:r>
      <w:r>
        <w:t>, 391 U.S. 563 (1968), held that defendants were nonetheless entitled to summary judgment on Marquardt's First Amendment claim because the City's interest as an employer outweighed Marquardt's free speech interest. The Court of Appeals agreed. “Commissioner Carlton testified that she believed City services would be disrupted if Marquardt was identified as the author of the posts. Her conclusion, she explained, was informed by earlier ‘civil unrest within the City of Cleveland related to the Tamir Rice incident.’ Any visceral reaction to Marquardt's posts, Carlton predicted, would lead to further ‘protest[s],’ ‘disharmony amongst EMS staff,’ and employees ‘</w:t>
      </w:r>
      <w:proofErr w:type="spellStart"/>
      <w:r>
        <w:t>refus</w:t>
      </w:r>
      <w:proofErr w:type="spellEnd"/>
      <w:r>
        <w:t>[</w:t>
      </w:r>
      <w:proofErr w:type="spellStart"/>
      <w:r>
        <w:t>ing</w:t>
      </w:r>
      <w:proofErr w:type="spellEnd"/>
      <w:r>
        <w:t xml:space="preserve">] to work with Mr. Marquardt.’  Her conclusion is well taken. </w:t>
      </w:r>
      <w:hyperlink r:id="rId2539" w:history="1">
        <w:r w:rsidRPr="001F75F8">
          <w:rPr>
            <w:rStyle w:val="Hyperlink"/>
          </w:rPr>
          <w:t>https://law.justia.com/cases/federal/appellate-courts/ca6/21-3832/21-3832-2023-01-25.html</w:t>
        </w:r>
      </w:hyperlink>
      <w:r>
        <w:t xml:space="preserve"> </w:t>
      </w:r>
    </w:p>
    <w:p w14:paraId="774D0284" w14:textId="77777777" w:rsidR="008A4533" w:rsidRDefault="008A4533" w:rsidP="008A4533">
      <w:pPr>
        <w:pStyle w:val="NormalWeb"/>
        <w:ind w:left="720" w:firstLine="60"/>
      </w:pPr>
      <w:r>
        <w:t xml:space="preserve">“Eight years ago, twelve-year-old Tamir Rice was shot and killed by a police officer. What happened that day has been well documented. A 911 caller reported a ‘guy in the park with a pistol’ that was ‘probably fake.’ Dispatchers informed officers that there was a male sitting on a swing pointing a gun at people. Officers responded to the report. Within seconds of arriving at the park, one officer shot Rice. Rice's ‘pistol’ was later determined to be an airsoft gun with the orange toy markings removed. Cleveland EMS responded and transported Rice to the hospital. He died the next day from his injuries. Protestors, decrying the use of lethal force, flooded Cleveland's streets. The controversy over the shooting did not end in its immediate aftermath. Some fourteen months later, the event was once again the focus of national scrutiny when news broke that Cleveland EMS billed Rice's family $500 for his ambulance ride. </w:t>
      </w:r>
      <w:r>
        <w:rPr>
          <w:rStyle w:val="Emphasis"/>
        </w:rPr>
        <w:t>Marquardt v. Carlton</w:t>
      </w:r>
      <w:r>
        <w:t xml:space="preserve">, 971 F.3d 546, 550 (6th Cir. 2020) (citing Christine Hauser, </w:t>
      </w:r>
      <w:r>
        <w:rPr>
          <w:rStyle w:val="Emphasis"/>
        </w:rPr>
        <w:t>Cleveland Drops Attempt to Collect $500 From Tamir Rice Family</w:t>
      </w:r>
      <w:r>
        <w:t xml:space="preserve">, N.Y. Times (Feb. 11, 2016), </w:t>
      </w:r>
      <w:proofErr w:type="gramStart"/>
      <w:r>
        <w:t>https://www.nytimes.com/2016/02/12/us/cleveland-500-bill-tamir-rice-shooting.html</w:t>
      </w:r>
      <w:proofErr w:type="gramEnd"/>
      <w:r>
        <w:t xml:space="preserve"> (last accessed Jan. 23, 2023)).</w:t>
      </w:r>
    </w:p>
    <w:p w14:paraId="60668899" w14:textId="77777777" w:rsidR="008A4533" w:rsidRDefault="008A4533" w:rsidP="008A4533">
      <w:pPr>
        <w:pStyle w:val="NormalWeb"/>
        <w:ind w:left="720" w:firstLine="60"/>
      </w:pPr>
      <w:r>
        <w:t>***</w:t>
      </w:r>
    </w:p>
    <w:p w14:paraId="58933F28" w14:textId="77777777" w:rsidR="008A4533" w:rsidRDefault="008A4533" w:rsidP="008A4533">
      <w:pPr>
        <w:pStyle w:val="NormalWeb"/>
        <w:ind w:left="720" w:firstLine="60"/>
      </w:pPr>
      <w:r>
        <w:t xml:space="preserve">Just days later, two posts referring to the shooting appeared on the private Facebook page of Jamie Marquardt, a Cleveland EMS Captain. One stated, ‘Let me be the first on record to have the balls to say Tamir Rice should have been </w:t>
      </w:r>
      <w:proofErr w:type="gramStart"/>
      <w:r>
        <w:t>shot</w:t>
      </w:r>
      <w:proofErr w:type="gramEnd"/>
      <w:r>
        <w:t xml:space="preserve"> and I am glad he is dead</w:t>
      </w:r>
      <w:proofErr w:type="gramStart"/>
      <w:r>
        <w:t>.</w:t>
      </w:r>
      <w:proofErr w:type="gramEnd"/>
      <w:r>
        <w:t xml:space="preserve"> I wish I was in the park that day as he terrorized innocent patrons by pointing a gun at them walking around acting </w:t>
      </w:r>
      <w:proofErr w:type="gramStart"/>
      <w:r>
        <w:t>bad</w:t>
      </w:r>
      <w:proofErr w:type="gramEnd"/>
      <w:r>
        <w:t xml:space="preserve">. I am upset I did not get the chance to kill the little criminal fucker.’ The other said, ‘How would you feel if you were walking in the park and some ghetto rat pointed a gun </w:t>
      </w:r>
      <w:proofErr w:type="gramStart"/>
      <w:r>
        <w:t>in</w:t>
      </w:r>
      <w:proofErr w:type="gramEnd"/>
      <w:r>
        <w:t xml:space="preserve"> your face</w:t>
      </w:r>
      <w:proofErr w:type="gramStart"/>
      <w:r>
        <w:t>?</w:t>
      </w:r>
      <w:proofErr w:type="gramEnd"/>
      <w:r>
        <w:t xml:space="preserve"> Would you look to him as a hero? Cleveland </w:t>
      </w:r>
      <w:r>
        <w:lastRenderedPageBreak/>
        <w:t>sees this felony hood rat as a hero.’  Marquardt denied making the posts, deleted them, and created a new post disavowing their content.</w:t>
      </w:r>
    </w:p>
    <w:p w14:paraId="23EAB8C0" w14:textId="77777777" w:rsidR="008A4533" w:rsidRDefault="008A4533" w:rsidP="008A4533">
      <w:pPr>
        <w:pStyle w:val="NormalWeb"/>
        <w:ind w:left="720" w:firstLine="60"/>
      </w:pPr>
      <w:r>
        <w:t>***</w:t>
      </w:r>
    </w:p>
    <w:p w14:paraId="7EBE61B5" w14:textId="77777777" w:rsidR="008A4533" w:rsidRDefault="008A4533" w:rsidP="008A4533">
      <w:pPr>
        <w:pStyle w:val="NormalWeb"/>
        <w:ind w:left="720"/>
      </w:pPr>
      <w:r>
        <w:t xml:space="preserve">Two of Marquardt's co-workers, paramedics, saw the posts the morning they appeared. Both contacted EMS Captain Michael Threat. They expressed worry about Marquardt's wellbeing and the risk of "potential civil unrest" should the posts be seen by the public because there was already "a lot in the media" addressing the Rice incident. </w:t>
      </w:r>
    </w:p>
    <w:p w14:paraId="68B7534A" w14:textId="77777777" w:rsidR="008A4533" w:rsidRDefault="008A4533" w:rsidP="008A4533">
      <w:pPr>
        <w:pStyle w:val="NormalWeb"/>
        <w:ind w:left="720"/>
      </w:pPr>
      <w:r>
        <w:t xml:space="preserve">The reports made their way to EMS Commissioner Nicole Carlton. Carlton requested that the City's Office of Integrity Control investigate. During the investigation, Marquardt remained on the job, denying that he authored the posts. </w:t>
      </w:r>
    </w:p>
    <w:p w14:paraId="5C032582" w14:textId="77777777" w:rsidR="008A4533" w:rsidRDefault="008A4533" w:rsidP="008A4533">
      <w:pPr>
        <w:pStyle w:val="NormalWeb"/>
        <w:ind w:left="720"/>
      </w:pPr>
      <w:r>
        <w:t xml:space="preserve">Within three days of the posts appearing on Marquardt's Facebook page, they caught the eye of the Cleveland NAACP President, who condemned them in an article on Cleveland.com. By then, Marquardt acknowledges, the posts had become a national story. </w:t>
      </w:r>
    </w:p>
    <w:p w14:paraId="7FC2CE14" w14:textId="77777777" w:rsidR="008A4533" w:rsidRDefault="008A4533" w:rsidP="008A4533">
      <w:pPr>
        <w:pStyle w:val="NormalWeb"/>
        <w:ind w:left="720"/>
      </w:pPr>
      <w:r>
        <w:t xml:space="preserve">Roughly a month later, Carlton fired Marquardt, attributing authorship of the posts to him. By making those posts, Carlton concluded, Marquardt violated a host of policies-from EMS's mission statement, pledge to the community, and social media policy to the City's civil service commission rules. Marquardt's termination letter stated that the posts were inflammatory, caused disruption (emphasizing that Marquardt's co-workers ‘expressed concern for their own welfare and </w:t>
      </w:r>
      <w:proofErr w:type="gramStart"/>
      <w:r>
        <w:t>safety’)</w:t>
      </w:r>
      <w:proofErr w:type="gramEnd"/>
      <w:r>
        <w:t>, and cast the EMS division as ‘disrespectful of the tragedy.’</w:t>
      </w:r>
    </w:p>
    <w:p w14:paraId="6F68DE02" w14:textId="77777777" w:rsidR="008A4533" w:rsidRDefault="008A4533" w:rsidP="008A4533">
      <w:pPr>
        <w:pStyle w:val="NormalWeb"/>
        <w:ind w:left="720"/>
      </w:pPr>
      <w:r>
        <w:t>***</w:t>
      </w:r>
    </w:p>
    <w:p w14:paraId="2519DF99" w14:textId="77777777" w:rsidR="008A4533" w:rsidRDefault="008A4533" w:rsidP="008A4533">
      <w:pPr>
        <w:pStyle w:val="NormalWeb"/>
        <w:ind w:left="720"/>
      </w:pPr>
      <w:r>
        <w:t xml:space="preserve">All told, the charged speech at issue and its actual and predicted disruptive effect on the City's services tip the </w:t>
      </w:r>
      <w:r>
        <w:rPr>
          <w:rStyle w:val="Emphasis"/>
        </w:rPr>
        <w:t>Pickering</w:t>
      </w:r>
      <w:r>
        <w:t xml:space="preserve"> balance in its favor.”</w:t>
      </w:r>
    </w:p>
    <w:p w14:paraId="6CA3C792" w14:textId="77777777" w:rsidR="008A4533" w:rsidRPr="001D5000" w:rsidRDefault="008A4533" w:rsidP="008A4533">
      <w:pPr>
        <w:pStyle w:val="NormalWeb"/>
        <w:rPr>
          <w:b/>
          <w:bCs/>
        </w:rPr>
      </w:pPr>
      <w:r w:rsidRPr="001D5000">
        <w:rPr>
          <w:b/>
          <w:bCs/>
        </w:rPr>
        <w:t>Legal Lesson Learned:</w:t>
      </w:r>
      <w:r>
        <w:rPr>
          <w:b/>
          <w:bCs/>
        </w:rPr>
        <w:t xml:space="preserve"> Another career ended by stupid Facebook post. </w:t>
      </w:r>
    </w:p>
    <w:p w14:paraId="19486881" w14:textId="77777777" w:rsidR="008A4533" w:rsidRDefault="008A4533" w:rsidP="00F326E5">
      <w:pPr>
        <w:pStyle w:val="NoSpacing"/>
        <w:rPr>
          <w:rFonts w:ascii="Arial Black" w:hAnsi="Arial Black"/>
          <w:sz w:val="24"/>
          <w:szCs w:val="24"/>
        </w:rPr>
      </w:pPr>
    </w:p>
    <w:p w14:paraId="7A6DBC7D" w14:textId="77777777" w:rsidR="008A4533" w:rsidRDefault="008A4533" w:rsidP="00F326E5">
      <w:pPr>
        <w:pStyle w:val="NoSpacing"/>
        <w:rPr>
          <w:rFonts w:ascii="Arial Black" w:hAnsi="Arial Black"/>
          <w:sz w:val="24"/>
          <w:szCs w:val="24"/>
        </w:rPr>
      </w:pPr>
    </w:p>
    <w:p w14:paraId="5376902B" w14:textId="65FCB3C5" w:rsidR="008A4533" w:rsidRDefault="008A4533" w:rsidP="00F326E5">
      <w:pPr>
        <w:pStyle w:val="NoSpacing"/>
        <w:rPr>
          <w:rFonts w:ascii="Arial Black" w:hAnsi="Arial Black"/>
          <w:sz w:val="24"/>
          <w:szCs w:val="24"/>
        </w:rPr>
      </w:pPr>
      <w:r>
        <w:rPr>
          <w:rFonts w:ascii="Arial Black" w:hAnsi="Arial Black"/>
          <w:sz w:val="24"/>
          <w:szCs w:val="24"/>
        </w:rPr>
        <w:t>16-80</w:t>
      </w:r>
    </w:p>
    <w:p w14:paraId="28F382B1" w14:textId="20E98816" w:rsidR="008A4533" w:rsidRDefault="008A4533" w:rsidP="00F326E5">
      <w:pPr>
        <w:pStyle w:val="NoSpacing"/>
        <w:rPr>
          <w:rFonts w:ascii="Arial Black" w:hAnsi="Arial Black"/>
          <w:sz w:val="24"/>
          <w:szCs w:val="24"/>
        </w:rPr>
      </w:pPr>
    </w:p>
    <w:p w14:paraId="127A89A6" w14:textId="77777777" w:rsidR="008A4533" w:rsidRPr="00CE7EC2" w:rsidRDefault="008A4533" w:rsidP="008A4533">
      <w:pPr>
        <w:pStyle w:val="NormalWeb"/>
        <w:rPr>
          <w:rFonts w:ascii="Arial Black" w:hAnsi="Arial Black"/>
          <w:sz w:val="28"/>
          <w:szCs w:val="28"/>
        </w:rPr>
      </w:pPr>
      <w:r>
        <w:rPr>
          <w:rFonts w:ascii="Arial Black" w:hAnsi="Arial Black"/>
          <w:sz w:val="28"/>
          <w:szCs w:val="28"/>
        </w:rPr>
        <w:t xml:space="preserve">DC: U.S. AIR FORCE FIRE CHIEF – ALLOWED OVERTIME – FIRING REDUCED 14-DAY SUSP – LATE APPEAL BY AGENCY </w:t>
      </w:r>
    </w:p>
    <w:p w14:paraId="01FF5989" w14:textId="77777777" w:rsidR="008A4533" w:rsidRDefault="008A4533" w:rsidP="008A4533">
      <w:pPr>
        <w:pStyle w:val="NormalWeb"/>
      </w:pPr>
      <w:r>
        <w:t xml:space="preserve">On Jan. 18, 2023, in </w:t>
      </w:r>
      <w:r w:rsidRPr="009903F1">
        <w:rPr>
          <w:u w:val="single"/>
        </w:rPr>
        <w:t>Derick Eshelman v. Department of the Air Force</w:t>
      </w:r>
      <w:r>
        <w:t>, the U.S. Merit Systems Protection Board held (3 to 0; but concurring opinion) that they will not overturn the Administrative Judge’s decision since the Air Force missed filing an appeal through the e-Appeal system (only missed deadline by several minutes), without good explanation for the late filing.  The Fire Chief was assigned to a British air base, Royal Air Force (RAF) Croughton.  For three years he and other firefighters worked unauthorized overtime, at a higher rate of pay, at cost of approximately $263,000.  The Fire Chief’s supervisor sought to terminate him for conduct unbecoming an officer. The Chief acknowledged errors:  “</w:t>
      </w:r>
      <w:r w:rsidRPr="00DA4BE2">
        <w:t xml:space="preserve">Although I felt I had good reasons to work the embedded schedule, the extra money earned from the additional time worked was a benefit that was part of the decision. The money aspect made it worth doing all the extra hours and is and was simply the wrong thing to do. I </w:t>
      </w:r>
      <w:proofErr w:type="spellStart"/>
      <w:r w:rsidRPr="00DA4BE2">
        <w:t>tru</w:t>
      </w:r>
      <w:r>
        <w:t>e</w:t>
      </w:r>
      <w:r w:rsidRPr="00DA4BE2">
        <w:t>ly</w:t>
      </w:r>
      <w:proofErr w:type="spellEnd"/>
      <w:r w:rsidRPr="00DA4BE2">
        <w:t xml:space="preserve"> [sic] regret costing the Air Force </w:t>
      </w:r>
      <w:proofErr w:type="gramStart"/>
      <w:r w:rsidRPr="00DA4BE2">
        <w:t>the additional</w:t>
      </w:r>
      <w:proofErr w:type="gramEnd"/>
      <w:r w:rsidRPr="00DA4BE2">
        <w:t xml:space="preserve"> money . . . I should have listened to those around me </w:t>
      </w:r>
      <w:r w:rsidRPr="00DA4BE2">
        <w:lastRenderedPageBreak/>
        <w:t>and those trying to help get me on the right path.</w:t>
      </w:r>
      <w:r>
        <w:t xml:space="preserve">” The Board did not accept excuse for the late filing of the </w:t>
      </w:r>
      <w:proofErr w:type="gramStart"/>
      <w:r>
        <w:t>appeal, and</w:t>
      </w:r>
      <w:proofErr w:type="gramEnd"/>
      <w:r>
        <w:t xml:space="preserve"> held: “Although the agency's petition for review was untimely by mere minutes, we are not persuaded by the explanation provided. The agency's representative is familiar with the e-Appeal system, having used it throughout this appeal…. She is also familiar with the potential consequences of her untimeliness, having been sanctioned for her untimeliness below…. Nevertheless, the Board's e-Appeal logs indicate that she did not log into the system to begin the process of filing the petition for review until 11:38 p.m. on the day it was due…. Moreover, as detailed above, although the agency asserts that there were two failed attempts at filing the petition before the deadline to do so, the Board's e-Appeal logs reflect otherwise…. Accordingly, we dismiss the petition for review as untimely filed.” </w:t>
      </w:r>
      <w:hyperlink r:id="rId2540" w:history="1">
        <w:r w:rsidRPr="00D25822">
          <w:rPr>
            <w:rStyle w:val="Hyperlink"/>
          </w:rPr>
          <w:t>https://public.fastcase.com/J%2FJP6pdidelsXxEE4k%2BLMtME52xOaCaWV6UEDIP7bM8%2BFioZsbaXPEF4Uybj3YzCUfNXrAB4VqpO9mZPyOoJgEUGCgAECduXHqgYvcPti4I%3D?utm_medium=email&amp;_hsmi=226712652&amp;_hsenc=p2ANqtz--o5Z4w0RvL2X6ywspxSAhs9CG2i2QDJ7wcq_MEc7ECUlDYedCzwhXzcOpR3uJdZVvbiJhZF7E92unvtoIdalIehJ_GiA&amp;utm_content=226712652&amp;utm_source=hs_email</w:t>
        </w:r>
      </w:hyperlink>
      <w:r>
        <w:t xml:space="preserve"> </w:t>
      </w:r>
    </w:p>
    <w:p w14:paraId="3C1A8109" w14:textId="77777777" w:rsidR="008A4533" w:rsidRDefault="008A4533" w:rsidP="008A4533">
      <w:pPr>
        <w:pStyle w:val="NormalWeb"/>
      </w:pPr>
      <w:r>
        <w:t xml:space="preserve">Concurring Opinion by Member Tristan L. Leavitt made it clear she disagreed with reduced punishment.  </w:t>
      </w:r>
    </w:p>
    <w:p w14:paraId="5FD50CD0" w14:textId="77777777" w:rsidR="008A4533" w:rsidRDefault="008A4533" w:rsidP="008A4533">
      <w:pPr>
        <w:pStyle w:val="NormalWeb"/>
        <w:ind w:left="720"/>
      </w:pPr>
      <w:r>
        <w:t xml:space="preserve"> “I write separately to express my disagreement with the administrative judge's determination to mitigate the penalty of removal to a 14-day suspension.</w:t>
      </w:r>
    </w:p>
    <w:p w14:paraId="0B59708A" w14:textId="77777777" w:rsidR="008A4533" w:rsidRDefault="008A4533" w:rsidP="008A4533">
      <w:pPr>
        <w:pStyle w:val="NormalWeb"/>
        <w:ind w:left="720"/>
      </w:pPr>
      <w:r>
        <w:t>[The Fire Chief’s supervisor wrote] ‘The offense of working longer hours than authorized is a very serious one…’ He considered the appellant's supervisory role, finding ‘the level of trust required to be a manager and supervisor of other fire fighters has been tarnished significantly’ and that the appellant …cannot continue to service in the leadership role because his trustworthiness is in question.’”</w:t>
      </w:r>
    </w:p>
    <w:p w14:paraId="013F23F8" w14:textId="77777777" w:rsidR="008A4533" w:rsidRPr="008A4533" w:rsidRDefault="008A4533" w:rsidP="008A4533">
      <w:pPr>
        <w:pStyle w:val="NormalWeb"/>
        <w:rPr>
          <w:rStyle w:val="Emphasis"/>
          <w:b/>
          <w:bCs/>
          <w:i w:val="0"/>
          <w:iCs w:val="0"/>
        </w:rPr>
      </w:pPr>
      <w:r w:rsidRPr="008A4533">
        <w:rPr>
          <w:rStyle w:val="Emphasis"/>
          <w:b/>
          <w:bCs/>
          <w:i w:val="0"/>
          <w:iCs w:val="0"/>
        </w:rPr>
        <w:t>Legal Lesson Learned:  Late appeal by the U.S. Air Force representative.</w:t>
      </w:r>
    </w:p>
    <w:p w14:paraId="3A1667EB" w14:textId="089D777E" w:rsidR="008A4533" w:rsidRDefault="008A4533" w:rsidP="00F326E5">
      <w:pPr>
        <w:pStyle w:val="NoSpacing"/>
        <w:rPr>
          <w:rFonts w:ascii="Arial Black" w:hAnsi="Arial Black"/>
          <w:sz w:val="24"/>
          <w:szCs w:val="24"/>
        </w:rPr>
      </w:pPr>
    </w:p>
    <w:p w14:paraId="1BFDDD70" w14:textId="7C863EFF" w:rsidR="008A4533" w:rsidRDefault="008A4533" w:rsidP="00F326E5">
      <w:pPr>
        <w:pStyle w:val="NoSpacing"/>
        <w:rPr>
          <w:rFonts w:ascii="Arial Black" w:hAnsi="Arial Black"/>
          <w:sz w:val="24"/>
          <w:szCs w:val="24"/>
        </w:rPr>
      </w:pPr>
      <w:r>
        <w:rPr>
          <w:rFonts w:ascii="Arial Black" w:hAnsi="Arial Black"/>
          <w:sz w:val="24"/>
          <w:szCs w:val="24"/>
        </w:rPr>
        <w:t>16-79</w:t>
      </w:r>
    </w:p>
    <w:p w14:paraId="3E44D8C2" w14:textId="6ED28FAD" w:rsidR="008A4533" w:rsidRDefault="008A4533" w:rsidP="00F326E5">
      <w:pPr>
        <w:pStyle w:val="NoSpacing"/>
        <w:rPr>
          <w:rFonts w:ascii="Arial Black" w:hAnsi="Arial Black"/>
          <w:sz w:val="24"/>
          <w:szCs w:val="24"/>
        </w:rPr>
      </w:pPr>
    </w:p>
    <w:p w14:paraId="1E62A913" w14:textId="77777777" w:rsidR="008A4533" w:rsidRPr="00261417" w:rsidRDefault="008A4533" w:rsidP="008A4533">
      <w:pPr>
        <w:pStyle w:val="NormalWeb"/>
        <w:rPr>
          <w:rFonts w:ascii="Arial Black" w:hAnsi="Arial Black"/>
          <w:sz w:val="28"/>
          <w:szCs w:val="28"/>
        </w:rPr>
      </w:pPr>
      <w:r>
        <w:rPr>
          <w:rFonts w:ascii="Arial Black" w:hAnsi="Arial Black"/>
          <w:sz w:val="28"/>
          <w:szCs w:val="28"/>
        </w:rPr>
        <w:t>NJ: FF DISPUTE WITH ANOTHER FF – FIRED GUN INTO APARTMENT DOOR –TERMINATION UPHELD, LATE APPEAL</w:t>
      </w:r>
    </w:p>
    <w:p w14:paraId="49FCF174" w14:textId="77777777" w:rsidR="008A4533" w:rsidRDefault="008A4533" w:rsidP="008A4533">
      <w:pPr>
        <w:pStyle w:val="ekqk"/>
      </w:pPr>
      <w:r>
        <w:t xml:space="preserve">On Jan. 9, 2023, </w:t>
      </w:r>
      <w:r w:rsidRPr="00261417">
        <w:rPr>
          <w:u w:val="single"/>
        </w:rPr>
        <w:t xml:space="preserve">In </w:t>
      </w:r>
      <w:proofErr w:type="gramStart"/>
      <w:r w:rsidRPr="00261417">
        <w:rPr>
          <w:u w:val="single"/>
        </w:rPr>
        <w:t>The</w:t>
      </w:r>
      <w:proofErr w:type="gramEnd"/>
      <w:r w:rsidRPr="00261417">
        <w:rPr>
          <w:u w:val="single"/>
        </w:rPr>
        <w:t xml:space="preserve"> Matter </w:t>
      </w:r>
      <w:proofErr w:type="gramStart"/>
      <w:r w:rsidRPr="00261417">
        <w:rPr>
          <w:u w:val="single"/>
        </w:rPr>
        <w:t>Of</w:t>
      </w:r>
      <w:proofErr w:type="gramEnd"/>
      <w:r w:rsidRPr="00261417">
        <w:rPr>
          <w:u w:val="single"/>
        </w:rPr>
        <w:t xml:space="preserve"> </w:t>
      </w:r>
      <w:proofErr w:type="spellStart"/>
      <w:r w:rsidRPr="00261417">
        <w:rPr>
          <w:u w:val="single"/>
        </w:rPr>
        <w:t>Gamill</w:t>
      </w:r>
      <w:proofErr w:type="spellEnd"/>
      <w:r w:rsidRPr="00261417">
        <w:rPr>
          <w:u w:val="single"/>
        </w:rPr>
        <w:t xml:space="preserve"> Haidara, City of Newark, Fire Department</w:t>
      </w:r>
      <w:r>
        <w:t xml:space="preserve">, the Superior Court of New Jersey, Appellate Division, held (2 to 0) that the Civil Service Commission properly refused to hear his request for a hearing – he and his attorney failed to timely file the request.  After his arrest on March 1, </w:t>
      </w:r>
      <w:proofErr w:type="gramStart"/>
      <w:r>
        <w:t>2016</w:t>
      </w:r>
      <w:proofErr w:type="gramEnd"/>
      <w:r>
        <w:t xml:space="preserve"> for firing gun through apartment door of another Newark firefighter [see below article], he was suspended without pay and eventually terminated. He had 21 days (Aug. 13, 2018) to file his request for a hearing with the city’s Civil Service Commission; he retained an attorney and then left the country to help an ailing relative.  Upon return to USA on Sept. 16, 2018, he learned that no request for a hearing was ever filed; he retained another attorney who sought unsuccessfully to negotiate a return-to-work agreement, and didn’t file a request for hearing until May 30, 2019; it was denied by the Commission on July 1, 2019; subsequent request for reconsideration was also denied. The Court of Appeals agreed with the Commission. “On the facts presented here, Haidara's two-year delay in filing for reconsideration prejudiced the </w:t>
      </w:r>
      <w:proofErr w:type="gramStart"/>
      <w:r>
        <w:t>City</w:t>
      </w:r>
      <w:proofErr w:type="gramEnd"/>
      <w:r>
        <w:t xml:space="preserve">, thereby precluding a finding of good cause.” </w:t>
      </w:r>
      <w:hyperlink r:id="rId2541" w:history="1">
        <w:r w:rsidRPr="00346E6A">
          <w:rPr>
            <w:rStyle w:val="Hyperlink"/>
          </w:rPr>
          <w:t>https://www.njcourts.gov/sites/default/files/court-opinions/2023/a3688-20.pdf</w:t>
        </w:r>
      </w:hyperlink>
      <w:r>
        <w:t xml:space="preserve"> </w:t>
      </w:r>
    </w:p>
    <w:p w14:paraId="07C7C7C9" w14:textId="77777777" w:rsidR="008A4533" w:rsidRPr="00373FBE" w:rsidRDefault="008A4533" w:rsidP="008A4533">
      <w:pPr>
        <w:pStyle w:val="ekqk"/>
        <w:ind w:left="720"/>
        <w:rPr>
          <w:sz w:val="20"/>
          <w:szCs w:val="20"/>
        </w:rPr>
      </w:pPr>
      <w:r>
        <w:t xml:space="preserve">See March 2, </w:t>
      </w:r>
      <w:proofErr w:type="gramStart"/>
      <w:r>
        <w:t>2016</w:t>
      </w:r>
      <w:proofErr w:type="gramEnd"/>
      <w:r>
        <w:t xml:space="preserve"> article about his arrest: “</w:t>
      </w:r>
      <w:r w:rsidRPr="00373FBE">
        <w:rPr>
          <w:b/>
          <w:bCs/>
        </w:rPr>
        <w:t>At-home dispute between Newark firefighters end in gunfire, arrest</w:t>
      </w:r>
      <w:r>
        <w:rPr>
          <w:b/>
          <w:bCs/>
        </w:rPr>
        <w:t>.”</w:t>
      </w:r>
      <w:r w:rsidRPr="00373FBE">
        <w:rPr>
          <w:b/>
          <w:bCs/>
        </w:rPr>
        <w:t xml:space="preserve"> </w:t>
      </w:r>
      <w:hyperlink r:id="rId2542" w:history="1">
        <w:r w:rsidRPr="00373FBE">
          <w:rPr>
            <w:rStyle w:val="Hyperlink"/>
          </w:rPr>
          <w:t>https://abc7ny.com/newark-firefighters-firefighter-arrest-gunfire/1228031/</w:t>
        </w:r>
      </w:hyperlink>
      <w:r w:rsidRPr="00373FBE">
        <w:rPr>
          <w:sz w:val="20"/>
          <w:szCs w:val="20"/>
        </w:rPr>
        <w:t xml:space="preserve"> </w:t>
      </w:r>
    </w:p>
    <w:p w14:paraId="164818ED" w14:textId="77777777" w:rsidR="008A4533" w:rsidRDefault="008A4533" w:rsidP="008A4533">
      <w:pPr>
        <w:pStyle w:val="ekqk"/>
        <w:ind w:left="720"/>
      </w:pPr>
      <w:r>
        <w:lastRenderedPageBreak/>
        <w:t>“NEWARK, New Jersey -- Newark authorities say a dispute between two city firefighters at a home where they both live ended with one firing a shot through the other man's apartment door. Gamil Haidara faces several weapons charges. He's been suspended without pay. Authorities say the firefighters live in separate apartments at the Clifton Avenue home. They were arguing late Tuesday night when Haidara allegedly pulled out a gun. The victim ran into his apartment, and authorities say Haidara eventually fired one shot into the door before fleeing the building. Two police officers who happened to be in the area saw Haidara running with a gun in his hand. He was soon arrested. Haidara has been a city firefighter for eight years. Authorities say he was being treated at a hospital for ‘unspecified symptoms,’ but declined further comment. It wasn't known Wednesday if he's retained an attorney.”</w:t>
      </w:r>
    </w:p>
    <w:p w14:paraId="66F10AB2" w14:textId="77777777" w:rsidR="008A4533" w:rsidRPr="00174DB6" w:rsidRDefault="008A4533" w:rsidP="008A4533">
      <w:pPr>
        <w:pStyle w:val="ekqk"/>
        <w:rPr>
          <w:b/>
          <w:bCs/>
        </w:rPr>
      </w:pPr>
      <w:r w:rsidRPr="00174DB6">
        <w:rPr>
          <w:b/>
          <w:bCs/>
        </w:rPr>
        <w:t>Legal Lesson Learned</w:t>
      </w:r>
      <w:r>
        <w:rPr>
          <w:b/>
          <w:bCs/>
        </w:rPr>
        <w:t xml:space="preserve">: Termination for firing </w:t>
      </w:r>
      <w:proofErr w:type="gramStart"/>
      <w:r>
        <w:rPr>
          <w:b/>
          <w:bCs/>
        </w:rPr>
        <w:t>gun</w:t>
      </w:r>
      <w:proofErr w:type="gramEnd"/>
      <w:r>
        <w:rPr>
          <w:b/>
          <w:bCs/>
        </w:rPr>
        <w:t xml:space="preserve"> through apartment door is highly likely going to result in termination. </w:t>
      </w:r>
    </w:p>
    <w:p w14:paraId="5DFCB6D4" w14:textId="77777777" w:rsidR="00D55B6E" w:rsidRDefault="00D55B6E" w:rsidP="00F326E5">
      <w:pPr>
        <w:pStyle w:val="NoSpacing"/>
        <w:rPr>
          <w:rFonts w:ascii="Arial Black" w:hAnsi="Arial Black"/>
          <w:sz w:val="24"/>
          <w:szCs w:val="24"/>
        </w:rPr>
      </w:pPr>
    </w:p>
    <w:p w14:paraId="1EDED03E" w14:textId="0891D749" w:rsidR="008A4533" w:rsidRDefault="008A4533" w:rsidP="00F326E5">
      <w:pPr>
        <w:pStyle w:val="NoSpacing"/>
        <w:rPr>
          <w:rFonts w:ascii="Arial Black" w:hAnsi="Arial Black"/>
          <w:sz w:val="24"/>
          <w:szCs w:val="24"/>
        </w:rPr>
      </w:pPr>
      <w:r>
        <w:rPr>
          <w:rFonts w:ascii="Arial Black" w:hAnsi="Arial Black"/>
          <w:sz w:val="24"/>
          <w:szCs w:val="24"/>
        </w:rPr>
        <w:t>16-78</w:t>
      </w:r>
    </w:p>
    <w:p w14:paraId="65B76E9B" w14:textId="77777777" w:rsidR="008A4533" w:rsidRPr="00265C24" w:rsidRDefault="008A4533" w:rsidP="008A4533">
      <w:pPr>
        <w:pStyle w:val="NormalWeb"/>
        <w:rPr>
          <w:rFonts w:ascii="Arial Black" w:hAnsi="Arial Black"/>
          <w:sz w:val="28"/>
          <w:szCs w:val="28"/>
        </w:rPr>
      </w:pPr>
      <w:r>
        <w:rPr>
          <w:rFonts w:ascii="Arial Black" w:hAnsi="Arial Black"/>
          <w:sz w:val="28"/>
          <w:szCs w:val="28"/>
        </w:rPr>
        <w:t>CT: FF FIRED FIGHT IN STATION - ARRESTED – “HOSTILE WORKPLACE” CLAIM LACKS SPECIFICS – CAN REFILE</w:t>
      </w:r>
    </w:p>
    <w:p w14:paraId="491B2340" w14:textId="77777777" w:rsidR="008A4533" w:rsidRDefault="008A4533" w:rsidP="008A4533">
      <w:pPr>
        <w:pStyle w:val="NormalWeb"/>
      </w:pPr>
      <w:r>
        <w:t xml:space="preserve">On Jan. 6, 2023, in </w:t>
      </w:r>
      <w:r w:rsidRPr="00265C24">
        <w:rPr>
          <w:u w:val="single"/>
        </w:rPr>
        <w:t>Michael Apatow v. Town of Stratford, et al</w:t>
      </w:r>
      <w:r>
        <w:t>., U.S. District Court Judge Janet C. Hall, U.S. District Court for District of Connecticut, granted the defense motion to dismiss.  The firefighter alleges he has PTSD from hostilities from fellow firefighters.  After 13 years on the FD, he was fired on Dec. 20, 2018.  He was arrested and fired for another incident where a firefighter “hid essential components of the plaintiff's fire safety gear…. While tensions were high, another firefighter intervened and cornered Apatow…. This intimidation ‘</w:t>
      </w:r>
      <w:proofErr w:type="spellStart"/>
      <w:r>
        <w:t>forc</w:t>
      </w:r>
      <w:proofErr w:type="spellEnd"/>
      <w:r>
        <w:t xml:space="preserve">[ed Apatow]’ to defend himself.”  Judge held: “However, there are no allegations that the defendants lied to police or made a false report to induce Apatow's arrest. Indeed, Apatow readily admits that he participated in a physical altercation with a colleague…which appears to be the grounds for the call to police, his arrest, and his prosecution… Additionally, if Apatow is alleging that the circumstances of his termination - including the call to police, his arrest, and his subsequent prosecution-were extreme and outrageous, his claim also fails. ‘Connecticut courts have held that a report to the police typically does not constitute the type of ‘extreme and outrageous' conduct necessary to support a claim for intentional infliction of emotional distress.” </w:t>
      </w:r>
      <w:hyperlink r:id="rId2543" w:history="1">
        <w:r w:rsidRPr="00D25822">
          <w:rPr>
            <w:rStyle w:val="Hyperlink"/>
          </w:rPr>
          <w:t>https://public.fastcase.com/J%2FJP6pdidelsXxEE4k%2BLMvAA4wdVAozHclcXP6KMfdj8CYqWYkZ5IhtTDMjNxRFWt37yGVInB8Zz%2FIGBMgeG32vITwI53h9KaHKQGHtOktA%3D?utm_medium=email&amp;_hsmi=226712652&amp;_hsenc=p2ANqtz-_Mw2AEs2jMeK8CMsm-FXL9B_q1HIVWLrxWyxNhgUshAzXtvMAG3R8e40Q3eYuBvp5AUcCDxAlMrpInvyyHAC9DF5hGYw&amp;utm_content=226712652&amp;utm_source=hs_email</w:t>
        </w:r>
      </w:hyperlink>
      <w:r>
        <w:t xml:space="preserve"> </w:t>
      </w:r>
    </w:p>
    <w:p w14:paraId="3124259E" w14:textId="77777777" w:rsidR="008A4533" w:rsidRDefault="008A4533" w:rsidP="008A4533">
      <w:pPr>
        <w:pStyle w:val="NormalWeb"/>
      </w:pPr>
      <w:r>
        <w:t xml:space="preserve">Plaintiff alleges hostile workplace; given 21 days to refile with more details. </w:t>
      </w:r>
    </w:p>
    <w:p w14:paraId="52C3F04B" w14:textId="77777777" w:rsidR="008A4533" w:rsidRDefault="008A4533" w:rsidP="008A4533">
      <w:pPr>
        <w:pStyle w:val="NormalWeb"/>
        <w:ind w:left="720"/>
      </w:pPr>
      <w:r>
        <w:t xml:space="preserve">His “time with the SFD was also marred by epithets from his fellow firefighters in reference to his girlfriend's Black son as well as a working environment that was generally ‘exceedingly hostile and intimidating….’ Heated arguments were a regular occurrence in the firehouse, and these disagreements were known to escalate to violence… On one occasion, a colleague threw a wooden cutting board in a ‘frisbee-like’ manner at the plaintiff.  Apatow attempted to file a written complaint about the incident, but it was refused by the Assistant Chief, who directed him instead to ‘go out back and fight, fight it out….’ The firefighter who flung the cutting board at Apatow faced no disciplinary action, and supervisors at the SFD took ‘no steps’ to ameliorate the hostility among the firefighters…. The state of the work environment induced Post Traumatic Stress </w:t>
      </w:r>
      <w:proofErr w:type="gramStart"/>
      <w:r>
        <w:t>Disorder (‘</w:t>
      </w:r>
      <w:proofErr w:type="gramEnd"/>
      <w:r>
        <w:t xml:space="preserve">PTSD’) and cardiac distress for </w:t>
      </w:r>
      <w:proofErr w:type="gramStart"/>
      <w:r>
        <w:t>Apatow.”</w:t>
      </w:r>
      <w:proofErr w:type="gramEnd"/>
    </w:p>
    <w:p w14:paraId="41E65B8A" w14:textId="77777777" w:rsidR="008A4533" w:rsidRDefault="008A4533" w:rsidP="008A4533">
      <w:pPr>
        <w:pStyle w:val="NormalWeb"/>
        <w:ind w:left="720"/>
      </w:pPr>
      <w:r>
        <w:lastRenderedPageBreak/>
        <w:t>***</w:t>
      </w:r>
    </w:p>
    <w:p w14:paraId="3D52A55C" w14:textId="77777777" w:rsidR="008A4533" w:rsidRDefault="008A4533" w:rsidP="008A4533">
      <w:pPr>
        <w:pStyle w:val="NormalWeb"/>
        <w:ind w:left="720"/>
      </w:pPr>
      <w:r>
        <w:t xml:space="preserve">“The Complaint does not provide detail on the incident that the defendants allege led to Apatow's firing-noting only that the plaintiff was forced to ‘defendant [sic] himself,’ </w:t>
      </w:r>
    </w:p>
    <w:p w14:paraId="269E874D" w14:textId="77777777" w:rsidR="008A4533" w:rsidRDefault="008A4533" w:rsidP="008A4533">
      <w:pPr>
        <w:pStyle w:val="NormalWeb"/>
        <w:ind w:left="720"/>
      </w:pPr>
      <w:r>
        <w:t>***</w:t>
      </w:r>
    </w:p>
    <w:p w14:paraId="2AB95663" w14:textId="77777777" w:rsidR="008A4533" w:rsidRDefault="008A4533" w:rsidP="008A4533">
      <w:pPr>
        <w:pStyle w:val="NormalWeb"/>
        <w:ind w:left="720"/>
      </w:pPr>
      <w:r>
        <w:t>It is unclear from the Complaint and Apatow's Memorandum in Opposition precisely what conduct he alleges is extreme and outrageous. If Apatow intends to assert that it was the discrimination and retaliation he experienced at SFD, his claim fails.</w:t>
      </w:r>
    </w:p>
    <w:p w14:paraId="2333DD66" w14:textId="77777777" w:rsidR="008A4533" w:rsidRDefault="008A4533" w:rsidP="008A4533">
      <w:pPr>
        <w:pStyle w:val="NormalWeb"/>
        <w:ind w:left="720"/>
      </w:pPr>
      <w:r>
        <w:t>***</w:t>
      </w:r>
    </w:p>
    <w:p w14:paraId="17C145D5" w14:textId="77777777" w:rsidR="008A4533" w:rsidRDefault="008A4533" w:rsidP="008A4533">
      <w:pPr>
        <w:pStyle w:val="NormalWeb"/>
        <w:ind w:left="720"/>
      </w:pPr>
      <w:r>
        <w:t xml:space="preserve">Additionally, if Apatow is alleging that the circumstances of his termination- including the call to police, his arrest, and his subsequent prosecution-were extreme and outrageous, his claim also </w:t>
      </w:r>
      <w:proofErr w:type="gramStart"/>
      <w:r>
        <w:t>fails.”</w:t>
      </w:r>
      <w:proofErr w:type="gramEnd"/>
    </w:p>
    <w:p w14:paraId="6CA0C38F" w14:textId="77777777" w:rsidR="008A4533" w:rsidRPr="00EC4449" w:rsidRDefault="008A4533" w:rsidP="008A4533">
      <w:pPr>
        <w:pStyle w:val="NormalWeb"/>
        <w:rPr>
          <w:b/>
          <w:bCs/>
        </w:rPr>
      </w:pPr>
      <w:r w:rsidRPr="00EC4449">
        <w:rPr>
          <w:b/>
          <w:bCs/>
        </w:rPr>
        <w:t xml:space="preserve">Legal Lesson Learned: </w:t>
      </w:r>
      <w:r>
        <w:rPr>
          <w:b/>
          <w:bCs/>
        </w:rPr>
        <w:t>FD may call police for an assault by a firefighter.</w:t>
      </w:r>
    </w:p>
    <w:p w14:paraId="00AF7210" w14:textId="77777777" w:rsidR="008A4533" w:rsidRDefault="008A4533" w:rsidP="00F326E5">
      <w:pPr>
        <w:pStyle w:val="NoSpacing"/>
        <w:rPr>
          <w:rFonts w:ascii="Arial Black" w:hAnsi="Arial Black"/>
          <w:sz w:val="24"/>
          <w:szCs w:val="24"/>
        </w:rPr>
      </w:pPr>
    </w:p>
    <w:p w14:paraId="24E5C927" w14:textId="77777777" w:rsidR="008A4533" w:rsidRDefault="008A4533" w:rsidP="00F326E5">
      <w:pPr>
        <w:pStyle w:val="NoSpacing"/>
        <w:rPr>
          <w:rFonts w:ascii="Arial Black" w:hAnsi="Arial Black"/>
          <w:sz w:val="24"/>
          <w:szCs w:val="24"/>
        </w:rPr>
      </w:pPr>
    </w:p>
    <w:p w14:paraId="0F0729F3" w14:textId="77777777" w:rsidR="008A4533" w:rsidRDefault="008A4533" w:rsidP="00F326E5">
      <w:pPr>
        <w:pStyle w:val="NoSpacing"/>
        <w:rPr>
          <w:rFonts w:ascii="Arial Black" w:hAnsi="Arial Black"/>
          <w:sz w:val="24"/>
          <w:szCs w:val="24"/>
        </w:rPr>
      </w:pPr>
    </w:p>
    <w:p w14:paraId="1CC312D7" w14:textId="723C5148" w:rsidR="00F31C1B" w:rsidRDefault="00F31C1B" w:rsidP="00F326E5">
      <w:pPr>
        <w:pStyle w:val="NoSpacing"/>
        <w:rPr>
          <w:rFonts w:ascii="Arial Black" w:hAnsi="Arial Black"/>
          <w:sz w:val="24"/>
          <w:szCs w:val="24"/>
        </w:rPr>
      </w:pPr>
      <w:r>
        <w:rPr>
          <w:rFonts w:ascii="Arial Black" w:hAnsi="Arial Black"/>
          <w:sz w:val="24"/>
          <w:szCs w:val="24"/>
        </w:rPr>
        <w:t>16-77</w:t>
      </w:r>
    </w:p>
    <w:p w14:paraId="345D3183" w14:textId="044A0562" w:rsidR="00F31C1B" w:rsidRDefault="00F31C1B" w:rsidP="00F31C1B">
      <w:pPr>
        <w:pStyle w:val="NormalWeb"/>
        <w:rPr>
          <w:rFonts w:ascii="Arial Black" w:hAnsi="Arial Black"/>
          <w:b/>
          <w:bCs/>
          <w:sz w:val="28"/>
          <w:szCs w:val="28"/>
        </w:rPr>
      </w:pPr>
      <w:r>
        <w:rPr>
          <w:rFonts w:ascii="Arial Black" w:hAnsi="Arial Black"/>
          <w:b/>
          <w:bCs/>
          <w:sz w:val="28"/>
          <w:szCs w:val="28"/>
        </w:rPr>
        <w:t>NM: LT. DISCIPLINED FOR “PUSHING HIS RELIGION” – WORKPLACE HOSTILITY NOT SEVERE AND PERVASIVE</w:t>
      </w:r>
    </w:p>
    <w:p w14:paraId="7641358B" w14:textId="77777777" w:rsidR="00F31C1B" w:rsidRDefault="00F31C1B" w:rsidP="00F31C1B">
      <w:pPr>
        <w:pStyle w:val="NormalWeb"/>
      </w:pPr>
      <w:r>
        <w:t xml:space="preserve">On Nov. 30, 2022, in </w:t>
      </w:r>
      <w:r w:rsidRPr="00817A36">
        <w:rPr>
          <w:u w:val="single"/>
        </w:rPr>
        <w:t>Ryan S. Lucero v. City of Albuquerque</w:t>
      </w:r>
      <w:r>
        <w:t xml:space="preserve">, the Court of Appeals of New Mexico held (3 to 0) that trial court properly granted summary judgment for the city; the plaintiff was not disciplined for being a “conservative pro-Christian” but instead for his “pushing his politics and religion on people” while at work and his confrontation with his Captain at Station 5.     </w:t>
      </w:r>
    </w:p>
    <w:p w14:paraId="3EB01639" w14:textId="77777777" w:rsidR="00F31C1B" w:rsidRDefault="00F31C1B" w:rsidP="00F31C1B">
      <w:pPr>
        <w:pStyle w:val="NormalWeb"/>
        <w:ind w:left="720"/>
      </w:pPr>
      <w:r>
        <w:t>“Lucero further maintains that in May 2016, after he was promoted to lieutenant and assigned to Station 5, his captain, A.B., ‘made jokes behind [his] back.’ As proof that his treatment at Station 5 was based on religious animus, Lucero cites an incident with A.B. in June 2016. According to his deposition testimony, Lucero went to A.B.'s office to ask why there was friction between them. A.B.'s response was that he did not like how Lucero ‘push[ed] his politics and religion on people.’ After that, according to Lucero's affidavit, A.</w:t>
      </w:r>
      <w:proofErr w:type="gramStart"/>
      <w:r>
        <w:t>B. ‘</w:t>
      </w:r>
      <w:proofErr w:type="gramEnd"/>
      <w:r>
        <w:t>grabbed [him] and threw [him] against the wall.’</w:t>
      </w:r>
    </w:p>
    <w:p w14:paraId="045164F3" w14:textId="77777777" w:rsidR="00F31C1B" w:rsidRDefault="00F31C1B" w:rsidP="00F31C1B">
      <w:pPr>
        <w:pStyle w:val="NormalWeb"/>
        <w:ind w:left="720"/>
      </w:pPr>
      <w:r>
        <w:t xml:space="preserve">*** </w:t>
      </w:r>
    </w:p>
    <w:p w14:paraId="419A6265" w14:textId="77777777" w:rsidR="00F31C1B" w:rsidRDefault="00F31C1B" w:rsidP="00F31C1B">
      <w:pPr>
        <w:pStyle w:val="NormalWeb"/>
        <w:ind w:left="720"/>
      </w:pPr>
      <w:r>
        <w:t xml:space="preserve">In support of his retaliation claims, Lucero maintains that he was subjected to various retaliatory actions by the </w:t>
      </w:r>
      <w:proofErr w:type="gramStart"/>
      <w:r>
        <w:t>City</w:t>
      </w:r>
      <w:proofErr w:type="gramEnd"/>
      <w:r>
        <w:t xml:space="preserve"> following his report of the June incident to his area commander, in which he expressed his belief that he was being treated differently because of his religion. Such actions included being placed in a floating position and being denied opportunities for overtime and a transfer to his desired station.</w:t>
      </w:r>
    </w:p>
    <w:p w14:paraId="5ABD854C" w14:textId="77777777" w:rsidR="00F31C1B" w:rsidRDefault="00F31C1B" w:rsidP="00F31C1B">
      <w:pPr>
        <w:pStyle w:val="NormalWeb"/>
        <w:ind w:left="720"/>
      </w:pPr>
      <w:r>
        <w:t>***</w:t>
      </w:r>
    </w:p>
    <w:p w14:paraId="4351CE1E" w14:textId="33AF8ED3" w:rsidR="00F31C1B" w:rsidRPr="00F31C1B" w:rsidRDefault="00F31C1B" w:rsidP="00F31C1B">
      <w:pPr>
        <w:pStyle w:val="NoSpacing"/>
        <w:ind w:left="720"/>
        <w:rPr>
          <w:rFonts w:ascii="Times New Roman" w:hAnsi="Times New Roman"/>
          <w:sz w:val="24"/>
          <w:szCs w:val="24"/>
        </w:rPr>
      </w:pPr>
      <w:r w:rsidRPr="00F31C1B">
        <w:rPr>
          <w:rFonts w:ascii="Times New Roman" w:hAnsi="Times New Roman"/>
          <w:sz w:val="24"/>
          <w:szCs w:val="24"/>
        </w:rPr>
        <w:t xml:space="preserve">As relevant here, to make out a hostile work environment claim, Lucero must make two basic showings…. </w:t>
      </w:r>
      <w:proofErr w:type="gramStart"/>
      <w:r w:rsidRPr="00F31C1B">
        <w:rPr>
          <w:rFonts w:ascii="Times New Roman" w:hAnsi="Times New Roman"/>
          <w:sz w:val="24"/>
          <w:szCs w:val="24"/>
        </w:rPr>
        <w:t>First, that</w:t>
      </w:r>
      <w:proofErr w:type="gramEnd"/>
      <w:r w:rsidRPr="00F31C1B">
        <w:rPr>
          <w:rFonts w:ascii="Times New Roman" w:hAnsi="Times New Roman"/>
          <w:sz w:val="24"/>
          <w:szCs w:val="24"/>
        </w:rPr>
        <w:t xml:space="preserve"> he was subjected to an objectively and subjectively hostile work environment.... </w:t>
      </w:r>
      <w:r w:rsidRPr="00F31C1B">
        <w:rPr>
          <w:rStyle w:val="Emphasis"/>
          <w:rFonts w:ascii="Times New Roman" w:hAnsi="Times New Roman"/>
          <w:sz w:val="24"/>
          <w:szCs w:val="24"/>
        </w:rPr>
        <w:t>See id.</w:t>
      </w:r>
      <w:r w:rsidRPr="00F31C1B">
        <w:rPr>
          <w:rFonts w:ascii="Times New Roman" w:hAnsi="Times New Roman"/>
          <w:sz w:val="24"/>
          <w:szCs w:val="24"/>
        </w:rPr>
        <w:t xml:space="preserve">; </w:t>
      </w:r>
      <w:r w:rsidRPr="00F31C1B">
        <w:rPr>
          <w:rStyle w:val="Emphasis"/>
          <w:rFonts w:ascii="Times New Roman" w:hAnsi="Times New Roman"/>
          <w:sz w:val="24"/>
          <w:szCs w:val="24"/>
        </w:rPr>
        <w:t>see also Herald v. Bd. of Regents of Univ. of N.M.</w:t>
      </w:r>
      <w:r w:rsidRPr="00F31C1B">
        <w:rPr>
          <w:rFonts w:ascii="Times New Roman" w:hAnsi="Times New Roman"/>
          <w:sz w:val="24"/>
          <w:szCs w:val="24"/>
        </w:rPr>
        <w:t xml:space="preserve">, 2015-NMCA-104, ¶ 53, 357 P.3d 438 </w:t>
      </w:r>
      <w:r w:rsidRPr="00F31C1B">
        <w:rPr>
          <w:rFonts w:ascii="Times New Roman" w:hAnsi="Times New Roman"/>
          <w:sz w:val="24"/>
          <w:szCs w:val="24"/>
        </w:rPr>
        <w:lastRenderedPageBreak/>
        <w:t xml:space="preserve">(providing that, to make out a hostile work environment claim, the harassing conduct must be ‘so severe and pervasive that the workplace is transformed into a hostile and abusive environment for the employee’….  Second, that the harassing conduct was based on his religion…. We accordingly affirm the district court's grant of summary judgment on Lucero's religious discrimination claim.” </w:t>
      </w:r>
      <w:hyperlink r:id="rId2544" w:history="1">
        <w:r w:rsidRPr="00F31C1B">
          <w:rPr>
            <w:rStyle w:val="Hyperlink"/>
            <w:rFonts w:ascii="Times New Roman" w:eastAsiaTheme="majorEastAsia" w:hAnsi="Times New Roman"/>
            <w:sz w:val="24"/>
            <w:szCs w:val="24"/>
          </w:rPr>
          <w:t>https://public.fastcase.com/J%2FJP6pdidelsXxEE4k%2BLMpGubXoiBI9N5c5PiCjiKje3s5hlj34tgYA4JUqhEnHu5%2B5A2YVGp5a5q0QWGlZ62xJPhOyoXNaYGEvkYwXaoTE%3D?utm_medium=email&amp;_hsmi=226712652&amp;_hsenc=p2ANqtz-8eQQAtjUmF0fegxTEoYBNzAO-SWgh5MKAZ8ooS_Vj6VgR_AfS9P2NoltKqIQKTjr9fMeFfYMtr9y658qMKNZJxq-ULqA&amp;utm_content=226712652&amp;utm_source=hs_email</w:t>
        </w:r>
      </w:hyperlink>
    </w:p>
    <w:p w14:paraId="3008616D" w14:textId="77777777" w:rsidR="00F31C1B" w:rsidRDefault="00F31C1B" w:rsidP="00F326E5">
      <w:pPr>
        <w:pStyle w:val="NoSpacing"/>
        <w:rPr>
          <w:rFonts w:ascii="Arial Black" w:hAnsi="Arial Black"/>
          <w:sz w:val="24"/>
          <w:szCs w:val="24"/>
        </w:rPr>
      </w:pPr>
    </w:p>
    <w:p w14:paraId="2ED991EB" w14:textId="77777777" w:rsidR="00F31C1B" w:rsidRPr="00F46331" w:rsidRDefault="00F31C1B" w:rsidP="00F31C1B">
      <w:pPr>
        <w:pStyle w:val="NormalWeb"/>
        <w:rPr>
          <w:b/>
          <w:bCs/>
        </w:rPr>
      </w:pPr>
      <w:r w:rsidRPr="00F46331">
        <w:rPr>
          <w:b/>
          <w:bCs/>
        </w:rPr>
        <w:t>Legal Lesson Learned:</w:t>
      </w:r>
      <w:r>
        <w:rPr>
          <w:b/>
          <w:bCs/>
        </w:rPr>
        <w:t xml:space="preserve"> Hostile work atmosphere claim requires proof of “severe” workplace environment. </w:t>
      </w:r>
    </w:p>
    <w:p w14:paraId="6BBFC075" w14:textId="77777777" w:rsidR="00F31C1B" w:rsidRDefault="00F31C1B" w:rsidP="00F31C1B">
      <w:pPr>
        <w:pStyle w:val="NormalWeb"/>
      </w:pPr>
      <w:r>
        <w:tab/>
        <w:t>Note: Court in Footnote 2 referenced plaintiff watching Fox News.</w:t>
      </w:r>
    </w:p>
    <w:p w14:paraId="36472B69" w14:textId="77777777" w:rsidR="00F31C1B" w:rsidRPr="00F46331" w:rsidRDefault="00F31C1B" w:rsidP="00F31C1B">
      <w:pPr>
        <w:pStyle w:val="NormalWeb"/>
        <w:ind w:left="720"/>
        <w:rPr>
          <w:b/>
          <w:bCs/>
        </w:rPr>
      </w:pPr>
      <w:r>
        <w:t>“</w:t>
      </w:r>
      <w:r w:rsidRPr="00F46331">
        <w:t xml:space="preserve">Although Lucero additionally asserts, in an affidavit he submitted in his response to the City's motion for summary judgment, that A.B. criticized him for watching a </w:t>
      </w:r>
      <w:r>
        <w:t>‘</w:t>
      </w:r>
      <w:r w:rsidRPr="00F46331">
        <w:t>conservative, pro-Christian news channel,</w:t>
      </w:r>
      <w:r>
        <w:t>’</w:t>
      </w:r>
      <w:r w:rsidRPr="00F46331">
        <w:t xml:space="preserve"> he does not rely on A.B.'s criticism of Lucero's news source as proof of religious animus. Moreover, the news source Lucero cites is apparently Fox News. In his deposition, Lucero agreed that </w:t>
      </w:r>
      <w:r>
        <w:t>‘</w:t>
      </w:r>
      <w:r w:rsidRPr="00F46331">
        <w:t>Fox News is a well-known Republican-affiliated news source</w:t>
      </w:r>
      <w:r>
        <w:t xml:space="preserve">’ </w:t>
      </w:r>
      <w:r w:rsidRPr="00F46331">
        <w:t xml:space="preserve">and testified that A.B.'s disapproval of Lucero watching Fox News was political, not religious. We observe that, although Lucero alleged discrimination based on </w:t>
      </w:r>
      <w:r>
        <w:t>‘</w:t>
      </w:r>
      <w:r w:rsidRPr="00F46331">
        <w:t>political views</w:t>
      </w:r>
      <w:r>
        <w:t>’</w:t>
      </w:r>
      <w:r w:rsidRPr="00F46331">
        <w:t xml:space="preserve"> in his administrative grievance, he did not advance such a claim in his complaint in district court, nor did he raise any claim based on the First Amendment to the United States Constitution. We therefore disregard his assertions concerning the news channel.</w:t>
      </w:r>
      <w:r>
        <w:t>”</w:t>
      </w:r>
    </w:p>
    <w:p w14:paraId="377023A8" w14:textId="77777777" w:rsidR="00F31C1B" w:rsidRDefault="00F31C1B" w:rsidP="00F326E5">
      <w:pPr>
        <w:pStyle w:val="NoSpacing"/>
        <w:rPr>
          <w:rFonts w:ascii="Arial Black" w:hAnsi="Arial Black"/>
          <w:sz w:val="24"/>
          <w:szCs w:val="24"/>
        </w:rPr>
      </w:pPr>
    </w:p>
    <w:p w14:paraId="0B2F40E7" w14:textId="77777777" w:rsidR="00F31C1B" w:rsidRDefault="00F31C1B" w:rsidP="00F326E5">
      <w:pPr>
        <w:pStyle w:val="NoSpacing"/>
        <w:rPr>
          <w:rFonts w:ascii="Arial Black" w:hAnsi="Arial Black"/>
          <w:sz w:val="24"/>
          <w:szCs w:val="24"/>
        </w:rPr>
      </w:pPr>
    </w:p>
    <w:p w14:paraId="4065D204" w14:textId="7376E746" w:rsidR="00F31C1B" w:rsidRDefault="00F31C1B" w:rsidP="00F326E5">
      <w:pPr>
        <w:pStyle w:val="NoSpacing"/>
        <w:rPr>
          <w:rFonts w:ascii="Arial Black" w:hAnsi="Arial Black"/>
          <w:sz w:val="24"/>
          <w:szCs w:val="24"/>
        </w:rPr>
      </w:pPr>
      <w:r>
        <w:rPr>
          <w:rFonts w:ascii="Arial Black" w:hAnsi="Arial Black"/>
          <w:sz w:val="24"/>
          <w:szCs w:val="24"/>
        </w:rPr>
        <w:t>16-76</w:t>
      </w:r>
    </w:p>
    <w:p w14:paraId="33934AE3" w14:textId="34ACB404" w:rsidR="00F31C1B" w:rsidRDefault="00F31C1B" w:rsidP="00F326E5">
      <w:pPr>
        <w:pStyle w:val="NoSpacing"/>
        <w:rPr>
          <w:rFonts w:ascii="Arial Black" w:hAnsi="Arial Black"/>
          <w:sz w:val="24"/>
          <w:szCs w:val="24"/>
        </w:rPr>
      </w:pPr>
    </w:p>
    <w:p w14:paraId="16874A0D" w14:textId="77777777" w:rsidR="00F31C1B" w:rsidRDefault="00F31C1B" w:rsidP="00F31C1B">
      <w:pPr>
        <w:pStyle w:val="NormalWeb"/>
        <w:rPr>
          <w:rFonts w:ascii="Arial Black" w:hAnsi="Arial Black"/>
          <w:sz w:val="28"/>
          <w:szCs w:val="28"/>
        </w:rPr>
      </w:pPr>
      <w:r>
        <w:rPr>
          <w:rFonts w:ascii="Arial Black" w:hAnsi="Arial Black"/>
          <w:sz w:val="28"/>
          <w:szCs w:val="28"/>
        </w:rPr>
        <w:t xml:space="preserve">IN: VOLUNTEER FF – PLED GULTY ARSON - 5 STRUCTURE FIRES, WANTED TO BE “HERO” – 20 YEARS PRISON </w:t>
      </w:r>
    </w:p>
    <w:p w14:paraId="5F308BDE" w14:textId="77777777" w:rsidR="00F31C1B" w:rsidRDefault="00F31C1B" w:rsidP="00F31C1B">
      <w:pPr>
        <w:pStyle w:val="NormalWeb"/>
      </w:pPr>
      <w:r>
        <w:t xml:space="preserve">On Nov. 29, 2022, in </w:t>
      </w:r>
      <w:r w:rsidRPr="00957183">
        <w:rPr>
          <w:u w:val="single"/>
        </w:rPr>
        <w:t>Adam Selbee v. State of Indiana</w:t>
      </w:r>
      <w:r>
        <w:t>, the Court of Appeals of Indiana held (3 to 0) that the defendant knowingly pled guilty after consulting with legal counsel; his claim of ineffective legal counsel is denied. Selbee pled guilty to the arson charges and was sentenced, pursuant to the terms of his plea agreement, to an aggregate term of thirty-two years, with twenty years executed and twelve years suspended to probation.</w:t>
      </w:r>
    </w:p>
    <w:p w14:paraId="6472B7DC" w14:textId="77777777" w:rsidR="00F31C1B" w:rsidRDefault="00F31C1B" w:rsidP="00F31C1B">
      <w:pPr>
        <w:pStyle w:val="NormalWeb"/>
        <w:ind w:left="720"/>
      </w:pPr>
      <w:r>
        <w:t>“Beginning in July of 2016, Selbee, using combustibles or ignitable liquid, set five structure fires and three ;hay bale fires….’ The structure fires included the following types of buildings: a gymnasium, a non-residential structure on a couple's property, and a residence. The fires were set on different days in July, September, and October of 2016. In addition to setting the fires, Selbee-who was a volunteer fire fighter and an EMT-later indicated that ‘he said [he] enjoyed responding to [the fires] and, and kind of being a hero</w:t>
      </w:r>
      <w:proofErr w:type="gramStart"/>
      <w:r>
        <w:t>.…</w:t>
      </w:r>
      <w:proofErr w:type="gramEnd"/>
      <w:r>
        <w:t xml:space="preserve"> He kind of got a pleasure from doing that…. ‘ </w:t>
      </w:r>
    </w:p>
    <w:p w14:paraId="20046890" w14:textId="77777777" w:rsidR="00F31C1B" w:rsidRPr="00376BC8" w:rsidRDefault="00F31C1B" w:rsidP="00F31C1B">
      <w:pPr>
        <w:pStyle w:val="NormalWeb"/>
        <w:ind w:left="720"/>
        <w:rPr>
          <w:rFonts w:ascii="Arial Black" w:hAnsi="Arial Black"/>
          <w:b/>
          <w:bCs/>
          <w:sz w:val="28"/>
          <w:szCs w:val="28"/>
        </w:rPr>
      </w:pPr>
      <w:r>
        <w:t>***</w:t>
      </w:r>
    </w:p>
    <w:p w14:paraId="6082D737" w14:textId="420DDF2E" w:rsidR="00F31C1B" w:rsidRPr="00F31C1B" w:rsidRDefault="00F31C1B" w:rsidP="00F31C1B">
      <w:pPr>
        <w:pStyle w:val="NoSpacing"/>
        <w:ind w:left="720"/>
        <w:rPr>
          <w:rStyle w:val="Hyperlink"/>
          <w:rFonts w:ascii="Times New Roman" w:eastAsiaTheme="majorEastAsia" w:hAnsi="Times New Roman"/>
          <w:sz w:val="24"/>
          <w:szCs w:val="24"/>
        </w:rPr>
      </w:pPr>
      <w:r w:rsidRPr="00F31C1B">
        <w:rPr>
          <w:rFonts w:ascii="Times New Roman" w:hAnsi="Times New Roman"/>
          <w:sz w:val="24"/>
          <w:szCs w:val="24"/>
        </w:rPr>
        <w:t xml:space="preserve">On May 25, 2017, Selbee entered into a plea agreement, under the terms of which Selbee agreed to plead guilty to all four arson counts in exchange for the dismissal of the criminal-mischief counts and a </w:t>
      </w:r>
      <w:r w:rsidRPr="00F31C1B">
        <w:rPr>
          <w:rFonts w:ascii="Times New Roman" w:hAnsi="Times New Roman"/>
          <w:sz w:val="24"/>
          <w:szCs w:val="24"/>
        </w:rPr>
        <w:lastRenderedPageBreak/>
        <w:t xml:space="preserve">separate criminal case.” </w:t>
      </w:r>
      <w:hyperlink r:id="rId2545" w:history="1">
        <w:r w:rsidRPr="00F31C1B">
          <w:rPr>
            <w:rStyle w:val="Hyperlink"/>
            <w:rFonts w:ascii="Times New Roman" w:eastAsiaTheme="majorEastAsia" w:hAnsi="Times New Roman"/>
            <w:sz w:val="24"/>
            <w:szCs w:val="24"/>
          </w:rPr>
          <w:t>https://public.courts.in.gov/Decisions/api/Document/Opinion?Id=BlYPkLxVHgH9AX_il3izt1lEOiPnwm0plhkYRvgS1Eap1sEgbSi8um2d6l97LpRN0</w:t>
        </w:r>
      </w:hyperlink>
    </w:p>
    <w:p w14:paraId="2937AF1F" w14:textId="5845EFB5" w:rsidR="00F31C1B" w:rsidRDefault="00F31C1B" w:rsidP="00F31C1B">
      <w:pPr>
        <w:pStyle w:val="NoSpacing"/>
        <w:rPr>
          <w:rStyle w:val="Hyperlink"/>
          <w:rFonts w:eastAsiaTheme="majorEastAsia"/>
        </w:rPr>
      </w:pPr>
    </w:p>
    <w:p w14:paraId="2B5C197A" w14:textId="77777777" w:rsidR="00F31C1B" w:rsidRPr="00BF28F1" w:rsidRDefault="00F31C1B" w:rsidP="00F31C1B">
      <w:pPr>
        <w:pStyle w:val="NormalWeb"/>
        <w:rPr>
          <w:b/>
          <w:bCs/>
          <w:vertAlign w:val="superscript"/>
        </w:rPr>
      </w:pPr>
      <w:r w:rsidRPr="00BF28F1">
        <w:rPr>
          <w:b/>
          <w:bCs/>
        </w:rPr>
        <w:t>Legal Lesson Learned:</w:t>
      </w:r>
      <w:r>
        <w:rPr>
          <w:b/>
          <w:bCs/>
        </w:rPr>
        <w:t xml:space="preserve">  Arsons by firefighters seeking to be “heroes” is unfortunately a </w:t>
      </w:r>
      <w:proofErr w:type="spellStart"/>
      <w:proofErr w:type="gramStart"/>
      <w:r>
        <w:rPr>
          <w:b/>
          <w:bCs/>
        </w:rPr>
        <w:t>well known</w:t>
      </w:r>
      <w:proofErr w:type="spellEnd"/>
      <w:proofErr w:type="gramEnd"/>
      <w:r>
        <w:rPr>
          <w:b/>
          <w:bCs/>
        </w:rPr>
        <w:t xml:space="preserve"> issue. </w:t>
      </w:r>
    </w:p>
    <w:p w14:paraId="074A190B" w14:textId="77777777" w:rsidR="00F31C1B" w:rsidRPr="00BF28F1" w:rsidRDefault="00F31C1B" w:rsidP="00F31C1B">
      <w:pPr>
        <w:pStyle w:val="NormalWeb"/>
        <w:ind w:left="720"/>
      </w:pPr>
      <w:r w:rsidRPr="00BF28F1">
        <w:t>Note: See articles on firefighter</w:t>
      </w:r>
      <w:r>
        <w:t xml:space="preserve"> </w:t>
      </w:r>
      <w:r w:rsidRPr="00BF28F1">
        <w:t>arsonists.</w:t>
      </w:r>
    </w:p>
    <w:p w14:paraId="40AF658E" w14:textId="77777777" w:rsidR="00F31C1B" w:rsidRPr="00BF28F1" w:rsidRDefault="00F31C1B" w:rsidP="00F31C1B">
      <w:pPr>
        <w:pStyle w:val="NormalWeb"/>
        <w:ind w:left="720"/>
      </w:pPr>
      <w:hyperlink r:id="rId2546" w:history="1">
        <w:r w:rsidRPr="00BF28F1">
          <w:rPr>
            <w:rStyle w:val="Hyperlink"/>
            <w:rFonts w:eastAsiaTheme="majorEastAsia"/>
          </w:rPr>
          <w:t>https://www.nvfc.org/firefighter-arson/</w:t>
        </w:r>
      </w:hyperlink>
      <w:r w:rsidRPr="00BF28F1">
        <w:t xml:space="preserve"> </w:t>
      </w:r>
    </w:p>
    <w:p w14:paraId="23D7D905" w14:textId="77777777" w:rsidR="00F31C1B" w:rsidRPr="00BF28F1" w:rsidRDefault="00F31C1B" w:rsidP="00F31C1B">
      <w:pPr>
        <w:pStyle w:val="NormalWeb"/>
        <w:ind w:left="720"/>
      </w:pPr>
      <w:hyperlink r:id="rId2547" w:history="1">
        <w:r w:rsidRPr="00BF28F1">
          <w:rPr>
            <w:rStyle w:val="Hyperlink"/>
            <w:rFonts w:eastAsiaTheme="majorEastAsia"/>
          </w:rPr>
          <w:t>https://www.firerescue1.com/arson-investigation/articles/understanding-the-firefighter-arsonist-j06dtElH3OMZMwBS/</w:t>
        </w:r>
      </w:hyperlink>
      <w:r w:rsidRPr="00BF28F1">
        <w:t xml:space="preserve"> </w:t>
      </w:r>
    </w:p>
    <w:p w14:paraId="2AAD65E4" w14:textId="77777777" w:rsidR="00F31C1B" w:rsidRPr="00BF28F1" w:rsidRDefault="00F31C1B" w:rsidP="00F31C1B">
      <w:pPr>
        <w:pStyle w:val="NormalWeb"/>
        <w:ind w:left="720"/>
      </w:pPr>
      <w:hyperlink r:id="rId2548" w:history="1">
        <w:r w:rsidRPr="00BF28F1">
          <w:rPr>
            <w:rStyle w:val="Hyperlink"/>
            <w:rFonts w:eastAsiaTheme="majorEastAsia"/>
          </w:rPr>
          <w:t>https://www.cbc.ca/news/canada/edmonton/fires-set-by-firefighters-a-long-standing-problem-experts-say-1.3563183</w:t>
        </w:r>
      </w:hyperlink>
      <w:r w:rsidRPr="00BF28F1">
        <w:t xml:space="preserve"> </w:t>
      </w:r>
    </w:p>
    <w:p w14:paraId="592AA3D5" w14:textId="77777777" w:rsidR="00F31C1B" w:rsidRPr="00BF28F1" w:rsidRDefault="00F31C1B" w:rsidP="00F31C1B">
      <w:pPr>
        <w:pStyle w:val="NormalWeb"/>
        <w:ind w:left="720"/>
      </w:pPr>
      <w:hyperlink r:id="rId2549" w:history="1">
        <w:r w:rsidRPr="00BF28F1">
          <w:rPr>
            <w:rStyle w:val="Hyperlink"/>
            <w:rFonts w:eastAsiaTheme="majorEastAsia"/>
          </w:rPr>
          <w:t>https://burned.journalism.cuny.edu/the-diverse-minds-of-arsonists/</w:t>
        </w:r>
      </w:hyperlink>
      <w:r w:rsidRPr="00BF28F1">
        <w:t xml:space="preserve"> </w:t>
      </w:r>
    </w:p>
    <w:p w14:paraId="53DC1192" w14:textId="77777777" w:rsidR="00F31C1B" w:rsidRPr="00BF28F1" w:rsidRDefault="00F31C1B" w:rsidP="00F31C1B">
      <w:pPr>
        <w:pStyle w:val="NormalWeb"/>
        <w:ind w:left="720"/>
      </w:pPr>
      <w:hyperlink r:id="rId2550" w:history="1">
        <w:r w:rsidRPr="00BF28F1">
          <w:rPr>
            <w:rStyle w:val="Hyperlink"/>
            <w:rFonts w:eastAsiaTheme="majorEastAsia"/>
          </w:rPr>
          <w:t>https://edmontonjournal.com/news/crime/firefighters-who-start-fires-a-look-at-the-phenomenon-of-firefighter-arson</w:t>
        </w:r>
      </w:hyperlink>
      <w:r w:rsidRPr="00BF28F1">
        <w:t xml:space="preserve">  </w:t>
      </w:r>
    </w:p>
    <w:p w14:paraId="3C9AFD29" w14:textId="77777777" w:rsidR="00F31C1B" w:rsidRDefault="00F31C1B" w:rsidP="00F31C1B">
      <w:pPr>
        <w:pStyle w:val="NoSpacing"/>
        <w:rPr>
          <w:rFonts w:ascii="Times New Roman" w:hAnsi="Times New Roman"/>
          <w:sz w:val="24"/>
          <w:szCs w:val="24"/>
        </w:rPr>
      </w:pPr>
    </w:p>
    <w:p w14:paraId="56C106A9" w14:textId="77777777" w:rsidR="00F31C1B" w:rsidRDefault="00F31C1B" w:rsidP="00F326E5">
      <w:pPr>
        <w:pStyle w:val="NoSpacing"/>
        <w:rPr>
          <w:rFonts w:ascii="Arial Black" w:hAnsi="Arial Black"/>
          <w:sz w:val="24"/>
          <w:szCs w:val="24"/>
        </w:rPr>
      </w:pPr>
    </w:p>
    <w:p w14:paraId="3CF6CEF3" w14:textId="5A6F7CE6" w:rsidR="00F31C1B" w:rsidRDefault="00F31C1B" w:rsidP="00F326E5">
      <w:pPr>
        <w:pStyle w:val="NoSpacing"/>
        <w:rPr>
          <w:rFonts w:ascii="Arial Black" w:hAnsi="Arial Black"/>
          <w:sz w:val="24"/>
          <w:szCs w:val="24"/>
        </w:rPr>
      </w:pPr>
      <w:r>
        <w:rPr>
          <w:rFonts w:ascii="Arial Black" w:hAnsi="Arial Black"/>
          <w:sz w:val="24"/>
          <w:szCs w:val="24"/>
        </w:rPr>
        <w:t>16-75</w:t>
      </w:r>
    </w:p>
    <w:p w14:paraId="127C7C1B" w14:textId="77777777" w:rsidR="00F31C1B" w:rsidRDefault="00F31C1B" w:rsidP="00F326E5">
      <w:pPr>
        <w:pStyle w:val="NoSpacing"/>
        <w:rPr>
          <w:rFonts w:ascii="Arial Black" w:hAnsi="Arial Black"/>
          <w:sz w:val="24"/>
          <w:szCs w:val="24"/>
        </w:rPr>
      </w:pPr>
    </w:p>
    <w:p w14:paraId="73C4446A" w14:textId="77777777" w:rsidR="00F31C1B" w:rsidRDefault="00F31C1B" w:rsidP="00F31C1B">
      <w:pPr>
        <w:pStyle w:val="NormalWeb"/>
        <w:rPr>
          <w:rFonts w:ascii="Arial Black" w:hAnsi="Arial Black"/>
          <w:b/>
          <w:bCs/>
          <w:sz w:val="28"/>
          <w:szCs w:val="28"/>
        </w:rPr>
      </w:pPr>
      <w:r>
        <w:rPr>
          <w:rFonts w:ascii="Arial Black" w:hAnsi="Arial Black"/>
          <w:b/>
          <w:bCs/>
          <w:sz w:val="28"/>
          <w:szCs w:val="28"/>
        </w:rPr>
        <w:t xml:space="preserve">GA: BREACH CHAIN OF COMMAND – FF CALLED COUNTY COMM. AIDE – 5 TRUCKS OOS - DEMOTED, NO 1st. AMEND. </w:t>
      </w:r>
    </w:p>
    <w:p w14:paraId="4B818241" w14:textId="77777777" w:rsidR="00F31C1B" w:rsidRDefault="00F31C1B" w:rsidP="00F31C1B">
      <w:pPr>
        <w:pStyle w:val="NormalWeb"/>
      </w:pPr>
      <w:r w:rsidRPr="003F09C4">
        <w:t xml:space="preserve">On </w:t>
      </w:r>
      <w:r>
        <w:t xml:space="preserve">Nov. 22, 2022, in </w:t>
      </w:r>
      <w:r w:rsidRPr="003F09C4">
        <w:rPr>
          <w:u w:val="single"/>
        </w:rPr>
        <w:t>Scott Millspaugh v. Conn County Fire And Emergency Services</w:t>
      </w:r>
      <w:r>
        <w:t>, the U.S. Court of Appeals for the 11</w:t>
      </w:r>
      <w:r w:rsidRPr="003F09C4">
        <w:rPr>
          <w:vertAlign w:val="superscript"/>
        </w:rPr>
        <w:t>th</w:t>
      </w:r>
      <w:r>
        <w:t xml:space="preserve"> Circuit (Atlanta) held (3 to 0 ) (unpublished decision) that trial court properly granted summary judgment for Cobb County; the firefighter failed to go up chain of command about his concerns about apparatus and staffing before leaving voicemail with Commissioner’s assistant and was properly demoted from FF III to FF II. </w:t>
      </w:r>
    </w:p>
    <w:p w14:paraId="426ED93F" w14:textId="77777777" w:rsidR="00F31C1B" w:rsidRDefault="00F31C1B" w:rsidP="00F31C1B">
      <w:pPr>
        <w:pStyle w:val="NormalWeb"/>
        <w:ind w:left="720"/>
      </w:pPr>
      <w:r>
        <w:t>“[W[e hold that Millspaugh spoke as a public employee when leaving his voicemail and that his voicemail was not protected by the First Amendment. We also hold that the Individual Defendants were entitled to qualified immunity. We, therefore, affirm the district court's order granting summary judgment. ***   But even if Millspaugh's voicemail were protected speech under the First Amendment, the district court correctly determined that the Defendants' interest in promoting the efficiency of fire suppression services outweighed Millspaugh's interest in the speech.”</w:t>
      </w:r>
      <w:r>
        <w:rPr>
          <w:rStyle w:val="Emphasis"/>
        </w:rPr>
        <w:t xml:space="preserve"> </w:t>
      </w:r>
      <w:hyperlink r:id="rId2551" w:history="1">
        <w:r w:rsidRPr="003B3F7F">
          <w:rPr>
            <w:rStyle w:val="Hyperlink"/>
            <w:rFonts w:eastAsiaTheme="majorEastAsia"/>
          </w:rPr>
          <w:t>https://law.justia.com/cases/federal/appellate-courts/ca11/22-10132/22-10132-2022-11-22.html</w:t>
        </w:r>
      </w:hyperlink>
      <w:r>
        <w:t xml:space="preserve"> </w:t>
      </w:r>
    </w:p>
    <w:p w14:paraId="518BB491" w14:textId="77777777" w:rsidR="00F31C1B" w:rsidRPr="00E3663A" w:rsidRDefault="00F31C1B" w:rsidP="00F31C1B">
      <w:pPr>
        <w:pStyle w:val="NormalWeb"/>
        <w:rPr>
          <w:b/>
          <w:bCs/>
        </w:rPr>
      </w:pPr>
      <w:r w:rsidRPr="00E3663A">
        <w:rPr>
          <w:b/>
          <w:bCs/>
        </w:rPr>
        <w:t>Legal Lesson Learned:</w:t>
      </w:r>
      <w:r>
        <w:rPr>
          <w:b/>
          <w:bCs/>
        </w:rPr>
        <w:t xml:space="preserve"> Breaching chain of command can result in discipline.  First Amendment only protects firefighter’s speech when speaking as a citizen on a matter of interest to public. </w:t>
      </w:r>
    </w:p>
    <w:p w14:paraId="77E76750" w14:textId="77777777" w:rsidR="00F31C1B" w:rsidRDefault="00F31C1B" w:rsidP="00F326E5">
      <w:pPr>
        <w:pStyle w:val="NoSpacing"/>
        <w:rPr>
          <w:rFonts w:ascii="Arial Black" w:hAnsi="Arial Black"/>
          <w:sz w:val="24"/>
          <w:szCs w:val="24"/>
        </w:rPr>
      </w:pPr>
    </w:p>
    <w:p w14:paraId="7EFAB8DC" w14:textId="77777777" w:rsidR="00F31C1B" w:rsidRDefault="00F31C1B" w:rsidP="00F326E5">
      <w:pPr>
        <w:pStyle w:val="NoSpacing"/>
        <w:rPr>
          <w:rFonts w:ascii="Arial Black" w:hAnsi="Arial Black"/>
          <w:sz w:val="24"/>
          <w:szCs w:val="24"/>
        </w:rPr>
      </w:pPr>
    </w:p>
    <w:p w14:paraId="5FC06A8B" w14:textId="77777777" w:rsidR="00F31C1B" w:rsidRDefault="00F31C1B" w:rsidP="00F326E5">
      <w:pPr>
        <w:pStyle w:val="NoSpacing"/>
        <w:rPr>
          <w:rFonts w:ascii="Arial Black" w:hAnsi="Arial Black"/>
          <w:sz w:val="24"/>
          <w:szCs w:val="24"/>
        </w:rPr>
      </w:pPr>
    </w:p>
    <w:p w14:paraId="3020BE39" w14:textId="79F6D2A1" w:rsidR="00F31C1B" w:rsidRDefault="00F31C1B" w:rsidP="00F326E5">
      <w:pPr>
        <w:pStyle w:val="NoSpacing"/>
        <w:rPr>
          <w:rFonts w:ascii="Arial Black" w:hAnsi="Arial Black"/>
          <w:sz w:val="24"/>
          <w:szCs w:val="24"/>
        </w:rPr>
      </w:pPr>
      <w:r>
        <w:rPr>
          <w:rFonts w:ascii="Arial Black" w:hAnsi="Arial Black"/>
          <w:sz w:val="24"/>
          <w:szCs w:val="24"/>
        </w:rPr>
        <w:t>16-74</w:t>
      </w:r>
    </w:p>
    <w:p w14:paraId="0CFB752F" w14:textId="25CB537C" w:rsidR="00F31C1B" w:rsidRDefault="00F31C1B" w:rsidP="00F326E5">
      <w:pPr>
        <w:pStyle w:val="NoSpacing"/>
        <w:rPr>
          <w:rFonts w:ascii="Arial Black" w:hAnsi="Arial Black"/>
          <w:sz w:val="24"/>
          <w:szCs w:val="24"/>
        </w:rPr>
      </w:pPr>
    </w:p>
    <w:p w14:paraId="79FBC192" w14:textId="77777777" w:rsidR="009C612E" w:rsidRDefault="009C612E" w:rsidP="009C612E">
      <w:pPr>
        <w:pStyle w:val="NormalWeb"/>
        <w:rPr>
          <w:rFonts w:ascii="Arial Black" w:hAnsi="Arial Black"/>
          <w:b/>
          <w:bCs/>
          <w:sz w:val="28"/>
          <w:szCs w:val="28"/>
        </w:rPr>
      </w:pPr>
      <w:r>
        <w:rPr>
          <w:rFonts w:ascii="Arial Black" w:hAnsi="Arial Black"/>
          <w:b/>
          <w:bCs/>
          <w:sz w:val="28"/>
          <w:szCs w:val="28"/>
        </w:rPr>
        <w:t xml:space="preserve">CA: CAPT. FIRED - ASSUALT BROTHER (FF) AT PARTY – NO “WHISTLEBLOWER” DEFENSE FOR RPT. BROTHER’S FRAUD </w:t>
      </w:r>
    </w:p>
    <w:p w14:paraId="5648DBA7" w14:textId="77777777" w:rsidR="00F31C1B" w:rsidRDefault="00F31C1B" w:rsidP="00F31C1B">
      <w:pPr>
        <w:pStyle w:val="NormalWeb"/>
      </w:pPr>
      <w:r w:rsidRPr="00AC5A14">
        <w:t xml:space="preserve">On </w:t>
      </w:r>
      <w:r>
        <w:t xml:space="preserve">Nov. 14, 2022, in </w:t>
      </w:r>
      <w:r w:rsidRPr="000661F4">
        <w:rPr>
          <w:u w:val="single"/>
        </w:rPr>
        <w:t xml:space="preserve">Sean Olguin v. City of </w:t>
      </w:r>
      <w:proofErr w:type="spellStart"/>
      <w:r w:rsidRPr="000661F4">
        <w:rPr>
          <w:u w:val="single"/>
        </w:rPr>
        <w:t>Hollistter</w:t>
      </w:r>
      <w:proofErr w:type="spellEnd"/>
      <w:r>
        <w:t xml:space="preserve">, the California Court of Appeals, Sixth Circuit, held (3 to 0; unpublished opinion) that Captain was properly fired, after a pre-termination meeting with Fire Chief, and then hearing with City Manager.  During these meetings he claimed his </w:t>
      </w:r>
      <w:proofErr w:type="spellStart"/>
      <w:proofErr w:type="gramStart"/>
      <w:r>
        <w:t>bother</w:t>
      </w:r>
      <w:proofErr w:type="spellEnd"/>
      <w:proofErr w:type="gramEnd"/>
      <w:r>
        <w:t xml:space="preserve"> was committing insurance fraud by faking his injuries; but there is no causal link between plaintiff's disclosure and his termination.</w:t>
      </w:r>
    </w:p>
    <w:p w14:paraId="441F761A" w14:textId="77777777" w:rsidR="00F31C1B" w:rsidRDefault="00F31C1B" w:rsidP="00F31C1B">
      <w:pPr>
        <w:pStyle w:val="NormalWeb"/>
        <w:ind w:left="720"/>
      </w:pPr>
      <w:r>
        <w:t>“The allegations in plaintiff's complaint are based on his disclosure of unlawful conduct (in the form of insurance fraud) by plaintiff's brother, a city firefighter.</w:t>
      </w:r>
    </w:p>
    <w:p w14:paraId="06029486" w14:textId="77777777" w:rsidR="00F31C1B" w:rsidRDefault="00F31C1B" w:rsidP="00F31C1B">
      <w:pPr>
        <w:pStyle w:val="NormalWeb"/>
        <w:ind w:firstLine="720"/>
      </w:pPr>
      <w:r>
        <w:t>***</w:t>
      </w:r>
    </w:p>
    <w:p w14:paraId="044E737F" w14:textId="2C087A53" w:rsidR="00F31C1B" w:rsidRPr="00F31C1B" w:rsidRDefault="00F31C1B" w:rsidP="00F31C1B">
      <w:pPr>
        <w:pStyle w:val="NoSpacing"/>
        <w:ind w:left="720"/>
        <w:rPr>
          <w:rFonts w:ascii="Times New Roman" w:hAnsi="Times New Roman"/>
          <w:sz w:val="24"/>
          <w:szCs w:val="24"/>
        </w:rPr>
      </w:pPr>
      <w:r w:rsidRPr="00F31C1B">
        <w:rPr>
          <w:rFonts w:ascii="Times New Roman" w:hAnsi="Times New Roman"/>
          <w:sz w:val="24"/>
          <w:szCs w:val="24"/>
        </w:rPr>
        <w:t xml:space="preserve">Plaintiff's complaint nonetheless fails as a matter of law because it draws no causal link between plaintiff's disclosure and his termination. </w:t>
      </w:r>
      <w:proofErr w:type="gramStart"/>
      <w:r w:rsidRPr="00F31C1B">
        <w:rPr>
          <w:rFonts w:ascii="Times New Roman" w:hAnsi="Times New Roman"/>
          <w:sz w:val="24"/>
          <w:szCs w:val="24"/>
        </w:rPr>
        <w:t>Plaintiff was</w:t>
      </w:r>
      <w:proofErr w:type="gramEnd"/>
      <w:r w:rsidRPr="00F31C1B">
        <w:rPr>
          <w:rFonts w:ascii="Times New Roman" w:hAnsi="Times New Roman"/>
          <w:sz w:val="24"/>
          <w:szCs w:val="24"/>
        </w:rPr>
        <w:t xml:space="preserve"> issued a notice of intended termination in October 2019, following an extensive internal affairs investigation into the October 2018 altercation. Plaintiff's </w:t>
      </w:r>
      <w:r w:rsidRPr="00F31C1B">
        <w:rPr>
          <w:rStyle w:val="Emphasis"/>
          <w:rFonts w:ascii="Times New Roman" w:hAnsi="Times New Roman"/>
          <w:sz w:val="24"/>
          <w:szCs w:val="24"/>
        </w:rPr>
        <w:t>Skelly</w:t>
      </w:r>
      <w:r w:rsidRPr="00F31C1B">
        <w:rPr>
          <w:rFonts w:ascii="Times New Roman" w:hAnsi="Times New Roman"/>
          <w:sz w:val="24"/>
          <w:szCs w:val="24"/>
        </w:rPr>
        <w:t xml:space="preserve"> hearing-at which he challenged the misconduct charges in part through disclosure about his brother's alleged fraud-occurred after the investigation and notice of intended termination…. If the rules </w:t>
      </w:r>
      <w:proofErr w:type="gramStart"/>
      <w:r w:rsidRPr="00F31C1B">
        <w:rPr>
          <w:rFonts w:ascii="Times New Roman" w:hAnsi="Times New Roman"/>
          <w:sz w:val="24"/>
          <w:szCs w:val="24"/>
        </w:rPr>
        <w:t>were</w:t>
      </w:r>
      <w:proofErr w:type="gramEnd"/>
      <w:r w:rsidRPr="00F31C1B">
        <w:rPr>
          <w:rFonts w:ascii="Times New Roman" w:hAnsi="Times New Roman"/>
          <w:sz w:val="24"/>
          <w:szCs w:val="24"/>
        </w:rPr>
        <w:t xml:space="preserve"> otherwise, a plaintiff could orchestrate a retaliation claim by purporting to reveal an unlawful act of a coworker at any time during a disciplinary </w:t>
      </w:r>
      <w:proofErr w:type="gramStart"/>
      <w:r w:rsidRPr="00F31C1B">
        <w:rPr>
          <w:rFonts w:ascii="Times New Roman" w:hAnsi="Times New Roman"/>
          <w:sz w:val="24"/>
          <w:szCs w:val="24"/>
        </w:rPr>
        <w:t>process.”</w:t>
      </w:r>
      <w:proofErr w:type="gramEnd"/>
      <w:r w:rsidRPr="00F31C1B">
        <w:rPr>
          <w:rFonts w:ascii="Times New Roman" w:hAnsi="Times New Roman"/>
          <w:sz w:val="24"/>
          <w:szCs w:val="24"/>
        </w:rPr>
        <w:t xml:space="preserve"> </w:t>
      </w:r>
      <w:hyperlink r:id="rId2552" w:history="1">
        <w:r w:rsidRPr="00F31C1B">
          <w:rPr>
            <w:rStyle w:val="Hyperlink"/>
            <w:rFonts w:ascii="Times New Roman" w:eastAsiaTheme="majorEastAsia" w:hAnsi="Times New Roman"/>
            <w:sz w:val="24"/>
            <w:szCs w:val="24"/>
          </w:rPr>
          <w:t>https://casetext.com/case/olguin-v-city-of-hollister</w:t>
        </w:r>
      </w:hyperlink>
    </w:p>
    <w:p w14:paraId="474DF74A" w14:textId="39E88EFA" w:rsidR="00F31C1B" w:rsidRDefault="00F31C1B" w:rsidP="00F326E5">
      <w:pPr>
        <w:pStyle w:val="NoSpacing"/>
        <w:rPr>
          <w:rFonts w:ascii="Arial Black" w:hAnsi="Arial Black"/>
          <w:sz w:val="24"/>
          <w:szCs w:val="24"/>
        </w:rPr>
      </w:pPr>
    </w:p>
    <w:p w14:paraId="0F2DADE6" w14:textId="77777777" w:rsidR="00F31C1B" w:rsidRPr="00E56DA1" w:rsidRDefault="00F31C1B" w:rsidP="00F31C1B">
      <w:pPr>
        <w:pStyle w:val="NormalWeb"/>
        <w:rPr>
          <w:b/>
          <w:bCs/>
        </w:rPr>
      </w:pPr>
      <w:r w:rsidRPr="00E56DA1">
        <w:rPr>
          <w:b/>
          <w:bCs/>
        </w:rPr>
        <w:t>Legal Lesson Learned:</w:t>
      </w:r>
      <w:r>
        <w:rPr>
          <w:b/>
          <w:bCs/>
        </w:rPr>
        <w:t xml:space="preserve"> Off duty conduct can lead to termination. </w:t>
      </w:r>
    </w:p>
    <w:p w14:paraId="29C1E9A8" w14:textId="77777777" w:rsidR="00F31C1B" w:rsidRDefault="00F31C1B" w:rsidP="00F326E5">
      <w:pPr>
        <w:pStyle w:val="NoSpacing"/>
        <w:rPr>
          <w:rFonts w:ascii="Arial Black" w:hAnsi="Arial Black"/>
          <w:sz w:val="24"/>
          <w:szCs w:val="24"/>
        </w:rPr>
      </w:pPr>
    </w:p>
    <w:p w14:paraId="51FA653C" w14:textId="77777777" w:rsidR="00F31C1B" w:rsidRDefault="00F31C1B" w:rsidP="00F326E5">
      <w:pPr>
        <w:pStyle w:val="NoSpacing"/>
        <w:rPr>
          <w:rFonts w:ascii="Arial Black" w:hAnsi="Arial Black"/>
          <w:sz w:val="24"/>
          <w:szCs w:val="24"/>
        </w:rPr>
      </w:pPr>
    </w:p>
    <w:p w14:paraId="49FDFF09" w14:textId="732E4AD9" w:rsidR="00755E16" w:rsidRDefault="00755E16" w:rsidP="00F326E5">
      <w:pPr>
        <w:pStyle w:val="NoSpacing"/>
        <w:rPr>
          <w:rFonts w:ascii="Arial Black" w:hAnsi="Arial Black"/>
          <w:sz w:val="24"/>
          <w:szCs w:val="24"/>
        </w:rPr>
      </w:pPr>
      <w:r>
        <w:rPr>
          <w:rFonts w:ascii="Arial Black" w:hAnsi="Arial Black"/>
          <w:sz w:val="24"/>
          <w:szCs w:val="24"/>
        </w:rPr>
        <w:t>16-7</w:t>
      </w:r>
      <w:r w:rsidR="00487B06">
        <w:rPr>
          <w:rFonts w:ascii="Arial Black" w:hAnsi="Arial Black"/>
          <w:sz w:val="24"/>
          <w:szCs w:val="24"/>
        </w:rPr>
        <w:t>3</w:t>
      </w:r>
    </w:p>
    <w:p w14:paraId="57B7AD14" w14:textId="77777777" w:rsidR="00755E16" w:rsidRDefault="00755E16" w:rsidP="00755E16">
      <w:pPr>
        <w:pStyle w:val="NormalWeb"/>
        <w:rPr>
          <w:rFonts w:ascii="Arial Black" w:hAnsi="Arial Black"/>
          <w:b/>
          <w:bCs/>
          <w:sz w:val="28"/>
          <w:szCs w:val="28"/>
        </w:rPr>
      </w:pPr>
      <w:r>
        <w:rPr>
          <w:rFonts w:ascii="Arial Black" w:hAnsi="Arial Black"/>
          <w:b/>
          <w:bCs/>
          <w:sz w:val="28"/>
          <w:szCs w:val="28"/>
        </w:rPr>
        <w:t xml:space="preserve">OH: PRE-DISCIP. CONF. INADEQUATE – MEDIC FIRED UNAUTHORIZED BLOOD DRAW FOR PD – CASE PROCEED  </w:t>
      </w:r>
    </w:p>
    <w:p w14:paraId="3C77AEF5" w14:textId="77777777" w:rsidR="00755E16" w:rsidRDefault="00755E16" w:rsidP="00755E16">
      <w:pPr>
        <w:pStyle w:val="NormalWeb"/>
      </w:pPr>
      <w:r>
        <w:t xml:space="preserve">On Sept. 26, 2022, in </w:t>
      </w:r>
      <w:r>
        <w:rPr>
          <w:u w:val="single"/>
        </w:rPr>
        <w:t>Mitchell Plunk v. Chester Township</w:t>
      </w:r>
      <w:r>
        <w:t>, U.S. District Court Judge James S. Gwin, U.S. District Court for Northern District of Ohio, denied the Township’s motion for summary judgment in the paramedic’s lawsuit, who was fired after 9 years with the Township, who sued for violating his procedural due process rights.  The Medical Director apparently had concluded that the paramedic didn’t complete EMS run report about the blood draw he performed at the Police Station because he wanted the Medical Director at his other FD to confirm this was authorized.</w:t>
      </w:r>
    </w:p>
    <w:p w14:paraId="2B6EE0ED" w14:textId="567FCCE9" w:rsidR="00755E16" w:rsidRPr="00755E16" w:rsidRDefault="00755E16" w:rsidP="00755E16">
      <w:pPr>
        <w:pStyle w:val="NoSpacing"/>
        <w:ind w:left="720"/>
        <w:rPr>
          <w:rFonts w:ascii="Times New Roman" w:hAnsi="Times New Roman"/>
          <w:sz w:val="24"/>
          <w:szCs w:val="24"/>
        </w:rPr>
      </w:pPr>
      <w:r w:rsidRPr="00755E16">
        <w:rPr>
          <w:rFonts w:ascii="Times New Roman" w:hAnsi="Times New Roman"/>
          <w:sz w:val="24"/>
          <w:szCs w:val="24"/>
        </w:rPr>
        <w:t xml:space="preserve">“Before ending Plaintiff's long-held employment, Defendant gave Plunk a hearing. The hearing did not let Plaintiff challenge the medical director's decision…. Because Defendant Chester Township and the medical director acted in concert to remove Plaintiff Plunk without giving Plunk an opportunity to challenge their decision's basis, the Court </w:t>
      </w:r>
      <w:r w:rsidRPr="00755E16">
        <w:rPr>
          <w:rStyle w:val="Strong"/>
          <w:rFonts w:ascii="Times New Roman" w:hAnsi="Times New Roman"/>
          <w:sz w:val="24"/>
          <w:szCs w:val="24"/>
        </w:rPr>
        <w:t>DENIES</w:t>
      </w:r>
      <w:r w:rsidRPr="00755E16">
        <w:rPr>
          <w:rFonts w:ascii="Times New Roman" w:hAnsi="Times New Roman"/>
          <w:sz w:val="24"/>
          <w:szCs w:val="24"/>
        </w:rPr>
        <w:t xml:space="preserve"> Defendant's motion. </w:t>
      </w:r>
      <w:hyperlink r:id="rId2553" w:history="1">
        <w:r w:rsidRPr="00755E16">
          <w:rPr>
            <w:rStyle w:val="Hyperlink"/>
            <w:rFonts w:ascii="Times New Roman" w:hAnsi="Times New Roman"/>
            <w:sz w:val="24"/>
            <w:szCs w:val="24"/>
          </w:rPr>
          <w:t>https://public.fastcase.com/J%2FJP6pdidelsXxEE4k%2BLMjmPooMwsB33SF6fQbdKtm0G0C1GTVT</w:t>
        </w:r>
        <w:r w:rsidRPr="00755E16">
          <w:rPr>
            <w:rStyle w:val="Hyperlink"/>
            <w:rFonts w:ascii="Times New Roman" w:hAnsi="Times New Roman"/>
            <w:sz w:val="24"/>
            <w:szCs w:val="24"/>
          </w:rPr>
          <w:lastRenderedPageBreak/>
          <w:t>WTSbOoR0BGdHWdmqT3nxx5N34mFb%2FQIY0wnFPK7Gz1IkNE53DDevS6vE%3D?utm_medium=email&amp;_hsmi=226712652&amp;_hsenc=p2ANqtz--MKBV4Y804r56tzWY_uVAuJIZ65L25irdtNU6ZdfUrAAPtscNAIDyxYykxQ2RxJby9_Fy5S6I1PNXJg84F7LwVp6Ejlw&amp;utm_content=226712652&amp;utm_source=hs_email</w:t>
        </w:r>
      </w:hyperlink>
    </w:p>
    <w:p w14:paraId="6C05649D" w14:textId="77777777" w:rsidR="00755E16" w:rsidRDefault="00755E16" w:rsidP="00F326E5">
      <w:pPr>
        <w:pStyle w:val="NoSpacing"/>
        <w:rPr>
          <w:rFonts w:ascii="Arial Black" w:hAnsi="Arial Black"/>
          <w:sz w:val="24"/>
          <w:szCs w:val="24"/>
        </w:rPr>
      </w:pPr>
    </w:p>
    <w:p w14:paraId="48CB180C" w14:textId="77777777" w:rsidR="00755E16" w:rsidRDefault="00755E16" w:rsidP="00F326E5">
      <w:pPr>
        <w:pStyle w:val="NoSpacing"/>
        <w:rPr>
          <w:rFonts w:ascii="Arial Black" w:hAnsi="Arial Black"/>
          <w:sz w:val="24"/>
          <w:szCs w:val="24"/>
        </w:rPr>
      </w:pPr>
    </w:p>
    <w:p w14:paraId="107FF0EA" w14:textId="77628554" w:rsidR="003E45EB" w:rsidRDefault="003E45EB" w:rsidP="00F326E5">
      <w:pPr>
        <w:pStyle w:val="NoSpacing"/>
        <w:rPr>
          <w:rFonts w:ascii="Arial Black" w:hAnsi="Arial Black"/>
          <w:sz w:val="24"/>
          <w:szCs w:val="24"/>
        </w:rPr>
      </w:pPr>
      <w:r>
        <w:rPr>
          <w:rFonts w:ascii="Arial Black" w:hAnsi="Arial Black"/>
          <w:sz w:val="24"/>
          <w:szCs w:val="24"/>
        </w:rPr>
        <w:t>16-7</w:t>
      </w:r>
      <w:r w:rsidR="00487B06">
        <w:rPr>
          <w:rFonts w:ascii="Arial Black" w:hAnsi="Arial Black"/>
          <w:sz w:val="24"/>
          <w:szCs w:val="24"/>
        </w:rPr>
        <w:t>2</w:t>
      </w:r>
    </w:p>
    <w:p w14:paraId="11447361" w14:textId="77777777" w:rsidR="003E45EB" w:rsidRDefault="003E45EB" w:rsidP="003E45EB">
      <w:pPr>
        <w:pStyle w:val="NoSpacing"/>
        <w:rPr>
          <w:rFonts w:ascii="Arial Black" w:hAnsi="Arial Black"/>
          <w:sz w:val="28"/>
          <w:szCs w:val="28"/>
        </w:rPr>
      </w:pPr>
    </w:p>
    <w:p w14:paraId="4DCD5863" w14:textId="2EB5D8A1" w:rsidR="003E45EB" w:rsidRPr="003C0A6A" w:rsidRDefault="003E45EB" w:rsidP="003E45EB">
      <w:pPr>
        <w:pStyle w:val="NoSpacing"/>
      </w:pPr>
      <w:r w:rsidRPr="006032BB">
        <w:rPr>
          <w:rFonts w:ascii="Arial Black" w:hAnsi="Arial Black"/>
          <w:sz w:val="28"/>
          <w:szCs w:val="28"/>
        </w:rPr>
        <w:t>OK: FIRE CHIEF FIRED</w:t>
      </w:r>
      <w:r>
        <w:rPr>
          <w:rFonts w:ascii="Arial Black" w:hAnsi="Arial Black"/>
          <w:sz w:val="28"/>
          <w:szCs w:val="28"/>
        </w:rPr>
        <w:t xml:space="preserve"> – LAWSUIT REINSTATED – MAY NOT BE “AT WILL” EMPLOYEE – LACK OF DUE PROCESS</w:t>
      </w:r>
    </w:p>
    <w:p w14:paraId="59C4B8E3" w14:textId="77777777" w:rsidR="003E45EB" w:rsidRPr="00B361A5" w:rsidRDefault="003E45EB" w:rsidP="003E45EB">
      <w:pPr>
        <w:pStyle w:val="NormalWeb"/>
      </w:pPr>
      <w:r>
        <w:t xml:space="preserve">On Aug. 19, 2022, in </w:t>
      </w:r>
      <w:r w:rsidRPr="006032BB">
        <w:rPr>
          <w:u w:val="single"/>
        </w:rPr>
        <w:t>Stephen Parmenter v. City of Nowata, Oklahoma</w:t>
      </w:r>
      <w:r>
        <w:t>, the U.S. Court of Appeals for Tenth Circuit (Denver) held (3 to 0) that trial court improperly granted summary judgment to the City and remanded the case.  “</w:t>
      </w:r>
      <w:r w:rsidRPr="00B361A5">
        <w:t>The United States District Court for the Northern District of Oklahoma granted the City's motion for summary judgment, holding (1) that Mr. Parmenter did not have a protected interest in his job and therefore was not entitled to procedural due process, and (2) that in any event he was provided adequate process. Mr. Parmenter appealed. We reverse and remand for further proceedings to determine whether Mr. Parmenter had a protected interest in his position, and if so whether he received sufficient process.</w:t>
      </w:r>
      <w:r>
        <w:t xml:space="preserve">” </w:t>
      </w:r>
      <w:hyperlink r:id="rId2554" w:history="1">
        <w:r w:rsidRPr="005E2F1B">
          <w:rPr>
            <w:rStyle w:val="Hyperlink"/>
            <w:rFonts w:eastAsiaTheme="majorEastAsia"/>
          </w:rPr>
          <w:t>https://law.justia.com/cases/federal/appellate-courts/ca10/20-5113/20-5113-2022-08-19.html</w:t>
        </w:r>
      </w:hyperlink>
      <w:r>
        <w:t xml:space="preserve"> </w:t>
      </w:r>
    </w:p>
    <w:p w14:paraId="7197605A" w14:textId="77777777" w:rsidR="003E45EB" w:rsidRPr="00FE6238" w:rsidRDefault="003E45EB" w:rsidP="003E45EB">
      <w:pPr>
        <w:spacing w:before="100" w:beforeAutospacing="1" w:after="100" w:afterAutospacing="1" w:line="240" w:lineRule="auto"/>
        <w:rPr>
          <w:rFonts w:ascii="Times New Roman" w:hAnsi="Times New Roman"/>
          <w:b/>
          <w:bCs/>
          <w:sz w:val="24"/>
          <w:szCs w:val="24"/>
        </w:rPr>
      </w:pPr>
      <w:r w:rsidRPr="00FE6238">
        <w:rPr>
          <w:rFonts w:ascii="Times New Roman" w:hAnsi="Times New Roman"/>
          <w:b/>
          <w:bCs/>
          <w:sz w:val="24"/>
          <w:szCs w:val="24"/>
        </w:rPr>
        <w:t xml:space="preserve">Legal Lesson Learned:  </w:t>
      </w:r>
      <w:r>
        <w:rPr>
          <w:rFonts w:ascii="Times New Roman" w:hAnsi="Times New Roman"/>
          <w:b/>
          <w:bCs/>
          <w:sz w:val="24"/>
          <w:szCs w:val="24"/>
        </w:rPr>
        <w:t xml:space="preserve">Even if employee is “at will” it is best practice to provide employee with written notice of charges and a pre-disciplinary meeting.  </w:t>
      </w:r>
    </w:p>
    <w:p w14:paraId="26BA2294" w14:textId="46336EDD" w:rsidR="003E45EB" w:rsidRDefault="00487B06" w:rsidP="00F326E5">
      <w:pPr>
        <w:pStyle w:val="NoSpacing"/>
        <w:rPr>
          <w:rFonts w:ascii="Arial Black" w:hAnsi="Arial Black"/>
          <w:sz w:val="24"/>
          <w:szCs w:val="24"/>
        </w:rPr>
      </w:pPr>
      <w:r>
        <w:rPr>
          <w:rFonts w:ascii="Arial Black" w:hAnsi="Arial Black"/>
          <w:sz w:val="24"/>
          <w:szCs w:val="24"/>
        </w:rPr>
        <w:t>16-71</w:t>
      </w:r>
    </w:p>
    <w:p w14:paraId="4657ADC9" w14:textId="77777777" w:rsidR="00487B06" w:rsidRPr="00487B06" w:rsidRDefault="00487B06" w:rsidP="00487B06">
      <w:pPr>
        <w:pStyle w:val="NormalWeb"/>
        <w:rPr>
          <w:rFonts w:ascii="Arial Black" w:hAnsi="Arial Black"/>
          <w:b/>
          <w:bCs/>
          <w:sz w:val="28"/>
          <w:szCs w:val="28"/>
        </w:rPr>
      </w:pPr>
      <w:r w:rsidRPr="00487B06">
        <w:rPr>
          <w:rFonts w:ascii="Arial Black" w:hAnsi="Arial Black"/>
          <w:b/>
          <w:bCs/>
          <w:sz w:val="28"/>
          <w:szCs w:val="28"/>
        </w:rPr>
        <w:t>OH: ORANGE TOWNSHIP FF REINSTATED – ARBITRATOR DECISION UPHELD</w:t>
      </w:r>
    </w:p>
    <w:p w14:paraId="2CB2DE4C" w14:textId="77777777" w:rsidR="00487B06" w:rsidRPr="00487B06" w:rsidRDefault="00487B06" w:rsidP="00487B06">
      <w:pPr>
        <w:pStyle w:val="NormalWeb"/>
        <w:rPr>
          <w:rStyle w:val="markedcontent"/>
        </w:rPr>
      </w:pPr>
      <w:r w:rsidRPr="00487B06">
        <w:rPr>
          <w:bCs/>
        </w:rPr>
        <w:t xml:space="preserve">On Aug. 8, 2022, in </w:t>
      </w:r>
      <w:r w:rsidRPr="00487B06">
        <w:rPr>
          <w:rStyle w:val="markedcontent"/>
        </w:rPr>
        <w:t xml:space="preserve">Orange Twp. v. </w:t>
      </w:r>
      <w:proofErr w:type="spellStart"/>
      <w:r w:rsidRPr="00487B06">
        <w:rPr>
          <w:rStyle w:val="markedcontent"/>
        </w:rPr>
        <w:t>Internatl</w:t>
      </w:r>
      <w:proofErr w:type="spellEnd"/>
      <w:r w:rsidRPr="00487B06">
        <w:rPr>
          <w:rStyle w:val="markedcontent"/>
        </w:rPr>
        <w:t xml:space="preserve">. Assn. of Fire Fighters Local 3816, 2022-Ohio-2757, Court of Appeals of Delaware County held (3 to 0) the firefighters to be reinstated. </w:t>
      </w:r>
      <w:hyperlink r:id="rId2555" w:history="1">
        <w:r w:rsidRPr="00487B06">
          <w:rPr>
            <w:rStyle w:val="Hyperlink"/>
          </w:rPr>
          <w:t>https://www.supremecourt.ohio.gov/rod/docs/pdf/5/2022/2022-Ohio-2757.pdf</w:t>
        </w:r>
      </w:hyperlink>
      <w:r w:rsidRPr="00487B06">
        <w:rPr>
          <w:rStyle w:val="markedcontent"/>
        </w:rPr>
        <w:t xml:space="preserve"> </w:t>
      </w:r>
    </w:p>
    <w:p w14:paraId="6506E120" w14:textId="77777777" w:rsidR="00487B06" w:rsidRPr="00487B06" w:rsidRDefault="00487B06" w:rsidP="00487B06">
      <w:pPr>
        <w:pStyle w:val="NormalWeb"/>
        <w:rPr>
          <w:rStyle w:val="markedcontent"/>
        </w:rPr>
      </w:pPr>
      <w:r w:rsidRPr="00487B06">
        <w:rPr>
          <w:rStyle w:val="markedcontent"/>
        </w:rPr>
        <w:t xml:space="preserve">“In October 2016, Marcus Musser started working as a part-time firefighter for appellant and was assigned to 1-Unit at Station 361. The </w:t>
      </w:r>
      <w:proofErr w:type="spellStart"/>
      <w:r w:rsidRPr="00487B06">
        <w:rPr>
          <w:rStyle w:val="markedcontent"/>
        </w:rPr>
        <w:t>grievants</w:t>
      </w:r>
      <w:proofErr w:type="spellEnd"/>
      <w:r w:rsidRPr="00487B06">
        <w:rPr>
          <w:rStyle w:val="markedcontent"/>
        </w:rPr>
        <w:t xml:space="preserve"> herein are fellow firefighter Bradley Belville and appellant's chain of command, Lieutenant David Martin and Captain John Hodges. In September 2019, Musser requested a transfer and was</w:t>
      </w:r>
      <w:r w:rsidRPr="00487B06">
        <w:br/>
      </w:r>
      <w:r w:rsidRPr="00487B06">
        <w:rPr>
          <w:rStyle w:val="markedcontent"/>
        </w:rPr>
        <w:t>subsequently transferred to 2-Unit. Fire Chief Matt Noble interviewed Musser regarding his transfer request.</w:t>
      </w:r>
      <w:r w:rsidRPr="00487B06">
        <w:br/>
      </w:r>
      <w:r w:rsidRPr="00487B06">
        <w:rPr>
          <w:rStyle w:val="markedcontent"/>
        </w:rPr>
        <w:t xml:space="preserve">Thereafter, Chief Noble conducted an investigation, held </w:t>
      </w:r>
      <w:proofErr w:type="spellStart"/>
      <w:r w:rsidRPr="00487B06">
        <w:rPr>
          <w:rStyle w:val="markedcontent"/>
        </w:rPr>
        <w:t>predisciplinary</w:t>
      </w:r>
      <w:proofErr w:type="spellEnd"/>
      <w:r w:rsidRPr="00487B06">
        <w:rPr>
          <w:rStyle w:val="markedcontent"/>
        </w:rPr>
        <w:t xml:space="preserve"> hearings, and in reports dated December 5, 2019, recommended the termination of the </w:t>
      </w:r>
      <w:proofErr w:type="spellStart"/>
      <w:r w:rsidRPr="00487B06">
        <w:rPr>
          <w:rStyle w:val="markedcontent"/>
        </w:rPr>
        <w:t>grievants</w:t>
      </w:r>
      <w:proofErr w:type="spellEnd"/>
      <w:r w:rsidRPr="00487B06">
        <w:rPr>
          <w:rStyle w:val="markedcontent"/>
        </w:rPr>
        <w:t xml:space="preserve"> for violating several sections of the Orange Township policies including threats or acts of physical violence against a coworker, abusive behavior, hazing, harassment of a</w:t>
      </w:r>
      <w:r w:rsidRPr="00487B06">
        <w:br/>
      </w:r>
      <w:r w:rsidRPr="00487B06">
        <w:rPr>
          <w:rStyle w:val="markedcontent"/>
        </w:rPr>
        <w:t xml:space="preserve">coworker, conduct unbecoming, neglect of duty, and failure to meet essential job functions. *** The arbitrator determined the facts did not rise to the level of just cause. Contract interpretation is left to the discretion of the arbitrator </w:t>
      </w:r>
      <w:proofErr w:type="gramStart"/>
      <w:r w:rsidRPr="00487B06">
        <w:rPr>
          <w:rStyle w:val="markedcontent"/>
        </w:rPr>
        <w:t>as long as</w:t>
      </w:r>
      <w:proofErr w:type="gramEnd"/>
      <w:r w:rsidRPr="00487B06">
        <w:rPr>
          <w:rStyle w:val="markedcontent"/>
        </w:rPr>
        <w:t xml:space="preserve"> it does not conflict with an express term in the CBA and/or cannot be rationally derived from the terms of the CBA. We cannot find either to apply in this case.”</w:t>
      </w:r>
    </w:p>
    <w:p w14:paraId="0BC1E463" w14:textId="77777777" w:rsidR="003E45EB" w:rsidRDefault="003E45EB" w:rsidP="00F326E5">
      <w:pPr>
        <w:pStyle w:val="NoSpacing"/>
        <w:rPr>
          <w:rFonts w:ascii="Arial Black" w:hAnsi="Arial Black"/>
          <w:sz w:val="24"/>
          <w:szCs w:val="24"/>
        </w:rPr>
      </w:pPr>
    </w:p>
    <w:p w14:paraId="2038F830" w14:textId="77777777" w:rsidR="00487B06" w:rsidRDefault="00487B06" w:rsidP="00F326E5">
      <w:pPr>
        <w:pStyle w:val="NoSpacing"/>
        <w:rPr>
          <w:rFonts w:ascii="Arial Black" w:hAnsi="Arial Black"/>
          <w:sz w:val="24"/>
          <w:szCs w:val="24"/>
        </w:rPr>
      </w:pPr>
    </w:p>
    <w:p w14:paraId="4A703F08" w14:textId="77777777" w:rsidR="00487B06" w:rsidRDefault="00487B06" w:rsidP="00F326E5">
      <w:pPr>
        <w:pStyle w:val="NoSpacing"/>
        <w:rPr>
          <w:rFonts w:ascii="Arial Black" w:hAnsi="Arial Black"/>
          <w:sz w:val="24"/>
          <w:szCs w:val="24"/>
        </w:rPr>
      </w:pPr>
    </w:p>
    <w:p w14:paraId="56A1E4B4" w14:textId="77777777" w:rsidR="00487B06" w:rsidRDefault="00487B06" w:rsidP="00F326E5">
      <w:pPr>
        <w:pStyle w:val="NoSpacing"/>
        <w:rPr>
          <w:rFonts w:ascii="Arial Black" w:hAnsi="Arial Black"/>
          <w:sz w:val="24"/>
          <w:szCs w:val="24"/>
        </w:rPr>
      </w:pPr>
    </w:p>
    <w:p w14:paraId="0B549152" w14:textId="77777777" w:rsidR="00487B06" w:rsidRDefault="00487B06" w:rsidP="00F326E5">
      <w:pPr>
        <w:pStyle w:val="NoSpacing"/>
        <w:rPr>
          <w:rFonts w:ascii="Arial Black" w:hAnsi="Arial Black"/>
          <w:sz w:val="24"/>
          <w:szCs w:val="24"/>
        </w:rPr>
      </w:pPr>
    </w:p>
    <w:p w14:paraId="12435A16" w14:textId="1BCFBB63" w:rsidR="007051EE" w:rsidRDefault="007051EE" w:rsidP="00F326E5">
      <w:pPr>
        <w:pStyle w:val="NoSpacing"/>
        <w:rPr>
          <w:rFonts w:ascii="Arial Black" w:hAnsi="Arial Black"/>
          <w:sz w:val="24"/>
          <w:szCs w:val="24"/>
        </w:rPr>
      </w:pPr>
      <w:r>
        <w:rPr>
          <w:rFonts w:ascii="Arial Black" w:hAnsi="Arial Black"/>
          <w:sz w:val="24"/>
          <w:szCs w:val="24"/>
        </w:rPr>
        <w:t>16-7</w:t>
      </w:r>
      <w:r w:rsidR="00C24A79">
        <w:rPr>
          <w:rFonts w:ascii="Arial Black" w:hAnsi="Arial Black"/>
          <w:sz w:val="24"/>
          <w:szCs w:val="24"/>
        </w:rPr>
        <w:t>0</w:t>
      </w:r>
    </w:p>
    <w:p w14:paraId="10978E10" w14:textId="77777777" w:rsidR="007051EE" w:rsidRPr="00B873A1" w:rsidRDefault="007051EE" w:rsidP="007051EE">
      <w:pPr>
        <w:spacing w:before="100" w:beforeAutospacing="1" w:after="100" w:afterAutospacing="1" w:line="240" w:lineRule="auto"/>
        <w:rPr>
          <w:rFonts w:ascii="Arial Black" w:eastAsia="Times New Roman" w:hAnsi="Arial Black"/>
          <w:b/>
          <w:bCs/>
          <w:sz w:val="28"/>
          <w:szCs w:val="28"/>
        </w:rPr>
      </w:pPr>
      <w:r w:rsidRPr="00B873A1">
        <w:rPr>
          <w:rFonts w:ascii="Arial Black" w:eastAsia="Times New Roman" w:hAnsi="Arial Black"/>
          <w:b/>
          <w:bCs/>
          <w:sz w:val="28"/>
          <w:szCs w:val="28"/>
        </w:rPr>
        <w:t xml:space="preserve">TX: LT. FIRED, REINSTATED AFTER 4 YRS – HIS INCOME DURING SUSPENSION MORE THAN </w:t>
      </w:r>
      <w:r>
        <w:rPr>
          <w:rFonts w:ascii="Arial Black" w:eastAsia="Times New Roman" w:hAnsi="Arial Black"/>
          <w:b/>
          <w:bCs/>
          <w:sz w:val="28"/>
          <w:szCs w:val="28"/>
        </w:rPr>
        <w:t xml:space="preserve">FF - </w:t>
      </w:r>
      <w:r w:rsidRPr="00B873A1">
        <w:rPr>
          <w:rFonts w:ascii="Arial Black" w:eastAsia="Times New Roman" w:hAnsi="Arial Black"/>
          <w:b/>
          <w:bCs/>
          <w:sz w:val="28"/>
          <w:szCs w:val="28"/>
        </w:rPr>
        <w:t>PARTIAL BACK PAY</w:t>
      </w:r>
    </w:p>
    <w:p w14:paraId="2131C279" w14:textId="77777777" w:rsidR="007051EE" w:rsidRDefault="007051EE" w:rsidP="007051EE">
      <w:pPr>
        <w:rPr>
          <w:rFonts w:ascii="Times New Roman" w:eastAsia="Times New Roman" w:hAnsi="Times New Roman"/>
          <w:sz w:val="24"/>
          <w:szCs w:val="24"/>
        </w:rPr>
      </w:pPr>
      <w:r w:rsidRPr="00293AC3">
        <w:rPr>
          <w:rFonts w:ascii="Times New Roman" w:eastAsia="Times New Roman" w:hAnsi="Times New Roman"/>
          <w:sz w:val="24"/>
          <w:szCs w:val="24"/>
        </w:rPr>
        <w:t xml:space="preserve">On July 28, 2022, in </w:t>
      </w:r>
      <w:r w:rsidRPr="00293AC3">
        <w:rPr>
          <w:rFonts w:ascii="Times New Roman" w:eastAsia="Times New Roman" w:hAnsi="Times New Roman"/>
          <w:sz w:val="24"/>
          <w:szCs w:val="24"/>
          <w:u w:val="single"/>
        </w:rPr>
        <w:t>Fabian Scott Butler v. City of Big Springs, Texas</w:t>
      </w:r>
      <w:r>
        <w:rPr>
          <w:rFonts w:ascii="Times New Roman" w:eastAsia="Times New Roman" w:hAnsi="Times New Roman"/>
          <w:sz w:val="24"/>
          <w:szCs w:val="24"/>
        </w:rPr>
        <w:t xml:space="preserve">, the TX Eleventh Circuit Court of Appeals reversed a trial court </w:t>
      </w:r>
      <w:proofErr w:type="gramStart"/>
      <w:r>
        <w:rPr>
          <w:rFonts w:ascii="Times New Roman" w:eastAsia="Times New Roman" w:hAnsi="Times New Roman"/>
          <w:sz w:val="24"/>
          <w:szCs w:val="24"/>
        </w:rPr>
        <w:t>that which</w:t>
      </w:r>
      <w:proofErr w:type="gramEnd"/>
      <w:r>
        <w:rPr>
          <w:rFonts w:ascii="Times New Roman" w:eastAsia="Times New Roman" w:hAnsi="Times New Roman"/>
          <w:sz w:val="24"/>
          <w:szCs w:val="24"/>
        </w:rPr>
        <w:t xml:space="preserve"> had agreed with City that Lt. Butler was not entitled to any back pay.  Court of Appeals held that Butler is entitled to back pay for any FD pay </w:t>
      </w:r>
      <w:proofErr w:type="gramStart"/>
      <w:r>
        <w:rPr>
          <w:rFonts w:ascii="Times New Roman" w:eastAsia="Times New Roman" w:hAnsi="Times New Roman"/>
          <w:sz w:val="24"/>
          <w:szCs w:val="24"/>
        </w:rPr>
        <w:t>periods</w:t>
      </w:r>
      <w:proofErr w:type="gramEnd"/>
      <w:r>
        <w:rPr>
          <w:rFonts w:ascii="Times New Roman" w:eastAsia="Times New Roman" w:hAnsi="Times New Roman"/>
          <w:sz w:val="24"/>
          <w:szCs w:val="24"/>
        </w:rPr>
        <w:t xml:space="preserve"> where his outside income was less than he would have made on FD.  </w:t>
      </w:r>
      <w:hyperlink r:id="rId2556" w:history="1">
        <w:r w:rsidRPr="00081EF4">
          <w:rPr>
            <w:rStyle w:val="Hyperlink"/>
            <w:rFonts w:ascii="Times New Roman" w:eastAsia="Times New Roman" w:hAnsi="Times New Roman"/>
            <w:sz w:val="24"/>
            <w:szCs w:val="24"/>
          </w:rPr>
          <w:t>https://cases.justia.com/texas/eleventh-court-of-appeals/2022-11-21-00026-cv.pdf?ts=1659010960</w:t>
        </w:r>
      </w:hyperlink>
      <w:r>
        <w:rPr>
          <w:rFonts w:ascii="Times New Roman" w:eastAsia="Times New Roman" w:hAnsi="Times New Roman"/>
          <w:sz w:val="24"/>
          <w:szCs w:val="24"/>
        </w:rPr>
        <w:t xml:space="preserve"> </w:t>
      </w:r>
    </w:p>
    <w:p w14:paraId="2987B6F8" w14:textId="77777777" w:rsidR="007051EE" w:rsidRDefault="007051EE" w:rsidP="007051EE">
      <w:pPr>
        <w:rPr>
          <w:rStyle w:val="markedcontent"/>
          <w:rFonts w:ascii="Times New Roman" w:hAnsi="Times New Roman"/>
          <w:b/>
          <w:bCs/>
          <w:sz w:val="24"/>
          <w:szCs w:val="24"/>
        </w:rPr>
      </w:pPr>
      <w:r w:rsidRPr="00104D9E">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Progressive discipline; the offense needs to be extremely serious to terminate a career firefighter who has never previously been suspended. </w:t>
      </w:r>
    </w:p>
    <w:p w14:paraId="56832288" w14:textId="77777777" w:rsidR="007051EE" w:rsidRPr="00BF0238" w:rsidRDefault="007051EE" w:rsidP="007051EE">
      <w:pPr>
        <w:ind w:left="720"/>
        <w:rPr>
          <w:rStyle w:val="markedcontent"/>
          <w:rFonts w:ascii="Times New Roman" w:hAnsi="Times New Roman"/>
          <w:sz w:val="24"/>
          <w:szCs w:val="24"/>
        </w:rPr>
      </w:pPr>
      <w:r>
        <w:rPr>
          <w:rStyle w:val="markedcontent"/>
          <w:rFonts w:ascii="Times New Roman" w:hAnsi="Times New Roman"/>
          <w:sz w:val="24"/>
          <w:szCs w:val="24"/>
        </w:rPr>
        <w:t xml:space="preserve">Note:  Not clear why the fire department rehired the plaintiff on Sept. 23, 2019.  A search </w:t>
      </w:r>
      <w:proofErr w:type="gramStart"/>
      <w:r>
        <w:rPr>
          <w:rStyle w:val="markedcontent"/>
          <w:rFonts w:ascii="Times New Roman" w:hAnsi="Times New Roman"/>
          <w:sz w:val="24"/>
          <w:szCs w:val="24"/>
        </w:rPr>
        <w:t>of</w:t>
      </w:r>
      <w:proofErr w:type="gramEnd"/>
      <w:r>
        <w:rPr>
          <w:rStyle w:val="markedcontent"/>
          <w:rFonts w:ascii="Times New Roman" w:hAnsi="Times New Roman"/>
          <w:sz w:val="24"/>
          <w:szCs w:val="24"/>
        </w:rPr>
        <w:t xml:space="preserve"> Federal Court records reflects that on Sept. 4. 2015, the Plaintiff filed a lawsuit against the fire department in U.S. District Court, Northern District of Texas (Abilene Division), and on October 17, </w:t>
      </w:r>
      <w:proofErr w:type="gramStart"/>
      <w:r>
        <w:rPr>
          <w:rStyle w:val="markedcontent"/>
          <w:rFonts w:ascii="Times New Roman" w:hAnsi="Times New Roman"/>
          <w:sz w:val="24"/>
          <w:szCs w:val="24"/>
        </w:rPr>
        <w:t>2017</w:t>
      </w:r>
      <w:proofErr w:type="gramEnd"/>
      <w:r>
        <w:rPr>
          <w:rStyle w:val="markedcontent"/>
          <w:rFonts w:ascii="Times New Roman" w:hAnsi="Times New Roman"/>
          <w:sz w:val="24"/>
          <w:szCs w:val="24"/>
        </w:rPr>
        <w:t xml:space="preserve"> a jury held for the fire department. </w:t>
      </w:r>
      <w:hyperlink r:id="rId2557" w:history="1">
        <w:r w:rsidRPr="00BF0238">
          <w:rPr>
            <w:rStyle w:val="Hyperlink"/>
            <w:rFonts w:ascii="Times New Roman" w:hAnsi="Times New Roman"/>
            <w:sz w:val="24"/>
            <w:szCs w:val="24"/>
          </w:rPr>
          <w:t>Case Title Butler v. City of Big Spring.pdf</w:t>
        </w:r>
      </w:hyperlink>
      <w:r w:rsidRPr="00BF0238">
        <w:rPr>
          <w:rFonts w:ascii="Times New Roman" w:hAnsi="Times New Roman"/>
          <w:sz w:val="24"/>
          <w:szCs w:val="24"/>
        </w:rPr>
        <w:t xml:space="preserve">. </w:t>
      </w:r>
      <w:r>
        <w:rPr>
          <w:rFonts w:ascii="Times New Roman" w:hAnsi="Times New Roman"/>
          <w:sz w:val="24"/>
          <w:szCs w:val="24"/>
        </w:rPr>
        <w:t xml:space="preserve"> </w:t>
      </w:r>
    </w:p>
    <w:p w14:paraId="6B575653" w14:textId="77777777" w:rsidR="007051EE" w:rsidRDefault="007051EE" w:rsidP="00F326E5">
      <w:pPr>
        <w:pStyle w:val="NoSpacing"/>
        <w:rPr>
          <w:rFonts w:ascii="Arial Black" w:hAnsi="Arial Black"/>
          <w:sz w:val="24"/>
          <w:szCs w:val="24"/>
        </w:rPr>
      </w:pPr>
    </w:p>
    <w:p w14:paraId="6612A982" w14:textId="77777777" w:rsidR="007051EE" w:rsidRDefault="007051EE" w:rsidP="00F326E5">
      <w:pPr>
        <w:pStyle w:val="NoSpacing"/>
        <w:rPr>
          <w:rFonts w:ascii="Arial Black" w:hAnsi="Arial Black"/>
          <w:sz w:val="24"/>
          <w:szCs w:val="24"/>
        </w:rPr>
      </w:pPr>
    </w:p>
    <w:p w14:paraId="49755AB2" w14:textId="77777777" w:rsidR="007051EE" w:rsidRDefault="007051EE" w:rsidP="00F326E5">
      <w:pPr>
        <w:pStyle w:val="NoSpacing"/>
        <w:rPr>
          <w:rFonts w:ascii="Arial Black" w:hAnsi="Arial Black"/>
          <w:sz w:val="24"/>
          <w:szCs w:val="24"/>
        </w:rPr>
      </w:pPr>
    </w:p>
    <w:p w14:paraId="3F8FAD9F" w14:textId="74FDD8DC" w:rsidR="007051EE" w:rsidRDefault="007051EE" w:rsidP="00F326E5">
      <w:pPr>
        <w:pStyle w:val="NoSpacing"/>
        <w:rPr>
          <w:rFonts w:ascii="Arial Black" w:hAnsi="Arial Black"/>
          <w:sz w:val="24"/>
          <w:szCs w:val="24"/>
        </w:rPr>
      </w:pPr>
      <w:r>
        <w:rPr>
          <w:rFonts w:ascii="Arial Black" w:hAnsi="Arial Black"/>
          <w:sz w:val="24"/>
          <w:szCs w:val="24"/>
        </w:rPr>
        <w:t>16-69</w:t>
      </w:r>
    </w:p>
    <w:p w14:paraId="1C4FE465" w14:textId="77777777" w:rsidR="007051EE" w:rsidRDefault="007051EE" w:rsidP="007051EE">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MA: BACKGROUND CHECK – FD APPLICANT ARREST 7 YRS PRIOR HIT GIRLFRIEND – NO CONV / CAN SUE REPORT CO. </w:t>
      </w:r>
    </w:p>
    <w:p w14:paraId="3FF9BF72" w14:textId="77777777" w:rsidR="007051EE" w:rsidRDefault="007051EE" w:rsidP="007051EE">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July 7, 2022, in </w:t>
      </w:r>
      <w:r w:rsidRPr="0009131B">
        <w:rPr>
          <w:rFonts w:ascii="Times New Roman" w:eastAsia="Times New Roman" w:hAnsi="Times New Roman"/>
          <w:sz w:val="24"/>
          <w:szCs w:val="24"/>
          <w:u w:val="single"/>
        </w:rPr>
        <w:t>Gerald Meuse v. National P.I. Services, LLC et al</w:t>
      </w:r>
      <w:r>
        <w:rPr>
          <w:rFonts w:ascii="Times New Roman" w:eastAsia="Times New Roman" w:hAnsi="Times New Roman"/>
          <w:sz w:val="24"/>
          <w:szCs w:val="24"/>
        </w:rPr>
        <w:t xml:space="preserve">., U.S. District Court judge Allison D. Burroughs, U.S. District Court for the District of Massachusetts, held that the plaintiff may file an amended complaint against the defendant Consumer Reporting Agency (CRA) under the “seven-year lookback” limits in the federal Fair Credit Reporting Act, </w:t>
      </w:r>
      <w:r w:rsidRPr="005F79BA">
        <w:rPr>
          <w:rFonts w:ascii="Times New Roman" w:hAnsi="Times New Roman"/>
          <w:sz w:val="24"/>
          <w:szCs w:val="24"/>
        </w:rPr>
        <w:t>and</w:t>
      </w:r>
      <w:r>
        <w:rPr>
          <w:rFonts w:ascii="Times New Roman" w:hAnsi="Times New Roman"/>
          <w:sz w:val="24"/>
          <w:szCs w:val="24"/>
        </w:rPr>
        <w:t xml:space="preserve"> also prohibitions on use of arrest records under </w:t>
      </w:r>
      <w:r w:rsidRPr="005F79BA">
        <w:rPr>
          <w:rFonts w:ascii="Times New Roman" w:hAnsi="Times New Roman"/>
          <w:sz w:val="24"/>
          <w:szCs w:val="24"/>
        </w:rPr>
        <w:t>Massachusetts</w:t>
      </w:r>
      <w:r>
        <w:rPr>
          <w:rFonts w:ascii="Times New Roman" w:hAnsi="Times New Roman"/>
          <w:sz w:val="24"/>
          <w:szCs w:val="24"/>
        </w:rPr>
        <w:t xml:space="preserve"> laws. </w:t>
      </w:r>
      <w:r w:rsidRPr="005F79BA">
        <w:rPr>
          <w:rFonts w:ascii="Times New Roman" w:hAnsi="Times New Roman"/>
          <w:sz w:val="24"/>
          <w:szCs w:val="24"/>
        </w:rPr>
        <w:t xml:space="preserve"> </w:t>
      </w:r>
      <w:r>
        <w:rPr>
          <w:rFonts w:ascii="Times New Roman" w:hAnsi="Times New Roman"/>
          <w:sz w:val="24"/>
          <w:szCs w:val="24"/>
        </w:rPr>
        <w:t>“</w:t>
      </w:r>
      <w:r w:rsidRPr="0095474C">
        <w:rPr>
          <w:rFonts w:ascii="Times New Roman" w:hAnsi="Times New Roman"/>
          <w:sz w:val="24"/>
          <w:szCs w:val="24"/>
        </w:rPr>
        <w:t xml:space="preserve">Section 1681c(a)(2) provides that CRAs must exclude from consumer reports </w:t>
      </w:r>
      <w:r>
        <w:rPr>
          <w:rFonts w:ascii="Times New Roman" w:hAnsi="Times New Roman"/>
          <w:sz w:val="24"/>
          <w:szCs w:val="24"/>
        </w:rPr>
        <w:t>‘</w:t>
      </w:r>
      <w:r w:rsidRPr="0095474C">
        <w:rPr>
          <w:rFonts w:ascii="Times New Roman" w:hAnsi="Times New Roman"/>
          <w:sz w:val="24"/>
          <w:szCs w:val="24"/>
        </w:rPr>
        <w:t>[c]</w:t>
      </w:r>
      <w:proofErr w:type="spellStart"/>
      <w:r w:rsidRPr="0095474C">
        <w:rPr>
          <w:rFonts w:ascii="Times New Roman" w:hAnsi="Times New Roman"/>
          <w:sz w:val="24"/>
          <w:szCs w:val="24"/>
        </w:rPr>
        <w:t>ivil</w:t>
      </w:r>
      <w:proofErr w:type="spellEnd"/>
      <w:r w:rsidRPr="0095474C">
        <w:rPr>
          <w:rFonts w:ascii="Times New Roman" w:hAnsi="Times New Roman"/>
          <w:sz w:val="24"/>
          <w:szCs w:val="24"/>
        </w:rPr>
        <w:t xml:space="preserve"> suits . . . and records of arrest that, from the date of entry, antedate the report by more than seven years[.]</w:t>
      </w:r>
      <w:r>
        <w:rPr>
          <w:rFonts w:ascii="Times New Roman" w:hAnsi="Times New Roman"/>
          <w:sz w:val="24"/>
          <w:szCs w:val="24"/>
        </w:rPr>
        <w:t>’</w:t>
      </w:r>
      <w:r w:rsidRPr="0095474C">
        <w:rPr>
          <w:rFonts w:ascii="Times New Roman" w:hAnsi="Times New Roman"/>
          <w:sz w:val="24"/>
          <w:szCs w:val="24"/>
        </w:rPr>
        <w:t xml:space="preserve"> The Amended Complaint asserts that Defendant violated § 1681c(a) by </w:t>
      </w:r>
      <w:r>
        <w:rPr>
          <w:rFonts w:ascii="Times New Roman" w:hAnsi="Times New Roman"/>
          <w:sz w:val="24"/>
          <w:szCs w:val="24"/>
        </w:rPr>
        <w:t>‘</w:t>
      </w:r>
      <w:proofErr w:type="spellStart"/>
      <w:r w:rsidRPr="0095474C">
        <w:rPr>
          <w:rFonts w:ascii="Times New Roman" w:hAnsi="Times New Roman"/>
          <w:sz w:val="24"/>
          <w:szCs w:val="24"/>
        </w:rPr>
        <w:t>disclos</w:t>
      </w:r>
      <w:proofErr w:type="spellEnd"/>
      <w:r w:rsidRPr="0095474C">
        <w:rPr>
          <w:rFonts w:ascii="Times New Roman" w:hAnsi="Times New Roman"/>
          <w:sz w:val="24"/>
          <w:szCs w:val="24"/>
        </w:rPr>
        <w:t>[</w:t>
      </w:r>
      <w:proofErr w:type="spellStart"/>
      <w:r w:rsidRPr="0095474C">
        <w:rPr>
          <w:rFonts w:ascii="Times New Roman" w:hAnsi="Times New Roman"/>
          <w:sz w:val="24"/>
          <w:szCs w:val="24"/>
        </w:rPr>
        <w:t>ing</w:t>
      </w:r>
      <w:proofErr w:type="spellEnd"/>
      <w:r w:rsidRPr="0095474C">
        <w:rPr>
          <w:rFonts w:ascii="Times New Roman" w:hAnsi="Times New Roman"/>
          <w:sz w:val="24"/>
          <w:szCs w:val="24"/>
        </w:rPr>
        <w:t>] [in the October 2019 Report] that in 2011 Plaintiff was arrested</w:t>
      </w:r>
      <w:r>
        <w:rPr>
          <w:rFonts w:ascii="Times New Roman" w:hAnsi="Times New Roman"/>
          <w:sz w:val="24"/>
          <w:szCs w:val="24"/>
        </w:rPr>
        <w:t xml:space="preserve">….’ </w:t>
      </w:r>
      <w:r w:rsidRPr="0095474C">
        <w:rPr>
          <w:rFonts w:ascii="Times New Roman" w:hAnsi="Times New Roman"/>
          <w:sz w:val="24"/>
          <w:szCs w:val="24"/>
        </w:rPr>
        <w:t xml:space="preserve"> </w:t>
      </w:r>
      <w:proofErr w:type="gramStart"/>
      <w:r w:rsidRPr="0095474C">
        <w:rPr>
          <w:rFonts w:ascii="Times New Roman" w:hAnsi="Times New Roman"/>
          <w:sz w:val="24"/>
          <w:szCs w:val="24"/>
        </w:rPr>
        <w:t>Thus</w:t>
      </w:r>
      <w:proofErr w:type="gramEnd"/>
      <w:r w:rsidRPr="0095474C">
        <w:rPr>
          <w:rFonts w:ascii="Times New Roman" w:hAnsi="Times New Roman"/>
          <w:sz w:val="24"/>
          <w:szCs w:val="24"/>
        </w:rPr>
        <w:t xml:space="preserve"> it plainly alleges the inclusion of information-his arrest-prohibited by § 1681c(a)(2). Therefore, the Court finds that Plaintiff has plausibly alleged a violation of § 1681c(a)(2).</w:t>
      </w:r>
      <w:r>
        <w:rPr>
          <w:rFonts w:ascii="Times New Roman" w:hAnsi="Times New Roman"/>
          <w:sz w:val="24"/>
          <w:szCs w:val="24"/>
        </w:rPr>
        <w:t xml:space="preserve">”  </w:t>
      </w:r>
      <w:hyperlink r:id="rId2558" w:history="1">
        <w:r w:rsidRPr="00177C22">
          <w:rPr>
            <w:rStyle w:val="Hyperlink"/>
            <w:rFonts w:ascii="Times New Roman" w:hAnsi="Times New Roman"/>
            <w:sz w:val="24"/>
            <w:szCs w:val="24"/>
          </w:rPr>
          <w:t>https://public.fastcase.com/J%2FJP6pdidelsXxEE4k%2BLMrj3s4T1D9o6YeH1P6QHRjfPwtPh7UBJw6%2FlyLsxvHVQo4RL4odtX24b6W6EIP3%2BuhoyWwf2ZSyK36dgjdjOjEg%3D</w:t>
        </w:r>
      </w:hyperlink>
      <w:r>
        <w:rPr>
          <w:rFonts w:ascii="Times New Roman" w:hAnsi="Times New Roman"/>
          <w:sz w:val="24"/>
          <w:szCs w:val="24"/>
        </w:rPr>
        <w:t xml:space="preserve"> </w:t>
      </w:r>
    </w:p>
    <w:p w14:paraId="6C1B621E" w14:textId="77777777" w:rsidR="007051EE" w:rsidRPr="00E633FE" w:rsidRDefault="007051EE" w:rsidP="007051EE">
      <w:pPr>
        <w:spacing w:before="100" w:beforeAutospacing="1" w:after="100" w:afterAutospacing="1" w:line="240" w:lineRule="auto"/>
        <w:rPr>
          <w:rFonts w:ascii="Times New Roman" w:eastAsia="Times New Roman" w:hAnsi="Times New Roman"/>
          <w:b/>
          <w:bCs/>
          <w:sz w:val="24"/>
          <w:szCs w:val="24"/>
        </w:rPr>
      </w:pPr>
      <w:r w:rsidRPr="00E633FE">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Fire &amp; EMS departments may hire consumer reporting agency to conduct a background check on an applicant; the report must comply with federal and state laws about arrests without convictions.  </w:t>
      </w:r>
    </w:p>
    <w:p w14:paraId="7190119B" w14:textId="77777777" w:rsidR="007051EE" w:rsidRDefault="007051EE" w:rsidP="007051EE">
      <w:pPr>
        <w:spacing w:before="100" w:beforeAutospacing="1" w:after="100" w:afterAutospacing="1" w:line="240" w:lineRule="auto"/>
        <w:ind w:left="720"/>
        <w:rPr>
          <w:rFonts w:ascii="Times New Roman" w:eastAsia="Times New Roman" w:hAnsi="Times New Roman"/>
          <w:sz w:val="24"/>
          <w:szCs w:val="24"/>
        </w:rPr>
      </w:pPr>
      <w:r w:rsidRPr="00314821">
        <w:rPr>
          <w:rFonts w:ascii="Times New Roman" w:eastAsia="Times New Roman" w:hAnsi="Times New Roman"/>
          <w:sz w:val="24"/>
          <w:szCs w:val="24"/>
        </w:rPr>
        <w:lastRenderedPageBreak/>
        <w:t xml:space="preserve">Note: </w:t>
      </w:r>
      <w:r>
        <w:rPr>
          <w:rFonts w:ascii="Times New Roman" w:eastAsia="Times New Roman" w:hAnsi="Times New Roman"/>
          <w:sz w:val="24"/>
          <w:szCs w:val="24"/>
        </w:rPr>
        <w:t xml:space="preserve">Some states prohibit prospective employers from asking applicants about arrest records where there was no conviction. The Court reviewed Massachusetts law. </w:t>
      </w:r>
    </w:p>
    <w:p w14:paraId="3F005920" w14:textId="77777777" w:rsidR="007051EE" w:rsidRDefault="007051EE" w:rsidP="007051EE">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314821">
        <w:rPr>
          <w:rFonts w:ascii="Times New Roman" w:hAnsi="Times New Roman"/>
          <w:sz w:val="24"/>
          <w:szCs w:val="24"/>
        </w:rPr>
        <w:t xml:space="preserve">Chapter 151B, § 4(9), in part, prohibits </w:t>
      </w:r>
      <w:r>
        <w:rPr>
          <w:rFonts w:ascii="Times New Roman" w:hAnsi="Times New Roman"/>
          <w:sz w:val="24"/>
          <w:szCs w:val="24"/>
        </w:rPr>
        <w:t>‘</w:t>
      </w:r>
      <w:proofErr w:type="spellStart"/>
      <w:r w:rsidRPr="00314821">
        <w:rPr>
          <w:rFonts w:ascii="Times New Roman" w:hAnsi="Times New Roman"/>
          <w:sz w:val="24"/>
          <w:szCs w:val="24"/>
        </w:rPr>
        <w:t>discriminat</w:t>
      </w:r>
      <w:proofErr w:type="spellEnd"/>
      <w:r w:rsidRPr="00314821">
        <w:rPr>
          <w:rFonts w:ascii="Times New Roman" w:hAnsi="Times New Roman"/>
          <w:sz w:val="24"/>
          <w:szCs w:val="24"/>
        </w:rPr>
        <w:t>[ion] against any person by reason of his or her failure to furnish such information through a written application or oral inquiry or otherwise regarding: (</w:t>
      </w:r>
      <w:proofErr w:type="spellStart"/>
      <w:r w:rsidRPr="00314821">
        <w:rPr>
          <w:rFonts w:ascii="Times New Roman" w:hAnsi="Times New Roman"/>
          <w:sz w:val="24"/>
          <w:szCs w:val="24"/>
        </w:rPr>
        <w:t>i</w:t>
      </w:r>
      <w:proofErr w:type="spellEnd"/>
      <w:r w:rsidRPr="00314821">
        <w:rPr>
          <w:rFonts w:ascii="Times New Roman" w:hAnsi="Times New Roman"/>
          <w:sz w:val="24"/>
          <w:szCs w:val="24"/>
        </w:rPr>
        <w:t>) an arrest, detention, or disposition regarding any violation of law in which no conviction resulted.</w:t>
      </w:r>
      <w:r>
        <w:rPr>
          <w:rFonts w:ascii="Times New Roman" w:hAnsi="Times New Roman"/>
          <w:sz w:val="24"/>
          <w:szCs w:val="24"/>
        </w:rPr>
        <w:t>’</w:t>
      </w:r>
      <w:r w:rsidRPr="00314821">
        <w:rPr>
          <w:rFonts w:ascii="Times New Roman" w:hAnsi="Times New Roman"/>
          <w:sz w:val="24"/>
          <w:szCs w:val="24"/>
        </w:rPr>
        <w:t xml:space="preserve"> The statute also prohibits an employer, or their agent, from requesting any information regarding an arrest that did not result in a conviction. </w:t>
      </w:r>
      <w:r w:rsidRPr="00314821">
        <w:rPr>
          <w:rFonts w:ascii="Times New Roman" w:hAnsi="Times New Roman"/>
          <w:i/>
          <w:iCs/>
          <w:sz w:val="24"/>
          <w:szCs w:val="24"/>
        </w:rPr>
        <w:t>Id.</w:t>
      </w:r>
      <w:r w:rsidRPr="00314821">
        <w:rPr>
          <w:rFonts w:ascii="Times New Roman" w:hAnsi="Times New Roman"/>
          <w:sz w:val="24"/>
          <w:szCs w:val="24"/>
        </w:rPr>
        <w:t xml:space="preserve"> The statute does not, however, prohibit employers from obtaining information about criminal charges from another source. Indeed, the Supreme Judicial Court of Massachusetts has held that Chapter 151B, § 4(9) was intended </w:t>
      </w:r>
      <w:r>
        <w:rPr>
          <w:rFonts w:ascii="Times New Roman" w:hAnsi="Times New Roman"/>
          <w:sz w:val="24"/>
          <w:szCs w:val="24"/>
        </w:rPr>
        <w:t>‘</w:t>
      </w:r>
      <w:r w:rsidRPr="00314821">
        <w:rPr>
          <w:rFonts w:ascii="Times New Roman" w:hAnsi="Times New Roman"/>
          <w:sz w:val="24"/>
          <w:szCs w:val="24"/>
        </w:rPr>
        <w:t>to protect employees from such requests from their employers and not to proscribe employers from seeking such information elsewhere.</w:t>
      </w:r>
      <w:r>
        <w:rPr>
          <w:rFonts w:ascii="Times New Roman" w:hAnsi="Times New Roman"/>
          <w:sz w:val="24"/>
          <w:szCs w:val="24"/>
        </w:rPr>
        <w:t>’</w:t>
      </w:r>
      <w:r w:rsidRPr="00314821">
        <w:rPr>
          <w:rFonts w:ascii="Times New Roman" w:hAnsi="Times New Roman"/>
          <w:sz w:val="24"/>
          <w:szCs w:val="24"/>
        </w:rPr>
        <w:t xml:space="preserve"> </w:t>
      </w:r>
      <w:r w:rsidRPr="00314821">
        <w:rPr>
          <w:rFonts w:ascii="Times New Roman" w:hAnsi="Times New Roman"/>
          <w:i/>
          <w:iCs/>
          <w:sz w:val="24"/>
          <w:szCs w:val="24"/>
        </w:rPr>
        <w:t>Bynes v. School Comm. of Boston,</w:t>
      </w:r>
      <w:r w:rsidRPr="00314821">
        <w:rPr>
          <w:rFonts w:ascii="Times New Roman" w:hAnsi="Times New Roman"/>
          <w:sz w:val="24"/>
          <w:szCs w:val="24"/>
        </w:rPr>
        <w:t xml:space="preserve"> 411 Mass. 264, 268 (Mass. 1991).</w:t>
      </w:r>
      <w:r>
        <w:rPr>
          <w:rFonts w:ascii="Times New Roman" w:hAnsi="Times New Roman"/>
          <w:sz w:val="24"/>
          <w:szCs w:val="24"/>
        </w:rPr>
        <w:t xml:space="preserve">” </w:t>
      </w:r>
      <w:hyperlink r:id="rId2559" w:history="1">
        <w:r w:rsidRPr="00177C22">
          <w:rPr>
            <w:rStyle w:val="Hyperlink"/>
            <w:rFonts w:ascii="Times New Roman" w:hAnsi="Times New Roman"/>
            <w:sz w:val="24"/>
            <w:szCs w:val="24"/>
          </w:rPr>
          <w:t>https://public.fastcase.com/J%2FJP6pdidelsXxEE4k%2BLMrj3s4T1D9o6YeH1P6QHRjfPwtPh7UBJw6%2FlyLsxvHVQo4RL4odtX24b6W6EIP3%2BuhoyWwf2ZSyK36dgjdjOjEg%3D</w:t>
        </w:r>
      </w:hyperlink>
      <w:r>
        <w:rPr>
          <w:rFonts w:ascii="Times New Roman" w:hAnsi="Times New Roman"/>
          <w:sz w:val="24"/>
          <w:szCs w:val="24"/>
        </w:rPr>
        <w:t xml:space="preserve"> </w:t>
      </w:r>
    </w:p>
    <w:p w14:paraId="0B67F72C" w14:textId="77777777" w:rsidR="007051EE" w:rsidRDefault="007051EE" w:rsidP="007051E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Under Ohio law:</w:t>
      </w:r>
    </w:p>
    <w:p w14:paraId="2E81FE98" w14:textId="77777777" w:rsidR="007051EE" w:rsidRDefault="007051EE" w:rsidP="007051EE">
      <w:pPr>
        <w:pStyle w:val="NormalWeb"/>
        <w:ind w:left="720"/>
      </w:pPr>
      <w:r>
        <w:t xml:space="preserve">“Ohio employers are required to </w:t>
      </w:r>
      <w:r>
        <w:rPr>
          <w:rStyle w:val="Strong"/>
        </w:rPr>
        <w:t>provide advance, written notice</w:t>
      </w:r>
      <w:r>
        <w:t xml:space="preserve"> of their intent to conduct </w:t>
      </w:r>
      <w:hyperlink r:id="rId2560" w:history="1">
        <w:r>
          <w:rPr>
            <w:rStyle w:val="Hyperlink"/>
            <w:rFonts w:eastAsiaTheme="majorEastAsia"/>
          </w:rPr>
          <w:t>pre-employment background checks</w:t>
        </w:r>
      </w:hyperlink>
      <w:r>
        <w:t xml:space="preserve">. The FCRA also requires employers to secure their applicants’ written consent before conducting employment background checks. If a background check reveals negative information in Ohio, employers must adhere to the two-step </w:t>
      </w:r>
      <w:hyperlink r:id="rId2561" w:history="1">
        <w:r>
          <w:rPr>
            <w:rStyle w:val="Hyperlink"/>
            <w:rFonts w:eastAsiaTheme="majorEastAsia"/>
          </w:rPr>
          <w:t>adverse action process</w:t>
        </w:r>
      </w:hyperlink>
      <w:r>
        <w:t xml:space="preserve"> before a final hiring decision is made.</w:t>
      </w:r>
    </w:p>
    <w:p w14:paraId="4C10DC1E" w14:textId="77777777" w:rsidR="007051EE" w:rsidRDefault="007051EE" w:rsidP="007051EE">
      <w:pPr>
        <w:pStyle w:val="NormalWeb"/>
        <w:ind w:left="720"/>
      </w:pPr>
      <w:r>
        <w:t>***</w:t>
      </w:r>
    </w:p>
    <w:p w14:paraId="3DD94F01" w14:textId="77777777" w:rsidR="007051EE" w:rsidRDefault="007051EE" w:rsidP="007051EE">
      <w:pPr>
        <w:pStyle w:val="NormalWeb"/>
        <w:ind w:left="720"/>
      </w:pPr>
      <w:r>
        <w:t xml:space="preserve">Public employers must follow the </w:t>
      </w:r>
      <w:r>
        <w:rPr>
          <w:rStyle w:val="Strong"/>
        </w:rPr>
        <w:t>state’s ban-the-box law</w:t>
      </w:r>
      <w:r>
        <w:t xml:space="preserve">. The Department of Administrative Services issued </w:t>
      </w:r>
      <w:hyperlink r:id="rId2562" w:history="1">
        <w:r>
          <w:rPr>
            <w:rStyle w:val="Hyperlink"/>
            <w:rFonts w:eastAsiaTheme="majorEastAsia"/>
          </w:rPr>
          <w:t>policy HR-29</w:t>
        </w:r>
      </w:hyperlink>
      <w:r>
        <w:t xml:space="preserve"> in 2015. This law prohibits public-sector employers from asking questions about criminal </w:t>
      </w:r>
      <w:proofErr w:type="gramStart"/>
      <w:r>
        <w:t>history information</w:t>
      </w:r>
      <w:proofErr w:type="gramEnd"/>
      <w:r>
        <w:t xml:space="preserve"> during the early phases of the hiring process.</w:t>
      </w:r>
    </w:p>
    <w:p w14:paraId="54B8A69D" w14:textId="77777777" w:rsidR="007051EE" w:rsidRDefault="007051EE" w:rsidP="007051EE">
      <w:pPr>
        <w:pStyle w:val="NormalWeb"/>
        <w:ind w:left="720"/>
      </w:pPr>
      <w:r>
        <w:t xml:space="preserve">Under </w:t>
      </w:r>
      <w:hyperlink r:id="rId2563" w:history="1">
        <w:r>
          <w:rPr>
            <w:rStyle w:val="Hyperlink"/>
            <w:rFonts w:eastAsiaTheme="majorEastAsia"/>
          </w:rPr>
          <w:t>ORC § 2953.32</w:t>
        </w:r>
      </w:hyperlink>
      <w:r>
        <w:t xml:space="preserve">, eligible offenders may petition the court to have certain criminal records sealed or expunged. Employers </w:t>
      </w:r>
      <w:r>
        <w:rPr>
          <w:rStyle w:val="Strong"/>
        </w:rPr>
        <w:t>are not allowed to ask applicants or employees</w:t>
      </w:r>
      <w:r>
        <w:t xml:space="preserve"> about sealed, expunged, pardoned, or erased records.” </w:t>
      </w:r>
      <w:hyperlink r:id="rId2564" w:history="1">
        <w:r w:rsidRPr="00177C22">
          <w:rPr>
            <w:rStyle w:val="Hyperlink"/>
            <w:rFonts w:eastAsiaTheme="majorEastAsia"/>
          </w:rPr>
          <w:t>https://iprospectcheck.com/ohio-background-check/</w:t>
        </w:r>
      </w:hyperlink>
      <w:r>
        <w:t xml:space="preserve"> </w:t>
      </w:r>
    </w:p>
    <w:p w14:paraId="4ADCB94A" w14:textId="77777777" w:rsidR="007051EE" w:rsidRDefault="007051EE" w:rsidP="007051EE">
      <w:pPr>
        <w:spacing w:before="100" w:beforeAutospacing="1" w:after="100" w:afterAutospacing="1" w:line="240" w:lineRule="auto"/>
        <w:rPr>
          <w:rFonts w:ascii="Times New Roman" w:hAnsi="Times New Roman"/>
          <w:sz w:val="24"/>
          <w:szCs w:val="24"/>
        </w:rPr>
      </w:pPr>
    </w:p>
    <w:p w14:paraId="0D94B0D0" w14:textId="77777777" w:rsidR="007051EE" w:rsidRDefault="007051EE" w:rsidP="00F326E5">
      <w:pPr>
        <w:pStyle w:val="NoSpacing"/>
        <w:rPr>
          <w:rFonts w:ascii="Arial Black" w:hAnsi="Arial Black"/>
          <w:sz w:val="24"/>
          <w:szCs w:val="24"/>
        </w:rPr>
      </w:pPr>
    </w:p>
    <w:p w14:paraId="7595D729" w14:textId="77777777" w:rsidR="007051EE" w:rsidRDefault="007051EE" w:rsidP="00F326E5">
      <w:pPr>
        <w:pStyle w:val="NoSpacing"/>
        <w:rPr>
          <w:rFonts w:ascii="Arial Black" w:hAnsi="Arial Black"/>
          <w:sz w:val="24"/>
          <w:szCs w:val="24"/>
        </w:rPr>
      </w:pPr>
    </w:p>
    <w:p w14:paraId="24E0C573" w14:textId="77777777" w:rsidR="007051EE" w:rsidRDefault="007051EE" w:rsidP="00F326E5">
      <w:pPr>
        <w:pStyle w:val="NoSpacing"/>
        <w:rPr>
          <w:rFonts w:ascii="Arial Black" w:hAnsi="Arial Black"/>
          <w:sz w:val="24"/>
          <w:szCs w:val="24"/>
        </w:rPr>
      </w:pPr>
    </w:p>
    <w:p w14:paraId="16AA628D" w14:textId="106C46B2" w:rsidR="00BA51CC" w:rsidRDefault="00BA51CC" w:rsidP="00F326E5">
      <w:pPr>
        <w:pStyle w:val="NoSpacing"/>
        <w:rPr>
          <w:rFonts w:ascii="Arial Black" w:hAnsi="Arial Black"/>
          <w:sz w:val="24"/>
          <w:szCs w:val="24"/>
        </w:rPr>
      </w:pPr>
      <w:r>
        <w:rPr>
          <w:rFonts w:ascii="Arial Black" w:hAnsi="Arial Black"/>
          <w:sz w:val="24"/>
          <w:szCs w:val="24"/>
        </w:rPr>
        <w:t>16-68</w:t>
      </w:r>
    </w:p>
    <w:p w14:paraId="45C7ACD3" w14:textId="77777777" w:rsidR="00BA51CC" w:rsidRDefault="00BA51CC" w:rsidP="00BA51CC">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TN: NEW WIFE MAY HAVE ALTERED WILL OF DECEASED FF – BATT. CHIEF ONLY SIGNED AS WIT. ORIGINAL - REHIRED</w:t>
      </w:r>
    </w:p>
    <w:p w14:paraId="545B87A3" w14:textId="59E48596" w:rsidR="00BA51CC" w:rsidRDefault="00BA51CC" w:rsidP="00BA51CC">
      <w:pPr>
        <w:pStyle w:val="NoSpacing"/>
        <w:rPr>
          <w:rStyle w:val="Hyperlink"/>
          <w:rFonts w:ascii="Times New Roman" w:hAnsi="Times New Roman"/>
          <w:sz w:val="24"/>
          <w:szCs w:val="24"/>
        </w:rPr>
      </w:pPr>
      <w:r w:rsidRPr="003572C6">
        <w:rPr>
          <w:rFonts w:ascii="Times New Roman" w:eastAsia="Times New Roman" w:hAnsi="Times New Roman"/>
          <w:sz w:val="24"/>
          <w:szCs w:val="24"/>
        </w:rPr>
        <w:t xml:space="preserve">On April 26, 2022, </w:t>
      </w:r>
      <w:r w:rsidRPr="005A463F">
        <w:rPr>
          <w:rFonts w:ascii="Times New Roman" w:eastAsia="Times New Roman" w:hAnsi="Times New Roman"/>
          <w:sz w:val="24"/>
          <w:szCs w:val="24"/>
        </w:rPr>
        <w:t xml:space="preserve">in </w:t>
      </w:r>
      <w:r w:rsidRPr="003572C6">
        <w:rPr>
          <w:rFonts w:ascii="Times New Roman" w:eastAsia="Times New Roman" w:hAnsi="Times New Roman"/>
          <w:sz w:val="24"/>
          <w:szCs w:val="24"/>
          <w:u w:val="single"/>
        </w:rPr>
        <w:t>City of Memphis v. Beverly Prye</w:t>
      </w:r>
      <w:r>
        <w:rPr>
          <w:rFonts w:ascii="Times New Roman" w:eastAsia="Times New Roman" w:hAnsi="Times New Roman"/>
          <w:sz w:val="24"/>
          <w:szCs w:val="24"/>
        </w:rPr>
        <w:t xml:space="preserve">, the Court of Appeals of Tennessee in Jackson held (3 to 0) that the City failed to prove that Battalion Chief Prye, a 21-year member of the Memphis FD, knew that the Will of late </w:t>
      </w:r>
      <w:r w:rsidRPr="003572C6">
        <w:rPr>
          <w:rFonts w:ascii="Times New Roman" w:hAnsi="Times New Roman"/>
          <w:sz w:val="24"/>
          <w:szCs w:val="24"/>
        </w:rPr>
        <w:t>Ulysses Jones, Jr</w:t>
      </w:r>
      <w:r>
        <w:rPr>
          <w:rFonts w:ascii="Times New Roman" w:hAnsi="Times New Roman"/>
          <w:sz w:val="24"/>
          <w:szCs w:val="24"/>
        </w:rPr>
        <w:t xml:space="preserve">. was a forgery.  Mr. Jones was also employed with Memphis FD until his death in </w:t>
      </w:r>
      <w:proofErr w:type="gramStart"/>
      <w:r>
        <w:rPr>
          <w:rFonts w:ascii="Times New Roman" w:hAnsi="Times New Roman"/>
          <w:sz w:val="24"/>
          <w:szCs w:val="24"/>
        </w:rPr>
        <w:t>Nov. 2010, and</w:t>
      </w:r>
      <w:proofErr w:type="gramEnd"/>
      <w:r>
        <w:rPr>
          <w:rFonts w:ascii="Times New Roman" w:hAnsi="Times New Roman"/>
          <w:sz w:val="24"/>
          <w:szCs w:val="24"/>
        </w:rPr>
        <w:t xml:space="preserve"> told Ms. Prye of his intentions to marry his girlfriend, Ms. Sandra Richards. The Court raised the possibility that the Will that was submitted to Probate Court by Ms. Richards, leaving all his estate to her, might not have been the document witnessed by the Battalion Chief. </w:t>
      </w:r>
      <w:hyperlink r:id="rId2565" w:history="1">
        <w:r w:rsidRPr="00C8589E">
          <w:rPr>
            <w:rStyle w:val="Hyperlink"/>
            <w:rFonts w:ascii="Times New Roman" w:hAnsi="Times New Roman"/>
            <w:sz w:val="24"/>
            <w:szCs w:val="24"/>
          </w:rPr>
          <w:t>https://www.tncourts.gov/sites/default/files/pryebeverlyopn.pdf</w:t>
        </w:r>
      </w:hyperlink>
    </w:p>
    <w:p w14:paraId="655F7501" w14:textId="77777777" w:rsidR="00BA51CC" w:rsidRPr="00A302C2" w:rsidRDefault="00BA51CC" w:rsidP="00BA51CC">
      <w:pPr>
        <w:spacing w:before="100" w:beforeAutospacing="1" w:after="100" w:afterAutospacing="1" w:line="240" w:lineRule="auto"/>
        <w:rPr>
          <w:rFonts w:ascii="Times New Roman" w:hAnsi="Times New Roman"/>
          <w:sz w:val="24"/>
          <w:szCs w:val="24"/>
        </w:rPr>
      </w:pPr>
      <w:r w:rsidRPr="00D23681">
        <w:rPr>
          <w:rFonts w:ascii="Times New Roman" w:hAnsi="Times New Roman"/>
          <w:b/>
          <w:bCs/>
          <w:sz w:val="24"/>
          <w:szCs w:val="24"/>
        </w:rPr>
        <w:lastRenderedPageBreak/>
        <w:t>Legal Lesson Learned</w:t>
      </w:r>
      <w:r>
        <w:rPr>
          <w:rFonts w:ascii="Times New Roman" w:hAnsi="Times New Roman"/>
          <w:b/>
          <w:bCs/>
          <w:sz w:val="24"/>
          <w:szCs w:val="24"/>
        </w:rPr>
        <w:t xml:space="preserve">: Employee reinstated with full back pay and benefits. </w:t>
      </w:r>
    </w:p>
    <w:p w14:paraId="04E1CC18" w14:textId="77777777" w:rsidR="00BA51CC" w:rsidRDefault="00BA51CC" w:rsidP="00BA51CC">
      <w:pPr>
        <w:pStyle w:val="NoSpacing"/>
        <w:rPr>
          <w:rFonts w:ascii="Arial Black" w:hAnsi="Arial Black"/>
          <w:sz w:val="24"/>
          <w:szCs w:val="24"/>
        </w:rPr>
      </w:pPr>
    </w:p>
    <w:p w14:paraId="5839D367" w14:textId="77777777" w:rsidR="00BA51CC" w:rsidRDefault="00BA51CC" w:rsidP="00F326E5">
      <w:pPr>
        <w:pStyle w:val="NoSpacing"/>
        <w:rPr>
          <w:rFonts w:ascii="Arial Black" w:hAnsi="Arial Black"/>
          <w:sz w:val="24"/>
          <w:szCs w:val="24"/>
        </w:rPr>
      </w:pPr>
    </w:p>
    <w:p w14:paraId="0D8B812F" w14:textId="77777777" w:rsidR="00BA51CC" w:rsidRDefault="00BA51CC" w:rsidP="00F326E5">
      <w:pPr>
        <w:pStyle w:val="NoSpacing"/>
        <w:rPr>
          <w:rFonts w:ascii="Arial Black" w:hAnsi="Arial Black"/>
          <w:sz w:val="24"/>
          <w:szCs w:val="24"/>
        </w:rPr>
      </w:pPr>
    </w:p>
    <w:p w14:paraId="2FFF2718" w14:textId="3D700563" w:rsidR="00BA51CC" w:rsidRDefault="00BA51CC" w:rsidP="00F326E5">
      <w:pPr>
        <w:pStyle w:val="NoSpacing"/>
        <w:rPr>
          <w:rFonts w:ascii="Arial Black" w:hAnsi="Arial Black"/>
          <w:sz w:val="24"/>
          <w:szCs w:val="24"/>
        </w:rPr>
      </w:pPr>
      <w:r>
        <w:rPr>
          <w:rFonts w:ascii="Arial Black" w:hAnsi="Arial Black"/>
          <w:sz w:val="24"/>
          <w:szCs w:val="24"/>
        </w:rPr>
        <w:t>16-67</w:t>
      </w:r>
    </w:p>
    <w:p w14:paraId="69475352" w14:textId="77777777" w:rsidR="00BA51CC" w:rsidRPr="006A4F17" w:rsidRDefault="00BA51CC" w:rsidP="00BA51CC">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GA: FIRE CHIEF FIRED – AFFAIR – 1</w:t>
      </w:r>
      <w:r w:rsidRPr="00701857">
        <w:rPr>
          <w:rFonts w:ascii="Arial Black" w:eastAsia="Times New Roman" w:hAnsi="Arial Black"/>
          <w:sz w:val="28"/>
          <w:szCs w:val="28"/>
          <w:vertAlign w:val="superscript"/>
        </w:rPr>
        <w:t>st</w:t>
      </w:r>
      <w:r>
        <w:rPr>
          <w:rFonts w:ascii="Arial Black" w:eastAsia="Times New Roman" w:hAnsi="Arial Black"/>
          <w:sz w:val="28"/>
          <w:szCs w:val="28"/>
        </w:rPr>
        <w:t xml:space="preserve"> AMEND. RIGHT TO SPEAK – “SHOP WITH A HERO” SHOULD BE PRIVATE $</w:t>
      </w:r>
    </w:p>
    <w:p w14:paraId="04B5FBD7" w14:textId="01FF2257" w:rsidR="00BA51CC" w:rsidRDefault="00BA51CC" w:rsidP="00BA51CC">
      <w:pPr>
        <w:pStyle w:val="NoSpacing"/>
        <w:rPr>
          <w:rStyle w:val="Hyperlink"/>
          <w:rFonts w:ascii="Times New Roman" w:hAnsi="Times New Roman"/>
          <w:sz w:val="24"/>
          <w:szCs w:val="24"/>
        </w:rPr>
      </w:pPr>
      <w:r>
        <w:rPr>
          <w:rFonts w:ascii="Times New Roman" w:eastAsia="Times New Roman" w:hAnsi="Times New Roman"/>
          <w:sz w:val="24"/>
          <w:szCs w:val="24"/>
        </w:rPr>
        <w:t xml:space="preserve">On April 13, 2022, in </w:t>
      </w:r>
      <w:r w:rsidRPr="000428C8">
        <w:rPr>
          <w:rFonts w:ascii="Times New Roman" w:eastAsia="Times New Roman" w:hAnsi="Times New Roman"/>
          <w:sz w:val="24"/>
          <w:szCs w:val="24"/>
          <w:u w:val="single"/>
        </w:rPr>
        <w:t>William Owens v. Logan Propes, R,V, Watts and the City of Monroe</w:t>
      </w:r>
      <w:r>
        <w:rPr>
          <w:rFonts w:ascii="Times New Roman" w:eastAsia="Times New Roman" w:hAnsi="Times New Roman"/>
          <w:sz w:val="24"/>
          <w:szCs w:val="24"/>
        </w:rPr>
        <w:t>, U.S. District Court Judge Clay D. Land, U.S. District Court for the Middle District of Georgia (Athens Division), held that the former Fire Chief’s claim of breach of his 1</w:t>
      </w:r>
      <w:r w:rsidRPr="00D90B9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Amendment right of free speech may proceed. </w:t>
      </w:r>
      <w:r>
        <w:rPr>
          <w:rFonts w:ascii="Times New Roman" w:hAnsi="Times New Roman"/>
          <w:sz w:val="24"/>
          <w:szCs w:val="24"/>
        </w:rPr>
        <w:t xml:space="preserve">In May, 2020 (about same time as the public comments), Police Chief R.V. Watts and City Administrator Logan Propes learned that the Fire Chief William Owens was having a relationship with K.I. (her son saw exchanges on her Apple watch), and </w:t>
      </w:r>
      <w:r w:rsidRPr="00190143">
        <w:rPr>
          <w:rFonts w:ascii="Times New Roman" w:hAnsi="Times New Roman"/>
          <w:sz w:val="24"/>
          <w:szCs w:val="24"/>
        </w:rPr>
        <w:t>Propes demanded that Owens resign and threatened that if he did not, Owens would be terminated for “conduct unbecoming” based on his relationship with K.I. Owens advised the City of the actions taken by Watts and Propes with regard to K.I.'s Apple watch. Soon after that, Owens was terminated from his job as fire chief.</w:t>
      </w:r>
      <w:r>
        <w:rPr>
          <w:rFonts w:ascii="Times New Roman" w:hAnsi="Times New Roman"/>
          <w:sz w:val="24"/>
          <w:szCs w:val="24"/>
        </w:rPr>
        <w:t xml:space="preserve"> </w:t>
      </w:r>
      <w:r>
        <w:rPr>
          <w:rFonts w:ascii="Times New Roman" w:eastAsia="Times New Roman" w:hAnsi="Times New Roman"/>
          <w:sz w:val="24"/>
          <w:szCs w:val="24"/>
        </w:rPr>
        <w:t xml:space="preserve">Owens alleges that his comments at a public meeting that the “Shop </w:t>
      </w:r>
      <w:proofErr w:type="gramStart"/>
      <w:r>
        <w:rPr>
          <w:rFonts w:ascii="Times New Roman" w:eastAsia="Times New Roman" w:hAnsi="Times New Roman"/>
          <w:sz w:val="24"/>
          <w:szCs w:val="24"/>
        </w:rPr>
        <w:t>With</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Hero” police and firefighter program should be funded by a private not-for-profit organization.  The program had been proposed by realtors, was administered by the City Administrator, and there were questions from members of the public about missing funds.  The trial judge held that the Fire Chiefs comments may have been a motivating factor in the City’s decision to terminate him.  Under the U.S. Supreme Court’s “balancing test” in Pickering v. Board of Education, 391 U.S. 563 (1968), the Fire Chief was speaking as a private citizen, not a public official.  The judge referenced, </w:t>
      </w:r>
      <w:r w:rsidRPr="00D25C58">
        <w:rPr>
          <w:rStyle w:val="Emphasis"/>
          <w:rFonts w:ascii="Times New Roman" w:hAnsi="Times New Roman"/>
          <w:sz w:val="24"/>
          <w:szCs w:val="24"/>
        </w:rPr>
        <w:t>Garcetti v. Ceballos</w:t>
      </w:r>
      <w:r w:rsidRPr="00D25C58">
        <w:rPr>
          <w:rFonts w:ascii="Times New Roman" w:hAnsi="Times New Roman"/>
          <w:sz w:val="24"/>
          <w:szCs w:val="24"/>
        </w:rPr>
        <w:t>, 547 U.S. 410, 417 (2006)</w:t>
      </w:r>
      <w:r>
        <w:rPr>
          <w:rFonts w:ascii="Times New Roman" w:hAnsi="Times New Roman"/>
          <w:sz w:val="24"/>
          <w:szCs w:val="24"/>
        </w:rPr>
        <w:t xml:space="preserve">, where U.S. Supreme Court held the </w:t>
      </w:r>
      <w:r w:rsidRPr="00D25C58">
        <w:rPr>
          <w:rFonts w:ascii="Times New Roman" w:hAnsi="Times New Roman"/>
          <w:sz w:val="24"/>
          <w:szCs w:val="24"/>
        </w:rPr>
        <w:t xml:space="preserve">First Amendment still provides some protection for a public employee who speaks (1) “as a citizen” (2) “addressing matters of public concern.” </w:t>
      </w:r>
      <w:r w:rsidRPr="00D25C58">
        <w:rPr>
          <w:rStyle w:val="Emphasis"/>
          <w:rFonts w:ascii="Times New Roman" w:hAnsi="Times New Roman"/>
          <w:sz w:val="24"/>
          <w:szCs w:val="24"/>
        </w:rPr>
        <w:t>Id.</w:t>
      </w:r>
      <w:r w:rsidRPr="00D25C58">
        <w:rPr>
          <w:rFonts w:ascii="Times New Roman" w:hAnsi="Times New Roman"/>
          <w:sz w:val="24"/>
          <w:szCs w:val="24"/>
        </w:rPr>
        <w:t xml:space="preserve"> If the employee speaks as a citizen</w:t>
      </w:r>
      <w:r>
        <w:rPr>
          <w:rFonts w:ascii="Times New Roman" w:hAnsi="Times New Roman"/>
          <w:sz w:val="24"/>
          <w:szCs w:val="24"/>
        </w:rPr>
        <w:t xml:space="preserve">.  </w:t>
      </w:r>
      <w:hyperlink r:id="rId2566" w:history="1">
        <w:r w:rsidRPr="00552F99">
          <w:rPr>
            <w:rStyle w:val="Hyperlink"/>
            <w:rFonts w:ascii="Times New Roman" w:hAnsi="Times New Roman"/>
            <w:sz w:val="24"/>
            <w:szCs w:val="24"/>
          </w:rPr>
          <w:t>https://casetext.com/case/owens-v-propes</w:t>
        </w:r>
      </w:hyperlink>
    </w:p>
    <w:p w14:paraId="33D50BFE" w14:textId="0F39E572" w:rsidR="00BA51CC" w:rsidRDefault="00BA51CC" w:rsidP="00BA51CC">
      <w:pPr>
        <w:pStyle w:val="NoSpacing"/>
        <w:rPr>
          <w:rStyle w:val="Hyperlink"/>
          <w:rFonts w:ascii="Times New Roman" w:hAnsi="Times New Roman"/>
          <w:sz w:val="24"/>
          <w:szCs w:val="24"/>
        </w:rPr>
      </w:pPr>
    </w:p>
    <w:p w14:paraId="7102314C" w14:textId="77777777" w:rsidR="00BA51CC" w:rsidRPr="00817FDB" w:rsidRDefault="00BA51CC" w:rsidP="00BA51CC">
      <w:pPr>
        <w:spacing w:before="100" w:beforeAutospacing="1" w:after="100" w:afterAutospacing="1" w:line="240" w:lineRule="auto"/>
        <w:rPr>
          <w:rFonts w:ascii="Times New Roman" w:eastAsia="Times New Roman" w:hAnsi="Times New Roman"/>
          <w:b/>
          <w:bCs/>
          <w:sz w:val="24"/>
          <w:szCs w:val="24"/>
        </w:rPr>
      </w:pPr>
      <w:r w:rsidRPr="00817FDB">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Public officials, including fire chiefs and firefighters have only limited 1</w:t>
      </w:r>
      <w:r w:rsidRPr="00817FDB">
        <w:rPr>
          <w:rFonts w:ascii="Times New Roman" w:eastAsia="Times New Roman" w:hAnsi="Times New Roman"/>
          <w:b/>
          <w:bCs/>
          <w:sz w:val="24"/>
          <w:szCs w:val="24"/>
          <w:vertAlign w:val="superscript"/>
        </w:rPr>
        <w:t>st</w:t>
      </w:r>
      <w:r>
        <w:rPr>
          <w:rFonts w:ascii="Times New Roman" w:eastAsia="Times New Roman" w:hAnsi="Times New Roman"/>
          <w:b/>
          <w:bCs/>
          <w:sz w:val="24"/>
          <w:szCs w:val="24"/>
        </w:rPr>
        <w:t xml:space="preserve"> Amendment rights under the </w:t>
      </w:r>
      <w:r w:rsidRPr="00817EA6">
        <w:rPr>
          <w:rFonts w:ascii="Times New Roman" w:eastAsia="Times New Roman" w:hAnsi="Times New Roman"/>
          <w:b/>
          <w:bCs/>
          <w:i/>
          <w:iCs/>
          <w:sz w:val="24"/>
          <w:szCs w:val="24"/>
        </w:rPr>
        <w:t>Pickering</w:t>
      </w:r>
      <w:r>
        <w:rPr>
          <w:rFonts w:ascii="Times New Roman" w:eastAsia="Times New Roman" w:hAnsi="Times New Roman"/>
          <w:b/>
          <w:bCs/>
          <w:sz w:val="24"/>
          <w:szCs w:val="24"/>
        </w:rPr>
        <w:t xml:space="preserve"> “balancing test” when discussing official activities; here the trial court found that the Fire Chief was speaking as a private citizen. </w:t>
      </w:r>
    </w:p>
    <w:p w14:paraId="3B240C8C" w14:textId="7C2A13A9" w:rsidR="00BA51CC" w:rsidRPr="00BA51CC" w:rsidRDefault="00BA51CC" w:rsidP="00BA51CC">
      <w:pPr>
        <w:pStyle w:val="NoSpacing"/>
        <w:ind w:left="720"/>
        <w:rPr>
          <w:rFonts w:ascii="Times New Roman" w:hAnsi="Times New Roman"/>
          <w:sz w:val="24"/>
          <w:szCs w:val="24"/>
        </w:rPr>
      </w:pPr>
      <w:r w:rsidRPr="00BA51CC">
        <w:rPr>
          <w:rFonts w:ascii="Times New Roman" w:hAnsi="Times New Roman"/>
          <w:sz w:val="24"/>
          <w:szCs w:val="24"/>
        </w:rPr>
        <w:t xml:space="preserve">Note: See article (July 6, 2021): “Owens refused to resign; Fire chief's alleged relationship, financial management lead to firing.” </w:t>
      </w:r>
      <w:hyperlink r:id="rId2567" w:history="1">
        <w:r w:rsidRPr="00BA51CC">
          <w:rPr>
            <w:rStyle w:val="Hyperlink"/>
            <w:rFonts w:ascii="Times New Roman" w:hAnsi="Times New Roman"/>
            <w:sz w:val="24"/>
            <w:szCs w:val="24"/>
          </w:rPr>
          <w:t>https://www.waltontribune.com/article_108b8906-f48f-11ea-baf7-07788894fc4c.html</w:t>
        </w:r>
      </w:hyperlink>
    </w:p>
    <w:p w14:paraId="7F8BF022" w14:textId="77777777" w:rsidR="00BA51CC" w:rsidRDefault="00BA51CC" w:rsidP="00F326E5">
      <w:pPr>
        <w:pStyle w:val="NoSpacing"/>
        <w:rPr>
          <w:rFonts w:ascii="Arial Black" w:hAnsi="Arial Black"/>
          <w:sz w:val="24"/>
          <w:szCs w:val="24"/>
        </w:rPr>
      </w:pPr>
    </w:p>
    <w:p w14:paraId="26CCD078" w14:textId="77777777" w:rsidR="00BA51CC" w:rsidRDefault="00BA51CC" w:rsidP="00F326E5">
      <w:pPr>
        <w:pStyle w:val="NoSpacing"/>
        <w:rPr>
          <w:rFonts w:ascii="Arial Black" w:hAnsi="Arial Black"/>
          <w:sz w:val="24"/>
          <w:szCs w:val="24"/>
        </w:rPr>
      </w:pPr>
    </w:p>
    <w:p w14:paraId="4951670B" w14:textId="3688525F" w:rsidR="00BA51CC" w:rsidRDefault="00BA51CC" w:rsidP="00F326E5">
      <w:pPr>
        <w:pStyle w:val="NoSpacing"/>
        <w:rPr>
          <w:rFonts w:ascii="Arial Black" w:hAnsi="Arial Black"/>
          <w:sz w:val="24"/>
          <w:szCs w:val="24"/>
        </w:rPr>
      </w:pPr>
      <w:r>
        <w:rPr>
          <w:rFonts w:ascii="Arial Black" w:hAnsi="Arial Black"/>
          <w:sz w:val="24"/>
          <w:szCs w:val="24"/>
        </w:rPr>
        <w:t>16-66</w:t>
      </w:r>
    </w:p>
    <w:p w14:paraId="4A0E4F9E" w14:textId="77777777" w:rsidR="00BA51CC" w:rsidRPr="008635F6" w:rsidRDefault="00BA51CC" w:rsidP="00BA51CC">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FL: NAVAL FIRE TRAINING OFFICER FIRED - TOLD UPDATE TRAINING RECORDS – NO WHISTLEBLOWER RETALIATION</w:t>
      </w:r>
    </w:p>
    <w:p w14:paraId="0F6252C7" w14:textId="38A9CB3F" w:rsidR="00BA51CC" w:rsidRDefault="00BA51CC" w:rsidP="00BA51CC">
      <w:pPr>
        <w:pStyle w:val="NoSpacing"/>
        <w:rPr>
          <w:rStyle w:val="Hyperlink"/>
          <w:rFonts w:ascii="Times New Roman" w:hAnsi="Times New Roman"/>
          <w:sz w:val="24"/>
          <w:szCs w:val="24"/>
        </w:rPr>
      </w:pPr>
      <w:r w:rsidRPr="000A2685">
        <w:rPr>
          <w:rFonts w:ascii="Times New Roman" w:eastAsia="Times New Roman" w:hAnsi="Times New Roman"/>
          <w:sz w:val="24"/>
          <w:szCs w:val="24"/>
        </w:rPr>
        <w:t xml:space="preserve">On </w:t>
      </w:r>
      <w:r>
        <w:rPr>
          <w:rFonts w:ascii="Times New Roman" w:eastAsia="Times New Roman" w:hAnsi="Times New Roman"/>
          <w:sz w:val="24"/>
          <w:szCs w:val="24"/>
        </w:rPr>
        <w:t xml:space="preserve">April 1, 2022, in </w:t>
      </w:r>
      <w:r w:rsidRPr="000A2685">
        <w:rPr>
          <w:rFonts w:ascii="Times New Roman" w:eastAsia="Times New Roman" w:hAnsi="Times New Roman"/>
          <w:sz w:val="24"/>
          <w:szCs w:val="24"/>
          <w:u w:val="single"/>
        </w:rPr>
        <w:t>David A, Rickel v. Department of the Navy</w:t>
      </w:r>
      <w:r>
        <w:rPr>
          <w:rFonts w:ascii="Times New Roman" w:eastAsia="Times New Roman" w:hAnsi="Times New Roman"/>
          <w:sz w:val="24"/>
          <w:szCs w:val="24"/>
        </w:rPr>
        <w:t xml:space="preserve">, the U.S. Court of Appeals for Federal Circuit (D.C.) held (3 to 0) that there was substantial evidence to support the decision of </w:t>
      </w:r>
      <w:r w:rsidRPr="00A91835">
        <w:rPr>
          <w:rFonts w:ascii="Times New Roman" w:hAnsi="Times New Roman"/>
          <w:sz w:val="24"/>
          <w:szCs w:val="24"/>
        </w:rPr>
        <w:t>Merit Systems Protection Board</w:t>
      </w:r>
      <w:r>
        <w:rPr>
          <w:rFonts w:ascii="Times New Roman" w:hAnsi="Times New Roman"/>
          <w:sz w:val="24"/>
          <w:szCs w:val="24"/>
        </w:rPr>
        <w:t xml:space="preserve">, which upheld the termination decision by Captain Brian Weiss, Executive Officer of Naval Air Station Jacksonville.  The plaintiff was the only employee in the Fire Service training office. In late 2016, he applied for Deputy Fire </w:t>
      </w:r>
      <w:proofErr w:type="gramStart"/>
      <w:r>
        <w:rPr>
          <w:rFonts w:ascii="Times New Roman" w:hAnsi="Times New Roman"/>
          <w:sz w:val="24"/>
          <w:szCs w:val="24"/>
        </w:rPr>
        <w:t>Chief</w:t>
      </w:r>
      <w:proofErr w:type="gramEnd"/>
      <w:r>
        <w:rPr>
          <w:rFonts w:ascii="Times New Roman" w:hAnsi="Times New Roman"/>
          <w:sz w:val="24"/>
          <w:szCs w:val="24"/>
        </w:rPr>
        <w:t xml:space="preserve">, but </w:t>
      </w:r>
      <w:proofErr w:type="gramStart"/>
      <w:r>
        <w:rPr>
          <w:rFonts w:ascii="Times New Roman" w:hAnsi="Times New Roman"/>
          <w:sz w:val="24"/>
          <w:szCs w:val="24"/>
        </w:rPr>
        <w:t>position went to</w:t>
      </w:r>
      <w:proofErr w:type="gramEnd"/>
      <w:r>
        <w:rPr>
          <w:rFonts w:ascii="Times New Roman" w:hAnsi="Times New Roman"/>
          <w:sz w:val="24"/>
          <w:szCs w:val="24"/>
        </w:rPr>
        <w:t xml:space="preserve"> the </w:t>
      </w:r>
      <w:proofErr w:type="gramStart"/>
      <w:r>
        <w:rPr>
          <w:rFonts w:ascii="Times New Roman" w:hAnsi="Times New Roman"/>
          <w:sz w:val="24"/>
          <w:szCs w:val="24"/>
        </w:rPr>
        <w:t>current</w:t>
      </w:r>
      <w:proofErr w:type="gramEnd"/>
      <w:r>
        <w:rPr>
          <w:rFonts w:ascii="Times New Roman" w:hAnsi="Times New Roman"/>
          <w:sz w:val="24"/>
          <w:szCs w:val="24"/>
        </w:rPr>
        <w:t xml:space="preserve"> Assistant Chief of Operations.  The plaintiff sent an e-</w:t>
      </w:r>
      <w:r>
        <w:rPr>
          <w:rFonts w:ascii="Times New Roman" w:hAnsi="Times New Roman"/>
          <w:sz w:val="24"/>
          <w:szCs w:val="24"/>
        </w:rPr>
        <w:lastRenderedPageBreak/>
        <w:t xml:space="preserve">mail to Fire Chief, challenging the Assistant Chief’s “candor in his application” and further alleging there have been at least 5 other promotions who lacked credentials and therefore posed a “life safety risk” to the Navy. He was fired June 8, 2019 for repeated failure to update training records, including being ordered to do so on June 15, 2017; Dec. 2018; and in March 2019 the </w:t>
      </w:r>
      <w:r w:rsidRPr="00FB6C77">
        <w:rPr>
          <w:rFonts w:ascii="Times New Roman" w:hAnsi="Times New Roman"/>
          <w:sz w:val="24"/>
          <w:szCs w:val="24"/>
        </w:rPr>
        <w:t>Deputy Chief took between March 5 and March 25 to update the records, noting that it only took about 16.5 hours to "get the folders done and inspection ready</w:t>
      </w:r>
      <w:r>
        <w:rPr>
          <w:rFonts w:ascii="Times New Roman" w:hAnsi="Times New Roman"/>
          <w:sz w:val="24"/>
          <w:szCs w:val="24"/>
        </w:rPr>
        <w:t>.</w:t>
      </w:r>
      <w:r w:rsidRPr="00FB6C77">
        <w:rPr>
          <w:rFonts w:ascii="Times New Roman" w:hAnsi="Times New Roman"/>
          <w:sz w:val="24"/>
          <w:szCs w:val="24"/>
        </w:rPr>
        <w:t xml:space="preserve">" </w:t>
      </w:r>
      <w:r>
        <w:rPr>
          <w:rFonts w:ascii="Times New Roman" w:hAnsi="Times New Roman"/>
          <w:sz w:val="24"/>
          <w:szCs w:val="24"/>
        </w:rPr>
        <w:t xml:space="preserve"> </w:t>
      </w:r>
      <w:hyperlink r:id="rId2568" w:history="1">
        <w:r w:rsidRPr="00D45A3B">
          <w:rPr>
            <w:rStyle w:val="Hyperlink"/>
            <w:rFonts w:ascii="Times New Roman" w:hAnsi="Times New Roman"/>
            <w:sz w:val="24"/>
            <w:szCs w:val="24"/>
          </w:rPr>
          <w:t>https://law.justia.com/cases/federal/appellate-courts/cafc/20-2147/20-2147-2022-04-18.html</w:t>
        </w:r>
      </w:hyperlink>
    </w:p>
    <w:p w14:paraId="64E70D9F" w14:textId="0F026F85" w:rsidR="00BA51CC" w:rsidRDefault="00BA51CC" w:rsidP="00BA51CC">
      <w:pPr>
        <w:pStyle w:val="NoSpacing"/>
        <w:rPr>
          <w:rStyle w:val="Hyperlink"/>
          <w:rFonts w:ascii="Times New Roman" w:hAnsi="Times New Roman"/>
          <w:sz w:val="24"/>
          <w:szCs w:val="24"/>
        </w:rPr>
      </w:pPr>
    </w:p>
    <w:p w14:paraId="361806C7" w14:textId="77777777" w:rsidR="00BA51CC" w:rsidRPr="00C30B2C" w:rsidRDefault="00BA51CC" w:rsidP="00BA51CC">
      <w:pPr>
        <w:pStyle w:val="NormalWeb"/>
        <w:rPr>
          <w:b/>
          <w:bCs/>
        </w:rPr>
      </w:pPr>
      <w:r w:rsidRPr="00C30B2C">
        <w:rPr>
          <w:b/>
          <w:bCs/>
        </w:rPr>
        <w:t>Legal Lesson Learned:</w:t>
      </w:r>
      <w:r>
        <w:rPr>
          <w:b/>
          <w:bCs/>
        </w:rPr>
        <w:t xml:space="preserve"> “Whistleblower” claims can be defeated with detailed records proving refusal to follow orders. </w:t>
      </w:r>
    </w:p>
    <w:p w14:paraId="6B7D043A" w14:textId="77777777" w:rsidR="00BA51CC" w:rsidRDefault="00BA51CC" w:rsidP="00BA51CC">
      <w:pPr>
        <w:pStyle w:val="NoSpacing"/>
        <w:rPr>
          <w:rFonts w:ascii="Arial Black" w:hAnsi="Arial Black"/>
          <w:sz w:val="24"/>
          <w:szCs w:val="24"/>
        </w:rPr>
      </w:pPr>
    </w:p>
    <w:p w14:paraId="1762BAE3" w14:textId="77777777" w:rsidR="00BA51CC" w:rsidRDefault="00BA51CC" w:rsidP="00F326E5">
      <w:pPr>
        <w:pStyle w:val="NoSpacing"/>
        <w:rPr>
          <w:rFonts w:ascii="Arial Black" w:hAnsi="Arial Black"/>
          <w:sz w:val="24"/>
          <w:szCs w:val="24"/>
        </w:rPr>
      </w:pPr>
    </w:p>
    <w:p w14:paraId="52FF0F29" w14:textId="52EADE65" w:rsidR="007F5C26" w:rsidRDefault="007F5C26" w:rsidP="00F326E5">
      <w:pPr>
        <w:pStyle w:val="NoSpacing"/>
        <w:rPr>
          <w:rFonts w:ascii="Arial Black" w:hAnsi="Arial Black"/>
          <w:sz w:val="24"/>
          <w:szCs w:val="24"/>
        </w:rPr>
      </w:pPr>
      <w:r>
        <w:rPr>
          <w:rFonts w:ascii="Arial Black" w:hAnsi="Arial Black"/>
          <w:sz w:val="24"/>
          <w:szCs w:val="24"/>
        </w:rPr>
        <w:t>16-65 [also filed, Chap. 17]</w:t>
      </w:r>
    </w:p>
    <w:p w14:paraId="023E3E9D" w14:textId="77777777" w:rsidR="007F5C26" w:rsidRDefault="007F5C26" w:rsidP="007F5C2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ARBITRATOR MAY REDUCE PENALTY – NEW SHIFT RELIEF - ASSISTANT CHIEF’S LOSS PAY OVERTURNED</w:t>
      </w:r>
    </w:p>
    <w:p w14:paraId="28F4C635" w14:textId="77777777" w:rsidR="007F5C26" w:rsidRPr="00AA2A35" w:rsidRDefault="007F5C26" w:rsidP="007F5C26">
      <w:pPr>
        <w:spacing w:before="100" w:beforeAutospacing="1" w:after="100" w:afterAutospacing="1" w:line="240" w:lineRule="auto"/>
        <w:rPr>
          <w:rFonts w:ascii="Times New Roman" w:eastAsia="Times New Roman" w:hAnsi="Times New Roman"/>
          <w:sz w:val="24"/>
          <w:szCs w:val="24"/>
        </w:rPr>
      </w:pPr>
      <w:r w:rsidRPr="00AA2A35">
        <w:rPr>
          <w:rFonts w:ascii="Times New Roman" w:hAnsi="Times New Roman"/>
          <w:sz w:val="24"/>
          <w:szCs w:val="24"/>
        </w:rPr>
        <w:t xml:space="preserve">On March 17, 2022, in </w:t>
      </w:r>
      <w:r w:rsidRPr="00AA2A35">
        <w:rPr>
          <w:rFonts w:ascii="Times New Roman" w:hAnsi="Times New Roman"/>
          <w:sz w:val="24"/>
          <w:szCs w:val="24"/>
          <w:u w:val="single"/>
        </w:rPr>
        <w:t>Association of Cleveland Fire Fighters, Local 93 v. City of Cleveland</w:t>
      </w:r>
      <w:r w:rsidRPr="00AA2A35">
        <w:rPr>
          <w:rFonts w:ascii="Times New Roman" w:hAnsi="Times New Roman"/>
          <w:sz w:val="24"/>
          <w:szCs w:val="24"/>
        </w:rPr>
        <w:t>, the Court of Appeals of Ohio, 8</w:t>
      </w:r>
      <w:r w:rsidRPr="00AA2A35">
        <w:rPr>
          <w:rFonts w:ascii="Times New Roman" w:hAnsi="Times New Roman"/>
          <w:sz w:val="24"/>
          <w:szCs w:val="24"/>
          <w:vertAlign w:val="superscript"/>
        </w:rPr>
        <w:t>th</w:t>
      </w:r>
      <w:r w:rsidRPr="00AA2A35">
        <w:rPr>
          <w:rFonts w:ascii="Times New Roman" w:hAnsi="Times New Roman"/>
          <w:sz w:val="24"/>
          <w:szCs w:val="24"/>
        </w:rPr>
        <w:t xml:space="preserve"> District (Cuyahoga County), held (3 to 0) that a Common Pleas judge improperly set aside the arbitrator’s award which found the charge of “gross insubordination” by Assistant Fire Chief was not proven, but the facts supported a “conduct unbecoming” charge. The Assistant Fire Chief was charged with 16 charges for trying to get the vacationing Fire Chief to overturn Acting Fire Chiefs order to follow the new shift relief procedure (to save overtime money, when the incoming Assistant Chief called off, he can only be replaced by on duty officer of lesser rank).  The arbitrator had authority to vacate the most serious charge of “gross insubordination” and the 24-hour suspension, and to direct the FD to change in his personnel file with an official reprimand for one of the lesser charges, “conduct unbecoming an employee in the public service,” with no loss of wages. </w:t>
      </w:r>
      <w:hyperlink r:id="rId2569" w:history="1">
        <w:r w:rsidRPr="00AA2A35">
          <w:rPr>
            <w:rStyle w:val="Hyperlink"/>
            <w:rFonts w:ascii="Times New Roman" w:eastAsia="Times New Roman" w:hAnsi="Times New Roman"/>
            <w:sz w:val="24"/>
            <w:szCs w:val="24"/>
          </w:rPr>
          <w:t>https://www.supremecourt.ohio.gov/rod/docs/pdf/8/2022/2022-Ohio-824.pdf</w:t>
        </w:r>
      </w:hyperlink>
      <w:r w:rsidRPr="00AA2A35">
        <w:rPr>
          <w:rFonts w:ascii="Times New Roman" w:eastAsia="Times New Roman" w:hAnsi="Times New Roman"/>
          <w:sz w:val="24"/>
          <w:szCs w:val="24"/>
        </w:rPr>
        <w:t xml:space="preserve"> </w:t>
      </w:r>
    </w:p>
    <w:p w14:paraId="5164A96F" w14:textId="77777777" w:rsidR="007F5C26" w:rsidRPr="00892AD5"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92AD5">
        <w:rPr>
          <w:rFonts w:ascii="Times New Roman" w:eastAsia="Times New Roman" w:hAnsi="Times New Roman"/>
          <w:sz w:val="24"/>
          <w:szCs w:val="24"/>
        </w:rPr>
        <w:t xml:space="preserve">In focusing solely on the question of gross insubordination, the Union disregards the fact that the parties stipulated to </w:t>
      </w:r>
      <w:r w:rsidRPr="00892AD5">
        <w:rPr>
          <w:rFonts w:ascii="Times New Roman" w:eastAsia="Times New Roman" w:hAnsi="Times New Roman"/>
          <w:i/>
          <w:iCs/>
          <w:sz w:val="24"/>
          <w:szCs w:val="24"/>
        </w:rPr>
        <w:t>two</w:t>
      </w:r>
      <w:r w:rsidRPr="00892AD5">
        <w:rPr>
          <w:rFonts w:ascii="Times New Roman" w:eastAsia="Times New Roman" w:hAnsi="Times New Roman"/>
          <w:sz w:val="24"/>
          <w:szCs w:val="24"/>
        </w:rPr>
        <w:t xml:space="preserve"> questions before submitting the matter to arbitration. The first question was whether the city had just cause to suspend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a day and issue him an official reprimand. The question of just cause was not confined to "gross insubordination." Rather, the question concerned whether the city had just </w:t>
      </w:r>
      <w:proofErr w:type="gramStart"/>
      <w:r w:rsidRPr="00892AD5">
        <w:rPr>
          <w:rFonts w:ascii="Times New Roman" w:eastAsia="Times New Roman" w:hAnsi="Times New Roman"/>
          <w:sz w:val="24"/>
          <w:szCs w:val="24"/>
        </w:rPr>
        <w:t>cause</w:t>
      </w:r>
      <w:proofErr w:type="gramEnd"/>
      <w:r w:rsidRPr="00892AD5">
        <w:rPr>
          <w:rFonts w:ascii="Times New Roman" w:eastAsia="Times New Roman" w:hAnsi="Times New Roman"/>
          <w:sz w:val="24"/>
          <w:szCs w:val="24"/>
        </w:rPr>
        <w:t xml:space="preserve"> discipline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his conduct. </w:t>
      </w:r>
    </w:p>
    <w:p w14:paraId="1DC4F16D" w14:textId="77777777" w:rsidR="007F5C26"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15D36C6B" w14:textId="276E9DDE" w:rsidR="007F5C26" w:rsidRDefault="007F5C26" w:rsidP="007F5C26">
      <w:pPr>
        <w:pStyle w:val="NoSpacing"/>
        <w:rPr>
          <w:rFonts w:ascii="Arial Black" w:hAnsi="Arial Black"/>
          <w:sz w:val="24"/>
          <w:szCs w:val="24"/>
        </w:rPr>
      </w:pPr>
      <w:r w:rsidRPr="0091695D">
        <w:rPr>
          <w:rFonts w:ascii="Times New Roman" w:hAnsi="Times New Roman"/>
          <w:sz w:val="24"/>
          <w:szCs w:val="24"/>
        </w:rPr>
        <w:t xml:space="preserve">The Union nevertheless maintains that the arbitrator exceeded his powers by creating a new charge not submitted to arbitration and issuing a penalty based on that charge. The charge of conduct unbecoming was not expressly submitted to arbitration in the parties' stipulated questions, but neither were the charges of gross insubordination or insubordination expressly submitted to arbitration. The questions to which the parties stipulated focused on remedies: the penalties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had received for his conduct and, if these penalties were unjustified, the penalty the arbitrator determined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should receive for his conduct. The Union's claim that the arbitrator created a new charge by finding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engaged in conduct unbecoming is not supported by the record.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was charged with 16 violations, which included the charge of conduct unbecoming. The Union's claim that any penalty based on that charge was improper is also not supported by the record because conduct unbecoming is punishable by official reprimand. The arbitrator's leaving this penalty intact is consistent with the discipline </w:t>
      </w:r>
      <w:proofErr w:type="gramStart"/>
      <w:r w:rsidRPr="0091695D">
        <w:rPr>
          <w:rFonts w:ascii="Times New Roman" w:hAnsi="Times New Roman"/>
          <w:sz w:val="24"/>
          <w:szCs w:val="24"/>
        </w:rPr>
        <w:t>guide.</w:t>
      </w:r>
      <w:r>
        <w:rPr>
          <w:rFonts w:ascii="Times New Roman" w:hAnsi="Times New Roman"/>
          <w:sz w:val="24"/>
          <w:szCs w:val="24"/>
        </w:rPr>
        <w:t>”</w:t>
      </w:r>
      <w:proofErr w:type="gramEnd"/>
      <w:r>
        <w:rPr>
          <w:rFonts w:ascii="Times New Roman" w:hAnsi="Times New Roman"/>
          <w:sz w:val="24"/>
          <w:szCs w:val="24"/>
        </w:rPr>
        <w:t xml:space="preserve"> </w:t>
      </w:r>
      <w:hyperlink r:id="rId2570" w:history="1">
        <w:r w:rsidRPr="0083693C">
          <w:rPr>
            <w:rStyle w:val="Hyperlink"/>
            <w:rFonts w:ascii="Times New Roman" w:eastAsia="Times New Roman" w:hAnsi="Times New Roman"/>
            <w:sz w:val="24"/>
            <w:szCs w:val="24"/>
          </w:rPr>
          <w:t>https://www.supremecourt.ohio.gov/rod/docs/pdf/8/2022/2022-Ohio-824.pdf</w:t>
        </w:r>
      </w:hyperlink>
    </w:p>
    <w:p w14:paraId="6DF075C2" w14:textId="77777777" w:rsidR="007F5C26" w:rsidRDefault="007F5C26" w:rsidP="00F326E5">
      <w:pPr>
        <w:pStyle w:val="NoSpacing"/>
        <w:rPr>
          <w:rFonts w:ascii="Arial Black" w:hAnsi="Arial Black"/>
          <w:sz w:val="24"/>
          <w:szCs w:val="24"/>
        </w:rPr>
      </w:pPr>
    </w:p>
    <w:p w14:paraId="4239BE0F" w14:textId="77777777" w:rsidR="007F5C26" w:rsidRPr="00FE655C" w:rsidRDefault="007F5C26" w:rsidP="007F5C26">
      <w:pPr>
        <w:spacing w:before="100" w:beforeAutospacing="1" w:after="100" w:afterAutospacing="1" w:line="240" w:lineRule="auto"/>
        <w:rPr>
          <w:rFonts w:ascii="Times New Roman" w:eastAsia="Times New Roman" w:hAnsi="Times New Roman"/>
          <w:b/>
          <w:bCs/>
          <w:sz w:val="24"/>
          <w:szCs w:val="24"/>
        </w:rPr>
      </w:pPr>
      <w:r w:rsidRPr="00FE655C">
        <w:rPr>
          <w:rFonts w:ascii="Times New Roman" w:eastAsia="Times New Roman" w:hAnsi="Times New Roman"/>
          <w:b/>
          <w:bCs/>
          <w:sz w:val="24"/>
          <w:szCs w:val="24"/>
        </w:rPr>
        <w:lastRenderedPageBreak/>
        <w:t xml:space="preserve">Legal Lesson Learned: </w:t>
      </w:r>
      <w:r>
        <w:rPr>
          <w:rFonts w:ascii="Times New Roman" w:eastAsia="Times New Roman" w:hAnsi="Times New Roman"/>
          <w:b/>
          <w:bCs/>
          <w:sz w:val="24"/>
          <w:szCs w:val="24"/>
        </w:rPr>
        <w:t xml:space="preserve">When submitting a disciplinary matter to arbitration, be very careful in the questions being submitted to the arbitrator. </w:t>
      </w:r>
    </w:p>
    <w:p w14:paraId="57AAB599" w14:textId="77777777" w:rsidR="007F5C26" w:rsidRDefault="007F5C26" w:rsidP="00F326E5">
      <w:pPr>
        <w:pStyle w:val="NoSpacing"/>
        <w:rPr>
          <w:rFonts w:ascii="Arial Black" w:hAnsi="Arial Black"/>
          <w:sz w:val="24"/>
          <w:szCs w:val="24"/>
        </w:rPr>
      </w:pPr>
    </w:p>
    <w:p w14:paraId="12BEE6AE" w14:textId="77777777" w:rsidR="007F5C26" w:rsidRDefault="007F5C26" w:rsidP="00F326E5">
      <w:pPr>
        <w:pStyle w:val="NoSpacing"/>
        <w:rPr>
          <w:rFonts w:ascii="Arial Black" w:hAnsi="Arial Black"/>
          <w:sz w:val="24"/>
          <w:szCs w:val="24"/>
        </w:rPr>
      </w:pPr>
    </w:p>
    <w:p w14:paraId="7C7F8807" w14:textId="77777777" w:rsidR="007F5C26" w:rsidRDefault="007F5C26" w:rsidP="00F326E5">
      <w:pPr>
        <w:pStyle w:val="NoSpacing"/>
        <w:rPr>
          <w:rFonts w:ascii="Arial Black" w:hAnsi="Arial Black"/>
          <w:sz w:val="24"/>
          <w:szCs w:val="24"/>
        </w:rPr>
      </w:pPr>
    </w:p>
    <w:p w14:paraId="62E9487A" w14:textId="77777777" w:rsidR="007F5C26" w:rsidRDefault="007F5C26" w:rsidP="00F326E5">
      <w:pPr>
        <w:pStyle w:val="NoSpacing"/>
        <w:rPr>
          <w:rFonts w:ascii="Arial Black" w:hAnsi="Arial Black"/>
          <w:sz w:val="24"/>
          <w:szCs w:val="24"/>
        </w:rPr>
      </w:pPr>
    </w:p>
    <w:p w14:paraId="31CDE0E7" w14:textId="77777777" w:rsidR="007F5C26" w:rsidRDefault="007F5C26" w:rsidP="00F326E5">
      <w:pPr>
        <w:pStyle w:val="NoSpacing"/>
        <w:rPr>
          <w:rFonts w:ascii="Arial Black" w:hAnsi="Arial Black"/>
          <w:sz w:val="24"/>
          <w:szCs w:val="24"/>
        </w:rPr>
      </w:pPr>
    </w:p>
    <w:p w14:paraId="35D884B2" w14:textId="2A8E57DF" w:rsidR="00680939" w:rsidRPr="007F5C26" w:rsidRDefault="00680939" w:rsidP="00F326E5">
      <w:pPr>
        <w:pStyle w:val="NoSpacing"/>
        <w:rPr>
          <w:rFonts w:ascii="Times New Roman" w:hAnsi="Times New Roman"/>
          <w:b/>
          <w:bCs/>
          <w:sz w:val="24"/>
          <w:szCs w:val="24"/>
        </w:rPr>
      </w:pPr>
      <w:r>
        <w:rPr>
          <w:rFonts w:ascii="Arial Black" w:hAnsi="Arial Black"/>
          <w:sz w:val="24"/>
          <w:szCs w:val="24"/>
        </w:rPr>
        <w:t>16-64</w:t>
      </w:r>
      <w:r w:rsidR="00D55139">
        <w:rPr>
          <w:rFonts w:ascii="Arial Black" w:hAnsi="Arial Black"/>
          <w:sz w:val="24"/>
          <w:szCs w:val="24"/>
        </w:rPr>
        <w:t xml:space="preserve"> </w:t>
      </w:r>
      <w:r w:rsidR="00D55139" w:rsidRPr="007F5C26">
        <w:rPr>
          <w:rFonts w:ascii="Times New Roman" w:hAnsi="Times New Roman"/>
          <w:b/>
          <w:bCs/>
          <w:sz w:val="24"/>
          <w:szCs w:val="24"/>
        </w:rPr>
        <w:t>[also filed, Chap. 13]</w:t>
      </w:r>
    </w:p>
    <w:p w14:paraId="467CA0E1" w14:textId="77777777" w:rsidR="00680939" w:rsidRPr="006C2163" w:rsidRDefault="00680939" w:rsidP="0068093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DE: PARAMEDIC LICENSE SUSPENDED – PLED GUILTY - </w:t>
      </w:r>
      <w:r w:rsidRPr="006C2163">
        <w:rPr>
          <w:rFonts w:ascii="Arial Black" w:eastAsia="Times New Roman" w:hAnsi="Arial Black"/>
          <w:sz w:val="28"/>
          <w:szCs w:val="28"/>
        </w:rPr>
        <w:t>T</w:t>
      </w:r>
      <w:r>
        <w:rPr>
          <w:rFonts w:ascii="Arial Black" w:eastAsia="Times New Roman" w:hAnsi="Arial Black"/>
          <w:sz w:val="28"/>
          <w:szCs w:val="28"/>
        </w:rPr>
        <w:t xml:space="preserve">RESPASS INTENT PEER (PEERING ON SEPERATED WIFE) </w:t>
      </w:r>
    </w:p>
    <w:p w14:paraId="3634B207" w14:textId="77777777" w:rsidR="00680939" w:rsidRDefault="00680939" w:rsidP="00680939">
      <w:pPr>
        <w:spacing w:before="100" w:beforeAutospacing="1" w:after="100" w:afterAutospacing="1" w:line="240" w:lineRule="auto"/>
        <w:rPr>
          <w:rFonts w:ascii="Times New Roman" w:eastAsia="Times New Roman" w:hAnsi="Times New Roman"/>
          <w:sz w:val="24"/>
          <w:szCs w:val="24"/>
        </w:rPr>
      </w:pPr>
      <w:r w:rsidRPr="00280A60">
        <w:rPr>
          <w:rFonts w:ascii="Times New Roman" w:eastAsia="Times New Roman" w:hAnsi="Times New Roman"/>
          <w:sz w:val="24"/>
          <w:szCs w:val="24"/>
        </w:rPr>
        <w:t xml:space="preserve">On </w:t>
      </w:r>
      <w:r>
        <w:rPr>
          <w:rFonts w:ascii="Times New Roman" w:eastAsia="Times New Roman" w:hAnsi="Times New Roman"/>
          <w:sz w:val="24"/>
          <w:szCs w:val="24"/>
        </w:rPr>
        <w:t xml:space="preserve">Jan. 26, 2022, in </w:t>
      </w:r>
      <w:r w:rsidRPr="00280A60">
        <w:rPr>
          <w:rFonts w:ascii="Times New Roman" w:eastAsia="Times New Roman" w:hAnsi="Times New Roman"/>
          <w:sz w:val="24"/>
          <w:szCs w:val="24"/>
          <w:u w:val="single"/>
        </w:rPr>
        <w:t xml:space="preserve">Kevin Imhoff v. Delaware Board of Medical Licensure </w:t>
      </w:r>
      <w:r>
        <w:rPr>
          <w:rFonts w:ascii="Times New Roman" w:eastAsia="Times New Roman" w:hAnsi="Times New Roman"/>
          <w:sz w:val="24"/>
          <w:szCs w:val="24"/>
          <w:u w:val="single"/>
        </w:rPr>
        <w:t>a</w:t>
      </w:r>
      <w:r w:rsidRPr="00280A60">
        <w:rPr>
          <w:rFonts w:ascii="Times New Roman" w:eastAsia="Times New Roman" w:hAnsi="Times New Roman"/>
          <w:sz w:val="24"/>
          <w:szCs w:val="24"/>
          <w:u w:val="single"/>
        </w:rPr>
        <w:t>nd Discipline</w:t>
      </w:r>
      <w:r>
        <w:rPr>
          <w:rFonts w:ascii="Times New Roman" w:eastAsia="Times New Roman" w:hAnsi="Times New Roman"/>
          <w:sz w:val="24"/>
          <w:szCs w:val="24"/>
        </w:rPr>
        <w:t xml:space="preserve">, Judge Noel Primos of the he Superior Court of Delaware upheld the suspension of the paramedic’s license but remanded to case for Board to possibly reduce the 2-year suspension for failure to timely report his plea of guilty. In September 2019 he pled guilty to Criminal Mischief, Violation of Privacy, and Trespass with Intent to Peer or Peep, but didn’t report this within 30 days to the Board (apparently on bad advice of his criminal defense attorney).  In May 2020, when renewing his license, he reported the convictions. </w:t>
      </w:r>
      <w:hyperlink r:id="rId2571" w:history="1">
        <w:r w:rsidRPr="00A83547">
          <w:rPr>
            <w:rStyle w:val="Hyperlink"/>
            <w:rFonts w:ascii="Times New Roman" w:hAnsi="Times New Roman"/>
            <w:sz w:val="24"/>
            <w:szCs w:val="24"/>
          </w:rPr>
          <w:t>https://casetext.com/case/imhof-v-del-bd-of-med-licensure-discipline</w:t>
        </w:r>
      </w:hyperlink>
    </w:p>
    <w:p w14:paraId="1910E0BE" w14:textId="77777777" w:rsidR="00680939" w:rsidRPr="007B6144" w:rsidRDefault="00680939" w:rsidP="00680939">
      <w:pPr>
        <w:spacing w:before="100" w:beforeAutospacing="1" w:after="100" w:afterAutospacing="1" w:line="240" w:lineRule="auto"/>
        <w:jc w:val="both"/>
        <w:rPr>
          <w:rStyle w:val="markedcontent"/>
          <w:rFonts w:ascii="Times New Roman" w:hAnsi="Times New Roman"/>
          <w:b/>
          <w:bCs/>
          <w:sz w:val="24"/>
          <w:szCs w:val="24"/>
        </w:rPr>
      </w:pPr>
      <w:r w:rsidRPr="007B6144">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Criminal misconduct can lead to suspension of EMS license.</w:t>
      </w:r>
    </w:p>
    <w:p w14:paraId="0A6E59ED" w14:textId="77777777" w:rsidR="00680939" w:rsidRDefault="00680939" w:rsidP="00F326E5">
      <w:pPr>
        <w:pStyle w:val="NoSpacing"/>
        <w:rPr>
          <w:rFonts w:ascii="Arial Black" w:hAnsi="Arial Black"/>
          <w:sz w:val="24"/>
          <w:szCs w:val="24"/>
        </w:rPr>
      </w:pPr>
    </w:p>
    <w:p w14:paraId="72A29ABB" w14:textId="77777777" w:rsidR="00680939" w:rsidRDefault="00680939" w:rsidP="00F326E5">
      <w:pPr>
        <w:pStyle w:val="NoSpacing"/>
        <w:rPr>
          <w:rFonts w:ascii="Arial Black" w:hAnsi="Arial Black"/>
          <w:sz w:val="24"/>
          <w:szCs w:val="24"/>
        </w:rPr>
      </w:pPr>
    </w:p>
    <w:p w14:paraId="7EEC580A" w14:textId="4E67793B" w:rsidR="00AC5DED" w:rsidRDefault="00AC5DED" w:rsidP="00F326E5">
      <w:pPr>
        <w:pStyle w:val="NoSpacing"/>
        <w:rPr>
          <w:rFonts w:ascii="Arial Black" w:hAnsi="Arial Black"/>
          <w:sz w:val="24"/>
          <w:szCs w:val="24"/>
        </w:rPr>
      </w:pPr>
      <w:r>
        <w:rPr>
          <w:rFonts w:ascii="Arial Black" w:hAnsi="Arial Black"/>
          <w:sz w:val="24"/>
          <w:szCs w:val="24"/>
        </w:rPr>
        <w:t>16-63</w:t>
      </w:r>
    </w:p>
    <w:p w14:paraId="459B6371" w14:textId="77777777" w:rsidR="00AC5DED" w:rsidRPr="007A29B7" w:rsidRDefault="00AC5DED" w:rsidP="00AC5DED">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RESIDENCY - FF FIRED - 3 YRS RENTED HOUSE IN VILLAGE TO TENANTS – DENIED UNEMPLOYMENT</w:t>
      </w:r>
    </w:p>
    <w:p w14:paraId="7542CC06" w14:textId="77777777" w:rsidR="00AC5DED" w:rsidRDefault="00AC5DED" w:rsidP="00AC5DE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23, 2021, in </w:t>
      </w:r>
      <w:r w:rsidRPr="00CD0344">
        <w:rPr>
          <w:rFonts w:ascii="Times New Roman" w:eastAsia="Times New Roman" w:hAnsi="Times New Roman"/>
          <w:sz w:val="24"/>
          <w:szCs w:val="24"/>
          <w:u w:val="single"/>
        </w:rPr>
        <w:t>John Cannici v. The Department of Employment Security Board of Review</w:t>
      </w:r>
      <w:r>
        <w:rPr>
          <w:rFonts w:ascii="Times New Roman" w:eastAsia="Times New Roman" w:hAnsi="Times New Roman"/>
          <w:sz w:val="24"/>
          <w:szCs w:val="24"/>
        </w:rPr>
        <w:t xml:space="preserve">, the Court of Appeals of Illinois, First District, held (3 to 0) that the firefighter was properly denied unemployment benefits since he was fired for failure to reside in the Village. </w:t>
      </w:r>
    </w:p>
    <w:p w14:paraId="5EF3AF5D" w14:textId="1E9A0A8D" w:rsidR="00AC5DED" w:rsidRDefault="00AC5DED" w:rsidP="00AC5DED">
      <w:pPr>
        <w:pStyle w:val="NoSpacing"/>
        <w:ind w:left="720"/>
        <w:rPr>
          <w:rFonts w:ascii="Arial Black" w:hAnsi="Arial Black"/>
          <w:sz w:val="24"/>
          <w:szCs w:val="24"/>
        </w:rPr>
      </w:pPr>
      <w:r>
        <w:rPr>
          <w:rFonts w:ascii="Times New Roman" w:hAnsi="Times New Roman"/>
          <w:sz w:val="24"/>
          <w:szCs w:val="24"/>
        </w:rPr>
        <w:t>“</w:t>
      </w:r>
      <w:r w:rsidRPr="007A29B7">
        <w:rPr>
          <w:rFonts w:ascii="Times New Roman" w:hAnsi="Times New Roman"/>
          <w:sz w:val="24"/>
          <w:szCs w:val="24"/>
        </w:rPr>
        <w:t xml:space="preserve">The Board's finding that Cannici resided in Orland Park was not against the manifest weight of the evidence because the undisputed evidence showed that, from June 2013 to June 2016, he occupied his house in Orland Park with his family as his principal residence and abode. During those three years, he never slept at the village house, which was occupied by tenants. Although Cannici stored some belongings there, paid the taxes and utilities, and continued to use it as his mailing address, there was no evidence that he </w:t>
      </w:r>
      <w:proofErr w:type="gramStart"/>
      <w:r w:rsidRPr="007A29B7">
        <w:rPr>
          <w:rFonts w:ascii="Times New Roman" w:hAnsi="Times New Roman"/>
          <w:sz w:val="24"/>
          <w:szCs w:val="24"/>
        </w:rPr>
        <w:t>actually did</w:t>
      </w:r>
      <w:proofErr w:type="gramEnd"/>
      <w:r w:rsidRPr="007A29B7">
        <w:rPr>
          <w:rFonts w:ascii="Times New Roman" w:hAnsi="Times New Roman"/>
          <w:sz w:val="24"/>
          <w:szCs w:val="24"/>
        </w:rPr>
        <w:t xml:space="preserve"> anything at his village house other than retrieve his mail from his tenants. He was not that house's resident, as defined in the Village's Code. He was its landlord.</w:t>
      </w:r>
      <w:r>
        <w:rPr>
          <w:rFonts w:ascii="Times New Roman" w:hAnsi="Times New Roman"/>
          <w:sz w:val="24"/>
          <w:szCs w:val="24"/>
        </w:rPr>
        <w:t xml:space="preserve">” </w:t>
      </w:r>
      <w:hyperlink r:id="rId2572" w:history="1">
        <w:r w:rsidRPr="00EC5853">
          <w:rPr>
            <w:rStyle w:val="Hyperlink"/>
            <w:rFonts w:ascii="Times New Roman" w:hAnsi="Times New Roman"/>
            <w:sz w:val="24"/>
            <w:szCs w:val="24"/>
          </w:rPr>
          <w:t>https://ilcourtsaudio.blob.core.windows.net/antilles-resources/resources/1d563ea4-a3fa-4fb5-af89-419baa2c8f0f/Cannici%20v.%20Dept%20of%20Employment%20Security%20Board%20of%20Review,%202021%20IL%20App%20(1st)%20181562.pdf</w:t>
        </w:r>
      </w:hyperlink>
    </w:p>
    <w:p w14:paraId="431E30B4" w14:textId="77777777" w:rsidR="00AC5DED" w:rsidRDefault="00AC5DED" w:rsidP="00F326E5">
      <w:pPr>
        <w:pStyle w:val="NoSpacing"/>
        <w:rPr>
          <w:rFonts w:ascii="Arial Black" w:hAnsi="Arial Black"/>
          <w:sz w:val="24"/>
          <w:szCs w:val="24"/>
        </w:rPr>
      </w:pPr>
    </w:p>
    <w:p w14:paraId="08DB5793" w14:textId="77777777" w:rsidR="00AC5DED" w:rsidRDefault="00AC5DED" w:rsidP="00AC5DED">
      <w:pPr>
        <w:spacing w:before="100" w:beforeAutospacing="1" w:after="100" w:afterAutospacing="1" w:line="240" w:lineRule="auto"/>
        <w:rPr>
          <w:rFonts w:ascii="Times New Roman" w:hAnsi="Times New Roman"/>
          <w:b/>
          <w:bCs/>
          <w:sz w:val="24"/>
          <w:szCs w:val="24"/>
        </w:rPr>
      </w:pPr>
      <w:r w:rsidRPr="00E72BFB">
        <w:rPr>
          <w:rFonts w:ascii="Times New Roman" w:hAnsi="Times New Roman"/>
          <w:b/>
          <w:bCs/>
          <w:sz w:val="24"/>
          <w:szCs w:val="24"/>
        </w:rPr>
        <w:t>Legal Lesson Learned:</w:t>
      </w:r>
      <w:r>
        <w:rPr>
          <w:rFonts w:ascii="Times New Roman" w:hAnsi="Times New Roman"/>
          <w:b/>
          <w:bCs/>
          <w:sz w:val="24"/>
          <w:szCs w:val="24"/>
        </w:rPr>
        <w:t xml:space="preserve"> The Village residency requirement was clear. </w:t>
      </w:r>
    </w:p>
    <w:p w14:paraId="61BB4744" w14:textId="77777777" w:rsidR="00AC5DED" w:rsidRPr="002F6E14" w:rsidRDefault="00AC5DED" w:rsidP="00AC5DED">
      <w:pPr>
        <w:spacing w:before="100" w:beforeAutospacing="1" w:after="100" w:afterAutospacing="1" w:line="240" w:lineRule="auto"/>
        <w:ind w:left="720"/>
        <w:rPr>
          <w:b/>
          <w:bCs/>
          <w:sz w:val="24"/>
          <w:szCs w:val="24"/>
        </w:rPr>
      </w:pPr>
      <w:r w:rsidRPr="004E2270">
        <w:rPr>
          <w:rFonts w:ascii="Times New Roman" w:hAnsi="Times New Roman"/>
          <w:sz w:val="24"/>
          <w:szCs w:val="24"/>
        </w:rPr>
        <w:lastRenderedPageBreak/>
        <w:t xml:space="preserve">Note:  </w:t>
      </w:r>
      <w:r>
        <w:rPr>
          <w:sz w:val="24"/>
          <w:szCs w:val="24"/>
        </w:rPr>
        <w:t xml:space="preserve">See another Court decision from </w:t>
      </w:r>
      <w:r w:rsidRPr="002F6E14">
        <w:rPr>
          <w:sz w:val="24"/>
          <w:szCs w:val="24"/>
        </w:rPr>
        <w:t>MA</w:t>
      </w:r>
      <w:r>
        <w:rPr>
          <w:sz w:val="24"/>
          <w:szCs w:val="24"/>
        </w:rPr>
        <w:t>: “</w:t>
      </w:r>
      <w:r w:rsidRPr="002F6E14">
        <w:rPr>
          <w:sz w:val="24"/>
          <w:szCs w:val="24"/>
        </w:rPr>
        <w:t>Judge: MA City Must Enforce Residency Rules</w:t>
      </w:r>
      <w:r>
        <w:rPr>
          <w:sz w:val="24"/>
          <w:szCs w:val="24"/>
        </w:rPr>
        <w:t>” (Dec. 31, 2021).</w:t>
      </w:r>
      <w:r w:rsidRPr="002F6E14">
        <w:rPr>
          <w:sz w:val="24"/>
          <w:szCs w:val="24"/>
        </w:rPr>
        <w:t xml:space="preserve"> </w:t>
      </w:r>
      <w:hyperlink r:id="rId2573" w:history="1">
        <w:r w:rsidRPr="00EC5853">
          <w:rPr>
            <w:rStyle w:val="Hyperlink"/>
            <w:sz w:val="24"/>
            <w:szCs w:val="24"/>
          </w:rPr>
          <w:t>https://www.firehouse.com/careers-education/news/21251649/judge-springfield-ma-city-must-enforce-residency-rules</w:t>
        </w:r>
      </w:hyperlink>
      <w:r>
        <w:rPr>
          <w:sz w:val="24"/>
          <w:szCs w:val="24"/>
        </w:rPr>
        <w:t xml:space="preserve"> </w:t>
      </w:r>
    </w:p>
    <w:p w14:paraId="68A9E3A0" w14:textId="77777777" w:rsidR="00AC5DED" w:rsidRDefault="00AC5DED" w:rsidP="00AC5DE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See also:  </w:t>
      </w:r>
      <w:r w:rsidRPr="004E2270">
        <w:rPr>
          <w:rFonts w:ascii="Times New Roman" w:hAnsi="Times New Roman"/>
          <w:sz w:val="24"/>
          <w:szCs w:val="24"/>
        </w:rPr>
        <w:t>The Ohio Supreme Court, in Lima v State, June 10, 2009, 2009-Ohio-2597, has held 5-2, that a state law prohibiting general residency requirements for public</w:t>
      </w:r>
      <w:r w:rsidRPr="004E2270">
        <w:rPr>
          <w:rFonts w:ascii="Times New Roman" w:hAnsi="Times New Roman"/>
          <w:sz w:val="24"/>
          <w:szCs w:val="24"/>
        </w:rPr>
        <w:br/>
        <w:t xml:space="preserve">employees is valid and supersedes local laws to the contrary. </w:t>
      </w:r>
      <w:hyperlink r:id="rId2574" w:history="1">
        <w:r w:rsidRPr="00EC5853">
          <w:rPr>
            <w:rStyle w:val="Hyperlink"/>
            <w:rFonts w:ascii="Times New Roman" w:hAnsi="Times New Roman"/>
            <w:sz w:val="24"/>
            <w:szCs w:val="24"/>
          </w:rPr>
          <w:t>https://www.supremecourt.ohio.gov/rod/docs/pdf/0/2009/2009-ohio-2597.pdf</w:t>
        </w:r>
      </w:hyperlink>
      <w:r>
        <w:rPr>
          <w:rFonts w:ascii="Times New Roman" w:hAnsi="Times New Roman"/>
          <w:sz w:val="24"/>
          <w:szCs w:val="24"/>
        </w:rPr>
        <w:t xml:space="preserve"> </w:t>
      </w:r>
    </w:p>
    <w:p w14:paraId="588E6EDA" w14:textId="77777777" w:rsidR="00AC5DED" w:rsidRPr="004E2270" w:rsidRDefault="00AC5DED" w:rsidP="00AC5DED">
      <w:pPr>
        <w:pStyle w:val="Heading1"/>
        <w:ind w:left="720"/>
        <w:rPr>
          <w:b w:val="0"/>
          <w:bCs w:val="0"/>
          <w:sz w:val="24"/>
          <w:szCs w:val="24"/>
        </w:rPr>
      </w:pPr>
      <w:r w:rsidRPr="004E2270">
        <w:rPr>
          <w:b w:val="0"/>
          <w:bCs w:val="0"/>
          <w:sz w:val="24"/>
          <w:szCs w:val="24"/>
        </w:rPr>
        <w:t>Ohio Revised Code 9.481, Residency requirements prohibited for certain employees</w:t>
      </w:r>
      <w:r>
        <w:rPr>
          <w:b w:val="0"/>
          <w:bCs w:val="0"/>
          <w:sz w:val="24"/>
          <w:szCs w:val="24"/>
        </w:rPr>
        <w:t xml:space="preserve">, includes following, </w:t>
      </w:r>
      <w:hyperlink r:id="rId2575" w:history="1">
        <w:r w:rsidRPr="00EC5853">
          <w:rPr>
            <w:rStyle w:val="Hyperlink"/>
            <w:b w:val="0"/>
            <w:bCs w:val="0"/>
            <w:sz w:val="24"/>
            <w:szCs w:val="24"/>
          </w:rPr>
          <w:t>https://codes.ohio.gov/ohio-revised-code/section-9.481</w:t>
        </w:r>
      </w:hyperlink>
      <w:r>
        <w:rPr>
          <w:b w:val="0"/>
          <w:bCs w:val="0"/>
          <w:sz w:val="24"/>
          <w:szCs w:val="24"/>
        </w:rPr>
        <w:t xml:space="preserve"> :</w:t>
      </w:r>
    </w:p>
    <w:p w14:paraId="6B3F9974" w14:textId="77777777" w:rsidR="00AC5DED" w:rsidRPr="006A3BFE" w:rsidRDefault="00AC5DED" w:rsidP="00AC5DED">
      <w:pPr>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sz w:val="24"/>
          <w:szCs w:val="24"/>
        </w:rPr>
        <w:t>(</w:t>
      </w:r>
      <w:r w:rsidRPr="004E2270">
        <w:rPr>
          <w:rFonts w:ascii="Times New Roman" w:hAnsi="Times New Roman"/>
          <w:sz w:val="24"/>
          <w:szCs w:val="24"/>
        </w:rPr>
        <w:t>b) 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w:t>
      </w:r>
      <w:r>
        <w:rPr>
          <w:rFonts w:ascii="Times New Roman" w:hAnsi="Times New Roman"/>
          <w:sz w:val="24"/>
          <w:szCs w:val="24"/>
        </w:rPr>
        <w:t>”</w:t>
      </w:r>
    </w:p>
    <w:p w14:paraId="2B4B5F67" w14:textId="77777777" w:rsidR="00AC5DED" w:rsidRDefault="00AC5DED" w:rsidP="00F326E5">
      <w:pPr>
        <w:pStyle w:val="NoSpacing"/>
        <w:rPr>
          <w:rFonts w:ascii="Arial Black" w:hAnsi="Arial Black"/>
          <w:sz w:val="24"/>
          <w:szCs w:val="24"/>
        </w:rPr>
      </w:pPr>
    </w:p>
    <w:p w14:paraId="2B6CD2AF" w14:textId="77777777" w:rsidR="00AC5DED" w:rsidRDefault="00AC5DED" w:rsidP="00F326E5">
      <w:pPr>
        <w:pStyle w:val="NoSpacing"/>
        <w:rPr>
          <w:rFonts w:ascii="Arial Black" w:hAnsi="Arial Black"/>
          <w:sz w:val="24"/>
          <w:szCs w:val="24"/>
        </w:rPr>
      </w:pPr>
    </w:p>
    <w:p w14:paraId="770AB2F3" w14:textId="0597CBA9" w:rsidR="00AC5DED" w:rsidRDefault="00AC5DED" w:rsidP="00F326E5">
      <w:pPr>
        <w:pStyle w:val="NoSpacing"/>
        <w:rPr>
          <w:rFonts w:ascii="Arial Black" w:hAnsi="Arial Black"/>
          <w:sz w:val="24"/>
          <w:szCs w:val="24"/>
        </w:rPr>
      </w:pPr>
      <w:r>
        <w:rPr>
          <w:rFonts w:ascii="Arial Black" w:hAnsi="Arial Black"/>
          <w:sz w:val="24"/>
          <w:szCs w:val="24"/>
        </w:rPr>
        <w:t>16-62</w:t>
      </w:r>
    </w:p>
    <w:p w14:paraId="4C1A8F47" w14:textId="77777777" w:rsidR="00AC5DED" w:rsidRDefault="00AC5DED" w:rsidP="00AC5DED">
      <w:pPr>
        <w:spacing w:before="100" w:beforeAutospacing="1" w:after="100" w:afterAutospacing="1" w:line="240" w:lineRule="auto"/>
        <w:ind w:hanging="90"/>
        <w:rPr>
          <w:rFonts w:ascii="Arial Black" w:hAnsi="Arial Black"/>
          <w:sz w:val="28"/>
          <w:szCs w:val="28"/>
        </w:rPr>
      </w:pPr>
      <w:r>
        <w:rPr>
          <w:rFonts w:ascii="Arial Black" w:hAnsi="Arial Black"/>
          <w:sz w:val="28"/>
          <w:szCs w:val="28"/>
        </w:rPr>
        <w:t xml:space="preserve">VA: BC FIRED – ALSO SALESMAN FOR AMBULANCE CO –HELPED BUY COUNTY BRUSH TRUCK – NO RETALIATION </w:t>
      </w:r>
    </w:p>
    <w:p w14:paraId="31F7658B" w14:textId="77777777" w:rsidR="00AC5DED" w:rsidRPr="00537726" w:rsidRDefault="00AC5DED" w:rsidP="00AC5DE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22, 2021, in </w:t>
      </w:r>
      <w:r w:rsidRPr="00537726">
        <w:rPr>
          <w:rFonts w:ascii="Times New Roman" w:hAnsi="Times New Roman"/>
          <w:sz w:val="24"/>
          <w:szCs w:val="24"/>
          <w:u w:val="single"/>
        </w:rPr>
        <w:t>Clay O’Neal Fitzgerald v. Botetourt County, Virginia</w:t>
      </w:r>
      <w:r>
        <w:rPr>
          <w:rFonts w:ascii="Times New Roman" w:hAnsi="Times New Roman"/>
          <w:sz w:val="24"/>
          <w:szCs w:val="24"/>
        </w:rPr>
        <w:t xml:space="preserve">, United States Magistrate Judge </w:t>
      </w:r>
      <w:r w:rsidRPr="00537726">
        <w:rPr>
          <w:rFonts w:ascii="Times New Roman" w:hAnsi="Times New Roman"/>
          <w:sz w:val="24"/>
          <w:szCs w:val="24"/>
        </w:rPr>
        <w:t>Robert S. Ballou</w:t>
      </w:r>
      <w:r>
        <w:rPr>
          <w:rFonts w:ascii="Times New Roman" w:hAnsi="Times New Roman"/>
          <w:sz w:val="24"/>
          <w:szCs w:val="24"/>
        </w:rPr>
        <w:t xml:space="preserve">, U.S. District Court, Western District of Virginia (Roanoke Division), granted summary judgment to the County, finding that he was fired on May 16, 2018 from the County Fire &amp; EMS Department for his involvement as a salesman for Osage Ambulance and its sale of a bush truck to the County with authority. The plaintiff failed to prove that his firing was in retaliation for submitting an age discrimination grievance in 2014 and another complaint to the County Administrator in July 2017. </w:t>
      </w:r>
    </w:p>
    <w:p w14:paraId="7AFF5BA9" w14:textId="77777777" w:rsidR="00AC5DED" w:rsidRPr="00CF5AE2" w:rsidRDefault="00AC5DED" w:rsidP="00AC5DE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F5AE2">
        <w:rPr>
          <w:rFonts w:ascii="Times New Roman" w:hAnsi="Times New Roman"/>
          <w:sz w:val="24"/>
          <w:szCs w:val="24"/>
        </w:rPr>
        <w:t>I find that no reasonable jury can conclude that Fitzgerald was authorized to purchase the brush truck and that this was a legitimate non-retaliatory reason for Fitzgerald's termination. The County satisfied its burden by presenting a legitimate non-retaliatory reason for the termination, while Fitzgerald failed to satisfy his burden by providing evidence that the unauthorized purchase was a pretext. The County's purchasing policy makes clear that a violation can result in termination. It is not the responsibility of this Court to evaluate whether an explicit policy violation was a good reason for Fitzgerald's termination. DeJarnette v. Corning, Inc., 133 F.3d 293, 298 (4th Cir. 1998).</w:t>
      </w:r>
      <w:r>
        <w:rPr>
          <w:rFonts w:ascii="Times New Roman" w:hAnsi="Times New Roman"/>
          <w:sz w:val="24"/>
          <w:szCs w:val="24"/>
        </w:rPr>
        <w:t xml:space="preserve">” </w:t>
      </w:r>
      <w:hyperlink r:id="rId2576" w:history="1">
        <w:r w:rsidRPr="00EC5853">
          <w:rPr>
            <w:rStyle w:val="Hyperlink"/>
            <w:rFonts w:ascii="Times New Roman" w:hAnsi="Times New Roman"/>
            <w:sz w:val="24"/>
            <w:szCs w:val="24"/>
          </w:rPr>
          <w:t>https://casetext.com/case/fitzgerald-v-botetourt-cnty</w:t>
        </w:r>
      </w:hyperlink>
      <w:r>
        <w:rPr>
          <w:rFonts w:ascii="Times New Roman" w:hAnsi="Times New Roman"/>
          <w:sz w:val="24"/>
          <w:szCs w:val="24"/>
        </w:rPr>
        <w:t xml:space="preserve"> </w:t>
      </w:r>
    </w:p>
    <w:p w14:paraId="1AB4B323" w14:textId="77777777" w:rsidR="00AC5DED" w:rsidRPr="00213018" w:rsidRDefault="00AC5DED" w:rsidP="00AC5DED">
      <w:pPr>
        <w:rPr>
          <w:rFonts w:ascii="Times New Roman" w:hAnsi="Times New Roman"/>
          <w:b/>
          <w:bCs/>
          <w:sz w:val="24"/>
          <w:szCs w:val="24"/>
        </w:rPr>
      </w:pPr>
      <w:r w:rsidRPr="00213018">
        <w:rPr>
          <w:rFonts w:ascii="Times New Roman" w:hAnsi="Times New Roman"/>
          <w:b/>
          <w:bCs/>
          <w:sz w:val="24"/>
          <w:szCs w:val="24"/>
        </w:rPr>
        <w:t xml:space="preserve">Legal Lesson Learned: Outside employment can lead to a conflict in interest. </w:t>
      </w:r>
    </w:p>
    <w:p w14:paraId="21490D93" w14:textId="77777777" w:rsidR="00AC5DED" w:rsidRPr="00213018" w:rsidRDefault="00AC5DED" w:rsidP="00AC5DED">
      <w:pPr>
        <w:ind w:left="720"/>
        <w:rPr>
          <w:rFonts w:ascii="Times New Roman" w:hAnsi="Times New Roman"/>
          <w:sz w:val="24"/>
          <w:szCs w:val="24"/>
        </w:rPr>
      </w:pPr>
      <w:r w:rsidRPr="00213018">
        <w:rPr>
          <w:rFonts w:ascii="Times New Roman" w:hAnsi="Times New Roman"/>
          <w:sz w:val="24"/>
          <w:szCs w:val="24"/>
        </w:rPr>
        <w:t xml:space="preserve">Note: The article by Matthew Britt, prior to his being hired as Fire Chief, raised some challenging issues regarding older firefighters retiring; not surprised that plaintiff referenced it in </w:t>
      </w:r>
      <w:proofErr w:type="gramStart"/>
      <w:r w:rsidRPr="00213018">
        <w:rPr>
          <w:rFonts w:ascii="Times New Roman" w:hAnsi="Times New Roman"/>
          <w:sz w:val="24"/>
          <w:szCs w:val="24"/>
        </w:rPr>
        <w:t>is</w:t>
      </w:r>
      <w:proofErr w:type="gramEnd"/>
      <w:r w:rsidRPr="00213018">
        <w:rPr>
          <w:rFonts w:ascii="Times New Roman" w:hAnsi="Times New Roman"/>
          <w:sz w:val="24"/>
          <w:szCs w:val="24"/>
        </w:rPr>
        <w:t xml:space="preserve"> age discrimination lawsuit.  </w:t>
      </w:r>
    </w:p>
    <w:p w14:paraId="0A9A7B4D" w14:textId="77777777" w:rsidR="00AC5DED" w:rsidRPr="00213018" w:rsidRDefault="00AC5DED" w:rsidP="00AC5DED">
      <w:pPr>
        <w:pStyle w:val="Heading1"/>
        <w:ind w:left="720"/>
        <w:rPr>
          <w:color w:val="666666"/>
          <w:sz w:val="24"/>
          <w:szCs w:val="24"/>
        </w:rPr>
      </w:pPr>
      <w:r w:rsidRPr="00213018">
        <w:rPr>
          <w:b w:val="0"/>
          <w:bCs w:val="0"/>
          <w:sz w:val="24"/>
          <w:szCs w:val="24"/>
        </w:rPr>
        <w:lastRenderedPageBreak/>
        <w:t xml:space="preserve">“Altruism: How Long Does </w:t>
      </w:r>
      <w:proofErr w:type="gramStart"/>
      <w:r w:rsidRPr="00213018">
        <w:rPr>
          <w:b w:val="0"/>
          <w:bCs w:val="0"/>
          <w:sz w:val="24"/>
          <w:szCs w:val="24"/>
        </w:rPr>
        <w:t>it</w:t>
      </w:r>
      <w:proofErr w:type="gramEnd"/>
      <w:r w:rsidRPr="00213018">
        <w:rPr>
          <w:b w:val="0"/>
          <w:bCs w:val="0"/>
          <w:sz w:val="24"/>
          <w:szCs w:val="24"/>
        </w:rPr>
        <w:t xml:space="preserve"> Last &amp; How Do We Retain It.” Sept. 14, 2016. </w:t>
      </w:r>
      <w:hyperlink r:id="rId2577" w:history="1">
        <w:r w:rsidRPr="00EC5853">
          <w:rPr>
            <w:rStyle w:val="Hyperlink"/>
            <w:b w:val="0"/>
            <w:bCs w:val="0"/>
            <w:sz w:val="24"/>
            <w:szCs w:val="24"/>
          </w:rPr>
          <w:t>https://www.firehouse.com/careers-education/article/12253067/altruism-and-the-fire-service-firefighter-education</w:t>
        </w:r>
      </w:hyperlink>
      <w:r>
        <w:rPr>
          <w:b w:val="0"/>
          <w:bCs w:val="0"/>
          <w:sz w:val="24"/>
          <w:szCs w:val="24"/>
        </w:rPr>
        <w:t xml:space="preserve"> </w:t>
      </w:r>
    </w:p>
    <w:p w14:paraId="6378E39B" w14:textId="77777777" w:rsidR="00AC5DED" w:rsidRPr="00213018" w:rsidRDefault="00AC5DED" w:rsidP="00AC5DED">
      <w:pPr>
        <w:spacing w:before="100" w:beforeAutospacing="1" w:after="100" w:afterAutospacing="1" w:line="240" w:lineRule="auto"/>
        <w:ind w:left="1440"/>
        <w:rPr>
          <w:rFonts w:ascii="Times New Roman" w:eastAsia="Times New Roman" w:hAnsi="Times New Roman"/>
          <w:b/>
          <w:bCs/>
          <w:sz w:val="24"/>
          <w:szCs w:val="24"/>
        </w:rPr>
      </w:pPr>
      <w:r w:rsidRPr="00213018">
        <w:rPr>
          <w:rFonts w:ascii="Times New Roman" w:hAnsi="Times New Roman"/>
          <w:sz w:val="24"/>
          <w:szCs w:val="24"/>
        </w:rPr>
        <w:t>“So, what am I asking? I’m asking the senior members to take your much deserved retirement and create opportunities for the next generation of fire service officers. Take that time and dedicate it to your family or other pursuits, but don’t be a stranger. Use that wealth of knowledge to come back and educate members through formal training and other opportunities. Your fire service family will always be here.”</w:t>
      </w:r>
    </w:p>
    <w:p w14:paraId="4C290E11" w14:textId="5E0D7E30" w:rsidR="00AC5DED" w:rsidRDefault="00AC5DED" w:rsidP="00F326E5">
      <w:pPr>
        <w:pStyle w:val="NoSpacing"/>
        <w:rPr>
          <w:rFonts w:ascii="Arial Black" w:hAnsi="Arial Black"/>
          <w:sz w:val="24"/>
          <w:szCs w:val="24"/>
        </w:rPr>
      </w:pPr>
    </w:p>
    <w:p w14:paraId="46AEEA61" w14:textId="77777777" w:rsidR="00AC5DED" w:rsidRDefault="00AC5DED" w:rsidP="00F326E5">
      <w:pPr>
        <w:pStyle w:val="NoSpacing"/>
        <w:rPr>
          <w:rFonts w:ascii="Arial Black" w:hAnsi="Arial Black"/>
          <w:sz w:val="24"/>
          <w:szCs w:val="24"/>
        </w:rPr>
      </w:pPr>
    </w:p>
    <w:p w14:paraId="798807EB" w14:textId="77777777" w:rsidR="00AC5DED" w:rsidRDefault="00AC5DED" w:rsidP="00F326E5">
      <w:pPr>
        <w:pStyle w:val="NoSpacing"/>
        <w:rPr>
          <w:rFonts w:ascii="Arial Black" w:hAnsi="Arial Black"/>
          <w:sz w:val="24"/>
          <w:szCs w:val="24"/>
        </w:rPr>
      </w:pPr>
    </w:p>
    <w:p w14:paraId="33177230" w14:textId="1997FC00" w:rsidR="00AC5DED" w:rsidRDefault="00AC5DED" w:rsidP="00F326E5">
      <w:pPr>
        <w:pStyle w:val="NoSpacing"/>
        <w:rPr>
          <w:rFonts w:ascii="Arial Black" w:hAnsi="Arial Black"/>
          <w:sz w:val="24"/>
          <w:szCs w:val="24"/>
        </w:rPr>
      </w:pPr>
      <w:r>
        <w:rPr>
          <w:rFonts w:ascii="Arial Black" w:hAnsi="Arial Black"/>
          <w:sz w:val="24"/>
          <w:szCs w:val="24"/>
        </w:rPr>
        <w:t>16-61</w:t>
      </w:r>
    </w:p>
    <w:p w14:paraId="256C5D70" w14:textId="77777777" w:rsidR="00AC5DED" w:rsidRPr="00FC677C" w:rsidRDefault="00AC5DED" w:rsidP="00AC5DED">
      <w:pPr>
        <w:pStyle w:val="Heading1"/>
        <w:rPr>
          <w:rFonts w:ascii="Arial Black" w:hAnsi="Arial Black"/>
          <w:sz w:val="28"/>
          <w:szCs w:val="28"/>
        </w:rPr>
      </w:pPr>
      <w:r>
        <w:rPr>
          <w:rFonts w:ascii="Arial Black" w:hAnsi="Arial Black"/>
          <w:sz w:val="28"/>
          <w:szCs w:val="28"/>
        </w:rPr>
        <w:t>CA: MEDIC EXPOSED BREAST UNCONSCIOUS FEMALE (19) – CONV. FELONY ASSAULT – JAIL - REGISTER SEX OFFENDER</w:t>
      </w:r>
    </w:p>
    <w:p w14:paraId="49496322" w14:textId="77777777" w:rsidR="00AC5DED" w:rsidRDefault="00AC5DED" w:rsidP="00AC5DED">
      <w:pPr>
        <w:pStyle w:val="Heading1"/>
        <w:rPr>
          <w:b w:val="0"/>
          <w:bCs w:val="0"/>
          <w:sz w:val="24"/>
          <w:szCs w:val="24"/>
        </w:rPr>
      </w:pPr>
      <w:r>
        <w:rPr>
          <w:b w:val="0"/>
          <w:bCs w:val="0"/>
          <w:sz w:val="24"/>
          <w:szCs w:val="24"/>
        </w:rPr>
        <w:t xml:space="preserve">On Dec. 8, 2021, in </w:t>
      </w:r>
      <w:r w:rsidRPr="00910334">
        <w:rPr>
          <w:b w:val="0"/>
          <w:bCs w:val="0"/>
          <w:sz w:val="24"/>
          <w:szCs w:val="24"/>
          <w:u w:val="single"/>
        </w:rPr>
        <w:t>The People v. Jared David Evans</w:t>
      </w:r>
      <w:r>
        <w:rPr>
          <w:b w:val="0"/>
          <w:bCs w:val="0"/>
          <w:sz w:val="24"/>
          <w:szCs w:val="24"/>
        </w:rPr>
        <w:t xml:space="preserve">, the California Court of Appeals, Third District (Sacramento), held (3 to 0; unpublished decision) that the jury correctly found the paramedic (age 32) guilty of felony assault, and was sentenced to 180 days in county jail, and to register as a sex offender  </w:t>
      </w:r>
      <w:r w:rsidRPr="001C34F3">
        <w:rPr>
          <w:b w:val="0"/>
          <w:bCs w:val="0"/>
          <w:sz w:val="24"/>
          <w:szCs w:val="24"/>
        </w:rPr>
        <w:t>According to reports, he did it in front of an intern and reportedly said, "Sorry, man, I had to."</w:t>
      </w:r>
      <w:r>
        <w:rPr>
          <w:b w:val="0"/>
          <w:bCs w:val="0"/>
          <w:sz w:val="24"/>
          <w:szCs w:val="24"/>
        </w:rPr>
        <w:t xml:space="preserve"> The Court also upheld the trial judge’s decision to not inform the jury that the </w:t>
      </w:r>
      <w:proofErr w:type="gramStart"/>
      <w:r>
        <w:rPr>
          <w:b w:val="0"/>
          <w:bCs w:val="0"/>
          <w:sz w:val="24"/>
          <w:szCs w:val="24"/>
        </w:rPr>
        <w:t>intern, who</w:t>
      </w:r>
      <w:proofErr w:type="gramEnd"/>
      <w:r>
        <w:rPr>
          <w:b w:val="0"/>
          <w:bCs w:val="0"/>
          <w:sz w:val="24"/>
          <w:szCs w:val="24"/>
        </w:rPr>
        <w:t xml:space="preserve"> testified at trial had shown EMS personnel nude photos of his girlfriend. </w:t>
      </w:r>
    </w:p>
    <w:p w14:paraId="76AB51C1" w14:textId="1F6CFA34" w:rsidR="00AC5DED" w:rsidRDefault="00AC5DED" w:rsidP="00AC5DED">
      <w:pPr>
        <w:pStyle w:val="NoSpacing"/>
        <w:ind w:left="720"/>
        <w:rPr>
          <w:rFonts w:ascii="Arial Black" w:hAnsi="Arial Black"/>
          <w:sz w:val="24"/>
          <w:szCs w:val="24"/>
        </w:rPr>
      </w:pPr>
      <w:r>
        <w:rPr>
          <w:rFonts w:ascii="Times New Roman" w:hAnsi="Times New Roman"/>
          <w:sz w:val="24"/>
          <w:szCs w:val="24"/>
        </w:rPr>
        <w:t>“</w:t>
      </w:r>
      <w:r w:rsidRPr="001C34F3">
        <w:rPr>
          <w:rFonts w:ascii="Times New Roman" w:hAnsi="Times New Roman"/>
          <w:sz w:val="24"/>
          <w:szCs w:val="24"/>
        </w:rPr>
        <w:t xml:space="preserve">Here, defendant brought </w:t>
      </w:r>
      <w:r>
        <w:rPr>
          <w:rFonts w:ascii="Times New Roman" w:hAnsi="Times New Roman"/>
          <w:sz w:val="24"/>
          <w:szCs w:val="24"/>
        </w:rPr>
        <w:t xml:space="preserve">[intern] </w:t>
      </w:r>
      <w:r w:rsidRPr="001C34F3">
        <w:rPr>
          <w:rFonts w:ascii="Times New Roman" w:hAnsi="Times New Roman"/>
          <w:sz w:val="24"/>
          <w:szCs w:val="24"/>
        </w:rPr>
        <w:t xml:space="preserve">Morris's attention to Doe's breasts, reached into her shirt, grabbed her breast, exposed it, and made a lewd comment. This is sufficient evidence that </w:t>
      </w:r>
      <w:proofErr w:type="gramStart"/>
      <w:r w:rsidRPr="001C34F3">
        <w:rPr>
          <w:rFonts w:ascii="Times New Roman" w:hAnsi="Times New Roman"/>
          <w:sz w:val="24"/>
          <w:szCs w:val="24"/>
        </w:rPr>
        <w:t>defendant</w:t>
      </w:r>
      <w:proofErr w:type="gramEnd"/>
      <w:r w:rsidRPr="001C34F3">
        <w:rPr>
          <w:rFonts w:ascii="Times New Roman" w:hAnsi="Times New Roman"/>
          <w:sz w:val="24"/>
          <w:szCs w:val="24"/>
        </w:rPr>
        <w:t xml:space="preserve"> committed the touching for the specific purpose of sexual gratification.</w:t>
      </w:r>
      <w:r>
        <w:rPr>
          <w:rFonts w:ascii="Times New Roman" w:hAnsi="Times New Roman"/>
          <w:sz w:val="24"/>
          <w:szCs w:val="24"/>
        </w:rPr>
        <w:t xml:space="preserve"> *** </w:t>
      </w:r>
      <w:r w:rsidRPr="00185759">
        <w:rPr>
          <w:rFonts w:ascii="Times New Roman" w:hAnsi="Times New Roman"/>
          <w:sz w:val="24"/>
          <w:szCs w:val="24"/>
        </w:rPr>
        <w:t xml:space="preserve">Among other things, defendant argues on appeal that the display of the nude images </w:t>
      </w:r>
      <w:r>
        <w:rPr>
          <w:rFonts w:ascii="Times New Roman" w:hAnsi="Times New Roman"/>
          <w:sz w:val="24"/>
          <w:szCs w:val="24"/>
        </w:rPr>
        <w:t xml:space="preserve">[by intern of his girlfriend to other EMS] </w:t>
      </w:r>
      <w:r w:rsidRPr="00185759">
        <w:rPr>
          <w:rFonts w:ascii="Times New Roman" w:hAnsi="Times New Roman"/>
          <w:sz w:val="24"/>
          <w:szCs w:val="24"/>
        </w:rPr>
        <w:t>went to Morris's intent and attitude toward women. The argument focuses on admissibility based on intent under Evidence Code section 1101, subdivision (b). But defendant did not argue in the trial court that the evidence was relevant to Morris's intent. He only argued Morris was immature about and lacked respect for women and, therefore, his claim to be an outstanding firefighter lacked credibility. Under the circumstances, defendant forfeited consideration on appeal of admissibility based on intent.</w:t>
      </w:r>
      <w:r>
        <w:rPr>
          <w:rFonts w:ascii="Times New Roman" w:hAnsi="Times New Roman"/>
          <w:sz w:val="24"/>
          <w:szCs w:val="24"/>
        </w:rPr>
        <w:t xml:space="preserve"> </w:t>
      </w:r>
      <w:r w:rsidRPr="00734BD0">
        <w:rPr>
          <w:rFonts w:ascii="Times New Roman" w:hAnsi="Times New Roman"/>
          <w:sz w:val="24"/>
          <w:szCs w:val="24"/>
        </w:rPr>
        <w:t>*** Although we nevertheless understand the gist of defendant's arguments regarding the evidence and are not unsympathetic, the trial court did not abuse its discretion in making its evidentiary determination.</w:t>
      </w:r>
      <w:r>
        <w:t xml:space="preserve"> </w:t>
      </w:r>
      <w:hyperlink r:id="rId2578" w:history="1">
        <w:r w:rsidRPr="00EC5853">
          <w:rPr>
            <w:rStyle w:val="Hyperlink"/>
          </w:rPr>
          <w:t>https://public.fastcase.com/9SKwsfNqTc6OieYDhNMyM%2B9QVlF%2Fi0C7FBtpVDfGBEJTuxz2gLXEBOyZ2MTUN6p67t66EUS4%2BwzN2KZQmb95HSCpSxhJK4uvhgP9XZ8nBIo%3D</w:t>
        </w:r>
      </w:hyperlink>
    </w:p>
    <w:p w14:paraId="654EF991" w14:textId="77777777" w:rsidR="00AC5DED" w:rsidRDefault="00AC5DED" w:rsidP="00F326E5">
      <w:pPr>
        <w:pStyle w:val="NoSpacing"/>
        <w:rPr>
          <w:rFonts w:ascii="Arial Black" w:hAnsi="Arial Black"/>
          <w:sz w:val="24"/>
          <w:szCs w:val="24"/>
        </w:rPr>
      </w:pPr>
    </w:p>
    <w:p w14:paraId="5CC44842" w14:textId="77777777" w:rsidR="00AC5DED" w:rsidRPr="00AF6390" w:rsidRDefault="00AC5DED" w:rsidP="00AC5DED">
      <w:pPr>
        <w:spacing w:before="100" w:beforeAutospacing="1" w:after="100" w:afterAutospacing="1" w:line="240" w:lineRule="auto"/>
        <w:rPr>
          <w:rFonts w:ascii="Times New Roman" w:eastAsia="Times New Roman" w:hAnsi="Times New Roman"/>
          <w:sz w:val="24"/>
          <w:szCs w:val="24"/>
        </w:rPr>
      </w:pPr>
      <w:r w:rsidRPr="00734BD0">
        <w:rPr>
          <w:rFonts w:ascii="Times New Roman" w:hAnsi="Times New Roman"/>
          <w:b/>
          <w:bCs/>
          <w:sz w:val="24"/>
          <w:szCs w:val="24"/>
        </w:rPr>
        <w:t>Legal Lesson Learned:</w:t>
      </w:r>
      <w:r>
        <w:rPr>
          <w:rFonts w:ascii="Times New Roman" w:hAnsi="Times New Roman"/>
          <w:b/>
          <w:bCs/>
          <w:sz w:val="24"/>
          <w:szCs w:val="24"/>
        </w:rPr>
        <w:t xml:space="preserve">  Stupid conduct by this paramedic resulted in felony conviction, jail time, reporting as </w:t>
      </w:r>
      <w:proofErr w:type="gramStart"/>
      <w:r>
        <w:rPr>
          <w:rFonts w:ascii="Times New Roman" w:hAnsi="Times New Roman"/>
          <w:b/>
          <w:bCs/>
          <w:sz w:val="24"/>
          <w:szCs w:val="24"/>
        </w:rPr>
        <w:t>a sexual</w:t>
      </w:r>
      <w:proofErr w:type="gramEnd"/>
      <w:r>
        <w:rPr>
          <w:rFonts w:ascii="Times New Roman" w:hAnsi="Times New Roman"/>
          <w:b/>
          <w:bCs/>
          <w:sz w:val="24"/>
          <w:szCs w:val="24"/>
        </w:rPr>
        <w:t xml:space="preserve"> offenders and loss of his chosen profession.</w:t>
      </w:r>
    </w:p>
    <w:p w14:paraId="7114E523" w14:textId="77777777" w:rsidR="00AC5DED" w:rsidRPr="001C34F3" w:rsidRDefault="00AC5DED" w:rsidP="00AC5DED">
      <w:pPr>
        <w:pStyle w:val="Heading1"/>
        <w:ind w:left="720"/>
        <w:rPr>
          <w:b w:val="0"/>
          <w:bCs w:val="0"/>
          <w:sz w:val="24"/>
          <w:szCs w:val="24"/>
        </w:rPr>
      </w:pPr>
      <w:r>
        <w:rPr>
          <w:b w:val="0"/>
          <w:bCs w:val="0"/>
          <w:sz w:val="24"/>
          <w:szCs w:val="24"/>
        </w:rPr>
        <w:t xml:space="preserve">Note: See June 12, </w:t>
      </w:r>
      <w:proofErr w:type="gramStart"/>
      <w:r>
        <w:rPr>
          <w:b w:val="0"/>
          <w:bCs w:val="0"/>
          <w:sz w:val="24"/>
          <w:szCs w:val="24"/>
        </w:rPr>
        <w:t>2017</w:t>
      </w:r>
      <w:proofErr w:type="gramEnd"/>
      <w:r>
        <w:rPr>
          <w:b w:val="0"/>
          <w:bCs w:val="0"/>
          <w:sz w:val="24"/>
          <w:szCs w:val="24"/>
        </w:rPr>
        <w:t xml:space="preserve"> article, “</w:t>
      </w:r>
      <w:r w:rsidRPr="001C34F3">
        <w:rPr>
          <w:b w:val="0"/>
          <w:bCs w:val="0"/>
          <w:sz w:val="24"/>
          <w:szCs w:val="24"/>
        </w:rPr>
        <w:t xml:space="preserve">Paramedic </w:t>
      </w:r>
      <w:proofErr w:type="gramStart"/>
      <w:r w:rsidRPr="001C34F3">
        <w:rPr>
          <w:b w:val="0"/>
          <w:bCs w:val="0"/>
          <w:sz w:val="24"/>
          <w:szCs w:val="24"/>
        </w:rPr>
        <w:t>And</w:t>
      </w:r>
      <w:proofErr w:type="gramEnd"/>
      <w:r w:rsidRPr="001C34F3">
        <w:rPr>
          <w:b w:val="0"/>
          <w:bCs w:val="0"/>
          <w:sz w:val="24"/>
          <w:szCs w:val="24"/>
        </w:rPr>
        <w:t xml:space="preserve"> Firefighter Fondle Teen Having Seizures, Jared David Evans Told Intern, 'I Had To</w:t>
      </w:r>
      <w:r>
        <w:rPr>
          <w:b w:val="0"/>
          <w:bCs w:val="0"/>
          <w:sz w:val="24"/>
          <w:szCs w:val="24"/>
        </w:rPr>
        <w:t>.</w:t>
      </w:r>
      <w:r w:rsidRPr="001C34F3">
        <w:rPr>
          <w:b w:val="0"/>
          <w:bCs w:val="0"/>
          <w:sz w:val="24"/>
          <w:szCs w:val="24"/>
        </w:rPr>
        <w:t>'</w:t>
      </w:r>
      <w:r>
        <w:rPr>
          <w:b w:val="0"/>
          <w:bCs w:val="0"/>
          <w:sz w:val="24"/>
          <w:szCs w:val="24"/>
        </w:rPr>
        <w:t xml:space="preserve">” </w:t>
      </w:r>
      <w:hyperlink r:id="rId2579" w:history="1">
        <w:r w:rsidRPr="00EC5853">
          <w:rPr>
            <w:rStyle w:val="Hyperlink"/>
            <w:b w:val="0"/>
            <w:bCs w:val="0"/>
            <w:sz w:val="24"/>
            <w:szCs w:val="24"/>
          </w:rPr>
          <w:t>https://www.inquisitr.com/4286305/paramedic-and-firefighter-fondle-teen-having-seizures-jared-david-evans-told-intern-i-had-to/</w:t>
        </w:r>
      </w:hyperlink>
      <w:r>
        <w:rPr>
          <w:b w:val="0"/>
          <w:bCs w:val="0"/>
          <w:sz w:val="24"/>
          <w:szCs w:val="24"/>
        </w:rPr>
        <w:t xml:space="preserve"> </w:t>
      </w:r>
    </w:p>
    <w:p w14:paraId="49A775C3" w14:textId="77777777" w:rsidR="00AC5DED" w:rsidRPr="009E51C8" w:rsidRDefault="00AC5DED" w:rsidP="00AC5DED">
      <w:pPr>
        <w:ind w:left="1440"/>
        <w:rPr>
          <w:rFonts w:ascii="Times New Roman" w:hAnsi="Times New Roman"/>
          <w:sz w:val="24"/>
          <w:szCs w:val="24"/>
        </w:rPr>
      </w:pPr>
      <w:r w:rsidRPr="009E51C8">
        <w:rPr>
          <w:rFonts w:ascii="Times New Roman" w:hAnsi="Times New Roman"/>
          <w:sz w:val="24"/>
          <w:szCs w:val="24"/>
        </w:rPr>
        <w:t xml:space="preserve">“According to KCRA Channel 3, </w:t>
      </w:r>
      <w:hyperlink r:id="rId2580" w:tgtFrame="_blank" w:history="1">
        <w:r w:rsidRPr="009E51C8">
          <w:rPr>
            <w:rFonts w:ascii="Times New Roman" w:hAnsi="Times New Roman"/>
            <w:sz w:val="24"/>
            <w:szCs w:val="24"/>
          </w:rPr>
          <w:t>Sacramento Fire Chief</w:t>
        </w:r>
      </w:hyperlink>
      <w:r w:rsidRPr="009E51C8">
        <w:rPr>
          <w:rFonts w:ascii="Times New Roman" w:hAnsi="Times New Roman"/>
          <w:sz w:val="24"/>
          <w:szCs w:val="24"/>
        </w:rPr>
        <w:t xml:space="preserve"> Walt White discussed the allegations against Jared David Evans. ‘When these allegations were brought to the attention of fire </w:t>
      </w:r>
      <w:r w:rsidRPr="009E51C8">
        <w:rPr>
          <w:rFonts w:ascii="Times New Roman" w:hAnsi="Times New Roman"/>
          <w:sz w:val="24"/>
          <w:szCs w:val="24"/>
        </w:rPr>
        <w:lastRenderedPageBreak/>
        <w:t xml:space="preserve">administration, we immediately notified the office of public safety and accountability and requested a full law enforcement investigation.’ ‘The Sacramento Fire Department takes all citizen complaints </w:t>
      </w:r>
      <w:proofErr w:type="gramStart"/>
      <w:r w:rsidRPr="009E51C8">
        <w:rPr>
          <w:rFonts w:ascii="Times New Roman" w:hAnsi="Times New Roman"/>
          <w:sz w:val="24"/>
          <w:szCs w:val="24"/>
        </w:rPr>
        <w:t>seriously, and</w:t>
      </w:r>
      <w:proofErr w:type="gramEnd"/>
      <w:r w:rsidRPr="009E51C8">
        <w:rPr>
          <w:rFonts w:ascii="Times New Roman" w:hAnsi="Times New Roman"/>
          <w:sz w:val="24"/>
          <w:szCs w:val="24"/>
        </w:rPr>
        <w:t xml:space="preserve"> works quickly to take appropriate actions to mitigate them. When this complaint was made to Fire Administration, it was immediately forwarded to Law Enforcement </w:t>
      </w:r>
      <w:proofErr w:type="gramStart"/>
      <w:r w:rsidRPr="009E51C8">
        <w:rPr>
          <w:rFonts w:ascii="Times New Roman" w:hAnsi="Times New Roman"/>
          <w:sz w:val="24"/>
          <w:szCs w:val="24"/>
        </w:rPr>
        <w:t>officials</w:t>
      </w:r>
      <w:proofErr w:type="gramEnd"/>
      <w:r w:rsidRPr="009E51C8">
        <w:rPr>
          <w:rFonts w:ascii="Times New Roman" w:hAnsi="Times New Roman"/>
          <w:sz w:val="24"/>
          <w:szCs w:val="24"/>
        </w:rPr>
        <w:t xml:space="preserve"> and a formal investigation was requested. Although the case is ongoing, and all facts are not yet known, the Sacramento Fire Department wants to assure the public that we are fully cooperating with the investigation and working to bring the matter to a successful conclusion.”</w:t>
      </w:r>
    </w:p>
    <w:p w14:paraId="3BC0791F" w14:textId="77777777" w:rsidR="00AC5DED" w:rsidRDefault="00AC5DED" w:rsidP="00F326E5">
      <w:pPr>
        <w:pStyle w:val="NoSpacing"/>
        <w:rPr>
          <w:rFonts w:ascii="Arial Black" w:hAnsi="Arial Black"/>
          <w:sz w:val="24"/>
          <w:szCs w:val="24"/>
        </w:rPr>
      </w:pPr>
    </w:p>
    <w:p w14:paraId="52C865FB" w14:textId="77777777" w:rsidR="00AC5DED" w:rsidRDefault="00AC5DED" w:rsidP="00F326E5">
      <w:pPr>
        <w:pStyle w:val="NoSpacing"/>
        <w:rPr>
          <w:rFonts w:ascii="Arial Black" w:hAnsi="Arial Black"/>
          <w:sz w:val="24"/>
          <w:szCs w:val="24"/>
        </w:rPr>
      </w:pPr>
    </w:p>
    <w:p w14:paraId="67A53459" w14:textId="61F36DCE" w:rsidR="00506EE7" w:rsidRDefault="00506EE7" w:rsidP="00F326E5">
      <w:pPr>
        <w:pStyle w:val="NoSpacing"/>
        <w:rPr>
          <w:rFonts w:ascii="Arial Black" w:hAnsi="Arial Black"/>
          <w:sz w:val="24"/>
          <w:szCs w:val="24"/>
        </w:rPr>
      </w:pPr>
      <w:r>
        <w:rPr>
          <w:rFonts w:ascii="Arial Black" w:hAnsi="Arial Black"/>
          <w:sz w:val="24"/>
          <w:szCs w:val="24"/>
        </w:rPr>
        <w:t>16-</w:t>
      </w:r>
      <w:r w:rsidR="007E3A28">
        <w:rPr>
          <w:rFonts w:ascii="Arial Black" w:hAnsi="Arial Black"/>
          <w:sz w:val="24"/>
          <w:szCs w:val="24"/>
        </w:rPr>
        <w:t>60</w:t>
      </w:r>
    </w:p>
    <w:p w14:paraId="4FBB6967" w14:textId="77777777" w:rsidR="00506EE7" w:rsidRPr="00A71D89" w:rsidRDefault="00506EE7" w:rsidP="00506EE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VOL. FF MET 14-YR OLD AT STATION – SEXUAL RELATIONS FOR YEAR – JURY CONV - 8-16 YRS JAIL</w:t>
      </w:r>
    </w:p>
    <w:p w14:paraId="63C770CD" w14:textId="77777777" w:rsidR="00506EE7" w:rsidRDefault="00506EE7" w:rsidP="00506EE7">
      <w:pPr>
        <w:spacing w:after="100" w:line="240" w:lineRule="auto"/>
        <w:rPr>
          <w:rFonts w:ascii="Times New Roman" w:hAnsi="Times New Roman"/>
          <w:sz w:val="24"/>
          <w:szCs w:val="24"/>
        </w:rPr>
      </w:pPr>
      <w:r>
        <w:rPr>
          <w:rFonts w:ascii="Times New Roman" w:eastAsia="Times New Roman" w:hAnsi="Times New Roman"/>
          <w:sz w:val="24"/>
          <w:szCs w:val="24"/>
        </w:rPr>
        <w:t xml:space="preserve">On Nov. 22, 2021, in </w:t>
      </w:r>
      <w:r w:rsidRPr="00A71D89">
        <w:rPr>
          <w:rFonts w:ascii="Times New Roman" w:eastAsia="Times New Roman" w:hAnsi="Times New Roman"/>
          <w:sz w:val="24"/>
          <w:szCs w:val="24"/>
          <w:u w:val="single"/>
        </w:rPr>
        <w:t>Commonwealth of Pennsylvania v. Christopher Anthony Taylor</w:t>
      </w:r>
      <w:r>
        <w:rPr>
          <w:rFonts w:ascii="Times New Roman" w:eastAsia="Times New Roman" w:hAnsi="Times New Roman"/>
          <w:sz w:val="24"/>
          <w:szCs w:val="24"/>
        </w:rPr>
        <w:t xml:space="preserve">, Superior Court of Pennsylvania, held (3 to 0; “non-precedential decisional”) the Court of Appeals agreed with a trial court judge who denied his petition for Post-Conviction Relief.  On appeals he claimed ineffective assistance of counsel, but the trial court properly allowed into evidence the firefighters many e-mails with the minor, leading to his conviction of statutory sexual assault, </w:t>
      </w:r>
      <w:r w:rsidRPr="004979D4">
        <w:rPr>
          <w:rFonts w:ascii="Times New Roman" w:hAnsi="Times New Roman"/>
          <w:sz w:val="24"/>
          <w:szCs w:val="24"/>
        </w:rPr>
        <w:t>aggravated indecent assault-less than 16 years of age, indecent assault-less than 16 years of age, unlawful contact with a minor-sexual offenses, involuntary deviate sexual intercourse-less than 16 years of age, and corruption of minors</w:t>
      </w:r>
      <w:r>
        <w:rPr>
          <w:rFonts w:ascii="Times New Roman" w:hAnsi="Times New Roman"/>
          <w:sz w:val="24"/>
          <w:szCs w:val="24"/>
        </w:rPr>
        <w:t xml:space="preserve">.  </w:t>
      </w:r>
    </w:p>
    <w:p w14:paraId="753F6740" w14:textId="77777777" w:rsidR="00506EE7" w:rsidRDefault="00506EE7" w:rsidP="00506EE7">
      <w:pPr>
        <w:pStyle w:val="NormalWeb"/>
        <w:ind w:left="720"/>
      </w:pPr>
      <w:r>
        <w:t xml:space="preserve">“In his first claim, Taylor argues that his trial counsel rendered ineffective assistance by failing to object to the authenticity of the email communications between himself and the victim. Brief for Appellant at 12-13. Taylor asserts that, at trial, he testified that he did not recognize the emails…. Additionally, Taylor claims that the only authentication of the emails was that the victim had provided them to the police, who performed no examination of the victim's or Taylor's respective computers…. Taylor acknowledges that trial counsel objected to the emails at </w:t>
      </w:r>
      <w:proofErr w:type="gramStart"/>
      <w:r>
        <w:t>trial, but</w:t>
      </w:r>
      <w:proofErr w:type="gramEnd"/>
      <w:r>
        <w:t xml:space="preserve"> contends that the objection was generic and did not specifically challenge the authenticity of the emails…. Accordingly, Taylor has failed to establish his claim of ineffective assistance of counsel.  </w:t>
      </w:r>
      <w:hyperlink r:id="rId2581" w:history="1">
        <w:r w:rsidRPr="0085682C">
          <w:rPr>
            <w:rStyle w:val="Hyperlink"/>
          </w:rPr>
          <w:t>https://public.fastcase.com/9SKwsfNqTc6OieYDhNMyMwLbquMieQJJAkWYEouDi7ix05WUlxmQyjrVFv7KR6XMi0MhNDFBQq54%2Fpuo4ib1qnZU%2F1hDs4fMcaW2pIa9a%2BY%3D</w:t>
        </w:r>
      </w:hyperlink>
      <w:r>
        <w:t xml:space="preserve"> </w:t>
      </w:r>
    </w:p>
    <w:p w14:paraId="325128D9" w14:textId="77777777" w:rsidR="007E3A28" w:rsidRPr="0023548F" w:rsidRDefault="007E3A28" w:rsidP="007E3A28">
      <w:pPr>
        <w:spacing w:after="100" w:line="240" w:lineRule="auto"/>
        <w:rPr>
          <w:rFonts w:ascii="Times New Roman" w:eastAsia="Times New Roman" w:hAnsi="Times New Roman"/>
          <w:b/>
          <w:bCs/>
          <w:sz w:val="24"/>
          <w:szCs w:val="24"/>
        </w:rPr>
      </w:pPr>
      <w:r w:rsidRPr="0023548F">
        <w:rPr>
          <w:rFonts w:ascii="Times New Roman" w:hAnsi="Times New Roman"/>
          <w:b/>
          <w:bCs/>
          <w:sz w:val="24"/>
          <w:szCs w:val="24"/>
        </w:rPr>
        <w:t>Legal Lesson Learned:</w:t>
      </w:r>
      <w:r>
        <w:rPr>
          <w:rFonts w:ascii="Times New Roman" w:hAnsi="Times New Roman"/>
          <w:b/>
          <w:bCs/>
          <w:sz w:val="24"/>
          <w:szCs w:val="24"/>
        </w:rPr>
        <w:t xml:space="preserve">  This former volunteer firefighter now has lots of time in prison to think about his conduct.  </w:t>
      </w:r>
    </w:p>
    <w:p w14:paraId="1EFC4A4F" w14:textId="35A365FC" w:rsidR="00506EE7" w:rsidRDefault="00506EE7" w:rsidP="00F326E5">
      <w:pPr>
        <w:pStyle w:val="NoSpacing"/>
        <w:rPr>
          <w:rFonts w:ascii="Arial Black" w:hAnsi="Arial Black"/>
          <w:sz w:val="24"/>
          <w:szCs w:val="24"/>
        </w:rPr>
      </w:pPr>
    </w:p>
    <w:p w14:paraId="588C380E" w14:textId="050B45D2" w:rsidR="007E3A28" w:rsidRDefault="007E3A28" w:rsidP="00F326E5">
      <w:pPr>
        <w:pStyle w:val="NoSpacing"/>
        <w:rPr>
          <w:rFonts w:ascii="Arial Black" w:hAnsi="Arial Black"/>
          <w:sz w:val="24"/>
          <w:szCs w:val="24"/>
        </w:rPr>
      </w:pPr>
      <w:r>
        <w:rPr>
          <w:rFonts w:ascii="Arial Black" w:hAnsi="Arial Black"/>
          <w:sz w:val="24"/>
          <w:szCs w:val="24"/>
        </w:rPr>
        <w:t>16-59</w:t>
      </w:r>
    </w:p>
    <w:p w14:paraId="1C823D97" w14:textId="15A0A55C" w:rsidR="007E3A28" w:rsidRDefault="007E3A28" w:rsidP="00F326E5">
      <w:pPr>
        <w:pStyle w:val="NoSpacing"/>
        <w:rPr>
          <w:rFonts w:ascii="Arial Black" w:hAnsi="Arial Black"/>
          <w:sz w:val="24"/>
          <w:szCs w:val="24"/>
        </w:rPr>
      </w:pPr>
    </w:p>
    <w:p w14:paraId="13F1EDAB" w14:textId="77777777" w:rsidR="007E3A28" w:rsidRDefault="007E3A28" w:rsidP="007E3A2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NJ: FF PROPERLY FIRED – PLED GUILTY AGGRAVATED ASSAULT IN BAR - 364 DAYS JAIL – FD LEARNED NO SHOW</w:t>
      </w:r>
    </w:p>
    <w:p w14:paraId="43376913" w14:textId="77777777" w:rsidR="007E3A28" w:rsidRDefault="007E3A28" w:rsidP="007E3A28">
      <w:pPr>
        <w:spacing w:before="100" w:beforeAutospacing="1" w:after="100" w:afterAutospacing="1" w:line="240" w:lineRule="auto"/>
      </w:pPr>
      <w:r w:rsidRPr="00F80533">
        <w:rPr>
          <w:rFonts w:ascii="Times New Roman" w:eastAsia="Times New Roman" w:hAnsi="Times New Roman"/>
          <w:sz w:val="24"/>
          <w:szCs w:val="24"/>
        </w:rPr>
        <w:t xml:space="preserve">On </w:t>
      </w:r>
      <w:r>
        <w:rPr>
          <w:rFonts w:ascii="Times New Roman" w:eastAsia="Times New Roman" w:hAnsi="Times New Roman"/>
          <w:sz w:val="24"/>
          <w:szCs w:val="24"/>
        </w:rPr>
        <w:t>Nov. 16, 2021</w:t>
      </w:r>
      <w:r w:rsidRPr="002A1A7D">
        <w:rPr>
          <w:rFonts w:ascii="Times New Roman" w:eastAsia="Times New Roman" w:hAnsi="Times New Roman"/>
          <w:sz w:val="24"/>
          <w:szCs w:val="24"/>
          <w:u w:val="single"/>
        </w:rPr>
        <w:t>, In The Matter Of Joseph Downar, The City of Newark Fire Department</w:t>
      </w:r>
      <w:r>
        <w:rPr>
          <w:rFonts w:ascii="Times New Roman" w:eastAsia="Times New Roman" w:hAnsi="Times New Roman"/>
          <w:sz w:val="24"/>
          <w:szCs w:val="24"/>
        </w:rPr>
        <w:t xml:space="preserve">, the Superior Court of New Jersey, Appellate Division, held (3 to 0) (unpublished decision) that the Civil Service Commission properly upheld the Fire Department’s decision to terminate the firefighter after a disciplinary hearing on March </w:t>
      </w:r>
      <w:r>
        <w:rPr>
          <w:rFonts w:ascii="Times New Roman" w:eastAsia="Times New Roman" w:hAnsi="Times New Roman"/>
          <w:sz w:val="24"/>
          <w:szCs w:val="24"/>
        </w:rPr>
        <w:lastRenderedPageBreak/>
        <w:t xml:space="preserve">15, 2018, for his conviction of third-degree aggravated assault, and failure to notice the Fire Department of his arrest, indictment, conviction and prison sentence.  The FD had no knowledge of the incident until Dec. 12, 2017, the day he began serving his jail term, and </w:t>
      </w:r>
      <w:proofErr w:type="gramStart"/>
      <w:r>
        <w:rPr>
          <w:rFonts w:ascii="Times New Roman" w:eastAsia="Times New Roman" w:hAnsi="Times New Roman"/>
          <w:sz w:val="24"/>
          <w:szCs w:val="24"/>
        </w:rPr>
        <w:t>he</w:t>
      </w:r>
      <w:proofErr w:type="gramEnd"/>
      <w:r>
        <w:rPr>
          <w:rFonts w:ascii="Times New Roman" w:eastAsia="Times New Roman" w:hAnsi="Times New Roman"/>
          <w:sz w:val="24"/>
          <w:szCs w:val="24"/>
        </w:rPr>
        <w:t xml:space="preserve"> union advised the department. </w:t>
      </w:r>
    </w:p>
    <w:p w14:paraId="3FC6E155" w14:textId="77777777" w:rsidR="007E3A28" w:rsidRDefault="007E3A28" w:rsidP="007E3A28">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proofErr w:type="spellStart"/>
      <w:r w:rsidRPr="008E3A70">
        <w:rPr>
          <w:rFonts w:ascii="Times New Roman" w:hAnsi="Times New Roman"/>
          <w:sz w:val="24"/>
          <w:szCs w:val="24"/>
        </w:rPr>
        <w:t>Downar</w:t>
      </w:r>
      <w:proofErr w:type="spellEnd"/>
      <w:r w:rsidRPr="008E3A70">
        <w:rPr>
          <w:rFonts w:ascii="Times New Roman" w:hAnsi="Times New Roman"/>
          <w:sz w:val="24"/>
          <w:szCs w:val="24"/>
        </w:rPr>
        <w:t xml:space="preserve"> was charged with failure to report his arrest, indictment, conviction, and sentence to management. The Department did not have a written policy, rule, or regulation requiring notification in place when the assault occurred. However, on January 4, 2017, the very day that </w:t>
      </w:r>
      <w:proofErr w:type="spellStart"/>
      <w:r w:rsidRPr="008E3A70">
        <w:rPr>
          <w:rFonts w:ascii="Times New Roman" w:hAnsi="Times New Roman"/>
          <w:sz w:val="24"/>
          <w:szCs w:val="24"/>
        </w:rPr>
        <w:t>Downar</w:t>
      </w:r>
      <w:proofErr w:type="spellEnd"/>
      <w:r w:rsidRPr="008E3A70">
        <w:rPr>
          <w:rFonts w:ascii="Times New Roman" w:hAnsi="Times New Roman"/>
          <w:sz w:val="24"/>
          <w:szCs w:val="24"/>
        </w:rPr>
        <w:t xml:space="preserve"> was arrested, the Department promulgated a written policy that became effective immediately, which required firefighters to report </w:t>
      </w:r>
      <w:r>
        <w:rPr>
          <w:rFonts w:ascii="Times New Roman" w:hAnsi="Times New Roman"/>
          <w:sz w:val="24"/>
          <w:szCs w:val="24"/>
        </w:rPr>
        <w:t>‘</w:t>
      </w:r>
      <w:r w:rsidRPr="008E3A70">
        <w:rPr>
          <w:rFonts w:ascii="Times New Roman" w:hAnsi="Times New Roman"/>
          <w:sz w:val="24"/>
          <w:szCs w:val="24"/>
        </w:rPr>
        <w:t>contact with any police agency as a victim, witness, or suspect (criminal or traffic complaints) . . . via an administrative submission . . . to their immediate supervisor upon their first day reporting back to duty.</w:t>
      </w:r>
      <w:r>
        <w:rPr>
          <w:rFonts w:ascii="Times New Roman" w:hAnsi="Times New Roman"/>
          <w:sz w:val="24"/>
          <w:szCs w:val="24"/>
        </w:rPr>
        <w:t>’</w:t>
      </w:r>
      <w:r w:rsidRPr="008E3A70">
        <w:rPr>
          <w:rFonts w:ascii="Times New Roman" w:hAnsi="Times New Roman"/>
          <w:sz w:val="24"/>
          <w:szCs w:val="24"/>
        </w:rPr>
        <w:t xml:space="preserve"> </w:t>
      </w:r>
      <w:proofErr w:type="spellStart"/>
      <w:r w:rsidRPr="008E3A70">
        <w:rPr>
          <w:rFonts w:ascii="Times New Roman" w:hAnsi="Times New Roman"/>
          <w:sz w:val="24"/>
          <w:szCs w:val="24"/>
        </w:rPr>
        <w:t>Downar</w:t>
      </w:r>
      <w:proofErr w:type="spellEnd"/>
      <w:r w:rsidRPr="008E3A70">
        <w:rPr>
          <w:rFonts w:ascii="Times New Roman" w:hAnsi="Times New Roman"/>
          <w:sz w:val="24"/>
          <w:szCs w:val="24"/>
        </w:rPr>
        <w:t xml:space="preserve"> does not dispute that the policy was the subject of roll call training and was conspicuously </w:t>
      </w:r>
      <w:proofErr w:type="gramStart"/>
      <w:r w:rsidRPr="008E3A70">
        <w:rPr>
          <w:rFonts w:ascii="Times New Roman" w:hAnsi="Times New Roman"/>
          <w:sz w:val="24"/>
          <w:szCs w:val="24"/>
        </w:rPr>
        <w:t>posted, and</w:t>
      </w:r>
      <w:proofErr w:type="gramEnd"/>
      <w:r w:rsidRPr="008E3A70">
        <w:rPr>
          <w:rFonts w:ascii="Times New Roman" w:hAnsi="Times New Roman"/>
          <w:sz w:val="24"/>
          <w:szCs w:val="24"/>
        </w:rPr>
        <w:t xml:space="preserve"> yet claims he was unaware he had to report the incident to his superiors. The ALJ found that testimony incredible.</w:t>
      </w:r>
    </w:p>
    <w:p w14:paraId="4BBF5524" w14:textId="77777777" w:rsidR="007E3A28" w:rsidRDefault="007E3A28" w:rsidP="007E3A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6322910" w14:textId="77777777" w:rsidR="007E3A28" w:rsidRDefault="007E3A28" w:rsidP="007E3A28">
      <w:pPr>
        <w:spacing w:before="100" w:beforeAutospacing="1" w:after="100" w:afterAutospacing="1" w:line="240" w:lineRule="auto"/>
        <w:ind w:left="720" w:firstLine="60"/>
        <w:rPr>
          <w:rFonts w:ascii="Times New Roman" w:eastAsia="Times New Roman" w:hAnsi="Times New Roman"/>
          <w:sz w:val="24"/>
          <w:szCs w:val="24"/>
        </w:rPr>
      </w:pPr>
      <w:proofErr w:type="spellStart"/>
      <w:r w:rsidRPr="008E3A70">
        <w:rPr>
          <w:rFonts w:ascii="Times New Roman" w:eastAsia="Times New Roman" w:hAnsi="Times New Roman"/>
          <w:sz w:val="24"/>
          <w:szCs w:val="24"/>
        </w:rPr>
        <w:t>Downar</w:t>
      </w:r>
      <w:proofErr w:type="spellEnd"/>
      <w:r w:rsidRPr="008E3A70">
        <w:rPr>
          <w:rFonts w:ascii="Times New Roman" w:eastAsia="Times New Roman" w:hAnsi="Times New Roman"/>
          <w:sz w:val="24"/>
          <w:szCs w:val="24"/>
        </w:rPr>
        <w:t xml:space="preserve"> had no prior disciplinary history and received good performance reviews. He argues that removal was disproportionate to the offense, his first disciplinary infraction, and that the failure to apply progressive discipline was reversible error. We disagree. </w:t>
      </w:r>
    </w:p>
    <w:p w14:paraId="4D5DFC44" w14:textId="77777777" w:rsidR="007E3A28" w:rsidRDefault="007E3A28" w:rsidP="007E3A28">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w:t>
      </w:r>
    </w:p>
    <w:p w14:paraId="4EF479D0" w14:textId="1F741210" w:rsidR="007E3A28" w:rsidRDefault="007E3A28" w:rsidP="007E3A28">
      <w:pPr>
        <w:pStyle w:val="NoSpacing"/>
        <w:ind w:left="720"/>
        <w:rPr>
          <w:rStyle w:val="Hyperlink"/>
          <w:rFonts w:ascii="Times New Roman" w:hAnsi="Times New Roman"/>
          <w:sz w:val="24"/>
          <w:szCs w:val="24"/>
        </w:rPr>
      </w:pPr>
      <w:r w:rsidRPr="007E3A28">
        <w:rPr>
          <w:rFonts w:ascii="Times New Roman" w:hAnsi="Times New Roman"/>
          <w:sz w:val="24"/>
          <w:szCs w:val="24"/>
        </w:rPr>
        <w:t xml:space="preserve">Even though committed while </w:t>
      </w:r>
      <w:proofErr w:type="gramStart"/>
      <w:r w:rsidRPr="007E3A28">
        <w:rPr>
          <w:rFonts w:ascii="Times New Roman" w:hAnsi="Times New Roman"/>
          <w:sz w:val="24"/>
          <w:szCs w:val="24"/>
        </w:rPr>
        <w:t>off-duty</w:t>
      </w:r>
      <w:proofErr w:type="gramEnd"/>
      <w:r w:rsidRPr="007E3A28">
        <w:rPr>
          <w:rFonts w:ascii="Times New Roman" w:hAnsi="Times New Roman"/>
          <w:sz w:val="24"/>
          <w:szCs w:val="24"/>
        </w:rPr>
        <w:t xml:space="preserve">, the aggravated assault, coupled with the failure to report the incident, subsequent criminal prosecution, conviction, and sentence, and his resulting inability to perform duties during his jail term, constituted egregious misconduct. Here, the Commission's decision was supported by substantial credible evidence and was not arbitrary, capricious, or unreasonable despite the absence of prior disciplinary infractions. Removal does not shock our sense of fairness. Accordingly, we discern no basis to overturn the Commission's decision.”  </w:t>
      </w:r>
      <w:hyperlink r:id="rId2582" w:history="1">
        <w:r w:rsidRPr="007E3A28">
          <w:rPr>
            <w:rStyle w:val="Hyperlink"/>
            <w:rFonts w:ascii="Times New Roman" w:hAnsi="Times New Roman"/>
            <w:sz w:val="24"/>
            <w:szCs w:val="24"/>
          </w:rPr>
          <w:t>https://public.fastcase.com/9SKwsfNqTc6OieYDhNMyMyDFWJKG68%2FxrxDgF%2ByOzsjPpcL4jvi7QzZ2AR2rzbKPcZbDkGArV5tenVtyFKk%2FX7II2Lot3PKpssqnJQodheI%3</w:t>
        </w:r>
      </w:hyperlink>
    </w:p>
    <w:p w14:paraId="42E5B69F" w14:textId="019BBE31" w:rsidR="007E3A28" w:rsidRDefault="007E3A28" w:rsidP="007E3A28">
      <w:pPr>
        <w:pStyle w:val="NoSpacing"/>
        <w:ind w:left="720"/>
        <w:rPr>
          <w:rStyle w:val="Hyperlink"/>
          <w:rFonts w:ascii="Times New Roman" w:hAnsi="Times New Roman"/>
          <w:sz w:val="24"/>
          <w:szCs w:val="24"/>
        </w:rPr>
      </w:pPr>
    </w:p>
    <w:p w14:paraId="0962CB57" w14:textId="77777777" w:rsidR="007E3A28" w:rsidRPr="001D74E3" w:rsidRDefault="007E3A28" w:rsidP="007E3A28">
      <w:pPr>
        <w:pStyle w:val="NormalWeb"/>
        <w:rPr>
          <w:b/>
          <w:bCs/>
        </w:rPr>
      </w:pPr>
      <w:r w:rsidRPr="001D74E3">
        <w:rPr>
          <w:b/>
          <w:bCs/>
        </w:rPr>
        <w:t>Legal Lesson Learned:</w:t>
      </w:r>
      <w:r>
        <w:rPr>
          <w:b/>
          <w:bCs/>
        </w:rPr>
        <w:t xml:space="preserve"> Fire &amp; EMS Departments should adopt SOG requiring personnel to report arrests, convictions and jail sentences. </w:t>
      </w:r>
    </w:p>
    <w:p w14:paraId="2E1F7171" w14:textId="77777777" w:rsidR="007E3A28" w:rsidRPr="008E3A70" w:rsidRDefault="007E3A28" w:rsidP="007E3A2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the Civil Service Commission decision of April 15, 2020: </w:t>
      </w:r>
      <w:hyperlink r:id="rId2583" w:history="1">
        <w:r w:rsidRPr="007C6FB3">
          <w:rPr>
            <w:rStyle w:val="Hyperlink"/>
            <w:rFonts w:ascii="Times New Roman" w:eastAsia="Times New Roman" w:hAnsi="Times New Roman"/>
            <w:sz w:val="24"/>
            <w:szCs w:val="24"/>
          </w:rPr>
          <w:t>https://www.nj.gov/csc/about/meetings/decisions/pdf/2020/4-15-20/A-004%204-15-20.pdf</w:t>
        </w:r>
      </w:hyperlink>
      <w:r>
        <w:rPr>
          <w:rFonts w:ascii="Times New Roman" w:eastAsia="Times New Roman" w:hAnsi="Times New Roman"/>
          <w:sz w:val="24"/>
          <w:szCs w:val="24"/>
        </w:rPr>
        <w:t xml:space="preserve"> </w:t>
      </w:r>
    </w:p>
    <w:p w14:paraId="4EDC1BC4" w14:textId="77777777" w:rsidR="007E3A28" w:rsidRPr="007E3A28" w:rsidRDefault="007E3A28" w:rsidP="007E3A28">
      <w:pPr>
        <w:pStyle w:val="NoSpacing"/>
        <w:ind w:left="720"/>
        <w:rPr>
          <w:rFonts w:ascii="Times New Roman" w:hAnsi="Times New Roman"/>
          <w:sz w:val="24"/>
          <w:szCs w:val="24"/>
        </w:rPr>
      </w:pPr>
    </w:p>
    <w:p w14:paraId="7B6906CC" w14:textId="77777777" w:rsidR="00506EE7" w:rsidRPr="007E3A28" w:rsidRDefault="00506EE7" w:rsidP="00F326E5">
      <w:pPr>
        <w:pStyle w:val="NoSpacing"/>
        <w:rPr>
          <w:rFonts w:ascii="Times New Roman" w:hAnsi="Times New Roman"/>
          <w:sz w:val="24"/>
          <w:szCs w:val="24"/>
        </w:rPr>
      </w:pPr>
    </w:p>
    <w:p w14:paraId="445E2BD0" w14:textId="47D61824" w:rsidR="00774A91" w:rsidRDefault="00774A91" w:rsidP="00F326E5">
      <w:pPr>
        <w:pStyle w:val="NoSpacing"/>
        <w:rPr>
          <w:rFonts w:ascii="Arial Black" w:hAnsi="Arial Black"/>
          <w:sz w:val="24"/>
          <w:szCs w:val="24"/>
        </w:rPr>
      </w:pPr>
      <w:r>
        <w:rPr>
          <w:rFonts w:ascii="Arial Black" w:hAnsi="Arial Black"/>
          <w:sz w:val="24"/>
          <w:szCs w:val="24"/>
        </w:rPr>
        <w:t>16-58</w:t>
      </w:r>
    </w:p>
    <w:p w14:paraId="22D16585" w14:textId="77777777" w:rsidR="00774A91" w:rsidRPr="004C3428" w:rsidRDefault="00774A91" w:rsidP="00774A91">
      <w:pPr>
        <w:spacing w:before="100" w:beforeAutospacing="1" w:after="100" w:afterAutospacing="1" w:line="240" w:lineRule="auto"/>
        <w:rPr>
          <w:rFonts w:ascii="Arial Black" w:eastAsia="Times New Roman" w:hAnsi="Arial Black"/>
          <w:b/>
          <w:bCs/>
          <w:sz w:val="28"/>
          <w:szCs w:val="28"/>
        </w:rPr>
      </w:pPr>
      <w:r w:rsidRPr="004C3428">
        <w:rPr>
          <w:rFonts w:ascii="Arial Black" w:eastAsia="Times New Roman" w:hAnsi="Arial Black"/>
          <w:b/>
          <w:bCs/>
          <w:sz w:val="28"/>
          <w:szCs w:val="28"/>
        </w:rPr>
        <w:t xml:space="preserve">OH: </w:t>
      </w:r>
      <w:r>
        <w:rPr>
          <w:rFonts w:ascii="Arial Black" w:eastAsia="Times New Roman" w:hAnsi="Arial Black"/>
          <w:b/>
          <w:bCs/>
          <w:sz w:val="28"/>
          <w:szCs w:val="28"/>
        </w:rPr>
        <w:t>NEW HAZING LAW – AIMED AT COLLEGE FRATERITIES –BUT ALSO MESSAGE FOR ALL ABOUT RISKS OF HAZING</w:t>
      </w:r>
    </w:p>
    <w:p w14:paraId="56306A52" w14:textId="77777777" w:rsidR="00774A91" w:rsidRDefault="00774A91" w:rsidP="00774A91">
      <w:pPr>
        <w:pStyle w:val="dropcap"/>
      </w:pPr>
      <w:r w:rsidRPr="004C3428">
        <w:t xml:space="preserve">On Oct. 7, 2021, the new “Collin’s Law” came into effect; named after Collin Wiant who died after a hazing incident at Ohio University in 2018. </w:t>
      </w:r>
      <w:r>
        <w:t xml:space="preserve">  On July 6, 2021, Governor Mike DeWine signed into law “The Ohio Anti-Hazing Act’ which is a criminal statute that amends Ohio Revised Code 2903.31. </w:t>
      </w:r>
      <w:hyperlink r:id="rId2584" w:history="1">
        <w:r w:rsidRPr="00386EA0">
          <w:rPr>
            <w:rStyle w:val="Hyperlink"/>
          </w:rPr>
          <w:t>https://codes.ohio.gov/ohio-revised-code/section-2903.31</w:t>
        </w:r>
      </w:hyperlink>
      <w:r>
        <w:t xml:space="preserve"> </w:t>
      </w:r>
    </w:p>
    <w:p w14:paraId="1A6B9ED0" w14:textId="77777777" w:rsidR="00774A91" w:rsidRDefault="00774A91" w:rsidP="00774A91">
      <w:pPr>
        <w:spacing w:before="100" w:beforeAutospacing="1" w:after="100" w:afterAutospacing="1" w:line="240" w:lineRule="auto"/>
        <w:ind w:left="720"/>
        <w:rPr>
          <w:rFonts w:ascii="Times New Roman" w:hAnsi="Times New Roman"/>
          <w:sz w:val="24"/>
          <w:szCs w:val="24"/>
        </w:rPr>
      </w:pPr>
      <w:r w:rsidRPr="008C25CB">
        <w:rPr>
          <w:rFonts w:ascii="Times New Roman" w:hAnsi="Times New Roman"/>
          <w:sz w:val="24"/>
          <w:szCs w:val="24"/>
        </w:rPr>
        <w:lastRenderedPageBreak/>
        <w:t>See article: “Fraternity members waited to call 911 as Collin Wiant was dying.” May 17, 2021. “Collin Wiant took the small canister filled with nitrous oxide, inhaled, and within</w:t>
      </w:r>
      <w:r>
        <w:rPr>
          <w:rFonts w:ascii="Times New Roman" w:hAnsi="Times New Roman"/>
          <w:sz w:val="24"/>
          <w:szCs w:val="24"/>
        </w:rPr>
        <w:t xml:space="preserve"> </w:t>
      </w:r>
      <w:r w:rsidRPr="008C25CB">
        <w:rPr>
          <w:rFonts w:ascii="Times New Roman" w:hAnsi="Times New Roman"/>
          <w:sz w:val="24"/>
          <w:szCs w:val="24"/>
        </w:rPr>
        <w:t xml:space="preserve">seconds fell backward onto a futon. </w:t>
      </w:r>
      <w:r w:rsidRPr="004C3428">
        <w:rPr>
          <w:rFonts w:ascii="Times New Roman" w:eastAsia="Times New Roman" w:hAnsi="Times New Roman"/>
          <w:sz w:val="24"/>
          <w:szCs w:val="24"/>
        </w:rPr>
        <w:t xml:space="preserve">His face drained of </w:t>
      </w:r>
      <w:proofErr w:type="gramStart"/>
      <w:r w:rsidRPr="004C3428">
        <w:rPr>
          <w:rFonts w:ascii="Times New Roman" w:eastAsia="Times New Roman" w:hAnsi="Times New Roman"/>
          <w:sz w:val="24"/>
          <w:szCs w:val="24"/>
        </w:rPr>
        <w:t>color</w:t>
      </w:r>
      <w:proofErr w:type="gramEnd"/>
      <w:r w:rsidRPr="004C3428">
        <w:rPr>
          <w:rFonts w:ascii="Times New Roman" w:eastAsia="Times New Roman" w:hAnsi="Times New Roman"/>
          <w:sz w:val="24"/>
          <w:szCs w:val="24"/>
        </w:rPr>
        <w:t xml:space="preserve"> and he began to make noises that alarmed the three Sigma Pi fraternity brothers nearb</w:t>
      </w:r>
      <w:r w:rsidRPr="008C25CB">
        <w:rPr>
          <w:rFonts w:ascii="Times New Roman" w:hAnsi="Times New Roman"/>
          <w:sz w:val="24"/>
          <w:szCs w:val="24"/>
        </w:rPr>
        <w:t>y. *** Joshua, who bought the “</w:t>
      </w:r>
      <w:proofErr w:type="spellStart"/>
      <w:r w:rsidRPr="008C25CB">
        <w:rPr>
          <w:rFonts w:ascii="Times New Roman" w:hAnsi="Times New Roman"/>
          <w:sz w:val="24"/>
          <w:szCs w:val="24"/>
        </w:rPr>
        <w:t>whippit</w:t>
      </w:r>
      <w:proofErr w:type="spellEnd"/>
      <w:r w:rsidRPr="008C25CB">
        <w:rPr>
          <w:rFonts w:ascii="Times New Roman" w:hAnsi="Times New Roman"/>
          <w:sz w:val="24"/>
          <w:szCs w:val="24"/>
        </w:rPr>
        <w:t xml:space="preserve">” canister from which Collin had inhaled the gas, pressed down on Collin’s chest </w:t>
      </w:r>
      <w:proofErr w:type="gramStart"/>
      <w:r w:rsidRPr="008C25CB">
        <w:rPr>
          <w:rFonts w:ascii="Times New Roman" w:hAnsi="Times New Roman"/>
          <w:sz w:val="24"/>
          <w:szCs w:val="24"/>
        </w:rPr>
        <w:t>over and over</w:t>
      </w:r>
      <w:proofErr w:type="gramEnd"/>
      <w:r w:rsidRPr="008C25CB">
        <w:rPr>
          <w:rFonts w:ascii="Times New Roman" w:hAnsi="Times New Roman"/>
          <w:sz w:val="24"/>
          <w:szCs w:val="24"/>
        </w:rPr>
        <w:t xml:space="preserve">. He was breathing into Collin’s mouth every 20 seconds. </w:t>
      </w:r>
      <w:r w:rsidRPr="004C3428">
        <w:rPr>
          <w:rFonts w:ascii="Times New Roman" w:eastAsia="Times New Roman" w:hAnsi="Times New Roman"/>
          <w:sz w:val="24"/>
          <w:szCs w:val="24"/>
        </w:rPr>
        <w:t>Paramedics arrived within minutes at the unofficial, off-campus home of the Sigma Pi fraternity.</w:t>
      </w:r>
      <w:r w:rsidRPr="008C25CB">
        <w:rPr>
          <w:rFonts w:ascii="Times New Roman" w:hAnsi="Times New Roman"/>
          <w:sz w:val="24"/>
          <w:szCs w:val="24"/>
        </w:rPr>
        <w:t xml:space="preserve"> </w:t>
      </w:r>
      <w:r w:rsidRPr="004C3428">
        <w:rPr>
          <w:rFonts w:ascii="Times New Roman" w:eastAsia="Times New Roman" w:hAnsi="Times New Roman"/>
          <w:sz w:val="24"/>
          <w:szCs w:val="24"/>
        </w:rPr>
        <w:t>But it was too late to save him.</w:t>
      </w:r>
      <w:r w:rsidRPr="008C25CB">
        <w:rPr>
          <w:rFonts w:ascii="Times New Roman" w:hAnsi="Times New Roman"/>
          <w:sz w:val="24"/>
          <w:szCs w:val="24"/>
        </w:rPr>
        <w:t xml:space="preserve"> </w:t>
      </w:r>
      <w:r w:rsidRPr="004C3428">
        <w:rPr>
          <w:rFonts w:ascii="Times New Roman" w:eastAsia="Times New Roman" w:hAnsi="Times New Roman"/>
          <w:sz w:val="24"/>
          <w:szCs w:val="24"/>
        </w:rPr>
        <w:t>Collin died at an Athens hospital shortly after 3 a.m. on Nov. 12, 2018.</w:t>
      </w:r>
      <w:r w:rsidRPr="008C25CB">
        <w:rPr>
          <w:rFonts w:ascii="Times New Roman" w:hAnsi="Times New Roman"/>
          <w:sz w:val="24"/>
          <w:szCs w:val="24"/>
        </w:rPr>
        <w:t xml:space="preserve">   </w:t>
      </w:r>
      <w:hyperlink r:id="rId2585" w:history="1">
        <w:r w:rsidRPr="008C25CB">
          <w:rPr>
            <w:rStyle w:val="Hyperlink"/>
            <w:sz w:val="24"/>
            <w:szCs w:val="24"/>
          </w:rPr>
          <w:t>https://www.dispatch.com/in-depth/news/2021/05/17/broken-pledge-fraternity-hazing-collin-wiant-death-ohio-university/5071265001/</w:t>
        </w:r>
      </w:hyperlink>
    </w:p>
    <w:p w14:paraId="2DB84EEE" w14:textId="77777777" w:rsidR="00774A91" w:rsidRDefault="00774A91" w:rsidP="00774A91">
      <w:pPr>
        <w:pStyle w:val="NormalWeb"/>
        <w:rPr>
          <w:b/>
          <w:bCs/>
        </w:rPr>
      </w:pPr>
      <w:r>
        <w:rPr>
          <w:b/>
          <w:bCs/>
        </w:rPr>
        <w:t xml:space="preserve">Legal Lesson Learned: Fire &amp; EMS departments should conduct training on their state laws on hazing. </w:t>
      </w:r>
    </w:p>
    <w:p w14:paraId="12B8D13D" w14:textId="77777777" w:rsidR="00774A91" w:rsidRDefault="00774A91" w:rsidP="00774A91">
      <w:pPr>
        <w:spacing w:before="100" w:beforeAutospacing="1" w:after="100" w:afterAutospacing="1" w:line="240" w:lineRule="auto"/>
        <w:ind w:left="720"/>
        <w:rPr>
          <w:b/>
          <w:bCs/>
        </w:rPr>
      </w:pPr>
      <w:r>
        <w:rPr>
          <w:rFonts w:ascii="Times New Roman" w:eastAsia="Times New Roman" w:hAnsi="Times New Roman"/>
          <w:sz w:val="24"/>
          <w:szCs w:val="24"/>
        </w:rPr>
        <w:t>Note:  “</w:t>
      </w:r>
      <w:r w:rsidRPr="00853D1E">
        <w:rPr>
          <w:rFonts w:ascii="Times New Roman" w:eastAsia="Times New Roman" w:hAnsi="Times New Roman"/>
          <w:sz w:val="24"/>
          <w:szCs w:val="24"/>
        </w:rPr>
        <w:t xml:space="preserve">Under the new 2903.31, </w:t>
      </w:r>
      <w:r>
        <w:rPr>
          <w:rFonts w:ascii="Times New Roman" w:eastAsia="Times New Roman" w:hAnsi="Times New Roman"/>
          <w:sz w:val="24"/>
          <w:szCs w:val="24"/>
        </w:rPr>
        <w:t>‘</w:t>
      </w:r>
      <w:r w:rsidRPr="00853D1E">
        <w:rPr>
          <w:rFonts w:ascii="Times New Roman" w:eastAsia="Times New Roman" w:hAnsi="Times New Roman"/>
          <w:sz w:val="24"/>
          <w:szCs w:val="24"/>
        </w:rPr>
        <w:t>hazing</w:t>
      </w:r>
      <w:r>
        <w:rPr>
          <w:rFonts w:ascii="Times New Roman" w:eastAsia="Times New Roman" w:hAnsi="Times New Roman"/>
          <w:sz w:val="24"/>
          <w:szCs w:val="24"/>
        </w:rPr>
        <w:t>’</w:t>
      </w:r>
      <w:r w:rsidRPr="00853D1E">
        <w:rPr>
          <w:rFonts w:ascii="Times New Roman" w:eastAsia="Times New Roman" w:hAnsi="Times New Roman"/>
          <w:sz w:val="24"/>
          <w:szCs w:val="24"/>
        </w:rPr>
        <w:t xml:space="preserve"> adds the language in bold:</w:t>
      </w:r>
      <w:r>
        <w:rPr>
          <w:rFonts w:ascii="Times New Roman" w:eastAsia="Times New Roman" w:hAnsi="Times New Roman"/>
          <w:sz w:val="24"/>
          <w:szCs w:val="24"/>
        </w:rPr>
        <w:t xml:space="preserve"> </w:t>
      </w:r>
      <w:r w:rsidRPr="00853D1E">
        <w:rPr>
          <w:rFonts w:ascii="Times New Roman" w:eastAsia="Times New Roman" w:hAnsi="Times New Roman"/>
          <w:sz w:val="24"/>
          <w:szCs w:val="24"/>
        </w:rPr>
        <w:t xml:space="preserve">(1) </w:t>
      </w:r>
      <w:r>
        <w:rPr>
          <w:rFonts w:ascii="Times New Roman" w:eastAsia="Times New Roman" w:hAnsi="Times New Roman"/>
          <w:sz w:val="24"/>
          <w:szCs w:val="24"/>
        </w:rPr>
        <w:t>‘</w:t>
      </w:r>
      <w:r w:rsidRPr="00853D1E">
        <w:rPr>
          <w:rFonts w:ascii="Times New Roman" w:eastAsia="Times New Roman" w:hAnsi="Times New Roman"/>
          <w:sz w:val="24"/>
          <w:szCs w:val="24"/>
        </w:rPr>
        <w:t>Hazing</w:t>
      </w:r>
      <w:r>
        <w:rPr>
          <w:rFonts w:ascii="Times New Roman" w:eastAsia="Times New Roman" w:hAnsi="Times New Roman"/>
          <w:sz w:val="24"/>
          <w:szCs w:val="24"/>
        </w:rPr>
        <w:t>’</w:t>
      </w:r>
      <w:r w:rsidRPr="00853D1E">
        <w:rPr>
          <w:rFonts w:ascii="Times New Roman" w:eastAsia="Times New Roman" w:hAnsi="Times New Roman"/>
          <w:sz w:val="24"/>
          <w:szCs w:val="24"/>
        </w:rPr>
        <w:t xml:space="preserve"> means doing any act or coercing another, including the victim, to do any act of initiation into any student or other organization </w:t>
      </w:r>
      <w:r w:rsidRPr="00853D1E">
        <w:rPr>
          <w:rFonts w:ascii="Times New Roman" w:eastAsia="Times New Roman" w:hAnsi="Times New Roman"/>
          <w:b/>
          <w:bCs/>
          <w:sz w:val="24"/>
          <w:szCs w:val="24"/>
        </w:rPr>
        <w:t>or any act to continue or reinstate membership in or affiliation with any student or other organization</w:t>
      </w:r>
      <w:r w:rsidRPr="00853D1E">
        <w:rPr>
          <w:rFonts w:ascii="Times New Roman" w:eastAsia="Times New Roman" w:hAnsi="Times New Roman"/>
          <w:sz w:val="24"/>
          <w:szCs w:val="24"/>
        </w:rPr>
        <w:t xml:space="preserve"> that causes or creates a substantial risk of causing mental or physical harm to any person, </w:t>
      </w:r>
      <w:r w:rsidRPr="00853D1E">
        <w:rPr>
          <w:rFonts w:ascii="Times New Roman" w:eastAsia="Times New Roman" w:hAnsi="Times New Roman"/>
          <w:b/>
          <w:bCs/>
          <w:sz w:val="24"/>
          <w:szCs w:val="24"/>
        </w:rPr>
        <w:t>including coercing another to consume alcohol or a drug of abuse, as defined in section 3719.011 of the Revised Code.</w:t>
      </w:r>
      <w:r>
        <w:rPr>
          <w:rFonts w:ascii="Times New Roman" w:eastAsia="Times New Roman" w:hAnsi="Times New Roman"/>
          <w:b/>
          <w:bCs/>
          <w:sz w:val="24"/>
          <w:szCs w:val="24"/>
        </w:rPr>
        <w:t xml:space="preserve">” </w:t>
      </w:r>
      <w:hyperlink r:id="rId2586" w:history="1">
        <w:r w:rsidRPr="00386EA0">
          <w:rPr>
            <w:rStyle w:val="Hyperlink"/>
            <w:sz w:val="24"/>
            <w:szCs w:val="24"/>
          </w:rPr>
          <w:t>https://www.rittgers.com/blog/2021/07/what-does-ohios-new-anti-hazing-law-mean/</w:t>
        </w:r>
      </w:hyperlink>
    </w:p>
    <w:p w14:paraId="1B3E152C" w14:textId="77777777" w:rsidR="00774A91" w:rsidRDefault="00774A91" w:rsidP="00F326E5">
      <w:pPr>
        <w:pStyle w:val="NoSpacing"/>
        <w:rPr>
          <w:rFonts w:ascii="Arial Black" w:hAnsi="Arial Black"/>
          <w:sz w:val="24"/>
          <w:szCs w:val="24"/>
        </w:rPr>
      </w:pPr>
    </w:p>
    <w:p w14:paraId="4B22399E" w14:textId="77777777" w:rsidR="00774A91" w:rsidRDefault="00774A91" w:rsidP="00F326E5">
      <w:pPr>
        <w:pStyle w:val="NoSpacing"/>
        <w:rPr>
          <w:rFonts w:ascii="Arial Black" w:hAnsi="Arial Black"/>
          <w:sz w:val="24"/>
          <w:szCs w:val="24"/>
        </w:rPr>
      </w:pPr>
    </w:p>
    <w:p w14:paraId="23E06B06" w14:textId="6BC3A1C7" w:rsidR="00BD1702" w:rsidRDefault="00BD1702" w:rsidP="00F326E5">
      <w:pPr>
        <w:pStyle w:val="NoSpacing"/>
        <w:rPr>
          <w:rFonts w:ascii="Arial Black" w:hAnsi="Arial Black"/>
          <w:sz w:val="24"/>
          <w:szCs w:val="24"/>
        </w:rPr>
      </w:pPr>
      <w:r>
        <w:rPr>
          <w:rFonts w:ascii="Arial Black" w:hAnsi="Arial Black"/>
          <w:sz w:val="24"/>
          <w:szCs w:val="24"/>
        </w:rPr>
        <w:t>16-57</w:t>
      </w:r>
    </w:p>
    <w:p w14:paraId="30FBF292" w14:textId="77777777" w:rsidR="00BD1702" w:rsidRDefault="00BD1702" w:rsidP="00BD1702">
      <w:pPr>
        <w:spacing w:before="100" w:beforeAutospacing="1" w:after="100" w:afterAutospacing="1" w:line="240" w:lineRule="auto"/>
        <w:ind w:left="90"/>
        <w:jc w:val="both"/>
        <w:rPr>
          <w:rFonts w:ascii="Arial Black" w:hAnsi="Arial Black"/>
          <w:sz w:val="28"/>
          <w:szCs w:val="28"/>
        </w:rPr>
      </w:pPr>
      <w:r>
        <w:rPr>
          <w:rFonts w:ascii="Arial Black" w:hAnsi="Arial Black"/>
          <w:sz w:val="28"/>
          <w:szCs w:val="28"/>
        </w:rPr>
        <w:t>VA: FF FIRED AFTER ARREST D.C. – RALLY AGAINST TRUMP – FIRE CHIEF DIDN’T HOLD PRE-TERMINATION HEARING</w:t>
      </w:r>
    </w:p>
    <w:p w14:paraId="4C95A45A" w14:textId="77777777" w:rsidR="00BD1702" w:rsidRDefault="00BD1702" w:rsidP="00BD1702">
      <w:pPr>
        <w:spacing w:before="100" w:beforeAutospacing="1" w:after="100" w:afterAutospacing="1" w:line="240" w:lineRule="auto"/>
        <w:ind w:left="90" w:hanging="90"/>
        <w:rPr>
          <w:rFonts w:ascii="Times New Roman" w:hAnsi="Times New Roman"/>
          <w:sz w:val="24"/>
          <w:szCs w:val="24"/>
        </w:rPr>
      </w:pPr>
      <w:r>
        <w:rPr>
          <w:rFonts w:ascii="Times New Roman" w:hAnsi="Times New Roman"/>
          <w:sz w:val="24"/>
          <w:szCs w:val="24"/>
        </w:rPr>
        <w:t xml:space="preserve">On Sept. 30, 2021, in </w:t>
      </w:r>
      <w:r>
        <w:rPr>
          <w:rFonts w:ascii="Times New Roman" w:hAnsi="Times New Roman"/>
          <w:sz w:val="24"/>
          <w:szCs w:val="24"/>
          <w:u w:val="single"/>
        </w:rPr>
        <w:t xml:space="preserve">Rosa </w:t>
      </w:r>
      <w:proofErr w:type="spellStart"/>
      <w:r>
        <w:rPr>
          <w:rFonts w:ascii="Times New Roman" w:hAnsi="Times New Roman"/>
          <w:sz w:val="24"/>
          <w:szCs w:val="24"/>
          <w:u w:val="single"/>
        </w:rPr>
        <w:t>Roncales</w:t>
      </w:r>
      <w:proofErr w:type="spellEnd"/>
      <w:r>
        <w:rPr>
          <w:rFonts w:ascii="Times New Roman" w:hAnsi="Times New Roman"/>
          <w:sz w:val="24"/>
          <w:szCs w:val="24"/>
          <w:u w:val="single"/>
        </w:rPr>
        <w:t xml:space="preserve"> v. Anthony McDowell, et al</w:t>
      </w:r>
      <w:r>
        <w:rPr>
          <w:rFonts w:ascii="Times New Roman" w:hAnsi="Times New Roman"/>
          <w:sz w:val="24"/>
          <w:szCs w:val="24"/>
        </w:rPr>
        <w:t xml:space="preserve">., United States District Court Judge </w:t>
      </w:r>
      <w:proofErr w:type="spellStart"/>
      <w:r>
        <w:rPr>
          <w:rFonts w:ascii="Times New Roman" w:hAnsi="Times New Roman"/>
          <w:sz w:val="24"/>
          <w:szCs w:val="24"/>
        </w:rPr>
        <w:t>Harnah</w:t>
      </w:r>
      <w:proofErr w:type="spellEnd"/>
      <w:r>
        <w:rPr>
          <w:rFonts w:ascii="Times New Roman" w:hAnsi="Times New Roman"/>
          <w:sz w:val="24"/>
          <w:szCs w:val="24"/>
        </w:rPr>
        <w:t xml:space="preserve"> Lauck, Eastern District of Virginia, denied the Fire Chief’s motion for summary judgment; while he met with her on day of her termination, he didn’t offer her a pre-termination hearing.  After her arrest, she was interviewed by County of Henrico Division of Fire officers on three occasions, who after talking with a D.C. Police detective, asked her whether she had a gas mask in her </w:t>
      </w:r>
      <w:proofErr w:type="gramStart"/>
      <w:r>
        <w:rPr>
          <w:rFonts w:ascii="Times New Roman" w:hAnsi="Times New Roman"/>
          <w:sz w:val="24"/>
          <w:szCs w:val="24"/>
        </w:rPr>
        <w:t>back pack</w:t>
      </w:r>
      <w:proofErr w:type="gramEnd"/>
      <w:r>
        <w:rPr>
          <w:rFonts w:ascii="Times New Roman" w:hAnsi="Times New Roman"/>
          <w:sz w:val="24"/>
          <w:szCs w:val="24"/>
        </w:rPr>
        <w:t xml:space="preserve">, and whether she covered up the </w:t>
      </w:r>
      <w:proofErr w:type="gramStart"/>
      <w:r>
        <w:rPr>
          <w:rFonts w:ascii="Times New Roman" w:hAnsi="Times New Roman"/>
          <w:sz w:val="24"/>
          <w:szCs w:val="24"/>
        </w:rPr>
        <w:t>back pack</w:t>
      </w:r>
      <w:proofErr w:type="gramEnd"/>
      <w:r>
        <w:rPr>
          <w:rFonts w:ascii="Times New Roman" w:hAnsi="Times New Roman"/>
          <w:sz w:val="24"/>
          <w:szCs w:val="24"/>
        </w:rPr>
        <w:t xml:space="preserve"> labels with black tape to avoid identification.  </w:t>
      </w:r>
    </w:p>
    <w:p w14:paraId="23CEFE51" w14:textId="77777777" w:rsidR="00BD1702" w:rsidRDefault="00BD1702" w:rsidP="00BD1702">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“The parties do not contest that Fire Chief McDowell failed to provide </w:t>
      </w:r>
      <w:proofErr w:type="spellStart"/>
      <w:r>
        <w:rPr>
          <w:rFonts w:ascii="Times New Roman" w:hAnsi="Times New Roman"/>
          <w:sz w:val="24"/>
          <w:szCs w:val="24"/>
        </w:rPr>
        <w:t>Roncales</w:t>
      </w:r>
      <w:proofErr w:type="spellEnd"/>
      <w:r>
        <w:rPr>
          <w:rFonts w:ascii="Times New Roman" w:hAnsi="Times New Roman"/>
          <w:sz w:val="24"/>
          <w:szCs w:val="24"/>
        </w:rPr>
        <w:t xml:space="preserve"> with a pre-termination hearing. And because </w:t>
      </w:r>
      <w:proofErr w:type="spellStart"/>
      <w:r>
        <w:rPr>
          <w:rFonts w:ascii="Times New Roman" w:hAnsi="Times New Roman"/>
          <w:sz w:val="24"/>
          <w:szCs w:val="24"/>
        </w:rPr>
        <w:t>Roncales</w:t>
      </w:r>
      <w:proofErr w:type="spellEnd"/>
      <w:r>
        <w:rPr>
          <w:rFonts w:ascii="Times New Roman" w:hAnsi="Times New Roman"/>
          <w:sz w:val="24"/>
          <w:szCs w:val="24"/>
        </w:rPr>
        <w:t xml:space="preserve"> presents evidence sufficient for a jury to reasonably find that Fire Chief McDowell's statements [in termination letter and memo to County Manager about her lack of honesty] deprived her of a liberty interest, any such deprivation therefore occurred ‘without due process of law….’ Because </w:t>
      </w:r>
      <w:proofErr w:type="spellStart"/>
      <w:r>
        <w:rPr>
          <w:rFonts w:ascii="Times New Roman" w:hAnsi="Times New Roman"/>
          <w:sz w:val="24"/>
          <w:szCs w:val="24"/>
        </w:rPr>
        <w:t>Roncales's</w:t>
      </w:r>
      <w:proofErr w:type="spellEnd"/>
      <w:r>
        <w:rPr>
          <w:rFonts w:ascii="Times New Roman" w:hAnsi="Times New Roman"/>
          <w:sz w:val="24"/>
          <w:szCs w:val="24"/>
        </w:rPr>
        <w:t xml:space="preserve"> right to a pre-termination hearing was clearly established at the time of his actions, Fire Chief McDowell is not entitled to qualified immunity on </w:t>
      </w:r>
      <w:proofErr w:type="spellStart"/>
      <w:r>
        <w:rPr>
          <w:rFonts w:ascii="Times New Roman" w:hAnsi="Times New Roman"/>
          <w:sz w:val="24"/>
          <w:szCs w:val="24"/>
        </w:rPr>
        <w:t>Roncales's</w:t>
      </w:r>
      <w:proofErr w:type="spellEnd"/>
      <w:r>
        <w:rPr>
          <w:rFonts w:ascii="Times New Roman" w:hAnsi="Times New Roman"/>
          <w:sz w:val="24"/>
          <w:szCs w:val="24"/>
        </w:rPr>
        <w:t xml:space="preserve"> due process claim.” </w:t>
      </w:r>
      <w:hyperlink r:id="rId2587" w:history="1">
        <w:r>
          <w:rPr>
            <w:rStyle w:val="Hyperlink"/>
            <w:sz w:val="24"/>
            <w:szCs w:val="24"/>
          </w:rPr>
          <w:t>https://www.leagle.com/decision/infdco20211006817</w:t>
        </w:r>
      </w:hyperlink>
      <w:r>
        <w:rPr>
          <w:rFonts w:ascii="Times New Roman" w:hAnsi="Times New Roman"/>
          <w:sz w:val="24"/>
          <w:szCs w:val="24"/>
        </w:rPr>
        <w:t xml:space="preserve">  </w:t>
      </w:r>
    </w:p>
    <w:p w14:paraId="53BAB123" w14:textId="77777777" w:rsidR="00BD1702" w:rsidRDefault="00BD1702" w:rsidP="00BD1702">
      <w:pPr>
        <w:spacing w:before="100" w:beforeAutospacing="1" w:after="100" w:afterAutospacing="1" w:line="240" w:lineRule="auto"/>
        <w:jc w:val="both"/>
        <w:rPr>
          <w:rFonts w:ascii="Times New Roman" w:hAnsi="Times New Roman"/>
          <w:b/>
          <w:bCs/>
          <w:sz w:val="24"/>
          <w:szCs w:val="24"/>
        </w:rPr>
      </w:pPr>
      <w:r>
        <w:rPr>
          <w:rFonts w:ascii="Times New Roman" w:hAnsi="Times New Roman"/>
          <w:b/>
          <w:bCs/>
          <w:sz w:val="24"/>
          <w:szCs w:val="24"/>
        </w:rPr>
        <w:t xml:space="preserve">Legal Lesson Learned:  Provide a pre-termination hearing, record the session so there is recorded evidence of any admissions. </w:t>
      </w:r>
    </w:p>
    <w:p w14:paraId="24C00E08" w14:textId="3C2A6867" w:rsidR="00BD1702" w:rsidRDefault="00BD1702" w:rsidP="00BD1702">
      <w:pPr>
        <w:pStyle w:val="NoSpacing"/>
        <w:rPr>
          <w:rFonts w:ascii="Arial Black" w:hAnsi="Arial Black"/>
          <w:sz w:val="24"/>
          <w:szCs w:val="24"/>
        </w:rPr>
      </w:pPr>
      <w:r>
        <w:rPr>
          <w:rFonts w:ascii="Times New Roman" w:eastAsia="Times New Roman" w:hAnsi="Times New Roman"/>
          <w:sz w:val="24"/>
          <w:szCs w:val="24"/>
        </w:rPr>
        <w:t>Note:  See TV video on two fires that occurred on Jan. 26, 2020. “</w:t>
      </w:r>
      <w:r>
        <w:rPr>
          <w:rFonts w:ascii="Times New Roman" w:hAnsi="Times New Roman"/>
          <w:sz w:val="24"/>
          <w:szCs w:val="24"/>
        </w:rPr>
        <w:t xml:space="preserve">59-year-old woman loses life after house goes up in flames on Cleveland’s West Side, 3 adults and 4 children safely out.” </w:t>
      </w:r>
      <w:hyperlink r:id="rId2588" w:history="1">
        <w:r>
          <w:rPr>
            <w:rStyle w:val="Hyperlink"/>
            <w:sz w:val="24"/>
            <w:szCs w:val="24"/>
          </w:rPr>
          <w:t>https://www.cleveland19.com/2020/01/26/year-old-woman-loses-life-after-house-goes-up-flames-clevelands-west-side-adults-children-safely-out/</w:t>
        </w:r>
      </w:hyperlink>
    </w:p>
    <w:p w14:paraId="3B58B0AB" w14:textId="77777777" w:rsidR="00BD1702" w:rsidRDefault="00BD1702" w:rsidP="00F326E5">
      <w:pPr>
        <w:pStyle w:val="NoSpacing"/>
        <w:rPr>
          <w:rFonts w:ascii="Arial Black" w:hAnsi="Arial Black"/>
          <w:sz w:val="24"/>
          <w:szCs w:val="24"/>
        </w:rPr>
      </w:pPr>
    </w:p>
    <w:p w14:paraId="117FEADC" w14:textId="77777777" w:rsidR="00BD1702" w:rsidRDefault="00BD1702" w:rsidP="00F326E5">
      <w:pPr>
        <w:pStyle w:val="NoSpacing"/>
        <w:rPr>
          <w:rFonts w:ascii="Arial Black" w:hAnsi="Arial Black"/>
          <w:sz w:val="24"/>
          <w:szCs w:val="24"/>
        </w:rPr>
      </w:pPr>
    </w:p>
    <w:p w14:paraId="6D05210E" w14:textId="547E6F47" w:rsidR="002F610D" w:rsidRDefault="002F610D" w:rsidP="00F326E5">
      <w:pPr>
        <w:pStyle w:val="NoSpacing"/>
        <w:rPr>
          <w:rFonts w:ascii="Arial Black" w:hAnsi="Arial Black"/>
          <w:sz w:val="24"/>
          <w:szCs w:val="24"/>
        </w:rPr>
      </w:pPr>
      <w:r>
        <w:rPr>
          <w:rFonts w:ascii="Arial Black" w:hAnsi="Arial Black"/>
          <w:sz w:val="24"/>
          <w:szCs w:val="24"/>
        </w:rPr>
        <w:t>16-56</w:t>
      </w:r>
    </w:p>
    <w:p w14:paraId="660FDC1A" w14:textId="77777777" w:rsidR="002F610D" w:rsidRPr="00C30127" w:rsidRDefault="002F610D" w:rsidP="002F610D">
      <w:pPr>
        <w:pStyle w:val="Heading1"/>
        <w:rPr>
          <w:rFonts w:ascii="Arial Black" w:hAnsi="Arial Black"/>
          <w:b w:val="0"/>
          <w:bCs w:val="0"/>
          <w:sz w:val="28"/>
          <w:szCs w:val="28"/>
        </w:rPr>
      </w:pPr>
      <w:bookmarkStart w:id="593" w:name="_Hlk81842686"/>
      <w:r w:rsidRPr="00C30127">
        <w:rPr>
          <w:rFonts w:ascii="Arial Black" w:hAnsi="Arial Black"/>
          <w:b w:val="0"/>
          <w:bCs w:val="0"/>
          <w:sz w:val="28"/>
          <w:szCs w:val="28"/>
        </w:rPr>
        <w:t xml:space="preserve">TX: </w:t>
      </w:r>
      <w:r>
        <w:rPr>
          <w:rFonts w:ascii="Arial Black" w:hAnsi="Arial Black"/>
          <w:b w:val="0"/>
          <w:bCs w:val="0"/>
          <w:sz w:val="28"/>
          <w:szCs w:val="28"/>
        </w:rPr>
        <w:t>FF LAWSUIT DISMISSED - FIRED FOR NOT DISCLOSING HE WAS FIRED 10-YEARS EARLIER ANOTHER FD - THEFT</w:t>
      </w:r>
    </w:p>
    <w:bookmarkEnd w:id="593"/>
    <w:p w14:paraId="097BCECE" w14:textId="77777777" w:rsidR="002F610D" w:rsidRDefault="002F610D" w:rsidP="002F610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26, 2021, in </w:t>
      </w:r>
      <w:r w:rsidRPr="00C30127">
        <w:rPr>
          <w:rFonts w:ascii="Times New Roman" w:eastAsia="Times New Roman" w:hAnsi="Times New Roman"/>
          <w:sz w:val="24"/>
          <w:szCs w:val="24"/>
          <w:u w:val="single"/>
        </w:rPr>
        <w:t>Brandon Lewis v. Fire Chief Larry DiCamillo, Stafford Fire Marshal’s Office and City of Stafford</w:t>
      </w:r>
      <w:r>
        <w:rPr>
          <w:rFonts w:ascii="Times New Roman" w:eastAsia="Times New Roman" w:hAnsi="Times New Roman"/>
          <w:sz w:val="24"/>
          <w:szCs w:val="24"/>
        </w:rPr>
        <w:t>, the Court of Appeals of Texas, First District, held (3 to 0) that trial court properly dismissed the lawsuit.</w:t>
      </w:r>
    </w:p>
    <w:p w14:paraId="6DB963E3" w14:textId="77777777" w:rsidR="002F610D" w:rsidRDefault="002F610D" w:rsidP="002F610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796AAC">
        <w:rPr>
          <w:rFonts w:ascii="Times New Roman" w:hAnsi="Times New Roman"/>
          <w:sz w:val="24"/>
          <w:szCs w:val="24"/>
        </w:rPr>
        <w:t xml:space="preserve">On September 4, 2018, Lewis was terminated from his position as an Inspector/Investigator with the Stafford Fire Department. About two weeks before, on August 22nd, Chief Di Camillo received information from Peter E. Alvarado, the Emergency Management Coordinator for the Stafford Fire Marshal's Office, about Lewis's prior employment with the Missouri City Fire Department. Alvarado had been informed by the Missouri City Fire Marshal's Office ("MCFMO") that Lewis was not allowed to conduct business or aid in investigations in Missouri City because Lewis, previously an intern with the MCFMO, was fired from the Missouri City Fire Department after being accused of stealing a book. Alvarado reviewed Lewis's employment files and found that Lewis did not list his previous work for the Missouri City Fire Department on his applications, his personal history statement, or his resume. Alvarado provided this information to Chief </w:t>
      </w:r>
      <w:proofErr w:type="gramStart"/>
      <w:r w:rsidRPr="00796AAC">
        <w:rPr>
          <w:rFonts w:ascii="Times New Roman" w:hAnsi="Times New Roman"/>
          <w:sz w:val="24"/>
          <w:szCs w:val="24"/>
        </w:rPr>
        <w:t>Di</w:t>
      </w:r>
      <w:proofErr w:type="gramEnd"/>
      <w:r w:rsidRPr="00796AAC">
        <w:rPr>
          <w:rFonts w:ascii="Times New Roman" w:hAnsi="Times New Roman"/>
          <w:sz w:val="24"/>
          <w:szCs w:val="24"/>
        </w:rPr>
        <w:t xml:space="preserve"> Camillo in a signed, written memorandum (the </w:t>
      </w:r>
      <w:r>
        <w:rPr>
          <w:rFonts w:ascii="Times New Roman" w:hAnsi="Times New Roman"/>
          <w:sz w:val="24"/>
          <w:szCs w:val="24"/>
        </w:rPr>
        <w:t>‘</w:t>
      </w:r>
      <w:r w:rsidRPr="00796AAC">
        <w:rPr>
          <w:rFonts w:ascii="Times New Roman" w:hAnsi="Times New Roman"/>
          <w:sz w:val="24"/>
          <w:szCs w:val="24"/>
        </w:rPr>
        <w:t>August 22nd Memorandum</w:t>
      </w:r>
      <w:r>
        <w:rPr>
          <w:rFonts w:ascii="Times New Roman" w:hAnsi="Times New Roman"/>
          <w:sz w:val="24"/>
          <w:szCs w:val="24"/>
        </w:rPr>
        <w:t>’</w:t>
      </w:r>
      <w:r w:rsidRPr="00796AAC">
        <w:rPr>
          <w:rFonts w:ascii="Times New Roman" w:hAnsi="Times New Roman"/>
          <w:sz w:val="24"/>
          <w:szCs w:val="24"/>
        </w:rPr>
        <w:t>).</w:t>
      </w:r>
      <w:r>
        <w:rPr>
          <w:rFonts w:ascii="Times New Roman" w:hAnsi="Times New Roman"/>
          <w:sz w:val="24"/>
          <w:szCs w:val="24"/>
        </w:rPr>
        <w:t xml:space="preserve"> </w:t>
      </w:r>
    </w:p>
    <w:p w14:paraId="7C39FE5C" w14:textId="77777777" w:rsidR="002F610D" w:rsidRDefault="002F610D" w:rsidP="002F610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57E01C36" w14:textId="77777777" w:rsidR="002F610D" w:rsidRPr="00796AAC" w:rsidRDefault="002F610D" w:rsidP="002F610D">
      <w:pPr>
        <w:spacing w:before="100" w:beforeAutospacing="1" w:after="100" w:afterAutospacing="1" w:line="240" w:lineRule="auto"/>
        <w:ind w:left="720"/>
        <w:rPr>
          <w:rFonts w:ascii="Times New Roman" w:eastAsia="Times New Roman" w:hAnsi="Times New Roman"/>
          <w:sz w:val="24"/>
          <w:szCs w:val="24"/>
        </w:rPr>
      </w:pPr>
      <w:r w:rsidRPr="00796AAC">
        <w:rPr>
          <w:rFonts w:ascii="Times New Roman" w:hAnsi="Times New Roman"/>
          <w:sz w:val="24"/>
          <w:szCs w:val="24"/>
        </w:rPr>
        <w:t xml:space="preserve">The </w:t>
      </w:r>
      <w:r>
        <w:rPr>
          <w:rFonts w:ascii="Times New Roman" w:hAnsi="Times New Roman"/>
          <w:sz w:val="24"/>
          <w:szCs w:val="24"/>
        </w:rPr>
        <w:t>‘</w:t>
      </w:r>
      <w:r w:rsidRPr="00796AAC">
        <w:rPr>
          <w:rFonts w:ascii="Times New Roman" w:hAnsi="Times New Roman"/>
          <w:sz w:val="24"/>
          <w:szCs w:val="24"/>
        </w:rPr>
        <w:t xml:space="preserve">overarching statutory </w:t>
      </w:r>
      <w:proofErr w:type="gramStart"/>
      <w:r w:rsidRPr="00796AAC">
        <w:rPr>
          <w:rFonts w:ascii="Times New Roman" w:hAnsi="Times New Roman"/>
          <w:sz w:val="24"/>
          <w:szCs w:val="24"/>
        </w:rPr>
        <w:t>purposes</w:t>
      </w:r>
      <w:r>
        <w:rPr>
          <w:rFonts w:ascii="Times New Roman" w:hAnsi="Times New Roman"/>
          <w:sz w:val="24"/>
          <w:szCs w:val="24"/>
        </w:rPr>
        <w:t>’</w:t>
      </w:r>
      <w:proofErr w:type="gramEnd"/>
      <w:r>
        <w:rPr>
          <w:rFonts w:ascii="Times New Roman" w:hAnsi="Times New Roman"/>
          <w:sz w:val="24"/>
          <w:szCs w:val="24"/>
        </w:rPr>
        <w:t xml:space="preserve"> </w:t>
      </w:r>
      <w:r w:rsidRPr="00796AAC">
        <w:rPr>
          <w:rFonts w:ascii="Times New Roman" w:hAnsi="Times New Roman"/>
          <w:sz w:val="24"/>
          <w:szCs w:val="24"/>
        </w:rPr>
        <w:t xml:space="preserve">of Chapter 614's </w:t>
      </w:r>
      <w:proofErr w:type="gramStart"/>
      <w:r w:rsidRPr="00796AAC">
        <w:rPr>
          <w:rFonts w:ascii="Times New Roman" w:hAnsi="Times New Roman"/>
          <w:sz w:val="24"/>
          <w:szCs w:val="24"/>
        </w:rPr>
        <w:t xml:space="preserve">requirements </w:t>
      </w:r>
      <w:r>
        <w:rPr>
          <w:rFonts w:ascii="Times New Roman" w:hAnsi="Times New Roman"/>
          <w:sz w:val="24"/>
          <w:szCs w:val="24"/>
        </w:rPr>
        <w:t>[signed complaint]</w:t>
      </w:r>
      <w:proofErr w:type="gramEnd"/>
      <w:r>
        <w:rPr>
          <w:rFonts w:ascii="Times New Roman" w:hAnsi="Times New Roman"/>
          <w:sz w:val="24"/>
          <w:szCs w:val="24"/>
        </w:rPr>
        <w:t xml:space="preserve"> </w:t>
      </w:r>
      <w:r w:rsidRPr="00796AAC">
        <w:rPr>
          <w:rFonts w:ascii="Times New Roman" w:hAnsi="Times New Roman"/>
          <w:sz w:val="24"/>
          <w:szCs w:val="24"/>
        </w:rPr>
        <w:t xml:space="preserve">are to (1) reduce the risk that adverse employment actions will be based on unsubstantiated complaints, and (2) ensure the affected employee receives sufficient information to enable him to defend against the allegations. </w:t>
      </w:r>
      <w:r w:rsidRPr="00796AAC">
        <w:rPr>
          <w:rStyle w:val="Emphasis"/>
          <w:rFonts w:ascii="Times New Roman" w:hAnsi="Times New Roman"/>
          <w:sz w:val="24"/>
          <w:szCs w:val="24"/>
        </w:rPr>
        <w:t>Id.</w:t>
      </w:r>
      <w:r w:rsidRPr="00796AAC">
        <w:rPr>
          <w:rFonts w:ascii="Times New Roman" w:hAnsi="Times New Roman"/>
          <w:sz w:val="24"/>
          <w:szCs w:val="24"/>
        </w:rPr>
        <w:t xml:space="preserve"> Lewis was provided detailed information in both the August 22nd Memorandum and the Complaint Notification to allow him to investigate the allegations against him related to his failure to disclose his prior employment on his City of Stafford applications. He was also afforded ample opportunity to defend himself against these allegations during the appeal process</w:t>
      </w:r>
      <w:r>
        <w:rPr>
          <w:rFonts w:ascii="Times New Roman" w:hAnsi="Times New Roman"/>
          <w:sz w:val="24"/>
          <w:szCs w:val="24"/>
        </w:rPr>
        <w:t>.”</w:t>
      </w:r>
      <w:r w:rsidRPr="00796AAC">
        <w:rPr>
          <w:rFonts w:ascii="Times New Roman" w:eastAsia="Times New Roman" w:hAnsi="Times New Roman"/>
          <w:sz w:val="24"/>
          <w:szCs w:val="24"/>
        </w:rPr>
        <w:t xml:space="preserve"> </w:t>
      </w:r>
      <w:hyperlink r:id="rId2589" w:history="1">
        <w:r w:rsidRPr="007D2E44">
          <w:rPr>
            <w:rStyle w:val="Hyperlink"/>
            <w:sz w:val="24"/>
            <w:szCs w:val="24"/>
          </w:rPr>
          <w:t>https://public.fastcase.com/9SKwsfNqTc6OieYDhNMyM4E5bpqRXbc1vzIOBkY5d575kmIDNjPft14UGJ0ygjci</w:t>
        </w:r>
      </w:hyperlink>
      <w:r>
        <w:rPr>
          <w:rFonts w:ascii="Times New Roman" w:eastAsia="Times New Roman" w:hAnsi="Times New Roman"/>
          <w:sz w:val="24"/>
          <w:szCs w:val="24"/>
        </w:rPr>
        <w:t xml:space="preserve"> </w:t>
      </w:r>
    </w:p>
    <w:p w14:paraId="177A6F05" w14:textId="77777777" w:rsidR="002F610D" w:rsidRPr="006B6F95" w:rsidRDefault="002F610D" w:rsidP="002F610D">
      <w:pPr>
        <w:pStyle w:val="NormalWeb"/>
        <w:rPr>
          <w:b/>
          <w:bCs/>
        </w:rPr>
      </w:pPr>
      <w:r w:rsidRPr="006B6F95">
        <w:rPr>
          <w:b/>
          <w:bCs/>
        </w:rPr>
        <w:t xml:space="preserve">Legal Lesson Learned: </w:t>
      </w:r>
      <w:r>
        <w:rPr>
          <w:b/>
          <w:bCs/>
        </w:rPr>
        <w:t xml:space="preserve"> Fire service applicants must honestly complete application form, including disclosure of prior Fire Department or other employer terminations.  </w:t>
      </w:r>
      <w:proofErr w:type="gramStart"/>
      <w:r>
        <w:rPr>
          <w:b/>
          <w:bCs/>
        </w:rPr>
        <w:t>A best</w:t>
      </w:r>
      <w:proofErr w:type="gramEnd"/>
      <w:r>
        <w:rPr>
          <w:b/>
          <w:bCs/>
        </w:rPr>
        <w:t xml:space="preserve"> practice also includes asking applicants to authorize prior employers in writing to disclose their employment and disciplinary records. </w:t>
      </w:r>
    </w:p>
    <w:p w14:paraId="60EFB79B" w14:textId="77777777" w:rsidR="002F610D" w:rsidRDefault="002F610D" w:rsidP="00F326E5">
      <w:pPr>
        <w:pStyle w:val="NoSpacing"/>
        <w:rPr>
          <w:rFonts w:ascii="Arial Black" w:hAnsi="Arial Black"/>
          <w:sz w:val="24"/>
          <w:szCs w:val="24"/>
        </w:rPr>
      </w:pPr>
    </w:p>
    <w:p w14:paraId="2EF2E387" w14:textId="77777777" w:rsidR="002F610D" w:rsidRDefault="002F610D" w:rsidP="00F326E5">
      <w:pPr>
        <w:pStyle w:val="NoSpacing"/>
        <w:rPr>
          <w:rFonts w:ascii="Arial Black" w:hAnsi="Arial Black"/>
          <w:sz w:val="24"/>
          <w:szCs w:val="24"/>
        </w:rPr>
      </w:pPr>
    </w:p>
    <w:p w14:paraId="1D4608CE" w14:textId="78D21815" w:rsidR="002F610D" w:rsidRDefault="002F610D" w:rsidP="00F326E5">
      <w:pPr>
        <w:pStyle w:val="NoSpacing"/>
        <w:rPr>
          <w:rFonts w:ascii="Arial Black" w:hAnsi="Arial Black"/>
          <w:sz w:val="24"/>
          <w:szCs w:val="24"/>
        </w:rPr>
      </w:pPr>
      <w:r>
        <w:rPr>
          <w:rFonts w:ascii="Arial Black" w:hAnsi="Arial Black"/>
          <w:sz w:val="24"/>
          <w:szCs w:val="24"/>
        </w:rPr>
        <w:t>16-55</w:t>
      </w:r>
    </w:p>
    <w:p w14:paraId="151745A5" w14:textId="38D77EA5" w:rsidR="002F610D" w:rsidRDefault="002F610D" w:rsidP="00F326E5">
      <w:pPr>
        <w:pStyle w:val="NoSpacing"/>
        <w:rPr>
          <w:rFonts w:ascii="Arial Black" w:hAnsi="Arial Black"/>
          <w:sz w:val="24"/>
          <w:szCs w:val="24"/>
        </w:rPr>
      </w:pPr>
    </w:p>
    <w:p w14:paraId="43040B8F" w14:textId="77777777" w:rsidR="002F610D" w:rsidRDefault="002F610D" w:rsidP="002F610D">
      <w:pPr>
        <w:rPr>
          <w:rFonts w:ascii="Arial Black" w:hAnsi="Arial Black"/>
          <w:sz w:val="28"/>
          <w:szCs w:val="28"/>
        </w:rPr>
      </w:pPr>
      <w:bookmarkStart w:id="594" w:name="_Hlk81842740"/>
      <w:r>
        <w:rPr>
          <w:rFonts w:ascii="Arial Black" w:hAnsi="Arial Black"/>
          <w:sz w:val="28"/>
          <w:szCs w:val="28"/>
        </w:rPr>
        <w:t>MA: FIRE CHIEF FINED $10,000 BY STATE ETHICS COMMISSION – HELPED GET HIS SON GET HIRED ON FD</w:t>
      </w:r>
    </w:p>
    <w:bookmarkEnd w:id="594"/>
    <w:p w14:paraId="0D3C3C4D" w14:textId="77777777" w:rsidR="002F610D" w:rsidRDefault="002F610D" w:rsidP="002F610D">
      <w:pPr>
        <w:rPr>
          <w:rFonts w:ascii="Times New Roman" w:hAnsi="Times New Roman"/>
          <w:sz w:val="24"/>
          <w:szCs w:val="24"/>
        </w:rPr>
      </w:pPr>
      <w:r>
        <w:rPr>
          <w:rFonts w:ascii="Times New Roman" w:hAnsi="Times New Roman"/>
          <w:sz w:val="24"/>
          <w:szCs w:val="24"/>
        </w:rPr>
        <w:t>On Aug. 5, 2021, the Massachusetts Ethics Commission issued a Press Release: “</w:t>
      </w:r>
      <w:r w:rsidRPr="001111FF">
        <w:rPr>
          <w:rFonts w:ascii="Times New Roman" w:hAnsi="Times New Roman"/>
          <w:sz w:val="24"/>
          <w:szCs w:val="24"/>
        </w:rPr>
        <w:t xml:space="preserve">Wellesley Fire Chief Richard DeLorie has admitted to violating the </w:t>
      </w:r>
      <w:proofErr w:type="gramStart"/>
      <w:r w:rsidRPr="001111FF">
        <w:rPr>
          <w:rFonts w:ascii="Times New Roman" w:hAnsi="Times New Roman"/>
          <w:sz w:val="24"/>
          <w:szCs w:val="24"/>
        </w:rPr>
        <w:t>conflict of interest</w:t>
      </w:r>
      <w:proofErr w:type="gramEnd"/>
      <w:r w:rsidRPr="001111FF">
        <w:rPr>
          <w:rFonts w:ascii="Times New Roman" w:hAnsi="Times New Roman"/>
          <w:sz w:val="24"/>
          <w:szCs w:val="24"/>
        </w:rPr>
        <w:t xml:space="preserve"> law by participating in the town’s hiring of his son as a </w:t>
      </w:r>
      <w:r w:rsidRPr="001111FF">
        <w:rPr>
          <w:rFonts w:ascii="Times New Roman" w:hAnsi="Times New Roman"/>
          <w:sz w:val="24"/>
          <w:szCs w:val="24"/>
        </w:rPr>
        <w:lastRenderedPageBreak/>
        <w:t>firefighter and using his official position to alter the hiring process to favor his son. DeLorie paid a $10,000 civil penalty, signed a disposition agreement approved by the State Ethics Commission, and waived his right to contest the Commission’s findings.</w:t>
      </w:r>
      <w:r>
        <w:rPr>
          <w:rFonts w:ascii="Times New Roman" w:hAnsi="Times New Roman"/>
          <w:sz w:val="24"/>
          <w:szCs w:val="24"/>
        </w:rPr>
        <w:t xml:space="preserve">”  </w:t>
      </w:r>
      <w:hyperlink r:id="rId2590" w:history="1">
        <w:r w:rsidRPr="00C10414">
          <w:rPr>
            <w:rStyle w:val="Hyperlink"/>
            <w:sz w:val="24"/>
            <w:szCs w:val="24"/>
          </w:rPr>
          <w:t>https://www.mass.gov/news/wellesley-fire-chief-richard-delorie-pays-10000-civil-penalty-for-violating-conflict-of-interest-law</w:t>
        </w:r>
      </w:hyperlink>
      <w:r>
        <w:rPr>
          <w:rFonts w:ascii="Times New Roman" w:hAnsi="Times New Roman"/>
          <w:sz w:val="24"/>
          <w:szCs w:val="24"/>
        </w:rPr>
        <w:t xml:space="preserve"> </w:t>
      </w:r>
    </w:p>
    <w:p w14:paraId="61292555" w14:textId="77777777" w:rsidR="002F610D" w:rsidRPr="001111FF" w:rsidRDefault="002F610D" w:rsidP="002F610D">
      <w:pPr>
        <w:spacing w:before="100" w:beforeAutospacing="1" w:after="100" w:afterAutospacing="1" w:line="240" w:lineRule="auto"/>
        <w:rPr>
          <w:rFonts w:ascii="Times New Roman" w:eastAsia="Times New Roman" w:hAnsi="Times New Roman"/>
          <w:b/>
          <w:bCs/>
          <w:sz w:val="24"/>
          <w:szCs w:val="24"/>
        </w:rPr>
      </w:pPr>
      <w:r w:rsidRPr="001111FF">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Recusal means </w:t>
      </w:r>
      <w:proofErr w:type="gramStart"/>
      <w:r>
        <w:rPr>
          <w:rFonts w:ascii="Times New Roman" w:eastAsia="Times New Roman" w:hAnsi="Times New Roman"/>
          <w:b/>
          <w:bCs/>
          <w:sz w:val="24"/>
          <w:szCs w:val="24"/>
        </w:rPr>
        <w:t>stay</w:t>
      </w:r>
      <w:proofErr w:type="gramEnd"/>
      <w:r>
        <w:rPr>
          <w:rFonts w:ascii="Times New Roman" w:eastAsia="Times New Roman" w:hAnsi="Times New Roman"/>
          <w:b/>
          <w:bCs/>
          <w:sz w:val="24"/>
          <w:szCs w:val="24"/>
        </w:rPr>
        <w:t xml:space="preserve"> completely out of the hiring process. </w:t>
      </w:r>
    </w:p>
    <w:p w14:paraId="028A2971" w14:textId="77777777" w:rsidR="002F610D" w:rsidRPr="00A76835" w:rsidRDefault="002F610D" w:rsidP="002F610D">
      <w:pPr>
        <w:pStyle w:val="NoSpacing"/>
        <w:ind w:left="720"/>
        <w:rPr>
          <w:rFonts w:ascii="Times New Roman" w:hAnsi="Times New Roman"/>
          <w:b/>
          <w:bCs/>
          <w:sz w:val="24"/>
          <w:szCs w:val="24"/>
        </w:rPr>
      </w:pPr>
      <w:r w:rsidRPr="005503CE">
        <w:rPr>
          <w:rFonts w:ascii="Times New Roman" w:eastAsia="Times New Roman" w:hAnsi="Times New Roman"/>
          <w:sz w:val="24"/>
          <w:szCs w:val="24"/>
        </w:rPr>
        <w:t xml:space="preserve">Note: See Aug. 5, </w:t>
      </w:r>
      <w:proofErr w:type="gramStart"/>
      <w:r w:rsidRPr="005503CE">
        <w:rPr>
          <w:rFonts w:ascii="Times New Roman" w:eastAsia="Times New Roman" w:hAnsi="Times New Roman"/>
          <w:sz w:val="24"/>
          <w:szCs w:val="24"/>
        </w:rPr>
        <w:t>2021</w:t>
      </w:r>
      <w:proofErr w:type="gramEnd"/>
      <w:r w:rsidRPr="005503CE">
        <w:rPr>
          <w:rFonts w:ascii="Times New Roman" w:eastAsia="Times New Roman" w:hAnsi="Times New Roman"/>
          <w:sz w:val="24"/>
          <w:szCs w:val="24"/>
        </w:rPr>
        <w:t xml:space="preserve"> article, </w:t>
      </w:r>
      <w:r w:rsidRPr="005503CE">
        <w:rPr>
          <w:rFonts w:ascii="Times New Roman" w:hAnsi="Times New Roman"/>
          <w:sz w:val="24"/>
          <w:szCs w:val="24"/>
        </w:rPr>
        <w:t xml:space="preserve">“Wellesley Fire Chief Richard DeLorie Fined $10,000 For Helping Son Get Hired </w:t>
      </w:r>
      <w:proofErr w:type="gramStart"/>
      <w:r w:rsidRPr="005503CE">
        <w:rPr>
          <w:rFonts w:ascii="Times New Roman" w:hAnsi="Times New Roman"/>
          <w:sz w:val="24"/>
          <w:szCs w:val="24"/>
        </w:rPr>
        <w:t>As</w:t>
      </w:r>
      <w:proofErr w:type="gramEnd"/>
      <w:r w:rsidRPr="005503CE">
        <w:rPr>
          <w:rFonts w:ascii="Times New Roman" w:hAnsi="Times New Roman"/>
          <w:sz w:val="24"/>
          <w:szCs w:val="24"/>
        </w:rPr>
        <w:t xml:space="preserve"> Firefighter.” </w:t>
      </w:r>
      <w:hyperlink r:id="rId2591" w:history="1">
        <w:r w:rsidRPr="005503CE">
          <w:rPr>
            <w:rStyle w:val="Hyperlink"/>
            <w:sz w:val="24"/>
            <w:szCs w:val="24"/>
          </w:rPr>
          <w:t>https://boston.cbslocal.com/2021/08/05/wellesley-fire-chief-richard-delorie-conflict-of-interest/</w:t>
        </w:r>
      </w:hyperlink>
      <w:r w:rsidRPr="005503CE">
        <w:rPr>
          <w:rFonts w:ascii="Times New Roman" w:hAnsi="Times New Roman"/>
          <w:sz w:val="24"/>
          <w:szCs w:val="24"/>
        </w:rPr>
        <w:t xml:space="preserve"> </w:t>
      </w:r>
    </w:p>
    <w:p w14:paraId="3E224028" w14:textId="77777777" w:rsidR="002F610D" w:rsidRDefault="002F610D" w:rsidP="00F326E5">
      <w:pPr>
        <w:pStyle w:val="NoSpacing"/>
        <w:rPr>
          <w:rFonts w:ascii="Arial Black" w:hAnsi="Arial Black"/>
          <w:sz w:val="24"/>
          <w:szCs w:val="24"/>
        </w:rPr>
      </w:pPr>
    </w:p>
    <w:p w14:paraId="1C711EB9" w14:textId="77777777" w:rsidR="002F610D" w:rsidRDefault="002F610D" w:rsidP="00F326E5">
      <w:pPr>
        <w:pStyle w:val="NoSpacing"/>
        <w:rPr>
          <w:rFonts w:ascii="Arial Black" w:hAnsi="Arial Black"/>
          <w:sz w:val="24"/>
          <w:szCs w:val="24"/>
        </w:rPr>
      </w:pPr>
    </w:p>
    <w:p w14:paraId="3D69809B" w14:textId="22CC8E05" w:rsidR="008A0333" w:rsidRDefault="008A0333" w:rsidP="00F326E5">
      <w:pPr>
        <w:pStyle w:val="NoSpacing"/>
        <w:rPr>
          <w:rFonts w:ascii="Arial Black" w:hAnsi="Arial Black"/>
          <w:sz w:val="24"/>
          <w:szCs w:val="24"/>
        </w:rPr>
      </w:pPr>
      <w:r>
        <w:rPr>
          <w:rFonts w:ascii="Arial Black" w:hAnsi="Arial Black"/>
          <w:sz w:val="24"/>
          <w:szCs w:val="24"/>
        </w:rPr>
        <w:t>16-54</w:t>
      </w:r>
    </w:p>
    <w:p w14:paraId="0E0D1BF4" w14:textId="27F61D02" w:rsidR="008A0333" w:rsidRDefault="008A0333" w:rsidP="00F326E5">
      <w:pPr>
        <w:pStyle w:val="NoSpacing"/>
        <w:rPr>
          <w:rFonts w:ascii="Arial Black" w:hAnsi="Arial Black"/>
          <w:sz w:val="24"/>
          <w:szCs w:val="24"/>
        </w:rPr>
      </w:pPr>
    </w:p>
    <w:p w14:paraId="17D74F00" w14:textId="77777777" w:rsidR="008A0333" w:rsidRDefault="008A0333" w:rsidP="008A0333">
      <w:pPr>
        <w:pStyle w:val="NoSpacing"/>
        <w:rPr>
          <w:rFonts w:ascii="Arial Black" w:hAnsi="Arial Black"/>
          <w:sz w:val="28"/>
          <w:szCs w:val="28"/>
        </w:rPr>
      </w:pPr>
      <w:r>
        <w:rPr>
          <w:rFonts w:ascii="Arial Black" w:hAnsi="Arial Black"/>
          <w:sz w:val="28"/>
          <w:szCs w:val="28"/>
        </w:rPr>
        <w:t>CA: UNION PRES. MEDICAL LEAVE BAD BACK - RAN 8-MILE RACE - FIRING TOO HARSH, RETALIATION – LIGHT DUTY</w:t>
      </w:r>
    </w:p>
    <w:p w14:paraId="39FE65F4" w14:textId="77777777" w:rsidR="008A0333" w:rsidRDefault="008A0333" w:rsidP="008A0333">
      <w:pPr>
        <w:pStyle w:val="p1"/>
      </w:pPr>
      <w:r>
        <w:t xml:space="preserve">On June 16, 2021, in </w:t>
      </w:r>
      <w:r w:rsidRPr="001A6E48">
        <w:rPr>
          <w:u w:val="single"/>
        </w:rPr>
        <w:t>City of South Pasadena v. Public Employment Relations Board (Owen Cliff Snider</w:t>
      </w:r>
      <w:r>
        <w:t xml:space="preserve">), the California Supreme Court declined to hear the City’s appeal; on Feb. 26, 2021 the Court of Appeals (3 to 0; unpublished decision), held for the firefighter, finding that while some discipline may have been appropriate, the Administrative Law Judge and the Public Employment Relations Board correctly held that firing was too harsh, and punishment appeared to be in retaliation for Union’s filing an unfair labor charge when FD ordered the firefighter back to work on a city light duty policy which was not in Collective Bargaining Agreement. </w:t>
      </w:r>
    </w:p>
    <w:p w14:paraId="6F9A08E5" w14:textId="77777777" w:rsidR="008A0333" w:rsidRDefault="008A0333" w:rsidP="008A0333">
      <w:pPr>
        <w:pStyle w:val="p1"/>
        <w:ind w:left="720" w:firstLine="60"/>
      </w:pPr>
      <w:r>
        <w:t xml:space="preserve">“Although we uphold PERB's finding that the City's decision to </w:t>
      </w:r>
      <w:r>
        <w:rPr>
          <w:i/>
          <w:iCs/>
        </w:rPr>
        <w:t>terminate</w:t>
      </w:r>
      <w:r>
        <w:t xml:space="preserve"> Snider was a form of retaliation for the exercise of his rights to bargain over the light-duty policy, our conclusion does not imply that the City could not have subjected Snider to </w:t>
      </w:r>
      <w:r>
        <w:rPr>
          <w:i/>
          <w:iCs/>
        </w:rPr>
        <w:t>some form</w:t>
      </w:r>
      <w:r>
        <w:t xml:space="preserve"> of discipline without running afoul of the MMBA.”  </w:t>
      </w:r>
      <w:hyperlink r:id="rId2592" w:history="1">
        <w:r w:rsidRPr="0004297D">
          <w:rPr>
            <w:rStyle w:val="Hyperlink"/>
          </w:rPr>
          <w:t>https://appellatecases.courtinfo.ca.gov/search/case/disposition.cfm?dist=0&amp;doc_id=2345572&amp;doc_no=S268086&amp;request_token=NiIwLSEmTkw5W1BRSSItTENJQEg0UDxTJSBeRzJSUCAgCg%3D%3D</w:t>
        </w:r>
      </w:hyperlink>
      <w:r>
        <w:t xml:space="preserve"> .  </w:t>
      </w:r>
    </w:p>
    <w:p w14:paraId="2A2E4C80" w14:textId="77777777" w:rsidR="008A0333" w:rsidRPr="00A03FED" w:rsidRDefault="008A0333" w:rsidP="008A0333">
      <w:pPr>
        <w:pStyle w:val="NoSpacing"/>
        <w:rPr>
          <w:rFonts w:ascii="Times New Roman" w:hAnsi="Times New Roman"/>
          <w:b/>
          <w:bCs/>
          <w:sz w:val="24"/>
          <w:szCs w:val="24"/>
        </w:rPr>
      </w:pPr>
      <w:r w:rsidRPr="00A03FED">
        <w:rPr>
          <w:rFonts w:ascii="Times New Roman" w:hAnsi="Times New Roman"/>
          <w:b/>
          <w:bCs/>
          <w:sz w:val="24"/>
          <w:szCs w:val="24"/>
        </w:rPr>
        <w:t xml:space="preserve">Legal Lesson Learned: </w:t>
      </w:r>
      <w:r>
        <w:rPr>
          <w:rFonts w:ascii="Times New Roman" w:hAnsi="Times New Roman"/>
          <w:b/>
          <w:bCs/>
          <w:sz w:val="24"/>
          <w:szCs w:val="24"/>
        </w:rPr>
        <w:t xml:space="preserve"> Fire Department policy on injury leave should clearly discuss limitations physical exercise and other strenuous activities; a light duty policy is an effective management tool to encourage return to full duty. </w:t>
      </w:r>
    </w:p>
    <w:p w14:paraId="4D39852B" w14:textId="77777777" w:rsidR="008A0333" w:rsidRDefault="008A0333" w:rsidP="008A0333">
      <w:pPr>
        <w:pStyle w:val="p1"/>
        <w:ind w:left="720"/>
      </w:pPr>
      <w:r>
        <w:t xml:space="preserve">Calif. Supreme Court order: </w:t>
      </w:r>
      <w:hyperlink r:id="rId2593" w:history="1">
        <w:r w:rsidRPr="002625ED">
          <w:rPr>
            <w:rStyle w:val="Hyperlink"/>
          </w:rPr>
          <w:t>https://appellatecases.courtinfo.ca.gov/search/case/disposition.cfm?dist=0&amp;doc_id=2345572&amp;doc_no=S268086&amp;request_token=NiIwLSEmTkw5W1BRSSItTENJQEg0UDxTJSBeRzJSUCAgCg%3D%3D</w:t>
        </w:r>
      </w:hyperlink>
      <w:r>
        <w:t xml:space="preserve"> </w:t>
      </w:r>
    </w:p>
    <w:p w14:paraId="32B6A514" w14:textId="77777777" w:rsidR="008A0333" w:rsidRPr="00A03FED" w:rsidRDefault="008A0333" w:rsidP="008A0333">
      <w:pPr>
        <w:pStyle w:val="p1"/>
        <w:ind w:left="720"/>
      </w:pPr>
      <w:r w:rsidRPr="00A03FED">
        <w:t xml:space="preserve">See June 21, </w:t>
      </w:r>
      <w:proofErr w:type="gramStart"/>
      <w:r w:rsidRPr="00A03FED">
        <w:t>2021</w:t>
      </w:r>
      <w:proofErr w:type="gramEnd"/>
      <w:r w:rsidRPr="00A03FED">
        <w:t xml:space="preserve"> article: “The City of South Pasadena illegally dismissed a firefighter | Supreme Court denies review | The South Pasadena; </w:t>
      </w:r>
      <w:hyperlink r:id="rId2594" w:history="1">
        <w:r w:rsidRPr="00A03FED">
          <w:rPr>
            <w:rStyle w:val="Hyperlink"/>
          </w:rPr>
          <w:t>https://laborlawlosangeles.com/the-city-of-south-pasadena-illegally-dismissed-a-firefighter-supreme-court-denies-review-the-south-pasadenan/</w:t>
        </w:r>
      </w:hyperlink>
      <w:r w:rsidRPr="00A03FED">
        <w:t xml:space="preserve"> </w:t>
      </w:r>
    </w:p>
    <w:p w14:paraId="23E7BDAB" w14:textId="77777777" w:rsidR="008A0333" w:rsidRPr="003F349F" w:rsidRDefault="008A0333" w:rsidP="008A0333">
      <w:pPr>
        <w:pStyle w:val="p1"/>
        <w:ind w:left="720"/>
      </w:pPr>
      <w:r>
        <w:t xml:space="preserve">See IAFF: </w:t>
      </w:r>
      <w:r w:rsidRPr="003D5D8C">
        <w:rPr>
          <w:rStyle w:val="Strong"/>
        </w:rPr>
        <w:t>“Owen ‘Cliff’ Snider v. City of South Pasadena, California -</w:t>
      </w:r>
      <w:r>
        <w:rPr>
          <w:rStyle w:val="Strong"/>
        </w:rPr>
        <w:t xml:space="preserve"> </w:t>
      </w:r>
      <w:r w:rsidRPr="00A03FED">
        <w:rPr>
          <w:b/>
          <w:bCs/>
        </w:rPr>
        <w:br/>
      </w:r>
      <w:r>
        <w:t>“</w:t>
      </w:r>
      <w:r w:rsidRPr="00A03FED">
        <w:t xml:space="preserve">In this Guardian Policy case, the City of South Pasadena terminated Local 3657 President Cliff Snider, in retaliation for his union leadership activities. President Snider was enforcing the right to bargain over changes in working conditions, first by requesting to bargain, and later by filing an Unfair Labor Practice (ULP) charge over the City’s refusal to bargain. After an earlier back injury, and while he was on paid sick leave, Snider participated in an 8-mile </w:t>
      </w:r>
      <w:r>
        <w:t>‘</w:t>
      </w:r>
      <w:r w:rsidRPr="00A03FED">
        <w:t>Spartan Race.</w:t>
      </w:r>
      <w:r>
        <w:t>’</w:t>
      </w:r>
      <w:r w:rsidRPr="00A03FED">
        <w:t xml:space="preserve"> Chief Mario Rueda terminated </w:t>
      </w:r>
      <w:r w:rsidRPr="00A03FED">
        <w:lastRenderedPageBreak/>
        <w:t>Snider on the asserted grounds of dishonesty, abuse of sick leave, bad faith, and failure to notify a supervisor that he felt well enough to return to duty.</w:t>
      </w:r>
      <w:r>
        <w:t>”</w:t>
      </w:r>
      <w:r w:rsidRPr="00A03FED">
        <w:t xml:space="preserve"> </w:t>
      </w:r>
      <w:hyperlink r:id="rId2595" w:history="1">
        <w:r w:rsidRPr="00A03FED">
          <w:rPr>
            <w:rStyle w:val="Hyperlink"/>
          </w:rPr>
          <w:t>https://convention2018.iaff.org/general-counsels-report/</w:t>
        </w:r>
      </w:hyperlink>
      <w:r w:rsidRPr="00A03FED">
        <w:t xml:space="preserve"> </w:t>
      </w:r>
    </w:p>
    <w:p w14:paraId="27C3A680" w14:textId="77777777" w:rsidR="008A0333" w:rsidRDefault="008A0333" w:rsidP="00F326E5">
      <w:pPr>
        <w:pStyle w:val="NoSpacing"/>
        <w:rPr>
          <w:rFonts w:ascii="Arial Black" w:hAnsi="Arial Black"/>
          <w:sz w:val="24"/>
          <w:szCs w:val="24"/>
        </w:rPr>
      </w:pPr>
    </w:p>
    <w:p w14:paraId="6D530949" w14:textId="77777777" w:rsidR="008A0333" w:rsidRDefault="008A0333" w:rsidP="00F326E5">
      <w:pPr>
        <w:pStyle w:val="NoSpacing"/>
        <w:rPr>
          <w:rFonts w:ascii="Arial Black" w:hAnsi="Arial Black"/>
          <w:sz w:val="24"/>
          <w:szCs w:val="24"/>
        </w:rPr>
      </w:pPr>
    </w:p>
    <w:p w14:paraId="1F020492" w14:textId="1377931A" w:rsidR="00B03268" w:rsidRPr="00B03268" w:rsidRDefault="00B03268" w:rsidP="00F326E5">
      <w:pPr>
        <w:pStyle w:val="NoSpacing"/>
        <w:rPr>
          <w:rFonts w:ascii="Times New Roman" w:hAnsi="Times New Roman"/>
          <w:sz w:val="24"/>
          <w:szCs w:val="24"/>
        </w:rPr>
      </w:pPr>
      <w:r>
        <w:rPr>
          <w:rFonts w:ascii="Arial Black" w:hAnsi="Arial Black"/>
          <w:sz w:val="24"/>
          <w:szCs w:val="24"/>
        </w:rPr>
        <w:t xml:space="preserve">16-53 </w:t>
      </w:r>
      <w:r>
        <w:rPr>
          <w:rFonts w:ascii="Times New Roman" w:hAnsi="Times New Roman"/>
          <w:sz w:val="24"/>
          <w:szCs w:val="24"/>
        </w:rPr>
        <w:t>[also filed, Chap. 11]</w:t>
      </w:r>
    </w:p>
    <w:p w14:paraId="46BA1FC3" w14:textId="6D6145CB" w:rsidR="00B03268" w:rsidRDefault="00B03268" w:rsidP="00F326E5">
      <w:pPr>
        <w:pStyle w:val="NoSpacing"/>
        <w:rPr>
          <w:rFonts w:ascii="Arial Black" w:hAnsi="Arial Black"/>
          <w:sz w:val="24"/>
          <w:szCs w:val="24"/>
        </w:rPr>
      </w:pPr>
    </w:p>
    <w:p w14:paraId="140497D3" w14:textId="77777777" w:rsidR="00B03268" w:rsidRPr="003A1BB2" w:rsidRDefault="00B03268" w:rsidP="00B03268">
      <w:pPr>
        <w:pStyle w:val="NoSpacing"/>
        <w:rPr>
          <w:rFonts w:ascii="Arial Black" w:hAnsi="Arial Black"/>
          <w:sz w:val="28"/>
          <w:szCs w:val="28"/>
        </w:rPr>
      </w:pPr>
      <w:r>
        <w:rPr>
          <w:rFonts w:ascii="Arial Black" w:hAnsi="Arial Black"/>
          <w:sz w:val="28"/>
          <w:szCs w:val="28"/>
        </w:rPr>
        <w:t>NV: AT-WILL HOSPITAL PARAMEDIC - TERMINATED WITHIN 1-YR PROBATIONARY PERIOD – LAWSUIT DISMISSED</w:t>
      </w:r>
    </w:p>
    <w:p w14:paraId="0F412CC2" w14:textId="77777777" w:rsidR="00B03268" w:rsidRDefault="00B03268" w:rsidP="00B03268">
      <w:pPr>
        <w:pStyle w:val="NoSpacing"/>
      </w:pPr>
    </w:p>
    <w:p w14:paraId="525EBD4E" w14:textId="77777777" w:rsidR="00B03268" w:rsidRPr="00D106AE" w:rsidRDefault="00B03268" w:rsidP="00B03268">
      <w:pPr>
        <w:pStyle w:val="NoSpacing"/>
        <w:rPr>
          <w:rFonts w:ascii="Times New Roman" w:hAnsi="Times New Roman"/>
          <w:sz w:val="24"/>
          <w:szCs w:val="24"/>
        </w:rPr>
      </w:pPr>
      <w:r>
        <w:rPr>
          <w:rFonts w:ascii="Times New Roman" w:hAnsi="Times New Roman"/>
          <w:sz w:val="24"/>
          <w:szCs w:val="24"/>
        </w:rPr>
        <w:t xml:space="preserve">On May 13, 2021, in </w:t>
      </w:r>
      <w:r w:rsidRPr="00D106AE">
        <w:rPr>
          <w:rFonts w:ascii="Times New Roman" w:hAnsi="Times New Roman"/>
          <w:sz w:val="24"/>
          <w:szCs w:val="24"/>
          <w:u w:val="single"/>
        </w:rPr>
        <w:t>Todd P. Evans v. Lander County Hospital District, d/b/a Battle Mountain General Hospital</w:t>
      </w:r>
      <w:r w:rsidRPr="00D106AE">
        <w:rPr>
          <w:rFonts w:ascii="Times New Roman" w:hAnsi="Times New Roman"/>
          <w:sz w:val="24"/>
          <w:szCs w:val="24"/>
        </w:rPr>
        <w:t xml:space="preserve">, U.S. District Court Judge Larry R. Hicks, U.S. District Court, District of Nevada, </w:t>
      </w:r>
      <w:r>
        <w:rPr>
          <w:rFonts w:ascii="Times New Roman" w:hAnsi="Times New Roman"/>
          <w:sz w:val="24"/>
          <w:szCs w:val="24"/>
        </w:rPr>
        <w:t>held that the paramedic did not file or otherwise orally make a complaint of FLSA violation, and he was an at-will employee that can be terminated without cause by the hospital.</w:t>
      </w:r>
    </w:p>
    <w:p w14:paraId="17914755" w14:textId="77777777" w:rsidR="00B03268" w:rsidRDefault="00B03268" w:rsidP="00B03268">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r w:rsidRPr="003A1BB2">
        <w:rPr>
          <w:rFonts w:ascii="Times New Roman" w:eastAsia="Times New Roman" w:hAnsi="Times New Roman"/>
          <w:sz w:val="24"/>
          <w:szCs w:val="24"/>
        </w:rPr>
        <w:t>Again, based on Evans' testimony, the Court finds that Evans' statements during the April 2019 meeting do not constitute filling a complaint with the BMGH as contemplated by the FLSA anti-retaliation statute. The content of this meeting was the financial and economic status of the EMS Department and was focused on how Evans' suggested alterations to the department, including transitioning the volunteer EMTs to paid staff, would make the department more fiscally responsible and increase staff. While Evans did address the FLSA and again suggested that the volunteer program may be violating the federal statute, he did not specify an illegality related to the program and did not provide Trustee Roberts with any documentation related to the FLSA. A reasonable employer would have seen Evans' statements as an attempt to recruit a board member to support his budget proposal, not an assertion of the employment rights of the volunteer EMTs in the program. Accordingly, his statements cannot be considered a filed complaint under the FLSA anti-retaliation statute.</w:t>
      </w:r>
    </w:p>
    <w:p w14:paraId="3B6A543B" w14:textId="77777777" w:rsidR="00B03268" w:rsidRDefault="00B03268" w:rsidP="00B03268">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p>
    <w:p w14:paraId="792E38CB" w14:textId="77777777" w:rsidR="00B03268" w:rsidRPr="003A1BB2" w:rsidRDefault="00B03268" w:rsidP="00B03268">
      <w:pPr>
        <w:spacing w:before="100" w:beforeAutospacing="1" w:after="100" w:afterAutospacing="1"/>
        <w:ind w:left="720"/>
        <w:rPr>
          <w:rFonts w:ascii="Times New Roman" w:eastAsia="Times New Roman" w:hAnsi="Times New Roman"/>
          <w:sz w:val="24"/>
          <w:szCs w:val="24"/>
        </w:rPr>
      </w:pPr>
      <w:r w:rsidRPr="00D106AE">
        <w:rPr>
          <w:rFonts w:ascii="Times New Roman" w:hAnsi="Times New Roman"/>
          <w:sz w:val="24"/>
          <w:szCs w:val="24"/>
        </w:rPr>
        <w:t xml:space="preserve">Evans' fourth cause of action alleges Defendant breached its oral employment contract in which BMGH agreed to pay Evans a salary of $115,000.00 per year plus a travel stipend of no more than $500.00 per month. ECF No. 1 ¶¶ 55-58. Defendant argues that it could not have breached an employment contract that did not exist as Evans was an at-will employee. Having reviewed the record, there can be no dispute that Evans was an at-will </w:t>
      </w:r>
      <w:proofErr w:type="gramStart"/>
      <w:r w:rsidRPr="00D106AE">
        <w:rPr>
          <w:rFonts w:ascii="Times New Roman" w:hAnsi="Times New Roman"/>
          <w:sz w:val="24"/>
          <w:szCs w:val="24"/>
        </w:rPr>
        <w:t>employee.</w:t>
      </w:r>
      <w:r>
        <w:rPr>
          <w:rFonts w:ascii="Times New Roman" w:hAnsi="Times New Roman"/>
          <w:sz w:val="24"/>
          <w:szCs w:val="24"/>
        </w:rPr>
        <w:t>”</w:t>
      </w:r>
      <w:proofErr w:type="gramEnd"/>
      <w:r>
        <w:rPr>
          <w:rFonts w:ascii="Times New Roman" w:hAnsi="Times New Roman"/>
          <w:sz w:val="24"/>
          <w:szCs w:val="24"/>
        </w:rPr>
        <w:t xml:space="preserve"> </w:t>
      </w:r>
      <w:hyperlink r:id="rId2596" w:history="1">
        <w:r w:rsidRPr="00C724D5">
          <w:rPr>
            <w:rStyle w:val="Hyperlink"/>
            <w:sz w:val="24"/>
            <w:szCs w:val="24"/>
          </w:rPr>
          <w:t>https://www.leagle.com/decision/infdco20210518900</w:t>
        </w:r>
      </w:hyperlink>
      <w:r>
        <w:rPr>
          <w:rFonts w:ascii="Times New Roman" w:eastAsia="Times New Roman" w:hAnsi="Times New Roman"/>
          <w:sz w:val="24"/>
          <w:szCs w:val="24"/>
        </w:rPr>
        <w:t xml:space="preserve"> </w:t>
      </w:r>
    </w:p>
    <w:p w14:paraId="46248971" w14:textId="77777777" w:rsidR="00B03268" w:rsidRPr="00E7248E" w:rsidRDefault="00B03268" w:rsidP="00B03268">
      <w:pPr>
        <w:pStyle w:val="NormalWeb"/>
        <w:rPr>
          <w:b/>
          <w:bCs/>
        </w:rPr>
      </w:pPr>
      <w:r w:rsidRPr="00E7248E">
        <w:rPr>
          <w:b/>
          <w:bCs/>
        </w:rPr>
        <w:t>Legal Lesson Learned:</w:t>
      </w:r>
      <w:r>
        <w:rPr>
          <w:b/>
          <w:bCs/>
        </w:rPr>
        <w:t xml:space="preserve"> At will employees can be terminated, with or without cause.  </w:t>
      </w:r>
    </w:p>
    <w:p w14:paraId="47BF614D" w14:textId="77777777" w:rsidR="00B03268" w:rsidRDefault="00B03268" w:rsidP="00F326E5">
      <w:pPr>
        <w:pStyle w:val="NoSpacing"/>
        <w:rPr>
          <w:rFonts w:ascii="Arial Black" w:hAnsi="Arial Black"/>
          <w:sz w:val="24"/>
          <w:szCs w:val="24"/>
        </w:rPr>
      </w:pPr>
    </w:p>
    <w:p w14:paraId="6D399EB4" w14:textId="77777777" w:rsidR="00B03268" w:rsidRDefault="00B03268" w:rsidP="00F326E5">
      <w:pPr>
        <w:pStyle w:val="NoSpacing"/>
        <w:rPr>
          <w:rFonts w:ascii="Arial Black" w:hAnsi="Arial Black"/>
          <w:sz w:val="24"/>
          <w:szCs w:val="24"/>
        </w:rPr>
      </w:pPr>
    </w:p>
    <w:p w14:paraId="5A22BC84" w14:textId="2B761CBF" w:rsidR="0066298F" w:rsidRDefault="00EC1BFB" w:rsidP="00F326E5">
      <w:pPr>
        <w:pStyle w:val="NoSpacing"/>
        <w:rPr>
          <w:rFonts w:ascii="Arial Black" w:hAnsi="Arial Black"/>
          <w:sz w:val="24"/>
          <w:szCs w:val="24"/>
        </w:rPr>
      </w:pPr>
      <w:r>
        <w:rPr>
          <w:rFonts w:ascii="Arial Black" w:hAnsi="Arial Black"/>
          <w:sz w:val="24"/>
          <w:szCs w:val="24"/>
        </w:rPr>
        <w:t>16-52</w:t>
      </w:r>
    </w:p>
    <w:p w14:paraId="737DA396" w14:textId="68512AB5" w:rsidR="00EC1BFB" w:rsidRDefault="00EC1BFB" w:rsidP="00F326E5">
      <w:pPr>
        <w:pStyle w:val="NoSpacing"/>
        <w:rPr>
          <w:rFonts w:ascii="Arial Black" w:hAnsi="Arial Black"/>
          <w:sz w:val="24"/>
          <w:szCs w:val="24"/>
        </w:rPr>
      </w:pPr>
    </w:p>
    <w:p w14:paraId="735C93CC" w14:textId="77777777" w:rsidR="00EC1BFB" w:rsidRPr="00207CF4" w:rsidRDefault="00EC1BFB" w:rsidP="00EC1BFB">
      <w:pPr>
        <w:pStyle w:val="NoSpacing"/>
        <w:rPr>
          <w:rFonts w:ascii="Arial Black" w:hAnsi="Arial Black"/>
          <w:sz w:val="28"/>
          <w:szCs w:val="28"/>
        </w:rPr>
      </w:pPr>
      <w:r>
        <w:rPr>
          <w:rFonts w:ascii="Arial Black" w:hAnsi="Arial Black"/>
          <w:sz w:val="28"/>
          <w:szCs w:val="28"/>
        </w:rPr>
        <w:t>OH: ALLEGED TREATENING COMMENTS FIRE CHIEF – CITY LAW NO VIOL - UNION NO RIGHT 3</w:t>
      </w:r>
      <w:r w:rsidRPr="00CF4AA5">
        <w:rPr>
          <w:rFonts w:ascii="Arial Black" w:hAnsi="Arial Black"/>
          <w:sz w:val="28"/>
          <w:szCs w:val="28"/>
          <w:vertAlign w:val="superscript"/>
        </w:rPr>
        <w:t>rd</w:t>
      </w:r>
      <w:r>
        <w:rPr>
          <w:rFonts w:ascii="Arial Black" w:hAnsi="Arial Black"/>
          <w:sz w:val="28"/>
          <w:szCs w:val="28"/>
        </w:rPr>
        <w:t xml:space="preserve"> PARTY INVESTIGATOR </w:t>
      </w:r>
    </w:p>
    <w:p w14:paraId="419EEDEC" w14:textId="77777777" w:rsidR="00EC1BFB" w:rsidRDefault="00EC1BFB" w:rsidP="00EC1BFB">
      <w:pPr>
        <w:pStyle w:val="NoSpacing"/>
      </w:pPr>
    </w:p>
    <w:p w14:paraId="091A5778" w14:textId="77777777" w:rsidR="00EC1BFB" w:rsidRDefault="00EC1BFB" w:rsidP="00EC1BFB">
      <w:pPr>
        <w:pStyle w:val="NoSpacing"/>
        <w:rPr>
          <w:rFonts w:ascii="Times New Roman" w:hAnsi="Times New Roman"/>
          <w:sz w:val="24"/>
          <w:szCs w:val="24"/>
        </w:rPr>
      </w:pPr>
      <w:r>
        <w:rPr>
          <w:rFonts w:ascii="Times New Roman" w:hAnsi="Times New Roman"/>
          <w:sz w:val="24"/>
          <w:szCs w:val="24"/>
        </w:rPr>
        <w:lastRenderedPageBreak/>
        <w:t xml:space="preserve">On Feb. 23, 2021, in </w:t>
      </w:r>
      <w:r w:rsidRPr="00207CF4">
        <w:rPr>
          <w:rFonts w:ascii="Times New Roman" w:hAnsi="Times New Roman"/>
          <w:sz w:val="24"/>
          <w:szCs w:val="24"/>
          <w:u w:val="single"/>
        </w:rPr>
        <w:t>State Ex Rel. Youngstown Professional Firefighters IAFF Local 312, et al. v. City of Youngstown</w:t>
      </w:r>
      <w:r>
        <w:rPr>
          <w:rFonts w:ascii="Times New Roman" w:hAnsi="Times New Roman"/>
          <w:sz w:val="24"/>
          <w:szCs w:val="24"/>
        </w:rPr>
        <w:t xml:space="preserve">, the Court of Appeals of Ohio, Seventh Appellate District (Mahoning County), 2021 Ohio 539, held (3 to 0) that the union has no clear legal right to the appointment of an independent, neutral investigator, and therefore the Court dismissed the union’s original action [did not go to a trial court] seeking a “Writ of Mandamus.”  The Fire Chief at a FD meeting announced the </w:t>
      </w:r>
      <w:proofErr w:type="gramStart"/>
      <w:r>
        <w:rPr>
          <w:rFonts w:ascii="Times New Roman" w:hAnsi="Times New Roman"/>
          <w:sz w:val="24"/>
          <w:szCs w:val="24"/>
        </w:rPr>
        <w:t>City</w:t>
      </w:r>
      <w:proofErr w:type="gramEnd"/>
      <w:r>
        <w:rPr>
          <w:rFonts w:ascii="Times New Roman" w:hAnsi="Times New Roman"/>
          <w:sz w:val="24"/>
          <w:szCs w:val="24"/>
        </w:rPr>
        <w:t xml:space="preserve"> was reducing Battalion Chiefs from six to four, and a firefighter shouted, </w:t>
      </w:r>
      <w:r w:rsidRPr="007327A3">
        <w:rPr>
          <w:rFonts w:ascii="Times New Roman" w:eastAsia="Times New Roman" w:hAnsi="Times New Roman"/>
          <w:sz w:val="24"/>
          <w:szCs w:val="24"/>
        </w:rPr>
        <w:t>"My mom knows every judge and</w:t>
      </w:r>
      <w:r>
        <w:rPr>
          <w:rFonts w:ascii="Times New Roman" w:eastAsia="Times New Roman" w:hAnsi="Times New Roman"/>
          <w:sz w:val="24"/>
          <w:szCs w:val="24"/>
        </w:rPr>
        <w:t xml:space="preserve"> </w:t>
      </w:r>
      <w:r w:rsidRPr="007327A3">
        <w:rPr>
          <w:rFonts w:ascii="Times New Roman" w:eastAsia="Times New Roman" w:hAnsi="Times New Roman"/>
          <w:sz w:val="24"/>
          <w:szCs w:val="24"/>
        </w:rPr>
        <w:t xml:space="preserve">every attorney and if I get </w:t>
      </w:r>
      <w:proofErr w:type="gramStart"/>
      <w:r w:rsidRPr="007327A3">
        <w:rPr>
          <w:rFonts w:ascii="Times New Roman" w:eastAsia="Times New Roman" w:hAnsi="Times New Roman"/>
          <w:sz w:val="24"/>
          <w:szCs w:val="24"/>
        </w:rPr>
        <w:t>hurt</w:t>
      </w:r>
      <w:proofErr w:type="gramEnd"/>
      <w:r w:rsidRPr="007327A3">
        <w:rPr>
          <w:rFonts w:ascii="Times New Roman" w:eastAsia="Times New Roman" w:hAnsi="Times New Roman"/>
          <w:sz w:val="24"/>
          <w:szCs w:val="24"/>
        </w:rPr>
        <w:t xml:space="preserve"> I'm going to own you, the fucking Mayor and the fucking City." </w:t>
      </w:r>
      <w:r>
        <w:rPr>
          <w:rFonts w:ascii="Times New Roman" w:eastAsia="Times New Roman" w:hAnsi="Times New Roman"/>
          <w:sz w:val="24"/>
          <w:szCs w:val="24"/>
        </w:rPr>
        <w:t xml:space="preserve"> The firefighter asked next day to meet with the Chief to apologize.  The Chief </w:t>
      </w:r>
      <w:proofErr w:type="gramStart"/>
      <w:r>
        <w:rPr>
          <w:rFonts w:ascii="Times New Roman" w:eastAsia="Times New Roman" w:hAnsi="Times New Roman"/>
          <w:sz w:val="24"/>
          <w:szCs w:val="24"/>
        </w:rPr>
        <w:t>declined, and</w:t>
      </w:r>
      <w:proofErr w:type="gramEnd"/>
      <w:r>
        <w:rPr>
          <w:rFonts w:ascii="Times New Roman" w:eastAsia="Times New Roman" w:hAnsi="Times New Roman"/>
          <w:sz w:val="24"/>
          <w:szCs w:val="24"/>
        </w:rPr>
        <w:t xml:space="preserve"> later explained at the firefighter’s </w:t>
      </w:r>
      <w:proofErr w:type="spellStart"/>
      <w:r>
        <w:rPr>
          <w:rFonts w:ascii="Times New Roman" w:eastAsia="Times New Roman" w:hAnsi="Times New Roman"/>
          <w:sz w:val="24"/>
          <w:szCs w:val="24"/>
        </w:rPr>
        <w:t>predisciplinary</w:t>
      </w:r>
      <w:proofErr w:type="spellEnd"/>
      <w:r>
        <w:rPr>
          <w:rFonts w:ascii="Times New Roman" w:eastAsia="Times New Roman" w:hAnsi="Times New Roman"/>
          <w:sz w:val="24"/>
          <w:szCs w:val="24"/>
        </w:rPr>
        <w:t xml:space="preserve"> meeting that he declined to meet since he was upset and might </w:t>
      </w:r>
      <w:r w:rsidRPr="003C2A4F">
        <w:rPr>
          <w:rFonts w:ascii="Times New Roman" w:hAnsi="Times New Roman"/>
          <w:sz w:val="24"/>
          <w:szCs w:val="24"/>
        </w:rPr>
        <w:t>"put him through a wall."</w:t>
      </w:r>
    </w:p>
    <w:p w14:paraId="06F5653D" w14:textId="77777777" w:rsidR="00EC1BFB" w:rsidRDefault="00EC1BFB" w:rsidP="00EC1BFB">
      <w:pPr>
        <w:pStyle w:val="NoSpacing"/>
        <w:rPr>
          <w:rFonts w:ascii="Times New Roman" w:hAnsi="Times New Roman"/>
          <w:sz w:val="24"/>
          <w:szCs w:val="24"/>
        </w:rPr>
      </w:pPr>
    </w:p>
    <w:p w14:paraId="0F397921" w14:textId="77777777" w:rsidR="00EC1BFB" w:rsidRPr="003C2A4F" w:rsidRDefault="00EC1BFB" w:rsidP="00EC1BFB">
      <w:pPr>
        <w:pStyle w:val="NoSpacing"/>
        <w:ind w:left="720"/>
        <w:rPr>
          <w:rFonts w:ascii="Times New Roman" w:eastAsia="Times New Roman" w:hAnsi="Times New Roman"/>
          <w:b/>
          <w:bCs/>
          <w:sz w:val="24"/>
          <w:szCs w:val="24"/>
        </w:rPr>
      </w:pPr>
      <w:r>
        <w:rPr>
          <w:rFonts w:ascii="Times New Roman" w:hAnsi="Times New Roman"/>
          <w:sz w:val="24"/>
          <w:szCs w:val="24"/>
        </w:rPr>
        <w:t>“</w:t>
      </w:r>
      <w:r w:rsidRPr="003C2A4F">
        <w:rPr>
          <w:rFonts w:ascii="Times New Roman" w:hAnsi="Times New Roman"/>
          <w:sz w:val="24"/>
          <w:szCs w:val="24"/>
        </w:rPr>
        <w:t>In summary, Relators do not have a clear legal right pursuant to section 163.63 of the Youngstown Codified Ordinances (</w:t>
      </w:r>
      <w:r>
        <w:rPr>
          <w:rFonts w:ascii="Times New Roman" w:hAnsi="Times New Roman"/>
          <w:sz w:val="24"/>
          <w:szCs w:val="24"/>
        </w:rPr>
        <w:t>‘</w:t>
      </w:r>
      <w:r w:rsidRPr="003C2A4F">
        <w:rPr>
          <w:rFonts w:ascii="Times New Roman" w:hAnsi="Times New Roman"/>
          <w:sz w:val="24"/>
          <w:szCs w:val="24"/>
        </w:rPr>
        <w:t>YCO</w:t>
      </w:r>
      <w:r>
        <w:rPr>
          <w:rFonts w:ascii="Times New Roman" w:hAnsi="Times New Roman"/>
          <w:sz w:val="24"/>
          <w:szCs w:val="24"/>
        </w:rPr>
        <w:t>’</w:t>
      </w:r>
      <w:r w:rsidRPr="003C2A4F">
        <w:rPr>
          <w:rFonts w:ascii="Times New Roman" w:hAnsi="Times New Roman"/>
          <w:sz w:val="24"/>
          <w:szCs w:val="24"/>
        </w:rPr>
        <w:t>) to the appointment of an independent, neutral investigator, and the City does not have a clear legal duty pursuant to YCO 163.63 to appoint such an investigator. Accordingly, the writ, to the extent that it is predicated upon the appointment of an independent, neutral investigator, is dismissed.</w:t>
      </w:r>
      <w:r>
        <w:rPr>
          <w:rFonts w:ascii="Times New Roman" w:hAnsi="Times New Roman"/>
          <w:sz w:val="24"/>
          <w:szCs w:val="24"/>
        </w:rPr>
        <w:t xml:space="preserve">” </w:t>
      </w:r>
      <w:hyperlink r:id="rId2597" w:history="1">
        <w:r w:rsidRPr="00D60E44">
          <w:rPr>
            <w:rStyle w:val="Hyperlink"/>
            <w:sz w:val="24"/>
            <w:szCs w:val="24"/>
          </w:rPr>
          <w:t>https://public.fastcase.com/Wl%2B2t%2BeVuI35%2FN70vAMFZry7Wdfw%2FJOcYD0w2Kcl2Q1FxaIYO1NAtHxZOlhNOguL</w:t>
        </w:r>
      </w:hyperlink>
      <w:r>
        <w:rPr>
          <w:rFonts w:ascii="Times New Roman" w:hAnsi="Times New Roman"/>
          <w:sz w:val="24"/>
          <w:szCs w:val="24"/>
        </w:rPr>
        <w:t xml:space="preserve"> </w:t>
      </w:r>
    </w:p>
    <w:p w14:paraId="0CE04CAE" w14:textId="77777777" w:rsidR="00EC1BFB" w:rsidRDefault="00EC1BFB" w:rsidP="00F326E5">
      <w:pPr>
        <w:pStyle w:val="NoSpacing"/>
        <w:rPr>
          <w:rFonts w:ascii="Arial Black" w:hAnsi="Arial Black"/>
          <w:sz w:val="24"/>
          <w:szCs w:val="24"/>
        </w:rPr>
      </w:pPr>
    </w:p>
    <w:p w14:paraId="16BD07C0" w14:textId="77777777" w:rsidR="00EC1BFB" w:rsidRDefault="00EC1BFB" w:rsidP="00EC1BFB">
      <w:pPr>
        <w:spacing w:before="100" w:beforeAutospacing="1" w:after="100" w:afterAutospacing="1" w:line="240" w:lineRule="auto"/>
        <w:rPr>
          <w:rFonts w:ascii="Times New Roman" w:hAnsi="Times New Roman"/>
          <w:b/>
          <w:bCs/>
          <w:sz w:val="24"/>
          <w:szCs w:val="24"/>
        </w:rPr>
      </w:pPr>
      <w:bookmarkStart w:id="595" w:name="_Hlk66950362"/>
      <w:r w:rsidRPr="00DA2B2C">
        <w:rPr>
          <w:rFonts w:ascii="Times New Roman" w:hAnsi="Times New Roman"/>
          <w:b/>
          <w:bCs/>
          <w:sz w:val="24"/>
          <w:szCs w:val="24"/>
        </w:rPr>
        <w:t>Legal Lesson Learned:</w:t>
      </w:r>
      <w:r>
        <w:rPr>
          <w:rFonts w:ascii="Times New Roman" w:hAnsi="Times New Roman"/>
          <w:b/>
          <w:bCs/>
          <w:sz w:val="24"/>
          <w:szCs w:val="24"/>
        </w:rPr>
        <w:t xml:space="preserve"> Chief officers must be careful to avoid using any terms that could be perceived as threatening. </w:t>
      </w:r>
    </w:p>
    <w:p w14:paraId="6CDF1D19" w14:textId="77777777" w:rsidR="00EC1BFB" w:rsidRPr="00DA2B2C" w:rsidRDefault="00EC1BFB" w:rsidP="00EC1BFB">
      <w:pPr>
        <w:pStyle w:val="NoSpacing"/>
        <w:ind w:left="720" w:firstLine="60"/>
        <w:rPr>
          <w:rFonts w:ascii="Times New Roman" w:hAnsi="Times New Roman"/>
          <w:sz w:val="24"/>
          <w:szCs w:val="24"/>
        </w:rPr>
      </w:pPr>
      <w:r w:rsidRPr="00DA2B2C">
        <w:rPr>
          <w:rFonts w:ascii="Times New Roman" w:hAnsi="Times New Roman"/>
          <w:sz w:val="24"/>
          <w:szCs w:val="24"/>
        </w:rPr>
        <w:t xml:space="preserve">Note: See article about this case.  “Appeals court rules in favor of city of Youngstown in firefighters' union dispute.” </w:t>
      </w:r>
      <w:r>
        <w:rPr>
          <w:rFonts w:ascii="Times New Roman" w:hAnsi="Times New Roman"/>
          <w:sz w:val="24"/>
          <w:szCs w:val="24"/>
        </w:rPr>
        <w:t xml:space="preserve">(March 3, 2021) </w:t>
      </w:r>
      <w:hyperlink r:id="rId2598" w:history="1">
        <w:r w:rsidRPr="00D60E44">
          <w:rPr>
            <w:rStyle w:val="Hyperlink"/>
            <w:sz w:val="24"/>
            <w:szCs w:val="24"/>
          </w:rPr>
          <w:t>https://www.wfmj.com/story/41405965/chief-working-under-last-chance-agreement-angers-youngstown-firefighters</w:t>
        </w:r>
      </w:hyperlink>
      <w:r w:rsidRPr="00DA2B2C">
        <w:rPr>
          <w:rFonts w:ascii="Times New Roman" w:hAnsi="Times New Roman"/>
          <w:sz w:val="24"/>
          <w:szCs w:val="24"/>
        </w:rPr>
        <w:t xml:space="preserve"> </w:t>
      </w:r>
    </w:p>
    <w:p w14:paraId="466C4BCE" w14:textId="77777777" w:rsidR="00EC1BFB" w:rsidRPr="0015474E" w:rsidRDefault="00EC1BFB" w:rsidP="00EC1BFB">
      <w:pPr>
        <w:spacing w:before="100" w:beforeAutospacing="1" w:after="100" w:afterAutospacing="1" w:line="240" w:lineRule="auto"/>
        <w:rPr>
          <w:rFonts w:ascii="Times New Roman" w:eastAsia="Times New Roman" w:hAnsi="Times New Roman"/>
          <w:sz w:val="24"/>
          <w:szCs w:val="24"/>
        </w:rPr>
      </w:pPr>
    </w:p>
    <w:p w14:paraId="50512281" w14:textId="77777777" w:rsidR="00EC1BFB" w:rsidRDefault="00EC1BFB" w:rsidP="00F326E5">
      <w:pPr>
        <w:pStyle w:val="NoSpacing"/>
        <w:rPr>
          <w:rFonts w:ascii="Arial Black" w:hAnsi="Arial Black"/>
          <w:sz w:val="24"/>
          <w:szCs w:val="24"/>
        </w:rPr>
      </w:pPr>
    </w:p>
    <w:p w14:paraId="13994F1D" w14:textId="77777777" w:rsidR="00EC1BFB" w:rsidRDefault="00EC1BFB" w:rsidP="00F326E5">
      <w:pPr>
        <w:pStyle w:val="NoSpacing"/>
        <w:rPr>
          <w:rFonts w:ascii="Arial Black" w:hAnsi="Arial Black"/>
          <w:sz w:val="24"/>
          <w:szCs w:val="24"/>
        </w:rPr>
      </w:pPr>
    </w:p>
    <w:p w14:paraId="7C709F7B" w14:textId="77777777" w:rsidR="00EC1BFB" w:rsidRDefault="00EC1BFB" w:rsidP="00F326E5">
      <w:pPr>
        <w:pStyle w:val="NoSpacing"/>
        <w:rPr>
          <w:rFonts w:ascii="Arial Black" w:hAnsi="Arial Black"/>
          <w:sz w:val="24"/>
          <w:szCs w:val="24"/>
        </w:rPr>
      </w:pPr>
    </w:p>
    <w:p w14:paraId="49957FE6" w14:textId="7B7CC3CE" w:rsidR="00EB2493" w:rsidRDefault="00EB2493" w:rsidP="00F326E5">
      <w:pPr>
        <w:pStyle w:val="NoSpacing"/>
        <w:rPr>
          <w:rFonts w:ascii="Arial Black" w:hAnsi="Arial Black"/>
          <w:sz w:val="24"/>
          <w:szCs w:val="24"/>
        </w:rPr>
      </w:pPr>
      <w:r>
        <w:rPr>
          <w:rFonts w:ascii="Arial Black" w:hAnsi="Arial Black"/>
          <w:sz w:val="24"/>
          <w:szCs w:val="24"/>
        </w:rPr>
        <w:t>16-51</w:t>
      </w:r>
    </w:p>
    <w:p w14:paraId="7EA31AA0" w14:textId="77777777" w:rsidR="00EB2493" w:rsidRPr="00EE15C8" w:rsidRDefault="00EB2493" w:rsidP="00EB2493">
      <w:pPr>
        <w:rPr>
          <w:rFonts w:ascii="Arial Black" w:hAnsi="Arial Black"/>
          <w:sz w:val="28"/>
          <w:szCs w:val="28"/>
        </w:rPr>
      </w:pPr>
      <w:r>
        <w:rPr>
          <w:rFonts w:ascii="Arial Black" w:hAnsi="Arial Black"/>
          <w:sz w:val="28"/>
          <w:szCs w:val="28"/>
        </w:rPr>
        <w:t xml:space="preserve">IL: HORSEPLAY – CHICAGO FF GRABBED GENITALS OF MEDIC PROBIE – FF FIRED – MEDIC’S FED. CASE DISMISSED </w:t>
      </w:r>
    </w:p>
    <w:p w14:paraId="52416462" w14:textId="77777777" w:rsidR="00EB2493" w:rsidRDefault="00EB2493" w:rsidP="00EB2493">
      <w:pPr>
        <w:rPr>
          <w:rFonts w:ascii="Times New Roman" w:hAnsi="Times New Roman"/>
          <w:sz w:val="24"/>
          <w:szCs w:val="24"/>
        </w:rPr>
      </w:pPr>
      <w:r w:rsidRPr="004377F8">
        <w:rPr>
          <w:rFonts w:ascii="Times New Roman" w:hAnsi="Times New Roman"/>
          <w:sz w:val="24"/>
          <w:szCs w:val="24"/>
        </w:rPr>
        <w:t xml:space="preserve">On Feb. 23, 2021, in </w:t>
      </w:r>
      <w:r w:rsidRPr="004377F8">
        <w:rPr>
          <w:rFonts w:ascii="Times New Roman" w:hAnsi="Times New Roman"/>
          <w:sz w:val="24"/>
          <w:szCs w:val="24"/>
          <w:u w:val="single"/>
        </w:rPr>
        <w:t>Patrick Blake v, William Regan and The City of Chicago</w:t>
      </w:r>
      <w:r>
        <w:rPr>
          <w:rFonts w:ascii="Times New Roman" w:hAnsi="Times New Roman"/>
          <w:sz w:val="24"/>
          <w:szCs w:val="24"/>
        </w:rPr>
        <w:t xml:space="preserve">, U.S. District Court Judge Manish S. Shan, U.S. District Court for the Northern District of Illinois (Eastern Division), granted the defendants’ motion to dismiss; horseplay conduct was basis of discipline, improper, but facts don’t support a Federal claim of “deprivation of constitutional rights.” </w:t>
      </w:r>
    </w:p>
    <w:bookmarkEnd w:id="595"/>
    <w:p w14:paraId="31B4F1F9" w14:textId="77777777" w:rsidR="00EB2493" w:rsidRDefault="00EB2493" w:rsidP="00EB2493">
      <w:pPr>
        <w:ind w:left="720"/>
        <w:rPr>
          <w:rFonts w:ascii="Times New Roman" w:hAnsi="Times New Roman"/>
          <w:sz w:val="24"/>
          <w:szCs w:val="24"/>
        </w:rPr>
      </w:pPr>
      <w:r>
        <w:rPr>
          <w:rFonts w:ascii="Times New Roman" w:hAnsi="Times New Roman"/>
          <w:sz w:val="24"/>
          <w:szCs w:val="24"/>
        </w:rPr>
        <w:t>“</w:t>
      </w:r>
      <w:r w:rsidRPr="004377F8">
        <w:rPr>
          <w:rFonts w:ascii="Times New Roman" w:hAnsi="Times New Roman"/>
          <w:sz w:val="24"/>
          <w:szCs w:val="24"/>
        </w:rPr>
        <w:t xml:space="preserve">After Chicago firefighter William Regan was found not guilty of battery in state court, former paramedic-trainee Patrick Blake filed this Section 1983 lawsuit against Regan, alleging that Regan seized Blake in violation of the Fourth Amendment when Regan grabbed Blake's genitals. Blake also filed </w:t>
      </w:r>
      <w:r w:rsidRPr="004377F8">
        <w:rPr>
          <w:rFonts w:ascii="Times New Roman" w:hAnsi="Times New Roman"/>
          <w:i/>
          <w:iCs/>
          <w:sz w:val="24"/>
          <w:szCs w:val="24"/>
        </w:rPr>
        <w:t>Monell</w:t>
      </w:r>
      <w:r w:rsidRPr="004377F8">
        <w:rPr>
          <w:rFonts w:ascii="Times New Roman" w:hAnsi="Times New Roman"/>
          <w:sz w:val="24"/>
          <w:szCs w:val="24"/>
        </w:rPr>
        <w:t xml:space="preserve"> and indemnification claims against Regan's employer, the City of Chicago. For the reasons stated below, the defendants' motions to dismiss are granted.</w:t>
      </w:r>
    </w:p>
    <w:p w14:paraId="05B3A64B" w14:textId="77777777" w:rsidR="00EB2493" w:rsidRPr="004377F8" w:rsidRDefault="00EB2493" w:rsidP="00EB2493">
      <w:pPr>
        <w:ind w:left="720"/>
        <w:rPr>
          <w:rFonts w:ascii="Times New Roman" w:hAnsi="Times New Roman"/>
          <w:sz w:val="24"/>
          <w:szCs w:val="24"/>
        </w:rPr>
      </w:pPr>
      <w:r>
        <w:rPr>
          <w:rFonts w:ascii="Times New Roman" w:hAnsi="Times New Roman"/>
          <w:sz w:val="24"/>
          <w:szCs w:val="24"/>
        </w:rPr>
        <w:t>***</w:t>
      </w:r>
    </w:p>
    <w:p w14:paraId="57FF2DA3" w14:textId="77777777" w:rsidR="00EB2493" w:rsidRDefault="00EB2493" w:rsidP="00EB2493">
      <w:pPr>
        <w:ind w:left="720"/>
        <w:rPr>
          <w:rFonts w:ascii="Times New Roman" w:hAnsi="Times New Roman"/>
          <w:sz w:val="24"/>
          <w:szCs w:val="24"/>
        </w:rPr>
      </w:pPr>
      <w:r w:rsidRPr="004377F8">
        <w:rPr>
          <w:rFonts w:ascii="Times New Roman" w:hAnsi="Times New Roman"/>
          <w:sz w:val="24"/>
          <w:szCs w:val="24"/>
        </w:rPr>
        <w:lastRenderedPageBreak/>
        <w:t>Since Blake fails to allege a deprivation of constitutional rights under color of state law, his § 1983 claims against Regan and the City of Chicago fail.</w:t>
      </w:r>
    </w:p>
    <w:p w14:paraId="7386AE5D" w14:textId="77777777" w:rsidR="00EB2493" w:rsidRDefault="00EB2493" w:rsidP="00EB2493">
      <w:pPr>
        <w:ind w:left="720"/>
        <w:rPr>
          <w:rFonts w:ascii="Times New Roman" w:hAnsi="Times New Roman"/>
          <w:sz w:val="24"/>
          <w:szCs w:val="24"/>
        </w:rPr>
      </w:pPr>
      <w:r>
        <w:rPr>
          <w:rFonts w:ascii="Times New Roman" w:hAnsi="Times New Roman"/>
          <w:sz w:val="24"/>
          <w:szCs w:val="24"/>
        </w:rPr>
        <w:t>***</w:t>
      </w:r>
    </w:p>
    <w:p w14:paraId="10DC120F" w14:textId="77777777" w:rsidR="00EB2493" w:rsidRDefault="00EB2493" w:rsidP="00EB2493">
      <w:pPr>
        <w:pStyle w:val="NormalWeb"/>
        <w:ind w:left="720"/>
      </w:pPr>
      <w:r>
        <w:t xml:space="preserve">The allegations of the complaint make it certain that Blake was free to </w:t>
      </w:r>
      <w:proofErr w:type="gramStart"/>
      <w:r>
        <w:t>leave</w:t>
      </w:r>
      <w:proofErr w:type="gramEnd"/>
      <w:r>
        <w:t xml:space="preserve"> and Regan acted out of private authority. Blake's § 1983 claims against Regan and the City are dismissed with </w:t>
      </w:r>
      <w:proofErr w:type="spellStart"/>
      <w:r>
        <w:t>prejudice.</w:t>
      </w:r>
      <w:hyperlink r:id="rId2599" w:anchor="fr7" w:history="1">
        <w:r w:rsidR="00814FB6">
          <w:rPr>
            <w:rStyle w:val="Hyperlink"/>
            <w:rFonts w:ascii="Calibri" w:eastAsia="Calibri" w:hAnsi="Calibri"/>
            <w:sz w:val="22"/>
            <w:szCs w:val="22"/>
          </w:rPr>
          <w:t>https</w:t>
        </w:r>
        <w:proofErr w:type="spellEnd"/>
        <w:r w:rsidR="00814FB6">
          <w:rPr>
            <w:rStyle w:val="Hyperlink"/>
            <w:rFonts w:ascii="Calibri" w:eastAsia="Calibri" w:hAnsi="Calibri"/>
            <w:sz w:val="22"/>
            <w:szCs w:val="22"/>
          </w:rPr>
          <w:t>://public.fastcase.com/ - fr7</w:t>
        </w:r>
      </w:hyperlink>
      <w:r>
        <w:rPr>
          <w:sz w:val="20"/>
          <w:szCs w:val="20"/>
          <w:vertAlign w:val="superscript"/>
        </w:rPr>
        <w:t xml:space="preserve"> </w:t>
      </w:r>
      <w:r>
        <w:t xml:space="preserve"> Blake's state-law indemnification claim is based on the same conduct as his constitutional claim. A tort judgment is a prerequisite to any claim of payment under the Illinois Tort Immunity Act, and Blake cannot obtain one if he fails to allege </w:t>
      </w:r>
      <w:proofErr w:type="gramStart"/>
      <w:r>
        <w:t>a constitutional</w:t>
      </w:r>
      <w:proofErr w:type="gramEnd"/>
      <w:r>
        <w:t xml:space="preserve"> tort. </w:t>
      </w:r>
      <w:r>
        <w:rPr>
          <w:i/>
          <w:iCs/>
        </w:rPr>
        <w:t>See</w:t>
      </w:r>
      <w:r>
        <w:t xml:space="preserve"> 745 ILCS § 10/9-102.</w:t>
      </w:r>
      <w:r>
        <w:rPr>
          <w:sz w:val="20"/>
          <w:szCs w:val="20"/>
          <w:vertAlign w:val="superscript"/>
        </w:rPr>
        <w:t xml:space="preserve"> </w:t>
      </w:r>
      <w:r>
        <w:t xml:space="preserve"> </w:t>
      </w:r>
      <w:bookmarkStart w:id="596" w:name="_Hlk66950392"/>
      <w:r w:rsidR="00F00958">
        <w:fldChar w:fldCharType="begin"/>
      </w:r>
      <w:r w:rsidR="00F00958">
        <w:instrText xml:space="preserve"> HYPERLINK "https://cases.justia.com/federal/district-courts/illinois/ilndce/1:2020cv04065/377664/27/0.pdf" </w:instrText>
      </w:r>
      <w:r w:rsidR="00F00958">
        <w:fldChar w:fldCharType="separate"/>
      </w:r>
      <w:r w:rsidRPr="00800310">
        <w:rPr>
          <w:rStyle w:val="Hyperlink"/>
        </w:rPr>
        <w:t>https://cases.justia.com/federal/district-courts/illinois/ilndce/1:2020cv04065/377664/27/0.pdf</w:t>
      </w:r>
      <w:r w:rsidR="00F00958">
        <w:rPr>
          <w:rStyle w:val="Hyperlink"/>
        </w:rPr>
        <w:fldChar w:fldCharType="end"/>
      </w:r>
      <w:r>
        <w:t xml:space="preserve"> </w:t>
      </w:r>
    </w:p>
    <w:p w14:paraId="0DA4A54D" w14:textId="77777777" w:rsidR="00EB2493" w:rsidRDefault="00EB2493" w:rsidP="00EB2493">
      <w:pPr>
        <w:pStyle w:val="NormalWeb"/>
      </w:pPr>
      <w:r w:rsidRPr="00192F79">
        <w:rPr>
          <w:b/>
          <w:bCs/>
        </w:rPr>
        <w:t>Legal Lesson Learned:</w:t>
      </w:r>
      <w:r>
        <w:rPr>
          <w:b/>
          <w:bCs/>
        </w:rPr>
        <w:t xml:space="preserve"> Horseplay in this case crossed the line; what a terrible example of inappropriate conduct by a training officer. </w:t>
      </w:r>
    </w:p>
    <w:bookmarkEnd w:id="596"/>
    <w:p w14:paraId="5DC2361F" w14:textId="77777777" w:rsidR="00EB2493" w:rsidRDefault="00EB2493" w:rsidP="00F326E5">
      <w:pPr>
        <w:pStyle w:val="NoSpacing"/>
        <w:rPr>
          <w:rFonts w:ascii="Arial Black" w:hAnsi="Arial Black"/>
          <w:sz w:val="24"/>
          <w:szCs w:val="24"/>
        </w:rPr>
      </w:pPr>
    </w:p>
    <w:p w14:paraId="673C9AF3" w14:textId="77777777" w:rsidR="00EB2493" w:rsidRDefault="00EB2493" w:rsidP="00F326E5">
      <w:pPr>
        <w:pStyle w:val="NoSpacing"/>
        <w:rPr>
          <w:rFonts w:ascii="Arial Black" w:hAnsi="Arial Black"/>
          <w:sz w:val="24"/>
          <w:szCs w:val="24"/>
        </w:rPr>
      </w:pPr>
    </w:p>
    <w:p w14:paraId="7F1F2584" w14:textId="77777777" w:rsidR="00EB2493" w:rsidRDefault="00EB2493" w:rsidP="00F326E5">
      <w:pPr>
        <w:pStyle w:val="NoSpacing"/>
        <w:rPr>
          <w:rFonts w:ascii="Arial Black" w:hAnsi="Arial Black"/>
          <w:sz w:val="24"/>
          <w:szCs w:val="24"/>
        </w:rPr>
      </w:pPr>
    </w:p>
    <w:p w14:paraId="37342B32" w14:textId="1B113B5D" w:rsidR="00AD5461" w:rsidRDefault="00AD5461" w:rsidP="00F326E5">
      <w:pPr>
        <w:pStyle w:val="NoSpacing"/>
        <w:rPr>
          <w:rFonts w:ascii="Arial Black" w:hAnsi="Arial Black"/>
          <w:sz w:val="24"/>
          <w:szCs w:val="24"/>
        </w:rPr>
      </w:pPr>
      <w:bookmarkStart w:id="597" w:name="_Hlk66950424"/>
      <w:r>
        <w:rPr>
          <w:rFonts w:ascii="Arial Black" w:hAnsi="Arial Black"/>
          <w:sz w:val="24"/>
          <w:szCs w:val="24"/>
        </w:rPr>
        <w:t>16-50</w:t>
      </w:r>
    </w:p>
    <w:p w14:paraId="76AD4517" w14:textId="77777777" w:rsidR="00AD5461" w:rsidRPr="005B755E" w:rsidRDefault="00AD5461" w:rsidP="00AD5461">
      <w:pPr>
        <w:pStyle w:val="NoSpacing"/>
        <w:rPr>
          <w:rFonts w:ascii="Arial Black" w:hAnsi="Arial Black"/>
          <w:sz w:val="28"/>
          <w:szCs w:val="28"/>
        </w:rPr>
      </w:pPr>
      <w:r>
        <w:rPr>
          <w:rFonts w:ascii="Arial Black" w:hAnsi="Arial Black"/>
          <w:sz w:val="28"/>
          <w:szCs w:val="28"/>
        </w:rPr>
        <w:t>IL: FD CAPTAIN DRUGGED YOUNG MALE FF WITH CIALIS AND KETAMINE – SEX ASSAULT - 36 YEARS IN PRISON</w:t>
      </w:r>
    </w:p>
    <w:p w14:paraId="7040843B" w14:textId="77777777" w:rsidR="00AD5461" w:rsidRDefault="00AD5461" w:rsidP="00AD5461">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Jan. 22, 2021, in </w:t>
      </w:r>
      <w:r w:rsidRPr="005B755E">
        <w:rPr>
          <w:rFonts w:ascii="Times New Roman" w:hAnsi="Times New Roman"/>
          <w:sz w:val="24"/>
          <w:szCs w:val="24"/>
          <w:u w:val="single"/>
        </w:rPr>
        <w:t>The People of The State of Illinois v. David J. Dunn</w:t>
      </w:r>
      <w:r>
        <w:rPr>
          <w:rFonts w:ascii="Times New Roman" w:hAnsi="Times New Roman"/>
          <w:sz w:val="24"/>
          <w:szCs w:val="24"/>
        </w:rPr>
        <w:t xml:space="preserve">, the Illinois Court of Appeals for the Fourth District, </w:t>
      </w:r>
      <w:r w:rsidRPr="00172C02">
        <w:rPr>
          <w:rFonts w:ascii="Times New Roman" w:eastAsia="Times New Roman" w:hAnsi="Times New Roman"/>
          <w:sz w:val="24"/>
          <w:szCs w:val="24"/>
        </w:rPr>
        <w:t>2021 IL App (4th) 180552-U</w:t>
      </w:r>
      <w:r>
        <w:rPr>
          <w:rFonts w:ascii="Times New Roman" w:eastAsia="Times New Roman" w:hAnsi="Times New Roman"/>
          <w:sz w:val="24"/>
          <w:szCs w:val="24"/>
        </w:rPr>
        <w:t xml:space="preserve">, </w:t>
      </w:r>
      <w:r>
        <w:rPr>
          <w:rFonts w:ascii="Times New Roman" w:hAnsi="Times New Roman"/>
          <w:sz w:val="24"/>
          <w:szCs w:val="24"/>
        </w:rPr>
        <w:t xml:space="preserve">held (3 to 0) that jury properly convicted the Captain; at his going away party, before leaving to Alaska to become a Fire Chief, he put Cialis in victim’s beer, and then ketamine, and videotaped his assaulting the victim. </w:t>
      </w:r>
    </w:p>
    <w:bookmarkEnd w:id="597"/>
    <w:p w14:paraId="761DB574" w14:textId="77777777" w:rsidR="00AD5461" w:rsidRPr="005B755E" w:rsidRDefault="00AD5461" w:rsidP="00AD5461">
      <w:pPr>
        <w:spacing w:before="100" w:beforeAutospacing="1" w:after="100" w:afterAutospacing="1" w:line="240" w:lineRule="auto"/>
        <w:ind w:left="720"/>
        <w:rPr>
          <w:rFonts w:ascii="Times New Roman" w:hAnsi="Times New Roman"/>
          <w:sz w:val="24"/>
          <w:szCs w:val="24"/>
        </w:rPr>
      </w:pPr>
      <w:r w:rsidRPr="005B755E">
        <w:rPr>
          <w:rFonts w:ascii="Times New Roman" w:hAnsi="Times New Roman"/>
          <w:sz w:val="24"/>
          <w:szCs w:val="24"/>
        </w:rPr>
        <w:t xml:space="preserve">"Based upon the testimony, the evidence presented at trial, at some point in the evening in question, this defendant, by his own admission, put Cialis in the victim's beer. That was obviously designed for one purpose and one purpose only. The victim became intoxicated, the defendant then introduced ketamine into his system, and when the crowd dispersed, the defendant raped the victim and videotaped it, that reprehensible, deplorable offense. </w:t>
      </w:r>
      <w:proofErr w:type="gramStart"/>
      <w:r w:rsidRPr="005B755E">
        <w:rPr>
          <w:rFonts w:ascii="Times New Roman" w:hAnsi="Times New Roman"/>
          <w:sz w:val="24"/>
          <w:szCs w:val="24"/>
        </w:rPr>
        <w:t>So</w:t>
      </w:r>
      <w:proofErr w:type="gramEnd"/>
      <w:r w:rsidRPr="005B755E">
        <w:rPr>
          <w:rFonts w:ascii="Times New Roman" w:hAnsi="Times New Roman"/>
          <w:sz w:val="24"/>
          <w:szCs w:val="24"/>
        </w:rPr>
        <w:t xml:space="preserve"> the history, character, and condition of the defendant, in looking at the circumstances surrounding the offense, indicates that a sentence in excess of the minimum on counts three and four is appropriate."</w:t>
      </w:r>
      <w:r>
        <w:rPr>
          <w:rFonts w:ascii="Times New Roman" w:hAnsi="Times New Roman"/>
          <w:sz w:val="24"/>
          <w:szCs w:val="24"/>
        </w:rPr>
        <w:t xml:space="preserve"> </w:t>
      </w:r>
      <w:bookmarkStart w:id="598" w:name="_Hlk66950453"/>
      <w:r w:rsidR="00F00958">
        <w:fldChar w:fldCharType="begin"/>
      </w:r>
      <w:r w:rsidR="00F00958">
        <w:instrText xml:space="preserve"> HYPERLINK "https://courts.illinois.gov/R23_Orders/AppellateCourt/2021/4thDistrict/4180552_R23.pdf" </w:instrText>
      </w:r>
      <w:r w:rsidR="00F00958">
        <w:fldChar w:fldCharType="separate"/>
      </w:r>
      <w:r w:rsidRPr="00490C3C">
        <w:rPr>
          <w:rStyle w:val="Hyperlink"/>
          <w:rFonts w:ascii="Times New Roman" w:hAnsi="Times New Roman"/>
          <w:sz w:val="24"/>
          <w:szCs w:val="24"/>
        </w:rPr>
        <w:t>https://courts.illinois.gov/R23_Orders/AppellateCourt/2021/4thDistrict/4180552_R23.pdf</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6112B883" w14:textId="77777777" w:rsidR="00AD5461" w:rsidRDefault="00AD5461" w:rsidP="00AD5461">
      <w:pPr>
        <w:pStyle w:val="NoSpacing"/>
        <w:rPr>
          <w:rFonts w:ascii="Times New Roman" w:hAnsi="Times New Roman"/>
          <w:b/>
          <w:bCs/>
          <w:sz w:val="24"/>
          <w:szCs w:val="24"/>
        </w:rPr>
      </w:pPr>
      <w:r w:rsidRPr="00172C02">
        <w:rPr>
          <w:rFonts w:ascii="Times New Roman" w:hAnsi="Times New Roman"/>
          <w:b/>
          <w:bCs/>
          <w:sz w:val="24"/>
          <w:szCs w:val="24"/>
        </w:rPr>
        <w:t>Legal Lesson Learned:</w:t>
      </w:r>
      <w:r>
        <w:rPr>
          <w:rFonts w:ascii="Times New Roman" w:hAnsi="Times New Roman"/>
          <w:b/>
          <w:bCs/>
          <w:sz w:val="24"/>
          <w:szCs w:val="24"/>
        </w:rPr>
        <w:t xml:space="preserve">  The 36-year sentence reflects the seriousness of the defendant’s conduct. </w:t>
      </w:r>
    </w:p>
    <w:bookmarkEnd w:id="598"/>
    <w:p w14:paraId="3993D05D" w14:textId="77777777" w:rsidR="00AD5461" w:rsidRDefault="00AD5461" w:rsidP="00F326E5">
      <w:pPr>
        <w:pStyle w:val="NoSpacing"/>
        <w:rPr>
          <w:rFonts w:ascii="Arial Black" w:hAnsi="Arial Black"/>
          <w:sz w:val="24"/>
          <w:szCs w:val="24"/>
        </w:rPr>
      </w:pPr>
    </w:p>
    <w:p w14:paraId="63C33ABC" w14:textId="77777777" w:rsidR="00AD5461" w:rsidRDefault="00AD5461" w:rsidP="00F326E5">
      <w:pPr>
        <w:pStyle w:val="NoSpacing"/>
        <w:rPr>
          <w:rFonts w:ascii="Arial Black" w:hAnsi="Arial Black"/>
          <w:sz w:val="24"/>
          <w:szCs w:val="24"/>
        </w:rPr>
      </w:pPr>
    </w:p>
    <w:p w14:paraId="5186A85F" w14:textId="77777777" w:rsidR="00AD5461" w:rsidRDefault="00AD5461" w:rsidP="00F326E5">
      <w:pPr>
        <w:pStyle w:val="NoSpacing"/>
        <w:rPr>
          <w:rFonts w:ascii="Arial Black" w:hAnsi="Arial Black"/>
          <w:sz w:val="24"/>
          <w:szCs w:val="24"/>
        </w:rPr>
      </w:pPr>
    </w:p>
    <w:p w14:paraId="2AECD8FD" w14:textId="53B13D39" w:rsidR="00F20BCE" w:rsidRPr="00AD5461" w:rsidRDefault="00F20BCE" w:rsidP="00F326E5">
      <w:pPr>
        <w:pStyle w:val="NoSpacing"/>
        <w:rPr>
          <w:rFonts w:ascii="Times New Roman" w:hAnsi="Times New Roman"/>
          <w:sz w:val="24"/>
          <w:szCs w:val="24"/>
        </w:rPr>
      </w:pPr>
      <w:r>
        <w:rPr>
          <w:rFonts w:ascii="Arial Black" w:hAnsi="Arial Black"/>
          <w:sz w:val="24"/>
          <w:szCs w:val="24"/>
        </w:rPr>
        <w:t xml:space="preserve">16-49 </w:t>
      </w:r>
      <w:r w:rsidRPr="00AD5461">
        <w:rPr>
          <w:rFonts w:ascii="Times New Roman" w:hAnsi="Times New Roman"/>
          <w:sz w:val="24"/>
          <w:szCs w:val="24"/>
        </w:rPr>
        <w:t>[also filed, Chap. 6]</w:t>
      </w:r>
    </w:p>
    <w:p w14:paraId="6F437A34" w14:textId="77777777" w:rsidR="00F20BCE" w:rsidRDefault="00F20BCE" w:rsidP="00F20BCE">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MA: INTERNAL INVEST. OF TREASURER - EMPLOYEES PROVIDE INFO – PROTECTED FROM DEFAMATION – NO SPITE OR ILL WILL</w:t>
      </w:r>
    </w:p>
    <w:p w14:paraId="0AB3FCF4" w14:textId="77777777" w:rsidR="00F20BCE" w:rsidRDefault="00F20BCE" w:rsidP="00F20BC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10, 2020, in </w:t>
      </w:r>
      <w:r>
        <w:rPr>
          <w:rFonts w:ascii="Times New Roman" w:hAnsi="Times New Roman"/>
          <w:sz w:val="24"/>
          <w:szCs w:val="24"/>
          <w:u w:val="single"/>
        </w:rPr>
        <w:t>Diane Lawless v, Cheryl Estrella</w:t>
      </w:r>
      <w:r>
        <w:rPr>
          <w:rFonts w:ascii="Times New Roman" w:hAnsi="Times New Roman"/>
          <w:sz w:val="24"/>
          <w:szCs w:val="24"/>
        </w:rPr>
        <w:t xml:space="preserve">, the Massachusetts Court of Appeals held (3 to 0) that the trial court properly granted summary judgment and dismissed the lawsuit filed by the former Town </w:t>
      </w:r>
      <w:r>
        <w:rPr>
          <w:rFonts w:ascii="Times New Roman" w:hAnsi="Times New Roman"/>
          <w:sz w:val="24"/>
          <w:szCs w:val="24"/>
        </w:rPr>
        <w:lastRenderedPageBreak/>
        <w:t xml:space="preserve">Treasurer against a Senior Clerk who provided investigators with a 6-page e-mail documenting misconduct by the Treasurer. </w:t>
      </w:r>
    </w:p>
    <w:p w14:paraId="35FBCB06"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“We conclude that an opinion based on disclosed, nondefamatory facts is not defamatory and that many of the allegedly defamatory statements constitute such opinions. </w:t>
      </w:r>
      <w:proofErr w:type="gramStart"/>
      <w:r>
        <w:rPr>
          <w:rFonts w:ascii="Times New Roman" w:hAnsi="Times New Roman"/>
          <w:sz w:val="24"/>
          <w:szCs w:val="24"/>
        </w:rPr>
        <w:t>Further</w:t>
      </w:r>
      <w:proofErr w:type="gramEnd"/>
      <w:r>
        <w:rPr>
          <w:rFonts w:ascii="Times New Roman" w:hAnsi="Times New Roman"/>
          <w:sz w:val="24"/>
          <w:szCs w:val="24"/>
        </w:rPr>
        <w:t xml:space="preserve"> concluding that an employee has a conditional privilege to provide information concerning another employee upon the request of a supervisor and that the plaintiff failed to raise a genuine issue of material fact that would allow a jury to find that this privilege was abused regarding the other statements, we affirm.” </w:t>
      </w:r>
      <w:hyperlink r:id="rId2600" w:history="1">
        <w:r>
          <w:rPr>
            <w:rStyle w:val="Hyperlink"/>
          </w:rPr>
          <w:t>https://www.massmunilaw.org/wp-content/uploads/2020/12/DIANE-LAWLESS-v.-CHERYL-ESTRELLA.pdf</w:t>
        </w:r>
      </w:hyperlink>
      <w:r>
        <w:rPr>
          <w:rFonts w:ascii="Times New Roman" w:hAnsi="Times New Roman"/>
          <w:sz w:val="24"/>
          <w:szCs w:val="24"/>
        </w:rPr>
        <w:t xml:space="preserve"> </w:t>
      </w:r>
    </w:p>
    <w:p w14:paraId="3A575859" w14:textId="77777777" w:rsidR="00F20BCE" w:rsidRDefault="00F20BCE" w:rsidP="00F20BCE">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Legal Lesson Learned: Internal investigations of a public official will often involve co-workers providing statements.  The “conditional privilege” is an important protection of these co-workers.</w:t>
      </w:r>
    </w:p>
    <w:p w14:paraId="43E52121"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The Court of Appeals referenced a Fire Department case where a co-worker also enjoyed protection from defamation lawsuit under the “conditional privilege.”  Kevin Barrows v. Wareham Fire District (Mass Court of Appeals; Oct. 12, 2012). </w:t>
      </w:r>
      <w:hyperlink r:id="rId2601" w:history="1">
        <w:r>
          <w:rPr>
            <w:rStyle w:val="Hyperlink"/>
          </w:rPr>
          <w:t>http://masscases.com/cases/app/82/82massappct623.html</w:t>
        </w:r>
      </w:hyperlink>
      <w:r>
        <w:t xml:space="preserve"> </w:t>
      </w:r>
    </w:p>
    <w:p w14:paraId="38E9753D" w14:textId="77777777" w:rsidR="00F20BCE" w:rsidRDefault="00F20BCE" w:rsidP="00F326E5">
      <w:pPr>
        <w:pStyle w:val="NoSpacing"/>
        <w:rPr>
          <w:rFonts w:ascii="Arial Black" w:hAnsi="Arial Black"/>
          <w:sz w:val="24"/>
          <w:szCs w:val="24"/>
        </w:rPr>
      </w:pPr>
    </w:p>
    <w:p w14:paraId="7C1B0B49" w14:textId="654744B4" w:rsidR="00F20BCE" w:rsidRDefault="00F20BCE" w:rsidP="00F326E5">
      <w:pPr>
        <w:pStyle w:val="NoSpacing"/>
        <w:rPr>
          <w:rFonts w:ascii="Arial Black" w:hAnsi="Arial Black"/>
          <w:sz w:val="24"/>
          <w:szCs w:val="24"/>
        </w:rPr>
      </w:pPr>
      <w:r>
        <w:rPr>
          <w:rFonts w:ascii="Arial Black" w:hAnsi="Arial Black"/>
          <w:sz w:val="24"/>
          <w:szCs w:val="24"/>
        </w:rPr>
        <w:t>16-48</w:t>
      </w:r>
    </w:p>
    <w:p w14:paraId="0A5DFC25" w14:textId="77777777" w:rsidR="00F20BCE" w:rsidRDefault="00F20BCE" w:rsidP="00F20BCE">
      <w:pPr>
        <w:spacing w:before="100" w:beforeAutospacing="1" w:after="100" w:afterAutospacing="1" w:line="240" w:lineRule="auto"/>
        <w:rPr>
          <w:rFonts w:ascii="Arial Black" w:eastAsiaTheme="minorHAnsi" w:hAnsi="Arial Black" w:cstheme="minorBidi"/>
          <w:sz w:val="28"/>
          <w:szCs w:val="28"/>
        </w:rPr>
      </w:pPr>
      <w:r>
        <w:rPr>
          <w:rFonts w:ascii="Arial Black" w:hAnsi="Arial Black"/>
          <w:sz w:val="28"/>
          <w:szCs w:val="28"/>
        </w:rPr>
        <w:t>OH: FF FIRED - FACEBOOK POSTS, TURNOUT GEAR, BAD GRANT DATA – TOWNSHIP CAN FIRE WITHOUT FIRE CHIEF RECOMM.</w:t>
      </w:r>
    </w:p>
    <w:p w14:paraId="529EC153" w14:textId="77777777" w:rsidR="00F20BCE" w:rsidRDefault="00F20BCE" w:rsidP="00F20BC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25, 2020, in </w:t>
      </w:r>
      <w:r>
        <w:rPr>
          <w:rFonts w:ascii="Times New Roman" w:hAnsi="Times New Roman"/>
          <w:sz w:val="24"/>
          <w:szCs w:val="24"/>
          <w:u w:val="single"/>
        </w:rPr>
        <w:t>Karl D. Gerhart v. Union Township Board of Trustees</w:t>
      </w:r>
      <w:r>
        <w:rPr>
          <w:rFonts w:ascii="Times New Roman" w:hAnsi="Times New Roman"/>
          <w:sz w:val="24"/>
          <w:szCs w:val="24"/>
        </w:rPr>
        <w:t xml:space="preserve">, the Court of Appeals of Ohio, Fourth Appellate District (Ross County), 2020 Ohio 5615, held (3 to 0) that the firefighter was properly fired by the Township under Ohio Revised Code, even if the FD’s manual calls for the Fire Chief to recommend termination. </w:t>
      </w:r>
    </w:p>
    <w:p w14:paraId="2F6B7B99"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“[Defendant] thus argues that the disciplinary manual required the chief to recommend to the board of trustees his removal.  </w:t>
      </w:r>
    </w:p>
    <w:p w14:paraId="49716C61"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R.C. 505.38 provides for the removal of firefighters in accordance with R.C. 733.35. R.C. 733.35 provides that a firefighter may be removed if he ‘has been guilty, in the performance of his official duty, of bribery, misfeasance, malfeasance, nonfeasance, misconduct in office, gross neglect of duty, gross immorality, or habitual drunkenness.’</w:t>
      </w:r>
    </w:p>
    <w:p w14:paraId="1F57B03D"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In the case sub judice, the board of trustees’ cited reasons for terminating appellant tracks the language contained in R.C. 733.35, i.e., misfeasance, malfeasance, and misconduct in office.” </w:t>
      </w:r>
      <w:hyperlink r:id="rId2602" w:history="1">
        <w:r>
          <w:rPr>
            <w:rStyle w:val="Hyperlink"/>
          </w:rPr>
          <w:t>https://www.supremecourt.ohio.gov/rod/docs/pdf/4/2020/2020-Ohio-5615.pdf</w:t>
        </w:r>
      </w:hyperlink>
      <w:r>
        <w:rPr>
          <w:rFonts w:ascii="Times New Roman" w:hAnsi="Times New Roman"/>
          <w:sz w:val="24"/>
          <w:szCs w:val="24"/>
        </w:rPr>
        <w:t xml:space="preserve"> </w:t>
      </w:r>
    </w:p>
    <w:p w14:paraId="63AA2E38" w14:textId="77777777" w:rsidR="00F20BCE" w:rsidRDefault="00F20BCE" w:rsidP="00F20BCE">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evidence presented to the Township Trustees supported his termination. </w:t>
      </w:r>
    </w:p>
    <w:p w14:paraId="13D26AF5" w14:textId="77777777" w:rsidR="00F20BCE" w:rsidRDefault="00F20BCE" w:rsidP="00F326E5">
      <w:pPr>
        <w:pStyle w:val="NoSpacing"/>
        <w:rPr>
          <w:rFonts w:ascii="Arial Black" w:hAnsi="Arial Black"/>
          <w:sz w:val="24"/>
          <w:szCs w:val="24"/>
        </w:rPr>
      </w:pPr>
    </w:p>
    <w:p w14:paraId="1A434715" w14:textId="77777777" w:rsidR="00F20BCE" w:rsidRDefault="00F20BCE" w:rsidP="00F326E5">
      <w:pPr>
        <w:pStyle w:val="NoSpacing"/>
        <w:rPr>
          <w:rFonts w:ascii="Arial Black" w:hAnsi="Arial Black"/>
          <w:sz w:val="24"/>
          <w:szCs w:val="24"/>
        </w:rPr>
      </w:pPr>
    </w:p>
    <w:p w14:paraId="4E93B618" w14:textId="348CD7E5" w:rsidR="00663A6A" w:rsidRDefault="00663A6A" w:rsidP="00F326E5">
      <w:pPr>
        <w:pStyle w:val="NoSpacing"/>
        <w:rPr>
          <w:rFonts w:ascii="Arial Black" w:hAnsi="Arial Black"/>
          <w:sz w:val="24"/>
          <w:szCs w:val="24"/>
        </w:rPr>
      </w:pPr>
      <w:r>
        <w:rPr>
          <w:rFonts w:ascii="Arial Black" w:hAnsi="Arial Black"/>
          <w:sz w:val="24"/>
          <w:szCs w:val="24"/>
        </w:rPr>
        <w:t>16-47</w:t>
      </w:r>
    </w:p>
    <w:p w14:paraId="0547978D" w14:textId="268DBC70" w:rsidR="00663A6A" w:rsidRDefault="00663A6A" w:rsidP="00F326E5">
      <w:pPr>
        <w:pStyle w:val="NoSpacing"/>
        <w:rPr>
          <w:rFonts w:ascii="Arial Black" w:hAnsi="Arial Black"/>
          <w:sz w:val="24"/>
          <w:szCs w:val="24"/>
        </w:rPr>
      </w:pPr>
    </w:p>
    <w:p w14:paraId="19B0A905" w14:textId="77777777" w:rsidR="00663A6A" w:rsidRPr="00A30759" w:rsidRDefault="00663A6A" w:rsidP="00663A6A">
      <w:pPr>
        <w:pStyle w:val="NoSpacing"/>
        <w:rPr>
          <w:rFonts w:ascii="Arial Black" w:hAnsi="Arial Black"/>
          <w:sz w:val="28"/>
          <w:szCs w:val="28"/>
        </w:rPr>
      </w:pPr>
      <w:r>
        <w:rPr>
          <w:rFonts w:ascii="Arial Black" w:hAnsi="Arial Black"/>
          <w:sz w:val="28"/>
          <w:szCs w:val="28"/>
        </w:rPr>
        <w:t>OK: FIRE CHIEF FIRED – WRITTEN WARNING, 1-YR LATER NEVER WORKED FF SHIFT, OTHER ISSUES - FIRED FOR “GOOD CAUSE”</w:t>
      </w:r>
    </w:p>
    <w:p w14:paraId="2950E5A2" w14:textId="77777777" w:rsidR="00663A6A" w:rsidRDefault="00663A6A" w:rsidP="00663A6A">
      <w:pPr>
        <w:tabs>
          <w:tab w:val="left" w:pos="7150"/>
        </w:tabs>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lastRenderedPageBreak/>
        <w:t>On Nov. 4</w:t>
      </w:r>
      <w:proofErr w:type="gramStart"/>
      <w:r>
        <w:rPr>
          <w:rFonts w:ascii="Times New Roman" w:eastAsia="Times New Roman" w:hAnsi="Times New Roman"/>
          <w:sz w:val="24"/>
          <w:szCs w:val="24"/>
        </w:rPr>
        <w:t xml:space="preserve"> 2020</w:t>
      </w:r>
      <w:proofErr w:type="gramEnd"/>
      <w:r>
        <w:rPr>
          <w:rFonts w:ascii="Times New Roman" w:eastAsia="Times New Roman" w:hAnsi="Times New Roman"/>
          <w:sz w:val="24"/>
          <w:szCs w:val="24"/>
        </w:rPr>
        <w:t xml:space="preserve">, in </w:t>
      </w:r>
      <w:r w:rsidRPr="00A30759">
        <w:rPr>
          <w:rFonts w:ascii="Times New Roman" w:eastAsia="Times New Roman" w:hAnsi="Times New Roman"/>
          <w:sz w:val="24"/>
          <w:szCs w:val="24"/>
          <w:u w:val="single"/>
        </w:rPr>
        <w:t>Stephen Parmenter v. City of Nowata, Oklahoma</w:t>
      </w:r>
      <w:r>
        <w:rPr>
          <w:rFonts w:ascii="Times New Roman" w:eastAsia="Times New Roman" w:hAnsi="Times New Roman"/>
          <w:sz w:val="24"/>
          <w:szCs w:val="24"/>
        </w:rPr>
        <w:t xml:space="preserve">, U.S. District Court Judge Terence C. Kern, U.S. District Court for the Northern District of Oklahoma, granted the City’s motion for summary judgment.  The Fire Chief worked for a Chartered City which empowered the City Manager to terminate heads of department and others “at will.”  In Aug. 2017, the City Manager issued written reprimand documenting numerous personnel issues; the Manager also added a requirement the Chief work one shift per week, which he never did for following year. </w:t>
      </w:r>
    </w:p>
    <w:p w14:paraId="1F862FE6" w14:textId="77777777" w:rsidR="00663A6A" w:rsidRPr="00A30759"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A30759">
        <w:rPr>
          <w:rFonts w:ascii="Times New Roman" w:hAnsi="Times New Roman"/>
          <w:sz w:val="24"/>
          <w:szCs w:val="24"/>
        </w:rPr>
        <w:t xml:space="preserve">Moreover, even assuming 11 O.S. §19-104 applies to Parmenter's claim, the undisputed record establishes that he was fired for </w:t>
      </w:r>
      <w:r>
        <w:rPr>
          <w:rFonts w:ascii="Times New Roman" w:hAnsi="Times New Roman"/>
          <w:sz w:val="24"/>
          <w:szCs w:val="24"/>
        </w:rPr>
        <w:t>‘</w:t>
      </w:r>
      <w:r w:rsidRPr="00A30759">
        <w:rPr>
          <w:rFonts w:ascii="Times New Roman" w:hAnsi="Times New Roman"/>
          <w:sz w:val="24"/>
          <w:szCs w:val="24"/>
        </w:rPr>
        <w:t>good and sufficient cause.</w:t>
      </w:r>
      <w:r>
        <w:rPr>
          <w:rFonts w:ascii="Times New Roman" w:hAnsi="Times New Roman"/>
          <w:sz w:val="24"/>
          <w:szCs w:val="24"/>
        </w:rPr>
        <w:t>’</w:t>
      </w:r>
      <w:r w:rsidRPr="00A30759">
        <w:rPr>
          <w:rFonts w:ascii="Times New Roman" w:hAnsi="Times New Roman"/>
          <w:sz w:val="24"/>
          <w:szCs w:val="24"/>
        </w:rPr>
        <w:t xml:space="preserve"> On August 31, 2017, he received a formal, documented reprimand listing numerous issues </w:t>
      </w:r>
      <w:proofErr w:type="gramStart"/>
      <w:r w:rsidRPr="00A30759">
        <w:rPr>
          <w:rFonts w:ascii="Times New Roman" w:hAnsi="Times New Roman"/>
          <w:sz w:val="24"/>
          <w:szCs w:val="24"/>
        </w:rPr>
        <w:t>and also</w:t>
      </w:r>
      <w:proofErr w:type="gramEnd"/>
      <w:r w:rsidRPr="00A30759">
        <w:rPr>
          <w:rFonts w:ascii="Times New Roman" w:hAnsi="Times New Roman"/>
          <w:sz w:val="24"/>
          <w:szCs w:val="24"/>
        </w:rPr>
        <w:t xml:space="preserve"> ordering him to work at least one regular shift per week as a firefighter. Accordingly, he was aware that any further infractions could lead to disciplinary action—including termination—against him. For well over a year after the written reprimand, Carrick continued to address items listed in the written reprimand. During that time, and in contravention of the reprimand, he failed to work a single fire shift. Moreover, after meeting with fire department employees, Carrick learned of other issues—including that department morale was abysmal due to favoritism of one employee over the others, and that employees were trading shifts without documenting the trades, and then directly compensating each other for covered shifts. </w:t>
      </w:r>
    </w:p>
    <w:p w14:paraId="79E85F4C" w14:textId="77777777" w:rsidR="00663A6A" w:rsidRDefault="00663A6A" w:rsidP="00663A6A">
      <w:pPr>
        <w:pStyle w:val="NoSpacing"/>
        <w:rPr>
          <w:rFonts w:ascii="Times New Roman" w:hAnsi="Times New Roman"/>
          <w:sz w:val="24"/>
          <w:szCs w:val="24"/>
        </w:rPr>
      </w:pPr>
    </w:p>
    <w:p w14:paraId="629CD128" w14:textId="77777777" w:rsidR="00663A6A" w:rsidRPr="00A30759" w:rsidRDefault="00663A6A" w:rsidP="00663A6A">
      <w:pPr>
        <w:pStyle w:val="NoSpacing"/>
        <w:ind w:left="720"/>
        <w:rPr>
          <w:rFonts w:ascii="Times New Roman" w:eastAsia="Times New Roman" w:hAnsi="Times New Roman"/>
          <w:sz w:val="24"/>
          <w:szCs w:val="24"/>
        </w:rPr>
      </w:pPr>
      <w:r w:rsidRPr="00A30759">
        <w:rPr>
          <w:rFonts w:ascii="Times New Roman" w:hAnsi="Times New Roman"/>
          <w:sz w:val="24"/>
          <w:szCs w:val="24"/>
        </w:rPr>
        <w:t xml:space="preserve">The undisputed record supports the City's position that Parmenter's termination was for </w:t>
      </w:r>
      <w:r>
        <w:rPr>
          <w:rFonts w:ascii="Times New Roman" w:hAnsi="Times New Roman"/>
          <w:sz w:val="24"/>
          <w:szCs w:val="24"/>
        </w:rPr>
        <w:t>‘</w:t>
      </w:r>
      <w:r w:rsidRPr="00A30759">
        <w:rPr>
          <w:rFonts w:ascii="Times New Roman" w:hAnsi="Times New Roman"/>
          <w:sz w:val="24"/>
          <w:szCs w:val="24"/>
        </w:rPr>
        <w:t>good and sufficient cause.</w:t>
      </w:r>
      <w:r>
        <w:rPr>
          <w:rFonts w:ascii="Times New Roman" w:hAnsi="Times New Roman"/>
          <w:sz w:val="24"/>
          <w:szCs w:val="24"/>
        </w:rPr>
        <w:t xml:space="preserve">’” </w:t>
      </w:r>
      <w:hyperlink r:id="rId2603" w:history="1">
        <w:r w:rsidRPr="00BA14DC">
          <w:rPr>
            <w:rStyle w:val="Hyperlink"/>
            <w:rFonts w:ascii="Times New Roman" w:hAnsi="Times New Roman"/>
            <w:sz w:val="24"/>
            <w:szCs w:val="24"/>
          </w:rPr>
          <w:t>https://casetext.com/case/parmenter-v-city-of-nowata</w:t>
        </w:r>
      </w:hyperlink>
      <w:r>
        <w:rPr>
          <w:rFonts w:ascii="Times New Roman" w:hAnsi="Times New Roman"/>
          <w:sz w:val="24"/>
          <w:szCs w:val="24"/>
        </w:rPr>
        <w:t xml:space="preserve"> </w:t>
      </w:r>
    </w:p>
    <w:p w14:paraId="2682E1B7" w14:textId="53898DAA" w:rsidR="00663A6A" w:rsidRDefault="00663A6A" w:rsidP="00F326E5">
      <w:pPr>
        <w:pStyle w:val="NoSpacing"/>
        <w:rPr>
          <w:rFonts w:ascii="Arial Black" w:hAnsi="Arial Black"/>
          <w:sz w:val="24"/>
          <w:szCs w:val="24"/>
        </w:rPr>
      </w:pPr>
    </w:p>
    <w:p w14:paraId="7F359E5B" w14:textId="77777777" w:rsidR="00663A6A" w:rsidRPr="00B00DFD" w:rsidRDefault="00663A6A" w:rsidP="00663A6A">
      <w:pPr>
        <w:spacing w:before="100" w:beforeAutospacing="1" w:after="100" w:afterAutospacing="1" w:line="240" w:lineRule="auto"/>
        <w:rPr>
          <w:rFonts w:ascii="Times New Roman" w:eastAsia="Times New Roman" w:hAnsi="Times New Roman"/>
          <w:b/>
          <w:bCs/>
          <w:sz w:val="24"/>
          <w:szCs w:val="24"/>
        </w:rPr>
      </w:pPr>
      <w:r w:rsidRPr="00B00DF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City Manager thoroughly documented the employment concerns; she also provided “due process” to the “at will” Fire Chief.  </w:t>
      </w:r>
    </w:p>
    <w:p w14:paraId="5F0C8ACC" w14:textId="77777777" w:rsidR="00663A6A" w:rsidRDefault="00663A6A" w:rsidP="00F326E5">
      <w:pPr>
        <w:pStyle w:val="NoSpacing"/>
        <w:rPr>
          <w:rFonts w:ascii="Arial Black" w:hAnsi="Arial Black"/>
          <w:sz w:val="24"/>
          <w:szCs w:val="24"/>
        </w:rPr>
      </w:pPr>
    </w:p>
    <w:p w14:paraId="6B5C843D" w14:textId="77777777" w:rsidR="00663A6A" w:rsidRDefault="00663A6A" w:rsidP="00F326E5">
      <w:pPr>
        <w:pStyle w:val="NoSpacing"/>
        <w:rPr>
          <w:rFonts w:ascii="Arial Black" w:hAnsi="Arial Black"/>
          <w:sz w:val="24"/>
          <w:szCs w:val="24"/>
        </w:rPr>
      </w:pPr>
    </w:p>
    <w:p w14:paraId="0C75D0B9" w14:textId="13BD9728" w:rsidR="00663A6A" w:rsidRDefault="00663A6A" w:rsidP="00F326E5">
      <w:pPr>
        <w:pStyle w:val="NoSpacing"/>
        <w:rPr>
          <w:rFonts w:ascii="Arial Black" w:hAnsi="Arial Black"/>
          <w:sz w:val="24"/>
          <w:szCs w:val="24"/>
        </w:rPr>
      </w:pPr>
      <w:r>
        <w:rPr>
          <w:rFonts w:ascii="Arial Black" w:hAnsi="Arial Black"/>
          <w:sz w:val="24"/>
          <w:szCs w:val="24"/>
        </w:rPr>
        <w:t>16-46</w:t>
      </w:r>
    </w:p>
    <w:p w14:paraId="6B2CFC09" w14:textId="37CDC39B" w:rsidR="00663A6A" w:rsidRDefault="00663A6A" w:rsidP="00F326E5">
      <w:pPr>
        <w:pStyle w:val="NoSpacing"/>
        <w:rPr>
          <w:rFonts w:ascii="Arial Black" w:hAnsi="Arial Black"/>
          <w:sz w:val="24"/>
          <w:szCs w:val="24"/>
        </w:rPr>
      </w:pPr>
    </w:p>
    <w:p w14:paraId="544B97FA" w14:textId="77777777" w:rsidR="00663A6A" w:rsidRPr="000C02CA" w:rsidRDefault="00663A6A" w:rsidP="00663A6A">
      <w:pPr>
        <w:pStyle w:val="NoSpacing"/>
        <w:rPr>
          <w:rFonts w:ascii="Arial Black" w:hAnsi="Arial Black"/>
          <w:sz w:val="28"/>
          <w:szCs w:val="28"/>
        </w:rPr>
      </w:pPr>
      <w:r>
        <w:rPr>
          <w:rFonts w:ascii="Arial Black" w:hAnsi="Arial Black"/>
          <w:sz w:val="28"/>
          <w:szCs w:val="28"/>
        </w:rPr>
        <w:t>NJ: RECUIT FIRED AFTER GRADUATING - CHIEF KNEW HE HAD ALTERED INSURANCE CARD NEW RESIDENCE - REINSTATED</w:t>
      </w:r>
    </w:p>
    <w:p w14:paraId="73124402" w14:textId="77777777" w:rsidR="00663A6A" w:rsidRDefault="00663A6A" w:rsidP="00663A6A">
      <w:pPr>
        <w:pStyle w:val="NoSpacing"/>
      </w:pPr>
    </w:p>
    <w:p w14:paraId="1EC7FA0A" w14:textId="77777777" w:rsidR="00663A6A" w:rsidRDefault="00663A6A" w:rsidP="00663A6A">
      <w:pPr>
        <w:pStyle w:val="NoSpacing"/>
        <w:rPr>
          <w:rFonts w:ascii="Times New Roman" w:hAnsi="Times New Roman"/>
          <w:sz w:val="24"/>
          <w:szCs w:val="24"/>
        </w:rPr>
      </w:pPr>
      <w:r w:rsidRPr="00472D0A">
        <w:rPr>
          <w:rFonts w:ascii="Times New Roman" w:hAnsi="Times New Roman"/>
          <w:sz w:val="24"/>
          <w:szCs w:val="24"/>
        </w:rPr>
        <w:t xml:space="preserve">On Oct. 19, 2020, </w:t>
      </w:r>
      <w:r w:rsidRPr="00472D0A">
        <w:rPr>
          <w:rFonts w:ascii="Times New Roman" w:hAnsi="Times New Roman"/>
          <w:sz w:val="24"/>
          <w:szCs w:val="24"/>
          <w:u w:val="single"/>
        </w:rPr>
        <w:t xml:space="preserve">In </w:t>
      </w:r>
      <w:proofErr w:type="gramStart"/>
      <w:r w:rsidRPr="00472D0A">
        <w:rPr>
          <w:rFonts w:ascii="Times New Roman" w:hAnsi="Times New Roman"/>
          <w:sz w:val="24"/>
          <w:szCs w:val="24"/>
          <w:u w:val="single"/>
        </w:rPr>
        <w:t>The</w:t>
      </w:r>
      <w:proofErr w:type="gramEnd"/>
      <w:r w:rsidRPr="00472D0A">
        <w:rPr>
          <w:rFonts w:ascii="Times New Roman" w:hAnsi="Times New Roman"/>
          <w:sz w:val="24"/>
          <w:szCs w:val="24"/>
          <w:u w:val="single"/>
        </w:rPr>
        <w:t xml:space="preserve"> Matter </w:t>
      </w:r>
      <w:proofErr w:type="gramStart"/>
      <w:r w:rsidRPr="00472D0A">
        <w:rPr>
          <w:rFonts w:ascii="Times New Roman" w:hAnsi="Times New Roman"/>
          <w:sz w:val="24"/>
          <w:szCs w:val="24"/>
          <w:u w:val="single"/>
        </w:rPr>
        <w:t>Of</w:t>
      </w:r>
      <w:proofErr w:type="gramEnd"/>
      <w:r w:rsidRPr="00472D0A">
        <w:rPr>
          <w:rFonts w:ascii="Times New Roman" w:hAnsi="Times New Roman"/>
          <w:sz w:val="24"/>
          <w:szCs w:val="24"/>
          <w:u w:val="single"/>
        </w:rPr>
        <w:t xml:space="preserve"> Christopher D’Amico, City of Plainfield Fire Department</w:t>
      </w:r>
      <w:r w:rsidRPr="00472D0A">
        <w:rPr>
          <w:rFonts w:ascii="Times New Roman" w:hAnsi="Times New Roman"/>
          <w:sz w:val="24"/>
          <w:szCs w:val="24"/>
        </w:rPr>
        <w:t xml:space="preserve">, </w:t>
      </w:r>
      <w:r>
        <w:rPr>
          <w:rFonts w:ascii="Times New Roman" w:hAnsi="Times New Roman"/>
          <w:sz w:val="24"/>
          <w:szCs w:val="24"/>
        </w:rPr>
        <w:t xml:space="preserve">the Superior Court of New Jersey (Appellate Division) held (3 to 0) that the Civil Service Commission properly reinstated the firefighter.  The Fire Chief knew of the altered card and </w:t>
      </w:r>
      <w:proofErr w:type="gramStart"/>
      <w:r>
        <w:rPr>
          <w:rFonts w:ascii="Times New Roman" w:hAnsi="Times New Roman"/>
          <w:sz w:val="24"/>
          <w:szCs w:val="24"/>
        </w:rPr>
        <w:t>has allowed</w:t>
      </w:r>
      <w:proofErr w:type="gramEnd"/>
      <w:r>
        <w:rPr>
          <w:rFonts w:ascii="Times New Roman" w:hAnsi="Times New Roman"/>
          <w:sz w:val="24"/>
          <w:szCs w:val="24"/>
        </w:rPr>
        <w:t xml:space="preserve"> the firefighter to enter recruit school. </w:t>
      </w:r>
    </w:p>
    <w:p w14:paraId="78D0081A" w14:textId="77777777" w:rsidR="00663A6A" w:rsidRPr="00472D0A" w:rsidRDefault="00663A6A" w:rsidP="00663A6A">
      <w:pPr>
        <w:pStyle w:val="NoSpacing"/>
        <w:rPr>
          <w:rFonts w:ascii="Times New Roman" w:hAnsi="Times New Roman"/>
          <w:sz w:val="24"/>
          <w:szCs w:val="24"/>
        </w:rPr>
      </w:pPr>
    </w:p>
    <w:p w14:paraId="5FD3CFAB" w14:textId="77777777" w:rsidR="00663A6A" w:rsidRPr="00472D0A"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472D0A">
        <w:rPr>
          <w:rFonts w:ascii="Times New Roman" w:hAnsi="Times New Roman"/>
          <w:sz w:val="24"/>
          <w:szCs w:val="24"/>
        </w:rPr>
        <w:t>After reviewing the City</w:t>
      </w:r>
      <w:r>
        <w:rPr>
          <w:rFonts w:ascii="Times New Roman" w:hAnsi="Times New Roman"/>
          <w:sz w:val="24"/>
          <w:szCs w:val="24"/>
        </w:rPr>
        <w:t>’</w:t>
      </w:r>
      <w:r w:rsidRPr="00472D0A">
        <w:rPr>
          <w:rFonts w:ascii="Times New Roman" w:hAnsi="Times New Roman"/>
          <w:sz w:val="24"/>
          <w:szCs w:val="24"/>
        </w:rPr>
        <w:t>s exceptions, the Commission</w:t>
      </w:r>
      <w:r>
        <w:rPr>
          <w:rFonts w:ascii="Times New Roman" w:hAnsi="Times New Roman"/>
          <w:sz w:val="24"/>
          <w:szCs w:val="24"/>
        </w:rPr>
        <w:t xml:space="preserve"> </w:t>
      </w:r>
      <w:r w:rsidRPr="00472D0A">
        <w:rPr>
          <w:rFonts w:ascii="Times New Roman" w:hAnsi="Times New Roman"/>
          <w:sz w:val="24"/>
          <w:szCs w:val="24"/>
        </w:rPr>
        <w:t>agreed with the ALJ. It held D</w:t>
      </w:r>
      <w:r>
        <w:rPr>
          <w:rFonts w:ascii="Times New Roman" w:hAnsi="Times New Roman"/>
          <w:sz w:val="24"/>
          <w:szCs w:val="24"/>
        </w:rPr>
        <w:t>’</w:t>
      </w:r>
      <w:r w:rsidRPr="00472D0A">
        <w:rPr>
          <w:rFonts w:ascii="Times New Roman" w:hAnsi="Times New Roman"/>
          <w:sz w:val="24"/>
          <w:szCs w:val="24"/>
        </w:rPr>
        <w:t>Amico provided</w:t>
      </w:r>
      <w:r>
        <w:rPr>
          <w:rFonts w:ascii="Times New Roman" w:hAnsi="Times New Roman"/>
          <w:sz w:val="24"/>
          <w:szCs w:val="24"/>
        </w:rPr>
        <w:t xml:space="preserve"> </w:t>
      </w:r>
      <w:r w:rsidRPr="00472D0A">
        <w:rPr>
          <w:rFonts w:ascii="Times New Roman" w:hAnsi="Times New Roman"/>
          <w:sz w:val="24"/>
          <w:szCs w:val="24"/>
        </w:rPr>
        <w:t>his true address on the card and the addition of correct information</w:t>
      </w:r>
      <w:r>
        <w:rPr>
          <w:rFonts w:ascii="Times New Roman" w:hAnsi="Times New Roman"/>
          <w:sz w:val="24"/>
          <w:szCs w:val="24"/>
        </w:rPr>
        <w:t xml:space="preserve"> </w:t>
      </w:r>
      <w:r w:rsidRPr="00472D0A">
        <w:rPr>
          <w:rFonts w:ascii="Times New Roman" w:hAnsi="Times New Roman"/>
          <w:sz w:val="24"/>
          <w:szCs w:val="24"/>
        </w:rPr>
        <w:t xml:space="preserve">on the document did not indicate a lack of character or morals to be a firefighter. Even if it were, the Commission concluded the </w:t>
      </w:r>
      <w:proofErr w:type="gramStart"/>
      <w:r w:rsidRPr="00472D0A">
        <w:rPr>
          <w:rFonts w:ascii="Times New Roman" w:hAnsi="Times New Roman"/>
          <w:sz w:val="24"/>
          <w:szCs w:val="24"/>
        </w:rPr>
        <w:t>City</w:t>
      </w:r>
      <w:proofErr w:type="gramEnd"/>
      <w:r w:rsidRPr="00472D0A">
        <w:rPr>
          <w:rFonts w:ascii="Times New Roman" w:hAnsi="Times New Roman"/>
          <w:sz w:val="24"/>
          <w:szCs w:val="24"/>
        </w:rPr>
        <w:t xml:space="preserve"> was aware of the altered document in May 2017,</w:t>
      </w:r>
      <w:r>
        <w:rPr>
          <w:rFonts w:ascii="Times New Roman" w:hAnsi="Times New Roman"/>
          <w:sz w:val="24"/>
          <w:szCs w:val="24"/>
        </w:rPr>
        <w:t xml:space="preserve"> </w:t>
      </w:r>
      <w:r w:rsidRPr="00472D0A">
        <w:rPr>
          <w:rFonts w:ascii="Times New Roman" w:hAnsi="Times New Roman"/>
          <w:sz w:val="24"/>
          <w:szCs w:val="24"/>
        </w:rPr>
        <w:t>before D</w:t>
      </w:r>
      <w:r>
        <w:rPr>
          <w:rFonts w:ascii="Times New Roman" w:hAnsi="Times New Roman"/>
          <w:sz w:val="24"/>
          <w:szCs w:val="24"/>
        </w:rPr>
        <w:t>’</w:t>
      </w:r>
      <w:r w:rsidRPr="00472D0A">
        <w:rPr>
          <w:rFonts w:ascii="Times New Roman" w:hAnsi="Times New Roman"/>
          <w:sz w:val="24"/>
          <w:szCs w:val="24"/>
        </w:rPr>
        <w:t>Amico was hired and attended the</w:t>
      </w:r>
      <w:r>
        <w:rPr>
          <w:rFonts w:ascii="Times New Roman" w:hAnsi="Times New Roman"/>
          <w:sz w:val="24"/>
          <w:szCs w:val="24"/>
        </w:rPr>
        <w:t xml:space="preserve"> </w:t>
      </w:r>
      <w:r w:rsidRPr="00472D0A">
        <w:rPr>
          <w:rFonts w:ascii="Times New Roman" w:hAnsi="Times New Roman"/>
          <w:sz w:val="24"/>
          <w:szCs w:val="24"/>
        </w:rPr>
        <w:t>fire</w:t>
      </w:r>
      <w:r>
        <w:rPr>
          <w:rFonts w:ascii="Times New Roman" w:hAnsi="Times New Roman"/>
          <w:sz w:val="24"/>
          <w:szCs w:val="24"/>
        </w:rPr>
        <w:t xml:space="preserve"> </w:t>
      </w:r>
      <w:r w:rsidRPr="00472D0A">
        <w:rPr>
          <w:rFonts w:ascii="Times New Roman" w:hAnsi="Times New Roman"/>
          <w:sz w:val="24"/>
          <w:szCs w:val="24"/>
        </w:rPr>
        <w:t>academy. In addition, because D</w:t>
      </w:r>
      <w:r>
        <w:rPr>
          <w:rFonts w:ascii="Times New Roman" w:hAnsi="Times New Roman"/>
          <w:sz w:val="24"/>
          <w:szCs w:val="24"/>
        </w:rPr>
        <w:t>’</w:t>
      </w:r>
      <w:r w:rsidRPr="00472D0A">
        <w:rPr>
          <w:rFonts w:ascii="Times New Roman" w:hAnsi="Times New Roman"/>
          <w:sz w:val="24"/>
          <w:szCs w:val="24"/>
        </w:rPr>
        <w:t xml:space="preserve">Amico was on the job for only three or four hours at the time he was terminated, the Commission concluded the </w:t>
      </w:r>
      <w:proofErr w:type="gramStart"/>
      <w:r w:rsidRPr="00472D0A">
        <w:rPr>
          <w:rFonts w:ascii="Times New Roman" w:hAnsi="Times New Roman"/>
          <w:sz w:val="24"/>
          <w:szCs w:val="24"/>
        </w:rPr>
        <w:t>City</w:t>
      </w:r>
      <w:proofErr w:type="gramEnd"/>
      <w:r w:rsidRPr="00472D0A">
        <w:rPr>
          <w:rFonts w:ascii="Times New Roman" w:hAnsi="Times New Roman"/>
          <w:sz w:val="24"/>
          <w:szCs w:val="24"/>
        </w:rPr>
        <w:t xml:space="preserve"> had the burden of proving D</w:t>
      </w:r>
      <w:r>
        <w:rPr>
          <w:rFonts w:ascii="Times New Roman" w:hAnsi="Times New Roman"/>
          <w:sz w:val="24"/>
          <w:szCs w:val="24"/>
        </w:rPr>
        <w:t>’</w:t>
      </w:r>
      <w:r w:rsidRPr="00472D0A">
        <w:rPr>
          <w:rFonts w:ascii="Times New Roman" w:hAnsi="Times New Roman"/>
          <w:sz w:val="24"/>
          <w:szCs w:val="24"/>
        </w:rPr>
        <w:t>Amico was guilty of the charges. Based on its findings, the Commission reinstated D</w:t>
      </w:r>
      <w:r>
        <w:rPr>
          <w:rFonts w:ascii="Times New Roman" w:hAnsi="Times New Roman"/>
          <w:sz w:val="24"/>
          <w:szCs w:val="24"/>
        </w:rPr>
        <w:t>’</w:t>
      </w:r>
      <w:r w:rsidRPr="00472D0A">
        <w:rPr>
          <w:rFonts w:ascii="Times New Roman" w:hAnsi="Times New Roman"/>
          <w:sz w:val="24"/>
          <w:szCs w:val="24"/>
        </w:rPr>
        <w:t>Amico, and awarded</w:t>
      </w:r>
      <w:r>
        <w:rPr>
          <w:rFonts w:ascii="Times New Roman" w:hAnsi="Times New Roman"/>
          <w:sz w:val="24"/>
          <w:szCs w:val="24"/>
        </w:rPr>
        <w:t xml:space="preserve"> </w:t>
      </w:r>
      <w:r w:rsidRPr="00472D0A">
        <w:rPr>
          <w:rFonts w:ascii="Times New Roman" w:hAnsi="Times New Roman"/>
          <w:sz w:val="24"/>
          <w:szCs w:val="24"/>
        </w:rPr>
        <w:t>him</w:t>
      </w:r>
      <w:r>
        <w:rPr>
          <w:rFonts w:ascii="Times New Roman" w:hAnsi="Times New Roman"/>
          <w:sz w:val="24"/>
          <w:szCs w:val="24"/>
        </w:rPr>
        <w:t xml:space="preserve"> </w:t>
      </w:r>
      <w:r w:rsidRPr="00472D0A">
        <w:rPr>
          <w:rFonts w:ascii="Times New Roman" w:hAnsi="Times New Roman"/>
          <w:sz w:val="24"/>
          <w:szCs w:val="24"/>
        </w:rPr>
        <w:t>back pay, benefits,</w:t>
      </w:r>
      <w:r>
        <w:rPr>
          <w:rFonts w:ascii="Times New Roman" w:hAnsi="Times New Roman"/>
          <w:sz w:val="24"/>
          <w:szCs w:val="24"/>
        </w:rPr>
        <w:t xml:space="preserve"> </w:t>
      </w:r>
      <w:r w:rsidRPr="00472D0A">
        <w:rPr>
          <w:rFonts w:ascii="Times New Roman" w:hAnsi="Times New Roman"/>
          <w:sz w:val="24"/>
          <w:szCs w:val="24"/>
        </w:rPr>
        <w:t>and seniority status.</w:t>
      </w:r>
      <w:r>
        <w:rPr>
          <w:rFonts w:ascii="Times New Roman" w:hAnsi="Times New Roman"/>
          <w:sz w:val="24"/>
          <w:szCs w:val="24"/>
        </w:rPr>
        <w:t xml:space="preserve">” </w:t>
      </w:r>
      <w:hyperlink r:id="rId2604" w:history="1">
        <w:r w:rsidRPr="00AA126E">
          <w:rPr>
            <w:rStyle w:val="Hyperlink"/>
            <w:rFonts w:ascii="Times New Roman" w:hAnsi="Times New Roman"/>
            <w:sz w:val="24"/>
            <w:szCs w:val="24"/>
          </w:rPr>
          <w:t>https://njcourts.gov/attorneys/assets/opinions/appellate/unpublished/a4576-18.pdf?c=len</w:t>
        </w:r>
      </w:hyperlink>
      <w:r>
        <w:rPr>
          <w:rFonts w:ascii="Times New Roman" w:hAnsi="Times New Roman"/>
          <w:sz w:val="24"/>
          <w:szCs w:val="24"/>
        </w:rPr>
        <w:t xml:space="preserve"> </w:t>
      </w:r>
    </w:p>
    <w:p w14:paraId="4D9600FB" w14:textId="77777777" w:rsidR="00663A6A" w:rsidRPr="00213E82" w:rsidRDefault="00663A6A" w:rsidP="00663A6A">
      <w:pPr>
        <w:pStyle w:val="Heading1"/>
        <w:rPr>
          <w:sz w:val="24"/>
          <w:szCs w:val="24"/>
        </w:rPr>
      </w:pPr>
      <w:r w:rsidRPr="00213E82">
        <w:rPr>
          <w:sz w:val="24"/>
          <w:szCs w:val="24"/>
        </w:rPr>
        <w:t xml:space="preserve">Legal Lesson Learned: </w:t>
      </w:r>
      <w:r>
        <w:rPr>
          <w:sz w:val="24"/>
          <w:szCs w:val="24"/>
        </w:rPr>
        <w:t xml:space="preserve">Recruit was fortunate to have a Fire Chief who supported him. If city </w:t>
      </w:r>
      <w:proofErr w:type="gramStart"/>
      <w:r>
        <w:rPr>
          <w:sz w:val="24"/>
          <w:szCs w:val="24"/>
        </w:rPr>
        <w:t>needed</w:t>
      </w:r>
      <w:proofErr w:type="gramEnd"/>
      <w:r>
        <w:rPr>
          <w:sz w:val="24"/>
          <w:szCs w:val="24"/>
        </w:rPr>
        <w:t xml:space="preserve"> more proof of your residency, ask for additional time to prove you moved into the city. </w:t>
      </w:r>
    </w:p>
    <w:p w14:paraId="0EB06B69" w14:textId="77777777" w:rsidR="00663A6A" w:rsidRDefault="00663A6A" w:rsidP="00663A6A">
      <w:pPr>
        <w:pStyle w:val="Heading1"/>
        <w:ind w:left="720"/>
      </w:pPr>
      <w:r>
        <w:rPr>
          <w:b w:val="0"/>
          <w:bCs w:val="0"/>
          <w:sz w:val="24"/>
          <w:szCs w:val="24"/>
        </w:rPr>
        <w:lastRenderedPageBreak/>
        <w:t>Note: This case was featured in trade press. “</w:t>
      </w:r>
      <w:r w:rsidRPr="00213E82">
        <w:rPr>
          <w:b w:val="0"/>
          <w:bCs w:val="0"/>
          <w:sz w:val="24"/>
          <w:szCs w:val="24"/>
        </w:rPr>
        <w:t>NJ Firefighter Fired Three Hours Into First Day Can Stay on Job, Court Rules</w:t>
      </w:r>
      <w:r>
        <w:rPr>
          <w:b w:val="0"/>
          <w:bCs w:val="0"/>
          <w:sz w:val="24"/>
          <w:szCs w:val="24"/>
        </w:rPr>
        <w:t xml:space="preserve">” (Nov. 2, 2020): </w:t>
      </w:r>
      <w:hyperlink r:id="rId2605" w:history="1">
        <w:r w:rsidRPr="00214867">
          <w:rPr>
            <w:rStyle w:val="Hyperlink"/>
            <w:b w:val="0"/>
            <w:bCs w:val="0"/>
            <w:sz w:val="24"/>
            <w:szCs w:val="24"/>
          </w:rPr>
          <w:t>https://www.fireengineering.com/2020/11/02/495783/nj-firefighter-fired-three-hours-into-first-day-can-stay-on-job-court-rules/?utm_medium=email&amp;utm_campaign=2020-11-03&amp;utm_source=fe_daily_newsletter</w:t>
        </w:r>
      </w:hyperlink>
      <w:r w:rsidRPr="00214867">
        <w:rPr>
          <w:b w:val="0"/>
          <w:bCs w:val="0"/>
          <w:sz w:val="24"/>
          <w:szCs w:val="24"/>
        </w:rPr>
        <w:t xml:space="preserve"> </w:t>
      </w:r>
    </w:p>
    <w:p w14:paraId="05273E84" w14:textId="77777777" w:rsidR="00663A6A" w:rsidRDefault="00663A6A" w:rsidP="00F326E5">
      <w:pPr>
        <w:pStyle w:val="NoSpacing"/>
        <w:rPr>
          <w:rFonts w:ascii="Arial Black" w:hAnsi="Arial Black"/>
          <w:sz w:val="24"/>
          <w:szCs w:val="24"/>
        </w:rPr>
      </w:pPr>
    </w:p>
    <w:p w14:paraId="32BD0D5B" w14:textId="77777777" w:rsidR="00663A6A" w:rsidRDefault="00663A6A" w:rsidP="00F326E5">
      <w:pPr>
        <w:pStyle w:val="NoSpacing"/>
        <w:rPr>
          <w:rFonts w:ascii="Arial Black" w:hAnsi="Arial Black"/>
          <w:sz w:val="24"/>
          <w:szCs w:val="24"/>
        </w:rPr>
      </w:pPr>
    </w:p>
    <w:p w14:paraId="6EA637F2" w14:textId="77777777" w:rsidR="00663A6A" w:rsidRDefault="00663A6A" w:rsidP="00F326E5">
      <w:pPr>
        <w:pStyle w:val="NoSpacing"/>
        <w:rPr>
          <w:rFonts w:ascii="Arial Black" w:hAnsi="Arial Black"/>
          <w:sz w:val="24"/>
          <w:szCs w:val="24"/>
        </w:rPr>
      </w:pPr>
    </w:p>
    <w:p w14:paraId="4ED2251A" w14:textId="1ED50ED1" w:rsidR="00102FD0" w:rsidRDefault="00102FD0" w:rsidP="00F326E5">
      <w:pPr>
        <w:pStyle w:val="NoSpacing"/>
        <w:rPr>
          <w:rFonts w:ascii="Arial Black" w:hAnsi="Arial Black"/>
          <w:sz w:val="24"/>
          <w:szCs w:val="24"/>
        </w:rPr>
      </w:pPr>
      <w:r>
        <w:rPr>
          <w:rFonts w:ascii="Arial Black" w:hAnsi="Arial Black"/>
          <w:sz w:val="24"/>
          <w:szCs w:val="24"/>
        </w:rPr>
        <w:t>16-45</w:t>
      </w:r>
    </w:p>
    <w:p w14:paraId="310AF3AA" w14:textId="77777777" w:rsidR="00102FD0" w:rsidRPr="007C11CE" w:rsidRDefault="00102FD0" w:rsidP="00102FD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LA: ASSISTANT CHIEF - LYING TO CHIEF ABOUT LUNCH PRESENTATION – PURGED CELL PHONE TEXTS – TERMINATION UPHELD</w:t>
      </w:r>
    </w:p>
    <w:p w14:paraId="0C328F5C"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20, 2020, in </w:t>
      </w:r>
      <w:r w:rsidRPr="007C11CE">
        <w:rPr>
          <w:rFonts w:ascii="Times New Roman" w:eastAsia="Times New Roman" w:hAnsi="Times New Roman"/>
          <w:sz w:val="24"/>
          <w:szCs w:val="24"/>
          <w:u w:val="single"/>
        </w:rPr>
        <w:t>Frederick N. Meiners, III v. St. Tammany Parish Fire Protection District No. 4, et al.</w:t>
      </w:r>
      <w:r>
        <w:rPr>
          <w:rFonts w:ascii="Times New Roman" w:eastAsia="Times New Roman" w:hAnsi="Times New Roman"/>
          <w:sz w:val="24"/>
          <w:szCs w:val="24"/>
        </w:rPr>
        <w:t>, the Supreme Court of Louisiana, held (6 to 1) that the District Court judge had no authority to overturn the Civil Service Board’s decision upholding the termination.</w:t>
      </w:r>
    </w:p>
    <w:p w14:paraId="0AB284A8" w14:textId="77777777" w:rsidR="00102FD0" w:rsidRDefault="00102FD0" w:rsidP="00102FD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D33F4">
        <w:rPr>
          <w:rFonts w:ascii="Times New Roman" w:hAnsi="Times New Roman"/>
          <w:sz w:val="24"/>
          <w:szCs w:val="24"/>
        </w:rPr>
        <w:t xml:space="preserve">We acknowledge the district court did not specifically impose a new sanction; rather, the district court's judgment simply </w:t>
      </w:r>
      <w:proofErr w:type="gramStart"/>
      <w:r w:rsidRPr="008D33F4">
        <w:rPr>
          <w:rFonts w:ascii="Times New Roman" w:hAnsi="Times New Roman"/>
          <w:sz w:val="24"/>
          <w:szCs w:val="24"/>
        </w:rPr>
        <w:t>states</w:t>
      </w:r>
      <w:proofErr w:type="gramEnd"/>
      <w:r w:rsidRPr="008D33F4">
        <w:rPr>
          <w:rFonts w:ascii="Times New Roman" w:hAnsi="Times New Roman"/>
          <w:sz w:val="24"/>
          <w:szCs w:val="24"/>
        </w:rPr>
        <w:t xml:space="preserve"> </w:t>
      </w:r>
      <w:r>
        <w:rPr>
          <w:rFonts w:ascii="Times New Roman" w:hAnsi="Times New Roman"/>
          <w:sz w:val="24"/>
          <w:szCs w:val="24"/>
        </w:rPr>
        <w:t>‘</w:t>
      </w:r>
      <w:r w:rsidRPr="008D33F4">
        <w:rPr>
          <w:rFonts w:ascii="Times New Roman" w:hAnsi="Times New Roman"/>
          <w:sz w:val="24"/>
          <w:szCs w:val="24"/>
        </w:rPr>
        <w:t>remanded to the St. Tammany Parish Fire Protection District No. 4 Civil Service Board for further proceedings in accordance with this Judgment and the written reasons issued by the Court on November 14, 2018.</w:t>
      </w:r>
      <w:r>
        <w:rPr>
          <w:rFonts w:ascii="Times New Roman" w:hAnsi="Times New Roman"/>
          <w:sz w:val="24"/>
          <w:szCs w:val="24"/>
        </w:rPr>
        <w:t xml:space="preserve">’ </w:t>
      </w:r>
      <w:r w:rsidRPr="008D33F4">
        <w:rPr>
          <w:rFonts w:ascii="Times New Roman" w:hAnsi="Times New Roman"/>
          <w:sz w:val="24"/>
          <w:szCs w:val="24"/>
        </w:rPr>
        <w:t>Nonetheless, the clear implication of the court's judgment is that termination is excessive, and the Board must therefore revise its decision to impose a lesser sanction. Thus, although the district court did not explicitly dictate the sanction, it defined the parameters of the sanction as being something other than termination. This action clearly goes beyond the authority granted to the district court under La. R.S. 33:2561(E).</w:t>
      </w:r>
      <w:r>
        <w:rPr>
          <w:rFonts w:ascii="Times New Roman" w:hAnsi="Times New Roman"/>
          <w:sz w:val="24"/>
          <w:szCs w:val="24"/>
        </w:rPr>
        <w:t xml:space="preserve">” </w:t>
      </w:r>
      <w:hyperlink r:id="rId2606" w:history="1">
        <w:r w:rsidRPr="000B4E4B">
          <w:rPr>
            <w:rStyle w:val="Hyperlink"/>
            <w:rFonts w:ascii="Times New Roman" w:eastAsia="Times New Roman" w:hAnsi="Times New Roman"/>
            <w:sz w:val="24"/>
            <w:szCs w:val="24"/>
          </w:rPr>
          <w:t>https://www.lasc.org/Opinions/2020/20-0491.CC.OPN.pdf</w:t>
        </w:r>
      </w:hyperlink>
      <w:r>
        <w:rPr>
          <w:rFonts w:ascii="Times New Roman" w:eastAsia="Times New Roman" w:hAnsi="Times New Roman"/>
          <w:sz w:val="24"/>
          <w:szCs w:val="24"/>
        </w:rPr>
        <w:t xml:space="preserve"> </w:t>
      </w:r>
    </w:p>
    <w:p w14:paraId="52D5FC6C" w14:textId="77777777" w:rsidR="00102FD0" w:rsidRPr="001149D1" w:rsidRDefault="00102FD0" w:rsidP="00102FD0">
      <w:pPr>
        <w:spacing w:after="100" w:line="240" w:lineRule="auto"/>
        <w:rPr>
          <w:rFonts w:ascii="Times New Roman" w:eastAsia="Times New Roman" w:hAnsi="Times New Roman"/>
          <w:b/>
          <w:bCs/>
          <w:sz w:val="24"/>
          <w:szCs w:val="24"/>
        </w:rPr>
      </w:pPr>
      <w:r w:rsidRPr="001149D1">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When under investigation for lying to a superior officer, conduct involving destruction of evidence (deleting texts from cell phone) can have very serious consequences.</w:t>
      </w:r>
    </w:p>
    <w:p w14:paraId="623547A8" w14:textId="77777777" w:rsidR="00102FD0" w:rsidRDefault="00102FD0" w:rsidP="00F326E5">
      <w:pPr>
        <w:pStyle w:val="NoSpacing"/>
        <w:rPr>
          <w:rFonts w:ascii="Arial Black" w:hAnsi="Arial Black"/>
          <w:sz w:val="24"/>
          <w:szCs w:val="24"/>
        </w:rPr>
      </w:pPr>
    </w:p>
    <w:p w14:paraId="10B4883D" w14:textId="77777777" w:rsidR="00102FD0" w:rsidRDefault="00102FD0" w:rsidP="00F326E5">
      <w:pPr>
        <w:pStyle w:val="NoSpacing"/>
        <w:rPr>
          <w:rFonts w:ascii="Arial Black" w:hAnsi="Arial Black"/>
          <w:sz w:val="24"/>
          <w:szCs w:val="24"/>
        </w:rPr>
      </w:pPr>
    </w:p>
    <w:p w14:paraId="55EA79D9" w14:textId="6EE6360D" w:rsidR="00B532F6" w:rsidRDefault="00B532F6" w:rsidP="00F326E5">
      <w:pPr>
        <w:pStyle w:val="NoSpacing"/>
        <w:rPr>
          <w:rFonts w:ascii="Arial Black" w:hAnsi="Arial Black"/>
          <w:sz w:val="24"/>
          <w:szCs w:val="24"/>
        </w:rPr>
      </w:pPr>
      <w:r>
        <w:rPr>
          <w:rFonts w:ascii="Arial Black" w:hAnsi="Arial Black"/>
          <w:sz w:val="24"/>
          <w:szCs w:val="24"/>
        </w:rPr>
        <w:t>16-44</w:t>
      </w:r>
    </w:p>
    <w:p w14:paraId="13FF3A83" w14:textId="77777777" w:rsidR="00B532F6" w:rsidRPr="00036F0B" w:rsidRDefault="00B532F6" w:rsidP="00B532F6">
      <w:pPr>
        <w:pStyle w:val="NormalWeb"/>
        <w:rPr>
          <w:rFonts w:ascii="Arial Black" w:hAnsi="Arial Black"/>
          <w:sz w:val="28"/>
          <w:szCs w:val="28"/>
        </w:rPr>
      </w:pPr>
      <w:r w:rsidRPr="00036F0B">
        <w:rPr>
          <w:rFonts w:ascii="Arial Black" w:hAnsi="Arial Black"/>
          <w:sz w:val="28"/>
          <w:szCs w:val="28"/>
        </w:rPr>
        <w:t xml:space="preserve">CA: </w:t>
      </w:r>
      <w:r>
        <w:rPr>
          <w:rFonts w:ascii="Arial Black" w:hAnsi="Arial Black"/>
          <w:sz w:val="28"/>
          <w:szCs w:val="28"/>
        </w:rPr>
        <w:t>CAPTAIN’S EXAM - INTERVIEW QUESTIONS LEAKED TO 3 - DEMOTED, REAPPOINTED, THEN DEMOTED AGAIN – OVERTURNED</w:t>
      </w:r>
    </w:p>
    <w:p w14:paraId="41746CFC" w14:textId="77777777" w:rsidR="00B532F6" w:rsidRDefault="00B532F6" w:rsidP="00B532F6">
      <w:pPr>
        <w:pStyle w:val="NormalWeb"/>
      </w:pPr>
      <w:r>
        <w:t xml:space="preserve">On Sept. 23, 2020, in </w:t>
      </w:r>
      <w:r w:rsidRPr="00CF230F">
        <w:rPr>
          <w:u w:val="single"/>
        </w:rPr>
        <w:t>Justin Chaplain, et al. v. State Personnel Board and Department of Forestry And Fire Protection</w:t>
      </w:r>
      <w:r>
        <w:t xml:space="preserve">, the Court of Appeals of the State of California, First Appellate District (Division One), held (3 to 0) that the State Personnel Board is reversed; CAL FIRE could not reimpose demotion of two Captains, since those firefighters had never appealed from their original demotion.   Third Captain did appeal so Board does have jurisdiction over his case [hopefully CAL FIRE will likewise re-promote him]. </w:t>
      </w:r>
    </w:p>
    <w:p w14:paraId="2A85DEA2" w14:textId="77777777" w:rsidR="00B532F6" w:rsidRDefault="00B532F6" w:rsidP="00B532F6">
      <w:pPr>
        <w:pStyle w:val="NormalWeb"/>
        <w:ind w:left="720"/>
      </w:pPr>
      <w:r>
        <w:t xml:space="preserve">“Here, the firefighters [Justine Chaplain and Justin Michels] have consistently claimed that the Board lacked the legal authority to proceed against them twice for the same behavior. Their specific argument that a substitution of disciplinary charges must occur before an action is concluded is based on principles related to statutory finality, not on those related to limitation periods. </w:t>
      </w:r>
    </w:p>
    <w:p w14:paraId="6CBAB395" w14:textId="77777777" w:rsidR="00B532F6" w:rsidRDefault="00B532F6" w:rsidP="00B532F6">
      <w:pPr>
        <w:pStyle w:val="NormalWeb"/>
        <w:ind w:left="720"/>
      </w:pPr>
      <w:r>
        <w:lastRenderedPageBreak/>
        <w:t xml:space="preserve">On the merits, we agree with the firefighters that once a disciplinary action becomes final, the employer is prohibited from withdrawing it and initiating a new adverse action. </w:t>
      </w:r>
      <w:r w:rsidRPr="00F81757">
        <w:t>The plain language of section 19575 could not be clearer: an appointing</w:t>
      </w:r>
      <w:r>
        <w:t xml:space="preserve"> </w:t>
      </w:r>
      <w:r w:rsidRPr="00F81757">
        <w:t>power's discipline is final where no appeal is taken within 30 calendar day</w:t>
      </w:r>
      <w:r>
        <w:t>s.</w:t>
      </w:r>
    </w:p>
    <w:p w14:paraId="518846F3" w14:textId="77777777" w:rsidR="00B532F6" w:rsidRDefault="00B532F6" w:rsidP="00B532F6">
      <w:pPr>
        <w:pStyle w:val="NormalWeb"/>
        <w:ind w:left="720"/>
      </w:pPr>
      <w:r>
        <w:t>***</w:t>
      </w:r>
    </w:p>
    <w:p w14:paraId="7416C0CD" w14:textId="77777777" w:rsidR="00B532F6" w:rsidRDefault="00B532F6" w:rsidP="00B532F6">
      <w:pPr>
        <w:pStyle w:val="NormalWeb"/>
        <w:ind w:left="720"/>
      </w:pPr>
      <w:r>
        <w:t xml:space="preserve">Our analysis is different, however, for </w:t>
      </w:r>
      <w:proofErr w:type="spellStart"/>
      <w:r>
        <w:t>Schonig</w:t>
      </w:r>
      <w:proofErr w:type="spellEnd"/>
      <w:r>
        <w:t xml:space="preserve">, who appealed the first notice of adverse action to the Board. His discipline thus was not final under section 19575 when CAL FIRE served him with the new notice of adverse action.” </w:t>
      </w:r>
      <w:hyperlink r:id="rId2607" w:history="1">
        <w:r w:rsidRPr="00443DB2">
          <w:rPr>
            <w:rStyle w:val="Hyperlink"/>
          </w:rPr>
          <w:t>https://www.courts.ca.gov/opinions/documents/A155107.PDF</w:t>
        </w:r>
      </w:hyperlink>
      <w:r>
        <w:t xml:space="preserve"> </w:t>
      </w:r>
    </w:p>
    <w:p w14:paraId="7D626152" w14:textId="77777777" w:rsidR="00B532F6" w:rsidRDefault="00B532F6" w:rsidP="00B532F6">
      <w:pPr>
        <w:spacing w:before="100" w:beforeAutospacing="1" w:after="100" w:afterAutospacing="1" w:line="240" w:lineRule="auto"/>
        <w:rPr>
          <w:rFonts w:ascii="Times New Roman" w:eastAsia="Times New Roman" w:hAnsi="Times New Roman"/>
          <w:b/>
          <w:bCs/>
          <w:sz w:val="24"/>
          <w:szCs w:val="24"/>
        </w:rPr>
      </w:pPr>
      <w:r w:rsidRPr="007A07AB">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The FD did not adequately prove that there was new evidence or other good cause to re-impose discipline a second time.  </w:t>
      </w:r>
    </w:p>
    <w:p w14:paraId="423C7A67" w14:textId="77777777" w:rsidR="00B532F6" w:rsidRPr="007A07AB" w:rsidRDefault="00B532F6" w:rsidP="00B532F6">
      <w:pPr>
        <w:pStyle w:val="Heading1"/>
        <w:ind w:left="720"/>
        <w:rPr>
          <w:b w:val="0"/>
          <w:bCs w:val="0"/>
          <w:sz w:val="24"/>
          <w:szCs w:val="24"/>
        </w:rPr>
      </w:pPr>
      <w:r w:rsidRPr="007A07AB">
        <w:rPr>
          <w:b w:val="0"/>
          <w:bCs w:val="0"/>
          <w:sz w:val="24"/>
          <w:szCs w:val="24"/>
        </w:rPr>
        <w:t xml:space="preserve">Note:  </w:t>
      </w:r>
    </w:p>
    <w:p w14:paraId="2530A5C0" w14:textId="77777777" w:rsidR="00B532F6" w:rsidRPr="00D37249" w:rsidRDefault="00B532F6" w:rsidP="00B532F6">
      <w:pPr>
        <w:ind w:left="720"/>
        <w:rPr>
          <w:rFonts w:ascii="Times New Roman" w:hAnsi="Times New Roman"/>
          <w:sz w:val="24"/>
          <w:szCs w:val="24"/>
        </w:rPr>
      </w:pPr>
      <w:r w:rsidRPr="00D37249">
        <w:rPr>
          <w:rFonts w:ascii="Times New Roman" w:eastAsia="Times New Roman" w:hAnsi="Times New Roman"/>
          <w:sz w:val="24"/>
          <w:szCs w:val="24"/>
        </w:rPr>
        <w:t xml:space="preserve">See June 14, </w:t>
      </w:r>
      <w:proofErr w:type="gramStart"/>
      <w:r w:rsidRPr="00D37249">
        <w:rPr>
          <w:rFonts w:ascii="Times New Roman" w:eastAsia="Times New Roman" w:hAnsi="Times New Roman"/>
          <w:sz w:val="24"/>
          <w:szCs w:val="24"/>
        </w:rPr>
        <w:t>2015</w:t>
      </w:r>
      <w:proofErr w:type="gramEnd"/>
      <w:r w:rsidRPr="00D37249">
        <w:rPr>
          <w:rFonts w:ascii="Times New Roman" w:eastAsia="Times New Roman" w:hAnsi="Times New Roman"/>
          <w:sz w:val="24"/>
          <w:szCs w:val="24"/>
        </w:rPr>
        <w:t xml:space="preserve"> article: </w:t>
      </w:r>
      <w:r w:rsidRPr="00D37249">
        <w:rPr>
          <w:rFonts w:ascii="Times New Roman" w:hAnsi="Times New Roman"/>
          <w:sz w:val="24"/>
          <w:szCs w:val="24"/>
        </w:rPr>
        <w:t>“New Cal Fire demotions challenged, reveal more alleged cheating details.” “</w:t>
      </w:r>
      <w:r w:rsidRPr="00D37249">
        <w:rPr>
          <w:rFonts w:ascii="Times New Roman" w:eastAsia="Times New Roman" w:hAnsi="Times New Roman"/>
          <w:sz w:val="24"/>
          <w:szCs w:val="24"/>
        </w:rPr>
        <w:t xml:space="preserve">Michels, </w:t>
      </w:r>
      <w:proofErr w:type="spellStart"/>
      <w:r w:rsidRPr="00D37249">
        <w:rPr>
          <w:rFonts w:ascii="Times New Roman" w:eastAsia="Times New Roman" w:hAnsi="Times New Roman"/>
          <w:sz w:val="24"/>
          <w:szCs w:val="24"/>
        </w:rPr>
        <w:t>Schonig</w:t>
      </w:r>
      <w:proofErr w:type="spellEnd"/>
      <w:r w:rsidRPr="00D37249">
        <w:rPr>
          <w:rFonts w:ascii="Times New Roman" w:eastAsia="Times New Roman" w:hAnsi="Times New Roman"/>
          <w:sz w:val="24"/>
          <w:szCs w:val="24"/>
        </w:rPr>
        <w:t xml:space="preserve"> and Chaplin allegedly received text messages last year from then-Cal Fire Academy instructor Orville Fleming that contained interview questions and answers for temporary fire captain jobs at the Ione training facility. Fleming was on the interview panel that ranked candidates, </w:t>
      </w:r>
      <w:proofErr w:type="gramStart"/>
      <w:r w:rsidRPr="00D37249">
        <w:rPr>
          <w:rFonts w:ascii="Times New Roman" w:eastAsia="Times New Roman" w:hAnsi="Times New Roman"/>
          <w:sz w:val="24"/>
          <w:szCs w:val="24"/>
        </w:rPr>
        <w:t>according</w:t>
      </w:r>
      <w:proofErr w:type="gramEnd"/>
      <w:r w:rsidRPr="00D37249">
        <w:rPr>
          <w:rFonts w:ascii="Times New Roman" w:eastAsia="Times New Roman" w:hAnsi="Times New Roman"/>
          <w:sz w:val="24"/>
          <w:szCs w:val="24"/>
        </w:rPr>
        <w:t xml:space="preserve"> the new batch of state records obtained via Public Records Act </w:t>
      </w:r>
      <w:proofErr w:type="gramStart"/>
      <w:r w:rsidRPr="00D37249">
        <w:rPr>
          <w:rFonts w:ascii="Times New Roman" w:eastAsia="Times New Roman" w:hAnsi="Times New Roman"/>
          <w:sz w:val="24"/>
          <w:szCs w:val="24"/>
        </w:rPr>
        <w:t>request.”</w:t>
      </w:r>
      <w:proofErr w:type="gramEnd"/>
      <w:r>
        <w:rPr>
          <w:rFonts w:ascii="Times New Roman" w:eastAsia="Times New Roman" w:hAnsi="Times New Roman"/>
          <w:sz w:val="24"/>
          <w:szCs w:val="24"/>
        </w:rPr>
        <w:t xml:space="preserve"> </w:t>
      </w:r>
      <w:hyperlink r:id="rId2608" w:history="1">
        <w:r w:rsidRPr="00443DB2">
          <w:rPr>
            <w:rStyle w:val="Hyperlink"/>
            <w:rFonts w:ascii="Times New Roman" w:hAnsi="Times New Roman"/>
            <w:sz w:val="24"/>
            <w:szCs w:val="24"/>
          </w:rPr>
          <w:t>https://www.sacbee.com/news/politics-government/the-state-worker/article23903194.html</w:t>
        </w:r>
      </w:hyperlink>
      <w:r w:rsidRPr="00D37249">
        <w:rPr>
          <w:rFonts w:ascii="Times New Roman" w:hAnsi="Times New Roman"/>
          <w:sz w:val="24"/>
          <w:szCs w:val="24"/>
        </w:rPr>
        <w:t xml:space="preserve"> </w:t>
      </w:r>
    </w:p>
    <w:p w14:paraId="0FE447D9" w14:textId="1AB47CD9" w:rsidR="00B532F6" w:rsidRPr="00B532F6" w:rsidRDefault="00B532F6" w:rsidP="00B532F6">
      <w:pPr>
        <w:pStyle w:val="NoSpacing"/>
        <w:ind w:left="720"/>
        <w:rPr>
          <w:rFonts w:ascii="Times New Roman" w:hAnsi="Times New Roman"/>
          <w:sz w:val="24"/>
          <w:szCs w:val="24"/>
        </w:rPr>
      </w:pPr>
      <w:r w:rsidRPr="00B532F6">
        <w:rPr>
          <w:rFonts w:ascii="Times New Roman" w:hAnsi="Times New Roman"/>
          <w:sz w:val="24"/>
          <w:szCs w:val="24"/>
        </w:rPr>
        <w:t xml:space="preserve">See June 24, </w:t>
      </w:r>
      <w:proofErr w:type="gramStart"/>
      <w:r w:rsidRPr="00B532F6">
        <w:rPr>
          <w:rFonts w:ascii="Times New Roman" w:hAnsi="Times New Roman"/>
          <w:sz w:val="24"/>
          <w:szCs w:val="24"/>
        </w:rPr>
        <w:t>2015</w:t>
      </w:r>
      <w:proofErr w:type="gramEnd"/>
      <w:r w:rsidRPr="00B532F6">
        <w:rPr>
          <w:rFonts w:ascii="Times New Roman" w:hAnsi="Times New Roman"/>
          <w:sz w:val="24"/>
          <w:szCs w:val="24"/>
        </w:rPr>
        <w:t xml:space="preserve"> article, “Ex-Cal Fire battalion chief convicted of stabbing girlfriend to death.”  </w:t>
      </w:r>
      <w:hyperlink r:id="rId2609" w:history="1">
        <w:r w:rsidRPr="001F33D6">
          <w:rPr>
            <w:rStyle w:val="Hyperlink"/>
            <w:rFonts w:ascii="Times New Roman" w:hAnsi="Times New Roman"/>
            <w:sz w:val="24"/>
            <w:szCs w:val="24"/>
          </w:rPr>
          <w:t>https://www.latimes.com/local/lanow/la-me-ln-ex-cal-fire-chief-convicted-stabbing-girlfriend-20150624-story.html</w:t>
        </w:r>
      </w:hyperlink>
    </w:p>
    <w:p w14:paraId="0D06CA8A" w14:textId="77777777" w:rsidR="00B532F6" w:rsidRDefault="00B532F6" w:rsidP="00F326E5">
      <w:pPr>
        <w:pStyle w:val="NoSpacing"/>
        <w:rPr>
          <w:rFonts w:ascii="Arial Black" w:hAnsi="Arial Black"/>
          <w:sz w:val="24"/>
          <w:szCs w:val="24"/>
        </w:rPr>
      </w:pPr>
    </w:p>
    <w:p w14:paraId="146E9F23" w14:textId="1F514D14" w:rsidR="00B532F6" w:rsidRDefault="00B532F6" w:rsidP="00F326E5">
      <w:pPr>
        <w:pStyle w:val="NoSpacing"/>
        <w:rPr>
          <w:rFonts w:ascii="Arial Black" w:hAnsi="Arial Black"/>
          <w:sz w:val="24"/>
          <w:szCs w:val="24"/>
        </w:rPr>
      </w:pPr>
      <w:r>
        <w:rPr>
          <w:rFonts w:ascii="Arial Black" w:hAnsi="Arial Black"/>
          <w:sz w:val="24"/>
          <w:szCs w:val="24"/>
        </w:rPr>
        <w:t>16-43</w:t>
      </w:r>
    </w:p>
    <w:p w14:paraId="6768CAA3" w14:textId="77777777" w:rsidR="00B532F6" w:rsidRPr="00295AB9" w:rsidRDefault="00B532F6" w:rsidP="00B532F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TX: DISTRICT CHIEF POSTED COMMENTS ABOUT TRANSFER OPENING - FF SOCIAL MEDIA GROUP – DISCIPLINE UPHELD, FD POLICY BREACH</w:t>
      </w:r>
    </w:p>
    <w:p w14:paraId="3A32CD0F" w14:textId="77777777" w:rsidR="00B532F6" w:rsidRPr="008850B0" w:rsidRDefault="00B532F6" w:rsidP="00B532F6">
      <w:pPr>
        <w:spacing w:before="100" w:beforeAutospacing="1" w:after="100" w:afterAutospacing="1" w:line="240" w:lineRule="auto"/>
        <w:rPr>
          <w:rFonts w:ascii="Times New Roman" w:eastAsia="Times New Roman" w:hAnsi="Times New Roman"/>
          <w:sz w:val="24"/>
          <w:szCs w:val="24"/>
        </w:rPr>
      </w:pPr>
      <w:r w:rsidRPr="00295AB9">
        <w:rPr>
          <w:rFonts w:ascii="Times New Roman" w:eastAsia="Times New Roman" w:hAnsi="Times New Roman"/>
          <w:sz w:val="24"/>
          <w:szCs w:val="24"/>
        </w:rPr>
        <w:t xml:space="preserve">On Sept. 16, 2020, in </w:t>
      </w:r>
      <w:r w:rsidRPr="00295AB9">
        <w:rPr>
          <w:rFonts w:ascii="Times New Roman" w:eastAsia="Times New Roman" w:hAnsi="Times New Roman"/>
          <w:sz w:val="24"/>
          <w:szCs w:val="24"/>
          <w:u w:val="single"/>
        </w:rPr>
        <w:t>Steven M. Dunbar v. Samuel Pena, Houston Fire Chief and Robert I. Garcia, Houston Assistant Fire Chief</w:t>
      </w:r>
      <w:r>
        <w:rPr>
          <w:rFonts w:ascii="Times New Roman" w:eastAsia="Times New Roman" w:hAnsi="Times New Roman"/>
          <w:sz w:val="24"/>
          <w:szCs w:val="24"/>
        </w:rPr>
        <w:t xml:space="preserve">, the U.S. Court of Appeals for Fifth Circuit (New Orleans) held (3 to 0) that the Houston Fire Department lawfully suspended District Chief Dunbar (3 days, later reduced to one day) and transferred him to an administrative position in another FD district.  The posting concerned a transfer opportunity, which is not a matter of public concern and therefore not protected under First Amendment. The District Chief posted </w:t>
      </w:r>
      <w:r w:rsidRPr="008850B0">
        <w:rPr>
          <w:rFonts w:ascii="Times New Roman" w:eastAsia="Times New Roman" w:hAnsi="Times New Roman"/>
          <w:sz w:val="24"/>
          <w:szCs w:val="24"/>
        </w:rPr>
        <w:t xml:space="preserve">on a </w:t>
      </w:r>
      <w:r w:rsidRPr="008850B0">
        <w:rPr>
          <w:rFonts w:ascii="Times New Roman" w:hAnsi="Times New Roman"/>
          <w:sz w:val="24"/>
          <w:szCs w:val="24"/>
        </w:rPr>
        <w:t>private social media group for HFD firefighters</w:t>
      </w:r>
      <w:r>
        <w:rPr>
          <w:rFonts w:ascii="Times New Roman" w:hAnsi="Times New Roman"/>
          <w:sz w:val="24"/>
          <w:szCs w:val="24"/>
        </w:rPr>
        <w:t xml:space="preserve">: </w:t>
      </w:r>
      <w:r w:rsidRPr="008850B0">
        <w:rPr>
          <w:rFonts w:ascii="Times New Roman" w:hAnsi="Times New Roman"/>
          <w:sz w:val="24"/>
          <w:szCs w:val="24"/>
        </w:rPr>
        <w:t xml:space="preserve">"If you are thinking about putting in for a spot in District 64 on C-shift you better have your </w:t>
      </w:r>
      <w:proofErr w:type="spellStart"/>
      <w:r w:rsidRPr="008850B0">
        <w:rPr>
          <w:rFonts w:ascii="Times New Roman" w:hAnsi="Times New Roman"/>
          <w:sz w:val="24"/>
          <w:szCs w:val="24"/>
        </w:rPr>
        <w:t>sh</w:t>
      </w:r>
      <w:proofErr w:type="spellEnd"/>
      <w:r w:rsidRPr="008850B0">
        <w:rPr>
          <w:rFonts w:ascii="Times New Roman" w:hAnsi="Times New Roman"/>
          <w:sz w:val="24"/>
          <w:szCs w:val="24"/>
        </w:rPr>
        <w:t xml:space="preserve">** together. Wanna play games like </w:t>
      </w:r>
      <w:proofErr w:type="gramStart"/>
      <w:r w:rsidRPr="008850B0">
        <w:rPr>
          <w:rFonts w:ascii="Times New Roman" w:hAnsi="Times New Roman"/>
          <w:sz w:val="24"/>
          <w:szCs w:val="24"/>
        </w:rPr>
        <w:t>previously-assigned</w:t>
      </w:r>
      <w:proofErr w:type="gramEnd"/>
      <w:r w:rsidRPr="008850B0">
        <w:rPr>
          <w:rFonts w:ascii="Times New Roman" w:hAnsi="Times New Roman"/>
          <w:sz w:val="24"/>
          <w:szCs w:val="24"/>
        </w:rPr>
        <w:t xml:space="preserve"> members? You will be miserable...promise."</w:t>
      </w:r>
    </w:p>
    <w:p w14:paraId="49F18194" w14:textId="77777777" w:rsidR="00B532F6" w:rsidRPr="008850B0" w:rsidRDefault="00B532F6" w:rsidP="00B532F6">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8850B0">
        <w:rPr>
          <w:rFonts w:ascii="Times New Roman" w:hAnsi="Times New Roman"/>
          <w:sz w:val="24"/>
          <w:szCs w:val="24"/>
        </w:rPr>
        <w:t xml:space="preserve">Public employees are entitled to circumscribed constitutional protections in connection with their governmental duties, but they </w:t>
      </w:r>
      <w:r>
        <w:rPr>
          <w:rFonts w:ascii="Times New Roman" w:hAnsi="Times New Roman"/>
          <w:sz w:val="24"/>
          <w:szCs w:val="24"/>
        </w:rPr>
        <w:t>‘</w:t>
      </w:r>
      <w:r w:rsidRPr="008850B0">
        <w:rPr>
          <w:rFonts w:ascii="Times New Roman" w:hAnsi="Times New Roman"/>
          <w:sz w:val="24"/>
          <w:szCs w:val="24"/>
        </w:rPr>
        <w:t>do not surrender all their First Amendment rights by reason of their employment. Rather, the First Amendment protects a public employee's right, in certain circumstances, to speak as a citizen addressing matters of public concern.</w:t>
      </w:r>
      <w:r>
        <w:rPr>
          <w:rFonts w:ascii="Times New Roman" w:hAnsi="Times New Roman"/>
          <w:sz w:val="24"/>
          <w:szCs w:val="24"/>
        </w:rPr>
        <w:t>’</w:t>
      </w:r>
      <w:r w:rsidRPr="008850B0">
        <w:rPr>
          <w:rFonts w:ascii="Times New Roman" w:hAnsi="Times New Roman"/>
          <w:sz w:val="24"/>
          <w:szCs w:val="24"/>
        </w:rPr>
        <w:t xml:space="preserve"> </w:t>
      </w:r>
      <w:r w:rsidRPr="008850B0">
        <w:rPr>
          <w:rFonts w:ascii="Times New Roman" w:hAnsi="Times New Roman"/>
          <w:i/>
          <w:iCs/>
          <w:sz w:val="24"/>
          <w:szCs w:val="24"/>
        </w:rPr>
        <w:t>Garcetti v</w:t>
      </w:r>
      <w:r w:rsidRPr="008850B0">
        <w:rPr>
          <w:rFonts w:ascii="Times New Roman" w:hAnsi="Times New Roman"/>
          <w:sz w:val="24"/>
          <w:szCs w:val="24"/>
        </w:rPr>
        <w:t xml:space="preserve">. </w:t>
      </w:r>
      <w:r w:rsidRPr="008850B0">
        <w:rPr>
          <w:rFonts w:ascii="Times New Roman" w:hAnsi="Times New Roman"/>
          <w:i/>
          <w:iCs/>
          <w:sz w:val="24"/>
          <w:szCs w:val="24"/>
        </w:rPr>
        <w:t>Ceballos</w:t>
      </w:r>
      <w:r w:rsidRPr="008850B0">
        <w:rPr>
          <w:rFonts w:ascii="Times New Roman" w:hAnsi="Times New Roman"/>
          <w:sz w:val="24"/>
          <w:szCs w:val="24"/>
        </w:rPr>
        <w:t xml:space="preserve">, 547 U.S. 410, 417 (2006). Therefore, to be protected against adverse employment action in retaliation for speech, a public employee must speak in the employee's </w:t>
      </w:r>
      <w:r>
        <w:rPr>
          <w:rFonts w:ascii="Times New Roman" w:hAnsi="Times New Roman"/>
          <w:sz w:val="24"/>
          <w:szCs w:val="24"/>
        </w:rPr>
        <w:t>‘</w:t>
      </w:r>
      <w:r w:rsidRPr="008850B0">
        <w:rPr>
          <w:rFonts w:ascii="Times New Roman" w:hAnsi="Times New Roman"/>
          <w:sz w:val="24"/>
          <w:szCs w:val="24"/>
        </w:rPr>
        <w:t>capacity as a citizen,</w:t>
      </w:r>
      <w:r>
        <w:rPr>
          <w:rFonts w:ascii="Times New Roman" w:hAnsi="Times New Roman"/>
          <w:sz w:val="24"/>
          <w:szCs w:val="24"/>
        </w:rPr>
        <w:t>’</w:t>
      </w:r>
      <w:r w:rsidRPr="008850B0">
        <w:rPr>
          <w:rFonts w:ascii="Times New Roman" w:hAnsi="Times New Roman"/>
          <w:sz w:val="24"/>
          <w:szCs w:val="24"/>
        </w:rPr>
        <w:t xml:space="preserve"> rather than pursuant to the employee's </w:t>
      </w:r>
      <w:r>
        <w:rPr>
          <w:rFonts w:ascii="Times New Roman" w:hAnsi="Times New Roman"/>
          <w:sz w:val="24"/>
          <w:szCs w:val="24"/>
        </w:rPr>
        <w:t>‘</w:t>
      </w:r>
      <w:r w:rsidRPr="008850B0">
        <w:rPr>
          <w:rFonts w:ascii="Times New Roman" w:hAnsi="Times New Roman"/>
          <w:sz w:val="24"/>
          <w:szCs w:val="24"/>
        </w:rPr>
        <w:t>official duties,</w:t>
      </w:r>
      <w:r>
        <w:rPr>
          <w:rFonts w:ascii="Times New Roman" w:hAnsi="Times New Roman"/>
          <w:sz w:val="24"/>
          <w:szCs w:val="24"/>
        </w:rPr>
        <w:t>’</w:t>
      </w:r>
      <w:r w:rsidRPr="008850B0">
        <w:rPr>
          <w:rFonts w:ascii="Times New Roman" w:hAnsi="Times New Roman"/>
          <w:sz w:val="24"/>
          <w:szCs w:val="24"/>
        </w:rPr>
        <w:t xml:space="preserve"> and the employee must address a matter of public concern. </w:t>
      </w:r>
      <w:r w:rsidRPr="008850B0">
        <w:rPr>
          <w:rFonts w:ascii="Times New Roman" w:hAnsi="Times New Roman"/>
          <w:i/>
          <w:iCs/>
          <w:sz w:val="24"/>
          <w:szCs w:val="24"/>
        </w:rPr>
        <w:t>Id</w:t>
      </w:r>
      <w:r w:rsidRPr="008850B0">
        <w:rPr>
          <w:rFonts w:ascii="Times New Roman" w:hAnsi="Times New Roman"/>
          <w:sz w:val="24"/>
          <w:szCs w:val="24"/>
        </w:rPr>
        <w:t xml:space="preserve">. at 417, 421. </w:t>
      </w:r>
      <w:proofErr w:type="gramStart"/>
      <w:r w:rsidRPr="008850B0">
        <w:rPr>
          <w:rFonts w:ascii="Times New Roman" w:hAnsi="Times New Roman"/>
          <w:sz w:val="24"/>
          <w:szCs w:val="24"/>
        </w:rPr>
        <w:t xml:space="preserve">Otherwise, </w:t>
      </w:r>
      <w:r>
        <w:rPr>
          <w:rFonts w:ascii="Times New Roman" w:hAnsi="Times New Roman"/>
          <w:sz w:val="24"/>
          <w:szCs w:val="24"/>
        </w:rPr>
        <w:lastRenderedPageBreak/>
        <w:t>‘</w:t>
      </w:r>
      <w:proofErr w:type="gramEnd"/>
      <w:r w:rsidRPr="008850B0">
        <w:rPr>
          <w:rFonts w:ascii="Times New Roman" w:hAnsi="Times New Roman"/>
          <w:sz w:val="24"/>
          <w:szCs w:val="24"/>
        </w:rPr>
        <w:t>the employee has no First Amendment cause of action based on his or her employer's reaction to the speech.</w:t>
      </w:r>
      <w:r>
        <w:rPr>
          <w:rFonts w:ascii="Times New Roman" w:hAnsi="Times New Roman"/>
          <w:sz w:val="24"/>
          <w:szCs w:val="24"/>
        </w:rPr>
        <w:t>’</w:t>
      </w:r>
      <w:r w:rsidRPr="008850B0">
        <w:rPr>
          <w:rFonts w:ascii="Times New Roman" w:hAnsi="Times New Roman"/>
          <w:sz w:val="24"/>
          <w:szCs w:val="24"/>
        </w:rPr>
        <w:t xml:space="preserve"> </w:t>
      </w:r>
      <w:r w:rsidRPr="008850B0">
        <w:rPr>
          <w:rFonts w:ascii="Times New Roman" w:hAnsi="Times New Roman"/>
          <w:i/>
          <w:iCs/>
          <w:sz w:val="24"/>
          <w:szCs w:val="24"/>
        </w:rPr>
        <w:t>Id</w:t>
      </w:r>
      <w:r w:rsidRPr="008850B0">
        <w:rPr>
          <w:rFonts w:ascii="Times New Roman" w:hAnsi="Times New Roman"/>
          <w:sz w:val="24"/>
          <w:szCs w:val="24"/>
        </w:rPr>
        <w:t>. at 418.</w:t>
      </w:r>
      <w:r>
        <w:rPr>
          <w:rFonts w:ascii="Times New Roman" w:hAnsi="Times New Roman"/>
          <w:sz w:val="24"/>
          <w:szCs w:val="24"/>
        </w:rPr>
        <w:t xml:space="preserve"> </w:t>
      </w:r>
    </w:p>
    <w:p w14:paraId="333DDD8A" w14:textId="4A2E1669" w:rsidR="00B532F6" w:rsidRDefault="00B532F6" w:rsidP="00B532F6">
      <w:pPr>
        <w:pStyle w:val="NoSpacing"/>
        <w:rPr>
          <w:rStyle w:val="Hyperlink"/>
          <w:rFonts w:ascii="Times New Roman" w:hAnsi="Times New Roman"/>
          <w:sz w:val="24"/>
          <w:szCs w:val="24"/>
        </w:rPr>
      </w:pPr>
      <w:r w:rsidRPr="008850B0">
        <w:rPr>
          <w:rFonts w:ascii="Times New Roman" w:hAnsi="Times New Roman"/>
          <w:sz w:val="24"/>
          <w:szCs w:val="24"/>
        </w:rPr>
        <w:t xml:space="preserve">By contrast, employee-to-employee communications concerning </w:t>
      </w:r>
      <w:proofErr w:type="gramStart"/>
      <w:r w:rsidRPr="008850B0">
        <w:rPr>
          <w:rFonts w:ascii="Times New Roman" w:hAnsi="Times New Roman"/>
          <w:sz w:val="24"/>
          <w:szCs w:val="24"/>
        </w:rPr>
        <w:t>particular transfer</w:t>
      </w:r>
      <w:proofErr w:type="gramEnd"/>
      <w:r w:rsidRPr="008850B0">
        <w:rPr>
          <w:rFonts w:ascii="Times New Roman" w:hAnsi="Times New Roman"/>
          <w:sz w:val="24"/>
          <w:szCs w:val="24"/>
        </w:rPr>
        <w:t xml:space="preserve"> decisions generally do not implicate matters of public concern</w:t>
      </w:r>
      <w:r>
        <w:rPr>
          <w:rFonts w:ascii="Times New Roman" w:hAnsi="Times New Roman"/>
          <w:sz w:val="24"/>
          <w:szCs w:val="24"/>
        </w:rPr>
        <w:t xml:space="preserve">…. </w:t>
      </w:r>
      <w:hyperlink r:id="rId2610" w:history="1">
        <w:r w:rsidRPr="005E64DB">
          <w:rPr>
            <w:rStyle w:val="Hyperlink"/>
            <w:rFonts w:ascii="Times New Roman" w:hAnsi="Times New Roman"/>
            <w:sz w:val="24"/>
            <w:szCs w:val="24"/>
          </w:rPr>
          <w:t>http://www.ca5.uscourts.gov/opinions/unpub/20/20-20087.0.pdf</w:t>
        </w:r>
      </w:hyperlink>
    </w:p>
    <w:p w14:paraId="60FA9DE6" w14:textId="77777777" w:rsidR="00B532F6" w:rsidRPr="00DA4DDB" w:rsidRDefault="00B532F6" w:rsidP="00B532F6">
      <w:pPr>
        <w:spacing w:before="100" w:beforeAutospacing="1" w:after="100" w:afterAutospacing="1" w:line="240" w:lineRule="auto"/>
        <w:rPr>
          <w:rFonts w:ascii="Times New Roman" w:eastAsia="Times New Roman" w:hAnsi="Times New Roman"/>
          <w:b/>
          <w:bCs/>
          <w:sz w:val="24"/>
          <w:szCs w:val="24"/>
        </w:rPr>
      </w:pPr>
      <w:r w:rsidRPr="00DA4DDB">
        <w:rPr>
          <w:rFonts w:ascii="Times New Roman" w:hAnsi="Times New Roman"/>
          <w:b/>
          <w:bCs/>
          <w:sz w:val="24"/>
          <w:szCs w:val="24"/>
        </w:rPr>
        <w:t>Legal Lessons Learned:</w:t>
      </w:r>
      <w:r>
        <w:rPr>
          <w:rFonts w:ascii="Times New Roman" w:hAnsi="Times New Roman"/>
          <w:b/>
          <w:bCs/>
          <w:sz w:val="24"/>
          <w:szCs w:val="24"/>
        </w:rPr>
        <w:t xml:space="preserve"> Social media posts about internal FD matters are not protected under First Amendment.  </w:t>
      </w:r>
    </w:p>
    <w:p w14:paraId="09886929" w14:textId="77777777" w:rsidR="00B532F6" w:rsidRDefault="00B532F6" w:rsidP="00B532F6">
      <w:pPr>
        <w:spacing w:before="100" w:beforeAutospacing="1" w:after="100" w:afterAutospacing="1" w:line="240" w:lineRule="auto"/>
        <w:ind w:left="720"/>
        <w:rPr>
          <w:rFonts w:ascii="Times New Roman" w:hAnsi="Times New Roman"/>
          <w:sz w:val="24"/>
          <w:szCs w:val="24"/>
        </w:rPr>
      </w:pPr>
      <w:r w:rsidRPr="00DA4DDB">
        <w:rPr>
          <w:rFonts w:ascii="Times New Roman" w:eastAsia="Times New Roman" w:hAnsi="Times New Roman"/>
          <w:sz w:val="24"/>
          <w:szCs w:val="24"/>
        </w:rPr>
        <w:t>Note:</w:t>
      </w:r>
      <w:r>
        <w:rPr>
          <w:rFonts w:ascii="Times New Roman" w:eastAsia="Times New Roman" w:hAnsi="Times New Roman"/>
          <w:b/>
          <w:bCs/>
          <w:sz w:val="24"/>
          <w:szCs w:val="24"/>
        </w:rPr>
        <w:t xml:space="preserve"> </w:t>
      </w:r>
      <w:r w:rsidRPr="00DA4DDB">
        <w:rPr>
          <w:rFonts w:ascii="Times New Roman" w:hAnsi="Times New Roman"/>
          <w:sz w:val="24"/>
          <w:szCs w:val="24"/>
        </w:rPr>
        <w:t xml:space="preserve">Under HFD's transfer guidelines, </w:t>
      </w:r>
      <w:r>
        <w:rPr>
          <w:rFonts w:ascii="Times New Roman" w:hAnsi="Times New Roman"/>
          <w:sz w:val="24"/>
          <w:szCs w:val="24"/>
        </w:rPr>
        <w:t>‘</w:t>
      </w:r>
      <w:r w:rsidRPr="00DA4DDB">
        <w:rPr>
          <w:rFonts w:ascii="Times New Roman" w:hAnsi="Times New Roman"/>
          <w:sz w:val="24"/>
          <w:szCs w:val="24"/>
        </w:rPr>
        <w:t>No member will communicate with [a] member requesting [a] transfer, including the incoming officer, to promote or influence the candidacy of a member or to discourage a member from applying for a posted or anticipated vacancy. Any violation of this directive will result in disciplinary action.</w:t>
      </w:r>
      <w:r>
        <w:rPr>
          <w:rFonts w:ascii="Times New Roman" w:hAnsi="Times New Roman"/>
          <w:sz w:val="24"/>
          <w:szCs w:val="24"/>
        </w:rPr>
        <w:t>’</w:t>
      </w:r>
      <w:r w:rsidRPr="00DA4DDB">
        <w:rPr>
          <w:rFonts w:ascii="Times New Roman" w:hAnsi="Times New Roman"/>
          <w:sz w:val="24"/>
          <w:szCs w:val="24"/>
        </w:rPr>
        <w:t xml:space="preserve"> A similar statement was included in the memorandum announcing the transfer opportunity.</w:t>
      </w:r>
    </w:p>
    <w:p w14:paraId="651E9302" w14:textId="77777777" w:rsidR="00B532F6" w:rsidRDefault="00B532F6" w:rsidP="00B532F6">
      <w:pPr>
        <w:pStyle w:val="NoSpacing"/>
        <w:rPr>
          <w:rFonts w:ascii="Arial Black" w:hAnsi="Arial Black"/>
          <w:sz w:val="24"/>
          <w:szCs w:val="24"/>
        </w:rPr>
      </w:pPr>
    </w:p>
    <w:p w14:paraId="70AEF6E3" w14:textId="77777777" w:rsidR="00B532F6" w:rsidRDefault="00B532F6" w:rsidP="00F326E5">
      <w:pPr>
        <w:pStyle w:val="NoSpacing"/>
        <w:rPr>
          <w:rFonts w:ascii="Arial Black" w:hAnsi="Arial Black"/>
          <w:sz w:val="24"/>
          <w:szCs w:val="24"/>
        </w:rPr>
      </w:pPr>
    </w:p>
    <w:p w14:paraId="11A21A4E" w14:textId="72DBADFF" w:rsidR="00CD02AE" w:rsidRDefault="00CD02AE" w:rsidP="00F326E5">
      <w:pPr>
        <w:pStyle w:val="NoSpacing"/>
        <w:rPr>
          <w:rFonts w:ascii="Arial Black" w:hAnsi="Arial Black"/>
          <w:sz w:val="24"/>
          <w:szCs w:val="24"/>
        </w:rPr>
      </w:pPr>
      <w:r>
        <w:rPr>
          <w:rFonts w:ascii="Arial Black" w:hAnsi="Arial Black"/>
          <w:sz w:val="24"/>
          <w:szCs w:val="24"/>
        </w:rPr>
        <w:t>16-42</w:t>
      </w:r>
    </w:p>
    <w:p w14:paraId="2C2D18AC" w14:textId="77777777" w:rsidR="00CD02AE" w:rsidRDefault="00CD02AE" w:rsidP="00CD02AE">
      <w:pPr>
        <w:tabs>
          <w:tab w:val="left" w:pos="6680"/>
        </w:tabs>
        <w:spacing w:before="100" w:beforeAutospacing="1" w:after="100" w:afterAutospacing="1" w:line="240" w:lineRule="auto"/>
        <w:rPr>
          <w:rFonts w:ascii="Arial Black" w:hAnsi="Arial Black"/>
          <w:sz w:val="28"/>
          <w:szCs w:val="28"/>
        </w:rPr>
      </w:pPr>
      <w:r>
        <w:rPr>
          <w:rFonts w:ascii="Arial Black" w:hAnsi="Arial Black"/>
          <w:sz w:val="28"/>
          <w:szCs w:val="28"/>
        </w:rPr>
        <w:t>WA: FIRE CHIEF TERMINATED – CONTRACT REQUIRES “CAUSE” – LAWSUIT MAY PROCEED TO TRIAL</w:t>
      </w:r>
    </w:p>
    <w:p w14:paraId="59183A33" w14:textId="77777777" w:rsidR="00CD02AE" w:rsidRDefault="00CD02AE" w:rsidP="00CD02AE">
      <w:pPr>
        <w:tabs>
          <w:tab w:val="left" w:pos="668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19, 2020, in </w:t>
      </w:r>
      <w:r>
        <w:rPr>
          <w:rFonts w:ascii="Times New Roman" w:hAnsi="Times New Roman"/>
          <w:sz w:val="24"/>
          <w:szCs w:val="24"/>
          <w:u w:val="single"/>
        </w:rPr>
        <w:t>David W. Bathke v. City of Ocean Shores &amp; Crystal Dingler</w:t>
      </w:r>
      <w:r>
        <w:rPr>
          <w:rFonts w:ascii="Times New Roman" w:hAnsi="Times New Roman"/>
          <w:sz w:val="24"/>
          <w:szCs w:val="24"/>
        </w:rPr>
        <w:t>, U.S. District Court Judge Benjamin H. Settle, U.S. District Court, Western District of Washington at Tacoma, held that the City’s motion for summary judgment was denied concerning the “breach of contract” claim.  As to Bathke's other claims, the Court grants Defendants' motion for summary judgment and dismisses Bathke's claims for retaliation, promissory fraud, and negligent misrepresentation.</w:t>
      </w:r>
    </w:p>
    <w:p w14:paraId="117DADD1" w14:textId="77777777" w:rsidR="00CD02AE" w:rsidRDefault="00CD02AE" w:rsidP="00CD02AE">
      <w:pPr>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 xml:space="preserve">"In a wrongful termination case, whether an employer properly determined it had just cause for termination is a question for the trier of fact." </w:t>
      </w:r>
      <w:r>
        <w:rPr>
          <w:rFonts w:ascii="Times New Roman" w:eastAsia="Times New Roman" w:hAnsi="Times New Roman"/>
          <w:i/>
          <w:iCs/>
          <w:sz w:val="24"/>
          <w:szCs w:val="24"/>
        </w:rPr>
        <w:t>Lund v</w:t>
      </w:r>
      <w:r>
        <w:rPr>
          <w:rFonts w:ascii="Times New Roman" w:eastAsia="Times New Roman" w:hAnsi="Times New Roman"/>
          <w:sz w:val="24"/>
          <w:szCs w:val="24"/>
        </w:rPr>
        <w:t xml:space="preserve">. </w:t>
      </w:r>
      <w:r>
        <w:rPr>
          <w:rFonts w:ascii="Times New Roman" w:eastAsia="Times New Roman" w:hAnsi="Times New Roman"/>
          <w:i/>
          <w:iCs/>
          <w:sz w:val="24"/>
          <w:szCs w:val="24"/>
        </w:rPr>
        <w:t>Grant Cty</w:t>
      </w:r>
      <w:r>
        <w:rPr>
          <w:rFonts w:ascii="Times New Roman" w:eastAsia="Times New Roman" w:hAnsi="Times New Roman"/>
          <w:sz w:val="24"/>
          <w:szCs w:val="24"/>
        </w:rPr>
        <w:t xml:space="preserve">. </w:t>
      </w:r>
      <w:r>
        <w:rPr>
          <w:rFonts w:ascii="Times New Roman" w:eastAsia="Times New Roman" w:hAnsi="Times New Roman"/>
          <w:i/>
          <w:iCs/>
          <w:sz w:val="24"/>
          <w:szCs w:val="24"/>
        </w:rPr>
        <w:t>Pub</w:t>
      </w:r>
      <w:r>
        <w:rPr>
          <w:rFonts w:ascii="Times New Roman" w:eastAsia="Times New Roman" w:hAnsi="Times New Roman"/>
          <w:sz w:val="24"/>
          <w:szCs w:val="24"/>
        </w:rPr>
        <w:t xml:space="preserve">. </w:t>
      </w:r>
      <w:r>
        <w:rPr>
          <w:rFonts w:ascii="Times New Roman" w:eastAsia="Times New Roman" w:hAnsi="Times New Roman"/>
          <w:i/>
          <w:iCs/>
          <w:sz w:val="24"/>
          <w:szCs w:val="24"/>
        </w:rPr>
        <w:t>Hosp</w:t>
      </w:r>
      <w:r>
        <w:rPr>
          <w:rFonts w:ascii="Times New Roman" w:eastAsia="Times New Roman" w:hAnsi="Times New Roman"/>
          <w:sz w:val="24"/>
          <w:szCs w:val="24"/>
        </w:rPr>
        <w:t xml:space="preserve">. </w:t>
      </w:r>
      <w:r>
        <w:rPr>
          <w:rFonts w:ascii="Times New Roman" w:eastAsia="Times New Roman" w:hAnsi="Times New Roman"/>
          <w:i/>
          <w:iCs/>
          <w:sz w:val="24"/>
          <w:szCs w:val="24"/>
        </w:rPr>
        <w:t>Dist</w:t>
      </w:r>
      <w:r>
        <w:rPr>
          <w:rFonts w:ascii="Times New Roman" w:eastAsia="Times New Roman" w:hAnsi="Times New Roman"/>
          <w:sz w:val="24"/>
          <w:szCs w:val="24"/>
        </w:rPr>
        <w:t xml:space="preserve">. </w:t>
      </w:r>
      <w:r>
        <w:rPr>
          <w:rFonts w:ascii="Times New Roman" w:eastAsia="Times New Roman" w:hAnsi="Times New Roman"/>
          <w:i/>
          <w:iCs/>
          <w:sz w:val="24"/>
          <w:szCs w:val="24"/>
        </w:rPr>
        <w:t>No</w:t>
      </w:r>
      <w:r>
        <w:rPr>
          <w:rFonts w:ascii="Times New Roman" w:eastAsia="Times New Roman" w:hAnsi="Times New Roman"/>
          <w:sz w:val="24"/>
          <w:szCs w:val="24"/>
        </w:rPr>
        <w:t xml:space="preserve">. </w:t>
      </w:r>
      <w:r>
        <w:rPr>
          <w:rFonts w:ascii="Times New Roman" w:eastAsia="Times New Roman" w:hAnsi="Times New Roman"/>
          <w:i/>
          <w:iCs/>
          <w:sz w:val="24"/>
          <w:szCs w:val="24"/>
        </w:rPr>
        <w:t>2</w:t>
      </w:r>
      <w:r>
        <w:rPr>
          <w:rFonts w:ascii="Times New Roman" w:eastAsia="Times New Roman" w:hAnsi="Times New Roman"/>
          <w:sz w:val="24"/>
          <w:szCs w:val="24"/>
        </w:rPr>
        <w:t xml:space="preserve">, 85 </w:t>
      </w:r>
      <w:proofErr w:type="spellStart"/>
      <w:r>
        <w:rPr>
          <w:rFonts w:ascii="Times New Roman" w:eastAsia="Times New Roman" w:hAnsi="Times New Roman"/>
          <w:sz w:val="24"/>
          <w:szCs w:val="24"/>
        </w:rPr>
        <w:t>Wn</w:t>
      </w:r>
      <w:proofErr w:type="spellEnd"/>
      <w:r>
        <w:rPr>
          <w:rFonts w:ascii="Times New Roman" w:eastAsia="Times New Roman" w:hAnsi="Times New Roman"/>
          <w:sz w:val="24"/>
          <w:szCs w:val="24"/>
        </w:rPr>
        <w:t xml:space="preserve">. App. 223, 228 (1997). *** “In this case, Bathke's declaration and supporting evidence sufficiently creates a question of fact on the issue of whether the City had just cause to terminate him. In reply, Defendants attempt to undermine the holding in </w:t>
      </w:r>
      <w:r>
        <w:rPr>
          <w:rFonts w:ascii="Times New Roman" w:eastAsia="Times New Roman" w:hAnsi="Times New Roman"/>
          <w:i/>
          <w:iCs/>
          <w:sz w:val="24"/>
          <w:szCs w:val="24"/>
        </w:rPr>
        <w:t>Lund</w:t>
      </w:r>
      <w:r>
        <w:rPr>
          <w:rFonts w:ascii="Times New Roman" w:eastAsia="Times New Roman" w:hAnsi="Times New Roman"/>
          <w:sz w:val="24"/>
          <w:szCs w:val="24"/>
        </w:rPr>
        <w:t xml:space="preserve"> by misquoting employment discrimination cases…. Defendants, however, fail to provide any persuasive authority or reason to take this question of fact away from the </w:t>
      </w:r>
      <w:proofErr w:type="gramStart"/>
      <w:r>
        <w:rPr>
          <w:rFonts w:ascii="Times New Roman" w:eastAsia="Times New Roman" w:hAnsi="Times New Roman"/>
          <w:sz w:val="24"/>
          <w:szCs w:val="24"/>
        </w:rPr>
        <w:t>factfinder</w:t>
      </w:r>
      <w:proofErr w:type="gramEnd"/>
      <w:r>
        <w:rPr>
          <w:rFonts w:ascii="Times New Roman" w:eastAsia="Times New Roman" w:hAnsi="Times New Roman"/>
          <w:sz w:val="24"/>
          <w:szCs w:val="24"/>
        </w:rPr>
        <w:t xml:space="preserve">. Therefore, the Court denies Defendants' motion on Bathke's breach of contract </w:t>
      </w:r>
      <w:proofErr w:type="gramStart"/>
      <w:r>
        <w:rPr>
          <w:rFonts w:ascii="Times New Roman" w:eastAsia="Times New Roman" w:hAnsi="Times New Roman"/>
          <w:sz w:val="24"/>
          <w:szCs w:val="24"/>
        </w:rPr>
        <w:t>claim.”</w:t>
      </w:r>
      <w:proofErr w:type="gramEnd"/>
      <w:r>
        <w:rPr>
          <w:rFonts w:ascii="Times New Roman" w:eastAsia="Times New Roman" w:hAnsi="Times New Roman"/>
          <w:sz w:val="24"/>
          <w:szCs w:val="24"/>
        </w:rPr>
        <w:t xml:space="preserve"> </w:t>
      </w:r>
      <w:hyperlink r:id="rId2611" w:history="1">
        <w:r>
          <w:rPr>
            <w:rStyle w:val="Hyperlink"/>
            <w:sz w:val="24"/>
            <w:szCs w:val="24"/>
          </w:rPr>
          <w:t>https://public.fastcase.com/Wl%2B2t%2BeVuI35%2FN70vAMFZiys29g9i6WW2vOdml2B4dJUoMj0gy8QWoByD0pzloLe</w:t>
        </w:r>
      </w:hyperlink>
      <w:r>
        <w:rPr>
          <w:rFonts w:ascii="Times New Roman" w:eastAsia="Times New Roman" w:hAnsi="Times New Roman"/>
          <w:sz w:val="24"/>
          <w:szCs w:val="24"/>
        </w:rPr>
        <w:t xml:space="preserve"> </w:t>
      </w:r>
    </w:p>
    <w:p w14:paraId="038DCA5E" w14:textId="77777777" w:rsidR="00CD02AE" w:rsidRDefault="00CD02AE" w:rsidP="00CD02AE">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Legal Lessons Learned: Fire Chiefs, when accepting a new position, should include in their agreement that they cannot be fired except for “cause.”</w:t>
      </w:r>
    </w:p>
    <w:p w14:paraId="7ED60B59" w14:textId="77777777" w:rsidR="00CD02AE" w:rsidRDefault="00CD02AE" w:rsidP="00F326E5">
      <w:pPr>
        <w:pStyle w:val="NoSpacing"/>
        <w:rPr>
          <w:rFonts w:ascii="Arial Black" w:hAnsi="Arial Black"/>
          <w:sz w:val="24"/>
          <w:szCs w:val="24"/>
        </w:rPr>
      </w:pPr>
    </w:p>
    <w:p w14:paraId="09E21C5B" w14:textId="77777777" w:rsidR="00CD02AE" w:rsidRDefault="00CD02AE" w:rsidP="00F326E5">
      <w:pPr>
        <w:pStyle w:val="NoSpacing"/>
        <w:rPr>
          <w:rFonts w:ascii="Arial Black" w:hAnsi="Arial Black"/>
          <w:sz w:val="24"/>
          <w:szCs w:val="24"/>
        </w:rPr>
      </w:pPr>
    </w:p>
    <w:p w14:paraId="46958558" w14:textId="2F9F35DD" w:rsidR="00CD02AE" w:rsidRDefault="00CD02AE" w:rsidP="00F326E5">
      <w:pPr>
        <w:pStyle w:val="NoSpacing"/>
        <w:rPr>
          <w:rFonts w:ascii="Arial Black" w:hAnsi="Arial Black"/>
          <w:sz w:val="24"/>
          <w:szCs w:val="24"/>
        </w:rPr>
      </w:pPr>
      <w:r>
        <w:rPr>
          <w:rFonts w:ascii="Arial Black" w:hAnsi="Arial Black"/>
          <w:sz w:val="24"/>
          <w:szCs w:val="24"/>
        </w:rPr>
        <w:t>16-41</w:t>
      </w:r>
    </w:p>
    <w:p w14:paraId="61062D0C" w14:textId="44FB0126" w:rsidR="00CD02AE" w:rsidRDefault="00CD02AE" w:rsidP="00F326E5">
      <w:pPr>
        <w:pStyle w:val="NoSpacing"/>
        <w:rPr>
          <w:rFonts w:ascii="Arial Black" w:hAnsi="Arial Black"/>
          <w:sz w:val="24"/>
          <w:szCs w:val="24"/>
        </w:rPr>
      </w:pPr>
    </w:p>
    <w:p w14:paraId="66835412" w14:textId="77777777" w:rsidR="00CD02AE" w:rsidRDefault="00CD02AE" w:rsidP="00CD02AE">
      <w:pPr>
        <w:rPr>
          <w:rFonts w:ascii="Arial Black" w:hAnsi="Arial Black" w:cstheme="minorBidi"/>
          <w:sz w:val="28"/>
          <w:szCs w:val="28"/>
        </w:rPr>
      </w:pPr>
      <w:r>
        <w:rPr>
          <w:rFonts w:ascii="Arial Black" w:hAnsi="Arial Black"/>
          <w:sz w:val="28"/>
          <w:szCs w:val="28"/>
        </w:rPr>
        <w:t>OH: EMS CAPTAIN FIRED – FACEBOOK POST ABOUT DEATH TAMIR RICE – LAWSUIT REINSTATED, “PUBLIC CONCERN”</w:t>
      </w:r>
    </w:p>
    <w:p w14:paraId="573D34F1" w14:textId="77777777" w:rsidR="00CD02AE" w:rsidRDefault="00CD02AE" w:rsidP="00CD02AE">
      <w:pPr>
        <w:rPr>
          <w:rFonts w:ascii="Times New Roman" w:hAnsi="Times New Roman"/>
          <w:sz w:val="24"/>
          <w:szCs w:val="24"/>
        </w:rPr>
      </w:pPr>
      <w:r>
        <w:rPr>
          <w:rFonts w:ascii="Times New Roman" w:hAnsi="Times New Roman"/>
          <w:sz w:val="24"/>
          <w:szCs w:val="24"/>
        </w:rPr>
        <w:lastRenderedPageBreak/>
        <w:t xml:space="preserve">On Aug. 19, 2020, in </w:t>
      </w:r>
      <w:r>
        <w:rPr>
          <w:rFonts w:ascii="Times New Roman" w:hAnsi="Times New Roman"/>
          <w:sz w:val="24"/>
          <w:szCs w:val="24"/>
          <w:u w:val="single"/>
        </w:rPr>
        <w:t>Jamie Marquardt v. Nicole Carlton &amp; City of Cleveland</w:t>
      </w:r>
      <w:r>
        <w:rPr>
          <w:rFonts w:ascii="Times New Roman" w:hAnsi="Times New Roman"/>
          <w:sz w:val="24"/>
          <w:szCs w:val="24"/>
        </w:rPr>
        <w:t>, the U.S. Court of Appeals for the 6</w:t>
      </w:r>
      <w:r>
        <w:rPr>
          <w:rFonts w:ascii="Times New Roman" w:hAnsi="Times New Roman"/>
          <w:sz w:val="24"/>
          <w:szCs w:val="24"/>
          <w:vertAlign w:val="superscript"/>
        </w:rPr>
        <w:t>th</w:t>
      </w:r>
      <w:r>
        <w:rPr>
          <w:rFonts w:ascii="Times New Roman" w:hAnsi="Times New Roman"/>
          <w:sz w:val="24"/>
          <w:szCs w:val="24"/>
        </w:rPr>
        <w:t xml:space="preserve"> Circuit (Cincinnati) held (3 to 0) that the U.S. District Court judge in Cleveland improperly granted the city’s motion for summary judgment. </w:t>
      </w:r>
    </w:p>
    <w:p w14:paraId="6224EBCC" w14:textId="77777777" w:rsidR="00CD02AE" w:rsidRDefault="00CD02AE" w:rsidP="00CD02AE">
      <w:pPr>
        <w:ind w:left="720"/>
        <w:rPr>
          <w:rFonts w:ascii="Times New Roman" w:hAnsi="Times New Roman"/>
          <w:b/>
          <w:bCs/>
          <w:sz w:val="24"/>
          <w:szCs w:val="24"/>
        </w:rPr>
      </w:pPr>
      <w:r>
        <w:rPr>
          <w:rFonts w:ascii="Times New Roman" w:hAnsi="Times New Roman"/>
          <w:sz w:val="24"/>
          <w:szCs w:val="24"/>
        </w:rPr>
        <w:t xml:space="preserve">“Because Marquardt's social media posts addressed a matter of public concern, the district court erred in granting summary judgment on that basis.”  </w:t>
      </w:r>
      <w:hyperlink r:id="rId2612" w:history="1">
        <w:r>
          <w:rPr>
            <w:rStyle w:val="Hyperlink"/>
            <w:sz w:val="24"/>
            <w:szCs w:val="24"/>
          </w:rPr>
          <w:t>https://www.opn.ca6.uscourts.gov/opinions.pdf/20a0268p-06.pdf</w:t>
        </w:r>
      </w:hyperlink>
      <w:r>
        <w:rPr>
          <w:rFonts w:ascii="Times New Roman" w:hAnsi="Times New Roman"/>
          <w:sz w:val="24"/>
          <w:szCs w:val="24"/>
        </w:rPr>
        <w:t xml:space="preserve"> </w:t>
      </w:r>
    </w:p>
    <w:p w14:paraId="64AF7E75" w14:textId="77777777" w:rsidR="00CD02AE" w:rsidRDefault="00CD02AE" w:rsidP="00CD02AE">
      <w:pPr>
        <w:spacing w:before="100" w:beforeAutospacing="1" w:after="100" w:afterAutospacing="1" w:line="240" w:lineRule="auto"/>
        <w:rPr>
          <w:sz w:val="40"/>
          <w:szCs w:val="40"/>
        </w:rPr>
      </w:pPr>
      <w:r>
        <w:rPr>
          <w:rFonts w:ascii="Times New Roman" w:eastAsia="Times New Roman" w:hAnsi="Times New Roman"/>
          <w:b/>
          <w:bCs/>
          <w:sz w:val="24"/>
          <w:szCs w:val="24"/>
        </w:rPr>
        <w:t>Legal Lessons Learned: Social Media posts are resulting in terminations in the fire service; employers must carefully review whether the matter is of “public concern” before imposing discipline.</w:t>
      </w:r>
    </w:p>
    <w:p w14:paraId="6C67D5D6" w14:textId="77777777" w:rsidR="00CD02AE" w:rsidRDefault="00CD02AE" w:rsidP="00F326E5">
      <w:pPr>
        <w:pStyle w:val="NoSpacing"/>
        <w:rPr>
          <w:rFonts w:ascii="Arial Black" w:hAnsi="Arial Black"/>
          <w:sz w:val="24"/>
          <w:szCs w:val="24"/>
        </w:rPr>
      </w:pPr>
    </w:p>
    <w:p w14:paraId="59E110A1" w14:textId="77777777" w:rsidR="00CD02AE" w:rsidRDefault="00CD02AE" w:rsidP="00F326E5">
      <w:pPr>
        <w:pStyle w:val="NoSpacing"/>
        <w:rPr>
          <w:rFonts w:ascii="Arial Black" w:hAnsi="Arial Black"/>
          <w:sz w:val="24"/>
          <w:szCs w:val="24"/>
        </w:rPr>
      </w:pPr>
    </w:p>
    <w:p w14:paraId="171736AA" w14:textId="7129564F" w:rsidR="001A653A" w:rsidRDefault="001A653A" w:rsidP="00F326E5">
      <w:pPr>
        <w:pStyle w:val="NoSpacing"/>
        <w:rPr>
          <w:rFonts w:ascii="Arial Black" w:hAnsi="Arial Black"/>
          <w:sz w:val="24"/>
          <w:szCs w:val="24"/>
        </w:rPr>
      </w:pPr>
      <w:r>
        <w:rPr>
          <w:rFonts w:ascii="Arial Black" w:hAnsi="Arial Black"/>
          <w:sz w:val="24"/>
          <w:szCs w:val="24"/>
        </w:rPr>
        <w:t>16-40</w:t>
      </w:r>
    </w:p>
    <w:p w14:paraId="3D1B1C35" w14:textId="5415F8AA" w:rsidR="001A653A" w:rsidRDefault="001A653A" w:rsidP="00F326E5">
      <w:pPr>
        <w:pStyle w:val="NoSpacing"/>
        <w:rPr>
          <w:rFonts w:ascii="Arial Black" w:hAnsi="Arial Black"/>
          <w:sz w:val="24"/>
          <w:szCs w:val="24"/>
        </w:rPr>
      </w:pPr>
    </w:p>
    <w:p w14:paraId="712EF66B" w14:textId="77777777" w:rsidR="001A653A" w:rsidRPr="00C7439B" w:rsidRDefault="001A653A" w:rsidP="001A653A">
      <w:pPr>
        <w:pStyle w:val="NoSpacing"/>
        <w:rPr>
          <w:rFonts w:ascii="Arial Black" w:hAnsi="Arial Black"/>
          <w:sz w:val="28"/>
          <w:szCs w:val="28"/>
        </w:rPr>
      </w:pPr>
      <w:r w:rsidRPr="00C7439B">
        <w:rPr>
          <w:rFonts w:ascii="Arial Black" w:hAnsi="Arial Black"/>
          <w:sz w:val="28"/>
          <w:szCs w:val="28"/>
        </w:rPr>
        <w:t xml:space="preserve">NY: </w:t>
      </w:r>
      <w:r>
        <w:rPr>
          <w:rFonts w:ascii="Arial Black" w:hAnsi="Arial Black"/>
          <w:sz w:val="28"/>
          <w:szCs w:val="28"/>
        </w:rPr>
        <w:t>CAREER FF / UNION SECRETARY FIRED FOR PUNCHING VOL. FF IN FACE – COMBINATION FD - LAWSUIT DISMISSED</w:t>
      </w:r>
    </w:p>
    <w:p w14:paraId="31B06354" w14:textId="77777777" w:rsidR="001A653A" w:rsidRDefault="001A653A" w:rsidP="001A653A">
      <w:pPr>
        <w:spacing w:before="100" w:beforeAutospacing="1" w:after="100" w:afterAutospacing="1" w:line="240" w:lineRule="auto"/>
        <w:rPr>
          <w:b/>
          <w:bCs/>
        </w:rPr>
      </w:pPr>
      <w:r w:rsidRPr="00C7439B">
        <w:rPr>
          <w:rFonts w:ascii="Times New Roman" w:hAnsi="Times New Roman"/>
          <w:sz w:val="24"/>
          <w:szCs w:val="24"/>
        </w:rPr>
        <w:t xml:space="preserve">On </w:t>
      </w:r>
      <w:r>
        <w:rPr>
          <w:rFonts w:ascii="Times New Roman" w:hAnsi="Times New Roman"/>
          <w:sz w:val="24"/>
          <w:szCs w:val="24"/>
        </w:rPr>
        <w:t xml:space="preserve">July 10, 2020, in </w:t>
      </w:r>
      <w:r w:rsidRPr="00C7439B">
        <w:rPr>
          <w:rFonts w:ascii="Times New Roman" w:hAnsi="Times New Roman"/>
          <w:sz w:val="24"/>
          <w:szCs w:val="24"/>
          <w:u w:val="single"/>
        </w:rPr>
        <w:t>Brian McNamara v. The City of Long Beach</w:t>
      </w:r>
      <w:r>
        <w:rPr>
          <w:rFonts w:ascii="Times New Roman" w:hAnsi="Times New Roman"/>
          <w:sz w:val="24"/>
          <w:szCs w:val="24"/>
          <w:u w:val="single"/>
        </w:rPr>
        <w:t>,</w:t>
      </w:r>
      <w:r w:rsidRPr="00C7439B">
        <w:rPr>
          <w:rFonts w:ascii="Times New Roman" w:hAnsi="Times New Roman"/>
          <w:sz w:val="24"/>
          <w:szCs w:val="24"/>
          <w:u w:val="single"/>
        </w:rPr>
        <w:t xml:space="preserve"> et al</w:t>
      </w:r>
      <w:r>
        <w:rPr>
          <w:rFonts w:ascii="Times New Roman" w:hAnsi="Times New Roman"/>
          <w:sz w:val="24"/>
          <w:szCs w:val="24"/>
        </w:rPr>
        <w:t xml:space="preserve">., U.S. District Court Senior Judge Denis R. Hurley, Eastern District of New York (Central Islip, NY) granted summary judgment to the </w:t>
      </w:r>
      <w:proofErr w:type="gramStart"/>
      <w:r>
        <w:rPr>
          <w:rFonts w:ascii="Times New Roman" w:hAnsi="Times New Roman"/>
          <w:sz w:val="24"/>
          <w:szCs w:val="24"/>
        </w:rPr>
        <w:t>City</w:t>
      </w:r>
      <w:proofErr w:type="gramEnd"/>
      <w:r>
        <w:rPr>
          <w:rFonts w:ascii="Times New Roman" w:hAnsi="Times New Roman"/>
          <w:sz w:val="24"/>
          <w:szCs w:val="24"/>
        </w:rPr>
        <w:t xml:space="preserve">.   The Judge found that the formal misconduct charges were proved in a three-day hearing before the City Manager, and plaintiff failed to show that his activities as Union secretary, including articles he published, or that he was generally disliked by volunteer firefighters, was reason he was terminated. The Court wrote: </w:t>
      </w:r>
      <w:r w:rsidRPr="00473009">
        <w:rPr>
          <w:rFonts w:ascii="Times New Roman" w:eastAsia="Times New Roman" w:hAnsi="Times New Roman"/>
          <w:sz w:val="24"/>
          <w:szCs w:val="24"/>
        </w:rPr>
        <w:t xml:space="preserve">Plaintiff picked up an audio recorder and went to the firehouse, where further </w:t>
      </w:r>
      <w:proofErr w:type="gramStart"/>
      <w:r w:rsidRPr="00473009">
        <w:rPr>
          <w:rFonts w:ascii="Times New Roman" w:eastAsia="Times New Roman" w:hAnsi="Times New Roman"/>
          <w:sz w:val="24"/>
          <w:szCs w:val="24"/>
        </w:rPr>
        <w:t>altercations</w:t>
      </w:r>
      <w:proofErr w:type="gramEnd"/>
      <w:r w:rsidRPr="00473009">
        <w:rPr>
          <w:rFonts w:ascii="Times New Roman" w:eastAsia="Times New Roman" w:hAnsi="Times New Roman"/>
          <w:sz w:val="24"/>
          <w:szCs w:val="24"/>
        </w:rPr>
        <w:t xml:space="preserve"> ensued, including the previously mentioned incident with Jacobi. Such behavior is unbecoming in any profession, and it is not surprising that Defendants would react adversely to it. Thus, for the foregoing reasons, Plaintiff has failed to show a material issue of fact as to a causal relationship between his allegedly protected speech or union membership and his </w:t>
      </w:r>
      <w:proofErr w:type="gramStart"/>
      <w:r w:rsidRPr="00473009">
        <w:rPr>
          <w:rFonts w:ascii="Times New Roman" w:eastAsia="Times New Roman" w:hAnsi="Times New Roman"/>
          <w:sz w:val="24"/>
          <w:szCs w:val="24"/>
        </w:rPr>
        <w:t>termination.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2613" w:history="1">
        <w:r w:rsidRPr="000603D4">
          <w:rPr>
            <w:rStyle w:val="Hyperlink"/>
            <w:rFonts w:ascii="Times New Roman" w:hAnsi="Times New Roman"/>
            <w:sz w:val="24"/>
            <w:szCs w:val="24"/>
          </w:rPr>
          <w:t>https://public.fastcase.com/Wl%2B2t%2BeVuI35%2FN70vAMFZqQ7Gx1lZ4VLPzvmh59TfRHYGD4c0wvhFgn%2Bs0ncYh62</w:t>
        </w:r>
      </w:hyperlink>
      <w:r>
        <w:rPr>
          <w:rFonts w:ascii="Times New Roman" w:eastAsia="Times New Roman" w:hAnsi="Times New Roman"/>
          <w:sz w:val="24"/>
          <w:szCs w:val="24"/>
        </w:rPr>
        <w:t xml:space="preserve"> </w:t>
      </w:r>
    </w:p>
    <w:p w14:paraId="169359F7" w14:textId="77777777" w:rsidR="001A653A" w:rsidRPr="00A32A53" w:rsidRDefault="001A653A" w:rsidP="001A653A">
      <w:pPr>
        <w:spacing w:before="100" w:beforeAutospacing="1" w:after="100" w:afterAutospacing="1" w:line="240" w:lineRule="auto"/>
        <w:rPr>
          <w:rFonts w:ascii="Times New Roman" w:eastAsia="Times New Roman" w:hAnsi="Times New Roman"/>
          <w:b/>
          <w:bCs/>
          <w:sz w:val="24"/>
          <w:szCs w:val="24"/>
        </w:rPr>
      </w:pPr>
      <w:r w:rsidRPr="00A32A53">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Violent assault on a fellow firefighter, whether volunteer or career, is completely unacceptable. </w:t>
      </w:r>
    </w:p>
    <w:p w14:paraId="69F182AC" w14:textId="77777777" w:rsidR="001A653A" w:rsidRDefault="001A653A" w:rsidP="00F326E5">
      <w:pPr>
        <w:pStyle w:val="NoSpacing"/>
        <w:rPr>
          <w:rFonts w:ascii="Arial Black" w:hAnsi="Arial Black"/>
          <w:sz w:val="24"/>
          <w:szCs w:val="24"/>
        </w:rPr>
      </w:pPr>
    </w:p>
    <w:p w14:paraId="33575056" w14:textId="77777777" w:rsidR="001A653A" w:rsidRDefault="001A653A" w:rsidP="00F326E5">
      <w:pPr>
        <w:pStyle w:val="NoSpacing"/>
        <w:rPr>
          <w:rFonts w:ascii="Arial Black" w:hAnsi="Arial Black"/>
          <w:sz w:val="24"/>
          <w:szCs w:val="24"/>
        </w:rPr>
      </w:pPr>
    </w:p>
    <w:p w14:paraId="49D50DA7" w14:textId="7098DCB0" w:rsidR="001A653A" w:rsidRPr="001A653A" w:rsidRDefault="001A653A" w:rsidP="00F326E5">
      <w:pPr>
        <w:pStyle w:val="NoSpacing"/>
        <w:rPr>
          <w:rFonts w:ascii="Times New Roman" w:hAnsi="Times New Roman"/>
          <w:sz w:val="24"/>
          <w:szCs w:val="24"/>
        </w:rPr>
      </w:pPr>
      <w:r>
        <w:rPr>
          <w:rFonts w:ascii="Arial Black" w:hAnsi="Arial Black"/>
          <w:sz w:val="24"/>
          <w:szCs w:val="24"/>
        </w:rPr>
        <w:t xml:space="preserve">16-39 </w:t>
      </w:r>
      <w:r w:rsidRPr="001A653A">
        <w:rPr>
          <w:rFonts w:ascii="Times New Roman" w:hAnsi="Times New Roman"/>
          <w:sz w:val="24"/>
          <w:szCs w:val="24"/>
        </w:rPr>
        <w:t xml:space="preserve">[also filed, Chap. 7] </w:t>
      </w:r>
    </w:p>
    <w:p w14:paraId="1B7C3F1D" w14:textId="088DFD1A" w:rsidR="001A653A" w:rsidRDefault="001A653A" w:rsidP="00F326E5">
      <w:pPr>
        <w:pStyle w:val="NoSpacing"/>
        <w:rPr>
          <w:rFonts w:ascii="Arial Black" w:hAnsi="Arial Black"/>
          <w:sz w:val="24"/>
          <w:szCs w:val="24"/>
        </w:rPr>
      </w:pPr>
    </w:p>
    <w:p w14:paraId="34AD30AD" w14:textId="77777777" w:rsidR="001A653A" w:rsidRDefault="001A653A" w:rsidP="001A653A">
      <w:pPr>
        <w:pStyle w:val="NoSpacing"/>
        <w:rPr>
          <w:rFonts w:ascii="Arial Black" w:hAnsi="Arial Black"/>
          <w:sz w:val="28"/>
          <w:szCs w:val="28"/>
        </w:rPr>
      </w:pPr>
      <w:r w:rsidRPr="007B1E77">
        <w:rPr>
          <w:rFonts w:ascii="Arial Black" w:hAnsi="Arial Black"/>
          <w:sz w:val="28"/>
          <w:szCs w:val="28"/>
        </w:rPr>
        <w:t xml:space="preserve">KY: </w:t>
      </w:r>
      <w:r>
        <w:rPr>
          <w:rFonts w:ascii="Arial Black" w:hAnsi="Arial Black"/>
          <w:sz w:val="28"/>
          <w:szCs w:val="28"/>
        </w:rPr>
        <w:t>FF MET 17-YEAR-OLD AT FIRE STATION – CONVICTED HAVING SEX WITH MINOR - TOOK VIDEOS AND PHOTOS</w:t>
      </w:r>
    </w:p>
    <w:p w14:paraId="733124C7"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 xml:space="preserve">On July 7, 2020, in </w:t>
      </w:r>
      <w:r w:rsidRPr="007B1E77">
        <w:rPr>
          <w:rFonts w:ascii="Times New Roman" w:hAnsi="Times New Roman"/>
          <w:sz w:val="24"/>
          <w:szCs w:val="24"/>
          <w:u w:val="single"/>
        </w:rPr>
        <w:t>United States of America v. William Michael Fields</w:t>
      </w:r>
      <w:r w:rsidRPr="007B1E77">
        <w:rPr>
          <w:rFonts w:ascii="Times New Roman" w:hAnsi="Times New Roman"/>
          <w:sz w:val="24"/>
          <w:szCs w:val="24"/>
        </w:rPr>
        <w:t xml:space="preserve">, </w:t>
      </w:r>
      <w:r>
        <w:rPr>
          <w:rFonts w:ascii="Times New Roman" w:hAnsi="Times New Roman"/>
          <w:sz w:val="24"/>
          <w:szCs w:val="24"/>
        </w:rPr>
        <w:t xml:space="preserve">U.S. District Court Chief Judge Danny C. Reeves, Eastern District of Kentucky, denied the defendant’s motion for judgment of acquittal, or a new trial. The Court wrote: </w:t>
      </w:r>
      <w:r w:rsidRPr="007B1E77">
        <w:rPr>
          <w:rFonts w:ascii="Times New Roman" w:hAnsi="Times New Roman"/>
          <w:sz w:val="24"/>
          <w:szCs w:val="24"/>
        </w:rPr>
        <w:t xml:space="preserve">“Based on the foregoing, there was ample evidence from which the jury could have concluded that, on March 17 and 23, 2019, Fields employed, used, persuaded, induced, or coerced the minor victim to engage in </w:t>
      </w:r>
    </w:p>
    <w:p w14:paraId="3F5CCE85" w14:textId="77777777" w:rsidR="001A653A" w:rsidRDefault="001A653A" w:rsidP="001A653A">
      <w:pPr>
        <w:pStyle w:val="NoSpacing"/>
        <w:rPr>
          <w:rFonts w:ascii="Times New Roman" w:hAnsi="Times New Roman"/>
          <w:sz w:val="24"/>
          <w:szCs w:val="24"/>
        </w:rPr>
      </w:pPr>
    </w:p>
    <w:p w14:paraId="666B9144"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lastRenderedPageBreak/>
        <w:t>sexually explicit conduct for the purpose of producing a visual depiction of that conduct and that the visual depiction was produced or transmitted using materials that were mailed, shipped, or transported in or affecting interstate commerce by any means, including computer.</w:t>
      </w:r>
      <w:r>
        <w:rPr>
          <w:rFonts w:ascii="Times New Roman" w:hAnsi="Times New Roman"/>
          <w:sz w:val="24"/>
          <w:szCs w:val="24"/>
        </w:rPr>
        <w:t xml:space="preserve">” </w:t>
      </w:r>
      <w:hyperlink r:id="rId2614" w:history="1">
        <w:r w:rsidRPr="00FE7BCF">
          <w:rPr>
            <w:rStyle w:val="Hyperlink"/>
            <w:rFonts w:ascii="Times New Roman" w:hAnsi="Times New Roman"/>
            <w:sz w:val="24"/>
            <w:szCs w:val="24"/>
          </w:rPr>
          <w:t>https://casetext.com/case/united-states-v-fields-198</w:t>
        </w:r>
      </w:hyperlink>
      <w:r>
        <w:rPr>
          <w:rFonts w:ascii="Times New Roman" w:hAnsi="Times New Roman"/>
          <w:sz w:val="24"/>
          <w:szCs w:val="24"/>
        </w:rPr>
        <w:t xml:space="preserve"> </w:t>
      </w:r>
    </w:p>
    <w:p w14:paraId="4A337F73" w14:textId="2FC1D1E3" w:rsidR="001A653A" w:rsidRDefault="001A653A" w:rsidP="00F326E5">
      <w:pPr>
        <w:pStyle w:val="NoSpacing"/>
        <w:rPr>
          <w:rFonts w:ascii="Arial Black" w:hAnsi="Arial Black"/>
          <w:sz w:val="24"/>
          <w:szCs w:val="24"/>
        </w:rPr>
      </w:pPr>
    </w:p>
    <w:p w14:paraId="75AFBF74" w14:textId="77777777" w:rsidR="001A653A" w:rsidRDefault="001A653A" w:rsidP="001A653A">
      <w:pPr>
        <w:pStyle w:val="NoSpacing"/>
        <w:tabs>
          <w:tab w:val="left" w:pos="2780"/>
        </w:tabs>
        <w:rPr>
          <w:rFonts w:ascii="Times New Roman" w:hAnsi="Times New Roman"/>
          <w:b/>
          <w:bCs/>
          <w:sz w:val="24"/>
          <w:szCs w:val="24"/>
        </w:rPr>
      </w:pPr>
      <w:r w:rsidRPr="00602C23">
        <w:rPr>
          <w:rFonts w:ascii="Times New Roman" w:hAnsi="Times New Roman"/>
          <w:b/>
          <w:bCs/>
          <w:sz w:val="24"/>
          <w:szCs w:val="24"/>
        </w:rPr>
        <w:t>Legal Lesson Learned</w:t>
      </w:r>
      <w:r>
        <w:rPr>
          <w:rFonts w:ascii="Times New Roman" w:hAnsi="Times New Roman"/>
          <w:b/>
          <w:bCs/>
          <w:sz w:val="24"/>
          <w:szCs w:val="24"/>
        </w:rPr>
        <w:t xml:space="preserve">: A firefighter having sex with a minor can be convicted of a federal offense if a video or photos is posted on Internet. </w:t>
      </w:r>
    </w:p>
    <w:p w14:paraId="399DCC34" w14:textId="77777777" w:rsidR="001A653A" w:rsidRDefault="001A653A" w:rsidP="00F326E5">
      <w:pPr>
        <w:pStyle w:val="NoSpacing"/>
        <w:rPr>
          <w:rFonts w:ascii="Arial Black" w:hAnsi="Arial Black"/>
          <w:sz w:val="24"/>
          <w:szCs w:val="24"/>
        </w:rPr>
      </w:pPr>
    </w:p>
    <w:p w14:paraId="0C5C2967" w14:textId="77777777" w:rsidR="001A653A" w:rsidRDefault="001A653A" w:rsidP="00F326E5">
      <w:pPr>
        <w:pStyle w:val="NoSpacing"/>
        <w:rPr>
          <w:rFonts w:ascii="Arial Black" w:hAnsi="Arial Black"/>
          <w:sz w:val="24"/>
          <w:szCs w:val="24"/>
        </w:rPr>
      </w:pPr>
    </w:p>
    <w:p w14:paraId="62589F10" w14:textId="0D79952A" w:rsidR="001A653A" w:rsidRDefault="001A653A" w:rsidP="00F326E5">
      <w:pPr>
        <w:pStyle w:val="NoSpacing"/>
        <w:rPr>
          <w:rFonts w:ascii="Arial Black" w:hAnsi="Arial Black"/>
          <w:sz w:val="24"/>
          <w:szCs w:val="24"/>
        </w:rPr>
      </w:pPr>
      <w:r>
        <w:rPr>
          <w:rFonts w:ascii="Arial Black" w:hAnsi="Arial Black"/>
          <w:sz w:val="24"/>
          <w:szCs w:val="24"/>
        </w:rPr>
        <w:t>16-38</w:t>
      </w:r>
    </w:p>
    <w:p w14:paraId="0AD151BB" w14:textId="1B391A33" w:rsidR="001A653A" w:rsidRDefault="001A653A" w:rsidP="00F326E5">
      <w:pPr>
        <w:pStyle w:val="NoSpacing"/>
        <w:rPr>
          <w:rFonts w:ascii="Arial Black" w:hAnsi="Arial Black"/>
          <w:sz w:val="24"/>
          <w:szCs w:val="24"/>
        </w:rPr>
      </w:pPr>
    </w:p>
    <w:p w14:paraId="6590CE23" w14:textId="77777777" w:rsidR="001A653A" w:rsidRPr="00901FCB" w:rsidRDefault="001A653A" w:rsidP="001A653A">
      <w:pPr>
        <w:pStyle w:val="NoSpacing"/>
        <w:rPr>
          <w:rFonts w:ascii="Arial Black" w:hAnsi="Arial Black"/>
          <w:sz w:val="28"/>
          <w:szCs w:val="28"/>
        </w:rPr>
      </w:pPr>
      <w:r w:rsidRPr="00901FCB">
        <w:rPr>
          <w:rFonts w:ascii="Arial Black" w:hAnsi="Arial Black"/>
          <w:sz w:val="28"/>
          <w:szCs w:val="28"/>
        </w:rPr>
        <w:t xml:space="preserve">NJ: </w:t>
      </w:r>
      <w:r>
        <w:rPr>
          <w:rFonts w:ascii="Arial Black" w:hAnsi="Arial Black"/>
          <w:sz w:val="28"/>
          <w:szCs w:val="28"/>
        </w:rPr>
        <w:t>PENSION FRAUD – FF SENTENCED 7 YEARS IN PRISON – MARSHAL ARTS INSTRUCTOR – VIDEO OF COMPETITION</w:t>
      </w:r>
    </w:p>
    <w:p w14:paraId="7F40F2BF" w14:textId="77777777" w:rsidR="001A653A" w:rsidRDefault="001A653A" w:rsidP="001A653A">
      <w:pPr>
        <w:pStyle w:val="NoSpacing"/>
        <w:rPr>
          <w:rFonts w:ascii="Times New Roman" w:hAnsi="Times New Roman"/>
          <w:sz w:val="24"/>
          <w:szCs w:val="24"/>
        </w:rPr>
      </w:pPr>
    </w:p>
    <w:p w14:paraId="79AD8803" w14:textId="77777777" w:rsidR="001A653A" w:rsidRDefault="001A653A" w:rsidP="001A653A">
      <w:pPr>
        <w:pStyle w:val="NoSpacing"/>
        <w:tabs>
          <w:tab w:val="left" w:pos="6170"/>
        </w:tabs>
        <w:rPr>
          <w:rFonts w:ascii="Times New Roman" w:hAnsi="Times New Roman"/>
          <w:sz w:val="24"/>
          <w:szCs w:val="24"/>
        </w:rPr>
      </w:pPr>
      <w:r>
        <w:rPr>
          <w:rFonts w:ascii="Times New Roman" w:hAnsi="Times New Roman"/>
          <w:sz w:val="24"/>
          <w:szCs w:val="24"/>
        </w:rPr>
        <w:t xml:space="preserve">On June 30, 2020, in </w:t>
      </w:r>
      <w:r w:rsidRPr="00FE7716">
        <w:rPr>
          <w:rFonts w:ascii="Times New Roman" w:hAnsi="Times New Roman"/>
          <w:sz w:val="24"/>
          <w:szCs w:val="24"/>
          <w:u w:val="single"/>
        </w:rPr>
        <w:t>State of New Jersey v. Shane Streater</w:t>
      </w:r>
      <w:r>
        <w:rPr>
          <w:rFonts w:ascii="Times New Roman" w:hAnsi="Times New Roman"/>
          <w:sz w:val="24"/>
          <w:szCs w:val="24"/>
        </w:rPr>
        <w:t>, the Superior Court of New Jersey, Appellate Division, held (2 to 0) that jury’s conviction of the former Camden, NJ firefighter is affirmed. The prosecution called as witnesses two medical doctors who had submitted letters in support of his disability; they told the jury that after watching the video they were never informed of his martial arts activities.  The Court wrote: “</w:t>
      </w:r>
      <w:r w:rsidRPr="00901FCB">
        <w:rPr>
          <w:rFonts w:ascii="Times New Roman" w:hAnsi="Times New Roman"/>
          <w:sz w:val="24"/>
          <w:szCs w:val="24"/>
        </w:rPr>
        <w:t>Here, the State adduced abundant evidence of defendant's fraud, including the testimony of three doctors who examined him and stated defendant's actions on the videotape of his martial arts competition were inconsistent with defendant's complaints of pain and disability.</w:t>
      </w:r>
      <w:r>
        <w:rPr>
          <w:rFonts w:ascii="Times New Roman" w:hAnsi="Times New Roman"/>
          <w:sz w:val="24"/>
          <w:szCs w:val="24"/>
        </w:rPr>
        <w:t xml:space="preserve">” </w:t>
      </w:r>
      <w:hyperlink r:id="rId2615" w:history="1">
        <w:r w:rsidRPr="00524935">
          <w:rPr>
            <w:rStyle w:val="Hyperlink"/>
            <w:rFonts w:ascii="Times New Roman" w:hAnsi="Times New Roman"/>
            <w:sz w:val="24"/>
            <w:szCs w:val="24"/>
          </w:rPr>
          <w:t>https://njcourts.gov/attorneys/assets/opinions/appellate/unpublished/a1619-18.pdf?c=D1L</w:t>
        </w:r>
      </w:hyperlink>
      <w:r>
        <w:rPr>
          <w:rFonts w:ascii="Times New Roman" w:hAnsi="Times New Roman"/>
          <w:sz w:val="24"/>
          <w:szCs w:val="24"/>
        </w:rPr>
        <w:t xml:space="preserve"> </w:t>
      </w:r>
    </w:p>
    <w:p w14:paraId="78AED0E5" w14:textId="48E8B08F" w:rsidR="001A653A" w:rsidRDefault="001A653A" w:rsidP="00F326E5">
      <w:pPr>
        <w:pStyle w:val="NoSpacing"/>
        <w:rPr>
          <w:rFonts w:ascii="Arial Black" w:hAnsi="Arial Black"/>
          <w:sz w:val="24"/>
          <w:szCs w:val="24"/>
        </w:rPr>
      </w:pPr>
    </w:p>
    <w:p w14:paraId="6601AF98" w14:textId="77777777" w:rsidR="001A653A" w:rsidRDefault="001A653A" w:rsidP="001A653A">
      <w:pPr>
        <w:pStyle w:val="NoSpacing"/>
        <w:rPr>
          <w:rFonts w:ascii="Times New Roman" w:hAnsi="Times New Roman"/>
          <w:b/>
          <w:bCs/>
          <w:sz w:val="24"/>
          <w:szCs w:val="24"/>
        </w:rPr>
      </w:pPr>
      <w:r w:rsidRPr="0046700F">
        <w:rPr>
          <w:rFonts w:ascii="Times New Roman" w:hAnsi="Times New Roman"/>
          <w:b/>
          <w:bCs/>
          <w:sz w:val="24"/>
          <w:szCs w:val="24"/>
        </w:rPr>
        <w:t>Legal Lessons Learned:</w:t>
      </w:r>
      <w:r>
        <w:rPr>
          <w:rFonts w:ascii="Times New Roman" w:hAnsi="Times New Roman"/>
          <w:b/>
          <w:bCs/>
          <w:sz w:val="24"/>
          <w:szCs w:val="24"/>
        </w:rPr>
        <w:t xml:space="preserve"> The 7-year prison sentence certainly “sends a message.”</w:t>
      </w:r>
    </w:p>
    <w:p w14:paraId="69BA5865" w14:textId="77777777" w:rsidR="001A653A" w:rsidRDefault="001A653A" w:rsidP="001A653A">
      <w:pPr>
        <w:pStyle w:val="NoSpacing"/>
        <w:rPr>
          <w:rFonts w:ascii="Times New Roman" w:hAnsi="Times New Roman"/>
          <w:b/>
          <w:bCs/>
          <w:sz w:val="24"/>
          <w:szCs w:val="24"/>
        </w:rPr>
      </w:pPr>
    </w:p>
    <w:p w14:paraId="2CDE1666" w14:textId="77777777" w:rsidR="001A653A" w:rsidRDefault="001A653A" w:rsidP="001A653A">
      <w:pPr>
        <w:pStyle w:val="NoSpacing"/>
        <w:rPr>
          <w:rFonts w:ascii="Times New Roman" w:hAnsi="Times New Roman"/>
          <w:sz w:val="24"/>
          <w:szCs w:val="24"/>
        </w:rPr>
      </w:pPr>
      <w:r>
        <w:rPr>
          <w:rFonts w:ascii="Times New Roman" w:hAnsi="Times New Roman"/>
          <w:b/>
          <w:bCs/>
          <w:sz w:val="24"/>
          <w:szCs w:val="24"/>
        </w:rPr>
        <w:tab/>
      </w:r>
      <w:r w:rsidRPr="00B4050E">
        <w:rPr>
          <w:rFonts w:ascii="Times New Roman" w:hAnsi="Times New Roman"/>
          <w:sz w:val="24"/>
          <w:szCs w:val="24"/>
        </w:rPr>
        <w:t>Note: Trial Court judge also ordered the defendant to pay $82,488.22 in restitution.</w:t>
      </w:r>
    </w:p>
    <w:p w14:paraId="5F0E1C9F" w14:textId="77777777" w:rsidR="001A653A" w:rsidRDefault="001A653A" w:rsidP="001A653A">
      <w:pPr>
        <w:pStyle w:val="NoSpacing"/>
        <w:rPr>
          <w:rFonts w:ascii="Times New Roman" w:hAnsi="Times New Roman"/>
          <w:sz w:val="24"/>
          <w:szCs w:val="24"/>
        </w:rPr>
      </w:pPr>
      <w:r>
        <w:rPr>
          <w:rFonts w:ascii="Times New Roman" w:hAnsi="Times New Roman"/>
          <w:sz w:val="24"/>
          <w:szCs w:val="24"/>
        </w:rPr>
        <w:tab/>
        <w:t xml:space="preserve">See newspaper coverage: </w:t>
      </w:r>
    </w:p>
    <w:p w14:paraId="3B6CEA3C" w14:textId="77777777" w:rsidR="001A653A" w:rsidRDefault="001A653A" w:rsidP="001A653A">
      <w:pPr>
        <w:pStyle w:val="NoSpacing"/>
        <w:ind w:left="720"/>
        <w:rPr>
          <w:rFonts w:ascii="Times New Roman" w:hAnsi="Times New Roman"/>
          <w:sz w:val="24"/>
          <w:szCs w:val="24"/>
        </w:rPr>
      </w:pPr>
      <w:r>
        <w:rPr>
          <w:rFonts w:ascii="Times New Roman" w:hAnsi="Times New Roman"/>
          <w:sz w:val="24"/>
          <w:szCs w:val="24"/>
        </w:rPr>
        <w:t xml:space="preserve">Watch the YouTube video and TV story (March 18, 2015): </w:t>
      </w:r>
      <w:hyperlink r:id="rId2616" w:history="1">
        <w:r w:rsidRPr="00524935">
          <w:rPr>
            <w:rStyle w:val="Hyperlink"/>
            <w:rFonts w:ascii="Times New Roman" w:hAnsi="Times New Roman"/>
            <w:sz w:val="24"/>
            <w:szCs w:val="24"/>
          </w:rPr>
          <w:t>https://www.nbcphiladelphia.com/news/local/firefighter-fraudulently-collected-disability-pension/151491/</w:t>
        </w:r>
      </w:hyperlink>
      <w:r>
        <w:rPr>
          <w:rFonts w:ascii="Times New Roman" w:hAnsi="Times New Roman"/>
          <w:sz w:val="24"/>
          <w:szCs w:val="24"/>
        </w:rPr>
        <w:t xml:space="preserve"> </w:t>
      </w:r>
    </w:p>
    <w:p w14:paraId="5C62DDE8" w14:textId="77777777" w:rsidR="001A653A" w:rsidRPr="00DB11E1" w:rsidRDefault="001A653A" w:rsidP="001A653A">
      <w:pPr>
        <w:pStyle w:val="NoSpacing"/>
        <w:ind w:left="720"/>
        <w:rPr>
          <w:rFonts w:ascii="Times New Roman" w:eastAsia="Times New Roman" w:hAnsi="Times New Roman"/>
          <w:b/>
          <w:bCs/>
          <w:sz w:val="24"/>
          <w:szCs w:val="24"/>
        </w:rPr>
      </w:pPr>
      <w:r>
        <w:rPr>
          <w:rFonts w:ascii="Times New Roman" w:hAnsi="Times New Roman"/>
          <w:sz w:val="24"/>
          <w:szCs w:val="24"/>
        </w:rPr>
        <w:t>“</w:t>
      </w:r>
      <w:r w:rsidRPr="00B4050E">
        <w:rPr>
          <w:rFonts w:ascii="Times New Roman" w:hAnsi="Times New Roman"/>
          <w:sz w:val="24"/>
          <w:szCs w:val="24"/>
        </w:rPr>
        <w:t>Ex-N.J. firefighter convicted of stealing disability pension while earning black belt</w:t>
      </w:r>
      <w:r>
        <w:rPr>
          <w:rFonts w:ascii="Times New Roman" w:hAnsi="Times New Roman"/>
          <w:sz w:val="24"/>
          <w:szCs w:val="24"/>
        </w:rPr>
        <w:t>”</w:t>
      </w:r>
      <w:r w:rsidRPr="00B4050E">
        <w:rPr>
          <w:rFonts w:ascii="Times New Roman" w:hAnsi="Times New Roman"/>
          <w:sz w:val="24"/>
          <w:szCs w:val="24"/>
        </w:rPr>
        <w:t xml:space="preserve"> (April 12, 2016): </w:t>
      </w:r>
      <w:hyperlink r:id="rId2617" w:history="1">
        <w:r w:rsidRPr="00B4050E">
          <w:rPr>
            <w:rStyle w:val="Hyperlink"/>
            <w:rFonts w:ascii="Times New Roman" w:hAnsi="Times New Roman"/>
            <w:sz w:val="24"/>
            <w:szCs w:val="24"/>
          </w:rPr>
          <w:t>https://www.nj.com/news/2016/04/ex-nj_firefighter_convicted_of_stealing_disability.html</w:t>
        </w:r>
      </w:hyperlink>
      <w:r w:rsidRPr="00B4050E">
        <w:rPr>
          <w:rFonts w:ascii="Times New Roman" w:hAnsi="Times New Roman"/>
          <w:sz w:val="24"/>
          <w:szCs w:val="24"/>
        </w:rPr>
        <w:t xml:space="preserve"> </w:t>
      </w:r>
    </w:p>
    <w:p w14:paraId="21CA3937" w14:textId="77777777" w:rsidR="001A653A" w:rsidRDefault="001A653A" w:rsidP="00F326E5">
      <w:pPr>
        <w:pStyle w:val="NoSpacing"/>
        <w:rPr>
          <w:rFonts w:ascii="Arial Black" w:hAnsi="Arial Black"/>
          <w:sz w:val="24"/>
          <w:szCs w:val="24"/>
        </w:rPr>
      </w:pPr>
    </w:p>
    <w:p w14:paraId="7E752396" w14:textId="77777777" w:rsidR="001A653A" w:rsidRDefault="001A653A" w:rsidP="00F326E5">
      <w:pPr>
        <w:pStyle w:val="NoSpacing"/>
        <w:rPr>
          <w:rFonts w:ascii="Arial Black" w:hAnsi="Arial Black"/>
          <w:sz w:val="24"/>
          <w:szCs w:val="24"/>
        </w:rPr>
      </w:pPr>
    </w:p>
    <w:p w14:paraId="1C8ED012" w14:textId="77777777" w:rsidR="001A653A" w:rsidRDefault="001A653A" w:rsidP="00F326E5">
      <w:pPr>
        <w:pStyle w:val="NoSpacing"/>
        <w:rPr>
          <w:rFonts w:ascii="Arial Black" w:hAnsi="Arial Black"/>
          <w:sz w:val="24"/>
          <w:szCs w:val="24"/>
        </w:rPr>
      </w:pPr>
    </w:p>
    <w:p w14:paraId="6ED87FA1" w14:textId="6EE32EFF" w:rsidR="00A950CC" w:rsidRDefault="00A950CC" w:rsidP="00F326E5">
      <w:pPr>
        <w:pStyle w:val="NoSpacing"/>
        <w:rPr>
          <w:rFonts w:ascii="Arial Black" w:hAnsi="Arial Black"/>
          <w:sz w:val="24"/>
          <w:szCs w:val="24"/>
        </w:rPr>
      </w:pPr>
      <w:r>
        <w:rPr>
          <w:rFonts w:ascii="Arial Black" w:hAnsi="Arial Black"/>
          <w:sz w:val="24"/>
          <w:szCs w:val="24"/>
        </w:rPr>
        <w:t>16-37</w:t>
      </w:r>
    </w:p>
    <w:p w14:paraId="05A66B3E" w14:textId="77777777" w:rsidR="00A950CC" w:rsidRPr="00B2496D" w:rsidRDefault="00A950CC" w:rsidP="00A950CC">
      <w:pPr>
        <w:spacing w:before="100" w:beforeAutospacing="1" w:after="100" w:afterAutospacing="1" w:line="240" w:lineRule="auto"/>
        <w:rPr>
          <w:rFonts w:ascii="Arial Black" w:hAnsi="Arial Black" w:cs="Arial"/>
          <w:sz w:val="28"/>
          <w:szCs w:val="28"/>
        </w:rPr>
      </w:pPr>
      <w:r w:rsidRPr="00B2496D">
        <w:rPr>
          <w:rFonts w:ascii="Arial Black" w:hAnsi="Arial Black" w:cs="Arial"/>
          <w:sz w:val="28"/>
          <w:szCs w:val="28"/>
        </w:rPr>
        <w:t xml:space="preserve">TN: </w:t>
      </w:r>
      <w:r>
        <w:rPr>
          <w:rFonts w:ascii="Arial Black" w:hAnsi="Arial Black" w:cs="Arial"/>
          <w:sz w:val="28"/>
          <w:szCs w:val="28"/>
        </w:rPr>
        <w:t>TAPE RECORDER SECRETLY PLACED UNDER TABLE FIRE HALL – TO RECORD “GOSSIP” – VIOLATION OF TN LAW – 5 FF AWARDED $10,000 EACH &amp; ATTORNEY FEES</w:t>
      </w:r>
    </w:p>
    <w:p w14:paraId="5C6CD714" w14:textId="77777777" w:rsidR="00A950CC" w:rsidRPr="00DF718A" w:rsidRDefault="00A950CC" w:rsidP="00A950CC">
      <w:pPr>
        <w:spacing w:before="100" w:beforeAutospacing="1" w:after="100" w:afterAutospacing="1" w:line="240" w:lineRule="auto"/>
        <w:rPr>
          <w:rFonts w:ascii="Times New Roman" w:hAnsi="Times New Roman"/>
          <w:sz w:val="24"/>
          <w:szCs w:val="24"/>
        </w:rPr>
      </w:pPr>
      <w:r w:rsidRPr="00B2496D">
        <w:rPr>
          <w:rFonts w:ascii="Times New Roman" w:hAnsi="Times New Roman"/>
          <w:sz w:val="24"/>
          <w:szCs w:val="24"/>
        </w:rPr>
        <w:t xml:space="preserve">On May 8, 2020, in </w:t>
      </w:r>
      <w:r w:rsidRPr="00DF718A">
        <w:rPr>
          <w:rFonts w:ascii="Times New Roman" w:hAnsi="Times New Roman"/>
          <w:sz w:val="24"/>
          <w:szCs w:val="24"/>
          <w:u w:val="single"/>
        </w:rPr>
        <w:t>Ronald Ledford, et al, v. John Ben Sneed and Ray Wilson, Jr.</w:t>
      </w:r>
      <w:r>
        <w:rPr>
          <w:rFonts w:ascii="Times New Roman" w:hAnsi="Times New Roman"/>
          <w:sz w:val="24"/>
          <w:szCs w:val="24"/>
        </w:rPr>
        <w:t>, the Court of Appeals of Tennessee at Knoxville, held (3 to 0) that “</w:t>
      </w:r>
      <w:r w:rsidRPr="00DF718A">
        <w:rPr>
          <w:rFonts w:ascii="Times New Roman" w:hAnsi="Times New Roman"/>
          <w:sz w:val="24"/>
          <w:szCs w:val="24"/>
        </w:rPr>
        <w:t>Defendants’</w:t>
      </w:r>
      <w:r>
        <w:rPr>
          <w:rFonts w:ascii="Times New Roman" w:hAnsi="Times New Roman"/>
          <w:sz w:val="24"/>
          <w:szCs w:val="24"/>
        </w:rPr>
        <w:t xml:space="preserve"> </w:t>
      </w:r>
      <w:r w:rsidRPr="00DF718A">
        <w:rPr>
          <w:rFonts w:ascii="Times New Roman" w:hAnsi="Times New Roman"/>
          <w:sz w:val="24"/>
          <w:szCs w:val="24"/>
        </w:rPr>
        <w:t>vague assertions that they would be listening were</w:t>
      </w:r>
      <w:r>
        <w:rPr>
          <w:rFonts w:ascii="Times New Roman" w:hAnsi="Times New Roman"/>
          <w:sz w:val="24"/>
          <w:szCs w:val="24"/>
        </w:rPr>
        <w:t xml:space="preserve"> </w:t>
      </w:r>
      <w:r w:rsidRPr="00DF718A">
        <w:rPr>
          <w:rFonts w:ascii="Times New Roman" w:hAnsi="Times New Roman"/>
          <w:sz w:val="24"/>
          <w:szCs w:val="24"/>
        </w:rPr>
        <w:t>also not enough to garner consent from Plaintiffs to record their conversations via a tape recorder</w:t>
      </w:r>
      <w:r>
        <w:rPr>
          <w:rFonts w:ascii="Times New Roman" w:hAnsi="Times New Roman"/>
          <w:sz w:val="24"/>
          <w:szCs w:val="24"/>
        </w:rPr>
        <w:t xml:space="preserve"> </w:t>
      </w:r>
      <w:r w:rsidRPr="00DF718A">
        <w:rPr>
          <w:rFonts w:ascii="Times New Roman" w:hAnsi="Times New Roman"/>
          <w:sz w:val="24"/>
          <w:szCs w:val="24"/>
        </w:rPr>
        <w:t>taped under the table</w:t>
      </w:r>
      <w:r>
        <w:rPr>
          <w:rFonts w:ascii="Times New Roman" w:hAnsi="Times New Roman"/>
          <w:sz w:val="24"/>
          <w:szCs w:val="24"/>
        </w:rPr>
        <w:t xml:space="preserve">.” </w:t>
      </w:r>
      <w:hyperlink r:id="rId2618" w:history="1">
        <w:r w:rsidRPr="008C168C">
          <w:rPr>
            <w:rStyle w:val="Hyperlink"/>
            <w:sz w:val="24"/>
            <w:szCs w:val="24"/>
          </w:rPr>
          <w:t>http://www.tncourts.gov/sites/default/files/ronald_ledford_et_al._v._john_ben_sneed_et_al..pdf</w:t>
        </w:r>
      </w:hyperlink>
      <w:r>
        <w:rPr>
          <w:rFonts w:ascii="Times New Roman" w:hAnsi="Times New Roman"/>
          <w:sz w:val="24"/>
          <w:szCs w:val="24"/>
        </w:rPr>
        <w:t xml:space="preserve"> </w:t>
      </w:r>
    </w:p>
    <w:p w14:paraId="767D458B" w14:textId="77777777" w:rsidR="00A950CC" w:rsidRPr="00E504C8" w:rsidRDefault="00A950CC" w:rsidP="00A950CC">
      <w:pPr>
        <w:spacing w:before="100" w:beforeAutospacing="1" w:after="100" w:afterAutospacing="1" w:line="240" w:lineRule="auto"/>
        <w:rPr>
          <w:rFonts w:ascii="Times New Roman" w:hAnsi="Times New Roman"/>
          <w:b/>
          <w:bCs/>
          <w:sz w:val="24"/>
          <w:szCs w:val="24"/>
        </w:rPr>
      </w:pPr>
      <w:r w:rsidRPr="00E504C8">
        <w:rPr>
          <w:rFonts w:ascii="Times New Roman" w:hAnsi="Times New Roman"/>
          <w:b/>
          <w:bCs/>
          <w:sz w:val="24"/>
          <w:szCs w:val="24"/>
        </w:rPr>
        <w:t>Legal Lessons Learned:</w:t>
      </w:r>
      <w:r>
        <w:rPr>
          <w:rFonts w:ascii="Times New Roman" w:hAnsi="Times New Roman"/>
          <w:b/>
          <w:bCs/>
          <w:sz w:val="24"/>
          <w:szCs w:val="24"/>
        </w:rPr>
        <w:t xml:space="preserve"> Secretly placing tape recorders can lead to both civil, and in some states, criminal liability.  </w:t>
      </w:r>
    </w:p>
    <w:p w14:paraId="174AF1ED" w14:textId="77777777" w:rsidR="00A950CC" w:rsidRDefault="00A950CC" w:rsidP="00F326E5">
      <w:pPr>
        <w:pStyle w:val="NoSpacing"/>
        <w:rPr>
          <w:rFonts w:ascii="Arial Black" w:hAnsi="Arial Black"/>
          <w:sz w:val="24"/>
          <w:szCs w:val="24"/>
        </w:rPr>
      </w:pPr>
    </w:p>
    <w:p w14:paraId="19C3A7CF" w14:textId="77777777" w:rsidR="00A950CC" w:rsidRDefault="00A950CC" w:rsidP="00F326E5">
      <w:pPr>
        <w:pStyle w:val="NoSpacing"/>
        <w:rPr>
          <w:rFonts w:ascii="Arial Black" w:hAnsi="Arial Black"/>
          <w:sz w:val="24"/>
          <w:szCs w:val="24"/>
        </w:rPr>
      </w:pPr>
    </w:p>
    <w:p w14:paraId="29847EC0" w14:textId="02A547E4" w:rsidR="00A950CC" w:rsidRDefault="00A950CC" w:rsidP="00F326E5">
      <w:pPr>
        <w:pStyle w:val="NoSpacing"/>
        <w:rPr>
          <w:rFonts w:ascii="Arial Black" w:hAnsi="Arial Black"/>
          <w:sz w:val="24"/>
          <w:szCs w:val="24"/>
        </w:rPr>
      </w:pPr>
      <w:r>
        <w:rPr>
          <w:rFonts w:ascii="Arial Black" w:hAnsi="Arial Black"/>
          <w:sz w:val="24"/>
          <w:szCs w:val="24"/>
        </w:rPr>
        <w:t>16-36</w:t>
      </w:r>
    </w:p>
    <w:p w14:paraId="07D21FE4" w14:textId="77777777" w:rsidR="00A950CC" w:rsidRPr="00F200DE" w:rsidRDefault="00A950CC" w:rsidP="00A950CC">
      <w:pPr>
        <w:spacing w:before="100" w:beforeAutospacing="1" w:after="100" w:afterAutospacing="1" w:line="240" w:lineRule="auto"/>
        <w:rPr>
          <w:rFonts w:ascii="Arial Black" w:hAnsi="Arial Black" w:cs="Arial"/>
          <w:sz w:val="28"/>
          <w:szCs w:val="28"/>
        </w:rPr>
      </w:pPr>
      <w:r w:rsidRPr="00F200DE">
        <w:rPr>
          <w:rFonts w:ascii="Arial Black" w:hAnsi="Arial Black" w:cs="Arial"/>
          <w:sz w:val="28"/>
          <w:szCs w:val="28"/>
        </w:rPr>
        <w:t xml:space="preserve">CA: </w:t>
      </w:r>
      <w:r>
        <w:rPr>
          <w:rFonts w:ascii="Arial Black" w:hAnsi="Arial Black" w:cs="Arial"/>
          <w:sz w:val="28"/>
          <w:szCs w:val="28"/>
        </w:rPr>
        <w:t xml:space="preserve">FF SEXUAL E-MAILS TO 16-YR-OLD GIRL HE MET AT FIRE STATION TOUR – ALSO CONDUCT TOWARDS FEMALE FF – TERMINATION UPHELD, EMBARASSMENT TO FD </w:t>
      </w:r>
    </w:p>
    <w:p w14:paraId="231E0F8C" w14:textId="77777777" w:rsidR="00A950CC" w:rsidRPr="00381D99" w:rsidRDefault="00A950CC" w:rsidP="00A950CC">
      <w:pPr>
        <w:spacing w:before="100" w:beforeAutospacing="1" w:after="100" w:afterAutospacing="1" w:line="240" w:lineRule="auto"/>
        <w:ind w:left="450"/>
        <w:rPr>
          <w:rFonts w:ascii="Times New Roman" w:eastAsia="Times New Roman" w:hAnsi="Times New Roman"/>
          <w:b/>
          <w:bCs/>
          <w:sz w:val="24"/>
          <w:szCs w:val="24"/>
        </w:rPr>
      </w:pPr>
      <w:r w:rsidRPr="00381D99">
        <w:rPr>
          <w:rFonts w:ascii="Times New Roman" w:hAnsi="Times New Roman"/>
          <w:sz w:val="24"/>
          <w:szCs w:val="24"/>
        </w:rPr>
        <w:t xml:space="preserve">On May 7, 2020, in </w:t>
      </w:r>
      <w:r w:rsidRPr="00381D99">
        <w:rPr>
          <w:rFonts w:ascii="Times New Roman" w:hAnsi="Times New Roman"/>
          <w:sz w:val="24"/>
          <w:szCs w:val="24"/>
          <w:u w:val="single"/>
        </w:rPr>
        <w:t>Grant Seibert v. City of San Jose</w:t>
      </w:r>
      <w:r>
        <w:rPr>
          <w:rFonts w:ascii="Times New Roman" w:hAnsi="Times New Roman"/>
          <w:sz w:val="24"/>
          <w:szCs w:val="24"/>
        </w:rPr>
        <w:t>, the Court of Appeal of State of California, Sixth Appellate District, held (3 to 0) in unreported opinion, “</w:t>
      </w:r>
      <w:r w:rsidRPr="009B52FF">
        <w:rPr>
          <w:rFonts w:ascii="Times New Roman" w:hAnsi="Times New Roman"/>
          <w:sz w:val="24"/>
          <w:szCs w:val="24"/>
        </w:rPr>
        <w:t>Insofar as Seibert sexualized his job, his actions reasonably could be found to be disrespectful to the general public, which is rightly entitled to expect professionalism from its public servants. In addition, insofar as those actions</w:t>
      </w:r>
      <w:r>
        <w:rPr>
          <w:rFonts w:ascii="Times New Roman" w:hAnsi="Times New Roman"/>
          <w:sz w:val="24"/>
          <w:szCs w:val="24"/>
        </w:rPr>
        <w:t xml:space="preserve"> </w:t>
      </w:r>
      <w:r w:rsidRPr="009B52FF">
        <w:rPr>
          <w:rFonts w:ascii="Times New Roman" w:hAnsi="Times New Roman"/>
          <w:sz w:val="24"/>
          <w:szCs w:val="24"/>
        </w:rPr>
        <w:t>tended to</w:t>
      </w:r>
      <w:r>
        <w:rPr>
          <w:rFonts w:ascii="Times New Roman" w:hAnsi="Times New Roman"/>
          <w:sz w:val="24"/>
          <w:szCs w:val="24"/>
        </w:rPr>
        <w:t xml:space="preserve"> </w:t>
      </w:r>
      <w:r w:rsidRPr="009B52FF">
        <w:rPr>
          <w:rFonts w:ascii="Times New Roman" w:hAnsi="Times New Roman"/>
          <w:sz w:val="24"/>
          <w:szCs w:val="24"/>
        </w:rPr>
        <w:t>undercut the public’s</w:t>
      </w:r>
      <w:r>
        <w:rPr>
          <w:rFonts w:ascii="Times New Roman" w:hAnsi="Times New Roman"/>
          <w:sz w:val="24"/>
          <w:szCs w:val="24"/>
        </w:rPr>
        <w:t xml:space="preserve"> </w:t>
      </w:r>
      <w:r w:rsidRPr="009B52FF">
        <w:rPr>
          <w:rFonts w:ascii="Times New Roman" w:hAnsi="Times New Roman"/>
          <w:sz w:val="24"/>
          <w:szCs w:val="24"/>
        </w:rPr>
        <w:t>trust</w:t>
      </w:r>
      <w:r>
        <w:rPr>
          <w:rFonts w:ascii="Times New Roman" w:hAnsi="Times New Roman"/>
          <w:sz w:val="24"/>
          <w:szCs w:val="24"/>
        </w:rPr>
        <w:t xml:space="preserve"> </w:t>
      </w:r>
      <w:r w:rsidRPr="009B52FF">
        <w:rPr>
          <w:rFonts w:ascii="Times New Roman" w:hAnsi="Times New Roman"/>
          <w:sz w:val="24"/>
          <w:szCs w:val="24"/>
        </w:rPr>
        <w:t>of and respect</w:t>
      </w:r>
      <w:r>
        <w:rPr>
          <w:rFonts w:ascii="Times New Roman" w:hAnsi="Times New Roman"/>
          <w:sz w:val="24"/>
          <w:szCs w:val="24"/>
        </w:rPr>
        <w:t xml:space="preserve"> </w:t>
      </w:r>
      <w:r w:rsidRPr="009B52FF">
        <w:rPr>
          <w:rFonts w:ascii="Times New Roman" w:hAnsi="Times New Roman"/>
          <w:sz w:val="24"/>
          <w:szCs w:val="24"/>
        </w:rPr>
        <w:t>for the Department and its members, the trial court could reasonably find that those actions were detrimental to the public service,</w:t>
      </w:r>
      <w:r>
        <w:rPr>
          <w:rFonts w:ascii="Times New Roman" w:hAnsi="Times New Roman"/>
          <w:sz w:val="24"/>
          <w:szCs w:val="24"/>
        </w:rPr>
        <w:t xml:space="preserve"> </w:t>
      </w:r>
      <w:r w:rsidRPr="009B52FF">
        <w:rPr>
          <w:rFonts w:ascii="Times New Roman" w:hAnsi="Times New Roman"/>
          <w:sz w:val="24"/>
          <w:szCs w:val="24"/>
        </w:rPr>
        <w:t>which was</w:t>
      </w:r>
      <w:r>
        <w:rPr>
          <w:rFonts w:ascii="Times New Roman" w:hAnsi="Times New Roman"/>
          <w:sz w:val="24"/>
          <w:szCs w:val="24"/>
        </w:rPr>
        <w:t xml:space="preserve"> </w:t>
      </w:r>
      <w:r w:rsidRPr="009B52FF">
        <w:rPr>
          <w:rFonts w:ascii="Times New Roman" w:hAnsi="Times New Roman"/>
          <w:sz w:val="24"/>
          <w:szCs w:val="24"/>
        </w:rPr>
        <w:t>a cause for discipline</w:t>
      </w:r>
      <w:r>
        <w:rPr>
          <w:rFonts w:ascii="Times New Roman" w:hAnsi="Times New Roman"/>
          <w:sz w:val="24"/>
          <w:szCs w:val="24"/>
        </w:rPr>
        <w:t xml:space="preserve"> </w:t>
      </w:r>
      <w:r w:rsidRPr="009B52FF">
        <w:rPr>
          <w:rFonts w:ascii="Times New Roman" w:hAnsi="Times New Roman"/>
          <w:sz w:val="24"/>
          <w:szCs w:val="24"/>
        </w:rPr>
        <w:t>specified in charge</w:t>
      </w:r>
      <w:r>
        <w:rPr>
          <w:rFonts w:ascii="Times New Roman" w:hAnsi="Times New Roman"/>
          <w:sz w:val="24"/>
          <w:szCs w:val="24"/>
        </w:rPr>
        <w:t xml:space="preserve"> </w:t>
      </w:r>
      <w:r w:rsidRPr="009B52FF">
        <w:rPr>
          <w:rFonts w:ascii="Times New Roman" w:hAnsi="Times New Roman"/>
          <w:sz w:val="24"/>
          <w:szCs w:val="24"/>
        </w:rPr>
        <w:t>No.1</w:t>
      </w:r>
      <w:r>
        <w:rPr>
          <w:rFonts w:ascii="Times New Roman" w:hAnsi="Times New Roman"/>
          <w:sz w:val="24"/>
          <w:szCs w:val="24"/>
        </w:rPr>
        <w:t xml:space="preserve">.” </w:t>
      </w:r>
      <w:hyperlink r:id="rId2619" w:history="1">
        <w:r w:rsidRPr="008C168C">
          <w:rPr>
            <w:rStyle w:val="Hyperlink"/>
            <w:sz w:val="24"/>
            <w:szCs w:val="24"/>
          </w:rPr>
          <w:t>https://www.courts.ca.gov/opinions/nonpub/H046246.PDF</w:t>
        </w:r>
      </w:hyperlink>
      <w:r>
        <w:rPr>
          <w:rFonts w:ascii="Times New Roman" w:hAnsi="Times New Roman"/>
          <w:sz w:val="24"/>
          <w:szCs w:val="24"/>
        </w:rPr>
        <w:t xml:space="preserve">   </w:t>
      </w:r>
    </w:p>
    <w:p w14:paraId="692C7F00" w14:textId="77777777" w:rsidR="00A950CC" w:rsidRPr="001A6E95" w:rsidRDefault="00A950CC" w:rsidP="00A950CC">
      <w:pPr>
        <w:spacing w:before="100" w:beforeAutospacing="1" w:after="100" w:afterAutospacing="1" w:line="240" w:lineRule="auto"/>
        <w:rPr>
          <w:rFonts w:ascii="Times New Roman" w:hAnsi="Times New Roman"/>
          <w:b/>
          <w:bCs/>
          <w:sz w:val="24"/>
          <w:szCs w:val="24"/>
        </w:rPr>
      </w:pPr>
      <w:r w:rsidRPr="001A6E95">
        <w:rPr>
          <w:rFonts w:ascii="Times New Roman" w:hAnsi="Times New Roman"/>
          <w:b/>
          <w:bCs/>
          <w:sz w:val="24"/>
          <w:szCs w:val="24"/>
        </w:rPr>
        <w:t>Legal Lessons Learned:</w:t>
      </w:r>
      <w:r>
        <w:rPr>
          <w:rFonts w:ascii="Times New Roman" w:hAnsi="Times New Roman"/>
          <w:b/>
          <w:bCs/>
          <w:sz w:val="24"/>
          <w:szCs w:val="24"/>
        </w:rPr>
        <w:t xml:space="preserve"> The firefighter’s e-mails clearly can bring embarrassment to the Fire Department. </w:t>
      </w:r>
    </w:p>
    <w:p w14:paraId="2FFA47F8" w14:textId="77777777" w:rsidR="00A950CC" w:rsidRDefault="00A950CC" w:rsidP="00F326E5">
      <w:pPr>
        <w:pStyle w:val="NoSpacing"/>
        <w:rPr>
          <w:rFonts w:ascii="Arial Black" w:hAnsi="Arial Black"/>
          <w:sz w:val="24"/>
          <w:szCs w:val="24"/>
        </w:rPr>
      </w:pPr>
    </w:p>
    <w:p w14:paraId="1111B8BD" w14:textId="77777777" w:rsidR="00A950CC" w:rsidRDefault="00A950CC" w:rsidP="00F326E5">
      <w:pPr>
        <w:pStyle w:val="NoSpacing"/>
        <w:rPr>
          <w:rFonts w:ascii="Arial Black" w:hAnsi="Arial Black"/>
          <w:sz w:val="24"/>
          <w:szCs w:val="24"/>
        </w:rPr>
      </w:pPr>
    </w:p>
    <w:p w14:paraId="5719CE4B" w14:textId="77777777" w:rsidR="00A950CC" w:rsidRDefault="00A950CC" w:rsidP="00F326E5">
      <w:pPr>
        <w:pStyle w:val="NoSpacing"/>
        <w:rPr>
          <w:rFonts w:ascii="Arial Black" w:hAnsi="Arial Black"/>
          <w:sz w:val="24"/>
          <w:szCs w:val="24"/>
        </w:rPr>
      </w:pPr>
    </w:p>
    <w:p w14:paraId="64D327E8" w14:textId="6FE8F55C" w:rsidR="00FA7B26" w:rsidRDefault="00FA7B26" w:rsidP="00F326E5">
      <w:pPr>
        <w:pStyle w:val="NoSpacing"/>
        <w:rPr>
          <w:rFonts w:ascii="Arial Black" w:hAnsi="Arial Black"/>
          <w:sz w:val="24"/>
          <w:szCs w:val="24"/>
        </w:rPr>
      </w:pPr>
      <w:r>
        <w:rPr>
          <w:rFonts w:ascii="Arial Black" w:hAnsi="Arial Black"/>
          <w:sz w:val="24"/>
          <w:szCs w:val="24"/>
        </w:rPr>
        <w:t>16-35</w:t>
      </w:r>
    </w:p>
    <w:p w14:paraId="3D201ADA" w14:textId="13B2DFBC" w:rsidR="00FA7B26" w:rsidRDefault="00FA7B26" w:rsidP="00F326E5">
      <w:pPr>
        <w:pStyle w:val="NoSpacing"/>
        <w:rPr>
          <w:rFonts w:ascii="Arial Black" w:hAnsi="Arial Black"/>
          <w:sz w:val="24"/>
          <w:szCs w:val="24"/>
        </w:rPr>
      </w:pPr>
    </w:p>
    <w:p w14:paraId="0FA37BA9" w14:textId="77777777" w:rsidR="00A950CC" w:rsidRPr="000751CF" w:rsidRDefault="00A950CC" w:rsidP="00A950CC">
      <w:pPr>
        <w:pStyle w:val="Heading1"/>
        <w:rPr>
          <w:rFonts w:ascii="Arial Black" w:hAnsi="Arial Black"/>
          <w:sz w:val="28"/>
          <w:szCs w:val="28"/>
        </w:rPr>
      </w:pPr>
      <w:r w:rsidRPr="000751CF">
        <w:rPr>
          <w:rFonts w:ascii="Arial Black" w:hAnsi="Arial Black"/>
          <w:sz w:val="28"/>
          <w:szCs w:val="28"/>
        </w:rPr>
        <w:t xml:space="preserve">KY: </w:t>
      </w:r>
      <w:r>
        <w:rPr>
          <w:rFonts w:ascii="Arial Black" w:hAnsi="Arial Black"/>
          <w:sz w:val="28"/>
          <w:szCs w:val="28"/>
        </w:rPr>
        <w:t xml:space="preserve"> FD LIEUTENANT – INVEST. EXPOSED HIMSELF TO MINOR - PONOGRAPHY FOUND ON HIS FD COMPUTER – FIRE CHIEF [HIS FATHER] SIGNED CONSENT TO SEARCH</w:t>
      </w:r>
    </w:p>
    <w:p w14:paraId="503DEE29" w14:textId="0DCBABE8" w:rsidR="00FA7B26" w:rsidRPr="00A950CC" w:rsidRDefault="00A950CC" w:rsidP="00A950CC">
      <w:pPr>
        <w:pStyle w:val="NoSpacing"/>
        <w:rPr>
          <w:rFonts w:ascii="Times New Roman" w:hAnsi="Times New Roman"/>
          <w:sz w:val="24"/>
          <w:szCs w:val="24"/>
        </w:rPr>
      </w:pPr>
      <w:r w:rsidRPr="00A950CC">
        <w:rPr>
          <w:rFonts w:ascii="Times New Roman" w:hAnsi="Times New Roman"/>
          <w:sz w:val="24"/>
          <w:szCs w:val="24"/>
        </w:rPr>
        <w:t xml:space="preserve">On May 4, 2020, in </w:t>
      </w:r>
      <w:r w:rsidRPr="00A950CC">
        <w:rPr>
          <w:rFonts w:ascii="Times New Roman" w:hAnsi="Times New Roman"/>
          <w:sz w:val="24"/>
          <w:szCs w:val="24"/>
          <w:u w:val="single"/>
        </w:rPr>
        <w:t>United States of America v. Robert Christopher England</w:t>
      </w:r>
      <w:r w:rsidRPr="00A950CC">
        <w:rPr>
          <w:rFonts w:ascii="Times New Roman" w:hAnsi="Times New Roman"/>
          <w:sz w:val="24"/>
          <w:szCs w:val="24"/>
        </w:rPr>
        <w:t xml:space="preserve">, U.S. District Court Judge Claria Horn Boom, Eastern District of Kentucky / Southern Division (at London) held that the FD computer was properly searched with the written consent of the Fire Chief, in agreement with recommendation of U.S. Magistrate who heard motion to suppress. </w:t>
      </w:r>
      <w:hyperlink r:id="rId2620" w:history="1">
        <w:r w:rsidRPr="00A950CC">
          <w:rPr>
            <w:rStyle w:val="Hyperlink"/>
            <w:rFonts w:ascii="Times New Roman" w:hAnsi="Times New Roman"/>
            <w:sz w:val="24"/>
            <w:szCs w:val="24"/>
          </w:rPr>
          <w:t>https://public.fastcase.com/Wl%2B2t%2BeVuI35%2FN70vAMFZoCDqhYmNsbFLjWVRK8omsgUzbu2OUiVNTenINejQyEj</w:t>
        </w:r>
      </w:hyperlink>
    </w:p>
    <w:p w14:paraId="386B6220" w14:textId="77777777" w:rsidR="00FA7B26" w:rsidRDefault="00FA7B26" w:rsidP="00F326E5">
      <w:pPr>
        <w:pStyle w:val="NoSpacing"/>
        <w:rPr>
          <w:rFonts w:ascii="Arial Black" w:hAnsi="Arial Black"/>
          <w:sz w:val="24"/>
          <w:szCs w:val="24"/>
        </w:rPr>
      </w:pPr>
    </w:p>
    <w:p w14:paraId="538AC333" w14:textId="77777777" w:rsidR="00A950CC" w:rsidRPr="00784956" w:rsidRDefault="00A950CC" w:rsidP="00A950CC">
      <w:pPr>
        <w:pStyle w:val="NormalWeb"/>
        <w:tabs>
          <w:tab w:val="left" w:pos="2940"/>
        </w:tabs>
        <w:rPr>
          <w:b/>
          <w:bCs/>
        </w:rPr>
      </w:pPr>
      <w:r w:rsidRPr="00784956">
        <w:rPr>
          <w:b/>
          <w:bCs/>
        </w:rPr>
        <w:t>Legal Lessons Learned</w:t>
      </w:r>
      <w:r>
        <w:rPr>
          <w:b/>
          <w:bCs/>
        </w:rPr>
        <w:t xml:space="preserve">: FDs should have a computer use policy that allows FD to audit the contents of the computer, and to authorize others (including law enforcement) to access contents. </w:t>
      </w:r>
    </w:p>
    <w:p w14:paraId="0D6F6268" w14:textId="77777777" w:rsidR="00A950CC" w:rsidRPr="00E504C8" w:rsidRDefault="00A950CC" w:rsidP="00A950CC">
      <w:pPr>
        <w:spacing w:before="100" w:beforeAutospacing="1" w:after="100" w:afterAutospacing="1" w:line="240" w:lineRule="auto"/>
        <w:ind w:left="720"/>
        <w:rPr>
          <w:rFonts w:ascii="Times New Roman" w:hAnsi="Times New Roman"/>
          <w:sz w:val="24"/>
          <w:szCs w:val="24"/>
        </w:rPr>
      </w:pPr>
      <w:r w:rsidRPr="00E504C8">
        <w:rPr>
          <w:rFonts w:ascii="Times New Roman" w:hAnsi="Times New Roman"/>
          <w:sz w:val="24"/>
          <w:szCs w:val="24"/>
        </w:rPr>
        <w:t xml:space="preserve">Note: California's wiretapping law is a </w:t>
      </w:r>
      <w:hyperlink r:id="rId2621" w:tooltip="Recording Phone Calls and Conversations" w:history="1">
        <w:r w:rsidRPr="00E504C8">
          <w:rPr>
            <w:rStyle w:val="Hyperlink"/>
            <w:sz w:val="24"/>
            <w:szCs w:val="24"/>
          </w:rPr>
          <w:t>"two-party consent" law</w:t>
        </w:r>
      </w:hyperlink>
      <w:r w:rsidRPr="00E504C8">
        <w:rPr>
          <w:rFonts w:ascii="Times New Roman" w:hAnsi="Times New Roman"/>
          <w:sz w:val="24"/>
          <w:szCs w:val="24"/>
        </w:rPr>
        <w:t xml:space="preserve">. California makes it a crime to record or eavesdrop on any confidential communication, including a private conversation or telephone call, </w:t>
      </w:r>
      <w:r w:rsidRPr="00E504C8">
        <w:rPr>
          <w:rFonts w:ascii="Times New Roman" w:hAnsi="Times New Roman"/>
          <w:b/>
          <w:bCs/>
          <w:sz w:val="24"/>
          <w:szCs w:val="24"/>
        </w:rPr>
        <w:t xml:space="preserve">without the consent of </w:t>
      </w:r>
      <w:r w:rsidRPr="00E504C8">
        <w:rPr>
          <w:rStyle w:val="Strong"/>
          <w:rFonts w:ascii="Times New Roman" w:hAnsi="Times New Roman"/>
          <w:sz w:val="24"/>
          <w:szCs w:val="24"/>
        </w:rPr>
        <w:t>all parties to the conversation</w:t>
      </w:r>
      <w:r w:rsidRPr="00E504C8">
        <w:rPr>
          <w:rFonts w:ascii="Times New Roman" w:hAnsi="Times New Roman"/>
          <w:sz w:val="24"/>
          <w:szCs w:val="24"/>
        </w:rPr>
        <w:t xml:space="preserve">. See </w:t>
      </w:r>
      <w:hyperlink r:id="rId2622" w:tooltip="http://www.leginfo.ca.gov/cgi-bin/displaycode?section=pen&amp;group=00001-01000&amp;file=630-638" w:history="1">
        <w:r w:rsidRPr="00E504C8">
          <w:rPr>
            <w:rStyle w:val="Hyperlink"/>
            <w:sz w:val="24"/>
            <w:szCs w:val="24"/>
          </w:rPr>
          <w:t>Cal. Penal Code § 632</w:t>
        </w:r>
      </w:hyperlink>
      <w:r w:rsidRPr="00E504C8">
        <w:rPr>
          <w:rFonts w:ascii="Times New Roman" w:hAnsi="Times New Roman"/>
          <w:sz w:val="24"/>
          <w:szCs w:val="24"/>
        </w:rPr>
        <w:t xml:space="preserve">. </w:t>
      </w:r>
      <w:hyperlink r:id="rId2623" w:history="1">
        <w:r w:rsidRPr="00E504C8">
          <w:rPr>
            <w:rStyle w:val="Hyperlink"/>
            <w:sz w:val="24"/>
            <w:szCs w:val="24"/>
          </w:rPr>
          <w:t>https://www.dmlp.org/legal-guide/california-recording-law</w:t>
        </w:r>
      </w:hyperlink>
      <w:r w:rsidRPr="00E504C8">
        <w:rPr>
          <w:rFonts w:ascii="Times New Roman" w:hAnsi="Times New Roman"/>
          <w:sz w:val="24"/>
          <w:szCs w:val="24"/>
        </w:rPr>
        <w:t xml:space="preserve"> </w:t>
      </w:r>
    </w:p>
    <w:p w14:paraId="051EF252" w14:textId="77777777" w:rsidR="00A950CC" w:rsidRPr="00E504C8" w:rsidRDefault="00A950CC" w:rsidP="00A950CC">
      <w:pPr>
        <w:spacing w:before="100" w:beforeAutospacing="1" w:after="100" w:afterAutospacing="1" w:line="240" w:lineRule="auto"/>
        <w:ind w:left="720"/>
        <w:rPr>
          <w:rFonts w:ascii="Times New Roman" w:eastAsia="Times New Roman" w:hAnsi="Times New Roman"/>
          <w:b/>
          <w:bCs/>
          <w:sz w:val="24"/>
          <w:szCs w:val="24"/>
        </w:rPr>
      </w:pPr>
      <w:r w:rsidRPr="00E504C8">
        <w:rPr>
          <w:rFonts w:ascii="Times New Roman" w:hAnsi="Times New Roman"/>
          <w:sz w:val="24"/>
          <w:szCs w:val="24"/>
        </w:rPr>
        <w:t xml:space="preserve">Ohio's wiretapping law is a </w:t>
      </w:r>
      <w:hyperlink r:id="rId2624" w:tooltip="Recording Phone Calls and Conversations" w:history="1">
        <w:r w:rsidRPr="00E504C8">
          <w:rPr>
            <w:rStyle w:val="Hyperlink"/>
            <w:sz w:val="24"/>
            <w:szCs w:val="24"/>
          </w:rPr>
          <w:t>"one-party consent" law</w:t>
        </w:r>
      </w:hyperlink>
      <w:r w:rsidRPr="00E504C8">
        <w:rPr>
          <w:rFonts w:ascii="Times New Roman" w:hAnsi="Times New Roman"/>
          <w:sz w:val="24"/>
          <w:szCs w:val="24"/>
        </w:rPr>
        <w:t xml:space="preserve">. Ohio law makes it a crime to intercept or record any "wire, oral, or electronic communication" </w:t>
      </w:r>
      <w:r w:rsidRPr="00E504C8">
        <w:rPr>
          <w:rStyle w:val="Strong"/>
          <w:rFonts w:ascii="Times New Roman" w:hAnsi="Times New Roman"/>
          <w:sz w:val="24"/>
          <w:szCs w:val="24"/>
        </w:rPr>
        <w:t>unless one party to the conversation consents</w:t>
      </w:r>
      <w:r w:rsidRPr="00E504C8">
        <w:rPr>
          <w:rFonts w:ascii="Times New Roman" w:hAnsi="Times New Roman"/>
          <w:sz w:val="24"/>
          <w:szCs w:val="24"/>
        </w:rPr>
        <w:t>.</w:t>
      </w:r>
      <w:r w:rsidRPr="00E504C8">
        <w:rPr>
          <w:rFonts w:ascii="Times New Roman" w:hAnsi="Times New Roman"/>
          <w:b/>
          <w:bCs/>
          <w:sz w:val="24"/>
          <w:szCs w:val="24"/>
        </w:rPr>
        <w:t xml:space="preserve"> </w:t>
      </w:r>
      <w:hyperlink r:id="rId2625" w:tooltip="http://codes.ohio.gov/orc/2933.52" w:history="1">
        <w:r w:rsidRPr="00E504C8">
          <w:rPr>
            <w:rStyle w:val="Hyperlink"/>
            <w:sz w:val="24"/>
            <w:szCs w:val="24"/>
          </w:rPr>
          <w:t xml:space="preserve">Ohio </w:t>
        </w:r>
        <w:r w:rsidRPr="00E504C8">
          <w:rPr>
            <w:rStyle w:val="Hyperlink"/>
            <w:sz w:val="24"/>
            <w:szCs w:val="24"/>
          </w:rPr>
          <w:lastRenderedPageBreak/>
          <w:t>Rev. Code § 2933.52</w:t>
        </w:r>
      </w:hyperlink>
      <w:r w:rsidRPr="00E504C8">
        <w:rPr>
          <w:rFonts w:ascii="Times New Roman" w:hAnsi="Times New Roman"/>
          <w:sz w:val="24"/>
          <w:szCs w:val="24"/>
        </w:rPr>
        <w:t xml:space="preserve">. Thus, if you operate in Ohio, you may record a conversation or phone call if you </w:t>
      </w:r>
      <w:proofErr w:type="gramStart"/>
      <w:r w:rsidRPr="00E504C8">
        <w:rPr>
          <w:rFonts w:ascii="Times New Roman" w:hAnsi="Times New Roman"/>
          <w:sz w:val="24"/>
          <w:szCs w:val="24"/>
        </w:rPr>
        <w:t>are</w:t>
      </w:r>
      <w:proofErr w:type="gramEnd"/>
      <w:r w:rsidRPr="00E504C8">
        <w:rPr>
          <w:rFonts w:ascii="Times New Roman" w:hAnsi="Times New Roman"/>
          <w:sz w:val="24"/>
          <w:szCs w:val="24"/>
        </w:rPr>
        <w:t xml:space="preserve"> a party to the conversation or </w:t>
      </w:r>
      <w:proofErr w:type="gramStart"/>
      <w:r w:rsidRPr="00E504C8">
        <w:rPr>
          <w:rFonts w:ascii="Times New Roman" w:hAnsi="Times New Roman"/>
          <w:sz w:val="24"/>
          <w:szCs w:val="24"/>
        </w:rPr>
        <w:t>you get</w:t>
      </w:r>
      <w:proofErr w:type="gramEnd"/>
      <w:r w:rsidRPr="00E504C8">
        <w:rPr>
          <w:rFonts w:ascii="Times New Roman" w:hAnsi="Times New Roman"/>
          <w:sz w:val="24"/>
          <w:szCs w:val="24"/>
        </w:rPr>
        <w:t xml:space="preserve"> permission from one party to the conversation in advance. That said, if you intend to record conversations involving people located in more than one state, you should play it safe and get the consent of all parties. </w:t>
      </w:r>
      <w:hyperlink r:id="rId2626" w:history="1">
        <w:r w:rsidRPr="00E504C8">
          <w:rPr>
            <w:rStyle w:val="Hyperlink"/>
            <w:sz w:val="24"/>
            <w:szCs w:val="24"/>
          </w:rPr>
          <w:t>https://www.dmlp.org/legal-guide/ohio/ohio-recording-law</w:t>
        </w:r>
      </w:hyperlink>
      <w:r w:rsidRPr="00E504C8">
        <w:rPr>
          <w:rFonts w:ascii="Times New Roman" w:hAnsi="Times New Roman"/>
          <w:sz w:val="24"/>
          <w:szCs w:val="24"/>
        </w:rPr>
        <w:t xml:space="preserve"> </w:t>
      </w:r>
    </w:p>
    <w:p w14:paraId="40846BD8" w14:textId="77777777" w:rsidR="00FA7B26" w:rsidRDefault="00FA7B26" w:rsidP="00F326E5">
      <w:pPr>
        <w:pStyle w:val="NoSpacing"/>
        <w:rPr>
          <w:rFonts w:ascii="Arial Black" w:hAnsi="Arial Black"/>
          <w:sz w:val="24"/>
          <w:szCs w:val="24"/>
        </w:rPr>
      </w:pPr>
    </w:p>
    <w:p w14:paraId="6E7FBDE1" w14:textId="77777777" w:rsidR="00FA7B26" w:rsidRDefault="00FA7B26" w:rsidP="00F326E5">
      <w:pPr>
        <w:pStyle w:val="NoSpacing"/>
        <w:rPr>
          <w:rFonts w:ascii="Arial Black" w:hAnsi="Arial Black"/>
          <w:sz w:val="24"/>
          <w:szCs w:val="24"/>
        </w:rPr>
      </w:pPr>
    </w:p>
    <w:p w14:paraId="05EE8D37" w14:textId="332A07F3" w:rsidR="00FA7B26" w:rsidRDefault="00FA7B26" w:rsidP="00F326E5">
      <w:pPr>
        <w:pStyle w:val="NoSpacing"/>
        <w:rPr>
          <w:rFonts w:ascii="Arial Black" w:hAnsi="Arial Black"/>
          <w:sz w:val="24"/>
          <w:szCs w:val="24"/>
        </w:rPr>
      </w:pPr>
      <w:r>
        <w:rPr>
          <w:rFonts w:ascii="Arial Black" w:hAnsi="Arial Black"/>
          <w:sz w:val="24"/>
          <w:szCs w:val="24"/>
        </w:rPr>
        <w:t>16-34</w:t>
      </w:r>
    </w:p>
    <w:p w14:paraId="7ED57073" w14:textId="5D47F558" w:rsidR="00FA7B26" w:rsidRDefault="00FA7B26" w:rsidP="00F326E5">
      <w:pPr>
        <w:pStyle w:val="NoSpacing"/>
        <w:rPr>
          <w:rFonts w:ascii="Arial Black" w:hAnsi="Arial Black"/>
          <w:sz w:val="24"/>
          <w:szCs w:val="24"/>
        </w:rPr>
      </w:pPr>
    </w:p>
    <w:p w14:paraId="7C2BD847" w14:textId="77777777" w:rsidR="00FA7B26" w:rsidRPr="004820BE" w:rsidRDefault="00FA7B26" w:rsidP="00FA7B26">
      <w:pPr>
        <w:spacing w:before="100" w:beforeAutospacing="1" w:after="100" w:afterAutospacing="1" w:line="240" w:lineRule="auto"/>
        <w:rPr>
          <w:rFonts w:ascii="Arial Black" w:eastAsia="Times New Roman" w:hAnsi="Arial Black"/>
          <w:sz w:val="28"/>
          <w:szCs w:val="28"/>
        </w:rPr>
      </w:pPr>
      <w:r w:rsidRPr="004820BE">
        <w:rPr>
          <w:rFonts w:ascii="Arial Black" w:eastAsia="Times New Roman" w:hAnsi="Arial Black"/>
          <w:sz w:val="28"/>
          <w:szCs w:val="28"/>
        </w:rPr>
        <w:t xml:space="preserve">MA: </w:t>
      </w:r>
      <w:r>
        <w:rPr>
          <w:rFonts w:ascii="Arial Black" w:eastAsia="Times New Roman" w:hAnsi="Arial Black"/>
          <w:sz w:val="28"/>
          <w:szCs w:val="28"/>
        </w:rPr>
        <w:t>CAPTAIN -– CONV. 5 COUNTS LARCENY – VENDOR GIFTS – JUDGE ALLOWED PROS. TELL JURY OPENING STATEMENT HE ALSO “SWAPPED” RECRUITS CLOTHING</w:t>
      </w:r>
    </w:p>
    <w:p w14:paraId="2C9C1DB1" w14:textId="22A20161" w:rsidR="00FA7B26" w:rsidRDefault="00FA7B26" w:rsidP="00FA7B26">
      <w:pPr>
        <w:pStyle w:val="NoSpacing"/>
        <w:rPr>
          <w:rStyle w:val="Hyperlink"/>
          <w:sz w:val="24"/>
          <w:szCs w:val="24"/>
        </w:rPr>
      </w:pPr>
      <w:r>
        <w:rPr>
          <w:rFonts w:ascii="Times New Roman" w:eastAsia="Times New Roman" w:hAnsi="Times New Roman"/>
          <w:sz w:val="24"/>
          <w:szCs w:val="24"/>
        </w:rPr>
        <w:t xml:space="preserve">On April 27, 2019, in </w:t>
      </w:r>
      <w:r w:rsidRPr="0040733F">
        <w:rPr>
          <w:rFonts w:ascii="Times New Roman" w:eastAsia="Times New Roman" w:hAnsi="Times New Roman"/>
          <w:sz w:val="24"/>
          <w:szCs w:val="24"/>
          <w:u w:val="single"/>
        </w:rPr>
        <w:t>Commonwealth v. Edward A. Scigliano, Fourth</w:t>
      </w:r>
      <w:r>
        <w:rPr>
          <w:rFonts w:ascii="Times New Roman" w:eastAsia="Times New Roman" w:hAnsi="Times New Roman"/>
          <w:sz w:val="24"/>
          <w:szCs w:val="24"/>
        </w:rPr>
        <w:t xml:space="preserve">,  the Commonwealth of Massachusetts Appeals Court, held in a summary decision (3 to 0) that his conviction is affirmed.  </w:t>
      </w:r>
      <w:r w:rsidRPr="0040733F">
        <w:rPr>
          <w:rFonts w:ascii="Times New Roman" w:eastAsia="Times New Roman" w:hAnsi="Times New Roman"/>
          <w:sz w:val="24"/>
          <w:szCs w:val="24"/>
        </w:rPr>
        <w:t>“</w:t>
      </w:r>
      <w:r w:rsidRPr="0040733F">
        <w:rPr>
          <w:rFonts w:ascii="Times New Roman" w:hAnsi="Times New Roman"/>
          <w:sz w:val="24"/>
          <w:szCs w:val="24"/>
        </w:rPr>
        <w:t>The Commonwealth properly introduced evidence that the defendant previously "swapped" goods purchased by the city for other goods from which he derived a personal benefit because it "tended to rebut the defense of innocent intent and make more probable the existence of the requisite illegal intent, that of committing a larceny," during the transactions alleged in the indictments.”</w:t>
      </w:r>
      <w:r>
        <w:rPr>
          <w:rFonts w:ascii="Times New Roman" w:hAnsi="Times New Roman"/>
          <w:sz w:val="24"/>
          <w:szCs w:val="24"/>
        </w:rPr>
        <w:t xml:space="preserve"> </w:t>
      </w:r>
      <w:hyperlink r:id="rId2627" w:history="1">
        <w:r w:rsidRPr="002F2B5F">
          <w:rPr>
            <w:rStyle w:val="Hyperlink"/>
            <w:sz w:val="24"/>
            <w:szCs w:val="24"/>
          </w:rPr>
          <w:t>https://public.fastcase.com/Wl%2B2t%2BeVuI35%2FN70vAMFZiqDSx6E0DPFzBbugd7jDu14ZTk4ABsQUj2F%2Fw3WIuoM</w:t>
        </w:r>
      </w:hyperlink>
    </w:p>
    <w:p w14:paraId="468EC205" w14:textId="77777777" w:rsidR="00FA7B26" w:rsidRDefault="00FA7B26" w:rsidP="00FA7B26">
      <w:pPr>
        <w:spacing w:before="100" w:beforeAutospacing="1" w:after="100" w:afterAutospacing="1" w:line="240" w:lineRule="auto"/>
        <w:rPr>
          <w:rFonts w:ascii="Times New Roman" w:eastAsia="Times New Roman" w:hAnsi="Times New Roman"/>
          <w:b/>
          <w:bCs/>
          <w:sz w:val="24"/>
          <w:szCs w:val="24"/>
        </w:rPr>
      </w:pPr>
      <w:r w:rsidRPr="00BB7625">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The prosecutor properly obtained Trial Judge’s permission to discuss the uncharged act of “swapping” recruit clothes. </w:t>
      </w:r>
    </w:p>
    <w:p w14:paraId="0C698137" w14:textId="77777777" w:rsidR="00FA7B26" w:rsidRDefault="00FA7B26" w:rsidP="00FA7B26">
      <w:pPr>
        <w:pStyle w:val="NoSpacing"/>
        <w:rPr>
          <w:rFonts w:ascii="Arial Black" w:hAnsi="Arial Black"/>
          <w:sz w:val="24"/>
          <w:szCs w:val="24"/>
        </w:rPr>
      </w:pPr>
    </w:p>
    <w:p w14:paraId="06A65F06" w14:textId="77777777" w:rsidR="00FA7B26" w:rsidRDefault="00FA7B26" w:rsidP="00F326E5">
      <w:pPr>
        <w:pStyle w:val="NoSpacing"/>
        <w:rPr>
          <w:rFonts w:ascii="Arial Black" w:hAnsi="Arial Black"/>
          <w:sz w:val="24"/>
          <w:szCs w:val="24"/>
        </w:rPr>
      </w:pPr>
    </w:p>
    <w:p w14:paraId="25867CD2" w14:textId="2BAC28CF" w:rsidR="000F18B0" w:rsidRDefault="000F18B0" w:rsidP="00F326E5">
      <w:pPr>
        <w:pStyle w:val="NoSpacing"/>
        <w:rPr>
          <w:rFonts w:ascii="Arial Black" w:hAnsi="Arial Black"/>
          <w:sz w:val="24"/>
          <w:szCs w:val="24"/>
        </w:rPr>
      </w:pPr>
      <w:r>
        <w:rPr>
          <w:rFonts w:ascii="Arial Black" w:hAnsi="Arial Black"/>
          <w:sz w:val="24"/>
          <w:szCs w:val="24"/>
        </w:rPr>
        <w:t>16-33</w:t>
      </w:r>
    </w:p>
    <w:p w14:paraId="6897EAD8" w14:textId="27195C2D" w:rsidR="000F18B0" w:rsidRDefault="000F18B0" w:rsidP="00F326E5">
      <w:pPr>
        <w:pStyle w:val="NoSpacing"/>
        <w:rPr>
          <w:rFonts w:ascii="Arial Black" w:hAnsi="Arial Black"/>
          <w:sz w:val="24"/>
          <w:szCs w:val="24"/>
        </w:rPr>
      </w:pPr>
    </w:p>
    <w:p w14:paraId="245DE339" w14:textId="77777777" w:rsidR="000F18B0" w:rsidRPr="00BE2E07" w:rsidRDefault="000F18B0" w:rsidP="000F18B0">
      <w:pPr>
        <w:pStyle w:val="NoSpacing"/>
        <w:rPr>
          <w:rFonts w:ascii="Arial Black" w:hAnsi="Arial Black"/>
          <w:b/>
          <w:bCs/>
          <w:sz w:val="28"/>
          <w:szCs w:val="28"/>
        </w:rPr>
      </w:pPr>
      <w:bookmarkStart w:id="599" w:name="_Hlk39772923"/>
      <w:bookmarkStart w:id="600" w:name="_Hlk41155291"/>
      <w:r>
        <w:rPr>
          <w:rFonts w:ascii="Arial Black" w:hAnsi="Arial Black"/>
          <w:bCs/>
          <w:sz w:val="28"/>
          <w:szCs w:val="28"/>
        </w:rPr>
        <w:t xml:space="preserve">CA: PROBATIONARY FF – FIRED DURING 1-YR PROB.  PERIOD – NO RIGHT TO CIVIL SERVICE HEARING </w:t>
      </w:r>
    </w:p>
    <w:p w14:paraId="40E2D9BF" w14:textId="77777777" w:rsidR="000F18B0" w:rsidRDefault="000F18B0" w:rsidP="000F18B0">
      <w:pPr>
        <w:pStyle w:val="NoSpacing"/>
        <w:rPr>
          <w:b/>
          <w:bCs/>
          <w:sz w:val="24"/>
          <w:szCs w:val="24"/>
        </w:rPr>
      </w:pPr>
    </w:p>
    <w:p w14:paraId="59C85EA2"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On April 24, 2020, in </w:t>
      </w:r>
      <w:r w:rsidRPr="00D61723">
        <w:rPr>
          <w:rFonts w:ascii="Times New Roman" w:hAnsi="Times New Roman"/>
          <w:bCs/>
          <w:sz w:val="24"/>
          <w:szCs w:val="24"/>
          <w:u w:val="single"/>
        </w:rPr>
        <w:t>Josh McCauley v. City of San Diego</w:t>
      </w:r>
      <w:r w:rsidRPr="00D61723">
        <w:rPr>
          <w:rFonts w:ascii="Times New Roman" w:hAnsi="Times New Roman"/>
          <w:bCs/>
          <w:sz w:val="24"/>
          <w:szCs w:val="24"/>
        </w:rPr>
        <w:t xml:space="preserve">, the California Court of Appeal (Fourth Appellate District / Division One) held (3 to 0) in unpublished opinion, that the trial court properly granted the City’s motion to dismiss.   Probationary firefighters have no civil service protection, are not covered by the Collective Bargaining Agreement, and Fire Academy Manual is not a contract of employment. Court did not discuss why he was fired, other than: “He met with the Department Chief to discuss the failure to be hired permanently. The City's attorney represented that McCauley had filed an internal grievance during his employment and it was addressed by the </w:t>
      </w:r>
      <w:proofErr w:type="gramStart"/>
      <w:r w:rsidRPr="00D61723">
        <w:rPr>
          <w:rFonts w:ascii="Times New Roman" w:hAnsi="Times New Roman"/>
          <w:bCs/>
          <w:sz w:val="24"/>
          <w:szCs w:val="24"/>
        </w:rPr>
        <w:t>City</w:t>
      </w:r>
      <w:proofErr w:type="gramEnd"/>
      <w:r w:rsidRPr="00D61723">
        <w:rPr>
          <w:rFonts w:ascii="Times New Roman" w:hAnsi="Times New Roman"/>
          <w:bCs/>
          <w:sz w:val="24"/>
          <w:szCs w:val="24"/>
        </w:rPr>
        <w:t>.”</w:t>
      </w:r>
    </w:p>
    <w:p w14:paraId="76E35C6B" w14:textId="77777777" w:rsidR="000F18B0" w:rsidRPr="00D61723" w:rsidRDefault="000F18B0" w:rsidP="000F18B0">
      <w:pPr>
        <w:pStyle w:val="NoSpacing"/>
        <w:rPr>
          <w:rFonts w:ascii="Times New Roman" w:hAnsi="Times New Roman"/>
          <w:b/>
          <w:bCs/>
          <w:sz w:val="24"/>
          <w:szCs w:val="24"/>
        </w:rPr>
      </w:pPr>
    </w:p>
    <w:p w14:paraId="24EB6C53" w14:textId="26608A4A"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“McCauley acknowledges that he is not a party to any collective bargaining agreement. He claims that the Department's Basic Fire Academy Manual (Manual) constituted "an express written contract ‘with the City that governed the terms of </w:t>
      </w:r>
      <w:proofErr w:type="gramStart"/>
      <w:r w:rsidRPr="00D61723">
        <w:rPr>
          <w:rFonts w:ascii="Times New Roman" w:hAnsi="Times New Roman"/>
          <w:bCs/>
          <w:sz w:val="24"/>
          <w:szCs w:val="24"/>
        </w:rPr>
        <w:t>his</w:t>
      </w:r>
      <w:proofErr w:type="gramEnd"/>
      <w:r w:rsidRPr="00D61723">
        <w:rPr>
          <w:rFonts w:ascii="Times New Roman" w:hAnsi="Times New Roman"/>
          <w:bCs/>
          <w:sz w:val="24"/>
          <w:szCs w:val="24"/>
        </w:rPr>
        <w:t xml:space="preserve"> probationary status. He attaches a copy of the Manual to his complaint, but neither in his complaint nor in his brief on appeal does he identify any portion of that Manual that governs his probationary employment.</w:t>
      </w:r>
      <w:r>
        <w:rPr>
          <w:rFonts w:ascii="Times New Roman" w:hAnsi="Times New Roman"/>
          <w:bCs/>
          <w:sz w:val="24"/>
          <w:szCs w:val="24"/>
        </w:rPr>
        <w:t xml:space="preserve"> *** </w:t>
      </w:r>
      <w:r w:rsidRPr="00D61723">
        <w:rPr>
          <w:rFonts w:ascii="Times New Roman" w:hAnsi="Times New Roman"/>
          <w:bCs/>
          <w:sz w:val="24"/>
          <w:szCs w:val="24"/>
        </w:rPr>
        <w:t xml:space="preserve">Again, the plain, unambiguous words of the </w:t>
      </w:r>
      <w:r w:rsidRPr="00D61723">
        <w:rPr>
          <w:rFonts w:ascii="Times New Roman" w:hAnsi="Times New Roman"/>
          <w:bCs/>
          <w:sz w:val="24"/>
          <w:szCs w:val="24"/>
        </w:rPr>
        <w:lastRenderedPageBreak/>
        <w:t xml:space="preserve">Manual refer only to recruits, not to probationary employees. The Manual mentions termination from the Basic Fire Academy, but nothing about probationary employees or the guarantee of a permanent job. The Manual provides neither </w:t>
      </w:r>
      <w:proofErr w:type="gramStart"/>
      <w:r w:rsidRPr="00D61723">
        <w:rPr>
          <w:rFonts w:ascii="Times New Roman" w:hAnsi="Times New Roman"/>
          <w:bCs/>
          <w:sz w:val="24"/>
          <w:szCs w:val="24"/>
        </w:rPr>
        <w:t>conditions</w:t>
      </w:r>
      <w:proofErr w:type="gramEnd"/>
      <w:r w:rsidRPr="00D61723">
        <w:rPr>
          <w:rFonts w:ascii="Times New Roman" w:hAnsi="Times New Roman"/>
          <w:bCs/>
          <w:sz w:val="24"/>
          <w:szCs w:val="24"/>
        </w:rPr>
        <w:t xml:space="preserve"> for permanent employment </w:t>
      </w:r>
      <w:proofErr w:type="gramStart"/>
      <w:r w:rsidRPr="00D61723">
        <w:rPr>
          <w:rFonts w:ascii="Times New Roman" w:hAnsi="Times New Roman"/>
          <w:bCs/>
          <w:sz w:val="24"/>
          <w:szCs w:val="24"/>
        </w:rPr>
        <w:t>not</w:t>
      </w:r>
      <w:proofErr w:type="gramEnd"/>
      <w:r w:rsidRPr="00D61723">
        <w:rPr>
          <w:rFonts w:ascii="Times New Roman" w:hAnsi="Times New Roman"/>
          <w:bCs/>
          <w:sz w:val="24"/>
          <w:szCs w:val="24"/>
        </w:rPr>
        <w:t xml:space="preserve"> entitlement to government employment. McCauley has not identified any regulations of the City or of the Department under which he could state an alternate claim.”</w:t>
      </w:r>
    </w:p>
    <w:p w14:paraId="76A77C9F" w14:textId="77777777" w:rsidR="000F18B0" w:rsidRPr="00D61723" w:rsidRDefault="000F18B0" w:rsidP="000F18B0">
      <w:pPr>
        <w:pStyle w:val="NoSpacing"/>
        <w:ind w:left="720"/>
        <w:rPr>
          <w:rFonts w:ascii="Times New Roman" w:eastAsia="Times New Roman" w:hAnsi="Times New Roman"/>
          <w:b/>
          <w:bCs/>
          <w:sz w:val="24"/>
          <w:szCs w:val="24"/>
        </w:rPr>
      </w:pPr>
      <w:hyperlink r:id="rId2628" w:history="1">
        <w:r w:rsidRPr="00D61723">
          <w:rPr>
            <w:rStyle w:val="Hyperlink"/>
            <w:rFonts w:ascii="Times New Roman" w:hAnsi="Times New Roman"/>
            <w:b/>
            <w:sz w:val="24"/>
            <w:szCs w:val="24"/>
          </w:rPr>
          <w:t>https://www.courts.ca.gov/opinions/nonpub/D074721.PDF</w:t>
        </w:r>
      </w:hyperlink>
      <w:r w:rsidRPr="00D61723">
        <w:rPr>
          <w:rFonts w:ascii="Times New Roman" w:eastAsia="Times New Roman" w:hAnsi="Times New Roman"/>
          <w:bCs/>
          <w:sz w:val="24"/>
          <w:szCs w:val="24"/>
        </w:rPr>
        <w:t xml:space="preserve"> </w:t>
      </w:r>
      <w:bookmarkEnd w:id="599"/>
    </w:p>
    <w:p w14:paraId="12F1FFEB" w14:textId="77777777" w:rsidR="000F18B0" w:rsidRDefault="000F18B0" w:rsidP="00F326E5">
      <w:pPr>
        <w:pStyle w:val="NoSpacing"/>
        <w:rPr>
          <w:rFonts w:ascii="Arial Black" w:hAnsi="Arial Black"/>
          <w:sz w:val="24"/>
          <w:szCs w:val="24"/>
        </w:rPr>
      </w:pPr>
    </w:p>
    <w:p w14:paraId="56DD36D0" w14:textId="3DEFB717" w:rsidR="00407100" w:rsidRPr="00D61723" w:rsidRDefault="00407100" w:rsidP="00407100">
      <w:pPr>
        <w:pStyle w:val="NoSpacing"/>
        <w:rPr>
          <w:rFonts w:ascii="Times New Roman" w:hAnsi="Times New Roman"/>
          <w:b/>
          <w:bCs/>
          <w:sz w:val="24"/>
          <w:szCs w:val="24"/>
        </w:rPr>
      </w:pPr>
      <w:bookmarkStart w:id="601" w:name="_Hlk40516796"/>
      <w:r w:rsidRPr="00D61723">
        <w:rPr>
          <w:rFonts w:ascii="Times New Roman" w:hAnsi="Times New Roman"/>
          <w:b/>
          <w:bCs/>
          <w:sz w:val="24"/>
          <w:szCs w:val="24"/>
        </w:rPr>
        <w:t xml:space="preserve">Legal Lessons Learned: Probationary firefighters are not covered by civil service or </w:t>
      </w:r>
      <w:r w:rsidR="000164B1">
        <w:rPr>
          <w:rFonts w:ascii="Times New Roman" w:hAnsi="Times New Roman"/>
          <w:b/>
          <w:bCs/>
          <w:sz w:val="24"/>
          <w:szCs w:val="24"/>
        </w:rPr>
        <w:t xml:space="preserve">most </w:t>
      </w:r>
      <w:r w:rsidRPr="00D61723">
        <w:rPr>
          <w:rFonts w:ascii="Times New Roman" w:hAnsi="Times New Roman"/>
          <w:b/>
          <w:bCs/>
          <w:sz w:val="24"/>
          <w:szCs w:val="24"/>
        </w:rPr>
        <w:t>CBA</w:t>
      </w:r>
      <w:r w:rsidR="000164B1">
        <w:rPr>
          <w:rFonts w:ascii="Times New Roman" w:hAnsi="Times New Roman"/>
          <w:b/>
          <w:bCs/>
          <w:sz w:val="24"/>
          <w:szCs w:val="24"/>
        </w:rPr>
        <w:t>s</w:t>
      </w:r>
      <w:r w:rsidRPr="00D61723">
        <w:rPr>
          <w:rFonts w:ascii="Times New Roman" w:hAnsi="Times New Roman"/>
          <w:b/>
          <w:bCs/>
          <w:sz w:val="24"/>
          <w:szCs w:val="24"/>
        </w:rPr>
        <w:t xml:space="preserve">. </w:t>
      </w:r>
    </w:p>
    <w:bookmarkEnd w:id="601"/>
    <w:p w14:paraId="7F8C9FE0" w14:textId="77777777" w:rsidR="00407100" w:rsidRDefault="00407100" w:rsidP="00407100">
      <w:pPr>
        <w:pStyle w:val="NoSpacing"/>
        <w:ind w:firstLine="720"/>
        <w:rPr>
          <w:rFonts w:ascii="Times New Roman" w:hAnsi="Times New Roman"/>
          <w:bCs/>
          <w:sz w:val="24"/>
          <w:szCs w:val="24"/>
        </w:rPr>
      </w:pPr>
    </w:p>
    <w:p w14:paraId="50DE5E2B" w14:textId="77777777" w:rsidR="00407100" w:rsidRPr="00D61723" w:rsidRDefault="00407100" w:rsidP="00407100">
      <w:pPr>
        <w:pStyle w:val="NoSpacing"/>
        <w:ind w:firstLine="720"/>
        <w:rPr>
          <w:rFonts w:ascii="Times New Roman" w:hAnsi="Times New Roman"/>
          <w:b/>
          <w:bCs/>
          <w:sz w:val="24"/>
          <w:szCs w:val="24"/>
        </w:rPr>
      </w:pPr>
      <w:r w:rsidRPr="00D61723">
        <w:rPr>
          <w:rFonts w:ascii="Times New Roman" w:hAnsi="Times New Roman"/>
          <w:bCs/>
          <w:sz w:val="24"/>
          <w:szCs w:val="24"/>
        </w:rPr>
        <w:t>Note:    Court described the limited legal remedies of a probationary firefighter.</w:t>
      </w:r>
    </w:p>
    <w:p w14:paraId="7DCF72F5" w14:textId="77777777" w:rsidR="00407100" w:rsidRPr="00D61723" w:rsidRDefault="00407100" w:rsidP="00407100">
      <w:pPr>
        <w:pStyle w:val="NoSpacing"/>
        <w:ind w:left="1440"/>
        <w:rPr>
          <w:rFonts w:ascii="Times New Roman" w:hAnsi="Times New Roman"/>
          <w:b/>
          <w:bCs/>
          <w:sz w:val="24"/>
          <w:szCs w:val="24"/>
        </w:rPr>
      </w:pPr>
      <w:r w:rsidRPr="00D61723">
        <w:rPr>
          <w:rFonts w:ascii="Times New Roman" w:hAnsi="Times New Roman"/>
          <w:bCs/>
          <w:sz w:val="24"/>
          <w:szCs w:val="24"/>
        </w:rPr>
        <w:t xml:space="preserve">“McCauley had other remedies to pursue employment-related wrongs.  ‘A probationary employee may not be rejected for the exercise of a constitutional right [citation] for engaging in an activity protected by labor statutes.’ (Trustees of Cal. State University v. Public Employment Relations Bd. (1992) 6 Cal.App.4th 1107, 1130; Bogacki, supra,5 Cal.3d at p. 778.) He had statutory rights including the right to pursue a discrimination claim under the Fair Employment and Housing Act and the right to workers' compensation in case of </w:t>
      </w:r>
      <w:proofErr w:type="gramStart"/>
      <w:r w:rsidRPr="00D61723">
        <w:rPr>
          <w:rFonts w:ascii="Times New Roman" w:hAnsi="Times New Roman"/>
          <w:bCs/>
          <w:sz w:val="24"/>
          <w:szCs w:val="24"/>
        </w:rPr>
        <w:t>injury.”</w:t>
      </w:r>
      <w:proofErr w:type="gramEnd"/>
    </w:p>
    <w:bookmarkEnd w:id="600"/>
    <w:p w14:paraId="1A7A0AF5" w14:textId="77777777" w:rsidR="00407100" w:rsidRPr="00D61723" w:rsidRDefault="00407100" w:rsidP="00407100">
      <w:pPr>
        <w:pStyle w:val="NoSpacing"/>
        <w:rPr>
          <w:rFonts w:ascii="Times New Roman" w:eastAsia="Times New Roman" w:hAnsi="Times New Roman"/>
          <w:b/>
          <w:bCs/>
          <w:sz w:val="24"/>
          <w:szCs w:val="24"/>
        </w:rPr>
      </w:pPr>
    </w:p>
    <w:p w14:paraId="5703067C" w14:textId="77777777" w:rsidR="00407100" w:rsidRPr="00D61723" w:rsidRDefault="00407100" w:rsidP="00407100">
      <w:pPr>
        <w:pStyle w:val="NoSpacing"/>
        <w:rPr>
          <w:rFonts w:ascii="Times New Roman" w:eastAsia="Times New Roman" w:hAnsi="Times New Roman"/>
          <w:b/>
          <w:bCs/>
          <w:sz w:val="24"/>
          <w:szCs w:val="24"/>
        </w:rPr>
      </w:pPr>
    </w:p>
    <w:p w14:paraId="500E0598" w14:textId="77777777" w:rsidR="000F18B0" w:rsidRDefault="000F18B0" w:rsidP="00F326E5">
      <w:pPr>
        <w:pStyle w:val="NoSpacing"/>
        <w:rPr>
          <w:rFonts w:ascii="Arial Black" w:hAnsi="Arial Black"/>
          <w:sz w:val="24"/>
          <w:szCs w:val="24"/>
        </w:rPr>
      </w:pPr>
    </w:p>
    <w:p w14:paraId="2476742A" w14:textId="336F4DF2" w:rsidR="000F18B0" w:rsidRDefault="000F18B0" w:rsidP="00F326E5">
      <w:pPr>
        <w:pStyle w:val="NoSpacing"/>
        <w:rPr>
          <w:rFonts w:ascii="Arial Black" w:hAnsi="Arial Black"/>
          <w:sz w:val="24"/>
          <w:szCs w:val="24"/>
        </w:rPr>
      </w:pPr>
      <w:r>
        <w:rPr>
          <w:rFonts w:ascii="Arial Black" w:hAnsi="Arial Black"/>
          <w:sz w:val="24"/>
          <w:szCs w:val="24"/>
        </w:rPr>
        <w:t>16-32</w:t>
      </w:r>
    </w:p>
    <w:p w14:paraId="64796BAE" w14:textId="77777777" w:rsidR="000F18B0" w:rsidRDefault="000F18B0" w:rsidP="00F326E5">
      <w:pPr>
        <w:pStyle w:val="NoSpacing"/>
        <w:rPr>
          <w:rFonts w:ascii="Arial Black" w:hAnsi="Arial Black"/>
          <w:sz w:val="24"/>
          <w:szCs w:val="24"/>
        </w:rPr>
      </w:pPr>
    </w:p>
    <w:p w14:paraId="670A788F" w14:textId="77777777" w:rsidR="000F18B0" w:rsidRDefault="000F18B0" w:rsidP="000F18B0">
      <w:pPr>
        <w:pStyle w:val="NoSpacing"/>
        <w:rPr>
          <w:rFonts w:ascii="Arial Black" w:hAnsi="Arial Black"/>
          <w:sz w:val="28"/>
          <w:szCs w:val="28"/>
        </w:rPr>
      </w:pPr>
      <w:r>
        <w:rPr>
          <w:rFonts w:ascii="Arial Black" w:hAnsi="Arial Black"/>
          <w:sz w:val="28"/>
          <w:szCs w:val="28"/>
        </w:rPr>
        <w:t xml:space="preserve">NY: BULLYING – VOL. FF SUSPENDED – FIRED WHEN WALKED OUT AT START OF PRE-DISCIPLINAY HEARING </w:t>
      </w:r>
    </w:p>
    <w:p w14:paraId="17BFEB7B" w14:textId="77777777" w:rsidR="000F18B0" w:rsidRDefault="000F18B0" w:rsidP="000F18B0">
      <w:pPr>
        <w:pStyle w:val="NoSpacing"/>
      </w:pPr>
    </w:p>
    <w:p w14:paraId="4051EB6B" w14:textId="7F4A3EFA" w:rsidR="000F18B0" w:rsidRDefault="000F18B0" w:rsidP="000F18B0">
      <w:pPr>
        <w:pStyle w:val="NoSpacing"/>
        <w:rPr>
          <w:rFonts w:ascii="Times New Roman" w:hAnsi="Times New Roman"/>
          <w:bCs/>
          <w:sz w:val="24"/>
          <w:szCs w:val="24"/>
        </w:rPr>
      </w:pPr>
      <w:r w:rsidRPr="00D61723">
        <w:rPr>
          <w:rFonts w:ascii="Times New Roman" w:hAnsi="Times New Roman"/>
          <w:bCs/>
          <w:sz w:val="24"/>
          <w:szCs w:val="24"/>
        </w:rPr>
        <w:t xml:space="preserve">On April 23, 2020, in </w:t>
      </w:r>
      <w:r w:rsidRPr="00D61723">
        <w:rPr>
          <w:rFonts w:ascii="Times New Roman" w:hAnsi="Times New Roman"/>
          <w:bCs/>
          <w:sz w:val="24"/>
          <w:szCs w:val="24"/>
          <w:u w:val="single"/>
        </w:rPr>
        <w:t>Andrew Lerer v. Raymond Canario, &amp; Village of Spring Valley, &amp; Spring Valley Fire Department</w:t>
      </w:r>
      <w:r w:rsidRPr="00D61723">
        <w:rPr>
          <w:rFonts w:ascii="Times New Roman" w:hAnsi="Times New Roman"/>
          <w:bCs/>
          <w:sz w:val="24"/>
          <w:szCs w:val="24"/>
        </w:rPr>
        <w:t>, U.S. District Court Judge Louis Briccetti, United States District Court for the Southern District of New</w:t>
      </w:r>
    </w:p>
    <w:p w14:paraId="21C14A2E" w14:textId="77777777" w:rsidR="000F18B0" w:rsidRPr="00D61723" w:rsidRDefault="000F18B0" w:rsidP="000F18B0">
      <w:pPr>
        <w:pStyle w:val="NoSpacing"/>
        <w:rPr>
          <w:rFonts w:ascii="Times New Roman" w:hAnsi="Times New Roman"/>
          <w:b/>
          <w:bCs/>
          <w:sz w:val="24"/>
          <w:szCs w:val="24"/>
        </w:rPr>
      </w:pPr>
      <w:proofErr w:type="gramStart"/>
      <w:r w:rsidRPr="00D61723">
        <w:rPr>
          <w:rFonts w:ascii="Times New Roman" w:hAnsi="Times New Roman"/>
          <w:bCs/>
          <w:sz w:val="24"/>
          <w:szCs w:val="24"/>
        </w:rPr>
        <w:t>York,</w:t>
      </w:r>
      <w:proofErr w:type="gramEnd"/>
      <w:r w:rsidRPr="00D61723">
        <w:rPr>
          <w:rFonts w:ascii="Times New Roman" w:hAnsi="Times New Roman"/>
          <w:bCs/>
          <w:sz w:val="24"/>
          <w:szCs w:val="24"/>
        </w:rPr>
        <w:t xml:space="preserve"> granted the defendants’ motion to dismiss.   The volunteer firefighter, who filed this lawsuit </w:t>
      </w:r>
      <w:r w:rsidRPr="00D61723">
        <w:rPr>
          <w:rFonts w:ascii="Times New Roman" w:hAnsi="Times New Roman"/>
          <w:bCs/>
          <w:i/>
          <w:iCs/>
          <w:sz w:val="24"/>
          <w:szCs w:val="24"/>
        </w:rPr>
        <w:t>pro se</w:t>
      </w:r>
      <w:r w:rsidRPr="00D61723">
        <w:rPr>
          <w:rFonts w:ascii="Times New Roman" w:hAnsi="Times New Roman"/>
          <w:bCs/>
          <w:sz w:val="24"/>
          <w:szCs w:val="24"/>
        </w:rPr>
        <w:t xml:space="preserve"> [without an attorney], showed up for his </w:t>
      </w:r>
      <w:proofErr w:type="gramStart"/>
      <w:r w:rsidRPr="00D61723">
        <w:rPr>
          <w:rFonts w:ascii="Times New Roman" w:hAnsi="Times New Roman"/>
          <w:bCs/>
          <w:sz w:val="24"/>
          <w:szCs w:val="24"/>
        </w:rPr>
        <w:t>termination hearing</w:t>
      </w:r>
      <w:proofErr w:type="gramEnd"/>
      <w:r w:rsidRPr="00D61723">
        <w:rPr>
          <w:rFonts w:ascii="Times New Roman" w:hAnsi="Times New Roman"/>
          <w:bCs/>
          <w:sz w:val="24"/>
          <w:szCs w:val="24"/>
        </w:rPr>
        <w:t xml:space="preserve"> at 6:53 pm, but walked out before it started at 7:00 pm.  </w:t>
      </w:r>
    </w:p>
    <w:p w14:paraId="0F47862E" w14:textId="77777777" w:rsidR="000F18B0" w:rsidRPr="00D61723" w:rsidRDefault="000F18B0" w:rsidP="000F18B0">
      <w:pPr>
        <w:pStyle w:val="NoSpacing"/>
        <w:rPr>
          <w:rFonts w:ascii="Times New Roman" w:hAnsi="Times New Roman"/>
          <w:b/>
          <w:bCs/>
          <w:sz w:val="24"/>
          <w:szCs w:val="24"/>
        </w:rPr>
      </w:pPr>
    </w:p>
    <w:p w14:paraId="60413562" w14:textId="45F3406B" w:rsidR="000F18B0" w:rsidRDefault="000F18B0" w:rsidP="000F18B0">
      <w:pPr>
        <w:pStyle w:val="NoSpacing"/>
        <w:ind w:left="720"/>
        <w:rPr>
          <w:rFonts w:ascii="Arial Black" w:hAnsi="Arial Black"/>
          <w:sz w:val="24"/>
          <w:szCs w:val="24"/>
        </w:rPr>
      </w:pPr>
      <w:r w:rsidRPr="00D61723">
        <w:rPr>
          <w:rFonts w:ascii="Times New Roman" w:hAnsi="Times New Roman"/>
          <w:bCs/>
          <w:sz w:val="24"/>
          <w:szCs w:val="24"/>
        </w:rPr>
        <w:t xml:space="preserve">“Once an employer has knowledge of some type of workplace harassment or improper conduct, ‘the law imposes upon the employer a duty to take reasonable steps to eliminate it.’ </w:t>
      </w:r>
      <w:r w:rsidRPr="00D61723">
        <w:rPr>
          <w:rFonts w:ascii="Times New Roman" w:hAnsi="Times New Roman"/>
          <w:bCs/>
          <w:sz w:val="24"/>
          <w:szCs w:val="24"/>
          <w:u w:val="single"/>
        </w:rPr>
        <w:t>Torres v. Pisano</w:t>
      </w:r>
      <w:r w:rsidRPr="00D61723">
        <w:rPr>
          <w:rFonts w:ascii="Times New Roman" w:hAnsi="Times New Roman"/>
          <w:bCs/>
          <w:sz w:val="24"/>
          <w:szCs w:val="24"/>
        </w:rPr>
        <w:t xml:space="preserve">, 116 F.3d 625, 636 (2d Cir. 1997). Under the circumstances, that defendants provisionally denied plaintiff, pending a hearing and determination, access to municipal property and opportunities to respond to fire alarms or otherwise participate in SVFD activities does not plausibly suggest defendants exercised governmental power without a reasonable justification in the service of a legitimate governmental interest. </w:t>
      </w:r>
      <w:hyperlink r:id="rId2629" w:history="1">
        <w:r w:rsidRPr="00D61723">
          <w:rPr>
            <w:rStyle w:val="Hyperlink"/>
            <w:rFonts w:ascii="Times New Roman" w:hAnsi="Times New Roman"/>
            <w:b/>
            <w:sz w:val="24"/>
            <w:szCs w:val="24"/>
          </w:rPr>
          <w:t>https://public.fastcase.com/Wl%2B2t%2BeVuI35%2FN70vAMFZp9w48IhR7rqnPPjn28%2FbaO7JZNoqz%2Fb8m3w7iUI6Fbj</w:t>
        </w:r>
      </w:hyperlink>
      <w:r>
        <w:rPr>
          <w:rFonts w:ascii="Arial Black" w:hAnsi="Arial Black"/>
          <w:sz w:val="24"/>
          <w:szCs w:val="24"/>
        </w:rPr>
        <w:br/>
      </w:r>
    </w:p>
    <w:p w14:paraId="6128CC35"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
          <w:bCs/>
          <w:sz w:val="24"/>
          <w:szCs w:val="24"/>
        </w:rPr>
        <w:t xml:space="preserve">Legal Lessons Learned: Fire Chief acted promptly in suspending the firefighter; when he walks out of his </w:t>
      </w:r>
      <w:r>
        <w:rPr>
          <w:rFonts w:ascii="Times New Roman" w:hAnsi="Times New Roman"/>
          <w:b/>
          <w:bCs/>
          <w:sz w:val="24"/>
          <w:szCs w:val="24"/>
        </w:rPr>
        <w:t>pre-</w:t>
      </w:r>
      <w:r w:rsidRPr="00D61723">
        <w:rPr>
          <w:rFonts w:ascii="Times New Roman" w:hAnsi="Times New Roman"/>
          <w:b/>
          <w:bCs/>
          <w:sz w:val="24"/>
          <w:szCs w:val="24"/>
        </w:rPr>
        <w:t>termination hearing he can hardly complain about lack of due process.</w:t>
      </w:r>
    </w:p>
    <w:p w14:paraId="4F85832B" w14:textId="77777777" w:rsidR="000F18B0" w:rsidRDefault="000F18B0" w:rsidP="00F326E5">
      <w:pPr>
        <w:pStyle w:val="NoSpacing"/>
        <w:rPr>
          <w:rFonts w:ascii="Arial Black" w:hAnsi="Arial Black"/>
          <w:sz w:val="24"/>
          <w:szCs w:val="24"/>
        </w:rPr>
      </w:pPr>
    </w:p>
    <w:p w14:paraId="49948115" w14:textId="77777777" w:rsidR="000F18B0" w:rsidRDefault="000F18B0" w:rsidP="00F326E5">
      <w:pPr>
        <w:pStyle w:val="NoSpacing"/>
        <w:rPr>
          <w:rFonts w:ascii="Arial Black" w:hAnsi="Arial Black"/>
          <w:sz w:val="24"/>
          <w:szCs w:val="24"/>
        </w:rPr>
      </w:pPr>
    </w:p>
    <w:p w14:paraId="1B8F3C10" w14:textId="64FFEF84" w:rsidR="000F18B0" w:rsidRDefault="000F18B0" w:rsidP="00F326E5">
      <w:pPr>
        <w:pStyle w:val="NoSpacing"/>
        <w:rPr>
          <w:rFonts w:ascii="Arial Black" w:hAnsi="Arial Black"/>
          <w:sz w:val="24"/>
          <w:szCs w:val="24"/>
        </w:rPr>
      </w:pPr>
      <w:r>
        <w:rPr>
          <w:rFonts w:ascii="Arial Black" w:hAnsi="Arial Black"/>
          <w:sz w:val="24"/>
          <w:szCs w:val="24"/>
        </w:rPr>
        <w:t>16-31</w:t>
      </w:r>
    </w:p>
    <w:p w14:paraId="2F5857BE" w14:textId="6B2AE6E4" w:rsidR="000F18B0" w:rsidRDefault="000F18B0" w:rsidP="00F326E5">
      <w:pPr>
        <w:pStyle w:val="NoSpacing"/>
        <w:rPr>
          <w:rFonts w:ascii="Arial Black" w:hAnsi="Arial Black"/>
          <w:sz w:val="24"/>
          <w:szCs w:val="24"/>
        </w:rPr>
      </w:pPr>
    </w:p>
    <w:p w14:paraId="1A247882" w14:textId="77777777" w:rsidR="000F18B0" w:rsidRPr="0088009C" w:rsidRDefault="000F18B0" w:rsidP="000F18B0">
      <w:pPr>
        <w:pStyle w:val="NoSpacing"/>
        <w:rPr>
          <w:rFonts w:ascii="Arial Black" w:hAnsi="Arial Black"/>
          <w:sz w:val="28"/>
          <w:szCs w:val="28"/>
        </w:rPr>
      </w:pPr>
      <w:bookmarkStart w:id="602" w:name="_Hlk38953050"/>
      <w:r w:rsidRPr="0088009C">
        <w:rPr>
          <w:rFonts w:ascii="Arial Black" w:hAnsi="Arial Black"/>
          <w:sz w:val="28"/>
          <w:szCs w:val="28"/>
        </w:rPr>
        <w:lastRenderedPageBreak/>
        <w:t xml:space="preserve">UT: </w:t>
      </w:r>
      <w:r>
        <w:rPr>
          <w:rFonts w:ascii="Arial Black" w:hAnsi="Arial Black"/>
          <w:sz w:val="28"/>
          <w:szCs w:val="28"/>
        </w:rPr>
        <w:t xml:space="preserve"> RAPE AT FIRE STATION - ASSISTANT FIRE CHIEF ARRESTED – ALSO ALLEGEDLY RAPED FF -TOWN IMMUNITY</w:t>
      </w:r>
    </w:p>
    <w:p w14:paraId="042FDBD6" w14:textId="77777777" w:rsidR="000F18B0" w:rsidRDefault="000F18B0" w:rsidP="000F18B0">
      <w:pPr>
        <w:pStyle w:val="NormalWeb"/>
      </w:pPr>
      <w:r>
        <w:t xml:space="preserve">On April 22, 2020, in </w:t>
      </w:r>
      <w:r w:rsidRPr="0088009C">
        <w:rPr>
          <w:u w:val="single"/>
        </w:rPr>
        <w:t>Whitney Otteley v. Austin James Corry and Kanosh Town, Utah</w:t>
      </w:r>
      <w:r>
        <w:t xml:space="preserve">, U.S. District Court Judge David Nuffer, U.S. District Court for the District of Utah, granted the Town’s motion to dismiss. Under state law, the Town enjoys governmental immunity, and cannot be sued for “negligent hiring, supervision, or retention.”  The lawsuit against Austin Corry was not dismissed. [See TV Video about new charges - Austin Corry rapes of </w:t>
      </w:r>
      <w:proofErr w:type="gramStart"/>
      <w:r>
        <w:t>an</w:t>
      </w:r>
      <w:proofErr w:type="gramEnd"/>
      <w:r>
        <w:t xml:space="preserve"> duty firefighter:  </w:t>
      </w:r>
      <w:hyperlink r:id="rId2630" w:history="1">
        <w:r w:rsidRPr="00833271">
          <w:rPr>
            <w:rStyle w:val="Hyperlink"/>
          </w:rPr>
          <w:t>https://www.abc4.com/news/justice-files/the-justice-files-a-rape-in-rural-utah/</w:t>
        </w:r>
      </w:hyperlink>
      <w:r>
        <w:t xml:space="preserve"> . Austin Corry’s father, the Fire Chief, was charged and pled guilty to obstruction of justice for not reporting her rape complaint to police.] </w:t>
      </w:r>
    </w:p>
    <w:bookmarkEnd w:id="602"/>
    <w:p w14:paraId="67E8B4FB" w14:textId="4D71827C" w:rsidR="000F18B0" w:rsidRDefault="000F18B0" w:rsidP="000F18B0">
      <w:pPr>
        <w:pStyle w:val="NoSpacing"/>
        <w:rPr>
          <w:rStyle w:val="Hyperlink"/>
        </w:rPr>
      </w:pPr>
      <w:r>
        <w:t xml:space="preserve">“Under the [Governmental Immunity Act of Utah]GIA, as applied in </w:t>
      </w:r>
      <w:r>
        <w:rPr>
          <w:i/>
          <w:iCs/>
        </w:rPr>
        <w:t>Larsen</w:t>
      </w:r>
      <w:r>
        <w:t xml:space="preserve"> [</w:t>
      </w:r>
      <w:r>
        <w:rPr>
          <w:i/>
          <w:iCs/>
        </w:rPr>
        <w:t>v</w:t>
      </w:r>
      <w:r>
        <w:t xml:space="preserve">. </w:t>
      </w:r>
      <w:r>
        <w:rPr>
          <w:i/>
          <w:iCs/>
        </w:rPr>
        <w:t>Davis County School District</w:t>
      </w:r>
      <w:r>
        <w:t xml:space="preserve">, Utah Court of Appeals, Nov. 30, 2017; </w:t>
      </w:r>
      <w:hyperlink r:id="rId2631" w:history="1">
        <w:r w:rsidRPr="00833271">
          <w:rPr>
            <w:rStyle w:val="Hyperlink"/>
          </w:rPr>
          <w:t>https://cases.justia.com/utah/court-of-appeals-published/2017-20160099-ca.pdf?ts=1512166432</w:t>
        </w:r>
      </w:hyperlink>
      <w:r>
        <w:rPr>
          <w:b/>
          <w:bCs/>
        </w:rPr>
        <w:t xml:space="preserve"> </w:t>
      </w:r>
      <w:r>
        <w:rPr>
          <w:i/>
          <w:iCs/>
        </w:rPr>
        <w:t xml:space="preserve"> </w:t>
      </w:r>
      <w:r>
        <w:t>] and explained above, Kanosh is immune from suit because Austin Corry's misconduct (including his assault, battery, false imprisonment, and infliction of mental anguish on Ottley) was a proximate cause of Ottley's claimed injury.</w:t>
      </w:r>
      <w:bookmarkStart w:id="603" w:name="fn42"/>
      <w:r>
        <w:rPr>
          <w:sz w:val="20"/>
          <w:szCs w:val="20"/>
          <w:vertAlign w:val="superscript"/>
        </w:rPr>
        <w:fldChar w:fldCharType="begin"/>
      </w:r>
      <w:r>
        <w:rPr>
          <w:sz w:val="20"/>
          <w:szCs w:val="20"/>
          <w:vertAlign w:val="superscript"/>
        </w:rPr>
        <w:instrText xml:space="preserve"> HYPERLINK "https://public.fastcase.com/" \l "fr42" </w:instrText>
      </w:r>
      <w:r>
        <w:rPr>
          <w:sz w:val="20"/>
          <w:szCs w:val="20"/>
          <w:vertAlign w:val="superscript"/>
        </w:rPr>
      </w:r>
      <w:r>
        <w:rPr>
          <w:sz w:val="20"/>
          <w:szCs w:val="20"/>
          <w:vertAlign w:val="superscript"/>
        </w:rPr>
        <w:fldChar w:fldCharType="separate"/>
      </w:r>
      <w:r>
        <w:rPr>
          <w:rStyle w:val="Hyperlink"/>
          <w:sz w:val="20"/>
          <w:szCs w:val="20"/>
          <w:vertAlign w:val="superscript"/>
        </w:rPr>
        <w:t>42</w:t>
      </w:r>
      <w:r>
        <w:rPr>
          <w:sz w:val="20"/>
          <w:szCs w:val="20"/>
          <w:vertAlign w:val="superscript"/>
        </w:rPr>
        <w:fldChar w:fldCharType="end"/>
      </w:r>
      <w:bookmarkEnd w:id="603"/>
      <w:r>
        <w:rPr>
          <w:sz w:val="20"/>
          <w:szCs w:val="20"/>
          <w:vertAlign w:val="superscript"/>
        </w:rPr>
        <w:t xml:space="preserve"> </w:t>
      </w:r>
      <w:r>
        <w:t xml:space="preserve">Because of this, Ottley fails to state a claim against Kanosh on which relief may be granted as a matter of law.” </w:t>
      </w:r>
      <w:hyperlink r:id="rId2632" w:history="1">
        <w:r w:rsidRPr="00833271">
          <w:rPr>
            <w:rStyle w:val="Hyperlink"/>
          </w:rPr>
          <w:t>https://public.fastcase.com/Wl%2B2t%2BeVuI35%2FN70vAMFZpe9nZQy4%2Fh5OlPwYBiXwZiKHRqMJ6M13sKp4yP4%2F%2BSx</w:t>
        </w:r>
      </w:hyperlink>
    </w:p>
    <w:p w14:paraId="16A7BE9E" w14:textId="3C4878A2" w:rsidR="000F18B0" w:rsidRDefault="000F18B0" w:rsidP="000F18B0">
      <w:pPr>
        <w:pStyle w:val="NoSpacing"/>
        <w:rPr>
          <w:rStyle w:val="Hyperlink"/>
        </w:rPr>
      </w:pPr>
    </w:p>
    <w:p w14:paraId="56F0BAD6" w14:textId="77777777" w:rsidR="000F18B0" w:rsidRPr="00D61723" w:rsidRDefault="000F18B0" w:rsidP="000F18B0">
      <w:pPr>
        <w:rPr>
          <w:rFonts w:ascii="Times New Roman" w:eastAsia="Times New Roman" w:hAnsi="Times New Roman"/>
          <w:sz w:val="24"/>
          <w:szCs w:val="24"/>
        </w:rPr>
      </w:pPr>
      <w:r w:rsidRPr="00D61723">
        <w:rPr>
          <w:rFonts w:ascii="Times New Roman" w:hAnsi="Times New Roman"/>
          <w:b/>
          <w:bCs/>
          <w:sz w:val="24"/>
          <w:szCs w:val="24"/>
        </w:rPr>
        <w:t>Legal Lessons Learned: This is terrible conduct by both the Assistant Chief and his father, the Fire Chief.  [Not found any articles on outcome of former Assistant Chief’s trial.]</w:t>
      </w:r>
    </w:p>
    <w:p w14:paraId="6C3C7E07" w14:textId="77777777" w:rsidR="000F18B0" w:rsidRDefault="000F18B0" w:rsidP="000F18B0">
      <w:pPr>
        <w:pStyle w:val="NoSpacing"/>
        <w:ind w:left="720"/>
        <w:rPr>
          <w:rFonts w:ascii="Times New Roman" w:hAnsi="Times New Roman"/>
          <w:bCs/>
          <w:sz w:val="24"/>
          <w:szCs w:val="24"/>
        </w:rPr>
      </w:pPr>
      <w:r w:rsidRPr="00D61723">
        <w:rPr>
          <w:rFonts w:ascii="Times New Roman" w:hAnsi="Times New Roman"/>
          <w:bCs/>
          <w:sz w:val="24"/>
          <w:szCs w:val="24"/>
        </w:rPr>
        <w:t xml:space="preserve">Note:  See Dec. 3, </w:t>
      </w:r>
      <w:proofErr w:type="gramStart"/>
      <w:r w:rsidRPr="00D61723">
        <w:rPr>
          <w:rFonts w:ascii="Times New Roman" w:hAnsi="Times New Roman"/>
          <w:bCs/>
          <w:sz w:val="24"/>
          <w:szCs w:val="24"/>
        </w:rPr>
        <w:t>2019</w:t>
      </w:r>
      <w:proofErr w:type="gramEnd"/>
      <w:r w:rsidRPr="00D61723">
        <w:rPr>
          <w:rFonts w:ascii="Times New Roman" w:hAnsi="Times New Roman"/>
          <w:bCs/>
          <w:sz w:val="24"/>
          <w:szCs w:val="24"/>
        </w:rPr>
        <w:t xml:space="preserve"> article, “Millard County fire chief charged with raping two women will face trial in Utah County,” </w:t>
      </w:r>
      <w:hyperlink r:id="rId2633" w:history="1">
        <w:r w:rsidRPr="00D61723">
          <w:rPr>
            <w:rStyle w:val="Hyperlink"/>
            <w:rFonts w:ascii="Times New Roman" w:hAnsi="Times New Roman"/>
            <w:b/>
            <w:sz w:val="24"/>
            <w:szCs w:val="24"/>
          </w:rPr>
          <w:t>https://www.heraldextra.com/news/local/crime-and-courts/millard-county-fire-chief-charged-with-raping-two-women-will/article_32fa3eae-85cc-5928-a493-88a75082f506.html</w:t>
        </w:r>
      </w:hyperlink>
      <w:r w:rsidRPr="00D61723">
        <w:rPr>
          <w:rFonts w:ascii="Times New Roman" w:hAnsi="Times New Roman"/>
          <w:bCs/>
          <w:sz w:val="24"/>
          <w:szCs w:val="24"/>
        </w:rPr>
        <w:t xml:space="preserve">.  “The [raped firefighter] also reportedly told Corry’s father, Scott Corry, 62, about the alleged rapes in 2018. However, Scott Corry told investigators he was “trying to protect his son and he never got around to” filing </w:t>
      </w:r>
    </w:p>
    <w:p w14:paraId="67BBCE06" w14:textId="77777777" w:rsidR="000F18B0" w:rsidRDefault="000F18B0" w:rsidP="000F18B0">
      <w:pPr>
        <w:pStyle w:val="NoSpacing"/>
        <w:ind w:left="720"/>
        <w:rPr>
          <w:rFonts w:ascii="Times New Roman" w:hAnsi="Times New Roman"/>
          <w:bCs/>
          <w:sz w:val="24"/>
          <w:szCs w:val="24"/>
        </w:rPr>
      </w:pPr>
    </w:p>
    <w:p w14:paraId="2ADBA335" w14:textId="77777777"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reports on the claims. </w:t>
      </w:r>
      <w:r w:rsidRPr="00D61723">
        <w:rPr>
          <w:rFonts w:ascii="Times New Roman" w:eastAsia="Times New Roman" w:hAnsi="Times New Roman"/>
          <w:bCs/>
          <w:sz w:val="24"/>
          <w:szCs w:val="24"/>
        </w:rPr>
        <w:t>He was charged in July with obstruction of justice, a second-degree felony, and official misconduct, a class B misdemeanor.</w:t>
      </w:r>
      <w:r w:rsidRPr="00D61723">
        <w:rPr>
          <w:rFonts w:ascii="Times New Roman" w:hAnsi="Times New Roman"/>
          <w:bCs/>
          <w:sz w:val="24"/>
          <w:szCs w:val="24"/>
        </w:rPr>
        <w:t>”</w:t>
      </w:r>
    </w:p>
    <w:p w14:paraId="4348B266" w14:textId="77777777" w:rsidR="000F18B0" w:rsidRDefault="000F18B0" w:rsidP="000F18B0">
      <w:pPr>
        <w:pStyle w:val="NoSpacing"/>
        <w:rPr>
          <w:rFonts w:ascii="Arial Black" w:hAnsi="Arial Black"/>
          <w:sz w:val="24"/>
          <w:szCs w:val="24"/>
        </w:rPr>
      </w:pPr>
    </w:p>
    <w:p w14:paraId="570E76E5" w14:textId="77777777" w:rsidR="000F18B0" w:rsidRDefault="000F18B0" w:rsidP="00F326E5">
      <w:pPr>
        <w:pStyle w:val="NoSpacing"/>
        <w:rPr>
          <w:rFonts w:ascii="Arial Black" w:hAnsi="Arial Black"/>
          <w:sz w:val="24"/>
          <w:szCs w:val="24"/>
        </w:rPr>
      </w:pPr>
    </w:p>
    <w:p w14:paraId="0E307C64" w14:textId="77777777" w:rsidR="000F18B0" w:rsidRDefault="000F18B0" w:rsidP="00F326E5">
      <w:pPr>
        <w:pStyle w:val="NoSpacing"/>
        <w:rPr>
          <w:rFonts w:ascii="Arial Black" w:hAnsi="Arial Black"/>
          <w:sz w:val="24"/>
          <w:szCs w:val="24"/>
        </w:rPr>
      </w:pPr>
    </w:p>
    <w:p w14:paraId="75E8E514" w14:textId="60F410AC" w:rsidR="000F18B0" w:rsidRDefault="000F18B0" w:rsidP="00F326E5">
      <w:pPr>
        <w:pStyle w:val="NoSpacing"/>
        <w:rPr>
          <w:rFonts w:ascii="Arial Black" w:hAnsi="Arial Black"/>
          <w:sz w:val="24"/>
          <w:szCs w:val="24"/>
        </w:rPr>
      </w:pPr>
      <w:r>
        <w:rPr>
          <w:rFonts w:ascii="Arial Black" w:hAnsi="Arial Black"/>
          <w:sz w:val="24"/>
          <w:szCs w:val="24"/>
        </w:rPr>
        <w:t>16-30</w:t>
      </w:r>
    </w:p>
    <w:p w14:paraId="4672FB04" w14:textId="44149C5F" w:rsidR="000F18B0" w:rsidRDefault="000F18B0" w:rsidP="00F326E5">
      <w:pPr>
        <w:pStyle w:val="NoSpacing"/>
        <w:rPr>
          <w:rFonts w:ascii="Arial Black" w:hAnsi="Arial Black"/>
          <w:sz w:val="24"/>
          <w:szCs w:val="24"/>
        </w:rPr>
      </w:pPr>
    </w:p>
    <w:p w14:paraId="0B13AB67" w14:textId="77777777" w:rsidR="000F18B0" w:rsidRDefault="000F18B0" w:rsidP="000F18B0">
      <w:pPr>
        <w:pStyle w:val="NoSpacing"/>
        <w:rPr>
          <w:rFonts w:ascii="Arial Black" w:hAnsi="Arial Black" w:cs="Arial"/>
          <w:sz w:val="28"/>
          <w:szCs w:val="28"/>
        </w:rPr>
      </w:pPr>
      <w:bookmarkStart w:id="604" w:name="_Hlk39772998"/>
      <w:r w:rsidRPr="006B3428">
        <w:rPr>
          <w:rFonts w:ascii="Arial Black" w:hAnsi="Arial Black" w:cs="Arial"/>
          <w:sz w:val="28"/>
          <w:szCs w:val="28"/>
        </w:rPr>
        <w:t xml:space="preserve">CA: </w:t>
      </w:r>
      <w:r>
        <w:rPr>
          <w:rFonts w:ascii="Arial Black" w:hAnsi="Arial Black" w:cs="Arial"/>
          <w:sz w:val="28"/>
          <w:szCs w:val="28"/>
        </w:rPr>
        <w:t xml:space="preserve">THREATENING COMMENTS TO OFFICER – OFF DUTY INCIDENT WITH HIS DOG – 48-HOUR SUSPENSIONS UPHELD </w:t>
      </w:r>
    </w:p>
    <w:p w14:paraId="0CA33F0D" w14:textId="77777777" w:rsidR="000F18B0" w:rsidRDefault="000F18B0" w:rsidP="000F18B0">
      <w:pPr>
        <w:pStyle w:val="NoSpacing"/>
        <w:rPr>
          <w:b/>
          <w:bCs/>
          <w:sz w:val="24"/>
          <w:szCs w:val="24"/>
        </w:rPr>
      </w:pPr>
    </w:p>
    <w:p w14:paraId="6DB684C6"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On April 22, 2020, in </w:t>
      </w:r>
      <w:r w:rsidRPr="00D61723">
        <w:rPr>
          <w:rFonts w:ascii="Times New Roman" w:hAnsi="Times New Roman"/>
          <w:bCs/>
          <w:sz w:val="24"/>
          <w:szCs w:val="24"/>
          <w:u w:val="single"/>
        </w:rPr>
        <w:t>Michael Meoli v. San Diego Civil Service Commission</w:t>
      </w:r>
      <w:r w:rsidRPr="00D61723">
        <w:rPr>
          <w:rFonts w:ascii="Times New Roman" w:hAnsi="Times New Roman"/>
          <w:bCs/>
          <w:sz w:val="24"/>
          <w:szCs w:val="24"/>
        </w:rPr>
        <w:t>, the Court of Appeal (4</w:t>
      </w:r>
      <w:r w:rsidRPr="00D61723">
        <w:rPr>
          <w:rFonts w:ascii="Times New Roman" w:hAnsi="Times New Roman"/>
          <w:bCs/>
          <w:sz w:val="24"/>
          <w:szCs w:val="24"/>
          <w:vertAlign w:val="superscript"/>
        </w:rPr>
        <w:t>th</w:t>
      </w:r>
      <w:r w:rsidRPr="00D61723">
        <w:rPr>
          <w:rFonts w:ascii="Times New Roman" w:hAnsi="Times New Roman"/>
          <w:bCs/>
          <w:sz w:val="24"/>
          <w:szCs w:val="24"/>
        </w:rPr>
        <w:t xml:space="preserve"> Appellate District / Division One) held (3 to 0) in unpublished opinion, that the trial court properly confirmed the decision of the Civil Service Commission, that the two 24-hour suspensions were appropriate.</w:t>
      </w:r>
    </w:p>
    <w:p w14:paraId="0E10A2D5" w14:textId="77777777" w:rsidR="000F18B0" w:rsidRPr="00D61723" w:rsidRDefault="000F18B0" w:rsidP="000F18B0">
      <w:pPr>
        <w:pStyle w:val="NoSpacing"/>
        <w:rPr>
          <w:rFonts w:ascii="Times New Roman" w:hAnsi="Times New Roman"/>
          <w:b/>
          <w:bCs/>
          <w:sz w:val="24"/>
          <w:szCs w:val="24"/>
        </w:rPr>
      </w:pPr>
    </w:p>
    <w:p w14:paraId="2F438572" w14:textId="77777777"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“[California Firefighter’s Bill of Rights] Government Code section 3253 deals with a firefighter's rights when he or she ‘is under investigation and subjected to interrogation.’ Meoli argues that City violated subdivisions(b), (g), and (h) of section 3253 during the February 2012 incident at the fire station. As we explained ante, the trial court found that the delivery of the Notice communicated to Meoli that an investigation and interrogation would take place in the future. Although Meoli acknowledges this ruling </w:t>
      </w:r>
      <w:r w:rsidRPr="00D61723">
        <w:rPr>
          <w:rFonts w:ascii="Times New Roman" w:hAnsi="Times New Roman"/>
          <w:bCs/>
          <w:sz w:val="24"/>
          <w:szCs w:val="24"/>
        </w:rPr>
        <w:lastRenderedPageBreak/>
        <w:t xml:space="preserve">by the trial court, he argues that it was ‘not supported by the law or any reasoned analysis of the applicable statute[].’ However, Meoli does not explain this alleged error, since he fails to discuss the trial court's rulings, the applicable standard, or the evidence to support a violation of the applicable </w:t>
      </w:r>
      <w:proofErr w:type="gramStart"/>
      <w:r w:rsidRPr="00D61723">
        <w:rPr>
          <w:rFonts w:ascii="Times New Roman" w:hAnsi="Times New Roman"/>
          <w:bCs/>
          <w:sz w:val="24"/>
          <w:szCs w:val="24"/>
        </w:rPr>
        <w:t>standard.”</w:t>
      </w:r>
      <w:proofErr w:type="gramEnd"/>
      <w:r w:rsidRPr="00D61723">
        <w:rPr>
          <w:rFonts w:ascii="Times New Roman" w:hAnsi="Times New Roman"/>
          <w:bCs/>
          <w:sz w:val="24"/>
          <w:szCs w:val="24"/>
        </w:rPr>
        <w:t xml:space="preserve"> </w:t>
      </w:r>
      <w:hyperlink r:id="rId2634" w:history="1">
        <w:r w:rsidRPr="00D61723">
          <w:rPr>
            <w:rStyle w:val="Hyperlink"/>
            <w:rFonts w:ascii="Times New Roman" w:hAnsi="Times New Roman"/>
            <w:b/>
            <w:sz w:val="24"/>
            <w:szCs w:val="24"/>
          </w:rPr>
          <w:t>https://www.courts.ca.gov/opinions/nonpub/D074758.PDF</w:t>
        </w:r>
      </w:hyperlink>
      <w:r w:rsidRPr="00D61723">
        <w:rPr>
          <w:rFonts w:ascii="Times New Roman" w:hAnsi="Times New Roman"/>
          <w:bCs/>
          <w:sz w:val="24"/>
          <w:szCs w:val="24"/>
        </w:rPr>
        <w:t xml:space="preserve"> </w:t>
      </w:r>
    </w:p>
    <w:bookmarkEnd w:id="604"/>
    <w:p w14:paraId="2F00DF95" w14:textId="77777777" w:rsidR="000F18B0" w:rsidRDefault="000F18B0" w:rsidP="000F18B0">
      <w:pPr>
        <w:pStyle w:val="NoSpacing"/>
        <w:rPr>
          <w:rFonts w:ascii="Times New Roman" w:hAnsi="Times New Roman"/>
          <w:b/>
          <w:bCs/>
          <w:sz w:val="24"/>
          <w:szCs w:val="24"/>
        </w:rPr>
      </w:pPr>
    </w:p>
    <w:p w14:paraId="037F51F2" w14:textId="6E899408" w:rsidR="000F18B0" w:rsidRPr="00D61723" w:rsidRDefault="000F18B0" w:rsidP="000F18B0">
      <w:pPr>
        <w:pStyle w:val="NoSpacing"/>
        <w:rPr>
          <w:rFonts w:ascii="Times New Roman" w:hAnsi="Times New Roman"/>
          <w:b/>
          <w:bCs/>
          <w:sz w:val="24"/>
          <w:szCs w:val="24"/>
        </w:rPr>
      </w:pPr>
      <w:bookmarkStart w:id="605" w:name="_Hlk40516840"/>
      <w:r w:rsidRPr="00D61723">
        <w:rPr>
          <w:rFonts w:ascii="Times New Roman" w:hAnsi="Times New Roman"/>
          <w:b/>
          <w:bCs/>
          <w:sz w:val="24"/>
          <w:szCs w:val="24"/>
        </w:rPr>
        <w:t xml:space="preserve">Legal Lessons Learned: Threats against a FD officer are not to be tolerated; nor claims off duty that you are a police officer. </w:t>
      </w:r>
    </w:p>
    <w:bookmarkEnd w:id="605"/>
    <w:p w14:paraId="46776C7B" w14:textId="77777777" w:rsidR="000F18B0" w:rsidRPr="00D61723" w:rsidRDefault="000F18B0" w:rsidP="000F18B0">
      <w:pPr>
        <w:pStyle w:val="NoSpacing"/>
        <w:rPr>
          <w:b/>
          <w:bCs/>
          <w:sz w:val="24"/>
          <w:szCs w:val="24"/>
        </w:rPr>
      </w:pPr>
    </w:p>
    <w:p w14:paraId="65BFD322" w14:textId="77777777" w:rsidR="000F18B0" w:rsidRDefault="000F18B0" w:rsidP="00F326E5">
      <w:pPr>
        <w:pStyle w:val="NoSpacing"/>
        <w:rPr>
          <w:rFonts w:ascii="Arial Black" w:hAnsi="Arial Black"/>
          <w:sz w:val="24"/>
          <w:szCs w:val="24"/>
        </w:rPr>
      </w:pPr>
    </w:p>
    <w:p w14:paraId="2F424284" w14:textId="77777777" w:rsidR="000F18B0" w:rsidRDefault="000F18B0" w:rsidP="00F326E5">
      <w:pPr>
        <w:pStyle w:val="NoSpacing"/>
        <w:rPr>
          <w:rFonts w:ascii="Arial Black" w:hAnsi="Arial Black"/>
          <w:sz w:val="24"/>
          <w:szCs w:val="24"/>
        </w:rPr>
      </w:pPr>
    </w:p>
    <w:p w14:paraId="0E9AE6BB" w14:textId="77777777" w:rsidR="000F18B0" w:rsidRDefault="000F18B0" w:rsidP="00F326E5">
      <w:pPr>
        <w:pStyle w:val="NoSpacing"/>
        <w:rPr>
          <w:rFonts w:ascii="Arial Black" w:hAnsi="Arial Black"/>
          <w:sz w:val="24"/>
          <w:szCs w:val="24"/>
        </w:rPr>
      </w:pPr>
    </w:p>
    <w:p w14:paraId="1B663376" w14:textId="1BFE8757" w:rsidR="000F18B0" w:rsidRDefault="000F18B0" w:rsidP="00F326E5">
      <w:pPr>
        <w:pStyle w:val="NoSpacing"/>
        <w:rPr>
          <w:rFonts w:ascii="Arial Black" w:hAnsi="Arial Black"/>
          <w:sz w:val="24"/>
          <w:szCs w:val="24"/>
        </w:rPr>
      </w:pPr>
      <w:r>
        <w:rPr>
          <w:rFonts w:ascii="Arial Black" w:hAnsi="Arial Black"/>
          <w:sz w:val="24"/>
          <w:szCs w:val="24"/>
        </w:rPr>
        <w:t>16-29</w:t>
      </w:r>
    </w:p>
    <w:p w14:paraId="39796E42" w14:textId="0287A8CE" w:rsidR="000F18B0" w:rsidRDefault="000F18B0" w:rsidP="00F326E5">
      <w:pPr>
        <w:pStyle w:val="NoSpacing"/>
        <w:rPr>
          <w:rFonts w:ascii="Arial Black" w:hAnsi="Arial Black"/>
          <w:sz w:val="24"/>
          <w:szCs w:val="24"/>
        </w:rPr>
      </w:pPr>
    </w:p>
    <w:p w14:paraId="099B4ECC" w14:textId="77777777" w:rsidR="000F18B0" w:rsidRPr="00084E23" w:rsidRDefault="000F18B0" w:rsidP="000F18B0">
      <w:pPr>
        <w:pStyle w:val="NoSpacing"/>
        <w:rPr>
          <w:rFonts w:ascii="Arial Black" w:hAnsi="Arial Black"/>
          <w:sz w:val="28"/>
          <w:szCs w:val="28"/>
        </w:rPr>
      </w:pPr>
      <w:bookmarkStart w:id="606" w:name="_Hlk40516939"/>
      <w:r w:rsidRPr="00084E23">
        <w:rPr>
          <w:rFonts w:ascii="Arial Black" w:hAnsi="Arial Black"/>
          <w:sz w:val="28"/>
          <w:szCs w:val="28"/>
        </w:rPr>
        <w:t>VA:</w:t>
      </w:r>
      <w:r>
        <w:rPr>
          <w:rFonts w:ascii="Arial Black" w:hAnsi="Arial Black"/>
          <w:sz w:val="28"/>
          <w:szCs w:val="28"/>
        </w:rPr>
        <w:t xml:space="preserve"> SOCIAL MEDIA - ANTI-TRUMP FACEBOOK - ARRESTED D.C. PROTEST – FIRED NO HEARING – LAWSUIT PROCEED</w:t>
      </w:r>
    </w:p>
    <w:p w14:paraId="262A9F69" w14:textId="77777777" w:rsidR="000F18B0" w:rsidRDefault="000F18B0" w:rsidP="000F18B0">
      <w:pPr>
        <w:pStyle w:val="NoSpacing"/>
        <w:rPr>
          <w:rFonts w:ascii="VAArial Black" w:hAnsi="VAArial Black"/>
          <w:sz w:val="28"/>
          <w:szCs w:val="28"/>
        </w:rPr>
      </w:pPr>
    </w:p>
    <w:p w14:paraId="3D178C12" w14:textId="3F637B1A" w:rsidR="000F18B0" w:rsidRDefault="000F18B0" w:rsidP="000F18B0">
      <w:pPr>
        <w:pStyle w:val="NoSpacing"/>
        <w:rPr>
          <w:rFonts w:ascii="Times New Roman" w:hAnsi="Times New Roman"/>
          <w:bCs/>
          <w:sz w:val="24"/>
          <w:szCs w:val="24"/>
        </w:rPr>
      </w:pPr>
      <w:r w:rsidRPr="00D61723">
        <w:rPr>
          <w:rFonts w:ascii="Times New Roman" w:hAnsi="Times New Roman"/>
          <w:bCs/>
          <w:sz w:val="24"/>
          <w:szCs w:val="24"/>
        </w:rPr>
        <w:t xml:space="preserve">On March 31, 2020, in </w:t>
      </w:r>
      <w:r w:rsidRPr="00D61723">
        <w:rPr>
          <w:rFonts w:ascii="Times New Roman" w:hAnsi="Times New Roman"/>
          <w:bCs/>
          <w:sz w:val="24"/>
          <w:szCs w:val="24"/>
          <w:u w:val="single"/>
        </w:rPr>
        <w:t xml:space="preserve">Rosa </w:t>
      </w:r>
      <w:proofErr w:type="spellStart"/>
      <w:r w:rsidRPr="00D61723">
        <w:rPr>
          <w:rFonts w:ascii="Times New Roman" w:hAnsi="Times New Roman"/>
          <w:bCs/>
          <w:sz w:val="24"/>
          <w:szCs w:val="24"/>
          <w:u w:val="single"/>
        </w:rPr>
        <w:t>Roncales</w:t>
      </w:r>
      <w:proofErr w:type="spellEnd"/>
      <w:r w:rsidRPr="00D61723">
        <w:rPr>
          <w:rFonts w:ascii="Times New Roman" w:hAnsi="Times New Roman"/>
          <w:bCs/>
          <w:sz w:val="24"/>
          <w:szCs w:val="24"/>
          <w:u w:val="single"/>
        </w:rPr>
        <w:t xml:space="preserve"> v. County of Henrico, Anthony McDowell, Alec Oughton, Scotty Roberts and Eugene Gerald</w:t>
      </w:r>
      <w:r w:rsidRPr="00D61723">
        <w:rPr>
          <w:rFonts w:ascii="Times New Roman" w:hAnsi="Times New Roman"/>
          <w:bCs/>
          <w:sz w:val="24"/>
          <w:szCs w:val="24"/>
        </w:rPr>
        <w:t xml:space="preserve">, U.S. District Court Judge M. Hannah Lauck, U.S. District Court for the Eastern District of Virginia (Richmond Division), reviewing the allegations by the firefighter in the Complaint, but without holding a hearing, denied qualified immunity claims of the four supervisors. “At this procedural posture, however, the Court concludes </w:t>
      </w:r>
    </w:p>
    <w:p w14:paraId="4B656FDF"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that qualified immunity does not protect McDowell, Oughton, Roberts, or Gerald from liability. The Court will deny the Motion to Dismiss as to the individual Defendants.”  </w:t>
      </w:r>
      <w:bookmarkEnd w:id="606"/>
      <w:r w:rsidRPr="00D61723">
        <w:rPr>
          <w:rFonts w:ascii="Times New Roman" w:hAnsi="Times New Roman"/>
          <w:bCs/>
          <w:sz w:val="24"/>
          <w:szCs w:val="24"/>
        </w:rPr>
        <w:t xml:space="preserve">The County was </w:t>
      </w:r>
      <w:r>
        <w:rPr>
          <w:rFonts w:ascii="Times New Roman" w:hAnsi="Times New Roman"/>
          <w:bCs/>
          <w:sz w:val="24"/>
          <w:szCs w:val="24"/>
        </w:rPr>
        <w:t xml:space="preserve">dismissed </w:t>
      </w:r>
      <w:r w:rsidRPr="00D61723">
        <w:rPr>
          <w:rFonts w:ascii="Times New Roman" w:hAnsi="Times New Roman"/>
          <w:bCs/>
          <w:sz w:val="24"/>
          <w:szCs w:val="24"/>
        </w:rPr>
        <w:t>from the case.</w:t>
      </w:r>
    </w:p>
    <w:p w14:paraId="0D8195FB" w14:textId="77777777" w:rsidR="000F18B0" w:rsidRPr="00D61723" w:rsidRDefault="000F18B0" w:rsidP="000F18B0">
      <w:pPr>
        <w:pStyle w:val="NormalWeb"/>
        <w:ind w:left="720"/>
      </w:pPr>
      <w:r w:rsidRPr="00D61723">
        <w:t xml:space="preserve">“Here, </w:t>
      </w:r>
      <w:proofErr w:type="spellStart"/>
      <w:r w:rsidRPr="00D61723">
        <w:t>Roncales</w:t>
      </w:r>
      <w:proofErr w:type="spellEnd"/>
      <w:r w:rsidRPr="00D61723">
        <w:t xml:space="preserve"> alleges that she never received a name-clearing hearing or the opportunity to present her case before her employment ended at the Henrico Fire Department. Specifically, </w:t>
      </w:r>
      <w:proofErr w:type="spellStart"/>
      <w:r w:rsidRPr="00D61723">
        <w:t>Roncales</w:t>
      </w:r>
      <w:proofErr w:type="spellEnd"/>
      <w:r w:rsidRPr="00D61723">
        <w:t xml:space="preserve"> claims that Defendants questioned her regarding her participation in a political protest, that she did not have the opportunity to speak to her legal counsel before questioning, that video evidence existed that would have shown she participated in only non-violent protest, that she ‘told her superiors that her legal counsel had possession of a video demonstrating" the veracity of her claims, (</w:t>
      </w:r>
      <w:proofErr w:type="spellStart"/>
      <w:r w:rsidRPr="00D61723">
        <w:t>Compl</w:t>
      </w:r>
      <w:proofErr w:type="spellEnd"/>
      <w:r w:rsidRPr="00D61723">
        <w:t xml:space="preserve">. ¶ 34), and that Defendants used the event as a pretext to terminate her employment from the Henrico Fire Department for her political beliefs. For this claim, </w:t>
      </w:r>
      <w:proofErr w:type="spellStart"/>
      <w:r w:rsidRPr="00D61723">
        <w:t>Roncales</w:t>
      </w:r>
      <w:proofErr w:type="spellEnd"/>
      <w:r w:rsidRPr="00D61723">
        <w:t xml:space="preserve"> maintains that she was ‘deprived of the fair and unbiased opportunity for a hearing, whether name-clearing or otherwise, to rebut the Defendants' representations, and to present her side of the story.’ (</w:t>
      </w:r>
      <w:proofErr w:type="spellStart"/>
      <w:r w:rsidRPr="00D61723">
        <w:t>Compl</w:t>
      </w:r>
      <w:proofErr w:type="spellEnd"/>
      <w:r w:rsidRPr="00D61723">
        <w:t xml:space="preserve">. ¶ 60.) Based on these allegations, </w:t>
      </w:r>
      <w:proofErr w:type="spellStart"/>
      <w:r w:rsidRPr="00D61723">
        <w:t>Roncales</w:t>
      </w:r>
      <w:proofErr w:type="spellEnd"/>
      <w:r w:rsidRPr="00D61723">
        <w:t xml:space="preserve"> sufficiently alleges her Due Process Claim.” </w:t>
      </w:r>
      <w:hyperlink r:id="rId2635" w:history="1">
        <w:r w:rsidRPr="00D61723">
          <w:rPr>
            <w:rStyle w:val="Hyperlink"/>
          </w:rPr>
          <w:t>https://public.fastcase.com/Wl%2B2t%2BeVuI35%2FN70vAMFZp5z3tSAREAgVcTB%2FIqZH8qtvSAHBObLTQiDe9yLc084</w:t>
        </w:r>
      </w:hyperlink>
      <w:r w:rsidRPr="00D61723">
        <w:t xml:space="preserve"> </w:t>
      </w:r>
    </w:p>
    <w:p w14:paraId="7DC4F572" w14:textId="2743DB69" w:rsidR="000F18B0" w:rsidRPr="000164B1" w:rsidRDefault="000F18B0" w:rsidP="000F18B0">
      <w:pPr>
        <w:pStyle w:val="NoSpacing"/>
        <w:rPr>
          <w:rFonts w:ascii="Times New Roman" w:hAnsi="Times New Roman"/>
          <w:sz w:val="24"/>
          <w:szCs w:val="24"/>
        </w:rPr>
      </w:pPr>
      <w:bookmarkStart w:id="607" w:name="_Hlk40517047"/>
      <w:r w:rsidRPr="00D61723">
        <w:rPr>
          <w:rFonts w:ascii="Times New Roman" w:hAnsi="Times New Roman"/>
          <w:b/>
          <w:bCs/>
          <w:sz w:val="24"/>
          <w:szCs w:val="24"/>
        </w:rPr>
        <w:t xml:space="preserve">Legal Lessons Learned: FDs should provide a pre-disciplinary hearing prior to making a termination decision.  </w:t>
      </w:r>
      <w:r w:rsidR="000164B1" w:rsidRPr="000164B1">
        <w:rPr>
          <w:rFonts w:ascii="Times New Roman" w:hAnsi="Times New Roman"/>
          <w:sz w:val="24"/>
          <w:szCs w:val="24"/>
        </w:rPr>
        <w:t xml:space="preserve">Note:  Read the </w:t>
      </w:r>
      <w:r w:rsidRPr="000164B1">
        <w:rPr>
          <w:rFonts w:ascii="Times New Roman" w:hAnsi="Times New Roman"/>
          <w:sz w:val="24"/>
          <w:szCs w:val="24"/>
        </w:rPr>
        <w:t xml:space="preserve">U.S. Supreme Court decision in Cleveland Bd. of Educ. v. Loudermill, 470 U.S. 532 (1985), </w:t>
      </w:r>
      <w:hyperlink r:id="rId2636" w:history="1">
        <w:r w:rsidRPr="000164B1">
          <w:rPr>
            <w:rStyle w:val="Hyperlink"/>
            <w:rFonts w:ascii="Times New Roman" w:hAnsi="Times New Roman"/>
            <w:sz w:val="24"/>
            <w:szCs w:val="24"/>
          </w:rPr>
          <w:t>https://supreme.justia.com/cases/federal/us/470/532/</w:t>
        </w:r>
      </w:hyperlink>
      <w:r w:rsidRPr="000164B1">
        <w:rPr>
          <w:rFonts w:ascii="Times New Roman" w:hAnsi="Times New Roman"/>
          <w:sz w:val="24"/>
          <w:szCs w:val="24"/>
        </w:rPr>
        <w:t xml:space="preserve"> .  </w:t>
      </w:r>
    </w:p>
    <w:bookmarkEnd w:id="607"/>
    <w:p w14:paraId="0809192B" w14:textId="77777777" w:rsidR="000F18B0" w:rsidRPr="00D61723" w:rsidRDefault="000F18B0" w:rsidP="000F18B0">
      <w:pPr>
        <w:pStyle w:val="NoSpacing"/>
        <w:rPr>
          <w:rFonts w:ascii="Times New Roman" w:hAnsi="Times New Roman"/>
          <w:sz w:val="24"/>
          <w:szCs w:val="24"/>
        </w:rPr>
      </w:pPr>
    </w:p>
    <w:p w14:paraId="29639D9C" w14:textId="77777777" w:rsidR="000F18B0" w:rsidRDefault="000F18B0" w:rsidP="00F326E5">
      <w:pPr>
        <w:pStyle w:val="NoSpacing"/>
        <w:rPr>
          <w:rFonts w:ascii="Arial Black" w:hAnsi="Arial Black"/>
          <w:sz w:val="24"/>
          <w:szCs w:val="24"/>
        </w:rPr>
      </w:pPr>
    </w:p>
    <w:p w14:paraId="7FD335C0" w14:textId="77777777" w:rsidR="000F18B0" w:rsidRDefault="000F18B0" w:rsidP="00F326E5">
      <w:pPr>
        <w:pStyle w:val="NoSpacing"/>
        <w:rPr>
          <w:rFonts w:ascii="Arial Black" w:hAnsi="Arial Black"/>
          <w:sz w:val="24"/>
          <w:szCs w:val="24"/>
        </w:rPr>
      </w:pPr>
    </w:p>
    <w:p w14:paraId="7A05F3E4" w14:textId="3AD105AB" w:rsidR="000F18B0" w:rsidRDefault="000F18B0" w:rsidP="00F326E5">
      <w:pPr>
        <w:pStyle w:val="NoSpacing"/>
        <w:rPr>
          <w:rFonts w:ascii="Arial Black" w:hAnsi="Arial Black"/>
          <w:sz w:val="24"/>
          <w:szCs w:val="24"/>
        </w:rPr>
      </w:pPr>
      <w:r>
        <w:rPr>
          <w:rFonts w:ascii="Arial Black" w:hAnsi="Arial Black"/>
          <w:sz w:val="24"/>
          <w:szCs w:val="24"/>
        </w:rPr>
        <w:t>16-28</w:t>
      </w:r>
    </w:p>
    <w:p w14:paraId="6A898452" w14:textId="2EE580D5" w:rsidR="000F18B0" w:rsidRDefault="000F18B0" w:rsidP="00F326E5">
      <w:pPr>
        <w:pStyle w:val="NoSpacing"/>
        <w:rPr>
          <w:rFonts w:ascii="Arial Black" w:hAnsi="Arial Black"/>
          <w:sz w:val="24"/>
          <w:szCs w:val="24"/>
        </w:rPr>
      </w:pPr>
    </w:p>
    <w:p w14:paraId="5EA4C568" w14:textId="77777777" w:rsidR="000F18B0" w:rsidRPr="00EC2027" w:rsidRDefault="000F18B0" w:rsidP="000F18B0">
      <w:pPr>
        <w:pStyle w:val="NoSpacing"/>
        <w:rPr>
          <w:rFonts w:ascii="Arial Black" w:hAnsi="Arial Black"/>
          <w:sz w:val="28"/>
          <w:szCs w:val="28"/>
        </w:rPr>
      </w:pPr>
      <w:bookmarkStart w:id="608" w:name="_Hlk39773080"/>
      <w:r>
        <w:rPr>
          <w:rFonts w:ascii="Arial Black" w:hAnsi="Arial Black"/>
          <w:sz w:val="28"/>
          <w:szCs w:val="28"/>
        </w:rPr>
        <w:t>MI: FIRED FOR MISCHARGING HRS, DOUBLE DIPPING – FF CLAIMS RETALIATION, VERY RELIGIOUS – CASE PROCEED</w:t>
      </w:r>
    </w:p>
    <w:p w14:paraId="72360989" w14:textId="77777777" w:rsidR="000F18B0" w:rsidRDefault="000F18B0" w:rsidP="000F18B0">
      <w:pPr>
        <w:pStyle w:val="NoSpacing"/>
        <w:rPr>
          <w:b/>
          <w:bCs/>
          <w:sz w:val="24"/>
          <w:szCs w:val="24"/>
        </w:rPr>
      </w:pPr>
    </w:p>
    <w:p w14:paraId="1E18B60C"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On Nov. 22, 2019, in </w:t>
      </w:r>
      <w:r w:rsidRPr="00D61723">
        <w:rPr>
          <w:rFonts w:ascii="Times New Roman" w:hAnsi="Times New Roman"/>
          <w:bCs/>
          <w:sz w:val="24"/>
          <w:szCs w:val="24"/>
          <w:u w:val="single"/>
        </w:rPr>
        <w:t>Peter Hudson v. City of Highland Park, Michigan; Derek Hillman; Makini Jackson</w:t>
      </w:r>
      <w:r w:rsidRPr="00D61723">
        <w:rPr>
          <w:rFonts w:ascii="Times New Roman" w:hAnsi="Times New Roman"/>
          <w:bCs/>
          <w:sz w:val="24"/>
          <w:szCs w:val="24"/>
        </w:rPr>
        <w:t>,  the U.S. Court of Appeals for the 6</w:t>
      </w:r>
      <w:r w:rsidRPr="00D61723">
        <w:rPr>
          <w:rFonts w:ascii="Times New Roman" w:hAnsi="Times New Roman"/>
          <w:bCs/>
          <w:sz w:val="24"/>
          <w:szCs w:val="24"/>
          <w:vertAlign w:val="superscript"/>
        </w:rPr>
        <w:t>th</w:t>
      </w:r>
      <w:r w:rsidRPr="00D61723">
        <w:rPr>
          <w:rFonts w:ascii="Times New Roman" w:hAnsi="Times New Roman"/>
          <w:bCs/>
          <w:sz w:val="24"/>
          <w:szCs w:val="24"/>
        </w:rPr>
        <w:t xml:space="preserve"> Circuit, held (2 to 1) that FF may proceed in lawsuit against the Fire Chief for retaliation for exercising his free-speech rights, and after FF filed complaint with OSHA. “At any rate, the point, at least at the pleading stage, is one of inferences—that Hillman fired Hudson for reasons other than violating the fire station’s payroll polices. Not every allegation has to substantiate a plaintiff’s claim directly…. That’s why we have circumstantial evidence.” The majority, however, rejected his “hostile work atmosphere” Title VII claim. </w:t>
      </w:r>
    </w:p>
    <w:p w14:paraId="350CA5C7" w14:textId="77777777" w:rsidR="000F18B0" w:rsidRPr="00D61723" w:rsidRDefault="000F18B0" w:rsidP="000F18B0">
      <w:pPr>
        <w:pStyle w:val="NoSpacing"/>
        <w:rPr>
          <w:rFonts w:ascii="Times New Roman" w:hAnsi="Times New Roman"/>
          <w:b/>
          <w:bCs/>
          <w:sz w:val="24"/>
          <w:szCs w:val="24"/>
        </w:rPr>
      </w:pPr>
    </w:p>
    <w:p w14:paraId="37B6B646" w14:textId="5E2BC3CF" w:rsidR="000F18B0" w:rsidRDefault="000F18B0" w:rsidP="000F18B0">
      <w:pPr>
        <w:pStyle w:val="NoSpacing"/>
        <w:ind w:left="720"/>
        <w:rPr>
          <w:rFonts w:ascii="Times New Roman" w:hAnsi="Times New Roman"/>
          <w:bCs/>
          <w:sz w:val="24"/>
          <w:szCs w:val="24"/>
        </w:rPr>
      </w:pPr>
      <w:r w:rsidRPr="00D61723">
        <w:rPr>
          <w:rFonts w:ascii="Times New Roman" w:hAnsi="Times New Roman"/>
          <w:bCs/>
          <w:sz w:val="24"/>
          <w:szCs w:val="24"/>
        </w:rPr>
        <w:t xml:space="preserve">“For many people of faith, their religion is not an abstraction. It has consequences for how they behave and may require them to be witnesses and examples for their faith. That reality does not permit differential treatment of them because they criticize behavior on moral grounds stemming from religious </w:t>
      </w:r>
      <w:proofErr w:type="gramStart"/>
      <w:r w:rsidRPr="00D61723">
        <w:rPr>
          <w:rFonts w:ascii="Times New Roman" w:hAnsi="Times New Roman"/>
          <w:bCs/>
          <w:sz w:val="24"/>
          <w:szCs w:val="24"/>
        </w:rPr>
        <w:t>convictions</w:t>
      </w:r>
      <w:proofErr w:type="gramEnd"/>
      <w:r w:rsidRPr="00D61723">
        <w:rPr>
          <w:rFonts w:ascii="Times New Roman" w:hAnsi="Times New Roman"/>
          <w:bCs/>
          <w:sz w:val="24"/>
          <w:szCs w:val="24"/>
        </w:rPr>
        <w:t xml:space="preserve"> as </w:t>
      </w:r>
    </w:p>
    <w:p w14:paraId="777B7185" w14:textId="77777777"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opposed to moral grounds stemming from secular convictions. ‘Let firemen be firemen’ is not a cognizable defense to Title VII claims based on gender discrimination, race discrimination, or faith-based discrimination. Even so, Hudson’s disparate treatment claim fails at a minimum at the last step. He cannot show that the city’s justification for his discharge amounted to a pretextual basis for discriminating against him because of his faith. The fire department put forth a legitimate, non-discriminatory reason for treating Hudson differently. He falsified his </w:t>
      </w:r>
      <w:proofErr w:type="gramStart"/>
      <w:r w:rsidRPr="00D61723">
        <w:rPr>
          <w:rFonts w:ascii="Times New Roman" w:hAnsi="Times New Roman"/>
          <w:bCs/>
          <w:sz w:val="24"/>
          <w:szCs w:val="24"/>
        </w:rPr>
        <w:t>time-sheets</w:t>
      </w:r>
      <w:proofErr w:type="gramEnd"/>
      <w:r w:rsidRPr="00D61723">
        <w:rPr>
          <w:rFonts w:ascii="Times New Roman" w:hAnsi="Times New Roman"/>
          <w:bCs/>
          <w:sz w:val="24"/>
          <w:szCs w:val="24"/>
        </w:rPr>
        <w:t xml:space="preserve"> while other firefighters did not.”</w:t>
      </w:r>
    </w:p>
    <w:p w14:paraId="55BEF034" w14:textId="77777777" w:rsidR="000F18B0" w:rsidRPr="00D61723" w:rsidRDefault="000F18B0" w:rsidP="000F18B0">
      <w:pPr>
        <w:pStyle w:val="NoSpacing"/>
        <w:ind w:left="720"/>
        <w:rPr>
          <w:rFonts w:ascii="Times New Roman" w:hAnsi="Times New Roman"/>
          <w:b/>
          <w:bCs/>
          <w:sz w:val="24"/>
          <w:szCs w:val="24"/>
        </w:rPr>
      </w:pPr>
      <w:hyperlink r:id="rId2637" w:history="1">
        <w:r w:rsidRPr="00D61723">
          <w:rPr>
            <w:rStyle w:val="Hyperlink"/>
            <w:rFonts w:ascii="Times New Roman" w:hAnsi="Times New Roman"/>
            <w:b/>
            <w:sz w:val="24"/>
            <w:szCs w:val="24"/>
          </w:rPr>
          <w:t>https://www.opn.ca6.uscourts.gov/opinions.pdf/19a0286p-06.pdf</w:t>
        </w:r>
      </w:hyperlink>
      <w:r w:rsidRPr="00D61723">
        <w:rPr>
          <w:rFonts w:ascii="Times New Roman" w:hAnsi="Times New Roman"/>
          <w:bCs/>
          <w:sz w:val="24"/>
          <w:szCs w:val="24"/>
        </w:rPr>
        <w:t xml:space="preserve"> </w:t>
      </w:r>
    </w:p>
    <w:p w14:paraId="358C339C" w14:textId="77777777" w:rsidR="000F18B0" w:rsidRDefault="000F18B0" w:rsidP="00F326E5">
      <w:pPr>
        <w:pStyle w:val="NoSpacing"/>
        <w:rPr>
          <w:rFonts w:ascii="Arial Black" w:hAnsi="Arial Black"/>
          <w:sz w:val="24"/>
          <w:szCs w:val="24"/>
        </w:rPr>
      </w:pPr>
    </w:p>
    <w:bookmarkEnd w:id="608"/>
    <w:p w14:paraId="46B150E9"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
          <w:bCs/>
          <w:sz w:val="24"/>
          <w:szCs w:val="24"/>
        </w:rPr>
        <w:t>Legal Lessons Learned: If the allegations of on</w:t>
      </w:r>
      <w:r>
        <w:rPr>
          <w:rFonts w:ascii="Times New Roman" w:hAnsi="Times New Roman"/>
          <w:b/>
          <w:bCs/>
          <w:sz w:val="24"/>
          <w:szCs w:val="24"/>
        </w:rPr>
        <w:t xml:space="preserve"> </w:t>
      </w:r>
      <w:r w:rsidRPr="00D61723">
        <w:rPr>
          <w:rFonts w:ascii="Times New Roman" w:hAnsi="Times New Roman"/>
          <w:b/>
          <w:bCs/>
          <w:sz w:val="24"/>
          <w:szCs w:val="24"/>
        </w:rPr>
        <w:t xml:space="preserve">duty sex, pornography, and similar items are true, the FD needs new leadership. </w:t>
      </w:r>
    </w:p>
    <w:p w14:paraId="7D06FED1" w14:textId="3AB32090" w:rsidR="000F18B0" w:rsidRDefault="000F18B0" w:rsidP="00F326E5">
      <w:pPr>
        <w:pStyle w:val="NoSpacing"/>
        <w:rPr>
          <w:rFonts w:ascii="Arial Black" w:hAnsi="Arial Black"/>
          <w:sz w:val="24"/>
          <w:szCs w:val="24"/>
        </w:rPr>
      </w:pPr>
    </w:p>
    <w:p w14:paraId="04F50444" w14:textId="77777777" w:rsidR="000F18B0" w:rsidRDefault="000F18B0" w:rsidP="00F326E5">
      <w:pPr>
        <w:pStyle w:val="NoSpacing"/>
        <w:rPr>
          <w:rFonts w:ascii="Arial Black" w:hAnsi="Arial Black"/>
          <w:sz w:val="24"/>
          <w:szCs w:val="24"/>
        </w:rPr>
      </w:pPr>
    </w:p>
    <w:p w14:paraId="7E367CCF" w14:textId="516A7B3F" w:rsidR="0066298F" w:rsidRDefault="0066298F" w:rsidP="00F326E5">
      <w:pPr>
        <w:pStyle w:val="NoSpacing"/>
        <w:rPr>
          <w:rFonts w:ascii="Arial Black" w:hAnsi="Arial Black"/>
          <w:sz w:val="24"/>
          <w:szCs w:val="24"/>
        </w:rPr>
      </w:pPr>
      <w:r>
        <w:rPr>
          <w:rFonts w:ascii="Arial Black" w:hAnsi="Arial Black"/>
          <w:sz w:val="24"/>
          <w:szCs w:val="24"/>
        </w:rPr>
        <w:t>16-27</w:t>
      </w:r>
    </w:p>
    <w:p w14:paraId="6F23AF0E" w14:textId="46FF9C7A" w:rsidR="0066298F" w:rsidRDefault="0066298F" w:rsidP="00F326E5">
      <w:pPr>
        <w:pStyle w:val="NoSpacing"/>
        <w:rPr>
          <w:rFonts w:ascii="Arial Black" w:hAnsi="Arial Black"/>
          <w:sz w:val="24"/>
          <w:szCs w:val="24"/>
        </w:rPr>
      </w:pPr>
    </w:p>
    <w:p w14:paraId="3774EEE8" w14:textId="77777777" w:rsidR="0066298F" w:rsidRPr="002E0D86" w:rsidRDefault="0066298F" w:rsidP="0066298F">
      <w:pPr>
        <w:pStyle w:val="NoSpacing"/>
        <w:rPr>
          <w:rFonts w:ascii="Arial Black" w:hAnsi="Arial Black"/>
          <w:sz w:val="28"/>
          <w:szCs w:val="28"/>
        </w:rPr>
      </w:pPr>
      <w:r w:rsidRPr="002E0D86">
        <w:rPr>
          <w:rFonts w:ascii="Arial Black" w:hAnsi="Arial Black"/>
          <w:sz w:val="28"/>
          <w:szCs w:val="28"/>
        </w:rPr>
        <w:t xml:space="preserve">TN: </w:t>
      </w:r>
      <w:r>
        <w:rPr>
          <w:rFonts w:ascii="Arial Black" w:hAnsi="Arial Black"/>
          <w:sz w:val="28"/>
          <w:szCs w:val="28"/>
        </w:rPr>
        <w:t xml:space="preserve">FF OFF DUTY, POINTED FIREARM AT TWO MEN AT POLITICAL RALLY – FIRED - GIVEN “LOUDERMILL HEARING” BY FIRE CHIEF </w:t>
      </w:r>
    </w:p>
    <w:p w14:paraId="1BFDFEFE" w14:textId="77777777" w:rsidR="0066298F" w:rsidRDefault="0066298F" w:rsidP="0066298F">
      <w:pPr>
        <w:pStyle w:val="NoSpacing"/>
        <w:rPr>
          <w:b/>
          <w:bCs/>
          <w:sz w:val="24"/>
          <w:szCs w:val="24"/>
        </w:rPr>
      </w:pPr>
    </w:p>
    <w:p w14:paraId="7A2C1F66"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18, 2020, in </w:t>
      </w:r>
      <w:r w:rsidRPr="00665BD0">
        <w:rPr>
          <w:rFonts w:ascii="Times New Roman" w:hAnsi="Times New Roman"/>
          <w:bCs/>
          <w:sz w:val="24"/>
          <w:szCs w:val="24"/>
          <w:u w:val="single"/>
        </w:rPr>
        <w:t>Paul Zachary Moss v. Shelby County Civil Service Merit Board</w:t>
      </w:r>
      <w:r w:rsidRPr="00665BD0">
        <w:rPr>
          <w:rFonts w:ascii="Times New Roman" w:hAnsi="Times New Roman"/>
          <w:bCs/>
          <w:sz w:val="24"/>
          <w:szCs w:val="24"/>
        </w:rPr>
        <w:t xml:space="preserve">, the Supreme Court of Tennessee, at Jackson, held (5 to 0) that the FD provided due process to the firefighter, reversing the decision by the TN Court of Appeals.  In addition to the </w:t>
      </w:r>
      <w:proofErr w:type="gramStart"/>
      <w:r w:rsidRPr="00665BD0">
        <w:rPr>
          <w:rFonts w:ascii="Times New Roman" w:hAnsi="Times New Roman"/>
          <w:bCs/>
          <w:sz w:val="24"/>
          <w:szCs w:val="24"/>
        </w:rPr>
        <w:t>November,</w:t>
      </w:r>
      <w:proofErr w:type="gramEnd"/>
      <w:r w:rsidRPr="00665BD0">
        <w:rPr>
          <w:rFonts w:ascii="Times New Roman" w:hAnsi="Times New Roman"/>
          <w:bCs/>
          <w:sz w:val="24"/>
          <w:szCs w:val="24"/>
        </w:rPr>
        <w:t xml:space="preserve"> 2013 aggravated assault with firearm, the Fire Chief during the pre-termination </w:t>
      </w:r>
      <w:r w:rsidRPr="00665BD0">
        <w:rPr>
          <w:rFonts w:ascii="Times New Roman" w:hAnsi="Times New Roman"/>
          <w:bCs/>
          <w:i/>
          <w:iCs/>
          <w:sz w:val="24"/>
          <w:szCs w:val="24"/>
        </w:rPr>
        <w:t xml:space="preserve">Loudermill </w:t>
      </w:r>
      <w:r w:rsidRPr="00665BD0">
        <w:rPr>
          <w:rFonts w:ascii="Times New Roman" w:hAnsi="Times New Roman"/>
          <w:bCs/>
          <w:sz w:val="24"/>
          <w:szCs w:val="24"/>
        </w:rPr>
        <w:t>hearing also inquired about police records which showed that in March 2011, police arrested Mr. Moss on charges of public intoxication and possession of a firearm while under the influence of alcohol. Police records also showed that in October 2012, a police officer responded to a domestic violence call during which Mrs. Moss stated that Mr. Moss had assaulted her</w:t>
      </w:r>
      <w:r w:rsidRPr="00665BD0">
        <w:rPr>
          <w:rFonts w:ascii="Times New Roman" w:hAnsi="Times New Roman"/>
          <w:sz w:val="24"/>
          <w:szCs w:val="24"/>
        </w:rPr>
        <w:t>.</w:t>
      </w:r>
    </w:p>
    <w:p w14:paraId="09BD970D" w14:textId="77777777" w:rsidR="0066298F" w:rsidRDefault="0066298F" w:rsidP="0066298F">
      <w:pPr>
        <w:pStyle w:val="NoSpacing"/>
        <w:ind w:left="720"/>
        <w:rPr>
          <w:rFonts w:ascii="Times New Roman" w:hAnsi="Times New Roman"/>
          <w:bCs/>
          <w:sz w:val="24"/>
          <w:szCs w:val="24"/>
        </w:rPr>
      </w:pPr>
    </w:p>
    <w:p w14:paraId="49587F1A"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“Based on the pre-termination </w:t>
      </w:r>
      <w:r w:rsidRPr="00665BD0">
        <w:rPr>
          <w:rFonts w:ascii="Times New Roman" w:hAnsi="Times New Roman"/>
          <w:bCs/>
          <w:i/>
          <w:iCs/>
          <w:sz w:val="24"/>
          <w:szCs w:val="24"/>
        </w:rPr>
        <w:t xml:space="preserve">Loudermill </w:t>
      </w:r>
      <w:r w:rsidRPr="00665BD0">
        <w:rPr>
          <w:rFonts w:ascii="Times New Roman" w:hAnsi="Times New Roman"/>
          <w:bCs/>
          <w:sz w:val="24"/>
          <w:szCs w:val="24"/>
        </w:rPr>
        <w:t xml:space="preserve">notice, the questions during the </w:t>
      </w:r>
      <w:r w:rsidRPr="00665BD0">
        <w:rPr>
          <w:rFonts w:ascii="Times New Roman" w:hAnsi="Times New Roman"/>
          <w:bCs/>
          <w:i/>
          <w:iCs/>
          <w:sz w:val="24"/>
          <w:szCs w:val="24"/>
        </w:rPr>
        <w:t xml:space="preserve">Loudermill </w:t>
      </w:r>
      <w:r w:rsidRPr="00665BD0">
        <w:rPr>
          <w:rFonts w:ascii="Times New Roman" w:hAnsi="Times New Roman"/>
          <w:bCs/>
          <w:sz w:val="24"/>
          <w:szCs w:val="24"/>
        </w:rPr>
        <w:t xml:space="preserve">hearing, and the contents of the termination letter, we conclude that Mr. Moss had sufficient notice that his conduct during the November 2013 altercation and his answers about the 2011 and 2012 incidents were reasons for his termination. Mr. Moss received adequate notice of the factual allegations against him and had an opportunity to prepare for his hearing before the Board. His contention that the Fire Department violated his due process rights lacks merit.” </w:t>
      </w:r>
      <w:hyperlink r:id="rId2638" w:history="1">
        <w:r w:rsidRPr="00665BD0">
          <w:rPr>
            <w:rStyle w:val="Hyperlink"/>
            <w:rFonts w:ascii="Times New Roman" w:hAnsi="Times New Roman"/>
            <w:b/>
            <w:sz w:val="24"/>
            <w:szCs w:val="24"/>
          </w:rPr>
          <w:t>http://www.tncourts.gov/sites/default/files/moss.paul_.opn_.pdf</w:t>
        </w:r>
      </w:hyperlink>
      <w:r w:rsidRPr="00665BD0">
        <w:rPr>
          <w:rFonts w:ascii="Times New Roman" w:hAnsi="Times New Roman"/>
          <w:bCs/>
          <w:sz w:val="24"/>
          <w:szCs w:val="24"/>
        </w:rPr>
        <w:t xml:space="preserve"> </w:t>
      </w:r>
    </w:p>
    <w:p w14:paraId="5722DFD7" w14:textId="6BD9C000" w:rsidR="0066298F" w:rsidRDefault="0066298F" w:rsidP="00F326E5">
      <w:pPr>
        <w:pStyle w:val="NoSpacing"/>
        <w:rPr>
          <w:rFonts w:ascii="Arial Black" w:hAnsi="Arial Black"/>
          <w:sz w:val="24"/>
          <w:szCs w:val="24"/>
        </w:rPr>
      </w:pPr>
    </w:p>
    <w:p w14:paraId="0BADF1DA"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
          <w:bCs/>
          <w:sz w:val="24"/>
          <w:szCs w:val="24"/>
        </w:rPr>
        <w:t xml:space="preserve">Legal Lessons Learned: The FD wisely </w:t>
      </w:r>
      <w:r>
        <w:rPr>
          <w:rFonts w:ascii="Times New Roman" w:hAnsi="Times New Roman"/>
          <w:b/>
          <w:bCs/>
          <w:sz w:val="24"/>
          <w:szCs w:val="24"/>
        </w:rPr>
        <w:t xml:space="preserve">issued the firefighter </w:t>
      </w:r>
      <w:r w:rsidRPr="00665BD0">
        <w:rPr>
          <w:rFonts w:ascii="Times New Roman" w:hAnsi="Times New Roman"/>
          <w:b/>
          <w:bCs/>
          <w:sz w:val="24"/>
          <w:szCs w:val="24"/>
        </w:rPr>
        <w:t xml:space="preserve">a written notice of potential violations of FD </w:t>
      </w:r>
      <w:proofErr w:type="gramStart"/>
      <w:r w:rsidRPr="00665BD0">
        <w:rPr>
          <w:rFonts w:ascii="Times New Roman" w:hAnsi="Times New Roman"/>
          <w:b/>
          <w:bCs/>
          <w:sz w:val="24"/>
          <w:szCs w:val="24"/>
        </w:rPr>
        <w:t>policies, and</w:t>
      </w:r>
      <w:proofErr w:type="gramEnd"/>
      <w:r w:rsidRPr="00665BD0">
        <w:rPr>
          <w:rFonts w:ascii="Times New Roman" w:hAnsi="Times New Roman"/>
          <w:b/>
          <w:bCs/>
          <w:sz w:val="24"/>
          <w:szCs w:val="24"/>
        </w:rPr>
        <w:t xml:space="preserve"> </w:t>
      </w:r>
      <w:r>
        <w:rPr>
          <w:rFonts w:ascii="Times New Roman" w:hAnsi="Times New Roman"/>
          <w:b/>
          <w:bCs/>
          <w:sz w:val="24"/>
          <w:szCs w:val="24"/>
        </w:rPr>
        <w:t xml:space="preserve">provided </w:t>
      </w:r>
      <w:r w:rsidRPr="00665BD0">
        <w:rPr>
          <w:rFonts w:ascii="Times New Roman" w:hAnsi="Times New Roman"/>
          <w:b/>
          <w:bCs/>
          <w:sz w:val="24"/>
          <w:szCs w:val="24"/>
        </w:rPr>
        <w:t xml:space="preserve">a </w:t>
      </w:r>
      <w:r w:rsidRPr="00665BD0">
        <w:rPr>
          <w:rFonts w:ascii="Times New Roman" w:hAnsi="Times New Roman"/>
          <w:b/>
          <w:bCs/>
          <w:i/>
          <w:iCs/>
          <w:sz w:val="24"/>
          <w:szCs w:val="24"/>
        </w:rPr>
        <w:t xml:space="preserve">Loudermill </w:t>
      </w:r>
      <w:r w:rsidRPr="00665BD0">
        <w:rPr>
          <w:rFonts w:ascii="Times New Roman" w:hAnsi="Times New Roman"/>
          <w:b/>
          <w:bCs/>
          <w:sz w:val="24"/>
          <w:szCs w:val="24"/>
        </w:rPr>
        <w:t xml:space="preserve">meeting with the Fire Chief and Deputy Chief.  </w:t>
      </w:r>
    </w:p>
    <w:p w14:paraId="2B23E381" w14:textId="77777777" w:rsidR="0066298F" w:rsidRPr="00665BD0" w:rsidRDefault="0066298F" w:rsidP="0066298F">
      <w:pPr>
        <w:pStyle w:val="NoSpacing"/>
        <w:tabs>
          <w:tab w:val="left" w:pos="3270"/>
        </w:tabs>
        <w:rPr>
          <w:rFonts w:ascii="Times New Roman" w:hAnsi="Times New Roman"/>
          <w:b/>
          <w:bCs/>
          <w:sz w:val="24"/>
          <w:szCs w:val="24"/>
        </w:rPr>
      </w:pPr>
    </w:p>
    <w:p w14:paraId="1ADBA541" w14:textId="77777777" w:rsidR="0066298F" w:rsidRPr="006B490F" w:rsidRDefault="0066298F" w:rsidP="0066298F">
      <w:pPr>
        <w:pStyle w:val="NoSpacing"/>
        <w:rPr>
          <w:b/>
          <w:bCs/>
          <w:sz w:val="24"/>
          <w:szCs w:val="24"/>
        </w:rPr>
      </w:pPr>
    </w:p>
    <w:p w14:paraId="6A3B0A77" w14:textId="77777777" w:rsidR="0066298F" w:rsidRDefault="0066298F" w:rsidP="00F326E5">
      <w:pPr>
        <w:pStyle w:val="NoSpacing"/>
        <w:rPr>
          <w:rFonts w:ascii="Arial Black" w:hAnsi="Arial Black"/>
          <w:sz w:val="24"/>
          <w:szCs w:val="24"/>
        </w:rPr>
      </w:pPr>
    </w:p>
    <w:p w14:paraId="3651EEF2" w14:textId="6C4D3D71" w:rsidR="0066298F" w:rsidRDefault="0066298F" w:rsidP="00F326E5">
      <w:pPr>
        <w:pStyle w:val="NoSpacing"/>
        <w:rPr>
          <w:rFonts w:ascii="Arial Black" w:hAnsi="Arial Black"/>
          <w:sz w:val="24"/>
          <w:szCs w:val="24"/>
        </w:rPr>
      </w:pPr>
      <w:r>
        <w:rPr>
          <w:rFonts w:ascii="Arial Black" w:hAnsi="Arial Black"/>
          <w:sz w:val="24"/>
          <w:szCs w:val="24"/>
        </w:rPr>
        <w:t>16-26</w:t>
      </w:r>
    </w:p>
    <w:p w14:paraId="7CEC38C2" w14:textId="0D4A5CD2" w:rsidR="0066298F" w:rsidRDefault="0066298F" w:rsidP="00F326E5">
      <w:pPr>
        <w:pStyle w:val="NoSpacing"/>
        <w:rPr>
          <w:rFonts w:ascii="Arial Black" w:hAnsi="Arial Black"/>
          <w:sz w:val="24"/>
          <w:szCs w:val="24"/>
        </w:rPr>
      </w:pPr>
    </w:p>
    <w:p w14:paraId="04AEEBCE" w14:textId="77777777" w:rsidR="0066298F" w:rsidRPr="00186EE7" w:rsidRDefault="0066298F" w:rsidP="0066298F">
      <w:pPr>
        <w:pStyle w:val="NoSpacing"/>
        <w:rPr>
          <w:rFonts w:ascii="Arial Black" w:hAnsi="Arial Black"/>
          <w:b/>
          <w:bCs/>
          <w:sz w:val="28"/>
          <w:szCs w:val="28"/>
        </w:rPr>
      </w:pPr>
      <w:r>
        <w:rPr>
          <w:rFonts w:ascii="Arial Black" w:hAnsi="Arial Black"/>
          <w:bCs/>
          <w:sz w:val="28"/>
          <w:szCs w:val="28"/>
        </w:rPr>
        <w:t>IN: FF REPEATEDLY LATE FOR WORK &amp; ABSENT WITHOUT LEAVE – PROGRESSIVE DISCIPLINE – TERMINATION UPHELD</w:t>
      </w:r>
    </w:p>
    <w:p w14:paraId="4598FECC" w14:textId="77777777" w:rsidR="0066298F" w:rsidRDefault="0066298F" w:rsidP="0066298F">
      <w:pPr>
        <w:pStyle w:val="NoSpacing"/>
        <w:rPr>
          <w:b/>
          <w:bCs/>
          <w:sz w:val="24"/>
          <w:szCs w:val="24"/>
        </w:rPr>
      </w:pPr>
    </w:p>
    <w:p w14:paraId="1973C475"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6, 2020, in </w:t>
      </w:r>
      <w:r w:rsidRPr="00665BD0">
        <w:rPr>
          <w:rFonts w:ascii="Times New Roman" w:hAnsi="Times New Roman"/>
          <w:bCs/>
          <w:sz w:val="24"/>
          <w:szCs w:val="24"/>
          <w:u w:val="single"/>
        </w:rPr>
        <w:t>Kevin D. Jones v. City of Muncie Fire Merit Commission</w:t>
      </w:r>
      <w:r w:rsidRPr="00665BD0">
        <w:rPr>
          <w:rFonts w:ascii="Times New Roman" w:hAnsi="Times New Roman"/>
          <w:bCs/>
          <w:sz w:val="24"/>
          <w:szCs w:val="24"/>
        </w:rPr>
        <w:t xml:space="preserve">, the Court of Appeals of Indiana, held (3 to 0) that the trial court properly upheld the Commission. </w:t>
      </w:r>
    </w:p>
    <w:p w14:paraId="09448902" w14:textId="77777777" w:rsidR="0066298F" w:rsidRPr="00665BD0" w:rsidRDefault="0066298F" w:rsidP="0066298F">
      <w:pPr>
        <w:pStyle w:val="NoSpacing"/>
        <w:rPr>
          <w:rFonts w:ascii="Times New Roman" w:hAnsi="Times New Roman"/>
          <w:b/>
          <w:bCs/>
          <w:sz w:val="24"/>
          <w:szCs w:val="24"/>
        </w:rPr>
      </w:pPr>
    </w:p>
    <w:p w14:paraId="2548D6AA"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“We, therefore, conclude that there was substantial, relevant evidence presented to support the decision by the Commission to terminate Johanns’s employment. The evidence presented was sufficient to lead a reasonable person to support the conclusion to terminate the employment of Johanns, and the decision was not arbitrary and capricious. The trial court did not err in upholding the Commission’s decision. *** The Commission found that Johanns’s overall performance as a firefighter was poor, that he neglected his duties as a firefighter, disobeyed orders, and was absent without leave and concluded that Johanns’s employment should be terminated.” </w:t>
      </w:r>
      <w:hyperlink r:id="rId2639" w:history="1">
        <w:r w:rsidRPr="00665BD0">
          <w:rPr>
            <w:rStyle w:val="Hyperlink"/>
            <w:rFonts w:ascii="Times New Roman" w:hAnsi="Times New Roman"/>
            <w:b/>
            <w:sz w:val="24"/>
            <w:szCs w:val="24"/>
          </w:rPr>
          <w:t>https://www.in.gov/judiciary/opinions/pdf/03062003jsk.pdf</w:t>
        </w:r>
      </w:hyperlink>
      <w:r w:rsidRPr="00665BD0">
        <w:rPr>
          <w:rFonts w:ascii="Times New Roman" w:hAnsi="Times New Roman"/>
          <w:bCs/>
          <w:sz w:val="24"/>
          <w:szCs w:val="24"/>
        </w:rPr>
        <w:t xml:space="preserve"> </w:t>
      </w:r>
    </w:p>
    <w:p w14:paraId="60A80EB8" w14:textId="77777777" w:rsidR="0066298F" w:rsidRDefault="0066298F" w:rsidP="0066298F">
      <w:pPr>
        <w:pStyle w:val="NoSpacing"/>
        <w:rPr>
          <w:rFonts w:ascii="Times New Roman" w:hAnsi="Times New Roman"/>
          <w:b/>
          <w:bCs/>
          <w:sz w:val="24"/>
          <w:szCs w:val="24"/>
        </w:rPr>
      </w:pPr>
    </w:p>
    <w:p w14:paraId="00FEFEDF" w14:textId="3AC14E23" w:rsidR="0066298F" w:rsidRPr="00665BD0" w:rsidRDefault="0066298F" w:rsidP="0066298F">
      <w:pPr>
        <w:pStyle w:val="NoSpacing"/>
        <w:rPr>
          <w:rFonts w:ascii="Times New Roman" w:hAnsi="Times New Roman"/>
          <w:b/>
          <w:bCs/>
          <w:sz w:val="24"/>
          <w:szCs w:val="24"/>
        </w:rPr>
      </w:pPr>
      <w:r w:rsidRPr="00665BD0">
        <w:rPr>
          <w:rFonts w:ascii="Times New Roman" w:hAnsi="Times New Roman"/>
          <w:b/>
          <w:bCs/>
          <w:sz w:val="24"/>
          <w:szCs w:val="24"/>
        </w:rPr>
        <w:t xml:space="preserve">Legal Lessons Learned: The FD followed progressive </w:t>
      </w:r>
      <w:proofErr w:type="gramStart"/>
      <w:r w:rsidRPr="00665BD0">
        <w:rPr>
          <w:rFonts w:ascii="Times New Roman" w:hAnsi="Times New Roman"/>
          <w:b/>
          <w:bCs/>
          <w:sz w:val="24"/>
          <w:szCs w:val="24"/>
        </w:rPr>
        <w:t>discipline,</w:t>
      </w:r>
      <w:r w:rsidR="00B0089C">
        <w:rPr>
          <w:rFonts w:ascii="Times New Roman" w:hAnsi="Times New Roman"/>
          <w:b/>
          <w:bCs/>
          <w:sz w:val="24"/>
          <w:szCs w:val="24"/>
        </w:rPr>
        <w:t xml:space="preserve">  </w:t>
      </w:r>
      <w:r w:rsidRPr="00665BD0">
        <w:rPr>
          <w:rFonts w:ascii="Times New Roman" w:hAnsi="Times New Roman"/>
          <w:b/>
          <w:bCs/>
          <w:sz w:val="24"/>
          <w:szCs w:val="24"/>
        </w:rPr>
        <w:t>and</w:t>
      </w:r>
      <w:proofErr w:type="gramEnd"/>
      <w:r w:rsidRPr="00665BD0">
        <w:rPr>
          <w:rFonts w:ascii="Times New Roman" w:hAnsi="Times New Roman"/>
          <w:b/>
          <w:bCs/>
          <w:sz w:val="24"/>
          <w:szCs w:val="24"/>
        </w:rPr>
        <w:t xml:space="preserve"> documented </w:t>
      </w:r>
      <w:r>
        <w:rPr>
          <w:rFonts w:ascii="Times New Roman" w:hAnsi="Times New Roman"/>
          <w:b/>
          <w:bCs/>
          <w:sz w:val="24"/>
          <w:szCs w:val="24"/>
        </w:rPr>
        <w:t xml:space="preserve">the </w:t>
      </w:r>
      <w:r w:rsidRPr="00665BD0">
        <w:rPr>
          <w:rFonts w:ascii="Times New Roman" w:hAnsi="Times New Roman"/>
          <w:b/>
          <w:bCs/>
          <w:sz w:val="24"/>
          <w:szCs w:val="24"/>
        </w:rPr>
        <w:t xml:space="preserve">poor performance issues.   </w:t>
      </w:r>
    </w:p>
    <w:p w14:paraId="78D7AA58" w14:textId="77777777" w:rsidR="0066298F" w:rsidRDefault="0066298F" w:rsidP="00F326E5">
      <w:pPr>
        <w:pStyle w:val="NoSpacing"/>
        <w:rPr>
          <w:rFonts w:ascii="Arial Black" w:hAnsi="Arial Black"/>
          <w:sz w:val="24"/>
          <w:szCs w:val="24"/>
        </w:rPr>
      </w:pPr>
    </w:p>
    <w:p w14:paraId="7A92CDB5" w14:textId="5BD66274" w:rsidR="0066298F" w:rsidRDefault="0066298F" w:rsidP="00F326E5">
      <w:pPr>
        <w:pStyle w:val="NoSpacing"/>
        <w:rPr>
          <w:rFonts w:ascii="Arial Black" w:hAnsi="Arial Black"/>
          <w:sz w:val="24"/>
          <w:szCs w:val="24"/>
        </w:rPr>
      </w:pPr>
      <w:r>
        <w:rPr>
          <w:rFonts w:ascii="Arial Black" w:hAnsi="Arial Black"/>
          <w:sz w:val="24"/>
          <w:szCs w:val="24"/>
        </w:rPr>
        <w:t>16-25</w:t>
      </w:r>
    </w:p>
    <w:p w14:paraId="4A8BDF0C" w14:textId="72F8A034" w:rsidR="0066298F" w:rsidRDefault="0066298F" w:rsidP="00F326E5">
      <w:pPr>
        <w:pStyle w:val="NoSpacing"/>
        <w:rPr>
          <w:rFonts w:ascii="Arial Black" w:hAnsi="Arial Black"/>
          <w:sz w:val="24"/>
          <w:szCs w:val="24"/>
        </w:rPr>
      </w:pPr>
    </w:p>
    <w:p w14:paraId="04AE90C4" w14:textId="77777777" w:rsidR="0066298F" w:rsidRPr="005D736B" w:rsidRDefault="0066298F" w:rsidP="0066298F">
      <w:pPr>
        <w:pStyle w:val="NoSpacing"/>
        <w:rPr>
          <w:rFonts w:ascii="Arial Black" w:hAnsi="Arial Black"/>
          <w:sz w:val="28"/>
          <w:szCs w:val="28"/>
        </w:rPr>
      </w:pPr>
      <w:r w:rsidRPr="005D736B">
        <w:rPr>
          <w:rFonts w:ascii="Arial Black" w:hAnsi="Arial Black"/>
          <w:sz w:val="28"/>
          <w:szCs w:val="28"/>
        </w:rPr>
        <w:t xml:space="preserve">AR: </w:t>
      </w:r>
      <w:r>
        <w:rPr>
          <w:rFonts w:ascii="Arial Black" w:hAnsi="Arial Black"/>
          <w:sz w:val="28"/>
          <w:szCs w:val="28"/>
        </w:rPr>
        <w:t xml:space="preserve">PROB. </w:t>
      </w:r>
      <w:r w:rsidRPr="005D736B">
        <w:rPr>
          <w:rFonts w:ascii="Arial Black" w:hAnsi="Arial Black"/>
          <w:sz w:val="28"/>
          <w:szCs w:val="28"/>
        </w:rPr>
        <w:t>FF</w:t>
      </w:r>
      <w:r>
        <w:rPr>
          <w:rFonts w:ascii="Arial Black" w:hAnsi="Arial Black"/>
          <w:sz w:val="28"/>
          <w:szCs w:val="28"/>
        </w:rPr>
        <w:t xml:space="preserve"> – WARNED OF POOR JOB PERFORMANCE – FIRED – VERY WELL DOCUMENTED – </w:t>
      </w:r>
      <w:r w:rsidRPr="005D736B">
        <w:rPr>
          <w:rFonts w:ascii="Arial Black" w:hAnsi="Arial Black"/>
          <w:sz w:val="28"/>
          <w:szCs w:val="28"/>
        </w:rPr>
        <w:t>NO</w:t>
      </w:r>
      <w:r>
        <w:rPr>
          <w:rFonts w:ascii="Arial Black" w:hAnsi="Arial Black"/>
          <w:sz w:val="28"/>
          <w:szCs w:val="28"/>
        </w:rPr>
        <w:t xml:space="preserve"> RETALIATION FOR HIS WORK COMP CLAIM</w:t>
      </w:r>
      <w:r w:rsidRPr="005D736B">
        <w:rPr>
          <w:rFonts w:ascii="Arial Black" w:hAnsi="Arial Black"/>
          <w:sz w:val="28"/>
          <w:szCs w:val="28"/>
        </w:rPr>
        <w:t xml:space="preserve"> </w:t>
      </w:r>
      <w:r>
        <w:rPr>
          <w:rFonts w:ascii="Arial Black" w:hAnsi="Arial Black"/>
          <w:sz w:val="28"/>
          <w:szCs w:val="28"/>
        </w:rPr>
        <w:t xml:space="preserve"> </w:t>
      </w:r>
    </w:p>
    <w:p w14:paraId="37F46574" w14:textId="77777777" w:rsidR="0066298F" w:rsidRDefault="0066298F" w:rsidP="0066298F">
      <w:pPr>
        <w:pStyle w:val="NoSpacing"/>
      </w:pPr>
    </w:p>
    <w:p w14:paraId="35E4DA19"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5, 2020, in </w:t>
      </w:r>
      <w:r w:rsidRPr="00665BD0">
        <w:rPr>
          <w:rFonts w:ascii="Times New Roman" w:hAnsi="Times New Roman"/>
          <w:bCs/>
          <w:sz w:val="24"/>
          <w:szCs w:val="24"/>
          <w:u w:val="single"/>
        </w:rPr>
        <w:t>Michael Burroughs v. City of Tucson</w:t>
      </w:r>
      <w:r w:rsidRPr="00665BD0">
        <w:rPr>
          <w:rFonts w:ascii="Times New Roman" w:hAnsi="Times New Roman"/>
          <w:bCs/>
          <w:sz w:val="24"/>
          <w:szCs w:val="24"/>
        </w:rPr>
        <w:t xml:space="preserve">, the U.S. Court of Appeals for the Ninth Circuit (San Francisco), held (3 to 0) in an unpublished decision that the trial court properly granted summary judgment to the City.  He was repeated informed of his “Job </w:t>
      </w:r>
      <w:proofErr w:type="gramStart"/>
      <w:r w:rsidRPr="00665BD0">
        <w:rPr>
          <w:rFonts w:ascii="Times New Roman" w:hAnsi="Times New Roman"/>
          <w:bCs/>
          <w:sz w:val="24"/>
          <w:szCs w:val="24"/>
        </w:rPr>
        <w:t>In</w:t>
      </w:r>
      <w:proofErr w:type="gramEnd"/>
      <w:r w:rsidRPr="00665BD0">
        <w:rPr>
          <w:rFonts w:ascii="Times New Roman" w:hAnsi="Times New Roman"/>
          <w:bCs/>
          <w:sz w:val="24"/>
          <w:szCs w:val="24"/>
        </w:rPr>
        <w:t xml:space="preserve"> Jeopardy” status after barely graduating from the Training Academy. For example: “On or about October 19, 2015, Plaintiff was given TFD's Performance Evaluation for Probationary Firefighter. Plaintiff's evaluation indicated that he needed improvement on eight (8) out of seventeen (17) categories for which he was provided feedback.”  He was terminated on November 10, 2015 [don’t know when he filed Workers Comp claim.]</w:t>
      </w:r>
    </w:p>
    <w:p w14:paraId="278FCB73" w14:textId="77777777" w:rsidR="0066298F" w:rsidRPr="00665BD0" w:rsidRDefault="0066298F" w:rsidP="0066298F">
      <w:pPr>
        <w:pStyle w:val="NoSpacing"/>
        <w:rPr>
          <w:rFonts w:ascii="Times New Roman" w:hAnsi="Times New Roman"/>
          <w:b/>
          <w:bCs/>
          <w:sz w:val="24"/>
          <w:szCs w:val="24"/>
        </w:rPr>
      </w:pPr>
    </w:p>
    <w:p w14:paraId="5A1EC3A1" w14:textId="77777777" w:rsidR="0066298F" w:rsidRDefault="0066298F" w:rsidP="0066298F">
      <w:pPr>
        <w:pStyle w:val="NoSpacing"/>
        <w:ind w:left="720"/>
        <w:rPr>
          <w:rFonts w:ascii="Times New Roman" w:hAnsi="Times New Roman"/>
          <w:bCs/>
          <w:sz w:val="24"/>
          <w:szCs w:val="24"/>
        </w:rPr>
      </w:pPr>
      <w:r w:rsidRPr="00665BD0">
        <w:rPr>
          <w:rFonts w:ascii="Times New Roman" w:hAnsi="Times New Roman"/>
          <w:bCs/>
          <w:sz w:val="24"/>
          <w:szCs w:val="24"/>
        </w:rPr>
        <w:t>“Michael Burroughs appeals the adverse summary judgment in favor of the City of Tucson on his claims of disability discrimination in violation of Title I of the Americans with Disabilities Act,42 U.S.C.§§12111–</w:t>
      </w:r>
    </w:p>
    <w:p w14:paraId="6943D0F3"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12117 (“ADA”), and retaliation for exercising his workers’ compensation rights in violation of the Arizona Employment Protection Act, A.R.S.§23-1501(A)(3)(c)(iii). We have jurisdiction under 28 U.S.C.§1291, and we affirm.</w:t>
      </w:r>
    </w:p>
    <w:p w14:paraId="69B3F5D5" w14:textId="77777777" w:rsidR="0066298F" w:rsidRPr="00665BD0" w:rsidRDefault="0066298F" w:rsidP="0066298F">
      <w:pPr>
        <w:pStyle w:val="NoSpacing"/>
        <w:ind w:left="720"/>
        <w:rPr>
          <w:rFonts w:ascii="Times New Roman" w:hAnsi="Times New Roman"/>
          <w:b/>
          <w:bCs/>
          <w:sz w:val="24"/>
          <w:szCs w:val="24"/>
        </w:rPr>
      </w:pPr>
    </w:p>
    <w:p w14:paraId="37EADA60"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When Burroughs hurt his back at the fire academy, a </w:t>
      </w:r>
      <w:proofErr w:type="gramStart"/>
      <w:r w:rsidRPr="00665BD0">
        <w:rPr>
          <w:rFonts w:ascii="Times New Roman" w:hAnsi="Times New Roman"/>
          <w:bCs/>
          <w:sz w:val="24"/>
          <w:szCs w:val="24"/>
        </w:rPr>
        <w:t>City</w:t>
      </w:r>
      <w:proofErr w:type="gramEnd"/>
      <w:r w:rsidRPr="00665BD0">
        <w:rPr>
          <w:rFonts w:ascii="Times New Roman" w:hAnsi="Times New Roman"/>
          <w:bCs/>
          <w:sz w:val="24"/>
          <w:szCs w:val="24"/>
        </w:rPr>
        <w:t xml:space="preserve"> physician evaluated his injury, diagnosed him with a ‘lumbar strain,’ and released him back to work without restriction. Another City physician reached the same conclusion two days later when Burroughs complained of difficulty sitting. And finally, after yet another medical evaluation deeming him fit for duty, Burroughs graduated from the fire academy and started working at his first station. Faced with these medical opinions based on physical </w:t>
      </w:r>
      <w:r w:rsidRPr="00665BD0">
        <w:rPr>
          <w:rFonts w:ascii="Times New Roman" w:hAnsi="Times New Roman"/>
          <w:bCs/>
          <w:sz w:val="24"/>
          <w:szCs w:val="24"/>
        </w:rPr>
        <w:lastRenderedPageBreak/>
        <w:t>examinations, Burroughs’s only contrary evidence is his own conclusory self-assessment. Not quite a genuine factual dispute.”</w:t>
      </w:r>
    </w:p>
    <w:p w14:paraId="47C8613A" w14:textId="77777777" w:rsidR="0066298F" w:rsidRPr="00665BD0" w:rsidRDefault="0066298F" w:rsidP="0066298F">
      <w:pPr>
        <w:pStyle w:val="NoSpacing"/>
        <w:ind w:left="720"/>
        <w:rPr>
          <w:rFonts w:ascii="Times New Roman" w:hAnsi="Times New Roman"/>
          <w:b/>
          <w:bCs/>
          <w:sz w:val="24"/>
          <w:szCs w:val="24"/>
        </w:rPr>
      </w:pPr>
      <w:hyperlink r:id="rId2640" w:history="1">
        <w:r w:rsidRPr="00665BD0">
          <w:rPr>
            <w:rStyle w:val="Hyperlink"/>
            <w:rFonts w:ascii="Times New Roman" w:hAnsi="Times New Roman"/>
            <w:b/>
            <w:sz w:val="24"/>
            <w:szCs w:val="24"/>
          </w:rPr>
          <w:t>https://cases.justia.com/federal/appellate-courts/ca9/18-16994/18-16994-2020-03-05.pdf?ts=1583442068</w:t>
        </w:r>
      </w:hyperlink>
      <w:r w:rsidRPr="00665BD0">
        <w:rPr>
          <w:rFonts w:ascii="Times New Roman" w:hAnsi="Times New Roman"/>
          <w:bCs/>
          <w:sz w:val="24"/>
          <w:szCs w:val="24"/>
        </w:rPr>
        <w:t xml:space="preserve"> </w:t>
      </w:r>
    </w:p>
    <w:p w14:paraId="4726EAB8" w14:textId="6D46CB6E" w:rsidR="0066298F" w:rsidRDefault="0066298F" w:rsidP="00F326E5">
      <w:pPr>
        <w:pStyle w:val="NoSpacing"/>
        <w:rPr>
          <w:rFonts w:ascii="Arial Black" w:hAnsi="Arial Black"/>
          <w:sz w:val="24"/>
          <w:szCs w:val="24"/>
        </w:rPr>
      </w:pPr>
    </w:p>
    <w:p w14:paraId="10CDC48E" w14:textId="77777777" w:rsidR="0066298F" w:rsidRDefault="0066298F" w:rsidP="0066298F">
      <w:pPr>
        <w:pStyle w:val="NoSpacing"/>
        <w:rPr>
          <w:rFonts w:ascii="Times New Roman" w:eastAsia="Times New Roman" w:hAnsi="Times New Roman"/>
          <w:b/>
          <w:bCs/>
          <w:sz w:val="24"/>
          <w:szCs w:val="24"/>
        </w:rPr>
      </w:pPr>
      <w:r w:rsidRPr="00665BD0">
        <w:rPr>
          <w:rFonts w:ascii="Times New Roman" w:hAnsi="Times New Roman"/>
          <w:b/>
          <w:bCs/>
          <w:sz w:val="24"/>
          <w:szCs w:val="24"/>
        </w:rPr>
        <w:t xml:space="preserve">Legal Lessons Learned: The FD did a great job documenting </w:t>
      </w:r>
      <w:proofErr w:type="gramStart"/>
      <w:r w:rsidRPr="00665BD0">
        <w:rPr>
          <w:rFonts w:ascii="Times New Roman" w:hAnsi="Times New Roman"/>
          <w:b/>
          <w:bCs/>
          <w:sz w:val="24"/>
          <w:szCs w:val="24"/>
        </w:rPr>
        <w:t xml:space="preserve">the </w:t>
      </w:r>
      <w:r>
        <w:rPr>
          <w:rFonts w:ascii="Times New Roman" w:hAnsi="Times New Roman"/>
          <w:b/>
          <w:bCs/>
          <w:sz w:val="24"/>
          <w:szCs w:val="24"/>
        </w:rPr>
        <w:t>poor</w:t>
      </w:r>
      <w:proofErr w:type="gramEnd"/>
      <w:r>
        <w:rPr>
          <w:rFonts w:ascii="Times New Roman" w:hAnsi="Times New Roman"/>
          <w:b/>
          <w:bCs/>
          <w:sz w:val="24"/>
          <w:szCs w:val="24"/>
        </w:rPr>
        <w:t xml:space="preserve"> work performance. </w:t>
      </w:r>
    </w:p>
    <w:p w14:paraId="4FF7213D" w14:textId="77777777" w:rsidR="0066298F" w:rsidRDefault="0066298F" w:rsidP="00F326E5">
      <w:pPr>
        <w:pStyle w:val="NoSpacing"/>
        <w:rPr>
          <w:rFonts w:ascii="Arial Black" w:hAnsi="Arial Black"/>
          <w:sz w:val="24"/>
          <w:szCs w:val="24"/>
        </w:rPr>
      </w:pPr>
    </w:p>
    <w:p w14:paraId="7B8856C3" w14:textId="77777777" w:rsidR="0066298F" w:rsidRDefault="0066298F" w:rsidP="00F326E5">
      <w:pPr>
        <w:pStyle w:val="NoSpacing"/>
        <w:rPr>
          <w:rFonts w:ascii="Arial Black" w:hAnsi="Arial Black"/>
          <w:sz w:val="24"/>
          <w:szCs w:val="24"/>
        </w:rPr>
      </w:pPr>
    </w:p>
    <w:p w14:paraId="6D513E6E" w14:textId="6CEA81F4" w:rsidR="007A1E7A" w:rsidRDefault="007A1E7A" w:rsidP="00F326E5">
      <w:pPr>
        <w:pStyle w:val="NoSpacing"/>
        <w:rPr>
          <w:rFonts w:ascii="Arial Black" w:hAnsi="Arial Black"/>
          <w:sz w:val="24"/>
          <w:szCs w:val="24"/>
        </w:rPr>
      </w:pPr>
      <w:r>
        <w:rPr>
          <w:rFonts w:ascii="Arial Black" w:hAnsi="Arial Black"/>
          <w:sz w:val="24"/>
          <w:szCs w:val="24"/>
        </w:rPr>
        <w:t>16-24</w:t>
      </w:r>
    </w:p>
    <w:p w14:paraId="62B045D2" w14:textId="2D785B8D" w:rsidR="007A1E7A" w:rsidRDefault="007A1E7A" w:rsidP="00F326E5">
      <w:pPr>
        <w:pStyle w:val="NoSpacing"/>
        <w:rPr>
          <w:rFonts w:ascii="Arial Black" w:hAnsi="Arial Black"/>
          <w:sz w:val="24"/>
          <w:szCs w:val="24"/>
        </w:rPr>
      </w:pPr>
    </w:p>
    <w:p w14:paraId="73E22A4B" w14:textId="77777777" w:rsidR="007A1E7A" w:rsidRPr="00C34E57" w:rsidRDefault="007A1E7A" w:rsidP="007A1E7A">
      <w:pPr>
        <w:pStyle w:val="NoSpacing"/>
        <w:rPr>
          <w:rFonts w:ascii="Arial Black" w:hAnsi="Arial Black"/>
          <w:sz w:val="28"/>
          <w:szCs w:val="28"/>
        </w:rPr>
      </w:pPr>
      <w:r w:rsidRPr="00C34E57">
        <w:rPr>
          <w:rFonts w:ascii="Arial Black" w:hAnsi="Arial Black"/>
          <w:sz w:val="28"/>
          <w:szCs w:val="28"/>
        </w:rPr>
        <w:t xml:space="preserve">MI: </w:t>
      </w:r>
      <w:r>
        <w:rPr>
          <w:rFonts w:ascii="Arial Black" w:hAnsi="Arial Black"/>
          <w:sz w:val="28"/>
          <w:szCs w:val="28"/>
        </w:rPr>
        <w:t>POLICE CHIEF FIRED – MERGER TWO 911 SYSTEMS - POSTED TAXPAYERS “GETTING THE SHAFT” –– LAWSUIT TO PROCEED</w:t>
      </w:r>
    </w:p>
    <w:p w14:paraId="467D7DA6" w14:textId="77777777" w:rsidR="007A1E7A" w:rsidRPr="004B30C8" w:rsidRDefault="007A1E7A" w:rsidP="007A1E7A">
      <w:pPr>
        <w:spacing w:before="100" w:beforeAutospacing="1" w:after="100" w:afterAutospacing="1" w:line="240" w:lineRule="auto"/>
        <w:rPr>
          <w:rFonts w:ascii="Times New Roman" w:hAnsi="Times New Roman"/>
          <w:sz w:val="24"/>
          <w:szCs w:val="24"/>
        </w:rPr>
      </w:pPr>
      <w:r w:rsidRPr="004B30C8">
        <w:rPr>
          <w:rFonts w:ascii="Times New Roman" w:eastAsia="Times New Roman" w:hAnsi="Times New Roman"/>
          <w:sz w:val="24"/>
          <w:szCs w:val="24"/>
        </w:rPr>
        <w:t xml:space="preserve">On March 2, 2020, in </w:t>
      </w:r>
      <w:r w:rsidRPr="004B30C8">
        <w:rPr>
          <w:rFonts w:ascii="Times New Roman" w:eastAsia="Times New Roman" w:hAnsi="Times New Roman"/>
          <w:sz w:val="24"/>
          <w:szCs w:val="24"/>
          <w:u w:val="single"/>
        </w:rPr>
        <w:t>Chad Hayse v. City of Melvindale</w:t>
      </w:r>
      <w:r w:rsidRPr="004B30C8">
        <w:rPr>
          <w:rFonts w:ascii="Times New Roman" w:eastAsia="Times New Roman" w:hAnsi="Times New Roman"/>
          <w:sz w:val="24"/>
          <w:szCs w:val="24"/>
        </w:rPr>
        <w:t xml:space="preserve">, U.S. District Court Judge </w:t>
      </w:r>
      <w:r w:rsidRPr="004B30C8">
        <w:rPr>
          <w:rFonts w:ascii="Times New Roman" w:hAnsi="Times New Roman"/>
          <w:sz w:val="24"/>
          <w:szCs w:val="24"/>
        </w:rPr>
        <w:t xml:space="preserve">Linda V. Parker, Eastern District of Michigan (Southern Division) denied the City’s motion for summary judgment. The City fired the Police Chief after he posted comments on Facebook page in opposition to the merger of the City’s 911 dispatch with the City of Dearborn’s dispatch; hot issue on which the City Council of Melvindale was going to soon vote. </w:t>
      </w:r>
    </w:p>
    <w:p w14:paraId="574A33A0" w14:textId="77777777" w:rsidR="007A1E7A" w:rsidRPr="004B30C8" w:rsidRDefault="007A1E7A" w:rsidP="007A1E7A">
      <w:pPr>
        <w:pStyle w:val="NoSpacing"/>
        <w:ind w:left="720"/>
        <w:rPr>
          <w:rFonts w:ascii="Times New Roman" w:eastAsia="Times New Roman" w:hAnsi="Times New Roman"/>
          <w:sz w:val="24"/>
          <w:szCs w:val="24"/>
        </w:rPr>
      </w:pPr>
      <w:r w:rsidRPr="004B30C8">
        <w:rPr>
          <w:rFonts w:ascii="Times New Roman" w:hAnsi="Times New Roman"/>
          <w:bCs/>
          <w:sz w:val="24"/>
          <w:szCs w:val="24"/>
        </w:rPr>
        <w:t xml:space="preserve">“In 2016, City Council readied itself to vote on the proposed merger of Melvindale's and the City of Dearborn's police dispatch systems. Discussions and debates abounded in public meetings, several of which were held over a two-month period. *** </w:t>
      </w:r>
      <w:r w:rsidRPr="004B30C8">
        <w:rPr>
          <w:rFonts w:ascii="Times New Roman" w:eastAsia="Times New Roman" w:hAnsi="Times New Roman"/>
          <w:bCs/>
          <w:sz w:val="24"/>
          <w:szCs w:val="24"/>
        </w:rPr>
        <w:t>Based on the record, the Court is unable to conclude that Defendants reasonably predicted that the ‘shaft’ comment would cause disruption within the police department. One reason is that the "shaft" comment did not contain ‘particularly inflammatory</w:t>
      </w:r>
      <w:proofErr w:type="gramStart"/>
      <w:r w:rsidRPr="004B30C8">
        <w:rPr>
          <w:rFonts w:ascii="Times New Roman" w:eastAsia="Times New Roman" w:hAnsi="Times New Roman"/>
          <w:bCs/>
          <w:sz w:val="24"/>
          <w:szCs w:val="24"/>
        </w:rPr>
        <w:t>,’ ‘</w:t>
      </w:r>
      <w:proofErr w:type="gramEnd"/>
      <w:r w:rsidRPr="004B30C8">
        <w:rPr>
          <w:rFonts w:ascii="Times New Roman" w:eastAsia="Times New Roman" w:hAnsi="Times New Roman"/>
          <w:bCs/>
          <w:sz w:val="24"/>
          <w:szCs w:val="24"/>
        </w:rPr>
        <w:t xml:space="preserve">abusive,’ or ‘exceptionally insulting’ language that could stir controversy among members of the police department. </w:t>
      </w:r>
      <w:r w:rsidRPr="004B30C8">
        <w:rPr>
          <w:rFonts w:ascii="Times New Roman" w:eastAsia="Times New Roman" w:hAnsi="Times New Roman"/>
          <w:bCs/>
          <w:i/>
          <w:iCs/>
          <w:sz w:val="24"/>
          <w:szCs w:val="24"/>
        </w:rPr>
        <w:t>See Rodgers</w:t>
      </w:r>
      <w:r w:rsidRPr="004B30C8">
        <w:rPr>
          <w:rFonts w:ascii="Times New Roman" w:eastAsia="Times New Roman" w:hAnsi="Times New Roman"/>
          <w:bCs/>
          <w:sz w:val="24"/>
          <w:szCs w:val="24"/>
        </w:rPr>
        <w:t xml:space="preserve">, 344 F.3d at 601. Another reason is that the public's reaction to the ‘shaft’ comment, as detailed in Defendants' arguments, provides little insight into what predictions Defendants made about how the comment would disrupt the police department. Accordingly, the Court finds that the balancing test weighs in Plaintiff's favor and the ‘shaft’ comment was constitutionally protected activity.” </w:t>
      </w:r>
      <w:hyperlink r:id="rId2641" w:history="1">
        <w:r w:rsidRPr="004B30C8">
          <w:rPr>
            <w:rStyle w:val="Hyperlink"/>
            <w:rFonts w:ascii="Times New Roman" w:eastAsia="Times New Roman" w:hAnsi="Times New Roman"/>
            <w:bCs/>
            <w:sz w:val="24"/>
            <w:szCs w:val="24"/>
          </w:rPr>
          <w:t>https://public.fastcase.com/Wl%2B2t%2BeVuI35%2FN70vAMFZsbNGaY2qJ5U2CI4LnVCoihkt6wfuyNvOKbs8su8KP1J</w:t>
        </w:r>
      </w:hyperlink>
      <w:r w:rsidRPr="004B30C8">
        <w:rPr>
          <w:rFonts w:ascii="Times New Roman" w:eastAsia="Times New Roman" w:hAnsi="Times New Roman"/>
          <w:sz w:val="24"/>
          <w:szCs w:val="24"/>
        </w:rPr>
        <w:t xml:space="preserve"> </w:t>
      </w:r>
    </w:p>
    <w:p w14:paraId="7D5D0051" w14:textId="511A75DF" w:rsidR="007A1E7A" w:rsidRDefault="007A1E7A" w:rsidP="00F326E5">
      <w:pPr>
        <w:pStyle w:val="NoSpacing"/>
        <w:rPr>
          <w:rFonts w:ascii="Arial Black" w:hAnsi="Arial Black"/>
          <w:sz w:val="24"/>
          <w:szCs w:val="24"/>
        </w:rPr>
      </w:pPr>
    </w:p>
    <w:p w14:paraId="5957F815" w14:textId="77777777" w:rsidR="007A1E7A" w:rsidRPr="004B30C8" w:rsidRDefault="007A1E7A" w:rsidP="007A1E7A">
      <w:pPr>
        <w:pStyle w:val="NoSpacing"/>
        <w:rPr>
          <w:rFonts w:ascii="Times New Roman" w:hAnsi="Times New Roman"/>
          <w:b/>
          <w:bCs/>
          <w:sz w:val="24"/>
          <w:szCs w:val="24"/>
        </w:rPr>
      </w:pPr>
      <w:r w:rsidRPr="004B30C8">
        <w:rPr>
          <w:rFonts w:ascii="Times New Roman" w:hAnsi="Times New Roman"/>
          <w:b/>
          <w:bCs/>
          <w:sz w:val="24"/>
          <w:szCs w:val="24"/>
        </w:rPr>
        <w:t xml:space="preserve">Legal Lessons Learned: Emergency responders, including Fire &amp; EMS, must be very cautious posting comments on any internal FD issues.  In this case, the issue was clearly </w:t>
      </w:r>
      <w:proofErr w:type="gramStart"/>
      <w:r w:rsidRPr="004B30C8">
        <w:rPr>
          <w:rFonts w:ascii="Times New Roman" w:hAnsi="Times New Roman"/>
          <w:b/>
          <w:bCs/>
          <w:sz w:val="24"/>
          <w:szCs w:val="24"/>
        </w:rPr>
        <w:t>an</w:t>
      </w:r>
      <w:proofErr w:type="gramEnd"/>
      <w:r w:rsidRPr="004B30C8">
        <w:rPr>
          <w:rFonts w:ascii="Times New Roman" w:hAnsi="Times New Roman"/>
          <w:b/>
          <w:bCs/>
          <w:sz w:val="24"/>
          <w:szCs w:val="24"/>
        </w:rPr>
        <w:t xml:space="preserve">  public matter, and the Court reviewed the U.S. Supreme Court’s “balancing test” and the fact that the Facebook post “was one of many made on a Facebook page visited by many Melvindale residents.”</w:t>
      </w:r>
    </w:p>
    <w:p w14:paraId="7F28BFEE" w14:textId="77777777" w:rsidR="007A1E7A" w:rsidRDefault="007A1E7A" w:rsidP="00F326E5">
      <w:pPr>
        <w:pStyle w:val="NoSpacing"/>
        <w:rPr>
          <w:rFonts w:ascii="Arial Black" w:hAnsi="Arial Black"/>
          <w:sz w:val="24"/>
          <w:szCs w:val="24"/>
        </w:rPr>
      </w:pPr>
    </w:p>
    <w:p w14:paraId="290216E9" w14:textId="77777777" w:rsidR="007A1E7A" w:rsidRDefault="007A1E7A" w:rsidP="00F326E5">
      <w:pPr>
        <w:pStyle w:val="NoSpacing"/>
        <w:rPr>
          <w:rFonts w:ascii="Arial Black" w:hAnsi="Arial Black"/>
          <w:sz w:val="24"/>
          <w:szCs w:val="24"/>
        </w:rPr>
      </w:pPr>
    </w:p>
    <w:p w14:paraId="68D12EC1" w14:textId="1F73654E" w:rsidR="00021E64" w:rsidRDefault="00021E64" w:rsidP="00F326E5">
      <w:pPr>
        <w:pStyle w:val="NoSpacing"/>
        <w:rPr>
          <w:rFonts w:ascii="Arial Black" w:hAnsi="Arial Black"/>
          <w:sz w:val="24"/>
          <w:szCs w:val="24"/>
        </w:rPr>
      </w:pPr>
      <w:r>
        <w:rPr>
          <w:rFonts w:ascii="Arial Black" w:hAnsi="Arial Black"/>
          <w:sz w:val="24"/>
          <w:szCs w:val="24"/>
        </w:rPr>
        <w:t>16-23</w:t>
      </w:r>
    </w:p>
    <w:p w14:paraId="4E62F865" w14:textId="77777777" w:rsidR="00021E64" w:rsidRDefault="00021E64" w:rsidP="00021E64">
      <w:pPr>
        <w:spacing w:before="100" w:beforeAutospacing="1" w:after="100" w:afterAutospacing="1"/>
        <w:rPr>
          <w:rFonts w:ascii="Arial Black" w:eastAsia="Times New Roman" w:hAnsi="Arial Black"/>
          <w:b/>
          <w:sz w:val="28"/>
          <w:szCs w:val="28"/>
        </w:rPr>
      </w:pPr>
      <w:r w:rsidRPr="002F5F03">
        <w:rPr>
          <w:rFonts w:ascii="Arial Black" w:eastAsia="Times New Roman" w:hAnsi="Arial Black"/>
          <w:sz w:val="28"/>
          <w:szCs w:val="28"/>
        </w:rPr>
        <w:t xml:space="preserve">TX: </w:t>
      </w:r>
      <w:r>
        <w:rPr>
          <w:rFonts w:ascii="Arial Black" w:eastAsia="Times New Roman" w:hAnsi="Arial Black"/>
          <w:sz w:val="28"/>
          <w:szCs w:val="28"/>
        </w:rPr>
        <w:t xml:space="preserve"> OFF-DUTY FF SLAPPED 70+ YEAR OLD, COMPLAINED FF’S KIDS BLOCKING VIEW – HEARING OFFICER REVERSED TERMINATION </w:t>
      </w:r>
    </w:p>
    <w:p w14:paraId="45E01B93" w14:textId="77777777" w:rsidR="00021E64" w:rsidRPr="00614DDC" w:rsidRDefault="00021E64" w:rsidP="00021E64">
      <w:pPr>
        <w:spacing w:before="100" w:beforeAutospacing="1" w:after="100" w:afterAutospacing="1"/>
        <w:rPr>
          <w:rFonts w:ascii="Times New Roman" w:eastAsia="Times New Roman" w:hAnsi="Times New Roman"/>
          <w:b/>
          <w:sz w:val="24"/>
          <w:szCs w:val="24"/>
        </w:rPr>
      </w:pPr>
      <w:r w:rsidRPr="00614DDC">
        <w:rPr>
          <w:rFonts w:ascii="Times New Roman" w:eastAsia="Times New Roman" w:hAnsi="Times New Roman"/>
          <w:sz w:val="24"/>
          <w:szCs w:val="24"/>
        </w:rPr>
        <w:t xml:space="preserve">On Jan. 23, 2020, in </w:t>
      </w:r>
      <w:r w:rsidRPr="00614DDC">
        <w:rPr>
          <w:rFonts w:ascii="Times New Roman" w:eastAsia="Times New Roman" w:hAnsi="Times New Roman"/>
          <w:sz w:val="24"/>
          <w:szCs w:val="24"/>
          <w:u w:val="single"/>
        </w:rPr>
        <w:t>City of Fort Worth v. Shea O’Neill</w:t>
      </w:r>
      <w:r w:rsidRPr="00614DDC">
        <w:rPr>
          <w:rFonts w:ascii="Times New Roman" w:eastAsia="Times New Roman" w:hAnsi="Times New Roman"/>
          <w:sz w:val="24"/>
          <w:szCs w:val="24"/>
        </w:rPr>
        <w:t xml:space="preserve">, Court of Appeals for Second Appellate District of Texas at Fort Worth (vote 3 to 0), rejected the City’s appeal from the Hearing Officer’s finding that firefighters due process rights were violated when FD internal affairs failed to conduct an adequate internal investigation.  </w:t>
      </w:r>
      <w:r w:rsidRPr="00614DDC">
        <w:rPr>
          <w:rFonts w:ascii="Times New Roman" w:eastAsia="Times New Roman" w:hAnsi="Times New Roman"/>
          <w:sz w:val="24"/>
          <w:szCs w:val="24"/>
        </w:rPr>
        <w:lastRenderedPageBreak/>
        <w:t xml:space="preserve">Case </w:t>
      </w:r>
      <w:proofErr w:type="gramStart"/>
      <w:r w:rsidRPr="00614DDC">
        <w:rPr>
          <w:rFonts w:ascii="Times New Roman" w:eastAsia="Times New Roman" w:hAnsi="Times New Roman"/>
          <w:sz w:val="24"/>
          <w:szCs w:val="24"/>
        </w:rPr>
        <w:t>remanded</w:t>
      </w:r>
      <w:proofErr w:type="gramEnd"/>
      <w:r w:rsidRPr="00614DDC">
        <w:rPr>
          <w:rFonts w:ascii="Times New Roman" w:eastAsia="Times New Roman" w:hAnsi="Times New Roman"/>
          <w:sz w:val="24"/>
          <w:szCs w:val="24"/>
        </w:rPr>
        <w:t xml:space="preserve"> to trial court, however, on whether Hearing Officer improperly conducted Internet search about medication victim uses [aspirin and Lipitor] that could cause nosebleed.  </w:t>
      </w:r>
    </w:p>
    <w:p w14:paraId="40DBE167" w14:textId="418EAAEC" w:rsidR="00021E64" w:rsidRDefault="00021E64" w:rsidP="00021E64">
      <w:pPr>
        <w:pStyle w:val="NoSpacing"/>
        <w:rPr>
          <w:rFonts w:ascii="Arial Black" w:hAnsi="Arial Black"/>
          <w:sz w:val="24"/>
          <w:szCs w:val="24"/>
        </w:rPr>
      </w:pPr>
      <w:r w:rsidRPr="00614DDC">
        <w:rPr>
          <w:rFonts w:ascii="Times New Roman" w:eastAsia="Times New Roman" w:hAnsi="Times New Roman"/>
          <w:sz w:val="24"/>
          <w:szCs w:val="24"/>
        </w:rPr>
        <w:t xml:space="preserve">“In support of its appellate issue, the City first asserts that the hearing examiner's decision was procured by unlawful means because she relied on evidence not presented at the hearing—specifically, her independent Internet research on the side effects of aspirin and Lipitor, both of which Woods testified to taking daily. According to the hearing examiner's research, both medications can cause ‘unusual bleeding,’ and Lipitor can ‘specifically cause nosebleed.’” </w:t>
      </w:r>
      <w:hyperlink r:id="rId2642" w:history="1">
        <w:r w:rsidRPr="00614DDC">
          <w:rPr>
            <w:rStyle w:val="Hyperlink"/>
            <w:rFonts w:ascii="Times New Roman" w:hAnsi="Times New Roman"/>
            <w:b/>
            <w:sz w:val="24"/>
            <w:szCs w:val="24"/>
          </w:rPr>
          <w:t>https://public.fastcase.com/Wl%2B2t%2BeVuI35%2FN70vAMFZlZAOd3Yf30gW5GUDA4he8qcwsisxdvBFlR%2Bm9b1UDwt</w:t>
        </w:r>
      </w:hyperlink>
    </w:p>
    <w:p w14:paraId="7EAECEF3" w14:textId="77777777" w:rsidR="00021E64" w:rsidRPr="00614DDC" w:rsidRDefault="00021E64" w:rsidP="00021E64">
      <w:pPr>
        <w:pStyle w:val="NormalWeb"/>
        <w:tabs>
          <w:tab w:val="left" w:pos="2930"/>
        </w:tabs>
        <w:rPr>
          <w:b/>
          <w:bCs/>
        </w:rPr>
      </w:pPr>
      <w:r w:rsidRPr="00614DDC">
        <w:rPr>
          <w:b/>
          <w:bCs/>
        </w:rPr>
        <w:t xml:space="preserve">Legal Lessons Learned:  Courts are </w:t>
      </w:r>
      <w:r>
        <w:rPr>
          <w:b/>
          <w:bCs/>
        </w:rPr>
        <w:t xml:space="preserve">very </w:t>
      </w:r>
      <w:r w:rsidRPr="00614DDC">
        <w:rPr>
          <w:b/>
          <w:bCs/>
        </w:rPr>
        <w:t>reluctant to overturn decision</w:t>
      </w:r>
      <w:r>
        <w:rPr>
          <w:b/>
          <w:bCs/>
        </w:rPr>
        <w:t xml:space="preserve"> of a </w:t>
      </w:r>
      <w:r w:rsidRPr="00614DDC">
        <w:rPr>
          <w:b/>
          <w:bCs/>
        </w:rPr>
        <w:t>Civil Service hearing officer</w:t>
      </w:r>
      <w:r>
        <w:rPr>
          <w:b/>
          <w:bCs/>
        </w:rPr>
        <w:t xml:space="preserve">, who has conducted the hearings and personally observe the witnesses. </w:t>
      </w:r>
      <w:r w:rsidRPr="00614DDC">
        <w:rPr>
          <w:b/>
          <w:bCs/>
        </w:rPr>
        <w:t xml:space="preserve"> </w:t>
      </w:r>
    </w:p>
    <w:p w14:paraId="3C86B204" w14:textId="77777777" w:rsidR="00021E64" w:rsidRDefault="00021E64" w:rsidP="00F326E5">
      <w:pPr>
        <w:pStyle w:val="NoSpacing"/>
        <w:rPr>
          <w:rFonts w:ascii="Arial Black" w:hAnsi="Arial Black"/>
          <w:sz w:val="24"/>
          <w:szCs w:val="24"/>
        </w:rPr>
      </w:pPr>
    </w:p>
    <w:p w14:paraId="2EDF681E" w14:textId="77777777" w:rsidR="00021E64" w:rsidRDefault="00021E64" w:rsidP="00F326E5">
      <w:pPr>
        <w:pStyle w:val="NoSpacing"/>
        <w:rPr>
          <w:rFonts w:ascii="Arial Black" w:hAnsi="Arial Black"/>
          <w:sz w:val="24"/>
          <w:szCs w:val="24"/>
        </w:rPr>
      </w:pPr>
    </w:p>
    <w:p w14:paraId="57695355" w14:textId="77777777" w:rsidR="00021E64" w:rsidRDefault="00021E64" w:rsidP="00F326E5">
      <w:pPr>
        <w:pStyle w:val="NoSpacing"/>
        <w:rPr>
          <w:rFonts w:ascii="Arial Black" w:hAnsi="Arial Black"/>
          <w:sz w:val="24"/>
          <w:szCs w:val="24"/>
        </w:rPr>
      </w:pPr>
    </w:p>
    <w:p w14:paraId="36DB57C0" w14:textId="4BAA180C" w:rsidR="00297434" w:rsidRDefault="00420322" w:rsidP="00F326E5">
      <w:pPr>
        <w:pStyle w:val="NoSpacing"/>
        <w:rPr>
          <w:rFonts w:ascii="Arial Black" w:hAnsi="Arial Black"/>
          <w:sz w:val="24"/>
          <w:szCs w:val="24"/>
        </w:rPr>
      </w:pPr>
      <w:r>
        <w:rPr>
          <w:rFonts w:ascii="Arial Black" w:hAnsi="Arial Black"/>
          <w:sz w:val="24"/>
          <w:szCs w:val="24"/>
        </w:rPr>
        <w:t>16-22</w:t>
      </w:r>
    </w:p>
    <w:p w14:paraId="01CF9D83" w14:textId="14DA602B" w:rsidR="00420322" w:rsidRDefault="00420322" w:rsidP="00F326E5">
      <w:pPr>
        <w:pStyle w:val="NoSpacing"/>
        <w:rPr>
          <w:rFonts w:ascii="Arial Black" w:hAnsi="Arial Black"/>
          <w:sz w:val="24"/>
          <w:szCs w:val="24"/>
        </w:rPr>
      </w:pPr>
    </w:p>
    <w:p w14:paraId="77B7DDAB" w14:textId="77777777" w:rsidR="00420322" w:rsidRPr="00A8607B" w:rsidRDefault="00420322" w:rsidP="00420322">
      <w:pPr>
        <w:rPr>
          <w:rFonts w:ascii="Arial Black" w:hAnsi="Arial Black"/>
          <w:sz w:val="28"/>
          <w:szCs w:val="28"/>
        </w:rPr>
      </w:pPr>
      <w:r w:rsidRPr="00A8607B">
        <w:rPr>
          <w:rFonts w:ascii="Arial Black" w:hAnsi="Arial Black"/>
          <w:sz w:val="28"/>
          <w:szCs w:val="28"/>
        </w:rPr>
        <w:t xml:space="preserve">TN: </w:t>
      </w:r>
      <w:r>
        <w:rPr>
          <w:rFonts w:ascii="Arial Black" w:hAnsi="Arial Black"/>
          <w:sz w:val="28"/>
          <w:szCs w:val="28"/>
        </w:rPr>
        <w:t>SOCIAL MEDIA – NASHVILLE PD OFFICER’S FACEBOOK POSTS - PD KILLING DRIVER MN - “GROSSLY UNPROFESSIONAL” - FIRING UPHELD</w:t>
      </w:r>
    </w:p>
    <w:p w14:paraId="63BFD3BE" w14:textId="77777777" w:rsidR="00420322" w:rsidRDefault="00420322" w:rsidP="00420322">
      <w:pPr>
        <w:rPr>
          <w:rFonts w:ascii="Times New Roman" w:hAnsi="Times New Roman"/>
          <w:sz w:val="24"/>
          <w:szCs w:val="24"/>
        </w:rPr>
      </w:pPr>
      <w:r w:rsidRPr="00A8607B">
        <w:rPr>
          <w:rFonts w:ascii="Times New Roman" w:hAnsi="Times New Roman"/>
          <w:sz w:val="24"/>
          <w:szCs w:val="24"/>
        </w:rPr>
        <w:t xml:space="preserve">On </w:t>
      </w:r>
      <w:r>
        <w:rPr>
          <w:rFonts w:ascii="Times New Roman" w:hAnsi="Times New Roman"/>
          <w:sz w:val="24"/>
          <w:szCs w:val="24"/>
        </w:rPr>
        <w:t xml:space="preserve">Dec. 20, 2019, in </w:t>
      </w:r>
      <w:r w:rsidRPr="005F63F4">
        <w:rPr>
          <w:rFonts w:ascii="Times New Roman" w:hAnsi="Times New Roman"/>
          <w:sz w:val="24"/>
          <w:szCs w:val="24"/>
          <w:u w:val="single"/>
        </w:rPr>
        <w:t>Anthony Venable v. Metropolitan Government of Nashville and Davidson County</w:t>
      </w:r>
      <w:r>
        <w:rPr>
          <w:rFonts w:ascii="Times New Roman" w:hAnsi="Times New Roman"/>
          <w:sz w:val="24"/>
          <w:szCs w:val="24"/>
        </w:rPr>
        <w:t>, Chief Judge Waverly D. Crenshaw, Jr.,  U.S. District Court, Middle District of Tennessee (Nashville Division) granted Nashville’s motion for summary judgment and dismissed the lawsuit by the former police officer, finding his Facebook comments “grossly unprofessional.”</w:t>
      </w:r>
    </w:p>
    <w:p w14:paraId="512B0C25" w14:textId="77777777" w:rsidR="00420322" w:rsidRPr="005F63F4" w:rsidRDefault="00420322" w:rsidP="00420322">
      <w:pPr>
        <w:ind w:left="720"/>
        <w:rPr>
          <w:rFonts w:ascii="Times New Roman" w:hAnsi="Times New Roman"/>
          <w:sz w:val="24"/>
          <w:szCs w:val="24"/>
        </w:rPr>
      </w:pPr>
      <w:r>
        <w:rPr>
          <w:rFonts w:ascii="Times New Roman" w:hAnsi="Times New Roman"/>
          <w:sz w:val="24"/>
          <w:szCs w:val="24"/>
        </w:rPr>
        <w:t>“</w:t>
      </w:r>
      <w:r w:rsidRPr="005F63F4">
        <w:rPr>
          <w:rFonts w:ascii="Times New Roman" w:hAnsi="Times New Roman"/>
          <w:sz w:val="24"/>
          <w:szCs w:val="24"/>
        </w:rPr>
        <w:t>In addition to the “not bring</w:t>
      </w:r>
      <w:r>
        <w:rPr>
          <w:rFonts w:ascii="Times New Roman" w:hAnsi="Times New Roman"/>
          <w:sz w:val="24"/>
          <w:szCs w:val="24"/>
        </w:rPr>
        <w:t xml:space="preserve"> </w:t>
      </w:r>
      <w:r w:rsidRPr="005F63F4">
        <w:rPr>
          <w:rFonts w:ascii="Times New Roman" w:hAnsi="Times New Roman"/>
          <w:sz w:val="24"/>
          <w:szCs w:val="24"/>
        </w:rPr>
        <w:t>discredit” language, the MNPD policy</w:t>
      </w:r>
      <w:r>
        <w:rPr>
          <w:rFonts w:ascii="Times New Roman" w:hAnsi="Times New Roman"/>
          <w:sz w:val="24"/>
          <w:szCs w:val="24"/>
        </w:rPr>
        <w:t xml:space="preserve"> </w:t>
      </w:r>
      <w:r w:rsidRPr="005F63F4">
        <w:rPr>
          <w:rFonts w:ascii="Times New Roman" w:hAnsi="Times New Roman"/>
          <w:sz w:val="24"/>
          <w:szCs w:val="24"/>
        </w:rPr>
        <w:t>contains an explanation</w:t>
      </w:r>
      <w:r>
        <w:rPr>
          <w:rFonts w:ascii="Times New Roman" w:hAnsi="Times New Roman"/>
          <w:sz w:val="24"/>
          <w:szCs w:val="24"/>
        </w:rPr>
        <w:t xml:space="preserve"> </w:t>
      </w:r>
      <w:r w:rsidRPr="005F63F4">
        <w:rPr>
          <w:rFonts w:ascii="Times New Roman" w:hAnsi="Times New Roman"/>
          <w:sz w:val="24"/>
          <w:szCs w:val="24"/>
        </w:rPr>
        <w:t>of why</w:t>
      </w:r>
      <w:r>
        <w:rPr>
          <w:rFonts w:ascii="Times New Roman" w:hAnsi="Times New Roman"/>
          <w:sz w:val="24"/>
          <w:szCs w:val="24"/>
        </w:rPr>
        <w:t xml:space="preserve"> </w:t>
      </w:r>
      <w:r w:rsidRPr="005F63F4">
        <w:rPr>
          <w:rFonts w:ascii="Times New Roman" w:hAnsi="Times New Roman"/>
          <w:sz w:val="24"/>
          <w:szCs w:val="24"/>
        </w:rPr>
        <w:t>police officers are held to a higher standard, and why</w:t>
      </w:r>
      <w:r>
        <w:rPr>
          <w:rFonts w:ascii="Times New Roman" w:hAnsi="Times New Roman"/>
          <w:sz w:val="24"/>
          <w:szCs w:val="24"/>
        </w:rPr>
        <w:t xml:space="preserve"> </w:t>
      </w:r>
      <w:r w:rsidRPr="005F63F4">
        <w:rPr>
          <w:rFonts w:ascii="Times New Roman" w:hAnsi="Times New Roman"/>
          <w:sz w:val="24"/>
          <w:szCs w:val="24"/>
        </w:rPr>
        <w:t>inappropriate conduct can be</w:t>
      </w:r>
      <w:r>
        <w:rPr>
          <w:rFonts w:ascii="Times New Roman" w:hAnsi="Times New Roman"/>
          <w:sz w:val="24"/>
          <w:szCs w:val="24"/>
        </w:rPr>
        <w:t xml:space="preserve"> </w:t>
      </w:r>
      <w:r w:rsidRPr="005F63F4">
        <w:rPr>
          <w:rFonts w:ascii="Times New Roman" w:hAnsi="Times New Roman"/>
          <w:sz w:val="24"/>
          <w:szCs w:val="24"/>
        </w:rPr>
        <w:t>detrimental to the department. An ordinary</w:t>
      </w:r>
      <w:r>
        <w:rPr>
          <w:rFonts w:ascii="Times New Roman" w:hAnsi="Times New Roman"/>
          <w:sz w:val="24"/>
          <w:szCs w:val="24"/>
        </w:rPr>
        <w:t xml:space="preserve"> </w:t>
      </w:r>
      <w:r w:rsidRPr="005F63F4">
        <w:rPr>
          <w:rFonts w:ascii="Times New Roman" w:hAnsi="Times New Roman"/>
          <w:sz w:val="24"/>
          <w:szCs w:val="24"/>
        </w:rPr>
        <w:t>person, exercising ordinary</w:t>
      </w:r>
      <w:r>
        <w:rPr>
          <w:rFonts w:ascii="Times New Roman" w:hAnsi="Times New Roman"/>
          <w:sz w:val="24"/>
          <w:szCs w:val="24"/>
        </w:rPr>
        <w:t xml:space="preserve"> </w:t>
      </w:r>
      <w:r w:rsidRPr="005F63F4">
        <w:rPr>
          <w:rFonts w:ascii="Times New Roman" w:hAnsi="Times New Roman"/>
          <w:sz w:val="24"/>
          <w:szCs w:val="24"/>
        </w:rPr>
        <w:t>common sense, could</w:t>
      </w:r>
      <w:r>
        <w:rPr>
          <w:rFonts w:ascii="Times New Roman" w:hAnsi="Times New Roman"/>
          <w:sz w:val="24"/>
          <w:szCs w:val="24"/>
        </w:rPr>
        <w:t xml:space="preserve"> </w:t>
      </w:r>
      <w:r w:rsidRPr="005F63F4">
        <w:rPr>
          <w:rFonts w:ascii="Times New Roman" w:hAnsi="Times New Roman"/>
          <w:sz w:val="24"/>
          <w:szCs w:val="24"/>
        </w:rPr>
        <w:t>understand that Venable’s inflammatory</w:t>
      </w:r>
      <w:r>
        <w:rPr>
          <w:rFonts w:ascii="Times New Roman" w:hAnsi="Times New Roman"/>
          <w:sz w:val="24"/>
          <w:szCs w:val="24"/>
        </w:rPr>
        <w:t xml:space="preserve"> </w:t>
      </w:r>
      <w:r w:rsidRPr="005F63F4">
        <w:rPr>
          <w:rFonts w:ascii="Times New Roman" w:hAnsi="Times New Roman"/>
          <w:sz w:val="24"/>
          <w:szCs w:val="24"/>
        </w:rPr>
        <w:t>Facebook comments, where he drew</w:t>
      </w:r>
      <w:r>
        <w:rPr>
          <w:rFonts w:ascii="Times New Roman" w:hAnsi="Times New Roman"/>
          <w:sz w:val="24"/>
          <w:szCs w:val="24"/>
        </w:rPr>
        <w:t xml:space="preserve"> </w:t>
      </w:r>
      <w:r w:rsidRPr="005F63F4">
        <w:rPr>
          <w:rFonts w:ascii="Times New Roman" w:hAnsi="Times New Roman"/>
          <w:sz w:val="24"/>
          <w:szCs w:val="24"/>
        </w:rPr>
        <w:t>upon his law</w:t>
      </w:r>
      <w:r>
        <w:rPr>
          <w:rFonts w:ascii="Times New Roman" w:hAnsi="Times New Roman"/>
          <w:sz w:val="24"/>
          <w:szCs w:val="24"/>
        </w:rPr>
        <w:t xml:space="preserve"> </w:t>
      </w:r>
      <w:r w:rsidRPr="005F63F4">
        <w:rPr>
          <w:rFonts w:ascii="Times New Roman" w:hAnsi="Times New Roman"/>
          <w:sz w:val="24"/>
          <w:szCs w:val="24"/>
        </w:rPr>
        <w:t>enforcement background, would reflect negatively</w:t>
      </w:r>
      <w:r>
        <w:rPr>
          <w:rFonts w:ascii="Times New Roman" w:hAnsi="Times New Roman"/>
          <w:sz w:val="24"/>
          <w:szCs w:val="24"/>
        </w:rPr>
        <w:t xml:space="preserve"> </w:t>
      </w:r>
      <w:r w:rsidRPr="005F63F4">
        <w:rPr>
          <w:rFonts w:ascii="Times New Roman" w:hAnsi="Times New Roman"/>
          <w:sz w:val="24"/>
          <w:szCs w:val="24"/>
        </w:rPr>
        <w:t>on the MNPD and constitute a</w:t>
      </w:r>
      <w:r>
        <w:rPr>
          <w:rFonts w:ascii="Times New Roman" w:hAnsi="Times New Roman"/>
          <w:sz w:val="24"/>
          <w:szCs w:val="24"/>
        </w:rPr>
        <w:t xml:space="preserve"> </w:t>
      </w:r>
      <w:r w:rsidRPr="005F63F4">
        <w:rPr>
          <w:rFonts w:ascii="Times New Roman" w:hAnsi="Times New Roman"/>
          <w:sz w:val="24"/>
          <w:szCs w:val="24"/>
        </w:rPr>
        <w:t>violation</w:t>
      </w:r>
      <w:r>
        <w:rPr>
          <w:rFonts w:ascii="Times New Roman" w:hAnsi="Times New Roman"/>
          <w:sz w:val="24"/>
          <w:szCs w:val="24"/>
        </w:rPr>
        <w:t xml:space="preserve"> </w:t>
      </w:r>
      <w:r w:rsidRPr="005F63F4">
        <w:rPr>
          <w:rFonts w:ascii="Times New Roman" w:hAnsi="Times New Roman"/>
          <w:sz w:val="24"/>
          <w:szCs w:val="24"/>
        </w:rPr>
        <w:t>of the</w:t>
      </w:r>
      <w:r>
        <w:rPr>
          <w:rFonts w:ascii="Times New Roman" w:hAnsi="Times New Roman"/>
          <w:sz w:val="24"/>
          <w:szCs w:val="24"/>
        </w:rPr>
        <w:t xml:space="preserve"> </w:t>
      </w:r>
      <w:r w:rsidRPr="005F63F4">
        <w:rPr>
          <w:rFonts w:ascii="Times New Roman" w:hAnsi="Times New Roman"/>
          <w:sz w:val="24"/>
          <w:szCs w:val="24"/>
        </w:rPr>
        <w:t>Conduct</w:t>
      </w:r>
      <w:r>
        <w:rPr>
          <w:rFonts w:ascii="Times New Roman" w:hAnsi="Times New Roman"/>
          <w:sz w:val="24"/>
          <w:szCs w:val="24"/>
        </w:rPr>
        <w:t xml:space="preserve"> </w:t>
      </w:r>
      <w:r w:rsidRPr="005F63F4">
        <w:rPr>
          <w:rFonts w:ascii="Times New Roman" w:hAnsi="Times New Roman"/>
          <w:sz w:val="24"/>
          <w:szCs w:val="24"/>
        </w:rPr>
        <w:t>Unbecoming</w:t>
      </w:r>
      <w:r>
        <w:rPr>
          <w:rFonts w:ascii="Times New Roman" w:hAnsi="Times New Roman"/>
          <w:sz w:val="24"/>
          <w:szCs w:val="24"/>
        </w:rPr>
        <w:t xml:space="preserve"> </w:t>
      </w:r>
      <w:r w:rsidRPr="005F63F4">
        <w:rPr>
          <w:rFonts w:ascii="Times New Roman" w:hAnsi="Times New Roman"/>
          <w:sz w:val="24"/>
          <w:szCs w:val="24"/>
        </w:rPr>
        <w:t>policy.</w:t>
      </w:r>
      <w:r>
        <w:rPr>
          <w:rFonts w:ascii="Times New Roman" w:hAnsi="Times New Roman"/>
          <w:sz w:val="24"/>
          <w:szCs w:val="24"/>
        </w:rPr>
        <w:t xml:space="preserve"> </w:t>
      </w:r>
      <w:r w:rsidRPr="005F63F4">
        <w:rPr>
          <w:rFonts w:ascii="Times New Roman" w:hAnsi="Times New Roman"/>
          <w:sz w:val="24"/>
          <w:szCs w:val="24"/>
        </w:rPr>
        <w:t>Any</w:t>
      </w:r>
      <w:r>
        <w:rPr>
          <w:rFonts w:ascii="Times New Roman" w:hAnsi="Times New Roman"/>
          <w:sz w:val="24"/>
          <w:szCs w:val="24"/>
        </w:rPr>
        <w:t xml:space="preserve"> </w:t>
      </w:r>
      <w:r w:rsidRPr="005F63F4">
        <w:rPr>
          <w:rFonts w:ascii="Times New Roman" w:hAnsi="Times New Roman"/>
          <w:sz w:val="24"/>
          <w:szCs w:val="24"/>
        </w:rPr>
        <w:t>doubt about this is eliminated by</w:t>
      </w:r>
      <w:r>
        <w:rPr>
          <w:rFonts w:ascii="Times New Roman" w:hAnsi="Times New Roman"/>
          <w:sz w:val="24"/>
          <w:szCs w:val="24"/>
        </w:rPr>
        <w:t xml:space="preserve"> </w:t>
      </w:r>
      <w:r w:rsidRPr="005F63F4">
        <w:rPr>
          <w:rFonts w:ascii="Times New Roman" w:hAnsi="Times New Roman"/>
          <w:sz w:val="24"/>
          <w:szCs w:val="24"/>
        </w:rPr>
        <w:t>warning</w:t>
      </w:r>
      <w:r>
        <w:rPr>
          <w:rFonts w:ascii="Times New Roman" w:hAnsi="Times New Roman"/>
          <w:sz w:val="24"/>
          <w:szCs w:val="24"/>
        </w:rPr>
        <w:t xml:space="preserve"> </w:t>
      </w:r>
      <w:r w:rsidRPr="005F63F4">
        <w:rPr>
          <w:rFonts w:ascii="Times New Roman" w:hAnsi="Times New Roman"/>
          <w:sz w:val="24"/>
          <w:szCs w:val="24"/>
        </w:rPr>
        <w:t xml:space="preserve">statements </w:t>
      </w:r>
      <w:proofErr w:type="gramStart"/>
      <w:r w:rsidRPr="005F63F4">
        <w:rPr>
          <w:rFonts w:ascii="Times New Roman" w:hAnsi="Times New Roman"/>
          <w:sz w:val="24"/>
          <w:szCs w:val="24"/>
        </w:rPr>
        <w:t>of</w:t>
      </w:r>
      <w:proofErr w:type="gramEnd"/>
      <w:r w:rsidRPr="005F63F4">
        <w:rPr>
          <w:rFonts w:ascii="Times New Roman" w:hAnsi="Times New Roman"/>
          <w:sz w:val="24"/>
          <w:szCs w:val="24"/>
        </w:rPr>
        <w:t xml:space="preserve"> other</w:t>
      </w:r>
      <w:r>
        <w:rPr>
          <w:rFonts w:ascii="Times New Roman" w:hAnsi="Times New Roman"/>
          <w:sz w:val="24"/>
          <w:szCs w:val="24"/>
        </w:rPr>
        <w:t xml:space="preserve"> </w:t>
      </w:r>
      <w:r w:rsidRPr="005F63F4">
        <w:rPr>
          <w:rFonts w:ascii="Times New Roman" w:hAnsi="Times New Roman"/>
          <w:sz w:val="24"/>
          <w:szCs w:val="24"/>
        </w:rPr>
        <w:t xml:space="preserve">participants that his comments were </w:t>
      </w:r>
      <w:r>
        <w:rPr>
          <w:rFonts w:ascii="Times New Roman" w:hAnsi="Times New Roman"/>
          <w:sz w:val="24"/>
          <w:szCs w:val="24"/>
        </w:rPr>
        <w:t>‘</w:t>
      </w:r>
      <w:r w:rsidRPr="005F63F4">
        <w:rPr>
          <w:rFonts w:ascii="Times New Roman" w:hAnsi="Times New Roman"/>
          <w:sz w:val="24"/>
          <w:szCs w:val="24"/>
        </w:rPr>
        <w:t>grossly</w:t>
      </w:r>
      <w:r>
        <w:rPr>
          <w:rFonts w:ascii="Times New Roman" w:hAnsi="Times New Roman"/>
          <w:sz w:val="24"/>
          <w:szCs w:val="24"/>
        </w:rPr>
        <w:t xml:space="preserve"> </w:t>
      </w:r>
      <w:r w:rsidRPr="005F63F4">
        <w:rPr>
          <w:rFonts w:ascii="Times New Roman" w:hAnsi="Times New Roman"/>
          <w:sz w:val="24"/>
          <w:szCs w:val="24"/>
        </w:rPr>
        <w:t>unprofessional,</w:t>
      </w:r>
      <w:r>
        <w:rPr>
          <w:rFonts w:ascii="Times New Roman" w:hAnsi="Times New Roman"/>
          <w:sz w:val="24"/>
          <w:szCs w:val="24"/>
        </w:rPr>
        <w:t>’</w:t>
      </w:r>
      <w:r w:rsidRPr="005F63F4">
        <w:rPr>
          <w:rFonts w:ascii="Times New Roman" w:hAnsi="Times New Roman"/>
          <w:sz w:val="24"/>
          <w:szCs w:val="24"/>
        </w:rPr>
        <w:t xml:space="preserve"> and could get him </w:t>
      </w:r>
      <w:r>
        <w:rPr>
          <w:rFonts w:ascii="Times New Roman" w:hAnsi="Times New Roman"/>
          <w:sz w:val="24"/>
          <w:szCs w:val="24"/>
        </w:rPr>
        <w:t>‘</w:t>
      </w:r>
      <w:r w:rsidRPr="005F63F4">
        <w:rPr>
          <w:rFonts w:ascii="Times New Roman" w:hAnsi="Times New Roman"/>
          <w:sz w:val="24"/>
          <w:szCs w:val="24"/>
        </w:rPr>
        <w:t>in serious</w:t>
      </w:r>
      <w:r>
        <w:rPr>
          <w:rFonts w:ascii="Times New Roman" w:hAnsi="Times New Roman"/>
          <w:sz w:val="24"/>
          <w:szCs w:val="24"/>
        </w:rPr>
        <w:t xml:space="preserve"> </w:t>
      </w:r>
      <w:r w:rsidRPr="005F63F4">
        <w:rPr>
          <w:rFonts w:ascii="Times New Roman" w:hAnsi="Times New Roman"/>
          <w:sz w:val="24"/>
          <w:szCs w:val="24"/>
        </w:rPr>
        <w:t>trouble.</w:t>
      </w:r>
      <w:r>
        <w:rPr>
          <w:rFonts w:ascii="Times New Roman" w:hAnsi="Times New Roman"/>
          <w:sz w:val="24"/>
          <w:szCs w:val="24"/>
        </w:rPr>
        <w:t>’</w:t>
      </w:r>
      <w:r w:rsidRPr="005F63F4">
        <w:t xml:space="preserve"> </w:t>
      </w:r>
      <w:hyperlink r:id="rId2643" w:history="1">
        <w:r w:rsidRPr="00FD1AA3">
          <w:rPr>
            <w:rStyle w:val="Hyperlink"/>
            <w:rFonts w:ascii="Times New Roman" w:hAnsi="Times New Roman"/>
            <w:sz w:val="24"/>
            <w:szCs w:val="24"/>
          </w:rPr>
          <w:t>https://cases.justia.com/federal/district-courts/tennessee/tnmdce/3:2018cv00148/73469/36/0.pdf?ts=1576934308</w:t>
        </w:r>
      </w:hyperlink>
      <w:r>
        <w:rPr>
          <w:rFonts w:ascii="Times New Roman" w:hAnsi="Times New Roman"/>
          <w:sz w:val="24"/>
          <w:szCs w:val="24"/>
        </w:rPr>
        <w:t xml:space="preserve"> </w:t>
      </w:r>
    </w:p>
    <w:p w14:paraId="58FF9F1A" w14:textId="77777777" w:rsidR="00B8368A" w:rsidRDefault="00B8368A" w:rsidP="00B8368A">
      <w:pPr>
        <w:pStyle w:val="NoSpacing"/>
        <w:rPr>
          <w:rFonts w:ascii="Times New Roman" w:hAnsi="Times New Roman"/>
          <w:b/>
          <w:bCs/>
          <w:sz w:val="24"/>
          <w:szCs w:val="24"/>
        </w:rPr>
      </w:pPr>
      <w:r w:rsidRPr="00B8368A">
        <w:rPr>
          <w:rFonts w:ascii="Times New Roman" w:hAnsi="Times New Roman"/>
          <w:b/>
          <w:bCs/>
          <w:sz w:val="24"/>
          <w:szCs w:val="24"/>
        </w:rPr>
        <w:t>Legal Lessons Learned:</w:t>
      </w:r>
      <w:r>
        <w:rPr>
          <w:rFonts w:ascii="Times New Roman" w:hAnsi="Times New Roman"/>
          <w:b/>
          <w:bCs/>
          <w:sz w:val="24"/>
          <w:szCs w:val="24"/>
        </w:rPr>
        <w:t xml:space="preserve"> </w:t>
      </w:r>
      <w:r w:rsidRPr="00B8368A">
        <w:rPr>
          <w:rFonts w:ascii="Times New Roman" w:hAnsi="Times New Roman"/>
          <w:b/>
          <w:bCs/>
          <w:sz w:val="24"/>
          <w:szCs w:val="24"/>
        </w:rPr>
        <w:t>Fire &amp; EMS Departments should have a policy that warns personnel that Social Media posts that adversely reflect on the Department can lead to discipline, including termination.</w:t>
      </w:r>
    </w:p>
    <w:p w14:paraId="738ED37D" w14:textId="502FE8B7" w:rsidR="00B8368A" w:rsidRPr="00B8368A" w:rsidRDefault="00B8368A" w:rsidP="00B8368A">
      <w:pPr>
        <w:pStyle w:val="NoSpacing"/>
        <w:ind w:firstLine="720"/>
        <w:rPr>
          <w:rFonts w:ascii="Times New Roman" w:hAnsi="Times New Roman"/>
          <w:b/>
          <w:bCs/>
          <w:sz w:val="24"/>
          <w:szCs w:val="24"/>
        </w:rPr>
      </w:pPr>
      <w:r w:rsidRPr="00B8368A">
        <w:rPr>
          <w:rFonts w:ascii="Times New Roman" w:hAnsi="Times New Roman"/>
          <w:sz w:val="24"/>
          <w:szCs w:val="24"/>
        </w:rPr>
        <w:t>See Pho</w:t>
      </w:r>
      <w:r>
        <w:rPr>
          <w:rFonts w:ascii="Times New Roman" w:hAnsi="Times New Roman"/>
          <w:sz w:val="24"/>
          <w:szCs w:val="24"/>
        </w:rPr>
        <w:t>e</w:t>
      </w:r>
      <w:r w:rsidRPr="00B8368A">
        <w:rPr>
          <w:rFonts w:ascii="Times New Roman" w:hAnsi="Times New Roman"/>
          <w:sz w:val="24"/>
          <w:szCs w:val="24"/>
        </w:rPr>
        <w:t xml:space="preserve">nix FD’s Social Media policy: </w:t>
      </w:r>
      <w:hyperlink r:id="rId2644" w:history="1">
        <w:r w:rsidRPr="00B8368A">
          <w:rPr>
            <w:rStyle w:val="Hyperlink"/>
            <w:rFonts w:ascii="Times New Roman" w:hAnsi="Times New Roman"/>
            <w:sz w:val="24"/>
            <w:szCs w:val="24"/>
          </w:rPr>
          <w:t>https://www.phoenix.gov/firesite/Documents/fire_mp_10518.pdf</w:t>
        </w:r>
      </w:hyperlink>
      <w:r w:rsidRPr="00B8368A">
        <w:rPr>
          <w:rFonts w:ascii="Times New Roman" w:hAnsi="Times New Roman"/>
          <w:sz w:val="24"/>
          <w:szCs w:val="24"/>
        </w:rPr>
        <w:t xml:space="preserve"> </w:t>
      </w:r>
    </w:p>
    <w:p w14:paraId="44D97879" w14:textId="77777777" w:rsidR="00B8368A" w:rsidRDefault="00B8368A" w:rsidP="00297434">
      <w:pPr>
        <w:spacing w:before="100" w:beforeAutospacing="1" w:after="100" w:afterAutospacing="1" w:line="240" w:lineRule="auto"/>
        <w:rPr>
          <w:rFonts w:ascii="Arial Black" w:hAnsi="Arial Black"/>
          <w:sz w:val="24"/>
          <w:szCs w:val="24"/>
        </w:rPr>
      </w:pPr>
    </w:p>
    <w:p w14:paraId="3C9E15DE" w14:textId="49545F51" w:rsidR="00420322" w:rsidRDefault="00420322" w:rsidP="00297434">
      <w:pPr>
        <w:spacing w:before="100" w:beforeAutospacing="1" w:after="100" w:afterAutospacing="1" w:line="240" w:lineRule="auto"/>
        <w:rPr>
          <w:rFonts w:ascii="Arial Black" w:hAnsi="Arial Black"/>
          <w:sz w:val="24"/>
          <w:szCs w:val="24"/>
        </w:rPr>
      </w:pPr>
      <w:r>
        <w:rPr>
          <w:rFonts w:ascii="Arial Black" w:hAnsi="Arial Black"/>
          <w:sz w:val="24"/>
          <w:szCs w:val="24"/>
        </w:rPr>
        <w:t>16-21</w:t>
      </w:r>
    </w:p>
    <w:p w14:paraId="487853E6" w14:textId="77777777" w:rsidR="00420322" w:rsidRDefault="00420322" w:rsidP="00420322">
      <w:pPr>
        <w:spacing w:before="100" w:beforeAutospacing="1" w:after="100" w:afterAutospacing="1" w:line="240" w:lineRule="auto"/>
        <w:rPr>
          <w:rFonts w:ascii="Times New Roman" w:eastAsia="Times New Roman" w:hAnsi="Times New Roman"/>
          <w:b/>
          <w:bCs/>
          <w:sz w:val="24"/>
          <w:szCs w:val="24"/>
        </w:rPr>
      </w:pPr>
      <w:bookmarkStart w:id="609" w:name="_Hlk29226291"/>
      <w:r w:rsidRPr="0066266D">
        <w:rPr>
          <w:rFonts w:ascii="Arial Black" w:eastAsia="Times New Roman" w:hAnsi="Arial Black"/>
          <w:b/>
          <w:bCs/>
          <w:sz w:val="28"/>
          <w:szCs w:val="28"/>
        </w:rPr>
        <w:lastRenderedPageBreak/>
        <w:t>OH</w:t>
      </w:r>
      <w:r>
        <w:rPr>
          <w:rFonts w:ascii="Arial Black" w:eastAsia="Times New Roman" w:hAnsi="Arial Black"/>
          <w:b/>
          <w:bCs/>
          <w:sz w:val="28"/>
          <w:szCs w:val="28"/>
        </w:rPr>
        <w:t>: LT. DEMOTED / SUSPENDED – UPHELD BUT TOWNSHIP MINUTES ON REASON FOR GOING INTO EXEC. SESSION NEED CLARIFICATION</w:t>
      </w:r>
    </w:p>
    <w:p w14:paraId="4B37777F" w14:textId="77777777" w:rsidR="00420322" w:rsidRDefault="00420322" w:rsidP="00420322">
      <w:pPr>
        <w:spacing w:before="100" w:beforeAutospacing="1" w:after="100" w:afterAutospacing="1" w:line="240" w:lineRule="auto"/>
        <w:rPr>
          <w:rFonts w:ascii="Arial" w:hAnsi="Arial" w:cs="Arial"/>
          <w:sz w:val="30"/>
          <w:szCs w:val="30"/>
        </w:rPr>
      </w:pPr>
      <w:r w:rsidRPr="00B84F37">
        <w:rPr>
          <w:rFonts w:ascii="Times New Roman" w:hAnsi="Times New Roman"/>
          <w:sz w:val="24"/>
          <w:szCs w:val="24"/>
        </w:rPr>
        <w:t xml:space="preserve">On Dec. 9, 2019, in </w:t>
      </w:r>
      <w:r w:rsidRPr="00B84F37">
        <w:rPr>
          <w:rFonts w:ascii="Times New Roman" w:hAnsi="Times New Roman"/>
          <w:sz w:val="24"/>
          <w:szCs w:val="24"/>
          <w:u w:val="single"/>
        </w:rPr>
        <w:t>Douglas Bode v. Concord Township</w:t>
      </w:r>
      <w:r>
        <w:rPr>
          <w:rFonts w:ascii="Times New Roman" w:hAnsi="Times New Roman"/>
          <w:sz w:val="24"/>
          <w:szCs w:val="24"/>
        </w:rPr>
        <w:t>, the Ohio Court of Appeals for the Eleventh District (Lake County) upheld the demotion of part-time Lieutenant to part-time firefighter / paramedic, and his suspension for six months, but found technical violation of Open Meeting Act since minutes of the Township public meeting did not reflect the reason for going into executive session.</w:t>
      </w:r>
    </w:p>
    <w:p w14:paraId="0F4628C8" w14:textId="633427FE" w:rsidR="00420322" w:rsidRPr="00B8368A" w:rsidRDefault="00420322" w:rsidP="00B8368A">
      <w:pPr>
        <w:pStyle w:val="NoSpacing"/>
        <w:ind w:left="720"/>
        <w:rPr>
          <w:rFonts w:ascii="Times New Roman" w:hAnsi="Times New Roman"/>
          <w:sz w:val="24"/>
          <w:szCs w:val="24"/>
        </w:rPr>
      </w:pPr>
      <w:r w:rsidRPr="00B101CE">
        <w:rPr>
          <w:rFonts w:ascii="Times New Roman" w:hAnsi="Times New Roman"/>
          <w:sz w:val="24"/>
          <w:szCs w:val="24"/>
        </w:rPr>
        <w:t xml:space="preserve">“We determine the Board committed a technical violation of Ohio’s Open Meetings Act (the ‘OMA’) so that an injunction ordering the Board to comply with the OMA is appropriate, but we do not invalidate Mr. Bode’s suspension and demotion approved by the Board. *** Here, it is undisputed that the meeting minutes were deficient in identifying the purpose of the executive session </w:t>
      </w:r>
      <w:proofErr w:type="gramStart"/>
      <w:r w:rsidRPr="00B101CE">
        <w:rPr>
          <w:rFonts w:ascii="Times New Roman" w:hAnsi="Times New Roman"/>
          <w:sz w:val="24"/>
          <w:szCs w:val="24"/>
        </w:rPr>
        <w:t>with regard to</w:t>
      </w:r>
      <w:proofErr w:type="gramEnd"/>
      <w:r w:rsidRPr="00B101CE">
        <w:rPr>
          <w:rFonts w:ascii="Times New Roman" w:hAnsi="Times New Roman"/>
          <w:sz w:val="24"/>
          <w:szCs w:val="24"/>
        </w:rPr>
        <w:t xml:space="preserve"> Mr. Bode. No reason for entering executive session was stated; therefore, the Board has failed to comply with R.C. 121.22(G)(1). </w:t>
      </w:r>
      <w:hyperlink r:id="rId2645" w:history="1">
        <w:r w:rsidR="00B8368A" w:rsidRPr="001B5B01">
          <w:rPr>
            <w:rStyle w:val="Hyperlink"/>
            <w:rFonts w:ascii="Times New Roman" w:eastAsia="Times New Roman" w:hAnsi="Times New Roman"/>
            <w:sz w:val="24"/>
            <w:szCs w:val="24"/>
          </w:rPr>
          <w:t>https://www.supremecourt.ohio.gov/rod/docs/pdf/11/2019/2019-Ohio-5062.pdf</w:t>
        </w:r>
      </w:hyperlink>
      <w:bookmarkEnd w:id="609"/>
    </w:p>
    <w:p w14:paraId="4C86A07D" w14:textId="1D69C176" w:rsidR="00420322" w:rsidRDefault="00B8368A" w:rsidP="00297434">
      <w:pPr>
        <w:spacing w:before="100" w:beforeAutospacing="1" w:after="100" w:afterAutospacing="1" w:line="240" w:lineRule="auto"/>
        <w:rPr>
          <w:rFonts w:ascii="Times New Roman" w:hAnsi="Times New Roman"/>
          <w:b/>
          <w:bCs/>
          <w:sz w:val="24"/>
          <w:szCs w:val="24"/>
        </w:rPr>
      </w:pPr>
      <w:r w:rsidRPr="00B8368A">
        <w:rPr>
          <w:rFonts w:ascii="Times New Roman" w:hAnsi="Times New Roman"/>
          <w:b/>
          <w:bCs/>
          <w:sz w:val="24"/>
          <w:szCs w:val="24"/>
        </w:rPr>
        <w:t xml:space="preserve">Legal Lessons Learned: Minutes of public meetings, prior to going into Executive Session, should </w:t>
      </w:r>
      <w:proofErr w:type="gramStart"/>
      <w:r w:rsidRPr="00B8368A">
        <w:rPr>
          <w:rFonts w:ascii="Times New Roman" w:hAnsi="Times New Roman"/>
          <w:b/>
          <w:bCs/>
          <w:sz w:val="24"/>
          <w:szCs w:val="24"/>
        </w:rPr>
        <w:t>careful</w:t>
      </w:r>
      <w:proofErr w:type="gramEnd"/>
      <w:r w:rsidRPr="00B8368A">
        <w:rPr>
          <w:rFonts w:ascii="Times New Roman" w:hAnsi="Times New Roman"/>
          <w:b/>
          <w:bCs/>
          <w:sz w:val="24"/>
          <w:szCs w:val="24"/>
        </w:rPr>
        <w:t xml:space="preserve"> be </w:t>
      </w:r>
      <w:r>
        <w:rPr>
          <w:rFonts w:ascii="Times New Roman" w:hAnsi="Times New Roman"/>
          <w:b/>
          <w:bCs/>
          <w:sz w:val="24"/>
          <w:szCs w:val="24"/>
        </w:rPr>
        <w:t>prepared t</w:t>
      </w:r>
      <w:r w:rsidRPr="00B8368A">
        <w:rPr>
          <w:rFonts w:ascii="Times New Roman" w:hAnsi="Times New Roman"/>
          <w:b/>
          <w:bCs/>
          <w:sz w:val="24"/>
          <w:szCs w:val="24"/>
        </w:rPr>
        <w:t>o avoid costly litigation.</w:t>
      </w:r>
    </w:p>
    <w:p w14:paraId="7D2F863C" w14:textId="233D98BF" w:rsidR="00B8368A" w:rsidRDefault="00B8368A" w:rsidP="00297434">
      <w:pPr>
        <w:spacing w:before="100" w:beforeAutospacing="1" w:after="100" w:afterAutospacing="1" w:line="240" w:lineRule="auto"/>
        <w:rPr>
          <w:rFonts w:ascii="Times New Roman" w:hAnsi="Times New Roman"/>
          <w:b/>
          <w:bCs/>
          <w:sz w:val="24"/>
          <w:szCs w:val="24"/>
        </w:rPr>
      </w:pPr>
    </w:p>
    <w:p w14:paraId="0D198F10" w14:textId="77777777" w:rsidR="00B8368A" w:rsidRPr="00B8368A" w:rsidRDefault="00B8368A" w:rsidP="00297434">
      <w:pPr>
        <w:spacing w:before="100" w:beforeAutospacing="1" w:after="100" w:afterAutospacing="1" w:line="240" w:lineRule="auto"/>
        <w:rPr>
          <w:rFonts w:ascii="Times New Roman" w:hAnsi="Times New Roman"/>
          <w:b/>
          <w:bCs/>
          <w:sz w:val="24"/>
          <w:szCs w:val="24"/>
        </w:rPr>
      </w:pPr>
    </w:p>
    <w:p w14:paraId="78892DE8" w14:textId="17B9C350" w:rsidR="00297434" w:rsidRDefault="00297434" w:rsidP="00297434">
      <w:pPr>
        <w:spacing w:before="100" w:beforeAutospacing="1" w:after="100" w:afterAutospacing="1" w:line="240" w:lineRule="auto"/>
        <w:rPr>
          <w:rFonts w:ascii="Arial Black" w:hAnsi="Arial Black"/>
          <w:sz w:val="28"/>
          <w:szCs w:val="28"/>
        </w:rPr>
      </w:pPr>
      <w:r>
        <w:rPr>
          <w:rFonts w:ascii="Arial Black" w:hAnsi="Arial Black"/>
          <w:sz w:val="24"/>
          <w:szCs w:val="24"/>
        </w:rPr>
        <w:t>16-20</w:t>
      </w:r>
      <w:r>
        <w:rPr>
          <w:rFonts w:ascii="Arial Black" w:hAnsi="Arial Black"/>
          <w:sz w:val="24"/>
          <w:szCs w:val="24"/>
        </w:rPr>
        <w:br/>
      </w:r>
      <w:r>
        <w:rPr>
          <w:rFonts w:ascii="Arial Black" w:hAnsi="Arial Black"/>
          <w:sz w:val="24"/>
          <w:szCs w:val="24"/>
        </w:rPr>
        <w:br/>
      </w:r>
      <w:r>
        <w:rPr>
          <w:rFonts w:ascii="Arial Black" w:hAnsi="Arial Black"/>
          <w:sz w:val="28"/>
          <w:szCs w:val="28"/>
        </w:rPr>
        <w:t>OR:  SHORTLY AFTER UNION FORMED - FD STARTED USING PRIVATE INVESTIGATOR, SUPERVISOR NOTES – UNFAIR LABOR PRACTICE</w:t>
      </w:r>
    </w:p>
    <w:p w14:paraId="1D82CDA4" w14:textId="05B1E746" w:rsidR="00297434" w:rsidRDefault="00297434" w:rsidP="00297434">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5, 2019, in </w:t>
      </w:r>
      <w:r>
        <w:rPr>
          <w:rFonts w:ascii="Times New Roman" w:hAnsi="Times New Roman"/>
          <w:sz w:val="24"/>
          <w:szCs w:val="24"/>
          <w:u w:val="single"/>
        </w:rPr>
        <w:t>Crook County Firefighters Association, IAFF Local 5115 v. Crook County Fire &amp; Rescue</w:t>
      </w:r>
      <w:r>
        <w:rPr>
          <w:rFonts w:ascii="Times New Roman" w:hAnsi="Times New Roman"/>
          <w:sz w:val="24"/>
          <w:szCs w:val="24"/>
        </w:rPr>
        <w:t xml:space="preserve">, the Oregon Employment Relations Board found that the Fire Department “committed an unfair labor practice” after the Local was formed in </w:t>
      </w:r>
      <w:proofErr w:type="gramStart"/>
      <w:r>
        <w:rPr>
          <w:rFonts w:ascii="Times New Roman" w:hAnsi="Times New Roman"/>
          <w:sz w:val="24"/>
          <w:szCs w:val="24"/>
        </w:rPr>
        <w:t>September,</w:t>
      </w:r>
      <w:proofErr w:type="gramEnd"/>
      <w:r>
        <w:rPr>
          <w:rFonts w:ascii="Times New Roman" w:hAnsi="Times New Roman"/>
          <w:sz w:val="24"/>
          <w:szCs w:val="24"/>
        </w:rPr>
        <w:t xml:space="preserve"> 2017.</w:t>
      </w:r>
    </w:p>
    <w:p w14:paraId="3E17C30D" w14:textId="77777777"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“To briefly summarize: after the employees organized, the </w:t>
      </w:r>
      <w:proofErr w:type="gramStart"/>
      <w:r>
        <w:rPr>
          <w:rFonts w:ascii="Times New Roman" w:hAnsi="Times New Roman"/>
          <w:sz w:val="24"/>
          <w:szCs w:val="24"/>
        </w:rPr>
        <w:t>District</w:t>
      </w:r>
      <w:proofErr w:type="gramEnd"/>
      <w:r>
        <w:rPr>
          <w:rFonts w:ascii="Times New Roman" w:hAnsi="Times New Roman"/>
          <w:sz w:val="24"/>
          <w:szCs w:val="24"/>
        </w:rPr>
        <w:t xml:space="preserve"> started using a private, third-party investigator to investigate some, but not all, complaints or concerns about employee conduct, and started using supervisory notes to more comprehensively and formally document employee conduct, and coaching and counseling. When employees expressed concerns about the potentially negative employment implications of the </w:t>
      </w:r>
      <w:proofErr w:type="gramStart"/>
      <w:r>
        <w:rPr>
          <w:rFonts w:ascii="Times New Roman" w:hAnsi="Times New Roman"/>
          <w:sz w:val="24"/>
          <w:szCs w:val="24"/>
        </w:rPr>
        <w:t>District's</w:t>
      </w:r>
      <w:proofErr w:type="gramEnd"/>
      <w:r>
        <w:rPr>
          <w:rFonts w:ascii="Times New Roman" w:hAnsi="Times New Roman"/>
          <w:sz w:val="24"/>
          <w:szCs w:val="24"/>
        </w:rPr>
        <w:t xml:space="preserve"> actions, or perceived differences in how Association supporters were being treated, and asked for explanations, the chiefs, on multiple occasions, expressly attributed the employer's actions to ‘the union.’ Given the parties' history, including the fact that the employees had only recently organized, Association-represented employees could reasonably fear that exercising their PECBA-guaranteed rights would result in undesired changes (i.e., increased formality and  documentation),  as well as heightened scrutiny and less favorable judgments from their </w:t>
      </w:r>
      <w:proofErr w:type="gramStart"/>
      <w:r>
        <w:rPr>
          <w:rFonts w:ascii="Times New Roman" w:hAnsi="Times New Roman"/>
          <w:sz w:val="24"/>
          <w:szCs w:val="24"/>
        </w:rPr>
        <w:t>supervisors.”</w:t>
      </w:r>
      <w:proofErr w:type="gramEnd"/>
    </w:p>
    <w:p w14:paraId="30A2A596" w14:textId="31E17E39" w:rsidR="00297434" w:rsidRDefault="00297434" w:rsidP="00297434">
      <w:pPr>
        <w:pStyle w:val="NoSpacing"/>
        <w:ind w:left="720"/>
        <w:rPr>
          <w:rFonts w:ascii="Times New Roman" w:hAnsi="Times New Roman"/>
          <w:sz w:val="24"/>
          <w:szCs w:val="24"/>
        </w:rPr>
      </w:pPr>
      <w:hyperlink r:id="rId2646" w:history="1">
        <w:r>
          <w:rPr>
            <w:rStyle w:val="Hyperlink"/>
            <w:rFonts w:ascii="Times New Roman" w:hAnsi="Times New Roman"/>
            <w:sz w:val="24"/>
            <w:szCs w:val="24"/>
          </w:rPr>
          <w:t>https://apps.fastcase.com/Research/Pages/Document.aspx?LTID=ymjJQ%2bnA3gcD0uwW%2fXT8m74LrRSQo4n%2fvIMvSs06sm8gvhQE4Uja7b0PnhuF%2f4C2xuQogpx6q5d2KkmcmH7G9BxVUizxwq9%2bCSXj%2fVTkPcKayiYbCxXnu3qAsQnurF1%2fEGlhVwGun1DCyEjfhN2WDA%3d%3d</w:t>
        </w:r>
      </w:hyperlink>
      <w:r>
        <w:rPr>
          <w:rFonts w:ascii="Times New Roman" w:hAnsi="Times New Roman"/>
          <w:sz w:val="24"/>
          <w:szCs w:val="24"/>
        </w:rPr>
        <w:t xml:space="preserve"> </w:t>
      </w:r>
    </w:p>
    <w:p w14:paraId="32B42FCB" w14:textId="459A457A" w:rsidR="00297434" w:rsidRDefault="00297434" w:rsidP="00297434">
      <w:pPr>
        <w:pStyle w:val="NoSpacing"/>
        <w:ind w:left="720"/>
        <w:rPr>
          <w:rFonts w:ascii="Times New Roman" w:hAnsi="Times New Roman"/>
          <w:sz w:val="24"/>
          <w:szCs w:val="24"/>
        </w:rPr>
      </w:pPr>
    </w:p>
    <w:p w14:paraId="60847410" w14:textId="77777777" w:rsidR="00297434" w:rsidRDefault="00297434" w:rsidP="00297434">
      <w:pPr>
        <w:pStyle w:val="NoSpacing"/>
        <w:rPr>
          <w:rFonts w:ascii="Times New Roman" w:hAnsi="Times New Roman"/>
          <w:b/>
          <w:bCs/>
          <w:sz w:val="24"/>
          <w:szCs w:val="24"/>
        </w:rPr>
      </w:pPr>
      <w:r>
        <w:rPr>
          <w:rFonts w:ascii="Times New Roman" w:hAnsi="Times New Roman"/>
          <w:b/>
          <w:bCs/>
          <w:sz w:val="24"/>
          <w:szCs w:val="24"/>
        </w:rPr>
        <w:t xml:space="preserve">Legal Lessons Learned: New disciplinary processes implemented shortly after a union has been formed can lead to a “unfair labor practice” complaint.  Under Oregon statutes, it is an unfair labor practice to: </w:t>
      </w:r>
      <w:r>
        <w:rPr>
          <w:rStyle w:val="outlineheading2"/>
          <w:rFonts w:ascii="Times New Roman" w:hAnsi="Times New Roman"/>
          <w:b/>
          <w:bCs/>
          <w:sz w:val="24"/>
          <w:szCs w:val="24"/>
        </w:rPr>
        <w:t xml:space="preserve"> “(a)</w:t>
      </w:r>
      <w:r>
        <w:rPr>
          <w:rFonts w:ascii="Times New Roman" w:hAnsi="Times New Roman"/>
          <w:b/>
          <w:bCs/>
          <w:sz w:val="24"/>
          <w:szCs w:val="24"/>
        </w:rPr>
        <w:t xml:space="preserve"> Interfere with, restrain or coerce any employee in or because of the exercise of any right guaranteed </w:t>
      </w:r>
      <w:r>
        <w:rPr>
          <w:rFonts w:ascii="Times New Roman" w:hAnsi="Times New Roman"/>
          <w:b/>
          <w:bCs/>
          <w:sz w:val="24"/>
          <w:szCs w:val="24"/>
        </w:rPr>
        <w:lastRenderedPageBreak/>
        <w:t xml:space="preserve">under ORS </w:t>
      </w:r>
      <w:hyperlink r:id="rId2647" w:history="1">
        <w:r>
          <w:rPr>
            <w:rStyle w:val="Hyperlink"/>
            <w:rFonts w:ascii="Times New Roman" w:hAnsi="Times New Roman"/>
            <w:b/>
            <w:bCs/>
            <w:sz w:val="24"/>
            <w:szCs w:val="24"/>
          </w:rPr>
          <w:t xml:space="preserve">243.650 </w:t>
        </w:r>
        <w:r>
          <w:rPr>
            <w:rStyle w:val="annotation"/>
            <w:rFonts w:ascii="Times New Roman" w:hAnsi="Times New Roman"/>
            <w:b/>
            <w:bCs/>
            <w:sz w:val="24"/>
            <w:szCs w:val="24"/>
          </w:rPr>
          <w:t>(Definitions for ORS 243.650 to 243.782)</w:t>
        </w:r>
      </w:hyperlink>
      <w:r>
        <w:rPr>
          <w:rFonts w:ascii="Times New Roman" w:hAnsi="Times New Roman"/>
          <w:b/>
          <w:bCs/>
          <w:sz w:val="24"/>
          <w:szCs w:val="24"/>
        </w:rPr>
        <w:t xml:space="preserve"> to </w:t>
      </w:r>
      <w:hyperlink r:id="rId2648" w:history="1">
        <w:r>
          <w:rPr>
            <w:rStyle w:val="Hyperlink"/>
            <w:rFonts w:ascii="Times New Roman" w:hAnsi="Times New Roman"/>
            <w:b/>
            <w:bCs/>
            <w:sz w:val="24"/>
            <w:szCs w:val="24"/>
          </w:rPr>
          <w:t xml:space="preserve">243.782 </w:t>
        </w:r>
        <w:r>
          <w:rPr>
            <w:rStyle w:val="annotation"/>
            <w:rFonts w:ascii="Times New Roman" w:hAnsi="Times New Roman"/>
            <w:b/>
            <w:bCs/>
            <w:sz w:val="24"/>
            <w:szCs w:val="24"/>
          </w:rPr>
          <w:t>(Representation by counsel authorized)</w:t>
        </w:r>
      </w:hyperlink>
      <w:r>
        <w:rPr>
          <w:rFonts w:ascii="Times New Roman" w:hAnsi="Times New Roman"/>
          <w:b/>
          <w:bCs/>
          <w:sz w:val="24"/>
          <w:szCs w:val="24"/>
        </w:rPr>
        <w:t xml:space="preserve">.”  </w:t>
      </w:r>
      <w:hyperlink r:id="rId2649" w:history="1">
        <w:r>
          <w:rPr>
            <w:rStyle w:val="Hyperlink"/>
            <w:rFonts w:ascii="Times New Roman" w:hAnsi="Times New Roman"/>
            <w:b/>
            <w:bCs/>
            <w:sz w:val="24"/>
            <w:szCs w:val="24"/>
          </w:rPr>
          <w:t>https://www.oregonlaws.org/ors/243.672</w:t>
        </w:r>
      </w:hyperlink>
      <w:r>
        <w:rPr>
          <w:rFonts w:ascii="Times New Roman" w:hAnsi="Times New Roman"/>
          <w:b/>
          <w:bCs/>
          <w:sz w:val="24"/>
          <w:szCs w:val="24"/>
        </w:rPr>
        <w:t xml:space="preserve"> </w:t>
      </w:r>
    </w:p>
    <w:p w14:paraId="54657ABA" w14:textId="77777777" w:rsidR="00297434" w:rsidRDefault="00297434" w:rsidP="00297434">
      <w:pPr>
        <w:pStyle w:val="NoSpacing"/>
        <w:rPr>
          <w:rFonts w:ascii="Times New Roman" w:hAnsi="Times New Roman"/>
          <w:b/>
          <w:bCs/>
          <w:sz w:val="24"/>
          <w:szCs w:val="24"/>
        </w:rPr>
      </w:pPr>
    </w:p>
    <w:p w14:paraId="4A684524" w14:textId="15022546" w:rsidR="00297434" w:rsidRDefault="00297434" w:rsidP="00297434">
      <w:pPr>
        <w:pStyle w:val="NoSpacing"/>
        <w:rPr>
          <w:rFonts w:ascii="Times New Roman" w:hAnsi="Times New Roman"/>
          <w:sz w:val="24"/>
          <w:szCs w:val="24"/>
        </w:rPr>
      </w:pPr>
    </w:p>
    <w:p w14:paraId="68147D2A" w14:textId="6AB7397E" w:rsidR="00297434" w:rsidRDefault="00297434" w:rsidP="00F326E5">
      <w:pPr>
        <w:pStyle w:val="NoSpacing"/>
        <w:rPr>
          <w:rFonts w:ascii="Arial Black" w:hAnsi="Arial Black"/>
          <w:sz w:val="24"/>
          <w:szCs w:val="24"/>
        </w:rPr>
      </w:pPr>
    </w:p>
    <w:p w14:paraId="6732209A" w14:textId="77777777" w:rsidR="00297434" w:rsidRDefault="00297434" w:rsidP="00F326E5">
      <w:pPr>
        <w:pStyle w:val="NoSpacing"/>
        <w:rPr>
          <w:rFonts w:ascii="Arial Black" w:hAnsi="Arial Black"/>
          <w:sz w:val="24"/>
          <w:szCs w:val="24"/>
        </w:rPr>
      </w:pPr>
    </w:p>
    <w:p w14:paraId="25088449" w14:textId="7512A433" w:rsidR="00297434" w:rsidRDefault="00297434" w:rsidP="00F326E5">
      <w:pPr>
        <w:pStyle w:val="NoSpacing"/>
        <w:rPr>
          <w:rFonts w:ascii="Arial Black" w:hAnsi="Arial Black"/>
          <w:sz w:val="24"/>
          <w:szCs w:val="24"/>
        </w:rPr>
      </w:pPr>
      <w:r>
        <w:rPr>
          <w:rFonts w:ascii="Arial Black" w:hAnsi="Arial Black"/>
          <w:sz w:val="24"/>
          <w:szCs w:val="24"/>
        </w:rPr>
        <w:t>16-19</w:t>
      </w:r>
    </w:p>
    <w:p w14:paraId="51ED5777" w14:textId="7C2DC461" w:rsidR="00297434" w:rsidRDefault="00297434" w:rsidP="00F326E5">
      <w:pPr>
        <w:pStyle w:val="NoSpacing"/>
        <w:rPr>
          <w:rFonts w:ascii="Arial Black" w:hAnsi="Arial Black"/>
          <w:sz w:val="24"/>
          <w:szCs w:val="24"/>
        </w:rPr>
      </w:pPr>
    </w:p>
    <w:p w14:paraId="08BCD668" w14:textId="77777777" w:rsidR="00297434" w:rsidRDefault="00297434" w:rsidP="00297434">
      <w:pPr>
        <w:pStyle w:val="NoSpacing"/>
        <w:rPr>
          <w:rFonts w:ascii="Arial Black" w:hAnsi="Arial Black"/>
          <w:sz w:val="28"/>
          <w:szCs w:val="28"/>
        </w:rPr>
      </w:pPr>
      <w:r>
        <w:rPr>
          <w:rFonts w:ascii="Arial Black" w:hAnsi="Arial Black"/>
          <w:sz w:val="28"/>
          <w:szCs w:val="28"/>
        </w:rPr>
        <w:t>LA: FF “BILL OF RIGHTS” VIOLATED – FF INTERVIEWED BY SENIOR FD OFFICER AFTER ARREST FOR ROAD RAGE</w:t>
      </w:r>
    </w:p>
    <w:p w14:paraId="4F79F69F" w14:textId="77777777" w:rsidR="00297434" w:rsidRDefault="00297434" w:rsidP="00297434">
      <w:pPr>
        <w:pStyle w:val="NoSpacing"/>
        <w:rPr>
          <w:rFonts w:ascii="Times New Roman" w:hAnsi="Times New Roman"/>
          <w:sz w:val="24"/>
          <w:szCs w:val="24"/>
        </w:rPr>
      </w:pPr>
    </w:p>
    <w:p w14:paraId="14F71D5D" w14:textId="77777777" w:rsidR="00297434" w:rsidRDefault="00297434" w:rsidP="00297434">
      <w:pPr>
        <w:pStyle w:val="NoSpacing"/>
        <w:rPr>
          <w:rFonts w:ascii="Times New Roman" w:hAnsi="Times New Roman"/>
          <w:sz w:val="24"/>
          <w:szCs w:val="24"/>
        </w:rPr>
      </w:pPr>
      <w:r>
        <w:rPr>
          <w:rFonts w:ascii="Times New Roman" w:hAnsi="Times New Roman"/>
          <w:sz w:val="24"/>
          <w:szCs w:val="24"/>
        </w:rPr>
        <w:t xml:space="preserve">On Dec. 4, 2019, in </w:t>
      </w:r>
      <w:r>
        <w:rPr>
          <w:rFonts w:ascii="Times New Roman" w:hAnsi="Times New Roman"/>
          <w:sz w:val="24"/>
          <w:szCs w:val="24"/>
          <w:u w:val="single"/>
        </w:rPr>
        <w:t>Jonathan Farrelly v. Jefferson Parish East Bank Consolidated Fire District</w:t>
      </w:r>
      <w:r>
        <w:rPr>
          <w:rFonts w:ascii="Times New Roman" w:hAnsi="Times New Roman"/>
          <w:sz w:val="24"/>
          <w:szCs w:val="24"/>
        </w:rPr>
        <w:t>, the Fifth Circuit Court of Appeals held (3 to 0) that FD violated the Firefighter Bill of Rights.</w:t>
      </w:r>
    </w:p>
    <w:p w14:paraId="672E25F7" w14:textId="77777777" w:rsidR="00297434" w:rsidRDefault="00297434" w:rsidP="00297434">
      <w:pPr>
        <w:pStyle w:val="NoSpacing"/>
        <w:rPr>
          <w:rFonts w:ascii="Times New Roman" w:hAnsi="Times New Roman"/>
          <w:sz w:val="24"/>
          <w:szCs w:val="24"/>
        </w:rPr>
      </w:pPr>
    </w:p>
    <w:p w14:paraId="707362DF" w14:textId="77777777"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“Without the presence of counsel, Farrelly was asked to discuss facts relating to a pending criminal prosecution. While the Firefighter Bill of Rights provides that statements made </w:t>
      </w:r>
      <w:proofErr w:type="gramStart"/>
      <w:r>
        <w:rPr>
          <w:rFonts w:ascii="Times New Roman" w:hAnsi="Times New Roman"/>
          <w:sz w:val="24"/>
          <w:szCs w:val="24"/>
        </w:rPr>
        <w:t>during the course of</w:t>
      </w:r>
      <w:proofErr w:type="gramEnd"/>
      <w:r>
        <w:rPr>
          <w:rFonts w:ascii="Times New Roman" w:hAnsi="Times New Roman"/>
          <w:sz w:val="24"/>
          <w:szCs w:val="24"/>
        </w:rPr>
        <w:t xml:space="preserve"> an administrative investigation shall not be admissible in a criminal proceeding, Farrelly was not informed of these rights at the time of the meeting. La. R.S. 33:2181(B)(7). He was not advised whether his disclosures to his employers could adversely affect his impending criminal case. He may have felt that he had to answer the questions of his superiors as Department Rules and Regulation, Article X Section 3:06 </w:t>
      </w:r>
      <w:proofErr w:type="gramStart"/>
      <w:r>
        <w:rPr>
          <w:rFonts w:ascii="Times New Roman" w:hAnsi="Times New Roman"/>
          <w:sz w:val="24"/>
          <w:szCs w:val="24"/>
        </w:rPr>
        <w:t>states ‘[</w:t>
      </w:r>
      <w:proofErr w:type="gramEnd"/>
      <w:r>
        <w:rPr>
          <w:rFonts w:ascii="Times New Roman" w:hAnsi="Times New Roman"/>
          <w:sz w:val="24"/>
          <w:szCs w:val="24"/>
        </w:rPr>
        <w:t>a]</w:t>
      </w:r>
      <w:proofErr w:type="spellStart"/>
      <w:r>
        <w:rPr>
          <w:rFonts w:ascii="Times New Roman" w:hAnsi="Times New Roman"/>
          <w:sz w:val="24"/>
          <w:szCs w:val="24"/>
        </w:rPr>
        <w:t>ny</w:t>
      </w:r>
      <w:proofErr w:type="spellEnd"/>
      <w:r>
        <w:rPr>
          <w:rFonts w:ascii="Times New Roman" w:hAnsi="Times New Roman"/>
          <w:sz w:val="24"/>
          <w:szCs w:val="24"/>
        </w:rPr>
        <w:t xml:space="preserve"> member who, when so directed by authority, refuses to answer questions or render statements, material, etc. relevant to any Department investigation shall be subject to disciplinary action.’ Furthermore, when the Department seeks information regarding conduct that results in an arrest, the details of the conduct can be confirmed through the police report.” </w:t>
      </w:r>
    </w:p>
    <w:p w14:paraId="38B166AD" w14:textId="0957C172" w:rsidR="00297434" w:rsidRDefault="00297434" w:rsidP="00297434">
      <w:pPr>
        <w:pStyle w:val="NoSpacing"/>
        <w:rPr>
          <w:rStyle w:val="Hyperlink"/>
          <w:rFonts w:ascii="Times New Roman" w:hAnsi="Times New Roman"/>
          <w:sz w:val="24"/>
          <w:szCs w:val="24"/>
        </w:rPr>
      </w:pPr>
      <w:hyperlink r:id="rId2650" w:history="1">
        <w:r>
          <w:rPr>
            <w:rStyle w:val="Hyperlink"/>
            <w:rFonts w:ascii="Times New Roman" w:hAnsi="Times New Roman"/>
            <w:sz w:val="24"/>
            <w:szCs w:val="24"/>
          </w:rPr>
          <w:t>http://www.fifthcircuit.org/dmzdocs/OI/PO/2019/D2D01276-0CAB-4C3C-8746-E6A5E19BC45A.pdf</w:t>
        </w:r>
      </w:hyperlink>
    </w:p>
    <w:p w14:paraId="06A4D58F" w14:textId="7CA189B1" w:rsidR="00297434" w:rsidRDefault="00297434" w:rsidP="00297434">
      <w:pPr>
        <w:pStyle w:val="NoSpacing"/>
        <w:rPr>
          <w:rStyle w:val="Hyperlink"/>
          <w:rFonts w:ascii="Times New Roman" w:hAnsi="Times New Roman"/>
          <w:sz w:val="24"/>
          <w:szCs w:val="24"/>
        </w:rPr>
      </w:pPr>
    </w:p>
    <w:p w14:paraId="71024EE5" w14:textId="77777777" w:rsidR="00297434" w:rsidRDefault="00297434" w:rsidP="00297434">
      <w:pPr>
        <w:pStyle w:val="NoSpacing"/>
        <w:ind w:left="-90"/>
        <w:rPr>
          <w:rFonts w:ascii="Times New Roman" w:hAnsi="Times New Roman"/>
          <w:b/>
          <w:bCs/>
          <w:sz w:val="24"/>
          <w:szCs w:val="24"/>
        </w:rPr>
      </w:pPr>
      <w:r>
        <w:rPr>
          <w:rFonts w:ascii="Times New Roman" w:hAnsi="Times New Roman"/>
          <w:b/>
          <w:bCs/>
          <w:sz w:val="24"/>
          <w:szCs w:val="24"/>
        </w:rPr>
        <w:t xml:space="preserve">Legal Lessons Learned: When the FF returned to work, he should have only been interviewed by his immediate supervisors, who in turn could advise the senior officers what they had learned.   See the Louisiana statute: FIRE EMPLOYEE'S RIGHTS: </w:t>
      </w:r>
    </w:p>
    <w:p w14:paraId="0099A3F4" w14:textId="77777777" w:rsidR="00297434" w:rsidRDefault="00297434" w:rsidP="00297434">
      <w:pPr>
        <w:pStyle w:val="NoSpacing"/>
        <w:ind w:left="720"/>
        <w:rPr>
          <w:rFonts w:ascii="Times New Roman" w:hAnsi="Times New Roman"/>
          <w:sz w:val="24"/>
          <w:szCs w:val="24"/>
        </w:rPr>
      </w:pPr>
      <w:r>
        <w:rPr>
          <w:rFonts w:ascii="Times New Roman" w:hAnsi="Times New Roman"/>
          <w:b/>
          <w:bCs/>
          <w:sz w:val="24"/>
          <w:szCs w:val="24"/>
        </w:rPr>
        <w:t>(2)</w:t>
      </w:r>
      <w:r>
        <w:t xml:space="preserve"> </w:t>
      </w:r>
      <w:r>
        <w:rPr>
          <w:rFonts w:ascii="Times New Roman" w:hAnsi="Times New Roman"/>
          <w:b/>
          <w:bCs/>
          <w:sz w:val="24"/>
          <w:szCs w:val="24"/>
        </w:rPr>
        <w:t xml:space="preserve">"Interrogation" includes but is not limited to any formal interview, inquiry, or questioning of any fire employee by the appointing authority or the appointing authority's designee regarding misconduct, allegations of misconduct, or policy violation. An initial inquiry conducted by the fire employee's immediate supervisors </w:t>
      </w:r>
      <w:r w:rsidRPr="00880E83">
        <w:rPr>
          <w:rFonts w:ascii="Times New Roman" w:hAnsi="Times New Roman"/>
          <w:b/>
          <w:bCs/>
          <w:sz w:val="24"/>
          <w:szCs w:val="24"/>
        </w:rPr>
        <w:t>shall not be considered an interrogation.</w:t>
      </w:r>
      <w:r>
        <w:rPr>
          <w:rFonts w:ascii="Times New Roman" w:hAnsi="Times New Roman"/>
          <w:sz w:val="24"/>
          <w:szCs w:val="24"/>
        </w:rPr>
        <w:t xml:space="preserve"> </w:t>
      </w:r>
      <w:hyperlink r:id="rId2651" w:history="1">
        <w:r>
          <w:rPr>
            <w:rStyle w:val="Hyperlink"/>
            <w:rFonts w:ascii="Times New Roman" w:hAnsi="Times New Roman"/>
            <w:sz w:val="24"/>
            <w:szCs w:val="24"/>
          </w:rPr>
          <w:t>https://law.justia.com/codes/louisiana/2012/rs/title33/rs33-2181/</w:t>
        </w:r>
      </w:hyperlink>
      <w:r>
        <w:rPr>
          <w:rFonts w:ascii="Times New Roman" w:hAnsi="Times New Roman"/>
          <w:sz w:val="24"/>
          <w:szCs w:val="24"/>
        </w:rPr>
        <w:t xml:space="preserve"> </w:t>
      </w:r>
    </w:p>
    <w:p w14:paraId="4EFE3344" w14:textId="0901A95F" w:rsidR="00297434" w:rsidRDefault="00297434" w:rsidP="00297434">
      <w:pPr>
        <w:pStyle w:val="NoSpacing"/>
        <w:rPr>
          <w:rStyle w:val="Hyperlink"/>
          <w:rFonts w:ascii="Times New Roman" w:hAnsi="Times New Roman"/>
          <w:sz w:val="24"/>
          <w:szCs w:val="24"/>
        </w:rPr>
      </w:pPr>
    </w:p>
    <w:p w14:paraId="1FCB6A0B" w14:textId="0E5CB4CA" w:rsidR="00297434" w:rsidRPr="00297434" w:rsidRDefault="00297434" w:rsidP="00297434">
      <w:pPr>
        <w:pStyle w:val="NoSpacing"/>
        <w:rPr>
          <w:rFonts w:ascii="Times New Roman" w:hAnsi="Times New Roman"/>
          <w:sz w:val="24"/>
          <w:szCs w:val="24"/>
        </w:rPr>
      </w:pPr>
    </w:p>
    <w:p w14:paraId="62BB590D" w14:textId="77777777" w:rsidR="00297434" w:rsidRDefault="00297434" w:rsidP="00F326E5">
      <w:pPr>
        <w:pStyle w:val="NoSpacing"/>
        <w:rPr>
          <w:rFonts w:ascii="Arial Black" w:hAnsi="Arial Black"/>
          <w:sz w:val="24"/>
          <w:szCs w:val="24"/>
        </w:rPr>
      </w:pPr>
    </w:p>
    <w:p w14:paraId="0E96E3D4" w14:textId="4BC56513" w:rsidR="00297434" w:rsidRDefault="00297434" w:rsidP="00F326E5">
      <w:pPr>
        <w:pStyle w:val="NoSpacing"/>
        <w:rPr>
          <w:rFonts w:ascii="Arial Black" w:hAnsi="Arial Black"/>
          <w:sz w:val="24"/>
          <w:szCs w:val="24"/>
        </w:rPr>
      </w:pPr>
      <w:r>
        <w:rPr>
          <w:rFonts w:ascii="Arial Black" w:hAnsi="Arial Black"/>
          <w:sz w:val="24"/>
          <w:szCs w:val="24"/>
        </w:rPr>
        <w:t>16-18</w:t>
      </w:r>
    </w:p>
    <w:p w14:paraId="6EC374A3" w14:textId="5B5E7492" w:rsidR="00297434" w:rsidRDefault="00297434" w:rsidP="00F326E5">
      <w:pPr>
        <w:pStyle w:val="NoSpacing"/>
        <w:rPr>
          <w:rFonts w:ascii="Arial Black" w:hAnsi="Arial Black"/>
          <w:sz w:val="24"/>
          <w:szCs w:val="24"/>
        </w:rPr>
      </w:pPr>
    </w:p>
    <w:p w14:paraId="13E438D3" w14:textId="77777777" w:rsidR="00297434" w:rsidRDefault="00297434" w:rsidP="00297434">
      <w:pPr>
        <w:pStyle w:val="Heading1"/>
        <w:rPr>
          <w:rFonts w:ascii="Arial Black" w:hAnsi="Arial Black"/>
          <w:sz w:val="28"/>
          <w:szCs w:val="28"/>
        </w:rPr>
      </w:pPr>
      <w:r>
        <w:rPr>
          <w:rFonts w:ascii="Arial Black" w:hAnsi="Arial Black"/>
          <w:sz w:val="28"/>
          <w:szCs w:val="28"/>
        </w:rPr>
        <w:t>MI: FF COMPLAINED PORN, OSHA VIOLATIONS – FIRED FOR MISCHARGING TIME - “RETALIATION” CLAIM REINSTATED</w:t>
      </w:r>
    </w:p>
    <w:p w14:paraId="3564B60B" w14:textId="77777777" w:rsidR="00297434" w:rsidRDefault="00297434" w:rsidP="00297434">
      <w:pPr>
        <w:pStyle w:val="Heading1"/>
        <w:rPr>
          <w:b w:val="0"/>
          <w:bCs w:val="0"/>
          <w:sz w:val="24"/>
          <w:szCs w:val="24"/>
        </w:rPr>
      </w:pPr>
      <w:r>
        <w:rPr>
          <w:b w:val="0"/>
          <w:bCs w:val="0"/>
          <w:sz w:val="24"/>
          <w:szCs w:val="24"/>
        </w:rPr>
        <w:t xml:space="preserve">On Nov. 22, 2019, in </w:t>
      </w:r>
      <w:r>
        <w:rPr>
          <w:b w:val="0"/>
          <w:bCs w:val="0"/>
          <w:sz w:val="24"/>
          <w:szCs w:val="24"/>
          <w:u w:val="single"/>
        </w:rPr>
        <w:t>Peter Hudson v. City of Highland Park, Michigan, Derek Hillman; Makini Jackson</w:t>
      </w:r>
      <w:r>
        <w:rPr>
          <w:b w:val="0"/>
          <w:bCs w:val="0"/>
          <w:sz w:val="24"/>
          <w:szCs w:val="24"/>
        </w:rPr>
        <w:t>, the U.S. Court of Appeals for the 6</w:t>
      </w:r>
      <w:r>
        <w:rPr>
          <w:b w:val="0"/>
          <w:bCs w:val="0"/>
          <w:sz w:val="24"/>
          <w:szCs w:val="24"/>
          <w:vertAlign w:val="superscript"/>
        </w:rPr>
        <w:t>th</w:t>
      </w:r>
      <w:r>
        <w:rPr>
          <w:b w:val="0"/>
          <w:bCs w:val="0"/>
          <w:sz w:val="24"/>
          <w:szCs w:val="24"/>
        </w:rPr>
        <w:t xml:space="preserve"> Circuit (Cincinnati) held (3 to 0) that lawsuit should be reinstated against Fire Chief Dereck Hillman. </w:t>
      </w:r>
    </w:p>
    <w:p w14:paraId="73A89118" w14:textId="77777777" w:rsidR="00297434" w:rsidRDefault="00297434" w:rsidP="00297434">
      <w:pPr>
        <w:pStyle w:val="Heading1"/>
        <w:ind w:left="720"/>
        <w:rPr>
          <w:b w:val="0"/>
          <w:bCs w:val="0"/>
          <w:sz w:val="24"/>
          <w:szCs w:val="24"/>
        </w:rPr>
      </w:pPr>
      <w:r>
        <w:rPr>
          <w:b w:val="0"/>
          <w:bCs w:val="0"/>
          <w:sz w:val="24"/>
          <w:szCs w:val="24"/>
        </w:rPr>
        <w:lastRenderedPageBreak/>
        <w:t xml:space="preserve">“As to [Fire Chief Dereck] Hillman, Hudson’s claim stands on firmer ground. While the question is close, his amended complaint contained enough plausible allegations to move to the discovery stage of the case. For five years, Hudson openly criticized his co-workers’ behavior because he felt it hampered their ability to fight fires. Hillman knew about these comments (some concerned his behavior) and tolerated other firefighters’ dereliction of duty (some of them missed calls to respond to fires). As time passed, Hudson put his complaints into action. A year before his discharge, he filed a complaint with the Occupational Safety and Health Administration, alleging that the firefighters’ cavorting led to deficiencies in the station’s equipment. Hillman, at some point, told another firefighter that he had grown tired of Hudson’s complaints. Hillman eventually found a way to get rid of Hudson: He had falsified his timecard. Hillman fired him on that basis, even though he knew another firefighter had done the same thing. Hudson tells us why: ‘[Hillman] objected to Hudson’s religious convictions and wanted to stop Hudson[’s] outspokenness against the immorality of Hillman and the firemen.’ Id.at 15. Considering these </w:t>
      </w:r>
      <w:proofErr w:type="gramStart"/>
      <w:r>
        <w:rPr>
          <w:b w:val="0"/>
          <w:bCs w:val="0"/>
          <w:sz w:val="24"/>
          <w:szCs w:val="24"/>
        </w:rPr>
        <w:t>allegations as a whole, it’s</w:t>
      </w:r>
      <w:proofErr w:type="gramEnd"/>
      <w:r>
        <w:rPr>
          <w:b w:val="0"/>
          <w:bCs w:val="0"/>
          <w:sz w:val="24"/>
          <w:szCs w:val="24"/>
        </w:rPr>
        <w:t xml:space="preserve"> fair to say that they meet the notice pleading requirements of plausible allegations that Hillman fired Hudson because of his speech.” </w:t>
      </w:r>
      <w:hyperlink r:id="rId2652" w:history="1">
        <w:r>
          <w:rPr>
            <w:rStyle w:val="Hyperlink"/>
            <w:b w:val="0"/>
            <w:bCs w:val="0"/>
            <w:sz w:val="24"/>
            <w:szCs w:val="24"/>
          </w:rPr>
          <w:t>https://www.opn.ca6.uscourts.gov/opinions.pdf/19a0286p-06.pdf</w:t>
        </w:r>
      </w:hyperlink>
      <w:r>
        <w:rPr>
          <w:b w:val="0"/>
          <w:bCs w:val="0"/>
          <w:sz w:val="24"/>
          <w:szCs w:val="24"/>
        </w:rPr>
        <w:t xml:space="preserve"> </w:t>
      </w:r>
    </w:p>
    <w:p w14:paraId="427C3E4F" w14:textId="77777777" w:rsidR="00297434" w:rsidRDefault="00297434" w:rsidP="00297434">
      <w:pPr>
        <w:pStyle w:val="NoSpacing"/>
        <w:rPr>
          <w:rFonts w:ascii="Times New Roman" w:hAnsi="Times New Roman"/>
          <w:b/>
          <w:bCs/>
          <w:sz w:val="24"/>
          <w:szCs w:val="24"/>
        </w:rPr>
      </w:pPr>
      <w:r>
        <w:rPr>
          <w:rFonts w:ascii="Times New Roman" w:hAnsi="Times New Roman"/>
          <w:b/>
          <w:bCs/>
          <w:sz w:val="24"/>
          <w:szCs w:val="24"/>
        </w:rPr>
        <w:t xml:space="preserve">Legal Lessons Learned: Federal courts will carefully review claims of “retaliation” when firefighter is fired after an internal complaint, or OSHA complaint, has been submitted by the firefighter. </w:t>
      </w:r>
    </w:p>
    <w:p w14:paraId="336F3FAE" w14:textId="77777777" w:rsidR="00297434" w:rsidRPr="00297434" w:rsidRDefault="00297434" w:rsidP="00297434">
      <w:pPr>
        <w:pStyle w:val="NoSpacing"/>
        <w:ind w:left="720"/>
        <w:rPr>
          <w:rFonts w:ascii="Times New Roman" w:hAnsi="Times New Roman"/>
          <w:sz w:val="24"/>
          <w:szCs w:val="24"/>
        </w:rPr>
      </w:pPr>
    </w:p>
    <w:p w14:paraId="51AAD97C" w14:textId="1590725E" w:rsidR="00297434" w:rsidRPr="00297434" w:rsidRDefault="00297434" w:rsidP="00F326E5">
      <w:pPr>
        <w:pStyle w:val="NoSpacing"/>
        <w:rPr>
          <w:rFonts w:ascii="Times New Roman" w:hAnsi="Times New Roman"/>
          <w:sz w:val="24"/>
          <w:szCs w:val="24"/>
        </w:rPr>
      </w:pPr>
    </w:p>
    <w:p w14:paraId="4B0F877B" w14:textId="77777777" w:rsidR="00297434" w:rsidRDefault="00297434" w:rsidP="00F326E5">
      <w:pPr>
        <w:pStyle w:val="NoSpacing"/>
        <w:rPr>
          <w:rFonts w:ascii="Arial Black" w:hAnsi="Arial Black"/>
          <w:sz w:val="24"/>
          <w:szCs w:val="24"/>
        </w:rPr>
      </w:pPr>
    </w:p>
    <w:p w14:paraId="0E0E34AC" w14:textId="4DAEEEE4" w:rsidR="00A06387" w:rsidRDefault="00A06387" w:rsidP="00F326E5">
      <w:pPr>
        <w:pStyle w:val="NoSpacing"/>
        <w:rPr>
          <w:rFonts w:ascii="Arial Black" w:hAnsi="Arial Black"/>
          <w:sz w:val="24"/>
          <w:szCs w:val="24"/>
        </w:rPr>
      </w:pPr>
      <w:r>
        <w:rPr>
          <w:rFonts w:ascii="Arial Black" w:hAnsi="Arial Black"/>
          <w:sz w:val="24"/>
          <w:szCs w:val="24"/>
        </w:rPr>
        <w:t>16-17</w:t>
      </w:r>
    </w:p>
    <w:p w14:paraId="40F01D0C" w14:textId="56973B56" w:rsidR="00A06387" w:rsidRDefault="00A06387" w:rsidP="00F326E5">
      <w:pPr>
        <w:pStyle w:val="NoSpacing"/>
        <w:rPr>
          <w:rFonts w:ascii="Arial Black" w:hAnsi="Arial Black"/>
          <w:sz w:val="24"/>
          <w:szCs w:val="24"/>
        </w:rPr>
      </w:pPr>
    </w:p>
    <w:p w14:paraId="6EFD4534" w14:textId="77777777" w:rsidR="00A06387" w:rsidRPr="00AE7062" w:rsidRDefault="00A06387" w:rsidP="00A06387">
      <w:pPr>
        <w:pStyle w:val="NoSpacing"/>
        <w:rPr>
          <w:rFonts w:ascii="Arial Black" w:hAnsi="Arial Black"/>
          <w:sz w:val="28"/>
          <w:szCs w:val="28"/>
        </w:rPr>
      </w:pPr>
      <w:r w:rsidRPr="00AE7062">
        <w:rPr>
          <w:rFonts w:ascii="Arial Black" w:hAnsi="Arial Black"/>
          <w:sz w:val="28"/>
          <w:szCs w:val="28"/>
        </w:rPr>
        <w:t>TX</w:t>
      </w:r>
      <w:r>
        <w:rPr>
          <w:rFonts w:ascii="Arial Black" w:hAnsi="Arial Black"/>
          <w:sz w:val="28"/>
          <w:szCs w:val="28"/>
        </w:rPr>
        <w:t xml:space="preserve">: FF’S </w:t>
      </w:r>
      <w:r w:rsidRPr="00AE7062">
        <w:rPr>
          <w:rFonts w:ascii="Arial Black" w:hAnsi="Arial Black"/>
          <w:sz w:val="28"/>
          <w:szCs w:val="28"/>
        </w:rPr>
        <w:t xml:space="preserve">INTERNAL COMPLAINTS ABOUT FIRE CHIEF - NOT PROTECTED FIRST AMENDMENT – </w:t>
      </w:r>
      <w:r>
        <w:rPr>
          <w:rFonts w:ascii="Arial Black" w:hAnsi="Arial Black"/>
          <w:sz w:val="28"/>
          <w:szCs w:val="28"/>
        </w:rPr>
        <w:t xml:space="preserve">NOT </w:t>
      </w:r>
      <w:r w:rsidRPr="00AE7062">
        <w:rPr>
          <w:rFonts w:ascii="Arial Black" w:hAnsi="Arial Black"/>
          <w:sz w:val="28"/>
          <w:szCs w:val="28"/>
        </w:rPr>
        <w:t>“PUBLIC CONCERN”</w:t>
      </w:r>
    </w:p>
    <w:p w14:paraId="0554C073" w14:textId="77777777" w:rsidR="00A06387" w:rsidRDefault="00A06387" w:rsidP="00A06387">
      <w:pPr>
        <w:pStyle w:val="NoSpacing"/>
        <w:rPr>
          <w:rFonts w:ascii="TXArial Black" w:hAnsi="TXArial Black"/>
          <w:sz w:val="28"/>
          <w:szCs w:val="28"/>
        </w:rPr>
      </w:pPr>
    </w:p>
    <w:p w14:paraId="1F67BD31" w14:textId="77777777" w:rsidR="00A06387" w:rsidRPr="00B8368A" w:rsidRDefault="00A06387" w:rsidP="00A06387">
      <w:pPr>
        <w:pStyle w:val="NoSpacing"/>
        <w:rPr>
          <w:rFonts w:ascii="Times New Roman" w:hAnsi="Times New Roman"/>
          <w:b/>
          <w:bCs/>
          <w:sz w:val="24"/>
          <w:szCs w:val="24"/>
        </w:rPr>
      </w:pPr>
      <w:r w:rsidRPr="00B8368A">
        <w:rPr>
          <w:rFonts w:ascii="Times New Roman" w:hAnsi="Times New Roman"/>
          <w:bCs/>
          <w:sz w:val="24"/>
          <w:szCs w:val="24"/>
        </w:rPr>
        <w:t xml:space="preserve">On Oct. 10, 2019, in </w:t>
      </w:r>
      <w:r w:rsidRPr="00B8368A">
        <w:rPr>
          <w:rFonts w:ascii="Times New Roman" w:hAnsi="Times New Roman"/>
          <w:bCs/>
          <w:sz w:val="24"/>
          <w:szCs w:val="24"/>
          <w:u w:val="single"/>
        </w:rPr>
        <w:t>Billy Fratus v, The City of Baumont</w:t>
      </w:r>
      <w:r w:rsidRPr="00B8368A">
        <w:rPr>
          <w:rFonts w:ascii="Times New Roman" w:hAnsi="Times New Roman"/>
          <w:bCs/>
          <w:sz w:val="24"/>
          <w:szCs w:val="24"/>
        </w:rPr>
        <w:t>, the Court of Appeals, Ninth District of Texas at Beaumont, held (3 to 0) that trial court properly dismissed the firefighter’s lawsuit alleging he was fired [later reinstated] in retaliation for his internal complaints.</w:t>
      </w:r>
    </w:p>
    <w:p w14:paraId="69D1CA3A" w14:textId="77777777" w:rsidR="00A06387" w:rsidRPr="00B8368A" w:rsidRDefault="00A06387" w:rsidP="00A06387">
      <w:pPr>
        <w:pStyle w:val="NoSpacing"/>
        <w:rPr>
          <w:rFonts w:ascii="Times New Roman" w:hAnsi="Times New Roman"/>
          <w:b/>
          <w:bCs/>
          <w:sz w:val="24"/>
          <w:szCs w:val="24"/>
        </w:rPr>
      </w:pPr>
    </w:p>
    <w:p w14:paraId="4E878CC7" w14:textId="775730D5" w:rsidR="00A06387" w:rsidRPr="00B8368A" w:rsidRDefault="00A06387" w:rsidP="00A06387">
      <w:pPr>
        <w:pStyle w:val="NoSpacing"/>
        <w:ind w:left="720"/>
        <w:rPr>
          <w:rFonts w:ascii="Times New Roman" w:hAnsi="Times New Roman"/>
          <w:b/>
          <w:bCs/>
          <w:sz w:val="24"/>
          <w:szCs w:val="24"/>
        </w:rPr>
      </w:pPr>
      <w:r w:rsidRPr="00B8368A">
        <w:rPr>
          <w:rFonts w:ascii="Times New Roman" w:hAnsi="Times New Roman"/>
          <w:bCs/>
          <w:sz w:val="24"/>
          <w:szCs w:val="24"/>
        </w:rPr>
        <w:t>“The speech Fratus claims is protected under the Texas constitution is (1) that he ‘joined the public outcry against Huff when she illegally fired’ a firefighter, (2) he ‘made it quite clear and said that he opposed Huff or any command officer sexually harassing members of the department,’ and (3) he ‘publicly opposed Huff’s public, on duty support’ of a former firefighter in a criminal prosecution. According to the City, Fratus failed to allege how these instances of speech constituted a matter of public concern.</w:t>
      </w:r>
      <w:r w:rsidR="00B8368A">
        <w:rPr>
          <w:rFonts w:ascii="Times New Roman" w:hAnsi="Times New Roman"/>
          <w:bCs/>
          <w:sz w:val="24"/>
          <w:szCs w:val="24"/>
        </w:rPr>
        <w:t xml:space="preserve"> *** </w:t>
      </w:r>
      <w:r w:rsidRPr="00B8368A">
        <w:rPr>
          <w:rFonts w:ascii="Times New Roman" w:hAnsi="Times New Roman"/>
          <w:bCs/>
          <w:sz w:val="24"/>
          <w:szCs w:val="24"/>
        </w:rPr>
        <w:t xml:space="preserve">On this record, we conclude that Fratus has failed to plead a prima facie free speech claim because he failed to meet his burden of showing he engaged in speech primarily as a citizen involving a matter of public </w:t>
      </w:r>
      <w:proofErr w:type="gramStart"/>
      <w:r w:rsidRPr="00B8368A">
        <w:rPr>
          <w:rFonts w:ascii="Times New Roman" w:hAnsi="Times New Roman"/>
          <w:bCs/>
          <w:sz w:val="24"/>
          <w:szCs w:val="24"/>
        </w:rPr>
        <w:t>concern.”</w:t>
      </w:r>
      <w:proofErr w:type="gramEnd"/>
      <w:r w:rsidRPr="00B8368A">
        <w:rPr>
          <w:rFonts w:ascii="Times New Roman" w:hAnsi="Times New Roman"/>
          <w:bCs/>
          <w:sz w:val="24"/>
          <w:szCs w:val="24"/>
        </w:rPr>
        <w:t xml:space="preserve"> </w:t>
      </w:r>
    </w:p>
    <w:p w14:paraId="41309253" w14:textId="77777777" w:rsidR="00A06387" w:rsidRPr="00B8368A" w:rsidRDefault="00A06387" w:rsidP="00A06387">
      <w:pPr>
        <w:pStyle w:val="NoSpacing"/>
        <w:ind w:left="720"/>
        <w:rPr>
          <w:rFonts w:ascii="Times New Roman" w:hAnsi="Times New Roman"/>
          <w:b/>
          <w:bCs/>
          <w:sz w:val="24"/>
          <w:szCs w:val="24"/>
        </w:rPr>
      </w:pPr>
      <w:hyperlink r:id="rId2653" w:history="1">
        <w:r w:rsidRPr="00B8368A">
          <w:rPr>
            <w:rStyle w:val="Hyperlink"/>
            <w:rFonts w:ascii="Times New Roman" w:hAnsi="Times New Roman"/>
            <w:bCs/>
            <w:sz w:val="24"/>
            <w:szCs w:val="24"/>
          </w:rPr>
          <w:t>http://www.search.txcourts.gov/SearchMedia.aspx?MediaVersionID=c3f113f2-1ba2-49ff-a2ab-1b5420c141ac&amp;coa=coa09&amp;DT=Opinion&amp;MediaID=ad82a5f3-c7c6-4b28-8fe8-0de313580d94</w:t>
        </w:r>
      </w:hyperlink>
      <w:r w:rsidRPr="00B8368A">
        <w:rPr>
          <w:rFonts w:ascii="Times New Roman" w:hAnsi="Times New Roman"/>
          <w:bCs/>
          <w:sz w:val="24"/>
          <w:szCs w:val="24"/>
        </w:rPr>
        <w:t xml:space="preserve"> </w:t>
      </w:r>
    </w:p>
    <w:p w14:paraId="0BFF6939" w14:textId="77777777" w:rsidR="00A06387" w:rsidRPr="00B8368A" w:rsidRDefault="00A06387" w:rsidP="00A06387">
      <w:pPr>
        <w:pStyle w:val="NoSpacing"/>
        <w:rPr>
          <w:rFonts w:ascii="Times New Roman" w:hAnsi="Times New Roman"/>
          <w:b/>
          <w:bCs/>
          <w:sz w:val="24"/>
          <w:szCs w:val="24"/>
        </w:rPr>
      </w:pPr>
    </w:p>
    <w:p w14:paraId="04587631" w14:textId="77777777" w:rsidR="00B8368A" w:rsidRDefault="00A06387" w:rsidP="00A06387">
      <w:pPr>
        <w:pStyle w:val="NoSpacing"/>
        <w:rPr>
          <w:rFonts w:ascii="Times New Roman" w:hAnsi="Times New Roman"/>
          <w:sz w:val="24"/>
          <w:szCs w:val="24"/>
        </w:rPr>
      </w:pPr>
      <w:r w:rsidRPr="00B8368A">
        <w:rPr>
          <w:rFonts w:ascii="Times New Roman" w:hAnsi="Times New Roman"/>
          <w:b/>
          <w:bCs/>
          <w:sz w:val="24"/>
          <w:szCs w:val="24"/>
        </w:rPr>
        <w:t>Legal Lessons Learned: Firefighters and other public employees have limited First Amendment rights, unless speech relates to items of “public concern.”</w:t>
      </w:r>
      <w:r w:rsidRPr="00B8368A">
        <w:rPr>
          <w:rFonts w:ascii="Times New Roman" w:hAnsi="Times New Roman"/>
          <w:sz w:val="24"/>
          <w:szCs w:val="24"/>
        </w:rPr>
        <w:t xml:space="preserve">  </w:t>
      </w:r>
    </w:p>
    <w:p w14:paraId="302858C7" w14:textId="50BAE7B4" w:rsidR="00A06387" w:rsidRPr="00B8368A" w:rsidRDefault="00A06387" w:rsidP="00B8368A">
      <w:pPr>
        <w:pStyle w:val="NoSpacing"/>
        <w:ind w:left="720"/>
        <w:rPr>
          <w:rFonts w:ascii="Times New Roman" w:hAnsi="Times New Roman"/>
          <w:b/>
          <w:bCs/>
          <w:sz w:val="24"/>
          <w:szCs w:val="24"/>
        </w:rPr>
      </w:pPr>
      <w:r w:rsidRPr="00B8368A">
        <w:rPr>
          <w:rFonts w:ascii="Times New Roman" w:hAnsi="Times New Roman"/>
          <w:bCs/>
          <w:sz w:val="24"/>
          <w:szCs w:val="24"/>
        </w:rPr>
        <w:t>An example</w:t>
      </w:r>
      <w:r w:rsidRPr="00B8368A">
        <w:rPr>
          <w:rFonts w:ascii="Times New Roman" w:hAnsi="Times New Roman"/>
          <w:sz w:val="24"/>
          <w:szCs w:val="24"/>
        </w:rPr>
        <w:t xml:space="preserve"> </w:t>
      </w:r>
      <w:r w:rsidRPr="00B8368A">
        <w:rPr>
          <w:rFonts w:ascii="Times New Roman" w:hAnsi="Times New Roman"/>
          <w:bCs/>
          <w:sz w:val="24"/>
          <w:szCs w:val="24"/>
        </w:rPr>
        <w:t xml:space="preserve">on an item that would be covered – public comments on proposed tax levy.  See the U.S. Supreme Court’s decision in Pickering v. Board of Education, 391 U.S. 563 (1968) (establishing the so-called “balancing test”), where the Court reversed the termination of a teacher who sent letter to local newspaper about proposed school board tax levy: </w:t>
      </w:r>
      <w:r w:rsidRPr="00B8368A">
        <w:rPr>
          <w:rStyle w:val="headertext"/>
          <w:rFonts w:ascii="Times New Roman" w:hAnsi="Times New Roman"/>
          <w:bCs/>
          <w:sz w:val="24"/>
          <w:szCs w:val="24"/>
        </w:rPr>
        <w:t xml:space="preserve">“Appellant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w:t>
      </w:r>
      <w:r w:rsidRPr="00B8368A">
        <w:rPr>
          <w:rStyle w:val="headertext"/>
          <w:rFonts w:ascii="Times New Roman" w:hAnsi="Times New Roman"/>
          <w:bCs/>
          <w:sz w:val="24"/>
          <w:szCs w:val="24"/>
        </w:rPr>
        <w:lastRenderedPageBreak/>
        <w:t xml:space="preserve">schools had handled past proposals to raise new revenue for the schools. *** </w:t>
      </w:r>
      <w:r w:rsidRPr="00B8368A">
        <w:rPr>
          <w:rFonts w:ascii="Times New Roman" w:hAnsi="Times New Roman"/>
          <w:bCs/>
          <w:sz w:val="24"/>
          <w:szCs w:val="24"/>
        </w:rPr>
        <w:t xml:space="preserve">In these circumstances, we conclude that the interest of the school administration in limiting teachers' opportunities to contribute to public debate is not significantly greater than its interest in limiting a similar contribution by any member of the </w:t>
      </w:r>
      <w:proofErr w:type="gramStart"/>
      <w:r w:rsidRPr="00B8368A">
        <w:rPr>
          <w:rFonts w:ascii="Times New Roman" w:hAnsi="Times New Roman"/>
          <w:bCs/>
          <w:sz w:val="24"/>
          <w:szCs w:val="24"/>
        </w:rPr>
        <w:t>general public</w:t>
      </w:r>
      <w:proofErr w:type="gramEnd"/>
      <w:r w:rsidRPr="00B8368A">
        <w:rPr>
          <w:rFonts w:ascii="Times New Roman" w:hAnsi="Times New Roman"/>
          <w:bCs/>
          <w:sz w:val="24"/>
          <w:szCs w:val="24"/>
        </w:rPr>
        <w:t xml:space="preserve">. </w:t>
      </w:r>
      <w:hyperlink r:id="rId2654" w:history="1">
        <w:r w:rsidRPr="00B8368A">
          <w:rPr>
            <w:rStyle w:val="Hyperlink"/>
            <w:rFonts w:ascii="Times New Roman" w:hAnsi="Times New Roman"/>
            <w:bCs/>
            <w:sz w:val="24"/>
            <w:szCs w:val="24"/>
          </w:rPr>
          <w:t>https://supreme.justia.com/cases/federal/us/391/563</w:t>
        </w:r>
      </w:hyperlink>
      <w:r w:rsidRPr="00B8368A">
        <w:rPr>
          <w:rFonts w:ascii="Times New Roman" w:hAnsi="Times New Roman"/>
          <w:bCs/>
          <w:sz w:val="24"/>
          <w:szCs w:val="24"/>
        </w:rPr>
        <w:t xml:space="preserve"> </w:t>
      </w:r>
    </w:p>
    <w:p w14:paraId="4CB0E108" w14:textId="77777777" w:rsidR="001D2278" w:rsidRDefault="001D2278" w:rsidP="00F326E5">
      <w:pPr>
        <w:pStyle w:val="NoSpacing"/>
        <w:rPr>
          <w:rFonts w:ascii="Arial Black" w:hAnsi="Arial Black"/>
          <w:sz w:val="24"/>
          <w:szCs w:val="24"/>
        </w:rPr>
      </w:pPr>
    </w:p>
    <w:p w14:paraId="2F434A7E" w14:textId="77777777" w:rsidR="001D2278" w:rsidRDefault="001D2278" w:rsidP="00F326E5">
      <w:pPr>
        <w:pStyle w:val="NoSpacing"/>
        <w:rPr>
          <w:rFonts w:ascii="Arial Black" w:hAnsi="Arial Black"/>
          <w:sz w:val="24"/>
          <w:szCs w:val="24"/>
        </w:rPr>
      </w:pPr>
    </w:p>
    <w:p w14:paraId="005EB006" w14:textId="38B5BDE8" w:rsidR="00A06387" w:rsidRDefault="00A06387" w:rsidP="00F326E5">
      <w:pPr>
        <w:pStyle w:val="NoSpacing"/>
        <w:rPr>
          <w:rFonts w:ascii="Arial Black" w:hAnsi="Arial Black"/>
          <w:sz w:val="24"/>
          <w:szCs w:val="24"/>
        </w:rPr>
      </w:pPr>
      <w:r>
        <w:rPr>
          <w:rFonts w:ascii="Arial Black" w:hAnsi="Arial Black"/>
          <w:sz w:val="24"/>
          <w:szCs w:val="24"/>
        </w:rPr>
        <w:t>16-16</w:t>
      </w:r>
    </w:p>
    <w:p w14:paraId="5F85AF12" w14:textId="269A1EC8" w:rsidR="00A06387" w:rsidRDefault="00A06387" w:rsidP="00F326E5">
      <w:pPr>
        <w:pStyle w:val="NoSpacing"/>
        <w:rPr>
          <w:rFonts w:ascii="Arial Black" w:hAnsi="Arial Black"/>
          <w:sz w:val="24"/>
          <w:szCs w:val="24"/>
        </w:rPr>
      </w:pPr>
    </w:p>
    <w:p w14:paraId="4A2D7DE9" w14:textId="77777777" w:rsidR="00A06387" w:rsidRPr="006B193B" w:rsidRDefault="00A06387" w:rsidP="00A06387">
      <w:pPr>
        <w:pStyle w:val="NoSpacing"/>
        <w:rPr>
          <w:rFonts w:ascii="Arial Black" w:hAnsi="Arial Black"/>
          <w:sz w:val="28"/>
          <w:szCs w:val="28"/>
        </w:rPr>
      </w:pPr>
      <w:r>
        <w:rPr>
          <w:rFonts w:ascii="Arial Black" w:hAnsi="Arial Black"/>
          <w:sz w:val="28"/>
          <w:szCs w:val="28"/>
        </w:rPr>
        <w:t>TX: “LAST CHANCE AGREEMENT” - BREACHED WITHIN TWO YEARS, SICK LEAVE ABUSE – FIRED – LAWSUIT DISMISSED</w:t>
      </w:r>
    </w:p>
    <w:p w14:paraId="4E441EE0" w14:textId="77777777" w:rsidR="00A06387" w:rsidRDefault="00A06387" w:rsidP="00A06387">
      <w:pPr>
        <w:pStyle w:val="NoSpacing"/>
      </w:pPr>
    </w:p>
    <w:p w14:paraId="26614467" w14:textId="77777777" w:rsidR="00A06387" w:rsidRPr="00B8368A" w:rsidRDefault="00A06387" w:rsidP="00A06387">
      <w:pPr>
        <w:pStyle w:val="NoSpacing"/>
        <w:rPr>
          <w:rFonts w:ascii="Times New Roman" w:hAnsi="Times New Roman"/>
          <w:b/>
          <w:bCs/>
          <w:sz w:val="24"/>
          <w:szCs w:val="24"/>
        </w:rPr>
      </w:pPr>
      <w:r w:rsidRPr="00B8368A">
        <w:rPr>
          <w:rFonts w:ascii="Times New Roman" w:hAnsi="Times New Roman"/>
          <w:bCs/>
          <w:sz w:val="24"/>
          <w:szCs w:val="24"/>
        </w:rPr>
        <w:t xml:space="preserve">On Oct. 3, 2019, in </w:t>
      </w:r>
      <w:r w:rsidRPr="00B8368A">
        <w:rPr>
          <w:rFonts w:ascii="Times New Roman" w:hAnsi="Times New Roman"/>
          <w:bCs/>
          <w:sz w:val="24"/>
          <w:szCs w:val="24"/>
          <w:u w:val="single"/>
        </w:rPr>
        <w:t>Michael Scott Nix v. City of Beaumont, Texas</w:t>
      </w:r>
      <w:r w:rsidRPr="00B8368A">
        <w:rPr>
          <w:rFonts w:ascii="Times New Roman" w:hAnsi="Times New Roman"/>
          <w:bCs/>
          <w:sz w:val="24"/>
          <w:szCs w:val="24"/>
        </w:rPr>
        <w:t xml:space="preserve">, the Court of Appeals, Ninth District of Texas ay Beaumont, the Court held (3 to 0) that trial court properly dismissed his lawsuit seeking a declaration that the City violated his rights when he was “indefinitely suspended” [terminated] on Sept. 13, 2019 for sick leave abuse during the two-year period following the Last Chance Agreement of April 2, 2015 where he served a 90-day suspension for prior disciplinary conduct. </w:t>
      </w:r>
    </w:p>
    <w:p w14:paraId="7C89F2C3" w14:textId="77777777" w:rsidR="00A06387" w:rsidRPr="00B8368A" w:rsidRDefault="00A06387" w:rsidP="00A06387">
      <w:pPr>
        <w:pStyle w:val="NoSpacing"/>
        <w:rPr>
          <w:rFonts w:ascii="Times New Roman" w:hAnsi="Times New Roman"/>
          <w:b/>
          <w:bCs/>
          <w:sz w:val="24"/>
          <w:szCs w:val="24"/>
        </w:rPr>
      </w:pPr>
    </w:p>
    <w:p w14:paraId="533330C1" w14:textId="77777777" w:rsidR="00A06387" w:rsidRPr="00B8368A" w:rsidRDefault="00A06387" w:rsidP="00A06387">
      <w:pPr>
        <w:pStyle w:val="NoSpacing"/>
        <w:ind w:left="720"/>
        <w:rPr>
          <w:rFonts w:ascii="Times New Roman" w:hAnsi="Times New Roman"/>
          <w:b/>
          <w:bCs/>
          <w:sz w:val="24"/>
          <w:szCs w:val="24"/>
        </w:rPr>
      </w:pPr>
      <w:r w:rsidRPr="00B8368A">
        <w:rPr>
          <w:rFonts w:ascii="Times New Roman" w:hAnsi="Times New Roman"/>
          <w:bCs/>
          <w:sz w:val="24"/>
          <w:szCs w:val="24"/>
        </w:rPr>
        <w:t xml:space="preserve">“Importantly, Nix agreed in writing to voluntarily accept his 2015 disciplinary suspension, with no right to appeal the terms and conditions of the Agreement or the Chief’s decision to indefinitely suspend his employment in 2015. See Tex. Loc. Gov’t Code Ann. § 143.052(g). When Nix accepted the Agreement in 2015, he had the opportunity to refuse the Chief’s offer and appeal his suspension to the [Civil Service] Commission; however, Nix agreed to waive his right to appeal, including the right to appeal the Chief’s 2017 decision determining that Nix had violated the Agreement and reinstating his indefinite suspension.” </w:t>
      </w:r>
      <w:hyperlink r:id="rId2655" w:history="1">
        <w:r w:rsidRPr="00B8368A">
          <w:rPr>
            <w:rStyle w:val="Hyperlink"/>
            <w:rFonts w:ascii="Times New Roman" w:hAnsi="Times New Roman"/>
            <w:bCs/>
            <w:sz w:val="24"/>
            <w:szCs w:val="24"/>
          </w:rPr>
          <w:t>https://cases.justia.com/texas/ninth-court-of-appeals/2019-09-18-00407-cv-0.pdf?ts=1570180546</w:t>
        </w:r>
      </w:hyperlink>
      <w:r w:rsidRPr="00B8368A">
        <w:rPr>
          <w:rFonts w:ascii="Times New Roman" w:hAnsi="Times New Roman"/>
          <w:bCs/>
          <w:sz w:val="24"/>
          <w:szCs w:val="24"/>
        </w:rPr>
        <w:t xml:space="preserve"> </w:t>
      </w:r>
    </w:p>
    <w:p w14:paraId="78305F63" w14:textId="77777777" w:rsidR="00B8368A" w:rsidRDefault="00B8368A" w:rsidP="00A06387">
      <w:pPr>
        <w:pStyle w:val="NoSpacing"/>
        <w:rPr>
          <w:rFonts w:ascii="Times New Roman" w:hAnsi="Times New Roman"/>
          <w:b/>
          <w:bCs/>
          <w:sz w:val="24"/>
          <w:szCs w:val="24"/>
        </w:rPr>
      </w:pPr>
    </w:p>
    <w:p w14:paraId="38D1D096" w14:textId="164BE22C" w:rsidR="00A06387" w:rsidRPr="00B8368A" w:rsidRDefault="00A06387" w:rsidP="00A06387">
      <w:pPr>
        <w:pStyle w:val="NoSpacing"/>
        <w:rPr>
          <w:rFonts w:ascii="Times New Roman" w:hAnsi="Times New Roman"/>
          <w:b/>
          <w:bCs/>
          <w:sz w:val="24"/>
          <w:szCs w:val="24"/>
        </w:rPr>
      </w:pPr>
      <w:r w:rsidRPr="00B8368A">
        <w:rPr>
          <w:rFonts w:ascii="Times New Roman" w:hAnsi="Times New Roman"/>
          <w:b/>
          <w:bCs/>
          <w:sz w:val="24"/>
          <w:szCs w:val="24"/>
        </w:rPr>
        <w:t xml:space="preserve">Legal Lessons Learned: Last Chance Agreements are an effective method to give a firefighter “one last chance.”  </w:t>
      </w:r>
    </w:p>
    <w:p w14:paraId="6DE23726" w14:textId="77777777" w:rsidR="00A06387" w:rsidRDefault="00A06387" w:rsidP="00A06387">
      <w:pPr>
        <w:pStyle w:val="NoSpacing"/>
        <w:rPr>
          <w:sz w:val="35"/>
          <w:szCs w:val="35"/>
        </w:rPr>
      </w:pPr>
    </w:p>
    <w:p w14:paraId="79C5C1C0" w14:textId="72C85C03" w:rsidR="0005503D" w:rsidRPr="00A67C57" w:rsidRDefault="0005503D" w:rsidP="0005503D">
      <w:pPr>
        <w:pStyle w:val="NoSpacing"/>
        <w:rPr>
          <w:rFonts w:ascii="Times New Roman" w:hAnsi="Times New Roman"/>
          <w:sz w:val="24"/>
          <w:szCs w:val="24"/>
        </w:rPr>
      </w:pPr>
    </w:p>
    <w:p w14:paraId="019B9EF3" w14:textId="77777777" w:rsidR="00A06387" w:rsidRDefault="00A06387" w:rsidP="00F326E5">
      <w:pPr>
        <w:pStyle w:val="NoSpacing"/>
        <w:rPr>
          <w:rFonts w:ascii="Arial Black" w:hAnsi="Arial Black"/>
          <w:sz w:val="24"/>
          <w:szCs w:val="24"/>
        </w:rPr>
      </w:pPr>
    </w:p>
    <w:p w14:paraId="77F7ADFA" w14:textId="77777777" w:rsidR="00A06387" w:rsidRDefault="00A06387" w:rsidP="00F326E5">
      <w:pPr>
        <w:pStyle w:val="NoSpacing"/>
        <w:rPr>
          <w:rFonts w:ascii="Arial Black" w:hAnsi="Arial Black"/>
          <w:sz w:val="24"/>
          <w:szCs w:val="24"/>
        </w:rPr>
      </w:pPr>
    </w:p>
    <w:p w14:paraId="60CC1237" w14:textId="4B93963E" w:rsidR="00F326E5" w:rsidRDefault="000C4DF5" w:rsidP="00F326E5">
      <w:pPr>
        <w:pStyle w:val="NoSpacing"/>
        <w:rPr>
          <w:b/>
          <w:sz w:val="24"/>
          <w:szCs w:val="24"/>
        </w:rPr>
      </w:pPr>
      <w:r>
        <w:rPr>
          <w:rFonts w:ascii="Arial Black" w:hAnsi="Arial Black"/>
          <w:sz w:val="24"/>
          <w:szCs w:val="24"/>
        </w:rPr>
        <w:t>16-1</w:t>
      </w:r>
      <w:r w:rsidR="00F4486C">
        <w:rPr>
          <w:rFonts w:ascii="Arial Black" w:hAnsi="Arial Black"/>
          <w:sz w:val="24"/>
          <w:szCs w:val="24"/>
        </w:rPr>
        <w:t>5</w:t>
      </w:r>
    </w:p>
    <w:p w14:paraId="7E5A0305" w14:textId="77777777" w:rsidR="00527EDF" w:rsidRDefault="00527EDF" w:rsidP="00D161A5">
      <w:pPr>
        <w:pStyle w:val="NoSpacing"/>
        <w:rPr>
          <w:sz w:val="24"/>
          <w:szCs w:val="24"/>
        </w:rPr>
      </w:pPr>
      <w:bookmarkStart w:id="610" w:name="_Hlk6756675"/>
    </w:p>
    <w:p w14:paraId="07BB351A" w14:textId="14D114D7" w:rsidR="00527EDF" w:rsidRPr="00AD1DCC" w:rsidRDefault="00527EDF" w:rsidP="00527EDF">
      <w:pPr>
        <w:pStyle w:val="NoSpacing"/>
        <w:rPr>
          <w:rFonts w:ascii="Arial Black" w:hAnsi="Arial Black"/>
          <w:sz w:val="28"/>
          <w:szCs w:val="28"/>
        </w:rPr>
      </w:pPr>
      <w:bookmarkStart w:id="611" w:name="_Hlk10127684"/>
      <w:r w:rsidRPr="00AD1DCC">
        <w:rPr>
          <w:rFonts w:ascii="Arial Black" w:hAnsi="Arial Black"/>
          <w:sz w:val="28"/>
          <w:szCs w:val="28"/>
        </w:rPr>
        <w:t>IL</w:t>
      </w:r>
      <w:r>
        <w:rPr>
          <w:rFonts w:ascii="Arial Black" w:hAnsi="Arial Black"/>
          <w:sz w:val="28"/>
          <w:szCs w:val="28"/>
        </w:rPr>
        <w:t xml:space="preserve">:  RESIDENCY – FF FIRED – PAST THREE YEARS DID NOT RESIDE IN VILLAGE – MAIL DROP LOCATION IS NOT RESIDENCY </w:t>
      </w:r>
    </w:p>
    <w:p w14:paraId="33F0E9BB" w14:textId="77777777" w:rsidR="00527EDF" w:rsidRDefault="00527EDF" w:rsidP="00527EDF">
      <w:pPr>
        <w:pStyle w:val="NoSpacing"/>
        <w:rPr>
          <w:sz w:val="30"/>
          <w:szCs w:val="30"/>
        </w:rPr>
      </w:pPr>
    </w:p>
    <w:p w14:paraId="3C43891E" w14:textId="77777777" w:rsidR="00527EDF" w:rsidRDefault="00527EDF" w:rsidP="00527EDF">
      <w:pPr>
        <w:pStyle w:val="NoSpacing"/>
        <w:rPr>
          <w:rFonts w:ascii="Times New Roman" w:hAnsi="Times New Roman"/>
          <w:sz w:val="24"/>
          <w:szCs w:val="24"/>
        </w:rPr>
      </w:pPr>
      <w:r w:rsidRPr="00AD1DCC">
        <w:rPr>
          <w:rFonts w:ascii="Times New Roman" w:hAnsi="Times New Roman"/>
          <w:sz w:val="24"/>
          <w:szCs w:val="24"/>
        </w:rPr>
        <w:t>On</w:t>
      </w:r>
      <w:r>
        <w:rPr>
          <w:rFonts w:ascii="Times New Roman" w:hAnsi="Times New Roman"/>
          <w:sz w:val="24"/>
          <w:szCs w:val="24"/>
        </w:rPr>
        <w:t xml:space="preserve"> May 29, 2019, in </w:t>
      </w:r>
      <w:r w:rsidRPr="00AD1DCC">
        <w:rPr>
          <w:rFonts w:ascii="Times New Roman" w:hAnsi="Times New Roman"/>
          <w:sz w:val="24"/>
          <w:szCs w:val="24"/>
          <w:u w:val="single"/>
        </w:rPr>
        <w:t>John Cannici v. Village of Melrose Park</w:t>
      </w:r>
      <w:r>
        <w:rPr>
          <w:rFonts w:ascii="Times New Roman" w:hAnsi="Times New Roman"/>
          <w:sz w:val="24"/>
          <w:szCs w:val="24"/>
        </w:rPr>
        <w:t xml:space="preserve">, the Appellate Court of Illinois, First District, </w:t>
      </w:r>
      <w:r w:rsidRPr="00AD1DCC">
        <w:rPr>
          <w:rFonts w:ascii="Times New Roman" w:hAnsi="Times New Roman"/>
          <w:sz w:val="24"/>
          <w:szCs w:val="24"/>
        </w:rPr>
        <w:t>2019 IL App (1st) 181422-U</w:t>
      </w:r>
      <w:r>
        <w:rPr>
          <w:rFonts w:ascii="Times New Roman" w:hAnsi="Times New Roman"/>
          <w:sz w:val="24"/>
          <w:szCs w:val="24"/>
        </w:rPr>
        <w:t xml:space="preserve">,  held (3 to 0) that the fire fighter was properly terminated for violating residency ordinance. </w:t>
      </w:r>
    </w:p>
    <w:p w14:paraId="05F02A1B" w14:textId="77777777" w:rsidR="00527EDF" w:rsidRPr="00AD1DCC" w:rsidRDefault="00527EDF" w:rsidP="00527EDF">
      <w:pPr>
        <w:pStyle w:val="NoSpacing"/>
        <w:rPr>
          <w:rFonts w:ascii="Times New Roman" w:hAnsi="Times New Roman"/>
          <w:sz w:val="24"/>
          <w:szCs w:val="24"/>
        </w:rPr>
      </w:pPr>
    </w:p>
    <w:p w14:paraId="698BF7FE"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AD1DCC">
        <w:rPr>
          <w:rFonts w:ascii="Times New Roman" w:hAnsi="Times New Roman"/>
          <w:sz w:val="24"/>
          <w:szCs w:val="24"/>
        </w:rPr>
        <w:t xml:space="preserve">The Board did not indicate that it found fault with Cannici’s earlier arrangement where he lived in the </w:t>
      </w:r>
      <w:r>
        <w:rPr>
          <w:rFonts w:ascii="Times New Roman" w:hAnsi="Times New Roman"/>
          <w:sz w:val="24"/>
          <w:szCs w:val="24"/>
        </w:rPr>
        <w:t xml:space="preserve">[Melrose Park] </w:t>
      </w:r>
      <w:r w:rsidRPr="00AD1DCC">
        <w:rPr>
          <w:rFonts w:ascii="Times New Roman" w:hAnsi="Times New Roman"/>
          <w:sz w:val="24"/>
          <w:szCs w:val="24"/>
        </w:rPr>
        <w:t xml:space="preserve">Norwood house for a majority of the week and would spend his weekends at the Orland Park house. Although this arrangement included physical absence from the Norwood house for </w:t>
      </w:r>
      <w:r>
        <w:rPr>
          <w:rFonts w:ascii="Times New Roman" w:hAnsi="Times New Roman"/>
          <w:sz w:val="24"/>
          <w:szCs w:val="24"/>
        </w:rPr>
        <w:t>‘</w:t>
      </w:r>
      <w:r w:rsidRPr="00AD1DCC">
        <w:rPr>
          <w:rFonts w:ascii="Times New Roman" w:hAnsi="Times New Roman"/>
          <w:sz w:val="24"/>
          <w:szCs w:val="24"/>
        </w:rPr>
        <w:t>some</w:t>
      </w:r>
      <w:r>
        <w:rPr>
          <w:rFonts w:ascii="Times New Roman" w:hAnsi="Times New Roman"/>
          <w:sz w:val="24"/>
          <w:szCs w:val="24"/>
        </w:rPr>
        <w:t>’</w:t>
      </w:r>
      <w:r w:rsidRPr="00AD1DCC">
        <w:rPr>
          <w:rFonts w:ascii="Times New Roman" w:hAnsi="Times New Roman"/>
          <w:sz w:val="24"/>
          <w:szCs w:val="24"/>
        </w:rPr>
        <w:t xml:space="preserve"> of the time, this was not a violation of the residency ordinance as he still lived in the Norwood house for </w:t>
      </w:r>
      <w:proofErr w:type="gramStart"/>
      <w:r w:rsidRPr="00AD1DCC">
        <w:rPr>
          <w:rFonts w:ascii="Times New Roman" w:hAnsi="Times New Roman"/>
          <w:sz w:val="24"/>
          <w:szCs w:val="24"/>
        </w:rPr>
        <w:t>the majority of</w:t>
      </w:r>
      <w:proofErr w:type="gramEnd"/>
      <w:r w:rsidRPr="00AD1DCC">
        <w:rPr>
          <w:rFonts w:ascii="Times New Roman" w:hAnsi="Times New Roman"/>
          <w:sz w:val="24"/>
          <w:szCs w:val="24"/>
        </w:rPr>
        <w:t xml:space="preserve"> his time and treated it as his primary home or abode. However, when he leased the </w:t>
      </w:r>
      <w:r w:rsidRPr="00AD1DCC">
        <w:rPr>
          <w:rFonts w:ascii="Times New Roman" w:hAnsi="Times New Roman"/>
          <w:sz w:val="24"/>
          <w:szCs w:val="24"/>
        </w:rPr>
        <w:lastRenderedPageBreak/>
        <w:t xml:space="preserve">Norwood house to the </w:t>
      </w:r>
      <w:proofErr w:type="spellStart"/>
      <w:r w:rsidRPr="00AD1DCC">
        <w:rPr>
          <w:rFonts w:ascii="Times New Roman" w:hAnsi="Times New Roman"/>
          <w:sz w:val="24"/>
          <w:szCs w:val="24"/>
        </w:rPr>
        <w:t>Cichons</w:t>
      </w:r>
      <w:proofErr w:type="spellEnd"/>
      <w:r w:rsidRPr="00AD1DCC">
        <w:rPr>
          <w:rFonts w:ascii="Times New Roman" w:hAnsi="Times New Roman"/>
          <w:sz w:val="24"/>
          <w:szCs w:val="24"/>
        </w:rPr>
        <w:t xml:space="preserve">, he no longer used the Norwood house as his primary home and spent practically no time in the </w:t>
      </w:r>
    </w:p>
    <w:p w14:paraId="39B5AF3A" w14:textId="77777777" w:rsidR="00527EDF" w:rsidRDefault="00527EDF" w:rsidP="00527EDF">
      <w:pPr>
        <w:pStyle w:val="NoSpacing"/>
        <w:ind w:left="720"/>
        <w:rPr>
          <w:rFonts w:ascii="Times New Roman" w:hAnsi="Times New Roman"/>
          <w:sz w:val="24"/>
          <w:szCs w:val="24"/>
        </w:rPr>
      </w:pPr>
      <w:r w:rsidRPr="00AD1DCC">
        <w:rPr>
          <w:rFonts w:ascii="Times New Roman" w:hAnsi="Times New Roman"/>
          <w:sz w:val="24"/>
          <w:szCs w:val="24"/>
        </w:rPr>
        <w:t>Norwood house, except the time spent picking up his mail.</w:t>
      </w:r>
      <w:r>
        <w:rPr>
          <w:rFonts w:ascii="Times New Roman" w:hAnsi="Times New Roman"/>
          <w:sz w:val="24"/>
          <w:szCs w:val="24"/>
        </w:rPr>
        <w:t xml:space="preserve">” </w:t>
      </w:r>
      <w:hyperlink r:id="rId2656" w:history="1">
        <w:r w:rsidRPr="00AD1DCC">
          <w:rPr>
            <w:rStyle w:val="Hyperlink"/>
            <w:rFonts w:ascii="Times New Roman" w:hAnsi="Times New Roman"/>
            <w:sz w:val="24"/>
            <w:szCs w:val="24"/>
          </w:rPr>
          <w:t>http://www.illinoiscourts.gov/R23_Orders/AppellateCourt/2019/1stDistrict/1181422_R23.pdf</w:t>
        </w:r>
      </w:hyperlink>
      <w:r w:rsidRPr="00AD1DCC">
        <w:rPr>
          <w:rFonts w:ascii="Times New Roman" w:hAnsi="Times New Roman"/>
          <w:sz w:val="24"/>
          <w:szCs w:val="24"/>
        </w:rPr>
        <w:t xml:space="preserve"> </w:t>
      </w:r>
    </w:p>
    <w:p w14:paraId="0A1029C0" w14:textId="77777777" w:rsidR="00527EDF" w:rsidRDefault="00527EDF" w:rsidP="00527EDF">
      <w:pPr>
        <w:pStyle w:val="NoSpacing"/>
        <w:ind w:left="720"/>
        <w:rPr>
          <w:rFonts w:ascii="Times New Roman" w:hAnsi="Times New Roman"/>
          <w:sz w:val="24"/>
          <w:szCs w:val="24"/>
        </w:rPr>
      </w:pPr>
    </w:p>
    <w:p w14:paraId="55EB236B" w14:textId="77777777" w:rsidR="00527EDF" w:rsidRDefault="00527EDF" w:rsidP="00527EDF">
      <w:pPr>
        <w:pStyle w:val="Heading1"/>
        <w:rPr>
          <w:sz w:val="24"/>
          <w:szCs w:val="24"/>
        </w:rPr>
      </w:pPr>
      <w:bookmarkStart w:id="612" w:name="_Hlk10127722"/>
      <w:bookmarkEnd w:id="611"/>
      <w:r w:rsidRPr="004E23C9">
        <w:rPr>
          <w:sz w:val="24"/>
          <w:szCs w:val="24"/>
        </w:rPr>
        <w:t xml:space="preserve">Legal Lessons Learned:  Some states, such as Ohio, have enacted statutes that have set aside municipal residency requirements. </w:t>
      </w:r>
    </w:p>
    <w:p w14:paraId="38BAA28D" w14:textId="77777777" w:rsidR="00527EDF" w:rsidRDefault="00527EDF" w:rsidP="00527EDF">
      <w:pPr>
        <w:pStyle w:val="Heading1"/>
        <w:ind w:left="720"/>
        <w:rPr>
          <w:b w:val="0"/>
          <w:sz w:val="24"/>
          <w:szCs w:val="24"/>
        </w:rPr>
      </w:pPr>
      <w:r w:rsidRPr="004E23C9">
        <w:rPr>
          <w:b w:val="0"/>
          <w:sz w:val="24"/>
          <w:szCs w:val="24"/>
        </w:rPr>
        <w:t xml:space="preserve">See article, “Ohio Supreme Court rules against city residency requirements,” June 10, 2009, </w:t>
      </w:r>
      <w:hyperlink r:id="rId2657" w:history="1">
        <w:r w:rsidRPr="00D10EF5">
          <w:rPr>
            <w:rStyle w:val="Hyperlink"/>
            <w:b w:val="0"/>
            <w:sz w:val="24"/>
            <w:szCs w:val="24"/>
          </w:rPr>
          <w:t>https://www.cleveland.com/cityhall/2009/06/ohio_supreme_court_deals_a_leg.html</w:t>
        </w:r>
      </w:hyperlink>
      <w:r w:rsidRPr="004E23C9">
        <w:rPr>
          <w:b w:val="0"/>
          <w:sz w:val="24"/>
          <w:szCs w:val="24"/>
        </w:rPr>
        <w:t xml:space="preserve"> </w:t>
      </w:r>
    </w:p>
    <w:p w14:paraId="6AFADD87" w14:textId="77777777" w:rsidR="00527EDF" w:rsidRDefault="00527EDF" w:rsidP="00527EDF">
      <w:pPr>
        <w:pStyle w:val="Heading1"/>
        <w:ind w:firstLine="720"/>
        <w:rPr>
          <w:b w:val="0"/>
          <w:sz w:val="24"/>
          <w:szCs w:val="24"/>
        </w:rPr>
      </w:pPr>
      <w:r>
        <w:rPr>
          <w:b w:val="0"/>
          <w:sz w:val="24"/>
          <w:szCs w:val="24"/>
        </w:rPr>
        <w:t>Ohio Supreme Court o</w:t>
      </w:r>
      <w:r w:rsidRPr="004E23C9">
        <w:rPr>
          <w:b w:val="0"/>
          <w:sz w:val="24"/>
          <w:szCs w:val="24"/>
        </w:rPr>
        <w:t xml:space="preserve">pinion: </w:t>
      </w:r>
      <w:hyperlink r:id="rId2658" w:tgtFrame="_blank" w:tooltip="Link opens new window" w:history="1">
        <w:r w:rsidRPr="004E23C9">
          <w:rPr>
            <w:rStyle w:val="Hyperlink"/>
            <w:b w:val="0"/>
            <w:sz w:val="24"/>
            <w:szCs w:val="24"/>
          </w:rPr>
          <w:t>http://www.supremecourt.ohio.gov/rod/docs/pdf/0/2009/2009-Ohio-2597.pdf</w:t>
        </w:r>
      </w:hyperlink>
      <w:r w:rsidRPr="004E23C9">
        <w:rPr>
          <w:b w:val="0"/>
          <w:sz w:val="24"/>
          <w:szCs w:val="24"/>
        </w:rPr>
        <w:t xml:space="preserve"> </w:t>
      </w:r>
    </w:p>
    <w:p w14:paraId="351169DF" w14:textId="77777777" w:rsidR="00527EDF" w:rsidRDefault="00527EDF" w:rsidP="00527EDF">
      <w:pPr>
        <w:pStyle w:val="Heading1"/>
        <w:ind w:left="1440"/>
        <w:rPr>
          <w:b w:val="0"/>
          <w:sz w:val="24"/>
          <w:szCs w:val="24"/>
        </w:rPr>
      </w:pPr>
      <w:r>
        <w:rPr>
          <w:b w:val="0"/>
          <w:sz w:val="24"/>
          <w:szCs w:val="24"/>
        </w:rPr>
        <w:t>“</w:t>
      </w:r>
      <w:r w:rsidRPr="00C35227">
        <w:rPr>
          <w:b w:val="0"/>
          <w:sz w:val="24"/>
          <w:szCs w:val="24"/>
        </w:rPr>
        <w:t xml:space="preserve">R.C. 9.481(B)(1) states that </w:t>
      </w:r>
      <w:r>
        <w:rPr>
          <w:b w:val="0"/>
          <w:sz w:val="24"/>
          <w:szCs w:val="24"/>
        </w:rPr>
        <w:t>‘</w:t>
      </w:r>
      <w:r w:rsidRPr="00C35227">
        <w:rPr>
          <w:b w:val="0"/>
          <w:sz w:val="24"/>
          <w:szCs w:val="24"/>
        </w:rPr>
        <w:t xml:space="preserve">no political subdivision shall require any of its employees, as a condition of employment, to reside in any specific area of the state.” The issue in this case is whether R.C. 9.481 was enacted pursuant to the authority granted to the General Assembly by Section 34, Article II of the Ohio Constitution. If it </w:t>
      </w:r>
      <w:proofErr w:type="gramStart"/>
      <w:r w:rsidRPr="00C35227">
        <w:rPr>
          <w:b w:val="0"/>
          <w:sz w:val="24"/>
          <w:szCs w:val="24"/>
        </w:rPr>
        <w:t>was so</w:t>
      </w:r>
      <w:proofErr w:type="gramEnd"/>
      <w:r w:rsidRPr="00C35227">
        <w:rPr>
          <w:b w:val="0"/>
          <w:sz w:val="24"/>
          <w:szCs w:val="24"/>
        </w:rPr>
        <w:t xml:space="preserve"> enacted, its provisions override any conflicting law of a political subdivision, including residency requirements imposed by municipalities pursuant to the Home Rule Amendment, Section 3, Article XVIII of the Ohio Constitution. We hold that R.C. 9.481 was enacted pursuant to the authority granted by Section 34 and that the local laws before us in this case therefore cannot stand.”</w:t>
      </w:r>
    </w:p>
    <w:p w14:paraId="78176427" w14:textId="77777777" w:rsidR="00527EDF" w:rsidRPr="004E23C9" w:rsidRDefault="00527EDF" w:rsidP="00527EDF">
      <w:pPr>
        <w:pStyle w:val="Heading1"/>
        <w:ind w:left="720"/>
        <w:rPr>
          <w:b w:val="0"/>
          <w:sz w:val="24"/>
          <w:szCs w:val="24"/>
        </w:rPr>
      </w:pPr>
      <w:r>
        <w:rPr>
          <w:b w:val="0"/>
          <w:sz w:val="24"/>
          <w:szCs w:val="24"/>
        </w:rPr>
        <w:t xml:space="preserve">Ohio communities can adopt ordinance requiring firefighters and police officers to live in the county, or an adjacent county. </w:t>
      </w:r>
    </w:p>
    <w:p w14:paraId="346A2BB2" w14:textId="77777777" w:rsidR="00527EDF" w:rsidRPr="004E23C9" w:rsidRDefault="00527EDF" w:rsidP="00527EDF">
      <w:pPr>
        <w:pStyle w:val="Heading2"/>
        <w:ind w:firstLine="720"/>
        <w:rPr>
          <w:rFonts w:ascii="Times New Roman" w:hAnsi="Times New Roman"/>
          <w:sz w:val="24"/>
          <w:szCs w:val="24"/>
        </w:rPr>
      </w:pPr>
      <w:r w:rsidRPr="004E23C9">
        <w:rPr>
          <w:rFonts w:ascii="Times New Roman" w:hAnsi="Times New Roman"/>
          <w:sz w:val="24"/>
          <w:szCs w:val="24"/>
        </w:rPr>
        <w:t>9.481 Residency requirements prohibited for certain employees.</w:t>
      </w:r>
    </w:p>
    <w:p w14:paraId="681B2B7F" w14:textId="77777777" w:rsidR="00527EDF" w:rsidRDefault="00527EDF" w:rsidP="00527EDF">
      <w:pPr>
        <w:pStyle w:val="NoSpacing"/>
        <w:rPr>
          <w:rFonts w:ascii="Times New Roman" w:hAnsi="Times New Roman"/>
          <w:b/>
          <w:sz w:val="24"/>
          <w:szCs w:val="24"/>
        </w:rPr>
      </w:pPr>
    </w:p>
    <w:p w14:paraId="75608D30" w14:textId="77777777" w:rsidR="00527EDF" w:rsidRDefault="00527EDF" w:rsidP="00527EDF">
      <w:pPr>
        <w:pStyle w:val="NoSpacing"/>
        <w:ind w:left="1440"/>
        <w:rPr>
          <w:rFonts w:ascii="Times New Roman" w:hAnsi="Times New Roman"/>
          <w:sz w:val="24"/>
          <w:szCs w:val="24"/>
        </w:rPr>
      </w:pPr>
      <w:r>
        <w:rPr>
          <w:rFonts w:ascii="Times New Roman" w:hAnsi="Times New Roman"/>
          <w:sz w:val="24"/>
          <w:szCs w:val="24"/>
        </w:rPr>
        <w:t xml:space="preserve">(b) </w:t>
      </w:r>
      <w:r w:rsidRPr="004E23C9">
        <w:rPr>
          <w:rFonts w:ascii="Times New Roman" w:hAnsi="Times New Roman"/>
          <w:sz w:val="24"/>
          <w:szCs w:val="24"/>
        </w:rPr>
        <w:t>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w:t>
      </w:r>
      <w:r>
        <w:rPr>
          <w:rFonts w:ascii="Times New Roman" w:hAnsi="Times New Roman"/>
          <w:sz w:val="24"/>
          <w:szCs w:val="24"/>
        </w:rPr>
        <w:t>.</w:t>
      </w:r>
    </w:p>
    <w:p w14:paraId="1415536A" w14:textId="77777777" w:rsidR="00527EDF" w:rsidRPr="00C35227" w:rsidRDefault="00527EDF" w:rsidP="00527EDF">
      <w:pPr>
        <w:pStyle w:val="NoSpacing"/>
        <w:ind w:left="720" w:firstLine="720"/>
        <w:rPr>
          <w:rFonts w:ascii="Times New Roman" w:hAnsi="Times New Roman"/>
          <w:sz w:val="24"/>
          <w:szCs w:val="24"/>
        </w:rPr>
      </w:pPr>
      <w:hyperlink r:id="rId2659" w:history="1">
        <w:r w:rsidRPr="00D10EF5">
          <w:rPr>
            <w:rStyle w:val="Hyperlink"/>
            <w:rFonts w:ascii="Times New Roman" w:hAnsi="Times New Roman"/>
            <w:sz w:val="24"/>
            <w:szCs w:val="24"/>
          </w:rPr>
          <w:t>http://codes.ohio.gov/orc/gp9.481</w:t>
        </w:r>
      </w:hyperlink>
      <w:r w:rsidRPr="00C35227">
        <w:rPr>
          <w:rFonts w:ascii="Times New Roman" w:hAnsi="Times New Roman"/>
          <w:sz w:val="24"/>
          <w:szCs w:val="24"/>
        </w:rPr>
        <w:t xml:space="preserve"> </w:t>
      </w:r>
    </w:p>
    <w:p w14:paraId="112DCF6B" w14:textId="77777777" w:rsidR="00527EDF" w:rsidRPr="004E23C9" w:rsidRDefault="00527EDF" w:rsidP="00527EDF">
      <w:pPr>
        <w:pStyle w:val="NoSpacing"/>
        <w:rPr>
          <w:rFonts w:ascii="Times New Roman" w:hAnsi="Times New Roman"/>
          <w:b/>
          <w:sz w:val="24"/>
          <w:szCs w:val="24"/>
        </w:rPr>
      </w:pPr>
    </w:p>
    <w:p w14:paraId="257B0168" w14:textId="77777777" w:rsidR="00527EDF" w:rsidRPr="004E23C9" w:rsidRDefault="00527EDF" w:rsidP="00527EDF">
      <w:pPr>
        <w:pStyle w:val="Heading2"/>
        <w:ind w:firstLine="720"/>
        <w:rPr>
          <w:rFonts w:ascii="Times New Roman" w:hAnsi="Times New Roman"/>
          <w:sz w:val="24"/>
          <w:szCs w:val="24"/>
        </w:rPr>
      </w:pPr>
      <w:r w:rsidRPr="004E23C9">
        <w:rPr>
          <w:rFonts w:ascii="Times New Roman" w:hAnsi="Times New Roman"/>
          <w:sz w:val="24"/>
          <w:szCs w:val="24"/>
        </w:rPr>
        <w:t>9.61 Residency not required for fire chief.</w:t>
      </w:r>
    </w:p>
    <w:p w14:paraId="7AF1BBD5" w14:textId="77777777" w:rsidR="00527EDF" w:rsidRDefault="00527EDF" w:rsidP="00527EDF">
      <w:pPr>
        <w:pStyle w:val="NormalWeb"/>
        <w:ind w:left="1440"/>
        <w:rPr>
          <w:b/>
        </w:rPr>
      </w:pPr>
      <w:r>
        <w:t xml:space="preserve">(B) Nothing in the Revised Code requires, or shall be construed to require, that the fire chief of a firefighting agency </w:t>
      </w:r>
      <w:proofErr w:type="gramStart"/>
      <w:r>
        <w:t>reside</w:t>
      </w:r>
      <w:proofErr w:type="gramEnd"/>
      <w:r>
        <w:t xml:space="preserve"> in the territory of the firefighting agency. </w:t>
      </w:r>
      <w:hyperlink r:id="rId2660" w:history="1">
        <w:r w:rsidRPr="00180BB5">
          <w:rPr>
            <w:rStyle w:val="Hyperlink"/>
          </w:rPr>
          <w:t>http://codes.ohio.gov/orc/gp9.61</w:t>
        </w:r>
      </w:hyperlink>
      <w:r>
        <w:t xml:space="preserve"> </w:t>
      </w:r>
      <w:bookmarkEnd w:id="612"/>
    </w:p>
    <w:p w14:paraId="5BFA5465" w14:textId="17147AE4" w:rsidR="00527EDF" w:rsidRDefault="00527EDF" w:rsidP="00D161A5">
      <w:pPr>
        <w:pStyle w:val="NoSpacing"/>
        <w:rPr>
          <w:sz w:val="24"/>
          <w:szCs w:val="24"/>
        </w:rPr>
      </w:pPr>
    </w:p>
    <w:p w14:paraId="13F7E4F7" w14:textId="77777777" w:rsidR="0097592D" w:rsidRDefault="0097592D" w:rsidP="00D161A5">
      <w:pPr>
        <w:pStyle w:val="NoSpacing"/>
        <w:rPr>
          <w:rFonts w:ascii="Arial Black" w:hAnsi="Arial Black"/>
          <w:sz w:val="24"/>
          <w:szCs w:val="24"/>
        </w:rPr>
      </w:pPr>
    </w:p>
    <w:p w14:paraId="2C71E8D7" w14:textId="77777777" w:rsidR="0097592D" w:rsidRDefault="0097592D" w:rsidP="00D161A5">
      <w:pPr>
        <w:pStyle w:val="NoSpacing"/>
        <w:rPr>
          <w:rFonts w:ascii="Arial Black" w:hAnsi="Arial Black"/>
          <w:sz w:val="24"/>
          <w:szCs w:val="24"/>
        </w:rPr>
      </w:pPr>
    </w:p>
    <w:p w14:paraId="6F0F0ACF" w14:textId="281799BE" w:rsidR="00F4486C" w:rsidRDefault="00F4486C" w:rsidP="00D161A5">
      <w:pPr>
        <w:pStyle w:val="NoSpacing"/>
        <w:rPr>
          <w:rFonts w:ascii="Arial Black" w:hAnsi="Arial Black"/>
          <w:sz w:val="24"/>
          <w:szCs w:val="24"/>
        </w:rPr>
      </w:pPr>
      <w:r>
        <w:rPr>
          <w:rFonts w:ascii="Arial Black" w:hAnsi="Arial Black"/>
          <w:sz w:val="24"/>
          <w:szCs w:val="24"/>
        </w:rPr>
        <w:t>16-14</w:t>
      </w:r>
    </w:p>
    <w:p w14:paraId="75771D97" w14:textId="75B73166" w:rsidR="00F4486C" w:rsidRDefault="00F4486C" w:rsidP="00D161A5">
      <w:pPr>
        <w:pStyle w:val="NoSpacing"/>
        <w:rPr>
          <w:rFonts w:ascii="Arial Black" w:hAnsi="Arial Black"/>
          <w:sz w:val="24"/>
          <w:szCs w:val="24"/>
        </w:rPr>
      </w:pPr>
    </w:p>
    <w:p w14:paraId="315CCA1E" w14:textId="77777777" w:rsidR="00F4486C" w:rsidRPr="00F4486C" w:rsidRDefault="00F4486C" w:rsidP="00D161A5">
      <w:pPr>
        <w:pStyle w:val="NoSpacing"/>
        <w:rPr>
          <w:rFonts w:ascii="Arial Black" w:hAnsi="Arial Black" w:cs="Arial"/>
          <w:sz w:val="28"/>
          <w:szCs w:val="28"/>
        </w:rPr>
      </w:pPr>
      <w:r w:rsidRPr="00F4486C">
        <w:rPr>
          <w:rFonts w:ascii="Arial Black" w:hAnsi="Arial Black" w:cs="Arial"/>
          <w:sz w:val="28"/>
          <w:szCs w:val="28"/>
        </w:rPr>
        <w:lastRenderedPageBreak/>
        <w:t xml:space="preserve">FL: NARCOTICS OFFICER - $1,300 MISSING – VOLUNTARY STATEMENTS ADMISSIBLE – AFTER TOLD JOB AT RISK, “GARRITY” WARNING REQ. </w:t>
      </w:r>
    </w:p>
    <w:p w14:paraId="7A692E83" w14:textId="77777777" w:rsidR="00F4486C" w:rsidRPr="00F4486C" w:rsidRDefault="00F4486C" w:rsidP="00D161A5">
      <w:pPr>
        <w:pStyle w:val="NoSpacing"/>
        <w:rPr>
          <w:rFonts w:ascii="Arial Black" w:hAnsi="Arial Black" w:cs="Arial"/>
          <w:sz w:val="28"/>
          <w:szCs w:val="28"/>
        </w:rPr>
      </w:pPr>
    </w:p>
    <w:p w14:paraId="0FEF0686" w14:textId="2C907FAA" w:rsidR="00F4486C" w:rsidRPr="0036327D" w:rsidRDefault="00F4486C" w:rsidP="00D161A5">
      <w:pPr>
        <w:pStyle w:val="NoSpacing"/>
        <w:rPr>
          <w:rFonts w:ascii="Times New Roman" w:hAnsi="Times New Roman"/>
          <w:sz w:val="24"/>
          <w:szCs w:val="24"/>
        </w:rPr>
      </w:pPr>
      <w:r w:rsidRPr="0036327D">
        <w:rPr>
          <w:rFonts w:ascii="Times New Roman" w:hAnsi="Times New Roman"/>
          <w:sz w:val="24"/>
          <w:szCs w:val="24"/>
        </w:rPr>
        <w:t xml:space="preserve">On April 10, 2019, in State of Florida v. Armando Socarras, 2019 WL 1548623 (Fla. Dist. Ct. App. 2019), the Third District Court of Appeal, held (3 to 0) that the officer’s first two </w:t>
      </w:r>
      <w:proofErr w:type="gramStart"/>
      <w:r w:rsidRPr="0036327D">
        <w:rPr>
          <w:rFonts w:ascii="Times New Roman" w:hAnsi="Times New Roman"/>
          <w:sz w:val="24"/>
          <w:szCs w:val="24"/>
        </w:rPr>
        <w:t>statement</w:t>
      </w:r>
      <w:proofErr w:type="gramEnd"/>
      <w:r w:rsidRPr="0036327D">
        <w:rPr>
          <w:rFonts w:ascii="Times New Roman" w:hAnsi="Times New Roman"/>
          <w:sz w:val="24"/>
          <w:szCs w:val="24"/>
        </w:rPr>
        <w:t xml:space="preserve"> to Internal Affairs are admissible. “Finally, Socarras did not reference the missing currency in his initial statement, and, unprompted, volunteered an exculpatory explanation in his second statement. As in Murphy, Socarras ‘apparently felt no compunction about adamantly denying’ he engaged in criminal activity, strongly suggesting any subjective belief of employment sanctions ‘did not overwhelm his resistance.’ 465 U.S. at 438, 104 S. Ct. at 1148. </w:t>
      </w:r>
      <w:hyperlink r:id="rId2661" w:history="1">
        <w:r w:rsidRPr="0036327D">
          <w:rPr>
            <w:rStyle w:val="Hyperlink"/>
            <w:rFonts w:ascii="Times New Roman" w:hAnsi="Times New Roman"/>
            <w:sz w:val="24"/>
            <w:szCs w:val="24"/>
          </w:rPr>
          <w:t>https://www.law.com/newyorklawjournal/2019/04/29/new-lactation-room-laws-what-employers-need-to-know/</w:t>
        </w:r>
      </w:hyperlink>
      <w:r w:rsidRPr="0036327D">
        <w:rPr>
          <w:rFonts w:ascii="Times New Roman" w:hAnsi="Times New Roman"/>
          <w:sz w:val="24"/>
          <w:szCs w:val="24"/>
        </w:rPr>
        <w:t xml:space="preserve"> </w:t>
      </w:r>
    </w:p>
    <w:p w14:paraId="3E7E7074" w14:textId="13ACE7DD" w:rsidR="00F4486C" w:rsidRPr="0036327D" w:rsidRDefault="00F4486C" w:rsidP="00D161A5">
      <w:pPr>
        <w:pStyle w:val="NoSpacing"/>
        <w:rPr>
          <w:rFonts w:ascii="Times New Roman" w:hAnsi="Times New Roman"/>
          <w:sz w:val="24"/>
          <w:szCs w:val="24"/>
        </w:rPr>
      </w:pPr>
    </w:p>
    <w:p w14:paraId="6B47B4F7" w14:textId="3AA4288C" w:rsidR="00F4486C" w:rsidRPr="0036327D" w:rsidRDefault="00F4486C" w:rsidP="00D161A5">
      <w:pPr>
        <w:pStyle w:val="NoSpacing"/>
        <w:rPr>
          <w:rFonts w:ascii="Times New Roman" w:hAnsi="Times New Roman"/>
          <w:b/>
          <w:bCs/>
          <w:sz w:val="24"/>
          <w:szCs w:val="24"/>
        </w:rPr>
      </w:pPr>
      <w:r w:rsidRPr="0036327D">
        <w:rPr>
          <w:rFonts w:ascii="Times New Roman" w:hAnsi="Times New Roman"/>
          <w:b/>
          <w:bCs/>
          <w:sz w:val="24"/>
          <w:szCs w:val="24"/>
        </w:rPr>
        <w:t>Legal Lessons Learned: When conducting an internal investigation, advise the “target” of the investigation of both their Miranda rights to remain silent, and their Garrity rights that their statements may lead to disciplinary action.</w:t>
      </w:r>
    </w:p>
    <w:p w14:paraId="44E6994D" w14:textId="0D15F975" w:rsidR="00F4486C" w:rsidRPr="0036327D" w:rsidRDefault="00F4486C" w:rsidP="00D161A5">
      <w:pPr>
        <w:pStyle w:val="NoSpacing"/>
        <w:rPr>
          <w:rFonts w:ascii="Times New Roman" w:hAnsi="Times New Roman"/>
          <w:sz w:val="24"/>
          <w:szCs w:val="24"/>
        </w:rPr>
      </w:pPr>
    </w:p>
    <w:p w14:paraId="07D8471C" w14:textId="07CEC2E9" w:rsidR="00F4486C" w:rsidRPr="0036327D" w:rsidRDefault="00F4486C" w:rsidP="00F4486C">
      <w:pPr>
        <w:pStyle w:val="NoSpacing"/>
        <w:ind w:left="720"/>
        <w:rPr>
          <w:rFonts w:ascii="Times New Roman" w:hAnsi="Times New Roman"/>
          <w:sz w:val="24"/>
          <w:szCs w:val="24"/>
        </w:rPr>
      </w:pPr>
      <w:r w:rsidRPr="0036327D">
        <w:rPr>
          <w:rFonts w:ascii="Times New Roman" w:hAnsi="Times New Roman"/>
          <w:sz w:val="24"/>
          <w:szCs w:val="24"/>
        </w:rPr>
        <w:t xml:space="preserve">See, for example, Lansing Fire Department </w:t>
      </w:r>
      <w:proofErr w:type="gramStart"/>
      <w:r w:rsidRPr="0036327D">
        <w:rPr>
          <w:rFonts w:ascii="Times New Roman" w:hAnsi="Times New Roman"/>
          <w:sz w:val="24"/>
          <w:szCs w:val="24"/>
        </w:rPr>
        <w:t>advise</w:t>
      </w:r>
      <w:proofErr w:type="gramEnd"/>
      <w:r w:rsidRPr="0036327D">
        <w:rPr>
          <w:rFonts w:ascii="Times New Roman" w:hAnsi="Times New Roman"/>
          <w:sz w:val="24"/>
          <w:szCs w:val="24"/>
        </w:rPr>
        <w:t xml:space="preserve"> on Garrity rights: FIFTH AMENDMENT APPLIES TO INTERROGATIONS OF PUBLIC EMPLOYEES (GARRITY RIGHTS)</w:t>
      </w:r>
      <w:r w:rsidR="00B8368A">
        <w:rPr>
          <w:rFonts w:ascii="Times New Roman" w:hAnsi="Times New Roman"/>
          <w:sz w:val="24"/>
          <w:szCs w:val="24"/>
        </w:rPr>
        <w:t xml:space="preserve">: </w:t>
      </w:r>
    </w:p>
    <w:p w14:paraId="1F0FC48A" w14:textId="18477175" w:rsidR="00F4486C" w:rsidRPr="0036327D" w:rsidRDefault="00F4486C" w:rsidP="00F4486C">
      <w:pPr>
        <w:pStyle w:val="NoSpacing"/>
        <w:ind w:left="720"/>
        <w:rPr>
          <w:rFonts w:ascii="Times New Roman" w:hAnsi="Times New Roman"/>
          <w:sz w:val="24"/>
          <w:szCs w:val="24"/>
        </w:rPr>
      </w:pPr>
      <w:r w:rsidRPr="0036327D">
        <w:rPr>
          <w:rFonts w:ascii="Times New Roman" w:hAnsi="Times New Roman"/>
          <w:sz w:val="24"/>
          <w:szCs w:val="24"/>
        </w:rPr>
        <w:t xml:space="preserve">Public employees have certain constitutional rights that apply in their employment that may not apply to private employees. For example, in Garrity v. New Jersey, the Supreme Court held that statements obtained </w:t>
      </w:r>
      <w:proofErr w:type="gramStart"/>
      <w:r w:rsidRPr="0036327D">
        <w:rPr>
          <w:rFonts w:ascii="Times New Roman" w:hAnsi="Times New Roman"/>
          <w:sz w:val="24"/>
          <w:szCs w:val="24"/>
        </w:rPr>
        <w:t>in the course of</w:t>
      </w:r>
      <w:proofErr w:type="gramEnd"/>
      <w:r w:rsidRPr="0036327D">
        <w:rPr>
          <w:rFonts w:ascii="Times New Roman" w:hAnsi="Times New Roman"/>
          <w:sz w:val="24"/>
          <w:szCs w:val="24"/>
        </w:rPr>
        <w:t xml:space="preserve"> an investigatory interview under threat of termination from public employment couldn’t be used as evidence against the employee in subsequent criminal proceedings.  If, however, you refuse to answer questions after you have been assured that your statements cannot be used against you in a subsequent criminal proceeding, the refusal to answer questions </w:t>
      </w:r>
      <w:proofErr w:type="spellStart"/>
      <w:r w:rsidRPr="0036327D">
        <w:rPr>
          <w:rFonts w:ascii="Times New Roman" w:hAnsi="Times New Roman"/>
          <w:sz w:val="24"/>
          <w:szCs w:val="24"/>
        </w:rPr>
        <w:t>thereaftermay</w:t>
      </w:r>
      <w:proofErr w:type="spellEnd"/>
      <w:r w:rsidRPr="0036327D">
        <w:rPr>
          <w:rFonts w:ascii="Times New Roman" w:hAnsi="Times New Roman"/>
          <w:sz w:val="24"/>
          <w:szCs w:val="24"/>
        </w:rPr>
        <w:t xml:space="preserve"> lead to the imposition of discipline for insubordination. Further, while the statements you make may not be used against you in a subsequent criminal proceeding, they can still form the basis for discipline on the underlying work-related </w:t>
      </w:r>
      <w:proofErr w:type="spellStart"/>
      <w:r w:rsidRPr="0036327D">
        <w:rPr>
          <w:rFonts w:ascii="Times New Roman" w:hAnsi="Times New Roman"/>
          <w:sz w:val="24"/>
          <w:szCs w:val="24"/>
        </w:rPr>
        <w:t>charge.To</w:t>
      </w:r>
      <w:proofErr w:type="spellEnd"/>
      <w:r w:rsidRPr="0036327D">
        <w:rPr>
          <w:rFonts w:ascii="Times New Roman" w:hAnsi="Times New Roman"/>
          <w:sz w:val="24"/>
          <w:szCs w:val="24"/>
        </w:rPr>
        <w:t xml:space="preserve"> ensure that your Garrity rights are protected, you should ask the following questions: 1)If I refuse to talk, can I be disciplined for the refusal? 2) Can that discipline include termination from employment? 3) Are my answers for internal and administrative purposes only and are not to be used for criminal prosecution? </w:t>
      </w:r>
      <w:hyperlink r:id="rId2662" w:history="1">
        <w:r w:rsidRPr="0036327D">
          <w:rPr>
            <w:rStyle w:val="Hyperlink"/>
            <w:rFonts w:ascii="Times New Roman" w:hAnsi="Times New Roman"/>
            <w:sz w:val="24"/>
            <w:szCs w:val="24"/>
          </w:rPr>
          <w:t>http://www.iaff421.org/?zone=/unionactive/private_view_page.cfm&amp;page=Know20Your20Rights21</w:t>
        </w:r>
      </w:hyperlink>
      <w:r w:rsidRPr="0036327D">
        <w:rPr>
          <w:rFonts w:ascii="Times New Roman" w:hAnsi="Times New Roman"/>
          <w:sz w:val="24"/>
          <w:szCs w:val="24"/>
        </w:rPr>
        <w:t xml:space="preserve"> </w:t>
      </w:r>
    </w:p>
    <w:p w14:paraId="11E527EB" w14:textId="77777777" w:rsidR="00F4486C" w:rsidRPr="0036327D" w:rsidRDefault="00F4486C" w:rsidP="00D161A5">
      <w:pPr>
        <w:pStyle w:val="NoSpacing"/>
        <w:rPr>
          <w:rFonts w:ascii="Times New Roman" w:hAnsi="Times New Roman"/>
          <w:sz w:val="24"/>
          <w:szCs w:val="24"/>
        </w:rPr>
      </w:pPr>
    </w:p>
    <w:p w14:paraId="0ED7EB70" w14:textId="77777777" w:rsidR="00F4486C" w:rsidRPr="0036327D" w:rsidRDefault="00F4486C" w:rsidP="00D161A5">
      <w:pPr>
        <w:pStyle w:val="NoSpacing"/>
        <w:rPr>
          <w:rFonts w:ascii="Times New Roman" w:hAnsi="Times New Roman"/>
          <w:sz w:val="24"/>
          <w:szCs w:val="24"/>
        </w:rPr>
      </w:pPr>
    </w:p>
    <w:p w14:paraId="50BC4223" w14:textId="41EBD1AF" w:rsidR="00527EDF" w:rsidRDefault="000C4DF5" w:rsidP="00D161A5">
      <w:pPr>
        <w:pStyle w:val="NoSpacing"/>
        <w:rPr>
          <w:sz w:val="24"/>
          <w:szCs w:val="24"/>
        </w:rPr>
      </w:pPr>
      <w:r>
        <w:rPr>
          <w:rFonts w:ascii="Arial Black" w:hAnsi="Arial Black"/>
          <w:sz w:val="24"/>
          <w:szCs w:val="24"/>
        </w:rPr>
        <w:t>16-13</w:t>
      </w:r>
    </w:p>
    <w:p w14:paraId="3E5308D2" w14:textId="77777777" w:rsidR="00527EDF" w:rsidRDefault="00527EDF" w:rsidP="00D161A5">
      <w:pPr>
        <w:pStyle w:val="NoSpacing"/>
        <w:rPr>
          <w:sz w:val="24"/>
          <w:szCs w:val="24"/>
        </w:rPr>
      </w:pPr>
    </w:p>
    <w:p w14:paraId="2CF673B7" w14:textId="7D62DA45" w:rsidR="00D161A5" w:rsidRDefault="00D161A5" w:rsidP="00D161A5">
      <w:pPr>
        <w:pStyle w:val="NoSpacing"/>
        <w:rPr>
          <w:rFonts w:ascii="OnTimes New Roman" w:hAnsi="OnTimes New Roman"/>
          <w:sz w:val="24"/>
          <w:szCs w:val="24"/>
        </w:rPr>
      </w:pPr>
      <w:r w:rsidRPr="004C0054">
        <w:rPr>
          <w:rFonts w:ascii="Arial Black" w:hAnsi="Arial Black" w:cs="Arial"/>
          <w:sz w:val="28"/>
          <w:szCs w:val="28"/>
        </w:rPr>
        <w:t xml:space="preserve">KS:  </w:t>
      </w:r>
      <w:r>
        <w:rPr>
          <w:rFonts w:ascii="Arial Black" w:hAnsi="Arial Black" w:cs="Arial"/>
          <w:sz w:val="28"/>
          <w:szCs w:val="28"/>
        </w:rPr>
        <w:t xml:space="preserve">IAFF ATTORNEY HELPED FF IN GRIEVANCE </w:t>
      </w:r>
      <w:r w:rsidR="00B8368A">
        <w:rPr>
          <w:rFonts w:ascii="Arial Black" w:hAnsi="Arial Black" w:cs="Arial"/>
          <w:sz w:val="28"/>
          <w:szCs w:val="28"/>
        </w:rPr>
        <w:t>–</w:t>
      </w:r>
      <w:r>
        <w:rPr>
          <w:rFonts w:ascii="Arial Black" w:hAnsi="Arial Black" w:cs="Arial"/>
          <w:sz w:val="28"/>
          <w:szCs w:val="28"/>
        </w:rPr>
        <w:t xml:space="preserve"> </w:t>
      </w:r>
      <w:r w:rsidR="00B8368A">
        <w:rPr>
          <w:rFonts w:ascii="Arial Black" w:hAnsi="Arial Black" w:cs="Arial"/>
          <w:sz w:val="28"/>
          <w:szCs w:val="28"/>
        </w:rPr>
        <w:t xml:space="preserve">HE WAS </w:t>
      </w:r>
      <w:r>
        <w:rPr>
          <w:rFonts w:ascii="Arial Black" w:hAnsi="Arial Black" w:cs="Arial"/>
          <w:sz w:val="28"/>
          <w:szCs w:val="28"/>
        </w:rPr>
        <w:t xml:space="preserve">NOT HIS PERSONAL COUNSEL </w:t>
      </w:r>
    </w:p>
    <w:p w14:paraId="2567CDC2" w14:textId="77777777" w:rsidR="00B8368A" w:rsidRDefault="00D161A5" w:rsidP="00D161A5">
      <w:pPr>
        <w:pStyle w:val="NoSpacing"/>
        <w:rPr>
          <w:rFonts w:ascii="Times New Roman" w:hAnsi="Times New Roman"/>
          <w:sz w:val="24"/>
          <w:szCs w:val="24"/>
        </w:rPr>
      </w:pPr>
      <w:r w:rsidRPr="00B8368A">
        <w:rPr>
          <w:rFonts w:ascii="Times New Roman" w:hAnsi="Times New Roman"/>
          <w:sz w:val="24"/>
          <w:szCs w:val="24"/>
        </w:rPr>
        <w:t xml:space="preserve">On March 25, 2019, in </w:t>
      </w:r>
      <w:r w:rsidRPr="00B8368A">
        <w:rPr>
          <w:rFonts w:ascii="Times New Roman" w:hAnsi="Times New Roman"/>
          <w:sz w:val="24"/>
          <w:szCs w:val="24"/>
          <w:u w:val="single"/>
        </w:rPr>
        <w:t>Randall Austin Ester v. Christopher Buell, et al</w:t>
      </w:r>
      <w:r w:rsidRPr="00B8368A">
        <w:rPr>
          <w:rFonts w:ascii="Times New Roman" w:hAnsi="Times New Roman"/>
          <w:sz w:val="24"/>
          <w:szCs w:val="24"/>
        </w:rPr>
        <w:t xml:space="preserve">., U.S. Magistrate Judge Gwynne E. </w:t>
      </w:r>
      <w:proofErr w:type="spellStart"/>
      <w:r w:rsidRPr="00B8368A">
        <w:rPr>
          <w:rFonts w:ascii="Times New Roman" w:hAnsi="Times New Roman"/>
          <w:sz w:val="24"/>
          <w:szCs w:val="24"/>
        </w:rPr>
        <w:t>Birzar</w:t>
      </w:r>
      <w:proofErr w:type="spellEnd"/>
      <w:r w:rsidRPr="00B8368A">
        <w:rPr>
          <w:rFonts w:ascii="Times New Roman" w:hAnsi="Times New Roman"/>
          <w:sz w:val="24"/>
          <w:szCs w:val="24"/>
        </w:rPr>
        <w:t xml:space="preserve">, U.S. District Court for Kansas, denied plaintiff’s motion to have IAFF Local 64 attorney disqualified from representing IAFF in his racial discrimination lawsuit.  The Magistrate held, </w:t>
      </w:r>
    </w:p>
    <w:p w14:paraId="25D8AA3D" w14:textId="77777777" w:rsidR="00B8368A" w:rsidRDefault="00B8368A" w:rsidP="00D161A5">
      <w:pPr>
        <w:pStyle w:val="NoSpacing"/>
        <w:rPr>
          <w:rFonts w:ascii="Times New Roman" w:hAnsi="Times New Roman"/>
          <w:sz w:val="24"/>
          <w:szCs w:val="24"/>
        </w:rPr>
      </w:pPr>
    </w:p>
    <w:p w14:paraId="05C1FBF1" w14:textId="1A4D62EC" w:rsidR="00D161A5" w:rsidRPr="00B8368A" w:rsidRDefault="00D161A5" w:rsidP="00B8368A">
      <w:pPr>
        <w:pStyle w:val="NoSpacing"/>
        <w:ind w:left="720"/>
        <w:rPr>
          <w:rFonts w:ascii="Times New Roman" w:hAnsi="Times New Roman"/>
          <w:sz w:val="24"/>
          <w:szCs w:val="24"/>
        </w:rPr>
      </w:pPr>
      <w:r w:rsidRPr="00B8368A">
        <w:rPr>
          <w:rFonts w:ascii="Times New Roman" w:hAnsi="Times New Roman"/>
          <w:sz w:val="24"/>
          <w:szCs w:val="24"/>
        </w:rPr>
        <w:t xml:space="preserve">“The totality of the evidence, viewed in conjunction with the caselaw, weighs against formation of an attorney-client relationship. Written documents identify Mr. Brown as ‘attorney for the union.’” </w:t>
      </w:r>
      <w:hyperlink r:id="rId2663" w:history="1">
        <w:r w:rsidRPr="00B8368A">
          <w:rPr>
            <w:rStyle w:val="Hyperlink"/>
            <w:rFonts w:ascii="Times New Roman" w:hAnsi="Times New Roman"/>
            <w:sz w:val="24"/>
            <w:szCs w:val="24"/>
          </w:rPr>
          <w:t>https://ecf.ksd.uscourts.gov/cgi-bin/show_public_doc?2018cv2084-60</w:t>
        </w:r>
      </w:hyperlink>
      <w:r w:rsidRPr="00B8368A">
        <w:rPr>
          <w:rFonts w:ascii="Times New Roman" w:hAnsi="Times New Roman"/>
          <w:sz w:val="24"/>
          <w:szCs w:val="24"/>
        </w:rPr>
        <w:t xml:space="preserve"> </w:t>
      </w:r>
    </w:p>
    <w:p w14:paraId="7A7B8B4C" w14:textId="77777777" w:rsidR="00B8368A" w:rsidRDefault="00B8368A" w:rsidP="00D161A5">
      <w:pPr>
        <w:pStyle w:val="NoSpacing"/>
        <w:rPr>
          <w:rFonts w:ascii="Times New Roman" w:hAnsi="Times New Roman"/>
          <w:b/>
          <w:sz w:val="24"/>
          <w:szCs w:val="24"/>
        </w:rPr>
      </w:pPr>
    </w:p>
    <w:p w14:paraId="7DEAF276" w14:textId="545C782F" w:rsidR="00D161A5" w:rsidRPr="00B8368A" w:rsidRDefault="00D161A5" w:rsidP="00D161A5">
      <w:pPr>
        <w:pStyle w:val="NoSpacing"/>
        <w:rPr>
          <w:rFonts w:ascii="Times New Roman" w:hAnsi="Times New Roman"/>
          <w:b/>
          <w:sz w:val="24"/>
          <w:szCs w:val="24"/>
        </w:rPr>
      </w:pPr>
      <w:r w:rsidRPr="00B8368A">
        <w:rPr>
          <w:rFonts w:ascii="Times New Roman" w:hAnsi="Times New Roman"/>
          <w:b/>
          <w:sz w:val="24"/>
          <w:szCs w:val="24"/>
        </w:rPr>
        <w:t xml:space="preserve">Legal Lessons Learned:  IAFF Local’s attorney is not personal attorney for grievant. </w:t>
      </w:r>
    </w:p>
    <w:p w14:paraId="0791BB7C" w14:textId="77777777" w:rsidR="009C7552" w:rsidRDefault="009C7552" w:rsidP="00D161A5">
      <w:pPr>
        <w:pStyle w:val="NoSpacing"/>
        <w:rPr>
          <w:b/>
          <w:sz w:val="24"/>
          <w:szCs w:val="24"/>
        </w:rPr>
      </w:pPr>
    </w:p>
    <w:bookmarkEnd w:id="610"/>
    <w:p w14:paraId="62CCDF3C" w14:textId="77777777" w:rsidR="00D161A5" w:rsidRPr="009C7552" w:rsidRDefault="00D161A5" w:rsidP="00D161A5">
      <w:pPr>
        <w:pStyle w:val="NoSpacing"/>
        <w:rPr>
          <w:bCs/>
          <w:sz w:val="24"/>
          <w:szCs w:val="24"/>
        </w:rPr>
      </w:pPr>
    </w:p>
    <w:p w14:paraId="41C1185A" w14:textId="77777777" w:rsidR="00D161A5" w:rsidRDefault="00D161A5" w:rsidP="00F326E5">
      <w:pPr>
        <w:pStyle w:val="NoSpacing"/>
        <w:rPr>
          <w:sz w:val="24"/>
          <w:szCs w:val="24"/>
        </w:rPr>
      </w:pPr>
    </w:p>
    <w:p w14:paraId="768CCFA3" w14:textId="130692C9" w:rsidR="000C4DF5" w:rsidRDefault="000C4DF5" w:rsidP="000C4DF5">
      <w:pPr>
        <w:pStyle w:val="NoSpacing"/>
        <w:rPr>
          <w:rFonts w:ascii="Arial Black" w:hAnsi="Arial Black"/>
          <w:sz w:val="24"/>
          <w:szCs w:val="24"/>
        </w:rPr>
      </w:pPr>
      <w:r>
        <w:rPr>
          <w:rFonts w:ascii="Arial Black" w:hAnsi="Arial Black"/>
          <w:sz w:val="24"/>
          <w:szCs w:val="24"/>
        </w:rPr>
        <w:lastRenderedPageBreak/>
        <w:t>16-12</w:t>
      </w:r>
    </w:p>
    <w:p w14:paraId="715D8B60" w14:textId="77777777" w:rsidR="00D161A5" w:rsidRDefault="00D161A5" w:rsidP="00F326E5">
      <w:pPr>
        <w:pStyle w:val="NoSpacing"/>
        <w:rPr>
          <w:sz w:val="24"/>
          <w:szCs w:val="24"/>
        </w:rPr>
      </w:pPr>
    </w:p>
    <w:p w14:paraId="471FE08E" w14:textId="77777777" w:rsidR="00D161A5" w:rsidRDefault="00D161A5" w:rsidP="00F326E5">
      <w:pPr>
        <w:pStyle w:val="NoSpacing"/>
        <w:rPr>
          <w:sz w:val="24"/>
          <w:szCs w:val="24"/>
        </w:rPr>
      </w:pPr>
    </w:p>
    <w:p w14:paraId="0FE3A5B8" w14:textId="4493E0B1" w:rsidR="00F326E5" w:rsidRPr="003668D6" w:rsidRDefault="00F326E5" w:rsidP="00F326E5">
      <w:pPr>
        <w:pStyle w:val="NoSpacing"/>
        <w:rPr>
          <w:rFonts w:ascii="Arial Black" w:hAnsi="Arial Black"/>
          <w:b/>
          <w:bCs/>
          <w:sz w:val="28"/>
          <w:szCs w:val="28"/>
        </w:rPr>
      </w:pPr>
      <w:bookmarkStart w:id="613" w:name="_Hlk7348878"/>
      <w:r w:rsidRPr="003668D6">
        <w:rPr>
          <w:rFonts w:ascii="Arial Black" w:hAnsi="Arial Black"/>
          <w:bCs/>
          <w:sz w:val="28"/>
          <w:szCs w:val="28"/>
        </w:rPr>
        <w:t>MA:  NEPOTISM - FIRE CHIEF</w:t>
      </w:r>
      <w:r>
        <w:rPr>
          <w:rFonts w:ascii="Arial Black" w:hAnsi="Arial Black"/>
          <w:bCs/>
          <w:sz w:val="28"/>
          <w:szCs w:val="28"/>
        </w:rPr>
        <w:t xml:space="preserve">’S NIECE AND BROTHER ON FD – </w:t>
      </w:r>
      <w:r w:rsidR="00D161A5">
        <w:rPr>
          <w:rFonts w:ascii="Arial Black" w:hAnsi="Arial Black"/>
          <w:bCs/>
          <w:sz w:val="28"/>
          <w:szCs w:val="28"/>
        </w:rPr>
        <w:t>RESIGNED PENDING AN INVESTGATION</w:t>
      </w:r>
      <w:r>
        <w:rPr>
          <w:rFonts w:ascii="Arial Black" w:hAnsi="Arial Black"/>
          <w:bCs/>
          <w:sz w:val="28"/>
          <w:szCs w:val="28"/>
        </w:rPr>
        <w:t xml:space="preserve"> </w:t>
      </w:r>
    </w:p>
    <w:p w14:paraId="674E8EA9" w14:textId="77777777" w:rsidR="00B8368A" w:rsidRDefault="00F326E5" w:rsidP="00F326E5">
      <w:pPr>
        <w:pStyle w:val="NoSpacing"/>
        <w:rPr>
          <w:rFonts w:ascii="Times New Roman" w:hAnsi="Times New Roman"/>
          <w:sz w:val="24"/>
          <w:szCs w:val="24"/>
        </w:rPr>
      </w:pPr>
      <w:r w:rsidRPr="00B8368A">
        <w:rPr>
          <w:rFonts w:ascii="Times New Roman" w:hAnsi="Times New Roman"/>
          <w:sz w:val="24"/>
          <w:szCs w:val="24"/>
        </w:rPr>
        <w:t xml:space="preserve">On Jan. 19, 2019, in </w:t>
      </w:r>
      <w:r w:rsidRPr="00B8368A">
        <w:rPr>
          <w:rFonts w:ascii="Times New Roman" w:hAnsi="Times New Roman"/>
          <w:sz w:val="24"/>
          <w:szCs w:val="24"/>
          <w:u w:val="single"/>
        </w:rPr>
        <w:t>Kevin Robinson v. Town of Marshfield, et al</w:t>
      </w:r>
      <w:r w:rsidRPr="00B8368A">
        <w:rPr>
          <w:rFonts w:ascii="Times New Roman" w:hAnsi="Times New Roman"/>
          <w:sz w:val="24"/>
          <w:szCs w:val="24"/>
        </w:rPr>
        <w:t xml:space="preserve">, U.S. District Court Judge Nathaniel M. Gorton granted the Town’s motion for summary judgment, and dismissed the former Fire Chief’s lawsuit: </w:t>
      </w:r>
    </w:p>
    <w:p w14:paraId="33B1FD9A" w14:textId="77777777" w:rsidR="00B8368A" w:rsidRDefault="00B8368A" w:rsidP="00F326E5">
      <w:pPr>
        <w:pStyle w:val="NoSpacing"/>
        <w:rPr>
          <w:rFonts w:ascii="Times New Roman" w:hAnsi="Times New Roman"/>
          <w:sz w:val="24"/>
          <w:szCs w:val="24"/>
        </w:rPr>
      </w:pPr>
    </w:p>
    <w:p w14:paraId="2B59403D" w14:textId="4BC3DAE9" w:rsidR="00F326E5" w:rsidRPr="00B8368A" w:rsidRDefault="00F326E5" w:rsidP="00B8368A">
      <w:pPr>
        <w:pStyle w:val="NoSpacing"/>
        <w:ind w:left="720"/>
        <w:rPr>
          <w:rStyle w:val="Hyperlink"/>
          <w:rFonts w:ascii="Times New Roman" w:hAnsi="Times New Roman"/>
          <w:bCs/>
          <w:sz w:val="24"/>
          <w:szCs w:val="24"/>
        </w:rPr>
      </w:pPr>
      <w:r w:rsidRPr="00B8368A">
        <w:rPr>
          <w:rFonts w:ascii="Times New Roman" w:hAnsi="Times New Roman"/>
          <w:sz w:val="24"/>
          <w:szCs w:val="24"/>
        </w:rPr>
        <w:t xml:space="preserve">“The Chief has not met his burden of showing intentional interference. First, defendants’ conduct does not rise to the level of spiteful or malignant purpose because there was a legitimate interest in temporarily removing the Chief during the investigation of his alleged ethical misconduct. Moreover, even if this Court assumes arguendo that the Chief has met his prima facie burden of showing improper motive through age discrimination, the Chief has failed to show that such discrimination was the controlling factor in the alleged interference.” </w:t>
      </w:r>
      <w:hyperlink r:id="rId2664" w:history="1">
        <w:r w:rsidRPr="00B8368A">
          <w:rPr>
            <w:rStyle w:val="Hyperlink"/>
            <w:rFonts w:ascii="Times New Roman" w:hAnsi="Times New Roman"/>
            <w:sz w:val="24"/>
            <w:szCs w:val="24"/>
          </w:rPr>
          <w:t>https://www.courtlistener.com/recap/gov.uscourts.mad.185693/gov.uscourts.mad.185693.65.0.pdf</w:t>
        </w:r>
      </w:hyperlink>
    </w:p>
    <w:p w14:paraId="08E3688B" w14:textId="77777777" w:rsidR="00B8368A" w:rsidRDefault="00B8368A" w:rsidP="00F326E5">
      <w:pPr>
        <w:pStyle w:val="NoSpacing"/>
        <w:rPr>
          <w:rFonts w:ascii="Times New Roman" w:hAnsi="Times New Roman"/>
          <w:b/>
          <w:sz w:val="24"/>
          <w:szCs w:val="24"/>
        </w:rPr>
      </w:pPr>
    </w:p>
    <w:p w14:paraId="1A022713" w14:textId="22E6BCBD" w:rsidR="00F326E5" w:rsidRPr="00B8368A" w:rsidRDefault="00F326E5" w:rsidP="00F326E5">
      <w:pPr>
        <w:pStyle w:val="NoSpacing"/>
        <w:rPr>
          <w:rFonts w:ascii="Times New Roman" w:hAnsi="Times New Roman"/>
          <w:b/>
          <w:sz w:val="24"/>
          <w:szCs w:val="24"/>
        </w:rPr>
      </w:pPr>
      <w:r w:rsidRPr="00B8368A">
        <w:rPr>
          <w:rFonts w:ascii="Times New Roman" w:hAnsi="Times New Roman"/>
          <w:b/>
          <w:sz w:val="24"/>
          <w:szCs w:val="24"/>
        </w:rPr>
        <w:t>Legal Lessons Learned:  Fire Chiefs, in states that do not prohibit close family members on their FD, must be extremely careful to avoid even an “appearance” of conflicts of interest.</w:t>
      </w:r>
    </w:p>
    <w:p w14:paraId="5B32A854" w14:textId="77777777" w:rsidR="00F326E5" w:rsidRPr="00B8368A" w:rsidRDefault="00F326E5" w:rsidP="00F326E5">
      <w:pPr>
        <w:pStyle w:val="NoSpacing"/>
        <w:rPr>
          <w:rFonts w:ascii="Times New Roman" w:hAnsi="Times New Roman"/>
          <w:b/>
          <w:sz w:val="24"/>
          <w:szCs w:val="24"/>
        </w:rPr>
      </w:pPr>
    </w:p>
    <w:p w14:paraId="4170938E" w14:textId="77777777" w:rsidR="00F326E5" w:rsidRPr="00B8368A" w:rsidRDefault="00F326E5" w:rsidP="00F326E5">
      <w:pPr>
        <w:pStyle w:val="NoSpacing"/>
        <w:ind w:left="720"/>
        <w:rPr>
          <w:rFonts w:ascii="Times New Roman" w:hAnsi="Times New Roman"/>
          <w:sz w:val="24"/>
          <w:szCs w:val="24"/>
        </w:rPr>
      </w:pPr>
      <w:r w:rsidRPr="00B8368A">
        <w:rPr>
          <w:rFonts w:ascii="Times New Roman" w:hAnsi="Times New Roman"/>
          <w:sz w:val="24"/>
          <w:szCs w:val="24"/>
        </w:rPr>
        <w:t xml:space="preserve">See list of state statutes on Nepotism: “Some states may take a broader approach by denying any relative of a qualifying official from being hired by the same branch of government. Other states might more narrowly prevent a public official from having direct supervisory or hiring authority over a relative. A legislator even advocating on behalf of a relative before a hiring or appointing authority might be a violation in some states.” </w:t>
      </w:r>
      <w:hyperlink r:id="rId2665" w:history="1">
        <w:r w:rsidRPr="00B8368A">
          <w:rPr>
            <w:rStyle w:val="Hyperlink"/>
            <w:rFonts w:ascii="Times New Roman" w:hAnsi="Times New Roman"/>
            <w:sz w:val="24"/>
            <w:szCs w:val="24"/>
          </w:rPr>
          <w:t>http://www.ncsl.org/research/ethics/50-state-table-nepotism-restrictions.aspx</w:t>
        </w:r>
      </w:hyperlink>
      <w:r w:rsidRPr="00B8368A">
        <w:rPr>
          <w:rFonts w:ascii="Times New Roman" w:hAnsi="Times New Roman"/>
          <w:sz w:val="24"/>
          <w:szCs w:val="24"/>
        </w:rPr>
        <w:t xml:space="preserve"> </w:t>
      </w:r>
    </w:p>
    <w:p w14:paraId="16D97DCA" w14:textId="77777777" w:rsidR="00F326E5" w:rsidRPr="00B8368A" w:rsidRDefault="00F326E5" w:rsidP="00F326E5">
      <w:pPr>
        <w:pStyle w:val="NoSpacing"/>
        <w:ind w:left="720"/>
        <w:rPr>
          <w:rFonts w:ascii="Times New Roman" w:hAnsi="Times New Roman"/>
          <w:sz w:val="24"/>
          <w:szCs w:val="24"/>
        </w:rPr>
      </w:pPr>
      <w:r w:rsidRPr="00B8368A">
        <w:rPr>
          <w:rFonts w:ascii="Times New Roman" w:hAnsi="Times New Roman"/>
          <w:sz w:val="24"/>
          <w:szCs w:val="24"/>
        </w:rPr>
        <w:t xml:space="preserve">See also Ohio Ethics Commission – Information Sheet No. 1, RESTRICTIONS ON NEPOTISM OR HIRING FAMILY MEMBERS: </w:t>
      </w:r>
      <w:hyperlink r:id="rId2666" w:history="1">
        <w:r w:rsidRPr="00B8368A">
          <w:rPr>
            <w:rStyle w:val="Hyperlink"/>
            <w:rFonts w:ascii="Times New Roman" w:hAnsi="Times New Roman"/>
            <w:sz w:val="24"/>
            <w:szCs w:val="24"/>
          </w:rPr>
          <w:t>https://www.ethics.ohio.gov/education/factsheets/InfoSheet1-Nepotism.pdf</w:t>
        </w:r>
      </w:hyperlink>
      <w:r w:rsidRPr="00B8368A">
        <w:rPr>
          <w:rFonts w:ascii="Times New Roman" w:hAnsi="Times New Roman"/>
          <w:sz w:val="24"/>
          <w:szCs w:val="24"/>
        </w:rPr>
        <w:t xml:space="preserve"> </w:t>
      </w:r>
    </w:p>
    <w:p w14:paraId="30BB61A3" w14:textId="24EA80D9" w:rsidR="00F326E5" w:rsidRPr="00B8368A" w:rsidRDefault="00F326E5" w:rsidP="00F326E5">
      <w:pPr>
        <w:pStyle w:val="NoSpacing"/>
        <w:ind w:left="720"/>
        <w:rPr>
          <w:rFonts w:ascii="Times New Roman" w:hAnsi="Times New Roman"/>
          <w:sz w:val="24"/>
          <w:szCs w:val="24"/>
        </w:rPr>
      </w:pPr>
    </w:p>
    <w:bookmarkEnd w:id="613"/>
    <w:p w14:paraId="4C5B09EA" w14:textId="77777777" w:rsidR="00B8368A" w:rsidRDefault="00B8368A" w:rsidP="000C4DF5">
      <w:pPr>
        <w:pStyle w:val="NoSpacing"/>
        <w:rPr>
          <w:rFonts w:ascii="Arial Black" w:hAnsi="Arial Black"/>
          <w:sz w:val="24"/>
          <w:szCs w:val="24"/>
        </w:rPr>
      </w:pPr>
    </w:p>
    <w:p w14:paraId="776AD545" w14:textId="77777777" w:rsidR="00B8368A" w:rsidRDefault="00B8368A" w:rsidP="000C4DF5">
      <w:pPr>
        <w:pStyle w:val="NoSpacing"/>
        <w:rPr>
          <w:rFonts w:ascii="Arial Black" w:hAnsi="Arial Black"/>
          <w:sz w:val="24"/>
          <w:szCs w:val="24"/>
        </w:rPr>
      </w:pPr>
    </w:p>
    <w:p w14:paraId="748490EF" w14:textId="5B982907" w:rsidR="00F326E5" w:rsidRDefault="000C4DF5" w:rsidP="000C4DF5">
      <w:pPr>
        <w:pStyle w:val="NoSpacing"/>
        <w:rPr>
          <w:rFonts w:ascii="Arial Black" w:hAnsi="Arial Black"/>
          <w:sz w:val="24"/>
          <w:szCs w:val="24"/>
        </w:rPr>
      </w:pPr>
      <w:r>
        <w:rPr>
          <w:rFonts w:ascii="Arial Black" w:hAnsi="Arial Black"/>
          <w:sz w:val="24"/>
          <w:szCs w:val="24"/>
        </w:rPr>
        <w:t>16-11</w:t>
      </w:r>
    </w:p>
    <w:p w14:paraId="75AC1771" w14:textId="77777777" w:rsidR="000C4DF5" w:rsidRDefault="000C4DF5" w:rsidP="000C4DF5">
      <w:pPr>
        <w:pStyle w:val="NoSpacing"/>
        <w:rPr>
          <w:rFonts w:ascii="Arial Black" w:hAnsi="Arial Black"/>
          <w:sz w:val="40"/>
          <w:szCs w:val="40"/>
        </w:rPr>
      </w:pPr>
    </w:p>
    <w:p w14:paraId="1CB9144B" w14:textId="781FAE87" w:rsidR="00F326E5" w:rsidRPr="004815FF" w:rsidRDefault="00F326E5" w:rsidP="00F326E5">
      <w:pPr>
        <w:pStyle w:val="NoSpacing"/>
        <w:rPr>
          <w:rFonts w:ascii="Arial Black" w:hAnsi="Arial Black"/>
          <w:b/>
          <w:sz w:val="28"/>
          <w:szCs w:val="28"/>
        </w:rPr>
      </w:pPr>
      <w:bookmarkStart w:id="614" w:name="_Hlk7348937"/>
      <w:r w:rsidRPr="004815FF">
        <w:rPr>
          <w:rFonts w:ascii="Arial Black" w:hAnsi="Arial Black"/>
          <w:b/>
          <w:sz w:val="28"/>
          <w:szCs w:val="28"/>
        </w:rPr>
        <w:t xml:space="preserve">NJ: STATE POLICE LAB OFFICER INDICTED; FALSELY CERTIFIED </w:t>
      </w:r>
      <w:r w:rsidR="00D161A5">
        <w:rPr>
          <w:rFonts w:ascii="Arial Black" w:hAnsi="Arial Black"/>
          <w:b/>
          <w:sz w:val="28"/>
          <w:szCs w:val="28"/>
        </w:rPr>
        <w:t xml:space="preserve">HE </w:t>
      </w:r>
      <w:r w:rsidRPr="004815FF">
        <w:rPr>
          <w:rFonts w:ascii="Arial Black" w:hAnsi="Arial Black"/>
          <w:b/>
          <w:sz w:val="28"/>
          <w:szCs w:val="28"/>
        </w:rPr>
        <w:t>HAD CALIBRATED DUI EQUIPMENT</w:t>
      </w:r>
    </w:p>
    <w:p w14:paraId="034C3147" w14:textId="77777777" w:rsidR="00F326E5" w:rsidRPr="00B8368A" w:rsidRDefault="00F326E5" w:rsidP="00F326E5">
      <w:pPr>
        <w:rPr>
          <w:rFonts w:ascii="Times New Roman" w:eastAsia="Times New Roman" w:hAnsi="Times New Roman"/>
          <w:sz w:val="24"/>
          <w:szCs w:val="24"/>
        </w:rPr>
      </w:pPr>
      <w:r w:rsidRPr="00B8368A">
        <w:rPr>
          <w:rFonts w:ascii="Times New Roman" w:eastAsia="Times New Roman" w:hAnsi="Times New Roman"/>
          <w:sz w:val="24"/>
          <w:szCs w:val="24"/>
        </w:rPr>
        <w:t xml:space="preserve">On Nov. 13, 2018, in </w:t>
      </w:r>
      <w:r w:rsidRPr="00B8368A">
        <w:rPr>
          <w:rFonts w:ascii="Times New Roman" w:eastAsia="Times New Roman" w:hAnsi="Times New Roman"/>
          <w:sz w:val="24"/>
          <w:szCs w:val="24"/>
          <w:u w:val="single"/>
        </w:rPr>
        <w:t>State v. Eileen Cassidy</w:t>
      </w:r>
      <w:r w:rsidRPr="00B8368A">
        <w:rPr>
          <w:rFonts w:ascii="Times New Roman" w:eastAsia="Times New Roman" w:hAnsi="Times New Roman"/>
          <w:sz w:val="24"/>
          <w:szCs w:val="24"/>
        </w:rPr>
        <w:t xml:space="preserve">, the New Jersey Supreme Court held: “The Court considers the admissibility of breath test results produced by Alcotest machines not calibrated using a thermometer that produces temperature measurements traceable to the standards set by the National Institute of Standards and Technology (NIST)…. The Special Master determined that the State had not shown that other states’ practices revealed general  acceptance of the reliability of Alcotest results without the use of a NIST-traceable thermometer. Because the Special Master’s findings are supported by substantial credible evidence in the record, the Court adopts them.” </w:t>
      </w:r>
      <w:hyperlink r:id="rId2667" w:history="1">
        <w:r w:rsidRPr="00B8368A">
          <w:rPr>
            <w:rStyle w:val="Hyperlink"/>
            <w:rFonts w:ascii="Times New Roman" w:hAnsi="Times New Roman"/>
            <w:sz w:val="24"/>
            <w:szCs w:val="24"/>
          </w:rPr>
          <w:t>https://www.njcourts.gov/attorneys/assets/opinions/supreme/a_58_16.pdf</w:t>
        </w:r>
      </w:hyperlink>
      <w:r w:rsidRPr="00B8368A">
        <w:rPr>
          <w:rFonts w:ascii="Times New Roman" w:eastAsia="Times New Roman" w:hAnsi="Times New Roman"/>
          <w:sz w:val="24"/>
          <w:szCs w:val="24"/>
        </w:rPr>
        <w:t xml:space="preserve"> </w:t>
      </w:r>
    </w:p>
    <w:p w14:paraId="1D0B34D5" w14:textId="77777777" w:rsidR="00F326E5" w:rsidRPr="00B8368A" w:rsidRDefault="00F326E5" w:rsidP="00F326E5">
      <w:pPr>
        <w:rPr>
          <w:rFonts w:ascii="Times New Roman" w:eastAsia="Times New Roman" w:hAnsi="Times New Roman"/>
          <w:b/>
          <w:sz w:val="24"/>
          <w:szCs w:val="24"/>
        </w:rPr>
      </w:pPr>
      <w:r w:rsidRPr="00B8368A">
        <w:rPr>
          <w:rFonts w:ascii="Times New Roman" w:eastAsia="Times New Roman" w:hAnsi="Times New Roman"/>
          <w:b/>
          <w:sz w:val="24"/>
          <w:szCs w:val="24"/>
        </w:rPr>
        <w:t xml:space="preserve">Legal Lessons Learned: False certifications can lead to unwarranted convictions, and criminal charges. EMS personnel must likewise follow EMS protocols, or patient injury or death may occur; false EMS run reports can also lead to termination of employment and even criminal charges.  </w:t>
      </w:r>
    </w:p>
    <w:p w14:paraId="18356700" w14:textId="53BD2B4A" w:rsidR="00BD7B94" w:rsidRDefault="00BD7B94" w:rsidP="00F326E5">
      <w:pPr>
        <w:rPr>
          <w:rStyle w:val="Hyperlink"/>
          <w:sz w:val="24"/>
          <w:szCs w:val="24"/>
        </w:rPr>
      </w:pPr>
    </w:p>
    <w:p w14:paraId="01E94A2A" w14:textId="6C502B7F" w:rsidR="000C4DF5" w:rsidRDefault="000C4DF5" w:rsidP="000C4DF5">
      <w:pPr>
        <w:pStyle w:val="NoSpacing"/>
        <w:rPr>
          <w:rFonts w:ascii="Arial Black" w:hAnsi="Arial Black"/>
          <w:sz w:val="24"/>
          <w:szCs w:val="24"/>
        </w:rPr>
      </w:pPr>
      <w:r>
        <w:rPr>
          <w:rFonts w:ascii="Arial Black" w:hAnsi="Arial Black"/>
          <w:sz w:val="24"/>
          <w:szCs w:val="24"/>
        </w:rPr>
        <w:lastRenderedPageBreak/>
        <w:t>16-10</w:t>
      </w:r>
    </w:p>
    <w:p w14:paraId="18ED8E0F" w14:textId="77777777" w:rsidR="00F326E5" w:rsidRDefault="00F326E5" w:rsidP="00F326E5">
      <w:pPr>
        <w:rPr>
          <w:b/>
          <w:sz w:val="24"/>
          <w:szCs w:val="24"/>
        </w:rPr>
      </w:pPr>
    </w:p>
    <w:p w14:paraId="6C6F9702" w14:textId="72777524" w:rsidR="00F326E5" w:rsidRPr="00FA036E" w:rsidRDefault="00F326E5" w:rsidP="00F326E5">
      <w:pPr>
        <w:rPr>
          <w:rFonts w:ascii="Arial Black" w:hAnsi="Arial Black"/>
          <w:sz w:val="28"/>
          <w:szCs w:val="28"/>
        </w:rPr>
      </w:pPr>
      <w:bookmarkStart w:id="615" w:name="_Hlk7348973"/>
      <w:bookmarkEnd w:id="614"/>
      <w:r>
        <w:rPr>
          <w:rFonts w:ascii="Arial Black" w:hAnsi="Arial Black"/>
          <w:sz w:val="28"/>
          <w:szCs w:val="28"/>
        </w:rPr>
        <w:t>TN:  FF REINSTATED - SCUFFLE AT OFF-DUTY RALLY / FIREARM - REINSTATED – CHARGES NOT PROVEN</w:t>
      </w:r>
    </w:p>
    <w:p w14:paraId="3D6D801E" w14:textId="77777777" w:rsidR="00B8368A" w:rsidRDefault="00F326E5" w:rsidP="00F326E5">
      <w:pPr>
        <w:rPr>
          <w:rFonts w:ascii="Times New Roman" w:eastAsia="Times New Roman" w:hAnsi="Times New Roman"/>
          <w:sz w:val="24"/>
          <w:szCs w:val="24"/>
        </w:rPr>
      </w:pPr>
      <w:r w:rsidRPr="00B8368A">
        <w:rPr>
          <w:rFonts w:ascii="Times New Roman" w:eastAsia="Times New Roman" w:hAnsi="Times New Roman"/>
          <w:sz w:val="24"/>
          <w:szCs w:val="24"/>
        </w:rPr>
        <w:t xml:space="preserve">On Oct. 10, 2018, in </w:t>
      </w:r>
      <w:r w:rsidRPr="00B8368A">
        <w:rPr>
          <w:rFonts w:ascii="Times New Roman" w:eastAsia="Times New Roman" w:hAnsi="Times New Roman"/>
          <w:sz w:val="24"/>
          <w:szCs w:val="24"/>
          <w:u w:val="single"/>
        </w:rPr>
        <w:t>Paul Zachary Moss v. Shelby County Civil Service Board</w:t>
      </w:r>
      <w:r w:rsidRPr="00B8368A">
        <w:rPr>
          <w:rFonts w:ascii="Times New Roman" w:eastAsia="Times New Roman" w:hAnsi="Times New Roman"/>
          <w:sz w:val="24"/>
          <w:szCs w:val="24"/>
        </w:rPr>
        <w:t xml:space="preserve">, the Court of Appeals of Tennessee (at Jackson) held (3 to 0) that the Civil Service Board is reversed, and firefighter is reinstated to Shelby County Fire Department.  </w:t>
      </w:r>
    </w:p>
    <w:p w14:paraId="1706CB8E" w14:textId="2CD8CF00" w:rsidR="00F326E5" w:rsidRPr="00B8368A" w:rsidRDefault="00F326E5" w:rsidP="00B8368A">
      <w:pPr>
        <w:ind w:left="720"/>
        <w:rPr>
          <w:rFonts w:ascii="Times New Roman" w:eastAsia="Times New Roman" w:hAnsi="Times New Roman"/>
          <w:sz w:val="24"/>
          <w:szCs w:val="24"/>
        </w:rPr>
      </w:pPr>
      <w:r w:rsidRPr="00B8368A">
        <w:rPr>
          <w:rFonts w:ascii="Times New Roman" w:eastAsia="Times New Roman" w:hAnsi="Times New Roman"/>
          <w:sz w:val="24"/>
          <w:szCs w:val="24"/>
        </w:rPr>
        <w:t xml:space="preserve">“Appellant contends that the decision upholding his termination should be reversed due to a violation of his due process rights. We agree and reverse…. Further, [Mr. Moss on appeal noted] that the ‘two charges asserted in the </w:t>
      </w:r>
      <w:r w:rsidRPr="00B8368A">
        <w:rPr>
          <w:rFonts w:ascii="Times New Roman" w:eastAsia="Times New Roman" w:hAnsi="Times New Roman"/>
          <w:i/>
          <w:sz w:val="24"/>
          <w:szCs w:val="24"/>
        </w:rPr>
        <w:t xml:space="preserve">Loudermill </w:t>
      </w:r>
      <w:r w:rsidRPr="00B8368A">
        <w:rPr>
          <w:rFonts w:ascii="Times New Roman" w:eastAsia="Times New Roman" w:hAnsi="Times New Roman"/>
          <w:sz w:val="24"/>
          <w:szCs w:val="24"/>
        </w:rPr>
        <w:t>notice were proven to be without factual basis as Chief Benson and Chief Burress both acknowledged that Mr. Moss gave notice of being taken to the Memphis Police Department on the night of the events and Mr. Moss had not been convicted of a felony.’”</w:t>
      </w:r>
      <w:hyperlink r:id="rId2668" w:history="1">
        <w:r w:rsidRPr="00B8368A">
          <w:rPr>
            <w:rStyle w:val="Hyperlink"/>
            <w:rFonts w:ascii="Times New Roman" w:hAnsi="Times New Roman"/>
            <w:sz w:val="24"/>
            <w:szCs w:val="24"/>
          </w:rPr>
          <w:t>http://www.tsc.state.tn.us/sites/default/files/mosspaulzacharyopn.pdf</w:t>
        </w:r>
      </w:hyperlink>
      <w:r w:rsidRPr="00B8368A">
        <w:rPr>
          <w:rFonts w:ascii="Times New Roman" w:eastAsia="Times New Roman" w:hAnsi="Times New Roman"/>
          <w:sz w:val="24"/>
          <w:szCs w:val="24"/>
        </w:rPr>
        <w:t xml:space="preserve"> </w:t>
      </w:r>
    </w:p>
    <w:p w14:paraId="7ABBB616" w14:textId="77777777" w:rsidR="00F326E5" w:rsidRPr="00B8368A" w:rsidRDefault="00F326E5" w:rsidP="00F326E5">
      <w:pPr>
        <w:rPr>
          <w:rFonts w:ascii="Times New Roman" w:hAnsi="Times New Roman"/>
          <w:b/>
          <w:sz w:val="24"/>
          <w:szCs w:val="24"/>
        </w:rPr>
      </w:pPr>
      <w:r w:rsidRPr="00B8368A">
        <w:rPr>
          <w:rFonts w:ascii="Times New Roman" w:hAnsi="Times New Roman"/>
          <w:b/>
          <w:sz w:val="24"/>
          <w:szCs w:val="24"/>
        </w:rPr>
        <w:t>Legal Lessons Learned:  Due process requires proof of the specific charges; if the FD had also included a charge of “conduct unbecoming” this case may have had a different result.</w:t>
      </w:r>
    </w:p>
    <w:p w14:paraId="69EB45FF" w14:textId="77777777" w:rsidR="000C4DF5" w:rsidRDefault="000C4DF5" w:rsidP="000C4DF5">
      <w:pPr>
        <w:pStyle w:val="NoSpacing"/>
        <w:rPr>
          <w:rFonts w:ascii="Arial Black" w:hAnsi="Arial Black"/>
          <w:sz w:val="24"/>
          <w:szCs w:val="24"/>
        </w:rPr>
      </w:pPr>
    </w:p>
    <w:p w14:paraId="0A5B7C7C" w14:textId="77777777" w:rsidR="00B8368A" w:rsidRDefault="00B8368A" w:rsidP="000C4DF5">
      <w:pPr>
        <w:pStyle w:val="NoSpacing"/>
        <w:rPr>
          <w:rFonts w:ascii="Arial Black" w:hAnsi="Arial Black"/>
          <w:sz w:val="24"/>
          <w:szCs w:val="24"/>
        </w:rPr>
      </w:pPr>
    </w:p>
    <w:p w14:paraId="0E457058" w14:textId="1489ED26" w:rsidR="00F326E5" w:rsidRDefault="000C4DF5" w:rsidP="000C4DF5">
      <w:pPr>
        <w:pStyle w:val="NoSpacing"/>
        <w:rPr>
          <w:sz w:val="24"/>
          <w:szCs w:val="24"/>
        </w:rPr>
      </w:pPr>
      <w:bookmarkStart w:id="616" w:name="_Hlk80769537"/>
      <w:r>
        <w:rPr>
          <w:rFonts w:ascii="Arial Black" w:hAnsi="Arial Black"/>
          <w:sz w:val="24"/>
          <w:szCs w:val="24"/>
        </w:rPr>
        <w:t>16-9</w:t>
      </w:r>
    </w:p>
    <w:p w14:paraId="18F3874F" w14:textId="6BD5C8E8" w:rsidR="00F326E5" w:rsidRPr="00237787" w:rsidRDefault="00F326E5" w:rsidP="00F326E5">
      <w:pPr>
        <w:pStyle w:val="Heading1"/>
        <w:rPr>
          <w:sz w:val="24"/>
          <w:szCs w:val="24"/>
        </w:rPr>
      </w:pPr>
      <w:bookmarkStart w:id="617" w:name="_Hlk7349033"/>
      <w:bookmarkEnd w:id="615"/>
      <w:r w:rsidRPr="004815FF">
        <w:rPr>
          <w:rFonts w:ascii="Arial Black" w:hAnsi="Arial Black"/>
          <w:sz w:val="28"/>
          <w:szCs w:val="28"/>
        </w:rPr>
        <w:t>TX: FREE SPEECH - PD OFFICER LAWSUIT MAY PROCEED - FIRED ORGANIZING POLICE ASSOCIATION</w:t>
      </w:r>
      <w:r>
        <w:rPr>
          <w:rFonts w:ascii="Arial Black" w:hAnsi="Arial Black"/>
          <w:sz w:val="24"/>
          <w:szCs w:val="24"/>
        </w:rPr>
        <w:t xml:space="preserve"> </w:t>
      </w:r>
      <w:r w:rsidRPr="00237787">
        <w:rPr>
          <w:sz w:val="24"/>
          <w:szCs w:val="24"/>
        </w:rPr>
        <w:t>[also filed, Chap. 1]</w:t>
      </w:r>
    </w:p>
    <w:p w14:paraId="34E73E98" w14:textId="77777777" w:rsidR="00B8368A" w:rsidRDefault="00F326E5" w:rsidP="00F326E5">
      <w:pPr>
        <w:rPr>
          <w:rFonts w:ascii="Times New Roman" w:hAnsi="Times New Roman"/>
          <w:sz w:val="24"/>
          <w:szCs w:val="24"/>
        </w:rPr>
      </w:pPr>
      <w:r w:rsidRPr="00B8368A">
        <w:rPr>
          <w:rFonts w:ascii="Times New Roman" w:hAnsi="Times New Roman"/>
          <w:sz w:val="24"/>
          <w:szCs w:val="24"/>
        </w:rPr>
        <w:t xml:space="preserve">On Aug. 31, 2018, in </w:t>
      </w:r>
      <w:r w:rsidRPr="00B8368A">
        <w:rPr>
          <w:rFonts w:ascii="Times New Roman" w:hAnsi="Times New Roman"/>
          <w:sz w:val="24"/>
          <w:szCs w:val="24"/>
          <w:u w:val="single"/>
        </w:rPr>
        <w:t>Marcus Mote v. Debra Walthall</w:t>
      </w:r>
      <w:r w:rsidRPr="00B8368A">
        <w:rPr>
          <w:rFonts w:ascii="Times New Roman" w:hAnsi="Times New Roman"/>
          <w:sz w:val="24"/>
          <w:szCs w:val="24"/>
        </w:rPr>
        <w:t>, the U.S. Court of Appeals for 5</w:t>
      </w:r>
      <w:r w:rsidRPr="00B8368A">
        <w:rPr>
          <w:rFonts w:ascii="Times New Roman" w:hAnsi="Times New Roman"/>
          <w:sz w:val="24"/>
          <w:szCs w:val="24"/>
          <w:vertAlign w:val="superscript"/>
        </w:rPr>
        <w:t>th</w:t>
      </w:r>
      <w:r w:rsidRPr="00B8368A">
        <w:rPr>
          <w:rFonts w:ascii="Times New Roman" w:hAnsi="Times New Roman"/>
          <w:sz w:val="24"/>
          <w:szCs w:val="24"/>
        </w:rPr>
        <w:t xml:space="preserve"> Circuit held (3 to 0) that Police Chief Debra Walthall is not entitled to qualified immunity, and Officer Mote’s lawsuit against her may proceed.  Officer Mote sought before he was fired to organize police officers with the City of </w:t>
      </w:r>
      <w:proofErr w:type="spellStart"/>
      <w:r w:rsidRPr="00B8368A">
        <w:rPr>
          <w:rFonts w:ascii="Times New Roman" w:hAnsi="Times New Roman"/>
          <w:sz w:val="24"/>
          <w:szCs w:val="24"/>
        </w:rPr>
        <w:t>Corith</w:t>
      </w:r>
      <w:proofErr w:type="spellEnd"/>
      <w:r w:rsidRPr="00B8368A">
        <w:rPr>
          <w:rFonts w:ascii="Times New Roman" w:hAnsi="Times New Roman"/>
          <w:sz w:val="24"/>
          <w:szCs w:val="24"/>
        </w:rPr>
        <w:t>, TX into a “</w:t>
      </w:r>
      <w:proofErr w:type="spellStart"/>
      <w:r w:rsidRPr="00B8368A">
        <w:rPr>
          <w:rFonts w:ascii="Times New Roman" w:hAnsi="Times New Roman"/>
          <w:sz w:val="24"/>
          <w:szCs w:val="24"/>
        </w:rPr>
        <w:t>Corith</w:t>
      </w:r>
      <w:proofErr w:type="spellEnd"/>
      <w:r w:rsidRPr="00B8368A">
        <w:rPr>
          <w:rFonts w:ascii="Times New Roman" w:hAnsi="Times New Roman"/>
          <w:sz w:val="24"/>
          <w:szCs w:val="24"/>
        </w:rPr>
        <w:t xml:space="preserve"> Police Officers Association” [no collective bargaining rights under TX law], affiliated with the Texas Municipal Police Association.  The Court wrote, </w:t>
      </w:r>
    </w:p>
    <w:p w14:paraId="346D7918" w14:textId="096CFB09" w:rsidR="00F326E5" w:rsidRPr="00B8368A" w:rsidRDefault="00F326E5" w:rsidP="00B8368A">
      <w:pPr>
        <w:ind w:left="720"/>
        <w:rPr>
          <w:rFonts w:ascii="Times New Roman" w:eastAsia="Times New Roman" w:hAnsi="Times New Roman"/>
          <w:sz w:val="24"/>
          <w:szCs w:val="24"/>
        </w:rPr>
      </w:pPr>
      <w:r w:rsidRPr="00B8368A">
        <w:rPr>
          <w:rFonts w:ascii="Times New Roman" w:hAnsi="Times New Roman"/>
          <w:sz w:val="24"/>
          <w:szCs w:val="24"/>
        </w:rPr>
        <w:t>“</w:t>
      </w:r>
      <w:r w:rsidRPr="00B8368A">
        <w:rPr>
          <w:rFonts w:ascii="Times New Roman" w:eastAsia="Times New Roman" w:hAnsi="Times New Roman"/>
          <w:sz w:val="24"/>
          <w:szCs w:val="24"/>
        </w:rPr>
        <w:t>The First Amendment protects the right of all persons to associate together in groups to ‘</w:t>
      </w:r>
      <w:proofErr w:type="spellStart"/>
      <w:r w:rsidRPr="00B8368A">
        <w:rPr>
          <w:rFonts w:ascii="Times New Roman" w:eastAsia="Times New Roman" w:hAnsi="Times New Roman"/>
          <w:sz w:val="24"/>
          <w:szCs w:val="24"/>
        </w:rPr>
        <w:t>advanc</w:t>
      </w:r>
      <w:proofErr w:type="spellEnd"/>
      <w:r w:rsidRPr="00B8368A">
        <w:rPr>
          <w:rFonts w:ascii="Times New Roman" w:eastAsia="Times New Roman" w:hAnsi="Times New Roman"/>
          <w:sz w:val="24"/>
          <w:szCs w:val="24"/>
        </w:rPr>
        <w:t>[e] beliefs and ideas.’ Put another way, ‘the [F]</w:t>
      </w:r>
      <w:proofErr w:type="spellStart"/>
      <w:r w:rsidRPr="00B8368A">
        <w:rPr>
          <w:rFonts w:ascii="Times New Roman" w:eastAsia="Times New Roman" w:hAnsi="Times New Roman"/>
          <w:sz w:val="24"/>
          <w:szCs w:val="24"/>
        </w:rPr>
        <w:t>irst</w:t>
      </w:r>
      <w:proofErr w:type="spellEnd"/>
      <w:r w:rsidRPr="00B8368A">
        <w:rPr>
          <w:rFonts w:ascii="Times New Roman" w:eastAsia="Times New Roman" w:hAnsi="Times New Roman"/>
          <w:sz w:val="24"/>
          <w:szCs w:val="24"/>
        </w:rPr>
        <w:t xml:space="preserve"> [A]</w:t>
      </w:r>
      <w:proofErr w:type="spellStart"/>
      <w:r w:rsidRPr="00B8368A">
        <w:rPr>
          <w:rFonts w:ascii="Times New Roman" w:eastAsia="Times New Roman" w:hAnsi="Times New Roman"/>
          <w:sz w:val="24"/>
          <w:szCs w:val="24"/>
        </w:rPr>
        <w:t>mendment</w:t>
      </w:r>
      <w:proofErr w:type="spellEnd"/>
      <w:r w:rsidRPr="00B8368A">
        <w:rPr>
          <w:rFonts w:ascii="Times New Roman" w:eastAsia="Times New Roman" w:hAnsi="Times New Roman"/>
          <w:sz w:val="24"/>
          <w:szCs w:val="24"/>
        </w:rPr>
        <w:t xml:space="preserve"> protects the right of all persons to associate together in groups to further their lawful interests.’ When groups </w:t>
      </w:r>
      <w:proofErr w:type="gramStart"/>
      <w:r w:rsidRPr="00B8368A">
        <w:rPr>
          <w:rFonts w:ascii="Times New Roman" w:eastAsia="Times New Roman" w:hAnsi="Times New Roman"/>
          <w:sz w:val="24"/>
          <w:szCs w:val="24"/>
        </w:rPr>
        <w:t>gather together</w:t>
      </w:r>
      <w:proofErr w:type="gramEnd"/>
      <w:r w:rsidRPr="00B8368A">
        <w:rPr>
          <w:rFonts w:ascii="Times New Roman" w:eastAsia="Times New Roman" w:hAnsi="Times New Roman"/>
          <w:sz w:val="24"/>
          <w:szCs w:val="24"/>
        </w:rPr>
        <w:t xml:space="preserve"> for this </w:t>
      </w:r>
      <w:proofErr w:type="gramStart"/>
      <w:r w:rsidRPr="00B8368A">
        <w:rPr>
          <w:rFonts w:ascii="Times New Roman" w:eastAsia="Times New Roman" w:hAnsi="Times New Roman"/>
          <w:sz w:val="24"/>
          <w:szCs w:val="24"/>
        </w:rPr>
        <w:t>purpose, ‘</w:t>
      </w:r>
      <w:proofErr w:type="gramEnd"/>
      <w:r w:rsidRPr="00B8368A">
        <w:rPr>
          <w:rFonts w:ascii="Times New Roman" w:eastAsia="Times New Roman" w:hAnsi="Times New Roman"/>
          <w:sz w:val="24"/>
          <w:szCs w:val="24"/>
        </w:rPr>
        <w:t xml:space="preserve">it cannot be seriously doubted’ that they comprise associations protected by the First Amendment. *** </w:t>
      </w:r>
      <w:r w:rsidRPr="00B8368A">
        <w:rPr>
          <w:rFonts w:ascii="Times New Roman" w:hAnsi="Times New Roman"/>
          <w:sz w:val="24"/>
          <w:szCs w:val="24"/>
        </w:rPr>
        <w:t xml:space="preserve">We conclude that Mote’s right to speak </w:t>
      </w:r>
      <w:r w:rsidRPr="00B8368A">
        <w:rPr>
          <w:rFonts w:ascii="Times New Roman" w:eastAsia="Times New Roman" w:hAnsi="Times New Roman"/>
          <w:sz w:val="24"/>
          <w:szCs w:val="24"/>
        </w:rPr>
        <w:t xml:space="preserve">in furtherance of forming the CPOA was clearly established as an integral part of his association rights. *** We agree with the district court that Mote’s association and speech rights to engage in the activities he alleged were clearly established. We therefore DISMISS the appeal.” </w:t>
      </w:r>
      <w:hyperlink r:id="rId2669" w:history="1">
        <w:r w:rsidRPr="00B8368A">
          <w:rPr>
            <w:rStyle w:val="Hyperlink"/>
            <w:rFonts w:ascii="Times New Roman" w:hAnsi="Times New Roman"/>
            <w:sz w:val="24"/>
            <w:szCs w:val="24"/>
          </w:rPr>
          <w:t>https://cases.justia.com/federal/appellate-courts/ca5/17-40754/17-40754-2018-08-31.pdf?ts=1535736678</w:t>
        </w:r>
      </w:hyperlink>
      <w:r w:rsidRPr="00B8368A">
        <w:rPr>
          <w:rFonts w:ascii="Times New Roman" w:eastAsia="Times New Roman" w:hAnsi="Times New Roman"/>
          <w:sz w:val="24"/>
          <w:szCs w:val="24"/>
        </w:rPr>
        <w:t xml:space="preserve"> </w:t>
      </w:r>
    </w:p>
    <w:p w14:paraId="66CB6BFA" w14:textId="272BB028" w:rsidR="00F326E5" w:rsidRPr="00B8368A" w:rsidRDefault="00F326E5" w:rsidP="00F326E5">
      <w:pPr>
        <w:rPr>
          <w:rFonts w:ascii="Times New Roman" w:eastAsia="Times New Roman" w:hAnsi="Times New Roman"/>
          <w:b/>
          <w:sz w:val="24"/>
          <w:szCs w:val="24"/>
        </w:rPr>
      </w:pPr>
      <w:r w:rsidRPr="00B8368A">
        <w:rPr>
          <w:rFonts w:ascii="Times New Roman" w:eastAsia="Times New Roman" w:hAnsi="Times New Roman"/>
          <w:b/>
          <w:sz w:val="24"/>
          <w:szCs w:val="24"/>
        </w:rPr>
        <w:t xml:space="preserve">Legal Lessons Learned: Very strong opinion concerning free speech rights of public employees.  Fire &amp; EMS departments should adopt a “Social Media” policy that recognizes free speech </w:t>
      </w:r>
      <w:proofErr w:type="gramStart"/>
      <w:r w:rsidRPr="00B8368A">
        <w:rPr>
          <w:rFonts w:ascii="Times New Roman" w:eastAsia="Times New Roman" w:hAnsi="Times New Roman"/>
          <w:b/>
          <w:sz w:val="24"/>
          <w:szCs w:val="24"/>
        </w:rPr>
        <w:t>rights,</w:t>
      </w:r>
      <w:r w:rsidR="00B8368A">
        <w:rPr>
          <w:rFonts w:ascii="Times New Roman" w:eastAsia="Times New Roman" w:hAnsi="Times New Roman"/>
          <w:b/>
          <w:sz w:val="24"/>
          <w:szCs w:val="24"/>
        </w:rPr>
        <w:t xml:space="preserve"> </w:t>
      </w:r>
      <w:r w:rsidRPr="00B8368A">
        <w:rPr>
          <w:rFonts w:ascii="Times New Roman" w:eastAsia="Times New Roman" w:hAnsi="Times New Roman"/>
          <w:b/>
          <w:sz w:val="24"/>
          <w:szCs w:val="24"/>
        </w:rPr>
        <w:t>but</w:t>
      </w:r>
      <w:proofErr w:type="gramEnd"/>
      <w:r w:rsidRPr="00B8368A">
        <w:rPr>
          <w:rFonts w:ascii="Times New Roman" w:eastAsia="Times New Roman" w:hAnsi="Times New Roman"/>
          <w:b/>
          <w:sz w:val="24"/>
          <w:szCs w:val="24"/>
        </w:rPr>
        <w:t xml:space="preserve"> </w:t>
      </w:r>
      <w:r w:rsidR="00B8368A">
        <w:rPr>
          <w:rFonts w:ascii="Times New Roman" w:eastAsia="Times New Roman" w:hAnsi="Times New Roman"/>
          <w:b/>
          <w:sz w:val="24"/>
          <w:szCs w:val="24"/>
        </w:rPr>
        <w:t xml:space="preserve">also </w:t>
      </w:r>
      <w:r w:rsidRPr="00B8368A">
        <w:rPr>
          <w:rFonts w:ascii="Times New Roman" w:eastAsia="Times New Roman" w:hAnsi="Times New Roman"/>
          <w:b/>
          <w:sz w:val="24"/>
          <w:szCs w:val="24"/>
        </w:rPr>
        <w:t>cautions members to not publicly discuss internal matters</w:t>
      </w:r>
      <w:r w:rsidRPr="00B8368A">
        <w:rPr>
          <w:rFonts w:ascii="Times New Roman" w:eastAsia="Times New Roman" w:hAnsi="Times New Roman"/>
          <w:sz w:val="24"/>
          <w:szCs w:val="24"/>
        </w:rPr>
        <w:t>.</w:t>
      </w:r>
    </w:p>
    <w:bookmarkEnd w:id="616"/>
    <w:bookmarkEnd w:id="617"/>
    <w:p w14:paraId="24FA42FE" w14:textId="77777777" w:rsidR="00F326E5" w:rsidRDefault="00F326E5" w:rsidP="00F326E5">
      <w:pPr>
        <w:pStyle w:val="Heading1"/>
        <w:rPr>
          <w:sz w:val="24"/>
          <w:szCs w:val="24"/>
        </w:rPr>
      </w:pPr>
    </w:p>
    <w:p w14:paraId="2FE8D6B4" w14:textId="199E56F3" w:rsidR="00F326E5" w:rsidRDefault="000C4DF5" w:rsidP="000C4DF5">
      <w:pPr>
        <w:pStyle w:val="NoSpacing"/>
        <w:rPr>
          <w:rFonts w:ascii="Arial Black" w:hAnsi="Arial Black"/>
          <w:sz w:val="24"/>
          <w:szCs w:val="24"/>
        </w:rPr>
      </w:pPr>
      <w:r>
        <w:rPr>
          <w:rFonts w:ascii="Arial Black" w:hAnsi="Arial Black"/>
          <w:sz w:val="24"/>
          <w:szCs w:val="24"/>
        </w:rPr>
        <w:t>16-8</w:t>
      </w:r>
    </w:p>
    <w:p w14:paraId="42F20CEE" w14:textId="77777777" w:rsidR="000C4DF5" w:rsidRDefault="000C4DF5" w:rsidP="000C4DF5">
      <w:pPr>
        <w:pStyle w:val="NoSpacing"/>
        <w:rPr>
          <w:sz w:val="24"/>
          <w:szCs w:val="24"/>
        </w:rPr>
      </w:pPr>
    </w:p>
    <w:p w14:paraId="1281755C" w14:textId="03895C9A" w:rsidR="00F326E5" w:rsidRDefault="00F326E5" w:rsidP="00F326E5">
      <w:pPr>
        <w:pStyle w:val="NoSpacing"/>
        <w:rPr>
          <w:rFonts w:ascii="Arial Black" w:hAnsi="Arial Black"/>
          <w:b/>
          <w:sz w:val="24"/>
          <w:szCs w:val="24"/>
        </w:rPr>
      </w:pPr>
      <w:bookmarkStart w:id="618" w:name="_Hlk7349133"/>
      <w:r w:rsidRPr="0038317F">
        <w:rPr>
          <w:rFonts w:ascii="Arial Black" w:hAnsi="Arial Black"/>
          <w:sz w:val="28"/>
          <w:szCs w:val="28"/>
        </w:rPr>
        <w:t>FL: T</w:t>
      </w:r>
      <w:r>
        <w:rPr>
          <w:rFonts w:ascii="Arial Black" w:hAnsi="Arial Black"/>
          <w:sz w:val="28"/>
          <w:szCs w:val="28"/>
        </w:rPr>
        <w:t>WO DISPATCHERS FIRED – DID NOT ALERT POLICE OF “HIGH HAZARD” PERSON –</w:t>
      </w:r>
      <w:r w:rsidR="00A50C92">
        <w:rPr>
          <w:rFonts w:ascii="Arial Black" w:hAnsi="Arial Black"/>
          <w:sz w:val="28"/>
          <w:szCs w:val="28"/>
        </w:rPr>
        <w:t xml:space="preserve"> POLICE </w:t>
      </w:r>
      <w:r>
        <w:rPr>
          <w:rFonts w:ascii="Arial Black" w:hAnsi="Arial Black"/>
          <w:sz w:val="28"/>
          <w:szCs w:val="28"/>
        </w:rPr>
        <w:t>OFFICER</w:t>
      </w:r>
      <w:r w:rsidRPr="0038317F">
        <w:rPr>
          <w:rFonts w:ascii="Arial Black" w:hAnsi="Arial Black"/>
          <w:sz w:val="28"/>
          <w:szCs w:val="28"/>
        </w:rPr>
        <w:t xml:space="preserve"> </w:t>
      </w:r>
      <w:r w:rsidR="00A50C92">
        <w:rPr>
          <w:rFonts w:ascii="Arial Black" w:hAnsi="Arial Black"/>
          <w:sz w:val="28"/>
          <w:szCs w:val="28"/>
        </w:rPr>
        <w:t>KILLED</w:t>
      </w:r>
    </w:p>
    <w:p w14:paraId="0B800638"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June 13, 2018, in </w:t>
      </w:r>
      <w:r w:rsidRPr="00E600C4">
        <w:rPr>
          <w:rFonts w:ascii="Times New Roman" w:hAnsi="Times New Roman"/>
          <w:sz w:val="24"/>
          <w:szCs w:val="24"/>
          <w:u w:val="single"/>
        </w:rPr>
        <w:t>Darryl Newman, Gwendolyn Forehand v. Consolidated Dispatch Agency</w:t>
      </w:r>
      <w:r w:rsidRPr="00E600C4">
        <w:rPr>
          <w:rFonts w:ascii="Times New Roman" w:hAnsi="Times New Roman"/>
          <w:sz w:val="24"/>
          <w:szCs w:val="24"/>
        </w:rPr>
        <w:t xml:space="preserve">, the U.S. </w:t>
      </w:r>
      <w:proofErr w:type="spellStart"/>
      <w:r w:rsidRPr="00E600C4">
        <w:rPr>
          <w:rFonts w:ascii="Times New Roman" w:hAnsi="Times New Roman"/>
          <w:sz w:val="24"/>
          <w:szCs w:val="24"/>
        </w:rPr>
        <w:t>CourtOf</w:t>
      </w:r>
      <w:proofErr w:type="spellEnd"/>
      <w:r w:rsidRPr="00E600C4">
        <w:rPr>
          <w:rFonts w:ascii="Times New Roman" w:hAnsi="Times New Roman"/>
          <w:sz w:val="24"/>
          <w:szCs w:val="24"/>
        </w:rPr>
        <w:t xml:space="preserve"> Appeals for the 11</w:t>
      </w:r>
      <w:r w:rsidRPr="00E600C4">
        <w:rPr>
          <w:rFonts w:ascii="Times New Roman" w:hAnsi="Times New Roman"/>
          <w:sz w:val="24"/>
          <w:szCs w:val="24"/>
          <w:vertAlign w:val="superscript"/>
        </w:rPr>
        <w:t>th</w:t>
      </w:r>
      <w:r w:rsidRPr="00E600C4">
        <w:rPr>
          <w:rFonts w:ascii="Times New Roman" w:hAnsi="Times New Roman"/>
          <w:sz w:val="24"/>
          <w:szCs w:val="24"/>
        </w:rPr>
        <w:t xml:space="preserve"> District (Atlanta, GA), held (3 to 0) in an unpublished opinion:</w:t>
      </w:r>
    </w:p>
    <w:p w14:paraId="0DE3CDCA" w14:textId="77777777" w:rsidR="00E600C4" w:rsidRDefault="00E600C4" w:rsidP="00F326E5">
      <w:pPr>
        <w:ind w:left="720"/>
        <w:rPr>
          <w:rFonts w:ascii="Times New Roman" w:eastAsia="Times New Roman" w:hAnsi="Times New Roman"/>
          <w:sz w:val="24"/>
          <w:szCs w:val="24"/>
        </w:rPr>
      </w:pPr>
    </w:p>
    <w:p w14:paraId="18E79E53" w14:textId="6621DBD2" w:rsidR="00F326E5" w:rsidRPr="00E600C4" w:rsidRDefault="00F326E5" w:rsidP="00F326E5">
      <w:pPr>
        <w:ind w:left="720"/>
        <w:rPr>
          <w:rFonts w:ascii="Times New Roman" w:eastAsia="Times New Roman" w:hAnsi="Times New Roman"/>
          <w:sz w:val="24"/>
          <w:szCs w:val="24"/>
        </w:rPr>
      </w:pPr>
      <w:r w:rsidRPr="00E600C4">
        <w:rPr>
          <w:rFonts w:ascii="Times New Roman" w:eastAsia="Times New Roman" w:hAnsi="Times New Roman"/>
          <w:sz w:val="24"/>
          <w:szCs w:val="24"/>
        </w:rPr>
        <w:t>“We are unpersuaded by the Appellants’ argument that their termination was arbitrary because there was no CDA [the Agency] protocol requiring them to check the ‘premises hazard’ tab, they were never warned of a requirement to look at ‘premises hazards,’ and no other PSCOs had been fired for failure to access the tab. Even if clicking on the tab was discretionary, the Appellants were nevertheless required to gather and disseminate pertinent information, pertinent information was available to them, and they failed to access it. They were aware of this responsibility based on their two decades of experience, and they knew how to access the ‘premises hazard’ tab.  Moreover, there is no evidence that any other PSCO’s failure to open the tab resulted in the death of a first responder.”</w:t>
      </w:r>
      <w:r w:rsidR="00E600C4">
        <w:rPr>
          <w:rFonts w:ascii="Times New Roman" w:eastAsia="Times New Roman" w:hAnsi="Times New Roman"/>
          <w:sz w:val="24"/>
          <w:szCs w:val="24"/>
        </w:rPr>
        <w:t xml:space="preserve"> </w:t>
      </w:r>
      <w:hyperlink r:id="rId2670" w:history="1">
        <w:r w:rsidRPr="00E600C4">
          <w:rPr>
            <w:rStyle w:val="Hyperlink"/>
            <w:rFonts w:ascii="Times New Roman" w:hAnsi="Times New Roman"/>
            <w:sz w:val="24"/>
            <w:szCs w:val="24"/>
          </w:rPr>
          <w:t>http://media.ca11.uscourts.gov/opinions/unpub/files/201715398.pdf</w:t>
        </w:r>
      </w:hyperlink>
      <w:r w:rsidRPr="00E600C4">
        <w:rPr>
          <w:rFonts w:ascii="Times New Roman" w:eastAsia="Times New Roman" w:hAnsi="Times New Roman"/>
          <w:sz w:val="24"/>
          <w:szCs w:val="24"/>
        </w:rPr>
        <w:t xml:space="preserve"> </w:t>
      </w:r>
    </w:p>
    <w:p w14:paraId="08CF5695" w14:textId="77777777" w:rsidR="00E600C4" w:rsidRDefault="00F326E5" w:rsidP="00E600C4">
      <w:pPr>
        <w:pStyle w:val="Heading1"/>
        <w:rPr>
          <w:sz w:val="24"/>
          <w:szCs w:val="24"/>
        </w:rPr>
      </w:pPr>
      <w:r w:rsidRPr="00E600C4">
        <w:rPr>
          <w:sz w:val="24"/>
          <w:szCs w:val="24"/>
        </w:rPr>
        <w:t xml:space="preserve">Legal Lessons Learned:  Fire, EMS and Police must be warned of high hazard locations.  Please share this case with your 911 Dispatch </w:t>
      </w:r>
      <w:proofErr w:type="gramStart"/>
      <w:r w:rsidRPr="00E600C4">
        <w:rPr>
          <w:sz w:val="24"/>
          <w:szCs w:val="24"/>
        </w:rPr>
        <w:t>agency, and</w:t>
      </w:r>
      <w:proofErr w:type="gramEnd"/>
      <w:r w:rsidRPr="00E600C4">
        <w:rPr>
          <w:sz w:val="24"/>
          <w:szCs w:val="24"/>
        </w:rPr>
        <w:t xml:space="preserve"> confirm they have a protocol in </w:t>
      </w:r>
      <w:proofErr w:type="gramStart"/>
      <w:r w:rsidRPr="00E600C4">
        <w:rPr>
          <w:sz w:val="24"/>
          <w:szCs w:val="24"/>
        </w:rPr>
        <w:t>place</w:t>
      </w:r>
      <w:proofErr w:type="gramEnd"/>
      <w:r w:rsidRPr="00E600C4">
        <w:rPr>
          <w:sz w:val="24"/>
          <w:szCs w:val="24"/>
        </w:rPr>
        <w:t xml:space="preserve"> and it is followed 100% of time.  </w:t>
      </w:r>
      <w:bookmarkEnd w:id="618"/>
    </w:p>
    <w:p w14:paraId="2277836F" w14:textId="26F10EBE" w:rsidR="00F326E5" w:rsidRPr="00E600C4" w:rsidRDefault="00F326E5" w:rsidP="00E600C4">
      <w:pPr>
        <w:pStyle w:val="Heading1"/>
        <w:ind w:left="720"/>
        <w:rPr>
          <w:b w:val="0"/>
          <w:bCs w:val="0"/>
          <w:sz w:val="24"/>
          <w:szCs w:val="24"/>
        </w:rPr>
      </w:pPr>
      <w:r w:rsidRPr="00E600C4">
        <w:rPr>
          <w:b w:val="0"/>
          <w:bCs w:val="0"/>
          <w:sz w:val="24"/>
          <w:szCs w:val="24"/>
        </w:rPr>
        <w:t xml:space="preserve">See news report and TV video of this terrible scene: “Police identify gunman, Florida deputy killed in shootout” - </w:t>
      </w:r>
      <w:hyperlink r:id="rId2671" w:history="1">
        <w:r w:rsidRPr="00E600C4">
          <w:rPr>
            <w:rStyle w:val="Hyperlink"/>
            <w:b w:val="0"/>
            <w:bCs w:val="0"/>
            <w:sz w:val="24"/>
            <w:szCs w:val="24"/>
          </w:rPr>
          <w:t>https://www.usatoday.com/story/news/nation/2014/11/23/florida-deputy-ambush-killed-identified/19446091/</w:t>
        </w:r>
      </w:hyperlink>
    </w:p>
    <w:p w14:paraId="5DF9ED8C" w14:textId="77777777" w:rsidR="00F326E5" w:rsidRPr="00B66B0C" w:rsidRDefault="00F326E5" w:rsidP="00F326E5">
      <w:pPr>
        <w:ind w:left="720"/>
        <w:rPr>
          <w:rFonts w:eastAsia="Times New Roman"/>
          <w:b/>
          <w:sz w:val="24"/>
          <w:szCs w:val="24"/>
        </w:rPr>
      </w:pPr>
    </w:p>
    <w:p w14:paraId="2A331137" w14:textId="13C32D8E" w:rsidR="000C4DF5" w:rsidRDefault="000C4DF5" w:rsidP="000C4DF5">
      <w:pPr>
        <w:pStyle w:val="NoSpacing"/>
        <w:rPr>
          <w:rFonts w:ascii="Arial Black" w:hAnsi="Arial Black"/>
          <w:sz w:val="24"/>
          <w:szCs w:val="24"/>
        </w:rPr>
      </w:pPr>
      <w:bookmarkStart w:id="619" w:name="_Hlk80769557"/>
      <w:r>
        <w:rPr>
          <w:rFonts w:ascii="Arial Black" w:hAnsi="Arial Black"/>
          <w:sz w:val="24"/>
          <w:szCs w:val="24"/>
        </w:rPr>
        <w:t>16-7</w:t>
      </w:r>
    </w:p>
    <w:p w14:paraId="581B04DA" w14:textId="77777777" w:rsidR="00F326E5" w:rsidRDefault="00F326E5" w:rsidP="00F326E5">
      <w:pPr>
        <w:pStyle w:val="NoSpacing"/>
        <w:rPr>
          <w:rFonts w:ascii="Arial Black" w:hAnsi="Arial Black"/>
          <w:b/>
          <w:sz w:val="24"/>
          <w:szCs w:val="24"/>
        </w:rPr>
      </w:pPr>
    </w:p>
    <w:p w14:paraId="1F95F5BD" w14:textId="47B23E36" w:rsidR="00F326E5" w:rsidRPr="00270075" w:rsidRDefault="00F326E5" w:rsidP="00F326E5">
      <w:pPr>
        <w:rPr>
          <w:b/>
          <w:sz w:val="24"/>
          <w:szCs w:val="24"/>
        </w:rPr>
      </w:pPr>
      <w:bookmarkStart w:id="620" w:name="_Hlk7349211"/>
      <w:r w:rsidRPr="00F707DC">
        <w:rPr>
          <w:rFonts w:ascii="Arial Black" w:hAnsi="Arial Black"/>
          <w:sz w:val="28"/>
          <w:szCs w:val="28"/>
        </w:rPr>
        <w:t>PA:  DOT E</w:t>
      </w:r>
      <w:r>
        <w:rPr>
          <w:rFonts w:ascii="Arial Black" w:hAnsi="Arial Black"/>
          <w:sz w:val="28"/>
          <w:szCs w:val="28"/>
        </w:rPr>
        <w:t xml:space="preserve">MPLOYEE FIRED FOR </w:t>
      </w:r>
      <w:r w:rsidRPr="00F707DC">
        <w:rPr>
          <w:rFonts w:ascii="Arial Black" w:hAnsi="Arial Black"/>
          <w:sz w:val="28"/>
          <w:szCs w:val="28"/>
        </w:rPr>
        <w:t>FACEBOOK P</w:t>
      </w:r>
      <w:r>
        <w:rPr>
          <w:rFonts w:ascii="Arial Black" w:hAnsi="Arial Black"/>
          <w:sz w:val="28"/>
          <w:szCs w:val="28"/>
        </w:rPr>
        <w:t xml:space="preserve">OSTS ON BAD SCHOOL BUS DRIVERS – REINSTATED </w:t>
      </w:r>
      <w:r w:rsidRPr="00270075">
        <w:rPr>
          <w:b/>
          <w:sz w:val="24"/>
          <w:szCs w:val="24"/>
        </w:rPr>
        <w:t>[also filed, Chap. 1]</w:t>
      </w:r>
    </w:p>
    <w:p w14:paraId="570125A1"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June 12, 2018, in </w:t>
      </w:r>
      <w:r w:rsidRPr="00E600C4">
        <w:rPr>
          <w:rFonts w:ascii="Times New Roman" w:hAnsi="Times New Roman"/>
          <w:sz w:val="24"/>
          <w:szCs w:val="24"/>
          <w:u w:val="single"/>
        </w:rPr>
        <w:t>Rachel L. Carr v. Commonwealth of Pennsylvania / Department of Transportation and Civil Service Commission</w:t>
      </w:r>
      <w:r w:rsidRPr="00E600C4">
        <w:rPr>
          <w:rFonts w:ascii="Times New Roman" w:hAnsi="Times New Roman"/>
          <w:sz w:val="24"/>
          <w:szCs w:val="24"/>
        </w:rPr>
        <w:t>, the Commonwealth Court of Pennsylvania held (3 to 0) that the employee’s FACEBOOK posts about local school bus drivers were “inappropriate” but were protected since it “touched on a matter of public concern.” The Court wrote: “After a thorough review of the record and a conscientious analysis of the factors articulated by the United States Supreme Court, we conclude that the Department’s generalized interest in the safety of the traveling public does not outweigh Carr’s specific interest in commenting on the safety of a particular bus driver. While Carr’s comments are undoubtedly inappropriate, such comments still receive protection under the First Amendment.”</w:t>
      </w:r>
    </w:p>
    <w:p w14:paraId="620D86C0" w14:textId="77777777" w:rsidR="00F326E5" w:rsidRPr="00E600C4" w:rsidRDefault="00F326E5" w:rsidP="00F326E5">
      <w:pPr>
        <w:pStyle w:val="NoSpacing"/>
        <w:rPr>
          <w:rFonts w:ascii="Times New Roman" w:hAnsi="Times New Roman"/>
          <w:sz w:val="24"/>
          <w:szCs w:val="24"/>
        </w:rPr>
      </w:pPr>
      <w:hyperlink r:id="rId2672" w:history="1">
        <w:r w:rsidRPr="00E600C4">
          <w:rPr>
            <w:rStyle w:val="Hyperlink"/>
            <w:rFonts w:ascii="Times New Roman" w:hAnsi="Times New Roman"/>
            <w:sz w:val="24"/>
            <w:szCs w:val="24"/>
          </w:rPr>
          <w:t>http://www.pacourts.us/assets/opinions/Commonwealth/out/380md17_6-12-18.pdf</w:t>
        </w:r>
      </w:hyperlink>
      <w:r w:rsidRPr="00E600C4">
        <w:rPr>
          <w:rFonts w:ascii="Times New Roman" w:hAnsi="Times New Roman"/>
          <w:sz w:val="24"/>
          <w:szCs w:val="24"/>
        </w:rPr>
        <w:t xml:space="preserve"> </w:t>
      </w:r>
    </w:p>
    <w:p w14:paraId="07115E3B" w14:textId="77777777" w:rsidR="00E600C4" w:rsidRDefault="00E600C4" w:rsidP="00F326E5">
      <w:pPr>
        <w:pStyle w:val="NoSpacing"/>
        <w:rPr>
          <w:rFonts w:ascii="Times New Roman" w:hAnsi="Times New Roman"/>
          <w:b/>
          <w:sz w:val="24"/>
          <w:szCs w:val="24"/>
        </w:rPr>
      </w:pPr>
    </w:p>
    <w:p w14:paraId="3BF757DB" w14:textId="5845C131"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Fire &amp; EMS Departments should have a </w:t>
      </w:r>
      <w:proofErr w:type="gramStart"/>
      <w:r w:rsidRPr="00E600C4">
        <w:rPr>
          <w:rFonts w:ascii="Times New Roman" w:hAnsi="Times New Roman"/>
          <w:b/>
          <w:sz w:val="24"/>
          <w:szCs w:val="24"/>
        </w:rPr>
        <w:t>Social Media Policy</w:t>
      </w:r>
      <w:proofErr w:type="gramEnd"/>
      <w:r w:rsidRPr="00E600C4">
        <w:rPr>
          <w:rFonts w:ascii="Times New Roman" w:hAnsi="Times New Roman"/>
          <w:b/>
          <w:sz w:val="24"/>
          <w:szCs w:val="24"/>
        </w:rPr>
        <w:t xml:space="preserve"> that clearly advises personnel that their “Free Speech rights” are limited when discussing FD internal matters. </w:t>
      </w:r>
    </w:p>
    <w:p w14:paraId="1AF239D0"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 </w:t>
      </w:r>
    </w:p>
    <w:bookmarkEnd w:id="619"/>
    <w:bookmarkEnd w:id="620"/>
    <w:p w14:paraId="6EFE3B3A" w14:textId="77777777" w:rsidR="000C4DF5" w:rsidRDefault="000C4DF5" w:rsidP="000C4DF5">
      <w:pPr>
        <w:pStyle w:val="NoSpacing"/>
        <w:rPr>
          <w:rFonts w:ascii="Arial Black" w:hAnsi="Arial Black"/>
          <w:sz w:val="24"/>
          <w:szCs w:val="24"/>
        </w:rPr>
      </w:pPr>
    </w:p>
    <w:p w14:paraId="4EE43A7D" w14:textId="18E6F2D3" w:rsidR="00A50C92" w:rsidRDefault="000C4DF5" w:rsidP="000C4DF5">
      <w:pPr>
        <w:pStyle w:val="NoSpacing"/>
        <w:rPr>
          <w:sz w:val="24"/>
          <w:szCs w:val="24"/>
          <w:lang w:val="en"/>
        </w:rPr>
      </w:pPr>
      <w:r>
        <w:rPr>
          <w:rFonts w:ascii="Arial Black" w:hAnsi="Arial Black"/>
          <w:sz w:val="24"/>
          <w:szCs w:val="24"/>
        </w:rPr>
        <w:t>16-6</w:t>
      </w:r>
    </w:p>
    <w:p w14:paraId="59A09E74" w14:textId="1C097549" w:rsidR="00F326E5" w:rsidRPr="00F707DC" w:rsidRDefault="00F326E5" w:rsidP="00F326E5">
      <w:pPr>
        <w:spacing w:before="100" w:beforeAutospacing="1" w:after="100" w:afterAutospacing="1"/>
        <w:outlineLvl w:val="0"/>
        <w:rPr>
          <w:sz w:val="28"/>
          <w:szCs w:val="28"/>
        </w:rPr>
      </w:pPr>
      <w:bookmarkStart w:id="621" w:name="_Hlk7349280"/>
      <w:r w:rsidRPr="00F707DC">
        <w:rPr>
          <w:rFonts w:ascii="Arial Black" w:hAnsi="Arial Black"/>
          <w:sz w:val="28"/>
          <w:szCs w:val="28"/>
        </w:rPr>
        <w:t xml:space="preserve">TX: CAPTAIN SUPENDED FOR NOT SUBMITTING DOCTOR’S REPORT </w:t>
      </w:r>
      <w:r w:rsidR="00A50C92">
        <w:rPr>
          <w:rFonts w:ascii="Arial Black" w:hAnsi="Arial Black"/>
          <w:sz w:val="28"/>
          <w:szCs w:val="28"/>
        </w:rPr>
        <w:t>–</w:t>
      </w:r>
      <w:r w:rsidRPr="00F707DC">
        <w:rPr>
          <w:rFonts w:ascii="Arial Black" w:hAnsi="Arial Black"/>
          <w:sz w:val="28"/>
          <w:szCs w:val="28"/>
        </w:rPr>
        <w:t xml:space="preserve"> </w:t>
      </w:r>
      <w:r w:rsidR="00A50C92">
        <w:rPr>
          <w:rFonts w:ascii="Arial Black" w:hAnsi="Arial Black"/>
          <w:sz w:val="28"/>
          <w:szCs w:val="28"/>
        </w:rPr>
        <w:t xml:space="preserve">REVERSED, </w:t>
      </w:r>
      <w:r w:rsidRPr="00F707DC">
        <w:rPr>
          <w:rFonts w:ascii="Arial Black" w:hAnsi="Arial Black"/>
          <w:sz w:val="28"/>
          <w:szCs w:val="28"/>
        </w:rPr>
        <w:t xml:space="preserve">FD FAILED TO DISCIPLINE </w:t>
      </w:r>
      <w:r>
        <w:rPr>
          <w:rFonts w:ascii="Arial Black" w:hAnsi="Arial Black"/>
          <w:sz w:val="28"/>
          <w:szCs w:val="28"/>
        </w:rPr>
        <w:t xml:space="preserve">IN </w:t>
      </w:r>
      <w:r w:rsidRPr="00F707DC">
        <w:rPr>
          <w:rFonts w:ascii="Arial Black" w:hAnsi="Arial Black"/>
          <w:sz w:val="28"/>
          <w:szCs w:val="28"/>
        </w:rPr>
        <w:t>180 DAYS</w:t>
      </w:r>
      <w:r w:rsidRPr="00F707DC">
        <w:rPr>
          <w:sz w:val="28"/>
          <w:szCs w:val="28"/>
        </w:rPr>
        <w:t xml:space="preserve"> </w:t>
      </w:r>
    </w:p>
    <w:p w14:paraId="01EBA355" w14:textId="77777777" w:rsidR="00F326E5" w:rsidRPr="00E600C4" w:rsidRDefault="00F326E5" w:rsidP="00F326E5">
      <w:pPr>
        <w:spacing w:before="100" w:beforeAutospacing="1" w:after="100" w:afterAutospacing="1"/>
        <w:outlineLvl w:val="0"/>
        <w:rPr>
          <w:rFonts w:ascii="Times New Roman" w:eastAsia="Times New Roman" w:hAnsi="Times New Roman"/>
          <w:sz w:val="24"/>
          <w:szCs w:val="24"/>
        </w:rPr>
      </w:pPr>
      <w:r w:rsidRPr="00E600C4">
        <w:rPr>
          <w:rFonts w:ascii="Times New Roman" w:hAnsi="Times New Roman"/>
          <w:sz w:val="24"/>
          <w:szCs w:val="24"/>
        </w:rPr>
        <w:t xml:space="preserve">On April 17, 2018, in </w:t>
      </w:r>
      <w:r w:rsidRPr="00E600C4">
        <w:rPr>
          <w:rFonts w:ascii="Times New Roman" w:hAnsi="Times New Roman"/>
          <w:sz w:val="24"/>
          <w:szCs w:val="24"/>
          <w:u w:val="single"/>
        </w:rPr>
        <w:t>Steven Dunbar v. City of Houston</w:t>
      </w:r>
      <w:r w:rsidRPr="00E600C4">
        <w:rPr>
          <w:rFonts w:ascii="Times New Roman" w:hAnsi="Times New Roman"/>
          <w:sz w:val="24"/>
          <w:szCs w:val="24"/>
        </w:rPr>
        <w:t xml:space="preserve">, the State of Texas in the Fourteenth Court of Appeals, held that the </w:t>
      </w:r>
      <w:proofErr w:type="gramStart"/>
      <w:r w:rsidRPr="00E600C4">
        <w:rPr>
          <w:rFonts w:ascii="Times New Roman" w:hAnsi="Times New Roman"/>
          <w:sz w:val="24"/>
          <w:szCs w:val="24"/>
        </w:rPr>
        <w:t>Captain’s</w:t>
      </w:r>
      <w:proofErr w:type="gramEnd"/>
      <w:r w:rsidRPr="00E600C4">
        <w:rPr>
          <w:rFonts w:ascii="Times New Roman" w:hAnsi="Times New Roman"/>
          <w:sz w:val="24"/>
          <w:szCs w:val="24"/>
        </w:rPr>
        <w:t xml:space="preserve"> 10-day suspension is reversed.  The “</w:t>
      </w:r>
      <w:r w:rsidRPr="00E600C4">
        <w:rPr>
          <w:rFonts w:ascii="Times New Roman" w:eastAsia="Times New Roman" w:hAnsi="Times New Roman"/>
          <w:sz w:val="24"/>
          <w:szCs w:val="24"/>
        </w:rPr>
        <w:t xml:space="preserve">Department was aware of the violation not later than August 2014, and thus, his suspension more than 180 days later is void.” </w:t>
      </w:r>
      <w:hyperlink r:id="rId2673" w:history="1">
        <w:r w:rsidRPr="00E600C4">
          <w:rPr>
            <w:rStyle w:val="Hyperlink"/>
            <w:rFonts w:ascii="Times New Roman" w:hAnsi="Times New Roman"/>
            <w:sz w:val="24"/>
            <w:szCs w:val="24"/>
          </w:rPr>
          <w:t>https://cases.justia.com/texas/fourteenth-court-of-appeals/2018-14-17-00156-cv.pdf?ts=1523970132</w:t>
        </w:r>
      </w:hyperlink>
      <w:r w:rsidRPr="00E600C4">
        <w:rPr>
          <w:rFonts w:ascii="Times New Roman" w:eastAsia="Times New Roman" w:hAnsi="Times New Roman"/>
          <w:sz w:val="24"/>
          <w:szCs w:val="24"/>
        </w:rPr>
        <w:t xml:space="preserve"> </w:t>
      </w:r>
    </w:p>
    <w:p w14:paraId="47E5A987" w14:textId="77777777" w:rsidR="00F326E5" w:rsidRPr="00E600C4" w:rsidRDefault="00F326E5" w:rsidP="00F326E5">
      <w:pPr>
        <w:rPr>
          <w:rFonts w:ascii="Times New Roman" w:eastAsia="Times New Roman" w:hAnsi="Times New Roman"/>
          <w:b/>
          <w:sz w:val="24"/>
          <w:szCs w:val="24"/>
        </w:rPr>
      </w:pPr>
      <w:r w:rsidRPr="00E600C4">
        <w:rPr>
          <w:rFonts w:ascii="Times New Roman" w:eastAsia="Times New Roman" w:hAnsi="Times New Roman"/>
          <w:b/>
          <w:sz w:val="24"/>
          <w:szCs w:val="24"/>
        </w:rPr>
        <w:t>Legal Lessons Learned:  Texas statute requiring discipline within 180 days must be strictly followed; the clock begins to run when the department FIRST becomes aware of the violation.</w:t>
      </w:r>
    </w:p>
    <w:bookmarkEnd w:id="621"/>
    <w:p w14:paraId="50A57BFB" w14:textId="77777777" w:rsidR="00F326E5" w:rsidRPr="00E600C4" w:rsidRDefault="00F326E5" w:rsidP="00F326E5">
      <w:pPr>
        <w:ind w:left="720"/>
        <w:rPr>
          <w:rFonts w:ascii="Times New Roman" w:eastAsia="Times New Roman" w:hAnsi="Times New Roman"/>
          <w:sz w:val="24"/>
          <w:szCs w:val="24"/>
        </w:rPr>
      </w:pPr>
    </w:p>
    <w:p w14:paraId="77923827" w14:textId="77777777" w:rsidR="00F326E5" w:rsidRDefault="00F326E5" w:rsidP="00F326E5">
      <w:pPr>
        <w:ind w:left="720"/>
        <w:rPr>
          <w:rFonts w:eastAsia="Times New Roman"/>
          <w:sz w:val="24"/>
          <w:szCs w:val="24"/>
        </w:rPr>
      </w:pPr>
    </w:p>
    <w:p w14:paraId="496FEAB8" w14:textId="160C5FD0" w:rsidR="000C4DF5" w:rsidRDefault="000C4DF5" w:rsidP="00F326E5">
      <w:pPr>
        <w:pStyle w:val="NoSpacing"/>
        <w:rPr>
          <w:rFonts w:ascii="Arial Black" w:hAnsi="Arial Black"/>
          <w:b/>
          <w:sz w:val="28"/>
          <w:szCs w:val="28"/>
        </w:rPr>
      </w:pPr>
      <w:bookmarkStart w:id="622" w:name="_Hlk7349318"/>
      <w:r>
        <w:rPr>
          <w:rFonts w:ascii="Arial Black" w:hAnsi="Arial Black"/>
          <w:sz w:val="24"/>
          <w:szCs w:val="24"/>
        </w:rPr>
        <w:t>16-5</w:t>
      </w:r>
    </w:p>
    <w:p w14:paraId="5670CD67" w14:textId="77777777" w:rsidR="000C4DF5" w:rsidRDefault="000C4DF5" w:rsidP="00F326E5">
      <w:pPr>
        <w:pStyle w:val="NoSpacing"/>
        <w:rPr>
          <w:rFonts w:ascii="Arial Black" w:hAnsi="Arial Black"/>
          <w:b/>
          <w:sz w:val="28"/>
          <w:szCs w:val="28"/>
        </w:rPr>
      </w:pPr>
    </w:p>
    <w:p w14:paraId="3F81268E" w14:textId="658C67A3" w:rsidR="00F326E5" w:rsidRDefault="00F326E5" w:rsidP="00F326E5">
      <w:pPr>
        <w:pStyle w:val="NoSpacing"/>
        <w:rPr>
          <w:b/>
          <w:sz w:val="24"/>
          <w:szCs w:val="24"/>
        </w:rPr>
      </w:pPr>
      <w:r w:rsidRPr="005E290F">
        <w:rPr>
          <w:rFonts w:ascii="Arial Black" w:hAnsi="Arial Black"/>
          <w:b/>
          <w:sz w:val="28"/>
          <w:szCs w:val="28"/>
        </w:rPr>
        <w:t xml:space="preserve">TN: FIREFIGHTER </w:t>
      </w:r>
      <w:r>
        <w:rPr>
          <w:rFonts w:ascii="Arial Black" w:hAnsi="Arial Black"/>
          <w:b/>
          <w:sz w:val="28"/>
          <w:szCs w:val="28"/>
        </w:rPr>
        <w:t xml:space="preserve">FIRED FOR </w:t>
      </w:r>
      <w:r w:rsidRPr="005E290F">
        <w:rPr>
          <w:rFonts w:ascii="Arial Black" w:hAnsi="Arial Black"/>
          <w:b/>
          <w:sz w:val="28"/>
          <w:szCs w:val="28"/>
        </w:rPr>
        <w:t>MA</w:t>
      </w:r>
      <w:r>
        <w:rPr>
          <w:rFonts w:ascii="Arial Black" w:hAnsi="Arial Black"/>
          <w:b/>
          <w:sz w:val="28"/>
          <w:szCs w:val="28"/>
        </w:rPr>
        <w:t>KING</w:t>
      </w:r>
      <w:r w:rsidRPr="005E290F">
        <w:rPr>
          <w:rFonts w:ascii="Arial Black" w:hAnsi="Arial Black"/>
          <w:b/>
          <w:sz w:val="28"/>
          <w:szCs w:val="28"/>
        </w:rPr>
        <w:t xml:space="preserve"> SEXUALLY HARASSING PHONE CALLS ON DUTY</w:t>
      </w:r>
      <w:r>
        <w:rPr>
          <w:rFonts w:ascii="Arial Black" w:hAnsi="Arial Black"/>
          <w:b/>
          <w:sz w:val="28"/>
          <w:szCs w:val="28"/>
        </w:rPr>
        <w:t xml:space="preserve"> – NO RETALIATION</w:t>
      </w:r>
    </w:p>
    <w:p w14:paraId="014BF7F3" w14:textId="77777777"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March 23, 2018, in </w:t>
      </w:r>
      <w:r w:rsidRPr="00E600C4">
        <w:rPr>
          <w:rFonts w:ascii="Times New Roman" w:hAnsi="Times New Roman"/>
          <w:sz w:val="24"/>
          <w:szCs w:val="24"/>
          <w:u w:val="single"/>
        </w:rPr>
        <w:t>Joseph Sweat v. City of McMinnville</w:t>
      </w:r>
      <w:r w:rsidRPr="00E600C4">
        <w:rPr>
          <w:rFonts w:ascii="Times New Roman" w:hAnsi="Times New Roman"/>
          <w:sz w:val="24"/>
          <w:szCs w:val="24"/>
        </w:rPr>
        <w:t xml:space="preserve">, the Court of Appeals of Tennessee </w:t>
      </w:r>
      <w:proofErr w:type="gramStart"/>
      <w:r w:rsidRPr="00E600C4">
        <w:rPr>
          <w:rFonts w:ascii="Times New Roman" w:hAnsi="Times New Roman"/>
          <w:sz w:val="24"/>
          <w:szCs w:val="24"/>
        </w:rPr>
        <w:t>At</w:t>
      </w:r>
      <w:proofErr w:type="gramEnd"/>
      <w:r w:rsidRPr="00E600C4">
        <w:rPr>
          <w:rFonts w:ascii="Times New Roman" w:hAnsi="Times New Roman"/>
          <w:sz w:val="24"/>
          <w:szCs w:val="24"/>
        </w:rPr>
        <w:t xml:space="preserve"> Nashville, held (3 to 0) that the trial court properly dismissed the firefighter’s lawsuit, since he was unable to prove that the City’s proffered reasons for the discharge was pretextual, including: </w:t>
      </w:r>
    </w:p>
    <w:p w14:paraId="28B6DCA4" w14:textId="77777777" w:rsidR="00E600C4" w:rsidRDefault="00E600C4" w:rsidP="00F326E5">
      <w:pPr>
        <w:pStyle w:val="NoSpacing"/>
        <w:rPr>
          <w:rFonts w:ascii="Times New Roman" w:hAnsi="Times New Roman"/>
          <w:sz w:val="24"/>
          <w:szCs w:val="24"/>
        </w:rPr>
      </w:pPr>
    </w:p>
    <w:p w14:paraId="58B0EF20" w14:textId="741DB683" w:rsidR="00F326E5" w:rsidRPr="00E600C4" w:rsidRDefault="00F326E5" w:rsidP="00E600C4">
      <w:pPr>
        <w:pStyle w:val="NoSpacing"/>
        <w:ind w:left="720"/>
        <w:rPr>
          <w:rStyle w:val="Hyperlink"/>
          <w:rFonts w:ascii="Times New Roman" w:hAnsi="Times New Roman"/>
          <w:sz w:val="24"/>
          <w:szCs w:val="24"/>
        </w:rPr>
      </w:pPr>
      <w:r w:rsidRPr="00E600C4">
        <w:rPr>
          <w:rFonts w:ascii="Times New Roman" w:hAnsi="Times New Roman"/>
          <w:sz w:val="24"/>
          <w:szCs w:val="24"/>
        </w:rPr>
        <w:t xml:space="preserve">“Although Plaintiff never acknowledged that he made sexually harassing phone calls, he admitted in his deposition that at one time, firefighters kept a ‘list on the desk of the fire station’ containing the names of single women that they had gotten off the internet, and that he called one of these women ‘to talk.’” </w:t>
      </w:r>
      <w:hyperlink r:id="rId2674" w:history="1">
        <w:r w:rsidRPr="00E600C4">
          <w:rPr>
            <w:rStyle w:val="Hyperlink"/>
            <w:rFonts w:ascii="Times New Roman" w:hAnsi="Times New Roman"/>
            <w:sz w:val="24"/>
            <w:szCs w:val="24"/>
          </w:rPr>
          <w:t>file:///C:/Users/lawre/AppData/Local/Microsoft/Windows/INetCache/IE/7HZ56W7X/sweat.joseph.opn_.pdf</w:t>
        </w:r>
      </w:hyperlink>
    </w:p>
    <w:p w14:paraId="21C570D7" w14:textId="77777777" w:rsidR="00E600C4" w:rsidRDefault="00E600C4" w:rsidP="00F326E5">
      <w:pPr>
        <w:rPr>
          <w:rFonts w:ascii="Times New Roman" w:hAnsi="Times New Roman"/>
          <w:b/>
          <w:sz w:val="24"/>
          <w:szCs w:val="24"/>
        </w:rPr>
      </w:pPr>
    </w:p>
    <w:p w14:paraId="16D27ACA" w14:textId="6EA94C0E" w:rsidR="00F326E5" w:rsidRPr="00E600C4" w:rsidRDefault="00E600C4" w:rsidP="00F326E5">
      <w:pPr>
        <w:rPr>
          <w:rFonts w:ascii="Times New Roman" w:hAnsi="Times New Roman"/>
          <w:b/>
          <w:sz w:val="24"/>
          <w:szCs w:val="24"/>
        </w:rPr>
      </w:pPr>
      <w:r>
        <w:rPr>
          <w:rFonts w:ascii="Times New Roman" w:hAnsi="Times New Roman"/>
          <w:b/>
          <w:sz w:val="24"/>
          <w:szCs w:val="24"/>
        </w:rPr>
        <w:t xml:space="preserve">Legal Lessons Learned: </w:t>
      </w:r>
      <w:r w:rsidR="00F326E5" w:rsidRPr="00E600C4">
        <w:rPr>
          <w:rFonts w:ascii="Times New Roman" w:hAnsi="Times New Roman"/>
          <w:b/>
          <w:sz w:val="24"/>
          <w:szCs w:val="24"/>
        </w:rPr>
        <w:t xml:space="preserve">FD may impose discipline, even if the firefighter is one of the 27 firefighters who signed </w:t>
      </w:r>
      <w:proofErr w:type="gramStart"/>
      <w:r w:rsidR="00F326E5" w:rsidRPr="00E600C4">
        <w:rPr>
          <w:rFonts w:ascii="Times New Roman" w:hAnsi="Times New Roman"/>
          <w:b/>
          <w:sz w:val="24"/>
          <w:szCs w:val="24"/>
        </w:rPr>
        <w:t>memo</w:t>
      </w:r>
      <w:proofErr w:type="gramEnd"/>
      <w:r w:rsidR="00F326E5" w:rsidRPr="00E600C4">
        <w:rPr>
          <w:rFonts w:ascii="Times New Roman" w:hAnsi="Times New Roman"/>
          <w:b/>
          <w:sz w:val="24"/>
          <w:szCs w:val="24"/>
        </w:rPr>
        <w:t xml:space="preserve"> about safety issues.</w:t>
      </w:r>
    </w:p>
    <w:p w14:paraId="23BD5AE5" w14:textId="77777777" w:rsidR="00F326E5" w:rsidRDefault="00F326E5" w:rsidP="00F326E5">
      <w:pPr>
        <w:ind w:left="720"/>
        <w:rPr>
          <w:rFonts w:eastAsia="Times New Roman"/>
          <w:sz w:val="24"/>
          <w:szCs w:val="24"/>
        </w:rPr>
      </w:pPr>
    </w:p>
    <w:p w14:paraId="4138CADE" w14:textId="77777777" w:rsidR="00E600C4" w:rsidRDefault="00E600C4" w:rsidP="000C4DF5">
      <w:pPr>
        <w:pStyle w:val="NoSpacing"/>
        <w:rPr>
          <w:rFonts w:ascii="Arial Black" w:hAnsi="Arial Black"/>
          <w:sz w:val="24"/>
          <w:szCs w:val="24"/>
        </w:rPr>
      </w:pPr>
    </w:p>
    <w:p w14:paraId="2DE477E0" w14:textId="77777777" w:rsidR="00E600C4" w:rsidRDefault="00E600C4" w:rsidP="000C4DF5">
      <w:pPr>
        <w:pStyle w:val="NoSpacing"/>
        <w:rPr>
          <w:rFonts w:ascii="Arial Black" w:hAnsi="Arial Black"/>
          <w:sz w:val="24"/>
          <w:szCs w:val="24"/>
        </w:rPr>
      </w:pPr>
    </w:p>
    <w:p w14:paraId="3254CFEB" w14:textId="3ACB8CC7" w:rsidR="00F326E5" w:rsidRDefault="000C4DF5" w:rsidP="000C4DF5">
      <w:pPr>
        <w:pStyle w:val="NoSpacing"/>
        <w:rPr>
          <w:rFonts w:ascii="Arial Black" w:hAnsi="Arial Black"/>
          <w:sz w:val="24"/>
          <w:szCs w:val="24"/>
        </w:rPr>
      </w:pPr>
      <w:r>
        <w:rPr>
          <w:rFonts w:ascii="Arial Black" w:hAnsi="Arial Black"/>
          <w:sz w:val="24"/>
          <w:szCs w:val="24"/>
        </w:rPr>
        <w:t>16-4</w:t>
      </w:r>
    </w:p>
    <w:p w14:paraId="0A269660" w14:textId="77777777" w:rsidR="000C4DF5" w:rsidRPr="000C4DF5" w:rsidRDefault="000C4DF5" w:rsidP="000C4DF5">
      <w:pPr>
        <w:pStyle w:val="NoSpacing"/>
        <w:rPr>
          <w:rFonts w:ascii="Arial Black" w:hAnsi="Arial Black"/>
          <w:sz w:val="24"/>
          <w:szCs w:val="24"/>
        </w:rPr>
      </w:pPr>
    </w:p>
    <w:p w14:paraId="7AB94435" w14:textId="41C5B9E8" w:rsidR="00F326E5" w:rsidRPr="00A50C92" w:rsidRDefault="00F326E5" w:rsidP="00F326E5">
      <w:pPr>
        <w:pStyle w:val="NoSpacing"/>
        <w:rPr>
          <w:rFonts w:ascii="Times New Roman" w:hAnsi="Times New Roman"/>
          <w:b/>
          <w:sz w:val="24"/>
          <w:szCs w:val="24"/>
        </w:rPr>
      </w:pPr>
      <w:bookmarkStart w:id="623" w:name="_Hlk515214458"/>
      <w:bookmarkStart w:id="624" w:name="_Hlk7349390"/>
      <w:bookmarkStart w:id="625" w:name="_Hlk7185851"/>
      <w:bookmarkEnd w:id="622"/>
      <w:r>
        <w:rPr>
          <w:rFonts w:ascii="Arial Black" w:hAnsi="Arial Black"/>
          <w:sz w:val="28"/>
          <w:szCs w:val="28"/>
        </w:rPr>
        <w:t xml:space="preserve">RI: FF VIDEOTAPED </w:t>
      </w:r>
      <w:proofErr w:type="gramStart"/>
      <w:r>
        <w:rPr>
          <w:rFonts w:ascii="Arial Black" w:hAnsi="Arial Black"/>
          <w:sz w:val="28"/>
          <w:szCs w:val="28"/>
        </w:rPr>
        <w:t>WEIGHT LIFTING</w:t>
      </w:r>
      <w:proofErr w:type="gramEnd"/>
      <w:r>
        <w:rPr>
          <w:rFonts w:ascii="Arial Black" w:hAnsi="Arial Black"/>
          <w:sz w:val="28"/>
          <w:szCs w:val="28"/>
        </w:rPr>
        <w:t xml:space="preserve"> – DISABILITY PENSION BENEFITS TERMINATED </w:t>
      </w:r>
      <w:r w:rsidR="00A50C92" w:rsidRPr="00A50C92">
        <w:rPr>
          <w:rFonts w:ascii="Times New Roman" w:hAnsi="Times New Roman"/>
          <w:sz w:val="24"/>
          <w:szCs w:val="24"/>
        </w:rPr>
        <w:t>[also filed, Chap. 6]</w:t>
      </w:r>
    </w:p>
    <w:p w14:paraId="307A9D4A" w14:textId="5663B4FA"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Feb. 21, 2018, in </w:t>
      </w:r>
      <w:r w:rsidRPr="00E600C4">
        <w:rPr>
          <w:rFonts w:ascii="Times New Roman" w:hAnsi="Times New Roman"/>
          <w:sz w:val="24"/>
          <w:szCs w:val="24"/>
          <w:u w:val="single"/>
        </w:rPr>
        <w:t>John Sauro v. James Lombardi</w:t>
      </w:r>
      <w:r w:rsidRPr="00E600C4">
        <w:rPr>
          <w:rFonts w:ascii="Times New Roman" w:hAnsi="Times New Roman"/>
          <w:sz w:val="24"/>
          <w:szCs w:val="24"/>
        </w:rPr>
        <w:t xml:space="preserve">, in his capacity as Treasurer of the City of Providence, et al., the State Supreme Court held, “we conclude that the decision of the trial justice declaring that the plaintiff’s </w:t>
      </w:r>
      <w:r w:rsidRPr="00E600C4">
        <w:rPr>
          <w:rFonts w:ascii="Times New Roman" w:hAnsi="Times New Roman"/>
          <w:sz w:val="24"/>
          <w:szCs w:val="24"/>
        </w:rPr>
        <w:lastRenderedPageBreak/>
        <w:t xml:space="preserve">pension benefits should be reinstated and he should be placed on a waiting list to resume active service was erroneous, overlooked material evidence, and was clearly wrong.” </w:t>
      </w:r>
      <w:hyperlink r:id="rId2675" w:history="1">
        <w:r w:rsidRPr="00E600C4">
          <w:rPr>
            <w:rStyle w:val="Hyperlink"/>
            <w:rFonts w:ascii="Times New Roman" w:hAnsi="Times New Roman"/>
            <w:sz w:val="24"/>
            <w:szCs w:val="24"/>
          </w:rPr>
          <w:t>file:///C:/Users/lawre/AppData/Local/Microsoft/Windows/INetCache/IE/7HZ56W7X/16-170.pdf</w:t>
        </w:r>
      </w:hyperlink>
      <w:r w:rsidRPr="00E600C4">
        <w:rPr>
          <w:rFonts w:ascii="Times New Roman" w:hAnsi="Times New Roman"/>
          <w:sz w:val="24"/>
          <w:szCs w:val="24"/>
        </w:rPr>
        <w:t xml:space="preserve"> </w:t>
      </w:r>
    </w:p>
    <w:bookmarkEnd w:id="623"/>
    <w:p w14:paraId="7E4F4870" w14:textId="77777777" w:rsidR="00E600C4" w:rsidRDefault="00E600C4" w:rsidP="00F326E5">
      <w:pPr>
        <w:pStyle w:val="NoSpacing"/>
        <w:rPr>
          <w:rFonts w:ascii="Times New Roman" w:hAnsi="Times New Roman"/>
          <w:b/>
          <w:sz w:val="24"/>
          <w:szCs w:val="24"/>
        </w:rPr>
      </w:pPr>
    </w:p>
    <w:p w14:paraId="6AF0F96B" w14:textId="18C951AE"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Accidental disability pension benefits are for those with a continuing work-place injury; cases like this </w:t>
      </w:r>
      <w:proofErr w:type="gramStart"/>
      <w:r w:rsidRPr="00E600C4">
        <w:rPr>
          <w:rFonts w:ascii="Times New Roman" w:hAnsi="Times New Roman"/>
          <w:b/>
          <w:sz w:val="24"/>
          <w:szCs w:val="24"/>
        </w:rPr>
        <w:t>lead</w:t>
      </w:r>
      <w:proofErr w:type="gramEnd"/>
      <w:r w:rsidRPr="00E600C4">
        <w:rPr>
          <w:rFonts w:ascii="Times New Roman" w:hAnsi="Times New Roman"/>
          <w:b/>
          <w:sz w:val="24"/>
          <w:szCs w:val="24"/>
        </w:rPr>
        <w:t xml:space="preserve"> to public perception of pension fraud. </w:t>
      </w:r>
    </w:p>
    <w:p w14:paraId="4DADA5D9" w14:textId="77777777" w:rsidR="00E600C4" w:rsidRDefault="00E600C4" w:rsidP="00F326E5">
      <w:pPr>
        <w:pStyle w:val="NoSpacing"/>
        <w:ind w:left="720"/>
        <w:rPr>
          <w:rFonts w:ascii="Times New Roman" w:hAnsi="Times New Roman"/>
          <w:sz w:val="24"/>
          <w:szCs w:val="24"/>
        </w:rPr>
      </w:pPr>
    </w:p>
    <w:p w14:paraId="399D8066" w14:textId="429AF4C9" w:rsidR="00F326E5" w:rsidRPr="00E600C4" w:rsidRDefault="00F326E5" w:rsidP="00F326E5">
      <w:pPr>
        <w:pStyle w:val="NoSpacing"/>
        <w:ind w:left="720"/>
        <w:rPr>
          <w:rFonts w:ascii="Times New Roman" w:hAnsi="Times New Roman"/>
          <w:sz w:val="24"/>
          <w:szCs w:val="24"/>
        </w:rPr>
      </w:pPr>
      <w:r w:rsidRPr="00E600C4">
        <w:rPr>
          <w:rFonts w:ascii="Times New Roman" w:hAnsi="Times New Roman"/>
          <w:sz w:val="24"/>
          <w:szCs w:val="24"/>
        </w:rPr>
        <w:t xml:space="preserve">See TV story and undercover video of </w:t>
      </w:r>
      <w:proofErr w:type="gramStart"/>
      <w:r w:rsidRPr="00E600C4">
        <w:rPr>
          <w:rFonts w:ascii="Times New Roman" w:hAnsi="Times New Roman"/>
          <w:sz w:val="24"/>
          <w:szCs w:val="24"/>
        </w:rPr>
        <w:t>retiree</w:t>
      </w:r>
      <w:proofErr w:type="gramEnd"/>
      <w:r w:rsidRPr="00E600C4">
        <w:rPr>
          <w:rFonts w:ascii="Times New Roman" w:hAnsi="Times New Roman"/>
          <w:sz w:val="24"/>
          <w:szCs w:val="24"/>
        </w:rPr>
        <w:t xml:space="preserve"> lifting weights: </w:t>
      </w:r>
      <w:hyperlink r:id="rId2676" w:history="1">
        <w:r w:rsidRPr="00E600C4">
          <w:rPr>
            <w:rStyle w:val="Hyperlink"/>
            <w:rFonts w:ascii="Times New Roman" w:hAnsi="Times New Roman"/>
            <w:sz w:val="24"/>
            <w:szCs w:val="24"/>
          </w:rPr>
          <w:t>http://www.wpri.com/news/supreme-court-sides-with-providence-in-dispute-over-weightlifting-firefighters-disability-pension/1082484435</w:t>
        </w:r>
      </w:hyperlink>
      <w:bookmarkEnd w:id="624"/>
      <w:r w:rsidRPr="00E600C4">
        <w:rPr>
          <w:rFonts w:ascii="Times New Roman" w:hAnsi="Times New Roman"/>
          <w:sz w:val="24"/>
          <w:szCs w:val="24"/>
        </w:rPr>
        <w:t xml:space="preserve"> </w:t>
      </w:r>
    </w:p>
    <w:bookmarkEnd w:id="625"/>
    <w:p w14:paraId="6A538CB6" w14:textId="77777777" w:rsidR="00F326E5" w:rsidRPr="00E600C4" w:rsidRDefault="00F326E5" w:rsidP="00F326E5">
      <w:pPr>
        <w:ind w:left="720"/>
        <w:rPr>
          <w:rFonts w:ascii="Times New Roman" w:eastAsia="Times New Roman" w:hAnsi="Times New Roman"/>
          <w:sz w:val="24"/>
          <w:szCs w:val="24"/>
        </w:rPr>
      </w:pPr>
    </w:p>
    <w:p w14:paraId="224A2325" w14:textId="77777777" w:rsidR="00F326E5" w:rsidRDefault="00F326E5" w:rsidP="00F326E5">
      <w:pPr>
        <w:pStyle w:val="NoSpacing"/>
        <w:rPr>
          <w:sz w:val="24"/>
          <w:szCs w:val="24"/>
        </w:rPr>
      </w:pPr>
    </w:p>
    <w:p w14:paraId="7AD5997F" w14:textId="7FBF798F" w:rsidR="000C4DF5" w:rsidRDefault="000C4DF5" w:rsidP="000C4DF5">
      <w:pPr>
        <w:pStyle w:val="NoSpacing"/>
        <w:rPr>
          <w:rFonts w:ascii="Arial Black" w:hAnsi="Arial Black"/>
          <w:sz w:val="24"/>
          <w:szCs w:val="24"/>
        </w:rPr>
      </w:pPr>
      <w:bookmarkStart w:id="626" w:name="_Hlk7349425"/>
      <w:r>
        <w:rPr>
          <w:rFonts w:ascii="Arial Black" w:hAnsi="Arial Black"/>
          <w:sz w:val="24"/>
          <w:szCs w:val="24"/>
        </w:rPr>
        <w:t>16-3</w:t>
      </w:r>
    </w:p>
    <w:p w14:paraId="7DCE9FCE" w14:textId="77777777" w:rsidR="000C4DF5" w:rsidRDefault="000C4DF5" w:rsidP="00F326E5">
      <w:pPr>
        <w:pStyle w:val="NoSpacing"/>
        <w:rPr>
          <w:rFonts w:ascii="Arial Black" w:hAnsi="Arial Black"/>
          <w:b/>
          <w:sz w:val="28"/>
          <w:szCs w:val="28"/>
        </w:rPr>
      </w:pPr>
    </w:p>
    <w:p w14:paraId="1133140B" w14:textId="027FD9AE" w:rsidR="00F326E5" w:rsidRDefault="00F326E5" w:rsidP="00F326E5">
      <w:pPr>
        <w:pStyle w:val="NoSpacing"/>
        <w:rPr>
          <w:rFonts w:ascii="Arial Black" w:hAnsi="Arial Black"/>
          <w:b/>
          <w:sz w:val="28"/>
          <w:szCs w:val="28"/>
        </w:rPr>
      </w:pPr>
      <w:r>
        <w:rPr>
          <w:rFonts w:ascii="Arial Black" w:hAnsi="Arial Black"/>
          <w:b/>
          <w:sz w:val="28"/>
          <w:szCs w:val="28"/>
        </w:rPr>
        <w:t>WA: CAPTAIN FIRED, INTERNAL E-MAILS ON RELIGION – LAWSUIT REISTATED, NO FD POLICY</w:t>
      </w:r>
    </w:p>
    <w:p w14:paraId="3644B859" w14:textId="77777777"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Jan. 25, 2018, in </w:t>
      </w:r>
      <w:r w:rsidRPr="00E600C4">
        <w:rPr>
          <w:rFonts w:ascii="Times New Roman" w:hAnsi="Times New Roman"/>
          <w:sz w:val="24"/>
          <w:szCs w:val="24"/>
          <w:u w:val="single"/>
        </w:rPr>
        <w:t>Jonathan J. Sprague v. Spokane Valley Fire Department, et al</w:t>
      </w:r>
      <w:r w:rsidRPr="00E600C4">
        <w:rPr>
          <w:rFonts w:ascii="Times New Roman" w:hAnsi="Times New Roman"/>
          <w:sz w:val="24"/>
          <w:szCs w:val="24"/>
        </w:rPr>
        <w:t xml:space="preserve">., the Supreme Court of the State of Washington, held (5 to 4) that </w:t>
      </w:r>
    </w:p>
    <w:p w14:paraId="75136235" w14:textId="77777777" w:rsidR="00E600C4" w:rsidRDefault="00E600C4" w:rsidP="00F326E5">
      <w:pPr>
        <w:pStyle w:val="NoSpacing"/>
        <w:rPr>
          <w:rFonts w:ascii="Times New Roman" w:hAnsi="Times New Roman"/>
          <w:sz w:val="24"/>
          <w:szCs w:val="24"/>
        </w:rPr>
      </w:pPr>
    </w:p>
    <w:p w14:paraId="6F94960D" w14:textId="49D41CF1" w:rsidR="00F326E5" w:rsidRPr="00E600C4" w:rsidRDefault="00F326E5" w:rsidP="00E600C4">
      <w:pPr>
        <w:pStyle w:val="NoSpacing"/>
        <w:ind w:left="720"/>
        <w:rPr>
          <w:rStyle w:val="Hyperlink"/>
          <w:rFonts w:ascii="Times New Roman" w:hAnsi="Times New Roman"/>
          <w:sz w:val="24"/>
          <w:szCs w:val="24"/>
        </w:rPr>
      </w:pPr>
      <w:r w:rsidRPr="00E600C4">
        <w:rPr>
          <w:rFonts w:ascii="Times New Roman" w:hAnsi="Times New Roman"/>
          <w:sz w:val="24"/>
          <w:szCs w:val="24"/>
        </w:rPr>
        <w:t xml:space="preserve">“Sprague has met his initial burden to show that SVFD's restrictions on his speech violated the First Amendment. On remand, the burden will shift to SVFD to show by a preponderance of the evidence that it would have reached the same decision as to respondent's employment termination even in the absence of the protected conduct.” </w:t>
      </w:r>
      <w:hyperlink r:id="rId2677" w:history="1">
        <w:r w:rsidRPr="00E600C4">
          <w:rPr>
            <w:rStyle w:val="Hyperlink"/>
            <w:rFonts w:ascii="Times New Roman" w:hAnsi="Times New Roman"/>
            <w:sz w:val="24"/>
            <w:szCs w:val="24"/>
          </w:rPr>
          <w:t>file:///C:/Users/lawre/AppData/Local/Microsoft/Windows/INetCache/IE/NZ9VF3P4/Christian-Firefighter.pdf</w:t>
        </w:r>
      </w:hyperlink>
    </w:p>
    <w:p w14:paraId="6590AA94" w14:textId="77777777" w:rsidR="00E600C4" w:rsidRDefault="00E600C4" w:rsidP="00F326E5">
      <w:pPr>
        <w:pStyle w:val="NoSpacing"/>
        <w:rPr>
          <w:rFonts w:ascii="Times New Roman" w:hAnsi="Times New Roman"/>
          <w:b/>
          <w:sz w:val="24"/>
          <w:szCs w:val="24"/>
        </w:rPr>
      </w:pPr>
    </w:p>
    <w:p w14:paraId="324D696F" w14:textId="03AB816B"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FDs should have a written electronic communications policy, including prohibition on e-mails that can be disruptive to workplace.   </w:t>
      </w:r>
    </w:p>
    <w:p w14:paraId="4F55B2C2" w14:textId="77777777" w:rsidR="00F326E5" w:rsidRDefault="00F326E5" w:rsidP="00F326E5">
      <w:pPr>
        <w:pStyle w:val="NoSpacing"/>
        <w:rPr>
          <w:sz w:val="24"/>
          <w:szCs w:val="24"/>
        </w:rPr>
      </w:pPr>
      <w:bookmarkStart w:id="627" w:name="_Hlk515214745"/>
      <w:bookmarkEnd w:id="626"/>
    </w:p>
    <w:p w14:paraId="25B7ADD8" w14:textId="77777777" w:rsidR="00F326E5" w:rsidRDefault="00F326E5" w:rsidP="00F326E5">
      <w:pPr>
        <w:pStyle w:val="NoSpacing"/>
        <w:rPr>
          <w:sz w:val="24"/>
          <w:szCs w:val="24"/>
        </w:rPr>
      </w:pPr>
    </w:p>
    <w:p w14:paraId="0837A0FB" w14:textId="0BDEEEE7" w:rsidR="000C4DF5" w:rsidRDefault="000C4DF5" w:rsidP="00F326E5">
      <w:pPr>
        <w:pStyle w:val="NoSpacing"/>
        <w:rPr>
          <w:rFonts w:ascii="Arial Black" w:hAnsi="Arial Black"/>
          <w:b/>
          <w:sz w:val="28"/>
          <w:szCs w:val="28"/>
        </w:rPr>
      </w:pPr>
      <w:bookmarkStart w:id="628" w:name="_Hlk7349456"/>
      <w:r>
        <w:rPr>
          <w:rFonts w:ascii="Arial Black" w:hAnsi="Arial Black"/>
          <w:sz w:val="24"/>
          <w:szCs w:val="24"/>
        </w:rPr>
        <w:t>16-2</w:t>
      </w:r>
    </w:p>
    <w:p w14:paraId="592B144A" w14:textId="77777777" w:rsidR="000C4DF5" w:rsidRDefault="000C4DF5" w:rsidP="00F326E5">
      <w:pPr>
        <w:pStyle w:val="NoSpacing"/>
        <w:rPr>
          <w:rFonts w:ascii="Arial Black" w:hAnsi="Arial Black"/>
          <w:b/>
          <w:sz w:val="28"/>
          <w:szCs w:val="28"/>
        </w:rPr>
      </w:pPr>
    </w:p>
    <w:p w14:paraId="12950A7E" w14:textId="5927711C" w:rsidR="00F326E5" w:rsidRDefault="00F326E5" w:rsidP="00F326E5">
      <w:pPr>
        <w:pStyle w:val="NoSpacing"/>
        <w:rPr>
          <w:b/>
          <w:sz w:val="24"/>
          <w:szCs w:val="24"/>
        </w:rPr>
      </w:pPr>
      <w:r>
        <w:rPr>
          <w:rFonts w:ascii="Arial Black" w:hAnsi="Arial Black"/>
          <w:b/>
          <w:sz w:val="28"/>
          <w:szCs w:val="28"/>
        </w:rPr>
        <w:t xml:space="preserve">IN: STATE BOARD REVOKES DEPUTY CHIEF’S FF CERTIFICATES – CHILD EXPOITATION &amp; PORN CONVICTION </w:t>
      </w:r>
    </w:p>
    <w:bookmarkEnd w:id="627"/>
    <w:p w14:paraId="758B4FAC" w14:textId="77777777"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Jan. 17, 2018, in </w:t>
      </w:r>
      <w:r w:rsidRPr="00E600C4">
        <w:rPr>
          <w:rFonts w:ascii="Times New Roman" w:hAnsi="Times New Roman"/>
          <w:sz w:val="24"/>
          <w:szCs w:val="24"/>
          <w:u w:val="single"/>
        </w:rPr>
        <w:t xml:space="preserve">State Of Indiana Board </w:t>
      </w:r>
      <w:proofErr w:type="gramStart"/>
      <w:r w:rsidRPr="00E600C4">
        <w:rPr>
          <w:rFonts w:ascii="Times New Roman" w:hAnsi="Times New Roman"/>
          <w:sz w:val="24"/>
          <w:szCs w:val="24"/>
          <w:u w:val="single"/>
        </w:rPr>
        <w:t>Of</w:t>
      </w:r>
      <w:proofErr w:type="gramEnd"/>
      <w:r w:rsidRPr="00E600C4">
        <w:rPr>
          <w:rFonts w:ascii="Times New Roman" w:hAnsi="Times New Roman"/>
          <w:sz w:val="24"/>
          <w:szCs w:val="24"/>
          <w:u w:val="single"/>
        </w:rPr>
        <w:t xml:space="preserve"> Firefighting </w:t>
      </w:r>
      <w:proofErr w:type="gramStart"/>
      <w:r w:rsidRPr="00E600C4">
        <w:rPr>
          <w:rFonts w:ascii="Times New Roman" w:hAnsi="Times New Roman"/>
          <w:sz w:val="24"/>
          <w:szCs w:val="24"/>
          <w:u w:val="single"/>
        </w:rPr>
        <w:t>And</w:t>
      </w:r>
      <w:proofErr w:type="gramEnd"/>
      <w:r w:rsidRPr="00E600C4">
        <w:rPr>
          <w:rFonts w:ascii="Times New Roman" w:hAnsi="Times New Roman"/>
          <w:sz w:val="24"/>
          <w:szCs w:val="24"/>
          <w:u w:val="single"/>
        </w:rPr>
        <w:t xml:space="preserve"> Personnel Standards v. John T. Cline</w:t>
      </w:r>
      <w:r w:rsidRPr="00E600C4">
        <w:rPr>
          <w:rFonts w:ascii="Times New Roman" w:hAnsi="Times New Roman"/>
          <w:sz w:val="24"/>
          <w:szCs w:val="24"/>
        </w:rPr>
        <w:t xml:space="preserve">, the Court of Appeals of Indiana held that the Board’s decision to revoke his certifications as a Firefighter was affirmed, since he failed to file a timely appeal. </w:t>
      </w:r>
    </w:p>
    <w:p w14:paraId="7AC04123" w14:textId="73DF6FC6" w:rsidR="00F326E5" w:rsidRPr="00E600C4" w:rsidRDefault="00F326E5" w:rsidP="00E600C4">
      <w:pPr>
        <w:pStyle w:val="NoSpacing"/>
        <w:ind w:left="720"/>
        <w:rPr>
          <w:rStyle w:val="Hyperlink"/>
          <w:rFonts w:ascii="Times New Roman" w:hAnsi="Times New Roman"/>
          <w:sz w:val="24"/>
          <w:szCs w:val="24"/>
        </w:rPr>
      </w:pPr>
      <w:r w:rsidRPr="00E600C4">
        <w:rPr>
          <w:rFonts w:ascii="Times New Roman" w:hAnsi="Times New Roman"/>
          <w:sz w:val="24"/>
          <w:szCs w:val="24"/>
        </w:rPr>
        <w:t xml:space="preserve">“To effect statutory compliance, Cline was required to file the agency record or file a motion for an extension of time by May 9, 2016.  He did not do </w:t>
      </w:r>
      <w:proofErr w:type="gramStart"/>
      <w:r w:rsidRPr="00E600C4">
        <w:rPr>
          <w:rFonts w:ascii="Times New Roman" w:hAnsi="Times New Roman"/>
          <w:sz w:val="24"/>
          <w:szCs w:val="24"/>
        </w:rPr>
        <w:t>so</w:t>
      </w:r>
      <w:proofErr w:type="gramEnd"/>
      <w:r w:rsidRPr="00E600C4">
        <w:rPr>
          <w:rFonts w:ascii="Times New Roman" w:hAnsi="Times New Roman"/>
          <w:sz w:val="24"/>
          <w:szCs w:val="24"/>
        </w:rPr>
        <w:t xml:space="preserve"> and the trial court should have dismissed the petition for judicial review.” </w:t>
      </w:r>
      <w:hyperlink r:id="rId2678" w:history="1">
        <w:r w:rsidRPr="00E600C4">
          <w:rPr>
            <w:rStyle w:val="Hyperlink"/>
            <w:rFonts w:ascii="Times New Roman" w:hAnsi="Times New Roman"/>
            <w:sz w:val="24"/>
            <w:szCs w:val="24"/>
          </w:rPr>
          <w:t>file:///C:/Users/lawre/AppData/Local/Microsoft/Windows/INetCache/IE/XO250S7T/01171801lmb.pdf</w:t>
        </w:r>
      </w:hyperlink>
    </w:p>
    <w:p w14:paraId="4ED3A0FE" w14:textId="77777777" w:rsidR="00E600C4" w:rsidRDefault="00E600C4" w:rsidP="00F326E5">
      <w:pPr>
        <w:rPr>
          <w:rFonts w:ascii="Times New Roman" w:hAnsi="Times New Roman"/>
          <w:b/>
          <w:sz w:val="24"/>
          <w:szCs w:val="24"/>
        </w:rPr>
      </w:pPr>
    </w:p>
    <w:p w14:paraId="3C8FD2DA" w14:textId="7C7C7CFB" w:rsidR="00F326E5" w:rsidRPr="00E600C4" w:rsidRDefault="00F326E5" w:rsidP="00F326E5">
      <w:pPr>
        <w:rPr>
          <w:rFonts w:ascii="Times New Roman" w:hAnsi="Times New Roman"/>
          <w:b/>
          <w:sz w:val="24"/>
          <w:szCs w:val="24"/>
        </w:rPr>
      </w:pPr>
      <w:r w:rsidRPr="00E600C4">
        <w:rPr>
          <w:rFonts w:ascii="Times New Roman" w:hAnsi="Times New Roman"/>
          <w:b/>
          <w:sz w:val="24"/>
          <w:szCs w:val="24"/>
        </w:rPr>
        <w:t>Legal Lessons Learned:  In filing an appeal, deadlines must be met unless there are extenuating circumstances.</w:t>
      </w:r>
    </w:p>
    <w:bookmarkEnd w:id="628"/>
    <w:p w14:paraId="7498C7D7" w14:textId="77777777" w:rsidR="00F326E5" w:rsidRPr="00AE5408" w:rsidRDefault="00F326E5" w:rsidP="00F326E5">
      <w:pPr>
        <w:pStyle w:val="NoSpacing"/>
        <w:rPr>
          <w:b/>
          <w:sz w:val="24"/>
          <w:szCs w:val="24"/>
        </w:rPr>
      </w:pPr>
    </w:p>
    <w:p w14:paraId="24376A5C" w14:textId="27D41B33" w:rsidR="00F326E5" w:rsidRDefault="000C4DF5" w:rsidP="000C4DF5">
      <w:pPr>
        <w:pStyle w:val="NoSpacing"/>
        <w:rPr>
          <w:rFonts w:ascii="Arial Black" w:hAnsi="Arial Black"/>
          <w:sz w:val="24"/>
          <w:szCs w:val="24"/>
        </w:rPr>
      </w:pPr>
      <w:bookmarkStart w:id="629" w:name="_Hlk80769585"/>
      <w:r>
        <w:rPr>
          <w:rFonts w:ascii="Arial Black" w:hAnsi="Arial Black"/>
          <w:sz w:val="24"/>
          <w:szCs w:val="24"/>
        </w:rPr>
        <w:t>16-1</w:t>
      </w:r>
    </w:p>
    <w:p w14:paraId="0F242EB9" w14:textId="77777777" w:rsidR="00E600C4" w:rsidRDefault="00E600C4" w:rsidP="000C4DF5">
      <w:pPr>
        <w:pStyle w:val="NoSpacing"/>
        <w:rPr>
          <w:rFonts w:ascii="Arial Black" w:hAnsi="Arial Black"/>
          <w:sz w:val="24"/>
          <w:szCs w:val="24"/>
        </w:rPr>
      </w:pPr>
    </w:p>
    <w:p w14:paraId="7CF80A95" w14:textId="78C9E408" w:rsidR="00F326E5" w:rsidRDefault="00F326E5" w:rsidP="00F326E5">
      <w:pPr>
        <w:pStyle w:val="NoSpacing"/>
        <w:rPr>
          <w:b/>
          <w:sz w:val="24"/>
          <w:szCs w:val="24"/>
        </w:rPr>
      </w:pPr>
      <w:bookmarkStart w:id="630" w:name="_Hlk7349488"/>
      <w:r w:rsidRPr="009213BD">
        <w:rPr>
          <w:rFonts w:ascii="Arial Black" w:hAnsi="Arial Black" w:cs="Arial"/>
          <w:sz w:val="28"/>
          <w:szCs w:val="28"/>
        </w:rPr>
        <w:t xml:space="preserve">IL: SOCIAL MEDIA POSTS - DEPUTY FIRE CHIEF FIRED AFTER “POLITICAL COMMENTARY” ON FACEBOOK </w:t>
      </w:r>
    </w:p>
    <w:p w14:paraId="1C037220" w14:textId="77777777" w:rsidR="00026281" w:rsidRDefault="00026281" w:rsidP="00F326E5">
      <w:pPr>
        <w:pStyle w:val="NoSpacing"/>
        <w:rPr>
          <w:rFonts w:ascii="Times New Roman" w:hAnsi="Times New Roman"/>
          <w:sz w:val="24"/>
          <w:szCs w:val="24"/>
        </w:rPr>
      </w:pPr>
    </w:p>
    <w:p w14:paraId="01BD175A" w14:textId="2DD33E22"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Jan. 11, 2018, in </w:t>
      </w:r>
      <w:r w:rsidRPr="00E600C4">
        <w:rPr>
          <w:rFonts w:ascii="Times New Roman" w:hAnsi="Times New Roman"/>
          <w:sz w:val="24"/>
          <w:szCs w:val="24"/>
          <w:u w:val="single"/>
        </w:rPr>
        <w:t>Richard Banske v. City of Calumet City</w:t>
      </w:r>
      <w:r w:rsidRPr="00E600C4">
        <w:rPr>
          <w:rFonts w:ascii="Times New Roman" w:hAnsi="Times New Roman"/>
          <w:sz w:val="24"/>
          <w:szCs w:val="24"/>
        </w:rPr>
        <w:t xml:space="preserve">, U.S. District Court, Northern District of Illinois (Case No. 17C5263), Judge Harry D. </w:t>
      </w:r>
      <w:proofErr w:type="spellStart"/>
      <w:r w:rsidRPr="00E600C4">
        <w:rPr>
          <w:rFonts w:ascii="Times New Roman" w:hAnsi="Times New Roman"/>
          <w:sz w:val="24"/>
          <w:szCs w:val="24"/>
        </w:rPr>
        <w:t>Leinenweber</w:t>
      </w:r>
      <w:proofErr w:type="spellEnd"/>
      <w:r w:rsidRPr="00E600C4">
        <w:rPr>
          <w:rFonts w:ascii="Times New Roman" w:hAnsi="Times New Roman"/>
          <w:sz w:val="24"/>
          <w:szCs w:val="24"/>
        </w:rPr>
        <w:t xml:space="preserve"> granted City’s motion to dismiss. </w:t>
      </w:r>
    </w:p>
    <w:p w14:paraId="78E394BD" w14:textId="77777777" w:rsidR="00E600C4" w:rsidRDefault="00E600C4" w:rsidP="00F326E5">
      <w:pPr>
        <w:pStyle w:val="NoSpacing"/>
        <w:rPr>
          <w:rFonts w:ascii="Times New Roman" w:hAnsi="Times New Roman"/>
          <w:sz w:val="24"/>
          <w:szCs w:val="24"/>
        </w:rPr>
      </w:pPr>
    </w:p>
    <w:p w14:paraId="52BAFB0D" w14:textId="4E3596B6" w:rsidR="00F326E5" w:rsidRPr="00E600C4" w:rsidRDefault="00F326E5" w:rsidP="00E600C4">
      <w:pPr>
        <w:pStyle w:val="NoSpacing"/>
        <w:ind w:left="720"/>
        <w:rPr>
          <w:rFonts w:ascii="Times New Roman" w:hAnsi="Times New Roman"/>
          <w:sz w:val="24"/>
          <w:szCs w:val="24"/>
        </w:rPr>
      </w:pPr>
      <w:r w:rsidRPr="00E600C4">
        <w:rPr>
          <w:rFonts w:ascii="Times New Roman" w:hAnsi="Times New Roman"/>
          <w:sz w:val="24"/>
          <w:szCs w:val="24"/>
        </w:rPr>
        <w:t>“[A] policymaking employee may be discharged ‘when that individual has engaged in speech on a matter of public concern in a manner that is critical of superiors or their stated policies.’</w:t>
      </w:r>
      <w:r w:rsidR="00E600C4">
        <w:rPr>
          <w:rFonts w:ascii="Times New Roman" w:hAnsi="Times New Roman"/>
          <w:sz w:val="24"/>
          <w:szCs w:val="24"/>
        </w:rPr>
        <w:t xml:space="preserve"> </w:t>
      </w:r>
      <w:r w:rsidRPr="00E600C4">
        <w:rPr>
          <w:rFonts w:ascii="Times New Roman" w:hAnsi="Times New Roman"/>
          <w:sz w:val="24"/>
          <w:szCs w:val="24"/>
        </w:rPr>
        <w:t xml:space="preserve">Hagan, 867 F.3d at 826 (quoting Kiddy-Brown v. Blagojevich, 408 F.3d 346, 358 (7th Cir. 2005)). *** Without well pled factual allegations, the Court is left to guess whether </w:t>
      </w:r>
      <w:proofErr w:type="spellStart"/>
      <w:r w:rsidRPr="00E600C4">
        <w:rPr>
          <w:rFonts w:ascii="Times New Roman" w:hAnsi="Times New Roman"/>
          <w:sz w:val="24"/>
          <w:szCs w:val="24"/>
        </w:rPr>
        <w:t>Banske's</w:t>
      </w:r>
      <w:proofErr w:type="spellEnd"/>
      <w:r w:rsidRPr="00E600C4">
        <w:rPr>
          <w:rFonts w:ascii="Times New Roman" w:hAnsi="Times New Roman"/>
          <w:sz w:val="24"/>
          <w:szCs w:val="24"/>
        </w:rPr>
        <w:t xml:space="preserve"> at-issue speech touches upon a subject of public concern. This the Court will not do. The Complaint fails to establish that </w:t>
      </w:r>
      <w:proofErr w:type="spellStart"/>
      <w:r w:rsidRPr="00E600C4">
        <w:rPr>
          <w:rFonts w:ascii="Times New Roman" w:hAnsi="Times New Roman"/>
          <w:sz w:val="24"/>
          <w:szCs w:val="24"/>
        </w:rPr>
        <w:t>Banske</w:t>
      </w:r>
      <w:proofErr w:type="spellEnd"/>
      <w:r w:rsidRPr="00E600C4">
        <w:rPr>
          <w:rFonts w:ascii="Times New Roman" w:hAnsi="Times New Roman"/>
          <w:sz w:val="24"/>
          <w:szCs w:val="24"/>
        </w:rPr>
        <w:t xml:space="preserve"> engaged in constitutionally protected speech, so it fails to state a claim upon which relief may be granted.” </w:t>
      </w:r>
    </w:p>
    <w:p w14:paraId="6A3E048D" w14:textId="7003543D" w:rsidR="00F326E5" w:rsidRPr="00E600C4" w:rsidRDefault="00E600C4" w:rsidP="00E600C4">
      <w:pPr>
        <w:pStyle w:val="NoSpacing"/>
        <w:ind w:firstLine="720"/>
        <w:rPr>
          <w:rFonts w:ascii="Times New Roman" w:hAnsi="Times New Roman"/>
          <w:sz w:val="24"/>
          <w:szCs w:val="24"/>
        </w:rPr>
      </w:pPr>
      <w:hyperlink r:id="rId2679" w:history="1">
        <w:r w:rsidRPr="001B5B01">
          <w:rPr>
            <w:rStyle w:val="Hyperlink"/>
            <w:rFonts w:ascii="Times New Roman" w:hAnsi="Times New Roman"/>
            <w:sz w:val="24"/>
            <w:szCs w:val="24"/>
          </w:rPr>
          <w:t>https://casetext.com/case/banske-v-city-of-calumet-city</w:t>
        </w:r>
      </w:hyperlink>
      <w:r w:rsidR="00F326E5" w:rsidRPr="00E600C4">
        <w:rPr>
          <w:rFonts w:ascii="Times New Roman" w:hAnsi="Times New Roman"/>
          <w:sz w:val="24"/>
          <w:szCs w:val="24"/>
        </w:rPr>
        <w:t xml:space="preserve"> </w:t>
      </w:r>
    </w:p>
    <w:p w14:paraId="6BBC4089" w14:textId="77777777" w:rsidR="00E600C4" w:rsidRDefault="00E600C4" w:rsidP="00F326E5">
      <w:pPr>
        <w:rPr>
          <w:rFonts w:ascii="Times New Roman" w:eastAsia="Times New Roman" w:hAnsi="Times New Roman"/>
          <w:b/>
          <w:sz w:val="24"/>
          <w:szCs w:val="24"/>
        </w:rPr>
      </w:pPr>
    </w:p>
    <w:p w14:paraId="68418577" w14:textId="49E1851B" w:rsidR="00F326E5" w:rsidRPr="00E600C4" w:rsidRDefault="00F326E5" w:rsidP="00F326E5">
      <w:pPr>
        <w:rPr>
          <w:rFonts w:ascii="Times New Roman" w:eastAsia="Times New Roman" w:hAnsi="Times New Roman"/>
          <w:b/>
          <w:sz w:val="24"/>
          <w:szCs w:val="24"/>
        </w:rPr>
      </w:pPr>
      <w:r w:rsidRPr="00E600C4">
        <w:rPr>
          <w:rFonts w:ascii="Times New Roman" w:eastAsia="Times New Roman" w:hAnsi="Times New Roman"/>
          <w:b/>
          <w:sz w:val="24"/>
          <w:szCs w:val="24"/>
        </w:rPr>
        <w:t>Legal Lessons Learned: Fire, EMS, police and other public employees have only limited First Amendment rights under the “balancing test” of U.S. Supreme Court’s decision in Pickering v. Board of Education, 391 U.S. 563 (1968).</w:t>
      </w:r>
    </w:p>
    <w:p w14:paraId="34AA03D1" w14:textId="77777777" w:rsidR="00F326E5" w:rsidRPr="00E600C4" w:rsidRDefault="00F326E5" w:rsidP="00F326E5">
      <w:pPr>
        <w:ind w:left="720"/>
        <w:rPr>
          <w:rFonts w:ascii="Times New Roman" w:hAnsi="Times New Roman"/>
          <w:sz w:val="24"/>
          <w:szCs w:val="24"/>
        </w:rPr>
      </w:pPr>
      <w:r w:rsidRPr="00E600C4">
        <w:rPr>
          <w:rFonts w:ascii="Times New Roman" w:eastAsia="Times New Roman" w:hAnsi="Times New Roman"/>
          <w:sz w:val="24"/>
          <w:szCs w:val="24"/>
        </w:rPr>
        <w:t xml:space="preserve">Pickering decision:  “Appellant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 In sum, we hold that, in a case such as this, absent proof of false statements knowingly or recklessly made by him, a teacher's exercise of his right to speak on issues of public importance may not furnish the basis for his dismissal from public employment. *** Footnote 3: It is possible to conceive of some positions in public employment in which the need for confidentiality is so great that even completely correct public statements might furnish a permissible ground for dismissal.” </w:t>
      </w:r>
      <w:hyperlink r:id="rId2680" w:history="1">
        <w:r w:rsidRPr="00E600C4">
          <w:rPr>
            <w:rStyle w:val="Hyperlink"/>
            <w:rFonts w:ascii="Times New Roman" w:hAnsi="Times New Roman"/>
            <w:sz w:val="24"/>
            <w:szCs w:val="24"/>
          </w:rPr>
          <w:t>https://supreme.justia.com/cases/federal/us/391/563/</w:t>
        </w:r>
      </w:hyperlink>
      <w:r w:rsidRPr="00E600C4">
        <w:rPr>
          <w:rFonts w:ascii="Times New Roman" w:eastAsia="Times New Roman" w:hAnsi="Times New Roman"/>
          <w:sz w:val="24"/>
          <w:szCs w:val="24"/>
        </w:rPr>
        <w:t xml:space="preserve"> </w:t>
      </w:r>
    </w:p>
    <w:bookmarkEnd w:id="629"/>
    <w:bookmarkEnd w:id="630"/>
    <w:p w14:paraId="79613DBE" w14:textId="77777777" w:rsidR="00F326E5" w:rsidRPr="00E600C4" w:rsidRDefault="00F326E5" w:rsidP="00F326E5">
      <w:pPr>
        <w:pStyle w:val="NoSpacing"/>
        <w:rPr>
          <w:rFonts w:ascii="Times New Roman" w:hAnsi="Times New Roman"/>
          <w:b/>
          <w:sz w:val="24"/>
          <w:szCs w:val="24"/>
        </w:rPr>
      </w:pPr>
    </w:p>
    <w:p w14:paraId="228A938B" w14:textId="77777777" w:rsidR="00F326E5" w:rsidRDefault="00F326E5" w:rsidP="00F326E5">
      <w:pPr>
        <w:rPr>
          <w:rFonts w:ascii="Arial Black" w:hAnsi="Arial Black"/>
          <w:sz w:val="40"/>
          <w:szCs w:val="40"/>
        </w:rPr>
      </w:pPr>
      <w:r>
        <w:rPr>
          <w:rFonts w:ascii="Arial Black" w:hAnsi="Arial Black"/>
          <w:sz w:val="40"/>
          <w:szCs w:val="40"/>
        </w:rPr>
        <w:br w:type="page"/>
      </w:r>
    </w:p>
    <w:p w14:paraId="394AF62A" w14:textId="77777777" w:rsidR="00F326E5" w:rsidRDefault="00F326E5" w:rsidP="00F326E5">
      <w:pPr>
        <w:rPr>
          <w:rFonts w:ascii="Arial Black" w:hAnsi="Arial Black"/>
          <w:sz w:val="40"/>
          <w:szCs w:val="40"/>
        </w:rPr>
      </w:pPr>
    </w:p>
    <w:p w14:paraId="057E46DD" w14:textId="77777777" w:rsidR="007D737C" w:rsidRDefault="007D737C" w:rsidP="00F326E5">
      <w:pPr>
        <w:pStyle w:val="NoSpacing"/>
        <w:rPr>
          <w:rFonts w:ascii="Arial Black" w:hAnsi="Arial Black"/>
          <w:sz w:val="40"/>
          <w:szCs w:val="40"/>
        </w:rPr>
      </w:pPr>
    </w:p>
    <w:p w14:paraId="0D87F7EB" w14:textId="77777777" w:rsidR="007D737C" w:rsidRDefault="007D737C" w:rsidP="00F326E5">
      <w:pPr>
        <w:pStyle w:val="NoSpacing"/>
        <w:rPr>
          <w:rFonts w:ascii="Arial Black" w:hAnsi="Arial Black"/>
          <w:sz w:val="40"/>
          <w:szCs w:val="40"/>
        </w:rPr>
      </w:pPr>
    </w:p>
    <w:p w14:paraId="62B52445" w14:textId="77777777" w:rsidR="007D737C" w:rsidRDefault="007D737C" w:rsidP="00F326E5">
      <w:pPr>
        <w:pStyle w:val="NoSpacing"/>
        <w:rPr>
          <w:rFonts w:ascii="Arial Black" w:hAnsi="Arial Black"/>
          <w:sz w:val="40"/>
          <w:szCs w:val="40"/>
        </w:rPr>
      </w:pPr>
    </w:p>
    <w:p w14:paraId="7D46D5E7" w14:textId="77777777" w:rsidR="007D737C" w:rsidRDefault="007D737C" w:rsidP="00F326E5">
      <w:pPr>
        <w:pStyle w:val="NoSpacing"/>
        <w:rPr>
          <w:rFonts w:ascii="Arial Black" w:hAnsi="Arial Black"/>
          <w:sz w:val="40"/>
          <w:szCs w:val="40"/>
        </w:rPr>
      </w:pPr>
    </w:p>
    <w:p w14:paraId="21A16390" w14:textId="77777777" w:rsidR="007D737C" w:rsidRDefault="007D737C" w:rsidP="00F326E5">
      <w:pPr>
        <w:pStyle w:val="NoSpacing"/>
        <w:rPr>
          <w:rFonts w:ascii="Arial Black" w:hAnsi="Arial Black"/>
          <w:sz w:val="40"/>
          <w:szCs w:val="40"/>
        </w:rPr>
      </w:pPr>
    </w:p>
    <w:p w14:paraId="7A49A248" w14:textId="77777777" w:rsidR="007D737C" w:rsidRDefault="007D737C" w:rsidP="00F326E5">
      <w:pPr>
        <w:pStyle w:val="NoSpacing"/>
        <w:rPr>
          <w:rFonts w:ascii="Arial Black" w:hAnsi="Arial Black"/>
          <w:sz w:val="40"/>
          <w:szCs w:val="40"/>
        </w:rPr>
      </w:pPr>
    </w:p>
    <w:p w14:paraId="37B81F85" w14:textId="77777777" w:rsidR="007D737C" w:rsidRDefault="007D737C" w:rsidP="00F326E5">
      <w:pPr>
        <w:pStyle w:val="NoSpacing"/>
        <w:rPr>
          <w:rFonts w:ascii="Arial Black" w:hAnsi="Arial Black"/>
          <w:sz w:val="40"/>
          <w:szCs w:val="40"/>
        </w:rPr>
      </w:pPr>
    </w:p>
    <w:p w14:paraId="21026785" w14:textId="77777777" w:rsidR="007D737C" w:rsidRDefault="007D737C" w:rsidP="00F326E5">
      <w:pPr>
        <w:pStyle w:val="NoSpacing"/>
        <w:rPr>
          <w:rFonts w:ascii="Arial Black" w:hAnsi="Arial Black"/>
          <w:sz w:val="40"/>
          <w:szCs w:val="40"/>
        </w:rPr>
      </w:pPr>
    </w:p>
    <w:p w14:paraId="58E7CD43" w14:textId="77777777" w:rsidR="007D737C" w:rsidRDefault="007D737C" w:rsidP="00F326E5">
      <w:pPr>
        <w:pStyle w:val="NoSpacing"/>
        <w:rPr>
          <w:rFonts w:ascii="Arial Black" w:hAnsi="Arial Black"/>
          <w:sz w:val="40"/>
          <w:szCs w:val="40"/>
        </w:rPr>
      </w:pPr>
    </w:p>
    <w:p w14:paraId="3AF486A0" w14:textId="77777777" w:rsidR="007D737C" w:rsidRDefault="007D737C" w:rsidP="00F326E5">
      <w:pPr>
        <w:pStyle w:val="NoSpacing"/>
        <w:rPr>
          <w:rFonts w:ascii="Arial Black" w:hAnsi="Arial Black"/>
          <w:sz w:val="40"/>
          <w:szCs w:val="40"/>
        </w:rPr>
      </w:pPr>
    </w:p>
    <w:p w14:paraId="39D57225" w14:textId="77777777" w:rsidR="007D737C" w:rsidRDefault="007D737C" w:rsidP="00F326E5">
      <w:pPr>
        <w:pStyle w:val="NoSpacing"/>
        <w:rPr>
          <w:rFonts w:ascii="Arial Black" w:hAnsi="Arial Black"/>
          <w:sz w:val="40"/>
          <w:szCs w:val="40"/>
        </w:rPr>
      </w:pPr>
    </w:p>
    <w:p w14:paraId="36375DD5" w14:textId="77777777" w:rsidR="007D737C" w:rsidRDefault="007D737C" w:rsidP="00F326E5">
      <w:pPr>
        <w:pStyle w:val="NoSpacing"/>
        <w:rPr>
          <w:rFonts w:ascii="Arial Black" w:hAnsi="Arial Black"/>
          <w:sz w:val="40"/>
          <w:szCs w:val="40"/>
        </w:rPr>
      </w:pPr>
    </w:p>
    <w:p w14:paraId="708D307C" w14:textId="77777777" w:rsidR="007D737C" w:rsidRDefault="007D737C" w:rsidP="00F326E5">
      <w:pPr>
        <w:pStyle w:val="NoSpacing"/>
        <w:rPr>
          <w:rFonts w:ascii="Arial Black" w:hAnsi="Arial Black"/>
          <w:sz w:val="40"/>
          <w:szCs w:val="40"/>
        </w:rPr>
      </w:pPr>
    </w:p>
    <w:p w14:paraId="0CD66998" w14:textId="77777777" w:rsidR="007D737C" w:rsidRDefault="007D737C" w:rsidP="00F326E5">
      <w:pPr>
        <w:pStyle w:val="NoSpacing"/>
        <w:rPr>
          <w:rFonts w:ascii="Arial Black" w:hAnsi="Arial Black"/>
          <w:sz w:val="40"/>
          <w:szCs w:val="40"/>
        </w:rPr>
      </w:pPr>
    </w:p>
    <w:p w14:paraId="704F54FE" w14:textId="77777777" w:rsidR="007D737C" w:rsidRDefault="007D737C" w:rsidP="00F326E5">
      <w:pPr>
        <w:pStyle w:val="NoSpacing"/>
        <w:rPr>
          <w:rFonts w:ascii="Arial Black" w:hAnsi="Arial Black"/>
          <w:sz w:val="40"/>
          <w:szCs w:val="40"/>
        </w:rPr>
      </w:pPr>
    </w:p>
    <w:p w14:paraId="786ACB54" w14:textId="77777777" w:rsidR="007D737C" w:rsidRDefault="007D737C" w:rsidP="00F326E5">
      <w:pPr>
        <w:pStyle w:val="NoSpacing"/>
        <w:rPr>
          <w:rFonts w:ascii="Arial Black" w:hAnsi="Arial Black"/>
          <w:sz w:val="40"/>
          <w:szCs w:val="40"/>
        </w:rPr>
      </w:pPr>
    </w:p>
    <w:p w14:paraId="171A34E8" w14:textId="77777777" w:rsidR="007D737C" w:rsidRDefault="007D737C" w:rsidP="00F326E5">
      <w:pPr>
        <w:pStyle w:val="NoSpacing"/>
        <w:rPr>
          <w:rFonts w:ascii="Arial Black" w:hAnsi="Arial Black"/>
          <w:sz w:val="40"/>
          <w:szCs w:val="40"/>
        </w:rPr>
      </w:pPr>
    </w:p>
    <w:p w14:paraId="53786010" w14:textId="77777777" w:rsidR="007D737C" w:rsidRDefault="007D737C" w:rsidP="00F326E5">
      <w:pPr>
        <w:pStyle w:val="NoSpacing"/>
        <w:rPr>
          <w:rFonts w:ascii="Arial Black" w:hAnsi="Arial Black"/>
          <w:sz w:val="40"/>
          <w:szCs w:val="40"/>
        </w:rPr>
      </w:pPr>
    </w:p>
    <w:p w14:paraId="3EA0567B" w14:textId="77777777" w:rsidR="007D737C" w:rsidRDefault="007D737C" w:rsidP="00F326E5">
      <w:pPr>
        <w:pStyle w:val="NoSpacing"/>
        <w:rPr>
          <w:rFonts w:ascii="Arial Black" w:hAnsi="Arial Black"/>
          <w:sz w:val="40"/>
          <w:szCs w:val="40"/>
        </w:rPr>
      </w:pPr>
    </w:p>
    <w:p w14:paraId="51B49BA6" w14:textId="77777777" w:rsidR="007D737C" w:rsidRDefault="007D737C" w:rsidP="00F326E5">
      <w:pPr>
        <w:pStyle w:val="NoSpacing"/>
        <w:rPr>
          <w:rFonts w:ascii="Arial Black" w:hAnsi="Arial Black"/>
          <w:sz w:val="40"/>
          <w:szCs w:val="40"/>
        </w:rPr>
      </w:pPr>
    </w:p>
    <w:p w14:paraId="365462F2" w14:textId="77777777" w:rsidR="007D737C" w:rsidRDefault="007D737C" w:rsidP="00F326E5">
      <w:pPr>
        <w:pStyle w:val="NoSpacing"/>
        <w:rPr>
          <w:rFonts w:ascii="Arial Black" w:hAnsi="Arial Black"/>
          <w:sz w:val="40"/>
          <w:szCs w:val="40"/>
        </w:rPr>
      </w:pPr>
    </w:p>
    <w:p w14:paraId="597CD230" w14:textId="77777777" w:rsidR="007D737C" w:rsidRDefault="007D737C" w:rsidP="00F326E5">
      <w:pPr>
        <w:pStyle w:val="NoSpacing"/>
        <w:rPr>
          <w:rFonts w:ascii="Arial Black" w:hAnsi="Arial Black"/>
          <w:sz w:val="40"/>
          <w:szCs w:val="40"/>
        </w:rPr>
      </w:pPr>
    </w:p>
    <w:p w14:paraId="05FA94B7" w14:textId="77777777" w:rsidR="007D737C" w:rsidRDefault="007D737C" w:rsidP="00F326E5">
      <w:pPr>
        <w:pStyle w:val="NoSpacing"/>
        <w:rPr>
          <w:rFonts w:ascii="Arial Black" w:hAnsi="Arial Black"/>
          <w:sz w:val="40"/>
          <w:szCs w:val="40"/>
        </w:rPr>
      </w:pPr>
    </w:p>
    <w:p w14:paraId="0BD28BB8" w14:textId="2FBE1B58" w:rsidR="00F326E5" w:rsidRDefault="00F326E5" w:rsidP="00F326E5">
      <w:pPr>
        <w:pStyle w:val="NoSpacing"/>
        <w:rPr>
          <w:rFonts w:ascii="Arial Black" w:hAnsi="Arial Black"/>
          <w:sz w:val="40"/>
          <w:szCs w:val="40"/>
        </w:rPr>
      </w:pPr>
      <w:r w:rsidRPr="007732FA">
        <w:rPr>
          <w:rFonts w:ascii="Arial Black" w:hAnsi="Arial Black"/>
          <w:sz w:val="40"/>
          <w:szCs w:val="40"/>
        </w:rPr>
        <w:lastRenderedPageBreak/>
        <w:t>Chap. 17</w:t>
      </w:r>
      <w:r w:rsidRPr="007732FA">
        <w:rPr>
          <w:rFonts w:ascii="Arial Black" w:hAnsi="Arial Black"/>
          <w:sz w:val="40"/>
          <w:szCs w:val="40"/>
        </w:rPr>
        <w:tab/>
        <w:t>Arbitration</w:t>
      </w:r>
      <w:r w:rsidR="005E16F7">
        <w:rPr>
          <w:rFonts w:ascii="Arial Black" w:hAnsi="Arial Black"/>
          <w:sz w:val="40"/>
          <w:szCs w:val="40"/>
        </w:rPr>
        <w:t>,</w:t>
      </w:r>
      <w:r w:rsidR="00EF7B5C">
        <w:rPr>
          <w:rFonts w:ascii="Arial Black" w:hAnsi="Arial Black"/>
          <w:sz w:val="40"/>
          <w:szCs w:val="40"/>
        </w:rPr>
        <w:t xml:space="preserve"> </w:t>
      </w:r>
      <w:r w:rsidRPr="007732FA">
        <w:rPr>
          <w:rFonts w:ascii="Arial Black" w:hAnsi="Arial Black"/>
          <w:sz w:val="40"/>
          <w:szCs w:val="40"/>
        </w:rPr>
        <w:t>Mediation</w:t>
      </w:r>
      <w:r w:rsidR="005E16F7">
        <w:rPr>
          <w:rFonts w:ascii="Arial Black" w:hAnsi="Arial Black"/>
          <w:sz w:val="40"/>
          <w:szCs w:val="40"/>
        </w:rPr>
        <w:t>, including Labor Relations</w:t>
      </w:r>
    </w:p>
    <w:p w14:paraId="2746B8E2" w14:textId="77777777" w:rsidR="00F326E5" w:rsidRDefault="00F326E5" w:rsidP="00F326E5">
      <w:pPr>
        <w:pStyle w:val="NoSpacing"/>
        <w:rPr>
          <w:sz w:val="24"/>
          <w:szCs w:val="24"/>
        </w:rPr>
      </w:pPr>
    </w:p>
    <w:p w14:paraId="606063A9" w14:textId="202A02B3" w:rsidR="00744D51" w:rsidRDefault="00744D51" w:rsidP="00744D51">
      <w:pPr>
        <w:pStyle w:val="NoSpacing"/>
        <w:rPr>
          <w:rFonts w:ascii="Arial Black" w:hAnsi="Arial Black"/>
          <w:sz w:val="24"/>
          <w:szCs w:val="24"/>
        </w:rPr>
      </w:pPr>
      <w:r>
        <w:rPr>
          <w:rFonts w:ascii="Arial Black" w:hAnsi="Arial Black"/>
          <w:sz w:val="24"/>
          <w:szCs w:val="24"/>
        </w:rPr>
        <w:t>17-60</w:t>
      </w:r>
    </w:p>
    <w:p w14:paraId="521A3F22" w14:textId="77777777" w:rsidR="002718E8" w:rsidRDefault="002718E8" w:rsidP="002718E8">
      <w:pPr>
        <w:pStyle w:val="NoSpacing"/>
        <w:rPr>
          <w:rFonts w:ascii="Arial Black" w:hAnsi="Arial Black"/>
          <w:b/>
          <w:sz w:val="28"/>
          <w:szCs w:val="28"/>
        </w:rPr>
      </w:pPr>
    </w:p>
    <w:p w14:paraId="3775D24C" w14:textId="6DC8F98B" w:rsidR="002718E8" w:rsidRPr="00C51375" w:rsidRDefault="002718E8" w:rsidP="002718E8">
      <w:pPr>
        <w:pStyle w:val="NoSpacing"/>
        <w:rPr>
          <w:rFonts w:ascii="Arial Black" w:hAnsi="Arial Black"/>
          <w:b/>
          <w:sz w:val="28"/>
          <w:szCs w:val="28"/>
        </w:rPr>
      </w:pPr>
      <w:r>
        <w:rPr>
          <w:rFonts w:ascii="Arial Black" w:hAnsi="Arial Black"/>
          <w:b/>
          <w:sz w:val="28"/>
          <w:szCs w:val="28"/>
        </w:rPr>
        <w:t>NC: PD UNION – PIO “NASTINESS” – NOT DEFAMATION</w:t>
      </w:r>
    </w:p>
    <w:p w14:paraId="3E1182CE" w14:textId="77777777" w:rsidR="002718E8" w:rsidRDefault="002718E8" w:rsidP="002718E8">
      <w:pPr>
        <w:pStyle w:val="NoSpacing"/>
        <w:rPr>
          <w:b/>
        </w:rPr>
      </w:pPr>
    </w:p>
    <w:p w14:paraId="40D3E078" w14:textId="77777777" w:rsidR="002718E8" w:rsidRDefault="002718E8" w:rsidP="002718E8">
      <w:pPr>
        <w:pStyle w:val="NoSpacing"/>
      </w:pPr>
      <w:r>
        <w:t xml:space="preserve">On March 4, 2026, in </w:t>
      </w:r>
      <w:r w:rsidRPr="00020CF6">
        <w:rPr>
          <w:u w:val="single"/>
        </w:rPr>
        <w:t xml:space="preserve">Sanda </w:t>
      </w:r>
      <w:proofErr w:type="spellStart"/>
      <w:r w:rsidRPr="00020CF6">
        <w:rPr>
          <w:u w:val="single"/>
        </w:rPr>
        <w:t>D’Elosua</w:t>
      </w:r>
      <w:proofErr w:type="spellEnd"/>
      <w:r w:rsidRPr="00020CF6">
        <w:rPr>
          <w:u w:val="single"/>
        </w:rPr>
        <w:t xml:space="preserve"> Vastola v. Charlotte Mecklenburg Lodge 9, Fraternal Order of Police, Inc. and Daniel Redfocd, President</w:t>
      </w:r>
      <w:r w:rsidRPr="005A7818">
        <w:t>, the Court of Appeals of North Carolina</w:t>
      </w:r>
      <w:r>
        <w:t xml:space="preserve"> held (3 to 0) that trial court properly dismissed slander / libel lawsuit by the PD Director of Public Affairs; the Union’s “purely subjective opinion” about PIO is not defamation.  Four police officers were killed on April 29, 2024, and she </w:t>
      </w:r>
      <w:r w:rsidRPr="0073205F">
        <w:t xml:space="preserve">declined to </w:t>
      </w:r>
      <w:r>
        <w:t xml:space="preserve">refute or otherwise </w:t>
      </w:r>
      <w:r w:rsidRPr="0073205F">
        <w:t>respond to many of the</w:t>
      </w:r>
      <w:r>
        <w:t xml:space="preserve"> </w:t>
      </w:r>
      <w:r w:rsidRPr="0073205F">
        <w:t>questions</w:t>
      </w:r>
      <w:r>
        <w:t xml:space="preserve"> by local press that allegedly </w:t>
      </w:r>
      <w:r w:rsidRPr="0072685F">
        <w:t>certain officers of the department “who logged off and did</w:t>
      </w:r>
      <w:r>
        <w:t xml:space="preserve"> </w:t>
      </w:r>
      <w:r w:rsidRPr="0072685F">
        <w:t>not show up during the incident.”</w:t>
      </w:r>
      <w:r>
        <w:t xml:space="preserve">  The Union in </w:t>
      </w:r>
      <w:proofErr w:type="gramStart"/>
      <w:r>
        <w:t>a number of</w:t>
      </w:r>
      <w:proofErr w:type="gramEnd"/>
      <w:r>
        <w:t xml:space="preserve"> FACEBOOK posts and press interviews referenced her “nattiness” and questioner </w:t>
      </w:r>
      <w:r w:rsidRPr="008A2F1A">
        <w:t>her</w:t>
      </w:r>
      <w:r>
        <w:t xml:space="preserve"> </w:t>
      </w:r>
      <w:r w:rsidRPr="008A2F1A">
        <w:t>professionalism</w:t>
      </w:r>
      <w:r>
        <w:t xml:space="preserve"> in responding to a serious press inquiry.  </w:t>
      </w:r>
    </w:p>
    <w:p w14:paraId="1B5727F3" w14:textId="77777777" w:rsidR="002718E8" w:rsidRDefault="002718E8" w:rsidP="002718E8">
      <w:pPr>
        <w:pStyle w:val="NoSpacing"/>
        <w:rPr>
          <w:bCs/>
        </w:rPr>
      </w:pPr>
      <w:hyperlink r:id="rId2681" w:history="1">
        <w:r w:rsidRPr="000855F8">
          <w:rPr>
            <w:rStyle w:val="Hyperlink"/>
          </w:rPr>
          <w:t>https://cases.justia.com/north-carolina/court-of-appeals/2026-25-761.pdf?ts=1772641555</w:t>
        </w:r>
      </w:hyperlink>
    </w:p>
    <w:p w14:paraId="79A44C46" w14:textId="77777777" w:rsidR="002718E8" w:rsidRDefault="002718E8" w:rsidP="002718E8">
      <w:pPr>
        <w:pStyle w:val="NoSpacing"/>
        <w:rPr>
          <w:bCs/>
        </w:rPr>
      </w:pPr>
    </w:p>
    <w:p w14:paraId="2F0EFFB5" w14:textId="77777777" w:rsidR="002718E8" w:rsidRDefault="002718E8" w:rsidP="002718E8">
      <w:pPr>
        <w:pStyle w:val="NoSpacing"/>
      </w:pPr>
      <w:r>
        <w:t xml:space="preserve">THE COURT WROTE: </w:t>
      </w:r>
    </w:p>
    <w:p w14:paraId="6D749A58" w14:textId="77777777" w:rsidR="002718E8" w:rsidRDefault="002718E8" w:rsidP="002718E8">
      <w:pPr>
        <w:pStyle w:val="NoSpacing"/>
      </w:pPr>
    </w:p>
    <w:p w14:paraId="2D5208C6" w14:textId="77777777" w:rsidR="002718E8" w:rsidRDefault="002718E8" w:rsidP="002718E8">
      <w:pPr>
        <w:pStyle w:val="NoSpacing"/>
        <w:ind w:left="720"/>
        <w:rPr>
          <w:bCs/>
        </w:rPr>
      </w:pPr>
      <w:r>
        <w:t>“</w:t>
      </w:r>
      <w:r w:rsidRPr="00604DB5">
        <w:t>A statement expressing a purely subjective opinion about a person—regardless</w:t>
      </w:r>
      <w:r>
        <w:t xml:space="preserve"> </w:t>
      </w:r>
      <w:r w:rsidRPr="00604DB5">
        <w:t xml:space="preserve">of whether that person is </w:t>
      </w:r>
      <w:proofErr w:type="gramStart"/>
      <w:r w:rsidRPr="00604DB5">
        <w:t>a public figure,</w:t>
      </w:r>
      <w:proofErr w:type="gramEnd"/>
      <w:r w:rsidRPr="00604DB5">
        <w:t xml:space="preserve"> whether the statement was made publicly,</w:t>
      </w:r>
      <w:r>
        <w:t xml:space="preserve"> </w:t>
      </w:r>
      <w:r w:rsidRPr="00604DB5">
        <w:t>or whether the statement caused harm—is not defamatory. As the statements here</w:t>
      </w:r>
      <w:r>
        <w:t xml:space="preserve"> </w:t>
      </w:r>
      <w:r w:rsidRPr="00604DB5">
        <w:t>expressed purely subjective opinions, the trial court correctly dismissed Plaintiff’s</w:t>
      </w:r>
      <w:r>
        <w:t xml:space="preserve"> </w:t>
      </w:r>
      <w:r w:rsidRPr="00604DB5">
        <w:t>slander and libel claims.</w:t>
      </w:r>
    </w:p>
    <w:p w14:paraId="3F274F80" w14:textId="77777777" w:rsidR="002718E8" w:rsidRDefault="002718E8" w:rsidP="002718E8">
      <w:pPr>
        <w:pStyle w:val="NoSpacing"/>
        <w:ind w:left="720"/>
        <w:rPr>
          <w:bCs/>
        </w:rPr>
      </w:pPr>
    </w:p>
    <w:p w14:paraId="6221A47C" w14:textId="77777777" w:rsidR="002718E8" w:rsidRDefault="002718E8" w:rsidP="002718E8">
      <w:pPr>
        <w:pStyle w:val="NoSpacing"/>
        <w:ind w:left="720"/>
      </w:pPr>
      <w:r>
        <w:t>***</w:t>
      </w:r>
    </w:p>
    <w:p w14:paraId="3FB011B9" w14:textId="77777777" w:rsidR="002718E8" w:rsidRDefault="002718E8" w:rsidP="002718E8">
      <w:pPr>
        <w:pStyle w:val="NoSpacing"/>
        <w:ind w:left="720"/>
      </w:pPr>
      <w:r>
        <w:t>Plaintiff declined to respond to many of the questions based on the belief that they constituted private personnel records under N.C.G.S. § 160A-</w:t>
      </w:r>
      <w:proofErr w:type="gramStart"/>
      <w:r>
        <w:t>168, and</w:t>
      </w:r>
      <w:proofErr w:type="gramEnd"/>
      <w:r>
        <w:t xml:space="preserve"> described the story as ‘a slam job that would damage the very men and women who are still recovering from this heinous incident.’ When the story was run, it characterized the Charlotte-Mecklenburg Police Department as lacking in transparency.</w:t>
      </w:r>
    </w:p>
    <w:p w14:paraId="60A4B687" w14:textId="77777777" w:rsidR="002718E8" w:rsidRDefault="002718E8" w:rsidP="002718E8">
      <w:pPr>
        <w:pStyle w:val="NoSpacing"/>
        <w:ind w:left="720"/>
      </w:pPr>
    </w:p>
    <w:p w14:paraId="29FB4E75" w14:textId="77777777" w:rsidR="002718E8" w:rsidRDefault="002718E8" w:rsidP="002718E8">
      <w:pPr>
        <w:pStyle w:val="NoSpacing"/>
        <w:ind w:left="720"/>
      </w:pPr>
      <w:r>
        <w:t>***</w:t>
      </w:r>
    </w:p>
    <w:p w14:paraId="28FDAA2F" w14:textId="77777777" w:rsidR="002718E8" w:rsidRDefault="002718E8" w:rsidP="002718E8">
      <w:pPr>
        <w:pStyle w:val="NoSpacing"/>
        <w:ind w:left="720"/>
      </w:pPr>
      <w:r>
        <w:t>Here, none of the statements that Plaintiff identifies in her complaint can be</w:t>
      </w:r>
    </w:p>
    <w:p w14:paraId="26769216" w14:textId="77777777" w:rsidR="002718E8" w:rsidRDefault="002718E8" w:rsidP="002718E8">
      <w:pPr>
        <w:pStyle w:val="NoSpacing"/>
        <w:ind w:left="720"/>
      </w:pPr>
      <w:r>
        <w:t>seriously understood as containing factual content. While perhaps deeply</w:t>
      </w:r>
    </w:p>
    <w:p w14:paraId="2DCF14A2" w14:textId="77777777" w:rsidR="002718E8" w:rsidRDefault="002718E8" w:rsidP="002718E8">
      <w:pPr>
        <w:pStyle w:val="NoSpacing"/>
        <w:ind w:left="720"/>
      </w:pPr>
      <w:r>
        <w:t>unflattering, accusing Plaintiff of ‘nastiness,’ opining that her actions constitute</w:t>
      </w:r>
    </w:p>
    <w:p w14:paraId="7C575EFE" w14:textId="77777777" w:rsidR="002718E8" w:rsidRDefault="002718E8" w:rsidP="002718E8">
      <w:pPr>
        <w:pStyle w:val="NoSpacing"/>
        <w:ind w:left="720"/>
      </w:pPr>
      <w:r>
        <w:t>‘</w:t>
      </w:r>
      <w:proofErr w:type="gramStart"/>
      <w:r>
        <w:t>failures</w:t>
      </w:r>
      <w:proofErr w:type="gramEnd"/>
      <w:r>
        <w:t xml:space="preserve"> as a person with power[,]’ characterizing her statements as ‘dismissive’ or</w:t>
      </w:r>
    </w:p>
    <w:p w14:paraId="3EE435CD" w14:textId="77777777" w:rsidR="002718E8" w:rsidRDefault="002718E8" w:rsidP="002718E8">
      <w:pPr>
        <w:pStyle w:val="NoSpacing"/>
        <w:ind w:left="720"/>
      </w:pPr>
      <w:r>
        <w:t xml:space="preserve">‘snap[ping] back with insults[,]’ or expressing that she made ‘poor </w:t>
      </w:r>
      <w:proofErr w:type="gramStart"/>
      <w:r>
        <w:t>decisions’</w:t>
      </w:r>
      <w:proofErr w:type="gramEnd"/>
      <w:r>
        <w:t xml:space="preserve"> or a</w:t>
      </w:r>
    </w:p>
    <w:p w14:paraId="53F0D94E" w14:textId="77777777" w:rsidR="002718E8" w:rsidRDefault="002718E8" w:rsidP="002718E8">
      <w:pPr>
        <w:pStyle w:val="NoSpacing"/>
        <w:ind w:left="720"/>
      </w:pPr>
      <w:r>
        <w:t>‘[g]</w:t>
      </w:r>
      <w:proofErr w:type="spellStart"/>
      <w:r>
        <w:t>arbage</w:t>
      </w:r>
      <w:proofErr w:type="spellEnd"/>
      <w:r>
        <w:t xml:space="preserve"> response’ are all decidedly subjective opinions offered to characterize her</w:t>
      </w:r>
    </w:p>
    <w:p w14:paraId="59CD6B63" w14:textId="77777777" w:rsidR="002718E8" w:rsidRDefault="002718E8" w:rsidP="002718E8">
      <w:pPr>
        <w:pStyle w:val="NoSpacing"/>
        <w:ind w:left="720"/>
      </w:pPr>
      <w:r>
        <w:t>behavior, not factual claims regarding the contents of her behavior.</w:t>
      </w:r>
    </w:p>
    <w:p w14:paraId="389D9DF1" w14:textId="77777777" w:rsidR="002718E8" w:rsidRDefault="002718E8" w:rsidP="002718E8">
      <w:pPr>
        <w:pStyle w:val="NoSpacing"/>
        <w:ind w:left="720"/>
      </w:pPr>
    </w:p>
    <w:p w14:paraId="11C0EC63" w14:textId="77777777" w:rsidR="002718E8" w:rsidRDefault="002718E8" w:rsidP="002718E8">
      <w:pPr>
        <w:pStyle w:val="NoSpacing"/>
        <w:ind w:left="720"/>
      </w:pPr>
      <w:r>
        <w:t>***</w:t>
      </w:r>
    </w:p>
    <w:p w14:paraId="31395088" w14:textId="77777777" w:rsidR="002718E8" w:rsidRDefault="002718E8" w:rsidP="002718E8">
      <w:pPr>
        <w:pStyle w:val="NoSpacing"/>
        <w:ind w:left="720"/>
      </w:pPr>
      <w:r>
        <w:t>The United States Supreme Court has said that ‘debate on public issues should</w:t>
      </w:r>
    </w:p>
    <w:p w14:paraId="7ED33E94" w14:textId="77777777" w:rsidR="002718E8" w:rsidRDefault="002718E8" w:rsidP="002718E8">
      <w:pPr>
        <w:pStyle w:val="NoSpacing"/>
        <w:ind w:left="720"/>
      </w:pPr>
      <w:r>
        <w:t>be uninhibited, robust, and wide-open, and . . . may well include vehement, caustic,</w:t>
      </w:r>
    </w:p>
    <w:p w14:paraId="0914B76B" w14:textId="77777777" w:rsidR="002718E8" w:rsidRDefault="002718E8" w:rsidP="002718E8">
      <w:pPr>
        <w:pStyle w:val="NoSpacing"/>
        <w:ind w:left="720"/>
      </w:pPr>
      <w:r>
        <w:t>and sometimes unpleasantly sharp attacks on government and public</w:t>
      </w:r>
    </w:p>
    <w:p w14:paraId="7ACD3CE3" w14:textId="77777777" w:rsidR="002718E8" w:rsidRDefault="002718E8" w:rsidP="002718E8">
      <w:pPr>
        <w:pStyle w:val="NoSpacing"/>
        <w:ind w:left="720"/>
      </w:pPr>
      <w:r>
        <w:t>officials[,]’ New York Times Co. v. Sullivan, 376 U.S. 254, 270 (1964); accordingly,</w:t>
      </w:r>
    </w:p>
    <w:p w14:paraId="2EA5D96F" w14:textId="77777777" w:rsidR="002718E8" w:rsidRDefault="002718E8" w:rsidP="002718E8">
      <w:pPr>
        <w:pStyle w:val="NoSpacing"/>
        <w:ind w:left="720"/>
      </w:pPr>
      <w:r>
        <w:t>‘</w:t>
      </w:r>
      <w:proofErr w:type="gramStart"/>
      <w:r>
        <w:t>public</w:t>
      </w:r>
      <w:proofErr w:type="gramEnd"/>
      <w:r>
        <w:t xml:space="preserve"> figures bear the burden of proving that alleged defamatory statements</w:t>
      </w:r>
    </w:p>
    <w:p w14:paraId="2B9352AA" w14:textId="77777777" w:rsidR="002718E8" w:rsidRDefault="002718E8" w:rsidP="002718E8">
      <w:pPr>
        <w:pStyle w:val="NoSpacing"/>
        <w:ind w:left="720"/>
      </w:pPr>
      <w:r>
        <w:t xml:space="preserve">against them were published with actual malice </w:t>
      </w:r>
      <w:proofErr w:type="gramStart"/>
      <w:r>
        <w:t>in order to</w:t>
      </w:r>
      <w:proofErr w:type="gramEnd"/>
      <w:r>
        <w:t xml:space="preserve"> recover damages.’</w:t>
      </w:r>
    </w:p>
    <w:p w14:paraId="4DD70758" w14:textId="77777777" w:rsidR="002718E8" w:rsidRDefault="002718E8" w:rsidP="002718E8">
      <w:pPr>
        <w:pStyle w:val="NoSpacing"/>
        <w:ind w:left="720"/>
      </w:pPr>
    </w:p>
    <w:p w14:paraId="4D418EAA" w14:textId="77777777" w:rsidR="002718E8" w:rsidRDefault="002718E8" w:rsidP="002718E8">
      <w:pPr>
        <w:pStyle w:val="NoSpacing"/>
        <w:ind w:left="720"/>
      </w:pPr>
      <w:r>
        <w:t>***</w:t>
      </w:r>
    </w:p>
    <w:p w14:paraId="670AE579" w14:textId="77777777" w:rsidR="002718E8" w:rsidRDefault="002718E8" w:rsidP="002718E8">
      <w:pPr>
        <w:pStyle w:val="NoSpacing"/>
        <w:ind w:left="720"/>
      </w:pPr>
      <w:r>
        <w:t>Thus, even assuming arguendo that Plaintiff is not a public figure and that these statements publicly disparaged her to her material harm, they contain no factual content and therefore cannot, as a matter of law, be understood as defamatory.”</w:t>
      </w:r>
    </w:p>
    <w:p w14:paraId="28124B5E" w14:textId="77777777" w:rsidR="002718E8" w:rsidRDefault="002718E8" w:rsidP="002718E8">
      <w:pPr>
        <w:pStyle w:val="NoSpacing"/>
        <w:ind w:left="720"/>
      </w:pPr>
    </w:p>
    <w:p w14:paraId="60E22B04" w14:textId="77777777" w:rsidR="002718E8" w:rsidRPr="002A2731" w:rsidRDefault="002718E8" w:rsidP="002718E8">
      <w:pPr>
        <w:pStyle w:val="NoSpacing"/>
        <w:rPr>
          <w:b/>
          <w:bCs/>
        </w:rPr>
      </w:pPr>
      <w:r>
        <w:rPr>
          <w:b/>
        </w:rPr>
        <w:t xml:space="preserve">Legal lesson learned: Pure expression of opinion about person’s lack of professionalism is not defamation; if plaintiff was a “public figure” that she would also have to prove “malice.” </w:t>
      </w:r>
    </w:p>
    <w:p w14:paraId="5F99186F" w14:textId="77777777" w:rsidR="002718E8" w:rsidRDefault="002718E8" w:rsidP="002718E8">
      <w:pPr>
        <w:pStyle w:val="NoSpacing"/>
      </w:pPr>
    </w:p>
    <w:p w14:paraId="0F4B4E51" w14:textId="77777777" w:rsidR="002718E8" w:rsidRDefault="002718E8" w:rsidP="002718E8">
      <w:pPr>
        <w:pStyle w:val="NoSpacing"/>
        <w:ind w:left="720"/>
        <w:rPr>
          <w:b/>
        </w:rPr>
      </w:pPr>
      <w:r>
        <w:t xml:space="preserve">Note: See this </w:t>
      </w:r>
      <w:r w:rsidRPr="00AE38CC">
        <w:t xml:space="preserve">April 8, </w:t>
      </w:r>
      <w:proofErr w:type="gramStart"/>
      <w:r w:rsidRPr="00AE38CC">
        <w:t>2026</w:t>
      </w:r>
      <w:proofErr w:type="gramEnd"/>
      <w:r>
        <w:t xml:space="preserve"> article</w:t>
      </w:r>
      <w:r w:rsidRPr="00AE38CC">
        <w:t>: Court sides with Char-Meck FOP in CMPD employee defamation case.</w:t>
      </w:r>
      <w:r>
        <w:rPr>
          <w:b/>
        </w:rPr>
        <w:t xml:space="preserve"> </w:t>
      </w:r>
      <w:hyperlink r:id="rId2682" w:history="1">
        <w:r w:rsidRPr="007C46E6">
          <w:rPr>
            <w:rStyle w:val="Hyperlink"/>
            <w:b/>
          </w:rPr>
          <w:t>https://www.qcnews.com/charlotte/court-sides-with-char-meck-fop-in-cmpd-employee-defamation-case/</w:t>
        </w:r>
      </w:hyperlink>
      <w:r>
        <w:rPr>
          <w:b/>
        </w:rPr>
        <w:t xml:space="preserve"> </w:t>
      </w:r>
    </w:p>
    <w:p w14:paraId="570833CB" w14:textId="77777777" w:rsidR="002718E8" w:rsidRDefault="002718E8" w:rsidP="002718E8">
      <w:pPr>
        <w:pStyle w:val="NoSpacing"/>
        <w:ind w:left="720"/>
        <w:rPr>
          <w:b/>
        </w:rPr>
      </w:pPr>
    </w:p>
    <w:p w14:paraId="70B7DFB0" w14:textId="77777777" w:rsidR="002718E8" w:rsidRDefault="002718E8" w:rsidP="002718E8">
      <w:pPr>
        <w:pStyle w:val="NoSpacing"/>
        <w:ind w:left="720"/>
        <w:rPr>
          <w:b/>
        </w:rPr>
      </w:pPr>
    </w:p>
    <w:p w14:paraId="590D672F" w14:textId="77777777" w:rsidR="002718E8" w:rsidRDefault="002718E8" w:rsidP="002718E8">
      <w:pPr>
        <w:pStyle w:val="NoSpacing"/>
        <w:ind w:left="720"/>
        <w:rPr>
          <w:bCs/>
        </w:rPr>
      </w:pPr>
      <w:r w:rsidRPr="00885714">
        <w:t>April 29, 2025: One year later: A timeline of the tragic April 29th shootout that shook Charlotte</w:t>
      </w:r>
      <w:r>
        <w:t xml:space="preserve">. </w:t>
      </w:r>
      <w:hyperlink r:id="rId2683" w:history="1">
        <w:r w:rsidRPr="0041562E">
          <w:rPr>
            <w:rStyle w:val="Hyperlink"/>
          </w:rPr>
          <w:t>https://www.qcnews.com/shannon-park-shooting/one-year-later-a-timeline-of-the-tragic-april-29th-shootout-that-shook-charlotte/</w:t>
        </w:r>
      </w:hyperlink>
      <w:r>
        <w:t xml:space="preserve"> </w:t>
      </w:r>
    </w:p>
    <w:p w14:paraId="723C66D7" w14:textId="77777777" w:rsidR="002718E8" w:rsidRDefault="002718E8" w:rsidP="002718E8">
      <w:pPr>
        <w:pStyle w:val="NoSpacing"/>
        <w:ind w:left="720"/>
      </w:pPr>
      <w:r w:rsidRPr="000F59E3">
        <w:t>“1:30 p.m. – Attempted warrant service turns deadly</w:t>
      </w:r>
      <w:r w:rsidRPr="00F1715E">
        <w:br/>
        <w:t>The U.S. Marshals Fugitive Task Force arrived at a home on Galway Drive to serve a warrant to 39-year-old Terry Hughes, wanted for felony gun possession out of Lincoln County. As officers approached the residence, Hughes opened fire without warning.</w:t>
      </w:r>
    </w:p>
    <w:p w14:paraId="12422E1C" w14:textId="77777777" w:rsidR="002718E8" w:rsidRPr="007907B2" w:rsidRDefault="002718E8" w:rsidP="002718E8">
      <w:pPr>
        <w:pStyle w:val="NoSpacing"/>
        <w:ind w:left="720"/>
        <w:rPr>
          <w:bCs/>
        </w:rPr>
      </w:pPr>
      <w:r w:rsidRPr="000F59E3">
        <w:t>Within minutes – officers down</w:t>
      </w:r>
      <w:r w:rsidRPr="007907B2">
        <w:br/>
        <w:t xml:space="preserve">Law enforcement scrambled as bullets tore through the quiet east Charlotte neighborhood. “Shots fired, shots fired!” rang out over police radios. </w:t>
      </w:r>
    </w:p>
    <w:p w14:paraId="0FEFA026" w14:textId="77777777" w:rsidR="002718E8" w:rsidRDefault="002718E8" w:rsidP="002718E8">
      <w:pPr>
        <w:pStyle w:val="NoSpacing"/>
        <w:ind w:left="720"/>
        <w:rPr>
          <w:bCs/>
        </w:rPr>
      </w:pPr>
      <w:r w:rsidRPr="007907B2">
        <w:t>Officers reported being pinned down as Hughes fired from a second-story window using a semi-automatic AR-15 and a 40-caliber handgun.</w:t>
      </w:r>
    </w:p>
    <w:p w14:paraId="76DF7937" w14:textId="77777777" w:rsidR="002718E8" w:rsidRPr="005B3ECE" w:rsidRDefault="002718E8" w:rsidP="002718E8">
      <w:pPr>
        <w:pStyle w:val="NoSpacing"/>
        <w:ind w:left="720"/>
        <w:rPr>
          <w:bCs/>
        </w:rPr>
      </w:pPr>
      <w:r w:rsidRPr="005B3ECE">
        <w:t xml:space="preserve">“I got shots fired. </w:t>
      </w:r>
      <w:proofErr w:type="gramStart"/>
      <w:r w:rsidRPr="005B3ECE">
        <w:t>He’s</w:t>
      </w:r>
      <w:proofErr w:type="gramEnd"/>
      <w:r w:rsidRPr="005B3ECE">
        <w:t xml:space="preserve"> top window barricaded himself. Several officers are pinned,” one responder radioed in.</w:t>
      </w:r>
    </w:p>
    <w:p w14:paraId="763A21A6" w14:textId="77777777" w:rsidR="002718E8" w:rsidRPr="005B3ECE" w:rsidRDefault="002718E8" w:rsidP="002718E8">
      <w:pPr>
        <w:pStyle w:val="NoSpacing"/>
        <w:ind w:left="720"/>
        <w:rPr>
          <w:bCs/>
        </w:rPr>
      </w:pPr>
      <w:r w:rsidRPr="000F59E3">
        <w:t>More than three hours – a barrage of gunfire</w:t>
      </w:r>
      <w:r w:rsidRPr="005B3ECE">
        <w:br/>
        <w:t xml:space="preserve">For over three hours, Hughes exchanged fire with law enforcement, reportedly discharging over 100 rounds. Dozens of police units and SWAT officers swarmed the area </w:t>
      </w:r>
      <w:proofErr w:type="gramStart"/>
      <w:r w:rsidRPr="005B3ECE">
        <w:t>as</w:t>
      </w:r>
      <w:proofErr w:type="gramEnd"/>
      <w:r w:rsidRPr="005B3ECE">
        <w:t xml:space="preserve"> efforts to extract the wounded intensified.</w:t>
      </w:r>
    </w:p>
    <w:p w14:paraId="2F29C216" w14:textId="77777777" w:rsidR="002718E8" w:rsidRPr="005B3ECE" w:rsidRDefault="002718E8" w:rsidP="002718E8">
      <w:pPr>
        <w:pStyle w:val="NoSpacing"/>
        <w:ind w:left="720"/>
        <w:rPr>
          <w:bCs/>
        </w:rPr>
      </w:pPr>
      <w:r w:rsidRPr="000F59E3">
        <w:t>Shortly after 4:30 p.m. – standoff ends</w:t>
      </w:r>
      <w:r w:rsidRPr="005B3ECE">
        <w:br/>
        <w:t>Hughes was eventually shot and killed when he emerged from the second-story window. But the damage had already been done.</w:t>
      </w:r>
    </w:p>
    <w:p w14:paraId="7007854E" w14:textId="77777777" w:rsidR="002718E8" w:rsidRPr="005B3ECE" w:rsidRDefault="002718E8" w:rsidP="002718E8">
      <w:pPr>
        <w:pStyle w:val="NoSpacing"/>
        <w:ind w:left="720"/>
        <w:rPr>
          <w:bCs/>
        </w:rPr>
      </w:pPr>
      <w:r w:rsidRPr="000F59E3">
        <w:t>That evening – officers confirmed dead</w:t>
      </w:r>
      <w:r w:rsidRPr="000F59E3">
        <w:br/>
      </w:r>
      <w:r w:rsidRPr="005B3ECE">
        <w:t>Three members of the Task Force — North Carolina Department of Adult Correction Investigators Sam Poloche and William Elliot, and Deputy U.S. Marshal Thomas Weeks — were pronounced dead at the hospital. CMPD Officer Joshua Eyer, a six-year veteran, was critically injured and passed away later that evening.</w:t>
      </w:r>
      <w:r>
        <w:t>”</w:t>
      </w:r>
    </w:p>
    <w:p w14:paraId="3E1AB0D1" w14:textId="77777777" w:rsidR="00920DD8" w:rsidRDefault="00920DD8" w:rsidP="00F326E5">
      <w:pPr>
        <w:pStyle w:val="NoSpacing"/>
        <w:rPr>
          <w:rFonts w:ascii="Arial Black" w:hAnsi="Arial Black"/>
          <w:sz w:val="24"/>
          <w:szCs w:val="24"/>
        </w:rPr>
      </w:pPr>
    </w:p>
    <w:p w14:paraId="58BF32B5" w14:textId="77777777" w:rsidR="00A70464" w:rsidRDefault="00A70464" w:rsidP="00F326E5">
      <w:pPr>
        <w:pStyle w:val="NoSpacing"/>
        <w:rPr>
          <w:rFonts w:ascii="Arial Black" w:hAnsi="Arial Black"/>
          <w:sz w:val="24"/>
          <w:szCs w:val="24"/>
        </w:rPr>
      </w:pPr>
    </w:p>
    <w:p w14:paraId="0B17965C" w14:textId="77777777" w:rsidR="00A70464" w:rsidRDefault="00A70464" w:rsidP="00F326E5">
      <w:pPr>
        <w:pStyle w:val="NoSpacing"/>
        <w:rPr>
          <w:rFonts w:ascii="Arial Black" w:hAnsi="Arial Black"/>
          <w:sz w:val="24"/>
          <w:szCs w:val="24"/>
        </w:rPr>
      </w:pPr>
    </w:p>
    <w:p w14:paraId="5025983E" w14:textId="3A091FD9" w:rsidR="00920DD8" w:rsidRDefault="00920DD8" w:rsidP="00F326E5">
      <w:pPr>
        <w:pStyle w:val="NoSpacing"/>
        <w:rPr>
          <w:rFonts w:ascii="Arial Black" w:hAnsi="Arial Black"/>
          <w:sz w:val="24"/>
          <w:szCs w:val="24"/>
        </w:rPr>
      </w:pPr>
      <w:r>
        <w:rPr>
          <w:rFonts w:ascii="Arial Black" w:hAnsi="Arial Black"/>
          <w:sz w:val="24"/>
          <w:szCs w:val="24"/>
        </w:rPr>
        <w:t>17-59</w:t>
      </w:r>
    </w:p>
    <w:p w14:paraId="3A6D3D97" w14:textId="77777777" w:rsidR="00920DD8" w:rsidRDefault="00920DD8" w:rsidP="00F326E5">
      <w:pPr>
        <w:pStyle w:val="NoSpacing"/>
        <w:rPr>
          <w:rFonts w:ascii="Arial Black" w:hAnsi="Arial Black"/>
          <w:sz w:val="24"/>
          <w:szCs w:val="24"/>
        </w:rPr>
      </w:pPr>
    </w:p>
    <w:p w14:paraId="10318CC9" w14:textId="77777777" w:rsidR="00920DD8" w:rsidRPr="00694417" w:rsidRDefault="00920DD8" w:rsidP="00920DD8">
      <w:pPr>
        <w:pStyle w:val="NoSpacing"/>
        <w:rPr>
          <w:rFonts w:ascii="Arial Black" w:hAnsi="Arial Black"/>
          <w:sz w:val="28"/>
          <w:szCs w:val="28"/>
        </w:rPr>
      </w:pPr>
      <w:r>
        <w:rPr>
          <w:rFonts w:ascii="Arial Black" w:hAnsi="Arial Black"/>
          <w:sz w:val="28"/>
          <w:szCs w:val="28"/>
        </w:rPr>
        <w:t xml:space="preserve">IL: PREG LEAVE – 112 DAYS - SENIORITY RECORD FIXED </w:t>
      </w:r>
    </w:p>
    <w:p w14:paraId="57F2B8E9" w14:textId="77777777" w:rsidR="00920DD8" w:rsidRDefault="00920DD8" w:rsidP="00920DD8">
      <w:pPr>
        <w:pStyle w:val="NoSpacing"/>
      </w:pPr>
    </w:p>
    <w:p w14:paraId="15AC9DD6" w14:textId="77777777" w:rsidR="00920DD8" w:rsidRDefault="00920DD8" w:rsidP="00920DD8">
      <w:pPr>
        <w:pStyle w:val="NoSpacing"/>
      </w:pPr>
      <w:r>
        <w:t xml:space="preserve">On March 10, 2026, in </w:t>
      </w:r>
      <w:r w:rsidRPr="00D3705A">
        <w:rPr>
          <w:u w:val="single"/>
        </w:rPr>
        <w:t>Sarah Schmidt v. City of Naperville</w:t>
      </w:r>
      <w:r>
        <w:t xml:space="preserve">, U.S. District Court Judge </w:t>
      </w:r>
      <w:r w:rsidRPr="00B729AD">
        <w:t>Steven C. Seeger</w:t>
      </w:r>
      <w:r>
        <w:t xml:space="preserve">. United States District Court for the Northern District of Illinois, Eastern Division, granted the City’s motion for summary judgment.  Plaintiff took maternity leave for first child starting in November 2012, and second child in June 2014, but the Fire Department mistakenly didn’t reduce 112 days of unpaid leave until the 2020 seniority list.  </w:t>
      </w:r>
      <w:r w:rsidRPr="00B36ADD">
        <w:t xml:space="preserve">In September 2022, </w:t>
      </w:r>
      <w:r>
        <w:t xml:space="preserve">it also </w:t>
      </w:r>
      <w:r w:rsidRPr="00B36ADD">
        <w:t>expressly flagged that correction</w:t>
      </w:r>
      <w:r>
        <w:t>, but it never told the firefighter or her union</w:t>
      </w:r>
      <w:r w:rsidRPr="00B36ADD">
        <w:t>.</w:t>
      </w:r>
      <w:r>
        <w:t xml:space="preserve">  She learned about the correction in June 2023 and filed EEOC charge.  EEOC charges must be filed within 300 days – way after the change was flagged, and the Court stated: “</w:t>
      </w:r>
      <w:r w:rsidRPr="00694417">
        <w:t>The bottom line is that Schmidt slept on her rights.</w:t>
      </w:r>
      <w:r>
        <w:t>”</w:t>
      </w:r>
    </w:p>
    <w:p w14:paraId="1A2FD065" w14:textId="77777777" w:rsidR="00920DD8" w:rsidRDefault="00920DD8" w:rsidP="00920DD8">
      <w:pPr>
        <w:pStyle w:val="NoSpacing"/>
      </w:pPr>
      <w:hyperlink r:id="rId2684" w:history="1">
        <w:r w:rsidRPr="00502BCE">
          <w:rPr>
            <w:rStyle w:val="Hyperlink"/>
          </w:rPr>
          <w:t>https://cases.justia.com/federal/district-courts/illinois/ilndce/1:2024cv01517/455667/32/0.pdf?ts=1773244215</w:t>
        </w:r>
      </w:hyperlink>
      <w:r>
        <w:t xml:space="preserve"> </w:t>
      </w:r>
    </w:p>
    <w:p w14:paraId="375A6844" w14:textId="77777777" w:rsidR="00920DD8" w:rsidRDefault="00920DD8" w:rsidP="00920DD8">
      <w:pPr>
        <w:pStyle w:val="NoSpacing"/>
      </w:pPr>
    </w:p>
    <w:p w14:paraId="225ECDAD" w14:textId="77777777" w:rsidR="00920DD8" w:rsidRPr="0020661A" w:rsidRDefault="00920DD8" w:rsidP="00920DD8">
      <w:pPr>
        <w:pStyle w:val="NoSpacing"/>
      </w:pPr>
      <w:r>
        <w:t>THE COURT HELD:  “</w:t>
      </w:r>
      <w:r w:rsidRPr="0020661A">
        <w:t xml:space="preserve">On September 22, 2022, </w:t>
      </w:r>
      <w:r w:rsidRPr="00FB6E6E">
        <w:t> Division Chief Daniel</w:t>
      </w:r>
      <w:r>
        <w:t>]</w:t>
      </w:r>
      <w:r w:rsidRPr="00FB6E6E">
        <w:t xml:space="preserve"> Smith</w:t>
      </w:r>
      <w:r w:rsidRPr="0020661A">
        <w:t xml:space="preserve"> published the 2023 seniority list. For the first time, Smith added a notation that called attention to the reduction in Schmidt's seniority. </w:t>
      </w:r>
    </w:p>
    <w:p w14:paraId="2A051893" w14:textId="77777777" w:rsidR="00920DD8" w:rsidRDefault="00920DD8" w:rsidP="00920DD8">
      <w:pPr>
        <w:pStyle w:val="NoSpacing"/>
        <w:ind w:left="540"/>
      </w:pPr>
    </w:p>
    <w:p w14:paraId="208C981F" w14:textId="77777777" w:rsidR="00920DD8" w:rsidRDefault="00920DD8" w:rsidP="00920DD8">
      <w:pPr>
        <w:pStyle w:val="NoSpacing"/>
        <w:ind w:left="540"/>
      </w:pPr>
      <w:r w:rsidRPr="0020661A">
        <w:t xml:space="preserve">“Schmidt </w:t>
      </w:r>
      <w:proofErr w:type="spellStart"/>
      <w:r w:rsidRPr="0020661A">
        <w:t>seniorty</w:t>
      </w:r>
      <w:proofErr w:type="spellEnd"/>
      <w:r w:rsidRPr="0020661A">
        <w:t xml:space="preserve"> [sic] reduced by 112 days. 2 [leave of absences] 11/12 &amp; 6/14.” </w:t>
      </w:r>
    </w:p>
    <w:p w14:paraId="4CB49322" w14:textId="77777777" w:rsidR="00920DD8" w:rsidRDefault="00920DD8" w:rsidP="00920DD8">
      <w:pPr>
        <w:pStyle w:val="NoSpacing"/>
        <w:ind w:left="540"/>
      </w:pPr>
    </w:p>
    <w:p w14:paraId="467D7032" w14:textId="77777777" w:rsidR="00920DD8" w:rsidRDefault="00920DD8" w:rsidP="00920DD8">
      <w:pPr>
        <w:pStyle w:val="NoSpacing"/>
      </w:pPr>
      <w:r w:rsidRPr="0020661A">
        <w:t xml:space="preserve">The numbers at the end reflected the months and years when Schmidt took leave, meaning November 2012 and June 2014. </w:t>
      </w:r>
    </w:p>
    <w:p w14:paraId="5545F6C5" w14:textId="77777777" w:rsidR="00920DD8" w:rsidRDefault="00920DD8" w:rsidP="00920DD8">
      <w:pPr>
        <w:pStyle w:val="NoSpacing"/>
      </w:pPr>
    </w:p>
    <w:p w14:paraId="7818BDC7" w14:textId="77777777" w:rsidR="00920DD8" w:rsidRDefault="00920DD8" w:rsidP="00920DD8">
      <w:pPr>
        <w:pStyle w:val="NoSpacing"/>
      </w:pPr>
      <w:r>
        <w:t>***</w:t>
      </w:r>
    </w:p>
    <w:p w14:paraId="68356FCE" w14:textId="77777777" w:rsidR="00920DD8" w:rsidRPr="0020661A" w:rsidRDefault="00920DD8" w:rsidP="00920DD8">
      <w:pPr>
        <w:pStyle w:val="NoSpacing"/>
      </w:pPr>
    </w:p>
    <w:p w14:paraId="650F1D0E" w14:textId="77777777" w:rsidR="00920DD8" w:rsidRDefault="00920DD8" w:rsidP="00920DD8">
      <w:pPr>
        <w:pStyle w:val="NoSpacing"/>
      </w:pPr>
      <w:r w:rsidRPr="001D3766">
        <w:t>The list is available to the employees, but the fire department does not send the list directly to the employees, either. Employees do not receive an email or other notification when Smith publishes the seniority list</w:t>
      </w:r>
      <w:r>
        <w:t xml:space="preserve">…. </w:t>
      </w:r>
      <w:r w:rsidRPr="0076125A">
        <w:t> Even so, the publication of the list does take place at the same time as the sweepstakes for vacation time. Every year, the fire department sends an official notice that bidding on the upcoming year's vacation days has begun.</w:t>
      </w:r>
      <w:r>
        <w:t>”</w:t>
      </w:r>
    </w:p>
    <w:p w14:paraId="0FDA9F85" w14:textId="77777777" w:rsidR="00920DD8" w:rsidRDefault="00920DD8" w:rsidP="00920DD8">
      <w:pPr>
        <w:pStyle w:val="NoSpacing"/>
      </w:pPr>
    </w:p>
    <w:p w14:paraId="51266757" w14:textId="77777777" w:rsidR="00920DD8" w:rsidRDefault="00920DD8" w:rsidP="00920DD8">
      <w:pPr>
        <w:pStyle w:val="NoSpacing"/>
        <w:rPr>
          <w:b/>
          <w:bCs/>
        </w:rPr>
      </w:pPr>
      <w:r>
        <w:rPr>
          <w:b/>
        </w:rPr>
        <w:t>***</w:t>
      </w:r>
    </w:p>
    <w:p w14:paraId="49574D05" w14:textId="77777777" w:rsidR="00920DD8" w:rsidRDefault="00920DD8" w:rsidP="00920DD8">
      <w:pPr>
        <w:pStyle w:val="NoSpacing"/>
      </w:pPr>
    </w:p>
    <w:p w14:paraId="35329F8B" w14:textId="77777777" w:rsidR="00920DD8" w:rsidRDefault="00920DD8" w:rsidP="00920DD8">
      <w:pPr>
        <w:pStyle w:val="NoSpacing"/>
      </w:pPr>
      <w:r w:rsidRPr="00EC7E1B">
        <w:t>During her tenure, Schmidt took two pregnancy-related periods of unpaid leave lasting longer than 30 days. In 2012, Schmidt was pregnant and took unpaid leave from November 30, 2012, to January 13, 2013</w:t>
      </w:r>
      <w:r>
        <w:t xml:space="preserve">…. </w:t>
      </w:r>
      <w:r w:rsidRPr="00EC7E1B">
        <w:t>In 2014, Schmidt had another child, taking unpaid leave from June 8 to August 24, 2014</w:t>
      </w:r>
      <w:r>
        <w:t xml:space="preserve">…. </w:t>
      </w:r>
      <w:r w:rsidRPr="00590CEE">
        <w:t xml:space="preserve">So, Schmidt took unpaid leave twice, and each absence lasted longer than 30 consecutive days. She took unpaid leave for a total of 112 days. Under the CBA, Schmidt was not entitled to seniority credit for that </w:t>
      </w:r>
      <w:proofErr w:type="gramStart"/>
      <w:r w:rsidRPr="00590CEE">
        <w:t>period of time</w:t>
      </w:r>
      <w:proofErr w:type="gramEnd"/>
      <w:r w:rsidRPr="00590CEE">
        <w:t xml:space="preserve">. </w:t>
      </w:r>
      <w:r w:rsidRPr="00590CEE">
        <w:rPr>
          <w:i/>
          <w:iCs/>
        </w:rPr>
        <w:t>See</w:t>
      </w:r>
      <w:r w:rsidRPr="00590CEE">
        <w:t xml:space="preserve"> CBA, at § 8.1 (</w:t>
      </w:r>
      <w:proofErr w:type="spellStart"/>
      <w:r w:rsidRPr="00590CEE">
        <w:t>Dckt</w:t>
      </w:r>
      <w:proofErr w:type="spellEnd"/>
      <w:r w:rsidRPr="00590CEE">
        <w:t>. No. 26-2).</w:t>
      </w:r>
      <w:r>
        <w:t>”</w:t>
      </w:r>
    </w:p>
    <w:p w14:paraId="721F7275" w14:textId="77777777" w:rsidR="00920DD8" w:rsidRDefault="00920DD8" w:rsidP="00920DD8">
      <w:pPr>
        <w:pStyle w:val="NoSpacing"/>
      </w:pPr>
    </w:p>
    <w:p w14:paraId="3B76DFFA" w14:textId="77777777" w:rsidR="00920DD8" w:rsidRPr="007E1C7E" w:rsidRDefault="00920DD8" w:rsidP="00920DD8">
      <w:pPr>
        <w:pStyle w:val="NoSpacing"/>
        <w:rPr>
          <w:b/>
          <w:bCs/>
        </w:rPr>
      </w:pPr>
      <w:r w:rsidRPr="007E1C7E">
        <w:rPr>
          <w:b/>
        </w:rPr>
        <w:t>Legal lesson learned:</w:t>
      </w:r>
      <w:r>
        <w:rPr>
          <w:b/>
        </w:rPr>
        <w:t xml:space="preserve"> The Fire Department, when it learned of its mistake in not reducing the seniority, “flagged” the correction on the 2023 seniority list; perhaps they could have avoided the EEOC charge and this litigation if they had simply advised her (and her union) of the correction. </w:t>
      </w:r>
    </w:p>
    <w:p w14:paraId="5A7B3BD5" w14:textId="77777777" w:rsidR="00920DD8" w:rsidRDefault="00920DD8" w:rsidP="00920DD8">
      <w:pPr>
        <w:pStyle w:val="NoSpacing"/>
      </w:pPr>
    </w:p>
    <w:p w14:paraId="44B33531" w14:textId="77777777" w:rsidR="00920DD8" w:rsidRPr="00EF7DF1" w:rsidRDefault="00920DD8" w:rsidP="00920DD8">
      <w:pPr>
        <w:pStyle w:val="NoSpacing"/>
        <w:ind w:left="720"/>
      </w:pPr>
      <w:r>
        <w:t>Note: The Court stated: “</w:t>
      </w:r>
      <w:r w:rsidRPr="00EF7DF1">
        <w:t xml:space="preserve">For whatever reason, no one from the fire department reached out to Schmidt directly and drew her attention to the correction. And for whatever reason, Schmidt did not notice the correction in the 2020 seniority list, or the 2021 seniority list, or the 2022 seniority list. Schmidt didn't realize that the fire department had reduced her seniority until June </w:t>
      </w:r>
      <w:proofErr w:type="gramStart"/>
      <w:r w:rsidRPr="00EF7DF1">
        <w:t>2023.</w:t>
      </w:r>
      <w:r>
        <w:t>”</w:t>
      </w:r>
      <w:proofErr w:type="gramEnd"/>
    </w:p>
    <w:p w14:paraId="2A0C7856" w14:textId="77777777" w:rsidR="00920DD8" w:rsidRDefault="00920DD8" w:rsidP="00920DD8">
      <w:pPr>
        <w:pStyle w:val="NoSpacing"/>
        <w:ind w:left="720"/>
      </w:pPr>
    </w:p>
    <w:p w14:paraId="3B71456C" w14:textId="77777777" w:rsidR="00920DD8" w:rsidRDefault="00920DD8" w:rsidP="00920DD8">
      <w:pPr>
        <w:pStyle w:val="NoSpacing"/>
        <w:ind w:left="720"/>
      </w:pPr>
    </w:p>
    <w:p w14:paraId="03811355" w14:textId="77777777" w:rsidR="00920DD8" w:rsidRDefault="00920DD8" w:rsidP="00920DD8">
      <w:pPr>
        <w:pStyle w:val="NoSpacing"/>
        <w:rPr>
          <w:b/>
        </w:rPr>
      </w:pPr>
    </w:p>
    <w:p w14:paraId="09CF6838" w14:textId="77777777" w:rsidR="00920DD8" w:rsidRDefault="00920DD8" w:rsidP="00920DD8">
      <w:pPr>
        <w:pStyle w:val="NoSpacing"/>
      </w:pPr>
    </w:p>
    <w:p w14:paraId="74DDD2A1" w14:textId="77777777" w:rsidR="00920DD8" w:rsidRDefault="00920DD8" w:rsidP="00920DD8">
      <w:pPr>
        <w:pStyle w:val="NoSpacing"/>
        <w:rPr>
          <w:bCs/>
        </w:rPr>
      </w:pPr>
    </w:p>
    <w:p w14:paraId="440BB528" w14:textId="77777777" w:rsidR="00920DD8" w:rsidRDefault="00920DD8" w:rsidP="00F326E5">
      <w:pPr>
        <w:pStyle w:val="NoSpacing"/>
        <w:rPr>
          <w:rFonts w:ascii="Arial Black" w:hAnsi="Arial Black"/>
          <w:sz w:val="24"/>
          <w:szCs w:val="24"/>
        </w:rPr>
      </w:pPr>
    </w:p>
    <w:p w14:paraId="55F76264" w14:textId="77777777" w:rsidR="00920DD8" w:rsidRDefault="00920DD8" w:rsidP="00F326E5">
      <w:pPr>
        <w:pStyle w:val="NoSpacing"/>
        <w:rPr>
          <w:rFonts w:ascii="Arial Black" w:hAnsi="Arial Black"/>
          <w:sz w:val="24"/>
          <w:szCs w:val="24"/>
        </w:rPr>
      </w:pPr>
    </w:p>
    <w:p w14:paraId="115F9665" w14:textId="4D4E7550" w:rsidR="0022047A" w:rsidRDefault="0022047A" w:rsidP="00F326E5">
      <w:pPr>
        <w:pStyle w:val="NoSpacing"/>
        <w:rPr>
          <w:rFonts w:ascii="Arial Black" w:hAnsi="Arial Black"/>
          <w:sz w:val="24"/>
          <w:szCs w:val="24"/>
        </w:rPr>
      </w:pPr>
      <w:r>
        <w:rPr>
          <w:rFonts w:ascii="Arial Black" w:hAnsi="Arial Black"/>
          <w:sz w:val="24"/>
          <w:szCs w:val="24"/>
        </w:rPr>
        <w:t>17-</w:t>
      </w:r>
      <w:r w:rsidR="00420A23">
        <w:rPr>
          <w:rFonts w:ascii="Arial Black" w:hAnsi="Arial Black"/>
          <w:sz w:val="24"/>
          <w:szCs w:val="24"/>
        </w:rPr>
        <w:t>58</w:t>
      </w:r>
    </w:p>
    <w:p w14:paraId="387E7D68" w14:textId="77777777" w:rsidR="00420A23" w:rsidRPr="00B177C5" w:rsidRDefault="00420A23" w:rsidP="00420A23">
      <w:pPr>
        <w:pStyle w:val="NoSpacing"/>
        <w:rPr>
          <w:rFonts w:ascii="Arial Black" w:hAnsi="Arial Black"/>
          <w:sz w:val="28"/>
          <w:szCs w:val="28"/>
        </w:rPr>
      </w:pPr>
      <w:r>
        <w:rPr>
          <w:rFonts w:ascii="Arial Black" w:hAnsi="Arial Black"/>
          <w:sz w:val="28"/>
          <w:szCs w:val="28"/>
        </w:rPr>
        <w:t>SC: UNION PRES. FIRED – CASE PROCEED – 1</w:t>
      </w:r>
      <w:r w:rsidRPr="005C3937">
        <w:rPr>
          <w:rFonts w:ascii="Arial Black" w:hAnsi="Arial Black"/>
          <w:sz w:val="28"/>
          <w:szCs w:val="28"/>
          <w:vertAlign w:val="superscript"/>
        </w:rPr>
        <w:t>st</w:t>
      </w:r>
      <w:r>
        <w:rPr>
          <w:rFonts w:ascii="Arial Black" w:hAnsi="Arial Black"/>
          <w:sz w:val="28"/>
          <w:szCs w:val="28"/>
        </w:rPr>
        <w:t xml:space="preserve"> AMEND.  </w:t>
      </w:r>
    </w:p>
    <w:p w14:paraId="679DDE63" w14:textId="77777777" w:rsidR="00420A23" w:rsidRDefault="00420A23" w:rsidP="00420A23">
      <w:pPr>
        <w:pStyle w:val="NoSpacing"/>
      </w:pPr>
    </w:p>
    <w:p w14:paraId="2E69737A" w14:textId="77777777" w:rsidR="00420A23" w:rsidRDefault="00420A23" w:rsidP="00420A23">
      <w:r>
        <w:t xml:space="preserve">On February 3, 2026, in </w:t>
      </w:r>
      <w:r w:rsidRPr="004A13ED">
        <w:rPr>
          <w:u w:val="single"/>
        </w:rPr>
        <w:t>Gregory Cargill v. The City of Greenville, et al</w:t>
      </w:r>
      <w:r>
        <w:t>., U.S. District Court Judge Jacquelyn D. Austin</w:t>
      </w:r>
      <w:r w:rsidRPr="002764C6">
        <w:t>, United States District Court for the District of South Carolina, Greenville Division</w:t>
      </w:r>
      <w:r>
        <w:t>. Denied the City’s motion to dismiss. Firefighter Cargill was President of IAFF Local 2261 and requested a meeting with the Fire Chief; o</w:t>
      </w:r>
      <w:r w:rsidRPr="00A04EFF">
        <w:t xml:space="preserve">n August 28, 2024, Chief Horton responded by email stating the City would not engage in collective bargaining with Local 2261 but that he would meet with Plaintiff “Chief to firefighter,” and he directed Plaintiff to go through the chain of command to set up the meeting or for any other communications. </w:t>
      </w:r>
      <w:r>
        <w:t xml:space="preserve">Cargill attended City Council meeting on September 9, 2024, spoke with member of the Council, on October 12, 2024 he sent letter on Union Letterhead to City Manager about poor morale, and then was fired by the Fire Chief on October 20, 2024. </w:t>
      </w:r>
      <w:hyperlink r:id="rId2685" w:history="1">
        <w:r w:rsidRPr="00734647">
          <w:rPr>
            <w:rStyle w:val="Hyperlink"/>
          </w:rPr>
          <w:t>https://public.fastcase.com/Jhe1Qn%2BmJndQYQU6z%2FeNmxCPiZizVlc11JYA3odTB4IhzrCNgoXQd5cis%2BDwnvItMWVDGFMSfq0NQT9Gs0Nt1TNd1VW0h9sJNC6uT%2FjNAHc%3D?utm_medium=email&amp;_hsenc=p2ANqtz-8-aEXaYfaNma4DTW9HUN_1FUQQoclWpkG9e_9BTRsreHlU-cWJ1LgKYyHosOTXLG__w-panONGFSrnN_jSAOz_10UwNA&amp;_hsmi=226712652&amp;utm_content=226712652&amp;utm_source=hs_email</w:t>
        </w:r>
      </w:hyperlink>
      <w:r>
        <w:t xml:space="preserve"> </w:t>
      </w:r>
    </w:p>
    <w:p w14:paraId="1E7FDE4C" w14:textId="77777777" w:rsidR="00420A23" w:rsidRDefault="00420A23" w:rsidP="00420A23">
      <w:pPr>
        <w:pStyle w:val="NoSpacing"/>
      </w:pPr>
      <w:r>
        <w:lastRenderedPageBreak/>
        <w:t>THE COURT HELD: “</w:t>
      </w:r>
      <w:r w:rsidRPr="007B7961">
        <w:t xml:space="preserve">In particular, under the balancing test developed by the Supreme Court in </w:t>
      </w:r>
      <w:r w:rsidRPr="007B7961">
        <w:rPr>
          <w:i/>
          <w:iCs/>
        </w:rPr>
        <w:t>Pickering</w:t>
      </w:r>
      <w:r w:rsidRPr="007B7961">
        <w:t xml:space="preserve"> and </w:t>
      </w:r>
      <w:r w:rsidRPr="007B7961">
        <w:rPr>
          <w:i/>
          <w:iCs/>
        </w:rPr>
        <w:t>Connick</w:t>
      </w:r>
      <w:r w:rsidRPr="007B7961">
        <w:t xml:space="preserve">, “the First Amendment does not protect public employees when their speech interests are outweighed by the government's interest in providing efficient and effective services to the public.” </w:t>
      </w:r>
      <w:r w:rsidRPr="007B7961">
        <w:rPr>
          <w:i/>
          <w:iCs/>
        </w:rPr>
        <w:t xml:space="preserve">Lawson v. Union </w:t>
      </w:r>
      <w:proofErr w:type="spellStart"/>
      <w:r w:rsidRPr="007B7961">
        <w:rPr>
          <w:i/>
          <w:iCs/>
        </w:rPr>
        <w:t>Cty</w:t>
      </w:r>
      <w:proofErr w:type="spellEnd"/>
      <w:r w:rsidRPr="007B7961">
        <w:rPr>
          <w:i/>
          <w:iCs/>
        </w:rPr>
        <w:t>. Clerk of Court</w:t>
      </w:r>
      <w:r w:rsidRPr="007B7961">
        <w:t>, 828 F.3d 239, 247 (4th Cir. 2016).</w:t>
      </w:r>
      <w:r>
        <w:t xml:space="preserve"> </w:t>
      </w:r>
    </w:p>
    <w:p w14:paraId="2A7FCE52" w14:textId="77777777" w:rsidR="00420A23" w:rsidRDefault="00420A23" w:rsidP="00420A23">
      <w:pPr>
        <w:pStyle w:val="NoSpacing"/>
      </w:pPr>
      <w:r w:rsidRPr="00870424">
        <w:t xml:space="preserve">Accordingly, the Court concludes that Plaintiff has adequately pled that his speech was as a private citizen on a matter of public concern. </w:t>
      </w:r>
      <w:r w:rsidRPr="00870424">
        <w:rPr>
          <w:i/>
          <w:iCs/>
        </w:rPr>
        <w:t>See Liverman</w:t>
      </w:r>
      <w:r w:rsidRPr="00870424">
        <w:t xml:space="preserve">, 844 F.3d at 410 (holding speech was on a matter of public concern when the matter </w:t>
      </w:r>
      <w:r>
        <w:t>‘</w:t>
      </w:r>
      <w:r w:rsidRPr="00870424">
        <w:t>addressed was of more than personal import</w:t>
      </w:r>
      <w:r>
        <w:t>’</w:t>
      </w:r>
      <w:r w:rsidRPr="00870424">
        <w:t>).</w:t>
      </w:r>
      <w:r>
        <w:t>”</w:t>
      </w:r>
    </w:p>
    <w:p w14:paraId="041AE8EC" w14:textId="77777777" w:rsidR="00420A23" w:rsidRPr="003F10C2" w:rsidRDefault="00420A23" w:rsidP="00420A23">
      <w:pPr>
        <w:pStyle w:val="NoSpacing"/>
        <w:rPr>
          <w:b/>
          <w:bCs/>
        </w:rPr>
      </w:pPr>
    </w:p>
    <w:p w14:paraId="17666401" w14:textId="77777777" w:rsidR="00420A23" w:rsidRPr="00C45C5D" w:rsidRDefault="00420A23" w:rsidP="00420A23">
      <w:pPr>
        <w:pStyle w:val="NoSpacing"/>
        <w:rPr>
          <w:b/>
          <w:bCs/>
        </w:rPr>
      </w:pPr>
      <w:r w:rsidRPr="003F10C2">
        <w:rPr>
          <w:b/>
        </w:rPr>
        <w:t xml:space="preserve">Legal lesson learned: </w:t>
      </w:r>
      <w:r>
        <w:rPr>
          <w:b/>
        </w:rPr>
        <w:t xml:space="preserve">The Union President was communicating on matters of a public concern. </w:t>
      </w:r>
    </w:p>
    <w:p w14:paraId="4E172BAA" w14:textId="77777777" w:rsidR="00420A23" w:rsidRPr="003F10C2" w:rsidRDefault="00420A23" w:rsidP="00420A23">
      <w:pPr>
        <w:rPr>
          <w:b/>
          <w:bCs/>
        </w:rPr>
      </w:pPr>
    </w:p>
    <w:p w14:paraId="69F30687" w14:textId="77777777" w:rsidR="00420A23" w:rsidRPr="002764C6" w:rsidRDefault="00420A23" w:rsidP="00420A23"/>
    <w:p w14:paraId="19DFC468" w14:textId="77777777" w:rsidR="00420A23" w:rsidRDefault="00420A23" w:rsidP="00F326E5">
      <w:pPr>
        <w:pStyle w:val="NoSpacing"/>
        <w:rPr>
          <w:rFonts w:ascii="Arial Black" w:hAnsi="Arial Black"/>
          <w:sz w:val="24"/>
          <w:szCs w:val="24"/>
        </w:rPr>
      </w:pPr>
    </w:p>
    <w:p w14:paraId="35712AC9" w14:textId="77777777" w:rsidR="0022047A" w:rsidRDefault="0022047A" w:rsidP="00F326E5">
      <w:pPr>
        <w:pStyle w:val="NoSpacing"/>
        <w:rPr>
          <w:rFonts w:ascii="Arial Black" w:hAnsi="Arial Black"/>
          <w:sz w:val="24"/>
          <w:szCs w:val="24"/>
        </w:rPr>
      </w:pPr>
    </w:p>
    <w:p w14:paraId="31D202F7" w14:textId="77777777" w:rsidR="0022047A" w:rsidRDefault="0022047A" w:rsidP="00F326E5">
      <w:pPr>
        <w:pStyle w:val="NoSpacing"/>
        <w:rPr>
          <w:rFonts w:ascii="Arial Black" w:hAnsi="Arial Black"/>
          <w:sz w:val="24"/>
          <w:szCs w:val="24"/>
        </w:rPr>
      </w:pPr>
    </w:p>
    <w:p w14:paraId="0B0F6658" w14:textId="77777777" w:rsidR="0022047A" w:rsidRDefault="0022047A" w:rsidP="00F326E5">
      <w:pPr>
        <w:pStyle w:val="NoSpacing"/>
        <w:rPr>
          <w:rFonts w:ascii="Arial Black" w:hAnsi="Arial Black"/>
          <w:sz w:val="24"/>
          <w:szCs w:val="24"/>
        </w:rPr>
      </w:pPr>
    </w:p>
    <w:p w14:paraId="1EA97DAA" w14:textId="60C89BD7" w:rsidR="00D92FBD" w:rsidRDefault="00D92FBD" w:rsidP="00F326E5">
      <w:pPr>
        <w:pStyle w:val="NoSpacing"/>
        <w:rPr>
          <w:rFonts w:ascii="Arial Black" w:hAnsi="Arial Black"/>
          <w:sz w:val="24"/>
          <w:szCs w:val="24"/>
        </w:rPr>
      </w:pPr>
      <w:r>
        <w:rPr>
          <w:rFonts w:ascii="Arial Black" w:hAnsi="Arial Black"/>
          <w:sz w:val="24"/>
          <w:szCs w:val="24"/>
        </w:rPr>
        <w:t>17-57</w:t>
      </w:r>
    </w:p>
    <w:p w14:paraId="3EC77202" w14:textId="77777777" w:rsidR="00EA62D5" w:rsidRDefault="00EA62D5" w:rsidP="00F326E5">
      <w:pPr>
        <w:pStyle w:val="NoSpacing"/>
        <w:rPr>
          <w:rFonts w:ascii="Arial Black" w:hAnsi="Arial Black"/>
          <w:sz w:val="24"/>
          <w:szCs w:val="24"/>
        </w:rPr>
      </w:pPr>
    </w:p>
    <w:p w14:paraId="1C7453A6" w14:textId="10B1C6B5" w:rsidR="00EA62D5" w:rsidRPr="00753591" w:rsidRDefault="00EA62D5" w:rsidP="00EA62D5">
      <w:pPr>
        <w:pStyle w:val="NoSpacing"/>
        <w:rPr>
          <w:rFonts w:ascii="Arial Black" w:hAnsi="Arial Black"/>
          <w:sz w:val="28"/>
          <w:szCs w:val="28"/>
        </w:rPr>
      </w:pPr>
      <w:r>
        <w:rPr>
          <w:rFonts w:ascii="Arial Black" w:hAnsi="Arial Black"/>
          <w:sz w:val="28"/>
          <w:szCs w:val="28"/>
        </w:rPr>
        <w:t xml:space="preserve">CA: UNION PRES – </w:t>
      </w:r>
      <w:r w:rsidR="00645B9B">
        <w:rPr>
          <w:rFonts w:ascii="Arial Black" w:hAnsi="Arial Black"/>
          <w:sz w:val="28"/>
          <w:szCs w:val="28"/>
        </w:rPr>
        <w:t>STESS –</w:t>
      </w:r>
      <w:r w:rsidR="001276F8">
        <w:rPr>
          <w:rFonts w:ascii="Arial Black" w:hAnsi="Arial Black"/>
          <w:sz w:val="28"/>
          <w:szCs w:val="28"/>
        </w:rPr>
        <w:t xml:space="preserve"> </w:t>
      </w:r>
      <w:r>
        <w:rPr>
          <w:rFonts w:ascii="Arial Black" w:hAnsi="Arial Black"/>
          <w:sz w:val="28"/>
          <w:szCs w:val="28"/>
        </w:rPr>
        <w:t>ORDERED TAKE PSYCH EXAM</w:t>
      </w:r>
    </w:p>
    <w:p w14:paraId="35B9DB4D" w14:textId="77777777" w:rsidR="00EA62D5" w:rsidRDefault="00EA62D5" w:rsidP="00EA62D5">
      <w:pPr>
        <w:pStyle w:val="NoSpacing"/>
      </w:pPr>
    </w:p>
    <w:p w14:paraId="361EE434" w14:textId="77777777" w:rsidR="00EA62D5" w:rsidRDefault="00EA62D5" w:rsidP="00EA62D5">
      <w:pPr>
        <w:pStyle w:val="NoSpacing"/>
      </w:pPr>
      <w:r>
        <w:t xml:space="preserve">On Oct. 13, 2025, in </w:t>
      </w:r>
      <w:r w:rsidRPr="007B5174">
        <w:rPr>
          <w:u w:val="single"/>
        </w:rPr>
        <w:t>Ryan Mack v. City of Guadalupe, et al</w:t>
      </w:r>
      <w:r>
        <w:t xml:space="preserve">., </w:t>
      </w:r>
      <w:r w:rsidRPr="008C0CEB">
        <w:t>California Court of Appeal, Second District</w:t>
      </w:r>
      <w:r>
        <w:t xml:space="preserve"> held (3 to 0, unpublished decision) that trial court properly granted summary judgment to the defendants.  The firefighter was a Captain and a vocal Union President; on March 8, 2022, he took sick leave.  The Fire Chief called him to about his level of stress. and he replied,</w:t>
      </w:r>
      <w:r w:rsidRPr="007C4EF8">
        <w:t xml:space="preserve"> “I do not feel 100 percent, and</w:t>
      </w:r>
      <w:r>
        <w:t xml:space="preserve"> </w:t>
      </w:r>
      <w:r w:rsidRPr="007C4EF8">
        <w:t>I don’t feel capable of doing the job right now.”</w:t>
      </w:r>
      <w:r>
        <w:t xml:space="preserve"> On March 10, 2022, Human Resources manager advised him he was being ordered to take psychological and physical exam; he passed both and returned to work in April.  He continued work for next year and resigned on June 5, 2025. </w:t>
      </w:r>
      <w:hyperlink r:id="rId2686" w:history="1">
        <w:r w:rsidRPr="0024236A">
          <w:rPr>
            <w:rStyle w:val="Hyperlink"/>
          </w:rPr>
          <w:t>https://www4.courts.ca.gov/opinions/nonpub/B342205.PDF</w:t>
        </w:r>
      </w:hyperlink>
      <w:r>
        <w:t xml:space="preserve"> </w:t>
      </w:r>
    </w:p>
    <w:p w14:paraId="5A256074" w14:textId="77777777" w:rsidR="00EA62D5" w:rsidRDefault="00EA62D5" w:rsidP="00EA62D5">
      <w:pPr>
        <w:pStyle w:val="NoSpacing"/>
      </w:pPr>
    </w:p>
    <w:p w14:paraId="66F21981" w14:textId="77777777" w:rsidR="00EA62D5" w:rsidRDefault="00EA62D5" w:rsidP="00EA62D5">
      <w:pPr>
        <w:pStyle w:val="NoSpacing"/>
      </w:pPr>
      <w:r>
        <w:t xml:space="preserve">THE COURT HELD:  </w:t>
      </w:r>
    </w:p>
    <w:p w14:paraId="70C9621F" w14:textId="77777777" w:rsidR="00EA62D5" w:rsidRDefault="00EA62D5" w:rsidP="00EA62D5">
      <w:pPr>
        <w:pStyle w:val="NoSpacing"/>
      </w:pPr>
    </w:p>
    <w:p w14:paraId="78C62D8E" w14:textId="77777777" w:rsidR="00EA62D5" w:rsidRDefault="00EA62D5" w:rsidP="00EA62D5">
      <w:pPr>
        <w:pStyle w:val="NoSpacing"/>
        <w:ind w:left="720"/>
      </w:pPr>
      <w:r>
        <w:t>“We conclude appellant did not suffer an adverse employment action as a matter of law. Thus, summary adjudication was proper as to his discrimination and retaliation claims.</w:t>
      </w:r>
    </w:p>
    <w:p w14:paraId="65CE88CF" w14:textId="77777777" w:rsidR="00EA62D5" w:rsidRDefault="00EA62D5" w:rsidP="00EA62D5">
      <w:pPr>
        <w:pStyle w:val="NoSpacing"/>
        <w:ind w:left="720"/>
      </w:pPr>
    </w:p>
    <w:p w14:paraId="3F636084" w14:textId="77777777" w:rsidR="00EA62D5" w:rsidRDefault="00EA62D5" w:rsidP="00EA62D5">
      <w:pPr>
        <w:pStyle w:val="NoSpacing"/>
        <w:ind w:left="720"/>
      </w:pPr>
      <w:r>
        <w:t>***</w:t>
      </w:r>
    </w:p>
    <w:p w14:paraId="627A7055" w14:textId="77777777" w:rsidR="00EA62D5" w:rsidRDefault="00EA62D5" w:rsidP="00EA62D5">
      <w:pPr>
        <w:pStyle w:val="NoSpacing"/>
        <w:ind w:left="720"/>
      </w:pPr>
      <w:proofErr w:type="spellStart"/>
      <w:r>
        <w:t>Areasonable</w:t>
      </w:r>
      <w:proofErr w:type="spellEnd"/>
      <w:r>
        <w:t xml:space="preserve"> trier of fact could not find that the fitness for duty order was an adverse employment action. The City’s policy manual expressly authorized fitness for duty examinations. The City’s personnel policy does not list fitness for duty examinations in its discipline tiers, and Chief Cash declared he ‘did not mean it as discipline.’ Appellant was paid while on leave pending the two examinations. After passing the examinations, he was </w:t>
      </w:r>
      <w:proofErr w:type="gramStart"/>
      <w:r>
        <w:t>cleared</w:t>
      </w:r>
      <w:proofErr w:type="gramEnd"/>
      <w:r>
        <w:t xml:space="preserve"> to return to full duty in April, the month after the fitness for duty order issued. That order did not cause appellant professional harm, and such harm cannot reasonably be inferred from appellant’s resignation over a year later.”</w:t>
      </w:r>
    </w:p>
    <w:p w14:paraId="0E34588E" w14:textId="77777777" w:rsidR="00EA62D5" w:rsidRDefault="00EA62D5" w:rsidP="00EA62D5">
      <w:pPr>
        <w:pStyle w:val="NoSpacing"/>
        <w:ind w:left="720"/>
      </w:pPr>
    </w:p>
    <w:p w14:paraId="0935F3BD" w14:textId="0208A6D1" w:rsidR="00EA62D5" w:rsidRPr="009A4666" w:rsidRDefault="00EA62D5" w:rsidP="00EA62D5">
      <w:pPr>
        <w:pStyle w:val="NoSpacing"/>
        <w:rPr>
          <w:b/>
          <w:bCs/>
        </w:rPr>
      </w:pPr>
      <w:r>
        <w:rPr>
          <w:b/>
        </w:rPr>
        <w:t xml:space="preserve">Lesson learned: Psychological exam is not an adverse employment action. </w:t>
      </w:r>
    </w:p>
    <w:p w14:paraId="75D45D51" w14:textId="77777777" w:rsidR="00EA62D5" w:rsidRDefault="00EA62D5" w:rsidP="00EA62D5">
      <w:pPr>
        <w:pStyle w:val="NoSpacing"/>
        <w:rPr>
          <w:b/>
        </w:rPr>
      </w:pPr>
    </w:p>
    <w:p w14:paraId="7708821C" w14:textId="77777777" w:rsidR="00EA62D5" w:rsidRDefault="00EA62D5" w:rsidP="00F326E5">
      <w:pPr>
        <w:pStyle w:val="NoSpacing"/>
        <w:rPr>
          <w:rFonts w:ascii="Arial Black" w:hAnsi="Arial Black"/>
          <w:sz w:val="24"/>
          <w:szCs w:val="24"/>
        </w:rPr>
      </w:pPr>
    </w:p>
    <w:p w14:paraId="1DA1A392" w14:textId="77777777" w:rsidR="00D92FBD" w:rsidRDefault="00D92FBD" w:rsidP="00F326E5">
      <w:pPr>
        <w:pStyle w:val="NoSpacing"/>
        <w:rPr>
          <w:rFonts w:ascii="Arial Black" w:hAnsi="Arial Black"/>
          <w:sz w:val="24"/>
          <w:szCs w:val="24"/>
        </w:rPr>
      </w:pPr>
    </w:p>
    <w:p w14:paraId="4FF68C78" w14:textId="77777777" w:rsidR="00D92FBD" w:rsidRDefault="00D92FBD" w:rsidP="00F326E5">
      <w:pPr>
        <w:pStyle w:val="NoSpacing"/>
        <w:rPr>
          <w:rFonts w:ascii="Arial Black" w:hAnsi="Arial Black"/>
          <w:sz w:val="24"/>
          <w:szCs w:val="24"/>
        </w:rPr>
      </w:pPr>
    </w:p>
    <w:p w14:paraId="4A3DC83D" w14:textId="77777777" w:rsidR="00D92FBD" w:rsidRDefault="00D92FBD" w:rsidP="00F326E5">
      <w:pPr>
        <w:pStyle w:val="NoSpacing"/>
        <w:rPr>
          <w:rFonts w:ascii="Arial Black" w:hAnsi="Arial Black"/>
          <w:sz w:val="24"/>
          <w:szCs w:val="24"/>
        </w:rPr>
      </w:pPr>
    </w:p>
    <w:p w14:paraId="483BD300" w14:textId="4077AD3D" w:rsidR="007D54CE" w:rsidRDefault="00AD0728" w:rsidP="00F326E5">
      <w:pPr>
        <w:pStyle w:val="NoSpacing"/>
        <w:rPr>
          <w:rFonts w:ascii="Arial Black" w:hAnsi="Arial Black"/>
          <w:sz w:val="24"/>
          <w:szCs w:val="24"/>
        </w:rPr>
      </w:pPr>
      <w:r>
        <w:rPr>
          <w:rFonts w:ascii="Arial Black" w:hAnsi="Arial Black"/>
          <w:sz w:val="24"/>
          <w:szCs w:val="24"/>
        </w:rPr>
        <w:t>17-</w:t>
      </w:r>
      <w:r w:rsidR="002E26A8">
        <w:rPr>
          <w:rFonts w:ascii="Arial Black" w:hAnsi="Arial Black"/>
          <w:sz w:val="24"/>
          <w:szCs w:val="24"/>
        </w:rPr>
        <w:t>56</w:t>
      </w:r>
    </w:p>
    <w:p w14:paraId="2C14FDE4" w14:textId="77777777" w:rsidR="0079784D" w:rsidRDefault="0079784D" w:rsidP="002E26A8">
      <w:pPr>
        <w:rPr>
          <w:rFonts w:ascii="Arial Black" w:hAnsi="Arial Black"/>
          <w:sz w:val="28"/>
          <w:szCs w:val="28"/>
        </w:rPr>
      </w:pPr>
    </w:p>
    <w:p w14:paraId="0B19B00D" w14:textId="4C81D6A9" w:rsidR="002E26A8" w:rsidRDefault="002E26A8" w:rsidP="002E26A8">
      <w:pPr>
        <w:rPr>
          <w:rFonts w:ascii="Arial Black" w:hAnsi="Arial Black"/>
          <w:sz w:val="28"/>
          <w:szCs w:val="28"/>
        </w:rPr>
      </w:pPr>
      <w:r>
        <w:rPr>
          <w:rFonts w:ascii="Arial Black" w:hAnsi="Arial Black"/>
          <w:sz w:val="28"/>
          <w:szCs w:val="28"/>
        </w:rPr>
        <w:t>GA: FD WENT PART-TIME - NO BENEFITS – EVEN WK 40 HRS</w:t>
      </w:r>
    </w:p>
    <w:p w14:paraId="7383AABA" w14:textId="77777777" w:rsidR="002E26A8" w:rsidRDefault="002E26A8" w:rsidP="002E26A8">
      <w:pPr>
        <w:pStyle w:val="NoSpacing"/>
        <w:rPr>
          <w:bCs/>
        </w:rPr>
      </w:pPr>
      <w:r>
        <w:t xml:space="preserve">On September 8, 2025, in </w:t>
      </w:r>
      <w:r w:rsidRPr="00387901">
        <w:rPr>
          <w:u w:val="single"/>
        </w:rPr>
        <w:t>David Bibble</w:t>
      </w:r>
      <w:r>
        <w:rPr>
          <w:u w:val="single"/>
        </w:rPr>
        <w:t>, et al</w:t>
      </w:r>
      <w:r w:rsidRPr="00387901">
        <w:rPr>
          <w:u w:val="single"/>
        </w:rPr>
        <w:t xml:space="preserve"> v. City of Roswell</w:t>
      </w:r>
      <w:r>
        <w:t xml:space="preserve">, the </w:t>
      </w:r>
      <w:r w:rsidRPr="00C866E2">
        <w:t>Court of Appeals of Georgia, Third Division</w:t>
      </w:r>
      <w:r>
        <w:t xml:space="preserve"> held (3 to 0) that part-time firefighters, who may voluntarily work over 40 hours, are not entitled to retirement or other benefits of full-time city employees, including retirement. In 2000, FD transitioned from mostly career to part-time.</w:t>
      </w:r>
    </w:p>
    <w:p w14:paraId="1D3990C4" w14:textId="77777777" w:rsidR="002E26A8" w:rsidRDefault="002E26A8" w:rsidP="002E26A8">
      <w:pPr>
        <w:pStyle w:val="NoSpacing"/>
        <w:rPr>
          <w:bCs/>
        </w:rPr>
      </w:pPr>
    </w:p>
    <w:p w14:paraId="447377F5" w14:textId="77777777" w:rsidR="002E26A8" w:rsidRDefault="002E26A8" w:rsidP="002E26A8">
      <w:pPr>
        <w:pStyle w:val="NoSpacing"/>
        <w:rPr>
          <w:bCs/>
        </w:rPr>
      </w:pPr>
      <w:r w:rsidRPr="006D5938">
        <w:rPr>
          <w:b/>
        </w:rPr>
        <w:t>THE COURT HELD:</w:t>
      </w:r>
      <w:r>
        <w:t xml:space="preserve"> “[T]</w:t>
      </w:r>
      <w:r w:rsidRPr="00222A64">
        <w:t>he City did not require part-time firefighters to work a full-time</w:t>
      </w:r>
      <w:r>
        <w:t xml:space="preserve"> </w:t>
      </w:r>
      <w:r w:rsidRPr="00222A64">
        <w:t xml:space="preserve">firefighter schedule of 24 hours on/48 hours off, nor </w:t>
      </w:r>
      <w:proofErr w:type="gramStart"/>
      <w:r w:rsidRPr="00222A64">
        <w:t>were</w:t>
      </w:r>
      <w:proofErr w:type="gramEnd"/>
      <w:r w:rsidRPr="00222A64">
        <w:t xml:space="preserve"> they were required to work</w:t>
      </w:r>
      <w:r>
        <w:t xml:space="preserve"> </w:t>
      </w:r>
      <w:r w:rsidRPr="00222A64">
        <w:t>40 hours per week. Rather, part-time firefighters were required to work one twelve-hour weekday shift per week and one twelve-hour weekend shift per week. They were</w:t>
      </w:r>
      <w:r>
        <w:t xml:space="preserve"> </w:t>
      </w:r>
      <w:r w:rsidRPr="00222A64">
        <w:t xml:space="preserve">not required to be </w:t>
      </w:r>
      <w:proofErr w:type="gramStart"/>
      <w:r w:rsidRPr="00222A64">
        <w:t>on-call</w:t>
      </w:r>
      <w:proofErr w:type="gramEnd"/>
      <w:r w:rsidRPr="00222A64">
        <w:t>, they were not subject to being held over, and they were not</w:t>
      </w:r>
      <w:r>
        <w:t xml:space="preserve"> </w:t>
      </w:r>
      <w:r w:rsidRPr="00222A64">
        <w:t>required to work if they were unavailable. And they indicated when they were available</w:t>
      </w:r>
      <w:r>
        <w:t xml:space="preserve"> </w:t>
      </w:r>
      <w:r w:rsidRPr="00222A64">
        <w:t>to work. If any part-time firefighter chose to work more than the minimum</w:t>
      </w:r>
      <w:r>
        <w:t xml:space="preserve"> </w:t>
      </w:r>
      <w:r w:rsidRPr="00222A64">
        <w:t>requirement, they did so voluntarily</w:t>
      </w:r>
      <w:r>
        <w:t xml:space="preserve">….  Although many firefighters in part-time positions often worked more than 40 hours per week, the undisputed facts show that the plaintiffs were employed in part-time positions and worked extra hours voluntarily…. Even if the City’s scheduling of part-time firefighters to work additional hours without extending to them the benefits of full-time employment was unfair in some broad sense, ‘we are not at liberty to ignore the specific terms of the parties’ written agreement and rewrite or revise a contract under the guise of construing it.” Copeland v. Home Grown Music, Inc., 358 Ga. App. 743, 750 (1) (856 SE2d 325) (2021) (punctuation and footnote omitted).” </w:t>
      </w:r>
      <w:hyperlink r:id="rId2687" w:history="1">
        <w:r w:rsidRPr="008C7245">
          <w:rPr>
            <w:rStyle w:val="Hyperlink"/>
          </w:rPr>
          <w:t>https://cases.justia.com/georgia/court-of-appeals/2025-a25a0947.pdf?ts=1757355224</w:t>
        </w:r>
      </w:hyperlink>
    </w:p>
    <w:p w14:paraId="1CCDDA28" w14:textId="77777777" w:rsidR="002E26A8" w:rsidRDefault="002E26A8" w:rsidP="002E26A8">
      <w:pPr>
        <w:rPr>
          <w:bCs/>
        </w:rPr>
      </w:pPr>
    </w:p>
    <w:p w14:paraId="2036F671" w14:textId="77777777" w:rsidR="002E26A8" w:rsidRPr="00EF6273" w:rsidRDefault="002E26A8" w:rsidP="002E26A8">
      <w:pPr>
        <w:rPr>
          <w:b/>
        </w:rPr>
      </w:pPr>
      <w:r w:rsidRPr="00EF6273">
        <w:rPr>
          <w:b/>
        </w:rPr>
        <w:t>KEY FACTS:</w:t>
      </w:r>
    </w:p>
    <w:p w14:paraId="77991295" w14:textId="77777777" w:rsidR="002E26A8" w:rsidRPr="007E2916" w:rsidRDefault="002E26A8" w:rsidP="002E26A8">
      <w:pPr>
        <w:pStyle w:val="NoSpacing"/>
        <w:ind w:left="720"/>
        <w:rPr>
          <w:bCs/>
        </w:rPr>
      </w:pPr>
      <w:r>
        <w:t>“</w:t>
      </w:r>
      <w:r w:rsidRPr="007E2916">
        <w:t>As relevant to these appeals,</w:t>
      </w:r>
      <w:r>
        <w:t xml:space="preserve"> ‘</w:t>
      </w:r>
      <w:r w:rsidRPr="007E2916">
        <w:t>[</w:t>
      </w:r>
      <w:proofErr w:type="spellStart"/>
      <w:r w:rsidRPr="007E2916">
        <w:t>i</w:t>
      </w:r>
      <w:proofErr w:type="spellEnd"/>
      <w:r w:rsidRPr="007E2916">
        <w:t>]n 2000, the City converted from a system of employing mostly full-time</w:t>
      </w:r>
      <w:r>
        <w:t xml:space="preserve">  </w:t>
      </w:r>
      <w:r w:rsidRPr="007E2916">
        <w:t>firefighters – with some reliance on volunteer firefighters – to a system of employing</w:t>
      </w:r>
      <w:r>
        <w:t xml:space="preserve"> </w:t>
      </w:r>
      <w:r w:rsidRPr="007E2916">
        <w:t>a significant number of ‘part-time’ firefighters who are not entitled to the same</w:t>
      </w:r>
      <w:r>
        <w:t xml:space="preserve"> </w:t>
      </w:r>
      <w:r w:rsidRPr="007E2916">
        <w:t>benefits as full-time City employees.</w:t>
      </w:r>
      <w:r>
        <w:t>’</w:t>
      </w:r>
      <w:r w:rsidRPr="007E2916">
        <w:t xml:space="preserve"> Id. at 828. David Bible and Brian Rogers</w:t>
      </w:r>
    </w:p>
    <w:p w14:paraId="466ACD8C" w14:textId="77777777" w:rsidR="002E26A8" w:rsidRPr="007E2916" w:rsidRDefault="002E26A8" w:rsidP="002E26A8">
      <w:pPr>
        <w:pStyle w:val="NoSpacing"/>
        <w:ind w:firstLine="720"/>
        <w:rPr>
          <w:bCs/>
        </w:rPr>
      </w:pPr>
      <w:r w:rsidRPr="007E2916">
        <w:t>worked for the City’s Fire Department from 1992 until 2017, and from 2006 to 2018,</w:t>
      </w:r>
    </w:p>
    <w:p w14:paraId="0A5C5199" w14:textId="77777777" w:rsidR="002E26A8" w:rsidRPr="007E2916" w:rsidRDefault="002E26A8" w:rsidP="002E26A8">
      <w:pPr>
        <w:pStyle w:val="NoSpacing"/>
        <w:ind w:firstLine="720"/>
        <w:rPr>
          <w:bCs/>
        </w:rPr>
      </w:pPr>
      <w:r w:rsidRPr="007E2916">
        <w:t xml:space="preserve">respectively. Id. at 828. In August 2017, Bible and Rogers filed suit against the </w:t>
      </w:r>
      <w:proofErr w:type="gramStart"/>
      <w:r w:rsidRPr="007E2916">
        <w:t>City</w:t>
      </w:r>
      <w:proofErr w:type="gramEnd"/>
    </w:p>
    <w:p w14:paraId="12B316FA" w14:textId="77777777" w:rsidR="002E26A8" w:rsidRPr="007E2916" w:rsidRDefault="002E26A8" w:rsidP="002E26A8">
      <w:pPr>
        <w:pStyle w:val="NoSpacing"/>
        <w:ind w:firstLine="720"/>
        <w:rPr>
          <w:bCs/>
        </w:rPr>
      </w:pPr>
      <w:r w:rsidRPr="007E2916">
        <w:t xml:space="preserve">seeking to represent a class of </w:t>
      </w:r>
      <w:proofErr w:type="gramStart"/>
      <w:r w:rsidRPr="007E2916">
        <w:t>similarly-situated</w:t>
      </w:r>
      <w:proofErr w:type="gramEnd"/>
      <w:r w:rsidRPr="007E2916">
        <w:t xml:space="preserve"> firefighters, claiming that although</w:t>
      </w:r>
    </w:p>
    <w:p w14:paraId="7B8537BA" w14:textId="77777777" w:rsidR="002E26A8" w:rsidRPr="007E2916" w:rsidRDefault="002E26A8" w:rsidP="002E26A8">
      <w:pPr>
        <w:pStyle w:val="NoSpacing"/>
        <w:ind w:firstLine="720"/>
        <w:rPr>
          <w:bCs/>
        </w:rPr>
      </w:pPr>
      <w:proofErr w:type="gramStart"/>
      <w:r w:rsidRPr="007E2916">
        <w:t>they</w:t>
      </w:r>
      <w:proofErr w:type="gramEnd"/>
      <w:r w:rsidRPr="007E2916">
        <w:t xml:space="preserve"> worked at least 40 hours per week, they were improperly classified as part-time,</w:t>
      </w:r>
    </w:p>
    <w:p w14:paraId="40B7E2A4" w14:textId="77777777" w:rsidR="002E26A8" w:rsidRDefault="002E26A8" w:rsidP="002E26A8">
      <w:pPr>
        <w:pStyle w:val="NoSpacing"/>
        <w:ind w:left="720"/>
        <w:rPr>
          <w:bCs/>
        </w:rPr>
      </w:pPr>
      <w:r w:rsidRPr="007E2916">
        <w:t>which deprived them of full-time employee benefits under the City’s Human</w:t>
      </w:r>
      <w:r>
        <w:t xml:space="preserve"> </w:t>
      </w:r>
      <w:r w:rsidRPr="007E2916">
        <w:t xml:space="preserve">Resources Policies and Procedures </w:t>
      </w:r>
      <w:proofErr w:type="gramStart"/>
      <w:r w:rsidRPr="007E2916">
        <w:t>Manual (</w:t>
      </w:r>
      <w:r>
        <w:t>‘</w:t>
      </w:r>
      <w:proofErr w:type="gramEnd"/>
      <w:r w:rsidRPr="007E2916">
        <w:t>Policy Manual</w:t>
      </w:r>
      <w:r>
        <w:t>’</w:t>
      </w:r>
      <w:r w:rsidRPr="007E2916">
        <w:t>)</w:t>
      </w:r>
      <w:r>
        <w:t xml:space="preserve"> </w:t>
      </w:r>
      <w:r w:rsidRPr="009C4E57">
        <w:t>Specifically, they</w:t>
      </w:r>
      <w:r>
        <w:t xml:space="preserve"> </w:t>
      </w:r>
      <w:r w:rsidRPr="009C4E57">
        <w:t>sought retirement benefits under the City’s Defined Benefit Pension Plan, which</w:t>
      </w:r>
      <w:r>
        <w:t xml:space="preserve"> </w:t>
      </w:r>
      <w:r w:rsidRPr="009C4E57">
        <w:t>covered employees prior to March 1, 2011, and the City’s Defined Contribution Plan,</w:t>
      </w:r>
      <w:r>
        <w:t xml:space="preserve"> </w:t>
      </w:r>
      <w:r w:rsidRPr="009C4E57">
        <w:t>which covered employees hired on or after March 1, 2011</w:t>
      </w:r>
      <w:r>
        <w:t>.</w:t>
      </w:r>
    </w:p>
    <w:p w14:paraId="697E8205" w14:textId="77777777" w:rsidR="002E26A8" w:rsidRDefault="002E26A8" w:rsidP="002E26A8">
      <w:pPr>
        <w:pStyle w:val="NoSpacing"/>
        <w:ind w:left="720"/>
        <w:rPr>
          <w:bCs/>
        </w:rPr>
      </w:pPr>
    </w:p>
    <w:p w14:paraId="354EEEDB" w14:textId="77777777" w:rsidR="002E26A8" w:rsidRDefault="002E26A8" w:rsidP="002E26A8">
      <w:pPr>
        <w:pStyle w:val="NoSpacing"/>
        <w:ind w:left="720"/>
        <w:rPr>
          <w:bCs/>
        </w:rPr>
      </w:pPr>
      <w:r>
        <w:t>***</w:t>
      </w:r>
    </w:p>
    <w:p w14:paraId="302E16C2" w14:textId="77777777" w:rsidR="002E26A8" w:rsidRDefault="002E26A8" w:rsidP="002E26A8">
      <w:pPr>
        <w:pStyle w:val="NoSpacing"/>
        <w:ind w:left="720"/>
        <w:rPr>
          <w:bCs/>
        </w:rPr>
      </w:pPr>
      <w:r>
        <w:t>S</w:t>
      </w:r>
      <w:r w:rsidRPr="001E7C14">
        <w:t>ince 1983, the Policy Manual, as well as the</w:t>
      </w:r>
      <w:r>
        <w:t xml:space="preserve"> </w:t>
      </w:r>
      <w:r w:rsidRPr="001E7C14">
        <w:t>resolutions implementing it, stated that it could be amended by the City Council at</w:t>
      </w:r>
      <w:r>
        <w:t xml:space="preserve"> </w:t>
      </w:r>
      <w:r w:rsidRPr="001E7C14">
        <w:t xml:space="preserve">any time. The July 2002 version stated that the </w:t>
      </w:r>
      <w:r>
        <w:t>‘</w:t>
      </w:r>
      <w:r w:rsidRPr="001E7C14">
        <w:t>City reserves the right to amend,</w:t>
      </w:r>
      <w:r>
        <w:t xml:space="preserve"> </w:t>
      </w:r>
      <w:r w:rsidRPr="001E7C14">
        <w:t>modify, change, replace, suspend, or cancel any of its policies and procedures,</w:t>
      </w:r>
      <w:r>
        <w:t xml:space="preserve"> </w:t>
      </w:r>
      <w:r w:rsidRPr="001E7C14">
        <w:t>including this Manual, at any time, with or without notice, for any reason or no</w:t>
      </w:r>
      <w:r>
        <w:t xml:space="preserve"> </w:t>
      </w:r>
      <w:r w:rsidRPr="001E7C14">
        <w:t>reason[.]</w:t>
      </w:r>
      <w:r>
        <w:t>’</w:t>
      </w:r>
      <w:r w:rsidRPr="001E7C14">
        <w:t xml:space="preserve"> Once again, both named plaintiffs acknowledged receiving letters from the</w:t>
      </w:r>
      <w:r>
        <w:t xml:space="preserve"> </w:t>
      </w:r>
      <w:r w:rsidRPr="001E7C14">
        <w:t>City which accompanied the Policy Manual and stated that the Policy Manual was</w:t>
      </w:r>
      <w:r>
        <w:t xml:space="preserve"> </w:t>
      </w:r>
      <w:r w:rsidRPr="001E7C14">
        <w:t>subject to review and change by the City at any time. See OCGA § 13-1-1 (</w:t>
      </w:r>
      <w:r>
        <w:t>‘</w:t>
      </w:r>
      <w:r w:rsidRPr="001E7C14">
        <w:t>A contract</w:t>
      </w:r>
      <w:r>
        <w:t xml:space="preserve"> </w:t>
      </w:r>
      <w:r w:rsidRPr="001E7C14">
        <w:t>is an agreement between two or more parties for the doing or not doing of some</w:t>
      </w:r>
      <w:r>
        <w:t xml:space="preserve"> </w:t>
      </w:r>
      <w:r w:rsidRPr="001E7C14">
        <w:t>specified thing.</w:t>
      </w:r>
      <w:r>
        <w:t>’</w:t>
      </w:r>
      <w:r w:rsidRPr="001E7C14">
        <w:t>).</w:t>
      </w:r>
      <w:r>
        <w:t>”</w:t>
      </w:r>
    </w:p>
    <w:p w14:paraId="732BEA17" w14:textId="77777777" w:rsidR="002E26A8" w:rsidRDefault="002E26A8" w:rsidP="002E26A8">
      <w:pPr>
        <w:pStyle w:val="NoSpacing"/>
        <w:ind w:left="720"/>
      </w:pPr>
    </w:p>
    <w:p w14:paraId="76C0577C" w14:textId="77777777" w:rsidR="002E26A8" w:rsidRDefault="002E26A8" w:rsidP="002E26A8">
      <w:pPr>
        <w:pStyle w:val="NoSpacing"/>
        <w:rPr>
          <w:b/>
          <w:bCs/>
        </w:rPr>
      </w:pPr>
      <w:r>
        <w:rPr>
          <w:b/>
        </w:rPr>
        <w:t xml:space="preserve">Legal lesson learned: Part-time personnel who voluntarily offer to work over 40 hours in a work week do not therefore become </w:t>
      </w:r>
      <w:proofErr w:type="gramStart"/>
      <w:r>
        <w:rPr>
          <w:b/>
        </w:rPr>
        <w:t>full time</w:t>
      </w:r>
      <w:proofErr w:type="gramEnd"/>
      <w:r>
        <w:rPr>
          <w:b/>
        </w:rPr>
        <w:t xml:space="preserve"> employees entitled to full-time benefits. </w:t>
      </w:r>
    </w:p>
    <w:p w14:paraId="60893741" w14:textId="77777777" w:rsidR="002E26A8" w:rsidRDefault="002E26A8" w:rsidP="00F326E5">
      <w:pPr>
        <w:pStyle w:val="NoSpacing"/>
        <w:rPr>
          <w:rFonts w:ascii="Arial Black" w:hAnsi="Arial Black"/>
          <w:sz w:val="24"/>
          <w:szCs w:val="24"/>
        </w:rPr>
      </w:pPr>
    </w:p>
    <w:p w14:paraId="2C7A8C2E" w14:textId="77777777" w:rsidR="00AD0728" w:rsidRDefault="00AD0728" w:rsidP="00FD6F7D">
      <w:pPr>
        <w:pStyle w:val="NoSpacing"/>
        <w:rPr>
          <w:rFonts w:ascii="Arial Black" w:hAnsi="Arial Black"/>
          <w:sz w:val="24"/>
          <w:szCs w:val="24"/>
        </w:rPr>
      </w:pPr>
    </w:p>
    <w:p w14:paraId="3586ADE4" w14:textId="77777777" w:rsidR="00AD0728" w:rsidRDefault="00AD0728" w:rsidP="00FD6F7D">
      <w:pPr>
        <w:pStyle w:val="NoSpacing"/>
        <w:rPr>
          <w:rFonts w:ascii="Arial Black" w:hAnsi="Arial Black"/>
          <w:sz w:val="24"/>
          <w:szCs w:val="24"/>
        </w:rPr>
      </w:pPr>
    </w:p>
    <w:p w14:paraId="7D88F7F2" w14:textId="77777777" w:rsidR="00AD0728" w:rsidRDefault="00AD0728" w:rsidP="00FD6F7D">
      <w:pPr>
        <w:pStyle w:val="NoSpacing"/>
        <w:rPr>
          <w:rFonts w:ascii="Arial Black" w:hAnsi="Arial Black"/>
          <w:sz w:val="24"/>
          <w:szCs w:val="24"/>
        </w:rPr>
      </w:pPr>
    </w:p>
    <w:p w14:paraId="35B6232D" w14:textId="0AC9DF52" w:rsidR="00834E72" w:rsidRDefault="00834E72" w:rsidP="00FD6F7D">
      <w:pPr>
        <w:pStyle w:val="NoSpacing"/>
        <w:rPr>
          <w:rFonts w:ascii="Arial Black" w:hAnsi="Arial Black"/>
          <w:sz w:val="24"/>
          <w:szCs w:val="24"/>
        </w:rPr>
      </w:pPr>
      <w:r>
        <w:rPr>
          <w:rFonts w:ascii="Arial Black" w:hAnsi="Arial Black"/>
          <w:sz w:val="24"/>
          <w:szCs w:val="24"/>
        </w:rPr>
        <w:t>17-55</w:t>
      </w:r>
    </w:p>
    <w:p w14:paraId="0A0DAA3F" w14:textId="77777777" w:rsidR="003D1961" w:rsidRDefault="003D1961" w:rsidP="00834E72">
      <w:pPr>
        <w:rPr>
          <w:rFonts w:ascii="Arial Black" w:hAnsi="Arial Black"/>
          <w:b/>
          <w:sz w:val="28"/>
          <w:szCs w:val="28"/>
        </w:rPr>
      </w:pPr>
    </w:p>
    <w:p w14:paraId="79909903" w14:textId="5928B752" w:rsidR="00834E72" w:rsidRDefault="00834E72" w:rsidP="00834E72">
      <w:pPr>
        <w:rPr>
          <w:rFonts w:ascii="Arial Black" w:hAnsi="Arial Black"/>
          <w:b/>
          <w:sz w:val="28"/>
          <w:szCs w:val="28"/>
        </w:rPr>
      </w:pPr>
      <w:r>
        <w:rPr>
          <w:rFonts w:ascii="Arial Black" w:hAnsi="Arial Black"/>
          <w:b/>
          <w:sz w:val="28"/>
          <w:szCs w:val="28"/>
        </w:rPr>
        <w:t>TX: HOUSTON - $650M BACK PAY – A/Cs SUE BE INCLUDED</w:t>
      </w:r>
    </w:p>
    <w:p w14:paraId="3B4B024C" w14:textId="77777777" w:rsidR="00834E72" w:rsidRPr="008E3387" w:rsidRDefault="00834E72" w:rsidP="00834E72">
      <w:pPr>
        <w:pStyle w:val="NoSpacing"/>
        <w:rPr>
          <w:rFonts w:ascii="Times New Roman" w:hAnsi="Times New Roman"/>
          <w:bCs/>
          <w:sz w:val="24"/>
          <w:szCs w:val="24"/>
        </w:rPr>
      </w:pPr>
      <w:r w:rsidRPr="008E3387">
        <w:rPr>
          <w:rFonts w:ascii="Times New Roman" w:hAnsi="Times New Roman"/>
          <w:sz w:val="24"/>
          <w:szCs w:val="24"/>
        </w:rPr>
        <w:t xml:space="preserve">On July 15, 2025, in </w:t>
      </w:r>
      <w:r w:rsidRPr="008E3387">
        <w:rPr>
          <w:rFonts w:ascii="Times New Roman" w:hAnsi="Times New Roman"/>
          <w:sz w:val="24"/>
          <w:szCs w:val="24"/>
          <w:u w:val="single"/>
        </w:rPr>
        <w:t>City of Houston, Texas v. Alfredo Martinez, et al</w:t>
      </w:r>
      <w:r w:rsidRPr="008E3387">
        <w:rPr>
          <w:rFonts w:ascii="Times New Roman" w:hAnsi="Times New Roman"/>
          <w:sz w:val="24"/>
          <w:szCs w:val="24"/>
        </w:rPr>
        <w:t xml:space="preserve">., the Texas Fourteenth Court of Appeals held (3 to 0) that 13 Assistant Fire Chiefs may intervene in case that has been pending for eight years and may sue the Houston Professional Fire Fighters’ Association, Local 341, for breach of the duty of fair representation.  Court also held that City has immunity.  In March 2024, the Association and City negotiated $650 million back pay settlement; the Assistant Fire Chiefs were “shocked” when the Association told them they were not included in the settlement, and they seek declaratory and compensatory relief.  The Association originally acted as the fire fighters’ exclusive bargaining agent and asserted claims on behalf of </w:t>
      </w:r>
      <w:proofErr w:type="gramStart"/>
      <w:r w:rsidRPr="008E3387">
        <w:rPr>
          <w:rFonts w:ascii="Times New Roman" w:hAnsi="Times New Roman"/>
          <w:sz w:val="24"/>
          <w:szCs w:val="24"/>
        </w:rPr>
        <w:t>all of</w:t>
      </w:r>
      <w:proofErr w:type="gramEnd"/>
      <w:r w:rsidRPr="008E3387">
        <w:rPr>
          <w:rFonts w:ascii="Times New Roman" w:hAnsi="Times New Roman"/>
          <w:sz w:val="24"/>
          <w:szCs w:val="24"/>
        </w:rPr>
        <w:t xml:space="preserve"> the City’s “fire fighters.” But then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and the Association agreed that the Association would not act as the Assistant Chiefs’ bargaining agent and characterized the back pay as “overtime.” THE COURT HELD: “The gravamen of their complaint against the Association is that the Association, as the fire fighters’ exclusive bargaining agent, owed them the duty to bargain on their behalf for compensation comparable to the prevailing compensation for similar work in the private sector, and that the Association breached that duty by failing to act as their bargaining agent at all or by otherwise preventing them from benefiting from the settlement agreement. Their claims against the Association can properly be characterized as requests for the trial court to enforce the Association’s statutory duty to act as the Intervenors’ [Assistant Fire Chiefs] bargaining agent and to collectively bargain on their behalf. The trial court has jurisdiction to address such claims under section 174.251 of the FPERA [Texas Fire and Police Employee Relations Act] as well as under its general jurisdiction. *** We conclude that the Association has failed to show its entitlement to mandamus relief.” </w:t>
      </w:r>
      <w:hyperlink r:id="rId2688" w:history="1">
        <w:r w:rsidRPr="008E3387">
          <w:rPr>
            <w:rStyle w:val="Hyperlink"/>
            <w:rFonts w:ascii="Times New Roman" w:hAnsi="Times New Roman"/>
            <w:sz w:val="24"/>
            <w:szCs w:val="24"/>
          </w:rPr>
          <w:t>https://cases.justia.com/texas/fourteenth-court-of-appeals/2025-14-24-00613-cv.pdf?ts=1752594731</w:t>
        </w:r>
      </w:hyperlink>
      <w:r w:rsidRPr="008E3387">
        <w:rPr>
          <w:rFonts w:ascii="Times New Roman" w:hAnsi="Times New Roman"/>
          <w:sz w:val="24"/>
          <w:szCs w:val="24"/>
        </w:rPr>
        <w:t xml:space="preserve"> </w:t>
      </w:r>
    </w:p>
    <w:p w14:paraId="496D1A23" w14:textId="77777777" w:rsidR="00834E72" w:rsidRPr="008E3387" w:rsidRDefault="00834E72" w:rsidP="00FD6F7D">
      <w:pPr>
        <w:pStyle w:val="NoSpacing"/>
        <w:rPr>
          <w:rFonts w:ascii="Times New Roman" w:hAnsi="Times New Roman"/>
          <w:sz w:val="24"/>
          <w:szCs w:val="24"/>
        </w:rPr>
      </w:pPr>
    </w:p>
    <w:p w14:paraId="7696809A" w14:textId="77777777" w:rsidR="008E3387" w:rsidRPr="008E3387" w:rsidRDefault="008E3387" w:rsidP="008E3387">
      <w:pPr>
        <w:pStyle w:val="NoSpacing"/>
        <w:rPr>
          <w:rFonts w:ascii="Times New Roman" w:hAnsi="Times New Roman"/>
          <w:b/>
          <w:sz w:val="24"/>
          <w:szCs w:val="24"/>
        </w:rPr>
      </w:pPr>
      <w:r w:rsidRPr="008E3387">
        <w:rPr>
          <w:rFonts w:ascii="Times New Roman" w:hAnsi="Times New Roman"/>
          <w:b/>
          <w:sz w:val="24"/>
          <w:szCs w:val="24"/>
        </w:rPr>
        <w:t xml:space="preserve">Legal lesson learned: Unions have a duty of fair representation of all its members; this case will now proceed to pre-trial discovery. </w:t>
      </w:r>
    </w:p>
    <w:p w14:paraId="06D0956D" w14:textId="77777777" w:rsidR="008E3387" w:rsidRPr="008E3387" w:rsidRDefault="008E3387" w:rsidP="008E3387">
      <w:pPr>
        <w:pStyle w:val="NoSpacing"/>
        <w:rPr>
          <w:rFonts w:ascii="Times New Roman" w:hAnsi="Times New Roman"/>
          <w:bCs/>
          <w:sz w:val="24"/>
          <w:szCs w:val="24"/>
        </w:rPr>
      </w:pPr>
    </w:p>
    <w:p w14:paraId="0B012548" w14:textId="77777777" w:rsidR="008E3387" w:rsidRPr="008E3387" w:rsidRDefault="008E3387" w:rsidP="008E3387">
      <w:pPr>
        <w:pStyle w:val="NoSpacing"/>
        <w:ind w:left="720"/>
        <w:rPr>
          <w:rFonts w:ascii="Times New Roman" w:hAnsi="Times New Roman"/>
          <w:bCs/>
          <w:sz w:val="24"/>
          <w:szCs w:val="24"/>
        </w:rPr>
      </w:pPr>
      <w:r w:rsidRPr="008E3387">
        <w:rPr>
          <w:rFonts w:ascii="Times New Roman" w:hAnsi="Times New Roman"/>
          <w:sz w:val="24"/>
          <w:szCs w:val="24"/>
        </w:rPr>
        <w:t xml:space="preserve">Note: The Court also held that City has immunity in this lawsuit. “The City contends that the FPERA does not waive immunity from the Intervenors’ claims for proceeds from the settlement agreement or for a declaration of their rights under it. In this,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is correct…. But we agree with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that it is immune from suit on the Intervenors’ foregoing requests for declaratory relief and on their claims for proceeds from the settlement agreement. Because those are not claims to enforce the FPERA,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retains immunity as to those claims.</w:t>
      </w:r>
    </w:p>
    <w:p w14:paraId="5C9C6333" w14:textId="77777777" w:rsidR="008E3387" w:rsidRPr="008E3387" w:rsidRDefault="008E3387" w:rsidP="00FD6F7D">
      <w:pPr>
        <w:pStyle w:val="NoSpacing"/>
        <w:rPr>
          <w:rFonts w:ascii="Times New Roman" w:hAnsi="Times New Roman"/>
          <w:sz w:val="24"/>
          <w:szCs w:val="24"/>
        </w:rPr>
      </w:pPr>
    </w:p>
    <w:p w14:paraId="1BBA292E" w14:textId="77777777" w:rsidR="00834E72" w:rsidRDefault="00834E72" w:rsidP="00FD6F7D">
      <w:pPr>
        <w:pStyle w:val="NoSpacing"/>
        <w:rPr>
          <w:rFonts w:ascii="Arial Black" w:hAnsi="Arial Black"/>
          <w:sz w:val="24"/>
          <w:szCs w:val="24"/>
        </w:rPr>
      </w:pPr>
    </w:p>
    <w:p w14:paraId="279B9BD1" w14:textId="77777777" w:rsidR="00834E72" w:rsidRDefault="00834E72" w:rsidP="00FD6F7D">
      <w:pPr>
        <w:pStyle w:val="NoSpacing"/>
        <w:rPr>
          <w:rFonts w:ascii="Arial Black" w:hAnsi="Arial Black"/>
          <w:sz w:val="24"/>
          <w:szCs w:val="24"/>
        </w:rPr>
      </w:pPr>
    </w:p>
    <w:p w14:paraId="0176BBC6" w14:textId="4FCA86A1" w:rsidR="00FD6F7D" w:rsidRDefault="00FD6F7D" w:rsidP="00FD6F7D">
      <w:pPr>
        <w:pStyle w:val="NoSpacing"/>
        <w:rPr>
          <w:rFonts w:ascii="Arial Black" w:hAnsi="Arial Black"/>
          <w:sz w:val="24"/>
          <w:szCs w:val="24"/>
        </w:rPr>
      </w:pPr>
      <w:r>
        <w:rPr>
          <w:rFonts w:ascii="Arial Black" w:hAnsi="Arial Black"/>
          <w:sz w:val="24"/>
          <w:szCs w:val="24"/>
        </w:rPr>
        <w:t>17-54</w:t>
      </w:r>
    </w:p>
    <w:p w14:paraId="4643DA90" w14:textId="7A5A9E45" w:rsidR="00FD6F7D" w:rsidRDefault="00FD6F7D" w:rsidP="00F326E5">
      <w:pPr>
        <w:pStyle w:val="NoSpacing"/>
        <w:rPr>
          <w:rFonts w:ascii="Arial Black" w:hAnsi="Arial Black"/>
          <w:sz w:val="24"/>
          <w:szCs w:val="24"/>
        </w:rPr>
      </w:pPr>
    </w:p>
    <w:p w14:paraId="0102EE78" w14:textId="77777777" w:rsidR="00316D92" w:rsidRPr="005F2110" w:rsidRDefault="00316D92" w:rsidP="00316D92">
      <w:pPr>
        <w:rPr>
          <w:rFonts w:ascii="Arial Black" w:hAnsi="Arial Black"/>
          <w:b/>
          <w:sz w:val="28"/>
          <w:szCs w:val="28"/>
        </w:rPr>
      </w:pPr>
      <w:r>
        <w:rPr>
          <w:rFonts w:ascii="Arial Black" w:hAnsi="Arial Black"/>
          <w:b/>
          <w:sz w:val="28"/>
          <w:szCs w:val="28"/>
        </w:rPr>
        <w:t xml:space="preserve">LA: IAFF OFFICER / CAPT. FIRED – CALLED BOARD MEMBERS </w:t>
      </w:r>
    </w:p>
    <w:p w14:paraId="0A1922EA" w14:textId="1030CAB9" w:rsidR="007D737C" w:rsidRPr="000F7D4E" w:rsidRDefault="00A57516" w:rsidP="00520903">
      <w:pPr>
        <w:pStyle w:val="NoSpacing"/>
        <w:rPr>
          <w:rFonts w:ascii="Times New Roman" w:hAnsi="Times New Roman"/>
          <w:sz w:val="24"/>
          <w:szCs w:val="24"/>
        </w:rPr>
      </w:pPr>
      <w:r w:rsidRPr="000F7D4E">
        <w:rPr>
          <w:rFonts w:ascii="Times New Roman" w:hAnsi="Times New Roman"/>
          <w:sz w:val="24"/>
          <w:szCs w:val="24"/>
        </w:rPr>
        <w:t xml:space="preserve">On June 12, 2025, in </w:t>
      </w:r>
      <w:r w:rsidRPr="000F7D4E">
        <w:rPr>
          <w:rFonts w:ascii="Times New Roman" w:hAnsi="Times New Roman"/>
          <w:sz w:val="24"/>
          <w:szCs w:val="24"/>
          <w:u w:val="single"/>
        </w:rPr>
        <w:t>Jonathan Gramm v. Fire District 9, Desoto Parish, et al</w:t>
      </w:r>
      <w:r w:rsidRPr="000F7D4E">
        <w:rPr>
          <w:rFonts w:ascii="Times New Roman" w:hAnsi="Times New Roman"/>
          <w:sz w:val="24"/>
          <w:szCs w:val="24"/>
        </w:rPr>
        <w:t xml:space="preserve">., U.S. District Court Judge S. Maurice Hicks, Jr., United States District Court for Western District of Louisiana, Shreveport Division, denied the Desoto Parish motion to dismiss the case; Jonathan Gramm has a First Amendment claim that will proceed to pre-trial discovery.  He was hired in 2014, is a Captain, and in July 2017 helped organize IAFF Local 5138, and elected its Secretary-Treasurer. On September 18, </w:t>
      </w:r>
      <w:proofErr w:type="gramStart"/>
      <w:r w:rsidRPr="000F7D4E">
        <w:rPr>
          <w:rFonts w:ascii="Times New Roman" w:hAnsi="Times New Roman"/>
          <w:sz w:val="24"/>
          <w:szCs w:val="24"/>
        </w:rPr>
        <w:t>2023</w:t>
      </w:r>
      <w:proofErr w:type="gramEnd"/>
      <w:r w:rsidRPr="000F7D4E">
        <w:rPr>
          <w:rFonts w:ascii="Times New Roman" w:hAnsi="Times New Roman"/>
          <w:sz w:val="24"/>
          <w:szCs w:val="24"/>
        </w:rPr>
        <w:t xml:space="preserve"> learned that an upcoming meeting of the Fire Board was going to vote on new </w:t>
      </w:r>
      <w:proofErr w:type="gramStart"/>
      <w:r w:rsidRPr="000F7D4E">
        <w:rPr>
          <w:rFonts w:ascii="Times New Roman" w:hAnsi="Times New Roman"/>
          <w:sz w:val="24"/>
          <w:szCs w:val="24"/>
        </w:rPr>
        <w:t>vehicle</w:t>
      </w:r>
      <w:proofErr w:type="gramEnd"/>
      <w:r w:rsidRPr="000F7D4E">
        <w:rPr>
          <w:rFonts w:ascii="Times New Roman" w:hAnsi="Times New Roman"/>
          <w:sz w:val="24"/>
          <w:szCs w:val="24"/>
        </w:rPr>
        <w:t xml:space="preserve"> for the Fire Chief.  At the union’s request, </w:t>
      </w:r>
      <w:proofErr w:type="gramStart"/>
      <w:r w:rsidRPr="000F7D4E">
        <w:rPr>
          <w:rFonts w:ascii="Times New Roman" w:hAnsi="Times New Roman"/>
          <w:sz w:val="24"/>
          <w:szCs w:val="24"/>
        </w:rPr>
        <w:t>Gramm</w:t>
      </w:r>
      <w:proofErr w:type="gramEnd"/>
      <w:r w:rsidRPr="000F7D4E">
        <w:rPr>
          <w:rFonts w:ascii="Times New Roman" w:hAnsi="Times New Roman"/>
          <w:sz w:val="24"/>
          <w:szCs w:val="24"/>
        </w:rPr>
        <w:t xml:space="preserve"> while off </w:t>
      </w:r>
      <w:proofErr w:type="gramStart"/>
      <w:r w:rsidRPr="000F7D4E">
        <w:rPr>
          <w:rFonts w:ascii="Times New Roman" w:hAnsi="Times New Roman"/>
          <w:sz w:val="24"/>
          <w:szCs w:val="24"/>
        </w:rPr>
        <w:t>duty</w:t>
      </w:r>
      <w:proofErr w:type="gramEnd"/>
      <w:r w:rsidRPr="000F7D4E">
        <w:rPr>
          <w:rFonts w:ascii="Times New Roman" w:hAnsi="Times New Roman"/>
          <w:sz w:val="24"/>
          <w:szCs w:val="24"/>
        </w:rPr>
        <w:t xml:space="preserve"> called two Commissioners on their cell phones to express opposition to new vehicle purchase.  The following morning the </w:t>
      </w:r>
      <w:r w:rsidRPr="000F7D4E">
        <w:rPr>
          <w:rFonts w:ascii="Times New Roman" w:hAnsi="Times New Roman"/>
          <w:sz w:val="24"/>
          <w:szCs w:val="24"/>
        </w:rPr>
        <w:lastRenderedPageBreak/>
        <w:t xml:space="preserve">Fire Chief King put him on administrative leave; he was fired on Nov. 27, 2023.  THE COURT HELD: “[T]he Court finds that Gramm has sufficiently pled a plausible claim for relief as to Counts I and III. He alleges that he engaged in </w:t>
      </w:r>
      <w:proofErr w:type="gramStart"/>
      <w:r w:rsidRPr="000F7D4E">
        <w:rPr>
          <w:rFonts w:ascii="Times New Roman" w:hAnsi="Times New Roman"/>
          <w:sz w:val="24"/>
          <w:szCs w:val="24"/>
        </w:rPr>
        <w:t>an</w:t>
      </w:r>
      <w:r w:rsidR="00FD6F7D">
        <w:rPr>
          <w:rFonts w:ascii="Times New Roman" w:hAnsi="Times New Roman"/>
          <w:sz w:val="24"/>
          <w:szCs w:val="24"/>
        </w:rPr>
        <w:t xml:space="preserve"> </w:t>
      </w:r>
      <w:r w:rsidRPr="000F7D4E">
        <w:rPr>
          <w:rFonts w:ascii="Times New Roman" w:hAnsi="Times New Roman"/>
          <w:sz w:val="24"/>
          <w:szCs w:val="24"/>
        </w:rPr>
        <w:t>external</w:t>
      </w:r>
      <w:proofErr w:type="gramEnd"/>
      <w:r w:rsidRPr="000F7D4E">
        <w:rPr>
          <w:rFonts w:ascii="Times New Roman" w:hAnsi="Times New Roman"/>
          <w:sz w:val="24"/>
          <w:szCs w:val="24"/>
        </w:rPr>
        <w:t xml:space="preserve"> communication when he complained to the Commissioners over the phone regarding the distribution of public funds. This communication can support a claim for free speech retaliation, as it was made outside of Gramm's duty as a firefighter captain and addressed an issue that could qualify as a matter for public concern. Therefore, Defendants' Motion with respect to Counts I and III is DENIED. Gramm's claims under § 1983 for a violation of his rights to free speech and to petition pursuant to the First and Fourteenth Amendments remain.” </w:t>
      </w:r>
      <w:hyperlink r:id="rId2689" w:history="1">
        <w:r w:rsidRPr="000F7D4E">
          <w:rPr>
            <w:rStyle w:val="Hyperlink"/>
            <w:rFonts w:ascii="Times New Roman" w:hAnsi="Times New Roman"/>
            <w:sz w:val="24"/>
            <w:szCs w:val="24"/>
          </w:rPr>
          <w:t>https://public.fastcase.com/jaEE2PXzRXmZ99jOLMt1Ir%2Bgd4DeQSRcdUE7IJV4ZHQFjK4R6%2FaVKxoGJags6yJ8?utm_medium=email&amp;_hsenc=p2ANqtz-9_dtoT8MCHWol7MkpFQEKniJ3EcCAHTOONesHADifFFZppYBhmnp0t7X96SaR0z0JseLLFRZzCLhs4WSwU0MvvvFbR6g&amp;_hsmi=226712652&amp;utm_content=226712652&amp;utm_source=hs_email</w:t>
        </w:r>
      </w:hyperlink>
    </w:p>
    <w:p w14:paraId="6A8A222F" w14:textId="77777777" w:rsidR="007D737C" w:rsidRPr="000F7D4E" w:rsidRDefault="007D737C" w:rsidP="00520903">
      <w:pPr>
        <w:pStyle w:val="NoSpacing"/>
        <w:rPr>
          <w:rFonts w:ascii="Times New Roman" w:hAnsi="Times New Roman"/>
          <w:sz w:val="24"/>
          <w:szCs w:val="24"/>
        </w:rPr>
      </w:pPr>
    </w:p>
    <w:p w14:paraId="59CFFFA7" w14:textId="090BD99B" w:rsidR="000F7D4E" w:rsidRPr="000F7D4E" w:rsidRDefault="000F7D4E" w:rsidP="000F7D4E">
      <w:pPr>
        <w:rPr>
          <w:rFonts w:ascii="Times New Roman" w:hAnsi="Times New Roman"/>
          <w:b/>
          <w:sz w:val="24"/>
          <w:szCs w:val="24"/>
        </w:rPr>
      </w:pPr>
      <w:r w:rsidRPr="000F7D4E">
        <w:rPr>
          <w:rFonts w:ascii="Times New Roman" w:hAnsi="Times New Roman"/>
          <w:b/>
          <w:sz w:val="24"/>
          <w:szCs w:val="24"/>
        </w:rPr>
        <w:t xml:space="preserve">Legal lesson learned:  </w:t>
      </w:r>
      <w:r w:rsidRPr="000F7D4E">
        <w:rPr>
          <w:rFonts w:ascii="Times New Roman" w:hAnsi="Times New Roman"/>
          <w:b/>
          <w:bCs/>
          <w:sz w:val="24"/>
          <w:szCs w:val="24"/>
        </w:rPr>
        <w:t xml:space="preserve">When union is going to present to Board, union </w:t>
      </w:r>
      <w:r w:rsidRPr="000F7D4E">
        <w:rPr>
          <w:rFonts w:ascii="Times New Roman" w:hAnsi="Times New Roman"/>
          <w:b/>
          <w:sz w:val="24"/>
          <w:szCs w:val="24"/>
        </w:rPr>
        <w:t xml:space="preserve">President should </w:t>
      </w:r>
      <w:r w:rsidRPr="000F7D4E">
        <w:rPr>
          <w:rFonts w:ascii="Times New Roman" w:hAnsi="Times New Roman"/>
          <w:b/>
          <w:bCs/>
          <w:sz w:val="24"/>
          <w:szCs w:val="24"/>
        </w:rPr>
        <w:t xml:space="preserve">first </w:t>
      </w:r>
      <w:r w:rsidRPr="000F7D4E">
        <w:rPr>
          <w:rFonts w:ascii="Times New Roman" w:hAnsi="Times New Roman"/>
          <w:b/>
          <w:sz w:val="24"/>
          <w:szCs w:val="24"/>
        </w:rPr>
        <w:t>inform Fire Chief</w:t>
      </w:r>
      <w:r w:rsidR="008051F6">
        <w:rPr>
          <w:rFonts w:ascii="Times New Roman" w:hAnsi="Times New Roman"/>
          <w:b/>
          <w:sz w:val="24"/>
          <w:szCs w:val="24"/>
        </w:rPr>
        <w:t xml:space="preserve"> prior to presentation. </w:t>
      </w:r>
      <w:r w:rsidRPr="000F7D4E">
        <w:rPr>
          <w:rFonts w:ascii="Times New Roman" w:hAnsi="Times New Roman"/>
          <w:b/>
          <w:bCs/>
          <w:sz w:val="24"/>
          <w:szCs w:val="24"/>
        </w:rPr>
        <w:t xml:space="preserve"> </w:t>
      </w:r>
    </w:p>
    <w:p w14:paraId="44C1CC86" w14:textId="77777777" w:rsidR="000F7D4E" w:rsidRDefault="000F7D4E" w:rsidP="00520903">
      <w:pPr>
        <w:pStyle w:val="NoSpacing"/>
        <w:rPr>
          <w:rFonts w:ascii="Arial Black" w:hAnsi="Arial Black"/>
          <w:sz w:val="28"/>
          <w:szCs w:val="28"/>
        </w:rPr>
      </w:pPr>
    </w:p>
    <w:p w14:paraId="34DD16E3" w14:textId="2AEF4FCD" w:rsidR="00FD6F7D" w:rsidRDefault="00FD6F7D" w:rsidP="00FD6F7D">
      <w:pPr>
        <w:pStyle w:val="NoSpacing"/>
        <w:rPr>
          <w:rFonts w:ascii="Arial Black" w:hAnsi="Arial Black"/>
          <w:sz w:val="24"/>
          <w:szCs w:val="24"/>
        </w:rPr>
      </w:pPr>
      <w:r>
        <w:rPr>
          <w:rFonts w:ascii="Arial Black" w:hAnsi="Arial Black"/>
          <w:sz w:val="24"/>
          <w:szCs w:val="24"/>
        </w:rPr>
        <w:t>17-53</w:t>
      </w:r>
    </w:p>
    <w:p w14:paraId="6987BDD3" w14:textId="77777777" w:rsidR="007D737C" w:rsidRDefault="007D737C" w:rsidP="00520903">
      <w:pPr>
        <w:pStyle w:val="NoSpacing"/>
        <w:rPr>
          <w:rFonts w:ascii="Arial Black" w:hAnsi="Arial Black"/>
          <w:sz w:val="28"/>
          <w:szCs w:val="28"/>
        </w:rPr>
      </w:pPr>
    </w:p>
    <w:p w14:paraId="30539A88" w14:textId="504E5E62" w:rsidR="00520903" w:rsidRPr="006F2B87" w:rsidRDefault="00520903" w:rsidP="00520903">
      <w:pPr>
        <w:pStyle w:val="NoSpacing"/>
        <w:rPr>
          <w:rFonts w:ascii="Arial Black" w:hAnsi="Arial Black"/>
          <w:sz w:val="28"/>
          <w:szCs w:val="28"/>
        </w:rPr>
      </w:pPr>
      <w:r w:rsidRPr="006F2B87">
        <w:rPr>
          <w:rFonts w:ascii="Arial Black" w:hAnsi="Arial Black"/>
          <w:sz w:val="28"/>
          <w:szCs w:val="28"/>
        </w:rPr>
        <w:t xml:space="preserve">CA:  TWO CAPTAINS </w:t>
      </w:r>
      <w:r w:rsidR="007E3F8D">
        <w:rPr>
          <w:rFonts w:ascii="Arial Black" w:hAnsi="Arial Black"/>
          <w:sz w:val="28"/>
          <w:szCs w:val="28"/>
        </w:rPr>
        <w:t xml:space="preserve">– POOR INTERVIEWS - </w:t>
      </w:r>
      <w:r w:rsidRPr="006F2B87">
        <w:rPr>
          <w:rFonts w:ascii="Arial Black" w:hAnsi="Arial Black"/>
          <w:sz w:val="28"/>
          <w:szCs w:val="28"/>
        </w:rPr>
        <w:t>NO</w:t>
      </w:r>
      <w:r>
        <w:rPr>
          <w:rFonts w:ascii="Arial Black" w:hAnsi="Arial Black"/>
          <w:sz w:val="28"/>
          <w:szCs w:val="28"/>
        </w:rPr>
        <w:t xml:space="preserve">T </w:t>
      </w:r>
      <w:r w:rsidRPr="006F2B87">
        <w:rPr>
          <w:rFonts w:ascii="Arial Black" w:hAnsi="Arial Black"/>
          <w:sz w:val="28"/>
          <w:szCs w:val="28"/>
        </w:rPr>
        <w:t xml:space="preserve">RETALIATION </w:t>
      </w:r>
    </w:p>
    <w:p w14:paraId="125C2708" w14:textId="77777777" w:rsidR="00520903" w:rsidRPr="006F2B87" w:rsidRDefault="00520903" w:rsidP="00520903">
      <w:pPr>
        <w:pStyle w:val="NoSpacing"/>
      </w:pPr>
    </w:p>
    <w:p w14:paraId="7452064A" w14:textId="77777777" w:rsidR="00520903" w:rsidRPr="00520903" w:rsidRDefault="00520903" w:rsidP="00520903">
      <w:pPr>
        <w:pStyle w:val="NoSpacing"/>
        <w:rPr>
          <w:rFonts w:ascii="Times New Roman" w:hAnsi="Times New Roman"/>
          <w:sz w:val="24"/>
          <w:szCs w:val="24"/>
        </w:rPr>
      </w:pPr>
      <w:r w:rsidRPr="00520903">
        <w:rPr>
          <w:rFonts w:ascii="Times New Roman" w:hAnsi="Times New Roman"/>
          <w:sz w:val="24"/>
          <w:szCs w:val="24"/>
        </w:rPr>
        <w:t xml:space="preserve">On May 16, 2025, in </w:t>
      </w:r>
      <w:r w:rsidRPr="00520903">
        <w:rPr>
          <w:rFonts w:ascii="Times New Roman" w:hAnsi="Times New Roman"/>
          <w:sz w:val="24"/>
          <w:szCs w:val="24"/>
          <w:u w:val="single"/>
        </w:rPr>
        <w:t>David Shenbaum and Timothy O'Brien v. City of Manhattan Beach</w:t>
      </w:r>
      <w:r w:rsidRPr="00520903">
        <w:rPr>
          <w:rFonts w:ascii="Times New Roman" w:hAnsi="Times New Roman"/>
          <w:sz w:val="24"/>
          <w:szCs w:val="24"/>
        </w:rPr>
        <w:t xml:space="preserve">, Chief U.S. Magistrate Judge Katen L. Stevenson. </w:t>
      </w:r>
      <w:proofErr w:type="gramStart"/>
      <w:r w:rsidRPr="00520903">
        <w:rPr>
          <w:rFonts w:ascii="Times New Roman" w:hAnsi="Times New Roman"/>
          <w:sz w:val="24"/>
          <w:szCs w:val="24"/>
        </w:rPr>
        <w:t>United States District Court for Central District of California,</w:t>
      </w:r>
      <w:proofErr w:type="gramEnd"/>
      <w:r w:rsidRPr="00520903">
        <w:rPr>
          <w:rFonts w:ascii="Times New Roman" w:hAnsi="Times New Roman"/>
          <w:sz w:val="24"/>
          <w:szCs w:val="24"/>
        </w:rPr>
        <w:t xml:space="preserve"> granted the </w:t>
      </w:r>
      <w:proofErr w:type="gramStart"/>
      <w:r w:rsidRPr="00520903">
        <w:rPr>
          <w:rFonts w:ascii="Times New Roman" w:hAnsi="Times New Roman"/>
          <w:sz w:val="24"/>
          <w:szCs w:val="24"/>
        </w:rPr>
        <w:t>City</w:t>
      </w:r>
      <w:proofErr w:type="gramEnd"/>
      <w:r w:rsidRPr="00520903">
        <w:rPr>
          <w:rFonts w:ascii="Times New Roman" w:hAnsi="Times New Roman"/>
          <w:sz w:val="24"/>
          <w:szCs w:val="24"/>
        </w:rPr>
        <w:t xml:space="preserve"> summary judgment, finding there was no proof of retaliation.  The two Captains claimed they were not promoted in retaliation for (1) their union voting in 2018 “No Confidence” in the fire chief and three battalion chiefs, and (2) union lawsuit on Nov. 3, </w:t>
      </w:r>
      <w:proofErr w:type="gramStart"/>
      <w:r w:rsidRPr="00520903">
        <w:rPr>
          <w:rFonts w:ascii="Times New Roman" w:hAnsi="Times New Roman"/>
          <w:sz w:val="24"/>
          <w:szCs w:val="24"/>
        </w:rPr>
        <w:t>2022</w:t>
      </w:r>
      <w:proofErr w:type="gramEnd"/>
      <w:r w:rsidRPr="00520903">
        <w:rPr>
          <w:rFonts w:ascii="Times New Roman" w:hAnsi="Times New Roman"/>
          <w:sz w:val="24"/>
          <w:szCs w:val="24"/>
        </w:rPr>
        <w:t xml:space="preserve"> challenging city reducing the pay of Battalion Chiefs.  </w:t>
      </w:r>
    </w:p>
    <w:p w14:paraId="09C8416B" w14:textId="77777777" w:rsidR="00520903" w:rsidRPr="00520903" w:rsidRDefault="00520903" w:rsidP="00520903">
      <w:pPr>
        <w:pStyle w:val="NoSpacing"/>
        <w:rPr>
          <w:rFonts w:ascii="Times New Roman" w:hAnsi="Times New Roman"/>
          <w:sz w:val="24"/>
          <w:szCs w:val="24"/>
        </w:rPr>
      </w:pPr>
    </w:p>
    <w:p w14:paraId="62825526" w14:textId="57AE9D86" w:rsidR="00520903" w:rsidRPr="00520903" w:rsidRDefault="00520903" w:rsidP="00520903">
      <w:pPr>
        <w:pStyle w:val="NoSpacing"/>
        <w:rPr>
          <w:rFonts w:ascii="Times New Roman" w:hAnsi="Times New Roman"/>
          <w:sz w:val="24"/>
          <w:szCs w:val="24"/>
        </w:rPr>
      </w:pPr>
      <w:r w:rsidRPr="00520903">
        <w:rPr>
          <w:rFonts w:ascii="Times New Roman" w:hAnsi="Times New Roman"/>
          <w:sz w:val="24"/>
          <w:szCs w:val="24"/>
        </w:rPr>
        <w:t xml:space="preserve">The Court wrote:   “In December 2022, Fire Chief Michael Lang and the City replaced the Battalion Chief position with the Division Chief position and opened the position to internal candidates only… Five internal candidates applied for the Division Chief position, including Plaintiffs…. Chief Lang subsequently announced that the traditional examination and interview process would be replaced with an interview-only process…. Chief Lang selected an external panel of fire chiefs to conduct the Division Chief interviews, which included Monrovia Fire Chief Jeremy Sanchez, Arcadia Fire Chief Chen Suen, and La Verne Fire Chief Chris Nigg (collectively ‘Fire Chief Panelists’)…. On January 17, 2023, the Fire Chief Panelists conducted interviews for all Division Chief candidates, including Plaintiffs…. The Fire Chief Panelists concurred that both </w:t>
      </w:r>
      <w:proofErr w:type="spellStart"/>
      <w:r w:rsidRPr="00520903">
        <w:rPr>
          <w:rFonts w:ascii="Times New Roman" w:hAnsi="Times New Roman"/>
          <w:sz w:val="24"/>
          <w:szCs w:val="24"/>
        </w:rPr>
        <w:t>Shenbaum</w:t>
      </w:r>
      <w:proofErr w:type="spellEnd"/>
      <w:r w:rsidRPr="00520903">
        <w:rPr>
          <w:rFonts w:ascii="Times New Roman" w:hAnsi="Times New Roman"/>
          <w:sz w:val="24"/>
          <w:szCs w:val="24"/>
        </w:rPr>
        <w:t xml:space="preserve"> and O'Brien should receive failing scores based on their responses and conduct during their interviews…. Specifically, the Fire Chief Panelists gave </w:t>
      </w:r>
      <w:proofErr w:type="spellStart"/>
      <w:r w:rsidRPr="00520903">
        <w:rPr>
          <w:rFonts w:ascii="Times New Roman" w:hAnsi="Times New Roman"/>
          <w:sz w:val="24"/>
          <w:szCs w:val="24"/>
        </w:rPr>
        <w:t>Shenbaum</w:t>
      </w:r>
      <w:proofErr w:type="spellEnd"/>
      <w:r w:rsidRPr="00520903">
        <w:rPr>
          <w:rFonts w:ascii="Times New Roman" w:hAnsi="Times New Roman"/>
          <w:sz w:val="24"/>
          <w:szCs w:val="24"/>
        </w:rPr>
        <w:t xml:space="preserve"> a failing score in the ‘Judgment and Decision Making’ category and commented that he used profanity in his interview…. </w:t>
      </w:r>
    </w:p>
    <w:p w14:paraId="62C8C72B" w14:textId="3D09843F" w:rsidR="001F3D0F" w:rsidRDefault="00520903" w:rsidP="00520903">
      <w:pPr>
        <w:pStyle w:val="NoSpacing"/>
        <w:rPr>
          <w:rFonts w:ascii="Times New Roman" w:hAnsi="Times New Roman"/>
          <w:sz w:val="24"/>
          <w:szCs w:val="24"/>
        </w:rPr>
      </w:pPr>
      <w:hyperlink r:id="rId2690" w:history="1">
        <w:r w:rsidRPr="00520903">
          <w:rPr>
            <w:rStyle w:val="Hyperlink"/>
            <w:rFonts w:ascii="Times New Roman" w:hAnsi="Times New Roman"/>
            <w:sz w:val="24"/>
            <w:szCs w:val="24"/>
          </w:rPr>
          <w:t>https://public.fastcase.com/jaEE2PXzRXmZ99jOLMt1IhwREi1fEuXa5IBCMUROo3DApdLLsb4vyoe8B%2BNXnfOO?utm_medium=email&amp;_hsenc=p2ANqtz-8ABWS4rvuUksFiiSiWwUxDOv17WyJKZy-5as8oPUYz_An6byDKPPy12elR6z5qE4TfB84ipL9se-rQu7mIzXpACN0LEw&amp;_hsmi=226712652&amp;utm_content=226712652&amp;utm_source=hs_email</w:t>
        </w:r>
      </w:hyperlink>
    </w:p>
    <w:p w14:paraId="404205E9" w14:textId="77777777" w:rsidR="00FE6DEF" w:rsidRDefault="00FE6DEF" w:rsidP="00520903">
      <w:pPr>
        <w:pStyle w:val="NoSpacing"/>
        <w:rPr>
          <w:rFonts w:ascii="Times New Roman" w:hAnsi="Times New Roman"/>
          <w:sz w:val="24"/>
          <w:szCs w:val="24"/>
        </w:rPr>
      </w:pPr>
    </w:p>
    <w:p w14:paraId="7C190A3F" w14:textId="0C38BC4C" w:rsidR="00FE6DEF" w:rsidRDefault="00FE6DEF" w:rsidP="00520903">
      <w:pPr>
        <w:pStyle w:val="NoSpacing"/>
        <w:rPr>
          <w:rFonts w:ascii="Times New Roman" w:hAnsi="Times New Roman"/>
          <w:sz w:val="24"/>
          <w:szCs w:val="24"/>
        </w:rPr>
      </w:pPr>
      <w:r>
        <w:rPr>
          <w:rFonts w:ascii="Times New Roman" w:hAnsi="Times New Roman"/>
          <w:sz w:val="24"/>
          <w:szCs w:val="24"/>
        </w:rPr>
        <w:t>The Court held:</w:t>
      </w:r>
    </w:p>
    <w:p w14:paraId="4763BFB7" w14:textId="77777777" w:rsidR="00FE6DEF" w:rsidRDefault="00FE6DEF" w:rsidP="00520903">
      <w:pPr>
        <w:pStyle w:val="NoSpacing"/>
        <w:rPr>
          <w:rFonts w:ascii="Times New Roman" w:hAnsi="Times New Roman"/>
          <w:sz w:val="24"/>
          <w:szCs w:val="24"/>
        </w:rPr>
      </w:pPr>
    </w:p>
    <w:p w14:paraId="6267576F" w14:textId="19D92B83" w:rsidR="00FE6DEF" w:rsidRPr="00520903" w:rsidRDefault="00FE6DEF" w:rsidP="00FE6DEF">
      <w:pPr>
        <w:pStyle w:val="NoSpacing"/>
        <w:ind w:left="720"/>
        <w:rPr>
          <w:rFonts w:ascii="Times New Roman" w:hAnsi="Times New Roman"/>
          <w:sz w:val="24"/>
          <w:szCs w:val="24"/>
        </w:rPr>
      </w:pPr>
      <w:r>
        <w:rPr>
          <w:rFonts w:ascii="Times New Roman" w:hAnsi="Times New Roman"/>
          <w:sz w:val="24"/>
          <w:szCs w:val="24"/>
        </w:rPr>
        <w:t>“</w:t>
      </w:r>
      <w:r w:rsidRPr="00520903">
        <w:rPr>
          <w:rFonts w:ascii="Times New Roman" w:hAnsi="Times New Roman"/>
          <w:sz w:val="24"/>
          <w:szCs w:val="24"/>
        </w:rPr>
        <w:t xml:space="preserve">The Fire Chief Panelists gave O'Brien failing scores for ‘Leadership and Management’ and ‘Innovation and Strategic Thinking.’ *** Yet, here, Plaintiffs only speculate that the Fire Panelists had any knowledge of the lawsuit. In fact, all three members of the Fire Chief Panelists attested that they were not aware of or notified of any pending lawsuit by Plaintiffs against the </w:t>
      </w:r>
      <w:proofErr w:type="gramStart"/>
      <w:r w:rsidRPr="00520903">
        <w:rPr>
          <w:rFonts w:ascii="Times New Roman" w:hAnsi="Times New Roman"/>
          <w:sz w:val="24"/>
          <w:szCs w:val="24"/>
        </w:rPr>
        <w:t>City.”</w:t>
      </w:r>
      <w:proofErr w:type="gramEnd"/>
    </w:p>
    <w:p w14:paraId="23111BE1" w14:textId="77777777" w:rsidR="00FE6DEF" w:rsidRDefault="00FE6DEF" w:rsidP="00520903">
      <w:pPr>
        <w:pStyle w:val="NoSpacing"/>
        <w:rPr>
          <w:rFonts w:ascii="Arial Black" w:hAnsi="Arial Black"/>
          <w:sz w:val="24"/>
          <w:szCs w:val="24"/>
        </w:rPr>
      </w:pPr>
    </w:p>
    <w:p w14:paraId="6D30922C" w14:textId="77777777" w:rsidR="00C01A1F" w:rsidRDefault="00C01A1F" w:rsidP="00C01A1F">
      <w:pPr>
        <w:pStyle w:val="NoSpacing"/>
        <w:rPr>
          <w:rFonts w:ascii="Times New Roman" w:hAnsi="Times New Roman"/>
          <w:b/>
          <w:sz w:val="24"/>
          <w:szCs w:val="24"/>
        </w:rPr>
      </w:pPr>
      <w:r w:rsidRPr="00C01A1F">
        <w:rPr>
          <w:rFonts w:ascii="Times New Roman" w:hAnsi="Times New Roman"/>
          <w:b/>
          <w:sz w:val="24"/>
          <w:szCs w:val="24"/>
        </w:rPr>
        <w:lastRenderedPageBreak/>
        <w:t xml:space="preserve">Legal Lesson Learned: No proof that No Confidence vote by union. or recent lawsuit, caused three outside Fire Chiefs to rate two Captains as “failed.” </w:t>
      </w:r>
    </w:p>
    <w:p w14:paraId="4A72D866" w14:textId="77777777" w:rsidR="00A50A87" w:rsidRDefault="00A50A87" w:rsidP="00C01A1F">
      <w:pPr>
        <w:pStyle w:val="NoSpacing"/>
        <w:rPr>
          <w:rFonts w:ascii="Times New Roman" w:hAnsi="Times New Roman"/>
          <w:b/>
          <w:sz w:val="24"/>
          <w:szCs w:val="24"/>
        </w:rPr>
      </w:pPr>
    </w:p>
    <w:p w14:paraId="4C7A1C0E" w14:textId="77777777" w:rsidR="00C2714E" w:rsidRDefault="00C2714E" w:rsidP="00A50A87">
      <w:pPr>
        <w:pStyle w:val="NoSpacing"/>
        <w:rPr>
          <w:rFonts w:ascii="Arial Black" w:hAnsi="Arial Black"/>
          <w:sz w:val="28"/>
          <w:szCs w:val="28"/>
        </w:rPr>
      </w:pPr>
    </w:p>
    <w:p w14:paraId="635D5792" w14:textId="77777777" w:rsidR="00FD6F7D" w:rsidRDefault="00FD6F7D" w:rsidP="00A50A87">
      <w:pPr>
        <w:pStyle w:val="NoSpacing"/>
        <w:rPr>
          <w:rFonts w:ascii="Arial Black" w:hAnsi="Arial Black"/>
          <w:sz w:val="28"/>
          <w:szCs w:val="28"/>
        </w:rPr>
      </w:pPr>
    </w:p>
    <w:p w14:paraId="3A0B53FB" w14:textId="2D1FB7DB" w:rsidR="00FD6F7D" w:rsidRDefault="00FD6F7D" w:rsidP="00FD6F7D">
      <w:pPr>
        <w:pStyle w:val="NoSpacing"/>
        <w:rPr>
          <w:rFonts w:ascii="Arial Black" w:hAnsi="Arial Black"/>
          <w:sz w:val="24"/>
          <w:szCs w:val="24"/>
        </w:rPr>
      </w:pPr>
      <w:r>
        <w:rPr>
          <w:rFonts w:ascii="Arial Black" w:hAnsi="Arial Black"/>
          <w:sz w:val="24"/>
          <w:szCs w:val="24"/>
        </w:rPr>
        <w:t>17-52</w:t>
      </w:r>
    </w:p>
    <w:p w14:paraId="77C0C9D1" w14:textId="77777777" w:rsidR="00FD6F7D" w:rsidRDefault="00FD6F7D" w:rsidP="00A50A87">
      <w:pPr>
        <w:pStyle w:val="NoSpacing"/>
        <w:rPr>
          <w:rFonts w:ascii="Arial Black" w:hAnsi="Arial Black"/>
          <w:sz w:val="28"/>
          <w:szCs w:val="28"/>
        </w:rPr>
      </w:pPr>
    </w:p>
    <w:p w14:paraId="1B2AE45B" w14:textId="0EF568C3" w:rsidR="00A50A87" w:rsidRDefault="00A50A87" w:rsidP="00A50A87">
      <w:pPr>
        <w:pStyle w:val="NoSpacing"/>
        <w:rPr>
          <w:rFonts w:ascii="Arial Black" w:hAnsi="Arial Black"/>
          <w:sz w:val="28"/>
          <w:szCs w:val="28"/>
        </w:rPr>
      </w:pPr>
      <w:r w:rsidRPr="006F2B87">
        <w:rPr>
          <w:rFonts w:ascii="Arial Black" w:hAnsi="Arial Black"/>
          <w:sz w:val="28"/>
          <w:szCs w:val="28"/>
        </w:rPr>
        <w:t xml:space="preserve">CT: </w:t>
      </w:r>
      <w:r w:rsidRPr="004617B4">
        <w:rPr>
          <w:rFonts w:ascii="Arial Black" w:hAnsi="Arial Black"/>
          <w:sz w:val="28"/>
          <w:szCs w:val="28"/>
        </w:rPr>
        <w:t>RETALIATION - LT. JOB - 6 DAYS AFTER GRIEVANCE</w:t>
      </w:r>
    </w:p>
    <w:p w14:paraId="5787419C" w14:textId="77777777" w:rsidR="00A50A87" w:rsidRPr="006F2B87" w:rsidRDefault="00A50A87" w:rsidP="00A50A87">
      <w:pPr>
        <w:pStyle w:val="NoSpacing"/>
        <w:rPr>
          <w:b/>
          <w:bCs/>
        </w:rPr>
      </w:pPr>
    </w:p>
    <w:p w14:paraId="7AECF39B" w14:textId="77777777" w:rsidR="00A50A87" w:rsidRPr="00C2714E" w:rsidRDefault="00A50A87" w:rsidP="00A50A87">
      <w:pPr>
        <w:pStyle w:val="NoSpacing"/>
        <w:rPr>
          <w:rFonts w:ascii="Times New Roman" w:hAnsi="Times New Roman"/>
          <w:bCs/>
          <w:sz w:val="24"/>
          <w:szCs w:val="24"/>
        </w:rPr>
      </w:pPr>
      <w:r w:rsidRPr="00C2714E">
        <w:rPr>
          <w:rFonts w:ascii="Times New Roman" w:hAnsi="Times New Roman"/>
          <w:sz w:val="24"/>
          <w:szCs w:val="24"/>
        </w:rPr>
        <w:t xml:space="preserve">On May 12, 2025, in </w:t>
      </w:r>
      <w:r w:rsidRPr="00C2714E">
        <w:rPr>
          <w:rFonts w:ascii="Times New Roman" w:hAnsi="Times New Roman"/>
          <w:sz w:val="24"/>
          <w:szCs w:val="24"/>
          <w:u w:val="single"/>
        </w:rPr>
        <w:t>Town of Suffield v. State Board of Labor Relations and Suffield Firefighters Assoc. Local 3565, IAFF</w:t>
      </w:r>
      <w:r w:rsidRPr="00C2714E">
        <w:rPr>
          <w:rFonts w:ascii="Times New Roman" w:hAnsi="Times New Roman"/>
          <w:sz w:val="24"/>
          <w:szCs w:val="24"/>
        </w:rPr>
        <w:t xml:space="preserve">, the Superior Court of Connecticut (Judicial District of New Britain) held (Judge Matthew J. Budzik; unpublished decision) that Town’s appeal was denied.  </w:t>
      </w:r>
    </w:p>
    <w:p w14:paraId="6F4A7DC3" w14:textId="77777777" w:rsidR="00A50A87" w:rsidRPr="00C2714E" w:rsidRDefault="00A50A87" w:rsidP="00A50A87">
      <w:pPr>
        <w:pStyle w:val="NoSpacing"/>
        <w:rPr>
          <w:rFonts w:ascii="Times New Roman" w:hAnsi="Times New Roman"/>
          <w:bCs/>
          <w:sz w:val="24"/>
          <w:szCs w:val="24"/>
        </w:rPr>
      </w:pPr>
    </w:p>
    <w:p w14:paraId="09479BA6" w14:textId="17C796CE" w:rsidR="00A50A87" w:rsidRPr="00C2714E" w:rsidRDefault="00A50A87" w:rsidP="00A50A87">
      <w:pPr>
        <w:pStyle w:val="NoSpacing"/>
        <w:rPr>
          <w:rFonts w:ascii="Times New Roman" w:hAnsi="Times New Roman"/>
          <w:b/>
          <w:bCs/>
          <w:sz w:val="24"/>
          <w:szCs w:val="24"/>
        </w:rPr>
      </w:pPr>
      <w:r w:rsidRPr="00C2714E">
        <w:rPr>
          <w:rFonts w:ascii="Times New Roman" w:hAnsi="Times New Roman"/>
          <w:sz w:val="24"/>
          <w:szCs w:val="24"/>
        </w:rPr>
        <w:t xml:space="preserve">The Court wrote: [The State Board] “may make the reasonable factual inference, based on very close temporal proximity, that the board’s [Town’s Board of Selectman] March 15, </w:t>
      </w:r>
      <w:proofErr w:type="gramStart"/>
      <w:r w:rsidRPr="00C2714E">
        <w:rPr>
          <w:rFonts w:ascii="Times New Roman" w:hAnsi="Times New Roman"/>
          <w:sz w:val="24"/>
          <w:szCs w:val="24"/>
        </w:rPr>
        <w:t>2023</w:t>
      </w:r>
      <w:proofErr w:type="gramEnd"/>
      <w:r w:rsidRPr="00C2714E">
        <w:rPr>
          <w:rFonts w:ascii="Times New Roman" w:hAnsi="Times New Roman"/>
          <w:sz w:val="24"/>
          <w:szCs w:val="24"/>
        </w:rPr>
        <w:t xml:space="preserve"> vote to defund the lieutenant position was in retaliation for the [union’s] filing of the March 9, </w:t>
      </w:r>
      <w:proofErr w:type="gramStart"/>
      <w:r w:rsidRPr="00C2714E">
        <w:rPr>
          <w:rFonts w:ascii="Times New Roman" w:hAnsi="Times New Roman"/>
          <w:sz w:val="24"/>
          <w:szCs w:val="24"/>
        </w:rPr>
        <w:t>2023</w:t>
      </w:r>
      <w:proofErr w:type="gramEnd"/>
      <w:r w:rsidRPr="00C2714E">
        <w:rPr>
          <w:rFonts w:ascii="Times New Roman" w:hAnsi="Times New Roman"/>
          <w:sz w:val="24"/>
          <w:szCs w:val="24"/>
        </w:rPr>
        <w:t xml:space="preserve"> grievance.”  </w:t>
      </w:r>
      <w:hyperlink r:id="rId2691" w:history="1">
        <w:r w:rsidRPr="00C2714E">
          <w:rPr>
            <w:rStyle w:val="Hyperlink"/>
            <w:rFonts w:ascii="Times New Roman" w:hAnsi="Times New Roman"/>
            <w:sz w:val="24"/>
            <w:szCs w:val="24"/>
          </w:rPr>
          <w:t>https://civilinquiry.jud.ct.gov/DocumentInquiry/DocumentInquiry.aspx?DocumentNo=29998787</w:t>
        </w:r>
      </w:hyperlink>
    </w:p>
    <w:p w14:paraId="7B649D2A" w14:textId="77777777" w:rsidR="00C01A1F" w:rsidRPr="00C2714E" w:rsidRDefault="00C01A1F" w:rsidP="00C01A1F">
      <w:pPr>
        <w:pStyle w:val="NoSpacing"/>
        <w:rPr>
          <w:rFonts w:ascii="Times New Roman" w:hAnsi="Times New Roman"/>
          <w:b/>
          <w:bCs/>
          <w:sz w:val="24"/>
          <w:szCs w:val="24"/>
        </w:rPr>
      </w:pPr>
    </w:p>
    <w:p w14:paraId="7ED72127" w14:textId="77777777" w:rsidR="00842AFE" w:rsidRPr="00BB45E5" w:rsidRDefault="00842AFE" w:rsidP="00842AFE">
      <w:pPr>
        <w:pStyle w:val="NoSpacing"/>
        <w:rPr>
          <w:rFonts w:ascii="Times New Roman" w:hAnsi="Times New Roman"/>
          <w:b/>
          <w:bCs/>
          <w:sz w:val="24"/>
          <w:szCs w:val="24"/>
        </w:rPr>
      </w:pPr>
      <w:r w:rsidRPr="00BB45E5">
        <w:rPr>
          <w:rFonts w:ascii="Times New Roman" w:hAnsi="Times New Roman"/>
          <w:b/>
          <w:sz w:val="24"/>
          <w:szCs w:val="24"/>
        </w:rPr>
        <w:t xml:space="preserve">Legal Lesson Learned: To avoid a retaliation charge, </w:t>
      </w:r>
      <w:r w:rsidRPr="00BB45E5">
        <w:rPr>
          <w:rFonts w:ascii="Times New Roman" w:hAnsi="Times New Roman"/>
          <w:b/>
          <w:bCs/>
          <w:sz w:val="24"/>
          <w:szCs w:val="24"/>
        </w:rPr>
        <w:t xml:space="preserve">document in </w:t>
      </w:r>
      <w:r w:rsidRPr="00BB45E5">
        <w:rPr>
          <w:rFonts w:ascii="Times New Roman" w:hAnsi="Times New Roman"/>
          <w:b/>
          <w:sz w:val="24"/>
          <w:szCs w:val="24"/>
        </w:rPr>
        <w:t xml:space="preserve">detail the business reasons for eliminating the Lieutenant position and the formal vote of the Board.  </w:t>
      </w:r>
    </w:p>
    <w:p w14:paraId="1E1FD8AB" w14:textId="77777777" w:rsidR="00842AFE" w:rsidRPr="00BB45E5" w:rsidRDefault="00842AFE" w:rsidP="00842AFE">
      <w:pPr>
        <w:pStyle w:val="NoSpacing"/>
        <w:rPr>
          <w:rFonts w:ascii="Times New Roman" w:hAnsi="Times New Roman"/>
          <w:b/>
          <w:bCs/>
          <w:sz w:val="24"/>
          <w:szCs w:val="24"/>
        </w:rPr>
      </w:pPr>
    </w:p>
    <w:p w14:paraId="46C7E991" w14:textId="77777777" w:rsidR="00842AFE" w:rsidRPr="006F2B87" w:rsidRDefault="00842AFE" w:rsidP="00842AFE">
      <w:pPr>
        <w:pStyle w:val="NoSpacing"/>
        <w:ind w:left="720"/>
        <w:rPr>
          <w:b/>
          <w:bCs/>
        </w:rPr>
      </w:pPr>
      <w:r w:rsidRPr="00BB45E5">
        <w:rPr>
          <w:rFonts w:ascii="Times New Roman" w:hAnsi="Times New Roman"/>
          <w:sz w:val="24"/>
          <w:szCs w:val="24"/>
        </w:rPr>
        <w:t xml:space="preserve">Note: See May 21, </w:t>
      </w:r>
      <w:proofErr w:type="gramStart"/>
      <w:r w:rsidRPr="00BB45E5">
        <w:rPr>
          <w:rFonts w:ascii="Times New Roman" w:hAnsi="Times New Roman"/>
          <w:sz w:val="24"/>
          <w:szCs w:val="24"/>
        </w:rPr>
        <w:t>2025</w:t>
      </w:r>
      <w:proofErr w:type="gramEnd"/>
      <w:r w:rsidRPr="00BB45E5">
        <w:rPr>
          <w:rFonts w:ascii="Times New Roman" w:hAnsi="Times New Roman"/>
          <w:sz w:val="24"/>
          <w:szCs w:val="24"/>
        </w:rPr>
        <w:t xml:space="preserve"> article on this decision.  “Court upholds finding of retaliation against Suffield firefighter.” </w:t>
      </w:r>
      <w:hyperlink r:id="rId2692" w:history="1">
        <w:r w:rsidRPr="00BB45E5">
          <w:rPr>
            <w:rStyle w:val="Hyperlink"/>
            <w:rFonts w:ascii="Times New Roman" w:hAnsi="Times New Roman"/>
            <w:sz w:val="24"/>
            <w:szCs w:val="24"/>
          </w:rPr>
          <w:t>https://insideinvestigator.org/court-upholds-finding-of-retaliation-against-suffield-firefighter/</w:t>
        </w:r>
      </w:hyperlink>
      <w:r w:rsidRPr="006F2B87">
        <w:rPr>
          <w:b/>
        </w:rPr>
        <w:t xml:space="preserve"> </w:t>
      </w:r>
    </w:p>
    <w:p w14:paraId="64F57AB0" w14:textId="77777777" w:rsidR="001F3D0F" w:rsidRDefault="001F3D0F" w:rsidP="00F326E5">
      <w:pPr>
        <w:pStyle w:val="NoSpacing"/>
        <w:rPr>
          <w:rFonts w:ascii="Arial Black" w:hAnsi="Arial Black"/>
          <w:sz w:val="24"/>
          <w:szCs w:val="24"/>
        </w:rPr>
      </w:pPr>
    </w:p>
    <w:p w14:paraId="49EDC6DF" w14:textId="77777777" w:rsidR="00C01A1F" w:rsidRDefault="00C01A1F" w:rsidP="00F326E5">
      <w:pPr>
        <w:pStyle w:val="NoSpacing"/>
        <w:rPr>
          <w:rFonts w:ascii="Arial Black" w:hAnsi="Arial Black"/>
          <w:sz w:val="24"/>
          <w:szCs w:val="24"/>
        </w:rPr>
      </w:pPr>
    </w:p>
    <w:p w14:paraId="2A37A3C4" w14:textId="77777777" w:rsidR="00C01A1F" w:rsidRDefault="00C01A1F" w:rsidP="00F326E5">
      <w:pPr>
        <w:pStyle w:val="NoSpacing"/>
        <w:rPr>
          <w:rFonts w:ascii="Arial Black" w:hAnsi="Arial Black"/>
          <w:sz w:val="24"/>
          <w:szCs w:val="24"/>
        </w:rPr>
      </w:pPr>
    </w:p>
    <w:p w14:paraId="107D0EBA" w14:textId="77777777" w:rsidR="00C01A1F" w:rsidRDefault="00C01A1F" w:rsidP="00F326E5">
      <w:pPr>
        <w:pStyle w:val="NoSpacing"/>
        <w:rPr>
          <w:rFonts w:ascii="Arial Black" w:hAnsi="Arial Black"/>
          <w:sz w:val="24"/>
          <w:szCs w:val="24"/>
        </w:rPr>
      </w:pPr>
    </w:p>
    <w:p w14:paraId="51BD56CF" w14:textId="77777777" w:rsidR="001F3D0F" w:rsidRDefault="001F3D0F" w:rsidP="00F326E5">
      <w:pPr>
        <w:pStyle w:val="NoSpacing"/>
        <w:rPr>
          <w:rFonts w:ascii="Arial Black" w:hAnsi="Arial Black"/>
          <w:sz w:val="24"/>
          <w:szCs w:val="24"/>
        </w:rPr>
      </w:pPr>
    </w:p>
    <w:p w14:paraId="250A1293" w14:textId="387092D2" w:rsidR="007D54CE" w:rsidRDefault="007D54CE" w:rsidP="00F326E5">
      <w:pPr>
        <w:pStyle w:val="NoSpacing"/>
        <w:rPr>
          <w:rFonts w:ascii="Arial Black" w:hAnsi="Arial Black"/>
          <w:sz w:val="24"/>
          <w:szCs w:val="24"/>
        </w:rPr>
      </w:pPr>
      <w:r>
        <w:rPr>
          <w:rFonts w:ascii="Arial Black" w:hAnsi="Arial Black"/>
          <w:sz w:val="24"/>
          <w:szCs w:val="24"/>
        </w:rPr>
        <w:t>17-51</w:t>
      </w:r>
    </w:p>
    <w:p w14:paraId="2FBC0744" w14:textId="77777777" w:rsidR="001F3D0F" w:rsidRDefault="001F3D0F" w:rsidP="007D54CE">
      <w:pPr>
        <w:rPr>
          <w:rFonts w:ascii="Arial Black" w:hAnsi="Arial Black"/>
          <w:sz w:val="28"/>
          <w:szCs w:val="28"/>
        </w:rPr>
      </w:pPr>
    </w:p>
    <w:p w14:paraId="45E13185" w14:textId="7C324633" w:rsidR="007D54CE" w:rsidRPr="00226994" w:rsidRDefault="007D54CE" w:rsidP="007D54CE">
      <w:pPr>
        <w:rPr>
          <w:rFonts w:ascii="Arial Black" w:hAnsi="Arial Black"/>
          <w:sz w:val="28"/>
          <w:szCs w:val="28"/>
        </w:rPr>
      </w:pPr>
      <w:r>
        <w:rPr>
          <w:rFonts w:ascii="Arial Black" w:hAnsi="Arial Black"/>
          <w:sz w:val="28"/>
          <w:szCs w:val="28"/>
        </w:rPr>
        <w:t>MA: FF – SUSP. 4 TOURS – UNION E-MAIL FIX SIDEWALK</w:t>
      </w:r>
    </w:p>
    <w:p w14:paraId="4C71D40F" w14:textId="6B358EA2" w:rsidR="007D54CE" w:rsidRPr="00C7167A" w:rsidRDefault="007D54CE" w:rsidP="007D54CE">
      <w:pPr>
        <w:pStyle w:val="NoSpacing"/>
        <w:rPr>
          <w:rFonts w:ascii="Times New Roman" w:hAnsi="Times New Roman"/>
          <w:sz w:val="24"/>
          <w:szCs w:val="24"/>
        </w:rPr>
      </w:pPr>
      <w:r w:rsidRPr="00C7167A">
        <w:rPr>
          <w:rFonts w:ascii="Times New Roman" w:hAnsi="Times New Roman"/>
          <w:sz w:val="24"/>
          <w:szCs w:val="24"/>
        </w:rPr>
        <w:t xml:space="preserve">On April 18, 2025, in </w:t>
      </w:r>
      <w:r w:rsidRPr="00C7167A">
        <w:rPr>
          <w:rFonts w:ascii="Times New Roman" w:hAnsi="Times New Roman"/>
          <w:sz w:val="24"/>
          <w:szCs w:val="24"/>
          <w:u w:val="single"/>
        </w:rPr>
        <w:t>James P. Riley and Boston Fire Firefighters International Association of Firefighters, Local 718 v. City of Boston, et al.</w:t>
      </w:r>
      <w:r w:rsidRPr="00C7167A">
        <w:rPr>
          <w:rFonts w:ascii="Times New Roman" w:hAnsi="Times New Roman"/>
          <w:sz w:val="24"/>
          <w:szCs w:val="24"/>
        </w:rPr>
        <w:t xml:space="preserve">, U.S. District Court Judge Allison D. Burroughs, United States District Court for the District of Massachusetts, denied the City’s motion to dismiss.  Firefighter Riley, a 16-year member of the FD, sent an e-mail on September 26, </w:t>
      </w:r>
      <w:proofErr w:type="gramStart"/>
      <w:r w:rsidRPr="00C7167A">
        <w:rPr>
          <w:rFonts w:ascii="Times New Roman" w:hAnsi="Times New Roman"/>
          <w:sz w:val="24"/>
          <w:szCs w:val="24"/>
        </w:rPr>
        <w:t>2023</w:t>
      </w:r>
      <w:proofErr w:type="gramEnd"/>
      <w:r w:rsidRPr="00C7167A">
        <w:rPr>
          <w:rFonts w:ascii="Times New Roman" w:hAnsi="Times New Roman"/>
          <w:sz w:val="24"/>
          <w:szCs w:val="24"/>
        </w:rPr>
        <w:t xml:space="preserve"> on his Union e-mail as an Executive Board Member of the Union (with permission of Union President) to city’s Chief of Streets Department to repair a sidewalk handicap ramp in front of his Fire Station.  His Captain had previously sent five e-mail requests to the FD’s Facilities Division (April 21, 2021; February 11, 2022; March 20, 2022; June 16, 2022; April 20, 2023).  On Oct. 11, 2023, the FD’s Deputy Chief of Personnel suspended Riley for four shifts, claiming he “used his Local 718 Union title in an attempt to intimidate the City of Boston official into action.” </w:t>
      </w:r>
      <w:hyperlink r:id="rId2693" w:history="1">
        <w:r w:rsidRPr="00C7167A">
          <w:rPr>
            <w:rStyle w:val="Hyperlink"/>
            <w:rFonts w:ascii="Times New Roman" w:hAnsi="Times New Roman"/>
            <w:sz w:val="24"/>
            <w:szCs w:val="24"/>
          </w:rPr>
          <w:t>https://public.fastcase.com/jaEE2PXzRXmZ99jOLMt1IpPvzvvllZ7Rrt4VKwyGVntYyQb9IRuNiNqVshy4%2Bl2z%2BsY6VEZuB3eEVHjKlzOdk%2FP8W50g7Bl84BsJ%2BT14tOs%3D?utm_medium=email&amp;_hsenc=p2ANqtz-8_cjXUjI5LfLOi5ALG6MFLDFJJrn3rZsNciOMXnsNsHK54iflcoWeqPuq6ELEpSWLnjpVW4QqFeFKVqziKDzXrD-fT4Q&amp;_hsmi=226712652&amp;utm_content=226712652&amp;utm_source=hs_email</w:t>
        </w:r>
      </w:hyperlink>
    </w:p>
    <w:p w14:paraId="12496A04" w14:textId="77777777" w:rsidR="007D54CE" w:rsidRDefault="007D54CE" w:rsidP="00F326E5">
      <w:pPr>
        <w:pStyle w:val="NoSpacing"/>
        <w:rPr>
          <w:rFonts w:ascii="Arial Black" w:hAnsi="Arial Black"/>
          <w:sz w:val="24"/>
          <w:szCs w:val="24"/>
        </w:rPr>
      </w:pPr>
    </w:p>
    <w:p w14:paraId="78079659" w14:textId="77777777" w:rsidR="00D364BB" w:rsidRPr="00B82297" w:rsidRDefault="00D364BB" w:rsidP="00D364BB">
      <w:pPr>
        <w:pStyle w:val="NoSpacing"/>
        <w:rPr>
          <w:rFonts w:ascii="Times New Roman" w:hAnsi="Times New Roman"/>
          <w:b/>
          <w:bCs/>
          <w:sz w:val="24"/>
          <w:szCs w:val="24"/>
        </w:rPr>
      </w:pPr>
      <w:r w:rsidRPr="00B82297">
        <w:rPr>
          <w:rFonts w:ascii="Times New Roman" w:hAnsi="Times New Roman"/>
          <w:b/>
          <w:sz w:val="24"/>
          <w:szCs w:val="24"/>
        </w:rPr>
        <w:t>Legal Lesson Learned: Firefighters have 1</w:t>
      </w:r>
      <w:r w:rsidRPr="00B82297">
        <w:rPr>
          <w:rFonts w:ascii="Times New Roman" w:hAnsi="Times New Roman"/>
          <w:b/>
          <w:sz w:val="24"/>
          <w:szCs w:val="24"/>
          <w:vertAlign w:val="superscript"/>
        </w:rPr>
        <w:t>st</w:t>
      </w:r>
      <w:r w:rsidRPr="00B82297">
        <w:rPr>
          <w:rFonts w:ascii="Times New Roman" w:hAnsi="Times New Roman"/>
          <w:b/>
          <w:sz w:val="24"/>
          <w:szCs w:val="24"/>
        </w:rPr>
        <w:t xml:space="preserve"> Amendment right to engage in protected speech not disruptive to the fire department.  </w:t>
      </w:r>
    </w:p>
    <w:p w14:paraId="561FCBD7" w14:textId="77777777" w:rsidR="00D364BB" w:rsidRPr="00B82297" w:rsidRDefault="00D364BB" w:rsidP="00D364BB">
      <w:pPr>
        <w:pStyle w:val="NoSpacing"/>
        <w:rPr>
          <w:rFonts w:ascii="Times New Roman" w:hAnsi="Times New Roman"/>
          <w:b/>
          <w:sz w:val="24"/>
          <w:szCs w:val="24"/>
        </w:rPr>
      </w:pPr>
    </w:p>
    <w:p w14:paraId="1CDBEC85" w14:textId="77777777" w:rsidR="00D364BB" w:rsidRPr="00B82297" w:rsidRDefault="00D364BB" w:rsidP="00D364BB">
      <w:pPr>
        <w:ind w:left="720"/>
        <w:rPr>
          <w:rFonts w:ascii="Times New Roman" w:hAnsi="Times New Roman"/>
          <w:bCs/>
          <w:sz w:val="24"/>
          <w:szCs w:val="24"/>
        </w:rPr>
      </w:pPr>
      <w:r w:rsidRPr="00B82297">
        <w:rPr>
          <w:rFonts w:ascii="Times New Roman" w:hAnsi="Times New Roman"/>
          <w:sz w:val="24"/>
          <w:szCs w:val="24"/>
        </w:rPr>
        <w:t xml:space="preserve">Note: Read the lawsuit Complaint. </w:t>
      </w:r>
      <w:hyperlink r:id="rId2694" w:history="1">
        <w:r w:rsidRPr="00B82297">
          <w:rPr>
            <w:rStyle w:val="Hyperlink"/>
            <w:rFonts w:ascii="Times New Roman" w:hAnsi="Times New Roman"/>
            <w:sz w:val="24"/>
            <w:szCs w:val="24"/>
          </w:rPr>
          <w:t>https://www.universalhub.com/files/jpfirefighter-complaint.pdf</w:t>
        </w:r>
      </w:hyperlink>
    </w:p>
    <w:p w14:paraId="0C7B5A6A" w14:textId="77777777" w:rsidR="007D54CE" w:rsidRDefault="007D54CE" w:rsidP="00F326E5">
      <w:pPr>
        <w:pStyle w:val="NoSpacing"/>
        <w:rPr>
          <w:rFonts w:ascii="Arial Black" w:hAnsi="Arial Black"/>
          <w:sz w:val="24"/>
          <w:szCs w:val="24"/>
        </w:rPr>
      </w:pPr>
    </w:p>
    <w:p w14:paraId="36352946" w14:textId="77777777" w:rsidR="007D54CE" w:rsidRDefault="007D54CE" w:rsidP="00F326E5">
      <w:pPr>
        <w:pStyle w:val="NoSpacing"/>
        <w:rPr>
          <w:rFonts w:ascii="Arial Black" w:hAnsi="Arial Black"/>
          <w:sz w:val="24"/>
          <w:szCs w:val="24"/>
        </w:rPr>
      </w:pPr>
    </w:p>
    <w:p w14:paraId="4897F819" w14:textId="734842BC" w:rsidR="00766306" w:rsidRDefault="00F367A4" w:rsidP="00F326E5">
      <w:pPr>
        <w:pStyle w:val="NoSpacing"/>
        <w:rPr>
          <w:rFonts w:ascii="Arial Black" w:hAnsi="Arial Black"/>
          <w:sz w:val="24"/>
          <w:szCs w:val="24"/>
        </w:rPr>
      </w:pPr>
      <w:r>
        <w:rPr>
          <w:rFonts w:ascii="Arial Black" w:hAnsi="Arial Black"/>
          <w:sz w:val="24"/>
          <w:szCs w:val="24"/>
        </w:rPr>
        <w:t>17-50</w:t>
      </w:r>
    </w:p>
    <w:p w14:paraId="7E9429B4" w14:textId="77777777" w:rsidR="00F367A4" w:rsidRDefault="00F367A4" w:rsidP="00F326E5">
      <w:pPr>
        <w:pStyle w:val="NoSpacing"/>
        <w:rPr>
          <w:rFonts w:ascii="Arial Black" w:hAnsi="Arial Black"/>
          <w:sz w:val="24"/>
          <w:szCs w:val="24"/>
        </w:rPr>
      </w:pPr>
    </w:p>
    <w:p w14:paraId="687F640E" w14:textId="77777777" w:rsidR="006958A3" w:rsidRPr="00620D8B" w:rsidRDefault="006958A3" w:rsidP="006958A3">
      <w:pPr>
        <w:pStyle w:val="NoSpacing"/>
        <w:rPr>
          <w:rFonts w:ascii="Arial Black" w:hAnsi="Arial Black"/>
          <w:bCs/>
          <w:sz w:val="28"/>
          <w:szCs w:val="28"/>
        </w:rPr>
      </w:pPr>
      <w:r>
        <w:rPr>
          <w:rFonts w:ascii="Arial Black" w:hAnsi="Arial Black"/>
          <w:sz w:val="28"/>
          <w:szCs w:val="28"/>
        </w:rPr>
        <w:t>NH: POLICE &amp; FIRE – CAN’T BE IN SAME UNION IN TOWN</w:t>
      </w:r>
    </w:p>
    <w:p w14:paraId="7A2E6199" w14:textId="77777777" w:rsidR="006958A3" w:rsidRDefault="006958A3" w:rsidP="006958A3">
      <w:pPr>
        <w:pStyle w:val="NoSpacing"/>
        <w:rPr>
          <w:bCs/>
        </w:rPr>
      </w:pPr>
    </w:p>
    <w:p w14:paraId="606315BA" w14:textId="77777777" w:rsidR="006958A3" w:rsidRPr="008A2AE6" w:rsidRDefault="006958A3" w:rsidP="006958A3">
      <w:pPr>
        <w:pStyle w:val="NoSpacing"/>
        <w:rPr>
          <w:rFonts w:ascii="Times New Roman" w:hAnsi="Times New Roman"/>
          <w:bCs/>
          <w:sz w:val="24"/>
          <w:szCs w:val="24"/>
        </w:rPr>
      </w:pPr>
      <w:r w:rsidRPr="008A2AE6">
        <w:rPr>
          <w:rFonts w:ascii="Times New Roman" w:hAnsi="Times New Roman"/>
          <w:sz w:val="24"/>
          <w:szCs w:val="24"/>
        </w:rPr>
        <w:t xml:space="preserve">On March 26, 2025, in </w:t>
      </w:r>
      <w:r w:rsidRPr="008A2AE6">
        <w:rPr>
          <w:rFonts w:ascii="Times New Roman" w:hAnsi="Times New Roman"/>
          <w:sz w:val="24"/>
          <w:szCs w:val="24"/>
          <w:u w:val="single"/>
        </w:rPr>
        <w:t xml:space="preserve">Appeal </w:t>
      </w:r>
      <w:proofErr w:type="gramStart"/>
      <w:r w:rsidRPr="008A2AE6">
        <w:rPr>
          <w:rFonts w:ascii="Times New Roman" w:hAnsi="Times New Roman"/>
          <w:sz w:val="24"/>
          <w:szCs w:val="24"/>
          <w:u w:val="single"/>
        </w:rPr>
        <w:t>Of</w:t>
      </w:r>
      <w:proofErr w:type="gramEnd"/>
      <w:r w:rsidRPr="008A2AE6">
        <w:rPr>
          <w:rFonts w:ascii="Times New Roman" w:hAnsi="Times New Roman"/>
          <w:sz w:val="24"/>
          <w:szCs w:val="24"/>
          <w:u w:val="single"/>
        </w:rPr>
        <w:t xml:space="preserve"> Town </w:t>
      </w:r>
      <w:proofErr w:type="gramStart"/>
      <w:r w:rsidRPr="008A2AE6">
        <w:rPr>
          <w:rFonts w:ascii="Times New Roman" w:hAnsi="Times New Roman"/>
          <w:sz w:val="24"/>
          <w:szCs w:val="24"/>
          <w:u w:val="single"/>
        </w:rPr>
        <w:t>Of</w:t>
      </w:r>
      <w:proofErr w:type="gramEnd"/>
      <w:r w:rsidRPr="008A2AE6">
        <w:rPr>
          <w:rFonts w:ascii="Times New Roman" w:hAnsi="Times New Roman"/>
          <w:sz w:val="24"/>
          <w:szCs w:val="24"/>
          <w:u w:val="single"/>
        </w:rPr>
        <w:t xml:space="preserve"> Barnstead, (New Hampshire Public Employee Labor Relations Board)</w:t>
      </w:r>
      <w:r w:rsidRPr="008A2AE6">
        <w:rPr>
          <w:rFonts w:ascii="Times New Roman" w:hAnsi="Times New Roman"/>
          <w:sz w:val="24"/>
          <w:szCs w:val="24"/>
        </w:rPr>
        <w:t xml:space="preserve"> the New Hampshire Supreme Court held (4 to 0) that the New Hampshire Public Employee Labor Relations Board (PELRB) improperly certified a bargaining unit comprised of employees from the Town’s police and fire departments. “Notwithstanding the PELRB’s findings, which derive primarily from the fact that police and fire department employees all work for the Town, we conclude that the record does not support the conclusion that there exists a community of interest in working conditions such that it is reasonable for the employees to negotiate jointly.” </w:t>
      </w:r>
      <w:hyperlink r:id="rId2695" w:history="1">
        <w:r w:rsidRPr="008A2AE6">
          <w:rPr>
            <w:rStyle w:val="Hyperlink"/>
            <w:rFonts w:ascii="Times New Roman" w:hAnsi="Times New Roman"/>
            <w:sz w:val="24"/>
            <w:szCs w:val="24"/>
          </w:rPr>
          <w:t>https://cases.justia.com/new-hampshire/supreme-court/2025-2024-0097.pdf?ts=1742996506</w:t>
        </w:r>
      </w:hyperlink>
      <w:r w:rsidRPr="008A2AE6">
        <w:rPr>
          <w:rFonts w:ascii="Times New Roman" w:hAnsi="Times New Roman"/>
          <w:sz w:val="24"/>
          <w:szCs w:val="24"/>
        </w:rPr>
        <w:t xml:space="preserve"> </w:t>
      </w:r>
    </w:p>
    <w:p w14:paraId="4329DFB0" w14:textId="77777777" w:rsidR="00F367A4" w:rsidRPr="008A2AE6" w:rsidRDefault="00F367A4" w:rsidP="00F326E5">
      <w:pPr>
        <w:pStyle w:val="NoSpacing"/>
        <w:rPr>
          <w:rFonts w:ascii="Times New Roman" w:hAnsi="Times New Roman"/>
          <w:sz w:val="24"/>
          <w:szCs w:val="24"/>
        </w:rPr>
      </w:pPr>
    </w:p>
    <w:p w14:paraId="47C071E1" w14:textId="77777777" w:rsidR="008A2AE6" w:rsidRPr="008A2AE6" w:rsidRDefault="008A2AE6" w:rsidP="008A2AE6">
      <w:pPr>
        <w:pStyle w:val="NoSpacing"/>
        <w:rPr>
          <w:rFonts w:ascii="Times New Roman" w:hAnsi="Times New Roman"/>
          <w:b/>
          <w:sz w:val="24"/>
          <w:szCs w:val="24"/>
        </w:rPr>
      </w:pPr>
      <w:r w:rsidRPr="008A2AE6">
        <w:rPr>
          <w:rFonts w:ascii="Times New Roman" w:hAnsi="Times New Roman"/>
          <w:b/>
          <w:sz w:val="24"/>
          <w:szCs w:val="24"/>
        </w:rPr>
        <w:t xml:space="preserve">Legal Lesson Learned: Police and fire have different duties and under NH law should not be in the same collective bargaining unit. </w:t>
      </w:r>
    </w:p>
    <w:p w14:paraId="3CDDA6D2" w14:textId="77777777" w:rsidR="008A2AE6" w:rsidRPr="008A2AE6" w:rsidRDefault="008A2AE6" w:rsidP="008A2AE6">
      <w:pPr>
        <w:rPr>
          <w:rFonts w:ascii="Times New Roman" w:hAnsi="Times New Roman"/>
          <w:sz w:val="24"/>
          <w:szCs w:val="24"/>
        </w:rPr>
      </w:pPr>
    </w:p>
    <w:p w14:paraId="45CC4002" w14:textId="77777777" w:rsidR="008A2AE6" w:rsidRDefault="008A2AE6" w:rsidP="00F326E5">
      <w:pPr>
        <w:pStyle w:val="NoSpacing"/>
        <w:rPr>
          <w:rFonts w:ascii="Arial Black" w:hAnsi="Arial Black"/>
          <w:sz w:val="24"/>
          <w:szCs w:val="24"/>
        </w:rPr>
      </w:pPr>
    </w:p>
    <w:p w14:paraId="30B3392F" w14:textId="77777777" w:rsidR="00F367A4" w:rsidRDefault="00F367A4" w:rsidP="00F326E5">
      <w:pPr>
        <w:pStyle w:val="NoSpacing"/>
        <w:rPr>
          <w:rFonts w:ascii="Arial Black" w:hAnsi="Arial Black"/>
          <w:sz w:val="24"/>
          <w:szCs w:val="24"/>
        </w:rPr>
      </w:pPr>
    </w:p>
    <w:p w14:paraId="78E0A541" w14:textId="77777777" w:rsidR="00F367A4" w:rsidRDefault="00F367A4" w:rsidP="00F326E5">
      <w:pPr>
        <w:pStyle w:val="NoSpacing"/>
        <w:rPr>
          <w:rFonts w:ascii="Arial Black" w:hAnsi="Arial Black"/>
          <w:sz w:val="24"/>
          <w:szCs w:val="24"/>
        </w:rPr>
      </w:pPr>
    </w:p>
    <w:p w14:paraId="23057ED1" w14:textId="66A5920B" w:rsidR="00766306" w:rsidRDefault="00766306" w:rsidP="00F326E5">
      <w:pPr>
        <w:pStyle w:val="NoSpacing"/>
        <w:rPr>
          <w:rFonts w:ascii="Arial Black" w:hAnsi="Arial Black"/>
          <w:sz w:val="24"/>
          <w:szCs w:val="24"/>
        </w:rPr>
      </w:pPr>
      <w:r>
        <w:rPr>
          <w:rFonts w:ascii="Arial Black" w:hAnsi="Arial Black"/>
          <w:sz w:val="24"/>
          <w:szCs w:val="24"/>
        </w:rPr>
        <w:t>17-49</w:t>
      </w:r>
    </w:p>
    <w:p w14:paraId="11690BCB" w14:textId="77777777" w:rsidR="00766306" w:rsidRDefault="00766306" w:rsidP="00F326E5">
      <w:pPr>
        <w:pStyle w:val="NoSpacing"/>
        <w:rPr>
          <w:rFonts w:ascii="Arial Black" w:hAnsi="Arial Black"/>
          <w:sz w:val="24"/>
          <w:szCs w:val="24"/>
        </w:rPr>
      </w:pPr>
    </w:p>
    <w:p w14:paraId="03376A93" w14:textId="77777777" w:rsidR="00766306" w:rsidRPr="00447084" w:rsidRDefault="00766306" w:rsidP="00766306">
      <w:pPr>
        <w:pStyle w:val="NoSpacing"/>
        <w:rPr>
          <w:rFonts w:ascii="Arial Black" w:hAnsi="Arial Black"/>
          <w:bCs/>
          <w:sz w:val="28"/>
          <w:szCs w:val="28"/>
        </w:rPr>
      </w:pPr>
      <w:r>
        <w:rPr>
          <w:rFonts w:ascii="Arial Black" w:hAnsi="Arial Black"/>
          <w:sz w:val="28"/>
          <w:szCs w:val="28"/>
        </w:rPr>
        <w:t>NY: FDNY - COVID - LEAVE W/O PAY – NO ARBITRABLE</w:t>
      </w:r>
    </w:p>
    <w:p w14:paraId="00002D5F" w14:textId="77777777" w:rsidR="00766306" w:rsidRDefault="00766306" w:rsidP="00766306">
      <w:pPr>
        <w:pStyle w:val="NoSpacing"/>
        <w:rPr>
          <w:bCs/>
        </w:rPr>
      </w:pPr>
    </w:p>
    <w:p w14:paraId="21D9502F" w14:textId="77777777" w:rsidR="00766306" w:rsidRPr="00F367A4" w:rsidRDefault="00766306" w:rsidP="00766306">
      <w:pPr>
        <w:pStyle w:val="NoSpacing"/>
        <w:rPr>
          <w:rFonts w:ascii="Times New Roman" w:hAnsi="Times New Roman"/>
          <w:sz w:val="24"/>
          <w:szCs w:val="24"/>
        </w:rPr>
      </w:pPr>
      <w:r w:rsidRPr="00F367A4">
        <w:rPr>
          <w:rFonts w:ascii="Times New Roman" w:hAnsi="Times New Roman"/>
          <w:sz w:val="24"/>
          <w:szCs w:val="24"/>
        </w:rPr>
        <w:t xml:space="preserve">On March 18, 2025, in </w:t>
      </w:r>
      <w:r w:rsidRPr="00F367A4">
        <w:rPr>
          <w:rFonts w:ascii="Times New Roman" w:hAnsi="Times New Roman"/>
          <w:sz w:val="24"/>
          <w:szCs w:val="24"/>
          <w:u w:val="single"/>
        </w:rPr>
        <w:t xml:space="preserve">In </w:t>
      </w:r>
      <w:proofErr w:type="gramStart"/>
      <w:r w:rsidRPr="00F367A4">
        <w:rPr>
          <w:rFonts w:ascii="Times New Roman" w:hAnsi="Times New Roman"/>
          <w:sz w:val="24"/>
          <w:szCs w:val="24"/>
          <w:u w:val="single"/>
        </w:rPr>
        <w:t>The</w:t>
      </w:r>
      <w:proofErr w:type="gramEnd"/>
      <w:r w:rsidRPr="00F367A4">
        <w:rPr>
          <w:rFonts w:ascii="Times New Roman" w:hAnsi="Times New Roman"/>
          <w:sz w:val="24"/>
          <w:szCs w:val="24"/>
          <w:u w:val="single"/>
        </w:rPr>
        <w:t xml:space="preserve"> Matter of Uniformed Firefighters Association of Greater New York, Local 94, IAFF, AFL-CIO v. The City of New York</w:t>
      </w:r>
      <w:r w:rsidRPr="00F367A4">
        <w:rPr>
          <w:rFonts w:ascii="Times New Roman" w:hAnsi="Times New Roman"/>
          <w:sz w:val="24"/>
          <w:szCs w:val="24"/>
        </w:rPr>
        <w:t xml:space="preserve">, the NY Supreme Court, Appellate Division, First Department, held (5 to 0) that the trial court judge properly upheld the decision of New York City Board of Collective Bargaining (BCB) that the union’s grievance regarding placing firefighters on leave without pay (LWOP) was not arbitrable.  “The Board rationally found … that there was no ‘reasonable relationship between the subject matter of the dispute and the general subject matter of the CBA.’” </w:t>
      </w:r>
      <w:hyperlink r:id="rId2696" w:history="1">
        <w:r w:rsidRPr="00F367A4">
          <w:rPr>
            <w:rStyle w:val="Hyperlink"/>
            <w:rFonts w:ascii="Times New Roman" w:hAnsi="Times New Roman"/>
            <w:sz w:val="24"/>
            <w:szCs w:val="24"/>
          </w:rPr>
          <w:t>https://caselaw.findlaw.com/court/ny-supreme-court-appellate-division/117059772.html</w:t>
        </w:r>
      </w:hyperlink>
      <w:r w:rsidRPr="00F367A4">
        <w:rPr>
          <w:rFonts w:ascii="Times New Roman" w:hAnsi="Times New Roman"/>
          <w:sz w:val="24"/>
          <w:szCs w:val="24"/>
        </w:rPr>
        <w:t xml:space="preserve"> </w:t>
      </w:r>
    </w:p>
    <w:p w14:paraId="28E5EE2A" w14:textId="77777777" w:rsidR="00766306" w:rsidRPr="00F367A4" w:rsidRDefault="00766306" w:rsidP="00766306">
      <w:pPr>
        <w:pStyle w:val="NoSpacing"/>
        <w:rPr>
          <w:rFonts w:ascii="Times New Roman" w:hAnsi="Times New Roman"/>
          <w:sz w:val="24"/>
          <w:szCs w:val="24"/>
        </w:rPr>
      </w:pPr>
    </w:p>
    <w:p w14:paraId="1CC02AD5" w14:textId="77777777" w:rsidR="00F367A4" w:rsidRPr="00F367A4" w:rsidRDefault="00F367A4" w:rsidP="00F367A4">
      <w:pPr>
        <w:pStyle w:val="NoSpacing"/>
        <w:rPr>
          <w:rFonts w:ascii="Times New Roman" w:hAnsi="Times New Roman"/>
          <w:b/>
          <w:bCs/>
          <w:sz w:val="24"/>
          <w:szCs w:val="24"/>
        </w:rPr>
      </w:pPr>
      <w:r w:rsidRPr="00F367A4">
        <w:rPr>
          <w:rFonts w:ascii="Times New Roman" w:hAnsi="Times New Roman"/>
          <w:b/>
          <w:sz w:val="24"/>
          <w:szCs w:val="24"/>
        </w:rPr>
        <w:t>Legal Lesson Learned:  The CBA does not restrict the FD from placing fire department from putting firefighters on leave without pay “when these members fail to satisfy a condition of employment.”</w:t>
      </w:r>
    </w:p>
    <w:p w14:paraId="4EFAB67B" w14:textId="77777777" w:rsidR="00766306" w:rsidRPr="00F367A4" w:rsidRDefault="00766306" w:rsidP="00F326E5">
      <w:pPr>
        <w:pStyle w:val="NoSpacing"/>
        <w:rPr>
          <w:rFonts w:ascii="Times New Roman" w:hAnsi="Times New Roman"/>
          <w:sz w:val="24"/>
          <w:szCs w:val="24"/>
        </w:rPr>
      </w:pPr>
    </w:p>
    <w:p w14:paraId="1775034F" w14:textId="77777777" w:rsidR="00766306" w:rsidRDefault="00766306" w:rsidP="00F326E5">
      <w:pPr>
        <w:pStyle w:val="NoSpacing"/>
        <w:rPr>
          <w:rFonts w:ascii="Arial Black" w:hAnsi="Arial Black"/>
          <w:sz w:val="24"/>
          <w:szCs w:val="24"/>
        </w:rPr>
      </w:pPr>
    </w:p>
    <w:p w14:paraId="269EB134" w14:textId="24DEEE9F" w:rsidR="00673952" w:rsidRDefault="00673952" w:rsidP="00F326E5">
      <w:pPr>
        <w:pStyle w:val="NoSpacing"/>
        <w:rPr>
          <w:rFonts w:ascii="Arial Black" w:hAnsi="Arial Black"/>
          <w:sz w:val="24"/>
          <w:szCs w:val="24"/>
        </w:rPr>
      </w:pPr>
      <w:r>
        <w:rPr>
          <w:rFonts w:ascii="Arial Black" w:hAnsi="Arial Black"/>
          <w:sz w:val="24"/>
          <w:szCs w:val="24"/>
        </w:rPr>
        <w:t>17-48</w:t>
      </w:r>
    </w:p>
    <w:p w14:paraId="43691976" w14:textId="77777777" w:rsidR="00673952" w:rsidRDefault="00673952" w:rsidP="00F326E5">
      <w:pPr>
        <w:pStyle w:val="NoSpacing"/>
        <w:rPr>
          <w:rFonts w:ascii="Arial Black" w:hAnsi="Arial Black"/>
          <w:sz w:val="24"/>
          <w:szCs w:val="24"/>
        </w:rPr>
      </w:pPr>
    </w:p>
    <w:p w14:paraId="7475A88C" w14:textId="77777777" w:rsidR="00673952" w:rsidRPr="00041DFC" w:rsidRDefault="00673952" w:rsidP="00673952">
      <w:pPr>
        <w:pStyle w:val="NoSpacing"/>
        <w:rPr>
          <w:rFonts w:ascii="Arial Black" w:hAnsi="Arial Black"/>
          <w:sz w:val="28"/>
          <w:szCs w:val="28"/>
        </w:rPr>
      </w:pPr>
      <w:r>
        <w:rPr>
          <w:rFonts w:ascii="Arial Black" w:hAnsi="Arial Black"/>
          <w:sz w:val="28"/>
          <w:szCs w:val="28"/>
        </w:rPr>
        <w:t>IL: CBA - INJURED FF – WORK COMP AT PART-TIME RATE</w:t>
      </w:r>
    </w:p>
    <w:p w14:paraId="60CFF8F2" w14:textId="77777777" w:rsidR="00673952" w:rsidRPr="00673952" w:rsidRDefault="00673952" w:rsidP="00673952">
      <w:pPr>
        <w:pStyle w:val="NoSpacing"/>
        <w:rPr>
          <w:rFonts w:ascii="Times New Roman" w:hAnsi="Times New Roman"/>
          <w:sz w:val="24"/>
          <w:szCs w:val="24"/>
        </w:rPr>
      </w:pPr>
    </w:p>
    <w:p w14:paraId="258E3FF2" w14:textId="77777777" w:rsidR="00673952" w:rsidRPr="00673952" w:rsidRDefault="00673952" w:rsidP="00673952">
      <w:pPr>
        <w:pStyle w:val="NoSpacing"/>
        <w:rPr>
          <w:rFonts w:ascii="Times New Roman" w:hAnsi="Times New Roman"/>
          <w:sz w:val="24"/>
          <w:szCs w:val="24"/>
        </w:rPr>
      </w:pPr>
      <w:r w:rsidRPr="00673952">
        <w:rPr>
          <w:rFonts w:ascii="Times New Roman" w:hAnsi="Times New Roman"/>
          <w:sz w:val="24"/>
          <w:szCs w:val="24"/>
        </w:rPr>
        <w:lastRenderedPageBreak/>
        <w:t xml:space="preserve">On Jan. 17, 2025, in </w:t>
      </w:r>
      <w:r w:rsidRPr="00673952">
        <w:rPr>
          <w:rFonts w:ascii="Times New Roman" w:hAnsi="Times New Roman"/>
          <w:sz w:val="24"/>
          <w:szCs w:val="24"/>
          <w:u w:val="single"/>
        </w:rPr>
        <w:t>Village of Roselle v. The Illinois Worker’s Compensation Commission, et al. (Glen Thomas, Appellee)</w:t>
      </w:r>
      <w:r w:rsidRPr="00673952">
        <w:rPr>
          <w:rFonts w:ascii="Times New Roman" w:hAnsi="Times New Roman"/>
          <w:sz w:val="24"/>
          <w:szCs w:val="24"/>
        </w:rPr>
        <w:t xml:space="preserve">, the Court of Appeals of Illinois, Third District held (5 to 0) reversed an Arbitrator and the Commission on the calculation of the “wage-differential” award to Village part-time firefighter Glen Thomas.  He suffered a permanent partial disability (shoulder injury at fire on Feb. 17, 2015) but was able to return to work full time as a public service employee with the Village until </w:t>
      </w:r>
      <w:proofErr w:type="gramStart"/>
      <w:r w:rsidRPr="00673952">
        <w:rPr>
          <w:rFonts w:ascii="Times New Roman" w:hAnsi="Times New Roman"/>
          <w:sz w:val="24"/>
          <w:szCs w:val="24"/>
        </w:rPr>
        <w:t>retiring</w:t>
      </w:r>
      <w:proofErr w:type="gramEnd"/>
      <w:r w:rsidRPr="00673952">
        <w:rPr>
          <w:rFonts w:ascii="Times New Roman" w:hAnsi="Times New Roman"/>
          <w:sz w:val="24"/>
          <w:szCs w:val="24"/>
        </w:rPr>
        <w:t xml:space="preserve"> on April 29, 2022.  He is entitled under state law to a “wage-differential award</w:t>
      </w:r>
      <w:proofErr w:type="gramStart"/>
      <w:r w:rsidRPr="00673952">
        <w:rPr>
          <w:rFonts w:ascii="Times New Roman" w:hAnsi="Times New Roman"/>
          <w:sz w:val="24"/>
          <w:szCs w:val="24"/>
        </w:rPr>
        <w:t>”</w:t>
      </w:r>
      <w:proofErr w:type="gramEnd"/>
      <w:r w:rsidRPr="00673952">
        <w:rPr>
          <w:rFonts w:ascii="Times New Roman" w:hAnsi="Times New Roman"/>
          <w:sz w:val="24"/>
          <w:szCs w:val="24"/>
        </w:rPr>
        <w:t xml:space="preserve"> but the Court held it is to be calculated only based on normal firefighter pay of $19.15 per hour, not the CBA rate of 1.5 times his public works pay rate ($32.55, using 1.5 multiplier times $21.70). He will therefore receive $374.19 per week </w:t>
      </w:r>
      <w:proofErr w:type="gramStart"/>
      <w:r w:rsidRPr="00673952">
        <w:rPr>
          <w:rFonts w:ascii="Times New Roman" w:hAnsi="Times New Roman"/>
          <w:sz w:val="24"/>
          <w:szCs w:val="24"/>
        </w:rPr>
        <w:t>until</w:t>
      </w:r>
      <w:proofErr w:type="gramEnd"/>
      <w:r w:rsidRPr="00673952">
        <w:rPr>
          <w:rFonts w:ascii="Times New Roman" w:hAnsi="Times New Roman"/>
          <w:sz w:val="24"/>
          <w:szCs w:val="24"/>
        </w:rPr>
        <w:t xml:space="preserve"> social security and not $636.03 per week that the Arbitrator and Commission awarded him. </w:t>
      </w:r>
      <w:hyperlink r:id="rId2697" w:history="1">
        <w:r w:rsidRPr="00673952">
          <w:rPr>
            <w:rStyle w:val="Hyperlink"/>
            <w:rFonts w:ascii="Times New Roman" w:hAnsi="Times New Roman"/>
            <w:sz w:val="24"/>
            <w:szCs w:val="24"/>
          </w:rPr>
          <w:t>https://ilcourtsaudio.blob.core.windows.net/antilles-resources/resources/7509d61b-3a3a-4986-bb3a-7cce5964f936/Village%20of%20Roselle%20v.%20Illinois%20Workers'%20Compensation%20Comm'n,%202025%20IL%20App%20(3rd)%20240306WC-U.pdf</w:t>
        </w:r>
      </w:hyperlink>
      <w:r w:rsidRPr="00673952">
        <w:rPr>
          <w:rFonts w:ascii="Times New Roman" w:hAnsi="Times New Roman"/>
          <w:sz w:val="24"/>
          <w:szCs w:val="24"/>
        </w:rPr>
        <w:t xml:space="preserve"> </w:t>
      </w:r>
    </w:p>
    <w:p w14:paraId="5D37ED32" w14:textId="77777777" w:rsidR="00673952" w:rsidRPr="00673952" w:rsidRDefault="00673952" w:rsidP="00673952">
      <w:pPr>
        <w:pStyle w:val="NoSpacing"/>
        <w:rPr>
          <w:rFonts w:ascii="Times New Roman" w:hAnsi="Times New Roman"/>
          <w:sz w:val="24"/>
          <w:szCs w:val="24"/>
        </w:rPr>
      </w:pPr>
    </w:p>
    <w:p w14:paraId="45937F8A" w14:textId="77777777" w:rsidR="00673952" w:rsidRPr="00673952" w:rsidRDefault="00673952" w:rsidP="00673952">
      <w:pPr>
        <w:rPr>
          <w:rFonts w:ascii="Times New Roman" w:hAnsi="Times New Roman"/>
          <w:sz w:val="24"/>
          <w:szCs w:val="24"/>
        </w:rPr>
      </w:pPr>
      <w:r w:rsidRPr="00673952">
        <w:rPr>
          <w:rFonts w:ascii="Times New Roman" w:hAnsi="Times New Roman"/>
          <w:sz w:val="24"/>
          <w:szCs w:val="24"/>
        </w:rPr>
        <w:t>The Court held:</w:t>
      </w:r>
    </w:p>
    <w:p w14:paraId="4690ABF2" w14:textId="77777777" w:rsidR="00673952" w:rsidRPr="00673952" w:rsidRDefault="00673952" w:rsidP="00673952">
      <w:pPr>
        <w:pStyle w:val="NoSpacing"/>
        <w:ind w:left="720"/>
        <w:rPr>
          <w:rFonts w:ascii="Times New Roman" w:hAnsi="Times New Roman"/>
          <w:sz w:val="24"/>
          <w:szCs w:val="24"/>
        </w:rPr>
      </w:pPr>
      <w:r w:rsidRPr="00673952">
        <w:rPr>
          <w:rFonts w:ascii="Times New Roman" w:hAnsi="Times New Roman"/>
          <w:sz w:val="24"/>
          <w:szCs w:val="24"/>
        </w:rPr>
        <w:t xml:space="preserve">“On February 17, 2015, he was 48 years old and had been working for the Village for 15 years as a full-time public works employee and as a part-time firefighter paramedic. On that date, claimant was injured while fighting a fire. Although he was unable to ever resume work as a firefighter after the accident, he returned to his full-time duties as a public works employee on September 22, 2016. On September 28, 2021, claimant was involved in a non-work-related motorcycle accident. He was completely off work, using medical leave and </w:t>
      </w:r>
      <w:proofErr w:type="gramStart"/>
      <w:r w:rsidRPr="00673952">
        <w:rPr>
          <w:rFonts w:ascii="Times New Roman" w:hAnsi="Times New Roman"/>
          <w:sz w:val="24"/>
          <w:szCs w:val="24"/>
        </w:rPr>
        <w:t>all of</w:t>
      </w:r>
      <w:proofErr w:type="gramEnd"/>
      <w:r w:rsidRPr="00673952">
        <w:rPr>
          <w:rFonts w:ascii="Times New Roman" w:hAnsi="Times New Roman"/>
          <w:sz w:val="24"/>
          <w:szCs w:val="24"/>
        </w:rPr>
        <w:t xml:space="preserve"> his accrued vacation and sick time, until he retired from the Village on April 29, 2022.</w:t>
      </w:r>
    </w:p>
    <w:p w14:paraId="37214273" w14:textId="77777777" w:rsidR="00673952" w:rsidRPr="00673952" w:rsidRDefault="00673952" w:rsidP="00673952">
      <w:pPr>
        <w:pStyle w:val="NoSpacing"/>
        <w:ind w:left="720"/>
        <w:rPr>
          <w:rFonts w:ascii="Times New Roman" w:hAnsi="Times New Roman"/>
          <w:sz w:val="24"/>
          <w:szCs w:val="24"/>
        </w:rPr>
      </w:pPr>
    </w:p>
    <w:p w14:paraId="11FEFFF6" w14:textId="77777777" w:rsidR="00673952" w:rsidRPr="00673952" w:rsidRDefault="00673952" w:rsidP="00673952">
      <w:pPr>
        <w:pStyle w:val="NoSpacing"/>
        <w:ind w:left="720"/>
        <w:rPr>
          <w:rFonts w:ascii="Times New Roman" w:hAnsi="Times New Roman"/>
          <w:sz w:val="24"/>
          <w:szCs w:val="24"/>
        </w:rPr>
      </w:pPr>
      <w:r w:rsidRPr="00673952">
        <w:rPr>
          <w:rFonts w:ascii="Times New Roman" w:hAnsi="Times New Roman"/>
          <w:sz w:val="24"/>
          <w:szCs w:val="24"/>
        </w:rPr>
        <w:t>***</w:t>
      </w:r>
    </w:p>
    <w:p w14:paraId="7EAE2D19" w14:textId="77777777" w:rsidR="00673952" w:rsidRPr="00673952" w:rsidRDefault="00673952" w:rsidP="00673952">
      <w:pPr>
        <w:ind w:left="720"/>
        <w:rPr>
          <w:rFonts w:ascii="Times New Roman" w:hAnsi="Times New Roman"/>
          <w:sz w:val="24"/>
          <w:szCs w:val="24"/>
        </w:rPr>
      </w:pPr>
      <w:r w:rsidRPr="00673952">
        <w:rPr>
          <w:rFonts w:ascii="Times New Roman" w:hAnsi="Times New Roman"/>
          <w:sz w:val="24"/>
          <w:szCs w:val="24"/>
        </w:rPr>
        <w:t xml:space="preserve">The calculation of wage-differential benefits should be based on claimant’s hourly rate as a part-time firefighter/paramedic. It is claimant’s earning capacity as a firefighter that was affected due to the accident. Applying </w:t>
      </w:r>
      <w:proofErr w:type="gramStart"/>
      <w:r w:rsidRPr="00673952">
        <w:rPr>
          <w:rFonts w:ascii="Times New Roman" w:hAnsi="Times New Roman"/>
          <w:sz w:val="24"/>
          <w:szCs w:val="24"/>
        </w:rPr>
        <w:t>claimant’s</w:t>
      </w:r>
      <w:proofErr w:type="gramEnd"/>
      <w:r w:rsidRPr="00673952">
        <w:rPr>
          <w:rFonts w:ascii="Times New Roman" w:hAnsi="Times New Roman"/>
          <w:sz w:val="24"/>
          <w:szCs w:val="24"/>
        </w:rPr>
        <w:t xml:space="preserve"> public works employee hourly rate and the 1.5 multiplier to a wage-differential calculation would not accurately reflect the reduced earning capacity of a retired full-time village employee who was prevented from ever working as a firefighter due to his work-related injury. In other words, after retiring, claimant is not missing out on his public works full-time position pay due to the accident. Instead, he is missing out on his hourly rate as a firefighter only.</w:t>
      </w:r>
    </w:p>
    <w:p w14:paraId="7B0502C7" w14:textId="77777777" w:rsidR="00673952" w:rsidRPr="00673952" w:rsidRDefault="00673952" w:rsidP="00673952">
      <w:pPr>
        <w:ind w:left="720"/>
        <w:rPr>
          <w:rFonts w:ascii="Times New Roman" w:hAnsi="Times New Roman"/>
          <w:sz w:val="24"/>
          <w:szCs w:val="24"/>
        </w:rPr>
      </w:pPr>
      <w:r w:rsidRPr="00673952">
        <w:rPr>
          <w:rFonts w:ascii="Times New Roman" w:hAnsi="Times New Roman"/>
          <w:sz w:val="24"/>
          <w:szCs w:val="24"/>
        </w:rPr>
        <w:t>***</w:t>
      </w:r>
    </w:p>
    <w:p w14:paraId="0A487F50" w14:textId="77777777" w:rsidR="00673952" w:rsidRPr="00673952" w:rsidRDefault="00673952" w:rsidP="00673952">
      <w:pPr>
        <w:ind w:left="720"/>
        <w:rPr>
          <w:rFonts w:ascii="Times New Roman" w:hAnsi="Times New Roman"/>
          <w:sz w:val="24"/>
          <w:szCs w:val="24"/>
        </w:rPr>
      </w:pPr>
      <w:r w:rsidRPr="00673952">
        <w:rPr>
          <w:rFonts w:ascii="Times New Roman" w:hAnsi="Times New Roman"/>
          <w:sz w:val="24"/>
          <w:szCs w:val="24"/>
        </w:rPr>
        <w:t>The Village is correct that the multiplier does not apply upon claimant’s retirement. However, the Village is incorrect that the calculation of benefits should be based on claimant’s public works employee hourly rate. The calculation of wage-differential benefits should be based on claimant’s hourly rate as a part-time firefighter/paramedic.”</w:t>
      </w:r>
    </w:p>
    <w:p w14:paraId="1A48CCA6" w14:textId="77777777" w:rsidR="00673952" w:rsidRPr="00673952" w:rsidRDefault="00673952" w:rsidP="00673952">
      <w:pPr>
        <w:rPr>
          <w:rFonts w:ascii="Times New Roman" w:hAnsi="Times New Roman"/>
          <w:b/>
          <w:bCs/>
          <w:sz w:val="24"/>
          <w:szCs w:val="24"/>
        </w:rPr>
      </w:pPr>
      <w:r w:rsidRPr="00673952">
        <w:rPr>
          <w:rFonts w:ascii="Times New Roman" w:hAnsi="Times New Roman"/>
          <w:b/>
          <w:sz w:val="24"/>
          <w:szCs w:val="24"/>
        </w:rPr>
        <w:t xml:space="preserve">Legal Lesson Learned:  When drafting CBA for part-time firefighters who are also full time Village </w:t>
      </w:r>
      <w:proofErr w:type="gramStart"/>
      <w:r w:rsidRPr="00673952">
        <w:rPr>
          <w:rFonts w:ascii="Times New Roman" w:hAnsi="Times New Roman"/>
          <w:b/>
          <w:sz w:val="24"/>
          <w:szCs w:val="24"/>
        </w:rPr>
        <w:t>employee</w:t>
      </w:r>
      <w:proofErr w:type="gramEnd"/>
      <w:r w:rsidRPr="00673952">
        <w:rPr>
          <w:rFonts w:ascii="Times New Roman" w:hAnsi="Times New Roman"/>
          <w:b/>
          <w:sz w:val="24"/>
          <w:szCs w:val="24"/>
        </w:rPr>
        <w:t xml:space="preserve">, include a provision on calculation of a wage-differential award. </w:t>
      </w:r>
    </w:p>
    <w:p w14:paraId="297479E9" w14:textId="77777777" w:rsidR="00673952" w:rsidRDefault="00673952" w:rsidP="00F326E5">
      <w:pPr>
        <w:pStyle w:val="NoSpacing"/>
        <w:rPr>
          <w:rFonts w:ascii="Arial Black" w:hAnsi="Arial Black"/>
          <w:sz w:val="24"/>
          <w:szCs w:val="24"/>
        </w:rPr>
      </w:pPr>
    </w:p>
    <w:p w14:paraId="0A4F5B3E" w14:textId="77777777" w:rsidR="00673952" w:rsidRDefault="00673952" w:rsidP="00F326E5">
      <w:pPr>
        <w:pStyle w:val="NoSpacing"/>
        <w:rPr>
          <w:rFonts w:ascii="Arial Black" w:hAnsi="Arial Black"/>
          <w:sz w:val="24"/>
          <w:szCs w:val="24"/>
        </w:rPr>
      </w:pPr>
    </w:p>
    <w:p w14:paraId="480238C5" w14:textId="77777777" w:rsidR="00673952" w:rsidRDefault="00673952" w:rsidP="00F326E5">
      <w:pPr>
        <w:pStyle w:val="NoSpacing"/>
        <w:rPr>
          <w:rFonts w:ascii="Arial Black" w:hAnsi="Arial Black"/>
          <w:sz w:val="24"/>
          <w:szCs w:val="24"/>
        </w:rPr>
      </w:pPr>
    </w:p>
    <w:p w14:paraId="7EFD7357" w14:textId="216C04D6" w:rsidR="004B129E" w:rsidRDefault="009F5629" w:rsidP="00F326E5">
      <w:pPr>
        <w:pStyle w:val="NoSpacing"/>
        <w:rPr>
          <w:rFonts w:ascii="Arial Black" w:hAnsi="Arial Black"/>
          <w:sz w:val="24"/>
          <w:szCs w:val="24"/>
        </w:rPr>
      </w:pPr>
      <w:r>
        <w:rPr>
          <w:rFonts w:ascii="Arial Black" w:hAnsi="Arial Black"/>
          <w:sz w:val="24"/>
          <w:szCs w:val="24"/>
        </w:rPr>
        <w:t>17-47</w:t>
      </w:r>
    </w:p>
    <w:p w14:paraId="7A33D2B3" w14:textId="77777777" w:rsidR="009F5629" w:rsidRDefault="009F5629" w:rsidP="00F326E5">
      <w:pPr>
        <w:pStyle w:val="NoSpacing"/>
        <w:rPr>
          <w:rFonts w:ascii="Arial Black" w:hAnsi="Arial Black"/>
          <w:sz w:val="24"/>
          <w:szCs w:val="24"/>
        </w:rPr>
      </w:pPr>
    </w:p>
    <w:p w14:paraId="176F88BF" w14:textId="77777777" w:rsidR="009F5629" w:rsidRPr="00530558" w:rsidRDefault="009F5629" w:rsidP="009F5629">
      <w:pPr>
        <w:pStyle w:val="NoSpacing"/>
        <w:rPr>
          <w:rFonts w:ascii="Arial Black" w:hAnsi="Arial Black"/>
          <w:b/>
          <w:sz w:val="28"/>
          <w:szCs w:val="28"/>
        </w:rPr>
      </w:pPr>
      <w:r>
        <w:rPr>
          <w:rFonts w:ascii="Arial Black" w:hAnsi="Arial Black"/>
          <w:b/>
          <w:sz w:val="28"/>
          <w:szCs w:val="28"/>
        </w:rPr>
        <w:t>OH: FIRE ENGINE MFG – DELAY – ARBITRATION</w:t>
      </w:r>
    </w:p>
    <w:p w14:paraId="2CDDD131" w14:textId="77777777" w:rsidR="009F5629" w:rsidRDefault="009F5629" w:rsidP="009F5629">
      <w:pPr>
        <w:pStyle w:val="NoSpacing"/>
        <w:rPr>
          <w:b/>
        </w:rPr>
      </w:pPr>
    </w:p>
    <w:p w14:paraId="7DCEE8FC" w14:textId="77777777" w:rsidR="00942EF0" w:rsidRPr="00546738" w:rsidRDefault="00942EF0" w:rsidP="00546738">
      <w:pPr>
        <w:pStyle w:val="NoSpacing"/>
        <w:rPr>
          <w:rFonts w:ascii="Times New Roman" w:hAnsi="Times New Roman"/>
          <w:bCs/>
          <w:sz w:val="24"/>
          <w:szCs w:val="24"/>
        </w:rPr>
      </w:pPr>
      <w:r w:rsidRPr="00546738">
        <w:rPr>
          <w:rFonts w:ascii="Times New Roman" w:hAnsi="Times New Roman"/>
          <w:sz w:val="24"/>
          <w:szCs w:val="24"/>
        </w:rPr>
        <w:lastRenderedPageBreak/>
        <w:t xml:space="preserve">On Dec. 23, 2024, in </w:t>
      </w:r>
      <w:r w:rsidRPr="00546738">
        <w:rPr>
          <w:rFonts w:ascii="Times New Roman" w:hAnsi="Times New Roman"/>
          <w:sz w:val="24"/>
          <w:szCs w:val="24"/>
          <w:u w:val="single"/>
        </w:rPr>
        <w:t>Dorset Township Board of Trustees v. T-Line EV, LLC</w:t>
      </w:r>
      <w:r w:rsidRPr="00546738">
        <w:rPr>
          <w:rFonts w:ascii="Times New Roman" w:hAnsi="Times New Roman"/>
          <w:sz w:val="24"/>
          <w:szCs w:val="24"/>
        </w:rPr>
        <w:t>, the Ohio Court of Appeals for 11</w:t>
      </w:r>
      <w:r w:rsidRPr="00546738">
        <w:rPr>
          <w:rFonts w:ascii="Times New Roman" w:hAnsi="Times New Roman"/>
          <w:sz w:val="24"/>
          <w:szCs w:val="24"/>
          <w:vertAlign w:val="superscript"/>
        </w:rPr>
        <w:t>th</w:t>
      </w:r>
      <w:r w:rsidRPr="00546738">
        <w:rPr>
          <w:rFonts w:ascii="Times New Roman" w:hAnsi="Times New Roman"/>
          <w:sz w:val="24"/>
          <w:szCs w:val="24"/>
        </w:rPr>
        <w:t xml:space="preserve"> Appellate District (Ashtabula County), held (3 to 0) that trial court improperly set aside the arbitrator’s decision that found in favor of the Township.  The arbitrator awarded a “Delay Penalty” under the contract 0.5% per week (80 weeks; $7,500 based on $150,000 contract) and ordered T-Line to return their down payment ($75,000), pay for the 2007 Ferrar chassis supplied by the Township ($35000), and reimburse the Township $1,925 filing fee for the American Arbitration Association.  </w:t>
      </w:r>
      <w:hyperlink r:id="rId2698" w:history="1">
        <w:r w:rsidRPr="00546738">
          <w:rPr>
            <w:rStyle w:val="Hyperlink"/>
            <w:rFonts w:ascii="Times New Roman" w:hAnsi="Times New Roman"/>
            <w:sz w:val="24"/>
            <w:szCs w:val="24"/>
          </w:rPr>
          <w:t>https://www.supremecourt.ohio.gov/rod/docs/pdf/11/2024/2024-Ohio-6002.pdf</w:t>
        </w:r>
      </w:hyperlink>
      <w:r w:rsidRPr="00546738">
        <w:rPr>
          <w:rFonts w:ascii="Times New Roman" w:hAnsi="Times New Roman"/>
          <w:sz w:val="24"/>
          <w:szCs w:val="24"/>
        </w:rPr>
        <w:t xml:space="preserve"> </w:t>
      </w:r>
    </w:p>
    <w:p w14:paraId="05CD1771" w14:textId="77777777" w:rsidR="00942EF0" w:rsidRPr="00546738" w:rsidRDefault="00942EF0" w:rsidP="00942EF0">
      <w:pPr>
        <w:pStyle w:val="NoSpacing"/>
        <w:rPr>
          <w:rFonts w:ascii="Times New Roman" w:hAnsi="Times New Roman"/>
          <w:bCs/>
          <w:sz w:val="24"/>
          <w:szCs w:val="24"/>
        </w:rPr>
      </w:pPr>
    </w:p>
    <w:p w14:paraId="54AF1B6B" w14:textId="4F53A7BD" w:rsidR="009F5629" w:rsidRPr="00525719" w:rsidRDefault="009F5629" w:rsidP="009F5629">
      <w:pPr>
        <w:pStyle w:val="NoSpacing"/>
        <w:rPr>
          <w:rFonts w:ascii="Times New Roman" w:hAnsi="Times New Roman"/>
          <w:bCs/>
          <w:sz w:val="24"/>
          <w:szCs w:val="24"/>
        </w:rPr>
      </w:pPr>
      <w:r w:rsidRPr="00525719">
        <w:rPr>
          <w:rFonts w:ascii="Times New Roman" w:hAnsi="Times New Roman"/>
          <w:sz w:val="24"/>
          <w:szCs w:val="24"/>
        </w:rPr>
        <w:t>The Court of Appeals wrote:</w:t>
      </w:r>
    </w:p>
    <w:p w14:paraId="5CBBB0CF" w14:textId="77777777" w:rsidR="009F5629" w:rsidRPr="00525719" w:rsidRDefault="009F5629" w:rsidP="009F5629">
      <w:pPr>
        <w:pStyle w:val="NoSpacing"/>
        <w:rPr>
          <w:rFonts w:ascii="Times New Roman" w:hAnsi="Times New Roman"/>
          <w:bCs/>
          <w:sz w:val="24"/>
          <w:szCs w:val="24"/>
        </w:rPr>
      </w:pPr>
    </w:p>
    <w:p w14:paraId="277AE658"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“T-Line argued that the arbitration award should be vacated because Dorset Township was in possession of the Pumper with the improvements and that it would be inequitable to allow Dorset Township to both have the Pumper and the arbitration award.</w:t>
      </w:r>
    </w:p>
    <w:p w14:paraId="30E37C16" w14:textId="77777777" w:rsidR="009F5629" w:rsidRPr="00525719" w:rsidRDefault="009F5629" w:rsidP="009F5629">
      <w:pPr>
        <w:pStyle w:val="NoSpacing"/>
        <w:ind w:left="720"/>
        <w:rPr>
          <w:rFonts w:ascii="Times New Roman" w:hAnsi="Times New Roman"/>
          <w:bCs/>
          <w:sz w:val="24"/>
          <w:szCs w:val="24"/>
        </w:rPr>
      </w:pPr>
    </w:p>
    <w:p w14:paraId="221C21B9"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w:t>
      </w:r>
    </w:p>
    <w:p w14:paraId="2C4685DB"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The arbitration award was issued on November 22, 2022. Dorset Township filed its complaint seeking confirmation of the award on March 15, 2023. Pursuant to this</w:t>
      </w:r>
    </w:p>
    <w:p w14:paraId="2889FF9F"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provision, R.C. 2711.09, Dorset Township’s application for confirmation of the award was timely filed.</w:t>
      </w:r>
    </w:p>
    <w:p w14:paraId="5120412A" w14:textId="77777777" w:rsidR="009F5629" w:rsidRPr="00525719" w:rsidRDefault="009F5629" w:rsidP="009F5629">
      <w:pPr>
        <w:pStyle w:val="NoSpacing"/>
        <w:ind w:left="720"/>
        <w:rPr>
          <w:rFonts w:ascii="Times New Roman" w:hAnsi="Times New Roman"/>
          <w:bCs/>
          <w:sz w:val="24"/>
          <w:szCs w:val="24"/>
        </w:rPr>
      </w:pPr>
    </w:p>
    <w:p w14:paraId="5D70D042"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w:t>
      </w:r>
    </w:p>
    <w:p w14:paraId="4BF25250"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Ohio case law interpreting R.C. 2711.13 confirms the plain language of the</w:t>
      </w:r>
    </w:p>
    <w:p w14:paraId="2A4C94D7"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statute. ‘A party seeking to modify or vacate an arbitration award has up to three months</w:t>
      </w:r>
    </w:p>
    <w:p w14:paraId="56F6C469"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from the date of the award to file its motion.’ … Here, T-Line’s application to vacate the arbitration award was filed on June 27, 2023, while the arbitration award was issued on November 21, 2022. It is apparent that T-Line’s motion was out of rule.</w:t>
      </w:r>
    </w:p>
    <w:p w14:paraId="53D9D4D9" w14:textId="77777777" w:rsidR="009F5629" w:rsidRPr="00525719" w:rsidRDefault="009F5629" w:rsidP="009F5629">
      <w:pPr>
        <w:pStyle w:val="NoSpacing"/>
        <w:ind w:left="720"/>
        <w:rPr>
          <w:rFonts w:ascii="Times New Roman" w:hAnsi="Times New Roman"/>
          <w:bCs/>
          <w:sz w:val="24"/>
          <w:szCs w:val="24"/>
        </w:rPr>
      </w:pPr>
    </w:p>
    <w:p w14:paraId="66C76777"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w:t>
      </w:r>
    </w:p>
    <w:p w14:paraId="0AD929E2"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 xml:space="preserve">Proceeding </w:t>
      </w:r>
      <w:proofErr w:type="gramStart"/>
      <w:r w:rsidRPr="00525719">
        <w:rPr>
          <w:rFonts w:ascii="Times New Roman" w:hAnsi="Times New Roman"/>
          <w:sz w:val="24"/>
          <w:szCs w:val="24"/>
        </w:rPr>
        <w:t>on</w:t>
      </w:r>
      <w:proofErr w:type="gramEnd"/>
      <w:r w:rsidRPr="00525719">
        <w:rPr>
          <w:rFonts w:ascii="Times New Roman" w:hAnsi="Times New Roman"/>
          <w:sz w:val="24"/>
          <w:szCs w:val="24"/>
        </w:rPr>
        <w:t xml:space="preserve"> the timely application of Dorset Township to confirm the award, the trial court was required to confirm the award as no timely application to modify or vacate was made. The record shows that the trial court exceeded its authority in not doing so.”</w:t>
      </w:r>
    </w:p>
    <w:p w14:paraId="4123DA03" w14:textId="3A14797E" w:rsidR="009F5629" w:rsidRPr="00525719" w:rsidRDefault="009F5629" w:rsidP="00525719">
      <w:pPr>
        <w:pStyle w:val="NoSpacing"/>
        <w:ind w:firstLine="720"/>
        <w:rPr>
          <w:rFonts w:ascii="Times New Roman" w:hAnsi="Times New Roman"/>
          <w:sz w:val="24"/>
          <w:szCs w:val="24"/>
        </w:rPr>
      </w:pPr>
      <w:r w:rsidRPr="00525719">
        <w:rPr>
          <w:rFonts w:ascii="Times New Roman" w:hAnsi="Times New Roman"/>
          <w:sz w:val="24"/>
          <w:szCs w:val="24"/>
        </w:rPr>
        <w:t xml:space="preserve"> </w:t>
      </w:r>
    </w:p>
    <w:p w14:paraId="64BFC785" w14:textId="77777777" w:rsidR="009F5629" w:rsidRPr="00525719" w:rsidRDefault="009F5629" w:rsidP="00F326E5">
      <w:pPr>
        <w:pStyle w:val="NoSpacing"/>
        <w:rPr>
          <w:rFonts w:ascii="Times New Roman" w:hAnsi="Times New Roman"/>
          <w:sz w:val="24"/>
          <w:szCs w:val="24"/>
        </w:rPr>
      </w:pPr>
    </w:p>
    <w:p w14:paraId="5B07D855" w14:textId="77777777" w:rsidR="009E2025" w:rsidRPr="009E2025" w:rsidRDefault="009E2025" w:rsidP="009E2025">
      <w:pPr>
        <w:pStyle w:val="NoSpacing"/>
        <w:rPr>
          <w:rFonts w:ascii="Times New Roman" w:hAnsi="Times New Roman"/>
          <w:bCs/>
          <w:sz w:val="24"/>
          <w:szCs w:val="24"/>
        </w:rPr>
      </w:pPr>
      <w:r w:rsidRPr="009E2025">
        <w:rPr>
          <w:rFonts w:ascii="Times New Roman" w:hAnsi="Times New Roman"/>
          <w:sz w:val="24"/>
          <w:szCs w:val="24"/>
        </w:rPr>
        <w:t>HOLDING:</w:t>
      </w:r>
    </w:p>
    <w:p w14:paraId="570310D1" w14:textId="77777777" w:rsidR="009E2025" w:rsidRPr="009E2025" w:rsidRDefault="009E2025" w:rsidP="009E2025">
      <w:pPr>
        <w:pStyle w:val="NoSpacing"/>
        <w:rPr>
          <w:rFonts w:ascii="Times New Roman" w:hAnsi="Times New Roman"/>
          <w:bCs/>
          <w:sz w:val="24"/>
          <w:szCs w:val="24"/>
        </w:rPr>
      </w:pPr>
    </w:p>
    <w:p w14:paraId="2BA8F6E5" w14:textId="77777777" w:rsidR="009E2025" w:rsidRPr="009E2025" w:rsidRDefault="009E2025" w:rsidP="009E2025">
      <w:pPr>
        <w:pStyle w:val="NoSpacing"/>
        <w:ind w:left="720"/>
        <w:rPr>
          <w:rFonts w:ascii="Times New Roman" w:hAnsi="Times New Roman"/>
          <w:bCs/>
          <w:sz w:val="24"/>
          <w:szCs w:val="24"/>
        </w:rPr>
      </w:pPr>
      <w:r w:rsidRPr="009E2025">
        <w:rPr>
          <w:rFonts w:ascii="Times New Roman" w:hAnsi="Times New Roman"/>
          <w:sz w:val="24"/>
          <w:szCs w:val="24"/>
        </w:rPr>
        <w:t>“Accordingly, the decision of the Ashtabula County Court of Common Pleas is reversed and remanded for a decision consistent with this Court’s opinion. As the applicable law and facts do not provide a basis for the trial court to do anything other than confirm the arbitrator’s award, the trial court is expressly directed to do so.”</w:t>
      </w:r>
    </w:p>
    <w:p w14:paraId="0C148849" w14:textId="77777777" w:rsidR="009E2025" w:rsidRPr="009E2025" w:rsidRDefault="009E2025" w:rsidP="009E2025">
      <w:pPr>
        <w:pStyle w:val="NoSpacing"/>
        <w:ind w:left="720"/>
        <w:rPr>
          <w:rFonts w:ascii="Times New Roman" w:hAnsi="Times New Roman"/>
          <w:bCs/>
          <w:sz w:val="24"/>
          <w:szCs w:val="24"/>
        </w:rPr>
      </w:pPr>
    </w:p>
    <w:p w14:paraId="0ABD0AE0" w14:textId="31B5AA31" w:rsidR="009E2025" w:rsidRPr="009E2025" w:rsidRDefault="009E2025" w:rsidP="009E2025">
      <w:pPr>
        <w:pStyle w:val="NoSpacing"/>
        <w:rPr>
          <w:rFonts w:ascii="Times New Roman" w:hAnsi="Times New Roman"/>
          <w:b/>
          <w:sz w:val="24"/>
          <w:szCs w:val="24"/>
        </w:rPr>
      </w:pPr>
      <w:r w:rsidRPr="009E2025">
        <w:rPr>
          <w:rFonts w:ascii="Times New Roman" w:hAnsi="Times New Roman"/>
          <w:b/>
          <w:sz w:val="24"/>
          <w:szCs w:val="24"/>
        </w:rPr>
        <w:t xml:space="preserve">Legal Lesson Learned:  An arbitration provision in a contract to purchase or refurbish an engine is an effective way to resolve </w:t>
      </w:r>
      <w:r>
        <w:rPr>
          <w:rFonts w:ascii="Times New Roman" w:hAnsi="Times New Roman"/>
          <w:b/>
          <w:sz w:val="24"/>
          <w:szCs w:val="24"/>
        </w:rPr>
        <w:t xml:space="preserve">a </w:t>
      </w:r>
      <w:r w:rsidRPr="009E2025">
        <w:rPr>
          <w:rFonts w:ascii="Times New Roman" w:hAnsi="Times New Roman"/>
          <w:b/>
          <w:sz w:val="24"/>
          <w:szCs w:val="24"/>
        </w:rPr>
        <w:t>dispute</w:t>
      </w:r>
      <w:r>
        <w:rPr>
          <w:rFonts w:ascii="Times New Roman" w:hAnsi="Times New Roman"/>
          <w:b/>
          <w:sz w:val="24"/>
          <w:szCs w:val="24"/>
        </w:rPr>
        <w:t xml:space="preserve">.  </w:t>
      </w:r>
      <w:r w:rsidRPr="009E2025">
        <w:rPr>
          <w:rFonts w:ascii="Times New Roman" w:hAnsi="Times New Roman"/>
          <w:b/>
          <w:sz w:val="24"/>
          <w:szCs w:val="24"/>
        </w:rPr>
        <w:t xml:space="preserve"> </w:t>
      </w:r>
    </w:p>
    <w:p w14:paraId="1156E940" w14:textId="77777777" w:rsidR="009E2025" w:rsidRPr="009E2025" w:rsidRDefault="009E2025" w:rsidP="009E2025">
      <w:pPr>
        <w:pStyle w:val="NoSpacing"/>
        <w:rPr>
          <w:rFonts w:ascii="Times New Roman" w:hAnsi="Times New Roman"/>
          <w:bCs/>
          <w:sz w:val="24"/>
          <w:szCs w:val="24"/>
        </w:rPr>
      </w:pPr>
    </w:p>
    <w:p w14:paraId="00FDEB1B" w14:textId="77777777" w:rsidR="009F5629" w:rsidRDefault="009F5629" w:rsidP="00F326E5">
      <w:pPr>
        <w:pStyle w:val="NoSpacing"/>
        <w:rPr>
          <w:rFonts w:ascii="Arial Black" w:hAnsi="Arial Black"/>
          <w:sz w:val="24"/>
          <w:szCs w:val="24"/>
        </w:rPr>
      </w:pPr>
    </w:p>
    <w:p w14:paraId="10DCC2F9" w14:textId="77777777" w:rsidR="009E2025" w:rsidRDefault="009E2025" w:rsidP="00F326E5">
      <w:pPr>
        <w:pStyle w:val="NoSpacing"/>
        <w:rPr>
          <w:rFonts w:ascii="Arial Black" w:hAnsi="Arial Black"/>
          <w:sz w:val="24"/>
          <w:szCs w:val="24"/>
        </w:rPr>
      </w:pPr>
    </w:p>
    <w:p w14:paraId="61A3913E" w14:textId="77777777" w:rsidR="009E2025" w:rsidRDefault="009E2025" w:rsidP="00F326E5">
      <w:pPr>
        <w:pStyle w:val="NoSpacing"/>
        <w:rPr>
          <w:rFonts w:ascii="Arial Black" w:hAnsi="Arial Black"/>
          <w:sz w:val="24"/>
          <w:szCs w:val="24"/>
        </w:rPr>
      </w:pPr>
    </w:p>
    <w:p w14:paraId="455974B2" w14:textId="2C562CB5" w:rsidR="004B129E" w:rsidRDefault="004B129E" w:rsidP="00F326E5">
      <w:pPr>
        <w:pStyle w:val="NoSpacing"/>
        <w:rPr>
          <w:rFonts w:ascii="Arial Black" w:hAnsi="Arial Black"/>
          <w:sz w:val="24"/>
          <w:szCs w:val="24"/>
        </w:rPr>
      </w:pPr>
      <w:r>
        <w:rPr>
          <w:rFonts w:ascii="Arial Black" w:hAnsi="Arial Black"/>
          <w:sz w:val="24"/>
          <w:szCs w:val="24"/>
        </w:rPr>
        <w:t>17-46</w:t>
      </w:r>
    </w:p>
    <w:p w14:paraId="2504D6D1" w14:textId="77777777" w:rsidR="004B129E" w:rsidRDefault="004B129E" w:rsidP="00F326E5">
      <w:pPr>
        <w:pStyle w:val="NoSpacing"/>
        <w:rPr>
          <w:rFonts w:ascii="Arial Black" w:hAnsi="Arial Black"/>
          <w:sz w:val="24"/>
          <w:szCs w:val="24"/>
        </w:rPr>
      </w:pPr>
    </w:p>
    <w:p w14:paraId="02C54256" w14:textId="77777777" w:rsidR="00884D9E" w:rsidRPr="00FB08AF" w:rsidRDefault="00884D9E" w:rsidP="00884D9E">
      <w:pPr>
        <w:rPr>
          <w:rFonts w:ascii="Times New Roman" w:hAnsi="Times New Roman"/>
          <w:b/>
          <w:sz w:val="24"/>
          <w:szCs w:val="24"/>
        </w:rPr>
      </w:pPr>
      <w:r w:rsidRPr="00FB08AF">
        <w:rPr>
          <w:rFonts w:ascii="Times New Roman" w:hAnsi="Times New Roman"/>
          <w:b/>
          <w:sz w:val="24"/>
          <w:szCs w:val="24"/>
        </w:rPr>
        <w:t>OH: FIRE CHIEF – LT. APPOINTED INTERIM – CIVIL SERVICE EXAM - REPLACED BY A/C WHO SCORED HIGHEST</w:t>
      </w:r>
    </w:p>
    <w:p w14:paraId="648E98CF" w14:textId="77777777" w:rsidR="00884D9E" w:rsidRPr="00FB08AF" w:rsidRDefault="00884D9E" w:rsidP="00884D9E">
      <w:pPr>
        <w:pStyle w:val="NoSpacing"/>
        <w:rPr>
          <w:rFonts w:ascii="Times New Roman" w:hAnsi="Times New Roman"/>
          <w:sz w:val="24"/>
          <w:szCs w:val="24"/>
        </w:rPr>
      </w:pPr>
      <w:r w:rsidRPr="00FB08AF">
        <w:rPr>
          <w:rFonts w:ascii="Times New Roman" w:hAnsi="Times New Roman"/>
          <w:sz w:val="24"/>
          <w:szCs w:val="24"/>
        </w:rPr>
        <w:lastRenderedPageBreak/>
        <w:t xml:space="preserve">On Oct. 31, 2024, in </w:t>
      </w:r>
      <w:r w:rsidRPr="00FB08AF">
        <w:rPr>
          <w:rFonts w:ascii="Times New Roman" w:hAnsi="Times New Roman"/>
          <w:sz w:val="24"/>
          <w:szCs w:val="24"/>
          <w:u w:val="single"/>
        </w:rPr>
        <w:t>The State ex rel. Patrick Johnson v. Mark Higgins</w:t>
      </w:r>
      <w:r w:rsidRPr="00FB08AF">
        <w:rPr>
          <w:rFonts w:ascii="Times New Roman" w:hAnsi="Times New Roman"/>
          <w:sz w:val="24"/>
          <w:szCs w:val="24"/>
        </w:rPr>
        <w:t xml:space="preserve">, the Supreme Court of Ohio held (7 to 0): “Higgins is currently serving as chief of the fire department of the City of Brook Park, a position to which Johnson claims legal entitlement. Johnson seeks a writ ousting Higgins from the position and declaring that Johnson is entitled to the position. We deny the writ.” </w:t>
      </w:r>
      <w:hyperlink r:id="rId2699" w:history="1">
        <w:r w:rsidRPr="00FB08AF">
          <w:rPr>
            <w:rStyle w:val="Hyperlink"/>
            <w:rFonts w:ascii="Times New Roman" w:hAnsi="Times New Roman"/>
            <w:b/>
            <w:sz w:val="24"/>
            <w:szCs w:val="24"/>
          </w:rPr>
          <w:t>https://www.supremecourt.ohio.gov/rod/docs/pdf/0/2024/2024-Ohio-5174.pdf</w:t>
        </w:r>
      </w:hyperlink>
    </w:p>
    <w:p w14:paraId="4D89268D" w14:textId="77777777" w:rsidR="00884D9E" w:rsidRPr="00FB08AF" w:rsidRDefault="00884D9E" w:rsidP="00884D9E">
      <w:pPr>
        <w:pStyle w:val="NoSpacing"/>
        <w:rPr>
          <w:rFonts w:ascii="Times New Roman" w:hAnsi="Times New Roman"/>
          <w:sz w:val="24"/>
          <w:szCs w:val="24"/>
        </w:rPr>
      </w:pPr>
    </w:p>
    <w:p w14:paraId="5FFAC62F" w14:textId="77777777" w:rsidR="00F76365" w:rsidRPr="00FB08AF" w:rsidRDefault="00F76365" w:rsidP="00F76365">
      <w:pPr>
        <w:pStyle w:val="NoSpacing"/>
        <w:rPr>
          <w:rFonts w:ascii="Times New Roman" w:hAnsi="Times New Roman"/>
          <w:b/>
          <w:bCs/>
          <w:sz w:val="24"/>
          <w:szCs w:val="24"/>
        </w:rPr>
      </w:pPr>
      <w:r w:rsidRPr="00FB08AF">
        <w:rPr>
          <w:rFonts w:ascii="Times New Roman" w:hAnsi="Times New Roman"/>
          <w:b/>
          <w:sz w:val="24"/>
          <w:szCs w:val="24"/>
        </w:rPr>
        <w:t>Legal Lesson Learned: Civil Service process was followed</w:t>
      </w:r>
      <w:r w:rsidRPr="00FB08AF">
        <w:rPr>
          <w:rFonts w:ascii="Times New Roman" w:hAnsi="Times New Roman"/>
          <w:b/>
          <w:bCs/>
          <w:sz w:val="24"/>
          <w:szCs w:val="24"/>
        </w:rPr>
        <w:t>.</w:t>
      </w:r>
      <w:r w:rsidRPr="00FB08AF">
        <w:rPr>
          <w:rFonts w:ascii="Times New Roman" w:hAnsi="Times New Roman"/>
          <w:b/>
          <w:sz w:val="24"/>
          <w:szCs w:val="24"/>
        </w:rPr>
        <w:t xml:space="preserve"> </w:t>
      </w:r>
    </w:p>
    <w:p w14:paraId="3291D370" w14:textId="77777777" w:rsidR="00F76365" w:rsidRPr="00FB08AF" w:rsidRDefault="00F76365" w:rsidP="00F76365">
      <w:pPr>
        <w:rPr>
          <w:rFonts w:ascii="Times New Roman" w:hAnsi="Times New Roman"/>
          <w:sz w:val="24"/>
          <w:szCs w:val="24"/>
        </w:rPr>
      </w:pPr>
    </w:p>
    <w:p w14:paraId="02362F25" w14:textId="13DEB49F" w:rsidR="004B129E" w:rsidRDefault="004B129E" w:rsidP="00F326E5">
      <w:pPr>
        <w:pStyle w:val="NoSpacing"/>
        <w:rPr>
          <w:rFonts w:ascii="Arial Black" w:hAnsi="Arial Black"/>
          <w:sz w:val="24"/>
          <w:szCs w:val="24"/>
        </w:rPr>
      </w:pPr>
      <w:r>
        <w:rPr>
          <w:rFonts w:ascii="Arial Black" w:hAnsi="Arial Black"/>
          <w:sz w:val="24"/>
          <w:szCs w:val="24"/>
        </w:rPr>
        <w:t>17-45</w:t>
      </w:r>
    </w:p>
    <w:p w14:paraId="762B200F" w14:textId="77777777" w:rsidR="004B129E" w:rsidRDefault="004B129E" w:rsidP="00F326E5">
      <w:pPr>
        <w:pStyle w:val="NoSpacing"/>
        <w:rPr>
          <w:rFonts w:ascii="Arial Black" w:hAnsi="Arial Black"/>
          <w:sz w:val="24"/>
          <w:szCs w:val="24"/>
        </w:rPr>
      </w:pPr>
    </w:p>
    <w:p w14:paraId="1773B998" w14:textId="77777777" w:rsidR="00FE74F8" w:rsidRPr="009376A9" w:rsidRDefault="00FE74F8" w:rsidP="00FE74F8">
      <w:pPr>
        <w:pStyle w:val="NoSpacing"/>
        <w:rPr>
          <w:rFonts w:ascii="Times New Roman" w:hAnsi="Times New Roman"/>
          <w:b/>
          <w:bCs/>
          <w:sz w:val="24"/>
          <w:szCs w:val="24"/>
        </w:rPr>
      </w:pPr>
      <w:r w:rsidRPr="009376A9">
        <w:rPr>
          <w:rFonts w:ascii="Times New Roman" w:hAnsi="Times New Roman"/>
          <w:b/>
          <w:bCs/>
          <w:sz w:val="24"/>
          <w:szCs w:val="24"/>
        </w:rPr>
        <w:t xml:space="preserve">IL: SHIFT TRADES FOR LT.  – FIRE CHIEF CHANGED 25-YR POLICY – ONLY FF ON PROMOTION LIST - MUST BARGAIN </w:t>
      </w:r>
    </w:p>
    <w:p w14:paraId="26CA52F5" w14:textId="77777777" w:rsidR="009376A9" w:rsidRDefault="009376A9" w:rsidP="00452883">
      <w:pPr>
        <w:pStyle w:val="NoSpacing"/>
        <w:rPr>
          <w:rFonts w:ascii="Times New Roman" w:hAnsi="Times New Roman"/>
          <w:sz w:val="24"/>
          <w:szCs w:val="24"/>
        </w:rPr>
      </w:pPr>
    </w:p>
    <w:p w14:paraId="477FCE96" w14:textId="2C85DF0A" w:rsidR="00452883" w:rsidRPr="009376A9" w:rsidRDefault="00452883" w:rsidP="00452883">
      <w:pPr>
        <w:pStyle w:val="NoSpacing"/>
        <w:rPr>
          <w:rFonts w:ascii="Times New Roman" w:hAnsi="Times New Roman"/>
          <w:bCs/>
          <w:sz w:val="24"/>
          <w:szCs w:val="24"/>
        </w:rPr>
      </w:pPr>
      <w:r w:rsidRPr="009376A9">
        <w:rPr>
          <w:rFonts w:ascii="Times New Roman" w:hAnsi="Times New Roman"/>
          <w:sz w:val="24"/>
          <w:szCs w:val="24"/>
        </w:rPr>
        <w:t xml:space="preserve">On Oct. 28, 2024, in </w:t>
      </w:r>
      <w:r w:rsidRPr="009376A9">
        <w:rPr>
          <w:rFonts w:ascii="Times New Roman" w:hAnsi="Times New Roman"/>
          <w:sz w:val="24"/>
          <w:szCs w:val="24"/>
          <w:u w:val="single"/>
        </w:rPr>
        <w:t>City of Park Ridge v. Illinois Labor Relations Board</w:t>
      </w:r>
      <w:r w:rsidRPr="009376A9">
        <w:rPr>
          <w:rFonts w:ascii="Times New Roman" w:hAnsi="Times New Roman"/>
          <w:sz w:val="24"/>
          <w:szCs w:val="24"/>
        </w:rPr>
        <w:t xml:space="preserve">, the Illinois Appellate Court, First Judicial District, held (3 to 0): “(1) the shift trade qualification policy was a mandatory subject of bargaining; (2) the Union did not waive its right to bargain over the qualifications for shift trades; and (3) the City’s unilateral change of the shift trade qualification policy without giving notice and opportunity to bargain the change violated sections 10(a)(1), 10(a)(4), and 14(l) of the Illinois Public Labor Relations Act since the change occurred during interest arbitration.” </w:t>
      </w:r>
    </w:p>
    <w:p w14:paraId="625F27E4" w14:textId="0D2538F2" w:rsidR="00FB08AF" w:rsidRPr="009376A9" w:rsidRDefault="00452883" w:rsidP="00452883">
      <w:pPr>
        <w:pStyle w:val="NoSpacing"/>
        <w:rPr>
          <w:rStyle w:val="Hyperlink"/>
          <w:rFonts w:ascii="Times New Roman" w:hAnsi="Times New Roman"/>
          <w:sz w:val="24"/>
          <w:szCs w:val="24"/>
        </w:rPr>
      </w:pPr>
      <w:hyperlink r:id="rId2700" w:history="1">
        <w:r w:rsidRPr="009376A9">
          <w:rPr>
            <w:rStyle w:val="Hyperlink"/>
            <w:rFonts w:ascii="Times New Roman" w:hAnsi="Times New Roman"/>
            <w:sz w:val="24"/>
            <w:szCs w:val="24"/>
          </w:rPr>
          <w:t>https://ilcourtsaudio.blob.core.windows.net/antilles-resources/resources/a7e1e4b9-d57b-4bd7-9b5d-a27198847cd7/City%20of%20Park%20Ridge%20v.%20IL%20Labor%20Relations%20Bd%202024%20IL%20App%20(1st)%20221924-U.pdf</w:t>
        </w:r>
      </w:hyperlink>
    </w:p>
    <w:p w14:paraId="2F0AE996" w14:textId="77777777" w:rsidR="009376A9" w:rsidRPr="009376A9" w:rsidRDefault="009376A9" w:rsidP="009376A9">
      <w:pPr>
        <w:pStyle w:val="NoSpacing"/>
        <w:rPr>
          <w:rFonts w:ascii="Times New Roman" w:hAnsi="Times New Roman"/>
          <w:b/>
          <w:sz w:val="24"/>
          <w:szCs w:val="24"/>
        </w:rPr>
      </w:pPr>
    </w:p>
    <w:p w14:paraId="22301176" w14:textId="458DC8F1" w:rsidR="009376A9" w:rsidRPr="009376A9" w:rsidRDefault="009376A9" w:rsidP="009376A9">
      <w:pPr>
        <w:pStyle w:val="NoSpacing"/>
        <w:rPr>
          <w:rFonts w:ascii="Times New Roman" w:hAnsi="Times New Roman"/>
          <w:b/>
          <w:sz w:val="24"/>
          <w:szCs w:val="24"/>
        </w:rPr>
      </w:pPr>
      <w:r w:rsidRPr="009376A9">
        <w:rPr>
          <w:rFonts w:ascii="Times New Roman" w:hAnsi="Times New Roman"/>
          <w:b/>
          <w:sz w:val="24"/>
          <w:szCs w:val="24"/>
        </w:rPr>
        <w:t xml:space="preserve">Legal Lesson Learned: Court held that change in shift trade policy is subject of collective bargaining. </w:t>
      </w:r>
    </w:p>
    <w:p w14:paraId="291A9D95" w14:textId="77777777" w:rsidR="009376A9" w:rsidRDefault="009376A9" w:rsidP="009376A9">
      <w:pPr>
        <w:pStyle w:val="NoSpacing"/>
        <w:ind w:left="720"/>
        <w:rPr>
          <w:bCs/>
        </w:rPr>
      </w:pPr>
    </w:p>
    <w:p w14:paraId="69920754" w14:textId="77777777" w:rsidR="009376A9" w:rsidRDefault="009376A9" w:rsidP="00452883">
      <w:pPr>
        <w:pStyle w:val="NoSpacing"/>
        <w:rPr>
          <w:rFonts w:ascii="Arial Black" w:hAnsi="Arial Black"/>
          <w:sz w:val="24"/>
          <w:szCs w:val="24"/>
        </w:rPr>
      </w:pPr>
    </w:p>
    <w:p w14:paraId="556F09C8" w14:textId="73BB5EA7" w:rsidR="004B129E" w:rsidRDefault="004B129E" w:rsidP="00F326E5">
      <w:pPr>
        <w:pStyle w:val="NoSpacing"/>
        <w:rPr>
          <w:rFonts w:ascii="Arial Black" w:hAnsi="Arial Black"/>
          <w:sz w:val="24"/>
          <w:szCs w:val="24"/>
        </w:rPr>
      </w:pPr>
      <w:r>
        <w:rPr>
          <w:rFonts w:ascii="Arial Black" w:hAnsi="Arial Black"/>
          <w:sz w:val="24"/>
          <w:szCs w:val="24"/>
        </w:rPr>
        <w:t>17-44</w:t>
      </w:r>
    </w:p>
    <w:p w14:paraId="1D92A7EF" w14:textId="77777777" w:rsidR="004B129E" w:rsidRDefault="004B129E" w:rsidP="00F326E5">
      <w:pPr>
        <w:pStyle w:val="NoSpacing"/>
        <w:rPr>
          <w:rFonts w:ascii="Arial Black" w:hAnsi="Arial Black"/>
          <w:sz w:val="24"/>
          <w:szCs w:val="24"/>
        </w:rPr>
      </w:pPr>
    </w:p>
    <w:p w14:paraId="752AC39F" w14:textId="77777777" w:rsidR="00B35974" w:rsidRPr="002F0AF8" w:rsidRDefault="00B35974" w:rsidP="00B35974">
      <w:pPr>
        <w:rPr>
          <w:rFonts w:ascii="Times New Roman" w:hAnsi="Times New Roman"/>
          <w:b/>
          <w:bCs/>
          <w:sz w:val="24"/>
          <w:szCs w:val="24"/>
        </w:rPr>
      </w:pPr>
      <w:r w:rsidRPr="002F0AF8">
        <w:rPr>
          <w:rFonts w:ascii="Times New Roman" w:hAnsi="Times New Roman"/>
          <w:b/>
          <w:bCs/>
          <w:sz w:val="24"/>
          <w:szCs w:val="24"/>
        </w:rPr>
        <w:t>NY: ARBITRATOR HELD FOR 2 UTICA FF - CALLED IN FAMILY EMERGENCIES DAY BEFORE SHIFT – NOT COMP TIME</w:t>
      </w:r>
    </w:p>
    <w:p w14:paraId="139A460E" w14:textId="77777777" w:rsidR="004D3039" w:rsidRPr="002F0AF8" w:rsidRDefault="004D3039" w:rsidP="004D3039">
      <w:pPr>
        <w:pStyle w:val="NoSpacing"/>
        <w:rPr>
          <w:rFonts w:ascii="Times New Roman" w:hAnsi="Times New Roman"/>
          <w:sz w:val="24"/>
          <w:szCs w:val="24"/>
        </w:rPr>
      </w:pPr>
      <w:r w:rsidRPr="002F0AF8">
        <w:rPr>
          <w:rFonts w:ascii="Times New Roman" w:hAnsi="Times New Roman"/>
          <w:sz w:val="24"/>
          <w:szCs w:val="24"/>
        </w:rPr>
        <w:t xml:space="preserve">On Oct. 4, 2024, in </w:t>
      </w:r>
      <w:r w:rsidRPr="002F0AF8">
        <w:rPr>
          <w:rFonts w:ascii="Times New Roman" w:hAnsi="Times New Roman"/>
          <w:sz w:val="24"/>
          <w:szCs w:val="24"/>
          <w:u w:val="single"/>
        </w:rPr>
        <w:t>Matter of Local 32, Intl. Assn. of Fire Fighters, A.F.L.-C.I.O.-C.L.C. (City of Utica</w:t>
      </w:r>
      <w:r w:rsidRPr="002F0AF8">
        <w:rPr>
          <w:rFonts w:ascii="Times New Roman" w:hAnsi="Times New Roman"/>
          <w:sz w:val="24"/>
          <w:szCs w:val="24"/>
        </w:rPr>
        <w:t xml:space="preserve">), the New York Appellate Division, Fourth Department, held (5 to 0): “It is hereby ORDERED that the order insofar as appealed from is unanimously reversed on the law without costs, the petition is granted in its entirety and the arbitration award is confirmed in its entirety. *** The arbitrator determined, inter alia, that the firefighters were entitled to paid emergency leave for the time in question and directed respondent to restore the charged compensatory time.” </w:t>
      </w:r>
      <w:hyperlink r:id="rId2701" w:history="1">
        <w:r w:rsidRPr="002F0AF8">
          <w:rPr>
            <w:rStyle w:val="Hyperlink"/>
            <w:rFonts w:ascii="Times New Roman" w:hAnsi="Times New Roman"/>
            <w:sz w:val="24"/>
            <w:szCs w:val="24"/>
          </w:rPr>
          <w:t>https://law.justia.com/cases/new-york/appellate-division-fourth-department/2024/647-ca-23-01601.html</w:t>
        </w:r>
      </w:hyperlink>
      <w:r w:rsidRPr="002F0AF8">
        <w:rPr>
          <w:rFonts w:ascii="Times New Roman" w:hAnsi="Times New Roman"/>
          <w:sz w:val="24"/>
          <w:szCs w:val="24"/>
        </w:rPr>
        <w:t xml:space="preserve"> </w:t>
      </w:r>
    </w:p>
    <w:p w14:paraId="207E4355" w14:textId="77777777" w:rsidR="004D3039" w:rsidRPr="002F0AF8" w:rsidRDefault="004D3039" w:rsidP="004D3039">
      <w:pPr>
        <w:pStyle w:val="NoSpacing"/>
        <w:rPr>
          <w:rFonts w:ascii="Times New Roman" w:hAnsi="Times New Roman"/>
          <w:bCs/>
          <w:sz w:val="24"/>
          <w:szCs w:val="24"/>
        </w:rPr>
      </w:pPr>
    </w:p>
    <w:p w14:paraId="5D0DEAA3" w14:textId="77777777" w:rsidR="002F0AF8" w:rsidRPr="002F0AF8" w:rsidRDefault="002F0AF8" w:rsidP="002F0AF8">
      <w:pPr>
        <w:pStyle w:val="NoSpacing"/>
        <w:rPr>
          <w:rFonts w:ascii="Times New Roman" w:hAnsi="Times New Roman"/>
          <w:b/>
          <w:bCs/>
          <w:sz w:val="24"/>
          <w:szCs w:val="24"/>
        </w:rPr>
      </w:pPr>
      <w:r w:rsidRPr="002F0AF8">
        <w:rPr>
          <w:rFonts w:ascii="Times New Roman" w:hAnsi="Times New Roman"/>
          <w:b/>
          <w:sz w:val="24"/>
          <w:szCs w:val="24"/>
        </w:rPr>
        <w:t xml:space="preserve">Legal Lesson Learned: Arbitrator decision upheld. </w:t>
      </w:r>
    </w:p>
    <w:p w14:paraId="09469E12" w14:textId="77777777" w:rsidR="00B35974" w:rsidRDefault="00B35974" w:rsidP="00F326E5">
      <w:pPr>
        <w:pStyle w:val="NoSpacing"/>
        <w:rPr>
          <w:rFonts w:ascii="Arial Black" w:hAnsi="Arial Black"/>
          <w:sz w:val="24"/>
          <w:szCs w:val="24"/>
        </w:rPr>
      </w:pPr>
    </w:p>
    <w:p w14:paraId="253BE4C1" w14:textId="77777777" w:rsidR="00B35974" w:rsidRDefault="00B35974" w:rsidP="00F326E5">
      <w:pPr>
        <w:pStyle w:val="NoSpacing"/>
        <w:rPr>
          <w:rFonts w:ascii="Arial Black" w:hAnsi="Arial Black"/>
          <w:sz w:val="24"/>
          <w:szCs w:val="24"/>
        </w:rPr>
      </w:pPr>
    </w:p>
    <w:p w14:paraId="00E7EB28" w14:textId="3AF6B2F3" w:rsidR="004B129E" w:rsidRDefault="004B129E" w:rsidP="00F326E5">
      <w:pPr>
        <w:pStyle w:val="NoSpacing"/>
        <w:rPr>
          <w:rFonts w:ascii="Arial Black" w:hAnsi="Arial Black"/>
          <w:sz w:val="24"/>
          <w:szCs w:val="24"/>
        </w:rPr>
      </w:pPr>
      <w:r>
        <w:rPr>
          <w:rFonts w:ascii="Arial Black" w:hAnsi="Arial Black"/>
          <w:sz w:val="24"/>
          <w:szCs w:val="24"/>
        </w:rPr>
        <w:t>17-43</w:t>
      </w:r>
    </w:p>
    <w:p w14:paraId="77C6AED5" w14:textId="77777777" w:rsidR="004B129E" w:rsidRDefault="004B129E" w:rsidP="00F326E5">
      <w:pPr>
        <w:pStyle w:val="NoSpacing"/>
        <w:rPr>
          <w:rFonts w:ascii="Arial Black" w:hAnsi="Arial Black"/>
          <w:sz w:val="24"/>
          <w:szCs w:val="24"/>
        </w:rPr>
      </w:pPr>
    </w:p>
    <w:p w14:paraId="58C17DCD" w14:textId="77777777" w:rsidR="00925AD0" w:rsidRPr="001668D8" w:rsidRDefault="00925AD0" w:rsidP="00925AD0">
      <w:pPr>
        <w:pStyle w:val="NoSpacing"/>
        <w:rPr>
          <w:rFonts w:ascii="Times New Roman" w:hAnsi="Times New Roman"/>
          <w:b/>
          <w:bCs/>
          <w:sz w:val="24"/>
          <w:szCs w:val="24"/>
        </w:rPr>
      </w:pPr>
      <w:r w:rsidRPr="001668D8">
        <w:rPr>
          <w:rFonts w:ascii="Times New Roman" w:hAnsi="Times New Roman"/>
          <w:b/>
          <w:bCs/>
          <w:sz w:val="24"/>
          <w:szCs w:val="24"/>
        </w:rPr>
        <w:t xml:space="preserve">OH: CLEVELAND FD – PLAN TO PUT CAMERAS ON AMBULANCES – CANCELLED -  MUST BE BARGAINING </w:t>
      </w:r>
    </w:p>
    <w:p w14:paraId="5D623BF5" w14:textId="23F76BA4" w:rsidR="002F0AF8" w:rsidRPr="001668D8" w:rsidRDefault="002F0AF8" w:rsidP="00F326E5">
      <w:pPr>
        <w:pStyle w:val="NoSpacing"/>
        <w:rPr>
          <w:rFonts w:ascii="Times New Roman" w:hAnsi="Times New Roman"/>
          <w:sz w:val="24"/>
          <w:szCs w:val="24"/>
        </w:rPr>
      </w:pPr>
    </w:p>
    <w:p w14:paraId="0326CD13" w14:textId="77777777" w:rsidR="00AF72C9" w:rsidRPr="001668D8" w:rsidRDefault="00AF72C9" w:rsidP="00AF72C9">
      <w:pPr>
        <w:pStyle w:val="NoSpacing"/>
        <w:rPr>
          <w:rFonts w:ascii="Times New Roman" w:hAnsi="Times New Roman"/>
          <w:sz w:val="24"/>
          <w:szCs w:val="24"/>
        </w:rPr>
      </w:pPr>
      <w:r w:rsidRPr="001668D8">
        <w:rPr>
          <w:rFonts w:ascii="Times New Roman" w:hAnsi="Times New Roman"/>
          <w:sz w:val="24"/>
          <w:szCs w:val="24"/>
        </w:rPr>
        <w:t xml:space="preserve">On Oct. 3, 2024, in </w:t>
      </w:r>
      <w:r w:rsidRPr="001668D8">
        <w:rPr>
          <w:rFonts w:ascii="Times New Roman" w:hAnsi="Times New Roman"/>
          <w:sz w:val="24"/>
          <w:szCs w:val="24"/>
          <w:u w:val="single"/>
        </w:rPr>
        <w:t>City of Cleveland v. State Employment Relations Board, et al</w:t>
      </w:r>
      <w:r w:rsidRPr="001668D8">
        <w:rPr>
          <w:rFonts w:ascii="Times New Roman" w:hAnsi="Times New Roman"/>
          <w:sz w:val="24"/>
          <w:szCs w:val="24"/>
        </w:rPr>
        <w:t xml:space="preserve">., the Court of Appeals of Ohio, Eight Appellate District (Cuyahoga County), held (3 to 0): “Plaintiff-appellant City of Cleveland (the </w:t>
      </w:r>
      <w:r w:rsidRPr="001668D8">
        <w:rPr>
          <w:rFonts w:ascii="Times New Roman" w:hAnsi="Times New Roman"/>
          <w:sz w:val="24"/>
          <w:szCs w:val="24"/>
        </w:rPr>
        <w:lastRenderedPageBreak/>
        <w:t>‘City’) appeals the trial court’s judgment affirming the decision of defendant-appellee State Employment Relations Board (the ‘SERB’) in favor of defendant-appellee union Cleveland Association of Rescue Employees (the ‘Union’ or ‘CARE’). The court upheld SERB’s finding that the City violated R.C. 4117.11(A)(5) by refusing to bargain</w:t>
      </w:r>
    </w:p>
    <w:p w14:paraId="029600A9" w14:textId="77777777" w:rsidR="00AF72C9" w:rsidRPr="001668D8" w:rsidRDefault="00AF72C9" w:rsidP="00AF72C9">
      <w:pPr>
        <w:pStyle w:val="NoSpacing"/>
        <w:rPr>
          <w:rFonts w:ascii="Times New Roman" w:hAnsi="Times New Roman"/>
          <w:sz w:val="24"/>
          <w:szCs w:val="24"/>
        </w:rPr>
      </w:pPr>
      <w:r w:rsidRPr="001668D8">
        <w:rPr>
          <w:rFonts w:ascii="Times New Roman" w:hAnsi="Times New Roman"/>
          <w:sz w:val="24"/>
          <w:szCs w:val="24"/>
        </w:rPr>
        <w:t xml:space="preserve">collectively with the Union over the effects of the installation of dashboard audio/visual cameras in the City’s emergency medical </w:t>
      </w:r>
      <w:proofErr w:type="gramStart"/>
      <w:r w:rsidRPr="001668D8">
        <w:rPr>
          <w:rFonts w:ascii="Times New Roman" w:hAnsi="Times New Roman"/>
          <w:sz w:val="24"/>
          <w:szCs w:val="24"/>
        </w:rPr>
        <w:t>service (‘</w:t>
      </w:r>
      <w:proofErr w:type="gramEnd"/>
      <w:r w:rsidRPr="001668D8">
        <w:rPr>
          <w:rFonts w:ascii="Times New Roman" w:hAnsi="Times New Roman"/>
          <w:sz w:val="24"/>
          <w:szCs w:val="24"/>
        </w:rPr>
        <w:t xml:space="preserve">EMS’) </w:t>
      </w:r>
      <w:proofErr w:type="gramStart"/>
      <w:r w:rsidRPr="001668D8">
        <w:rPr>
          <w:rFonts w:ascii="Times New Roman" w:hAnsi="Times New Roman"/>
          <w:sz w:val="24"/>
          <w:szCs w:val="24"/>
        </w:rPr>
        <w:t>vehicles (‘</w:t>
      </w:r>
      <w:proofErr w:type="gramEnd"/>
      <w:r w:rsidRPr="001668D8">
        <w:rPr>
          <w:rFonts w:ascii="Times New Roman" w:hAnsi="Times New Roman"/>
          <w:sz w:val="24"/>
          <w:szCs w:val="24"/>
        </w:rPr>
        <w:t xml:space="preserve">ambulances’). *** For the following reasons, we affirm the trial court’s judgment.”  </w:t>
      </w:r>
    </w:p>
    <w:p w14:paraId="4FA4140F" w14:textId="77777777" w:rsidR="00AF72C9" w:rsidRPr="001668D8" w:rsidRDefault="00AF72C9" w:rsidP="00AF72C9">
      <w:pPr>
        <w:pStyle w:val="NoSpacing"/>
        <w:rPr>
          <w:rFonts w:ascii="Times New Roman" w:hAnsi="Times New Roman"/>
          <w:sz w:val="24"/>
          <w:szCs w:val="24"/>
        </w:rPr>
      </w:pPr>
      <w:hyperlink r:id="rId2702" w:history="1">
        <w:r w:rsidRPr="001668D8">
          <w:rPr>
            <w:rStyle w:val="Hyperlink"/>
            <w:rFonts w:ascii="Times New Roman" w:hAnsi="Times New Roman"/>
            <w:sz w:val="24"/>
            <w:szCs w:val="24"/>
          </w:rPr>
          <w:t>https://www.supremecourt.ohio.gov/rod/docs/pdf/8/2024/2024-Ohio-4787.pdf</w:t>
        </w:r>
      </w:hyperlink>
      <w:r w:rsidRPr="001668D8">
        <w:rPr>
          <w:rFonts w:ascii="Times New Roman" w:hAnsi="Times New Roman"/>
          <w:sz w:val="24"/>
          <w:szCs w:val="24"/>
        </w:rPr>
        <w:t xml:space="preserve"> </w:t>
      </w:r>
    </w:p>
    <w:p w14:paraId="41340168" w14:textId="77777777" w:rsidR="00AF72C9" w:rsidRPr="001668D8" w:rsidRDefault="00AF72C9" w:rsidP="00F326E5">
      <w:pPr>
        <w:pStyle w:val="NoSpacing"/>
        <w:rPr>
          <w:rFonts w:ascii="Times New Roman" w:hAnsi="Times New Roman"/>
          <w:sz w:val="24"/>
          <w:szCs w:val="24"/>
        </w:rPr>
      </w:pPr>
    </w:p>
    <w:p w14:paraId="4C90C5C2" w14:textId="77777777" w:rsidR="00D27807" w:rsidRPr="001668D8" w:rsidRDefault="00D27807" w:rsidP="00D27807">
      <w:pPr>
        <w:pStyle w:val="NoSpacing"/>
        <w:rPr>
          <w:rFonts w:ascii="Times New Roman" w:hAnsi="Times New Roman"/>
          <w:b/>
          <w:bCs/>
          <w:sz w:val="24"/>
          <w:szCs w:val="24"/>
        </w:rPr>
      </w:pPr>
      <w:r w:rsidRPr="001668D8">
        <w:rPr>
          <w:rFonts w:ascii="Times New Roman" w:hAnsi="Times New Roman"/>
          <w:b/>
          <w:sz w:val="24"/>
          <w:szCs w:val="24"/>
        </w:rPr>
        <w:t xml:space="preserve">Legal Lesson Learned: </w:t>
      </w:r>
      <w:r w:rsidRPr="001668D8">
        <w:rPr>
          <w:rFonts w:ascii="Times New Roman" w:hAnsi="Times New Roman"/>
          <w:b/>
          <w:bCs/>
          <w:sz w:val="24"/>
          <w:szCs w:val="24"/>
        </w:rPr>
        <w:t xml:space="preserve">Court held that putting </w:t>
      </w:r>
      <w:r w:rsidRPr="001668D8">
        <w:rPr>
          <w:rFonts w:ascii="Times New Roman" w:hAnsi="Times New Roman"/>
          <w:b/>
          <w:sz w:val="24"/>
          <w:szCs w:val="24"/>
        </w:rPr>
        <w:t>video camera</w:t>
      </w:r>
      <w:r w:rsidRPr="001668D8">
        <w:rPr>
          <w:rFonts w:ascii="Times New Roman" w:hAnsi="Times New Roman"/>
          <w:b/>
          <w:bCs/>
          <w:sz w:val="24"/>
          <w:szCs w:val="24"/>
        </w:rPr>
        <w:t>s</w:t>
      </w:r>
      <w:r w:rsidRPr="001668D8">
        <w:rPr>
          <w:rFonts w:ascii="Times New Roman" w:hAnsi="Times New Roman"/>
          <w:b/>
          <w:sz w:val="24"/>
          <w:szCs w:val="24"/>
        </w:rPr>
        <w:t xml:space="preserve"> in ambulances must be collectively bargained. </w:t>
      </w:r>
    </w:p>
    <w:p w14:paraId="06F6FE91" w14:textId="77777777" w:rsidR="00D27807" w:rsidRPr="001668D8" w:rsidRDefault="00D27807" w:rsidP="00F326E5">
      <w:pPr>
        <w:pStyle w:val="NoSpacing"/>
        <w:rPr>
          <w:rFonts w:ascii="Times New Roman" w:hAnsi="Times New Roman"/>
          <w:sz w:val="24"/>
          <w:szCs w:val="24"/>
        </w:rPr>
      </w:pPr>
    </w:p>
    <w:p w14:paraId="39317A1C" w14:textId="77777777" w:rsidR="002F0AF8" w:rsidRDefault="002F0AF8" w:rsidP="00F326E5">
      <w:pPr>
        <w:pStyle w:val="NoSpacing"/>
        <w:rPr>
          <w:rFonts w:ascii="Arial Black" w:hAnsi="Arial Black"/>
          <w:sz w:val="24"/>
          <w:szCs w:val="24"/>
        </w:rPr>
      </w:pPr>
    </w:p>
    <w:p w14:paraId="7175C004" w14:textId="1CA320E4" w:rsidR="004B129E" w:rsidRDefault="004B129E" w:rsidP="00F326E5">
      <w:pPr>
        <w:pStyle w:val="NoSpacing"/>
        <w:rPr>
          <w:rFonts w:ascii="Arial Black" w:hAnsi="Arial Black"/>
          <w:sz w:val="24"/>
          <w:szCs w:val="24"/>
        </w:rPr>
      </w:pPr>
      <w:r>
        <w:rPr>
          <w:rFonts w:ascii="Arial Black" w:hAnsi="Arial Black"/>
          <w:sz w:val="24"/>
          <w:szCs w:val="24"/>
        </w:rPr>
        <w:t>17-42</w:t>
      </w:r>
    </w:p>
    <w:p w14:paraId="5C6D292F" w14:textId="77777777" w:rsidR="001668D8" w:rsidRDefault="001668D8" w:rsidP="00F326E5">
      <w:pPr>
        <w:pStyle w:val="NoSpacing"/>
        <w:rPr>
          <w:rFonts w:ascii="Arial Black" w:hAnsi="Arial Black"/>
          <w:sz w:val="24"/>
          <w:szCs w:val="24"/>
        </w:rPr>
      </w:pPr>
    </w:p>
    <w:p w14:paraId="61968CB6" w14:textId="5F3677FD" w:rsidR="00D125A2" w:rsidRPr="007B3AE9" w:rsidRDefault="00D125A2" w:rsidP="00D125A2">
      <w:pPr>
        <w:rPr>
          <w:rFonts w:ascii="Times New Roman" w:hAnsi="Times New Roman"/>
          <w:b/>
          <w:bCs/>
          <w:sz w:val="24"/>
          <w:szCs w:val="24"/>
        </w:rPr>
      </w:pPr>
      <w:r w:rsidRPr="007B3AE9">
        <w:rPr>
          <w:rFonts w:ascii="Times New Roman" w:hAnsi="Times New Roman"/>
          <w:b/>
          <w:bCs/>
          <w:sz w:val="24"/>
          <w:szCs w:val="24"/>
        </w:rPr>
        <w:t>IA:  PSO PROGRAM (POLICE &amp; FIRE) - 8 CAREER FF LAYOFF –</w:t>
      </w:r>
      <w:r w:rsidR="007B3AE9" w:rsidRPr="007B3AE9">
        <w:rPr>
          <w:rFonts w:ascii="Times New Roman" w:hAnsi="Times New Roman"/>
          <w:b/>
          <w:bCs/>
          <w:sz w:val="24"/>
          <w:szCs w:val="24"/>
        </w:rPr>
        <w:t xml:space="preserve"> </w:t>
      </w:r>
      <w:r w:rsidRPr="007B3AE9">
        <w:rPr>
          <w:rFonts w:ascii="Times New Roman" w:hAnsi="Times New Roman"/>
          <w:b/>
          <w:bCs/>
          <w:sz w:val="24"/>
          <w:szCs w:val="24"/>
        </w:rPr>
        <w:t xml:space="preserve">UNION ANIMUS – </w:t>
      </w:r>
      <w:r w:rsidR="009073FB" w:rsidRPr="007B3AE9">
        <w:rPr>
          <w:rFonts w:ascii="Times New Roman" w:hAnsi="Times New Roman"/>
          <w:b/>
          <w:bCs/>
          <w:sz w:val="24"/>
          <w:szCs w:val="24"/>
        </w:rPr>
        <w:t xml:space="preserve">CASE REMANDED FOR </w:t>
      </w:r>
      <w:r w:rsidR="00951563" w:rsidRPr="007B3AE9">
        <w:rPr>
          <w:rFonts w:ascii="Times New Roman" w:hAnsi="Times New Roman"/>
          <w:b/>
          <w:bCs/>
          <w:sz w:val="24"/>
          <w:szCs w:val="24"/>
        </w:rPr>
        <w:t>UNION</w:t>
      </w:r>
      <w:r w:rsidR="007B3AE9" w:rsidRPr="007B3AE9">
        <w:rPr>
          <w:rFonts w:ascii="Times New Roman" w:hAnsi="Times New Roman"/>
          <w:b/>
          <w:bCs/>
          <w:sz w:val="24"/>
          <w:szCs w:val="24"/>
        </w:rPr>
        <w:t xml:space="preserve"> REMEDY</w:t>
      </w:r>
    </w:p>
    <w:p w14:paraId="2974B70E" w14:textId="67A11C9F" w:rsidR="001668D8" w:rsidRPr="00951563" w:rsidRDefault="00D125A2" w:rsidP="00D125A2">
      <w:pPr>
        <w:pStyle w:val="NoSpacing"/>
        <w:rPr>
          <w:rStyle w:val="Hyperlink"/>
          <w:rFonts w:ascii="Times New Roman" w:hAnsi="Times New Roman"/>
          <w:sz w:val="24"/>
          <w:szCs w:val="24"/>
        </w:rPr>
      </w:pPr>
      <w:r w:rsidRPr="00951563">
        <w:rPr>
          <w:rFonts w:ascii="Times New Roman" w:hAnsi="Times New Roman"/>
          <w:sz w:val="24"/>
          <w:szCs w:val="24"/>
        </w:rPr>
        <w:t xml:space="preserve">In Oct. 2, 2024, in </w:t>
      </w:r>
      <w:r w:rsidRPr="00951563">
        <w:rPr>
          <w:rFonts w:ascii="Times New Roman" w:hAnsi="Times New Roman"/>
          <w:sz w:val="24"/>
          <w:szCs w:val="24"/>
          <w:u w:val="single"/>
        </w:rPr>
        <w:t>International Association of Fire Fighters, Local 1366 v. City of Cedar Falls</w:t>
      </w:r>
      <w:r w:rsidRPr="00951563">
        <w:rPr>
          <w:rFonts w:ascii="Times New Roman" w:hAnsi="Times New Roman"/>
          <w:sz w:val="24"/>
          <w:szCs w:val="24"/>
        </w:rPr>
        <w:t xml:space="preserve">  </w:t>
      </w:r>
      <w:r w:rsidRPr="00951563">
        <w:rPr>
          <w:rFonts w:ascii="Times New Roman" w:hAnsi="Times New Roman"/>
          <w:sz w:val="24"/>
          <w:szCs w:val="24"/>
          <w:u w:val="single"/>
        </w:rPr>
        <w:t>and the Iowa Public Employment Relations Board</w:t>
      </w:r>
      <w:r w:rsidRPr="00951563">
        <w:rPr>
          <w:rFonts w:ascii="Times New Roman" w:hAnsi="Times New Roman"/>
          <w:sz w:val="24"/>
          <w:szCs w:val="24"/>
        </w:rPr>
        <w:t xml:space="preserve">, where the Court of Appeals of Iowa held: “The International Association of Firefighters, Local 1366 (the Union) filed a prohibited practice complaint against the City of Cedar Falls (the City) after its city council passed a resolution to fully transition to a public safety officer (PSO) program to provide traditional police officer and firefighter services. The passage of the resolution led to eight traditional firefighters represented by the Union being placed on administrative leave pending layoff. *** The agency found ‘overwhelming’ evidence of union animus by the </w:t>
      </w:r>
      <w:proofErr w:type="gramStart"/>
      <w:r w:rsidRPr="00951563">
        <w:rPr>
          <w:rFonts w:ascii="Times New Roman" w:hAnsi="Times New Roman"/>
          <w:sz w:val="24"/>
          <w:szCs w:val="24"/>
        </w:rPr>
        <w:t>City</w:t>
      </w:r>
      <w:proofErr w:type="gramEnd"/>
      <w:r w:rsidRPr="00951563">
        <w:rPr>
          <w:rFonts w:ascii="Times New Roman" w:hAnsi="Times New Roman"/>
          <w:sz w:val="24"/>
          <w:szCs w:val="24"/>
        </w:rPr>
        <w:t xml:space="preserve"> that led to its decision to ‘place the firefighters on administrative leave pending </w:t>
      </w:r>
      <w:proofErr w:type="gramStart"/>
      <w:r w:rsidRPr="00951563">
        <w:rPr>
          <w:rFonts w:ascii="Times New Roman" w:hAnsi="Times New Roman"/>
          <w:sz w:val="24"/>
          <w:szCs w:val="24"/>
        </w:rPr>
        <w:t>layoff’</w:t>
      </w:r>
      <w:proofErr w:type="gramEnd"/>
      <w:r w:rsidRPr="00951563">
        <w:rPr>
          <w:rFonts w:ascii="Times New Roman" w:hAnsi="Times New Roman"/>
          <w:sz w:val="24"/>
          <w:szCs w:val="24"/>
        </w:rPr>
        <w:t xml:space="preserve"> rendering it a prohibited practice. Yet the agency determined the City's decision to lay off the firefighters was not </w:t>
      </w:r>
      <w:proofErr w:type="gramStart"/>
      <w:r w:rsidRPr="00951563">
        <w:rPr>
          <w:rFonts w:ascii="Times New Roman" w:hAnsi="Times New Roman"/>
          <w:sz w:val="24"/>
          <w:szCs w:val="24"/>
        </w:rPr>
        <w:t>a prohibited</w:t>
      </w:r>
      <w:proofErr w:type="gramEnd"/>
      <w:r w:rsidRPr="00951563">
        <w:rPr>
          <w:rFonts w:ascii="Times New Roman" w:hAnsi="Times New Roman"/>
          <w:sz w:val="24"/>
          <w:szCs w:val="24"/>
        </w:rPr>
        <w:t xml:space="preserve"> practice. *** For the reasons set forth above, we hold the agency's decision in its remedy order to deny the Union firefighters' request for damages resulting from the layoff violated </w:t>
      </w:r>
      <w:hyperlink r:id="rId2703" w:history="1">
        <w:r w:rsidRPr="00951563">
          <w:rPr>
            <w:rStyle w:val="Hyperlink"/>
            <w:rFonts w:ascii="Times New Roman" w:hAnsi="Times New Roman"/>
            <w:sz w:val="24"/>
            <w:szCs w:val="24"/>
          </w:rPr>
          <w:t>Iowa Code section 17A.19(10)(i)</w:t>
        </w:r>
      </w:hyperlink>
      <w:r w:rsidRPr="00951563">
        <w:rPr>
          <w:rFonts w:ascii="Times New Roman" w:hAnsi="Times New Roman"/>
          <w:sz w:val="24"/>
          <w:szCs w:val="24"/>
        </w:rPr>
        <w:t xml:space="preserve">. Accordingly, we believe the district court correctly reversed the agency's decision in its remedy order.” </w:t>
      </w:r>
      <w:hyperlink r:id="rId2704" w:history="1">
        <w:r w:rsidRPr="00951563">
          <w:rPr>
            <w:rStyle w:val="Hyperlink"/>
            <w:rFonts w:ascii="Times New Roman" w:hAnsi="Times New Roman"/>
            <w:sz w:val="24"/>
            <w:szCs w:val="24"/>
          </w:rPr>
          <w:t>https://casetext.com/case/intl-assn-of-fire-fighters-local-1366-v-city-of-cedar-falls</w:t>
        </w:r>
      </w:hyperlink>
    </w:p>
    <w:p w14:paraId="56599B81" w14:textId="77777777" w:rsidR="00C115E0" w:rsidRPr="00951563" w:rsidRDefault="00C115E0" w:rsidP="00D125A2">
      <w:pPr>
        <w:pStyle w:val="NoSpacing"/>
        <w:rPr>
          <w:rStyle w:val="Hyperlink"/>
          <w:rFonts w:ascii="Times New Roman" w:hAnsi="Times New Roman"/>
          <w:sz w:val="24"/>
          <w:szCs w:val="24"/>
        </w:rPr>
      </w:pPr>
    </w:p>
    <w:p w14:paraId="62303956" w14:textId="77777777" w:rsidR="00C115E0" w:rsidRPr="00951563" w:rsidRDefault="00C115E0" w:rsidP="00C115E0">
      <w:pPr>
        <w:rPr>
          <w:rFonts w:ascii="Times New Roman" w:hAnsi="Times New Roman"/>
          <w:b/>
          <w:bCs/>
          <w:sz w:val="24"/>
          <w:szCs w:val="24"/>
        </w:rPr>
      </w:pPr>
      <w:r w:rsidRPr="00951563">
        <w:rPr>
          <w:rFonts w:ascii="Times New Roman" w:hAnsi="Times New Roman"/>
          <w:b/>
          <w:sz w:val="24"/>
          <w:szCs w:val="24"/>
        </w:rPr>
        <w:t xml:space="preserve">Legal Lesson Learned: The PERB must now consider an appropriate remedy for the union. </w:t>
      </w:r>
    </w:p>
    <w:p w14:paraId="5437226B" w14:textId="77777777" w:rsidR="00C115E0" w:rsidRDefault="00C115E0" w:rsidP="00D125A2">
      <w:pPr>
        <w:pStyle w:val="NoSpacing"/>
        <w:rPr>
          <w:rFonts w:ascii="Arial Black" w:hAnsi="Arial Black"/>
          <w:sz w:val="24"/>
          <w:szCs w:val="24"/>
        </w:rPr>
      </w:pPr>
    </w:p>
    <w:p w14:paraId="33F2A28A" w14:textId="77777777" w:rsidR="004B129E" w:rsidRDefault="004B129E" w:rsidP="00F326E5">
      <w:pPr>
        <w:pStyle w:val="NoSpacing"/>
        <w:rPr>
          <w:rFonts w:ascii="Arial Black" w:hAnsi="Arial Black"/>
          <w:sz w:val="24"/>
          <w:szCs w:val="24"/>
        </w:rPr>
      </w:pPr>
    </w:p>
    <w:p w14:paraId="5C2ADEC0" w14:textId="4D543E9B" w:rsidR="00F91F9F" w:rsidRDefault="00F51CB3" w:rsidP="00F326E5">
      <w:pPr>
        <w:pStyle w:val="NoSpacing"/>
        <w:rPr>
          <w:rFonts w:ascii="Arial Black" w:hAnsi="Arial Black"/>
          <w:sz w:val="24"/>
          <w:szCs w:val="24"/>
        </w:rPr>
      </w:pPr>
      <w:r>
        <w:rPr>
          <w:rFonts w:ascii="Arial Black" w:hAnsi="Arial Black"/>
          <w:sz w:val="24"/>
          <w:szCs w:val="24"/>
        </w:rPr>
        <w:t>17-41</w:t>
      </w:r>
    </w:p>
    <w:p w14:paraId="338A406B" w14:textId="77777777" w:rsidR="00F51CB3" w:rsidRPr="00FF5CD2" w:rsidRDefault="00F51CB3" w:rsidP="00F51CB3">
      <w:pPr>
        <w:pStyle w:val="NoSpacing"/>
        <w:rPr>
          <w:rFonts w:ascii="Arial Black" w:hAnsi="Arial Black"/>
          <w:b/>
          <w:bCs/>
          <w:sz w:val="28"/>
        </w:rPr>
      </w:pPr>
      <w:r>
        <w:rPr>
          <w:rFonts w:ascii="Arial Black" w:hAnsi="Arial Black"/>
          <w:b/>
          <w:bCs/>
          <w:sz w:val="28"/>
        </w:rPr>
        <w:t xml:space="preserve">OH: CLEVELAND MUST BARGAIN WITH UNION TO HIRE 20 PART-TIME MEDICS – NOT A MANAGEMENT RIGHT </w:t>
      </w:r>
    </w:p>
    <w:p w14:paraId="59D61FF0" w14:textId="77777777" w:rsidR="00F51CB3" w:rsidRDefault="00F51CB3" w:rsidP="00F51CB3">
      <w:pPr>
        <w:pStyle w:val="NoSpacing"/>
        <w:rPr>
          <w:b/>
          <w:bCs/>
          <w:szCs w:val="24"/>
        </w:rPr>
      </w:pPr>
    </w:p>
    <w:p w14:paraId="06941694" w14:textId="77777777" w:rsidR="00F51CB3" w:rsidRPr="00F51CB3" w:rsidRDefault="00F51CB3" w:rsidP="00F51CB3">
      <w:pPr>
        <w:rPr>
          <w:rFonts w:ascii="Times New Roman" w:hAnsi="Times New Roman"/>
          <w:b/>
          <w:bCs/>
          <w:sz w:val="24"/>
          <w:szCs w:val="24"/>
        </w:rPr>
      </w:pPr>
      <w:r w:rsidRPr="00F51CB3">
        <w:rPr>
          <w:rFonts w:ascii="Times New Roman" w:hAnsi="Times New Roman"/>
          <w:sz w:val="24"/>
          <w:szCs w:val="24"/>
        </w:rPr>
        <w:t xml:space="preserve">On August 8, 2024, in </w:t>
      </w:r>
      <w:r w:rsidRPr="00F51CB3">
        <w:rPr>
          <w:rFonts w:ascii="Times New Roman" w:hAnsi="Times New Roman"/>
          <w:sz w:val="24"/>
          <w:szCs w:val="24"/>
          <w:u w:val="single"/>
        </w:rPr>
        <w:t>City of Cleveland v. State Employment Relations Board, et al.</w:t>
      </w:r>
      <w:r w:rsidRPr="00F51CB3">
        <w:rPr>
          <w:rFonts w:ascii="Times New Roman" w:hAnsi="Times New Roman"/>
          <w:sz w:val="24"/>
          <w:szCs w:val="24"/>
        </w:rPr>
        <w:t xml:space="preserve">, the Court of Appeals of Ohio, Eight District (Cuyahoga County) held (3 to 0) that the city has no management right to hire part-time paramedics without bargaining with the Cleveland Association of Rescue Employees, I.L.A, Local 1975 ("CARE").  The city lost before SERB, lost before trial court, and lost on this appeal. The Court wrote: “The issue of whether an employer may reassign bargaining unit work to non-bargaining unit employees has long been held to require negotiation. Because of this, we cannot say the trial court abused its discretion by finding the City's refusal to bargain was not good-faith bargaining. Finally, we cannot say the trial court abused its discretion by finding that the City's actions in approving part-time paramedic positions, posting those positions, </w:t>
      </w:r>
      <w:r w:rsidRPr="00F51CB3">
        <w:rPr>
          <w:rFonts w:ascii="Times New Roman" w:hAnsi="Times New Roman"/>
          <w:sz w:val="24"/>
          <w:szCs w:val="24"/>
        </w:rPr>
        <w:lastRenderedPageBreak/>
        <w:t xml:space="preserve">accepting applications, and not rescinding its plan made the issue ripe for review by SERB.” </w:t>
      </w:r>
      <w:hyperlink r:id="rId2705" w:history="1">
        <w:r w:rsidRPr="00F51CB3">
          <w:rPr>
            <w:rStyle w:val="Hyperlink"/>
            <w:rFonts w:ascii="Times New Roman" w:hAnsi="Times New Roman"/>
            <w:sz w:val="24"/>
            <w:szCs w:val="24"/>
          </w:rPr>
          <w:t>https://www.supremecourt.ohio.gov/rod/docs/pdf/8/2024/2024-Ohio-3018.pdf</w:t>
        </w:r>
      </w:hyperlink>
      <w:r w:rsidRPr="00F51CB3">
        <w:rPr>
          <w:rFonts w:ascii="Times New Roman" w:hAnsi="Times New Roman"/>
          <w:b/>
          <w:bCs/>
          <w:sz w:val="24"/>
          <w:szCs w:val="24"/>
        </w:rPr>
        <w:t xml:space="preserve"> </w:t>
      </w:r>
    </w:p>
    <w:p w14:paraId="7A32DDD1" w14:textId="77777777" w:rsidR="00F51CB3" w:rsidRPr="00F51CB3" w:rsidRDefault="00F51CB3" w:rsidP="00F51CB3">
      <w:pPr>
        <w:pStyle w:val="NoSpacing"/>
        <w:rPr>
          <w:rFonts w:ascii="Times New Roman" w:hAnsi="Times New Roman"/>
          <w:sz w:val="24"/>
          <w:szCs w:val="24"/>
        </w:rPr>
      </w:pPr>
      <w:r w:rsidRPr="00F51CB3">
        <w:rPr>
          <w:rFonts w:ascii="Times New Roman" w:hAnsi="Times New Roman"/>
          <w:sz w:val="24"/>
          <w:szCs w:val="24"/>
        </w:rPr>
        <w:t xml:space="preserve">THE COURT HELD: </w:t>
      </w:r>
    </w:p>
    <w:p w14:paraId="0C7481A8" w14:textId="77777777" w:rsidR="00F51CB3" w:rsidRPr="00F51CB3" w:rsidRDefault="00F51CB3" w:rsidP="00F51CB3">
      <w:pPr>
        <w:pStyle w:val="NoSpacing"/>
        <w:rPr>
          <w:rFonts w:ascii="Times New Roman" w:hAnsi="Times New Roman"/>
          <w:sz w:val="24"/>
          <w:szCs w:val="24"/>
        </w:rPr>
      </w:pPr>
    </w:p>
    <w:p w14:paraId="6C9EBEB4" w14:textId="77777777" w:rsidR="00F51CB3" w:rsidRPr="00F51CB3" w:rsidRDefault="00F51CB3" w:rsidP="00F51CB3">
      <w:pPr>
        <w:pStyle w:val="NoSpacing"/>
        <w:ind w:left="720"/>
        <w:rPr>
          <w:rFonts w:ascii="Times New Roman" w:hAnsi="Times New Roman"/>
          <w:sz w:val="24"/>
          <w:szCs w:val="24"/>
        </w:rPr>
      </w:pPr>
      <w:r w:rsidRPr="00F51CB3">
        <w:rPr>
          <w:rFonts w:ascii="Times New Roman" w:hAnsi="Times New Roman"/>
          <w:sz w:val="24"/>
          <w:szCs w:val="24"/>
        </w:rPr>
        <w:t>“In order for the City to have the ability to reassign work to non-bargaining unit members</w:t>
      </w:r>
      <w:r w:rsidRPr="00F51CB3">
        <w:rPr>
          <w:rFonts w:ascii="Times New Roman" w:hAnsi="Times New Roman"/>
          <w:b/>
          <w:bCs/>
          <w:sz w:val="24"/>
          <w:szCs w:val="24"/>
        </w:rPr>
        <w:t xml:space="preserve"> without</w:t>
      </w:r>
      <w:r w:rsidRPr="00F51CB3">
        <w:rPr>
          <w:rFonts w:ascii="Times New Roman" w:hAnsi="Times New Roman"/>
          <w:sz w:val="24"/>
          <w:szCs w:val="24"/>
        </w:rPr>
        <w:t xml:space="preserve"> negotiating with CARE, there must be a reservation of that right in the CBA or a specific waiver of such right in the CBA. *** </w:t>
      </w:r>
      <w:proofErr w:type="gramStart"/>
      <w:r w:rsidRPr="00F51CB3">
        <w:rPr>
          <w:rFonts w:ascii="Times New Roman" w:hAnsi="Times New Roman"/>
          <w:sz w:val="24"/>
          <w:szCs w:val="24"/>
        </w:rPr>
        <w:t>In order to</w:t>
      </w:r>
      <w:proofErr w:type="gramEnd"/>
      <w:r w:rsidRPr="00F51CB3">
        <w:rPr>
          <w:rFonts w:ascii="Times New Roman" w:hAnsi="Times New Roman"/>
          <w:sz w:val="24"/>
          <w:szCs w:val="24"/>
        </w:rPr>
        <w:t xml:space="preserve"> unilaterally reassign bargaining unit work, the </w:t>
      </w:r>
      <w:proofErr w:type="gramStart"/>
      <w:r w:rsidRPr="00F51CB3">
        <w:rPr>
          <w:rFonts w:ascii="Times New Roman" w:hAnsi="Times New Roman"/>
          <w:sz w:val="24"/>
          <w:szCs w:val="24"/>
        </w:rPr>
        <w:t>City</w:t>
      </w:r>
      <w:proofErr w:type="gramEnd"/>
      <w:r w:rsidRPr="00F51CB3">
        <w:rPr>
          <w:rFonts w:ascii="Times New Roman" w:hAnsi="Times New Roman"/>
          <w:sz w:val="24"/>
          <w:szCs w:val="24"/>
        </w:rPr>
        <w:t xml:space="preserve"> would have to point to a specific waiver by CARE in the CBA. The CBA does provide a waiver on CARE's part as to ‘the exercise of any rights reserved to and retained by it pursuant to either Section 4117.08(C) of the Revised Code or pursuant to this Article of this Agreement.’ The ability to reassign work does not appear in the list of reserved rights under Article 3(</w:t>
      </w:r>
      <w:proofErr w:type="gramStart"/>
      <w:r w:rsidRPr="00F51CB3">
        <w:rPr>
          <w:rFonts w:ascii="Times New Roman" w:hAnsi="Times New Roman"/>
          <w:sz w:val="24"/>
          <w:szCs w:val="24"/>
        </w:rPr>
        <w:t>A)-</w:t>
      </w:r>
      <w:proofErr w:type="gramEnd"/>
      <w:r w:rsidRPr="00F51CB3">
        <w:rPr>
          <w:rFonts w:ascii="Times New Roman" w:hAnsi="Times New Roman"/>
          <w:sz w:val="24"/>
          <w:szCs w:val="24"/>
        </w:rPr>
        <w:t xml:space="preserve">(K), nor does such appear in R.C. 4117.08(C). Further, R.C. 4117.08(C) specifically requires that a public employer negotiate issues that ‘affect wages, hours, terms and conditions of employment, and the continuation, modification, or deletion of an existing provision of a collective bargaining </w:t>
      </w:r>
      <w:proofErr w:type="gramStart"/>
      <w:r w:rsidRPr="00F51CB3">
        <w:rPr>
          <w:rFonts w:ascii="Times New Roman" w:hAnsi="Times New Roman"/>
          <w:sz w:val="24"/>
          <w:szCs w:val="24"/>
        </w:rPr>
        <w:t>agreement..</w:t>
      </w:r>
      <w:proofErr w:type="gramEnd"/>
      <w:r w:rsidRPr="00F51CB3">
        <w:rPr>
          <w:rFonts w:ascii="Times New Roman" w:hAnsi="Times New Roman"/>
          <w:sz w:val="24"/>
          <w:szCs w:val="24"/>
        </w:rPr>
        <w:t>’”</w:t>
      </w:r>
    </w:p>
    <w:p w14:paraId="2106F3D5" w14:textId="77777777" w:rsidR="00F51CB3" w:rsidRPr="00F51CB3" w:rsidRDefault="00F51CB3" w:rsidP="00F51CB3">
      <w:pPr>
        <w:pStyle w:val="NoSpacing"/>
        <w:rPr>
          <w:rFonts w:ascii="Times New Roman" w:hAnsi="Times New Roman"/>
          <w:sz w:val="24"/>
          <w:szCs w:val="24"/>
        </w:rPr>
      </w:pPr>
    </w:p>
    <w:p w14:paraId="064D23AE" w14:textId="77777777" w:rsidR="00F51CB3" w:rsidRDefault="00F51CB3" w:rsidP="00F51CB3">
      <w:pPr>
        <w:jc w:val="center"/>
        <w:rPr>
          <w:b/>
          <w:bCs/>
          <w:szCs w:val="24"/>
        </w:rPr>
      </w:pPr>
    </w:p>
    <w:p w14:paraId="3970B2DB" w14:textId="77777777" w:rsidR="00F51CB3" w:rsidRDefault="00F51CB3" w:rsidP="00F326E5">
      <w:pPr>
        <w:pStyle w:val="NoSpacing"/>
        <w:rPr>
          <w:rFonts w:ascii="Arial Black" w:hAnsi="Arial Black"/>
          <w:sz w:val="24"/>
          <w:szCs w:val="24"/>
        </w:rPr>
      </w:pPr>
    </w:p>
    <w:p w14:paraId="3416F17B" w14:textId="77777777" w:rsidR="00F51CB3" w:rsidRDefault="00F51CB3" w:rsidP="00F326E5">
      <w:pPr>
        <w:pStyle w:val="NoSpacing"/>
        <w:rPr>
          <w:rFonts w:ascii="Arial Black" w:hAnsi="Arial Black"/>
          <w:sz w:val="24"/>
          <w:szCs w:val="24"/>
        </w:rPr>
      </w:pPr>
    </w:p>
    <w:p w14:paraId="3F29C6D6" w14:textId="77777777" w:rsidR="00F51CB3" w:rsidRDefault="00F51CB3" w:rsidP="00F326E5">
      <w:pPr>
        <w:pStyle w:val="NoSpacing"/>
        <w:rPr>
          <w:rFonts w:ascii="Arial Black" w:hAnsi="Arial Black"/>
          <w:sz w:val="24"/>
          <w:szCs w:val="24"/>
        </w:rPr>
      </w:pPr>
    </w:p>
    <w:p w14:paraId="51FEF0FA" w14:textId="6F3AD5D2" w:rsidR="006428AD" w:rsidRDefault="006428AD" w:rsidP="00F326E5">
      <w:pPr>
        <w:pStyle w:val="NoSpacing"/>
        <w:rPr>
          <w:rFonts w:ascii="Arial Black" w:hAnsi="Arial Black"/>
          <w:sz w:val="24"/>
          <w:szCs w:val="24"/>
        </w:rPr>
      </w:pPr>
      <w:r>
        <w:rPr>
          <w:rFonts w:ascii="Arial Black" w:hAnsi="Arial Black"/>
          <w:sz w:val="24"/>
          <w:szCs w:val="24"/>
        </w:rPr>
        <w:t>17-40</w:t>
      </w:r>
    </w:p>
    <w:p w14:paraId="17F89F76" w14:textId="77777777" w:rsidR="006068BE" w:rsidRDefault="006068BE" w:rsidP="006068BE">
      <w:pPr>
        <w:pStyle w:val="NormalWeb"/>
        <w:rPr>
          <w:rFonts w:ascii="Arial Black" w:hAnsi="Arial Black"/>
          <w:sz w:val="28"/>
          <w:szCs w:val="28"/>
        </w:rPr>
      </w:pPr>
      <w:r>
        <w:rPr>
          <w:rFonts w:ascii="Arial Black" w:hAnsi="Arial Black"/>
          <w:sz w:val="28"/>
          <w:szCs w:val="28"/>
        </w:rPr>
        <w:t>TX: IAFF UNION PRES. FIRED – FOR NOT DISCLOSING PRIOR AUSTIN FD JOB – “BALANCING TEST” – CASE PROCEED</w:t>
      </w:r>
    </w:p>
    <w:p w14:paraId="380A1F59" w14:textId="77777777" w:rsidR="006068BE" w:rsidRDefault="006068BE" w:rsidP="006068BE">
      <w:pPr>
        <w:pStyle w:val="NormalWeb"/>
      </w:pPr>
      <w:r>
        <w:t xml:space="preserve">On May 3, 2024, in </w:t>
      </w:r>
      <w:r w:rsidRPr="009F2444">
        <w:rPr>
          <w:u w:val="single"/>
        </w:rPr>
        <w:t>Michael Teague v. Travis County Emergency Services District 8 and Troy Wenzel</w:t>
      </w:r>
      <w:r>
        <w:t xml:space="preserve">, United State Magistrate Judge Susan Hightower issued a Report and Recommendation the U.S. District Court deny the defendants’ motion to dismiss.  Teague was hired as firefighter in Oct. 2020, and elected President of Local 4820 in Oct. 2022, and served as President until fired in </w:t>
      </w:r>
      <w:proofErr w:type="gramStart"/>
      <w:r>
        <w:t>March,</w:t>
      </w:r>
      <w:proofErr w:type="gramEnd"/>
      <w:r>
        <w:t xml:space="preserve"> 2023. Teague alleges ESD 8 stated in a March 20, </w:t>
      </w:r>
      <w:proofErr w:type="gramStart"/>
      <w:r>
        <w:t>2023</w:t>
      </w:r>
      <w:proofErr w:type="gramEnd"/>
      <w:r>
        <w:t xml:space="preserve"> letter that his employment was terminated because he “falsified” his job application by failing to list his employment with the Austin Fire Department. The Magistrate Judge wrote:  </w:t>
      </w:r>
    </w:p>
    <w:p w14:paraId="77617CFC" w14:textId="77777777" w:rsidR="006068BE" w:rsidRDefault="006068BE" w:rsidP="006068BE">
      <w:pPr>
        <w:pStyle w:val="NormalWeb"/>
        <w:ind w:left="720"/>
      </w:pPr>
      <w:r>
        <w:t xml:space="preserve">“Teague alleges that in his role as Local 4820 President, he repeatedly spoke up about matters of public concern affecting ESD 8 fire fighters in public settings from October 2022 through March 2023. </w:t>
      </w:r>
      <w:proofErr w:type="spellStart"/>
      <w:r>
        <w:t>Dkt</w:t>
      </w:r>
      <w:proofErr w:type="spellEnd"/>
      <w:r>
        <w:t xml:space="preserve">. 10 ¶ 26. He that Defendants were aware of his association with the union and his speech activities. </w:t>
      </w:r>
      <w:r>
        <w:rPr>
          <w:rStyle w:val="Emphasis"/>
          <w:rFonts w:eastAsiaTheme="majorEastAsia"/>
        </w:rPr>
        <w:t>Id.</w:t>
      </w:r>
      <w:r>
        <w:t xml:space="preserve"> ¶ 58. Teague also alleges that he was retaliated against and ultimately terminated for engaging in such speech. </w:t>
      </w:r>
      <w:r>
        <w:rPr>
          <w:rStyle w:val="Emphasis"/>
          <w:rFonts w:eastAsiaTheme="majorEastAsia"/>
        </w:rPr>
        <w:t>Id.</w:t>
      </w:r>
      <w:r>
        <w:t xml:space="preserve"> ¶¶ 34, 36. The Court finds that Teague's allegations and the close timing between his speech activities and his termination are sufficient to show a causal connection at this stage of the proceedings. </w:t>
      </w:r>
      <w:r>
        <w:rPr>
          <w:rStyle w:val="Emphasis"/>
          <w:rFonts w:eastAsiaTheme="majorEastAsia"/>
        </w:rPr>
        <w:t>See Benfield v. Magee</w:t>
      </w:r>
      <w:r>
        <w:t xml:space="preserve">, 945 F.3d 333, 337 (5th Cir. 2019) (‘Close timing between an employee's protected activity and an adverse action against him may provide the causal connection required to make out a prima facie retaliation case.’); </w:t>
      </w:r>
      <w:r>
        <w:rPr>
          <w:rStyle w:val="Emphasis"/>
          <w:rFonts w:eastAsiaTheme="majorEastAsia"/>
        </w:rPr>
        <w:t>Burnside,</w:t>
      </w:r>
      <w:r>
        <w:t xml:space="preserve"> 773 F.3d at 628 (allegations that employee was transferred three weeks after engaging in speech activities were sufficient to allow a plausible inference of a causal connection); </w:t>
      </w:r>
      <w:r>
        <w:rPr>
          <w:rStyle w:val="Emphasis"/>
          <w:rFonts w:eastAsiaTheme="majorEastAsia"/>
        </w:rPr>
        <w:t>Evans v. City of Houston</w:t>
      </w:r>
      <w:r>
        <w:t xml:space="preserve">, 246 F.3d 344, 354 (5th Cir. 2001) (noting that ‘a time lapse of up to four months has been found sufficient to satisfy the causal connection). </w:t>
      </w:r>
    </w:p>
    <w:p w14:paraId="7204BFB6" w14:textId="77777777" w:rsidR="006068BE" w:rsidRDefault="006068BE" w:rsidP="006068BE">
      <w:pPr>
        <w:pStyle w:val="NormalWeb"/>
        <w:ind w:left="720"/>
      </w:pPr>
      <w:r>
        <w:t xml:space="preserve">The Court finds that Teague has alleged sufficient facts to state a plausible </w:t>
      </w:r>
      <w:r>
        <w:rPr>
          <w:rStyle w:val="Emphasis"/>
          <w:rFonts w:eastAsiaTheme="majorEastAsia"/>
        </w:rPr>
        <w:t>prima facie</w:t>
      </w:r>
      <w:r>
        <w:t xml:space="preserve"> case of First Amendment free speech/petition retaliation.” </w:t>
      </w:r>
      <w:hyperlink r:id="rId2706" w:history="1">
        <w:r w:rsidRPr="00FA0156">
          <w:rPr>
            <w:rStyle w:val="Hyperlink"/>
          </w:rPr>
          <w:t>https://casetext.com/case/teague-v-travis-cnty-emergency-servs-dist</w:t>
        </w:r>
      </w:hyperlink>
      <w:r>
        <w:t xml:space="preserve"> </w:t>
      </w:r>
    </w:p>
    <w:p w14:paraId="2582AEDA" w14:textId="77777777" w:rsidR="0085092C" w:rsidRPr="000743CA" w:rsidRDefault="0085092C" w:rsidP="0085092C">
      <w:pPr>
        <w:pStyle w:val="NormalWeb"/>
        <w:rPr>
          <w:b/>
          <w:bCs/>
        </w:rPr>
      </w:pPr>
      <w:r>
        <w:rPr>
          <w:b/>
          <w:bCs/>
        </w:rPr>
        <w:lastRenderedPageBreak/>
        <w:t xml:space="preserve">Legal Lesson Learned:  The lawsuit will now proceed with pre-trial discovery/ </w:t>
      </w:r>
    </w:p>
    <w:p w14:paraId="217AAC93" w14:textId="77777777" w:rsidR="0085092C" w:rsidRDefault="0085092C" w:rsidP="0085092C">
      <w:pPr>
        <w:pStyle w:val="NormalWeb"/>
        <w:spacing w:before="0" w:beforeAutospacing="0"/>
        <w:ind w:left="720"/>
        <w:rPr>
          <w:b/>
          <w:bCs/>
          <w:color w:val="454545"/>
          <w:shd w:val="clear" w:color="auto" w:fill="FFFFFF"/>
        </w:rPr>
      </w:pPr>
      <w:r w:rsidRPr="00E43324">
        <w:rPr>
          <w:color w:val="454545"/>
          <w:shd w:val="clear" w:color="auto" w:fill="FFFFFF"/>
        </w:rPr>
        <w:t>Note:</w:t>
      </w:r>
      <w:r>
        <w:rPr>
          <w:b/>
          <w:bCs/>
          <w:color w:val="454545"/>
          <w:shd w:val="clear" w:color="auto" w:fill="FFFFFF"/>
        </w:rPr>
        <w:t xml:space="preserve"> </w:t>
      </w:r>
      <w:r w:rsidRPr="00E43324">
        <w:rPr>
          <w:color w:val="454545"/>
          <w:shd w:val="clear" w:color="auto" w:fill="FFFFFF"/>
        </w:rPr>
        <w:t>The Magistrate discussed the “balancing test.</w:t>
      </w:r>
      <w:r>
        <w:rPr>
          <w:color w:val="454545"/>
          <w:shd w:val="clear" w:color="auto" w:fill="FFFFFF"/>
        </w:rPr>
        <w:t>”</w:t>
      </w:r>
      <w:r>
        <w:rPr>
          <w:b/>
          <w:bCs/>
          <w:color w:val="454545"/>
          <w:shd w:val="clear" w:color="auto" w:fill="FFFFFF"/>
        </w:rPr>
        <w:t xml:space="preserve">  </w:t>
      </w:r>
    </w:p>
    <w:p w14:paraId="7A3B52E6" w14:textId="77777777" w:rsidR="0085092C" w:rsidRDefault="0085092C" w:rsidP="0085092C">
      <w:pPr>
        <w:pStyle w:val="NormalWeb"/>
        <w:spacing w:before="0" w:beforeAutospacing="0"/>
        <w:ind w:left="1440"/>
      </w:pPr>
      <w:r>
        <w:t xml:space="preserve">“In </w:t>
      </w:r>
      <w:r>
        <w:rPr>
          <w:rStyle w:val="Emphasis"/>
          <w:rFonts w:eastAsiaTheme="majorEastAsia"/>
        </w:rPr>
        <w:t>Pickering v. Bd. of Ed. of Twp. High Sch. Dist. 205, Will Cnty.</w:t>
      </w:r>
      <w:r>
        <w:t xml:space="preserve">, 391 U.S. 563 (1968), the Court laid the framework for analyzing ‘whether the employee's interest or the government's interest should prevail in cases where the government seeks to curtail the speech of its employees.’ </w:t>
      </w:r>
      <w:r>
        <w:rPr>
          <w:rStyle w:val="Emphasis"/>
          <w:rFonts w:eastAsiaTheme="majorEastAsia"/>
        </w:rPr>
        <w:t>Lane</w:t>
      </w:r>
      <w:r>
        <w:t>, 573 U.S. at 236. This balancing test requires’“</w:t>
      </w:r>
      <w:proofErr w:type="spellStart"/>
      <w:r>
        <w:t>balanc</w:t>
      </w:r>
      <w:proofErr w:type="spellEnd"/>
      <w:r>
        <w:t>[</w:t>
      </w:r>
      <w:proofErr w:type="spellStart"/>
      <w:r>
        <w:t>ing</w:t>
      </w:r>
      <w:proofErr w:type="spellEnd"/>
      <w:r>
        <w:t xml:space="preserve">] . . . the interests of the [public employee], as a citizen, in commenting upon matters of public concern and the interest of the State, as an employer, in promoting the efficiency of the public services it performs through its employees.’ </w:t>
      </w:r>
      <w:r>
        <w:rPr>
          <w:rStyle w:val="Emphasis"/>
          <w:rFonts w:eastAsiaTheme="majorEastAsia"/>
        </w:rPr>
        <w:t>Pickering</w:t>
      </w:r>
      <w:r>
        <w:t>, 391 U.S. at 568. This is known as the “</w:t>
      </w:r>
      <w:r>
        <w:rPr>
          <w:rStyle w:val="Emphasis"/>
          <w:rFonts w:eastAsiaTheme="majorEastAsia"/>
        </w:rPr>
        <w:t>Pickering</w:t>
      </w:r>
      <w:r>
        <w:t xml:space="preserve"> balancing test.” </w:t>
      </w:r>
      <w:r>
        <w:rPr>
          <w:rStyle w:val="Emphasis"/>
          <w:rFonts w:eastAsiaTheme="majorEastAsia"/>
        </w:rPr>
        <w:t xml:space="preserve">Bd. of </w:t>
      </w:r>
      <w:proofErr w:type="spellStart"/>
      <w:r>
        <w:rPr>
          <w:rStyle w:val="Emphasis"/>
          <w:rFonts w:eastAsiaTheme="majorEastAsia"/>
        </w:rPr>
        <w:t>Cnty</w:t>
      </w:r>
      <w:proofErr w:type="spellEnd"/>
      <w:r>
        <w:rPr>
          <w:rStyle w:val="Emphasis"/>
          <w:rFonts w:eastAsiaTheme="majorEastAsia"/>
        </w:rPr>
        <w:t xml:space="preserve">. Comm'rs, Wabaunsee </w:t>
      </w:r>
      <w:proofErr w:type="spellStart"/>
      <w:r>
        <w:rPr>
          <w:rStyle w:val="Emphasis"/>
          <w:rFonts w:eastAsiaTheme="majorEastAsia"/>
        </w:rPr>
        <w:t>Cnty</w:t>
      </w:r>
      <w:proofErr w:type="spellEnd"/>
      <w:r>
        <w:rPr>
          <w:rStyle w:val="Emphasis"/>
          <w:rFonts w:eastAsiaTheme="majorEastAsia"/>
        </w:rPr>
        <w:t>., Kan. v. Umbehr</w:t>
      </w:r>
      <w:r>
        <w:t xml:space="preserve">, 518 U.S. 668, 668 (1996). In </w:t>
      </w:r>
      <w:r>
        <w:rPr>
          <w:rStyle w:val="Emphasis"/>
          <w:rFonts w:eastAsiaTheme="majorEastAsia"/>
        </w:rPr>
        <w:t>Pickering</w:t>
      </w:r>
      <w:r>
        <w:t xml:space="preserve">, the Court struck the balance in favor of the public employee, extending First Amendment protection to a teacher who was fired after writing a letter to the editor of a local newspaper criticizing the school board that employed him. </w:t>
      </w:r>
      <w:r>
        <w:rPr>
          <w:rStyle w:val="Emphasis"/>
          <w:rFonts w:eastAsiaTheme="majorEastAsia"/>
        </w:rPr>
        <w:t>Id.</w:t>
      </w:r>
      <w:r>
        <w:t xml:space="preserve"> at 573.”</w:t>
      </w:r>
    </w:p>
    <w:p w14:paraId="1163C8BE" w14:textId="77777777" w:rsidR="006428AD" w:rsidRDefault="006428AD" w:rsidP="00F326E5">
      <w:pPr>
        <w:pStyle w:val="NoSpacing"/>
        <w:rPr>
          <w:rFonts w:ascii="Arial Black" w:hAnsi="Arial Black"/>
          <w:sz w:val="24"/>
          <w:szCs w:val="24"/>
        </w:rPr>
      </w:pPr>
    </w:p>
    <w:p w14:paraId="1D45BDF5" w14:textId="77777777" w:rsidR="006428AD" w:rsidRDefault="006428AD" w:rsidP="00F326E5">
      <w:pPr>
        <w:pStyle w:val="NoSpacing"/>
        <w:rPr>
          <w:rFonts w:ascii="Arial Black" w:hAnsi="Arial Black"/>
          <w:sz w:val="24"/>
          <w:szCs w:val="24"/>
        </w:rPr>
      </w:pPr>
    </w:p>
    <w:p w14:paraId="4C5F040B" w14:textId="3C6F84C8" w:rsidR="00F91F9F" w:rsidRDefault="00026281" w:rsidP="00F326E5">
      <w:pPr>
        <w:pStyle w:val="NoSpacing"/>
        <w:rPr>
          <w:rFonts w:ascii="Arial Black" w:hAnsi="Arial Black"/>
          <w:sz w:val="24"/>
          <w:szCs w:val="24"/>
        </w:rPr>
      </w:pPr>
      <w:r>
        <w:rPr>
          <w:rFonts w:ascii="Arial Black" w:hAnsi="Arial Black"/>
          <w:sz w:val="24"/>
          <w:szCs w:val="24"/>
        </w:rPr>
        <w:t>17-39</w:t>
      </w:r>
    </w:p>
    <w:p w14:paraId="3D0A1195" w14:textId="77777777" w:rsidR="00026281" w:rsidRDefault="00026281" w:rsidP="00F326E5">
      <w:pPr>
        <w:pStyle w:val="NoSpacing"/>
        <w:rPr>
          <w:rFonts w:ascii="Arial Black" w:hAnsi="Arial Black"/>
          <w:sz w:val="24"/>
          <w:szCs w:val="24"/>
        </w:rPr>
      </w:pPr>
    </w:p>
    <w:p w14:paraId="552A4CFA" w14:textId="77777777" w:rsidR="00026281" w:rsidRDefault="00026281" w:rsidP="00026281">
      <w:pPr>
        <w:pStyle w:val="NormalWeb"/>
        <w:spacing w:before="0" w:beforeAutospacing="0"/>
        <w:rPr>
          <w:rFonts w:ascii="Arial Black" w:hAnsi="Arial Black"/>
          <w:sz w:val="28"/>
          <w:szCs w:val="28"/>
        </w:rPr>
      </w:pPr>
      <w:r>
        <w:rPr>
          <w:rFonts w:ascii="Arial Black" w:hAnsi="Arial Black"/>
          <w:sz w:val="28"/>
          <w:szCs w:val="28"/>
        </w:rPr>
        <w:t>OH: CITY ELIMINATED 3 BC – ORDERED TO REINSTATE - GRIEVANCE DELAY – ARBITRATOR DECIDE IF FILED TIMELY</w:t>
      </w:r>
    </w:p>
    <w:p w14:paraId="52D7F234" w14:textId="77777777" w:rsidR="00026281" w:rsidRDefault="00026281" w:rsidP="00026281">
      <w:pPr>
        <w:pStyle w:val="NormalWeb"/>
        <w:spacing w:before="0" w:beforeAutospacing="0"/>
      </w:pPr>
      <w:r>
        <w:t xml:space="preserve">On March 13, 2024, in </w:t>
      </w:r>
      <w:r w:rsidRPr="00BC4EF0">
        <w:rPr>
          <w:u w:val="single"/>
        </w:rPr>
        <w:t>Youngstown Professional Firefighters, IAFF Local 312 v. City of Youngstown</w:t>
      </w:r>
      <w:r>
        <w:t xml:space="preserve">, the Ohio Court of Appeals for Seventh District held (3 to 0) that City cannot refuse to arbitrate because they believe the Grievance was not filed within 14-days; the union says it is a continuing violation of CBA, and the arbitrator can decide this procedural issue.  The parties have been in litigation for five years over Battalion Chief positions.  In September 2019 the City decided to eliminate three Battalion Chief positions through attrition, and union filed charges with State Employment Relations Board that this was in retaliation for union pushing city to upgrade their radios.  The Board ordered City to reinstate those three positions, and in Dec. 2021, the Court of Appeals for the Seventh District agreed with the union and the Board. Two Captains have since been promoted to Battalion Chief (March 2022 and February 2023), but third Battalion Chief position has never been filed since 2021 retirement of Chief Caggiano.  </w:t>
      </w:r>
    </w:p>
    <w:p w14:paraId="60637A20" w14:textId="77777777" w:rsidR="004305B6" w:rsidRPr="004C0299" w:rsidRDefault="004305B6" w:rsidP="004305B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6D0B057" w14:textId="77777777" w:rsidR="004D2264" w:rsidRDefault="004D2264" w:rsidP="00026281">
      <w:pPr>
        <w:pStyle w:val="NormalWeb"/>
        <w:spacing w:before="0" w:beforeAutospacing="0"/>
        <w:ind w:left="720"/>
      </w:pPr>
    </w:p>
    <w:p w14:paraId="4173977F" w14:textId="030A2240" w:rsidR="00026281" w:rsidRDefault="00026281" w:rsidP="00026281">
      <w:pPr>
        <w:pStyle w:val="NormalWeb"/>
        <w:spacing w:before="0" w:beforeAutospacing="0"/>
        <w:ind w:left="720"/>
      </w:pPr>
      <w:r>
        <w:t>“The grievance at issue in this appeal, Grievance 22-007, asserts ‘the City's refusal to reinstate Battalion Chief positions, violating a [State Employment Relations Board Unfair Labor Practice] decision and other court rulings, has resulted in violations of the CBA, safety concerns and compensation denied to our members since December 2019. (Grievance 22-007, p. 1.) The grievance further asserts the City has ‘yet to acknowledge another vacancy in the rank of Battalion Chief created on 6/5/2021 by the retirement of [Battalion Chief] Sil Caggiano.’</w:t>
      </w:r>
    </w:p>
    <w:p w14:paraId="0A87BE7A" w14:textId="77777777" w:rsidR="00026281" w:rsidRDefault="00026281" w:rsidP="00026281">
      <w:pPr>
        <w:pStyle w:val="NormalWeb"/>
        <w:spacing w:before="0" w:beforeAutospacing="0"/>
        <w:ind w:left="720"/>
      </w:pPr>
      <w:r>
        <w:t>***</w:t>
      </w:r>
    </w:p>
    <w:p w14:paraId="14A311E9" w14:textId="77777777" w:rsidR="00026281" w:rsidRDefault="00026281" w:rsidP="00026281">
      <w:pPr>
        <w:pStyle w:val="NormalWeb"/>
        <w:spacing w:before="0" w:beforeAutospacing="0"/>
        <w:ind w:left="720"/>
      </w:pPr>
      <w:r>
        <w:t xml:space="preserve">For the foregoing reasons, we find the timeliness of </w:t>
      </w:r>
      <w:proofErr w:type="gramStart"/>
      <w:r>
        <w:t>the grievance</w:t>
      </w:r>
      <w:proofErr w:type="gramEnd"/>
      <w:r>
        <w:t xml:space="preserve"> is a procedural issue, which requires an interpretation of the CBA, and must be determined by the arbitrator. </w:t>
      </w:r>
      <w:proofErr w:type="gramStart"/>
      <w:r>
        <w:t>As a consequence</w:t>
      </w:r>
      <w:proofErr w:type="gramEnd"/>
      <w:r>
        <w:t xml:space="preserve">, the City's assignments of error have no merit and the judgment entry of the trial court sustaining the complaint to </w:t>
      </w:r>
      <w:r>
        <w:lastRenderedPageBreak/>
        <w:t xml:space="preserve">compel arbitration is affirmed.” </w:t>
      </w:r>
      <w:hyperlink r:id="rId2707" w:history="1">
        <w:r w:rsidRPr="00AA5DF9">
          <w:rPr>
            <w:rStyle w:val="Hyperlink"/>
          </w:rPr>
          <w:t>https://casetext.com/case/youngstown-profl-firefighters-iaff-local-312-v-city-of-youngstown</w:t>
        </w:r>
      </w:hyperlink>
      <w:r>
        <w:t xml:space="preserve"> </w:t>
      </w:r>
    </w:p>
    <w:p w14:paraId="7E9D565F" w14:textId="77777777" w:rsidR="00026281" w:rsidRDefault="00026281" w:rsidP="00026281">
      <w:pPr>
        <w:spacing w:after="100" w:line="240" w:lineRule="auto"/>
        <w:ind w:left="720"/>
        <w:rPr>
          <w:rFonts w:ascii="Times New Roman" w:hAnsi="Times New Roman"/>
          <w:sz w:val="24"/>
          <w:szCs w:val="24"/>
        </w:rPr>
      </w:pPr>
    </w:p>
    <w:p w14:paraId="7507819B" w14:textId="77777777" w:rsidR="00026281" w:rsidRPr="006015DE" w:rsidRDefault="00026281" w:rsidP="00026281">
      <w:pPr>
        <w:spacing w:after="100" w:line="240" w:lineRule="auto"/>
        <w:rPr>
          <w:rFonts w:ascii="Times New Roman" w:eastAsia="Times New Roman" w:hAnsi="Times New Roman"/>
          <w:b/>
          <w:bCs/>
          <w:sz w:val="24"/>
          <w:szCs w:val="24"/>
        </w:rPr>
      </w:pPr>
      <w:r w:rsidRPr="007B7A20">
        <w:rPr>
          <w:rFonts w:ascii="Times New Roman" w:hAnsi="Times New Roman"/>
          <w:b/>
          <w:bCs/>
          <w:sz w:val="24"/>
          <w:szCs w:val="24"/>
        </w:rPr>
        <w:t>Legal Lesson Learned:</w:t>
      </w:r>
      <w:r>
        <w:rPr>
          <w:rFonts w:ascii="Times New Roman" w:hAnsi="Times New Roman"/>
          <w:b/>
          <w:bCs/>
          <w:sz w:val="24"/>
          <w:szCs w:val="24"/>
        </w:rPr>
        <w:t xml:space="preserve"> Arbitrators can decide the timeliness of a grievance. </w:t>
      </w:r>
    </w:p>
    <w:p w14:paraId="3C0412B7" w14:textId="77777777" w:rsidR="00026281" w:rsidRPr="007B7A20" w:rsidRDefault="00026281" w:rsidP="00026281">
      <w:pPr>
        <w:pStyle w:val="NoSpacing"/>
        <w:rPr>
          <w:rFonts w:ascii="Times New Roman" w:hAnsi="Times New Roman"/>
          <w:b/>
          <w:bCs/>
          <w:sz w:val="24"/>
          <w:szCs w:val="24"/>
        </w:rPr>
      </w:pPr>
    </w:p>
    <w:p w14:paraId="034ED69E" w14:textId="77777777" w:rsidR="00026281" w:rsidRPr="004A34D8" w:rsidRDefault="00026281" w:rsidP="00026281">
      <w:pPr>
        <w:pStyle w:val="NoSpacing"/>
        <w:ind w:left="720"/>
        <w:rPr>
          <w:rFonts w:ascii="Times New Roman" w:hAnsi="Times New Roman"/>
          <w:sz w:val="24"/>
          <w:szCs w:val="24"/>
        </w:rPr>
      </w:pPr>
      <w:r>
        <w:rPr>
          <w:rFonts w:ascii="Times New Roman" w:hAnsi="Times New Roman"/>
          <w:sz w:val="24"/>
          <w:szCs w:val="24"/>
        </w:rPr>
        <w:t>Note: See M</w:t>
      </w:r>
      <w:r w:rsidRPr="004A34D8">
        <w:rPr>
          <w:rFonts w:ascii="Times New Roman" w:hAnsi="Times New Roman"/>
          <w:sz w:val="24"/>
          <w:szCs w:val="24"/>
        </w:rPr>
        <w:t xml:space="preserve">arch 16, </w:t>
      </w:r>
      <w:proofErr w:type="gramStart"/>
      <w:r w:rsidRPr="004A34D8">
        <w:rPr>
          <w:rFonts w:ascii="Times New Roman" w:hAnsi="Times New Roman"/>
          <w:sz w:val="24"/>
          <w:szCs w:val="24"/>
        </w:rPr>
        <w:t>2024</w:t>
      </w:r>
      <w:proofErr w:type="gramEnd"/>
      <w:r w:rsidRPr="004A34D8">
        <w:rPr>
          <w:rFonts w:ascii="Times New Roman" w:hAnsi="Times New Roman"/>
          <w:sz w:val="24"/>
          <w:szCs w:val="24"/>
        </w:rPr>
        <w:t xml:space="preserve"> article, “City’s request to dismiss fire union case falters.” </w:t>
      </w:r>
      <w:hyperlink r:id="rId2708" w:history="1">
        <w:r w:rsidRPr="00AA5DF9">
          <w:rPr>
            <w:rStyle w:val="Hyperlink"/>
            <w:rFonts w:ascii="Times New Roman" w:hAnsi="Times New Roman"/>
            <w:sz w:val="24"/>
            <w:szCs w:val="24"/>
          </w:rPr>
          <w:t>https://www.vindy.com/news/local-news/2024/03/citys-request-to-dismiss-fire-union-case-falters/</w:t>
        </w:r>
      </w:hyperlink>
      <w:r w:rsidRPr="004A34D8">
        <w:rPr>
          <w:rFonts w:ascii="Times New Roman" w:hAnsi="Times New Roman"/>
          <w:sz w:val="24"/>
          <w:szCs w:val="24"/>
        </w:rPr>
        <w:t xml:space="preserve"> </w:t>
      </w:r>
    </w:p>
    <w:p w14:paraId="028C209A" w14:textId="77777777" w:rsidR="00026281" w:rsidRDefault="00026281" w:rsidP="00026281">
      <w:pPr>
        <w:pStyle w:val="NormalWeb"/>
        <w:ind w:left="720"/>
      </w:pPr>
      <w:r>
        <w:t>“This issue was the latest in a series of arguments between the two sides on battalion chief positions with the union continuously winning court cases.”</w:t>
      </w:r>
    </w:p>
    <w:p w14:paraId="3852A254" w14:textId="77777777" w:rsidR="00026281" w:rsidRDefault="00026281" w:rsidP="00F326E5">
      <w:pPr>
        <w:pStyle w:val="NoSpacing"/>
        <w:rPr>
          <w:rFonts w:ascii="Arial Black" w:hAnsi="Arial Black"/>
          <w:sz w:val="24"/>
          <w:szCs w:val="24"/>
        </w:rPr>
      </w:pPr>
    </w:p>
    <w:p w14:paraId="31460E7B" w14:textId="77777777" w:rsidR="00F91F9F" w:rsidRDefault="00F91F9F" w:rsidP="00F326E5">
      <w:pPr>
        <w:pStyle w:val="NoSpacing"/>
        <w:rPr>
          <w:rFonts w:ascii="Arial Black" w:hAnsi="Arial Black"/>
          <w:sz w:val="24"/>
          <w:szCs w:val="24"/>
        </w:rPr>
      </w:pPr>
    </w:p>
    <w:p w14:paraId="58C60AEE" w14:textId="742B0404" w:rsidR="004E344B" w:rsidRDefault="007D66BE" w:rsidP="00F326E5">
      <w:pPr>
        <w:pStyle w:val="NoSpacing"/>
        <w:rPr>
          <w:rFonts w:ascii="Arial Black" w:hAnsi="Arial Black"/>
          <w:sz w:val="24"/>
          <w:szCs w:val="24"/>
        </w:rPr>
      </w:pPr>
      <w:r>
        <w:rPr>
          <w:rFonts w:ascii="Arial Black" w:hAnsi="Arial Black"/>
          <w:sz w:val="24"/>
          <w:szCs w:val="24"/>
        </w:rPr>
        <w:t>17-38</w:t>
      </w:r>
    </w:p>
    <w:p w14:paraId="5B581454" w14:textId="77777777" w:rsidR="006D0326" w:rsidRDefault="006D0326" w:rsidP="006D0326">
      <w:pPr>
        <w:pStyle w:val="NormalWeb"/>
      </w:pPr>
      <w:r>
        <w:rPr>
          <w:rFonts w:ascii="Arial Black" w:hAnsi="Arial Black"/>
          <w:sz w:val="28"/>
          <w:szCs w:val="28"/>
        </w:rPr>
        <w:t xml:space="preserve">CT: AMR – CUT SHIFTS DURING COVID – UNION REQ. CALL DATA – CASE BACK TO NLRB – CBA HAS “DISASTER” PROV. </w:t>
      </w:r>
    </w:p>
    <w:p w14:paraId="5D10C357" w14:textId="77777777" w:rsidR="006D0326" w:rsidRPr="00213A36" w:rsidRDefault="006D0326" w:rsidP="006D0326">
      <w:pPr>
        <w:pStyle w:val="NormalWeb"/>
      </w:pPr>
      <w:r>
        <w:t xml:space="preserve">On Feb. 16, 2024, in </w:t>
      </w:r>
      <w:r w:rsidRPr="00213A36">
        <w:rPr>
          <w:u w:val="single"/>
        </w:rPr>
        <w:t>American Response of Connecticut, Inc. v. National Labor Relations Board</w:t>
      </w:r>
      <w:r>
        <w:t xml:space="preserve">, the U.S. Court of Appeals for the District of Columbia, held (3 to 0) that the NLRB must rehear AMR’s defense that the “Local Disaster” provision in collective bargaining agreement excused company from providing call data and other information to union. </w:t>
      </w:r>
    </w:p>
    <w:p w14:paraId="6722BEDD" w14:textId="77777777" w:rsidR="006D0326" w:rsidRDefault="006D0326" w:rsidP="006D0326">
      <w:pPr>
        <w:pStyle w:val="NormalWeb"/>
      </w:pPr>
      <w:r>
        <w:t>The Court held:</w:t>
      </w:r>
    </w:p>
    <w:p w14:paraId="3B011175" w14:textId="77777777" w:rsidR="006D0326" w:rsidRDefault="006D0326" w:rsidP="006D0326">
      <w:pPr>
        <w:pStyle w:val="NoSpacing"/>
        <w:ind w:left="720"/>
        <w:rPr>
          <w:rFonts w:ascii="Times New Roman" w:hAnsi="Times New Roman"/>
          <w:sz w:val="24"/>
          <w:szCs w:val="24"/>
        </w:rPr>
      </w:pPr>
      <w:r>
        <w:rPr>
          <w:rFonts w:ascii="Times New Roman" w:hAnsi="Times New Roman"/>
          <w:sz w:val="24"/>
          <w:szCs w:val="24"/>
        </w:rPr>
        <w:t>“</w:t>
      </w:r>
      <w:r w:rsidRPr="003B7CA1">
        <w:rPr>
          <w:rFonts w:ascii="Times New Roman" w:hAnsi="Times New Roman"/>
          <w:sz w:val="24"/>
          <w:szCs w:val="24"/>
        </w:rPr>
        <w:t>We do not</w:t>
      </w:r>
      <w:r>
        <w:rPr>
          <w:rFonts w:ascii="Times New Roman" w:hAnsi="Times New Roman"/>
          <w:sz w:val="24"/>
          <w:szCs w:val="24"/>
        </w:rPr>
        <w:t xml:space="preserve"> </w:t>
      </w:r>
      <w:r w:rsidRPr="003B7CA1">
        <w:rPr>
          <w:rFonts w:ascii="Times New Roman" w:hAnsi="Times New Roman"/>
          <w:sz w:val="24"/>
          <w:szCs w:val="24"/>
        </w:rPr>
        <w:t>decide whether § 23.03 excused AMR, either directly or</w:t>
      </w:r>
      <w:r>
        <w:rPr>
          <w:rFonts w:ascii="Times New Roman" w:hAnsi="Times New Roman"/>
          <w:sz w:val="24"/>
          <w:szCs w:val="24"/>
        </w:rPr>
        <w:t xml:space="preserve"> </w:t>
      </w:r>
      <w:r w:rsidRPr="003B7CA1">
        <w:rPr>
          <w:rFonts w:ascii="Times New Roman" w:hAnsi="Times New Roman"/>
          <w:sz w:val="24"/>
          <w:szCs w:val="24"/>
        </w:rPr>
        <w:t>indirectly, from the obligation to respond to these information</w:t>
      </w:r>
      <w:r>
        <w:rPr>
          <w:rFonts w:ascii="Times New Roman" w:hAnsi="Times New Roman"/>
          <w:sz w:val="24"/>
          <w:szCs w:val="24"/>
        </w:rPr>
        <w:t xml:space="preserve"> </w:t>
      </w:r>
      <w:r w:rsidRPr="003B7CA1">
        <w:rPr>
          <w:rFonts w:ascii="Times New Roman" w:hAnsi="Times New Roman"/>
          <w:sz w:val="24"/>
          <w:szCs w:val="24"/>
        </w:rPr>
        <w:t>requests. Because these interpretive issues were not fully</w:t>
      </w:r>
      <w:r>
        <w:rPr>
          <w:rFonts w:ascii="Times New Roman" w:hAnsi="Times New Roman"/>
          <w:sz w:val="24"/>
          <w:szCs w:val="24"/>
        </w:rPr>
        <w:t xml:space="preserve"> </w:t>
      </w:r>
      <w:r w:rsidRPr="003B7CA1">
        <w:rPr>
          <w:rFonts w:ascii="Times New Roman" w:hAnsi="Times New Roman"/>
          <w:sz w:val="24"/>
          <w:szCs w:val="24"/>
        </w:rPr>
        <w:t xml:space="preserve">briefed, we vacate the order and </w:t>
      </w:r>
      <w:proofErr w:type="gramStart"/>
      <w:r w:rsidRPr="003B7CA1">
        <w:rPr>
          <w:rFonts w:ascii="Times New Roman" w:hAnsi="Times New Roman"/>
          <w:sz w:val="24"/>
          <w:szCs w:val="24"/>
        </w:rPr>
        <w:t>remand</w:t>
      </w:r>
      <w:proofErr w:type="gramEnd"/>
      <w:r w:rsidRPr="003B7CA1">
        <w:rPr>
          <w:rFonts w:ascii="Times New Roman" w:hAnsi="Times New Roman"/>
          <w:sz w:val="24"/>
          <w:szCs w:val="24"/>
        </w:rPr>
        <w:t xml:space="preserve"> for the Board to</w:t>
      </w:r>
      <w:r>
        <w:rPr>
          <w:rFonts w:ascii="Times New Roman" w:hAnsi="Times New Roman"/>
          <w:sz w:val="24"/>
          <w:szCs w:val="24"/>
        </w:rPr>
        <w:t xml:space="preserve"> </w:t>
      </w:r>
      <w:r w:rsidRPr="003B7CA1">
        <w:rPr>
          <w:rFonts w:ascii="Times New Roman" w:hAnsi="Times New Roman"/>
          <w:sz w:val="24"/>
          <w:szCs w:val="24"/>
        </w:rPr>
        <w:t>consider these issues in the first instance. The Board should</w:t>
      </w:r>
      <w:r>
        <w:rPr>
          <w:rFonts w:ascii="Times New Roman" w:hAnsi="Times New Roman"/>
          <w:sz w:val="24"/>
          <w:szCs w:val="24"/>
        </w:rPr>
        <w:t xml:space="preserve"> </w:t>
      </w:r>
      <w:r w:rsidRPr="003B7CA1">
        <w:rPr>
          <w:rFonts w:ascii="Times New Roman" w:hAnsi="Times New Roman"/>
          <w:sz w:val="24"/>
          <w:szCs w:val="24"/>
        </w:rPr>
        <w:t>also consider whether AMR forfeited or failed to exhaust this</w:t>
      </w:r>
      <w:r>
        <w:rPr>
          <w:rFonts w:ascii="Times New Roman" w:hAnsi="Times New Roman"/>
          <w:sz w:val="24"/>
          <w:szCs w:val="24"/>
        </w:rPr>
        <w:t xml:space="preserve"> </w:t>
      </w:r>
      <w:r w:rsidRPr="003B7CA1">
        <w:rPr>
          <w:rFonts w:ascii="Times New Roman" w:hAnsi="Times New Roman"/>
          <w:sz w:val="24"/>
          <w:szCs w:val="24"/>
        </w:rPr>
        <w:t>defense with respect to any of the information requests. As</w:t>
      </w:r>
      <w:r>
        <w:rPr>
          <w:rFonts w:ascii="Times New Roman" w:hAnsi="Times New Roman"/>
          <w:sz w:val="24"/>
          <w:szCs w:val="24"/>
        </w:rPr>
        <w:t xml:space="preserve"> </w:t>
      </w:r>
      <w:r w:rsidRPr="003B7CA1">
        <w:rPr>
          <w:rFonts w:ascii="Times New Roman" w:hAnsi="Times New Roman"/>
          <w:sz w:val="24"/>
          <w:szCs w:val="24"/>
        </w:rPr>
        <w:t xml:space="preserve">resolution of this threshold contractual issue may </w:t>
      </w:r>
      <w:proofErr w:type="gramStart"/>
      <w:r w:rsidRPr="003B7CA1">
        <w:rPr>
          <w:rFonts w:ascii="Times New Roman" w:hAnsi="Times New Roman"/>
          <w:sz w:val="24"/>
          <w:szCs w:val="24"/>
        </w:rPr>
        <w:t>impact</w:t>
      </w:r>
      <w:proofErr w:type="gramEnd"/>
      <w:r w:rsidRPr="003B7CA1">
        <w:rPr>
          <w:rFonts w:ascii="Times New Roman" w:hAnsi="Times New Roman"/>
          <w:sz w:val="24"/>
          <w:szCs w:val="24"/>
        </w:rPr>
        <w:t xml:space="preserve"> the</w:t>
      </w:r>
      <w:r>
        <w:rPr>
          <w:rFonts w:ascii="Times New Roman" w:hAnsi="Times New Roman"/>
          <w:sz w:val="24"/>
          <w:szCs w:val="24"/>
        </w:rPr>
        <w:t xml:space="preserve"> </w:t>
      </w:r>
      <w:r w:rsidRPr="003B7CA1">
        <w:rPr>
          <w:rFonts w:ascii="Times New Roman" w:hAnsi="Times New Roman"/>
          <w:sz w:val="24"/>
          <w:szCs w:val="24"/>
        </w:rPr>
        <w:t>other issues presented, we do not consider them here.</w:t>
      </w:r>
      <w:r>
        <w:rPr>
          <w:rFonts w:ascii="Times New Roman" w:hAnsi="Times New Roman"/>
          <w:sz w:val="24"/>
          <w:szCs w:val="24"/>
        </w:rPr>
        <w:t xml:space="preserve"> </w:t>
      </w:r>
      <w:r w:rsidRPr="003F32C1">
        <w:rPr>
          <w:rFonts w:ascii="Times New Roman" w:hAnsi="Times New Roman"/>
          <w:sz w:val="24"/>
          <w:szCs w:val="24"/>
        </w:rPr>
        <w:t>We address only</w:t>
      </w:r>
      <w:r>
        <w:rPr>
          <w:rFonts w:ascii="Times New Roman" w:hAnsi="Times New Roman"/>
          <w:sz w:val="24"/>
          <w:szCs w:val="24"/>
        </w:rPr>
        <w:t xml:space="preserve"> </w:t>
      </w:r>
      <w:r w:rsidRPr="003F32C1">
        <w:rPr>
          <w:rFonts w:ascii="Times New Roman" w:hAnsi="Times New Roman"/>
          <w:sz w:val="24"/>
          <w:szCs w:val="24"/>
        </w:rPr>
        <w:t>one of those defenses, namely that the Union, through the</w:t>
      </w:r>
      <w:r>
        <w:rPr>
          <w:rFonts w:ascii="Times New Roman" w:hAnsi="Times New Roman"/>
          <w:sz w:val="24"/>
          <w:szCs w:val="24"/>
        </w:rPr>
        <w:t xml:space="preserve"> </w:t>
      </w:r>
      <w:r w:rsidRPr="003F32C1">
        <w:rPr>
          <w:rFonts w:ascii="Times New Roman" w:hAnsi="Times New Roman"/>
          <w:sz w:val="24"/>
          <w:szCs w:val="24"/>
        </w:rPr>
        <w:t xml:space="preserve">collective bargaining </w:t>
      </w:r>
      <w:proofErr w:type="gramStart"/>
      <w:r w:rsidRPr="003F32C1">
        <w:rPr>
          <w:rFonts w:ascii="Times New Roman" w:hAnsi="Times New Roman"/>
          <w:sz w:val="24"/>
          <w:szCs w:val="24"/>
        </w:rPr>
        <w:t xml:space="preserve">agreement, </w:t>
      </w:r>
      <w:r>
        <w:rPr>
          <w:rFonts w:ascii="Times New Roman" w:hAnsi="Times New Roman"/>
          <w:sz w:val="24"/>
          <w:szCs w:val="24"/>
        </w:rPr>
        <w:t>‘</w:t>
      </w:r>
      <w:proofErr w:type="gramEnd"/>
      <w:r w:rsidRPr="003F32C1">
        <w:rPr>
          <w:rFonts w:ascii="Times New Roman" w:hAnsi="Times New Roman"/>
          <w:sz w:val="24"/>
          <w:szCs w:val="24"/>
        </w:rPr>
        <w:t>waived any rights to the</w:t>
      </w:r>
      <w:r>
        <w:rPr>
          <w:rFonts w:ascii="Times New Roman" w:hAnsi="Times New Roman"/>
          <w:sz w:val="24"/>
          <w:szCs w:val="24"/>
        </w:rPr>
        <w:t xml:space="preserve"> </w:t>
      </w:r>
      <w:r w:rsidRPr="003F32C1">
        <w:rPr>
          <w:rFonts w:ascii="Times New Roman" w:hAnsi="Times New Roman"/>
          <w:sz w:val="24"/>
          <w:szCs w:val="24"/>
        </w:rPr>
        <w:t>requested information.</w:t>
      </w:r>
      <w:r>
        <w:rPr>
          <w:rFonts w:ascii="Times New Roman" w:hAnsi="Times New Roman"/>
          <w:sz w:val="24"/>
          <w:szCs w:val="24"/>
        </w:rPr>
        <w:t>’</w:t>
      </w:r>
    </w:p>
    <w:p w14:paraId="330781EF" w14:textId="77777777" w:rsidR="006D0326" w:rsidRDefault="006D0326" w:rsidP="006D0326">
      <w:pPr>
        <w:pStyle w:val="NoSpacing"/>
        <w:ind w:left="720"/>
        <w:rPr>
          <w:rFonts w:ascii="Times New Roman" w:hAnsi="Times New Roman"/>
          <w:sz w:val="24"/>
          <w:szCs w:val="24"/>
        </w:rPr>
      </w:pPr>
    </w:p>
    <w:p w14:paraId="42106BCA" w14:textId="77777777" w:rsidR="006D0326" w:rsidRDefault="006D0326" w:rsidP="006D0326">
      <w:pPr>
        <w:pStyle w:val="NoSpacing"/>
        <w:ind w:left="720"/>
        <w:rPr>
          <w:rFonts w:ascii="Times New Roman" w:hAnsi="Times New Roman"/>
          <w:sz w:val="24"/>
          <w:szCs w:val="24"/>
        </w:rPr>
      </w:pPr>
      <w:r>
        <w:rPr>
          <w:rFonts w:ascii="Times New Roman" w:hAnsi="Times New Roman"/>
          <w:sz w:val="24"/>
          <w:szCs w:val="24"/>
        </w:rPr>
        <w:t>***</w:t>
      </w:r>
    </w:p>
    <w:p w14:paraId="0B04068B" w14:textId="77777777" w:rsidR="006D0326" w:rsidRPr="001242C8" w:rsidRDefault="006D0326" w:rsidP="006D0326">
      <w:pPr>
        <w:pStyle w:val="NoSpacing"/>
        <w:ind w:left="720"/>
        <w:rPr>
          <w:rFonts w:ascii="Times New Roman" w:hAnsi="Times New Roman"/>
          <w:sz w:val="24"/>
          <w:szCs w:val="24"/>
        </w:rPr>
      </w:pPr>
      <w:r w:rsidRPr="001242C8">
        <w:rPr>
          <w:rFonts w:ascii="Times New Roman" w:hAnsi="Times New Roman"/>
          <w:sz w:val="24"/>
          <w:szCs w:val="24"/>
        </w:rPr>
        <w:t>The Board here concluded that it was unnecessary to</w:t>
      </w:r>
      <w:r>
        <w:rPr>
          <w:rFonts w:ascii="Times New Roman" w:hAnsi="Times New Roman"/>
          <w:sz w:val="24"/>
          <w:szCs w:val="24"/>
        </w:rPr>
        <w:t xml:space="preserve"> </w:t>
      </w:r>
      <w:r w:rsidRPr="001242C8">
        <w:rPr>
          <w:rFonts w:ascii="Times New Roman" w:hAnsi="Times New Roman"/>
          <w:sz w:val="24"/>
          <w:szCs w:val="24"/>
        </w:rPr>
        <w:t>consider AMR’s contractual defense before determining that</w:t>
      </w:r>
      <w:r>
        <w:rPr>
          <w:rFonts w:ascii="Times New Roman" w:hAnsi="Times New Roman"/>
          <w:sz w:val="24"/>
          <w:szCs w:val="24"/>
        </w:rPr>
        <w:t xml:space="preserve"> </w:t>
      </w:r>
      <w:r w:rsidRPr="001242C8">
        <w:rPr>
          <w:rFonts w:ascii="Times New Roman" w:hAnsi="Times New Roman"/>
          <w:sz w:val="24"/>
          <w:szCs w:val="24"/>
        </w:rPr>
        <w:t>AMR’s refusal to provide information constituted a statutory</w:t>
      </w:r>
    </w:p>
    <w:p w14:paraId="347BB406" w14:textId="77777777" w:rsidR="006D0326" w:rsidRDefault="006D0326" w:rsidP="006D0326">
      <w:pPr>
        <w:pStyle w:val="NoSpacing"/>
        <w:ind w:left="720"/>
        <w:rPr>
          <w:rFonts w:ascii="Times New Roman" w:hAnsi="Times New Roman"/>
          <w:sz w:val="24"/>
          <w:szCs w:val="24"/>
        </w:rPr>
      </w:pPr>
      <w:r w:rsidRPr="001242C8">
        <w:rPr>
          <w:rFonts w:ascii="Times New Roman" w:hAnsi="Times New Roman"/>
          <w:sz w:val="24"/>
          <w:szCs w:val="24"/>
        </w:rPr>
        <w:t>failure to bargain. In addition to violating the NLRA’s</w:t>
      </w:r>
      <w:r>
        <w:rPr>
          <w:rFonts w:ascii="Times New Roman" w:hAnsi="Times New Roman"/>
          <w:sz w:val="24"/>
          <w:szCs w:val="24"/>
        </w:rPr>
        <w:t xml:space="preserve"> </w:t>
      </w:r>
      <w:r w:rsidRPr="001242C8">
        <w:rPr>
          <w:rFonts w:ascii="Times New Roman" w:hAnsi="Times New Roman"/>
          <w:sz w:val="24"/>
          <w:szCs w:val="24"/>
        </w:rPr>
        <w:t xml:space="preserve">requirement that the Board enforce </w:t>
      </w:r>
      <w:proofErr w:type="gramStart"/>
      <w:r w:rsidRPr="001242C8">
        <w:rPr>
          <w:rFonts w:ascii="Times New Roman" w:hAnsi="Times New Roman"/>
          <w:sz w:val="24"/>
          <w:szCs w:val="24"/>
        </w:rPr>
        <w:t>contracts,</w:t>
      </w:r>
      <w:proofErr w:type="gramEnd"/>
      <w:r w:rsidRPr="001242C8">
        <w:rPr>
          <w:rFonts w:ascii="Times New Roman" w:hAnsi="Times New Roman"/>
          <w:sz w:val="24"/>
          <w:szCs w:val="24"/>
        </w:rPr>
        <w:t xml:space="preserve"> this approach</w:t>
      </w:r>
      <w:r>
        <w:rPr>
          <w:rFonts w:ascii="Times New Roman" w:hAnsi="Times New Roman"/>
          <w:sz w:val="24"/>
          <w:szCs w:val="24"/>
        </w:rPr>
        <w:t xml:space="preserve"> </w:t>
      </w:r>
      <w:r w:rsidRPr="001242C8">
        <w:rPr>
          <w:rFonts w:ascii="Times New Roman" w:hAnsi="Times New Roman"/>
          <w:sz w:val="24"/>
          <w:szCs w:val="24"/>
        </w:rPr>
        <w:t xml:space="preserve">breaks with longstanding Board </w:t>
      </w:r>
      <w:proofErr w:type="gramStart"/>
      <w:r w:rsidRPr="001242C8">
        <w:rPr>
          <w:rFonts w:ascii="Times New Roman" w:hAnsi="Times New Roman"/>
          <w:sz w:val="24"/>
          <w:szCs w:val="24"/>
        </w:rPr>
        <w:t>precedent.</w:t>
      </w:r>
      <w:r>
        <w:rPr>
          <w:rFonts w:ascii="Times New Roman" w:hAnsi="Times New Roman"/>
          <w:sz w:val="24"/>
          <w:szCs w:val="24"/>
        </w:rPr>
        <w:t>”</w:t>
      </w:r>
      <w:proofErr w:type="gramEnd"/>
    </w:p>
    <w:p w14:paraId="08B6267F" w14:textId="77777777" w:rsidR="006D0326" w:rsidRDefault="006D0326" w:rsidP="006D0326">
      <w:pPr>
        <w:pStyle w:val="NoSpacing"/>
        <w:ind w:left="720"/>
        <w:rPr>
          <w:rFonts w:ascii="Times New Roman" w:hAnsi="Times New Roman"/>
          <w:sz w:val="24"/>
          <w:szCs w:val="24"/>
        </w:rPr>
      </w:pPr>
      <w:hyperlink r:id="rId2709" w:history="1">
        <w:r w:rsidRPr="00E007C4">
          <w:rPr>
            <w:rStyle w:val="Hyperlink"/>
            <w:rFonts w:ascii="Times New Roman" w:hAnsi="Times New Roman"/>
            <w:sz w:val="24"/>
            <w:szCs w:val="24"/>
          </w:rPr>
          <w:t>https://www.cadc.uscourts.gov/internet/opinions.nsf/AF29B804749163DE85258AC500547458/$file/22-1261-2040755.pdf</w:t>
        </w:r>
      </w:hyperlink>
      <w:r>
        <w:rPr>
          <w:rFonts w:ascii="Times New Roman" w:hAnsi="Times New Roman"/>
          <w:sz w:val="24"/>
          <w:szCs w:val="24"/>
        </w:rPr>
        <w:t xml:space="preserve"> </w:t>
      </w:r>
    </w:p>
    <w:p w14:paraId="4EEF8138" w14:textId="77777777" w:rsidR="006D0326" w:rsidRDefault="006D0326" w:rsidP="006D0326">
      <w:pPr>
        <w:pStyle w:val="NoSpacing"/>
        <w:ind w:left="720"/>
        <w:rPr>
          <w:rFonts w:ascii="Times New Roman" w:hAnsi="Times New Roman"/>
          <w:sz w:val="24"/>
          <w:szCs w:val="24"/>
        </w:rPr>
      </w:pPr>
    </w:p>
    <w:p w14:paraId="5E70B0CC" w14:textId="3344CE3B" w:rsidR="006D0326" w:rsidRPr="00815DDD" w:rsidRDefault="006D0326" w:rsidP="006D0326">
      <w:pPr>
        <w:pStyle w:val="NoSpacing"/>
        <w:ind w:left="720"/>
        <w:rPr>
          <w:rFonts w:ascii="Times New Roman" w:hAnsi="Times New Roman"/>
          <w:sz w:val="24"/>
          <w:szCs w:val="24"/>
        </w:rPr>
      </w:pPr>
      <w:r w:rsidRPr="00815DDD">
        <w:rPr>
          <w:rFonts w:ascii="Times New Roman" w:hAnsi="Times New Roman"/>
          <w:sz w:val="24"/>
          <w:szCs w:val="24"/>
        </w:rPr>
        <w:t>.</w:t>
      </w:r>
      <w:r>
        <w:rPr>
          <w:rFonts w:ascii="Times New Roman" w:hAnsi="Times New Roman"/>
          <w:sz w:val="24"/>
          <w:szCs w:val="24"/>
        </w:rPr>
        <w:t>”</w:t>
      </w:r>
    </w:p>
    <w:p w14:paraId="243B76A0" w14:textId="77777777" w:rsidR="006D0326" w:rsidRDefault="006D0326" w:rsidP="006D0326">
      <w:pPr>
        <w:pStyle w:val="NoSpacing"/>
        <w:rPr>
          <w:rFonts w:ascii="Times New Roman" w:hAnsi="Times New Roman"/>
          <w:sz w:val="24"/>
          <w:szCs w:val="24"/>
        </w:rPr>
      </w:pPr>
    </w:p>
    <w:p w14:paraId="18429CE9" w14:textId="77777777" w:rsidR="006D0326" w:rsidRPr="004C10F3" w:rsidRDefault="006D0326" w:rsidP="006D0326">
      <w:pPr>
        <w:pStyle w:val="NoSpacing"/>
        <w:rPr>
          <w:rFonts w:ascii="Times New Roman" w:hAnsi="Times New Roman"/>
          <w:b/>
          <w:bCs/>
          <w:sz w:val="24"/>
          <w:szCs w:val="24"/>
        </w:rPr>
      </w:pPr>
      <w:r w:rsidRPr="004C10F3">
        <w:rPr>
          <w:rFonts w:ascii="Times New Roman" w:hAnsi="Times New Roman"/>
          <w:b/>
          <w:bCs/>
          <w:sz w:val="24"/>
          <w:szCs w:val="24"/>
        </w:rPr>
        <w:t xml:space="preserve">Legal Lesson Learned: </w:t>
      </w:r>
      <w:r>
        <w:rPr>
          <w:rFonts w:ascii="Times New Roman" w:hAnsi="Times New Roman"/>
          <w:b/>
          <w:bCs/>
          <w:sz w:val="24"/>
          <w:szCs w:val="24"/>
        </w:rPr>
        <w:t>Employers and unions are bound by the terms of their CBA, and NLRB must recognize those provisions.</w:t>
      </w:r>
    </w:p>
    <w:p w14:paraId="4E8A66BE" w14:textId="77777777" w:rsidR="006D0326" w:rsidRDefault="006D0326" w:rsidP="006D0326">
      <w:pPr>
        <w:pStyle w:val="NoSpacing"/>
        <w:rPr>
          <w:rFonts w:ascii="Times New Roman" w:hAnsi="Times New Roman"/>
          <w:sz w:val="24"/>
          <w:szCs w:val="24"/>
        </w:rPr>
      </w:pPr>
    </w:p>
    <w:p w14:paraId="2E946788" w14:textId="77777777" w:rsidR="006D0326" w:rsidRDefault="006D0326" w:rsidP="006D0326">
      <w:pPr>
        <w:pStyle w:val="NoSpacing"/>
        <w:rPr>
          <w:rFonts w:ascii="Times New Roman" w:hAnsi="Times New Roman"/>
          <w:sz w:val="24"/>
          <w:szCs w:val="24"/>
        </w:rPr>
      </w:pPr>
    </w:p>
    <w:p w14:paraId="5AF85EDE" w14:textId="77777777" w:rsidR="007D66BE" w:rsidRDefault="007D66BE" w:rsidP="00F326E5">
      <w:pPr>
        <w:pStyle w:val="NoSpacing"/>
        <w:rPr>
          <w:rFonts w:ascii="Arial Black" w:hAnsi="Arial Black"/>
          <w:sz w:val="24"/>
          <w:szCs w:val="24"/>
        </w:rPr>
      </w:pPr>
    </w:p>
    <w:p w14:paraId="073BE876" w14:textId="77777777" w:rsidR="007D66BE" w:rsidRDefault="007D66BE" w:rsidP="00F326E5">
      <w:pPr>
        <w:pStyle w:val="NoSpacing"/>
        <w:rPr>
          <w:rFonts w:ascii="Arial Black" w:hAnsi="Arial Black"/>
          <w:sz w:val="24"/>
          <w:szCs w:val="24"/>
        </w:rPr>
      </w:pPr>
    </w:p>
    <w:p w14:paraId="75ECFB90" w14:textId="77777777" w:rsidR="007D66BE" w:rsidRDefault="007D66BE" w:rsidP="00F326E5">
      <w:pPr>
        <w:pStyle w:val="NoSpacing"/>
        <w:rPr>
          <w:rFonts w:ascii="Arial Black" w:hAnsi="Arial Black"/>
          <w:sz w:val="24"/>
          <w:szCs w:val="24"/>
        </w:rPr>
      </w:pPr>
    </w:p>
    <w:p w14:paraId="113846BB" w14:textId="20519C7C" w:rsidR="004E344B" w:rsidRDefault="004E344B" w:rsidP="00F326E5">
      <w:pPr>
        <w:pStyle w:val="NoSpacing"/>
        <w:rPr>
          <w:rFonts w:ascii="Arial Black" w:hAnsi="Arial Black"/>
          <w:sz w:val="24"/>
          <w:szCs w:val="24"/>
        </w:rPr>
      </w:pPr>
      <w:r>
        <w:rPr>
          <w:rFonts w:ascii="Arial Black" w:hAnsi="Arial Black"/>
          <w:sz w:val="24"/>
          <w:szCs w:val="24"/>
        </w:rPr>
        <w:t>17-37</w:t>
      </w:r>
    </w:p>
    <w:p w14:paraId="6E55B954" w14:textId="77777777" w:rsidR="00C0427B" w:rsidRPr="001150A5" w:rsidRDefault="00C0427B" w:rsidP="00C0427B">
      <w:pPr>
        <w:pStyle w:val="NormalWeb"/>
        <w:rPr>
          <w:rFonts w:ascii="Arial Black" w:hAnsi="Arial Black"/>
          <w:sz w:val="28"/>
          <w:szCs w:val="28"/>
        </w:rPr>
      </w:pPr>
      <w:r>
        <w:rPr>
          <w:rFonts w:ascii="Arial Black" w:hAnsi="Arial Black"/>
          <w:sz w:val="28"/>
          <w:szCs w:val="28"/>
        </w:rPr>
        <w:t xml:space="preserve">OH: ARBITRATION - “RULE OF 3” FOR PROMOTION TO LT. - CITY DIDN’T HAVE SELECT HIGHEST SCORING CANDIDATE </w:t>
      </w:r>
    </w:p>
    <w:p w14:paraId="2E4849DF" w14:textId="16D11A97" w:rsidR="00C0427B" w:rsidRPr="00D01745" w:rsidRDefault="00C0427B" w:rsidP="00C0427B">
      <w:pPr>
        <w:pStyle w:val="NoSpacing"/>
        <w:rPr>
          <w:rFonts w:ascii="Times New Roman" w:hAnsi="Times New Roman"/>
          <w:sz w:val="24"/>
          <w:szCs w:val="24"/>
        </w:rPr>
      </w:pPr>
      <w:r w:rsidRPr="00D01745">
        <w:rPr>
          <w:rFonts w:ascii="Times New Roman" w:hAnsi="Times New Roman"/>
          <w:sz w:val="24"/>
          <w:szCs w:val="24"/>
        </w:rPr>
        <w:t xml:space="preserve">On Dec. 19, 2023, in </w:t>
      </w:r>
      <w:r w:rsidRPr="00D01745">
        <w:rPr>
          <w:rFonts w:ascii="Times New Roman" w:hAnsi="Times New Roman"/>
          <w:sz w:val="24"/>
          <w:szCs w:val="24"/>
          <w:u w:val="single"/>
        </w:rPr>
        <w:t>International Association of Fire Fighters, Local 67 [Brandon Lauck] v. City of Columbus</w:t>
      </w:r>
      <w:r w:rsidRPr="00D01745">
        <w:rPr>
          <w:rFonts w:ascii="Times New Roman" w:hAnsi="Times New Roman"/>
          <w:sz w:val="24"/>
          <w:szCs w:val="24"/>
        </w:rPr>
        <w:t xml:space="preserve">, the Court of Appeals of Ohio, Tenth District held (3 to 0) that Judge on Franklin County Court of Common Pleas incorrectly overturned arbitrator; City did not have to promote firefighter Brandon Lauck to Lieutenant even if he was highest scoring candidate.  The Court wrote: </w:t>
      </w:r>
      <w:r>
        <w:rPr>
          <w:rFonts w:ascii="Times New Roman" w:hAnsi="Times New Roman"/>
          <w:sz w:val="24"/>
          <w:szCs w:val="24"/>
        </w:rPr>
        <w:t>“</w:t>
      </w:r>
      <w:r w:rsidRPr="00D01745">
        <w:rPr>
          <w:rFonts w:ascii="Times New Roman" w:hAnsi="Times New Roman"/>
          <w:sz w:val="24"/>
          <w:szCs w:val="24"/>
        </w:rPr>
        <w:t>Before the arbitrator, the Union argued the promotion decision was improper</w:t>
      </w:r>
      <w:r w:rsidR="00BC649D">
        <w:rPr>
          <w:rFonts w:ascii="Times New Roman" w:hAnsi="Times New Roman"/>
          <w:sz w:val="24"/>
          <w:szCs w:val="24"/>
        </w:rPr>
        <w:t xml:space="preserve"> </w:t>
      </w:r>
      <w:r w:rsidRPr="00D01745">
        <w:rPr>
          <w:rFonts w:ascii="Times New Roman" w:hAnsi="Times New Roman"/>
          <w:sz w:val="24"/>
          <w:szCs w:val="24"/>
        </w:rPr>
        <w:t>and violated CBA Section 10.1 because it was inconsistent with the City’s past practice of</w:t>
      </w:r>
    </w:p>
    <w:p w14:paraId="02E78268" w14:textId="7CB94B83" w:rsidR="00C0427B" w:rsidRPr="00EC48F0" w:rsidRDefault="00C0427B" w:rsidP="00C0427B">
      <w:pPr>
        <w:pStyle w:val="NoSpacing"/>
        <w:rPr>
          <w:rFonts w:ascii="Times New Roman" w:hAnsi="Times New Roman"/>
          <w:sz w:val="24"/>
          <w:szCs w:val="24"/>
        </w:rPr>
      </w:pPr>
      <w:r w:rsidRPr="00D01745">
        <w:rPr>
          <w:rFonts w:ascii="Times New Roman" w:hAnsi="Times New Roman"/>
          <w:sz w:val="24"/>
          <w:szCs w:val="24"/>
        </w:rPr>
        <w:t>selecting the eligible candidate with the highest examination score for promotion, because</w:t>
      </w:r>
      <w:r w:rsidR="00BC649D">
        <w:rPr>
          <w:rFonts w:ascii="Times New Roman" w:hAnsi="Times New Roman"/>
          <w:sz w:val="24"/>
          <w:szCs w:val="24"/>
        </w:rPr>
        <w:t xml:space="preserve"> </w:t>
      </w:r>
      <w:r w:rsidRPr="00D01745">
        <w:rPr>
          <w:rFonts w:ascii="Times New Roman" w:hAnsi="Times New Roman"/>
          <w:sz w:val="24"/>
          <w:szCs w:val="24"/>
        </w:rPr>
        <w:t>Firefighter Lauck was not provided any reason for why he was not promoted, and because</w:t>
      </w:r>
      <w:r w:rsidR="00BC649D">
        <w:rPr>
          <w:rFonts w:ascii="Times New Roman" w:hAnsi="Times New Roman"/>
          <w:sz w:val="24"/>
          <w:szCs w:val="24"/>
        </w:rPr>
        <w:t xml:space="preserve"> </w:t>
      </w:r>
      <w:r w:rsidRPr="00D01745">
        <w:rPr>
          <w:rFonts w:ascii="Times New Roman" w:hAnsi="Times New Roman"/>
          <w:sz w:val="24"/>
          <w:szCs w:val="24"/>
        </w:rPr>
        <w:t>his involvement in a traffic accident years ago may have been considered as a factor against</w:t>
      </w:r>
      <w:r w:rsidR="00BC649D">
        <w:rPr>
          <w:rFonts w:ascii="Times New Roman" w:hAnsi="Times New Roman"/>
          <w:sz w:val="24"/>
          <w:szCs w:val="24"/>
        </w:rPr>
        <w:t xml:space="preserve"> </w:t>
      </w:r>
      <w:r w:rsidRPr="00D01745">
        <w:rPr>
          <w:rFonts w:ascii="Times New Roman" w:hAnsi="Times New Roman"/>
          <w:sz w:val="24"/>
          <w:szCs w:val="24"/>
        </w:rPr>
        <w:t>his promotion.</w:t>
      </w:r>
      <w:r>
        <w:rPr>
          <w:rFonts w:ascii="Times New Roman" w:hAnsi="Times New Roman"/>
          <w:sz w:val="24"/>
          <w:szCs w:val="24"/>
        </w:rPr>
        <w:t xml:space="preserve"> *** I</w:t>
      </w:r>
      <w:r w:rsidRPr="00EC48F0">
        <w:rPr>
          <w:rFonts w:ascii="Times New Roman" w:hAnsi="Times New Roman"/>
          <w:sz w:val="24"/>
          <w:szCs w:val="24"/>
        </w:rPr>
        <w:t>n denying the Union’s grievance, the arbitrator expressly considered and</w:t>
      </w:r>
      <w:r w:rsidR="00BC649D">
        <w:rPr>
          <w:rFonts w:ascii="Times New Roman" w:hAnsi="Times New Roman"/>
          <w:sz w:val="24"/>
          <w:szCs w:val="24"/>
        </w:rPr>
        <w:t xml:space="preserve"> </w:t>
      </w:r>
      <w:r w:rsidRPr="00EC48F0">
        <w:rPr>
          <w:rFonts w:ascii="Times New Roman" w:hAnsi="Times New Roman"/>
          <w:sz w:val="24"/>
          <w:szCs w:val="24"/>
        </w:rPr>
        <w:t>rejected the Union’s contention that Firefighter Lauck was not treated in a reasonable, fair,</w:t>
      </w:r>
    </w:p>
    <w:p w14:paraId="569F1BE9" w14:textId="1797B230" w:rsidR="00C0427B" w:rsidRDefault="00C0427B" w:rsidP="00C0427B">
      <w:pPr>
        <w:pStyle w:val="NoSpacing"/>
      </w:pPr>
      <w:r w:rsidRPr="00EC48F0">
        <w:rPr>
          <w:rFonts w:ascii="Times New Roman" w:hAnsi="Times New Roman"/>
          <w:sz w:val="24"/>
          <w:szCs w:val="24"/>
        </w:rPr>
        <w:t xml:space="preserve">and non-discriminatory </w:t>
      </w:r>
      <w:proofErr w:type="gramStart"/>
      <w:r w:rsidRPr="00EC48F0">
        <w:rPr>
          <w:rFonts w:ascii="Times New Roman" w:hAnsi="Times New Roman"/>
          <w:sz w:val="24"/>
          <w:szCs w:val="24"/>
        </w:rPr>
        <w:t>manner</w:t>
      </w:r>
      <w:proofErr w:type="gramEnd"/>
      <w:r w:rsidRPr="00EC48F0">
        <w:rPr>
          <w:rFonts w:ascii="Times New Roman" w:hAnsi="Times New Roman"/>
          <w:sz w:val="24"/>
          <w:szCs w:val="24"/>
        </w:rPr>
        <w:t xml:space="preserve"> as required by CBA Section 10.1. Thus, the Union’s</w:t>
      </w:r>
      <w:r w:rsidR="00BC649D">
        <w:rPr>
          <w:rFonts w:ascii="Times New Roman" w:hAnsi="Times New Roman"/>
          <w:sz w:val="24"/>
          <w:szCs w:val="24"/>
        </w:rPr>
        <w:t xml:space="preserve"> </w:t>
      </w:r>
      <w:r w:rsidRPr="00EC48F0">
        <w:rPr>
          <w:rFonts w:ascii="Times New Roman" w:hAnsi="Times New Roman"/>
          <w:sz w:val="24"/>
          <w:szCs w:val="24"/>
        </w:rPr>
        <w:t>evidence and related arguments did not persuade the arbitrator</w:t>
      </w:r>
      <w:r>
        <w:rPr>
          <w:rFonts w:ascii="Times New Roman" w:hAnsi="Times New Roman"/>
          <w:sz w:val="24"/>
          <w:szCs w:val="24"/>
        </w:rPr>
        <w:t xml:space="preserve">. *** </w:t>
      </w:r>
      <w:r w:rsidRPr="00890952">
        <w:rPr>
          <w:rFonts w:ascii="Times New Roman" w:hAnsi="Times New Roman"/>
          <w:sz w:val="24"/>
          <w:szCs w:val="24"/>
        </w:rPr>
        <w:t xml:space="preserve">Therefore, we conclude the trial court </w:t>
      </w:r>
      <w:proofErr w:type="gramStart"/>
      <w:r w:rsidRPr="00890952">
        <w:rPr>
          <w:rFonts w:ascii="Times New Roman" w:hAnsi="Times New Roman"/>
          <w:sz w:val="24"/>
          <w:szCs w:val="24"/>
        </w:rPr>
        <w:t>erred</w:t>
      </w:r>
      <w:proofErr w:type="gramEnd"/>
      <w:r w:rsidRPr="00890952">
        <w:rPr>
          <w:rFonts w:ascii="Times New Roman" w:hAnsi="Times New Roman"/>
          <w:sz w:val="24"/>
          <w:szCs w:val="24"/>
        </w:rPr>
        <w:t xml:space="preserve"> in finding the arbitrator failed to</w:t>
      </w:r>
      <w:r>
        <w:rPr>
          <w:rFonts w:ascii="Times New Roman" w:hAnsi="Times New Roman"/>
          <w:sz w:val="24"/>
          <w:szCs w:val="24"/>
        </w:rPr>
        <w:t xml:space="preserve"> </w:t>
      </w:r>
      <w:r w:rsidRPr="00890952">
        <w:rPr>
          <w:rFonts w:ascii="Times New Roman" w:hAnsi="Times New Roman"/>
          <w:sz w:val="24"/>
          <w:szCs w:val="24"/>
        </w:rPr>
        <w:t xml:space="preserve">determine whether the </w:t>
      </w:r>
      <w:proofErr w:type="gramStart"/>
      <w:r w:rsidRPr="00890952">
        <w:rPr>
          <w:rFonts w:ascii="Times New Roman" w:hAnsi="Times New Roman"/>
          <w:sz w:val="24"/>
          <w:szCs w:val="24"/>
        </w:rPr>
        <w:t>City</w:t>
      </w:r>
      <w:proofErr w:type="gramEnd"/>
      <w:r w:rsidRPr="00890952">
        <w:rPr>
          <w:rFonts w:ascii="Times New Roman" w:hAnsi="Times New Roman"/>
          <w:sz w:val="24"/>
          <w:szCs w:val="24"/>
        </w:rPr>
        <w:t xml:space="preserve"> violated CBA Section 10.1’s requirements when it did not</w:t>
      </w:r>
      <w:r>
        <w:rPr>
          <w:rFonts w:ascii="Times New Roman" w:hAnsi="Times New Roman"/>
          <w:sz w:val="24"/>
          <w:szCs w:val="24"/>
        </w:rPr>
        <w:t xml:space="preserve"> </w:t>
      </w:r>
      <w:r w:rsidRPr="0081501B">
        <w:rPr>
          <w:rFonts w:ascii="Times New Roman" w:hAnsi="Times New Roman"/>
          <w:sz w:val="24"/>
          <w:szCs w:val="24"/>
        </w:rPr>
        <w:t>promote Firefighter Lauck to Fire Lieutenant, and the trial court erred in vacating the</w:t>
      </w:r>
      <w:r>
        <w:rPr>
          <w:rFonts w:ascii="Times New Roman" w:hAnsi="Times New Roman"/>
          <w:sz w:val="24"/>
          <w:szCs w:val="24"/>
        </w:rPr>
        <w:t xml:space="preserve"> </w:t>
      </w:r>
      <w:r w:rsidRPr="0081501B">
        <w:rPr>
          <w:rFonts w:ascii="Times New Roman" w:hAnsi="Times New Roman"/>
          <w:sz w:val="24"/>
          <w:szCs w:val="24"/>
        </w:rPr>
        <w:t>arbitrator’s award based on this incorrect finding. On these bases, we sustain the City’s first</w:t>
      </w:r>
      <w:r>
        <w:rPr>
          <w:rFonts w:ascii="Times New Roman" w:hAnsi="Times New Roman"/>
          <w:sz w:val="24"/>
          <w:szCs w:val="24"/>
        </w:rPr>
        <w:t xml:space="preserve"> </w:t>
      </w:r>
      <w:r w:rsidRPr="0081501B">
        <w:rPr>
          <w:rFonts w:ascii="Times New Roman" w:hAnsi="Times New Roman"/>
          <w:sz w:val="24"/>
          <w:szCs w:val="24"/>
        </w:rPr>
        <w:t>and second assignments of error.</w:t>
      </w:r>
      <w:r>
        <w:rPr>
          <w:rFonts w:ascii="Times New Roman" w:hAnsi="Times New Roman"/>
          <w:sz w:val="24"/>
          <w:szCs w:val="24"/>
        </w:rPr>
        <w:t xml:space="preserve">” </w:t>
      </w:r>
      <w:hyperlink r:id="rId2710" w:history="1">
        <w:r w:rsidRPr="0044657D">
          <w:rPr>
            <w:rStyle w:val="Hyperlink"/>
          </w:rPr>
          <w:t>https://cases.justia.com/ohio/tenth-district-court-of-appeals/2023-23ap-37.pdf?ts=1703012831</w:t>
        </w:r>
      </w:hyperlink>
      <w:r>
        <w:t xml:space="preserve"> </w:t>
      </w:r>
    </w:p>
    <w:p w14:paraId="35C8AB05" w14:textId="77777777" w:rsidR="00C0427B" w:rsidRDefault="00C0427B" w:rsidP="00F326E5">
      <w:pPr>
        <w:pStyle w:val="NoSpacing"/>
        <w:rPr>
          <w:rFonts w:ascii="Arial Black" w:hAnsi="Arial Black"/>
          <w:sz w:val="24"/>
          <w:szCs w:val="24"/>
        </w:rPr>
      </w:pPr>
    </w:p>
    <w:p w14:paraId="3C0CA1E6" w14:textId="77777777" w:rsidR="00B15008" w:rsidRPr="008E05C8" w:rsidRDefault="00B15008" w:rsidP="00B15008">
      <w:pPr>
        <w:pStyle w:val="NoSpacing"/>
        <w:rPr>
          <w:rFonts w:ascii="Times New Roman" w:hAnsi="Times New Roman"/>
          <w:b/>
          <w:bCs/>
          <w:sz w:val="24"/>
          <w:szCs w:val="24"/>
        </w:rPr>
      </w:pPr>
      <w:r w:rsidRPr="008E05C8">
        <w:rPr>
          <w:rFonts w:ascii="Times New Roman" w:hAnsi="Times New Roman"/>
          <w:b/>
          <w:bCs/>
          <w:sz w:val="24"/>
          <w:szCs w:val="24"/>
        </w:rPr>
        <w:t>Legal Lesson Learned:</w:t>
      </w:r>
      <w:r>
        <w:rPr>
          <w:rFonts w:ascii="Times New Roman" w:hAnsi="Times New Roman"/>
          <w:b/>
          <w:bCs/>
          <w:sz w:val="24"/>
          <w:szCs w:val="24"/>
        </w:rPr>
        <w:t xml:space="preserve"> “Rule of Three” was followed; City did not need to select the candidate with highest score even that was a common past practice.</w:t>
      </w:r>
    </w:p>
    <w:p w14:paraId="4BABBBE3" w14:textId="77777777" w:rsidR="00B15008" w:rsidRPr="00020C6B" w:rsidRDefault="00B15008" w:rsidP="00B15008">
      <w:pPr>
        <w:pStyle w:val="NormalWeb"/>
        <w:ind w:left="720"/>
      </w:pPr>
      <w:r w:rsidRPr="00020C6B">
        <w:t xml:space="preserve">Note: Union referenced a lawsuit against firefighter Brandon Lauck. See this Complaint filed against Brandon G. Lauck after July 16, </w:t>
      </w:r>
      <w:proofErr w:type="gramStart"/>
      <w:r w:rsidRPr="00020C6B">
        <w:t>2018</w:t>
      </w:r>
      <w:proofErr w:type="gramEnd"/>
      <w:r w:rsidRPr="00020C6B">
        <w:t xml:space="preserve"> rear end accident on I-270. </w:t>
      </w:r>
      <w:hyperlink r:id="rId2711" w:history="1">
        <w:r w:rsidRPr="00020C6B">
          <w:rPr>
            <w:rStyle w:val="Hyperlink"/>
          </w:rPr>
          <w:t>https://trellis.law/doc/60559021/complaint-filed</w:t>
        </w:r>
      </w:hyperlink>
      <w:r w:rsidRPr="00020C6B">
        <w:t xml:space="preserve"> </w:t>
      </w:r>
    </w:p>
    <w:p w14:paraId="22128889" w14:textId="77777777" w:rsidR="00B15008" w:rsidRDefault="00B15008" w:rsidP="00F326E5">
      <w:pPr>
        <w:pStyle w:val="NoSpacing"/>
        <w:rPr>
          <w:rFonts w:ascii="Arial Black" w:hAnsi="Arial Black"/>
          <w:sz w:val="24"/>
          <w:szCs w:val="24"/>
        </w:rPr>
      </w:pPr>
    </w:p>
    <w:p w14:paraId="4F23B9DA" w14:textId="77777777" w:rsidR="004E344B" w:rsidRDefault="004E344B" w:rsidP="00F326E5">
      <w:pPr>
        <w:pStyle w:val="NoSpacing"/>
        <w:rPr>
          <w:rFonts w:ascii="Arial Black" w:hAnsi="Arial Black"/>
          <w:sz w:val="24"/>
          <w:szCs w:val="24"/>
        </w:rPr>
      </w:pPr>
    </w:p>
    <w:p w14:paraId="45168707" w14:textId="77777777" w:rsidR="004E344B" w:rsidRDefault="004E344B" w:rsidP="00F326E5">
      <w:pPr>
        <w:pStyle w:val="NoSpacing"/>
        <w:rPr>
          <w:rFonts w:ascii="Arial Black" w:hAnsi="Arial Black"/>
          <w:sz w:val="24"/>
          <w:szCs w:val="24"/>
        </w:rPr>
      </w:pPr>
    </w:p>
    <w:p w14:paraId="1AC375F6" w14:textId="77777777" w:rsidR="004E344B" w:rsidRDefault="004E344B" w:rsidP="00F326E5">
      <w:pPr>
        <w:pStyle w:val="NoSpacing"/>
        <w:rPr>
          <w:rFonts w:ascii="Arial Black" w:hAnsi="Arial Black"/>
          <w:sz w:val="24"/>
          <w:szCs w:val="24"/>
        </w:rPr>
      </w:pPr>
    </w:p>
    <w:p w14:paraId="645D2355" w14:textId="0C46FF79" w:rsidR="00075DAE" w:rsidRDefault="00075DAE" w:rsidP="00F326E5">
      <w:pPr>
        <w:pStyle w:val="NoSpacing"/>
        <w:rPr>
          <w:rFonts w:ascii="Arial Black" w:hAnsi="Arial Black"/>
          <w:sz w:val="24"/>
          <w:szCs w:val="24"/>
        </w:rPr>
      </w:pPr>
      <w:r>
        <w:rPr>
          <w:rFonts w:ascii="Arial Black" w:hAnsi="Arial Black"/>
          <w:sz w:val="24"/>
          <w:szCs w:val="24"/>
        </w:rPr>
        <w:t>17-36</w:t>
      </w:r>
    </w:p>
    <w:p w14:paraId="1985E476" w14:textId="77777777" w:rsidR="00075DAE" w:rsidRDefault="00075DAE" w:rsidP="00F326E5">
      <w:pPr>
        <w:pStyle w:val="NoSpacing"/>
        <w:rPr>
          <w:rFonts w:ascii="Arial Black" w:hAnsi="Arial Black"/>
          <w:sz w:val="24"/>
          <w:szCs w:val="24"/>
        </w:rPr>
      </w:pPr>
    </w:p>
    <w:p w14:paraId="325CE8B7" w14:textId="77777777" w:rsidR="00B94F72" w:rsidRDefault="00B94F72" w:rsidP="00B94F72">
      <w:pPr>
        <w:pStyle w:val="NoSpacing"/>
        <w:rPr>
          <w:rFonts w:ascii="Arial Black" w:hAnsi="Arial Black"/>
          <w:b/>
          <w:sz w:val="28"/>
          <w:szCs w:val="28"/>
        </w:rPr>
      </w:pPr>
      <w:r>
        <w:rPr>
          <w:rFonts w:ascii="Arial Black" w:hAnsi="Arial Black"/>
          <w:b/>
          <w:sz w:val="28"/>
          <w:szCs w:val="28"/>
        </w:rPr>
        <w:t>CT: ARBITRATOR UPHOLDS DISCIPLINE - COVID19, NO MASK, TEMP CHECK, ARGUMENT - 15 DAYS VACATION</w:t>
      </w:r>
    </w:p>
    <w:p w14:paraId="31589451" w14:textId="77777777" w:rsidR="00B94F72" w:rsidRDefault="00B94F72" w:rsidP="00B94F72">
      <w:pPr>
        <w:pStyle w:val="NoSpacing"/>
        <w:rPr>
          <w:rFonts w:ascii="Arial Black" w:hAnsi="Arial Black"/>
          <w:b/>
          <w:sz w:val="28"/>
          <w:szCs w:val="28"/>
        </w:rPr>
      </w:pPr>
    </w:p>
    <w:p w14:paraId="2E3EA71E" w14:textId="77777777" w:rsidR="00B94F72" w:rsidRPr="009338B7" w:rsidRDefault="00B94F72" w:rsidP="00B94F72">
      <w:pPr>
        <w:pStyle w:val="NoSpacing"/>
        <w:rPr>
          <w:rFonts w:ascii="Times New Roman" w:hAnsi="Times New Roman"/>
          <w:bCs/>
          <w:sz w:val="24"/>
          <w:szCs w:val="24"/>
        </w:rPr>
      </w:pPr>
      <w:r w:rsidRPr="00737152">
        <w:rPr>
          <w:rFonts w:ascii="Times New Roman" w:hAnsi="Times New Roman"/>
          <w:bCs/>
          <w:sz w:val="24"/>
          <w:szCs w:val="24"/>
        </w:rPr>
        <w:t xml:space="preserve">On </w:t>
      </w:r>
      <w:r>
        <w:rPr>
          <w:rFonts w:ascii="Times New Roman" w:hAnsi="Times New Roman"/>
          <w:bCs/>
          <w:sz w:val="24"/>
          <w:szCs w:val="24"/>
        </w:rPr>
        <w:t xml:space="preserve">Nov. 6, 2023, in </w:t>
      </w:r>
      <w:r w:rsidRPr="00555FCC">
        <w:rPr>
          <w:rFonts w:ascii="Times New Roman" w:hAnsi="Times New Roman"/>
          <w:bCs/>
          <w:sz w:val="24"/>
          <w:szCs w:val="24"/>
          <w:u w:val="single"/>
        </w:rPr>
        <w:t>Nicola Tamburo v. City of Stamford</w:t>
      </w:r>
      <w:r>
        <w:rPr>
          <w:rFonts w:ascii="Times New Roman" w:hAnsi="Times New Roman"/>
          <w:bCs/>
          <w:sz w:val="24"/>
          <w:szCs w:val="24"/>
        </w:rPr>
        <w:t xml:space="preserve">, Judge Edward T. Krumeich, judge trial referee of Stamford / Norwalk Judicial District, in unpublished opinion, held that arbitrator properly upheld the discipline of FF / EMT Tamburo, finding there was evidence of “just cause” for the discipline. </w:t>
      </w:r>
      <w:hyperlink r:id="rId2712" w:history="1">
        <w:r w:rsidRPr="00A417BB">
          <w:rPr>
            <w:rStyle w:val="Hyperlink"/>
            <w:rFonts w:ascii="Times New Roman" w:hAnsi="Times New Roman"/>
            <w:bCs/>
            <w:sz w:val="24"/>
            <w:szCs w:val="24"/>
          </w:rPr>
          <w:t>https://jud.ct.gov/Superiorcourt/MOD/DocumentPreview.aspx?RandomKey=6CFC6C5D-9DDA-4D98-859D-8C6104A0B311</w:t>
        </w:r>
      </w:hyperlink>
      <w:r w:rsidRPr="009338B7">
        <w:rPr>
          <w:rFonts w:ascii="Times New Roman" w:hAnsi="Times New Roman"/>
          <w:bCs/>
          <w:sz w:val="24"/>
          <w:szCs w:val="24"/>
        </w:rPr>
        <w:t xml:space="preserve"> </w:t>
      </w:r>
    </w:p>
    <w:p w14:paraId="7699A5D8" w14:textId="77777777" w:rsidR="00075DAE" w:rsidRDefault="00075DAE" w:rsidP="00F326E5">
      <w:pPr>
        <w:pStyle w:val="NoSpacing"/>
        <w:rPr>
          <w:rFonts w:ascii="Arial Black" w:hAnsi="Arial Black"/>
          <w:sz w:val="24"/>
          <w:szCs w:val="24"/>
        </w:rPr>
      </w:pPr>
    </w:p>
    <w:p w14:paraId="31BD6933" w14:textId="77777777" w:rsidR="00D92F5B" w:rsidRDefault="00D92F5B" w:rsidP="00D92F5B">
      <w:pPr>
        <w:pStyle w:val="NoSpacing"/>
        <w:rPr>
          <w:rFonts w:ascii="Times New Roman" w:hAnsi="Times New Roman"/>
          <w:b/>
          <w:sz w:val="24"/>
          <w:szCs w:val="24"/>
        </w:rPr>
      </w:pPr>
      <w:r>
        <w:rPr>
          <w:rFonts w:ascii="Times New Roman" w:hAnsi="Times New Roman"/>
          <w:b/>
          <w:sz w:val="24"/>
          <w:szCs w:val="24"/>
        </w:rPr>
        <w:lastRenderedPageBreak/>
        <w:t xml:space="preserve">Legal Lesson Learned: Just cause for the discipline was proven. </w:t>
      </w:r>
    </w:p>
    <w:p w14:paraId="4A799F3F" w14:textId="77777777" w:rsidR="00D92F5B" w:rsidRDefault="00D92F5B" w:rsidP="00D92F5B">
      <w:pPr>
        <w:rPr>
          <w:rFonts w:ascii="Times New Roman" w:hAnsi="Times New Roman"/>
          <w:sz w:val="24"/>
          <w:szCs w:val="24"/>
        </w:rPr>
      </w:pPr>
    </w:p>
    <w:p w14:paraId="61707174" w14:textId="77777777" w:rsidR="00D92F5B" w:rsidRDefault="00D92F5B" w:rsidP="00F326E5">
      <w:pPr>
        <w:pStyle w:val="NoSpacing"/>
        <w:rPr>
          <w:rFonts w:ascii="Arial Black" w:hAnsi="Arial Black"/>
          <w:sz w:val="24"/>
          <w:szCs w:val="24"/>
        </w:rPr>
      </w:pPr>
    </w:p>
    <w:p w14:paraId="6E9247C9" w14:textId="77777777" w:rsidR="00075DAE" w:rsidRDefault="00075DAE" w:rsidP="00F326E5">
      <w:pPr>
        <w:pStyle w:val="NoSpacing"/>
        <w:rPr>
          <w:rFonts w:ascii="Arial Black" w:hAnsi="Arial Black"/>
          <w:sz w:val="24"/>
          <w:szCs w:val="24"/>
        </w:rPr>
      </w:pPr>
    </w:p>
    <w:p w14:paraId="71A873EF" w14:textId="64215A4E" w:rsidR="002F7B74" w:rsidRDefault="000518BE" w:rsidP="00F326E5">
      <w:pPr>
        <w:pStyle w:val="NoSpacing"/>
        <w:rPr>
          <w:rFonts w:ascii="Arial Black" w:hAnsi="Arial Black"/>
          <w:sz w:val="24"/>
          <w:szCs w:val="24"/>
        </w:rPr>
      </w:pPr>
      <w:r>
        <w:rPr>
          <w:rFonts w:ascii="Arial Black" w:hAnsi="Arial Black"/>
          <w:sz w:val="24"/>
          <w:szCs w:val="24"/>
        </w:rPr>
        <w:t>17-35</w:t>
      </w:r>
    </w:p>
    <w:p w14:paraId="6DF2BBAE" w14:textId="77777777" w:rsidR="000518BE" w:rsidRDefault="000518BE" w:rsidP="000518BE">
      <w:pPr>
        <w:pStyle w:val="NormalWeb"/>
        <w:rPr>
          <w:rFonts w:ascii="Arial Black" w:hAnsi="Arial Black"/>
          <w:b/>
          <w:bCs/>
          <w:sz w:val="28"/>
          <w:szCs w:val="28"/>
        </w:rPr>
      </w:pPr>
      <w:r>
        <w:rPr>
          <w:rFonts w:ascii="Arial Black" w:hAnsi="Arial Black"/>
          <w:b/>
          <w:bCs/>
          <w:sz w:val="28"/>
          <w:szCs w:val="28"/>
        </w:rPr>
        <w:t>AR: UNION VP TOLD CITY IAFF PLANS LAWSUIT – VP FIRED FOR ALLEGED “LYING” JOB APPLICATION - CASE PROCEED</w:t>
      </w:r>
    </w:p>
    <w:p w14:paraId="783A4194" w14:textId="1416F83A" w:rsidR="000518BE" w:rsidRDefault="000518BE" w:rsidP="000518BE">
      <w:pPr>
        <w:pStyle w:val="NoSpacing"/>
        <w:rPr>
          <w:rStyle w:val="Hyperlink"/>
          <w:rFonts w:ascii="Times New Roman" w:hAnsi="Times New Roman"/>
          <w:sz w:val="24"/>
          <w:szCs w:val="24"/>
        </w:rPr>
      </w:pPr>
      <w:r w:rsidRPr="000518BE">
        <w:rPr>
          <w:rFonts w:ascii="Times New Roman" w:hAnsi="Times New Roman"/>
          <w:sz w:val="24"/>
          <w:szCs w:val="24"/>
        </w:rPr>
        <w:t xml:space="preserve">On Oct. 13, 2023, in </w:t>
      </w:r>
      <w:r w:rsidRPr="000518BE">
        <w:rPr>
          <w:rFonts w:ascii="Times New Roman" w:hAnsi="Times New Roman"/>
          <w:sz w:val="24"/>
          <w:szCs w:val="24"/>
          <w:u w:val="single"/>
        </w:rPr>
        <w:t>Shannon Glynn v. City of El Mirage</w:t>
      </w:r>
      <w:r w:rsidRPr="000518BE">
        <w:rPr>
          <w:rFonts w:ascii="Times New Roman" w:hAnsi="Times New Roman"/>
          <w:sz w:val="24"/>
          <w:szCs w:val="24"/>
        </w:rPr>
        <w:t xml:space="preserve">, U.S. District Court Judge Michael T. Liburdi, U.S. District Court for District of Arizona, denied the defense motion for summary judgment on some of the firefighter’s claims.  He had worked at Buckeye FD for 26 years, and in his application to El Mirage FD he disclosed that he resigned in lieu of termination after a citizen complaint. In </w:t>
      </w:r>
      <w:proofErr w:type="gramStart"/>
      <w:r w:rsidRPr="000518BE">
        <w:rPr>
          <w:rFonts w:ascii="Times New Roman" w:hAnsi="Times New Roman"/>
          <w:sz w:val="24"/>
          <w:szCs w:val="24"/>
        </w:rPr>
        <w:t>March,</w:t>
      </w:r>
      <w:proofErr w:type="gramEnd"/>
      <w:r w:rsidRPr="000518BE">
        <w:rPr>
          <w:rFonts w:ascii="Times New Roman" w:hAnsi="Times New Roman"/>
          <w:sz w:val="24"/>
          <w:szCs w:val="24"/>
        </w:rPr>
        <w:t xml:space="preserve"> 2021, he interviewed with the City Hiring Board where he explained that his Buckeye Fire Department resignation related to an incident involving a former girlfriend and her ex-husband (the ‘Buckeye Incident’). He was hired – one-year probationary period - and then promoted in Oct. 2021 as a fire engineer – another one-year probation – and he again disclosed the Buckeye Incident. The Court held: “Drawing all reasonable inferences in Mr. Glynn's favor, and as further explained below, the Court finds that Mr. Glynn pleads sufficient factual allegations to support ‘a series of acts’ that could establish a ‘causal connection’ between Defendants' wrongful conduct and the constitutional violations.” </w:t>
      </w:r>
      <w:hyperlink r:id="rId2713" w:history="1">
        <w:r w:rsidRPr="000518BE">
          <w:rPr>
            <w:rStyle w:val="Hyperlink"/>
            <w:rFonts w:ascii="Times New Roman" w:hAnsi="Times New Roman"/>
            <w:sz w:val="24"/>
            <w:szCs w:val="24"/>
          </w:rPr>
          <w:t>https://cases.justia.com/federal/district-courts/arizona/azdce/2:2023cv00612/1330978/17/0.pdf?ts=1697297155</w:t>
        </w:r>
      </w:hyperlink>
    </w:p>
    <w:p w14:paraId="578145D5" w14:textId="77777777" w:rsidR="000518BE" w:rsidRDefault="000518BE" w:rsidP="000518BE">
      <w:pPr>
        <w:pStyle w:val="NormalWeb"/>
        <w:rPr>
          <w:b/>
          <w:bCs/>
        </w:rPr>
      </w:pPr>
      <w:r>
        <w:rPr>
          <w:b/>
          <w:bCs/>
        </w:rPr>
        <w:t xml:space="preserve">Legal Lesson Learned: Facts alleged by VP certainly raises possible constitutional violations.  </w:t>
      </w:r>
    </w:p>
    <w:p w14:paraId="1254BA71" w14:textId="77777777" w:rsidR="000518BE" w:rsidRDefault="000518BE" w:rsidP="000518BE">
      <w:pPr>
        <w:pStyle w:val="NoSpacing"/>
        <w:rPr>
          <w:rFonts w:ascii="Times New Roman" w:hAnsi="Times New Roman"/>
          <w:sz w:val="24"/>
          <w:szCs w:val="24"/>
        </w:rPr>
      </w:pPr>
    </w:p>
    <w:p w14:paraId="6B3F5CDA" w14:textId="0A97961A" w:rsidR="000518BE" w:rsidRDefault="000518BE" w:rsidP="00F326E5">
      <w:pPr>
        <w:pStyle w:val="NoSpacing"/>
        <w:rPr>
          <w:rFonts w:ascii="Arial Black" w:hAnsi="Arial Black"/>
          <w:sz w:val="24"/>
          <w:szCs w:val="24"/>
        </w:rPr>
      </w:pPr>
      <w:r>
        <w:rPr>
          <w:rFonts w:ascii="Arial Black" w:hAnsi="Arial Black"/>
          <w:sz w:val="24"/>
          <w:szCs w:val="24"/>
        </w:rPr>
        <w:t>17-34</w:t>
      </w:r>
    </w:p>
    <w:p w14:paraId="09FD7F42" w14:textId="77777777" w:rsidR="000518BE" w:rsidRDefault="000518BE" w:rsidP="00F326E5">
      <w:pPr>
        <w:pStyle w:val="NoSpacing"/>
        <w:rPr>
          <w:rFonts w:ascii="Arial Black" w:hAnsi="Arial Black"/>
          <w:sz w:val="24"/>
          <w:szCs w:val="24"/>
        </w:rPr>
      </w:pPr>
    </w:p>
    <w:p w14:paraId="4E2EF1D7" w14:textId="77777777" w:rsidR="000518BE" w:rsidRDefault="000518BE" w:rsidP="000518BE">
      <w:pPr>
        <w:pStyle w:val="NormalWeb"/>
        <w:rPr>
          <w:rFonts w:ascii="Arial Black" w:hAnsi="Arial Black"/>
          <w:sz w:val="28"/>
          <w:szCs w:val="28"/>
        </w:rPr>
      </w:pPr>
      <w:r>
        <w:rPr>
          <w:rFonts w:ascii="Arial Black" w:hAnsi="Arial Black"/>
          <w:sz w:val="28"/>
          <w:szCs w:val="28"/>
        </w:rPr>
        <w:t xml:space="preserve">NJ: ARBITRATION AWARD TO TOWNSHIP SET ASIDE – TWP ADMIN. MUST TESTIFY PLAN TO STOP EMS RESPONSE  </w:t>
      </w:r>
    </w:p>
    <w:p w14:paraId="0B74D23B" w14:textId="7A0091FB" w:rsidR="000518BE" w:rsidRPr="000518BE" w:rsidRDefault="000518BE" w:rsidP="000518BE">
      <w:pPr>
        <w:pStyle w:val="NoSpacing"/>
        <w:rPr>
          <w:rFonts w:ascii="Times New Roman" w:hAnsi="Times New Roman"/>
          <w:sz w:val="24"/>
          <w:szCs w:val="24"/>
        </w:rPr>
      </w:pPr>
      <w:r w:rsidRPr="000518BE">
        <w:rPr>
          <w:rFonts w:ascii="Times New Roman" w:hAnsi="Times New Roman"/>
          <w:sz w:val="24"/>
          <w:szCs w:val="24"/>
        </w:rPr>
        <w:t xml:space="preserve">On Oct. 10, 2023, in </w:t>
      </w:r>
      <w:r w:rsidRPr="000518BE">
        <w:rPr>
          <w:rFonts w:ascii="Times New Roman" w:hAnsi="Times New Roman"/>
          <w:sz w:val="24"/>
          <w:szCs w:val="24"/>
          <w:u w:val="single"/>
        </w:rPr>
        <w:t>International Association of Fire Fighters, Local 1197 v. Township of Edison</w:t>
      </w:r>
      <w:r w:rsidRPr="000518BE">
        <w:rPr>
          <w:rFonts w:ascii="Times New Roman" w:hAnsi="Times New Roman"/>
          <w:sz w:val="24"/>
          <w:szCs w:val="24"/>
        </w:rPr>
        <w:t xml:space="preserve">, the Superior Court of New Jersey, Appellate Division, held (2 to 0) that arbitrator’s decision denying Local’s grievance which trial court affirmed, is reversed.  The Court held: “During oral argument [before trial court], petitioner's counsel asserted that ‘in support of a final offer,’ the Township business administrator on March 13, 2018, had stated ‘in front of everybody’ that ‘the Fire Department was no longer needed for EMS response due to the Police Department responding to all 9-1-1 calls.’ He argued the testimony about the Township business administrator's statement was admissible because it was made ‘in support of a final offer, not a mediator settlement.’*** Because the court erred in failing to find the arbitrator had erroneously excluded the testimony about the Township's business administrator's statement, we reverse the denial of the petition to vacate the arbitration award and remand for proceeding consistent with the opinion.” </w:t>
      </w:r>
      <w:hyperlink r:id="rId2714" w:history="1">
        <w:r w:rsidRPr="000518BE">
          <w:rPr>
            <w:rStyle w:val="Hyperlink"/>
            <w:rFonts w:ascii="Times New Roman" w:hAnsi="Times New Roman"/>
            <w:sz w:val="24"/>
            <w:szCs w:val="24"/>
          </w:rPr>
          <w:t>https://cases.justia.com/new-jersey/appellate-division-unpublished/2023-a-1747-21.pdf?ts=1696950933</w:t>
        </w:r>
      </w:hyperlink>
    </w:p>
    <w:p w14:paraId="11FC6C67" w14:textId="77777777" w:rsidR="000518BE" w:rsidRDefault="000518BE" w:rsidP="00F326E5">
      <w:pPr>
        <w:pStyle w:val="NoSpacing"/>
        <w:rPr>
          <w:rFonts w:ascii="Arial Black" w:hAnsi="Arial Black"/>
          <w:sz w:val="24"/>
          <w:szCs w:val="24"/>
        </w:rPr>
      </w:pPr>
    </w:p>
    <w:p w14:paraId="5BBCEE3F" w14:textId="77777777" w:rsidR="000518BE" w:rsidRDefault="000518BE" w:rsidP="000518BE">
      <w:pPr>
        <w:spacing w:after="100" w:line="240" w:lineRule="auto"/>
        <w:rPr>
          <w:rFonts w:ascii="Times New Roman" w:hAnsi="Times New Roman"/>
          <w:b/>
          <w:bCs/>
          <w:sz w:val="24"/>
          <w:szCs w:val="24"/>
        </w:rPr>
      </w:pPr>
      <w:r>
        <w:rPr>
          <w:rFonts w:ascii="Times New Roman" w:hAnsi="Times New Roman"/>
          <w:b/>
          <w:bCs/>
          <w:sz w:val="24"/>
          <w:szCs w:val="24"/>
        </w:rPr>
        <w:t xml:space="preserve">Legal Lesson Learned: The arbitration award is now vacated; grievance to be proceed back to arbitration. </w:t>
      </w:r>
    </w:p>
    <w:p w14:paraId="7A0CDAB9" w14:textId="77777777" w:rsidR="000518BE" w:rsidRDefault="000518BE" w:rsidP="000518BE">
      <w:pPr>
        <w:spacing w:after="100" w:line="240" w:lineRule="auto"/>
        <w:rPr>
          <w:rFonts w:ascii="Times New Roman" w:hAnsi="Times New Roman"/>
          <w:b/>
          <w:bCs/>
          <w:sz w:val="24"/>
          <w:szCs w:val="24"/>
        </w:rPr>
      </w:pPr>
    </w:p>
    <w:p w14:paraId="343E7936" w14:textId="77777777" w:rsidR="000518BE" w:rsidRDefault="000518BE" w:rsidP="00F326E5">
      <w:pPr>
        <w:pStyle w:val="NoSpacing"/>
        <w:rPr>
          <w:rFonts w:ascii="Arial Black" w:hAnsi="Arial Black"/>
          <w:sz w:val="24"/>
          <w:szCs w:val="24"/>
        </w:rPr>
      </w:pPr>
    </w:p>
    <w:p w14:paraId="222FB3E9" w14:textId="00F251F9" w:rsidR="002F7B74" w:rsidRDefault="002F7B74" w:rsidP="00F326E5">
      <w:pPr>
        <w:pStyle w:val="NoSpacing"/>
        <w:rPr>
          <w:rFonts w:ascii="Arial Black" w:hAnsi="Arial Black"/>
          <w:sz w:val="24"/>
          <w:szCs w:val="24"/>
        </w:rPr>
      </w:pPr>
      <w:r>
        <w:rPr>
          <w:rFonts w:ascii="Arial Black" w:hAnsi="Arial Black"/>
          <w:sz w:val="24"/>
          <w:szCs w:val="24"/>
        </w:rPr>
        <w:lastRenderedPageBreak/>
        <w:t>17-33</w:t>
      </w:r>
    </w:p>
    <w:p w14:paraId="73D01EE4" w14:textId="77777777" w:rsidR="002F7B74" w:rsidRPr="00F2484F" w:rsidRDefault="002F7B74" w:rsidP="002F7B74">
      <w:pPr>
        <w:pStyle w:val="NormalWeb"/>
        <w:rPr>
          <w:rFonts w:ascii="Arial Black" w:hAnsi="Arial Black"/>
          <w:b/>
          <w:bCs/>
          <w:sz w:val="28"/>
          <w:szCs w:val="28"/>
        </w:rPr>
      </w:pPr>
      <w:r>
        <w:rPr>
          <w:rFonts w:ascii="Arial Black" w:hAnsi="Arial Black"/>
          <w:b/>
          <w:bCs/>
          <w:sz w:val="28"/>
          <w:szCs w:val="28"/>
        </w:rPr>
        <w:t xml:space="preserve">OH: FIRE CHIEF “RETIRE / REHIRE” IMPROPER – CITY CIVIL SERVICE COMM. TO HOLD COMPETITVE PROMOTION EXAM </w:t>
      </w:r>
    </w:p>
    <w:p w14:paraId="123DF862" w14:textId="77777777" w:rsidR="002F7B74" w:rsidRDefault="002F7B74" w:rsidP="002F7B74">
      <w:pPr>
        <w:pStyle w:val="NormalWeb"/>
      </w:pPr>
      <w:r>
        <w:t xml:space="preserve">On Aug. 29, 2023, </w:t>
      </w:r>
      <w:r w:rsidRPr="00F2484F">
        <w:t xml:space="preserve">in </w:t>
      </w:r>
      <w:r w:rsidRPr="00C14243">
        <w:rPr>
          <w:u w:val="single"/>
        </w:rPr>
        <w:t xml:space="preserve">State ex rel. </w:t>
      </w:r>
      <w:proofErr w:type="spellStart"/>
      <w:r w:rsidRPr="00C14243">
        <w:rPr>
          <w:u w:val="single"/>
        </w:rPr>
        <w:t>Internatl</w:t>
      </w:r>
      <w:proofErr w:type="spellEnd"/>
      <w:r w:rsidRPr="00C14243">
        <w:rPr>
          <w:u w:val="single"/>
        </w:rPr>
        <w:t xml:space="preserve">. Assn. of Fire Fighters, Local 1536, AFL-CIO v. </w:t>
      </w:r>
      <w:proofErr w:type="spellStart"/>
      <w:r w:rsidRPr="00C14243">
        <w:rPr>
          <w:u w:val="single"/>
        </w:rPr>
        <w:t>Sakacs</w:t>
      </w:r>
      <w:proofErr w:type="spellEnd"/>
      <w:r w:rsidRPr="00C14243">
        <w:rPr>
          <w:u w:val="single"/>
        </w:rPr>
        <w:t>,</w:t>
      </w:r>
      <w:r>
        <w:rPr>
          <w:u w:val="single"/>
        </w:rPr>
        <w:t xml:space="preserve"> </w:t>
      </w:r>
      <w:r w:rsidRPr="00F2484F">
        <w:t>the Ohio Supreme Court</w:t>
      </w:r>
      <w:r>
        <w:rPr>
          <w:u w:val="single"/>
        </w:rPr>
        <w:t xml:space="preserve"> </w:t>
      </w:r>
      <w:r w:rsidRPr="00F2484F">
        <w:t xml:space="preserve">held (7 to 0) </w:t>
      </w:r>
      <w:r>
        <w:t xml:space="preserve">that City of Wickliffe violated Ohio Rev. Code Section 124.48, Fire Department Vacancies, when it allowed Fire Chief James Powers to retire on January 6, 2020, and then rehired him the next day so he could collect both a pension and his salary (a practice known as “double dipping”).  Court held that a “vacancy” occurred when the Fire Chief retired. </w:t>
      </w:r>
    </w:p>
    <w:p w14:paraId="6E6E7C46" w14:textId="77777777" w:rsidR="002F7B74" w:rsidRDefault="002F7B74" w:rsidP="002F7B74">
      <w:pPr>
        <w:pStyle w:val="NormalWeb"/>
        <w:ind w:left="720"/>
      </w:pPr>
      <w:r>
        <w:t>The Court held: “</w:t>
      </w:r>
      <w:r w:rsidRPr="00F2484F">
        <w:t>We conclude that under the plain language of R.C. 124.48, a vacancy occurs when the incumbent in a promoted-rank position in a fire department retires and therefore the position must be filled through the process set forth in R.C. 124.48.</w:t>
      </w:r>
      <w:r>
        <w:t>”</w:t>
      </w:r>
      <w:r w:rsidRPr="005244BC">
        <w:t xml:space="preserve"> </w:t>
      </w:r>
      <w:hyperlink r:id="rId2715" w:history="1">
        <w:r w:rsidRPr="00934E1E">
          <w:rPr>
            <w:rStyle w:val="Hyperlink"/>
            <w:rFonts w:eastAsiaTheme="majorEastAsia"/>
          </w:rPr>
          <w:t>https://www.supremecourt.ohio.gov/rod/docs/pdf/0/2023/2023-Ohio-2976.pdf</w:t>
        </w:r>
      </w:hyperlink>
      <w:r>
        <w:t xml:space="preserve"> </w:t>
      </w:r>
    </w:p>
    <w:p w14:paraId="1FA27DDF" w14:textId="77777777" w:rsidR="002F7B74" w:rsidRDefault="002F7B74" w:rsidP="002F7B74">
      <w:pPr>
        <w:pStyle w:val="NormalWeb"/>
        <w:ind w:left="720" w:firstLine="720"/>
      </w:pPr>
      <w:r>
        <w:t xml:space="preserve">Section 124.48 provides:  </w:t>
      </w:r>
      <w:hyperlink r:id="rId2716" w:history="1">
        <w:r w:rsidRPr="00934E1E">
          <w:rPr>
            <w:rStyle w:val="Hyperlink"/>
            <w:rFonts w:eastAsiaTheme="majorEastAsia"/>
          </w:rPr>
          <w:t>https://codes.ohio.gov/ohio-revised-code/section-124.48</w:t>
        </w:r>
      </w:hyperlink>
      <w:r>
        <w:t xml:space="preserve"> </w:t>
      </w:r>
    </w:p>
    <w:p w14:paraId="37C391FA" w14:textId="77777777" w:rsidR="002F7B74" w:rsidRDefault="002F7B74" w:rsidP="002F7B74">
      <w:pPr>
        <w:pStyle w:val="NormalWeb"/>
        <w:ind w:left="1440"/>
      </w:pPr>
      <w:r>
        <w:t xml:space="preserve">“Whenever a vacancy occurs in a promoted rank in a fire department and no eligible list for that rank exists, the appointing authority shall certify the fact to the civil service commission. The civil service commission, within sixty days of the vacancy, shall conduct a competitive promotional examination. After the examination has been held, an eligible list shall be established, and the civil service commission shall certify to the appointing authority the name of the person on the list receiving the highest grade. Upon the certification, the appointing authority shall appoint the person so certified within ten days. </w:t>
      </w:r>
    </w:p>
    <w:p w14:paraId="64C405F9" w14:textId="77777777" w:rsidR="002F7B74" w:rsidRDefault="002F7B74" w:rsidP="002F7B74">
      <w:pPr>
        <w:pStyle w:val="NormalWeb"/>
        <w:ind w:left="1440"/>
      </w:pPr>
      <w:r>
        <w:t>When an eligible list exists and a vacancy occurs in a position for which the list was established, the appointing authority shall certify the fact to the civil service commission. The person standing highest on the list shall be certified to the appointing authority, and that person shall be appointed within ten days.”</w:t>
      </w:r>
    </w:p>
    <w:p w14:paraId="4BEAB88E" w14:textId="77777777" w:rsidR="002F7B74" w:rsidRPr="004168A4" w:rsidRDefault="002F7B74" w:rsidP="002F7B74">
      <w:pPr>
        <w:pStyle w:val="NoSpacing"/>
        <w:rPr>
          <w:rFonts w:ascii="Times New Roman" w:hAnsi="Times New Roman"/>
          <w:b/>
          <w:bCs/>
          <w:sz w:val="24"/>
          <w:szCs w:val="24"/>
        </w:rPr>
      </w:pPr>
      <w:r w:rsidRPr="004168A4">
        <w:rPr>
          <w:rFonts w:ascii="Times New Roman" w:hAnsi="Times New Roman"/>
          <w:b/>
          <w:bCs/>
          <w:sz w:val="24"/>
          <w:szCs w:val="24"/>
        </w:rPr>
        <w:t>Legal Lesson Learned:</w:t>
      </w:r>
      <w:r>
        <w:rPr>
          <w:rFonts w:ascii="Times New Roman" w:hAnsi="Times New Roman"/>
          <w:b/>
          <w:bCs/>
          <w:sz w:val="24"/>
          <w:szCs w:val="24"/>
        </w:rPr>
        <w:t xml:space="preserve">  This decision impacts all Ohio cities and other political subdivisions with fire officials in a classified civil service position. </w:t>
      </w:r>
    </w:p>
    <w:p w14:paraId="06B70139" w14:textId="77777777" w:rsidR="002F7B74" w:rsidRDefault="002F7B74" w:rsidP="002F7B74">
      <w:pPr>
        <w:pStyle w:val="Heading2"/>
      </w:pPr>
      <w:r>
        <w:tab/>
      </w:r>
    </w:p>
    <w:p w14:paraId="35B68ED2" w14:textId="77777777" w:rsidR="002F7B74" w:rsidRPr="002F7B74" w:rsidRDefault="002F7B74" w:rsidP="002F7B74">
      <w:pPr>
        <w:pStyle w:val="Heading2"/>
        <w:ind w:left="720"/>
        <w:rPr>
          <w:rFonts w:ascii="Times New Roman" w:hAnsi="Times New Roman"/>
          <w:b w:val="0"/>
          <w:bCs w:val="0"/>
          <w:i w:val="0"/>
          <w:iCs w:val="0"/>
          <w:sz w:val="24"/>
          <w:szCs w:val="24"/>
        </w:rPr>
      </w:pPr>
      <w:r w:rsidRPr="002F7B74">
        <w:rPr>
          <w:rFonts w:ascii="Times New Roman" w:hAnsi="Times New Roman"/>
          <w:b w:val="0"/>
          <w:bCs w:val="0"/>
          <w:i w:val="0"/>
          <w:iCs w:val="0"/>
          <w:sz w:val="24"/>
          <w:szCs w:val="24"/>
        </w:rPr>
        <w:t xml:space="preserve">Note:  See Aug. 29, </w:t>
      </w:r>
      <w:proofErr w:type="gramStart"/>
      <w:r w:rsidRPr="002F7B74">
        <w:rPr>
          <w:rFonts w:ascii="Times New Roman" w:hAnsi="Times New Roman"/>
          <w:b w:val="0"/>
          <w:bCs w:val="0"/>
          <w:i w:val="0"/>
          <w:iCs w:val="0"/>
          <w:sz w:val="24"/>
          <w:szCs w:val="24"/>
        </w:rPr>
        <w:t>2023</w:t>
      </w:r>
      <w:proofErr w:type="gramEnd"/>
      <w:r w:rsidRPr="002F7B74">
        <w:rPr>
          <w:rFonts w:ascii="Times New Roman" w:hAnsi="Times New Roman"/>
          <w:b w:val="0"/>
          <w:bCs w:val="0"/>
          <w:i w:val="0"/>
          <w:iCs w:val="0"/>
          <w:sz w:val="24"/>
          <w:szCs w:val="24"/>
        </w:rPr>
        <w:t xml:space="preserve"> article, ‘Retire/Rehire’ Plan Violated Civil Service Law.” </w:t>
      </w:r>
      <w:hyperlink r:id="rId2717" w:history="1">
        <w:r w:rsidRPr="002F7B74">
          <w:rPr>
            <w:rStyle w:val="Hyperlink"/>
            <w:rFonts w:ascii="Times New Roman" w:hAnsi="Times New Roman"/>
            <w:b w:val="0"/>
            <w:bCs w:val="0"/>
            <w:i w:val="0"/>
            <w:iCs w:val="0"/>
            <w:sz w:val="24"/>
            <w:szCs w:val="24"/>
          </w:rPr>
          <w:t>https://www.courtnewsohio.gov/cases/2023/SCO/0829/220988.asp</w:t>
        </w:r>
      </w:hyperlink>
      <w:r w:rsidRPr="002F7B74">
        <w:rPr>
          <w:rFonts w:ascii="Times New Roman" w:hAnsi="Times New Roman"/>
          <w:b w:val="0"/>
          <w:bCs w:val="0"/>
          <w:i w:val="0"/>
          <w:iCs w:val="0"/>
          <w:sz w:val="24"/>
          <w:szCs w:val="24"/>
        </w:rPr>
        <w:t xml:space="preserve"> </w:t>
      </w:r>
    </w:p>
    <w:p w14:paraId="3791E116" w14:textId="77777777" w:rsidR="002F7B74" w:rsidRPr="002F7B74" w:rsidRDefault="002F7B74" w:rsidP="002F7B74">
      <w:pPr>
        <w:spacing w:before="100" w:beforeAutospacing="1" w:after="100" w:afterAutospacing="1" w:line="240" w:lineRule="auto"/>
        <w:jc w:val="center"/>
        <w:rPr>
          <w:rFonts w:ascii="Times New Roman" w:eastAsia="Times New Roman" w:hAnsi="Times New Roman"/>
          <w:b/>
          <w:bCs/>
          <w:sz w:val="24"/>
          <w:szCs w:val="24"/>
        </w:rPr>
      </w:pPr>
    </w:p>
    <w:p w14:paraId="08C11F08" w14:textId="77777777" w:rsidR="002F7B74" w:rsidRDefault="002F7B74" w:rsidP="00F326E5">
      <w:pPr>
        <w:pStyle w:val="NoSpacing"/>
        <w:rPr>
          <w:rFonts w:ascii="Arial Black" w:hAnsi="Arial Black"/>
          <w:sz w:val="24"/>
          <w:szCs w:val="24"/>
        </w:rPr>
      </w:pPr>
    </w:p>
    <w:p w14:paraId="5F8C7D72" w14:textId="77777777" w:rsidR="002F7B74" w:rsidRDefault="002F7B74" w:rsidP="00F326E5">
      <w:pPr>
        <w:pStyle w:val="NoSpacing"/>
        <w:rPr>
          <w:rFonts w:ascii="Arial Black" w:hAnsi="Arial Black"/>
          <w:sz w:val="24"/>
          <w:szCs w:val="24"/>
        </w:rPr>
      </w:pPr>
    </w:p>
    <w:p w14:paraId="5D714CF9" w14:textId="5F97D9D4" w:rsidR="00D33F96" w:rsidRDefault="0055155D" w:rsidP="00F326E5">
      <w:pPr>
        <w:pStyle w:val="NoSpacing"/>
        <w:rPr>
          <w:rFonts w:ascii="Arial Black" w:hAnsi="Arial Black"/>
          <w:sz w:val="24"/>
          <w:szCs w:val="24"/>
        </w:rPr>
      </w:pPr>
      <w:r>
        <w:rPr>
          <w:rFonts w:ascii="Arial Black" w:hAnsi="Arial Black"/>
          <w:sz w:val="24"/>
          <w:szCs w:val="24"/>
        </w:rPr>
        <w:t>17-32</w:t>
      </w:r>
    </w:p>
    <w:p w14:paraId="1A2B75FF" w14:textId="77777777" w:rsidR="0055155D" w:rsidRDefault="0055155D" w:rsidP="00F326E5">
      <w:pPr>
        <w:pStyle w:val="NoSpacing"/>
        <w:rPr>
          <w:rFonts w:ascii="Arial Black" w:hAnsi="Arial Black"/>
          <w:sz w:val="24"/>
          <w:szCs w:val="24"/>
        </w:rPr>
      </w:pPr>
    </w:p>
    <w:p w14:paraId="20022481" w14:textId="77777777" w:rsidR="0055155D" w:rsidRDefault="0055155D" w:rsidP="0055155D">
      <w:pPr>
        <w:spacing w:after="100" w:line="240" w:lineRule="auto"/>
      </w:pPr>
      <w:r>
        <w:rPr>
          <w:rFonts w:ascii="Arial Black" w:hAnsi="Arial Black"/>
          <w:sz w:val="28"/>
          <w:szCs w:val="28"/>
        </w:rPr>
        <w:t>RI:  UNDER CBA - TOWN / UNION SELECTED NEUTRAL 3</w:t>
      </w:r>
      <w:r w:rsidRPr="0024198A">
        <w:rPr>
          <w:rFonts w:ascii="Arial Black" w:hAnsi="Arial Black"/>
          <w:sz w:val="28"/>
          <w:szCs w:val="28"/>
          <w:vertAlign w:val="superscript"/>
        </w:rPr>
        <w:t>rd</w:t>
      </w:r>
      <w:r>
        <w:rPr>
          <w:rFonts w:ascii="Arial Black" w:hAnsi="Arial Black"/>
          <w:sz w:val="28"/>
          <w:szCs w:val="28"/>
        </w:rPr>
        <w:t xml:space="preserve"> PARTY PHYSICIAN - CHEST PAINS NOT JOB RELATED</w:t>
      </w:r>
    </w:p>
    <w:p w14:paraId="0D3F23D6" w14:textId="77777777" w:rsidR="0055155D" w:rsidRDefault="0055155D" w:rsidP="0055155D">
      <w:pPr>
        <w:spacing w:after="100" w:line="240" w:lineRule="auto"/>
        <w:rPr>
          <w:rFonts w:ascii="Times New Roman" w:hAnsi="Times New Roman"/>
          <w:sz w:val="24"/>
          <w:szCs w:val="24"/>
        </w:rPr>
      </w:pPr>
      <w:r>
        <w:rPr>
          <w:rFonts w:ascii="Times New Roman" w:hAnsi="Times New Roman"/>
          <w:sz w:val="24"/>
          <w:szCs w:val="24"/>
        </w:rPr>
        <w:lastRenderedPageBreak/>
        <w:t xml:space="preserve">On Aug. 21, 2023, in </w:t>
      </w:r>
      <w:r w:rsidRPr="004B5612">
        <w:rPr>
          <w:rFonts w:ascii="Times New Roman" w:hAnsi="Times New Roman"/>
          <w:sz w:val="24"/>
          <w:szCs w:val="24"/>
          <w:u w:val="single"/>
        </w:rPr>
        <w:t>Fred Melnyk v, Town of Little Compton</w:t>
      </w:r>
      <w:r>
        <w:rPr>
          <w:rFonts w:ascii="Times New Roman" w:hAnsi="Times New Roman"/>
          <w:sz w:val="24"/>
          <w:szCs w:val="24"/>
        </w:rPr>
        <w:t xml:space="preserve">, the U.S. Court of Appeals for First District (Boston) held (3 to 0; unpublished decision) that trial court judge granted Town’s motion for summary judgment.  The FF was put on Administrative Leave for chest pains from April 13, </w:t>
      </w:r>
      <w:proofErr w:type="gramStart"/>
      <w:r>
        <w:rPr>
          <w:rFonts w:ascii="Times New Roman" w:hAnsi="Times New Roman"/>
          <w:sz w:val="24"/>
          <w:szCs w:val="24"/>
        </w:rPr>
        <w:t>2028</w:t>
      </w:r>
      <w:proofErr w:type="gramEnd"/>
      <w:r>
        <w:rPr>
          <w:rFonts w:ascii="Times New Roman" w:hAnsi="Times New Roman"/>
          <w:sz w:val="24"/>
          <w:szCs w:val="24"/>
        </w:rPr>
        <w:t xml:space="preserve"> until termination in </w:t>
      </w:r>
      <w:proofErr w:type="gramStart"/>
      <w:r>
        <w:rPr>
          <w:rFonts w:ascii="Times New Roman" w:hAnsi="Times New Roman"/>
          <w:sz w:val="24"/>
          <w:szCs w:val="24"/>
        </w:rPr>
        <w:t>March,</w:t>
      </w:r>
      <w:proofErr w:type="gramEnd"/>
      <w:r>
        <w:rPr>
          <w:rFonts w:ascii="Times New Roman" w:hAnsi="Times New Roman"/>
          <w:sz w:val="24"/>
          <w:szCs w:val="24"/>
        </w:rPr>
        <w:t xml:space="preserve"> 2019. There was no breach of the Collective Bargaining Agreement since the CBA provides that when FF’s physician, and Town’s physician disagree on cause of a firefighter’s medical issue, the Town and the Union shall select a neutral 3</w:t>
      </w:r>
      <w:r w:rsidRPr="00B40900">
        <w:rPr>
          <w:rFonts w:ascii="Times New Roman" w:hAnsi="Times New Roman"/>
          <w:sz w:val="24"/>
          <w:szCs w:val="24"/>
          <w:vertAlign w:val="superscript"/>
        </w:rPr>
        <w:t>rd</w:t>
      </w:r>
      <w:r>
        <w:rPr>
          <w:rFonts w:ascii="Times New Roman" w:hAnsi="Times New Roman"/>
          <w:sz w:val="24"/>
          <w:szCs w:val="24"/>
        </w:rPr>
        <w:t xml:space="preserve"> physician whose decision is binding.  That 3</w:t>
      </w:r>
      <w:r w:rsidRPr="001E2B05">
        <w:rPr>
          <w:rFonts w:ascii="Times New Roman" w:hAnsi="Times New Roman"/>
          <w:sz w:val="24"/>
          <w:szCs w:val="24"/>
          <w:vertAlign w:val="superscript"/>
        </w:rPr>
        <w:t>rd</w:t>
      </w:r>
      <w:r>
        <w:rPr>
          <w:rFonts w:ascii="Times New Roman" w:hAnsi="Times New Roman"/>
          <w:sz w:val="24"/>
          <w:szCs w:val="24"/>
        </w:rPr>
        <w:t xml:space="preserve"> physician concluded chest pain </w:t>
      </w:r>
      <w:proofErr w:type="gramStart"/>
      <w:r>
        <w:rPr>
          <w:rFonts w:ascii="Times New Roman" w:hAnsi="Times New Roman"/>
          <w:sz w:val="24"/>
          <w:szCs w:val="24"/>
        </w:rPr>
        <w:t>not</w:t>
      </w:r>
      <w:proofErr w:type="gramEnd"/>
      <w:r>
        <w:rPr>
          <w:rFonts w:ascii="Times New Roman" w:hAnsi="Times New Roman"/>
          <w:sz w:val="24"/>
          <w:szCs w:val="24"/>
        </w:rPr>
        <w:t xml:space="preserve"> caused by the job. </w:t>
      </w:r>
    </w:p>
    <w:p w14:paraId="4A4E7A58" w14:textId="77777777" w:rsidR="0055155D" w:rsidRDefault="0055155D" w:rsidP="0055155D">
      <w:pPr>
        <w:spacing w:after="100" w:line="240" w:lineRule="auto"/>
        <w:rPr>
          <w:rFonts w:ascii="Times New Roman" w:hAnsi="Times New Roman"/>
          <w:sz w:val="24"/>
          <w:szCs w:val="24"/>
        </w:rPr>
      </w:pPr>
      <w:r>
        <w:rPr>
          <w:rFonts w:ascii="Times New Roman" w:hAnsi="Times New Roman"/>
          <w:sz w:val="24"/>
          <w:szCs w:val="24"/>
        </w:rPr>
        <w:tab/>
        <w:t>The Court held:</w:t>
      </w:r>
    </w:p>
    <w:p w14:paraId="3FB86540" w14:textId="77777777" w:rsidR="0055155D" w:rsidRDefault="0055155D" w:rsidP="0055155D">
      <w:pPr>
        <w:spacing w:after="100" w:line="240" w:lineRule="auto"/>
        <w:ind w:left="720"/>
        <w:rPr>
          <w:rFonts w:ascii="Times New Roman" w:hAnsi="Times New Roman"/>
          <w:sz w:val="24"/>
          <w:szCs w:val="24"/>
        </w:rPr>
      </w:pPr>
      <w:r>
        <w:rPr>
          <w:rFonts w:ascii="Times New Roman" w:hAnsi="Times New Roman"/>
          <w:sz w:val="24"/>
          <w:szCs w:val="24"/>
        </w:rPr>
        <w:t>“</w:t>
      </w:r>
      <w:r w:rsidRPr="00B40900">
        <w:rPr>
          <w:rFonts w:ascii="Times New Roman" w:hAnsi="Times New Roman"/>
          <w:sz w:val="24"/>
          <w:szCs w:val="24"/>
        </w:rPr>
        <w:t xml:space="preserve">Melnyk appears to take issue with the form of the opinion rendered by the Town's physician, highlighting how the physician's treatment notes from Melnyk's exam say nothing about whether Melnyk's ailment was job-related. The MOA, however, does not dictate the form of the physician's opinion or prohibit the Town's physician from rendering his opinion after, rather than contemporaneously with, Melnyk's office visit. Moreover, both the Town and the Union agreed that the note from the Town's physician was satisfactory and triggered the need for a third opinion. At bottom, Melnyk has not put forth any evidence to show that the note from the Town's physician did not mean what it said -- his </w:t>
      </w:r>
      <w:r>
        <w:rPr>
          <w:rFonts w:ascii="Times New Roman" w:hAnsi="Times New Roman"/>
          <w:sz w:val="24"/>
          <w:szCs w:val="24"/>
        </w:rPr>
        <w:t>‘</w:t>
      </w:r>
      <w:r w:rsidRPr="00B40900">
        <w:rPr>
          <w:rFonts w:ascii="Times New Roman" w:hAnsi="Times New Roman"/>
          <w:sz w:val="24"/>
          <w:szCs w:val="24"/>
        </w:rPr>
        <w:t>opinion is that [Melnyk's injury] [was] not job-related.</w:t>
      </w:r>
      <w:r>
        <w:rPr>
          <w:rFonts w:ascii="Times New Roman" w:hAnsi="Times New Roman"/>
          <w:sz w:val="24"/>
          <w:szCs w:val="24"/>
        </w:rPr>
        <w:t>’</w:t>
      </w:r>
      <w:r w:rsidRPr="00B40900">
        <w:rPr>
          <w:rFonts w:ascii="Times New Roman" w:hAnsi="Times New Roman"/>
          <w:sz w:val="24"/>
          <w:szCs w:val="24"/>
        </w:rPr>
        <w:t xml:space="preserve"> As such, there is no genuine issue of material fact as to whether the defendants breached the MOA by not obtaining an opinion from the Town's physician.</w:t>
      </w:r>
    </w:p>
    <w:p w14:paraId="20111594" w14:textId="77777777" w:rsidR="0055155D" w:rsidRDefault="0055155D" w:rsidP="0055155D">
      <w:pPr>
        <w:spacing w:after="100" w:line="240" w:lineRule="auto"/>
        <w:ind w:left="720"/>
        <w:rPr>
          <w:rFonts w:ascii="Times New Roman" w:hAnsi="Times New Roman"/>
          <w:sz w:val="24"/>
          <w:szCs w:val="24"/>
        </w:rPr>
      </w:pPr>
      <w:r>
        <w:rPr>
          <w:rFonts w:ascii="Times New Roman" w:hAnsi="Times New Roman"/>
          <w:sz w:val="24"/>
          <w:szCs w:val="24"/>
        </w:rPr>
        <w:t>***</w:t>
      </w:r>
    </w:p>
    <w:p w14:paraId="4A7593A0" w14:textId="77777777" w:rsidR="0055155D" w:rsidRPr="00B40900" w:rsidRDefault="0055155D" w:rsidP="0055155D">
      <w:pPr>
        <w:spacing w:after="100" w:line="240" w:lineRule="auto"/>
        <w:ind w:left="720"/>
        <w:rPr>
          <w:rFonts w:ascii="Times New Roman" w:hAnsi="Times New Roman"/>
          <w:sz w:val="24"/>
          <w:szCs w:val="24"/>
        </w:rPr>
      </w:pPr>
      <w:r w:rsidRPr="00B40900">
        <w:rPr>
          <w:rFonts w:ascii="Times New Roman" w:hAnsi="Times New Roman"/>
          <w:sz w:val="24"/>
          <w:szCs w:val="24"/>
        </w:rPr>
        <w:t>A third physician was selected by the Town and the Union, and he opined that Melnyk's condition was not job-related. Consequently, Melnyk was assessed sick time for time missed. In March 2019, having exhausted his remaining leave time and being unable to return to his duties, Melnyk was terminated.</w:t>
      </w:r>
      <w:r>
        <w:rPr>
          <w:rFonts w:ascii="Times New Roman" w:hAnsi="Times New Roman"/>
          <w:sz w:val="24"/>
          <w:szCs w:val="24"/>
        </w:rPr>
        <w:t xml:space="preserve">” </w:t>
      </w:r>
      <w:hyperlink r:id="rId2718" w:history="1">
        <w:r w:rsidRPr="00CD12AF">
          <w:rPr>
            <w:rStyle w:val="Hyperlink"/>
            <w:rFonts w:ascii="Times New Roman" w:hAnsi="Times New Roman"/>
            <w:sz w:val="24"/>
            <w:szCs w:val="24"/>
          </w:rPr>
          <w:t>http://media.ca1.uscourts.gov/pdf.opinions/22-1320U-01A.pdf</w:t>
        </w:r>
      </w:hyperlink>
      <w:r>
        <w:rPr>
          <w:rFonts w:ascii="Times New Roman" w:hAnsi="Times New Roman"/>
          <w:sz w:val="24"/>
          <w:szCs w:val="24"/>
        </w:rPr>
        <w:t xml:space="preserve"> </w:t>
      </w:r>
    </w:p>
    <w:p w14:paraId="1BAD3832" w14:textId="77777777" w:rsidR="0055155D" w:rsidRDefault="0055155D" w:rsidP="0055155D">
      <w:pPr>
        <w:spacing w:after="100" w:line="240" w:lineRule="auto"/>
        <w:rPr>
          <w:rFonts w:ascii="Times New Roman" w:hAnsi="Times New Roman"/>
          <w:sz w:val="24"/>
          <w:szCs w:val="24"/>
        </w:rPr>
      </w:pPr>
    </w:p>
    <w:p w14:paraId="2E9C301D" w14:textId="77777777" w:rsidR="0055155D" w:rsidRDefault="0055155D" w:rsidP="0055155D">
      <w:pPr>
        <w:pStyle w:val="NormalWeb"/>
      </w:pPr>
      <w:r w:rsidRPr="001E2B05">
        <w:rPr>
          <w:b/>
          <w:bCs/>
        </w:rPr>
        <w:t xml:space="preserve">Legal Lesson Learned: </w:t>
      </w:r>
      <w:r>
        <w:rPr>
          <w:b/>
          <w:bCs/>
        </w:rPr>
        <w:t>Selection by Town and Union of a neutral third physician was consistent with CBA.</w:t>
      </w:r>
    </w:p>
    <w:p w14:paraId="7BD11AE8" w14:textId="77777777" w:rsidR="0055155D" w:rsidRDefault="0055155D" w:rsidP="00F326E5">
      <w:pPr>
        <w:pStyle w:val="NoSpacing"/>
        <w:rPr>
          <w:rFonts w:ascii="Arial Black" w:hAnsi="Arial Black"/>
          <w:sz w:val="24"/>
          <w:szCs w:val="24"/>
        </w:rPr>
      </w:pPr>
    </w:p>
    <w:p w14:paraId="255C0642" w14:textId="77777777" w:rsidR="00D33F96" w:rsidRDefault="00D33F96" w:rsidP="00F326E5">
      <w:pPr>
        <w:pStyle w:val="NoSpacing"/>
        <w:rPr>
          <w:rFonts w:ascii="Arial Black" w:hAnsi="Arial Black"/>
          <w:sz w:val="24"/>
          <w:szCs w:val="24"/>
        </w:rPr>
      </w:pPr>
    </w:p>
    <w:p w14:paraId="0F0F466D" w14:textId="3B23C4DE" w:rsidR="00D33F96" w:rsidRDefault="00D33F96" w:rsidP="00F326E5">
      <w:pPr>
        <w:pStyle w:val="NoSpacing"/>
        <w:rPr>
          <w:rFonts w:ascii="Arial Black" w:hAnsi="Arial Black"/>
          <w:sz w:val="24"/>
          <w:szCs w:val="24"/>
        </w:rPr>
      </w:pPr>
      <w:r>
        <w:rPr>
          <w:rFonts w:ascii="Arial Black" w:hAnsi="Arial Black"/>
          <w:sz w:val="24"/>
          <w:szCs w:val="24"/>
        </w:rPr>
        <w:t>17-31</w:t>
      </w:r>
    </w:p>
    <w:p w14:paraId="5588F274" w14:textId="77777777" w:rsidR="00D33F96" w:rsidRDefault="00D33F96" w:rsidP="00D33F96">
      <w:pPr>
        <w:spacing w:before="100" w:beforeAutospacing="1" w:after="100" w:afterAutospacing="1" w:line="240" w:lineRule="auto"/>
        <w:rPr>
          <w:rFonts w:ascii="Arial Black" w:hAnsi="Arial Black"/>
          <w:sz w:val="28"/>
          <w:szCs w:val="28"/>
        </w:rPr>
      </w:pPr>
      <w:r>
        <w:rPr>
          <w:rFonts w:ascii="Arial Black" w:hAnsi="Arial Black"/>
          <w:sz w:val="28"/>
          <w:szCs w:val="28"/>
        </w:rPr>
        <w:t>OH: YOUNGSTOWN CAPT. – DENIED PROMOTION – UNDER CBA ARBITRATION ONLY REMEDY – EVEN DELAYED UNION</w:t>
      </w:r>
    </w:p>
    <w:p w14:paraId="01CA3F3C" w14:textId="77777777" w:rsidR="00D33F96" w:rsidRDefault="00D33F96" w:rsidP="00D33F9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6, 2023, in </w:t>
      </w:r>
      <w:r w:rsidRPr="001F7141">
        <w:rPr>
          <w:rFonts w:ascii="Times New Roman" w:hAnsi="Times New Roman"/>
          <w:sz w:val="24"/>
          <w:szCs w:val="24"/>
          <w:u w:val="single"/>
        </w:rPr>
        <w:t>The State ex rel. Casey et al. v. Brown, Mayor, et al</w:t>
      </w:r>
      <w:r>
        <w:rPr>
          <w:rFonts w:ascii="Times New Roman" w:hAnsi="Times New Roman"/>
          <w:sz w:val="24"/>
          <w:szCs w:val="24"/>
        </w:rPr>
        <w:t xml:space="preserve">., the Supreme Court of Ohio held (7 to 0), in a per curium decision [not authored by a single judge; appeal was also decided without need for oral argument], that the Ohio Court of Appeals for the Seventh District correctly held that the Captain has an adequate remedy through arbitration under the collection bargaining agreement, even if the arbitration has been delayed because Local 312 President is waiting for an arbitration decision by another Captain. He and others took a promotion exam in Oct. 2021 when a battalion chief retired; if he ultimately wins in arbitration, then he gets back pay with interest. </w:t>
      </w:r>
    </w:p>
    <w:p w14:paraId="6611D799" w14:textId="46E89446" w:rsidR="00D33F96" w:rsidRDefault="00D33F96" w:rsidP="00D33F96">
      <w:pPr>
        <w:pStyle w:val="NoSpacing"/>
        <w:rPr>
          <w:rStyle w:val="Hyperlink"/>
          <w:sz w:val="24"/>
          <w:szCs w:val="24"/>
        </w:rPr>
      </w:pPr>
      <w:r>
        <w:rPr>
          <w:rFonts w:ascii="Times New Roman" w:hAnsi="Times New Roman"/>
          <w:sz w:val="24"/>
          <w:szCs w:val="24"/>
        </w:rPr>
        <w:t xml:space="preserve">The Court held: </w:t>
      </w:r>
      <w:r w:rsidRPr="006B2F09">
        <w:rPr>
          <w:rFonts w:ascii="Times New Roman" w:hAnsi="Times New Roman"/>
          <w:sz w:val="24"/>
          <w:szCs w:val="24"/>
        </w:rPr>
        <w:t xml:space="preserve">“In summary, Casey had an adequate remedy in the ordinary course of the law to advance his grievance by way of the CBA because his claim was </w:t>
      </w:r>
      <w:proofErr w:type="spellStart"/>
      <w:r w:rsidRPr="006B2F09">
        <w:rPr>
          <w:rFonts w:ascii="Times New Roman" w:hAnsi="Times New Roman"/>
          <w:sz w:val="24"/>
          <w:szCs w:val="24"/>
        </w:rPr>
        <w:t>grievable</w:t>
      </w:r>
      <w:proofErr w:type="spellEnd"/>
      <w:r w:rsidRPr="006B2F09">
        <w:rPr>
          <w:rFonts w:ascii="Times New Roman" w:hAnsi="Times New Roman"/>
          <w:sz w:val="24"/>
          <w:szCs w:val="24"/>
        </w:rPr>
        <w:t xml:space="preserve">. *** </w:t>
      </w:r>
      <w:r w:rsidRPr="00D1130B">
        <w:rPr>
          <w:rFonts w:ascii="Times New Roman" w:hAnsi="Times New Roman"/>
          <w:sz w:val="24"/>
          <w:szCs w:val="24"/>
        </w:rPr>
        <w:t xml:space="preserve">Casey's argument is internally inconsistent. On the one hand, he concedes that so long as he was able to seek relief through the CBA's grievance procedure, his remedy under the CBA was adequate. But, the argument runs, once he received an unfavorable decision by way of the union president's decision to decline to advance his grievance to arbitration, the remedy became </w:t>
      </w:r>
      <w:r w:rsidRPr="00D1130B">
        <w:rPr>
          <w:rFonts w:ascii="Times New Roman" w:hAnsi="Times New Roman"/>
          <w:sz w:val="24"/>
          <w:szCs w:val="24"/>
        </w:rPr>
        <w:lastRenderedPageBreak/>
        <w:t>inadequate, clearing the way for this action. It follows that if his remedy was at one time adequate-as he concedes that it was-then that is enough.</w:t>
      </w:r>
      <w:r>
        <w:rPr>
          <w:rFonts w:ascii="Times New Roman" w:hAnsi="Times New Roman"/>
          <w:sz w:val="24"/>
          <w:szCs w:val="24"/>
        </w:rPr>
        <w:t>”</w:t>
      </w:r>
      <w:r w:rsidRPr="00D1130B">
        <w:rPr>
          <w:rFonts w:ascii="Times New Roman" w:hAnsi="Times New Roman"/>
          <w:sz w:val="24"/>
          <w:szCs w:val="24"/>
        </w:rPr>
        <w:t xml:space="preserve">  </w:t>
      </w:r>
      <w:hyperlink r:id="rId2719" w:history="1">
        <w:r w:rsidRPr="00812663">
          <w:rPr>
            <w:rStyle w:val="Hyperlink"/>
            <w:sz w:val="24"/>
            <w:szCs w:val="24"/>
          </w:rPr>
          <w:t>https://www.supremecourt.ohio.gov/rod/docs/pdf/0/2023/2023-Ohio-2264.pdf</w:t>
        </w:r>
      </w:hyperlink>
    </w:p>
    <w:p w14:paraId="589B922B" w14:textId="77777777" w:rsidR="005F448F" w:rsidRDefault="005F448F" w:rsidP="00D33F96">
      <w:pPr>
        <w:pStyle w:val="NoSpacing"/>
        <w:rPr>
          <w:rStyle w:val="Hyperlink"/>
          <w:sz w:val="24"/>
          <w:szCs w:val="24"/>
        </w:rPr>
      </w:pPr>
    </w:p>
    <w:p w14:paraId="2812EE79" w14:textId="77777777" w:rsidR="005F448F" w:rsidRDefault="005F448F" w:rsidP="00D33F96">
      <w:pPr>
        <w:pStyle w:val="NoSpacing"/>
        <w:rPr>
          <w:rStyle w:val="Hyperlink"/>
          <w:sz w:val="24"/>
          <w:szCs w:val="24"/>
        </w:rPr>
      </w:pPr>
    </w:p>
    <w:p w14:paraId="273E2FCD" w14:textId="77777777" w:rsidR="005F448F" w:rsidRPr="00742D8E" w:rsidRDefault="005F448F" w:rsidP="005F448F">
      <w:pPr>
        <w:spacing w:before="100" w:beforeAutospacing="1" w:after="100" w:afterAutospacing="1" w:line="240" w:lineRule="auto"/>
        <w:rPr>
          <w:rFonts w:ascii="Times New Roman" w:hAnsi="Times New Roman"/>
          <w:b/>
          <w:bCs/>
          <w:sz w:val="24"/>
          <w:szCs w:val="24"/>
        </w:rPr>
      </w:pPr>
      <w:r w:rsidRPr="00742D8E">
        <w:rPr>
          <w:rFonts w:ascii="Times New Roman" w:hAnsi="Times New Roman"/>
          <w:b/>
          <w:bCs/>
          <w:sz w:val="24"/>
          <w:szCs w:val="24"/>
        </w:rPr>
        <w:t xml:space="preserve">Legal Lesson Learned: </w:t>
      </w:r>
      <w:r>
        <w:rPr>
          <w:rFonts w:ascii="Times New Roman" w:hAnsi="Times New Roman"/>
          <w:b/>
          <w:bCs/>
          <w:sz w:val="24"/>
          <w:szCs w:val="24"/>
        </w:rPr>
        <w:t xml:space="preserve">The </w:t>
      </w:r>
      <w:proofErr w:type="gramStart"/>
      <w:r>
        <w:rPr>
          <w:rFonts w:ascii="Times New Roman" w:hAnsi="Times New Roman"/>
          <w:b/>
          <w:bCs/>
          <w:sz w:val="24"/>
          <w:szCs w:val="24"/>
        </w:rPr>
        <w:t>Captain’s</w:t>
      </w:r>
      <w:proofErr w:type="gramEnd"/>
      <w:r>
        <w:rPr>
          <w:rFonts w:ascii="Times New Roman" w:hAnsi="Times New Roman"/>
          <w:b/>
          <w:bCs/>
          <w:sz w:val="24"/>
          <w:szCs w:val="24"/>
        </w:rPr>
        <w:t xml:space="preserve"> sole remedy is to seek arbitration under CBA. </w:t>
      </w:r>
    </w:p>
    <w:p w14:paraId="17BC8984" w14:textId="77777777" w:rsidR="005F448F" w:rsidRPr="00D67B2F" w:rsidRDefault="005F448F" w:rsidP="005F448F">
      <w:pPr>
        <w:spacing w:before="100" w:beforeAutospacing="1" w:after="100" w:afterAutospacing="1" w:line="240" w:lineRule="auto"/>
        <w:ind w:left="720" w:firstLine="50"/>
        <w:rPr>
          <w:rFonts w:ascii="Times New Roman" w:hAnsi="Times New Roman"/>
          <w:sz w:val="24"/>
          <w:szCs w:val="24"/>
        </w:rPr>
      </w:pPr>
      <w:r>
        <w:rPr>
          <w:rFonts w:ascii="Times New Roman" w:hAnsi="Times New Roman"/>
          <w:sz w:val="24"/>
          <w:szCs w:val="24"/>
        </w:rPr>
        <w:t xml:space="preserve">Note: See decision in </w:t>
      </w:r>
      <w:r w:rsidRPr="00D67B2F">
        <w:rPr>
          <w:rFonts w:ascii="Times New Roman" w:hAnsi="Times New Roman"/>
          <w:i/>
          <w:iCs/>
          <w:sz w:val="24"/>
          <w:szCs w:val="24"/>
        </w:rPr>
        <w:t>Youngstown II</w:t>
      </w:r>
      <w:r>
        <w:rPr>
          <w:rFonts w:ascii="Times New Roman" w:hAnsi="Times New Roman"/>
          <w:sz w:val="24"/>
          <w:szCs w:val="24"/>
        </w:rPr>
        <w:t xml:space="preserve">; Dec. 13, 2021; </w:t>
      </w:r>
      <w:hyperlink r:id="rId2720" w:history="1">
        <w:r w:rsidRPr="00E97EE7">
          <w:rPr>
            <w:rStyle w:val="Hyperlink"/>
            <w:sz w:val="24"/>
            <w:szCs w:val="24"/>
          </w:rPr>
          <w:t>https://casetext.com/case/state-v-state-empt-relations-bd-2</w:t>
        </w:r>
      </w:hyperlink>
      <w:r>
        <w:rPr>
          <w:rFonts w:ascii="Times New Roman" w:hAnsi="Times New Roman"/>
          <w:sz w:val="24"/>
          <w:szCs w:val="24"/>
        </w:rPr>
        <w:t xml:space="preserve"> </w:t>
      </w:r>
    </w:p>
    <w:p w14:paraId="36F44FB7" w14:textId="77777777" w:rsidR="005F448F" w:rsidRDefault="005F448F" w:rsidP="005F448F">
      <w:pPr>
        <w:spacing w:before="100" w:beforeAutospacing="1" w:after="100" w:afterAutospacing="1" w:line="240" w:lineRule="auto"/>
        <w:ind w:left="1440" w:firstLine="60"/>
      </w:pPr>
      <w:r>
        <w:rPr>
          <w:rFonts w:ascii="Times New Roman" w:hAnsi="Times New Roman"/>
          <w:sz w:val="24"/>
          <w:szCs w:val="24"/>
        </w:rPr>
        <w:t>“</w:t>
      </w:r>
      <w:r w:rsidRPr="00D67B2F">
        <w:rPr>
          <w:rFonts w:ascii="Times New Roman" w:hAnsi="Times New Roman"/>
          <w:sz w:val="24"/>
          <w:szCs w:val="24"/>
        </w:rPr>
        <w:t>On November 12, 2019, Union learned that City planned to pass legislation to eliminate the three Battalion Chief positions</w:t>
      </w:r>
      <w:r>
        <w:rPr>
          <w:rFonts w:ascii="Times New Roman" w:hAnsi="Times New Roman"/>
          <w:sz w:val="24"/>
          <w:szCs w:val="24"/>
        </w:rPr>
        <w:t xml:space="preserve"> [apparently to pay for $285,000 radio upgrade demanded by Union]. </w:t>
      </w:r>
      <w:r w:rsidRPr="00D67B2F">
        <w:rPr>
          <w:rFonts w:ascii="Times New Roman" w:hAnsi="Times New Roman"/>
          <w:sz w:val="24"/>
          <w:szCs w:val="24"/>
        </w:rPr>
        <w:t>The next day, City Council passed Ordinance No. 19-336 to amend Section 1 of Ordinance 19-47, to abolish three Battalion Chief positions by attrition. That Ordinance was later determined to be an unlawful retaliation against Union.</w:t>
      </w:r>
      <w:r>
        <w:rPr>
          <w:rFonts w:ascii="Times New Roman" w:hAnsi="Times New Roman"/>
          <w:sz w:val="24"/>
          <w:szCs w:val="24"/>
        </w:rPr>
        <w:t xml:space="preserve">” </w:t>
      </w:r>
    </w:p>
    <w:p w14:paraId="55A2F340" w14:textId="77777777" w:rsidR="005F448F" w:rsidRDefault="005F448F" w:rsidP="005F448F"/>
    <w:p w14:paraId="0FB4C2A2" w14:textId="77777777" w:rsidR="005F448F" w:rsidRDefault="005F448F" w:rsidP="00D33F96">
      <w:pPr>
        <w:pStyle w:val="NoSpacing"/>
        <w:rPr>
          <w:rStyle w:val="Hyperlink"/>
          <w:sz w:val="24"/>
          <w:szCs w:val="24"/>
        </w:rPr>
      </w:pPr>
    </w:p>
    <w:p w14:paraId="79B69899" w14:textId="77777777" w:rsidR="005F448F" w:rsidRDefault="005F448F" w:rsidP="00D33F96">
      <w:pPr>
        <w:pStyle w:val="NoSpacing"/>
        <w:rPr>
          <w:rFonts w:ascii="Arial Black" w:hAnsi="Arial Black"/>
          <w:sz w:val="24"/>
          <w:szCs w:val="24"/>
        </w:rPr>
      </w:pPr>
    </w:p>
    <w:p w14:paraId="16255685" w14:textId="77777777" w:rsidR="00D33F96" w:rsidRDefault="00D33F96" w:rsidP="00F326E5">
      <w:pPr>
        <w:pStyle w:val="NoSpacing"/>
        <w:rPr>
          <w:rFonts w:ascii="Arial Black" w:hAnsi="Arial Black"/>
          <w:sz w:val="24"/>
          <w:szCs w:val="24"/>
        </w:rPr>
      </w:pPr>
    </w:p>
    <w:p w14:paraId="7DABB8AD" w14:textId="580D6D42" w:rsidR="00D66BAA" w:rsidRDefault="006A02A4" w:rsidP="00F326E5">
      <w:pPr>
        <w:pStyle w:val="NoSpacing"/>
        <w:rPr>
          <w:rFonts w:ascii="Arial Black" w:hAnsi="Arial Black"/>
          <w:sz w:val="24"/>
          <w:szCs w:val="24"/>
        </w:rPr>
      </w:pPr>
      <w:r>
        <w:rPr>
          <w:rFonts w:ascii="Arial Black" w:hAnsi="Arial Black"/>
          <w:sz w:val="24"/>
          <w:szCs w:val="24"/>
        </w:rPr>
        <w:t>17-30</w:t>
      </w:r>
    </w:p>
    <w:p w14:paraId="58F27F57" w14:textId="77777777" w:rsidR="006A02A4" w:rsidRDefault="006A02A4" w:rsidP="006A02A4">
      <w:pPr>
        <w:pStyle w:val="NoSpacing"/>
        <w:rPr>
          <w:rFonts w:ascii="Arial Black" w:hAnsi="Arial Black"/>
          <w:sz w:val="28"/>
          <w:szCs w:val="28"/>
        </w:rPr>
      </w:pPr>
    </w:p>
    <w:p w14:paraId="42AF42DD" w14:textId="784061BD" w:rsidR="006A02A4" w:rsidRPr="003036A7" w:rsidRDefault="006A02A4" w:rsidP="006A02A4">
      <w:pPr>
        <w:pStyle w:val="NoSpacing"/>
        <w:rPr>
          <w:rFonts w:ascii="Arial Black" w:hAnsi="Arial Black"/>
          <w:sz w:val="28"/>
          <w:szCs w:val="28"/>
        </w:rPr>
      </w:pPr>
      <w:r w:rsidRPr="003036A7">
        <w:rPr>
          <w:rFonts w:ascii="Arial Black" w:hAnsi="Arial Black"/>
          <w:sz w:val="28"/>
          <w:szCs w:val="28"/>
        </w:rPr>
        <w:t>VA (4/20/2023): FIRE CAPT / IAFF OFFICIAL - BACKED MAYOR</w:t>
      </w:r>
      <w:r>
        <w:rPr>
          <w:rFonts w:ascii="Arial Black" w:hAnsi="Arial Black"/>
          <w:sz w:val="28"/>
          <w:szCs w:val="28"/>
        </w:rPr>
        <w:t>’S</w:t>
      </w:r>
      <w:r w:rsidRPr="003036A7">
        <w:rPr>
          <w:rFonts w:ascii="Arial Black" w:hAnsi="Arial Black"/>
          <w:sz w:val="28"/>
          <w:szCs w:val="28"/>
        </w:rPr>
        <w:t xml:space="preserve"> OPPONENT – FACEBOOK - FIRED - CASE PROCEED</w:t>
      </w:r>
    </w:p>
    <w:p w14:paraId="58A4FB6A" w14:textId="77777777" w:rsidR="006A02A4" w:rsidRDefault="006A02A4" w:rsidP="006A02A4">
      <w:pPr>
        <w:pStyle w:val="NoSpacing"/>
      </w:pPr>
    </w:p>
    <w:p w14:paraId="648AFA40" w14:textId="4C4DF743" w:rsidR="006A02A4" w:rsidRDefault="006A02A4" w:rsidP="006A02A4">
      <w:pPr>
        <w:pStyle w:val="NoSpacing"/>
        <w:rPr>
          <w:rStyle w:val="Hyperlink"/>
          <w:rFonts w:ascii="Times New Roman" w:hAnsi="Times New Roman"/>
          <w:sz w:val="24"/>
          <w:szCs w:val="24"/>
        </w:rPr>
      </w:pPr>
      <w:r w:rsidRPr="003C1643">
        <w:rPr>
          <w:rFonts w:ascii="Times New Roman" w:hAnsi="Times New Roman"/>
          <w:sz w:val="24"/>
          <w:szCs w:val="24"/>
          <w:u w:val="single"/>
        </w:rPr>
        <w:t xml:space="preserve">Martin J. </w:t>
      </w:r>
      <w:proofErr w:type="spellStart"/>
      <w:r w:rsidRPr="003C1643">
        <w:rPr>
          <w:rFonts w:ascii="Times New Roman" w:hAnsi="Times New Roman"/>
          <w:sz w:val="24"/>
          <w:szCs w:val="24"/>
          <w:u w:val="single"/>
        </w:rPr>
        <w:t>Misjuns</w:t>
      </w:r>
      <w:proofErr w:type="spellEnd"/>
      <w:r w:rsidRPr="003C1643">
        <w:rPr>
          <w:rFonts w:ascii="Times New Roman" w:hAnsi="Times New Roman"/>
          <w:sz w:val="24"/>
          <w:szCs w:val="24"/>
          <w:u w:val="single"/>
        </w:rPr>
        <w:t xml:space="preserve"> v. Lynchburg Fire Department</w:t>
      </w:r>
      <w:r w:rsidRPr="003C1643">
        <w:rPr>
          <w:rFonts w:ascii="Times New Roman" w:hAnsi="Times New Roman"/>
          <w:sz w:val="24"/>
          <w:szCs w:val="24"/>
        </w:rPr>
        <w:t xml:space="preserve">, U.S. District Court Judge Norman K. Moon, U.S. District Court for Western District of Virginia, Lynchburg District. </w:t>
      </w:r>
      <w:hyperlink r:id="rId2721" w:history="1">
        <w:r w:rsidRPr="003C1643">
          <w:rPr>
            <w:rStyle w:val="Hyperlink"/>
            <w:rFonts w:ascii="Times New Roman" w:hAnsi="Times New Roman"/>
            <w:sz w:val="24"/>
            <w:szCs w:val="24"/>
          </w:rPr>
          <w:t>https://law.justia.com/cases/federal/district-courts/virginia/vawdce/6:2021cv00025/122367/36/</w:t>
        </w:r>
      </w:hyperlink>
    </w:p>
    <w:p w14:paraId="6AA6F2A7" w14:textId="77777777" w:rsidR="006A02A4" w:rsidRPr="003C1643" w:rsidRDefault="006A02A4" w:rsidP="006A02A4">
      <w:pPr>
        <w:pStyle w:val="NormalWeb"/>
        <w:rPr>
          <w:b/>
          <w:bCs/>
        </w:rPr>
      </w:pPr>
      <w:r w:rsidRPr="003C1643">
        <w:rPr>
          <w:b/>
          <w:bCs/>
        </w:rPr>
        <w:t xml:space="preserve">Legal Lesson Learned:  Firefighters enjoy First Amendment rights on matters of public concern. </w:t>
      </w:r>
    </w:p>
    <w:p w14:paraId="07C6A4A5" w14:textId="77777777" w:rsidR="006A02A4" w:rsidRDefault="006A02A4" w:rsidP="006A02A4">
      <w:pPr>
        <w:pStyle w:val="NoSpacing"/>
        <w:rPr>
          <w:rFonts w:ascii="Arial Black" w:hAnsi="Arial Black"/>
          <w:sz w:val="24"/>
          <w:szCs w:val="24"/>
        </w:rPr>
      </w:pPr>
    </w:p>
    <w:p w14:paraId="1C4E9D27" w14:textId="77777777" w:rsidR="006A02A4" w:rsidRDefault="006A02A4" w:rsidP="00F326E5">
      <w:pPr>
        <w:pStyle w:val="NoSpacing"/>
        <w:rPr>
          <w:rFonts w:ascii="Arial Black" w:hAnsi="Arial Black"/>
          <w:sz w:val="24"/>
          <w:szCs w:val="24"/>
        </w:rPr>
      </w:pPr>
    </w:p>
    <w:p w14:paraId="19E3F293" w14:textId="77777777" w:rsidR="006A02A4" w:rsidRDefault="006A02A4" w:rsidP="00F326E5">
      <w:pPr>
        <w:pStyle w:val="NoSpacing"/>
        <w:rPr>
          <w:rFonts w:ascii="Arial Black" w:hAnsi="Arial Black"/>
          <w:sz w:val="24"/>
          <w:szCs w:val="24"/>
        </w:rPr>
      </w:pPr>
    </w:p>
    <w:p w14:paraId="774C153A" w14:textId="0EEFA043" w:rsidR="00D66BAA" w:rsidRDefault="00D66BAA" w:rsidP="00F326E5">
      <w:pPr>
        <w:pStyle w:val="NoSpacing"/>
        <w:rPr>
          <w:rFonts w:ascii="Arial Black" w:hAnsi="Arial Black"/>
          <w:sz w:val="24"/>
          <w:szCs w:val="24"/>
        </w:rPr>
      </w:pPr>
      <w:r>
        <w:rPr>
          <w:rFonts w:ascii="Arial Black" w:hAnsi="Arial Black"/>
          <w:sz w:val="24"/>
          <w:szCs w:val="24"/>
        </w:rPr>
        <w:t>17-29</w:t>
      </w:r>
    </w:p>
    <w:p w14:paraId="594A5E35" w14:textId="77777777" w:rsidR="00D66BAA" w:rsidRDefault="00D66BAA" w:rsidP="00D66BAA">
      <w:pPr>
        <w:pStyle w:val="NormalWeb"/>
        <w:rPr>
          <w:rFonts w:ascii="Arial Black" w:hAnsi="Arial Black"/>
          <w:sz w:val="28"/>
          <w:szCs w:val="28"/>
        </w:rPr>
      </w:pPr>
      <w:r>
        <w:rPr>
          <w:rFonts w:ascii="Arial Black" w:hAnsi="Arial Black"/>
          <w:sz w:val="28"/>
          <w:szCs w:val="28"/>
        </w:rPr>
        <w:t>TX: STATE SUP. CT. STRIKES DOWN CITY OF HOUSTON FIRE / POLICE “PAY PARITY” – VOTED BY RESIDENTS 2018</w:t>
      </w:r>
    </w:p>
    <w:p w14:paraId="150D0DA5" w14:textId="77777777" w:rsidR="00D66BAA" w:rsidRDefault="00D66BAA" w:rsidP="00D66BAA">
      <w:pPr>
        <w:pStyle w:val="NormalWeb"/>
        <w:rPr>
          <w:vertAlign w:val="superscript"/>
        </w:rPr>
      </w:pPr>
      <w:r>
        <w:t xml:space="preserve">On March 31, 2023, </w:t>
      </w:r>
      <w:r>
        <w:rPr>
          <w:u w:val="single"/>
        </w:rPr>
        <w:t>in City of Houston v. Houston Professional Fire Fighters’ Association, Local 341</w:t>
      </w:r>
      <w:r>
        <w:t xml:space="preserve">, consolidated with </w:t>
      </w:r>
      <w:r>
        <w:rPr>
          <w:u w:val="single"/>
        </w:rPr>
        <w:t>Houston Police Officer’s Union v. Houston</w:t>
      </w:r>
      <w:r>
        <w:t xml:space="preserve"> </w:t>
      </w:r>
      <w:r>
        <w:rPr>
          <w:u w:val="single"/>
        </w:rPr>
        <w:t>Professional Fire Fighters’ Association, Local 341</w:t>
      </w:r>
      <w:r>
        <w:t xml:space="preserve">, the Texas Supreme Court held that the 2018 “Pay-Parity” change to City Charter [known as Proposition B], requiring firefighters be paid same as police officers, violates State law.  The State law is known as “The Fire and Police Employee Relations Act in Local Government Code Chapter 174.” Chapter 174 is a comprehensive framework that governs collective bargaining for those municipal employers whose voters have adopted it [adopted by Houston voters in 2003], and under that State law since Local 341 has reached an </w:t>
      </w:r>
      <w:r>
        <w:lastRenderedPageBreak/>
        <w:t>impasse with the City [last CBA was 2011-2017], they are entitled to Court intervention to reach  pay agreement that is "substantially equal" to those in comparable private-sector employment.</w:t>
      </w:r>
    </w:p>
    <w:p w14:paraId="30D1261E" w14:textId="77777777" w:rsidR="00D66BAA" w:rsidRDefault="00D66BAA" w:rsidP="00D66BAA">
      <w:pPr>
        <w:pStyle w:val="NormalWeb"/>
      </w:pPr>
      <w:r>
        <w:t>The Texas Supreme Court held:</w:t>
      </w:r>
    </w:p>
    <w:p w14:paraId="62B0290F" w14:textId="77777777" w:rsidR="00D66BAA" w:rsidRDefault="00D66BAA" w:rsidP="00D66BAA">
      <w:pPr>
        <w:pStyle w:val="NormalWeb"/>
        <w:ind w:left="720"/>
      </w:pPr>
      <w:r>
        <w:t xml:space="preserve">“We hold that Chapter 174 establishes reasonable standards for judicial enforcement such that it does not violate the constitutional separation of powers. Accordingly, we reject the City's constitutional challenge to judicial enforcement of the statute's compensation standard. We further hold that the Fire Fighters met all prerequisites for seeking Chapter 174 enforcement, and thus the statute waives the City's immunity from the Fire Fighters' lawsuit for Chapter 174 compensation. Finally, we hold that Chapter 174 preempts the pay-parity amendment. Local law may not supplant Chapter 174's rule of decision by requiring an inconsistent compensation measurement. Because the court of appeals held differently, we </w:t>
      </w:r>
      <w:proofErr w:type="gramStart"/>
      <w:r>
        <w:t>reverse</w:t>
      </w:r>
      <w:proofErr w:type="gramEnd"/>
      <w:r>
        <w:t xml:space="preserve"> its judgment in the second suit. We affirm its judgment in the initial suit and remand the case to the trial court for further proceedings to establish whether the City has complied with Chapter 174's compensation standards and, if not, to set appropriate firefighter compensation.” </w:t>
      </w:r>
      <w:hyperlink r:id="rId2722" w:history="1">
        <w:r>
          <w:rPr>
            <w:rStyle w:val="Hyperlink"/>
          </w:rPr>
          <w:t>https://search.txcourts.gov/SearchMedia.aspx?MediaVersionID=b6a5eb11-d9ee-4713-9079-a7fc018a0d0c&amp;coa=cossup&amp;DT=OPINION&amp;MediaID=180a364b-e3a9-4c3b-bb68-7b88944c20ad</w:t>
        </w:r>
      </w:hyperlink>
      <w:r>
        <w:t xml:space="preserve"> </w:t>
      </w:r>
    </w:p>
    <w:p w14:paraId="1B240E53" w14:textId="77777777" w:rsidR="00D66BAA" w:rsidRDefault="00D66BAA" w:rsidP="00D66BAA">
      <w:pPr>
        <w:pStyle w:val="NormalWeb"/>
        <w:ind w:left="720"/>
      </w:pPr>
      <w:r>
        <w:t xml:space="preserve">“Local regulations are preempted when they prescribe a governing rule that is inconsistent with a state statute's standards, even if enforcement of the local law might hypothetically result in the same outcome as enforcement of the statute. A court enforcing Chapter 174 may happen to reach a result consistent with the pay-parity amendment. In such cases, no inconsistency exists. The pay-parity amendment, however, never functions as the governing rule of decision in such an instance because it can never force a result different from that which Chapter 174 compels. Local regulations are not ‘ancillary </w:t>
      </w:r>
      <w:proofErr w:type="gramStart"/>
      <w:r>
        <w:t>to</w:t>
      </w:r>
      <w:proofErr w:type="gramEnd"/>
      <w:r>
        <w:t xml:space="preserve"> and in harmony with’ state statutes when they prescribe a different rule of decision that coincidentally converges with the statutory </w:t>
      </w:r>
      <w:proofErr w:type="gramStart"/>
      <w:r>
        <w:t>rule.”</w:t>
      </w:r>
      <w:proofErr w:type="gramEnd"/>
    </w:p>
    <w:p w14:paraId="514652E1" w14:textId="77777777" w:rsidR="00D66BAA" w:rsidRDefault="00D66BAA" w:rsidP="00D66BAA">
      <w:pPr>
        <w:pStyle w:val="NormalWeb"/>
        <w:rPr>
          <w:b/>
          <w:bCs/>
        </w:rPr>
      </w:pPr>
      <w:r>
        <w:rPr>
          <w:b/>
          <w:bCs/>
        </w:rPr>
        <w:t xml:space="preserve">Legal Lesson Learned:  The City of Houston and Police Union have won their challenge to Prob B; but the City must now go to collective bargaining with Local 341. </w:t>
      </w:r>
    </w:p>
    <w:p w14:paraId="11E65B95" w14:textId="77777777" w:rsidR="00D66BAA" w:rsidRDefault="00D66BAA" w:rsidP="00D66BAA">
      <w:pPr>
        <w:pStyle w:val="ekqk"/>
        <w:ind w:left="720"/>
        <w:rPr>
          <w:b/>
          <w:bCs/>
        </w:rPr>
      </w:pPr>
      <w:r>
        <w:t xml:space="preserve">Note: See March 31, </w:t>
      </w:r>
      <w:proofErr w:type="gramStart"/>
      <w:r>
        <w:t>2023</w:t>
      </w:r>
      <w:proofErr w:type="gramEnd"/>
      <w:r>
        <w:t xml:space="preserve"> article, “Texas Supreme Court strikes down 'Prop B' years after Houston voted for firefighter pay parity.” Both Houston city officials and the </w:t>
      </w:r>
      <w:proofErr w:type="gramStart"/>
      <w:r>
        <w:t>firefighters</w:t>
      </w:r>
      <w:proofErr w:type="gramEnd"/>
      <w:r>
        <w:t xml:space="preserve"> union took home a win in the ruling, and both are claiming victory… However, Thursday's decision wasn't just a win for those opposed to Prop B. The court also ruled in favor of the firefighter's union in another case about a state law that handles firefighter pay. The law, which the Supreme Court ruled is constitutional, says firefighters </w:t>
      </w:r>
      <w:proofErr w:type="gramStart"/>
      <w:r>
        <w:t>have to</w:t>
      </w:r>
      <w:proofErr w:type="gramEnd"/>
      <w:r>
        <w:t xml:space="preserve"> be paid substantially equal to similar jobs in the private sector, and that the two sides should use collective bargaining to reach a </w:t>
      </w:r>
      <w:proofErr w:type="gramStart"/>
      <w:r>
        <w:t>deal.”</w:t>
      </w:r>
      <w:proofErr w:type="gramEnd"/>
      <w:r>
        <w:t xml:space="preserve"> </w:t>
      </w:r>
      <w:hyperlink r:id="rId2723" w:history="1">
        <w:r>
          <w:rPr>
            <w:rStyle w:val="Hyperlink"/>
          </w:rPr>
          <w:t>https://abc13.com/prop-b-update-houston-firefighter-pay-parity-texas-supreme-court-proposition-struck-down/13057363/</w:t>
        </w:r>
      </w:hyperlink>
      <w:r>
        <w:rPr>
          <w:b/>
          <w:bCs/>
        </w:rPr>
        <w:t xml:space="preserve"> </w:t>
      </w:r>
    </w:p>
    <w:p w14:paraId="4D540E70" w14:textId="77777777" w:rsidR="00D66BAA" w:rsidRDefault="00D66BAA" w:rsidP="00D66BAA">
      <w:pPr>
        <w:pStyle w:val="NormalWeb"/>
      </w:pPr>
    </w:p>
    <w:p w14:paraId="4B09FD61" w14:textId="0ABF6B9E" w:rsidR="00D66BAA" w:rsidRDefault="00D66BAA" w:rsidP="00F326E5">
      <w:pPr>
        <w:pStyle w:val="NoSpacing"/>
        <w:rPr>
          <w:rFonts w:ascii="Arial Black" w:hAnsi="Arial Black"/>
          <w:sz w:val="24"/>
          <w:szCs w:val="24"/>
        </w:rPr>
      </w:pPr>
      <w:r>
        <w:rPr>
          <w:rFonts w:ascii="Arial Black" w:hAnsi="Arial Black"/>
          <w:sz w:val="24"/>
          <w:szCs w:val="24"/>
        </w:rPr>
        <w:t>17-28</w:t>
      </w:r>
    </w:p>
    <w:p w14:paraId="290A746F" w14:textId="77777777" w:rsidR="00D66BAA" w:rsidRDefault="00D66BAA" w:rsidP="00D66BAA">
      <w:pPr>
        <w:pStyle w:val="NormalWeb"/>
        <w:rPr>
          <w:rFonts w:ascii="Arial Black" w:hAnsi="Arial Black"/>
          <w:sz w:val="28"/>
          <w:szCs w:val="28"/>
        </w:rPr>
      </w:pPr>
      <w:r>
        <w:rPr>
          <w:rFonts w:ascii="Arial Black" w:hAnsi="Arial Black"/>
          <w:sz w:val="28"/>
          <w:szCs w:val="28"/>
        </w:rPr>
        <w:t>CT: CBA UNCLEAR ON SICK PAY – TWO FF RESIGNED, NOW  GETTING PENSION - CITY WINS NEW TRIAL ON SICK PAY</w:t>
      </w:r>
    </w:p>
    <w:p w14:paraId="11217EAC" w14:textId="77777777" w:rsidR="00D66BAA" w:rsidRDefault="00D66BAA" w:rsidP="00D66BAA">
      <w:pPr>
        <w:pStyle w:val="NormalWeb"/>
      </w:pPr>
      <w:r>
        <w:t xml:space="preserve">On March 28, 2023, in </w:t>
      </w:r>
      <w:r>
        <w:rPr>
          <w:u w:val="single"/>
        </w:rPr>
        <w:t>Dickie K. Murchison, Jr. and John J. Bigham v. City of Waterbury</w:t>
      </w:r>
      <w:r>
        <w:t xml:space="preserve">, the Court of Appeals of Connecticut held that the trial court’s award of sick pay of $28,307.98 to Murchison, and $33,451.55 to Bigham is reversed. Each firefighter resigned after 20 years, but prior to 25 years to be eligible for retirement.  Now each firefighter is eligible for deferred vested pension benefits after the twenty-fifth anniversary of their </w:t>
      </w:r>
      <w:r>
        <w:lastRenderedPageBreak/>
        <w:t xml:space="preserve">respective hire dates, and they also now want unused sick pay.  The CBA does not explicitly address whether they are now entitled to unused sick pay. On appeal the City first claims that the trial court erred in awarding the plaintiffs terminal leave </w:t>
      </w:r>
      <w:proofErr w:type="gramStart"/>
      <w:r>
        <w:t>pay</w:t>
      </w:r>
      <w:proofErr w:type="gramEnd"/>
      <w:r>
        <w:t xml:space="preserve">, arguing that the plaintiffs only </w:t>
      </w:r>
      <w:r>
        <w:rPr>
          <w:rStyle w:val="Emphasis"/>
        </w:rPr>
        <w:t>resigned</w:t>
      </w:r>
      <w:r>
        <w:t xml:space="preserve"> from employment with the defendant, and did not "retire," for purposes of the terminal leave pay provision.  </w:t>
      </w:r>
    </w:p>
    <w:p w14:paraId="4D0556BD" w14:textId="77777777" w:rsidR="00D66BAA" w:rsidRDefault="00D66BAA" w:rsidP="00D66BAA">
      <w:pPr>
        <w:pStyle w:val="NormalWeb"/>
        <w:ind w:left="720"/>
      </w:pPr>
      <w:r>
        <w:t xml:space="preserve">The Court of Appeals agreed. “The [City] claims that, because there was no evidence in the record that it drafted the agreement, the trial court erred in construing any ambiguity in the terminal leave pay provision against it. The plaintiffs counter that, regardless of any ambiguity in the provision, the evidence established that the term ‘retirement’ refers to the date that they became eligible to collect, and/or began collecting, their pension benefits. We agree with the defendant.” </w:t>
      </w:r>
      <w:hyperlink r:id="rId2724" w:history="1">
        <w:r>
          <w:rPr>
            <w:rStyle w:val="Hyperlink"/>
          </w:rPr>
          <w:t>https://www.jud.ct.gov/external/supapp/Cases/AROap/AP218/218AP115.pdf</w:t>
        </w:r>
      </w:hyperlink>
      <w:r>
        <w:t xml:space="preserve"> </w:t>
      </w:r>
    </w:p>
    <w:p w14:paraId="60DD6AB9" w14:textId="77777777" w:rsidR="00D66BAA" w:rsidRDefault="00D66BAA" w:rsidP="00D66BAA">
      <w:pPr>
        <w:pStyle w:val="NormalWeb"/>
        <w:ind w:left="720"/>
      </w:pPr>
      <w:r>
        <w:t xml:space="preserve">“The language at issue in the present case is found in the terminal leave pay provision of the agreement, the relevant text of which previously has been set forth in full in this opinion. That provision details that firefighter employees become eligible for terminal leave </w:t>
      </w:r>
      <w:proofErr w:type="gramStart"/>
      <w:r>
        <w:t>pay ‘[</w:t>
      </w:r>
      <w:proofErr w:type="gramEnd"/>
      <w:r>
        <w:t>u]</w:t>
      </w:r>
      <w:proofErr w:type="spellStart"/>
      <w:r>
        <w:t>pon</w:t>
      </w:r>
      <w:proofErr w:type="spellEnd"/>
      <w:r>
        <w:t xml:space="preserve"> . . . retirement,’ where the first of four installments is due, as is relevant here, on the ‘date of retirement.’ The term ‘retirement’ is not defined in the terminal leave pay provision or anywhere else in the agreement. In the absence of such a definition and </w:t>
      </w:r>
      <w:proofErr w:type="gramStart"/>
      <w:r>
        <w:t>in order to</w:t>
      </w:r>
      <w:proofErr w:type="gramEnd"/>
      <w:r>
        <w:t xml:space="preserve"> interpret the use of that term in the terminal leave pay provision, the parties have turned to the various uses and definitions of the term "retirement" in the ordinance, the relevant text of which also has been set forth previously in this opinion.</w:t>
      </w:r>
    </w:p>
    <w:p w14:paraId="295421C9" w14:textId="77777777" w:rsidR="00D66BAA" w:rsidRDefault="00D66BAA" w:rsidP="00D66BAA">
      <w:pPr>
        <w:pStyle w:val="NormalWeb"/>
        <w:ind w:left="720"/>
      </w:pPr>
      <w:r>
        <w:t>***</w:t>
      </w:r>
    </w:p>
    <w:p w14:paraId="1BA0E90C" w14:textId="77777777" w:rsidR="00D66BAA" w:rsidRDefault="00D66BAA" w:rsidP="00D66BAA">
      <w:pPr>
        <w:pStyle w:val="NormalWeb"/>
        <w:ind w:left="720"/>
      </w:pPr>
      <w:r>
        <w:t>In sum, we conclude that the term ‘retirement’ as used in the terminal leave pay provision is ambiguous because it is susceptible to more than one reasonable interpretation. Because the [trial] court failed to resolve that ambiguity, it could not have properly found that the plaintiffs were entitled to terminal leave pay.</w:t>
      </w:r>
    </w:p>
    <w:p w14:paraId="071940B6" w14:textId="77777777" w:rsidR="00D66BAA" w:rsidRDefault="00D66BAA" w:rsidP="00D66BAA">
      <w:pPr>
        <w:pStyle w:val="NormalWeb"/>
        <w:ind w:left="720"/>
      </w:pPr>
      <w:r>
        <w:t>***</w:t>
      </w:r>
    </w:p>
    <w:p w14:paraId="6ED4474D" w14:textId="77777777" w:rsidR="00D66BAA" w:rsidRDefault="00D66BAA" w:rsidP="00D66BAA">
      <w:pPr>
        <w:pStyle w:val="NormalWeb"/>
        <w:ind w:left="720"/>
      </w:pPr>
      <w:r>
        <w:t xml:space="preserve">The judgment is reversed and the case is remanded for a new </w:t>
      </w:r>
      <w:proofErr w:type="gramStart"/>
      <w:r>
        <w:t>trial.”</w:t>
      </w:r>
      <w:proofErr w:type="gramEnd"/>
    </w:p>
    <w:p w14:paraId="60C05639" w14:textId="77777777" w:rsidR="00D66BAA" w:rsidRDefault="00D66BAA" w:rsidP="00D66BAA">
      <w:pPr>
        <w:pStyle w:val="NormalWeb"/>
        <w:rPr>
          <w:b/>
          <w:bCs/>
        </w:rPr>
      </w:pPr>
      <w:r>
        <w:rPr>
          <w:b/>
          <w:bCs/>
        </w:rPr>
        <w:t xml:space="preserve">Legal Lesson Learned: When a CBA is unclear about when firefighters are eligible for unused sick pay, the ambiguity cannot be used against the City without proof the City drafted the CBA provision. </w:t>
      </w:r>
    </w:p>
    <w:p w14:paraId="4DB8AF49" w14:textId="77777777" w:rsidR="00D66BAA" w:rsidRDefault="00D66BAA" w:rsidP="00D66BAA">
      <w:pPr>
        <w:pStyle w:val="NormalWeb"/>
        <w:ind w:left="720"/>
      </w:pPr>
      <w:r>
        <w:t xml:space="preserve">Note: On </w:t>
      </w:r>
      <w:proofErr w:type="gramStart"/>
      <w:r>
        <w:t>Aug,</w:t>
      </w:r>
      <w:proofErr w:type="gramEnd"/>
      <w:r>
        <w:t xml:space="preserve"> 14, 2018, Judge Brazzel-Massaro denied summary judgment for either side, and ordered the case be tried. “In sum, the bargaining agreement and ordinance are susceptible to more than one reasonable interpretation and are therefore ambiguous.” See unpublished decision. </w:t>
      </w:r>
      <w:hyperlink r:id="rId2725" w:history="1">
        <w:r>
          <w:rPr>
            <w:rStyle w:val="Hyperlink"/>
          </w:rPr>
          <w:t>https://casetext.com/case/murchison-v-city-of-waterbury</w:t>
        </w:r>
      </w:hyperlink>
      <w:r>
        <w:t xml:space="preserve"> </w:t>
      </w:r>
    </w:p>
    <w:p w14:paraId="4129508C" w14:textId="77777777" w:rsidR="00D66BAA" w:rsidRDefault="00D66BAA" w:rsidP="00D66BAA">
      <w:pPr>
        <w:pStyle w:val="NormalWeb"/>
        <w:ind w:left="720"/>
      </w:pPr>
      <w:r>
        <w:t xml:space="preserve">On Nov. 7, 2019, the case went to trial before a different Judge – bench trial (no jury) before Judge Gordon.  On October 1, 2021, the trial court judge issued a memorandum of decision rendering judgment in favor of the plaintiffs, awarding terminal leave pay in the amounts of $28,307.98 to Murchison and $33,451.55 to Bigham. This appeal followed. </w:t>
      </w:r>
    </w:p>
    <w:p w14:paraId="6903DA35" w14:textId="77777777" w:rsidR="00D66BAA" w:rsidRDefault="00D66BAA" w:rsidP="00D66BAA">
      <w:pPr>
        <w:pStyle w:val="NormalWeb"/>
        <w:jc w:val="center"/>
        <w:rPr>
          <w:b/>
          <w:bCs/>
        </w:rPr>
      </w:pPr>
    </w:p>
    <w:p w14:paraId="74023875" w14:textId="143CE01C" w:rsidR="00D66BAA" w:rsidRDefault="00D66BAA" w:rsidP="00F326E5">
      <w:pPr>
        <w:pStyle w:val="NoSpacing"/>
        <w:rPr>
          <w:rFonts w:ascii="Arial Black" w:hAnsi="Arial Black"/>
          <w:sz w:val="24"/>
          <w:szCs w:val="24"/>
        </w:rPr>
      </w:pPr>
    </w:p>
    <w:p w14:paraId="4FFDEF8E" w14:textId="77777777" w:rsidR="00D66BAA" w:rsidRDefault="00D66BAA" w:rsidP="00F326E5">
      <w:pPr>
        <w:pStyle w:val="NoSpacing"/>
        <w:rPr>
          <w:rFonts w:ascii="Arial Black" w:hAnsi="Arial Black"/>
          <w:sz w:val="24"/>
          <w:szCs w:val="24"/>
        </w:rPr>
      </w:pPr>
    </w:p>
    <w:p w14:paraId="29964F1C" w14:textId="77777777" w:rsidR="00D66BAA" w:rsidRDefault="00D66BAA" w:rsidP="00F326E5">
      <w:pPr>
        <w:pStyle w:val="NoSpacing"/>
        <w:rPr>
          <w:rFonts w:ascii="Arial Black" w:hAnsi="Arial Black"/>
          <w:sz w:val="24"/>
          <w:szCs w:val="24"/>
        </w:rPr>
      </w:pPr>
    </w:p>
    <w:p w14:paraId="576D8954" w14:textId="3CD7459C" w:rsidR="00465DC0" w:rsidRDefault="00465DC0" w:rsidP="00F326E5">
      <w:pPr>
        <w:pStyle w:val="NoSpacing"/>
        <w:rPr>
          <w:rFonts w:ascii="Arial Black" w:hAnsi="Arial Black"/>
          <w:sz w:val="24"/>
          <w:szCs w:val="24"/>
        </w:rPr>
      </w:pPr>
      <w:r>
        <w:rPr>
          <w:rFonts w:ascii="Arial Black" w:hAnsi="Arial Black"/>
          <w:sz w:val="24"/>
          <w:szCs w:val="24"/>
        </w:rPr>
        <w:t>17-27</w:t>
      </w:r>
    </w:p>
    <w:p w14:paraId="34A39FA0" w14:textId="77777777" w:rsidR="00465DC0" w:rsidRPr="00F3276E" w:rsidRDefault="00465DC0" w:rsidP="00465DC0">
      <w:pPr>
        <w:pStyle w:val="NormalWeb"/>
        <w:rPr>
          <w:rFonts w:ascii="Arial Black" w:hAnsi="Arial Black"/>
          <w:sz w:val="28"/>
          <w:szCs w:val="28"/>
        </w:rPr>
      </w:pPr>
      <w:r w:rsidRPr="00F3276E">
        <w:rPr>
          <w:rFonts w:ascii="Arial Black" w:hAnsi="Arial Black"/>
          <w:sz w:val="28"/>
          <w:szCs w:val="28"/>
        </w:rPr>
        <w:lastRenderedPageBreak/>
        <w:t xml:space="preserve">NLRB – REVERSES TWO PRIOR RULINGS - SEVERANCE AGREEMENTS </w:t>
      </w:r>
      <w:r>
        <w:rPr>
          <w:rFonts w:ascii="Arial Black" w:hAnsi="Arial Black"/>
          <w:sz w:val="28"/>
          <w:szCs w:val="28"/>
        </w:rPr>
        <w:t xml:space="preserve">– NO </w:t>
      </w:r>
      <w:r w:rsidRPr="00F3276E">
        <w:rPr>
          <w:rFonts w:ascii="Arial Black" w:hAnsi="Arial Black"/>
          <w:sz w:val="28"/>
          <w:szCs w:val="28"/>
        </w:rPr>
        <w:t xml:space="preserve">DISCLOSURE </w:t>
      </w:r>
      <w:r>
        <w:rPr>
          <w:rFonts w:ascii="Arial Black" w:hAnsi="Arial Black"/>
          <w:sz w:val="28"/>
          <w:szCs w:val="28"/>
        </w:rPr>
        <w:t xml:space="preserve">/ NO </w:t>
      </w:r>
      <w:r w:rsidRPr="00F3276E">
        <w:rPr>
          <w:rFonts w:ascii="Arial Black" w:hAnsi="Arial Black"/>
          <w:sz w:val="28"/>
          <w:szCs w:val="28"/>
        </w:rPr>
        <w:t xml:space="preserve">“DISPARAGE” </w:t>
      </w:r>
    </w:p>
    <w:p w14:paraId="042F7E8B" w14:textId="77777777" w:rsidR="00465DC0" w:rsidRDefault="00465DC0" w:rsidP="00465DC0">
      <w:pPr>
        <w:pStyle w:val="Heading1"/>
        <w:rPr>
          <w:rStyle w:val="field"/>
          <w:b w:val="0"/>
          <w:bCs w:val="0"/>
          <w:sz w:val="24"/>
          <w:szCs w:val="24"/>
        </w:rPr>
      </w:pPr>
      <w:r w:rsidRPr="00216DC5">
        <w:rPr>
          <w:rStyle w:val="field"/>
          <w:b w:val="0"/>
          <w:bCs w:val="0"/>
          <w:sz w:val="24"/>
          <w:szCs w:val="24"/>
        </w:rPr>
        <w:t xml:space="preserve">On Feb. 21, 2023, </w:t>
      </w:r>
      <w:r>
        <w:rPr>
          <w:rStyle w:val="field"/>
          <w:b w:val="0"/>
          <w:bCs w:val="0"/>
          <w:sz w:val="24"/>
          <w:szCs w:val="24"/>
        </w:rPr>
        <w:t xml:space="preserve">in </w:t>
      </w:r>
      <w:r w:rsidRPr="00216DC5">
        <w:rPr>
          <w:b w:val="0"/>
          <w:bCs w:val="0"/>
          <w:sz w:val="24"/>
          <w:szCs w:val="24"/>
          <w:u w:val="single"/>
        </w:rPr>
        <w:t>McLaren Macomb and Local 40 RN Staff Council, Office and Professional Employees, International Union (OPEIU), AFL–CIO</w:t>
      </w:r>
      <w:r>
        <w:rPr>
          <w:b w:val="0"/>
          <w:bCs w:val="0"/>
          <w:sz w:val="24"/>
          <w:szCs w:val="24"/>
        </w:rPr>
        <w:t>, the National Labor Relations Board departed from two prior decisions in 2020, and held (3 to 1) that a hospital in Mt. Clemens, Michigan, with 2,300 employees, during the COVID period in June 2020 permanently furloughed 11 service employees who were members of this Local. Each employee signed a Severance Agreement that not only released the hospital from any claims arising from their employment, but further prohibited then from disparaging the hospital, and required confidentiality about the terms of the agreement, except to spouse or tax preparer or attorney. The NLRB General Counsel filed a complaint against the hospital, since breach of these provisions could lead to loss of severance benefits.  The NLRB agreed: “</w:t>
      </w:r>
      <w:r w:rsidRPr="006F2BFB">
        <w:rPr>
          <w:b w:val="0"/>
          <w:bCs w:val="0"/>
          <w:sz w:val="24"/>
          <w:szCs w:val="24"/>
        </w:rPr>
        <w:t>Examining the language of the severance agreement</w:t>
      </w:r>
      <w:r>
        <w:rPr>
          <w:b w:val="0"/>
          <w:bCs w:val="0"/>
          <w:sz w:val="24"/>
          <w:szCs w:val="24"/>
        </w:rPr>
        <w:t xml:space="preserve"> </w:t>
      </w:r>
      <w:r w:rsidRPr="006F2BFB">
        <w:rPr>
          <w:b w:val="0"/>
          <w:bCs w:val="0"/>
          <w:sz w:val="24"/>
          <w:szCs w:val="24"/>
        </w:rPr>
        <w:t>here, we conclude that the non</w:t>
      </w:r>
      <w:r>
        <w:rPr>
          <w:b w:val="0"/>
          <w:bCs w:val="0"/>
          <w:sz w:val="24"/>
          <w:szCs w:val="24"/>
        </w:rPr>
        <w:t>-</w:t>
      </w:r>
      <w:r w:rsidRPr="006F2BFB">
        <w:rPr>
          <w:b w:val="0"/>
          <w:bCs w:val="0"/>
          <w:sz w:val="24"/>
          <w:szCs w:val="24"/>
        </w:rPr>
        <w:t>disparagement and confidentiality provisions interfere with, restrain, or coerce</w:t>
      </w:r>
      <w:r>
        <w:rPr>
          <w:b w:val="0"/>
          <w:bCs w:val="0"/>
          <w:sz w:val="24"/>
          <w:szCs w:val="24"/>
        </w:rPr>
        <w:t xml:space="preserve"> </w:t>
      </w:r>
      <w:r w:rsidRPr="006F2BFB">
        <w:rPr>
          <w:b w:val="0"/>
          <w:bCs w:val="0"/>
          <w:sz w:val="24"/>
          <w:szCs w:val="24"/>
        </w:rPr>
        <w:t>employees’ exercise of Section 7 rights.</w:t>
      </w:r>
      <w:r>
        <w:rPr>
          <w:b w:val="0"/>
          <w:bCs w:val="0"/>
          <w:sz w:val="24"/>
          <w:szCs w:val="24"/>
        </w:rPr>
        <w:t xml:space="preserve">” </w:t>
      </w:r>
      <w:hyperlink r:id="rId2726" w:history="1">
        <w:r w:rsidRPr="003F256B">
          <w:rPr>
            <w:rStyle w:val="Hyperlink"/>
            <w:rFonts w:eastAsiaTheme="majorEastAsia"/>
            <w:b w:val="0"/>
            <w:bCs w:val="0"/>
            <w:sz w:val="24"/>
            <w:szCs w:val="24"/>
          </w:rPr>
          <w:t>file:///C:/Users/lawre/Downloads/Board%20Decision.pdf</w:t>
        </w:r>
      </w:hyperlink>
      <w:r>
        <w:rPr>
          <w:rStyle w:val="field"/>
          <w:b w:val="0"/>
          <w:bCs w:val="0"/>
          <w:sz w:val="24"/>
          <w:szCs w:val="24"/>
        </w:rPr>
        <w:t xml:space="preserve"> </w:t>
      </w:r>
    </w:p>
    <w:p w14:paraId="2D163D90" w14:textId="77777777" w:rsidR="00465DC0" w:rsidRDefault="00465DC0" w:rsidP="00465DC0">
      <w:pPr>
        <w:pStyle w:val="Heading1"/>
        <w:rPr>
          <w:rStyle w:val="field"/>
          <w:b w:val="0"/>
          <w:bCs w:val="0"/>
          <w:sz w:val="24"/>
          <w:szCs w:val="24"/>
        </w:rPr>
      </w:pPr>
      <w:r>
        <w:rPr>
          <w:rStyle w:val="field"/>
          <w:b w:val="0"/>
          <w:bCs w:val="0"/>
          <w:sz w:val="24"/>
          <w:szCs w:val="24"/>
        </w:rPr>
        <w:tab/>
        <w:t xml:space="preserve">The NLRB issued a Press Release about this significant decision. </w:t>
      </w:r>
    </w:p>
    <w:p w14:paraId="49449773" w14:textId="77777777" w:rsidR="00465DC0" w:rsidRPr="00216DC5" w:rsidRDefault="00465DC0" w:rsidP="00465DC0">
      <w:pPr>
        <w:pStyle w:val="Heading1"/>
        <w:ind w:left="720"/>
        <w:rPr>
          <w:sz w:val="24"/>
          <w:szCs w:val="24"/>
        </w:rPr>
      </w:pPr>
      <w:r>
        <w:rPr>
          <w:rStyle w:val="field"/>
          <w:sz w:val="24"/>
          <w:szCs w:val="24"/>
        </w:rPr>
        <w:t>“</w:t>
      </w:r>
      <w:r w:rsidRPr="00216DC5">
        <w:rPr>
          <w:rStyle w:val="field"/>
          <w:sz w:val="24"/>
          <w:szCs w:val="24"/>
        </w:rPr>
        <w:t xml:space="preserve">Board Rules that Employers May Not Offer Severance Agreements Requiring Employees to Broadly Waive Labor Law Rights </w:t>
      </w:r>
    </w:p>
    <w:p w14:paraId="67730452" w14:textId="77777777" w:rsidR="00465DC0" w:rsidRDefault="00465DC0" w:rsidP="00465DC0">
      <w:pPr>
        <w:pStyle w:val="NormalWeb"/>
        <w:ind w:left="720"/>
      </w:pPr>
      <w:r>
        <w:t xml:space="preserve">Today, the Board </w:t>
      </w:r>
      <w:hyperlink r:id="rId2727" w:history="1">
        <w:r>
          <w:rPr>
            <w:rStyle w:val="Hyperlink"/>
            <w:rFonts w:eastAsiaTheme="majorEastAsia"/>
          </w:rPr>
          <w:t xml:space="preserve">issued a decision in </w:t>
        </w:r>
        <w:r>
          <w:rPr>
            <w:rStyle w:val="Emphasis"/>
            <w:color w:val="0000FF"/>
            <w:u w:val="single"/>
          </w:rPr>
          <w:t>McLaren Macomb</w:t>
        </w:r>
      </w:hyperlink>
      <w:r>
        <w:rPr>
          <w:rStyle w:val="Emphasis"/>
        </w:rPr>
        <w:t xml:space="preserve">, </w:t>
      </w:r>
      <w:r>
        <w:t>returning to longstanding precedent holding that employers may not offer employees severance agreements that require employees to broadly waive their rights under the National Labor Relations Act. The decision involved severance agreements offered to furloughed employees that prohibited them from making statements that could disparage the employer and from disclosing the terms of the agreement itself.  </w:t>
      </w:r>
    </w:p>
    <w:p w14:paraId="4279AD0F" w14:textId="77777777" w:rsidR="00465DC0" w:rsidRDefault="00465DC0" w:rsidP="00465DC0">
      <w:pPr>
        <w:pStyle w:val="NormalWeb"/>
        <w:ind w:left="720"/>
      </w:pPr>
      <w:r>
        <w:t xml:space="preserve">The decision reverses the previous Board’s decisions in </w:t>
      </w:r>
      <w:r>
        <w:rPr>
          <w:rStyle w:val="Emphasis"/>
        </w:rPr>
        <w:t>Baylor University Medical Center</w:t>
      </w:r>
      <w:r>
        <w:t xml:space="preserve"> and </w:t>
      </w:r>
      <w:r>
        <w:rPr>
          <w:rStyle w:val="Emphasis"/>
        </w:rPr>
        <w:t xml:space="preserve">IGT d/b/a International Game Technology, </w:t>
      </w:r>
      <w:r>
        <w:t>issued in 2020</w:t>
      </w:r>
      <w:r>
        <w:rPr>
          <w:rStyle w:val="Emphasis"/>
        </w:rPr>
        <w:t>,</w:t>
      </w:r>
      <w:r>
        <w:t xml:space="preserve"> which abandoned prior precedent in finding that offering similar severance agreements to employees was not unlawful, by itself.  </w:t>
      </w:r>
    </w:p>
    <w:p w14:paraId="50F0E82C" w14:textId="77777777" w:rsidR="00465DC0" w:rsidRDefault="00465DC0" w:rsidP="00465DC0">
      <w:pPr>
        <w:pStyle w:val="NormalWeb"/>
        <w:ind w:left="720"/>
      </w:pPr>
      <w:r>
        <w:t xml:space="preserve">Today’s decision, in contrast, explains that simply offering employees a severance agreement that requires them to broadly give up their rights under Section 7 of the Act violates Section 8(a)(1) of the Act. The Board observed that the employer’s offer </w:t>
      </w:r>
      <w:proofErr w:type="gramStart"/>
      <w:r>
        <w:t>is itself</w:t>
      </w:r>
      <w:proofErr w:type="gramEnd"/>
      <w:r>
        <w:t xml:space="preserve"> an attempt to deter employees from exercising their statutory rights, at a time when employees may feel they must give up their rights </w:t>
      </w:r>
      <w:proofErr w:type="gramStart"/>
      <w:r>
        <w:t>in order to</w:t>
      </w:r>
      <w:proofErr w:type="gramEnd"/>
      <w:r>
        <w:t xml:space="preserve"> get the benefits provided in the agreement.      </w:t>
      </w:r>
    </w:p>
    <w:p w14:paraId="4507C403" w14:textId="77777777" w:rsidR="00465DC0" w:rsidRDefault="00465DC0" w:rsidP="00465DC0">
      <w:pPr>
        <w:pStyle w:val="NormalWeb"/>
        <w:ind w:left="720"/>
      </w:pPr>
      <w:r>
        <w:t>‘It’s long been understood by the Board and the courts that employers cannot ask individual employees to choose between receiving benefits and exercising their rights under the National Labor Relations Act.  Today’s decision upholds this important principle and restores longstanding precedent,’ said Chairman Lauren McFerran.   </w:t>
      </w:r>
    </w:p>
    <w:p w14:paraId="55F793BC" w14:textId="77777777" w:rsidR="00465DC0" w:rsidRDefault="00465DC0" w:rsidP="00465DC0">
      <w:pPr>
        <w:pStyle w:val="NormalWeb"/>
        <w:ind w:left="720"/>
      </w:pPr>
      <w:r>
        <w:t xml:space="preserve">Members Wilcox and Prouty joined Chairman McFerran in issuing the decision. Member Kaplan dissented.” </w:t>
      </w:r>
      <w:hyperlink r:id="rId2728" w:history="1">
        <w:r w:rsidRPr="003F256B">
          <w:rPr>
            <w:rStyle w:val="Hyperlink"/>
            <w:rFonts w:eastAsiaTheme="majorEastAsia"/>
          </w:rPr>
          <w:t>https://www.nlrb.gov/news-outreach/news-story/board-rules-that-employers-may-not-offer-severance-agreements-requiring</w:t>
        </w:r>
      </w:hyperlink>
      <w:r>
        <w:t xml:space="preserve"> </w:t>
      </w:r>
    </w:p>
    <w:p w14:paraId="15EB7BAD" w14:textId="77777777" w:rsidR="00465DC0" w:rsidRPr="006F2BFB" w:rsidRDefault="00465DC0" w:rsidP="00465DC0">
      <w:pPr>
        <w:pStyle w:val="Heading1"/>
        <w:rPr>
          <w:rStyle w:val="field"/>
          <w:sz w:val="24"/>
          <w:szCs w:val="24"/>
        </w:rPr>
      </w:pPr>
      <w:r w:rsidRPr="006F2BFB">
        <w:rPr>
          <w:rStyle w:val="field"/>
          <w:sz w:val="24"/>
          <w:szCs w:val="24"/>
        </w:rPr>
        <w:t xml:space="preserve">Legal Lesson Learned: </w:t>
      </w:r>
      <w:r>
        <w:rPr>
          <w:rStyle w:val="field"/>
          <w:sz w:val="24"/>
          <w:szCs w:val="24"/>
        </w:rPr>
        <w:t xml:space="preserve">Fire &amp; EMS Departments should consult Legal Counsel about this significant change by NLRB. See two prior decisions, and dissenting opinion by NLRB Member Marvin Kaplan. </w:t>
      </w:r>
    </w:p>
    <w:p w14:paraId="05F4504D" w14:textId="77777777" w:rsidR="00465DC0" w:rsidRDefault="00465DC0" w:rsidP="00465DC0">
      <w:pPr>
        <w:pStyle w:val="Heading1"/>
        <w:ind w:left="720"/>
        <w:rPr>
          <w:rStyle w:val="field"/>
          <w:b w:val="0"/>
          <w:bCs w:val="0"/>
          <w:sz w:val="24"/>
          <w:szCs w:val="24"/>
        </w:rPr>
      </w:pPr>
      <w:r>
        <w:rPr>
          <w:rStyle w:val="field"/>
          <w:b w:val="0"/>
          <w:bCs w:val="0"/>
          <w:sz w:val="24"/>
          <w:szCs w:val="24"/>
        </w:rPr>
        <w:t xml:space="preserve">Note: See two decisions in 2020 now being rejected. </w:t>
      </w:r>
    </w:p>
    <w:p w14:paraId="08B95326" w14:textId="77777777" w:rsidR="00465DC0" w:rsidRPr="009F5DB1" w:rsidRDefault="00465DC0" w:rsidP="00465DC0">
      <w:pPr>
        <w:pStyle w:val="Heading1"/>
        <w:ind w:left="1440"/>
        <w:rPr>
          <w:rStyle w:val="field"/>
          <w:b w:val="0"/>
          <w:bCs w:val="0"/>
          <w:sz w:val="24"/>
          <w:szCs w:val="24"/>
        </w:rPr>
      </w:pPr>
      <w:r w:rsidRPr="00A00396">
        <w:rPr>
          <w:b w:val="0"/>
          <w:bCs w:val="0"/>
          <w:sz w:val="24"/>
          <w:szCs w:val="24"/>
          <w:u w:val="single"/>
        </w:rPr>
        <w:lastRenderedPageBreak/>
        <w:t>Baylor University Medical Center and Dora S. Camacho</w:t>
      </w:r>
      <w:r w:rsidRPr="00CB15E1">
        <w:rPr>
          <w:b w:val="0"/>
          <w:bCs w:val="0"/>
          <w:sz w:val="24"/>
          <w:szCs w:val="24"/>
        </w:rPr>
        <w:t>. Case 16–CA–195335</w:t>
      </w:r>
      <w:r w:rsidRPr="00CB15E1">
        <w:rPr>
          <w:b w:val="0"/>
          <w:bCs w:val="0"/>
          <w:sz w:val="24"/>
          <w:szCs w:val="24"/>
        </w:rPr>
        <w:br/>
        <w:t>March 16, 2020</w:t>
      </w:r>
      <w:r>
        <w:rPr>
          <w:b w:val="0"/>
          <w:bCs w:val="0"/>
          <w:sz w:val="24"/>
          <w:szCs w:val="24"/>
        </w:rPr>
        <w:t xml:space="preserve">.  </w:t>
      </w:r>
      <w:hyperlink r:id="rId2729" w:history="1">
        <w:r w:rsidRPr="003F256B">
          <w:rPr>
            <w:rStyle w:val="Hyperlink"/>
            <w:rFonts w:eastAsiaTheme="majorEastAsia"/>
            <w:b w:val="0"/>
            <w:bCs w:val="0"/>
            <w:sz w:val="24"/>
            <w:szCs w:val="24"/>
          </w:rPr>
          <w:t>http://www.lanermuchin.com/assets/htmldocuments/Board%20Decision-%20Baylor.pdf</w:t>
        </w:r>
      </w:hyperlink>
      <w:r>
        <w:rPr>
          <w:b w:val="0"/>
          <w:bCs w:val="0"/>
          <w:sz w:val="24"/>
          <w:szCs w:val="24"/>
        </w:rPr>
        <w:t xml:space="preserve"> </w:t>
      </w:r>
      <w:r w:rsidRPr="00CB15E1">
        <w:rPr>
          <w:b w:val="0"/>
          <w:bCs w:val="0"/>
          <w:sz w:val="24"/>
          <w:szCs w:val="24"/>
        </w:rPr>
        <w:br/>
      </w:r>
      <w:r>
        <w:rPr>
          <w:b w:val="0"/>
          <w:bCs w:val="0"/>
          <w:sz w:val="24"/>
          <w:szCs w:val="24"/>
        </w:rPr>
        <w:t>“</w:t>
      </w:r>
      <w:r w:rsidRPr="00CB15E1">
        <w:rPr>
          <w:b w:val="0"/>
          <w:bCs w:val="0"/>
          <w:sz w:val="24"/>
          <w:szCs w:val="24"/>
        </w:rPr>
        <w:t>Baylor fired Camacho on September 30, 2016.</w:t>
      </w:r>
      <w:r>
        <w:rPr>
          <w:b w:val="0"/>
          <w:bCs w:val="0"/>
          <w:sz w:val="24"/>
          <w:szCs w:val="24"/>
        </w:rPr>
        <w:t xml:space="preserve"> </w:t>
      </w:r>
      <w:r w:rsidRPr="00CB15E1">
        <w:rPr>
          <w:b w:val="0"/>
          <w:bCs w:val="0"/>
          <w:sz w:val="24"/>
          <w:szCs w:val="24"/>
        </w:rPr>
        <w:t>On October</w:t>
      </w:r>
      <w:r>
        <w:rPr>
          <w:b w:val="0"/>
          <w:bCs w:val="0"/>
          <w:sz w:val="24"/>
          <w:szCs w:val="24"/>
        </w:rPr>
        <w:t xml:space="preserve"> </w:t>
      </w:r>
      <w:r w:rsidRPr="00CB15E1">
        <w:rPr>
          <w:b w:val="0"/>
          <w:bCs w:val="0"/>
          <w:sz w:val="24"/>
          <w:szCs w:val="24"/>
        </w:rPr>
        <w:t xml:space="preserve">4, it offered her over $10,000 in exchange for signing a </w:t>
      </w:r>
      <w:r>
        <w:rPr>
          <w:b w:val="0"/>
          <w:bCs w:val="0"/>
          <w:sz w:val="24"/>
          <w:szCs w:val="24"/>
        </w:rPr>
        <w:t xml:space="preserve">… </w:t>
      </w:r>
      <w:r w:rsidRPr="00CB15E1">
        <w:rPr>
          <w:b w:val="0"/>
          <w:bCs w:val="0"/>
          <w:sz w:val="24"/>
          <w:szCs w:val="24"/>
        </w:rPr>
        <w:t>Separation Agreement</w:t>
      </w:r>
      <w:r>
        <w:rPr>
          <w:b w:val="0"/>
          <w:bCs w:val="0"/>
          <w:sz w:val="24"/>
          <w:szCs w:val="24"/>
        </w:rPr>
        <w:t xml:space="preserve"> [that contained waiver of future claims; non-disparagement; non-disclosure.]</w:t>
      </w:r>
      <w:r w:rsidRPr="00CB15E1">
        <w:rPr>
          <w:b w:val="0"/>
          <w:bCs w:val="0"/>
          <w:sz w:val="24"/>
          <w:szCs w:val="24"/>
        </w:rPr>
        <w:t xml:space="preserve"> She refused to sign the Separation Agreement</w:t>
      </w:r>
      <w:r>
        <w:rPr>
          <w:b w:val="0"/>
          <w:bCs w:val="0"/>
          <w:sz w:val="24"/>
          <w:szCs w:val="24"/>
        </w:rPr>
        <w:t xml:space="preserve"> </w:t>
      </w:r>
      <w:r w:rsidRPr="00CB15E1">
        <w:rPr>
          <w:b w:val="0"/>
          <w:bCs w:val="0"/>
          <w:sz w:val="24"/>
          <w:szCs w:val="24"/>
        </w:rPr>
        <w:t>and, instead, brought the instant charge challenging the legality</w:t>
      </w:r>
      <w:r>
        <w:rPr>
          <w:b w:val="0"/>
          <w:bCs w:val="0"/>
          <w:sz w:val="24"/>
          <w:szCs w:val="24"/>
        </w:rPr>
        <w:t xml:space="preserve"> </w:t>
      </w:r>
      <w:r w:rsidRPr="00CB15E1">
        <w:rPr>
          <w:b w:val="0"/>
          <w:bCs w:val="0"/>
          <w:sz w:val="24"/>
          <w:szCs w:val="24"/>
        </w:rPr>
        <w:t>of the agreement.</w:t>
      </w:r>
      <w:r>
        <w:rPr>
          <w:b w:val="0"/>
          <w:bCs w:val="0"/>
          <w:sz w:val="24"/>
          <w:szCs w:val="24"/>
        </w:rPr>
        <w:t xml:space="preserve"> *** </w:t>
      </w:r>
      <w:r w:rsidRPr="009F5DB1">
        <w:rPr>
          <w:b w:val="0"/>
          <w:bCs w:val="0"/>
          <w:sz w:val="24"/>
          <w:szCs w:val="24"/>
        </w:rPr>
        <w:t>In these circumstances, we find that the mere proffer of</w:t>
      </w:r>
      <w:r>
        <w:rPr>
          <w:b w:val="0"/>
          <w:bCs w:val="0"/>
          <w:sz w:val="24"/>
          <w:szCs w:val="24"/>
        </w:rPr>
        <w:t xml:space="preserve"> </w:t>
      </w:r>
      <w:r w:rsidRPr="009F5DB1">
        <w:rPr>
          <w:b w:val="0"/>
          <w:bCs w:val="0"/>
          <w:sz w:val="24"/>
          <w:szCs w:val="24"/>
        </w:rPr>
        <w:t>severance agreements containing the three challenged provisions did not reasonably tend to interfere with, restrain,</w:t>
      </w:r>
      <w:r>
        <w:rPr>
          <w:b w:val="0"/>
          <w:bCs w:val="0"/>
          <w:sz w:val="24"/>
          <w:szCs w:val="24"/>
        </w:rPr>
        <w:t xml:space="preserve"> </w:t>
      </w:r>
      <w:r w:rsidRPr="009F5DB1">
        <w:rPr>
          <w:b w:val="0"/>
          <w:bCs w:val="0"/>
          <w:sz w:val="24"/>
          <w:szCs w:val="24"/>
        </w:rPr>
        <w:t>or coerce employees in the exercise of rights under the</w:t>
      </w:r>
      <w:r>
        <w:rPr>
          <w:b w:val="0"/>
          <w:bCs w:val="0"/>
          <w:sz w:val="24"/>
          <w:szCs w:val="24"/>
        </w:rPr>
        <w:t xml:space="preserve"> </w:t>
      </w:r>
      <w:r w:rsidRPr="009F5DB1">
        <w:rPr>
          <w:b w:val="0"/>
          <w:bCs w:val="0"/>
          <w:sz w:val="24"/>
          <w:szCs w:val="24"/>
        </w:rPr>
        <w:t>Act.7 Accordingly, we reverse the judge in part and dismiss the complaint.</w:t>
      </w:r>
    </w:p>
    <w:p w14:paraId="48B77C9F" w14:textId="77777777" w:rsidR="00465DC0" w:rsidRPr="00A00396" w:rsidRDefault="00465DC0" w:rsidP="00465DC0">
      <w:pPr>
        <w:pStyle w:val="Heading1"/>
        <w:ind w:left="1440"/>
        <w:rPr>
          <w:rStyle w:val="field"/>
          <w:b w:val="0"/>
          <w:bCs w:val="0"/>
          <w:sz w:val="24"/>
          <w:szCs w:val="24"/>
        </w:rPr>
      </w:pPr>
      <w:r w:rsidRPr="00A00396">
        <w:rPr>
          <w:b w:val="0"/>
          <w:bCs w:val="0"/>
          <w:sz w:val="24"/>
          <w:szCs w:val="24"/>
          <w:u w:val="single"/>
        </w:rPr>
        <w:t>GT d/b/a International Game Technology and International Union of Operating Engineers Local Union 501, AFL-CIO</w:t>
      </w:r>
      <w:r w:rsidRPr="009F5DB1">
        <w:rPr>
          <w:b w:val="0"/>
          <w:bCs w:val="0"/>
          <w:sz w:val="24"/>
          <w:szCs w:val="24"/>
        </w:rPr>
        <w:t>. November 24, 2020</w:t>
      </w:r>
      <w:r>
        <w:rPr>
          <w:b w:val="0"/>
          <w:bCs w:val="0"/>
          <w:sz w:val="24"/>
          <w:szCs w:val="24"/>
        </w:rPr>
        <w:t xml:space="preserve">. </w:t>
      </w:r>
      <w:hyperlink r:id="rId2730" w:history="1">
        <w:r w:rsidRPr="003F256B">
          <w:rPr>
            <w:rStyle w:val="Hyperlink"/>
            <w:rFonts w:eastAsiaTheme="majorEastAsia"/>
            <w:b w:val="0"/>
            <w:bCs w:val="0"/>
            <w:sz w:val="24"/>
            <w:szCs w:val="24"/>
          </w:rPr>
          <w:t>https://www.jacksonlewis.com/sites/default/files/docs/IGTBoardDecision.pdf</w:t>
        </w:r>
      </w:hyperlink>
      <w:r>
        <w:rPr>
          <w:b w:val="0"/>
          <w:bCs w:val="0"/>
          <w:sz w:val="24"/>
          <w:szCs w:val="24"/>
        </w:rPr>
        <w:t xml:space="preserve">  “</w:t>
      </w:r>
      <w:r w:rsidRPr="009F5DB1">
        <w:rPr>
          <w:b w:val="0"/>
          <w:bCs w:val="0"/>
          <w:sz w:val="24"/>
          <w:szCs w:val="24"/>
        </w:rPr>
        <w:t>The Respondent is a multinational company that assembles, installs, removes, services, and repairs gaming machines. It has a practice of offering the Agreement to employees terminated as a result of the elimination of their</w:t>
      </w:r>
      <w:r>
        <w:rPr>
          <w:b w:val="0"/>
          <w:bCs w:val="0"/>
          <w:sz w:val="24"/>
          <w:szCs w:val="24"/>
        </w:rPr>
        <w:t xml:space="preserve"> </w:t>
      </w:r>
      <w:r w:rsidRPr="009F5DB1">
        <w:rPr>
          <w:b w:val="0"/>
          <w:bCs w:val="0"/>
          <w:sz w:val="24"/>
          <w:szCs w:val="24"/>
        </w:rPr>
        <w:t>positions</w:t>
      </w:r>
      <w:r>
        <w:rPr>
          <w:b w:val="0"/>
          <w:bCs w:val="0"/>
          <w:sz w:val="24"/>
          <w:szCs w:val="24"/>
        </w:rPr>
        <w:t xml:space="preserve"> [with two weeks of pay]….I</w:t>
      </w:r>
      <w:r w:rsidRPr="00A00396">
        <w:rPr>
          <w:b w:val="0"/>
          <w:bCs w:val="0"/>
          <w:sz w:val="24"/>
          <w:szCs w:val="24"/>
        </w:rPr>
        <w:t>n conclusion, because the Agreement is entirely voluntary, does not affect pay or benefits that were established</w:t>
      </w:r>
      <w:r>
        <w:rPr>
          <w:b w:val="0"/>
          <w:bCs w:val="0"/>
          <w:sz w:val="24"/>
          <w:szCs w:val="24"/>
        </w:rPr>
        <w:t xml:space="preserve"> </w:t>
      </w:r>
      <w:r w:rsidRPr="00A00396">
        <w:rPr>
          <w:b w:val="0"/>
          <w:bCs w:val="0"/>
          <w:sz w:val="24"/>
          <w:szCs w:val="24"/>
        </w:rPr>
        <w:t xml:space="preserve">as terms of employment, and has not been proffered coercively, we find that the </w:t>
      </w:r>
      <w:proofErr w:type="spellStart"/>
      <w:r w:rsidRPr="00A00396">
        <w:rPr>
          <w:b w:val="0"/>
          <w:bCs w:val="0"/>
          <w:sz w:val="24"/>
          <w:szCs w:val="24"/>
        </w:rPr>
        <w:t>nondisparagement</w:t>
      </w:r>
      <w:proofErr w:type="spellEnd"/>
      <w:r w:rsidRPr="00A00396">
        <w:rPr>
          <w:b w:val="0"/>
          <w:bCs w:val="0"/>
          <w:sz w:val="24"/>
          <w:szCs w:val="24"/>
        </w:rPr>
        <w:t xml:space="preserve"> provision</w:t>
      </w:r>
      <w:r>
        <w:rPr>
          <w:b w:val="0"/>
          <w:bCs w:val="0"/>
          <w:sz w:val="24"/>
          <w:szCs w:val="24"/>
        </w:rPr>
        <w:t xml:space="preserve"> </w:t>
      </w:r>
      <w:r w:rsidRPr="00A00396">
        <w:rPr>
          <w:b w:val="0"/>
          <w:bCs w:val="0"/>
          <w:sz w:val="24"/>
          <w:szCs w:val="24"/>
        </w:rPr>
        <w:t>would not tend to interfere with, restrain, or coerce employees in the exercise of their rights under the Act.</w:t>
      </w:r>
      <w:r>
        <w:rPr>
          <w:b w:val="0"/>
          <w:bCs w:val="0"/>
          <w:sz w:val="24"/>
          <w:szCs w:val="24"/>
        </w:rPr>
        <w:t>”</w:t>
      </w:r>
    </w:p>
    <w:p w14:paraId="4234B2DB" w14:textId="77777777" w:rsidR="00465DC0" w:rsidRDefault="00465DC0" w:rsidP="00465DC0">
      <w:pPr>
        <w:pStyle w:val="Heading1"/>
        <w:ind w:left="720"/>
        <w:rPr>
          <w:rStyle w:val="field"/>
          <w:b w:val="0"/>
          <w:bCs w:val="0"/>
          <w:sz w:val="24"/>
          <w:szCs w:val="24"/>
        </w:rPr>
      </w:pPr>
      <w:r>
        <w:rPr>
          <w:rStyle w:val="field"/>
          <w:b w:val="0"/>
          <w:bCs w:val="0"/>
          <w:sz w:val="24"/>
          <w:szCs w:val="24"/>
        </w:rPr>
        <w:t xml:space="preserve">See dissent </w:t>
      </w:r>
      <w:proofErr w:type="gramStart"/>
      <w:r>
        <w:rPr>
          <w:rStyle w:val="field"/>
          <w:b w:val="0"/>
          <w:bCs w:val="0"/>
          <w:sz w:val="24"/>
          <w:szCs w:val="24"/>
        </w:rPr>
        <w:t>by</w:t>
      </w:r>
      <w:proofErr w:type="gramEnd"/>
      <w:r>
        <w:rPr>
          <w:rStyle w:val="field"/>
          <w:b w:val="0"/>
          <w:bCs w:val="0"/>
          <w:sz w:val="24"/>
          <w:szCs w:val="24"/>
        </w:rPr>
        <w:t xml:space="preserve"> NLRB member Marvin E. Kaplan: </w:t>
      </w:r>
    </w:p>
    <w:p w14:paraId="7ABE6641" w14:textId="77777777" w:rsidR="00465DC0" w:rsidRPr="00CB15E1" w:rsidRDefault="00465DC0" w:rsidP="00465DC0">
      <w:pPr>
        <w:pStyle w:val="Heading1"/>
        <w:ind w:left="1440"/>
        <w:rPr>
          <w:rStyle w:val="field"/>
          <w:b w:val="0"/>
          <w:bCs w:val="0"/>
          <w:sz w:val="24"/>
          <w:szCs w:val="24"/>
        </w:rPr>
      </w:pPr>
      <w:r>
        <w:rPr>
          <w:b w:val="0"/>
          <w:bCs w:val="0"/>
          <w:sz w:val="24"/>
          <w:szCs w:val="24"/>
        </w:rPr>
        <w:t>“</w:t>
      </w:r>
      <w:r w:rsidRPr="00CB15E1">
        <w:rPr>
          <w:b w:val="0"/>
          <w:bCs w:val="0"/>
          <w:sz w:val="24"/>
          <w:szCs w:val="24"/>
        </w:rPr>
        <w:t>Baylor and IGT were sound, pragmatic decisions fully</w:t>
      </w:r>
      <w:r>
        <w:rPr>
          <w:b w:val="0"/>
          <w:bCs w:val="0"/>
          <w:sz w:val="24"/>
          <w:szCs w:val="24"/>
        </w:rPr>
        <w:t xml:space="preserve"> </w:t>
      </w:r>
      <w:r w:rsidRPr="00CB15E1">
        <w:rPr>
          <w:b w:val="0"/>
          <w:bCs w:val="0"/>
          <w:sz w:val="24"/>
          <w:szCs w:val="24"/>
        </w:rPr>
        <w:t>consistent with the Act, and my colleagues have failed to</w:t>
      </w:r>
      <w:r>
        <w:rPr>
          <w:b w:val="0"/>
          <w:bCs w:val="0"/>
          <w:sz w:val="24"/>
          <w:szCs w:val="24"/>
        </w:rPr>
        <w:t xml:space="preserve"> </w:t>
      </w:r>
      <w:r w:rsidRPr="00CB15E1">
        <w:rPr>
          <w:b w:val="0"/>
          <w:bCs w:val="0"/>
          <w:sz w:val="24"/>
          <w:szCs w:val="24"/>
        </w:rPr>
        <w:t xml:space="preserve">establish sufficient grounds for overturning those decisions. Contrary to my colleagues’ assertions, the holdings in Baylor and IGT did not conflict with </w:t>
      </w:r>
      <w:r>
        <w:rPr>
          <w:b w:val="0"/>
          <w:bCs w:val="0"/>
          <w:sz w:val="24"/>
          <w:szCs w:val="24"/>
        </w:rPr>
        <w:t>‘</w:t>
      </w:r>
      <w:r w:rsidRPr="00CB15E1">
        <w:rPr>
          <w:b w:val="0"/>
          <w:bCs w:val="0"/>
          <w:sz w:val="24"/>
          <w:szCs w:val="24"/>
        </w:rPr>
        <w:t>long-standing precedent.</w:t>
      </w:r>
      <w:r>
        <w:rPr>
          <w:b w:val="0"/>
          <w:bCs w:val="0"/>
          <w:sz w:val="24"/>
          <w:szCs w:val="24"/>
        </w:rPr>
        <w:t>’</w:t>
      </w:r>
      <w:r w:rsidRPr="00CB15E1">
        <w:rPr>
          <w:b w:val="0"/>
          <w:bCs w:val="0"/>
          <w:sz w:val="24"/>
          <w:szCs w:val="24"/>
        </w:rPr>
        <w:t xml:space="preserve"> None of the cases cited by my colleagues found that an employer, never having suggested</w:t>
      </w:r>
      <w:r>
        <w:rPr>
          <w:b w:val="0"/>
          <w:bCs w:val="0"/>
          <w:sz w:val="24"/>
          <w:szCs w:val="24"/>
        </w:rPr>
        <w:t xml:space="preserve"> </w:t>
      </w:r>
      <w:r w:rsidRPr="00CB15E1">
        <w:rPr>
          <w:b w:val="0"/>
          <w:bCs w:val="0"/>
          <w:sz w:val="24"/>
          <w:szCs w:val="24"/>
        </w:rPr>
        <w:t xml:space="preserve">any proclivity to </w:t>
      </w:r>
      <w:proofErr w:type="gramStart"/>
      <w:r w:rsidRPr="00CB15E1">
        <w:rPr>
          <w:b w:val="0"/>
          <w:bCs w:val="0"/>
          <w:sz w:val="24"/>
          <w:szCs w:val="24"/>
        </w:rPr>
        <w:t>violate</w:t>
      </w:r>
      <w:proofErr w:type="gramEnd"/>
      <w:r w:rsidRPr="00CB15E1">
        <w:rPr>
          <w:b w:val="0"/>
          <w:bCs w:val="0"/>
          <w:sz w:val="24"/>
          <w:szCs w:val="24"/>
        </w:rPr>
        <w:t xml:space="preserve"> the Act, violated the Act by</w:t>
      </w:r>
      <w:r>
        <w:rPr>
          <w:b w:val="0"/>
          <w:bCs w:val="0"/>
          <w:sz w:val="24"/>
          <w:szCs w:val="24"/>
        </w:rPr>
        <w:t xml:space="preserve"> </w:t>
      </w:r>
      <w:r w:rsidRPr="00CB15E1">
        <w:rPr>
          <w:b w:val="0"/>
          <w:bCs w:val="0"/>
          <w:sz w:val="24"/>
          <w:szCs w:val="24"/>
        </w:rPr>
        <w:t>proffering a severance agreement that could possibly be</w:t>
      </w:r>
      <w:r>
        <w:rPr>
          <w:b w:val="0"/>
          <w:bCs w:val="0"/>
          <w:sz w:val="24"/>
          <w:szCs w:val="24"/>
        </w:rPr>
        <w:t xml:space="preserve"> </w:t>
      </w:r>
      <w:r w:rsidRPr="00CB15E1">
        <w:rPr>
          <w:b w:val="0"/>
          <w:bCs w:val="0"/>
          <w:sz w:val="24"/>
          <w:szCs w:val="24"/>
        </w:rPr>
        <w:t>interpreted as limiting Section 7 rights. Indeed, the instant case does not present those circumstances. Nevertheless, my colleagues have used this case to overrule</w:t>
      </w:r>
      <w:r>
        <w:rPr>
          <w:b w:val="0"/>
          <w:bCs w:val="0"/>
          <w:sz w:val="24"/>
          <w:szCs w:val="24"/>
        </w:rPr>
        <w:t xml:space="preserve"> </w:t>
      </w:r>
      <w:r w:rsidRPr="00CB15E1">
        <w:rPr>
          <w:b w:val="0"/>
          <w:bCs w:val="0"/>
          <w:sz w:val="24"/>
          <w:szCs w:val="24"/>
        </w:rPr>
        <w:t xml:space="preserve">extant </w:t>
      </w:r>
      <w:proofErr w:type="gramStart"/>
      <w:r w:rsidRPr="00CB15E1">
        <w:rPr>
          <w:b w:val="0"/>
          <w:bCs w:val="0"/>
          <w:sz w:val="24"/>
          <w:szCs w:val="24"/>
        </w:rPr>
        <w:t>law</w:t>
      </w:r>
      <w:proofErr w:type="gramEnd"/>
      <w:r w:rsidRPr="00CB15E1">
        <w:rPr>
          <w:b w:val="0"/>
          <w:bCs w:val="0"/>
          <w:sz w:val="24"/>
          <w:szCs w:val="24"/>
        </w:rPr>
        <w:t xml:space="preserve"> that </w:t>
      </w:r>
      <w:proofErr w:type="gramStart"/>
      <w:r w:rsidRPr="00CB15E1">
        <w:rPr>
          <w:b w:val="0"/>
          <w:bCs w:val="0"/>
          <w:sz w:val="24"/>
          <w:szCs w:val="24"/>
        </w:rPr>
        <w:t>was</w:t>
      </w:r>
      <w:proofErr w:type="gramEnd"/>
      <w:r w:rsidRPr="00CB15E1">
        <w:rPr>
          <w:b w:val="0"/>
          <w:bCs w:val="0"/>
          <w:sz w:val="24"/>
          <w:szCs w:val="24"/>
        </w:rPr>
        <w:t xml:space="preserve"> consistent with finding the violation</w:t>
      </w:r>
      <w:r>
        <w:rPr>
          <w:b w:val="0"/>
          <w:bCs w:val="0"/>
          <w:sz w:val="24"/>
          <w:szCs w:val="24"/>
        </w:rPr>
        <w:t xml:space="preserve"> </w:t>
      </w:r>
      <w:r w:rsidRPr="00CB15E1">
        <w:rPr>
          <w:b w:val="0"/>
          <w:bCs w:val="0"/>
          <w:sz w:val="24"/>
          <w:szCs w:val="24"/>
        </w:rPr>
        <w:t xml:space="preserve">in this case </w:t>
      </w:r>
      <w:proofErr w:type="gramStart"/>
      <w:r w:rsidRPr="00CB15E1">
        <w:rPr>
          <w:b w:val="0"/>
          <w:bCs w:val="0"/>
          <w:sz w:val="24"/>
          <w:szCs w:val="24"/>
        </w:rPr>
        <w:t>in order to</w:t>
      </w:r>
      <w:proofErr w:type="gramEnd"/>
      <w:r w:rsidRPr="00CB15E1">
        <w:rPr>
          <w:b w:val="0"/>
          <w:bCs w:val="0"/>
          <w:sz w:val="24"/>
          <w:szCs w:val="24"/>
        </w:rPr>
        <w:t xml:space="preserve"> change the law, in effect, for cases</w:t>
      </w:r>
      <w:r>
        <w:rPr>
          <w:b w:val="0"/>
          <w:bCs w:val="0"/>
          <w:sz w:val="24"/>
          <w:szCs w:val="24"/>
        </w:rPr>
        <w:t xml:space="preserve"> </w:t>
      </w:r>
      <w:r w:rsidRPr="00CB15E1">
        <w:rPr>
          <w:b w:val="0"/>
          <w:bCs w:val="0"/>
          <w:sz w:val="24"/>
          <w:szCs w:val="24"/>
        </w:rPr>
        <w:t>not involving the facts presented in this case. Not only</w:t>
      </w:r>
      <w:r>
        <w:rPr>
          <w:b w:val="0"/>
          <w:bCs w:val="0"/>
          <w:sz w:val="24"/>
          <w:szCs w:val="24"/>
        </w:rPr>
        <w:t xml:space="preserve"> </w:t>
      </w:r>
      <w:r w:rsidRPr="00CB15E1">
        <w:rPr>
          <w:b w:val="0"/>
          <w:bCs w:val="0"/>
          <w:sz w:val="24"/>
          <w:szCs w:val="24"/>
        </w:rPr>
        <w:t>does this new standard go beyond what is necessary to</w:t>
      </w:r>
      <w:r w:rsidRPr="00CB15E1">
        <w:rPr>
          <w:b w:val="0"/>
          <w:bCs w:val="0"/>
          <w:sz w:val="24"/>
          <w:szCs w:val="24"/>
        </w:rPr>
        <w:br/>
        <w:t>decide this case but, for the reasons I have discussed, my</w:t>
      </w:r>
      <w:r>
        <w:rPr>
          <w:b w:val="0"/>
          <w:bCs w:val="0"/>
          <w:sz w:val="24"/>
          <w:szCs w:val="24"/>
        </w:rPr>
        <w:t xml:space="preserve"> </w:t>
      </w:r>
      <w:r w:rsidRPr="00CB15E1">
        <w:rPr>
          <w:b w:val="0"/>
          <w:bCs w:val="0"/>
          <w:sz w:val="24"/>
          <w:szCs w:val="24"/>
        </w:rPr>
        <w:t>colleagues’ finding of a threat violation under this new</w:t>
      </w:r>
      <w:r>
        <w:rPr>
          <w:b w:val="0"/>
          <w:bCs w:val="0"/>
          <w:sz w:val="24"/>
          <w:szCs w:val="24"/>
        </w:rPr>
        <w:t xml:space="preserve"> </w:t>
      </w:r>
      <w:r w:rsidRPr="00CB15E1">
        <w:rPr>
          <w:b w:val="0"/>
          <w:bCs w:val="0"/>
          <w:sz w:val="24"/>
          <w:szCs w:val="24"/>
        </w:rPr>
        <w:t>standard is neither correct under Board law nor consistent with the General Counsel’s complaint and litigation of this matter. Accordingly, I must respectfully dissent from this aspect of my colleagues’ decision.</w:t>
      </w:r>
      <w:r>
        <w:rPr>
          <w:b w:val="0"/>
          <w:bCs w:val="0"/>
          <w:sz w:val="24"/>
          <w:szCs w:val="24"/>
        </w:rPr>
        <w:t>”</w:t>
      </w:r>
    </w:p>
    <w:p w14:paraId="540B75CB" w14:textId="6CC4D6F8" w:rsidR="00D478CB" w:rsidRDefault="0055155D" w:rsidP="00F326E5">
      <w:pPr>
        <w:pStyle w:val="NoSpacing"/>
        <w:rPr>
          <w:rFonts w:ascii="Arial Black" w:hAnsi="Arial Black"/>
          <w:sz w:val="24"/>
          <w:szCs w:val="24"/>
        </w:rPr>
      </w:pPr>
      <w:r>
        <w:rPr>
          <w:rFonts w:ascii="Arial Black" w:hAnsi="Arial Black"/>
          <w:sz w:val="24"/>
          <w:szCs w:val="24"/>
        </w:rPr>
        <w:t>17-26</w:t>
      </w:r>
    </w:p>
    <w:p w14:paraId="6D9866CD" w14:textId="77777777" w:rsidR="000C3B06" w:rsidRDefault="000C3B06" w:rsidP="000C3B06">
      <w:pPr>
        <w:pStyle w:val="Heading1"/>
        <w:rPr>
          <w:rStyle w:val="markedcontent"/>
          <w:rFonts w:ascii="Arial Black" w:hAnsi="Arial Black"/>
          <w:sz w:val="28"/>
          <w:szCs w:val="28"/>
        </w:rPr>
      </w:pPr>
      <w:r>
        <w:rPr>
          <w:rStyle w:val="markedcontent"/>
          <w:rFonts w:ascii="Arial Black" w:hAnsi="Arial Black"/>
          <w:sz w:val="28"/>
          <w:szCs w:val="28"/>
        </w:rPr>
        <w:t>IN: MAYOR RETALIATED AGAINST UNION– CHANGED SCHEDULE 24/48 TO 8/24 -  INJUNCTION AGAINST CHANGE</w:t>
      </w:r>
    </w:p>
    <w:p w14:paraId="0AACB7FE" w14:textId="77777777" w:rsidR="000C3B06" w:rsidRDefault="000C3B06" w:rsidP="000C3B06">
      <w:pPr>
        <w:pStyle w:val="Heading1"/>
        <w:rPr>
          <w:rStyle w:val="markedcontent"/>
          <w:b w:val="0"/>
          <w:bCs w:val="0"/>
          <w:sz w:val="24"/>
          <w:szCs w:val="24"/>
        </w:rPr>
      </w:pPr>
      <w:r w:rsidRPr="00C605B3">
        <w:rPr>
          <w:rStyle w:val="markedcontent"/>
          <w:b w:val="0"/>
          <w:bCs w:val="0"/>
          <w:sz w:val="24"/>
          <w:szCs w:val="24"/>
        </w:rPr>
        <w:t xml:space="preserve">On Dec. 21, 2022, in </w:t>
      </w:r>
      <w:r w:rsidRPr="00C605B3">
        <w:rPr>
          <w:rStyle w:val="markedcontent"/>
          <w:b w:val="0"/>
          <w:bCs w:val="0"/>
          <w:sz w:val="24"/>
          <w:szCs w:val="24"/>
          <w:u w:val="single"/>
        </w:rPr>
        <w:t>International Association of Firefighters, Local 365, et al. v. City of East Chicago and Anthony Copeland</w:t>
      </w:r>
      <w:r>
        <w:rPr>
          <w:rStyle w:val="markedcontent"/>
          <w:b w:val="0"/>
          <w:bCs w:val="0"/>
          <w:sz w:val="24"/>
          <w:szCs w:val="24"/>
        </w:rPr>
        <w:t xml:space="preserve">, the U.S. Court of Appeals for Seventh Circuit (Chicago), held (3 to 0) that the change in work schedule from 24/48 to 8/24 was in retaliation for union’s First Amendment activities, including support of the Mayor Anthony Copeland’s opponent in 2019, firefighters’ protest at his inauguration, their endorsement and election of six members of city’s Common Council,  their successful lobbying for increase in firefighter pay ordinance [which Mayor vetoed], and union rejection on Dec. 2, 2019 of proposed agreement to return to 24/48 schedule if union agreed to stop all lobbying.  </w:t>
      </w:r>
      <w:r w:rsidRPr="00545D9F">
        <w:rPr>
          <w:rStyle w:val="markedcontent"/>
          <w:b w:val="0"/>
          <w:bCs w:val="0"/>
          <w:sz w:val="24"/>
          <w:szCs w:val="24"/>
        </w:rPr>
        <w:t>On December 23, 2019, the Common</w:t>
      </w:r>
      <w:r>
        <w:rPr>
          <w:rStyle w:val="markedcontent"/>
          <w:b w:val="0"/>
          <w:bCs w:val="0"/>
          <w:sz w:val="24"/>
          <w:szCs w:val="24"/>
        </w:rPr>
        <w:t xml:space="preserve"> </w:t>
      </w:r>
      <w:r w:rsidRPr="00545D9F">
        <w:rPr>
          <w:rStyle w:val="markedcontent"/>
          <w:b w:val="0"/>
          <w:bCs w:val="0"/>
          <w:sz w:val="24"/>
          <w:szCs w:val="24"/>
        </w:rPr>
        <w:t>Council passed Ordinance 19-0029, which set the firefighters’</w:t>
      </w:r>
      <w:r>
        <w:rPr>
          <w:rStyle w:val="markedcontent"/>
          <w:b w:val="0"/>
          <w:bCs w:val="0"/>
          <w:sz w:val="24"/>
          <w:szCs w:val="24"/>
        </w:rPr>
        <w:t xml:space="preserve"> </w:t>
      </w:r>
      <w:r w:rsidRPr="00545D9F">
        <w:rPr>
          <w:rStyle w:val="markedcontent"/>
          <w:b w:val="0"/>
          <w:bCs w:val="0"/>
          <w:sz w:val="24"/>
          <w:szCs w:val="24"/>
        </w:rPr>
        <w:t>work schedule back to the 24/48 schedule. Copeland vetoed</w:t>
      </w:r>
      <w:r>
        <w:rPr>
          <w:rStyle w:val="markedcontent"/>
          <w:b w:val="0"/>
          <w:bCs w:val="0"/>
          <w:sz w:val="24"/>
          <w:szCs w:val="24"/>
        </w:rPr>
        <w:t xml:space="preserve"> </w:t>
      </w:r>
      <w:r w:rsidRPr="00545D9F">
        <w:rPr>
          <w:rStyle w:val="markedcontent"/>
          <w:b w:val="0"/>
          <w:bCs w:val="0"/>
          <w:sz w:val="24"/>
          <w:szCs w:val="24"/>
        </w:rPr>
        <w:t xml:space="preserve">the ordinance, </w:t>
      </w:r>
      <w:r w:rsidRPr="00545D9F">
        <w:rPr>
          <w:rStyle w:val="markedcontent"/>
          <w:b w:val="0"/>
          <w:bCs w:val="0"/>
          <w:sz w:val="24"/>
          <w:szCs w:val="24"/>
        </w:rPr>
        <w:lastRenderedPageBreak/>
        <w:t>but the Council passed the ordinance over the</w:t>
      </w:r>
      <w:r>
        <w:rPr>
          <w:rStyle w:val="markedcontent"/>
          <w:b w:val="0"/>
          <w:bCs w:val="0"/>
          <w:sz w:val="24"/>
          <w:szCs w:val="24"/>
        </w:rPr>
        <w:t xml:space="preserve"> </w:t>
      </w:r>
      <w:r w:rsidRPr="00545D9F">
        <w:rPr>
          <w:rStyle w:val="markedcontent"/>
          <w:b w:val="0"/>
          <w:bCs w:val="0"/>
          <w:sz w:val="24"/>
          <w:szCs w:val="24"/>
        </w:rPr>
        <w:t>veto.</w:t>
      </w:r>
      <w:r>
        <w:rPr>
          <w:rStyle w:val="markedcontent"/>
          <w:b w:val="0"/>
          <w:bCs w:val="0"/>
          <w:sz w:val="24"/>
          <w:szCs w:val="24"/>
        </w:rPr>
        <w:t xml:space="preserve"> </w:t>
      </w:r>
      <w:r w:rsidRPr="00545D9F">
        <w:rPr>
          <w:rStyle w:val="markedcontent"/>
          <w:b w:val="0"/>
          <w:bCs w:val="0"/>
          <w:sz w:val="24"/>
          <w:szCs w:val="24"/>
        </w:rPr>
        <w:t>On March 4, 2021, the Lake County Superior Court issued a decision agreeing with Copeland and</w:t>
      </w:r>
      <w:r>
        <w:rPr>
          <w:rStyle w:val="markedcontent"/>
          <w:b w:val="0"/>
          <w:bCs w:val="0"/>
          <w:sz w:val="24"/>
          <w:szCs w:val="24"/>
        </w:rPr>
        <w:t xml:space="preserve"> </w:t>
      </w:r>
      <w:r w:rsidRPr="00545D9F">
        <w:rPr>
          <w:rStyle w:val="markedcontent"/>
          <w:b w:val="0"/>
          <w:bCs w:val="0"/>
          <w:sz w:val="24"/>
          <w:szCs w:val="24"/>
        </w:rPr>
        <w:t>struck down the ordinance—leaving the 8/24 schedule in effect.</w:t>
      </w:r>
      <w:r>
        <w:rPr>
          <w:rStyle w:val="markedcontent"/>
          <w:b w:val="0"/>
          <w:bCs w:val="0"/>
          <w:sz w:val="24"/>
          <w:szCs w:val="24"/>
        </w:rPr>
        <w:t xml:space="preserve"> The union then sought a preliminary injunction in Federal court.  U.S. District Court Judge Phillip P. Simon (Northern District of Indiana) concluded after a two-day preliminary injunction hearing that the </w:t>
      </w:r>
      <w:proofErr w:type="gramStart"/>
      <w:r>
        <w:rPr>
          <w:rStyle w:val="markedcontent"/>
          <w:b w:val="0"/>
          <w:bCs w:val="0"/>
          <w:sz w:val="24"/>
          <w:szCs w:val="24"/>
        </w:rPr>
        <w:t>Mayor’s</w:t>
      </w:r>
      <w:proofErr w:type="gramEnd"/>
      <w:r>
        <w:rPr>
          <w:rStyle w:val="markedcontent"/>
          <w:b w:val="0"/>
          <w:bCs w:val="0"/>
          <w:sz w:val="24"/>
          <w:szCs w:val="24"/>
        </w:rPr>
        <w:t xml:space="preserve"> actions were motivated by the Local 365 First Amendment activities and on March 28, </w:t>
      </w:r>
      <w:proofErr w:type="gramStart"/>
      <w:r>
        <w:rPr>
          <w:rStyle w:val="markedcontent"/>
          <w:b w:val="0"/>
          <w:bCs w:val="0"/>
          <w:sz w:val="24"/>
          <w:szCs w:val="24"/>
        </w:rPr>
        <w:t>2021</w:t>
      </w:r>
      <w:proofErr w:type="gramEnd"/>
      <w:r>
        <w:rPr>
          <w:rStyle w:val="markedcontent"/>
          <w:b w:val="0"/>
          <w:bCs w:val="0"/>
          <w:sz w:val="24"/>
          <w:szCs w:val="24"/>
        </w:rPr>
        <w:t xml:space="preserve"> ordered City to return to 24/48 schedule.   </w:t>
      </w:r>
    </w:p>
    <w:p w14:paraId="1F1B45F2" w14:textId="77777777" w:rsidR="000C3B06" w:rsidRDefault="000C3B06" w:rsidP="000C3B06">
      <w:pPr>
        <w:pStyle w:val="Heading1"/>
        <w:ind w:left="720"/>
        <w:rPr>
          <w:rStyle w:val="markedcontent"/>
          <w:b w:val="0"/>
          <w:bCs w:val="0"/>
          <w:sz w:val="24"/>
          <w:szCs w:val="24"/>
        </w:rPr>
      </w:pPr>
      <w:proofErr w:type="gramStart"/>
      <w:r>
        <w:rPr>
          <w:rStyle w:val="markedcontent"/>
          <w:b w:val="0"/>
          <w:bCs w:val="0"/>
          <w:sz w:val="24"/>
          <w:szCs w:val="24"/>
        </w:rPr>
        <w:t>“[W]e f</w:t>
      </w:r>
      <w:r w:rsidRPr="00036C7B">
        <w:rPr>
          <w:rStyle w:val="markedcontent"/>
          <w:b w:val="0"/>
          <w:bCs w:val="0"/>
          <w:sz w:val="24"/>
          <w:szCs w:val="24"/>
        </w:rPr>
        <w:t>ind</w:t>
      </w:r>
      <w:proofErr w:type="gramEnd"/>
      <w:r w:rsidRPr="00036C7B">
        <w:rPr>
          <w:rStyle w:val="markedcontent"/>
          <w:b w:val="0"/>
          <w:bCs w:val="0"/>
          <w:sz w:val="24"/>
          <w:szCs w:val="24"/>
        </w:rPr>
        <w:t xml:space="preserve"> that the district court did</w:t>
      </w:r>
      <w:r>
        <w:rPr>
          <w:rStyle w:val="markedcontent"/>
          <w:b w:val="0"/>
          <w:bCs w:val="0"/>
          <w:sz w:val="24"/>
          <w:szCs w:val="24"/>
        </w:rPr>
        <w:t xml:space="preserve"> </w:t>
      </w:r>
      <w:r w:rsidRPr="00036C7B">
        <w:rPr>
          <w:rStyle w:val="markedcontent"/>
          <w:b w:val="0"/>
          <w:bCs w:val="0"/>
          <w:sz w:val="24"/>
          <w:szCs w:val="24"/>
        </w:rPr>
        <w:t>not err in determining that the defendants’ actions were motivated by the Fire Fighters’ First Amendment activity; that</w:t>
      </w:r>
      <w:r>
        <w:rPr>
          <w:rStyle w:val="markedcontent"/>
          <w:b w:val="0"/>
          <w:bCs w:val="0"/>
          <w:sz w:val="24"/>
          <w:szCs w:val="24"/>
        </w:rPr>
        <w:t xml:space="preserve"> </w:t>
      </w:r>
      <w:r w:rsidRPr="00036C7B">
        <w:rPr>
          <w:rStyle w:val="markedcontent"/>
          <w:b w:val="0"/>
          <w:bCs w:val="0"/>
          <w:sz w:val="24"/>
          <w:szCs w:val="24"/>
        </w:rPr>
        <w:t>there was no evidence that the 8/24 schedule was expected to</w:t>
      </w:r>
      <w:r>
        <w:rPr>
          <w:rStyle w:val="markedcontent"/>
          <w:b w:val="0"/>
          <w:bCs w:val="0"/>
          <w:sz w:val="24"/>
          <w:szCs w:val="24"/>
        </w:rPr>
        <w:t xml:space="preserve"> </w:t>
      </w:r>
      <w:r w:rsidRPr="00036C7B">
        <w:rPr>
          <w:rStyle w:val="markedcontent"/>
          <w:b w:val="0"/>
          <w:bCs w:val="0"/>
          <w:sz w:val="24"/>
          <w:szCs w:val="24"/>
        </w:rPr>
        <w:t>result in cost-savings for the City; and that the Fire Fighters</w:t>
      </w:r>
      <w:r>
        <w:rPr>
          <w:rStyle w:val="markedcontent"/>
          <w:b w:val="0"/>
          <w:bCs w:val="0"/>
          <w:sz w:val="24"/>
          <w:szCs w:val="24"/>
        </w:rPr>
        <w:t xml:space="preserve"> </w:t>
      </w:r>
      <w:r w:rsidRPr="00036C7B">
        <w:rPr>
          <w:rStyle w:val="markedcontent"/>
          <w:b w:val="0"/>
          <w:bCs w:val="0"/>
          <w:sz w:val="24"/>
          <w:szCs w:val="24"/>
        </w:rPr>
        <w:t xml:space="preserve">would suffer irreparable harms without an injunction. We </w:t>
      </w:r>
      <w:r>
        <w:rPr>
          <w:rStyle w:val="markedcontent"/>
          <w:b w:val="0"/>
          <w:bCs w:val="0"/>
          <w:sz w:val="24"/>
          <w:szCs w:val="24"/>
        </w:rPr>
        <w:t xml:space="preserve"> </w:t>
      </w:r>
      <w:r w:rsidRPr="00036C7B">
        <w:rPr>
          <w:rStyle w:val="markedcontent"/>
          <w:b w:val="0"/>
          <w:bCs w:val="0"/>
          <w:sz w:val="24"/>
          <w:szCs w:val="24"/>
        </w:rPr>
        <w:t>additionally find that the district court did not abuse its discretion in balancing the equities in this case, considering the severity of the harms the Fire Fighters have experienced and the</w:t>
      </w:r>
      <w:r>
        <w:rPr>
          <w:rStyle w:val="markedcontent"/>
          <w:b w:val="0"/>
          <w:bCs w:val="0"/>
          <w:sz w:val="24"/>
          <w:szCs w:val="24"/>
        </w:rPr>
        <w:t xml:space="preserve"> </w:t>
      </w:r>
      <w:r w:rsidRPr="00036C7B">
        <w:rPr>
          <w:rStyle w:val="markedcontent"/>
          <w:b w:val="0"/>
          <w:bCs w:val="0"/>
          <w:sz w:val="24"/>
          <w:szCs w:val="24"/>
        </w:rPr>
        <w:t>lack of evidence supporting the defendants’ alleged harms.</w:t>
      </w:r>
      <w:r w:rsidRPr="00036C7B">
        <w:rPr>
          <w:b w:val="0"/>
          <w:bCs w:val="0"/>
          <w:sz w:val="24"/>
          <w:szCs w:val="24"/>
        </w:rPr>
        <w:br/>
      </w:r>
      <w:r w:rsidRPr="00036C7B">
        <w:rPr>
          <w:rStyle w:val="markedcontent"/>
          <w:b w:val="0"/>
          <w:bCs w:val="0"/>
          <w:sz w:val="24"/>
          <w:szCs w:val="24"/>
        </w:rPr>
        <w:t>The decision of the district court is therefore AFFIRMED.</w:t>
      </w:r>
      <w:r>
        <w:rPr>
          <w:rStyle w:val="markedcontent"/>
          <w:b w:val="0"/>
          <w:bCs w:val="0"/>
          <w:sz w:val="24"/>
          <w:szCs w:val="24"/>
        </w:rPr>
        <w:t xml:space="preserve">” </w:t>
      </w:r>
      <w:hyperlink r:id="rId2731" w:history="1">
        <w:r w:rsidRPr="00BA5840">
          <w:rPr>
            <w:rStyle w:val="Hyperlink"/>
            <w:rFonts w:eastAsiaTheme="majorEastAsia"/>
            <w:b w:val="0"/>
            <w:bCs w:val="0"/>
            <w:sz w:val="24"/>
            <w:szCs w:val="24"/>
          </w:rPr>
          <w:t>https://caselaw.findlaw.com/us-7th-circuit/2104809.html</w:t>
        </w:r>
      </w:hyperlink>
      <w:r>
        <w:rPr>
          <w:rStyle w:val="markedcontent"/>
          <w:b w:val="0"/>
          <w:bCs w:val="0"/>
          <w:sz w:val="24"/>
          <w:szCs w:val="24"/>
        </w:rPr>
        <w:t xml:space="preserve"> </w:t>
      </w:r>
    </w:p>
    <w:p w14:paraId="74571101" w14:textId="77777777" w:rsidR="000C3B06" w:rsidRPr="00112028" w:rsidRDefault="000C3B06" w:rsidP="000C3B06">
      <w:pPr>
        <w:pStyle w:val="Heading1"/>
        <w:rPr>
          <w:rStyle w:val="markedcontent"/>
          <w:sz w:val="24"/>
          <w:szCs w:val="24"/>
        </w:rPr>
      </w:pPr>
      <w:r w:rsidRPr="00112028">
        <w:rPr>
          <w:rStyle w:val="markedcontent"/>
          <w:sz w:val="24"/>
          <w:szCs w:val="24"/>
        </w:rPr>
        <w:t xml:space="preserve">Legal Lesson Learned: Union’s First Amendment rights were protected from retaliation by the </w:t>
      </w:r>
      <w:proofErr w:type="gramStart"/>
      <w:r w:rsidRPr="00112028">
        <w:rPr>
          <w:rStyle w:val="markedcontent"/>
          <w:sz w:val="24"/>
          <w:szCs w:val="24"/>
        </w:rPr>
        <w:t>Mayor</w:t>
      </w:r>
      <w:proofErr w:type="gramEnd"/>
      <w:r w:rsidRPr="00112028">
        <w:rPr>
          <w:rStyle w:val="markedcontent"/>
          <w:sz w:val="24"/>
          <w:szCs w:val="24"/>
        </w:rPr>
        <w:t>. Interesting fact: Mayor Anthony Copeland</w:t>
      </w:r>
      <w:r>
        <w:rPr>
          <w:rStyle w:val="markedcontent"/>
          <w:sz w:val="24"/>
          <w:szCs w:val="24"/>
        </w:rPr>
        <w:t xml:space="preserve"> was </w:t>
      </w:r>
      <w:r w:rsidRPr="00112028">
        <w:rPr>
          <w:rStyle w:val="markedcontent"/>
          <w:sz w:val="24"/>
          <w:szCs w:val="24"/>
        </w:rPr>
        <w:t xml:space="preserve">a former firefighter of twenty-six years. </w:t>
      </w:r>
      <w:r w:rsidRPr="00112028">
        <w:rPr>
          <w:sz w:val="24"/>
          <w:szCs w:val="24"/>
        </w:rPr>
        <w:br/>
      </w:r>
    </w:p>
    <w:p w14:paraId="7F15422B" w14:textId="77777777" w:rsidR="000C3B06" w:rsidRDefault="000C3B06" w:rsidP="00F326E5">
      <w:pPr>
        <w:pStyle w:val="NoSpacing"/>
        <w:rPr>
          <w:rFonts w:ascii="Arial Black" w:hAnsi="Arial Black"/>
          <w:sz w:val="24"/>
          <w:szCs w:val="24"/>
        </w:rPr>
      </w:pPr>
    </w:p>
    <w:p w14:paraId="4B83653C" w14:textId="77777777" w:rsidR="000C3B06" w:rsidRDefault="000C3B06" w:rsidP="00F326E5">
      <w:pPr>
        <w:pStyle w:val="NoSpacing"/>
        <w:rPr>
          <w:rFonts w:ascii="Arial Black" w:hAnsi="Arial Black"/>
          <w:sz w:val="24"/>
          <w:szCs w:val="24"/>
        </w:rPr>
      </w:pPr>
    </w:p>
    <w:p w14:paraId="56E1E513" w14:textId="77777777" w:rsidR="000C3B06" w:rsidRDefault="000C3B06" w:rsidP="00F326E5">
      <w:pPr>
        <w:pStyle w:val="NoSpacing"/>
        <w:rPr>
          <w:rFonts w:ascii="Arial Black" w:hAnsi="Arial Black"/>
          <w:sz w:val="24"/>
          <w:szCs w:val="24"/>
        </w:rPr>
      </w:pPr>
    </w:p>
    <w:p w14:paraId="161B1174" w14:textId="0ACF89B0" w:rsidR="000C3B06" w:rsidRDefault="000C3B06" w:rsidP="00F326E5">
      <w:pPr>
        <w:pStyle w:val="NoSpacing"/>
        <w:rPr>
          <w:rFonts w:ascii="Arial Black" w:hAnsi="Arial Black"/>
          <w:sz w:val="24"/>
          <w:szCs w:val="24"/>
        </w:rPr>
      </w:pPr>
      <w:r>
        <w:rPr>
          <w:rFonts w:ascii="Arial Black" w:hAnsi="Arial Black"/>
          <w:sz w:val="24"/>
          <w:szCs w:val="24"/>
        </w:rPr>
        <w:t>17-25</w:t>
      </w:r>
    </w:p>
    <w:p w14:paraId="3ADFD6BE" w14:textId="77777777" w:rsidR="000C3B06" w:rsidRPr="002631BE" w:rsidRDefault="000C3B06" w:rsidP="000C3B06">
      <w:pPr>
        <w:pStyle w:val="NormalWeb"/>
        <w:rPr>
          <w:rFonts w:ascii="Arial Black" w:hAnsi="Arial Black"/>
          <w:sz w:val="28"/>
          <w:szCs w:val="28"/>
        </w:rPr>
      </w:pPr>
      <w:r>
        <w:rPr>
          <w:rFonts w:ascii="Arial Black" w:hAnsi="Arial Black"/>
          <w:sz w:val="28"/>
          <w:szCs w:val="28"/>
        </w:rPr>
        <w:t xml:space="preserve">NY: YONKERS MUST CONTINUE TO PAY DISABELED FFs UNDER AGE 65 – HOLIDAY, CHECK-IN, BUT NOT NIGHT PAY </w:t>
      </w:r>
    </w:p>
    <w:p w14:paraId="383DF849" w14:textId="77777777" w:rsidR="000C3B06" w:rsidRDefault="000C3B06" w:rsidP="000C3B06">
      <w:pPr>
        <w:pStyle w:val="NormalWeb"/>
      </w:pPr>
      <w:r>
        <w:t xml:space="preserve">On Dec. 15, 2022, in </w:t>
      </w:r>
      <w:r w:rsidRPr="00126012">
        <w:rPr>
          <w:u w:val="single"/>
        </w:rPr>
        <w:t>In The Matter Of John Borelli, et al. v. City of Younkers</w:t>
      </w:r>
      <w:r>
        <w:t>, the New York Court of Appeals held (4 to 2) that 39 disabled firefighters, who are under age 65 and therefore by State law receive supplemental payments to equal the pay of current firefighters at same pay grade, are entitled to Holiday Pay and Check-In Pay (required to report for duty 12 minutes early) since all current firefighters receive, but they are not entitled to Night Differential since only firefighters work nights get that pay.  The State of New York has had statutes since 1938 protecting firefighters disabled in the line of duty, and in 1977 enacted General Municipal Law § 207-a (2) which provides that until a disabled firefighter reaches the mandatory retirement age of 65, their municipal employer must make up the difference between the state's disability pension benefits and the firefighters' "regular salary or wages."</w:t>
      </w:r>
    </w:p>
    <w:p w14:paraId="3C6AEA60" w14:textId="77777777" w:rsidR="000C3B06" w:rsidRPr="00C9121A" w:rsidRDefault="000C3B06" w:rsidP="000C3B06">
      <w:pPr>
        <w:pStyle w:val="NormalWeb"/>
        <w:ind w:left="1440"/>
      </w:pPr>
      <w:r>
        <w:t xml:space="preserve">“It is clear from the CBAs that all firefighters are entitled to receive holiday pay and check-in pay based solely on the performance of regular job duties. The provisions of the CBAs governing check-in pay require that firefighters be present for duty 12 minutes prior to the commencement of their tours of duty to receive instruction, equipment, and for other miscellaneous duties. They specify, without qualification, that each employee "shall receive an additional [5½] days [of pay]" per year. The provisions governing holiday pay provide that firefighters shall be paid for 12 holidays," </w:t>
      </w:r>
      <w:r>
        <w:rPr>
          <w:rStyle w:val="Emphasis"/>
        </w:rPr>
        <w:t>whether worked or not</w:t>
      </w:r>
      <w:r>
        <w:t xml:space="preserve">" (emphasis added). Hence, all active-duty firefighters performing their regular job duties are contractually entitled to receive both check-in pay and holiday pay. “ </w:t>
      </w:r>
      <w:hyperlink r:id="rId2732" w:history="1">
        <w:r w:rsidRPr="00237809">
          <w:rPr>
            <w:rStyle w:val="Hyperlink"/>
            <w:rFonts w:eastAsiaTheme="majorEastAsia"/>
          </w:rPr>
          <w:t>https://law.justia.com/cases/new-york/court-of-appeals/2022/95.html</w:t>
        </w:r>
      </w:hyperlink>
      <w:r>
        <w:t xml:space="preserve"> </w:t>
      </w:r>
    </w:p>
    <w:p w14:paraId="6CAE4741" w14:textId="77777777" w:rsidR="000C3B06" w:rsidRPr="00D15F79" w:rsidRDefault="000C3B06" w:rsidP="000C3B06">
      <w:pPr>
        <w:pStyle w:val="NormalWeb"/>
        <w:rPr>
          <w:b/>
          <w:bCs/>
        </w:rPr>
      </w:pPr>
      <w:r w:rsidRPr="00D15F79">
        <w:rPr>
          <w:b/>
          <w:bCs/>
        </w:rPr>
        <w:t>Legal Lesson Learned:</w:t>
      </w:r>
      <w:r>
        <w:rPr>
          <w:b/>
          <w:bCs/>
        </w:rPr>
        <w:t xml:space="preserve"> For decades Yonkers has made these “special pays</w:t>
      </w:r>
      <w:proofErr w:type="gramStart"/>
      <w:r>
        <w:rPr>
          <w:b/>
          <w:bCs/>
        </w:rPr>
        <w:t>”</w:t>
      </w:r>
      <w:proofErr w:type="gramEnd"/>
      <w:r>
        <w:rPr>
          <w:b/>
          <w:bCs/>
        </w:rPr>
        <w:t xml:space="preserve"> and the NY’s Highest court will require they continue this practice. </w:t>
      </w:r>
    </w:p>
    <w:p w14:paraId="74F07568" w14:textId="77777777" w:rsidR="000C3B06" w:rsidRPr="002476FF" w:rsidRDefault="000C3B06" w:rsidP="000C3B06">
      <w:pPr>
        <w:pStyle w:val="NormalWeb"/>
        <w:ind w:left="720"/>
      </w:pPr>
      <w:r w:rsidRPr="002476FF">
        <w:lastRenderedPageBreak/>
        <w:t>Note: Two dissenting Justices</w:t>
      </w:r>
      <w:r>
        <w:t xml:space="preserve"> noted </w:t>
      </w:r>
      <w:r w:rsidRPr="002476FF">
        <w:t>“A proper interpretation of this statutory term is critical; any unwarranted expansion of the definition undermines the goals of the legislation, forcing municipalities to spend more on disability payments and less on active fire protection.”</w:t>
      </w:r>
      <w:r>
        <w:t xml:space="preserve"> The Justices noted that City of Yonkers has faced a financial difficulty, including $7.4 million gap in their Public School District budget. </w:t>
      </w:r>
      <w:hyperlink r:id="rId2733" w:history="1">
        <w:r w:rsidRPr="002C395C">
          <w:rPr>
            <w:rStyle w:val="Hyperlink"/>
          </w:rPr>
          <w:t>https://law.justia.com/cases/new-york/court-of-appeals/2022/95.html</w:t>
        </w:r>
      </w:hyperlink>
      <w:r>
        <w:t xml:space="preserve"> </w:t>
      </w:r>
    </w:p>
    <w:p w14:paraId="47D50D18" w14:textId="77777777" w:rsidR="000C3B06" w:rsidRDefault="000C3B06" w:rsidP="000C3B06">
      <w:pPr>
        <w:pStyle w:val="NormalWeb"/>
        <w:ind w:left="720"/>
      </w:pPr>
      <w:r w:rsidRPr="003C6E0D">
        <w:t xml:space="preserve">Note: </w:t>
      </w:r>
      <w:r>
        <w:t xml:space="preserve">See this companion case.  On Dec. 15, 2022, in </w:t>
      </w:r>
      <w:r w:rsidRPr="001D3F7D">
        <w:rPr>
          <w:u w:val="single"/>
        </w:rPr>
        <w:t>In The Matter Of City of Yonkers v. Yonkers Fire Fighters, Local 628</w:t>
      </w:r>
      <w:r>
        <w:t xml:space="preserve">, the New York Court of Appeals held (6 to 0) that the City must arbitrate with Local 628 over their plan to discontinue their practice since at least 1995 to pay “special pay” (including holiday pay, check-in pay for reporting to duty 12 minutes early, and night differential) not only to active duty firefighters, but also to disabled firefighters who have not yet reached age 65. </w:t>
      </w:r>
      <w:hyperlink r:id="rId2734" w:history="1">
        <w:r w:rsidRPr="00237809">
          <w:rPr>
            <w:rStyle w:val="Hyperlink"/>
            <w:rFonts w:eastAsiaTheme="majorEastAsia"/>
          </w:rPr>
          <w:t>https://www.nycourts.gov/ctapps/Decisions/2022/Dec22/96opn22-Decision.pdf \</w:t>
        </w:r>
      </w:hyperlink>
    </w:p>
    <w:p w14:paraId="306557A3" w14:textId="77777777" w:rsidR="000C3B06" w:rsidRDefault="000C3B06" w:rsidP="00F326E5">
      <w:pPr>
        <w:pStyle w:val="NoSpacing"/>
        <w:rPr>
          <w:rFonts w:ascii="Arial Black" w:hAnsi="Arial Black"/>
          <w:sz w:val="24"/>
          <w:szCs w:val="24"/>
        </w:rPr>
      </w:pPr>
    </w:p>
    <w:p w14:paraId="74BDB962" w14:textId="77777777" w:rsidR="000C3B06" w:rsidRDefault="000C3B06" w:rsidP="00F326E5">
      <w:pPr>
        <w:pStyle w:val="NoSpacing"/>
        <w:rPr>
          <w:rFonts w:ascii="Arial Black" w:hAnsi="Arial Black"/>
          <w:sz w:val="24"/>
          <w:szCs w:val="24"/>
        </w:rPr>
      </w:pPr>
    </w:p>
    <w:p w14:paraId="6289588B" w14:textId="277954FA" w:rsidR="009C612E" w:rsidRDefault="009C612E" w:rsidP="00F326E5">
      <w:pPr>
        <w:pStyle w:val="NoSpacing"/>
        <w:rPr>
          <w:rFonts w:ascii="Arial Black" w:hAnsi="Arial Black"/>
          <w:sz w:val="24"/>
          <w:szCs w:val="24"/>
        </w:rPr>
      </w:pPr>
      <w:r>
        <w:rPr>
          <w:rFonts w:ascii="Arial Black" w:hAnsi="Arial Black"/>
          <w:sz w:val="24"/>
          <w:szCs w:val="24"/>
        </w:rPr>
        <w:t>17-24</w:t>
      </w:r>
    </w:p>
    <w:p w14:paraId="76FAC3CB" w14:textId="77777777" w:rsidR="009C612E" w:rsidRDefault="009C612E" w:rsidP="009C612E">
      <w:pPr>
        <w:pStyle w:val="NormalWeb"/>
        <w:rPr>
          <w:rFonts w:ascii="Arial Black" w:hAnsi="Arial Black"/>
          <w:sz w:val="28"/>
          <w:szCs w:val="28"/>
        </w:rPr>
      </w:pPr>
      <w:r>
        <w:rPr>
          <w:rFonts w:ascii="Arial Black" w:hAnsi="Arial Black"/>
          <w:sz w:val="28"/>
          <w:szCs w:val="28"/>
        </w:rPr>
        <w:t>TX: AUSTIN - CBA 5,600 HOURS FOR UNION OFFICERS IS LAWFUL – TAXPAYERS LAWSUIT FRIVOLOUS, PENALTY</w:t>
      </w:r>
    </w:p>
    <w:p w14:paraId="0D363C49" w14:textId="77777777" w:rsidR="009C612E" w:rsidRDefault="009C612E" w:rsidP="009C612E">
      <w:pPr>
        <w:pStyle w:val="NormalWeb"/>
      </w:pPr>
      <w:r>
        <w:t xml:space="preserve">On Nov. 22, 2022, in </w:t>
      </w:r>
      <w:r w:rsidRPr="00825D12">
        <w:rPr>
          <w:u w:val="single"/>
        </w:rPr>
        <w:t>Roger Borgelt</w:t>
      </w:r>
      <w:r>
        <w:rPr>
          <w:u w:val="single"/>
        </w:rPr>
        <w:t xml:space="preserve">, Mark Pulliam, Jay Wiley, </w:t>
      </w:r>
      <w:r w:rsidRPr="00825D12">
        <w:rPr>
          <w:u w:val="single"/>
        </w:rPr>
        <w:t>et al. v. Austin Firefighters Association, IAFF Local 975, et al</w:t>
      </w:r>
      <w:r>
        <w:t xml:space="preserve">., the Court of Appeals of Texas, Third District (Austin) held (3 to 0) that trial court properly dismissed lawsuit by two taxpayers who claimed the granting of paid time to Association President violated the Texas Constitution's "Gift Clauses." Trial court also imposed $75,000 </w:t>
      </w:r>
      <w:proofErr w:type="gramStart"/>
      <w:r>
        <w:t>sanction</w:t>
      </w:r>
      <w:proofErr w:type="gramEnd"/>
      <w:r>
        <w:t xml:space="preserve"> and attorney fees against Pulliam and Wiley for filing a frivolous lawsuit. </w:t>
      </w:r>
    </w:p>
    <w:p w14:paraId="74B3619B" w14:textId="77777777" w:rsidR="009C612E" w:rsidRDefault="009C612E" w:rsidP="009C612E">
      <w:pPr>
        <w:pStyle w:val="NormalWeb"/>
        <w:ind w:left="720"/>
      </w:pPr>
      <w:r>
        <w:t>“Borgelt and the State's argument fails because Borgelt and the State ignore the fact that, as the trial court found, the Association's mission-facilitating good labor relations between the AFD and its public-servant employees, furthering professional standards for firefighters, and promoting firefighter and public safety-overlaps with the mission of the AFD, and the two organizations' missions are not mutually exclusive. Thus, work done on behalf of the Association by firefighters who are using Association Leave not only furthers the mission of the Association but also furthers AFD's mission and public purpose of providing safe and efficient fire safety and emergency services.</w:t>
      </w:r>
    </w:p>
    <w:p w14:paraId="20B47424" w14:textId="77777777" w:rsidR="009C612E" w:rsidRDefault="009C612E" w:rsidP="009C612E">
      <w:pPr>
        <w:pStyle w:val="NormalWeb"/>
        <w:ind w:left="720"/>
      </w:pPr>
      <w:r>
        <w:t>***</w:t>
      </w:r>
    </w:p>
    <w:p w14:paraId="45D8543B" w14:textId="77777777" w:rsidR="009C612E" w:rsidRDefault="009C612E" w:rsidP="009C612E">
      <w:pPr>
        <w:pStyle w:val="NormalWeb"/>
        <w:ind w:left="720"/>
      </w:pPr>
      <w:r>
        <w:t xml:space="preserve">We conclude that the trial court did not abuse its discretion by determining that a $75,000 sanction was required to deter further similar actions by Pulliam or Wiley…. Wiley admitted to using the lawsuit as publicity to support his political platform as a ’fiscal conservative’ seeking ‘union reform’ and ‘right-to-work laws’ in Texas. In 2016, when this suit was initially filed, and again in 2018, Wiley ran in the Republican primaries for seats in the Texas House of Representatives.”  </w:t>
      </w:r>
      <w:hyperlink r:id="rId2735" w:history="1">
        <w:r w:rsidRPr="00386BA5">
          <w:rPr>
            <w:rStyle w:val="Hyperlink"/>
            <w:rFonts w:eastAsiaTheme="majorEastAsia"/>
          </w:rPr>
          <w:t>https://law.justia.com/cases/texas/third-court-of-appeals/2022/03-21-00227-cv.html</w:t>
        </w:r>
      </w:hyperlink>
      <w:r>
        <w:rPr>
          <w:rStyle w:val="Hyperlink"/>
          <w:rFonts w:eastAsiaTheme="majorEastAsia"/>
        </w:rPr>
        <w:t xml:space="preserve"> </w:t>
      </w:r>
    </w:p>
    <w:p w14:paraId="2829A5C7" w14:textId="77777777" w:rsidR="009C612E" w:rsidRPr="00BF256B" w:rsidRDefault="009C612E" w:rsidP="009C612E">
      <w:pPr>
        <w:pStyle w:val="NormalWeb"/>
        <w:rPr>
          <w:b/>
          <w:bCs/>
        </w:rPr>
      </w:pPr>
      <w:r w:rsidRPr="00BF256B">
        <w:rPr>
          <w:b/>
          <w:bCs/>
        </w:rPr>
        <w:t>Legal Lesson Learned:</w:t>
      </w:r>
      <w:r>
        <w:rPr>
          <w:b/>
          <w:bCs/>
        </w:rPr>
        <w:t xml:space="preserve"> CBA provision for paid time for union officers is lawful. </w:t>
      </w:r>
    </w:p>
    <w:p w14:paraId="65AF781B" w14:textId="77777777" w:rsidR="009C612E" w:rsidRDefault="009C612E" w:rsidP="00F326E5">
      <w:pPr>
        <w:pStyle w:val="NoSpacing"/>
        <w:rPr>
          <w:rFonts w:ascii="Arial Black" w:hAnsi="Arial Black"/>
          <w:sz w:val="24"/>
          <w:szCs w:val="24"/>
        </w:rPr>
      </w:pPr>
    </w:p>
    <w:p w14:paraId="5F1F5E65" w14:textId="77777777" w:rsidR="009C612E" w:rsidRDefault="009C612E" w:rsidP="00F326E5">
      <w:pPr>
        <w:pStyle w:val="NoSpacing"/>
        <w:rPr>
          <w:rFonts w:ascii="Arial Black" w:hAnsi="Arial Black"/>
          <w:sz w:val="24"/>
          <w:szCs w:val="24"/>
        </w:rPr>
      </w:pPr>
    </w:p>
    <w:p w14:paraId="000CCD96" w14:textId="7B42FC91" w:rsidR="009C612E" w:rsidRDefault="009C612E" w:rsidP="00F326E5">
      <w:pPr>
        <w:pStyle w:val="NoSpacing"/>
        <w:rPr>
          <w:rFonts w:ascii="Arial Black" w:hAnsi="Arial Black"/>
          <w:sz w:val="24"/>
          <w:szCs w:val="24"/>
        </w:rPr>
      </w:pPr>
      <w:r>
        <w:rPr>
          <w:rFonts w:ascii="Arial Black" w:hAnsi="Arial Black"/>
          <w:sz w:val="24"/>
          <w:szCs w:val="24"/>
        </w:rPr>
        <w:t>17-23</w:t>
      </w:r>
    </w:p>
    <w:p w14:paraId="53E040CF" w14:textId="5D232209" w:rsidR="009C612E" w:rsidRDefault="009C612E" w:rsidP="00F326E5">
      <w:pPr>
        <w:pStyle w:val="NoSpacing"/>
        <w:rPr>
          <w:rFonts w:ascii="Arial Black" w:hAnsi="Arial Black"/>
          <w:sz w:val="24"/>
          <w:szCs w:val="24"/>
        </w:rPr>
      </w:pPr>
    </w:p>
    <w:p w14:paraId="79C8D959" w14:textId="77777777" w:rsidR="009C612E" w:rsidRPr="00483F12" w:rsidRDefault="009C612E" w:rsidP="009C612E">
      <w:pPr>
        <w:pStyle w:val="NormalWeb"/>
        <w:rPr>
          <w:rFonts w:ascii="Arial Black" w:hAnsi="Arial Black"/>
          <w:b/>
          <w:bCs/>
          <w:sz w:val="28"/>
          <w:szCs w:val="28"/>
        </w:rPr>
      </w:pPr>
      <w:r w:rsidRPr="00483F12">
        <w:rPr>
          <w:rFonts w:ascii="Arial Black" w:hAnsi="Arial Black"/>
          <w:b/>
          <w:bCs/>
          <w:sz w:val="28"/>
          <w:szCs w:val="28"/>
        </w:rPr>
        <w:lastRenderedPageBreak/>
        <w:t xml:space="preserve">PA: </w:t>
      </w:r>
      <w:r>
        <w:rPr>
          <w:rFonts w:ascii="Arial Black" w:hAnsi="Arial Black"/>
          <w:b/>
          <w:bCs/>
          <w:sz w:val="28"/>
          <w:szCs w:val="28"/>
        </w:rPr>
        <w:t xml:space="preserve"> CBA - FF PENSION 75% - ARBITRATOR UPHELD - CITY ORDINANCE CAN’T REDUCE WIDOWS PENSION TO 50%</w:t>
      </w:r>
    </w:p>
    <w:p w14:paraId="29472EE8" w14:textId="77777777" w:rsidR="009C612E" w:rsidRDefault="009C612E" w:rsidP="009C612E">
      <w:pPr>
        <w:pStyle w:val="NormalWeb"/>
      </w:pPr>
      <w:r w:rsidRPr="00B936FB">
        <w:t xml:space="preserve">On </w:t>
      </w:r>
      <w:r>
        <w:t xml:space="preserve">Nov. 22, 2022, in </w:t>
      </w:r>
      <w:r w:rsidRPr="00B936FB">
        <w:rPr>
          <w:u w:val="single"/>
        </w:rPr>
        <w:t>City of New Castle v. International Association of Firefighters, Local 160</w:t>
      </w:r>
      <w:r>
        <w:t xml:space="preserve">, the Commonwealth Court of Pennsylvania held (3 to 0) that the arbitrator’s decision will be enforced; firefighter’s widow is entitled to the same 75% of final average compensation he was receiving per CBA.  The </w:t>
      </w:r>
      <w:proofErr w:type="gramStart"/>
      <w:r>
        <w:t>City</w:t>
      </w:r>
      <w:proofErr w:type="gramEnd"/>
      <w:r>
        <w:t xml:space="preserve"> cannot pass an ordinance that violates the CBA and </w:t>
      </w:r>
      <w:proofErr w:type="gramStart"/>
      <w:r>
        <w:t>pay</w:t>
      </w:r>
      <w:proofErr w:type="gramEnd"/>
      <w:r>
        <w:t xml:space="preserve"> the widow only 50%. </w:t>
      </w:r>
    </w:p>
    <w:p w14:paraId="2ADF52A0" w14:textId="77777777" w:rsidR="009C612E" w:rsidRDefault="009C612E" w:rsidP="009C612E">
      <w:pPr>
        <w:pStyle w:val="NormalWeb"/>
        <w:ind w:left="720"/>
      </w:pPr>
      <w:r>
        <w:rPr>
          <w:rStyle w:val="markedcontent"/>
        </w:rPr>
        <w:t>“</w:t>
      </w:r>
      <w:r w:rsidRPr="006B2B41">
        <w:rPr>
          <w:rStyle w:val="markedcontent"/>
        </w:rPr>
        <w:t>The arbitrator found that the parties did not agree to change the survivor</w:t>
      </w:r>
      <w:r>
        <w:rPr>
          <w:rStyle w:val="markedcontent"/>
        </w:rPr>
        <w:t xml:space="preserve"> </w:t>
      </w:r>
      <w:r w:rsidRPr="006B2B41">
        <w:rPr>
          <w:rStyle w:val="markedcontent"/>
        </w:rPr>
        <w:t>benefit in the 1998 CBA from what it had been in 1997; the Union was not aware</w:t>
      </w:r>
      <w:r>
        <w:rPr>
          <w:rStyle w:val="markedcontent"/>
        </w:rPr>
        <w:t xml:space="preserve"> </w:t>
      </w:r>
      <w:r w:rsidRPr="006B2B41">
        <w:rPr>
          <w:rStyle w:val="markedcontent"/>
        </w:rPr>
        <w:t>that Ordinance 7343 had been enacted in December of 1997; and the Union never</w:t>
      </w:r>
      <w:r>
        <w:rPr>
          <w:rStyle w:val="markedcontent"/>
        </w:rPr>
        <w:t xml:space="preserve"> </w:t>
      </w:r>
      <w:r w:rsidRPr="006B2B41">
        <w:rPr>
          <w:rStyle w:val="markedcontent"/>
        </w:rPr>
        <w:t>agreed to reduce the survivor benefit to 50% as provided in Ordinance 7343</w:t>
      </w:r>
      <w:r>
        <w:rPr>
          <w:rStyle w:val="markedcontent"/>
        </w:rPr>
        <w:t xml:space="preserve">…. </w:t>
      </w:r>
      <w:r w:rsidRPr="006B2B41">
        <w:rPr>
          <w:rStyle w:val="markedcontent"/>
        </w:rPr>
        <w:t>The arbitrator arrived at a reasoned interpretation of the 1998 CBA,</w:t>
      </w:r>
      <w:r>
        <w:rPr>
          <w:rStyle w:val="markedcontent"/>
        </w:rPr>
        <w:t xml:space="preserve"> </w:t>
      </w:r>
      <w:r w:rsidRPr="006B2B41">
        <w:rPr>
          <w:rStyle w:val="markedcontent"/>
        </w:rPr>
        <w:t>concluding that the City violated the parties’ agreement by paying Stone’s surviving</w:t>
      </w:r>
      <w:r>
        <w:rPr>
          <w:rStyle w:val="markedcontent"/>
        </w:rPr>
        <w:t xml:space="preserve"> </w:t>
      </w:r>
      <w:r w:rsidRPr="006B2B41">
        <w:rPr>
          <w:rStyle w:val="markedcontent"/>
        </w:rPr>
        <w:t xml:space="preserve">spouse a pension lower than what Stone had received in his </w:t>
      </w:r>
      <w:proofErr w:type="gramStart"/>
      <w:r w:rsidRPr="006B2B41">
        <w:rPr>
          <w:rStyle w:val="markedcontent"/>
        </w:rPr>
        <w:t>lifetime.</w:t>
      </w:r>
      <w:r>
        <w:rPr>
          <w:rStyle w:val="markedcontent"/>
        </w:rPr>
        <w:t>”</w:t>
      </w:r>
      <w:proofErr w:type="gramEnd"/>
      <w:r>
        <w:rPr>
          <w:rStyle w:val="markedcontent"/>
        </w:rPr>
        <w:t xml:space="preserve">  </w:t>
      </w:r>
      <w:hyperlink r:id="rId2736" w:history="1">
        <w:r w:rsidRPr="00236501">
          <w:rPr>
            <w:rStyle w:val="Hyperlink"/>
            <w:rFonts w:eastAsiaTheme="majorEastAsia"/>
          </w:rPr>
          <w:t>https://law.justia.com/cases/pennsylvania/commonwealth-court/2022/242-c-d-2022.html</w:t>
        </w:r>
      </w:hyperlink>
    </w:p>
    <w:p w14:paraId="2EB7A9E8" w14:textId="77777777" w:rsidR="009C612E" w:rsidRPr="00514515" w:rsidRDefault="009C612E" w:rsidP="009C612E">
      <w:pPr>
        <w:spacing w:before="100" w:beforeAutospacing="1" w:after="100" w:afterAutospacing="1" w:line="240" w:lineRule="auto"/>
        <w:rPr>
          <w:rFonts w:ascii="Times New Roman" w:eastAsia="Times New Roman" w:hAnsi="Times New Roman"/>
          <w:b/>
          <w:bCs/>
          <w:sz w:val="24"/>
          <w:szCs w:val="24"/>
        </w:rPr>
      </w:pPr>
      <w:r w:rsidRPr="00483F12">
        <w:rPr>
          <w:rFonts w:ascii="Times New Roman" w:hAnsi="Times New Roman"/>
          <w:b/>
          <w:bCs/>
          <w:sz w:val="24"/>
          <w:szCs w:val="24"/>
        </w:rPr>
        <w:t>Legal Lesson Learned:</w:t>
      </w:r>
      <w:r>
        <w:rPr>
          <w:rFonts w:ascii="Times New Roman" w:hAnsi="Times New Roman"/>
          <w:b/>
          <w:bCs/>
          <w:sz w:val="24"/>
          <w:szCs w:val="24"/>
        </w:rPr>
        <w:t xml:space="preserve">  The collectively bargained CBA controls; not a unilaterally enacted ordinance. </w:t>
      </w:r>
    </w:p>
    <w:p w14:paraId="27DD8F22" w14:textId="77777777" w:rsidR="009C612E" w:rsidRDefault="009C612E" w:rsidP="00F326E5">
      <w:pPr>
        <w:pStyle w:val="NoSpacing"/>
        <w:rPr>
          <w:rFonts w:ascii="Arial Black" w:hAnsi="Arial Black"/>
          <w:sz w:val="24"/>
          <w:szCs w:val="24"/>
        </w:rPr>
      </w:pPr>
    </w:p>
    <w:p w14:paraId="1DC8A3E5" w14:textId="77777777" w:rsidR="009C612E" w:rsidRDefault="009C612E" w:rsidP="00F326E5">
      <w:pPr>
        <w:pStyle w:val="NoSpacing"/>
        <w:rPr>
          <w:rFonts w:ascii="Arial Black" w:hAnsi="Arial Black"/>
          <w:sz w:val="24"/>
          <w:szCs w:val="24"/>
        </w:rPr>
      </w:pPr>
    </w:p>
    <w:p w14:paraId="112AA814" w14:textId="063797D6" w:rsidR="00804F3A" w:rsidRDefault="00804F3A" w:rsidP="00F326E5">
      <w:pPr>
        <w:pStyle w:val="NoSpacing"/>
        <w:rPr>
          <w:rFonts w:ascii="Arial Black" w:hAnsi="Arial Black"/>
          <w:sz w:val="24"/>
          <w:szCs w:val="24"/>
        </w:rPr>
      </w:pPr>
      <w:r>
        <w:rPr>
          <w:rFonts w:ascii="Arial Black" w:hAnsi="Arial Black"/>
          <w:sz w:val="24"/>
          <w:szCs w:val="24"/>
        </w:rPr>
        <w:t>17-22</w:t>
      </w:r>
    </w:p>
    <w:p w14:paraId="75467A12" w14:textId="77777777" w:rsidR="00804F3A" w:rsidRPr="00F17782" w:rsidRDefault="00804F3A" w:rsidP="00804F3A">
      <w:pPr>
        <w:pStyle w:val="NormalWeb"/>
        <w:rPr>
          <w:rFonts w:ascii="Arial Black" w:hAnsi="Arial Black"/>
          <w:b/>
          <w:bCs/>
          <w:sz w:val="28"/>
          <w:szCs w:val="28"/>
        </w:rPr>
      </w:pPr>
      <w:r>
        <w:rPr>
          <w:rFonts w:ascii="Arial Black" w:hAnsi="Arial Black"/>
          <w:b/>
          <w:bCs/>
          <w:sz w:val="28"/>
          <w:szCs w:val="28"/>
        </w:rPr>
        <w:t xml:space="preserve">OH: MINIMUM MANNING 10 FF – CITY IN 2016 BELOW FOR THREE YEARS – OWES BACKPAY / INTEREST $1,188.219 </w:t>
      </w:r>
    </w:p>
    <w:p w14:paraId="2BC5F4C9" w14:textId="77777777" w:rsidR="00804F3A" w:rsidRDefault="00804F3A" w:rsidP="00804F3A">
      <w:pPr>
        <w:pStyle w:val="NormalWeb"/>
      </w:pPr>
      <w:r w:rsidRPr="00F17782">
        <w:t xml:space="preserve">On </w:t>
      </w:r>
      <w:r>
        <w:t xml:space="preserve">Oct. 13, 2022, in </w:t>
      </w:r>
      <w:r w:rsidRPr="00F17782">
        <w:rPr>
          <w:u w:val="single"/>
        </w:rPr>
        <w:t>East Cleveland IAFF 500, et al. v. City of East Cleveland, et al</w:t>
      </w:r>
      <w:r>
        <w:t xml:space="preserve">.,  the Court of appeals of Ohio, Eight District (Cuyahoga County) held (3 to 0) that the March 2017 arbitration award for the union is enforceable. The arbitrator found that the City breached the CBA starting April 12, </w:t>
      </w:r>
      <w:proofErr w:type="gramStart"/>
      <w:r>
        <w:t>2016</w:t>
      </w:r>
      <w:proofErr w:type="gramEnd"/>
      <w:r>
        <w:t xml:space="preserve"> and required the City to immediately restoring staffing to ten (10) firefighters per shift and restore back pay to all affected firefighters who would have been entitled to overtime on the call-out list after April 12, 2016. </w:t>
      </w:r>
    </w:p>
    <w:p w14:paraId="182C4457" w14:textId="398908A2" w:rsidR="00804F3A" w:rsidRDefault="00804F3A" w:rsidP="00804F3A">
      <w:pPr>
        <w:pStyle w:val="NoSpacing"/>
        <w:rPr>
          <w:rStyle w:val="Hyperlink"/>
          <w:rFonts w:eastAsiaTheme="majorEastAsia"/>
        </w:rPr>
      </w:pPr>
      <w:r>
        <w:t xml:space="preserve">“We find that the trial court's award of damages in the amount of $1,188,219.36 is consistent with the March 12, </w:t>
      </w:r>
      <w:proofErr w:type="gramStart"/>
      <w:r>
        <w:t>2017</w:t>
      </w:r>
      <w:proofErr w:type="gramEnd"/>
      <w:r>
        <w:t xml:space="preserve"> Arbitration Award. The trial court heard testimony that through 2018, 2019, and 2020 the City had not restored staffing to ten firefighters per shift for every shift as required by the Arbitration Award and determined, consistent with the evidence presented, that certain affected firefighters were owed a total aggregated amount of $1,188,219.36 in backpay.” </w:t>
      </w:r>
      <w:hyperlink r:id="rId2737" w:history="1">
        <w:r w:rsidRPr="007662E8">
          <w:rPr>
            <w:rStyle w:val="Hyperlink"/>
            <w:rFonts w:eastAsiaTheme="majorEastAsia"/>
          </w:rPr>
          <w:t>https://public.fastcase.com/J%2FJP6pdidelsXxEE4k%2BLMtVWis%2BjrVT91gBFG4uyJWEPcpNLWXxLmz%2FQC7BVJHEFVVKmRnSKx2JFHo6ASClx4LYOJwrUPHRSA%2B3C21y5uNo%3D?utm_medium=email&amp;_hsmi=226712652&amp;_hsenc=p2ANqtz-_Z7uUMGtz89TwJ8h7fDGtfvV3sIYognKNnX4gprWQ41uEM6WKF6eTc5YmYCWiY12JCxBXlLKEbrm5nDUGgSrncCZSdVg&amp;utm_content=226712652&amp;utm_source=hs_email</w:t>
        </w:r>
      </w:hyperlink>
    </w:p>
    <w:p w14:paraId="591D1308" w14:textId="4B6FEE20" w:rsidR="00804F3A" w:rsidRDefault="00804F3A" w:rsidP="00804F3A">
      <w:pPr>
        <w:pStyle w:val="NoSpacing"/>
        <w:rPr>
          <w:rStyle w:val="Hyperlink"/>
          <w:rFonts w:eastAsiaTheme="majorEastAsia"/>
        </w:rPr>
      </w:pPr>
    </w:p>
    <w:p w14:paraId="7F8EEB09" w14:textId="77777777" w:rsidR="00804F3A" w:rsidRPr="008B1952" w:rsidRDefault="00804F3A" w:rsidP="00804F3A">
      <w:pPr>
        <w:pStyle w:val="NormalWeb"/>
        <w:rPr>
          <w:b/>
          <w:bCs/>
        </w:rPr>
      </w:pPr>
      <w:r w:rsidRPr="008B1952">
        <w:rPr>
          <w:b/>
          <w:bCs/>
        </w:rPr>
        <w:t>Legal Lesson Learned:</w:t>
      </w:r>
      <w:r>
        <w:rPr>
          <w:b/>
          <w:bCs/>
        </w:rPr>
        <w:t xml:space="preserve"> The arbitration award has been upheld. </w:t>
      </w:r>
    </w:p>
    <w:p w14:paraId="200F21C3" w14:textId="77777777" w:rsidR="00804F3A" w:rsidRDefault="00804F3A" w:rsidP="00804F3A">
      <w:pPr>
        <w:pStyle w:val="NoSpacing"/>
        <w:rPr>
          <w:rFonts w:ascii="Arial Black" w:hAnsi="Arial Black"/>
          <w:sz w:val="24"/>
          <w:szCs w:val="24"/>
        </w:rPr>
      </w:pPr>
    </w:p>
    <w:p w14:paraId="1513D998" w14:textId="77777777" w:rsidR="00804F3A" w:rsidRDefault="00804F3A" w:rsidP="00F326E5">
      <w:pPr>
        <w:pStyle w:val="NoSpacing"/>
        <w:rPr>
          <w:rFonts w:ascii="Arial Black" w:hAnsi="Arial Black"/>
          <w:sz w:val="24"/>
          <w:szCs w:val="24"/>
        </w:rPr>
      </w:pPr>
    </w:p>
    <w:p w14:paraId="584CD62D" w14:textId="77777777" w:rsidR="00804F3A" w:rsidRDefault="00804F3A" w:rsidP="00F326E5">
      <w:pPr>
        <w:pStyle w:val="NoSpacing"/>
        <w:rPr>
          <w:rFonts w:ascii="Arial Black" w:hAnsi="Arial Black"/>
          <w:sz w:val="24"/>
          <w:szCs w:val="24"/>
        </w:rPr>
      </w:pPr>
    </w:p>
    <w:p w14:paraId="0330FA48" w14:textId="358F5F6E" w:rsidR="00755E16" w:rsidRDefault="00755E16" w:rsidP="00F326E5">
      <w:pPr>
        <w:pStyle w:val="NoSpacing"/>
        <w:rPr>
          <w:rFonts w:ascii="Arial Black" w:hAnsi="Arial Black"/>
          <w:sz w:val="24"/>
          <w:szCs w:val="24"/>
        </w:rPr>
      </w:pPr>
      <w:r>
        <w:rPr>
          <w:rFonts w:ascii="Arial Black" w:hAnsi="Arial Black"/>
          <w:sz w:val="24"/>
          <w:szCs w:val="24"/>
        </w:rPr>
        <w:t>17-21</w:t>
      </w:r>
    </w:p>
    <w:p w14:paraId="60FD7AB3" w14:textId="775913C5" w:rsidR="00755E16" w:rsidRDefault="00755E16" w:rsidP="00F326E5">
      <w:pPr>
        <w:pStyle w:val="NoSpacing"/>
        <w:rPr>
          <w:rFonts w:ascii="Arial Black" w:hAnsi="Arial Black"/>
          <w:sz w:val="24"/>
          <w:szCs w:val="24"/>
        </w:rPr>
      </w:pPr>
    </w:p>
    <w:p w14:paraId="1E2C8E64" w14:textId="77777777" w:rsidR="00755E16" w:rsidRDefault="00755E16" w:rsidP="00755E16">
      <w:pPr>
        <w:pStyle w:val="NormalWeb"/>
        <w:rPr>
          <w:rFonts w:ascii="Arial Black" w:hAnsi="Arial Black"/>
          <w:b/>
          <w:bCs/>
          <w:sz w:val="28"/>
          <w:szCs w:val="28"/>
        </w:rPr>
      </w:pPr>
      <w:r>
        <w:rPr>
          <w:rFonts w:ascii="Arial Black" w:hAnsi="Arial Black"/>
          <w:b/>
          <w:bCs/>
          <w:sz w:val="28"/>
          <w:szCs w:val="28"/>
        </w:rPr>
        <w:t>FL: FF INJURIES OVER 11 YRS – SHORT TERM DISABILITY BENEFITS BUT USED SICK LEAVE – WINS BACK SICK LEAVE</w:t>
      </w:r>
    </w:p>
    <w:p w14:paraId="2E5F5012" w14:textId="77777777" w:rsidR="00755E16" w:rsidRDefault="00755E16" w:rsidP="00755E16">
      <w:pPr>
        <w:pStyle w:val="NormalWeb"/>
      </w:pPr>
      <w:r>
        <w:t xml:space="preserve">On Sept. 30, 2022, in </w:t>
      </w:r>
      <w:r>
        <w:rPr>
          <w:u w:val="single"/>
        </w:rPr>
        <w:t>Metro Dade Firefighters, IAFF Local 1403 v. Miami-Dade County</w:t>
      </w:r>
      <w:r>
        <w:t xml:space="preserve">, the Florida Court of Appeals, Third District, held (3 to 0) that the arbitrator did not exceed his authority when awarding the restoration of sick leave to a firefighter for an eleven-year period [Oct. 2006 until Nov. 2017] preceding an award of long-term disability benefits.  Per CBA and City Code, “an employee who suffers a service-connected disability shall not use or be charged sick leave if he is granted disability leave or disability payments.” </w:t>
      </w:r>
    </w:p>
    <w:p w14:paraId="198F8FCB" w14:textId="77777777" w:rsidR="00755E16" w:rsidRDefault="00755E16" w:rsidP="00755E16">
      <w:pPr>
        <w:pStyle w:val="NormalWeb"/>
        <w:ind w:left="720"/>
      </w:pPr>
      <w:r>
        <w:t xml:space="preserve">:Because we find that the arbitrator did not exceed his powers, we are constrained to reverse the circuit court's order vacating the arbitration award. *** The arbitrator decided only the issue submitted to arbitration. He interpreted and applied Section 2-56.26, finding that the provision required the County to restore all of Mr. Calvo's leave time for the period of time from his first on-the-job injury through his retirement after a finding of long-term disability because all of this time was taken as a result of Mr. Calvo's various compensable injuries and the lingering effects of these injuries.”  </w:t>
      </w:r>
      <w:hyperlink r:id="rId2738" w:history="1">
        <w:r>
          <w:rPr>
            <w:rStyle w:val="Hyperlink"/>
          </w:rPr>
          <w:t>https://public.fastcase.com/J%2FJP6pdidelsXxEE4k%2BLMpuDgtfUlpNK4l%2BfqZzcsS95ieNoHEqDlI1ajn81HayMXO5%2FuX2%2ByvyKSn9EyfaN7KpFENL2lTAAz2wo8HtdPeY%3D?utm_medium=email&amp;_hsmi=226712652&amp;_hsenc=p2ANqtz-9t2-miGpzcz6HjEKBpKrn-zhw54ySyRz_VGgy44f1dByScW7c1n8avO_4RXLWc5afGZGbJubbxw9DhHyQbca8WHl796A&amp;utm_content=226712652&amp;utm_source=hs_email</w:t>
        </w:r>
      </w:hyperlink>
      <w:r>
        <w:t xml:space="preserve"> </w:t>
      </w:r>
    </w:p>
    <w:p w14:paraId="4AB91874" w14:textId="77777777" w:rsidR="00755E16" w:rsidRDefault="00755E16" w:rsidP="00755E16">
      <w:pPr>
        <w:pStyle w:val="NormalWeb"/>
        <w:rPr>
          <w:b/>
          <w:bCs/>
        </w:rPr>
      </w:pPr>
      <w:r>
        <w:rPr>
          <w:rFonts w:eastAsiaTheme="minorHAnsi"/>
          <w:b/>
          <w:bCs/>
        </w:rPr>
        <w:t xml:space="preserve">Legal Lesson Learned: Grievances and arbitrations can be avoided if CBA is explicit about whether sick leave can be charged for an employee who suffers a service-connected disability. </w:t>
      </w:r>
    </w:p>
    <w:p w14:paraId="2D44FD60" w14:textId="77777777" w:rsidR="00755E16" w:rsidRDefault="00755E16" w:rsidP="00F326E5">
      <w:pPr>
        <w:pStyle w:val="NoSpacing"/>
        <w:rPr>
          <w:rFonts w:ascii="Arial Black" w:hAnsi="Arial Black"/>
          <w:sz w:val="24"/>
          <w:szCs w:val="24"/>
        </w:rPr>
      </w:pPr>
    </w:p>
    <w:p w14:paraId="1E44D6E9" w14:textId="77777777" w:rsidR="00755E16" w:rsidRDefault="00755E16" w:rsidP="00F326E5">
      <w:pPr>
        <w:pStyle w:val="NoSpacing"/>
        <w:rPr>
          <w:rFonts w:ascii="Arial Black" w:hAnsi="Arial Black"/>
          <w:sz w:val="24"/>
          <w:szCs w:val="24"/>
        </w:rPr>
      </w:pPr>
    </w:p>
    <w:p w14:paraId="4D17E43E" w14:textId="77777777" w:rsidR="00755E16" w:rsidRDefault="00755E16" w:rsidP="00F326E5">
      <w:pPr>
        <w:pStyle w:val="NoSpacing"/>
        <w:rPr>
          <w:rFonts w:ascii="Arial Black" w:hAnsi="Arial Black"/>
          <w:sz w:val="24"/>
          <w:szCs w:val="24"/>
        </w:rPr>
      </w:pPr>
    </w:p>
    <w:p w14:paraId="799D704E" w14:textId="51F55DAF" w:rsidR="00D478CB" w:rsidRDefault="00D478CB" w:rsidP="00F326E5">
      <w:pPr>
        <w:pStyle w:val="NoSpacing"/>
        <w:rPr>
          <w:rFonts w:ascii="Arial Black" w:hAnsi="Arial Black"/>
          <w:sz w:val="24"/>
          <w:szCs w:val="24"/>
        </w:rPr>
      </w:pPr>
      <w:r>
        <w:rPr>
          <w:rFonts w:ascii="Arial Black" w:hAnsi="Arial Black"/>
          <w:sz w:val="24"/>
          <w:szCs w:val="24"/>
        </w:rPr>
        <w:t>17-20</w:t>
      </w:r>
    </w:p>
    <w:p w14:paraId="5C74311E" w14:textId="27D276D3" w:rsidR="00D478CB" w:rsidRDefault="00D478CB" w:rsidP="00F326E5">
      <w:pPr>
        <w:pStyle w:val="NoSpacing"/>
        <w:rPr>
          <w:rFonts w:ascii="Arial Black" w:hAnsi="Arial Black"/>
          <w:sz w:val="24"/>
          <w:szCs w:val="24"/>
        </w:rPr>
      </w:pPr>
    </w:p>
    <w:p w14:paraId="62E44961" w14:textId="77777777" w:rsidR="00311ABE" w:rsidRPr="00182E4B" w:rsidRDefault="00311ABE" w:rsidP="00311ABE">
      <w:pPr>
        <w:spacing w:before="100" w:beforeAutospacing="1" w:after="100" w:afterAutospacing="1" w:line="240" w:lineRule="auto"/>
        <w:rPr>
          <w:rFonts w:ascii="Arial Black" w:eastAsia="Times New Roman" w:hAnsi="Arial Black"/>
          <w:sz w:val="28"/>
          <w:szCs w:val="28"/>
        </w:rPr>
      </w:pPr>
      <w:bookmarkStart w:id="631" w:name="_Hlk112724937"/>
      <w:r>
        <w:rPr>
          <w:rFonts w:ascii="Arial Black" w:eastAsia="Times New Roman" w:hAnsi="Arial Black"/>
          <w:sz w:val="28"/>
          <w:szCs w:val="28"/>
        </w:rPr>
        <w:t>AK: FORMER UNION PRESIDENT – PASSED OVER PROMOTION B/C – CHIEF LEARNED “BELITTLING” CREWS</w:t>
      </w:r>
    </w:p>
    <w:p w14:paraId="6AE007D8" w14:textId="77777777" w:rsidR="00311ABE" w:rsidRDefault="00311ABE" w:rsidP="00311AB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24, 2022, in </w:t>
      </w:r>
      <w:r w:rsidRPr="00182E4B">
        <w:rPr>
          <w:rFonts w:ascii="Times New Roman" w:hAnsi="Times New Roman"/>
          <w:sz w:val="24"/>
          <w:szCs w:val="24"/>
          <w:u w:val="single"/>
        </w:rPr>
        <w:t>Damon Reed v. City of Conway, Arkansas, et al.</w:t>
      </w:r>
      <w:r>
        <w:rPr>
          <w:rFonts w:ascii="Times New Roman" w:hAnsi="Times New Roman"/>
          <w:sz w:val="24"/>
          <w:szCs w:val="24"/>
        </w:rPr>
        <w:t xml:space="preserve">,  U.S. District Court Judge Lee , P. Rudofssky, U.S. District Court for Eastern District of Arkansas (Central Division) granted summary judgment for the City and Fire Chief Michael Winter on Captain Reed’s complaint alleging First Amendment retaliation.  </w:t>
      </w:r>
      <w:r w:rsidRPr="00C300FC">
        <w:rPr>
          <w:rFonts w:ascii="Times New Roman" w:hAnsi="Times New Roman"/>
          <w:sz w:val="24"/>
          <w:szCs w:val="24"/>
        </w:rPr>
        <w:t xml:space="preserve">“First, Mr. Reed points to the fact that he was the unanimous vote of the Chiefs panel for the May 2018 promotion. He says that this </w:t>
      </w:r>
      <w:r>
        <w:rPr>
          <w:rFonts w:ascii="Times New Roman" w:hAnsi="Times New Roman"/>
          <w:sz w:val="24"/>
          <w:szCs w:val="24"/>
        </w:rPr>
        <w:t>‘</w:t>
      </w:r>
      <w:r w:rsidRPr="00C300FC">
        <w:rPr>
          <w:rFonts w:ascii="Times New Roman" w:hAnsi="Times New Roman"/>
          <w:sz w:val="24"/>
          <w:szCs w:val="24"/>
        </w:rPr>
        <w:t>favorable review</w:t>
      </w:r>
      <w:r>
        <w:rPr>
          <w:rFonts w:ascii="Times New Roman" w:hAnsi="Times New Roman"/>
          <w:sz w:val="24"/>
          <w:szCs w:val="24"/>
        </w:rPr>
        <w:t>’</w:t>
      </w:r>
      <w:r w:rsidRPr="00C300FC">
        <w:rPr>
          <w:rFonts w:ascii="Times New Roman" w:hAnsi="Times New Roman"/>
          <w:sz w:val="24"/>
          <w:szCs w:val="24"/>
        </w:rPr>
        <w:t xml:space="preserve"> is evidence of pretext. The fatal flaw with this argument is timing. Recall that the Chiefs panel voted for Mr. Reed in January of 2018. Chief Winter did not receive the complaints about Mr. Reed until months after the vote, when word got out that Mr. Reed would be getting promoted. </w:t>
      </w:r>
      <w:proofErr w:type="gramStart"/>
      <w:r w:rsidRPr="00C300FC">
        <w:rPr>
          <w:rFonts w:ascii="Times New Roman" w:hAnsi="Times New Roman"/>
          <w:sz w:val="24"/>
          <w:szCs w:val="24"/>
        </w:rPr>
        <w:t>So</w:t>
      </w:r>
      <w:proofErr w:type="gramEnd"/>
      <w:r w:rsidRPr="00C300FC">
        <w:rPr>
          <w:rFonts w:ascii="Times New Roman" w:hAnsi="Times New Roman"/>
          <w:sz w:val="24"/>
          <w:szCs w:val="24"/>
        </w:rPr>
        <w:t xml:space="preserve"> neither Chief Winter nor the Chiefs panel knew, at the time of this so-called favorable review, that Mr. Reed was belittling subordinates.</w:t>
      </w:r>
      <w:r>
        <w:rPr>
          <w:rFonts w:ascii="Times New Roman" w:hAnsi="Times New Roman"/>
          <w:sz w:val="24"/>
          <w:szCs w:val="24"/>
        </w:rPr>
        <w:t xml:space="preserve">” </w:t>
      </w:r>
      <w:hyperlink r:id="rId2739" w:history="1">
        <w:r w:rsidRPr="005B4B72">
          <w:rPr>
            <w:rStyle w:val="Hyperlink"/>
            <w:rFonts w:ascii="Times New Roman" w:hAnsi="Times New Roman"/>
          </w:rPr>
          <w:t>https://casetext.com/case/reed-v-city-of-conway</w:t>
        </w:r>
      </w:hyperlink>
      <w:r>
        <w:rPr>
          <w:rFonts w:ascii="Times New Roman" w:hAnsi="Times New Roman"/>
          <w:sz w:val="24"/>
          <w:szCs w:val="24"/>
        </w:rPr>
        <w:t xml:space="preserve"> </w:t>
      </w:r>
    </w:p>
    <w:bookmarkEnd w:id="631"/>
    <w:p w14:paraId="50254F13" w14:textId="77777777" w:rsidR="00311ABE" w:rsidRDefault="00311ABE" w:rsidP="00F326E5">
      <w:pPr>
        <w:pStyle w:val="NoSpacing"/>
        <w:rPr>
          <w:rFonts w:ascii="Arial Black" w:hAnsi="Arial Black"/>
          <w:sz w:val="24"/>
          <w:szCs w:val="24"/>
        </w:rPr>
      </w:pPr>
    </w:p>
    <w:p w14:paraId="6494EABE" w14:textId="77777777" w:rsidR="00D478CB" w:rsidRDefault="00D478CB" w:rsidP="00F326E5">
      <w:pPr>
        <w:pStyle w:val="NoSpacing"/>
        <w:rPr>
          <w:rFonts w:ascii="Arial Black" w:hAnsi="Arial Black"/>
          <w:sz w:val="24"/>
          <w:szCs w:val="24"/>
        </w:rPr>
      </w:pPr>
    </w:p>
    <w:p w14:paraId="22E980A2" w14:textId="27EA5A3F" w:rsidR="00D478CB" w:rsidRDefault="00D478CB" w:rsidP="00F326E5">
      <w:pPr>
        <w:pStyle w:val="NoSpacing"/>
        <w:rPr>
          <w:rFonts w:ascii="Arial Black" w:hAnsi="Arial Black"/>
          <w:sz w:val="24"/>
          <w:szCs w:val="24"/>
        </w:rPr>
      </w:pPr>
      <w:r>
        <w:rPr>
          <w:rFonts w:ascii="Arial Black" w:hAnsi="Arial Black"/>
          <w:sz w:val="24"/>
          <w:szCs w:val="24"/>
        </w:rPr>
        <w:t>17-19</w:t>
      </w:r>
    </w:p>
    <w:p w14:paraId="143388E6" w14:textId="77777777" w:rsidR="00D478CB" w:rsidRPr="0066767F" w:rsidRDefault="00D478CB" w:rsidP="00D478CB">
      <w:pPr>
        <w:spacing w:before="100" w:beforeAutospacing="1" w:after="100" w:afterAutospacing="1" w:line="240" w:lineRule="auto"/>
        <w:rPr>
          <w:rFonts w:ascii="Arial Black" w:hAnsi="Arial Black"/>
          <w:sz w:val="28"/>
          <w:szCs w:val="28"/>
        </w:rPr>
      </w:pPr>
      <w:r>
        <w:rPr>
          <w:rFonts w:ascii="Arial Black" w:hAnsi="Arial Black"/>
          <w:sz w:val="28"/>
          <w:szCs w:val="28"/>
        </w:rPr>
        <w:lastRenderedPageBreak/>
        <w:t xml:space="preserve">OH: CAPTAIN NO. 1 LIST B/C – CITY DOESN’T WANT TO FILL JOB - UNION WON’T ARBITRATE – LAWSUIT DISMISSED </w:t>
      </w:r>
    </w:p>
    <w:p w14:paraId="6C2CF803" w14:textId="18179222" w:rsidR="00D478CB" w:rsidRDefault="00D478CB" w:rsidP="00D478CB">
      <w:pPr>
        <w:pStyle w:val="NoSpacing"/>
        <w:rPr>
          <w:rFonts w:ascii="Arial Black" w:hAnsi="Arial Black"/>
          <w:sz w:val="24"/>
          <w:szCs w:val="24"/>
        </w:rPr>
      </w:pPr>
      <w:r>
        <w:rPr>
          <w:rFonts w:ascii="Times New Roman" w:hAnsi="Times New Roman"/>
          <w:sz w:val="24"/>
          <w:szCs w:val="24"/>
        </w:rPr>
        <w:t xml:space="preserve">On Aug. 11, 2022, in </w:t>
      </w:r>
      <w:r w:rsidRPr="00636166">
        <w:rPr>
          <w:rFonts w:ascii="Times New Roman" w:hAnsi="Times New Roman"/>
          <w:sz w:val="24"/>
          <w:szCs w:val="24"/>
          <w:u w:val="single"/>
        </w:rPr>
        <w:t>The State Of Ohio, Ex Re. John M. Casey, et al. v. Jamael Tito Brown, et al</w:t>
      </w:r>
      <w:r>
        <w:rPr>
          <w:rFonts w:ascii="Times New Roman" w:hAnsi="Times New Roman"/>
          <w:sz w:val="24"/>
          <w:szCs w:val="24"/>
        </w:rPr>
        <w:t xml:space="preserve">., the Court of Appeals of Ohio, Seventh District (Mahoning County), </w:t>
      </w:r>
      <w:r w:rsidRPr="00636166">
        <w:rPr>
          <w:rFonts w:ascii="Times New Roman" w:eastAsia="Times New Roman" w:hAnsi="Times New Roman"/>
          <w:sz w:val="24"/>
          <w:szCs w:val="24"/>
        </w:rPr>
        <w:t>2022-Ohio-2843</w:t>
      </w:r>
      <w:r>
        <w:rPr>
          <w:rFonts w:ascii="Times New Roman" w:eastAsia="Times New Roman" w:hAnsi="Times New Roman"/>
          <w:sz w:val="24"/>
          <w:szCs w:val="24"/>
        </w:rPr>
        <w:t xml:space="preserve">, </w:t>
      </w:r>
      <w:r>
        <w:rPr>
          <w:rFonts w:ascii="Times New Roman" w:hAnsi="Times New Roman"/>
          <w:sz w:val="24"/>
          <w:szCs w:val="24"/>
        </w:rPr>
        <w:t xml:space="preserve">held (3 to 0) that the </w:t>
      </w:r>
      <w:proofErr w:type="gramStart"/>
      <w:r>
        <w:rPr>
          <w:rFonts w:ascii="Times New Roman" w:hAnsi="Times New Roman"/>
          <w:sz w:val="24"/>
          <w:szCs w:val="24"/>
        </w:rPr>
        <w:t>Captain’s</w:t>
      </w:r>
      <w:proofErr w:type="gramEnd"/>
      <w:r>
        <w:rPr>
          <w:rFonts w:ascii="Times New Roman" w:hAnsi="Times New Roman"/>
          <w:sz w:val="24"/>
          <w:szCs w:val="24"/>
        </w:rPr>
        <w:t xml:space="preserve"> taxpayer lawsuit against the City is dismissed.   Plaintiff as a </w:t>
      </w:r>
      <w:r w:rsidRPr="00E20815">
        <w:rPr>
          <w:rFonts w:ascii="Times New Roman" w:hAnsi="Times New Roman"/>
          <w:sz w:val="24"/>
          <w:szCs w:val="24"/>
        </w:rPr>
        <w:t>member of the Youngstown Professional Firefighters, IAFF, Local 312</w:t>
      </w:r>
      <w:r>
        <w:rPr>
          <w:rFonts w:ascii="Times New Roman" w:hAnsi="Times New Roman"/>
          <w:sz w:val="24"/>
          <w:szCs w:val="24"/>
        </w:rPr>
        <w:t xml:space="preserve">; Union President under CBA decides when to pursue arbitration.    Plaintiff’s so option is to file unfair labor </w:t>
      </w:r>
      <w:proofErr w:type="gramStart"/>
      <w:r>
        <w:rPr>
          <w:rFonts w:ascii="Times New Roman" w:hAnsi="Times New Roman"/>
          <w:sz w:val="24"/>
          <w:szCs w:val="24"/>
        </w:rPr>
        <w:t>charge</w:t>
      </w:r>
      <w:proofErr w:type="gramEnd"/>
      <w:r>
        <w:rPr>
          <w:rFonts w:ascii="Times New Roman" w:hAnsi="Times New Roman"/>
          <w:sz w:val="24"/>
          <w:szCs w:val="24"/>
        </w:rPr>
        <w:t xml:space="preserve"> against the union. </w:t>
      </w:r>
      <w:hyperlink r:id="rId2740" w:history="1">
        <w:r w:rsidRPr="00696C47">
          <w:rPr>
            <w:rStyle w:val="Hyperlink"/>
            <w:rFonts w:ascii="Times New Roman" w:hAnsi="Times New Roman"/>
          </w:rPr>
          <w:t>https://public.fastcase.com/J%2FJP6pdidelsXxEE4k%2BLMgRuGoPztfGYl4rgyWIW4hR9R3ye4G%2Brlx4oNbvfkD7bo5Sl3SUFyCNYsXscEScOvl5B7KBk99Bt%2FA1OCEhfyl0%3D</w:t>
        </w:r>
      </w:hyperlink>
    </w:p>
    <w:p w14:paraId="5616EA70" w14:textId="77777777" w:rsidR="00D478CB" w:rsidRPr="00E94E96" w:rsidRDefault="00D478CB" w:rsidP="00D478CB">
      <w:pPr>
        <w:spacing w:before="100" w:beforeAutospacing="1" w:after="100" w:afterAutospacing="1" w:line="240" w:lineRule="auto"/>
        <w:rPr>
          <w:rFonts w:ascii="Times New Roman" w:hAnsi="Times New Roman"/>
          <w:b/>
          <w:bCs/>
          <w:sz w:val="24"/>
          <w:szCs w:val="24"/>
        </w:rPr>
      </w:pPr>
      <w:r w:rsidRPr="00E94E96">
        <w:rPr>
          <w:rFonts w:ascii="Times New Roman" w:hAnsi="Times New Roman"/>
          <w:b/>
          <w:bCs/>
          <w:sz w:val="24"/>
          <w:szCs w:val="24"/>
        </w:rPr>
        <w:t xml:space="preserve">Legal Lesson Learned: </w:t>
      </w:r>
      <w:r>
        <w:rPr>
          <w:rFonts w:ascii="Times New Roman" w:hAnsi="Times New Roman"/>
          <w:b/>
          <w:bCs/>
          <w:sz w:val="24"/>
          <w:szCs w:val="24"/>
        </w:rPr>
        <w:t>The Union under the CBA has sole discretion on when to pursue an arbitration.</w:t>
      </w:r>
    </w:p>
    <w:p w14:paraId="5B60A40A" w14:textId="77777777" w:rsidR="00D478CB" w:rsidRDefault="00D478CB" w:rsidP="00F326E5">
      <w:pPr>
        <w:pStyle w:val="NoSpacing"/>
        <w:rPr>
          <w:rFonts w:ascii="Arial Black" w:hAnsi="Arial Black"/>
          <w:sz w:val="24"/>
          <w:szCs w:val="24"/>
        </w:rPr>
      </w:pPr>
    </w:p>
    <w:p w14:paraId="06B0936A" w14:textId="77777777" w:rsidR="00D478CB" w:rsidRDefault="00D478CB" w:rsidP="00F326E5">
      <w:pPr>
        <w:pStyle w:val="NoSpacing"/>
        <w:rPr>
          <w:rFonts w:ascii="Arial Black" w:hAnsi="Arial Black"/>
          <w:sz w:val="24"/>
          <w:szCs w:val="24"/>
        </w:rPr>
      </w:pPr>
    </w:p>
    <w:p w14:paraId="2932F533" w14:textId="2581FC16" w:rsidR="00C24A79" w:rsidRDefault="00C24A79" w:rsidP="00F326E5">
      <w:pPr>
        <w:pStyle w:val="NoSpacing"/>
        <w:rPr>
          <w:rFonts w:ascii="Arial Black" w:hAnsi="Arial Black"/>
          <w:sz w:val="24"/>
          <w:szCs w:val="24"/>
        </w:rPr>
      </w:pPr>
      <w:r>
        <w:rPr>
          <w:rFonts w:ascii="Arial Black" w:hAnsi="Arial Black"/>
          <w:sz w:val="24"/>
          <w:szCs w:val="24"/>
        </w:rPr>
        <w:t>17-18</w:t>
      </w:r>
    </w:p>
    <w:p w14:paraId="0877C9C5" w14:textId="77777777" w:rsidR="00C24A79" w:rsidRPr="007B00F4" w:rsidRDefault="00C24A79" w:rsidP="00C24A79">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OH: CBA IMPASSE – FACT-FINDING, ARBITRATION, COURT -16 EMS CAPTAINS WIN 2% PAY INCREASE BACK TO 2016 </w:t>
      </w:r>
    </w:p>
    <w:p w14:paraId="76844455" w14:textId="77777777" w:rsidR="00C24A79" w:rsidRPr="0039678C" w:rsidRDefault="00C24A79" w:rsidP="00C24A79">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July 21, 2022, in </w:t>
      </w:r>
      <w:r w:rsidRPr="007B00F4">
        <w:rPr>
          <w:rFonts w:ascii="Times New Roman" w:hAnsi="Times New Roman"/>
          <w:sz w:val="24"/>
          <w:szCs w:val="24"/>
          <w:u w:val="single"/>
        </w:rPr>
        <w:t>City of Cleveland v. Communication Workers Of America, Local 4340</w:t>
      </w:r>
      <w:r>
        <w:rPr>
          <w:rFonts w:ascii="Times New Roman" w:hAnsi="Times New Roman"/>
          <w:sz w:val="24"/>
          <w:szCs w:val="24"/>
        </w:rPr>
        <w:t xml:space="preserve">, the </w:t>
      </w:r>
      <w:r w:rsidRPr="007B00F4">
        <w:rPr>
          <w:rFonts w:ascii="Times New Roman" w:eastAsia="Times New Roman" w:hAnsi="Times New Roman"/>
          <w:sz w:val="24"/>
          <w:szCs w:val="24"/>
        </w:rPr>
        <w:t>Court of Appeals of Ohio, Eighth District</w:t>
      </w:r>
      <w:r>
        <w:rPr>
          <w:rFonts w:ascii="Times New Roman" w:eastAsia="Times New Roman" w:hAnsi="Times New Roman"/>
          <w:sz w:val="24"/>
          <w:szCs w:val="24"/>
        </w:rPr>
        <w:t xml:space="preserve"> (</w:t>
      </w:r>
      <w:r w:rsidRPr="007B00F4">
        <w:rPr>
          <w:rFonts w:ascii="Times New Roman" w:eastAsia="Times New Roman" w:hAnsi="Times New Roman"/>
          <w:sz w:val="24"/>
          <w:szCs w:val="24"/>
        </w:rPr>
        <w:t>Cuyahoga</w:t>
      </w:r>
      <w:r>
        <w:rPr>
          <w:rFonts w:ascii="Times New Roman" w:eastAsia="Times New Roman" w:hAnsi="Times New Roman"/>
          <w:sz w:val="24"/>
          <w:szCs w:val="24"/>
        </w:rPr>
        <w:t xml:space="preserve"> County), </w:t>
      </w:r>
      <w:r w:rsidRPr="00633DB2">
        <w:rPr>
          <w:rFonts w:ascii="Times New Roman" w:eastAsia="Times New Roman" w:hAnsi="Times New Roman"/>
          <w:sz w:val="24"/>
          <w:szCs w:val="24"/>
        </w:rPr>
        <w:t xml:space="preserve">2022-Ohio-2498, </w:t>
      </w:r>
      <w:r>
        <w:rPr>
          <w:rFonts w:ascii="Times New Roman" w:eastAsia="Times New Roman" w:hAnsi="Times New Roman"/>
          <w:sz w:val="24"/>
          <w:szCs w:val="24"/>
        </w:rPr>
        <w:t xml:space="preserve">held 3 to 0 that trial court properly upheld the arbitrator’s decision; 12 EMS Captains entitled to 2% pay increase for 2016-2019 period based on fact-finders’ Final Report.  </w:t>
      </w:r>
      <w:hyperlink r:id="rId2741" w:history="1">
        <w:r w:rsidRPr="00355029">
          <w:rPr>
            <w:rStyle w:val="Hyperlink"/>
            <w:rFonts w:ascii="Times New Roman" w:eastAsia="Times New Roman" w:hAnsi="Times New Roman"/>
            <w:sz w:val="24"/>
            <w:szCs w:val="24"/>
          </w:rPr>
          <w:t>https://www.supremecourt.ohio.gov/rod/docs/pdf/8/2022/2022-Ohio-2498.pdf</w:t>
        </w:r>
      </w:hyperlink>
      <w:r>
        <w:rPr>
          <w:rFonts w:ascii="Times New Roman" w:eastAsia="Times New Roman" w:hAnsi="Times New Roman"/>
          <w:sz w:val="24"/>
          <w:szCs w:val="24"/>
        </w:rPr>
        <w:t xml:space="preserve"> </w:t>
      </w:r>
    </w:p>
    <w:p w14:paraId="2C5FBD17" w14:textId="77777777" w:rsidR="00C24A79" w:rsidRPr="00633DB2" w:rsidRDefault="00C24A79" w:rsidP="00C24A79">
      <w:pPr>
        <w:spacing w:before="100" w:beforeAutospacing="1" w:after="100" w:afterAutospacing="1" w:line="240" w:lineRule="auto"/>
        <w:rPr>
          <w:rFonts w:ascii="Times New Roman" w:eastAsia="Times New Roman" w:hAnsi="Times New Roman"/>
          <w:b/>
          <w:bCs/>
          <w:sz w:val="24"/>
          <w:szCs w:val="24"/>
        </w:rPr>
      </w:pPr>
      <w:r w:rsidRPr="006450B8">
        <w:rPr>
          <w:rFonts w:ascii="Times New Roman" w:hAnsi="Times New Roman"/>
          <w:b/>
          <w:bCs/>
          <w:sz w:val="24"/>
          <w:szCs w:val="24"/>
        </w:rPr>
        <w:t>Legal Lesson Learned: The Ohio Revised Code provides for fact-finding for resolution of bargaining impasse</w:t>
      </w:r>
      <w:r>
        <w:rPr>
          <w:rFonts w:ascii="Times New Roman" w:hAnsi="Times New Roman"/>
          <w:b/>
          <w:bCs/>
          <w:sz w:val="24"/>
          <w:szCs w:val="24"/>
        </w:rPr>
        <w:t xml:space="preserve">; the Courts will generally uphold. </w:t>
      </w:r>
    </w:p>
    <w:p w14:paraId="4162DAFC" w14:textId="77777777" w:rsidR="00C24A79" w:rsidRDefault="00C24A79" w:rsidP="00F326E5">
      <w:pPr>
        <w:pStyle w:val="NoSpacing"/>
        <w:rPr>
          <w:rFonts w:ascii="Arial Black" w:hAnsi="Arial Black"/>
          <w:sz w:val="24"/>
          <w:szCs w:val="24"/>
        </w:rPr>
      </w:pPr>
    </w:p>
    <w:p w14:paraId="3EC24F38" w14:textId="77777777" w:rsidR="00C24A79" w:rsidRDefault="00C24A79" w:rsidP="00F326E5">
      <w:pPr>
        <w:pStyle w:val="NoSpacing"/>
        <w:rPr>
          <w:rFonts w:ascii="Arial Black" w:hAnsi="Arial Black"/>
          <w:sz w:val="24"/>
          <w:szCs w:val="24"/>
        </w:rPr>
      </w:pPr>
    </w:p>
    <w:p w14:paraId="42D1818B" w14:textId="77777777" w:rsidR="00C24A79" w:rsidRDefault="00C24A79" w:rsidP="00F326E5">
      <w:pPr>
        <w:pStyle w:val="NoSpacing"/>
        <w:rPr>
          <w:rFonts w:ascii="Arial Black" w:hAnsi="Arial Black"/>
          <w:sz w:val="24"/>
          <w:szCs w:val="24"/>
        </w:rPr>
      </w:pPr>
    </w:p>
    <w:p w14:paraId="5A7642EF" w14:textId="3F65E365" w:rsidR="00156E5D" w:rsidRDefault="00156E5D" w:rsidP="00F326E5">
      <w:pPr>
        <w:pStyle w:val="NoSpacing"/>
        <w:rPr>
          <w:rFonts w:ascii="Arial Black" w:hAnsi="Arial Black"/>
          <w:sz w:val="24"/>
          <w:szCs w:val="24"/>
        </w:rPr>
      </w:pPr>
      <w:r>
        <w:rPr>
          <w:rFonts w:ascii="Arial Black" w:hAnsi="Arial Black"/>
          <w:sz w:val="24"/>
          <w:szCs w:val="24"/>
        </w:rPr>
        <w:t>17-17</w:t>
      </w:r>
    </w:p>
    <w:p w14:paraId="29FEA5E1" w14:textId="292E7C36" w:rsidR="00156E5D" w:rsidRDefault="00156E5D" w:rsidP="00F326E5">
      <w:pPr>
        <w:pStyle w:val="NoSpacing"/>
        <w:rPr>
          <w:rFonts w:ascii="Arial Black" w:hAnsi="Arial Black"/>
          <w:sz w:val="24"/>
          <w:szCs w:val="24"/>
        </w:rPr>
      </w:pPr>
    </w:p>
    <w:p w14:paraId="34CB2E5F" w14:textId="37851BF4" w:rsidR="00156E5D" w:rsidRDefault="00156E5D" w:rsidP="00156E5D">
      <w:pPr>
        <w:rPr>
          <w:rFonts w:ascii="Arial Black" w:hAnsi="Arial Black"/>
          <w:b/>
          <w:sz w:val="24"/>
          <w:szCs w:val="24"/>
        </w:rPr>
      </w:pPr>
      <w:r>
        <w:rPr>
          <w:rFonts w:ascii="Arial Black" w:hAnsi="Arial Black"/>
          <w:b/>
          <w:sz w:val="24"/>
          <w:szCs w:val="24"/>
        </w:rPr>
        <w:t>6-92 [also filed, Chap. 6]</w:t>
      </w:r>
    </w:p>
    <w:p w14:paraId="71BEC741" w14:textId="77777777" w:rsidR="00156E5D" w:rsidRDefault="00156E5D" w:rsidP="00156E5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OH: FIRE CHIEF “RETIRE / REHIRE” NEXT DAY IS LAWFUL – CIVIL SERVICE POSTING JOB ONLY WHEN A “VACANCY” </w:t>
      </w:r>
    </w:p>
    <w:p w14:paraId="3EEEF329" w14:textId="77777777" w:rsidR="00156E5D" w:rsidRDefault="00156E5D" w:rsidP="00156E5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27, 2022, in </w:t>
      </w:r>
      <w:r>
        <w:rPr>
          <w:rFonts w:ascii="Times New Roman" w:hAnsi="Times New Roman"/>
          <w:sz w:val="24"/>
          <w:szCs w:val="24"/>
          <w:u w:val="single"/>
        </w:rPr>
        <w:t xml:space="preserve">State of Ohio ex re. The International Association of Fire Fighters, Local 1536, AFL-CIO v. John Barbush, In His Official Capacity </w:t>
      </w:r>
      <w:proofErr w:type="gramStart"/>
      <w:r>
        <w:rPr>
          <w:rFonts w:ascii="Times New Roman" w:hAnsi="Times New Roman"/>
          <w:sz w:val="24"/>
          <w:szCs w:val="24"/>
          <w:u w:val="single"/>
        </w:rPr>
        <w:t>As</w:t>
      </w:r>
      <w:proofErr w:type="gramEnd"/>
      <w:r>
        <w:rPr>
          <w:rFonts w:ascii="Times New Roman" w:hAnsi="Times New Roman"/>
          <w:sz w:val="24"/>
          <w:szCs w:val="24"/>
          <w:u w:val="single"/>
        </w:rPr>
        <w:t xml:space="preserve"> Maor </w:t>
      </w:r>
      <w:proofErr w:type="gramStart"/>
      <w:r>
        <w:rPr>
          <w:rFonts w:ascii="Times New Roman" w:hAnsi="Times New Roman"/>
          <w:sz w:val="24"/>
          <w:szCs w:val="24"/>
          <w:u w:val="single"/>
        </w:rPr>
        <w:t>And</w:t>
      </w:r>
      <w:proofErr w:type="gramEnd"/>
      <w:r>
        <w:rPr>
          <w:rFonts w:ascii="Times New Roman" w:hAnsi="Times New Roman"/>
          <w:sz w:val="24"/>
          <w:szCs w:val="24"/>
          <w:u w:val="single"/>
        </w:rPr>
        <w:t xml:space="preserve"> Director </w:t>
      </w:r>
      <w:proofErr w:type="gramStart"/>
      <w:r>
        <w:rPr>
          <w:rFonts w:ascii="Times New Roman" w:hAnsi="Times New Roman"/>
          <w:sz w:val="24"/>
          <w:szCs w:val="24"/>
          <w:u w:val="single"/>
        </w:rPr>
        <w:t>Of</w:t>
      </w:r>
      <w:proofErr w:type="gramEnd"/>
      <w:r>
        <w:rPr>
          <w:rFonts w:ascii="Times New Roman" w:hAnsi="Times New Roman"/>
          <w:sz w:val="24"/>
          <w:szCs w:val="24"/>
          <w:u w:val="single"/>
        </w:rPr>
        <w:t xml:space="preserve"> Public Safety, et. al., and James G. Powers</w:t>
      </w:r>
      <w:r>
        <w:rPr>
          <w:rFonts w:ascii="Times New Roman" w:hAnsi="Times New Roman"/>
          <w:sz w:val="24"/>
          <w:szCs w:val="24"/>
        </w:rPr>
        <w:t xml:space="preserve">, the Court of Appeals of Ohio, Eleventh District (Lake County), held (2 to 1) that trial court properly held that there was no “vacancy” in the Fire Chiefs position since he retired on Jan. 6, 2020, and was rehired the next day. Local 1536 argued [and the Dissenting Judge agreed] that the position should have been </w:t>
      </w:r>
      <w:proofErr w:type="gramStart"/>
      <w:r>
        <w:rPr>
          <w:rFonts w:ascii="Times New Roman" w:hAnsi="Times New Roman"/>
          <w:sz w:val="24"/>
          <w:szCs w:val="24"/>
        </w:rPr>
        <w:t>submitted</w:t>
      </w:r>
      <w:proofErr w:type="gramEnd"/>
      <w:r>
        <w:rPr>
          <w:rFonts w:ascii="Times New Roman" w:hAnsi="Times New Roman"/>
          <w:sz w:val="24"/>
          <w:szCs w:val="24"/>
        </w:rPr>
        <w:t xml:space="preserve"> the City’s Civil Service Commission, and the position filled through a competitive promotional examination process where four Captains were eligible to apply. </w:t>
      </w:r>
      <w:hyperlink r:id="rId2742" w:history="1">
        <w:r>
          <w:rPr>
            <w:rStyle w:val="Hyperlink"/>
            <w:sz w:val="24"/>
            <w:szCs w:val="24"/>
          </w:rPr>
          <w:t>https://www.leagle.com/decision/inohco20220627386</w:t>
        </w:r>
      </w:hyperlink>
      <w:r>
        <w:rPr>
          <w:rFonts w:ascii="Times New Roman" w:hAnsi="Times New Roman"/>
          <w:sz w:val="24"/>
          <w:szCs w:val="24"/>
        </w:rPr>
        <w:t xml:space="preserve"> </w:t>
      </w:r>
    </w:p>
    <w:p w14:paraId="6FF3511F" w14:textId="77777777" w:rsidR="00156E5D" w:rsidRDefault="00156E5D" w:rsidP="00156E5D">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In Ohio, other fire chiefs have also done “retire / rehire.” </w:t>
      </w:r>
    </w:p>
    <w:p w14:paraId="647BFB4F" w14:textId="77777777" w:rsidR="00156E5D" w:rsidRPr="00102BDF" w:rsidRDefault="00156E5D" w:rsidP="00156E5D">
      <w:pPr>
        <w:pStyle w:val="Heading1"/>
        <w:ind w:left="720"/>
        <w:rPr>
          <w:b w:val="0"/>
          <w:bCs w:val="0"/>
          <w:sz w:val="24"/>
          <w:szCs w:val="24"/>
        </w:rPr>
      </w:pPr>
      <w:r w:rsidRPr="00102BDF">
        <w:rPr>
          <w:b w:val="0"/>
          <w:bCs w:val="0"/>
          <w:sz w:val="24"/>
          <w:szCs w:val="24"/>
        </w:rPr>
        <w:lastRenderedPageBreak/>
        <w:t xml:space="preserve">For example, see: “Fairfield able to rehire retired fire chief” (March 15, 2011): </w:t>
      </w:r>
      <w:hyperlink r:id="rId2743" w:history="1">
        <w:r w:rsidRPr="00102BDF">
          <w:rPr>
            <w:rStyle w:val="Hyperlink"/>
            <w:b w:val="0"/>
            <w:bCs w:val="0"/>
            <w:sz w:val="24"/>
            <w:szCs w:val="24"/>
          </w:rPr>
          <w:t>https://www.journal-news.com/news/local/fairfield-able-rehire-retired-fire-chief/JMPkJQCqJ2eIDqbu2eI8RK/</w:t>
        </w:r>
      </w:hyperlink>
      <w:r w:rsidRPr="00102BDF">
        <w:rPr>
          <w:b w:val="0"/>
          <w:bCs w:val="0"/>
          <w:sz w:val="24"/>
          <w:szCs w:val="24"/>
        </w:rPr>
        <w:t xml:space="preserve"> </w:t>
      </w:r>
    </w:p>
    <w:p w14:paraId="0364F905"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“West Carrollton to rehire fire chief after Valentine’s week retirement” (Feb. 13, 2019): </w:t>
      </w:r>
      <w:hyperlink r:id="rId2744" w:history="1">
        <w:r w:rsidRPr="00102BDF">
          <w:rPr>
            <w:rStyle w:val="Hyperlink"/>
            <w:b w:val="0"/>
            <w:bCs w:val="0"/>
            <w:sz w:val="24"/>
            <w:szCs w:val="24"/>
          </w:rPr>
          <w:t>https://www.daytondailynews.com/news/west-carrollton-rehire-fire-chief-after-valentine-week-retirement/XSsYoJpSmxdkIIZtoGUpzJ/</w:t>
        </w:r>
      </w:hyperlink>
      <w:r w:rsidRPr="00102BDF">
        <w:rPr>
          <w:b w:val="0"/>
          <w:bCs w:val="0"/>
          <w:sz w:val="24"/>
          <w:szCs w:val="24"/>
        </w:rPr>
        <w:t xml:space="preserve"> </w:t>
      </w:r>
    </w:p>
    <w:p w14:paraId="53B1D6D5" w14:textId="77777777" w:rsidR="00156E5D" w:rsidRDefault="00156E5D" w:rsidP="00156E5D">
      <w:pPr>
        <w:rPr>
          <w:rFonts w:ascii="Arial Black" w:hAnsi="Arial Black"/>
          <w:b/>
          <w:sz w:val="24"/>
          <w:szCs w:val="24"/>
        </w:rPr>
      </w:pPr>
    </w:p>
    <w:p w14:paraId="688B950C" w14:textId="77777777" w:rsidR="00156E5D" w:rsidRDefault="00156E5D" w:rsidP="00156E5D">
      <w:pPr>
        <w:rPr>
          <w:rFonts w:ascii="Arial Black" w:hAnsi="Arial Black"/>
          <w:b/>
          <w:sz w:val="24"/>
          <w:szCs w:val="24"/>
        </w:rPr>
      </w:pPr>
    </w:p>
    <w:p w14:paraId="775FE46D" w14:textId="77777777" w:rsidR="00156E5D" w:rsidRDefault="00156E5D" w:rsidP="00F326E5">
      <w:pPr>
        <w:pStyle w:val="NoSpacing"/>
        <w:rPr>
          <w:rFonts w:ascii="Arial Black" w:hAnsi="Arial Black"/>
          <w:sz w:val="24"/>
          <w:szCs w:val="24"/>
        </w:rPr>
      </w:pPr>
    </w:p>
    <w:p w14:paraId="4C0DB81D" w14:textId="77777777" w:rsidR="00156E5D" w:rsidRDefault="00156E5D" w:rsidP="00F326E5">
      <w:pPr>
        <w:pStyle w:val="NoSpacing"/>
        <w:rPr>
          <w:rFonts w:ascii="Arial Black" w:hAnsi="Arial Black"/>
          <w:sz w:val="24"/>
          <w:szCs w:val="24"/>
        </w:rPr>
      </w:pPr>
    </w:p>
    <w:p w14:paraId="2060F756" w14:textId="05F2BB72" w:rsidR="009579EB" w:rsidRDefault="009579EB" w:rsidP="00F326E5">
      <w:pPr>
        <w:pStyle w:val="NoSpacing"/>
        <w:rPr>
          <w:rFonts w:ascii="Arial Black" w:hAnsi="Arial Black"/>
          <w:sz w:val="24"/>
          <w:szCs w:val="24"/>
        </w:rPr>
      </w:pPr>
      <w:r>
        <w:rPr>
          <w:rFonts w:ascii="Arial Black" w:hAnsi="Arial Black"/>
          <w:sz w:val="24"/>
          <w:szCs w:val="24"/>
        </w:rPr>
        <w:t>17-16</w:t>
      </w:r>
    </w:p>
    <w:p w14:paraId="70E76EA8" w14:textId="77777777" w:rsidR="009579EB" w:rsidRPr="003E559C" w:rsidRDefault="009579EB" w:rsidP="009579EB">
      <w:pPr>
        <w:spacing w:before="100" w:beforeAutospacing="1" w:after="100" w:afterAutospacing="1" w:line="240" w:lineRule="auto"/>
        <w:rPr>
          <w:rFonts w:ascii="Arial Black" w:hAnsi="Arial Black"/>
          <w:sz w:val="28"/>
          <w:szCs w:val="28"/>
        </w:rPr>
      </w:pPr>
      <w:r>
        <w:rPr>
          <w:rFonts w:ascii="Arial Black" w:hAnsi="Arial Black"/>
          <w:sz w:val="28"/>
          <w:szCs w:val="28"/>
        </w:rPr>
        <w:t>NY: NEW SICK LEAVE POLICY – FD MUST BARGAIN - DOCTOR’S NOTE AFTER 2 WORKDAYS SICK, WAS 3 DAYS</w:t>
      </w:r>
    </w:p>
    <w:p w14:paraId="798D245B" w14:textId="77777777" w:rsidR="009579EB" w:rsidRPr="003E559C" w:rsidRDefault="009579EB" w:rsidP="009579EB">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25, 2022, in </w:t>
      </w:r>
      <w:r w:rsidRPr="003E559C">
        <w:rPr>
          <w:rFonts w:ascii="Times New Roman" w:eastAsia="Times New Roman" w:hAnsi="Times New Roman"/>
          <w:sz w:val="24"/>
          <w:szCs w:val="24"/>
        </w:rPr>
        <w:t xml:space="preserve">the </w:t>
      </w:r>
      <w:r w:rsidRPr="003E559C">
        <w:rPr>
          <w:rFonts w:ascii="Times New Roman" w:eastAsia="Times New Roman" w:hAnsi="Times New Roman"/>
          <w:sz w:val="24"/>
          <w:szCs w:val="24"/>
          <w:u w:val="single"/>
        </w:rPr>
        <w:t>Matter of Village of Scarsdale v. New York State Public Employment Relations Board, et al</w:t>
      </w:r>
      <w:r w:rsidRPr="003E559C">
        <w:rPr>
          <w:rFonts w:ascii="Times New Roman" w:eastAsia="Times New Roman" w:hAnsi="Times New Roman"/>
          <w:sz w:val="24"/>
          <w:szCs w:val="24"/>
        </w:rPr>
        <w:t>.</w:t>
      </w:r>
      <w:r>
        <w:rPr>
          <w:rFonts w:ascii="Times New Roman" w:eastAsia="Times New Roman" w:hAnsi="Times New Roman"/>
          <w:b/>
          <w:bCs/>
          <w:sz w:val="24"/>
          <w:szCs w:val="24"/>
        </w:rPr>
        <w:t xml:space="preserve">, </w:t>
      </w:r>
      <w:r w:rsidRPr="009155CF">
        <w:rPr>
          <w:rFonts w:ascii="Times New Roman" w:eastAsia="Times New Roman" w:hAnsi="Times New Roman"/>
          <w:sz w:val="24"/>
          <w:szCs w:val="24"/>
        </w:rPr>
        <w:t>2022 NY Slip Op 03392,</w:t>
      </w:r>
      <w:r>
        <w:rPr>
          <w:rFonts w:ascii="Times New Roman" w:eastAsia="Times New Roman" w:hAnsi="Times New Roman"/>
          <w:b/>
          <w:bCs/>
          <w:sz w:val="24"/>
          <w:szCs w:val="24"/>
        </w:rPr>
        <w:t xml:space="preserve"> </w:t>
      </w:r>
      <w:r w:rsidRPr="003E559C">
        <w:rPr>
          <w:rFonts w:ascii="Times New Roman" w:eastAsia="Times New Roman" w:hAnsi="Times New Roman"/>
          <w:sz w:val="24"/>
          <w:szCs w:val="24"/>
        </w:rPr>
        <w:t>the</w:t>
      </w:r>
      <w:r>
        <w:rPr>
          <w:rFonts w:ascii="Times New Roman" w:eastAsia="Times New Roman" w:hAnsi="Times New Roman"/>
          <w:b/>
          <w:bCs/>
          <w:sz w:val="24"/>
          <w:szCs w:val="24"/>
        </w:rPr>
        <w:t xml:space="preserve"> </w:t>
      </w:r>
      <w:r w:rsidRPr="003E559C">
        <w:rPr>
          <w:rFonts w:ascii="Times New Roman" w:eastAsia="Times New Roman" w:hAnsi="Times New Roman"/>
          <w:sz w:val="24"/>
          <w:szCs w:val="24"/>
        </w:rPr>
        <w:t>Supreme Court of New York, Second Department, held</w:t>
      </w:r>
      <w:r>
        <w:rPr>
          <w:rFonts w:ascii="Times New Roman" w:eastAsia="Times New Roman" w:hAnsi="Times New Roman"/>
          <w:b/>
          <w:bCs/>
          <w:sz w:val="24"/>
          <w:szCs w:val="24"/>
        </w:rPr>
        <w:t xml:space="preserve"> </w:t>
      </w:r>
      <w:r w:rsidRPr="009155CF">
        <w:rPr>
          <w:rFonts w:ascii="Times New Roman" w:eastAsia="Times New Roman" w:hAnsi="Times New Roman"/>
          <w:sz w:val="24"/>
          <w:szCs w:val="24"/>
        </w:rPr>
        <w:t>(4 to 0)</w:t>
      </w:r>
      <w:r>
        <w:rPr>
          <w:rFonts w:ascii="Times New Roman" w:eastAsia="Times New Roman" w:hAnsi="Times New Roman"/>
          <w:b/>
          <w:bCs/>
          <w:sz w:val="24"/>
          <w:szCs w:val="24"/>
        </w:rPr>
        <w:t xml:space="preserve"> </w:t>
      </w:r>
      <w:r>
        <w:rPr>
          <w:rFonts w:ascii="Times New Roman" w:eastAsia="Times New Roman" w:hAnsi="Times New Roman"/>
          <w:sz w:val="24"/>
          <w:szCs w:val="24"/>
        </w:rPr>
        <w:t xml:space="preserve">that the Board properly held that the new “Sick Leave Management Program” (SLMP) was a change in work conditions that must be bargained, including (a) doctor’s note after 2 missed work days, rather than three work days; (b) new rules on off-duty employment on sick leave; (c) eligibility for voluntary overtime; (d) quarterly and annual counseling for excessive sick leave. </w:t>
      </w:r>
      <w:hyperlink r:id="rId2745" w:history="1">
        <w:r w:rsidRPr="00682519">
          <w:rPr>
            <w:rStyle w:val="Hyperlink"/>
            <w:rFonts w:ascii="Times New Roman" w:eastAsia="Times New Roman" w:hAnsi="Times New Roman"/>
            <w:sz w:val="24"/>
            <w:szCs w:val="24"/>
          </w:rPr>
          <w:t>https://public.fastcase.com/waZtJvSA54UAurM2rmIZzyOaN7WzTWghSlgppuqvnsAjPkds9FfvjtUo5GbcF9G%2FNhiGhSGO5JepPmFj8bD%2B4C9gVbj%2FhO0NJpef3auh%2BAw%3D</w:t>
        </w:r>
      </w:hyperlink>
      <w:r>
        <w:rPr>
          <w:rFonts w:ascii="Times New Roman" w:eastAsia="Times New Roman" w:hAnsi="Times New Roman"/>
          <w:sz w:val="24"/>
          <w:szCs w:val="24"/>
        </w:rPr>
        <w:t xml:space="preserve"> </w:t>
      </w:r>
    </w:p>
    <w:p w14:paraId="128AB0A9" w14:textId="77777777" w:rsidR="009579EB" w:rsidRPr="00514E42" w:rsidRDefault="009579EB" w:rsidP="009579EB">
      <w:pPr>
        <w:spacing w:before="100" w:beforeAutospacing="1" w:after="100" w:afterAutospacing="1" w:line="240" w:lineRule="auto"/>
        <w:rPr>
          <w:rFonts w:ascii="Times New Roman" w:hAnsi="Times New Roman"/>
          <w:b/>
          <w:bCs/>
          <w:sz w:val="24"/>
          <w:szCs w:val="24"/>
        </w:rPr>
      </w:pPr>
      <w:r w:rsidRPr="00514E42">
        <w:rPr>
          <w:rFonts w:ascii="Times New Roman" w:hAnsi="Times New Roman"/>
          <w:b/>
          <w:bCs/>
          <w:sz w:val="24"/>
          <w:szCs w:val="24"/>
        </w:rPr>
        <w:t xml:space="preserve">Legal Lesson Learned: </w:t>
      </w:r>
      <w:r>
        <w:rPr>
          <w:rFonts w:ascii="Times New Roman" w:hAnsi="Times New Roman"/>
          <w:b/>
          <w:bCs/>
          <w:sz w:val="24"/>
          <w:szCs w:val="24"/>
        </w:rPr>
        <w:t xml:space="preserve">Under New York law, these substantial changes in sick leave policy had to be collectively bargained. </w:t>
      </w:r>
    </w:p>
    <w:p w14:paraId="00F2596B" w14:textId="77777777" w:rsidR="009579EB" w:rsidRDefault="009579EB" w:rsidP="00F326E5">
      <w:pPr>
        <w:pStyle w:val="NoSpacing"/>
        <w:rPr>
          <w:rFonts w:ascii="Arial Black" w:hAnsi="Arial Black"/>
          <w:sz w:val="24"/>
          <w:szCs w:val="24"/>
        </w:rPr>
      </w:pPr>
    </w:p>
    <w:p w14:paraId="35FD0ED8" w14:textId="77777777" w:rsidR="009579EB" w:rsidRDefault="009579EB" w:rsidP="00F326E5">
      <w:pPr>
        <w:pStyle w:val="NoSpacing"/>
        <w:rPr>
          <w:rFonts w:ascii="Arial Black" w:hAnsi="Arial Black"/>
          <w:sz w:val="24"/>
          <w:szCs w:val="24"/>
        </w:rPr>
      </w:pPr>
    </w:p>
    <w:p w14:paraId="5AA53551" w14:textId="31BB9909" w:rsidR="009579EB" w:rsidRDefault="009579EB" w:rsidP="00F326E5">
      <w:pPr>
        <w:pStyle w:val="NoSpacing"/>
        <w:rPr>
          <w:rFonts w:ascii="Arial Black" w:hAnsi="Arial Black"/>
          <w:sz w:val="24"/>
          <w:szCs w:val="24"/>
        </w:rPr>
      </w:pPr>
      <w:r>
        <w:rPr>
          <w:rFonts w:ascii="Arial Black" w:hAnsi="Arial Black"/>
          <w:sz w:val="24"/>
          <w:szCs w:val="24"/>
        </w:rPr>
        <w:t>17-15</w:t>
      </w:r>
    </w:p>
    <w:p w14:paraId="5A426956" w14:textId="77777777" w:rsidR="009579EB" w:rsidRDefault="009579EB" w:rsidP="00F326E5">
      <w:pPr>
        <w:pStyle w:val="NoSpacing"/>
        <w:rPr>
          <w:rFonts w:ascii="Arial Black" w:hAnsi="Arial Black"/>
          <w:sz w:val="24"/>
          <w:szCs w:val="24"/>
        </w:rPr>
      </w:pPr>
    </w:p>
    <w:p w14:paraId="1E0818D0" w14:textId="77777777" w:rsidR="00E13917" w:rsidRDefault="00E13917" w:rsidP="00E13917">
      <w:pPr>
        <w:spacing w:before="100" w:beforeAutospacing="1" w:after="100" w:afterAutospacing="1" w:line="240" w:lineRule="auto"/>
        <w:rPr>
          <w:rStyle w:val="markedcontent"/>
          <w:rFonts w:ascii="Arial Black" w:hAnsi="Arial Black" w:cs="Arial"/>
          <w:sz w:val="28"/>
          <w:szCs w:val="28"/>
        </w:rPr>
      </w:pPr>
      <w:r>
        <w:rPr>
          <w:rStyle w:val="markedcontent"/>
          <w:rFonts w:ascii="Arial Black" w:hAnsi="Arial Black" w:cs="Arial"/>
          <w:sz w:val="28"/>
          <w:szCs w:val="28"/>
        </w:rPr>
        <w:t>FL: IAFF PRESIDENT, 2 LTs – RETALIATION - AFTER UNFAIR LABOR CHARGE - ANNUAL PHYSICALS OMITTED KEY TESTS</w:t>
      </w:r>
    </w:p>
    <w:p w14:paraId="37ACB2B0" w14:textId="77777777" w:rsidR="00E13917" w:rsidRPr="00AA23CE" w:rsidRDefault="00E13917" w:rsidP="00E13917">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May 19, 2022, in </w:t>
      </w:r>
      <w:r w:rsidRPr="007529E0">
        <w:rPr>
          <w:rStyle w:val="markedcontent"/>
          <w:rFonts w:ascii="Times New Roman" w:hAnsi="Times New Roman"/>
          <w:sz w:val="24"/>
          <w:szCs w:val="24"/>
          <w:u w:val="single"/>
        </w:rPr>
        <w:t>Lakeland Profession Firefighters Local 4173 v. City of Lakeland</w:t>
      </w:r>
      <w:r>
        <w:rPr>
          <w:rStyle w:val="markedcontent"/>
          <w:rFonts w:ascii="Times New Roman" w:hAnsi="Times New Roman"/>
          <w:sz w:val="24"/>
          <w:szCs w:val="24"/>
        </w:rPr>
        <w:t xml:space="preserve">, Hearing Officer Robert W. Hanson with the State of Florida Public Employees Relations Commission, after a hearing, issued a Recommended Order that the FD: (a) immediately rescind the written reprimand issued against Union President Shannon Turbeville; (b) expunge all personnel files concerning the reprimand; (c) immediately return two Lieutenants, Matthew Burns and Michael Gilman, to their original stations; (d) pay the Union’s attorney fees.  The Union President was reprimanded after he asked to bargain over why Life Span company, that provided annual physicals were omitting testing required under CBA and NFPA 1582.  </w:t>
      </w:r>
      <w:r w:rsidRPr="00AA23CE">
        <w:rPr>
          <w:rStyle w:val="markedcontent"/>
          <w:rFonts w:ascii="Times New Roman" w:hAnsi="Times New Roman"/>
          <w:sz w:val="24"/>
          <w:szCs w:val="24"/>
        </w:rPr>
        <w:t xml:space="preserve">“The omitted tests and screenings included a chest x-ray, various cancer screenings, a tuberculosis skin test, a pulmonary function test, and infectious disease screenings.” </w:t>
      </w:r>
      <w:hyperlink r:id="rId2746" w:history="1">
        <w:r w:rsidRPr="00682519">
          <w:rPr>
            <w:rStyle w:val="Hyperlink"/>
            <w:rFonts w:ascii="Times New Roman" w:hAnsi="Times New Roman"/>
            <w:sz w:val="24"/>
            <w:szCs w:val="24"/>
          </w:rPr>
          <w:t>http://perc.myflorida.com/download.aspx/Prefix=CA/CaseYr=21/CaseNo=012/File=CA21012_Ord10_05192022_163540.pdf</w:t>
        </w:r>
      </w:hyperlink>
      <w:r>
        <w:rPr>
          <w:rStyle w:val="markedcontent"/>
          <w:rFonts w:ascii="Times New Roman" w:hAnsi="Times New Roman"/>
          <w:sz w:val="24"/>
          <w:szCs w:val="24"/>
        </w:rPr>
        <w:t xml:space="preserve"> </w:t>
      </w:r>
    </w:p>
    <w:p w14:paraId="17627867" w14:textId="77777777" w:rsidR="00E13917" w:rsidRPr="00370437" w:rsidRDefault="00E13917" w:rsidP="00E13917">
      <w:pPr>
        <w:spacing w:before="100" w:beforeAutospacing="1" w:after="100" w:afterAutospacing="1" w:line="240" w:lineRule="auto"/>
        <w:rPr>
          <w:rStyle w:val="markedcontent"/>
          <w:rFonts w:ascii="Times New Roman" w:hAnsi="Times New Roman"/>
          <w:b/>
          <w:bCs/>
          <w:sz w:val="24"/>
          <w:szCs w:val="24"/>
        </w:rPr>
      </w:pPr>
      <w:r w:rsidRPr="00370437">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Retaliation for lawful Union activities is a serious charge; transferring a Lt. 18 days after he submitted a sworn statement in support of Union President’s unfair labor charge is very questionable management decision. The City may decide to appeal to the full Commission. </w:t>
      </w:r>
    </w:p>
    <w:p w14:paraId="31CDAF41" w14:textId="37B1D711" w:rsidR="00E13917" w:rsidRDefault="00E13917" w:rsidP="00E13917">
      <w:pPr>
        <w:pStyle w:val="NoSpacing"/>
        <w:rPr>
          <w:rFonts w:ascii="Arial Black" w:hAnsi="Arial Black"/>
          <w:sz w:val="24"/>
          <w:szCs w:val="24"/>
        </w:rPr>
      </w:pPr>
      <w:r w:rsidRPr="00882956">
        <w:rPr>
          <w:rStyle w:val="markedcontent"/>
          <w:sz w:val="24"/>
          <w:szCs w:val="24"/>
        </w:rPr>
        <w:t xml:space="preserve">Note: See May 20, </w:t>
      </w:r>
      <w:proofErr w:type="gramStart"/>
      <w:r w:rsidRPr="00882956">
        <w:rPr>
          <w:rStyle w:val="markedcontent"/>
          <w:sz w:val="24"/>
          <w:szCs w:val="24"/>
        </w:rPr>
        <w:t>2022</w:t>
      </w:r>
      <w:proofErr w:type="gramEnd"/>
      <w:r w:rsidRPr="00882956">
        <w:rPr>
          <w:rStyle w:val="markedcontent"/>
          <w:sz w:val="24"/>
          <w:szCs w:val="24"/>
        </w:rPr>
        <w:t xml:space="preserve"> article, “</w:t>
      </w:r>
      <w:r w:rsidRPr="00882956">
        <w:rPr>
          <w:sz w:val="24"/>
          <w:szCs w:val="24"/>
        </w:rPr>
        <w:t>Lakeland cited for unfair labor practices in retaliation against fire department employees.”</w:t>
      </w:r>
      <w:r>
        <w:t xml:space="preserve"> </w:t>
      </w:r>
      <w:hyperlink r:id="rId2747" w:history="1">
        <w:r w:rsidRPr="00882956">
          <w:rPr>
            <w:rStyle w:val="Hyperlink"/>
            <w:sz w:val="24"/>
            <w:szCs w:val="24"/>
          </w:rPr>
          <w:t>https://www.theledger.com/story/news/local/2022/05/20/lakeland-fire-department-leaders-retaliated-against-union-members-commission-says/9852984002/?mc_cid=a677467851&amp;mc_eid=3f2d24c371</w:t>
        </w:r>
      </w:hyperlink>
    </w:p>
    <w:p w14:paraId="5132440A" w14:textId="77777777" w:rsidR="00E13917" w:rsidRDefault="00E13917" w:rsidP="00F326E5">
      <w:pPr>
        <w:pStyle w:val="NoSpacing"/>
        <w:rPr>
          <w:rFonts w:ascii="Arial Black" w:hAnsi="Arial Black"/>
          <w:sz w:val="24"/>
          <w:szCs w:val="24"/>
        </w:rPr>
      </w:pPr>
    </w:p>
    <w:p w14:paraId="28173990" w14:textId="77777777" w:rsidR="00E13917" w:rsidRDefault="00E13917" w:rsidP="00F326E5">
      <w:pPr>
        <w:pStyle w:val="NoSpacing"/>
        <w:rPr>
          <w:rFonts w:ascii="Arial Black" w:hAnsi="Arial Black"/>
          <w:sz w:val="24"/>
          <w:szCs w:val="24"/>
        </w:rPr>
      </w:pPr>
    </w:p>
    <w:p w14:paraId="27B723B1" w14:textId="106905FB" w:rsidR="007F5C26" w:rsidRDefault="007F5C26" w:rsidP="00F326E5">
      <w:pPr>
        <w:pStyle w:val="NoSpacing"/>
        <w:rPr>
          <w:rFonts w:ascii="Arial Black" w:hAnsi="Arial Black"/>
          <w:sz w:val="24"/>
          <w:szCs w:val="24"/>
        </w:rPr>
      </w:pPr>
      <w:r>
        <w:rPr>
          <w:rFonts w:ascii="Arial Black" w:hAnsi="Arial Black"/>
          <w:sz w:val="24"/>
          <w:szCs w:val="24"/>
        </w:rPr>
        <w:t>17-14</w:t>
      </w:r>
    </w:p>
    <w:p w14:paraId="497D7230" w14:textId="77777777" w:rsidR="007F5C26" w:rsidRPr="00BB59F3" w:rsidRDefault="007F5C26" w:rsidP="007F5C26">
      <w:pPr>
        <w:spacing w:before="100" w:beforeAutospacing="1" w:after="100" w:afterAutospacing="1" w:line="240" w:lineRule="auto"/>
        <w:rPr>
          <w:rFonts w:ascii="Arial Black" w:eastAsia="Times New Roman" w:hAnsi="Arial Black"/>
          <w:b/>
          <w:bCs/>
          <w:sz w:val="28"/>
          <w:szCs w:val="28"/>
        </w:rPr>
      </w:pPr>
      <w:bookmarkStart w:id="632" w:name="_Hlk99462812"/>
      <w:r w:rsidRPr="00BB59F3">
        <w:rPr>
          <w:rFonts w:ascii="Arial Black" w:eastAsia="Times New Roman" w:hAnsi="Arial Black"/>
          <w:b/>
          <w:bCs/>
          <w:sz w:val="28"/>
          <w:szCs w:val="28"/>
        </w:rPr>
        <w:t xml:space="preserve">IN: IAFF </w:t>
      </w:r>
      <w:r>
        <w:rPr>
          <w:rFonts w:ascii="Arial Black" w:eastAsia="Times New Roman" w:hAnsi="Arial Black"/>
          <w:b/>
          <w:bCs/>
          <w:sz w:val="28"/>
          <w:szCs w:val="28"/>
        </w:rPr>
        <w:t xml:space="preserve">LOCAL </w:t>
      </w:r>
      <w:r w:rsidRPr="00BB59F3">
        <w:rPr>
          <w:rFonts w:ascii="Arial Black" w:eastAsia="Times New Roman" w:hAnsi="Arial Black"/>
          <w:b/>
          <w:bCs/>
          <w:sz w:val="28"/>
          <w:szCs w:val="28"/>
        </w:rPr>
        <w:t>GETS INJUNCTION – SHIFTS</w:t>
      </w:r>
      <w:r>
        <w:rPr>
          <w:rFonts w:ascii="Arial Black" w:eastAsia="Times New Roman" w:hAnsi="Arial Black"/>
          <w:b/>
          <w:bCs/>
          <w:sz w:val="28"/>
          <w:szCs w:val="28"/>
        </w:rPr>
        <w:t xml:space="preserve"> CHANGED 8/24 - </w:t>
      </w:r>
      <w:r w:rsidRPr="00BB59F3">
        <w:rPr>
          <w:rFonts w:ascii="Arial Black" w:eastAsia="Times New Roman" w:hAnsi="Arial Black"/>
          <w:b/>
          <w:bCs/>
          <w:sz w:val="28"/>
          <w:szCs w:val="28"/>
        </w:rPr>
        <w:t xml:space="preserve">RETALIATION </w:t>
      </w:r>
      <w:r>
        <w:rPr>
          <w:rFonts w:ascii="Arial Black" w:eastAsia="Times New Roman" w:hAnsi="Arial Black"/>
          <w:b/>
          <w:bCs/>
          <w:sz w:val="28"/>
          <w:szCs w:val="28"/>
        </w:rPr>
        <w:t xml:space="preserve">BY </w:t>
      </w:r>
      <w:r w:rsidRPr="00BB59F3">
        <w:rPr>
          <w:rFonts w:ascii="Arial Black" w:eastAsia="Times New Roman" w:hAnsi="Arial Black"/>
          <w:b/>
          <w:bCs/>
          <w:sz w:val="28"/>
          <w:szCs w:val="28"/>
        </w:rPr>
        <w:t xml:space="preserve">MAYOR </w:t>
      </w:r>
      <w:r>
        <w:rPr>
          <w:rFonts w:ascii="Arial Black" w:eastAsia="Times New Roman" w:hAnsi="Arial Black"/>
          <w:b/>
          <w:bCs/>
          <w:sz w:val="28"/>
          <w:szCs w:val="28"/>
        </w:rPr>
        <w:t xml:space="preserve">– UNION </w:t>
      </w:r>
      <w:r w:rsidRPr="00BB59F3">
        <w:rPr>
          <w:rFonts w:ascii="Arial Black" w:eastAsia="Times New Roman" w:hAnsi="Arial Black"/>
          <w:b/>
          <w:bCs/>
          <w:sz w:val="28"/>
          <w:szCs w:val="28"/>
        </w:rPr>
        <w:t>SUPPORTED OPPONENT</w:t>
      </w:r>
    </w:p>
    <w:p w14:paraId="6C92871B" w14:textId="77777777" w:rsidR="007F5C26" w:rsidRPr="00D96F1A" w:rsidRDefault="007F5C26" w:rsidP="007F5C26">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March 24, 2022, in </w:t>
      </w:r>
      <w:r w:rsidRPr="00527093">
        <w:rPr>
          <w:rFonts w:ascii="Times New Roman" w:hAnsi="Times New Roman"/>
          <w:sz w:val="24"/>
          <w:szCs w:val="24"/>
          <w:u w:val="single"/>
        </w:rPr>
        <w:t>IAFF Local 365, et al. v. City of East Chicago</w:t>
      </w:r>
      <w:r>
        <w:rPr>
          <w:rFonts w:ascii="Times New Roman" w:hAnsi="Times New Roman"/>
          <w:sz w:val="24"/>
          <w:szCs w:val="24"/>
        </w:rPr>
        <w:t xml:space="preserve">, U.S. District Court Judge Philip P. Simon, U.S. District Court for Northern District of Indiana (Hammond Division) issued a preliminary injunction against the City, finding the Mayor (a retired firefighter) changed the 24 / 48 shift in retaliation for the Local (which does not have a CBA) supporting an opponent in 2019.  The judge held a hearing in Oct. 2021, and held the city offered little financial proof the </w:t>
      </w:r>
      <w:proofErr w:type="gramStart"/>
      <w:r>
        <w:rPr>
          <w:rFonts w:ascii="Times New Roman" w:hAnsi="Times New Roman"/>
          <w:sz w:val="24"/>
          <w:szCs w:val="24"/>
        </w:rPr>
        <w:t>Mayor’s</w:t>
      </w:r>
      <w:proofErr w:type="gramEnd"/>
      <w:r>
        <w:rPr>
          <w:rFonts w:ascii="Times New Roman" w:hAnsi="Times New Roman"/>
          <w:sz w:val="24"/>
          <w:szCs w:val="24"/>
        </w:rPr>
        <w:t xml:space="preserve"> swing shift saves money. In his Preliminary Injunction, the judge ordered the </w:t>
      </w:r>
      <w:proofErr w:type="gramStart"/>
      <w:r>
        <w:rPr>
          <w:rFonts w:ascii="Times New Roman" w:hAnsi="Times New Roman"/>
          <w:sz w:val="24"/>
          <w:szCs w:val="24"/>
        </w:rPr>
        <w:t>City</w:t>
      </w:r>
      <w:proofErr w:type="gramEnd"/>
      <w:r>
        <w:rPr>
          <w:rFonts w:ascii="Times New Roman" w:hAnsi="Times New Roman"/>
          <w:sz w:val="24"/>
          <w:szCs w:val="24"/>
        </w:rPr>
        <w:t xml:space="preserve"> to “</w:t>
      </w:r>
      <w:r w:rsidRPr="00527093">
        <w:rPr>
          <w:rFonts w:ascii="Times New Roman" w:hAnsi="Times New Roman"/>
          <w:sz w:val="24"/>
          <w:szCs w:val="24"/>
        </w:rPr>
        <w:t>immediately begin the process of reinstating the 24/48 schedule for its firefighters. Because it may take a few weeks to fully implement the new schedule, East Chicago will have until April 18, 2022, to have the schedule in place.</w:t>
      </w:r>
      <w:r>
        <w:rPr>
          <w:rFonts w:ascii="Times New Roman" w:hAnsi="Times New Roman"/>
          <w:sz w:val="24"/>
          <w:szCs w:val="24"/>
        </w:rPr>
        <w:t xml:space="preserve">” </w:t>
      </w:r>
      <w:hyperlink r:id="rId2748" w:history="1">
        <w:r w:rsidRPr="00CA2C0A">
          <w:rPr>
            <w:rStyle w:val="Hyperlink"/>
            <w:rFonts w:ascii="Times New Roman" w:eastAsia="Times New Roman" w:hAnsi="Times New Roman"/>
            <w:sz w:val="24"/>
            <w:szCs w:val="24"/>
          </w:rPr>
          <w:t>https://law.justia.com/cases/federal/district-courts/indiana/inndce/2:2021cv00154/106960/76/</w:t>
        </w:r>
      </w:hyperlink>
      <w:r>
        <w:rPr>
          <w:rFonts w:ascii="Times New Roman" w:eastAsia="Times New Roman" w:hAnsi="Times New Roman"/>
          <w:sz w:val="24"/>
          <w:szCs w:val="24"/>
        </w:rPr>
        <w:t xml:space="preserve"> </w:t>
      </w:r>
    </w:p>
    <w:p w14:paraId="4C5617AF" w14:textId="77777777" w:rsidR="007F5C26" w:rsidRPr="00D96F1A"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D96F1A">
        <w:rPr>
          <w:rFonts w:ascii="Times New Roman" w:eastAsia="Times New Roman" w:hAnsi="Times New Roman"/>
          <w:sz w:val="24"/>
          <w:szCs w:val="24"/>
        </w:rPr>
        <w:t xml:space="preserve">Firefighters across the nation generally work a 24/48-hour shift, that is, they are on duty for 24 hours and then off for 48 hours. Most fire departments in the country adhere to this schedule. The City of East Chicago does not. Instead, East Chicago requires its firefighters to work 8 hours on, then 24 hours off. This leads to a perpetually rotating schedule which can wreak havoc on the lives of firefighters. It </w:t>
      </w:r>
      <w:proofErr w:type="gramStart"/>
      <w:r w:rsidRPr="00D96F1A">
        <w:rPr>
          <w:rFonts w:ascii="Times New Roman" w:eastAsia="Times New Roman" w:hAnsi="Times New Roman"/>
          <w:sz w:val="24"/>
          <w:szCs w:val="24"/>
        </w:rPr>
        <w:t>effects</w:t>
      </w:r>
      <w:proofErr w:type="gramEnd"/>
      <w:r w:rsidRPr="00D96F1A">
        <w:rPr>
          <w:rFonts w:ascii="Times New Roman" w:eastAsia="Times New Roman" w:hAnsi="Times New Roman"/>
          <w:sz w:val="24"/>
          <w:szCs w:val="24"/>
        </w:rPr>
        <w:t xml:space="preserve"> their personal lives and health, prevents a consistent sleep schedule, and makes it difficult to obtain reliable childcare. No. other department in the country imposes this schedule. </w:t>
      </w:r>
    </w:p>
    <w:p w14:paraId="1DD77E9A" w14:textId="77777777" w:rsidR="007F5C26" w:rsidRPr="00D96F1A" w:rsidRDefault="007F5C26" w:rsidP="007F5C26">
      <w:pPr>
        <w:spacing w:before="100" w:beforeAutospacing="1" w:after="100" w:afterAutospacing="1" w:line="240" w:lineRule="auto"/>
        <w:ind w:left="720"/>
        <w:rPr>
          <w:rFonts w:ascii="Times New Roman" w:eastAsia="Times New Roman" w:hAnsi="Times New Roman"/>
          <w:sz w:val="24"/>
          <w:szCs w:val="24"/>
        </w:rPr>
      </w:pPr>
      <w:r w:rsidRPr="00D96F1A">
        <w:rPr>
          <w:rFonts w:ascii="Times New Roman" w:eastAsia="Times New Roman" w:hAnsi="Times New Roman"/>
          <w:sz w:val="24"/>
          <w:szCs w:val="24"/>
        </w:rPr>
        <w:t xml:space="preserve">Why is East Chicago an outlier? The firefighters say it is retaliation from Mayor Anthony Copeland because they exercised their First Amendment rights in their backing of a rival mayoral candidate and in their lobbying efforts with East Chicago's legislative body, the Common Council. The firefighters seek a preliminary injunction ordering the </w:t>
      </w:r>
      <w:proofErr w:type="gramStart"/>
      <w:r w:rsidRPr="00D96F1A">
        <w:rPr>
          <w:rFonts w:ascii="Times New Roman" w:eastAsia="Times New Roman" w:hAnsi="Times New Roman"/>
          <w:sz w:val="24"/>
          <w:szCs w:val="24"/>
        </w:rPr>
        <w:t>City</w:t>
      </w:r>
      <w:proofErr w:type="gramEnd"/>
      <w:r w:rsidRPr="00D96F1A">
        <w:rPr>
          <w:rFonts w:ascii="Times New Roman" w:eastAsia="Times New Roman" w:hAnsi="Times New Roman"/>
          <w:sz w:val="24"/>
          <w:szCs w:val="24"/>
        </w:rPr>
        <w:t xml:space="preserve"> to </w:t>
      </w:r>
      <w:proofErr w:type="gramStart"/>
      <w:r w:rsidRPr="00D96F1A">
        <w:rPr>
          <w:rFonts w:ascii="Times New Roman" w:eastAsia="Times New Roman" w:hAnsi="Times New Roman"/>
          <w:sz w:val="24"/>
          <w:szCs w:val="24"/>
        </w:rPr>
        <w:t>revert back</w:t>
      </w:r>
      <w:proofErr w:type="gramEnd"/>
      <w:r w:rsidRPr="00D96F1A">
        <w:rPr>
          <w:rFonts w:ascii="Times New Roman" w:eastAsia="Times New Roman" w:hAnsi="Times New Roman"/>
          <w:sz w:val="24"/>
          <w:szCs w:val="24"/>
        </w:rPr>
        <w:t xml:space="preserve"> to the 24/48 schedule. East Chicago says it is a cost saving measure. I held a two-day hearing to get to the bottom of the issue. Because the firefighters have established a likelihood of succeeding on their First Amendment political retaliation claim, and they will suffer irreparable harm if the schedule remains intact, a preliminary injunction will be issued.</w:t>
      </w:r>
      <w:r>
        <w:rPr>
          <w:rFonts w:ascii="Times New Roman" w:eastAsia="Times New Roman" w:hAnsi="Times New Roman"/>
          <w:sz w:val="24"/>
          <w:szCs w:val="24"/>
        </w:rPr>
        <w:t xml:space="preserve">” </w:t>
      </w:r>
      <w:hyperlink r:id="rId2749" w:history="1">
        <w:r w:rsidRPr="00CA2C0A">
          <w:rPr>
            <w:rStyle w:val="Hyperlink"/>
            <w:rFonts w:ascii="Times New Roman" w:eastAsia="Times New Roman" w:hAnsi="Times New Roman"/>
            <w:sz w:val="24"/>
            <w:szCs w:val="24"/>
          </w:rPr>
          <w:t>https://law.justia.com/cases/federal/district-courts/indiana/inndce/2:2021cv00154/106960/76/</w:t>
        </w:r>
      </w:hyperlink>
      <w:r>
        <w:rPr>
          <w:rFonts w:ascii="Times New Roman" w:eastAsia="Times New Roman" w:hAnsi="Times New Roman"/>
          <w:sz w:val="24"/>
          <w:szCs w:val="24"/>
        </w:rPr>
        <w:t xml:space="preserve"> </w:t>
      </w:r>
    </w:p>
    <w:bookmarkEnd w:id="632"/>
    <w:p w14:paraId="5871E0ED" w14:textId="77777777" w:rsidR="007F5C26" w:rsidRPr="005D7300" w:rsidRDefault="007F5C26" w:rsidP="007F5C26">
      <w:pPr>
        <w:pStyle w:val="NormalWeb"/>
        <w:rPr>
          <w:b/>
          <w:bCs/>
        </w:rPr>
      </w:pPr>
      <w:r w:rsidRPr="005D7300">
        <w:rPr>
          <w:b/>
          <w:bCs/>
        </w:rPr>
        <w:t xml:space="preserve">Legal Lesson Learned: </w:t>
      </w:r>
      <w:r>
        <w:rPr>
          <w:b/>
          <w:bCs/>
        </w:rPr>
        <w:t xml:space="preserve"> An IAFF Local’s support of a </w:t>
      </w:r>
      <w:proofErr w:type="gramStart"/>
      <w:r>
        <w:rPr>
          <w:b/>
          <w:bCs/>
        </w:rPr>
        <w:t>Mayor’s</w:t>
      </w:r>
      <w:proofErr w:type="gramEnd"/>
      <w:r>
        <w:rPr>
          <w:b/>
          <w:bCs/>
        </w:rPr>
        <w:t xml:space="preserve"> opponent in an election is protected under the First Amendment.  The city will likely appeal this Preliminary Injunction.</w:t>
      </w:r>
    </w:p>
    <w:p w14:paraId="6D2F452B" w14:textId="23CEBB17" w:rsidR="007F5C26" w:rsidRDefault="007F5C26" w:rsidP="007F5C26">
      <w:pPr>
        <w:pStyle w:val="NoSpacing"/>
        <w:rPr>
          <w:rFonts w:ascii="Arial Black" w:hAnsi="Arial Black"/>
          <w:sz w:val="24"/>
          <w:szCs w:val="24"/>
        </w:rPr>
      </w:pPr>
      <w:r w:rsidRPr="000C5C0C">
        <w:rPr>
          <w:sz w:val="24"/>
          <w:szCs w:val="24"/>
        </w:rPr>
        <w:t xml:space="preserve">Note: See March 29, </w:t>
      </w:r>
      <w:proofErr w:type="gramStart"/>
      <w:r w:rsidRPr="000C5C0C">
        <w:rPr>
          <w:sz w:val="24"/>
          <w:szCs w:val="24"/>
        </w:rPr>
        <w:t>2022</w:t>
      </w:r>
      <w:proofErr w:type="gramEnd"/>
      <w:r w:rsidRPr="000C5C0C">
        <w:rPr>
          <w:sz w:val="24"/>
          <w:szCs w:val="24"/>
        </w:rPr>
        <w:t xml:space="preserve"> article about the case: “Judge orders East Chicago to give firefighters back their old work shifts.” </w:t>
      </w:r>
      <w:hyperlink r:id="rId2750" w:history="1">
        <w:r w:rsidRPr="008956D3">
          <w:rPr>
            <w:rStyle w:val="Hyperlink"/>
            <w:rFonts w:eastAsiaTheme="majorEastAsia"/>
            <w:sz w:val="24"/>
            <w:szCs w:val="24"/>
          </w:rPr>
          <w:t>https://www.nwitimes.com/news/local/lake/east-chicago/judge-orders-east-chicago-to-give-firefighters-back-their-old-work-shifts/article_0a0ebd36-f823-513f-a2fc-d1d6d95613d7.html</w:t>
        </w:r>
      </w:hyperlink>
    </w:p>
    <w:p w14:paraId="4D817CF2" w14:textId="77777777" w:rsidR="007F5C26" w:rsidRDefault="007F5C26" w:rsidP="00F326E5">
      <w:pPr>
        <w:pStyle w:val="NoSpacing"/>
        <w:rPr>
          <w:rFonts w:ascii="Arial Black" w:hAnsi="Arial Black"/>
          <w:sz w:val="24"/>
          <w:szCs w:val="24"/>
        </w:rPr>
      </w:pPr>
    </w:p>
    <w:p w14:paraId="3CC22B94" w14:textId="77777777" w:rsidR="007F5C26" w:rsidRDefault="007F5C26" w:rsidP="00F326E5">
      <w:pPr>
        <w:pStyle w:val="NoSpacing"/>
        <w:rPr>
          <w:rFonts w:ascii="Arial Black" w:hAnsi="Arial Black"/>
          <w:sz w:val="24"/>
          <w:szCs w:val="24"/>
        </w:rPr>
      </w:pPr>
    </w:p>
    <w:p w14:paraId="7941ED4E" w14:textId="7BA324A8" w:rsidR="007F5C26" w:rsidRDefault="007F5C26" w:rsidP="00F326E5">
      <w:pPr>
        <w:pStyle w:val="NoSpacing"/>
        <w:rPr>
          <w:rFonts w:ascii="Arial Black" w:hAnsi="Arial Black"/>
          <w:sz w:val="24"/>
          <w:szCs w:val="24"/>
        </w:rPr>
      </w:pPr>
      <w:r>
        <w:rPr>
          <w:rFonts w:ascii="Arial Black" w:hAnsi="Arial Black"/>
          <w:sz w:val="24"/>
          <w:szCs w:val="24"/>
        </w:rPr>
        <w:t>17-13 [also filed, Chap. 16]</w:t>
      </w:r>
    </w:p>
    <w:p w14:paraId="25F468D7" w14:textId="2C66D6CD" w:rsidR="007F5C26" w:rsidRDefault="007F5C26" w:rsidP="00F326E5">
      <w:pPr>
        <w:pStyle w:val="NoSpacing"/>
        <w:rPr>
          <w:rFonts w:ascii="Arial Black" w:hAnsi="Arial Black"/>
          <w:sz w:val="24"/>
          <w:szCs w:val="24"/>
        </w:rPr>
      </w:pPr>
    </w:p>
    <w:p w14:paraId="12D95429" w14:textId="77777777" w:rsidR="007F5C26" w:rsidRDefault="007F5C26" w:rsidP="007F5C2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ARBITRATOR MAY REDUCE PENALTY – NEW SHIFT RELIEF - ASSISTANT CHIEF’S LOSS PAY OVERTURNED</w:t>
      </w:r>
    </w:p>
    <w:p w14:paraId="367E5F38" w14:textId="77777777" w:rsidR="007F5C26" w:rsidRPr="00AA2A35" w:rsidRDefault="007F5C26" w:rsidP="007F5C26">
      <w:pPr>
        <w:spacing w:before="100" w:beforeAutospacing="1" w:after="100" w:afterAutospacing="1" w:line="240" w:lineRule="auto"/>
        <w:rPr>
          <w:rFonts w:ascii="Times New Roman" w:eastAsia="Times New Roman" w:hAnsi="Times New Roman"/>
          <w:sz w:val="24"/>
          <w:szCs w:val="24"/>
        </w:rPr>
      </w:pPr>
      <w:r w:rsidRPr="00AA2A35">
        <w:rPr>
          <w:rFonts w:ascii="Times New Roman" w:hAnsi="Times New Roman"/>
          <w:sz w:val="24"/>
          <w:szCs w:val="24"/>
        </w:rPr>
        <w:t xml:space="preserve">On March 17, 2022, in </w:t>
      </w:r>
      <w:r w:rsidRPr="00AA2A35">
        <w:rPr>
          <w:rFonts w:ascii="Times New Roman" w:hAnsi="Times New Roman"/>
          <w:sz w:val="24"/>
          <w:szCs w:val="24"/>
          <w:u w:val="single"/>
        </w:rPr>
        <w:t>Association of Cleveland Fire Fighters, Local 93 v. City of Cleveland</w:t>
      </w:r>
      <w:r w:rsidRPr="00AA2A35">
        <w:rPr>
          <w:rFonts w:ascii="Times New Roman" w:hAnsi="Times New Roman"/>
          <w:sz w:val="24"/>
          <w:szCs w:val="24"/>
        </w:rPr>
        <w:t>, the Court of Appeals of Ohio, 8</w:t>
      </w:r>
      <w:r w:rsidRPr="00AA2A35">
        <w:rPr>
          <w:rFonts w:ascii="Times New Roman" w:hAnsi="Times New Roman"/>
          <w:sz w:val="24"/>
          <w:szCs w:val="24"/>
          <w:vertAlign w:val="superscript"/>
        </w:rPr>
        <w:t>th</w:t>
      </w:r>
      <w:r w:rsidRPr="00AA2A35">
        <w:rPr>
          <w:rFonts w:ascii="Times New Roman" w:hAnsi="Times New Roman"/>
          <w:sz w:val="24"/>
          <w:szCs w:val="24"/>
        </w:rPr>
        <w:t xml:space="preserve"> District (Cuyahoga County), held (3 to 0) that a Common Pleas judge improperly set aside the arbitrator’s award which found the charge of “gross insubordination” by Assistant Fire Chief was not proven, but the facts supported a “conduct unbecoming” charge. The Assistant Fire Chief was charged with 16 charges for trying to get the vacationing Fire Chief to overturn Acting Fire Chiefs order to follow the new shift relief procedure (to save overtime money, when the incoming Assistant Chief called off, he can only be replaced by on duty officer of lesser rank).  The arbitrator had authority to vacate the most serious charge of “gross insubordination” and the 24-hour suspension, and to direct the FD to change in his personnel file with an official reprimand for one of the lesser charges, “conduct unbecoming an employee in the public service,” with no loss of wages. </w:t>
      </w:r>
      <w:hyperlink r:id="rId2751" w:history="1">
        <w:r w:rsidRPr="00AA2A35">
          <w:rPr>
            <w:rStyle w:val="Hyperlink"/>
            <w:rFonts w:ascii="Times New Roman" w:eastAsia="Times New Roman" w:hAnsi="Times New Roman"/>
            <w:sz w:val="24"/>
            <w:szCs w:val="24"/>
          </w:rPr>
          <w:t>https://www.supremecourt.ohio.gov/rod/docs/pdf/8/2022/2022-Ohio-824.pdf</w:t>
        </w:r>
      </w:hyperlink>
      <w:r w:rsidRPr="00AA2A35">
        <w:rPr>
          <w:rFonts w:ascii="Times New Roman" w:eastAsia="Times New Roman" w:hAnsi="Times New Roman"/>
          <w:sz w:val="24"/>
          <w:szCs w:val="24"/>
        </w:rPr>
        <w:t xml:space="preserve"> </w:t>
      </w:r>
    </w:p>
    <w:p w14:paraId="2917B545" w14:textId="77777777" w:rsidR="007F5C26" w:rsidRPr="00892AD5"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92AD5">
        <w:rPr>
          <w:rFonts w:ascii="Times New Roman" w:eastAsia="Times New Roman" w:hAnsi="Times New Roman"/>
          <w:sz w:val="24"/>
          <w:szCs w:val="24"/>
        </w:rPr>
        <w:t xml:space="preserve">In focusing solely on the question of gross insubordination, the Union disregards the fact that the parties stipulated to </w:t>
      </w:r>
      <w:r w:rsidRPr="00892AD5">
        <w:rPr>
          <w:rFonts w:ascii="Times New Roman" w:eastAsia="Times New Roman" w:hAnsi="Times New Roman"/>
          <w:i/>
          <w:iCs/>
          <w:sz w:val="24"/>
          <w:szCs w:val="24"/>
        </w:rPr>
        <w:t>two</w:t>
      </w:r>
      <w:r w:rsidRPr="00892AD5">
        <w:rPr>
          <w:rFonts w:ascii="Times New Roman" w:eastAsia="Times New Roman" w:hAnsi="Times New Roman"/>
          <w:sz w:val="24"/>
          <w:szCs w:val="24"/>
        </w:rPr>
        <w:t xml:space="preserve"> questions before submitting the matter to arbitration. The first question was whether the city had just cause to suspend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a day and issue him an official reprimand. The question of just cause was not confined to "gross insubordination." Rather, the question concerned whether the city had just </w:t>
      </w:r>
      <w:proofErr w:type="gramStart"/>
      <w:r w:rsidRPr="00892AD5">
        <w:rPr>
          <w:rFonts w:ascii="Times New Roman" w:eastAsia="Times New Roman" w:hAnsi="Times New Roman"/>
          <w:sz w:val="24"/>
          <w:szCs w:val="24"/>
        </w:rPr>
        <w:t>cause</w:t>
      </w:r>
      <w:proofErr w:type="gramEnd"/>
      <w:r w:rsidRPr="00892AD5">
        <w:rPr>
          <w:rFonts w:ascii="Times New Roman" w:eastAsia="Times New Roman" w:hAnsi="Times New Roman"/>
          <w:sz w:val="24"/>
          <w:szCs w:val="24"/>
        </w:rPr>
        <w:t xml:space="preserve"> discipline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his conduct. </w:t>
      </w:r>
    </w:p>
    <w:p w14:paraId="0D91EE50" w14:textId="77777777" w:rsidR="007F5C26"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32702929" w14:textId="77777777" w:rsidR="007F5C26" w:rsidRDefault="007F5C26" w:rsidP="007F5C26">
      <w:pPr>
        <w:pStyle w:val="NoSpacing"/>
        <w:rPr>
          <w:rFonts w:ascii="Arial Black" w:hAnsi="Arial Black"/>
          <w:sz w:val="24"/>
          <w:szCs w:val="24"/>
        </w:rPr>
      </w:pPr>
      <w:r w:rsidRPr="0091695D">
        <w:rPr>
          <w:rFonts w:ascii="Times New Roman" w:hAnsi="Times New Roman"/>
          <w:sz w:val="24"/>
          <w:szCs w:val="24"/>
        </w:rPr>
        <w:t xml:space="preserve">The Union nevertheless maintains that the arbitrator exceeded his powers by creating a new charge not submitted to arbitration and issuing a penalty based on that charge. The charge of conduct unbecoming was not expressly submitted to arbitration in the parties' stipulated questions, but neither were the charges of gross insubordination or insubordination expressly submitted to arbitration. The questions to which the parties stipulated focused on remedies: the penalties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had received for his conduct and, if these penalties were unjustified, the penalty the arbitrator determined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should receive for his conduct. The Union's claim that the arbitrator created a new charge by finding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engaged in conduct unbecoming is not supported by the record.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was charged with 16 violations, which included the charge of conduct unbecoming. The Union's claim that any penalty based on that charge was improper is also not supported by the record because conduct unbecoming is punishable by official reprimand. The arbitrator's leaving this penalty intact is consistent with the discipline </w:t>
      </w:r>
      <w:proofErr w:type="gramStart"/>
      <w:r w:rsidRPr="0091695D">
        <w:rPr>
          <w:rFonts w:ascii="Times New Roman" w:hAnsi="Times New Roman"/>
          <w:sz w:val="24"/>
          <w:szCs w:val="24"/>
        </w:rPr>
        <w:t>guide.</w:t>
      </w:r>
      <w:r>
        <w:rPr>
          <w:rFonts w:ascii="Times New Roman" w:hAnsi="Times New Roman"/>
          <w:sz w:val="24"/>
          <w:szCs w:val="24"/>
        </w:rPr>
        <w:t>”</w:t>
      </w:r>
      <w:proofErr w:type="gramEnd"/>
      <w:r>
        <w:rPr>
          <w:rFonts w:ascii="Times New Roman" w:hAnsi="Times New Roman"/>
          <w:sz w:val="24"/>
          <w:szCs w:val="24"/>
        </w:rPr>
        <w:t xml:space="preserve"> </w:t>
      </w:r>
      <w:hyperlink r:id="rId2752" w:history="1">
        <w:r w:rsidRPr="0083693C">
          <w:rPr>
            <w:rStyle w:val="Hyperlink"/>
            <w:rFonts w:ascii="Times New Roman" w:eastAsia="Times New Roman" w:hAnsi="Times New Roman"/>
            <w:sz w:val="24"/>
            <w:szCs w:val="24"/>
          </w:rPr>
          <w:t>https://www.supremecourt.ohio.gov/rod/docs/pdf/8/2022/2022-Ohio-824.pdf</w:t>
        </w:r>
      </w:hyperlink>
    </w:p>
    <w:p w14:paraId="13E7E948" w14:textId="77777777" w:rsidR="007F5C26" w:rsidRDefault="007F5C26" w:rsidP="007F5C26">
      <w:pPr>
        <w:pStyle w:val="NoSpacing"/>
        <w:rPr>
          <w:rFonts w:ascii="Arial Black" w:hAnsi="Arial Black"/>
          <w:sz w:val="24"/>
          <w:szCs w:val="24"/>
        </w:rPr>
      </w:pPr>
    </w:p>
    <w:p w14:paraId="42ED2B66" w14:textId="77777777" w:rsidR="007F5C26" w:rsidRPr="00FE655C" w:rsidRDefault="007F5C26" w:rsidP="007F5C26">
      <w:pPr>
        <w:spacing w:before="100" w:beforeAutospacing="1" w:after="100" w:afterAutospacing="1" w:line="240" w:lineRule="auto"/>
        <w:rPr>
          <w:rFonts w:ascii="Times New Roman" w:eastAsia="Times New Roman" w:hAnsi="Times New Roman"/>
          <w:b/>
          <w:bCs/>
          <w:sz w:val="24"/>
          <w:szCs w:val="24"/>
        </w:rPr>
      </w:pPr>
      <w:r w:rsidRPr="00FE655C">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When submitting a disciplinary matter to arbitration, be very careful in the questions being submitted to the arbitrator. </w:t>
      </w:r>
    </w:p>
    <w:p w14:paraId="004B3006" w14:textId="77777777" w:rsidR="007F5C26" w:rsidRDefault="007F5C26" w:rsidP="00F326E5">
      <w:pPr>
        <w:pStyle w:val="NoSpacing"/>
        <w:rPr>
          <w:rFonts w:ascii="Arial Black" w:hAnsi="Arial Black"/>
          <w:sz w:val="24"/>
          <w:szCs w:val="24"/>
        </w:rPr>
      </w:pPr>
    </w:p>
    <w:p w14:paraId="51F27980" w14:textId="77777777" w:rsidR="007F5C26" w:rsidRDefault="007F5C26" w:rsidP="00F326E5">
      <w:pPr>
        <w:pStyle w:val="NoSpacing"/>
        <w:rPr>
          <w:rFonts w:ascii="Arial Black" w:hAnsi="Arial Black"/>
          <w:sz w:val="24"/>
          <w:szCs w:val="24"/>
        </w:rPr>
      </w:pPr>
    </w:p>
    <w:p w14:paraId="5704D6E6" w14:textId="77777777" w:rsidR="007F5C26" w:rsidRDefault="007F5C26" w:rsidP="00F326E5">
      <w:pPr>
        <w:pStyle w:val="NoSpacing"/>
        <w:rPr>
          <w:rFonts w:ascii="Arial Black" w:hAnsi="Arial Black"/>
          <w:sz w:val="24"/>
          <w:szCs w:val="24"/>
        </w:rPr>
      </w:pPr>
    </w:p>
    <w:p w14:paraId="0C49F57D" w14:textId="5E2BF28C" w:rsidR="00680939" w:rsidRDefault="00680939" w:rsidP="00F326E5">
      <w:pPr>
        <w:pStyle w:val="NoSpacing"/>
        <w:rPr>
          <w:rFonts w:ascii="Arial Black" w:hAnsi="Arial Black"/>
          <w:sz w:val="24"/>
          <w:szCs w:val="24"/>
        </w:rPr>
      </w:pPr>
      <w:r>
        <w:rPr>
          <w:rFonts w:ascii="Arial Black" w:hAnsi="Arial Black"/>
          <w:sz w:val="24"/>
          <w:szCs w:val="24"/>
        </w:rPr>
        <w:t>17-12 [also filed, Chap. 2]</w:t>
      </w:r>
    </w:p>
    <w:p w14:paraId="6E775F67" w14:textId="77777777" w:rsidR="00680939" w:rsidRPr="000007E3" w:rsidRDefault="00680939" w:rsidP="0068093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lastRenderedPageBreak/>
        <w:t>NY: CBA – 5 FF MINIMUM MANNING – CHIEF CANNOT UNILATERALLY CHANGE – ARBITRATION TO PROCEED</w:t>
      </w:r>
    </w:p>
    <w:p w14:paraId="7493E907" w14:textId="77777777" w:rsidR="00680939" w:rsidRDefault="00680939" w:rsidP="00680939">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13, 2022, </w:t>
      </w:r>
      <w:r w:rsidRPr="00DA4E6C">
        <w:rPr>
          <w:rFonts w:ascii="Times New Roman" w:eastAsia="Times New Roman" w:hAnsi="Times New Roman"/>
          <w:sz w:val="24"/>
          <w:szCs w:val="24"/>
          <w:u w:val="single"/>
        </w:rPr>
        <w:t xml:space="preserve">In the Matter of the Arbitration Between </w:t>
      </w:r>
      <w:proofErr w:type="gramStart"/>
      <w:r w:rsidRPr="00DA4E6C">
        <w:rPr>
          <w:rFonts w:ascii="Times New Roman" w:eastAsia="Times New Roman" w:hAnsi="Times New Roman"/>
          <w:sz w:val="24"/>
          <w:szCs w:val="24"/>
          <w:u w:val="single"/>
        </w:rPr>
        <w:t>The</w:t>
      </w:r>
      <w:proofErr w:type="gramEnd"/>
      <w:r w:rsidRPr="00DA4E6C">
        <w:rPr>
          <w:rFonts w:ascii="Times New Roman" w:eastAsia="Times New Roman" w:hAnsi="Times New Roman"/>
          <w:sz w:val="24"/>
          <w:szCs w:val="24"/>
          <w:u w:val="single"/>
        </w:rPr>
        <w:t xml:space="preserve"> City of Ogdensburg and IAFF Local 1792</w:t>
      </w:r>
      <w:r>
        <w:rPr>
          <w:rFonts w:ascii="Times New Roman" w:eastAsia="Times New Roman" w:hAnsi="Times New Roman"/>
          <w:sz w:val="24"/>
          <w:szCs w:val="24"/>
        </w:rPr>
        <w:t xml:space="preserve">, the Superior Court of New York (Third Department), held (5 to 0) that the trial court improperly granted the City’s </w:t>
      </w:r>
      <w:proofErr w:type="gramStart"/>
      <w:r>
        <w:rPr>
          <w:rFonts w:ascii="Times New Roman" w:eastAsia="Times New Roman" w:hAnsi="Times New Roman"/>
          <w:sz w:val="24"/>
          <w:szCs w:val="24"/>
        </w:rPr>
        <w:t>motion to</w:t>
      </w:r>
      <w:proofErr w:type="gramEnd"/>
      <w:r>
        <w:rPr>
          <w:rFonts w:ascii="Times New Roman" w:eastAsia="Times New Roman" w:hAnsi="Times New Roman"/>
          <w:sz w:val="24"/>
          <w:szCs w:val="24"/>
        </w:rPr>
        <w:t xml:space="preserve"> </w:t>
      </w:r>
      <w:r w:rsidRPr="00DA4E6C">
        <w:rPr>
          <w:rFonts w:ascii="Times New Roman" w:hAnsi="Times New Roman"/>
          <w:sz w:val="24"/>
          <w:szCs w:val="24"/>
        </w:rPr>
        <w:t>permanently stay arbitration between the parties.</w:t>
      </w:r>
      <w:r>
        <w:rPr>
          <w:rFonts w:ascii="Times New Roman" w:hAnsi="Times New Roman"/>
          <w:sz w:val="24"/>
          <w:szCs w:val="24"/>
        </w:rPr>
        <w:t xml:space="preserve">  The CBA provides for arbitration, and “</w:t>
      </w:r>
      <w:r w:rsidRPr="00BA6C00">
        <w:rPr>
          <w:rFonts w:ascii="Times New Roman" w:hAnsi="Times New Roman"/>
          <w:sz w:val="24"/>
          <w:szCs w:val="24"/>
        </w:rPr>
        <w:t>having adequate personnel on hand would be essential to ensure firefighter safety as well as success in fighting the fires.</w:t>
      </w:r>
      <w:r>
        <w:rPr>
          <w:rFonts w:ascii="Times New Roman" w:hAnsi="Times New Roman"/>
          <w:sz w:val="24"/>
          <w:szCs w:val="24"/>
        </w:rPr>
        <w:t xml:space="preserve">” </w:t>
      </w:r>
      <w:hyperlink r:id="rId2753" w:history="1">
        <w:r w:rsidRPr="00A83547">
          <w:rPr>
            <w:rStyle w:val="Hyperlink"/>
            <w:rFonts w:ascii="Times New Roman" w:hAnsi="Times New Roman"/>
            <w:sz w:val="24"/>
            <w:szCs w:val="24"/>
          </w:rPr>
          <w:t>https://casetext.com/case/in-re-arbitration-between-city-of-ogdensburg</w:t>
        </w:r>
      </w:hyperlink>
      <w:r>
        <w:rPr>
          <w:rFonts w:ascii="Times New Roman" w:hAnsi="Times New Roman"/>
          <w:sz w:val="24"/>
          <w:szCs w:val="24"/>
        </w:rPr>
        <w:t xml:space="preserve"> </w:t>
      </w:r>
    </w:p>
    <w:p w14:paraId="0042665F" w14:textId="77777777" w:rsidR="00680939" w:rsidRDefault="00680939" w:rsidP="00680939">
      <w:pPr>
        <w:spacing w:before="100" w:beforeAutospacing="1" w:after="100" w:afterAutospacing="1" w:line="240" w:lineRule="auto"/>
      </w:pPr>
      <w:r>
        <w:rPr>
          <w:rFonts w:ascii="Times New Roman" w:eastAsia="Times New Roman" w:hAnsi="Times New Roman"/>
          <w:b/>
          <w:bCs/>
          <w:sz w:val="24"/>
          <w:szCs w:val="24"/>
        </w:rPr>
        <w:t xml:space="preserve">Legal Lesson Learned:  If CBA includes provision on minimum manning per shift, it cannot be unilaterally changed. </w:t>
      </w:r>
    </w:p>
    <w:p w14:paraId="726A2E19" w14:textId="77777777" w:rsidR="00680939" w:rsidRDefault="00680939" w:rsidP="00F326E5">
      <w:pPr>
        <w:pStyle w:val="NoSpacing"/>
        <w:rPr>
          <w:rFonts w:ascii="Arial Black" w:hAnsi="Arial Black"/>
          <w:sz w:val="24"/>
          <w:szCs w:val="24"/>
        </w:rPr>
      </w:pPr>
    </w:p>
    <w:p w14:paraId="28C3C174" w14:textId="77777777" w:rsidR="00680939" w:rsidRDefault="00680939" w:rsidP="00F326E5">
      <w:pPr>
        <w:pStyle w:val="NoSpacing"/>
        <w:rPr>
          <w:rFonts w:ascii="Arial Black" w:hAnsi="Arial Black"/>
          <w:sz w:val="24"/>
          <w:szCs w:val="24"/>
        </w:rPr>
      </w:pPr>
    </w:p>
    <w:p w14:paraId="115DD7F8" w14:textId="0C5B61CE" w:rsidR="00644810" w:rsidRDefault="00644810" w:rsidP="00F326E5">
      <w:pPr>
        <w:pStyle w:val="NoSpacing"/>
        <w:rPr>
          <w:rFonts w:ascii="Arial Black" w:hAnsi="Arial Black"/>
          <w:sz w:val="24"/>
          <w:szCs w:val="24"/>
        </w:rPr>
      </w:pPr>
      <w:r>
        <w:rPr>
          <w:rFonts w:ascii="Arial Black" w:hAnsi="Arial Black"/>
          <w:sz w:val="24"/>
          <w:szCs w:val="24"/>
        </w:rPr>
        <w:t>17-11</w:t>
      </w:r>
    </w:p>
    <w:p w14:paraId="33389946" w14:textId="77777777" w:rsidR="00644810" w:rsidRDefault="00644810" w:rsidP="0064481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UNFAIR LABOR PRACTICE – UNION’S GRIEVANCE FIX RADIOS – RETALIATION – CITY ORDINANCE BCs 6 TO 3</w:t>
      </w:r>
    </w:p>
    <w:p w14:paraId="1D5CE514" w14:textId="77777777" w:rsidR="00644810" w:rsidRPr="00C95A92" w:rsidRDefault="00644810" w:rsidP="00644810">
      <w:pPr>
        <w:spacing w:before="100" w:beforeAutospacing="1" w:after="100" w:afterAutospacing="1" w:line="240" w:lineRule="auto"/>
        <w:rPr>
          <w:rFonts w:ascii="Times New Roman" w:eastAsia="Times New Roman" w:hAnsi="Times New Roman"/>
          <w:sz w:val="24"/>
          <w:szCs w:val="24"/>
        </w:rPr>
      </w:pPr>
      <w:r w:rsidRPr="0004196A">
        <w:rPr>
          <w:rFonts w:ascii="Times New Roman" w:eastAsia="Times New Roman" w:hAnsi="Times New Roman"/>
          <w:sz w:val="24"/>
          <w:szCs w:val="24"/>
        </w:rPr>
        <w:t xml:space="preserve">On </w:t>
      </w:r>
      <w:r>
        <w:rPr>
          <w:rFonts w:ascii="Times New Roman" w:eastAsia="Times New Roman" w:hAnsi="Times New Roman"/>
          <w:sz w:val="24"/>
          <w:szCs w:val="24"/>
        </w:rPr>
        <w:t xml:space="preserve">Dec. 13, 2021, in </w:t>
      </w:r>
      <w:r w:rsidRPr="0004196A">
        <w:rPr>
          <w:rFonts w:ascii="Times New Roman" w:eastAsia="Times New Roman" w:hAnsi="Times New Roman"/>
          <w:sz w:val="24"/>
          <w:szCs w:val="24"/>
          <w:u w:val="single"/>
        </w:rPr>
        <w:t>State of Ohio, City of Youngstown v. State Employment Relations Board</w:t>
      </w:r>
      <w:r>
        <w:rPr>
          <w:rFonts w:ascii="Times New Roman" w:eastAsia="Times New Roman" w:hAnsi="Times New Roman"/>
          <w:sz w:val="24"/>
          <w:szCs w:val="24"/>
        </w:rPr>
        <w:t xml:space="preserve">, the Ohio Court of Appeals, Seventh District (Mahoning County) held (3 to 0) that trial court, and SERB properly found that the City’s ordinance </w:t>
      </w:r>
      <w:r w:rsidRPr="00975F2E">
        <w:rPr>
          <w:rFonts w:ascii="Times New Roman" w:eastAsia="Times New Roman" w:hAnsi="Times New Roman"/>
          <w:sz w:val="24"/>
          <w:szCs w:val="24"/>
        </w:rPr>
        <w:t>eliminati</w:t>
      </w:r>
      <w:r>
        <w:rPr>
          <w:rFonts w:ascii="Times New Roman" w:eastAsia="Times New Roman" w:hAnsi="Times New Roman"/>
          <w:sz w:val="24"/>
          <w:szCs w:val="24"/>
        </w:rPr>
        <w:t xml:space="preserve">ng three </w:t>
      </w:r>
      <w:r w:rsidRPr="00975F2E">
        <w:rPr>
          <w:rFonts w:ascii="Times New Roman" w:eastAsia="Times New Roman" w:hAnsi="Times New Roman"/>
          <w:sz w:val="24"/>
          <w:szCs w:val="24"/>
        </w:rPr>
        <w:t>Battalion Chief positions was in retaliation for [Union's] pursuing the radio equipment grievance</w:t>
      </w:r>
      <w:r>
        <w:rPr>
          <w:rFonts w:ascii="Times New Roman" w:eastAsia="Times New Roman" w:hAnsi="Times New Roman"/>
          <w:sz w:val="24"/>
          <w:szCs w:val="24"/>
        </w:rPr>
        <w:t xml:space="preserve"> (2017 new portage radio system; needed fixes at cost of about </w:t>
      </w:r>
      <w:r w:rsidRPr="00347FD8">
        <w:rPr>
          <w:rFonts w:ascii="Times New Roman" w:eastAsia="Times New Roman" w:hAnsi="Times New Roman"/>
          <w:sz w:val="24"/>
          <w:szCs w:val="24"/>
        </w:rPr>
        <w:t>$285,000</w:t>
      </w:r>
      <w:r>
        <w:rPr>
          <w:rFonts w:ascii="Times New Roman" w:eastAsia="Times New Roman" w:hAnsi="Times New Roman"/>
          <w:sz w:val="24"/>
          <w:szCs w:val="24"/>
        </w:rPr>
        <w:t xml:space="preserve">). </w:t>
      </w:r>
      <w:r w:rsidRPr="00347FD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95A92">
        <w:rPr>
          <w:rFonts w:ascii="Times New Roman" w:hAnsi="Times New Roman"/>
          <w:sz w:val="24"/>
          <w:szCs w:val="24"/>
        </w:rPr>
        <w:t>Each battalion chief reduction saves about $130,000 annually.</w:t>
      </w:r>
    </w:p>
    <w:p w14:paraId="0FCCF128" w14:textId="77777777" w:rsidR="00644810" w:rsidRPr="00614F11" w:rsidRDefault="00644810" w:rsidP="00644810">
      <w:pPr>
        <w:spacing w:after="100" w:line="240" w:lineRule="auto"/>
        <w:ind w:left="720"/>
        <w:rPr>
          <w:rFonts w:ascii="Times New Roman" w:eastAsia="Times New Roman" w:hAnsi="Times New Roman"/>
          <w:sz w:val="24"/>
          <w:szCs w:val="24"/>
        </w:rPr>
      </w:pPr>
      <w:r>
        <w:rPr>
          <w:rFonts w:ascii="Times New Roman" w:hAnsi="Times New Roman"/>
          <w:sz w:val="24"/>
          <w:szCs w:val="24"/>
        </w:rPr>
        <w:t>“</w:t>
      </w:r>
      <w:r w:rsidRPr="00975F2E">
        <w:rPr>
          <w:rFonts w:ascii="Times New Roman" w:hAnsi="Times New Roman"/>
          <w:sz w:val="24"/>
          <w:szCs w:val="24"/>
        </w:rPr>
        <w:t xml:space="preserve">City's alleged inability to pay </w:t>
      </w:r>
      <w:r>
        <w:rPr>
          <w:rFonts w:ascii="Times New Roman" w:hAnsi="Times New Roman"/>
          <w:sz w:val="24"/>
          <w:szCs w:val="24"/>
        </w:rPr>
        <w:t>[</w:t>
      </w:r>
      <w:r w:rsidRPr="00347FD8">
        <w:rPr>
          <w:rFonts w:ascii="Times New Roman" w:eastAsia="Times New Roman" w:hAnsi="Times New Roman"/>
          <w:sz w:val="24"/>
          <w:szCs w:val="24"/>
        </w:rPr>
        <w:t xml:space="preserve">$285, 000 </w:t>
      </w:r>
      <w:r>
        <w:rPr>
          <w:rFonts w:ascii="Times New Roman" w:eastAsia="Times New Roman" w:hAnsi="Times New Roman"/>
          <w:sz w:val="24"/>
          <w:szCs w:val="24"/>
        </w:rPr>
        <w:t xml:space="preserve">to fix the radio problem] </w:t>
      </w:r>
      <w:r w:rsidRPr="00975F2E">
        <w:rPr>
          <w:rFonts w:ascii="Times New Roman" w:hAnsi="Times New Roman"/>
          <w:sz w:val="24"/>
          <w:szCs w:val="24"/>
        </w:rPr>
        <w:t xml:space="preserve">did not constitute a managerial business reason for eliminating the positions. The record supports SERB's determination that City's claim that its elimination of bargaining unit positions was a part of City's restructuring or reorganizing plan for the Fire Department was baseless and not a legitimate reason to eliminate the three positions. In fact, City failed to provide details or supporting information for its </w:t>
      </w:r>
      <w:r>
        <w:rPr>
          <w:rFonts w:ascii="Times New Roman" w:hAnsi="Times New Roman"/>
          <w:sz w:val="24"/>
          <w:szCs w:val="24"/>
        </w:rPr>
        <w:t>‘</w:t>
      </w:r>
      <w:r w:rsidRPr="00975F2E">
        <w:rPr>
          <w:rFonts w:ascii="Times New Roman" w:hAnsi="Times New Roman"/>
          <w:sz w:val="24"/>
          <w:szCs w:val="24"/>
        </w:rPr>
        <w:t>restructuring</w:t>
      </w:r>
      <w:r>
        <w:rPr>
          <w:rFonts w:ascii="Times New Roman" w:hAnsi="Times New Roman"/>
          <w:sz w:val="24"/>
          <w:szCs w:val="24"/>
        </w:rPr>
        <w:t>’</w:t>
      </w:r>
      <w:r w:rsidRPr="00975F2E">
        <w:rPr>
          <w:rFonts w:ascii="Times New Roman" w:hAnsi="Times New Roman"/>
          <w:sz w:val="24"/>
          <w:szCs w:val="24"/>
        </w:rPr>
        <w:t xml:space="preserve"> plan. Also, the total 2019 call data illustrates that fire calls </w:t>
      </w:r>
      <w:proofErr w:type="gramStart"/>
      <w:r w:rsidRPr="00975F2E">
        <w:rPr>
          <w:rFonts w:ascii="Times New Roman" w:hAnsi="Times New Roman"/>
          <w:sz w:val="24"/>
          <w:szCs w:val="24"/>
        </w:rPr>
        <w:t>were not decreasing</w:t>
      </w:r>
      <w:proofErr w:type="gramEnd"/>
      <w:r w:rsidRPr="00975F2E">
        <w:rPr>
          <w:rFonts w:ascii="Times New Roman" w:hAnsi="Times New Roman"/>
          <w:sz w:val="24"/>
          <w:szCs w:val="24"/>
        </w:rPr>
        <w:t xml:space="preserve"> over the past six years. SERB clearly determined City's proffered reasons for eliminating the positions were pretextual and thus, Ordinance 19-336, i.e., the </w:t>
      </w:r>
      <w:r>
        <w:rPr>
          <w:rFonts w:ascii="Times New Roman" w:hAnsi="Times New Roman"/>
          <w:sz w:val="24"/>
          <w:szCs w:val="24"/>
        </w:rPr>
        <w:t>‘</w:t>
      </w:r>
      <w:r w:rsidRPr="00975F2E">
        <w:rPr>
          <w:rFonts w:ascii="Times New Roman" w:hAnsi="Times New Roman"/>
          <w:sz w:val="24"/>
          <w:szCs w:val="24"/>
        </w:rPr>
        <w:t>attrition</w:t>
      </w:r>
      <w:r>
        <w:rPr>
          <w:rFonts w:ascii="Times New Roman" w:hAnsi="Times New Roman"/>
          <w:sz w:val="24"/>
          <w:szCs w:val="24"/>
        </w:rPr>
        <w:t>’</w:t>
      </w:r>
      <w:r w:rsidRPr="00975F2E">
        <w:rPr>
          <w:rFonts w:ascii="Times New Roman" w:hAnsi="Times New Roman"/>
          <w:sz w:val="24"/>
          <w:szCs w:val="24"/>
        </w:rPr>
        <w:t xml:space="preserve"> Ordinance, was an unlawful retaliation against Union for advancing a grievance to arbitration.</w:t>
      </w:r>
      <w:r>
        <w:rPr>
          <w:rFonts w:ascii="Times New Roman" w:hAnsi="Times New Roman"/>
          <w:sz w:val="24"/>
          <w:szCs w:val="24"/>
          <w:vertAlign w:val="superscript"/>
        </w:rPr>
        <w:t>”</w:t>
      </w:r>
      <w:r w:rsidRPr="00614F1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hyperlink r:id="rId2754" w:history="1">
        <w:r w:rsidRPr="00E6191A">
          <w:rPr>
            <w:rStyle w:val="Hyperlink"/>
            <w:rFonts w:ascii="Times New Roman" w:eastAsia="Times New Roman" w:hAnsi="Times New Roman"/>
            <w:sz w:val="24"/>
            <w:szCs w:val="24"/>
          </w:rPr>
          <w:t>https://www.supremecourt.ohio.gov/rod/docs/pdf/7/2021/2021-Ohio-4552.pdf</w:t>
        </w:r>
      </w:hyperlink>
      <w:r>
        <w:rPr>
          <w:rFonts w:ascii="Times New Roman" w:eastAsia="Times New Roman" w:hAnsi="Times New Roman"/>
          <w:sz w:val="24"/>
          <w:szCs w:val="24"/>
        </w:rPr>
        <w:t xml:space="preserve"> </w:t>
      </w:r>
    </w:p>
    <w:p w14:paraId="28FC673B" w14:textId="77777777" w:rsidR="00644810" w:rsidRPr="00213018" w:rsidRDefault="00644810" w:rsidP="00644810">
      <w:pPr>
        <w:pStyle w:val="Heading1"/>
        <w:ind w:left="720"/>
        <w:rPr>
          <w:b w:val="0"/>
          <w:bCs w:val="0"/>
          <w:sz w:val="24"/>
          <w:szCs w:val="24"/>
        </w:rPr>
      </w:pPr>
      <w:r w:rsidRPr="009241CF">
        <w:rPr>
          <w:b w:val="0"/>
          <w:bCs w:val="0"/>
          <w:sz w:val="24"/>
          <w:szCs w:val="24"/>
        </w:rPr>
        <w:t xml:space="preserve">Note:  The City of Youngstown has had serious financial issues </w:t>
      </w:r>
      <w:proofErr w:type="gramStart"/>
      <w:r w:rsidRPr="009241CF">
        <w:rPr>
          <w:b w:val="0"/>
          <w:bCs w:val="0"/>
          <w:sz w:val="24"/>
          <w:szCs w:val="24"/>
        </w:rPr>
        <w:t>impacting</w:t>
      </w:r>
      <w:proofErr w:type="gramEnd"/>
      <w:r w:rsidRPr="009241CF">
        <w:rPr>
          <w:b w:val="0"/>
          <w:bCs w:val="0"/>
          <w:sz w:val="24"/>
          <w:szCs w:val="24"/>
        </w:rPr>
        <w:t xml:space="preserve"> the fire department. See Feb. 28, </w:t>
      </w:r>
      <w:proofErr w:type="gramStart"/>
      <w:r w:rsidRPr="009241CF">
        <w:rPr>
          <w:b w:val="0"/>
          <w:bCs w:val="0"/>
          <w:sz w:val="24"/>
          <w:szCs w:val="24"/>
        </w:rPr>
        <w:t>2021</w:t>
      </w:r>
      <w:proofErr w:type="gramEnd"/>
      <w:r w:rsidRPr="009241CF">
        <w:rPr>
          <w:b w:val="0"/>
          <w:bCs w:val="0"/>
          <w:sz w:val="24"/>
          <w:szCs w:val="24"/>
        </w:rPr>
        <w:t xml:space="preserve"> article, “Judge rules city treated fire union unfairly.”</w:t>
      </w:r>
      <w:r w:rsidRPr="009241CF">
        <w:t xml:space="preserve"> </w:t>
      </w:r>
      <w:hyperlink r:id="rId2755" w:history="1">
        <w:r w:rsidRPr="00213018">
          <w:rPr>
            <w:rStyle w:val="Hyperlink"/>
            <w:b w:val="0"/>
            <w:bCs w:val="0"/>
            <w:sz w:val="24"/>
            <w:szCs w:val="24"/>
          </w:rPr>
          <w:t>https://www.vindy.com/news/local-news/2021/02/judge-rules-city-treated-fire-union-unfairly/</w:t>
        </w:r>
      </w:hyperlink>
      <w:r w:rsidRPr="00213018">
        <w:rPr>
          <w:b w:val="0"/>
          <w:bCs w:val="0"/>
          <w:sz w:val="24"/>
          <w:szCs w:val="24"/>
        </w:rPr>
        <w:t xml:space="preserve"> </w:t>
      </w:r>
    </w:p>
    <w:p w14:paraId="7610FCCD" w14:textId="77777777" w:rsidR="00644810" w:rsidRPr="009241CF" w:rsidRDefault="00644810" w:rsidP="00644810">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9241CF">
        <w:rPr>
          <w:rFonts w:ascii="Times New Roman" w:eastAsia="Times New Roman" w:hAnsi="Times New Roman"/>
          <w:sz w:val="24"/>
          <w:szCs w:val="24"/>
        </w:rPr>
        <w:t>The administration closed fire stations last June on a rotating basis because the fire department exceeded its yearly overtime budget in the first five months of the year. The union objected, saying the decision was dangerous and the city not filling positions caused the overtime issue.</w:t>
      </w:r>
    </w:p>
    <w:p w14:paraId="04BF316C" w14:textId="77777777" w:rsidR="00644810" w:rsidRPr="009241CF" w:rsidRDefault="00644810" w:rsidP="00644810">
      <w:pPr>
        <w:spacing w:before="100" w:beforeAutospacing="1" w:after="100" w:afterAutospacing="1" w:line="240" w:lineRule="auto"/>
        <w:ind w:left="1440"/>
        <w:rPr>
          <w:rFonts w:ascii="Times New Roman" w:eastAsia="Times New Roman" w:hAnsi="Times New Roman"/>
          <w:sz w:val="24"/>
          <w:szCs w:val="24"/>
        </w:rPr>
      </w:pPr>
      <w:r w:rsidRPr="009241CF">
        <w:rPr>
          <w:rFonts w:ascii="Times New Roman" w:eastAsia="Times New Roman" w:hAnsi="Times New Roman"/>
          <w:sz w:val="24"/>
          <w:szCs w:val="24"/>
        </w:rPr>
        <w:t>The city closed stations on a rotating basis for about three months in 2018 because of overtime costs.</w:t>
      </w:r>
    </w:p>
    <w:p w14:paraId="35D7B3E8" w14:textId="77777777" w:rsidR="00644810" w:rsidRPr="009241CF" w:rsidRDefault="00644810" w:rsidP="00644810">
      <w:pPr>
        <w:spacing w:before="100" w:beforeAutospacing="1" w:after="100" w:afterAutospacing="1" w:line="240" w:lineRule="auto"/>
        <w:ind w:left="1440"/>
        <w:rPr>
          <w:rFonts w:ascii="Times New Roman" w:eastAsia="Times New Roman" w:hAnsi="Times New Roman"/>
          <w:sz w:val="24"/>
          <w:szCs w:val="24"/>
        </w:rPr>
      </w:pPr>
      <w:r w:rsidRPr="009241CF">
        <w:rPr>
          <w:rFonts w:ascii="Times New Roman" w:eastAsia="Times New Roman" w:hAnsi="Times New Roman"/>
          <w:sz w:val="24"/>
          <w:szCs w:val="24"/>
        </w:rPr>
        <w:t xml:space="preserve">The union issued a no-confidence vote against </w:t>
      </w:r>
      <w:r>
        <w:rPr>
          <w:rFonts w:ascii="Times New Roman" w:eastAsia="Times New Roman" w:hAnsi="Times New Roman"/>
          <w:sz w:val="24"/>
          <w:szCs w:val="24"/>
        </w:rPr>
        <w:t xml:space="preserve">[Fire Chief Barry] </w:t>
      </w:r>
      <w:r w:rsidRPr="009241CF">
        <w:rPr>
          <w:rFonts w:ascii="Times New Roman" w:eastAsia="Times New Roman" w:hAnsi="Times New Roman"/>
          <w:sz w:val="24"/>
          <w:szCs w:val="24"/>
        </w:rPr>
        <w:t xml:space="preserve">Finley in December 2019 after expressing concern about his leadership, and the city closed Fire Station No. 7 on the North Side that same month over the objections of the </w:t>
      </w:r>
      <w:proofErr w:type="gramStart"/>
      <w:r w:rsidRPr="009241CF">
        <w:rPr>
          <w:rFonts w:ascii="Times New Roman" w:eastAsia="Times New Roman" w:hAnsi="Times New Roman"/>
          <w:sz w:val="24"/>
          <w:szCs w:val="24"/>
        </w:rPr>
        <w:t>union.</w:t>
      </w:r>
      <w:r>
        <w:rPr>
          <w:rFonts w:ascii="Times New Roman" w:eastAsia="Times New Roman" w:hAnsi="Times New Roman"/>
          <w:sz w:val="24"/>
          <w:szCs w:val="24"/>
        </w:rPr>
        <w:t>”</w:t>
      </w:r>
      <w:proofErr w:type="gramEnd"/>
    </w:p>
    <w:p w14:paraId="6CD1445D" w14:textId="77777777" w:rsidR="00644810" w:rsidRDefault="00644810" w:rsidP="00F326E5">
      <w:pPr>
        <w:pStyle w:val="NoSpacing"/>
        <w:rPr>
          <w:rFonts w:ascii="Arial Black" w:hAnsi="Arial Black"/>
          <w:sz w:val="24"/>
          <w:szCs w:val="24"/>
        </w:rPr>
      </w:pPr>
    </w:p>
    <w:p w14:paraId="3984A789" w14:textId="77777777" w:rsidR="00644810" w:rsidRDefault="00644810" w:rsidP="00F326E5">
      <w:pPr>
        <w:pStyle w:val="NoSpacing"/>
        <w:rPr>
          <w:rFonts w:ascii="Arial Black" w:hAnsi="Arial Black"/>
          <w:sz w:val="24"/>
          <w:szCs w:val="24"/>
        </w:rPr>
      </w:pPr>
    </w:p>
    <w:p w14:paraId="1AC95D9B" w14:textId="77777777" w:rsidR="00644810" w:rsidRDefault="00644810" w:rsidP="00F326E5">
      <w:pPr>
        <w:pStyle w:val="NoSpacing"/>
        <w:rPr>
          <w:rFonts w:ascii="Arial Black" w:hAnsi="Arial Black"/>
          <w:sz w:val="24"/>
          <w:szCs w:val="24"/>
        </w:rPr>
      </w:pPr>
    </w:p>
    <w:p w14:paraId="64FA62B8" w14:textId="77777777" w:rsidR="00644810" w:rsidRDefault="00644810" w:rsidP="00F326E5">
      <w:pPr>
        <w:pStyle w:val="NoSpacing"/>
        <w:rPr>
          <w:rFonts w:ascii="Arial Black" w:hAnsi="Arial Black"/>
          <w:sz w:val="24"/>
          <w:szCs w:val="24"/>
        </w:rPr>
      </w:pPr>
    </w:p>
    <w:p w14:paraId="06EFD7A5" w14:textId="3A18D043" w:rsidR="007E3A28" w:rsidRDefault="007E3A28" w:rsidP="00F326E5">
      <w:pPr>
        <w:pStyle w:val="NoSpacing"/>
        <w:rPr>
          <w:rFonts w:ascii="Arial Black" w:hAnsi="Arial Black"/>
          <w:sz w:val="24"/>
          <w:szCs w:val="24"/>
        </w:rPr>
      </w:pPr>
      <w:r>
        <w:rPr>
          <w:rFonts w:ascii="Arial Black" w:hAnsi="Arial Black"/>
          <w:sz w:val="24"/>
          <w:szCs w:val="24"/>
        </w:rPr>
        <w:t>17-10</w:t>
      </w:r>
    </w:p>
    <w:p w14:paraId="24DCD890" w14:textId="77777777" w:rsidR="007E3A28" w:rsidRDefault="007E3A28" w:rsidP="007E3A28">
      <w:pPr>
        <w:spacing w:before="100" w:beforeAutospacing="1" w:after="100" w:afterAutospacing="1" w:line="240" w:lineRule="auto"/>
      </w:pPr>
      <w:r>
        <w:rPr>
          <w:rFonts w:ascii="Arial Black" w:hAnsi="Arial Black"/>
          <w:sz w:val="28"/>
          <w:szCs w:val="28"/>
        </w:rPr>
        <w:t>NJ: “RULE OF THREE” – NO. 1 ON LIST BYPASSED – NO. 2 PROMOTED DEPUTY CHIEF – NO PROOF FIRE CHIEF / CITY WAS ANTI-UNION</w:t>
      </w:r>
    </w:p>
    <w:p w14:paraId="476CD3DE" w14:textId="77777777" w:rsidR="007E3A28" w:rsidRDefault="007E3A28" w:rsidP="007E3A28">
      <w:pPr>
        <w:spacing w:before="100" w:beforeAutospacing="1" w:after="100" w:afterAutospacing="1" w:line="240" w:lineRule="auto"/>
        <w:rPr>
          <w:rFonts w:ascii="Times New Roman" w:hAnsi="Times New Roman"/>
          <w:sz w:val="24"/>
          <w:szCs w:val="24"/>
        </w:rPr>
      </w:pPr>
      <w:r w:rsidRPr="00394F8F">
        <w:rPr>
          <w:rFonts w:ascii="Times New Roman" w:hAnsi="Times New Roman"/>
          <w:sz w:val="24"/>
          <w:szCs w:val="24"/>
        </w:rPr>
        <w:t xml:space="preserve">On </w:t>
      </w:r>
      <w:r>
        <w:rPr>
          <w:rFonts w:ascii="Times New Roman" w:hAnsi="Times New Roman"/>
          <w:sz w:val="24"/>
          <w:szCs w:val="24"/>
        </w:rPr>
        <w:t xml:space="preserve">Nov. 3, 2021, </w:t>
      </w:r>
      <w:r w:rsidRPr="00325E3C">
        <w:rPr>
          <w:rFonts w:ascii="Times New Roman" w:hAnsi="Times New Roman"/>
          <w:sz w:val="24"/>
          <w:szCs w:val="24"/>
          <w:u w:val="single"/>
        </w:rPr>
        <w:t>In</w:t>
      </w:r>
      <w:r>
        <w:rPr>
          <w:rFonts w:ascii="Times New Roman" w:hAnsi="Times New Roman"/>
          <w:sz w:val="24"/>
          <w:szCs w:val="24"/>
          <w:u w:val="single"/>
        </w:rPr>
        <w:t xml:space="preserve"> </w:t>
      </w:r>
      <w:r w:rsidRPr="00325E3C">
        <w:rPr>
          <w:rFonts w:ascii="Times New Roman" w:hAnsi="Times New Roman"/>
          <w:sz w:val="24"/>
          <w:szCs w:val="24"/>
          <w:u w:val="single"/>
        </w:rPr>
        <w:t>The Matter Of Jason Ryan, Hamilton Township Fire District Number 2</w:t>
      </w:r>
      <w:r>
        <w:rPr>
          <w:rFonts w:ascii="Times New Roman" w:hAnsi="Times New Roman"/>
          <w:sz w:val="24"/>
          <w:szCs w:val="24"/>
        </w:rPr>
        <w:t xml:space="preserve">, the Superior Court of New Jersey, Appellate Division, held (2 to 0; unpublished decision) that Jason Ryan, while having the highest promotion exam score, failed to present evidence that the Board of Fire Commissioners and the Fire Chief bypassed him because he was a union steward and Vice President for the New Jersey Firefighters’ Mutual Benevolent Association (Local No. 284).  The Board has previously promoted union officers, and in 2008 Ryan was promoted to Captain, bypassing a candidate ahead of him on the eligibility list. The Board sent him a detailed “Statement of Reasons” letter that reviewed the reasons for selecting Sullivan, as required under the New Jersey “Rule of Three” statute. </w:t>
      </w:r>
    </w:p>
    <w:p w14:paraId="3508D765" w14:textId="77777777" w:rsidR="007E3A28" w:rsidRDefault="007E3A28" w:rsidP="007E3A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C412B">
        <w:rPr>
          <w:rFonts w:ascii="Times New Roman" w:hAnsi="Times New Roman"/>
          <w:sz w:val="24"/>
          <w:szCs w:val="24"/>
        </w:rPr>
        <w:t>Petitioner did not meet his initial burden because he failed to present any evidence that he was bypassed because of his union involvement. Indeed, the only evidence petitioner offered was his characterization of several incidents and resulting discipline. These incidents, however, are insufficient to demonstrate the Board or the Commission was motivated by anti-union animus.</w:t>
      </w:r>
    </w:p>
    <w:p w14:paraId="2F3C1F2D" w14:textId="77777777" w:rsidR="007E3A28" w:rsidRPr="00394F8F" w:rsidRDefault="007E3A28" w:rsidP="007E3A28">
      <w:pPr>
        <w:spacing w:before="100" w:beforeAutospacing="1" w:after="100" w:afterAutospacing="1" w:line="240" w:lineRule="auto"/>
        <w:ind w:left="720"/>
        <w:rPr>
          <w:rFonts w:ascii="Times New Roman" w:eastAsia="Times New Roman" w:hAnsi="Times New Roman"/>
          <w:sz w:val="24"/>
          <w:szCs w:val="24"/>
        </w:rPr>
      </w:pPr>
      <w:r w:rsidRPr="00394F8F">
        <w:rPr>
          <w:rFonts w:ascii="Times New Roman" w:eastAsia="Times New Roman" w:hAnsi="Times New Roman"/>
          <w:sz w:val="24"/>
          <w:szCs w:val="24"/>
        </w:rPr>
        <w:t xml:space="preserve">And, as the Commission noted, the Board had recently promoted two union-affiliated firefighters. </w:t>
      </w:r>
    </w:p>
    <w:p w14:paraId="3084C0E3" w14:textId="77777777" w:rsidR="007E3A28" w:rsidRPr="00394F8F" w:rsidRDefault="007E3A28" w:rsidP="007E3A28">
      <w:pPr>
        <w:spacing w:before="100" w:beforeAutospacing="1" w:after="100" w:afterAutospacing="1" w:line="240" w:lineRule="auto"/>
        <w:ind w:left="720"/>
        <w:rPr>
          <w:rFonts w:ascii="Times New Roman" w:eastAsia="Times New Roman" w:hAnsi="Times New Roman"/>
          <w:sz w:val="24"/>
          <w:szCs w:val="24"/>
        </w:rPr>
      </w:pPr>
      <w:r w:rsidRPr="00394F8F">
        <w:rPr>
          <w:rFonts w:ascii="Times New Roman" w:eastAsia="Times New Roman" w:hAnsi="Times New Roman"/>
          <w:sz w:val="24"/>
          <w:szCs w:val="24"/>
        </w:rPr>
        <w:t xml:space="preserve">Moreover, the Commission correctly concluded the Board had provided legitimate, non-discriminatory reasons for bypassing petitioner. Although </w:t>
      </w:r>
      <w:r>
        <w:rPr>
          <w:rFonts w:ascii="Times New Roman" w:eastAsia="Times New Roman" w:hAnsi="Times New Roman"/>
          <w:sz w:val="24"/>
          <w:szCs w:val="24"/>
        </w:rPr>
        <w:t xml:space="preserve">[Blair] </w:t>
      </w:r>
      <w:r w:rsidRPr="00394F8F">
        <w:rPr>
          <w:rFonts w:ascii="Times New Roman" w:eastAsia="Times New Roman" w:hAnsi="Times New Roman"/>
          <w:sz w:val="24"/>
          <w:szCs w:val="24"/>
        </w:rPr>
        <w:t xml:space="preserve">Sullivan had a slightly lower test score, the Commission explained why he was the </w:t>
      </w:r>
      <w:r>
        <w:rPr>
          <w:rFonts w:ascii="Times New Roman" w:eastAsia="Times New Roman" w:hAnsi="Times New Roman"/>
          <w:sz w:val="24"/>
          <w:szCs w:val="24"/>
        </w:rPr>
        <w:t>‘</w:t>
      </w:r>
      <w:r w:rsidRPr="00394F8F">
        <w:rPr>
          <w:rFonts w:ascii="Times New Roman" w:eastAsia="Times New Roman" w:hAnsi="Times New Roman"/>
          <w:sz w:val="24"/>
          <w:szCs w:val="24"/>
        </w:rPr>
        <w:t xml:space="preserve">best candidate for the position based on his fitness, merit, experience, service to the </w:t>
      </w:r>
      <w:proofErr w:type="gramStart"/>
      <w:r w:rsidRPr="00394F8F">
        <w:rPr>
          <w:rFonts w:ascii="Times New Roman" w:eastAsia="Times New Roman" w:hAnsi="Times New Roman"/>
          <w:sz w:val="24"/>
          <w:szCs w:val="24"/>
        </w:rPr>
        <w:t>District</w:t>
      </w:r>
      <w:proofErr w:type="gramEnd"/>
      <w:r w:rsidRPr="00394F8F">
        <w:rPr>
          <w:rFonts w:ascii="Times New Roman" w:eastAsia="Times New Roman" w:hAnsi="Times New Roman"/>
          <w:sz w:val="24"/>
          <w:szCs w:val="24"/>
        </w:rPr>
        <w:t>, and passion for the Deputy Fire Chief Position.</w:t>
      </w:r>
      <w:r>
        <w:rPr>
          <w:rFonts w:ascii="Times New Roman" w:eastAsia="Times New Roman" w:hAnsi="Times New Roman"/>
          <w:sz w:val="24"/>
          <w:szCs w:val="24"/>
        </w:rPr>
        <w:t xml:space="preserve">’” </w:t>
      </w:r>
      <w:hyperlink r:id="rId2756" w:history="1">
        <w:r w:rsidRPr="00316766">
          <w:rPr>
            <w:rStyle w:val="Hyperlink"/>
            <w:rFonts w:ascii="Times New Roman" w:eastAsia="Times New Roman" w:hAnsi="Times New Roman"/>
            <w:sz w:val="24"/>
            <w:szCs w:val="24"/>
          </w:rPr>
          <w:t>https://casetext.com/case/in-re-ryan-542034</w:t>
        </w:r>
      </w:hyperlink>
      <w:r>
        <w:rPr>
          <w:rFonts w:ascii="Times New Roman" w:eastAsia="Times New Roman" w:hAnsi="Times New Roman"/>
          <w:sz w:val="24"/>
          <w:szCs w:val="24"/>
        </w:rPr>
        <w:t xml:space="preserve"> </w:t>
      </w:r>
    </w:p>
    <w:p w14:paraId="187A061D" w14:textId="77777777" w:rsidR="007E3A28" w:rsidRPr="00D9180B" w:rsidRDefault="007E3A28" w:rsidP="007E3A28">
      <w:pPr>
        <w:spacing w:before="100" w:beforeAutospacing="1" w:after="100" w:afterAutospacing="1" w:line="240" w:lineRule="auto"/>
        <w:rPr>
          <w:rFonts w:ascii="Times New Roman" w:eastAsia="Times New Roman" w:hAnsi="Times New Roman"/>
          <w:b/>
          <w:bCs/>
          <w:sz w:val="24"/>
          <w:szCs w:val="24"/>
        </w:rPr>
      </w:pPr>
      <w:r w:rsidRPr="0010716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Board wisely prepared a detailed “Statement of Reasons” for selecting No. 2 person as the Deputy Fire Chief. </w:t>
      </w:r>
    </w:p>
    <w:p w14:paraId="436F6E07" w14:textId="77777777" w:rsidR="007E3A28" w:rsidRDefault="007E3A28" w:rsidP="00F326E5">
      <w:pPr>
        <w:pStyle w:val="NoSpacing"/>
        <w:rPr>
          <w:rFonts w:ascii="Arial Black" w:hAnsi="Arial Black"/>
          <w:sz w:val="24"/>
          <w:szCs w:val="24"/>
        </w:rPr>
      </w:pPr>
    </w:p>
    <w:p w14:paraId="718412D6" w14:textId="77777777" w:rsidR="007E3A28" w:rsidRDefault="007E3A28" w:rsidP="00F326E5">
      <w:pPr>
        <w:pStyle w:val="NoSpacing"/>
        <w:rPr>
          <w:rFonts w:ascii="Arial Black" w:hAnsi="Arial Black"/>
          <w:sz w:val="24"/>
          <w:szCs w:val="24"/>
        </w:rPr>
      </w:pPr>
    </w:p>
    <w:p w14:paraId="5D72F480" w14:textId="3A307EFA" w:rsidR="005217D5" w:rsidRDefault="002F610D" w:rsidP="00F326E5">
      <w:pPr>
        <w:pStyle w:val="NoSpacing"/>
        <w:rPr>
          <w:rFonts w:ascii="Arial Black" w:hAnsi="Arial Black"/>
          <w:sz w:val="24"/>
          <w:szCs w:val="24"/>
        </w:rPr>
      </w:pPr>
      <w:r>
        <w:rPr>
          <w:rFonts w:ascii="Arial Black" w:hAnsi="Arial Black"/>
          <w:sz w:val="24"/>
          <w:szCs w:val="24"/>
        </w:rPr>
        <w:t>17-9</w:t>
      </w:r>
    </w:p>
    <w:p w14:paraId="7DE7FC92" w14:textId="77777777" w:rsidR="002F610D" w:rsidRPr="008952B2" w:rsidRDefault="002F610D" w:rsidP="002F610D">
      <w:pPr>
        <w:pStyle w:val="NormalWeb"/>
        <w:rPr>
          <w:rStyle w:val="markedcontent"/>
          <w:rFonts w:ascii="Arial Black" w:hAnsi="Arial Black"/>
          <w:sz w:val="28"/>
          <w:szCs w:val="28"/>
        </w:rPr>
      </w:pPr>
      <w:bookmarkStart w:id="633" w:name="_Hlk81842929"/>
      <w:r>
        <w:rPr>
          <w:rStyle w:val="markedcontent"/>
          <w:rFonts w:ascii="Arial Black" w:hAnsi="Arial Black"/>
          <w:sz w:val="28"/>
          <w:szCs w:val="28"/>
        </w:rPr>
        <w:t xml:space="preserve">NB: UNION PRES. FIRED - ASSAULT IN BAR, “WHITE POWER” – ARBITRATOR REVERSES, 5 SHIFT SUSPENSION </w:t>
      </w:r>
    </w:p>
    <w:bookmarkEnd w:id="633"/>
    <w:p w14:paraId="47D16F0A" w14:textId="77777777" w:rsidR="002F610D" w:rsidRPr="00BC5562" w:rsidRDefault="002F610D" w:rsidP="002F610D">
      <w:pPr>
        <w:pStyle w:val="NormalWeb"/>
        <w:rPr>
          <w:rStyle w:val="markedcontent"/>
        </w:rPr>
      </w:pPr>
      <w:r w:rsidRPr="00BC5562">
        <w:rPr>
          <w:rStyle w:val="markedcontent"/>
        </w:rPr>
        <w:t xml:space="preserve">On Aug. 6, 2021, in </w:t>
      </w:r>
      <w:r w:rsidRPr="00BC5562">
        <w:rPr>
          <w:rStyle w:val="markedcontent"/>
          <w:u w:val="single"/>
        </w:rPr>
        <w:t xml:space="preserve">City of Omaha v. Professional Firefighters Association of Omaha, </w:t>
      </w:r>
      <w:r w:rsidRPr="00BC5562">
        <w:rPr>
          <w:u w:val="single"/>
        </w:rPr>
        <w:br/>
      </w:r>
      <w:r w:rsidRPr="00BC5562">
        <w:rPr>
          <w:rStyle w:val="markedcontent"/>
          <w:u w:val="single"/>
        </w:rPr>
        <w:t>Local 385, AFL-CIO</w:t>
      </w:r>
      <w:r w:rsidRPr="00BC5562">
        <w:rPr>
          <w:rStyle w:val="markedcontent"/>
        </w:rPr>
        <w:t xml:space="preserve">, the Nebraska Supreme Court held (6 to 0) that the arbitrator’s decision reinstating Union President Steve LeClair must be enforced; the city failed to prove that the arbitration award because the arbitrator exceeded her powers. The City appealed to state District Court, which dismissed the City’s appeal and ordered the City to reimburse union for $16,000 in attorney fees for filing a “frivolous” appeal.  The Nebraska Supreme Court agreed that termination was too </w:t>
      </w:r>
      <w:proofErr w:type="gramStart"/>
      <w:r w:rsidRPr="00BC5562">
        <w:rPr>
          <w:rStyle w:val="markedcontent"/>
        </w:rPr>
        <w:t>harsh, but</w:t>
      </w:r>
      <w:proofErr w:type="gramEnd"/>
      <w:r w:rsidRPr="00BC5562">
        <w:rPr>
          <w:rStyle w:val="markedcontent"/>
        </w:rPr>
        <w:t xml:space="preserve"> set aside the attorney fees award. </w:t>
      </w:r>
    </w:p>
    <w:p w14:paraId="10B766E2" w14:textId="489DB22B" w:rsidR="002F610D" w:rsidRDefault="002F610D" w:rsidP="002F610D">
      <w:pPr>
        <w:pStyle w:val="NoSpacing"/>
        <w:rPr>
          <w:rFonts w:ascii="Arial Black" w:hAnsi="Arial Black"/>
          <w:sz w:val="24"/>
          <w:szCs w:val="24"/>
        </w:rPr>
      </w:pPr>
      <w:r w:rsidRPr="002F610D">
        <w:rPr>
          <w:rStyle w:val="markedcontent"/>
          <w:rFonts w:ascii="Times New Roman" w:hAnsi="Times New Roman"/>
          <w:sz w:val="24"/>
          <w:szCs w:val="24"/>
        </w:rPr>
        <w:lastRenderedPageBreak/>
        <w:t>“Equally quick work can be made of the City’s claim that the arbitrator exceeded her powers by ‘</w:t>
      </w:r>
      <w:proofErr w:type="spellStart"/>
      <w:r w:rsidRPr="002F610D">
        <w:rPr>
          <w:rStyle w:val="markedcontent"/>
          <w:rFonts w:ascii="Times New Roman" w:hAnsi="Times New Roman"/>
          <w:sz w:val="24"/>
          <w:szCs w:val="24"/>
        </w:rPr>
        <w:t>substitut</w:t>
      </w:r>
      <w:proofErr w:type="spellEnd"/>
      <w:r w:rsidRPr="002F610D">
        <w:rPr>
          <w:rStyle w:val="markedcontent"/>
          <w:rFonts w:ascii="Times New Roman" w:hAnsi="Times New Roman"/>
          <w:sz w:val="24"/>
          <w:szCs w:val="24"/>
        </w:rPr>
        <w:t>[</w:t>
      </w:r>
      <w:proofErr w:type="spellStart"/>
      <w:r w:rsidRPr="002F610D">
        <w:rPr>
          <w:rStyle w:val="markedcontent"/>
          <w:rFonts w:ascii="Times New Roman" w:hAnsi="Times New Roman"/>
          <w:sz w:val="24"/>
          <w:szCs w:val="24"/>
        </w:rPr>
        <w:t>ing</w:t>
      </w:r>
      <w:proofErr w:type="spellEnd"/>
      <w:r w:rsidRPr="002F610D">
        <w:rPr>
          <w:rStyle w:val="markedcontent"/>
          <w:rFonts w:ascii="Times New Roman" w:hAnsi="Times New Roman"/>
          <w:sz w:val="24"/>
          <w:szCs w:val="24"/>
        </w:rPr>
        <w:t xml:space="preserve">] her own discipline.’ Brief for appellant at 31. This objection is aimed at the arbitrator’s order that LeClair should lose five shifts of backpay for his actions. The </w:t>
      </w:r>
      <w:proofErr w:type="gramStart"/>
      <w:r w:rsidRPr="002F610D">
        <w:rPr>
          <w:rStyle w:val="markedcontent"/>
          <w:rFonts w:ascii="Times New Roman" w:hAnsi="Times New Roman"/>
          <w:sz w:val="24"/>
          <w:szCs w:val="24"/>
        </w:rPr>
        <w:t>City</w:t>
      </w:r>
      <w:proofErr w:type="gramEnd"/>
      <w:r w:rsidRPr="002F610D">
        <w:rPr>
          <w:rStyle w:val="markedcontent"/>
          <w:rFonts w:ascii="Times New Roman" w:hAnsi="Times New Roman"/>
          <w:sz w:val="24"/>
          <w:szCs w:val="24"/>
        </w:rPr>
        <w:t xml:space="preserve"> claims the arbitrator did not have the power to craft her own discipline for LeClair’s actions. The City, however, has not directed us to authority that supports its argument.”</w:t>
      </w:r>
      <w:r w:rsidRPr="007365A2">
        <w:t xml:space="preserve"> </w:t>
      </w:r>
      <w:hyperlink r:id="rId2757" w:history="1">
        <w:r w:rsidRPr="007365A2">
          <w:rPr>
            <w:rStyle w:val="Hyperlink"/>
          </w:rPr>
          <w:t>file:///C:/Users/lawre/AppData/Local/Temp/N00008009PUB.pdf</w:t>
        </w:r>
      </w:hyperlink>
    </w:p>
    <w:p w14:paraId="13FD71FE" w14:textId="21FEC079" w:rsidR="002F610D" w:rsidRDefault="002F610D" w:rsidP="00F326E5">
      <w:pPr>
        <w:pStyle w:val="NoSpacing"/>
        <w:rPr>
          <w:rFonts w:ascii="Arial Black" w:hAnsi="Arial Black"/>
          <w:sz w:val="24"/>
          <w:szCs w:val="24"/>
        </w:rPr>
      </w:pPr>
    </w:p>
    <w:p w14:paraId="1128ED2B" w14:textId="77777777" w:rsidR="002F610D" w:rsidRPr="006D4E82" w:rsidRDefault="002F610D" w:rsidP="002F610D">
      <w:pPr>
        <w:pStyle w:val="NormalWeb"/>
        <w:tabs>
          <w:tab w:val="left" w:pos="3330"/>
        </w:tabs>
        <w:rPr>
          <w:b/>
          <w:bCs/>
        </w:rPr>
      </w:pPr>
      <w:r w:rsidRPr="006D4E82">
        <w:rPr>
          <w:rStyle w:val="markedcontent"/>
          <w:b/>
          <w:bCs/>
        </w:rPr>
        <w:t>Legal Lesson Learned:</w:t>
      </w:r>
      <w:r>
        <w:rPr>
          <w:rStyle w:val="markedcontent"/>
          <w:b/>
          <w:bCs/>
        </w:rPr>
        <w:t xml:space="preserve"> Courts generally enforce arbitrator decisions.  </w:t>
      </w:r>
      <w:r>
        <w:rPr>
          <w:rStyle w:val="markedcontent"/>
          <w:b/>
          <w:bCs/>
        </w:rPr>
        <w:tab/>
        <w:t xml:space="preserve"> </w:t>
      </w:r>
    </w:p>
    <w:p w14:paraId="452AAC83" w14:textId="6A1F3A59" w:rsidR="002F610D" w:rsidRDefault="002F610D" w:rsidP="002F610D">
      <w:pPr>
        <w:pStyle w:val="NoSpacing"/>
        <w:rPr>
          <w:rFonts w:ascii="Arial Black" w:hAnsi="Arial Black"/>
          <w:sz w:val="24"/>
          <w:szCs w:val="24"/>
        </w:rPr>
      </w:pPr>
      <w:r>
        <w:t xml:space="preserve">Note: See Aug. 11, </w:t>
      </w:r>
      <w:proofErr w:type="gramStart"/>
      <w:r>
        <w:t>2021</w:t>
      </w:r>
      <w:proofErr w:type="gramEnd"/>
      <w:r>
        <w:t xml:space="preserve"> article, “</w:t>
      </w:r>
      <w:r w:rsidRPr="00826CE9">
        <w:t xml:space="preserve">Nebraska Supreme Court Sides </w:t>
      </w:r>
      <w:proofErr w:type="gramStart"/>
      <w:r w:rsidRPr="00826CE9">
        <w:t>With</w:t>
      </w:r>
      <w:proofErr w:type="gramEnd"/>
      <w:r w:rsidRPr="00826CE9">
        <w:t xml:space="preserve"> Omaha Fire Union Chief </w:t>
      </w:r>
      <w:proofErr w:type="gramStart"/>
      <w:r w:rsidRPr="00826CE9">
        <w:t>In</w:t>
      </w:r>
      <w:proofErr w:type="gramEnd"/>
      <w:r w:rsidRPr="00826CE9">
        <w:t xml:space="preserve"> Dispute </w:t>
      </w:r>
      <w:proofErr w:type="gramStart"/>
      <w:r w:rsidRPr="00826CE9">
        <w:t>With</w:t>
      </w:r>
      <w:proofErr w:type="gramEnd"/>
      <w:r w:rsidRPr="00826CE9">
        <w:t xml:space="preserve"> City.   </w:t>
      </w:r>
      <w:r w:rsidRPr="00492A28">
        <w:t>appeal the discipline to an independent arbitrator.</w:t>
      </w:r>
      <w:r>
        <w:t xml:space="preserve">” </w:t>
      </w:r>
      <w:hyperlink r:id="rId2758" w:history="1">
        <w:r w:rsidRPr="00472D9E">
          <w:rPr>
            <w:rStyle w:val="Hyperlink"/>
          </w:rPr>
          <w:t>https://www.ketv.com/article/nebraska-supreme-court-sides-with-omaha-fire-union-chief-in-dispute-with-city/37244601#</w:t>
        </w:r>
      </w:hyperlink>
    </w:p>
    <w:p w14:paraId="254FEC65" w14:textId="77777777" w:rsidR="002F610D" w:rsidRDefault="002F610D" w:rsidP="00F326E5">
      <w:pPr>
        <w:pStyle w:val="NoSpacing"/>
        <w:rPr>
          <w:rFonts w:ascii="Arial Black" w:hAnsi="Arial Black"/>
          <w:sz w:val="24"/>
          <w:szCs w:val="24"/>
        </w:rPr>
      </w:pPr>
    </w:p>
    <w:p w14:paraId="0157EB83" w14:textId="7D0AE068" w:rsidR="005217D5" w:rsidRDefault="005217D5" w:rsidP="00F326E5">
      <w:pPr>
        <w:pStyle w:val="NoSpacing"/>
        <w:rPr>
          <w:rFonts w:ascii="Arial Black" w:hAnsi="Arial Black"/>
          <w:sz w:val="24"/>
          <w:szCs w:val="24"/>
        </w:rPr>
      </w:pPr>
      <w:r>
        <w:rPr>
          <w:rFonts w:ascii="Arial Black" w:hAnsi="Arial Black"/>
          <w:sz w:val="24"/>
          <w:szCs w:val="24"/>
        </w:rPr>
        <w:t>17-8</w:t>
      </w:r>
    </w:p>
    <w:p w14:paraId="30C4BB9D" w14:textId="065E42B1" w:rsidR="005217D5" w:rsidRDefault="005217D5" w:rsidP="00F326E5">
      <w:pPr>
        <w:pStyle w:val="NoSpacing"/>
        <w:rPr>
          <w:rFonts w:ascii="Arial Black" w:hAnsi="Arial Black"/>
          <w:sz w:val="24"/>
          <w:szCs w:val="24"/>
        </w:rPr>
      </w:pPr>
    </w:p>
    <w:p w14:paraId="1E90D6FF" w14:textId="77777777" w:rsidR="005217D5" w:rsidRPr="001F43B5" w:rsidRDefault="005217D5" w:rsidP="005217D5">
      <w:pPr>
        <w:rPr>
          <w:rStyle w:val="markedcontent"/>
          <w:rFonts w:ascii="Arial Black" w:hAnsi="Arial Black"/>
          <w:sz w:val="28"/>
          <w:szCs w:val="28"/>
        </w:rPr>
      </w:pPr>
      <w:r w:rsidRPr="001F43B5">
        <w:rPr>
          <w:rStyle w:val="markedcontent"/>
          <w:rFonts w:ascii="Arial Black" w:hAnsi="Arial Black"/>
          <w:sz w:val="28"/>
          <w:szCs w:val="28"/>
        </w:rPr>
        <w:t xml:space="preserve">DE: </w:t>
      </w:r>
      <w:r>
        <w:rPr>
          <w:rStyle w:val="markedcontent"/>
          <w:rFonts w:ascii="Arial Black" w:hAnsi="Arial Black"/>
          <w:sz w:val="28"/>
          <w:szCs w:val="28"/>
        </w:rPr>
        <w:t>STATION BROWNOUTS - FIRE CHIEF SCHEDULE CHANGE 24/72 TO 24/48 – NEW CBA MUST BE SPECIFIC</w:t>
      </w:r>
    </w:p>
    <w:p w14:paraId="3594A74A" w14:textId="77777777" w:rsidR="005217D5" w:rsidRDefault="005217D5" w:rsidP="005217D5">
      <w:pPr>
        <w:rPr>
          <w:rStyle w:val="markedcontent"/>
          <w:rFonts w:ascii="Times New Roman" w:hAnsi="Times New Roman"/>
          <w:sz w:val="24"/>
          <w:szCs w:val="24"/>
        </w:rPr>
      </w:pPr>
      <w:r>
        <w:rPr>
          <w:rStyle w:val="markedcontent"/>
          <w:rFonts w:ascii="Times New Roman" w:hAnsi="Times New Roman"/>
          <w:sz w:val="24"/>
          <w:szCs w:val="24"/>
        </w:rPr>
        <w:t xml:space="preserve">On June 28, 2021, in </w:t>
      </w:r>
      <w:r w:rsidRPr="001F43B5">
        <w:rPr>
          <w:rStyle w:val="markedcontent"/>
          <w:rFonts w:ascii="Times New Roman" w:hAnsi="Times New Roman"/>
          <w:sz w:val="24"/>
          <w:szCs w:val="24"/>
          <w:u w:val="single"/>
        </w:rPr>
        <w:t>International Association of Firefighters, Local 1590 v. City of Wilmington</w:t>
      </w:r>
      <w:r>
        <w:rPr>
          <w:rStyle w:val="markedcontent"/>
          <w:rFonts w:ascii="Times New Roman" w:hAnsi="Times New Roman"/>
          <w:sz w:val="24"/>
          <w:szCs w:val="24"/>
        </w:rPr>
        <w:t xml:space="preserve">, the Court of Chancery of the State of Delaware (Vice Chancellor </w:t>
      </w:r>
      <w:r w:rsidRPr="001F43B5">
        <w:rPr>
          <w:rStyle w:val="markedcontent"/>
          <w:rFonts w:ascii="Times New Roman" w:hAnsi="Times New Roman"/>
          <w:sz w:val="24"/>
          <w:szCs w:val="24"/>
        </w:rPr>
        <w:t>Paul A. Fioravanti, Jr.</w:t>
      </w:r>
      <w:r>
        <w:rPr>
          <w:rStyle w:val="markedcontent"/>
          <w:rFonts w:ascii="Times New Roman" w:hAnsi="Times New Roman"/>
          <w:sz w:val="24"/>
          <w:szCs w:val="24"/>
        </w:rPr>
        <w:t xml:space="preserve">) ordered the case back to the Public Employee Relations Board because the city’s final offer only described the new schedule (24/48 schedule with 17 Kelly Days) “as an example” in the Collective Bargaining Agreement. Judge agreed with IAFF that this gave the  Fire Chief inappropriate discretion to change the schedule in future without collective bargaining. </w:t>
      </w:r>
    </w:p>
    <w:p w14:paraId="22E293A2" w14:textId="77777777" w:rsidR="005217D5"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r w:rsidRPr="00C4258E">
        <w:rPr>
          <w:rStyle w:val="markedcontent"/>
          <w:rFonts w:ascii="Times New Roman" w:hAnsi="Times New Roman"/>
          <w:sz w:val="24"/>
          <w:szCs w:val="24"/>
        </w:rPr>
        <w:t xml:space="preserve">The City’s LBFO, however, did not establish a 24/48 schedule. Although the BIA Decision states that the City’s proposal </w:t>
      </w:r>
      <w:r>
        <w:rPr>
          <w:rStyle w:val="markedcontent"/>
          <w:rFonts w:ascii="Times New Roman" w:hAnsi="Times New Roman"/>
          <w:sz w:val="24"/>
          <w:szCs w:val="24"/>
        </w:rPr>
        <w:t>‘</w:t>
      </w:r>
      <w:r w:rsidRPr="00C4258E">
        <w:rPr>
          <w:rStyle w:val="markedcontent"/>
          <w:rFonts w:ascii="Times New Roman" w:hAnsi="Times New Roman"/>
          <w:sz w:val="24"/>
          <w:szCs w:val="24"/>
        </w:rPr>
        <w:t>specifically</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called for a 24/48 schedule to replace the 24/72 schedule, the plain language of the City’s LBFO does not support that construction. The City’s LBFO struck the language from the 2016 CBA that outlined a 24/72 </w:t>
      </w:r>
      <w:proofErr w:type="gramStart"/>
      <w:r w:rsidRPr="00C4258E">
        <w:rPr>
          <w:rStyle w:val="markedcontent"/>
          <w:rFonts w:ascii="Times New Roman" w:hAnsi="Times New Roman"/>
          <w:sz w:val="24"/>
          <w:szCs w:val="24"/>
        </w:rPr>
        <w:t>schedule</w:t>
      </w:r>
      <w:r>
        <w:rPr>
          <w:rStyle w:val="markedcontent"/>
          <w:rFonts w:ascii="Times New Roman" w:hAnsi="Times New Roman"/>
          <w:sz w:val="24"/>
          <w:szCs w:val="24"/>
        </w:rPr>
        <w:t xml:space="preserve">, </w:t>
      </w:r>
      <w:r w:rsidRPr="00C4258E">
        <w:rPr>
          <w:rStyle w:val="markedcontent"/>
          <w:rFonts w:ascii="Times New Roman" w:hAnsi="Times New Roman"/>
          <w:sz w:val="24"/>
          <w:szCs w:val="24"/>
        </w:rPr>
        <w:t>but</w:t>
      </w:r>
      <w:proofErr w:type="gramEnd"/>
      <w:r w:rsidRPr="00C4258E">
        <w:rPr>
          <w:rStyle w:val="markedcontent"/>
          <w:rFonts w:ascii="Times New Roman" w:hAnsi="Times New Roman"/>
          <w:sz w:val="24"/>
          <w:szCs w:val="24"/>
        </w:rPr>
        <w:t xml:space="preserve"> did not replace it with analogous language providing a 24/48 schedule. Tab 4 at 1, 10. Instead, the City’s LBFO </w:t>
      </w:r>
      <w:proofErr w:type="gramStart"/>
      <w:r w:rsidRPr="00C4258E">
        <w:rPr>
          <w:rStyle w:val="markedcontent"/>
          <w:rFonts w:ascii="Times New Roman" w:hAnsi="Times New Roman"/>
          <w:sz w:val="24"/>
          <w:szCs w:val="24"/>
        </w:rPr>
        <w:t>provided that</w:t>
      </w:r>
      <w:proofErr w:type="gramEnd"/>
      <w:r w:rsidRPr="00C4258E">
        <w:rPr>
          <w:rStyle w:val="markedcontent"/>
          <w:rFonts w:ascii="Times New Roman" w:hAnsi="Times New Roman"/>
          <w:sz w:val="24"/>
          <w:szCs w:val="24"/>
        </w:rPr>
        <w:t xml:space="preserve"> firefighters would work a shift of an unspecified length </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as determined off </w:t>
      </w:r>
      <w:r>
        <w:rPr>
          <w:rStyle w:val="markedcontent"/>
          <w:rFonts w:ascii="Times New Roman" w:hAnsi="Times New Roman"/>
          <w:sz w:val="24"/>
          <w:szCs w:val="24"/>
        </w:rPr>
        <w:t>‘</w:t>
      </w:r>
      <w:r w:rsidRPr="00C4258E">
        <w:rPr>
          <w:rStyle w:val="markedcontent"/>
          <w:rFonts w:ascii="Times New Roman" w:hAnsi="Times New Roman"/>
          <w:sz w:val="24"/>
          <w:szCs w:val="24"/>
        </w:rPr>
        <w:t>under a work schedule as established by the Chief of Fire.</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Id. To be sure, the City’s LBFO stated, </w:t>
      </w:r>
      <w:r>
        <w:rPr>
          <w:rStyle w:val="markedcontent"/>
          <w:rFonts w:ascii="Times New Roman" w:hAnsi="Times New Roman"/>
          <w:sz w:val="24"/>
          <w:szCs w:val="24"/>
        </w:rPr>
        <w:t>‘</w:t>
      </w:r>
      <w:r w:rsidRPr="00C4258E">
        <w:rPr>
          <w:rStyle w:val="markedcontent"/>
          <w:rFonts w:ascii="Times New Roman" w:hAnsi="Times New Roman"/>
          <w:sz w:val="24"/>
          <w:szCs w:val="24"/>
        </w:rPr>
        <w:t>[a]s an example,</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that the Chief of Fire could </w:t>
      </w:r>
      <w:r>
        <w:rPr>
          <w:rStyle w:val="markedcontent"/>
          <w:rFonts w:ascii="Times New Roman" w:hAnsi="Times New Roman"/>
          <w:sz w:val="24"/>
          <w:szCs w:val="24"/>
        </w:rPr>
        <w:t>‘</w:t>
      </w:r>
      <w:r w:rsidRPr="00C4258E">
        <w:rPr>
          <w:rStyle w:val="markedcontent"/>
          <w:rFonts w:ascii="Times New Roman" w:hAnsi="Times New Roman"/>
          <w:sz w:val="24"/>
          <w:szCs w:val="24"/>
        </w:rPr>
        <w:t>implement a three[-]platoon system with a Complete Tour of Duty of [24] hours on, followed by [48] hours off.</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Id. at 10. But that schedule is expressly identified only as </w:t>
      </w:r>
      <w:r>
        <w:rPr>
          <w:rStyle w:val="markedcontent"/>
          <w:rFonts w:ascii="Times New Roman" w:hAnsi="Times New Roman"/>
          <w:sz w:val="24"/>
          <w:szCs w:val="24"/>
        </w:rPr>
        <w:t>‘</w:t>
      </w:r>
      <w:r w:rsidRPr="00C4258E">
        <w:rPr>
          <w:rStyle w:val="markedcontent"/>
          <w:rFonts w:ascii="Times New Roman" w:hAnsi="Times New Roman"/>
          <w:sz w:val="24"/>
          <w:szCs w:val="24"/>
        </w:rPr>
        <w:t>an example,</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and the City’s LBFO does not bind the Chief of Fire to any </w:t>
      </w:r>
      <w:proofErr w:type="gramStart"/>
      <w:r w:rsidRPr="00C4258E">
        <w:rPr>
          <w:rStyle w:val="markedcontent"/>
          <w:rFonts w:ascii="Times New Roman" w:hAnsi="Times New Roman"/>
          <w:sz w:val="24"/>
          <w:szCs w:val="24"/>
        </w:rPr>
        <w:t>particular work</w:t>
      </w:r>
      <w:proofErr w:type="gramEnd"/>
      <w:r w:rsidRPr="00C4258E">
        <w:rPr>
          <w:rStyle w:val="markedcontent"/>
          <w:rFonts w:ascii="Times New Roman" w:hAnsi="Times New Roman"/>
          <w:sz w:val="24"/>
          <w:szCs w:val="24"/>
        </w:rPr>
        <w:t xml:space="preserve"> schedule, even from the outset of the new system’s implementation.</w:t>
      </w:r>
      <w:r w:rsidRPr="00C4258E">
        <w:rPr>
          <w:rFonts w:ascii="Times New Roman" w:hAnsi="Times New Roman"/>
          <w:sz w:val="24"/>
          <w:szCs w:val="24"/>
        </w:rPr>
        <w:br/>
      </w:r>
    </w:p>
    <w:p w14:paraId="694667D8" w14:textId="77777777" w:rsidR="005217D5" w:rsidRPr="00C4258E"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p>
    <w:p w14:paraId="69312CCE" w14:textId="4F32F2BD" w:rsidR="005217D5" w:rsidRDefault="005217D5" w:rsidP="005217D5">
      <w:pPr>
        <w:pStyle w:val="NoSpacing"/>
        <w:ind w:left="720"/>
        <w:rPr>
          <w:rStyle w:val="Hyperlink"/>
          <w:sz w:val="24"/>
          <w:szCs w:val="24"/>
        </w:rPr>
      </w:pPr>
      <w:r>
        <w:rPr>
          <w:rStyle w:val="markedcontent"/>
          <w:rFonts w:ascii="Times New Roman" w:hAnsi="Times New Roman"/>
          <w:sz w:val="24"/>
          <w:szCs w:val="24"/>
        </w:rPr>
        <w:t>“</w:t>
      </w:r>
      <w:r w:rsidRPr="001F43B5">
        <w:rPr>
          <w:rStyle w:val="markedcontent"/>
          <w:rFonts w:ascii="Times New Roman" w:hAnsi="Times New Roman"/>
          <w:sz w:val="24"/>
          <w:szCs w:val="24"/>
        </w:rPr>
        <w:t xml:space="preserve">The Executive Director </w:t>
      </w:r>
      <w:r>
        <w:rPr>
          <w:rStyle w:val="markedcontent"/>
          <w:rFonts w:ascii="Times New Roman" w:hAnsi="Times New Roman"/>
          <w:sz w:val="24"/>
          <w:szCs w:val="24"/>
        </w:rPr>
        <w:t xml:space="preserve">[of the PERB] </w:t>
      </w:r>
      <w:r w:rsidRPr="001F43B5">
        <w:rPr>
          <w:rStyle w:val="markedcontent"/>
          <w:rFonts w:ascii="Times New Roman" w:hAnsi="Times New Roman"/>
          <w:sz w:val="24"/>
          <w:szCs w:val="24"/>
        </w:rPr>
        <w:t>erred by performing her statutory analysis only</w:t>
      </w:r>
      <w:r>
        <w:rPr>
          <w:rStyle w:val="markedcontent"/>
          <w:rFonts w:ascii="Times New Roman" w:hAnsi="Times New Roman"/>
          <w:sz w:val="24"/>
          <w:szCs w:val="24"/>
        </w:rPr>
        <w:t xml:space="preserve"> </w:t>
      </w:r>
      <w:r w:rsidRPr="001F43B5">
        <w:rPr>
          <w:rStyle w:val="markedcontent"/>
          <w:rFonts w:ascii="Times New Roman" w:hAnsi="Times New Roman"/>
          <w:sz w:val="24"/>
          <w:szCs w:val="24"/>
        </w:rPr>
        <w:t xml:space="preserve">on the unwritten </w:t>
      </w:r>
      <w:r>
        <w:rPr>
          <w:rStyle w:val="markedcontent"/>
          <w:rFonts w:ascii="Times New Roman" w:hAnsi="Times New Roman"/>
          <w:sz w:val="24"/>
          <w:szCs w:val="24"/>
        </w:rPr>
        <w:t>‘</w:t>
      </w:r>
      <w:r w:rsidRPr="001F43B5">
        <w:rPr>
          <w:rStyle w:val="markedcontent"/>
          <w:rFonts w:ascii="Times New Roman" w:hAnsi="Times New Roman"/>
          <w:sz w:val="24"/>
          <w:szCs w:val="24"/>
        </w:rPr>
        <w:t>essence</w:t>
      </w:r>
      <w:r>
        <w:rPr>
          <w:rStyle w:val="markedcontent"/>
          <w:rFonts w:ascii="Times New Roman" w:hAnsi="Times New Roman"/>
          <w:sz w:val="24"/>
          <w:szCs w:val="24"/>
        </w:rPr>
        <w:t xml:space="preserve">’ </w:t>
      </w:r>
      <w:r w:rsidRPr="001F43B5">
        <w:rPr>
          <w:rStyle w:val="markedcontent"/>
          <w:rFonts w:ascii="Times New Roman" w:hAnsi="Times New Roman"/>
          <w:sz w:val="24"/>
          <w:szCs w:val="24"/>
        </w:rPr>
        <w:t>of the City’s LBFO</w:t>
      </w:r>
      <w:r>
        <w:rPr>
          <w:rStyle w:val="markedcontent"/>
          <w:rFonts w:ascii="Times New Roman" w:hAnsi="Times New Roman"/>
          <w:sz w:val="24"/>
          <w:szCs w:val="24"/>
        </w:rPr>
        <w:t xml:space="preserve"> [Last Best Final Offer]….</w:t>
      </w:r>
      <w:r w:rsidRPr="001F43B5">
        <w:rPr>
          <w:rStyle w:val="markedcontent"/>
          <w:rFonts w:ascii="Times New Roman" w:hAnsi="Times New Roman"/>
          <w:sz w:val="24"/>
          <w:szCs w:val="24"/>
        </w:rPr>
        <w:t>The PERB’s affirmance of the BIA Decision therefore constituted an error as a matter of law. For the foregoing reasons, the PERB’s decision affirming the BIA Decision is hereby reversed. The parties’ dispute is remanded to the PERB for further proceedings consistent with this Order.</w:t>
      </w:r>
      <w:r>
        <w:rPr>
          <w:rStyle w:val="markedcontent"/>
          <w:rFonts w:ascii="Times New Roman" w:hAnsi="Times New Roman"/>
          <w:sz w:val="24"/>
          <w:szCs w:val="24"/>
        </w:rPr>
        <w:t xml:space="preserve">” </w:t>
      </w:r>
      <w:hyperlink r:id="rId2759" w:history="1">
        <w:r w:rsidRPr="002F4BDF">
          <w:rPr>
            <w:rStyle w:val="Hyperlink"/>
            <w:sz w:val="24"/>
            <w:szCs w:val="24"/>
          </w:rPr>
          <w:t>https://perb.delaware.gov/wp-content/uploads/sites/127/2021/07/2020-0765-Order-of-reversal-and-remand-6-28-21-website.pdf</w:t>
        </w:r>
      </w:hyperlink>
    </w:p>
    <w:p w14:paraId="709717EC" w14:textId="6F7D9BB6" w:rsidR="005217D5" w:rsidRDefault="005217D5" w:rsidP="005217D5">
      <w:pPr>
        <w:pStyle w:val="NoSpacing"/>
        <w:ind w:left="720"/>
        <w:rPr>
          <w:rStyle w:val="Hyperlink"/>
          <w:sz w:val="24"/>
          <w:szCs w:val="24"/>
        </w:rPr>
      </w:pPr>
    </w:p>
    <w:p w14:paraId="5CE17FE6" w14:textId="77777777" w:rsidR="005217D5" w:rsidRPr="00C4258E" w:rsidRDefault="005217D5" w:rsidP="005217D5">
      <w:pPr>
        <w:rPr>
          <w:rStyle w:val="markedcontent"/>
          <w:rFonts w:ascii="Times New Roman" w:hAnsi="Times New Roman"/>
          <w:b/>
          <w:bCs/>
          <w:sz w:val="24"/>
          <w:szCs w:val="24"/>
        </w:rPr>
      </w:pPr>
      <w:r w:rsidRPr="00C4258E">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Collective Bargaining Agreements should contain clear and precise language on work schedule, Kelly Days, and minimum manning.</w:t>
      </w:r>
    </w:p>
    <w:p w14:paraId="51F472F8" w14:textId="77777777" w:rsidR="005217D5" w:rsidRPr="00C4258E" w:rsidRDefault="005217D5" w:rsidP="005217D5">
      <w:pPr>
        <w:pStyle w:val="Heading1"/>
        <w:ind w:left="720"/>
        <w:rPr>
          <w:b w:val="0"/>
          <w:bCs w:val="0"/>
          <w:sz w:val="24"/>
          <w:szCs w:val="24"/>
        </w:rPr>
      </w:pPr>
      <w:r w:rsidRPr="00EA0A4B">
        <w:rPr>
          <w:rStyle w:val="markedcontent"/>
          <w:b w:val="0"/>
          <w:bCs w:val="0"/>
          <w:sz w:val="24"/>
          <w:szCs w:val="24"/>
        </w:rPr>
        <w:lastRenderedPageBreak/>
        <w:t xml:space="preserve">Note: See June 30, </w:t>
      </w:r>
      <w:proofErr w:type="gramStart"/>
      <w:r w:rsidRPr="00EA0A4B">
        <w:rPr>
          <w:rStyle w:val="markedcontent"/>
          <w:b w:val="0"/>
          <w:bCs w:val="0"/>
          <w:sz w:val="24"/>
          <w:szCs w:val="24"/>
        </w:rPr>
        <w:t>2021</w:t>
      </w:r>
      <w:proofErr w:type="gramEnd"/>
      <w:r w:rsidRPr="00EA0A4B">
        <w:rPr>
          <w:rStyle w:val="markedcontent"/>
          <w:b w:val="0"/>
          <w:bCs w:val="0"/>
          <w:sz w:val="24"/>
          <w:szCs w:val="24"/>
        </w:rPr>
        <w:t xml:space="preserve"> article:</w:t>
      </w:r>
      <w:r>
        <w:rPr>
          <w:rStyle w:val="markedcontent"/>
          <w:sz w:val="24"/>
          <w:szCs w:val="24"/>
        </w:rPr>
        <w:t xml:space="preserve"> “</w:t>
      </w:r>
      <w:r w:rsidRPr="00C4258E">
        <w:rPr>
          <w:b w:val="0"/>
          <w:bCs w:val="0"/>
          <w:sz w:val="24"/>
          <w:szCs w:val="24"/>
        </w:rPr>
        <w:t>Wilmington firefighters union wins Chancery Court appeal in battle over shift change</w:t>
      </w:r>
      <w:r>
        <w:rPr>
          <w:b w:val="0"/>
          <w:bCs w:val="0"/>
          <w:sz w:val="24"/>
          <w:szCs w:val="24"/>
        </w:rPr>
        <w:t xml:space="preserve">.” </w:t>
      </w:r>
      <w:hyperlink r:id="rId2760" w:history="1">
        <w:r w:rsidRPr="00DB7C29">
          <w:rPr>
            <w:rStyle w:val="Hyperlink"/>
            <w:sz w:val="24"/>
            <w:szCs w:val="24"/>
          </w:rPr>
          <w:t>https://www.wdel.com/news/wilmington-firefighters-union-wins-chancery-court-appeal-in-battle-over-shift-change/article_9402edda-d9b1-11eb-909c-07bcb0bff090.html</w:t>
        </w:r>
      </w:hyperlink>
      <w:r w:rsidRPr="00DB7C29">
        <w:rPr>
          <w:b w:val="0"/>
          <w:bCs w:val="0"/>
          <w:sz w:val="24"/>
          <w:szCs w:val="24"/>
        </w:rPr>
        <w:t xml:space="preserve">  </w:t>
      </w:r>
    </w:p>
    <w:p w14:paraId="29EB7AD2" w14:textId="77777777" w:rsidR="005217D5" w:rsidRPr="005217D5" w:rsidRDefault="005217D5" w:rsidP="005217D5">
      <w:pPr>
        <w:pStyle w:val="Heading2"/>
        <w:ind w:left="720"/>
        <w:rPr>
          <w:rFonts w:ascii="Times New Roman" w:hAnsi="Times New Roman"/>
          <w:b w:val="0"/>
          <w:bCs w:val="0"/>
          <w:i w:val="0"/>
          <w:iCs w:val="0"/>
          <w:sz w:val="24"/>
          <w:szCs w:val="24"/>
        </w:rPr>
      </w:pPr>
      <w:r w:rsidRPr="005217D5">
        <w:rPr>
          <w:rStyle w:val="markedcontent"/>
          <w:rFonts w:ascii="Times New Roman" w:hAnsi="Times New Roman"/>
          <w:b w:val="0"/>
          <w:bCs w:val="0"/>
          <w:i w:val="0"/>
          <w:iCs w:val="0"/>
          <w:sz w:val="24"/>
          <w:szCs w:val="24"/>
        </w:rPr>
        <w:t xml:space="preserve">July 2, </w:t>
      </w:r>
      <w:proofErr w:type="gramStart"/>
      <w:r w:rsidRPr="005217D5">
        <w:rPr>
          <w:rStyle w:val="markedcontent"/>
          <w:rFonts w:ascii="Times New Roman" w:hAnsi="Times New Roman"/>
          <w:b w:val="0"/>
          <w:bCs w:val="0"/>
          <w:i w:val="0"/>
          <w:iCs w:val="0"/>
          <w:sz w:val="24"/>
          <w:szCs w:val="24"/>
        </w:rPr>
        <w:t>2021</w:t>
      </w:r>
      <w:proofErr w:type="gramEnd"/>
      <w:r w:rsidRPr="005217D5">
        <w:rPr>
          <w:rStyle w:val="markedcontent"/>
          <w:rFonts w:ascii="Times New Roman" w:hAnsi="Times New Roman"/>
          <w:b w:val="0"/>
          <w:bCs w:val="0"/>
          <w:i w:val="0"/>
          <w:iCs w:val="0"/>
          <w:sz w:val="24"/>
          <w:szCs w:val="24"/>
        </w:rPr>
        <w:t xml:space="preserve"> article: “</w:t>
      </w:r>
      <w:r w:rsidRPr="005217D5">
        <w:rPr>
          <w:rFonts w:ascii="Times New Roman" w:hAnsi="Times New Roman"/>
          <w:b w:val="0"/>
          <w:bCs w:val="0"/>
          <w:i w:val="0"/>
          <w:iCs w:val="0"/>
          <w:sz w:val="24"/>
          <w:szCs w:val="24"/>
        </w:rPr>
        <w:t xml:space="preserve">Wilmington firefighters union wins Chancery Court appeal in battle over shift change.” </w:t>
      </w:r>
      <w:hyperlink r:id="rId2761" w:history="1">
        <w:r w:rsidRPr="005217D5">
          <w:rPr>
            <w:rStyle w:val="Hyperlink"/>
            <w:rFonts w:ascii="Times New Roman" w:hAnsi="Times New Roman"/>
            <w:b w:val="0"/>
            <w:bCs w:val="0"/>
            <w:i w:val="0"/>
            <w:iCs w:val="0"/>
            <w:sz w:val="24"/>
            <w:szCs w:val="24"/>
          </w:rPr>
          <w:t>https://www.dailydispatch.com/StateNews/DE/2021/July/02/Wilmington.firefighters.union.wins.Chancery.Court.appeal.in.battle.over.shift.change.aspx</w:t>
        </w:r>
      </w:hyperlink>
      <w:r w:rsidRPr="005217D5">
        <w:rPr>
          <w:rFonts w:ascii="Times New Roman" w:hAnsi="Times New Roman"/>
          <w:b w:val="0"/>
          <w:bCs w:val="0"/>
          <w:i w:val="0"/>
          <w:iCs w:val="0"/>
          <w:sz w:val="24"/>
          <w:szCs w:val="24"/>
        </w:rPr>
        <w:t xml:space="preserve"> </w:t>
      </w:r>
    </w:p>
    <w:p w14:paraId="40CB935F" w14:textId="77777777" w:rsidR="005217D5" w:rsidRPr="005217D5" w:rsidRDefault="005217D5" w:rsidP="005217D5">
      <w:pPr>
        <w:pStyle w:val="NoSpacing"/>
        <w:ind w:left="720"/>
        <w:rPr>
          <w:rFonts w:ascii="Times New Roman" w:hAnsi="Times New Roman"/>
          <w:sz w:val="24"/>
          <w:szCs w:val="24"/>
        </w:rPr>
      </w:pPr>
    </w:p>
    <w:p w14:paraId="0F2C13C1" w14:textId="77777777" w:rsidR="005217D5" w:rsidRPr="005217D5" w:rsidRDefault="005217D5" w:rsidP="00F326E5">
      <w:pPr>
        <w:pStyle w:val="NoSpacing"/>
        <w:rPr>
          <w:rFonts w:ascii="Times New Roman" w:hAnsi="Times New Roman"/>
          <w:sz w:val="24"/>
          <w:szCs w:val="24"/>
        </w:rPr>
      </w:pPr>
    </w:p>
    <w:p w14:paraId="28341132" w14:textId="24F2BC3C" w:rsidR="00407100" w:rsidRDefault="007B49E7" w:rsidP="00F326E5">
      <w:pPr>
        <w:pStyle w:val="NoSpacing"/>
        <w:rPr>
          <w:rFonts w:ascii="Arial Black" w:hAnsi="Arial Black"/>
          <w:sz w:val="24"/>
          <w:szCs w:val="24"/>
        </w:rPr>
      </w:pPr>
      <w:r>
        <w:rPr>
          <w:rFonts w:ascii="Arial Black" w:hAnsi="Arial Black"/>
          <w:sz w:val="24"/>
          <w:szCs w:val="24"/>
        </w:rPr>
        <w:t>17-7</w:t>
      </w:r>
    </w:p>
    <w:p w14:paraId="162A1E60" w14:textId="68DC14DA" w:rsidR="007B49E7" w:rsidRDefault="007B49E7" w:rsidP="00F326E5">
      <w:pPr>
        <w:pStyle w:val="NoSpacing"/>
        <w:rPr>
          <w:rFonts w:ascii="Arial Black" w:hAnsi="Arial Black"/>
          <w:sz w:val="24"/>
          <w:szCs w:val="24"/>
        </w:rPr>
      </w:pPr>
    </w:p>
    <w:p w14:paraId="78F363C8" w14:textId="119764C9" w:rsidR="007B49E7" w:rsidRDefault="007B49E7" w:rsidP="007B49E7">
      <w:pPr>
        <w:rPr>
          <w:rFonts w:ascii="Arial Black" w:hAnsi="Arial Black"/>
          <w:sz w:val="28"/>
          <w:szCs w:val="28"/>
        </w:rPr>
      </w:pPr>
      <w:r>
        <w:rPr>
          <w:rFonts w:ascii="Arial Black" w:hAnsi="Arial Black"/>
          <w:sz w:val="28"/>
          <w:szCs w:val="28"/>
        </w:rPr>
        <w:t>IL: MASTERBATING FF - PUBLIC AREA OUTSIDE FIRE STATION – ARBITRATOR REVERSED - TERMINATION UPHELD</w:t>
      </w:r>
    </w:p>
    <w:p w14:paraId="2C47EBAA" w14:textId="77777777" w:rsidR="007B49E7" w:rsidRDefault="007B49E7" w:rsidP="007B49E7">
      <w:pPr>
        <w:rPr>
          <w:rFonts w:ascii="Times New Roman" w:hAnsi="Times New Roman"/>
          <w:sz w:val="24"/>
          <w:szCs w:val="24"/>
        </w:rPr>
      </w:pPr>
      <w:r>
        <w:rPr>
          <w:rFonts w:ascii="Times New Roman" w:hAnsi="Times New Roman"/>
          <w:sz w:val="24"/>
          <w:szCs w:val="24"/>
        </w:rPr>
        <w:t xml:space="preserve">On Oct. 2, 2020, in </w:t>
      </w:r>
      <w:r w:rsidRPr="00E3069C">
        <w:rPr>
          <w:rFonts w:ascii="Times New Roman" w:hAnsi="Times New Roman"/>
          <w:sz w:val="24"/>
          <w:szCs w:val="24"/>
          <w:u w:val="single"/>
        </w:rPr>
        <w:t>City of Chicago v. Chicago Fire Fighters Union, Local No. 2, and James Gray</w:t>
      </w:r>
      <w:r>
        <w:rPr>
          <w:rFonts w:ascii="Times New Roman" w:hAnsi="Times New Roman"/>
          <w:sz w:val="24"/>
          <w:szCs w:val="24"/>
        </w:rPr>
        <w:t xml:space="preserve">, Judge Celia Gamrath, Circuit Court of Cook County, Illinois (Chancery Division), granted the City’s motion to vacate the Arbitrator’s decision to reinstate the firefighter.  </w:t>
      </w:r>
    </w:p>
    <w:p w14:paraId="5E28A3E9" w14:textId="77777777" w:rsidR="007B49E7" w:rsidRDefault="007B49E7" w:rsidP="007B49E7">
      <w:pPr>
        <w:ind w:left="720"/>
        <w:rPr>
          <w:bCs/>
        </w:rPr>
      </w:pPr>
      <w:r>
        <w:rPr>
          <w:rFonts w:ascii="Times New Roman" w:hAnsi="Times New Roman"/>
          <w:sz w:val="24"/>
          <w:szCs w:val="24"/>
        </w:rPr>
        <w:t>“</w:t>
      </w:r>
      <w:r w:rsidRPr="00E3069C">
        <w:rPr>
          <w:rFonts w:ascii="Times New Roman" w:hAnsi="Times New Roman"/>
          <w:sz w:val="24"/>
          <w:szCs w:val="24"/>
        </w:rPr>
        <w:t xml:space="preserve">Ultimately, this Court is charged with determining whether (1) there is a public policy against sexual harassment in the workplace, and (2) whether </w:t>
      </w:r>
      <w:r>
        <w:rPr>
          <w:rFonts w:ascii="Times New Roman" w:hAnsi="Times New Roman"/>
          <w:sz w:val="24"/>
          <w:szCs w:val="24"/>
        </w:rPr>
        <w:t xml:space="preserve">[Arbitrator] </w:t>
      </w:r>
      <w:proofErr w:type="spellStart"/>
      <w:r w:rsidRPr="00E3069C">
        <w:rPr>
          <w:rFonts w:ascii="Times New Roman" w:hAnsi="Times New Roman"/>
          <w:sz w:val="24"/>
          <w:szCs w:val="24"/>
        </w:rPr>
        <w:t>Roumell's</w:t>
      </w:r>
      <w:proofErr w:type="spellEnd"/>
      <w:r w:rsidRPr="00E3069C">
        <w:rPr>
          <w:rFonts w:ascii="Times New Roman" w:hAnsi="Times New Roman"/>
          <w:sz w:val="24"/>
          <w:szCs w:val="24"/>
        </w:rPr>
        <w:t xml:space="preserve"> Award and Supplemental Award violated said public policy by mandating the reinstatement of an employee who, by the arbitrator's o\ m findings, engaged in viewing pornography, exposed himself, and masturbated while at work, capable of being seen by passersby.</w:t>
      </w:r>
      <w:r>
        <w:rPr>
          <w:rFonts w:ascii="Times New Roman" w:hAnsi="Times New Roman"/>
          <w:sz w:val="24"/>
          <w:szCs w:val="24"/>
        </w:rPr>
        <w:t xml:space="preserve"> </w:t>
      </w:r>
      <w:r w:rsidRPr="00E3069C">
        <w:rPr>
          <w:rFonts w:ascii="Times New Roman" w:hAnsi="Times New Roman"/>
          <w:sz w:val="24"/>
          <w:szCs w:val="24"/>
        </w:rPr>
        <w:t xml:space="preserve">Despite </w:t>
      </w:r>
      <w:proofErr w:type="spellStart"/>
      <w:r w:rsidRPr="00E3069C">
        <w:rPr>
          <w:rFonts w:ascii="Times New Roman" w:hAnsi="Times New Roman"/>
          <w:sz w:val="24"/>
          <w:szCs w:val="24"/>
        </w:rPr>
        <w:t>Roumell's</w:t>
      </w:r>
      <w:proofErr w:type="spellEnd"/>
      <w:r w:rsidRPr="00E3069C">
        <w:rPr>
          <w:rFonts w:ascii="Times New Roman" w:hAnsi="Times New Roman"/>
          <w:sz w:val="24"/>
          <w:szCs w:val="24"/>
        </w:rPr>
        <w:t xml:space="preserve"> reliance on the Dr. O'Grady letter as demonstrative of the unlikelihood that Gray would repeat this behavior again, the fact of the matter is that Gray's actions, spanning years, were acts of sexual harassment that alienated his coworkers and created a hostile work environment. The arbitrator's decision to essentially impose no discipline and to reinstate Gray with full seniority is incongruous with the dominant public policy against sexual harassment in the workp</w:t>
      </w:r>
      <w:r>
        <w:rPr>
          <w:rFonts w:ascii="Times New Roman" w:hAnsi="Times New Roman"/>
          <w:sz w:val="24"/>
          <w:szCs w:val="24"/>
        </w:rPr>
        <w:t>l</w:t>
      </w:r>
      <w:r w:rsidRPr="00E3069C">
        <w:rPr>
          <w:rFonts w:ascii="Times New Roman" w:hAnsi="Times New Roman"/>
          <w:sz w:val="24"/>
          <w:szCs w:val="24"/>
        </w:rPr>
        <w:t>ace. It also has the impermissible effect of eviscerating the City's ability to take appropriate actions to enforce this clear and dominant public policy and prevent and discourage future acts of harassment.</w:t>
      </w:r>
      <w:r>
        <w:rPr>
          <w:rFonts w:ascii="Times New Roman" w:hAnsi="Times New Roman"/>
          <w:sz w:val="24"/>
          <w:szCs w:val="24"/>
        </w:rPr>
        <w:t xml:space="preserve">” </w:t>
      </w:r>
    </w:p>
    <w:p w14:paraId="5825029A" w14:textId="77777777" w:rsidR="007B49E7" w:rsidRPr="004267A1" w:rsidRDefault="007B49E7" w:rsidP="007B49E7">
      <w:pPr>
        <w:pStyle w:val="NormalWeb"/>
        <w:jc w:val="center"/>
        <w:rPr>
          <w:bCs/>
        </w:rPr>
      </w:pPr>
      <w:hyperlink r:id="rId2762" w:history="1">
        <w:r w:rsidRPr="00E10E69">
          <w:rPr>
            <w:rStyle w:val="Hyperlink"/>
            <w:bCs/>
          </w:rPr>
          <w:t>file:///C:/Users/lawre/AppData/Local/Temp/%7BC42BFBAC-7840-4BDD-BFF7-18D383BA9C81%7D/19%20CH%2012662%20City%20of%20Chicago%20v.%20Chicago%20Fire%20Fighters%20Union%20Final%20Order%20(12.2.20).pdf</w:t>
        </w:r>
      </w:hyperlink>
      <w:r w:rsidRPr="004267A1">
        <w:rPr>
          <w:bCs/>
        </w:rPr>
        <w:t xml:space="preserve"> </w:t>
      </w:r>
    </w:p>
    <w:p w14:paraId="1EE1A96F" w14:textId="77777777" w:rsidR="007B49E7" w:rsidRPr="00FA5981" w:rsidRDefault="007B49E7" w:rsidP="007B49E7">
      <w:pPr>
        <w:pStyle w:val="NormalWeb"/>
        <w:rPr>
          <w:b/>
        </w:rPr>
      </w:pPr>
      <w:r w:rsidRPr="00FA5981">
        <w:rPr>
          <w:b/>
        </w:rPr>
        <w:t>Legal Lesson Learned:</w:t>
      </w:r>
      <w:r>
        <w:rPr>
          <w:b/>
        </w:rPr>
        <w:t xml:space="preserve"> Report this type of conduct immediately; urge FF to seek help through EAP or other psychological care. </w:t>
      </w:r>
    </w:p>
    <w:p w14:paraId="5E18D013" w14:textId="77777777" w:rsidR="007B49E7" w:rsidRDefault="007B49E7" w:rsidP="00F326E5">
      <w:pPr>
        <w:pStyle w:val="NoSpacing"/>
        <w:rPr>
          <w:rFonts w:ascii="Arial Black" w:hAnsi="Arial Black"/>
          <w:sz w:val="24"/>
          <w:szCs w:val="24"/>
        </w:rPr>
      </w:pPr>
    </w:p>
    <w:p w14:paraId="2A4EA7CF" w14:textId="77777777" w:rsidR="007B49E7" w:rsidRDefault="007B49E7" w:rsidP="00F326E5">
      <w:pPr>
        <w:pStyle w:val="NoSpacing"/>
        <w:rPr>
          <w:rFonts w:ascii="Arial Black" w:hAnsi="Arial Black"/>
          <w:sz w:val="24"/>
          <w:szCs w:val="24"/>
        </w:rPr>
      </w:pPr>
    </w:p>
    <w:p w14:paraId="5E1EDF12" w14:textId="77777777" w:rsidR="007B49E7" w:rsidRDefault="007B49E7" w:rsidP="00F326E5">
      <w:pPr>
        <w:pStyle w:val="NoSpacing"/>
        <w:rPr>
          <w:rFonts w:ascii="Arial Black" w:hAnsi="Arial Black"/>
          <w:sz w:val="24"/>
          <w:szCs w:val="24"/>
        </w:rPr>
      </w:pPr>
    </w:p>
    <w:p w14:paraId="70AF7EB3" w14:textId="26888339" w:rsidR="00B532F6" w:rsidRDefault="00B532F6" w:rsidP="00F326E5">
      <w:pPr>
        <w:pStyle w:val="NoSpacing"/>
        <w:rPr>
          <w:rFonts w:ascii="Arial Black" w:hAnsi="Arial Black"/>
          <w:sz w:val="24"/>
          <w:szCs w:val="24"/>
        </w:rPr>
      </w:pPr>
      <w:r>
        <w:rPr>
          <w:rFonts w:ascii="Arial Black" w:hAnsi="Arial Black"/>
          <w:sz w:val="24"/>
          <w:szCs w:val="24"/>
        </w:rPr>
        <w:t>17-6</w:t>
      </w:r>
    </w:p>
    <w:p w14:paraId="5E639729" w14:textId="2DAAEE6A" w:rsidR="00B532F6" w:rsidRDefault="00B532F6" w:rsidP="00F326E5">
      <w:pPr>
        <w:pStyle w:val="NoSpacing"/>
        <w:rPr>
          <w:rFonts w:ascii="Arial Black" w:hAnsi="Arial Black"/>
          <w:sz w:val="24"/>
          <w:szCs w:val="24"/>
        </w:rPr>
      </w:pPr>
    </w:p>
    <w:p w14:paraId="56E7774E" w14:textId="77777777" w:rsidR="00B532F6" w:rsidRPr="006E50D9" w:rsidRDefault="00B532F6" w:rsidP="00B532F6">
      <w:pPr>
        <w:rPr>
          <w:rFonts w:ascii="Arial Black" w:hAnsi="Arial Black"/>
          <w:sz w:val="28"/>
          <w:szCs w:val="28"/>
        </w:rPr>
      </w:pPr>
      <w:r w:rsidRPr="006E50D9">
        <w:rPr>
          <w:rFonts w:ascii="Arial Black" w:hAnsi="Arial Black"/>
          <w:sz w:val="28"/>
          <w:szCs w:val="28"/>
        </w:rPr>
        <w:lastRenderedPageBreak/>
        <w:t>OR: $25M BUDGET SHORTFALL – UNION PRES. AGREED TO STAFFING, CHANGES - 26 FF JOBS SAVED – UNFAIR LABOR CHARGE DISMISSED</w:t>
      </w:r>
    </w:p>
    <w:p w14:paraId="08D8D43D" w14:textId="77777777" w:rsidR="00B532F6" w:rsidRPr="000B00E6" w:rsidRDefault="00B532F6" w:rsidP="00B532F6">
      <w:pPr>
        <w:pStyle w:val="NoSpacing"/>
        <w:rPr>
          <w:rFonts w:ascii="Times New Roman" w:hAnsi="Times New Roman"/>
          <w:sz w:val="24"/>
          <w:szCs w:val="24"/>
        </w:rPr>
      </w:pPr>
      <w:r>
        <w:rPr>
          <w:rFonts w:ascii="Times New Roman" w:hAnsi="Times New Roman"/>
          <w:sz w:val="24"/>
          <w:szCs w:val="24"/>
        </w:rPr>
        <w:t xml:space="preserve">On Sept. 24, 2020, in </w:t>
      </w:r>
      <w:r w:rsidRPr="00323A71">
        <w:rPr>
          <w:rFonts w:ascii="Times New Roman" w:hAnsi="Times New Roman"/>
          <w:sz w:val="24"/>
          <w:szCs w:val="24"/>
          <w:u w:val="single"/>
        </w:rPr>
        <w:t>Portland Fire Firefighters’ Association, IAFF Local 43 v. City of Portland</w:t>
      </w:r>
      <w:r>
        <w:rPr>
          <w:rFonts w:ascii="Times New Roman" w:hAnsi="Times New Roman"/>
          <w:sz w:val="24"/>
          <w:szCs w:val="24"/>
        </w:rPr>
        <w:t xml:space="preserve">, the Employment Relations Board of the State of Oregon, held that union is bound by its agreement not to file contest to budget cuts and eliminating Dive Team, transferring Safety Chief and Chief Investigator to management positions, and other management changes. </w:t>
      </w:r>
      <w:r w:rsidRPr="000B00E6">
        <w:rPr>
          <w:rFonts w:ascii="Times New Roman" w:hAnsi="Times New Roman"/>
          <w:sz w:val="24"/>
          <w:szCs w:val="24"/>
        </w:rPr>
        <w:t xml:space="preserve">The </w:t>
      </w:r>
      <w:r>
        <w:rPr>
          <w:rFonts w:ascii="Times New Roman" w:hAnsi="Times New Roman"/>
          <w:sz w:val="24"/>
          <w:szCs w:val="24"/>
        </w:rPr>
        <w:t xml:space="preserve">FD </w:t>
      </w:r>
      <w:r w:rsidRPr="000B00E6">
        <w:rPr>
          <w:rFonts w:ascii="Times New Roman" w:hAnsi="Times New Roman"/>
          <w:sz w:val="24"/>
          <w:szCs w:val="24"/>
        </w:rPr>
        <w:t xml:space="preserve">developed its proposed budget through a budgetary advisory committee (BAC). The Union's president, </w:t>
      </w:r>
      <w:r>
        <w:rPr>
          <w:rFonts w:ascii="Times New Roman" w:hAnsi="Times New Roman"/>
          <w:sz w:val="24"/>
          <w:szCs w:val="24"/>
        </w:rPr>
        <w:t xml:space="preserve">Alan </w:t>
      </w:r>
      <w:r w:rsidRPr="000B00E6">
        <w:rPr>
          <w:rFonts w:ascii="Times New Roman" w:hAnsi="Times New Roman"/>
          <w:sz w:val="24"/>
          <w:szCs w:val="24"/>
        </w:rPr>
        <w:t>Ferschweiler, served on the BAC.</w:t>
      </w:r>
      <w:r>
        <w:rPr>
          <w:rFonts w:ascii="Times New Roman" w:hAnsi="Times New Roman"/>
          <w:sz w:val="24"/>
          <w:szCs w:val="24"/>
        </w:rPr>
        <w:t xml:space="preserve"> </w:t>
      </w:r>
      <w:r w:rsidRPr="000B00E6">
        <w:rPr>
          <w:rFonts w:ascii="Times New Roman" w:hAnsi="Times New Roman"/>
          <w:sz w:val="24"/>
          <w:szCs w:val="24"/>
        </w:rPr>
        <w:t xml:space="preserve">Between May 9 and approximately May 23, </w:t>
      </w:r>
      <w:proofErr w:type="gramStart"/>
      <w:r>
        <w:rPr>
          <w:rFonts w:ascii="Times New Roman" w:hAnsi="Times New Roman"/>
          <w:sz w:val="24"/>
          <w:szCs w:val="24"/>
        </w:rPr>
        <w:t>2013</w:t>
      </w:r>
      <w:proofErr w:type="gramEnd"/>
      <w:r>
        <w:rPr>
          <w:rFonts w:ascii="Times New Roman" w:hAnsi="Times New Roman"/>
          <w:sz w:val="24"/>
          <w:szCs w:val="24"/>
        </w:rPr>
        <w:t xml:space="preserve"> </w:t>
      </w:r>
      <w:r w:rsidRPr="000B00E6">
        <w:rPr>
          <w:rFonts w:ascii="Times New Roman" w:hAnsi="Times New Roman"/>
          <w:sz w:val="24"/>
          <w:szCs w:val="24"/>
        </w:rPr>
        <w:t>Ferschweiler met three times with Siegel, the mayor's budget liaison, to discuss and negotiate how the Bureau would implement the budget cuts, including consideration of the availability of a federal grant (the SAFER grant) that might fill budget gaps. Fire Chief Janssens attended one of those meetings.</w:t>
      </w:r>
    </w:p>
    <w:p w14:paraId="0152E707" w14:textId="77777777" w:rsidR="00B532F6" w:rsidRDefault="00B532F6" w:rsidP="00B532F6">
      <w:pPr>
        <w:pStyle w:val="NoSpacing"/>
        <w:rPr>
          <w:rFonts w:ascii="Times New Roman" w:hAnsi="Times New Roman"/>
          <w:sz w:val="24"/>
          <w:szCs w:val="24"/>
        </w:rPr>
      </w:pPr>
    </w:p>
    <w:p w14:paraId="6475BA3A" w14:textId="77777777" w:rsidR="00B532F6" w:rsidRDefault="00B532F6" w:rsidP="00B532F6">
      <w:pPr>
        <w:pStyle w:val="NoSpacing"/>
        <w:ind w:left="720"/>
        <w:rPr>
          <w:rFonts w:ascii="Times New Roman" w:hAnsi="Times New Roman"/>
          <w:sz w:val="24"/>
          <w:szCs w:val="24"/>
        </w:rPr>
      </w:pPr>
      <w:r>
        <w:rPr>
          <w:rFonts w:ascii="Times New Roman" w:hAnsi="Times New Roman"/>
          <w:sz w:val="24"/>
          <w:szCs w:val="24"/>
        </w:rPr>
        <w:t>“</w:t>
      </w:r>
      <w:r w:rsidRPr="006B1711">
        <w:rPr>
          <w:rFonts w:ascii="Times New Roman" w:hAnsi="Times New Roman"/>
          <w:sz w:val="24"/>
          <w:szCs w:val="24"/>
        </w:rPr>
        <w:t xml:space="preserve">Thus, the City and the Union agreed to the following terms: (1) two double companies would be consolidated into single companies with each station's truck and engine being replaced with a quint; (2) two additional RRVs </w:t>
      </w:r>
      <w:r>
        <w:rPr>
          <w:rFonts w:ascii="Times New Roman" w:hAnsi="Times New Roman"/>
          <w:sz w:val="24"/>
          <w:szCs w:val="24"/>
        </w:rPr>
        <w:t xml:space="preserve">[Rapid Response Vehicles] </w:t>
      </w:r>
      <w:r w:rsidRPr="006B1711">
        <w:rPr>
          <w:rFonts w:ascii="Times New Roman" w:hAnsi="Times New Roman"/>
          <w:sz w:val="24"/>
          <w:szCs w:val="24"/>
        </w:rPr>
        <w:t>would be added (for a total of four); (3) the Union would not oppose or contest these changes; (4) the bargaining unit members would retain their COLA; (5) all stations would be kept open; and (6) the City would apply for the SAFER grant, notwithstanding the mayor's earlier concern that a short-term funding mechanism was merely a "band-aid," with the understanding that receiving the grant would prevent 26 bargaining unit members from being laid off.</w:t>
      </w:r>
    </w:p>
    <w:p w14:paraId="1376363D" w14:textId="77777777" w:rsidR="00B532F6" w:rsidRDefault="00B532F6" w:rsidP="00B532F6">
      <w:pPr>
        <w:pStyle w:val="NoSpacing"/>
        <w:ind w:left="720"/>
        <w:rPr>
          <w:rFonts w:ascii="Times New Roman" w:hAnsi="Times New Roman"/>
          <w:sz w:val="24"/>
          <w:szCs w:val="24"/>
        </w:rPr>
      </w:pPr>
    </w:p>
    <w:p w14:paraId="390B8812" w14:textId="77777777" w:rsidR="00B532F6" w:rsidRDefault="00B532F6" w:rsidP="00B532F6">
      <w:pPr>
        <w:pStyle w:val="NoSpacing"/>
        <w:ind w:left="720"/>
        <w:rPr>
          <w:rFonts w:ascii="Times New Roman" w:hAnsi="Times New Roman"/>
          <w:sz w:val="24"/>
          <w:szCs w:val="24"/>
        </w:rPr>
      </w:pPr>
      <w:r>
        <w:rPr>
          <w:rFonts w:ascii="Times New Roman" w:hAnsi="Times New Roman"/>
          <w:sz w:val="24"/>
          <w:szCs w:val="24"/>
        </w:rPr>
        <w:t>***</w:t>
      </w:r>
    </w:p>
    <w:p w14:paraId="0A6FE013" w14:textId="77777777" w:rsidR="00B532F6" w:rsidRDefault="00B532F6" w:rsidP="00B532F6">
      <w:pPr>
        <w:pStyle w:val="NoSpacing"/>
        <w:ind w:left="720"/>
        <w:rPr>
          <w:rFonts w:ascii="Times New Roman" w:hAnsi="Times New Roman"/>
          <w:sz w:val="24"/>
          <w:szCs w:val="24"/>
        </w:rPr>
      </w:pPr>
    </w:p>
    <w:p w14:paraId="00F401F6" w14:textId="77777777" w:rsidR="00B532F6" w:rsidRDefault="00B532F6" w:rsidP="00B532F6">
      <w:pPr>
        <w:pStyle w:val="NoSpacing"/>
        <w:ind w:left="720"/>
        <w:rPr>
          <w:rFonts w:ascii="Times New Roman" w:hAnsi="Times New Roman"/>
          <w:sz w:val="24"/>
          <w:szCs w:val="24"/>
        </w:rPr>
      </w:pPr>
      <w:r w:rsidRPr="006B1711">
        <w:rPr>
          <w:rFonts w:ascii="Times New Roman" w:hAnsi="Times New Roman"/>
          <w:sz w:val="24"/>
          <w:szCs w:val="24"/>
        </w:rPr>
        <w:t>The Union never requested to bargain about any of the operational changes agreed to above, which are also the subject of this unfair labor practice complaint.</w:t>
      </w:r>
    </w:p>
    <w:p w14:paraId="2BFBF1AA" w14:textId="77777777" w:rsidR="00B532F6" w:rsidRDefault="00B532F6" w:rsidP="00B532F6">
      <w:pPr>
        <w:pStyle w:val="NoSpacing"/>
        <w:ind w:left="720"/>
        <w:rPr>
          <w:rFonts w:ascii="Times New Roman" w:hAnsi="Times New Roman"/>
          <w:sz w:val="24"/>
          <w:szCs w:val="24"/>
        </w:rPr>
      </w:pPr>
    </w:p>
    <w:p w14:paraId="7B72E28B" w14:textId="77777777" w:rsidR="00B532F6" w:rsidRDefault="00B532F6" w:rsidP="00B532F6">
      <w:pPr>
        <w:pStyle w:val="NoSpacing"/>
        <w:ind w:left="720"/>
        <w:rPr>
          <w:rFonts w:ascii="Times New Roman" w:hAnsi="Times New Roman"/>
          <w:sz w:val="24"/>
          <w:szCs w:val="24"/>
        </w:rPr>
      </w:pPr>
      <w:r>
        <w:rPr>
          <w:rFonts w:ascii="Times New Roman" w:hAnsi="Times New Roman"/>
          <w:sz w:val="24"/>
          <w:szCs w:val="24"/>
        </w:rPr>
        <w:t>***</w:t>
      </w:r>
    </w:p>
    <w:p w14:paraId="0169E766" w14:textId="77777777" w:rsidR="00B532F6" w:rsidRDefault="00B532F6" w:rsidP="00B532F6">
      <w:pPr>
        <w:pStyle w:val="NoSpacing"/>
        <w:ind w:left="720"/>
        <w:rPr>
          <w:rFonts w:ascii="Times New Roman" w:hAnsi="Times New Roman"/>
          <w:sz w:val="24"/>
          <w:szCs w:val="24"/>
        </w:rPr>
      </w:pPr>
      <w:r w:rsidRPr="006B1711">
        <w:rPr>
          <w:rFonts w:ascii="Times New Roman" w:hAnsi="Times New Roman"/>
          <w:sz w:val="24"/>
          <w:szCs w:val="24"/>
        </w:rPr>
        <w:t xml:space="preserve">Finally, we disagree with any contention that the Union should prevail on a (1)(e) unilateral change claim where the Union agreed not to contest those unilateral changes. Rather, as set forth above, we conclude that such an express action precludes the filing of </w:t>
      </w:r>
      <w:proofErr w:type="gramStart"/>
      <w:r w:rsidRPr="006B1711">
        <w:rPr>
          <w:rFonts w:ascii="Times New Roman" w:hAnsi="Times New Roman"/>
          <w:sz w:val="24"/>
          <w:szCs w:val="24"/>
        </w:rPr>
        <w:t>a (1)(e)</w:t>
      </w:r>
      <w:proofErr w:type="gramEnd"/>
      <w:r w:rsidRPr="006B1711">
        <w:rPr>
          <w:rFonts w:ascii="Times New Roman" w:hAnsi="Times New Roman"/>
          <w:sz w:val="24"/>
          <w:szCs w:val="24"/>
        </w:rPr>
        <w:t xml:space="preserve"> unilateral change claim. In reaching this conclusion, we reiterate that, unlike other budget discussions, the agreement here included a Union agreement not to contest the specific operational changes that are now the bases for the (1)(e) claim.</w:t>
      </w:r>
      <w:r>
        <w:rPr>
          <w:rFonts w:ascii="Times New Roman" w:hAnsi="Times New Roman"/>
          <w:sz w:val="24"/>
          <w:szCs w:val="24"/>
        </w:rPr>
        <w:t>”</w:t>
      </w:r>
    </w:p>
    <w:p w14:paraId="56DED758" w14:textId="77777777" w:rsidR="00B532F6" w:rsidRPr="00C7458A" w:rsidRDefault="00B532F6" w:rsidP="00B532F6">
      <w:pPr>
        <w:ind w:left="720"/>
        <w:rPr>
          <w:rFonts w:ascii="Times New Roman" w:eastAsia="Times New Roman" w:hAnsi="Times New Roman"/>
          <w:sz w:val="24"/>
          <w:szCs w:val="24"/>
        </w:rPr>
      </w:pPr>
      <w:hyperlink r:id="rId2763" w:history="1">
        <w:r w:rsidRPr="00C7458A">
          <w:rPr>
            <w:rStyle w:val="Hyperlink"/>
            <w:rFonts w:ascii="Times New Roman" w:eastAsia="Times New Roman" w:hAnsi="Times New Roman"/>
            <w:sz w:val="24"/>
            <w:szCs w:val="24"/>
          </w:rPr>
          <w:t>https://public.fastcase.com/Wl%2B2t%2BeVuI35%2FN70vAMFZl7A1gE73iKGMMI%2FPLrMqXgHwn%2FVp9h90PlANd5CkjNU</w:t>
        </w:r>
      </w:hyperlink>
      <w:r w:rsidRPr="00C7458A">
        <w:rPr>
          <w:rFonts w:ascii="Times New Roman" w:eastAsia="Times New Roman" w:hAnsi="Times New Roman"/>
          <w:sz w:val="24"/>
          <w:szCs w:val="24"/>
        </w:rPr>
        <w:t xml:space="preserve"> </w:t>
      </w:r>
    </w:p>
    <w:p w14:paraId="21F2E384" w14:textId="77777777" w:rsidR="00B532F6" w:rsidRPr="006B1711" w:rsidRDefault="00B532F6" w:rsidP="00B532F6">
      <w:pPr>
        <w:rPr>
          <w:rFonts w:ascii="Times New Roman" w:hAnsi="Times New Roman"/>
          <w:b/>
          <w:bCs/>
          <w:sz w:val="24"/>
          <w:szCs w:val="24"/>
        </w:rPr>
      </w:pPr>
      <w:r w:rsidRPr="006B1711">
        <w:rPr>
          <w:rFonts w:ascii="Times New Roman" w:hAnsi="Times New Roman"/>
          <w:b/>
          <w:bCs/>
          <w:sz w:val="24"/>
          <w:szCs w:val="24"/>
        </w:rPr>
        <w:t xml:space="preserve">Legal Lessons Learned: </w:t>
      </w:r>
      <w:r>
        <w:rPr>
          <w:rFonts w:ascii="Times New Roman" w:hAnsi="Times New Roman"/>
          <w:b/>
          <w:bCs/>
          <w:sz w:val="24"/>
          <w:szCs w:val="24"/>
        </w:rPr>
        <w:t xml:space="preserve"> Unfair Labor Practice complaint properly dismissed; Union President was active participant in budget process. </w:t>
      </w:r>
    </w:p>
    <w:p w14:paraId="11892F47" w14:textId="77777777" w:rsidR="00B532F6" w:rsidRDefault="00B532F6" w:rsidP="00F326E5">
      <w:pPr>
        <w:pStyle w:val="NoSpacing"/>
        <w:rPr>
          <w:rFonts w:ascii="Arial Black" w:hAnsi="Arial Black"/>
          <w:sz w:val="24"/>
          <w:szCs w:val="24"/>
        </w:rPr>
      </w:pPr>
    </w:p>
    <w:p w14:paraId="6DC91CF0" w14:textId="77777777" w:rsidR="00B532F6" w:rsidRDefault="00B532F6" w:rsidP="00F326E5">
      <w:pPr>
        <w:pStyle w:val="NoSpacing"/>
        <w:rPr>
          <w:rFonts w:ascii="Arial Black" w:hAnsi="Arial Black"/>
          <w:sz w:val="24"/>
          <w:szCs w:val="24"/>
        </w:rPr>
      </w:pPr>
    </w:p>
    <w:p w14:paraId="692E6A21" w14:textId="179C99E8" w:rsidR="0003275C" w:rsidRDefault="0003275C" w:rsidP="00F326E5">
      <w:pPr>
        <w:pStyle w:val="NoSpacing"/>
        <w:rPr>
          <w:rFonts w:ascii="Arial Black" w:hAnsi="Arial Black"/>
          <w:sz w:val="24"/>
          <w:szCs w:val="24"/>
        </w:rPr>
      </w:pPr>
      <w:r>
        <w:rPr>
          <w:rFonts w:ascii="Arial Black" w:hAnsi="Arial Black"/>
          <w:sz w:val="24"/>
          <w:szCs w:val="24"/>
        </w:rPr>
        <w:t>17-5</w:t>
      </w:r>
    </w:p>
    <w:p w14:paraId="196596E2" w14:textId="695A1246" w:rsidR="0003275C" w:rsidRDefault="0003275C" w:rsidP="00F326E5">
      <w:pPr>
        <w:pStyle w:val="NoSpacing"/>
        <w:rPr>
          <w:rFonts w:ascii="Arial Black" w:hAnsi="Arial Black"/>
          <w:sz w:val="24"/>
          <w:szCs w:val="24"/>
        </w:rPr>
      </w:pPr>
    </w:p>
    <w:p w14:paraId="105DF025" w14:textId="77777777" w:rsidR="0003275C" w:rsidRDefault="0003275C" w:rsidP="0003275C">
      <w:pPr>
        <w:pStyle w:val="NoSpacing"/>
        <w:rPr>
          <w:rFonts w:ascii="Arial Black" w:hAnsi="Arial Black"/>
          <w:sz w:val="28"/>
          <w:szCs w:val="28"/>
        </w:rPr>
      </w:pPr>
      <w:bookmarkStart w:id="634" w:name="_Hlk66950562"/>
      <w:r>
        <w:rPr>
          <w:rFonts w:ascii="Arial Black" w:hAnsi="Arial Black"/>
          <w:sz w:val="28"/>
          <w:szCs w:val="28"/>
        </w:rPr>
        <w:t>NJ</w:t>
      </w:r>
      <w:r w:rsidRPr="002E3EF7">
        <w:rPr>
          <w:rFonts w:ascii="Arial Black" w:hAnsi="Arial Black"/>
          <w:sz w:val="28"/>
          <w:szCs w:val="28"/>
        </w:rPr>
        <w:t xml:space="preserve">: </w:t>
      </w:r>
      <w:r>
        <w:rPr>
          <w:rFonts w:ascii="Arial Black" w:hAnsi="Arial Black"/>
          <w:sz w:val="28"/>
          <w:szCs w:val="28"/>
        </w:rPr>
        <w:t>FD REORGANIZED - 4 NEW LT. POSITIONS – REVERSED ARBITRATOR – NOT ENTITLED TO “ACTING CAPTAIN” PAY</w:t>
      </w:r>
    </w:p>
    <w:p w14:paraId="7ED270C9" w14:textId="77777777" w:rsidR="0003275C" w:rsidRDefault="0003275C" w:rsidP="0003275C">
      <w:pPr>
        <w:pStyle w:val="NoSpacing"/>
        <w:rPr>
          <w:rFonts w:ascii="Times New Roman" w:hAnsi="Times New Roman"/>
          <w:sz w:val="24"/>
          <w:szCs w:val="24"/>
        </w:rPr>
      </w:pPr>
    </w:p>
    <w:p w14:paraId="622679BA" w14:textId="7840484B" w:rsidR="0003275C" w:rsidRDefault="0003275C" w:rsidP="0003275C">
      <w:pPr>
        <w:pStyle w:val="NoSpacing"/>
        <w:rPr>
          <w:rFonts w:ascii="Times New Roman" w:hAnsi="Times New Roman"/>
          <w:sz w:val="24"/>
          <w:szCs w:val="24"/>
        </w:rPr>
      </w:pPr>
      <w:r w:rsidRPr="00002A3F">
        <w:rPr>
          <w:rFonts w:ascii="Times New Roman" w:hAnsi="Times New Roman"/>
          <w:sz w:val="24"/>
          <w:szCs w:val="24"/>
        </w:rPr>
        <w:t xml:space="preserve">On </w:t>
      </w:r>
      <w:r>
        <w:rPr>
          <w:rFonts w:ascii="Times New Roman" w:hAnsi="Times New Roman"/>
          <w:sz w:val="24"/>
          <w:szCs w:val="24"/>
        </w:rPr>
        <w:t xml:space="preserve">June 25, 2020, in </w:t>
      </w:r>
      <w:r w:rsidRPr="00002A3F">
        <w:rPr>
          <w:rFonts w:ascii="Times New Roman" w:hAnsi="Times New Roman"/>
          <w:sz w:val="24"/>
          <w:szCs w:val="24"/>
          <w:u w:val="single"/>
        </w:rPr>
        <w:t>Borough of Carteret v. Firefighters Mutual Benefit Association, Local 67</w:t>
      </w:r>
      <w:r>
        <w:rPr>
          <w:rFonts w:ascii="Times New Roman" w:hAnsi="Times New Roman"/>
          <w:sz w:val="24"/>
          <w:szCs w:val="24"/>
        </w:rPr>
        <w:t xml:space="preserve">,  the Superior Court of New Jersey, Appellate Division held (2 to 0; unpublished decision) that the trial judge improperly </w:t>
      </w:r>
      <w:r>
        <w:rPr>
          <w:rFonts w:ascii="Times New Roman" w:hAnsi="Times New Roman"/>
          <w:sz w:val="24"/>
          <w:szCs w:val="24"/>
        </w:rPr>
        <w:lastRenderedPageBreak/>
        <w:t xml:space="preserve">upheld the Arbitrator’s award of “acting Captain” back pay to the four Lieutenants.  Under the Collective Bargaining Agreement in effect when the Lieutenants were hired, senior firefighters who filled in for Captains were paid the </w:t>
      </w:r>
      <w:proofErr w:type="gramStart"/>
      <w:r>
        <w:rPr>
          <w:rFonts w:ascii="Times New Roman" w:hAnsi="Times New Roman"/>
          <w:sz w:val="24"/>
          <w:szCs w:val="24"/>
        </w:rPr>
        <w:t>Captains</w:t>
      </w:r>
      <w:proofErr w:type="gramEnd"/>
      <w:r>
        <w:rPr>
          <w:rFonts w:ascii="Times New Roman" w:hAnsi="Times New Roman"/>
          <w:sz w:val="24"/>
          <w:szCs w:val="24"/>
        </w:rPr>
        <w:t xml:space="preserve"> hourly rate.  When the Union filed the Grievance, the four new Lieutenants have been working for the past four years on the Lieutenant’s pay ($1,500 per year above FF pay) and never requested “Acting Captain” pay when fulfilling a Captain’s shift duties. The Court held, “</w:t>
      </w:r>
      <w:r w:rsidRPr="00A362F1">
        <w:rPr>
          <w:rFonts w:ascii="Times New Roman" w:hAnsi="Times New Roman"/>
          <w:sz w:val="24"/>
          <w:szCs w:val="24"/>
        </w:rPr>
        <w:t xml:space="preserve">It is not insignificant the arbitrator rejected the Borough's </w:t>
      </w:r>
      <w:r>
        <w:rPr>
          <w:rFonts w:ascii="Times New Roman" w:hAnsi="Times New Roman"/>
          <w:sz w:val="24"/>
          <w:szCs w:val="24"/>
        </w:rPr>
        <w:t>‘</w:t>
      </w:r>
      <w:r w:rsidRPr="00A362F1">
        <w:rPr>
          <w:rFonts w:ascii="Times New Roman" w:hAnsi="Times New Roman"/>
          <w:sz w:val="24"/>
          <w:szCs w:val="24"/>
        </w:rPr>
        <w:t>past practice</w:t>
      </w:r>
      <w:r>
        <w:rPr>
          <w:rFonts w:ascii="Times New Roman" w:hAnsi="Times New Roman"/>
          <w:sz w:val="24"/>
          <w:szCs w:val="24"/>
        </w:rPr>
        <w:t>’</w:t>
      </w:r>
      <w:r w:rsidRPr="00A362F1">
        <w:rPr>
          <w:rFonts w:ascii="Times New Roman" w:hAnsi="Times New Roman"/>
          <w:sz w:val="24"/>
          <w:szCs w:val="24"/>
        </w:rPr>
        <w:t xml:space="preserve"> argument and gave virtually no consideration to the lieutenants performing their job duties, including acting in the place of a fire captain in his or her absence, for four years without a request for any pay beyond that to </w:t>
      </w:r>
    </w:p>
    <w:p w14:paraId="7918B320" w14:textId="77777777" w:rsidR="0003275C" w:rsidRDefault="0003275C" w:rsidP="0003275C">
      <w:pPr>
        <w:pStyle w:val="NoSpacing"/>
        <w:rPr>
          <w:rFonts w:ascii="Times New Roman" w:eastAsia="Times New Roman" w:hAnsi="Times New Roman"/>
          <w:b/>
          <w:bCs/>
          <w:sz w:val="24"/>
          <w:szCs w:val="24"/>
        </w:rPr>
      </w:pPr>
      <w:r w:rsidRPr="00A362F1">
        <w:rPr>
          <w:rFonts w:ascii="Times New Roman" w:hAnsi="Times New Roman"/>
          <w:sz w:val="24"/>
          <w:szCs w:val="24"/>
        </w:rPr>
        <w:t>which they were entitled</w:t>
      </w:r>
      <w:r>
        <w:rPr>
          <w:rFonts w:ascii="Times New Roman" w:hAnsi="Times New Roman"/>
          <w:sz w:val="24"/>
          <w:szCs w:val="24"/>
        </w:rPr>
        <w:t xml:space="preserve"> </w:t>
      </w:r>
      <w:r w:rsidRPr="00A362F1">
        <w:rPr>
          <w:rFonts w:ascii="Times New Roman" w:hAnsi="Times New Roman"/>
          <w:sz w:val="24"/>
          <w:szCs w:val="24"/>
        </w:rPr>
        <w:t>under</w:t>
      </w:r>
      <w:r>
        <w:rPr>
          <w:rFonts w:ascii="Times New Roman" w:hAnsi="Times New Roman"/>
          <w:sz w:val="24"/>
          <w:szCs w:val="24"/>
        </w:rPr>
        <w:t xml:space="preserve"> </w:t>
      </w:r>
      <w:r w:rsidRPr="00A362F1">
        <w:rPr>
          <w:rFonts w:ascii="Times New Roman" w:hAnsi="Times New Roman"/>
          <w:sz w:val="24"/>
          <w:szCs w:val="24"/>
        </w:rPr>
        <w:t>the Borough's salary ordinance.</w:t>
      </w:r>
      <w:r>
        <w:rPr>
          <w:rFonts w:ascii="Times New Roman" w:hAnsi="Times New Roman"/>
          <w:sz w:val="24"/>
          <w:szCs w:val="24"/>
        </w:rPr>
        <w:t xml:space="preserve">” </w:t>
      </w:r>
      <w:hyperlink r:id="rId2764" w:history="1">
        <w:r w:rsidRPr="006B0F65">
          <w:rPr>
            <w:rStyle w:val="Hyperlink"/>
            <w:rFonts w:ascii="Times New Roman" w:hAnsi="Times New Roman"/>
            <w:sz w:val="24"/>
            <w:szCs w:val="24"/>
          </w:rPr>
          <w:t>https://njcourts.gov/attorneys/assets/opinions/appellate/unpublished/a2277-18.pdf</w:t>
        </w:r>
      </w:hyperlink>
      <w:r>
        <w:rPr>
          <w:rFonts w:ascii="Times New Roman" w:hAnsi="Times New Roman"/>
          <w:sz w:val="24"/>
          <w:szCs w:val="24"/>
        </w:rPr>
        <w:t xml:space="preserve"> </w:t>
      </w:r>
    </w:p>
    <w:p w14:paraId="3F7BEDC8" w14:textId="77777777" w:rsidR="0003275C" w:rsidRDefault="0003275C" w:rsidP="00F326E5">
      <w:pPr>
        <w:pStyle w:val="NoSpacing"/>
        <w:rPr>
          <w:rFonts w:ascii="Arial Black" w:hAnsi="Arial Black"/>
          <w:sz w:val="24"/>
          <w:szCs w:val="24"/>
        </w:rPr>
      </w:pPr>
    </w:p>
    <w:p w14:paraId="49C4AC30" w14:textId="77777777" w:rsidR="0003275C" w:rsidRPr="00BF19C3" w:rsidRDefault="0003275C" w:rsidP="0003275C">
      <w:pPr>
        <w:pStyle w:val="NoSpacing"/>
        <w:tabs>
          <w:tab w:val="left" w:pos="2800"/>
        </w:tabs>
        <w:rPr>
          <w:rFonts w:ascii="Times New Roman" w:hAnsi="Times New Roman"/>
          <w:b/>
          <w:bCs/>
        </w:rPr>
      </w:pPr>
      <w:r w:rsidRPr="00BF19C3">
        <w:rPr>
          <w:rFonts w:ascii="Times New Roman" w:hAnsi="Times New Roman"/>
          <w:b/>
          <w:bCs/>
        </w:rPr>
        <w:t>Legal Lessons Learned</w:t>
      </w:r>
      <w:r>
        <w:rPr>
          <w:rFonts w:ascii="Times New Roman" w:hAnsi="Times New Roman"/>
          <w:b/>
          <w:bCs/>
        </w:rPr>
        <w:t xml:space="preserve">: If FD is reorganizing with new Lieutenant positions, negotiate an amended Collective Bargaining Agreement so that the City, the Union and all personal have a clear agreement on the pay and duties of the new Lieutenants, and whether they are eligible for “Acting Captain” pay. </w:t>
      </w:r>
    </w:p>
    <w:bookmarkEnd w:id="634"/>
    <w:p w14:paraId="06F0F33D" w14:textId="221F4F99" w:rsidR="0003275C" w:rsidRDefault="0003275C" w:rsidP="00F326E5">
      <w:pPr>
        <w:pStyle w:val="NoSpacing"/>
        <w:rPr>
          <w:rFonts w:ascii="Arial Black" w:hAnsi="Arial Black"/>
          <w:sz w:val="24"/>
          <w:szCs w:val="24"/>
        </w:rPr>
      </w:pPr>
    </w:p>
    <w:p w14:paraId="263D6179" w14:textId="1BD11DF9" w:rsidR="0003275C" w:rsidRDefault="0003275C" w:rsidP="00F326E5">
      <w:pPr>
        <w:pStyle w:val="NoSpacing"/>
        <w:rPr>
          <w:rFonts w:ascii="Arial Black" w:hAnsi="Arial Black"/>
          <w:sz w:val="24"/>
          <w:szCs w:val="24"/>
        </w:rPr>
      </w:pPr>
    </w:p>
    <w:p w14:paraId="4077AA15" w14:textId="77777777" w:rsidR="0003275C" w:rsidRDefault="0003275C" w:rsidP="00F326E5">
      <w:pPr>
        <w:pStyle w:val="NoSpacing"/>
        <w:rPr>
          <w:rFonts w:ascii="Arial Black" w:hAnsi="Arial Black"/>
          <w:sz w:val="24"/>
          <w:szCs w:val="24"/>
        </w:rPr>
      </w:pPr>
    </w:p>
    <w:p w14:paraId="43BB32A5" w14:textId="34AA5E50" w:rsidR="00407100" w:rsidRDefault="00407100" w:rsidP="00F326E5">
      <w:pPr>
        <w:pStyle w:val="NoSpacing"/>
        <w:rPr>
          <w:rFonts w:ascii="Arial Black" w:hAnsi="Arial Black"/>
          <w:sz w:val="24"/>
          <w:szCs w:val="24"/>
        </w:rPr>
      </w:pPr>
      <w:bookmarkStart w:id="635" w:name="_Hlk66950624"/>
      <w:r>
        <w:rPr>
          <w:rFonts w:ascii="Arial Black" w:hAnsi="Arial Black"/>
          <w:sz w:val="24"/>
          <w:szCs w:val="24"/>
        </w:rPr>
        <w:t>17-4</w:t>
      </w:r>
    </w:p>
    <w:p w14:paraId="5171C576" w14:textId="77777777" w:rsidR="00407100" w:rsidRPr="00714787" w:rsidRDefault="00407100" w:rsidP="00407100">
      <w:pPr>
        <w:pStyle w:val="NormalWeb"/>
        <w:rPr>
          <w:rFonts w:ascii="Arial Black" w:hAnsi="Arial Black" w:cs="Arial"/>
          <w:sz w:val="28"/>
          <w:szCs w:val="28"/>
        </w:rPr>
      </w:pPr>
      <w:bookmarkStart w:id="636" w:name="_Hlk39773193"/>
      <w:r w:rsidRPr="00714787">
        <w:rPr>
          <w:rFonts w:ascii="Arial Black" w:hAnsi="Arial Black" w:cs="Arial"/>
          <w:sz w:val="28"/>
          <w:szCs w:val="28"/>
        </w:rPr>
        <w:t xml:space="preserve">TX: </w:t>
      </w:r>
      <w:r>
        <w:rPr>
          <w:rFonts w:ascii="Arial Black" w:hAnsi="Arial Black" w:cs="Arial"/>
          <w:sz w:val="28"/>
          <w:szCs w:val="28"/>
        </w:rPr>
        <w:t xml:space="preserve">HOUSTON FD – 3 FFs FAILED PARAMEDIC SCHOOL – FIRED, NO ADMIN APPEAL - ARBITRATOR ORDERS RE-HIRED </w:t>
      </w:r>
    </w:p>
    <w:p w14:paraId="67D89F3B" w14:textId="7CD72420" w:rsidR="00407100" w:rsidRDefault="00407100" w:rsidP="00407100">
      <w:pPr>
        <w:pStyle w:val="NormalWeb"/>
      </w:pPr>
      <w:r w:rsidRPr="007D12E1">
        <w:t xml:space="preserve">On </w:t>
      </w:r>
      <w:bookmarkStart w:id="637" w:name="_Hlk39860160"/>
      <w:r>
        <w:t xml:space="preserve">March 31, 2020, in </w:t>
      </w:r>
      <w:r w:rsidRPr="007D12E1">
        <w:rPr>
          <w:u w:val="single"/>
        </w:rPr>
        <w:t>City of Houston v. Houston Professional Fire Fighters’ Association, Local 341</w:t>
      </w:r>
      <w:bookmarkEnd w:id="637"/>
      <w:r>
        <w:t>, the Texas Fourteenth Court of Appeals held (3 to 0) that the trial court properly upheld the Arbitrator’s decision.  The grievance was filed after the FD in 2014 for the first time fired three permanent, non-probationary firefighters without an administrative appeal “f</w:t>
      </w:r>
      <w:r w:rsidRPr="007D12E1">
        <w:t>or failure to achieve paramedic certification.</w:t>
      </w:r>
      <w:r>
        <w:t xml:space="preserve">”  The arbitrator held that the grievance was filed timely, that the FD changed </w:t>
      </w:r>
      <w:proofErr w:type="gramStart"/>
      <w:r>
        <w:t>a working condition</w:t>
      </w:r>
      <w:proofErr w:type="gramEnd"/>
      <w:r>
        <w:t xml:space="preserve"> in breach of the CBA, and the appropriate remedy was reinstatement </w:t>
      </w:r>
      <w:proofErr w:type="gramStart"/>
      <w:r>
        <w:t>of</w:t>
      </w:r>
      <w:proofErr w:type="gramEnd"/>
      <w:r>
        <w:t xml:space="preserve"> three firefighters. </w:t>
      </w:r>
    </w:p>
    <w:bookmarkEnd w:id="635"/>
    <w:p w14:paraId="352B192E" w14:textId="5BC830B3" w:rsidR="00407100" w:rsidRDefault="00407100" w:rsidP="00407100">
      <w:pPr>
        <w:pStyle w:val="NoSpacing"/>
        <w:ind w:left="720"/>
        <w:rPr>
          <w:rStyle w:val="Hyperlink"/>
          <w:rFonts w:ascii="Times New Roman" w:hAnsi="Times New Roman"/>
          <w:sz w:val="24"/>
          <w:szCs w:val="24"/>
        </w:rPr>
      </w:pPr>
      <w:r w:rsidRPr="00407100">
        <w:rPr>
          <w:rFonts w:ascii="Times New Roman" w:hAnsi="Times New Roman"/>
          <w:sz w:val="24"/>
          <w:szCs w:val="24"/>
        </w:rPr>
        <w:t xml:space="preserve">“The City asserts the arbitrator had no jurisdiction to order reinstatement of the terminated employees because the CBA did not specifically grant the arbitrator the authority to reinstate…. Texas courts likewise have reached the conclusion that ‘an arbitrator has broad discretion in fashioning an appropriate remedy.’ Forest Oil Corp. v. El </w:t>
      </w:r>
      <w:proofErr w:type="spellStart"/>
      <w:r w:rsidRPr="00407100">
        <w:rPr>
          <w:rFonts w:ascii="Times New Roman" w:hAnsi="Times New Roman"/>
          <w:sz w:val="24"/>
          <w:szCs w:val="24"/>
        </w:rPr>
        <w:t>Rucio</w:t>
      </w:r>
      <w:proofErr w:type="spellEnd"/>
      <w:r w:rsidRPr="00407100">
        <w:rPr>
          <w:rFonts w:ascii="Times New Roman" w:hAnsi="Times New Roman"/>
          <w:sz w:val="24"/>
          <w:szCs w:val="24"/>
        </w:rPr>
        <w:t xml:space="preserve"> Land &amp; Cattle Co., Inc., 446 S.W.3d 58, 82 (Tex. App.—Houston [1st Dist.] 2014), aff’d,518 S.W.3d 422 (Tex. 2017); see </w:t>
      </w:r>
      <w:proofErr w:type="spellStart"/>
      <w:r w:rsidRPr="00407100">
        <w:rPr>
          <w:rFonts w:ascii="Times New Roman" w:hAnsi="Times New Roman"/>
          <w:sz w:val="24"/>
          <w:szCs w:val="24"/>
        </w:rPr>
        <w:t>Daniewicz</w:t>
      </w:r>
      <w:proofErr w:type="spellEnd"/>
      <w:r w:rsidRPr="00407100">
        <w:rPr>
          <w:rFonts w:ascii="Times New Roman" w:hAnsi="Times New Roman"/>
          <w:sz w:val="24"/>
          <w:szCs w:val="24"/>
        </w:rPr>
        <w:t xml:space="preserve"> v. </w:t>
      </w:r>
      <w:proofErr w:type="spellStart"/>
      <w:r w:rsidRPr="00407100">
        <w:rPr>
          <w:rFonts w:ascii="Times New Roman" w:hAnsi="Times New Roman"/>
          <w:sz w:val="24"/>
          <w:szCs w:val="24"/>
        </w:rPr>
        <w:t>Thermo</w:t>
      </w:r>
      <w:proofErr w:type="spellEnd"/>
      <w:r w:rsidRPr="00407100">
        <w:rPr>
          <w:rFonts w:ascii="Times New Roman" w:hAnsi="Times New Roman"/>
          <w:sz w:val="24"/>
          <w:szCs w:val="24"/>
        </w:rPr>
        <w:t xml:space="preserve"> Instrument Sys., Inc., 992 S.W.2d 713, 718 (Tex. App.—Austin 1999, pet. denied</w:t>
      </w:r>
      <w:proofErr w:type="gramStart"/>
      <w:r w:rsidRPr="00407100">
        <w:rPr>
          <w:rFonts w:ascii="Times New Roman" w:hAnsi="Times New Roman"/>
          <w:sz w:val="24"/>
          <w:szCs w:val="24"/>
        </w:rPr>
        <w:t>)(‘</w:t>
      </w:r>
      <w:proofErr w:type="gramEnd"/>
      <w:r w:rsidRPr="00407100">
        <w:rPr>
          <w:rFonts w:ascii="Times New Roman" w:hAnsi="Times New Roman"/>
          <w:sz w:val="24"/>
          <w:szCs w:val="24"/>
        </w:rPr>
        <w:t>[A]</w:t>
      </w:r>
      <w:proofErr w:type="spellStart"/>
      <w:r w:rsidRPr="00407100">
        <w:rPr>
          <w:rFonts w:ascii="Times New Roman" w:hAnsi="Times New Roman"/>
          <w:sz w:val="24"/>
          <w:szCs w:val="24"/>
        </w:rPr>
        <w:t>rbitrators</w:t>
      </w:r>
      <w:proofErr w:type="spellEnd"/>
      <w:r w:rsidRPr="00407100">
        <w:rPr>
          <w:rFonts w:ascii="Times New Roman" w:hAnsi="Times New Roman"/>
          <w:sz w:val="24"/>
          <w:szCs w:val="24"/>
        </w:rPr>
        <w:t xml:space="preserve"> have traditionally enjoyed broad leeway to fashion remedies.’). In the CBA, the parties do not prohibit reinstatement as a remedy. The common-law grounds for vacating an arbitration award are exceedingly narrow and do not include an arbitrator’s error in applying the law. See Jefferson </w:t>
      </w:r>
      <w:proofErr w:type="spellStart"/>
      <w:r w:rsidRPr="00407100">
        <w:rPr>
          <w:rFonts w:ascii="Times New Roman" w:hAnsi="Times New Roman"/>
          <w:sz w:val="24"/>
          <w:szCs w:val="24"/>
        </w:rPr>
        <w:t>Cty</w:t>
      </w:r>
      <w:proofErr w:type="spellEnd"/>
      <w:r w:rsidRPr="00407100">
        <w:rPr>
          <w:rFonts w:ascii="Times New Roman" w:hAnsi="Times New Roman"/>
          <w:sz w:val="24"/>
          <w:szCs w:val="24"/>
        </w:rPr>
        <w:t xml:space="preserve">., 546 S.W.3d at 674.We conclude that the arbitrator did not exceed her authority in ordering reinstatement of the terminated employees.” </w:t>
      </w:r>
      <w:bookmarkStart w:id="638" w:name="_Hlk39860179"/>
      <w:bookmarkStart w:id="639" w:name="_Hlk66950656"/>
      <w:r w:rsidR="00B0089C">
        <w:fldChar w:fldCharType="begin"/>
      </w:r>
      <w:r w:rsidR="00B0089C">
        <w:instrText xml:space="preserve"> HYPERLINK "http://www.search.txcourts.gov/SearchMedia.aspx?MediaVersionID=626f97ca-ee1f-49a9-84b9-cd95d90130e2&amp;MediaID=cb138ca2-8cd7-449e-b059-6b73f43cbe76&amp;coa=%22%20+%20this.CurrentWebState.CurrentCourt%20+%20@%22&amp;DT=Opinion" </w:instrText>
      </w:r>
      <w:r w:rsidR="00B0089C">
        <w:fldChar w:fldCharType="separate"/>
      </w:r>
      <w:r w:rsidRPr="00407100">
        <w:rPr>
          <w:rStyle w:val="Hyperlink"/>
          <w:rFonts w:ascii="Times New Roman" w:hAnsi="Times New Roman"/>
          <w:sz w:val="24"/>
          <w:szCs w:val="24"/>
        </w:rPr>
        <w:t>http://www.search.txcourts.gov/SearchMedia.aspx?MediaVersionID=626f97ca-ee1f-49a9-84b9-cd95d90130e2&amp;MediaID=cb138ca2-8cd7-449e-b059-6b73f43cbe76&amp;coa=%22%20+%20this.CurrentWebState.CurrentCourt%20+%20@%22&amp;DT=Opinion</w:t>
      </w:r>
      <w:r w:rsidR="00B0089C">
        <w:rPr>
          <w:rStyle w:val="Hyperlink"/>
          <w:rFonts w:ascii="Times New Roman" w:hAnsi="Times New Roman"/>
          <w:sz w:val="24"/>
          <w:szCs w:val="24"/>
        </w:rPr>
        <w:fldChar w:fldCharType="end"/>
      </w:r>
    </w:p>
    <w:bookmarkEnd w:id="636"/>
    <w:p w14:paraId="2A013931" w14:textId="0BFBD170" w:rsidR="00407100" w:rsidRDefault="00407100" w:rsidP="00407100">
      <w:pPr>
        <w:pStyle w:val="NoSpacing"/>
        <w:ind w:left="720"/>
        <w:rPr>
          <w:rStyle w:val="Hyperlink"/>
          <w:rFonts w:ascii="Times New Roman" w:hAnsi="Times New Roman"/>
          <w:sz w:val="24"/>
          <w:szCs w:val="24"/>
        </w:rPr>
      </w:pPr>
    </w:p>
    <w:p w14:paraId="1868A896" w14:textId="77777777" w:rsidR="00407100" w:rsidRPr="00EE7DDA" w:rsidRDefault="00407100" w:rsidP="00407100">
      <w:pPr>
        <w:pStyle w:val="NoSpacing"/>
        <w:rPr>
          <w:rFonts w:ascii="Times New Roman" w:hAnsi="Times New Roman"/>
          <w:b/>
          <w:bCs/>
          <w:sz w:val="24"/>
          <w:szCs w:val="24"/>
        </w:rPr>
      </w:pPr>
      <w:bookmarkStart w:id="640" w:name="_Hlk40517172"/>
      <w:bookmarkEnd w:id="638"/>
      <w:r w:rsidRPr="00EE7DDA">
        <w:rPr>
          <w:rFonts w:ascii="Times New Roman" w:hAnsi="Times New Roman"/>
          <w:b/>
          <w:bCs/>
          <w:sz w:val="24"/>
          <w:szCs w:val="24"/>
        </w:rPr>
        <w:t xml:space="preserve">Legal Lessons Learned: Arbitrators have broad authority to determine timeliness of </w:t>
      </w:r>
      <w:proofErr w:type="gramStart"/>
      <w:r w:rsidRPr="00EE7DDA">
        <w:rPr>
          <w:rFonts w:ascii="Times New Roman" w:hAnsi="Times New Roman"/>
          <w:b/>
          <w:bCs/>
          <w:sz w:val="24"/>
          <w:szCs w:val="24"/>
        </w:rPr>
        <w:t>a grievance</w:t>
      </w:r>
      <w:proofErr w:type="gramEnd"/>
      <w:r w:rsidRPr="00EE7DDA">
        <w:rPr>
          <w:rFonts w:ascii="Times New Roman" w:hAnsi="Times New Roman"/>
          <w:b/>
          <w:bCs/>
          <w:sz w:val="24"/>
          <w:szCs w:val="24"/>
        </w:rPr>
        <w:t xml:space="preserve">, and appropriate remedy for breach of CBA. </w:t>
      </w:r>
    </w:p>
    <w:bookmarkEnd w:id="639"/>
    <w:bookmarkEnd w:id="640"/>
    <w:p w14:paraId="569E77D9" w14:textId="77777777" w:rsidR="00407100" w:rsidRPr="00407100" w:rsidRDefault="00407100" w:rsidP="00407100">
      <w:pPr>
        <w:pStyle w:val="NoSpacing"/>
        <w:ind w:left="720"/>
        <w:rPr>
          <w:rFonts w:ascii="Times New Roman" w:hAnsi="Times New Roman"/>
          <w:sz w:val="24"/>
          <w:szCs w:val="24"/>
        </w:rPr>
      </w:pPr>
    </w:p>
    <w:p w14:paraId="2EB103C6" w14:textId="77777777" w:rsidR="00407100" w:rsidRDefault="00407100" w:rsidP="00F326E5">
      <w:pPr>
        <w:pStyle w:val="NoSpacing"/>
        <w:rPr>
          <w:rFonts w:ascii="Arial Black" w:hAnsi="Arial Black"/>
          <w:sz w:val="24"/>
          <w:szCs w:val="24"/>
        </w:rPr>
      </w:pPr>
    </w:p>
    <w:p w14:paraId="72AF88B5" w14:textId="3EFDEE70" w:rsidR="007A1E7A" w:rsidRDefault="007A1E7A" w:rsidP="00F326E5">
      <w:pPr>
        <w:pStyle w:val="NoSpacing"/>
        <w:rPr>
          <w:rFonts w:ascii="Arial Black" w:hAnsi="Arial Black"/>
          <w:sz w:val="24"/>
          <w:szCs w:val="24"/>
        </w:rPr>
      </w:pPr>
      <w:r>
        <w:rPr>
          <w:rFonts w:ascii="Arial Black" w:hAnsi="Arial Black"/>
          <w:sz w:val="24"/>
          <w:szCs w:val="24"/>
        </w:rPr>
        <w:t>17-3</w:t>
      </w:r>
    </w:p>
    <w:p w14:paraId="44BC6CD3" w14:textId="5660370E" w:rsidR="007A1E7A" w:rsidRDefault="007A1E7A" w:rsidP="007A1E7A">
      <w:pPr>
        <w:spacing w:before="100" w:beforeAutospacing="1" w:after="100" w:afterAutospacing="1" w:line="240" w:lineRule="auto"/>
        <w:rPr>
          <w:rFonts w:ascii="Arial Black" w:hAnsi="Arial Black"/>
          <w:sz w:val="28"/>
          <w:szCs w:val="28"/>
        </w:rPr>
      </w:pPr>
      <w:bookmarkStart w:id="641" w:name="_Hlk39773254"/>
      <w:r>
        <w:rPr>
          <w:rFonts w:ascii="Arial Black" w:hAnsi="Arial Black"/>
          <w:sz w:val="28"/>
          <w:szCs w:val="28"/>
        </w:rPr>
        <w:lastRenderedPageBreak/>
        <w:t xml:space="preserve">OH: COLUMBUS FD SOUGHT TO CONVERT NUMEROUS FD JOBS </w:t>
      </w:r>
      <w:r w:rsidR="00407100">
        <w:rPr>
          <w:rFonts w:ascii="Arial Black" w:hAnsi="Arial Black"/>
          <w:sz w:val="28"/>
          <w:szCs w:val="28"/>
        </w:rPr>
        <w:t xml:space="preserve">TO </w:t>
      </w:r>
      <w:r>
        <w:rPr>
          <w:rFonts w:ascii="Arial Black" w:hAnsi="Arial Black"/>
          <w:sz w:val="28"/>
          <w:szCs w:val="28"/>
        </w:rPr>
        <w:t xml:space="preserve">“CIVIL” POSITIONS - LOCAL 67 </w:t>
      </w:r>
      <w:proofErr w:type="gramStart"/>
      <w:r>
        <w:rPr>
          <w:rFonts w:ascii="Arial Black" w:hAnsi="Arial Black"/>
          <w:sz w:val="28"/>
          <w:szCs w:val="28"/>
        </w:rPr>
        <w:t>GRIEVANCE</w:t>
      </w:r>
      <w:proofErr w:type="gramEnd"/>
      <w:r>
        <w:rPr>
          <w:rFonts w:ascii="Arial Black" w:hAnsi="Arial Black"/>
          <w:sz w:val="28"/>
          <w:szCs w:val="28"/>
        </w:rPr>
        <w:t xml:space="preserve"> UPHELD</w:t>
      </w:r>
    </w:p>
    <w:p w14:paraId="0BA7AF1A" w14:textId="77777777" w:rsidR="007A1E7A" w:rsidRPr="004B30C8" w:rsidRDefault="007A1E7A" w:rsidP="007A1E7A">
      <w:pPr>
        <w:spacing w:before="100" w:beforeAutospacing="1" w:after="100" w:afterAutospacing="1" w:line="240" w:lineRule="auto"/>
        <w:rPr>
          <w:rFonts w:ascii="Times New Roman" w:hAnsi="Times New Roman"/>
          <w:sz w:val="24"/>
          <w:szCs w:val="24"/>
        </w:rPr>
      </w:pPr>
      <w:r w:rsidRPr="004B30C8">
        <w:rPr>
          <w:rFonts w:ascii="Times New Roman" w:hAnsi="Times New Roman"/>
          <w:sz w:val="24"/>
          <w:szCs w:val="24"/>
        </w:rPr>
        <w:t xml:space="preserve">On </w:t>
      </w:r>
      <w:bookmarkStart w:id="642" w:name="_Hlk39860957"/>
      <w:r w:rsidRPr="004B30C8">
        <w:rPr>
          <w:rFonts w:ascii="Times New Roman" w:hAnsi="Times New Roman"/>
          <w:sz w:val="24"/>
          <w:szCs w:val="24"/>
        </w:rPr>
        <w:t xml:space="preserve">Feb. 4, 2020, in </w:t>
      </w:r>
      <w:r w:rsidRPr="004B30C8">
        <w:rPr>
          <w:rFonts w:ascii="Times New Roman" w:hAnsi="Times New Roman"/>
          <w:sz w:val="24"/>
          <w:szCs w:val="24"/>
          <w:u w:val="single"/>
        </w:rPr>
        <w:t>City of Columbus v. IAFF Local 67</w:t>
      </w:r>
      <w:bookmarkEnd w:id="642"/>
      <w:r w:rsidRPr="004B30C8">
        <w:rPr>
          <w:rFonts w:ascii="Times New Roman" w:hAnsi="Times New Roman"/>
          <w:sz w:val="24"/>
          <w:szCs w:val="24"/>
        </w:rPr>
        <w:t xml:space="preserve">, the Ohio Court of Appeals </w:t>
      </w:r>
      <w:proofErr w:type="gramStart"/>
      <w:r w:rsidRPr="004B30C8">
        <w:rPr>
          <w:rFonts w:ascii="Times New Roman" w:hAnsi="Times New Roman"/>
          <w:sz w:val="24"/>
          <w:szCs w:val="24"/>
        </w:rPr>
        <w:t>For</w:t>
      </w:r>
      <w:proofErr w:type="gramEnd"/>
      <w:r w:rsidRPr="004B30C8">
        <w:rPr>
          <w:rFonts w:ascii="Times New Roman" w:hAnsi="Times New Roman"/>
          <w:sz w:val="24"/>
          <w:szCs w:val="24"/>
        </w:rPr>
        <w:t xml:space="preserve"> Tenth District, held (3 to 0) </w:t>
      </w:r>
      <w:proofErr w:type="gramStart"/>
      <w:r w:rsidRPr="004B30C8">
        <w:rPr>
          <w:rFonts w:ascii="Times New Roman" w:hAnsi="Times New Roman"/>
          <w:sz w:val="24"/>
          <w:szCs w:val="24"/>
        </w:rPr>
        <w:t>affirmed</w:t>
      </w:r>
      <w:proofErr w:type="gramEnd"/>
      <w:r w:rsidRPr="004B30C8">
        <w:rPr>
          <w:rFonts w:ascii="Times New Roman" w:hAnsi="Times New Roman"/>
          <w:sz w:val="24"/>
          <w:szCs w:val="24"/>
        </w:rPr>
        <w:t xml:space="preserve"> the decision of the Franklin County Court of Common Pleas judge  upholding the arbitrator’s decision in favor of Local 67. </w:t>
      </w:r>
      <w:r w:rsidRPr="004B30C8">
        <w:rPr>
          <w:rFonts w:ascii="Times New Roman" w:hAnsi="Times New Roman"/>
          <w:sz w:val="24"/>
          <w:szCs w:val="24"/>
        </w:rPr>
        <w:tab/>
      </w:r>
    </w:p>
    <w:p w14:paraId="3AF520C2" w14:textId="7B81FA57" w:rsidR="007A1E7A" w:rsidRPr="004B30C8" w:rsidRDefault="007A1E7A" w:rsidP="007A1E7A">
      <w:pPr>
        <w:pStyle w:val="NoSpacing"/>
        <w:ind w:left="720"/>
        <w:rPr>
          <w:rFonts w:ascii="Times New Roman" w:hAnsi="Times New Roman"/>
          <w:b/>
          <w:bCs/>
          <w:sz w:val="24"/>
          <w:szCs w:val="24"/>
        </w:rPr>
      </w:pPr>
      <w:r w:rsidRPr="004B30C8">
        <w:rPr>
          <w:rFonts w:ascii="Times New Roman" w:hAnsi="Times New Roman"/>
          <w:bCs/>
          <w:sz w:val="24"/>
          <w:szCs w:val="24"/>
        </w:rPr>
        <w:t>“On October 19, 2015, a battalion chief representing the Office of the Fire Chief for the City of Columbus Division of Fire (</w:t>
      </w:r>
      <w:r w:rsidR="000209F5">
        <w:rPr>
          <w:rFonts w:ascii="Times New Roman" w:hAnsi="Times New Roman"/>
          <w:bCs/>
          <w:sz w:val="24"/>
          <w:szCs w:val="24"/>
        </w:rPr>
        <w:t>‘</w:t>
      </w:r>
      <w:r w:rsidRPr="004B30C8">
        <w:rPr>
          <w:rFonts w:ascii="Times New Roman" w:hAnsi="Times New Roman"/>
          <w:bCs/>
          <w:sz w:val="24"/>
          <w:szCs w:val="24"/>
        </w:rPr>
        <w:t>Division</w:t>
      </w:r>
      <w:r w:rsidR="000209F5">
        <w:rPr>
          <w:rFonts w:ascii="Times New Roman" w:hAnsi="Times New Roman"/>
          <w:bCs/>
          <w:sz w:val="24"/>
          <w:szCs w:val="24"/>
        </w:rPr>
        <w:t>’</w:t>
      </w:r>
      <w:r w:rsidRPr="004B30C8">
        <w:rPr>
          <w:rFonts w:ascii="Times New Roman" w:hAnsi="Times New Roman"/>
          <w:bCs/>
          <w:sz w:val="24"/>
          <w:szCs w:val="24"/>
        </w:rPr>
        <w:t xml:space="preserve">), sent an e-mail to the President of Local 67. (Ex. JT2 at 4, exhibit to July 27, </w:t>
      </w:r>
      <w:proofErr w:type="gramStart"/>
      <w:r w:rsidRPr="004B30C8">
        <w:rPr>
          <w:rFonts w:ascii="Times New Roman" w:hAnsi="Times New Roman"/>
          <w:bCs/>
          <w:sz w:val="24"/>
          <w:szCs w:val="24"/>
        </w:rPr>
        <w:t>2017</w:t>
      </w:r>
      <w:proofErr w:type="gramEnd"/>
      <w:r w:rsidRPr="004B30C8">
        <w:rPr>
          <w:rFonts w:ascii="Times New Roman" w:hAnsi="Times New Roman"/>
          <w:bCs/>
          <w:sz w:val="24"/>
          <w:szCs w:val="24"/>
        </w:rPr>
        <w:t xml:space="preserve"> Local 67 Application to Confirm.) The e-mail indicated that the </w:t>
      </w:r>
      <w:r w:rsidR="000209F5">
        <w:rPr>
          <w:rFonts w:ascii="Times New Roman" w:hAnsi="Times New Roman"/>
          <w:bCs/>
          <w:sz w:val="24"/>
          <w:szCs w:val="24"/>
        </w:rPr>
        <w:t>‘</w:t>
      </w:r>
      <w:r w:rsidRPr="004B30C8">
        <w:rPr>
          <w:rFonts w:ascii="Times New Roman" w:hAnsi="Times New Roman"/>
          <w:bCs/>
          <w:sz w:val="24"/>
          <w:szCs w:val="24"/>
        </w:rPr>
        <w:t>directors office decided</w:t>
      </w:r>
      <w:r w:rsidR="000209F5">
        <w:rPr>
          <w:rFonts w:ascii="Times New Roman" w:hAnsi="Times New Roman"/>
          <w:bCs/>
          <w:sz w:val="24"/>
          <w:szCs w:val="24"/>
        </w:rPr>
        <w:t>’</w:t>
      </w:r>
      <w:r w:rsidRPr="004B30C8">
        <w:rPr>
          <w:rFonts w:ascii="Times New Roman" w:hAnsi="Times New Roman"/>
          <w:bCs/>
          <w:sz w:val="24"/>
          <w:szCs w:val="24"/>
        </w:rPr>
        <w:t xml:space="preserve">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certain special assignments then filled by uniformed firefighters. Id. Attached to the e-mail was a document listing 17 positions that the City intended to civilianize: ‘RMS,’ ‘Fitness Coordinator,’ ‘Special Events Coord,’ ‘EMS Supply Tech,’ ‘ES-1 Liaison,’ ‘Training Video,’ ‘FAO Radio Specialist,’ ‘Public CPR Trainer,’ ‘R&amp;D Specialist,’ ‘R&amp;D Specialist,’ ‘R&amp;D Specification,’ ‘I.T. Coordinator,’ ‘Apprenticeship Asst.,’ ‘FAO Trainer,’ ‘Community Relations,’ ‘In Service Training, and ‘ES-1 Office Aid. ***  The CBA nowhere asserts, affirms, or implies a broad right of the City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bargaining unit positions. The CBA provides no general right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the City. Nor do the terms of the CBA, taken as a whole, suggest that Section 7.2 should be read as a narrow exception to a general right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Rather the CBA contains, and the arbitrator found, a broad prohibition on civilianizing positions within the Division.  </w:t>
      </w:r>
      <w:bookmarkStart w:id="643" w:name="_Hlk39860985"/>
      <w:r w:rsidR="00B0089C">
        <w:fldChar w:fldCharType="begin"/>
      </w:r>
      <w:r w:rsidR="00B0089C">
        <w:instrText xml:space="preserve"> HYPERLINK "https://www.supremecourt.ohio.gov/rod/docs/pdf/10/2020/2020-Ohio-356.pdf" </w:instrText>
      </w:r>
      <w:r w:rsidR="00B0089C">
        <w:fldChar w:fldCharType="separate"/>
      </w:r>
      <w:r w:rsidRPr="004B30C8">
        <w:rPr>
          <w:rStyle w:val="Hyperlink"/>
          <w:rFonts w:ascii="Times New Roman" w:hAnsi="Times New Roman"/>
          <w:bCs/>
          <w:sz w:val="24"/>
          <w:szCs w:val="24"/>
        </w:rPr>
        <w:t>https://www.supremecourt.ohio.gov/rod/docs/pdf/10/2020/2020-Ohio-356.pdf</w:t>
      </w:r>
      <w:r w:rsidR="00B0089C">
        <w:rPr>
          <w:rStyle w:val="Hyperlink"/>
          <w:rFonts w:ascii="Times New Roman" w:hAnsi="Times New Roman"/>
          <w:bCs/>
          <w:sz w:val="24"/>
          <w:szCs w:val="24"/>
        </w:rPr>
        <w:fldChar w:fldCharType="end"/>
      </w:r>
      <w:r w:rsidRPr="004B30C8">
        <w:rPr>
          <w:rFonts w:ascii="Times New Roman" w:hAnsi="Times New Roman"/>
          <w:bCs/>
          <w:sz w:val="24"/>
          <w:szCs w:val="24"/>
        </w:rPr>
        <w:t xml:space="preserve"> </w:t>
      </w:r>
      <w:bookmarkEnd w:id="643"/>
    </w:p>
    <w:bookmarkEnd w:id="641"/>
    <w:p w14:paraId="488F1F8B" w14:textId="53D9A376" w:rsidR="007A1E7A" w:rsidRDefault="007A1E7A" w:rsidP="00F326E5">
      <w:pPr>
        <w:pStyle w:val="NoSpacing"/>
        <w:rPr>
          <w:rFonts w:ascii="Arial Black" w:hAnsi="Arial Black"/>
          <w:sz w:val="24"/>
          <w:szCs w:val="24"/>
        </w:rPr>
      </w:pPr>
    </w:p>
    <w:p w14:paraId="1F0BC464" w14:textId="40814CBB" w:rsidR="007A1E7A" w:rsidRPr="004B30C8" w:rsidRDefault="007A1E7A" w:rsidP="007A1E7A">
      <w:pPr>
        <w:pStyle w:val="NoSpacing"/>
        <w:rPr>
          <w:rFonts w:ascii="Times New Roman" w:hAnsi="Times New Roman"/>
          <w:b/>
          <w:bCs/>
          <w:sz w:val="24"/>
          <w:szCs w:val="24"/>
        </w:rPr>
      </w:pPr>
      <w:bookmarkStart w:id="644" w:name="_Hlk40517239"/>
      <w:r w:rsidRPr="004B30C8">
        <w:rPr>
          <w:rFonts w:ascii="Times New Roman" w:hAnsi="Times New Roman"/>
          <w:b/>
          <w:bCs/>
          <w:sz w:val="24"/>
          <w:szCs w:val="24"/>
        </w:rPr>
        <w:t>Legal Lessons Learned: The arbitrator, and the Courts, relied heavily on the City’s prior cooperation with Local 67</w:t>
      </w:r>
      <w:r w:rsidR="00A76634">
        <w:rPr>
          <w:rFonts w:ascii="Times New Roman" w:hAnsi="Times New Roman"/>
          <w:b/>
          <w:bCs/>
          <w:sz w:val="24"/>
          <w:szCs w:val="24"/>
        </w:rPr>
        <w:t>.</w:t>
      </w:r>
    </w:p>
    <w:bookmarkEnd w:id="644"/>
    <w:p w14:paraId="5F60C8FF" w14:textId="77777777" w:rsidR="007A1E7A" w:rsidRDefault="007A1E7A" w:rsidP="00F326E5">
      <w:pPr>
        <w:pStyle w:val="NoSpacing"/>
        <w:rPr>
          <w:rFonts w:ascii="Arial Black" w:hAnsi="Arial Black"/>
          <w:sz w:val="24"/>
          <w:szCs w:val="24"/>
        </w:rPr>
      </w:pPr>
    </w:p>
    <w:p w14:paraId="0750E27F" w14:textId="77777777" w:rsidR="007A1E7A" w:rsidRDefault="007A1E7A" w:rsidP="00F326E5">
      <w:pPr>
        <w:pStyle w:val="NoSpacing"/>
        <w:rPr>
          <w:rFonts w:ascii="Arial Black" w:hAnsi="Arial Black"/>
          <w:sz w:val="24"/>
          <w:szCs w:val="24"/>
        </w:rPr>
      </w:pPr>
    </w:p>
    <w:p w14:paraId="412CFE29" w14:textId="77777777" w:rsidR="007A1E7A" w:rsidRDefault="007A1E7A" w:rsidP="00F326E5">
      <w:pPr>
        <w:pStyle w:val="NoSpacing"/>
        <w:rPr>
          <w:rFonts w:ascii="Arial Black" w:hAnsi="Arial Black"/>
          <w:sz w:val="24"/>
          <w:szCs w:val="24"/>
        </w:rPr>
      </w:pPr>
    </w:p>
    <w:p w14:paraId="293ACADC" w14:textId="77777777" w:rsidR="007A1E7A" w:rsidRDefault="007A1E7A" w:rsidP="00F326E5">
      <w:pPr>
        <w:pStyle w:val="NoSpacing"/>
        <w:rPr>
          <w:rFonts w:ascii="Arial Black" w:hAnsi="Arial Black"/>
          <w:sz w:val="24"/>
          <w:szCs w:val="24"/>
        </w:rPr>
      </w:pPr>
    </w:p>
    <w:p w14:paraId="7DEB1699" w14:textId="761F48DA" w:rsidR="00A06387" w:rsidRPr="00A06387" w:rsidRDefault="00A06387" w:rsidP="00F326E5">
      <w:pPr>
        <w:pStyle w:val="NoSpacing"/>
        <w:rPr>
          <w:rFonts w:ascii="Arial Black" w:hAnsi="Arial Black"/>
          <w:sz w:val="24"/>
          <w:szCs w:val="24"/>
        </w:rPr>
      </w:pPr>
      <w:r w:rsidRPr="00A06387">
        <w:rPr>
          <w:rFonts w:ascii="Arial Black" w:hAnsi="Arial Black"/>
          <w:sz w:val="24"/>
          <w:szCs w:val="24"/>
        </w:rPr>
        <w:t xml:space="preserve">17-2  </w:t>
      </w:r>
    </w:p>
    <w:p w14:paraId="20866ECF" w14:textId="77777777" w:rsidR="00A06387" w:rsidRDefault="00A06387" w:rsidP="00F326E5">
      <w:pPr>
        <w:pStyle w:val="NoSpacing"/>
        <w:rPr>
          <w:rFonts w:ascii="Arial Black" w:hAnsi="Arial Black"/>
          <w:sz w:val="28"/>
          <w:szCs w:val="28"/>
        </w:rPr>
      </w:pPr>
    </w:p>
    <w:p w14:paraId="5F2F81ED" w14:textId="6A73F7E8" w:rsidR="00F326E5" w:rsidRPr="00A06387" w:rsidRDefault="00A06387" w:rsidP="00F326E5">
      <w:pPr>
        <w:pStyle w:val="NoSpacing"/>
        <w:rPr>
          <w:rFonts w:ascii="Arial Black" w:hAnsi="Arial Black"/>
          <w:sz w:val="28"/>
          <w:szCs w:val="28"/>
        </w:rPr>
      </w:pPr>
      <w:bookmarkStart w:id="645" w:name="_Hlk23516868"/>
      <w:bookmarkStart w:id="646" w:name="_Hlk39773361"/>
      <w:r>
        <w:rPr>
          <w:rFonts w:ascii="Arial Black" w:hAnsi="Arial Black"/>
          <w:sz w:val="28"/>
          <w:szCs w:val="28"/>
        </w:rPr>
        <w:t xml:space="preserve">NY: </w:t>
      </w:r>
      <w:r w:rsidRPr="00A06387">
        <w:rPr>
          <w:rFonts w:ascii="Arial Black" w:hAnsi="Arial Black"/>
          <w:sz w:val="28"/>
          <w:szCs w:val="28"/>
        </w:rPr>
        <w:t>NEW FD PARAMEDIC TRAINING – UNION ALLEGES BREACH OF CBA – GRIEVANCE CAN GO TO ARBITRATION</w:t>
      </w:r>
    </w:p>
    <w:bookmarkEnd w:id="645"/>
    <w:p w14:paraId="458EE45A" w14:textId="77777777" w:rsidR="00A06387" w:rsidRDefault="00A06387" w:rsidP="00A06387">
      <w:pPr>
        <w:pStyle w:val="NoSpacing"/>
        <w:rPr>
          <w:rFonts w:ascii="On Times New Roman" w:hAnsi="On Times New Roman"/>
          <w:bCs/>
          <w:sz w:val="24"/>
          <w:szCs w:val="24"/>
        </w:rPr>
      </w:pPr>
    </w:p>
    <w:p w14:paraId="4971F7D4" w14:textId="122FB023" w:rsidR="00A06387" w:rsidRPr="00E600C4" w:rsidRDefault="00A06387" w:rsidP="00A06387">
      <w:pPr>
        <w:pStyle w:val="NoSpacing"/>
        <w:rPr>
          <w:rFonts w:ascii="Times New Roman" w:hAnsi="Times New Roman"/>
          <w:b/>
          <w:bCs/>
          <w:sz w:val="24"/>
          <w:szCs w:val="24"/>
        </w:rPr>
      </w:pPr>
      <w:r w:rsidRPr="00E600C4">
        <w:rPr>
          <w:rFonts w:ascii="Times New Roman" w:hAnsi="Times New Roman"/>
          <w:bCs/>
          <w:sz w:val="24"/>
          <w:szCs w:val="24"/>
        </w:rPr>
        <w:t xml:space="preserve">On Oct. 30, 2019, in </w:t>
      </w:r>
      <w:r w:rsidRPr="00E600C4">
        <w:rPr>
          <w:rFonts w:ascii="Times New Roman" w:hAnsi="Times New Roman"/>
          <w:bCs/>
          <w:sz w:val="24"/>
          <w:szCs w:val="24"/>
          <w:u w:val="single"/>
        </w:rPr>
        <w:t xml:space="preserve">Matter </w:t>
      </w:r>
      <w:proofErr w:type="gramStart"/>
      <w:r w:rsidRPr="00E600C4">
        <w:rPr>
          <w:rFonts w:ascii="Times New Roman" w:hAnsi="Times New Roman"/>
          <w:bCs/>
          <w:sz w:val="24"/>
          <w:szCs w:val="24"/>
          <w:u w:val="single"/>
        </w:rPr>
        <w:t>Of</w:t>
      </w:r>
      <w:proofErr w:type="gramEnd"/>
      <w:r w:rsidRPr="00E600C4">
        <w:rPr>
          <w:rFonts w:ascii="Times New Roman" w:hAnsi="Times New Roman"/>
          <w:bCs/>
          <w:sz w:val="24"/>
          <w:szCs w:val="24"/>
          <w:u w:val="single"/>
        </w:rPr>
        <w:t xml:space="preserve"> City of Yonkers v. Yonkers Fire Fighters, Local 628,</w:t>
      </w:r>
      <w:r w:rsidRPr="00E600C4">
        <w:rPr>
          <w:rFonts w:ascii="Times New Roman" w:hAnsi="Times New Roman"/>
          <w:bCs/>
          <w:sz w:val="24"/>
          <w:szCs w:val="24"/>
        </w:rPr>
        <w:t xml:space="preserve"> the Supreme Court of New York,  Appellate Division (Second Judicial District), held 5 to 0 that a Judge in Westchester County (dated September 20, 2016) improperly granted the City’s petition to permanently stay arbitration.   </w:t>
      </w:r>
    </w:p>
    <w:p w14:paraId="343D676B" w14:textId="77777777" w:rsidR="00A06387" w:rsidRPr="00E600C4" w:rsidRDefault="00A06387" w:rsidP="00A06387">
      <w:pPr>
        <w:pStyle w:val="NoSpacing"/>
        <w:rPr>
          <w:rFonts w:ascii="Times New Roman" w:hAnsi="Times New Roman"/>
          <w:b/>
          <w:bCs/>
          <w:sz w:val="24"/>
          <w:szCs w:val="24"/>
        </w:rPr>
      </w:pPr>
    </w:p>
    <w:p w14:paraId="7208C993" w14:textId="77C54431" w:rsidR="00A06387" w:rsidRPr="00E600C4" w:rsidRDefault="00A06387" w:rsidP="00A06387">
      <w:pPr>
        <w:pStyle w:val="NoSpacing"/>
        <w:ind w:left="720"/>
        <w:rPr>
          <w:rFonts w:ascii="Times New Roman" w:hAnsi="Times New Roman"/>
          <w:b/>
          <w:bCs/>
          <w:sz w:val="24"/>
          <w:szCs w:val="24"/>
        </w:rPr>
      </w:pPr>
      <w:r w:rsidRPr="00E600C4">
        <w:rPr>
          <w:rFonts w:ascii="Times New Roman" w:hAnsi="Times New Roman"/>
          <w:bCs/>
          <w:sz w:val="24"/>
          <w:szCs w:val="24"/>
        </w:rPr>
        <w:t>“According to Local 628, the City, by offering a paramedic training course to its firefighters, violated article 33 of the CBA, which contains various provisions concerning the EMS Program, including a provision stating that the ‘EMS Program shall mean the level of services provided as of the date of this Agreement.’ Contrary to the City's contention, a reasonable relationship exists between Local 628's grievance and the general subject matter of the CBA.</w:t>
      </w:r>
      <w:r w:rsidR="005B7BBD">
        <w:rPr>
          <w:rFonts w:ascii="Times New Roman" w:hAnsi="Times New Roman"/>
          <w:bCs/>
          <w:sz w:val="24"/>
          <w:szCs w:val="24"/>
        </w:rPr>
        <w:t xml:space="preserve"> </w:t>
      </w:r>
      <w:r w:rsidRPr="00E600C4">
        <w:rPr>
          <w:rFonts w:ascii="Times New Roman" w:hAnsi="Times New Roman"/>
          <w:bCs/>
          <w:sz w:val="24"/>
          <w:szCs w:val="24"/>
        </w:rPr>
        <w:t>***</w:t>
      </w:r>
      <w:r w:rsidR="005B7BBD">
        <w:rPr>
          <w:rFonts w:ascii="Times New Roman" w:hAnsi="Times New Roman"/>
          <w:bCs/>
          <w:sz w:val="24"/>
          <w:szCs w:val="24"/>
        </w:rPr>
        <w:t xml:space="preserve"> </w:t>
      </w:r>
      <w:r w:rsidRPr="00E600C4">
        <w:rPr>
          <w:rFonts w:ascii="Times New Roman" w:hAnsi="Times New Roman"/>
          <w:bCs/>
          <w:sz w:val="24"/>
          <w:szCs w:val="24"/>
        </w:rPr>
        <w:t>Where, as here, the relevant arbitration provision of the CBA is broad, providing for arbitration of any grievance ‘involving the interpretation or application of any provision of this Agreement,’ a court ‘should merely determine whether there is a reasonable relationship between the subject matter of the dispute and the general subject matter of the CBA.’”</w:t>
      </w:r>
    </w:p>
    <w:p w14:paraId="562A0D5A" w14:textId="77777777" w:rsidR="00A06387" w:rsidRPr="00E600C4" w:rsidRDefault="00A06387" w:rsidP="00A06387">
      <w:pPr>
        <w:pStyle w:val="NoSpacing"/>
        <w:ind w:left="720"/>
        <w:rPr>
          <w:rFonts w:ascii="Times New Roman" w:hAnsi="Times New Roman"/>
          <w:b/>
          <w:bCs/>
          <w:sz w:val="24"/>
          <w:szCs w:val="24"/>
        </w:rPr>
      </w:pPr>
      <w:hyperlink r:id="rId2765" w:history="1">
        <w:r w:rsidRPr="00E600C4">
          <w:rPr>
            <w:rStyle w:val="Hyperlink"/>
            <w:rFonts w:ascii="Times New Roman" w:hAnsi="Times New Roman"/>
            <w:bCs/>
            <w:sz w:val="24"/>
            <w:szCs w:val="24"/>
          </w:rPr>
          <w:t>https://law.justia.com/cases/new-york/appellate-division-second-department/2019/2016-10658.html</w:t>
        </w:r>
      </w:hyperlink>
      <w:r w:rsidRPr="00E600C4">
        <w:rPr>
          <w:rFonts w:ascii="Times New Roman" w:hAnsi="Times New Roman"/>
          <w:bCs/>
          <w:sz w:val="24"/>
          <w:szCs w:val="24"/>
        </w:rPr>
        <w:t xml:space="preserve"> </w:t>
      </w:r>
    </w:p>
    <w:bookmarkEnd w:id="646"/>
    <w:p w14:paraId="683B8002" w14:textId="77777777" w:rsidR="00A06387" w:rsidRPr="00E600C4" w:rsidRDefault="00A06387" w:rsidP="00A06387">
      <w:pPr>
        <w:pStyle w:val="NoSpacing"/>
        <w:rPr>
          <w:rFonts w:ascii="Times New Roman" w:hAnsi="Times New Roman"/>
          <w:b/>
          <w:bCs/>
          <w:sz w:val="24"/>
          <w:szCs w:val="24"/>
        </w:rPr>
      </w:pPr>
    </w:p>
    <w:p w14:paraId="4B6129AF" w14:textId="609832D4" w:rsidR="00A06387" w:rsidRPr="00E600C4" w:rsidRDefault="00A06387" w:rsidP="00F326E5">
      <w:pPr>
        <w:pStyle w:val="NoSpacing"/>
        <w:rPr>
          <w:rFonts w:ascii="Times New Roman" w:hAnsi="Times New Roman"/>
          <w:sz w:val="24"/>
          <w:szCs w:val="24"/>
        </w:rPr>
      </w:pPr>
      <w:bookmarkStart w:id="647" w:name="_Hlk40517276"/>
      <w:r w:rsidRPr="00E600C4">
        <w:rPr>
          <w:rFonts w:ascii="Times New Roman" w:hAnsi="Times New Roman"/>
          <w:b/>
          <w:bCs/>
          <w:sz w:val="24"/>
          <w:szCs w:val="24"/>
        </w:rPr>
        <w:lastRenderedPageBreak/>
        <w:t>Legal Lessons Learned: Courts favor arbitration to resolve labor disputes</w:t>
      </w:r>
      <w:r w:rsidRPr="00E600C4">
        <w:rPr>
          <w:rFonts w:ascii="Times New Roman" w:hAnsi="Times New Roman"/>
          <w:sz w:val="24"/>
          <w:szCs w:val="24"/>
        </w:rPr>
        <w:t xml:space="preserve">.  </w:t>
      </w:r>
    </w:p>
    <w:p w14:paraId="57848C94" w14:textId="32A6D4F1" w:rsidR="00A06387" w:rsidRDefault="00A06387" w:rsidP="000C4DF5">
      <w:pPr>
        <w:pStyle w:val="NoSpacing"/>
        <w:rPr>
          <w:rFonts w:ascii="Arial Black" w:hAnsi="Arial Black"/>
          <w:sz w:val="24"/>
          <w:szCs w:val="24"/>
        </w:rPr>
      </w:pPr>
      <w:bookmarkStart w:id="648" w:name="_Hlk6757078"/>
      <w:bookmarkEnd w:id="647"/>
    </w:p>
    <w:p w14:paraId="311BDA0F" w14:textId="77777777" w:rsidR="00A06387" w:rsidRDefault="00A06387" w:rsidP="000C4DF5">
      <w:pPr>
        <w:pStyle w:val="NoSpacing"/>
        <w:rPr>
          <w:rFonts w:ascii="Arial Black" w:hAnsi="Arial Black"/>
          <w:sz w:val="24"/>
          <w:szCs w:val="24"/>
        </w:rPr>
      </w:pPr>
    </w:p>
    <w:p w14:paraId="0205C73B" w14:textId="1311E8C7" w:rsidR="000C4DF5" w:rsidRDefault="000C4DF5" w:rsidP="000C4DF5">
      <w:pPr>
        <w:pStyle w:val="NoSpacing"/>
        <w:rPr>
          <w:rFonts w:ascii="Arial Black" w:hAnsi="Arial Black"/>
          <w:sz w:val="24"/>
          <w:szCs w:val="24"/>
        </w:rPr>
      </w:pPr>
      <w:r>
        <w:rPr>
          <w:rFonts w:ascii="Arial Black" w:hAnsi="Arial Black"/>
          <w:sz w:val="24"/>
          <w:szCs w:val="24"/>
        </w:rPr>
        <w:t>17-1</w:t>
      </w:r>
    </w:p>
    <w:p w14:paraId="790B5E4D" w14:textId="6B832E97" w:rsidR="002B1283" w:rsidRPr="00EE07D9" w:rsidRDefault="002B1283" w:rsidP="002B1283">
      <w:pPr>
        <w:rPr>
          <w:rFonts w:ascii="Arial Black" w:hAnsi="Arial Black"/>
          <w:sz w:val="28"/>
          <w:szCs w:val="28"/>
        </w:rPr>
      </w:pPr>
      <w:r>
        <w:rPr>
          <w:rFonts w:ascii="Arial Black" w:hAnsi="Arial Black"/>
          <w:sz w:val="28"/>
          <w:szCs w:val="28"/>
        </w:rPr>
        <w:t xml:space="preserve">IL:  CT OVERTURNS ARBITRATOR – PURGING POLICE DISCIPLINE RECORDS IS VIOLATION OF STATE’S PUBLIC POLICY </w:t>
      </w:r>
    </w:p>
    <w:p w14:paraId="442DA037" w14:textId="77777777" w:rsidR="002B1283" w:rsidRDefault="002B1283" w:rsidP="002B1283">
      <w:pPr>
        <w:pStyle w:val="NoSpacing"/>
        <w:rPr>
          <w:rFonts w:ascii="Times New Roman" w:hAnsi="Times New Roman"/>
          <w:sz w:val="24"/>
          <w:szCs w:val="24"/>
        </w:rPr>
      </w:pPr>
      <w:r w:rsidRPr="009F6E0A">
        <w:rPr>
          <w:rFonts w:ascii="Times New Roman" w:hAnsi="Times New Roman"/>
          <w:sz w:val="24"/>
          <w:szCs w:val="24"/>
        </w:rPr>
        <w:t xml:space="preserve">On March 29, 2019, in </w:t>
      </w:r>
      <w:r w:rsidRPr="009F6E0A">
        <w:rPr>
          <w:rFonts w:ascii="Times New Roman" w:hAnsi="Times New Roman"/>
          <w:sz w:val="24"/>
          <w:szCs w:val="24"/>
          <w:u w:val="single"/>
        </w:rPr>
        <w:t>City of Chicago v. Fraternal Order of Police, Chicago Lodge No. 7</w:t>
      </w:r>
      <w:r w:rsidRPr="009F6E0A">
        <w:rPr>
          <w:rFonts w:ascii="Times New Roman" w:hAnsi="Times New Roman"/>
          <w:sz w:val="24"/>
          <w:szCs w:val="24"/>
        </w:rPr>
        <w:t>, the Illinois Appellate Court (1</w:t>
      </w:r>
      <w:r w:rsidRPr="009F6E0A">
        <w:rPr>
          <w:rFonts w:ascii="Times New Roman" w:hAnsi="Times New Roman"/>
          <w:sz w:val="24"/>
          <w:szCs w:val="24"/>
          <w:vertAlign w:val="superscript"/>
        </w:rPr>
        <w:t>st</w:t>
      </w:r>
      <w:r w:rsidRPr="009F6E0A">
        <w:rPr>
          <w:rFonts w:ascii="Times New Roman" w:hAnsi="Times New Roman"/>
          <w:sz w:val="24"/>
          <w:szCs w:val="24"/>
        </w:rPr>
        <w:t xml:space="preserve"> District) held (3 to</w:t>
      </w:r>
      <w:r>
        <w:rPr>
          <w:rFonts w:ascii="Times New Roman" w:hAnsi="Times New Roman"/>
          <w:sz w:val="24"/>
          <w:szCs w:val="24"/>
        </w:rPr>
        <w:t xml:space="preserve"> 0</w:t>
      </w:r>
      <w:r w:rsidRPr="009F6E0A">
        <w:rPr>
          <w:rFonts w:ascii="Times New Roman" w:hAnsi="Times New Roman"/>
          <w:sz w:val="24"/>
          <w:szCs w:val="24"/>
        </w:rPr>
        <w:t>) that an arbitrator’s decision upholding FOP’s grievance must be set aside</w:t>
      </w:r>
      <w:r>
        <w:rPr>
          <w:rFonts w:ascii="Times New Roman" w:hAnsi="Times New Roman"/>
          <w:sz w:val="24"/>
          <w:szCs w:val="24"/>
        </w:rPr>
        <w:t xml:space="preserve">. </w:t>
      </w:r>
    </w:p>
    <w:p w14:paraId="4BD9ED12" w14:textId="77777777" w:rsidR="002B1283" w:rsidRDefault="002B1283" w:rsidP="002B1283">
      <w:pPr>
        <w:pStyle w:val="NoSpacing"/>
        <w:ind w:left="720"/>
        <w:rPr>
          <w:rFonts w:ascii="Times New Roman" w:hAnsi="Times New Roman"/>
          <w:sz w:val="24"/>
          <w:szCs w:val="24"/>
        </w:rPr>
      </w:pPr>
    </w:p>
    <w:p w14:paraId="0268AD40"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9F6E0A">
        <w:rPr>
          <w:rFonts w:ascii="Times New Roman" w:hAnsi="Times New Roman"/>
          <w:sz w:val="24"/>
          <w:szCs w:val="24"/>
        </w:rPr>
        <w:t>The arbitration award requiring destruction of the records pursuant to section 8.4 of the CBA clearly violated well-defined Illinois public policy requiring the proper retention of important public records.</w:t>
      </w:r>
      <w:r>
        <w:rPr>
          <w:rFonts w:ascii="Times New Roman" w:hAnsi="Times New Roman"/>
          <w:sz w:val="24"/>
          <w:szCs w:val="24"/>
        </w:rPr>
        <w:t>”</w:t>
      </w:r>
    </w:p>
    <w:p w14:paraId="04CB1E56" w14:textId="77777777" w:rsidR="002B1283" w:rsidRDefault="002B1283" w:rsidP="002B1283">
      <w:pPr>
        <w:pStyle w:val="NoSpacing"/>
        <w:ind w:firstLine="720"/>
      </w:pPr>
      <w:r>
        <w:rPr>
          <w:rFonts w:ascii="Times New Roman" w:hAnsi="Times New Roman"/>
          <w:sz w:val="24"/>
          <w:szCs w:val="24"/>
        </w:rPr>
        <w:t xml:space="preserve"> </w:t>
      </w:r>
      <w:hyperlink r:id="rId2766" w:history="1">
        <w:r w:rsidRPr="00EA4578">
          <w:rPr>
            <w:rStyle w:val="Hyperlink"/>
          </w:rPr>
          <w:t>http://www.illinoiscourts.gov/Opinions/AppellateCourt/2019/1stDistrict/1172907.pdf</w:t>
        </w:r>
      </w:hyperlink>
      <w:r>
        <w:t xml:space="preserve"> </w:t>
      </w:r>
    </w:p>
    <w:p w14:paraId="7F57718D" w14:textId="77777777" w:rsidR="002B1283" w:rsidRDefault="002B1283" w:rsidP="002B1283">
      <w:pPr>
        <w:pStyle w:val="NoSpacing"/>
        <w:ind w:left="720"/>
        <w:rPr>
          <w:rFonts w:ascii="Times New Roman" w:hAnsi="Times New Roman"/>
          <w:sz w:val="24"/>
          <w:szCs w:val="24"/>
        </w:rPr>
      </w:pPr>
    </w:p>
    <w:p w14:paraId="44F61CE6" w14:textId="77777777" w:rsidR="002B1283" w:rsidRDefault="002B1283" w:rsidP="002B1283">
      <w:pPr>
        <w:pStyle w:val="NoSpacing"/>
        <w:rPr>
          <w:rFonts w:ascii="Times New Roman" w:hAnsi="Times New Roman"/>
          <w:b/>
          <w:bCs/>
          <w:sz w:val="24"/>
          <w:szCs w:val="24"/>
        </w:rPr>
      </w:pPr>
      <w:r w:rsidRPr="00FE69A5">
        <w:rPr>
          <w:rFonts w:ascii="Times New Roman" w:hAnsi="Times New Roman"/>
          <w:b/>
          <w:bCs/>
          <w:sz w:val="24"/>
          <w:szCs w:val="24"/>
        </w:rPr>
        <w:t xml:space="preserve">Legal Lessons Learned: </w:t>
      </w:r>
      <w:r>
        <w:rPr>
          <w:rFonts w:ascii="Times New Roman" w:hAnsi="Times New Roman"/>
          <w:b/>
          <w:bCs/>
          <w:sz w:val="24"/>
          <w:szCs w:val="24"/>
        </w:rPr>
        <w:t xml:space="preserve"> Purging of disciplinary records, even if authorized under a CBA,  can result in public records litigation.  </w:t>
      </w:r>
    </w:p>
    <w:p w14:paraId="30BF6D83" w14:textId="77777777" w:rsidR="002B1283" w:rsidRDefault="002B1283" w:rsidP="002B1283">
      <w:pPr>
        <w:pStyle w:val="NoSpacing"/>
        <w:rPr>
          <w:rFonts w:ascii="Times New Roman" w:hAnsi="Times New Roman"/>
          <w:b/>
          <w:bCs/>
          <w:sz w:val="24"/>
          <w:szCs w:val="24"/>
        </w:rPr>
      </w:pPr>
    </w:p>
    <w:p w14:paraId="3AD8F8C8" w14:textId="77777777" w:rsidR="002B1283" w:rsidRPr="00224971" w:rsidRDefault="002B1283" w:rsidP="002B1283">
      <w:pPr>
        <w:pStyle w:val="NoSpacing"/>
        <w:ind w:left="720"/>
        <w:rPr>
          <w:rFonts w:ascii="Times New Roman" w:hAnsi="Times New Roman"/>
          <w:sz w:val="24"/>
          <w:szCs w:val="24"/>
        </w:rPr>
      </w:pPr>
      <w:r>
        <w:rPr>
          <w:rFonts w:ascii="Times New Roman" w:hAnsi="Times New Roman"/>
          <w:sz w:val="24"/>
          <w:szCs w:val="24"/>
        </w:rPr>
        <w:t xml:space="preserve">The Court referenced a Chicago FD case where an arbitrator was overturned based on public policy.  </w:t>
      </w:r>
      <w:r w:rsidRPr="005E3D73">
        <w:rPr>
          <w:rFonts w:ascii="Times New Roman" w:hAnsi="Times New Roman"/>
          <w:sz w:val="24"/>
          <w:szCs w:val="24"/>
          <w:u w:val="single"/>
        </w:rPr>
        <w:t>Chicago Fire Fighters Union Local No. 2 v. City of Chicago</w:t>
      </w:r>
      <w:r w:rsidRPr="00224971">
        <w:rPr>
          <w:rFonts w:ascii="Times New Roman" w:hAnsi="Times New Roman"/>
          <w:sz w:val="24"/>
          <w:szCs w:val="24"/>
        </w:rPr>
        <w:t>, 323 Ill. App. 3d 168, 176-77 (2001)</w:t>
      </w:r>
      <w:r>
        <w:rPr>
          <w:rFonts w:ascii="Times New Roman" w:hAnsi="Times New Roman"/>
          <w:sz w:val="24"/>
          <w:szCs w:val="24"/>
        </w:rPr>
        <w:t>:</w:t>
      </w:r>
      <w:r w:rsidRPr="00224971">
        <w:rPr>
          <w:rFonts w:ascii="Times New Roman" w:hAnsi="Times New Roman"/>
          <w:sz w:val="24"/>
          <w:szCs w:val="24"/>
        </w:rPr>
        <w:t xml:space="preserve">  </w:t>
      </w:r>
      <w:hyperlink r:id="rId2767" w:history="1">
        <w:r w:rsidRPr="00823390">
          <w:rPr>
            <w:rStyle w:val="Hyperlink"/>
            <w:rFonts w:ascii="Times New Roman" w:hAnsi="Times New Roman"/>
            <w:sz w:val="24"/>
            <w:szCs w:val="24"/>
          </w:rPr>
          <w:t>https://law.justia.com/cases/illinois/court-of-appeals-first-appellate-district/2000/1992647.html</w:t>
        </w:r>
      </w:hyperlink>
      <w:r w:rsidRPr="00224971">
        <w:rPr>
          <w:rFonts w:ascii="Times New Roman" w:hAnsi="Times New Roman"/>
          <w:sz w:val="24"/>
          <w:szCs w:val="24"/>
        </w:rPr>
        <w:t xml:space="preserve"> </w:t>
      </w:r>
    </w:p>
    <w:p w14:paraId="30CCE15B" w14:textId="77777777" w:rsidR="002B1283" w:rsidRDefault="002B1283" w:rsidP="002B1283">
      <w:pPr>
        <w:pStyle w:val="NoSpacing"/>
        <w:ind w:left="1440"/>
        <w:rPr>
          <w:rFonts w:ascii="Times New Roman" w:hAnsi="Times New Roman"/>
          <w:sz w:val="24"/>
          <w:szCs w:val="24"/>
        </w:rPr>
      </w:pPr>
    </w:p>
    <w:p w14:paraId="3EEE2B96" w14:textId="77777777" w:rsidR="002B1283" w:rsidRPr="005E3D73" w:rsidRDefault="002B1283" w:rsidP="002B1283">
      <w:pPr>
        <w:pStyle w:val="NoSpacing"/>
        <w:ind w:left="1440"/>
        <w:rPr>
          <w:rFonts w:ascii="Times New Roman" w:hAnsi="Times New Roman"/>
          <w:sz w:val="24"/>
          <w:szCs w:val="24"/>
        </w:rPr>
      </w:pPr>
      <w:r w:rsidRPr="005E3D73">
        <w:rPr>
          <w:rFonts w:ascii="Times New Roman" w:hAnsi="Times New Roman"/>
          <w:sz w:val="24"/>
          <w:szCs w:val="24"/>
        </w:rPr>
        <w:t xml:space="preserve">“In May 1997, CFD Internal Affairs Division (‘IAD’) Executive Assistant Mark Edinburg learned of the existence of a videotape of an unauthorized retirement party held on April 12, 1990, at the CFD firehouse known as Engine 100. The videotape depicted firefighters drinking alcoholic beverages inside the firehouse; leaving the firehouse in fire trucks to respond to fire calls; some participants making offensive racial, gender and ethnic slurs; and some engaging in other conduct such as exposing their bare buttocks and genitals. Edinburg viewed the videotape on May 9, 1997. *** This matter calls upon the court to address a serious matter of public policy affecting the health, safety and welfare of the citizens of the city of Chicago.  *** The conduct at issue in the present case was recorded on </w:t>
      </w:r>
      <w:proofErr w:type="gramStart"/>
      <w:r w:rsidRPr="005E3D73">
        <w:rPr>
          <w:rFonts w:ascii="Times New Roman" w:hAnsi="Times New Roman"/>
          <w:sz w:val="24"/>
          <w:szCs w:val="24"/>
        </w:rPr>
        <w:t>video-tape</w:t>
      </w:r>
      <w:proofErr w:type="gramEnd"/>
      <w:r w:rsidRPr="005E3D73">
        <w:rPr>
          <w:rFonts w:ascii="Times New Roman" w:hAnsi="Times New Roman"/>
          <w:sz w:val="24"/>
          <w:szCs w:val="24"/>
        </w:rPr>
        <w:t xml:space="preserve"> and reveals public safety workers in an on-going state of intoxication, some participants setting about to perform their duties by way of responding to an alarm for a fire. Nevertheless, the arbitrator ordered reinstatement and barred all discipline and sanctions without considering the merits of the case. Firefighters have </w:t>
      </w:r>
      <w:proofErr w:type="gramStart"/>
      <w:r w:rsidRPr="005E3D73">
        <w:rPr>
          <w:rFonts w:ascii="Times New Roman" w:hAnsi="Times New Roman"/>
          <w:sz w:val="24"/>
          <w:szCs w:val="24"/>
        </w:rPr>
        <w:t>the</w:t>
      </w:r>
      <w:proofErr w:type="gramEnd"/>
      <w:r w:rsidRPr="005E3D73">
        <w:rPr>
          <w:rFonts w:ascii="Times New Roman" w:hAnsi="Times New Roman"/>
          <w:sz w:val="24"/>
          <w:szCs w:val="24"/>
        </w:rPr>
        <w:t xml:space="preserve"> extraordinary responsibility for carrying out the well-stated public policy of safe and effective fire prevention. Firefighters must be prepared to respond immediately to emergency conditions at all times, and in all weather conditions, whenever the alarm bell in the firehouse sounds. For these reasons, and for </w:t>
      </w:r>
      <w:proofErr w:type="gramStart"/>
      <w:r w:rsidRPr="005E3D73">
        <w:rPr>
          <w:rFonts w:ascii="Times New Roman" w:hAnsi="Times New Roman"/>
          <w:sz w:val="24"/>
          <w:szCs w:val="24"/>
        </w:rPr>
        <w:t>all of</w:t>
      </w:r>
      <w:proofErr w:type="gramEnd"/>
      <w:r w:rsidRPr="005E3D73">
        <w:rPr>
          <w:rFonts w:ascii="Times New Roman" w:hAnsi="Times New Roman"/>
          <w:sz w:val="24"/>
          <w:szCs w:val="24"/>
        </w:rPr>
        <w:t xml:space="preserve"> the reasons cited by our supreme court in AFCSME II, 173 Ill. 2d 299 et seq., we adhere to our original opinion as set forth above.”]</w:t>
      </w:r>
    </w:p>
    <w:p w14:paraId="520AF6ED" w14:textId="77777777" w:rsidR="002B1283" w:rsidRPr="005E3D73" w:rsidRDefault="002B1283" w:rsidP="002B1283">
      <w:pPr>
        <w:pStyle w:val="NoSpacing"/>
        <w:rPr>
          <w:rFonts w:ascii="Times New Roman" w:hAnsi="Times New Roman"/>
          <w:sz w:val="24"/>
          <w:szCs w:val="24"/>
        </w:rPr>
      </w:pPr>
    </w:p>
    <w:p w14:paraId="53FBA1B8" w14:textId="77777777" w:rsidR="00AE0ACC" w:rsidRDefault="00AE0ACC" w:rsidP="00AE0ACC">
      <w:pPr>
        <w:pStyle w:val="NoSpacing"/>
        <w:rPr>
          <w:sz w:val="24"/>
          <w:szCs w:val="24"/>
        </w:rPr>
      </w:pPr>
    </w:p>
    <w:p w14:paraId="02C9FCFD" w14:textId="77777777" w:rsidR="000C4DF5" w:rsidRDefault="000C4DF5" w:rsidP="00F326E5">
      <w:pPr>
        <w:rPr>
          <w:rFonts w:ascii="Arial Black" w:hAnsi="Arial Black"/>
          <w:sz w:val="28"/>
          <w:szCs w:val="28"/>
        </w:rPr>
      </w:pPr>
    </w:p>
    <w:p w14:paraId="71D7A959" w14:textId="0DDFC4E6" w:rsidR="000C4DF5" w:rsidRDefault="000C4DF5" w:rsidP="000C4DF5">
      <w:pPr>
        <w:pStyle w:val="NoSpacing"/>
        <w:rPr>
          <w:rFonts w:ascii="Arial Black" w:hAnsi="Arial Black"/>
          <w:sz w:val="24"/>
          <w:szCs w:val="24"/>
        </w:rPr>
      </w:pPr>
      <w:r>
        <w:rPr>
          <w:rFonts w:ascii="Arial Black" w:hAnsi="Arial Black"/>
          <w:sz w:val="24"/>
          <w:szCs w:val="24"/>
        </w:rPr>
        <w:t>17-2</w:t>
      </w:r>
    </w:p>
    <w:p w14:paraId="51D19F43" w14:textId="77777777" w:rsidR="000C4DF5" w:rsidRDefault="000C4DF5" w:rsidP="00F326E5">
      <w:pPr>
        <w:rPr>
          <w:rFonts w:ascii="Arial Black" w:hAnsi="Arial Black"/>
          <w:sz w:val="28"/>
          <w:szCs w:val="28"/>
        </w:rPr>
      </w:pPr>
    </w:p>
    <w:p w14:paraId="3C985A68" w14:textId="19FB1E99" w:rsidR="00F326E5" w:rsidRDefault="00F326E5" w:rsidP="00F326E5">
      <w:pPr>
        <w:rPr>
          <w:rFonts w:ascii="Arial Black" w:hAnsi="Arial Black"/>
          <w:sz w:val="28"/>
          <w:szCs w:val="28"/>
        </w:rPr>
      </w:pPr>
      <w:r w:rsidRPr="00252C5C">
        <w:rPr>
          <w:rFonts w:ascii="Arial Black" w:hAnsi="Arial Black"/>
          <w:sz w:val="28"/>
          <w:szCs w:val="28"/>
        </w:rPr>
        <w:t>NY: MIN</w:t>
      </w:r>
      <w:r>
        <w:rPr>
          <w:rFonts w:ascii="Arial Black" w:hAnsi="Arial Black"/>
          <w:sz w:val="28"/>
          <w:szCs w:val="28"/>
        </w:rPr>
        <w:t xml:space="preserve">IMUM </w:t>
      </w:r>
      <w:r w:rsidRPr="00252C5C">
        <w:rPr>
          <w:rFonts w:ascii="Arial Black" w:hAnsi="Arial Black"/>
          <w:sz w:val="28"/>
          <w:szCs w:val="28"/>
        </w:rPr>
        <w:t>MANNING</w:t>
      </w:r>
      <w:r>
        <w:rPr>
          <w:rFonts w:ascii="Arial Black" w:hAnsi="Arial Black"/>
          <w:sz w:val="28"/>
          <w:szCs w:val="28"/>
        </w:rPr>
        <w:t xml:space="preserve"> PER SHIFT - ARBITRATION - 15 FF / SHIFT – 8 CAPTAINS DEMOTED IN 2015 </w:t>
      </w:r>
    </w:p>
    <w:p w14:paraId="3BD1248B" w14:textId="77777777" w:rsidR="00F326E5" w:rsidRPr="00E600C4" w:rsidRDefault="00F326E5" w:rsidP="00F326E5">
      <w:pPr>
        <w:rPr>
          <w:rFonts w:ascii="Times New Roman" w:hAnsi="Times New Roman"/>
          <w:sz w:val="24"/>
          <w:szCs w:val="24"/>
        </w:rPr>
      </w:pPr>
      <w:r w:rsidRPr="00E600C4">
        <w:rPr>
          <w:rFonts w:ascii="Times New Roman" w:hAnsi="Times New Roman"/>
          <w:sz w:val="24"/>
          <w:szCs w:val="24"/>
        </w:rPr>
        <w:lastRenderedPageBreak/>
        <w:t xml:space="preserve">On </w:t>
      </w:r>
      <w:bookmarkStart w:id="649" w:name="_Hlk39861135"/>
      <w:r w:rsidRPr="00E600C4">
        <w:rPr>
          <w:rFonts w:ascii="Times New Roman" w:hAnsi="Times New Roman"/>
          <w:sz w:val="24"/>
          <w:szCs w:val="24"/>
        </w:rPr>
        <w:t xml:space="preserve">Feb. 1, 2019, </w:t>
      </w:r>
      <w:r w:rsidRPr="00E600C4">
        <w:rPr>
          <w:rFonts w:ascii="Times New Roman" w:hAnsi="Times New Roman"/>
          <w:sz w:val="24"/>
          <w:szCs w:val="24"/>
          <w:u w:val="single"/>
        </w:rPr>
        <w:t>City of Watertown v. Watertown Professional Firefighters Association, Local 191</w:t>
      </w:r>
      <w:bookmarkEnd w:id="649"/>
      <w:r w:rsidRPr="00E600C4">
        <w:rPr>
          <w:rFonts w:ascii="Times New Roman" w:hAnsi="Times New Roman"/>
          <w:sz w:val="24"/>
          <w:szCs w:val="24"/>
          <w:u w:val="single"/>
        </w:rPr>
        <w:t>,</w:t>
      </w:r>
      <w:r w:rsidRPr="00E600C4">
        <w:rPr>
          <w:rFonts w:ascii="Times New Roman" w:hAnsi="Times New Roman"/>
          <w:sz w:val="24"/>
          <w:szCs w:val="24"/>
        </w:rPr>
        <w:t xml:space="preserve"> </w:t>
      </w:r>
      <w:r w:rsidRPr="00E600C4">
        <w:rPr>
          <w:rFonts w:ascii="Times New Roman" w:hAnsi="Times New Roman"/>
          <w:bCs/>
          <w:sz w:val="24"/>
          <w:szCs w:val="24"/>
        </w:rPr>
        <w:t xml:space="preserve">2019 NY Slip Op 00753, </w:t>
      </w:r>
      <w:r w:rsidRPr="00E600C4">
        <w:rPr>
          <w:rFonts w:ascii="Times New Roman" w:hAnsi="Times New Roman"/>
          <w:sz w:val="24"/>
          <w:szCs w:val="24"/>
        </w:rPr>
        <w:t xml:space="preserve">the New York Supreme Court, Appellant Division, overturned a lower court’s decision and held (5 to 0) that any changes in minimum manning shall go to arbitration under the collective bargaining agreement. “Contrary to the City's contention, the staffing provisions do not operate to mandate a total number of firefighters that must be employed; rather, they relate solely to the minimum number of firefighters required to be present during shifts and regular operations….”  </w:t>
      </w:r>
      <w:bookmarkStart w:id="650" w:name="_Hlk39861149"/>
      <w:r w:rsidR="00B0089C">
        <w:fldChar w:fldCharType="begin"/>
      </w:r>
      <w:r w:rsidR="00B0089C">
        <w:instrText xml:space="preserve"> HYPERLINK "https://law.justia.com/cases/new-york/appellate-division-fourth-department/2019/1134-ca-18-00961.html" </w:instrText>
      </w:r>
      <w:r w:rsidR="00B0089C">
        <w:fldChar w:fldCharType="separate"/>
      </w:r>
      <w:r w:rsidRPr="00E600C4">
        <w:rPr>
          <w:rStyle w:val="Hyperlink"/>
          <w:rFonts w:ascii="Times New Roman" w:hAnsi="Times New Roman"/>
          <w:sz w:val="24"/>
          <w:szCs w:val="24"/>
        </w:rPr>
        <w:t>https://law.justia.com/cases/new-york/appellate-division-fourth-department/2019/1134-ca-18-00961.html</w:t>
      </w:r>
      <w:r w:rsidR="00B0089C">
        <w:rPr>
          <w:rStyle w:val="Hyperlink"/>
          <w:rFonts w:ascii="Times New Roman" w:hAnsi="Times New Roman"/>
          <w:sz w:val="24"/>
          <w:szCs w:val="24"/>
        </w:rPr>
        <w:fldChar w:fldCharType="end"/>
      </w:r>
      <w:r w:rsidRPr="00E600C4">
        <w:rPr>
          <w:rFonts w:ascii="Times New Roman" w:hAnsi="Times New Roman"/>
          <w:sz w:val="24"/>
          <w:szCs w:val="24"/>
        </w:rPr>
        <w:t xml:space="preserve"> </w:t>
      </w:r>
    </w:p>
    <w:bookmarkEnd w:id="650"/>
    <w:p w14:paraId="6173BD63" w14:textId="77777777" w:rsidR="00F326E5" w:rsidRPr="00E600C4" w:rsidRDefault="00F326E5" w:rsidP="00F326E5">
      <w:pPr>
        <w:pStyle w:val="NormalWeb"/>
        <w:rPr>
          <w:b/>
        </w:rPr>
      </w:pPr>
      <w:r w:rsidRPr="00E600C4">
        <w:rPr>
          <w:b/>
        </w:rPr>
        <w:t xml:space="preserve">Legal Lessons Learned:  Courts favor arbitration regarding CBA disputes, unless it </w:t>
      </w:r>
      <w:proofErr w:type="gramStart"/>
      <w:r w:rsidRPr="00E600C4">
        <w:rPr>
          <w:b/>
        </w:rPr>
        <w:t>involved</w:t>
      </w:r>
      <w:proofErr w:type="gramEnd"/>
      <w:r w:rsidRPr="00E600C4">
        <w:rPr>
          <w:b/>
        </w:rPr>
        <w:t xml:space="preserve"> items that are clearly management right (such as </w:t>
      </w:r>
      <w:proofErr w:type="gramStart"/>
      <w:r w:rsidRPr="00E600C4">
        <w:rPr>
          <w:b/>
        </w:rPr>
        <w:t>lay-offs</w:t>
      </w:r>
      <w:proofErr w:type="gramEnd"/>
      <w:r w:rsidRPr="00E600C4">
        <w:rPr>
          <w:b/>
        </w:rPr>
        <w:t xml:space="preserve">). </w:t>
      </w:r>
    </w:p>
    <w:p w14:paraId="0E34539E" w14:textId="77777777" w:rsidR="00F326E5" w:rsidRPr="00E600C4" w:rsidRDefault="00F326E5" w:rsidP="00F326E5">
      <w:pPr>
        <w:pStyle w:val="NormalWeb"/>
        <w:ind w:left="720"/>
      </w:pPr>
      <w:r w:rsidRPr="00E600C4">
        <w:t xml:space="preserve">Note: The City has reportedly decided to ask New York’s highest court [Court of Appeals – 7 Justices] to hear their appeal.  See Feb. 5, </w:t>
      </w:r>
      <w:proofErr w:type="gramStart"/>
      <w:r w:rsidRPr="00E600C4">
        <w:t>2019</w:t>
      </w:r>
      <w:proofErr w:type="gramEnd"/>
      <w:r w:rsidRPr="00E600C4">
        <w:t xml:space="preserve"> article: “</w:t>
      </w:r>
      <w:r w:rsidRPr="00E600C4">
        <w:rPr>
          <w:color w:val="000000"/>
        </w:rPr>
        <w:t xml:space="preserve">City to Take Firefighters Union to NY Supreme Court.”  </w:t>
      </w:r>
      <w:r w:rsidRPr="00E600C4">
        <w:t xml:space="preserve">“WATERTOWN — Three days after losing a lower court’s ruling, the city is taking steps to take an arbitration case against the city’s firefighters’ union to the state’s highest court. *** Coming out of a lengthy executive session, Mayor Joseph M. Butler Jr. said on Monday night the City Council agreed to file the appeal with the Court of Appeals, the state’s highest court…. With the highest court granting just a few of those requests, the city must petition the Court of Appeals and convince the seven-judge panel to take the case because the lower court’s decision was unanimous. ‘It’s a long shot,’ the mayor </w:t>
      </w:r>
      <w:proofErr w:type="gramStart"/>
      <w:r w:rsidRPr="00E600C4">
        <w:t>said.”</w:t>
      </w:r>
      <w:proofErr w:type="gramEnd"/>
      <w:r w:rsidRPr="00E600C4">
        <w:t xml:space="preserve">  </w:t>
      </w:r>
      <w:hyperlink r:id="rId2768" w:history="1">
        <w:r w:rsidRPr="00E600C4">
          <w:rPr>
            <w:rStyle w:val="Hyperlink"/>
          </w:rPr>
          <w:t>https://www.firehouse.com/careers-education/news/21056124/watertownofficials-wants-to-take-firefighters-union-to-new-york-supreme-court</w:t>
        </w:r>
      </w:hyperlink>
      <w:r w:rsidRPr="00E600C4">
        <w:t xml:space="preserve"> </w:t>
      </w:r>
    </w:p>
    <w:p w14:paraId="087889E7" w14:textId="77777777" w:rsidR="00F326E5" w:rsidRPr="00E600C4" w:rsidRDefault="00F326E5" w:rsidP="00F326E5">
      <w:pPr>
        <w:pStyle w:val="NormalWeb"/>
        <w:ind w:left="720"/>
      </w:pPr>
      <w:r w:rsidRPr="00E600C4">
        <w:t xml:space="preserve">See also Feb. 7, </w:t>
      </w:r>
      <w:proofErr w:type="gramStart"/>
      <w:r w:rsidRPr="00E600C4">
        <w:t>2019</w:t>
      </w:r>
      <w:proofErr w:type="gramEnd"/>
      <w:r w:rsidRPr="00E600C4">
        <w:t xml:space="preserve"> article: “Lawyer Fees </w:t>
      </w:r>
      <w:proofErr w:type="gramStart"/>
      <w:r w:rsidRPr="00E600C4">
        <w:t>For</w:t>
      </w:r>
      <w:proofErr w:type="gramEnd"/>
      <w:r w:rsidRPr="00E600C4">
        <w:t xml:space="preserve"> Watertown Fire Department Dispute Nearing $800,000.” </w:t>
      </w:r>
      <w:hyperlink r:id="rId2769" w:history="1">
        <w:r w:rsidRPr="00E600C4">
          <w:rPr>
            <w:rStyle w:val="Hyperlink"/>
          </w:rPr>
          <w:t>https://www.watertowndailytimes.com/news03/lawyer-fees-for-watertown-fire-department-dispute-nearing-800000-20190207</w:t>
        </w:r>
      </w:hyperlink>
      <w:r w:rsidRPr="00E600C4">
        <w:t xml:space="preserve"> </w:t>
      </w:r>
    </w:p>
    <w:p w14:paraId="5A54C6CC" w14:textId="2D23F488" w:rsidR="00F326E5" w:rsidRPr="00E600C4" w:rsidRDefault="00F326E5" w:rsidP="00E600C4">
      <w:pPr>
        <w:pStyle w:val="NormalWeb"/>
        <w:ind w:left="720"/>
      </w:pPr>
      <w:bookmarkStart w:id="651" w:name="_Hlk39861081"/>
      <w:r w:rsidRPr="00E600C4">
        <w:t xml:space="preserve">Feb. 1, 2019: NY - Watertown Firefighters Win Legal </w:t>
      </w:r>
      <w:r w:rsidR="00E600C4">
        <w:t xml:space="preserve">Victory: </w:t>
      </w:r>
      <w:hyperlink r:id="rId2770" w:history="1">
        <w:r w:rsidRPr="00E600C4">
          <w:rPr>
            <w:rStyle w:val="Hyperlink"/>
          </w:rPr>
          <w:t>https://www.wwnytv.com/story/39893183/watertown-firefighters-win-legal-victory</w:t>
        </w:r>
      </w:hyperlink>
      <w:bookmarkEnd w:id="651"/>
      <w:r w:rsidRPr="00E600C4">
        <w:t xml:space="preserve"> </w:t>
      </w:r>
    </w:p>
    <w:p w14:paraId="348ED6E4" w14:textId="77777777" w:rsidR="00CA57F1" w:rsidRDefault="00CA57F1" w:rsidP="00F326E5">
      <w:pPr>
        <w:rPr>
          <w:sz w:val="24"/>
          <w:szCs w:val="24"/>
        </w:rPr>
      </w:pPr>
      <w:bookmarkStart w:id="652" w:name="_Hlk7349662"/>
      <w:bookmarkEnd w:id="648"/>
    </w:p>
    <w:p w14:paraId="54D21001" w14:textId="77777777" w:rsidR="00CA57F1" w:rsidRDefault="00CA57F1" w:rsidP="00F326E5">
      <w:pPr>
        <w:rPr>
          <w:sz w:val="24"/>
          <w:szCs w:val="24"/>
        </w:rPr>
      </w:pPr>
    </w:p>
    <w:p w14:paraId="7BEDE829" w14:textId="77777777" w:rsidR="00CA57F1" w:rsidRDefault="00CA57F1" w:rsidP="00F326E5">
      <w:pPr>
        <w:rPr>
          <w:sz w:val="24"/>
          <w:szCs w:val="24"/>
        </w:rPr>
      </w:pPr>
    </w:p>
    <w:p w14:paraId="795075B7" w14:textId="77777777" w:rsidR="000C4DF5" w:rsidRDefault="000C4DF5" w:rsidP="00F326E5">
      <w:pPr>
        <w:rPr>
          <w:rFonts w:ascii="Arial Black" w:hAnsi="Arial Black"/>
          <w:b/>
          <w:sz w:val="28"/>
          <w:szCs w:val="28"/>
        </w:rPr>
      </w:pPr>
    </w:p>
    <w:p w14:paraId="2D825C6D" w14:textId="6514FF16" w:rsidR="000C4DF5" w:rsidRDefault="000C4DF5" w:rsidP="000C4DF5">
      <w:pPr>
        <w:pStyle w:val="NoSpacing"/>
        <w:rPr>
          <w:rFonts w:ascii="Arial Black" w:hAnsi="Arial Black"/>
          <w:sz w:val="24"/>
          <w:szCs w:val="24"/>
        </w:rPr>
      </w:pPr>
      <w:r>
        <w:rPr>
          <w:rFonts w:ascii="Arial Black" w:hAnsi="Arial Black"/>
          <w:sz w:val="24"/>
          <w:szCs w:val="24"/>
        </w:rPr>
        <w:t>17-1</w:t>
      </w:r>
    </w:p>
    <w:p w14:paraId="695CF07A" w14:textId="77777777" w:rsidR="000C4DF5" w:rsidRDefault="000C4DF5" w:rsidP="00F326E5">
      <w:pPr>
        <w:rPr>
          <w:rFonts w:ascii="Arial Black" w:hAnsi="Arial Black"/>
          <w:b/>
          <w:sz w:val="28"/>
          <w:szCs w:val="28"/>
        </w:rPr>
      </w:pPr>
    </w:p>
    <w:p w14:paraId="285D138A" w14:textId="1EC0E6A4" w:rsidR="00F326E5" w:rsidRPr="005157CA" w:rsidRDefault="00F326E5" w:rsidP="00F326E5">
      <w:pPr>
        <w:rPr>
          <w:b/>
          <w:sz w:val="24"/>
          <w:szCs w:val="24"/>
        </w:rPr>
      </w:pPr>
      <w:r w:rsidRPr="00512C93">
        <w:rPr>
          <w:rFonts w:ascii="Arial Black" w:hAnsi="Arial Black"/>
          <w:b/>
          <w:sz w:val="28"/>
          <w:szCs w:val="28"/>
        </w:rPr>
        <w:t xml:space="preserve">U.S. </w:t>
      </w:r>
      <w:r>
        <w:rPr>
          <w:rFonts w:ascii="Arial Black" w:hAnsi="Arial Black"/>
          <w:b/>
          <w:sz w:val="28"/>
          <w:szCs w:val="28"/>
        </w:rPr>
        <w:t xml:space="preserve">SUPREME COURT: ARBITRATION BINDING ON ACCOUNTANT – EMPLOYEE THEREFORE CAN’T SUE </w:t>
      </w:r>
    </w:p>
    <w:p w14:paraId="15C34DDC"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May 21, 2018, in </w:t>
      </w:r>
      <w:r w:rsidRPr="00E600C4">
        <w:rPr>
          <w:rFonts w:ascii="Times New Roman" w:hAnsi="Times New Roman"/>
          <w:sz w:val="24"/>
          <w:szCs w:val="24"/>
          <w:u w:val="single"/>
        </w:rPr>
        <w:t>Epic Systems Corp. v. Lewis</w:t>
      </w:r>
      <w:r w:rsidRPr="00E600C4">
        <w:rPr>
          <w:rFonts w:ascii="Times New Roman" w:hAnsi="Times New Roman"/>
          <w:sz w:val="24"/>
          <w:szCs w:val="24"/>
        </w:rPr>
        <w:t>, the U.S. Supreme Court (5 to 4), 584 U.S. ___ (2018), in a decision written by newly appointed Justice Gorsuch, held:</w:t>
      </w:r>
    </w:p>
    <w:p w14:paraId="54B05E62" w14:textId="77777777" w:rsidR="00E600C4" w:rsidRDefault="00E600C4" w:rsidP="00F326E5">
      <w:pPr>
        <w:pStyle w:val="NoSpacing"/>
        <w:ind w:left="720"/>
        <w:rPr>
          <w:rFonts w:ascii="Times New Roman" w:eastAsia="Times New Roman" w:hAnsi="Times New Roman"/>
          <w:sz w:val="24"/>
          <w:szCs w:val="24"/>
        </w:rPr>
      </w:pPr>
    </w:p>
    <w:p w14:paraId="008E9CCC" w14:textId="57F45D69" w:rsidR="00F326E5" w:rsidRPr="00E600C4" w:rsidRDefault="00F326E5" w:rsidP="00F326E5">
      <w:pPr>
        <w:pStyle w:val="NoSpacing"/>
        <w:ind w:left="720"/>
        <w:rPr>
          <w:rFonts w:ascii="Times New Roman" w:hAnsi="Times New Roman"/>
          <w:sz w:val="24"/>
          <w:szCs w:val="24"/>
        </w:rPr>
      </w:pPr>
      <w:r w:rsidRPr="00E600C4">
        <w:rPr>
          <w:rFonts w:ascii="Times New Roman" w:eastAsia="Times New Roman" w:hAnsi="Times New Roman"/>
          <w:sz w:val="24"/>
          <w:szCs w:val="24"/>
        </w:rPr>
        <w:t xml:space="preserve">“Should employees and employers be allowed to agree that any disputes between them will be resolved through one-on-one arbitration? Or should employees always be permitted to bring their claims in class or collective actions, no matter what they agreed with their employers?  As a matter of policy these </w:t>
      </w:r>
      <w:r w:rsidRPr="00E600C4">
        <w:rPr>
          <w:rFonts w:ascii="Times New Roman" w:eastAsia="Times New Roman" w:hAnsi="Times New Roman"/>
          <w:sz w:val="24"/>
          <w:szCs w:val="24"/>
        </w:rPr>
        <w:lastRenderedPageBreak/>
        <w:t xml:space="preserve">questions are surely debatable. But as a matter of law the answer is clear. In the Federal Arbitration Act, Congress has instructed federal courts to enforce arbitration agreements according to their terms—including terms providing for individualized proceedings.” </w:t>
      </w:r>
      <w:hyperlink r:id="rId2771" w:history="1">
        <w:r w:rsidRPr="00E600C4">
          <w:rPr>
            <w:rStyle w:val="Hyperlink"/>
            <w:rFonts w:ascii="Times New Roman" w:hAnsi="Times New Roman"/>
            <w:sz w:val="24"/>
            <w:szCs w:val="24"/>
          </w:rPr>
          <w:t>https://www.supremecourt.gov/opinions/17pdf/16-285_q8l1.pdf</w:t>
        </w:r>
      </w:hyperlink>
    </w:p>
    <w:p w14:paraId="7A21EBDA" w14:textId="36776981" w:rsidR="00F326E5" w:rsidRPr="00E600C4" w:rsidRDefault="00F326E5" w:rsidP="00F326E5">
      <w:pPr>
        <w:pStyle w:val="statutory-body-3em"/>
        <w:rPr>
          <w:b/>
        </w:rPr>
      </w:pPr>
      <w:r w:rsidRPr="00E600C4">
        <w:rPr>
          <w:b/>
        </w:rPr>
        <w:t xml:space="preserve">Legal Lessons Learned:  Many employers, including private ambulance companies, will now be encouraged to have new hires sign an arbitration document.  </w:t>
      </w:r>
      <w:r w:rsidR="000C4DF5" w:rsidRPr="00E600C4">
        <w:rPr>
          <w:b/>
        </w:rPr>
        <w:t xml:space="preserve">  </w:t>
      </w:r>
    </w:p>
    <w:p w14:paraId="0261F310" w14:textId="77777777" w:rsidR="00F326E5" w:rsidRPr="00E600C4" w:rsidRDefault="00F326E5" w:rsidP="00F326E5">
      <w:pPr>
        <w:pStyle w:val="statutory-body-3em"/>
        <w:ind w:left="720"/>
      </w:pPr>
      <w:r w:rsidRPr="00E600C4">
        <w:t xml:space="preserve">AFL-CIO President Richard Trauma was quoted, “Five justices on the Supreme Court decided that it is acceptable for working people to have their legal rights taken away by corporations in order to keep their jobs.” </w:t>
      </w:r>
      <w:hyperlink r:id="rId2772" w:history="1">
        <w:r w:rsidRPr="00E600C4">
          <w:rPr>
            <w:rStyle w:val="Hyperlink"/>
          </w:rPr>
          <w:t>https://www.sfgate.com/news/article/Supreme-Court-rules-that-companies-can-require-12931130.php</w:t>
        </w:r>
      </w:hyperlink>
      <w:r w:rsidRPr="00E600C4">
        <w:t xml:space="preserve"> </w:t>
      </w:r>
    </w:p>
    <w:p w14:paraId="02B66098" w14:textId="67A86A1F" w:rsidR="00F326E5" w:rsidRPr="00E600C4" w:rsidRDefault="00F326E5" w:rsidP="00F326E5">
      <w:pPr>
        <w:pStyle w:val="NormalWeb"/>
        <w:ind w:left="720"/>
      </w:pPr>
      <w:r w:rsidRPr="00E600C4">
        <w:t xml:space="preserve">Note:  </w:t>
      </w:r>
      <w:r w:rsidR="0003275C">
        <w:t>S</w:t>
      </w:r>
      <w:r w:rsidRPr="00E600C4">
        <w:t xml:space="preserve">ee Jan. 15, 2019 U.S. Supreme Court decision in New Prime, Inc. v. Oliveira, </w:t>
      </w:r>
      <w:r w:rsidRPr="00E600C4">
        <w:rPr>
          <w:rStyle w:val="Strong"/>
        </w:rPr>
        <w:t>Holding</w:t>
      </w:r>
      <w:r w:rsidRPr="00E600C4">
        <w:rPr>
          <w:b/>
        </w:rPr>
        <w:t>:</w:t>
      </w:r>
      <w:r w:rsidRPr="00E600C4">
        <w:t xml:space="preserve"> A court should determine whether the Federal Arbitration Act’s Section 1 exclusion for disputes involving the “contracts of employment” of certain transportation workers applies before ordering arbitration; here, truck driver Dominic Oliveira’s independent contractor operating agreement with New Prime Inc. falls within that exception. </w:t>
      </w:r>
      <w:r w:rsidRPr="00E600C4">
        <w:rPr>
          <w:rStyle w:val="Strong"/>
        </w:rPr>
        <w:t>Judgment</w:t>
      </w:r>
      <w:r w:rsidRPr="00E600C4">
        <w:rPr>
          <w:b/>
        </w:rPr>
        <w:t xml:space="preserve">: </w:t>
      </w:r>
      <w:hyperlink r:id="rId2773" w:tgtFrame="_blank" w:history="1">
        <w:r w:rsidRPr="00E600C4">
          <w:rPr>
            <w:rStyle w:val="Hyperlink"/>
          </w:rPr>
          <w:t>Affirmed</w:t>
        </w:r>
      </w:hyperlink>
      <w:r w:rsidRPr="00E600C4">
        <w:t xml:space="preserve">, 8-0, in an opinion by Justice Gorsuch on January 15, 2019. Justice Ginsburg filed a concurring opinion. Justice Kavanaugh took no part in the consideration or decision of the case. </w:t>
      </w:r>
      <w:hyperlink r:id="rId2774" w:history="1">
        <w:r w:rsidRPr="00E600C4">
          <w:rPr>
            <w:rStyle w:val="Hyperlink"/>
          </w:rPr>
          <w:t>https://www.scotusblog.com/case-files/cases/new-prime-inc-v-oliveira/</w:t>
        </w:r>
      </w:hyperlink>
      <w:r w:rsidRPr="00E600C4">
        <w:t xml:space="preserve"> </w:t>
      </w:r>
    </w:p>
    <w:p w14:paraId="29A4480B" w14:textId="77777777" w:rsidR="00F326E5" w:rsidRPr="0038317F" w:rsidRDefault="00F326E5" w:rsidP="00F326E5">
      <w:pPr>
        <w:pStyle w:val="NoSpacing"/>
        <w:rPr>
          <w:rFonts w:ascii="Arial Black" w:hAnsi="Arial Black"/>
          <w:sz w:val="40"/>
          <w:szCs w:val="40"/>
        </w:rPr>
      </w:pPr>
    </w:p>
    <w:p w14:paraId="1E6C878A" w14:textId="77777777" w:rsidR="00F326E5" w:rsidRDefault="00F326E5" w:rsidP="00F326E5">
      <w:pPr>
        <w:pStyle w:val="NoSpacing"/>
        <w:rPr>
          <w:rFonts w:ascii="Arial Black" w:hAnsi="Arial Black"/>
          <w:sz w:val="40"/>
          <w:szCs w:val="40"/>
        </w:rPr>
      </w:pPr>
    </w:p>
    <w:bookmarkEnd w:id="652"/>
    <w:p w14:paraId="44987826" w14:textId="77777777" w:rsidR="00F326E5" w:rsidRDefault="00F326E5" w:rsidP="00F326E5">
      <w:pPr>
        <w:rPr>
          <w:rFonts w:ascii="Arial Black" w:hAnsi="Arial Black"/>
          <w:sz w:val="40"/>
          <w:szCs w:val="40"/>
        </w:rPr>
      </w:pPr>
      <w:r>
        <w:rPr>
          <w:rFonts w:ascii="Arial Black" w:hAnsi="Arial Black"/>
          <w:sz w:val="40"/>
          <w:szCs w:val="40"/>
        </w:rPr>
        <w:br w:type="page"/>
      </w:r>
    </w:p>
    <w:p w14:paraId="0D227104" w14:textId="6F47691A" w:rsidR="00DF36E6" w:rsidRDefault="00DF36E6">
      <w:pPr>
        <w:spacing w:after="0" w:line="240" w:lineRule="auto"/>
        <w:rPr>
          <w:rFonts w:ascii="Arial Black" w:hAnsi="Arial Black"/>
          <w:sz w:val="40"/>
          <w:szCs w:val="40"/>
        </w:rPr>
      </w:pPr>
      <w:r>
        <w:rPr>
          <w:rFonts w:ascii="Arial Black" w:hAnsi="Arial Black"/>
          <w:sz w:val="40"/>
          <w:szCs w:val="40"/>
        </w:rPr>
        <w:lastRenderedPageBreak/>
        <w:br w:type="page"/>
      </w:r>
    </w:p>
    <w:p w14:paraId="28461A6E" w14:textId="6E7A6496" w:rsidR="00F326E5" w:rsidRPr="007732FA" w:rsidRDefault="00F326E5" w:rsidP="00F326E5">
      <w:pPr>
        <w:pStyle w:val="NoSpacing"/>
        <w:rPr>
          <w:rFonts w:ascii="Arial Black" w:hAnsi="Arial Black"/>
          <w:sz w:val="40"/>
          <w:szCs w:val="40"/>
        </w:rPr>
      </w:pPr>
      <w:r w:rsidRPr="007732FA">
        <w:rPr>
          <w:rFonts w:ascii="Arial Black" w:hAnsi="Arial Black"/>
          <w:sz w:val="40"/>
          <w:szCs w:val="40"/>
        </w:rPr>
        <w:lastRenderedPageBreak/>
        <w:t xml:space="preserve">Chap. 18 </w:t>
      </w:r>
      <w:r w:rsidRPr="007732FA">
        <w:rPr>
          <w:rFonts w:ascii="Arial Black" w:hAnsi="Arial Black"/>
          <w:sz w:val="40"/>
          <w:szCs w:val="40"/>
        </w:rPr>
        <w:tab/>
      </w:r>
      <w:r w:rsidRPr="007732FA">
        <w:rPr>
          <w:rFonts w:ascii="Arial Black" w:hAnsi="Arial Black"/>
          <w:sz w:val="40"/>
          <w:szCs w:val="40"/>
        </w:rPr>
        <w:tab/>
        <w:t>Legislation</w:t>
      </w:r>
      <w:r w:rsidR="00B15008">
        <w:rPr>
          <w:rFonts w:ascii="Arial Black" w:hAnsi="Arial Black"/>
          <w:sz w:val="40"/>
          <w:szCs w:val="40"/>
        </w:rPr>
        <w:t>, incl. Public Records</w:t>
      </w:r>
      <w:r w:rsidRPr="007732FA">
        <w:rPr>
          <w:rFonts w:ascii="Arial Black" w:hAnsi="Arial Black"/>
          <w:sz w:val="40"/>
          <w:szCs w:val="40"/>
        </w:rPr>
        <w:tab/>
      </w:r>
    </w:p>
    <w:p w14:paraId="2470B286" w14:textId="77777777" w:rsidR="00F326E5" w:rsidRDefault="00F326E5" w:rsidP="00F326E5">
      <w:pPr>
        <w:pStyle w:val="NoSpacing"/>
        <w:rPr>
          <w:rFonts w:ascii="Arial Black" w:hAnsi="Arial Black"/>
          <w:sz w:val="28"/>
          <w:szCs w:val="28"/>
        </w:rPr>
      </w:pPr>
    </w:p>
    <w:p w14:paraId="301CBB46" w14:textId="17A1BC90" w:rsidR="006F24F3" w:rsidRDefault="006F24F3" w:rsidP="000C4DF5">
      <w:pPr>
        <w:pStyle w:val="NoSpacing"/>
        <w:rPr>
          <w:rFonts w:ascii="Arial Black" w:hAnsi="Arial Black"/>
          <w:sz w:val="24"/>
          <w:szCs w:val="24"/>
        </w:rPr>
      </w:pPr>
      <w:bookmarkStart w:id="653" w:name="_Hlk66950840"/>
      <w:bookmarkStart w:id="654" w:name="_Hlk7349738"/>
      <w:r>
        <w:rPr>
          <w:rFonts w:ascii="Arial Black" w:hAnsi="Arial Black"/>
          <w:sz w:val="24"/>
          <w:szCs w:val="24"/>
        </w:rPr>
        <w:t>18-3</w:t>
      </w:r>
      <w:r w:rsidR="00191CD7">
        <w:rPr>
          <w:rFonts w:ascii="Arial Black" w:hAnsi="Arial Black"/>
          <w:sz w:val="24"/>
          <w:szCs w:val="24"/>
        </w:rPr>
        <w:t>3</w:t>
      </w:r>
    </w:p>
    <w:p w14:paraId="480B3161" w14:textId="77777777" w:rsidR="00191CD7" w:rsidRDefault="00191CD7" w:rsidP="000C4DF5">
      <w:pPr>
        <w:pStyle w:val="NoSpacing"/>
        <w:rPr>
          <w:rFonts w:ascii="Arial Black" w:hAnsi="Arial Black"/>
          <w:sz w:val="24"/>
          <w:szCs w:val="24"/>
        </w:rPr>
      </w:pPr>
    </w:p>
    <w:p w14:paraId="58D0AEEC" w14:textId="188D256F" w:rsidR="00191CD7" w:rsidRPr="00191CD7" w:rsidRDefault="00191CD7" w:rsidP="00191CD7">
      <w:pPr>
        <w:pStyle w:val="NoSpacing"/>
        <w:rPr>
          <w:rFonts w:ascii="Times New Roman" w:hAnsi="Times New Roman"/>
          <w:b/>
          <w:sz w:val="24"/>
          <w:szCs w:val="24"/>
        </w:rPr>
      </w:pPr>
      <w:r>
        <w:rPr>
          <w:rFonts w:ascii="Arial Black" w:hAnsi="Arial Black"/>
          <w:b/>
          <w:sz w:val="28"/>
          <w:szCs w:val="28"/>
        </w:rPr>
        <w:t xml:space="preserve">CT: NEW DROP LAW – NOT FF UNDER 55 – CASE PROCEED  </w:t>
      </w:r>
      <w:r w:rsidRPr="00191CD7">
        <w:rPr>
          <w:rFonts w:ascii="Times New Roman" w:hAnsi="Times New Roman"/>
          <w:b/>
          <w:sz w:val="24"/>
          <w:szCs w:val="24"/>
        </w:rPr>
        <w:t xml:space="preserve">[also filed, Chap. </w:t>
      </w:r>
      <w:r w:rsidR="00D95AF9">
        <w:rPr>
          <w:rFonts w:ascii="Times New Roman" w:hAnsi="Times New Roman"/>
          <w:b/>
          <w:sz w:val="24"/>
          <w:szCs w:val="24"/>
        </w:rPr>
        <w:t>6</w:t>
      </w:r>
      <w:r w:rsidRPr="00191CD7">
        <w:rPr>
          <w:rFonts w:ascii="Times New Roman" w:hAnsi="Times New Roman"/>
          <w:b/>
          <w:sz w:val="24"/>
          <w:szCs w:val="24"/>
        </w:rPr>
        <w:t>]</w:t>
      </w:r>
    </w:p>
    <w:p w14:paraId="58D37B95" w14:textId="77777777" w:rsidR="00191CD7" w:rsidRDefault="00191CD7" w:rsidP="00191CD7">
      <w:pPr>
        <w:pStyle w:val="NoSpacing"/>
      </w:pPr>
    </w:p>
    <w:p w14:paraId="4438F9E4" w14:textId="77777777" w:rsidR="00191CD7" w:rsidRDefault="00191CD7" w:rsidP="00191CD7">
      <w:pPr>
        <w:pStyle w:val="NoSpacing"/>
      </w:pPr>
      <w:r>
        <w:t xml:space="preserve">On February 4, 2026, in </w:t>
      </w:r>
      <w:r w:rsidRPr="004C7896">
        <w:rPr>
          <w:u w:val="single"/>
        </w:rPr>
        <w:t>David Dobbs, IAFF Local 834</w:t>
      </w:r>
      <w:r>
        <w:rPr>
          <w:u w:val="single"/>
        </w:rPr>
        <w:t xml:space="preserve">, et al. </w:t>
      </w:r>
      <w:r w:rsidRPr="004C7896">
        <w:rPr>
          <w:u w:val="single"/>
        </w:rPr>
        <w:t xml:space="preserve"> v. Brian Vahey, Chair of the State of Connecticut Municipal Employees Retirement Commission, et al</w:t>
      </w:r>
      <w:r w:rsidRPr="004C7896">
        <w:t>., U.S.</w:t>
      </w:r>
      <w:r>
        <w:rPr>
          <w:u w:val="single"/>
        </w:rPr>
        <w:t xml:space="preserve"> </w:t>
      </w:r>
      <w:r>
        <w:t xml:space="preserve">District Court Judge </w:t>
      </w:r>
    </w:p>
    <w:p w14:paraId="58D775D8" w14:textId="77777777" w:rsidR="00191CD7" w:rsidRDefault="00191CD7" w:rsidP="00191CD7">
      <w:pPr>
        <w:pStyle w:val="NoSpacing"/>
      </w:pPr>
      <w:r w:rsidRPr="004F64AC">
        <w:t xml:space="preserve">Sarala V. </w:t>
      </w:r>
      <w:proofErr w:type="spellStart"/>
      <w:r w:rsidRPr="004F64AC">
        <w:t>Nagala</w:t>
      </w:r>
      <w:proofErr w:type="spellEnd"/>
      <w:r w:rsidRPr="00357297">
        <w:t>, United States United States District Court for the District of Connecticut</w:t>
      </w:r>
      <w:r>
        <w:t>, denied the Commission’s motion to dismiss (</w:t>
      </w:r>
      <w:proofErr w:type="gramStart"/>
      <w:r>
        <w:t>and also</w:t>
      </w:r>
      <w:proofErr w:type="gramEnd"/>
      <w:r>
        <w:t xml:space="preserve"> Bridgeport firefighters and Union’s motion for preliminary injunction); case will now proceed with pre-trial discovery.  The Bridgeport firefighters and Local 834 argue that it is age discrimination under the new DROP program to allow some public safety employees (including Plaintiffs) to be eligible to retire—for instance, if they have completed twenty-five years of service—but ineligible to enter the DROP, because they are not yet age 55 and have not completed thirty years of service.  </w:t>
      </w:r>
      <w:hyperlink r:id="rId2775" w:history="1">
        <w:r w:rsidRPr="00FF19A6">
          <w:rPr>
            <w:rStyle w:val="Hyperlink"/>
          </w:rPr>
          <w:t>https://ecf.ctd.uscourts.gov/cgi-bin/show_public_doc?2025cv0824-74</w:t>
        </w:r>
      </w:hyperlink>
      <w:r>
        <w:t xml:space="preserve"> </w:t>
      </w:r>
    </w:p>
    <w:p w14:paraId="5CD0CD63" w14:textId="77777777" w:rsidR="00191CD7" w:rsidRDefault="00191CD7" w:rsidP="00191CD7">
      <w:pPr>
        <w:pStyle w:val="NoSpacing"/>
      </w:pPr>
    </w:p>
    <w:p w14:paraId="51643AB6" w14:textId="77777777" w:rsidR="00191CD7" w:rsidRDefault="00191CD7" w:rsidP="00191CD7">
      <w:pPr>
        <w:pStyle w:val="NoSpacing"/>
      </w:pPr>
      <w:r>
        <w:t xml:space="preserve">THE COURT HELD: “Effective July 1, 2025, certain members of the Connecticut Municipal Employees’ Retirement System who are otherwise eligible to retire can elect to defer their retirement allowance, while continuing their employment for up to five years, under a Deferred Retirement Option Plan (‘DROP’)…. </w:t>
      </w:r>
      <w:r w:rsidRPr="00D22380">
        <w:t>Under the statute adopted by the Connecticut legislature, the Connecticut State Employees</w:t>
      </w:r>
      <w:r>
        <w:t xml:space="preserve"> </w:t>
      </w:r>
      <w:r w:rsidRPr="00D22380">
        <w:t xml:space="preserve">Retirement Commission </w:t>
      </w:r>
      <w:r>
        <w:t>‘</w:t>
      </w:r>
      <w:r w:rsidRPr="00D22380">
        <w:t>may create</w:t>
      </w:r>
      <w:r>
        <w:t>’</w:t>
      </w:r>
      <w:r w:rsidRPr="00D22380">
        <w:t xml:space="preserve"> a DROP, which </w:t>
      </w:r>
      <w:r>
        <w:t>‘</w:t>
      </w:r>
      <w:r w:rsidRPr="00D22380">
        <w:t>shall include a fixed period of time for</w:t>
      </w:r>
      <w:r>
        <w:t xml:space="preserve"> </w:t>
      </w:r>
      <w:r w:rsidRPr="00D22380">
        <w:t>member participation, not to exceed five years, and a specified rate of interest credit for member</w:t>
      </w:r>
      <w:r>
        <w:t xml:space="preserve"> </w:t>
      </w:r>
      <w:r w:rsidRPr="00D22380">
        <w:t>accounts.” Conn. Gen. Stat. § 7-459b(b)</w:t>
      </w:r>
      <w:r>
        <w:t xml:space="preserve">…. As relevant here, retirement-eligible firefighters may join the DROP at age 57 with five years of continuous service, at age 55 with 25 years of aggregate service, or with 30 years of aggregate service regardless of age. The Individual Plaintiffs, firefighters with the Bridgeport Fire Department,1 are eligible for retirement allowances by virtue of their tenure with the Fire Department, but are all under age 55, and therefore ineligible to join the DROP. *** First, the Court notes that Defendants’ argument about the rationality of the age classification—that it incentivizes skilled employees to delay their retirement beyond the date they are first eligible to collect pension benefits, thereby extending the period during which the employees contribute to the plan and delaying the time at which they begin to receive payments— are not in fact arguments about the rationality of the challenged age classification at all: they are simply arguments about the rationality of adopting a DROP as a whole….  </w:t>
      </w:r>
      <w:proofErr w:type="gramStart"/>
      <w:r>
        <w:t>(‘[</w:t>
      </w:r>
      <w:proofErr w:type="gramEnd"/>
      <w:r>
        <w:t>The DROP] is also intended to encourage . . . skilled employees to stick around and delay their retirement’). Defendants do not meaningfully explain why this reasoning would apply differently to retirement-eligible firefighters who are under age 55 than to those who are age 55 or older. The desire to keep skilled employees working for a longer period and to delay paying benefits applies to all employees, regardless of age, and therefore does not squarely address the age-55 requirement Plaintiffs challenge here.”</w:t>
      </w:r>
    </w:p>
    <w:p w14:paraId="0D2D399A" w14:textId="77777777" w:rsidR="00191CD7" w:rsidRDefault="00191CD7" w:rsidP="00191CD7">
      <w:pPr>
        <w:pStyle w:val="NoSpacing"/>
      </w:pPr>
    </w:p>
    <w:p w14:paraId="1B07887D" w14:textId="77777777" w:rsidR="00191CD7" w:rsidRDefault="00191CD7" w:rsidP="00191CD7">
      <w:pPr>
        <w:pStyle w:val="NoSpacing"/>
        <w:rPr>
          <w:b/>
          <w:bCs/>
        </w:rPr>
      </w:pPr>
      <w:r w:rsidRPr="007A4F40">
        <w:rPr>
          <w:b/>
        </w:rPr>
        <w:t xml:space="preserve">Legal lesson learned: </w:t>
      </w:r>
      <w:r>
        <w:rPr>
          <w:b/>
        </w:rPr>
        <w:t xml:space="preserve">The case will now proceed with pre-trial discovery; the Commission will then likely file a motion for summary judgment that addresses the cost reasons for keeping eligibility at age 55 or older. </w:t>
      </w:r>
    </w:p>
    <w:p w14:paraId="0B0BD817" w14:textId="77777777" w:rsidR="00191CD7" w:rsidRDefault="00191CD7" w:rsidP="00191CD7">
      <w:pPr>
        <w:pStyle w:val="NoSpacing"/>
        <w:rPr>
          <w:b/>
          <w:bCs/>
        </w:rPr>
      </w:pPr>
    </w:p>
    <w:p w14:paraId="606D9211" w14:textId="77777777" w:rsidR="00191CD7" w:rsidRDefault="00191CD7" w:rsidP="00191CD7">
      <w:pPr>
        <w:pStyle w:val="NoSpacing"/>
      </w:pPr>
      <w:r>
        <w:tab/>
        <w:t xml:space="preserve">Note: See Ohio DROP. </w:t>
      </w:r>
      <w:hyperlink r:id="rId2776" w:history="1">
        <w:r w:rsidRPr="00FF19A6">
          <w:rPr>
            <w:rStyle w:val="Hyperlink"/>
          </w:rPr>
          <w:t>https://www.op-f.org/files/mgdrop.pdf</w:t>
        </w:r>
      </w:hyperlink>
      <w:r>
        <w:t xml:space="preserve"> </w:t>
      </w:r>
    </w:p>
    <w:p w14:paraId="66897A5A" w14:textId="77777777" w:rsidR="00191CD7" w:rsidRDefault="00191CD7" w:rsidP="00191CD7">
      <w:pPr>
        <w:pStyle w:val="NoSpacing"/>
        <w:ind w:left="720"/>
      </w:pPr>
      <w:r>
        <w:t>“If you are eligible for a normal service retirement you can enter the DROP</w:t>
      </w:r>
    </w:p>
    <w:p w14:paraId="4327C947" w14:textId="77777777" w:rsidR="00191CD7" w:rsidRDefault="00191CD7" w:rsidP="00191CD7">
      <w:pPr>
        <w:pStyle w:val="NoSpacing"/>
        <w:ind w:firstLine="720"/>
      </w:pPr>
      <w:r>
        <w:t>program by delaying retirement and continuing to work as a police officer or</w:t>
      </w:r>
    </w:p>
    <w:p w14:paraId="686188EC" w14:textId="77777777" w:rsidR="00191CD7" w:rsidRDefault="00191CD7" w:rsidP="00191CD7">
      <w:pPr>
        <w:pStyle w:val="NoSpacing"/>
        <w:ind w:firstLine="720"/>
      </w:pPr>
      <w:r>
        <w:t>firefighter. For those who were OP&amp;F members on or before July 1, 2013,</w:t>
      </w:r>
    </w:p>
    <w:p w14:paraId="00CEC7AA" w14:textId="77777777" w:rsidR="00191CD7" w:rsidRDefault="00191CD7" w:rsidP="00191CD7">
      <w:pPr>
        <w:pStyle w:val="NoSpacing"/>
        <w:ind w:firstLine="720"/>
      </w:pPr>
      <w:proofErr w:type="gramStart"/>
      <w:r>
        <w:t>normal</w:t>
      </w:r>
      <w:proofErr w:type="gramEnd"/>
      <w:r>
        <w:t xml:space="preserve"> service retirement eligibility is at least 48 years of age with at least 25 years</w:t>
      </w:r>
    </w:p>
    <w:p w14:paraId="17CE76E3" w14:textId="77777777" w:rsidR="00191CD7" w:rsidRDefault="00191CD7" w:rsidP="00191CD7">
      <w:pPr>
        <w:pStyle w:val="NoSpacing"/>
        <w:ind w:firstLine="720"/>
      </w:pPr>
      <w:r>
        <w:t>of service. For members hired into an OP&amp;F-covered position after July 1, 2013,</w:t>
      </w:r>
    </w:p>
    <w:p w14:paraId="66B3A9CC" w14:textId="77777777" w:rsidR="00191CD7" w:rsidRPr="004749CB" w:rsidRDefault="00191CD7" w:rsidP="00191CD7">
      <w:pPr>
        <w:pStyle w:val="NoSpacing"/>
        <w:ind w:firstLine="720"/>
      </w:pPr>
      <w:r>
        <w:t>normal service retirement is age 52 with at least 25 years of service.”</w:t>
      </w:r>
    </w:p>
    <w:p w14:paraId="1585D975" w14:textId="77777777" w:rsidR="00191CD7" w:rsidRDefault="00191CD7" w:rsidP="00191CD7">
      <w:pPr>
        <w:pStyle w:val="NoSpacing"/>
      </w:pPr>
    </w:p>
    <w:p w14:paraId="4AF40D4F" w14:textId="77777777" w:rsidR="00191CD7" w:rsidRDefault="00191CD7" w:rsidP="00191CD7">
      <w:pPr>
        <w:pStyle w:val="NoSpacing"/>
      </w:pPr>
    </w:p>
    <w:p w14:paraId="6A51A26A" w14:textId="77777777" w:rsidR="00191CD7" w:rsidRDefault="00191CD7" w:rsidP="000C4DF5">
      <w:pPr>
        <w:pStyle w:val="NoSpacing"/>
        <w:rPr>
          <w:rFonts w:ascii="Arial Black" w:hAnsi="Arial Black"/>
          <w:sz w:val="24"/>
          <w:szCs w:val="24"/>
        </w:rPr>
      </w:pPr>
    </w:p>
    <w:p w14:paraId="6B8C9190" w14:textId="77777777" w:rsidR="006F24F3" w:rsidRDefault="006F24F3" w:rsidP="000C4DF5">
      <w:pPr>
        <w:pStyle w:val="NoSpacing"/>
        <w:rPr>
          <w:rFonts w:ascii="Arial Black" w:hAnsi="Arial Black"/>
          <w:sz w:val="24"/>
          <w:szCs w:val="24"/>
        </w:rPr>
      </w:pPr>
    </w:p>
    <w:p w14:paraId="7E4D0B21" w14:textId="33AF242C" w:rsidR="006F24F3" w:rsidRDefault="00D95AF9" w:rsidP="000C4DF5">
      <w:pPr>
        <w:pStyle w:val="NoSpacing"/>
        <w:rPr>
          <w:rFonts w:ascii="Arial Black" w:hAnsi="Arial Black"/>
          <w:sz w:val="24"/>
          <w:szCs w:val="24"/>
        </w:rPr>
      </w:pPr>
      <w:r>
        <w:rPr>
          <w:rFonts w:ascii="Arial Black" w:hAnsi="Arial Black"/>
          <w:sz w:val="24"/>
          <w:szCs w:val="24"/>
        </w:rPr>
        <w:lastRenderedPageBreak/>
        <w:t>18-32</w:t>
      </w:r>
    </w:p>
    <w:p w14:paraId="5FF7FDD2" w14:textId="77777777" w:rsidR="00740EF2" w:rsidRDefault="00740EF2" w:rsidP="000C4DF5">
      <w:pPr>
        <w:pStyle w:val="NoSpacing"/>
        <w:rPr>
          <w:rFonts w:ascii="Arial Black" w:hAnsi="Arial Black"/>
          <w:sz w:val="24"/>
          <w:szCs w:val="24"/>
        </w:rPr>
      </w:pPr>
    </w:p>
    <w:p w14:paraId="19BC6712" w14:textId="37DFFE8F" w:rsidR="00740EF2" w:rsidRPr="00956699" w:rsidRDefault="00740EF2" w:rsidP="00740EF2">
      <w:pPr>
        <w:pStyle w:val="NoSpacing"/>
        <w:rPr>
          <w:rFonts w:ascii="Times New Roman" w:hAnsi="Times New Roman"/>
          <w:b/>
          <w:bCs/>
          <w:sz w:val="24"/>
          <w:szCs w:val="24"/>
        </w:rPr>
      </w:pPr>
      <w:r>
        <w:rPr>
          <w:rFonts w:ascii="Arial Black" w:hAnsi="Arial Black"/>
          <w:sz w:val="28"/>
          <w:szCs w:val="28"/>
        </w:rPr>
        <w:t>FL: “HALO LAW”  – 25 FEET NO APPROACH ZONE</w:t>
      </w:r>
      <w:r>
        <w:t xml:space="preserve">  </w:t>
      </w:r>
      <w:r w:rsidRPr="00E96FEA">
        <w:rPr>
          <w:rFonts w:ascii="Arial Black" w:hAnsi="Arial Black"/>
          <w:sz w:val="28"/>
          <w:szCs w:val="28"/>
        </w:rPr>
        <w:t xml:space="preserve">- </w:t>
      </w:r>
      <w:r>
        <w:rPr>
          <w:rFonts w:ascii="Arial Black" w:hAnsi="Arial Black"/>
          <w:sz w:val="28"/>
          <w:szCs w:val="28"/>
        </w:rPr>
        <w:t xml:space="preserve">Eff. </w:t>
      </w:r>
      <w:r w:rsidRPr="00E96FEA">
        <w:rPr>
          <w:rFonts w:ascii="Arial Black" w:hAnsi="Arial Black"/>
          <w:sz w:val="28"/>
          <w:szCs w:val="28"/>
        </w:rPr>
        <w:t>1/1/2025</w:t>
      </w:r>
      <w:r>
        <w:rPr>
          <w:rFonts w:ascii="Arial Black" w:hAnsi="Arial Black"/>
          <w:sz w:val="28"/>
          <w:szCs w:val="28"/>
        </w:rPr>
        <w:t xml:space="preserve">  </w:t>
      </w:r>
      <w:r w:rsidRPr="00956699">
        <w:rPr>
          <w:rFonts w:ascii="Times New Roman" w:hAnsi="Times New Roman"/>
          <w:b/>
          <w:bCs/>
          <w:sz w:val="24"/>
          <w:szCs w:val="24"/>
        </w:rPr>
        <w:t>[als</w:t>
      </w:r>
      <w:r w:rsidR="00956699" w:rsidRPr="00956699">
        <w:rPr>
          <w:rFonts w:ascii="Times New Roman" w:hAnsi="Times New Roman"/>
          <w:b/>
          <w:bCs/>
          <w:sz w:val="24"/>
          <w:szCs w:val="24"/>
        </w:rPr>
        <w:t>o filed, Chap. 2]</w:t>
      </w:r>
    </w:p>
    <w:p w14:paraId="6BCAD223" w14:textId="77777777" w:rsidR="00740EF2" w:rsidRDefault="00740EF2" w:rsidP="00740EF2">
      <w:pPr>
        <w:pStyle w:val="NoSpacing"/>
      </w:pPr>
    </w:p>
    <w:p w14:paraId="5EEC762F" w14:textId="77777777" w:rsidR="00740EF2" w:rsidRPr="009564B9" w:rsidRDefault="00740EF2" w:rsidP="00740EF2">
      <w:pPr>
        <w:pStyle w:val="NoSpacing"/>
        <w:rPr>
          <w:b/>
        </w:rPr>
      </w:pPr>
      <w:r>
        <w:t xml:space="preserve">On January 1, 2025, the new “Halo Law” became effective. On April 12, 2024, Governor Ron DeSantis </w:t>
      </w:r>
      <w:proofErr w:type="gramStart"/>
      <w:r>
        <w:t>signed into law</w:t>
      </w:r>
      <w:proofErr w:type="gramEnd"/>
      <w:r>
        <w:t xml:space="preserve"> the Halo Law, passed under House Bill 184, </w:t>
      </w:r>
      <w:r w:rsidRPr="009564B9">
        <w:t>Impeding, Threatening, or Harassing First Responders</w:t>
      </w:r>
      <w:r>
        <w:t xml:space="preserve">. </w:t>
      </w:r>
      <w:hyperlink r:id="rId2777" w:history="1">
        <w:r w:rsidRPr="00734647">
          <w:rPr>
            <w:rStyle w:val="Hyperlink"/>
          </w:rPr>
          <w:t>https://www.flhouse.gov/Sections/Bills/billsdetail.aspx?BillId=78745</w:t>
        </w:r>
      </w:hyperlink>
      <w:r>
        <w:t xml:space="preserve"> </w:t>
      </w:r>
    </w:p>
    <w:p w14:paraId="307ED173" w14:textId="77777777" w:rsidR="00740EF2" w:rsidRDefault="00740EF2" w:rsidP="00740EF2">
      <w:pPr>
        <w:pStyle w:val="NoSpacing"/>
      </w:pPr>
    </w:p>
    <w:p w14:paraId="0C360398" w14:textId="77777777" w:rsidR="00740EF2" w:rsidRDefault="00740EF2" w:rsidP="00740EF2">
      <w:pPr>
        <w:pStyle w:val="NoSpacing"/>
      </w:pPr>
      <w:r>
        <w:t xml:space="preserve">Read the statute: </w:t>
      </w:r>
      <w:hyperlink r:id="rId2778" w:history="1">
        <w:r w:rsidRPr="00734647">
          <w:rPr>
            <w:rStyle w:val="Hyperlink"/>
          </w:rPr>
          <w:t>https://www.flhouse.gov/Sections/Documents/loaddoc.aspx?FileName=_s0184er.DOCX&amp;DocumentType=Bill&amp;BillNumber=184&amp;Session=2024</w:t>
        </w:r>
      </w:hyperlink>
      <w:r>
        <w:t xml:space="preserve"> </w:t>
      </w:r>
    </w:p>
    <w:p w14:paraId="0F349764" w14:textId="77777777" w:rsidR="00740EF2" w:rsidRDefault="00740EF2" w:rsidP="00740EF2">
      <w:pPr>
        <w:pStyle w:val="NoSpacing"/>
      </w:pPr>
      <w:r>
        <w:t>Section 1</w:t>
      </w:r>
    </w:p>
    <w:p w14:paraId="6FA0A181" w14:textId="77777777" w:rsidR="00740EF2" w:rsidRDefault="00740EF2" w:rsidP="00740EF2">
      <w:pPr>
        <w:pStyle w:val="NoSpacing"/>
      </w:pPr>
      <w:r>
        <w:t>Approaching a first responder with specified intent after a warning</w:t>
      </w:r>
    </w:p>
    <w:p w14:paraId="0060CB54" w14:textId="77777777" w:rsidR="00740EF2" w:rsidRDefault="00740EF2" w:rsidP="00740EF2">
      <w:pPr>
        <w:pStyle w:val="NoSpacing"/>
      </w:pPr>
      <w:r>
        <w:t>(1) As used in this section, the term:</w:t>
      </w:r>
    </w:p>
    <w:p w14:paraId="1C64F390" w14:textId="77777777" w:rsidR="00740EF2" w:rsidRDefault="00740EF2" w:rsidP="00740EF2">
      <w:pPr>
        <w:pStyle w:val="NoSpacing"/>
      </w:pPr>
      <w:r>
        <w:t>(a) “First responder” includes a law enforcement officer as defined in s. 943.10(1), a correctional probation officer as defined in s. 943.10(3), a firefighter as defined in s784.07(1), and an emergency medical care provider as defined in s. 784.07(1)</w:t>
      </w:r>
    </w:p>
    <w:p w14:paraId="67E0AEEF" w14:textId="77777777" w:rsidR="00740EF2" w:rsidRDefault="00740EF2" w:rsidP="00740EF2">
      <w:pPr>
        <w:pStyle w:val="NoSpacing"/>
      </w:pPr>
      <w:r>
        <w:t>(b) “Harass” means to willfully engage in a course of conduct directed at a first responder which intentionally causes substantial emotional distress in that first responder and serves no legitimate purpose.</w:t>
      </w:r>
    </w:p>
    <w:p w14:paraId="31A3E3F6" w14:textId="77777777" w:rsidR="00740EF2" w:rsidRDefault="00740EF2" w:rsidP="00740EF2">
      <w:pPr>
        <w:pStyle w:val="NoSpacing"/>
      </w:pPr>
      <w:r>
        <w:t>(2)(a) It is unlawful for a person, after receiving a verbal warning not to approach from a person he or she knows or reasonably should know is a first responder, who is engaged in the lawful performance of a legal duty, to knowingly and willfully violate such warning and approach or remain within 25 feet of the first responder with the intent to:</w:t>
      </w:r>
    </w:p>
    <w:p w14:paraId="776D25BC" w14:textId="77777777" w:rsidR="00740EF2" w:rsidRDefault="00740EF2" w:rsidP="00740EF2">
      <w:pPr>
        <w:pStyle w:val="NoSpacing"/>
      </w:pPr>
      <w:r>
        <w:t>1. Impede or interfere with the first responder’s ability to perform such duty;</w:t>
      </w:r>
    </w:p>
    <w:p w14:paraId="314DA78A" w14:textId="77777777" w:rsidR="00740EF2" w:rsidRDefault="00740EF2" w:rsidP="00740EF2">
      <w:pPr>
        <w:pStyle w:val="NoSpacing"/>
      </w:pPr>
      <w:r>
        <w:t>2. Threaten the first responder with physical harm; or</w:t>
      </w:r>
    </w:p>
    <w:p w14:paraId="0B2137EC" w14:textId="77777777" w:rsidR="00740EF2" w:rsidRDefault="00740EF2" w:rsidP="00740EF2">
      <w:pPr>
        <w:pStyle w:val="NoSpacing"/>
      </w:pPr>
      <w:r>
        <w:t>3. Harass the first responder.</w:t>
      </w:r>
    </w:p>
    <w:p w14:paraId="146B0399" w14:textId="77777777" w:rsidR="00740EF2" w:rsidRDefault="00740EF2" w:rsidP="00740EF2">
      <w:pPr>
        <w:pStyle w:val="NoSpacing"/>
      </w:pPr>
      <w:r>
        <w:t>(b) A person who violates this subsection commits a misdemeanor of the second degree, punishable as provided in s. 775.082 or s. 775.083.40</w:t>
      </w:r>
    </w:p>
    <w:p w14:paraId="6875B429" w14:textId="77777777" w:rsidR="00740EF2" w:rsidRDefault="00740EF2" w:rsidP="00740EF2">
      <w:pPr>
        <w:pStyle w:val="NoSpacing"/>
      </w:pPr>
      <w:r>
        <w:t>Section 2. This act shall take effect January 1, 2025.</w:t>
      </w:r>
    </w:p>
    <w:p w14:paraId="068D6FDA" w14:textId="77777777" w:rsidR="00740EF2" w:rsidRDefault="00740EF2" w:rsidP="00740EF2">
      <w:pPr>
        <w:pStyle w:val="NoSpacing"/>
      </w:pPr>
    </w:p>
    <w:p w14:paraId="7B08A155" w14:textId="77777777" w:rsidR="00740EF2" w:rsidRPr="00313F24" w:rsidRDefault="00740EF2" w:rsidP="00740EF2">
      <w:pPr>
        <w:pStyle w:val="NoSpacing"/>
        <w:rPr>
          <w:b/>
          <w:bCs/>
        </w:rPr>
      </w:pPr>
      <w:r>
        <w:rPr>
          <w:b/>
        </w:rPr>
        <w:t xml:space="preserve">Legal lesson learned: An excellent statute; hopefully similar laws will be enacted in many other </w:t>
      </w:r>
      <w:proofErr w:type="gramStart"/>
      <w:r>
        <w:rPr>
          <w:b/>
        </w:rPr>
        <w:t>state</w:t>
      </w:r>
      <w:proofErr w:type="gramEnd"/>
      <w:r>
        <w:rPr>
          <w:b/>
        </w:rPr>
        <w:t xml:space="preserve">. </w:t>
      </w:r>
    </w:p>
    <w:p w14:paraId="1522415A" w14:textId="77777777" w:rsidR="00740EF2" w:rsidRDefault="00740EF2" w:rsidP="00740EF2">
      <w:pPr>
        <w:pStyle w:val="NoSpacing"/>
      </w:pPr>
    </w:p>
    <w:p w14:paraId="5E31DCC1" w14:textId="77777777" w:rsidR="00740EF2" w:rsidRPr="00F642E3" w:rsidRDefault="00740EF2" w:rsidP="00740EF2">
      <w:pPr>
        <w:pStyle w:val="NoSpacing"/>
        <w:ind w:left="720"/>
        <w:rPr>
          <w:b/>
        </w:rPr>
      </w:pPr>
      <w:r>
        <w:t xml:space="preserve">Note: Jan. 28, 2026:  </w:t>
      </w:r>
      <w:r w:rsidRPr="00F642E3">
        <w:rPr>
          <w:b/>
        </w:rPr>
        <w:t>Man arrested under Florida's Halo Law</w:t>
      </w:r>
      <w:r>
        <w:rPr>
          <w:b/>
        </w:rPr>
        <w:t xml:space="preserve">. </w:t>
      </w:r>
      <w:hyperlink r:id="rId2779" w:history="1">
        <w:r w:rsidRPr="00734647">
          <w:rPr>
            <w:rStyle w:val="Hyperlink"/>
            <w:b/>
          </w:rPr>
          <w:t>https://www.youtube.com/watch?v=US5dFGLzqQo</w:t>
        </w:r>
      </w:hyperlink>
      <w:r>
        <w:rPr>
          <w:b/>
        </w:rPr>
        <w:t xml:space="preserve"> </w:t>
      </w:r>
    </w:p>
    <w:p w14:paraId="39EEC7C2" w14:textId="77777777" w:rsidR="00740EF2" w:rsidRPr="00210AB7" w:rsidRDefault="00740EF2" w:rsidP="00740EF2">
      <w:pPr>
        <w:pStyle w:val="NoSpacing"/>
        <w:ind w:firstLine="720"/>
        <w:rPr>
          <w:b/>
        </w:rPr>
      </w:pPr>
      <w:r w:rsidRPr="00210AB7">
        <w:rPr>
          <w:b/>
        </w:rPr>
        <w:t>What Is the Halo Law?</w:t>
      </w:r>
    </w:p>
    <w:p w14:paraId="187229AE" w14:textId="77777777" w:rsidR="00740EF2" w:rsidRPr="00210AB7" w:rsidRDefault="00740EF2" w:rsidP="00740EF2">
      <w:pPr>
        <w:pStyle w:val="NoSpacing"/>
        <w:ind w:left="720"/>
      </w:pPr>
      <w:r w:rsidRPr="00210AB7">
        <w:t xml:space="preserve">The Halo Law, passed under </w:t>
      </w:r>
      <w:r w:rsidRPr="00210AB7">
        <w:rPr>
          <w:b/>
        </w:rPr>
        <w:t>House Bill 184</w:t>
      </w:r>
      <w:r w:rsidRPr="00210AB7">
        <w:t xml:space="preserve">, was signed into law by Governor Ron DeSantis in April 2024. It establishes a </w:t>
      </w:r>
      <w:r w:rsidRPr="00210AB7">
        <w:rPr>
          <w:b/>
        </w:rPr>
        <w:t>25-foot no-approach zone</w:t>
      </w:r>
      <w:r w:rsidRPr="00210AB7">
        <w:t xml:space="preserve"> around first responders engaged in their official duties. If someone is verbally warned to stay back and continues to approach within this zone, they could face penalties, including fines and potential jail time.</w:t>
      </w:r>
    </w:p>
    <w:p w14:paraId="6EB5C7A2" w14:textId="77777777" w:rsidR="00740EF2" w:rsidRPr="00210AB7" w:rsidRDefault="00740EF2" w:rsidP="00740EF2">
      <w:pPr>
        <w:pStyle w:val="NoSpacing"/>
        <w:ind w:left="720"/>
      </w:pPr>
      <w:r w:rsidRPr="00210AB7">
        <w:t>Sheriff Grady Judd of Polk County has been a vocal advocate for the law, emphasizing that it does not restrict the public’s right to record first responders but aims to prevent interference or harassment while they work.</w:t>
      </w:r>
      <w:r>
        <w:t xml:space="preserve"> </w:t>
      </w:r>
      <w:hyperlink r:id="rId2780" w:history="1">
        <w:r w:rsidRPr="00FF51FB">
          <w:rPr>
            <w:rStyle w:val="Hyperlink"/>
          </w:rPr>
          <w:t>https://www.muscalaw.com/blog/understanding-floridas-new-halo-law-and-its-impact-first-amendment-rights</w:t>
        </w:r>
      </w:hyperlink>
      <w:r>
        <w:t xml:space="preserve"> </w:t>
      </w:r>
    </w:p>
    <w:p w14:paraId="4EB8805F" w14:textId="77777777" w:rsidR="00740EF2" w:rsidRDefault="00740EF2" w:rsidP="00740EF2">
      <w:pPr>
        <w:pStyle w:val="NoSpacing"/>
      </w:pPr>
    </w:p>
    <w:p w14:paraId="1721935B" w14:textId="77777777" w:rsidR="00740EF2" w:rsidRDefault="00740EF2" w:rsidP="00740EF2">
      <w:pPr>
        <w:pStyle w:val="NoSpacing"/>
      </w:pPr>
    </w:p>
    <w:p w14:paraId="7E1ED189" w14:textId="77777777" w:rsidR="00740EF2" w:rsidRDefault="00740EF2" w:rsidP="00740EF2">
      <w:pPr>
        <w:pStyle w:val="NoSpacing"/>
        <w:ind w:left="720"/>
        <w:rPr>
          <w:b/>
        </w:rPr>
      </w:pPr>
      <w:r>
        <w:t xml:space="preserve">See also: ACLU of Florida: </w:t>
      </w:r>
      <w:r w:rsidRPr="00F41534">
        <w:t>HB 75/SB 184 - Criminalizing Bystanders for Exercising First Amendment Rights</w:t>
      </w:r>
      <w:r>
        <w:t xml:space="preserve">. </w:t>
      </w:r>
      <w:r w:rsidRPr="00910752">
        <w:rPr>
          <w:b/>
        </w:rPr>
        <w:t xml:space="preserve"> </w:t>
      </w:r>
      <w:hyperlink r:id="rId2781" w:history="1">
        <w:r w:rsidRPr="00FF51FB">
          <w:rPr>
            <w:rStyle w:val="Hyperlink"/>
            <w:b/>
          </w:rPr>
          <w:t>https://www.aclufl.org/legislation/hb-75sb-184-criminalizing-bystanders-exercising-first-amendment-rights/</w:t>
        </w:r>
      </w:hyperlink>
      <w:r>
        <w:rPr>
          <w:b/>
        </w:rPr>
        <w:t xml:space="preserve"> </w:t>
      </w:r>
    </w:p>
    <w:p w14:paraId="7F597FE8" w14:textId="77777777" w:rsidR="00740EF2" w:rsidRDefault="00740EF2" w:rsidP="00740EF2">
      <w:pPr>
        <w:pStyle w:val="NoSpacing"/>
        <w:rPr>
          <w:b/>
        </w:rPr>
      </w:pPr>
    </w:p>
    <w:p w14:paraId="278CF353" w14:textId="77777777" w:rsidR="00740EF2" w:rsidRDefault="00740EF2" w:rsidP="00740EF2">
      <w:pPr>
        <w:pStyle w:val="NoSpacing"/>
      </w:pPr>
    </w:p>
    <w:p w14:paraId="4137EE43" w14:textId="77777777" w:rsidR="00740EF2" w:rsidRDefault="00740EF2" w:rsidP="000C4DF5">
      <w:pPr>
        <w:pStyle w:val="NoSpacing"/>
        <w:rPr>
          <w:rFonts w:ascii="Arial Black" w:hAnsi="Arial Black"/>
          <w:sz w:val="24"/>
          <w:szCs w:val="24"/>
        </w:rPr>
      </w:pPr>
    </w:p>
    <w:p w14:paraId="5BF38D08" w14:textId="77777777" w:rsidR="006F24F3" w:rsidRDefault="006F24F3" w:rsidP="000C4DF5">
      <w:pPr>
        <w:pStyle w:val="NoSpacing"/>
        <w:rPr>
          <w:rFonts w:ascii="Arial Black" w:hAnsi="Arial Black"/>
          <w:sz w:val="24"/>
          <w:szCs w:val="24"/>
        </w:rPr>
      </w:pPr>
    </w:p>
    <w:p w14:paraId="1B5D8C12" w14:textId="6CB0F6A8" w:rsidR="008A2AE6" w:rsidRDefault="002E26A8" w:rsidP="000C4DF5">
      <w:pPr>
        <w:pStyle w:val="NoSpacing"/>
        <w:rPr>
          <w:rFonts w:ascii="Arial Black" w:hAnsi="Arial Black"/>
          <w:sz w:val="24"/>
          <w:szCs w:val="24"/>
        </w:rPr>
      </w:pPr>
      <w:r>
        <w:rPr>
          <w:rFonts w:ascii="Arial Black" w:hAnsi="Arial Black"/>
          <w:sz w:val="24"/>
          <w:szCs w:val="24"/>
        </w:rPr>
        <w:t>18-31</w:t>
      </w:r>
    </w:p>
    <w:p w14:paraId="7B1625E2" w14:textId="77777777" w:rsidR="002E26A8" w:rsidRDefault="002E26A8" w:rsidP="000C4DF5">
      <w:pPr>
        <w:pStyle w:val="NoSpacing"/>
        <w:rPr>
          <w:rFonts w:ascii="Arial Black" w:hAnsi="Arial Black"/>
          <w:sz w:val="24"/>
          <w:szCs w:val="24"/>
        </w:rPr>
      </w:pPr>
    </w:p>
    <w:p w14:paraId="024D8734" w14:textId="4702676D" w:rsidR="00841783" w:rsidRPr="001225D3" w:rsidRDefault="00841783" w:rsidP="00841783">
      <w:pPr>
        <w:pStyle w:val="NoSpacing"/>
        <w:rPr>
          <w:rFonts w:ascii="Arial Black" w:hAnsi="Arial Black"/>
          <w:sz w:val="28"/>
          <w:szCs w:val="28"/>
        </w:rPr>
      </w:pPr>
      <w:r>
        <w:rPr>
          <w:rFonts w:ascii="Arial Black" w:hAnsi="Arial Black"/>
          <w:sz w:val="28"/>
          <w:szCs w:val="28"/>
        </w:rPr>
        <w:t xml:space="preserve">OH: ETHICS COMMISSION – </w:t>
      </w:r>
      <w:r w:rsidR="000C567D">
        <w:rPr>
          <w:rFonts w:ascii="Arial Black" w:hAnsi="Arial Black"/>
          <w:sz w:val="28"/>
          <w:szCs w:val="28"/>
        </w:rPr>
        <w:t xml:space="preserve">CAN </w:t>
      </w:r>
      <w:r>
        <w:rPr>
          <w:rFonts w:ascii="Arial Black" w:hAnsi="Arial Black"/>
          <w:sz w:val="28"/>
          <w:szCs w:val="28"/>
        </w:rPr>
        <w:t>KEEP FREQUENT FLYER MILES</w:t>
      </w:r>
    </w:p>
    <w:p w14:paraId="734892CE" w14:textId="77777777" w:rsidR="00841783" w:rsidRDefault="00841783" w:rsidP="00841783">
      <w:pPr>
        <w:pStyle w:val="NoSpacing"/>
      </w:pPr>
    </w:p>
    <w:p w14:paraId="4234DC87" w14:textId="77777777" w:rsidR="00841783" w:rsidRDefault="00841783" w:rsidP="00841783">
      <w:pPr>
        <w:pStyle w:val="NoSpacing"/>
      </w:pPr>
      <w:r>
        <w:t xml:space="preserve">On August 4, 2025, the Ohio Ethics Commission approved an Advisory Opinion allowing public officials to keep airline frequent flyer miles earned on official travel. </w:t>
      </w:r>
    </w:p>
    <w:p w14:paraId="00FD02FC" w14:textId="77777777" w:rsidR="00841783" w:rsidRDefault="00841783" w:rsidP="00841783">
      <w:pPr>
        <w:pStyle w:val="NoSpacing"/>
      </w:pPr>
    </w:p>
    <w:p w14:paraId="05682C28" w14:textId="77777777" w:rsidR="00841783" w:rsidRDefault="00841783" w:rsidP="00841783">
      <w:pPr>
        <w:pStyle w:val="NoSpacing"/>
      </w:pPr>
      <w:r w:rsidRPr="00BF2E3F">
        <w:t>INFORMATION SHEET: ADVISORY OPINION NO. 2025-02 FREQUENT FLYER MILES AND REWARDS POINTS</w:t>
      </w:r>
    </w:p>
    <w:p w14:paraId="0872AD43" w14:textId="77777777" w:rsidR="00841783" w:rsidRDefault="00841783" w:rsidP="00841783">
      <w:pPr>
        <w:pStyle w:val="NoSpacing"/>
      </w:pPr>
      <w:hyperlink r:id="rId2782" w:history="1">
        <w:r w:rsidRPr="00B2179F">
          <w:rPr>
            <w:rStyle w:val="Hyperlink"/>
          </w:rPr>
          <w:t>https://ethics.ohio.gov/advice/opinions/2025-02.pdf</w:t>
        </w:r>
      </w:hyperlink>
      <w:r>
        <w:t xml:space="preserve"> </w:t>
      </w:r>
    </w:p>
    <w:p w14:paraId="326DA131" w14:textId="77777777" w:rsidR="00841783" w:rsidRDefault="00841783" w:rsidP="00841783">
      <w:pPr>
        <w:pStyle w:val="NoSpacing"/>
      </w:pPr>
    </w:p>
    <w:p w14:paraId="32CD91B3" w14:textId="77777777" w:rsidR="00841783" w:rsidRDefault="00841783" w:rsidP="00841783">
      <w:pPr>
        <w:pStyle w:val="NoSpacing"/>
        <w:ind w:firstLine="720"/>
      </w:pPr>
      <w:r w:rsidRPr="00605C01">
        <w:t>Frequent Flyer Miles &amp; Reward Points Advisory Opinion</w:t>
      </w:r>
    </w:p>
    <w:p w14:paraId="135B5539" w14:textId="77777777" w:rsidR="00841783" w:rsidRDefault="00841783" w:rsidP="00841783">
      <w:pPr>
        <w:pStyle w:val="NoSpacing"/>
        <w:ind w:firstLine="720"/>
      </w:pPr>
      <w:hyperlink r:id="rId2783" w:history="1">
        <w:r w:rsidRPr="00CD4E54">
          <w:rPr>
            <w:rStyle w:val="Hyperlink"/>
          </w:rPr>
          <w:t>https://ethics.ohio.gov/education/newsletters/VOE_25Q3.pdf</w:t>
        </w:r>
      </w:hyperlink>
      <w:r>
        <w:t xml:space="preserve"> </w:t>
      </w:r>
    </w:p>
    <w:p w14:paraId="31E13357" w14:textId="77777777" w:rsidR="00841783" w:rsidRDefault="00841783" w:rsidP="00841783">
      <w:pPr>
        <w:pStyle w:val="NoSpacing"/>
        <w:ind w:left="720"/>
      </w:pPr>
      <w:r>
        <w:t>“</w:t>
      </w:r>
      <w:r w:rsidRPr="00605C01">
        <w:t>At its meeting on August 4, 2025, the Ohio Ethics Commission approved Formal Advisory Opinion 2025 – 02 which allows public officials or employees to use frequent flyer miles that were earned during official travel for personal travel. Although the Commission had previously restricted the use of frequent flyer miles accrued during official travel for personal use, this advisory opinion states that public officials and employees may use frequent flyer miles that were earned during official travel for personal travel if they earn the miles under the same conditions as the public and at no additional cost to their public agencies. While this Advisory Opinion primarily references frequent flyer miles, the analysis also applies to other reward points programs.</w:t>
      </w:r>
    </w:p>
    <w:p w14:paraId="277B5CF6" w14:textId="77777777" w:rsidR="00841783" w:rsidRDefault="00841783" w:rsidP="00841783">
      <w:pPr>
        <w:ind w:left="720"/>
      </w:pPr>
      <w:r>
        <w:t>***</w:t>
      </w:r>
    </w:p>
    <w:p w14:paraId="42AA005D" w14:textId="77777777" w:rsidR="00841783" w:rsidRDefault="00841783" w:rsidP="00841783">
      <w:pPr>
        <w:ind w:left="720"/>
        <w:rPr>
          <w:bCs/>
        </w:rPr>
      </w:pPr>
      <w:r w:rsidRPr="00FC71C9">
        <w:t>The opinion notes that public official</w:t>
      </w:r>
      <w:r>
        <w:t>s</w:t>
      </w:r>
      <w:r w:rsidRPr="00FC71C9">
        <w:t xml:space="preserve"> and employees are prohibited from choosing an airline, vendor, or service based solely on whether it provides frequent flyer miles or other rewards points. Additionally, a planner who books a group trip for multiple travelers and could therefore earn a substantial number of frequent flyer miles or reward points from one event is prohibited from personally using rewards earned in connection to booking the group travel.</w:t>
      </w:r>
      <w:r>
        <w:t>”</w:t>
      </w:r>
    </w:p>
    <w:p w14:paraId="0EDCD611" w14:textId="77777777" w:rsidR="00841783" w:rsidRPr="00211784" w:rsidRDefault="00841783" w:rsidP="00841783">
      <w:pPr>
        <w:pStyle w:val="NoSpacing"/>
        <w:rPr>
          <w:b/>
          <w:bCs/>
        </w:rPr>
      </w:pPr>
      <w:r>
        <w:rPr>
          <w:b/>
        </w:rPr>
        <w:t xml:space="preserve">Legal lesson learned: Fire &amp; EMS departments should consider adopting a policy that formally recognizes this Advisory Opinion. </w:t>
      </w:r>
    </w:p>
    <w:p w14:paraId="490CFB54" w14:textId="77777777" w:rsidR="00841783" w:rsidRDefault="00841783" w:rsidP="00841783">
      <w:pPr>
        <w:pStyle w:val="NoSpacing"/>
        <w:rPr>
          <w:b/>
          <w:bCs/>
        </w:rPr>
      </w:pPr>
    </w:p>
    <w:p w14:paraId="1212A55A" w14:textId="77777777" w:rsidR="00841783" w:rsidRDefault="00841783" w:rsidP="00841783">
      <w:pPr>
        <w:pStyle w:val="NoSpacing"/>
        <w:rPr>
          <w:rFonts w:ascii="Arial Black" w:hAnsi="Arial Black"/>
          <w:b/>
          <w:sz w:val="28"/>
          <w:szCs w:val="28"/>
        </w:rPr>
      </w:pPr>
    </w:p>
    <w:p w14:paraId="705E2D62" w14:textId="77777777" w:rsidR="00841783" w:rsidRDefault="00841783" w:rsidP="00841783">
      <w:pPr>
        <w:pStyle w:val="NoSpacing"/>
        <w:rPr>
          <w:rFonts w:ascii="Arial Black" w:hAnsi="Arial Black"/>
          <w:b/>
          <w:sz w:val="28"/>
          <w:szCs w:val="28"/>
        </w:rPr>
      </w:pPr>
    </w:p>
    <w:p w14:paraId="05B0B894" w14:textId="77777777" w:rsidR="002E26A8" w:rsidRDefault="002E26A8" w:rsidP="000C4DF5">
      <w:pPr>
        <w:pStyle w:val="NoSpacing"/>
        <w:rPr>
          <w:rFonts w:ascii="Arial Black" w:hAnsi="Arial Black"/>
          <w:sz w:val="24"/>
          <w:szCs w:val="24"/>
        </w:rPr>
      </w:pPr>
    </w:p>
    <w:p w14:paraId="05697DD4" w14:textId="77777777" w:rsidR="002E26A8" w:rsidRDefault="002E26A8" w:rsidP="000C4DF5">
      <w:pPr>
        <w:pStyle w:val="NoSpacing"/>
        <w:rPr>
          <w:rFonts w:ascii="Arial Black" w:hAnsi="Arial Black"/>
          <w:sz w:val="24"/>
          <w:szCs w:val="24"/>
        </w:rPr>
      </w:pPr>
    </w:p>
    <w:p w14:paraId="7A781651" w14:textId="77777777" w:rsidR="002E26A8" w:rsidRDefault="002E26A8" w:rsidP="000C4DF5">
      <w:pPr>
        <w:pStyle w:val="NoSpacing"/>
        <w:rPr>
          <w:rFonts w:ascii="Arial Black" w:hAnsi="Arial Black"/>
          <w:sz w:val="24"/>
          <w:szCs w:val="24"/>
        </w:rPr>
      </w:pPr>
    </w:p>
    <w:p w14:paraId="5F3B45B7" w14:textId="3B0CF0A1" w:rsidR="00072607" w:rsidRDefault="00072607" w:rsidP="000C4DF5">
      <w:pPr>
        <w:pStyle w:val="NoSpacing"/>
        <w:rPr>
          <w:rFonts w:ascii="Arial Black" w:hAnsi="Arial Black"/>
          <w:sz w:val="24"/>
          <w:szCs w:val="24"/>
        </w:rPr>
      </w:pPr>
      <w:r>
        <w:rPr>
          <w:rFonts w:ascii="Arial Black" w:hAnsi="Arial Black"/>
          <w:sz w:val="24"/>
          <w:szCs w:val="24"/>
        </w:rPr>
        <w:t>18-30</w:t>
      </w:r>
    </w:p>
    <w:p w14:paraId="27CC2933" w14:textId="77777777" w:rsidR="00072607" w:rsidRDefault="00072607" w:rsidP="000C4DF5">
      <w:pPr>
        <w:pStyle w:val="NoSpacing"/>
        <w:rPr>
          <w:rFonts w:ascii="Arial Black" w:hAnsi="Arial Black"/>
          <w:sz w:val="24"/>
          <w:szCs w:val="24"/>
        </w:rPr>
      </w:pPr>
    </w:p>
    <w:p w14:paraId="7CF15988" w14:textId="657D1F8B" w:rsidR="00072607" w:rsidRPr="006F2B87" w:rsidRDefault="00072607" w:rsidP="00072607">
      <w:pPr>
        <w:pStyle w:val="NoSpacing"/>
        <w:rPr>
          <w:rFonts w:ascii="Arial Black" w:hAnsi="Arial Black"/>
          <w:b/>
          <w:bCs/>
          <w:sz w:val="28"/>
          <w:szCs w:val="28"/>
        </w:rPr>
      </w:pPr>
      <w:r w:rsidRPr="006F2B87">
        <w:rPr>
          <w:rFonts w:ascii="Arial Black" w:hAnsi="Arial Black"/>
          <w:b/>
          <w:sz w:val="28"/>
          <w:szCs w:val="28"/>
        </w:rPr>
        <w:t xml:space="preserve">CT: “NO SURPRISE ACT” – </w:t>
      </w:r>
      <w:r>
        <w:rPr>
          <w:rFonts w:ascii="Arial Black" w:hAnsi="Arial Black"/>
          <w:b/>
          <w:sz w:val="28"/>
          <w:szCs w:val="28"/>
        </w:rPr>
        <w:t>AIR MED CAN SUE INSURANCE</w:t>
      </w:r>
      <w:r w:rsidR="000C6C88">
        <w:rPr>
          <w:rFonts w:ascii="Arial Black" w:hAnsi="Arial Black"/>
          <w:b/>
          <w:sz w:val="28"/>
          <w:szCs w:val="28"/>
        </w:rPr>
        <w:t xml:space="preserve"> CO.</w:t>
      </w:r>
    </w:p>
    <w:p w14:paraId="5204BFF9" w14:textId="77777777" w:rsidR="00072607" w:rsidRDefault="00072607" w:rsidP="00072607">
      <w:pPr>
        <w:pStyle w:val="NoSpacing"/>
        <w:rPr>
          <w:bCs/>
        </w:rPr>
      </w:pPr>
    </w:p>
    <w:p w14:paraId="1B45A02E" w14:textId="77777777" w:rsidR="00072607" w:rsidRPr="00B44918" w:rsidRDefault="00072607" w:rsidP="00072607">
      <w:pPr>
        <w:pStyle w:val="NoSpacing"/>
        <w:rPr>
          <w:rFonts w:ascii="Times New Roman" w:hAnsi="Times New Roman"/>
          <w:bCs/>
          <w:sz w:val="24"/>
          <w:szCs w:val="24"/>
        </w:rPr>
      </w:pPr>
      <w:r w:rsidRPr="00B44918">
        <w:rPr>
          <w:rFonts w:ascii="Times New Roman" w:hAnsi="Times New Roman"/>
          <w:sz w:val="24"/>
          <w:szCs w:val="24"/>
        </w:rPr>
        <w:t xml:space="preserve">On May 14, 2025, in </w:t>
      </w:r>
      <w:r w:rsidRPr="00B44918">
        <w:rPr>
          <w:rFonts w:ascii="Times New Roman" w:hAnsi="Times New Roman"/>
          <w:sz w:val="24"/>
          <w:szCs w:val="24"/>
          <w:u w:val="single"/>
        </w:rPr>
        <w:t xml:space="preserve">Guarding Flight LLC, Reach Air Medical Services LLC, </w:t>
      </w:r>
      <w:proofErr w:type="spellStart"/>
      <w:r w:rsidRPr="00B44918">
        <w:rPr>
          <w:rFonts w:ascii="Times New Roman" w:hAnsi="Times New Roman"/>
          <w:sz w:val="24"/>
          <w:szCs w:val="24"/>
          <w:u w:val="single"/>
        </w:rPr>
        <w:t>Calstar</w:t>
      </w:r>
      <w:proofErr w:type="spellEnd"/>
      <w:r w:rsidRPr="00B44918">
        <w:rPr>
          <w:rFonts w:ascii="Times New Roman" w:hAnsi="Times New Roman"/>
          <w:sz w:val="24"/>
          <w:szCs w:val="24"/>
          <w:u w:val="single"/>
        </w:rPr>
        <w:t xml:space="preserve"> Air Medical Services LLC, Med-Trans Corporation, and Air Evac EMS, Inc. v. Aetna Life Insurance Company, Aetna Health, Inc., Aetna Health and Life Insurance Company, and Cigna Health and Life Insurance Company</w:t>
      </w:r>
      <w:r w:rsidRPr="00B44918">
        <w:rPr>
          <w:rFonts w:ascii="Times New Roman" w:hAnsi="Times New Roman"/>
          <w:sz w:val="24"/>
          <w:szCs w:val="24"/>
        </w:rPr>
        <w:t>, U.S. District Court Judge Michael P. Shea, United States District Court for the District of Connecticut, denied the insurance companies motion to dismiss;  the Air Medical companies allege a “low pay, late pay or no pay” scheme has become a widespread business practice.</w:t>
      </w:r>
    </w:p>
    <w:p w14:paraId="591ECDB1" w14:textId="77777777" w:rsidR="00072607" w:rsidRPr="00B44918" w:rsidRDefault="00072607" w:rsidP="00072607">
      <w:pPr>
        <w:pStyle w:val="NoSpacing"/>
        <w:rPr>
          <w:rFonts w:ascii="Times New Roman" w:hAnsi="Times New Roman"/>
          <w:bCs/>
          <w:sz w:val="24"/>
          <w:szCs w:val="24"/>
        </w:rPr>
      </w:pPr>
      <w:r w:rsidRPr="00B44918">
        <w:rPr>
          <w:rFonts w:ascii="Times New Roman" w:hAnsi="Times New Roman"/>
          <w:sz w:val="24"/>
          <w:szCs w:val="24"/>
        </w:rPr>
        <w:t xml:space="preserve">   </w:t>
      </w:r>
    </w:p>
    <w:p w14:paraId="55CA3EBB" w14:textId="6DA85870" w:rsidR="00072607" w:rsidRPr="00B44918" w:rsidRDefault="00072607" w:rsidP="00072607">
      <w:pPr>
        <w:pStyle w:val="NoSpacing"/>
        <w:rPr>
          <w:rFonts w:ascii="Times New Roman" w:hAnsi="Times New Roman"/>
          <w:bCs/>
          <w:sz w:val="24"/>
          <w:szCs w:val="24"/>
        </w:rPr>
      </w:pPr>
      <w:r w:rsidRPr="00B44918">
        <w:rPr>
          <w:rFonts w:ascii="Times New Roman" w:hAnsi="Times New Roman"/>
          <w:sz w:val="24"/>
          <w:szCs w:val="24"/>
        </w:rPr>
        <w:t xml:space="preserve">The Court wrote:  “Though Defendants received the benefit of Plaintiffs’ services, they made unreasonably low initial payments for these transports…. Defendants have failed to comply with these IDR [Independent Dispute Resolution] determinations [under the 2021 No Surprise Act]…. In some cases, they made late payments and did not include interest to account for their payment delays….  In other instances, they have made only partial </w:t>
      </w:r>
      <w:r w:rsidRPr="00B44918">
        <w:rPr>
          <w:rFonts w:ascii="Times New Roman" w:hAnsi="Times New Roman"/>
          <w:sz w:val="24"/>
          <w:szCs w:val="24"/>
        </w:rPr>
        <w:lastRenderedPageBreak/>
        <w:t>payments or have not made any payments whatsoever. Id.  At the time Plaintiffs’ complaint was filed, several of these</w:t>
      </w:r>
      <w:r w:rsidR="00B44918">
        <w:rPr>
          <w:rFonts w:ascii="Times New Roman" w:hAnsi="Times New Roman"/>
          <w:sz w:val="24"/>
          <w:szCs w:val="24"/>
        </w:rPr>
        <w:t xml:space="preserve"> </w:t>
      </w:r>
      <w:r w:rsidRPr="00B44918">
        <w:rPr>
          <w:rFonts w:ascii="Times New Roman" w:hAnsi="Times New Roman"/>
          <w:sz w:val="24"/>
          <w:szCs w:val="24"/>
        </w:rPr>
        <w:t xml:space="preserve">awards were more than 500 days past due and Defendants had </w:t>
      </w:r>
      <w:proofErr w:type="gramStart"/>
      <w:r w:rsidRPr="00B44918">
        <w:rPr>
          <w:rFonts w:ascii="Times New Roman" w:hAnsi="Times New Roman"/>
          <w:sz w:val="24"/>
          <w:szCs w:val="24"/>
        </w:rPr>
        <w:t>late-paid</w:t>
      </w:r>
      <w:proofErr w:type="gramEnd"/>
      <w:r w:rsidRPr="00B44918">
        <w:rPr>
          <w:rFonts w:ascii="Times New Roman" w:hAnsi="Times New Roman"/>
          <w:sz w:val="24"/>
          <w:szCs w:val="24"/>
        </w:rPr>
        <w:t xml:space="preserve"> or not paid over $20</w:t>
      </w:r>
      <w:r w:rsidR="00B44918">
        <w:rPr>
          <w:rFonts w:ascii="Times New Roman" w:hAnsi="Times New Roman"/>
          <w:sz w:val="24"/>
          <w:szCs w:val="24"/>
        </w:rPr>
        <w:t xml:space="preserve"> </w:t>
      </w:r>
      <w:r w:rsidRPr="00B44918">
        <w:rPr>
          <w:rFonts w:ascii="Times New Roman" w:hAnsi="Times New Roman"/>
          <w:sz w:val="24"/>
          <w:szCs w:val="24"/>
        </w:rPr>
        <w:t xml:space="preserve">million in IDR awards. *** Defendants’ alleged failure to timely pay these awards is sufficiently frequent to constitute a general business practice. Plaintiffs have thus plausibly alleged that Defendants engaged in ‘unfair methods of competition and unfair and deceptive acts or practices in the business of insurance’ in violation of CUIPA [Connecticut Unfair Trade Practices Act] and so have stated a plausible CUTPA claim. See Conn. Gen. Stat. § 38a-816(6)(F).”  </w:t>
      </w:r>
      <w:hyperlink r:id="rId2784" w:history="1">
        <w:r w:rsidRPr="00B44918">
          <w:rPr>
            <w:rStyle w:val="Hyperlink"/>
            <w:rFonts w:ascii="Times New Roman" w:hAnsi="Times New Roman"/>
            <w:sz w:val="24"/>
            <w:szCs w:val="24"/>
          </w:rPr>
          <w:t>https://cases.justia.com/federal/district-courts/connecticut/ctdce/3:2024cv00680/159059/264/0.pdf?ts=1747297635</w:t>
        </w:r>
      </w:hyperlink>
      <w:r w:rsidRPr="00B44918">
        <w:rPr>
          <w:rFonts w:ascii="Times New Roman" w:hAnsi="Times New Roman"/>
          <w:sz w:val="24"/>
          <w:szCs w:val="24"/>
        </w:rPr>
        <w:t xml:space="preserve"> </w:t>
      </w:r>
    </w:p>
    <w:p w14:paraId="4AD570DD" w14:textId="77777777" w:rsidR="00072607" w:rsidRDefault="00072607" w:rsidP="00072607">
      <w:pPr>
        <w:pStyle w:val="NoSpacing"/>
        <w:rPr>
          <w:rFonts w:ascii="Times New Roman" w:hAnsi="Times New Roman"/>
          <w:sz w:val="24"/>
          <w:szCs w:val="24"/>
        </w:rPr>
      </w:pPr>
    </w:p>
    <w:p w14:paraId="1C504A85" w14:textId="77777777" w:rsidR="00C47507" w:rsidRPr="001D5E22" w:rsidRDefault="00C47507" w:rsidP="00C47507">
      <w:pPr>
        <w:pStyle w:val="NoSpacing"/>
        <w:rPr>
          <w:rFonts w:ascii="Times New Roman" w:hAnsi="Times New Roman"/>
          <w:b/>
          <w:bCs/>
          <w:sz w:val="24"/>
          <w:szCs w:val="24"/>
        </w:rPr>
      </w:pPr>
      <w:r w:rsidRPr="001D5E22">
        <w:rPr>
          <w:rFonts w:ascii="Times New Roman" w:hAnsi="Times New Roman"/>
          <w:b/>
          <w:sz w:val="24"/>
          <w:szCs w:val="24"/>
        </w:rPr>
        <w:t>Legal Lesson Learned: This is a significant win for Air Medical industry; hopefully patient insurance companies will “get the message” that they are facing liability for low pay, late pay or no pay’ scheme.</w:t>
      </w:r>
    </w:p>
    <w:p w14:paraId="4F47854A" w14:textId="77777777" w:rsidR="00C47507" w:rsidRPr="006F2B87" w:rsidRDefault="00C47507" w:rsidP="00C47507">
      <w:pPr>
        <w:pStyle w:val="NoSpacing"/>
        <w:rPr>
          <w:b/>
          <w:bCs/>
        </w:rPr>
      </w:pPr>
    </w:p>
    <w:p w14:paraId="7EABB51E" w14:textId="77777777" w:rsidR="00C47507" w:rsidRPr="00B44918" w:rsidRDefault="00C47507" w:rsidP="00072607">
      <w:pPr>
        <w:pStyle w:val="NoSpacing"/>
        <w:rPr>
          <w:rFonts w:ascii="Times New Roman" w:hAnsi="Times New Roman"/>
          <w:sz w:val="24"/>
          <w:szCs w:val="24"/>
        </w:rPr>
      </w:pPr>
    </w:p>
    <w:p w14:paraId="07B319CC" w14:textId="77777777" w:rsidR="00072607" w:rsidRDefault="00072607" w:rsidP="000C4DF5">
      <w:pPr>
        <w:pStyle w:val="NoSpacing"/>
        <w:rPr>
          <w:rFonts w:ascii="Arial Black" w:hAnsi="Arial Black"/>
          <w:sz w:val="24"/>
          <w:szCs w:val="24"/>
        </w:rPr>
      </w:pPr>
    </w:p>
    <w:p w14:paraId="799AE84A" w14:textId="77777777" w:rsidR="00072607" w:rsidRDefault="00072607" w:rsidP="000C4DF5">
      <w:pPr>
        <w:pStyle w:val="NoSpacing"/>
        <w:rPr>
          <w:rFonts w:ascii="Arial Black" w:hAnsi="Arial Black"/>
          <w:sz w:val="24"/>
          <w:szCs w:val="24"/>
        </w:rPr>
      </w:pPr>
    </w:p>
    <w:p w14:paraId="7411B888" w14:textId="77777777" w:rsidR="00072607" w:rsidRDefault="00072607" w:rsidP="000C4DF5">
      <w:pPr>
        <w:pStyle w:val="NoSpacing"/>
        <w:rPr>
          <w:rFonts w:ascii="Arial Black" w:hAnsi="Arial Black"/>
          <w:sz w:val="24"/>
          <w:szCs w:val="24"/>
        </w:rPr>
      </w:pPr>
    </w:p>
    <w:p w14:paraId="39958541" w14:textId="46CE514C" w:rsidR="008A2AE6" w:rsidRDefault="008A2AE6" w:rsidP="000C4DF5">
      <w:pPr>
        <w:pStyle w:val="NoSpacing"/>
        <w:rPr>
          <w:rFonts w:ascii="Arial Black" w:hAnsi="Arial Black"/>
          <w:sz w:val="24"/>
          <w:szCs w:val="24"/>
        </w:rPr>
      </w:pPr>
      <w:r>
        <w:rPr>
          <w:rFonts w:ascii="Arial Black" w:hAnsi="Arial Black"/>
          <w:sz w:val="24"/>
          <w:szCs w:val="24"/>
        </w:rPr>
        <w:t>18-29</w:t>
      </w:r>
    </w:p>
    <w:p w14:paraId="78BD20B8" w14:textId="77777777" w:rsidR="008A2AE6" w:rsidRDefault="008A2AE6" w:rsidP="000C4DF5">
      <w:pPr>
        <w:pStyle w:val="NoSpacing"/>
        <w:rPr>
          <w:rFonts w:ascii="Arial Black" w:hAnsi="Arial Black"/>
          <w:sz w:val="24"/>
          <w:szCs w:val="24"/>
        </w:rPr>
      </w:pPr>
    </w:p>
    <w:p w14:paraId="6F21B8A7" w14:textId="6DA565B9" w:rsidR="00727EFE" w:rsidRPr="0072111B" w:rsidRDefault="00727EFE" w:rsidP="00C47507">
      <w:pPr>
        <w:pStyle w:val="NoSpacing"/>
        <w:rPr>
          <w:rFonts w:ascii="Arial Black" w:hAnsi="Arial Black"/>
          <w:b/>
          <w:sz w:val="28"/>
          <w:szCs w:val="28"/>
        </w:rPr>
      </w:pPr>
      <w:r>
        <w:rPr>
          <w:rFonts w:ascii="Arial Black" w:hAnsi="Arial Black"/>
          <w:b/>
          <w:sz w:val="28"/>
          <w:szCs w:val="28"/>
        </w:rPr>
        <w:t xml:space="preserve">ID: GOOD SAMARITAN LAW -  CAN ARREST </w:t>
      </w:r>
      <w:r w:rsidR="000C567D">
        <w:rPr>
          <w:rFonts w:ascii="Arial Black" w:hAnsi="Arial Black"/>
          <w:b/>
          <w:sz w:val="28"/>
          <w:szCs w:val="28"/>
        </w:rPr>
        <w:t xml:space="preserve">PT / </w:t>
      </w:r>
      <w:r w:rsidR="00C47507">
        <w:rPr>
          <w:rFonts w:ascii="Arial Black" w:hAnsi="Arial Black"/>
          <w:b/>
          <w:sz w:val="28"/>
          <w:szCs w:val="28"/>
        </w:rPr>
        <w:t xml:space="preserve">WANTED </w:t>
      </w:r>
      <w:r>
        <w:rPr>
          <w:rFonts w:ascii="Arial Black" w:hAnsi="Arial Black"/>
          <w:b/>
          <w:sz w:val="28"/>
          <w:szCs w:val="28"/>
        </w:rPr>
        <w:t>WARRANT</w:t>
      </w:r>
    </w:p>
    <w:p w14:paraId="7BB5D8DF" w14:textId="77777777" w:rsidR="00727EFE" w:rsidRDefault="00727EFE" w:rsidP="00727EFE">
      <w:pPr>
        <w:pStyle w:val="NoSpacing"/>
        <w:rPr>
          <w:b/>
        </w:rPr>
      </w:pPr>
    </w:p>
    <w:p w14:paraId="0A4DED1C" w14:textId="77777777" w:rsidR="00727EFE" w:rsidRPr="00004EEC" w:rsidRDefault="00727EFE" w:rsidP="00727EFE">
      <w:pPr>
        <w:pStyle w:val="NoSpacing"/>
        <w:rPr>
          <w:rFonts w:ascii="Times New Roman" w:hAnsi="Times New Roman"/>
          <w:sz w:val="24"/>
          <w:szCs w:val="24"/>
        </w:rPr>
      </w:pPr>
      <w:r w:rsidRPr="00004EEC">
        <w:rPr>
          <w:rFonts w:ascii="Times New Roman" w:hAnsi="Times New Roman"/>
          <w:sz w:val="24"/>
          <w:szCs w:val="24"/>
        </w:rPr>
        <w:t xml:space="preserve">On March 19, 2025, in </w:t>
      </w:r>
      <w:r w:rsidRPr="00004EEC">
        <w:rPr>
          <w:rFonts w:ascii="Times New Roman" w:hAnsi="Times New Roman"/>
          <w:sz w:val="24"/>
          <w:szCs w:val="24"/>
          <w:u w:val="single"/>
        </w:rPr>
        <w:t xml:space="preserve">State of Idaho v. </w:t>
      </w:r>
      <w:proofErr w:type="spellStart"/>
      <w:r w:rsidRPr="00004EEC">
        <w:rPr>
          <w:rFonts w:ascii="Times New Roman" w:hAnsi="Times New Roman"/>
          <w:sz w:val="24"/>
          <w:szCs w:val="24"/>
          <w:u w:val="single"/>
        </w:rPr>
        <w:t>Ismiel</w:t>
      </w:r>
      <w:proofErr w:type="spellEnd"/>
      <w:r w:rsidRPr="00004EEC">
        <w:rPr>
          <w:rFonts w:ascii="Times New Roman" w:hAnsi="Times New Roman"/>
          <w:sz w:val="24"/>
          <w:szCs w:val="24"/>
          <w:u w:val="single"/>
        </w:rPr>
        <w:t xml:space="preserve"> Emannuel </w:t>
      </w:r>
      <w:proofErr w:type="spellStart"/>
      <w:r w:rsidRPr="00004EEC">
        <w:rPr>
          <w:rFonts w:ascii="Times New Roman" w:hAnsi="Times New Roman"/>
          <w:sz w:val="24"/>
          <w:szCs w:val="24"/>
          <w:u w:val="single"/>
        </w:rPr>
        <w:t>Meeds</w:t>
      </w:r>
      <w:proofErr w:type="spellEnd"/>
      <w:r w:rsidRPr="00004EEC">
        <w:rPr>
          <w:rFonts w:ascii="Times New Roman" w:hAnsi="Times New Roman"/>
          <w:sz w:val="24"/>
          <w:szCs w:val="24"/>
        </w:rPr>
        <w:t xml:space="preserve">, the Court of Appeals of Idaho held (3 to 0; unpublished decision) that the states’ Good Samaritan law does not protect a person helping an overdose patient from arrest for an outstanding warrant, and the statute also doesn’t protect from being charged with bringing drugs into jail after their arrest.  The trial court </w:t>
      </w:r>
      <w:proofErr w:type="gramStart"/>
      <w:r w:rsidRPr="00004EEC">
        <w:rPr>
          <w:rFonts w:ascii="Times New Roman" w:hAnsi="Times New Roman"/>
          <w:sz w:val="24"/>
          <w:szCs w:val="24"/>
        </w:rPr>
        <w:t>judge did drop</w:t>
      </w:r>
      <w:proofErr w:type="gramEnd"/>
      <w:r w:rsidRPr="00004EEC">
        <w:rPr>
          <w:rFonts w:ascii="Times New Roman" w:hAnsi="Times New Roman"/>
          <w:sz w:val="24"/>
          <w:szCs w:val="24"/>
        </w:rPr>
        <w:t xml:space="preserve"> charges of possession  since this is covered by </w:t>
      </w:r>
      <w:proofErr w:type="gramStart"/>
      <w:r w:rsidRPr="00004EEC">
        <w:rPr>
          <w:rFonts w:ascii="Times New Roman" w:hAnsi="Times New Roman"/>
          <w:sz w:val="24"/>
          <w:szCs w:val="24"/>
        </w:rPr>
        <w:t>the Good</w:t>
      </w:r>
      <w:proofErr w:type="gramEnd"/>
      <w:r w:rsidRPr="00004EEC">
        <w:rPr>
          <w:rFonts w:ascii="Times New Roman" w:hAnsi="Times New Roman"/>
          <w:sz w:val="24"/>
          <w:szCs w:val="24"/>
        </w:rPr>
        <w:t xml:space="preserve"> Samaritan law.  “During the booking process, an intake search was conducted and officers found methamphetamine and marijuana concealed in his anal cavity. </w:t>
      </w:r>
      <w:proofErr w:type="spellStart"/>
      <w:r w:rsidRPr="00004EEC">
        <w:rPr>
          <w:rFonts w:ascii="Times New Roman" w:hAnsi="Times New Roman"/>
          <w:sz w:val="24"/>
          <w:szCs w:val="24"/>
        </w:rPr>
        <w:t>Meeds</w:t>
      </w:r>
      <w:proofErr w:type="spellEnd"/>
      <w:r w:rsidRPr="00004EEC">
        <w:rPr>
          <w:rFonts w:ascii="Times New Roman" w:hAnsi="Times New Roman"/>
          <w:sz w:val="24"/>
          <w:szCs w:val="24"/>
        </w:rPr>
        <w:t xml:space="preserve"> was charged with possession, introduction, or removal of certain articles into or from a correctional facility…. Whether prosecution for additional crimes or arrests on outstanding warrants should be prohibited by I.C. § 37-2739C is a matter for the legislature, not this Court.” </w:t>
      </w:r>
      <w:hyperlink r:id="rId2785" w:history="1">
        <w:r w:rsidRPr="00004EEC">
          <w:rPr>
            <w:rStyle w:val="Hyperlink"/>
            <w:rFonts w:ascii="Times New Roman" w:hAnsi="Times New Roman"/>
            <w:sz w:val="24"/>
            <w:szCs w:val="24"/>
          </w:rPr>
          <w:t>https://isc.idaho.gov/opinions/51312.pdf</w:t>
        </w:r>
      </w:hyperlink>
    </w:p>
    <w:p w14:paraId="10C4F618" w14:textId="77777777" w:rsidR="00727EFE" w:rsidRPr="00004EEC" w:rsidRDefault="00727EFE" w:rsidP="000C4DF5">
      <w:pPr>
        <w:pStyle w:val="NoSpacing"/>
        <w:rPr>
          <w:rFonts w:ascii="Times New Roman" w:hAnsi="Times New Roman"/>
          <w:sz w:val="24"/>
          <w:szCs w:val="24"/>
        </w:rPr>
      </w:pPr>
    </w:p>
    <w:p w14:paraId="6D2E862E" w14:textId="77777777" w:rsidR="00004EEC" w:rsidRPr="00004EEC" w:rsidRDefault="00004EEC" w:rsidP="00004EEC">
      <w:pPr>
        <w:pStyle w:val="NoSpacing"/>
        <w:rPr>
          <w:rFonts w:ascii="Times New Roman" w:hAnsi="Times New Roman"/>
          <w:b/>
          <w:bCs/>
          <w:sz w:val="24"/>
          <w:szCs w:val="24"/>
        </w:rPr>
      </w:pPr>
      <w:r w:rsidRPr="00004EEC">
        <w:rPr>
          <w:rFonts w:ascii="Times New Roman" w:hAnsi="Times New Roman"/>
          <w:b/>
          <w:sz w:val="24"/>
          <w:szCs w:val="24"/>
        </w:rPr>
        <w:t>Legal Lesson Learned: Court enforces statute that is “plain and unambiguous.”</w:t>
      </w:r>
    </w:p>
    <w:p w14:paraId="2CDE7F49" w14:textId="77777777" w:rsidR="00004EEC" w:rsidRPr="00004EEC" w:rsidRDefault="00004EEC" w:rsidP="00004EEC">
      <w:pPr>
        <w:pStyle w:val="NoSpacing"/>
        <w:ind w:left="720"/>
        <w:rPr>
          <w:rFonts w:ascii="Times New Roman" w:hAnsi="Times New Roman"/>
          <w:sz w:val="24"/>
          <w:szCs w:val="24"/>
        </w:rPr>
      </w:pPr>
    </w:p>
    <w:p w14:paraId="2948E965" w14:textId="77777777" w:rsidR="00004EEC" w:rsidRPr="00004EEC" w:rsidRDefault="00004EEC" w:rsidP="000C4DF5">
      <w:pPr>
        <w:pStyle w:val="NoSpacing"/>
        <w:rPr>
          <w:rFonts w:ascii="Times New Roman" w:hAnsi="Times New Roman"/>
          <w:sz w:val="24"/>
          <w:szCs w:val="24"/>
        </w:rPr>
      </w:pPr>
    </w:p>
    <w:p w14:paraId="21E33559" w14:textId="77777777" w:rsidR="008A2AE6" w:rsidRDefault="008A2AE6" w:rsidP="000C4DF5">
      <w:pPr>
        <w:pStyle w:val="NoSpacing"/>
        <w:rPr>
          <w:rFonts w:ascii="Arial Black" w:hAnsi="Arial Black"/>
          <w:sz w:val="24"/>
          <w:szCs w:val="24"/>
        </w:rPr>
      </w:pPr>
    </w:p>
    <w:p w14:paraId="39091001" w14:textId="77777777" w:rsidR="008A2AE6" w:rsidRDefault="008A2AE6" w:rsidP="000C4DF5">
      <w:pPr>
        <w:pStyle w:val="NoSpacing"/>
        <w:rPr>
          <w:rFonts w:ascii="Arial Black" w:hAnsi="Arial Black"/>
          <w:sz w:val="24"/>
          <w:szCs w:val="24"/>
        </w:rPr>
      </w:pPr>
    </w:p>
    <w:p w14:paraId="5B09835D" w14:textId="2482627D" w:rsidR="00FD3A33" w:rsidRPr="00C23DCB" w:rsidRDefault="00C568F9" w:rsidP="000C4DF5">
      <w:pPr>
        <w:pStyle w:val="NoSpacing"/>
        <w:rPr>
          <w:rFonts w:ascii="Arial Black" w:hAnsi="Arial Black"/>
          <w:sz w:val="28"/>
          <w:szCs w:val="28"/>
        </w:rPr>
      </w:pPr>
      <w:r w:rsidRPr="00C23DCB">
        <w:rPr>
          <w:rFonts w:ascii="Arial Black" w:hAnsi="Arial Black"/>
          <w:sz w:val="28"/>
          <w:szCs w:val="28"/>
        </w:rPr>
        <w:t>18-28</w:t>
      </w:r>
    </w:p>
    <w:p w14:paraId="0694B8D7" w14:textId="77777777" w:rsidR="00C568F9" w:rsidRDefault="00C568F9" w:rsidP="000C4DF5">
      <w:pPr>
        <w:pStyle w:val="NoSpacing"/>
        <w:rPr>
          <w:rFonts w:ascii="Arial Black" w:hAnsi="Arial Black"/>
          <w:sz w:val="24"/>
          <w:szCs w:val="24"/>
        </w:rPr>
      </w:pPr>
    </w:p>
    <w:p w14:paraId="78B5D844" w14:textId="77777777" w:rsidR="00B23BDB" w:rsidRPr="000B7F2C" w:rsidRDefault="00B23BDB" w:rsidP="00B23BDB">
      <w:pPr>
        <w:rPr>
          <w:rFonts w:ascii="Arial Black" w:hAnsi="Arial Black"/>
          <w:sz w:val="28"/>
          <w:szCs w:val="28"/>
        </w:rPr>
      </w:pPr>
      <w:r w:rsidRPr="000B7F2C">
        <w:rPr>
          <w:rFonts w:ascii="Arial Black" w:hAnsi="Arial Black"/>
          <w:sz w:val="28"/>
          <w:szCs w:val="28"/>
        </w:rPr>
        <w:t xml:space="preserve">MD: HUD “GOOD NEIGHBOR” HOMES </w:t>
      </w:r>
      <w:r>
        <w:rPr>
          <w:rFonts w:ascii="Arial Black" w:hAnsi="Arial Black"/>
          <w:sz w:val="28"/>
          <w:szCs w:val="28"/>
        </w:rPr>
        <w:t xml:space="preserve">– POLICE / FIRE </w:t>
      </w:r>
    </w:p>
    <w:p w14:paraId="73369532" w14:textId="77777777" w:rsidR="00B23BDB" w:rsidRPr="00B23BDB" w:rsidRDefault="00B23BDB" w:rsidP="00B23BDB">
      <w:pPr>
        <w:rPr>
          <w:rFonts w:ascii="Times New Roman" w:hAnsi="Times New Roman"/>
          <w:sz w:val="24"/>
          <w:szCs w:val="24"/>
        </w:rPr>
      </w:pPr>
      <w:r w:rsidRPr="00B23BDB">
        <w:rPr>
          <w:rFonts w:ascii="Times New Roman" w:hAnsi="Times New Roman"/>
          <w:sz w:val="24"/>
          <w:szCs w:val="24"/>
        </w:rPr>
        <w:t xml:space="preserve">On Feb. 24, 2025, in </w:t>
      </w:r>
      <w:r w:rsidRPr="00B23BDB">
        <w:rPr>
          <w:rFonts w:ascii="Times New Roman" w:hAnsi="Times New Roman"/>
          <w:sz w:val="24"/>
          <w:szCs w:val="24"/>
          <w:u w:val="single"/>
        </w:rPr>
        <w:t xml:space="preserve">Robert D. Kaetzel v. The Secretary of Housing </w:t>
      </w:r>
      <w:proofErr w:type="gramStart"/>
      <w:r w:rsidRPr="00B23BDB">
        <w:rPr>
          <w:rFonts w:ascii="Times New Roman" w:hAnsi="Times New Roman"/>
          <w:sz w:val="24"/>
          <w:szCs w:val="24"/>
          <w:u w:val="single"/>
        </w:rPr>
        <w:t>And</w:t>
      </w:r>
      <w:proofErr w:type="gramEnd"/>
      <w:r w:rsidRPr="00B23BDB">
        <w:rPr>
          <w:rFonts w:ascii="Times New Roman" w:hAnsi="Times New Roman"/>
          <w:sz w:val="24"/>
          <w:szCs w:val="24"/>
          <w:u w:val="single"/>
        </w:rPr>
        <w:t xml:space="preserve"> Urban Development</w:t>
      </w:r>
      <w:r w:rsidRPr="00B23BDB">
        <w:rPr>
          <w:rFonts w:ascii="Times New Roman" w:hAnsi="Times New Roman"/>
          <w:sz w:val="24"/>
          <w:szCs w:val="24"/>
        </w:rPr>
        <w:t>, United State District Judge Brendan A. Hurson granted HUD motion to dismiss because the plaintiff real estate agent (pro se; acting without an attorney) does not have standing because he did not include his two firefighter clients in the case.  The two firefighters sought to buy homes with 50% discount from list price under the HUD “Good Neighbor Next Door”</w:t>
      </w:r>
      <w:r w:rsidRPr="00B23BDB">
        <w:rPr>
          <w:rFonts w:ascii="Times New Roman" w:hAnsi="Times New Roman"/>
          <w:b/>
          <w:sz w:val="24"/>
          <w:szCs w:val="24"/>
        </w:rPr>
        <w:t xml:space="preserve"> </w:t>
      </w:r>
      <w:r w:rsidRPr="00B23BDB">
        <w:rPr>
          <w:rFonts w:ascii="Times New Roman" w:hAnsi="Times New Roman"/>
          <w:sz w:val="24"/>
          <w:szCs w:val="24"/>
        </w:rPr>
        <w:t xml:space="preserve">program in </w:t>
      </w:r>
      <w:hyperlink r:id="rId2786" w:history="1">
        <w:r w:rsidRPr="00B23BDB">
          <w:rPr>
            <w:rStyle w:val="Hyperlink"/>
            <w:rFonts w:ascii="Times New Roman" w:hAnsi="Times New Roman"/>
            <w:sz w:val="24"/>
            <w:szCs w:val="24"/>
          </w:rPr>
          <w:t>revitalization areas</w:t>
        </w:r>
      </w:hyperlink>
      <w:r w:rsidRPr="00B23BDB">
        <w:rPr>
          <w:rFonts w:ascii="Times New Roman" w:hAnsi="Times New Roman"/>
          <w:sz w:val="24"/>
          <w:szCs w:val="24"/>
        </w:rPr>
        <w:t xml:space="preserve">.  Firefighter Kendra L. Slydell, a career firefighter with Princes George County fire department was denied HUD reduced price home in Capitol Heights, a town in PG County; firefighter Kenneth Hudson, a career firefighter with  Baltimore City fire department was denied a home in Baltimore City.  The real estate agent alleged HUD determined “that the individual purchaser[s'] </w:t>
      </w:r>
      <w:r w:rsidRPr="00B23BDB">
        <w:rPr>
          <w:rFonts w:ascii="Times New Roman" w:hAnsi="Times New Roman"/>
          <w:sz w:val="24"/>
          <w:szCs w:val="24"/>
        </w:rPr>
        <w:lastRenderedPageBreak/>
        <w:t xml:space="preserve">regular work locations are not within the same ‘neighborhood or community' as the property, [and] therefore [the purchasers] do not qualify.”   </w:t>
      </w:r>
      <w:hyperlink r:id="rId2787" w:history="1">
        <w:r w:rsidRPr="00B23BDB">
          <w:rPr>
            <w:rStyle w:val="Hyperlink"/>
            <w:rFonts w:ascii="Times New Roman" w:hAnsi="Times New Roman"/>
            <w:sz w:val="24"/>
            <w:szCs w:val="24"/>
          </w:rPr>
          <w:t>https://public.fastcase.com/jaEE2PXzRXmZ99jOLMt1InNcYbqVaI0RKJVNmSUWwC4uBfhrqEaMCXW4t6jftSIgD4%2FHoHLdH48y39slr7kZWrEMnvLTwJnn0bFKh%2B9XZVQ%3D?utm_medium=email&amp;_hsenc=p2ANqtz-9jIRW7ECQxdsfZzinN3lzy-N6WwmOPS0xWaDDWCvHvPAgLyigDSOvaGk0u5IT3PeW4EZ19aOxVZon74RIrJmMQwWSuhw&amp;_hsmi=226712652&amp;utm_content=226712652&amp;utm_source=hs_email</w:t>
        </w:r>
      </w:hyperlink>
      <w:r w:rsidRPr="00B23BDB">
        <w:rPr>
          <w:rFonts w:ascii="Times New Roman" w:hAnsi="Times New Roman"/>
          <w:sz w:val="24"/>
          <w:szCs w:val="24"/>
        </w:rPr>
        <w:t xml:space="preserve"> </w:t>
      </w:r>
    </w:p>
    <w:p w14:paraId="10069FF8" w14:textId="77777777" w:rsidR="00B23BDB" w:rsidRPr="00B23BDB" w:rsidRDefault="00B23BDB" w:rsidP="00B23BDB">
      <w:pPr>
        <w:pStyle w:val="NoSpacing"/>
        <w:rPr>
          <w:rFonts w:ascii="Times New Roman" w:hAnsi="Times New Roman"/>
          <w:sz w:val="24"/>
          <w:szCs w:val="24"/>
        </w:rPr>
      </w:pPr>
      <w:r w:rsidRPr="00B23BDB">
        <w:rPr>
          <w:rFonts w:ascii="Times New Roman" w:hAnsi="Times New Roman"/>
          <w:sz w:val="24"/>
          <w:szCs w:val="24"/>
        </w:rPr>
        <w:t>The Court wrote:</w:t>
      </w:r>
    </w:p>
    <w:p w14:paraId="6933A9DC" w14:textId="77777777" w:rsidR="00B23BDB" w:rsidRPr="00B23BDB" w:rsidRDefault="00B23BDB" w:rsidP="00B23BDB">
      <w:pPr>
        <w:pStyle w:val="NoSpacing"/>
        <w:rPr>
          <w:rFonts w:ascii="Times New Roman" w:hAnsi="Times New Roman"/>
          <w:sz w:val="24"/>
          <w:szCs w:val="24"/>
        </w:rPr>
      </w:pPr>
    </w:p>
    <w:p w14:paraId="7E0842AC"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“Plaintiff Robert D. Kaetzel …proceeding pro se, </w:t>
      </w:r>
      <w:proofErr w:type="gramStart"/>
      <w:r w:rsidRPr="00B23BDB">
        <w:rPr>
          <w:rFonts w:ascii="Times New Roman" w:hAnsi="Times New Roman"/>
          <w:sz w:val="24"/>
          <w:szCs w:val="24"/>
        </w:rPr>
        <w:t>brought suit against</w:t>
      </w:r>
      <w:proofErr w:type="gramEnd"/>
      <w:r w:rsidRPr="00B23BDB">
        <w:rPr>
          <w:rFonts w:ascii="Times New Roman" w:hAnsi="Times New Roman"/>
          <w:sz w:val="24"/>
          <w:szCs w:val="24"/>
        </w:rPr>
        <w:t xml:space="preserve"> the Secretary of Housing and Urban Development  … challenging HUD's implementation of its Good Neighbor Next Door (“GNND”) Program…. </w:t>
      </w:r>
    </w:p>
    <w:p w14:paraId="1DF2B3F4" w14:textId="77777777" w:rsidR="00B23BDB" w:rsidRPr="00B23BDB" w:rsidRDefault="00B23BDB" w:rsidP="00B23BDB">
      <w:pPr>
        <w:pStyle w:val="NoSpacing"/>
        <w:rPr>
          <w:rFonts w:ascii="Times New Roman" w:hAnsi="Times New Roman"/>
          <w:sz w:val="24"/>
          <w:szCs w:val="24"/>
        </w:rPr>
      </w:pPr>
    </w:p>
    <w:p w14:paraId="02EE47AC" w14:textId="77777777" w:rsidR="00B23BDB"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w:t>
      </w:r>
    </w:p>
    <w:p w14:paraId="0A405586" w14:textId="77777777" w:rsidR="00B23BDB" w:rsidRPr="00B23BDB" w:rsidRDefault="00B23BDB" w:rsidP="00B23BDB">
      <w:pPr>
        <w:pStyle w:val="NoSpacing"/>
        <w:rPr>
          <w:rFonts w:ascii="Times New Roman" w:hAnsi="Times New Roman"/>
          <w:sz w:val="24"/>
          <w:szCs w:val="24"/>
        </w:rPr>
      </w:pPr>
    </w:p>
    <w:p w14:paraId="611DA675"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HUD created the GNND Program ‘to improve the quality of life in distressed urban communities ... by encouraging law enforcement officers, teachers, and firefighters/emergency medical technicians to purchase and live in homes that are located in the same communities where they perform their daily responsibilities and duties.’ 24 C.F.R. § 291.500. The Program allows eligible purchasers to ‘purchase a specifically designated HUD-acquired home located in a HUD-designated revitalization area’ ‘[a]t a 50 percent discount from the list price’ and ‘[w]</w:t>
      </w:r>
      <w:proofErr w:type="spellStart"/>
      <w:r w:rsidRPr="00B23BDB">
        <w:rPr>
          <w:rFonts w:ascii="Times New Roman" w:hAnsi="Times New Roman"/>
          <w:sz w:val="24"/>
          <w:szCs w:val="24"/>
        </w:rPr>
        <w:t>ith</w:t>
      </w:r>
      <w:proofErr w:type="spellEnd"/>
      <w:r w:rsidRPr="00B23BDB">
        <w:rPr>
          <w:rFonts w:ascii="Times New Roman" w:hAnsi="Times New Roman"/>
          <w:sz w:val="24"/>
          <w:szCs w:val="24"/>
        </w:rPr>
        <w:t xml:space="preserve"> a downpayment of $100, but only if the [eligible purchaser] finances the home through a Federal Housing Administration (FHA) insured mortgage.’ § 291.510(a)(1)-(2). </w:t>
      </w:r>
    </w:p>
    <w:p w14:paraId="4987D0DA" w14:textId="77777777" w:rsidR="00B23BDB" w:rsidRPr="00B23BDB" w:rsidRDefault="00B23BDB" w:rsidP="00B23BDB">
      <w:pPr>
        <w:pStyle w:val="NoSpacing"/>
        <w:rPr>
          <w:rFonts w:ascii="Times New Roman" w:hAnsi="Times New Roman"/>
          <w:sz w:val="24"/>
          <w:szCs w:val="24"/>
        </w:rPr>
      </w:pPr>
    </w:p>
    <w:p w14:paraId="7A641D7F" w14:textId="77777777" w:rsidR="00B23BDB"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w:t>
      </w:r>
    </w:p>
    <w:p w14:paraId="6DCC9D53" w14:textId="77777777" w:rsidR="00B23BDB" w:rsidRPr="00B23BDB" w:rsidRDefault="00B23BDB" w:rsidP="00B23BDB">
      <w:pPr>
        <w:pStyle w:val="NoSpacing"/>
        <w:rPr>
          <w:rFonts w:ascii="Times New Roman" w:hAnsi="Times New Roman"/>
          <w:sz w:val="24"/>
          <w:szCs w:val="24"/>
        </w:rPr>
      </w:pPr>
    </w:p>
    <w:p w14:paraId="5DBC73A9"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Here, </w:t>
      </w:r>
      <w:proofErr w:type="gramStart"/>
      <w:r w:rsidRPr="00B23BDB">
        <w:rPr>
          <w:rFonts w:ascii="Times New Roman" w:hAnsi="Times New Roman"/>
          <w:sz w:val="24"/>
          <w:szCs w:val="24"/>
        </w:rPr>
        <w:t>Plaintiffs</w:t>
      </w:r>
      <w:proofErr w:type="gramEnd"/>
      <w:r w:rsidRPr="00B23BDB">
        <w:rPr>
          <w:rFonts w:ascii="Times New Roman" w:hAnsi="Times New Roman"/>
          <w:sz w:val="24"/>
          <w:szCs w:val="24"/>
        </w:rPr>
        <w:t xml:space="preserve"> claims are entirely derivative of those of his clients, who are not parties </w:t>
      </w:r>
      <w:proofErr w:type="gramStart"/>
      <w:r w:rsidRPr="00B23BDB">
        <w:rPr>
          <w:rFonts w:ascii="Times New Roman" w:hAnsi="Times New Roman"/>
          <w:sz w:val="24"/>
          <w:szCs w:val="24"/>
        </w:rPr>
        <w:t>in</w:t>
      </w:r>
      <w:proofErr w:type="gramEnd"/>
      <w:r w:rsidRPr="00B23BDB">
        <w:rPr>
          <w:rFonts w:ascii="Times New Roman" w:hAnsi="Times New Roman"/>
          <w:sz w:val="24"/>
          <w:szCs w:val="24"/>
        </w:rPr>
        <w:t xml:space="preserve"> this suit. Even assuming Plaintiff has met the first two criteria, there is nothing before the Court to suggest that Plaintiffs clients are unable to bring suit on their own behalf challenging HUD's application of its own GNND Program regulations. Plaintiff therefore cannot establish third-party standing.”</w:t>
      </w:r>
    </w:p>
    <w:p w14:paraId="21ADF3A3" w14:textId="77777777" w:rsidR="00B23BDB" w:rsidRPr="00B23BDB" w:rsidRDefault="00B23BDB" w:rsidP="00B23BDB">
      <w:pPr>
        <w:pStyle w:val="NoSpacing"/>
        <w:rPr>
          <w:rFonts w:ascii="Times New Roman" w:hAnsi="Times New Roman"/>
          <w:sz w:val="24"/>
          <w:szCs w:val="24"/>
        </w:rPr>
      </w:pPr>
    </w:p>
    <w:p w14:paraId="29687481" w14:textId="77777777" w:rsidR="00B23BDB" w:rsidRPr="00B23BDB" w:rsidRDefault="00B23BDB" w:rsidP="00B23BDB">
      <w:pPr>
        <w:pStyle w:val="NoSpacing"/>
        <w:rPr>
          <w:rFonts w:ascii="Times New Roman" w:hAnsi="Times New Roman"/>
          <w:b/>
          <w:bCs/>
          <w:sz w:val="24"/>
          <w:szCs w:val="24"/>
        </w:rPr>
      </w:pPr>
      <w:r w:rsidRPr="00B23BDB">
        <w:rPr>
          <w:rFonts w:ascii="Times New Roman" w:hAnsi="Times New Roman"/>
          <w:b/>
          <w:sz w:val="24"/>
          <w:szCs w:val="24"/>
        </w:rPr>
        <w:t xml:space="preserve">Legal Lesson Learned:  The two firefighters who were denied HUD approval of “Good Neighbor Next Door” purchases may bring a lawsuit. </w:t>
      </w:r>
    </w:p>
    <w:p w14:paraId="274A4CDC" w14:textId="77777777" w:rsidR="00B23BDB" w:rsidRPr="00B23BDB" w:rsidRDefault="00B23BDB" w:rsidP="00B23BDB">
      <w:pPr>
        <w:rPr>
          <w:rFonts w:ascii="Times New Roman" w:hAnsi="Times New Roman"/>
          <w:b/>
          <w:bCs/>
          <w:sz w:val="24"/>
          <w:szCs w:val="24"/>
        </w:rPr>
      </w:pPr>
    </w:p>
    <w:p w14:paraId="68735F26" w14:textId="77777777" w:rsidR="00B23BDB" w:rsidRPr="00B23BDB" w:rsidRDefault="00B23BDB" w:rsidP="00B23BDB">
      <w:pPr>
        <w:ind w:left="720"/>
        <w:rPr>
          <w:rFonts w:ascii="Times New Roman" w:hAnsi="Times New Roman"/>
          <w:sz w:val="24"/>
          <w:szCs w:val="24"/>
        </w:rPr>
      </w:pPr>
      <w:r w:rsidRPr="00B23BDB">
        <w:rPr>
          <w:rFonts w:ascii="Times New Roman" w:hAnsi="Times New Roman"/>
          <w:sz w:val="24"/>
          <w:szCs w:val="24"/>
        </w:rPr>
        <w:t xml:space="preserve">Note: See HUD Good Neighbor Next Door program: </w:t>
      </w:r>
      <w:hyperlink r:id="rId2788" w:history="1">
        <w:r w:rsidRPr="00B23BDB">
          <w:rPr>
            <w:rStyle w:val="Hyperlink"/>
            <w:rFonts w:ascii="Times New Roman" w:hAnsi="Times New Roman"/>
            <w:sz w:val="24"/>
            <w:szCs w:val="24"/>
          </w:rPr>
          <w:t>https://www.hud.gov/program_offices/housing/sfh/reo/goodn/gnndabot</w:t>
        </w:r>
      </w:hyperlink>
      <w:r w:rsidRPr="00B23BDB">
        <w:rPr>
          <w:rFonts w:ascii="Times New Roman" w:hAnsi="Times New Roman"/>
          <w:sz w:val="24"/>
          <w:szCs w:val="24"/>
        </w:rPr>
        <w:t xml:space="preserve"> </w:t>
      </w:r>
    </w:p>
    <w:p w14:paraId="2D161CBB" w14:textId="77777777" w:rsidR="00B23BDB"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 xml:space="preserve">See Regulation: </w:t>
      </w:r>
    </w:p>
    <w:p w14:paraId="4459094D" w14:textId="77777777" w:rsidR="00B23BDB" w:rsidRPr="00B23BDB" w:rsidRDefault="00B23BDB" w:rsidP="00B23BDB">
      <w:pPr>
        <w:pStyle w:val="NoSpacing"/>
        <w:rPr>
          <w:rFonts w:ascii="Times New Roman" w:hAnsi="Times New Roman"/>
          <w:sz w:val="24"/>
          <w:szCs w:val="24"/>
        </w:rPr>
      </w:pPr>
      <w:r w:rsidRPr="00B23BDB">
        <w:rPr>
          <w:rFonts w:ascii="Times New Roman" w:hAnsi="Times New Roman"/>
          <w:sz w:val="24"/>
          <w:szCs w:val="24"/>
        </w:rPr>
        <w:t>      </w:t>
      </w:r>
    </w:p>
    <w:p w14:paraId="26C6A0DF"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 291.530 Eligible firefighter/emergency medical technicians. A person qualifies as a firefighter/emergency medical technician for the purposes of the GNND Sales Program if the person is: </w:t>
      </w:r>
    </w:p>
    <w:p w14:paraId="2D1652F2"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(a) Employed full-time as a firefighter or emergency medical technician by a fire department or emergency medical services responder unit of the Federal Government, a </w:t>
      </w:r>
      <w:hyperlink r:id="rId2789" w:history="1">
        <w:r w:rsidRPr="00B23BDB">
          <w:rPr>
            <w:rStyle w:val="Hyperlink"/>
            <w:rFonts w:ascii="Times New Roman" w:hAnsi="Times New Roman"/>
            <w:sz w:val="24"/>
            <w:szCs w:val="24"/>
          </w:rPr>
          <w:t>State</w:t>
        </w:r>
      </w:hyperlink>
      <w:r w:rsidRPr="00B23BDB">
        <w:rPr>
          <w:rFonts w:ascii="Times New Roman" w:hAnsi="Times New Roman"/>
          <w:sz w:val="24"/>
          <w:szCs w:val="24"/>
        </w:rPr>
        <w:t xml:space="preserve">, </w:t>
      </w:r>
      <w:hyperlink r:id="rId2790" w:history="1">
        <w:r w:rsidRPr="00B23BDB">
          <w:rPr>
            <w:rStyle w:val="Hyperlink"/>
            <w:rFonts w:ascii="Times New Roman" w:hAnsi="Times New Roman"/>
            <w:sz w:val="24"/>
            <w:szCs w:val="24"/>
          </w:rPr>
          <w:t>unit of general local government</w:t>
        </w:r>
      </w:hyperlink>
      <w:r w:rsidRPr="00B23BDB">
        <w:rPr>
          <w:rFonts w:ascii="Times New Roman" w:hAnsi="Times New Roman"/>
          <w:sz w:val="24"/>
          <w:szCs w:val="24"/>
        </w:rPr>
        <w:t xml:space="preserve">, or an Indian tribal government; and </w:t>
      </w:r>
    </w:p>
    <w:p w14:paraId="4C78CFC7"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(b) The full-time employment in </w:t>
      </w:r>
      <w:hyperlink r:id="rId2791" w:anchor="a" w:history="1">
        <w:r w:rsidRPr="00B23BDB">
          <w:rPr>
            <w:rStyle w:val="Hyperlink"/>
            <w:rFonts w:ascii="Times New Roman" w:hAnsi="Times New Roman"/>
            <w:sz w:val="24"/>
            <w:szCs w:val="24"/>
          </w:rPr>
          <w:t>paragraph (a)</w:t>
        </w:r>
      </w:hyperlink>
      <w:r w:rsidRPr="00B23BDB">
        <w:rPr>
          <w:rFonts w:ascii="Times New Roman" w:hAnsi="Times New Roman"/>
          <w:sz w:val="24"/>
          <w:szCs w:val="24"/>
        </w:rPr>
        <w:t xml:space="preserve"> of this section must, in the normal course of business, directly serve the </w:t>
      </w:r>
      <w:hyperlink r:id="rId2792" w:history="1">
        <w:r w:rsidRPr="00B23BDB">
          <w:rPr>
            <w:rStyle w:val="Hyperlink"/>
            <w:rFonts w:ascii="Times New Roman" w:hAnsi="Times New Roman"/>
            <w:sz w:val="24"/>
            <w:szCs w:val="24"/>
          </w:rPr>
          <w:t>locality</w:t>
        </w:r>
      </w:hyperlink>
      <w:r w:rsidRPr="00B23BDB">
        <w:rPr>
          <w:rFonts w:ascii="Times New Roman" w:hAnsi="Times New Roman"/>
          <w:sz w:val="24"/>
          <w:szCs w:val="24"/>
        </w:rPr>
        <w:t xml:space="preserve"> where the home is located. </w:t>
      </w:r>
    </w:p>
    <w:p w14:paraId="63606365" w14:textId="51C7D22B" w:rsidR="00C568F9"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w:t>
      </w:r>
      <w:hyperlink r:id="rId2793" w:history="1">
        <w:r w:rsidRPr="00B23BDB">
          <w:rPr>
            <w:rStyle w:val="Hyperlink"/>
            <w:rFonts w:ascii="Times New Roman" w:hAnsi="Times New Roman"/>
            <w:sz w:val="24"/>
            <w:szCs w:val="24"/>
          </w:rPr>
          <w:t>81 FR 53003</w:t>
        </w:r>
      </w:hyperlink>
      <w:r w:rsidRPr="00B23BDB">
        <w:rPr>
          <w:rFonts w:ascii="Times New Roman" w:hAnsi="Times New Roman"/>
          <w:sz w:val="24"/>
          <w:szCs w:val="24"/>
        </w:rPr>
        <w:t xml:space="preserve">, Aug. 11, 2016] </w:t>
      </w:r>
      <w:hyperlink r:id="rId2794" w:history="1">
        <w:r w:rsidRPr="00B23BDB">
          <w:rPr>
            <w:rStyle w:val="Hyperlink"/>
            <w:rFonts w:ascii="Times New Roman" w:hAnsi="Times New Roman"/>
            <w:sz w:val="24"/>
            <w:szCs w:val="24"/>
          </w:rPr>
          <w:t>https://www.law.cornell.edu/cfr/text/24/291.530</w:t>
        </w:r>
      </w:hyperlink>
    </w:p>
    <w:p w14:paraId="2B277B2C" w14:textId="77777777" w:rsidR="00C568F9" w:rsidRPr="00B23BDB" w:rsidRDefault="00C568F9" w:rsidP="000C4DF5">
      <w:pPr>
        <w:pStyle w:val="NoSpacing"/>
        <w:rPr>
          <w:rFonts w:ascii="Times New Roman" w:hAnsi="Times New Roman"/>
          <w:sz w:val="24"/>
          <w:szCs w:val="24"/>
        </w:rPr>
      </w:pPr>
    </w:p>
    <w:p w14:paraId="6AB413C5" w14:textId="77777777" w:rsidR="00B23BDB" w:rsidRDefault="00B23BDB" w:rsidP="000C4DF5">
      <w:pPr>
        <w:pStyle w:val="NoSpacing"/>
        <w:rPr>
          <w:rFonts w:ascii="Arial Black" w:hAnsi="Arial Black"/>
          <w:sz w:val="28"/>
          <w:szCs w:val="28"/>
        </w:rPr>
      </w:pPr>
    </w:p>
    <w:p w14:paraId="5941033D" w14:textId="7A6AB524" w:rsidR="002100FE" w:rsidRPr="00B23BDB" w:rsidRDefault="002100FE" w:rsidP="000C4DF5">
      <w:pPr>
        <w:pStyle w:val="NoSpacing"/>
        <w:rPr>
          <w:rFonts w:ascii="Arial Black" w:hAnsi="Arial Black"/>
          <w:sz w:val="28"/>
          <w:szCs w:val="28"/>
        </w:rPr>
      </w:pPr>
      <w:r w:rsidRPr="00B23BDB">
        <w:rPr>
          <w:rFonts w:ascii="Arial Black" w:hAnsi="Arial Black"/>
          <w:sz w:val="28"/>
          <w:szCs w:val="28"/>
        </w:rPr>
        <w:lastRenderedPageBreak/>
        <w:t>18-27</w:t>
      </w:r>
    </w:p>
    <w:p w14:paraId="59610DE8" w14:textId="77777777" w:rsidR="002100FE" w:rsidRDefault="002100FE" w:rsidP="000C4DF5">
      <w:pPr>
        <w:pStyle w:val="NoSpacing"/>
        <w:rPr>
          <w:rFonts w:ascii="Arial Black" w:hAnsi="Arial Black"/>
          <w:sz w:val="24"/>
          <w:szCs w:val="24"/>
        </w:rPr>
      </w:pPr>
    </w:p>
    <w:p w14:paraId="0E908DF7" w14:textId="2B15EBC0" w:rsidR="002100FE" w:rsidRPr="00EA5F06" w:rsidRDefault="002100FE" w:rsidP="002100FE">
      <w:pPr>
        <w:pStyle w:val="NoSpacing"/>
        <w:rPr>
          <w:rFonts w:ascii="Arial Black" w:hAnsi="Arial Black"/>
          <w:bCs/>
          <w:sz w:val="28"/>
          <w:szCs w:val="28"/>
        </w:rPr>
      </w:pPr>
      <w:r>
        <w:rPr>
          <w:rFonts w:ascii="Arial Black" w:hAnsi="Arial Black"/>
          <w:sz w:val="28"/>
          <w:szCs w:val="28"/>
        </w:rPr>
        <w:t>NM: FOREST FIRE ACT</w:t>
      </w:r>
      <w:r>
        <w:rPr>
          <w:rFonts w:ascii="Arial Black" w:hAnsi="Arial Black"/>
          <w:bCs/>
          <w:sz w:val="28"/>
          <w:szCs w:val="28"/>
        </w:rPr>
        <w:t xml:space="preserve"> </w:t>
      </w:r>
      <w:r>
        <w:rPr>
          <w:rFonts w:ascii="Arial Black" w:hAnsi="Arial Black"/>
          <w:sz w:val="28"/>
          <w:szCs w:val="28"/>
        </w:rPr>
        <w:t>– PROP. &amp; EMOTIONAL D</w:t>
      </w:r>
      <w:r>
        <w:rPr>
          <w:rFonts w:ascii="Arial Black" w:hAnsi="Arial Black"/>
          <w:bCs/>
          <w:sz w:val="28"/>
          <w:szCs w:val="28"/>
        </w:rPr>
        <w:t>AM</w:t>
      </w:r>
      <w:r w:rsidR="00861268">
        <w:rPr>
          <w:rFonts w:ascii="Arial Black" w:hAnsi="Arial Black"/>
          <w:bCs/>
          <w:sz w:val="28"/>
          <w:szCs w:val="28"/>
        </w:rPr>
        <w:t>AGES</w:t>
      </w:r>
      <w:r>
        <w:rPr>
          <w:rFonts w:ascii="Arial Black" w:hAnsi="Arial Black"/>
          <w:sz w:val="28"/>
          <w:szCs w:val="28"/>
        </w:rPr>
        <w:t xml:space="preserve"> </w:t>
      </w:r>
    </w:p>
    <w:p w14:paraId="5AA304A9" w14:textId="77777777" w:rsidR="002100FE" w:rsidRDefault="002100FE" w:rsidP="002100FE">
      <w:pPr>
        <w:pStyle w:val="NoSpacing"/>
        <w:rPr>
          <w:bCs/>
        </w:rPr>
      </w:pPr>
    </w:p>
    <w:p w14:paraId="5D2946C7" w14:textId="77777777" w:rsidR="006D6BE3" w:rsidRPr="006D6BE3" w:rsidRDefault="006D6BE3" w:rsidP="006D6BE3">
      <w:pPr>
        <w:pStyle w:val="NoSpacing"/>
        <w:rPr>
          <w:rFonts w:ascii="Times New Roman" w:hAnsi="Times New Roman"/>
          <w:sz w:val="24"/>
          <w:szCs w:val="24"/>
        </w:rPr>
      </w:pPr>
      <w:r w:rsidRPr="006D6BE3">
        <w:rPr>
          <w:rFonts w:ascii="Times New Roman" w:hAnsi="Times New Roman"/>
          <w:sz w:val="24"/>
          <w:szCs w:val="24"/>
        </w:rPr>
        <w:t xml:space="preserve">On Dec. 17, 2024, in </w:t>
      </w:r>
      <w:r w:rsidRPr="006D6BE3">
        <w:rPr>
          <w:rFonts w:ascii="Times New Roman" w:hAnsi="Times New Roman"/>
          <w:sz w:val="24"/>
          <w:szCs w:val="24"/>
          <w:u w:val="single"/>
        </w:rPr>
        <w:t>Tobin Dolan, et al. v. FEMA</w:t>
      </w:r>
      <w:r w:rsidRPr="006D6BE3">
        <w:rPr>
          <w:rFonts w:ascii="Times New Roman" w:hAnsi="Times New Roman"/>
          <w:sz w:val="24"/>
          <w:szCs w:val="24"/>
        </w:rPr>
        <w:t xml:space="preserve">, United States District Court Judge James O. Browning, U.S. District Court for District of New Mexico, held that when Congress in 2022 passed the Hermit's Peak Fire Assistance Act, and directed FEMA to disburse $3.95 billion in compensation for property owners damaged by the Hermit’s Peak/Calf Canyon Fire, that compensation can include noneconomic damages, including damages for emotional distress.  </w:t>
      </w:r>
      <w:hyperlink r:id="rId2795" w:history="1">
        <w:r w:rsidRPr="006D6BE3">
          <w:rPr>
            <w:rStyle w:val="Hyperlink"/>
            <w:rFonts w:ascii="Times New Roman" w:hAnsi="Times New Roman"/>
            <w:sz w:val="24"/>
            <w:szCs w:val="24"/>
          </w:rPr>
          <w:t>https://casetext.com/case/dolan-v-fed-emergency-mgmt-agency</w:t>
        </w:r>
      </w:hyperlink>
      <w:r w:rsidRPr="006D6BE3">
        <w:rPr>
          <w:rFonts w:ascii="Times New Roman" w:hAnsi="Times New Roman"/>
          <w:sz w:val="24"/>
          <w:szCs w:val="24"/>
        </w:rPr>
        <w:t xml:space="preserve"> </w:t>
      </w:r>
    </w:p>
    <w:p w14:paraId="258AE72E" w14:textId="77777777" w:rsidR="006D6BE3" w:rsidRDefault="006D6BE3" w:rsidP="002100FE">
      <w:pPr>
        <w:pStyle w:val="NoSpacing"/>
        <w:rPr>
          <w:rFonts w:ascii="Times New Roman" w:hAnsi="Times New Roman"/>
          <w:sz w:val="24"/>
          <w:szCs w:val="24"/>
        </w:rPr>
      </w:pPr>
    </w:p>
    <w:p w14:paraId="3AF6AF9F" w14:textId="2BB3A342" w:rsidR="002100FE" w:rsidRPr="00B14B92" w:rsidRDefault="002100FE" w:rsidP="002100FE">
      <w:pPr>
        <w:pStyle w:val="NoSpacing"/>
        <w:rPr>
          <w:rFonts w:ascii="Times New Roman" w:hAnsi="Times New Roman"/>
          <w:bCs/>
          <w:sz w:val="24"/>
          <w:szCs w:val="24"/>
        </w:rPr>
      </w:pPr>
      <w:r w:rsidRPr="00B14B92">
        <w:rPr>
          <w:rFonts w:ascii="Times New Roman" w:hAnsi="Times New Roman"/>
          <w:sz w:val="24"/>
          <w:szCs w:val="24"/>
        </w:rPr>
        <w:t>The Court wrote:</w:t>
      </w:r>
    </w:p>
    <w:p w14:paraId="24BC33A4" w14:textId="77777777" w:rsidR="002100FE" w:rsidRPr="00B14B92" w:rsidRDefault="002100FE" w:rsidP="002100FE">
      <w:pPr>
        <w:pStyle w:val="NoSpacing"/>
        <w:rPr>
          <w:rFonts w:ascii="Times New Roman" w:hAnsi="Times New Roman"/>
          <w:bCs/>
          <w:sz w:val="24"/>
          <w:szCs w:val="24"/>
        </w:rPr>
      </w:pPr>
    </w:p>
    <w:p w14:paraId="145EA946" w14:textId="35E38C62" w:rsidR="002100FE" w:rsidRDefault="002100FE" w:rsidP="00077FB4">
      <w:pPr>
        <w:pStyle w:val="NoSpacing"/>
        <w:ind w:left="720"/>
        <w:rPr>
          <w:rFonts w:ascii="Times New Roman" w:hAnsi="Times New Roman"/>
          <w:sz w:val="24"/>
          <w:szCs w:val="24"/>
        </w:rPr>
      </w:pPr>
      <w:r w:rsidRPr="00B14B92">
        <w:rPr>
          <w:rFonts w:ascii="Times New Roman" w:hAnsi="Times New Roman"/>
          <w:sz w:val="24"/>
          <w:szCs w:val="24"/>
        </w:rPr>
        <w:t>“The Court held a hearing on October 15, 2024…. The primary issues are: (</w:t>
      </w:r>
      <w:proofErr w:type="spellStart"/>
      <w:r w:rsidRPr="00B14B92">
        <w:rPr>
          <w:rFonts w:ascii="Times New Roman" w:hAnsi="Times New Roman"/>
          <w:sz w:val="24"/>
          <w:szCs w:val="24"/>
        </w:rPr>
        <w:t>i</w:t>
      </w:r>
      <w:proofErr w:type="spellEnd"/>
      <w:r w:rsidRPr="00B14B92">
        <w:rPr>
          <w:rFonts w:ascii="Times New Roman" w:hAnsi="Times New Roman"/>
          <w:sz w:val="24"/>
          <w:szCs w:val="24"/>
        </w:rPr>
        <w:t xml:space="preserve">) whether the Hermit's Peak Fire Assistance Act, Pub. L. No. 117-180, § 104, 136 Stat. 2114, 2168 (2022)(‘Hermit's Peak Act’) allows victims of the Hermit's Peak/Calf Canyon Fire to recover noneconomic damages for discomfort, annoyance, inconvenience, and emotional distress under New Mexico State law; and (ii) whether the Defendant Federal Emergency Management Agency's (‘FEMA's’) refusal to compensate noneconomic damages under the Hermit's Peak Act is arbitrary or capricious in violation of the Administrative Procedure Act, </w:t>
      </w:r>
      <w:hyperlink r:id="rId2796" w:history="1">
        <w:r w:rsidRPr="00B14B92">
          <w:rPr>
            <w:rStyle w:val="Hyperlink"/>
            <w:rFonts w:ascii="Times New Roman" w:hAnsi="Times New Roman"/>
            <w:sz w:val="24"/>
            <w:szCs w:val="24"/>
          </w:rPr>
          <w:t>5 U.S.C. § 706(2)(A)</w:t>
        </w:r>
      </w:hyperlink>
      <w:r w:rsidRPr="00B14B92">
        <w:rPr>
          <w:rFonts w:ascii="Times New Roman" w:hAnsi="Times New Roman"/>
          <w:sz w:val="24"/>
          <w:szCs w:val="24"/>
        </w:rPr>
        <w:t>. The Court concludes that: (</w:t>
      </w:r>
      <w:proofErr w:type="spellStart"/>
      <w:r w:rsidRPr="00B14B92">
        <w:rPr>
          <w:rFonts w:ascii="Times New Roman" w:hAnsi="Times New Roman"/>
          <w:sz w:val="24"/>
          <w:szCs w:val="24"/>
        </w:rPr>
        <w:t>i</w:t>
      </w:r>
      <w:proofErr w:type="spellEnd"/>
      <w:r w:rsidRPr="00B14B92">
        <w:rPr>
          <w:rFonts w:ascii="Times New Roman" w:hAnsi="Times New Roman"/>
          <w:sz w:val="24"/>
          <w:szCs w:val="24"/>
        </w:rPr>
        <w:t xml:space="preserve">) the Hermit's Peak Act waives FEMA's sovereign immunity for claims pursuing damages resulting from the Hermit's Peak/Calf Canyon Fire that are available under New Mexico State law; (ii) New Mexico State law allows victims of the Hermit's Peak/Calf Canyon Fire to recover noneconomic damages for nuisance, trespass, and personal injury, such as damages for emotional distress, discomfort, annoyance, and inconvenience; (iii) the correct interpretation of the ‘actual compensatory damages’ recoverable in the Hermit's Peak Act's includes noneconomic damages; and (iv) FEMA's refusal to award noneconomic  c damages under the Hermit's Peak Act is arbitrary and capricious in violation of the APA; and (v) the Court compels FEMA to award noneconomic damages under the APA.” </w:t>
      </w:r>
    </w:p>
    <w:p w14:paraId="4C8C59EF" w14:textId="77777777" w:rsidR="00077FB4" w:rsidRDefault="00077FB4" w:rsidP="00077FB4">
      <w:pPr>
        <w:pStyle w:val="NoSpacing"/>
        <w:ind w:left="720"/>
        <w:rPr>
          <w:rFonts w:ascii="Times New Roman" w:hAnsi="Times New Roman"/>
          <w:sz w:val="24"/>
          <w:szCs w:val="24"/>
        </w:rPr>
      </w:pPr>
    </w:p>
    <w:p w14:paraId="3D543666" w14:textId="77777777" w:rsidR="000A72DE" w:rsidRPr="00FA140F" w:rsidRDefault="000A72DE" w:rsidP="000A72DE">
      <w:pPr>
        <w:pStyle w:val="NoSpacing"/>
        <w:rPr>
          <w:rFonts w:ascii="Times New Roman" w:hAnsi="Times New Roman"/>
          <w:bCs/>
          <w:sz w:val="24"/>
          <w:szCs w:val="24"/>
        </w:rPr>
      </w:pPr>
      <w:r w:rsidRPr="00FA140F">
        <w:rPr>
          <w:rFonts w:ascii="Times New Roman" w:hAnsi="Times New Roman"/>
          <w:sz w:val="24"/>
          <w:szCs w:val="24"/>
        </w:rPr>
        <w:t xml:space="preserve">HOLDING: </w:t>
      </w:r>
    </w:p>
    <w:p w14:paraId="62B7C78F" w14:textId="77777777" w:rsidR="000A72DE" w:rsidRPr="00FA140F" w:rsidRDefault="000A72DE" w:rsidP="000A72DE">
      <w:pPr>
        <w:pStyle w:val="NoSpacing"/>
        <w:ind w:left="720"/>
        <w:rPr>
          <w:rFonts w:ascii="Times New Roman" w:hAnsi="Times New Roman"/>
          <w:bCs/>
          <w:sz w:val="24"/>
          <w:szCs w:val="24"/>
        </w:rPr>
      </w:pPr>
    </w:p>
    <w:p w14:paraId="3F6FB75B"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 xml:space="preserve">“In </w:t>
      </w:r>
      <w:r w:rsidRPr="00FA140F">
        <w:rPr>
          <w:rFonts w:ascii="Times New Roman" w:hAnsi="Times New Roman"/>
          <w:i/>
          <w:iCs/>
          <w:sz w:val="24"/>
          <w:szCs w:val="24"/>
        </w:rPr>
        <w:t>Loper Bright</w:t>
      </w:r>
      <w:r w:rsidRPr="00FA140F">
        <w:rPr>
          <w:rFonts w:ascii="Times New Roman" w:hAnsi="Times New Roman"/>
          <w:sz w:val="24"/>
          <w:szCs w:val="24"/>
        </w:rPr>
        <w:t xml:space="preserve">, [June 28, 2024; </w:t>
      </w:r>
      <w:hyperlink r:id="rId2797" w:history="1">
        <w:r w:rsidRPr="00FA140F">
          <w:rPr>
            <w:rStyle w:val="Hyperlink"/>
            <w:rFonts w:ascii="Times New Roman" w:hAnsi="Times New Roman"/>
            <w:sz w:val="24"/>
            <w:szCs w:val="24"/>
          </w:rPr>
          <w:t>https://www.supremecourt.gov/opinions/23pdf/22-451_7m58.pdf</w:t>
        </w:r>
      </w:hyperlink>
      <w:r w:rsidRPr="00FA140F">
        <w:rPr>
          <w:rFonts w:ascii="Times New Roman" w:hAnsi="Times New Roman"/>
          <w:sz w:val="24"/>
          <w:szCs w:val="24"/>
        </w:rPr>
        <w:t xml:space="preserve"> ]  in an opinion that the Honorable John Roberts, Chief Justice of the United States Supreme Court, authors, the Supreme Court reviews the traditional understandings of the judicial function, quoting Alexander Hamilton for the proposition that ‘[t]he Framers . . . envisioned that the final ‘interpretation of the laws' would be ‘the proper and peculiar province of the courts,’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2257 (quoting </w:t>
      </w:r>
      <w:r w:rsidRPr="00FA140F">
        <w:rPr>
          <w:rFonts w:ascii="Times New Roman" w:hAnsi="Times New Roman"/>
          <w:i/>
          <w:iCs/>
          <w:sz w:val="24"/>
          <w:szCs w:val="24"/>
        </w:rPr>
        <w:t>The Federalist no. 78</w:t>
      </w:r>
      <w:r w:rsidRPr="00FA140F">
        <w:rPr>
          <w:rFonts w:ascii="Times New Roman" w:hAnsi="Times New Roman"/>
          <w:sz w:val="24"/>
          <w:szCs w:val="24"/>
        </w:rPr>
        <w:t xml:space="preserve"> (Hamilton)), and the Honorable John Marshall, former Chief Justice of the United States, for the oft-cited principle that ‘[</w:t>
      </w:r>
      <w:proofErr w:type="spellStart"/>
      <w:r w:rsidRPr="00FA140F">
        <w:rPr>
          <w:rFonts w:ascii="Times New Roman" w:hAnsi="Times New Roman"/>
          <w:sz w:val="24"/>
          <w:szCs w:val="24"/>
        </w:rPr>
        <w:t>i</w:t>
      </w:r>
      <w:proofErr w:type="spellEnd"/>
      <w:r w:rsidRPr="00FA140F">
        <w:rPr>
          <w:rFonts w:ascii="Times New Roman" w:hAnsi="Times New Roman"/>
          <w:sz w:val="24"/>
          <w:szCs w:val="24"/>
        </w:rPr>
        <w:t xml:space="preserve">]t is emphatically the province and duty of the judicial department to say what the law is,'’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2257 (quoting </w:t>
      </w:r>
      <w:r w:rsidRPr="00FA140F">
        <w:rPr>
          <w:rFonts w:ascii="Times New Roman" w:hAnsi="Times New Roman"/>
          <w:i/>
          <w:iCs/>
          <w:sz w:val="24"/>
          <w:szCs w:val="24"/>
        </w:rPr>
        <w:t>Marbury v. Madison</w:t>
      </w:r>
      <w:r w:rsidRPr="00FA140F">
        <w:rPr>
          <w:rFonts w:ascii="Times New Roman" w:hAnsi="Times New Roman"/>
          <w:sz w:val="24"/>
          <w:szCs w:val="24"/>
        </w:rPr>
        <w:t xml:space="preserve">, 1 </w:t>
      </w:r>
      <w:proofErr w:type="spellStart"/>
      <w:r w:rsidRPr="00FA140F">
        <w:rPr>
          <w:rFonts w:ascii="Times New Roman" w:hAnsi="Times New Roman"/>
          <w:sz w:val="24"/>
          <w:szCs w:val="24"/>
        </w:rPr>
        <w:t>Cranch</w:t>
      </w:r>
      <w:proofErr w:type="spellEnd"/>
      <w:r w:rsidRPr="00FA140F">
        <w:rPr>
          <w:rFonts w:ascii="Times New Roman" w:hAnsi="Times New Roman"/>
          <w:sz w:val="24"/>
          <w:szCs w:val="24"/>
        </w:rPr>
        <w:t xml:space="preserve"> 137, 177 (1803)). </w:t>
      </w:r>
    </w:p>
    <w:p w14:paraId="3BD9E1F2" w14:textId="77777777" w:rsidR="000A72DE" w:rsidRPr="00FA140F" w:rsidRDefault="000A72DE" w:rsidP="000A72DE">
      <w:pPr>
        <w:pStyle w:val="NoSpacing"/>
        <w:ind w:left="720"/>
        <w:rPr>
          <w:rFonts w:ascii="Times New Roman" w:hAnsi="Times New Roman"/>
          <w:sz w:val="24"/>
          <w:szCs w:val="24"/>
        </w:rPr>
      </w:pPr>
    </w:p>
    <w:p w14:paraId="30BDCA1F"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w:t>
      </w:r>
    </w:p>
    <w:p w14:paraId="7BFFCC7E"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 xml:space="preserve">The Supreme Court then explains that ‘[t]he deference that </w:t>
      </w:r>
      <w:r w:rsidRPr="00FA140F">
        <w:rPr>
          <w:rFonts w:ascii="Times New Roman" w:hAnsi="Times New Roman"/>
          <w:i/>
          <w:iCs/>
          <w:sz w:val="24"/>
          <w:szCs w:val="24"/>
        </w:rPr>
        <w:t>Chevron</w:t>
      </w:r>
      <w:r w:rsidRPr="00FA140F">
        <w:rPr>
          <w:rFonts w:ascii="Times New Roman" w:hAnsi="Times New Roman"/>
          <w:sz w:val="24"/>
          <w:szCs w:val="24"/>
        </w:rPr>
        <w:t xml:space="preserve"> requires of courts reviewing agency action cannot be squared with the APA,’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2263, largely because ‘[t]he ‘law of deference' . . . built on the foundation laid in </w:t>
      </w:r>
      <w:r w:rsidRPr="00FA140F">
        <w:rPr>
          <w:rFonts w:ascii="Times New Roman" w:hAnsi="Times New Roman"/>
          <w:i/>
          <w:iCs/>
          <w:sz w:val="24"/>
          <w:szCs w:val="24"/>
        </w:rPr>
        <w:t>Chevron</w:t>
      </w:r>
      <w:r w:rsidRPr="00FA140F">
        <w:rPr>
          <w:rFonts w:ascii="Times New Roman" w:hAnsi="Times New Roman"/>
          <w:sz w:val="24"/>
          <w:szCs w:val="24"/>
        </w:rPr>
        <w:t xml:space="preserve"> [is] ‘[h]</w:t>
      </w:r>
      <w:proofErr w:type="spellStart"/>
      <w:r w:rsidRPr="00FA140F">
        <w:rPr>
          <w:rFonts w:ascii="Times New Roman" w:hAnsi="Times New Roman"/>
          <w:sz w:val="24"/>
          <w:szCs w:val="24"/>
        </w:rPr>
        <w:t>eedless</w:t>
      </w:r>
      <w:proofErr w:type="spellEnd"/>
      <w:r w:rsidRPr="00FA140F">
        <w:rPr>
          <w:rFonts w:ascii="Times New Roman" w:hAnsi="Times New Roman"/>
          <w:sz w:val="24"/>
          <w:szCs w:val="24"/>
        </w:rPr>
        <w:t xml:space="preserve"> of the original design' of the APA,’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2265 (quoting </w:t>
      </w:r>
      <w:r w:rsidRPr="00FA140F">
        <w:rPr>
          <w:rFonts w:ascii="Times New Roman" w:hAnsi="Times New Roman"/>
          <w:i/>
          <w:iCs/>
          <w:sz w:val="24"/>
          <w:szCs w:val="24"/>
        </w:rPr>
        <w:t xml:space="preserve">Perez v. Mortg. Bankers </w:t>
      </w:r>
      <w:proofErr w:type="spellStart"/>
      <w:r w:rsidRPr="00FA140F">
        <w:rPr>
          <w:rFonts w:ascii="Times New Roman" w:hAnsi="Times New Roman"/>
          <w:i/>
          <w:iCs/>
          <w:sz w:val="24"/>
          <w:szCs w:val="24"/>
        </w:rPr>
        <w:t>Ass'n</w:t>
      </w:r>
      <w:proofErr w:type="spellEnd"/>
      <w:r w:rsidRPr="00FA140F">
        <w:rPr>
          <w:rFonts w:ascii="Times New Roman" w:hAnsi="Times New Roman"/>
          <w:sz w:val="24"/>
          <w:szCs w:val="24"/>
        </w:rPr>
        <w:t xml:space="preserve">, </w:t>
      </w:r>
      <w:hyperlink r:id="rId2798" w:anchor="p109" w:history="1">
        <w:r w:rsidRPr="00FA140F">
          <w:rPr>
            <w:rStyle w:val="Hyperlink"/>
            <w:rFonts w:ascii="Times New Roman" w:hAnsi="Times New Roman"/>
            <w:sz w:val="24"/>
            <w:szCs w:val="24"/>
          </w:rPr>
          <w:t>575 U.S. 92, 109</w:t>
        </w:r>
      </w:hyperlink>
      <w:r w:rsidRPr="00FA140F">
        <w:rPr>
          <w:rFonts w:ascii="Times New Roman" w:hAnsi="Times New Roman"/>
          <w:sz w:val="24"/>
          <w:szCs w:val="24"/>
        </w:rPr>
        <w:t xml:space="preserve"> (2015)(Scalia, J., concurring in the judgment)).</w:t>
      </w:r>
    </w:p>
    <w:p w14:paraId="1F54F7AF" w14:textId="77777777" w:rsidR="000A72DE" w:rsidRPr="00FA140F" w:rsidRDefault="000A72DE" w:rsidP="000A72DE">
      <w:pPr>
        <w:pStyle w:val="NoSpacing"/>
        <w:ind w:left="720"/>
        <w:rPr>
          <w:rFonts w:ascii="Times New Roman" w:hAnsi="Times New Roman"/>
          <w:sz w:val="24"/>
          <w:szCs w:val="24"/>
        </w:rPr>
      </w:pPr>
    </w:p>
    <w:p w14:paraId="19AEBC6F"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w:t>
      </w:r>
    </w:p>
    <w:p w14:paraId="5F7FA937"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 xml:space="preserve">The Court concludes that the Hermit's Peak Act waives FEMA's sovereign immunity for the Plaintiffs' claims seeking noneconomic damages in three ways. First, the NM State law provision § 104(c)(2), allows the Plaintiffs to recover damages that are available under New Mexico State law, which includes </w:t>
      </w:r>
      <w:r w:rsidRPr="00FA140F">
        <w:rPr>
          <w:rFonts w:ascii="Times New Roman" w:hAnsi="Times New Roman"/>
          <w:sz w:val="24"/>
          <w:szCs w:val="24"/>
        </w:rPr>
        <w:lastRenderedPageBreak/>
        <w:t xml:space="preserve">noneconomic damages for nuisance, and which the Court predicts also includes noneconomic damages for trespass. Second, the Extent of Damages provision § 104(c)(3)'s use of ‘actual compensatory damages’ includes noneconomic damages, because the only explicit exclusions are punitive damages and pre-judgment interest. Third, the Allowable Damages provision § 104(d)(4)'s list of property, business, and financial loss is not exhaustive of the types of allowable damages; these categories, therefore, are recoverable in addition to ‘actual compensatory damages’ such as noneconomic damages. The Court concludes, therefore, that FEMA's Hermit's Peak Regulation that precludes recovery of noneconomic damages is arbitrary and capricious in violation of the APA, 5. U.S.C. </w:t>
      </w:r>
      <w:hyperlink r:id="rId2799" w:history="1">
        <w:r w:rsidRPr="00FA140F">
          <w:rPr>
            <w:rStyle w:val="Hyperlink"/>
            <w:rFonts w:ascii="Times New Roman" w:hAnsi="Times New Roman"/>
            <w:sz w:val="24"/>
            <w:szCs w:val="24"/>
          </w:rPr>
          <w:t>§ 706(2)(A)</w:t>
        </w:r>
      </w:hyperlink>
      <w:r w:rsidRPr="00FA140F">
        <w:rPr>
          <w:rFonts w:ascii="Times New Roman" w:hAnsi="Times New Roman"/>
          <w:sz w:val="24"/>
          <w:szCs w:val="24"/>
        </w:rPr>
        <w:t xml:space="preserve">, and compels FEMA to award noneconomic damages under the Hermit's Peak Act under the APA, 5. U.S.C. </w:t>
      </w:r>
      <w:hyperlink r:id="rId2800" w:history="1">
        <w:r w:rsidRPr="00FA140F">
          <w:rPr>
            <w:rStyle w:val="Hyperlink"/>
            <w:rFonts w:ascii="Times New Roman" w:hAnsi="Times New Roman"/>
            <w:sz w:val="24"/>
            <w:szCs w:val="24"/>
          </w:rPr>
          <w:t>§ 706(1)</w:t>
        </w:r>
      </w:hyperlink>
      <w:r w:rsidRPr="00FA140F">
        <w:rPr>
          <w:rFonts w:ascii="Times New Roman" w:hAnsi="Times New Roman"/>
          <w:sz w:val="24"/>
          <w:szCs w:val="24"/>
        </w:rPr>
        <w:t>.”</w:t>
      </w:r>
    </w:p>
    <w:p w14:paraId="3F8B9A57" w14:textId="77777777" w:rsidR="000A72DE" w:rsidRPr="00FA140F" w:rsidRDefault="000A72DE" w:rsidP="000A72DE">
      <w:pPr>
        <w:pStyle w:val="NoSpacing"/>
        <w:ind w:left="720"/>
        <w:rPr>
          <w:rFonts w:ascii="Times New Roman" w:hAnsi="Times New Roman"/>
          <w:sz w:val="24"/>
          <w:szCs w:val="24"/>
        </w:rPr>
      </w:pPr>
    </w:p>
    <w:p w14:paraId="69ACE301" w14:textId="77777777" w:rsidR="000A72DE" w:rsidRPr="00FA140F" w:rsidRDefault="000A72DE" w:rsidP="000A72DE">
      <w:pPr>
        <w:pStyle w:val="NoSpacing"/>
        <w:rPr>
          <w:rFonts w:ascii="Times New Roman" w:hAnsi="Times New Roman"/>
          <w:b/>
          <w:bCs/>
          <w:sz w:val="24"/>
          <w:szCs w:val="24"/>
        </w:rPr>
      </w:pPr>
      <w:r w:rsidRPr="00FA140F">
        <w:rPr>
          <w:rFonts w:ascii="Times New Roman" w:hAnsi="Times New Roman"/>
          <w:b/>
          <w:sz w:val="24"/>
          <w:szCs w:val="24"/>
        </w:rPr>
        <w:t xml:space="preserve">Legal Lesson Learned:  Another example where courts, per U.S. Supreme Court’s June 28, </w:t>
      </w:r>
      <w:proofErr w:type="gramStart"/>
      <w:r w:rsidRPr="00FA140F">
        <w:rPr>
          <w:rFonts w:ascii="Times New Roman" w:hAnsi="Times New Roman"/>
          <w:b/>
          <w:sz w:val="24"/>
          <w:szCs w:val="24"/>
        </w:rPr>
        <w:t>2024</w:t>
      </w:r>
      <w:proofErr w:type="gramEnd"/>
      <w:r w:rsidRPr="00FA140F">
        <w:rPr>
          <w:rFonts w:ascii="Times New Roman" w:hAnsi="Times New Roman"/>
          <w:b/>
          <w:sz w:val="24"/>
          <w:szCs w:val="24"/>
        </w:rPr>
        <w:t xml:space="preserve"> decision in </w:t>
      </w:r>
      <w:r w:rsidRPr="00FA140F">
        <w:rPr>
          <w:rFonts w:ascii="Times New Roman" w:hAnsi="Times New Roman"/>
          <w:b/>
          <w:i/>
          <w:iCs/>
          <w:sz w:val="24"/>
          <w:szCs w:val="24"/>
        </w:rPr>
        <w:t>Loper Bright</w:t>
      </w:r>
      <w:r w:rsidRPr="00FA140F">
        <w:rPr>
          <w:rFonts w:ascii="Times New Roman" w:hAnsi="Times New Roman"/>
          <w:b/>
          <w:sz w:val="24"/>
          <w:szCs w:val="24"/>
        </w:rPr>
        <w:t xml:space="preserve">, are no longer routinely following federal regulations under the  former “Chevron doctrine.” </w:t>
      </w:r>
    </w:p>
    <w:p w14:paraId="288D90AE" w14:textId="77777777" w:rsidR="000A72DE" w:rsidRPr="00FA140F" w:rsidRDefault="000A72DE" w:rsidP="000A72DE">
      <w:pPr>
        <w:pStyle w:val="NoSpacing"/>
        <w:ind w:left="720"/>
        <w:rPr>
          <w:rFonts w:ascii="Times New Roman" w:hAnsi="Times New Roman"/>
          <w:sz w:val="24"/>
          <w:szCs w:val="24"/>
        </w:rPr>
      </w:pPr>
    </w:p>
    <w:p w14:paraId="59F42B97" w14:textId="77777777" w:rsidR="000A72DE" w:rsidRPr="00FA140F" w:rsidRDefault="000A72DE" w:rsidP="000A72DE">
      <w:pPr>
        <w:pStyle w:val="NoSpacing"/>
        <w:ind w:left="720"/>
        <w:rPr>
          <w:rFonts w:ascii="Times New Roman" w:hAnsi="Times New Roman"/>
          <w:bCs/>
          <w:sz w:val="24"/>
          <w:szCs w:val="24"/>
        </w:rPr>
      </w:pPr>
      <w:r w:rsidRPr="00FA140F">
        <w:rPr>
          <w:rFonts w:ascii="Times New Roman" w:hAnsi="Times New Roman"/>
          <w:sz w:val="24"/>
          <w:szCs w:val="24"/>
        </w:rPr>
        <w:t xml:space="preserve">Note: If Congress had not enacted this statute, the property owners could not sue the Forest Service for “discretionary” decisions under the Federal Tort Claims Act.  See, for example, </w:t>
      </w:r>
      <w:r w:rsidRPr="00FA140F">
        <w:rPr>
          <w:rFonts w:ascii="Times New Roman" w:hAnsi="Times New Roman"/>
          <w:i/>
          <w:iCs/>
          <w:sz w:val="24"/>
          <w:szCs w:val="24"/>
        </w:rPr>
        <w:t>Freres Timber, Inc. v. The United States</w:t>
      </w:r>
      <w:r w:rsidRPr="00FA140F">
        <w:rPr>
          <w:rFonts w:ascii="Times New Roman" w:hAnsi="Times New Roman"/>
          <w:sz w:val="24"/>
          <w:szCs w:val="24"/>
        </w:rPr>
        <w:t xml:space="preserve">, </w:t>
      </w:r>
      <w:r w:rsidRPr="00FA140F">
        <w:rPr>
          <w:rFonts w:ascii="Times New Roman" w:hAnsi="Times New Roman"/>
          <w:bCs/>
          <w:sz w:val="24"/>
          <w:szCs w:val="24"/>
        </w:rPr>
        <w:t xml:space="preserve">Oregon; </w:t>
      </w:r>
      <w:r w:rsidRPr="00FA140F">
        <w:rPr>
          <w:rFonts w:ascii="Times New Roman" w:hAnsi="Times New Roman"/>
          <w:sz w:val="24"/>
          <w:szCs w:val="24"/>
        </w:rPr>
        <w:t>Dec. 6, 2024</w:t>
      </w:r>
      <w:r w:rsidRPr="00FA140F">
        <w:rPr>
          <w:rFonts w:ascii="Times New Roman" w:hAnsi="Times New Roman"/>
          <w:bCs/>
          <w:sz w:val="24"/>
          <w:szCs w:val="24"/>
        </w:rPr>
        <w:t>.</w:t>
      </w:r>
      <w:r w:rsidRPr="00FA140F">
        <w:rPr>
          <w:rFonts w:ascii="Times New Roman" w:hAnsi="Times New Roman"/>
          <w:sz w:val="24"/>
          <w:szCs w:val="24"/>
        </w:rPr>
        <w:t xml:space="preserve"> “Plaintiffs Freres Timber and Freres Lumber, sister lumber companies, filed this action against the United States Forest Service, seeking over $30 million in damages under the Federal Tort Claims Act (‘FTCA’) for lumber and profits lost in the Beachie Creek fire. *** Because the challenged decisions [by Incident Commanders] fall within the discretionary function exception, this Court lacks jurisdiction, and Plaintiffs' FTCA claims must be dismissed.” </w:t>
      </w:r>
      <w:hyperlink r:id="rId2801" w:history="1">
        <w:r w:rsidRPr="00FA140F">
          <w:rPr>
            <w:rStyle w:val="Hyperlink"/>
            <w:rFonts w:ascii="Times New Roman" w:hAnsi="Times New Roman"/>
            <w:sz w:val="24"/>
            <w:szCs w:val="24"/>
          </w:rPr>
          <w:t>https://casetext.com/case/freres-timber-inc-v-the-united-states</w:t>
        </w:r>
      </w:hyperlink>
      <w:r w:rsidRPr="00FA140F">
        <w:rPr>
          <w:rFonts w:ascii="Times New Roman" w:hAnsi="Times New Roman"/>
          <w:sz w:val="24"/>
          <w:szCs w:val="24"/>
        </w:rPr>
        <w:t xml:space="preserve"> </w:t>
      </w:r>
    </w:p>
    <w:p w14:paraId="07392B88" w14:textId="77777777" w:rsidR="000A72DE" w:rsidRPr="00FA140F" w:rsidRDefault="000A72DE" w:rsidP="000A72DE">
      <w:pPr>
        <w:pStyle w:val="NoSpacing"/>
        <w:rPr>
          <w:rFonts w:ascii="Times New Roman" w:hAnsi="Times New Roman"/>
          <w:b/>
          <w:sz w:val="24"/>
          <w:szCs w:val="24"/>
        </w:rPr>
      </w:pPr>
    </w:p>
    <w:p w14:paraId="525260B1" w14:textId="77777777" w:rsidR="000A72DE" w:rsidRPr="00FA140F" w:rsidRDefault="000A72DE" w:rsidP="000C4DF5">
      <w:pPr>
        <w:pStyle w:val="NoSpacing"/>
        <w:rPr>
          <w:rFonts w:ascii="Times New Roman" w:hAnsi="Times New Roman"/>
          <w:sz w:val="24"/>
          <w:szCs w:val="24"/>
        </w:rPr>
      </w:pPr>
    </w:p>
    <w:p w14:paraId="091CAEDA" w14:textId="77777777" w:rsidR="002100FE" w:rsidRDefault="002100FE" w:rsidP="000C4DF5">
      <w:pPr>
        <w:pStyle w:val="NoSpacing"/>
        <w:rPr>
          <w:rFonts w:ascii="Arial Black" w:hAnsi="Arial Black"/>
          <w:sz w:val="24"/>
          <w:szCs w:val="24"/>
        </w:rPr>
      </w:pPr>
    </w:p>
    <w:p w14:paraId="5DE66CC4" w14:textId="77777777" w:rsidR="002100FE" w:rsidRDefault="002100FE" w:rsidP="000C4DF5">
      <w:pPr>
        <w:pStyle w:val="NoSpacing"/>
        <w:rPr>
          <w:rFonts w:ascii="Arial Black" w:hAnsi="Arial Black"/>
          <w:sz w:val="24"/>
          <w:szCs w:val="24"/>
        </w:rPr>
      </w:pPr>
    </w:p>
    <w:p w14:paraId="0F7A7C46" w14:textId="2C6C9D97" w:rsidR="00B15008" w:rsidRDefault="001B23B7" w:rsidP="000C4DF5">
      <w:pPr>
        <w:pStyle w:val="NoSpacing"/>
        <w:rPr>
          <w:rFonts w:ascii="Arial Black" w:hAnsi="Arial Black"/>
          <w:sz w:val="24"/>
          <w:szCs w:val="24"/>
        </w:rPr>
      </w:pPr>
      <w:r>
        <w:rPr>
          <w:rFonts w:ascii="Arial Black" w:hAnsi="Arial Black"/>
          <w:sz w:val="24"/>
          <w:szCs w:val="24"/>
        </w:rPr>
        <w:t>18-26</w:t>
      </w:r>
    </w:p>
    <w:p w14:paraId="6AC7EFF6" w14:textId="77777777" w:rsidR="008575D7" w:rsidRDefault="008575D7" w:rsidP="000C4DF5">
      <w:pPr>
        <w:pStyle w:val="NoSpacing"/>
        <w:rPr>
          <w:rFonts w:ascii="Arial Black" w:hAnsi="Arial Black"/>
          <w:sz w:val="24"/>
          <w:szCs w:val="24"/>
        </w:rPr>
      </w:pPr>
    </w:p>
    <w:p w14:paraId="7A1FC21F" w14:textId="77777777" w:rsidR="008575D7" w:rsidRPr="00DC665F" w:rsidRDefault="008575D7" w:rsidP="008575D7">
      <w:pPr>
        <w:rPr>
          <w:rFonts w:ascii="Arial Black" w:hAnsi="Arial Black"/>
          <w:b/>
          <w:bCs/>
          <w:sz w:val="28"/>
        </w:rPr>
      </w:pPr>
      <w:r>
        <w:rPr>
          <w:rFonts w:ascii="Arial Black" w:hAnsi="Arial Black"/>
          <w:b/>
          <w:bCs/>
          <w:sz w:val="28"/>
        </w:rPr>
        <w:t xml:space="preserve">MI: FIREWORKS – CITY CAN’T REQ. SAFETY FLYERS - MI SUP. CT. CHIEF JUSTICE / STATE LAW SHOULD REQUIRE </w:t>
      </w:r>
    </w:p>
    <w:p w14:paraId="2F67181F" w14:textId="77777777" w:rsidR="008575D7" w:rsidRPr="0019067C" w:rsidRDefault="008575D7" w:rsidP="008575D7">
      <w:pPr>
        <w:pStyle w:val="NoSpacing"/>
        <w:rPr>
          <w:rFonts w:ascii="Times New Roman" w:hAnsi="Times New Roman"/>
          <w:sz w:val="24"/>
          <w:szCs w:val="24"/>
        </w:rPr>
      </w:pPr>
      <w:r w:rsidRPr="0019067C">
        <w:rPr>
          <w:rFonts w:ascii="Times New Roman" w:hAnsi="Times New Roman"/>
          <w:sz w:val="24"/>
          <w:szCs w:val="24"/>
        </w:rPr>
        <w:t xml:space="preserve">On September 27, 2024, in </w:t>
      </w:r>
      <w:r w:rsidRPr="0019067C">
        <w:rPr>
          <w:rFonts w:ascii="Times New Roman" w:hAnsi="Times New Roman"/>
          <w:sz w:val="24"/>
          <w:szCs w:val="24"/>
          <w:u w:val="single"/>
        </w:rPr>
        <w:t>People of the City of Sterling Heights v. Robert Bahnke</w:t>
      </w:r>
      <w:r w:rsidRPr="0019067C">
        <w:rPr>
          <w:rFonts w:ascii="Times New Roman" w:hAnsi="Times New Roman"/>
          <w:sz w:val="24"/>
          <w:szCs w:val="24"/>
        </w:rPr>
        <w:t xml:space="preserve">, the Michigan Supreme Court declined to hear the City’s appeal which sought to fine the manager of the fireworks store $150 for not handing out safety flyer required by City code; the Court of Appeals struck down the ordinance since it conflicted with state’s fireworks statute. Chief Justice Elizabeth Clement of the Michigan Supreme Court wrote in her concurring opinion:  “The city ordinance here is a relatively small burden on fireworks vendors and provides useful information to purchasers regarding relevant laws.” </w:t>
      </w:r>
      <w:hyperlink r:id="rId2802" w:history="1">
        <w:r w:rsidRPr="0019067C">
          <w:rPr>
            <w:rStyle w:val="Hyperlink"/>
            <w:rFonts w:ascii="Times New Roman" w:hAnsi="Times New Roman"/>
            <w:sz w:val="24"/>
            <w:szCs w:val="24"/>
          </w:rPr>
          <w:t>https://www.courts.michigan.gov/4a7b7c/siteassets/case-documents/uploads/sct/public/orders/166885_47_01.pdf</w:t>
        </w:r>
      </w:hyperlink>
      <w:r w:rsidRPr="0019067C">
        <w:rPr>
          <w:rFonts w:ascii="Times New Roman" w:hAnsi="Times New Roman"/>
          <w:sz w:val="24"/>
          <w:szCs w:val="24"/>
        </w:rPr>
        <w:t xml:space="preserve"> </w:t>
      </w:r>
    </w:p>
    <w:p w14:paraId="211536A7" w14:textId="77777777" w:rsidR="008575D7" w:rsidRPr="0019067C" w:rsidRDefault="008575D7" w:rsidP="008575D7">
      <w:pPr>
        <w:rPr>
          <w:rFonts w:ascii="Times New Roman" w:hAnsi="Times New Roman"/>
          <w:sz w:val="24"/>
          <w:szCs w:val="24"/>
        </w:rPr>
      </w:pPr>
      <w:r w:rsidRPr="0019067C">
        <w:rPr>
          <w:rFonts w:ascii="Times New Roman" w:hAnsi="Times New Roman"/>
          <w:sz w:val="24"/>
          <w:szCs w:val="24"/>
        </w:rPr>
        <w:t xml:space="preserve"> </w:t>
      </w:r>
    </w:p>
    <w:p w14:paraId="45DE72E5" w14:textId="77777777" w:rsidR="008575D7" w:rsidRPr="0019067C" w:rsidRDefault="008575D7" w:rsidP="008575D7">
      <w:pPr>
        <w:rPr>
          <w:rFonts w:ascii="Times New Roman" w:hAnsi="Times New Roman"/>
          <w:sz w:val="24"/>
          <w:szCs w:val="24"/>
        </w:rPr>
      </w:pPr>
      <w:r w:rsidRPr="0019067C">
        <w:rPr>
          <w:rFonts w:ascii="Times New Roman" w:hAnsi="Times New Roman"/>
          <w:sz w:val="24"/>
          <w:szCs w:val="24"/>
        </w:rPr>
        <w:t xml:space="preserve">THE CHIEF JUSTICE’S CONCURRING OPINION: </w:t>
      </w:r>
    </w:p>
    <w:p w14:paraId="01EA86F3" w14:textId="77777777" w:rsidR="008575D7" w:rsidRPr="0019067C" w:rsidRDefault="008575D7" w:rsidP="008575D7">
      <w:pPr>
        <w:ind w:left="720"/>
        <w:rPr>
          <w:rFonts w:ascii="Times New Roman" w:hAnsi="Times New Roman"/>
          <w:sz w:val="24"/>
          <w:szCs w:val="24"/>
        </w:rPr>
      </w:pPr>
      <w:r w:rsidRPr="0019067C">
        <w:rPr>
          <w:rFonts w:ascii="Times New Roman" w:hAnsi="Times New Roman"/>
          <w:sz w:val="24"/>
          <w:szCs w:val="24"/>
        </w:rPr>
        <w:t xml:space="preserve">“In this case, defendant, Robert Bahnke, was ticketed for violating the city code because he had not handed out the required flyers when he sold fireworks. The district court and the circuit court affirmed the $150 fine that the magistrate had ordered. But the Court of Appeals reversed in a published opinion, holding that Sterling Heights Code, § 20-115(I) was preempted by MCL 28.457. </w:t>
      </w:r>
    </w:p>
    <w:p w14:paraId="1D47BDE5" w14:textId="77777777" w:rsidR="008575D7" w:rsidRPr="0019067C" w:rsidRDefault="008575D7" w:rsidP="008575D7">
      <w:pPr>
        <w:ind w:left="720"/>
        <w:rPr>
          <w:rFonts w:ascii="Times New Roman" w:hAnsi="Times New Roman"/>
          <w:sz w:val="24"/>
          <w:szCs w:val="24"/>
        </w:rPr>
      </w:pPr>
      <w:r w:rsidRPr="0019067C">
        <w:rPr>
          <w:rFonts w:ascii="Times New Roman" w:hAnsi="Times New Roman"/>
          <w:sz w:val="24"/>
          <w:szCs w:val="24"/>
        </w:rPr>
        <w:t>***</w:t>
      </w:r>
    </w:p>
    <w:p w14:paraId="644CB4B6"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lastRenderedPageBreak/>
        <w:t xml:space="preserve">But I question whether invalidating city ordinances such as the one at issue here </w:t>
      </w:r>
      <w:proofErr w:type="gramStart"/>
      <w:r w:rsidRPr="0019067C">
        <w:rPr>
          <w:rFonts w:ascii="Times New Roman" w:hAnsi="Times New Roman"/>
          <w:sz w:val="24"/>
          <w:szCs w:val="24"/>
        </w:rPr>
        <w:t>is</w:t>
      </w:r>
      <w:proofErr w:type="gramEnd"/>
    </w:p>
    <w:p w14:paraId="6DBD95A3"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truly what the Legislature intended when it passed MCL 28.457. While I understand that</w:t>
      </w:r>
    </w:p>
    <w:p w14:paraId="1D228128"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the Legislature may have reasonably sought to prohibit local units of government from</w:t>
      </w:r>
    </w:p>
    <w:p w14:paraId="4FC1A795"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passing more substantive regulations of the sale of fireworks, it is difficult for me to</w:t>
      </w:r>
    </w:p>
    <w:p w14:paraId="5346E6FB"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imagine that the Legislature intended to prohibit cities from ensuring that fireworks</w:t>
      </w:r>
    </w:p>
    <w:p w14:paraId="6217FB94"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purchasers are adequately advised of applicable laws. The city ordinance here is a</w:t>
      </w:r>
    </w:p>
    <w:p w14:paraId="4D1B5925" w14:textId="77777777" w:rsidR="008575D7" w:rsidRPr="0019067C" w:rsidRDefault="008575D7" w:rsidP="008575D7">
      <w:pPr>
        <w:pStyle w:val="NoSpacing"/>
        <w:ind w:left="720"/>
        <w:rPr>
          <w:rFonts w:ascii="Times New Roman" w:hAnsi="Times New Roman"/>
          <w:sz w:val="24"/>
          <w:szCs w:val="24"/>
        </w:rPr>
      </w:pPr>
      <w:r w:rsidRPr="0019067C">
        <w:rPr>
          <w:rFonts w:ascii="Times New Roman" w:hAnsi="Times New Roman"/>
          <w:sz w:val="24"/>
          <w:szCs w:val="24"/>
        </w:rPr>
        <w:t xml:space="preserve">relatively small burden on fireworks vendors and provides useful information to purchasers regarding relevant laws. For these reasons, I question whether the text of MCL 28.457 is achieving the result the Legislature intended, and I encourage the Legislature to review the statutory </w:t>
      </w:r>
      <w:proofErr w:type="gramStart"/>
      <w:r w:rsidRPr="0019067C">
        <w:rPr>
          <w:rFonts w:ascii="Times New Roman" w:hAnsi="Times New Roman"/>
          <w:sz w:val="24"/>
          <w:szCs w:val="24"/>
        </w:rPr>
        <w:t>language.”</w:t>
      </w:r>
      <w:proofErr w:type="gramEnd"/>
    </w:p>
    <w:p w14:paraId="2D37CE5D" w14:textId="77777777" w:rsidR="008575D7" w:rsidRPr="0019067C" w:rsidRDefault="008575D7" w:rsidP="008575D7">
      <w:pPr>
        <w:rPr>
          <w:rFonts w:ascii="Times New Roman" w:hAnsi="Times New Roman"/>
          <w:sz w:val="24"/>
          <w:szCs w:val="24"/>
        </w:rPr>
      </w:pPr>
    </w:p>
    <w:p w14:paraId="5F8C3D86" w14:textId="77777777" w:rsidR="008575D7" w:rsidRPr="0019067C" w:rsidRDefault="008575D7" w:rsidP="008575D7">
      <w:pPr>
        <w:pStyle w:val="NoSpacing"/>
        <w:rPr>
          <w:rFonts w:ascii="Times New Roman" w:hAnsi="Times New Roman"/>
          <w:b/>
          <w:bCs/>
          <w:sz w:val="24"/>
          <w:szCs w:val="24"/>
        </w:rPr>
      </w:pPr>
      <w:r w:rsidRPr="0019067C">
        <w:rPr>
          <w:rFonts w:ascii="Times New Roman" w:hAnsi="Times New Roman"/>
          <w:b/>
          <w:bCs/>
          <w:sz w:val="24"/>
          <w:szCs w:val="24"/>
        </w:rPr>
        <w:t xml:space="preserve">Legal Lesson Learned:  Hopefully the state Legislature will amend its fireworks statute to include a safety flyer requirement. </w:t>
      </w:r>
    </w:p>
    <w:p w14:paraId="2595AD22" w14:textId="77777777" w:rsidR="008575D7" w:rsidRDefault="008575D7" w:rsidP="000C4DF5">
      <w:pPr>
        <w:pStyle w:val="NoSpacing"/>
        <w:rPr>
          <w:rFonts w:ascii="Arial Black" w:hAnsi="Arial Black"/>
          <w:sz w:val="24"/>
          <w:szCs w:val="24"/>
        </w:rPr>
      </w:pPr>
    </w:p>
    <w:p w14:paraId="4B805961" w14:textId="77777777" w:rsidR="001B23B7" w:rsidRDefault="001B23B7" w:rsidP="000C4DF5">
      <w:pPr>
        <w:pStyle w:val="NoSpacing"/>
        <w:rPr>
          <w:rFonts w:ascii="Arial Black" w:hAnsi="Arial Black"/>
          <w:sz w:val="24"/>
          <w:szCs w:val="24"/>
        </w:rPr>
      </w:pPr>
    </w:p>
    <w:p w14:paraId="742A14B4" w14:textId="77777777" w:rsidR="001B23B7" w:rsidRDefault="001B23B7" w:rsidP="000C4DF5">
      <w:pPr>
        <w:pStyle w:val="NoSpacing"/>
        <w:rPr>
          <w:rFonts w:ascii="Arial Black" w:hAnsi="Arial Black"/>
          <w:sz w:val="24"/>
          <w:szCs w:val="24"/>
        </w:rPr>
      </w:pPr>
    </w:p>
    <w:p w14:paraId="7ED4C688" w14:textId="15F1B143" w:rsidR="00B15008" w:rsidRDefault="002B2323" w:rsidP="000C4DF5">
      <w:pPr>
        <w:pStyle w:val="NoSpacing"/>
        <w:rPr>
          <w:rFonts w:ascii="Arial Black" w:hAnsi="Arial Black"/>
          <w:sz w:val="24"/>
          <w:szCs w:val="24"/>
        </w:rPr>
      </w:pPr>
      <w:r>
        <w:rPr>
          <w:rFonts w:ascii="Arial Black" w:hAnsi="Arial Black"/>
          <w:sz w:val="24"/>
          <w:szCs w:val="24"/>
        </w:rPr>
        <w:t>18-25</w:t>
      </w:r>
    </w:p>
    <w:p w14:paraId="07B706EE" w14:textId="77777777" w:rsidR="002B2323" w:rsidRDefault="002B2323" w:rsidP="000C4DF5">
      <w:pPr>
        <w:pStyle w:val="NoSpacing"/>
        <w:rPr>
          <w:rFonts w:ascii="Arial Black" w:hAnsi="Arial Black"/>
          <w:sz w:val="24"/>
          <w:szCs w:val="24"/>
        </w:rPr>
      </w:pPr>
    </w:p>
    <w:p w14:paraId="58B324F0" w14:textId="77777777" w:rsidR="00C30293" w:rsidRDefault="00C30293" w:rsidP="00C30293">
      <w:pPr>
        <w:pStyle w:val="NoSpacing"/>
        <w:rPr>
          <w:rFonts w:ascii="Arial Black" w:hAnsi="Arial Black"/>
          <w:sz w:val="28"/>
          <w:szCs w:val="28"/>
        </w:rPr>
      </w:pPr>
      <w:r>
        <w:rPr>
          <w:rFonts w:ascii="Arial Black" w:hAnsi="Arial Black"/>
          <w:sz w:val="28"/>
          <w:szCs w:val="28"/>
        </w:rPr>
        <w:t xml:space="preserve">OH: PUBLIC RECORDS - INJURY “TOP THRILL DRAGSTER” AT PARK – PARK PD “FUNCTIONAL EQUIVALENT” PUBLIC PD </w:t>
      </w:r>
    </w:p>
    <w:p w14:paraId="6B9CFB34" w14:textId="77777777" w:rsidR="00C30293" w:rsidRDefault="00C30293" w:rsidP="00C30293">
      <w:pPr>
        <w:pStyle w:val="NoSpacing"/>
        <w:rPr>
          <w:rFonts w:ascii="Times New Roman" w:hAnsi="Times New Roman"/>
          <w:sz w:val="24"/>
          <w:szCs w:val="24"/>
        </w:rPr>
      </w:pPr>
    </w:p>
    <w:p w14:paraId="36AB68F8" w14:textId="77777777" w:rsidR="004D2264" w:rsidRDefault="00C30293" w:rsidP="00C30293">
      <w:pPr>
        <w:pStyle w:val="NoSpacing"/>
        <w:rPr>
          <w:rFonts w:ascii="Times New Roman" w:hAnsi="Times New Roman"/>
          <w:sz w:val="24"/>
          <w:szCs w:val="24"/>
        </w:rPr>
      </w:pPr>
      <w:r w:rsidRPr="007919C0">
        <w:rPr>
          <w:rFonts w:ascii="Times New Roman" w:hAnsi="Times New Roman"/>
          <w:sz w:val="24"/>
          <w:szCs w:val="24"/>
        </w:rPr>
        <w:t xml:space="preserve">On Dec. 20, 2023, in </w:t>
      </w:r>
      <w:r w:rsidRPr="007919C0">
        <w:rPr>
          <w:rFonts w:ascii="Times New Roman" w:hAnsi="Times New Roman"/>
          <w:sz w:val="24"/>
          <w:szCs w:val="24"/>
          <w:u w:val="single"/>
        </w:rPr>
        <w:t>The State Ex Rel. WTOP Television, L.L.C., WKYC, L.L.C. , and WBNS-TV, Inc. v. Cedar Fair, L.P., dba Cedar Fair Entertainment Company, et al.</w:t>
      </w:r>
      <w:r w:rsidRPr="007919C0">
        <w:rPr>
          <w:rFonts w:ascii="Times New Roman" w:hAnsi="Times New Roman"/>
          <w:sz w:val="24"/>
          <w:szCs w:val="24"/>
        </w:rPr>
        <w:t xml:space="preserve">, the Ohio Supreme Court held (7 to 0) that </w:t>
      </w:r>
      <w:r>
        <w:rPr>
          <w:rFonts w:ascii="Times New Roman" w:hAnsi="Times New Roman"/>
          <w:sz w:val="24"/>
          <w:szCs w:val="24"/>
        </w:rPr>
        <w:t xml:space="preserve">the Park’s police department is “functional equivalent” of police department, and therefore must respond to Ohio Public Records requests, including </w:t>
      </w:r>
      <w:r w:rsidRPr="007919C0">
        <w:rPr>
          <w:rFonts w:ascii="Times New Roman" w:hAnsi="Times New Roman"/>
          <w:sz w:val="24"/>
          <w:szCs w:val="24"/>
        </w:rPr>
        <w:t xml:space="preserve">Aug. 15, 2021 injury of female guest near the Top Thrill Dragster ride, and records concerning </w:t>
      </w:r>
      <w:r>
        <w:rPr>
          <w:rFonts w:ascii="Times New Roman" w:hAnsi="Times New Roman"/>
          <w:sz w:val="24"/>
          <w:szCs w:val="24"/>
        </w:rPr>
        <w:t xml:space="preserve">TV station’s investigation into </w:t>
      </w:r>
      <w:r w:rsidRPr="007919C0">
        <w:rPr>
          <w:rFonts w:ascii="Times New Roman" w:hAnsi="Times New Roman"/>
          <w:sz w:val="24"/>
          <w:szCs w:val="24"/>
        </w:rPr>
        <w:t>sexual assaults at Park’s employee housing.  The Court also awarded TV stations court costs</w:t>
      </w:r>
      <w:r>
        <w:rPr>
          <w:rFonts w:ascii="Times New Roman" w:hAnsi="Times New Roman"/>
          <w:sz w:val="24"/>
          <w:szCs w:val="24"/>
        </w:rPr>
        <w:t xml:space="preserve">; </w:t>
      </w:r>
      <w:r w:rsidRPr="007919C0">
        <w:rPr>
          <w:rFonts w:ascii="Times New Roman" w:hAnsi="Times New Roman"/>
          <w:sz w:val="24"/>
          <w:szCs w:val="24"/>
        </w:rPr>
        <w:t>but declined to award statutory damages ($100 / day; max $1,000) or attorney fees to each TV station because this was unsettled law in Ohio (two Justices dissenting and would award attorney fees)</w:t>
      </w:r>
      <w:r>
        <w:rPr>
          <w:rFonts w:ascii="Times New Roman" w:hAnsi="Times New Roman"/>
          <w:sz w:val="24"/>
          <w:szCs w:val="24"/>
        </w:rPr>
        <w:t xml:space="preserve">. </w:t>
      </w:r>
    </w:p>
    <w:p w14:paraId="7907E30B" w14:textId="77777777" w:rsidR="004D2264" w:rsidRDefault="004D2264" w:rsidP="00C30293">
      <w:pPr>
        <w:pStyle w:val="NoSpacing"/>
        <w:rPr>
          <w:rFonts w:ascii="Times New Roman" w:hAnsi="Times New Roman"/>
          <w:sz w:val="24"/>
          <w:szCs w:val="24"/>
        </w:rPr>
      </w:pPr>
    </w:p>
    <w:p w14:paraId="005DE8F0" w14:textId="68E6CB08" w:rsidR="00C30293" w:rsidRDefault="00C30293" w:rsidP="00C30293">
      <w:pPr>
        <w:pStyle w:val="NoSpacing"/>
        <w:rPr>
          <w:rFonts w:ascii="Times New Roman" w:hAnsi="Times New Roman"/>
          <w:sz w:val="24"/>
          <w:szCs w:val="24"/>
        </w:rPr>
      </w:pPr>
      <w:r w:rsidRPr="007919C0">
        <w:rPr>
          <w:rFonts w:ascii="Times New Roman" w:hAnsi="Times New Roman"/>
          <w:sz w:val="24"/>
          <w:szCs w:val="24"/>
        </w:rPr>
        <w:t xml:space="preserve">The Court held: </w:t>
      </w:r>
      <w:r>
        <w:rPr>
          <w:rFonts w:ascii="Times New Roman" w:hAnsi="Times New Roman"/>
          <w:sz w:val="24"/>
          <w:szCs w:val="24"/>
        </w:rPr>
        <w:t>“</w:t>
      </w:r>
      <w:r w:rsidRPr="007919C0">
        <w:rPr>
          <w:rFonts w:ascii="Times New Roman" w:hAnsi="Times New Roman"/>
          <w:sz w:val="24"/>
          <w:szCs w:val="24"/>
        </w:rPr>
        <w:t xml:space="preserve">Here, Cedar Fair and </w:t>
      </w:r>
      <w:r>
        <w:rPr>
          <w:rFonts w:ascii="Times New Roman" w:hAnsi="Times New Roman"/>
          <w:sz w:val="24"/>
          <w:szCs w:val="24"/>
        </w:rPr>
        <w:t xml:space="preserve">[Police Chief Ronald E.} </w:t>
      </w:r>
      <w:r w:rsidRPr="007919C0">
        <w:rPr>
          <w:rFonts w:ascii="Times New Roman" w:hAnsi="Times New Roman"/>
          <w:sz w:val="24"/>
          <w:szCs w:val="24"/>
        </w:rPr>
        <w:t>Gilson asserted as affirmative defenses that</w:t>
      </w:r>
      <w:r>
        <w:rPr>
          <w:rFonts w:ascii="Times New Roman" w:hAnsi="Times New Roman"/>
          <w:sz w:val="24"/>
          <w:szCs w:val="24"/>
        </w:rPr>
        <w:t xml:space="preserve"> </w:t>
      </w:r>
      <w:r w:rsidRPr="007919C0">
        <w:rPr>
          <w:rFonts w:ascii="Times New Roman" w:hAnsi="Times New Roman"/>
          <w:sz w:val="24"/>
          <w:szCs w:val="24"/>
        </w:rPr>
        <w:t>they are not required to release privileged records or confidential law-enforcement</w:t>
      </w:r>
      <w:r>
        <w:rPr>
          <w:rFonts w:ascii="Times New Roman" w:hAnsi="Times New Roman"/>
          <w:sz w:val="24"/>
          <w:szCs w:val="24"/>
        </w:rPr>
        <w:t xml:space="preserve"> </w:t>
      </w:r>
      <w:r w:rsidRPr="007919C0">
        <w:rPr>
          <w:rFonts w:ascii="Times New Roman" w:hAnsi="Times New Roman"/>
          <w:sz w:val="24"/>
          <w:szCs w:val="24"/>
        </w:rPr>
        <w:t>investigatory records. But they have not offered any argument explaining how any</w:t>
      </w:r>
      <w:r>
        <w:rPr>
          <w:rFonts w:ascii="Times New Roman" w:hAnsi="Times New Roman"/>
          <w:sz w:val="24"/>
          <w:szCs w:val="24"/>
        </w:rPr>
        <w:t xml:space="preserve"> </w:t>
      </w:r>
      <w:r w:rsidRPr="007919C0">
        <w:rPr>
          <w:rFonts w:ascii="Times New Roman" w:hAnsi="Times New Roman"/>
          <w:sz w:val="24"/>
          <w:szCs w:val="24"/>
        </w:rPr>
        <w:t>record requested by relators meets the requirements for either of these exceptions</w:t>
      </w:r>
      <w:r>
        <w:rPr>
          <w:rFonts w:ascii="Times New Roman" w:hAnsi="Times New Roman"/>
          <w:sz w:val="24"/>
          <w:szCs w:val="24"/>
        </w:rPr>
        <w:t xml:space="preserve"> </w:t>
      </w:r>
      <w:r w:rsidRPr="007919C0">
        <w:rPr>
          <w:rFonts w:ascii="Times New Roman" w:hAnsi="Times New Roman"/>
          <w:sz w:val="24"/>
          <w:szCs w:val="24"/>
        </w:rPr>
        <w:t xml:space="preserve">to apply. Nor have they submitted any documents </w:t>
      </w:r>
      <w:proofErr w:type="gramStart"/>
      <w:r w:rsidRPr="007919C0">
        <w:rPr>
          <w:rFonts w:ascii="Times New Roman" w:hAnsi="Times New Roman"/>
          <w:sz w:val="24"/>
          <w:szCs w:val="24"/>
        </w:rPr>
        <w:t>for in</w:t>
      </w:r>
      <w:proofErr w:type="gramEnd"/>
      <w:r w:rsidRPr="007919C0">
        <w:rPr>
          <w:rFonts w:ascii="Times New Roman" w:hAnsi="Times New Roman"/>
          <w:sz w:val="24"/>
          <w:szCs w:val="24"/>
        </w:rPr>
        <w:t xml:space="preserve"> camera inspection. Thus,</w:t>
      </w:r>
      <w:r>
        <w:rPr>
          <w:rFonts w:ascii="Times New Roman" w:hAnsi="Times New Roman"/>
          <w:sz w:val="24"/>
          <w:szCs w:val="24"/>
        </w:rPr>
        <w:t xml:space="preserve"> </w:t>
      </w:r>
      <w:r w:rsidRPr="007919C0">
        <w:rPr>
          <w:rFonts w:ascii="Times New Roman" w:hAnsi="Times New Roman"/>
          <w:sz w:val="24"/>
          <w:szCs w:val="24"/>
        </w:rPr>
        <w:t>Cedar Fair and Gilson have not met their burden to show that these documents, to</w:t>
      </w:r>
      <w:r>
        <w:rPr>
          <w:rFonts w:ascii="Times New Roman" w:hAnsi="Times New Roman"/>
          <w:sz w:val="24"/>
          <w:szCs w:val="24"/>
        </w:rPr>
        <w:t xml:space="preserve"> </w:t>
      </w:r>
      <w:r w:rsidRPr="007919C0">
        <w:rPr>
          <w:rFonts w:ascii="Times New Roman" w:hAnsi="Times New Roman"/>
          <w:sz w:val="24"/>
          <w:szCs w:val="24"/>
        </w:rPr>
        <w:t>the extent that they exist, are exempt from disclosure.</w:t>
      </w:r>
      <w:r>
        <w:rPr>
          <w:rFonts w:ascii="Times New Roman" w:hAnsi="Times New Roman"/>
          <w:sz w:val="24"/>
          <w:szCs w:val="24"/>
        </w:rPr>
        <w:t xml:space="preserve"> *** </w:t>
      </w:r>
      <w:r w:rsidRPr="0031579C">
        <w:rPr>
          <w:rFonts w:ascii="Times New Roman" w:hAnsi="Times New Roman"/>
          <w:sz w:val="24"/>
          <w:szCs w:val="24"/>
        </w:rPr>
        <w:t>However, we do not order the production of incident or investigative</w:t>
      </w:r>
      <w:r>
        <w:rPr>
          <w:rFonts w:ascii="Times New Roman" w:hAnsi="Times New Roman"/>
          <w:sz w:val="24"/>
          <w:szCs w:val="24"/>
        </w:rPr>
        <w:t xml:space="preserve"> </w:t>
      </w:r>
      <w:r w:rsidRPr="0031579C">
        <w:rPr>
          <w:rFonts w:ascii="Times New Roman" w:hAnsi="Times New Roman"/>
          <w:sz w:val="24"/>
          <w:szCs w:val="24"/>
        </w:rPr>
        <w:t>reports created by emergency-medical-</w:t>
      </w:r>
      <w:proofErr w:type="gramStart"/>
      <w:r w:rsidRPr="0031579C">
        <w:rPr>
          <w:rFonts w:ascii="Times New Roman" w:hAnsi="Times New Roman"/>
          <w:sz w:val="24"/>
          <w:szCs w:val="24"/>
        </w:rPr>
        <w:t>services (</w:t>
      </w:r>
      <w:r>
        <w:rPr>
          <w:rFonts w:ascii="Times New Roman" w:hAnsi="Times New Roman"/>
          <w:sz w:val="24"/>
          <w:szCs w:val="24"/>
        </w:rPr>
        <w:t>‘</w:t>
      </w:r>
      <w:proofErr w:type="gramEnd"/>
      <w:r w:rsidRPr="0031579C">
        <w:rPr>
          <w:rFonts w:ascii="Times New Roman" w:hAnsi="Times New Roman"/>
          <w:sz w:val="24"/>
          <w:szCs w:val="24"/>
        </w:rPr>
        <w:t>EMS</w:t>
      </w:r>
      <w:r>
        <w:rPr>
          <w:rFonts w:ascii="Times New Roman" w:hAnsi="Times New Roman"/>
          <w:sz w:val="24"/>
          <w:szCs w:val="24"/>
        </w:rPr>
        <w:t>’</w:t>
      </w:r>
      <w:r w:rsidRPr="0031579C">
        <w:rPr>
          <w:rFonts w:ascii="Times New Roman" w:hAnsi="Times New Roman"/>
          <w:sz w:val="24"/>
          <w:szCs w:val="24"/>
        </w:rPr>
        <w:t>) personnel or related to</w:t>
      </w:r>
      <w:r>
        <w:rPr>
          <w:rFonts w:ascii="Times New Roman" w:hAnsi="Times New Roman"/>
          <w:sz w:val="24"/>
          <w:szCs w:val="24"/>
        </w:rPr>
        <w:t xml:space="preserve"> </w:t>
      </w:r>
      <w:r w:rsidRPr="0031579C">
        <w:rPr>
          <w:rFonts w:ascii="Times New Roman" w:hAnsi="Times New Roman"/>
          <w:sz w:val="24"/>
          <w:szCs w:val="24"/>
        </w:rPr>
        <w:t>EMS services. WKYC requested, among other things, incident reports and relate</w:t>
      </w:r>
      <w:r>
        <w:rPr>
          <w:rFonts w:ascii="Times New Roman" w:hAnsi="Times New Roman"/>
          <w:sz w:val="24"/>
          <w:szCs w:val="24"/>
        </w:rPr>
        <w:t>d r</w:t>
      </w:r>
      <w:r w:rsidRPr="00791E9A">
        <w:rPr>
          <w:rFonts w:ascii="Times New Roman" w:hAnsi="Times New Roman"/>
          <w:sz w:val="24"/>
          <w:szCs w:val="24"/>
        </w:rPr>
        <w:t>ecords created by EMS personnel during the alleged Top Thrill Dragster incident.</w:t>
      </w:r>
      <w:r>
        <w:rPr>
          <w:rFonts w:ascii="Times New Roman" w:hAnsi="Times New Roman"/>
          <w:sz w:val="24"/>
          <w:szCs w:val="24"/>
        </w:rPr>
        <w:t xml:space="preserve"> </w:t>
      </w:r>
      <w:r w:rsidRPr="00791E9A">
        <w:rPr>
          <w:rFonts w:ascii="Times New Roman" w:hAnsi="Times New Roman"/>
          <w:sz w:val="24"/>
          <w:szCs w:val="24"/>
        </w:rPr>
        <w:t>EMS services are not police services, and there is no evidence in the record</w:t>
      </w:r>
      <w:r>
        <w:rPr>
          <w:rFonts w:ascii="Times New Roman" w:hAnsi="Times New Roman"/>
          <w:sz w:val="24"/>
          <w:szCs w:val="24"/>
        </w:rPr>
        <w:t xml:space="preserve"> </w:t>
      </w:r>
      <w:r w:rsidRPr="00791E9A">
        <w:rPr>
          <w:rFonts w:ascii="Times New Roman" w:hAnsi="Times New Roman"/>
          <w:sz w:val="24"/>
          <w:szCs w:val="24"/>
        </w:rPr>
        <w:t>indicating that the CPPD provides EMS services or employs EMS personnel. To</w:t>
      </w:r>
      <w:r>
        <w:rPr>
          <w:rFonts w:ascii="Times New Roman" w:hAnsi="Times New Roman"/>
          <w:sz w:val="24"/>
          <w:szCs w:val="24"/>
        </w:rPr>
        <w:t xml:space="preserve"> </w:t>
      </w:r>
      <w:r w:rsidRPr="00791E9A">
        <w:rPr>
          <w:rFonts w:ascii="Times New Roman" w:hAnsi="Times New Roman"/>
          <w:sz w:val="24"/>
          <w:szCs w:val="24"/>
        </w:rPr>
        <w:t>the extent that Cedar Fair provided EMS services related to the alleged Top Thrill</w:t>
      </w:r>
      <w:r>
        <w:rPr>
          <w:rFonts w:ascii="Times New Roman" w:hAnsi="Times New Roman"/>
          <w:sz w:val="24"/>
          <w:szCs w:val="24"/>
        </w:rPr>
        <w:t xml:space="preserve"> </w:t>
      </w:r>
      <w:r w:rsidRPr="00791E9A">
        <w:rPr>
          <w:rFonts w:ascii="Times New Roman" w:hAnsi="Times New Roman"/>
          <w:sz w:val="24"/>
          <w:szCs w:val="24"/>
        </w:rPr>
        <w:t>Dragster incident, relators have produced no evidence showing that these services</w:t>
      </w:r>
      <w:r>
        <w:rPr>
          <w:rFonts w:ascii="Times New Roman" w:hAnsi="Times New Roman"/>
          <w:sz w:val="24"/>
          <w:szCs w:val="24"/>
        </w:rPr>
        <w:t xml:space="preserve"> </w:t>
      </w:r>
      <w:r w:rsidRPr="00791E9A">
        <w:rPr>
          <w:rFonts w:ascii="Times New Roman" w:hAnsi="Times New Roman"/>
          <w:sz w:val="24"/>
          <w:szCs w:val="24"/>
        </w:rPr>
        <w:t xml:space="preserve">were provided through the </w:t>
      </w:r>
      <w:proofErr w:type="gramStart"/>
      <w:r w:rsidRPr="00791E9A">
        <w:rPr>
          <w:rFonts w:ascii="Times New Roman" w:hAnsi="Times New Roman"/>
          <w:sz w:val="24"/>
          <w:szCs w:val="24"/>
        </w:rPr>
        <w:t>CPPD</w:t>
      </w:r>
      <w:r>
        <w:rPr>
          <w:rFonts w:ascii="Times New Roman" w:hAnsi="Times New Roman"/>
          <w:sz w:val="24"/>
          <w:szCs w:val="24"/>
        </w:rPr>
        <w:t>.”</w:t>
      </w:r>
      <w:proofErr w:type="gramEnd"/>
      <w:r>
        <w:rPr>
          <w:rFonts w:ascii="Times New Roman" w:hAnsi="Times New Roman"/>
          <w:sz w:val="24"/>
          <w:szCs w:val="24"/>
        </w:rPr>
        <w:t xml:space="preserve"> </w:t>
      </w:r>
    </w:p>
    <w:p w14:paraId="2DBDFA28" w14:textId="77777777" w:rsidR="00C30293" w:rsidRDefault="00C30293" w:rsidP="00C30293">
      <w:pPr>
        <w:pStyle w:val="NoSpacing"/>
        <w:rPr>
          <w:rFonts w:ascii="Times New Roman" w:hAnsi="Times New Roman"/>
          <w:sz w:val="24"/>
          <w:szCs w:val="24"/>
        </w:rPr>
      </w:pPr>
      <w:hyperlink r:id="rId2803" w:history="1">
        <w:r w:rsidRPr="0044657D">
          <w:rPr>
            <w:rStyle w:val="Hyperlink"/>
            <w:rFonts w:ascii="Times New Roman" w:hAnsi="Times New Roman"/>
            <w:sz w:val="24"/>
            <w:szCs w:val="24"/>
          </w:rPr>
          <w:t>https://www.supremecourt.ohio.gov/rod/docs/pdf/0/2023/2023-Ohio-4593.pdf</w:t>
        </w:r>
      </w:hyperlink>
      <w:r>
        <w:rPr>
          <w:rFonts w:ascii="Times New Roman" w:hAnsi="Times New Roman"/>
          <w:sz w:val="24"/>
          <w:szCs w:val="24"/>
        </w:rPr>
        <w:t xml:space="preserve"> </w:t>
      </w:r>
    </w:p>
    <w:p w14:paraId="6C32A87F" w14:textId="77777777" w:rsidR="00C30293" w:rsidRDefault="00C30293" w:rsidP="00C30293">
      <w:pPr>
        <w:pStyle w:val="NoSpacing"/>
        <w:rPr>
          <w:rFonts w:ascii="Times New Roman" w:hAnsi="Times New Roman"/>
          <w:sz w:val="24"/>
          <w:szCs w:val="24"/>
        </w:rPr>
      </w:pPr>
    </w:p>
    <w:p w14:paraId="0F2A3B67" w14:textId="77777777" w:rsidR="00FB70BC" w:rsidRPr="001D76FE" w:rsidRDefault="00FB70BC" w:rsidP="00FB70BC">
      <w:pPr>
        <w:pStyle w:val="NoSpacing"/>
        <w:rPr>
          <w:rFonts w:ascii="Times New Roman" w:hAnsi="Times New Roman"/>
          <w:b/>
          <w:bCs/>
          <w:sz w:val="24"/>
          <w:szCs w:val="24"/>
        </w:rPr>
      </w:pPr>
      <w:r w:rsidRPr="001D76FE">
        <w:rPr>
          <w:rFonts w:ascii="Times New Roman" w:hAnsi="Times New Roman"/>
          <w:b/>
          <w:bCs/>
          <w:sz w:val="24"/>
          <w:szCs w:val="24"/>
        </w:rPr>
        <w:t>Legal Lesson Learned:</w:t>
      </w:r>
      <w:r>
        <w:rPr>
          <w:rFonts w:ascii="Times New Roman" w:hAnsi="Times New Roman"/>
          <w:b/>
          <w:bCs/>
          <w:sz w:val="24"/>
          <w:szCs w:val="24"/>
        </w:rPr>
        <w:t xml:space="preserve"> The Park should have submitted records for “in camera” review by trial court, so they could then assert investigative exemption. </w:t>
      </w:r>
      <w:r w:rsidRPr="001D76FE">
        <w:rPr>
          <w:rFonts w:ascii="Times New Roman" w:hAnsi="Times New Roman"/>
          <w:b/>
          <w:bCs/>
          <w:sz w:val="24"/>
          <w:szCs w:val="24"/>
        </w:rPr>
        <w:t xml:space="preserve"> </w:t>
      </w:r>
      <w:r>
        <w:rPr>
          <w:rFonts w:ascii="Times New Roman" w:hAnsi="Times New Roman"/>
          <w:b/>
          <w:bCs/>
          <w:sz w:val="24"/>
          <w:szCs w:val="24"/>
        </w:rPr>
        <w:t xml:space="preserve">Private EMS companies providing 911 public service would likewise be subject to Ohio Public Records Act. </w:t>
      </w:r>
    </w:p>
    <w:p w14:paraId="62358D9F" w14:textId="77777777" w:rsidR="00FB70BC" w:rsidRDefault="00FB70BC" w:rsidP="00FB70BC">
      <w:pPr>
        <w:pStyle w:val="NoSpacing"/>
        <w:ind w:left="720"/>
        <w:rPr>
          <w:rFonts w:ascii="Times New Roman" w:hAnsi="Times New Roman"/>
          <w:sz w:val="24"/>
          <w:szCs w:val="24"/>
        </w:rPr>
      </w:pPr>
    </w:p>
    <w:p w14:paraId="3B86F73C" w14:textId="77777777" w:rsidR="00FB70BC" w:rsidRDefault="00FB70BC" w:rsidP="00FB70BC">
      <w:pPr>
        <w:pStyle w:val="NoSpacing"/>
        <w:ind w:left="720"/>
        <w:rPr>
          <w:rFonts w:ascii="Times New Roman" w:hAnsi="Times New Roman"/>
          <w:sz w:val="24"/>
          <w:szCs w:val="24"/>
        </w:rPr>
      </w:pPr>
      <w:r>
        <w:rPr>
          <w:rFonts w:ascii="Times New Roman" w:hAnsi="Times New Roman"/>
          <w:sz w:val="24"/>
          <w:szCs w:val="24"/>
        </w:rPr>
        <w:t>Note: DISSENT BY CHIEF JUSTICE SHARON L. KENNEDY – TV STATIONS SHOULD BE AWARDED STATUTORY DAMAGES AND ATTORNEY FEES</w:t>
      </w:r>
    </w:p>
    <w:p w14:paraId="43C796E8" w14:textId="77777777" w:rsidR="00FB70BC" w:rsidRDefault="00FB70BC" w:rsidP="00FB70BC">
      <w:pPr>
        <w:pStyle w:val="NoSpacing"/>
        <w:ind w:left="720"/>
        <w:rPr>
          <w:rFonts w:ascii="Times New Roman" w:hAnsi="Times New Roman"/>
          <w:sz w:val="24"/>
          <w:szCs w:val="24"/>
        </w:rPr>
      </w:pPr>
    </w:p>
    <w:p w14:paraId="5AF52184" w14:textId="77777777" w:rsidR="00FB70BC" w:rsidRDefault="00FB70BC" w:rsidP="00FB70BC">
      <w:pPr>
        <w:pStyle w:val="NoSpacing"/>
        <w:ind w:left="720"/>
        <w:rPr>
          <w:rFonts w:ascii="Times New Roman" w:hAnsi="Times New Roman"/>
          <w:sz w:val="24"/>
          <w:szCs w:val="24"/>
        </w:rPr>
      </w:pPr>
      <w:r>
        <w:rPr>
          <w:rFonts w:ascii="Times New Roman" w:hAnsi="Times New Roman"/>
          <w:sz w:val="24"/>
          <w:szCs w:val="24"/>
        </w:rPr>
        <w:t xml:space="preserve"> “</w:t>
      </w:r>
      <w:r w:rsidRPr="00356695">
        <w:rPr>
          <w:rFonts w:ascii="Times New Roman" w:hAnsi="Times New Roman"/>
          <w:sz w:val="24"/>
          <w:szCs w:val="24"/>
        </w:rPr>
        <w:t>I part ways with the majority, however, in its denial of awards of</w:t>
      </w:r>
      <w:r>
        <w:rPr>
          <w:rFonts w:ascii="Times New Roman" w:hAnsi="Times New Roman"/>
          <w:sz w:val="24"/>
          <w:szCs w:val="24"/>
        </w:rPr>
        <w:t xml:space="preserve"> </w:t>
      </w:r>
      <w:r w:rsidRPr="00356695">
        <w:rPr>
          <w:rFonts w:ascii="Times New Roman" w:hAnsi="Times New Roman"/>
          <w:sz w:val="24"/>
          <w:szCs w:val="24"/>
        </w:rPr>
        <w:t xml:space="preserve">statutory damages and attorney fees to relators. Based on the </w:t>
      </w:r>
      <w:proofErr w:type="gramStart"/>
      <w:r w:rsidRPr="00356695">
        <w:rPr>
          <w:rFonts w:ascii="Times New Roman" w:hAnsi="Times New Roman"/>
          <w:sz w:val="24"/>
          <w:szCs w:val="24"/>
        </w:rPr>
        <w:t>law existing</w:t>
      </w:r>
      <w:proofErr w:type="gramEnd"/>
      <w:r w:rsidRPr="00356695">
        <w:rPr>
          <w:rFonts w:ascii="Times New Roman" w:hAnsi="Times New Roman"/>
          <w:sz w:val="24"/>
          <w:szCs w:val="24"/>
        </w:rPr>
        <w:t xml:space="preserve"> at the</w:t>
      </w:r>
      <w:r>
        <w:rPr>
          <w:rFonts w:ascii="Times New Roman" w:hAnsi="Times New Roman"/>
          <w:sz w:val="24"/>
          <w:szCs w:val="24"/>
        </w:rPr>
        <w:t xml:space="preserve"> </w:t>
      </w:r>
      <w:r w:rsidRPr="00356695">
        <w:rPr>
          <w:rFonts w:ascii="Times New Roman" w:hAnsi="Times New Roman"/>
          <w:sz w:val="24"/>
          <w:szCs w:val="24"/>
        </w:rPr>
        <w:t>time of relators’ requests, a well-informed person responsible for the requested</w:t>
      </w:r>
      <w:r>
        <w:rPr>
          <w:rFonts w:ascii="Times New Roman" w:hAnsi="Times New Roman"/>
          <w:sz w:val="24"/>
          <w:szCs w:val="24"/>
        </w:rPr>
        <w:t xml:space="preserve"> </w:t>
      </w:r>
      <w:r w:rsidRPr="00356695">
        <w:rPr>
          <w:rFonts w:ascii="Times New Roman" w:hAnsi="Times New Roman"/>
          <w:sz w:val="24"/>
          <w:szCs w:val="24"/>
        </w:rPr>
        <w:t>public records would have reasonably believed that respondents had an obligation</w:t>
      </w:r>
      <w:r>
        <w:rPr>
          <w:rFonts w:ascii="Times New Roman" w:hAnsi="Times New Roman"/>
          <w:sz w:val="24"/>
          <w:szCs w:val="24"/>
        </w:rPr>
        <w:t xml:space="preserve"> </w:t>
      </w:r>
      <w:r w:rsidRPr="00356695">
        <w:rPr>
          <w:rFonts w:ascii="Times New Roman" w:hAnsi="Times New Roman"/>
          <w:sz w:val="24"/>
          <w:szCs w:val="24"/>
        </w:rPr>
        <w:t>under the Public Records Act to produce the requested records. Therefore, relators</w:t>
      </w:r>
      <w:r>
        <w:rPr>
          <w:rFonts w:ascii="Times New Roman" w:hAnsi="Times New Roman"/>
          <w:sz w:val="24"/>
          <w:szCs w:val="24"/>
        </w:rPr>
        <w:t xml:space="preserve"> </w:t>
      </w:r>
      <w:r w:rsidRPr="00356695">
        <w:rPr>
          <w:rFonts w:ascii="Times New Roman" w:hAnsi="Times New Roman"/>
          <w:sz w:val="24"/>
          <w:szCs w:val="24"/>
        </w:rPr>
        <w:t xml:space="preserve">are entitled to statutory </w:t>
      </w:r>
      <w:proofErr w:type="gramStart"/>
      <w:r w:rsidRPr="00356695">
        <w:rPr>
          <w:rFonts w:ascii="Times New Roman" w:hAnsi="Times New Roman"/>
          <w:sz w:val="24"/>
          <w:szCs w:val="24"/>
        </w:rPr>
        <w:t>damages</w:t>
      </w:r>
      <w:proofErr w:type="gramEnd"/>
      <w:r w:rsidRPr="00356695">
        <w:rPr>
          <w:rFonts w:ascii="Times New Roman" w:hAnsi="Times New Roman"/>
          <w:sz w:val="24"/>
          <w:szCs w:val="24"/>
        </w:rPr>
        <w:t xml:space="preserve"> and this court should award attorney fees.</w:t>
      </w:r>
    </w:p>
    <w:p w14:paraId="091399A0" w14:textId="77777777" w:rsidR="00FB70BC" w:rsidRDefault="00FB70BC" w:rsidP="00FB70BC">
      <w:pPr>
        <w:pStyle w:val="NoSpacing"/>
        <w:ind w:left="720"/>
        <w:rPr>
          <w:rFonts w:ascii="Times New Roman" w:hAnsi="Times New Roman"/>
          <w:sz w:val="24"/>
          <w:szCs w:val="24"/>
        </w:rPr>
      </w:pPr>
    </w:p>
    <w:p w14:paraId="4FF94C57" w14:textId="77777777" w:rsidR="00FB70BC" w:rsidRDefault="00FB70BC" w:rsidP="00FB70BC">
      <w:pPr>
        <w:pStyle w:val="NoSpacing"/>
        <w:ind w:left="720"/>
        <w:rPr>
          <w:rFonts w:ascii="Times New Roman" w:hAnsi="Times New Roman"/>
          <w:sz w:val="24"/>
          <w:szCs w:val="24"/>
        </w:rPr>
      </w:pPr>
      <w:r>
        <w:rPr>
          <w:rFonts w:ascii="Times New Roman" w:hAnsi="Times New Roman"/>
          <w:sz w:val="24"/>
          <w:szCs w:val="24"/>
        </w:rPr>
        <w:t>***</w:t>
      </w:r>
    </w:p>
    <w:p w14:paraId="29F28ECE" w14:textId="77777777" w:rsidR="00FB70BC" w:rsidRDefault="00FB70BC" w:rsidP="00FB70BC">
      <w:pPr>
        <w:pStyle w:val="NoSpacing"/>
        <w:ind w:left="720"/>
        <w:rPr>
          <w:rFonts w:ascii="Times New Roman" w:hAnsi="Times New Roman"/>
          <w:sz w:val="24"/>
          <w:szCs w:val="24"/>
        </w:rPr>
      </w:pPr>
    </w:p>
    <w:p w14:paraId="595D4F93" w14:textId="77777777" w:rsidR="00FB70BC" w:rsidRPr="00A9125A" w:rsidRDefault="00FB70BC" w:rsidP="00FB70BC">
      <w:pPr>
        <w:pStyle w:val="NoSpacing"/>
        <w:ind w:left="720"/>
        <w:rPr>
          <w:rFonts w:ascii="Times New Roman" w:hAnsi="Times New Roman"/>
          <w:sz w:val="24"/>
          <w:szCs w:val="24"/>
        </w:rPr>
      </w:pPr>
      <w:r w:rsidRPr="00FD2DAA">
        <w:rPr>
          <w:rFonts w:ascii="Times New Roman" w:hAnsi="Times New Roman"/>
          <w:sz w:val="24"/>
          <w:szCs w:val="24"/>
        </w:rPr>
        <w:t>The Sandusky City Manager, a government official, appoints and</w:t>
      </w:r>
      <w:r>
        <w:rPr>
          <w:rFonts w:ascii="Times New Roman" w:hAnsi="Times New Roman"/>
          <w:sz w:val="24"/>
          <w:szCs w:val="24"/>
        </w:rPr>
        <w:t xml:space="preserve"> </w:t>
      </w:r>
      <w:r w:rsidRPr="00FD2DAA">
        <w:rPr>
          <w:rFonts w:ascii="Times New Roman" w:hAnsi="Times New Roman"/>
          <w:sz w:val="24"/>
          <w:szCs w:val="24"/>
        </w:rPr>
        <w:t xml:space="preserve">maintains the Department’s police officers. These officers contractually </w:t>
      </w:r>
      <w:proofErr w:type="gramStart"/>
      <w:r w:rsidRPr="00FD2DAA">
        <w:rPr>
          <w:rFonts w:ascii="Times New Roman" w:hAnsi="Times New Roman"/>
          <w:sz w:val="24"/>
          <w:szCs w:val="24"/>
        </w:rPr>
        <w:t>serve at</w:t>
      </w:r>
      <w:proofErr w:type="gramEnd"/>
      <w:r>
        <w:rPr>
          <w:rFonts w:ascii="Times New Roman" w:hAnsi="Times New Roman"/>
          <w:sz w:val="24"/>
          <w:szCs w:val="24"/>
        </w:rPr>
        <w:t xml:space="preserve"> </w:t>
      </w:r>
      <w:r w:rsidRPr="00FD2DAA">
        <w:rPr>
          <w:rFonts w:ascii="Times New Roman" w:hAnsi="Times New Roman"/>
          <w:sz w:val="24"/>
          <w:szCs w:val="24"/>
        </w:rPr>
        <w:t>the pleasure of the city manager. These officers also must be qualified to serve as</w:t>
      </w:r>
      <w:r>
        <w:rPr>
          <w:rFonts w:ascii="Times New Roman" w:hAnsi="Times New Roman"/>
          <w:sz w:val="24"/>
          <w:szCs w:val="24"/>
        </w:rPr>
        <w:t xml:space="preserve"> </w:t>
      </w:r>
      <w:r w:rsidRPr="00FD2DAA">
        <w:rPr>
          <w:rFonts w:ascii="Times New Roman" w:hAnsi="Times New Roman"/>
          <w:sz w:val="24"/>
          <w:szCs w:val="24"/>
        </w:rPr>
        <w:t>law-enforcement officers in Ohio, pursuant to both a Sandusky ordinance and the</w:t>
      </w:r>
      <w:r>
        <w:rPr>
          <w:rFonts w:ascii="Times New Roman" w:hAnsi="Times New Roman"/>
          <w:sz w:val="24"/>
          <w:szCs w:val="24"/>
        </w:rPr>
        <w:t xml:space="preserve"> </w:t>
      </w:r>
      <w:r w:rsidRPr="00FD2DAA">
        <w:rPr>
          <w:rFonts w:ascii="Times New Roman" w:hAnsi="Times New Roman"/>
          <w:sz w:val="24"/>
          <w:szCs w:val="24"/>
        </w:rPr>
        <w:t>agreement between Sandusky and Cedar Fair, and they swear an oath before the</w:t>
      </w:r>
      <w:r>
        <w:rPr>
          <w:rFonts w:ascii="Times New Roman" w:hAnsi="Times New Roman"/>
          <w:sz w:val="24"/>
          <w:szCs w:val="24"/>
        </w:rPr>
        <w:t xml:space="preserve"> </w:t>
      </w:r>
      <w:r w:rsidRPr="00FD2DAA">
        <w:rPr>
          <w:rFonts w:ascii="Times New Roman" w:hAnsi="Times New Roman"/>
          <w:sz w:val="24"/>
          <w:szCs w:val="24"/>
        </w:rPr>
        <w:t>city manager to uphold the laws of Sandusky, the state of Ohio, and the United</w:t>
      </w:r>
      <w:r>
        <w:rPr>
          <w:rFonts w:ascii="Times New Roman" w:hAnsi="Times New Roman"/>
          <w:sz w:val="24"/>
          <w:szCs w:val="24"/>
        </w:rPr>
        <w:t xml:space="preserve"> </w:t>
      </w:r>
      <w:r w:rsidRPr="00FD2DAA">
        <w:rPr>
          <w:rFonts w:ascii="Times New Roman" w:hAnsi="Times New Roman"/>
          <w:sz w:val="24"/>
          <w:szCs w:val="24"/>
        </w:rPr>
        <w:t xml:space="preserve">States. Further, the Ohio Peace Officer Training Commission lists </w:t>
      </w:r>
      <w:r>
        <w:rPr>
          <w:rFonts w:ascii="Times New Roman" w:hAnsi="Times New Roman"/>
          <w:sz w:val="24"/>
          <w:szCs w:val="24"/>
        </w:rPr>
        <w:t>‘</w:t>
      </w:r>
      <w:r w:rsidRPr="00FD2DAA">
        <w:rPr>
          <w:rFonts w:ascii="Times New Roman" w:hAnsi="Times New Roman"/>
          <w:sz w:val="24"/>
          <w:szCs w:val="24"/>
        </w:rPr>
        <w:t>Sandusky</w:t>
      </w:r>
      <w:r>
        <w:rPr>
          <w:rFonts w:ascii="Times New Roman" w:hAnsi="Times New Roman"/>
          <w:sz w:val="24"/>
          <w:szCs w:val="24"/>
        </w:rPr>
        <w:t xml:space="preserve"> </w:t>
      </w:r>
      <w:r w:rsidRPr="00FD2DAA">
        <w:rPr>
          <w:rFonts w:ascii="Times New Roman" w:hAnsi="Times New Roman"/>
          <w:sz w:val="24"/>
          <w:szCs w:val="24"/>
        </w:rPr>
        <w:t>Police/Cedar Point Division</w:t>
      </w:r>
      <w:r>
        <w:rPr>
          <w:rFonts w:ascii="Times New Roman" w:hAnsi="Times New Roman"/>
          <w:sz w:val="24"/>
          <w:szCs w:val="24"/>
        </w:rPr>
        <w:t>’</w:t>
      </w:r>
      <w:r w:rsidRPr="00FD2DAA">
        <w:rPr>
          <w:rFonts w:ascii="Times New Roman" w:hAnsi="Times New Roman"/>
          <w:sz w:val="24"/>
          <w:szCs w:val="24"/>
        </w:rPr>
        <w:t xml:space="preserve"> as a police agency.</w:t>
      </w:r>
      <w:r>
        <w:rPr>
          <w:rFonts w:ascii="Times New Roman" w:hAnsi="Times New Roman"/>
          <w:sz w:val="24"/>
          <w:szCs w:val="24"/>
        </w:rPr>
        <w:t>”</w:t>
      </w:r>
    </w:p>
    <w:p w14:paraId="6BC292F7" w14:textId="77777777" w:rsidR="00FB70BC" w:rsidRDefault="00FB70BC" w:rsidP="00FB70BC">
      <w:pPr>
        <w:pStyle w:val="NormalWeb"/>
        <w:jc w:val="center"/>
      </w:pPr>
    </w:p>
    <w:p w14:paraId="51FD047F" w14:textId="77777777" w:rsidR="002B2323" w:rsidRDefault="002B2323" w:rsidP="000C4DF5">
      <w:pPr>
        <w:pStyle w:val="NoSpacing"/>
        <w:rPr>
          <w:rFonts w:ascii="Arial Black" w:hAnsi="Arial Black"/>
          <w:sz w:val="24"/>
          <w:szCs w:val="24"/>
        </w:rPr>
      </w:pPr>
    </w:p>
    <w:p w14:paraId="61357726" w14:textId="77777777" w:rsidR="002B2323" w:rsidRDefault="002B2323" w:rsidP="000C4DF5">
      <w:pPr>
        <w:pStyle w:val="NoSpacing"/>
        <w:rPr>
          <w:rFonts w:ascii="Arial Black" w:hAnsi="Arial Black"/>
          <w:sz w:val="24"/>
          <w:szCs w:val="24"/>
        </w:rPr>
      </w:pPr>
    </w:p>
    <w:p w14:paraId="4AC326CA" w14:textId="77777777" w:rsidR="002B2323" w:rsidRDefault="002B2323" w:rsidP="000C4DF5">
      <w:pPr>
        <w:pStyle w:val="NoSpacing"/>
        <w:rPr>
          <w:rFonts w:ascii="Arial Black" w:hAnsi="Arial Black"/>
          <w:sz w:val="24"/>
          <w:szCs w:val="24"/>
        </w:rPr>
      </w:pPr>
    </w:p>
    <w:p w14:paraId="7F502482" w14:textId="77777777" w:rsidR="002B2323" w:rsidRDefault="002B2323" w:rsidP="000C4DF5">
      <w:pPr>
        <w:pStyle w:val="NoSpacing"/>
        <w:rPr>
          <w:rFonts w:ascii="Arial Black" w:hAnsi="Arial Black"/>
          <w:sz w:val="24"/>
          <w:szCs w:val="24"/>
        </w:rPr>
      </w:pPr>
    </w:p>
    <w:p w14:paraId="51241731" w14:textId="3BB3E475" w:rsidR="00B15008" w:rsidRDefault="00B15008" w:rsidP="000C4DF5">
      <w:pPr>
        <w:pStyle w:val="NoSpacing"/>
        <w:rPr>
          <w:rFonts w:ascii="Arial Black" w:hAnsi="Arial Black"/>
          <w:sz w:val="24"/>
          <w:szCs w:val="24"/>
        </w:rPr>
      </w:pPr>
      <w:r>
        <w:rPr>
          <w:rFonts w:ascii="Arial Black" w:hAnsi="Arial Black"/>
          <w:sz w:val="24"/>
          <w:szCs w:val="24"/>
        </w:rPr>
        <w:t>18-24</w:t>
      </w:r>
    </w:p>
    <w:p w14:paraId="6AB8CB58" w14:textId="77777777" w:rsidR="00B15008" w:rsidRDefault="00B15008" w:rsidP="000C4DF5">
      <w:pPr>
        <w:pStyle w:val="NoSpacing"/>
        <w:rPr>
          <w:rFonts w:ascii="Arial Black" w:hAnsi="Arial Black"/>
          <w:sz w:val="24"/>
          <w:szCs w:val="24"/>
        </w:rPr>
      </w:pPr>
    </w:p>
    <w:p w14:paraId="111AA394" w14:textId="77777777" w:rsidR="00FD530A" w:rsidRPr="008F56DF" w:rsidRDefault="00FD530A" w:rsidP="00FD530A">
      <w:pPr>
        <w:pStyle w:val="NoSpacing"/>
        <w:rPr>
          <w:rFonts w:ascii="Arial Black" w:hAnsi="Arial Black"/>
          <w:sz w:val="28"/>
          <w:szCs w:val="28"/>
        </w:rPr>
      </w:pPr>
      <w:r>
        <w:rPr>
          <w:rFonts w:ascii="Arial Black" w:hAnsi="Arial Black"/>
          <w:sz w:val="28"/>
          <w:szCs w:val="28"/>
        </w:rPr>
        <w:t xml:space="preserve">FL: PUBLIC RECORDS - MARSY’S LAW VICTIMS RIGHTS – TWO PD WHO KILLED TWO ASSAILANTS – NAMES PUBLIC </w:t>
      </w:r>
    </w:p>
    <w:p w14:paraId="46020E33" w14:textId="77777777" w:rsidR="00FD530A" w:rsidRDefault="00FD530A" w:rsidP="00FD530A">
      <w:pPr>
        <w:pStyle w:val="NoSpacing"/>
        <w:rPr>
          <w:rFonts w:ascii="Times New Roman" w:hAnsi="Times New Roman"/>
          <w:sz w:val="24"/>
          <w:szCs w:val="24"/>
        </w:rPr>
      </w:pPr>
    </w:p>
    <w:p w14:paraId="0448A130" w14:textId="57E7A586" w:rsidR="00B15008" w:rsidRDefault="00FD530A" w:rsidP="00FD530A">
      <w:pPr>
        <w:pStyle w:val="NoSpacing"/>
        <w:rPr>
          <w:rStyle w:val="Hyperlink"/>
          <w:rFonts w:ascii="Times New Roman" w:hAnsi="Times New Roman"/>
          <w:sz w:val="24"/>
          <w:szCs w:val="24"/>
        </w:rPr>
      </w:pPr>
      <w:r>
        <w:rPr>
          <w:rFonts w:ascii="Times New Roman" w:hAnsi="Times New Roman"/>
          <w:sz w:val="24"/>
          <w:szCs w:val="24"/>
        </w:rPr>
        <w:t xml:space="preserve">On Nov. 30, 2023, in </w:t>
      </w:r>
      <w:r w:rsidRPr="00B478B5">
        <w:rPr>
          <w:rFonts w:ascii="Times New Roman" w:hAnsi="Times New Roman"/>
          <w:sz w:val="24"/>
          <w:szCs w:val="24"/>
          <w:u w:val="single"/>
        </w:rPr>
        <w:t>City of Tallahassee, Florida v. Florida Police Benevolent Association, Inc., et al.</w:t>
      </w:r>
      <w:r>
        <w:rPr>
          <w:rFonts w:ascii="Times New Roman" w:hAnsi="Times New Roman"/>
          <w:sz w:val="24"/>
          <w:szCs w:val="24"/>
        </w:rPr>
        <w:t>, the Supreme Court of Florida, the Court held (5 to 0) that two policers had no right to prevent their names being released to reporters.   Each officer, in separate incidents, killed assailants in self-defense and were cleared by a grand jury, and now claimed their names were protected as “victims” under Marsy’s Law.   Florida residents in 2018 voted to amend the state Constitution so that victim’s location information would not be made public, and victims would be kept informed on status of a defendant’s case.  The Court held: “</w:t>
      </w:r>
      <w:r w:rsidRPr="006573E3">
        <w:rPr>
          <w:rFonts w:ascii="Times New Roman" w:hAnsi="Times New Roman"/>
          <w:sz w:val="24"/>
          <w:szCs w:val="24"/>
        </w:rPr>
        <w:t>Marsy’s Law</w:t>
      </w:r>
      <w:r>
        <w:rPr>
          <w:rFonts w:ascii="Times New Roman" w:hAnsi="Times New Roman"/>
          <w:sz w:val="24"/>
          <w:szCs w:val="24"/>
        </w:rPr>
        <w:t xml:space="preserve"> </w:t>
      </w:r>
      <w:r w:rsidRPr="006573E3">
        <w:rPr>
          <w:rFonts w:ascii="Times New Roman" w:hAnsi="Times New Roman"/>
          <w:sz w:val="24"/>
          <w:szCs w:val="24"/>
        </w:rPr>
        <w:t>does not preclude the City from releasing the</w:t>
      </w:r>
      <w:r>
        <w:rPr>
          <w:rFonts w:ascii="Times New Roman" w:hAnsi="Times New Roman"/>
          <w:sz w:val="24"/>
          <w:szCs w:val="24"/>
        </w:rPr>
        <w:t xml:space="preserve"> </w:t>
      </w:r>
      <w:r w:rsidRPr="006573E3">
        <w:rPr>
          <w:rFonts w:ascii="Times New Roman" w:hAnsi="Times New Roman"/>
          <w:sz w:val="24"/>
          <w:szCs w:val="24"/>
        </w:rPr>
        <w:t>names of the two police officers whose conduct is at issue in this</w:t>
      </w:r>
      <w:r>
        <w:rPr>
          <w:rFonts w:ascii="Times New Roman" w:hAnsi="Times New Roman"/>
          <w:sz w:val="24"/>
          <w:szCs w:val="24"/>
        </w:rPr>
        <w:t xml:space="preserve"> </w:t>
      </w:r>
      <w:r w:rsidRPr="006573E3">
        <w:rPr>
          <w:rFonts w:ascii="Times New Roman" w:hAnsi="Times New Roman"/>
          <w:sz w:val="24"/>
          <w:szCs w:val="24"/>
        </w:rPr>
        <w:t>case.</w:t>
      </w:r>
      <w:r>
        <w:rPr>
          <w:rFonts w:ascii="Times New Roman" w:hAnsi="Times New Roman"/>
          <w:sz w:val="24"/>
          <w:szCs w:val="24"/>
        </w:rPr>
        <w:t xml:space="preserve"> *** </w:t>
      </w:r>
      <w:r w:rsidRPr="00DF01CF">
        <w:rPr>
          <w:rFonts w:ascii="Times New Roman" w:hAnsi="Times New Roman"/>
          <w:sz w:val="24"/>
          <w:szCs w:val="24"/>
        </w:rPr>
        <w:t>Applying these interpretive principles to this case, we conclude</w:t>
      </w:r>
      <w:r>
        <w:rPr>
          <w:rFonts w:ascii="Times New Roman" w:hAnsi="Times New Roman"/>
          <w:sz w:val="24"/>
          <w:szCs w:val="24"/>
        </w:rPr>
        <w:t xml:space="preserve"> </w:t>
      </w:r>
      <w:r w:rsidRPr="00DF01CF">
        <w:rPr>
          <w:rFonts w:ascii="Times New Roman" w:hAnsi="Times New Roman"/>
          <w:sz w:val="24"/>
          <w:szCs w:val="24"/>
        </w:rPr>
        <w:t xml:space="preserve">that Marsy’s Law does not </w:t>
      </w:r>
      <w:proofErr w:type="gramStart"/>
      <w:r w:rsidRPr="00DF01CF">
        <w:rPr>
          <w:rFonts w:ascii="Times New Roman" w:hAnsi="Times New Roman"/>
          <w:sz w:val="24"/>
          <w:szCs w:val="24"/>
        </w:rPr>
        <w:t>guarantee to</w:t>
      </w:r>
      <w:proofErr w:type="gramEnd"/>
      <w:r w:rsidRPr="00DF01CF">
        <w:rPr>
          <w:rFonts w:ascii="Times New Roman" w:hAnsi="Times New Roman"/>
          <w:sz w:val="24"/>
          <w:szCs w:val="24"/>
        </w:rPr>
        <w:t xml:space="preserve"> a victim the categorical</w:t>
      </w:r>
      <w:r>
        <w:rPr>
          <w:rFonts w:ascii="Times New Roman" w:hAnsi="Times New Roman"/>
          <w:sz w:val="24"/>
          <w:szCs w:val="24"/>
        </w:rPr>
        <w:t xml:space="preserve"> </w:t>
      </w:r>
      <w:r w:rsidRPr="00DF01CF">
        <w:rPr>
          <w:rFonts w:ascii="Times New Roman" w:hAnsi="Times New Roman"/>
          <w:sz w:val="24"/>
          <w:szCs w:val="24"/>
        </w:rPr>
        <w:t>right to withhold his or her name from disclosure. In their ordinary</w:t>
      </w:r>
      <w:r>
        <w:rPr>
          <w:rFonts w:ascii="Times New Roman" w:hAnsi="Times New Roman"/>
          <w:sz w:val="24"/>
          <w:szCs w:val="24"/>
        </w:rPr>
        <w:t xml:space="preserve"> </w:t>
      </w:r>
      <w:r w:rsidRPr="00DF01CF">
        <w:rPr>
          <w:rFonts w:ascii="Times New Roman" w:hAnsi="Times New Roman"/>
          <w:sz w:val="24"/>
          <w:szCs w:val="24"/>
        </w:rPr>
        <w:t>and plain usage, the relevant words of our Constitution</w:t>
      </w:r>
      <w:r>
        <w:rPr>
          <w:rFonts w:ascii="Times New Roman" w:hAnsi="Times New Roman"/>
          <w:sz w:val="24"/>
          <w:szCs w:val="24"/>
        </w:rPr>
        <w:t xml:space="preserve"> [amended to include Marsy’s Law</w:t>
      </w:r>
      <w:proofErr w:type="gramStart"/>
      <w:r>
        <w:rPr>
          <w:rFonts w:ascii="Times New Roman" w:hAnsi="Times New Roman"/>
          <w:sz w:val="24"/>
          <w:szCs w:val="24"/>
        </w:rPr>
        <w:t>]</w:t>
      </w:r>
      <w:r w:rsidRPr="00DF01CF">
        <w:rPr>
          <w:rFonts w:ascii="Times New Roman" w:hAnsi="Times New Roman"/>
          <w:sz w:val="24"/>
          <w:szCs w:val="24"/>
        </w:rPr>
        <w:t>,</w:t>
      </w:r>
      <w:r>
        <w:rPr>
          <w:rFonts w:ascii="Times New Roman" w:hAnsi="Times New Roman"/>
          <w:sz w:val="24"/>
          <w:szCs w:val="24"/>
        </w:rPr>
        <w:t xml:space="preserve"> ‘</w:t>
      </w:r>
      <w:proofErr w:type="gramEnd"/>
      <w:r w:rsidRPr="00DF01CF">
        <w:rPr>
          <w:rFonts w:ascii="Times New Roman" w:hAnsi="Times New Roman"/>
          <w:sz w:val="24"/>
          <w:szCs w:val="24"/>
        </w:rPr>
        <w:t>information or records that could be used to locate or harass the</w:t>
      </w:r>
      <w:r>
        <w:rPr>
          <w:rFonts w:ascii="Times New Roman" w:hAnsi="Times New Roman"/>
          <w:sz w:val="24"/>
          <w:szCs w:val="24"/>
        </w:rPr>
        <w:t xml:space="preserve"> </w:t>
      </w:r>
      <w:r w:rsidRPr="00DF01CF">
        <w:rPr>
          <w:rFonts w:ascii="Times New Roman" w:hAnsi="Times New Roman"/>
          <w:sz w:val="24"/>
          <w:szCs w:val="24"/>
        </w:rPr>
        <w:t>victim or the victim’s family, or which could disclose confidential or</w:t>
      </w:r>
      <w:r>
        <w:rPr>
          <w:rFonts w:ascii="Times New Roman" w:hAnsi="Times New Roman"/>
          <w:sz w:val="24"/>
          <w:szCs w:val="24"/>
        </w:rPr>
        <w:t xml:space="preserve"> </w:t>
      </w:r>
      <w:r w:rsidRPr="00DF01CF">
        <w:rPr>
          <w:rFonts w:ascii="Times New Roman" w:hAnsi="Times New Roman"/>
          <w:sz w:val="24"/>
          <w:szCs w:val="24"/>
        </w:rPr>
        <w:t xml:space="preserve">privileged information of the </w:t>
      </w:r>
      <w:proofErr w:type="gramStart"/>
      <w:r w:rsidRPr="00DF01CF">
        <w:rPr>
          <w:rFonts w:ascii="Times New Roman" w:hAnsi="Times New Roman"/>
          <w:sz w:val="24"/>
          <w:szCs w:val="24"/>
        </w:rPr>
        <w:t>victim,</w:t>
      </w:r>
      <w:r>
        <w:rPr>
          <w:rFonts w:ascii="Times New Roman" w:hAnsi="Times New Roman"/>
          <w:sz w:val="24"/>
          <w:szCs w:val="24"/>
        </w:rPr>
        <w:t>’</w:t>
      </w:r>
      <w:proofErr w:type="gramEnd"/>
      <w:r w:rsidRPr="00DF01CF">
        <w:rPr>
          <w:rFonts w:ascii="Times New Roman" w:hAnsi="Times New Roman"/>
          <w:sz w:val="24"/>
          <w:szCs w:val="24"/>
        </w:rPr>
        <w:t xml:space="preserve"> art. I, § 16(b)(5), Fla. Const.,</w:t>
      </w:r>
      <w:r>
        <w:rPr>
          <w:rFonts w:ascii="Times New Roman" w:hAnsi="Times New Roman"/>
          <w:sz w:val="24"/>
          <w:szCs w:val="24"/>
        </w:rPr>
        <w:t xml:space="preserve"> </w:t>
      </w:r>
      <w:r w:rsidRPr="00DF01CF">
        <w:rPr>
          <w:rFonts w:ascii="Times New Roman" w:hAnsi="Times New Roman"/>
          <w:sz w:val="24"/>
          <w:szCs w:val="24"/>
        </w:rPr>
        <w:t>do not encompass the victim’s identity.</w:t>
      </w:r>
      <w:r>
        <w:rPr>
          <w:rFonts w:ascii="Times New Roman" w:hAnsi="Times New Roman"/>
          <w:sz w:val="24"/>
          <w:szCs w:val="24"/>
        </w:rPr>
        <w:t xml:space="preserve">” </w:t>
      </w:r>
      <w:hyperlink r:id="rId2804" w:history="1">
        <w:r w:rsidRPr="00E359E2">
          <w:rPr>
            <w:rStyle w:val="Hyperlink"/>
            <w:rFonts w:ascii="Times New Roman" w:hAnsi="Times New Roman"/>
            <w:sz w:val="24"/>
            <w:szCs w:val="24"/>
          </w:rPr>
          <w:t>https://supremecourt.flcourts.gov/content/download/1172655/opinion/Opinion_SC2021-0651.pdf</w:t>
        </w:r>
      </w:hyperlink>
    </w:p>
    <w:p w14:paraId="023BE753" w14:textId="77777777" w:rsidR="002B2323" w:rsidRDefault="002B2323" w:rsidP="00FD530A">
      <w:pPr>
        <w:pStyle w:val="NoSpacing"/>
        <w:rPr>
          <w:rStyle w:val="Hyperlink"/>
          <w:rFonts w:ascii="Times New Roman" w:hAnsi="Times New Roman"/>
          <w:sz w:val="24"/>
          <w:szCs w:val="24"/>
        </w:rPr>
      </w:pPr>
    </w:p>
    <w:p w14:paraId="5BBBA4D9" w14:textId="77777777" w:rsidR="002B2323" w:rsidRDefault="002B2323" w:rsidP="002B2323">
      <w:pPr>
        <w:pStyle w:val="NoSpacing"/>
        <w:rPr>
          <w:rFonts w:ascii="Times New Roman" w:hAnsi="Times New Roman"/>
          <w:b/>
          <w:bCs/>
          <w:sz w:val="24"/>
          <w:szCs w:val="24"/>
        </w:rPr>
      </w:pPr>
      <w:r w:rsidRPr="00A048D2">
        <w:rPr>
          <w:rFonts w:ascii="Times New Roman" w:hAnsi="Times New Roman"/>
          <w:b/>
          <w:bCs/>
          <w:sz w:val="24"/>
          <w:szCs w:val="24"/>
        </w:rPr>
        <w:t>Legal Lesson Learned:</w:t>
      </w:r>
      <w:r>
        <w:rPr>
          <w:rFonts w:ascii="Times New Roman" w:hAnsi="Times New Roman"/>
          <w:b/>
          <w:bCs/>
          <w:sz w:val="24"/>
          <w:szCs w:val="24"/>
        </w:rPr>
        <w:t xml:space="preserve">  Many states have enacted laws protecting from </w:t>
      </w:r>
      <w:proofErr w:type="gramStart"/>
      <w:r>
        <w:rPr>
          <w:rFonts w:ascii="Times New Roman" w:hAnsi="Times New Roman"/>
          <w:b/>
          <w:bCs/>
          <w:sz w:val="24"/>
          <w:szCs w:val="24"/>
        </w:rPr>
        <w:t>disclosure</w:t>
      </w:r>
      <w:proofErr w:type="gramEnd"/>
      <w:r>
        <w:rPr>
          <w:rFonts w:ascii="Times New Roman" w:hAnsi="Times New Roman"/>
          <w:b/>
          <w:bCs/>
          <w:sz w:val="24"/>
          <w:szCs w:val="24"/>
        </w:rPr>
        <w:t xml:space="preserve"> the home addresses of police, fire, EMS and other public officials. </w:t>
      </w:r>
    </w:p>
    <w:p w14:paraId="48B005DB" w14:textId="77777777" w:rsidR="002B2323" w:rsidRPr="007F1753" w:rsidRDefault="002B2323" w:rsidP="002B2323">
      <w:pPr>
        <w:pStyle w:val="NoSpacing"/>
        <w:rPr>
          <w:rFonts w:ascii="Times New Roman" w:hAnsi="Times New Roman"/>
          <w:sz w:val="24"/>
          <w:szCs w:val="24"/>
        </w:rPr>
      </w:pPr>
    </w:p>
    <w:p w14:paraId="23DD780E" w14:textId="77777777" w:rsidR="002B2323" w:rsidRDefault="002B2323" w:rsidP="002B2323">
      <w:pPr>
        <w:pStyle w:val="NoSpacing"/>
        <w:ind w:left="720"/>
        <w:rPr>
          <w:rFonts w:ascii="Times New Roman" w:hAnsi="Times New Roman"/>
          <w:sz w:val="24"/>
          <w:szCs w:val="24"/>
        </w:rPr>
      </w:pPr>
      <w:r w:rsidRPr="007F1753">
        <w:rPr>
          <w:rFonts w:ascii="Times New Roman" w:hAnsi="Times New Roman"/>
          <w:sz w:val="24"/>
          <w:szCs w:val="24"/>
        </w:rPr>
        <w:t xml:space="preserve">Note: </w:t>
      </w:r>
    </w:p>
    <w:p w14:paraId="02536E3B" w14:textId="77777777" w:rsidR="002B2323" w:rsidRPr="007B075D" w:rsidRDefault="002B2323" w:rsidP="002B2323">
      <w:pPr>
        <w:pStyle w:val="Heading1"/>
        <w:ind w:left="720"/>
        <w:rPr>
          <w:b w:val="0"/>
          <w:bCs w:val="0"/>
          <w:sz w:val="24"/>
          <w:szCs w:val="24"/>
        </w:rPr>
      </w:pPr>
      <w:r w:rsidRPr="007B075D">
        <w:rPr>
          <w:b w:val="0"/>
          <w:bCs w:val="0"/>
          <w:sz w:val="24"/>
          <w:szCs w:val="24"/>
        </w:rPr>
        <w:t xml:space="preserve">See article, “Florida court rules Marsy's Law doesn't apply to police; similar case pending in Ohio.” Nov. 30, 2023. </w:t>
      </w:r>
      <w:hyperlink r:id="rId2805" w:history="1">
        <w:r w:rsidRPr="007B075D">
          <w:rPr>
            <w:rStyle w:val="Hyperlink"/>
            <w:b w:val="0"/>
            <w:bCs w:val="0"/>
            <w:sz w:val="24"/>
            <w:szCs w:val="24"/>
          </w:rPr>
          <w:t>https://www.dispatch.com/story/news/courts/2023/11/30/florida-supreme-court-rules-that-marsys-law-privacy-doesnt-apply-to-police-officers/71758347007/?utm_source=columbusdispatch-</w:t>
        </w:r>
        <w:r w:rsidRPr="007B075D">
          <w:rPr>
            <w:rStyle w:val="Hyperlink"/>
            <w:b w:val="0"/>
            <w:bCs w:val="0"/>
            <w:sz w:val="24"/>
            <w:szCs w:val="24"/>
          </w:rPr>
          <w:lastRenderedPageBreak/>
          <w:t>dailybriefing-strada&amp;utm_medium=email&amp;utm_campaign=dailybriefing-headline-stack&amp;utm_term=Content%20List%20-%20Stacking%20-%20optimized&amp;utm_content=ncod-columbus-nletter65</w:t>
        </w:r>
      </w:hyperlink>
      <w:r w:rsidRPr="007B075D">
        <w:rPr>
          <w:b w:val="0"/>
          <w:bCs w:val="0"/>
          <w:sz w:val="24"/>
          <w:szCs w:val="24"/>
        </w:rPr>
        <w:t xml:space="preserve"> </w:t>
      </w:r>
    </w:p>
    <w:p w14:paraId="021787A6" w14:textId="77777777" w:rsidR="002B2323" w:rsidRDefault="002B2323" w:rsidP="00FD530A">
      <w:pPr>
        <w:pStyle w:val="NoSpacing"/>
        <w:rPr>
          <w:rFonts w:ascii="Arial Black" w:hAnsi="Arial Black"/>
          <w:sz w:val="24"/>
          <w:szCs w:val="24"/>
        </w:rPr>
      </w:pPr>
    </w:p>
    <w:p w14:paraId="761A89D7" w14:textId="77777777" w:rsidR="00B15008" w:rsidRDefault="00B15008" w:rsidP="000C4DF5">
      <w:pPr>
        <w:pStyle w:val="NoSpacing"/>
        <w:rPr>
          <w:rFonts w:ascii="Arial Black" w:hAnsi="Arial Black"/>
          <w:sz w:val="24"/>
          <w:szCs w:val="24"/>
        </w:rPr>
      </w:pPr>
    </w:p>
    <w:p w14:paraId="386DFF38" w14:textId="709A9A33" w:rsidR="00804F3A" w:rsidRDefault="006A02A4" w:rsidP="000C4DF5">
      <w:pPr>
        <w:pStyle w:val="NoSpacing"/>
        <w:rPr>
          <w:rFonts w:ascii="Arial Black" w:hAnsi="Arial Black"/>
          <w:sz w:val="24"/>
          <w:szCs w:val="24"/>
        </w:rPr>
      </w:pPr>
      <w:r>
        <w:rPr>
          <w:rFonts w:ascii="Arial Black" w:hAnsi="Arial Black"/>
          <w:sz w:val="24"/>
          <w:szCs w:val="24"/>
        </w:rPr>
        <w:t>18-23</w:t>
      </w:r>
    </w:p>
    <w:p w14:paraId="0DC5D690" w14:textId="77777777" w:rsidR="006A02A4" w:rsidRDefault="006A02A4" w:rsidP="000C4DF5">
      <w:pPr>
        <w:pStyle w:val="NoSpacing"/>
        <w:rPr>
          <w:rFonts w:ascii="Arial Black" w:hAnsi="Arial Black"/>
          <w:sz w:val="24"/>
          <w:szCs w:val="24"/>
        </w:rPr>
      </w:pPr>
    </w:p>
    <w:p w14:paraId="3C7A0AE0" w14:textId="77777777" w:rsidR="006A02A4" w:rsidRPr="003D49D7" w:rsidRDefault="006A02A4" w:rsidP="006A02A4">
      <w:pPr>
        <w:pStyle w:val="NoSpacing"/>
        <w:rPr>
          <w:rFonts w:ascii="Arial Black" w:hAnsi="Arial Black"/>
          <w:sz w:val="28"/>
          <w:szCs w:val="28"/>
        </w:rPr>
      </w:pPr>
      <w:r w:rsidRPr="003D49D7">
        <w:rPr>
          <w:rFonts w:ascii="Arial Black" w:hAnsi="Arial Black"/>
          <w:sz w:val="28"/>
          <w:szCs w:val="28"/>
        </w:rPr>
        <w:t xml:space="preserve">CA (4/17/2023) – NATURAL GAS PIPING – CITY OF BERKLEY </w:t>
      </w:r>
      <w:r>
        <w:rPr>
          <w:rFonts w:ascii="Arial Black" w:hAnsi="Arial Black"/>
          <w:sz w:val="28"/>
          <w:szCs w:val="28"/>
        </w:rPr>
        <w:t xml:space="preserve">ORD. </w:t>
      </w:r>
      <w:r w:rsidRPr="003D49D7">
        <w:rPr>
          <w:rFonts w:ascii="Arial Black" w:hAnsi="Arial Black"/>
          <w:sz w:val="28"/>
          <w:szCs w:val="28"/>
        </w:rPr>
        <w:t xml:space="preserve">NEW BUILDINGS STOP </w:t>
      </w:r>
      <w:r>
        <w:rPr>
          <w:rFonts w:ascii="Arial Black" w:hAnsi="Arial Black"/>
          <w:sz w:val="28"/>
          <w:szCs w:val="28"/>
        </w:rPr>
        <w:t>NATURAL GAS VIOL. FED LAW</w:t>
      </w:r>
    </w:p>
    <w:p w14:paraId="30FFFDDB" w14:textId="77777777" w:rsidR="006A02A4" w:rsidRDefault="006A02A4" w:rsidP="006A02A4">
      <w:pPr>
        <w:pStyle w:val="NoSpacing"/>
      </w:pPr>
    </w:p>
    <w:p w14:paraId="67BA8329" w14:textId="77777777" w:rsidR="006A02A4" w:rsidRPr="003C1643" w:rsidRDefault="006A02A4" w:rsidP="006A02A4">
      <w:pPr>
        <w:pStyle w:val="NoSpacing"/>
        <w:rPr>
          <w:rFonts w:ascii="Times New Roman" w:hAnsi="Times New Roman"/>
          <w:sz w:val="24"/>
          <w:szCs w:val="24"/>
        </w:rPr>
      </w:pPr>
      <w:r w:rsidRPr="003C1643">
        <w:rPr>
          <w:rFonts w:ascii="Times New Roman" w:hAnsi="Times New Roman"/>
          <w:sz w:val="24"/>
          <w:szCs w:val="24"/>
          <w:u w:val="single"/>
        </w:rPr>
        <w:t>California Restaurant Association v. City of Berkeley</w:t>
      </w:r>
      <w:r w:rsidRPr="003C1643">
        <w:rPr>
          <w:rFonts w:ascii="Times New Roman" w:hAnsi="Times New Roman"/>
          <w:sz w:val="24"/>
          <w:szCs w:val="24"/>
        </w:rPr>
        <w:t>, U.S. Court of Appeals for 9</w:t>
      </w:r>
      <w:r w:rsidRPr="003C1643">
        <w:rPr>
          <w:rFonts w:ascii="Times New Roman" w:hAnsi="Times New Roman"/>
          <w:sz w:val="24"/>
          <w:szCs w:val="24"/>
          <w:vertAlign w:val="superscript"/>
        </w:rPr>
        <w:t>th</w:t>
      </w:r>
      <w:r w:rsidRPr="003C1643">
        <w:rPr>
          <w:rFonts w:ascii="Times New Roman" w:hAnsi="Times New Roman"/>
          <w:sz w:val="24"/>
          <w:szCs w:val="24"/>
        </w:rPr>
        <w:t xml:space="preserve"> Circuit. </w:t>
      </w:r>
      <w:hyperlink r:id="rId2806" w:history="1">
        <w:r w:rsidRPr="003C1643">
          <w:rPr>
            <w:rStyle w:val="Hyperlink"/>
            <w:rFonts w:ascii="Times New Roman" w:hAnsi="Times New Roman"/>
            <w:sz w:val="24"/>
            <w:szCs w:val="24"/>
          </w:rPr>
          <w:t>https://cdn.ca9.uscourts.gov/datastore/opinions/2023/04/17/21-16278.pdf</w:t>
        </w:r>
      </w:hyperlink>
      <w:r w:rsidRPr="003C1643">
        <w:rPr>
          <w:rFonts w:ascii="Times New Roman" w:hAnsi="Times New Roman"/>
          <w:sz w:val="24"/>
          <w:szCs w:val="24"/>
        </w:rPr>
        <w:t xml:space="preserve"> </w:t>
      </w:r>
    </w:p>
    <w:p w14:paraId="15035900" w14:textId="77777777" w:rsidR="006A02A4" w:rsidRDefault="006A02A4" w:rsidP="000C4DF5">
      <w:pPr>
        <w:pStyle w:val="NoSpacing"/>
        <w:rPr>
          <w:rFonts w:ascii="Arial Black" w:hAnsi="Arial Black"/>
          <w:sz w:val="24"/>
          <w:szCs w:val="24"/>
        </w:rPr>
      </w:pPr>
    </w:p>
    <w:p w14:paraId="3084C9F6" w14:textId="7144B190" w:rsidR="0012739E" w:rsidRDefault="0012739E" w:rsidP="000C4DF5">
      <w:pPr>
        <w:pStyle w:val="NoSpacing"/>
        <w:rPr>
          <w:rFonts w:ascii="Times New Roman" w:hAnsi="Times New Roman"/>
          <w:b/>
          <w:bCs/>
          <w:sz w:val="24"/>
          <w:szCs w:val="24"/>
        </w:rPr>
      </w:pPr>
      <w:r w:rsidRPr="003C1643">
        <w:rPr>
          <w:rFonts w:ascii="Times New Roman" w:hAnsi="Times New Roman"/>
          <w:b/>
          <w:bCs/>
          <w:sz w:val="24"/>
          <w:szCs w:val="24"/>
        </w:rPr>
        <w:t>Legal Lesson Learned: Federal statute pre</w:t>
      </w:r>
      <w:r>
        <w:rPr>
          <w:rFonts w:ascii="Times New Roman" w:hAnsi="Times New Roman"/>
          <w:b/>
          <w:bCs/>
          <w:sz w:val="24"/>
          <w:szCs w:val="24"/>
        </w:rPr>
        <w:t>emption of</w:t>
      </w:r>
      <w:r w:rsidRPr="003C1643">
        <w:rPr>
          <w:rFonts w:ascii="Times New Roman" w:hAnsi="Times New Roman"/>
          <w:b/>
          <w:bCs/>
          <w:sz w:val="24"/>
          <w:szCs w:val="24"/>
        </w:rPr>
        <w:t xml:space="preserve"> City of Berkeley </w:t>
      </w:r>
      <w:r>
        <w:rPr>
          <w:rFonts w:ascii="Times New Roman" w:hAnsi="Times New Roman"/>
          <w:b/>
          <w:bCs/>
          <w:sz w:val="24"/>
          <w:szCs w:val="24"/>
        </w:rPr>
        <w:t>ordinance.</w:t>
      </w:r>
    </w:p>
    <w:p w14:paraId="217BD654" w14:textId="77777777" w:rsidR="0012739E" w:rsidRDefault="0012739E" w:rsidP="000C4DF5">
      <w:pPr>
        <w:pStyle w:val="NoSpacing"/>
        <w:rPr>
          <w:rFonts w:ascii="Times New Roman" w:hAnsi="Times New Roman"/>
          <w:b/>
          <w:bCs/>
          <w:sz w:val="24"/>
          <w:szCs w:val="24"/>
        </w:rPr>
      </w:pPr>
    </w:p>
    <w:p w14:paraId="161B0551" w14:textId="77777777" w:rsidR="0012739E" w:rsidRDefault="0012739E" w:rsidP="000C4DF5">
      <w:pPr>
        <w:pStyle w:val="NoSpacing"/>
        <w:rPr>
          <w:rFonts w:ascii="Times New Roman" w:hAnsi="Times New Roman"/>
          <w:b/>
          <w:bCs/>
          <w:sz w:val="24"/>
          <w:szCs w:val="24"/>
        </w:rPr>
      </w:pPr>
    </w:p>
    <w:p w14:paraId="2F9E4F87" w14:textId="7A9F113C" w:rsidR="0012739E" w:rsidRPr="0012739E" w:rsidRDefault="0012739E" w:rsidP="000C4DF5">
      <w:pPr>
        <w:pStyle w:val="NoSpacing"/>
        <w:rPr>
          <w:rFonts w:ascii="Arial Black" w:hAnsi="Arial Black"/>
          <w:b/>
          <w:bCs/>
          <w:sz w:val="24"/>
          <w:szCs w:val="24"/>
        </w:rPr>
      </w:pPr>
      <w:r w:rsidRPr="0012739E">
        <w:rPr>
          <w:rFonts w:ascii="Arial Black" w:hAnsi="Arial Black"/>
          <w:b/>
          <w:bCs/>
          <w:sz w:val="24"/>
          <w:szCs w:val="24"/>
        </w:rPr>
        <w:t>18-22</w:t>
      </w:r>
    </w:p>
    <w:p w14:paraId="1B4C2F75" w14:textId="77777777" w:rsidR="0012739E" w:rsidRDefault="0012739E" w:rsidP="000C4DF5">
      <w:pPr>
        <w:pStyle w:val="NoSpacing"/>
        <w:rPr>
          <w:rFonts w:ascii="Times New Roman" w:hAnsi="Times New Roman"/>
          <w:b/>
          <w:bCs/>
          <w:sz w:val="24"/>
          <w:szCs w:val="24"/>
        </w:rPr>
      </w:pPr>
    </w:p>
    <w:p w14:paraId="04F629B2" w14:textId="77777777" w:rsidR="0012739E" w:rsidRPr="0097436D" w:rsidRDefault="0012739E" w:rsidP="0012739E">
      <w:pPr>
        <w:pStyle w:val="NoSpacing"/>
        <w:rPr>
          <w:rFonts w:ascii="Arial Black" w:hAnsi="Arial Black"/>
          <w:sz w:val="28"/>
          <w:szCs w:val="28"/>
        </w:rPr>
      </w:pPr>
      <w:r w:rsidRPr="0097436D">
        <w:rPr>
          <w:rFonts w:ascii="Arial Black" w:hAnsi="Arial Black"/>
          <w:sz w:val="28"/>
          <w:szCs w:val="28"/>
        </w:rPr>
        <w:t>OH (4/6/2023) – VICTIM RIGHTS</w:t>
      </w:r>
      <w:r>
        <w:rPr>
          <w:rFonts w:ascii="Arial Black" w:hAnsi="Arial Black"/>
          <w:sz w:val="28"/>
          <w:szCs w:val="28"/>
        </w:rPr>
        <w:t xml:space="preserve"> </w:t>
      </w:r>
      <w:r w:rsidRPr="0097436D">
        <w:rPr>
          <w:rFonts w:ascii="Arial Black" w:hAnsi="Arial Black"/>
          <w:sz w:val="28"/>
          <w:szCs w:val="28"/>
        </w:rPr>
        <w:t>- HOUSE BILL 343 – NAMES / ADDRESSES NOT PUBLIC – NEW FORM FOR PD</w:t>
      </w:r>
      <w:r>
        <w:rPr>
          <w:rFonts w:ascii="Arial Black" w:hAnsi="Arial Black"/>
          <w:sz w:val="28"/>
          <w:szCs w:val="28"/>
        </w:rPr>
        <w:t xml:space="preserve"> TO USE</w:t>
      </w:r>
    </w:p>
    <w:p w14:paraId="72AA3447" w14:textId="77777777" w:rsidR="0012739E" w:rsidRPr="003C1643" w:rsidRDefault="0012739E" w:rsidP="0012739E">
      <w:pPr>
        <w:pStyle w:val="NoSpacing"/>
        <w:rPr>
          <w:rStyle w:val="markedcontent"/>
          <w:rFonts w:ascii="Times New Roman" w:hAnsi="Times New Roman"/>
          <w:sz w:val="24"/>
          <w:szCs w:val="24"/>
        </w:rPr>
      </w:pPr>
      <w:r w:rsidRPr="003C1643">
        <w:rPr>
          <w:rStyle w:val="markedcontent"/>
          <w:rFonts w:ascii="Times New Roman" w:hAnsi="Times New Roman"/>
          <w:sz w:val="24"/>
          <w:szCs w:val="24"/>
        </w:rPr>
        <w:t>“Entitles a victim and victim’s representative to be present during any public proceeding,</w:t>
      </w:r>
      <w:r w:rsidRPr="003C1643">
        <w:rPr>
          <w:rFonts w:ascii="Times New Roman" w:hAnsi="Times New Roman"/>
          <w:sz w:val="24"/>
          <w:szCs w:val="24"/>
        </w:rPr>
        <w:br/>
      </w:r>
      <w:r w:rsidRPr="003C1643">
        <w:rPr>
          <w:rStyle w:val="markedcontent"/>
          <w:rFonts w:ascii="Times New Roman" w:hAnsi="Times New Roman"/>
          <w:sz w:val="24"/>
          <w:szCs w:val="24"/>
        </w:rPr>
        <w:t>other than a grand jury proceeding, and grants the victim, victim’s representative, and</w:t>
      </w:r>
      <w:r w:rsidRPr="003C1643">
        <w:rPr>
          <w:rFonts w:ascii="Times New Roman" w:hAnsi="Times New Roman"/>
          <w:sz w:val="24"/>
          <w:szCs w:val="24"/>
        </w:rPr>
        <w:br/>
      </w:r>
      <w:r w:rsidRPr="003C1643">
        <w:rPr>
          <w:rStyle w:val="markedcontent"/>
          <w:rFonts w:ascii="Times New Roman" w:hAnsi="Times New Roman"/>
          <w:sz w:val="24"/>
          <w:szCs w:val="24"/>
        </w:rPr>
        <w:t>victim’s attorney the right to be heard by the court at any proceeding in which any right</w:t>
      </w:r>
      <w:r w:rsidRPr="003C1643">
        <w:rPr>
          <w:rFonts w:ascii="Times New Roman" w:hAnsi="Times New Roman"/>
          <w:sz w:val="24"/>
          <w:szCs w:val="24"/>
        </w:rPr>
        <w:br/>
      </w:r>
      <w:r w:rsidRPr="003C1643">
        <w:rPr>
          <w:rStyle w:val="markedcontent"/>
          <w:rFonts w:ascii="Times New Roman" w:hAnsi="Times New Roman"/>
          <w:sz w:val="24"/>
          <w:szCs w:val="24"/>
        </w:rPr>
        <w:t xml:space="preserve">of the victim is implicated. *** Requires that a victim’s name and identifying information be documented on a separate page in law enforcement records and court filings, which is not a public record. ***Requires the Supreme Court to create the victim’s rights request form. </w:t>
      </w:r>
      <w:hyperlink r:id="rId2807" w:history="1">
        <w:r w:rsidRPr="003C1643">
          <w:rPr>
            <w:rStyle w:val="Hyperlink"/>
            <w:rFonts w:ascii="Times New Roman" w:hAnsi="Times New Roman"/>
            <w:sz w:val="24"/>
            <w:szCs w:val="24"/>
          </w:rPr>
          <w:t>https://www.legislature.ohio.gov/download?key=20348&amp;format=pdf</w:t>
        </w:r>
      </w:hyperlink>
      <w:r w:rsidRPr="003C1643">
        <w:rPr>
          <w:rStyle w:val="markedcontent"/>
          <w:rFonts w:ascii="Times New Roman" w:hAnsi="Times New Roman"/>
          <w:sz w:val="24"/>
          <w:szCs w:val="24"/>
        </w:rPr>
        <w:t>.</w:t>
      </w:r>
    </w:p>
    <w:p w14:paraId="06A484DA" w14:textId="77777777" w:rsidR="0012739E" w:rsidRPr="003C1643" w:rsidRDefault="0012739E" w:rsidP="0012739E">
      <w:pPr>
        <w:pStyle w:val="NoSpacing"/>
        <w:rPr>
          <w:rStyle w:val="markedcontent"/>
          <w:rFonts w:ascii="Times New Roman" w:hAnsi="Times New Roman"/>
          <w:sz w:val="24"/>
          <w:szCs w:val="24"/>
        </w:rPr>
      </w:pPr>
    </w:p>
    <w:p w14:paraId="708958D0" w14:textId="77777777" w:rsidR="0012739E" w:rsidRPr="003C1643" w:rsidRDefault="0012739E" w:rsidP="0012739E">
      <w:pPr>
        <w:pStyle w:val="NoSpacing"/>
        <w:rPr>
          <w:rStyle w:val="markedcontent"/>
          <w:rFonts w:ascii="Times New Roman" w:hAnsi="Times New Roman"/>
          <w:b/>
          <w:bCs/>
          <w:sz w:val="24"/>
          <w:szCs w:val="24"/>
        </w:rPr>
      </w:pPr>
      <w:r w:rsidRPr="003C1643">
        <w:rPr>
          <w:rStyle w:val="markedcontent"/>
          <w:rFonts w:ascii="Times New Roman" w:hAnsi="Times New Roman"/>
          <w:b/>
          <w:bCs/>
          <w:sz w:val="24"/>
          <w:szCs w:val="24"/>
        </w:rPr>
        <w:t xml:space="preserve">Legal Lesson Learned: Ohio </w:t>
      </w:r>
      <w:proofErr w:type="gramStart"/>
      <w:r w:rsidRPr="003C1643">
        <w:rPr>
          <w:rStyle w:val="markedcontent"/>
          <w:rFonts w:ascii="Times New Roman" w:hAnsi="Times New Roman"/>
          <w:b/>
          <w:bCs/>
          <w:sz w:val="24"/>
          <w:szCs w:val="24"/>
        </w:rPr>
        <w:t>fire</w:t>
      </w:r>
      <w:proofErr w:type="gramEnd"/>
      <w:r w:rsidRPr="003C1643">
        <w:rPr>
          <w:rStyle w:val="markedcontent"/>
          <w:rFonts w:ascii="Times New Roman" w:hAnsi="Times New Roman"/>
          <w:b/>
          <w:bCs/>
          <w:sz w:val="24"/>
          <w:szCs w:val="24"/>
        </w:rPr>
        <w:t xml:space="preserve"> and EMS will deal with crime victims; </w:t>
      </w:r>
      <w:proofErr w:type="gramStart"/>
      <w:r w:rsidRPr="003C1643">
        <w:rPr>
          <w:rStyle w:val="markedcontent"/>
          <w:rFonts w:ascii="Times New Roman" w:hAnsi="Times New Roman"/>
          <w:b/>
          <w:bCs/>
          <w:sz w:val="24"/>
          <w:szCs w:val="24"/>
        </w:rPr>
        <w:t>important</w:t>
      </w:r>
      <w:proofErr w:type="gramEnd"/>
      <w:r w:rsidRPr="003C1643">
        <w:rPr>
          <w:rStyle w:val="markedcontent"/>
          <w:rFonts w:ascii="Times New Roman" w:hAnsi="Times New Roman"/>
          <w:b/>
          <w:bCs/>
          <w:sz w:val="24"/>
          <w:szCs w:val="24"/>
        </w:rPr>
        <w:t xml:space="preserve"> that they understand rights of the victims in the criminal system. </w:t>
      </w:r>
    </w:p>
    <w:p w14:paraId="6021178D" w14:textId="77777777" w:rsidR="0012739E" w:rsidRPr="003C1643" w:rsidRDefault="0012739E" w:rsidP="0012739E">
      <w:pPr>
        <w:pStyle w:val="NoSpacing"/>
        <w:rPr>
          <w:rStyle w:val="markedcontent"/>
          <w:rFonts w:ascii="Times New Roman" w:hAnsi="Times New Roman"/>
          <w:sz w:val="24"/>
          <w:szCs w:val="24"/>
        </w:rPr>
      </w:pPr>
    </w:p>
    <w:p w14:paraId="70915CF4" w14:textId="77777777" w:rsidR="0012739E" w:rsidRPr="003C1643" w:rsidRDefault="0012739E" w:rsidP="0012739E">
      <w:pPr>
        <w:pStyle w:val="NoSpacing"/>
        <w:ind w:left="720"/>
        <w:rPr>
          <w:rStyle w:val="markedcontent"/>
          <w:rFonts w:ascii="Times New Roman" w:hAnsi="Times New Roman"/>
          <w:sz w:val="24"/>
          <w:szCs w:val="24"/>
        </w:rPr>
      </w:pPr>
      <w:r w:rsidRPr="003C1643">
        <w:rPr>
          <w:rStyle w:val="markedcontent"/>
          <w:rFonts w:ascii="Times New Roman" w:hAnsi="Times New Roman"/>
          <w:sz w:val="24"/>
          <w:szCs w:val="24"/>
        </w:rPr>
        <w:t xml:space="preserve">Note:  See the new form to be used by PD: </w:t>
      </w:r>
      <w:hyperlink r:id="rId2808" w:history="1">
        <w:r w:rsidRPr="003C1643">
          <w:rPr>
            <w:rStyle w:val="Hyperlink"/>
            <w:rFonts w:ascii="Times New Roman" w:hAnsi="Times New Roman"/>
            <w:sz w:val="24"/>
            <w:szCs w:val="24"/>
          </w:rPr>
          <w:t>https://www.supremecourt.ohio.gov/marsy-s-law-and-crime-victim-rights/</w:t>
        </w:r>
      </w:hyperlink>
      <w:r w:rsidRPr="003C1643">
        <w:rPr>
          <w:rStyle w:val="markedcontent"/>
          <w:rFonts w:ascii="Times New Roman" w:hAnsi="Times New Roman"/>
          <w:sz w:val="24"/>
          <w:szCs w:val="24"/>
        </w:rPr>
        <w:t xml:space="preserve"> . </w:t>
      </w:r>
    </w:p>
    <w:p w14:paraId="13A7E997" w14:textId="77777777" w:rsidR="0012739E" w:rsidRPr="003C1643" w:rsidRDefault="0012739E" w:rsidP="0012739E">
      <w:pPr>
        <w:pStyle w:val="NoSpacing"/>
        <w:ind w:left="720"/>
        <w:rPr>
          <w:rStyle w:val="markedcontent"/>
          <w:rFonts w:ascii="Times New Roman" w:hAnsi="Times New Roman"/>
          <w:sz w:val="24"/>
          <w:szCs w:val="24"/>
        </w:rPr>
      </w:pPr>
    </w:p>
    <w:p w14:paraId="31009E85" w14:textId="77777777" w:rsidR="0012739E" w:rsidRDefault="0012739E" w:rsidP="000C4DF5">
      <w:pPr>
        <w:pStyle w:val="NoSpacing"/>
        <w:rPr>
          <w:rFonts w:ascii="Arial Black" w:hAnsi="Arial Black"/>
          <w:sz w:val="24"/>
          <w:szCs w:val="24"/>
        </w:rPr>
      </w:pPr>
    </w:p>
    <w:p w14:paraId="60092C3A" w14:textId="77777777" w:rsidR="006A02A4" w:rsidRDefault="006A02A4" w:rsidP="000C4DF5">
      <w:pPr>
        <w:pStyle w:val="NoSpacing"/>
        <w:rPr>
          <w:rFonts w:ascii="Arial Black" w:hAnsi="Arial Black"/>
          <w:sz w:val="24"/>
          <w:szCs w:val="24"/>
        </w:rPr>
      </w:pPr>
    </w:p>
    <w:p w14:paraId="251D368F" w14:textId="77777777" w:rsidR="006A02A4" w:rsidRDefault="006A02A4" w:rsidP="000C4DF5">
      <w:pPr>
        <w:pStyle w:val="NoSpacing"/>
        <w:rPr>
          <w:rFonts w:ascii="Arial Black" w:hAnsi="Arial Black"/>
          <w:sz w:val="24"/>
          <w:szCs w:val="24"/>
        </w:rPr>
      </w:pPr>
    </w:p>
    <w:p w14:paraId="5CEA81E4" w14:textId="5AF28676" w:rsidR="00804F3A" w:rsidRDefault="00804F3A" w:rsidP="000C4DF5">
      <w:pPr>
        <w:pStyle w:val="NoSpacing"/>
        <w:rPr>
          <w:rFonts w:ascii="Arial Black" w:hAnsi="Arial Black"/>
          <w:sz w:val="24"/>
          <w:szCs w:val="24"/>
        </w:rPr>
      </w:pPr>
      <w:r>
        <w:rPr>
          <w:rFonts w:ascii="Arial Black" w:hAnsi="Arial Black"/>
          <w:sz w:val="24"/>
          <w:szCs w:val="24"/>
        </w:rPr>
        <w:t>18-2</w:t>
      </w:r>
      <w:r w:rsidR="00465DC0">
        <w:rPr>
          <w:rFonts w:ascii="Arial Black" w:hAnsi="Arial Black"/>
          <w:sz w:val="24"/>
          <w:szCs w:val="24"/>
        </w:rPr>
        <w:t>1</w:t>
      </w:r>
    </w:p>
    <w:p w14:paraId="666748B9" w14:textId="77777777" w:rsidR="00804F3A" w:rsidRDefault="00804F3A" w:rsidP="00804F3A">
      <w:pPr>
        <w:pStyle w:val="NormalWeb"/>
        <w:rPr>
          <w:rStyle w:val="markedcontent"/>
          <w:rFonts w:ascii="Arial Black" w:hAnsi="Arial Black"/>
          <w:sz w:val="28"/>
          <w:szCs w:val="28"/>
        </w:rPr>
      </w:pPr>
      <w:r>
        <w:rPr>
          <w:rStyle w:val="markedcontent"/>
          <w:rFonts w:ascii="Arial Black" w:hAnsi="Arial Black"/>
          <w:sz w:val="28"/>
          <w:szCs w:val="28"/>
        </w:rPr>
        <w:t>FL: OVARIAN CANCER IN 2017 - FIVE YEARS AFTER HER RETIREMENT – NEW CANCER LAW 2019 NOT RETROACTIVE</w:t>
      </w:r>
    </w:p>
    <w:p w14:paraId="235DBC52" w14:textId="77777777" w:rsidR="00804F3A" w:rsidRDefault="00804F3A" w:rsidP="00804F3A">
      <w:pPr>
        <w:pStyle w:val="NormalWeb"/>
        <w:rPr>
          <w:rStyle w:val="markedcontent"/>
        </w:rPr>
      </w:pPr>
      <w:r>
        <w:rPr>
          <w:rStyle w:val="markedcontent"/>
        </w:rPr>
        <w:t xml:space="preserve">On Oct. 21, 2022, in </w:t>
      </w:r>
      <w:r w:rsidRPr="00AC460C">
        <w:rPr>
          <w:rStyle w:val="markedcontent"/>
        </w:rPr>
        <w:t>Kathleen Weaver v. Volusia County, Florida</w:t>
      </w:r>
      <w:r>
        <w:rPr>
          <w:rStyle w:val="markedcontent"/>
        </w:rPr>
        <w:t xml:space="preserve">, the Florida Court of Appeals, Fifth District, held (3 to 0) that the trial court properly held (3 to 0) that the new statute is not retroactive.  When she learned of her cancer in 2017 her only remedy was a workers’ comp claim, which would have required her to prove the </w:t>
      </w:r>
      <w:r>
        <w:rPr>
          <w:rStyle w:val="markedcontent"/>
        </w:rPr>
        <w:lastRenderedPageBreak/>
        <w:t xml:space="preserve">cancer was caused by her job.  She didn’t file such a claim and cannot now benefit from the new law creating a presumption that it was caused by the job.  </w:t>
      </w:r>
    </w:p>
    <w:p w14:paraId="018EC7F8" w14:textId="2B4F83A7" w:rsidR="00804F3A" w:rsidRDefault="00804F3A" w:rsidP="00FD581A">
      <w:pPr>
        <w:pStyle w:val="NoSpacing"/>
        <w:ind w:left="720"/>
        <w:rPr>
          <w:rStyle w:val="Hyperlink"/>
          <w:rFonts w:eastAsiaTheme="majorEastAsia"/>
        </w:rPr>
      </w:pPr>
      <w:r w:rsidRPr="00FD581A">
        <w:rPr>
          <w:rStyle w:val="markedcontent"/>
          <w:rFonts w:ascii="Times New Roman" w:hAnsi="Times New Roman"/>
          <w:sz w:val="24"/>
          <w:szCs w:val="24"/>
        </w:rPr>
        <w:t xml:space="preserve">“As a substantive law, section 112.1816 is presumed to apply prospectively unless the text ‘provides for retroactive application,’ and ‘such application is constitutionally permissible.’… For these reasons, we find that section 112.1816 is not retroactive and, thus, </w:t>
      </w:r>
      <w:proofErr w:type="gramStart"/>
      <w:r w:rsidRPr="00FD581A">
        <w:rPr>
          <w:rStyle w:val="markedcontent"/>
          <w:rFonts w:ascii="Times New Roman" w:hAnsi="Times New Roman"/>
          <w:sz w:val="24"/>
          <w:szCs w:val="24"/>
        </w:rPr>
        <w:t>affirm</w:t>
      </w:r>
      <w:proofErr w:type="gramEnd"/>
      <w:r w:rsidRPr="00FD581A">
        <w:rPr>
          <w:rStyle w:val="markedcontent"/>
          <w:rFonts w:ascii="Times New Roman" w:hAnsi="Times New Roman"/>
          <w:sz w:val="24"/>
          <w:szCs w:val="24"/>
        </w:rPr>
        <w:t xml:space="preserve"> </w:t>
      </w:r>
      <w:proofErr w:type="gramStart"/>
      <w:r w:rsidRPr="00FD581A">
        <w:rPr>
          <w:rStyle w:val="markedcontent"/>
          <w:rFonts w:ascii="Times New Roman" w:hAnsi="Times New Roman"/>
          <w:sz w:val="24"/>
          <w:szCs w:val="24"/>
        </w:rPr>
        <w:t>the trial</w:t>
      </w:r>
      <w:proofErr w:type="gramEnd"/>
      <w:r w:rsidRPr="00FD581A">
        <w:rPr>
          <w:rStyle w:val="markedcontent"/>
          <w:rFonts w:ascii="Times New Roman" w:hAnsi="Times New Roman"/>
          <w:sz w:val="24"/>
          <w:szCs w:val="24"/>
        </w:rPr>
        <w:t xml:space="preserve"> court’s order granting the County summary </w:t>
      </w:r>
      <w:proofErr w:type="gramStart"/>
      <w:r w:rsidRPr="00FD581A">
        <w:rPr>
          <w:rStyle w:val="markedcontent"/>
          <w:rFonts w:ascii="Times New Roman" w:hAnsi="Times New Roman"/>
          <w:sz w:val="24"/>
          <w:szCs w:val="24"/>
        </w:rPr>
        <w:t>judgment.”</w:t>
      </w:r>
      <w:proofErr w:type="gramEnd"/>
      <w:r>
        <w:rPr>
          <w:rStyle w:val="markedcontent"/>
        </w:rPr>
        <w:t xml:space="preserve"> </w:t>
      </w:r>
      <w:hyperlink r:id="rId2809" w:history="1">
        <w:r w:rsidRPr="007662E8">
          <w:rPr>
            <w:rStyle w:val="Hyperlink"/>
            <w:rFonts w:eastAsiaTheme="majorEastAsia"/>
          </w:rPr>
          <w:t>https://cases.justia.com/florida/fifth-district-court-of-appeal/2022-5d21-1620.pdf?ts=1666365198</w:t>
        </w:r>
      </w:hyperlink>
    </w:p>
    <w:p w14:paraId="247A75C9" w14:textId="09056AE0" w:rsidR="00804F3A" w:rsidRDefault="00804F3A" w:rsidP="00804F3A">
      <w:pPr>
        <w:pStyle w:val="NoSpacing"/>
        <w:rPr>
          <w:rStyle w:val="Hyperlink"/>
          <w:rFonts w:eastAsiaTheme="majorEastAsia"/>
        </w:rPr>
      </w:pPr>
    </w:p>
    <w:p w14:paraId="0639EC7B" w14:textId="77777777" w:rsidR="00804F3A" w:rsidRDefault="00804F3A" w:rsidP="00804F3A">
      <w:pPr>
        <w:pStyle w:val="NormalWeb"/>
        <w:rPr>
          <w:rStyle w:val="markedcontent"/>
          <w:b/>
          <w:bCs/>
        </w:rPr>
      </w:pPr>
      <w:r w:rsidRPr="00AC460C">
        <w:rPr>
          <w:rStyle w:val="markedcontent"/>
          <w:b/>
          <w:bCs/>
        </w:rPr>
        <w:t>Legal Lesson Learned:</w:t>
      </w:r>
      <w:r>
        <w:rPr>
          <w:rStyle w:val="markedcontent"/>
          <w:b/>
          <w:bCs/>
        </w:rPr>
        <w:t xml:space="preserve"> Firefighter cancer law very helpful; but State legislature did not make it retroactive. </w:t>
      </w:r>
    </w:p>
    <w:p w14:paraId="7C36102D" w14:textId="40741EDF" w:rsidR="00804F3A" w:rsidRDefault="00465DC0" w:rsidP="000C4DF5">
      <w:pPr>
        <w:pStyle w:val="NoSpacing"/>
        <w:rPr>
          <w:rFonts w:ascii="Arial Black" w:hAnsi="Arial Black"/>
          <w:sz w:val="24"/>
          <w:szCs w:val="24"/>
        </w:rPr>
      </w:pPr>
      <w:r>
        <w:rPr>
          <w:rFonts w:ascii="Arial Black" w:hAnsi="Arial Black"/>
          <w:sz w:val="24"/>
          <w:szCs w:val="24"/>
        </w:rPr>
        <w:t>18-20</w:t>
      </w:r>
    </w:p>
    <w:p w14:paraId="115FD39E" w14:textId="77777777" w:rsidR="00465DC0" w:rsidRPr="00BE4A62" w:rsidRDefault="00465DC0" w:rsidP="00465DC0">
      <w:pPr>
        <w:rPr>
          <w:rStyle w:val="markedcontent"/>
          <w:rFonts w:ascii="Arial Black" w:hAnsi="Arial Black"/>
          <w:b/>
          <w:bCs/>
          <w:sz w:val="28"/>
          <w:szCs w:val="28"/>
        </w:rPr>
      </w:pPr>
      <w:bookmarkStart w:id="655" w:name="_Hlk127705813"/>
      <w:r>
        <w:rPr>
          <w:rStyle w:val="markedcontent"/>
          <w:rFonts w:ascii="Arial Black" w:hAnsi="Arial Black"/>
          <w:b/>
          <w:bCs/>
          <w:sz w:val="28"/>
          <w:szCs w:val="28"/>
        </w:rPr>
        <w:t xml:space="preserve">OH: OHIO PUBLIC RECORDS ACT - DISPATCHER RESIDENCE / FAMILY INFO EXEMPTED FROM DISCLOSURE </w:t>
      </w:r>
    </w:p>
    <w:p w14:paraId="24462087" w14:textId="77777777" w:rsidR="00465DC0" w:rsidRPr="007C0020" w:rsidRDefault="00465DC0" w:rsidP="00465DC0">
      <w:pPr>
        <w:rPr>
          <w:rFonts w:ascii="Times New Roman" w:hAnsi="Times New Roman"/>
          <w:sz w:val="24"/>
          <w:szCs w:val="24"/>
        </w:rPr>
      </w:pPr>
      <w:r w:rsidRPr="007818B5">
        <w:rPr>
          <w:rFonts w:ascii="Times New Roman" w:hAnsi="Times New Roman"/>
          <w:sz w:val="24"/>
          <w:szCs w:val="24"/>
        </w:rPr>
        <w:t>On June 13, 2022, Governor Mike DeWine signed House Bill 99</w:t>
      </w:r>
      <w:r>
        <w:rPr>
          <w:rFonts w:ascii="Times New Roman" w:hAnsi="Times New Roman"/>
          <w:sz w:val="24"/>
          <w:szCs w:val="24"/>
        </w:rPr>
        <w:t xml:space="preserve">, allowing teachers to carry firearms.  In addition, the </w:t>
      </w:r>
      <w:r>
        <w:rPr>
          <w:rStyle w:val="markedcontent"/>
          <w:rFonts w:ascii="Times New Roman" w:hAnsi="Times New Roman"/>
          <w:sz w:val="24"/>
          <w:szCs w:val="24"/>
        </w:rPr>
        <w:t xml:space="preserve">Bill also expanded the list </w:t>
      </w:r>
      <w:r w:rsidRPr="00DF5D1F">
        <w:rPr>
          <w:rFonts w:ascii="Times New Roman" w:hAnsi="Times New Roman"/>
          <w:sz w:val="24"/>
          <w:szCs w:val="24"/>
        </w:rPr>
        <w:t>“public service workers</w:t>
      </w:r>
      <w:r>
        <w:rPr>
          <w:rFonts w:ascii="Times New Roman" w:hAnsi="Times New Roman"/>
          <w:sz w:val="24"/>
          <w:szCs w:val="24"/>
        </w:rPr>
        <w:t>” whose home addresses and other family information is exempt from release under Ohio Public Records law, including “t</w:t>
      </w:r>
      <w:r w:rsidRPr="007C0020">
        <w:rPr>
          <w:rFonts w:ascii="Times New Roman" w:hAnsi="Times New Roman"/>
          <w:sz w:val="24"/>
          <w:szCs w:val="24"/>
        </w:rPr>
        <w:t>he name, the residential address, the name of the employer, the address of the employer, the social security number, the residential telephone number, any bank account, debit card, charge card, or credit card number, or the emergency telephone number of the spouse, a former spouse, or any child of a designated public service worker</w:t>
      </w:r>
      <w:r>
        <w:rPr>
          <w:rFonts w:ascii="Times New Roman" w:hAnsi="Times New Roman"/>
          <w:sz w:val="24"/>
          <w:szCs w:val="24"/>
        </w:rPr>
        <w:t>.  Ohio Revised Code 149.43(A)(8)(f).</w:t>
      </w:r>
    </w:p>
    <w:p w14:paraId="315AA380" w14:textId="77777777" w:rsidR="00465DC0" w:rsidRDefault="00465DC0" w:rsidP="00465DC0">
      <w:pPr>
        <w:ind w:left="720"/>
        <w:rPr>
          <w:rFonts w:ascii="Times New Roman" w:hAnsi="Times New Roman"/>
          <w:sz w:val="24"/>
          <w:szCs w:val="24"/>
        </w:rPr>
      </w:pPr>
      <w:r w:rsidRPr="00DF5D1F">
        <w:rPr>
          <w:rFonts w:ascii="Times New Roman" w:hAnsi="Times New Roman"/>
          <w:sz w:val="24"/>
          <w:szCs w:val="24"/>
        </w:rPr>
        <w:t>The exemption now includes dispatchers (“emergency service telecommunicators”) and Ohio National Guard members, protective services workers, forensic mental health providers, mental health evaluation providers, and regional psychiatric hospital employees.</w:t>
      </w:r>
      <w:r>
        <w:rPr>
          <w:rFonts w:ascii="Times New Roman" w:hAnsi="Times New Roman"/>
          <w:sz w:val="24"/>
          <w:szCs w:val="24"/>
        </w:rPr>
        <w:t xml:space="preserve"> See Ohio Revised Code 149.43(A)(7):  </w:t>
      </w:r>
    </w:p>
    <w:p w14:paraId="7D3F31C6" w14:textId="77777777" w:rsidR="00465DC0" w:rsidRDefault="00465DC0" w:rsidP="00465DC0">
      <w:pPr>
        <w:ind w:left="1440"/>
        <w:rPr>
          <w:rFonts w:ascii="Times New Roman" w:hAnsi="Times New Roman"/>
          <w:sz w:val="24"/>
          <w:szCs w:val="24"/>
        </w:rPr>
      </w:pPr>
      <w:r w:rsidRPr="007C0020">
        <w:rPr>
          <w:rFonts w:ascii="Times New Roman" w:hAnsi="Times New Roman"/>
          <w:sz w:val="24"/>
          <w:szCs w:val="24"/>
        </w:rPr>
        <w:t>(7) "Designated public service worker" means a peace officer, parole officer, probation officer, bailiff, prosecuting attorney, assistant prosecuting attorney, correctional employee, county or multicounty corrections officer, community-based correctional facility employee, designated Ohio national guard member, protective services worker, youth services employee, firefighter, EMT, medical director or member of a cooperating physician advisory board of an emergency medical service organization, state board of pharmacy employee, investigator of the bureau of criminal identification and investigation, emergency service telecommunicator, forensic mental health provider, mental health evaluation provider, regional psychiatric hospital employee, judge, magistrate, or federal law enforcement officer.</w:t>
      </w:r>
      <w:r>
        <w:rPr>
          <w:rFonts w:ascii="Times New Roman" w:hAnsi="Times New Roman"/>
          <w:sz w:val="24"/>
          <w:szCs w:val="24"/>
        </w:rPr>
        <w:t xml:space="preserve"> </w:t>
      </w:r>
      <w:hyperlink r:id="rId2810" w:history="1">
        <w:r w:rsidRPr="006169C4">
          <w:rPr>
            <w:rStyle w:val="Hyperlink"/>
            <w:rFonts w:ascii="Times New Roman" w:hAnsi="Times New Roman"/>
            <w:sz w:val="24"/>
            <w:szCs w:val="24"/>
          </w:rPr>
          <w:t>https://codes.ohio.gov/ohio-revised-code/section-149.43</w:t>
        </w:r>
      </w:hyperlink>
      <w:r>
        <w:rPr>
          <w:rFonts w:ascii="Times New Roman" w:hAnsi="Times New Roman"/>
          <w:sz w:val="24"/>
          <w:szCs w:val="24"/>
        </w:rPr>
        <w:t xml:space="preserve"> </w:t>
      </w:r>
    </w:p>
    <w:p w14:paraId="7C6575AF" w14:textId="77777777" w:rsidR="00465DC0" w:rsidRPr="00E17E11" w:rsidRDefault="00465DC0" w:rsidP="00465DC0">
      <w:pPr>
        <w:rPr>
          <w:rFonts w:ascii="Times New Roman" w:hAnsi="Times New Roman"/>
          <w:b/>
          <w:bCs/>
          <w:sz w:val="24"/>
          <w:szCs w:val="24"/>
        </w:rPr>
      </w:pPr>
      <w:r w:rsidRPr="00E17E11">
        <w:rPr>
          <w:rFonts w:ascii="Times New Roman" w:hAnsi="Times New Roman"/>
          <w:b/>
          <w:bCs/>
          <w:sz w:val="24"/>
          <w:szCs w:val="24"/>
        </w:rPr>
        <w:t xml:space="preserve">Legal Lesson Learned: </w:t>
      </w:r>
      <w:r>
        <w:rPr>
          <w:rFonts w:ascii="Times New Roman" w:hAnsi="Times New Roman"/>
          <w:b/>
          <w:bCs/>
          <w:sz w:val="24"/>
          <w:szCs w:val="24"/>
        </w:rPr>
        <w:t xml:space="preserve">Ohio 911 Communication Centers should educate their staff on this new law. </w:t>
      </w:r>
    </w:p>
    <w:p w14:paraId="5B60A50C" w14:textId="77777777" w:rsidR="00465DC0" w:rsidRPr="00DF5D1F" w:rsidRDefault="00465DC0" w:rsidP="00465DC0">
      <w:pPr>
        <w:ind w:left="720"/>
        <w:rPr>
          <w:b/>
          <w:bCs/>
          <w:sz w:val="24"/>
          <w:szCs w:val="24"/>
        </w:rPr>
      </w:pPr>
      <w:r>
        <w:rPr>
          <w:rFonts w:ascii="Times New Roman" w:hAnsi="Times New Roman"/>
          <w:sz w:val="24"/>
          <w:szCs w:val="24"/>
        </w:rPr>
        <w:t xml:space="preserve">Note: See this article on the Bill. </w:t>
      </w:r>
      <w:hyperlink r:id="rId2811" w:history="1">
        <w:r w:rsidRPr="00B71FA0">
          <w:rPr>
            <w:rStyle w:val="Hyperlink"/>
            <w:rFonts w:ascii="Times New Roman" w:hAnsi="Times New Roman"/>
            <w:sz w:val="24"/>
            <w:szCs w:val="24"/>
          </w:rPr>
          <w:t>https://fisheldowney.com/new-changes-ohios-public-records-law-new-changes-ohios-public-records-law/</w:t>
        </w:r>
      </w:hyperlink>
      <w:r w:rsidRPr="00DF5D1F">
        <w:rPr>
          <w:rFonts w:ascii="Times New Roman" w:hAnsi="Times New Roman"/>
          <w:sz w:val="24"/>
          <w:szCs w:val="24"/>
        </w:rPr>
        <w:t xml:space="preserve"> </w:t>
      </w:r>
    </w:p>
    <w:p w14:paraId="25A89B8C" w14:textId="77777777" w:rsidR="00465DC0" w:rsidRDefault="00465DC0" w:rsidP="00465DC0">
      <w:pPr>
        <w:pStyle w:val="NormalWeb"/>
        <w:rPr>
          <w:b/>
          <w:bCs/>
        </w:rPr>
      </w:pPr>
    </w:p>
    <w:bookmarkEnd w:id="655"/>
    <w:p w14:paraId="41D1315F" w14:textId="77777777" w:rsidR="00465DC0" w:rsidRDefault="00465DC0" w:rsidP="000C4DF5">
      <w:pPr>
        <w:pStyle w:val="NoSpacing"/>
        <w:rPr>
          <w:rFonts w:ascii="Arial Black" w:hAnsi="Arial Black"/>
          <w:sz w:val="24"/>
          <w:szCs w:val="24"/>
        </w:rPr>
      </w:pPr>
    </w:p>
    <w:p w14:paraId="4E8A7C9D" w14:textId="77777777" w:rsidR="00804F3A" w:rsidRDefault="00804F3A" w:rsidP="000C4DF5">
      <w:pPr>
        <w:pStyle w:val="NoSpacing"/>
        <w:rPr>
          <w:rFonts w:ascii="Arial Black" w:hAnsi="Arial Black"/>
          <w:sz w:val="24"/>
          <w:szCs w:val="24"/>
        </w:rPr>
      </w:pPr>
    </w:p>
    <w:p w14:paraId="320C18F3" w14:textId="2B85FEBE" w:rsidR="00644810" w:rsidRDefault="00B73B03" w:rsidP="000C4DF5">
      <w:pPr>
        <w:pStyle w:val="NoSpacing"/>
        <w:rPr>
          <w:rFonts w:ascii="Arial Black" w:hAnsi="Arial Black"/>
          <w:sz w:val="24"/>
          <w:szCs w:val="24"/>
        </w:rPr>
      </w:pPr>
      <w:r>
        <w:rPr>
          <w:rFonts w:ascii="Arial Black" w:hAnsi="Arial Black"/>
          <w:sz w:val="24"/>
          <w:szCs w:val="24"/>
        </w:rPr>
        <w:t>18-19 [also filed, Chap. 7]</w:t>
      </w:r>
    </w:p>
    <w:p w14:paraId="421E4C14" w14:textId="77777777" w:rsidR="00B73B03" w:rsidRPr="00D61E07" w:rsidRDefault="00B73B03" w:rsidP="00B73B03">
      <w:pPr>
        <w:pStyle w:val="Heading1"/>
        <w:rPr>
          <w:rFonts w:ascii="Arial Black" w:hAnsi="Arial Black"/>
          <w:sz w:val="28"/>
          <w:szCs w:val="28"/>
        </w:rPr>
      </w:pPr>
      <w:r>
        <w:rPr>
          <w:rFonts w:ascii="Arial Black" w:hAnsi="Arial Black"/>
          <w:sz w:val="28"/>
          <w:szCs w:val="28"/>
        </w:rPr>
        <w:t>DC: SEXUAL HARASSMENT OR ASSAULT – NEW FEDERAL LAW - INVALID EMPLOYEE MANDATORY ARBITRATIONS</w:t>
      </w:r>
    </w:p>
    <w:p w14:paraId="1F597914" w14:textId="77777777" w:rsidR="00B73B03" w:rsidRPr="00D61E07" w:rsidRDefault="00B73B03" w:rsidP="00B7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On March 3, 2022, President Biden signed into law the “</w:t>
      </w:r>
      <w:r w:rsidRPr="00D61E07">
        <w:rPr>
          <w:rFonts w:ascii="Times New Roman" w:hAnsi="Times New Roman"/>
          <w:sz w:val="24"/>
          <w:szCs w:val="24"/>
        </w:rPr>
        <w:t>Ending Forced Arbitration of Sexual Assault and Sexual Harassment Act</w:t>
      </w:r>
      <w:r>
        <w:rPr>
          <w:rFonts w:ascii="Times New Roman" w:hAnsi="Times New Roman"/>
          <w:sz w:val="24"/>
          <w:szCs w:val="24"/>
        </w:rPr>
        <w:t xml:space="preserve">.”  The law amends the Federal Arbitration Act to prohibit mandatory arbitration of sexual harassment and sexual assault claims in arbitration agreements. </w:t>
      </w:r>
      <w:hyperlink r:id="rId2812" w:history="1">
        <w:r w:rsidRPr="005A2A16">
          <w:rPr>
            <w:rStyle w:val="Hyperlink"/>
            <w:rFonts w:ascii="Times New Roman" w:eastAsia="Times New Roman" w:hAnsi="Times New Roman"/>
            <w:sz w:val="24"/>
            <w:szCs w:val="24"/>
          </w:rPr>
          <w:t>https://www.congress.gov/bill/117th-congress/house-bill/4445/text</w:t>
        </w:r>
      </w:hyperlink>
    </w:p>
    <w:p w14:paraId="4686B7A0" w14:textId="77777777" w:rsidR="00B73B03" w:rsidRPr="00AD3667" w:rsidRDefault="00B73B03" w:rsidP="00B7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rPr>
      </w:pPr>
    </w:p>
    <w:p w14:paraId="393F5A47" w14:textId="77777777" w:rsidR="00B73B03" w:rsidRPr="00BC5C71" w:rsidRDefault="00B73B03" w:rsidP="00B73B03">
      <w:pPr>
        <w:pStyle w:val="ListParagraph"/>
        <w:numPr>
          <w:ilvl w:val="0"/>
          <w:numId w:val="15"/>
        </w:numPr>
        <w:tabs>
          <w:tab w:val="left" w:pos="916"/>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5C71">
        <w:rPr>
          <w:rFonts w:ascii="Times New Roman" w:eastAsia="Times New Roman" w:hAnsi="Times New Roman" w:cs="Times New Roman"/>
          <w:sz w:val="24"/>
          <w:szCs w:val="24"/>
        </w:rPr>
        <w:t xml:space="preserve">In General - Notwithstanding any other provision of this title, at the election of the person alleging conduct constituting a sexual harassment dispute or sexual assault dispute, or the named representative of a class or in a collective action alleging such conduct, no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arbitration agreement or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joint-action waiver shall be valid or enforceable with respect to a case which is filed under Federal, Tribal, or State law and relates to the sexual assault dispute or the sexual harassment dispute.</w:t>
      </w:r>
    </w:p>
    <w:p w14:paraId="4E7737E0" w14:textId="77777777" w:rsidR="00B73B03" w:rsidRDefault="00B73B03" w:rsidP="00B73B03">
      <w:pPr>
        <w:pStyle w:val="HTMLPreformatted"/>
        <w:jc w:val="both"/>
        <w:rPr>
          <w:rFonts w:ascii="Times New Roman" w:hAnsi="Times New Roman" w:cs="Times New Roman"/>
          <w:sz w:val="24"/>
          <w:szCs w:val="24"/>
        </w:rPr>
      </w:pPr>
    </w:p>
    <w:p w14:paraId="4EA75D4C" w14:textId="77777777" w:rsidR="00B73B03" w:rsidRPr="002D6970" w:rsidRDefault="00B73B03" w:rsidP="00B73B03">
      <w:pPr>
        <w:pStyle w:val="HTMLPreformatted"/>
        <w:numPr>
          <w:ilvl w:val="0"/>
          <w:numId w:val="15"/>
        </w:numPr>
        <w:jc w:val="both"/>
        <w:rPr>
          <w:rFonts w:ascii="Times New Roman" w:hAnsi="Times New Roman" w:cs="Times New Roman"/>
          <w:sz w:val="24"/>
          <w:szCs w:val="24"/>
        </w:rPr>
      </w:pPr>
      <w:r w:rsidRPr="002D6970">
        <w:rPr>
          <w:rFonts w:ascii="Times New Roman" w:hAnsi="Times New Roman" w:cs="Times New Roman"/>
          <w:sz w:val="24"/>
          <w:szCs w:val="24"/>
        </w:rPr>
        <w:t>Determination of Applicability. An issue as to whether this chapter applies with respect to a dispute shall be determined under Federal law. The applicability of this chapter to an agreement to arbitrate and the validity and enforceability of an agreement to which this chapter applies shall be determined by a court, rather than an arbitrator, irrespective of whether the party resisting arbitration challenges the arbitration agreement specifically or in conjunction with other terms of the contract containing such agreement, and irrespective of whether the agreement purports to delegate such determinations to an arbitrator.''</w:t>
      </w:r>
    </w:p>
    <w:p w14:paraId="05B30D0C" w14:textId="77777777" w:rsidR="00B73B03" w:rsidRPr="00D61E07" w:rsidRDefault="00B73B03" w:rsidP="00B7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sz w:val="24"/>
          <w:szCs w:val="24"/>
        </w:rPr>
      </w:pPr>
      <w:hyperlink r:id="rId2813" w:history="1">
        <w:r w:rsidRPr="005A2A16">
          <w:rPr>
            <w:rStyle w:val="Hyperlink"/>
            <w:rFonts w:ascii="Times New Roman" w:eastAsia="Times New Roman" w:hAnsi="Times New Roman"/>
            <w:sz w:val="24"/>
            <w:szCs w:val="24"/>
          </w:rPr>
          <w:t>https://www.congress.gov/bill/117th-congress/house-bill/4445/text</w:t>
        </w:r>
      </w:hyperlink>
    </w:p>
    <w:p w14:paraId="41083012" w14:textId="77777777" w:rsidR="00B73B03" w:rsidRDefault="00B73B03" w:rsidP="00B73B03">
      <w:pPr>
        <w:pStyle w:val="Heading1"/>
        <w:rPr>
          <w:sz w:val="24"/>
          <w:szCs w:val="24"/>
        </w:rPr>
      </w:pPr>
      <w:r w:rsidRPr="002D6970">
        <w:rPr>
          <w:sz w:val="24"/>
          <w:szCs w:val="24"/>
        </w:rPr>
        <w:t xml:space="preserve">Legal Lesson Learned: </w:t>
      </w:r>
      <w:r>
        <w:rPr>
          <w:sz w:val="24"/>
          <w:szCs w:val="24"/>
        </w:rPr>
        <w:t xml:space="preserve">Fire &amp; EMS departments should review their Employee Handbooks and other documents and remove any provision requiring arbitration for claims of sexual harassment or sexual assault. </w:t>
      </w:r>
    </w:p>
    <w:p w14:paraId="663EE00E" w14:textId="2493E0DD" w:rsidR="00B73B03" w:rsidRPr="00B73B03" w:rsidRDefault="00B73B03" w:rsidP="00465DC0">
      <w:pPr>
        <w:pStyle w:val="Heading1"/>
        <w:ind w:left="720"/>
        <w:rPr>
          <w:b w:val="0"/>
          <w:bCs w:val="0"/>
          <w:i/>
          <w:iCs/>
          <w:sz w:val="24"/>
          <w:szCs w:val="24"/>
        </w:rPr>
      </w:pPr>
      <w:r>
        <w:rPr>
          <w:b w:val="0"/>
          <w:bCs w:val="0"/>
          <w:sz w:val="24"/>
          <w:szCs w:val="24"/>
        </w:rPr>
        <w:t xml:space="preserve">Note:  </w:t>
      </w:r>
      <w:r w:rsidRPr="00B73B03">
        <w:rPr>
          <w:b w:val="0"/>
          <w:bCs w:val="0"/>
          <w:sz w:val="24"/>
          <w:szCs w:val="24"/>
        </w:rPr>
        <w:t xml:space="preserve">March 28, 2022: “Moving Away from Mandatory Arbitration Over Sexual Assault and Harassment Claims.” </w:t>
      </w:r>
      <w:hyperlink r:id="rId2814" w:history="1">
        <w:r w:rsidRPr="00B73B03">
          <w:rPr>
            <w:rStyle w:val="Hyperlink"/>
            <w:b w:val="0"/>
            <w:bCs w:val="0"/>
            <w:sz w:val="24"/>
            <w:szCs w:val="24"/>
          </w:rPr>
          <w:t>https://fisheldowney.com/moving-away-mandatory-arbitration-sexual-assault-harassment-claims/</w:t>
        </w:r>
      </w:hyperlink>
      <w:r w:rsidRPr="00B73B03">
        <w:rPr>
          <w:b w:val="0"/>
          <w:bCs w:val="0"/>
          <w:sz w:val="24"/>
          <w:szCs w:val="24"/>
        </w:rPr>
        <w:t xml:space="preserve"> </w:t>
      </w:r>
    </w:p>
    <w:p w14:paraId="1526613D" w14:textId="77777777" w:rsidR="00B73B03" w:rsidRPr="00AD3667" w:rsidRDefault="00B73B03" w:rsidP="00B73B03">
      <w:pPr>
        <w:pStyle w:val="Heading1"/>
        <w:ind w:left="1440"/>
        <w:rPr>
          <w:b w:val="0"/>
          <w:bCs w:val="0"/>
          <w:sz w:val="24"/>
          <w:szCs w:val="24"/>
        </w:rPr>
      </w:pPr>
      <w:r>
        <w:rPr>
          <w:b w:val="0"/>
          <w:bCs w:val="0"/>
          <w:sz w:val="24"/>
          <w:szCs w:val="24"/>
        </w:rPr>
        <w:t>“</w:t>
      </w:r>
      <w:r w:rsidRPr="00AD3667">
        <w:rPr>
          <w:b w:val="0"/>
          <w:bCs w:val="0"/>
          <w:sz w:val="24"/>
          <w:szCs w:val="24"/>
        </w:rPr>
        <w:t xml:space="preserve">Given these changes to the FAA, it is critical for employers to review their arbitration agreements and remove any language indicating sexual assault or harassment claims must be arbitrated. The existence of such provisions could invalidate the agreement </w:t>
      </w:r>
      <w:proofErr w:type="gramStart"/>
      <w:r w:rsidRPr="00AD3667">
        <w:rPr>
          <w:b w:val="0"/>
          <w:bCs w:val="0"/>
          <w:sz w:val="24"/>
          <w:szCs w:val="24"/>
        </w:rPr>
        <w:t>in whole</w:t>
      </w:r>
      <w:proofErr w:type="gramEnd"/>
      <w:r w:rsidRPr="00AD3667">
        <w:rPr>
          <w:b w:val="0"/>
          <w:bCs w:val="0"/>
          <w:sz w:val="24"/>
          <w:szCs w:val="24"/>
        </w:rPr>
        <w:t xml:space="preserve"> or in part. In addition to revising the arbitration agreement provisions in the employee handbook or collective bargaining agreement, employers should also tighten their procedures and requirements for investigating and reporting sexual harassment and assault to avoid liability. In terms of reporting procedures, employers should have clearly defined persons of contact for reporting.</w:t>
      </w:r>
      <w:r>
        <w:rPr>
          <w:b w:val="0"/>
          <w:bCs w:val="0"/>
          <w:sz w:val="24"/>
          <w:szCs w:val="24"/>
        </w:rPr>
        <w:t>”</w:t>
      </w:r>
    </w:p>
    <w:p w14:paraId="7C6D2711" w14:textId="77777777" w:rsidR="00B73B03" w:rsidRDefault="00B73B03" w:rsidP="00B73B03">
      <w:pPr>
        <w:pStyle w:val="Heading1"/>
        <w:ind w:left="720"/>
        <w:rPr>
          <w:b w:val="0"/>
          <w:bCs w:val="0"/>
          <w:sz w:val="24"/>
          <w:szCs w:val="24"/>
        </w:rPr>
      </w:pPr>
      <w:r w:rsidRPr="002D6970">
        <w:rPr>
          <w:b w:val="0"/>
          <w:bCs w:val="0"/>
          <w:sz w:val="24"/>
          <w:szCs w:val="24"/>
        </w:rPr>
        <w:t xml:space="preserve">March 3, 2022: “Biden signs bill to end forced arbitration in sexual harassment, assault cases.” </w:t>
      </w:r>
      <w:hyperlink r:id="rId2815" w:history="1">
        <w:r w:rsidRPr="005A2A16">
          <w:rPr>
            <w:rStyle w:val="Hyperlink"/>
            <w:rFonts w:eastAsiaTheme="majorEastAsia"/>
            <w:b w:val="0"/>
            <w:bCs w:val="0"/>
            <w:sz w:val="24"/>
            <w:szCs w:val="24"/>
          </w:rPr>
          <w:t>https://www.kktv.com/2022/03/03/biden-sign-bill-ending-forced-arbitration-sexual-harassment-assault-cases/</w:t>
        </w:r>
      </w:hyperlink>
    </w:p>
    <w:p w14:paraId="0280A314" w14:textId="77777777" w:rsidR="00B73B03" w:rsidRPr="002D6970" w:rsidRDefault="00B73B03" w:rsidP="00B73B03">
      <w:pPr>
        <w:pStyle w:val="Heading1"/>
        <w:ind w:left="1440"/>
        <w:rPr>
          <w:b w:val="0"/>
          <w:bCs w:val="0"/>
          <w:sz w:val="24"/>
          <w:szCs w:val="24"/>
        </w:rPr>
      </w:pPr>
      <w:r w:rsidRPr="00E42A32">
        <w:rPr>
          <w:b w:val="0"/>
          <w:bCs w:val="0"/>
          <w:sz w:val="24"/>
          <w:szCs w:val="24"/>
        </w:rPr>
        <w:t xml:space="preserve">The law is retroactive, freeing individuals who have been bound by </w:t>
      </w:r>
      <w:proofErr w:type="gramStart"/>
      <w:r w:rsidRPr="00E42A32">
        <w:rPr>
          <w:b w:val="0"/>
          <w:bCs w:val="0"/>
          <w:sz w:val="24"/>
          <w:szCs w:val="24"/>
        </w:rPr>
        <w:t>arbitration language</w:t>
      </w:r>
      <w:proofErr w:type="gramEnd"/>
      <w:r w:rsidRPr="00E42A32">
        <w:rPr>
          <w:b w:val="0"/>
          <w:bCs w:val="0"/>
          <w:sz w:val="24"/>
          <w:szCs w:val="24"/>
        </w:rPr>
        <w:t xml:space="preserve"> to pursue legal action against their harassers.</w:t>
      </w:r>
      <w:r>
        <w:rPr>
          <w:b w:val="0"/>
          <w:bCs w:val="0"/>
          <w:sz w:val="24"/>
          <w:szCs w:val="24"/>
        </w:rPr>
        <w:t xml:space="preserve"> </w:t>
      </w:r>
    </w:p>
    <w:p w14:paraId="4F3940D1" w14:textId="1BFCD8F6" w:rsidR="00B73B03" w:rsidRDefault="00B73B03" w:rsidP="00B73B03">
      <w:pPr>
        <w:pStyle w:val="NoSpacing"/>
        <w:rPr>
          <w:rFonts w:ascii="Arial Black" w:hAnsi="Arial Black"/>
          <w:sz w:val="24"/>
          <w:szCs w:val="24"/>
        </w:rPr>
      </w:pPr>
      <w:r>
        <w:rPr>
          <w:sz w:val="24"/>
          <w:szCs w:val="24"/>
        </w:rPr>
        <w:lastRenderedPageBreak/>
        <w:t>March 1, 2022: “</w:t>
      </w:r>
      <w:r w:rsidRPr="00E42A32">
        <w:rPr>
          <w:sz w:val="24"/>
          <w:szCs w:val="24"/>
        </w:rPr>
        <w:t xml:space="preserve">Congress Votes </w:t>
      </w:r>
      <w:proofErr w:type="gramStart"/>
      <w:r w:rsidRPr="00E42A32">
        <w:rPr>
          <w:sz w:val="24"/>
          <w:szCs w:val="24"/>
        </w:rPr>
        <w:t>To</w:t>
      </w:r>
      <w:proofErr w:type="gramEnd"/>
      <w:r w:rsidRPr="00E42A32">
        <w:rPr>
          <w:sz w:val="24"/>
          <w:szCs w:val="24"/>
        </w:rPr>
        <w:t xml:space="preserve"> End Mandatory Arbitration </w:t>
      </w:r>
      <w:proofErr w:type="gramStart"/>
      <w:r w:rsidRPr="00E42A32">
        <w:rPr>
          <w:sz w:val="24"/>
          <w:szCs w:val="24"/>
        </w:rPr>
        <w:t>Of</w:t>
      </w:r>
      <w:proofErr w:type="gramEnd"/>
      <w:r w:rsidRPr="00E42A32">
        <w:rPr>
          <w:sz w:val="24"/>
          <w:szCs w:val="24"/>
        </w:rPr>
        <w:t xml:space="preserve"> Sexual Assault </w:t>
      </w:r>
      <w:proofErr w:type="gramStart"/>
      <w:r w:rsidRPr="00E42A32">
        <w:rPr>
          <w:sz w:val="24"/>
          <w:szCs w:val="24"/>
        </w:rPr>
        <w:t>And</w:t>
      </w:r>
      <w:proofErr w:type="gramEnd"/>
      <w:r w:rsidRPr="00E42A32">
        <w:rPr>
          <w:sz w:val="24"/>
          <w:szCs w:val="24"/>
        </w:rPr>
        <w:t xml:space="preserve"> Sexual Harassment Claims</w:t>
      </w:r>
      <w:r>
        <w:rPr>
          <w:sz w:val="24"/>
          <w:szCs w:val="24"/>
        </w:rPr>
        <w:t xml:space="preserve">.: </w:t>
      </w:r>
      <w:hyperlink r:id="rId2816" w:history="1">
        <w:r w:rsidRPr="005A2A16">
          <w:rPr>
            <w:rStyle w:val="Hyperlink"/>
            <w:rFonts w:eastAsiaTheme="majorEastAsia"/>
            <w:sz w:val="24"/>
            <w:szCs w:val="24"/>
          </w:rPr>
          <w:t>https://www.natlawreview.com/article/congress-votes-to-end-mandatory-arbitration-sexual-assault-and-sexual-harassment</w:t>
        </w:r>
      </w:hyperlink>
    </w:p>
    <w:p w14:paraId="3FC99BC0" w14:textId="77777777" w:rsidR="00B73B03" w:rsidRDefault="00B73B03" w:rsidP="000C4DF5">
      <w:pPr>
        <w:pStyle w:val="NoSpacing"/>
        <w:rPr>
          <w:rFonts w:ascii="Arial Black" w:hAnsi="Arial Black"/>
          <w:sz w:val="24"/>
          <w:szCs w:val="24"/>
        </w:rPr>
      </w:pPr>
    </w:p>
    <w:p w14:paraId="37511724" w14:textId="77777777" w:rsidR="00B73B03" w:rsidRDefault="00B73B03" w:rsidP="000C4DF5">
      <w:pPr>
        <w:pStyle w:val="NoSpacing"/>
        <w:rPr>
          <w:rFonts w:ascii="Arial Black" w:hAnsi="Arial Black"/>
          <w:sz w:val="24"/>
          <w:szCs w:val="24"/>
        </w:rPr>
      </w:pPr>
    </w:p>
    <w:p w14:paraId="6AC1F989" w14:textId="3468E620" w:rsidR="00644810" w:rsidRDefault="00644810" w:rsidP="000C4DF5">
      <w:pPr>
        <w:pStyle w:val="NoSpacing"/>
        <w:rPr>
          <w:rFonts w:ascii="Arial Black" w:hAnsi="Arial Black"/>
          <w:sz w:val="24"/>
          <w:szCs w:val="24"/>
        </w:rPr>
      </w:pPr>
      <w:r>
        <w:rPr>
          <w:rFonts w:ascii="Arial Black" w:hAnsi="Arial Black"/>
          <w:sz w:val="24"/>
          <w:szCs w:val="24"/>
        </w:rPr>
        <w:t>18-18</w:t>
      </w:r>
    </w:p>
    <w:p w14:paraId="25DEB51C" w14:textId="1F357431" w:rsidR="00644810" w:rsidRDefault="00644810" w:rsidP="000C4DF5">
      <w:pPr>
        <w:pStyle w:val="NoSpacing"/>
        <w:rPr>
          <w:rFonts w:ascii="Arial Black" w:hAnsi="Arial Black"/>
          <w:sz w:val="24"/>
          <w:szCs w:val="24"/>
        </w:rPr>
      </w:pPr>
    </w:p>
    <w:p w14:paraId="6FD9BA3D" w14:textId="77777777" w:rsidR="00644810" w:rsidRPr="00F95E1F" w:rsidRDefault="00644810" w:rsidP="00644810">
      <w:pPr>
        <w:rPr>
          <w:rFonts w:ascii="Arial Black" w:hAnsi="Arial Black"/>
          <w:sz w:val="28"/>
          <w:szCs w:val="28"/>
        </w:rPr>
      </w:pPr>
      <w:r>
        <w:rPr>
          <w:rFonts w:ascii="Arial Black" w:hAnsi="Arial Black"/>
          <w:sz w:val="28"/>
          <w:szCs w:val="28"/>
        </w:rPr>
        <w:t xml:space="preserve">DC: NEW FED. LAW - DISABLED EMER. RESP. CAN GET PUB. SAFETY OFFICER BENEFITS WHILE PAID SIMPLE TASKS </w:t>
      </w:r>
    </w:p>
    <w:p w14:paraId="0ECA9699" w14:textId="77777777" w:rsidR="00644810" w:rsidRPr="00213018" w:rsidRDefault="00644810" w:rsidP="00644810">
      <w:pPr>
        <w:spacing w:after="225"/>
        <w:rPr>
          <w:rFonts w:ascii="Times New Roman" w:hAnsi="Times New Roman"/>
          <w:b/>
          <w:bCs/>
          <w:sz w:val="24"/>
          <w:szCs w:val="24"/>
        </w:rPr>
      </w:pPr>
      <w:r>
        <w:t xml:space="preserve"> </w:t>
      </w:r>
      <w:r w:rsidRPr="00213018">
        <w:rPr>
          <w:rFonts w:ascii="Times New Roman" w:hAnsi="Times New Roman"/>
          <w:sz w:val="24"/>
          <w:szCs w:val="24"/>
        </w:rPr>
        <w:t>On Dec. 4, 2021, President Biden signed into law the “P</w:t>
      </w:r>
      <w:r w:rsidRPr="00213018">
        <w:rPr>
          <w:rFonts w:ascii="Times New Roman" w:hAnsi="Times New Roman"/>
          <w:color w:val="000000"/>
          <w:sz w:val="24"/>
          <w:szCs w:val="24"/>
          <w:bdr w:val="none" w:sz="0" w:space="0" w:color="auto" w:frame="1"/>
        </w:rPr>
        <w:t xml:space="preserve">rotecting America’s First Responders Act of 2021” which assures that first responders and law enforcement have prompt access to federal benefits even if able to perform compensated work that is </w:t>
      </w:r>
      <w:r w:rsidRPr="00213018">
        <w:rPr>
          <w:rFonts w:ascii="Times New Roman" w:hAnsi="Times New Roman"/>
          <w:sz w:val="24"/>
          <w:szCs w:val="24"/>
        </w:rPr>
        <w:t xml:space="preserve">de minimis, nominal, honorary, or mere reimbursement of incidental expenses.  The two sponsors, Congressman Bill Pascrell, Jr. (D-NJ), and Senator Charles Grassley (R-IA), described the statute. </w:t>
      </w:r>
    </w:p>
    <w:p w14:paraId="60B73784" w14:textId="0D00165F" w:rsidR="00644810" w:rsidRDefault="00644810" w:rsidP="00644810">
      <w:pPr>
        <w:pStyle w:val="NoSpacing"/>
        <w:ind w:left="720"/>
        <w:rPr>
          <w:rFonts w:ascii="Arial Black" w:hAnsi="Arial Black"/>
          <w:sz w:val="24"/>
          <w:szCs w:val="24"/>
        </w:rPr>
      </w:pPr>
      <w:r w:rsidRPr="00213018">
        <w:rPr>
          <w:rFonts w:ascii="Times New Roman" w:hAnsi="Times New Roman"/>
          <w:sz w:val="24"/>
          <w:szCs w:val="24"/>
        </w:rPr>
        <w:t xml:space="preserve">“Currently, first responders permanently disabled in the line of duty are only eligible for Public Safety Officer Benefits (PSOB) if they can never again perform any compensated work. This high bar leaves behind far too many public safety officers. PAFRA corrects this by ensuring disabled first responders whose work is for therapeutic purposes, involves simple tasks, or provides special accommodations can still receive benefits. The bill also provides for retroactive disability benefits to public safety officers who responded to the September 11, </w:t>
      </w:r>
      <w:proofErr w:type="gramStart"/>
      <w:r w:rsidRPr="00213018">
        <w:rPr>
          <w:rFonts w:ascii="Times New Roman" w:hAnsi="Times New Roman"/>
          <w:sz w:val="24"/>
          <w:szCs w:val="24"/>
        </w:rPr>
        <w:t>2001</w:t>
      </w:r>
      <w:proofErr w:type="gramEnd"/>
      <w:r w:rsidRPr="00213018">
        <w:rPr>
          <w:rFonts w:ascii="Times New Roman" w:hAnsi="Times New Roman"/>
          <w:sz w:val="24"/>
          <w:szCs w:val="24"/>
        </w:rPr>
        <w:t xml:space="preserve"> terrorist attacks, allowing those first responders who became permanently disabled from their heroic work at Ground Zero to re-apply for disability benefits.” </w:t>
      </w:r>
      <w:hyperlink r:id="rId2817" w:history="1">
        <w:r w:rsidRPr="00EC5853">
          <w:rPr>
            <w:rStyle w:val="Hyperlink"/>
            <w:rFonts w:ascii="Times New Roman" w:hAnsi="Times New Roman"/>
            <w:sz w:val="24"/>
            <w:szCs w:val="24"/>
          </w:rPr>
          <w:t>https://pascrell.house.gov/news/documentsingle.aspx?DocumentID=4933</w:t>
        </w:r>
      </w:hyperlink>
    </w:p>
    <w:p w14:paraId="3ED66AC4" w14:textId="77777777" w:rsidR="00644810" w:rsidRDefault="00644810" w:rsidP="000C4DF5">
      <w:pPr>
        <w:pStyle w:val="NoSpacing"/>
        <w:rPr>
          <w:rFonts w:ascii="Arial Black" w:hAnsi="Arial Black"/>
          <w:sz w:val="24"/>
          <w:szCs w:val="24"/>
        </w:rPr>
      </w:pPr>
    </w:p>
    <w:p w14:paraId="59F964DE" w14:textId="77777777" w:rsidR="00644810" w:rsidRPr="00213018" w:rsidRDefault="00644810" w:rsidP="00644810">
      <w:pPr>
        <w:rPr>
          <w:rFonts w:ascii="Times New Roman" w:hAnsi="Times New Roman"/>
          <w:b/>
          <w:bCs/>
          <w:sz w:val="24"/>
          <w:szCs w:val="24"/>
        </w:rPr>
      </w:pPr>
      <w:r w:rsidRPr="00213018">
        <w:rPr>
          <w:rFonts w:ascii="Times New Roman" w:hAnsi="Times New Roman"/>
          <w:b/>
          <w:bCs/>
          <w:sz w:val="24"/>
          <w:szCs w:val="24"/>
        </w:rPr>
        <w:t>Legal Lesson Learned: Helpful statute.</w:t>
      </w:r>
    </w:p>
    <w:p w14:paraId="4F9F8DE9" w14:textId="77777777" w:rsidR="00644810" w:rsidRPr="00213018" w:rsidRDefault="00644810" w:rsidP="00644810">
      <w:pPr>
        <w:spacing w:after="225"/>
        <w:ind w:left="720"/>
        <w:rPr>
          <w:rFonts w:ascii="Times New Roman" w:hAnsi="Times New Roman"/>
          <w:b/>
          <w:bCs/>
          <w:sz w:val="24"/>
          <w:szCs w:val="24"/>
        </w:rPr>
      </w:pPr>
      <w:r w:rsidRPr="00213018">
        <w:rPr>
          <w:rFonts w:ascii="Times New Roman" w:hAnsi="Times New Roman"/>
          <w:sz w:val="24"/>
          <w:szCs w:val="24"/>
        </w:rPr>
        <w:t xml:space="preserve">Note: The two sponsors, Congressman Bill Pascrell, Jr. (D-NJ), and Senator Charles Grassley (R-IA), also described the increased   federal benefits.  </w:t>
      </w:r>
    </w:p>
    <w:p w14:paraId="7795D9BB" w14:textId="371407C0" w:rsidR="00644810" w:rsidRDefault="00644810" w:rsidP="00644810">
      <w:pPr>
        <w:pStyle w:val="NoSpacing"/>
        <w:ind w:left="1440"/>
        <w:rPr>
          <w:rFonts w:ascii="Arial Black" w:hAnsi="Arial Black"/>
          <w:sz w:val="24"/>
          <w:szCs w:val="24"/>
        </w:rPr>
      </w:pPr>
      <w:r w:rsidRPr="00213018">
        <w:rPr>
          <w:rFonts w:ascii="Times New Roman" w:hAnsi="Times New Roman"/>
          <w:sz w:val="24"/>
          <w:szCs w:val="24"/>
        </w:rPr>
        <w:t>“This bipartisan legislation was sponsored in the House (</w:t>
      </w:r>
      <w:hyperlink r:id="rId2818" w:history="1">
        <w:r w:rsidRPr="00213018">
          <w:rPr>
            <w:rFonts w:ascii="Times New Roman" w:hAnsi="Times New Roman"/>
            <w:sz w:val="24"/>
            <w:szCs w:val="24"/>
          </w:rPr>
          <w:t>H.R. 2936</w:t>
        </w:r>
      </w:hyperlink>
      <w:r w:rsidRPr="00213018">
        <w:rPr>
          <w:rFonts w:ascii="Times New Roman" w:hAnsi="Times New Roman"/>
          <w:sz w:val="24"/>
          <w:szCs w:val="24"/>
        </w:rPr>
        <w:t>) by Rep. Pascrell and in the Senate (</w:t>
      </w:r>
      <w:hyperlink r:id="rId2819" w:history="1">
        <w:r w:rsidRPr="00213018">
          <w:rPr>
            <w:rFonts w:ascii="Times New Roman" w:hAnsi="Times New Roman"/>
            <w:sz w:val="24"/>
            <w:szCs w:val="24"/>
          </w:rPr>
          <w:t>S. 1511</w:t>
        </w:r>
      </w:hyperlink>
      <w:r w:rsidRPr="00213018">
        <w:rPr>
          <w:rFonts w:ascii="Times New Roman" w:hAnsi="Times New Roman"/>
          <w:sz w:val="24"/>
          <w:szCs w:val="24"/>
        </w:rPr>
        <w:t xml:space="preserve">) by Sen. Grassley. PAFRA makes significant improvements to the Department of Justice’s (DOJ) Public Safety Officer Benefits (PSOB) program, which provides first responders who die or are permanently disabled in the line of duty with a federal benefit of $370,000 and education assistance of $1,200 a month to their children or spouse.” </w:t>
      </w:r>
      <w:hyperlink r:id="rId2820" w:history="1">
        <w:r w:rsidRPr="00EC5853">
          <w:rPr>
            <w:rStyle w:val="Hyperlink"/>
            <w:rFonts w:ascii="Times New Roman" w:hAnsi="Times New Roman"/>
            <w:sz w:val="24"/>
            <w:szCs w:val="24"/>
          </w:rPr>
          <w:t>https://pascrell.house.gov/news/documentsingle.aspx?DocumentID=4933</w:t>
        </w:r>
      </w:hyperlink>
    </w:p>
    <w:p w14:paraId="4BBE2483" w14:textId="588B9738" w:rsidR="00644810" w:rsidRDefault="00644810" w:rsidP="000C4DF5">
      <w:pPr>
        <w:pStyle w:val="NoSpacing"/>
        <w:rPr>
          <w:rFonts w:ascii="Arial Black" w:hAnsi="Arial Black"/>
          <w:sz w:val="24"/>
          <w:szCs w:val="24"/>
        </w:rPr>
      </w:pPr>
    </w:p>
    <w:p w14:paraId="7E35332E" w14:textId="77777777" w:rsidR="00644810" w:rsidRDefault="00644810" w:rsidP="000C4DF5">
      <w:pPr>
        <w:pStyle w:val="NoSpacing"/>
        <w:rPr>
          <w:rFonts w:ascii="Arial Black" w:hAnsi="Arial Black"/>
          <w:sz w:val="24"/>
          <w:szCs w:val="24"/>
        </w:rPr>
      </w:pPr>
    </w:p>
    <w:p w14:paraId="7BE0B5F2" w14:textId="42CAC289" w:rsidR="004B6144" w:rsidRDefault="004B6144" w:rsidP="000C4DF5">
      <w:pPr>
        <w:pStyle w:val="NoSpacing"/>
        <w:rPr>
          <w:rFonts w:ascii="Arial Black" w:hAnsi="Arial Black"/>
          <w:sz w:val="24"/>
          <w:szCs w:val="24"/>
        </w:rPr>
      </w:pPr>
      <w:r>
        <w:rPr>
          <w:rFonts w:ascii="Arial Black" w:hAnsi="Arial Black"/>
          <w:sz w:val="24"/>
          <w:szCs w:val="24"/>
        </w:rPr>
        <w:t>18-7</w:t>
      </w:r>
    </w:p>
    <w:p w14:paraId="7EDAD68E" w14:textId="77777777" w:rsidR="004B6144" w:rsidRPr="001E6223" w:rsidRDefault="004B6144" w:rsidP="004B6144">
      <w:pPr>
        <w:spacing w:before="100" w:beforeAutospacing="1" w:after="100" w:afterAutospacing="1" w:line="240" w:lineRule="auto"/>
        <w:rPr>
          <w:rFonts w:ascii="Arial Black" w:eastAsia="Times New Roman" w:hAnsi="Arial Black"/>
          <w:sz w:val="28"/>
          <w:szCs w:val="28"/>
        </w:rPr>
      </w:pPr>
      <w:r w:rsidRPr="001E6223">
        <w:rPr>
          <w:rFonts w:ascii="Arial Black" w:eastAsia="Times New Roman" w:hAnsi="Arial Black"/>
          <w:sz w:val="28"/>
          <w:szCs w:val="28"/>
        </w:rPr>
        <w:t>NY</w:t>
      </w:r>
      <w:r>
        <w:rPr>
          <w:rFonts w:ascii="Arial Black" w:eastAsia="Times New Roman" w:hAnsi="Arial Black"/>
          <w:sz w:val="28"/>
          <w:szCs w:val="28"/>
        </w:rPr>
        <w:t xml:space="preserve">: PUBLIC RECORDS – CITIZEN COMPLAINTS - NY LEGISLATURE REPEALED STATUTE – PROTECTED POLICE &amp; FIRE PERFORM. RECORDS </w:t>
      </w:r>
    </w:p>
    <w:p w14:paraId="2C65FF32" w14:textId="77777777" w:rsidR="004B6144" w:rsidRDefault="004B6144" w:rsidP="004B6144">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Oct. 9, 2020, in </w:t>
      </w:r>
      <w:r w:rsidRPr="007A5C5E">
        <w:rPr>
          <w:rFonts w:ascii="Times New Roman" w:eastAsia="Times New Roman" w:hAnsi="Times New Roman"/>
          <w:sz w:val="24"/>
          <w:szCs w:val="24"/>
          <w:u w:val="single"/>
        </w:rPr>
        <w:t>Buffalo Police Benevolent Association, Inc. and Buffalo Professional Firefighters Association, Inc. v. Byron W. Brown, Mayor of City of Buffalo</w:t>
      </w:r>
      <w:r>
        <w:rPr>
          <w:rFonts w:ascii="Times New Roman" w:eastAsia="Times New Roman" w:hAnsi="Times New Roman"/>
          <w:sz w:val="24"/>
          <w:szCs w:val="24"/>
        </w:rPr>
        <w:t xml:space="preserve">, Judge Frank A. Sedita III, Superior Court, Erie County, </w:t>
      </w:r>
      <w:r w:rsidRPr="007A5C5E">
        <w:rPr>
          <w:rFonts w:ascii="Times New Roman" w:hAnsi="Times New Roman"/>
          <w:sz w:val="24"/>
          <w:szCs w:val="24"/>
        </w:rPr>
        <w:t>2020 NY Slip Op 20257</w:t>
      </w:r>
      <w:r>
        <w:rPr>
          <w:rFonts w:ascii="Times New Roman" w:hAnsi="Times New Roman"/>
          <w:sz w:val="24"/>
          <w:szCs w:val="24"/>
        </w:rPr>
        <w:t xml:space="preserve">, while recognizing that many other professionals (including judges and </w:t>
      </w:r>
      <w:r>
        <w:rPr>
          <w:rFonts w:ascii="Times New Roman" w:hAnsi="Times New Roman"/>
          <w:sz w:val="24"/>
          <w:szCs w:val="24"/>
        </w:rPr>
        <w:lastRenderedPageBreak/>
        <w:t>attorneys) are protected from public disclosure of unfounded complaints, declined to declare the New York repeal a violation of State or U.S. Constitution.</w:t>
      </w:r>
    </w:p>
    <w:bookmarkEnd w:id="653"/>
    <w:p w14:paraId="5FFBF382" w14:textId="77777777" w:rsidR="004B6144" w:rsidRDefault="004B6144" w:rsidP="004B614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B42C1C">
        <w:rPr>
          <w:rFonts w:ascii="Times New Roman" w:hAnsi="Times New Roman"/>
          <w:sz w:val="24"/>
          <w:szCs w:val="24"/>
        </w:rPr>
        <w:t>§50-a of the NY Civil Rights Law (50-a) was repealed on June 12, 2020. Enacted in 1976, 50-a provided, in relevant part, that personnel records used to evaluate the performance of police officers and firefighters could not be publicly disclosed unless the officer/firefighter consented to it or a court ordered it.</w:t>
      </w:r>
    </w:p>
    <w:p w14:paraId="5FB9B3F7" w14:textId="77777777" w:rsidR="004B6144" w:rsidRDefault="004B6144" w:rsidP="004B614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723A0097" w14:textId="77777777" w:rsidR="004B6144" w:rsidRDefault="004B6144" w:rsidP="004B6144">
      <w:pPr>
        <w:spacing w:before="100" w:beforeAutospacing="1" w:after="100" w:afterAutospacing="1" w:line="240" w:lineRule="auto"/>
        <w:ind w:left="720"/>
        <w:rPr>
          <w:rFonts w:ascii="Times New Roman" w:eastAsia="Times New Roman" w:hAnsi="Times New Roman"/>
          <w:sz w:val="24"/>
          <w:szCs w:val="24"/>
        </w:rPr>
      </w:pPr>
      <w:r w:rsidRPr="00B42C1C">
        <w:rPr>
          <w:rFonts w:ascii="Times New Roman" w:eastAsia="Times New Roman" w:hAnsi="Times New Roman"/>
          <w:sz w:val="24"/>
          <w:szCs w:val="24"/>
        </w:rPr>
        <w:t>At the core of this case, is Petitioners' dismay that FOIL</w:t>
      </w:r>
      <w:r>
        <w:rPr>
          <w:rFonts w:ascii="Times New Roman" w:eastAsia="Times New Roman" w:hAnsi="Times New Roman"/>
          <w:sz w:val="24"/>
          <w:szCs w:val="24"/>
        </w:rPr>
        <w:t xml:space="preserve"> [Freedom of Information]</w:t>
      </w:r>
      <w:r w:rsidRPr="00B42C1C">
        <w:rPr>
          <w:rFonts w:ascii="Times New Roman" w:eastAsia="Times New Roman" w:hAnsi="Times New Roman"/>
          <w:sz w:val="24"/>
          <w:szCs w:val="24"/>
        </w:rPr>
        <w:t xml:space="preserve"> officers will release unfiltered information that serves not to inform but to defame, especially when revealed to those </w:t>
      </w:r>
      <w:proofErr w:type="gramStart"/>
      <w:r w:rsidRPr="00B42C1C">
        <w:rPr>
          <w:rFonts w:ascii="Times New Roman" w:eastAsia="Times New Roman" w:hAnsi="Times New Roman"/>
          <w:sz w:val="24"/>
          <w:szCs w:val="24"/>
        </w:rPr>
        <w:t>whom</w:t>
      </w:r>
      <w:proofErr w:type="gramEnd"/>
      <w:r w:rsidRPr="00B42C1C">
        <w:rPr>
          <w:rFonts w:ascii="Times New Roman" w:eastAsia="Times New Roman" w:hAnsi="Times New Roman"/>
          <w:sz w:val="24"/>
          <w:szCs w:val="24"/>
        </w:rPr>
        <w:t xml:space="preserve"> already view police officers with disdain. The prospect of such irreparable harm is viewed as especially inequitable given the fact that members of so many other occupations and professions — including lawyers and judges — are protected by statutes that prevent the disclosure of misconduct allegations made against them, unless and until they are </w:t>
      </w:r>
      <w:proofErr w:type="gramStart"/>
      <w:r w:rsidRPr="00B42C1C">
        <w:rPr>
          <w:rFonts w:ascii="Times New Roman" w:eastAsia="Times New Roman" w:hAnsi="Times New Roman"/>
          <w:sz w:val="24"/>
          <w:szCs w:val="24"/>
        </w:rPr>
        <w:t>actually proven</w:t>
      </w:r>
      <w:proofErr w:type="gramEnd"/>
      <w:r w:rsidRPr="00B42C1C">
        <w:rPr>
          <w:rFonts w:ascii="Times New Roman" w:eastAsia="Times New Roman" w:hAnsi="Times New Roman"/>
          <w:sz w:val="24"/>
          <w:szCs w:val="24"/>
        </w:rPr>
        <w:t xml:space="preserve"> to be true.</w:t>
      </w:r>
    </w:p>
    <w:p w14:paraId="36359658" w14:textId="77777777" w:rsidR="004B6144" w:rsidRPr="00B42C1C" w:rsidRDefault="004B6144" w:rsidP="004B6144">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7F7677B2" w14:textId="040CA905" w:rsidR="004B6144" w:rsidRDefault="004B6144" w:rsidP="004B6144">
      <w:pPr>
        <w:pStyle w:val="NoSpacing"/>
        <w:rPr>
          <w:rStyle w:val="Hyperlink"/>
          <w:rFonts w:ascii="Times New Roman" w:eastAsia="Times New Roman" w:hAnsi="Times New Roman"/>
          <w:sz w:val="24"/>
          <w:szCs w:val="24"/>
        </w:rPr>
      </w:pPr>
      <w:r>
        <w:rPr>
          <w:rFonts w:ascii="Times New Roman" w:eastAsia="Times New Roman" w:hAnsi="Times New Roman"/>
          <w:sz w:val="24"/>
          <w:szCs w:val="24"/>
        </w:rPr>
        <w:t>“</w:t>
      </w:r>
      <w:r w:rsidRPr="001E6223">
        <w:rPr>
          <w:rFonts w:ascii="Times New Roman" w:eastAsia="Times New Roman" w:hAnsi="Times New Roman"/>
          <w:sz w:val="24"/>
          <w:szCs w:val="24"/>
        </w:rPr>
        <w:t xml:space="preserve">What Petitioners essentially seek — a pre-emptive strike that will serve as a blanket prohibition on the release of </w:t>
      </w:r>
      <w:proofErr w:type="gramStart"/>
      <w:r w:rsidRPr="001E6223">
        <w:rPr>
          <w:rFonts w:ascii="Times New Roman" w:eastAsia="Times New Roman" w:hAnsi="Times New Roman"/>
          <w:sz w:val="24"/>
          <w:szCs w:val="24"/>
        </w:rPr>
        <w:t>any and all</w:t>
      </w:r>
      <w:proofErr w:type="gramEnd"/>
      <w:r w:rsidRPr="001E6223">
        <w:rPr>
          <w:rFonts w:ascii="Times New Roman" w:eastAsia="Times New Roman" w:hAnsi="Times New Roman"/>
          <w:sz w:val="24"/>
          <w:szCs w:val="24"/>
        </w:rPr>
        <w:t xml:space="preserve"> information regarding any complaint deemed </w:t>
      </w:r>
      <w:r>
        <w:rPr>
          <w:rFonts w:ascii="Times New Roman" w:eastAsia="Times New Roman" w:hAnsi="Times New Roman"/>
          <w:sz w:val="24"/>
          <w:szCs w:val="24"/>
        </w:rPr>
        <w:t>‘</w:t>
      </w:r>
      <w:r w:rsidRPr="001E6223">
        <w:rPr>
          <w:rFonts w:ascii="Times New Roman" w:eastAsia="Times New Roman" w:hAnsi="Times New Roman"/>
          <w:sz w:val="24"/>
          <w:szCs w:val="24"/>
        </w:rPr>
        <w:t>unsubstantiated</w:t>
      </w:r>
      <w:r>
        <w:rPr>
          <w:rFonts w:ascii="Times New Roman" w:eastAsia="Times New Roman" w:hAnsi="Times New Roman"/>
          <w:sz w:val="24"/>
          <w:szCs w:val="24"/>
        </w:rPr>
        <w:t>’</w:t>
      </w:r>
      <w:r w:rsidRPr="001E6223">
        <w:rPr>
          <w:rFonts w:ascii="Times New Roman" w:eastAsia="Times New Roman" w:hAnsi="Times New Roman"/>
          <w:sz w:val="24"/>
          <w:szCs w:val="24"/>
        </w:rPr>
        <w:t xml:space="preserve"> — is not merely drastic remedy, it is an inappropriate one. Petitioners advance no persuasive arguments as to why the controlling statutes violate due process, equal protection or any other provision of the Federal and State Constitutions.</w:t>
      </w:r>
      <w:r>
        <w:rPr>
          <w:rFonts w:ascii="Times New Roman" w:eastAsia="Times New Roman" w:hAnsi="Times New Roman"/>
          <w:sz w:val="24"/>
          <w:szCs w:val="24"/>
        </w:rPr>
        <w:t xml:space="preserve">” </w:t>
      </w:r>
      <w:hyperlink r:id="rId2821" w:history="1">
        <w:r w:rsidRPr="00C93B62">
          <w:rPr>
            <w:rStyle w:val="Hyperlink"/>
            <w:rFonts w:ascii="Times New Roman" w:eastAsia="Times New Roman" w:hAnsi="Times New Roman"/>
            <w:sz w:val="24"/>
            <w:szCs w:val="24"/>
          </w:rPr>
          <w:t>https://public.fastcase.com/Wl%2B2t%2BeVuI35%2FN70vAMFZlFt1LsN7FOv8IeLOLQpT2HmGMXcCWoYq2MigYjsxegu</w:t>
        </w:r>
      </w:hyperlink>
    </w:p>
    <w:p w14:paraId="74BCDF2F" w14:textId="0CCAFB06" w:rsidR="004B6144" w:rsidRDefault="004B6144" w:rsidP="004B6144">
      <w:pPr>
        <w:pStyle w:val="NoSpacing"/>
        <w:rPr>
          <w:rStyle w:val="Hyperlink"/>
          <w:rFonts w:ascii="Times New Roman" w:eastAsia="Times New Roman" w:hAnsi="Times New Roman"/>
          <w:sz w:val="24"/>
          <w:szCs w:val="24"/>
        </w:rPr>
      </w:pPr>
    </w:p>
    <w:p w14:paraId="201B9F77" w14:textId="77777777" w:rsidR="004B6144" w:rsidRDefault="004B6144" w:rsidP="004B6144">
      <w:pPr>
        <w:spacing w:before="100" w:beforeAutospacing="1" w:after="100" w:afterAutospacing="1" w:line="240" w:lineRule="auto"/>
        <w:rPr>
          <w:rFonts w:ascii="Times New Roman" w:hAnsi="Times New Roman"/>
          <w:b/>
          <w:bCs/>
          <w:sz w:val="24"/>
          <w:szCs w:val="24"/>
        </w:rPr>
      </w:pPr>
      <w:r w:rsidRPr="00C97C76">
        <w:rPr>
          <w:rFonts w:ascii="Times New Roman" w:hAnsi="Times New Roman"/>
          <w:b/>
          <w:bCs/>
          <w:sz w:val="24"/>
          <w:szCs w:val="24"/>
        </w:rPr>
        <w:t>Legal Lesson</w:t>
      </w:r>
      <w:r>
        <w:rPr>
          <w:rFonts w:ascii="Times New Roman" w:hAnsi="Times New Roman"/>
          <w:b/>
          <w:bCs/>
          <w:sz w:val="24"/>
          <w:szCs w:val="24"/>
        </w:rPr>
        <w:t xml:space="preserve"> </w:t>
      </w:r>
      <w:r w:rsidRPr="00C97C76">
        <w:rPr>
          <w:rFonts w:ascii="Times New Roman" w:hAnsi="Times New Roman"/>
          <w:b/>
          <w:bCs/>
          <w:sz w:val="24"/>
          <w:szCs w:val="24"/>
        </w:rPr>
        <w:t>Learned:</w:t>
      </w:r>
      <w:r>
        <w:rPr>
          <w:rFonts w:ascii="Times New Roman" w:hAnsi="Times New Roman"/>
          <w:b/>
          <w:bCs/>
          <w:sz w:val="24"/>
          <w:szCs w:val="24"/>
        </w:rPr>
        <w:t xml:space="preserve">  It is unfortunate to make mere complaints of misconduct “public records. </w:t>
      </w:r>
    </w:p>
    <w:p w14:paraId="5EC14AA8" w14:textId="77777777" w:rsidR="004B6144" w:rsidRDefault="004B6144" w:rsidP="004B6144">
      <w:pPr>
        <w:pStyle w:val="NormalWeb"/>
        <w:ind w:left="720"/>
      </w:pPr>
      <w:r w:rsidRPr="009C5E9D">
        <w:t xml:space="preserve">Note: </w:t>
      </w:r>
    </w:p>
    <w:p w14:paraId="3859F23D" w14:textId="77777777" w:rsidR="004B6144" w:rsidRPr="009C5E9D" w:rsidRDefault="004B6144" w:rsidP="004B6144">
      <w:pPr>
        <w:pStyle w:val="Heading1"/>
        <w:ind w:left="720"/>
        <w:rPr>
          <w:b w:val="0"/>
          <w:bCs w:val="0"/>
          <w:sz w:val="24"/>
          <w:szCs w:val="24"/>
        </w:rPr>
      </w:pPr>
      <w:r>
        <w:rPr>
          <w:b w:val="0"/>
          <w:bCs w:val="0"/>
          <w:sz w:val="24"/>
          <w:szCs w:val="24"/>
        </w:rPr>
        <w:t xml:space="preserve">See </w:t>
      </w:r>
      <w:r w:rsidRPr="009C5E9D">
        <w:rPr>
          <w:b w:val="0"/>
          <w:bCs w:val="0"/>
          <w:sz w:val="24"/>
          <w:szCs w:val="24"/>
        </w:rPr>
        <w:t xml:space="preserve">Aug. 20, </w:t>
      </w:r>
      <w:proofErr w:type="gramStart"/>
      <w:r w:rsidRPr="009C5E9D">
        <w:rPr>
          <w:b w:val="0"/>
          <w:bCs w:val="0"/>
          <w:sz w:val="24"/>
          <w:szCs w:val="24"/>
        </w:rPr>
        <w:t>2020</w:t>
      </w:r>
      <w:proofErr w:type="gramEnd"/>
      <w:r>
        <w:rPr>
          <w:b w:val="0"/>
          <w:bCs w:val="0"/>
          <w:sz w:val="24"/>
          <w:szCs w:val="24"/>
        </w:rPr>
        <w:t xml:space="preserve"> article: “</w:t>
      </w:r>
      <w:r w:rsidRPr="009C5E9D">
        <w:rPr>
          <w:b w:val="0"/>
          <w:bCs w:val="0"/>
          <w:sz w:val="24"/>
          <w:szCs w:val="24"/>
        </w:rPr>
        <w:t>323,911 Accusations of N.Y.P.D. Misconduct Are Released Online</w:t>
      </w:r>
      <w:r>
        <w:rPr>
          <w:b w:val="0"/>
          <w:bCs w:val="0"/>
          <w:sz w:val="24"/>
          <w:szCs w:val="24"/>
        </w:rPr>
        <w:t xml:space="preserve">.” </w:t>
      </w:r>
      <w:r w:rsidRPr="009C5E9D">
        <w:rPr>
          <w:b w:val="0"/>
          <w:bCs w:val="0"/>
          <w:sz w:val="24"/>
          <w:szCs w:val="24"/>
        </w:rPr>
        <w:t xml:space="preserve">The records had been sealed for decades, but last month, New York repealed a law keeping them secret after national </w:t>
      </w:r>
      <w:proofErr w:type="gramStart"/>
      <w:r w:rsidRPr="009C5E9D">
        <w:rPr>
          <w:b w:val="0"/>
          <w:bCs w:val="0"/>
          <w:sz w:val="24"/>
          <w:szCs w:val="24"/>
        </w:rPr>
        <w:t>protests against</w:t>
      </w:r>
      <w:proofErr w:type="gramEnd"/>
      <w:r w:rsidRPr="009C5E9D">
        <w:rPr>
          <w:b w:val="0"/>
          <w:bCs w:val="0"/>
          <w:sz w:val="24"/>
          <w:szCs w:val="24"/>
        </w:rPr>
        <w:t xml:space="preserve"> police brutality. </w:t>
      </w:r>
      <w:r>
        <w:rPr>
          <w:b w:val="0"/>
          <w:bCs w:val="0"/>
          <w:sz w:val="24"/>
          <w:szCs w:val="24"/>
        </w:rPr>
        <w:t xml:space="preserve">*** </w:t>
      </w:r>
      <w:r w:rsidRPr="009C5E9D">
        <w:rPr>
          <w:b w:val="0"/>
          <w:bCs w:val="0"/>
          <w:sz w:val="24"/>
          <w:szCs w:val="24"/>
        </w:rPr>
        <w:t xml:space="preserve">The complaints were published in an online database by the New York Civil Liberties Union, which obtained the records from the review board after state lawmakers </w:t>
      </w:r>
      <w:hyperlink r:id="rId2822" w:history="1">
        <w:r w:rsidRPr="009C5E9D">
          <w:rPr>
            <w:rStyle w:val="Hyperlink"/>
            <w:rFonts w:eastAsiaTheme="majorEastAsia"/>
            <w:b w:val="0"/>
            <w:bCs w:val="0"/>
            <w:sz w:val="24"/>
            <w:szCs w:val="24"/>
          </w:rPr>
          <w:t>repealed a law</w:t>
        </w:r>
      </w:hyperlink>
      <w:r w:rsidRPr="009C5E9D">
        <w:rPr>
          <w:b w:val="0"/>
          <w:bCs w:val="0"/>
          <w:sz w:val="24"/>
          <w:szCs w:val="24"/>
        </w:rPr>
        <w:t xml:space="preserve"> that had kept them secret.</w:t>
      </w:r>
      <w:bookmarkStart w:id="656" w:name="_Hlk66950954"/>
      <w:r w:rsidR="00F00958">
        <w:fldChar w:fldCharType="begin"/>
      </w:r>
      <w:r w:rsidR="00F00958">
        <w:instrText xml:space="preserve"> HYPERLINK "https://www.nytimes.com/2020/08/20/nyregion/nypd-ccrb-records-published.html" </w:instrText>
      </w:r>
      <w:r w:rsidR="00F00958">
        <w:fldChar w:fldCharType="separate"/>
      </w:r>
      <w:r w:rsidRPr="009C5E9D">
        <w:rPr>
          <w:rStyle w:val="Hyperlink"/>
          <w:b w:val="0"/>
          <w:bCs w:val="0"/>
          <w:sz w:val="24"/>
          <w:szCs w:val="24"/>
        </w:rPr>
        <w:t>https://www.nytimes.com/2020/08/20/nyregion/nypd-ccrb-records-published.html</w:t>
      </w:r>
      <w:r w:rsidR="00F00958">
        <w:rPr>
          <w:rStyle w:val="Hyperlink"/>
          <w:b w:val="0"/>
          <w:bCs w:val="0"/>
          <w:sz w:val="24"/>
          <w:szCs w:val="24"/>
        </w:rPr>
        <w:fldChar w:fldCharType="end"/>
      </w:r>
      <w:r w:rsidRPr="009C5E9D">
        <w:rPr>
          <w:b w:val="0"/>
          <w:bCs w:val="0"/>
          <w:sz w:val="24"/>
          <w:szCs w:val="24"/>
        </w:rPr>
        <w:t xml:space="preserve"> </w:t>
      </w:r>
    </w:p>
    <w:bookmarkEnd w:id="656"/>
    <w:p w14:paraId="6DAED484" w14:textId="77777777" w:rsidR="004B6144" w:rsidRPr="00C97C76" w:rsidRDefault="004B6144" w:rsidP="004B6144">
      <w:pPr>
        <w:pStyle w:val="NormalWeb"/>
        <w:ind w:left="720"/>
      </w:pPr>
      <w:r>
        <w:t xml:space="preserve">See review of state statutes on police disciplinary records.  </w:t>
      </w:r>
      <w:r w:rsidRPr="009C5E9D">
        <w:t xml:space="preserve">In </w:t>
      </w:r>
      <w:r>
        <w:t xml:space="preserve">12 </w:t>
      </w:r>
      <w:r w:rsidRPr="009C5E9D">
        <w:t>states where</w:t>
      </w:r>
      <w:r>
        <w:rPr>
          <w:b/>
          <w:bCs/>
        </w:rPr>
        <w:t xml:space="preserve"> “</w:t>
      </w:r>
      <w:r w:rsidRPr="00C97C76">
        <w:t>police disciplinary records are generally available to the public.</w:t>
      </w:r>
      <w:r>
        <w:t xml:space="preserve"> </w:t>
      </w:r>
      <w:r w:rsidRPr="00C97C76">
        <w:t>Many of these states still make records of unsubstantiated complaints or active investigations confidential.</w:t>
      </w:r>
      <w:r>
        <w:t xml:space="preserve">”  </w:t>
      </w:r>
      <w:hyperlink r:id="rId2823" w:history="1">
        <w:r w:rsidRPr="00C93B62">
          <w:rPr>
            <w:rStyle w:val="Hyperlink"/>
          </w:rPr>
          <w:t>https://project.wnyc.org/disciplinary-records/</w:t>
        </w:r>
      </w:hyperlink>
      <w:r>
        <w:t xml:space="preserve"> </w:t>
      </w:r>
    </w:p>
    <w:p w14:paraId="620CCCDA" w14:textId="77777777" w:rsidR="004B6144" w:rsidRDefault="004B6144" w:rsidP="004B6144">
      <w:pPr>
        <w:pStyle w:val="NoSpacing"/>
        <w:rPr>
          <w:rFonts w:ascii="Arial Black" w:hAnsi="Arial Black"/>
          <w:sz w:val="24"/>
          <w:szCs w:val="24"/>
        </w:rPr>
      </w:pPr>
    </w:p>
    <w:p w14:paraId="7D6C40AE" w14:textId="77777777" w:rsidR="004B6144" w:rsidRDefault="004B6144" w:rsidP="000C4DF5">
      <w:pPr>
        <w:pStyle w:val="NoSpacing"/>
        <w:rPr>
          <w:rFonts w:ascii="Arial Black" w:hAnsi="Arial Black"/>
          <w:sz w:val="24"/>
          <w:szCs w:val="24"/>
        </w:rPr>
      </w:pPr>
    </w:p>
    <w:p w14:paraId="4224944C" w14:textId="76B0F321" w:rsidR="00B532F6" w:rsidRDefault="00B532F6" w:rsidP="000C4DF5">
      <w:pPr>
        <w:pStyle w:val="NoSpacing"/>
        <w:rPr>
          <w:rFonts w:ascii="Arial Black" w:hAnsi="Arial Black"/>
          <w:sz w:val="24"/>
          <w:szCs w:val="24"/>
        </w:rPr>
      </w:pPr>
      <w:r>
        <w:rPr>
          <w:rFonts w:ascii="Arial Black" w:hAnsi="Arial Black"/>
          <w:sz w:val="24"/>
          <w:szCs w:val="24"/>
        </w:rPr>
        <w:t xml:space="preserve">18-6 </w:t>
      </w:r>
      <w:r w:rsidRPr="00695AE8">
        <w:rPr>
          <w:rFonts w:ascii="Times New Roman" w:hAnsi="Times New Roman"/>
          <w:sz w:val="24"/>
          <w:szCs w:val="24"/>
        </w:rPr>
        <w:t>[also filed, Chap. 13]</w:t>
      </w:r>
    </w:p>
    <w:p w14:paraId="58DC4A87" w14:textId="77777777" w:rsidR="00B532F6" w:rsidRDefault="00B532F6" w:rsidP="000C4DF5">
      <w:pPr>
        <w:pStyle w:val="NoSpacing"/>
        <w:rPr>
          <w:rFonts w:ascii="Arial Black" w:hAnsi="Arial Black"/>
          <w:sz w:val="24"/>
          <w:szCs w:val="24"/>
        </w:rPr>
      </w:pPr>
    </w:p>
    <w:p w14:paraId="4A05D0B4" w14:textId="77777777" w:rsidR="00B532F6" w:rsidRPr="004D5BFC" w:rsidRDefault="00B532F6" w:rsidP="00B532F6">
      <w:pPr>
        <w:rPr>
          <w:rFonts w:ascii="Arial Black" w:hAnsi="Arial Black"/>
          <w:sz w:val="28"/>
          <w:szCs w:val="28"/>
        </w:rPr>
      </w:pPr>
      <w:r>
        <w:rPr>
          <w:rFonts w:ascii="Arial Black" w:hAnsi="Arial Black"/>
          <w:sz w:val="28"/>
          <w:szCs w:val="28"/>
        </w:rPr>
        <w:t xml:space="preserve">OH:  TEMPORARY IMMUNITY DURING COVID-19 PANDEMIC – EMERGENCY RESPONDERS, SCHOOLS PROTECTED TORT LIABILITY  </w:t>
      </w:r>
    </w:p>
    <w:p w14:paraId="5C246806" w14:textId="77777777" w:rsidR="00B532F6" w:rsidRPr="00820E9C" w:rsidRDefault="00B532F6" w:rsidP="00B532F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On Sept. 14, 2020, Ohio Governor Mike DeWine signed House Bill 606 into law.  </w:t>
      </w:r>
      <w:r w:rsidRPr="00820E9C">
        <w:rPr>
          <w:rFonts w:ascii="Times New Roman" w:hAnsi="Times New Roman"/>
          <w:sz w:val="24"/>
          <w:szCs w:val="24"/>
        </w:rPr>
        <w:t xml:space="preserve">“The bill ensures civil immunity to individuals, schools, health care providers, businesses and other entities from lawsuits arising from exposure, transmission or contraction of COVID-19, or any mutation of the virus, </w:t>
      </w:r>
      <w:proofErr w:type="gramStart"/>
      <w:r w:rsidRPr="00820E9C">
        <w:rPr>
          <w:rFonts w:ascii="Times New Roman" w:hAnsi="Times New Roman"/>
          <w:sz w:val="24"/>
          <w:szCs w:val="24"/>
        </w:rPr>
        <w:t>as long as</w:t>
      </w:r>
      <w:proofErr w:type="gramEnd"/>
      <w:r w:rsidRPr="00820E9C">
        <w:rPr>
          <w:rFonts w:ascii="Times New Roman" w:hAnsi="Times New Roman"/>
          <w:sz w:val="24"/>
          <w:szCs w:val="24"/>
        </w:rPr>
        <w:t xml:space="preserve"> they were not showing reckless, intentional or willful misconduct. It also shields health care providers from liability in tort actions regarding the care and services they provide during this pandemic unless they were acting recklessly or displaying intentional </w:t>
      </w:r>
      <w:proofErr w:type="gramStart"/>
      <w:r w:rsidRPr="00820E9C">
        <w:rPr>
          <w:rFonts w:ascii="Times New Roman" w:hAnsi="Times New Roman"/>
          <w:sz w:val="24"/>
          <w:szCs w:val="24"/>
        </w:rPr>
        <w:t>misconduct.</w:t>
      </w:r>
      <w:r>
        <w:rPr>
          <w:rFonts w:ascii="Times New Roman" w:hAnsi="Times New Roman"/>
          <w:sz w:val="24"/>
          <w:szCs w:val="24"/>
        </w:rPr>
        <w:t>”</w:t>
      </w:r>
      <w:proofErr w:type="gramEnd"/>
      <w:r w:rsidRPr="00820E9C">
        <w:rPr>
          <w:rFonts w:ascii="Times New Roman" w:hAnsi="Times New Roman"/>
          <w:sz w:val="24"/>
          <w:szCs w:val="24"/>
        </w:rPr>
        <w:t xml:space="preserve"> </w:t>
      </w:r>
      <w:hyperlink r:id="rId2824" w:history="1">
        <w:r w:rsidRPr="00EA25E1">
          <w:rPr>
            <w:rStyle w:val="Hyperlink"/>
            <w:rFonts w:ascii="Times New Roman" w:hAnsi="Times New Roman"/>
            <w:sz w:val="24"/>
            <w:szCs w:val="24"/>
          </w:rPr>
          <w:t>https://www.wkbn.com/news/coronavirus/dewine-signs-law-giving-covid-19-lawsuit-immunity/</w:t>
        </w:r>
      </w:hyperlink>
      <w:r>
        <w:rPr>
          <w:rFonts w:ascii="Times New Roman" w:hAnsi="Times New Roman"/>
          <w:sz w:val="24"/>
          <w:szCs w:val="24"/>
        </w:rPr>
        <w:t xml:space="preserve">  This will be particularly helpful to FDs that host paramedic and EMS students needing “ride time” for their certifications. See the statute: </w:t>
      </w:r>
      <w:hyperlink r:id="rId2825" w:history="1">
        <w:r w:rsidRPr="00EA25E1">
          <w:rPr>
            <w:rStyle w:val="Hyperlink"/>
            <w:rFonts w:ascii="Times New Roman" w:hAnsi="Times New Roman"/>
            <w:sz w:val="24"/>
            <w:szCs w:val="24"/>
          </w:rPr>
          <w:t>https://www.hannah.com/ShowDocument.aspx?BTextID=219206</w:t>
        </w:r>
      </w:hyperlink>
      <w:r>
        <w:rPr>
          <w:rFonts w:ascii="Times New Roman" w:hAnsi="Times New Roman"/>
          <w:sz w:val="24"/>
          <w:szCs w:val="24"/>
        </w:rPr>
        <w:t xml:space="preserve"> </w:t>
      </w:r>
    </w:p>
    <w:p w14:paraId="7BB797D3" w14:textId="77777777" w:rsidR="00B532F6" w:rsidRDefault="00B532F6" w:rsidP="00B532F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statute is an excellent example of legislation providing immunity from tort liability during the pandemic for those serving others, including emergency responders.  </w:t>
      </w:r>
    </w:p>
    <w:p w14:paraId="4D487E33" w14:textId="77777777" w:rsidR="00B532F6" w:rsidRPr="00E85202" w:rsidRDefault="00B532F6" w:rsidP="00B532F6">
      <w:pPr>
        <w:spacing w:before="100" w:beforeAutospacing="1" w:after="100" w:afterAutospacing="1" w:line="240" w:lineRule="auto"/>
        <w:ind w:left="720"/>
        <w:rPr>
          <w:rFonts w:ascii="Times New Roman" w:eastAsia="Times New Roman" w:hAnsi="Times New Roman"/>
          <w:sz w:val="24"/>
          <w:szCs w:val="24"/>
        </w:rPr>
      </w:pPr>
      <w:r w:rsidRPr="00E85202">
        <w:rPr>
          <w:rFonts w:ascii="Times New Roman" w:eastAsia="Times New Roman" w:hAnsi="Times New Roman"/>
          <w:sz w:val="24"/>
          <w:szCs w:val="24"/>
        </w:rPr>
        <w:t xml:space="preserve">Note: See legislative history: </w:t>
      </w:r>
      <w:hyperlink r:id="rId2826" w:history="1">
        <w:r w:rsidRPr="00EA25E1">
          <w:rPr>
            <w:rStyle w:val="Hyperlink"/>
            <w:rFonts w:ascii="Times New Roman" w:eastAsia="Times New Roman" w:hAnsi="Times New Roman"/>
            <w:sz w:val="24"/>
            <w:szCs w:val="24"/>
          </w:rPr>
          <w:t>https://www.legislature.ohio.gov/legislation/legislation-documents?id=GA133-HB-606</w:t>
        </w:r>
      </w:hyperlink>
      <w:r w:rsidRPr="00E85202">
        <w:rPr>
          <w:rFonts w:ascii="Times New Roman" w:eastAsia="Times New Roman" w:hAnsi="Times New Roman"/>
          <w:sz w:val="24"/>
          <w:szCs w:val="24"/>
        </w:rPr>
        <w:t xml:space="preserve"> </w:t>
      </w:r>
    </w:p>
    <w:p w14:paraId="711E50CD" w14:textId="77777777" w:rsidR="00B532F6" w:rsidRDefault="00B532F6" w:rsidP="00B532F6">
      <w:pPr>
        <w:rPr>
          <w:rFonts w:ascii="Arial Black" w:hAnsi="Arial Black"/>
          <w:b/>
          <w:bCs/>
          <w:sz w:val="28"/>
          <w:szCs w:val="28"/>
        </w:rPr>
      </w:pPr>
    </w:p>
    <w:p w14:paraId="43F5DC00" w14:textId="77777777" w:rsidR="00B532F6" w:rsidRDefault="00B532F6" w:rsidP="000C4DF5">
      <w:pPr>
        <w:pStyle w:val="NoSpacing"/>
        <w:rPr>
          <w:rFonts w:ascii="Arial Black" w:hAnsi="Arial Black"/>
          <w:sz w:val="24"/>
          <w:szCs w:val="24"/>
        </w:rPr>
      </w:pPr>
    </w:p>
    <w:p w14:paraId="66279F45" w14:textId="77777777" w:rsidR="00B532F6" w:rsidRDefault="00B532F6" w:rsidP="000C4DF5">
      <w:pPr>
        <w:pStyle w:val="NoSpacing"/>
        <w:rPr>
          <w:rFonts w:ascii="Arial Black" w:hAnsi="Arial Black"/>
          <w:sz w:val="24"/>
          <w:szCs w:val="24"/>
        </w:rPr>
      </w:pPr>
    </w:p>
    <w:p w14:paraId="545E9CDF" w14:textId="1059F563" w:rsidR="0003275C" w:rsidRPr="0003275C" w:rsidRDefault="0003275C" w:rsidP="000C4DF5">
      <w:pPr>
        <w:pStyle w:val="NoSpacing"/>
        <w:rPr>
          <w:rFonts w:ascii="Times New Roman" w:hAnsi="Times New Roman"/>
          <w:sz w:val="24"/>
          <w:szCs w:val="24"/>
        </w:rPr>
      </w:pPr>
      <w:r>
        <w:rPr>
          <w:rFonts w:ascii="Arial Black" w:hAnsi="Arial Black"/>
          <w:sz w:val="24"/>
          <w:szCs w:val="24"/>
        </w:rPr>
        <w:t xml:space="preserve">18-5 </w:t>
      </w:r>
    </w:p>
    <w:p w14:paraId="4BBD5A37" w14:textId="3A3AC2ED" w:rsidR="0003275C" w:rsidRDefault="0003275C" w:rsidP="000C4DF5">
      <w:pPr>
        <w:pStyle w:val="NoSpacing"/>
        <w:rPr>
          <w:rFonts w:ascii="Arial Black" w:hAnsi="Arial Black"/>
          <w:sz w:val="24"/>
          <w:szCs w:val="24"/>
        </w:rPr>
      </w:pPr>
    </w:p>
    <w:p w14:paraId="451E8559" w14:textId="77777777" w:rsidR="0003275C" w:rsidRPr="001D76B8" w:rsidRDefault="0003275C" w:rsidP="0003275C">
      <w:pPr>
        <w:pStyle w:val="NoSpacing"/>
        <w:rPr>
          <w:rFonts w:ascii="Arial Black" w:hAnsi="Arial Black"/>
          <w:sz w:val="28"/>
          <w:szCs w:val="28"/>
        </w:rPr>
      </w:pPr>
      <w:r w:rsidRPr="00DE7C27">
        <w:rPr>
          <w:rFonts w:ascii="Arial Black" w:hAnsi="Arial Black"/>
          <w:sz w:val="28"/>
          <w:szCs w:val="28"/>
        </w:rPr>
        <w:t>TX</w:t>
      </w:r>
      <w:r>
        <w:rPr>
          <w:rFonts w:ascii="Arial Black" w:hAnsi="Arial Black"/>
          <w:sz w:val="28"/>
          <w:szCs w:val="28"/>
        </w:rPr>
        <w:t>: AIR AMBULANCE – WORKERS COMP – FED. AIRLINE DEREGULATION ACT NOT REQUIRE PAY FULL CHARGES</w:t>
      </w:r>
    </w:p>
    <w:p w14:paraId="3EEE7E06" w14:textId="77777777" w:rsidR="0003275C" w:rsidRPr="00AA3FDF" w:rsidRDefault="0003275C" w:rsidP="0003275C">
      <w:pPr>
        <w:pStyle w:val="NoSpacing"/>
        <w:rPr>
          <w:rFonts w:ascii="Times New Roman" w:hAnsi="Times New Roman"/>
          <w:sz w:val="24"/>
          <w:szCs w:val="24"/>
        </w:rPr>
      </w:pPr>
    </w:p>
    <w:p w14:paraId="7B54DADB" w14:textId="6DE68114" w:rsidR="0003275C" w:rsidRDefault="0003275C" w:rsidP="0003275C">
      <w:pPr>
        <w:pStyle w:val="NoSpacing"/>
        <w:rPr>
          <w:rStyle w:val="Hyperlink"/>
          <w:rFonts w:ascii="Times New Roman" w:hAnsi="Times New Roman"/>
          <w:sz w:val="24"/>
          <w:szCs w:val="24"/>
        </w:rPr>
      </w:pPr>
      <w:r w:rsidRPr="00AA3FDF">
        <w:rPr>
          <w:rFonts w:ascii="Times New Roman" w:hAnsi="Times New Roman"/>
          <w:sz w:val="24"/>
          <w:szCs w:val="24"/>
        </w:rPr>
        <w:t xml:space="preserve">On </w:t>
      </w:r>
      <w:r>
        <w:rPr>
          <w:rFonts w:ascii="Times New Roman" w:hAnsi="Times New Roman"/>
          <w:sz w:val="24"/>
          <w:szCs w:val="24"/>
        </w:rPr>
        <w:t xml:space="preserve">June 26, 2020, in </w:t>
      </w:r>
      <w:r w:rsidRPr="00AA3FDF">
        <w:rPr>
          <w:rFonts w:ascii="Times New Roman" w:hAnsi="Times New Roman"/>
          <w:sz w:val="24"/>
          <w:szCs w:val="24"/>
          <w:u w:val="single"/>
        </w:rPr>
        <w:t>Texas Mutual Insurance Company, et al. v. PHI Air Medical, LLC</w:t>
      </w:r>
      <w:r>
        <w:rPr>
          <w:rFonts w:ascii="Times New Roman" w:hAnsi="Times New Roman"/>
          <w:sz w:val="24"/>
          <w:szCs w:val="24"/>
        </w:rPr>
        <w:t xml:space="preserve">, the Texas Supreme Court held (7 to 2) that workers comp insurance companies in Texas are only required to pay using the Texas “general reimbursement standards” and the federal Airline Deregulation Act does not provide require Texas to change their reimbursement standards. </w:t>
      </w:r>
      <w:r w:rsidRPr="00AA3FDF">
        <w:rPr>
          <w:rFonts w:ascii="Times New Roman" w:hAnsi="Times New Roman"/>
          <w:sz w:val="24"/>
          <w:szCs w:val="24"/>
        </w:rPr>
        <w:t xml:space="preserve">“This is a case about federalism. When joining our Union, each State retained fundamental aspects of its sovereignty. This sovereignty includes the </w:t>
      </w:r>
      <w:proofErr w:type="gramStart"/>
      <w:r w:rsidRPr="00AA3FDF">
        <w:rPr>
          <w:rFonts w:ascii="Times New Roman" w:hAnsi="Times New Roman"/>
          <w:sz w:val="24"/>
          <w:szCs w:val="24"/>
        </w:rPr>
        <w:t>police</w:t>
      </w:r>
      <w:proofErr w:type="gramEnd"/>
      <w:r w:rsidRPr="00AA3FDF">
        <w:rPr>
          <w:rFonts w:ascii="Times New Roman" w:hAnsi="Times New Roman"/>
          <w:sz w:val="24"/>
          <w:szCs w:val="24"/>
        </w:rPr>
        <w:t xml:space="preserve"> power to provide a compensation system for injured workers. Although the Federal Government can preempt a </w:t>
      </w:r>
      <w:proofErr w:type="gramStart"/>
      <w:r w:rsidRPr="00AA3FDF">
        <w:rPr>
          <w:rFonts w:ascii="Times New Roman" w:hAnsi="Times New Roman"/>
          <w:sz w:val="24"/>
          <w:szCs w:val="24"/>
        </w:rPr>
        <w:t>State's</w:t>
      </w:r>
      <w:proofErr w:type="gramEnd"/>
      <w:r w:rsidRPr="00AA3FDF">
        <w:rPr>
          <w:rFonts w:ascii="Times New Roman" w:hAnsi="Times New Roman"/>
          <w:sz w:val="24"/>
          <w:szCs w:val="24"/>
        </w:rPr>
        <w:t xml:space="preserve"> exercise of sovereignty by enacting an inconsistent federal law on a subject within its constitutionally enumerated powers, it has no power to order that State to regulate the subject in a particular way.”</w:t>
      </w:r>
      <w:r>
        <w:rPr>
          <w:rFonts w:ascii="Times New Roman" w:hAnsi="Times New Roman"/>
          <w:sz w:val="24"/>
          <w:szCs w:val="24"/>
        </w:rPr>
        <w:t xml:space="preserve"> </w:t>
      </w:r>
      <w:hyperlink r:id="rId2827" w:history="1">
        <w:r w:rsidRPr="007062AF">
          <w:rPr>
            <w:rStyle w:val="Hyperlink"/>
            <w:rFonts w:ascii="Times New Roman" w:hAnsi="Times New Roman"/>
            <w:sz w:val="24"/>
            <w:szCs w:val="24"/>
          </w:rPr>
          <w:t>https://public.fastcase.com/Wl%2B2t%2BeVuI35%2FN70vAMFZk1fYI9cwrY3IkIgZcFpE1Hk%2FIolkI7JdZ%2BewTVypbzK</w:t>
        </w:r>
      </w:hyperlink>
    </w:p>
    <w:p w14:paraId="3EF2CFCE" w14:textId="041AEF47" w:rsidR="0003275C" w:rsidRDefault="0003275C" w:rsidP="0003275C">
      <w:pPr>
        <w:pStyle w:val="NoSpacing"/>
        <w:rPr>
          <w:rStyle w:val="Hyperlink"/>
          <w:rFonts w:ascii="Times New Roman" w:hAnsi="Times New Roman"/>
          <w:sz w:val="24"/>
          <w:szCs w:val="24"/>
        </w:rPr>
      </w:pPr>
    </w:p>
    <w:p w14:paraId="533D2B75" w14:textId="77777777" w:rsidR="0003275C" w:rsidRDefault="0003275C" w:rsidP="0003275C">
      <w:pPr>
        <w:pStyle w:val="NoSpacing"/>
        <w:rPr>
          <w:rFonts w:ascii="Times New Roman" w:eastAsia="Times New Roman" w:hAnsi="Times New Roman"/>
          <w:b/>
          <w:bCs/>
          <w:sz w:val="24"/>
          <w:szCs w:val="24"/>
        </w:rPr>
      </w:pPr>
      <w:r>
        <w:rPr>
          <w:rFonts w:ascii="Times New Roman" w:eastAsia="Times New Roman" w:hAnsi="Times New Roman"/>
          <w:b/>
          <w:bCs/>
          <w:sz w:val="24"/>
          <w:szCs w:val="24"/>
        </w:rPr>
        <w:t>Legal Lessons Learned: The federal Airline Deregulation Act contains no reimbursement requirement for air ambulances.</w:t>
      </w:r>
    </w:p>
    <w:p w14:paraId="6CB907B6" w14:textId="77777777" w:rsidR="0003275C" w:rsidRPr="00D54047" w:rsidRDefault="0003275C" w:rsidP="0003275C">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The two dissenting </w:t>
      </w:r>
      <w:proofErr w:type="gramStart"/>
      <w:r>
        <w:rPr>
          <w:rFonts w:ascii="Times New Roman" w:eastAsia="Times New Roman" w:hAnsi="Times New Roman"/>
          <w:sz w:val="24"/>
          <w:szCs w:val="24"/>
        </w:rPr>
        <w:t>Justices</w:t>
      </w:r>
      <w:proofErr w:type="gramEnd"/>
      <w:r>
        <w:rPr>
          <w:rFonts w:ascii="Times New Roman" w:eastAsia="Times New Roman" w:hAnsi="Times New Roman"/>
          <w:sz w:val="24"/>
          <w:szCs w:val="24"/>
        </w:rPr>
        <w:t xml:space="preserve"> opinion:</w:t>
      </w:r>
    </w:p>
    <w:p w14:paraId="1169B3A7" w14:textId="77777777" w:rsidR="0003275C" w:rsidRDefault="0003275C" w:rsidP="0003275C">
      <w:pPr>
        <w:pStyle w:val="NoSpacing"/>
        <w:ind w:left="720"/>
        <w:rPr>
          <w:rFonts w:ascii="Times New Roman" w:hAnsi="Times New Roman"/>
          <w:sz w:val="24"/>
          <w:szCs w:val="24"/>
        </w:rPr>
      </w:pPr>
      <w:r>
        <w:rPr>
          <w:rFonts w:ascii="Times New Roman" w:eastAsia="Times New Roman" w:hAnsi="Times New Roman"/>
          <w:b/>
          <w:bCs/>
          <w:sz w:val="24"/>
          <w:szCs w:val="24"/>
        </w:rPr>
        <w:t>“</w:t>
      </w:r>
      <w:r w:rsidRPr="00D54047">
        <w:rPr>
          <w:rFonts w:ascii="Times New Roman" w:hAnsi="Times New Roman"/>
          <w:sz w:val="24"/>
          <w:szCs w:val="24"/>
        </w:rPr>
        <w:t>And Congress, when it decided to deregulate air carrier prices</w:t>
      </w:r>
      <w:r>
        <w:rPr>
          <w:rFonts w:ascii="Times New Roman" w:hAnsi="Times New Roman"/>
          <w:sz w:val="24"/>
          <w:szCs w:val="24"/>
        </w:rPr>
        <w:t xml:space="preserve"> [1978 Airline Deregulation Act]</w:t>
      </w:r>
      <w:r w:rsidRPr="00D54047">
        <w:rPr>
          <w:rFonts w:ascii="Times New Roman" w:hAnsi="Times New Roman"/>
          <w:sz w:val="24"/>
          <w:szCs w:val="24"/>
        </w:rPr>
        <w:t>, did so with the understanding that its deregulation would allow air carriers to set their own prices—not the state or those who pay air carriers consistent with state guidelines.</w:t>
      </w:r>
      <w:r>
        <w:rPr>
          <w:rFonts w:ascii="Times New Roman" w:hAnsi="Times New Roman"/>
          <w:sz w:val="24"/>
          <w:szCs w:val="24"/>
        </w:rPr>
        <w:t xml:space="preserve"> *** </w:t>
      </w:r>
      <w:r w:rsidRPr="00D54047">
        <w:rPr>
          <w:rFonts w:ascii="Times New Roman" w:hAnsi="Times New Roman"/>
          <w:sz w:val="24"/>
          <w:szCs w:val="24"/>
        </w:rPr>
        <w:t xml:space="preserve">After the insurers paid PHI based on the reimbursement scheme, PHI sought a medical fee dispute resolution before the Division, which ultimately concluded that reimbursement should be </w:t>
      </w:r>
      <w:r>
        <w:rPr>
          <w:rFonts w:ascii="Times New Roman" w:hAnsi="Times New Roman"/>
          <w:sz w:val="24"/>
          <w:szCs w:val="24"/>
        </w:rPr>
        <w:t>‘</w:t>
      </w:r>
      <w:r w:rsidRPr="00D54047">
        <w:rPr>
          <w:rFonts w:ascii="Times New Roman" w:hAnsi="Times New Roman"/>
          <w:sz w:val="24"/>
          <w:szCs w:val="24"/>
        </w:rPr>
        <w:t>fair and reasonable,</w:t>
      </w:r>
      <w:r>
        <w:rPr>
          <w:rFonts w:ascii="Times New Roman" w:hAnsi="Times New Roman"/>
          <w:sz w:val="24"/>
          <w:szCs w:val="24"/>
        </w:rPr>
        <w:t>’</w:t>
      </w:r>
      <w:r w:rsidRPr="00D54047">
        <w:rPr>
          <w:rFonts w:ascii="Times New Roman" w:hAnsi="Times New Roman"/>
          <w:sz w:val="24"/>
          <w:szCs w:val="24"/>
        </w:rPr>
        <w:t xml:space="preserve"> amounting to 125 percent of Medicare service rates. The administrative law judge determined</w:t>
      </w:r>
      <w:r>
        <w:rPr>
          <w:rFonts w:ascii="Times New Roman" w:hAnsi="Times New Roman"/>
          <w:sz w:val="24"/>
          <w:szCs w:val="24"/>
        </w:rPr>
        <w:t xml:space="preserve"> </w:t>
      </w:r>
      <w:r w:rsidRPr="00D54047">
        <w:rPr>
          <w:rFonts w:ascii="Times New Roman" w:hAnsi="Times New Roman"/>
          <w:sz w:val="24"/>
          <w:szCs w:val="24"/>
        </w:rPr>
        <w:t>on appeal</w:t>
      </w:r>
      <w:r>
        <w:rPr>
          <w:rFonts w:ascii="Times New Roman" w:hAnsi="Times New Roman"/>
          <w:sz w:val="24"/>
          <w:szCs w:val="24"/>
        </w:rPr>
        <w:t xml:space="preserve"> </w:t>
      </w:r>
      <w:r w:rsidRPr="00D54047">
        <w:rPr>
          <w:rFonts w:ascii="Times New Roman" w:hAnsi="Times New Roman"/>
          <w:sz w:val="24"/>
          <w:szCs w:val="24"/>
        </w:rPr>
        <w:t>that the “fair and reasonable” rate was 149 percent of Medicare service rates.</w:t>
      </w:r>
      <w:r>
        <w:rPr>
          <w:rFonts w:ascii="Times New Roman" w:hAnsi="Times New Roman"/>
          <w:sz w:val="24"/>
          <w:szCs w:val="24"/>
        </w:rPr>
        <w:t xml:space="preserve"> </w:t>
      </w:r>
      <w:r w:rsidRPr="00D54047">
        <w:rPr>
          <w:rFonts w:ascii="Times New Roman" w:hAnsi="Times New Roman"/>
          <w:sz w:val="24"/>
          <w:szCs w:val="24"/>
        </w:rPr>
        <w:t xml:space="preserve">The administrative law judge then ordered the insurers to pay an amount consistent with this newly determined “fair and reasonable” amount. </w:t>
      </w:r>
      <w:r w:rsidRPr="00D54047">
        <w:rPr>
          <w:rFonts w:ascii="Times New Roman" w:hAnsi="Times New Roman"/>
          <w:sz w:val="24"/>
          <w:szCs w:val="24"/>
        </w:rPr>
        <w:lastRenderedPageBreak/>
        <w:t xml:space="preserve">Under both approaches—125 or 149 percent—the amount owed was less than the amount PHI charged. After the adjustment, the requisite payment </w:t>
      </w:r>
      <w:proofErr w:type="gramStart"/>
      <w:r w:rsidRPr="00D54047">
        <w:rPr>
          <w:rFonts w:ascii="Times New Roman" w:hAnsi="Times New Roman"/>
          <w:sz w:val="24"/>
          <w:szCs w:val="24"/>
        </w:rPr>
        <w:t>foreach</w:t>
      </w:r>
      <w:proofErr w:type="gramEnd"/>
      <w:r w:rsidRPr="00D54047">
        <w:rPr>
          <w:rFonts w:ascii="Times New Roman" w:hAnsi="Times New Roman"/>
          <w:sz w:val="24"/>
          <w:szCs w:val="24"/>
        </w:rPr>
        <w:t xml:space="preserve"> transport would be between $9,989 and</w:t>
      </w:r>
      <w:r>
        <w:rPr>
          <w:rFonts w:ascii="Times New Roman" w:hAnsi="Times New Roman"/>
          <w:sz w:val="24"/>
          <w:szCs w:val="24"/>
        </w:rPr>
        <w:t xml:space="preserve"> </w:t>
      </w:r>
      <w:r w:rsidRPr="00D54047">
        <w:rPr>
          <w:rFonts w:ascii="Times New Roman" w:hAnsi="Times New Roman"/>
          <w:sz w:val="24"/>
          <w:szCs w:val="24"/>
        </w:rPr>
        <w:t xml:space="preserve">$28,000 </w:t>
      </w:r>
    </w:p>
    <w:p w14:paraId="1F1DBBC0" w14:textId="77777777" w:rsidR="0003275C" w:rsidRDefault="0003275C" w:rsidP="0003275C">
      <w:pPr>
        <w:pStyle w:val="NoSpacing"/>
        <w:ind w:left="720"/>
        <w:rPr>
          <w:rFonts w:ascii="Times New Roman" w:hAnsi="Times New Roman"/>
          <w:sz w:val="24"/>
          <w:szCs w:val="24"/>
        </w:rPr>
      </w:pPr>
      <w:hyperlink r:id="rId2828" w:history="1">
        <w:r w:rsidRPr="007062AF">
          <w:rPr>
            <w:rStyle w:val="Hyperlink"/>
            <w:rFonts w:ascii="Times New Roman" w:hAnsi="Times New Roman"/>
            <w:sz w:val="24"/>
            <w:szCs w:val="24"/>
          </w:rPr>
          <w:t>https://cases.justia.com/texas/supreme-court/2020-18-0216-1.pdf?ts=1593180294</w:t>
        </w:r>
      </w:hyperlink>
      <w:r>
        <w:rPr>
          <w:rFonts w:ascii="Times New Roman" w:hAnsi="Times New Roman"/>
          <w:sz w:val="24"/>
          <w:szCs w:val="24"/>
        </w:rPr>
        <w:t xml:space="preserve"> </w:t>
      </w:r>
      <w:r w:rsidRPr="00537A08">
        <w:rPr>
          <w:rFonts w:ascii="Times New Roman" w:hAnsi="Times New Roman"/>
          <w:sz w:val="24"/>
          <w:szCs w:val="24"/>
        </w:rPr>
        <w:t xml:space="preserve"> </w:t>
      </w:r>
    </w:p>
    <w:p w14:paraId="185A1751" w14:textId="77777777" w:rsidR="0003275C" w:rsidRDefault="0003275C" w:rsidP="0003275C">
      <w:pPr>
        <w:pStyle w:val="NoSpacing"/>
        <w:rPr>
          <w:rFonts w:ascii="Arial Black" w:hAnsi="Arial Black"/>
          <w:sz w:val="24"/>
          <w:szCs w:val="24"/>
        </w:rPr>
      </w:pPr>
    </w:p>
    <w:p w14:paraId="559120F8" w14:textId="77777777" w:rsidR="0003275C" w:rsidRDefault="0003275C" w:rsidP="000C4DF5">
      <w:pPr>
        <w:pStyle w:val="NoSpacing"/>
        <w:rPr>
          <w:rFonts w:ascii="Arial Black" w:hAnsi="Arial Black"/>
          <w:sz w:val="24"/>
          <w:szCs w:val="24"/>
        </w:rPr>
      </w:pPr>
    </w:p>
    <w:p w14:paraId="1D60BCAE" w14:textId="4CB4F7BE" w:rsidR="00420322" w:rsidRDefault="00420322" w:rsidP="000C4DF5">
      <w:pPr>
        <w:pStyle w:val="NoSpacing"/>
        <w:rPr>
          <w:rFonts w:ascii="Arial Black" w:hAnsi="Arial Black"/>
          <w:sz w:val="24"/>
          <w:szCs w:val="24"/>
        </w:rPr>
      </w:pPr>
      <w:bookmarkStart w:id="657" w:name="_Hlk66951044"/>
      <w:r>
        <w:rPr>
          <w:rFonts w:ascii="Arial Black" w:hAnsi="Arial Black"/>
          <w:sz w:val="24"/>
          <w:szCs w:val="24"/>
        </w:rPr>
        <w:t>18-4</w:t>
      </w:r>
    </w:p>
    <w:p w14:paraId="49E99C21" w14:textId="22177DD3" w:rsidR="00420322" w:rsidRDefault="00420322" w:rsidP="000C4DF5">
      <w:pPr>
        <w:pStyle w:val="NoSpacing"/>
        <w:rPr>
          <w:rFonts w:ascii="Arial Black" w:hAnsi="Arial Black"/>
          <w:sz w:val="24"/>
          <w:szCs w:val="24"/>
        </w:rPr>
      </w:pPr>
    </w:p>
    <w:p w14:paraId="2AACC266" w14:textId="77777777" w:rsidR="00420322" w:rsidRPr="00B01F90" w:rsidRDefault="00420322" w:rsidP="00420322">
      <w:pPr>
        <w:rPr>
          <w:rFonts w:ascii="Arial Black" w:hAnsi="Arial Black"/>
          <w:sz w:val="28"/>
          <w:szCs w:val="28"/>
        </w:rPr>
      </w:pPr>
      <w:bookmarkStart w:id="658" w:name="_Hlk39773435"/>
      <w:r w:rsidRPr="00B01F90">
        <w:rPr>
          <w:rFonts w:ascii="Arial Black" w:hAnsi="Arial Black"/>
          <w:sz w:val="28"/>
          <w:szCs w:val="28"/>
        </w:rPr>
        <w:t>PA</w:t>
      </w:r>
      <w:r>
        <w:rPr>
          <w:rFonts w:ascii="Arial Black" w:hAnsi="Arial Black"/>
          <w:sz w:val="28"/>
          <w:szCs w:val="28"/>
        </w:rPr>
        <w:t xml:space="preserve">: </w:t>
      </w:r>
      <w:r w:rsidRPr="00B01F90">
        <w:rPr>
          <w:rFonts w:ascii="Arial Black" w:hAnsi="Arial Black"/>
          <w:sz w:val="28"/>
          <w:szCs w:val="28"/>
        </w:rPr>
        <w:t>PHIL</w:t>
      </w:r>
      <w:r>
        <w:rPr>
          <w:rFonts w:ascii="Arial Black" w:hAnsi="Arial Black"/>
          <w:sz w:val="28"/>
          <w:szCs w:val="28"/>
        </w:rPr>
        <w:t xml:space="preserve">ADEPHIA </w:t>
      </w:r>
      <w:r w:rsidRPr="00B01F90">
        <w:rPr>
          <w:rFonts w:ascii="Arial Black" w:hAnsi="Arial Black"/>
          <w:sz w:val="28"/>
          <w:szCs w:val="28"/>
        </w:rPr>
        <w:t xml:space="preserve">FF WITH LUNG CANCER – SMOKER </w:t>
      </w:r>
      <w:r>
        <w:rPr>
          <w:rFonts w:ascii="Arial Black" w:hAnsi="Arial Black"/>
          <w:sz w:val="28"/>
          <w:szCs w:val="28"/>
        </w:rPr>
        <w:t>–</w:t>
      </w:r>
      <w:r w:rsidRPr="00B01F90">
        <w:rPr>
          <w:rFonts w:ascii="Arial Black" w:hAnsi="Arial Black"/>
          <w:sz w:val="28"/>
          <w:szCs w:val="28"/>
        </w:rPr>
        <w:t xml:space="preserve"> </w:t>
      </w:r>
      <w:r>
        <w:rPr>
          <w:rFonts w:ascii="Arial Black" w:hAnsi="Arial Black"/>
          <w:sz w:val="28"/>
          <w:szCs w:val="28"/>
        </w:rPr>
        <w:t xml:space="preserve">WILL RECEIVE WORKERS COMP BENEFITS – 2011 </w:t>
      </w:r>
      <w:r w:rsidRPr="00B01F90">
        <w:rPr>
          <w:rFonts w:ascii="Arial Black" w:hAnsi="Arial Black"/>
          <w:sz w:val="28"/>
          <w:szCs w:val="28"/>
        </w:rPr>
        <w:t>STATUTORY PRESUMPTION</w:t>
      </w:r>
      <w:r>
        <w:rPr>
          <w:rFonts w:ascii="Arial Black" w:hAnsi="Arial Black"/>
          <w:sz w:val="28"/>
          <w:szCs w:val="28"/>
        </w:rPr>
        <w:t xml:space="preserve"> LAW</w:t>
      </w:r>
    </w:p>
    <w:p w14:paraId="40AA9F4B" w14:textId="77777777" w:rsidR="00420322" w:rsidRDefault="00420322" w:rsidP="00420322">
      <w:pPr>
        <w:rPr>
          <w:rFonts w:ascii="Times New Roman" w:hAnsi="Times New Roman"/>
          <w:sz w:val="24"/>
          <w:szCs w:val="24"/>
        </w:rPr>
      </w:pPr>
      <w:r w:rsidRPr="00B01F90">
        <w:rPr>
          <w:rFonts w:ascii="Times New Roman" w:hAnsi="Times New Roman"/>
          <w:sz w:val="24"/>
          <w:szCs w:val="24"/>
        </w:rPr>
        <w:t xml:space="preserve">On </w:t>
      </w:r>
      <w:bookmarkStart w:id="659" w:name="_Hlk39861439"/>
      <w:r w:rsidRPr="00B01F90">
        <w:rPr>
          <w:rFonts w:ascii="Times New Roman" w:hAnsi="Times New Roman"/>
          <w:sz w:val="24"/>
          <w:szCs w:val="24"/>
        </w:rPr>
        <w:t xml:space="preserve">Jan. 3, 2020, in </w:t>
      </w:r>
      <w:r w:rsidRPr="00B01F90">
        <w:rPr>
          <w:rFonts w:ascii="Times New Roman" w:hAnsi="Times New Roman"/>
          <w:sz w:val="24"/>
          <w:szCs w:val="24"/>
          <w:u w:val="single"/>
        </w:rPr>
        <w:t>Wayne Deloatch v. Workers’ Compensation Appeal Board (City of Philadelphia)</w:t>
      </w:r>
      <w:r>
        <w:rPr>
          <w:rFonts w:ascii="Times New Roman" w:hAnsi="Times New Roman"/>
          <w:sz w:val="24"/>
          <w:szCs w:val="24"/>
        </w:rPr>
        <w:t xml:space="preserve">, </w:t>
      </w:r>
      <w:bookmarkEnd w:id="659"/>
      <w:r>
        <w:rPr>
          <w:rFonts w:ascii="Times New Roman" w:hAnsi="Times New Roman"/>
          <w:sz w:val="24"/>
          <w:szCs w:val="24"/>
        </w:rPr>
        <w:t xml:space="preserve">the Commonwealth Court of Pennsylvania held (3 to 0) that the firefighter is entitled to benefits.  </w:t>
      </w:r>
    </w:p>
    <w:bookmarkEnd w:id="657"/>
    <w:p w14:paraId="6CADCAB9" w14:textId="77777777" w:rsidR="00420322" w:rsidRPr="00F56F6D" w:rsidRDefault="00420322" w:rsidP="00420322">
      <w:pPr>
        <w:spacing w:before="100" w:beforeAutospacing="1" w:after="100" w:afterAutospacing="1" w:line="240" w:lineRule="auto"/>
        <w:ind w:left="720"/>
        <w:rPr>
          <w:rFonts w:ascii="Times New Roman" w:eastAsia="Times New Roman" w:hAnsi="Times New Roman"/>
          <w:sz w:val="24"/>
          <w:szCs w:val="24"/>
        </w:rPr>
      </w:pPr>
      <w:r w:rsidRPr="00B01F90">
        <w:rPr>
          <w:rFonts w:ascii="Times New Roman" w:eastAsia="Times New Roman" w:hAnsi="Times New Roman"/>
          <w:sz w:val="24"/>
          <w:szCs w:val="24"/>
        </w:rPr>
        <w:t>“</w:t>
      </w:r>
      <w:r w:rsidRPr="00B01F90">
        <w:rPr>
          <w:rFonts w:ascii="Times New Roman" w:hAnsi="Times New Roman"/>
          <w:sz w:val="24"/>
          <w:szCs w:val="24"/>
        </w:rPr>
        <w:t>During Claimant's firefighting career (20 years), he fought approximately 200-300 fires, including building, house, car, dumpster, trash, grass, and field fires, which exposed him to smoke.</w:t>
      </w:r>
      <w:r>
        <w:rPr>
          <w:rFonts w:ascii="Times New Roman" w:hAnsi="Times New Roman"/>
          <w:sz w:val="24"/>
          <w:szCs w:val="24"/>
        </w:rPr>
        <w:t xml:space="preserve"> *** </w:t>
      </w:r>
      <w:r w:rsidRPr="00B01F90">
        <w:rPr>
          <w:rFonts w:ascii="Times New Roman" w:eastAsia="Times New Roman" w:hAnsi="Times New Roman"/>
          <w:sz w:val="24"/>
          <w:szCs w:val="24"/>
        </w:rPr>
        <w:t>Claimant did not use the SCBA during exterior firefighting—</w:t>
      </w:r>
      <w:r w:rsidRPr="00B01F90">
        <w:rPr>
          <w:rFonts w:ascii="Times New Roman" w:eastAsia="Times New Roman" w:hAnsi="Times New Roman"/>
          <w:i/>
          <w:iCs/>
          <w:sz w:val="24"/>
          <w:szCs w:val="24"/>
        </w:rPr>
        <w:t>i</w:t>
      </w:r>
      <w:r w:rsidRPr="00B01F90">
        <w:rPr>
          <w:rFonts w:ascii="Times New Roman" w:eastAsia="Times New Roman" w:hAnsi="Times New Roman"/>
          <w:sz w:val="24"/>
          <w:szCs w:val="24"/>
        </w:rPr>
        <w:t>.</w:t>
      </w:r>
      <w:r w:rsidRPr="00B01F90">
        <w:rPr>
          <w:rFonts w:ascii="Times New Roman" w:eastAsia="Times New Roman" w:hAnsi="Times New Roman"/>
          <w:i/>
          <w:iCs/>
          <w:sz w:val="24"/>
          <w:szCs w:val="24"/>
        </w:rPr>
        <w:t>e</w:t>
      </w:r>
      <w:r w:rsidRPr="00B01F90">
        <w:rPr>
          <w:rFonts w:ascii="Times New Roman" w:eastAsia="Times New Roman" w:hAnsi="Times New Roman"/>
          <w:sz w:val="24"/>
          <w:szCs w:val="24"/>
        </w:rPr>
        <w:t xml:space="preserve">., outdoor firefighting—or overhaul, which entailed </w:t>
      </w:r>
      <w:r>
        <w:rPr>
          <w:rFonts w:ascii="Times New Roman" w:eastAsia="Times New Roman" w:hAnsi="Times New Roman"/>
          <w:sz w:val="24"/>
          <w:szCs w:val="24"/>
        </w:rPr>
        <w:t>‘</w:t>
      </w:r>
      <w:r w:rsidRPr="00B01F90">
        <w:rPr>
          <w:rFonts w:ascii="Times New Roman" w:eastAsia="Times New Roman" w:hAnsi="Times New Roman"/>
          <w:sz w:val="24"/>
          <w:szCs w:val="24"/>
        </w:rPr>
        <w:t>ripping of walls, ceilings, searching for any hidden fire and extinguishing that if it's visible.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After exposure to each fire incident, Claimant's body would be coated in soot, and Claimant would often find soot in his nasal secretions up to a week after exposure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Claimant further testified that he stopped smoking cigarettes in 2011, but had a 30 to 35-year-long smoking history</w:t>
      </w:r>
      <w:r>
        <w:rPr>
          <w:rFonts w:ascii="Times New Roman" w:eastAsia="Times New Roman" w:hAnsi="Times New Roman"/>
          <w:sz w:val="24"/>
          <w:szCs w:val="24"/>
        </w:rPr>
        <w:t xml:space="preserve">… </w:t>
      </w:r>
      <w:r w:rsidRPr="00B01F90">
        <w:rPr>
          <w:rFonts w:ascii="Times New Roman" w:eastAsia="Times New Roman" w:hAnsi="Times New Roman"/>
          <w:sz w:val="24"/>
          <w:szCs w:val="24"/>
        </w:rPr>
        <w:t>During that period, Claimant recalled smoking only one pack of cigarettes per week</w:t>
      </w:r>
      <w:r>
        <w:rPr>
          <w:rFonts w:ascii="Times New Roman" w:eastAsia="Times New Roman" w:hAnsi="Times New Roman"/>
          <w:sz w:val="24"/>
          <w:szCs w:val="24"/>
        </w:rPr>
        <w:t xml:space="preserve">…. </w:t>
      </w:r>
      <w:r w:rsidRPr="00B01F90">
        <w:rPr>
          <w:rFonts w:ascii="Times New Roman" w:eastAsia="Times New Roman" w:hAnsi="Times New Roman"/>
          <w:sz w:val="24"/>
          <w:szCs w:val="24"/>
        </w:rPr>
        <w:t xml:space="preserve">Firefighters were permitted to smoke in the fire stations, and Claimant worked with smokers during his career as a firefighter. </w:t>
      </w:r>
      <w:r>
        <w:rPr>
          <w:rFonts w:ascii="Times New Roman" w:eastAsia="Times New Roman" w:hAnsi="Times New Roman"/>
          <w:sz w:val="24"/>
          <w:szCs w:val="24"/>
        </w:rPr>
        <w:t xml:space="preserve">*** </w:t>
      </w:r>
      <w:r w:rsidRPr="00F56F6D">
        <w:rPr>
          <w:rFonts w:ascii="Times New Roman" w:eastAsia="Times New Roman" w:hAnsi="Times New Roman"/>
          <w:sz w:val="24"/>
          <w:szCs w:val="24"/>
        </w:rPr>
        <w:t>For the reasons set forth above, Claimant established that he was entitled to the statutory presumption under Section 301(f) of the Act, being that his lung cancer was caused by the occupation of firefighting. Employer failed to rebut the statutory presumption with substantial competent evidence that Claimant's</w:t>
      </w:r>
      <w:r>
        <w:rPr>
          <w:rFonts w:ascii="Times New Roman" w:eastAsia="Times New Roman" w:hAnsi="Times New Roman"/>
          <w:sz w:val="24"/>
          <w:szCs w:val="24"/>
        </w:rPr>
        <w:t xml:space="preserve"> </w:t>
      </w:r>
      <w:r w:rsidRPr="00F56F6D">
        <w:rPr>
          <w:rFonts w:ascii="Times New Roman" w:eastAsia="Times New Roman" w:hAnsi="Times New Roman"/>
          <w:sz w:val="24"/>
          <w:szCs w:val="24"/>
        </w:rPr>
        <w:t xml:space="preserve">cancer was caused by something other than his workplace exposure to IARC Group 1 carcinogens linked to lung cancer. </w:t>
      </w:r>
      <w:bookmarkStart w:id="660" w:name="_Hlk39861416"/>
      <w:bookmarkStart w:id="661" w:name="_Hlk66951065"/>
      <w:r w:rsidR="00B0089C">
        <w:fldChar w:fldCharType="begin"/>
      </w:r>
      <w:r w:rsidR="00B0089C">
        <w:instrText xml:space="preserve"> HYPERLINK "https://public.fastcase.com/Wl%2B2t%2BeVuI35%2FN70vAMFZi2NtCwkTvdiKyrWKXTmtjwARSxGp50rXf7QoqUpwr%2BO" </w:instrText>
      </w:r>
      <w:r w:rsidR="00B0089C">
        <w:fldChar w:fldCharType="separate"/>
      </w:r>
      <w:r w:rsidRPr="00B01F90">
        <w:rPr>
          <w:rStyle w:val="Hyperlink"/>
          <w:rFonts w:ascii="Times New Roman" w:eastAsia="Times New Roman" w:hAnsi="Times New Roman"/>
          <w:sz w:val="24"/>
          <w:szCs w:val="24"/>
        </w:rPr>
        <w:t>https://public.fastcase.com/Wl%2B2t%2BeVuI35%2FN70vAMFZi2NtCwkTvdiKyrWKXTmtjwARSxGp50rXf7QoqUpwr%2BO</w:t>
      </w:r>
      <w:r w:rsidR="00B0089C">
        <w:rPr>
          <w:rStyle w:val="Hyperlink"/>
          <w:rFonts w:ascii="Times New Roman" w:eastAsia="Times New Roman" w:hAnsi="Times New Roman"/>
          <w:sz w:val="24"/>
          <w:szCs w:val="24"/>
        </w:rPr>
        <w:fldChar w:fldCharType="end"/>
      </w:r>
      <w:r w:rsidRPr="00B01F90">
        <w:rPr>
          <w:rFonts w:ascii="Times New Roman" w:eastAsia="Times New Roman" w:hAnsi="Times New Roman"/>
          <w:sz w:val="24"/>
          <w:szCs w:val="24"/>
        </w:rPr>
        <w:t xml:space="preserve"> </w:t>
      </w:r>
    </w:p>
    <w:p w14:paraId="7A42C757" w14:textId="159DF03F" w:rsidR="00420322" w:rsidRPr="00E600C4" w:rsidRDefault="00E600C4" w:rsidP="000C4DF5">
      <w:pPr>
        <w:pStyle w:val="NoSpacing"/>
        <w:rPr>
          <w:rFonts w:ascii="Times New Roman" w:hAnsi="Times New Roman"/>
          <w:b/>
          <w:bCs/>
          <w:sz w:val="24"/>
          <w:szCs w:val="24"/>
        </w:rPr>
      </w:pPr>
      <w:bookmarkStart w:id="662" w:name="_Hlk40517361"/>
      <w:bookmarkEnd w:id="658"/>
      <w:bookmarkEnd w:id="660"/>
      <w:r w:rsidRPr="00E600C4">
        <w:rPr>
          <w:rFonts w:ascii="Times New Roman" w:hAnsi="Times New Roman"/>
          <w:b/>
          <w:bCs/>
          <w:sz w:val="24"/>
          <w:szCs w:val="24"/>
        </w:rPr>
        <w:t xml:space="preserve">Legal Lessons Learned:  Statutory presumption laws are being enacted throughout our Nation. </w:t>
      </w:r>
    </w:p>
    <w:bookmarkEnd w:id="661"/>
    <w:bookmarkEnd w:id="662"/>
    <w:p w14:paraId="7D34EF81" w14:textId="77777777" w:rsidR="00420322" w:rsidRPr="00E600C4" w:rsidRDefault="00420322" w:rsidP="000C4DF5">
      <w:pPr>
        <w:pStyle w:val="NoSpacing"/>
        <w:rPr>
          <w:rFonts w:ascii="Times New Roman" w:hAnsi="Times New Roman"/>
          <w:sz w:val="24"/>
          <w:szCs w:val="24"/>
        </w:rPr>
      </w:pPr>
    </w:p>
    <w:p w14:paraId="787CEE54" w14:textId="77777777" w:rsidR="00420322" w:rsidRDefault="00420322" w:rsidP="000C4DF5">
      <w:pPr>
        <w:pStyle w:val="NoSpacing"/>
        <w:rPr>
          <w:rFonts w:ascii="Arial Black" w:hAnsi="Arial Black"/>
          <w:sz w:val="24"/>
          <w:szCs w:val="24"/>
        </w:rPr>
      </w:pPr>
    </w:p>
    <w:p w14:paraId="25C454C4" w14:textId="77777777" w:rsidR="00420322" w:rsidRDefault="00420322" w:rsidP="000C4DF5">
      <w:pPr>
        <w:pStyle w:val="NoSpacing"/>
        <w:rPr>
          <w:rFonts w:ascii="Arial Black" w:hAnsi="Arial Black"/>
          <w:sz w:val="24"/>
          <w:szCs w:val="24"/>
        </w:rPr>
      </w:pPr>
    </w:p>
    <w:p w14:paraId="230AD1B8" w14:textId="6BD00107" w:rsidR="00420322" w:rsidRDefault="00420322" w:rsidP="000C4DF5">
      <w:pPr>
        <w:pStyle w:val="NoSpacing"/>
        <w:rPr>
          <w:rFonts w:ascii="Arial Black" w:hAnsi="Arial Black"/>
          <w:sz w:val="24"/>
          <w:szCs w:val="24"/>
        </w:rPr>
      </w:pPr>
      <w:r>
        <w:rPr>
          <w:rFonts w:ascii="Arial Black" w:hAnsi="Arial Black"/>
          <w:sz w:val="24"/>
          <w:szCs w:val="24"/>
        </w:rPr>
        <w:t>18-3</w:t>
      </w:r>
    </w:p>
    <w:p w14:paraId="0E3E2593" w14:textId="013427E9" w:rsidR="00420322" w:rsidRDefault="00420322" w:rsidP="000C4DF5">
      <w:pPr>
        <w:pStyle w:val="NoSpacing"/>
        <w:rPr>
          <w:rFonts w:ascii="Arial Black" w:hAnsi="Arial Black"/>
          <w:sz w:val="24"/>
          <w:szCs w:val="24"/>
        </w:rPr>
      </w:pPr>
    </w:p>
    <w:p w14:paraId="29B93F8A" w14:textId="5E8ED5B8" w:rsidR="00420322" w:rsidRDefault="00420322" w:rsidP="00420322">
      <w:pPr>
        <w:rPr>
          <w:rFonts w:ascii="Arial Black" w:hAnsi="Arial Black"/>
          <w:sz w:val="28"/>
          <w:szCs w:val="28"/>
        </w:rPr>
      </w:pPr>
      <w:bookmarkStart w:id="663" w:name="_Hlk39773484"/>
      <w:bookmarkStart w:id="664" w:name="_Hlk41314621"/>
      <w:r w:rsidRPr="00407E0E">
        <w:rPr>
          <w:rFonts w:ascii="Arial Black" w:hAnsi="Arial Black"/>
          <w:sz w:val="28"/>
          <w:szCs w:val="28"/>
        </w:rPr>
        <w:t>RI:</w:t>
      </w:r>
      <w:r>
        <w:rPr>
          <w:rFonts w:ascii="Arial Black" w:hAnsi="Arial Black"/>
          <w:sz w:val="28"/>
          <w:szCs w:val="28"/>
        </w:rPr>
        <w:t xml:space="preserve"> CRANSTON FF – 20 YRS ON FD - DIED COLON CANCER 2017 – RI SUPREME COURT DENIES WIDOW ACCIDENTAL DISABILITY PENSION </w:t>
      </w:r>
    </w:p>
    <w:p w14:paraId="42C7480E" w14:textId="77777777" w:rsidR="00420322" w:rsidRDefault="00420322" w:rsidP="00420322">
      <w:pPr>
        <w:rPr>
          <w:b/>
          <w:bCs/>
        </w:rPr>
      </w:pPr>
      <w:r w:rsidRPr="00212873">
        <w:rPr>
          <w:rFonts w:ascii="Times New Roman" w:hAnsi="Times New Roman"/>
          <w:sz w:val="24"/>
          <w:szCs w:val="24"/>
        </w:rPr>
        <w:t xml:space="preserve">On </w:t>
      </w:r>
      <w:bookmarkStart w:id="665" w:name="_Hlk39861640"/>
      <w:r w:rsidRPr="00212873">
        <w:rPr>
          <w:rFonts w:ascii="Times New Roman" w:hAnsi="Times New Roman"/>
          <w:sz w:val="24"/>
          <w:szCs w:val="24"/>
        </w:rPr>
        <w:t xml:space="preserve">Dec. 18, </w:t>
      </w:r>
      <w:proofErr w:type="gramStart"/>
      <w:r w:rsidRPr="00212873">
        <w:rPr>
          <w:rFonts w:ascii="Times New Roman" w:hAnsi="Times New Roman"/>
          <w:sz w:val="24"/>
          <w:szCs w:val="24"/>
        </w:rPr>
        <w:t>2019</w:t>
      </w:r>
      <w:proofErr w:type="gramEnd"/>
      <w:r w:rsidRPr="00212873">
        <w:rPr>
          <w:rFonts w:ascii="Times New Roman" w:hAnsi="Times New Roman"/>
          <w:sz w:val="24"/>
          <w:szCs w:val="24"/>
        </w:rPr>
        <w:t xml:space="preserve"> in </w:t>
      </w:r>
      <w:r w:rsidRPr="00212873">
        <w:rPr>
          <w:rFonts w:ascii="Times New Roman" w:hAnsi="Times New Roman"/>
          <w:sz w:val="24"/>
          <w:szCs w:val="24"/>
          <w:u w:val="single"/>
        </w:rPr>
        <w:t>Corrine A. Lang as Executrix of Estate of Kevin Land v. Municipal Employees’ Retirement System of Rhode Island</w:t>
      </w:r>
      <w:bookmarkEnd w:id="665"/>
      <w:r w:rsidRPr="00212873">
        <w:rPr>
          <w:rFonts w:ascii="Times New Roman" w:hAnsi="Times New Roman"/>
          <w:sz w:val="24"/>
          <w:szCs w:val="24"/>
        </w:rPr>
        <w:t xml:space="preserve">, the Supreme Court of Rode Island </w:t>
      </w:r>
      <w:r>
        <w:rPr>
          <w:rFonts w:ascii="Times New Roman" w:hAnsi="Times New Roman"/>
          <w:sz w:val="24"/>
          <w:szCs w:val="24"/>
        </w:rPr>
        <w:t xml:space="preserve">ruled </w:t>
      </w:r>
      <w:r w:rsidRPr="00212873">
        <w:rPr>
          <w:rFonts w:ascii="Times New Roman" w:hAnsi="Times New Roman"/>
          <w:sz w:val="24"/>
          <w:szCs w:val="24"/>
        </w:rPr>
        <w:t>(4 to 1)</w:t>
      </w:r>
      <w:r>
        <w:rPr>
          <w:rFonts w:ascii="Times New Roman" w:hAnsi="Times New Roman"/>
          <w:sz w:val="24"/>
          <w:szCs w:val="24"/>
        </w:rPr>
        <w:t xml:space="preserve"> that the widow was not entitled to an award of accidental disability benefits, reversing the </w:t>
      </w:r>
      <w:r w:rsidRPr="00212873">
        <w:rPr>
          <w:rFonts w:ascii="Times New Roman" w:hAnsi="Times New Roman"/>
          <w:sz w:val="24"/>
          <w:szCs w:val="24"/>
        </w:rPr>
        <w:t>Appellate Division of the Workers’ Compensation Court</w:t>
      </w:r>
      <w:r>
        <w:rPr>
          <w:rFonts w:ascii="Times New Roman" w:hAnsi="Times New Roman"/>
          <w:sz w:val="24"/>
          <w:szCs w:val="24"/>
        </w:rPr>
        <w:t>.</w:t>
      </w:r>
    </w:p>
    <w:p w14:paraId="72242064" w14:textId="77777777" w:rsidR="00420322" w:rsidRDefault="00420322" w:rsidP="00420322">
      <w:pPr>
        <w:pStyle w:val="NoSpacing"/>
        <w:ind w:left="720"/>
        <w:rPr>
          <w:rFonts w:ascii="Times New Roman" w:hAnsi="Times New Roman"/>
          <w:sz w:val="24"/>
          <w:szCs w:val="24"/>
        </w:rPr>
      </w:pPr>
      <w:r>
        <w:rPr>
          <w:rFonts w:ascii="Times New Roman" w:hAnsi="Times New Roman"/>
          <w:sz w:val="24"/>
          <w:szCs w:val="24"/>
        </w:rPr>
        <w:t>“</w:t>
      </w:r>
      <w:r w:rsidRPr="00212873">
        <w:rPr>
          <w:rFonts w:ascii="Times New Roman" w:hAnsi="Times New Roman"/>
          <w:sz w:val="24"/>
          <w:szCs w:val="24"/>
        </w:rPr>
        <w:t>To conclude that the language in § 45-19.1-1 creates a conclusive presumption would not only render the statutory definition of occupational cancer in § 45-19.1-2(d) meaningless</w:t>
      </w:r>
      <w:r>
        <w:rPr>
          <w:rFonts w:ascii="Times New Roman" w:hAnsi="Times New Roman"/>
          <w:sz w:val="24"/>
          <w:szCs w:val="24"/>
        </w:rPr>
        <w:t xml:space="preserve"> </w:t>
      </w:r>
      <w:r w:rsidRPr="00212873">
        <w:rPr>
          <w:rFonts w:ascii="Times New Roman" w:hAnsi="Times New Roman"/>
          <w:sz w:val="24"/>
          <w:szCs w:val="24"/>
        </w:rPr>
        <w:t xml:space="preserve">and create a right not found within the </w:t>
      </w:r>
      <w:proofErr w:type="gramStart"/>
      <w:r w:rsidRPr="00212873">
        <w:rPr>
          <w:rFonts w:ascii="Times New Roman" w:hAnsi="Times New Roman"/>
          <w:sz w:val="24"/>
          <w:szCs w:val="24"/>
        </w:rPr>
        <w:t>statute,</w:t>
      </w:r>
      <w:r>
        <w:rPr>
          <w:rFonts w:ascii="Times New Roman" w:hAnsi="Times New Roman"/>
          <w:sz w:val="24"/>
          <w:szCs w:val="24"/>
        </w:rPr>
        <w:t xml:space="preserve"> </w:t>
      </w:r>
      <w:r w:rsidRPr="00212873">
        <w:rPr>
          <w:rFonts w:ascii="Times New Roman" w:hAnsi="Times New Roman"/>
          <w:sz w:val="24"/>
          <w:szCs w:val="24"/>
        </w:rPr>
        <w:t>but</w:t>
      </w:r>
      <w:proofErr w:type="gramEnd"/>
      <w:r w:rsidRPr="00212873">
        <w:rPr>
          <w:rFonts w:ascii="Times New Roman" w:hAnsi="Times New Roman"/>
          <w:sz w:val="24"/>
          <w:szCs w:val="24"/>
        </w:rPr>
        <w:t xml:space="preserve"> would also construe the statute to reach an absurd result. For example, a </w:t>
      </w:r>
      <w:r w:rsidRPr="00212873">
        <w:rPr>
          <w:rFonts w:ascii="Times New Roman" w:hAnsi="Times New Roman"/>
          <w:sz w:val="24"/>
          <w:szCs w:val="24"/>
        </w:rPr>
        <w:lastRenderedPageBreak/>
        <w:t>conclusive presumption that all cancers in firefighters are occupational cancers would mean that a firefighter who</w:t>
      </w:r>
      <w:r>
        <w:rPr>
          <w:rFonts w:ascii="Times New Roman" w:hAnsi="Times New Roman"/>
          <w:sz w:val="24"/>
          <w:szCs w:val="24"/>
        </w:rPr>
        <w:t xml:space="preserve"> </w:t>
      </w:r>
      <w:r w:rsidRPr="00212873">
        <w:rPr>
          <w:rFonts w:ascii="Times New Roman" w:hAnsi="Times New Roman"/>
          <w:sz w:val="24"/>
          <w:szCs w:val="24"/>
        </w:rPr>
        <w:t>smoked four packs</w:t>
      </w:r>
      <w:r>
        <w:rPr>
          <w:rFonts w:ascii="Times New Roman" w:hAnsi="Times New Roman"/>
          <w:sz w:val="24"/>
          <w:szCs w:val="24"/>
        </w:rPr>
        <w:t xml:space="preserve"> </w:t>
      </w:r>
      <w:r w:rsidRPr="00212873">
        <w:rPr>
          <w:rFonts w:ascii="Times New Roman" w:hAnsi="Times New Roman"/>
          <w:sz w:val="24"/>
          <w:szCs w:val="24"/>
        </w:rPr>
        <w:t>of cigarettes a day</w:t>
      </w:r>
      <w:r>
        <w:rPr>
          <w:rFonts w:ascii="Times New Roman" w:hAnsi="Times New Roman"/>
          <w:sz w:val="24"/>
          <w:szCs w:val="24"/>
        </w:rPr>
        <w:t xml:space="preserve"> </w:t>
      </w:r>
      <w:r w:rsidRPr="00212873">
        <w:rPr>
          <w:rFonts w:ascii="Times New Roman" w:hAnsi="Times New Roman"/>
          <w:sz w:val="24"/>
          <w:szCs w:val="24"/>
        </w:rPr>
        <w:t>for decades</w:t>
      </w:r>
      <w:r>
        <w:rPr>
          <w:rFonts w:ascii="Times New Roman" w:hAnsi="Times New Roman"/>
          <w:sz w:val="24"/>
          <w:szCs w:val="24"/>
        </w:rPr>
        <w:t xml:space="preserve"> </w:t>
      </w:r>
      <w:r w:rsidRPr="00212873">
        <w:rPr>
          <w:rFonts w:ascii="Times New Roman" w:hAnsi="Times New Roman"/>
          <w:sz w:val="24"/>
          <w:szCs w:val="24"/>
        </w:rPr>
        <w:t>would receive an occupational cancer disability benefit despite not having proved</w:t>
      </w:r>
      <w:r>
        <w:rPr>
          <w:rFonts w:ascii="Times New Roman" w:hAnsi="Times New Roman"/>
          <w:sz w:val="24"/>
          <w:szCs w:val="24"/>
        </w:rPr>
        <w:t xml:space="preserve"> </w:t>
      </w:r>
      <w:r w:rsidRPr="00212873">
        <w:rPr>
          <w:rFonts w:ascii="Times New Roman" w:hAnsi="Times New Roman"/>
          <w:sz w:val="24"/>
          <w:szCs w:val="24"/>
        </w:rPr>
        <w:t>that his cancer was related</w:t>
      </w:r>
      <w:r>
        <w:rPr>
          <w:rFonts w:ascii="Times New Roman" w:hAnsi="Times New Roman"/>
          <w:sz w:val="24"/>
          <w:szCs w:val="24"/>
        </w:rPr>
        <w:t xml:space="preserve"> </w:t>
      </w:r>
      <w:r w:rsidRPr="00212873">
        <w:rPr>
          <w:rFonts w:ascii="Times New Roman" w:hAnsi="Times New Roman"/>
          <w:sz w:val="24"/>
          <w:szCs w:val="24"/>
        </w:rPr>
        <w:t>to exposure on the job.</w:t>
      </w:r>
      <w:r>
        <w:rPr>
          <w:rFonts w:ascii="Times New Roman" w:hAnsi="Times New Roman"/>
          <w:sz w:val="24"/>
          <w:szCs w:val="24"/>
        </w:rPr>
        <w:t xml:space="preserve"> </w:t>
      </w:r>
      <w:r w:rsidRPr="00212873">
        <w:rPr>
          <w:rFonts w:ascii="Times New Roman" w:hAnsi="Times New Roman"/>
          <w:sz w:val="24"/>
          <w:szCs w:val="24"/>
        </w:rPr>
        <w:t xml:space="preserve">Similarly, a conclusive presumption would provide occupational cancer benefits to a firefighter who contracted cancer </w:t>
      </w:r>
      <w:proofErr w:type="gramStart"/>
      <w:r w:rsidRPr="00212873">
        <w:rPr>
          <w:rFonts w:ascii="Times New Roman" w:hAnsi="Times New Roman"/>
          <w:sz w:val="24"/>
          <w:szCs w:val="24"/>
        </w:rPr>
        <w:t>as a result of</w:t>
      </w:r>
      <w:proofErr w:type="gramEnd"/>
      <w:r w:rsidRPr="00212873">
        <w:rPr>
          <w:rFonts w:ascii="Times New Roman" w:hAnsi="Times New Roman"/>
          <w:sz w:val="24"/>
          <w:szCs w:val="24"/>
        </w:rPr>
        <w:t xml:space="preserve"> exposure to</w:t>
      </w:r>
      <w:r>
        <w:rPr>
          <w:rFonts w:ascii="Times New Roman" w:hAnsi="Times New Roman"/>
          <w:sz w:val="24"/>
          <w:szCs w:val="24"/>
        </w:rPr>
        <w:t xml:space="preserve"> </w:t>
      </w:r>
      <w:r w:rsidRPr="00212873">
        <w:rPr>
          <w:rFonts w:ascii="Times New Roman" w:hAnsi="Times New Roman"/>
          <w:sz w:val="24"/>
          <w:szCs w:val="24"/>
        </w:rPr>
        <w:t>pesticides while landscaping in his</w:t>
      </w:r>
      <w:r>
        <w:rPr>
          <w:rFonts w:ascii="Times New Roman" w:hAnsi="Times New Roman"/>
          <w:sz w:val="24"/>
          <w:szCs w:val="24"/>
        </w:rPr>
        <w:t xml:space="preserve"> </w:t>
      </w:r>
      <w:r w:rsidRPr="00212873">
        <w:rPr>
          <w:rFonts w:ascii="Times New Roman" w:hAnsi="Times New Roman"/>
          <w:sz w:val="24"/>
          <w:szCs w:val="24"/>
        </w:rPr>
        <w:t>or her</w:t>
      </w:r>
      <w:r>
        <w:rPr>
          <w:rFonts w:ascii="Times New Roman" w:hAnsi="Times New Roman"/>
          <w:sz w:val="24"/>
          <w:szCs w:val="24"/>
        </w:rPr>
        <w:t xml:space="preserve"> </w:t>
      </w:r>
      <w:r w:rsidRPr="00212873">
        <w:rPr>
          <w:rFonts w:ascii="Times New Roman" w:hAnsi="Times New Roman"/>
          <w:sz w:val="24"/>
          <w:szCs w:val="24"/>
        </w:rPr>
        <w:t>yard.</w:t>
      </w:r>
      <w:r>
        <w:rPr>
          <w:rFonts w:ascii="Times New Roman" w:hAnsi="Times New Roman"/>
          <w:sz w:val="24"/>
          <w:szCs w:val="24"/>
        </w:rPr>
        <w:t xml:space="preserve"> </w:t>
      </w:r>
      <w:r w:rsidRPr="00212873">
        <w:rPr>
          <w:rFonts w:ascii="Times New Roman" w:hAnsi="Times New Roman"/>
          <w:sz w:val="24"/>
          <w:szCs w:val="24"/>
        </w:rPr>
        <w:t>We do not believe the General Assembly would have extended such broad</w:t>
      </w:r>
      <w:r>
        <w:rPr>
          <w:rFonts w:ascii="Times New Roman" w:hAnsi="Times New Roman"/>
          <w:sz w:val="24"/>
          <w:szCs w:val="24"/>
        </w:rPr>
        <w:t xml:space="preserve"> </w:t>
      </w:r>
      <w:r w:rsidRPr="00212873">
        <w:rPr>
          <w:rFonts w:ascii="Times New Roman" w:hAnsi="Times New Roman"/>
          <w:sz w:val="24"/>
          <w:szCs w:val="24"/>
        </w:rPr>
        <w:t>benefits to all firefighters without expressly providing for</w:t>
      </w:r>
      <w:r>
        <w:rPr>
          <w:rFonts w:ascii="Times New Roman" w:hAnsi="Times New Roman"/>
          <w:sz w:val="24"/>
          <w:szCs w:val="24"/>
        </w:rPr>
        <w:t xml:space="preserve"> </w:t>
      </w:r>
      <w:r w:rsidRPr="00212873">
        <w:rPr>
          <w:rFonts w:ascii="Times New Roman" w:hAnsi="Times New Roman"/>
          <w:sz w:val="24"/>
          <w:szCs w:val="24"/>
        </w:rPr>
        <w:t>such</w:t>
      </w:r>
      <w:r>
        <w:rPr>
          <w:rFonts w:ascii="Times New Roman" w:hAnsi="Times New Roman"/>
          <w:sz w:val="24"/>
          <w:szCs w:val="24"/>
        </w:rPr>
        <w:t xml:space="preserve"> </w:t>
      </w:r>
      <w:r w:rsidRPr="00212873">
        <w:rPr>
          <w:rFonts w:ascii="Times New Roman" w:hAnsi="Times New Roman"/>
          <w:sz w:val="24"/>
          <w:szCs w:val="24"/>
        </w:rPr>
        <w:t>in clear and unambiguous language.</w:t>
      </w:r>
      <w:r>
        <w:rPr>
          <w:rFonts w:ascii="Times New Roman" w:hAnsi="Times New Roman"/>
          <w:sz w:val="24"/>
          <w:szCs w:val="24"/>
        </w:rPr>
        <w:t xml:space="preserve">” </w:t>
      </w:r>
      <w:bookmarkStart w:id="666" w:name="_Hlk39861655"/>
      <w:r w:rsidR="00B0089C">
        <w:fldChar w:fldCharType="begin"/>
      </w:r>
      <w:r w:rsidR="00B0089C">
        <w:instrText xml:space="preserve"> HYPERLINK "https://www.courts.ri.gov/Courts/SupremeCourt/SupremeOpinions/17-295.pdf" </w:instrText>
      </w:r>
      <w:r w:rsidR="00B0089C">
        <w:fldChar w:fldCharType="separate"/>
      </w:r>
      <w:r w:rsidRPr="005F7F38">
        <w:rPr>
          <w:rStyle w:val="Hyperlink"/>
          <w:rFonts w:ascii="Times New Roman" w:hAnsi="Times New Roman"/>
          <w:sz w:val="24"/>
          <w:szCs w:val="24"/>
        </w:rPr>
        <w:t>https://www.courts.ri.gov/Courts/SupremeCourt/SupremeOpinions/17-295.pdf</w:t>
      </w:r>
      <w:r w:rsidR="00B0089C">
        <w:rPr>
          <w:rStyle w:val="Hyperlink"/>
          <w:rFonts w:ascii="Times New Roman" w:hAnsi="Times New Roman"/>
          <w:sz w:val="24"/>
          <w:szCs w:val="24"/>
        </w:rPr>
        <w:fldChar w:fldCharType="end"/>
      </w:r>
      <w:bookmarkEnd w:id="666"/>
      <w:r>
        <w:rPr>
          <w:rFonts w:ascii="Times New Roman" w:hAnsi="Times New Roman"/>
          <w:sz w:val="24"/>
          <w:szCs w:val="24"/>
        </w:rPr>
        <w:t xml:space="preserve"> </w:t>
      </w:r>
    </w:p>
    <w:bookmarkEnd w:id="663"/>
    <w:p w14:paraId="48EBCF44" w14:textId="77777777" w:rsidR="00420322" w:rsidRDefault="00420322" w:rsidP="000C4DF5">
      <w:pPr>
        <w:pStyle w:val="NoSpacing"/>
        <w:rPr>
          <w:rFonts w:ascii="Arial Black" w:hAnsi="Arial Black"/>
          <w:sz w:val="24"/>
          <w:szCs w:val="24"/>
        </w:rPr>
      </w:pPr>
    </w:p>
    <w:p w14:paraId="62625D07" w14:textId="418B9D40" w:rsidR="00420322" w:rsidRPr="00E600C4" w:rsidRDefault="00E600C4" w:rsidP="000C4DF5">
      <w:pPr>
        <w:pStyle w:val="NoSpacing"/>
        <w:rPr>
          <w:rFonts w:ascii="Times New Roman" w:hAnsi="Times New Roman"/>
          <w:b/>
          <w:bCs/>
          <w:sz w:val="24"/>
          <w:szCs w:val="24"/>
        </w:rPr>
      </w:pPr>
      <w:bookmarkStart w:id="667" w:name="_Hlk40517720"/>
      <w:r w:rsidRPr="00E600C4">
        <w:rPr>
          <w:rFonts w:ascii="Times New Roman" w:hAnsi="Times New Roman"/>
          <w:b/>
          <w:bCs/>
          <w:sz w:val="24"/>
          <w:szCs w:val="24"/>
        </w:rPr>
        <w:t xml:space="preserve">Legal Lessons Learned:  </w:t>
      </w:r>
      <w:r w:rsidR="00A76634">
        <w:rPr>
          <w:rFonts w:ascii="Times New Roman" w:hAnsi="Times New Roman"/>
          <w:b/>
          <w:bCs/>
          <w:sz w:val="24"/>
          <w:szCs w:val="24"/>
        </w:rPr>
        <w:t>Firefighter statutory presumption s</w:t>
      </w:r>
      <w:r w:rsidRPr="00E600C4">
        <w:rPr>
          <w:rFonts w:ascii="Times New Roman" w:hAnsi="Times New Roman"/>
          <w:b/>
          <w:bCs/>
          <w:sz w:val="24"/>
          <w:szCs w:val="24"/>
        </w:rPr>
        <w:t>tatut</w:t>
      </w:r>
      <w:r>
        <w:rPr>
          <w:rFonts w:ascii="Times New Roman" w:hAnsi="Times New Roman"/>
          <w:b/>
          <w:bCs/>
          <w:sz w:val="24"/>
          <w:szCs w:val="24"/>
        </w:rPr>
        <w:t>es</w:t>
      </w:r>
      <w:r w:rsidR="00A76634">
        <w:rPr>
          <w:rFonts w:ascii="Times New Roman" w:hAnsi="Times New Roman"/>
          <w:b/>
          <w:bCs/>
          <w:sz w:val="24"/>
          <w:szCs w:val="24"/>
        </w:rPr>
        <w:t xml:space="preserve">  should</w:t>
      </w:r>
      <w:r w:rsidRPr="00E600C4">
        <w:rPr>
          <w:rFonts w:ascii="Times New Roman" w:hAnsi="Times New Roman"/>
          <w:b/>
          <w:bCs/>
          <w:sz w:val="24"/>
          <w:szCs w:val="24"/>
        </w:rPr>
        <w:t xml:space="preserve"> have </w:t>
      </w:r>
      <w:r>
        <w:rPr>
          <w:rFonts w:ascii="Times New Roman" w:hAnsi="Times New Roman"/>
          <w:b/>
          <w:bCs/>
          <w:sz w:val="24"/>
          <w:szCs w:val="24"/>
        </w:rPr>
        <w:t>“</w:t>
      </w:r>
      <w:r w:rsidRPr="00E600C4">
        <w:rPr>
          <w:rFonts w:ascii="Times New Roman" w:hAnsi="Times New Roman"/>
          <w:b/>
          <w:bCs/>
          <w:sz w:val="24"/>
          <w:szCs w:val="24"/>
        </w:rPr>
        <w:t>clear</w:t>
      </w:r>
      <w:r>
        <w:rPr>
          <w:rFonts w:ascii="Times New Roman" w:hAnsi="Times New Roman"/>
          <w:b/>
          <w:bCs/>
          <w:sz w:val="24"/>
          <w:szCs w:val="24"/>
        </w:rPr>
        <w:t xml:space="preserve"> and </w:t>
      </w:r>
      <w:r w:rsidRPr="00E600C4">
        <w:rPr>
          <w:rFonts w:ascii="Times New Roman" w:hAnsi="Times New Roman"/>
          <w:b/>
          <w:bCs/>
          <w:sz w:val="24"/>
          <w:szCs w:val="24"/>
        </w:rPr>
        <w:t>unambiguous</w:t>
      </w:r>
      <w:r>
        <w:rPr>
          <w:rFonts w:ascii="Times New Roman" w:hAnsi="Times New Roman"/>
          <w:b/>
          <w:bCs/>
          <w:sz w:val="24"/>
          <w:szCs w:val="24"/>
        </w:rPr>
        <w:t>”</w:t>
      </w:r>
      <w:r w:rsidRPr="00E600C4">
        <w:rPr>
          <w:rFonts w:ascii="Times New Roman" w:hAnsi="Times New Roman"/>
          <w:b/>
          <w:bCs/>
          <w:sz w:val="24"/>
          <w:szCs w:val="24"/>
        </w:rPr>
        <w:t xml:space="preserve"> language. </w:t>
      </w:r>
    </w:p>
    <w:bookmarkEnd w:id="667"/>
    <w:p w14:paraId="42ED74B8" w14:textId="77777777" w:rsidR="00420322" w:rsidRDefault="00420322" w:rsidP="000C4DF5">
      <w:pPr>
        <w:pStyle w:val="NoSpacing"/>
        <w:rPr>
          <w:rFonts w:ascii="Arial Black" w:hAnsi="Arial Black"/>
          <w:sz w:val="24"/>
          <w:szCs w:val="24"/>
        </w:rPr>
      </w:pPr>
    </w:p>
    <w:bookmarkEnd w:id="664"/>
    <w:p w14:paraId="473A7B9F" w14:textId="7297C1A9" w:rsidR="000C4DF5" w:rsidRDefault="000C4DF5" w:rsidP="000C4DF5">
      <w:pPr>
        <w:pStyle w:val="NoSpacing"/>
        <w:rPr>
          <w:rFonts w:ascii="Arial Black" w:hAnsi="Arial Black"/>
          <w:sz w:val="24"/>
          <w:szCs w:val="24"/>
        </w:rPr>
      </w:pPr>
      <w:r>
        <w:rPr>
          <w:rFonts w:ascii="Arial Black" w:hAnsi="Arial Black"/>
          <w:sz w:val="24"/>
          <w:szCs w:val="24"/>
        </w:rPr>
        <w:t>18-2</w:t>
      </w:r>
    </w:p>
    <w:p w14:paraId="1069D5C4" w14:textId="77777777" w:rsidR="000C4DF5" w:rsidRDefault="000C4DF5" w:rsidP="00F326E5">
      <w:pPr>
        <w:pStyle w:val="NoSpacing"/>
        <w:rPr>
          <w:rFonts w:ascii="Arial Black" w:hAnsi="Arial Black"/>
          <w:b/>
          <w:sz w:val="28"/>
          <w:szCs w:val="28"/>
        </w:rPr>
      </w:pPr>
    </w:p>
    <w:p w14:paraId="127D79E0" w14:textId="0E1D2D91" w:rsidR="00F326E5" w:rsidRPr="0047741D" w:rsidRDefault="00F326E5" w:rsidP="00F326E5">
      <w:pPr>
        <w:pStyle w:val="NoSpacing"/>
        <w:rPr>
          <w:rFonts w:ascii="Times New Roman" w:hAnsi="Times New Roman"/>
          <w:sz w:val="24"/>
          <w:szCs w:val="24"/>
        </w:rPr>
      </w:pPr>
      <w:bookmarkStart w:id="668" w:name="_Hlk39773638"/>
      <w:r w:rsidRPr="0047741D">
        <w:rPr>
          <w:rFonts w:ascii="Arial Black" w:hAnsi="Arial Black"/>
          <w:b/>
          <w:sz w:val="28"/>
          <w:szCs w:val="28"/>
        </w:rPr>
        <w:t xml:space="preserve">WY:  STATE STATUTE, VOLUNTEER FF WHO GETS PAID PER RUN ENTITLED TO BE IN THE UNION </w:t>
      </w:r>
      <w:r w:rsidRPr="0047741D">
        <w:rPr>
          <w:rFonts w:ascii="Times New Roman" w:hAnsi="Times New Roman"/>
          <w:sz w:val="24"/>
          <w:szCs w:val="24"/>
        </w:rPr>
        <w:t>[also filed, Chap. 6]</w:t>
      </w:r>
    </w:p>
    <w:p w14:paraId="72B94CE1" w14:textId="77777777" w:rsidR="00F326E5" w:rsidRPr="00E600C4" w:rsidRDefault="00F326E5" w:rsidP="00F326E5">
      <w:pPr>
        <w:pStyle w:val="NormalWeb"/>
        <w:rPr>
          <w:bCs/>
        </w:rPr>
      </w:pPr>
      <w:r w:rsidRPr="00E600C4">
        <w:rPr>
          <w:bCs/>
        </w:rPr>
        <w:t xml:space="preserve">On July 6, 2018, in </w:t>
      </w:r>
      <w:r w:rsidRPr="00E600C4">
        <w:rPr>
          <w:bCs/>
          <w:u w:val="single"/>
        </w:rPr>
        <w:t>IAFF Local 5058 v. Gillette / Wright / Campbell County Fire Protection Joint Powers Board, and IAFF Local 5067 v. Teton County and Town of Jackson</w:t>
      </w:r>
      <w:r w:rsidRPr="00E600C4">
        <w:rPr>
          <w:bCs/>
        </w:rPr>
        <w:t xml:space="preserve">, the Wyoming Supreme Court held (5 to 0) that the two new unions were not properly elected, and the Fire Districts did not need to negotiate collective bargaining agreements, because the “volunteer” and “pool” firefighters all receive pay for making runs.  </w:t>
      </w:r>
    </w:p>
    <w:p w14:paraId="49C75105"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“The district courts in both cases held that the Wyoming Collective </w:t>
      </w:r>
    </w:p>
    <w:p w14:paraId="7E7BFB43"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Bargaining for Fire Fighters Act’s definition of ‘fire fighters’ </w:t>
      </w:r>
    </w:p>
    <w:p w14:paraId="7563405C"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includes volunteers because they are ‘paid members of . . . regularly </w:t>
      </w:r>
    </w:p>
    <w:p w14:paraId="7BA8EF8C"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constituted fire department[s].’ Consequently, the district courts concluded </w:t>
      </w:r>
    </w:p>
    <w:p w14:paraId="1AFABDE1"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that IAFF Local 5058 and IAFF Local 5067, which were formed by and </w:t>
      </w:r>
    </w:p>
    <w:p w14:paraId="2053297F"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consist of only full-time, career fire fighters, were not properly constituted </w:t>
      </w:r>
    </w:p>
    <w:p w14:paraId="316BAEED" w14:textId="77777777" w:rsidR="00F326E5" w:rsidRPr="00E600C4" w:rsidRDefault="00F326E5" w:rsidP="00F326E5">
      <w:pPr>
        <w:pStyle w:val="NoSpacing"/>
        <w:ind w:firstLine="720"/>
        <w:rPr>
          <w:rFonts w:ascii="Times New Roman" w:hAnsi="Times New Roman"/>
          <w:bCs/>
          <w:sz w:val="24"/>
          <w:szCs w:val="24"/>
        </w:rPr>
      </w:pPr>
      <w:r w:rsidRPr="00E600C4">
        <w:rPr>
          <w:rFonts w:ascii="Times New Roman" w:hAnsi="Times New Roman"/>
          <w:sz w:val="24"/>
          <w:szCs w:val="24"/>
        </w:rPr>
        <w:t>bargaining units under the Act. We affirm.”</w:t>
      </w:r>
    </w:p>
    <w:p w14:paraId="0B228002" w14:textId="77777777" w:rsidR="00F326E5" w:rsidRPr="00E600C4" w:rsidRDefault="00F326E5" w:rsidP="00F326E5">
      <w:pPr>
        <w:ind w:firstLine="720"/>
        <w:rPr>
          <w:rFonts w:ascii="Times New Roman" w:hAnsi="Times New Roman"/>
          <w:b/>
          <w:bCs/>
          <w:sz w:val="24"/>
          <w:szCs w:val="24"/>
        </w:rPr>
      </w:pPr>
      <w:hyperlink r:id="rId2829" w:history="1">
        <w:r w:rsidRPr="00E600C4">
          <w:rPr>
            <w:rStyle w:val="Hyperlink"/>
            <w:rFonts w:ascii="Times New Roman" w:hAnsi="Times New Roman"/>
            <w:sz w:val="24"/>
            <w:szCs w:val="24"/>
          </w:rPr>
          <w:t>https://services.courts.state.wy.us/Documents/Opinions/2018WY75.pdf</w:t>
        </w:r>
      </w:hyperlink>
      <w:r w:rsidRPr="00E600C4">
        <w:rPr>
          <w:rFonts w:ascii="Times New Roman" w:hAnsi="Times New Roman"/>
          <w:b/>
          <w:bCs/>
          <w:sz w:val="24"/>
          <w:szCs w:val="24"/>
        </w:rPr>
        <w:t xml:space="preserve"> </w:t>
      </w:r>
    </w:p>
    <w:bookmarkEnd w:id="668"/>
    <w:p w14:paraId="45959243" w14:textId="54706AE9"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w:t>
      </w:r>
      <w:r w:rsidR="00000960">
        <w:rPr>
          <w:rFonts w:ascii="Times New Roman" w:hAnsi="Times New Roman"/>
          <w:b/>
          <w:sz w:val="24"/>
          <w:szCs w:val="24"/>
        </w:rPr>
        <w:t>When d</w:t>
      </w:r>
      <w:r w:rsidRPr="00E600C4">
        <w:rPr>
          <w:rFonts w:ascii="Times New Roman" w:hAnsi="Times New Roman"/>
          <w:b/>
          <w:sz w:val="24"/>
          <w:szCs w:val="24"/>
        </w:rPr>
        <w:t>rafting legislative</w:t>
      </w:r>
      <w:r w:rsidR="00000960">
        <w:rPr>
          <w:rFonts w:ascii="Times New Roman" w:hAnsi="Times New Roman"/>
          <w:b/>
          <w:sz w:val="24"/>
          <w:szCs w:val="24"/>
        </w:rPr>
        <w:t xml:space="preserve">, using clear </w:t>
      </w:r>
      <w:r w:rsidRPr="00E600C4">
        <w:rPr>
          <w:rFonts w:ascii="Times New Roman" w:hAnsi="Times New Roman"/>
          <w:b/>
          <w:sz w:val="24"/>
          <w:szCs w:val="24"/>
        </w:rPr>
        <w:t>language is very important, along with creating a “legislative history” to avoid any question about whether volunteer and part-time firefighters can be covered in a collective bargaining agreement.</w:t>
      </w:r>
    </w:p>
    <w:p w14:paraId="1618DD66" w14:textId="77777777" w:rsidR="00F326E5" w:rsidRPr="0047741D" w:rsidRDefault="00F326E5" w:rsidP="00F326E5">
      <w:pPr>
        <w:rPr>
          <w:b/>
          <w:bCs/>
          <w:sz w:val="24"/>
          <w:szCs w:val="24"/>
        </w:rPr>
      </w:pPr>
    </w:p>
    <w:bookmarkEnd w:id="654"/>
    <w:p w14:paraId="5E0F6751" w14:textId="3ED55C98" w:rsidR="000C4DF5" w:rsidRDefault="000C4DF5" w:rsidP="000C4DF5">
      <w:pPr>
        <w:pStyle w:val="NoSpacing"/>
        <w:rPr>
          <w:rFonts w:ascii="Arial Black" w:hAnsi="Arial Black"/>
          <w:sz w:val="24"/>
          <w:szCs w:val="24"/>
        </w:rPr>
      </w:pPr>
      <w:r>
        <w:rPr>
          <w:rFonts w:ascii="Arial Black" w:hAnsi="Arial Black"/>
          <w:sz w:val="24"/>
          <w:szCs w:val="24"/>
        </w:rPr>
        <w:t>18-1</w:t>
      </w:r>
    </w:p>
    <w:p w14:paraId="3F1E4CB5" w14:textId="77777777" w:rsidR="000C4DF5" w:rsidRDefault="000C4DF5" w:rsidP="00F326E5">
      <w:pPr>
        <w:rPr>
          <w:rFonts w:ascii="Arial Black" w:hAnsi="Arial Black"/>
          <w:sz w:val="28"/>
          <w:szCs w:val="28"/>
        </w:rPr>
      </w:pPr>
      <w:bookmarkStart w:id="669" w:name="_Hlk7349781"/>
      <w:bookmarkStart w:id="670" w:name="_Hlk7349854"/>
    </w:p>
    <w:p w14:paraId="33F4DD7C" w14:textId="42E11262" w:rsidR="00F326E5" w:rsidRPr="00012487" w:rsidRDefault="00F326E5" w:rsidP="00F326E5">
      <w:pPr>
        <w:rPr>
          <w:rFonts w:ascii="Arial Black" w:hAnsi="Arial Black"/>
          <w:sz w:val="24"/>
          <w:szCs w:val="24"/>
        </w:rPr>
      </w:pPr>
      <w:bookmarkStart w:id="671" w:name="_Hlk40517902"/>
      <w:r w:rsidRPr="00BF01EE">
        <w:rPr>
          <w:rFonts w:ascii="Arial Black" w:hAnsi="Arial Black"/>
          <w:sz w:val="28"/>
          <w:szCs w:val="28"/>
        </w:rPr>
        <w:t xml:space="preserve">OH: </w:t>
      </w:r>
      <w:r>
        <w:rPr>
          <w:rFonts w:ascii="Arial Black" w:hAnsi="Arial Black"/>
          <w:sz w:val="28"/>
          <w:szCs w:val="28"/>
        </w:rPr>
        <w:t>911 “GOOD SAMARITAN LAW”</w:t>
      </w:r>
      <w:r w:rsidR="00CA57F1">
        <w:rPr>
          <w:rFonts w:ascii="Arial Black" w:hAnsi="Arial Black"/>
          <w:sz w:val="28"/>
          <w:szCs w:val="28"/>
        </w:rPr>
        <w:t xml:space="preserve"> </w:t>
      </w:r>
      <w:r>
        <w:rPr>
          <w:rFonts w:ascii="Arial Black" w:hAnsi="Arial Black"/>
          <w:sz w:val="28"/>
          <w:szCs w:val="28"/>
        </w:rPr>
        <w:t xml:space="preserve">– </w:t>
      </w:r>
      <w:r w:rsidR="00E600C4">
        <w:rPr>
          <w:rFonts w:ascii="Arial Black" w:hAnsi="Arial Black"/>
          <w:sz w:val="28"/>
          <w:szCs w:val="28"/>
        </w:rPr>
        <w:t xml:space="preserve">DRUG USERS - </w:t>
      </w:r>
      <w:r>
        <w:rPr>
          <w:rFonts w:ascii="Arial Black" w:hAnsi="Arial Black"/>
          <w:sz w:val="28"/>
          <w:szCs w:val="28"/>
        </w:rPr>
        <w:t xml:space="preserve">AVOID PROSECUTION IF CALL 911 - TREATMENT IN 30 DAYS </w:t>
      </w:r>
      <w:r w:rsidRPr="003D6884">
        <w:rPr>
          <w:b/>
          <w:sz w:val="24"/>
          <w:szCs w:val="24"/>
        </w:rPr>
        <w:t>[also filed, Chap. 1</w:t>
      </w:r>
      <w:r>
        <w:rPr>
          <w:b/>
          <w:sz w:val="24"/>
          <w:szCs w:val="24"/>
        </w:rPr>
        <w:t>3</w:t>
      </w:r>
      <w:r w:rsidRPr="003D6884">
        <w:rPr>
          <w:b/>
          <w:sz w:val="24"/>
          <w:szCs w:val="24"/>
        </w:rPr>
        <w:t>]</w:t>
      </w:r>
    </w:p>
    <w:p w14:paraId="53E1A514" w14:textId="77777777" w:rsidR="00F326E5" w:rsidRPr="00E600C4" w:rsidRDefault="00F326E5" w:rsidP="00F326E5">
      <w:pPr>
        <w:rPr>
          <w:rStyle w:val="Hyperlink"/>
          <w:rFonts w:ascii="Times New Roman" w:hAnsi="Times New Roman"/>
          <w:sz w:val="24"/>
          <w:szCs w:val="24"/>
        </w:rPr>
      </w:pPr>
      <w:r w:rsidRPr="00E600C4">
        <w:rPr>
          <w:rFonts w:ascii="Times New Roman" w:eastAsia="Times New Roman" w:hAnsi="Times New Roman"/>
          <w:sz w:val="24"/>
          <w:szCs w:val="24"/>
        </w:rPr>
        <w:t xml:space="preserve">On May 18, 2018, in </w:t>
      </w:r>
      <w:r w:rsidRPr="00E600C4">
        <w:rPr>
          <w:rFonts w:ascii="Times New Roman" w:eastAsia="Times New Roman" w:hAnsi="Times New Roman"/>
          <w:sz w:val="24"/>
          <w:szCs w:val="24"/>
          <w:u w:val="single"/>
        </w:rPr>
        <w:t>State of Ohio v. Andrew Melms</w:t>
      </w:r>
      <w:r w:rsidRPr="00E600C4">
        <w:rPr>
          <w:rFonts w:ascii="Times New Roman" w:eastAsia="Times New Roman" w:hAnsi="Times New Roman"/>
          <w:sz w:val="24"/>
          <w:szCs w:val="24"/>
        </w:rPr>
        <w:t xml:space="preserve">, the Court of Appeals For Second District (Montgomery County), held (3 to 0) that an overdose victim, arrested with </w:t>
      </w:r>
      <w:r w:rsidRPr="00E600C4">
        <w:rPr>
          <w:rFonts w:ascii="Times New Roman" w:hAnsi="Times New Roman"/>
          <w:sz w:val="24"/>
          <w:szCs w:val="24"/>
        </w:rPr>
        <w:t>six gel caps of fentanyl, was not eligible for immunity; he was in jail and did not enroll in treatment within the 30-day limit set under the new Ohio statute enacted in 2016.  The Court urged the Ohio General Assembly to modify the law: “</w:t>
      </w:r>
      <w:r w:rsidRPr="00E600C4">
        <w:rPr>
          <w:rFonts w:ascii="Times New Roman" w:eastAsia="Times New Roman" w:hAnsi="Times New Roman"/>
          <w:sz w:val="24"/>
          <w:szCs w:val="24"/>
        </w:rPr>
        <w:t xml:space="preserve">Granted Melms seemingly was an ideal candidate for immunity, but for the clear and unambiguous 30-day window set forth by the </w:t>
      </w:r>
      <w:r w:rsidRPr="00E600C4">
        <w:rPr>
          <w:rFonts w:ascii="Times New Roman" w:eastAsia="Times New Roman" w:hAnsi="Times New Roman"/>
          <w:sz w:val="24"/>
          <w:szCs w:val="24"/>
        </w:rPr>
        <w:lastRenderedPageBreak/>
        <w:t xml:space="preserve">legislature. </w:t>
      </w:r>
      <w:bookmarkEnd w:id="671"/>
      <w:r w:rsidRPr="00E600C4">
        <w:rPr>
          <w:rFonts w:ascii="Times New Roman" w:eastAsia="Times New Roman" w:hAnsi="Times New Roman"/>
          <w:sz w:val="24"/>
          <w:szCs w:val="24"/>
        </w:rPr>
        <w:t xml:space="preserve">The remedy lies with the </w:t>
      </w:r>
      <w:proofErr w:type="gramStart"/>
      <w:r w:rsidRPr="00E600C4">
        <w:rPr>
          <w:rFonts w:ascii="Times New Roman" w:eastAsia="Times New Roman" w:hAnsi="Times New Roman"/>
          <w:sz w:val="24"/>
          <w:szCs w:val="24"/>
        </w:rPr>
        <w:t>legislature to</w:t>
      </w:r>
      <w:proofErr w:type="gramEnd"/>
      <w:r w:rsidRPr="00E600C4">
        <w:rPr>
          <w:rFonts w:ascii="Times New Roman" w:eastAsia="Times New Roman" w:hAnsi="Times New Roman"/>
          <w:sz w:val="24"/>
          <w:szCs w:val="24"/>
        </w:rPr>
        <w:t xml:space="preserve"> either eliminate the 30-day restriction or </w:t>
      </w:r>
      <w:proofErr w:type="gramStart"/>
      <w:r w:rsidRPr="00E600C4">
        <w:rPr>
          <w:rFonts w:ascii="Times New Roman" w:eastAsia="Times New Roman" w:hAnsi="Times New Roman"/>
          <w:sz w:val="24"/>
          <w:szCs w:val="24"/>
        </w:rPr>
        <w:t>to provide</w:t>
      </w:r>
      <w:proofErr w:type="gramEnd"/>
      <w:r w:rsidRPr="00E600C4">
        <w:rPr>
          <w:rFonts w:ascii="Times New Roman" w:eastAsia="Times New Roman" w:hAnsi="Times New Roman"/>
          <w:sz w:val="24"/>
          <w:szCs w:val="24"/>
        </w:rPr>
        <w:t xml:space="preserve"> for the exercise of judicial discretion, particularly in those cases of the most vulnerable, often indigent, incarcerated individuals who are unaware of the time limit until after counsel is appointed on the drug offense. In our view, an immediate legislative fix is warranted so that this legislation achieves its laudable </w:t>
      </w:r>
      <w:proofErr w:type="gramStart"/>
      <w:r w:rsidRPr="00E600C4">
        <w:rPr>
          <w:rFonts w:ascii="Times New Roman" w:eastAsia="Times New Roman" w:hAnsi="Times New Roman"/>
          <w:sz w:val="24"/>
          <w:szCs w:val="24"/>
        </w:rPr>
        <w:t>goals.”</w:t>
      </w:r>
      <w:proofErr w:type="gramEnd"/>
      <w:r w:rsidRPr="00E600C4">
        <w:rPr>
          <w:rFonts w:ascii="Times New Roman" w:eastAsia="Times New Roman" w:hAnsi="Times New Roman"/>
          <w:sz w:val="24"/>
          <w:szCs w:val="24"/>
        </w:rPr>
        <w:t xml:space="preserve"> </w:t>
      </w:r>
      <w:bookmarkStart w:id="672" w:name="_Hlk40517955"/>
      <w:r w:rsidR="009B50E8">
        <w:fldChar w:fldCharType="begin"/>
      </w:r>
      <w:r w:rsidR="009B50E8">
        <w:instrText xml:space="preserve"> HYPERLINK "https://cases.justia.com/ohio/second-district-court-of-appeals/2018-27685.pdf?ts=1526679598" </w:instrText>
      </w:r>
      <w:r w:rsidR="009B50E8">
        <w:fldChar w:fldCharType="separate"/>
      </w:r>
      <w:r w:rsidRPr="00E600C4">
        <w:rPr>
          <w:rStyle w:val="Hyperlink"/>
          <w:rFonts w:ascii="Times New Roman" w:hAnsi="Times New Roman"/>
          <w:sz w:val="24"/>
          <w:szCs w:val="24"/>
        </w:rPr>
        <w:t>https://cases.justia.com/ohio/second-district-court-of-appeals/2018-27685.pdf?ts=1526679598</w:t>
      </w:r>
      <w:r w:rsidR="009B50E8">
        <w:rPr>
          <w:rStyle w:val="Hyperlink"/>
          <w:rFonts w:ascii="Times New Roman" w:hAnsi="Times New Roman"/>
          <w:sz w:val="24"/>
          <w:szCs w:val="24"/>
        </w:rPr>
        <w:fldChar w:fldCharType="end"/>
      </w:r>
    </w:p>
    <w:p w14:paraId="1286D19A" w14:textId="77777777" w:rsidR="00F326E5" w:rsidRPr="00E600C4" w:rsidRDefault="00F326E5" w:rsidP="00F326E5">
      <w:pPr>
        <w:rPr>
          <w:rFonts w:ascii="Times New Roman" w:eastAsia="Times New Roman" w:hAnsi="Times New Roman"/>
          <w:b/>
          <w:sz w:val="24"/>
          <w:szCs w:val="24"/>
        </w:rPr>
      </w:pPr>
      <w:r w:rsidRPr="00E600C4">
        <w:rPr>
          <w:rFonts w:ascii="Times New Roman" w:eastAsia="Times New Roman" w:hAnsi="Times New Roman"/>
          <w:b/>
          <w:sz w:val="24"/>
          <w:szCs w:val="24"/>
        </w:rPr>
        <w:t xml:space="preserve">Legal Lessons Learned:  The “911 Good Samaritan” immunity statute is to encourage drug users and their associates to call 911 for an overdose, and to promptly seek treatment (can receive immunity only twice). </w:t>
      </w:r>
    </w:p>
    <w:bookmarkEnd w:id="669"/>
    <w:p w14:paraId="5923B28C" w14:textId="77777777" w:rsidR="00F326E5" w:rsidRPr="00E600C4" w:rsidRDefault="00F326E5" w:rsidP="00F326E5">
      <w:pPr>
        <w:ind w:firstLine="720"/>
        <w:rPr>
          <w:rFonts w:ascii="Times New Roman" w:hAnsi="Times New Roman"/>
          <w:sz w:val="24"/>
          <w:szCs w:val="24"/>
        </w:rPr>
      </w:pPr>
      <w:r w:rsidRPr="00E600C4">
        <w:rPr>
          <w:rFonts w:ascii="Times New Roman" w:eastAsia="Times New Roman" w:hAnsi="Times New Roman"/>
          <w:sz w:val="24"/>
          <w:szCs w:val="24"/>
        </w:rPr>
        <w:t>Note: 911 Dispatchers ae required to inform overdose patients about the new law:</w:t>
      </w:r>
    </w:p>
    <w:p w14:paraId="49858824"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R.C. 128.04 provides as follows: </w:t>
      </w:r>
    </w:p>
    <w:p w14:paraId="22C49A68"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(A) Public safety answering point personnel who are certified as emergency service </w:t>
      </w:r>
    </w:p>
    <w:p w14:paraId="6B644CA3"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telecommunicators under section 4742.03 of the Revised Code shall receive training in </w:t>
      </w:r>
    </w:p>
    <w:p w14:paraId="01DD06A6" w14:textId="77777777" w:rsidR="00F326E5" w:rsidRPr="00E600C4" w:rsidRDefault="00F326E5" w:rsidP="00F326E5">
      <w:pPr>
        <w:pStyle w:val="NoSpacing"/>
        <w:ind w:left="720"/>
        <w:rPr>
          <w:rFonts w:ascii="Times New Roman" w:hAnsi="Times New Roman"/>
          <w:sz w:val="24"/>
          <w:szCs w:val="24"/>
        </w:rPr>
      </w:pPr>
      <w:proofErr w:type="gramStart"/>
      <w:r w:rsidRPr="00E600C4">
        <w:rPr>
          <w:rFonts w:ascii="Times New Roman" w:hAnsi="Times New Roman"/>
          <w:sz w:val="24"/>
          <w:szCs w:val="24"/>
        </w:rPr>
        <w:t>informing</w:t>
      </w:r>
      <w:proofErr w:type="gramEnd"/>
      <w:r w:rsidRPr="00E600C4">
        <w:rPr>
          <w:rFonts w:ascii="Times New Roman" w:hAnsi="Times New Roman"/>
          <w:sz w:val="24"/>
          <w:szCs w:val="24"/>
        </w:rPr>
        <w:t xml:space="preserve"> individuals who call about an apparent drug overdose about the immunity from prosecution for a minor drug possession offense created by section 2925.11 of the Revised Code. </w:t>
      </w:r>
    </w:p>
    <w:p w14:paraId="1754C47B"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(B) Public safety answering point personnel who receive a call about an apparent drug </w:t>
      </w:r>
    </w:p>
    <w:p w14:paraId="2A0262AD"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overdose shall make reasonable efforts, upon the caller's inquiry, to inform the caller </w:t>
      </w:r>
    </w:p>
    <w:p w14:paraId="389055F9"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about the immunity from prosecution for a minor drug possession offense created </w:t>
      </w:r>
    </w:p>
    <w:p w14:paraId="143F041B"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by section 2925.11 of the Revised Code. </w:t>
      </w:r>
    </w:p>
    <w:bookmarkEnd w:id="672"/>
    <w:p w14:paraId="508D40B2" w14:textId="77777777" w:rsidR="00F326E5" w:rsidRPr="00E600C4" w:rsidRDefault="00F326E5" w:rsidP="00F326E5">
      <w:pPr>
        <w:rPr>
          <w:rFonts w:ascii="Times New Roman" w:eastAsia="Times New Roman" w:hAnsi="Times New Roman"/>
          <w:sz w:val="24"/>
          <w:szCs w:val="24"/>
        </w:rPr>
      </w:pPr>
    </w:p>
    <w:p w14:paraId="55F7D20B" w14:textId="77777777" w:rsidR="00F326E5" w:rsidRDefault="00F326E5" w:rsidP="00F326E5">
      <w:pPr>
        <w:rPr>
          <w:rFonts w:eastAsia="Times New Roman"/>
          <w:sz w:val="24"/>
          <w:szCs w:val="24"/>
        </w:rPr>
      </w:pPr>
    </w:p>
    <w:bookmarkEnd w:id="670"/>
    <w:p w14:paraId="1F41C09F" w14:textId="77777777" w:rsidR="00F326E5" w:rsidRPr="007732FA" w:rsidRDefault="00F326E5" w:rsidP="00F326E5">
      <w:pPr>
        <w:spacing w:before="100" w:beforeAutospacing="1" w:after="100" w:afterAutospacing="1" w:line="240" w:lineRule="auto"/>
        <w:rPr>
          <w:rFonts w:ascii="Arial Black" w:hAnsi="Arial Black"/>
          <w:sz w:val="40"/>
          <w:szCs w:val="40"/>
        </w:rPr>
      </w:pPr>
    </w:p>
    <w:p w14:paraId="38875852" w14:textId="77777777" w:rsidR="00F326E5" w:rsidRPr="007732FA" w:rsidRDefault="00F326E5" w:rsidP="00F326E5">
      <w:pPr>
        <w:spacing w:before="100" w:beforeAutospacing="1" w:after="100" w:afterAutospacing="1" w:line="240" w:lineRule="auto"/>
        <w:rPr>
          <w:rFonts w:ascii="Arial Black" w:hAnsi="Arial Black"/>
          <w:sz w:val="40"/>
          <w:szCs w:val="40"/>
        </w:rPr>
      </w:pPr>
    </w:p>
    <w:p w14:paraId="3B542359" w14:textId="77777777" w:rsidR="00F326E5" w:rsidRDefault="00F326E5" w:rsidP="00F326E5">
      <w:pPr>
        <w:spacing w:before="100" w:beforeAutospacing="1" w:after="100" w:afterAutospacing="1" w:line="240" w:lineRule="auto"/>
        <w:rPr>
          <w:rFonts w:ascii="Times New Roman" w:hAnsi="Times New Roman"/>
          <w:sz w:val="24"/>
          <w:szCs w:val="24"/>
        </w:rPr>
      </w:pPr>
    </w:p>
    <w:p w14:paraId="25DCD3D7" w14:textId="77777777" w:rsidR="00F326E5" w:rsidRPr="00A50673" w:rsidRDefault="00F326E5" w:rsidP="00F326E5">
      <w:pPr>
        <w:pStyle w:val="NoSpacing"/>
        <w:rPr>
          <w:b/>
          <w:sz w:val="24"/>
          <w:szCs w:val="24"/>
        </w:rPr>
      </w:pPr>
      <w:r>
        <w:rPr>
          <w:b/>
          <w:sz w:val="24"/>
          <w:szCs w:val="24"/>
        </w:rPr>
        <w:t xml:space="preserve"> </w:t>
      </w:r>
    </w:p>
    <w:p w14:paraId="23B7B606" w14:textId="77777777" w:rsidR="00F326E5" w:rsidRDefault="00F326E5" w:rsidP="00F326E5">
      <w:pPr>
        <w:spacing w:before="100" w:beforeAutospacing="1" w:after="100" w:afterAutospacing="1" w:line="240" w:lineRule="auto"/>
        <w:rPr>
          <w:rFonts w:ascii="Times New Roman" w:hAnsi="Times New Roman"/>
          <w:sz w:val="24"/>
          <w:szCs w:val="24"/>
        </w:rPr>
      </w:pPr>
    </w:p>
    <w:p w14:paraId="59CED2A1" w14:textId="77777777" w:rsidR="00F326E5" w:rsidRPr="00AA42D4" w:rsidRDefault="00F326E5" w:rsidP="00F326E5">
      <w:pPr>
        <w:spacing w:before="100" w:beforeAutospacing="1" w:after="100" w:afterAutospacing="1" w:line="240" w:lineRule="auto"/>
        <w:rPr>
          <w:rFonts w:ascii="Times New Roman" w:hAnsi="Times New Roman"/>
          <w:sz w:val="24"/>
          <w:szCs w:val="24"/>
        </w:rPr>
      </w:pPr>
    </w:p>
    <w:p w14:paraId="6E734B25" w14:textId="77777777" w:rsidR="00F326E5" w:rsidRPr="00C80872" w:rsidRDefault="00F326E5" w:rsidP="00F326E5">
      <w:pPr>
        <w:rPr>
          <w:rFonts w:ascii="Times New Roman" w:eastAsiaTheme="majorEastAsia" w:hAnsi="Times New Roman"/>
          <w:sz w:val="28"/>
          <w:szCs w:val="28"/>
        </w:rPr>
      </w:pPr>
    </w:p>
    <w:bookmarkEnd w:id="0"/>
    <w:p w14:paraId="37E7CFA5" w14:textId="77777777" w:rsidR="00F326E5" w:rsidRDefault="00F326E5" w:rsidP="007C45CA">
      <w:pPr>
        <w:pStyle w:val="NoSpacing"/>
        <w:jc w:val="center"/>
      </w:pPr>
    </w:p>
    <w:sectPr w:rsidR="00F326E5" w:rsidSect="00BC70F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A441E" w14:textId="77777777" w:rsidR="00B80B7F" w:rsidRDefault="00B80B7F" w:rsidP="00E265AB">
      <w:pPr>
        <w:spacing w:after="0" w:line="240" w:lineRule="auto"/>
      </w:pPr>
      <w:r>
        <w:separator/>
      </w:r>
    </w:p>
  </w:endnote>
  <w:endnote w:type="continuationSeparator" w:id="0">
    <w:p w14:paraId="639339CF" w14:textId="77777777" w:rsidR="00B80B7F" w:rsidRDefault="00B80B7F" w:rsidP="00E26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n Times New Roman">
    <w:altName w:val="Cambria"/>
    <w:panose1 w:val="00000000000000000000"/>
    <w:charset w:val="00"/>
    <w:family w:val="roman"/>
    <w:notTrueType/>
    <w:pitch w:val="default"/>
  </w:font>
  <w:font w:name="PArial Black">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nTimes New Roman">
    <w:altName w:val="Cambria"/>
    <w:panose1 w:val="00000000000000000000"/>
    <w:charset w:val="00"/>
    <w:family w:val="roman"/>
    <w:notTrueType/>
    <w:pitch w:val="default"/>
  </w:font>
  <w:font w:name="MIArial Black">
    <w:altName w:val="Cambria"/>
    <w:panose1 w:val="00000000000000000000"/>
    <w:charset w:val="00"/>
    <w:family w:val="roman"/>
    <w:notTrueType/>
    <w:pitch w:val="default"/>
  </w:font>
  <w:font w:name="AATimes New Roman">
    <w:altName w:val="Cambria"/>
    <w:panose1 w:val="00000000000000000000"/>
    <w:charset w:val="00"/>
    <w:family w:val="roman"/>
    <w:notTrueType/>
    <w:pitch w:val="default"/>
  </w:font>
  <w:font w:name="[">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quot;Times New Roman">
    <w:altName w:val="Cambria"/>
    <w:panose1 w:val="00000000000000000000"/>
    <w:charset w:val="00"/>
    <w:family w:val="roman"/>
    <w:notTrueType/>
    <w:pitch w:val="default"/>
  </w:font>
  <w:font w:name="NYArial Black">
    <w:altName w:val="Cambria"/>
    <w:panose1 w:val="00000000000000000000"/>
    <w:charset w:val="00"/>
    <w:family w:val="roman"/>
    <w:notTrueType/>
    <w:pitch w:val="default"/>
  </w:font>
  <w:font w:name="SeeTimes New Roman">
    <w:altName w:val="Cambria"/>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EArial Black">
    <w:altName w:val="Cambria"/>
    <w:panose1 w:val="00000000000000000000"/>
    <w:charset w:val="00"/>
    <w:family w:val="roman"/>
    <w:notTrueType/>
    <w:pitch w:val="default"/>
  </w:font>
  <w:font w:name="On On">
    <w:altName w:val="Cambria"/>
    <w:panose1 w:val="00000000000000000000"/>
    <w:charset w:val="00"/>
    <w:family w:val="roman"/>
    <w:notTrueType/>
    <w:pitch w:val="default"/>
  </w:font>
  <w:font w:name="DArial Black">
    <w:altName w:val="Cambria"/>
    <w:panose1 w:val="00000000000000000000"/>
    <w:charset w:val="00"/>
    <w:family w:val="roman"/>
    <w:notTrueType/>
    <w:pitch w:val="default"/>
  </w:font>
  <w:font w:name="KYArial Black">
    <w:altName w:val="Cambria"/>
    <w:panose1 w:val="00000000000000000000"/>
    <w:charset w:val="00"/>
    <w:family w:val="roman"/>
    <w:notTrueType/>
    <w:pitch w:val="default"/>
  </w:font>
  <w:font w:name="acumin-pro">
    <w:altName w:val="Cambria"/>
    <w:panose1 w:val="00000000000000000000"/>
    <w:charset w:val="00"/>
    <w:family w:val="roman"/>
    <w:notTrueType/>
    <w:pitch w:val="default"/>
  </w:font>
  <w:font w:name="In">
    <w:altName w:val="Cambria"/>
    <w:panose1 w:val="00000000000000000000"/>
    <w:charset w:val="00"/>
    <w:family w:val="roman"/>
    <w:notTrueType/>
    <w:pitch w:val="default"/>
  </w:font>
  <w:font w:name="[Times New Roman">
    <w:altName w:val="Cambria"/>
    <w:panose1 w:val="00000000000000000000"/>
    <w:charset w:val="00"/>
    <w:family w:val="roman"/>
    <w:notTrueType/>
    <w:pitch w:val="default"/>
  </w:font>
  <w:font w:name="FeTimes New 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Arial Black">
    <w:altName w:val="Cambria"/>
    <w:panose1 w:val="00000000000000000000"/>
    <w:charset w:val="00"/>
    <w:family w:val="roman"/>
    <w:notTrueType/>
    <w:pitch w:val="default"/>
  </w:font>
  <w:font w:name="TXArial Black">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5C094" w14:textId="77777777" w:rsidR="00B80B7F" w:rsidRDefault="00B80B7F" w:rsidP="00E265AB">
      <w:pPr>
        <w:spacing w:after="0" w:line="240" w:lineRule="auto"/>
      </w:pPr>
      <w:r>
        <w:separator/>
      </w:r>
    </w:p>
  </w:footnote>
  <w:footnote w:type="continuationSeparator" w:id="0">
    <w:p w14:paraId="30478EE8" w14:textId="77777777" w:rsidR="00B80B7F" w:rsidRDefault="00B80B7F" w:rsidP="00E26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29D6"/>
    <w:multiLevelType w:val="multilevel"/>
    <w:tmpl w:val="69DE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F6780"/>
    <w:multiLevelType w:val="hybridMultilevel"/>
    <w:tmpl w:val="C13A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6580E"/>
    <w:multiLevelType w:val="multilevel"/>
    <w:tmpl w:val="99EA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40A36"/>
    <w:multiLevelType w:val="hybridMultilevel"/>
    <w:tmpl w:val="3BAC7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E47DC2"/>
    <w:multiLevelType w:val="multilevel"/>
    <w:tmpl w:val="946C58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0B0D1414"/>
    <w:multiLevelType w:val="hybridMultilevel"/>
    <w:tmpl w:val="CB0ACB1A"/>
    <w:lvl w:ilvl="0" w:tplc="0592F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315D2"/>
    <w:multiLevelType w:val="hybridMultilevel"/>
    <w:tmpl w:val="CB0ACB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7909D9"/>
    <w:multiLevelType w:val="multilevel"/>
    <w:tmpl w:val="D91237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83276D1"/>
    <w:multiLevelType w:val="hybridMultilevel"/>
    <w:tmpl w:val="18D29058"/>
    <w:lvl w:ilvl="0" w:tplc="C06430D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E2A7B27"/>
    <w:multiLevelType w:val="hybridMultilevel"/>
    <w:tmpl w:val="99583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B645D5"/>
    <w:multiLevelType w:val="multilevel"/>
    <w:tmpl w:val="6BB68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251A5"/>
    <w:multiLevelType w:val="multilevel"/>
    <w:tmpl w:val="BB7AE4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1C5A5A"/>
    <w:multiLevelType w:val="multilevel"/>
    <w:tmpl w:val="11986E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D6363F"/>
    <w:multiLevelType w:val="hybridMultilevel"/>
    <w:tmpl w:val="44D89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99229E"/>
    <w:multiLevelType w:val="hybridMultilevel"/>
    <w:tmpl w:val="EA568B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F5166"/>
    <w:multiLevelType w:val="hybridMultilevel"/>
    <w:tmpl w:val="A740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71366"/>
    <w:multiLevelType w:val="hybridMultilevel"/>
    <w:tmpl w:val="2DDCC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D82B2E"/>
    <w:multiLevelType w:val="hybridMultilevel"/>
    <w:tmpl w:val="628AE4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377E2D57"/>
    <w:multiLevelType w:val="hybridMultilevel"/>
    <w:tmpl w:val="1B36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77E54"/>
    <w:multiLevelType w:val="multilevel"/>
    <w:tmpl w:val="A3B4B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0605E"/>
    <w:multiLevelType w:val="multilevel"/>
    <w:tmpl w:val="7EE0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2020C5"/>
    <w:multiLevelType w:val="multilevel"/>
    <w:tmpl w:val="94FCF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AD65C70"/>
    <w:multiLevelType w:val="multilevel"/>
    <w:tmpl w:val="1D220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41D411D8"/>
    <w:multiLevelType w:val="hybridMultilevel"/>
    <w:tmpl w:val="3DE037E4"/>
    <w:lvl w:ilvl="0" w:tplc="77F44B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8D371D"/>
    <w:multiLevelType w:val="hybridMultilevel"/>
    <w:tmpl w:val="F88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118CC"/>
    <w:multiLevelType w:val="hybridMultilevel"/>
    <w:tmpl w:val="1A26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D43BA"/>
    <w:multiLevelType w:val="multilevel"/>
    <w:tmpl w:val="A3B4B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E25F8"/>
    <w:multiLevelType w:val="hybridMultilevel"/>
    <w:tmpl w:val="06123D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804BF"/>
    <w:multiLevelType w:val="hybridMultilevel"/>
    <w:tmpl w:val="E0DE5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961722"/>
    <w:multiLevelType w:val="multilevel"/>
    <w:tmpl w:val="4988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89703F"/>
    <w:multiLevelType w:val="multilevel"/>
    <w:tmpl w:val="E226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84A5D"/>
    <w:multiLevelType w:val="hybridMultilevel"/>
    <w:tmpl w:val="581E0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2A1B5D"/>
    <w:multiLevelType w:val="multilevel"/>
    <w:tmpl w:val="FF9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D1B3C"/>
    <w:multiLevelType w:val="hybridMultilevel"/>
    <w:tmpl w:val="FFCC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8038AE"/>
    <w:multiLevelType w:val="multilevel"/>
    <w:tmpl w:val="375655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15:restartNumberingAfterBreak="0">
    <w:nsid w:val="70293092"/>
    <w:multiLevelType w:val="hybridMultilevel"/>
    <w:tmpl w:val="D262727A"/>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36" w15:restartNumberingAfterBreak="0">
    <w:nsid w:val="7617299D"/>
    <w:multiLevelType w:val="multilevel"/>
    <w:tmpl w:val="6DCA60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7B2D493A"/>
    <w:multiLevelType w:val="hybridMultilevel"/>
    <w:tmpl w:val="591AD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1771545">
    <w:abstractNumId w:val="0"/>
  </w:num>
  <w:num w:numId="2" w16cid:durableId="1323004026">
    <w:abstractNumId w:val="32"/>
  </w:num>
  <w:num w:numId="3" w16cid:durableId="1504397155">
    <w:abstractNumId w:val="36"/>
  </w:num>
  <w:num w:numId="4" w16cid:durableId="329334035">
    <w:abstractNumId w:val="16"/>
  </w:num>
  <w:num w:numId="5" w16cid:durableId="1976131357">
    <w:abstractNumId w:val="8"/>
  </w:num>
  <w:num w:numId="6" w16cid:durableId="293995344">
    <w:abstractNumId w:val="2"/>
  </w:num>
  <w:num w:numId="7" w16cid:durableId="18937296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3145372">
    <w:abstractNumId w:val="19"/>
  </w:num>
  <w:num w:numId="9" w16cid:durableId="917523769">
    <w:abstractNumId w:val="26"/>
  </w:num>
  <w:num w:numId="10" w16cid:durableId="155726141">
    <w:abstractNumId w:val="29"/>
  </w:num>
  <w:num w:numId="11" w16cid:durableId="2028216650">
    <w:abstractNumId w:val="24"/>
  </w:num>
  <w:num w:numId="12" w16cid:durableId="125704761">
    <w:abstractNumId w:val="35"/>
  </w:num>
  <w:num w:numId="13" w16cid:durableId="2071608991">
    <w:abstractNumId w:val="15"/>
  </w:num>
  <w:num w:numId="14" w16cid:durableId="975991674">
    <w:abstractNumId w:val="5"/>
  </w:num>
  <w:num w:numId="15" w16cid:durableId="1137726237">
    <w:abstractNumId w:val="6"/>
  </w:num>
  <w:num w:numId="16" w16cid:durableId="1155293072">
    <w:abstractNumId w:val="34"/>
  </w:num>
  <w:num w:numId="17" w16cid:durableId="119425451">
    <w:abstractNumId w:val="28"/>
  </w:num>
  <w:num w:numId="18" w16cid:durableId="1509637965">
    <w:abstractNumId w:val="18"/>
  </w:num>
  <w:num w:numId="19" w16cid:durableId="1660570764">
    <w:abstractNumId w:val="20"/>
  </w:num>
  <w:num w:numId="20" w16cid:durableId="970284595">
    <w:abstractNumId w:val="13"/>
  </w:num>
  <w:num w:numId="21" w16cid:durableId="689259317">
    <w:abstractNumId w:val="7"/>
  </w:num>
  <w:num w:numId="22" w16cid:durableId="1587378363">
    <w:abstractNumId w:val="37"/>
  </w:num>
  <w:num w:numId="23" w16cid:durableId="1214854445">
    <w:abstractNumId w:val="4"/>
  </w:num>
  <w:num w:numId="24" w16cid:durableId="1662079317">
    <w:abstractNumId w:val="10"/>
  </w:num>
  <w:num w:numId="25" w16cid:durableId="1301181501">
    <w:abstractNumId w:val="1"/>
  </w:num>
  <w:num w:numId="26" w16cid:durableId="1725252877">
    <w:abstractNumId w:val="23"/>
  </w:num>
  <w:num w:numId="27" w16cid:durableId="6715960">
    <w:abstractNumId w:val="11"/>
  </w:num>
  <w:num w:numId="28" w16cid:durableId="1905602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1007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6856519">
    <w:abstractNumId w:val="3"/>
  </w:num>
  <w:num w:numId="31" w16cid:durableId="1786608873">
    <w:abstractNumId w:val="25"/>
  </w:num>
  <w:num w:numId="32" w16cid:durableId="1494488361">
    <w:abstractNumId w:val="33"/>
  </w:num>
  <w:num w:numId="33" w16cid:durableId="1226573208">
    <w:abstractNumId w:val="17"/>
  </w:num>
  <w:num w:numId="34" w16cid:durableId="1136726821">
    <w:abstractNumId w:val="14"/>
  </w:num>
  <w:num w:numId="35" w16cid:durableId="1784306685">
    <w:abstractNumId w:val="27"/>
  </w:num>
  <w:num w:numId="36" w16cid:durableId="524556718">
    <w:abstractNumId w:val="31"/>
  </w:num>
  <w:num w:numId="37" w16cid:durableId="384643277">
    <w:abstractNumId w:val="30"/>
  </w:num>
  <w:num w:numId="38" w16cid:durableId="202255307">
    <w:abstractNumId w:val="12"/>
  </w:num>
  <w:num w:numId="39" w16cid:durableId="388194121">
    <w:abstractNumId w:val="14"/>
  </w:num>
  <w:num w:numId="40" w16cid:durableId="639724427">
    <w:abstractNumId w:val="35"/>
  </w:num>
  <w:num w:numId="41" w16cid:durableId="154232536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57"/>
    <w:rsid w:val="00000960"/>
    <w:rsid w:val="000010F2"/>
    <w:rsid w:val="00001707"/>
    <w:rsid w:val="0000182B"/>
    <w:rsid w:val="00001A04"/>
    <w:rsid w:val="00001D9A"/>
    <w:rsid w:val="00004498"/>
    <w:rsid w:val="00004638"/>
    <w:rsid w:val="00004BED"/>
    <w:rsid w:val="00004EEC"/>
    <w:rsid w:val="0000697E"/>
    <w:rsid w:val="00006AE3"/>
    <w:rsid w:val="00006B8D"/>
    <w:rsid w:val="00010BB9"/>
    <w:rsid w:val="00012426"/>
    <w:rsid w:val="00012C74"/>
    <w:rsid w:val="00013141"/>
    <w:rsid w:val="00014738"/>
    <w:rsid w:val="00014898"/>
    <w:rsid w:val="00015208"/>
    <w:rsid w:val="00015CB5"/>
    <w:rsid w:val="000160B4"/>
    <w:rsid w:val="00016469"/>
    <w:rsid w:val="000164B1"/>
    <w:rsid w:val="0001738E"/>
    <w:rsid w:val="000174EF"/>
    <w:rsid w:val="00020106"/>
    <w:rsid w:val="000209F5"/>
    <w:rsid w:val="0002141E"/>
    <w:rsid w:val="00021A20"/>
    <w:rsid w:val="00021E64"/>
    <w:rsid w:val="00022BE4"/>
    <w:rsid w:val="00022E5C"/>
    <w:rsid w:val="00024992"/>
    <w:rsid w:val="00024A0D"/>
    <w:rsid w:val="00025B22"/>
    <w:rsid w:val="00026281"/>
    <w:rsid w:val="0002742E"/>
    <w:rsid w:val="00027641"/>
    <w:rsid w:val="000301F2"/>
    <w:rsid w:val="000306C7"/>
    <w:rsid w:val="00031316"/>
    <w:rsid w:val="000318C6"/>
    <w:rsid w:val="00032074"/>
    <w:rsid w:val="0003275C"/>
    <w:rsid w:val="00032BF1"/>
    <w:rsid w:val="000338D1"/>
    <w:rsid w:val="00034955"/>
    <w:rsid w:val="00034C75"/>
    <w:rsid w:val="00035385"/>
    <w:rsid w:val="00037999"/>
    <w:rsid w:val="00037CB8"/>
    <w:rsid w:val="00040383"/>
    <w:rsid w:val="0004072E"/>
    <w:rsid w:val="000408CA"/>
    <w:rsid w:val="00041342"/>
    <w:rsid w:val="00042223"/>
    <w:rsid w:val="00042C6A"/>
    <w:rsid w:val="000438D5"/>
    <w:rsid w:val="00043E2B"/>
    <w:rsid w:val="000449B4"/>
    <w:rsid w:val="00044FB1"/>
    <w:rsid w:val="00045450"/>
    <w:rsid w:val="0004575D"/>
    <w:rsid w:val="00045E64"/>
    <w:rsid w:val="000462DC"/>
    <w:rsid w:val="000509A0"/>
    <w:rsid w:val="000516E6"/>
    <w:rsid w:val="000518BE"/>
    <w:rsid w:val="00051A4A"/>
    <w:rsid w:val="00054335"/>
    <w:rsid w:val="00054479"/>
    <w:rsid w:val="0005503D"/>
    <w:rsid w:val="00056D43"/>
    <w:rsid w:val="000617DD"/>
    <w:rsid w:val="00061BDB"/>
    <w:rsid w:val="000624FD"/>
    <w:rsid w:val="00062DA4"/>
    <w:rsid w:val="000630E9"/>
    <w:rsid w:val="000636AB"/>
    <w:rsid w:val="000637E4"/>
    <w:rsid w:val="00063A86"/>
    <w:rsid w:val="00063E80"/>
    <w:rsid w:val="000644B6"/>
    <w:rsid w:val="00064669"/>
    <w:rsid w:val="00064875"/>
    <w:rsid w:val="00066EA4"/>
    <w:rsid w:val="00066F05"/>
    <w:rsid w:val="000672CE"/>
    <w:rsid w:val="00067499"/>
    <w:rsid w:val="00072607"/>
    <w:rsid w:val="00072F19"/>
    <w:rsid w:val="00073292"/>
    <w:rsid w:val="00073CC7"/>
    <w:rsid w:val="0007510D"/>
    <w:rsid w:val="00075181"/>
    <w:rsid w:val="00075B1D"/>
    <w:rsid w:val="00075CD4"/>
    <w:rsid w:val="00075D20"/>
    <w:rsid w:val="00075DAE"/>
    <w:rsid w:val="00076F13"/>
    <w:rsid w:val="00077FB4"/>
    <w:rsid w:val="00080178"/>
    <w:rsid w:val="00080FC6"/>
    <w:rsid w:val="000816F9"/>
    <w:rsid w:val="00081AD1"/>
    <w:rsid w:val="000839D4"/>
    <w:rsid w:val="00084D68"/>
    <w:rsid w:val="00084E0A"/>
    <w:rsid w:val="00084E13"/>
    <w:rsid w:val="00085E85"/>
    <w:rsid w:val="00085FE6"/>
    <w:rsid w:val="00086D22"/>
    <w:rsid w:val="00087209"/>
    <w:rsid w:val="000915C1"/>
    <w:rsid w:val="00092D5A"/>
    <w:rsid w:val="00092DAC"/>
    <w:rsid w:val="00094264"/>
    <w:rsid w:val="0009438D"/>
    <w:rsid w:val="000946BC"/>
    <w:rsid w:val="0009744A"/>
    <w:rsid w:val="00097703"/>
    <w:rsid w:val="00097DD5"/>
    <w:rsid w:val="000A0CD1"/>
    <w:rsid w:val="000A15E4"/>
    <w:rsid w:val="000A1F4E"/>
    <w:rsid w:val="000A21C0"/>
    <w:rsid w:val="000A2B47"/>
    <w:rsid w:val="000A35E0"/>
    <w:rsid w:val="000A4BD5"/>
    <w:rsid w:val="000A5A6C"/>
    <w:rsid w:val="000A5D63"/>
    <w:rsid w:val="000A5F54"/>
    <w:rsid w:val="000A6C09"/>
    <w:rsid w:val="000A72DE"/>
    <w:rsid w:val="000A7B66"/>
    <w:rsid w:val="000B1261"/>
    <w:rsid w:val="000B18F3"/>
    <w:rsid w:val="000B228A"/>
    <w:rsid w:val="000B2F15"/>
    <w:rsid w:val="000B3321"/>
    <w:rsid w:val="000B35FC"/>
    <w:rsid w:val="000B47B1"/>
    <w:rsid w:val="000B4D9F"/>
    <w:rsid w:val="000B584F"/>
    <w:rsid w:val="000B5EEC"/>
    <w:rsid w:val="000B6343"/>
    <w:rsid w:val="000B6881"/>
    <w:rsid w:val="000B78DC"/>
    <w:rsid w:val="000C0691"/>
    <w:rsid w:val="000C0B7B"/>
    <w:rsid w:val="000C1D8F"/>
    <w:rsid w:val="000C3B06"/>
    <w:rsid w:val="000C4268"/>
    <w:rsid w:val="000C4DF5"/>
    <w:rsid w:val="000C567D"/>
    <w:rsid w:val="000C584B"/>
    <w:rsid w:val="000C62A1"/>
    <w:rsid w:val="000C6C88"/>
    <w:rsid w:val="000C6DB9"/>
    <w:rsid w:val="000C756B"/>
    <w:rsid w:val="000D0769"/>
    <w:rsid w:val="000D0A3D"/>
    <w:rsid w:val="000D0D5F"/>
    <w:rsid w:val="000D1C4B"/>
    <w:rsid w:val="000D1CC1"/>
    <w:rsid w:val="000D2571"/>
    <w:rsid w:val="000D47A7"/>
    <w:rsid w:val="000D4A64"/>
    <w:rsid w:val="000D5056"/>
    <w:rsid w:val="000E1441"/>
    <w:rsid w:val="000E2F42"/>
    <w:rsid w:val="000E47F1"/>
    <w:rsid w:val="000E50DE"/>
    <w:rsid w:val="000F0163"/>
    <w:rsid w:val="000F03D9"/>
    <w:rsid w:val="000F060C"/>
    <w:rsid w:val="000F0910"/>
    <w:rsid w:val="000F18B0"/>
    <w:rsid w:val="000F1A96"/>
    <w:rsid w:val="000F2630"/>
    <w:rsid w:val="000F3890"/>
    <w:rsid w:val="000F4170"/>
    <w:rsid w:val="000F483A"/>
    <w:rsid w:val="000F4991"/>
    <w:rsid w:val="000F7C85"/>
    <w:rsid w:val="000F7D4E"/>
    <w:rsid w:val="00100878"/>
    <w:rsid w:val="00100B4F"/>
    <w:rsid w:val="00102FD0"/>
    <w:rsid w:val="001031C3"/>
    <w:rsid w:val="00103226"/>
    <w:rsid w:val="001033A4"/>
    <w:rsid w:val="00104A4C"/>
    <w:rsid w:val="00105EF2"/>
    <w:rsid w:val="0010642B"/>
    <w:rsid w:val="00107D14"/>
    <w:rsid w:val="0011091B"/>
    <w:rsid w:val="00110AE2"/>
    <w:rsid w:val="00110BB4"/>
    <w:rsid w:val="001112CF"/>
    <w:rsid w:val="00111714"/>
    <w:rsid w:val="0011264F"/>
    <w:rsid w:val="00113436"/>
    <w:rsid w:val="00113A3A"/>
    <w:rsid w:val="00113D38"/>
    <w:rsid w:val="00114A81"/>
    <w:rsid w:val="001150EA"/>
    <w:rsid w:val="00116265"/>
    <w:rsid w:val="00120DAE"/>
    <w:rsid w:val="00120F10"/>
    <w:rsid w:val="0012290C"/>
    <w:rsid w:val="00122CBC"/>
    <w:rsid w:val="00123C3F"/>
    <w:rsid w:val="00123E5E"/>
    <w:rsid w:val="00124FAD"/>
    <w:rsid w:val="00125039"/>
    <w:rsid w:val="0012517E"/>
    <w:rsid w:val="001257CC"/>
    <w:rsid w:val="00127024"/>
    <w:rsid w:val="0012739E"/>
    <w:rsid w:val="001276F8"/>
    <w:rsid w:val="00127BB3"/>
    <w:rsid w:val="00127BCE"/>
    <w:rsid w:val="00130523"/>
    <w:rsid w:val="00131912"/>
    <w:rsid w:val="00133884"/>
    <w:rsid w:val="0013686B"/>
    <w:rsid w:val="00140433"/>
    <w:rsid w:val="0014047F"/>
    <w:rsid w:val="00140B2A"/>
    <w:rsid w:val="00141CEC"/>
    <w:rsid w:val="00142FA2"/>
    <w:rsid w:val="00144037"/>
    <w:rsid w:val="001447DC"/>
    <w:rsid w:val="001463F4"/>
    <w:rsid w:val="00146709"/>
    <w:rsid w:val="00146711"/>
    <w:rsid w:val="00147626"/>
    <w:rsid w:val="0015021B"/>
    <w:rsid w:val="00150E5B"/>
    <w:rsid w:val="00151EBE"/>
    <w:rsid w:val="0015207E"/>
    <w:rsid w:val="00153742"/>
    <w:rsid w:val="0015512D"/>
    <w:rsid w:val="00155A2B"/>
    <w:rsid w:val="001567BB"/>
    <w:rsid w:val="0015698F"/>
    <w:rsid w:val="00156E5D"/>
    <w:rsid w:val="001603B7"/>
    <w:rsid w:val="0016102B"/>
    <w:rsid w:val="00161ED7"/>
    <w:rsid w:val="00162E4F"/>
    <w:rsid w:val="001631DA"/>
    <w:rsid w:val="001647FF"/>
    <w:rsid w:val="0016497A"/>
    <w:rsid w:val="00165526"/>
    <w:rsid w:val="00165A41"/>
    <w:rsid w:val="001668D8"/>
    <w:rsid w:val="001678CD"/>
    <w:rsid w:val="001713FB"/>
    <w:rsid w:val="00174109"/>
    <w:rsid w:val="0017434A"/>
    <w:rsid w:val="00175401"/>
    <w:rsid w:val="00177094"/>
    <w:rsid w:val="00177852"/>
    <w:rsid w:val="00177D4A"/>
    <w:rsid w:val="0018059E"/>
    <w:rsid w:val="001806CE"/>
    <w:rsid w:val="00180F76"/>
    <w:rsid w:val="00181AD0"/>
    <w:rsid w:val="00182433"/>
    <w:rsid w:val="00182CF1"/>
    <w:rsid w:val="0018621C"/>
    <w:rsid w:val="00186708"/>
    <w:rsid w:val="0019067C"/>
    <w:rsid w:val="0019082A"/>
    <w:rsid w:val="00190EAB"/>
    <w:rsid w:val="00191CD7"/>
    <w:rsid w:val="00194050"/>
    <w:rsid w:val="00194CC1"/>
    <w:rsid w:val="00195FD1"/>
    <w:rsid w:val="001968CD"/>
    <w:rsid w:val="001A08FA"/>
    <w:rsid w:val="001A19F9"/>
    <w:rsid w:val="001A2F0B"/>
    <w:rsid w:val="001A3D7F"/>
    <w:rsid w:val="001A434A"/>
    <w:rsid w:val="001A4CAA"/>
    <w:rsid w:val="001A5080"/>
    <w:rsid w:val="001A57F9"/>
    <w:rsid w:val="001A5908"/>
    <w:rsid w:val="001A5AE3"/>
    <w:rsid w:val="001A653A"/>
    <w:rsid w:val="001A6C67"/>
    <w:rsid w:val="001B16D0"/>
    <w:rsid w:val="001B1970"/>
    <w:rsid w:val="001B219E"/>
    <w:rsid w:val="001B23B7"/>
    <w:rsid w:val="001B28A9"/>
    <w:rsid w:val="001B35B2"/>
    <w:rsid w:val="001B367D"/>
    <w:rsid w:val="001B383B"/>
    <w:rsid w:val="001B3B5F"/>
    <w:rsid w:val="001B4518"/>
    <w:rsid w:val="001B50E9"/>
    <w:rsid w:val="001B6C81"/>
    <w:rsid w:val="001B7DE1"/>
    <w:rsid w:val="001C06FF"/>
    <w:rsid w:val="001C1380"/>
    <w:rsid w:val="001C18B0"/>
    <w:rsid w:val="001C1BE8"/>
    <w:rsid w:val="001C1C3A"/>
    <w:rsid w:val="001C1F8D"/>
    <w:rsid w:val="001C2A03"/>
    <w:rsid w:val="001C2F88"/>
    <w:rsid w:val="001C33D3"/>
    <w:rsid w:val="001C563D"/>
    <w:rsid w:val="001C5665"/>
    <w:rsid w:val="001C5889"/>
    <w:rsid w:val="001C59E5"/>
    <w:rsid w:val="001C617A"/>
    <w:rsid w:val="001C6208"/>
    <w:rsid w:val="001C7270"/>
    <w:rsid w:val="001D002A"/>
    <w:rsid w:val="001D1462"/>
    <w:rsid w:val="001D1878"/>
    <w:rsid w:val="001D190A"/>
    <w:rsid w:val="001D1D6D"/>
    <w:rsid w:val="001D2278"/>
    <w:rsid w:val="001D26BA"/>
    <w:rsid w:val="001D2E7B"/>
    <w:rsid w:val="001D4188"/>
    <w:rsid w:val="001D520E"/>
    <w:rsid w:val="001D5809"/>
    <w:rsid w:val="001D5E22"/>
    <w:rsid w:val="001D6E51"/>
    <w:rsid w:val="001E0B30"/>
    <w:rsid w:val="001E264B"/>
    <w:rsid w:val="001E28A4"/>
    <w:rsid w:val="001E56C7"/>
    <w:rsid w:val="001E5BE7"/>
    <w:rsid w:val="001E7A60"/>
    <w:rsid w:val="001F0359"/>
    <w:rsid w:val="001F0C4C"/>
    <w:rsid w:val="001F1BB0"/>
    <w:rsid w:val="001F2A28"/>
    <w:rsid w:val="001F3C9E"/>
    <w:rsid w:val="001F3D0F"/>
    <w:rsid w:val="001F4349"/>
    <w:rsid w:val="001F4CDF"/>
    <w:rsid w:val="001F4DA2"/>
    <w:rsid w:val="001F52D2"/>
    <w:rsid w:val="001F5522"/>
    <w:rsid w:val="001F58ED"/>
    <w:rsid w:val="001F5D19"/>
    <w:rsid w:val="001F6C95"/>
    <w:rsid w:val="001F6D9E"/>
    <w:rsid w:val="001F6F71"/>
    <w:rsid w:val="00200222"/>
    <w:rsid w:val="00204511"/>
    <w:rsid w:val="0020461D"/>
    <w:rsid w:val="00206727"/>
    <w:rsid w:val="0020758F"/>
    <w:rsid w:val="002077DA"/>
    <w:rsid w:val="002100FE"/>
    <w:rsid w:val="0021158A"/>
    <w:rsid w:val="002119A9"/>
    <w:rsid w:val="00213946"/>
    <w:rsid w:val="002147DA"/>
    <w:rsid w:val="00215578"/>
    <w:rsid w:val="00215605"/>
    <w:rsid w:val="002202B5"/>
    <w:rsid w:val="0022047A"/>
    <w:rsid w:val="0022097E"/>
    <w:rsid w:val="00221640"/>
    <w:rsid w:val="00221DD4"/>
    <w:rsid w:val="002225D0"/>
    <w:rsid w:val="0022427B"/>
    <w:rsid w:val="002249FF"/>
    <w:rsid w:val="0022600D"/>
    <w:rsid w:val="002270FF"/>
    <w:rsid w:val="00227BDE"/>
    <w:rsid w:val="00230904"/>
    <w:rsid w:val="00230D1C"/>
    <w:rsid w:val="00231839"/>
    <w:rsid w:val="00231A5A"/>
    <w:rsid w:val="00233326"/>
    <w:rsid w:val="002333BA"/>
    <w:rsid w:val="00233F5D"/>
    <w:rsid w:val="00235836"/>
    <w:rsid w:val="00237599"/>
    <w:rsid w:val="00240A53"/>
    <w:rsid w:val="00240D3F"/>
    <w:rsid w:val="002410DA"/>
    <w:rsid w:val="002422E0"/>
    <w:rsid w:val="002429BA"/>
    <w:rsid w:val="00243663"/>
    <w:rsid w:val="00243A7F"/>
    <w:rsid w:val="002450F2"/>
    <w:rsid w:val="00245274"/>
    <w:rsid w:val="002457B1"/>
    <w:rsid w:val="002470FD"/>
    <w:rsid w:val="00247719"/>
    <w:rsid w:val="0025018F"/>
    <w:rsid w:val="0025049B"/>
    <w:rsid w:val="002506B2"/>
    <w:rsid w:val="00250987"/>
    <w:rsid w:val="002511FF"/>
    <w:rsid w:val="00251B6F"/>
    <w:rsid w:val="0025382C"/>
    <w:rsid w:val="00253954"/>
    <w:rsid w:val="00254EDF"/>
    <w:rsid w:val="00255984"/>
    <w:rsid w:val="00255E41"/>
    <w:rsid w:val="00257457"/>
    <w:rsid w:val="00257D9A"/>
    <w:rsid w:val="0026092A"/>
    <w:rsid w:val="002616A6"/>
    <w:rsid w:val="00261BA4"/>
    <w:rsid w:val="002628DB"/>
    <w:rsid w:val="0026368F"/>
    <w:rsid w:val="00264893"/>
    <w:rsid w:val="00264998"/>
    <w:rsid w:val="0026657A"/>
    <w:rsid w:val="002665B4"/>
    <w:rsid w:val="00267A43"/>
    <w:rsid w:val="00267F30"/>
    <w:rsid w:val="002714EB"/>
    <w:rsid w:val="002718E8"/>
    <w:rsid w:val="00271F23"/>
    <w:rsid w:val="0027209B"/>
    <w:rsid w:val="002720DE"/>
    <w:rsid w:val="002729C0"/>
    <w:rsid w:val="002744EE"/>
    <w:rsid w:val="00274525"/>
    <w:rsid w:val="00274E82"/>
    <w:rsid w:val="00274FB2"/>
    <w:rsid w:val="00275738"/>
    <w:rsid w:val="002762A7"/>
    <w:rsid w:val="00277909"/>
    <w:rsid w:val="00277A51"/>
    <w:rsid w:val="002824DF"/>
    <w:rsid w:val="00282976"/>
    <w:rsid w:val="00282AF3"/>
    <w:rsid w:val="00283EDF"/>
    <w:rsid w:val="00284724"/>
    <w:rsid w:val="0028642A"/>
    <w:rsid w:val="00286CE9"/>
    <w:rsid w:val="00286F24"/>
    <w:rsid w:val="0029038E"/>
    <w:rsid w:val="00290B7D"/>
    <w:rsid w:val="00290C93"/>
    <w:rsid w:val="00291569"/>
    <w:rsid w:val="002917C5"/>
    <w:rsid w:val="00292532"/>
    <w:rsid w:val="00292E1C"/>
    <w:rsid w:val="00293570"/>
    <w:rsid w:val="0029560A"/>
    <w:rsid w:val="00295D7B"/>
    <w:rsid w:val="002972FF"/>
    <w:rsid w:val="00297434"/>
    <w:rsid w:val="00297B95"/>
    <w:rsid w:val="002A0697"/>
    <w:rsid w:val="002A2715"/>
    <w:rsid w:val="002A313D"/>
    <w:rsid w:val="002A4D86"/>
    <w:rsid w:val="002A66F2"/>
    <w:rsid w:val="002A6AA8"/>
    <w:rsid w:val="002B0414"/>
    <w:rsid w:val="002B1283"/>
    <w:rsid w:val="002B1FAF"/>
    <w:rsid w:val="002B2323"/>
    <w:rsid w:val="002B2465"/>
    <w:rsid w:val="002B5A76"/>
    <w:rsid w:val="002B7386"/>
    <w:rsid w:val="002C09AE"/>
    <w:rsid w:val="002C0B2A"/>
    <w:rsid w:val="002C0E67"/>
    <w:rsid w:val="002C10A9"/>
    <w:rsid w:val="002C25D5"/>
    <w:rsid w:val="002C34C9"/>
    <w:rsid w:val="002C381D"/>
    <w:rsid w:val="002C54F5"/>
    <w:rsid w:val="002C6181"/>
    <w:rsid w:val="002C6862"/>
    <w:rsid w:val="002C6A29"/>
    <w:rsid w:val="002C7131"/>
    <w:rsid w:val="002D00F5"/>
    <w:rsid w:val="002D13B2"/>
    <w:rsid w:val="002D1C2B"/>
    <w:rsid w:val="002D2F90"/>
    <w:rsid w:val="002D4402"/>
    <w:rsid w:val="002D45B5"/>
    <w:rsid w:val="002D5487"/>
    <w:rsid w:val="002D64A4"/>
    <w:rsid w:val="002D6690"/>
    <w:rsid w:val="002D7291"/>
    <w:rsid w:val="002E00D9"/>
    <w:rsid w:val="002E04CE"/>
    <w:rsid w:val="002E0D85"/>
    <w:rsid w:val="002E2246"/>
    <w:rsid w:val="002E2535"/>
    <w:rsid w:val="002E26A8"/>
    <w:rsid w:val="002E29BE"/>
    <w:rsid w:val="002E2CF4"/>
    <w:rsid w:val="002E3928"/>
    <w:rsid w:val="002E60CA"/>
    <w:rsid w:val="002E6C71"/>
    <w:rsid w:val="002F06DE"/>
    <w:rsid w:val="002F079A"/>
    <w:rsid w:val="002F0AF8"/>
    <w:rsid w:val="002F1349"/>
    <w:rsid w:val="002F205D"/>
    <w:rsid w:val="002F270A"/>
    <w:rsid w:val="002F409C"/>
    <w:rsid w:val="002F4ACE"/>
    <w:rsid w:val="002F5070"/>
    <w:rsid w:val="002F610D"/>
    <w:rsid w:val="002F63E3"/>
    <w:rsid w:val="002F6591"/>
    <w:rsid w:val="002F7727"/>
    <w:rsid w:val="002F7A23"/>
    <w:rsid w:val="002F7B74"/>
    <w:rsid w:val="002F7FB0"/>
    <w:rsid w:val="00300506"/>
    <w:rsid w:val="00300DA5"/>
    <w:rsid w:val="003016F0"/>
    <w:rsid w:val="00301D50"/>
    <w:rsid w:val="00301E8E"/>
    <w:rsid w:val="00303E7B"/>
    <w:rsid w:val="0030405E"/>
    <w:rsid w:val="003054C5"/>
    <w:rsid w:val="00306E28"/>
    <w:rsid w:val="00307899"/>
    <w:rsid w:val="003101E1"/>
    <w:rsid w:val="00310992"/>
    <w:rsid w:val="00310D6B"/>
    <w:rsid w:val="00311014"/>
    <w:rsid w:val="0031119E"/>
    <w:rsid w:val="003114A6"/>
    <w:rsid w:val="00311857"/>
    <w:rsid w:val="00311ABE"/>
    <w:rsid w:val="00311BBE"/>
    <w:rsid w:val="00311CE7"/>
    <w:rsid w:val="003122E5"/>
    <w:rsid w:val="003135AB"/>
    <w:rsid w:val="00316842"/>
    <w:rsid w:val="00316D92"/>
    <w:rsid w:val="0031703F"/>
    <w:rsid w:val="00320105"/>
    <w:rsid w:val="0032029E"/>
    <w:rsid w:val="003204A1"/>
    <w:rsid w:val="003209F9"/>
    <w:rsid w:val="00321766"/>
    <w:rsid w:val="00324C50"/>
    <w:rsid w:val="00325688"/>
    <w:rsid w:val="00325997"/>
    <w:rsid w:val="003271B2"/>
    <w:rsid w:val="003271B7"/>
    <w:rsid w:val="003275FF"/>
    <w:rsid w:val="00327B64"/>
    <w:rsid w:val="0033057F"/>
    <w:rsid w:val="003306E6"/>
    <w:rsid w:val="003312BD"/>
    <w:rsid w:val="00331400"/>
    <w:rsid w:val="00334308"/>
    <w:rsid w:val="00334940"/>
    <w:rsid w:val="003358D9"/>
    <w:rsid w:val="00336514"/>
    <w:rsid w:val="00336B00"/>
    <w:rsid w:val="00336CB5"/>
    <w:rsid w:val="003373B6"/>
    <w:rsid w:val="003376BE"/>
    <w:rsid w:val="003378B6"/>
    <w:rsid w:val="00340F0D"/>
    <w:rsid w:val="0034221B"/>
    <w:rsid w:val="00344E40"/>
    <w:rsid w:val="00345B75"/>
    <w:rsid w:val="00345C8F"/>
    <w:rsid w:val="003464C5"/>
    <w:rsid w:val="00347723"/>
    <w:rsid w:val="00351E0A"/>
    <w:rsid w:val="0035274D"/>
    <w:rsid w:val="00352DD8"/>
    <w:rsid w:val="00354767"/>
    <w:rsid w:val="003568B1"/>
    <w:rsid w:val="00357AB9"/>
    <w:rsid w:val="00357F5D"/>
    <w:rsid w:val="00362EB6"/>
    <w:rsid w:val="0036327D"/>
    <w:rsid w:val="00363F33"/>
    <w:rsid w:val="00364F21"/>
    <w:rsid w:val="00365F63"/>
    <w:rsid w:val="00366097"/>
    <w:rsid w:val="00366CDD"/>
    <w:rsid w:val="00367465"/>
    <w:rsid w:val="003701BD"/>
    <w:rsid w:val="00372379"/>
    <w:rsid w:val="0037332F"/>
    <w:rsid w:val="0037347A"/>
    <w:rsid w:val="003741FE"/>
    <w:rsid w:val="00374417"/>
    <w:rsid w:val="00374747"/>
    <w:rsid w:val="003748CB"/>
    <w:rsid w:val="00374C8E"/>
    <w:rsid w:val="00375900"/>
    <w:rsid w:val="00375DDB"/>
    <w:rsid w:val="00376E23"/>
    <w:rsid w:val="0038005B"/>
    <w:rsid w:val="003814D0"/>
    <w:rsid w:val="003814D7"/>
    <w:rsid w:val="00382F02"/>
    <w:rsid w:val="00383E22"/>
    <w:rsid w:val="00383EFC"/>
    <w:rsid w:val="0038442B"/>
    <w:rsid w:val="00384B2F"/>
    <w:rsid w:val="0038653D"/>
    <w:rsid w:val="00386A58"/>
    <w:rsid w:val="0038724B"/>
    <w:rsid w:val="003872BF"/>
    <w:rsid w:val="00387756"/>
    <w:rsid w:val="00387D84"/>
    <w:rsid w:val="00387E6C"/>
    <w:rsid w:val="0039158C"/>
    <w:rsid w:val="0039177C"/>
    <w:rsid w:val="003923C6"/>
    <w:rsid w:val="00392405"/>
    <w:rsid w:val="00392A85"/>
    <w:rsid w:val="00393C3E"/>
    <w:rsid w:val="00393C99"/>
    <w:rsid w:val="00393E4D"/>
    <w:rsid w:val="00394037"/>
    <w:rsid w:val="0039559E"/>
    <w:rsid w:val="003956F7"/>
    <w:rsid w:val="00395EA8"/>
    <w:rsid w:val="003A0275"/>
    <w:rsid w:val="003A037C"/>
    <w:rsid w:val="003A1362"/>
    <w:rsid w:val="003A1658"/>
    <w:rsid w:val="003A2816"/>
    <w:rsid w:val="003A29BE"/>
    <w:rsid w:val="003A305F"/>
    <w:rsid w:val="003A3C89"/>
    <w:rsid w:val="003A45A2"/>
    <w:rsid w:val="003A64EA"/>
    <w:rsid w:val="003A6D31"/>
    <w:rsid w:val="003B0476"/>
    <w:rsid w:val="003B2850"/>
    <w:rsid w:val="003B3DED"/>
    <w:rsid w:val="003B4DA5"/>
    <w:rsid w:val="003B725F"/>
    <w:rsid w:val="003B7F1C"/>
    <w:rsid w:val="003C0545"/>
    <w:rsid w:val="003C080C"/>
    <w:rsid w:val="003C08FD"/>
    <w:rsid w:val="003C1133"/>
    <w:rsid w:val="003C2A76"/>
    <w:rsid w:val="003C3E2B"/>
    <w:rsid w:val="003C4AE2"/>
    <w:rsid w:val="003C62F5"/>
    <w:rsid w:val="003C65E7"/>
    <w:rsid w:val="003C742B"/>
    <w:rsid w:val="003D057D"/>
    <w:rsid w:val="003D0C4C"/>
    <w:rsid w:val="003D134E"/>
    <w:rsid w:val="003D1961"/>
    <w:rsid w:val="003D1F16"/>
    <w:rsid w:val="003D20B2"/>
    <w:rsid w:val="003D2AAD"/>
    <w:rsid w:val="003D367F"/>
    <w:rsid w:val="003D47D0"/>
    <w:rsid w:val="003D5ECA"/>
    <w:rsid w:val="003D66C7"/>
    <w:rsid w:val="003D707F"/>
    <w:rsid w:val="003E0062"/>
    <w:rsid w:val="003E03D6"/>
    <w:rsid w:val="003E054D"/>
    <w:rsid w:val="003E0872"/>
    <w:rsid w:val="003E0A22"/>
    <w:rsid w:val="003E1AD0"/>
    <w:rsid w:val="003E33B5"/>
    <w:rsid w:val="003E3554"/>
    <w:rsid w:val="003E35D8"/>
    <w:rsid w:val="003E41BB"/>
    <w:rsid w:val="003E45EB"/>
    <w:rsid w:val="003E7DB8"/>
    <w:rsid w:val="003E7FA5"/>
    <w:rsid w:val="003F1038"/>
    <w:rsid w:val="003F134A"/>
    <w:rsid w:val="003F14B8"/>
    <w:rsid w:val="003F1E51"/>
    <w:rsid w:val="003F2037"/>
    <w:rsid w:val="003F2075"/>
    <w:rsid w:val="003F3074"/>
    <w:rsid w:val="003F325A"/>
    <w:rsid w:val="003F3B30"/>
    <w:rsid w:val="003F4271"/>
    <w:rsid w:val="003F4AA0"/>
    <w:rsid w:val="003F4E70"/>
    <w:rsid w:val="003F5F35"/>
    <w:rsid w:val="003F660F"/>
    <w:rsid w:val="003F6691"/>
    <w:rsid w:val="003F788B"/>
    <w:rsid w:val="003F7B1A"/>
    <w:rsid w:val="00400A81"/>
    <w:rsid w:val="00400EC5"/>
    <w:rsid w:val="00400F67"/>
    <w:rsid w:val="00400FF9"/>
    <w:rsid w:val="00403244"/>
    <w:rsid w:val="004035C1"/>
    <w:rsid w:val="00404C02"/>
    <w:rsid w:val="004059E0"/>
    <w:rsid w:val="00407100"/>
    <w:rsid w:val="00411936"/>
    <w:rsid w:val="00411E0E"/>
    <w:rsid w:val="00411F2A"/>
    <w:rsid w:val="00411FDF"/>
    <w:rsid w:val="0041296B"/>
    <w:rsid w:val="00416001"/>
    <w:rsid w:val="004160C7"/>
    <w:rsid w:val="00416BB6"/>
    <w:rsid w:val="004170CE"/>
    <w:rsid w:val="0042014B"/>
    <w:rsid w:val="00420162"/>
    <w:rsid w:val="00420322"/>
    <w:rsid w:val="00420A23"/>
    <w:rsid w:val="00421B7C"/>
    <w:rsid w:val="00421D18"/>
    <w:rsid w:val="0042214E"/>
    <w:rsid w:val="0042334A"/>
    <w:rsid w:val="004246F0"/>
    <w:rsid w:val="00424793"/>
    <w:rsid w:val="00424D1C"/>
    <w:rsid w:val="00426520"/>
    <w:rsid w:val="004305B6"/>
    <w:rsid w:val="00433119"/>
    <w:rsid w:val="00433EE5"/>
    <w:rsid w:val="00434296"/>
    <w:rsid w:val="004348E5"/>
    <w:rsid w:val="00437034"/>
    <w:rsid w:val="004378B8"/>
    <w:rsid w:val="00440081"/>
    <w:rsid w:val="004406A8"/>
    <w:rsid w:val="00440B47"/>
    <w:rsid w:val="0044195B"/>
    <w:rsid w:val="00441AB2"/>
    <w:rsid w:val="00441F95"/>
    <w:rsid w:val="004432C8"/>
    <w:rsid w:val="004433DA"/>
    <w:rsid w:val="004441B2"/>
    <w:rsid w:val="00444FB7"/>
    <w:rsid w:val="00447518"/>
    <w:rsid w:val="00447612"/>
    <w:rsid w:val="004504A6"/>
    <w:rsid w:val="0045092A"/>
    <w:rsid w:val="00451608"/>
    <w:rsid w:val="00452883"/>
    <w:rsid w:val="004529D8"/>
    <w:rsid w:val="00452CAA"/>
    <w:rsid w:val="00452CAC"/>
    <w:rsid w:val="004538AA"/>
    <w:rsid w:val="0045392E"/>
    <w:rsid w:val="00453E02"/>
    <w:rsid w:val="00455B5B"/>
    <w:rsid w:val="00456C91"/>
    <w:rsid w:val="00456DFA"/>
    <w:rsid w:val="00457219"/>
    <w:rsid w:val="00457441"/>
    <w:rsid w:val="004578CE"/>
    <w:rsid w:val="00460215"/>
    <w:rsid w:val="00460C0D"/>
    <w:rsid w:val="004612E3"/>
    <w:rsid w:val="00461E13"/>
    <w:rsid w:val="00462481"/>
    <w:rsid w:val="0046271A"/>
    <w:rsid w:val="004647F6"/>
    <w:rsid w:val="00465650"/>
    <w:rsid w:val="00465DC0"/>
    <w:rsid w:val="004668C7"/>
    <w:rsid w:val="0046766E"/>
    <w:rsid w:val="00467FCE"/>
    <w:rsid w:val="004704EF"/>
    <w:rsid w:val="004705C6"/>
    <w:rsid w:val="004729CB"/>
    <w:rsid w:val="0047376F"/>
    <w:rsid w:val="00473C4B"/>
    <w:rsid w:val="00474B94"/>
    <w:rsid w:val="00474F4B"/>
    <w:rsid w:val="00475136"/>
    <w:rsid w:val="00477016"/>
    <w:rsid w:val="00480C34"/>
    <w:rsid w:val="00480F72"/>
    <w:rsid w:val="00483671"/>
    <w:rsid w:val="0048537E"/>
    <w:rsid w:val="004854DD"/>
    <w:rsid w:val="00485FED"/>
    <w:rsid w:val="004864A1"/>
    <w:rsid w:val="00487B06"/>
    <w:rsid w:val="00487B33"/>
    <w:rsid w:val="0049084F"/>
    <w:rsid w:val="00491371"/>
    <w:rsid w:val="00491756"/>
    <w:rsid w:val="004926AF"/>
    <w:rsid w:val="00493015"/>
    <w:rsid w:val="00493A6B"/>
    <w:rsid w:val="0049457B"/>
    <w:rsid w:val="004A0A63"/>
    <w:rsid w:val="004A1004"/>
    <w:rsid w:val="004A35B3"/>
    <w:rsid w:val="004A436F"/>
    <w:rsid w:val="004A5514"/>
    <w:rsid w:val="004A59EC"/>
    <w:rsid w:val="004A5E38"/>
    <w:rsid w:val="004B09B1"/>
    <w:rsid w:val="004B0DC2"/>
    <w:rsid w:val="004B129E"/>
    <w:rsid w:val="004B21EA"/>
    <w:rsid w:val="004B2E70"/>
    <w:rsid w:val="004B3399"/>
    <w:rsid w:val="004B4757"/>
    <w:rsid w:val="004B4BE8"/>
    <w:rsid w:val="004B4DF6"/>
    <w:rsid w:val="004B5399"/>
    <w:rsid w:val="004B6144"/>
    <w:rsid w:val="004B6753"/>
    <w:rsid w:val="004B7284"/>
    <w:rsid w:val="004B7CDA"/>
    <w:rsid w:val="004C0E50"/>
    <w:rsid w:val="004C1440"/>
    <w:rsid w:val="004C2189"/>
    <w:rsid w:val="004C22AB"/>
    <w:rsid w:val="004C28EA"/>
    <w:rsid w:val="004C2EC5"/>
    <w:rsid w:val="004C5670"/>
    <w:rsid w:val="004C62A0"/>
    <w:rsid w:val="004C756A"/>
    <w:rsid w:val="004D0741"/>
    <w:rsid w:val="004D1A91"/>
    <w:rsid w:val="004D2264"/>
    <w:rsid w:val="004D3039"/>
    <w:rsid w:val="004D3972"/>
    <w:rsid w:val="004D6D56"/>
    <w:rsid w:val="004D6FB2"/>
    <w:rsid w:val="004D70DC"/>
    <w:rsid w:val="004D713D"/>
    <w:rsid w:val="004D78BC"/>
    <w:rsid w:val="004E152C"/>
    <w:rsid w:val="004E22A2"/>
    <w:rsid w:val="004E22C3"/>
    <w:rsid w:val="004E2ADB"/>
    <w:rsid w:val="004E2C6A"/>
    <w:rsid w:val="004E33CF"/>
    <w:rsid w:val="004E344B"/>
    <w:rsid w:val="004E3CA7"/>
    <w:rsid w:val="004E4468"/>
    <w:rsid w:val="004E46C8"/>
    <w:rsid w:val="004E4AEF"/>
    <w:rsid w:val="004E4DCF"/>
    <w:rsid w:val="004E5E7F"/>
    <w:rsid w:val="004E6CA7"/>
    <w:rsid w:val="004E7570"/>
    <w:rsid w:val="004F158D"/>
    <w:rsid w:val="004F15A5"/>
    <w:rsid w:val="004F240F"/>
    <w:rsid w:val="004F2D19"/>
    <w:rsid w:val="004F2EB6"/>
    <w:rsid w:val="004F4D0F"/>
    <w:rsid w:val="004F5159"/>
    <w:rsid w:val="004F68B4"/>
    <w:rsid w:val="004F69EA"/>
    <w:rsid w:val="004F7489"/>
    <w:rsid w:val="005001AC"/>
    <w:rsid w:val="00500351"/>
    <w:rsid w:val="005017C5"/>
    <w:rsid w:val="00501BDD"/>
    <w:rsid w:val="00502261"/>
    <w:rsid w:val="00502E07"/>
    <w:rsid w:val="005035FF"/>
    <w:rsid w:val="00503691"/>
    <w:rsid w:val="005039BC"/>
    <w:rsid w:val="0050538A"/>
    <w:rsid w:val="00506EE7"/>
    <w:rsid w:val="00507580"/>
    <w:rsid w:val="00510098"/>
    <w:rsid w:val="0051041F"/>
    <w:rsid w:val="00510F3A"/>
    <w:rsid w:val="00511258"/>
    <w:rsid w:val="00511F99"/>
    <w:rsid w:val="0051265E"/>
    <w:rsid w:val="005127F9"/>
    <w:rsid w:val="00512B13"/>
    <w:rsid w:val="00512D69"/>
    <w:rsid w:val="005142F0"/>
    <w:rsid w:val="00515316"/>
    <w:rsid w:val="00515C56"/>
    <w:rsid w:val="00516078"/>
    <w:rsid w:val="0051616C"/>
    <w:rsid w:val="00516941"/>
    <w:rsid w:val="005178A4"/>
    <w:rsid w:val="00520903"/>
    <w:rsid w:val="00520B72"/>
    <w:rsid w:val="005217D5"/>
    <w:rsid w:val="005235E2"/>
    <w:rsid w:val="00523A11"/>
    <w:rsid w:val="0052426F"/>
    <w:rsid w:val="00524647"/>
    <w:rsid w:val="00524648"/>
    <w:rsid w:val="005251B2"/>
    <w:rsid w:val="00525719"/>
    <w:rsid w:val="00525E67"/>
    <w:rsid w:val="005262E1"/>
    <w:rsid w:val="005263F1"/>
    <w:rsid w:val="0052665B"/>
    <w:rsid w:val="0052716C"/>
    <w:rsid w:val="00527AEF"/>
    <w:rsid w:val="00527EDF"/>
    <w:rsid w:val="00530943"/>
    <w:rsid w:val="00532D2D"/>
    <w:rsid w:val="00533809"/>
    <w:rsid w:val="00534272"/>
    <w:rsid w:val="005353F2"/>
    <w:rsid w:val="005356DD"/>
    <w:rsid w:val="00536545"/>
    <w:rsid w:val="00536594"/>
    <w:rsid w:val="00537DF9"/>
    <w:rsid w:val="00540451"/>
    <w:rsid w:val="0054197D"/>
    <w:rsid w:val="00541D60"/>
    <w:rsid w:val="00542190"/>
    <w:rsid w:val="00542851"/>
    <w:rsid w:val="00542F1E"/>
    <w:rsid w:val="00543983"/>
    <w:rsid w:val="005441DE"/>
    <w:rsid w:val="00545323"/>
    <w:rsid w:val="00546738"/>
    <w:rsid w:val="005467E9"/>
    <w:rsid w:val="00546A79"/>
    <w:rsid w:val="005471EA"/>
    <w:rsid w:val="00547BA3"/>
    <w:rsid w:val="00550025"/>
    <w:rsid w:val="0055155D"/>
    <w:rsid w:val="00552D25"/>
    <w:rsid w:val="00554741"/>
    <w:rsid w:val="00554962"/>
    <w:rsid w:val="00554AAF"/>
    <w:rsid w:val="00555E2A"/>
    <w:rsid w:val="00557000"/>
    <w:rsid w:val="00557CA2"/>
    <w:rsid w:val="0056123D"/>
    <w:rsid w:val="00562A25"/>
    <w:rsid w:val="00562ACD"/>
    <w:rsid w:val="00563700"/>
    <w:rsid w:val="00563D38"/>
    <w:rsid w:val="00563EC5"/>
    <w:rsid w:val="005644A4"/>
    <w:rsid w:val="005646A1"/>
    <w:rsid w:val="005677A6"/>
    <w:rsid w:val="0057078B"/>
    <w:rsid w:val="00571037"/>
    <w:rsid w:val="00571DF6"/>
    <w:rsid w:val="00572A91"/>
    <w:rsid w:val="00572FDA"/>
    <w:rsid w:val="00573D08"/>
    <w:rsid w:val="005745F5"/>
    <w:rsid w:val="005758F6"/>
    <w:rsid w:val="00575946"/>
    <w:rsid w:val="0057595C"/>
    <w:rsid w:val="00576439"/>
    <w:rsid w:val="00576DAC"/>
    <w:rsid w:val="005779CA"/>
    <w:rsid w:val="00582E9B"/>
    <w:rsid w:val="00583923"/>
    <w:rsid w:val="00583C7D"/>
    <w:rsid w:val="00584728"/>
    <w:rsid w:val="0058488D"/>
    <w:rsid w:val="00584F66"/>
    <w:rsid w:val="00587311"/>
    <w:rsid w:val="005904B5"/>
    <w:rsid w:val="00592673"/>
    <w:rsid w:val="00592CB5"/>
    <w:rsid w:val="005939B8"/>
    <w:rsid w:val="00594C0D"/>
    <w:rsid w:val="00594E74"/>
    <w:rsid w:val="00595A8A"/>
    <w:rsid w:val="005967C5"/>
    <w:rsid w:val="00597590"/>
    <w:rsid w:val="00597923"/>
    <w:rsid w:val="005A0082"/>
    <w:rsid w:val="005A04E2"/>
    <w:rsid w:val="005A0ABF"/>
    <w:rsid w:val="005A220C"/>
    <w:rsid w:val="005A289A"/>
    <w:rsid w:val="005A324A"/>
    <w:rsid w:val="005A38AE"/>
    <w:rsid w:val="005A395B"/>
    <w:rsid w:val="005A414F"/>
    <w:rsid w:val="005A4D75"/>
    <w:rsid w:val="005A5089"/>
    <w:rsid w:val="005A7ED2"/>
    <w:rsid w:val="005B065B"/>
    <w:rsid w:val="005B0774"/>
    <w:rsid w:val="005B18E4"/>
    <w:rsid w:val="005B2CD1"/>
    <w:rsid w:val="005B3758"/>
    <w:rsid w:val="005B3FFE"/>
    <w:rsid w:val="005B4276"/>
    <w:rsid w:val="005B675E"/>
    <w:rsid w:val="005B72EF"/>
    <w:rsid w:val="005B7BBD"/>
    <w:rsid w:val="005C09B0"/>
    <w:rsid w:val="005C1E4D"/>
    <w:rsid w:val="005C30A4"/>
    <w:rsid w:val="005C3A2A"/>
    <w:rsid w:val="005C3F7B"/>
    <w:rsid w:val="005C4739"/>
    <w:rsid w:val="005C48CA"/>
    <w:rsid w:val="005C499C"/>
    <w:rsid w:val="005C5C79"/>
    <w:rsid w:val="005C606F"/>
    <w:rsid w:val="005C6596"/>
    <w:rsid w:val="005C69EF"/>
    <w:rsid w:val="005C77FB"/>
    <w:rsid w:val="005D2B81"/>
    <w:rsid w:val="005D334E"/>
    <w:rsid w:val="005D3D7E"/>
    <w:rsid w:val="005D4D24"/>
    <w:rsid w:val="005D56E5"/>
    <w:rsid w:val="005D5A0C"/>
    <w:rsid w:val="005D5BAD"/>
    <w:rsid w:val="005D6817"/>
    <w:rsid w:val="005D6C9F"/>
    <w:rsid w:val="005D74B5"/>
    <w:rsid w:val="005E132A"/>
    <w:rsid w:val="005E16F7"/>
    <w:rsid w:val="005E2E1A"/>
    <w:rsid w:val="005E33B5"/>
    <w:rsid w:val="005E497B"/>
    <w:rsid w:val="005E5044"/>
    <w:rsid w:val="005E544B"/>
    <w:rsid w:val="005E60AF"/>
    <w:rsid w:val="005E6D64"/>
    <w:rsid w:val="005E79E8"/>
    <w:rsid w:val="005F0E6D"/>
    <w:rsid w:val="005F2DAC"/>
    <w:rsid w:val="005F2FF6"/>
    <w:rsid w:val="005F3DA4"/>
    <w:rsid w:val="005F448F"/>
    <w:rsid w:val="005F4889"/>
    <w:rsid w:val="005F4A66"/>
    <w:rsid w:val="005F526D"/>
    <w:rsid w:val="005F5492"/>
    <w:rsid w:val="005F6638"/>
    <w:rsid w:val="005F7130"/>
    <w:rsid w:val="005F75CC"/>
    <w:rsid w:val="005F76D4"/>
    <w:rsid w:val="005F7D6B"/>
    <w:rsid w:val="0060031B"/>
    <w:rsid w:val="006004D6"/>
    <w:rsid w:val="00601540"/>
    <w:rsid w:val="0060197A"/>
    <w:rsid w:val="0060201F"/>
    <w:rsid w:val="0060205D"/>
    <w:rsid w:val="0060296F"/>
    <w:rsid w:val="00603DEB"/>
    <w:rsid w:val="006043BC"/>
    <w:rsid w:val="00605129"/>
    <w:rsid w:val="006063CB"/>
    <w:rsid w:val="0060682A"/>
    <w:rsid w:val="006068BE"/>
    <w:rsid w:val="0060697B"/>
    <w:rsid w:val="00607129"/>
    <w:rsid w:val="00607FA6"/>
    <w:rsid w:val="0061065C"/>
    <w:rsid w:val="00610D0A"/>
    <w:rsid w:val="006114FF"/>
    <w:rsid w:val="0061348F"/>
    <w:rsid w:val="00614665"/>
    <w:rsid w:val="0061488E"/>
    <w:rsid w:val="00615F4E"/>
    <w:rsid w:val="006164CF"/>
    <w:rsid w:val="00616603"/>
    <w:rsid w:val="0061722F"/>
    <w:rsid w:val="006216EF"/>
    <w:rsid w:val="006222A0"/>
    <w:rsid w:val="00622D53"/>
    <w:rsid w:val="00623CB0"/>
    <w:rsid w:val="00623D71"/>
    <w:rsid w:val="00625F79"/>
    <w:rsid w:val="0062739C"/>
    <w:rsid w:val="00627649"/>
    <w:rsid w:val="0062764C"/>
    <w:rsid w:val="00627EB5"/>
    <w:rsid w:val="006309AC"/>
    <w:rsid w:val="006325EF"/>
    <w:rsid w:val="00635D7C"/>
    <w:rsid w:val="006361FE"/>
    <w:rsid w:val="00636395"/>
    <w:rsid w:val="0063723E"/>
    <w:rsid w:val="00637A12"/>
    <w:rsid w:val="00637EBA"/>
    <w:rsid w:val="00641A78"/>
    <w:rsid w:val="006428AD"/>
    <w:rsid w:val="00642CE9"/>
    <w:rsid w:val="00643222"/>
    <w:rsid w:val="00644344"/>
    <w:rsid w:val="00644810"/>
    <w:rsid w:val="00644E1A"/>
    <w:rsid w:val="00645350"/>
    <w:rsid w:val="0064577F"/>
    <w:rsid w:val="00645B9B"/>
    <w:rsid w:val="0064695D"/>
    <w:rsid w:val="00646EE3"/>
    <w:rsid w:val="00647EAC"/>
    <w:rsid w:val="00650507"/>
    <w:rsid w:val="006508FC"/>
    <w:rsid w:val="00650B85"/>
    <w:rsid w:val="006515AC"/>
    <w:rsid w:val="00651625"/>
    <w:rsid w:val="006528FB"/>
    <w:rsid w:val="00652BF0"/>
    <w:rsid w:val="006547A0"/>
    <w:rsid w:val="00656F1D"/>
    <w:rsid w:val="00656FDD"/>
    <w:rsid w:val="00660046"/>
    <w:rsid w:val="0066298F"/>
    <w:rsid w:val="00662E1A"/>
    <w:rsid w:val="00663160"/>
    <w:rsid w:val="006634F6"/>
    <w:rsid w:val="00663A6A"/>
    <w:rsid w:val="00664013"/>
    <w:rsid w:val="00664482"/>
    <w:rsid w:val="006645D5"/>
    <w:rsid w:val="006648D0"/>
    <w:rsid w:val="00664ABE"/>
    <w:rsid w:val="0066724F"/>
    <w:rsid w:val="006672D1"/>
    <w:rsid w:val="00671182"/>
    <w:rsid w:val="00671D64"/>
    <w:rsid w:val="006728B9"/>
    <w:rsid w:val="00673952"/>
    <w:rsid w:val="00674346"/>
    <w:rsid w:val="006744D3"/>
    <w:rsid w:val="00674AAB"/>
    <w:rsid w:val="00675DAD"/>
    <w:rsid w:val="006764DB"/>
    <w:rsid w:val="006774B3"/>
    <w:rsid w:val="006801BF"/>
    <w:rsid w:val="00680234"/>
    <w:rsid w:val="00680939"/>
    <w:rsid w:val="00680CC3"/>
    <w:rsid w:val="00680D61"/>
    <w:rsid w:val="00683095"/>
    <w:rsid w:val="00683497"/>
    <w:rsid w:val="00683602"/>
    <w:rsid w:val="00683F2A"/>
    <w:rsid w:val="00684499"/>
    <w:rsid w:val="0068464C"/>
    <w:rsid w:val="00684A51"/>
    <w:rsid w:val="00684B8D"/>
    <w:rsid w:val="00684C64"/>
    <w:rsid w:val="006858CE"/>
    <w:rsid w:val="00685A30"/>
    <w:rsid w:val="00687306"/>
    <w:rsid w:val="006875F3"/>
    <w:rsid w:val="006878FB"/>
    <w:rsid w:val="00687C24"/>
    <w:rsid w:val="0069023D"/>
    <w:rsid w:val="006905F6"/>
    <w:rsid w:val="0069094F"/>
    <w:rsid w:val="00691181"/>
    <w:rsid w:val="00691DA8"/>
    <w:rsid w:val="00693009"/>
    <w:rsid w:val="00693E53"/>
    <w:rsid w:val="00694217"/>
    <w:rsid w:val="00694503"/>
    <w:rsid w:val="006958A3"/>
    <w:rsid w:val="0069598C"/>
    <w:rsid w:val="006959F8"/>
    <w:rsid w:val="00695AE8"/>
    <w:rsid w:val="006967A6"/>
    <w:rsid w:val="006970E1"/>
    <w:rsid w:val="006974E0"/>
    <w:rsid w:val="006A02A4"/>
    <w:rsid w:val="006A0C24"/>
    <w:rsid w:val="006A13EA"/>
    <w:rsid w:val="006A5294"/>
    <w:rsid w:val="006A5EFE"/>
    <w:rsid w:val="006A67C1"/>
    <w:rsid w:val="006A6D1D"/>
    <w:rsid w:val="006A6DD1"/>
    <w:rsid w:val="006A6ED6"/>
    <w:rsid w:val="006B067A"/>
    <w:rsid w:val="006B2083"/>
    <w:rsid w:val="006B7287"/>
    <w:rsid w:val="006C0951"/>
    <w:rsid w:val="006C0A0C"/>
    <w:rsid w:val="006C14C0"/>
    <w:rsid w:val="006C4753"/>
    <w:rsid w:val="006C4AD8"/>
    <w:rsid w:val="006C4BDE"/>
    <w:rsid w:val="006C6601"/>
    <w:rsid w:val="006C79BE"/>
    <w:rsid w:val="006C7F17"/>
    <w:rsid w:val="006D0326"/>
    <w:rsid w:val="006D14CC"/>
    <w:rsid w:val="006D160C"/>
    <w:rsid w:val="006D1B8F"/>
    <w:rsid w:val="006D1F52"/>
    <w:rsid w:val="006D28A9"/>
    <w:rsid w:val="006D28DE"/>
    <w:rsid w:val="006D2C51"/>
    <w:rsid w:val="006D2D4A"/>
    <w:rsid w:val="006D2F6D"/>
    <w:rsid w:val="006D3018"/>
    <w:rsid w:val="006D37B6"/>
    <w:rsid w:val="006D488D"/>
    <w:rsid w:val="006D52C4"/>
    <w:rsid w:val="006D545F"/>
    <w:rsid w:val="006D5E9F"/>
    <w:rsid w:val="006D63F9"/>
    <w:rsid w:val="006D679A"/>
    <w:rsid w:val="006D6BE3"/>
    <w:rsid w:val="006D6CFA"/>
    <w:rsid w:val="006D72C5"/>
    <w:rsid w:val="006E00CC"/>
    <w:rsid w:val="006E0471"/>
    <w:rsid w:val="006E0FA5"/>
    <w:rsid w:val="006E2D44"/>
    <w:rsid w:val="006E2F85"/>
    <w:rsid w:val="006E3103"/>
    <w:rsid w:val="006E4B4F"/>
    <w:rsid w:val="006E4F09"/>
    <w:rsid w:val="006E50D9"/>
    <w:rsid w:val="006E51B1"/>
    <w:rsid w:val="006E56A8"/>
    <w:rsid w:val="006E58D7"/>
    <w:rsid w:val="006E6416"/>
    <w:rsid w:val="006E70F8"/>
    <w:rsid w:val="006E75ED"/>
    <w:rsid w:val="006E77A8"/>
    <w:rsid w:val="006E7CA0"/>
    <w:rsid w:val="006F0C54"/>
    <w:rsid w:val="006F0C6A"/>
    <w:rsid w:val="006F1059"/>
    <w:rsid w:val="006F24F3"/>
    <w:rsid w:val="006F4352"/>
    <w:rsid w:val="006F4E6C"/>
    <w:rsid w:val="006F6E5A"/>
    <w:rsid w:val="006F7539"/>
    <w:rsid w:val="006F79CC"/>
    <w:rsid w:val="006F79FB"/>
    <w:rsid w:val="006F7F26"/>
    <w:rsid w:val="00702774"/>
    <w:rsid w:val="00702E90"/>
    <w:rsid w:val="007035CA"/>
    <w:rsid w:val="007051EE"/>
    <w:rsid w:val="00705D47"/>
    <w:rsid w:val="00706FEC"/>
    <w:rsid w:val="00707821"/>
    <w:rsid w:val="007100AC"/>
    <w:rsid w:val="00710575"/>
    <w:rsid w:val="007105B3"/>
    <w:rsid w:val="00710CC9"/>
    <w:rsid w:val="00713785"/>
    <w:rsid w:val="00713EF6"/>
    <w:rsid w:val="00715650"/>
    <w:rsid w:val="00715CF2"/>
    <w:rsid w:val="007179A1"/>
    <w:rsid w:val="007209A9"/>
    <w:rsid w:val="0072252E"/>
    <w:rsid w:val="00723036"/>
    <w:rsid w:val="00725A91"/>
    <w:rsid w:val="00727472"/>
    <w:rsid w:val="007276B8"/>
    <w:rsid w:val="0072781E"/>
    <w:rsid w:val="00727951"/>
    <w:rsid w:val="00727EFE"/>
    <w:rsid w:val="007302FF"/>
    <w:rsid w:val="00730526"/>
    <w:rsid w:val="007328CD"/>
    <w:rsid w:val="00733BB2"/>
    <w:rsid w:val="007348C2"/>
    <w:rsid w:val="007353DC"/>
    <w:rsid w:val="0073564D"/>
    <w:rsid w:val="00735F6B"/>
    <w:rsid w:val="00736741"/>
    <w:rsid w:val="007369A1"/>
    <w:rsid w:val="00737963"/>
    <w:rsid w:val="00737B49"/>
    <w:rsid w:val="00740EF2"/>
    <w:rsid w:val="007411E2"/>
    <w:rsid w:val="00741889"/>
    <w:rsid w:val="00741F62"/>
    <w:rsid w:val="007426EF"/>
    <w:rsid w:val="0074280C"/>
    <w:rsid w:val="00742E47"/>
    <w:rsid w:val="00742EC0"/>
    <w:rsid w:val="00742F52"/>
    <w:rsid w:val="0074334C"/>
    <w:rsid w:val="007438A3"/>
    <w:rsid w:val="00743B05"/>
    <w:rsid w:val="00744788"/>
    <w:rsid w:val="007448D6"/>
    <w:rsid w:val="00744AE5"/>
    <w:rsid w:val="00744D51"/>
    <w:rsid w:val="00745B4B"/>
    <w:rsid w:val="0074687D"/>
    <w:rsid w:val="00746DF3"/>
    <w:rsid w:val="007470EA"/>
    <w:rsid w:val="007471AF"/>
    <w:rsid w:val="007506C7"/>
    <w:rsid w:val="00751196"/>
    <w:rsid w:val="00751EBA"/>
    <w:rsid w:val="00752286"/>
    <w:rsid w:val="007528C7"/>
    <w:rsid w:val="0075297C"/>
    <w:rsid w:val="00752D61"/>
    <w:rsid w:val="00752E25"/>
    <w:rsid w:val="0075332D"/>
    <w:rsid w:val="007540BD"/>
    <w:rsid w:val="00754784"/>
    <w:rsid w:val="00755E16"/>
    <w:rsid w:val="00756ACB"/>
    <w:rsid w:val="00761812"/>
    <w:rsid w:val="007620E2"/>
    <w:rsid w:val="0076241C"/>
    <w:rsid w:val="007637B0"/>
    <w:rsid w:val="00763EF6"/>
    <w:rsid w:val="00765ABF"/>
    <w:rsid w:val="00766306"/>
    <w:rsid w:val="00766805"/>
    <w:rsid w:val="00767686"/>
    <w:rsid w:val="00767EBD"/>
    <w:rsid w:val="007700C7"/>
    <w:rsid w:val="00771197"/>
    <w:rsid w:val="0077176C"/>
    <w:rsid w:val="0077274E"/>
    <w:rsid w:val="00772D62"/>
    <w:rsid w:val="00774A91"/>
    <w:rsid w:val="00776614"/>
    <w:rsid w:val="007774D2"/>
    <w:rsid w:val="00780354"/>
    <w:rsid w:val="007807F7"/>
    <w:rsid w:val="00780B64"/>
    <w:rsid w:val="007811A4"/>
    <w:rsid w:val="00781D35"/>
    <w:rsid w:val="00782139"/>
    <w:rsid w:val="00783ED0"/>
    <w:rsid w:val="00784419"/>
    <w:rsid w:val="00784981"/>
    <w:rsid w:val="00785987"/>
    <w:rsid w:val="00785AA7"/>
    <w:rsid w:val="00785DBA"/>
    <w:rsid w:val="007867D4"/>
    <w:rsid w:val="00787369"/>
    <w:rsid w:val="00787BFA"/>
    <w:rsid w:val="00787F0B"/>
    <w:rsid w:val="0079037C"/>
    <w:rsid w:val="00790D60"/>
    <w:rsid w:val="00791CA3"/>
    <w:rsid w:val="007921BC"/>
    <w:rsid w:val="007945EC"/>
    <w:rsid w:val="0079584F"/>
    <w:rsid w:val="007959C9"/>
    <w:rsid w:val="007959FD"/>
    <w:rsid w:val="00795A89"/>
    <w:rsid w:val="00795A9B"/>
    <w:rsid w:val="007963B6"/>
    <w:rsid w:val="0079730A"/>
    <w:rsid w:val="0079784D"/>
    <w:rsid w:val="007A07DD"/>
    <w:rsid w:val="007A0B60"/>
    <w:rsid w:val="007A0E71"/>
    <w:rsid w:val="007A1954"/>
    <w:rsid w:val="007A1E7A"/>
    <w:rsid w:val="007A2A30"/>
    <w:rsid w:val="007A2E32"/>
    <w:rsid w:val="007A3239"/>
    <w:rsid w:val="007A4CFB"/>
    <w:rsid w:val="007A4EAE"/>
    <w:rsid w:val="007A51E6"/>
    <w:rsid w:val="007A57EC"/>
    <w:rsid w:val="007A5DCD"/>
    <w:rsid w:val="007A61C9"/>
    <w:rsid w:val="007A6AA5"/>
    <w:rsid w:val="007B08FB"/>
    <w:rsid w:val="007B0FFF"/>
    <w:rsid w:val="007B3AE4"/>
    <w:rsid w:val="007B3AE9"/>
    <w:rsid w:val="007B4499"/>
    <w:rsid w:val="007B49E7"/>
    <w:rsid w:val="007B5945"/>
    <w:rsid w:val="007B5BD2"/>
    <w:rsid w:val="007B6232"/>
    <w:rsid w:val="007B72B3"/>
    <w:rsid w:val="007B7FD8"/>
    <w:rsid w:val="007C073D"/>
    <w:rsid w:val="007C0834"/>
    <w:rsid w:val="007C0C5D"/>
    <w:rsid w:val="007C2154"/>
    <w:rsid w:val="007C22F6"/>
    <w:rsid w:val="007C3144"/>
    <w:rsid w:val="007C45CA"/>
    <w:rsid w:val="007C4755"/>
    <w:rsid w:val="007C4C98"/>
    <w:rsid w:val="007C5017"/>
    <w:rsid w:val="007C55A4"/>
    <w:rsid w:val="007C5936"/>
    <w:rsid w:val="007C6D1E"/>
    <w:rsid w:val="007C6FEF"/>
    <w:rsid w:val="007C7655"/>
    <w:rsid w:val="007D0001"/>
    <w:rsid w:val="007D178F"/>
    <w:rsid w:val="007D294B"/>
    <w:rsid w:val="007D33D8"/>
    <w:rsid w:val="007D512D"/>
    <w:rsid w:val="007D54CE"/>
    <w:rsid w:val="007D62C3"/>
    <w:rsid w:val="007D66BE"/>
    <w:rsid w:val="007D66F8"/>
    <w:rsid w:val="007D737C"/>
    <w:rsid w:val="007E0BE0"/>
    <w:rsid w:val="007E1E51"/>
    <w:rsid w:val="007E2431"/>
    <w:rsid w:val="007E2EC4"/>
    <w:rsid w:val="007E3560"/>
    <w:rsid w:val="007E3A28"/>
    <w:rsid w:val="007E3F0F"/>
    <w:rsid w:val="007E3F8D"/>
    <w:rsid w:val="007E43E4"/>
    <w:rsid w:val="007E6FE3"/>
    <w:rsid w:val="007E74FE"/>
    <w:rsid w:val="007E7FBC"/>
    <w:rsid w:val="007F03DE"/>
    <w:rsid w:val="007F1354"/>
    <w:rsid w:val="007F398B"/>
    <w:rsid w:val="007F3C7D"/>
    <w:rsid w:val="007F3F5A"/>
    <w:rsid w:val="007F4958"/>
    <w:rsid w:val="007F56D6"/>
    <w:rsid w:val="007F5C26"/>
    <w:rsid w:val="007F5FF3"/>
    <w:rsid w:val="007F6B94"/>
    <w:rsid w:val="007F7423"/>
    <w:rsid w:val="00800ACD"/>
    <w:rsid w:val="008019DB"/>
    <w:rsid w:val="00801D3A"/>
    <w:rsid w:val="00802D6B"/>
    <w:rsid w:val="008032EA"/>
    <w:rsid w:val="0080370D"/>
    <w:rsid w:val="00803906"/>
    <w:rsid w:val="008041EF"/>
    <w:rsid w:val="00804F3A"/>
    <w:rsid w:val="008051F6"/>
    <w:rsid w:val="0080529A"/>
    <w:rsid w:val="008060F0"/>
    <w:rsid w:val="0080636C"/>
    <w:rsid w:val="0080750A"/>
    <w:rsid w:val="008110A3"/>
    <w:rsid w:val="00812C71"/>
    <w:rsid w:val="00814FB6"/>
    <w:rsid w:val="00815641"/>
    <w:rsid w:val="00815DD8"/>
    <w:rsid w:val="00816740"/>
    <w:rsid w:val="00816870"/>
    <w:rsid w:val="00816951"/>
    <w:rsid w:val="00816988"/>
    <w:rsid w:val="00817397"/>
    <w:rsid w:val="008201B3"/>
    <w:rsid w:val="0082055F"/>
    <w:rsid w:val="00820998"/>
    <w:rsid w:val="008213D0"/>
    <w:rsid w:val="00821AC9"/>
    <w:rsid w:val="00821DD1"/>
    <w:rsid w:val="0082202A"/>
    <w:rsid w:val="00822052"/>
    <w:rsid w:val="008226AC"/>
    <w:rsid w:val="008229A3"/>
    <w:rsid w:val="00823634"/>
    <w:rsid w:val="00823BBB"/>
    <w:rsid w:val="0082472B"/>
    <w:rsid w:val="00824C08"/>
    <w:rsid w:val="00824D3D"/>
    <w:rsid w:val="00826327"/>
    <w:rsid w:val="00826432"/>
    <w:rsid w:val="00830C38"/>
    <w:rsid w:val="00830D9F"/>
    <w:rsid w:val="0083128E"/>
    <w:rsid w:val="00831847"/>
    <w:rsid w:val="008326CD"/>
    <w:rsid w:val="00832745"/>
    <w:rsid w:val="00833C81"/>
    <w:rsid w:val="008343E2"/>
    <w:rsid w:val="00834490"/>
    <w:rsid w:val="00834E72"/>
    <w:rsid w:val="00840283"/>
    <w:rsid w:val="008409F5"/>
    <w:rsid w:val="008410AA"/>
    <w:rsid w:val="00841783"/>
    <w:rsid w:val="00841FB9"/>
    <w:rsid w:val="00842503"/>
    <w:rsid w:val="00842AFE"/>
    <w:rsid w:val="0084504D"/>
    <w:rsid w:val="00846216"/>
    <w:rsid w:val="008477BA"/>
    <w:rsid w:val="0085092C"/>
    <w:rsid w:val="00850F47"/>
    <w:rsid w:val="008519D7"/>
    <w:rsid w:val="00853142"/>
    <w:rsid w:val="008545A2"/>
    <w:rsid w:val="00854C1C"/>
    <w:rsid w:val="00854EFF"/>
    <w:rsid w:val="00855C01"/>
    <w:rsid w:val="008575D7"/>
    <w:rsid w:val="008578DE"/>
    <w:rsid w:val="00860C00"/>
    <w:rsid w:val="00861268"/>
    <w:rsid w:val="008619DE"/>
    <w:rsid w:val="00861EE9"/>
    <w:rsid w:val="0086215E"/>
    <w:rsid w:val="008626B6"/>
    <w:rsid w:val="00863F9E"/>
    <w:rsid w:val="0086464C"/>
    <w:rsid w:val="008653A5"/>
    <w:rsid w:val="00866413"/>
    <w:rsid w:val="00867718"/>
    <w:rsid w:val="00867B9D"/>
    <w:rsid w:val="008712E6"/>
    <w:rsid w:val="008724A1"/>
    <w:rsid w:val="008749CD"/>
    <w:rsid w:val="00874DB0"/>
    <w:rsid w:val="008750D9"/>
    <w:rsid w:val="0087511D"/>
    <w:rsid w:val="00876E96"/>
    <w:rsid w:val="00877589"/>
    <w:rsid w:val="0087760A"/>
    <w:rsid w:val="00880B66"/>
    <w:rsid w:val="00881475"/>
    <w:rsid w:val="00881693"/>
    <w:rsid w:val="00882D61"/>
    <w:rsid w:val="00883B5F"/>
    <w:rsid w:val="00883BD6"/>
    <w:rsid w:val="00883F9B"/>
    <w:rsid w:val="008843BB"/>
    <w:rsid w:val="00884D9E"/>
    <w:rsid w:val="008850A4"/>
    <w:rsid w:val="00885321"/>
    <w:rsid w:val="0089006F"/>
    <w:rsid w:val="00891811"/>
    <w:rsid w:val="00891E1D"/>
    <w:rsid w:val="0089221B"/>
    <w:rsid w:val="00893575"/>
    <w:rsid w:val="00893FEB"/>
    <w:rsid w:val="0089400B"/>
    <w:rsid w:val="0089488E"/>
    <w:rsid w:val="008954B6"/>
    <w:rsid w:val="00895720"/>
    <w:rsid w:val="00895C05"/>
    <w:rsid w:val="00896019"/>
    <w:rsid w:val="008963C8"/>
    <w:rsid w:val="00896888"/>
    <w:rsid w:val="00896D75"/>
    <w:rsid w:val="0089737B"/>
    <w:rsid w:val="0089742A"/>
    <w:rsid w:val="008A0333"/>
    <w:rsid w:val="008A0A0B"/>
    <w:rsid w:val="008A1352"/>
    <w:rsid w:val="008A1F84"/>
    <w:rsid w:val="008A2A7D"/>
    <w:rsid w:val="008A2AE6"/>
    <w:rsid w:val="008A379A"/>
    <w:rsid w:val="008A4127"/>
    <w:rsid w:val="008A4533"/>
    <w:rsid w:val="008A4A9B"/>
    <w:rsid w:val="008A4FC3"/>
    <w:rsid w:val="008A552F"/>
    <w:rsid w:val="008A677D"/>
    <w:rsid w:val="008A7077"/>
    <w:rsid w:val="008A71A3"/>
    <w:rsid w:val="008A731F"/>
    <w:rsid w:val="008A774F"/>
    <w:rsid w:val="008B065C"/>
    <w:rsid w:val="008B0978"/>
    <w:rsid w:val="008B1BD1"/>
    <w:rsid w:val="008B1F33"/>
    <w:rsid w:val="008B2721"/>
    <w:rsid w:val="008B2E73"/>
    <w:rsid w:val="008B5C50"/>
    <w:rsid w:val="008B64DA"/>
    <w:rsid w:val="008C05B9"/>
    <w:rsid w:val="008C116F"/>
    <w:rsid w:val="008C18A2"/>
    <w:rsid w:val="008C538A"/>
    <w:rsid w:val="008C5EE7"/>
    <w:rsid w:val="008C66A0"/>
    <w:rsid w:val="008C6EC1"/>
    <w:rsid w:val="008C7243"/>
    <w:rsid w:val="008C7F06"/>
    <w:rsid w:val="008D07C2"/>
    <w:rsid w:val="008D0D25"/>
    <w:rsid w:val="008D0D51"/>
    <w:rsid w:val="008D170A"/>
    <w:rsid w:val="008D1A90"/>
    <w:rsid w:val="008D258F"/>
    <w:rsid w:val="008D3A9B"/>
    <w:rsid w:val="008D4459"/>
    <w:rsid w:val="008D4905"/>
    <w:rsid w:val="008D499E"/>
    <w:rsid w:val="008D618F"/>
    <w:rsid w:val="008D7007"/>
    <w:rsid w:val="008D7892"/>
    <w:rsid w:val="008D7CEA"/>
    <w:rsid w:val="008E0903"/>
    <w:rsid w:val="008E0AE9"/>
    <w:rsid w:val="008E12BA"/>
    <w:rsid w:val="008E16D8"/>
    <w:rsid w:val="008E1AE0"/>
    <w:rsid w:val="008E1D82"/>
    <w:rsid w:val="008E2491"/>
    <w:rsid w:val="008E25B6"/>
    <w:rsid w:val="008E3387"/>
    <w:rsid w:val="008E3395"/>
    <w:rsid w:val="008E38FF"/>
    <w:rsid w:val="008E4442"/>
    <w:rsid w:val="008E5BB2"/>
    <w:rsid w:val="008E743B"/>
    <w:rsid w:val="008E7464"/>
    <w:rsid w:val="008F02C3"/>
    <w:rsid w:val="008F05D1"/>
    <w:rsid w:val="008F109A"/>
    <w:rsid w:val="008F1833"/>
    <w:rsid w:val="008F1BBB"/>
    <w:rsid w:val="008F20A6"/>
    <w:rsid w:val="008F24E3"/>
    <w:rsid w:val="008F287B"/>
    <w:rsid w:val="008F4842"/>
    <w:rsid w:val="008F4B50"/>
    <w:rsid w:val="008F5629"/>
    <w:rsid w:val="008F60B6"/>
    <w:rsid w:val="008F6632"/>
    <w:rsid w:val="008F7EBA"/>
    <w:rsid w:val="009002CD"/>
    <w:rsid w:val="009005FF"/>
    <w:rsid w:val="00902336"/>
    <w:rsid w:val="00902B18"/>
    <w:rsid w:val="00903FC7"/>
    <w:rsid w:val="0090461E"/>
    <w:rsid w:val="009048F3"/>
    <w:rsid w:val="00905074"/>
    <w:rsid w:val="00906E10"/>
    <w:rsid w:val="009073FB"/>
    <w:rsid w:val="00907B6A"/>
    <w:rsid w:val="00907CBF"/>
    <w:rsid w:val="00910090"/>
    <w:rsid w:val="00910AD4"/>
    <w:rsid w:val="00911EB2"/>
    <w:rsid w:val="00912048"/>
    <w:rsid w:val="0091209E"/>
    <w:rsid w:val="009135A7"/>
    <w:rsid w:val="0091463E"/>
    <w:rsid w:val="00915BCF"/>
    <w:rsid w:val="00916D00"/>
    <w:rsid w:val="0091755D"/>
    <w:rsid w:val="00920338"/>
    <w:rsid w:val="00920DD8"/>
    <w:rsid w:val="00921B8A"/>
    <w:rsid w:val="0092209D"/>
    <w:rsid w:val="00922A0A"/>
    <w:rsid w:val="00924257"/>
    <w:rsid w:val="0092471F"/>
    <w:rsid w:val="00924F58"/>
    <w:rsid w:val="009256C3"/>
    <w:rsid w:val="00925AD0"/>
    <w:rsid w:val="00926A91"/>
    <w:rsid w:val="009303C6"/>
    <w:rsid w:val="009312DC"/>
    <w:rsid w:val="00931DA8"/>
    <w:rsid w:val="00932110"/>
    <w:rsid w:val="00932D3A"/>
    <w:rsid w:val="00932FB7"/>
    <w:rsid w:val="009334CD"/>
    <w:rsid w:val="009344F3"/>
    <w:rsid w:val="009352C7"/>
    <w:rsid w:val="009353BA"/>
    <w:rsid w:val="00935817"/>
    <w:rsid w:val="009358C6"/>
    <w:rsid w:val="009361DE"/>
    <w:rsid w:val="00936792"/>
    <w:rsid w:val="009371E7"/>
    <w:rsid w:val="009376A9"/>
    <w:rsid w:val="00937BBC"/>
    <w:rsid w:val="00940FEF"/>
    <w:rsid w:val="009414DC"/>
    <w:rsid w:val="00942EF0"/>
    <w:rsid w:val="0094336F"/>
    <w:rsid w:val="009438F6"/>
    <w:rsid w:val="00943FAF"/>
    <w:rsid w:val="00944B7E"/>
    <w:rsid w:val="009453FA"/>
    <w:rsid w:val="0094602E"/>
    <w:rsid w:val="00946518"/>
    <w:rsid w:val="0094704B"/>
    <w:rsid w:val="009477EB"/>
    <w:rsid w:val="009504C8"/>
    <w:rsid w:val="009506CE"/>
    <w:rsid w:val="00951563"/>
    <w:rsid w:val="00951721"/>
    <w:rsid w:val="009525F2"/>
    <w:rsid w:val="00954D68"/>
    <w:rsid w:val="00954F48"/>
    <w:rsid w:val="00954F76"/>
    <w:rsid w:val="00955FF9"/>
    <w:rsid w:val="00956215"/>
    <w:rsid w:val="00956699"/>
    <w:rsid w:val="00956FD5"/>
    <w:rsid w:val="00957259"/>
    <w:rsid w:val="009579EB"/>
    <w:rsid w:val="009601CD"/>
    <w:rsid w:val="0096096B"/>
    <w:rsid w:val="00961DF4"/>
    <w:rsid w:val="009622FF"/>
    <w:rsid w:val="00964D1B"/>
    <w:rsid w:val="009652EC"/>
    <w:rsid w:val="00965872"/>
    <w:rsid w:val="00965945"/>
    <w:rsid w:val="00966476"/>
    <w:rsid w:val="009665CE"/>
    <w:rsid w:val="009701FE"/>
    <w:rsid w:val="0097062D"/>
    <w:rsid w:val="00971DDF"/>
    <w:rsid w:val="00972D0B"/>
    <w:rsid w:val="0097333B"/>
    <w:rsid w:val="009733C6"/>
    <w:rsid w:val="00973D14"/>
    <w:rsid w:val="0097592D"/>
    <w:rsid w:val="00977A84"/>
    <w:rsid w:val="00977F30"/>
    <w:rsid w:val="009800D6"/>
    <w:rsid w:val="00980EAD"/>
    <w:rsid w:val="00980FEF"/>
    <w:rsid w:val="00981C5A"/>
    <w:rsid w:val="009821C1"/>
    <w:rsid w:val="00985434"/>
    <w:rsid w:val="00985578"/>
    <w:rsid w:val="00985FB3"/>
    <w:rsid w:val="0098663B"/>
    <w:rsid w:val="00986728"/>
    <w:rsid w:val="009903C4"/>
    <w:rsid w:val="00990FB6"/>
    <w:rsid w:val="00991260"/>
    <w:rsid w:val="0099399D"/>
    <w:rsid w:val="00994EBB"/>
    <w:rsid w:val="00997329"/>
    <w:rsid w:val="00997E2F"/>
    <w:rsid w:val="00997F6F"/>
    <w:rsid w:val="009A03D1"/>
    <w:rsid w:val="009A0402"/>
    <w:rsid w:val="009A1732"/>
    <w:rsid w:val="009A27F2"/>
    <w:rsid w:val="009A3152"/>
    <w:rsid w:val="009A36C9"/>
    <w:rsid w:val="009A3D9F"/>
    <w:rsid w:val="009A460A"/>
    <w:rsid w:val="009A6126"/>
    <w:rsid w:val="009A7014"/>
    <w:rsid w:val="009A7300"/>
    <w:rsid w:val="009B0593"/>
    <w:rsid w:val="009B0B5B"/>
    <w:rsid w:val="009B1B97"/>
    <w:rsid w:val="009B2200"/>
    <w:rsid w:val="009B2323"/>
    <w:rsid w:val="009B2566"/>
    <w:rsid w:val="009B2B57"/>
    <w:rsid w:val="009B2B83"/>
    <w:rsid w:val="009B3709"/>
    <w:rsid w:val="009B38FF"/>
    <w:rsid w:val="009B3A7B"/>
    <w:rsid w:val="009B50E8"/>
    <w:rsid w:val="009B5296"/>
    <w:rsid w:val="009B668A"/>
    <w:rsid w:val="009B6783"/>
    <w:rsid w:val="009B6BFE"/>
    <w:rsid w:val="009B6C6E"/>
    <w:rsid w:val="009B6C7F"/>
    <w:rsid w:val="009B7871"/>
    <w:rsid w:val="009C0CA8"/>
    <w:rsid w:val="009C17D7"/>
    <w:rsid w:val="009C19A1"/>
    <w:rsid w:val="009C21FE"/>
    <w:rsid w:val="009C2555"/>
    <w:rsid w:val="009C2906"/>
    <w:rsid w:val="009C4318"/>
    <w:rsid w:val="009C4A80"/>
    <w:rsid w:val="009C5942"/>
    <w:rsid w:val="009C594C"/>
    <w:rsid w:val="009C612E"/>
    <w:rsid w:val="009C6350"/>
    <w:rsid w:val="009C6DC9"/>
    <w:rsid w:val="009C6F45"/>
    <w:rsid w:val="009C6FAC"/>
    <w:rsid w:val="009C7451"/>
    <w:rsid w:val="009C7552"/>
    <w:rsid w:val="009C7749"/>
    <w:rsid w:val="009D0025"/>
    <w:rsid w:val="009D06F9"/>
    <w:rsid w:val="009D283D"/>
    <w:rsid w:val="009D30FC"/>
    <w:rsid w:val="009D4DCE"/>
    <w:rsid w:val="009D5C36"/>
    <w:rsid w:val="009D6B1D"/>
    <w:rsid w:val="009D7C4A"/>
    <w:rsid w:val="009E033B"/>
    <w:rsid w:val="009E093C"/>
    <w:rsid w:val="009E11A0"/>
    <w:rsid w:val="009E13D3"/>
    <w:rsid w:val="009E2025"/>
    <w:rsid w:val="009E27B4"/>
    <w:rsid w:val="009E2FA4"/>
    <w:rsid w:val="009E4718"/>
    <w:rsid w:val="009E4790"/>
    <w:rsid w:val="009E4854"/>
    <w:rsid w:val="009E48AB"/>
    <w:rsid w:val="009E49BD"/>
    <w:rsid w:val="009E4F52"/>
    <w:rsid w:val="009E6A3C"/>
    <w:rsid w:val="009E754F"/>
    <w:rsid w:val="009E7672"/>
    <w:rsid w:val="009F02E2"/>
    <w:rsid w:val="009F0F05"/>
    <w:rsid w:val="009F1660"/>
    <w:rsid w:val="009F16C8"/>
    <w:rsid w:val="009F1927"/>
    <w:rsid w:val="009F1D79"/>
    <w:rsid w:val="009F234F"/>
    <w:rsid w:val="009F41E7"/>
    <w:rsid w:val="009F439F"/>
    <w:rsid w:val="009F4BF5"/>
    <w:rsid w:val="009F4E32"/>
    <w:rsid w:val="009F546C"/>
    <w:rsid w:val="009F5629"/>
    <w:rsid w:val="009F6EA5"/>
    <w:rsid w:val="009F725F"/>
    <w:rsid w:val="00A0064F"/>
    <w:rsid w:val="00A00FF7"/>
    <w:rsid w:val="00A01262"/>
    <w:rsid w:val="00A0129E"/>
    <w:rsid w:val="00A01ACA"/>
    <w:rsid w:val="00A0378C"/>
    <w:rsid w:val="00A05722"/>
    <w:rsid w:val="00A0601A"/>
    <w:rsid w:val="00A06387"/>
    <w:rsid w:val="00A10031"/>
    <w:rsid w:val="00A10C14"/>
    <w:rsid w:val="00A110F1"/>
    <w:rsid w:val="00A126EB"/>
    <w:rsid w:val="00A132BA"/>
    <w:rsid w:val="00A13485"/>
    <w:rsid w:val="00A15AF9"/>
    <w:rsid w:val="00A16B10"/>
    <w:rsid w:val="00A17EA1"/>
    <w:rsid w:val="00A2043F"/>
    <w:rsid w:val="00A20997"/>
    <w:rsid w:val="00A20CA7"/>
    <w:rsid w:val="00A21A2D"/>
    <w:rsid w:val="00A221FA"/>
    <w:rsid w:val="00A23B88"/>
    <w:rsid w:val="00A2473C"/>
    <w:rsid w:val="00A247E4"/>
    <w:rsid w:val="00A24839"/>
    <w:rsid w:val="00A25359"/>
    <w:rsid w:val="00A25870"/>
    <w:rsid w:val="00A25CDF"/>
    <w:rsid w:val="00A26558"/>
    <w:rsid w:val="00A27AC6"/>
    <w:rsid w:val="00A304E4"/>
    <w:rsid w:val="00A307BA"/>
    <w:rsid w:val="00A313D5"/>
    <w:rsid w:val="00A318FA"/>
    <w:rsid w:val="00A3367E"/>
    <w:rsid w:val="00A33C55"/>
    <w:rsid w:val="00A34572"/>
    <w:rsid w:val="00A34683"/>
    <w:rsid w:val="00A35301"/>
    <w:rsid w:val="00A35726"/>
    <w:rsid w:val="00A359DC"/>
    <w:rsid w:val="00A36FDB"/>
    <w:rsid w:val="00A37EAD"/>
    <w:rsid w:val="00A40065"/>
    <w:rsid w:val="00A420E9"/>
    <w:rsid w:val="00A445BE"/>
    <w:rsid w:val="00A44AF2"/>
    <w:rsid w:val="00A45D5D"/>
    <w:rsid w:val="00A4617E"/>
    <w:rsid w:val="00A47FDE"/>
    <w:rsid w:val="00A50A87"/>
    <w:rsid w:val="00A50C92"/>
    <w:rsid w:val="00A51E2D"/>
    <w:rsid w:val="00A52188"/>
    <w:rsid w:val="00A52325"/>
    <w:rsid w:val="00A5402C"/>
    <w:rsid w:val="00A54901"/>
    <w:rsid w:val="00A56D2D"/>
    <w:rsid w:val="00A56D83"/>
    <w:rsid w:val="00A56F69"/>
    <w:rsid w:val="00A57516"/>
    <w:rsid w:val="00A615C7"/>
    <w:rsid w:val="00A61CD2"/>
    <w:rsid w:val="00A62433"/>
    <w:rsid w:val="00A6573F"/>
    <w:rsid w:val="00A65FD8"/>
    <w:rsid w:val="00A66020"/>
    <w:rsid w:val="00A662A1"/>
    <w:rsid w:val="00A66F20"/>
    <w:rsid w:val="00A672EE"/>
    <w:rsid w:val="00A67672"/>
    <w:rsid w:val="00A676A4"/>
    <w:rsid w:val="00A67C57"/>
    <w:rsid w:val="00A67DBF"/>
    <w:rsid w:val="00A70464"/>
    <w:rsid w:val="00A707E2"/>
    <w:rsid w:val="00A70E45"/>
    <w:rsid w:val="00A72DC8"/>
    <w:rsid w:val="00A755CA"/>
    <w:rsid w:val="00A763AF"/>
    <w:rsid w:val="00A76634"/>
    <w:rsid w:val="00A76898"/>
    <w:rsid w:val="00A76F8F"/>
    <w:rsid w:val="00A77ADF"/>
    <w:rsid w:val="00A77EB9"/>
    <w:rsid w:val="00A81133"/>
    <w:rsid w:val="00A819D5"/>
    <w:rsid w:val="00A81A81"/>
    <w:rsid w:val="00A82016"/>
    <w:rsid w:val="00A82898"/>
    <w:rsid w:val="00A84216"/>
    <w:rsid w:val="00A84727"/>
    <w:rsid w:val="00A84B8B"/>
    <w:rsid w:val="00A84C9A"/>
    <w:rsid w:val="00A84F86"/>
    <w:rsid w:val="00A85CFB"/>
    <w:rsid w:val="00A905C2"/>
    <w:rsid w:val="00A91BAB"/>
    <w:rsid w:val="00A931FC"/>
    <w:rsid w:val="00A935F8"/>
    <w:rsid w:val="00A93BF7"/>
    <w:rsid w:val="00A93EB6"/>
    <w:rsid w:val="00A94598"/>
    <w:rsid w:val="00A950CC"/>
    <w:rsid w:val="00A95D36"/>
    <w:rsid w:val="00A96BBF"/>
    <w:rsid w:val="00AA11C3"/>
    <w:rsid w:val="00AA344E"/>
    <w:rsid w:val="00AA4BA6"/>
    <w:rsid w:val="00AA539D"/>
    <w:rsid w:val="00AA584B"/>
    <w:rsid w:val="00AA589C"/>
    <w:rsid w:val="00AA6324"/>
    <w:rsid w:val="00AA73EC"/>
    <w:rsid w:val="00AB0436"/>
    <w:rsid w:val="00AB0466"/>
    <w:rsid w:val="00AB14AC"/>
    <w:rsid w:val="00AB14CC"/>
    <w:rsid w:val="00AB1F1C"/>
    <w:rsid w:val="00AB3777"/>
    <w:rsid w:val="00AB3819"/>
    <w:rsid w:val="00AB637D"/>
    <w:rsid w:val="00AB65C3"/>
    <w:rsid w:val="00AB6735"/>
    <w:rsid w:val="00AB682E"/>
    <w:rsid w:val="00AB6ADC"/>
    <w:rsid w:val="00AB754A"/>
    <w:rsid w:val="00AB7754"/>
    <w:rsid w:val="00AC1E3A"/>
    <w:rsid w:val="00AC1F80"/>
    <w:rsid w:val="00AC2AA9"/>
    <w:rsid w:val="00AC37DC"/>
    <w:rsid w:val="00AC3CB5"/>
    <w:rsid w:val="00AC3E10"/>
    <w:rsid w:val="00AC44B8"/>
    <w:rsid w:val="00AC4CDD"/>
    <w:rsid w:val="00AC58C5"/>
    <w:rsid w:val="00AC5A3A"/>
    <w:rsid w:val="00AC5D29"/>
    <w:rsid w:val="00AC5D33"/>
    <w:rsid w:val="00AC5DED"/>
    <w:rsid w:val="00AC5FED"/>
    <w:rsid w:val="00AD0728"/>
    <w:rsid w:val="00AD1701"/>
    <w:rsid w:val="00AD53DF"/>
    <w:rsid w:val="00AD5461"/>
    <w:rsid w:val="00AD550E"/>
    <w:rsid w:val="00AD5EF8"/>
    <w:rsid w:val="00AD6C0A"/>
    <w:rsid w:val="00AD6C17"/>
    <w:rsid w:val="00AD7949"/>
    <w:rsid w:val="00AD7ECA"/>
    <w:rsid w:val="00AE05CE"/>
    <w:rsid w:val="00AE0ACC"/>
    <w:rsid w:val="00AE0E95"/>
    <w:rsid w:val="00AE1943"/>
    <w:rsid w:val="00AE2AF4"/>
    <w:rsid w:val="00AE2F67"/>
    <w:rsid w:val="00AE3176"/>
    <w:rsid w:val="00AE32D3"/>
    <w:rsid w:val="00AE3DBB"/>
    <w:rsid w:val="00AE4A33"/>
    <w:rsid w:val="00AE4AE1"/>
    <w:rsid w:val="00AE5515"/>
    <w:rsid w:val="00AE6599"/>
    <w:rsid w:val="00AE6CF5"/>
    <w:rsid w:val="00AE7F1F"/>
    <w:rsid w:val="00AF0D0A"/>
    <w:rsid w:val="00AF2973"/>
    <w:rsid w:val="00AF2FA3"/>
    <w:rsid w:val="00AF46AA"/>
    <w:rsid w:val="00AF49D1"/>
    <w:rsid w:val="00AF60A4"/>
    <w:rsid w:val="00AF713A"/>
    <w:rsid w:val="00AF72C9"/>
    <w:rsid w:val="00AF7EA6"/>
    <w:rsid w:val="00B0089C"/>
    <w:rsid w:val="00B00E74"/>
    <w:rsid w:val="00B03268"/>
    <w:rsid w:val="00B03969"/>
    <w:rsid w:val="00B05E78"/>
    <w:rsid w:val="00B068BE"/>
    <w:rsid w:val="00B06C3F"/>
    <w:rsid w:val="00B07EC1"/>
    <w:rsid w:val="00B12A0F"/>
    <w:rsid w:val="00B13773"/>
    <w:rsid w:val="00B13D59"/>
    <w:rsid w:val="00B14B92"/>
    <w:rsid w:val="00B15008"/>
    <w:rsid w:val="00B1569B"/>
    <w:rsid w:val="00B15D17"/>
    <w:rsid w:val="00B15FBB"/>
    <w:rsid w:val="00B170D7"/>
    <w:rsid w:val="00B17210"/>
    <w:rsid w:val="00B20474"/>
    <w:rsid w:val="00B22623"/>
    <w:rsid w:val="00B22CD4"/>
    <w:rsid w:val="00B2318F"/>
    <w:rsid w:val="00B232CB"/>
    <w:rsid w:val="00B23BDB"/>
    <w:rsid w:val="00B242F8"/>
    <w:rsid w:val="00B276FE"/>
    <w:rsid w:val="00B32E9A"/>
    <w:rsid w:val="00B33F53"/>
    <w:rsid w:val="00B34746"/>
    <w:rsid w:val="00B34767"/>
    <w:rsid w:val="00B34A49"/>
    <w:rsid w:val="00B35478"/>
    <w:rsid w:val="00B35974"/>
    <w:rsid w:val="00B3611E"/>
    <w:rsid w:val="00B36C3F"/>
    <w:rsid w:val="00B404C3"/>
    <w:rsid w:val="00B44918"/>
    <w:rsid w:val="00B46C83"/>
    <w:rsid w:val="00B52921"/>
    <w:rsid w:val="00B5296F"/>
    <w:rsid w:val="00B532F6"/>
    <w:rsid w:val="00B53CC8"/>
    <w:rsid w:val="00B540BC"/>
    <w:rsid w:val="00B54163"/>
    <w:rsid w:val="00B54A72"/>
    <w:rsid w:val="00B55AFC"/>
    <w:rsid w:val="00B571BC"/>
    <w:rsid w:val="00B571D6"/>
    <w:rsid w:val="00B5724A"/>
    <w:rsid w:val="00B572BA"/>
    <w:rsid w:val="00B5776F"/>
    <w:rsid w:val="00B61790"/>
    <w:rsid w:val="00B63DAD"/>
    <w:rsid w:val="00B64E48"/>
    <w:rsid w:val="00B65738"/>
    <w:rsid w:val="00B67614"/>
    <w:rsid w:val="00B70B06"/>
    <w:rsid w:val="00B71A6D"/>
    <w:rsid w:val="00B73017"/>
    <w:rsid w:val="00B73B03"/>
    <w:rsid w:val="00B743EC"/>
    <w:rsid w:val="00B75613"/>
    <w:rsid w:val="00B75685"/>
    <w:rsid w:val="00B77073"/>
    <w:rsid w:val="00B80B7F"/>
    <w:rsid w:val="00B82297"/>
    <w:rsid w:val="00B82986"/>
    <w:rsid w:val="00B8368A"/>
    <w:rsid w:val="00B83C64"/>
    <w:rsid w:val="00B83DEF"/>
    <w:rsid w:val="00B8457C"/>
    <w:rsid w:val="00B85B57"/>
    <w:rsid w:val="00B86628"/>
    <w:rsid w:val="00B877B2"/>
    <w:rsid w:val="00B87D79"/>
    <w:rsid w:val="00B9006C"/>
    <w:rsid w:val="00B90800"/>
    <w:rsid w:val="00B9138D"/>
    <w:rsid w:val="00B921CF"/>
    <w:rsid w:val="00B927E4"/>
    <w:rsid w:val="00B92F73"/>
    <w:rsid w:val="00B94F72"/>
    <w:rsid w:val="00B9560C"/>
    <w:rsid w:val="00B95B05"/>
    <w:rsid w:val="00B96918"/>
    <w:rsid w:val="00B96B6D"/>
    <w:rsid w:val="00B973D2"/>
    <w:rsid w:val="00B97A1B"/>
    <w:rsid w:val="00B97A5F"/>
    <w:rsid w:val="00BA2BFB"/>
    <w:rsid w:val="00BA2C39"/>
    <w:rsid w:val="00BA3C9D"/>
    <w:rsid w:val="00BA3CDE"/>
    <w:rsid w:val="00BA46B9"/>
    <w:rsid w:val="00BA51CC"/>
    <w:rsid w:val="00BA592A"/>
    <w:rsid w:val="00BA59D3"/>
    <w:rsid w:val="00BA6717"/>
    <w:rsid w:val="00BA6D04"/>
    <w:rsid w:val="00BA7C2E"/>
    <w:rsid w:val="00BB04B0"/>
    <w:rsid w:val="00BB145E"/>
    <w:rsid w:val="00BB3D8E"/>
    <w:rsid w:val="00BB43DD"/>
    <w:rsid w:val="00BB45E5"/>
    <w:rsid w:val="00BB49C5"/>
    <w:rsid w:val="00BB73D4"/>
    <w:rsid w:val="00BC0732"/>
    <w:rsid w:val="00BC0D37"/>
    <w:rsid w:val="00BC17B3"/>
    <w:rsid w:val="00BC204B"/>
    <w:rsid w:val="00BC2A27"/>
    <w:rsid w:val="00BC38B6"/>
    <w:rsid w:val="00BC4628"/>
    <w:rsid w:val="00BC4752"/>
    <w:rsid w:val="00BC5936"/>
    <w:rsid w:val="00BC5DCB"/>
    <w:rsid w:val="00BC649D"/>
    <w:rsid w:val="00BC64C2"/>
    <w:rsid w:val="00BC70A3"/>
    <w:rsid w:val="00BC70F8"/>
    <w:rsid w:val="00BC7264"/>
    <w:rsid w:val="00BD1702"/>
    <w:rsid w:val="00BD2431"/>
    <w:rsid w:val="00BD263B"/>
    <w:rsid w:val="00BD31D3"/>
    <w:rsid w:val="00BD3AC0"/>
    <w:rsid w:val="00BD3C3D"/>
    <w:rsid w:val="00BD3FE4"/>
    <w:rsid w:val="00BD4978"/>
    <w:rsid w:val="00BD4E9A"/>
    <w:rsid w:val="00BD564D"/>
    <w:rsid w:val="00BD70DD"/>
    <w:rsid w:val="00BD7394"/>
    <w:rsid w:val="00BD7B94"/>
    <w:rsid w:val="00BD7C29"/>
    <w:rsid w:val="00BE0BB3"/>
    <w:rsid w:val="00BE2264"/>
    <w:rsid w:val="00BE2EF9"/>
    <w:rsid w:val="00BE44CB"/>
    <w:rsid w:val="00BE4CD4"/>
    <w:rsid w:val="00BE5492"/>
    <w:rsid w:val="00BE5B68"/>
    <w:rsid w:val="00BE6877"/>
    <w:rsid w:val="00BE6A72"/>
    <w:rsid w:val="00BE6E82"/>
    <w:rsid w:val="00BE7AC1"/>
    <w:rsid w:val="00BF131C"/>
    <w:rsid w:val="00BF13E7"/>
    <w:rsid w:val="00BF1D89"/>
    <w:rsid w:val="00BF3437"/>
    <w:rsid w:val="00BF3522"/>
    <w:rsid w:val="00BF4219"/>
    <w:rsid w:val="00BF4DDE"/>
    <w:rsid w:val="00BF588C"/>
    <w:rsid w:val="00BF6110"/>
    <w:rsid w:val="00BF6824"/>
    <w:rsid w:val="00BF6F6C"/>
    <w:rsid w:val="00BF78AE"/>
    <w:rsid w:val="00C0038F"/>
    <w:rsid w:val="00C00A2F"/>
    <w:rsid w:val="00C01200"/>
    <w:rsid w:val="00C01718"/>
    <w:rsid w:val="00C01A1F"/>
    <w:rsid w:val="00C02A64"/>
    <w:rsid w:val="00C02BB1"/>
    <w:rsid w:val="00C03046"/>
    <w:rsid w:val="00C032D6"/>
    <w:rsid w:val="00C0412C"/>
    <w:rsid w:val="00C0427B"/>
    <w:rsid w:val="00C063AC"/>
    <w:rsid w:val="00C0703E"/>
    <w:rsid w:val="00C07DAE"/>
    <w:rsid w:val="00C07F42"/>
    <w:rsid w:val="00C113D5"/>
    <w:rsid w:val="00C1151D"/>
    <w:rsid w:val="00C115E0"/>
    <w:rsid w:val="00C11ACF"/>
    <w:rsid w:val="00C12BB0"/>
    <w:rsid w:val="00C134B7"/>
    <w:rsid w:val="00C137EF"/>
    <w:rsid w:val="00C143F8"/>
    <w:rsid w:val="00C14B11"/>
    <w:rsid w:val="00C16AA1"/>
    <w:rsid w:val="00C16DC8"/>
    <w:rsid w:val="00C16DE2"/>
    <w:rsid w:val="00C17A9D"/>
    <w:rsid w:val="00C20E41"/>
    <w:rsid w:val="00C2103A"/>
    <w:rsid w:val="00C2217B"/>
    <w:rsid w:val="00C222A8"/>
    <w:rsid w:val="00C222F4"/>
    <w:rsid w:val="00C2230E"/>
    <w:rsid w:val="00C22EBB"/>
    <w:rsid w:val="00C235E8"/>
    <w:rsid w:val="00C23DCB"/>
    <w:rsid w:val="00C23EAA"/>
    <w:rsid w:val="00C24A79"/>
    <w:rsid w:val="00C24BBC"/>
    <w:rsid w:val="00C2714E"/>
    <w:rsid w:val="00C27853"/>
    <w:rsid w:val="00C279AC"/>
    <w:rsid w:val="00C27E37"/>
    <w:rsid w:val="00C30293"/>
    <w:rsid w:val="00C305D0"/>
    <w:rsid w:val="00C30ADD"/>
    <w:rsid w:val="00C32834"/>
    <w:rsid w:val="00C32C23"/>
    <w:rsid w:val="00C337ED"/>
    <w:rsid w:val="00C34177"/>
    <w:rsid w:val="00C342C1"/>
    <w:rsid w:val="00C35503"/>
    <w:rsid w:val="00C35636"/>
    <w:rsid w:val="00C36635"/>
    <w:rsid w:val="00C37677"/>
    <w:rsid w:val="00C37775"/>
    <w:rsid w:val="00C42282"/>
    <w:rsid w:val="00C4249D"/>
    <w:rsid w:val="00C437E2"/>
    <w:rsid w:val="00C4400E"/>
    <w:rsid w:val="00C443C1"/>
    <w:rsid w:val="00C466BB"/>
    <w:rsid w:val="00C4674F"/>
    <w:rsid w:val="00C47166"/>
    <w:rsid w:val="00C471D1"/>
    <w:rsid w:val="00C47507"/>
    <w:rsid w:val="00C47C1F"/>
    <w:rsid w:val="00C50CC7"/>
    <w:rsid w:val="00C510D7"/>
    <w:rsid w:val="00C519F1"/>
    <w:rsid w:val="00C52D60"/>
    <w:rsid w:val="00C53301"/>
    <w:rsid w:val="00C5485C"/>
    <w:rsid w:val="00C54866"/>
    <w:rsid w:val="00C568F9"/>
    <w:rsid w:val="00C56FC8"/>
    <w:rsid w:val="00C60483"/>
    <w:rsid w:val="00C60EC1"/>
    <w:rsid w:val="00C61041"/>
    <w:rsid w:val="00C6187D"/>
    <w:rsid w:val="00C61FBA"/>
    <w:rsid w:val="00C62457"/>
    <w:rsid w:val="00C62C35"/>
    <w:rsid w:val="00C630E7"/>
    <w:rsid w:val="00C63CEB"/>
    <w:rsid w:val="00C6504D"/>
    <w:rsid w:val="00C6586C"/>
    <w:rsid w:val="00C67090"/>
    <w:rsid w:val="00C67A78"/>
    <w:rsid w:val="00C67B2A"/>
    <w:rsid w:val="00C70FC1"/>
    <w:rsid w:val="00C710A9"/>
    <w:rsid w:val="00C7167A"/>
    <w:rsid w:val="00C7232B"/>
    <w:rsid w:val="00C72475"/>
    <w:rsid w:val="00C72905"/>
    <w:rsid w:val="00C7342A"/>
    <w:rsid w:val="00C74618"/>
    <w:rsid w:val="00C760FE"/>
    <w:rsid w:val="00C7649B"/>
    <w:rsid w:val="00C76965"/>
    <w:rsid w:val="00C76A59"/>
    <w:rsid w:val="00C76B17"/>
    <w:rsid w:val="00C8032B"/>
    <w:rsid w:val="00C80464"/>
    <w:rsid w:val="00C812C2"/>
    <w:rsid w:val="00C81642"/>
    <w:rsid w:val="00C81D01"/>
    <w:rsid w:val="00C825BD"/>
    <w:rsid w:val="00C82A49"/>
    <w:rsid w:val="00C833FD"/>
    <w:rsid w:val="00C85F4E"/>
    <w:rsid w:val="00C9355B"/>
    <w:rsid w:val="00C93B37"/>
    <w:rsid w:val="00C94191"/>
    <w:rsid w:val="00C9473D"/>
    <w:rsid w:val="00C95AF6"/>
    <w:rsid w:val="00C96532"/>
    <w:rsid w:val="00C97A49"/>
    <w:rsid w:val="00CA0115"/>
    <w:rsid w:val="00CA01BF"/>
    <w:rsid w:val="00CA1367"/>
    <w:rsid w:val="00CA14CD"/>
    <w:rsid w:val="00CA2B3F"/>
    <w:rsid w:val="00CA2F82"/>
    <w:rsid w:val="00CA3B7B"/>
    <w:rsid w:val="00CA4477"/>
    <w:rsid w:val="00CA4898"/>
    <w:rsid w:val="00CA57F1"/>
    <w:rsid w:val="00CA73AA"/>
    <w:rsid w:val="00CA7C2F"/>
    <w:rsid w:val="00CB0898"/>
    <w:rsid w:val="00CB0BF3"/>
    <w:rsid w:val="00CB0F04"/>
    <w:rsid w:val="00CB4012"/>
    <w:rsid w:val="00CB49A1"/>
    <w:rsid w:val="00CB542E"/>
    <w:rsid w:val="00CB5E21"/>
    <w:rsid w:val="00CB79E4"/>
    <w:rsid w:val="00CC049C"/>
    <w:rsid w:val="00CC165D"/>
    <w:rsid w:val="00CC212B"/>
    <w:rsid w:val="00CC2139"/>
    <w:rsid w:val="00CC2362"/>
    <w:rsid w:val="00CC347E"/>
    <w:rsid w:val="00CC37FA"/>
    <w:rsid w:val="00CC3C11"/>
    <w:rsid w:val="00CC56F9"/>
    <w:rsid w:val="00CC770C"/>
    <w:rsid w:val="00CC7E4B"/>
    <w:rsid w:val="00CD02AE"/>
    <w:rsid w:val="00CD1570"/>
    <w:rsid w:val="00CD1833"/>
    <w:rsid w:val="00CD190D"/>
    <w:rsid w:val="00CD2ECE"/>
    <w:rsid w:val="00CD461F"/>
    <w:rsid w:val="00CD4C27"/>
    <w:rsid w:val="00CD4F1A"/>
    <w:rsid w:val="00CD5950"/>
    <w:rsid w:val="00CD6C01"/>
    <w:rsid w:val="00CE10E8"/>
    <w:rsid w:val="00CE14C4"/>
    <w:rsid w:val="00CE27F4"/>
    <w:rsid w:val="00CE4A70"/>
    <w:rsid w:val="00CE5242"/>
    <w:rsid w:val="00CE6BF6"/>
    <w:rsid w:val="00CF133C"/>
    <w:rsid w:val="00CF1572"/>
    <w:rsid w:val="00CF19EA"/>
    <w:rsid w:val="00CF4DE5"/>
    <w:rsid w:val="00CF5424"/>
    <w:rsid w:val="00CF5761"/>
    <w:rsid w:val="00CF5DF6"/>
    <w:rsid w:val="00CF5F2B"/>
    <w:rsid w:val="00CF6299"/>
    <w:rsid w:val="00CF6AB5"/>
    <w:rsid w:val="00CF7974"/>
    <w:rsid w:val="00D022EF"/>
    <w:rsid w:val="00D03249"/>
    <w:rsid w:val="00D035D9"/>
    <w:rsid w:val="00D0461C"/>
    <w:rsid w:val="00D07E6E"/>
    <w:rsid w:val="00D104F2"/>
    <w:rsid w:val="00D1090F"/>
    <w:rsid w:val="00D10F07"/>
    <w:rsid w:val="00D1140F"/>
    <w:rsid w:val="00D11443"/>
    <w:rsid w:val="00D116D3"/>
    <w:rsid w:val="00D11FBB"/>
    <w:rsid w:val="00D11FFB"/>
    <w:rsid w:val="00D125A2"/>
    <w:rsid w:val="00D161A5"/>
    <w:rsid w:val="00D168B5"/>
    <w:rsid w:val="00D17755"/>
    <w:rsid w:val="00D178B8"/>
    <w:rsid w:val="00D20D16"/>
    <w:rsid w:val="00D22AE9"/>
    <w:rsid w:val="00D25072"/>
    <w:rsid w:val="00D262D0"/>
    <w:rsid w:val="00D27807"/>
    <w:rsid w:val="00D3078F"/>
    <w:rsid w:val="00D3167A"/>
    <w:rsid w:val="00D32102"/>
    <w:rsid w:val="00D33471"/>
    <w:rsid w:val="00D33F96"/>
    <w:rsid w:val="00D364BB"/>
    <w:rsid w:val="00D37834"/>
    <w:rsid w:val="00D43015"/>
    <w:rsid w:val="00D430E2"/>
    <w:rsid w:val="00D4353F"/>
    <w:rsid w:val="00D44294"/>
    <w:rsid w:val="00D443B4"/>
    <w:rsid w:val="00D44956"/>
    <w:rsid w:val="00D45282"/>
    <w:rsid w:val="00D4542A"/>
    <w:rsid w:val="00D46D41"/>
    <w:rsid w:val="00D46F1E"/>
    <w:rsid w:val="00D476F8"/>
    <w:rsid w:val="00D4774D"/>
    <w:rsid w:val="00D478CB"/>
    <w:rsid w:val="00D47B53"/>
    <w:rsid w:val="00D503B4"/>
    <w:rsid w:val="00D507CB"/>
    <w:rsid w:val="00D50A15"/>
    <w:rsid w:val="00D5141D"/>
    <w:rsid w:val="00D515CA"/>
    <w:rsid w:val="00D517D0"/>
    <w:rsid w:val="00D52961"/>
    <w:rsid w:val="00D53A66"/>
    <w:rsid w:val="00D54FD5"/>
    <w:rsid w:val="00D55139"/>
    <w:rsid w:val="00D553CE"/>
    <w:rsid w:val="00D55B6E"/>
    <w:rsid w:val="00D55E63"/>
    <w:rsid w:val="00D57238"/>
    <w:rsid w:val="00D5755F"/>
    <w:rsid w:val="00D57FD2"/>
    <w:rsid w:val="00D60720"/>
    <w:rsid w:val="00D60A72"/>
    <w:rsid w:val="00D610F1"/>
    <w:rsid w:val="00D61A6B"/>
    <w:rsid w:val="00D6205D"/>
    <w:rsid w:val="00D63907"/>
    <w:rsid w:val="00D66285"/>
    <w:rsid w:val="00D666EE"/>
    <w:rsid w:val="00D66BAA"/>
    <w:rsid w:val="00D6731C"/>
    <w:rsid w:val="00D704A4"/>
    <w:rsid w:val="00D71F38"/>
    <w:rsid w:val="00D7210B"/>
    <w:rsid w:val="00D72CFF"/>
    <w:rsid w:val="00D72EC2"/>
    <w:rsid w:val="00D735D6"/>
    <w:rsid w:val="00D73F92"/>
    <w:rsid w:val="00D753A8"/>
    <w:rsid w:val="00D757ED"/>
    <w:rsid w:val="00D75C81"/>
    <w:rsid w:val="00D7606A"/>
    <w:rsid w:val="00D773BE"/>
    <w:rsid w:val="00D77B56"/>
    <w:rsid w:val="00D77D85"/>
    <w:rsid w:val="00D802B6"/>
    <w:rsid w:val="00D8032C"/>
    <w:rsid w:val="00D81107"/>
    <w:rsid w:val="00D811D3"/>
    <w:rsid w:val="00D81CE6"/>
    <w:rsid w:val="00D83012"/>
    <w:rsid w:val="00D839F8"/>
    <w:rsid w:val="00D8433A"/>
    <w:rsid w:val="00D84F3A"/>
    <w:rsid w:val="00D85226"/>
    <w:rsid w:val="00D85969"/>
    <w:rsid w:val="00D86881"/>
    <w:rsid w:val="00D87B7D"/>
    <w:rsid w:val="00D90293"/>
    <w:rsid w:val="00D90945"/>
    <w:rsid w:val="00D91CD7"/>
    <w:rsid w:val="00D92A75"/>
    <w:rsid w:val="00D92F5B"/>
    <w:rsid w:val="00D92FBD"/>
    <w:rsid w:val="00D93C20"/>
    <w:rsid w:val="00D94DC4"/>
    <w:rsid w:val="00D95AF9"/>
    <w:rsid w:val="00D95F2C"/>
    <w:rsid w:val="00D96E5D"/>
    <w:rsid w:val="00D973CE"/>
    <w:rsid w:val="00D97A78"/>
    <w:rsid w:val="00DA1200"/>
    <w:rsid w:val="00DA1A0E"/>
    <w:rsid w:val="00DA1DFC"/>
    <w:rsid w:val="00DA23FE"/>
    <w:rsid w:val="00DA3352"/>
    <w:rsid w:val="00DA39AB"/>
    <w:rsid w:val="00DA3CAA"/>
    <w:rsid w:val="00DA4990"/>
    <w:rsid w:val="00DA55B0"/>
    <w:rsid w:val="00DA5AD6"/>
    <w:rsid w:val="00DA5BB7"/>
    <w:rsid w:val="00DA71F5"/>
    <w:rsid w:val="00DB0A44"/>
    <w:rsid w:val="00DB152D"/>
    <w:rsid w:val="00DB1A8A"/>
    <w:rsid w:val="00DB1FBE"/>
    <w:rsid w:val="00DB3D9D"/>
    <w:rsid w:val="00DB482B"/>
    <w:rsid w:val="00DB4BC6"/>
    <w:rsid w:val="00DB5557"/>
    <w:rsid w:val="00DB5954"/>
    <w:rsid w:val="00DB6D5F"/>
    <w:rsid w:val="00DB72C4"/>
    <w:rsid w:val="00DB7722"/>
    <w:rsid w:val="00DB7CAF"/>
    <w:rsid w:val="00DC020F"/>
    <w:rsid w:val="00DC0660"/>
    <w:rsid w:val="00DC0946"/>
    <w:rsid w:val="00DC17BF"/>
    <w:rsid w:val="00DC2632"/>
    <w:rsid w:val="00DC3117"/>
    <w:rsid w:val="00DC3D8E"/>
    <w:rsid w:val="00DC4A38"/>
    <w:rsid w:val="00DC4D94"/>
    <w:rsid w:val="00DC51D4"/>
    <w:rsid w:val="00DC68EE"/>
    <w:rsid w:val="00DC77F7"/>
    <w:rsid w:val="00DC786E"/>
    <w:rsid w:val="00DC7E22"/>
    <w:rsid w:val="00DD0039"/>
    <w:rsid w:val="00DD03E3"/>
    <w:rsid w:val="00DD1605"/>
    <w:rsid w:val="00DD2FCE"/>
    <w:rsid w:val="00DD3267"/>
    <w:rsid w:val="00DD3D7A"/>
    <w:rsid w:val="00DD4DF6"/>
    <w:rsid w:val="00DD6FAF"/>
    <w:rsid w:val="00DE0F03"/>
    <w:rsid w:val="00DE14B4"/>
    <w:rsid w:val="00DE19F9"/>
    <w:rsid w:val="00DE2376"/>
    <w:rsid w:val="00DE2D7C"/>
    <w:rsid w:val="00DE3247"/>
    <w:rsid w:val="00DE37CD"/>
    <w:rsid w:val="00DE42DC"/>
    <w:rsid w:val="00DE4B6F"/>
    <w:rsid w:val="00DE4DCA"/>
    <w:rsid w:val="00DE6B12"/>
    <w:rsid w:val="00DE7A31"/>
    <w:rsid w:val="00DF0083"/>
    <w:rsid w:val="00DF3214"/>
    <w:rsid w:val="00DF36E6"/>
    <w:rsid w:val="00DF71DE"/>
    <w:rsid w:val="00DF7446"/>
    <w:rsid w:val="00E00C23"/>
    <w:rsid w:val="00E017A6"/>
    <w:rsid w:val="00E018F9"/>
    <w:rsid w:val="00E0229F"/>
    <w:rsid w:val="00E0233D"/>
    <w:rsid w:val="00E024F9"/>
    <w:rsid w:val="00E02F60"/>
    <w:rsid w:val="00E03026"/>
    <w:rsid w:val="00E0376C"/>
    <w:rsid w:val="00E04403"/>
    <w:rsid w:val="00E04891"/>
    <w:rsid w:val="00E04C78"/>
    <w:rsid w:val="00E052A6"/>
    <w:rsid w:val="00E077F6"/>
    <w:rsid w:val="00E078DD"/>
    <w:rsid w:val="00E10630"/>
    <w:rsid w:val="00E11253"/>
    <w:rsid w:val="00E118E6"/>
    <w:rsid w:val="00E135DF"/>
    <w:rsid w:val="00E13917"/>
    <w:rsid w:val="00E13EDA"/>
    <w:rsid w:val="00E14BE6"/>
    <w:rsid w:val="00E155C9"/>
    <w:rsid w:val="00E16202"/>
    <w:rsid w:val="00E16493"/>
    <w:rsid w:val="00E1676B"/>
    <w:rsid w:val="00E16EA7"/>
    <w:rsid w:val="00E16F2F"/>
    <w:rsid w:val="00E17B10"/>
    <w:rsid w:val="00E17B16"/>
    <w:rsid w:val="00E206FF"/>
    <w:rsid w:val="00E20FDE"/>
    <w:rsid w:val="00E22376"/>
    <w:rsid w:val="00E237FA"/>
    <w:rsid w:val="00E24913"/>
    <w:rsid w:val="00E2555A"/>
    <w:rsid w:val="00E265AB"/>
    <w:rsid w:val="00E26D58"/>
    <w:rsid w:val="00E26EA8"/>
    <w:rsid w:val="00E27D7C"/>
    <w:rsid w:val="00E306E9"/>
    <w:rsid w:val="00E33095"/>
    <w:rsid w:val="00E33450"/>
    <w:rsid w:val="00E3473F"/>
    <w:rsid w:val="00E3505D"/>
    <w:rsid w:val="00E36204"/>
    <w:rsid w:val="00E37B00"/>
    <w:rsid w:val="00E40E39"/>
    <w:rsid w:val="00E41166"/>
    <w:rsid w:val="00E42133"/>
    <w:rsid w:val="00E43890"/>
    <w:rsid w:val="00E45687"/>
    <w:rsid w:val="00E47A1F"/>
    <w:rsid w:val="00E50F47"/>
    <w:rsid w:val="00E51408"/>
    <w:rsid w:val="00E5256D"/>
    <w:rsid w:val="00E53544"/>
    <w:rsid w:val="00E5379E"/>
    <w:rsid w:val="00E5401A"/>
    <w:rsid w:val="00E55966"/>
    <w:rsid w:val="00E55A98"/>
    <w:rsid w:val="00E55C9D"/>
    <w:rsid w:val="00E56ACD"/>
    <w:rsid w:val="00E575E6"/>
    <w:rsid w:val="00E5760A"/>
    <w:rsid w:val="00E57AE8"/>
    <w:rsid w:val="00E600C4"/>
    <w:rsid w:val="00E6034E"/>
    <w:rsid w:val="00E60B67"/>
    <w:rsid w:val="00E631C5"/>
    <w:rsid w:val="00E63984"/>
    <w:rsid w:val="00E63B44"/>
    <w:rsid w:val="00E63D2F"/>
    <w:rsid w:val="00E64DE3"/>
    <w:rsid w:val="00E65362"/>
    <w:rsid w:val="00E658E1"/>
    <w:rsid w:val="00E66493"/>
    <w:rsid w:val="00E66578"/>
    <w:rsid w:val="00E6658C"/>
    <w:rsid w:val="00E66D91"/>
    <w:rsid w:val="00E67B28"/>
    <w:rsid w:val="00E67D3C"/>
    <w:rsid w:val="00E67DEA"/>
    <w:rsid w:val="00E71BA9"/>
    <w:rsid w:val="00E73444"/>
    <w:rsid w:val="00E73B34"/>
    <w:rsid w:val="00E75F2A"/>
    <w:rsid w:val="00E75F94"/>
    <w:rsid w:val="00E761A8"/>
    <w:rsid w:val="00E7637D"/>
    <w:rsid w:val="00E775DC"/>
    <w:rsid w:val="00E8117B"/>
    <w:rsid w:val="00E81C05"/>
    <w:rsid w:val="00E81DD1"/>
    <w:rsid w:val="00E82675"/>
    <w:rsid w:val="00E84210"/>
    <w:rsid w:val="00E844E5"/>
    <w:rsid w:val="00E8499A"/>
    <w:rsid w:val="00E851B0"/>
    <w:rsid w:val="00E858DE"/>
    <w:rsid w:val="00E85FA5"/>
    <w:rsid w:val="00E869C9"/>
    <w:rsid w:val="00E869E6"/>
    <w:rsid w:val="00E86D59"/>
    <w:rsid w:val="00E90661"/>
    <w:rsid w:val="00E91357"/>
    <w:rsid w:val="00E9297E"/>
    <w:rsid w:val="00E9307E"/>
    <w:rsid w:val="00E930D2"/>
    <w:rsid w:val="00E9566D"/>
    <w:rsid w:val="00E97069"/>
    <w:rsid w:val="00E97D63"/>
    <w:rsid w:val="00EA21DB"/>
    <w:rsid w:val="00EA2F62"/>
    <w:rsid w:val="00EA4EB5"/>
    <w:rsid w:val="00EA62D5"/>
    <w:rsid w:val="00EA6854"/>
    <w:rsid w:val="00EA6BBC"/>
    <w:rsid w:val="00EA7C42"/>
    <w:rsid w:val="00EB050B"/>
    <w:rsid w:val="00EB07EC"/>
    <w:rsid w:val="00EB2493"/>
    <w:rsid w:val="00EB291F"/>
    <w:rsid w:val="00EB2F97"/>
    <w:rsid w:val="00EB30E7"/>
    <w:rsid w:val="00EB376E"/>
    <w:rsid w:val="00EB44F4"/>
    <w:rsid w:val="00EB5A84"/>
    <w:rsid w:val="00EB63ED"/>
    <w:rsid w:val="00EB725C"/>
    <w:rsid w:val="00EC0328"/>
    <w:rsid w:val="00EC0331"/>
    <w:rsid w:val="00EC0577"/>
    <w:rsid w:val="00EC1348"/>
    <w:rsid w:val="00EC1BFB"/>
    <w:rsid w:val="00EC252C"/>
    <w:rsid w:val="00EC2796"/>
    <w:rsid w:val="00EC35DF"/>
    <w:rsid w:val="00EC4F07"/>
    <w:rsid w:val="00EC50D5"/>
    <w:rsid w:val="00EC5A2A"/>
    <w:rsid w:val="00EC5C38"/>
    <w:rsid w:val="00EC5D4A"/>
    <w:rsid w:val="00EC5DAB"/>
    <w:rsid w:val="00EC68FC"/>
    <w:rsid w:val="00EC7374"/>
    <w:rsid w:val="00EC7466"/>
    <w:rsid w:val="00ED1FF6"/>
    <w:rsid w:val="00ED4EAF"/>
    <w:rsid w:val="00ED5101"/>
    <w:rsid w:val="00ED63B1"/>
    <w:rsid w:val="00ED6448"/>
    <w:rsid w:val="00ED64DA"/>
    <w:rsid w:val="00ED66A0"/>
    <w:rsid w:val="00ED6D00"/>
    <w:rsid w:val="00ED7660"/>
    <w:rsid w:val="00ED7AC5"/>
    <w:rsid w:val="00EE0562"/>
    <w:rsid w:val="00EE2DFE"/>
    <w:rsid w:val="00EE4546"/>
    <w:rsid w:val="00EE45D8"/>
    <w:rsid w:val="00EE4CA4"/>
    <w:rsid w:val="00EE5426"/>
    <w:rsid w:val="00EE5744"/>
    <w:rsid w:val="00EE6BDE"/>
    <w:rsid w:val="00EE763C"/>
    <w:rsid w:val="00EF0450"/>
    <w:rsid w:val="00EF0BEC"/>
    <w:rsid w:val="00EF1133"/>
    <w:rsid w:val="00EF27C0"/>
    <w:rsid w:val="00EF2CE3"/>
    <w:rsid w:val="00EF4D70"/>
    <w:rsid w:val="00EF5695"/>
    <w:rsid w:val="00EF7B5C"/>
    <w:rsid w:val="00F00958"/>
    <w:rsid w:val="00F02AD2"/>
    <w:rsid w:val="00F039A1"/>
    <w:rsid w:val="00F039D1"/>
    <w:rsid w:val="00F04117"/>
    <w:rsid w:val="00F04A7D"/>
    <w:rsid w:val="00F065F7"/>
    <w:rsid w:val="00F0728A"/>
    <w:rsid w:val="00F07B2D"/>
    <w:rsid w:val="00F12213"/>
    <w:rsid w:val="00F12753"/>
    <w:rsid w:val="00F1458A"/>
    <w:rsid w:val="00F14AA0"/>
    <w:rsid w:val="00F15183"/>
    <w:rsid w:val="00F17F7A"/>
    <w:rsid w:val="00F20BC1"/>
    <w:rsid w:val="00F20BCE"/>
    <w:rsid w:val="00F22A0D"/>
    <w:rsid w:val="00F23ECF"/>
    <w:rsid w:val="00F260DB"/>
    <w:rsid w:val="00F2621E"/>
    <w:rsid w:val="00F27467"/>
    <w:rsid w:val="00F27CD5"/>
    <w:rsid w:val="00F30E91"/>
    <w:rsid w:val="00F31C1B"/>
    <w:rsid w:val="00F32141"/>
    <w:rsid w:val="00F326E5"/>
    <w:rsid w:val="00F33C79"/>
    <w:rsid w:val="00F33E0E"/>
    <w:rsid w:val="00F34917"/>
    <w:rsid w:val="00F34D2E"/>
    <w:rsid w:val="00F35C26"/>
    <w:rsid w:val="00F366B5"/>
    <w:rsid w:val="00F367A4"/>
    <w:rsid w:val="00F37A4B"/>
    <w:rsid w:val="00F37D60"/>
    <w:rsid w:val="00F37F48"/>
    <w:rsid w:val="00F40B03"/>
    <w:rsid w:val="00F41FAA"/>
    <w:rsid w:val="00F423F1"/>
    <w:rsid w:val="00F42915"/>
    <w:rsid w:val="00F42C64"/>
    <w:rsid w:val="00F42EBB"/>
    <w:rsid w:val="00F42EFD"/>
    <w:rsid w:val="00F44623"/>
    <w:rsid w:val="00F4486C"/>
    <w:rsid w:val="00F448F2"/>
    <w:rsid w:val="00F44CEC"/>
    <w:rsid w:val="00F46BC0"/>
    <w:rsid w:val="00F47375"/>
    <w:rsid w:val="00F50283"/>
    <w:rsid w:val="00F515BD"/>
    <w:rsid w:val="00F515EB"/>
    <w:rsid w:val="00F51CB3"/>
    <w:rsid w:val="00F52698"/>
    <w:rsid w:val="00F52DB6"/>
    <w:rsid w:val="00F54DBD"/>
    <w:rsid w:val="00F55395"/>
    <w:rsid w:val="00F55498"/>
    <w:rsid w:val="00F55DAF"/>
    <w:rsid w:val="00F55EA2"/>
    <w:rsid w:val="00F56294"/>
    <w:rsid w:val="00F567E0"/>
    <w:rsid w:val="00F5681B"/>
    <w:rsid w:val="00F60056"/>
    <w:rsid w:val="00F607C4"/>
    <w:rsid w:val="00F609DB"/>
    <w:rsid w:val="00F60B85"/>
    <w:rsid w:val="00F616CC"/>
    <w:rsid w:val="00F62795"/>
    <w:rsid w:val="00F64036"/>
    <w:rsid w:val="00F641A8"/>
    <w:rsid w:val="00F642D1"/>
    <w:rsid w:val="00F64499"/>
    <w:rsid w:val="00F6759E"/>
    <w:rsid w:val="00F70392"/>
    <w:rsid w:val="00F7048C"/>
    <w:rsid w:val="00F73364"/>
    <w:rsid w:val="00F733DE"/>
    <w:rsid w:val="00F74343"/>
    <w:rsid w:val="00F755DB"/>
    <w:rsid w:val="00F76365"/>
    <w:rsid w:val="00F76593"/>
    <w:rsid w:val="00F771FA"/>
    <w:rsid w:val="00F779AB"/>
    <w:rsid w:val="00F80F71"/>
    <w:rsid w:val="00F81147"/>
    <w:rsid w:val="00F824FE"/>
    <w:rsid w:val="00F82922"/>
    <w:rsid w:val="00F838A9"/>
    <w:rsid w:val="00F841C3"/>
    <w:rsid w:val="00F84DC5"/>
    <w:rsid w:val="00F85109"/>
    <w:rsid w:val="00F8544A"/>
    <w:rsid w:val="00F86334"/>
    <w:rsid w:val="00F90EE5"/>
    <w:rsid w:val="00F91919"/>
    <w:rsid w:val="00F91F9F"/>
    <w:rsid w:val="00F92E13"/>
    <w:rsid w:val="00F93AE8"/>
    <w:rsid w:val="00F94D94"/>
    <w:rsid w:val="00F95C6C"/>
    <w:rsid w:val="00F969E7"/>
    <w:rsid w:val="00F97332"/>
    <w:rsid w:val="00FA140F"/>
    <w:rsid w:val="00FA16E6"/>
    <w:rsid w:val="00FA1A86"/>
    <w:rsid w:val="00FA1C06"/>
    <w:rsid w:val="00FA2662"/>
    <w:rsid w:val="00FA2E76"/>
    <w:rsid w:val="00FA466B"/>
    <w:rsid w:val="00FA5992"/>
    <w:rsid w:val="00FA7170"/>
    <w:rsid w:val="00FA7543"/>
    <w:rsid w:val="00FA7646"/>
    <w:rsid w:val="00FA7B26"/>
    <w:rsid w:val="00FB04CF"/>
    <w:rsid w:val="00FB08AF"/>
    <w:rsid w:val="00FB1248"/>
    <w:rsid w:val="00FB133E"/>
    <w:rsid w:val="00FB156D"/>
    <w:rsid w:val="00FB15FE"/>
    <w:rsid w:val="00FB5A0A"/>
    <w:rsid w:val="00FB70BC"/>
    <w:rsid w:val="00FB71EA"/>
    <w:rsid w:val="00FB73E3"/>
    <w:rsid w:val="00FB79CF"/>
    <w:rsid w:val="00FB7D37"/>
    <w:rsid w:val="00FC09B8"/>
    <w:rsid w:val="00FC2C67"/>
    <w:rsid w:val="00FC33D2"/>
    <w:rsid w:val="00FC4335"/>
    <w:rsid w:val="00FC5BB1"/>
    <w:rsid w:val="00FC62FF"/>
    <w:rsid w:val="00FC6682"/>
    <w:rsid w:val="00FC6D48"/>
    <w:rsid w:val="00FC6DB5"/>
    <w:rsid w:val="00FC75DD"/>
    <w:rsid w:val="00FC76E4"/>
    <w:rsid w:val="00FC77F5"/>
    <w:rsid w:val="00FD0F15"/>
    <w:rsid w:val="00FD1C9E"/>
    <w:rsid w:val="00FD3A33"/>
    <w:rsid w:val="00FD4027"/>
    <w:rsid w:val="00FD4B7F"/>
    <w:rsid w:val="00FD5150"/>
    <w:rsid w:val="00FD530A"/>
    <w:rsid w:val="00FD581A"/>
    <w:rsid w:val="00FD6F5E"/>
    <w:rsid w:val="00FD6F7D"/>
    <w:rsid w:val="00FE0B61"/>
    <w:rsid w:val="00FE1489"/>
    <w:rsid w:val="00FE158F"/>
    <w:rsid w:val="00FE25A3"/>
    <w:rsid w:val="00FE343A"/>
    <w:rsid w:val="00FE3665"/>
    <w:rsid w:val="00FE372C"/>
    <w:rsid w:val="00FE4FB4"/>
    <w:rsid w:val="00FE60DA"/>
    <w:rsid w:val="00FE650A"/>
    <w:rsid w:val="00FE6DEF"/>
    <w:rsid w:val="00FE74F8"/>
    <w:rsid w:val="00FF0339"/>
    <w:rsid w:val="00FF1DBD"/>
    <w:rsid w:val="00FF5264"/>
    <w:rsid w:val="00FF5FCF"/>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3383"/>
  <w15:docId w15:val="{3A756325-12FA-4880-B0E1-E14157A1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BB3"/>
    <w:pPr>
      <w:spacing w:after="200" w:line="276" w:lineRule="auto"/>
    </w:pPr>
    <w:rPr>
      <w:sz w:val="22"/>
      <w:szCs w:val="22"/>
    </w:rPr>
  </w:style>
  <w:style w:type="paragraph" w:styleId="Heading1">
    <w:name w:val="heading 1"/>
    <w:basedOn w:val="Normal"/>
    <w:link w:val="Heading1Char"/>
    <w:uiPriority w:val="9"/>
    <w:qFormat/>
    <w:rsid w:val="00E67D3C"/>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E67D3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0D0769"/>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326E5"/>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326E5"/>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4F15A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6A0"/>
    <w:rPr>
      <w:rFonts w:ascii="Tahoma" w:hAnsi="Tahoma" w:cs="Tahoma"/>
      <w:sz w:val="16"/>
      <w:szCs w:val="16"/>
    </w:rPr>
  </w:style>
  <w:style w:type="paragraph" w:styleId="NoSpacing">
    <w:name w:val="No Spacing"/>
    <w:aliases w:val="Basic Info"/>
    <w:uiPriority w:val="1"/>
    <w:qFormat/>
    <w:rsid w:val="008C66A0"/>
    <w:rPr>
      <w:sz w:val="22"/>
      <w:szCs w:val="22"/>
    </w:rPr>
  </w:style>
  <w:style w:type="character" w:styleId="Hyperlink">
    <w:name w:val="Hyperlink"/>
    <w:basedOn w:val="DefaultParagraphFont"/>
    <w:uiPriority w:val="99"/>
    <w:unhideWhenUsed/>
    <w:rsid w:val="001968CD"/>
    <w:rPr>
      <w:color w:val="0563C1" w:themeColor="hyperlink"/>
      <w:u w:val="single"/>
    </w:rPr>
  </w:style>
  <w:style w:type="character" w:customStyle="1" w:styleId="Heading1Char">
    <w:name w:val="Heading 1 Char"/>
    <w:basedOn w:val="DefaultParagraphFont"/>
    <w:link w:val="Heading1"/>
    <w:uiPriority w:val="9"/>
    <w:rsid w:val="00E67D3C"/>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E67D3C"/>
    <w:rPr>
      <w:rFonts w:ascii="Cambria" w:eastAsia="Times New Roman" w:hAnsi="Cambria"/>
      <w:b/>
      <w:bCs/>
      <w:i/>
      <w:iCs/>
      <w:sz w:val="28"/>
      <w:szCs w:val="28"/>
    </w:rPr>
  </w:style>
  <w:style w:type="paragraph" w:styleId="NormalWeb">
    <w:name w:val="Normal (Web)"/>
    <w:basedOn w:val="Normal"/>
    <w:uiPriority w:val="99"/>
    <w:unhideWhenUsed/>
    <w:rsid w:val="00E67D3C"/>
    <w:pPr>
      <w:spacing w:before="100" w:beforeAutospacing="1" w:after="100" w:afterAutospacing="1" w:line="240" w:lineRule="auto"/>
    </w:pPr>
    <w:rPr>
      <w:rFonts w:ascii="Times New Roman" w:eastAsia="Times New Roman" w:hAnsi="Times New Roman"/>
      <w:sz w:val="24"/>
      <w:szCs w:val="24"/>
    </w:rPr>
  </w:style>
  <w:style w:type="paragraph" w:customStyle="1" w:styleId="speakable-p-1">
    <w:name w:val="speakable-p-1"/>
    <w:basedOn w:val="Normal"/>
    <w:rsid w:val="00E67D3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E67D3C"/>
    <w:rPr>
      <w:i/>
      <w:iCs/>
    </w:rPr>
  </w:style>
  <w:style w:type="character" w:styleId="FollowedHyperlink">
    <w:name w:val="FollowedHyperlink"/>
    <w:basedOn w:val="DefaultParagraphFont"/>
    <w:uiPriority w:val="99"/>
    <w:semiHidden/>
    <w:unhideWhenUsed/>
    <w:rsid w:val="0001738E"/>
    <w:rPr>
      <w:color w:val="954F72" w:themeColor="followedHyperlink"/>
      <w:u w:val="single"/>
    </w:rPr>
  </w:style>
  <w:style w:type="character" w:styleId="UnresolvedMention">
    <w:name w:val="Unresolved Mention"/>
    <w:basedOn w:val="DefaultParagraphFont"/>
    <w:uiPriority w:val="99"/>
    <w:semiHidden/>
    <w:unhideWhenUsed/>
    <w:rsid w:val="00310D6B"/>
    <w:rPr>
      <w:color w:val="808080"/>
      <w:shd w:val="clear" w:color="auto" w:fill="E6E6E6"/>
    </w:rPr>
  </w:style>
  <w:style w:type="character" w:customStyle="1" w:styleId="unlinked-ref">
    <w:name w:val="unlinked-ref"/>
    <w:rsid w:val="007C45CA"/>
  </w:style>
  <w:style w:type="character" w:customStyle="1" w:styleId="headertext">
    <w:name w:val="headertext"/>
    <w:rsid w:val="007C45CA"/>
  </w:style>
  <w:style w:type="paragraph" w:customStyle="1" w:styleId="Default">
    <w:name w:val="Default"/>
    <w:rsid w:val="007C45C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C67090"/>
    <w:pPr>
      <w:spacing w:after="160" w:line="259" w:lineRule="auto"/>
      <w:ind w:left="720"/>
      <w:contextualSpacing/>
    </w:pPr>
    <w:rPr>
      <w:rFonts w:asciiTheme="minorHAnsi" w:eastAsiaTheme="minorHAnsi" w:hAnsiTheme="minorHAnsi" w:cstheme="minorBidi"/>
    </w:rPr>
  </w:style>
  <w:style w:type="paragraph" w:customStyle="1" w:styleId="fp">
    <w:name w:val="fp"/>
    <w:basedOn w:val="Normal"/>
    <w:rsid w:val="00C67090"/>
    <w:pPr>
      <w:spacing w:before="200"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0D0769"/>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unhideWhenUsed/>
    <w:rsid w:val="00AD5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53DF"/>
    <w:rPr>
      <w:rFonts w:ascii="Courier New" w:eastAsia="Times New Roman" w:hAnsi="Courier New" w:cs="Courier New"/>
    </w:rPr>
  </w:style>
  <w:style w:type="paragraph" w:customStyle="1" w:styleId="statutory-body-2em">
    <w:name w:val="statutory-body-2em"/>
    <w:basedOn w:val="Normal"/>
    <w:rsid w:val="00AD53DF"/>
    <w:pPr>
      <w:spacing w:before="100" w:beforeAutospacing="1" w:after="100" w:afterAutospacing="1" w:line="240" w:lineRule="auto"/>
    </w:pPr>
    <w:rPr>
      <w:rFonts w:ascii="Times New Roman" w:eastAsia="Times New Roman" w:hAnsi="Times New Roman"/>
      <w:sz w:val="24"/>
      <w:szCs w:val="24"/>
    </w:rPr>
  </w:style>
  <w:style w:type="paragraph" w:customStyle="1" w:styleId="statutory-body-3em">
    <w:name w:val="statutory-body-3em"/>
    <w:basedOn w:val="Normal"/>
    <w:rsid w:val="00AD53DF"/>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18621C"/>
    <w:rPr>
      <w:color w:val="605E5C"/>
      <w:shd w:val="clear" w:color="auto" w:fill="E1DFDD"/>
    </w:rPr>
  </w:style>
  <w:style w:type="paragraph" w:customStyle="1" w:styleId="active">
    <w:name w:val="active"/>
    <w:basedOn w:val="Normal"/>
    <w:rsid w:val="00CC2139"/>
    <w:pPr>
      <w:spacing w:before="100" w:beforeAutospacing="1" w:after="100" w:afterAutospacing="1" w:line="240" w:lineRule="auto"/>
    </w:pPr>
    <w:rPr>
      <w:rFonts w:ascii="Times New Roman" w:eastAsia="Times New Roman" w:hAnsi="Times New Roman"/>
      <w:sz w:val="24"/>
      <w:szCs w:val="24"/>
    </w:rPr>
  </w:style>
  <w:style w:type="paragraph" w:customStyle="1" w:styleId="decision-tab">
    <w:name w:val="decision-tab"/>
    <w:basedOn w:val="Normal"/>
    <w:rsid w:val="000306C7"/>
    <w:pPr>
      <w:spacing w:before="100" w:beforeAutospacing="1" w:after="100" w:afterAutospacing="1" w:line="240" w:lineRule="auto"/>
    </w:pPr>
    <w:rPr>
      <w:rFonts w:ascii="Times New Roman" w:eastAsia="Times New Roman" w:hAnsi="Times New Roman"/>
      <w:sz w:val="24"/>
      <w:szCs w:val="24"/>
    </w:rPr>
  </w:style>
  <w:style w:type="character" w:customStyle="1" w:styleId="highlight">
    <w:name w:val="highlight"/>
    <w:basedOn w:val="DefaultParagraphFont"/>
    <w:rsid w:val="000306C7"/>
  </w:style>
  <w:style w:type="character" w:customStyle="1" w:styleId="nanospell-typo">
    <w:name w:val="nanospell-typo"/>
    <w:basedOn w:val="DefaultParagraphFont"/>
    <w:rsid w:val="000D47A7"/>
  </w:style>
  <w:style w:type="character" w:styleId="Strong">
    <w:name w:val="Strong"/>
    <w:basedOn w:val="DefaultParagraphFont"/>
    <w:uiPriority w:val="22"/>
    <w:qFormat/>
    <w:rsid w:val="000D47A7"/>
    <w:rPr>
      <w:b/>
      <w:bCs/>
    </w:rPr>
  </w:style>
  <w:style w:type="character" w:customStyle="1" w:styleId="posted-time">
    <w:name w:val="posted-time"/>
    <w:basedOn w:val="DefaultParagraphFont"/>
    <w:rsid w:val="000D47A7"/>
  </w:style>
  <w:style w:type="character" w:customStyle="1" w:styleId="updated-time">
    <w:name w:val="updated-time"/>
    <w:basedOn w:val="DefaultParagraphFont"/>
    <w:rsid w:val="000D47A7"/>
  </w:style>
  <w:style w:type="paragraph" w:customStyle="1" w:styleId="speakable-p-2">
    <w:name w:val="speakable-p-2"/>
    <w:basedOn w:val="Normal"/>
    <w:rsid w:val="000D47A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0D47A7"/>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D47A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0D47A7"/>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D47A7"/>
    <w:rPr>
      <w:rFonts w:asciiTheme="minorHAnsi" w:eastAsiaTheme="minorHAnsi" w:hAnsiTheme="minorHAnsi" w:cstheme="minorBidi"/>
      <w:sz w:val="22"/>
      <w:szCs w:val="22"/>
    </w:rPr>
  </w:style>
  <w:style w:type="character" w:customStyle="1" w:styleId="value">
    <w:name w:val="value"/>
    <w:basedOn w:val="DefaultParagraphFont"/>
    <w:rsid w:val="00084E0A"/>
  </w:style>
  <w:style w:type="character" w:customStyle="1" w:styleId="access">
    <w:name w:val="access"/>
    <w:basedOn w:val="DefaultParagraphFont"/>
    <w:rsid w:val="00084E0A"/>
  </w:style>
  <w:style w:type="paragraph" w:styleId="PlainText">
    <w:name w:val="Plain Text"/>
    <w:basedOn w:val="Normal"/>
    <w:link w:val="PlainTextChar"/>
    <w:uiPriority w:val="99"/>
    <w:unhideWhenUsed/>
    <w:rsid w:val="00D95F2C"/>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D95F2C"/>
    <w:rPr>
      <w:rFonts w:eastAsiaTheme="minorHAnsi" w:cstheme="minorBidi"/>
      <w:sz w:val="22"/>
      <w:szCs w:val="21"/>
    </w:rPr>
  </w:style>
  <w:style w:type="character" w:customStyle="1" w:styleId="share-txt">
    <w:name w:val="share-txt"/>
    <w:basedOn w:val="DefaultParagraphFont"/>
    <w:rsid w:val="00AA344E"/>
  </w:style>
  <w:style w:type="paragraph" w:customStyle="1" w:styleId="textbody">
    <w:name w:val="text_body"/>
    <w:basedOn w:val="Normal"/>
    <w:rsid w:val="00AA344E"/>
    <w:pPr>
      <w:spacing w:before="100" w:beforeAutospacing="1" w:after="100" w:afterAutospacing="1" w:line="240" w:lineRule="auto"/>
    </w:pPr>
    <w:rPr>
      <w:rFonts w:ascii="Times New Roman" w:eastAsia="Times New Roman" w:hAnsi="Times New Roman"/>
      <w:sz w:val="24"/>
      <w:szCs w:val="24"/>
    </w:rPr>
  </w:style>
  <w:style w:type="paragraph" w:customStyle="1" w:styleId="textendnote">
    <w:name w:val="text_endnote"/>
    <w:basedOn w:val="Normal"/>
    <w:rsid w:val="00AA344E"/>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F326E5"/>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rsid w:val="00F326E5"/>
    <w:rPr>
      <w:rFonts w:asciiTheme="majorHAnsi" w:eastAsiaTheme="majorEastAsia" w:hAnsiTheme="majorHAnsi" w:cstheme="majorBidi"/>
      <w:color w:val="2E74B5" w:themeColor="accent1" w:themeShade="BF"/>
      <w:sz w:val="22"/>
      <w:szCs w:val="22"/>
    </w:rPr>
  </w:style>
  <w:style w:type="character" w:customStyle="1" w:styleId="ilfuvd">
    <w:name w:val="ilfuvd"/>
    <w:basedOn w:val="DefaultParagraphFont"/>
    <w:rsid w:val="00F326E5"/>
  </w:style>
  <w:style w:type="character" w:customStyle="1" w:styleId="mw-headline">
    <w:name w:val="mw-headline"/>
    <w:basedOn w:val="DefaultParagraphFont"/>
    <w:rsid w:val="00F326E5"/>
  </w:style>
  <w:style w:type="character" w:customStyle="1" w:styleId="lrzxr">
    <w:name w:val="lrzxr"/>
    <w:basedOn w:val="DefaultParagraphFont"/>
    <w:rsid w:val="00F326E5"/>
  </w:style>
  <w:style w:type="paragraph" w:customStyle="1" w:styleId="trt0xe">
    <w:name w:val="trt0xe"/>
    <w:basedOn w:val="Normal"/>
    <w:rsid w:val="00F326E5"/>
    <w:pPr>
      <w:spacing w:before="100" w:beforeAutospacing="1" w:after="100" w:afterAutospacing="1" w:line="240" w:lineRule="auto"/>
    </w:pPr>
    <w:rPr>
      <w:rFonts w:ascii="Times New Roman" w:eastAsia="Times New Roman" w:hAnsi="Times New Roman"/>
      <w:sz w:val="24"/>
      <w:szCs w:val="24"/>
    </w:rPr>
  </w:style>
  <w:style w:type="paragraph" w:customStyle="1" w:styleId="copy">
    <w:name w:val="copy"/>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F326E5"/>
  </w:style>
  <w:style w:type="paragraph" w:customStyle="1" w:styleId="subtext">
    <w:name w:val="subtext"/>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customStyle="1" w:styleId="w8qarf">
    <w:name w:val="w8qarf"/>
    <w:basedOn w:val="DefaultParagraphFont"/>
    <w:rsid w:val="00F326E5"/>
  </w:style>
  <w:style w:type="character" w:customStyle="1" w:styleId="Date1">
    <w:name w:val="Date1"/>
    <w:basedOn w:val="DefaultParagraphFont"/>
    <w:rsid w:val="00F326E5"/>
  </w:style>
  <w:style w:type="character" w:customStyle="1" w:styleId="date-display-single">
    <w:name w:val="date-display-single"/>
    <w:basedOn w:val="DefaultParagraphFont"/>
    <w:rsid w:val="00F326E5"/>
  </w:style>
  <w:style w:type="character" w:customStyle="1" w:styleId="partyletter">
    <w:name w:val="partyletter"/>
    <w:basedOn w:val="DefaultParagraphFont"/>
    <w:rsid w:val="00F326E5"/>
  </w:style>
  <w:style w:type="paragraph" w:customStyle="1" w:styleId="p-text">
    <w:name w:val="p-text"/>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styleId="HTMLAcronym">
    <w:name w:val="HTML Acronym"/>
    <w:basedOn w:val="DefaultParagraphFont"/>
    <w:uiPriority w:val="99"/>
    <w:semiHidden/>
    <w:unhideWhenUsed/>
    <w:rsid w:val="00F326E5"/>
  </w:style>
  <w:style w:type="character" w:customStyle="1" w:styleId="l-leftover">
    <w:name w:val="l-leftover"/>
    <w:basedOn w:val="DefaultParagraphFont"/>
    <w:rsid w:val="00F326E5"/>
  </w:style>
  <w:style w:type="character" w:customStyle="1" w:styleId="accent">
    <w:name w:val="accent"/>
    <w:basedOn w:val="DefaultParagraphFont"/>
    <w:rsid w:val="00F326E5"/>
  </w:style>
  <w:style w:type="character" w:customStyle="1" w:styleId="Title1">
    <w:name w:val="Title1"/>
    <w:basedOn w:val="DefaultParagraphFont"/>
    <w:rsid w:val="00F326E5"/>
  </w:style>
  <w:style w:type="character" w:customStyle="1" w:styleId="Subtitle1">
    <w:name w:val="Subtitle1"/>
    <w:basedOn w:val="DefaultParagraphFont"/>
    <w:rsid w:val="00F326E5"/>
  </w:style>
  <w:style w:type="character" w:customStyle="1" w:styleId="nowrap">
    <w:name w:val="nowrap"/>
    <w:basedOn w:val="DefaultParagraphFont"/>
    <w:rsid w:val="00F326E5"/>
  </w:style>
  <w:style w:type="character" w:customStyle="1" w:styleId="heading">
    <w:name w:val="heading"/>
    <w:basedOn w:val="DefaultParagraphFont"/>
    <w:rsid w:val="00F326E5"/>
  </w:style>
  <w:style w:type="character" w:customStyle="1" w:styleId="gltxt">
    <w:name w:val="gltxt"/>
    <w:basedOn w:val="DefaultParagraphFont"/>
    <w:rsid w:val="00F326E5"/>
  </w:style>
  <w:style w:type="paragraph" w:styleId="z-TopofForm">
    <w:name w:val="HTML Top of Form"/>
    <w:basedOn w:val="Normal"/>
    <w:next w:val="Normal"/>
    <w:link w:val="z-TopofFormChar"/>
    <w:hidden/>
    <w:uiPriority w:val="99"/>
    <w:semiHidden/>
    <w:unhideWhenUsed/>
    <w:rsid w:val="00F326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326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326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326E5"/>
    <w:rPr>
      <w:rFonts w:ascii="Arial" w:eastAsia="Times New Roman" w:hAnsi="Arial" w:cs="Arial"/>
      <w:vanish/>
      <w:sz w:val="16"/>
      <w:szCs w:val="16"/>
    </w:rPr>
  </w:style>
  <w:style w:type="paragraph" w:customStyle="1" w:styleId="menu-item">
    <w:name w:val="menu-item"/>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F326E5"/>
  </w:style>
  <w:style w:type="character" w:customStyle="1" w:styleId="dfm-title">
    <w:name w:val="dfm-title"/>
    <w:rsid w:val="00F326E5"/>
  </w:style>
  <w:style w:type="character" w:customStyle="1" w:styleId="field">
    <w:name w:val="field"/>
    <w:basedOn w:val="DefaultParagraphFont"/>
    <w:rsid w:val="00527EDF"/>
  </w:style>
  <w:style w:type="character" w:customStyle="1" w:styleId="grame">
    <w:name w:val="grame"/>
    <w:basedOn w:val="DefaultParagraphFont"/>
    <w:rsid w:val="002B1283"/>
  </w:style>
  <w:style w:type="character" w:customStyle="1" w:styleId="outlineheading2">
    <w:name w:val="outline_heading_2"/>
    <w:basedOn w:val="DefaultParagraphFont"/>
    <w:rsid w:val="00297434"/>
  </w:style>
  <w:style w:type="character" w:customStyle="1" w:styleId="annotation">
    <w:name w:val="annotation"/>
    <w:basedOn w:val="DefaultParagraphFont"/>
    <w:rsid w:val="00297434"/>
  </w:style>
  <w:style w:type="character" w:customStyle="1" w:styleId="balancedheadline">
    <w:name w:val="balancedheadline"/>
    <w:basedOn w:val="DefaultParagraphFont"/>
    <w:rsid w:val="00A247E4"/>
  </w:style>
  <w:style w:type="character" w:customStyle="1" w:styleId="num">
    <w:name w:val="num"/>
    <w:basedOn w:val="DefaultParagraphFont"/>
    <w:rsid w:val="0066298F"/>
  </w:style>
  <w:style w:type="character" w:customStyle="1" w:styleId="chapeau">
    <w:name w:val="chapeau"/>
    <w:basedOn w:val="DefaultParagraphFont"/>
    <w:rsid w:val="0066298F"/>
  </w:style>
  <w:style w:type="character" w:customStyle="1" w:styleId="citation">
    <w:name w:val="citation"/>
    <w:basedOn w:val="DefaultParagraphFont"/>
    <w:rsid w:val="00A01ACA"/>
  </w:style>
  <w:style w:type="paragraph" w:customStyle="1" w:styleId="gdp">
    <w:name w:val="gd_p"/>
    <w:basedOn w:val="Normal"/>
    <w:uiPriority w:val="99"/>
    <w:semiHidden/>
    <w:rsid w:val="0020758F"/>
    <w:pPr>
      <w:spacing w:before="100" w:beforeAutospacing="1" w:after="100" w:afterAutospacing="1" w:line="240" w:lineRule="auto"/>
    </w:pPr>
    <w:rPr>
      <w:rFonts w:eastAsiaTheme="minorHAnsi" w:cs="Calibri"/>
    </w:rPr>
  </w:style>
  <w:style w:type="character" w:customStyle="1" w:styleId="timestamp">
    <w:name w:val="timestamp"/>
    <w:basedOn w:val="DefaultParagraphFont"/>
    <w:rsid w:val="006B2083"/>
  </w:style>
  <w:style w:type="paragraph" w:customStyle="1" w:styleId="text">
    <w:name w:val="text"/>
    <w:basedOn w:val="Normal"/>
    <w:rsid w:val="00B532F6"/>
    <w:pPr>
      <w:spacing w:before="100" w:beforeAutospacing="1" w:after="100" w:afterAutospacing="1" w:line="240" w:lineRule="auto"/>
    </w:pPr>
    <w:rPr>
      <w:rFonts w:ascii="Times New Roman" w:eastAsia="Times New Roman" w:hAnsi="Times New Roman"/>
      <w:sz w:val="24"/>
      <w:szCs w:val="24"/>
    </w:rPr>
  </w:style>
  <w:style w:type="character" w:customStyle="1" w:styleId="font-weight-bold">
    <w:name w:val="font-weight-bold"/>
    <w:basedOn w:val="DefaultParagraphFont"/>
    <w:rsid w:val="00DD03E3"/>
  </w:style>
  <w:style w:type="paragraph" w:customStyle="1" w:styleId="xxxxmsonormal">
    <w:name w:val="x_x_x_xmsonormal"/>
    <w:basedOn w:val="Normal"/>
    <w:uiPriority w:val="99"/>
    <w:rsid w:val="005E132A"/>
    <w:pPr>
      <w:spacing w:before="100" w:beforeAutospacing="1" w:after="100" w:afterAutospacing="1" w:line="240" w:lineRule="auto"/>
    </w:pPr>
    <w:rPr>
      <w:rFonts w:eastAsiaTheme="minorHAnsi" w:cs="Calibri"/>
    </w:rPr>
  </w:style>
  <w:style w:type="paragraph" w:customStyle="1" w:styleId="xxxxxmsonormal">
    <w:name w:val="x_x_x_xxmsonormal"/>
    <w:basedOn w:val="Normal"/>
    <w:uiPriority w:val="99"/>
    <w:rsid w:val="005E132A"/>
    <w:pPr>
      <w:spacing w:after="0" w:line="240" w:lineRule="auto"/>
    </w:pPr>
    <w:rPr>
      <w:rFonts w:eastAsiaTheme="minorHAnsi" w:cs="Calibri"/>
    </w:rPr>
  </w:style>
  <w:style w:type="paragraph" w:customStyle="1" w:styleId="paragraph">
    <w:name w:val="paragraph"/>
    <w:basedOn w:val="Normal"/>
    <w:rsid w:val="007F3C7D"/>
    <w:pPr>
      <w:spacing w:before="100" w:beforeAutospacing="1" w:after="100" w:afterAutospacing="1" w:line="240" w:lineRule="auto"/>
    </w:pPr>
    <w:rPr>
      <w:rFonts w:ascii="Times New Roman" w:eastAsia="Times New Roman" w:hAnsi="Times New Roman"/>
      <w:sz w:val="24"/>
      <w:szCs w:val="24"/>
    </w:rPr>
  </w:style>
  <w:style w:type="paragraph" w:customStyle="1" w:styleId="statutory-body">
    <w:name w:val="statutory-body"/>
    <w:basedOn w:val="Normal"/>
    <w:rsid w:val="000915C1"/>
    <w:pPr>
      <w:spacing w:before="100" w:beforeAutospacing="1" w:after="100" w:afterAutospacing="1" w:line="240" w:lineRule="auto"/>
    </w:pPr>
    <w:rPr>
      <w:rFonts w:ascii="Times New Roman" w:eastAsia="Times New Roman" w:hAnsi="Times New Roman"/>
      <w:sz w:val="24"/>
      <w:szCs w:val="24"/>
    </w:rPr>
  </w:style>
  <w:style w:type="paragraph" w:customStyle="1" w:styleId="source-credit">
    <w:name w:val="source-credit"/>
    <w:basedOn w:val="Normal"/>
    <w:rsid w:val="000915C1"/>
    <w:pPr>
      <w:spacing w:before="100" w:beforeAutospacing="1" w:after="100" w:afterAutospacing="1" w:line="240" w:lineRule="auto"/>
    </w:pPr>
    <w:rPr>
      <w:rFonts w:ascii="Times New Roman" w:eastAsia="Times New Roman" w:hAnsi="Times New Roman"/>
      <w:sz w:val="24"/>
      <w:szCs w:val="24"/>
    </w:rPr>
  </w:style>
  <w:style w:type="paragraph" w:customStyle="1" w:styleId="gntarbp">
    <w:name w:val="gnt_ar_b_p"/>
    <w:basedOn w:val="Normal"/>
    <w:rsid w:val="0077274E"/>
    <w:pPr>
      <w:spacing w:before="100" w:beforeAutospacing="1" w:after="100" w:afterAutospacing="1" w:line="240" w:lineRule="auto"/>
    </w:pPr>
    <w:rPr>
      <w:rFonts w:ascii="Times New Roman" w:eastAsia="Times New Roman" w:hAnsi="Times New Roman"/>
      <w:sz w:val="24"/>
      <w:szCs w:val="24"/>
    </w:rPr>
  </w:style>
  <w:style w:type="character" w:customStyle="1" w:styleId="codes-separator">
    <w:name w:val="codes-separator"/>
    <w:basedOn w:val="DefaultParagraphFont"/>
    <w:rsid w:val="00F27CD5"/>
  </w:style>
  <w:style w:type="character" w:customStyle="1" w:styleId="markedcontent">
    <w:name w:val="markedcontent"/>
    <w:basedOn w:val="DefaultParagraphFont"/>
    <w:rsid w:val="00A82898"/>
  </w:style>
  <w:style w:type="paragraph" w:customStyle="1" w:styleId="p1">
    <w:name w:val="p1"/>
    <w:basedOn w:val="Normal"/>
    <w:rsid w:val="008A0333"/>
    <w:pPr>
      <w:spacing w:before="100" w:beforeAutospacing="1" w:after="100" w:afterAutospacing="1" w:line="240" w:lineRule="auto"/>
    </w:pPr>
    <w:rPr>
      <w:rFonts w:ascii="Times New Roman" w:eastAsia="Times New Roman" w:hAnsi="Times New Roman"/>
      <w:sz w:val="24"/>
      <w:szCs w:val="24"/>
    </w:rPr>
  </w:style>
  <w:style w:type="character" w:customStyle="1" w:styleId="gold">
    <w:name w:val="gold"/>
    <w:basedOn w:val="DefaultParagraphFont"/>
    <w:rsid w:val="005217D5"/>
  </w:style>
  <w:style w:type="paragraph" w:customStyle="1" w:styleId="articleparagraph">
    <w:name w:val="article__paragraph"/>
    <w:basedOn w:val="Normal"/>
    <w:rsid w:val="00382F02"/>
    <w:pPr>
      <w:spacing w:before="100" w:beforeAutospacing="1" w:after="100" w:afterAutospacing="1" w:line="240" w:lineRule="auto"/>
    </w:pPr>
    <w:rPr>
      <w:rFonts w:ascii="Times New Roman" w:eastAsia="Times New Roman" w:hAnsi="Times New Roman"/>
      <w:sz w:val="24"/>
      <w:szCs w:val="24"/>
    </w:rPr>
  </w:style>
  <w:style w:type="character" w:customStyle="1" w:styleId="screenreader-only">
    <w:name w:val="screenreader-only"/>
    <w:basedOn w:val="DefaultParagraphFont"/>
    <w:rsid w:val="00BD263B"/>
  </w:style>
  <w:style w:type="character" w:customStyle="1" w:styleId="style-scope">
    <w:name w:val="style-scope"/>
    <w:basedOn w:val="DefaultParagraphFont"/>
    <w:rsid w:val="002F610D"/>
  </w:style>
  <w:style w:type="paragraph" w:customStyle="1" w:styleId="docdate">
    <w:name w:val="docdate"/>
    <w:basedOn w:val="Normal"/>
    <w:uiPriority w:val="99"/>
    <w:rsid w:val="00BD1702"/>
    <w:pPr>
      <w:spacing w:before="100" w:beforeAutospacing="1" w:after="100" w:afterAutospacing="1" w:line="240" w:lineRule="auto"/>
    </w:pPr>
    <w:rPr>
      <w:rFonts w:ascii="Times New Roman" w:eastAsia="Times New Roman" w:hAnsi="Times New Roman"/>
      <w:sz w:val="24"/>
      <w:szCs w:val="24"/>
    </w:rPr>
  </w:style>
  <w:style w:type="character" w:customStyle="1" w:styleId="Date2">
    <w:name w:val="Date2"/>
    <w:basedOn w:val="DefaultParagraphFont"/>
    <w:rsid w:val="00C67B2A"/>
  </w:style>
  <w:style w:type="paragraph" w:customStyle="1" w:styleId="dropcap">
    <w:name w:val="dropcap"/>
    <w:basedOn w:val="Normal"/>
    <w:rsid w:val="00774A91"/>
    <w:pPr>
      <w:spacing w:before="100" w:beforeAutospacing="1" w:after="100" w:afterAutospacing="1" w:line="240" w:lineRule="auto"/>
    </w:pPr>
    <w:rPr>
      <w:rFonts w:ascii="Times New Roman" w:eastAsia="Times New Roman" w:hAnsi="Times New Roman"/>
      <w:sz w:val="24"/>
      <w:szCs w:val="24"/>
    </w:rPr>
  </w:style>
  <w:style w:type="character" w:customStyle="1" w:styleId="post-title">
    <w:name w:val="post-title"/>
    <w:basedOn w:val="DefaultParagraphFont"/>
    <w:rsid w:val="00365F63"/>
  </w:style>
  <w:style w:type="character" w:styleId="HTMLCode">
    <w:name w:val="HTML Code"/>
    <w:basedOn w:val="DefaultParagraphFont"/>
    <w:uiPriority w:val="99"/>
    <w:semiHidden/>
    <w:unhideWhenUsed/>
    <w:rsid w:val="00E8117B"/>
    <w:rPr>
      <w:rFonts w:ascii="Courier New" w:eastAsia="Times New Roman" w:hAnsi="Courier New" w:cs="Courier New" w:hint="default"/>
      <w:sz w:val="20"/>
      <w:szCs w:val="20"/>
    </w:rPr>
  </w:style>
  <w:style w:type="character" w:customStyle="1" w:styleId="normaltextrun">
    <w:name w:val="normaltextrun"/>
    <w:basedOn w:val="DefaultParagraphFont"/>
    <w:rsid w:val="006C79BE"/>
  </w:style>
  <w:style w:type="paragraph" w:customStyle="1" w:styleId="ekqk">
    <w:name w:val="ekqk"/>
    <w:basedOn w:val="Normal"/>
    <w:uiPriority w:val="99"/>
    <w:rsid w:val="008A4533"/>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F55395"/>
  </w:style>
  <w:style w:type="character" w:customStyle="1" w:styleId="field-formatter--string">
    <w:name w:val="field-formatter--string"/>
    <w:basedOn w:val="DefaultParagraphFont"/>
    <w:rsid w:val="007A0E71"/>
  </w:style>
  <w:style w:type="character" w:customStyle="1" w:styleId="hgkelc">
    <w:name w:val="hgkelc"/>
    <w:basedOn w:val="DefaultParagraphFont"/>
    <w:rsid w:val="00237599"/>
  </w:style>
  <w:style w:type="paragraph" w:customStyle="1" w:styleId="css-1n0orw4">
    <w:name w:val="css-1n0orw4"/>
    <w:basedOn w:val="Normal"/>
    <w:rsid w:val="00237599"/>
    <w:pPr>
      <w:spacing w:before="100" w:beforeAutospacing="1" w:after="100" w:afterAutospacing="1" w:line="240" w:lineRule="auto"/>
    </w:pPr>
    <w:rPr>
      <w:rFonts w:ascii="Times New Roman" w:eastAsia="Times New Roman" w:hAnsi="Times New Roman"/>
      <w:sz w:val="24"/>
      <w:szCs w:val="24"/>
    </w:rPr>
  </w:style>
  <w:style w:type="paragraph" w:customStyle="1" w:styleId="css-at9mc1">
    <w:name w:val="css-at9mc1"/>
    <w:basedOn w:val="Normal"/>
    <w:rsid w:val="00FE60DA"/>
    <w:pPr>
      <w:spacing w:before="100" w:beforeAutospacing="1" w:after="100" w:afterAutospacing="1" w:line="240" w:lineRule="auto"/>
    </w:pPr>
    <w:rPr>
      <w:rFonts w:ascii="Times New Roman" w:eastAsia="Times New Roman" w:hAnsi="Times New Roman"/>
      <w:sz w:val="24"/>
      <w:szCs w:val="24"/>
    </w:rPr>
  </w:style>
  <w:style w:type="paragraph" w:customStyle="1" w:styleId="first-paragraph">
    <w:name w:val="first-paragraph"/>
    <w:basedOn w:val="Normal"/>
    <w:rsid w:val="00FE60DA"/>
    <w:pPr>
      <w:spacing w:before="100" w:beforeAutospacing="1" w:after="100" w:afterAutospacing="1" w:line="240" w:lineRule="auto"/>
    </w:pPr>
    <w:rPr>
      <w:rFonts w:ascii="Times New Roman" w:eastAsia="Times New Roman" w:hAnsi="Times New Roman"/>
      <w:sz w:val="24"/>
      <w:szCs w:val="24"/>
    </w:rPr>
  </w:style>
  <w:style w:type="paragraph" w:customStyle="1" w:styleId="defaultstyledtext-tl066j-0">
    <w:name w:val="default__styledtext-tl066j-0"/>
    <w:basedOn w:val="Normal"/>
    <w:rsid w:val="00A65FD8"/>
    <w:pPr>
      <w:spacing w:before="100" w:beforeAutospacing="1" w:after="100" w:afterAutospacing="1" w:line="240" w:lineRule="auto"/>
    </w:pPr>
    <w:rPr>
      <w:rFonts w:ascii="Times New Roman" w:eastAsia="Times New Roman" w:hAnsi="Times New Roman"/>
      <w:sz w:val="24"/>
      <w:szCs w:val="24"/>
    </w:rPr>
  </w:style>
  <w:style w:type="paragraph" w:customStyle="1" w:styleId="p0">
    <w:name w:val="p0"/>
    <w:basedOn w:val="Normal"/>
    <w:next w:val="Normal"/>
    <w:qFormat/>
    <w:rsid w:val="00C22EBB"/>
    <w:pPr>
      <w:spacing w:after="120" w:line="240" w:lineRule="auto"/>
      <w:ind w:firstLine="432"/>
      <w:jc w:val="both"/>
    </w:pPr>
    <w:rPr>
      <w:rFonts w:ascii="Arial" w:eastAsia="Arial" w:hAnsi="Arial" w:cs="Arial"/>
      <w:sz w:val="20"/>
    </w:rPr>
  </w:style>
  <w:style w:type="paragraph" w:customStyle="1" w:styleId="byline">
    <w:name w:val="byline"/>
    <w:basedOn w:val="Normal"/>
    <w:rsid w:val="00267A43"/>
    <w:pPr>
      <w:spacing w:before="100" w:beforeAutospacing="1" w:after="100" w:afterAutospacing="1" w:line="240" w:lineRule="auto"/>
    </w:pPr>
    <w:rPr>
      <w:rFonts w:ascii="Times New Roman" w:eastAsia="Times New Roman" w:hAnsi="Times New Roman"/>
      <w:sz w:val="24"/>
      <w:szCs w:val="24"/>
    </w:rPr>
  </w:style>
  <w:style w:type="paragraph" w:customStyle="1" w:styleId="indent-1">
    <w:name w:val="indent-1"/>
    <w:basedOn w:val="Normal"/>
    <w:rsid w:val="009371E7"/>
    <w:pPr>
      <w:spacing w:before="100" w:beforeAutospacing="1" w:after="100" w:afterAutospacing="1" w:line="240" w:lineRule="auto"/>
    </w:pPr>
    <w:rPr>
      <w:rFonts w:ascii="Times New Roman" w:eastAsia="Times New Roman" w:hAnsi="Times New Roman"/>
      <w:sz w:val="24"/>
      <w:szCs w:val="24"/>
    </w:rPr>
  </w:style>
  <w:style w:type="character" w:customStyle="1" w:styleId="paragraph-hierarchy">
    <w:name w:val="paragraph-hierarchy"/>
    <w:basedOn w:val="DefaultParagraphFont"/>
    <w:rsid w:val="009371E7"/>
  </w:style>
  <w:style w:type="character" w:customStyle="1" w:styleId="paren">
    <w:name w:val="paren"/>
    <w:basedOn w:val="DefaultParagraphFont"/>
    <w:rsid w:val="009371E7"/>
  </w:style>
  <w:style w:type="character" w:customStyle="1" w:styleId="title-main">
    <w:name w:val="title-main"/>
    <w:basedOn w:val="DefaultParagraphFont"/>
    <w:rsid w:val="001C2F88"/>
  </w:style>
  <w:style w:type="character" w:customStyle="1" w:styleId="Heading7Char">
    <w:name w:val="Heading 7 Char"/>
    <w:basedOn w:val="DefaultParagraphFont"/>
    <w:link w:val="Heading7"/>
    <w:uiPriority w:val="9"/>
    <w:semiHidden/>
    <w:rsid w:val="004F15A5"/>
    <w:rPr>
      <w:rFonts w:asciiTheme="majorHAnsi" w:eastAsiaTheme="majorEastAsia" w:hAnsiTheme="majorHAnsi" w:cstheme="majorBidi"/>
      <w:i/>
      <w:iCs/>
      <w:color w:val="1F4D78"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2852">
      <w:bodyDiv w:val="1"/>
      <w:marLeft w:val="0"/>
      <w:marRight w:val="0"/>
      <w:marTop w:val="0"/>
      <w:marBottom w:val="0"/>
      <w:divBdr>
        <w:top w:val="none" w:sz="0" w:space="0" w:color="auto"/>
        <w:left w:val="none" w:sz="0" w:space="0" w:color="auto"/>
        <w:bottom w:val="none" w:sz="0" w:space="0" w:color="auto"/>
        <w:right w:val="none" w:sz="0" w:space="0" w:color="auto"/>
      </w:divBdr>
      <w:divsChild>
        <w:div w:id="599264552">
          <w:marLeft w:val="0"/>
          <w:marRight w:val="0"/>
          <w:marTop w:val="0"/>
          <w:marBottom w:val="0"/>
          <w:divBdr>
            <w:top w:val="none" w:sz="0" w:space="0" w:color="auto"/>
            <w:left w:val="none" w:sz="0" w:space="0" w:color="auto"/>
            <w:bottom w:val="none" w:sz="0" w:space="0" w:color="auto"/>
            <w:right w:val="none" w:sz="0" w:space="0" w:color="auto"/>
          </w:divBdr>
        </w:div>
        <w:div w:id="876237426">
          <w:marLeft w:val="0"/>
          <w:marRight w:val="0"/>
          <w:marTop w:val="0"/>
          <w:marBottom w:val="0"/>
          <w:divBdr>
            <w:top w:val="none" w:sz="0" w:space="0" w:color="auto"/>
            <w:left w:val="none" w:sz="0" w:space="0" w:color="auto"/>
            <w:bottom w:val="none" w:sz="0" w:space="0" w:color="auto"/>
            <w:right w:val="none" w:sz="0" w:space="0" w:color="auto"/>
          </w:divBdr>
        </w:div>
        <w:div w:id="5716198">
          <w:marLeft w:val="0"/>
          <w:marRight w:val="0"/>
          <w:marTop w:val="0"/>
          <w:marBottom w:val="0"/>
          <w:divBdr>
            <w:top w:val="none" w:sz="0" w:space="0" w:color="auto"/>
            <w:left w:val="none" w:sz="0" w:space="0" w:color="auto"/>
            <w:bottom w:val="none" w:sz="0" w:space="0" w:color="auto"/>
            <w:right w:val="none" w:sz="0" w:space="0" w:color="auto"/>
          </w:divBdr>
        </w:div>
        <w:div w:id="1743596477">
          <w:marLeft w:val="0"/>
          <w:marRight w:val="0"/>
          <w:marTop w:val="0"/>
          <w:marBottom w:val="0"/>
          <w:divBdr>
            <w:top w:val="none" w:sz="0" w:space="0" w:color="auto"/>
            <w:left w:val="none" w:sz="0" w:space="0" w:color="auto"/>
            <w:bottom w:val="none" w:sz="0" w:space="0" w:color="auto"/>
            <w:right w:val="none" w:sz="0" w:space="0" w:color="auto"/>
          </w:divBdr>
        </w:div>
        <w:div w:id="255482026">
          <w:marLeft w:val="0"/>
          <w:marRight w:val="0"/>
          <w:marTop w:val="0"/>
          <w:marBottom w:val="0"/>
          <w:divBdr>
            <w:top w:val="none" w:sz="0" w:space="0" w:color="auto"/>
            <w:left w:val="none" w:sz="0" w:space="0" w:color="auto"/>
            <w:bottom w:val="none" w:sz="0" w:space="0" w:color="auto"/>
            <w:right w:val="none" w:sz="0" w:space="0" w:color="auto"/>
          </w:divBdr>
        </w:div>
        <w:div w:id="567308065">
          <w:marLeft w:val="0"/>
          <w:marRight w:val="0"/>
          <w:marTop w:val="0"/>
          <w:marBottom w:val="0"/>
          <w:divBdr>
            <w:top w:val="none" w:sz="0" w:space="0" w:color="auto"/>
            <w:left w:val="none" w:sz="0" w:space="0" w:color="auto"/>
            <w:bottom w:val="none" w:sz="0" w:space="0" w:color="auto"/>
            <w:right w:val="none" w:sz="0" w:space="0" w:color="auto"/>
          </w:divBdr>
        </w:div>
        <w:div w:id="1838567849">
          <w:marLeft w:val="0"/>
          <w:marRight w:val="0"/>
          <w:marTop w:val="0"/>
          <w:marBottom w:val="0"/>
          <w:divBdr>
            <w:top w:val="none" w:sz="0" w:space="0" w:color="auto"/>
            <w:left w:val="none" w:sz="0" w:space="0" w:color="auto"/>
            <w:bottom w:val="none" w:sz="0" w:space="0" w:color="auto"/>
            <w:right w:val="none" w:sz="0" w:space="0" w:color="auto"/>
          </w:divBdr>
        </w:div>
        <w:div w:id="1795903128">
          <w:marLeft w:val="0"/>
          <w:marRight w:val="0"/>
          <w:marTop w:val="0"/>
          <w:marBottom w:val="0"/>
          <w:divBdr>
            <w:top w:val="none" w:sz="0" w:space="0" w:color="auto"/>
            <w:left w:val="none" w:sz="0" w:space="0" w:color="auto"/>
            <w:bottom w:val="none" w:sz="0" w:space="0" w:color="auto"/>
            <w:right w:val="none" w:sz="0" w:space="0" w:color="auto"/>
          </w:divBdr>
        </w:div>
        <w:div w:id="1020854742">
          <w:marLeft w:val="0"/>
          <w:marRight w:val="0"/>
          <w:marTop w:val="0"/>
          <w:marBottom w:val="0"/>
          <w:divBdr>
            <w:top w:val="none" w:sz="0" w:space="0" w:color="auto"/>
            <w:left w:val="none" w:sz="0" w:space="0" w:color="auto"/>
            <w:bottom w:val="none" w:sz="0" w:space="0" w:color="auto"/>
            <w:right w:val="none" w:sz="0" w:space="0" w:color="auto"/>
          </w:divBdr>
        </w:div>
      </w:divsChild>
    </w:div>
    <w:div w:id="20981496">
      <w:bodyDiv w:val="1"/>
      <w:marLeft w:val="0"/>
      <w:marRight w:val="0"/>
      <w:marTop w:val="0"/>
      <w:marBottom w:val="0"/>
      <w:divBdr>
        <w:top w:val="none" w:sz="0" w:space="0" w:color="auto"/>
        <w:left w:val="none" w:sz="0" w:space="0" w:color="auto"/>
        <w:bottom w:val="none" w:sz="0" w:space="0" w:color="auto"/>
        <w:right w:val="none" w:sz="0" w:space="0" w:color="auto"/>
      </w:divBdr>
      <w:divsChild>
        <w:div w:id="226234525">
          <w:marLeft w:val="0"/>
          <w:marRight w:val="0"/>
          <w:marTop w:val="0"/>
          <w:marBottom w:val="0"/>
          <w:divBdr>
            <w:top w:val="none" w:sz="0" w:space="0" w:color="auto"/>
            <w:left w:val="none" w:sz="0" w:space="0" w:color="auto"/>
            <w:bottom w:val="none" w:sz="0" w:space="0" w:color="auto"/>
            <w:right w:val="none" w:sz="0" w:space="0" w:color="auto"/>
          </w:divBdr>
        </w:div>
        <w:div w:id="1705905997">
          <w:marLeft w:val="0"/>
          <w:marRight w:val="0"/>
          <w:marTop w:val="0"/>
          <w:marBottom w:val="0"/>
          <w:divBdr>
            <w:top w:val="none" w:sz="0" w:space="0" w:color="auto"/>
            <w:left w:val="none" w:sz="0" w:space="0" w:color="auto"/>
            <w:bottom w:val="none" w:sz="0" w:space="0" w:color="auto"/>
            <w:right w:val="none" w:sz="0" w:space="0" w:color="auto"/>
          </w:divBdr>
        </w:div>
        <w:div w:id="459425429">
          <w:marLeft w:val="0"/>
          <w:marRight w:val="0"/>
          <w:marTop w:val="0"/>
          <w:marBottom w:val="0"/>
          <w:divBdr>
            <w:top w:val="none" w:sz="0" w:space="0" w:color="auto"/>
            <w:left w:val="none" w:sz="0" w:space="0" w:color="auto"/>
            <w:bottom w:val="none" w:sz="0" w:space="0" w:color="auto"/>
            <w:right w:val="none" w:sz="0" w:space="0" w:color="auto"/>
          </w:divBdr>
        </w:div>
        <w:div w:id="1473446644">
          <w:marLeft w:val="0"/>
          <w:marRight w:val="0"/>
          <w:marTop w:val="0"/>
          <w:marBottom w:val="0"/>
          <w:divBdr>
            <w:top w:val="none" w:sz="0" w:space="0" w:color="auto"/>
            <w:left w:val="none" w:sz="0" w:space="0" w:color="auto"/>
            <w:bottom w:val="none" w:sz="0" w:space="0" w:color="auto"/>
            <w:right w:val="none" w:sz="0" w:space="0" w:color="auto"/>
          </w:divBdr>
        </w:div>
        <w:div w:id="1221281512">
          <w:marLeft w:val="0"/>
          <w:marRight w:val="0"/>
          <w:marTop w:val="0"/>
          <w:marBottom w:val="0"/>
          <w:divBdr>
            <w:top w:val="none" w:sz="0" w:space="0" w:color="auto"/>
            <w:left w:val="none" w:sz="0" w:space="0" w:color="auto"/>
            <w:bottom w:val="none" w:sz="0" w:space="0" w:color="auto"/>
            <w:right w:val="none" w:sz="0" w:space="0" w:color="auto"/>
          </w:divBdr>
        </w:div>
        <w:div w:id="1018429785">
          <w:marLeft w:val="0"/>
          <w:marRight w:val="0"/>
          <w:marTop w:val="0"/>
          <w:marBottom w:val="0"/>
          <w:divBdr>
            <w:top w:val="none" w:sz="0" w:space="0" w:color="auto"/>
            <w:left w:val="none" w:sz="0" w:space="0" w:color="auto"/>
            <w:bottom w:val="none" w:sz="0" w:space="0" w:color="auto"/>
            <w:right w:val="none" w:sz="0" w:space="0" w:color="auto"/>
          </w:divBdr>
        </w:div>
        <w:div w:id="796610630">
          <w:marLeft w:val="0"/>
          <w:marRight w:val="0"/>
          <w:marTop w:val="0"/>
          <w:marBottom w:val="0"/>
          <w:divBdr>
            <w:top w:val="none" w:sz="0" w:space="0" w:color="auto"/>
            <w:left w:val="none" w:sz="0" w:space="0" w:color="auto"/>
            <w:bottom w:val="none" w:sz="0" w:space="0" w:color="auto"/>
            <w:right w:val="none" w:sz="0" w:space="0" w:color="auto"/>
          </w:divBdr>
        </w:div>
        <w:div w:id="610285005">
          <w:marLeft w:val="0"/>
          <w:marRight w:val="0"/>
          <w:marTop w:val="0"/>
          <w:marBottom w:val="0"/>
          <w:divBdr>
            <w:top w:val="none" w:sz="0" w:space="0" w:color="auto"/>
            <w:left w:val="none" w:sz="0" w:space="0" w:color="auto"/>
            <w:bottom w:val="none" w:sz="0" w:space="0" w:color="auto"/>
            <w:right w:val="none" w:sz="0" w:space="0" w:color="auto"/>
          </w:divBdr>
        </w:div>
        <w:div w:id="558322622">
          <w:marLeft w:val="0"/>
          <w:marRight w:val="0"/>
          <w:marTop w:val="0"/>
          <w:marBottom w:val="0"/>
          <w:divBdr>
            <w:top w:val="none" w:sz="0" w:space="0" w:color="auto"/>
            <w:left w:val="none" w:sz="0" w:space="0" w:color="auto"/>
            <w:bottom w:val="none" w:sz="0" w:space="0" w:color="auto"/>
            <w:right w:val="none" w:sz="0" w:space="0" w:color="auto"/>
          </w:divBdr>
        </w:div>
        <w:div w:id="1256788806">
          <w:marLeft w:val="0"/>
          <w:marRight w:val="0"/>
          <w:marTop w:val="0"/>
          <w:marBottom w:val="0"/>
          <w:divBdr>
            <w:top w:val="none" w:sz="0" w:space="0" w:color="auto"/>
            <w:left w:val="none" w:sz="0" w:space="0" w:color="auto"/>
            <w:bottom w:val="none" w:sz="0" w:space="0" w:color="auto"/>
            <w:right w:val="none" w:sz="0" w:space="0" w:color="auto"/>
          </w:divBdr>
        </w:div>
        <w:div w:id="1795900576">
          <w:marLeft w:val="0"/>
          <w:marRight w:val="0"/>
          <w:marTop w:val="0"/>
          <w:marBottom w:val="0"/>
          <w:divBdr>
            <w:top w:val="none" w:sz="0" w:space="0" w:color="auto"/>
            <w:left w:val="none" w:sz="0" w:space="0" w:color="auto"/>
            <w:bottom w:val="none" w:sz="0" w:space="0" w:color="auto"/>
            <w:right w:val="none" w:sz="0" w:space="0" w:color="auto"/>
          </w:divBdr>
        </w:div>
        <w:div w:id="1307861056">
          <w:marLeft w:val="0"/>
          <w:marRight w:val="0"/>
          <w:marTop w:val="0"/>
          <w:marBottom w:val="0"/>
          <w:divBdr>
            <w:top w:val="none" w:sz="0" w:space="0" w:color="auto"/>
            <w:left w:val="none" w:sz="0" w:space="0" w:color="auto"/>
            <w:bottom w:val="none" w:sz="0" w:space="0" w:color="auto"/>
            <w:right w:val="none" w:sz="0" w:space="0" w:color="auto"/>
          </w:divBdr>
        </w:div>
        <w:div w:id="655183363">
          <w:marLeft w:val="0"/>
          <w:marRight w:val="0"/>
          <w:marTop w:val="0"/>
          <w:marBottom w:val="0"/>
          <w:divBdr>
            <w:top w:val="none" w:sz="0" w:space="0" w:color="auto"/>
            <w:left w:val="none" w:sz="0" w:space="0" w:color="auto"/>
            <w:bottom w:val="none" w:sz="0" w:space="0" w:color="auto"/>
            <w:right w:val="none" w:sz="0" w:space="0" w:color="auto"/>
          </w:divBdr>
        </w:div>
        <w:div w:id="1950431030">
          <w:marLeft w:val="0"/>
          <w:marRight w:val="0"/>
          <w:marTop w:val="0"/>
          <w:marBottom w:val="0"/>
          <w:divBdr>
            <w:top w:val="none" w:sz="0" w:space="0" w:color="auto"/>
            <w:left w:val="none" w:sz="0" w:space="0" w:color="auto"/>
            <w:bottom w:val="none" w:sz="0" w:space="0" w:color="auto"/>
            <w:right w:val="none" w:sz="0" w:space="0" w:color="auto"/>
          </w:divBdr>
        </w:div>
        <w:div w:id="925841371">
          <w:marLeft w:val="0"/>
          <w:marRight w:val="0"/>
          <w:marTop w:val="0"/>
          <w:marBottom w:val="0"/>
          <w:divBdr>
            <w:top w:val="none" w:sz="0" w:space="0" w:color="auto"/>
            <w:left w:val="none" w:sz="0" w:space="0" w:color="auto"/>
            <w:bottom w:val="none" w:sz="0" w:space="0" w:color="auto"/>
            <w:right w:val="none" w:sz="0" w:space="0" w:color="auto"/>
          </w:divBdr>
        </w:div>
        <w:div w:id="1458716745">
          <w:marLeft w:val="0"/>
          <w:marRight w:val="0"/>
          <w:marTop w:val="0"/>
          <w:marBottom w:val="0"/>
          <w:divBdr>
            <w:top w:val="none" w:sz="0" w:space="0" w:color="auto"/>
            <w:left w:val="none" w:sz="0" w:space="0" w:color="auto"/>
            <w:bottom w:val="none" w:sz="0" w:space="0" w:color="auto"/>
            <w:right w:val="none" w:sz="0" w:space="0" w:color="auto"/>
          </w:divBdr>
        </w:div>
        <w:div w:id="1505782658">
          <w:marLeft w:val="0"/>
          <w:marRight w:val="0"/>
          <w:marTop w:val="0"/>
          <w:marBottom w:val="0"/>
          <w:divBdr>
            <w:top w:val="none" w:sz="0" w:space="0" w:color="auto"/>
            <w:left w:val="none" w:sz="0" w:space="0" w:color="auto"/>
            <w:bottom w:val="none" w:sz="0" w:space="0" w:color="auto"/>
            <w:right w:val="none" w:sz="0" w:space="0" w:color="auto"/>
          </w:divBdr>
        </w:div>
        <w:div w:id="356472511">
          <w:marLeft w:val="0"/>
          <w:marRight w:val="0"/>
          <w:marTop w:val="0"/>
          <w:marBottom w:val="0"/>
          <w:divBdr>
            <w:top w:val="none" w:sz="0" w:space="0" w:color="auto"/>
            <w:left w:val="none" w:sz="0" w:space="0" w:color="auto"/>
            <w:bottom w:val="none" w:sz="0" w:space="0" w:color="auto"/>
            <w:right w:val="none" w:sz="0" w:space="0" w:color="auto"/>
          </w:divBdr>
        </w:div>
        <w:div w:id="1979650504">
          <w:marLeft w:val="0"/>
          <w:marRight w:val="0"/>
          <w:marTop w:val="0"/>
          <w:marBottom w:val="0"/>
          <w:divBdr>
            <w:top w:val="none" w:sz="0" w:space="0" w:color="auto"/>
            <w:left w:val="none" w:sz="0" w:space="0" w:color="auto"/>
            <w:bottom w:val="none" w:sz="0" w:space="0" w:color="auto"/>
            <w:right w:val="none" w:sz="0" w:space="0" w:color="auto"/>
          </w:divBdr>
        </w:div>
        <w:div w:id="697118668">
          <w:marLeft w:val="0"/>
          <w:marRight w:val="0"/>
          <w:marTop w:val="0"/>
          <w:marBottom w:val="0"/>
          <w:divBdr>
            <w:top w:val="none" w:sz="0" w:space="0" w:color="auto"/>
            <w:left w:val="none" w:sz="0" w:space="0" w:color="auto"/>
            <w:bottom w:val="none" w:sz="0" w:space="0" w:color="auto"/>
            <w:right w:val="none" w:sz="0" w:space="0" w:color="auto"/>
          </w:divBdr>
        </w:div>
        <w:div w:id="1179124146">
          <w:marLeft w:val="0"/>
          <w:marRight w:val="0"/>
          <w:marTop w:val="0"/>
          <w:marBottom w:val="0"/>
          <w:divBdr>
            <w:top w:val="none" w:sz="0" w:space="0" w:color="auto"/>
            <w:left w:val="none" w:sz="0" w:space="0" w:color="auto"/>
            <w:bottom w:val="none" w:sz="0" w:space="0" w:color="auto"/>
            <w:right w:val="none" w:sz="0" w:space="0" w:color="auto"/>
          </w:divBdr>
        </w:div>
        <w:div w:id="60375666">
          <w:marLeft w:val="0"/>
          <w:marRight w:val="0"/>
          <w:marTop w:val="0"/>
          <w:marBottom w:val="0"/>
          <w:divBdr>
            <w:top w:val="none" w:sz="0" w:space="0" w:color="auto"/>
            <w:left w:val="none" w:sz="0" w:space="0" w:color="auto"/>
            <w:bottom w:val="none" w:sz="0" w:space="0" w:color="auto"/>
            <w:right w:val="none" w:sz="0" w:space="0" w:color="auto"/>
          </w:divBdr>
        </w:div>
        <w:div w:id="734863476">
          <w:marLeft w:val="0"/>
          <w:marRight w:val="0"/>
          <w:marTop w:val="0"/>
          <w:marBottom w:val="0"/>
          <w:divBdr>
            <w:top w:val="none" w:sz="0" w:space="0" w:color="auto"/>
            <w:left w:val="none" w:sz="0" w:space="0" w:color="auto"/>
            <w:bottom w:val="none" w:sz="0" w:space="0" w:color="auto"/>
            <w:right w:val="none" w:sz="0" w:space="0" w:color="auto"/>
          </w:divBdr>
        </w:div>
      </w:divsChild>
    </w:div>
    <w:div w:id="33625055">
      <w:bodyDiv w:val="1"/>
      <w:marLeft w:val="0"/>
      <w:marRight w:val="0"/>
      <w:marTop w:val="0"/>
      <w:marBottom w:val="0"/>
      <w:divBdr>
        <w:top w:val="none" w:sz="0" w:space="0" w:color="auto"/>
        <w:left w:val="none" w:sz="0" w:space="0" w:color="auto"/>
        <w:bottom w:val="none" w:sz="0" w:space="0" w:color="auto"/>
        <w:right w:val="none" w:sz="0" w:space="0" w:color="auto"/>
      </w:divBdr>
    </w:div>
    <w:div w:id="36241436">
      <w:bodyDiv w:val="1"/>
      <w:marLeft w:val="0"/>
      <w:marRight w:val="0"/>
      <w:marTop w:val="0"/>
      <w:marBottom w:val="0"/>
      <w:divBdr>
        <w:top w:val="none" w:sz="0" w:space="0" w:color="auto"/>
        <w:left w:val="none" w:sz="0" w:space="0" w:color="auto"/>
        <w:bottom w:val="none" w:sz="0" w:space="0" w:color="auto"/>
        <w:right w:val="none" w:sz="0" w:space="0" w:color="auto"/>
      </w:divBdr>
      <w:divsChild>
        <w:div w:id="1684671190">
          <w:marLeft w:val="0"/>
          <w:marRight w:val="0"/>
          <w:marTop w:val="0"/>
          <w:marBottom w:val="0"/>
          <w:divBdr>
            <w:top w:val="none" w:sz="0" w:space="0" w:color="auto"/>
            <w:left w:val="none" w:sz="0" w:space="0" w:color="auto"/>
            <w:bottom w:val="none" w:sz="0" w:space="0" w:color="auto"/>
            <w:right w:val="none" w:sz="0" w:space="0" w:color="auto"/>
          </w:divBdr>
        </w:div>
        <w:div w:id="735015124">
          <w:marLeft w:val="0"/>
          <w:marRight w:val="0"/>
          <w:marTop w:val="0"/>
          <w:marBottom w:val="0"/>
          <w:divBdr>
            <w:top w:val="none" w:sz="0" w:space="0" w:color="auto"/>
            <w:left w:val="none" w:sz="0" w:space="0" w:color="auto"/>
            <w:bottom w:val="none" w:sz="0" w:space="0" w:color="auto"/>
            <w:right w:val="none" w:sz="0" w:space="0" w:color="auto"/>
          </w:divBdr>
        </w:div>
        <w:div w:id="202866640">
          <w:marLeft w:val="0"/>
          <w:marRight w:val="0"/>
          <w:marTop w:val="0"/>
          <w:marBottom w:val="0"/>
          <w:divBdr>
            <w:top w:val="none" w:sz="0" w:space="0" w:color="auto"/>
            <w:left w:val="none" w:sz="0" w:space="0" w:color="auto"/>
            <w:bottom w:val="none" w:sz="0" w:space="0" w:color="auto"/>
            <w:right w:val="none" w:sz="0" w:space="0" w:color="auto"/>
          </w:divBdr>
        </w:div>
        <w:div w:id="215358153">
          <w:marLeft w:val="0"/>
          <w:marRight w:val="0"/>
          <w:marTop w:val="0"/>
          <w:marBottom w:val="0"/>
          <w:divBdr>
            <w:top w:val="none" w:sz="0" w:space="0" w:color="auto"/>
            <w:left w:val="none" w:sz="0" w:space="0" w:color="auto"/>
            <w:bottom w:val="none" w:sz="0" w:space="0" w:color="auto"/>
            <w:right w:val="none" w:sz="0" w:space="0" w:color="auto"/>
          </w:divBdr>
        </w:div>
        <w:div w:id="661272433">
          <w:marLeft w:val="0"/>
          <w:marRight w:val="0"/>
          <w:marTop w:val="0"/>
          <w:marBottom w:val="0"/>
          <w:divBdr>
            <w:top w:val="none" w:sz="0" w:space="0" w:color="auto"/>
            <w:left w:val="none" w:sz="0" w:space="0" w:color="auto"/>
            <w:bottom w:val="none" w:sz="0" w:space="0" w:color="auto"/>
            <w:right w:val="none" w:sz="0" w:space="0" w:color="auto"/>
          </w:divBdr>
        </w:div>
        <w:div w:id="1882092376">
          <w:marLeft w:val="0"/>
          <w:marRight w:val="0"/>
          <w:marTop w:val="0"/>
          <w:marBottom w:val="0"/>
          <w:divBdr>
            <w:top w:val="none" w:sz="0" w:space="0" w:color="auto"/>
            <w:left w:val="none" w:sz="0" w:space="0" w:color="auto"/>
            <w:bottom w:val="none" w:sz="0" w:space="0" w:color="auto"/>
            <w:right w:val="none" w:sz="0" w:space="0" w:color="auto"/>
          </w:divBdr>
        </w:div>
        <w:div w:id="867447931">
          <w:marLeft w:val="0"/>
          <w:marRight w:val="0"/>
          <w:marTop w:val="0"/>
          <w:marBottom w:val="0"/>
          <w:divBdr>
            <w:top w:val="none" w:sz="0" w:space="0" w:color="auto"/>
            <w:left w:val="none" w:sz="0" w:space="0" w:color="auto"/>
            <w:bottom w:val="none" w:sz="0" w:space="0" w:color="auto"/>
            <w:right w:val="none" w:sz="0" w:space="0" w:color="auto"/>
          </w:divBdr>
        </w:div>
        <w:div w:id="1666591984">
          <w:marLeft w:val="0"/>
          <w:marRight w:val="0"/>
          <w:marTop w:val="0"/>
          <w:marBottom w:val="0"/>
          <w:divBdr>
            <w:top w:val="none" w:sz="0" w:space="0" w:color="auto"/>
            <w:left w:val="none" w:sz="0" w:space="0" w:color="auto"/>
            <w:bottom w:val="none" w:sz="0" w:space="0" w:color="auto"/>
            <w:right w:val="none" w:sz="0" w:space="0" w:color="auto"/>
          </w:divBdr>
        </w:div>
        <w:div w:id="453719494">
          <w:marLeft w:val="0"/>
          <w:marRight w:val="0"/>
          <w:marTop w:val="0"/>
          <w:marBottom w:val="0"/>
          <w:divBdr>
            <w:top w:val="none" w:sz="0" w:space="0" w:color="auto"/>
            <w:left w:val="none" w:sz="0" w:space="0" w:color="auto"/>
            <w:bottom w:val="none" w:sz="0" w:space="0" w:color="auto"/>
            <w:right w:val="none" w:sz="0" w:space="0" w:color="auto"/>
          </w:divBdr>
        </w:div>
        <w:div w:id="1945305130">
          <w:marLeft w:val="0"/>
          <w:marRight w:val="0"/>
          <w:marTop w:val="0"/>
          <w:marBottom w:val="0"/>
          <w:divBdr>
            <w:top w:val="none" w:sz="0" w:space="0" w:color="auto"/>
            <w:left w:val="none" w:sz="0" w:space="0" w:color="auto"/>
            <w:bottom w:val="none" w:sz="0" w:space="0" w:color="auto"/>
            <w:right w:val="none" w:sz="0" w:space="0" w:color="auto"/>
          </w:divBdr>
        </w:div>
        <w:div w:id="1272203554">
          <w:marLeft w:val="0"/>
          <w:marRight w:val="0"/>
          <w:marTop w:val="0"/>
          <w:marBottom w:val="0"/>
          <w:divBdr>
            <w:top w:val="none" w:sz="0" w:space="0" w:color="auto"/>
            <w:left w:val="none" w:sz="0" w:space="0" w:color="auto"/>
            <w:bottom w:val="none" w:sz="0" w:space="0" w:color="auto"/>
            <w:right w:val="none" w:sz="0" w:space="0" w:color="auto"/>
          </w:divBdr>
        </w:div>
        <w:div w:id="941451978">
          <w:marLeft w:val="0"/>
          <w:marRight w:val="0"/>
          <w:marTop w:val="0"/>
          <w:marBottom w:val="0"/>
          <w:divBdr>
            <w:top w:val="none" w:sz="0" w:space="0" w:color="auto"/>
            <w:left w:val="none" w:sz="0" w:space="0" w:color="auto"/>
            <w:bottom w:val="none" w:sz="0" w:space="0" w:color="auto"/>
            <w:right w:val="none" w:sz="0" w:space="0" w:color="auto"/>
          </w:divBdr>
        </w:div>
        <w:div w:id="1929775874">
          <w:marLeft w:val="0"/>
          <w:marRight w:val="0"/>
          <w:marTop w:val="0"/>
          <w:marBottom w:val="0"/>
          <w:divBdr>
            <w:top w:val="none" w:sz="0" w:space="0" w:color="auto"/>
            <w:left w:val="none" w:sz="0" w:space="0" w:color="auto"/>
            <w:bottom w:val="none" w:sz="0" w:space="0" w:color="auto"/>
            <w:right w:val="none" w:sz="0" w:space="0" w:color="auto"/>
          </w:divBdr>
        </w:div>
        <w:div w:id="1438986527">
          <w:marLeft w:val="0"/>
          <w:marRight w:val="0"/>
          <w:marTop w:val="0"/>
          <w:marBottom w:val="0"/>
          <w:divBdr>
            <w:top w:val="none" w:sz="0" w:space="0" w:color="auto"/>
            <w:left w:val="none" w:sz="0" w:space="0" w:color="auto"/>
            <w:bottom w:val="none" w:sz="0" w:space="0" w:color="auto"/>
            <w:right w:val="none" w:sz="0" w:space="0" w:color="auto"/>
          </w:divBdr>
        </w:div>
      </w:divsChild>
    </w:div>
    <w:div w:id="118955063">
      <w:bodyDiv w:val="1"/>
      <w:marLeft w:val="0"/>
      <w:marRight w:val="0"/>
      <w:marTop w:val="0"/>
      <w:marBottom w:val="0"/>
      <w:divBdr>
        <w:top w:val="none" w:sz="0" w:space="0" w:color="auto"/>
        <w:left w:val="none" w:sz="0" w:space="0" w:color="auto"/>
        <w:bottom w:val="none" w:sz="0" w:space="0" w:color="auto"/>
        <w:right w:val="none" w:sz="0" w:space="0" w:color="auto"/>
      </w:divBdr>
      <w:divsChild>
        <w:div w:id="2027361260">
          <w:marLeft w:val="0"/>
          <w:marRight w:val="0"/>
          <w:marTop w:val="0"/>
          <w:marBottom w:val="0"/>
          <w:divBdr>
            <w:top w:val="none" w:sz="0" w:space="0" w:color="auto"/>
            <w:left w:val="none" w:sz="0" w:space="0" w:color="auto"/>
            <w:bottom w:val="none" w:sz="0" w:space="0" w:color="auto"/>
            <w:right w:val="none" w:sz="0" w:space="0" w:color="auto"/>
          </w:divBdr>
        </w:div>
        <w:div w:id="1654136271">
          <w:marLeft w:val="0"/>
          <w:marRight w:val="0"/>
          <w:marTop w:val="0"/>
          <w:marBottom w:val="0"/>
          <w:divBdr>
            <w:top w:val="none" w:sz="0" w:space="0" w:color="auto"/>
            <w:left w:val="none" w:sz="0" w:space="0" w:color="auto"/>
            <w:bottom w:val="none" w:sz="0" w:space="0" w:color="auto"/>
            <w:right w:val="none" w:sz="0" w:space="0" w:color="auto"/>
          </w:divBdr>
        </w:div>
        <w:div w:id="764957715">
          <w:marLeft w:val="0"/>
          <w:marRight w:val="0"/>
          <w:marTop w:val="0"/>
          <w:marBottom w:val="0"/>
          <w:divBdr>
            <w:top w:val="none" w:sz="0" w:space="0" w:color="auto"/>
            <w:left w:val="none" w:sz="0" w:space="0" w:color="auto"/>
            <w:bottom w:val="none" w:sz="0" w:space="0" w:color="auto"/>
            <w:right w:val="none" w:sz="0" w:space="0" w:color="auto"/>
          </w:divBdr>
        </w:div>
        <w:div w:id="1973897699">
          <w:marLeft w:val="0"/>
          <w:marRight w:val="0"/>
          <w:marTop w:val="0"/>
          <w:marBottom w:val="0"/>
          <w:divBdr>
            <w:top w:val="none" w:sz="0" w:space="0" w:color="auto"/>
            <w:left w:val="none" w:sz="0" w:space="0" w:color="auto"/>
            <w:bottom w:val="none" w:sz="0" w:space="0" w:color="auto"/>
            <w:right w:val="none" w:sz="0" w:space="0" w:color="auto"/>
          </w:divBdr>
        </w:div>
        <w:div w:id="588084401">
          <w:marLeft w:val="0"/>
          <w:marRight w:val="0"/>
          <w:marTop w:val="0"/>
          <w:marBottom w:val="0"/>
          <w:divBdr>
            <w:top w:val="none" w:sz="0" w:space="0" w:color="auto"/>
            <w:left w:val="none" w:sz="0" w:space="0" w:color="auto"/>
            <w:bottom w:val="none" w:sz="0" w:space="0" w:color="auto"/>
            <w:right w:val="none" w:sz="0" w:space="0" w:color="auto"/>
          </w:divBdr>
        </w:div>
        <w:div w:id="1617326984">
          <w:marLeft w:val="0"/>
          <w:marRight w:val="0"/>
          <w:marTop w:val="0"/>
          <w:marBottom w:val="0"/>
          <w:divBdr>
            <w:top w:val="none" w:sz="0" w:space="0" w:color="auto"/>
            <w:left w:val="none" w:sz="0" w:space="0" w:color="auto"/>
            <w:bottom w:val="none" w:sz="0" w:space="0" w:color="auto"/>
            <w:right w:val="none" w:sz="0" w:space="0" w:color="auto"/>
          </w:divBdr>
        </w:div>
        <w:div w:id="1413502187">
          <w:marLeft w:val="0"/>
          <w:marRight w:val="0"/>
          <w:marTop w:val="0"/>
          <w:marBottom w:val="0"/>
          <w:divBdr>
            <w:top w:val="none" w:sz="0" w:space="0" w:color="auto"/>
            <w:left w:val="none" w:sz="0" w:space="0" w:color="auto"/>
            <w:bottom w:val="none" w:sz="0" w:space="0" w:color="auto"/>
            <w:right w:val="none" w:sz="0" w:space="0" w:color="auto"/>
          </w:divBdr>
        </w:div>
        <w:div w:id="1486240307">
          <w:marLeft w:val="0"/>
          <w:marRight w:val="0"/>
          <w:marTop w:val="0"/>
          <w:marBottom w:val="0"/>
          <w:divBdr>
            <w:top w:val="none" w:sz="0" w:space="0" w:color="auto"/>
            <w:left w:val="none" w:sz="0" w:space="0" w:color="auto"/>
            <w:bottom w:val="none" w:sz="0" w:space="0" w:color="auto"/>
            <w:right w:val="none" w:sz="0" w:space="0" w:color="auto"/>
          </w:divBdr>
        </w:div>
        <w:div w:id="1386249077">
          <w:marLeft w:val="0"/>
          <w:marRight w:val="0"/>
          <w:marTop w:val="0"/>
          <w:marBottom w:val="0"/>
          <w:divBdr>
            <w:top w:val="none" w:sz="0" w:space="0" w:color="auto"/>
            <w:left w:val="none" w:sz="0" w:space="0" w:color="auto"/>
            <w:bottom w:val="none" w:sz="0" w:space="0" w:color="auto"/>
            <w:right w:val="none" w:sz="0" w:space="0" w:color="auto"/>
          </w:divBdr>
        </w:div>
        <w:div w:id="1480658936">
          <w:marLeft w:val="0"/>
          <w:marRight w:val="0"/>
          <w:marTop w:val="0"/>
          <w:marBottom w:val="0"/>
          <w:divBdr>
            <w:top w:val="none" w:sz="0" w:space="0" w:color="auto"/>
            <w:left w:val="none" w:sz="0" w:space="0" w:color="auto"/>
            <w:bottom w:val="none" w:sz="0" w:space="0" w:color="auto"/>
            <w:right w:val="none" w:sz="0" w:space="0" w:color="auto"/>
          </w:divBdr>
        </w:div>
        <w:div w:id="725180454">
          <w:marLeft w:val="0"/>
          <w:marRight w:val="0"/>
          <w:marTop w:val="0"/>
          <w:marBottom w:val="0"/>
          <w:divBdr>
            <w:top w:val="none" w:sz="0" w:space="0" w:color="auto"/>
            <w:left w:val="none" w:sz="0" w:space="0" w:color="auto"/>
            <w:bottom w:val="none" w:sz="0" w:space="0" w:color="auto"/>
            <w:right w:val="none" w:sz="0" w:space="0" w:color="auto"/>
          </w:divBdr>
        </w:div>
        <w:div w:id="1137407691">
          <w:marLeft w:val="0"/>
          <w:marRight w:val="0"/>
          <w:marTop w:val="0"/>
          <w:marBottom w:val="0"/>
          <w:divBdr>
            <w:top w:val="none" w:sz="0" w:space="0" w:color="auto"/>
            <w:left w:val="none" w:sz="0" w:space="0" w:color="auto"/>
            <w:bottom w:val="none" w:sz="0" w:space="0" w:color="auto"/>
            <w:right w:val="none" w:sz="0" w:space="0" w:color="auto"/>
          </w:divBdr>
        </w:div>
        <w:div w:id="70540309">
          <w:marLeft w:val="0"/>
          <w:marRight w:val="0"/>
          <w:marTop w:val="0"/>
          <w:marBottom w:val="0"/>
          <w:divBdr>
            <w:top w:val="none" w:sz="0" w:space="0" w:color="auto"/>
            <w:left w:val="none" w:sz="0" w:space="0" w:color="auto"/>
            <w:bottom w:val="none" w:sz="0" w:space="0" w:color="auto"/>
            <w:right w:val="none" w:sz="0" w:space="0" w:color="auto"/>
          </w:divBdr>
        </w:div>
        <w:div w:id="1161308632">
          <w:marLeft w:val="0"/>
          <w:marRight w:val="0"/>
          <w:marTop w:val="0"/>
          <w:marBottom w:val="0"/>
          <w:divBdr>
            <w:top w:val="none" w:sz="0" w:space="0" w:color="auto"/>
            <w:left w:val="none" w:sz="0" w:space="0" w:color="auto"/>
            <w:bottom w:val="none" w:sz="0" w:space="0" w:color="auto"/>
            <w:right w:val="none" w:sz="0" w:space="0" w:color="auto"/>
          </w:divBdr>
        </w:div>
        <w:div w:id="1193350071">
          <w:marLeft w:val="0"/>
          <w:marRight w:val="0"/>
          <w:marTop w:val="0"/>
          <w:marBottom w:val="0"/>
          <w:divBdr>
            <w:top w:val="none" w:sz="0" w:space="0" w:color="auto"/>
            <w:left w:val="none" w:sz="0" w:space="0" w:color="auto"/>
            <w:bottom w:val="none" w:sz="0" w:space="0" w:color="auto"/>
            <w:right w:val="none" w:sz="0" w:space="0" w:color="auto"/>
          </w:divBdr>
        </w:div>
        <w:div w:id="1573151577">
          <w:marLeft w:val="0"/>
          <w:marRight w:val="0"/>
          <w:marTop w:val="0"/>
          <w:marBottom w:val="0"/>
          <w:divBdr>
            <w:top w:val="none" w:sz="0" w:space="0" w:color="auto"/>
            <w:left w:val="none" w:sz="0" w:space="0" w:color="auto"/>
            <w:bottom w:val="none" w:sz="0" w:space="0" w:color="auto"/>
            <w:right w:val="none" w:sz="0" w:space="0" w:color="auto"/>
          </w:divBdr>
        </w:div>
        <w:div w:id="1922255578">
          <w:marLeft w:val="0"/>
          <w:marRight w:val="0"/>
          <w:marTop w:val="0"/>
          <w:marBottom w:val="0"/>
          <w:divBdr>
            <w:top w:val="none" w:sz="0" w:space="0" w:color="auto"/>
            <w:left w:val="none" w:sz="0" w:space="0" w:color="auto"/>
            <w:bottom w:val="none" w:sz="0" w:space="0" w:color="auto"/>
            <w:right w:val="none" w:sz="0" w:space="0" w:color="auto"/>
          </w:divBdr>
        </w:div>
        <w:div w:id="1034766312">
          <w:marLeft w:val="0"/>
          <w:marRight w:val="0"/>
          <w:marTop w:val="0"/>
          <w:marBottom w:val="0"/>
          <w:divBdr>
            <w:top w:val="none" w:sz="0" w:space="0" w:color="auto"/>
            <w:left w:val="none" w:sz="0" w:space="0" w:color="auto"/>
            <w:bottom w:val="none" w:sz="0" w:space="0" w:color="auto"/>
            <w:right w:val="none" w:sz="0" w:space="0" w:color="auto"/>
          </w:divBdr>
        </w:div>
        <w:div w:id="882255410">
          <w:marLeft w:val="0"/>
          <w:marRight w:val="0"/>
          <w:marTop w:val="0"/>
          <w:marBottom w:val="0"/>
          <w:divBdr>
            <w:top w:val="none" w:sz="0" w:space="0" w:color="auto"/>
            <w:left w:val="none" w:sz="0" w:space="0" w:color="auto"/>
            <w:bottom w:val="none" w:sz="0" w:space="0" w:color="auto"/>
            <w:right w:val="none" w:sz="0" w:space="0" w:color="auto"/>
          </w:divBdr>
        </w:div>
        <w:div w:id="1806389559">
          <w:marLeft w:val="0"/>
          <w:marRight w:val="0"/>
          <w:marTop w:val="0"/>
          <w:marBottom w:val="0"/>
          <w:divBdr>
            <w:top w:val="none" w:sz="0" w:space="0" w:color="auto"/>
            <w:left w:val="none" w:sz="0" w:space="0" w:color="auto"/>
            <w:bottom w:val="none" w:sz="0" w:space="0" w:color="auto"/>
            <w:right w:val="none" w:sz="0" w:space="0" w:color="auto"/>
          </w:divBdr>
        </w:div>
        <w:div w:id="1497768483">
          <w:marLeft w:val="0"/>
          <w:marRight w:val="0"/>
          <w:marTop w:val="0"/>
          <w:marBottom w:val="0"/>
          <w:divBdr>
            <w:top w:val="none" w:sz="0" w:space="0" w:color="auto"/>
            <w:left w:val="none" w:sz="0" w:space="0" w:color="auto"/>
            <w:bottom w:val="none" w:sz="0" w:space="0" w:color="auto"/>
            <w:right w:val="none" w:sz="0" w:space="0" w:color="auto"/>
          </w:divBdr>
        </w:div>
        <w:div w:id="540829405">
          <w:marLeft w:val="0"/>
          <w:marRight w:val="0"/>
          <w:marTop w:val="0"/>
          <w:marBottom w:val="0"/>
          <w:divBdr>
            <w:top w:val="none" w:sz="0" w:space="0" w:color="auto"/>
            <w:left w:val="none" w:sz="0" w:space="0" w:color="auto"/>
            <w:bottom w:val="none" w:sz="0" w:space="0" w:color="auto"/>
            <w:right w:val="none" w:sz="0" w:space="0" w:color="auto"/>
          </w:divBdr>
        </w:div>
        <w:div w:id="1691755696">
          <w:marLeft w:val="0"/>
          <w:marRight w:val="0"/>
          <w:marTop w:val="0"/>
          <w:marBottom w:val="0"/>
          <w:divBdr>
            <w:top w:val="none" w:sz="0" w:space="0" w:color="auto"/>
            <w:left w:val="none" w:sz="0" w:space="0" w:color="auto"/>
            <w:bottom w:val="none" w:sz="0" w:space="0" w:color="auto"/>
            <w:right w:val="none" w:sz="0" w:space="0" w:color="auto"/>
          </w:divBdr>
        </w:div>
        <w:div w:id="432478374">
          <w:marLeft w:val="0"/>
          <w:marRight w:val="0"/>
          <w:marTop w:val="0"/>
          <w:marBottom w:val="0"/>
          <w:divBdr>
            <w:top w:val="none" w:sz="0" w:space="0" w:color="auto"/>
            <w:left w:val="none" w:sz="0" w:space="0" w:color="auto"/>
            <w:bottom w:val="none" w:sz="0" w:space="0" w:color="auto"/>
            <w:right w:val="none" w:sz="0" w:space="0" w:color="auto"/>
          </w:divBdr>
        </w:div>
        <w:div w:id="964702100">
          <w:marLeft w:val="0"/>
          <w:marRight w:val="0"/>
          <w:marTop w:val="0"/>
          <w:marBottom w:val="0"/>
          <w:divBdr>
            <w:top w:val="none" w:sz="0" w:space="0" w:color="auto"/>
            <w:left w:val="none" w:sz="0" w:space="0" w:color="auto"/>
            <w:bottom w:val="none" w:sz="0" w:space="0" w:color="auto"/>
            <w:right w:val="none" w:sz="0" w:space="0" w:color="auto"/>
          </w:divBdr>
        </w:div>
        <w:div w:id="1486624466">
          <w:marLeft w:val="0"/>
          <w:marRight w:val="0"/>
          <w:marTop w:val="0"/>
          <w:marBottom w:val="0"/>
          <w:divBdr>
            <w:top w:val="none" w:sz="0" w:space="0" w:color="auto"/>
            <w:left w:val="none" w:sz="0" w:space="0" w:color="auto"/>
            <w:bottom w:val="none" w:sz="0" w:space="0" w:color="auto"/>
            <w:right w:val="none" w:sz="0" w:space="0" w:color="auto"/>
          </w:divBdr>
        </w:div>
        <w:div w:id="2004550008">
          <w:marLeft w:val="0"/>
          <w:marRight w:val="0"/>
          <w:marTop w:val="0"/>
          <w:marBottom w:val="0"/>
          <w:divBdr>
            <w:top w:val="none" w:sz="0" w:space="0" w:color="auto"/>
            <w:left w:val="none" w:sz="0" w:space="0" w:color="auto"/>
            <w:bottom w:val="none" w:sz="0" w:space="0" w:color="auto"/>
            <w:right w:val="none" w:sz="0" w:space="0" w:color="auto"/>
          </w:divBdr>
        </w:div>
        <w:div w:id="1920406642">
          <w:marLeft w:val="0"/>
          <w:marRight w:val="0"/>
          <w:marTop w:val="0"/>
          <w:marBottom w:val="0"/>
          <w:divBdr>
            <w:top w:val="none" w:sz="0" w:space="0" w:color="auto"/>
            <w:left w:val="none" w:sz="0" w:space="0" w:color="auto"/>
            <w:bottom w:val="none" w:sz="0" w:space="0" w:color="auto"/>
            <w:right w:val="none" w:sz="0" w:space="0" w:color="auto"/>
          </w:divBdr>
        </w:div>
        <w:div w:id="1790853681">
          <w:marLeft w:val="0"/>
          <w:marRight w:val="0"/>
          <w:marTop w:val="0"/>
          <w:marBottom w:val="0"/>
          <w:divBdr>
            <w:top w:val="none" w:sz="0" w:space="0" w:color="auto"/>
            <w:left w:val="none" w:sz="0" w:space="0" w:color="auto"/>
            <w:bottom w:val="none" w:sz="0" w:space="0" w:color="auto"/>
            <w:right w:val="none" w:sz="0" w:space="0" w:color="auto"/>
          </w:divBdr>
        </w:div>
        <w:div w:id="1588271649">
          <w:marLeft w:val="0"/>
          <w:marRight w:val="0"/>
          <w:marTop w:val="0"/>
          <w:marBottom w:val="0"/>
          <w:divBdr>
            <w:top w:val="none" w:sz="0" w:space="0" w:color="auto"/>
            <w:left w:val="none" w:sz="0" w:space="0" w:color="auto"/>
            <w:bottom w:val="none" w:sz="0" w:space="0" w:color="auto"/>
            <w:right w:val="none" w:sz="0" w:space="0" w:color="auto"/>
          </w:divBdr>
        </w:div>
        <w:div w:id="2060085688">
          <w:marLeft w:val="0"/>
          <w:marRight w:val="0"/>
          <w:marTop w:val="0"/>
          <w:marBottom w:val="0"/>
          <w:divBdr>
            <w:top w:val="none" w:sz="0" w:space="0" w:color="auto"/>
            <w:left w:val="none" w:sz="0" w:space="0" w:color="auto"/>
            <w:bottom w:val="none" w:sz="0" w:space="0" w:color="auto"/>
            <w:right w:val="none" w:sz="0" w:space="0" w:color="auto"/>
          </w:divBdr>
        </w:div>
        <w:div w:id="1717922899">
          <w:marLeft w:val="0"/>
          <w:marRight w:val="0"/>
          <w:marTop w:val="0"/>
          <w:marBottom w:val="0"/>
          <w:divBdr>
            <w:top w:val="none" w:sz="0" w:space="0" w:color="auto"/>
            <w:left w:val="none" w:sz="0" w:space="0" w:color="auto"/>
            <w:bottom w:val="none" w:sz="0" w:space="0" w:color="auto"/>
            <w:right w:val="none" w:sz="0" w:space="0" w:color="auto"/>
          </w:divBdr>
        </w:div>
        <w:div w:id="1180656196">
          <w:marLeft w:val="0"/>
          <w:marRight w:val="0"/>
          <w:marTop w:val="0"/>
          <w:marBottom w:val="0"/>
          <w:divBdr>
            <w:top w:val="none" w:sz="0" w:space="0" w:color="auto"/>
            <w:left w:val="none" w:sz="0" w:space="0" w:color="auto"/>
            <w:bottom w:val="none" w:sz="0" w:space="0" w:color="auto"/>
            <w:right w:val="none" w:sz="0" w:space="0" w:color="auto"/>
          </w:divBdr>
        </w:div>
        <w:div w:id="15808923">
          <w:marLeft w:val="0"/>
          <w:marRight w:val="0"/>
          <w:marTop w:val="0"/>
          <w:marBottom w:val="0"/>
          <w:divBdr>
            <w:top w:val="none" w:sz="0" w:space="0" w:color="auto"/>
            <w:left w:val="none" w:sz="0" w:space="0" w:color="auto"/>
            <w:bottom w:val="none" w:sz="0" w:space="0" w:color="auto"/>
            <w:right w:val="none" w:sz="0" w:space="0" w:color="auto"/>
          </w:divBdr>
        </w:div>
        <w:div w:id="2009290386">
          <w:marLeft w:val="0"/>
          <w:marRight w:val="0"/>
          <w:marTop w:val="0"/>
          <w:marBottom w:val="0"/>
          <w:divBdr>
            <w:top w:val="none" w:sz="0" w:space="0" w:color="auto"/>
            <w:left w:val="none" w:sz="0" w:space="0" w:color="auto"/>
            <w:bottom w:val="none" w:sz="0" w:space="0" w:color="auto"/>
            <w:right w:val="none" w:sz="0" w:space="0" w:color="auto"/>
          </w:divBdr>
        </w:div>
        <w:div w:id="1310093275">
          <w:marLeft w:val="0"/>
          <w:marRight w:val="0"/>
          <w:marTop w:val="0"/>
          <w:marBottom w:val="0"/>
          <w:divBdr>
            <w:top w:val="none" w:sz="0" w:space="0" w:color="auto"/>
            <w:left w:val="none" w:sz="0" w:space="0" w:color="auto"/>
            <w:bottom w:val="none" w:sz="0" w:space="0" w:color="auto"/>
            <w:right w:val="none" w:sz="0" w:space="0" w:color="auto"/>
          </w:divBdr>
        </w:div>
        <w:div w:id="1361052112">
          <w:marLeft w:val="0"/>
          <w:marRight w:val="0"/>
          <w:marTop w:val="0"/>
          <w:marBottom w:val="0"/>
          <w:divBdr>
            <w:top w:val="none" w:sz="0" w:space="0" w:color="auto"/>
            <w:left w:val="none" w:sz="0" w:space="0" w:color="auto"/>
            <w:bottom w:val="none" w:sz="0" w:space="0" w:color="auto"/>
            <w:right w:val="none" w:sz="0" w:space="0" w:color="auto"/>
          </w:divBdr>
        </w:div>
        <w:div w:id="227111888">
          <w:marLeft w:val="0"/>
          <w:marRight w:val="0"/>
          <w:marTop w:val="0"/>
          <w:marBottom w:val="0"/>
          <w:divBdr>
            <w:top w:val="none" w:sz="0" w:space="0" w:color="auto"/>
            <w:left w:val="none" w:sz="0" w:space="0" w:color="auto"/>
            <w:bottom w:val="none" w:sz="0" w:space="0" w:color="auto"/>
            <w:right w:val="none" w:sz="0" w:space="0" w:color="auto"/>
          </w:divBdr>
        </w:div>
        <w:div w:id="378941381">
          <w:marLeft w:val="0"/>
          <w:marRight w:val="0"/>
          <w:marTop w:val="0"/>
          <w:marBottom w:val="0"/>
          <w:divBdr>
            <w:top w:val="none" w:sz="0" w:space="0" w:color="auto"/>
            <w:left w:val="none" w:sz="0" w:space="0" w:color="auto"/>
            <w:bottom w:val="none" w:sz="0" w:space="0" w:color="auto"/>
            <w:right w:val="none" w:sz="0" w:space="0" w:color="auto"/>
          </w:divBdr>
        </w:div>
        <w:div w:id="532617435">
          <w:marLeft w:val="0"/>
          <w:marRight w:val="0"/>
          <w:marTop w:val="0"/>
          <w:marBottom w:val="0"/>
          <w:divBdr>
            <w:top w:val="none" w:sz="0" w:space="0" w:color="auto"/>
            <w:left w:val="none" w:sz="0" w:space="0" w:color="auto"/>
            <w:bottom w:val="none" w:sz="0" w:space="0" w:color="auto"/>
            <w:right w:val="none" w:sz="0" w:space="0" w:color="auto"/>
          </w:divBdr>
        </w:div>
        <w:div w:id="223225579">
          <w:marLeft w:val="0"/>
          <w:marRight w:val="0"/>
          <w:marTop w:val="0"/>
          <w:marBottom w:val="0"/>
          <w:divBdr>
            <w:top w:val="none" w:sz="0" w:space="0" w:color="auto"/>
            <w:left w:val="none" w:sz="0" w:space="0" w:color="auto"/>
            <w:bottom w:val="none" w:sz="0" w:space="0" w:color="auto"/>
            <w:right w:val="none" w:sz="0" w:space="0" w:color="auto"/>
          </w:divBdr>
        </w:div>
        <w:div w:id="526139123">
          <w:marLeft w:val="0"/>
          <w:marRight w:val="0"/>
          <w:marTop w:val="0"/>
          <w:marBottom w:val="0"/>
          <w:divBdr>
            <w:top w:val="none" w:sz="0" w:space="0" w:color="auto"/>
            <w:left w:val="none" w:sz="0" w:space="0" w:color="auto"/>
            <w:bottom w:val="none" w:sz="0" w:space="0" w:color="auto"/>
            <w:right w:val="none" w:sz="0" w:space="0" w:color="auto"/>
          </w:divBdr>
        </w:div>
        <w:div w:id="448941325">
          <w:marLeft w:val="0"/>
          <w:marRight w:val="0"/>
          <w:marTop w:val="0"/>
          <w:marBottom w:val="0"/>
          <w:divBdr>
            <w:top w:val="none" w:sz="0" w:space="0" w:color="auto"/>
            <w:left w:val="none" w:sz="0" w:space="0" w:color="auto"/>
            <w:bottom w:val="none" w:sz="0" w:space="0" w:color="auto"/>
            <w:right w:val="none" w:sz="0" w:space="0" w:color="auto"/>
          </w:divBdr>
        </w:div>
      </w:divsChild>
    </w:div>
    <w:div w:id="133372235">
      <w:bodyDiv w:val="1"/>
      <w:marLeft w:val="0"/>
      <w:marRight w:val="0"/>
      <w:marTop w:val="0"/>
      <w:marBottom w:val="0"/>
      <w:divBdr>
        <w:top w:val="none" w:sz="0" w:space="0" w:color="auto"/>
        <w:left w:val="none" w:sz="0" w:space="0" w:color="auto"/>
        <w:bottom w:val="none" w:sz="0" w:space="0" w:color="auto"/>
        <w:right w:val="none" w:sz="0" w:space="0" w:color="auto"/>
      </w:divBdr>
    </w:div>
    <w:div w:id="161748562">
      <w:bodyDiv w:val="1"/>
      <w:marLeft w:val="0"/>
      <w:marRight w:val="0"/>
      <w:marTop w:val="0"/>
      <w:marBottom w:val="0"/>
      <w:divBdr>
        <w:top w:val="none" w:sz="0" w:space="0" w:color="auto"/>
        <w:left w:val="none" w:sz="0" w:space="0" w:color="auto"/>
        <w:bottom w:val="none" w:sz="0" w:space="0" w:color="auto"/>
        <w:right w:val="none" w:sz="0" w:space="0" w:color="auto"/>
      </w:divBdr>
      <w:divsChild>
        <w:div w:id="1835876148">
          <w:marLeft w:val="0"/>
          <w:marRight w:val="0"/>
          <w:marTop w:val="0"/>
          <w:marBottom w:val="0"/>
          <w:divBdr>
            <w:top w:val="none" w:sz="0" w:space="0" w:color="auto"/>
            <w:left w:val="none" w:sz="0" w:space="0" w:color="auto"/>
            <w:bottom w:val="none" w:sz="0" w:space="0" w:color="auto"/>
            <w:right w:val="none" w:sz="0" w:space="0" w:color="auto"/>
          </w:divBdr>
        </w:div>
        <w:div w:id="1117606117">
          <w:marLeft w:val="0"/>
          <w:marRight w:val="0"/>
          <w:marTop w:val="0"/>
          <w:marBottom w:val="0"/>
          <w:divBdr>
            <w:top w:val="none" w:sz="0" w:space="0" w:color="auto"/>
            <w:left w:val="none" w:sz="0" w:space="0" w:color="auto"/>
            <w:bottom w:val="none" w:sz="0" w:space="0" w:color="auto"/>
            <w:right w:val="none" w:sz="0" w:space="0" w:color="auto"/>
          </w:divBdr>
        </w:div>
      </w:divsChild>
    </w:div>
    <w:div w:id="170724313">
      <w:bodyDiv w:val="1"/>
      <w:marLeft w:val="0"/>
      <w:marRight w:val="0"/>
      <w:marTop w:val="0"/>
      <w:marBottom w:val="0"/>
      <w:divBdr>
        <w:top w:val="none" w:sz="0" w:space="0" w:color="auto"/>
        <w:left w:val="none" w:sz="0" w:space="0" w:color="auto"/>
        <w:bottom w:val="none" w:sz="0" w:space="0" w:color="auto"/>
        <w:right w:val="none" w:sz="0" w:space="0" w:color="auto"/>
      </w:divBdr>
      <w:divsChild>
        <w:div w:id="1054811596">
          <w:marLeft w:val="0"/>
          <w:marRight w:val="0"/>
          <w:marTop w:val="0"/>
          <w:marBottom w:val="0"/>
          <w:divBdr>
            <w:top w:val="none" w:sz="0" w:space="0" w:color="auto"/>
            <w:left w:val="none" w:sz="0" w:space="0" w:color="auto"/>
            <w:bottom w:val="none" w:sz="0" w:space="0" w:color="auto"/>
            <w:right w:val="none" w:sz="0" w:space="0" w:color="auto"/>
          </w:divBdr>
        </w:div>
        <w:div w:id="287201506">
          <w:marLeft w:val="0"/>
          <w:marRight w:val="0"/>
          <w:marTop w:val="0"/>
          <w:marBottom w:val="0"/>
          <w:divBdr>
            <w:top w:val="none" w:sz="0" w:space="0" w:color="auto"/>
            <w:left w:val="none" w:sz="0" w:space="0" w:color="auto"/>
            <w:bottom w:val="none" w:sz="0" w:space="0" w:color="auto"/>
            <w:right w:val="none" w:sz="0" w:space="0" w:color="auto"/>
          </w:divBdr>
        </w:div>
        <w:div w:id="1997682110">
          <w:marLeft w:val="0"/>
          <w:marRight w:val="0"/>
          <w:marTop w:val="0"/>
          <w:marBottom w:val="0"/>
          <w:divBdr>
            <w:top w:val="none" w:sz="0" w:space="0" w:color="auto"/>
            <w:left w:val="none" w:sz="0" w:space="0" w:color="auto"/>
            <w:bottom w:val="none" w:sz="0" w:space="0" w:color="auto"/>
            <w:right w:val="none" w:sz="0" w:space="0" w:color="auto"/>
          </w:divBdr>
        </w:div>
        <w:div w:id="1233273044">
          <w:marLeft w:val="0"/>
          <w:marRight w:val="0"/>
          <w:marTop w:val="0"/>
          <w:marBottom w:val="0"/>
          <w:divBdr>
            <w:top w:val="none" w:sz="0" w:space="0" w:color="auto"/>
            <w:left w:val="none" w:sz="0" w:space="0" w:color="auto"/>
            <w:bottom w:val="none" w:sz="0" w:space="0" w:color="auto"/>
            <w:right w:val="none" w:sz="0" w:space="0" w:color="auto"/>
          </w:divBdr>
        </w:div>
        <w:div w:id="599486012">
          <w:marLeft w:val="0"/>
          <w:marRight w:val="0"/>
          <w:marTop w:val="0"/>
          <w:marBottom w:val="0"/>
          <w:divBdr>
            <w:top w:val="none" w:sz="0" w:space="0" w:color="auto"/>
            <w:left w:val="none" w:sz="0" w:space="0" w:color="auto"/>
            <w:bottom w:val="none" w:sz="0" w:space="0" w:color="auto"/>
            <w:right w:val="none" w:sz="0" w:space="0" w:color="auto"/>
          </w:divBdr>
        </w:div>
      </w:divsChild>
    </w:div>
    <w:div w:id="182986507">
      <w:bodyDiv w:val="1"/>
      <w:marLeft w:val="0"/>
      <w:marRight w:val="0"/>
      <w:marTop w:val="0"/>
      <w:marBottom w:val="0"/>
      <w:divBdr>
        <w:top w:val="none" w:sz="0" w:space="0" w:color="auto"/>
        <w:left w:val="none" w:sz="0" w:space="0" w:color="auto"/>
        <w:bottom w:val="none" w:sz="0" w:space="0" w:color="auto"/>
        <w:right w:val="none" w:sz="0" w:space="0" w:color="auto"/>
      </w:divBdr>
      <w:divsChild>
        <w:div w:id="1275139752">
          <w:marLeft w:val="0"/>
          <w:marRight w:val="0"/>
          <w:marTop w:val="0"/>
          <w:marBottom w:val="0"/>
          <w:divBdr>
            <w:top w:val="none" w:sz="0" w:space="0" w:color="auto"/>
            <w:left w:val="none" w:sz="0" w:space="0" w:color="auto"/>
            <w:bottom w:val="none" w:sz="0" w:space="0" w:color="auto"/>
            <w:right w:val="none" w:sz="0" w:space="0" w:color="auto"/>
          </w:divBdr>
        </w:div>
        <w:div w:id="693727256">
          <w:marLeft w:val="0"/>
          <w:marRight w:val="0"/>
          <w:marTop w:val="0"/>
          <w:marBottom w:val="0"/>
          <w:divBdr>
            <w:top w:val="none" w:sz="0" w:space="0" w:color="auto"/>
            <w:left w:val="none" w:sz="0" w:space="0" w:color="auto"/>
            <w:bottom w:val="none" w:sz="0" w:space="0" w:color="auto"/>
            <w:right w:val="none" w:sz="0" w:space="0" w:color="auto"/>
          </w:divBdr>
        </w:div>
        <w:div w:id="1675496131">
          <w:marLeft w:val="0"/>
          <w:marRight w:val="0"/>
          <w:marTop w:val="0"/>
          <w:marBottom w:val="0"/>
          <w:divBdr>
            <w:top w:val="none" w:sz="0" w:space="0" w:color="auto"/>
            <w:left w:val="none" w:sz="0" w:space="0" w:color="auto"/>
            <w:bottom w:val="none" w:sz="0" w:space="0" w:color="auto"/>
            <w:right w:val="none" w:sz="0" w:space="0" w:color="auto"/>
          </w:divBdr>
        </w:div>
        <w:div w:id="1975020170">
          <w:marLeft w:val="0"/>
          <w:marRight w:val="0"/>
          <w:marTop w:val="0"/>
          <w:marBottom w:val="0"/>
          <w:divBdr>
            <w:top w:val="none" w:sz="0" w:space="0" w:color="auto"/>
            <w:left w:val="none" w:sz="0" w:space="0" w:color="auto"/>
            <w:bottom w:val="none" w:sz="0" w:space="0" w:color="auto"/>
            <w:right w:val="none" w:sz="0" w:space="0" w:color="auto"/>
          </w:divBdr>
        </w:div>
        <w:div w:id="1581910291">
          <w:marLeft w:val="0"/>
          <w:marRight w:val="0"/>
          <w:marTop w:val="0"/>
          <w:marBottom w:val="0"/>
          <w:divBdr>
            <w:top w:val="none" w:sz="0" w:space="0" w:color="auto"/>
            <w:left w:val="none" w:sz="0" w:space="0" w:color="auto"/>
            <w:bottom w:val="none" w:sz="0" w:space="0" w:color="auto"/>
            <w:right w:val="none" w:sz="0" w:space="0" w:color="auto"/>
          </w:divBdr>
        </w:div>
        <w:div w:id="832526943">
          <w:marLeft w:val="0"/>
          <w:marRight w:val="0"/>
          <w:marTop w:val="0"/>
          <w:marBottom w:val="0"/>
          <w:divBdr>
            <w:top w:val="none" w:sz="0" w:space="0" w:color="auto"/>
            <w:left w:val="none" w:sz="0" w:space="0" w:color="auto"/>
            <w:bottom w:val="none" w:sz="0" w:space="0" w:color="auto"/>
            <w:right w:val="none" w:sz="0" w:space="0" w:color="auto"/>
          </w:divBdr>
        </w:div>
        <w:div w:id="116148513">
          <w:marLeft w:val="0"/>
          <w:marRight w:val="0"/>
          <w:marTop w:val="0"/>
          <w:marBottom w:val="0"/>
          <w:divBdr>
            <w:top w:val="none" w:sz="0" w:space="0" w:color="auto"/>
            <w:left w:val="none" w:sz="0" w:space="0" w:color="auto"/>
            <w:bottom w:val="none" w:sz="0" w:space="0" w:color="auto"/>
            <w:right w:val="none" w:sz="0" w:space="0" w:color="auto"/>
          </w:divBdr>
        </w:div>
        <w:div w:id="39136885">
          <w:marLeft w:val="0"/>
          <w:marRight w:val="0"/>
          <w:marTop w:val="0"/>
          <w:marBottom w:val="0"/>
          <w:divBdr>
            <w:top w:val="none" w:sz="0" w:space="0" w:color="auto"/>
            <w:left w:val="none" w:sz="0" w:space="0" w:color="auto"/>
            <w:bottom w:val="none" w:sz="0" w:space="0" w:color="auto"/>
            <w:right w:val="none" w:sz="0" w:space="0" w:color="auto"/>
          </w:divBdr>
        </w:div>
        <w:div w:id="1538817529">
          <w:marLeft w:val="0"/>
          <w:marRight w:val="0"/>
          <w:marTop w:val="0"/>
          <w:marBottom w:val="0"/>
          <w:divBdr>
            <w:top w:val="none" w:sz="0" w:space="0" w:color="auto"/>
            <w:left w:val="none" w:sz="0" w:space="0" w:color="auto"/>
            <w:bottom w:val="none" w:sz="0" w:space="0" w:color="auto"/>
            <w:right w:val="none" w:sz="0" w:space="0" w:color="auto"/>
          </w:divBdr>
        </w:div>
        <w:div w:id="1947617486">
          <w:marLeft w:val="0"/>
          <w:marRight w:val="0"/>
          <w:marTop w:val="0"/>
          <w:marBottom w:val="0"/>
          <w:divBdr>
            <w:top w:val="none" w:sz="0" w:space="0" w:color="auto"/>
            <w:left w:val="none" w:sz="0" w:space="0" w:color="auto"/>
            <w:bottom w:val="none" w:sz="0" w:space="0" w:color="auto"/>
            <w:right w:val="none" w:sz="0" w:space="0" w:color="auto"/>
          </w:divBdr>
        </w:div>
        <w:div w:id="577252481">
          <w:marLeft w:val="0"/>
          <w:marRight w:val="0"/>
          <w:marTop w:val="0"/>
          <w:marBottom w:val="0"/>
          <w:divBdr>
            <w:top w:val="none" w:sz="0" w:space="0" w:color="auto"/>
            <w:left w:val="none" w:sz="0" w:space="0" w:color="auto"/>
            <w:bottom w:val="none" w:sz="0" w:space="0" w:color="auto"/>
            <w:right w:val="none" w:sz="0" w:space="0" w:color="auto"/>
          </w:divBdr>
        </w:div>
        <w:div w:id="1836533302">
          <w:marLeft w:val="0"/>
          <w:marRight w:val="0"/>
          <w:marTop w:val="0"/>
          <w:marBottom w:val="0"/>
          <w:divBdr>
            <w:top w:val="none" w:sz="0" w:space="0" w:color="auto"/>
            <w:left w:val="none" w:sz="0" w:space="0" w:color="auto"/>
            <w:bottom w:val="none" w:sz="0" w:space="0" w:color="auto"/>
            <w:right w:val="none" w:sz="0" w:space="0" w:color="auto"/>
          </w:divBdr>
        </w:div>
        <w:div w:id="484663777">
          <w:marLeft w:val="0"/>
          <w:marRight w:val="0"/>
          <w:marTop w:val="0"/>
          <w:marBottom w:val="0"/>
          <w:divBdr>
            <w:top w:val="none" w:sz="0" w:space="0" w:color="auto"/>
            <w:left w:val="none" w:sz="0" w:space="0" w:color="auto"/>
            <w:bottom w:val="none" w:sz="0" w:space="0" w:color="auto"/>
            <w:right w:val="none" w:sz="0" w:space="0" w:color="auto"/>
          </w:divBdr>
        </w:div>
        <w:div w:id="503126155">
          <w:marLeft w:val="0"/>
          <w:marRight w:val="0"/>
          <w:marTop w:val="0"/>
          <w:marBottom w:val="0"/>
          <w:divBdr>
            <w:top w:val="none" w:sz="0" w:space="0" w:color="auto"/>
            <w:left w:val="none" w:sz="0" w:space="0" w:color="auto"/>
            <w:bottom w:val="none" w:sz="0" w:space="0" w:color="auto"/>
            <w:right w:val="none" w:sz="0" w:space="0" w:color="auto"/>
          </w:divBdr>
        </w:div>
        <w:div w:id="595133764">
          <w:marLeft w:val="0"/>
          <w:marRight w:val="0"/>
          <w:marTop w:val="0"/>
          <w:marBottom w:val="0"/>
          <w:divBdr>
            <w:top w:val="none" w:sz="0" w:space="0" w:color="auto"/>
            <w:left w:val="none" w:sz="0" w:space="0" w:color="auto"/>
            <w:bottom w:val="none" w:sz="0" w:space="0" w:color="auto"/>
            <w:right w:val="none" w:sz="0" w:space="0" w:color="auto"/>
          </w:divBdr>
        </w:div>
        <w:div w:id="192505082">
          <w:marLeft w:val="0"/>
          <w:marRight w:val="0"/>
          <w:marTop w:val="0"/>
          <w:marBottom w:val="0"/>
          <w:divBdr>
            <w:top w:val="none" w:sz="0" w:space="0" w:color="auto"/>
            <w:left w:val="none" w:sz="0" w:space="0" w:color="auto"/>
            <w:bottom w:val="none" w:sz="0" w:space="0" w:color="auto"/>
            <w:right w:val="none" w:sz="0" w:space="0" w:color="auto"/>
          </w:divBdr>
        </w:div>
        <w:div w:id="1595093655">
          <w:marLeft w:val="0"/>
          <w:marRight w:val="0"/>
          <w:marTop w:val="0"/>
          <w:marBottom w:val="0"/>
          <w:divBdr>
            <w:top w:val="none" w:sz="0" w:space="0" w:color="auto"/>
            <w:left w:val="none" w:sz="0" w:space="0" w:color="auto"/>
            <w:bottom w:val="none" w:sz="0" w:space="0" w:color="auto"/>
            <w:right w:val="none" w:sz="0" w:space="0" w:color="auto"/>
          </w:divBdr>
        </w:div>
        <w:div w:id="1813670423">
          <w:marLeft w:val="0"/>
          <w:marRight w:val="0"/>
          <w:marTop w:val="0"/>
          <w:marBottom w:val="0"/>
          <w:divBdr>
            <w:top w:val="none" w:sz="0" w:space="0" w:color="auto"/>
            <w:left w:val="none" w:sz="0" w:space="0" w:color="auto"/>
            <w:bottom w:val="none" w:sz="0" w:space="0" w:color="auto"/>
            <w:right w:val="none" w:sz="0" w:space="0" w:color="auto"/>
          </w:divBdr>
        </w:div>
        <w:div w:id="183173814">
          <w:marLeft w:val="0"/>
          <w:marRight w:val="0"/>
          <w:marTop w:val="0"/>
          <w:marBottom w:val="0"/>
          <w:divBdr>
            <w:top w:val="none" w:sz="0" w:space="0" w:color="auto"/>
            <w:left w:val="none" w:sz="0" w:space="0" w:color="auto"/>
            <w:bottom w:val="none" w:sz="0" w:space="0" w:color="auto"/>
            <w:right w:val="none" w:sz="0" w:space="0" w:color="auto"/>
          </w:divBdr>
        </w:div>
        <w:div w:id="223223326">
          <w:marLeft w:val="0"/>
          <w:marRight w:val="0"/>
          <w:marTop w:val="0"/>
          <w:marBottom w:val="0"/>
          <w:divBdr>
            <w:top w:val="none" w:sz="0" w:space="0" w:color="auto"/>
            <w:left w:val="none" w:sz="0" w:space="0" w:color="auto"/>
            <w:bottom w:val="none" w:sz="0" w:space="0" w:color="auto"/>
            <w:right w:val="none" w:sz="0" w:space="0" w:color="auto"/>
          </w:divBdr>
        </w:div>
        <w:div w:id="1672030053">
          <w:marLeft w:val="0"/>
          <w:marRight w:val="0"/>
          <w:marTop w:val="0"/>
          <w:marBottom w:val="0"/>
          <w:divBdr>
            <w:top w:val="none" w:sz="0" w:space="0" w:color="auto"/>
            <w:left w:val="none" w:sz="0" w:space="0" w:color="auto"/>
            <w:bottom w:val="none" w:sz="0" w:space="0" w:color="auto"/>
            <w:right w:val="none" w:sz="0" w:space="0" w:color="auto"/>
          </w:divBdr>
        </w:div>
        <w:div w:id="1480223986">
          <w:marLeft w:val="0"/>
          <w:marRight w:val="0"/>
          <w:marTop w:val="0"/>
          <w:marBottom w:val="0"/>
          <w:divBdr>
            <w:top w:val="none" w:sz="0" w:space="0" w:color="auto"/>
            <w:left w:val="none" w:sz="0" w:space="0" w:color="auto"/>
            <w:bottom w:val="none" w:sz="0" w:space="0" w:color="auto"/>
            <w:right w:val="none" w:sz="0" w:space="0" w:color="auto"/>
          </w:divBdr>
        </w:div>
        <w:div w:id="715814069">
          <w:marLeft w:val="0"/>
          <w:marRight w:val="0"/>
          <w:marTop w:val="0"/>
          <w:marBottom w:val="0"/>
          <w:divBdr>
            <w:top w:val="none" w:sz="0" w:space="0" w:color="auto"/>
            <w:left w:val="none" w:sz="0" w:space="0" w:color="auto"/>
            <w:bottom w:val="none" w:sz="0" w:space="0" w:color="auto"/>
            <w:right w:val="none" w:sz="0" w:space="0" w:color="auto"/>
          </w:divBdr>
        </w:div>
        <w:div w:id="1827044618">
          <w:marLeft w:val="0"/>
          <w:marRight w:val="0"/>
          <w:marTop w:val="0"/>
          <w:marBottom w:val="0"/>
          <w:divBdr>
            <w:top w:val="none" w:sz="0" w:space="0" w:color="auto"/>
            <w:left w:val="none" w:sz="0" w:space="0" w:color="auto"/>
            <w:bottom w:val="none" w:sz="0" w:space="0" w:color="auto"/>
            <w:right w:val="none" w:sz="0" w:space="0" w:color="auto"/>
          </w:divBdr>
        </w:div>
        <w:div w:id="549731511">
          <w:marLeft w:val="0"/>
          <w:marRight w:val="0"/>
          <w:marTop w:val="0"/>
          <w:marBottom w:val="0"/>
          <w:divBdr>
            <w:top w:val="none" w:sz="0" w:space="0" w:color="auto"/>
            <w:left w:val="none" w:sz="0" w:space="0" w:color="auto"/>
            <w:bottom w:val="none" w:sz="0" w:space="0" w:color="auto"/>
            <w:right w:val="none" w:sz="0" w:space="0" w:color="auto"/>
          </w:divBdr>
        </w:div>
        <w:div w:id="1419136189">
          <w:marLeft w:val="0"/>
          <w:marRight w:val="0"/>
          <w:marTop w:val="0"/>
          <w:marBottom w:val="0"/>
          <w:divBdr>
            <w:top w:val="none" w:sz="0" w:space="0" w:color="auto"/>
            <w:left w:val="none" w:sz="0" w:space="0" w:color="auto"/>
            <w:bottom w:val="none" w:sz="0" w:space="0" w:color="auto"/>
            <w:right w:val="none" w:sz="0" w:space="0" w:color="auto"/>
          </w:divBdr>
        </w:div>
        <w:div w:id="430509328">
          <w:marLeft w:val="0"/>
          <w:marRight w:val="0"/>
          <w:marTop w:val="0"/>
          <w:marBottom w:val="0"/>
          <w:divBdr>
            <w:top w:val="none" w:sz="0" w:space="0" w:color="auto"/>
            <w:left w:val="none" w:sz="0" w:space="0" w:color="auto"/>
            <w:bottom w:val="none" w:sz="0" w:space="0" w:color="auto"/>
            <w:right w:val="none" w:sz="0" w:space="0" w:color="auto"/>
          </w:divBdr>
        </w:div>
        <w:div w:id="852568905">
          <w:marLeft w:val="0"/>
          <w:marRight w:val="0"/>
          <w:marTop w:val="0"/>
          <w:marBottom w:val="0"/>
          <w:divBdr>
            <w:top w:val="none" w:sz="0" w:space="0" w:color="auto"/>
            <w:left w:val="none" w:sz="0" w:space="0" w:color="auto"/>
            <w:bottom w:val="none" w:sz="0" w:space="0" w:color="auto"/>
            <w:right w:val="none" w:sz="0" w:space="0" w:color="auto"/>
          </w:divBdr>
        </w:div>
        <w:div w:id="726879214">
          <w:marLeft w:val="0"/>
          <w:marRight w:val="0"/>
          <w:marTop w:val="0"/>
          <w:marBottom w:val="0"/>
          <w:divBdr>
            <w:top w:val="none" w:sz="0" w:space="0" w:color="auto"/>
            <w:left w:val="none" w:sz="0" w:space="0" w:color="auto"/>
            <w:bottom w:val="none" w:sz="0" w:space="0" w:color="auto"/>
            <w:right w:val="none" w:sz="0" w:space="0" w:color="auto"/>
          </w:divBdr>
        </w:div>
        <w:div w:id="303119150">
          <w:marLeft w:val="0"/>
          <w:marRight w:val="0"/>
          <w:marTop w:val="0"/>
          <w:marBottom w:val="0"/>
          <w:divBdr>
            <w:top w:val="none" w:sz="0" w:space="0" w:color="auto"/>
            <w:left w:val="none" w:sz="0" w:space="0" w:color="auto"/>
            <w:bottom w:val="none" w:sz="0" w:space="0" w:color="auto"/>
            <w:right w:val="none" w:sz="0" w:space="0" w:color="auto"/>
          </w:divBdr>
        </w:div>
        <w:div w:id="1913739588">
          <w:marLeft w:val="0"/>
          <w:marRight w:val="0"/>
          <w:marTop w:val="0"/>
          <w:marBottom w:val="0"/>
          <w:divBdr>
            <w:top w:val="none" w:sz="0" w:space="0" w:color="auto"/>
            <w:left w:val="none" w:sz="0" w:space="0" w:color="auto"/>
            <w:bottom w:val="none" w:sz="0" w:space="0" w:color="auto"/>
            <w:right w:val="none" w:sz="0" w:space="0" w:color="auto"/>
          </w:divBdr>
        </w:div>
        <w:div w:id="584727450">
          <w:marLeft w:val="0"/>
          <w:marRight w:val="0"/>
          <w:marTop w:val="0"/>
          <w:marBottom w:val="0"/>
          <w:divBdr>
            <w:top w:val="none" w:sz="0" w:space="0" w:color="auto"/>
            <w:left w:val="none" w:sz="0" w:space="0" w:color="auto"/>
            <w:bottom w:val="none" w:sz="0" w:space="0" w:color="auto"/>
            <w:right w:val="none" w:sz="0" w:space="0" w:color="auto"/>
          </w:divBdr>
        </w:div>
        <w:div w:id="517813395">
          <w:marLeft w:val="0"/>
          <w:marRight w:val="0"/>
          <w:marTop w:val="0"/>
          <w:marBottom w:val="0"/>
          <w:divBdr>
            <w:top w:val="none" w:sz="0" w:space="0" w:color="auto"/>
            <w:left w:val="none" w:sz="0" w:space="0" w:color="auto"/>
            <w:bottom w:val="none" w:sz="0" w:space="0" w:color="auto"/>
            <w:right w:val="none" w:sz="0" w:space="0" w:color="auto"/>
          </w:divBdr>
        </w:div>
        <w:div w:id="2086030272">
          <w:marLeft w:val="0"/>
          <w:marRight w:val="0"/>
          <w:marTop w:val="0"/>
          <w:marBottom w:val="0"/>
          <w:divBdr>
            <w:top w:val="none" w:sz="0" w:space="0" w:color="auto"/>
            <w:left w:val="none" w:sz="0" w:space="0" w:color="auto"/>
            <w:bottom w:val="none" w:sz="0" w:space="0" w:color="auto"/>
            <w:right w:val="none" w:sz="0" w:space="0" w:color="auto"/>
          </w:divBdr>
        </w:div>
        <w:div w:id="530802621">
          <w:marLeft w:val="0"/>
          <w:marRight w:val="0"/>
          <w:marTop w:val="0"/>
          <w:marBottom w:val="0"/>
          <w:divBdr>
            <w:top w:val="none" w:sz="0" w:space="0" w:color="auto"/>
            <w:left w:val="none" w:sz="0" w:space="0" w:color="auto"/>
            <w:bottom w:val="none" w:sz="0" w:space="0" w:color="auto"/>
            <w:right w:val="none" w:sz="0" w:space="0" w:color="auto"/>
          </w:divBdr>
        </w:div>
        <w:div w:id="1696540416">
          <w:marLeft w:val="0"/>
          <w:marRight w:val="0"/>
          <w:marTop w:val="0"/>
          <w:marBottom w:val="0"/>
          <w:divBdr>
            <w:top w:val="none" w:sz="0" w:space="0" w:color="auto"/>
            <w:left w:val="none" w:sz="0" w:space="0" w:color="auto"/>
            <w:bottom w:val="none" w:sz="0" w:space="0" w:color="auto"/>
            <w:right w:val="none" w:sz="0" w:space="0" w:color="auto"/>
          </w:divBdr>
        </w:div>
        <w:div w:id="1149639778">
          <w:marLeft w:val="0"/>
          <w:marRight w:val="0"/>
          <w:marTop w:val="0"/>
          <w:marBottom w:val="0"/>
          <w:divBdr>
            <w:top w:val="none" w:sz="0" w:space="0" w:color="auto"/>
            <w:left w:val="none" w:sz="0" w:space="0" w:color="auto"/>
            <w:bottom w:val="none" w:sz="0" w:space="0" w:color="auto"/>
            <w:right w:val="none" w:sz="0" w:space="0" w:color="auto"/>
          </w:divBdr>
        </w:div>
        <w:div w:id="1944412994">
          <w:marLeft w:val="0"/>
          <w:marRight w:val="0"/>
          <w:marTop w:val="0"/>
          <w:marBottom w:val="0"/>
          <w:divBdr>
            <w:top w:val="none" w:sz="0" w:space="0" w:color="auto"/>
            <w:left w:val="none" w:sz="0" w:space="0" w:color="auto"/>
            <w:bottom w:val="none" w:sz="0" w:space="0" w:color="auto"/>
            <w:right w:val="none" w:sz="0" w:space="0" w:color="auto"/>
          </w:divBdr>
        </w:div>
        <w:div w:id="318732405">
          <w:marLeft w:val="0"/>
          <w:marRight w:val="0"/>
          <w:marTop w:val="0"/>
          <w:marBottom w:val="0"/>
          <w:divBdr>
            <w:top w:val="none" w:sz="0" w:space="0" w:color="auto"/>
            <w:left w:val="none" w:sz="0" w:space="0" w:color="auto"/>
            <w:bottom w:val="none" w:sz="0" w:space="0" w:color="auto"/>
            <w:right w:val="none" w:sz="0" w:space="0" w:color="auto"/>
          </w:divBdr>
        </w:div>
        <w:div w:id="1537890079">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 w:id="603996683">
          <w:marLeft w:val="0"/>
          <w:marRight w:val="0"/>
          <w:marTop w:val="0"/>
          <w:marBottom w:val="0"/>
          <w:divBdr>
            <w:top w:val="none" w:sz="0" w:space="0" w:color="auto"/>
            <w:left w:val="none" w:sz="0" w:space="0" w:color="auto"/>
            <w:bottom w:val="none" w:sz="0" w:space="0" w:color="auto"/>
            <w:right w:val="none" w:sz="0" w:space="0" w:color="auto"/>
          </w:divBdr>
        </w:div>
        <w:div w:id="1197740807">
          <w:marLeft w:val="0"/>
          <w:marRight w:val="0"/>
          <w:marTop w:val="0"/>
          <w:marBottom w:val="0"/>
          <w:divBdr>
            <w:top w:val="none" w:sz="0" w:space="0" w:color="auto"/>
            <w:left w:val="none" w:sz="0" w:space="0" w:color="auto"/>
            <w:bottom w:val="none" w:sz="0" w:space="0" w:color="auto"/>
            <w:right w:val="none" w:sz="0" w:space="0" w:color="auto"/>
          </w:divBdr>
        </w:div>
      </w:divsChild>
    </w:div>
    <w:div w:id="208420178">
      <w:bodyDiv w:val="1"/>
      <w:marLeft w:val="0"/>
      <w:marRight w:val="0"/>
      <w:marTop w:val="0"/>
      <w:marBottom w:val="0"/>
      <w:divBdr>
        <w:top w:val="none" w:sz="0" w:space="0" w:color="auto"/>
        <w:left w:val="none" w:sz="0" w:space="0" w:color="auto"/>
        <w:bottom w:val="none" w:sz="0" w:space="0" w:color="auto"/>
        <w:right w:val="none" w:sz="0" w:space="0" w:color="auto"/>
      </w:divBdr>
      <w:divsChild>
        <w:div w:id="1031955792">
          <w:marLeft w:val="0"/>
          <w:marRight w:val="0"/>
          <w:marTop w:val="0"/>
          <w:marBottom w:val="0"/>
          <w:divBdr>
            <w:top w:val="none" w:sz="0" w:space="0" w:color="auto"/>
            <w:left w:val="none" w:sz="0" w:space="0" w:color="auto"/>
            <w:bottom w:val="none" w:sz="0" w:space="0" w:color="auto"/>
            <w:right w:val="none" w:sz="0" w:space="0" w:color="auto"/>
          </w:divBdr>
        </w:div>
        <w:div w:id="1437946289">
          <w:marLeft w:val="0"/>
          <w:marRight w:val="0"/>
          <w:marTop w:val="0"/>
          <w:marBottom w:val="0"/>
          <w:divBdr>
            <w:top w:val="none" w:sz="0" w:space="0" w:color="auto"/>
            <w:left w:val="none" w:sz="0" w:space="0" w:color="auto"/>
            <w:bottom w:val="none" w:sz="0" w:space="0" w:color="auto"/>
            <w:right w:val="none" w:sz="0" w:space="0" w:color="auto"/>
          </w:divBdr>
        </w:div>
        <w:div w:id="291981943">
          <w:marLeft w:val="0"/>
          <w:marRight w:val="0"/>
          <w:marTop w:val="0"/>
          <w:marBottom w:val="0"/>
          <w:divBdr>
            <w:top w:val="none" w:sz="0" w:space="0" w:color="auto"/>
            <w:left w:val="none" w:sz="0" w:space="0" w:color="auto"/>
            <w:bottom w:val="none" w:sz="0" w:space="0" w:color="auto"/>
            <w:right w:val="none" w:sz="0" w:space="0" w:color="auto"/>
          </w:divBdr>
        </w:div>
        <w:div w:id="1384210134">
          <w:marLeft w:val="0"/>
          <w:marRight w:val="0"/>
          <w:marTop w:val="0"/>
          <w:marBottom w:val="0"/>
          <w:divBdr>
            <w:top w:val="none" w:sz="0" w:space="0" w:color="auto"/>
            <w:left w:val="none" w:sz="0" w:space="0" w:color="auto"/>
            <w:bottom w:val="none" w:sz="0" w:space="0" w:color="auto"/>
            <w:right w:val="none" w:sz="0" w:space="0" w:color="auto"/>
          </w:divBdr>
        </w:div>
        <w:div w:id="1755780532">
          <w:marLeft w:val="0"/>
          <w:marRight w:val="0"/>
          <w:marTop w:val="0"/>
          <w:marBottom w:val="0"/>
          <w:divBdr>
            <w:top w:val="none" w:sz="0" w:space="0" w:color="auto"/>
            <w:left w:val="none" w:sz="0" w:space="0" w:color="auto"/>
            <w:bottom w:val="none" w:sz="0" w:space="0" w:color="auto"/>
            <w:right w:val="none" w:sz="0" w:space="0" w:color="auto"/>
          </w:divBdr>
        </w:div>
        <w:div w:id="712655631">
          <w:marLeft w:val="0"/>
          <w:marRight w:val="0"/>
          <w:marTop w:val="0"/>
          <w:marBottom w:val="0"/>
          <w:divBdr>
            <w:top w:val="none" w:sz="0" w:space="0" w:color="auto"/>
            <w:left w:val="none" w:sz="0" w:space="0" w:color="auto"/>
            <w:bottom w:val="none" w:sz="0" w:space="0" w:color="auto"/>
            <w:right w:val="none" w:sz="0" w:space="0" w:color="auto"/>
          </w:divBdr>
        </w:div>
        <w:div w:id="602688991">
          <w:marLeft w:val="0"/>
          <w:marRight w:val="0"/>
          <w:marTop w:val="0"/>
          <w:marBottom w:val="0"/>
          <w:divBdr>
            <w:top w:val="none" w:sz="0" w:space="0" w:color="auto"/>
            <w:left w:val="none" w:sz="0" w:space="0" w:color="auto"/>
            <w:bottom w:val="none" w:sz="0" w:space="0" w:color="auto"/>
            <w:right w:val="none" w:sz="0" w:space="0" w:color="auto"/>
          </w:divBdr>
        </w:div>
        <w:div w:id="28652720">
          <w:marLeft w:val="0"/>
          <w:marRight w:val="0"/>
          <w:marTop w:val="0"/>
          <w:marBottom w:val="0"/>
          <w:divBdr>
            <w:top w:val="none" w:sz="0" w:space="0" w:color="auto"/>
            <w:left w:val="none" w:sz="0" w:space="0" w:color="auto"/>
            <w:bottom w:val="none" w:sz="0" w:space="0" w:color="auto"/>
            <w:right w:val="none" w:sz="0" w:space="0" w:color="auto"/>
          </w:divBdr>
        </w:div>
        <w:div w:id="1474255991">
          <w:marLeft w:val="0"/>
          <w:marRight w:val="0"/>
          <w:marTop w:val="0"/>
          <w:marBottom w:val="0"/>
          <w:divBdr>
            <w:top w:val="none" w:sz="0" w:space="0" w:color="auto"/>
            <w:left w:val="none" w:sz="0" w:space="0" w:color="auto"/>
            <w:bottom w:val="none" w:sz="0" w:space="0" w:color="auto"/>
            <w:right w:val="none" w:sz="0" w:space="0" w:color="auto"/>
          </w:divBdr>
        </w:div>
        <w:div w:id="1898009139">
          <w:marLeft w:val="0"/>
          <w:marRight w:val="0"/>
          <w:marTop w:val="0"/>
          <w:marBottom w:val="0"/>
          <w:divBdr>
            <w:top w:val="none" w:sz="0" w:space="0" w:color="auto"/>
            <w:left w:val="none" w:sz="0" w:space="0" w:color="auto"/>
            <w:bottom w:val="none" w:sz="0" w:space="0" w:color="auto"/>
            <w:right w:val="none" w:sz="0" w:space="0" w:color="auto"/>
          </w:divBdr>
        </w:div>
      </w:divsChild>
    </w:div>
    <w:div w:id="214051611">
      <w:bodyDiv w:val="1"/>
      <w:marLeft w:val="0"/>
      <w:marRight w:val="0"/>
      <w:marTop w:val="0"/>
      <w:marBottom w:val="0"/>
      <w:divBdr>
        <w:top w:val="none" w:sz="0" w:space="0" w:color="auto"/>
        <w:left w:val="none" w:sz="0" w:space="0" w:color="auto"/>
        <w:bottom w:val="none" w:sz="0" w:space="0" w:color="auto"/>
        <w:right w:val="none" w:sz="0" w:space="0" w:color="auto"/>
      </w:divBdr>
      <w:divsChild>
        <w:div w:id="979724542">
          <w:marLeft w:val="0"/>
          <w:marRight w:val="0"/>
          <w:marTop w:val="0"/>
          <w:marBottom w:val="0"/>
          <w:divBdr>
            <w:top w:val="none" w:sz="0" w:space="0" w:color="auto"/>
            <w:left w:val="none" w:sz="0" w:space="0" w:color="auto"/>
            <w:bottom w:val="none" w:sz="0" w:space="0" w:color="auto"/>
            <w:right w:val="none" w:sz="0" w:space="0" w:color="auto"/>
          </w:divBdr>
        </w:div>
        <w:div w:id="1941141676">
          <w:marLeft w:val="0"/>
          <w:marRight w:val="0"/>
          <w:marTop w:val="0"/>
          <w:marBottom w:val="0"/>
          <w:divBdr>
            <w:top w:val="none" w:sz="0" w:space="0" w:color="auto"/>
            <w:left w:val="none" w:sz="0" w:space="0" w:color="auto"/>
            <w:bottom w:val="none" w:sz="0" w:space="0" w:color="auto"/>
            <w:right w:val="none" w:sz="0" w:space="0" w:color="auto"/>
          </w:divBdr>
        </w:div>
      </w:divsChild>
    </w:div>
    <w:div w:id="216817526">
      <w:bodyDiv w:val="1"/>
      <w:marLeft w:val="0"/>
      <w:marRight w:val="0"/>
      <w:marTop w:val="0"/>
      <w:marBottom w:val="0"/>
      <w:divBdr>
        <w:top w:val="none" w:sz="0" w:space="0" w:color="auto"/>
        <w:left w:val="none" w:sz="0" w:space="0" w:color="auto"/>
        <w:bottom w:val="none" w:sz="0" w:space="0" w:color="auto"/>
        <w:right w:val="none" w:sz="0" w:space="0" w:color="auto"/>
      </w:divBdr>
      <w:divsChild>
        <w:div w:id="297106562">
          <w:marLeft w:val="0"/>
          <w:marRight w:val="0"/>
          <w:marTop w:val="0"/>
          <w:marBottom w:val="0"/>
          <w:divBdr>
            <w:top w:val="none" w:sz="0" w:space="0" w:color="auto"/>
            <w:left w:val="none" w:sz="0" w:space="0" w:color="auto"/>
            <w:bottom w:val="none" w:sz="0" w:space="0" w:color="auto"/>
            <w:right w:val="none" w:sz="0" w:space="0" w:color="auto"/>
          </w:divBdr>
        </w:div>
        <w:div w:id="904072897">
          <w:marLeft w:val="0"/>
          <w:marRight w:val="0"/>
          <w:marTop w:val="0"/>
          <w:marBottom w:val="0"/>
          <w:divBdr>
            <w:top w:val="none" w:sz="0" w:space="0" w:color="auto"/>
            <w:left w:val="none" w:sz="0" w:space="0" w:color="auto"/>
            <w:bottom w:val="none" w:sz="0" w:space="0" w:color="auto"/>
            <w:right w:val="none" w:sz="0" w:space="0" w:color="auto"/>
          </w:divBdr>
        </w:div>
        <w:div w:id="432022091">
          <w:marLeft w:val="0"/>
          <w:marRight w:val="0"/>
          <w:marTop w:val="0"/>
          <w:marBottom w:val="0"/>
          <w:divBdr>
            <w:top w:val="none" w:sz="0" w:space="0" w:color="auto"/>
            <w:left w:val="none" w:sz="0" w:space="0" w:color="auto"/>
            <w:bottom w:val="none" w:sz="0" w:space="0" w:color="auto"/>
            <w:right w:val="none" w:sz="0" w:space="0" w:color="auto"/>
          </w:divBdr>
        </w:div>
        <w:div w:id="686830844">
          <w:marLeft w:val="0"/>
          <w:marRight w:val="0"/>
          <w:marTop w:val="0"/>
          <w:marBottom w:val="0"/>
          <w:divBdr>
            <w:top w:val="none" w:sz="0" w:space="0" w:color="auto"/>
            <w:left w:val="none" w:sz="0" w:space="0" w:color="auto"/>
            <w:bottom w:val="none" w:sz="0" w:space="0" w:color="auto"/>
            <w:right w:val="none" w:sz="0" w:space="0" w:color="auto"/>
          </w:divBdr>
        </w:div>
        <w:div w:id="1290623036">
          <w:marLeft w:val="0"/>
          <w:marRight w:val="0"/>
          <w:marTop w:val="0"/>
          <w:marBottom w:val="0"/>
          <w:divBdr>
            <w:top w:val="none" w:sz="0" w:space="0" w:color="auto"/>
            <w:left w:val="none" w:sz="0" w:space="0" w:color="auto"/>
            <w:bottom w:val="none" w:sz="0" w:space="0" w:color="auto"/>
            <w:right w:val="none" w:sz="0" w:space="0" w:color="auto"/>
          </w:divBdr>
        </w:div>
      </w:divsChild>
    </w:div>
    <w:div w:id="241650086">
      <w:bodyDiv w:val="1"/>
      <w:marLeft w:val="0"/>
      <w:marRight w:val="0"/>
      <w:marTop w:val="0"/>
      <w:marBottom w:val="0"/>
      <w:divBdr>
        <w:top w:val="none" w:sz="0" w:space="0" w:color="auto"/>
        <w:left w:val="none" w:sz="0" w:space="0" w:color="auto"/>
        <w:bottom w:val="none" w:sz="0" w:space="0" w:color="auto"/>
        <w:right w:val="none" w:sz="0" w:space="0" w:color="auto"/>
      </w:divBdr>
      <w:divsChild>
        <w:div w:id="306208762">
          <w:marLeft w:val="0"/>
          <w:marRight w:val="0"/>
          <w:marTop w:val="0"/>
          <w:marBottom w:val="0"/>
          <w:divBdr>
            <w:top w:val="none" w:sz="0" w:space="0" w:color="auto"/>
            <w:left w:val="none" w:sz="0" w:space="0" w:color="auto"/>
            <w:bottom w:val="none" w:sz="0" w:space="0" w:color="auto"/>
            <w:right w:val="none" w:sz="0" w:space="0" w:color="auto"/>
          </w:divBdr>
        </w:div>
        <w:div w:id="633022613">
          <w:marLeft w:val="0"/>
          <w:marRight w:val="0"/>
          <w:marTop w:val="0"/>
          <w:marBottom w:val="0"/>
          <w:divBdr>
            <w:top w:val="none" w:sz="0" w:space="0" w:color="auto"/>
            <w:left w:val="none" w:sz="0" w:space="0" w:color="auto"/>
            <w:bottom w:val="none" w:sz="0" w:space="0" w:color="auto"/>
            <w:right w:val="none" w:sz="0" w:space="0" w:color="auto"/>
          </w:divBdr>
        </w:div>
        <w:div w:id="2047948442">
          <w:marLeft w:val="0"/>
          <w:marRight w:val="0"/>
          <w:marTop w:val="0"/>
          <w:marBottom w:val="0"/>
          <w:divBdr>
            <w:top w:val="none" w:sz="0" w:space="0" w:color="auto"/>
            <w:left w:val="none" w:sz="0" w:space="0" w:color="auto"/>
            <w:bottom w:val="none" w:sz="0" w:space="0" w:color="auto"/>
            <w:right w:val="none" w:sz="0" w:space="0" w:color="auto"/>
          </w:divBdr>
        </w:div>
        <w:div w:id="1269855931">
          <w:marLeft w:val="0"/>
          <w:marRight w:val="0"/>
          <w:marTop w:val="0"/>
          <w:marBottom w:val="0"/>
          <w:divBdr>
            <w:top w:val="none" w:sz="0" w:space="0" w:color="auto"/>
            <w:left w:val="none" w:sz="0" w:space="0" w:color="auto"/>
            <w:bottom w:val="none" w:sz="0" w:space="0" w:color="auto"/>
            <w:right w:val="none" w:sz="0" w:space="0" w:color="auto"/>
          </w:divBdr>
        </w:div>
        <w:div w:id="200751037">
          <w:marLeft w:val="0"/>
          <w:marRight w:val="0"/>
          <w:marTop w:val="0"/>
          <w:marBottom w:val="0"/>
          <w:divBdr>
            <w:top w:val="none" w:sz="0" w:space="0" w:color="auto"/>
            <w:left w:val="none" w:sz="0" w:space="0" w:color="auto"/>
            <w:bottom w:val="none" w:sz="0" w:space="0" w:color="auto"/>
            <w:right w:val="none" w:sz="0" w:space="0" w:color="auto"/>
          </w:divBdr>
        </w:div>
        <w:div w:id="1732844174">
          <w:marLeft w:val="0"/>
          <w:marRight w:val="0"/>
          <w:marTop w:val="0"/>
          <w:marBottom w:val="0"/>
          <w:divBdr>
            <w:top w:val="none" w:sz="0" w:space="0" w:color="auto"/>
            <w:left w:val="none" w:sz="0" w:space="0" w:color="auto"/>
            <w:bottom w:val="none" w:sz="0" w:space="0" w:color="auto"/>
            <w:right w:val="none" w:sz="0" w:space="0" w:color="auto"/>
          </w:divBdr>
        </w:div>
        <w:div w:id="1488933241">
          <w:marLeft w:val="0"/>
          <w:marRight w:val="0"/>
          <w:marTop w:val="0"/>
          <w:marBottom w:val="0"/>
          <w:divBdr>
            <w:top w:val="none" w:sz="0" w:space="0" w:color="auto"/>
            <w:left w:val="none" w:sz="0" w:space="0" w:color="auto"/>
            <w:bottom w:val="none" w:sz="0" w:space="0" w:color="auto"/>
            <w:right w:val="none" w:sz="0" w:space="0" w:color="auto"/>
          </w:divBdr>
        </w:div>
        <w:div w:id="926425140">
          <w:marLeft w:val="0"/>
          <w:marRight w:val="0"/>
          <w:marTop w:val="0"/>
          <w:marBottom w:val="0"/>
          <w:divBdr>
            <w:top w:val="none" w:sz="0" w:space="0" w:color="auto"/>
            <w:left w:val="none" w:sz="0" w:space="0" w:color="auto"/>
            <w:bottom w:val="none" w:sz="0" w:space="0" w:color="auto"/>
            <w:right w:val="none" w:sz="0" w:space="0" w:color="auto"/>
          </w:divBdr>
        </w:div>
      </w:divsChild>
    </w:div>
    <w:div w:id="257370830">
      <w:bodyDiv w:val="1"/>
      <w:marLeft w:val="0"/>
      <w:marRight w:val="0"/>
      <w:marTop w:val="0"/>
      <w:marBottom w:val="0"/>
      <w:divBdr>
        <w:top w:val="none" w:sz="0" w:space="0" w:color="auto"/>
        <w:left w:val="none" w:sz="0" w:space="0" w:color="auto"/>
        <w:bottom w:val="none" w:sz="0" w:space="0" w:color="auto"/>
        <w:right w:val="none" w:sz="0" w:space="0" w:color="auto"/>
      </w:divBdr>
      <w:divsChild>
        <w:div w:id="1385251686">
          <w:marLeft w:val="0"/>
          <w:marRight w:val="0"/>
          <w:marTop w:val="0"/>
          <w:marBottom w:val="0"/>
          <w:divBdr>
            <w:top w:val="none" w:sz="0" w:space="0" w:color="auto"/>
            <w:left w:val="none" w:sz="0" w:space="0" w:color="auto"/>
            <w:bottom w:val="none" w:sz="0" w:space="0" w:color="auto"/>
            <w:right w:val="none" w:sz="0" w:space="0" w:color="auto"/>
          </w:divBdr>
        </w:div>
        <w:div w:id="1227490770">
          <w:marLeft w:val="0"/>
          <w:marRight w:val="0"/>
          <w:marTop w:val="0"/>
          <w:marBottom w:val="0"/>
          <w:divBdr>
            <w:top w:val="none" w:sz="0" w:space="0" w:color="auto"/>
            <w:left w:val="none" w:sz="0" w:space="0" w:color="auto"/>
            <w:bottom w:val="none" w:sz="0" w:space="0" w:color="auto"/>
            <w:right w:val="none" w:sz="0" w:space="0" w:color="auto"/>
          </w:divBdr>
        </w:div>
        <w:div w:id="1482576459">
          <w:marLeft w:val="0"/>
          <w:marRight w:val="0"/>
          <w:marTop w:val="0"/>
          <w:marBottom w:val="0"/>
          <w:divBdr>
            <w:top w:val="none" w:sz="0" w:space="0" w:color="auto"/>
            <w:left w:val="none" w:sz="0" w:space="0" w:color="auto"/>
            <w:bottom w:val="none" w:sz="0" w:space="0" w:color="auto"/>
            <w:right w:val="none" w:sz="0" w:space="0" w:color="auto"/>
          </w:divBdr>
        </w:div>
        <w:div w:id="456142134">
          <w:marLeft w:val="0"/>
          <w:marRight w:val="0"/>
          <w:marTop w:val="0"/>
          <w:marBottom w:val="0"/>
          <w:divBdr>
            <w:top w:val="none" w:sz="0" w:space="0" w:color="auto"/>
            <w:left w:val="none" w:sz="0" w:space="0" w:color="auto"/>
            <w:bottom w:val="none" w:sz="0" w:space="0" w:color="auto"/>
            <w:right w:val="none" w:sz="0" w:space="0" w:color="auto"/>
          </w:divBdr>
        </w:div>
        <w:div w:id="36131243">
          <w:marLeft w:val="0"/>
          <w:marRight w:val="0"/>
          <w:marTop w:val="0"/>
          <w:marBottom w:val="0"/>
          <w:divBdr>
            <w:top w:val="none" w:sz="0" w:space="0" w:color="auto"/>
            <w:left w:val="none" w:sz="0" w:space="0" w:color="auto"/>
            <w:bottom w:val="none" w:sz="0" w:space="0" w:color="auto"/>
            <w:right w:val="none" w:sz="0" w:space="0" w:color="auto"/>
          </w:divBdr>
        </w:div>
        <w:div w:id="591938886">
          <w:marLeft w:val="0"/>
          <w:marRight w:val="0"/>
          <w:marTop w:val="0"/>
          <w:marBottom w:val="0"/>
          <w:divBdr>
            <w:top w:val="none" w:sz="0" w:space="0" w:color="auto"/>
            <w:left w:val="none" w:sz="0" w:space="0" w:color="auto"/>
            <w:bottom w:val="none" w:sz="0" w:space="0" w:color="auto"/>
            <w:right w:val="none" w:sz="0" w:space="0" w:color="auto"/>
          </w:divBdr>
        </w:div>
        <w:div w:id="648444006">
          <w:marLeft w:val="0"/>
          <w:marRight w:val="0"/>
          <w:marTop w:val="0"/>
          <w:marBottom w:val="0"/>
          <w:divBdr>
            <w:top w:val="none" w:sz="0" w:space="0" w:color="auto"/>
            <w:left w:val="none" w:sz="0" w:space="0" w:color="auto"/>
            <w:bottom w:val="none" w:sz="0" w:space="0" w:color="auto"/>
            <w:right w:val="none" w:sz="0" w:space="0" w:color="auto"/>
          </w:divBdr>
        </w:div>
        <w:div w:id="477112213">
          <w:marLeft w:val="0"/>
          <w:marRight w:val="0"/>
          <w:marTop w:val="0"/>
          <w:marBottom w:val="0"/>
          <w:divBdr>
            <w:top w:val="none" w:sz="0" w:space="0" w:color="auto"/>
            <w:left w:val="none" w:sz="0" w:space="0" w:color="auto"/>
            <w:bottom w:val="none" w:sz="0" w:space="0" w:color="auto"/>
            <w:right w:val="none" w:sz="0" w:space="0" w:color="auto"/>
          </w:divBdr>
        </w:div>
        <w:div w:id="585385489">
          <w:marLeft w:val="0"/>
          <w:marRight w:val="0"/>
          <w:marTop w:val="0"/>
          <w:marBottom w:val="0"/>
          <w:divBdr>
            <w:top w:val="none" w:sz="0" w:space="0" w:color="auto"/>
            <w:left w:val="none" w:sz="0" w:space="0" w:color="auto"/>
            <w:bottom w:val="none" w:sz="0" w:space="0" w:color="auto"/>
            <w:right w:val="none" w:sz="0" w:space="0" w:color="auto"/>
          </w:divBdr>
        </w:div>
        <w:div w:id="227541103">
          <w:marLeft w:val="0"/>
          <w:marRight w:val="0"/>
          <w:marTop w:val="0"/>
          <w:marBottom w:val="0"/>
          <w:divBdr>
            <w:top w:val="none" w:sz="0" w:space="0" w:color="auto"/>
            <w:left w:val="none" w:sz="0" w:space="0" w:color="auto"/>
            <w:bottom w:val="none" w:sz="0" w:space="0" w:color="auto"/>
            <w:right w:val="none" w:sz="0" w:space="0" w:color="auto"/>
          </w:divBdr>
        </w:div>
        <w:div w:id="745105414">
          <w:marLeft w:val="0"/>
          <w:marRight w:val="0"/>
          <w:marTop w:val="0"/>
          <w:marBottom w:val="0"/>
          <w:divBdr>
            <w:top w:val="none" w:sz="0" w:space="0" w:color="auto"/>
            <w:left w:val="none" w:sz="0" w:space="0" w:color="auto"/>
            <w:bottom w:val="none" w:sz="0" w:space="0" w:color="auto"/>
            <w:right w:val="none" w:sz="0" w:space="0" w:color="auto"/>
          </w:divBdr>
        </w:div>
        <w:div w:id="1259753211">
          <w:marLeft w:val="0"/>
          <w:marRight w:val="0"/>
          <w:marTop w:val="0"/>
          <w:marBottom w:val="0"/>
          <w:divBdr>
            <w:top w:val="none" w:sz="0" w:space="0" w:color="auto"/>
            <w:left w:val="none" w:sz="0" w:space="0" w:color="auto"/>
            <w:bottom w:val="none" w:sz="0" w:space="0" w:color="auto"/>
            <w:right w:val="none" w:sz="0" w:space="0" w:color="auto"/>
          </w:divBdr>
        </w:div>
        <w:div w:id="470901734">
          <w:marLeft w:val="0"/>
          <w:marRight w:val="0"/>
          <w:marTop w:val="0"/>
          <w:marBottom w:val="0"/>
          <w:divBdr>
            <w:top w:val="none" w:sz="0" w:space="0" w:color="auto"/>
            <w:left w:val="none" w:sz="0" w:space="0" w:color="auto"/>
            <w:bottom w:val="none" w:sz="0" w:space="0" w:color="auto"/>
            <w:right w:val="none" w:sz="0" w:space="0" w:color="auto"/>
          </w:divBdr>
        </w:div>
        <w:div w:id="234125222">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709142022">
          <w:marLeft w:val="0"/>
          <w:marRight w:val="0"/>
          <w:marTop w:val="0"/>
          <w:marBottom w:val="0"/>
          <w:divBdr>
            <w:top w:val="none" w:sz="0" w:space="0" w:color="auto"/>
            <w:left w:val="none" w:sz="0" w:space="0" w:color="auto"/>
            <w:bottom w:val="none" w:sz="0" w:space="0" w:color="auto"/>
            <w:right w:val="none" w:sz="0" w:space="0" w:color="auto"/>
          </w:divBdr>
        </w:div>
        <w:div w:id="986124636">
          <w:marLeft w:val="0"/>
          <w:marRight w:val="0"/>
          <w:marTop w:val="0"/>
          <w:marBottom w:val="0"/>
          <w:divBdr>
            <w:top w:val="none" w:sz="0" w:space="0" w:color="auto"/>
            <w:left w:val="none" w:sz="0" w:space="0" w:color="auto"/>
            <w:bottom w:val="none" w:sz="0" w:space="0" w:color="auto"/>
            <w:right w:val="none" w:sz="0" w:space="0" w:color="auto"/>
          </w:divBdr>
        </w:div>
        <w:div w:id="193268693">
          <w:marLeft w:val="0"/>
          <w:marRight w:val="0"/>
          <w:marTop w:val="0"/>
          <w:marBottom w:val="0"/>
          <w:divBdr>
            <w:top w:val="none" w:sz="0" w:space="0" w:color="auto"/>
            <w:left w:val="none" w:sz="0" w:space="0" w:color="auto"/>
            <w:bottom w:val="none" w:sz="0" w:space="0" w:color="auto"/>
            <w:right w:val="none" w:sz="0" w:space="0" w:color="auto"/>
          </w:divBdr>
        </w:div>
        <w:div w:id="90324595">
          <w:marLeft w:val="0"/>
          <w:marRight w:val="0"/>
          <w:marTop w:val="0"/>
          <w:marBottom w:val="0"/>
          <w:divBdr>
            <w:top w:val="none" w:sz="0" w:space="0" w:color="auto"/>
            <w:left w:val="none" w:sz="0" w:space="0" w:color="auto"/>
            <w:bottom w:val="none" w:sz="0" w:space="0" w:color="auto"/>
            <w:right w:val="none" w:sz="0" w:space="0" w:color="auto"/>
          </w:divBdr>
        </w:div>
        <w:div w:id="1322003585">
          <w:marLeft w:val="0"/>
          <w:marRight w:val="0"/>
          <w:marTop w:val="0"/>
          <w:marBottom w:val="0"/>
          <w:divBdr>
            <w:top w:val="none" w:sz="0" w:space="0" w:color="auto"/>
            <w:left w:val="none" w:sz="0" w:space="0" w:color="auto"/>
            <w:bottom w:val="none" w:sz="0" w:space="0" w:color="auto"/>
            <w:right w:val="none" w:sz="0" w:space="0" w:color="auto"/>
          </w:divBdr>
        </w:div>
        <w:div w:id="1908877060">
          <w:marLeft w:val="0"/>
          <w:marRight w:val="0"/>
          <w:marTop w:val="0"/>
          <w:marBottom w:val="0"/>
          <w:divBdr>
            <w:top w:val="none" w:sz="0" w:space="0" w:color="auto"/>
            <w:left w:val="none" w:sz="0" w:space="0" w:color="auto"/>
            <w:bottom w:val="none" w:sz="0" w:space="0" w:color="auto"/>
            <w:right w:val="none" w:sz="0" w:space="0" w:color="auto"/>
          </w:divBdr>
        </w:div>
        <w:div w:id="1768961573">
          <w:marLeft w:val="0"/>
          <w:marRight w:val="0"/>
          <w:marTop w:val="0"/>
          <w:marBottom w:val="0"/>
          <w:divBdr>
            <w:top w:val="none" w:sz="0" w:space="0" w:color="auto"/>
            <w:left w:val="none" w:sz="0" w:space="0" w:color="auto"/>
            <w:bottom w:val="none" w:sz="0" w:space="0" w:color="auto"/>
            <w:right w:val="none" w:sz="0" w:space="0" w:color="auto"/>
          </w:divBdr>
        </w:div>
        <w:div w:id="1383217508">
          <w:marLeft w:val="0"/>
          <w:marRight w:val="0"/>
          <w:marTop w:val="0"/>
          <w:marBottom w:val="0"/>
          <w:divBdr>
            <w:top w:val="none" w:sz="0" w:space="0" w:color="auto"/>
            <w:left w:val="none" w:sz="0" w:space="0" w:color="auto"/>
            <w:bottom w:val="none" w:sz="0" w:space="0" w:color="auto"/>
            <w:right w:val="none" w:sz="0" w:space="0" w:color="auto"/>
          </w:divBdr>
        </w:div>
        <w:div w:id="1459301873">
          <w:marLeft w:val="0"/>
          <w:marRight w:val="0"/>
          <w:marTop w:val="0"/>
          <w:marBottom w:val="0"/>
          <w:divBdr>
            <w:top w:val="none" w:sz="0" w:space="0" w:color="auto"/>
            <w:left w:val="none" w:sz="0" w:space="0" w:color="auto"/>
            <w:bottom w:val="none" w:sz="0" w:space="0" w:color="auto"/>
            <w:right w:val="none" w:sz="0" w:space="0" w:color="auto"/>
          </w:divBdr>
        </w:div>
        <w:div w:id="459540497">
          <w:marLeft w:val="0"/>
          <w:marRight w:val="0"/>
          <w:marTop w:val="0"/>
          <w:marBottom w:val="0"/>
          <w:divBdr>
            <w:top w:val="none" w:sz="0" w:space="0" w:color="auto"/>
            <w:left w:val="none" w:sz="0" w:space="0" w:color="auto"/>
            <w:bottom w:val="none" w:sz="0" w:space="0" w:color="auto"/>
            <w:right w:val="none" w:sz="0" w:space="0" w:color="auto"/>
          </w:divBdr>
        </w:div>
      </w:divsChild>
    </w:div>
    <w:div w:id="274793302">
      <w:bodyDiv w:val="1"/>
      <w:marLeft w:val="0"/>
      <w:marRight w:val="0"/>
      <w:marTop w:val="0"/>
      <w:marBottom w:val="0"/>
      <w:divBdr>
        <w:top w:val="none" w:sz="0" w:space="0" w:color="auto"/>
        <w:left w:val="none" w:sz="0" w:space="0" w:color="auto"/>
        <w:bottom w:val="none" w:sz="0" w:space="0" w:color="auto"/>
        <w:right w:val="none" w:sz="0" w:space="0" w:color="auto"/>
      </w:divBdr>
      <w:divsChild>
        <w:div w:id="820540939">
          <w:marLeft w:val="0"/>
          <w:marRight w:val="0"/>
          <w:marTop w:val="0"/>
          <w:marBottom w:val="0"/>
          <w:divBdr>
            <w:top w:val="none" w:sz="0" w:space="0" w:color="auto"/>
            <w:left w:val="none" w:sz="0" w:space="0" w:color="auto"/>
            <w:bottom w:val="none" w:sz="0" w:space="0" w:color="auto"/>
            <w:right w:val="none" w:sz="0" w:space="0" w:color="auto"/>
          </w:divBdr>
        </w:div>
        <w:div w:id="870531291">
          <w:marLeft w:val="0"/>
          <w:marRight w:val="0"/>
          <w:marTop w:val="0"/>
          <w:marBottom w:val="0"/>
          <w:divBdr>
            <w:top w:val="none" w:sz="0" w:space="0" w:color="auto"/>
            <w:left w:val="none" w:sz="0" w:space="0" w:color="auto"/>
            <w:bottom w:val="none" w:sz="0" w:space="0" w:color="auto"/>
            <w:right w:val="none" w:sz="0" w:space="0" w:color="auto"/>
          </w:divBdr>
        </w:div>
        <w:div w:id="743987649">
          <w:marLeft w:val="0"/>
          <w:marRight w:val="0"/>
          <w:marTop w:val="0"/>
          <w:marBottom w:val="0"/>
          <w:divBdr>
            <w:top w:val="none" w:sz="0" w:space="0" w:color="auto"/>
            <w:left w:val="none" w:sz="0" w:space="0" w:color="auto"/>
            <w:bottom w:val="none" w:sz="0" w:space="0" w:color="auto"/>
            <w:right w:val="none" w:sz="0" w:space="0" w:color="auto"/>
          </w:divBdr>
        </w:div>
        <w:div w:id="1554318049">
          <w:marLeft w:val="0"/>
          <w:marRight w:val="0"/>
          <w:marTop w:val="0"/>
          <w:marBottom w:val="0"/>
          <w:divBdr>
            <w:top w:val="none" w:sz="0" w:space="0" w:color="auto"/>
            <w:left w:val="none" w:sz="0" w:space="0" w:color="auto"/>
            <w:bottom w:val="none" w:sz="0" w:space="0" w:color="auto"/>
            <w:right w:val="none" w:sz="0" w:space="0" w:color="auto"/>
          </w:divBdr>
        </w:div>
        <w:div w:id="199175424">
          <w:marLeft w:val="0"/>
          <w:marRight w:val="0"/>
          <w:marTop w:val="0"/>
          <w:marBottom w:val="0"/>
          <w:divBdr>
            <w:top w:val="none" w:sz="0" w:space="0" w:color="auto"/>
            <w:left w:val="none" w:sz="0" w:space="0" w:color="auto"/>
            <w:bottom w:val="none" w:sz="0" w:space="0" w:color="auto"/>
            <w:right w:val="none" w:sz="0" w:space="0" w:color="auto"/>
          </w:divBdr>
        </w:div>
        <w:div w:id="1818255157">
          <w:marLeft w:val="0"/>
          <w:marRight w:val="0"/>
          <w:marTop w:val="0"/>
          <w:marBottom w:val="0"/>
          <w:divBdr>
            <w:top w:val="none" w:sz="0" w:space="0" w:color="auto"/>
            <w:left w:val="none" w:sz="0" w:space="0" w:color="auto"/>
            <w:bottom w:val="none" w:sz="0" w:space="0" w:color="auto"/>
            <w:right w:val="none" w:sz="0" w:space="0" w:color="auto"/>
          </w:divBdr>
        </w:div>
        <w:div w:id="196965346">
          <w:marLeft w:val="0"/>
          <w:marRight w:val="0"/>
          <w:marTop w:val="0"/>
          <w:marBottom w:val="0"/>
          <w:divBdr>
            <w:top w:val="none" w:sz="0" w:space="0" w:color="auto"/>
            <w:left w:val="none" w:sz="0" w:space="0" w:color="auto"/>
            <w:bottom w:val="none" w:sz="0" w:space="0" w:color="auto"/>
            <w:right w:val="none" w:sz="0" w:space="0" w:color="auto"/>
          </w:divBdr>
        </w:div>
        <w:div w:id="1155995402">
          <w:marLeft w:val="0"/>
          <w:marRight w:val="0"/>
          <w:marTop w:val="0"/>
          <w:marBottom w:val="0"/>
          <w:divBdr>
            <w:top w:val="none" w:sz="0" w:space="0" w:color="auto"/>
            <w:left w:val="none" w:sz="0" w:space="0" w:color="auto"/>
            <w:bottom w:val="none" w:sz="0" w:space="0" w:color="auto"/>
            <w:right w:val="none" w:sz="0" w:space="0" w:color="auto"/>
          </w:divBdr>
        </w:div>
        <w:div w:id="1755590503">
          <w:marLeft w:val="0"/>
          <w:marRight w:val="0"/>
          <w:marTop w:val="0"/>
          <w:marBottom w:val="0"/>
          <w:divBdr>
            <w:top w:val="none" w:sz="0" w:space="0" w:color="auto"/>
            <w:left w:val="none" w:sz="0" w:space="0" w:color="auto"/>
            <w:bottom w:val="none" w:sz="0" w:space="0" w:color="auto"/>
            <w:right w:val="none" w:sz="0" w:space="0" w:color="auto"/>
          </w:divBdr>
        </w:div>
        <w:div w:id="514927484">
          <w:marLeft w:val="0"/>
          <w:marRight w:val="0"/>
          <w:marTop w:val="0"/>
          <w:marBottom w:val="0"/>
          <w:divBdr>
            <w:top w:val="none" w:sz="0" w:space="0" w:color="auto"/>
            <w:left w:val="none" w:sz="0" w:space="0" w:color="auto"/>
            <w:bottom w:val="none" w:sz="0" w:space="0" w:color="auto"/>
            <w:right w:val="none" w:sz="0" w:space="0" w:color="auto"/>
          </w:divBdr>
        </w:div>
        <w:div w:id="925265302">
          <w:marLeft w:val="0"/>
          <w:marRight w:val="0"/>
          <w:marTop w:val="0"/>
          <w:marBottom w:val="0"/>
          <w:divBdr>
            <w:top w:val="none" w:sz="0" w:space="0" w:color="auto"/>
            <w:left w:val="none" w:sz="0" w:space="0" w:color="auto"/>
            <w:bottom w:val="none" w:sz="0" w:space="0" w:color="auto"/>
            <w:right w:val="none" w:sz="0" w:space="0" w:color="auto"/>
          </w:divBdr>
        </w:div>
        <w:div w:id="1017390191">
          <w:marLeft w:val="0"/>
          <w:marRight w:val="0"/>
          <w:marTop w:val="0"/>
          <w:marBottom w:val="0"/>
          <w:divBdr>
            <w:top w:val="none" w:sz="0" w:space="0" w:color="auto"/>
            <w:left w:val="none" w:sz="0" w:space="0" w:color="auto"/>
            <w:bottom w:val="none" w:sz="0" w:space="0" w:color="auto"/>
            <w:right w:val="none" w:sz="0" w:space="0" w:color="auto"/>
          </w:divBdr>
        </w:div>
        <w:div w:id="1198204642">
          <w:marLeft w:val="0"/>
          <w:marRight w:val="0"/>
          <w:marTop w:val="0"/>
          <w:marBottom w:val="0"/>
          <w:divBdr>
            <w:top w:val="none" w:sz="0" w:space="0" w:color="auto"/>
            <w:left w:val="none" w:sz="0" w:space="0" w:color="auto"/>
            <w:bottom w:val="none" w:sz="0" w:space="0" w:color="auto"/>
            <w:right w:val="none" w:sz="0" w:space="0" w:color="auto"/>
          </w:divBdr>
        </w:div>
        <w:div w:id="1375275293">
          <w:marLeft w:val="0"/>
          <w:marRight w:val="0"/>
          <w:marTop w:val="0"/>
          <w:marBottom w:val="0"/>
          <w:divBdr>
            <w:top w:val="none" w:sz="0" w:space="0" w:color="auto"/>
            <w:left w:val="none" w:sz="0" w:space="0" w:color="auto"/>
            <w:bottom w:val="none" w:sz="0" w:space="0" w:color="auto"/>
            <w:right w:val="none" w:sz="0" w:space="0" w:color="auto"/>
          </w:divBdr>
        </w:div>
        <w:div w:id="816801659">
          <w:marLeft w:val="0"/>
          <w:marRight w:val="0"/>
          <w:marTop w:val="0"/>
          <w:marBottom w:val="0"/>
          <w:divBdr>
            <w:top w:val="none" w:sz="0" w:space="0" w:color="auto"/>
            <w:left w:val="none" w:sz="0" w:space="0" w:color="auto"/>
            <w:bottom w:val="none" w:sz="0" w:space="0" w:color="auto"/>
            <w:right w:val="none" w:sz="0" w:space="0" w:color="auto"/>
          </w:divBdr>
        </w:div>
        <w:div w:id="1867207585">
          <w:marLeft w:val="0"/>
          <w:marRight w:val="0"/>
          <w:marTop w:val="0"/>
          <w:marBottom w:val="0"/>
          <w:divBdr>
            <w:top w:val="none" w:sz="0" w:space="0" w:color="auto"/>
            <w:left w:val="none" w:sz="0" w:space="0" w:color="auto"/>
            <w:bottom w:val="none" w:sz="0" w:space="0" w:color="auto"/>
            <w:right w:val="none" w:sz="0" w:space="0" w:color="auto"/>
          </w:divBdr>
        </w:div>
        <w:div w:id="1643316479">
          <w:marLeft w:val="0"/>
          <w:marRight w:val="0"/>
          <w:marTop w:val="0"/>
          <w:marBottom w:val="0"/>
          <w:divBdr>
            <w:top w:val="none" w:sz="0" w:space="0" w:color="auto"/>
            <w:left w:val="none" w:sz="0" w:space="0" w:color="auto"/>
            <w:bottom w:val="none" w:sz="0" w:space="0" w:color="auto"/>
            <w:right w:val="none" w:sz="0" w:space="0" w:color="auto"/>
          </w:divBdr>
        </w:div>
        <w:div w:id="1001003994">
          <w:marLeft w:val="0"/>
          <w:marRight w:val="0"/>
          <w:marTop w:val="0"/>
          <w:marBottom w:val="0"/>
          <w:divBdr>
            <w:top w:val="none" w:sz="0" w:space="0" w:color="auto"/>
            <w:left w:val="none" w:sz="0" w:space="0" w:color="auto"/>
            <w:bottom w:val="none" w:sz="0" w:space="0" w:color="auto"/>
            <w:right w:val="none" w:sz="0" w:space="0" w:color="auto"/>
          </w:divBdr>
        </w:div>
        <w:div w:id="153839105">
          <w:marLeft w:val="0"/>
          <w:marRight w:val="0"/>
          <w:marTop w:val="0"/>
          <w:marBottom w:val="0"/>
          <w:divBdr>
            <w:top w:val="none" w:sz="0" w:space="0" w:color="auto"/>
            <w:left w:val="none" w:sz="0" w:space="0" w:color="auto"/>
            <w:bottom w:val="none" w:sz="0" w:space="0" w:color="auto"/>
            <w:right w:val="none" w:sz="0" w:space="0" w:color="auto"/>
          </w:divBdr>
        </w:div>
        <w:div w:id="1638341770">
          <w:marLeft w:val="0"/>
          <w:marRight w:val="0"/>
          <w:marTop w:val="0"/>
          <w:marBottom w:val="0"/>
          <w:divBdr>
            <w:top w:val="none" w:sz="0" w:space="0" w:color="auto"/>
            <w:left w:val="none" w:sz="0" w:space="0" w:color="auto"/>
            <w:bottom w:val="none" w:sz="0" w:space="0" w:color="auto"/>
            <w:right w:val="none" w:sz="0" w:space="0" w:color="auto"/>
          </w:divBdr>
        </w:div>
        <w:div w:id="1907645596">
          <w:marLeft w:val="0"/>
          <w:marRight w:val="0"/>
          <w:marTop w:val="0"/>
          <w:marBottom w:val="0"/>
          <w:divBdr>
            <w:top w:val="none" w:sz="0" w:space="0" w:color="auto"/>
            <w:left w:val="none" w:sz="0" w:space="0" w:color="auto"/>
            <w:bottom w:val="none" w:sz="0" w:space="0" w:color="auto"/>
            <w:right w:val="none" w:sz="0" w:space="0" w:color="auto"/>
          </w:divBdr>
        </w:div>
        <w:div w:id="1941332876">
          <w:marLeft w:val="0"/>
          <w:marRight w:val="0"/>
          <w:marTop w:val="0"/>
          <w:marBottom w:val="0"/>
          <w:divBdr>
            <w:top w:val="none" w:sz="0" w:space="0" w:color="auto"/>
            <w:left w:val="none" w:sz="0" w:space="0" w:color="auto"/>
            <w:bottom w:val="none" w:sz="0" w:space="0" w:color="auto"/>
            <w:right w:val="none" w:sz="0" w:space="0" w:color="auto"/>
          </w:divBdr>
        </w:div>
        <w:div w:id="127629371">
          <w:marLeft w:val="0"/>
          <w:marRight w:val="0"/>
          <w:marTop w:val="0"/>
          <w:marBottom w:val="0"/>
          <w:divBdr>
            <w:top w:val="none" w:sz="0" w:space="0" w:color="auto"/>
            <w:left w:val="none" w:sz="0" w:space="0" w:color="auto"/>
            <w:bottom w:val="none" w:sz="0" w:space="0" w:color="auto"/>
            <w:right w:val="none" w:sz="0" w:space="0" w:color="auto"/>
          </w:divBdr>
        </w:div>
        <w:div w:id="137648333">
          <w:marLeft w:val="0"/>
          <w:marRight w:val="0"/>
          <w:marTop w:val="0"/>
          <w:marBottom w:val="0"/>
          <w:divBdr>
            <w:top w:val="none" w:sz="0" w:space="0" w:color="auto"/>
            <w:left w:val="none" w:sz="0" w:space="0" w:color="auto"/>
            <w:bottom w:val="none" w:sz="0" w:space="0" w:color="auto"/>
            <w:right w:val="none" w:sz="0" w:space="0" w:color="auto"/>
          </w:divBdr>
        </w:div>
        <w:div w:id="1495997061">
          <w:marLeft w:val="0"/>
          <w:marRight w:val="0"/>
          <w:marTop w:val="0"/>
          <w:marBottom w:val="0"/>
          <w:divBdr>
            <w:top w:val="none" w:sz="0" w:space="0" w:color="auto"/>
            <w:left w:val="none" w:sz="0" w:space="0" w:color="auto"/>
            <w:bottom w:val="none" w:sz="0" w:space="0" w:color="auto"/>
            <w:right w:val="none" w:sz="0" w:space="0" w:color="auto"/>
          </w:divBdr>
        </w:div>
        <w:div w:id="1766343778">
          <w:marLeft w:val="0"/>
          <w:marRight w:val="0"/>
          <w:marTop w:val="0"/>
          <w:marBottom w:val="0"/>
          <w:divBdr>
            <w:top w:val="none" w:sz="0" w:space="0" w:color="auto"/>
            <w:left w:val="none" w:sz="0" w:space="0" w:color="auto"/>
            <w:bottom w:val="none" w:sz="0" w:space="0" w:color="auto"/>
            <w:right w:val="none" w:sz="0" w:space="0" w:color="auto"/>
          </w:divBdr>
        </w:div>
        <w:div w:id="285507519">
          <w:marLeft w:val="0"/>
          <w:marRight w:val="0"/>
          <w:marTop w:val="0"/>
          <w:marBottom w:val="0"/>
          <w:divBdr>
            <w:top w:val="none" w:sz="0" w:space="0" w:color="auto"/>
            <w:left w:val="none" w:sz="0" w:space="0" w:color="auto"/>
            <w:bottom w:val="none" w:sz="0" w:space="0" w:color="auto"/>
            <w:right w:val="none" w:sz="0" w:space="0" w:color="auto"/>
          </w:divBdr>
        </w:div>
        <w:div w:id="1711226621">
          <w:marLeft w:val="0"/>
          <w:marRight w:val="0"/>
          <w:marTop w:val="0"/>
          <w:marBottom w:val="0"/>
          <w:divBdr>
            <w:top w:val="none" w:sz="0" w:space="0" w:color="auto"/>
            <w:left w:val="none" w:sz="0" w:space="0" w:color="auto"/>
            <w:bottom w:val="none" w:sz="0" w:space="0" w:color="auto"/>
            <w:right w:val="none" w:sz="0" w:space="0" w:color="auto"/>
          </w:divBdr>
        </w:div>
        <w:div w:id="100103541">
          <w:marLeft w:val="0"/>
          <w:marRight w:val="0"/>
          <w:marTop w:val="0"/>
          <w:marBottom w:val="0"/>
          <w:divBdr>
            <w:top w:val="none" w:sz="0" w:space="0" w:color="auto"/>
            <w:left w:val="none" w:sz="0" w:space="0" w:color="auto"/>
            <w:bottom w:val="none" w:sz="0" w:space="0" w:color="auto"/>
            <w:right w:val="none" w:sz="0" w:space="0" w:color="auto"/>
          </w:divBdr>
        </w:div>
        <w:div w:id="632908103">
          <w:marLeft w:val="0"/>
          <w:marRight w:val="0"/>
          <w:marTop w:val="0"/>
          <w:marBottom w:val="0"/>
          <w:divBdr>
            <w:top w:val="none" w:sz="0" w:space="0" w:color="auto"/>
            <w:left w:val="none" w:sz="0" w:space="0" w:color="auto"/>
            <w:bottom w:val="none" w:sz="0" w:space="0" w:color="auto"/>
            <w:right w:val="none" w:sz="0" w:space="0" w:color="auto"/>
          </w:divBdr>
        </w:div>
        <w:div w:id="39019872">
          <w:marLeft w:val="0"/>
          <w:marRight w:val="0"/>
          <w:marTop w:val="0"/>
          <w:marBottom w:val="0"/>
          <w:divBdr>
            <w:top w:val="none" w:sz="0" w:space="0" w:color="auto"/>
            <w:left w:val="none" w:sz="0" w:space="0" w:color="auto"/>
            <w:bottom w:val="none" w:sz="0" w:space="0" w:color="auto"/>
            <w:right w:val="none" w:sz="0" w:space="0" w:color="auto"/>
          </w:divBdr>
        </w:div>
        <w:div w:id="690103529">
          <w:marLeft w:val="0"/>
          <w:marRight w:val="0"/>
          <w:marTop w:val="0"/>
          <w:marBottom w:val="0"/>
          <w:divBdr>
            <w:top w:val="none" w:sz="0" w:space="0" w:color="auto"/>
            <w:left w:val="none" w:sz="0" w:space="0" w:color="auto"/>
            <w:bottom w:val="none" w:sz="0" w:space="0" w:color="auto"/>
            <w:right w:val="none" w:sz="0" w:space="0" w:color="auto"/>
          </w:divBdr>
        </w:div>
        <w:div w:id="537935898">
          <w:marLeft w:val="0"/>
          <w:marRight w:val="0"/>
          <w:marTop w:val="0"/>
          <w:marBottom w:val="0"/>
          <w:divBdr>
            <w:top w:val="none" w:sz="0" w:space="0" w:color="auto"/>
            <w:left w:val="none" w:sz="0" w:space="0" w:color="auto"/>
            <w:bottom w:val="none" w:sz="0" w:space="0" w:color="auto"/>
            <w:right w:val="none" w:sz="0" w:space="0" w:color="auto"/>
          </w:divBdr>
        </w:div>
        <w:div w:id="1136794081">
          <w:marLeft w:val="0"/>
          <w:marRight w:val="0"/>
          <w:marTop w:val="0"/>
          <w:marBottom w:val="0"/>
          <w:divBdr>
            <w:top w:val="none" w:sz="0" w:space="0" w:color="auto"/>
            <w:left w:val="none" w:sz="0" w:space="0" w:color="auto"/>
            <w:bottom w:val="none" w:sz="0" w:space="0" w:color="auto"/>
            <w:right w:val="none" w:sz="0" w:space="0" w:color="auto"/>
          </w:divBdr>
        </w:div>
        <w:div w:id="1384864818">
          <w:marLeft w:val="0"/>
          <w:marRight w:val="0"/>
          <w:marTop w:val="0"/>
          <w:marBottom w:val="0"/>
          <w:divBdr>
            <w:top w:val="none" w:sz="0" w:space="0" w:color="auto"/>
            <w:left w:val="none" w:sz="0" w:space="0" w:color="auto"/>
            <w:bottom w:val="none" w:sz="0" w:space="0" w:color="auto"/>
            <w:right w:val="none" w:sz="0" w:space="0" w:color="auto"/>
          </w:divBdr>
        </w:div>
        <w:div w:id="404452434">
          <w:marLeft w:val="0"/>
          <w:marRight w:val="0"/>
          <w:marTop w:val="0"/>
          <w:marBottom w:val="0"/>
          <w:divBdr>
            <w:top w:val="none" w:sz="0" w:space="0" w:color="auto"/>
            <w:left w:val="none" w:sz="0" w:space="0" w:color="auto"/>
            <w:bottom w:val="none" w:sz="0" w:space="0" w:color="auto"/>
            <w:right w:val="none" w:sz="0" w:space="0" w:color="auto"/>
          </w:divBdr>
        </w:div>
        <w:div w:id="298848019">
          <w:marLeft w:val="0"/>
          <w:marRight w:val="0"/>
          <w:marTop w:val="0"/>
          <w:marBottom w:val="0"/>
          <w:divBdr>
            <w:top w:val="none" w:sz="0" w:space="0" w:color="auto"/>
            <w:left w:val="none" w:sz="0" w:space="0" w:color="auto"/>
            <w:bottom w:val="none" w:sz="0" w:space="0" w:color="auto"/>
            <w:right w:val="none" w:sz="0" w:space="0" w:color="auto"/>
          </w:divBdr>
        </w:div>
        <w:div w:id="1737781431">
          <w:marLeft w:val="0"/>
          <w:marRight w:val="0"/>
          <w:marTop w:val="0"/>
          <w:marBottom w:val="0"/>
          <w:divBdr>
            <w:top w:val="none" w:sz="0" w:space="0" w:color="auto"/>
            <w:left w:val="none" w:sz="0" w:space="0" w:color="auto"/>
            <w:bottom w:val="none" w:sz="0" w:space="0" w:color="auto"/>
            <w:right w:val="none" w:sz="0" w:space="0" w:color="auto"/>
          </w:divBdr>
        </w:div>
        <w:div w:id="988747892">
          <w:marLeft w:val="0"/>
          <w:marRight w:val="0"/>
          <w:marTop w:val="0"/>
          <w:marBottom w:val="0"/>
          <w:divBdr>
            <w:top w:val="none" w:sz="0" w:space="0" w:color="auto"/>
            <w:left w:val="none" w:sz="0" w:space="0" w:color="auto"/>
            <w:bottom w:val="none" w:sz="0" w:space="0" w:color="auto"/>
            <w:right w:val="none" w:sz="0" w:space="0" w:color="auto"/>
          </w:divBdr>
        </w:div>
        <w:div w:id="378088728">
          <w:marLeft w:val="0"/>
          <w:marRight w:val="0"/>
          <w:marTop w:val="0"/>
          <w:marBottom w:val="0"/>
          <w:divBdr>
            <w:top w:val="none" w:sz="0" w:space="0" w:color="auto"/>
            <w:left w:val="none" w:sz="0" w:space="0" w:color="auto"/>
            <w:bottom w:val="none" w:sz="0" w:space="0" w:color="auto"/>
            <w:right w:val="none" w:sz="0" w:space="0" w:color="auto"/>
          </w:divBdr>
        </w:div>
        <w:div w:id="405303102">
          <w:marLeft w:val="0"/>
          <w:marRight w:val="0"/>
          <w:marTop w:val="0"/>
          <w:marBottom w:val="0"/>
          <w:divBdr>
            <w:top w:val="none" w:sz="0" w:space="0" w:color="auto"/>
            <w:left w:val="none" w:sz="0" w:space="0" w:color="auto"/>
            <w:bottom w:val="none" w:sz="0" w:space="0" w:color="auto"/>
            <w:right w:val="none" w:sz="0" w:space="0" w:color="auto"/>
          </w:divBdr>
        </w:div>
        <w:div w:id="1191797991">
          <w:marLeft w:val="0"/>
          <w:marRight w:val="0"/>
          <w:marTop w:val="0"/>
          <w:marBottom w:val="0"/>
          <w:divBdr>
            <w:top w:val="none" w:sz="0" w:space="0" w:color="auto"/>
            <w:left w:val="none" w:sz="0" w:space="0" w:color="auto"/>
            <w:bottom w:val="none" w:sz="0" w:space="0" w:color="auto"/>
            <w:right w:val="none" w:sz="0" w:space="0" w:color="auto"/>
          </w:divBdr>
        </w:div>
        <w:div w:id="483282959">
          <w:marLeft w:val="0"/>
          <w:marRight w:val="0"/>
          <w:marTop w:val="0"/>
          <w:marBottom w:val="0"/>
          <w:divBdr>
            <w:top w:val="none" w:sz="0" w:space="0" w:color="auto"/>
            <w:left w:val="none" w:sz="0" w:space="0" w:color="auto"/>
            <w:bottom w:val="none" w:sz="0" w:space="0" w:color="auto"/>
            <w:right w:val="none" w:sz="0" w:space="0" w:color="auto"/>
          </w:divBdr>
        </w:div>
        <w:div w:id="1886792150">
          <w:marLeft w:val="0"/>
          <w:marRight w:val="0"/>
          <w:marTop w:val="0"/>
          <w:marBottom w:val="0"/>
          <w:divBdr>
            <w:top w:val="none" w:sz="0" w:space="0" w:color="auto"/>
            <w:left w:val="none" w:sz="0" w:space="0" w:color="auto"/>
            <w:bottom w:val="none" w:sz="0" w:space="0" w:color="auto"/>
            <w:right w:val="none" w:sz="0" w:space="0" w:color="auto"/>
          </w:divBdr>
        </w:div>
      </w:divsChild>
    </w:div>
    <w:div w:id="281618347">
      <w:bodyDiv w:val="1"/>
      <w:marLeft w:val="0"/>
      <w:marRight w:val="0"/>
      <w:marTop w:val="0"/>
      <w:marBottom w:val="0"/>
      <w:divBdr>
        <w:top w:val="none" w:sz="0" w:space="0" w:color="auto"/>
        <w:left w:val="none" w:sz="0" w:space="0" w:color="auto"/>
        <w:bottom w:val="none" w:sz="0" w:space="0" w:color="auto"/>
        <w:right w:val="none" w:sz="0" w:space="0" w:color="auto"/>
      </w:divBdr>
      <w:divsChild>
        <w:div w:id="853418880">
          <w:marLeft w:val="0"/>
          <w:marRight w:val="0"/>
          <w:marTop w:val="0"/>
          <w:marBottom w:val="0"/>
          <w:divBdr>
            <w:top w:val="none" w:sz="0" w:space="0" w:color="auto"/>
            <w:left w:val="none" w:sz="0" w:space="0" w:color="auto"/>
            <w:bottom w:val="none" w:sz="0" w:space="0" w:color="auto"/>
            <w:right w:val="none" w:sz="0" w:space="0" w:color="auto"/>
          </w:divBdr>
        </w:div>
        <w:div w:id="34544890">
          <w:marLeft w:val="0"/>
          <w:marRight w:val="0"/>
          <w:marTop w:val="0"/>
          <w:marBottom w:val="0"/>
          <w:divBdr>
            <w:top w:val="none" w:sz="0" w:space="0" w:color="auto"/>
            <w:left w:val="none" w:sz="0" w:space="0" w:color="auto"/>
            <w:bottom w:val="none" w:sz="0" w:space="0" w:color="auto"/>
            <w:right w:val="none" w:sz="0" w:space="0" w:color="auto"/>
          </w:divBdr>
        </w:div>
        <w:div w:id="1036272435">
          <w:marLeft w:val="0"/>
          <w:marRight w:val="0"/>
          <w:marTop w:val="0"/>
          <w:marBottom w:val="0"/>
          <w:divBdr>
            <w:top w:val="none" w:sz="0" w:space="0" w:color="auto"/>
            <w:left w:val="none" w:sz="0" w:space="0" w:color="auto"/>
            <w:bottom w:val="none" w:sz="0" w:space="0" w:color="auto"/>
            <w:right w:val="none" w:sz="0" w:space="0" w:color="auto"/>
          </w:divBdr>
        </w:div>
        <w:div w:id="132597548">
          <w:marLeft w:val="0"/>
          <w:marRight w:val="0"/>
          <w:marTop w:val="0"/>
          <w:marBottom w:val="0"/>
          <w:divBdr>
            <w:top w:val="none" w:sz="0" w:space="0" w:color="auto"/>
            <w:left w:val="none" w:sz="0" w:space="0" w:color="auto"/>
            <w:bottom w:val="none" w:sz="0" w:space="0" w:color="auto"/>
            <w:right w:val="none" w:sz="0" w:space="0" w:color="auto"/>
          </w:divBdr>
        </w:div>
        <w:div w:id="1894465845">
          <w:marLeft w:val="0"/>
          <w:marRight w:val="0"/>
          <w:marTop w:val="0"/>
          <w:marBottom w:val="0"/>
          <w:divBdr>
            <w:top w:val="none" w:sz="0" w:space="0" w:color="auto"/>
            <w:left w:val="none" w:sz="0" w:space="0" w:color="auto"/>
            <w:bottom w:val="none" w:sz="0" w:space="0" w:color="auto"/>
            <w:right w:val="none" w:sz="0" w:space="0" w:color="auto"/>
          </w:divBdr>
        </w:div>
        <w:div w:id="728578471">
          <w:marLeft w:val="0"/>
          <w:marRight w:val="0"/>
          <w:marTop w:val="0"/>
          <w:marBottom w:val="0"/>
          <w:divBdr>
            <w:top w:val="none" w:sz="0" w:space="0" w:color="auto"/>
            <w:left w:val="none" w:sz="0" w:space="0" w:color="auto"/>
            <w:bottom w:val="none" w:sz="0" w:space="0" w:color="auto"/>
            <w:right w:val="none" w:sz="0" w:space="0" w:color="auto"/>
          </w:divBdr>
        </w:div>
        <w:div w:id="1137995538">
          <w:marLeft w:val="0"/>
          <w:marRight w:val="0"/>
          <w:marTop w:val="0"/>
          <w:marBottom w:val="0"/>
          <w:divBdr>
            <w:top w:val="none" w:sz="0" w:space="0" w:color="auto"/>
            <w:left w:val="none" w:sz="0" w:space="0" w:color="auto"/>
            <w:bottom w:val="none" w:sz="0" w:space="0" w:color="auto"/>
            <w:right w:val="none" w:sz="0" w:space="0" w:color="auto"/>
          </w:divBdr>
        </w:div>
        <w:div w:id="1033578516">
          <w:marLeft w:val="0"/>
          <w:marRight w:val="0"/>
          <w:marTop w:val="0"/>
          <w:marBottom w:val="0"/>
          <w:divBdr>
            <w:top w:val="none" w:sz="0" w:space="0" w:color="auto"/>
            <w:left w:val="none" w:sz="0" w:space="0" w:color="auto"/>
            <w:bottom w:val="none" w:sz="0" w:space="0" w:color="auto"/>
            <w:right w:val="none" w:sz="0" w:space="0" w:color="auto"/>
          </w:divBdr>
        </w:div>
      </w:divsChild>
    </w:div>
    <w:div w:id="291401561">
      <w:bodyDiv w:val="1"/>
      <w:marLeft w:val="0"/>
      <w:marRight w:val="0"/>
      <w:marTop w:val="0"/>
      <w:marBottom w:val="0"/>
      <w:divBdr>
        <w:top w:val="none" w:sz="0" w:space="0" w:color="auto"/>
        <w:left w:val="none" w:sz="0" w:space="0" w:color="auto"/>
        <w:bottom w:val="none" w:sz="0" w:space="0" w:color="auto"/>
        <w:right w:val="none" w:sz="0" w:space="0" w:color="auto"/>
      </w:divBdr>
      <w:divsChild>
        <w:div w:id="625046138">
          <w:marLeft w:val="0"/>
          <w:marRight w:val="0"/>
          <w:marTop w:val="0"/>
          <w:marBottom w:val="0"/>
          <w:divBdr>
            <w:top w:val="none" w:sz="0" w:space="0" w:color="auto"/>
            <w:left w:val="none" w:sz="0" w:space="0" w:color="auto"/>
            <w:bottom w:val="none" w:sz="0" w:space="0" w:color="auto"/>
            <w:right w:val="none" w:sz="0" w:space="0" w:color="auto"/>
          </w:divBdr>
        </w:div>
        <w:div w:id="1639796985">
          <w:marLeft w:val="0"/>
          <w:marRight w:val="0"/>
          <w:marTop w:val="0"/>
          <w:marBottom w:val="0"/>
          <w:divBdr>
            <w:top w:val="none" w:sz="0" w:space="0" w:color="auto"/>
            <w:left w:val="none" w:sz="0" w:space="0" w:color="auto"/>
            <w:bottom w:val="none" w:sz="0" w:space="0" w:color="auto"/>
            <w:right w:val="none" w:sz="0" w:space="0" w:color="auto"/>
          </w:divBdr>
        </w:div>
        <w:div w:id="1864511106">
          <w:marLeft w:val="0"/>
          <w:marRight w:val="0"/>
          <w:marTop w:val="0"/>
          <w:marBottom w:val="0"/>
          <w:divBdr>
            <w:top w:val="none" w:sz="0" w:space="0" w:color="auto"/>
            <w:left w:val="none" w:sz="0" w:space="0" w:color="auto"/>
            <w:bottom w:val="none" w:sz="0" w:space="0" w:color="auto"/>
            <w:right w:val="none" w:sz="0" w:space="0" w:color="auto"/>
          </w:divBdr>
        </w:div>
        <w:div w:id="885021921">
          <w:marLeft w:val="0"/>
          <w:marRight w:val="0"/>
          <w:marTop w:val="0"/>
          <w:marBottom w:val="0"/>
          <w:divBdr>
            <w:top w:val="none" w:sz="0" w:space="0" w:color="auto"/>
            <w:left w:val="none" w:sz="0" w:space="0" w:color="auto"/>
            <w:bottom w:val="none" w:sz="0" w:space="0" w:color="auto"/>
            <w:right w:val="none" w:sz="0" w:space="0" w:color="auto"/>
          </w:divBdr>
        </w:div>
        <w:div w:id="1342581559">
          <w:marLeft w:val="0"/>
          <w:marRight w:val="0"/>
          <w:marTop w:val="0"/>
          <w:marBottom w:val="0"/>
          <w:divBdr>
            <w:top w:val="none" w:sz="0" w:space="0" w:color="auto"/>
            <w:left w:val="none" w:sz="0" w:space="0" w:color="auto"/>
            <w:bottom w:val="none" w:sz="0" w:space="0" w:color="auto"/>
            <w:right w:val="none" w:sz="0" w:space="0" w:color="auto"/>
          </w:divBdr>
        </w:div>
        <w:div w:id="1597054345">
          <w:marLeft w:val="0"/>
          <w:marRight w:val="0"/>
          <w:marTop w:val="0"/>
          <w:marBottom w:val="0"/>
          <w:divBdr>
            <w:top w:val="none" w:sz="0" w:space="0" w:color="auto"/>
            <w:left w:val="none" w:sz="0" w:space="0" w:color="auto"/>
            <w:bottom w:val="none" w:sz="0" w:space="0" w:color="auto"/>
            <w:right w:val="none" w:sz="0" w:space="0" w:color="auto"/>
          </w:divBdr>
        </w:div>
        <w:div w:id="852039035">
          <w:marLeft w:val="0"/>
          <w:marRight w:val="0"/>
          <w:marTop w:val="0"/>
          <w:marBottom w:val="0"/>
          <w:divBdr>
            <w:top w:val="none" w:sz="0" w:space="0" w:color="auto"/>
            <w:left w:val="none" w:sz="0" w:space="0" w:color="auto"/>
            <w:bottom w:val="none" w:sz="0" w:space="0" w:color="auto"/>
            <w:right w:val="none" w:sz="0" w:space="0" w:color="auto"/>
          </w:divBdr>
        </w:div>
        <w:div w:id="356736253">
          <w:marLeft w:val="0"/>
          <w:marRight w:val="0"/>
          <w:marTop w:val="0"/>
          <w:marBottom w:val="0"/>
          <w:divBdr>
            <w:top w:val="none" w:sz="0" w:space="0" w:color="auto"/>
            <w:left w:val="none" w:sz="0" w:space="0" w:color="auto"/>
            <w:bottom w:val="none" w:sz="0" w:space="0" w:color="auto"/>
            <w:right w:val="none" w:sz="0" w:space="0" w:color="auto"/>
          </w:divBdr>
        </w:div>
        <w:div w:id="161089290">
          <w:marLeft w:val="0"/>
          <w:marRight w:val="0"/>
          <w:marTop w:val="0"/>
          <w:marBottom w:val="0"/>
          <w:divBdr>
            <w:top w:val="none" w:sz="0" w:space="0" w:color="auto"/>
            <w:left w:val="none" w:sz="0" w:space="0" w:color="auto"/>
            <w:bottom w:val="none" w:sz="0" w:space="0" w:color="auto"/>
            <w:right w:val="none" w:sz="0" w:space="0" w:color="auto"/>
          </w:divBdr>
        </w:div>
        <w:div w:id="103038622">
          <w:marLeft w:val="0"/>
          <w:marRight w:val="0"/>
          <w:marTop w:val="0"/>
          <w:marBottom w:val="0"/>
          <w:divBdr>
            <w:top w:val="none" w:sz="0" w:space="0" w:color="auto"/>
            <w:left w:val="none" w:sz="0" w:space="0" w:color="auto"/>
            <w:bottom w:val="none" w:sz="0" w:space="0" w:color="auto"/>
            <w:right w:val="none" w:sz="0" w:space="0" w:color="auto"/>
          </w:divBdr>
        </w:div>
        <w:div w:id="1337465499">
          <w:marLeft w:val="0"/>
          <w:marRight w:val="0"/>
          <w:marTop w:val="0"/>
          <w:marBottom w:val="0"/>
          <w:divBdr>
            <w:top w:val="none" w:sz="0" w:space="0" w:color="auto"/>
            <w:left w:val="none" w:sz="0" w:space="0" w:color="auto"/>
            <w:bottom w:val="none" w:sz="0" w:space="0" w:color="auto"/>
            <w:right w:val="none" w:sz="0" w:space="0" w:color="auto"/>
          </w:divBdr>
        </w:div>
        <w:div w:id="919171120">
          <w:marLeft w:val="0"/>
          <w:marRight w:val="0"/>
          <w:marTop w:val="0"/>
          <w:marBottom w:val="0"/>
          <w:divBdr>
            <w:top w:val="none" w:sz="0" w:space="0" w:color="auto"/>
            <w:left w:val="none" w:sz="0" w:space="0" w:color="auto"/>
            <w:bottom w:val="none" w:sz="0" w:space="0" w:color="auto"/>
            <w:right w:val="none" w:sz="0" w:space="0" w:color="auto"/>
          </w:divBdr>
        </w:div>
        <w:div w:id="54284789">
          <w:marLeft w:val="0"/>
          <w:marRight w:val="0"/>
          <w:marTop w:val="0"/>
          <w:marBottom w:val="0"/>
          <w:divBdr>
            <w:top w:val="none" w:sz="0" w:space="0" w:color="auto"/>
            <w:left w:val="none" w:sz="0" w:space="0" w:color="auto"/>
            <w:bottom w:val="none" w:sz="0" w:space="0" w:color="auto"/>
            <w:right w:val="none" w:sz="0" w:space="0" w:color="auto"/>
          </w:divBdr>
        </w:div>
        <w:div w:id="1241020762">
          <w:marLeft w:val="0"/>
          <w:marRight w:val="0"/>
          <w:marTop w:val="0"/>
          <w:marBottom w:val="0"/>
          <w:divBdr>
            <w:top w:val="none" w:sz="0" w:space="0" w:color="auto"/>
            <w:left w:val="none" w:sz="0" w:space="0" w:color="auto"/>
            <w:bottom w:val="none" w:sz="0" w:space="0" w:color="auto"/>
            <w:right w:val="none" w:sz="0" w:space="0" w:color="auto"/>
          </w:divBdr>
        </w:div>
        <w:div w:id="389497337">
          <w:marLeft w:val="0"/>
          <w:marRight w:val="0"/>
          <w:marTop w:val="0"/>
          <w:marBottom w:val="0"/>
          <w:divBdr>
            <w:top w:val="none" w:sz="0" w:space="0" w:color="auto"/>
            <w:left w:val="none" w:sz="0" w:space="0" w:color="auto"/>
            <w:bottom w:val="none" w:sz="0" w:space="0" w:color="auto"/>
            <w:right w:val="none" w:sz="0" w:space="0" w:color="auto"/>
          </w:divBdr>
        </w:div>
        <w:div w:id="347679463">
          <w:marLeft w:val="0"/>
          <w:marRight w:val="0"/>
          <w:marTop w:val="0"/>
          <w:marBottom w:val="0"/>
          <w:divBdr>
            <w:top w:val="none" w:sz="0" w:space="0" w:color="auto"/>
            <w:left w:val="none" w:sz="0" w:space="0" w:color="auto"/>
            <w:bottom w:val="none" w:sz="0" w:space="0" w:color="auto"/>
            <w:right w:val="none" w:sz="0" w:space="0" w:color="auto"/>
          </w:divBdr>
        </w:div>
        <w:div w:id="1877499848">
          <w:marLeft w:val="0"/>
          <w:marRight w:val="0"/>
          <w:marTop w:val="0"/>
          <w:marBottom w:val="0"/>
          <w:divBdr>
            <w:top w:val="none" w:sz="0" w:space="0" w:color="auto"/>
            <w:left w:val="none" w:sz="0" w:space="0" w:color="auto"/>
            <w:bottom w:val="none" w:sz="0" w:space="0" w:color="auto"/>
            <w:right w:val="none" w:sz="0" w:space="0" w:color="auto"/>
          </w:divBdr>
        </w:div>
        <w:div w:id="678120689">
          <w:marLeft w:val="0"/>
          <w:marRight w:val="0"/>
          <w:marTop w:val="0"/>
          <w:marBottom w:val="0"/>
          <w:divBdr>
            <w:top w:val="none" w:sz="0" w:space="0" w:color="auto"/>
            <w:left w:val="none" w:sz="0" w:space="0" w:color="auto"/>
            <w:bottom w:val="none" w:sz="0" w:space="0" w:color="auto"/>
            <w:right w:val="none" w:sz="0" w:space="0" w:color="auto"/>
          </w:divBdr>
        </w:div>
        <w:div w:id="1396509457">
          <w:marLeft w:val="0"/>
          <w:marRight w:val="0"/>
          <w:marTop w:val="0"/>
          <w:marBottom w:val="0"/>
          <w:divBdr>
            <w:top w:val="none" w:sz="0" w:space="0" w:color="auto"/>
            <w:left w:val="none" w:sz="0" w:space="0" w:color="auto"/>
            <w:bottom w:val="none" w:sz="0" w:space="0" w:color="auto"/>
            <w:right w:val="none" w:sz="0" w:space="0" w:color="auto"/>
          </w:divBdr>
        </w:div>
        <w:div w:id="369184960">
          <w:marLeft w:val="0"/>
          <w:marRight w:val="0"/>
          <w:marTop w:val="0"/>
          <w:marBottom w:val="0"/>
          <w:divBdr>
            <w:top w:val="none" w:sz="0" w:space="0" w:color="auto"/>
            <w:left w:val="none" w:sz="0" w:space="0" w:color="auto"/>
            <w:bottom w:val="none" w:sz="0" w:space="0" w:color="auto"/>
            <w:right w:val="none" w:sz="0" w:space="0" w:color="auto"/>
          </w:divBdr>
        </w:div>
        <w:div w:id="1822578133">
          <w:marLeft w:val="0"/>
          <w:marRight w:val="0"/>
          <w:marTop w:val="0"/>
          <w:marBottom w:val="0"/>
          <w:divBdr>
            <w:top w:val="none" w:sz="0" w:space="0" w:color="auto"/>
            <w:left w:val="none" w:sz="0" w:space="0" w:color="auto"/>
            <w:bottom w:val="none" w:sz="0" w:space="0" w:color="auto"/>
            <w:right w:val="none" w:sz="0" w:space="0" w:color="auto"/>
          </w:divBdr>
        </w:div>
        <w:div w:id="2046366821">
          <w:marLeft w:val="0"/>
          <w:marRight w:val="0"/>
          <w:marTop w:val="0"/>
          <w:marBottom w:val="0"/>
          <w:divBdr>
            <w:top w:val="none" w:sz="0" w:space="0" w:color="auto"/>
            <w:left w:val="none" w:sz="0" w:space="0" w:color="auto"/>
            <w:bottom w:val="none" w:sz="0" w:space="0" w:color="auto"/>
            <w:right w:val="none" w:sz="0" w:space="0" w:color="auto"/>
          </w:divBdr>
        </w:div>
        <w:div w:id="1841192123">
          <w:marLeft w:val="0"/>
          <w:marRight w:val="0"/>
          <w:marTop w:val="0"/>
          <w:marBottom w:val="0"/>
          <w:divBdr>
            <w:top w:val="none" w:sz="0" w:space="0" w:color="auto"/>
            <w:left w:val="none" w:sz="0" w:space="0" w:color="auto"/>
            <w:bottom w:val="none" w:sz="0" w:space="0" w:color="auto"/>
            <w:right w:val="none" w:sz="0" w:space="0" w:color="auto"/>
          </w:divBdr>
        </w:div>
        <w:div w:id="581261822">
          <w:marLeft w:val="0"/>
          <w:marRight w:val="0"/>
          <w:marTop w:val="0"/>
          <w:marBottom w:val="0"/>
          <w:divBdr>
            <w:top w:val="none" w:sz="0" w:space="0" w:color="auto"/>
            <w:left w:val="none" w:sz="0" w:space="0" w:color="auto"/>
            <w:bottom w:val="none" w:sz="0" w:space="0" w:color="auto"/>
            <w:right w:val="none" w:sz="0" w:space="0" w:color="auto"/>
          </w:divBdr>
        </w:div>
        <w:div w:id="349188930">
          <w:marLeft w:val="0"/>
          <w:marRight w:val="0"/>
          <w:marTop w:val="0"/>
          <w:marBottom w:val="0"/>
          <w:divBdr>
            <w:top w:val="none" w:sz="0" w:space="0" w:color="auto"/>
            <w:left w:val="none" w:sz="0" w:space="0" w:color="auto"/>
            <w:bottom w:val="none" w:sz="0" w:space="0" w:color="auto"/>
            <w:right w:val="none" w:sz="0" w:space="0" w:color="auto"/>
          </w:divBdr>
        </w:div>
        <w:div w:id="222638605">
          <w:marLeft w:val="0"/>
          <w:marRight w:val="0"/>
          <w:marTop w:val="0"/>
          <w:marBottom w:val="0"/>
          <w:divBdr>
            <w:top w:val="none" w:sz="0" w:space="0" w:color="auto"/>
            <w:left w:val="none" w:sz="0" w:space="0" w:color="auto"/>
            <w:bottom w:val="none" w:sz="0" w:space="0" w:color="auto"/>
            <w:right w:val="none" w:sz="0" w:space="0" w:color="auto"/>
          </w:divBdr>
        </w:div>
        <w:div w:id="1132362963">
          <w:marLeft w:val="0"/>
          <w:marRight w:val="0"/>
          <w:marTop w:val="0"/>
          <w:marBottom w:val="0"/>
          <w:divBdr>
            <w:top w:val="none" w:sz="0" w:space="0" w:color="auto"/>
            <w:left w:val="none" w:sz="0" w:space="0" w:color="auto"/>
            <w:bottom w:val="none" w:sz="0" w:space="0" w:color="auto"/>
            <w:right w:val="none" w:sz="0" w:space="0" w:color="auto"/>
          </w:divBdr>
        </w:div>
        <w:div w:id="1511945004">
          <w:marLeft w:val="0"/>
          <w:marRight w:val="0"/>
          <w:marTop w:val="0"/>
          <w:marBottom w:val="0"/>
          <w:divBdr>
            <w:top w:val="none" w:sz="0" w:space="0" w:color="auto"/>
            <w:left w:val="none" w:sz="0" w:space="0" w:color="auto"/>
            <w:bottom w:val="none" w:sz="0" w:space="0" w:color="auto"/>
            <w:right w:val="none" w:sz="0" w:space="0" w:color="auto"/>
          </w:divBdr>
        </w:div>
        <w:div w:id="91050055">
          <w:marLeft w:val="0"/>
          <w:marRight w:val="0"/>
          <w:marTop w:val="0"/>
          <w:marBottom w:val="0"/>
          <w:divBdr>
            <w:top w:val="none" w:sz="0" w:space="0" w:color="auto"/>
            <w:left w:val="none" w:sz="0" w:space="0" w:color="auto"/>
            <w:bottom w:val="none" w:sz="0" w:space="0" w:color="auto"/>
            <w:right w:val="none" w:sz="0" w:space="0" w:color="auto"/>
          </w:divBdr>
        </w:div>
        <w:div w:id="1694648635">
          <w:marLeft w:val="0"/>
          <w:marRight w:val="0"/>
          <w:marTop w:val="0"/>
          <w:marBottom w:val="0"/>
          <w:divBdr>
            <w:top w:val="none" w:sz="0" w:space="0" w:color="auto"/>
            <w:left w:val="none" w:sz="0" w:space="0" w:color="auto"/>
            <w:bottom w:val="none" w:sz="0" w:space="0" w:color="auto"/>
            <w:right w:val="none" w:sz="0" w:space="0" w:color="auto"/>
          </w:divBdr>
        </w:div>
        <w:div w:id="24790731">
          <w:marLeft w:val="0"/>
          <w:marRight w:val="0"/>
          <w:marTop w:val="0"/>
          <w:marBottom w:val="0"/>
          <w:divBdr>
            <w:top w:val="none" w:sz="0" w:space="0" w:color="auto"/>
            <w:left w:val="none" w:sz="0" w:space="0" w:color="auto"/>
            <w:bottom w:val="none" w:sz="0" w:space="0" w:color="auto"/>
            <w:right w:val="none" w:sz="0" w:space="0" w:color="auto"/>
          </w:divBdr>
        </w:div>
        <w:div w:id="2025672335">
          <w:marLeft w:val="0"/>
          <w:marRight w:val="0"/>
          <w:marTop w:val="0"/>
          <w:marBottom w:val="0"/>
          <w:divBdr>
            <w:top w:val="none" w:sz="0" w:space="0" w:color="auto"/>
            <w:left w:val="none" w:sz="0" w:space="0" w:color="auto"/>
            <w:bottom w:val="none" w:sz="0" w:space="0" w:color="auto"/>
            <w:right w:val="none" w:sz="0" w:space="0" w:color="auto"/>
          </w:divBdr>
        </w:div>
        <w:div w:id="1900048984">
          <w:marLeft w:val="0"/>
          <w:marRight w:val="0"/>
          <w:marTop w:val="0"/>
          <w:marBottom w:val="0"/>
          <w:divBdr>
            <w:top w:val="none" w:sz="0" w:space="0" w:color="auto"/>
            <w:left w:val="none" w:sz="0" w:space="0" w:color="auto"/>
            <w:bottom w:val="none" w:sz="0" w:space="0" w:color="auto"/>
            <w:right w:val="none" w:sz="0" w:space="0" w:color="auto"/>
          </w:divBdr>
        </w:div>
        <w:div w:id="867764711">
          <w:marLeft w:val="0"/>
          <w:marRight w:val="0"/>
          <w:marTop w:val="0"/>
          <w:marBottom w:val="0"/>
          <w:divBdr>
            <w:top w:val="none" w:sz="0" w:space="0" w:color="auto"/>
            <w:left w:val="none" w:sz="0" w:space="0" w:color="auto"/>
            <w:bottom w:val="none" w:sz="0" w:space="0" w:color="auto"/>
            <w:right w:val="none" w:sz="0" w:space="0" w:color="auto"/>
          </w:divBdr>
        </w:div>
        <w:div w:id="1820540219">
          <w:marLeft w:val="0"/>
          <w:marRight w:val="0"/>
          <w:marTop w:val="0"/>
          <w:marBottom w:val="0"/>
          <w:divBdr>
            <w:top w:val="none" w:sz="0" w:space="0" w:color="auto"/>
            <w:left w:val="none" w:sz="0" w:space="0" w:color="auto"/>
            <w:bottom w:val="none" w:sz="0" w:space="0" w:color="auto"/>
            <w:right w:val="none" w:sz="0" w:space="0" w:color="auto"/>
          </w:divBdr>
        </w:div>
        <w:div w:id="541524277">
          <w:marLeft w:val="0"/>
          <w:marRight w:val="0"/>
          <w:marTop w:val="0"/>
          <w:marBottom w:val="0"/>
          <w:divBdr>
            <w:top w:val="none" w:sz="0" w:space="0" w:color="auto"/>
            <w:left w:val="none" w:sz="0" w:space="0" w:color="auto"/>
            <w:bottom w:val="none" w:sz="0" w:space="0" w:color="auto"/>
            <w:right w:val="none" w:sz="0" w:space="0" w:color="auto"/>
          </w:divBdr>
        </w:div>
        <w:div w:id="1136412785">
          <w:marLeft w:val="0"/>
          <w:marRight w:val="0"/>
          <w:marTop w:val="0"/>
          <w:marBottom w:val="0"/>
          <w:divBdr>
            <w:top w:val="none" w:sz="0" w:space="0" w:color="auto"/>
            <w:left w:val="none" w:sz="0" w:space="0" w:color="auto"/>
            <w:bottom w:val="none" w:sz="0" w:space="0" w:color="auto"/>
            <w:right w:val="none" w:sz="0" w:space="0" w:color="auto"/>
          </w:divBdr>
        </w:div>
        <w:div w:id="738865838">
          <w:marLeft w:val="0"/>
          <w:marRight w:val="0"/>
          <w:marTop w:val="0"/>
          <w:marBottom w:val="0"/>
          <w:divBdr>
            <w:top w:val="none" w:sz="0" w:space="0" w:color="auto"/>
            <w:left w:val="none" w:sz="0" w:space="0" w:color="auto"/>
            <w:bottom w:val="none" w:sz="0" w:space="0" w:color="auto"/>
            <w:right w:val="none" w:sz="0" w:space="0" w:color="auto"/>
          </w:divBdr>
        </w:div>
        <w:div w:id="1624266577">
          <w:marLeft w:val="0"/>
          <w:marRight w:val="0"/>
          <w:marTop w:val="0"/>
          <w:marBottom w:val="0"/>
          <w:divBdr>
            <w:top w:val="none" w:sz="0" w:space="0" w:color="auto"/>
            <w:left w:val="none" w:sz="0" w:space="0" w:color="auto"/>
            <w:bottom w:val="none" w:sz="0" w:space="0" w:color="auto"/>
            <w:right w:val="none" w:sz="0" w:space="0" w:color="auto"/>
          </w:divBdr>
        </w:div>
        <w:div w:id="1560936495">
          <w:marLeft w:val="0"/>
          <w:marRight w:val="0"/>
          <w:marTop w:val="0"/>
          <w:marBottom w:val="0"/>
          <w:divBdr>
            <w:top w:val="none" w:sz="0" w:space="0" w:color="auto"/>
            <w:left w:val="none" w:sz="0" w:space="0" w:color="auto"/>
            <w:bottom w:val="none" w:sz="0" w:space="0" w:color="auto"/>
            <w:right w:val="none" w:sz="0" w:space="0" w:color="auto"/>
          </w:divBdr>
        </w:div>
        <w:div w:id="541749049">
          <w:marLeft w:val="0"/>
          <w:marRight w:val="0"/>
          <w:marTop w:val="0"/>
          <w:marBottom w:val="0"/>
          <w:divBdr>
            <w:top w:val="none" w:sz="0" w:space="0" w:color="auto"/>
            <w:left w:val="none" w:sz="0" w:space="0" w:color="auto"/>
            <w:bottom w:val="none" w:sz="0" w:space="0" w:color="auto"/>
            <w:right w:val="none" w:sz="0" w:space="0" w:color="auto"/>
          </w:divBdr>
        </w:div>
        <w:div w:id="76169734">
          <w:marLeft w:val="0"/>
          <w:marRight w:val="0"/>
          <w:marTop w:val="0"/>
          <w:marBottom w:val="0"/>
          <w:divBdr>
            <w:top w:val="none" w:sz="0" w:space="0" w:color="auto"/>
            <w:left w:val="none" w:sz="0" w:space="0" w:color="auto"/>
            <w:bottom w:val="none" w:sz="0" w:space="0" w:color="auto"/>
            <w:right w:val="none" w:sz="0" w:space="0" w:color="auto"/>
          </w:divBdr>
        </w:div>
        <w:div w:id="2015181654">
          <w:marLeft w:val="0"/>
          <w:marRight w:val="0"/>
          <w:marTop w:val="0"/>
          <w:marBottom w:val="0"/>
          <w:divBdr>
            <w:top w:val="none" w:sz="0" w:space="0" w:color="auto"/>
            <w:left w:val="none" w:sz="0" w:space="0" w:color="auto"/>
            <w:bottom w:val="none" w:sz="0" w:space="0" w:color="auto"/>
            <w:right w:val="none" w:sz="0" w:space="0" w:color="auto"/>
          </w:divBdr>
        </w:div>
        <w:div w:id="2112771765">
          <w:marLeft w:val="0"/>
          <w:marRight w:val="0"/>
          <w:marTop w:val="0"/>
          <w:marBottom w:val="0"/>
          <w:divBdr>
            <w:top w:val="none" w:sz="0" w:space="0" w:color="auto"/>
            <w:left w:val="none" w:sz="0" w:space="0" w:color="auto"/>
            <w:bottom w:val="none" w:sz="0" w:space="0" w:color="auto"/>
            <w:right w:val="none" w:sz="0" w:space="0" w:color="auto"/>
          </w:divBdr>
        </w:div>
        <w:div w:id="2052656457">
          <w:marLeft w:val="0"/>
          <w:marRight w:val="0"/>
          <w:marTop w:val="0"/>
          <w:marBottom w:val="0"/>
          <w:divBdr>
            <w:top w:val="none" w:sz="0" w:space="0" w:color="auto"/>
            <w:left w:val="none" w:sz="0" w:space="0" w:color="auto"/>
            <w:bottom w:val="none" w:sz="0" w:space="0" w:color="auto"/>
            <w:right w:val="none" w:sz="0" w:space="0" w:color="auto"/>
          </w:divBdr>
        </w:div>
        <w:div w:id="841358273">
          <w:marLeft w:val="0"/>
          <w:marRight w:val="0"/>
          <w:marTop w:val="0"/>
          <w:marBottom w:val="0"/>
          <w:divBdr>
            <w:top w:val="none" w:sz="0" w:space="0" w:color="auto"/>
            <w:left w:val="none" w:sz="0" w:space="0" w:color="auto"/>
            <w:bottom w:val="none" w:sz="0" w:space="0" w:color="auto"/>
            <w:right w:val="none" w:sz="0" w:space="0" w:color="auto"/>
          </w:divBdr>
        </w:div>
        <w:div w:id="960770584">
          <w:marLeft w:val="0"/>
          <w:marRight w:val="0"/>
          <w:marTop w:val="0"/>
          <w:marBottom w:val="0"/>
          <w:divBdr>
            <w:top w:val="none" w:sz="0" w:space="0" w:color="auto"/>
            <w:left w:val="none" w:sz="0" w:space="0" w:color="auto"/>
            <w:bottom w:val="none" w:sz="0" w:space="0" w:color="auto"/>
            <w:right w:val="none" w:sz="0" w:space="0" w:color="auto"/>
          </w:divBdr>
        </w:div>
        <w:div w:id="1287662359">
          <w:marLeft w:val="0"/>
          <w:marRight w:val="0"/>
          <w:marTop w:val="0"/>
          <w:marBottom w:val="0"/>
          <w:divBdr>
            <w:top w:val="none" w:sz="0" w:space="0" w:color="auto"/>
            <w:left w:val="none" w:sz="0" w:space="0" w:color="auto"/>
            <w:bottom w:val="none" w:sz="0" w:space="0" w:color="auto"/>
            <w:right w:val="none" w:sz="0" w:space="0" w:color="auto"/>
          </w:divBdr>
        </w:div>
        <w:div w:id="546722140">
          <w:marLeft w:val="0"/>
          <w:marRight w:val="0"/>
          <w:marTop w:val="0"/>
          <w:marBottom w:val="0"/>
          <w:divBdr>
            <w:top w:val="none" w:sz="0" w:space="0" w:color="auto"/>
            <w:left w:val="none" w:sz="0" w:space="0" w:color="auto"/>
            <w:bottom w:val="none" w:sz="0" w:space="0" w:color="auto"/>
            <w:right w:val="none" w:sz="0" w:space="0" w:color="auto"/>
          </w:divBdr>
        </w:div>
        <w:div w:id="1349601526">
          <w:marLeft w:val="0"/>
          <w:marRight w:val="0"/>
          <w:marTop w:val="0"/>
          <w:marBottom w:val="0"/>
          <w:divBdr>
            <w:top w:val="none" w:sz="0" w:space="0" w:color="auto"/>
            <w:left w:val="none" w:sz="0" w:space="0" w:color="auto"/>
            <w:bottom w:val="none" w:sz="0" w:space="0" w:color="auto"/>
            <w:right w:val="none" w:sz="0" w:space="0" w:color="auto"/>
          </w:divBdr>
        </w:div>
        <w:div w:id="329867233">
          <w:marLeft w:val="0"/>
          <w:marRight w:val="0"/>
          <w:marTop w:val="0"/>
          <w:marBottom w:val="0"/>
          <w:divBdr>
            <w:top w:val="none" w:sz="0" w:space="0" w:color="auto"/>
            <w:left w:val="none" w:sz="0" w:space="0" w:color="auto"/>
            <w:bottom w:val="none" w:sz="0" w:space="0" w:color="auto"/>
            <w:right w:val="none" w:sz="0" w:space="0" w:color="auto"/>
          </w:divBdr>
        </w:div>
        <w:div w:id="1757245265">
          <w:marLeft w:val="0"/>
          <w:marRight w:val="0"/>
          <w:marTop w:val="0"/>
          <w:marBottom w:val="0"/>
          <w:divBdr>
            <w:top w:val="none" w:sz="0" w:space="0" w:color="auto"/>
            <w:left w:val="none" w:sz="0" w:space="0" w:color="auto"/>
            <w:bottom w:val="none" w:sz="0" w:space="0" w:color="auto"/>
            <w:right w:val="none" w:sz="0" w:space="0" w:color="auto"/>
          </w:divBdr>
        </w:div>
        <w:div w:id="433402571">
          <w:marLeft w:val="0"/>
          <w:marRight w:val="0"/>
          <w:marTop w:val="0"/>
          <w:marBottom w:val="0"/>
          <w:divBdr>
            <w:top w:val="none" w:sz="0" w:space="0" w:color="auto"/>
            <w:left w:val="none" w:sz="0" w:space="0" w:color="auto"/>
            <w:bottom w:val="none" w:sz="0" w:space="0" w:color="auto"/>
            <w:right w:val="none" w:sz="0" w:space="0" w:color="auto"/>
          </w:divBdr>
        </w:div>
        <w:div w:id="437721730">
          <w:marLeft w:val="0"/>
          <w:marRight w:val="0"/>
          <w:marTop w:val="0"/>
          <w:marBottom w:val="0"/>
          <w:divBdr>
            <w:top w:val="none" w:sz="0" w:space="0" w:color="auto"/>
            <w:left w:val="none" w:sz="0" w:space="0" w:color="auto"/>
            <w:bottom w:val="none" w:sz="0" w:space="0" w:color="auto"/>
            <w:right w:val="none" w:sz="0" w:space="0" w:color="auto"/>
          </w:divBdr>
        </w:div>
        <w:div w:id="1951204535">
          <w:marLeft w:val="0"/>
          <w:marRight w:val="0"/>
          <w:marTop w:val="0"/>
          <w:marBottom w:val="0"/>
          <w:divBdr>
            <w:top w:val="none" w:sz="0" w:space="0" w:color="auto"/>
            <w:left w:val="none" w:sz="0" w:space="0" w:color="auto"/>
            <w:bottom w:val="none" w:sz="0" w:space="0" w:color="auto"/>
            <w:right w:val="none" w:sz="0" w:space="0" w:color="auto"/>
          </w:divBdr>
        </w:div>
        <w:div w:id="1617062386">
          <w:marLeft w:val="0"/>
          <w:marRight w:val="0"/>
          <w:marTop w:val="0"/>
          <w:marBottom w:val="0"/>
          <w:divBdr>
            <w:top w:val="none" w:sz="0" w:space="0" w:color="auto"/>
            <w:left w:val="none" w:sz="0" w:space="0" w:color="auto"/>
            <w:bottom w:val="none" w:sz="0" w:space="0" w:color="auto"/>
            <w:right w:val="none" w:sz="0" w:space="0" w:color="auto"/>
          </w:divBdr>
        </w:div>
        <w:div w:id="505829762">
          <w:marLeft w:val="0"/>
          <w:marRight w:val="0"/>
          <w:marTop w:val="0"/>
          <w:marBottom w:val="0"/>
          <w:divBdr>
            <w:top w:val="none" w:sz="0" w:space="0" w:color="auto"/>
            <w:left w:val="none" w:sz="0" w:space="0" w:color="auto"/>
            <w:bottom w:val="none" w:sz="0" w:space="0" w:color="auto"/>
            <w:right w:val="none" w:sz="0" w:space="0" w:color="auto"/>
          </w:divBdr>
        </w:div>
        <w:div w:id="2139030460">
          <w:marLeft w:val="0"/>
          <w:marRight w:val="0"/>
          <w:marTop w:val="0"/>
          <w:marBottom w:val="0"/>
          <w:divBdr>
            <w:top w:val="none" w:sz="0" w:space="0" w:color="auto"/>
            <w:left w:val="none" w:sz="0" w:space="0" w:color="auto"/>
            <w:bottom w:val="none" w:sz="0" w:space="0" w:color="auto"/>
            <w:right w:val="none" w:sz="0" w:space="0" w:color="auto"/>
          </w:divBdr>
        </w:div>
        <w:div w:id="1481194567">
          <w:marLeft w:val="0"/>
          <w:marRight w:val="0"/>
          <w:marTop w:val="0"/>
          <w:marBottom w:val="0"/>
          <w:divBdr>
            <w:top w:val="none" w:sz="0" w:space="0" w:color="auto"/>
            <w:left w:val="none" w:sz="0" w:space="0" w:color="auto"/>
            <w:bottom w:val="none" w:sz="0" w:space="0" w:color="auto"/>
            <w:right w:val="none" w:sz="0" w:space="0" w:color="auto"/>
          </w:divBdr>
        </w:div>
        <w:div w:id="379018697">
          <w:marLeft w:val="0"/>
          <w:marRight w:val="0"/>
          <w:marTop w:val="0"/>
          <w:marBottom w:val="0"/>
          <w:divBdr>
            <w:top w:val="none" w:sz="0" w:space="0" w:color="auto"/>
            <w:left w:val="none" w:sz="0" w:space="0" w:color="auto"/>
            <w:bottom w:val="none" w:sz="0" w:space="0" w:color="auto"/>
            <w:right w:val="none" w:sz="0" w:space="0" w:color="auto"/>
          </w:divBdr>
        </w:div>
        <w:div w:id="167796716">
          <w:marLeft w:val="0"/>
          <w:marRight w:val="0"/>
          <w:marTop w:val="0"/>
          <w:marBottom w:val="0"/>
          <w:divBdr>
            <w:top w:val="none" w:sz="0" w:space="0" w:color="auto"/>
            <w:left w:val="none" w:sz="0" w:space="0" w:color="auto"/>
            <w:bottom w:val="none" w:sz="0" w:space="0" w:color="auto"/>
            <w:right w:val="none" w:sz="0" w:space="0" w:color="auto"/>
          </w:divBdr>
        </w:div>
        <w:div w:id="11877623">
          <w:marLeft w:val="0"/>
          <w:marRight w:val="0"/>
          <w:marTop w:val="0"/>
          <w:marBottom w:val="0"/>
          <w:divBdr>
            <w:top w:val="none" w:sz="0" w:space="0" w:color="auto"/>
            <w:left w:val="none" w:sz="0" w:space="0" w:color="auto"/>
            <w:bottom w:val="none" w:sz="0" w:space="0" w:color="auto"/>
            <w:right w:val="none" w:sz="0" w:space="0" w:color="auto"/>
          </w:divBdr>
        </w:div>
        <w:div w:id="1477143818">
          <w:marLeft w:val="0"/>
          <w:marRight w:val="0"/>
          <w:marTop w:val="0"/>
          <w:marBottom w:val="0"/>
          <w:divBdr>
            <w:top w:val="none" w:sz="0" w:space="0" w:color="auto"/>
            <w:left w:val="none" w:sz="0" w:space="0" w:color="auto"/>
            <w:bottom w:val="none" w:sz="0" w:space="0" w:color="auto"/>
            <w:right w:val="none" w:sz="0" w:space="0" w:color="auto"/>
          </w:divBdr>
        </w:div>
        <w:div w:id="1136066771">
          <w:marLeft w:val="0"/>
          <w:marRight w:val="0"/>
          <w:marTop w:val="0"/>
          <w:marBottom w:val="0"/>
          <w:divBdr>
            <w:top w:val="none" w:sz="0" w:space="0" w:color="auto"/>
            <w:left w:val="none" w:sz="0" w:space="0" w:color="auto"/>
            <w:bottom w:val="none" w:sz="0" w:space="0" w:color="auto"/>
            <w:right w:val="none" w:sz="0" w:space="0" w:color="auto"/>
          </w:divBdr>
        </w:div>
        <w:div w:id="460196586">
          <w:marLeft w:val="0"/>
          <w:marRight w:val="0"/>
          <w:marTop w:val="0"/>
          <w:marBottom w:val="0"/>
          <w:divBdr>
            <w:top w:val="none" w:sz="0" w:space="0" w:color="auto"/>
            <w:left w:val="none" w:sz="0" w:space="0" w:color="auto"/>
            <w:bottom w:val="none" w:sz="0" w:space="0" w:color="auto"/>
            <w:right w:val="none" w:sz="0" w:space="0" w:color="auto"/>
          </w:divBdr>
        </w:div>
        <w:div w:id="1014383816">
          <w:marLeft w:val="0"/>
          <w:marRight w:val="0"/>
          <w:marTop w:val="0"/>
          <w:marBottom w:val="0"/>
          <w:divBdr>
            <w:top w:val="none" w:sz="0" w:space="0" w:color="auto"/>
            <w:left w:val="none" w:sz="0" w:space="0" w:color="auto"/>
            <w:bottom w:val="none" w:sz="0" w:space="0" w:color="auto"/>
            <w:right w:val="none" w:sz="0" w:space="0" w:color="auto"/>
          </w:divBdr>
        </w:div>
        <w:div w:id="1396589035">
          <w:marLeft w:val="0"/>
          <w:marRight w:val="0"/>
          <w:marTop w:val="0"/>
          <w:marBottom w:val="0"/>
          <w:divBdr>
            <w:top w:val="none" w:sz="0" w:space="0" w:color="auto"/>
            <w:left w:val="none" w:sz="0" w:space="0" w:color="auto"/>
            <w:bottom w:val="none" w:sz="0" w:space="0" w:color="auto"/>
            <w:right w:val="none" w:sz="0" w:space="0" w:color="auto"/>
          </w:divBdr>
        </w:div>
        <w:div w:id="2013289151">
          <w:marLeft w:val="0"/>
          <w:marRight w:val="0"/>
          <w:marTop w:val="0"/>
          <w:marBottom w:val="0"/>
          <w:divBdr>
            <w:top w:val="none" w:sz="0" w:space="0" w:color="auto"/>
            <w:left w:val="none" w:sz="0" w:space="0" w:color="auto"/>
            <w:bottom w:val="none" w:sz="0" w:space="0" w:color="auto"/>
            <w:right w:val="none" w:sz="0" w:space="0" w:color="auto"/>
          </w:divBdr>
        </w:div>
        <w:div w:id="1926186048">
          <w:marLeft w:val="0"/>
          <w:marRight w:val="0"/>
          <w:marTop w:val="0"/>
          <w:marBottom w:val="0"/>
          <w:divBdr>
            <w:top w:val="none" w:sz="0" w:space="0" w:color="auto"/>
            <w:left w:val="none" w:sz="0" w:space="0" w:color="auto"/>
            <w:bottom w:val="none" w:sz="0" w:space="0" w:color="auto"/>
            <w:right w:val="none" w:sz="0" w:space="0" w:color="auto"/>
          </w:divBdr>
        </w:div>
        <w:div w:id="1816027279">
          <w:marLeft w:val="0"/>
          <w:marRight w:val="0"/>
          <w:marTop w:val="0"/>
          <w:marBottom w:val="0"/>
          <w:divBdr>
            <w:top w:val="none" w:sz="0" w:space="0" w:color="auto"/>
            <w:left w:val="none" w:sz="0" w:space="0" w:color="auto"/>
            <w:bottom w:val="none" w:sz="0" w:space="0" w:color="auto"/>
            <w:right w:val="none" w:sz="0" w:space="0" w:color="auto"/>
          </w:divBdr>
        </w:div>
        <w:div w:id="2109229818">
          <w:marLeft w:val="0"/>
          <w:marRight w:val="0"/>
          <w:marTop w:val="0"/>
          <w:marBottom w:val="0"/>
          <w:divBdr>
            <w:top w:val="none" w:sz="0" w:space="0" w:color="auto"/>
            <w:left w:val="none" w:sz="0" w:space="0" w:color="auto"/>
            <w:bottom w:val="none" w:sz="0" w:space="0" w:color="auto"/>
            <w:right w:val="none" w:sz="0" w:space="0" w:color="auto"/>
          </w:divBdr>
        </w:div>
        <w:div w:id="2002125229">
          <w:marLeft w:val="0"/>
          <w:marRight w:val="0"/>
          <w:marTop w:val="0"/>
          <w:marBottom w:val="0"/>
          <w:divBdr>
            <w:top w:val="none" w:sz="0" w:space="0" w:color="auto"/>
            <w:left w:val="none" w:sz="0" w:space="0" w:color="auto"/>
            <w:bottom w:val="none" w:sz="0" w:space="0" w:color="auto"/>
            <w:right w:val="none" w:sz="0" w:space="0" w:color="auto"/>
          </w:divBdr>
        </w:div>
        <w:div w:id="1305626900">
          <w:marLeft w:val="0"/>
          <w:marRight w:val="0"/>
          <w:marTop w:val="0"/>
          <w:marBottom w:val="0"/>
          <w:divBdr>
            <w:top w:val="none" w:sz="0" w:space="0" w:color="auto"/>
            <w:left w:val="none" w:sz="0" w:space="0" w:color="auto"/>
            <w:bottom w:val="none" w:sz="0" w:space="0" w:color="auto"/>
            <w:right w:val="none" w:sz="0" w:space="0" w:color="auto"/>
          </w:divBdr>
        </w:div>
        <w:div w:id="886070978">
          <w:marLeft w:val="0"/>
          <w:marRight w:val="0"/>
          <w:marTop w:val="0"/>
          <w:marBottom w:val="0"/>
          <w:divBdr>
            <w:top w:val="none" w:sz="0" w:space="0" w:color="auto"/>
            <w:left w:val="none" w:sz="0" w:space="0" w:color="auto"/>
            <w:bottom w:val="none" w:sz="0" w:space="0" w:color="auto"/>
            <w:right w:val="none" w:sz="0" w:space="0" w:color="auto"/>
          </w:divBdr>
        </w:div>
        <w:div w:id="1394622538">
          <w:marLeft w:val="0"/>
          <w:marRight w:val="0"/>
          <w:marTop w:val="0"/>
          <w:marBottom w:val="0"/>
          <w:divBdr>
            <w:top w:val="none" w:sz="0" w:space="0" w:color="auto"/>
            <w:left w:val="none" w:sz="0" w:space="0" w:color="auto"/>
            <w:bottom w:val="none" w:sz="0" w:space="0" w:color="auto"/>
            <w:right w:val="none" w:sz="0" w:space="0" w:color="auto"/>
          </w:divBdr>
        </w:div>
        <w:div w:id="1743018705">
          <w:marLeft w:val="0"/>
          <w:marRight w:val="0"/>
          <w:marTop w:val="0"/>
          <w:marBottom w:val="0"/>
          <w:divBdr>
            <w:top w:val="none" w:sz="0" w:space="0" w:color="auto"/>
            <w:left w:val="none" w:sz="0" w:space="0" w:color="auto"/>
            <w:bottom w:val="none" w:sz="0" w:space="0" w:color="auto"/>
            <w:right w:val="none" w:sz="0" w:space="0" w:color="auto"/>
          </w:divBdr>
        </w:div>
        <w:div w:id="928345852">
          <w:marLeft w:val="0"/>
          <w:marRight w:val="0"/>
          <w:marTop w:val="0"/>
          <w:marBottom w:val="0"/>
          <w:divBdr>
            <w:top w:val="none" w:sz="0" w:space="0" w:color="auto"/>
            <w:left w:val="none" w:sz="0" w:space="0" w:color="auto"/>
            <w:bottom w:val="none" w:sz="0" w:space="0" w:color="auto"/>
            <w:right w:val="none" w:sz="0" w:space="0" w:color="auto"/>
          </w:divBdr>
        </w:div>
        <w:div w:id="1351639975">
          <w:marLeft w:val="0"/>
          <w:marRight w:val="0"/>
          <w:marTop w:val="0"/>
          <w:marBottom w:val="0"/>
          <w:divBdr>
            <w:top w:val="none" w:sz="0" w:space="0" w:color="auto"/>
            <w:left w:val="none" w:sz="0" w:space="0" w:color="auto"/>
            <w:bottom w:val="none" w:sz="0" w:space="0" w:color="auto"/>
            <w:right w:val="none" w:sz="0" w:space="0" w:color="auto"/>
          </w:divBdr>
        </w:div>
      </w:divsChild>
    </w:div>
    <w:div w:id="303891656">
      <w:bodyDiv w:val="1"/>
      <w:marLeft w:val="0"/>
      <w:marRight w:val="0"/>
      <w:marTop w:val="0"/>
      <w:marBottom w:val="0"/>
      <w:divBdr>
        <w:top w:val="none" w:sz="0" w:space="0" w:color="auto"/>
        <w:left w:val="none" w:sz="0" w:space="0" w:color="auto"/>
        <w:bottom w:val="none" w:sz="0" w:space="0" w:color="auto"/>
        <w:right w:val="none" w:sz="0" w:space="0" w:color="auto"/>
      </w:divBdr>
      <w:divsChild>
        <w:div w:id="1549606071">
          <w:marLeft w:val="0"/>
          <w:marRight w:val="0"/>
          <w:marTop w:val="0"/>
          <w:marBottom w:val="0"/>
          <w:divBdr>
            <w:top w:val="none" w:sz="0" w:space="0" w:color="auto"/>
            <w:left w:val="none" w:sz="0" w:space="0" w:color="auto"/>
            <w:bottom w:val="none" w:sz="0" w:space="0" w:color="auto"/>
            <w:right w:val="none" w:sz="0" w:space="0" w:color="auto"/>
          </w:divBdr>
        </w:div>
        <w:div w:id="697464706">
          <w:marLeft w:val="0"/>
          <w:marRight w:val="0"/>
          <w:marTop w:val="0"/>
          <w:marBottom w:val="0"/>
          <w:divBdr>
            <w:top w:val="none" w:sz="0" w:space="0" w:color="auto"/>
            <w:left w:val="none" w:sz="0" w:space="0" w:color="auto"/>
            <w:bottom w:val="none" w:sz="0" w:space="0" w:color="auto"/>
            <w:right w:val="none" w:sz="0" w:space="0" w:color="auto"/>
          </w:divBdr>
        </w:div>
        <w:div w:id="1374696159">
          <w:marLeft w:val="0"/>
          <w:marRight w:val="0"/>
          <w:marTop w:val="0"/>
          <w:marBottom w:val="0"/>
          <w:divBdr>
            <w:top w:val="none" w:sz="0" w:space="0" w:color="auto"/>
            <w:left w:val="none" w:sz="0" w:space="0" w:color="auto"/>
            <w:bottom w:val="none" w:sz="0" w:space="0" w:color="auto"/>
            <w:right w:val="none" w:sz="0" w:space="0" w:color="auto"/>
          </w:divBdr>
        </w:div>
        <w:div w:id="466356322">
          <w:marLeft w:val="0"/>
          <w:marRight w:val="0"/>
          <w:marTop w:val="0"/>
          <w:marBottom w:val="0"/>
          <w:divBdr>
            <w:top w:val="none" w:sz="0" w:space="0" w:color="auto"/>
            <w:left w:val="none" w:sz="0" w:space="0" w:color="auto"/>
            <w:bottom w:val="none" w:sz="0" w:space="0" w:color="auto"/>
            <w:right w:val="none" w:sz="0" w:space="0" w:color="auto"/>
          </w:divBdr>
        </w:div>
      </w:divsChild>
    </w:div>
    <w:div w:id="310720970">
      <w:bodyDiv w:val="1"/>
      <w:marLeft w:val="0"/>
      <w:marRight w:val="0"/>
      <w:marTop w:val="0"/>
      <w:marBottom w:val="0"/>
      <w:divBdr>
        <w:top w:val="none" w:sz="0" w:space="0" w:color="auto"/>
        <w:left w:val="none" w:sz="0" w:space="0" w:color="auto"/>
        <w:bottom w:val="none" w:sz="0" w:space="0" w:color="auto"/>
        <w:right w:val="none" w:sz="0" w:space="0" w:color="auto"/>
      </w:divBdr>
      <w:divsChild>
        <w:div w:id="1594244020">
          <w:marLeft w:val="0"/>
          <w:marRight w:val="0"/>
          <w:marTop w:val="0"/>
          <w:marBottom w:val="0"/>
          <w:divBdr>
            <w:top w:val="none" w:sz="0" w:space="0" w:color="auto"/>
            <w:left w:val="none" w:sz="0" w:space="0" w:color="auto"/>
            <w:bottom w:val="none" w:sz="0" w:space="0" w:color="auto"/>
            <w:right w:val="none" w:sz="0" w:space="0" w:color="auto"/>
          </w:divBdr>
        </w:div>
        <w:div w:id="1970083930">
          <w:marLeft w:val="0"/>
          <w:marRight w:val="0"/>
          <w:marTop w:val="0"/>
          <w:marBottom w:val="0"/>
          <w:divBdr>
            <w:top w:val="none" w:sz="0" w:space="0" w:color="auto"/>
            <w:left w:val="none" w:sz="0" w:space="0" w:color="auto"/>
            <w:bottom w:val="none" w:sz="0" w:space="0" w:color="auto"/>
            <w:right w:val="none" w:sz="0" w:space="0" w:color="auto"/>
          </w:divBdr>
        </w:div>
        <w:div w:id="1011488985">
          <w:marLeft w:val="0"/>
          <w:marRight w:val="0"/>
          <w:marTop w:val="0"/>
          <w:marBottom w:val="0"/>
          <w:divBdr>
            <w:top w:val="none" w:sz="0" w:space="0" w:color="auto"/>
            <w:left w:val="none" w:sz="0" w:space="0" w:color="auto"/>
            <w:bottom w:val="none" w:sz="0" w:space="0" w:color="auto"/>
            <w:right w:val="none" w:sz="0" w:space="0" w:color="auto"/>
          </w:divBdr>
        </w:div>
        <w:div w:id="1528835740">
          <w:marLeft w:val="0"/>
          <w:marRight w:val="0"/>
          <w:marTop w:val="0"/>
          <w:marBottom w:val="0"/>
          <w:divBdr>
            <w:top w:val="none" w:sz="0" w:space="0" w:color="auto"/>
            <w:left w:val="none" w:sz="0" w:space="0" w:color="auto"/>
            <w:bottom w:val="none" w:sz="0" w:space="0" w:color="auto"/>
            <w:right w:val="none" w:sz="0" w:space="0" w:color="auto"/>
          </w:divBdr>
        </w:div>
        <w:div w:id="657418082">
          <w:marLeft w:val="0"/>
          <w:marRight w:val="0"/>
          <w:marTop w:val="0"/>
          <w:marBottom w:val="0"/>
          <w:divBdr>
            <w:top w:val="none" w:sz="0" w:space="0" w:color="auto"/>
            <w:left w:val="none" w:sz="0" w:space="0" w:color="auto"/>
            <w:bottom w:val="none" w:sz="0" w:space="0" w:color="auto"/>
            <w:right w:val="none" w:sz="0" w:space="0" w:color="auto"/>
          </w:divBdr>
        </w:div>
        <w:div w:id="1123305705">
          <w:marLeft w:val="0"/>
          <w:marRight w:val="0"/>
          <w:marTop w:val="0"/>
          <w:marBottom w:val="0"/>
          <w:divBdr>
            <w:top w:val="none" w:sz="0" w:space="0" w:color="auto"/>
            <w:left w:val="none" w:sz="0" w:space="0" w:color="auto"/>
            <w:bottom w:val="none" w:sz="0" w:space="0" w:color="auto"/>
            <w:right w:val="none" w:sz="0" w:space="0" w:color="auto"/>
          </w:divBdr>
        </w:div>
        <w:div w:id="614946101">
          <w:marLeft w:val="0"/>
          <w:marRight w:val="0"/>
          <w:marTop w:val="0"/>
          <w:marBottom w:val="0"/>
          <w:divBdr>
            <w:top w:val="none" w:sz="0" w:space="0" w:color="auto"/>
            <w:left w:val="none" w:sz="0" w:space="0" w:color="auto"/>
            <w:bottom w:val="none" w:sz="0" w:space="0" w:color="auto"/>
            <w:right w:val="none" w:sz="0" w:space="0" w:color="auto"/>
          </w:divBdr>
        </w:div>
        <w:div w:id="2075278688">
          <w:marLeft w:val="0"/>
          <w:marRight w:val="0"/>
          <w:marTop w:val="0"/>
          <w:marBottom w:val="0"/>
          <w:divBdr>
            <w:top w:val="none" w:sz="0" w:space="0" w:color="auto"/>
            <w:left w:val="none" w:sz="0" w:space="0" w:color="auto"/>
            <w:bottom w:val="none" w:sz="0" w:space="0" w:color="auto"/>
            <w:right w:val="none" w:sz="0" w:space="0" w:color="auto"/>
          </w:divBdr>
        </w:div>
        <w:div w:id="728381845">
          <w:marLeft w:val="0"/>
          <w:marRight w:val="0"/>
          <w:marTop w:val="0"/>
          <w:marBottom w:val="0"/>
          <w:divBdr>
            <w:top w:val="none" w:sz="0" w:space="0" w:color="auto"/>
            <w:left w:val="none" w:sz="0" w:space="0" w:color="auto"/>
            <w:bottom w:val="none" w:sz="0" w:space="0" w:color="auto"/>
            <w:right w:val="none" w:sz="0" w:space="0" w:color="auto"/>
          </w:divBdr>
        </w:div>
        <w:div w:id="696081462">
          <w:marLeft w:val="0"/>
          <w:marRight w:val="0"/>
          <w:marTop w:val="0"/>
          <w:marBottom w:val="0"/>
          <w:divBdr>
            <w:top w:val="none" w:sz="0" w:space="0" w:color="auto"/>
            <w:left w:val="none" w:sz="0" w:space="0" w:color="auto"/>
            <w:bottom w:val="none" w:sz="0" w:space="0" w:color="auto"/>
            <w:right w:val="none" w:sz="0" w:space="0" w:color="auto"/>
          </w:divBdr>
        </w:div>
        <w:div w:id="682975530">
          <w:marLeft w:val="0"/>
          <w:marRight w:val="0"/>
          <w:marTop w:val="0"/>
          <w:marBottom w:val="0"/>
          <w:divBdr>
            <w:top w:val="none" w:sz="0" w:space="0" w:color="auto"/>
            <w:left w:val="none" w:sz="0" w:space="0" w:color="auto"/>
            <w:bottom w:val="none" w:sz="0" w:space="0" w:color="auto"/>
            <w:right w:val="none" w:sz="0" w:space="0" w:color="auto"/>
          </w:divBdr>
        </w:div>
        <w:div w:id="553153735">
          <w:marLeft w:val="0"/>
          <w:marRight w:val="0"/>
          <w:marTop w:val="0"/>
          <w:marBottom w:val="0"/>
          <w:divBdr>
            <w:top w:val="none" w:sz="0" w:space="0" w:color="auto"/>
            <w:left w:val="none" w:sz="0" w:space="0" w:color="auto"/>
            <w:bottom w:val="none" w:sz="0" w:space="0" w:color="auto"/>
            <w:right w:val="none" w:sz="0" w:space="0" w:color="auto"/>
          </w:divBdr>
        </w:div>
      </w:divsChild>
    </w:div>
    <w:div w:id="318383079">
      <w:bodyDiv w:val="1"/>
      <w:marLeft w:val="0"/>
      <w:marRight w:val="0"/>
      <w:marTop w:val="0"/>
      <w:marBottom w:val="0"/>
      <w:divBdr>
        <w:top w:val="none" w:sz="0" w:space="0" w:color="auto"/>
        <w:left w:val="none" w:sz="0" w:space="0" w:color="auto"/>
        <w:bottom w:val="none" w:sz="0" w:space="0" w:color="auto"/>
        <w:right w:val="none" w:sz="0" w:space="0" w:color="auto"/>
      </w:divBdr>
      <w:divsChild>
        <w:div w:id="727535208">
          <w:marLeft w:val="0"/>
          <w:marRight w:val="0"/>
          <w:marTop w:val="0"/>
          <w:marBottom w:val="0"/>
          <w:divBdr>
            <w:top w:val="none" w:sz="0" w:space="0" w:color="auto"/>
            <w:left w:val="none" w:sz="0" w:space="0" w:color="auto"/>
            <w:bottom w:val="none" w:sz="0" w:space="0" w:color="auto"/>
            <w:right w:val="none" w:sz="0" w:space="0" w:color="auto"/>
          </w:divBdr>
        </w:div>
        <w:div w:id="147406618">
          <w:marLeft w:val="0"/>
          <w:marRight w:val="0"/>
          <w:marTop w:val="0"/>
          <w:marBottom w:val="0"/>
          <w:divBdr>
            <w:top w:val="none" w:sz="0" w:space="0" w:color="auto"/>
            <w:left w:val="none" w:sz="0" w:space="0" w:color="auto"/>
            <w:bottom w:val="none" w:sz="0" w:space="0" w:color="auto"/>
            <w:right w:val="none" w:sz="0" w:space="0" w:color="auto"/>
          </w:divBdr>
        </w:div>
        <w:div w:id="1626808453">
          <w:marLeft w:val="0"/>
          <w:marRight w:val="0"/>
          <w:marTop w:val="0"/>
          <w:marBottom w:val="0"/>
          <w:divBdr>
            <w:top w:val="none" w:sz="0" w:space="0" w:color="auto"/>
            <w:left w:val="none" w:sz="0" w:space="0" w:color="auto"/>
            <w:bottom w:val="none" w:sz="0" w:space="0" w:color="auto"/>
            <w:right w:val="none" w:sz="0" w:space="0" w:color="auto"/>
          </w:divBdr>
        </w:div>
        <w:div w:id="639266470">
          <w:marLeft w:val="0"/>
          <w:marRight w:val="0"/>
          <w:marTop w:val="0"/>
          <w:marBottom w:val="0"/>
          <w:divBdr>
            <w:top w:val="none" w:sz="0" w:space="0" w:color="auto"/>
            <w:left w:val="none" w:sz="0" w:space="0" w:color="auto"/>
            <w:bottom w:val="none" w:sz="0" w:space="0" w:color="auto"/>
            <w:right w:val="none" w:sz="0" w:space="0" w:color="auto"/>
          </w:divBdr>
        </w:div>
        <w:div w:id="2045447387">
          <w:marLeft w:val="0"/>
          <w:marRight w:val="0"/>
          <w:marTop w:val="0"/>
          <w:marBottom w:val="0"/>
          <w:divBdr>
            <w:top w:val="none" w:sz="0" w:space="0" w:color="auto"/>
            <w:left w:val="none" w:sz="0" w:space="0" w:color="auto"/>
            <w:bottom w:val="none" w:sz="0" w:space="0" w:color="auto"/>
            <w:right w:val="none" w:sz="0" w:space="0" w:color="auto"/>
          </w:divBdr>
        </w:div>
        <w:div w:id="1206719352">
          <w:marLeft w:val="0"/>
          <w:marRight w:val="0"/>
          <w:marTop w:val="0"/>
          <w:marBottom w:val="0"/>
          <w:divBdr>
            <w:top w:val="none" w:sz="0" w:space="0" w:color="auto"/>
            <w:left w:val="none" w:sz="0" w:space="0" w:color="auto"/>
            <w:bottom w:val="none" w:sz="0" w:space="0" w:color="auto"/>
            <w:right w:val="none" w:sz="0" w:space="0" w:color="auto"/>
          </w:divBdr>
        </w:div>
        <w:div w:id="1659383191">
          <w:marLeft w:val="0"/>
          <w:marRight w:val="0"/>
          <w:marTop w:val="0"/>
          <w:marBottom w:val="0"/>
          <w:divBdr>
            <w:top w:val="none" w:sz="0" w:space="0" w:color="auto"/>
            <w:left w:val="none" w:sz="0" w:space="0" w:color="auto"/>
            <w:bottom w:val="none" w:sz="0" w:space="0" w:color="auto"/>
            <w:right w:val="none" w:sz="0" w:space="0" w:color="auto"/>
          </w:divBdr>
        </w:div>
      </w:divsChild>
    </w:div>
    <w:div w:id="349649300">
      <w:bodyDiv w:val="1"/>
      <w:marLeft w:val="0"/>
      <w:marRight w:val="0"/>
      <w:marTop w:val="0"/>
      <w:marBottom w:val="0"/>
      <w:divBdr>
        <w:top w:val="none" w:sz="0" w:space="0" w:color="auto"/>
        <w:left w:val="none" w:sz="0" w:space="0" w:color="auto"/>
        <w:bottom w:val="none" w:sz="0" w:space="0" w:color="auto"/>
        <w:right w:val="none" w:sz="0" w:space="0" w:color="auto"/>
      </w:divBdr>
    </w:div>
    <w:div w:id="364791733">
      <w:bodyDiv w:val="1"/>
      <w:marLeft w:val="0"/>
      <w:marRight w:val="0"/>
      <w:marTop w:val="0"/>
      <w:marBottom w:val="0"/>
      <w:divBdr>
        <w:top w:val="none" w:sz="0" w:space="0" w:color="auto"/>
        <w:left w:val="none" w:sz="0" w:space="0" w:color="auto"/>
        <w:bottom w:val="none" w:sz="0" w:space="0" w:color="auto"/>
        <w:right w:val="none" w:sz="0" w:space="0" w:color="auto"/>
      </w:divBdr>
      <w:divsChild>
        <w:div w:id="95028101">
          <w:marLeft w:val="0"/>
          <w:marRight w:val="0"/>
          <w:marTop w:val="0"/>
          <w:marBottom w:val="0"/>
          <w:divBdr>
            <w:top w:val="none" w:sz="0" w:space="0" w:color="auto"/>
            <w:left w:val="none" w:sz="0" w:space="0" w:color="auto"/>
            <w:bottom w:val="none" w:sz="0" w:space="0" w:color="auto"/>
            <w:right w:val="none" w:sz="0" w:space="0" w:color="auto"/>
          </w:divBdr>
        </w:div>
        <w:div w:id="158008508">
          <w:marLeft w:val="0"/>
          <w:marRight w:val="0"/>
          <w:marTop w:val="0"/>
          <w:marBottom w:val="0"/>
          <w:divBdr>
            <w:top w:val="none" w:sz="0" w:space="0" w:color="auto"/>
            <w:left w:val="none" w:sz="0" w:space="0" w:color="auto"/>
            <w:bottom w:val="none" w:sz="0" w:space="0" w:color="auto"/>
            <w:right w:val="none" w:sz="0" w:space="0" w:color="auto"/>
          </w:divBdr>
        </w:div>
        <w:div w:id="486672736">
          <w:marLeft w:val="0"/>
          <w:marRight w:val="0"/>
          <w:marTop w:val="0"/>
          <w:marBottom w:val="0"/>
          <w:divBdr>
            <w:top w:val="none" w:sz="0" w:space="0" w:color="auto"/>
            <w:left w:val="none" w:sz="0" w:space="0" w:color="auto"/>
            <w:bottom w:val="none" w:sz="0" w:space="0" w:color="auto"/>
            <w:right w:val="none" w:sz="0" w:space="0" w:color="auto"/>
          </w:divBdr>
        </w:div>
        <w:div w:id="921259108">
          <w:marLeft w:val="0"/>
          <w:marRight w:val="0"/>
          <w:marTop w:val="0"/>
          <w:marBottom w:val="0"/>
          <w:divBdr>
            <w:top w:val="none" w:sz="0" w:space="0" w:color="auto"/>
            <w:left w:val="none" w:sz="0" w:space="0" w:color="auto"/>
            <w:bottom w:val="none" w:sz="0" w:space="0" w:color="auto"/>
            <w:right w:val="none" w:sz="0" w:space="0" w:color="auto"/>
          </w:divBdr>
        </w:div>
        <w:div w:id="906039875">
          <w:marLeft w:val="0"/>
          <w:marRight w:val="0"/>
          <w:marTop w:val="0"/>
          <w:marBottom w:val="0"/>
          <w:divBdr>
            <w:top w:val="none" w:sz="0" w:space="0" w:color="auto"/>
            <w:left w:val="none" w:sz="0" w:space="0" w:color="auto"/>
            <w:bottom w:val="none" w:sz="0" w:space="0" w:color="auto"/>
            <w:right w:val="none" w:sz="0" w:space="0" w:color="auto"/>
          </w:divBdr>
        </w:div>
      </w:divsChild>
    </w:div>
    <w:div w:id="402022162">
      <w:bodyDiv w:val="1"/>
      <w:marLeft w:val="0"/>
      <w:marRight w:val="0"/>
      <w:marTop w:val="0"/>
      <w:marBottom w:val="0"/>
      <w:divBdr>
        <w:top w:val="none" w:sz="0" w:space="0" w:color="auto"/>
        <w:left w:val="none" w:sz="0" w:space="0" w:color="auto"/>
        <w:bottom w:val="none" w:sz="0" w:space="0" w:color="auto"/>
        <w:right w:val="none" w:sz="0" w:space="0" w:color="auto"/>
      </w:divBdr>
      <w:divsChild>
        <w:div w:id="1746685682">
          <w:marLeft w:val="0"/>
          <w:marRight w:val="0"/>
          <w:marTop w:val="0"/>
          <w:marBottom w:val="0"/>
          <w:divBdr>
            <w:top w:val="none" w:sz="0" w:space="0" w:color="auto"/>
            <w:left w:val="none" w:sz="0" w:space="0" w:color="auto"/>
            <w:bottom w:val="none" w:sz="0" w:space="0" w:color="auto"/>
            <w:right w:val="none" w:sz="0" w:space="0" w:color="auto"/>
          </w:divBdr>
        </w:div>
        <w:div w:id="835656737">
          <w:marLeft w:val="0"/>
          <w:marRight w:val="0"/>
          <w:marTop w:val="0"/>
          <w:marBottom w:val="0"/>
          <w:divBdr>
            <w:top w:val="none" w:sz="0" w:space="0" w:color="auto"/>
            <w:left w:val="none" w:sz="0" w:space="0" w:color="auto"/>
            <w:bottom w:val="none" w:sz="0" w:space="0" w:color="auto"/>
            <w:right w:val="none" w:sz="0" w:space="0" w:color="auto"/>
          </w:divBdr>
        </w:div>
        <w:div w:id="463350598">
          <w:marLeft w:val="0"/>
          <w:marRight w:val="0"/>
          <w:marTop w:val="0"/>
          <w:marBottom w:val="0"/>
          <w:divBdr>
            <w:top w:val="none" w:sz="0" w:space="0" w:color="auto"/>
            <w:left w:val="none" w:sz="0" w:space="0" w:color="auto"/>
            <w:bottom w:val="none" w:sz="0" w:space="0" w:color="auto"/>
            <w:right w:val="none" w:sz="0" w:space="0" w:color="auto"/>
          </w:divBdr>
        </w:div>
        <w:div w:id="797408762">
          <w:marLeft w:val="0"/>
          <w:marRight w:val="0"/>
          <w:marTop w:val="0"/>
          <w:marBottom w:val="0"/>
          <w:divBdr>
            <w:top w:val="none" w:sz="0" w:space="0" w:color="auto"/>
            <w:left w:val="none" w:sz="0" w:space="0" w:color="auto"/>
            <w:bottom w:val="none" w:sz="0" w:space="0" w:color="auto"/>
            <w:right w:val="none" w:sz="0" w:space="0" w:color="auto"/>
          </w:divBdr>
        </w:div>
        <w:div w:id="187332329">
          <w:marLeft w:val="0"/>
          <w:marRight w:val="0"/>
          <w:marTop w:val="0"/>
          <w:marBottom w:val="0"/>
          <w:divBdr>
            <w:top w:val="none" w:sz="0" w:space="0" w:color="auto"/>
            <w:left w:val="none" w:sz="0" w:space="0" w:color="auto"/>
            <w:bottom w:val="none" w:sz="0" w:space="0" w:color="auto"/>
            <w:right w:val="none" w:sz="0" w:space="0" w:color="auto"/>
          </w:divBdr>
        </w:div>
        <w:div w:id="1717242808">
          <w:marLeft w:val="0"/>
          <w:marRight w:val="0"/>
          <w:marTop w:val="0"/>
          <w:marBottom w:val="0"/>
          <w:divBdr>
            <w:top w:val="none" w:sz="0" w:space="0" w:color="auto"/>
            <w:left w:val="none" w:sz="0" w:space="0" w:color="auto"/>
            <w:bottom w:val="none" w:sz="0" w:space="0" w:color="auto"/>
            <w:right w:val="none" w:sz="0" w:space="0" w:color="auto"/>
          </w:divBdr>
        </w:div>
        <w:div w:id="414591237">
          <w:marLeft w:val="0"/>
          <w:marRight w:val="0"/>
          <w:marTop w:val="0"/>
          <w:marBottom w:val="0"/>
          <w:divBdr>
            <w:top w:val="none" w:sz="0" w:space="0" w:color="auto"/>
            <w:left w:val="none" w:sz="0" w:space="0" w:color="auto"/>
            <w:bottom w:val="none" w:sz="0" w:space="0" w:color="auto"/>
            <w:right w:val="none" w:sz="0" w:space="0" w:color="auto"/>
          </w:divBdr>
        </w:div>
        <w:div w:id="905798020">
          <w:marLeft w:val="0"/>
          <w:marRight w:val="0"/>
          <w:marTop w:val="0"/>
          <w:marBottom w:val="0"/>
          <w:divBdr>
            <w:top w:val="none" w:sz="0" w:space="0" w:color="auto"/>
            <w:left w:val="none" w:sz="0" w:space="0" w:color="auto"/>
            <w:bottom w:val="none" w:sz="0" w:space="0" w:color="auto"/>
            <w:right w:val="none" w:sz="0" w:space="0" w:color="auto"/>
          </w:divBdr>
        </w:div>
      </w:divsChild>
    </w:div>
    <w:div w:id="410394610">
      <w:bodyDiv w:val="1"/>
      <w:marLeft w:val="0"/>
      <w:marRight w:val="0"/>
      <w:marTop w:val="0"/>
      <w:marBottom w:val="0"/>
      <w:divBdr>
        <w:top w:val="none" w:sz="0" w:space="0" w:color="auto"/>
        <w:left w:val="none" w:sz="0" w:space="0" w:color="auto"/>
        <w:bottom w:val="none" w:sz="0" w:space="0" w:color="auto"/>
        <w:right w:val="none" w:sz="0" w:space="0" w:color="auto"/>
      </w:divBdr>
      <w:divsChild>
        <w:div w:id="978000259">
          <w:marLeft w:val="0"/>
          <w:marRight w:val="0"/>
          <w:marTop w:val="0"/>
          <w:marBottom w:val="0"/>
          <w:divBdr>
            <w:top w:val="none" w:sz="0" w:space="0" w:color="auto"/>
            <w:left w:val="none" w:sz="0" w:space="0" w:color="auto"/>
            <w:bottom w:val="none" w:sz="0" w:space="0" w:color="auto"/>
            <w:right w:val="none" w:sz="0" w:space="0" w:color="auto"/>
          </w:divBdr>
        </w:div>
        <w:div w:id="1459565027">
          <w:marLeft w:val="0"/>
          <w:marRight w:val="0"/>
          <w:marTop w:val="0"/>
          <w:marBottom w:val="0"/>
          <w:divBdr>
            <w:top w:val="none" w:sz="0" w:space="0" w:color="auto"/>
            <w:left w:val="none" w:sz="0" w:space="0" w:color="auto"/>
            <w:bottom w:val="none" w:sz="0" w:space="0" w:color="auto"/>
            <w:right w:val="none" w:sz="0" w:space="0" w:color="auto"/>
          </w:divBdr>
        </w:div>
        <w:div w:id="1488933037">
          <w:marLeft w:val="0"/>
          <w:marRight w:val="0"/>
          <w:marTop w:val="0"/>
          <w:marBottom w:val="0"/>
          <w:divBdr>
            <w:top w:val="none" w:sz="0" w:space="0" w:color="auto"/>
            <w:left w:val="none" w:sz="0" w:space="0" w:color="auto"/>
            <w:bottom w:val="none" w:sz="0" w:space="0" w:color="auto"/>
            <w:right w:val="none" w:sz="0" w:space="0" w:color="auto"/>
          </w:divBdr>
        </w:div>
      </w:divsChild>
    </w:div>
    <w:div w:id="415248140">
      <w:bodyDiv w:val="1"/>
      <w:marLeft w:val="0"/>
      <w:marRight w:val="0"/>
      <w:marTop w:val="0"/>
      <w:marBottom w:val="0"/>
      <w:divBdr>
        <w:top w:val="none" w:sz="0" w:space="0" w:color="auto"/>
        <w:left w:val="none" w:sz="0" w:space="0" w:color="auto"/>
        <w:bottom w:val="none" w:sz="0" w:space="0" w:color="auto"/>
        <w:right w:val="none" w:sz="0" w:space="0" w:color="auto"/>
      </w:divBdr>
      <w:divsChild>
        <w:div w:id="1733656455">
          <w:marLeft w:val="0"/>
          <w:marRight w:val="0"/>
          <w:marTop w:val="0"/>
          <w:marBottom w:val="0"/>
          <w:divBdr>
            <w:top w:val="none" w:sz="0" w:space="0" w:color="auto"/>
            <w:left w:val="none" w:sz="0" w:space="0" w:color="auto"/>
            <w:bottom w:val="none" w:sz="0" w:space="0" w:color="auto"/>
            <w:right w:val="none" w:sz="0" w:space="0" w:color="auto"/>
          </w:divBdr>
        </w:div>
        <w:div w:id="108202613">
          <w:marLeft w:val="0"/>
          <w:marRight w:val="0"/>
          <w:marTop w:val="0"/>
          <w:marBottom w:val="0"/>
          <w:divBdr>
            <w:top w:val="none" w:sz="0" w:space="0" w:color="auto"/>
            <w:left w:val="none" w:sz="0" w:space="0" w:color="auto"/>
            <w:bottom w:val="none" w:sz="0" w:space="0" w:color="auto"/>
            <w:right w:val="none" w:sz="0" w:space="0" w:color="auto"/>
          </w:divBdr>
        </w:div>
        <w:div w:id="721097507">
          <w:marLeft w:val="0"/>
          <w:marRight w:val="0"/>
          <w:marTop w:val="0"/>
          <w:marBottom w:val="0"/>
          <w:divBdr>
            <w:top w:val="none" w:sz="0" w:space="0" w:color="auto"/>
            <w:left w:val="none" w:sz="0" w:space="0" w:color="auto"/>
            <w:bottom w:val="none" w:sz="0" w:space="0" w:color="auto"/>
            <w:right w:val="none" w:sz="0" w:space="0" w:color="auto"/>
          </w:divBdr>
        </w:div>
        <w:div w:id="1127507089">
          <w:marLeft w:val="0"/>
          <w:marRight w:val="0"/>
          <w:marTop w:val="0"/>
          <w:marBottom w:val="0"/>
          <w:divBdr>
            <w:top w:val="none" w:sz="0" w:space="0" w:color="auto"/>
            <w:left w:val="none" w:sz="0" w:space="0" w:color="auto"/>
            <w:bottom w:val="none" w:sz="0" w:space="0" w:color="auto"/>
            <w:right w:val="none" w:sz="0" w:space="0" w:color="auto"/>
          </w:divBdr>
        </w:div>
        <w:div w:id="818427272">
          <w:marLeft w:val="0"/>
          <w:marRight w:val="0"/>
          <w:marTop w:val="0"/>
          <w:marBottom w:val="0"/>
          <w:divBdr>
            <w:top w:val="none" w:sz="0" w:space="0" w:color="auto"/>
            <w:left w:val="none" w:sz="0" w:space="0" w:color="auto"/>
            <w:bottom w:val="none" w:sz="0" w:space="0" w:color="auto"/>
            <w:right w:val="none" w:sz="0" w:space="0" w:color="auto"/>
          </w:divBdr>
        </w:div>
        <w:div w:id="1255436224">
          <w:marLeft w:val="0"/>
          <w:marRight w:val="0"/>
          <w:marTop w:val="0"/>
          <w:marBottom w:val="0"/>
          <w:divBdr>
            <w:top w:val="none" w:sz="0" w:space="0" w:color="auto"/>
            <w:left w:val="none" w:sz="0" w:space="0" w:color="auto"/>
            <w:bottom w:val="none" w:sz="0" w:space="0" w:color="auto"/>
            <w:right w:val="none" w:sz="0" w:space="0" w:color="auto"/>
          </w:divBdr>
        </w:div>
        <w:div w:id="1094597591">
          <w:marLeft w:val="0"/>
          <w:marRight w:val="0"/>
          <w:marTop w:val="0"/>
          <w:marBottom w:val="0"/>
          <w:divBdr>
            <w:top w:val="none" w:sz="0" w:space="0" w:color="auto"/>
            <w:left w:val="none" w:sz="0" w:space="0" w:color="auto"/>
            <w:bottom w:val="none" w:sz="0" w:space="0" w:color="auto"/>
            <w:right w:val="none" w:sz="0" w:space="0" w:color="auto"/>
          </w:divBdr>
        </w:div>
        <w:div w:id="795950650">
          <w:marLeft w:val="0"/>
          <w:marRight w:val="0"/>
          <w:marTop w:val="0"/>
          <w:marBottom w:val="0"/>
          <w:divBdr>
            <w:top w:val="none" w:sz="0" w:space="0" w:color="auto"/>
            <w:left w:val="none" w:sz="0" w:space="0" w:color="auto"/>
            <w:bottom w:val="none" w:sz="0" w:space="0" w:color="auto"/>
            <w:right w:val="none" w:sz="0" w:space="0" w:color="auto"/>
          </w:divBdr>
        </w:div>
        <w:div w:id="1050230921">
          <w:marLeft w:val="0"/>
          <w:marRight w:val="0"/>
          <w:marTop w:val="0"/>
          <w:marBottom w:val="0"/>
          <w:divBdr>
            <w:top w:val="none" w:sz="0" w:space="0" w:color="auto"/>
            <w:left w:val="none" w:sz="0" w:space="0" w:color="auto"/>
            <w:bottom w:val="none" w:sz="0" w:space="0" w:color="auto"/>
            <w:right w:val="none" w:sz="0" w:space="0" w:color="auto"/>
          </w:divBdr>
        </w:div>
        <w:div w:id="1508135300">
          <w:marLeft w:val="0"/>
          <w:marRight w:val="0"/>
          <w:marTop w:val="0"/>
          <w:marBottom w:val="0"/>
          <w:divBdr>
            <w:top w:val="none" w:sz="0" w:space="0" w:color="auto"/>
            <w:left w:val="none" w:sz="0" w:space="0" w:color="auto"/>
            <w:bottom w:val="none" w:sz="0" w:space="0" w:color="auto"/>
            <w:right w:val="none" w:sz="0" w:space="0" w:color="auto"/>
          </w:divBdr>
        </w:div>
        <w:div w:id="1602835099">
          <w:marLeft w:val="0"/>
          <w:marRight w:val="0"/>
          <w:marTop w:val="0"/>
          <w:marBottom w:val="0"/>
          <w:divBdr>
            <w:top w:val="none" w:sz="0" w:space="0" w:color="auto"/>
            <w:left w:val="none" w:sz="0" w:space="0" w:color="auto"/>
            <w:bottom w:val="none" w:sz="0" w:space="0" w:color="auto"/>
            <w:right w:val="none" w:sz="0" w:space="0" w:color="auto"/>
          </w:divBdr>
        </w:div>
        <w:div w:id="793522849">
          <w:marLeft w:val="0"/>
          <w:marRight w:val="0"/>
          <w:marTop w:val="0"/>
          <w:marBottom w:val="0"/>
          <w:divBdr>
            <w:top w:val="none" w:sz="0" w:space="0" w:color="auto"/>
            <w:left w:val="none" w:sz="0" w:space="0" w:color="auto"/>
            <w:bottom w:val="none" w:sz="0" w:space="0" w:color="auto"/>
            <w:right w:val="none" w:sz="0" w:space="0" w:color="auto"/>
          </w:divBdr>
        </w:div>
        <w:div w:id="1828128272">
          <w:marLeft w:val="0"/>
          <w:marRight w:val="0"/>
          <w:marTop w:val="0"/>
          <w:marBottom w:val="0"/>
          <w:divBdr>
            <w:top w:val="none" w:sz="0" w:space="0" w:color="auto"/>
            <w:left w:val="none" w:sz="0" w:space="0" w:color="auto"/>
            <w:bottom w:val="none" w:sz="0" w:space="0" w:color="auto"/>
            <w:right w:val="none" w:sz="0" w:space="0" w:color="auto"/>
          </w:divBdr>
        </w:div>
      </w:divsChild>
    </w:div>
    <w:div w:id="440303337">
      <w:bodyDiv w:val="1"/>
      <w:marLeft w:val="0"/>
      <w:marRight w:val="0"/>
      <w:marTop w:val="0"/>
      <w:marBottom w:val="0"/>
      <w:divBdr>
        <w:top w:val="none" w:sz="0" w:space="0" w:color="auto"/>
        <w:left w:val="none" w:sz="0" w:space="0" w:color="auto"/>
        <w:bottom w:val="none" w:sz="0" w:space="0" w:color="auto"/>
        <w:right w:val="none" w:sz="0" w:space="0" w:color="auto"/>
      </w:divBdr>
    </w:div>
    <w:div w:id="455947884">
      <w:bodyDiv w:val="1"/>
      <w:marLeft w:val="0"/>
      <w:marRight w:val="0"/>
      <w:marTop w:val="0"/>
      <w:marBottom w:val="0"/>
      <w:divBdr>
        <w:top w:val="none" w:sz="0" w:space="0" w:color="auto"/>
        <w:left w:val="none" w:sz="0" w:space="0" w:color="auto"/>
        <w:bottom w:val="none" w:sz="0" w:space="0" w:color="auto"/>
        <w:right w:val="none" w:sz="0" w:space="0" w:color="auto"/>
      </w:divBdr>
    </w:div>
    <w:div w:id="531574295">
      <w:bodyDiv w:val="1"/>
      <w:marLeft w:val="0"/>
      <w:marRight w:val="0"/>
      <w:marTop w:val="0"/>
      <w:marBottom w:val="0"/>
      <w:divBdr>
        <w:top w:val="none" w:sz="0" w:space="0" w:color="auto"/>
        <w:left w:val="none" w:sz="0" w:space="0" w:color="auto"/>
        <w:bottom w:val="none" w:sz="0" w:space="0" w:color="auto"/>
        <w:right w:val="none" w:sz="0" w:space="0" w:color="auto"/>
      </w:divBdr>
    </w:div>
    <w:div w:id="554975074">
      <w:bodyDiv w:val="1"/>
      <w:marLeft w:val="0"/>
      <w:marRight w:val="0"/>
      <w:marTop w:val="0"/>
      <w:marBottom w:val="0"/>
      <w:divBdr>
        <w:top w:val="none" w:sz="0" w:space="0" w:color="auto"/>
        <w:left w:val="none" w:sz="0" w:space="0" w:color="auto"/>
        <w:bottom w:val="none" w:sz="0" w:space="0" w:color="auto"/>
        <w:right w:val="none" w:sz="0" w:space="0" w:color="auto"/>
      </w:divBdr>
      <w:divsChild>
        <w:div w:id="1984506820">
          <w:marLeft w:val="0"/>
          <w:marRight w:val="0"/>
          <w:marTop w:val="0"/>
          <w:marBottom w:val="0"/>
          <w:divBdr>
            <w:top w:val="none" w:sz="0" w:space="0" w:color="auto"/>
            <w:left w:val="none" w:sz="0" w:space="0" w:color="auto"/>
            <w:bottom w:val="none" w:sz="0" w:space="0" w:color="auto"/>
            <w:right w:val="none" w:sz="0" w:space="0" w:color="auto"/>
          </w:divBdr>
          <w:divsChild>
            <w:div w:id="1135179364">
              <w:marLeft w:val="0"/>
              <w:marRight w:val="0"/>
              <w:marTop w:val="0"/>
              <w:marBottom w:val="0"/>
              <w:divBdr>
                <w:top w:val="none" w:sz="0" w:space="0" w:color="auto"/>
                <w:left w:val="none" w:sz="0" w:space="0" w:color="auto"/>
                <w:bottom w:val="none" w:sz="0" w:space="0" w:color="auto"/>
                <w:right w:val="none" w:sz="0" w:space="0" w:color="auto"/>
              </w:divBdr>
              <w:divsChild>
                <w:div w:id="8777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7495">
      <w:bodyDiv w:val="1"/>
      <w:marLeft w:val="0"/>
      <w:marRight w:val="0"/>
      <w:marTop w:val="0"/>
      <w:marBottom w:val="0"/>
      <w:divBdr>
        <w:top w:val="none" w:sz="0" w:space="0" w:color="auto"/>
        <w:left w:val="none" w:sz="0" w:space="0" w:color="auto"/>
        <w:bottom w:val="none" w:sz="0" w:space="0" w:color="auto"/>
        <w:right w:val="none" w:sz="0" w:space="0" w:color="auto"/>
      </w:divBdr>
      <w:divsChild>
        <w:div w:id="545608482">
          <w:marLeft w:val="0"/>
          <w:marRight w:val="0"/>
          <w:marTop w:val="0"/>
          <w:marBottom w:val="0"/>
          <w:divBdr>
            <w:top w:val="none" w:sz="0" w:space="0" w:color="auto"/>
            <w:left w:val="none" w:sz="0" w:space="0" w:color="auto"/>
            <w:bottom w:val="none" w:sz="0" w:space="0" w:color="auto"/>
            <w:right w:val="none" w:sz="0" w:space="0" w:color="auto"/>
          </w:divBdr>
        </w:div>
        <w:div w:id="1667316876">
          <w:marLeft w:val="0"/>
          <w:marRight w:val="0"/>
          <w:marTop w:val="0"/>
          <w:marBottom w:val="0"/>
          <w:divBdr>
            <w:top w:val="none" w:sz="0" w:space="0" w:color="auto"/>
            <w:left w:val="none" w:sz="0" w:space="0" w:color="auto"/>
            <w:bottom w:val="none" w:sz="0" w:space="0" w:color="auto"/>
            <w:right w:val="none" w:sz="0" w:space="0" w:color="auto"/>
          </w:divBdr>
        </w:div>
        <w:div w:id="1902790061">
          <w:marLeft w:val="0"/>
          <w:marRight w:val="0"/>
          <w:marTop w:val="0"/>
          <w:marBottom w:val="0"/>
          <w:divBdr>
            <w:top w:val="none" w:sz="0" w:space="0" w:color="auto"/>
            <w:left w:val="none" w:sz="0" w:space="0" w:color="auto"/>
            <w:bottom w:val="none" w:sz="0" w:space="0" w:color="auto"/>
            <w:right w:val="none" w:sz="0" w:space="0" w:color="auto"/>
          </w:divBdr>
        </w:div>
        <w:div w:id="322969399">
          <w:marLeft w:val="0"/>
          <w:marRight w:val="0"/>
          <w:marTop w:val="0"/>
          <w:marBottom w:val="0"/>
          <w:divBdr>
            <w:top w:val="none" w:sz="0" w:space="0" w:color="auto"/>
            <w:left w:val="none" w:sz="0" w:space="0" w:color="auto"/>
            <w:bottom w:val="none" w:sz="0" w:space="0" w:color="auto"/>
            <w:right w:val="none" w:sz="0" w:space="0" w:color="auto"/>
          </w:divBdr>
        </w:div>
      </w:divsChild>
    </w:div>
    <w:div w:id="560405051">
      <w:bodyDiv w:val="1"/>
      <w:marLeft w:val="0"/>
      <w:marRight w:val="0"/>
      <w:marTop w:val="0"/>
      <w:marBottom w:val="0"/>
      <w:divBdr>
        <w:top w:val="none" w:sz="0" w:space="0" w:color="auto"/>
        <w:left w:val="none" w:sz="0" w:space="0" w:color="auto"/>
        <w:bottom w:val="none" w:sz="0" w:space="0" w:color="auto"/>
        <w:right w:val="none" w:sz="0" w:space="0" w:color="auto"/>
      </w:divBdr>
      <w:divsChild>
        <w:div w:id="548035937">
          <w:marLeft w:val="0"/>
          <w:marRight w:val="0"/>
          <w:marTop w:val="0"/>
          <w:marBottom w:val="0"/>
          <w:divBdr>
            <w:top w:val="none" w:sz="0" w:space="0" w:color="auto"/>
            <w:left w:val="none" w:sz="0" w:space="0" w:color="auto"/>
            <w:bottom w:val="none" w:sz="0" w:space="0" w:color="auto"/>
            <w:right w:val="none" w:sz="0" w:space="0" w:color="auto"/>
          </w:divBdr>
        </w:div>
        <w:div w:id="1938709068">
          <w:marLeft w:val="0"/>
          <w:marRight w:val="0"/>
          <w:marTop w:val="0"/>
          <w:marBottom w:val="0"/>
          <w:divBdr>
            <w:top w:val="none" w:sz="0" w:space="0" w:color="auto"/>
            <w:left w:val="none" w:sz="0" w:space="0" w:color="auto"/>
            <w:bottom w:val="none" w:sz="0" w:space="0" w:color="auto"/>
            <w:right w:val="none" w:sz="0" w:space="0" w:color="auto"/>
          </w:divBdr>
        </w:div>
        <w:div w:id="930351561">
          <w:marLeft w:val="0"/>
          <w:marRight w:val="0"/>
          <w:marTop w:val="0"/>
          <w:marBottom w:val="0"/>
          <w:divBdr>
            <w:top w:val="none" w:sz="0" w:space="0" w:color="auto"/>
            <w:left w:val="none" w:sz="0" w:space="0" w:color="auto"/>
            <w:bottom w:val="none" w:sz="0" w:space="0" w:color="auto"/>
            <w:right w:val="none" w:sz="0" w:space="0" w:color="auto"/>
          </w:divBdr>
        </w:div>
        <w:div w:id="1691299632">
          <w:marLeft w:val="0"/>
          <w:marRight w:val="0"/>
          <w:marTop w:val="0"/>
          <w:marBottom w:val="0"/>
          <w:divBdr>
            <w:top w:val="none" w:sz="0" w:space="0" w:color="auto"/>
            <w:left w:val="none" w:sz="0" w:space="0" w:color="auto"/>
            <w:bottom w:val="none" w:sz="0" w:space="0" w:color="auto"/>
            <w:right w:val="none" w:sz="0" w:space="0" w:color="auto"/>
          </w:divBdr>
        </w:div>
        <w:div w:id="1330251631">
          <w:marLeft w:val="0"/>
          <w:marRight w:val="0"/>
          <w:marTop w:val="0"/>
          <w:marBottom w:val="0"/>
          <w:divBdr>
            <w:top w:val="none" w:sz="0" w:space="0" w:color="auto"/>
            <w:left w:val="none" w:sz="0" w:space="0" w:color="auto"/>
            <w:bottom w:val="none" w:sz="0" w:space="0" w:color="auto"/>
            <w:right w:val="none" w:sz="0" w:space="0" w:color="auto"/>
          </w:divBdr>
        </w:div>
        <w:div w:id="740103850">
          <w:marLeft w:val="0"/>
          <w:marRight w:val="0"/>
          <w:marTop w:val="0"/>
          <w:marBottom w:val="0"/>
          <w:divBdr>
            <w:top w:val="none" w:sz="0" w:space="0" w:color="auto"/>
            <w:left w:val="none" w:sz="0" w:space="0" w:color="auto"/>
            <w:bottom w:val="none" w:sz="0" w:space="0" w:color="auto"/>
            <w:right w:val="none" w:sz="0" w:space="0" w:color="auto"/>
          </w:divBdr>
        </w:div>
        <w:div w:id="110168753">
          <w:marLeft w:val="0"/>
          <w:marRight w:val="0"/>
          <w:marTop w:val="0"/>
          <w:marBottom w:val="0"/>
          <w:divBdr>
            <w:top w:val="none" w:sz="0" w:space="0" w:color="auto"/>
            <w:left w:val="none" w:sz="0" w:space="0" w:color="auto"/>
            <w:bottom w:val="none" w:sz="0" w:space="0" w:color="auto"/>
            <w:right w:val="none" w:sz="0" w:space="0" w:color="auto"/>
          </w:divBdr>
        </w:div>
        <w:div w:id="852493577">
          <w:marLeft w:val="0"/>
          <w:marRight w:val="0"/>
          <w:marTop w:val="0"/>
          <w:marBottom w:val="0"/>
          <w:divBdr>
            <w:top w:val="none" w:sz="0" w:space="0" w:color="auto"/>
            <w:left w:val="none" w:sz="0" w:space="0" w:color="auto"/>
            <w:bottom w:val="none" w:sz="0" w:space="0" w:color="auto"/>
            <w:right w:val="none" w:sz="0" w:space="0" w:color="auto"/>
          </w:divBdr>
        </w:div>
        <w:div w:id="717821462">
          <w:marLeft w:val="0"/>
          <w:marRight w:val="0"/>
          <w:marTop w:val="0"/>
          <w:marBottom w:val="0"/>
          <w:divBdr>
            <w:top w:val="none" w:sz="0" w:space="0" w:color="auto"/>
            <w:left w:val="none" w:sz="0" w:space="0" w:color="auto"/>
            <w:bottom w:val="none" w:sz="0" w:space="0" w:color="auto"/>
            <w:right w:val="none" w:sz="0" w:space="0" w:color="auto"/>
          </w:divBdr>
        </w:div>
        <w:div w:id="1456174272">
          <w:marLeft w:val="0"/>
          <w:marRight w:val="0"/>
          <w:marTop w:val="0"/>
          <w:marBottom w:val="0"/>
          <w:divBdr>
            <w:top w:val="none" w:sz="0" w:space="0" w:color="auto"/>
            <w:left w:val="none" w:sz="0" w:space="0" w:color="auto"/>
            <w:bottom w:val="none" w:sz="0" w:space="0" w:color="auto"/>
            <w:right w:val="none" w:sz="0" w:space="0" w:color="auto"/>
          </w:divBdr>
        </w:div>
        <w:div w:id="168258925">
          <w:marLeft w:val="0"/>
          <w:marRight w:val="0"/>
          <w:marTop w:val="0"/>
          <w:marBottom w:val="0"/>
          <w:divBdr>
            <w:top w:val="none" w:sz="0" w:space="0" w:color="auto"/>
            <w:left w:val="none" w:sz="0" w:space="0" w:color="auto"/>
            <w:bottom w:val="none" w:sz="0" w:space="0" w:color="auto"/>
            <w:right w:val="none" w:sz="0" w:space="0" w:color="auto"/>
          </w:divBdr>
        </w:div>
      </w:divsChild>
    </w:div>
    <w:div w:id="572395646">
      <w:bodyDiv w:val="1"/>
      <w:marLeft w:val="0"/>
      <w:marRight w:val="0"/>
      <w:marTop w:val="0"/>
      <w:marBottom w:val="0"/>
      <w:divBdr>
        <w:top w:val="none" w:sz="0" w:space="0" w:color="auto"/>
        <w:left w:val="none" w:sz="0" w:space="0" w:color="auto"/>
        <w:bottom w:val="none" w:sz="0" w:space="0" w:color="auto"/>
        <w:right w:val="none" w:sz="0" w:space="0" w:color="auto"/>
      </w:divBdr>
      <w:divsChild>
        <w:div w:id="1921333934">
          <w:marLeft w:val="0"/>
          <w:marRight w:val="0"/>
          <w:marTop w:val="0"/>
          <w:marBottom w:val="0"/>
          <w:divBdr>
            <w:top w:val="none" w:sz="0" w:space="0" w:color="auto"/>
            <w:left w:val="none" w:sz="0" w:space="0" w:color="auto"/>
            <w:bottom w:val="none" w:sz="0" w:space="0" w:color="auto"/>
            <w:right w:val="none" w:sz="0" w:space="0" w:color="auto"/>
          </w:divBdr>
        </w:div>
        <w:div w:id="1337998066">
          <w:marLeft w:val="0"/>
          <w:marRight w:val="0"/>
          <w:marTop w:val="0"/>
          <w:marBottom w:val="0"/>
          <w:divBdr>
            <w:top w:val="none" w:sz="0" w:space="0" w:color="auto"/>
            <w:left w:val="none" w:sz="0" w:space="0" w:color="auto"/>
            <w:bottom w:val="none" w:sz="0" w:space="0" w:color="auto"/>
            <w:right w:val="none" w:sz="0" w:space="0" w:color="auto"/>
          </w:divBdr>
        </w:div>
        <w:div w:id="2075544531">
          <w:marLeft w:val="0"/>
          <w:marRight w:val="0"/>
          <w:marTop w:val="0"/>
          <w:marBottom w:val="0"/>
          <w:divBdr>
            <w:top w:val="none" w:sz="0" w:space="0" w:color="auto"/>
            <w:left w:val="none" w:sz="0" w:space="0" w:color="auto"/>
            <w:bottom w:val="none" w:sz="0" w:space="0" w:color="auto"/>
            <w:right w:val="none" w:sz="0" w:space="0" w:color="auto"/>
          </w:divBdr>
        </w:div>
        <w:div w:id="177280458">
          <w:marLeft w:val="0"/>
          <w:marRight w:val="0"/>
          <w:marTop w:val="0"/>
          <w:marBottom w:val="0"/>
          <w:divBdr>
            <w:top w:val="none" w:sz="0" w:space="0" w:color="auto"/>
            <w:left w:val="none" w:sz="0" w:space="0" w:color="auto"/>
            <w:bottom w:val="none" w:sz="0" w:space="0" w:color="auto"/>
            <w:right w:val="none" w:sz="0" w:space="0" w:color="auto"/>
          </w:divBdr>
        </w:div>
        <w:div w:id="2032299882">
          <w:marLeft w:val="0"/>
          <w:marRight w:val="0"/>
          <w:marTop w:val="0"/>
          <w:marBottom w:val="0"/>
          <w:divBdr>
            <w:top w:val="none" w:sz="0" w:space="0" w:color="auto"/>
            <w:left w:val="none" w:sz="0" w:space="0" w:color="auto"/>
            <w:bottom w:val="none" w:sz="0" w:space="0" w:color="auto"/>
            <w:right w:val="none" w:sz="0" w:space="0" w:color="auto"/>
          </w:divBdr>
        </w:div>
        <w:div w:id="1614090087">
          <w:marLeft w:val="0"/>
          <w:marRight w:val="0"/>
          <w:marTop w:val="0"/>
          <w:marBottom w:val="0"/>
          <w:divBdr>
            <w:top w:val="none" w:sz="0" w:space="0" w:color="auto"/>
            <w:left w:val="none" w:sz="0" w:space="0" w:color="auto"/>
            <w:bottom w:val="none" w:sz="0" w:space="0" w:color="auto"/>
            <w:right w:val="none" w:sz="0" w:space="0" w:color="auto"/>
          </w:divBdr>
        </w:div>
        <w:div w:id="1909880307">
          <w:marLeft w:val="0"/>
          <w:marRight w:val="0"/>
          <w:marTop w:val="0"/>
          <w:marBottom w:val="0"/>
          <w:divBdr>
            <w:top w:val="none" w:sz="0" w:space="0" w:color="auto"/>
            <w:left w:val="none" w:sz="0" w:space="0" w:color="auto"/>
            <w:bottom w:val="none" w:sz="0" w:space="0" w:color="auto"/>
            <w:right w:val="none" w:sz="0" w:space="0" w:color="auto"/>
          </w:divBdr>
        </w:div>
        <w:div w:id="135415582">
          <w:marLeft w:val="0"/>
          <w:marRight w:val="0"/>
          <w:marTop w:val="0"/>
          <w:marBottom w:val="0"/>
          <w:divBdr>
            <w:top w:val="none" w:sz="0" w:space="0" w:color="auto"/>
            <w:left w:val="none" w:sz="0" w:space="0" w:color="auto"/>
            <w:bottom w:val="none" w:sz="0" w:space="0" w:color="auto"/>
            <w:right w:val="none" w:sz="0" w:space="0" w:color="auto"/>
          </w:divBdr>
        </w:div>
        <w:div w:id="1552427440">
          <w:marLeft w:val="0"/>
          <w:marRight w:val="0"/>
          <w:marTop w:val="0"/>
          <w:marBottom w:val="0"/>
          <w:divBdr>
            <w:top w:val="none" w:sz="0" w:space="0" w:color="auto"/>
            <w:left w:val="none" w:sz="0" w:space="0" w:color="auto"/>
            <w:bottom w:val="none" w:sz="0" w:space="0" w:color="auto"/>
            <w:right w:val="none" w:sz="0" w:space="0" w:color="auto"/>
          </w:divBdr>
        </w:div>
        <w:div w:id="1657372141">
          <w:marLeft w:val="0"/>
          <w:marRight w:val="0"/>
          <w:marTop w:val="0"/>
          <w:marBottom w:val="0"/>
          <w:divBdr>
            <w:top w:val="none" w:sz="0" w:space="0" w:color="auto"/>
            <w:left w:val="none" w:sz="0" w:space="0" w:color="auto"/>
            <w:bottom w:val="none" w:sz="0" w:space="0" w:color="auto"/>
            <w:right w:val="none" w:sz="0" w:space="0" w:color="auto"/>
          </w:divBdr>
        </w:div>
        <w:div w:id="485585783">
          <w:marLeft w:val="0"/>
          <w:marRight w:val="0"/>
          <w:marTop w:val="0"/>
          <w:marBottom w:val="0"/>
          <w:divBdr>
            <w:top w:val="none" w:sz="0" w:space="0" w:color="auto"/>
            <w:left w:val="none" w:sz="0" w:space="0" w:color="auto"/>
            <w:bottom w:val="none" w:sz="0" w:space="0" w:color="auto"/>
            <w:right w:val="none" w:sz="0" w:space="0" w:color="auto"/>
          </w:divBdr>
        </w:div>
        <w:div w:id="1471900563">
          <w:marLeft w:val="0"/>
          <w:marRight w:val="0"/>
          <w:marTop w:val="0"/>
          <w:marBottom w:val="0"/>
          <w:divBdr>
            <w:top w:val="none" w:sz="0" w:space="0" w:color="auto"/>
            <w:left w:val="none" w:sz="0" w:space="0" w:color="auto"/>
            <w:bottom w:val="none" w:sz="0" w:space="0" w:color="auto"/>
            <w:right w:val="none" w:sz="0" w:space="0" w:color="auto"/>
          </w:divBdr>
        </w:div>
        <w:div w:id="509756475">
          <w:marLeft w:val="0"/>
          <w:marRight w:val="0"/>
          <w:marTop w:val="0"/>
          <w:marBottom w:val="0"/>
          <w:divBdr>
            <w:top w:val="none" w:sz="0" w:space="0" w:color="auto"/>
            <w:left w:val="none" w:sz="0" w:space="0" w:color="auto"/>
            <w:bottom w:val="none" w:sz="0" w:space="0" w:color="auto"/>
            <w:right w:val="none" w:sz="0" w:space="0" w:color="auto"/>
          </w:divBdr>
        </w:div>
        <w:div w:id="411589840">
          <w:marLeft w:val="0"/>
          <w:marRight w:val="0"/>
          <w:marTop w:val="0"/>
          <w:marBottom w:val="0"/>
          <w:divBdr>
            <w:top w:val="none" w:sz="0" w:space="0" w:color="auto"/>
            <w:left w:val="none" w:sz="0" w:space="0" w:color="auto"/>
            <w:bottom w:val="none" w:sz="0" w:space="0" w:color="auto"/>
            <w:right w:val="none" w:sz="0" w:space="0" w:color="auto"/>
          </w:divBdr>
        </w:div>
        <w:div w:id="963316417">
          <w:marLeft w:val="0"/>
          <w:marRight w:val="0"/>
          <w:marTop w:val="0"/>
          <w:marBottom w:val="0"/>
          <w:divBdr>
            <w:top w:val="none" w:sz="0" w:space="0" w:color="auto"/>
            <w:left w:val="none" w:sz="0" w:space="0" w:color="auto"/>
            <w:bottom w:val="none" w:sz="0" w:space="0" w:color="auto"/>
            <w:right w:val="none" w:sz="0" w:space="0" w:color="auto"/>
          </w:divBdr>
        </w:div>
        <w:div w:id="408773454">
          <w:marLeft w:val="0"/>
          <w:marRight w:val="0"/>
          <w:marTop w:val="0"/>
          <w:marBottom w:val="0"/>
          <w:divBdr>
            <w:top w:val="none" w:sz="0" w:space="0" w:color="auto"/>
            <w:left w:val="none" w:sz="0" w:space="0" w:color="auto"/>
            <w:bottom w:val="none" w:sz="0" w:space="0" w:color="auto"/>
            <w:right w:val="none" w:sz="0" w:space="0" w:color="auto"/>
          </w:divBdr>
        </w:div>
        <w:div w:id="1295796125">
          <w:marLeft w:val="0"/>
          <w:marRight w:val="0"/>
          <w:marTop w:val="0"/>
          <w:marBottom w:val="0"/>
          <w:divBdr>
            <w:top w:val="none" w:sz="0" w:space="0" w:color="auto"/>
            <w:left w:val="none" w:sz="0" w:space="0" w:color="auto"/>
            <w:bottom w:val="none" w:sz="0" w:space="0" w:color="auto"/>
            <w:right w:val="none" w:sz="0" w:space="0" w:color="auto"/>
          </w:divBdr>
        </w:div>
        <w:div w:id="2138913308">
          <w:marLeft w:val="0"/>
          <w:marRight w:val="0"/>
          <w:marTop w:val="0"/>
          <w:marBottom w:val="0"/>
          <w:divBdr>
            <w:top w:val="none" w:sz="0" w:space="0" w:color="auto"/>
            <w:left w:val="none" w:sz="0" w:space="0" w:color="auto"/>
            <w:bottom w:val="none" w:sz="0" w:space="0" w:color="auto"/>
            <w:right w:val="none" w:sz="0" w:space="0" w:color="auto"/>
          </w:divBdr>
        </w:div>
        <w:div w:id="1382171491">
          <w:marLeft w:val="0"/>
          <w:marRight w:val="0"/>
          <w:marTop w:val="0"/>
          <w:marBottom w:val="0"/>
          <w:divBdr>
            <w:top w:val="none" w:sz="0" w:space="0" w:color="auto"/>
            <w:left w:val="none" w:sz="0" w:space="0" w:color="auto"/>
            <w:bottom w:val="none" w:sz="0" w:space="0" w:color="auto"/>
            <w:right w:val="none" w:sz="0" w:space="0" w:color="auto"/>
          </w:divBdr>
        </w:div>
        <w:div w:id="955213005">
          <w:marLeft w:val="0"/>
          <w:marRight w:val="0"/>
          <w:marTop w:val="0"/>
          <w:marBottom w:val="0"/>
          <w:divBdr>
            <w:top w:val="none" w:sz="0" w:space="0" w:color="auto"/>
            <w:left w:val="none" w:sz="0" w:space="0" w:color="auto"/>
            <w:bottom w:val="none" w:sz="0" w:space="0" w:color="auto"/>
            <w:right w:val="none" w:sz="0" w:space="0" w:color="auto"/>
          </w:divBdr>
        </w:div>
        <w:div w:id="1113134646">
          <w:marLeft w:val="0"/>
          <w:marRight w:val="0"/>
          <w:marTop w:val="0"/>
          <w:marBottom w:val="0"/>
          <w:divBdr>
            <w:top w:val="none" w:sz="0" w:space="0" w:color="auto"/>
            <w:left w:val="none" w:sz="0" w:space="0" w:color="auto"/>
            <w:bottom w:val="none" w:sz="0" w:space="0" w:color="auto"/>
            <w:right w:val="none" w:sz="0" w:space="0" w:color="auto"/>
          </w:divBdr>
        </w:div>
        <w:div w:id="511604155">
          <w:marLeft w:val="0"/>
          <w:marRight w:val="0"/>
          <w:marTop w:val="0"/>
          <w:marBottom w:val="0"/>
          <w:divBdr>
            <w:top w:val="none" w:sz="0" w:space="0" w:color="auto"/>
            <w:left w:val="none" w:sz="0" w:space="0" w:color="auto"/>
            <w:bottom w:val="none" w:sz="0" w:space="0" w:color="auto"/>
            <w:right w:val="none" w:sz="0" w:space="0" w:color="auto"/>
          </w:divBdr>
        </w:div>
        <w:div w:id="1096827290">
          <w:marLeft w:val="0"/>
          <w:marRight w:val="0"/>
          <w:marTop w:val="0"/>
          <w:marBottom w:val="0"/>
          <w:divBdr>
            <w:top w:val="none" w:sz="0" w:space="0" w:color="auto"/>
            <w:left w:val="none" w:sz="0" w:space="0" w:color="auto"/>
            <w:bottom w:val="none" w:sz="0" w:space="0" w:color="auto"/>
            <w:right w:val="none" w:sz="0" w:space="0" w:color="auto"/>
          </w:divBdr>
        </w:div>
        <w:div w:id="969164391">
          <w:marLeft w:val="0"/>
          <w:marRight w:val="0"/>
          <w:marTop w:val="0"/>
          <w:marBottom w:val="0"/>
          <w:divBdr>
            <w:top w:val="none" w:sz="0" w:space="0" w:color="auto"/>
            <w:left w:val="none" w:sz="0" w:space="0" w:color="auto"/>
            <w:bottom w:val="none" w:sz="0" w:space="0" w:color="auto"/>
            <w:right w:val="none" w:sz="0" w:space="0" w:color="auto"/>
          </w:divBdr>
        </w:div>
        <w:div w:id="1806502647">
          <w:marLeft w:val="0"/>
          <w:marRight w:val="0"/>
          <w:marTop w:val="0"/>
          <w:marBottom w:val="0"/>
          <w:divBdr>
            <w:top w:val="none" w:sz="0" w:space="0" w:color="auto"/>
            <w:left w:val="none" w:sz="0" w:space="0" w:color="auto"/>
            <w:bottom w:val="none" w:sz="0" w:space="0" w:color="auto"/>
            <w:right w:val="none" w:sz="0" w:space="0" w:color="auto"/>
          </w:divBdr>
        </w:div>
        <w:div w:id="604115099">
          <w:marLeft w:val="0"/>
          <w:marRight w:val="0"/>
          <w:marTop w:val="0"/>
          <w:marBottom w:val="0"/>
          <w:divBdr>
            <w:top w:val="none" w:sz="0" w:space="0" w:color="auto"/>
            <w:left w:val="none" w:sz="0" w:space="0" w:color="auto"/>
            <w:bottom w:val="none" w:sz="0" w:space="0" w:color="auto"/>
            <w:right w:val="none" w:sz="0" w:space="0" w:color="auto"/>
          </w:divBdr>
        </w:div>
        <w:div w:id="374014654">
          <w:marLeft w:val="0"/>
          <w:marRight w:val="0"/>
          <w:marTop w:val="0"/>
          <w:marBottom w:val="0"/>
          <w:divBdr>
            <w:top w:val="none" w:sz="0" w:space="0" w:color="auto"/>
            <w:left w:val="none" w:sz="0" w:space="0" w:color="auto"/>
            <w:bottom w:val="none" w:sz="0" w:space="0" w:color="auto"/>
            <w:right w:val="none" w:sz="0" w:space="0" w:color="auto"/>
          </w:divBdr>
        </w:div>
        <w:div w:id="1166438552">
          <w:marLeft w:val="0"/>
          <w:marRight w:val="0"/>
          <w:marTop w:val="0"/>
          <w:marBottom w:val="0"/>
          <w:divBdr>
            <w:top w:val="none" w:sz="0" w:space="0" w:color="auto"/>
            <w:left w:val="none" w:sz="0" w:space="0" w:color="auto"/>
            <w:bottom w:val="none" w:sz="0" w:space="0" w:color="auto"/>
            <w:right w:val="none" w:sz="0" w:space="0" w:color="auto"/>
          </w:divBdr>
        </w:div>
      </w:divsChild>
    </w:div>
    <w:div w:id="611979780">
      <w:bodyDiv w:val="1"/>
      <w:marLeft w:val="0"/>
      <w:marRight w:val="0"/>
      <w:marTop w:val="0"/>
      <w:marBottom w:val="0"/>
      <w:divBdr>
        <w:top w:val="none" w:sz="0" w:space="0" w:color="auto"/>
        <w:left w:val="none" w:sz="0" w:space="0" w:color="auto"/>
        <w:bottom w:val="none" w:sz="0" w:space="0" w:color="auto"/>
        <w:right w:val="none" w:sz="0" w:space="0" w:color="auto"/>
      </w:divBdr>
      <w:divsChild>
        <w:div w:id="392117987">
          <w:marLeft w:val="0"/>
          <w:marRight w:val="0"/>
          <w:marTop w:val="0"/>
          <w:marBottom w:val="0"/>
          <w:divBdr>
            <w:top w:val="none" w:sz="0" w:space="0" w:color="auto"/>
            <w:left w:val="none" w:sz="0" w:space="0" w:color="auto"/>
            <w:bottom w:val="none" w:sz="0" w:space="0" w:color="auto"/>
            <w:right w:val="none" w:sz="0" w:space="0" w:color="auto"/>
          </w:divBdr>
        </w:div>
        <w:div w:id="664163301">
          <w:marLeft w:val="0"/>
          <w:marRight w:val="0"/>
          <w:marTop w:val="0"/>
          <w:marBottom w:val="0"/>
          <w:divBdr>
            <w:top w:val="none" w:sz="0" w:space="0" w:color="auto"/>
            <w:left w:val="none" w:sz="0" w:space="0" w:color="auto"/>
            <w:bottom w:val="none" w:sz="0" w:space="0" w:color="auto"/>
            <w:right w:val="none" w:sz="0" w:space="0" w:color="auto"/>
          </w:divBdr>
        </w:div>
        <w:div w:id="380524417">
          <w:marLeft w:val="0"/>
          <w:marRight w:val="0"/>
          <w:marTop w:val="0"/>
          <w:marBottom w:val="0"/>
          <w:divBdr>
            <w:top w:val="none" w:sz="0" w:space="0" w:color="auto"/>
            <w:left w:val="none" w:sz="0" w:space="0" w:color="auto"/>
            <w:bottom w:val="none" w:sz="0" w:space="0" w:color="auto"/>
            <w:right w:val="none" w:sz="0" w:space="0" w:color="auto"/>
          </w:divBdr>
        </w:div>
      </w:divsChild>
    </w:div>
    <w:div w:id="623577319">
      <w:bodyDiv w:val="1"/>
      <w:marLeft w:val="0"/>
      <w:marRight w:val="0"/>
      <w:marTop w:val="0"/>
      <w:marBottom w:val="0"/>
      <w:divBdr>
        <w:top w:val="none" w:sz="0" w:space="0" w:color="auto"/>
        <w:left w:val="none" w:sz="0" w:space="0" w:color="auto"/>
        <w:bottom w:val="none" w:sz="0" w:space="0" w:color="auto"/>
        <w:right w:val="none" w:sz="0" w:space="0" w:color="auto"/>
      </w:divBdr>
      <w:divsChild>
        <w:div w:id="1597210133">
          <w:marLeft w:val="0"/>
          <w:marRight w:val="0"/>
          <w:marTop w:val="0"/>
          <w:marBottom w:val="0"/>
          <w:divBdr>
            <w:top w:val="none" w:sz="0" w:space="0" w:color="auto"/>
            <w:left w:val="none" w:sz="0" w:space="0" w:color="auto"/>
            <w:bottom w:val="none" w:sz="0" w:space="0" w:color="auto"/>
            <w:right w:val="none" w:sz="0" w:space="0" w:color="auto"/>
          </w:divBdr>
        </w:div>
        <w:div w:id="722486981">
          <w:marLeft w:val="0"/>
          <w:marRight w:val="0"/>
          <w:marTop w:val="0"/>
          <w:marBottom w:val="0"/>
          <w:divBdr>
            <w:top w:val="none" w:sz="0" w:space="0" w:color="auto"/>
            <w:left w:val="none" w:sz="0" w:space="0" w:color="auto"/>
            <w:bottom w:val="none" w:sz="0" w:space="0" w:color="auto"/>
            <w:right w:val="none" w:sz="0" w:space="0" w:color="auto"/>
          </w:divBdr>
        </w:div>
        <w:div w:id="368998194">
          <w:marLeft w:val="0"/>
          <w:marRight w:val="0"/>
          <w:marTop w:val="0"/>
          <w:marBottom w:val="0"/>
          <w:divBdr>
            <w:top w:val="none" w:sz="0" w:space="0" w:color="auto"/>
            <w:left w:val="none" w:sz="0" w:space="0" w:color="auto"/>
            <w:bottom w:val="none" w:sz="0" w:space="0" w:color="auto"/>
            <w:right w:val="none" w:sz="0" w:space="0" w:color="auto"/>
          </w:divBdr>
        </w:div>
        <w:div w:id="1657302358">
          <w:marLeft w:val="0"/>
          <w:marRight w:val="0"/>
          <w:marTop w:val="0"/>
          <w:marBottom w:val="0"/>
          <w:divBdr>
            <w:top w:val="none" w:sz="0" w:space="0" w:color="auto"/>
            <w:left w:val="none" w:sz="0" w:space="0" w:color="auto"/>
            <w:bottom w:val="none" w:sz="0" w:space="0" w:color="auto"/>
            <w:right w:val="none" w:sz="0" w:space="0" w:color="auto"/>
          </w:divBdr>
        </w:div>
        <w:div w:id="802115806">
          <w:marLeft w:val="0"/>
          <w:marRight w:val="0"/>
          <w:marTop w:val="0"/>
          <w:marBottom w:val="0"/>
          <w:divBdr>
            <w:top w:val="none" w:sz="0" w:space="0" w:color="auto"/>
            <w:left w:val="none" w:sz="0" w:space="0" w:color="auto"/>
            <w:bottom w:val="none" w:sz="0" w:space="0" w:color="auto"/>
            <w:right w:val="none" w:sz="0" w:space="0" w:color="auto"/>
          </w:divBdr>
        </w:div>
        <w:div w:id="86465842">
          <w:marLeft w:val="0"/>
          <w:marRight w:val="0"/>
          <w:marTop w:val="0"/>
          <w:marBottom w:val="0"/>
          <w:divBdr>
            <w:top w:val="none" w:sz="0" w:space="0" w:color="auto"/>
            <w:left w:val="none" w:sz="0" w:space="0" w:color="auto"/>
            <w:bottom w:val="none" w:sz="0" w:space="0" w:color="auto"/>
            <w:right w:val="none" w:sz="0" w:space="0" w:color="auto"/>
          </w:divBdr>
        </w:div>
        <w:div w:id="1935935400">
          <w:marLeft w:val="0"/>
          <w:marRight w:val="0"/>
          <w:marTop w:val="0"/>
          <w:marBottom w:val="0"/>
          <w:divBdr>
            <w:top w:val="none" w:sz="0" w:space="0" w:color="auto"/>
            <w:left w:val="none" w:sz="0" w:space="0" w:color="auto"/>
            <w:bottom w:val="none" w:sz="0" w:space="0" w:color="auto"/>
            <w:right w:val="none" w:sz="0" w:space="0" w:color="auto"/>
          </w:divBdr>
        </w:div>
        <w:div w:id="1026638444">
          <w:marLeft w:val="0"/>
          <w:marRight w:val="0"/>
          <w:marTop w:val="0"/>
          <w:marBottom w:val="0"/>
          <w:divBdr>
            <w:top w:val="none" w:sz="0" w:space="0" w:color="auto"/>
            <w:left w:val="none" w:sz="0" w:space="0" w:color="auto"/>
            <w:bottom w:val="none" w:sz="0" w:space="0" w:color="auto"/>
            <w:right w:val="none" w:sz="0" w:space="0" w:color="auto"/>
          </w:divBdr>
        </w:div>
        <w:div w:id="1052532967">
          <w:marLeft w:val="0"/>
          <w:marRight w:val="0"/>
          <w:marTop w:val="0"/>
          <w:marBottom w:val="0"/>
          <w:divBdr>
            <w:top w:val="none" w:sz="0" w:space="0" w:color="auto"/>
            <w:left w:val="none" w:sz="0" w:space="0" w:color="auto"/>
            <w:bottom w:val="none" w:sz="0" w:space="0" w:color="auto"/>
            <w:right w:val="none" w:sz="0" w:space="0" w:color="auto"/>
          </w:divBdr>
        </w:div>
        <w:div w:id="819424418">
          <w:marLeft w:val="0"/>
          <w:marRight w:val="0"/>
          <w:marTop w:val="0"/>
          <w:marBottom w:val="0"/>
          <w:divBdr>
            <w:top w:val="none" w:sz="0" w:space="0" w:color="auto"/>
            <w:left w:val="none" w:sz="0" w:space="0" w:color="auto"/>
            <w:bottom w:val="none" w:sz="0" w:space="0" w:color="auto"/>
            <w:right w:val="none" w:sz="0" w:space="0" w:color="auto"/>
          </w:divBdr>
        </w:div>
      </w:divsChild>
    </w:div>
    <w:div w:id="629556614">
      <w:bodyDiv w:val="1"/>
      <w:marLeft w:val="0"/>
      <w:marRight w:val="0"/>
      <w:marTop w:val="0"/>
      <w:marBottom w:val="0"/>
      <w:divBdr>
        <w:top w:val="none" w:sz="0" w:space="0" w:color="auto"/>
        <w:left w:val="none" w:sz="0" w:space="0" w:color="auto"/>
        <w:bottom w:val="none" w:sz="0" w:space="0" w:color="auto"/>
        <w:right w:val="none" w:sz="0" w:space="0" w:color="auto"/>
      </w:divBdr>
      <w:divsChild>
        <w:div w:id="416947118">
          <w:marLeft w:val="0"/>
          <w:marRight w:val="0"/>
          <w:marTop w:val="0"/>
          <w:marBottom w:val="0"/>
          <w:divBdr>
            <w:top w:val="none" w:sz="0" w:space="0" w:color="auto"/>
            <w:left w:val="none" w:sz="0" w:space="0" w:color="auto"/>
            <w:bottom w:val="none" w:sz="0" w:space="0" w:color="auto"/>
            <w:right w:val="none" w:sz="0" w:space="0" w:color="auto"/>
          </w:divBdr>
        </w:div>
        <w:div w:id="1793476357">
          <w:marLeft w:val="0"/>
          <w:marRight w:val="0"/>
          <w:marTop w:val="0"/>
          <w:marBottom w:val="0"/>
          <w:divBdr>
            <w:top w:val="none" w:sz="0" w:space="0" w:color="auto"/>
            <w:left w:val="none" w:sz="0" w:space="0" w:color="auto"/>
            <w:bottom w:val="none" w:sz="0" w:space="0" w:color="auto"/>
            <w:right w:val="none" w:sz="0" w:space="0" w:color="auto"/>
          </w:divBdr>
        </w:div>
        <w:div w:id="714889404">
          <w:marLeft w:val="0"/>
          <w:marRight w:val="0"/>
          <w:marTop w:val="0"/>
          <w:marBottom w:val="0"/>
          <w:divBdr>
            <w:top w:val="none" w:sz="0" w:space="0" w:color="auto"/>
            <w:left w:val="none" w:sz="0" w:space="0" w:color="auto"/>
            <w:bottom w:val="none" w:sz="0" w:space="0" w:color="auto"/>
            <w:right w:val="none" w:sz="0" w:space="0" w:color="auto"/>
          </w:divBdr>
        </w:div>
        <w:div w:id="1409771274">
          <w:marLeft w:val="0"/>
          <w:marRight w:val="0"/>
          <w:marTop w:val="0"/>
          <w:marBottom w:val="0"/>
          <w:divBdr>
            <w:top w:val="none" w:sz="0" w:space="0" w:color="auto"/>
            <w:left w:val="none" w:sz="0" w:space="0" w:color="auto"/>
            <w:bottom w:val="none" w:sz="0" w:space="0" w:color="auto"/>
            <w:right w:val="none" w:sz="0" w:space="0" w:color="auto"/>
          </w:divBdr>
        </w:div>
        <w:div w:id="590283290">
          <w:marLeft w:val="0"/>
          <w:marRight w:val="0"/>
          <w:marTop w:val="0"/>
          <w:marBottom w:val="0"/>
          <w:divBdr>
            <w:top w:val="none" w:sz="0" w:space="0" w:color="auto"/>
            <w:left w:val="none" w:sz="0" w:space="0" w:color="auto"/>
            <w:bottom w:val="none" w:sz="0" w:space="0" w:color="auto"/>
            <w:right w:val="none" w:sz="0" w:space="0" w:color="auto"/>
          </w:divBdr>
        </w:div>
        <w:div w:id="487593218">
          <w:marLeft w:val="0"/>
          <w:marRight w:val="0"/>
          <w:marTop w:val="0"/>
          <w:marBottom w:val="0"/>
          <w:divBdr>
            <w:top w:val="none" w:sz="0" w:space="0" w:color="auto"/>
            <w:left w:val="none" w:sz="0" w:space="0" w:color="auto"/>
            <w:bottom w:val="none" w:sz="0" w:space="0" w:color="auto"/>
            <w:right w:val="none" w:sz="0" w:space="0" w:color="auto"/>
          </w:divBdr>
        </w:div>
        <w:div w:id="1803185604">
          <w:marLeft w:val="0"/>
          <w:marRight w:val="0"/>
          <w:marTop w:val="0"/>
          <w:marBottom w:val="0"/>
          <w:divBdr>
            <w:top w:val="none" w:sz="0" w:space="0" w:color="auto"/>
            <w:left w:val="none" w:sz="0" w:space="0" w:color="auto"/>
            <w:bottom w:val="none" w:sz="0" w:space="0" w:color="auto"/>
            <w:right w:val="none" w:sz="0" w:space="0" w:color="auto"/>
          </w:divBdr>
        </w:div>
      </w:divsChild>
    </w:div>
    <w:div w:id="649866605">
      <w:bodyDiv w:val="1"/>
      <w:marLeft w:val="0"/>
      <w:marRight w:val="0"/>
      <w:marTop w:val="0"/>
      <w:marBottom w:val="0"/>
      <w:divBdr>
        <w:top w:val="none" w:sz="0" w:space="0" w:color="auto"/>
        <w:left w:val="none" w:sz="0" w:space="0" w:color="auto"/>
        <w:bottom w:val="none" w:sz="0" w:space="0" w:color="auto"/>
        <w:right w:val="none" w:sz="0" w:space="0" w:color="auto"/>
      </w:divBdr>
      <w:divsChild>
        <w:div w:id="1088576752">
          <w:marLeft w:val="0"/>
          <w:marRight w:val="0"/>
          <w:marTop w:val="0"/>
          <w:marBottom w:val="0"/>
          <w:divBdr>
            <w:top w:val="none" w:sz="0" w:space="0" w:color="auto"/>
            <w:left w:val="none" w:sz="0" w:space="0" w:color="auto"/>
            <w:bottom w:val="none" w:sz="0" w:space="0" w:color="auto"/>
            <w:right w:val="none" w:sz="0" w:space="0" w:color="auto"/>
          </w:divBdr>
        </w:div>
        <w:div w:id="1988045843">
          <w:marLeft w:val="0"/>
          <w:marRight w:val="0"/>
          <w:marTop w:val="0"/>
          <w:marBottom w:val="0"/>
          <w:divBdr>
            <w:top w:val="none" w:sz="0" w:space="0" w:color="auto"/>
            <w:left w:val="none" w:sz="0" w:space="0" w:color="auto"/>
            <w:bottom w:val="none" w:sz="0" w:space="0" w:color="auto"/>
            <w:right w:val="none" w:sz="0" w:space="0" w:color="auto"/>
          </w:divBdr>
        </w:div>
        <w:div w:id="2026901254">
          <w:marLeft w:val="0"/>
          <w:marRight w:val="0"/>
          <w:marTop w:val="0"/>
          <w:marBottom w:val="0"/>
          <w:divBdr>
            <w:top w:val="none" w:sz="0" w:space="0" w:color="auto"/>
            <w:left w:val="none" w:sz="0" w:space="0" w:color="auto"/>
            <w:bottom w:val="none" w:sz="0" w:space="0" w:color="auto"/>
            <w:right w:val="none" w:sz="0" w:space="0" w:color="auto"/>
          </w:divBdr>
        </w:div>
        <w:div w:id="1388526089">
          <w:marLeft w:val="0"/>
          <w:marRight w:val="0"/>
          <w:marTop w:val="0"/>
          <w:marBottom w:val="0"/>
          <w:divBdr>
            <w:top w:val="none" w:sz="0" w:space="0" w:color="auto"/>
            <w:left w:val="none" w:sz="0" w:space="0" w:color="auto"/>
            <w:bottom w:val="none" w:sz="0" w:space="0" w:color="auto"/>
            <w:right w:val="none" w:sz="0" w:space="0" w:color="auto"/>
          </w:divBdr>
        </w:div>
        <w:div w:id="2044010988">
          <w:marLeft w:val="0"/>
          <w:marRight w:val="0"/>
          <w:marTop w:val="0"/>
          <w:marBottom w:val="0"/>
          <w:divBdr>
            <w:top w:val="none" w:sz="0" w:space="0" w:color="auto"/>
            <w:left w:val="none" w:sz="0" w:space="0" w:color="auto"/>
            <w:bottom w:val="none" w:sz="0" w:space="0" w:color="auto"/>
            <w:right w:val="none" w:sz="0" w:space="0" w:color="auto"/>
          </w:divBdr>
        </w:div>
        <w:div w:id="1743142164">
          <w:marLeft w:val="0"/>
          <w:marRight w:val="0"/>
          <w:marTop w:val="0"/>
          <w:marBottom w:val="0"/>
          <w:divBdr>
            <w:top w:val="none" w:sz="0" w:space="0" w:color="auto"/>
            <w:left w:val="none" w:sz="0" w:space="0" w:color="auto"/>
            <w:bottom w:val="none" w:sz="0" w:space="0" w:color="auto"/>
            <w:right w:val="none" w:sz="0" w:space="0" w:color="auto"/>
          </w:divBdr>
        </w:div>
        <w:div w:id="1239092792">
          <w:marLeft w:val="0"/>
          <w:marRight w:val="0"/>
          <w:marTop w:val="0"/>
          <w:marBottom w:val="0"/>
          <w:divBdr>
            <w:top w:val="none" w:sz="0" w:space="0" w:color="auto"/>
            <w:left w:val="none" w:sz="0" w:space="0" w:color="auto"/>
            <w:bottom w:val="none" w:sz="0" w:space="0" w:color="auto"/>
            <w:right w:val="none" w:sz="0" w:space="0" w:color="auto"/>
          </w:divBdr>
        </w:div>
        <w:div w:id="2029869419">
          <w:marLeft w:val="0"/>
          <w:marRight w:val="0"/>
          <w:marTop w:val="0"/>
          <w:marBottom w:val="0"/>
          <w:divBdr>
            <w:top w:val="none" w:sz="0" w:space="0" w:color="auto"/>
            <w:left w:val="none" w:sz="0" w:space="0" w:color="auto"/>
            <w:bottom w:val="none" w:sz="0" w:space="0" w:color="auto"/>
            <w:right w:val="none" w:sz="0" w:space="0" w:color="auto"/>
          </w:divBdr>
        </w:div>
        <w:div w:id="94133639">
          <w:marLeft w:val="0"/>
          <w:marRight w:val="0"/>
          <w:marTop w:val="0"/>
          <w:marBottom w:val="0"/>
          <w:divBdr>
            <w:top w:val="none" w:sz="0" w:space="0" w:color="auto"/>
            <w:left w:val="none" w:sz="0" w:space="0" w:color="auto"/>
            <w:bottom w:val="none" w:sz="0" w:space="0" w:color="auto"/>
            <w:right w:val="none" w:sz="0" w:space="0" w:color="auto"/>
          </w:divBdr>
        </w:div>
        <w:div w:id="730156209">
          <w:marLeft w:val="0"/>
          <w:marRight w:val="0"/>
          <w:marTop w:val="0"/>
          <w:marBottom w:val="0"/>
          <w:divBdr>
            <w:top w:val="none" w:sz="0" w:space="0" w:color="auto"/>
            <w:left w:val="none" w:sz="0" w:space="0" w:color="auto"/>
            <w:bottom w:val="none" w:sz="0" w:space="0" w:color="auto"/>
            <w:right w:val="none" w:sz="0" w:space="0" w:color="auto"/>
          </w:divBdr>
        </w:div>
        <w:div w:id="924725569">
          <w:marLeft w:val="0"/>
          <w:marRight w:val="0"/>
          <w:marTop w:val="0"/>
          <w:marBottom w:val="0"/>
          <w:divBdr>
            <w:top w:val="none" w:sz="0" w:space="0" w:color="auto"/>
            <w:left w:val="none" w:sz="0" w:space="0" w:color="auto"/>
            <w:bottom w:val="none" w:sz="0" w:space="0" w:color="auto"/>
            <w:right w:val="none" w:sz="0" w:space="0" w:color="auto"/>
          </w:divBdr>
        </w:div>
      </w:divsChild>
    </w:div>
    <w:div w:id="655105932">
      <w:bodyDiv w:val="1"/>
      <w:marLeft w:val="0"/>
      <w:marRight w:val="0"/>
      <w:marTop w:val="0"/>
      <w:marBottom w:val="0"/>
      <w:divBdr>
        <w:top w:val="none" w:sz="0" w:space="0" w:color="auto"/>
        <w:left w:val="none" w:sz="0" w:space="0" w:color="auto"/>
        <w:bottom w:val="none" w:sz="0" w:space="0" w:color="auto"/>
        <w:right w:val="none" w:sz="0" w:space="0" w:color="auto"/>
      </w:divBdr>
      <w:divsChild>
        <w:div w:id="1455977619">
          <w:marLeft w:val="0"/>
          <w:marRight w:val="0"/>
          <w:marTop w:val="0"/>
          <w:marBottom w:val="0"/>
          <w:divBdr>
            <w:top w:val="none" w:sz="0" w:space="0" w:color="auto"/>
            <w:left w:val="none" w:sz="0" w:space="0" w:color="auto"/>
            <w:bottom w:val="none" w:sz="0" w:space="0" w:color="auto"/>
            <w:right w:val="none" w:sz="0" w:space="0" w:color="auto"/>
          </w:divBdr>
        </w:div>
        <w:div w:id="1352032489">
          <w:marLeft w:val="0"/>
          <w:marRight w:val="0"/>
          <w:marTop w:val="0"/>
          <w:marBottom w:val="0"/>
          <w:divBdr>
            <w:top w:val="none" w:sz="0" w:space="0" w:color="auto"/>
            <w:left w:val="none" w:sz="0" w:space="0" w:color="auto"/>
            <w:bottom w:val="none" w:sz="0" w:space="0" w:color="auto"/>
            <w:right w:val="none" w:sz="0" w:space="0" w:color="auto"/>
          </w:divBdr>
        </w:div>
        <w:div w:id="2002346437">
          <w:marLeft w:val="0"/>
          <w:marRight w:val="0"/>
          <w:marTop w:val="0"/>
          <w:marBottom w:val="0"/>
          <w:divBdr>
            <w:top w:val="none" w:sz="0" w:space="0" w:color="auto"/>
            <w:left w:val="none" w:sz="0" w:space="0" w:color="auto"/>
            <w:bottom w:val="none" w:sz="0" w:space="0" w:color="auto"/>
            <w:right w:val="none" w:sz="0" w:space="0" w:color="auto"/>
          </w:divBdr>
        </w:div>
        <w:div w:id="1772117121">
          <w:marLeft w:val="0"/>
          <w:marRight w:val="0"/>
          <w:marTop w:val="0"/>
          <w:marBottom w:val="0"/>
          <w:divBdr>
            <w:top w:val="none" w:sz="0" w:space="0" w:color="auto"/>
            <w:left w:val="none" w:sz="0" w:space="0" w:color="auto"/>
            <w:bottom w:val="none" w:sz="0" w:space="0" w:color="auto"/>
            <w:right w:val="none" w:sz="0" w:space="0" w:color="auto"/>
          </w:divBdr>
        </w:div>
        <w:div w:id="1451164940">
          <w:marLeft w:val="0"/>
          <w:marRight w:val="0"/>
          <w:marTop w:val="0"/>
          <w:marBottom w:val="0"/>
          <w:divBdr>
            <w:top w:val="none" w:sz="0" w:space="0" w:color="auto"/>
            <w:left w:val="none" w:sz="0" w:space="0" w:color="auto"/>
            <w:bottom w:val="none" w:sz="0" w:space="0" w:color="auto"/>
            <w:right w:val="none" w:sz="0" w:space="0" w:color="auto"/>
          </w:divBdr>
        </w:div>
        <w:div w:id="434860023">
          <w:marLeft w:val="0"/>
          <w:marRight w:val="0"/>
          <w:marTop w:val="0"/>
          <w:marBottom w:val="0"/>
          <w:divBdr>
            <w:top w:val="none" w:sz="0" w:space="0" w:color="auto"/>
            <w:left w:val="none" w:sz="0" w:space="0" w:color="auto"/>
            <w:bottom w:val="none" w:sz="0" w:space="0" w:color="auto"/>
            <w:right w:val="none" w:sz="0" w:space="0" w:color="auto"/>
          </w:divBdr>
        </w:div>
        <w:div w:id="2132749223">
          <w:marLeft w:val="0"/>
          <w:marRight w:val="0"/>
          <w:marTop w:val="0"/>
          <w:marBottom w:val="0"/>
          <w:divBdr>
            <w:top w:val="none" w:sz="0" w:space="0" w:color="auto"/>
            <w:left w:val="none" w:sz="0" w:space="0" w:color="auto"/>
            <w:bottom w:val="none" w:sz="0" w:space="0" w:color="auto"/>
            <w:right w:val="none" w:sz="0" w:space="0" w:color="auto"/>
          </w:divBdr>
        </w:div>
        <w:div w:id="979270271">
          <w:marLeft w:val="0"/>
          <w:marRight w:val="0"/>
          <w:marTop w:val="0"/>
          <w:marBottom w:val="0"/>
          <w:divBdr>
            <w:top w:val="none" w:sz="0" w:space="0" w:color="auto"/>
            <w:left w:val="none" w:sz="0" w:space="0" w:color="auto"/>
            <w:bottom w:val="none" w:sz="0" w:space="0" w:color="auto"/>
            <w:right w:val="none" w:sz="0" w:space="0" w:color="auto"/>
          </w:divBdr>
        </w:div>
        <w:div w:id="39593564">
          <w:marLeft w:val="0"/>
          <w:marRight w:val="0"/>
          <w:marTop w:val="0"/>
          <w:marBottom w:val="0"/>
          <w:divBdr>
            <w:top w:val="none" w:sz="0" w:space="0" w:color="auto"/>
            <w:left w:val="none" w:sz="0" w:space="0" w:color="auto"/>
            <w:bottom w:val="none" w:sz="0" w:space="0" w:color="auto"/>
            <w:right w:val="none" w:sz="0" w:space="0" w:color="auto"/>
          </w:divBdr>
        </w:div>
      </w:divsChild>
    </w:div>
    <w:div w:id="656304218">
      <w:bodyDiv w:val="1"/>
      <w:marLeft w:val="0"/>
      <w:marRight w:val="0"/>
      <w:marTop w:val="0"/>
      <w:marBottom w:val="0"/>
      <w:divBdr>
        <w:top w:val="none" w:sz="0" w:space="0" w:color="auto"/>
        <w:left w:val="none" w:sz="0" w:space="0" w:color="auto"/>
        <w:bottom w:val="none" w:sz="0" w:space="0" w:color="auto"/>
        <w:right w:val="none" w:sz="0" w:space="0" w:color="auto"/>
      </w:divBdr>
      <w:divsChild>
        <w:div w:id="1142163677">
          <w:marLeft w:val="0"/>
          <w:marRight w:val="0"/>
          <w:marTop w:val="0"/>
          <w:marBottom w:val="0"/>
          <w:divBdr>
            <w:top w:val="none" w:sz="0" w:space="0" w:color="auto"/>
            <w:left w:val="none" w:sz="0" w:space="0" w:color="auto"/>
            <w:bottom w:val="none" w:sz="0" w:space="0" w:color="auto"/>
            <w:right w:val="none" w:sz="0" w:space="0" w:color="auto"/>
          </w:divBdr>
        </w:div>
        <w:div w:id="128331433">
          <w:marLeft w:val="0"/>
          <w:marRight w:val="0"/>
          <w:marTop w:val="0"/>
          <w:marBottom w:val="0"/>
          <w:divBdr>
            <w:top w:val="none" w:sz="0" w:space="0" w:color="auto"/>
            <w:left w:val="none" w:sz="0" w:space="0" w:color="auto"/>
            <w:bottom w:val="none" w:sz="0" w:space="0" w:color="auto"/>
            <w:right w:val="none" w:sz="0" w:space="0" w:color="auto"/>
          </w:divBdr>
        </w:div>
      </w:divsChild>
    </w:div>
    <w:div w:id="710306661">
      <w:bodyDiv w:val="1"/>
      <w:marLeft w:val="0"/>
      <w:marRight w:val="0"/>
      <w:marTop w:val="0"/>
      <w:marBottom w:val="0"/>
      <w:divBdr>
        <w:top w:val="none" w:sz="0" w:space="0" w:color="auto"/>
        <w:left w:val="none" w:sz="0" w:space="0" w:color="auto"/>
        <w:bottom w:val="none" w:sz="0" w:space="0" w:color="auto"/>
        <w:right w:val="none" w:sz="0" w:space="0" w:color="auto"/>
      </w:divBdr>
      <w:divsChild>
        <w:div w:id="578248640">
          <w:marLeft w:val="0"/>
          <w:marRight w:val="0"/>
          <w:marTop w:val="0"/>
          <w:marBottom w:val="0"/>
          <w:divBdr>
            <w:top w:val="none" w:sz="0" w:space="0" w:color="auto"/>
            <w:left w:val="none" w:sz="0" w:space="0" w:color="auto"/>
            <w:bottom w:val="none" w:sz="0" w:space="0" w:color="auto"/>
            <w:right w:val="none" w:sz="0" w:space="0" w:color="auto"/>
          </w:divBdr>
        </w:div>
        <w:div w:id="2128154406">
          <w:marLeft w:val="0"/>
          <w:marRight w:val="0"/>
          <w:marTop w:val="0"/>
          <w:marBottom w:val="0"/>
          <w:divBdr>
            <w:top w:val="none" w:sz="0" w:space="0" w:color="auto"/>
            <w:left w:val="none" w:sz="0" w:space="0" w:color="auto"/>
            <w:bottom w:val="none" w:sz="0" w:space="0" w:color="auto"/>
            <w:right w:val="none" w:sz="0" w:space="0" w:color="auto"/>
          </w:divBdr>
        </w:div>
        <w:div w:id="646399038">
          <w:marLeft w:val="0"/>
          <w:marRight w:val="0"/>
          <w:marTop w:val="0"/>
          <w:marBottom w:val="0"/>
          <w:divBdr>
            <w:top w:val="none" w:sz="0" w:space="0" w:color="auto"/>
            <w:left w:val="none" w:sz="0" w:space="0" w:color="auto"/>
            <w:bottom w:val="none" w:sz="0" w:space="0" w:color="auto"/>
            <w:right w:val="none" w:sz="0" w:space="0" w:color="auto"/>
          </w:divBdr>
        </w:div>
        <w:div w:id="763762696">
          <w:marLeft w:val="0"/>
          <w:marRight w:val="0"/>
          <w:marTop w:val="0"/>
          <w:marBottom w:val="0"/>
          <w:divBdr>
            <w:top w:val="none" w:sz="0" w:space="0" w:color="auto"/>
            <w:left w:val="none" w:sz="0" w:space="0" w:color="auto"/>
            <w:bottom w:val="none" w:sz="0" w:space="0" w:color="auto"/>
            <w:right w:val="none" w:sz="0" w:space="0" w:color="auto"/>
          </w:divBdr>
        </w:div>
        <w:div w:id="110513304">
          <w:marLeft w:val="0"/>
          <w:marRight w:val="0"/>
          <w:marTop w:val="0"/>
          <w:marBottom w:val="0"/>
          <w:divBdr>
            <w:top w:val="none" w:sz="0" w:space="0" w:color="auto"/>
            <w:left w:val="none" w:sz="0" w:space="0" w:color="auto"/>
            <w:bottom w:val="none" w:sz="0" w:space="0" w:color="auto"/>
            <w:right w:val="none" w:sz="0" w:space="0" w:color="auto"/>
          </w:divBdr>
        </w:div>
        <w:div w:id="2002780788">
          <w:marLeft w:val="0"/>
          <w:marRight w:val="0"/>
          <w:marTop w:val="0"/>
          <w:marBottom w:val="0"/>
          <w:divBdr>
            <w:top w:val="none" w:sz="0" w:space="0" w:color="auto"/>
            <w:left w:val="none" w:sz="0" w:space="0" w:color="auto"/>
            <w:bottom w:val="none" w:sz="0" w:space="0" w:color="auto"/>
            <w:right w:val="none" w:sz="0" w:space="0" w:color="auto"/>
          </w:divBdr>
        </w:div>
        <w:div w:id="885070009">
          <w:marLeft w:val="0"/>
          <w:marRight w:val="0"/>
          <w:marTop w:val="0"/>
          <w:marBottom w:val="0"/>
          <w:divBdr>
            <w:top w:val="none" w:sz="0" w:space="0" w:color="auto"/>
            <w:left w:val="none" w:sz="0" w:space="0" w:color="auto"/>
            <w:bottom w:val="none" w:sz="0" w:space="0" w:color="auto"/>
            <w:right w:val="none" w:sz="0" w:space="0" w:color="auto"/>
          </w:divBdr>
        </w:div>
        <w:div w:id="2085493498">
          <w:marLeft w:val="0"/>
          <w:marRight w:val="0"/>
          <w:marTop w:val="0"/>
          <w:marBottom w:val="0"/>
          <w:divBdr>
            <w:top w:val="none" w:sz="0" w:space="0" w:color="auto"/>
            <w:left w:val="none" w:sz="0" w:space="0" w:color="auto"/>
            <w:bottom w:val="none" w:sz="0" w:space="0" w:color="auto"/>
            <w:right w:val="none" w:sz="0" w:space="0" w:color="auto"/>
          </w:divBdr>
        </w:div>
        <w:div w:id="8217751">
          <w:marLeft w:val="0"/>
          <w:marRight w:val="0"/>
          <w:marTop w:val="0"/>
          <w:marBottom w:val="0"/>
          <w:divBdr>
            <w:top w:val="none" w:sz="0" w:space="0" w:color="auto"/>
            <w:left w:val="none" w:sz="0" w:space="0" w:color="auto"/>
            <w:bottom w:val="none" w:sz="0" w:space="0" w:color="auto"/>
            <w:right w:val="none" w:sz="0" w:space="0" w:color="auto"/>
          </w:divBdr>
        </w:div>
      </w:divsChild>
    </w:div>
    <w:div w:id="721372331">
      <w:bodyDiv w:val="1"/>
      <w:marLeft w:val="0"/>
      <w:marRight w:val="0"/>
      <w:marTop w:val="0"/>
      <w:marBottom w:val="0"/>
      <w:divBdr>
        <w:top w:val="none" w:sz="0" w:space="0" w:color="auto"/>
        <w:left w:val="none" w:sz="0" w:space="0" w:color="auto"/>
        <w:bottom w:val="none" w:sz="0" w:space="0" w:color="auto"/>
        <w:right w:val="none" w:sz="0" w:space="0" w:color="auto"/>
      </w:divBdr>
      <w:divsChild>
        <w:div w:id="1330478872">
          <w:marLeft w:val="0"/>
          <w:marRight w:val="0"/>
          <w:marTop w:val="0"/>
          <w:marBottom w:val="0"/>
          <w:divBdr>
            <w:top w:val="none" w:sz="0" w:space="0" w:color="auto"/>
            <w:left w:val="none" w:sz="0" w:space="0" w:color="auto"/>
            <w:bottom w:val="none" w:sz="0" w:space="0" w:color="auto"/>
            <w:right w:val="none" w:sz="0" w:space="0" w:color="auto"/>
          </w:divBdr>
        </w:div>
        <w:div w:id="1833372283">
          <w:marLeft w:val="0"/>
          <w:marRight w:val="0"/>
          <w:marTop w:val="0"/>
          <w:marBottom w:val="0"/>
          <w:divBdr>
            <w:top w:val="none" w:sz="0" w:space="0" w:color="auto"/>
            <w:left w:val="none" w:sz="0" w:space="0" w:color="auto"/>
            <w:bottom w:val="none" w:sz="0" w:space="0" w:color="auto"/>
            <w:right w:val="none" w:sz="0" w:space="0" w:color="auto"/>
          </w:divBdr>
        </w:div>
        <w:div w:id="347635256">
          <w:marLeft w:val="0"/>
          <w:marRight w:val="0"/>
          <w:marTop w:val="0"/>
          <w:marBottom w:val="0"/>
          <w:divBdr>
            <w:top w:val="none" w:sz="0" w:space="0" w:color="auto"/>
            <w:left w:val="none" w:sz="0" w:space="0" w:color="auto"/>
            <w:bottom w:val="none" w:sz="0" w:space="0" w:color="auto"/>
            <w:right w:val="none" w:sz="0" w:space="0" w:color="auto"/>
          </w:divBdr>
        </w:div>
        <w:div w:id="1725834741">
          <w:marLeft w:val="0"/>
          <w:marRight w:val="0"/>
          <w:marTop w:val="0"/>
          <w:marBottom w:val="0"/>
          <w:divBdr>
            <w:top w:val="none" w:sz="0" w:space="0" w:color="auto"/>
            <w:left w:val="none" w:sz="0" w:space="0" w:color="auto"/>
            <w:bottom w:val="none" w:sz="0" w:space="0" w:color="auto"/>
            <w:right w:val="none" w:sz="0" w:space="0" w:color="auto"/>
          </w:divBdr>
        </w:div>
        <w:div w:id="1143085182">
          <w:marLeft w:val="0"/>
          <w:marRight w:val="0"/>
          <w:marTop w:val="0"/>
          <w:marBottom w:val="0"/>
          <w:divBdr>
            <w:top w:val="none" w:sz="0" w:space="0" w:color="auto"/>
            <w:left w:val="none" w:sz="0" w:space="0" w:color="auto"/>
            <w:bottom w:val="none" w:sz="0" w:space="0" w:color="auto"/>
            <w:right w:val="none" w:sz="0" w:space="0" w:color="auto"/>
          </w:divBdr>
        </w:div>
        <w:div w:id="985668010">
          <w:marLeft w:val="0"/>
          <w:marRight w:val="0"/>
          <w:marTop w:val="0"/>
          <w:marBottom w:val="0"/>
          <w:divBdr>
            <w:top w:val="none" w:sz="0" w:space="0" w:color="auto"/>
            <w:left w:val="none" w:sz="0" w:space="0" w:color="auto"/>
            <w:bottom w:val="none" w:sz="0" w:space="0" w:color="auto"/>
            <w:right w:val="none" w:sz="0" w:space="0" w:color="auto"/>
          </w:divBdr>
        </w:div>
        <w:div w:id="318194724">
          <w:marLeft w:val="0"/>
          <w:marRight w:val="0"/>
          <w:marTop w:val="0"/>
          <w:marBottom w:val="0"/>
          <w:divBdr>
            <w:top w:val="none" w:sz="0" w:space="0" w:color="auto"/>
            <w:left w:val="none" w:sz="0" w:space="0" w:color="auto"/>
            <w:bottom w:val="none" w:sz="0" w:space="0" w:color="auto"/>
            <w:right w:val="none" w:sz="0" w:space="0" w:color="auto"/>
          </w:divBdr>
        </w:div>
        <w:div w:id="634875820">
          <w:marLeft w:val="0"/>
          <w:marRight w:val="0"/>
          <w:marTop w:val="0"/>
          <w:marBottom w:val="0"/>
          <w:divBdr>
            <w:top w:val="none" w:sz="0" w:space="0" w:color="auto"/>
            <w:left w:val="none" w:sz="0" w:space="0" w:color="auto"/>
            <w:bottom w:val="none" w:sz="0" w:space="0" w:color="auto"/>
            <w:right w:val="none" w:sz="0" w:space="0" w:color="auto"/>
          </w:divBdr>
        </w:div>
        <w:div w:id="1345283908">
          <w:marLeft w:val="0"/>
          <w:marRight w:val="0"/>
          <w:marTop w:val="0"/>
          <w:marBottom w:val="0"/>
          <w:divBdr>
            <w:top w:val="none" w:sz="0" w:space="0" w:color="auto"/>
            <w:left w:val="none" w:sz="0" w:space="0" w:color="auto"/>
            <w:bottom w:val="none" w:sz="0" w:space="0" w:color="auto"/>
            <w:right w:val="none" w:sz="0" w:space="0" w:color="auto"/>
          </w:divBdr>
        </w:div>
        <w:div w:id="875311665">
          <w:marLeft w:val="0"/>
          <w:marRight w:val="0"/>
          <w:marTop w:val="0"/>
          <w:marBottom w:val="0"/>
          <w:divBdr>
            <w:top w:val="none" w:sz="0" w:space="0" w:color="auto"/>
            <w:left w:val="none" w:sz="0" w:space="0" w:color="auto"/>
            <w:bottom w:val="none" w:sz="0" w:space="0" w:color="auto"/>
            <w:right w:val="none" w:sz="0" w:space="0" w:color="auto"/>
          </w:divBdr>
        </w:div>
        <w:div w:id="419060197">
          <w:marLeft w:val="0"/>
          <w:marRight w:val="0"/>
          <w:marTop w:val="0"/>
          <w:marBottom w:val="0"/>
          <w:divBdr>
            <w:top w:val="none" w:sz="0" w:space="0" w:color="auto"/>
            <w:left w:val="none" w:sz="0" w:space="0" w:color="auto"/>
            <w:bottom w:val="none" w:sz="0" w:space="0" w:color="auto"/>
            <w:right w:val="none" w:sz="0" w:space="0" w:color="auto"/>
          </w:divBdr>
        </w:div>
        <w:div w:id="1386877064">
          <w:marLeft w:val="0"/>
          <w:marRight w:val="0"/>
          <w:marTop w:val="0"/>
          <w:marBottom w:val="0"/>
          <w:divBdr>
            <w:top w:val="none" w:sz="0" w:space="0" w:color="auto"/>
            <w:left w:val="none" w:sz="0" w:space="0" w:color="auto"/>
            <w:bottom w:val="none" w:sz="0" w:space="0" w:color="auto"/>
            <w:right w:val="none" w:sz="0" w:space="0" w:color="auto"/>
          </w:divBdr>
        </w:div>
        <w:div w:id="1000625226">
          <w:marLeft w:val="0"/>
          <w:marRight w:val="0"/>
          <w:marTop w:val="0"/>
          <w:marBottom w:val="0"/>
          <w:divBdr>
            <w:top w:val="none" w:sz="0" w:space="0" w:color="auto"/>
            <w:left w:val="none" w:sz="0" w:space="0" w:color="auto"/>
            <w:bottom w:val="none" w:sz="0" w:space="0" w:color="auto"/>
            <w:right w:val="none" w:sz="0" w:space="0" w:color="auto"/>
          </w:divBdr>
        </w:div>
        <w:div w:id="1187018062">
          <w:marLeft w:val="0"/>
          <w:marRight w:val="0"/>
          <w:marTop w:val="0"/>
          <w:marBottom w:val="0"/>
          <w:divBdr>
            <w:top w:val="none" w:sz="0" w:space="0" w:color="auto"/>
            <w:left w:val="none" w:sz="0" w:space="0" w:color="auto"/>
            <w:bottom w:val="none" w:sz="0" w:space="0" w:color="auto"/>
            <w:right w:val="none" w:sz="0" w:space="0" w:color="auto"/>
          </w:divBdr>
        </w:div>
        <w:div w:id="1343122655">
          <w:marLeft w:val="0"/>
          <w:marRight w:val="0"/>
          <w:marTop w:val="0"/>
          <w:marBottom w:val="0"/>
          <w:divBdr>
            <w:top w:val="none" w:sz="0" w:space="0" w:color="auto"/>
            <w:left w:val="none" w:sz="0" w:space="0" w:color="auto"/>
            <w:bottom w:val="none" w:sz="0" w:space="0" w:color="auto"/>
            <w:right w:val="none" w:sz="0" w:space="0" w:color="auto"/>
          </w:divBdr>
        </w:div>
        <w:div w:id="1395078072">
          <w:marLeft w:val="0"/>
          <w:marRight w:val="0"/>
          <w:marTop w:val="0"/>
          <w:marBottom w:val="0"/>
          <w:divBdr>
            <w:top w:val="none" w:sz="0" w:space="0" w:color="auto"/>
            <w:left w:val="none" w:sz="0" w:space="0" w:color="auto"/>
            <w:bottom w:val="none" w:sz="0" w:space="0" w:color="auto"/>
            <w:right w:val="none" w:sz="0" w:space="0" w:color="auto"/>
          </w:divBdr>
        </w:div>
        <w:div w:id="1120145094">
          <w:marLeft w:val="0"/>
          <w:marRight w:val="0"/>
          <w:marTop w:val="0"/>
          <w:marBottom w:val="0"/>
          <w:divBdr>
            <w:top w:val="none" w:sz="0" w:space="0" w:color="auto"/>
            <w:left w:val="none" w:sz="0" w:space="0" w:color="auto"/>
            <w:bottom w:val="none" w:sz="0" w:space="0" w:color="auto"/>
            <w:right w:val="none" w:sz="0" w:space="0" w:color="auto"/>
          </w:divBdr>
        </w:div>
        <w:div w:id="1582643258">
          <w:marLeft w:val="0"/>
          <w:marRight w:val="0"/>
          <w:marTop w:val="0"/>
          <w:marBottom w:val="0"/>
          <w:divBdr>
            <w:top w:val="none" w:sz="0" w:space="0" w:color="auto"/>
            <w:left w:val="none" w:sz="0" w:space="0" w:color="auto"/>
            <w:bottom w:val="none" w:sz="0" w:space="0" w:color="auto"/>
            <w:right w:val="none" w:sz="0" w:space="0" w:color="auto"/>
          </w:divBdr>
        </w:div>
        <w:div w:id="715816866">
          <w:marLeft w:val="0"/>
          <w:marRight w:val="0"/>
          <w:marTop w:val="0"/>
          <w:marBottom w:val="0"/>
          <w:divBdr>
            <w:top w:val="none" w:sz="0" w:space="0" w:color="auto"/>
            <w:left w:val="none" w:sz="0" w:space="0" w:color="auto"/>
            <w:bottom w:val="none" w:sz="0" w:space="0" w:color="auto"/>
            <w:right w:val="none" w:sz="0" w:space="0" w:color="auto"/>
          </w:divBdr>
        </w:div>
        <w:div w:id="634992481">
          <w:marLeft w:val="0"/>
          <w:marRight w:val="0"/>
          <w:marTop w:val="0"/>
          <w:marBottom w:val="0"/>
          <w:divBdr>
            <w:top w:val="none" w:sz="0" w:space="0" w:color="auto"/>
            <w:left w:val="none" w:sz="0" w:space="0" w:color="auto"/>
            <w:bottom w:val="none" w:sz="0" w:space="0" w:color="auto"/>
            <w:right w:val="none" w:sz="0" w:space="0" w:color="auto"/>
          </w:divBdr>
        </w:div>
        <w:div w:id="339235783">
          <w:marLeft w:val="0"/>
          <w:marRight w:val="0"/>
          <w:marTop w:val="0"/>
          <w:marBottom w:val="0"/>
          <w:divBdr>
            <w:top w:val="none" w:sz="0" w:space="0" w:color="auto"/>
            <w:left w:val="none" w:sz="0" w:space="0" w:color="auto"/>
            <w:bottom w:val="none" w:sz="0" w:space="0" w:color="auto"/>
            <w:right w:val="none" w:sz="0" w:space="0" w:color="auto"/>
          </w:divBdr>
        </w:div>
        <w:div w:id="322973656">
          <w:marLeft w:val="0"/>
          <w:marRight w:val="0"/>
          <w:marTop w:val="0"/>
          <w:marBottom w:val="0"/>
          <w:divBdr>
            <w:top w:val="none" w:sz="0" w:space="0" w:color="auto"/>
            <w:left w:val="none" w:sz="0" w:space="0" w:color="auto"/>
            <w:bottom w:val="none" w:sz="0" w:space="0" w:color="auto"/>
            <w:right w:val="none" w:sz="0" w:space="0" w:color="auto"/>
          </w:divBdr>
        </w:div>
        <w:div w:id="372390908">
          <w:marLeft w:val="0"/>
          <w:marRight w:val="0"/>
          <w:marTop w:val="0"/>
          <w:marBottom w:val="0"/>
          <w:divBdr>
            <w:top w:val="none" w:sz="0" w:space="0" w:color="auto"/>
            <w:left w:val="none" w:sz="0" w:space="0" w:color="auto"/>
            <w:bottom w:val="none" w:sz="0" w:space="0" w:color="auto"/>
            <w:right w:val="none" w:sz="0" w:space="0" w:color="auto"/>
          </w:divBdr>
        </w:div>
        <w:div w:id="1168717349">
          <w:marLeft w:val="0"/>
          <w:marRight w:val="0"/>
          <w:marTop w:val="0"/>
          <w:marBottom w:val="0"/>
          <w:divBdr>
            <w:top w:val="none" w:sz="0" w:space="0" w:color="auto"/>
            <w:left w:val="none" w:sz="0" w:space="0" w:color="auto"/>
            <w:bottom w:val="none" w:sz="0" w:space="0" w:color="auto"/>
            <w:right w:val="none" w:sz="0" w:space="0" w:color="auto"/>
          </w:divBdr>
        </w:div>
        <w:div w:id="1309553456">
          <w:marLeft w:val="0"/>
          <w:marRight w:val="0"/>
          <w:marTop w:val="0"/>
          <w:marBottom w:val="0"/>
          <w:divBdr>
            <w:top w:val="none" w:sz="0" w:space="0" w:color="auto"/>
            <w:left w:val="none" w:sz="0" w:space="0" w:color="auto"/>
            <w:bottom w:val="none" w:sz="0" w:space="0" w:color="auto"/>
            <w:right w:val="none" w:sz="0" w:space="0" w:color="auto"/>
          </w:divBdr>
        </w:div>
        <w:div w:id="1500005288">
          <w:marLeft w:val="0"/>
          <w:marRight w:val="0"/>
          <w:marTop w:val="0"/>
          <w:marBottom w:val="0"/>
          <w:divBdr>
            <w:top w:val="none" w:sz="0" w:space="0" w:color="auto"/>
            <w:left w:val="none" w:sz="0" w:space="0" w:color="auto"/>
            <w:bottom w:val="none" w:sz="0" w:space="0" w:color="auto"/>
            <w:right w:val="none" w:sz="0" w:space="0" w:color="auto"/>
          </w:divBdr>
        </w:div>
        <w:div w:id="729579049">
          <w:marLeft w:val="0"/>
          <w:marRight w:val="0"/>
          <w:marTop w:val="0"/>
          <w:marBottom w:val="0"/>
          <w:divBdr>
            <w:top w:val="none" w:sz="0" w:space="0" w:color="auto"/>
            <w:left w:val="none" w:sz="0" w:space="0" w:color="auto"/>
            <w:bottom w:val="none" w:sz="0" w:space="0" w:color="auto"/>
            <w:right w:val="none" w:sz="0" w:space="0" w:color="auto"/>
          </w:divBdr>
        </w:div>
        <w:div w:id="476385908">
          <w:marLeft w:val="0"/>
          <w:marRight w:val="0"/>
          <w:marTop w:val="0"/>
          <w:marBottom w:val="0"/>
          <w:divBdr>
            <w:top w:val="none" w:sz="0" w:space="0" w:color="auto"/>
            <w:left w:val="none" w:sz="0" w:space="0" w:color="auto"/>
            <w:bottom w:val="none" w:sz="0" w:space="0" w:color="auto"/>
            <w:right w:val="none" w:sz="0" w:space="0" w:color="auto"/>
          </w:divBdr>
        </w:div>
        <w:div w:id="1856962568">
          <w:marLeft w:val="0"/>
          <w:marRight w:val="0"/>
          <w:marTop w:val="0"/>
          <w:marBottom w:val="0"/>
          <w:divBdr>
            <w:top w:val="none" w:sz="0" w:space="0" w:color="auto"/>
            <w:left w:val="none" w:sz="0" w:space="0" w:color="auto"/>
            <w:bottom w:val="none" w:sz="0" w:space="0" w:color="auto"/>
            <w:right w:val="none" w:sz="0" w:space="0" w:color="auto"/>
          </w:divBdr>
        </w:div>
        <w:div w:id="1133908925">
          <w:marLeft w:val="0"/>
          <w:marRight w:val="0"/>
          <w:marTop w:val="0"/>
          <w:marBottom w:val="0"/>
          <w:divBdr>
            <w:top w:val="none" w:sz="0" w:space="0" w:color="auto"/>
            <w:left w:val="none" w:sz="0" w:space="0" w:color="auto"/>
            <w:bottom w:val="none" w:sz="0" w:space="0" w:color="auto"/>
            <w:right w:val="none" w:sz="0" w:space="0" w:color="auto"/>
          </w:divBdr>
        </w:div>
        <w:div w:id="1174757003">
          <w:marLeft w:val="0"/>
          <w:marRight w:val="0"/>
          <w:marTop w:val="0"/>
          <w:marBottom w:val="0"/>
          <w:divBdr>
            <w:top w:val="none" w:sz="0" w:space="0" w:color="auto"/>
            <w:left w:val="none" w:sz="0" w:space="0" w:color="auto"/>
            <w:bottom w:val="none" w:sz="0" w:space="0" w:color="auto"/>
            <w:right w:val="none" w:sz="0" w:space="0" w:color="auto"/>
          </w:divBdr>
        </w:div>
        <w:div w:id="590621037">
          <w:marLeft w:val="0"/>
          <w:marRight w:val="0"/>
          <w:marTop w:val="0"/>
          <w:marBottom w:val="0"/>
          <w:divBdr>
            <w:top w:val="none" w:sz="0" w:space="0" w:color="auto"/>
            <w:left w:val="none" w:sz="0" w:space="0" w:color="auto"/>
            <w:bottom w:val="none" w:sz="0" w:space="0" w:color="auto"/>
            <w:right w:val="none" w:sz="0" w:space="0" w:color="auto"/>
          </w:divBdr>
        </w:div>
        <w:div w:id="1418595642">
          <w:marLeft w:val="0"/>
          <w:marRight w:val="0"/>
          <w:marTop w:val="0"/>
          <w:marBottom w:val="0"/>
          <w:divBdr>
            <w:top w:val="none" w:sz="0" w:space="0" w:color="auto"/>
            <w:left w:val="none" w:sz="0" w:space="0" w:color="auto"/>
            <w:bottom w:val="none" w:sz="0" w:space="0" w:color="auto"/>
            <w:right w:val="none" w:sz="0" w:space="0" w:color="auto"/>
          </w:divBdr>
        </w:div>
        <w:div w:id="25058173">
          <w:marLeft w:val="0"/>
          <w:marRight w:val="0"/>
          <w:marTop w:val="0"/>
          <w:marBottom w:val="0"/>
          <w:divBdr>
            <w:top w:val="none" w:sz="0" w:space="0" w:color="auto"/>
            <w:left w:val="none" w:sz="0" w:space="0" w:color="auto"/>
            <w:bottom w:val="none" w:sz="0" w:space="0" w:color="auto"/>
            <w:right w:val="none" w:sz="0" w:space="0" w:color="auto"/>
          </w:divBdr>
        </w:div>
        <w:div w:id="2015958575">
          <w:marLeft w:val="0"/>
          <w:marRight w:val="0"/>
          <w:marTop w:val="0"/>
          <w:marBottom w:val="0"/>
          <w:divBdr>
            <w:top w:val="none" w:sz="0" w:space="0" w:color="auto"/>
            <w:left w:val="none" w:sz="0" w:space="0" w:color="auto"/>
            <w:bottom w:val="none" w:sz="0" w:space="0" w:color="auto"/>
            <w:right w:val="none" w:sz="0" w:space="0" w:color="auto"/>
          </w:divBdr>
        </w:div>
        <w:div w:id="456722223">
          <w:marLeft w:val="0"/>
          <w:marRight w:val="0"/>
          <w:marTop w:val="0"/>
          <w:marBottom w:val="0"/>
          <w:divBdr>
            <w:top w:val="none" w:sz="0" w:space="0" w:color="auto"/>
            <w:left w:val="none" w:sz="0" w:space="0" w:color="auto"/>
            <w:bottom w:val="none" w:sz="0" w:space="0" w:color="auto"/>
            <w:right w:val="none" w:sz="0" w:space="0" w:color="auto"/>
          </w:divBdr>
        </w:div>
        <w:div w:id="552081944">
          <w:marLeft w:val="0"/>
          <w:marRight w:val="0"/>
          <w:marTop w:val="0"/>
          <w:marBottom w:val="0"/>
          <w:divBdr>
            <w:top w:val="none" w:sz="0" w:space="0" w:color="auto"/>
            <w:left w:val="none" w:sz="0" w:space="0" w:color="auto"/>
            <w:bottom w:val="none" w:sz="0" w:space="0" w:color="auto"/>
            <w:right w:val="none" w:sz="0" w:space="0" w:color="auto"/>
          </w:divBdr>
        </w:div>
        <w:div w:id="467210505">
          <w:marLeft w:val="0"/>
          <w:marRight w:val="0"/>
          <w:marTop w:val="0"/>
          <w:marBottom w:val="0"/>
          <w:divBdr>
            <w:top w:val="none" w:sz="0" w:space="0" w:color="auto"/>
            <w:left w:val="none" w:sz="0" w:space="0" w:color="auto"/>
            <w:bottom w:val="none" w:sz="0" w:space="0" w:color="auto"/>
            <w:right w:val="none" w:sz="0" w:space="0" w:color="auto"/>
          </w:divBdr>
        </w:div>
        <w:div w:id="465319787">
          <w:marLeft w:val="0"/>
          <w:marRight w:val="0"/>
          <w:marTop w:val="0"/>
          <w:marBottom w:val="0"/>
          <w:divBdr>
            <w:top w:val="none" w:sz="0" w:space="0" w:color="auto"/>
            <w:left w:val="none" w:sz="0" w:space="0" w:color="auto"/>
            <w:bottom w:val="none" w:sz="0" w:space="0" w:color="auto"/>
            <w:right w:val="none" w:sz="0" w:space="0" w:color="auto"/>
          </w:divBdr>
        </w:div>
        <w:div w:id="388964399">
          <w:marLeft w:val="0"/>
          <w:marRight w:val="0"/>
          <w:marTop w:val="0"/>
          <w:marBottom w:val="0"/>
          <w:divBdr>
            <w:top w:val="none" w:sz="0" w:space="0" w:color="auto"/>
            <w:left w:val="none" w:sz="0" w:space="0" w:color="auto"/>
            <w:bottom w:val="none" w:sz="0" w:space="0" w:color="auto"/>
            <w:right w:val="none" w:sz="0" w:space="0" w:color="auto"/>
          </w:divBdr>
        </w:div>
        <w:div w:id="959142869">
          <w:marLeft w:val="0"/>
          <w:marRight w:val="0"/>
          <w:marTop w:val="0"/>
          <w:marBottom w:val="0"/>
          <w:divBdr>
            <w:top w:val="none" w:sz="0" w:space="0" w:color="auto"/>
            <w:left w:val="none" w:sz="0" w:space="0" w:color="auto"/>
            <w:bottom w:val="none" w:sz="0" w:space="0" w:color="auto"/>
            <w:right w:val="none" w:sz="0" w:space="0" w:color="auto"/>
          </w:divBdr>
        </w:div>
      </w:divsChild>
    </w:div>
    <w:div w:id="735014042">
      <w:bodyDiv w:val="1"/>
      <w:marLeft w:val="0"/>
      <w:marRight w:val="0"/>
      <w:marTop w:val="0"/>
      <w:marBottom w:val="0"/>
      <w:divBdr>
        <w:top w:val="none" w:sz="0" w:space="0" w:color="auto"/>
        <w:left w:val="none" w:sz="0" w:space="0" w:color="auto"/>
        <w:bottom w:val="none" w:sz="0" w:space="0" w:color="auto"/>
        <w:right w:val="none" w:sz="0" w:space="0" w:color="auto"/>
      </w:divBdr>
      <w:divsChild>
        <w:div w:id="649797839">
          <w:marLeft w:val="0"/>
          <w:marRight w:val="0"/>
          <w:marTop w:val="0"/>
          <w:marBottom w:val="0"/>
          <w:divBdr>
            <w:top w:val="none" w:sz="0" w:space="0" w:color="auto"/>
            <w:left w:val="none" w:sz="0" w:space="0" w:color="auto"/>
            <w:bottom w:val="none" w:sz="0" w:space="0" w:color="auto"/>
            <w:right w:val="none" w:sz="0" w:space="0" w:color="auto"/>
          </w:divBdr>
        </w:div>
        <w:div w:id="1227910874">
          <w:marLeft w:val="0"/>
          <w:marRight w:val="0"/>
          <w:marTop w:val="0"/>
          <w:marBottom w:val="0"/>
          <w:divBdr>
            <w:top w:val="none" w:sz="0" w:space="0" w:color="auto"/>
            <w:left w:val="none" w:sz="0" w:space="0" w:color="auto"/>
            <w:bottom w:val="none" w:sz="0" w:space="0" w:color="auto"/>
            <w:right w:val="none" w:sz="0" w:space="0" w:color="auto"/>
          </w:divBdr>
        </w:div>
        <w:div w:id="987899809">
          <w:marLeft w:val="0"/>
          <w:marRight w:val="0"/>
          <w:marTop w:val="0"/>
          <w:marBottom w:val="0"/>
          <w:divBdr>
            <w:top w:val="none" w:sz="0" w:space="0" w:color="auto"/>
            <w:left w:val="none" w:sz="0" w:space="0" w:color="auto"/>
            <w:bottom w:val="none" w:sz="0" w:space="0" w:color="auto"/>
            <w:right w:val="none" w:sz="0" w:space="0" w:color="auto"/>
          </w:divBdr>
        </w:div>
        <w:div w:id="1851723998">
          <w:marLeft w:val="0"/>
          <w:marRight w:val="0"/>
          <w:marTop w:val="0"/>
          <w:marBottom w:val="0"/>
          <w:divBdr>
            <w:top w:val="none" w:sz="0" w:space="0" w:color="auto"/>
            <w:left w:val="none" w:sz="0" w:space="0" w:color="auto"/>
            <w:bottom w:val="none" w:sz="0" w:space="0" w:color="auto"/>
            <w:right w:val="none" w:sz="0" w:space="0" w:color="auto"/>
          </w:divBdr>
        </w:div>
        <w:div w:id="535822908">
          <w:marLeft w:val="0"/>
          <w:marRight w:val="0"/>
          <w:marTop w:val="0"/>
          <w:marBottom w:val="0"/>
          <w:divBdr>
            <w:top w:val="none" w:sz="0" w:space="0" w:color="auto"/>
            <w:left w:val="none" w:sz="0" w:space="0" w:color="auto"/>
            <w:bottom w:val="none" w:sz="0" w:space="0" w:color="auto"/>
            <w:right w:val="none" w:sz="0" w:space="0" w:color="auto"/>
          </w:divBdr>
        </w:div>
        <w:div w:id="894124705">
          <w:marLeft w:val="0"/>
          <w:marRight w:val="0"/>
          <w:marTop w:val="0"/>
          <w:marBottom w:val="0"/>
          <w:divBdr>
            <w:top w:val="none" w:sz="0" w:space="0" w:color="auto"/>
            <w:left w:val="none" w:sz="0" w:space="0" w:color="auto"/>
            <w:bottom w:val="none" w:sz="0" w:space="0" w:color="auto"/>
            <w:right w:val="none" w:sz="0" w:space="0" w:color="auto"/>
          </w:divBdr>
        </w:div>
        <w:div w:id="662590970">
          <w:marLeft w:val="0"/>
          <w:marRight w:val="0"/>
          <w:marTop w:val="0"/>
          <w:marBottom w:val="0"/>
          <w:divBdr>
            <w:top w:val="none" w:sz="0" w:space="0" w:color="auto"/>
            <w:left w:val="none" w:sz="0" w:space="0" w:color="auto"/>
            <w:bottom w:val="none" w:sz="0" w:space="0" w:color="auto"/>
            <w:right w:val="none" w:sz="0" w:space="0" w:color="auto"/>
          </w:divBdr>
        </w:div>
        <w:div w:id="159778391">
          <w:marLeft w:val="0"/>
          <w:marRight w:val="0"/>
          <w:marTop w:val="0"/>
          <w:marBottom w:val="0"/>
          <w:divBdr>
            <w:top w:val="none" w:sz="0" w:space="0" w:color="auto"/>
            <w:left w:val="none" w:sz="0" w:space="0" w:color="auto"/>
            <w:bottom w:val="none" w:sz="0" w:space="0" w:color="auto"/>
            <w:right w:val="none" w:sz="0" w:space="0" w:color="auto"/>
          </w:divBdr>
        </w:div>
        <w:div w:id="1321543321">
          <w:marLeft w:val="0"/>
          <w:marRight w:val="0"/>
          <w:marTop w:val="0"/>
          <w:marBottom w:val="0"/>
          <w:divBdr>
            <w:top w:val="none" w:sz="0" w:space="0" w:color="auto"/>
            <w:left w:val="none" w:sz="0" w:space="0" w:color="auto"/>
            <w:bottom w:val="none" w:sz="0" w:space="0" w:color="auto"/>
            <w:right w:val="none" w:sz="0" w:space="0" w:color="auto"/>
          </w:divBdr>
        </w:div>
        <w:div w:id="1256860270">
          <w:marLeft w:val="0"/>
          <w:marRight w:val="0"/>
          <w:marTop w:val="0"/>
          <w:marBottom w:val="0"/>
          <w:divBdr>
            <w:top w:val="none" w:sz="0" w:space="0" w:color="auto"/>
            <w:left w:val="none" w:sz="0" w:space="0" w:color="auto"/>
            <w:bottom w:val="none" w:sz="0" w:space="0" w:color="auto"/>
            <w:right w:val="none" w:sz="0" w:space="0" w:color="auto"/>
          </w:divBdr>
        </w:div>
        <w:div w:id="1459453545">
          <w:marLeft w:val="0"/>
          <w:marRight w:val="0"/>
          <w:marTop w:val="0"/>
          <w:marBottom w:val="0"/>
          <w:divBdr>
            <w:top w:val="none" w:sz="0" w:space="0" w:color="auto"/>
            <w:left w:val="none" w:sz="0" w:space="0" w:color="auto"/>
            <w:bottom w:val="none" w:sz="0" w:space="0" w:color="auto"/>
            <w:right w:val="none" w:sz="0" w:space="0" w:color="auto"/>
          </w:divBdr>
        </w:div>
        <w:div w:id="733546455">
          <w:marLeft w:val="0"/>
          <w:marRight w:val="0"/>
          <w:marTop w:val="0"/>
          <w:marBottom w:val="0"/>
          <w:divBdr>
            <w:top w:val="none" w:sz="0" w:space="0" w:color="auto"/>
            <w:left w:val="none" w:sz="0" w:space="0" w:color="auto"/>
            <w:bottom w:val="none" w:sz="0" w:space="0" w:color="auto"/>
            <w:right w:val="none" w:sz="0" w:space="0" w:color="auto"/>
          </w:divBdr>
        </w:div>
        <w:div w:id="1473988100">
          <w:marLeft w:val="0"/>
          <w:marRight w:val="0"/>
          <w:marTop w:val="0"/>
          <w:marBottom w:val="0"/>
          <w:divBdr>
            <w:top w:val="none" w:sz="0" w:space="0" w:color="auto"/>
            <w:left w:val="none" w:sz="0" w:space="0" w:color="auto"/>
            <w:bottom w:val="none" w:sz="0" w:space="0" w:color="auto"/>
            <w:right w:val="none" w:sz="0" w:space="0" w:color="auto"/>
          </w:divBdr>
        </w:div>
        <w:div w:id="875239833">
          <w:marLeft w:val="0"/>
          <w:marRight w:val="0"/>
          <w:marTop w:val="0"/>
          <w:marBottom w:val="0"/>
          <w:divBdr>
            <w:top w:val="none" w:sz="0" w:space="0" w:color="auto"/>
            <w:left w:val="none" w:sz="0" w:space="0" w:color="auto"/>
            <w:bottom w:val="none" w:sz="0" w:space="0" w:color="auto"/>
            <w:right w:val="none" w:sz="0" w:space="0" w:color="auto"/>
          </w:divBdr>
        </w:div>
        <w:div w:id="623117609">
          <w:marLeft w:val="0"/>
          <w:marRight w:val="0"/>
          <w:marTop w:val="0"/>
          <w:marBottom w:val="0"/>
          <w:divBdr>
            <w:top w:val="none" w:sz="0" w:space="0" w:color="auto"/>
            <w:left w:val="none" w:sz="0" w:space="0" w:color="auto"/>
            <w:bottom w:val="none" w:sz="0" w:space="0" w:color="auto"/>
            <w:right w:val="none" w:sz="0" w:space="0" w:color="auto"/>
          </w:divBdr>
        </w:div>
        <w:div w:id="2092971119">
          <w:marLeft w:val="0"/>
          <w:marRight w:val="0"/>
          <w:marTop w:val="0"/>
          <w:marBottom w:val="0"/>
          <w:divBdr>
            <w:top w:val="none" w:sz="0" w:space="0" w:color="auto"/>
            <w:left w:val="none" w:sz="0" w:space="0" w:color="auto"/>
            <w:bottom w:val="none" w:sz="0" w:space="0" w:color="auto"/>
            <w:right w:val="none" w:sz="0" w:space="0" w:color="auto"/>
          </w:divBdr>
        </w:div>
        <w:div w:id="341668152">
          <w:marLeft w:val="0"/>
          <w:marRight w:val="0"/>
          <w:marTop w:val="0"/>
          <w:marBottom w:val="0"/>
          <w:divBdr>
            <w:top w:val="none" w:sz="0" w:space="0" w:color="auto"/>
            <w:left w:val="none" w:sz="0" w:space="0" w:color="auto"/>
            <w:bottom w:val="none" w:sz="0" w:space="0" w:color="auto"/>
            <w:right w:val="none" w:sz="0" w:space="0" w:color="auto"/>
          </w:divBdr>
        </w:div>
        <w:div w:id="758988919">
          <w:marLeft w:val="0"/>
          <w:marRight w:val="0"/>
          <w:marTop w:val="0"/>
          <w:marBottom w:val="0"/>
          <w:divBdr>
            <w:top w:val="none" w:sz="0" w:space="0" w:color="auto"/>
            <w:left w:val="none" w:sz="0" w:space="0" w:color="auto"/>
            <w:bottom w:val="none" w:sz="0" w:space="0" w:color="auto"/>
            <w:right w:val="none" w:sz="0" w:space="0" w:color="auto"/>
          </w:divBdr>
        </w:div>
      </w:divsChild>
    </w:div>
    <w:div w:id="773288841">
      <w:bodyDiv w:val="1"/>
      <w:marLeft w:val="0"/>
      <w:marRight w:val="0"/>
      <w:marTop w:val="0"/>
      <w:marBottom w:val="0"/>
      <w:divBdr>
        <w:top w:val="none" w:sz="0" w:space="0" w:color="auto"/>
        <w:left w:val="none" w:sz="0" w:space="0" w:color="auto"/>
        <w:bottom w:val="none" w:sz="0" w:space="0" w:color="auto"/>
        <w:right w:val="none" w:sz="0" w:space="0" w:color="auto"/>
      </w:divBdr>
      <w:divsChild>
        <w:div w:id="880172049">
          <w:marLeft w:val="0"/>
          <w:marRight w:val="0"/>
          <w:marTop w:val="0"/>
          <w:marBottom w:val="0"/>
          <w:divBdr>
            <w:top w:val="none" w:sz="0" w:space="0" w:color="auto"/>
            <w:left w:val="none" w:sz="0" w:space="0" w:color="auto"/>
            <w:bottom w:val="none" w:sz="0" w:space="0" w:color="auto"/>
            <w:right w:val="none" w:sz="0" w:space="0" w:color="auto"/>
          </w:divBdr>
        </w:div>
        <w:div w:id="646205718">
          <w:marLeft w:val="0"/>
          <w:marRight w:val="0"/>
          <w:marTop w:val="0"/>
          <w:marBottom w:val="0"/>
          <w:divBdr>
            <w:top w:val="none" w:sz="0" w:space="0" w:color="auto"/>
            <w:left w:val="none" w:sz="0" w:space="0" w:color="auto"/>
            <w:bottom w:val="none" w:sz="0" w:space="0" w:color="auto"/>
            <w:right w:val="none" w:sz="0" w:space="0" w:color="auto"/>
          </w:divBdr>
        </w:div>
        <w:div w:id="1300304251">
          <w:marLeft w:val="0"/>
          <w:marRight w:val="0"/>
          <w:marTop w:val="0"/>
          <w:marBottom w:val="0"/>
          <w:divBdr>
            <w:top w:val="none" w:sz="0" w:space="0" w:color="auto"/>
            <w:left w:val="none" w:sz="0" w:space="0" w:color="auto"/>
            <w:bottom w:val="none" w:sz="0" w:space="0" w:color="auto"/>
            <w:right w:val="none" w:sz="0" w:space="0" w:color="auto"/>
          </w:divBdr>
        </w:div>
        <w:div w:id="582953361">
          <w:marLeft w:val="0"/>
          <w:marRight w:val="0"/>
          <w:marTop w:val="0"/>
          <w:marBottom w:val="0"/>
          <w:divBdr>
            <w:top w:val="none" w:sz="0" w:space="0" w:color="auto"/>
            <w:left w:val="none" w:sz="0" w:space="0" w:color="auto"/>
            <w:bottom w:val="none" w:sz="0" w:space="0" w:color="auto"/>
            <w:right w:val="none" w:sz="0" w:space="0" w:color="auto"/>
          </w:divBdr>
        </w:div>
        <w:div w:id="795635465">
          <w:marLeft w:val="0"/>
          <w:marRight w:val="0"/>
          <w:marTop w:val="0"/>
          <w:marBottom w:val="0"/>
          <w:divBdr>
            <w:top w:val="none" w:sz="0" w:space="0" w:color="auto"/>
            <w:left w:val="none" w:sz="0" w:space="0" w:color="auto"/>
            <w:bottom w:val="none" w:sz="0" w:space="0" w:color="auto"/>
            <w:right w:val="none" w:sz="0" w:space="0" w:color="auto"/>
          </w:divBdr>
        </w:div>
        <w:div w:id="1659652695">
          <w:marLeft w:val="0"/>
          <w:marRight w:val="0"/>
          <w:marTop w:val="0"/>
          <w:marBottom w:val="0"/>
          <w:divBdr>
            <w:top w:val="none" w:sz="0" w:space="0" w:color="auto"/>
            <w:left w:val="none" w:sz="0" w:space="0" w:color="auto"/>
            <w:bottom w:val="none" w:sz="0" w:space="0" w:color="auto"/>
            <w:right w:val="none" w:sz="0" w:space="0" w:color="auto"/>
          </w:divBdr>
        </w:div>
        <w:div w:id="19087508">
          <w:marLeft w:val="0"/>
          <w:marRight w:val="0"/>
          <w:marTop w:val="0"/>
          <w:marBottom w:val="0"/>
          <w:divBdr>
            <w:top w:val="none" w:sz="0" w:space="0" w:color="auto"/>
            <w:left w:val="none" w:sz="0" w:space="0" w:color="auto"/>
            <w:bottom w:val="none" w:sz="0" w:space="0" w:color="auto"/>
            <w:right w:val="none" w:sz="0" w:space="0" w:color="auto"/>
          </w:divBdr>
        </w:div>
        <w:div w:id="230122668">
          <w:marLeft w:val="0"/>
          <w:marRight w:val="0"/>
          <w:marTop w:val="0"/>
          <w:marBottom w:val="0"/>
          <w:divBdr>
            <w:top w:val="none" w:sz="0" w:space="0" w:color="auto"/>
            <w:left w:val="none" w:sz="0" w:space="0" w:color="auto"/>
            <w:bottom w:val="none" w:sz="0" w:space="0" w:color="auto"/>
            <w:right w:val="none" w:sz="0" w:space="0" w:color="auto"/>
          </w:divBdr>
        </w:div>
        <w:div w:id="1225407130">
          <w:marLeft w:val="0"/>
          <w:marRight w:val="0"/>
          <w:marTop w:val="0"/>
          <w:marBottom w:val="0"/>
          <w:divBdr>
            <w:top w:val="none" w:sz="0" w:space="0" w:color="auto"/>
            <w:left w:val="none" w:sz="0" w:space="0" w:color="auto"/>
            <w:bottom w:val="none" w:sz="0" w:space="0" w:color="auto"/>
            <w:right w:val="none" w:sz="0" w:space="0" w:color="auto"/>
          </w:divBdr>
        </w:div>
      </w:divsChild>
    </w:div>
    <w:div w:id="789668381">
      <w:bodyDiv w:val="1"/>
      <w:marLeft w:val="0"/>
      <w:marRight w:val="0"/>
      <w:marTop w:val="0"/>
      <w:marBottom w:val="0"/>
      <w:divBdr>
        <w:top w:val="none" w:sz="0" w:space="0" w:color="auto"/>
        <w:left w:val="none" w:sz="0" w:space="0" w:color="auto"/>
        <w:bottom w:val="none" w:sz="0" w:space="0" w:color="auto"/>
        <w:right w:val="none" w:sz="0" w:space="0" w:color="auto"/>
      </w:divBdr>
      <w:divsChild>
        <w:div w:id="1048264021">
          <w:marLeft w:val="0"/>
          <w:marRight w:val="0"/>
          <w:marTop w:val="0"/>
          <w:marBottom w:val="0"/>
          <w:divBdr>
            <w:top w:val="none" w:sz="0" w:space="0" w:color="auto"/>
            <w:left w:val="none" w:sz="0" w:space="0" w:color="auto"/>
            <w:bottom w:val="none" w:sz="0" w:space="0" w:color="auto"/>
            <w:right w:val="none" w:sz="0" w:space="0" w:color="auto"/>
          </w:divBdr>
        </w:div>
        <w:div w:id="2120181701">
          <w:marLeft w:val="0"/>
          <w:marRight w:val="0"/>
          <w:marTop w:val="0"/>
          <w:marBottom w:val="0"/>
          <w:divBdr>
            <w:top w:val="none" w:sz="0" w:space="0" w:color="auto"/>
            <w:left w:val="none" w:sz="0" w:space="0" w:color="auto"/>
            <w:bottom w:val="none" w:sz="0" w:space="0" w:color="auto"/>
            <w:right w:val="none" w:sz="0" w:space="0" w:color="auto"/>
          </w:divBdr>
        </w:div>
        <w:div w:id="308218585">
          <w:marLeft w:val="0"/>
          <w:marRight w:val="0"/>
          <w:marTop w:val="0"/>
          <w:marBottom w:val="0"/>
          <w:divBdr>
            <w:top w:val="none" w:sz="0" w:space="0" w:color="auto"/>
            <w:left w:val="none" w:sz="0" w:space="0" w:color="auto"/>
            <w:bottom w:val="none" w:sz="0" w:space="0" w:color="auto"/>
            <w:right w:val="none" w:sz="0" w:space="0" w:color="auto"/>
          </w:divBdr>
        </w:div>
      </w:divsChild>
    </w:div>
    <w:div w:id="801534470">
      <w:bodyDiv w:val="1"/>
      <w:marLeft w:val="0"/>
      <w:marRight w:val="0"/>
      <w:marTop w:val="0"/>
      <w:marBottom w:val="0"/>
      <w:divBdr>
        <w:top w:val="none" w:sz="0" w:space="0" w:color="auto"/>
        <w:left w:val="none" w:sz="0" w:space="0" w:color="auto"/>
        <w:bottom w:val="none" w:sz="0" w:space="0" w:color="auto"/>
        <w:right w:val="none" w:sz="0" w:space="0" w:color="auto"/>
      </w:divBdr>
      <w:divsChild>
        <w:div w:id="1721131050">
          <w:marLeft w:val="0"/>
          <w:marRight w:val="0"/>
          <w:marTop w:val="0"/>
          <w:marBottom w:val="0"/>
          <w:divBdr>
            <w:top w:val="none" w:sz="0" w:space="0" w:color="auto"/>
            <w:left w:val="none" w:sz="0" w:space="0" w:color="auto"/>
            <w:bottom w:val="none" w:sz="0" w:space="0" w:color="auto"/>
            <w:right w:val="none" w:sz="0" w:space="0" w:color="auto"/>
          </w:divBdr>
        </w:div>
        <w:div w:id="1120758831">
          <w:marLeft w:val="0"/>
          <w:marRight w:val="0"/>
          <w:marTop w:val="0"/>
          <w:marBottom w:val="0"/>
          <w:divBdr>
            <w:top w:val="none" w:sz="0" w:space="0" w:color="auto"/>
            <w:left w:val="none" w:sz="0" w:space="0" w:color="auto"/>
            <w:bottom w:val="none" w:sz="0" w:space="0" w:color="auto"/>
            <w:right w:val="none" w:sz="0" w:space="0" w:color="auto"/>
          </w:divBdr>
        </w:div>
        <w:div w:id="2001544690">
          <w:marLeft w:val="0"/>
          <w:marRight w:val="0"/>
          <w:marTop w:val="0"/>
          <w:marBottom w:val="0"/>
          <w:divBdr>
            <w:top w:val="none" w:sz="0" w:space="0" w:color="auto"/>
            <w:left w:val="none" w:sz="0" w:space="0" w:color="auto"/>
            <w:bottom w:val="none" w:sz="0" w:space="0" w:color="auto"/>
            <w:right w:val="none" w:sz="0" w:space="0" w:color="auto"/>
          </w:divBdr>
        </w:div>
        <w:div w:id="1323510048">
          <w:marLeft w:val="0"/>
          <w:marRight w:val="0"/>
          <w:marTop w:val="0"/>
          <w:marBottom w:val="0"/>
          <w:divBdr>
            <w:top w:val="none" w:sz="0" w:space="0" w:color="auto"/>
            <w:left w:val="none" w:sz="0" w:space="0" w:color="auto"/>
            <w:bottom w:val="none" w:sz="0" w:space="0" w:color="auto"/>
            <w:right w:val="none" w:sz="0" w:space="0" w:color="auto"/>
          </w:divBdr>
        </w:div>
        <w:div w:id="1376127152">
          <w:marLeft w:val="0"/>
          <w:marRight w:val="0"/>
          <w:marTop w:val="0"/>
          <w:marBottom w:val="0"/>
          <w:divBdr>
            <w:top w:val="none" w:sz="0" w:space="0" w:color="auto"/>
            <w:left w:val="none" w:sz="0" w:space="0" w:color="auto"/>
            <w:bottom w:val="none" w:sz="0" w:space="0" w:color="auto"/>
            <w:right w:val="none" w:sz="0" w:space="0" w:color="auto"/>
          </w:divBdr>
        </w:div>
        <w:div w:id="1245921675">
          <w:marLeft w:val="0"/>
          <w:marRight w:val="0"/>
          <w:marTop w:val="0"/>
          <w:marBottom w:val="0"/>
          <w:divBdr>
            <w:top w:val="none" w:sz="0" w:space="0" w:color="auto"/>
            <w:left w:val="none" w:sz="0" w:space="0" w:color="auto"/>
            <w:bottom w:val="none" w:sz="0" w:space="0" w:color="auto"/>
            <w:right w:val="none" w:sz="0" w:space="0" w:color="auto"/>
          </w:divBdr>
        </w:div>
        <w:div w:id="2066366608">
          <w:marLeft w:val="0"/>
          <w:marRight w:val="0"/>
          <w:marTop w:val="0"/>
          <w:marBottom w:val="0"/>
          <w:divBdr>
            <w:top w:val="none" w:sz="0" w:space="0" w:color="auto"/>
            <w:left w:val="none" w:sz="0" w:space="0" w:color="auto"/>
            <w:bottom w:val="none" w:sz="0" w:space="0" w:color="auto"/>
            <w:right w:val="none" w:sz="0" w:space="0" w:color="auto"/>
          </w:divBdr>
        </w:div>
        <w:div w:id="1930045864">
          <w:marLeft w:val="0"/>
          <w:marRight w:val="0"/>
          <w:marTop w:val="0"/>
          <w:marBottom w:val="0"/>
          <w:divBdr>
            <w:top w:val="none" w:sz="0" w:space="0" w:color="auto"/>
            <w:left w:val="none" w:sz="0" w:space="0" w:color="auto"/>
            <w:bottom w:val="none" w:sz="0" w:space="0" w:color="auto"/>
            <w:right w:val="none" w:sz="0" w:space="0" w:color="auto"/>
          </w:divBdr>
        </w:div>
        <w:div w:id="571740633">
          <w:marLeft w:val="0"/>
          <w:marRight w:val="0"/>
          <w:marTop w:val="0"/>
          <w:marBottom w:val="0"/>
          <w:divBdr>
            <w:top w:val="none" w:sz="0" w:space="0" w:color="auto"/>
            <w:left w:val="none" w:sz="0" w:space="0" w:color="auto"/>
            <w:bottom w:val="none" w:sz="0" w:space="0" w:color="auto"/>
            <w:right w:val="none" w:sz="0" w:space="0" w:color="auto"/>
          </w:divBdr>
        </w:div>
        <w:div w:id="912157454">
          <w:marLeft w:val="0"/>
          <w:marRight w:val="0"/>
          <w:marTop w:val="0"/>
          <w:marBottom w:val="0"/>
          <w:divBdr>
            <w:top w:val="none" w:sz="0" w:space="0" w:color="auto"/>
            <w:left w:val="none" w:sz="0" w:space="0" w:color="auto"/>
            <w:bottom w:val="none" w:sz="0" w:space="0" w:color="auto"/>
            <w:right w:val="none" w:sz="0" w:space="0" w:color="auto"/>
          </w:divBdr>
        </w:div>
      </w:divsChild>
    </w:div>
    <w:div w:id="811407472">
      <w:bodyDiv w:val="1"/>
      <w:marLeft w:val="0"/>
      <w:marRight w:val="0"/>
      <w:marTop w:val="0"/>
      <w:marBottom w:val="0"/>
      <w:divBdr>
        <w:top w:val="none" w:sz="0" w:space="0" w:color="auto"/>
        <w:left w:val="none" w:sz="0" w:space="0" w:color="auto"/>
        <w:bottom w:val="none" w:sz="0" w:space="0" w:color="auto"/>
        <w:right w:val="none" w:sz="0" w:space="0" w:color="auto"/>
      </w:divBdr>
      <w:divsChild>
        <w:div w:id="1411584817">
          <w:marLeft w:val="0"/>
          <w:marRight w:val="0"/>
          <w:marTop w:val="0"/>
          <w:marBottom w:val="0"/>
          <w:divBdr>
            <w:top w:val="none" w:sz="0" w:space="0" w:color="auto"/>
            <w:left w:val="none" w:sz="0" w:space="0" w:color="auto"/>
            <w:bottom w:val="none" w:sz="0" w:space="0" w:color="auto"/>
            <w:right w:val="none" w:sz="0" w:space="0" w:color="auto"/>
          </w:divBdr>
        </w:div>
        <w:div w:id="1246453927">
          <w:marLeft w:val="0"/>
          <w:marRight w:val="0"/>
          <w:marTop w:val="0"/>
          <w:marBottom w:val="0"/>
          <w:divBdr>
            <w:top w:val="none" w:sz="0" w:space="0" w:color="auto"/>
            <w:left w:val="none" w:sz="0" w:space="0" w:color="auto"/>
            <w:bottom w:val="none" w:sz="0" w:space="0" w:color="auto"/>
            <w:right w:val="none" w:sz="0" w:space="0" w:color="auto"/>
          </w:divBdr>
        </w:div>
        <w:div w:id="2032488023">
          <w:marLeft w:val="0"/>
          <w:marRight w:val="0"/>
          <w:marTop w:val="0"/>
          <w:marBottom w:val="0"/>
          <w:divBdr>
            <w:top w:val="none" w:sz="0" w:space="0" w:color="auto"/>
            <w:left w:val="none" w:sz="0" w:space="0" w:color="auto"/>
            <w:bottom w:val="none" w:sz="0" w:space="0" w:color="auto"/>
            <w:right w:val="none" w:sz="0" w:space="0" w:color="auto"/>
          </w:divBdr>
        </w:div>
        <w:div w:id="1983728015">
          <w:marLeft w:val="0"/>
          <w:marRight w:val="0"/>
          <w:marTop w:val="0"/>
          <w:marBottom w:val="0"/>
          <w:divBdr>
            <w:top w:val="none" w:sz="0" w:space="0" w:color="auto"/>
            <w:left w:val="none" w:sz="0" w:space="0" w:color="auto"/>
            <w:bottom w:val="none" w:sz="0" w:space="0" w:color="auto"/>
            <w:right w:val="none" w:sz="0" w:space="0" w:color="auto"/>
          </w:divBdr>
        </w:div>
        <w:div w:id="375324973">
          <w:marLeft w:val="0"/>
          <w:marRight w:val="0"/>
          <w:marTop w:val="0"/>
          <w:marBottom w:val="0"/>
          <w:divBdr>
            <w:top w:val="none" w:sz="0" w:space="0" w:color="auto"/>
            <w:left w:val="none" w:sz="0" w:space="0" w:color="auto"/>
            <w:bottom w:val="none" w:sz="0" w:space="0" w:color="auto"/>
            <w:right w:val="none" w:sz="0" w:space="0" w:color="auto"/>
          </w:divBdr>
        </w:div>
      </w:divsChild>
    </w:div>
    <w:div w:id="816729409">
      <w:bodyDiv w:val="1"/>
      <w:marLeft w:val="0"/>
      <w:marRight w:val="0"/>
      <w:marTop w:val="0"/>
      <w:marBottom w:val="0"/>
      <w:divBdr>
        <w:top w:val="none" w:sz="0" w:space="0" w:color="auto"/>
        <w:left w:val="none" w:sz="0" w:space="0" w:color="auto"/>
        <w:bottom w:val="none" w:sz="0" w:space="0" w:color="auto"/>
        <w:right w:val="none" w:sz="0" w:space="0" w:color="auto"/>
      </w:divBdr>
      <w:divsChild>
        <w:div w:id="356008446">
          <w:marLeft w:val="0"/>
          <w:marRight w:val="0"/>
          <w:marTop w:val="0"/>
          <w:marBottom w:val="0"/>
          <w:divBdr>
            <w:top w:val="none" w:sz="0" w:space="0" w:color="auto"/>
            <w:left w:val="none" w:sz="0" w:space="0" w:color="auto"/>
            <w:bottom w:val="none" w:sz="0" w:space="0" w:color="auto"/>
            <w:right w:val="none" w:sz="0" w:space="0" w:color="auto"/>
          </w:divBdr>
        </w:div>
        <w:div w:id="952442883">
          <w:marLeft w:val="0"/>
          <w:marRight w:val="0"/>
          <w:marTop w:val="0"/>
          <w:marBottom w:val="0"/>
          <w:divBdr>
            <w:top w:val="none" w:sz="0" w:space="0" w:color="auto"/>
            <w:left w:val="none" w:sz="0" w:space="0" w:color="auto"/>
            <w:bottom w:val="none" w:sz="0" w:space="0" w:color="auto"/>
            <w:right w:val="none" w:sz="0" w:space="0" w:color="auto"/>
          </w:divBdr>
        </w:div>
        <w:div w:id="374354875">
          <w:marLeft w:val="0"/>
          <w:marRight w:val="0"/>
          <w:marTop w:val="0"/>
          <w:marBottom w:val="0"/>
          <w:divBdr>
            <w:top w:val="none" w:sz="0" w:space="0" w:color="auto"/>
            <w:left w:val="none" w:sz="0" w:space="0" w:color="auto"/>
            <w:bottom w:val="none" w:sz="0" w:space="0" w:color="auto"/>
            <w:right w:val="none" w:sz="0" w:space="0" w:color="auto"/>
          </w:divBdr>
        </w:div>
      </w:divsChild>
    </w:div>
    <w:div w:id="860313648">
      <w:bodyDiv w:val="1"/>
      <w:marLeft w:val="0"/>
      <w:marRight w:val="0"/>
      <w:marTop w:val="0"/>
      <w:marBottom w:val="0"/>
      <w:divBdr>
        <w:top w:val="none" w:sz="0" w:space="0" w:color="auto"/>
        <w:left w:val="none" w:sz="0" w:space="0" w:color="auto"/>
        <w:bottom w:val="none" w:sz="0" w:space="0" w:color="auto"/>
        <w:right w:val="none" w:sz="0" w:space="0" w:color="auto"/>
      </w:divBdr>
      <w:divsChild>
        <w:div w:id="395855578">
          <w:marLeft w:val="0"/>
          <w:marRight w:val="0"/>
          <w:marTop w:val="0"/>
          <w:marBottom w:val="0"/>
          <w:divBdr>
            <w:top w:val="none" w:sz="0" w:space="0" w:color="auto"/>
            <w:left w:val="none" w:sz="0" w:space="0" w:color="auto"/>
            <w:bottom w:val="none" w:sz="0" w:space="0" w:color="auto"/>
            <w:right w:val="none" w:sz="0" w:space="0" w:color="auto"/>
          </w:divBdr>
        </w:div>
        <w:div w:id="697897741">
          <w:marLeft w:val="0"/>
          <w:marRight w:val="0"/>
          <w:marTop w:val="0"/>
          <w:marBottom w:val="0"/>
          <w:divBdr>
            <w:top w:val="none" w:sz="0" w:space="0" w:color="auto"/>
            <w:left w:val="none" w:sz="0" w:space="0" w:color="auto"/>
            <w:bottom w:val="none" w:sz="0" w:space="0" w:color="auto"/>
            <w:right w:val="none" w:sz="0" w:space="0" w:color="auto"/>
          </w:divBdr>
        </w:div>
        <w:div w:id="1552183638">
          <w:marLeft w:val="0"/>
          <w:marRight w:val="0"/>
          <w:marTop w:val="0"/>
          <w:marBottom w:val="0"/>
          <w:divBdr>
            <w:top w:val="none" w:sz="0" w:space="0" w:color="auto"/>
            <w:left w:val="none" w:sz="0" w:space="0" w:color="auto"/>
            <w:bottom w:val="none" w:sz="0" w:space="0" w:color="auto"/>
            <w:right w:val="none" w:sz="0" w:space="0" w:color="auto"/>
          </w:divBdr>
        </w:div>
        <w:div w:id="591089752">
          <w:marLeft w:val="0"/>
          <w:marRight w:val="0"/>
          <w:marTop w:val="0"/>
          <w:marBottom w:val="0"/>
          <w:divBdr>
            <w:top w:val="none" w:sz="0" w:space="0" w:color="auto"/>
            <w:left w:val="none" w:sz="0" w:space="0" w:color="auto"/>
            <w:bottom w:val="none" w:sz="0" w:space="0" w:color="auto"/>
            <w:right w:val="none" w:sz="0" w:space="0" w:color="auto"/>
          </w:divBdr>
        </w:div>
        <w:div w:id="1424254013">
          <w:marLeft w:val="0"/>
          <w:marRight w:val="0"/>
          <w:marTop w:val="0"/>
          <w:marBottom w:val="0"/>
          <w:divBdr>
            <w:top w:val="none" w:sz="0" w:space="0" w:color="auto"/>
            <w:left w:val="none" w:sz="0" w:space="0" w:color="auto"/>
            <w:bottom w:val="none" w:sz="0" w:space="0" w:color="auto"/>
            <w:right w:val="none" w:sz="0" w:space="0" w:color="auto"/>
          </w:divBdr>
        </w:div>
        <w:div w:id="411439670">
          <w:marLeft w:val="0"/>
          <w:marRight w:val="0"/>
          <w:marTop w:val="0"/>
          <w:marBottom w:val="0"/>
          <w:divBdr>
            <w:top w:val="none" w:sz="0" w:space="0" w:color="auto"/>
            <w:left w:val="none" w:sz="0" w:space="0" w:color="auto"/>
            <w:bottom w:val="none" w:sz="0" w:space="0" w:color="auto"/>
            <w:right w:val="none" w:sz="0" w:space="0" w:color="auto"/>
          </w:divBdr>
        </w:div>
        <w:div w:id="839612947">
          <w:marLeft w:val="0"/>
          <w:marRight w:val="0"/>
          <w:marTop w:val="0"/>
          <w:marBottom w:val="0"/>
          <w:divBdr>
            <w:top w:val="none" w:sz="0" w:space="0" w:color="auto"/>
            <w:left w:val="none" w:sz="0" w:space="0" w:color="auto"/>
            <w:bottom w:val="none" w:sz="0" w:space="0" w:color="auto"/>
            <w:right w:val="none" w:sz="0" w:space="0" w:color="auto"/>
          </w:divBdr>
        </w:div>
        <w:div w:id="1668441616">
          <w:marLeft w:val="0"/>
          <w:marRight w:val="0"/>
          <w:marTop w:val="0"/>
          <w:marBottom w:val="0"/>
          <w:divBdr>
            <w:top w:val="none" w:sz="0" w:space="0" w:color="auto"/>
            <w:left w:val="none" w:sz="0" w:space="0" w:color="auto"/>
            <w:bottom w:val="none" w:sz="0" w:space="0" w:color="auto"/>
            <w:right w:val="none" w:sz="0" w:space="0" w:color="auto"/>
          </w:divBdr>
        </w:div>
        <w:div w:id="511188149">
          <w:marLeft w:val="0"/>
          <w:marRight w:val="0"/>
          <w:marTop w:val="0"/>
          <w:marBottom w:val="0"/>
          <w:divBdr>
            <w:top w:val="none" w:sz="0" w:space="0" w:color="auto"/>
            <w:left w:val="none" w:sz="0" w:space="0" w:color="auto"/>
            <w:bottom w:val="none" w:sz="0" w:space="0" w:color="auto"/>
            <w:right w:val="none" w:sz="0" w:space="0" w:color="auto"/>
          </w:divBdr>
        </w:div>
        <w:div w:id="1366950980">
          <w:marLeft w:val="0"/>
          <w:marRight w:val="0"/>
          <w:marTop w:val="0"/>
          <w:marBottom w:val="0"/>
          <w:divBdr>
            <w:top w:val="none" w:sz="0" w:space="0" w:color="auto"/>
            <w:left w:val="none" w:sz="0" w:space="0" w:color="auto"/>
            <w:bottom w:val="none" w:sz="0" w:space="0" w:color="auto"/>
            <w:right w:val="none" w:sz="0" w:space="0" w:color="auto"/>
          </w:divBdr>
        </w:div>
        <w:div w:id="804158973">
          <w:marLeft w:val="0"/>
          <w:marRight w:val="0"/>
          <w:marTop w:val="0"/>
          <w:marBottom w:val="0"/>
          <w:divBdr>
            <w:top w:val="none" w:sz="0" w:space="0" w:color="auto"/>
            <w:left w:val="none" w:sz="0" w:space="0" w:color="auto"/>
            <w:bottom w:val="none" w:sz="0" w:space="0" w:color="auto"/>
            <w:right w:val="none" w:sz="0" w:space="0" w:color="auto"/>
          </w:divBdr>
        </w:div>
        <w:div w:id="1882594971">
          <w:marLeft w:val="0"/>
          <w:marRight w:val="0"/>
          <w:marTop w:val="0"/>
          <w:marBottom w:val="0"/>
          <w:divBdr>
            <w:top w:val="none" w:sz="0" w:space="0" w:color="auto"/>
            <w:left w:val="none" w:sz="0" w:space="0" w:color="auto"/>
            <w:bottom w:val="none" w:sz="0" w:space="0" w:color="auto"/>
            <w:right w:val="none" w:sz="0" w:space="0" w:color="auto"/>
          </w:divBdr>
        </w:div>
        <w:div w:id="750004089">
          <w:marLeft w:val="0"/>
          <w:marRight w:val="0"/>
          <w:marTop w:val="0"/>
          <w:marBottom w:val="0"/>
          <w:divBdr>
            <w:top w:val="none" w:sz="0" w:space="0" w:color="auto"/>
            <w:left w:val="none" w:sz="0" w:space="0" w:color="auto"/>
            <w:bottom w:val="none" w:sz="0" w:space="0" w:color="auto"/>
            <w:right w:val="none" w:sz="0" w:space="0" w:color="auto"/>
          </w:divBdr>
        </w:div>
        <w:div w:id="1752043259">
          <w:marLeft w:val="0"/>
          <w:marRight w:val="0"/>
          <w:marTop w:val="0"/>
          <w:marBottom w:val="0"/>
          <w:divBdr>
            <w:top w:val="none" w:sz="0" w:space="0" w:color="auto"/>
            <w:left w:val="none" w:sz="0" w:space="0" w:color="auto"/>
            <w:bottom w:val="none" w:sz="0" w:space="0" w:color="auto"/>
            <w:right w:val="none" w:sz="0" w:space="0" w:color="auto"/>
          </w:divBdr>
        </w:div>
      </w:divsChild>
    </w:div>
    <w:div w:id="863978616">
      <w:bodyDiv w:val="1"/>
      <w:marLeft w:val="0"/>
      <w:marRight w:val="0"/>
      <w:marTop w:val="0"/>
      <w:marBottom w:val="0"/>
      <w:divBdr>
        <w:top w:val="none" w:sz="0" w:space="0" w:color="auto"/>
        <w:left w:val="none" w:sz="0" w:space="0" w:color="auto"/>
        <w:bottom w:val="none" w:sz="0" w:space="0" w:color="auto"/>
        <w:right w:val="none" w:sz="0" w:space="0" w:color="auto"/>
      </w:divBdr>
      <w:divsChild>
        <w:div w:id="263463771">
          <w:marLeft w:val="0"/>
          <w:marRight w:val="0"/>
          <w:marTop w:val="0"/>
          <w:marBottom w:val="0"/>
          <w:divBdr>
            <w:top w:val="none" w:sz="0" w:space="0" w:color="auto"/>
            <w:left w:val="none" w:sz="0" w:space="0" w:color="auto"/>
            <w:bottom w:val="none" w:sz="0" w:space="0" w:color="auto"/>
            <w:right w:val="none" w:sz="0" w:space="0" w:color="auto"/>
          </w:divBdr>
        </w:div>
        <w:div w:id="1546601192">
          <w:marLeft w:val="0"/>
          <w:marRight w:val="0"/>
          <w:marTop w:val="0"/>
          <w:marBottom w:val="0"/>
          <w:divBdr>
            <w:top w:val="none" w:sz="0" w:space="0" w:color="auto"/>
            <w:left w:val="none" w:sz="0" w:space="0" w:color="auto"/>
            <w:bottom w:val="none" w:sz="0" w:space="0" w:color="auto"/>
            <w:right w:val="none" w:sz="0" w:space="0" w:color="auto"/>
          </w:divBdr>
        </w:div>
        <w:div w:id="1575434428">
          <w:marLeft w:val="0"/>
          <w:marRight w:val="0"/>
          <w:marTop w:val="0"/>
          <w:marBottom w:val="0"/>
          <w:divBdr>
            <w:top w:val="none" w:sz="0" w:space="0" w:color="auto"/>
            <w:left w:val="none" w:sz="0" w:space="0" w:color="auto"/>
            <w:bottom w:val="none" w:sz="0" w:space="0" w:color="auto"/>
            <w:right w:val="none" w:sz="0" w:space="0" w:color="auto"/>
          </w:divBdr>
        </w:div>
        <w:div w:id="274561734">
          <w:marLeft w:val="0"/>
          <w:marRight w:val="0"/>
          <w:marTop w:val="0"/>
          <w:marBottom w:val="0"/>
          <w:divBdr>
            <w:top w:val="none" w:sz="0" w:space="0" w:color="auto"/>
            <w:left w:val="none" w:sz="0" w:space="0" w:color="auto"/>
            <w:bottom w:val="none" w:sz="0" w:space="0" w:color="auto"/>
            <w:right w:val="none" w:sz="0" w:space="0" w:color="auto"/>
          </w:divBdr>
        </w:div>
        <w:div w:id="881753022">
          <w:marLeft w:val="0"/>
          <w:marRight w:val="0"/>
          <w:marTop w:val="0"/>
          <w:marBottom w:val="0"/>
          <w:divBdr>
            <w:top w:val="none" w:sz="0" w:space="0" w:color="auto"/>
            <w:left w:val="none" w:sz="0" w:space="0" w:color="auto"/>
            <w:bottom w:val="none" w:sz="0" w:space="0" w:color="auto"/>
            <w:right w:val="none" w:sz="0" w:space="0" w:color="auto"/>
          </w:divBdr>
        </w:div>
        <w:div w:id="1638602756">
          <w:marLeft w:val="0"/>
          <w:marRight w:val="0"/>
          <w:marTop w:val="0"/>
          <w:marBottom w:val="0"/>
          <w:divBdr>
            <w:top w:val="none" w:sz="0" w:space="0" w:color="auto"/>
            <w:left w:val="none" w:sz="0" w:space="0" w:color="auto"/>
            <w:bottom w:val="none" w:sz="0" w:space="0" w:color="auto"/>
            <w:right w:val="none" w:sz="0" w:space="0" w:color="auto"/>
          </w:divBdr>
        </w:div>
        <w:div w:id="1376588005">
          <w:marLeft w:val="0"/>
          <w:marRight w:val="0"/>
          <w:marTop w:val="0"/>
          <w:marBottom w:val="0"/>
          <w:divBdr>
            <w:top w:val="none" w:sz="0" w:space="0" w:color="auto"/>
            <w:left w:val="none" w:sz="0" w:space="0" w:color="auto"/>
            <w:bottom w:val="none" w:sz="0" w:space="0" w:color="auto"/>
            <w:right w:val="none" w:sz="0" w:space="0" w:color="auto"/>
          </w:divBdr>
        </w:div>
        <w:div w:id="1080327089">
          <w:marLeft w:val="0"/>
          <w:marRight w:val="0"/>
          <w:marTop w:val="0"/>
          <w:marBottom w:val="0"/>
          <w:divBdr>
            <w:top w:val="none" w:sz="0" w:space="0" w:color="auto"/>
            <w:left w:val="none" w:sz="0" w:space="0" w:color="auto"/>
            <w:bottom w:val="none" w:sz="0" w:space="0" w:color="auto"/>
            <w:right w:val="none" w:sz="0" w:space="0" w:color="auto"/>
          </w:divBdr>
        </w:div>
        <w:div w:id="1571387182">
          <w:marLeft w:val="0"/>
          <w:marRight w:val="0"/>
          <w:marTop w:val="0"/>
          <w:marBottom w:val="0"/>
          <w:divBdr>
            <w:top w:val="none" w:sz="0" w:space="0" w:color="auto"/>
            <w:left w:val="none" w:sz="0" w:space="0" w:color="auto"/>
            <w:bottom w:val="none" w:sz="0" w:space="0" w:color="auto"/>
            <w:right w:val="none" w:sz="0" w:space="0" w:color="auto"/>
          </w:divBdr>
        </w:div>
        <w:div w:id="1246384214">
          <w:marLeft w:val="0"/>
          <w:marRight w:val="0"/>
          <w:marTop w:val="0"/>
          <w:marBottom w:val="0"/>
          <w:divBdr>
            <w:top w:val="none" w:sz="0" w:space="0" w:color="auto"/>
            <w:left w:val="none" w:sz="0" w:space="0" w:color="auto"/>
            <w:bottom w:val="none" w:sz="0" w:space="0" w:color="auto"/>
            <w:right w:val="none" w:sz="0" w:space="0" w:color="auto"/>
          </w:divBdr>
        </w:div>
        <w:div w:id="39983878">
          <w:marLeft w:val="0"/>
          <w:marRight w:val="0"/>
          <w:marTop w:val="0"/>
          <w:marBottom w:val="0"/>
          <w:divBdr>
            <w:top w:val="none" w:sz="0" w:space="0" w:color="auto"/>
            <w:left w:val="none" w:sz="0" w:space="0" w:color="auto"/>
            <w:bottom w:val="none" w:sz="0" w:space="0" w:color="auto"/>
            <w:right w:val="none" w:sz="0" w:space="0" w:color="auto"/>
          </w:divBdr>
        </w:div>
        <w:div w:id="889808797">
          <w:marLeft w:val="0"/>
          <w:marRight w:val="0"/>
          <w:marTop w:val="0"/>
          <w:marBottom w:val="0"/>
          <w:divBdr>
            <w:top w:val="none" w:sz="0" w:space="0" w:color="auto"/>
            <w:left w:val="none" w:sz="0" w:space="0" w:color="auto"/>
            <w:bottom w:val="none" w:sz="0" w:space="0" w:color="auto"/>
            <w:right w:val="none" w:sz="0" w:space="0" w:color="auto"/>
          </w:divBdr>
        </w:div>
        <w:div w:id="666401151">
          <w:marLeft w:val="0"/>
          <w:marRight w:val="0"/>
          <w:marTop w:val="0"/>
          <w:marBottom w:val="0"/>
          <w:divBdr>
            <w:top w:val="none" w:sz="0" w:space="0" w:color="auto"/>
            <w:left w:val="none" w:sz="0" w:space="0" w:color="auto"/>
            <w:bottom w:val="none" w:sz="0" w:space="0" w:color="auto"/>
            <w:right w:val="none" w:sz="0" w:space="0" w:color="auto"/>
          </w:divBdr>
        </w:div>
        <w:div w:id="444425309">
          <w:marLeft w:val="0"/>
          <w:marRight w:val="0"/>
          <w:marTop w:val="0"/>
          <w:marBottom w:val="0"/>
          <w:divBdr>
            <w:top w:val="none" w:sz="0" w:space="0" w:color="auto"/>
            <w:left w:val="none" w:sz="0" w:space="0" w:color="auto"/>
            <w:bottom w:val="none" w:sz="0" w:space="0" w:color="auto"/>
            <w:right w:val="none" w:sz="0" w:space="0" w:color="auto"/>
          </w:divBdr>
        </w:div>
        <w:div w:id="1749692352">
          <w:marLeft w:val="0"/>
          <w:marRight w:val="0"/>
          <w:marTop w:val="0"/>
          <w:marBottom w:val="0"/>
          <w:divBdr>
            <w:top w:val="none" w:sz="0" w:space="0" w:color="auto"/>
            <w:left w:val="none" w:sz="0" w:space="0" w:color="auto"/>
            <w:bottom w:val="none" w:sz="0" w:space="0" w:color="auto"/>
            <w:right w:val="none" w:sz="0" w:space="0" w:color="auto"/>
          </w:divBdr>
        </w:div>
        <w:div w:id="1883518130">
          <w:marLeft w:val="0"/>
          <w:marRight w:val="0"/>
          <w:marTop w:val="0"/>
          <w:marBottom w:val="0"/>
          <w:divBdr>
            <w:top w:val="none" w:sz="0" w:space="0" w:color="auto"/>
            <w:left w:val="none" w:sz="0" w:space="0" w:color="auto"/>
            <w:bottom w:val="none" w:sz="0" w:space="0" w:color="auto"/>
            <w:right w:val="none" w:sz="0" w:space="0" w:color="auto"/>
          </w:divBdr>
        </w:div>
        <w:div w:id="380633508">
          <w:marLeft w:val="0"/>
          <w:marRight w:val="0"/>
          <w:marTop w:val="0"/>
          <w:marBottom w:val="0"/>
          <w:divBdr>
            <w:top w:val="none" w:sz="0" w:space="0" w:color="auto"/>
            <w:left w:val="none" w:sz="0" w:space="0" w:color="auto"/>
            <w:bottom w:val="none" w:sz="0" w:space="0" w:color="auto"/>
            <w:right w:val="none" w:sz="0" w:space="0" w:color="auto"/>
          </w:divBdr>
        </w:div>
        <w:div w:id="1863977676">
          <w:marLeft w:val="0"/>
          <w:marRight w:val="0"/>
          <w:marTop w:val="0"/>
          <w:marBottom w:val="0"/>
          <w:divBdr>
            <w:top w:val="none" w:sz="0" w:space="0" w:color="auto"/>
            <w:left w:val="none" w:sz="0" w:space="0" w:color="auto"/>
            <w:bottom w:val="none" w:sz="0" w:space="0" w:color="auto"/>
            <w:right w:val="none" w:sz="0" w:space="0" w:color="auto"/>
          </w:divBdr>
        </w:div>
        <w:div w:id="1211309682">
          <w:marLeft w:val="0"/>
          <w:marRight w:val="0"/>
          <w:marTop w:val="0"/>
          <w:marBottom w:val="0"/>
          <w:divBdr>
            <w:top w:val="none" w:sz="0" w:space="0" w:color="auto"/>
            <w:left w:val="none" w:sz="0" w:space="0" w:color="auto"/>
            <w:bottom w:val="none" w:sz="0" w:space="0" w:color="auto"/>
            <w:right w:val="none" w:sz="0" w:space="0" w:color="auto"/>
          </w:divBdr>
        </w:div>
        <w:div w:id="452795280">
          <w:marLeft w:val="0"/>
          <w:marRight w:val="0"/>
          <w:marTop w:val="0"/>
          <w:marBottom w:val="0"/>
          <w:divBdr>
            <w:top w:val="none" w:sz="0" w:space="0" w:color="auto"/>
            <w:left w:val="none" w:sz="0" w:space="0" w:color="auto"/>
            <w:bottom w:val="none" w:sz="0" w:space="0" w:color="auto"/>
            <w:right w:val="none" w:sz="0" w:space="0" w:color="auto"/>
          </w:divBdr>
        </w:div>
        <w:div w:id="1646080349">
          <w:marLeft w:val="0"/>
          <w:marRight w:val="0"/>
          <w:marTop w:val="0"/>
          <w:marBottom w:val="0"/>
          <w:divBdr>
            <w:top w:val="none" w:sz="0" w:space="0" w:color="auto"/>
            <w:left w:val="none" w:sz="0" w:space="0" w:color="auto"/>
            <w:bottom w:val="none" w:sz="0" w:space="0" w:color="auto"/>
            <w:right w:val="none" w:sz="0" w:space="0" w:color="auto"/>
          </w:divBdr>
        </w:div>
        <w:div w:id="1570964609">
          <w:marLeft w:val="0"/>
          <w:marRight w:val="0"/>
          <w:marTop w:val="0"/>
          <w:marBottom w:val="0"/>
          <w:divBdr>
            <w:top w:val="none" w:sz="0" w:space="0" w:color="auto"/>
            <w:left w:val="none" w:sz="0" w:space="0" w:color="auto"/>
            <w:bottom w:val="none" w:sz="0" w:space="0" w:color="auto"/>
            <w:right w:val="none" w:sz="0" w:space="0" w:color="auto"/>
          </w:divBdr>
        </w:div>
        <w:div w:id="1486124355">
          <w:marLeft w:val="0"/>
          <w:marRight w:val="0"/>
          <w:marTop w:val="0"/>
          <w:marBottom w:val="0"/>
          <w:divBdr>
            <w:top w:val="none" w:sz="0" w:space="0" w:color="auto"/>
            <w:left w:val="none" w:sz="0" w:space="0" w:color="auto"/>
            <w:bottom w:val="none" w:sz="0" w:space="0" w:color="auto"/>
            <w:right w:val="none" w:sz="0" w:space="0" w:color="auto"/>
          </w:divBdr>
        </w:div>
      </w:divsChild>
    </w:div>
    <w:div w:id="865488971">
      <w:bodyDiv w:val="1"/>
      <w:marLeft w:val="0"/>
      <w:marRight w:val="0"/>
      <w:marTop w:val="0"/>
      <w:marBottom w:val="0"/>
      <w:divBdr>
        <w:top w:val="none" w:sz="0" w:space="0" w:color="auto"/>
        <w:left w:val="none" w:sz="0" w:space="0" w:color="auto"/>
        <w:bottom w:val="none" w:sz="0" w:space="0" w:color="auto"/>
        <w:right w:val="none" w:sz="0" w:space="0" w:color="auto"/>
      </w:divBdr>
      <w:divsChild>
        <w:div w:id="1135756146">
          <w:marLeft w:val="0"/>
          <w:marRight w:val="0"/>
          <w:marTop w:val="0"/>
          <w:marBottom w:val="0"/>
          <w:divBdr>
            <w:top w:val="none" w:sz="0" w:space="0" w:color="auto"/>
            <w:left w:val="none" w:sz="0" w:space="0" w:color="auto"/>
            <w:bottom w:val="none" w:sz="0" w:space="0" w:color="auto"/>
            <w:right w:val="none" w:sz="0" w:space="0" w:color="auto"/>
          </w:divBdr>
        </w:div>
        <w:div w:id="2138638541">
          <w:marLeft w:val="0"/>
          <w:marRight w:val="0"/>
          <w:marTop w:val="0"/>
          <w:marBottom w:val="0"/>
          <w:divBdr>
            <w:top w:val="none" w:sz="0" w:space="0" w:color="auto"/>
            <w:left w:val="none" w:sz="0" w:space="0" w:color="auto"/>
            <w:bottom w:val="none" w:sz="0" w:space="0" w:color="auto"/>
            <w:right w:val="none" w:sz="0" w:space="0" w:color="auto"/>
          </w:divBdr>
        </w:div>
        <w:div w:id="943264645">
          <w:marLeft w:val="0"/>
          <w:marRight w:val="0"/>
          <w:marTop w:val="0"/>
          <w:marBottom w:val="0"/>
          <w:divBdr>
            <w:top w:val="none" w:sz="0" w:space="0" w:color="auto"/>
            <w:left w:val="none" w:sz="0" w:space="0" w:color="auto"/>
            <w:bottom w:val="none" w:sz="0" w:space="0" w:color="auto"/>
            <w:right w:val="none" w:sz="0" w:space="0" w:color="auto"/>
          </w:divBdr>
        </w:div>
        <w:div w:id="1627657308">
          <w:marLeft w:val="0"/>
          <w:marRight w:val="0"/>
          <w:marTop w:val="0"/>
          <w:marBottom w:val="0"/>
          <w:divBdr>
            <w:top w:val="none" w:sz="0" w:space="0" w:color="auto"/>
            <w:left w:val="none" w:sz="0" w:space="0" w:color="auto"/>
            <w:bottom w:val="none" w:sz="0" w:space="0" w:color="auto"/>
            <w:right w:val="none" w:sz="0" w:space="0" w:color="auto"/>
          </w:divBdr>
        </w:div>
        <w:div w:id="329137572">
          <w:marLeft w:val="0"/>
          <w:marRight w:val="0"/>
          <w:marTop w:val="0"/>
          <w:marBottom w:val="0"/>
          <w:divBdr>
            <w:top w:val="none" w:sz="0" w:space="0" w:color="auto"/>
            <w:left w:val="none" w:sz="0" w:space="0" w:color="auto"/>
            <w:bottom w:val="none" w:sz="0" w:space="0" w:color="auto"/>
            <w:right w:val="none" w:sz="0" w:space="0" w:color="auto"/>
          </w:divBdr>
        </w:div>
        <w:div w:id="1510875914">
          <w:marLeft w:val="0"/>
          <w:marRight w:val="0"/>
          <w:marTop w:val="0"/>
          <w:marBottom w:val="0"/>
          <w:divBdr>
            <w:top w:val="none" w:sz="0" w:space="0" w:color="auto"/>
            <w:left w:val="none" w:sz="0" w:space="0" w:color="auto"/>
            <w:bottom w:val="none" w:sz="0" w:space="0" w:color="auto"/>
            <w:right w:val="none" w:sz="0" w:space="0" w:color="auto"/>
          </w:divBdr>
        </w:div>
        <w:div w:id="1228614716">
          <w:marLeft w:val="0"/>
          <w:marRight w:val="0"/>
          <w:marTop w:val="0"/>
          <w:marBottom w:val="0"/>
          <w:divBdr>
            <w:top w:val="none" w:sz="0" w:space="0" w:color="auto"/>
            <w:left w:val="none" w:sz="0" w:space="0" w:color="auto"/>
            <w:bottom w:val="none" w:sz="0" w:space="0" w:color="auto"/>
            <w:right w:val="none" w:sz="0" w:space="0" w:color="auto"/>
          </w:divBdr>
        </w:div>
        <w:div w:id="216859872">
          <w:marLeft w:val="0"/>
          <w:marRight w:val="0"/>
          <w:marTop w:val="0"/>
          <w:marBottom w:val="0"/>
          <w:divBdr>
            <w:top w:val="none" w:sz="0" w:space="0" w:color="auto"/>
            <w:left w:val="none" w:sz="0" w:space="0" w:color="auto"/>
            <w:bottom w:val="none" w:sz="0" w:space="0" w:color="auto"/>
            <w:right w:val="none" w:sz="0" w:space="0" w:color="auto"/>
          </w:divBdr>
        </w:div>
        <w:div w:id="379129439">
          <w:marLeft w:val="0"/>
          <w:marRight w:val="0"/>
          <w:marTop w:val="0"/>
          <w:marBottom w:val="0"/>
          <w:divBdr>
            <w:top w:val="none" w:sz="0" w:space="0" w:color="auto"/>
            <w:left w:val="none" w:sz="0" w:space="0" w:color="auto"/>
            <w:bottom w:val="none" w:sz="0" w:space="0" w:color="auto"/>
            <w:right w:val="none" w:sz="0" w:space="0" w:color="auto"/>
          </w:divBdr>
        </w:div>
        <w:div w:id="1753773331">
          <w:marLeft w:val="0"/>
          <w:marRight w:val="0"/>
          <w:marTop w:val="0"/>
          <w:marBottom w:val="0"/>
          <w:divBdr>
            <w:top w:val="none" w:sz="0" w:space="0" w:color="auto"/>
            <w:left w:val="none" w:sz="0" w:space="0" w:color="auto"/>
            <w:bottom w:val="none" w:sz="0" w:space="0" w:color="auto"/>
            <w:right w:val="none" w:sz="0" w:space="0" w:color="auto"/>
          </w:divBdr>
        </w:div>
        <w:div w:id="2127774970">
          <w:marLeft w:val="0"/>
          <w:marRight w:val="0"/>
          <w:marTop w:val="0"/>
          <w:marBottom w:val="0"/>
          <w:divBdr>
            <w:top w:val="none" w:sz="0" w:space="0" w:color="auto"/>
            <w:left w:val="none" w:sz="0" w:space="0" w:color="auto"/>
            <w:bottom w:val="none" w:sz="0" w:space="0" w:color="auto"/>
            <w:right w:val="none" w:sz="0" w:space="0" w:color="auto"/>
          </w:divBdr>
        </w:div>
        <w:div w:id="1433667793">
          <w:marLeft w:val="0"/>
          <w:marRight w:val="0"/>
          <w:marTop w:val="0"/>
          <w:marBottom w:val="0"/>
          <w:divBdr>
            <w:top w:val="none" w:sz="0" w:space="0" w:color="auto"/>
            <w:left w:val="none" w:sz="0" w:space="0" w:color="auto"/>
            <w:bottom w:val="none" w:sz="0" w:space="0" w:color="auto"/>
            <w:right w:val="none" w:sz="0" w:space="0" w:color="auto"/>
          </w:divBdr>
        </w:div>
        <w:div w:id="910699466">
          <w:marLeft w:val="0"/>
          <w:marRight w:val="0"/>
          <w:marTop w:val="0"/>
          <w:marBottom w:val="0"/>
          <w:divBdr>
            <w:top w:val="none" w:sz="0" w:space="0" w:color="auto"/>
            <w:left w:val="none" w:sz="0" w:space="0" w:color="auto"/>
            <w:bottom w:val="none" w:sz="0" w:space="0" w:color="auto"/>
            <w:right w:val="none" w:sz="0" w:space="0" w:color="auto"/>
          </w:divBdr>
        </w:div>
        <w:div w:id="2078893525">
          <w:marLeft w:val="0"/>
          <w:marRight w:val="0"/>
          <w:marTop w:val="0"/>
          <w:marBottom w:val="0"/>
          <w:divBdr>
            <w:top w:val="none" w:sz="0" w:space="0" w:color="auto"/>
            <w:left w:val="none" w:sz="0" w:space="0" w:color="auto"/>
            <w:bottom w:val="none" w:sz="0" w:space="0" w:color="auto"/>
            <w:right w:val="none" w:sz="0" w:space="0" w:color="auto"/>
          </w:divBdr>
        </w:div>
        <w:div w:id="1090807077">
          <w:marLeft w:val="0"/>
          <w:marRight w:val="0"/>
          <w:marTop w:val="0"/>
          <w:marBottom w:val="0"/>
          <w:divBdr>
            <w:top w:val="none" w:sz="0" w:space="0" w:color="auto"/>
            <w:left w:val="none" w:sz="0" w:space="0" w:color="auto"/>
            <w:bottom w:val="none" w:sz="0" w:space="0" w:color="auto"/>
            <w:right w:val="none" w:sz="0" w:space="0" w:color="auto"/>
          </w:divBdr>
        </w:div>
        <w:div w:id="1877543910">
          <w:marLeft w:val="0"/>
          <w:marRight w:val="0"/>
          <w:marTop w:val="0"/>
          <w:marBottom w:val="0"/>
          <w:divBdr>
            <w:top w:val="none" w:sz="0" w:space="0" w:color="auto"/>
            <w:left w:val="none" w:sz="0" w:space="0" w:color="auto"/>
            <w:bottom w:val="none" w:sz="0" w:space="0" w:color="auto"/>
            <w:right w:val="none" w:sz="0" w:space="0" w:color="auto"/>
          </w:divBdr>
        </w:div>
        <w:div w:id="2032562555">
          <w:marLeft w:val="0"/>
          <w:marRight w:val="0"/>
          <w:marTop w:val="0"/>
          <w:marBottom w:val="0"/>
          <w:divBdr>
            <w:top w:val="none" w:sz="0" w:space="0" w:color="auto"/>
            <w:left w:val="none" w:sz="0" w:space="0" w:color="auto"/>
            <w:bottom w:val="none" w:sz="0" w:space="0" w:color="auto"/>
            <w:right w:val="none" w:sz="0" w:space="0" w:color="auto"/>
          </w:divBdr>
        </w:div>
        <w:div w:id="334310823">
          <w:marLeft w:val="0"/>
          <w:marRight w:val="0"/>
          <w:marTop w:val="0"/>
          <w:marBottom w:val="0"/>
          <w:divBdr>
            <w:top w:val="none" w:sz="0" w:space="0" w:color="auto"/>
            <w:left w:val="none" w:sz="0" w:space="0" w:color="auto"/>
            <w:bottom w:val="none" w:sz="0" w:space="0" w:color="auto"/>
            <w:right w:val="none" w:sz="0" w:space="0" w:color="auto"/>
          </w:divBdr>
        </w:div>
        <w:div w:id="121533140">
          <w:marLeft w:val="0"/>
          <w:marRight w:val="0"/>
          <w:marTop w:val="0"/>
          <w:marBottom w:val="0"/>
          <w:divBdr>
            <w:top w:val="none" w:sz="0" w:space="0" w:color="auto"/>
            <w:left w:val="none" w:sz="0" w:space="0" w:color="auto"/>
            <w:bottom w:val="none" w:sz="0" w:space="0" w:color="auto"/>
            <w:right w:val="none" w:sz="0" w:space="0" w:color="auto"/>
          </w:divBdr>
        </w:div>
        <w:div w:id="1625772046">
          <w:marLeft w:val="0"/>
          <w:marRight w:val="0"/>
          <w:marTop w:val="0"/>
          <w:marBottom w:val="0"/>
          <w:divBdr>
            <w:top w:val="none" w:sz="0" w:space="0" w:color="auto"/>
            <w:left w:val="none" w:sz="0" w:space="0" w:color="auto"/>
            <w:bottom w:val="none" w:sz="0" w:space="0" w:color="auto"/>
            <w:right w:val="none" w:sz="0" w:space="0" w:color="auto"/>
          </w:divBdr>
        </w:div>
        <w:div w:id="1362441301">
          <w:marLeft w:val="0"/>
          <w:marRight w:val="0"/>
          <w:marTop w:val="0"/>
          <w:marBottom w:val="0"/>
          <w:divBdr>
            <w:top w:val="none" w:sz="0" w:space="0" w:color="auto"/>
            <w:left w:val="none" w:sz="0" w:space="0" w:color="auto"/>
            <w:bottom w:val="none" w:sz="0" w:space="0" w:color="auto"/>
            <w:right w:val="none" w:sz="0" w:space="0" w:color="auto"/>
          </w:divBdr>
        </w:div>
        <w:div w:id="942297636">
          <w:marLeft w:val="0"/>
          <w:marRight w:val="0"/>
          <w:marTop w:val="0"/>
          <w:marBottom w:val="0"/>
          <w:divBdr>
            <w:top w:val="none" w:sz="0" w:space="0" w:color="auto"/>
            <w:left w:val="none" w:sz="0" w:space="0" w:color="auto"/>
            <w:bottom w:val="none" w:sz="0" w:space="0" w:color="auto"/>
            <w:right w:val="none" w:sz="0" w:space="0" w:color="auto"/>
          </w:divBdr>
        </w:div>
        <w:div w:id="1536500377">
          <w:marLeft w:val="0"/>
          <w:marRight w:val="0"/>
          <w:marTop w:val="0"/>
          <w:marBottom w:val="0"/>
          <w:divBdr>
            <w:top w:val="none" w:sz="0" w:space="0" w:color="auto"/>
            <w:left w:val="none" w:sz="0" w:space="0" w:color="auto"/>
            <w:bottom w:val="none" w:sz="0" w:space="0" w:color="auto"/>
            <w:right w:val="none" w:sz="0" w:space="0" w:color="auto"/>
          </w:divBdr>
        </w:div>
        <w:div w:id="1559705449">
          <w:marLeft w:val="0"/>
          <w:marRight w:val="0"/>
          <w:marTop w:val="0"/>
          <w:marBottom w:val="0"/>
          <w:divBdr>
            <w:top w:val="none" w:sz="0" w:space="0" w:color="auto"/>
            <w:left w:val="none" w:sz="0" w:space="0" w:color="auto"/>
            <w:bottom w:val="none" w:sz="0" w:space="0" w:color="auto"/>
            <w:right w:val="none" w:sz="0" w:space="0" w:color="auto"/>
          </w:divBdr>
        </w:div>
        <w:div w:id="1635864703">
          <w:marLeft w:val="0"/>
          <w:marRight w:val="0"/>
          <w:marTop w:val="0"/>
          <w:marBottom w:val="0"/>
          <w:divBdr>
            <w:top w:val="none" w:sz="0" w:space="0" w:color="auto"/>
            <w:left w:val="none" w:sz="0" w:space="0" w:color="auto"/>
            <w:bottom w:val="none" w:sz="0" w:space="0" w:color="auto"/>
            <w:right w:val="none" w:sz="0" w:space="0" w:color="auto"/>
          </w:divBdr>
        </w:div>
        <w:div w:id="833880473">
          <w:marLeft w:val="0"/>
          <w:marRight w:val="0"/>
          <w:marTop w:val="0"/>
          <w:marBottom w:val="0"/>
          <w:divBdr>
            <w:top w:val="none" w:sz="0" w:space="0" w:color="auto"/>
            <w:left w:val="none" w:sz="0" w:space="0" w:color="auto"/>
            <w:bottom w:val="none" w:sz="0" w:space="0" w:color="auto"/>
            <w:right w:val="none" w:sz="0" w:space="0" w:color="auto"/>
          </w:divBdr>
        </w:div>
        <w:div w:id="1653174512">
          <w:marLeft w:val="0"/>
          <w:marRight w:val="0"/>
          <w:marTop w:val="0"/>
          <w:marBottom w:val="0"/>
          <w:divBdr>
            <w:top w:val="none" w:sz="0" w:space="0" w:color="auto"/>
            <w:left w:val="none" w:sz="0" w:space="0" w:color="auto"/>
            <w:bottom w:val="none" w:sz="0" w:space="0" w:color="auto"/>
            <w:right w:val="none" w:sz="0" w:space="0" w:color="auto"/>
          </w:divBdr>
        </w:div>
        <w:div w:id="1502117070">
          <w:marLeft w:val="0"/>
          <w:marRight w:val="0"/>
          <w:marTop w:val="0"/>
          <w:marBottom w:val="0"/>
          <w:divBdr>
            <w:top w:val="none" w:sz="0" w:space="0" w:color="auto"/>
            <w:left w:val="none" w:sz="0" w:space="0" w:color="auto"/>
            <w:bottom w:val="none" w:sz="0" w:space="0" w:color="auto"/>
            <w:right w:val="none" w:sz="0" w:space="0" w:color="auto"/>
          </w:divBdr>
        </w:div>
        <w:div w:id="615405968">
          <w:marLeft w:val="0"/>
          <w:marRight w:val="0"/>
          <w:marTop w:val="0"/>
          <w:marBottom w:val="0"/>
          <w:divBdr>
            <w:top w:val="none" w:sz="0" w:space="0" w:color="auto"/>
            <w:left w:val="none" w:sz="0" w:space="0" w:color="auto"/>
            <w:bottom w:val="none" w:sz="0" w:space="0" w:color="auto"/>
            <w:right w:val="none" w:sz="0" w:space="0" w:color="auto"/>
          </w:divBdr>
        </w:div>
        <w:div w:id="20713568">
          <w:marLeft w:val="0"/>
          <w:marRight w:val="0"/>
          <w:marTop w:val="0"/>
          <w:marBottom w:val="0"/>
          <w:divBdr>
            <w:top w:val="none" w:sz="0" w:space="0" w:color="auto"/>
            <w:left w:val="none" w:sz="0" w:space="0" w:color="auto"/>
            <w:bottom w:val="none" w:sz="0" w:space="0" w:color="auto"/>
            <w:right w:val="none" w:sz="0" w:space="0" w:color="auto"/>
          </w:divBdr>
        </w:div>
        <w:div w:id="1350184305">
          <w:marLeft w:val="0"/>
          <w:marRight w:val="0"/>
          <w:marTop w:val="0"/>
          <w:marBottom w:val="0"/>
          <w:divBdr>
            <w:top w:val="none" w:sz="0" w:space="0" w:color="auto"/>
            <w:left w:val="none" w:sz="0" w:space="0" w:color="auto"/>
            <w:bottom w:val="none" w:sz="0" w:space="0" w:color="auto"/>
            <w:right w:val="none" w:sz="0" w:space="0" w:color="auto"/>
          </w:divBdr>
        </w:div>
        <w:div w:id="1562985539">
          <w:marLeft w:val="0"/>
          <w:marRight w:val="0"/>
          <w:marTop w:val="0"/>
          <w:marBottom w:val="0"/>
          <w:divBdr>
            <w:top w:val="none" w:sz="0" w:space="0" w:color="auto"/>
            <w:left w:val="none" w:sz="0" w:space="0" w:color="auto"/>
            <w:bottom w:val="none" w:sz="0" w:space="0" w:color="auto"/>
            <w:right w:val="none" w:sz="0" w:space="0" w:color="auto"/>
          </w:divBdr>
        </w:div>
        <w:div w:id="1697923289">
          <w:marLeft w:val="0"/>
          <w:marRight w:val="0"/>
          <w:marTop w:val="0"/>
          <w:marBottom w:val="0"/>
          <w:divBdr>
            <w:top w:val="none" w:sz="0" w:space="0" w:color="auto"/>
            <w:left w:val="none" w:sz="0" w:space="0" w:color="auto"/>
            <w:bottom w:val="none" w:sz="0" w:space="0" w:color="auto"/>
            <w:right w:val="none" w:sz="0" w:space="0" w:color="auto"/>
          </w:divBdr>
        </w:div>
        <w:div w:id="1732541417">
          <w:marLeft w:val="0"/>
          <w:marRight w:val="0"/>
          <w:marTop w:val="0"/>
          <w:marBottom w:val="0"/>
          <w:divBdr>
            <w:top w:val="none" w:sz="0" w:space="0" w:color="auto"/>
            <w:left w:val="none" w:sz="0" w:space="0" w:color="auto"/>
            <w:bottom w:val="none" w:sz="0" w:space="0" w:color="auto"/>
            <w:right w:val="none" w:sz="0" w:space="0" w:color="auto"/>
          </w:divBdr>
        </w:div>
        <w:div w:id="881022061">
          <w:marLeft w:val="0"/>
          <w:marRight w:val="0"/>
          <w:marTop w:val="0"/>
          <w:marBottom w:val="0"/>
          <w:divBdr>
            <w:top w:val="none" w:sz="0" w:space="0" w:color="auto"/>
            <w:left w:val="none" w:sz="0" w:space="0" w:color="auto"/>
            <w:bottom w:val="none" w:sz="0" w:space="0" w:color="auto"/>
            <w:right w:val="none" w:sz="0" w:space="0" w:color="auto"/>
          </w:divBdr>
        </w:div>
        <w:div w:id="1815290088">
          <w:marLeft w:val="0"/>
          <w:marRight w:val="0"/>
          <w:marTop w:val="0"/>
          <w:marBottom w:val="0"/>
          <w:divBdr>
            <w:top w:val="none" w:sz="0" w:space="0" w:color="auto"/>
            <w:left w:val="none" w:sz="0" w:space="0" w:color="auto"/>
            <w:bottom w:val="none" w:sz="0" w:space="0" w:color="auto"/>
            <w:right w:val="none" w:sz="0" w:space="0" w:color="auto"/>
          </w:divBdr>
        </w:div>
        <w:div w:id="1741323705">
          <w:marLeft w:val="0"/>
          <w:marRight w:val="0"/>
          <w:marTop w:val="0"/>
          <w:marBottom w:val="0"/>
          <w:divBdr>
            <w:top w:val="none" w:sz="0" w:space="0" w:color="auto"/>
            <w:left w:val="none" w:sz="0" w:space="0" w:color="auto"/>
            <w:bottom w:val="none" w:sz="0" w:space="0" w:color="auto"/>
            <w:right w:val="none" w:sz="0" w:space="0" w:color="auto"/>
          </w:divBdr>
        </w:div>
        <w:div w:id="1461460078">
          <w:marLeft w:val="0"/>
          <w:marRight w:val="0"/>
          <w:marTop w:val="0"/>
          <w:marBottom w:val="0"/>
          <w:divBdr>
            <w:top w:val="none" w:sz="0" w:space="0" w:color="auto"/>
            <w:left w:val="none" w:sz="0" w:space="0" w:color="auto"/>
            <w:bottom w:val="none" w:sz="0" w:space="0" w:color="auto"/>
            <w:right w:val="none" w:sz="0" w:space="0" w:color="auto"/>
          </w:divBdr>
        </w:div>
        <w:div w:id="1206143260">
          <w:marLeft w:val="0"/>
          <w:marRight w:val="0"/>
          <w:marTop w:val="0"/>
          <w:marBottom w:val="0"/>
          <w:divBdr>
            <w:top w:val="none" w:sz="0" w:space="0" w:color="auto"/>
            <w:left w:val="none" w:sz="0" w:space="0" w:color="auto"/>
            <w:bottom w:val="none" w:sz="0" w:space="0" w:color="auto"/>
            <w:right w:val="none" w:sz="0" w:space="0" w:color="auto"/>
          </w:divBdr>
        </w:div>
        <w:div w:id="1340767326">
          <w:marLeft w:val="0"/>
          <w:marRight w:val="0"/>
          <w:marTop w:val="0"/>
          <w:marBottom w:val="0"/>
          <w:divBdr>
            <w:top w:val="none" w:sz="0" w:space="0" w:color="auto"/>
            <w:left w:val="none" w:sz="0" w:space="0" w:color="auto"/>
            <w:bottom w:val="none" w:sz="0" w:space="0" w:color="auto"/>
            <w:right w:val="none" w:sz="0" w:space="0" w:color="auto"/>
          </w:divBdr>
        </w:div>
        <w:div w:id="1498105953">
          <w:marLeft w:val="0"/>
          <w:marRight w:val="0"/>
          <w:marTop w:val="0"/>
          <w:marBottom w:val="0"/>
          <w:divBdr>
            <w:top w:val="none" w:sz="0" w:space="0" w:color="auto"/>
            <w:left w:val="none" w:sz="0" w:space="0" w:color="auto"/>
            <w:bottom w:val="none" w:sz="0" w:space="0" w:color="auto"/>
            <w:right w:val="none" w:sz="0" w:space="0" w:color="auto"/>
          </w:divBdr>
        </w:div>
        <w:div w:id="1383941924">
          <w:marLeft w:val="0"/>
          <w:marRight w:val="0"/>
          <w:marTop w:val="0"/>
          <w:marBottom w:val="0"/>
          <w:divBdr>
            <w:top w:val="none" w:sz="0" w:space="0" w:color="auto"/>
            <w:left w:val="none" w:sz="0" w:space="0" w:color="auto"/>
            <w:bottom w:val="none" w:sz="0" w:space="0" w:color="auto"/>
            <w:right w:val="none" w:sz="0" w:space="0" w:color="auto"/>
          </w:divBdr>
        </w:div>
        <w:div w:id="1481189529">
          <w:marLeft w:val="0"/>
          <w:marRight w:val="0"/>
          <w:marTop w:val="0"/>
          <w:marBottom w:val="0"/>
          <w:divBdr>
            <w:top w:val="none" w:sz="0" w:space="0" w:color="auto"/>
            <w:left w:val="none" w:sz="0" w:space="0" w:color="auto"/>
            <w:bottom w:val="none" w:sz="0" w:space="0" w:color="auto"/>
            <w:right w:val="none" w:sz="0" w:space="0" w:color="auto"/>
          </w:divBdr>
        </w:div>
        <w:div w:id="388236730">
          <w:marLeft w:val="0"/>
          <w:marRight w:val="0"/>
          <w:marTop w:val="0"/>
          <w:marBottom w:val="0"/>
          <w:divBdr>
            <w:top w:val="none" w:sz="0" w:space="0" w:color="auto"/>
            <w:left w:val="none" w:sz="0" w:space="0" w:color="auto"/>
            <w:bottom w:val="none" w:sz="0" w:space="0" w:color="auto"/>
            <w:right w:val="none" w:sz="0" w:space="0" w:color="auto"/>
          </w:divBdr>
        </w:div>
        <w:div w:id="826674816">
          <w:marLeft w:val="0"/>
          <w:marRight w:val="0"/>
          <w:marTop w:val="0"/>
          <w:marBottom w:val="0"/>
          <w:divBdr>
            <w:top w:val="none" w:sz="0" w:space="0" w:color="auto"/>
            <w:left w:val="none" w:sz="0" w:space="0" w:color="auto"/>
            <w:bottom w:val="none" w:sz="0" w:space="0" w:color="auto"/>
            <w:right w:val="none" w:sz="0" w:space="0" w:color="auto"/>
          </w:divBdr>
        </w:div>
        <w:div w:id="1268924627">
          <w:marLeft w:val="0"/>
          <w:marRight w:val="0"/>
          <w:marTop w:val="0"/>
          <w:marBottom w:val="0"/>
          <w:divBdr>
            <w:top w:val="none" w:sz="0" w:space="0" w:color="auto"/>
            <w:left w:val="none" w:sz="0" w:space="0" w:color="auto"/>
            <w:bottom w:val="none" w:sz="0" w:space="0" w:color="auto"/>
            <w:right w:val="none" w:sz="0" w:space="0" w:color="auto"/>
          </w:divBdr>
        </w:div>
        <w:div w:id="1817719391">
          <w:marLeft w:val="0"/>
          <w:marRight w:val="0"/>
          <w:marTop w:val="0"/>
          <w:marBottom w:val="0"/>
          <w:divBdr>
            <w:top w:val="none" w:sz="0" w:space="0" w:color="auto"/>
            <w:left w:val="none" w:sz="0" w:space="0" w:color="auto"/>
            <w:bottom w:val="none" w:sz="0" w:space="0" w:color="auto"/>
            <w:right w:val="none" w:sz="0" w:space="0" w:color="auto"/>
          </w:divBdr>
        </w:div>
        <w:div w:id="2135975427">
          <w:marLeft w:val="0"/>
          <w:marRight w:val="0"/>
          <w:marTop w:val="0"/>
          <w:marBottom w:val="0"/>
          <w:divBdr>
            <w:top w:val="none" w:sz="0" w:space="0" w:color="auto"/>
            <w:left w:val="none" w:sz="0" w:space="0" w:color="auto"/>
            <w:bottom w:val="none" w:sz="0" w:space="0" w:color="auto"/>
            <w:right w:val="none" w:sz="0" w:space="0" w:color="auto"/>
          </w:divBdr>
        </w:div>
        <w:div w:id="379520017">
          <w:marLeft w:val="0"/>
          <w:marRight w:val="0"/>
          <w:marTop w:val="0"/>
          <w:marBottom w:val="0"/>
          <w:divBdr>
            <w:top w:val="none" w:sz="0" w:space="0" w:color="auto"/>
            <w:left w:val="none" w:sz="0" w:space="0" w:color="auto"/>
            <w:bottom w:val="none" w:sz="0" w:space="0" w:color="auto"/>
            <w:right w:val="none" w:sz="0" w:space="0" w:color="auto"/>
          </w:divBdr>
        </w:div>
        <w:div w:id="391125996">
          <w:marLeft w:val="0"/>
          <w:marRight w:val="0"/>
          <w:marTop w:val="0"/>
          <w:marBottom w:val="0"/>
          <w:divBdr>
            <w:top w:val="none" w:sz="0" w:space="0" w:color="auto"/>
            <w:left w:val="none" w:sz="0" w:space="0" w:color="auto"/>
            <w:bottom w:val="none" w:sz="0" w:space="0" w:color="auto"/>
            <w:right w:val="none" w:sz="0" w:space="0" w:color="auto"/>
          </w:divBdr>
        </w:div>
        <w:div w:id="865946743">
          <w:marLeft w:val="0"/>
          <w:marRight w:val="0"/>
          <w:marTop w:val="0"/>
          <w:marBottom w:val="0"/>
          <w:divBdr>
            <w:top w:val="none" w:sz="0" w:space="0" w:color="auto"/>
            <w:left w:val="none" w:sz="0" w:space="0" w:color="auto"/>
            <w:bottom w:val="none" w:sz="0" w:space="0" w:color="auto"/>
            <w:right w:val="none" w:sz="0" w:space="0" w:color="auto"/>
          </w:divBdr>
        </w:div>
        <w:div w:id="245267679">
          <w:marLeft w:val="0"/>
          <w:marRight w:val="0"/>
          <w:marTop w:val="0"/>
          <w:marBottom w:val="0"/>
          <w:divBdr>
            <w:top w:val="none" w:sz="0" w:space="0" w:color="auto"/>
            <w:left w:val="none" w:sz="0" w:space="0" w:color="auto"/>
            <w:bottom w:val="none" w:sz="0" w:space="0" w:color="auto"/>
            <w:right w:val="none" w:sz="0" w:space="0" w:color="auto"/>
          </w:divBdr>
        </w:div>
        <w:div w:id="849367361">
          <w:marLeft w:val="0"/>
          <w:marRight w:val="0"/>
          <w:marTop w:val="0"/>
          <w:marBottom w:val="0"/>
          <w:divBdr>
            <w:top w:val="none" w:sz="0" w:space="0" w:color="auto"/>
            <w:left w:val="none" w:sz="0" w:space="0" w:color="auto"/>
            <w:bottom w:val="none" w:sz="0" w:space="0" w:color="auto"/>
            <w:right w:val="none" w:sz="0" w:space="0" w:color="auto"/>
          </w:divBdr>
        </w:div>
        <w:div w:id="1427995490">
          <w:marLeft w:val="0"/>
          <w:marRight w:val="0"/>
          <w:marTop w:val="0"/>
          <w:marBottom w:val="0"/>
          <w:divBdr>
            <w:top w:val="none" w:sz="0" w:space="0" w:color="auto"/>
            <w:left w:val="none" w:sz="0" w:space="0" w:color="auto"/>
            <w:bottom w:val="none" w:sz="0" w:space="0" w:color="auto"/>
            <w:right w:val="none" w:sz="0" w:space="0" w:color="auto"/>
          </w:divBdr>
        </w:div>
        <w:div w:id="9915841">
          <w:marLeft w:val="0"/>
          <w:marRight w:val="0"/>
          <w:marTop w:val="0"/>
          <w:marBottom w:val="0"/>
          <w:divBdr>
            <w:top w:val="none" w:sz="0" w:space="0" w:color="auto"/>
            <w:left w:val="none" w:sz="0" w:space="0" w:color="auto"/>
            <w:bottom w:val="none" w:sz="0" w:space="0" w:color="auto"/>
            <w:right w:val="none" w:sz="0" w:space="0" w:color="auto"/>
          </w:divBdr>
        </w:div>
        <w:div w:id="2032563677">
          <w:marLeft w:val="0"/>
          <w:marRight w:val="0"/>
          <w:marTop w:val="0"/>
          <w:marBottom w:val="0"/>
          <w:divBdr>
            <w:top w:val="none" w:sz="0" w:space="0" w:color="auto"/>
            <w:left w:val="none" w:sz="0" w:space="0" w:color="auto"/>
            <w:bottom w:val="none" w:sz="0" w:space="0" w:color="auto"/>
            <w:right w:val="none" w:sz="0" w:space="0" w:color="auto"/>
          </w:divBdr>
        </w:div>
        <w:div w:id="1191263490">
          <w:marLeft w:val="0"/>
          <w:marRight w:val="0"/>
          <w:marTop w:val="0"/>
          <w:marBottom w:val="0"/>
          <w:divBdr>
            <w:top w:val="none" w:sz="0" w:space="0" w:color="auto"/>
            <w:left w:val="none" w:sz="0" w:space="0" w:color="auto"/>
            <w:bottom w:val="none" w:sz="0" w:space="0" w:color="auto"/>
            <w:right w:val="none" w:sz="0" w:space="0" w:color="auto"/>
          </w:divBdr>
        </w:div>
        <w:div w:id="296957320">
          <w:marLeft w:val="0"/>
          <w:marRight w:val="0"/>
          <w:marTop w:val="0"/>
          <w:marBottom w:val="0"/>
          <w:divBdr>
            <w:top w:val="none" w:sz="0" w:space="0" w:color="auto"/>
            <w:left w:val="none" w:sz="0" w:space="0" w:color="auto"/>
            <w:bottom w:val="none" w:sz="0" w:space="0" w:color="auto"/>
            <w:right w:val="none" w:sz="0" w:space="0" w:color="auto"/>
          </w:divBdr>
        </w:div>
        <w:div w:id="1167983088">
          <w:marLeft w:val="0"/>
          <w:marRight w:val="0"/>
          <w:marTop w:val="0"/>
          <w:marBottom w:val="0"/>
          <w:divBdr>
            <w:top w:val="none" w:sz="0" w:space="0" w:color="auto"/>
            <w:left w:val="none" w:sz="0" w:space="0" w:color="auto"/>
            <w:bottom w:val="none" w:sz="0" w:space="0" w:color="auto"/>
            <w:right w:val="none" w:sz="0" w:space="0" w:color="auto"/>
          </w:divBdr>
        </w:div>
        <w:div w:id="1262645124">
          <w:marLeft w:val="0"/>
          <w:marRight w:val="0"/>
          <w:marTop w:val="0"/>
          <w:marBottom w:val="0"/>
          <w:divBdr>
            <w:top w:val="none" w:sz="0" w:space="0" w:color="auto"/>
            <w:left w:val="none" w:sz="0" w:space="0" w:color="auto"/>
            <w:bottom w:val="none" w:sz="0" w:space="0" w:color="auto"/>
            <w:right w:val="none" w:sz="0" w:space="0" w:color="auto"/>
          </w:divBdr>
        </w:div>
        <w:div w:id="1005278872">
          <w:marLeft w:val="0"/>
          <w:marRight w:val="0"/>
          <w:marTop w:val="0"/>
          <w:marBottom w:val="0"/>
          <w:divBdr>
            <w:top w:val="none" w:sz="0" w:space="0" w:color="auto"/>
            <w:left w:val="none" w:sz="0" w:space="0" w:color="auto"/>
            <w:bottom w:val="none" w:sz="0" w:space="0" w:color="auto"/>
            <w:right w:val="none" w:sz="0" w:space="0" w:color="auto"/>
          </w:divBdr>
        </w:div>
      </w:divsChild>
    </w:div>
    <w:div w:id="873343960">
      <w:bodyDiv w:val="1"/>
      <w:marLeft w:val="0"/>
      <w:marRight w:val="0"/>
      <w:marTop w:val="0"/>
      <w:marBottom w:val="0"/>
      <w:divBdr>
        <w:top w:val="none" w:sz="0" w:space="0" w:color="auto"/>
        <w:left w:val="none" w:sz="0" w:space="0" w:color="auto"/>
        <w:bottom w:val="none" w:sz="0" w:space="0" w:color="auto"/>
        <w:right w:val="none" w:sz="0" w:space="0" w:color="auto"/>
      </w:divBdr>
      <w:divsChild>
        <w:div w:id="1082143957">
          <w:marLeft w:val="0"/>
          <w:marRight w:val="0"/>
          <w:marTop w:val="0"/>
          <w:marBottom w:val="0"/>
          <w:divBdr>
            <w:top w:val="none" w:sz="0" w:space="0" w:color="auto"/>
            <w:left w:val="none" w:sz="0" w:space="0" w:color="auto"/>
            <w:bottom w:val="none" w:sz="0" w:space="0" w:color="auto"/>
            <w:right w:val="none" w:sz="0" w:space="0" w:color="auto"/>
          </w:divBdr>
        </w:div>
        <w:div w:id="1832404679">
          <w:marLeft w:val="0"/>
          <w:marRight w:val="0"/>
          <w:marTop w:val="0"/>
          <w:marBottom w:val="0"/>
          <w:divBdr>
            <w:top w:val="none" w:sz="0" w:space="0" w:color="auto"/>
            <w:left w:val="none" w:sz="0" w:space="0" w:color="auto"/>
            <w:bottom w:val="none" w:sz="0" w:space="0" w:color="auto"/>
            <w:right w:val="none" w:sz="0" w:space="0" w:color="auto"/>
          </w:divBdr>
        </w:div>
        <w:div w:id="1880168682">
          <w:marLeft w:val="0"/>
          <w:marRight w:val="0"/>
          <w:marTop w:val="0"/>
          <w:marBottom w:val="0"/>
          <w:divBdr>
            <w:top w:val="none" w:sz="0" w:space="0" w:color="auto"/>
            <w:left w:val="none" w:sz="0" w:space="0" w:color="auto"/>
            <w:bottom w:val="none" w:sz="0" w:space="0" w:color="auto"/>
            <w:right w:val="none" w:sz="0" w:space="0" w:color="auto"/>
          </w:divBdr>
        </w:div>
        <w:div w:id="1197546751">
          <w:marLeft w:val="0"/>
          <w:marRight w:val="0"/>
          <w:marTop w:val="0"/>
          <w:marBottom w:val="0"/>
          <w:divBdr>
            <w:top w:val="none" w:sz="0" w:space="0" w:color="auto"/>
            <w:left w:val="none" w:sz="0" w:space="0" w:color="auto"/>
            <w:bottom w:val="none" w:sz="0" w:space="0" w:color="auto"/>
            <w:right w:val="none" w:sz="0" w:space="0" w:color="auto"/>
          </w:divBdr>
        </w:div>
        <w:div w:id="1667243321">
          <w:marLeft w:val="0"/>
          <w:marRight w:val="0"/>
          <w:marTop w:val="0"/>
          <w:marBottom w:val="0"/>
          <w:divBdr>
            <w:top w:val="none" w:sz="0" w:space="0" w:color="auto"/>
            <w:left w:val="none" w:sz="0" w:space="0" w:color="auto"/>
            <w:bottom w:val="none" w:sz="0" w:space="0" w:color="auto"/>
            <w:right w:val="none" w:sz="0" w:space="0" w:color="auto"/>
          </w:divBdr>
        </w:div>
        <w:div w:id="368989521">
          <w:marLeft w:val="0"/>
          <w:marRight w:val="0"/>
          <w:marTop w:val="0"/>
          <w:marBottom w:val="0"/>
          <w:divBdr>
            <w:top w:val="none" w:sz="0" w:space="0" w:color="auto"/>
            <w:left w:val="none" w:sz="0" w:space="0" w:color="auto"/>
            <w:bottom w:val="none" w:sz="0" w:space="0" w:color="auto"/>
            <w:right w:val="none" w:sz="0" w:space="0" w:color="auto"/>
          </w:divBdr>
        </w:div>
        <w:div w:id="540021118">
          <w:marLeft w:val="0"/>
          <w:marRight w:val="0"/>
          <w:marTop w:val="0"/>
          <w:marBottom w:val="0"/>
          <w:divBdr>
            <w:top w:val="none" w:sz="0" w:space="0" w:color="auto"/>
            <w:left w:val="none" w:sz="0" w:space="0" w:color="auto"/>
            <w:bottom w:val="none" w:sz="0" w:space="0" w:color="auto"/>
            <w:right w:val="none" w:sz="0" w:space="0" w:color="auto"/>
          </w:divBdr>
        </w:div>
        <w:div w:id="422991439">
          <w:marLeft w:val="0"/>
          <w:marRight w:val="0"/>
          <w:marTop w:val="0"/>
          <w:marBottom w:val="0"/>
          <w:divBdr>
            <w:top w:val="none" w:sz="0" w:space="0" w:color="auto"/>
            <w:left w:val="none" w:sz="0" w:space="0" w:color="auto"/>
            <w:bottom w:val="none" w:sz="0" w:space="0" w:color="auto"/>
            <w:right w:val="none" w:sz="0" w:space="0" w:color="auto"/>
          </w:divBdr>
        </w:div>
      </w:divsChild>
    </w:div>
    <w:div w:id="886139192">
      <w:bodyDiv w:val="1"/>
      <w:marLeft w:val="0"/>
      <w:marRight w:val="0"/>
      <w:marTop w:val="0"/>
      <w:marBottom w:val="0"/>
      <w:divBdr>
        <w:top w:val="none" w:sz="0" w:space="0" w:color="auto"/>
        <w:left w:val="none" w:sz="0" w:space="0" w:color="auto"/>
        <w:bottom w:val="none" w:sz="0" w:space="0" w:color="auto"/>
        <w:right w:val="none" w:sz="0" w:space="0" w:color="auto"/>
      </w:divBdr>
      <w:divsChild>
        <w:div w:id="1280994896">
          <w:marLeft w:val="0"/>
          <w:marRight w:val="0"/>
          <w:marTop w:val="0"/>
          <w:marBottom w:val="0"/>
          <w:divBdr>
            <w:top w:val="none" w:sz="0" w:space="0" w:color="auto"/>
            <w:left w:val="none" w:sz="0" w:space="0" w:color="auto"/>
            <w:bottom w:val="none" w:sz="0" w:space="0" w:color="auto"/>
            <w:right w:val="none" w:sz="0" w:space="0" w:color="auto"/>
          </w:divBdr>
        </w:div>
        <w:div w:id="608899921">
          <w:marLeft w:val="0"/>
          <w:marRight w:val="0"/>
          <w:marTop w:val="0"/>
          <w:marBottom w:val="0"/>
          <w:divBdr>
            <w:top w:val="none" w:sz="0" w:space="0" w:color="auto"/>
            <w:left w:val="none" w:sz="0" w:space="0" w:color="auto"/>
            <w:bottom w:val="none" w:sz="0" w:space="0" w:color="auto"/>
            <w:right w:val="none" w:sz="0" w:space="0" w:color="auto"/>
          </w:divBdr>
        </w:div>
        <w:div w:id="326903951">
          <w:marLeft w:val="0"/>
          <w:marRight w:val="0"/>
          <w:marTop w:val="0"/>
          <w:marBottom w:val="0"/>
          <w:divBdr>
            <w:top w:val="none" w:sz="0" w:space="0" w:color="auto"/>
            <w:left w:val="none" w:sz="0" w:space="0" w:color="auto"/>
            <w:bottom w:val="none" w:sz="0" w:space="0" w:color="auto"/>
            <w:right w:val="none" w:sz="0" w:space="0" w:color="auto"/>
          </w:divBdr>
        </w:div>
        <w:div w:id="2037997796">
          <w:marLeft w:val="0"/>
          <w:marRight w:val="0"/>
          <w:marTop w:val="0"/>
          <w:marBottom w:val="0"/>
          <w:divBdr>
            <w:top w:val="none" w:sz="0" w:space="0" w:color="auto"/>
            <w:left w:val="none" w:sz="0" w:space="0" w:color="auto"/>
            <w:bottom w:val="none" w:sz="0" w:space="0" w:color="auto"/>
            <w:right w:val="none" w:sz="0" w:space="0" w:color="auto"/>
          </w:divBdr>
        </w:div>
        <w:div w:id="988362055">
          <w:marLeft w:val="0"/>
          <w:marRight w:val="0"/>
          <w:marTop w:val="0"/>
          <w:marBottom w:val="0"/>
          <w:divBdr>
            <w:top w:val="none" w:sz="0" w:space="0" w:color="auto"/>
            <w:left w:val="none" w:sz="0" w:space="0" w:color="auto"/>
            <w:bottom w:val="none" w:sz="0" w:space="0" w:color="auto"/>
            <w:right w:val="none" w:sz="0" w:space="0" w:color="auto"/>
          </w:divBdr>
        </w:div>
        <w:div w:id="1837989735">
          <w:marLeft w:val="0"/>
          <w:marRight w:val="0"/>
          <w:marTop w:val="0"/>
          <w:marBottom w:val="0"/>
          <w:divBdr>
            <w:top w:val="none" w:sz="0" w:space="0" w:color="auto"/>
            <w:left w:val="none" w:sz="0" w:space="0" w:color="auto"/>
            <w:bottom w:val="none" w:sz="0" w:space="0" w:color="auto"/>
            <w:right w:val="none" w:sz="0" w:space="0" w:color="auto"/>
          </w:divBdr>
        </w:div>
        <w:div w:id="958142827">
          <w:marLeft w:val="0"/>
          <w:marRight w:val="0"/>
          <w:marTop w:val="0"/>
          <w:marBottom w:val="0"/>
          <w:divBdr>
            <w:top w:val="none" w:sz="0" w:space="0" w:color="auto"/>
            <w:left w:val="none" w:sz="0" w:space="0" w:color="auto"/>
            <w:bottom w:val="none" w:sz="0" w:space="0" w:color="auto"/>
            <w:right w:val="none" w:sz="0" w:space="0" w:color="auto"/>
          </w:divBdr>
        </w:div>
        <w:div w:id="699890036">
          <w:marLeft w:val="0"/>
          <w:marRight w:val="0"/>
          <w:marTop w:val="0"/>
          <w:marBottom w:val="0"/>
          <w:divBdr>
            <w:top w:val="none" w:sz="0" w:space="0" w:color="auto"/>
            <w:left w:val="none" w:sz="0" w:space="0" w:color="auto"/>
            <w:bottom w:val="none" w:sz="0" w:space="0" w:color="auto"/>
            <w:right w:val="none" w:sz="0" w:space="0" w:color="auto"/>
          </w:divBdr>
        </w:div>
        <w:div w:id="1887571223">
          <w:marLeft w:val="0"/>
          <w:marRight w:val="0"/>
          <w:marTop w:val="0"/>
          <w:marBottom w:val="0"/>
          <w:divBdr>
            <w:top w:val="none" w:sz="0" w:space="0" w:color="auto"/>
            <w:left w:val="none" w:sz="0" w:space="0" w:color="auto"/>
            <w:bottom w:val="none" w:sz="0" w:space="0" w:color="auto"/>
            <w:right w:val="none" w:sz="0" w:space="0" w:color="auto"/>
          </w:divBdr>
        </w:div>
        <w:div w:id="991982465">
          <w:marLeft w:val="0"/>
          <w:marRight w:val="0"/>
          <w:marTop w:val="0"/>
          <w:marBottom w:val="0"/>
          <w:divBdr>
            <w:top w:val="none" w:sz="0" w:space="0" w:color="auto"/>
            <w:left w:val="none" w:sz="0" w:space="0" w:color="auto"/>
            <w:bottom w:val="none" w:sz="0" w:space="0" w:color="auto"/>
            <w:right w:val="none" w:sz="0" w:space="0" w:color="auto"/>
          </w:divBdr>
        </w:div>
      </w:divsChild>
    </w:div>
    <w:div w:id="909274358">
      <w:bodyDiv w:val="1"/>
      <w:marLeft w:val="0"/>
      <w:marRight w:val="0"/>
      <w:marTop w:val="0"/>
      <w:marBottom w:val="0"/>
      <w:divBdr>
        <w:top w:val="none" w:sz="0" w:space="0" w:color="auto"/>
        <w:left w:val="none" w:sz="0" w:space="0" w:color="auto"/>
        <w:bottom w:val="none" w:sz="0" w:space="0" w:color="auto"/>
        <w:right w:val="none" w:sz="0" w:space="0" w:color="auto"/>
      </w:divBdr>
      <w:divsChild>
        <w:div w:id="948391931">
          <w:marLeft w:val="0"/>
          <w:marRight w:val="0"/>
          <w:marTop w:val="0"/>
          <w:marBottom w:val="0"/>
          <w:divBdr>
            <w:top w:val="none" w:sz="0" w:space="0" w:color="auto"/>
            <w:left w:val="none" w:sz="0" w:space="0" w:color="auto"/>
            <w:bottom w:val="none" w:sz="0" w:space="0" w:color="auto"/>
            <w:right w:val="none" w:sz="0" w:space="0" w:color="auto"/>
          </w:divBdr>
        </w:div>
        <w:div w:id="1867938134">
          <w:marLeft w:val="0"/>
          <w:marRight w:val="0"/>
          <w:marTop w:val="0"/>
          <w:marBottom w:val="0"/>
          <w:divBdr>
            <w:top w:val="none" w:sz="0" w:space="0" w:color="auto"/>
            <w:left w:val="none" w:sz="0" w:space="0" w:color="auto"/>
            <w:bottom w:val="none" w:sz="0" w:space="0" w:color="auto"/>
            <w:right w:val="none" w:sz="0" w:space="0" w:color="auto"/>
          </w:divBdr>
        </w:div>
        <w:div w:id="2105566811">
          <w:marLeft w:val="0"/>
          <w:marRight w:val="0"/>
          <w:marTop w:val="0"/>
          <w:marBottom w:val="0"/>
          <w:divBdr>
            <w:top w:val="none" w:sz="0" w:space="0" w:color="auto"/>
            <w:left w:val="none" w:sz="0" w:space="0" w:color="auto"/>
            <w:bottom w:val="none" w:sz="0" w:space="0" w:color="auto"/>
            <w:right w:val="none" w:sz="0" w:space="0" w:color="auto"/>
          </w:divBdr>
        </w:div>
        <w:div w:id="1763794545">
          <w:marLeft w:val="0"/>
          <w:marRight w:val="0"/>
          <w:marTop w:val="0"/>
          <w:marBottom w:val="0"/>
          <w:divBdr>
            <w:top w:val="none" w:sz="0" w:space="0" w:color="auto"/>
            <w:left w:val="none" w:sz="0" w:space="0" w:color="auto"/>
            <w:bottom w:val="none" w:sz="0" w:space="0" w:color="auto"/>
            <w:right w:val="none" w:sz="0" w:space="0" w:color="auto"/>
          </w:divBdr>
        </w:div>
        <w:div w:id="1254823127">
          <w:marLeft w:val="0"/>
          <w:marRight w:val="0"/>
          <w:marTop w:val="0"/>
          <w:marBottom w:val="0"/>
          <w:divBdr>
            <w:top w:val="none" w:sz="0" w:space="0" w:color="auto"/>
            <w:left w:val="none" w:sz="0" w:space="0" w:color="auto"/>
            <w:bottom w:val="none" w:sz="0" w:space="0" w:color="auto"/>
            <w:right w:val="none" w:sz="0" w:space="0" w:color="auto"/>
          </w:divBdr>
        </w:div>
        <w:div w:id="488445049">
          <w:marLeft w:val="0"/>
          <w:marRight w:val="0"/>
          <w:marTop w:val="0"/>
          <w:marBottom w:val="0"/>
          <w:divBdr>
            <w:top w:val="none" w:sz="0" w:space="0" w:color="auto"/>
            <w:left w:val="none" w:sz="0" w:space="0" w:color="auto"/>
            <w:bottom w:val="none" w:sz="0" w:space="0" w:color="auto"/>
            <w:right w:val="none" w:sz="0" w:space="0" w:color="auto"/>
          </w:divBdr>
        </w:div>
        <w:div w:id="1775176466">
          <w:marLeft w:val="0"/>
          <w:marRight w:val="0"/>
          <w:marTop w:val="0"/>
          <w:marBottom w:val="0"/>
          <w:divBdr>
            <w:top w:val="none" w:sz="0" w:space="0" w:color="auto"/>
            <w:left w:val="none" w:sz="0" w:space="0" w:color="auto"/>
            <w:bottom w:val="none" w:sz="0" w:space="0" w:color="auto"/>
            <w:right w:val="none" w:sz="0" w:space="0" w:color="auto"/>
          </w:divBdr>
        </w:div>
        <w:div w:id="1225600483">
          <w:marLeft w:val="0"/>
          <w:marRight w:val="0"/>
          <w:marTop w:val="0"/>
          <w:marBottom w:val="0"/>
          <w:divBdr>
            <w:top w:val="none" w:sz="0" w:space="0" w:color="auto"/>
            <w:left w:val="none" w:sz="0" w:space="0" w:color="auto"/>
            <w:bottom w:val="none" w:sz="0" w:space="0" w:color="auto"/>
            <w:right w:val="none" w:sz="0" w:space="0" w:color="auto"/>
          </w:divBdr>
        </w:div>
        <w:div w:id="1793282104">
          <w:marLeft w:val="0"/>
          <w:marRight w:val="0"/>
          <w:marTop w:val="0"/>
          <w:marBottom w:val="0"/>
          <w:divBdr>
            <w:top w:val="none" w:sz="0" w:space="0" w:color="auto"/>
            <w:left w:val="none" w:sz="0" w:space="0" w:color="auto"/>
            <w:bottom w:val="none" w:sz="0" w:space="0" w:color="auto"/>
            <w:right w:val="none" w:sz="0" w:space="0" w:color="auto"/>
          </w:divBdr>
        </w:div>
        <w:div w:id="103354521">
          <w:marLeft w:val="0"/>
          <w:marRight w:val="0"/>
          <w:marTop w:val="0"/>
          <w:marBottom w:val="0"/>
          <w:divBdr>
            <w:top w:val="none" w:sz="0" w:space="0" w:color="auto"/>
            <w:left w:val="none" w:sz="0" w:space="0" w:color="auto"/>
            <w:bottom w:val="none" w:sz="0" w:space="0" w:color="auto"/>
            <w:right w:val="none" w:sz="0" w:space="0" w:color="auto"/>
          </w:divBdr>
        </w:div>
        <w:div w:id="1040862214">
          <w:marLeft w:val="0"/>
          <w:marRight w:val="0"/>
          <w:marTop w:val="0"/>
          <w:marBottom w:val="0"/>
          <w:divBdr>
            <w:top w:val="none" w:sz="0" w:space="0" w:color="auto"/>
            <w:left w:val="none" w:sz="0" w:space="0" w:color="auto"/>
            <w:bottom w:val="none" w:sz="0" w:space="0" w:color="auto"/>
            <w:right w:val="none" w:sz="0" w:space="0" w:color="auto"/>
          </w:divBdr>
        </w:div>
        <w:div w:id="483358211">
          <w:marLeft w:val="0"/>
          <w:marRight w:val="0"/>
          <w:marTop w:val="0"/>
          <w:marBottom w:val="0"/>
          <w:divBdr>
            <w:top w:val="none" w:sz="0" w:space="0" w:color="auto"/>
            <w:left w:val="none" w:sz="0" w:space="0" w:color="auto"/>
            <w:bottom w:val="none" w:sz="0" w:space="0" w:color="auto"/>
            <w:right w:val="none" w:sz="0" w:space="0" w:color="auto"/>
          </w:divBdr>
        </w:div>
        <w:div w:id="79572739">
          <w:marLeft w:val="0"/>
          <w:marRight w:val="0"/>
          <w:marTop w:val="0"/>
          <w:marBottom w:val="0"/>
          <w:divBdr>
            <w:top w:val="none" w:sz="0" w:space="0" w:color="auto"/>
            <w:left w:val="none" w:sz="0" w:space="0" w:color="auto"/>
            <w:bottom w:val="none" w:sz="0" w:space="0" w:color="auto"/>
            <w:right w:val="none" w:sz="0" w:space="0" w:color="auto"/>
          </w:divBdr>
        </w:div>
        <w:div w:id="422653486">
          <w:marLeft w:val="0"/>
          <w:marRight w:val="0"/>
          <w:marTop w:val="0"/>
          <w:marBottom w:val="0"/>
          <w:divBdr>
            <w:top w:val="none" w:sz="0" w:space="0" w:color="auto"/>
            <w:left w:val="none" w:sz="0" w:space="0" w:color="auto"/>
            <w:bottom w:val="none" w:sz="0" w:space="0" w:color="auto"/>
            <w:right w:val="none" w:sz="0" w:space="0" w:color="auto"/>
          </w:divBdr>
        </w:div>
        <w:div w:id="685643459">
          <w:marLeft w:val="0"/>
          <w:marRight w:val="0"/>
          <w:marTop w:val="0"/>
          <w:marBottom w:val="0"/>
          <w:divBdr>
            <w:top w:val="none" w:sz="0" w:space="0" w:color="auto"/>
            <w:left w:val="none" w:sz="0" w:space="0" w:color="auto"/>
            <w:bottom w:val="none" w:sz="0" w:space="0" w:color="auto"/>
            <w:right w:val="none" w:sz="0" w:space="0" w:color="auto"/>
          </w:divBdr>
        </w:div>
        <w:div w:id="1458178684">
          <w:marLeft w:val="0"/>
          <w:marRight w:val="0"/>
          <w:marTop w:val="0"/>
          <w:marBottom w:val="0"/>
          <w:divBdr>
            <w:top w:val="none" w:sz="0" w:space="0" w:color="auto"/>
            <w:left w:val="none" w:sz="0" w:space="0" w:color="auto"/>
            <w:bottom w:val="none" w:sz="0" w:space="0" w:color="auto"/>
            <w:right w:val="none" w:sz="0" w:space="0" w:color="auto"/>
          </w:divBdr>
        </w:div>
        <w:div w:id="990600360">
          <w:marLeft w:val="0"/>
          <w:marRight w:val="0"/>
          <w:marTop w:val="0"/>
          <w:marBottom w:val="0"/>
          <w:divBdr>
            <w:top w:val="none" w:sz="0" w:space="0" w:color="auto"/>
            <w:left w:val="none" w:sz="0" w:space="0" w:color="auto"/>
            <w:bottom w:val="none" w:sz="0" w:space="0" w:color="auto"/>
            <w:right w:val="none" w:sz="0" w:space="0" w:color="auto"/>
          </w:divBdr>
        </w:div>
      </w:divsChild>
    </w:div>
    <w:div w:id="923487789">
      <w:bodyDiv w:val="1"/>
      <w:marLeft w:val="0"/>
      <w:marRight w:val="0"/>
      <w:marTop w:val="0"/>
      <w:marBottom w:val="0"/>
      <w:divBdr>
        <w:top w:val="none" w:sz="0" w:space="0" w:color="auto"/>
        <w:left w:val="none" w:sz="0" w:space="0" w:color="auto"/>
        <w:bottom w:val="none" w:sz="0" w:space="0" w:color="auto"/>
        <w:right w:val="none" w:sz="0" w:space="0" w:color="auto"/>
      </w:divBdr>
      <w:divsChild>
        <w:div w:id="65614087">
          <w:marLeft w:val="0"/>
          <w:marRight w:val="0"/>
          <w:marTop w:val="0"/>
          <w:marBottom w:val="0"/>
          <w:divBdr>
            <w:top w:val="none" w:sz="0" w:space="0" w:color="auto"/>
            <w:left w:val="none" w:sz="0" w:space="0" w:color="auto"/>
            <w:bottom w:val="none" w:sz="0" w:space="0" w:color="auto"/>
            <w:right w:val="none" w:sz="0" w:space="0" w:color="auto"/>
          </w:divBdr>
        </w:div>
        <w:div w:id="1576626004">
          <w:marLeft w:val="0"/>
          <w:marRight w:val="0"/>
          <w:marTop w:val="0"/>
          <w:marBottom w:val="0"/>
          <w:divBdr>
            <w:top w:val="none" w:sz="0" w:space="0" w:color="auto"/>
            <w:left w:val="none" w:sz="0" w:space="0" w:color="auto"/>
            <w:bottom w:val="none" w:sz="0" w:space="0" w:color="auto"/>
            <w:right w:val="none" w:sz="0" w:space="0" w:color="auto"/>
          </w:divBdr>
        </w:div>
      </w:divsChild>
    </w:div>
    <w:div w:id="975642957">
      <w:bodyDiv w:val="1"/>
      <w:marLeft w:val="0"/>
      <w:marRight w:val="0"/>
      <w:marTop w:val="0"/>
      <w:marBottom w:val="0"/>
      <w:divBdr>
        <w:top w:val="none" w:sz="0" w:space="0" w:color="auto"/>
        <w:left w:val="none" w:sz="0" w:space="0" w:color="auto"/>
        <w:bottom w:val="none" w:sz="0" w:space="0" w:color="auto"/>
        <w:right w:val="none" w:sz="0" w:space="0" w:color="auto"/>
      </w:divBdr>
      <w:divsChild>
        <w:div w:id="1945723795">
          <w:marLeft w:val="0"/>
          <w:marRight w:val="0"/>
          <w:marTop w:val="0"/>
          <w:marBottom w:val="0"/>
          <w:divBdr>
            <w:top w:val="none" w:sz="0" w:space="0" w:color="auto"/>
            <w:left w:val="none" w:sz="0" w:space="0" w:color="auto"/>
            <w:bottom w:val="none" w:sz="0" w:space="0" w:color="auto"/>
            <w:right w:val="none" w:sz="0" w:space="0" w:color="auto"/>
          </w:divBdr>
        </w:div>
        <w:div w:id="888491759">
          <w:marLeft w:val="0"/>
          <w:marRight w:val="0"/>
          <w:marTop w:val="0"/>
          <w:marBottom w:val="0"/>
          <w:divBdr>
            <w:top w:val="none" w:sz="0" w:space="0" w:color="auto"/>
            <w:left w:val="none" w:sz="0" w:space="0" w:color="auto"/>
            <w:bottom w:val="none" w:sz="0" w:space="0" w:color="auto"/>
            <w:right w:val="none" w:sz="0" w:space="0" w:color="auto"/>
          </w:divBdr>
        </w:div>
        <w:div w:id="951087405">
          <w:marLeft w:val="0"/>
          <w:marRight w:val="0"/>
          <w:marTop w:val="0"/>
          <w:marBottom w:val="0"/>
          <w:divBdr>
            <w:top w:val="none" w:sz="0" w:space="0" w:color="auto"/>
            <w:left w:val="none" w:sz="0" w:space="0" w:color="auto"/>
            <w:bottom w:val="none" w:sz="0" w:space="0" w:color="auto"/>
            <w:right w:val="none" w:sz="0" w:space="0" w:color="auto"/>
          </w:divBdr>
        </w:div>
        <w:div w:id="2069067221">
          <w:marLeft w:val="0"/>
          <w:marRight w:val="0"/>
          <w:marTop w:val="0"/>
          <w:marBottom w:val="0"/>
          <w:divBdr>
            <w:top w:val="none" w:sz="0" w:space="0" w:color="auto"/>
            <w:left w:val="none" w:sz="0" w:space="0" w:color="auto"/>
            <w:bottom w:val="none" w:sz="0" w:space="0" w:color="auto"/>
            <w:right w:val="none" w:sz="0" w:space="0" w:color="auto"/>
          </w:divBdr>
        </w:div>
        <w:div w:id="300621564">
          <w:marLeft w:val="0"/>
          <w:marRight w:val="0"/>
          <w:marTop w:val="0"/>
          <w:marBottom w:val="0"/>
          <w:divBdr>
            <w:top w:val="none" w:sz="0" w:space="0" w:color="auto"/>
            <w:left w:val="none" w:sz="0" w:space="0" w:color="auto"/>
            <w:bottom w:val="none" w:sz="0" w:space="0" w:color="auto"/>
            <w:right w:val="none" w:sz="0" w:space="0" w:color="auto"/>
          </w:divBdr>
        </w:div>
        <w:div w:id="761992310">
          <w:marLeft w:val="0"/>
          <w:marRight w:val="0"/>
          <w:marTop w:val="0"/>
          <w:marBottom w:val="0"/>
          <w:divBdr>
            <w:top w:val="none" w:sz="0" w:space="0" w:color="auto"/>
            <w:left w:val="none" w:sz="0" w:space="0" w:color="auto"/>
            <w:bottom w:val="none" w:sz="0" w:space="0" w:color="auto"/>
            <w:right w:val="none" w:sz="0" w:space="0" w:color="auto"/>
          </w:divBdr>
        </w:div>
        <w:div w:id="1888645758">
          <w:marLeft w:val="0"/>
          <w:marRight w:val="0"/>
          <w:marTop w:val="0"/>
          <w:marBottom w:val="0"/>
          <w:divBdr>
            <w:top w:val="none" w:sz="0" w:space="0" w:color="auto"/>
            <w:left w:val="none" w:sz="0" w:space="0" w:color="auto"/>
            <w:bottom w:val="none" w:sz="0" w:space="0" w:color="auto"/>
            <w:right w:val="none" w:sz="0" w:space="0" w:color="auto"/>
          </w:divBdr>
        </w:div>
        <w:div w:id="1868712039">
          <w:marLeft w:val="0"/>
          <w:marRight w:val="0"/>
          <w:marTop w:val="0"/>
          <w:marBottom w:val="0"/>
          <w:divBdr>
            <w:top w:val="none" w:sz="0" w:space="0" w:color="auto"/>
            <w:left w:val="none" w:sz="0" w:space="0" w:color="auto"/>
            <w:bottom w:val="none" w:sz="0" w:space="0" w:color="auto"/>
            <w:right w:val="none" w:sz="0" w:space="0" w:color="auto"/>
          </w:divBdr>
        </w:div>
        <w:div w:id="868641586">
          <w:marLeft w:val="0"/>
          <w:marRight w:val="0"/>
          <w:marTop w:val="0"/>
          <w:marBottom w:val="0"/>
          <w:divBdr>
            <w:top w:val="none" w:sz="0" w:space="0" w:color="auto"/>
            <w:left w:val="none" w:sz="0" w:space="0" w:color="auto"/>
            <w:bottom w:val="none" w:sz="0" w:space="0" w:color="auto"/>
            <w:right w:val="none" w:sz="0" w:space="0" w:color="auto"/>
          </w:divBdr>
        </w:div>
        <w:div w:id="394478144">
          <w:marLeft w:val="0"/>
          <w:marRight w:val="0"/>
          <w:marTop w:val="0"/>
          <w:marBottom w:val="0"/>
          <w:divBdr>
            <w:top w:val="none" w:sz="0" w:space="0" w:color="auto"/>
            <w:left w:val="none" w:sz="0" w:space="0" w:color="auto"/>
            <w:bottom w:val="none" w:sz="0" w:space="0" w:color="auto"/>
            <w:right w:val="none" w:sz="0" w:space="0" w:color="auto"/>
          </w:divBdr>
        </w:div>
        <w:div w:id="596257378">
          <w:marLeft w:val="0"/>
          <w:marRight w:val="0"/>
          <w:marTop w:val="0"/>
          <w:marBottom w:val="0"/>
          <w:divBdr>
            <w:top w:val="none" w:sz="0" w:space="0" w:color="auto"/>
            <w:left w:val="none" w:sz="0" w:space="0" w:color="auto"/>
            <w:bottom w:val="none" w:sz="0" w:space="0" w:color="auto"/>
            <w:right w:val="none" w:sz="0" w:space="0" w:color="auto"/>
          </w:divBdr>
        </w:div>
        <w:div w:id="210193562">
          <w:marLeft w:val="0"/>
          <w:marRight w:val="0"/>
          <w:marTop w:val="0"/>
          <w:marBottom w:val="0"/>
          <w:divBdr>
            <w:top w:val="none" w:sz="0" w:space="0" w:color="auto"/>
            <w:left w:val="none" w:sz="0" w:space="0" w:color="auto"/>
            <w:bottom w:val="none" w:sz="0" w:space="0" w:color="auto"/>
            <w:right w:val="none" w:sz="0" w:space="0" w:color="auto"/>
          </w:divBdr>
        </w:div>
        <w:div w:id="1436483824">
          <w:marLeft w:val="0"/>
          <w:marRight w:val="0"/>
          <w:marTop w:val="0"/>
          <w:marBottom w:val="0"/>
          <w:divBdr>
            <w:top w:val="none" w:sz="0" w:space="0" w:color="auto"/>
            <w:left w:val="none" w:sz="0" w:space="0" w:color="auto"/>
            <w:bottom w:val="none" w:sz="0" w:space="0" w:color="auto"/>
            <w:right w:val="none" w:sz="0" w:space="0" w:color="auto"/>
          </w:divBdr>
        </w:div>
        <w:div w:id="1855224881">
          <w:marLeft w:val="0"/>
          <w:marRight w:val="0"/>
          <w:marTop w:val="0"/>
          <w:marBottom w:val="0"/>
          <w:divBdr>
            <w:top w:val="none" w:sz="0" w:space="0" w:color="auto"/>
            <w:left w:val="none" w:sz="0" w:space="0" w:color="auto"/>
            <w:bottom w:val="none" w:sz="0" w:space="0" w:color="auto"/>
            <w:right w:val="none" w:sz="0" w:space="0" w:color="auto"/>
          </w:divBdr>
        </w:div>
        <w:div w:id="358942524">
          <w:marLeft w:val="0"/>
          <w:marRight w:val="0"/>
          <w:marTop w:val="0"/>
          <w:marBottom w:val="0"/>
          <w:divBdr>
            <w:top w:val="none" w:sz="0" w:space="0" w:color="auto"/>
            <w:left w:val="none" w:sz="0" w:space="0" w:color="auto"/>
            <w:bottom w:val="none" w:sz="0" w:space="0" w:color="auto"/>
            <w:right w:val="none" w:sz="0" w:space="0" w:color="auto"/>
          </w:divBdr>
        </w:div>
        <w:div w:id="326250926">
          <w:marLeft w:val="0"/>
          <w:marRight w:val="0"/>
          <w:marTop w:val="0"/>
          <w:marBottom w:val="0"/>
          <w:divBdr>
            <w:top w:val="none" w:sz="0" w:space="0" w:color="auto"/>
            <w:left w:val="none" w:sz="0" w:space="0" w:color="auto"/>
            <w:bottom w:val="none" w:sz="0" w:space="0" w:color="auto"/>
            <w:right w:val="none" w:sz="0" w:space="0" w:color="auto"/>
          </w:divBdr>
        </w:div>
        <w:div w:id="1754426454">
          <w:marLeft w:val="0"/>
          <w:marRight w:val="0"/>
          <w:marTop w:val="0"/>
          <w:marBottom w:val="0"/>
          <w:divBdr>
            <w:top w:val="none" w:sz="0" w:space="0" w:color="auto"/>
            <w:left w:val="none" w:sz="0" w:space="0" w:color="auto"/>
            <w:bottom w:val="none" w:sz="0" w:space="0" w:color="auto"/>
            <w:right w:val="none" w:sz="0" w:space="0" w:color="auto"/>
          </w:divBdr>
        </w:div>
        <w:div w:id="1019624469">
          <w:marLeft w:val="0"/>
          <w:marRight w:val="0"/>
          <w:marTop w:val="0"/>
          <w:marBottom w:val="0"/>
          <w:divBdr>
            <w:top w:val="none" w:sz="0" w:space="0" w:color="auto"/>
            <w:left w:val="none" w:sz="0" w:space="0" w:color="auto"/>
            <w:bottom w:val="none" w:sz="0" w:space="0" w:color="auto"/>
            <w:right w:val="none" w:sz="0" w:space="0" w:color="auto"/>
          </w:divBdr>
        </w:div>
        <w:div w:id="136923704">
          <w:marLeft w:val="0"/>
          <w:marRight w:val="0"/>
          <w:marTop w:val="0"/>
          <w:marBottom w:val="0"/>
          <w:divBdr>
            <w:top w:val="none" w:sz="0" w:space="0" w:color="auto"/>
            <w:left w:val="none" w:sz="0" w:space="0" w:color="auto"/>
            <w:bottom w:val="none" w:sz="0" w:space="0" w:color="auto"/>
            <w:right w:val="none" w:sz="0" w:space="0" w:color="auto"/>
          </w:divBdr>
        </w:div>
        <w:div w:id="1423182890">
          <w:marLeft w:val="0"/>
          <w:marRight w:val="0"/>
          <w:marTop w:val="0"/>
          <w:marBottom w:val="0"/>
          <w:divBdr>
            <w:top w:val="none" w:sz="0" w:space="0" w:color="auto"/>
            <w:left w:val="none" w:sz="0" w:space="0" w:color="auto"/>
            <w:bottom w:val="none" w:sz="0" w:space="0" w:color="auto"/>
            <w:right w:val="none" w:sz="0" w:space="0" w:color="auto"/>
          </w:divBdr>
        </w:div>
        <w:div w:id="926309988">
          <w:marLeft w:val="0"/>
          <w:marRight w:val="0"/>
          <w:marTop w:val="0"/>
          <w:marBottom w:val="0"/>
          <w:divBdr>
            <w:top w:val="none" w:sz="0" w:space="0" w:color="auto"/>
            <w:left w:val="none" w:sz="0" w:space="0" w:color="auto"/>
            <w:bottom w:val="none" w:sz="0" w:space="0" w:color="auto"/>
            <w:right w:val="none" w:sz="0" w:space="0" w:color="auto"/>
          </w:divBdr>
        </w:div>
        <w:div w:id="1093092387">
          <w:marLeft w:val="0"/>
          <w:marRight w:val="0"/>
          <w:marTop w:val="0"/>
          <w:marBottom w:val="0"/>
          <w:divBdr>
            <w:top w:val="none" w:sz="0" w:space="0" w:color="auto"/>
            <w:left w:val="none" w:sz="0" w:space="0" w:color="auto"/>
            <w:bottom w:val="none" w:sz="0" w:space="0" w:color="auto"/>
            <w:right w:val="none" w:sz="0" w:space="0" w:color="auto"/>
          </w:divBdr>
        </w:div>
        <w:div w:id="128327835">
          <w:marLeft w:val="0"/>
          <w:marRight w:val="0"/>
          <w:marTop w:val="0"/>
          <w:marBottom w:val="0"/>
          <w:divBdr>
            <w:top w:val="none" w:sz="0" w:space="0" w:color="auto"/>
            <w:left w:val="none" w:sz="0" w:space="0" w:color="auto"/>
            <w:bottom w:val="none" w:sz="0" w:space="0" w:color="auto"/>
            <w:right w:val="none" w:sz="0" w:space="0" w:color="auto"/>
          </w:divBdr>
        </w:div>
        <w:div w:id="1946694777">
          <w:marLeft w:val="0"/>
          <w:marRight w:val="0"/>
          <w:marTop w:val="0"/>
          <w:marBottom w:val="0"/>
          <w:divBdr>
            <w:top w:val="none" w:sz="0" w:space="0" w:color="auto"/>
            <w:left w:val="none" w:sz="0" w:space="0" w:color="auto"/>
            <w:bottom w:val="none" w:sz="0" w:space="0" w:color="auto"/>
            <w:right w:val="none" w:sz="0" w:space="0" w:color="auto"/>
          </w:divBdr>
        </w:div>
        <w:div w:id="446706526">
          <w:marLeft w:val="0"/>
          <w:marRight w:val="0"/>
          <w:marTop w:val="0"/>
          <w:marBottom w:val="0"/>
          <w:divBdr>
            <w:top w:val="none" w:sz="0" w:space="0" w:color="auto"/>
            <w:left w:val="none" w:sz="0" w:space="0" w:color="auto"/>
            <w:bottom w:val="none" w:sz="0" w:space="0" w:color="auto"/>
            <w:right w:val="none" w:sz="0" w:space="0" w:color="auto"/>
          </w:divBdr>
        </w:div>
        <w:div w:id="879130380">
          <w:marLeft w:val="0"/>
          <w:marRight w:val="0"/>
          <w:marTop w:val="0"/>
          <w:marBottom w:val="0"/>
          <w:divBdr>
            <w:top w:val="none" w:sz="0" w:space="0" w:color="auto"/>
            <w:left w:val="none" w:sz="0" w:space="0" w:color="auto"/>
            <w:bottom w:val="none" w:sz="0" w:space="0" w:color="auto"/>
            <w:right w:val="none" w:sz="0" w:space="0" w:color="auto"/>
          </w:divBdr>
        </w:div>
        <w:div w:id="991980624">
          <w:marLeft w:val="0"/>
          <w:marRight w:val="0"/>
          <w:marTop w:val="0"/>
          <w:marBottom w:val="0"/>
          <w:divBdr>
            <w:top w:val="none" w:sz="0" w:space="0" w:color="auto"/>
            <w:left w:val="none" w:sz="0" w:space="0" w:color="auto"/>
            <w:bottom w:val="none" w:sz="0" w:space="0" w:color="auto"/>
            <w:right w:val="none" w:sz="0" w:space="0" w:color="auto"/>
          </w:divBdr>
        </w:div>
        <w:div w:id="1875996393">
          <w:marLeft w:val="0"/>
          <w:marRight w:val="0"/>
          <w:marTop w:val="0"/>
          <w:marBottom w:val="0"/>
          <w:divBdr>
            <w:top w:val="none" w:sz="0" w:space="0" w:color="auto"/>
            <w:left w:val="none" w:sz="0" w:space="0" w:color="auto"/>
            <w:bottom w:val="none" w:sz="0" w:space="0" w:color="auto"/>
            <w:right w:val="none" w:sz="0" w:space="0" w:color="auto"/>
          </w:divBdr>
        </w:div>
        <w:div w:id="164635732">
          <w:marLeft w:val="0"/>
          <w:marRight w:val="0"/>
          <w:marTop w:val="0"/>
          <w:marBottom w:val="0"/>
          <w:divBdr>
            <w:top w:val="none" w:sz="0" w:space="0" w:color="auto"/>
            <w:left w:val="none" w:sz="0" w:space="0" w:color="auto"/>
            <w:bottom w:val="none" w:sz="0" w:space="0" w:color="auto"/>
            <w:right w:val="none" w:sz="0" w:space="0" w:color="auto"/>
          </w:divBdr>
        </w:div>
        <w:div w:id="1008872470">
          <w:marLeft w:val="0"/>
          <w:marRight w:val="0"/>
          <w:marTop w:val="0"/>
          <w:marBottom w:val="0"/>
          <w:divBdr>
            <w:top w:val="none" w:sz="0" w:space="0" w:color="auto"/>
            <w:left w:val="none" w:sz="0" w:space="0" w:color="auto"/>
            <w:bottom w:val="none" w:sz="0" w:space="0" w:color="auto"/>
            <w:right w:val="none" w:sz="0" w:space="0" w:color="auto"/>
          </w:divBdr>
        </w:div>
        <w:div w:id="1665622928">
          <w:marLeft w:val="0"/>
          <w:marRight w:val="0"/>
          <w:marTop w:val="0"/>
          <w:marBottom w:val="0"/>
          <w:divBdr>
            <w:top w:val="none" w:sz="0" w:space="0" w:color="auto"/>
            <w:left w:val="none" w:sz="0" w:space="0" w:color="auto"/>
            <w:bottom w:val="none" w:sz="0" w:space="0" w:color="auto"/>
            <w:right w:val="none" w:sz="0" w:space="0" w:color="auto"/>
          </w:divBdr>
        </w:div>
        <w:div w:id="560751983">
          <w:marLeft w:val="0"/>
          <w:marRight w:val="0"/>
          <w:marTop w:val="0"/>
          <w:marBottom w:val="0"/>
          <w:divBdr>
            <w:top w:val="none" w:sz="0" w:space="0" w:color="auto"/>
            <w:left w:val="none" w:sz="0" w:space="0" w:color="auto"/>
            <w:bottom w:val="none" w:sz="0" w:space="0" w:color="auto"/>
            <w:right w:val="none" w:sz="0" w:space="0" w:color="auto"/>
          </w:divBdr>
        </w:div>
        <w:div w:id="2022587087">
          <w:marLeft w:val="0"/>
          <w:marRight w:val="0"/>
          <w:marTop w:val="0"/>
          <w:marBottom w:val="0"/>
          <w:divBdr>
            <w:top w:val="none" w:sz="0" w:space="0" w:color="auto"/>
            <w:left w:val="none" w:sz="0" w:space="0" w:color="auto"/>
            <w:bottom w:val="none" w:sz="0" w:space="0" w:color="auto"/>
            <w:right w:val="none" w:sz="0" w:space="0" w:color="auto"/>
          </w:divBdr>
        </w:div>
        <w:div w:id="944001396">
          <w:marLeft w:val="0"/>
          <w:marRight w:val="0"/>
          <w:marTop w:val="0"/>
          <w:marBottom w:val="0"/>
          <w:divBdr>
            <w:top w:val="none" w:sz="0" w:space="0" w:color="auto"/>
            <w:left w:val="none" w:sz="0" w:space="0" w:color="auto"/>
            <w:bottom w:val="none" w:sz="0" w:space="0" w:color="auto"/>
            <w:right w:val="none" w:sz="0" w:space="0" w:color="auto"/>
          </w:divBdr>
        </w:div>
        <w:div w:id="2118720259">
          <w:marLeft w:val="0"/>
          <w:marRight w:val="0"/>
          <w:marTop w:val="0"/>
          <w:marBottom w:val="0"/>
          <w:divBdr>
            <w:top w:val="none" w:sz="0" w:space="0" w:color="auto"/>
            <w:left w:val="none" w:sz="0" w:space="0" w:color="auto"/>
            <w:bottom w:val="none" w:sz="0" w:space="0" w:color="auto"/>
            <w:right w:val="none" w:sz="0" w:space="0" w:color="auto"/>
          </w:divBdr>
        </w:div>
        <w:div w:id="1265771289">
          <w:marLeft w:val="0"/>
          <w:marRight w:val="0"/>
          <w:marTop w:val="0"/>
          <w:marBottom w:val="0"/>
          <w:divBdr>
            <w:top w:val="none" w:sz="0" w:space="0" w:color="auto"/>
            <w:left w:val="none" w:sz="0" w:space="0" w:color="auto"/>
            <w:bottom w:val="none" w:sz="0" w:space="0" w:color="auto"/>
            <w:right w:val="none" w:sz="0" w:space="0" w:color="auto"/>
          </w:divBdr>
        </w:div>
        <w:div w:id="2144420418">
          <w:marLeft w:val="0"/>
          <w:marRight w:val="0"/>
          <w:marTop w:val="0"/>
          <w:marBottom w:val="0"/>
          <w:divBdr>
            <w:top w:val="none" w:sz="0" w:space="0" w:color="auto"/>
            <w:left w:val="none" w:sz="0" w:space="0" w:color="auto"/>
            <w:bottom w:val="none" w:sz="0" w:space="0" w:color="auto"/>
            <w:right w:val="none" w:sz="0" w:space="0" w:color="auto"/>
          </w:divBdr>
        </w:div>
        <w:div w:id="1990478174">
          <w:marLeft w:val="0"/>
          <w:marRight w:val="0"/>
          <w:marTop w:val="0"/>
          <w:marBottom w:val="0"/>
          <w:divBdr>
            <w:top w:val="none" w:sz="0" w:space="0" w:color="auto"/>
            <w:left w:val="none" w:sz="0" w:space="0" w:color="auto"/>
            <w:bottom w:val="none" w:sz="0" w:space="0" w:color="auto"/>
            <w:right w:val="none" w:sz="0" w:space="0" w:color="auto"/>
          </w:divBdr>
        </w:div>
        <w:div w:id="1207448606">
          <w:marLeft w:val="0"/>
          <w:marRight w:val="0"/>
          <w:marTop w:val="0"/>
          <w:marBottom w:val="0"/>
          <w:divBdr>
            <w:top w:val="none" w:sz="0" w:space="0" w:color="auto"/>
            <w:left w:val="none" w:sz="0" w:space="0" w:color="auto"/>
            <w:bottom w:val="none" w:sz="0" w:space="0" w:color="auto"/>
            <w:right w:val="none" w:sz="0" w:space="0" w:color="auto"/>
          </w:divBdr>
        </w:div>
        <w:div w:id="2075540529">
          <w:marLeft w:val="0"/>
          <w:marRight w:val="0"/>
          <w:marTop w:val="0"/>
          <w:marBottom w:val="0"/>
          <w:divBdr>
            <w:top w:val="none" w:sz="0" w:space="0" w:color="auto"/>
            <w:left w:val="none" w:sz="0" w:space="0" w:color="auto"/>
            <w:bottom w:val="none" w:sz="0" w:space="0" w:color="auto"/>
            <w:right w:val="none" w:sz="0" w:space="0" w:color="auto"/>
          </w:divBdr>
        </w:div>
      </w:divsChild>
    </w:div>
    <w:div w:id="982544193">
      <w:bodyDiv w:val="1"/>
      <w:marLeft w:val="0"/>
      <w:marRight w:val="0"/>
      <w:marTop w:val="0"/>
      <w:marBottom w:val="0"/>
      <w:divBdr>
        <w:top w:val="none" w:sz="0" w:space="0" w:color="auto"/>
        <w:left w:val="none" w:sz="0" w:space="0" w:color="auto"/>
        <w:bottom w:val="none" w:sz="0" w:space="0" w:color="auto"/>
        <w:right w:val="none" w:sz="0" w:space="0" w:color="auto"/>
      </w:divBdr>
      <w:divsChild>
        <w:div w:id="1468015412">
          <w:marLeft w:val="0"/>
          <w:marRight w:val="0"/>
          <w:marTop w:val="0"/>
          <w:marBottom w:val="0"/>
          <w:divBdr>
            <w:top w:val="none" w:sz="0" w:space="0" w:color="auto"/>
            <w:left w:val="none" w:sz="0" w:space="0" w:color="auto"/>
            <w:bottom w:val="none" w:sz="0" w:space="0" w:color="auto"/>
            <w:right w:val="none" w:sz="0" w:space="0" w:color="auto"/>
          </w:divBdr>
        </w:div>
        <w:div w:id="581914580">
          <w:marLeft w:val="0"/>
          <w:marRight w:val="0"/>
          <w:marTop w:val="0"/>
          <w:marBottom w:val="0"/>
          <w:divBdr>
            <w:top w:val="none" w:sz="0" w:space="0" w:color="auto"/>
            <w:left w:val="none" w:sz="0" w:space="0" w:color="auto"/>
            <w:bottom w:val="none" w:sz="0" w:space="0" w:color="auto"/>
            <w:right w:val="none" w:sz="0" w:space="0" w:color="auto"/>
          </w:divBdr>
        </w:div>
        <w:div w:id="500659655">
          <w:marLeft w:val="0"/>
          <w:marRight w:val="0"/>
          <w:marTop w:val="0"/>
          <w:marBottom w:val="0"/>
          <w:divBdr>
            <w:top w:val="none" w:sz="0" w:space="0" w:color="auto"/>
            <w:left w:val="none" w:sz="0" w:space="0" w:color="auto"/>
            <w:bottom w:val="none" w:sz="0" w:space="0" w:color="auto"/>
            <w:right w:val="none" w:sz="0" w:space="0" w:color="auto"/>
          </w:divBdr>
        </w:div>
        <w:div w:id="2037850391">
          <w:marLeft w:val="0"/>
          <w:marRight w:val="0"/>
          <w:marTop w:val="0"/>
          <w:marBottom w:val="0"/>
          <w:divBdr>
            <w:top w:val="none" w:sz="0" w:space="0" w:color="auto"/>
            <w:left w:val="none" w:sz="0" w:space="0" w:color="auto"/>
            <w:bottom w:val="none" w:sz="0" w:space="0" w:color="auto"/>
            <w:right w:val="none" w:sz="0" w:space="0" w:color="auto"/>
          </w:divBdr>
        </w:div>
        <w:div w:id="102766640">
          <w:marLeft w:val="0"/>
          <w:marRight w:val="0"/>
          <w:marTop w:val="0"/>
          <w:marBottom w:val="0"/>
          <w:divBdr>
            <w:top w:val="none" w:sz="0" w:space="0" w:color="auto"/>
            <w:left w:val="none" w:sz="0" w:space="0" w:color="auto"/>
            <w:bottom w:val="none" w:sz="0" w:space="0" w:color="auto"/>
            <w:right w:val="none" w:sz="0" w:space="0" w:color="auto"/>
          </w:divBdr>
        </w:div>
        <w:div w:id="1994721964">
          <w:marLeft w:val="0"/>
          <w:marRight w:val="0"/>
          <w:marTop w:val="0"/>
          <w:marBottom w:val="0"/>
          <w:divBdr>
            <w:top w:val="none" w:sz="0" w:space="0" w:color="auto"/>
            <w:left w:val="none" w:sz="0" w:space="0" w:color="auto"/>
            <w:bottom w:val="none" w:sz="0" w:space="0" w:color="auto"/>
            <w:right w:val="none" w:sz="0" w:space="0" w:color="auto"/>
          </w:divBdr>
        </w:div>
        <w:div w:id="1838567781">
          <w:marLeft w:val="0"/>
          <w:marRight w:val="0"/>
          <w:marTop w:val="0"/>
          <w:marBottom w:val="0"/>
          <w:divBdr>
            <w:top w:val="none" w:sz="0" w:space="0" w:color="auto"/>
            <w:left w:val="none" w:sz="0" w:space="0" w:color="auto"/>
            <w:bottom w:val="none" w:sz="0" w:space="0" w:color="auto"/>
            <w:right w:val="none" w:sz="0" w:space="0" w:color="auto"/>
          </w:divBdr>
        </w:div>
      </w:divsChild>
    </w:div>
    <w:div w:id="1053238603">
      <w:bodyDiv w:val="1"/>
      <w:marLeft w:val="0"/>
      <w:marRight w:val="0"/>
      <w:marTop w:val="0"/>
      <w:marBottom w:val="0"/>
      <w:divBdr>
        <w:top w:val="none" w:sz="0" w:space="0" w:color="auto"/>
        <w:left w:val="none" w:sz="0" w:space="0" w:color="auto"/>
        <w:bottom w:val="none" w:sz="0" w:space="0" w:color="auto"/>
        <w:right w:val="none" w:sz="0" w:space="0" w:color="auto"/>
      </w:divBdr>
      <w:divsChild>
        <w:div w:id="1508867987">
          <w:marLeft w:val="0"/>
          <w:marRight w:val="0"/>
          <w:marTop w:val="0"/>
          <w:marBottom w:val="0"/>
          <w:divBdr>
            <w:top w:val="none" w:sz="0" w:space="0" w:color="auto"/>
            <w:left w:val="none" w:sz="0" w:space="0" w:color="auto"/>
            <w:bottom w:val="none" w:sz="0" w:space="0" w:color="auto"/>
            <w:right w:val="none" w:sz="0" w:space="0" w:color="auto"/>
          </w:divBdr>
        </w:div>
        <w:div w:id="1669139999">
          <w:marLeft w:val="0"/>
          <w:marRight w:val="0"/>
          <w:marTop w:val="0"/>
          <w:marBottom w:val="0"/>
          <w:divBdr>
            <w:top w:val="none" w:sz="0" w:space="0" w:color="auto"/>
            <w:left w:val="none" w:sz="0" w:space="0" w:color="auto"/>
            <w:bottom w:val="none" w:sz="0" w:space="0" w:color="auto"/>
            <w:right w:val="none" w:sz="0" w:space="0" w:color="auto"/>
          </w:divBdr>
        </w:div>
        <w:div w:id="1464809865">
          <w:marLeft w:val="0"/>
          <w:marRight w:val="0"/>
          <w:marTop w:val="0"/>
          <w:marBottom w:val="0"/>
          <w:divBdr>
            <w:top w:val="none" w:sz="0" w:space="0" w:color="auto"/>
            <w:left w:val="none" w:sz="0" w:space="0" w:color="auto"/>
            <w:bottom w:val="none" w:sz="0" w:space="0" w:color="auto"/>
            <w:right w:val="none" w:sz="0" w:space="0" w:color="auto"/>
          </w:divBdr>
        </w:div>
        <w:div w:id="1533886333">
          <w:marLeft w:val="0"/>
          <w:marRight w:val="0"/>
          <w:marTop w:val="0"/>
          <w:marBottom w:val="0"/>
          <w:divBdr>
            <w:top w:val="none" w:sz="0" w:space="0" w:color="auto"/>
            <w:left w:val="none" w:sz="0" w:space="0" w:color="auto"/>
            <w:bottom w:val="none" w:sz="0" w:space="0" w:color="auto"/>
            <w:right w:val="none" w:sz="0" w:space="0" w:color="auto"/>
          </w:divBdr>
        </w:div>
        <w:div w:id="978150017">
          <w:marLeft w:val="0"/>
          <w:marRight w:val="0"/>
          <w:marTop w:val="0"/>
          <w:marBottom w:val="0"/>
          <w:divBdr>
            <w:top w:val="none" w:sz="0" w:space="0" w:color="auto"/>
            <w:left w:val="none" w:sz="0" w:space="0" w:color="auto"/>
            <w:bottom w:val="none" w:sz="0" w:space="0" w:color="auto"/>
            <w:right w:val="none" w:sz="0" w:space="0" w:color="auto"/>
          </w:divBdr>
        </w:div>
        <w:div w:id="612054343">
          <w:marLeft w:val="0"/>
          <w:marRight w:val="0"/>
          <w:marTop w:val="0"/>
          <w:marBottom w:val="0"/>
          <w:divBdr>
            <w:top w:val="none" w:sz="0" w:space="0" w:color="auto"/>
            <w:left w:val="none" w:sz="0" w:space="0" w:color="auto"/>
            <w:bottom w:val="none" w:sz="0" w:space="0" w:color="auto"/>
            <w:right w:val="none" w:sz="0" w:space="0" w:color="auto"/>
          </w:divBdr>
        </w:div>
        <w:div w:id="2102675140">
          <w:marLeft w:val="0"/>
          <w:marRight w:val="0"/>
          <w:marTop w:val="0"/>
          <w:marBottom w:val="0"/>
          <w:divBdr>
            <w:top w:val="none" w:sz="0" w:space="0" w:color="auto"/>
            <w:left w:val="none" w:sz="0" w:space="0" w:color="auto"/>
            <w:bottom w:val="none" w:sz="0" w:space="0" w:color="auto"/>
            <w:right w:val="none" w:sz="0" w:space="0" w:color="auto"/>
          </w:divBdr>
        </w:div>
        <w:div w:id="1614091788">
          <w:marLeft w:val="0"/>
          <w:marRight w:val="0"/>
          <w:marTop w:val="0"/>
          <w:marBottom w:val="0"/>
          <w:divBdr>
            <w:top w:val="none" w:sz="0" w:space="0" w:color="auto"/>
            <w:left w:val="none" w:sz="0" w:space="0" w:color="auto"/>
            <w:bottom w:val="none" w:sz="0" w:space="0" w:color="auto"/>
            <w:right w:val="none" w:sz="0" w:space="0" w:color="auto"/>
          </w:divBdr>
        </w:div>
        <w:div w:id="1402216920">
          <w:marLeft w:val="0"/>
          <w:marRight w:val="0"/>
          <w:marTop w:val="0"/>
          <w:marBottom w:val="0"/>
          <w:divBdr>
            <w:top w:val="none" w:sz="0" w:space="0" w:color="auto"/>
            <w:left w:val="none" w:sz="0" w:space="0" w:color="auto"/>
            <w:bottom w:val="none" w:sz="0" w:space="0" w:color="auto"/>
            <w:right w:val="none" w:sz="0" w:space="0" w:color="auto"/>
          </w:divBdr>
        </w:div>
        <w:div w:id="1686398470">
          <w:marLeft w:val="0"/>
          <w:marRight w:val="0"/>
          <w:marTop w:val="0"/>
          <w:marBottom w:val="0"/>
          <w:divBdr>
            <w:top w:val="none" w:sz="0" w:space="0" w:color="auto"/>
            <w:left w:val="none" w:sz="0" w:space="0" w:color="auto"/>
            <w:bottom w:val="none" w:sz="0" w:space="0" w:color="auto"/>
            <w:right w:val="none" w:sz="0" w:space="0" w:color="auto"/>
          </w:divBdr>
        </w:div>
        <w:div w:id="487091325">
          <w:marLeft w:val="0"/>
          <w:marRight w:val="0"/>
          <w:marTop w:val="0"/>
          <w:marBottom w:val="0"/>
          <w:divBdr>
            <w:top w:val="none" w:sz="0" w:space="0" w:color="auto"/>
            <w:left w:val="none" w:sz="0" w:space="0" w:color="auto"/>
            <w:bottom w:val="none" w:sz="0" w:space="0" w:color="auto"/>
            <w:right w:val="none" w:sz="0" w:space="0" w:color="auto"/>
          </w:divBdr>
        </w:div>
        <w:div w:id="440149446">
          <w:marLeft w:val="0"/>
          <w:marRight w:val="0"/>
          <w:marTop w:val="0"/>
          <w:marBottom w:val="0"/>
          <w:divBdr>
            <w:top w:val="none" w:sz="0" w:space="0" w:color="auto"/>
            <w:left w:val="none" w:sz="0" w:space="0" w:color="auto"/>
            <w:bottom w:val="none" w:sz="0" w:space="0" w:color="auto"/>
            <w:right w:val="none" w:sz="0" w:space="0" w:color="auto"/>
          </w:divBdr>
        </w:div>
        <w:div w:id="888346593">
          <w:marLeft w:val="0"/>
          <w:marRight w:val="0"/>
          <w:marTop w:val="0"/>
          <w:marBottom w:val="0"/>
          <w:divBdr>
            <w:top w:val="none" w:sz="0" w:space="0" w:color="auto"/>
            <w:left w:val="none" w:sz="0" w:space="0" w:color="auto"/>
            <w:bottom w:val="none" w:sz="0" w:space="0" w:color="auto"/>
            <w:right w:val="none" w:sz="0" w:space="0" w:color="auto"/>
          </w:divBdr>
        </w:div>
        <w:div w:id="295764774">
          <w:marLeft w:val="0"/>
          <w:marRight w:val="0"/>
          <w:marTop w:val="0"/>
          <w:marBottom w:val="0"/>
          <w:divBdr>
            <w:top w:val="none" w:sz="0" w:space="0" w:color="auto"/>
            <w:left w:val="none" w:sz="0" w:space="0" w:color="auto"/>
            <w:bottom w:val="none" w:sz="0" w:space="0" w:color="auto"/>
            <w:right w:val="none" w:sz="0" w:space="0" w:color="auto"/>
          </w:divBdr>
        </w:div>
        <w:div w:id="1186821704">
          <w:marLeft w:val="0"/>
          <w:marRight w:val="0"/>
          <w:marTop w:val="0"/>
          <w:marBottom w:val="0"/>
          <w:divBdr>
            <w:top w:val="none" w:sz="0" w:space="0" w:color="auto"/>
            <w:left w:val="none" w:sz="0" w:space="0" w:color="auto"/>
            <w:bottom w:val="none" w:sz="0" w:space="0" w:color="auto"/>
            <w:right w:val="none" w:sz="0" w:space="0" w:color="auto"/>
          </w:divBdr>
        </w:div>
        <w:div w:id="1681927297">
          <w:marLeft w:val="0"/>
          <w:marRight w:val="0"/>
          <w:marTop w:val="0"/>
          <w:marBottom w:val="0"/>
          <w:divBdr>
            <w:top w:val="none" w:sz="0" w:space="0" w:color="auto"/>
            <w:left w:val="none" w:sz="0" w:space="0" w:color="auto"/>
            <w:bottom w:val="none" w:sz="0" w:space="0" w:color="auto"/>
            <w:right w:val="none" w:sz="0" w:space="0" w:color="auto"/>
          </w:divBdr>
        </w:div>
        <w:div w:id="1778286319">
          <w:marLeft w:val="0"/>
          <w:marRight w:val="0"/>
          <w:marTop w:val="0"/>
          <w:marBottom w:val="0"/>
          <w:divBdr>
            <w:top w:val="none" w:sz="0" w:space="0" w:color="auto"/>
            <w:left w:val="none" w:sz="0" w:space="0" w:color="auto"/>
            <w:bottom w:val="none" w:sz="0" w:space="0" w:color="auto"/>
            <w:right w:val="none" w:sz="0" w:space="0" w:color="auto"/>
          </w:divBdr>
        </w:div>
        <w:div w:id="888541706">
          <w:marLeft w:val="0"/>
          <w:marRight w:val="0"/>
          <w:marTop w:val="0"/>
          <w:marBottom w:val="0"/>
          <w:divBdr>
            <w:top w:val="none" w:sz="0" w:space="0" w:color="auto"/>
            <w:left w:val="none" w:sz="0" w:space="0" w:color="auto"/>
            <w:bottom w:val="none" w:sz="0" w:space="0" w:color="auto"/>
            <w:right w:val="none" w:sz="0" w:space="0" w:color="auto"/>
          </w:divBdr>
        </w:div>
        <w:div w:id="480148885">
          <w:marLeft w:val="0"/>
          <w:marRight w:val="0"/>
          <w:marTop w:val="0"/>
          <w:marBottom w:val="0"/>
          <w:divBdr>
            <w:top w:val="none" w:sz="0" w:space="0" w:color="auto"/>
            <w:left w:val="none" w:sz="0" w:space="0" w:color="auto"/>
            <w:bottom w:val="none" w:sz="0" w:space="0" w:color="auto"/>
            <w:right w:val="none" w:sz="0" w:space="0" w:color="auto"/>
          </w:divBdr>
        </w:div>
        <w:div w:id="1484079332">
          <w:marLeft w:val="0"/>
          <w:marRight w:val="0"/>
          <w:marTop w:val="0"/>
          <w:marBottom w:val="0"/>
          <w:divBdr>
            <w:top w:val="none" w:sz="0" w:space="0" w:color="auto"/>
            <w:left w:val="none" w:sz="0" w:space="0" w:color="auto"/>
            <w:bottom w:val="none" w:sz="0" w:space="0" w:color="auto"/>
            <w:right w:val="none" w:sz="0" w:space="0" w:color="auto"/>
          </w:divBdr>
        </w:div>
        <w:div w:id="2093160419">
          <w:marLeft w:val="0"/>
          <w:marRight w:val="0"/>
          <w:marTop w:val="0"/>
          <w:marBottom w:val="0"/>
          <w:divBdr>
            <w:top w:val="none" w:sz="0" w:space="0" w:color="auto"/>
            <w:left w:val="none" w:sz="0" w:space="0" w:color="auto"/>
            <w:bottom w:val="none" w:sz="0" w:space="0" w:color="auto"/>
            <w:right w:val="none" w:sz="0" w:space="0" w:color="auto"/>
          </w:divBdr>
        </w:div>
        <w:div w:id="1856993964">
          <w:marLeft w:val="0"/>
          <w:marRight w:val="0"/>
          <w:marTop w:val="0"/>
          <w:marBottom w:val="0"/>
          <w:divBdr>
            <w:top w:val="none" w:sz="0" w:space="0" w:color="auto"/>
            <w:left w:val="none" w:sz="0" w:space="0" w:color="auto"/>
            <w:bottom w:val="none" w:sz="0" w:space="0" w:color="auto"/>
            <w:right w:val="none" w:sz="0" w:space="0" w:color="auto"/>
          </w:divBdr>
        </w:div>
        <w:div w:id="1019697451">
          <w:marLeft w:val="0"/>
          <w:marRight w:val="0"/>
          <w:marTop w:val="0"/>
          <w:marBottom w:val="0"/>
          <w:divBdr>
            <w:top w:val="none" w:sz="0" w:space="0" w:color="auto"/>
            <w:left w:val="none" w:sz="0" w:space="0" w:color="auto"/>
            <w:bottom w:val="none" w:sz="0" w:space="0" w:color="auto"/>
            <w:right w:val="none" w:sz="0" w:space="0" w:color="auto"/>
          </w:divBdr>
        </w:div>
        <w:div w:id="1623490419">
          <w:marLeft w:val="0"/>
          <w:marRight w:val="0"/>
          <w:marTop w:val="0"/>
          <w:marBottom w:val="0"/>
          <w:divBdr>
            <w:top w:val="none" w:sz="0" w:space="0" w:color="auto"/>
            <w:left w:val="none" w:sz="0" w:space="0" w:color="auto"/>
            <w:bottom w:val="none" w:sz="0" w:space="0" w:color="auto"/>
            <w:right w:val="none" w:sz="0" w:space="0" w:color="auto"/>
          </w:divBdr>
        </w:div>
        <w:div w:id="536968435">
          <w:marLeft w:val="0"/>
          <w:marRight w:val="0"/>
          <w:marTop w:val="0"/>
          <w:marBottom w:val="0"/>
          <w:divBdr>
            <w:top w:val="none" w:sz="0" w:space="0" w:color="auto"/>
            <w:left w:val="none" w:sz="0" w:space="0" w:color="auto"/>
            <w:bottom w:val="none" w:sz="0" w:space="0" w:color="auto"/>
            <w:right w:val="none" w:sz="0" w:space="0" w:color="auto"/>
          </w:divBdr>
        </w:div>
        <w:div w:id="674765872">
          <w:marLeft w:val="0"/>
          <w:marRight w:val="0"/>
          <w:marTop w:val="0"/>
          <w:marBottom w:val="0"/>
          <w:divBdr>
            <w:top w:val="none" w:sz="0" w:space="0" w:color="auto"/>
            <w:left w:val="none" w:sz="0" w:space="0" w:color="auto"/>
            <w:bottom w:val="none" w:sz="0" w:space="0" w:color="auto"/>
            <w:right w:val="none" w:sz="0" w:space="0" w:color="auto"/>
          </w:divBdr>
        </w:div>
        <w:div w:id="1680617333">
          <w:marLeft w:val="0"/>
          <w:marRight w:val="0"/>
          <w:marTop w:val="0"/>
          <w:marBottom w:val="0"/>
          <w:divBdr>
            <w:top w:val="none" w:sz="0" w:space="0" w:color="auto"/>
            <w:left w:val="none" w:sz="0" w:space="0" w:color="auto"/>
            <w:bottom w:val="none" w:sz="0" w:space="0" w:color="auto"/>
            <w:right w:val="none" w:sz="0" w:space="0" w:color="auto"/>
          </w:divBdr>
        </w:div>
        <w:div w:id="1121729376">
          <w:marLeft w:val="0"/>
          <w:marRight w:val="0"/>
          <w:marTop w:val="0"/>
          <w:marBottom w:val="0"/>
          <w:divBdr>
            <w:top w:val="none" w:sz="0" w:space="0" w:color="auto"/>
            <w:left w:val="none" w:sz="0" w:space="0" w:color="auto"/>
            <w:bottom w:val="none" w:sz="0" w:space="0" w:color="auto"/>
            <w:right w:val="none" w:sz="0" w:space="0" w:color="auto"/>
          </w:divBdr>
        </w:div>
        <w:div w:id="1837064734">
          <w:marLeft w:val="0"/>
          <w:marRight w:val="0"/>
          <w:marTop w:val="0"/>
          <w:marBottom w:val="0"/>
          <w:divBdr>
            <w:top w:val="none" w:sz="0" w:space="0" w:color="auto"/>
            <w:left w:val="none" w:sz="0" w:space="0" w:color="auto"/>
            <w:bottom w:val="none" w:sz="0" w:space="0" w:color="auto"/>
            <w:right w:val="none" w:sz="0" w:space="0" w:color="auto"/>
          </w:divBdr>
        </w:div>
        <w:div w:id="894707649">
          <w:marLeft w:val="0"/>
          <w:marRight w:val="0"/>
          <w:marTop w:val="0"/>
          <w:marBottom w:val="0"/>
          <w:divBdr>
            <w:top w:val="none" w:sz="0" w:space="0" w:color="auto"/>
            <w:left w:val="none" w:sz="0" w:space="0" w:color="auto"/>
            <w:bottom w:val="none" w:sz="0" w:space="0" w:color="auto"/>
            <w:right w:val="none" w:sz="0" w:space="0" w:color="auto"/>
          </w:divBdr>
        </w:div>
        <w:div w:id="644428589">
          <w:marLeft w:val="0"/>
          <w:marRight w:val="0"/>
          <w:marTop w:val="0"/>
          <w:marBottom w:val="0"/>
          <w:divBdr>
            <w:top w:val="none" w:sz="0" w:space="0" w:color="auto"/>
            <w:left w:val="none" w:sz="0" w:space="0" w:color="auto"/>
            <w:bottom w:val="none" w:sz="0" w:space="0" w:color="auto"/>
            <w:right w:val="none" w:sz="0" w:space="0" w:color="auto"/>
          </w:divBdr>
        </w:div>
        <w:div w:id="1619680938">
          <w:marLeft w:val="0"/>
          <w:marRight w:val="0"/>
          <w:marTop w:val="0"/>
          <w:marBottom w:val="0"/>
          <w:divBdr>
            <w:top w:val="none" w:sz="0" w:space="0" w:color="auto"/>
            <w:left w:val="none" w:sz="0" w:space="0" w:color="auto"/>
            <w:bottom w:val="none" w:sz="0" w:space="0" w:color="auto"/>
            <w:right w:val="none" w:sz="0" w:space="0" w:color="auto"/>
          </w:divBdr>
        </w:div>
        <w:div w:id="1193111985">
          <w:marLeft w:val="0"/>
          <w:marRight w:val="0"/>
          <w:marTop w:val="0"/>
          <w:marBottom w:val="0"/>
          <w:divBdr>
            <w:top w:val="none" w:sz="0" w:space="0" w:color="auto"/>
            <w:left w:val="none" w:sz="0" w:space="0" w:color="auto"/>
            <w:bottom w:val="none" w:sz="0" w:space="0" w:color="auto"/>
            <w:right w:val="none" w:sz="0" w:space="0" w:color="auto"/>
          </w:divBdr>
        </w:div>
      </w:divsChild>
    </w:div>
    <w:div w:id="1126852503">
      <w:bodyDiv w:val="1"/>
      <w:marLeft w:val="0"/>
      <w:marRight w:val="0"/>
      <w:marTop w:val="0"/>
      <w:marBottom w:val="0"/>
      <w:divBdr>
        <w:top w:val="none" w:sz="0" w:space="0" w:color="auto"/>
        <w:left w:val="none" w:sz="0" w:space="0" w:color="auto"/>
        <w:bottom w:val="none" w:sz="0" w:space="0" w:color="auto"/>
        <w:right w:val="none" w:sz="0" w:space="0" w:color="auto"/>
      </w:divBdr>
      <w:divsChild>
        <w:div w:id="1676762847">
          <w:marLeft w:val="0"/>
          <w:marRight w:val="0"/>
          <w:marTop w:val="0"/>
          <w:marBottom w:val="0"/>
          <w:divBdr>
            <w:top w:val="none" w:sz="0" w:space="0" w:color="auto"/>
            <w:left w:val="none" w:sz="0" w:space="0" w:color="auto"/>
            <w:bottom w:val="none" w:sz="0" w:space="0" w:color="auto"/>
            <w:right w:val="none" w:sz="0" w:space="0" w:color="auto"/>
          </w:divBdr>
        </w:div>
        <w:div w:id="1131365871">
          <w:marLeft w:val="0"/>
          <w:marRight w:val="0"/>
          <w:marTop w:val="0"/>
          <w:marBottom w:val="0"/>
          <w:divBdr>
            <w:top w:val="none" w:sz="0" w:space="0" w:color="auto"/>
            <w:left w:val="none" w:sz="0" w:space="0" w:color="auto"/>
            <w:bottom w:val="none" w:sz="0" w:space="0" w:color="auto"/>
            <w:right w:val="none" w:sz="0" w:space="0" w:color="auto"/>
          </w:divBdr>
        </w:div>
        <w:div w:id="190925298">
          <w:marLeft w:val="0"/>
          <w:marRight w:val="0"/>
          <w:marTop w:val="0"/>
          <w:marBottom w:val="0"/>
          <w:divBdr>
            <w:top w:val="none" w:sz="0" w:space="0" w:color="auto"/>
            <w:left w:val="none" w:sz="0" w:space="0" w:color="auto"/>
            <w:bottom w:val="none" w:sz="0" w:space="0" w:color="auto"/>
            <w:right w:val="none" w:sz="0" w:space="0" w:color="auto"/>
          </w:divBdr>
        </w:div>
        <w:div w:id="1437752007">
          <w:marLeft w:val="0"/>
          <w:marRight w:val="0"/>
          <w:marTop w:val="0"/>
          <w:marBottom w:val="0"/>
          <w:divBdr>
            <w:top w:val="none" w:sz="0" w:space="0" w:color="auto"/>
            <w:left w:val="none" w:sz="0" w:space="0" w:color="auto"/>
            <w:bottom w:val="none" w:sz="0" w:space="0" w:color="auto"/>
            <w:right w:val="none" w:sz="0" w:space="0" w:color="auto"/>
          </w:divBdr>
        </w:div>
        <w:div w:id="877469353">
          <w:marLeft w:val="0"/>
          <w:marRight w:val="0"/>
          <w:marTop w:val="0"/>
          <w:marBottom w:val="0"/>
          <w:divBdr>
            <w:top w:val="none" w:sz="0" w:space="0" w:color="auto"/>
            <w:left w:val="none" w:sz="0" w:space="0" w:color="auto"/>
            <w:bottom w:val="none" w:sz="0" w:space="0" w:color="auto"/>
            <w:right w:val="none" w:sz="0" w:space="0" w:color="auto"/>
          </w:divBdr>
        </w:div>
      </w:divsChild>
    </w:div>
    <w:div w:id="1136528768">
      <w:bodyDiv w:val="1"/>
      <w:marLeft w:val="0"/>
      <w:marRight w:val="0"/>
      <w:marTop w:val="0"/>
      <w:marBottom w:val="0"/>
      <w:divBdr>
        <w:top w:val="none" w:sz="0" w:space="0" w:color="auto"/>
        <w:left w:val="none" w:sz="0" w:space="0" w:color="auto"/>
        <w:bottom w:val="none" w:sz="0" w:space="0" w:color="auto"/>
        <w:right w:val="none" w:sz="0" w:space="0" w:color="auto"/>
      </w:divBdr>
      <w:divsChild>
        <w:div w:id="1989288547">
          <w:marLeft w:val="0"/>
          <w:marRight w:val="0"/>
          <w:marTop w:val="0"/>
          <w:marBottom w:val="0"/>
          <w:divBdr>
            <w:top w:val="none" w:sz="0" w:space="0" w:color="auto"/>
            <w:left w:val="none" w:sz="0" w:space="0" w:color="auto"/>
            <w:bottom w:val="none" w:sz="0" w:space="0" w:color="auto"/>
            <w:right w:val="none" w:sz="0" w:space="0" w:color="auto"/>
          </w:divBdr>
        </w:div>
        <w:div w:id="1240677223">
          <w:marLeft w:val="0"/>
          <w:marRight w:val="0"/>
          <w:marTop w:val="0"/>
          <w:marBottom w:val="0"/>
          <w:divBdr>
            <w:top w:val="none" w:sz="0" w:space="0" w:color="auto"/>
            <w:left w:val="none" w:sz="0" w:space="0" w:color="auto"/>
            <w:bottom w:val="none" w:sz="0" w:space="0" w:color="auto"/>
            <w:right w:val="none" w:sz="0" w:space="0" w:color="auto"/>
          </w:divBdr>
        </w:div>
        <w:div w:id="2103262229">
          <w:marLeft w:val="0"/>
          <w:marRight w:val="0"/>
          <w:marTop w:val="0"/>
          <w:marBottom w:val="0"/>
          <w:divBdr>
            <w:top w:val="none" w:sz="0" w:space="0" w:color="auto"/>
            <w:left w:val="none" w:sz="0" w:space="0" w:color="auto"/>
            <w:bottom w:val="none" w:sz="0" w:space="0" w:color="auto"/>
            <w:right w:val="none" w:sz="0" w:space="0" w:color="auto"/>
          </w:divBdr>
        </w:div>
        <w:div w:id="80878784">
          <w:marLeft w:val="0"/>
          <w:marRight w:val="0"/>
          <w:marTop w:val="0"/>
          <w:marBottom w:val="0"/>
          <w:divBdr>
            <w:top w:val="none" w:sz="0" w:space="0" w:color="auto"/>
            <w:left w:val="none" w:sz="0" w:space="0" w:color="auto"/>
            <w:bottom w:val="none" w:sz="0" w:space="0" w:color="auto"/>
            <w:right w:val="none" w:sz="0" w:space="0" w:color="auto"/>
          </w:divBdr>
        </w:div>
        <w:div w:id="1945336172">
          <w:marLeft w:val="0"/>
          <w:marRight w:val="0"/>
          <w:marTop w:val="0"/>
          <w:marBottom w:val="0"/>
          <w:divBdr>
            <w:top w:val="none" w:sz="0" w:space="0" w:color="auto"/>
            <w:left w:val="none" w:sz="0" w:space="0" w:color="auto"/>
            <w:bottom w:val="none" w:sz="0" w:space="0" w:color="auto"/>
            <w:right w:val="none" w:sz="0" w:space="0" w:color="auto"/>
          </w:divBdr>
        </w:div>
      </w:divsChild>
    </w:div>
    <w:div w:id="1149513631">
      <w:bodyDiv w:val="1"/>
      <w:marLeft w:val="0"/>
      <w:marRight w:val="0"/>
      <w:marTop w:val="0"/>
      <w:marBottom w:val="0"/>
      <w:divBdr>
        <w:top w:val="none" w:sz="0" w:space="0" w:color="auto"/>
        <w:left w:val="none" w:sz="0" w:space="0" w:color="auto"/>
        <w:bottom w:val="none" w:sz="0" w:space="0" w:color="auto"/>
        <w:right w:val="none" w:sz="0" w:space="0" w:color="auto"/>
      </w:divBdr>
      <w:divsChild>
        <w:div w:id="614286122">
          <w:marLeft w:val="0"/>
          <w:marRight w:val="0"/>
          <w:marTop w:val="0"/>
          <w:marBottom w:val="0"/>
          <w:divBdr>
            <w:top w:val="none" w:sz="0" w:space="0" w:color="auto"/>
            <w:left w:val="none" w:sz="0" w:space="0" w:color="auto"/>
            <w:bottom w:val="none" w:sz="0" w:space="0" w:color="auto"/>
            <w:right w:val="none" w:sz="0" w:space="0" w:color="auto"/>
          </w:divBdr>
        </w:div>
        <w:div w:id="1248467381">
          <w:marLeft w:val="0"/>
          <w:marRight w:val="0"/>
          <w:marTop w:val="0"/>
          <w:marBottom w:val="0"/>
          <w:divBdr>
            <w:top w:val="none" w:sz="0" w:space="0" w:color="auto"/>
            <w:left w:val="none" w:sz="0" w:space="0" w:color="auto"/>
            <w:bottom w:val="none" w:sz="0" w:space="0" w:color="auto"/>
            <w:right w:val="none" w:sz="0" w:space="0" w:color="auto"/>
          </w:divBdr>
        </w:div>
        <w:div w:id="1037972478">
          <w:marLeft w:val="0"/>
          <w:marRight w:val="0"/>
          <w:marTop w:val="0"/>
          <w:marBottom w:val="0"/>
          <w:divBdr>
            <w:top w:val="none" w:sz="0" w:space="0" w:color="auto"/>
            <w:left w:val="none" w:sz="0" w:space="0" w:color="auto"/>
            <w:bottom w:val="none" w:sz="0" w:space="0" w:color="auto"/>
            <w:right w:val="none" w:sz="0" w:space="0" w:color="auto"/>
          </w:divBdr>
        </w:div>
        <w:div w:id="481047583">
          <w:marLeft w:val="0"/>
          <w:marRight w:val="0"/>
          <w:marTop w:val="0"/>
          <w:marBottom w:val="0"/>
          <w:divBdr>
            <w:top w:val="none" w:sz="0" w:space="0" w:color="auto"/>
            <w:left w:val="none" w:sz="0" w:space="0" w:color="auto"/>
            <w:bottom w:val="none" w:sz="0" w:space="0" w:color="auto"/>
            <w:right w:val="none" w:sz="0" w:space="0" w:color="auto"/>
          </w:divBdr>
        </w:div>
        <w:div w:id="492648212">
          <w:marLeft w:val="0"/>
          <w:marRight w:val="0"/>
          <w:marTop w:val="0"/>
          <w:marBottom w:val="0"/>
          <w:divBdr>
            <w:top w:val="none" w:sz="0" w:space="0" w:color="auto"/>
            <w:left w:val="none" w:sz="0" w:space="0" w:color="auto"/>
            <w:bottom w:val="none" w:sz="0" w:space="0" w:color="auto"/>
            <w:right w:val="none" w:sz="0" w:space="0" w:color="auto"/>
          </w:divBdr>
        </w:div>
        <w:div w:id="404571586">
          <w:marLeft w:val="0"/>
          <w:marRight w:val="0"/>
          <w:marTop w:val="0"/>
          <w:marBottom w:val="0"/>
          <w:divBdr>
            <w:top w:val="none" w:sz="0" w:space="0" w:color="auto"/>
            <w:left w:val="none" w:sz="0" w:space="0" w:color="auto"/>
            <w:bottom w:val="none" w:sz="0" w:space="0" w:color="auto"/>
            <w:right w:val="none" w:sz="0" w:space="0" w:color="auto"/>
          </w:divBdr>
        </w:div>
        <w:div w:id="967122602">
          <w:marLeft w:val="0"/>
          <w:marRight w:val="0"/>
          <w:marTop w:val="0"/>
          <w:marBottom w:val="0"/>
          <w:divBdr>
            <w:top w:val="none" w:sz="0" w:space="0" w:color="auto"/>
            <w:left w:val="none" w:sz="0" w:space="0" w:color="auto"/>
            <w:bottom w:val="none" w:sz="0" w:space="0" w:color="auto"/>
            <w:right w:val="none" w:sz="0" w:space="0" w:color="auto"/>
          </w:divBdr>
        </w:div>
        <w:div w:id="26764364">
          <w:marLeft w:val="0"/>
          <w:marRight w:val="0"/>
          <w:marTop w:val="0"/>
          <w:marBottom w:val="0"/>
          <w:divBdr>
            <w:top w:val="none" w:sz="0" w:space="0" w:color="auto"/>
            <w:left w:val="none" w:sz="0" w:space="0" w:color="auto"/>
            <w:bottom w:val="none" w:sz="0" w:space="0" w:color="auto"/>
            <w:right w:val="none" w:sz="0" w:space="0" w:color="auto"/>
          </w:divBdr>
        </w:div>
        <w:div w:id="1800607496">
          <w:marLeft w:val="0"/>
          <w:marRight w:val="0"/>
          <w:marTop w:val="0"/>
          <w:marBottom w:val="0"/>
          <w:divBdr>
            <w:top w:val="none" w:sz="0" w:space="0" w:color="auto"/>
            <w:left w:val="none" w:sz="0" w:space="0" w:color="auto"/>
            <w:bottom w:val="none" w:sz="0" w:space="0" w:color="auto"/>
            <w:right w:val="none" w:sz="0" w:space="0" w:color="auto"/>
          </w:divBdr>
        </w:div>
        <w:div w:id="176428715">
          <w:marLeft w:val="0"/>
          <w:marRight w:val="0"/>
          <w:marTop w:val="0"/>
          <w:marBottom w:val="0"/>
          <w:divBdr>
            <w:top w:val="none" w:sz="0" w:space="0" w:color="auto"/>
            <w:left w:val="none" w:sz="0" w:space="0" w:color="auto"/>
            <w:bottom w:val="none" w:sz="0" w:space="0" w:color="auto"/>
            <w:right w:val="none" w:sz="0" w:space="0" w:color="auto"/>
          </w:divBdr>
        </w:div>
        <w:div w:id="958950604">
          <w:marLeft w:val="0"/>
          <w:marRight w:val="0"/>
          <w:marTop w:val="0"/>
          <w:marBottom w:val="0"/>
          <w:divBdr>
            <w:top w:val="none" w:sz="0" w:space="0" w:color="auto"/>
            <w:left w:val="none" w:sz="0" w:space="0" w:color="auto"/>
            <w:bottom w:val="none" w:sz="0" w:space="0" w:color="auto"/>
            <w:right w:val="none" w:sz="0" w:space="0" w:color="auto"/>
          </w:divBdr>
        </w:div>
        <w:div w:id="2026438791">
          <w:marLeft w:val="0"/>
          <w:marRight w:val="0"/>
          <w:marTop w:val="0"/>
          <w:marBottom w:val="0"/>
          <w:divBdr>
            <w:top w:val="none" w:sz="0" w:space="0" w:color="auto"/>
            <w:left w:val="none" w:sz="0" w:space="0" w:color="auto"/>
            <w:bottom w:val="none" w:sz="0" w:space="0" w:color="auto"/>
            <w:right w:val="none" w:sz="0" w:space="0" w:color="auto"/>
          </w:divBdr>
        </w:div>
      </w:divsChild>
    </w:div>
    <w:div w:id="1157957632">
      <w:bodyDiv w:val="1"/>
      <w:marLeft w:val="0"/>
      <w:marRight w:val="0"/>
      <w:marTop w:val="0"/>
      <w:marBottom w:val="0"/>
      <w:divBdr>
        <w:top w:val="none" w:sz="0" w:space="0" w:color="auto"/>
        <w:left w:val="none" w:sz="0" w:space="0" w:color="auto"/>
        <w:bottom w:val="none" w:sz="0" w:space="0" w:color="auto"/>
        <w:right w:val="none" w:sz="0" w:space="0" w:color="auto"/>
      </w:divBdr>
      <w:divsChild>
        <w:div w:id="962418344">
          <w:marLeft w:val="0"/>
          <w:marRight w:val="0"/>
          <w:marTop w:val="0"/>
          <w:marBottom w:val="0"/>
          <w:divBdr>
            <w:top w:val="none" w:sz="0" w:space="0" w:color="auto"/>
            <w:left w:val="none" w:sz="0" w:space="0" w:color="auto"/>
            <w:bottom w:val="none" w:sz="0" w:space="0" w:color="auto"/>
            <w:right w:val="none" w:sz="0" w:space="0" w:color="auto"/>
          </w:divBdr>
        </w:div>
        <w:div w:id="243347428">
          <w:marLeft w:val="0"/>
          <w:marRight w:val="0"/>
          <w:marTop w:val="0"/>
          <w:marBottom w:val="0"/>
          <w:divBdr>
            <w:top w:val="none" w:sz="0" w:space="0" w:color="auto"/>
            <w:left w:val="none" w:sz="0" w:space="0" w:color="auto"/>
            <w:bottom w:val="none" w:sz="0" w:space="0" w:color="auto"/>
            <w:right w:val="none" w:sz="0" w:space="0" w:color="auto"/>
          </w:divBdr>
        </w:div>
        <w:div w:id="1316302766">
          <w:marLeft w:val="0"/>
          <w:marRight w:val="0"/>
          <w:marTop w:val="0"/>
          <w:marBottom w:val="0"/>
          <w:divBdr>
            <w:top w:val="none" w:sz="0" w:space="0" w:color="auto"/>
            <w:left w:val="none" w:sz="0" w:space="0" w:color="auto"/>
            <w:bottom w:val="none" w:sz="0" w:space="0" w:color="auto"/>
            <w:right w:val="none" w:sz="0" w:space="0" w:color="auto"/>
          </w:divBdr>
        </w:div>
        <w:div w:id="1180654905">
          <w:marLeft w:val="0"/>
          <w:marRight w:val="0"/>
          <w:marTop w:val="0"/>
          <w:marBottom w:val="0"/>
          <w:divBdr>
            <w:top w:val="none" w:sz="0" w:space="0" w:color="auto"/>
            <w:left w:val="none" w:sz="0" w:space="0" w:color="auto"/>
            <w:bottom w:val="none" w:sz="0" w:space="0" w:color="auto"/>
            <w:right w:val="none" w:sz="0" w:space="0" w:color="auto"/>
          </w:divBdr>
        </w:div>
        <w:div w:id="158929560">
          <w:marLeft w:val="0"/>
          <w:marRight w:val="0"/>
          <w:marTop w:val="0"/>
          <w:marBottom w:val="0"/>
          <w:divBdr>
            <w:top w:val="none" w:sz="0" w:space="0" w:color="auto"/>
            <w:left w:val="none" w:sz="0" w:space="0" w:color="auto"/>
            <w:bottom w:val="none" w:sz="0" w:space="0" w:color="auto"/>
            <w:right w:val="none" w:sz="0" w:space="0" w:color="auto"/>
          </w:divBdr>
        </w:div>
        <w:div w:id="1356080545">
          <w:marLeft w:val="0"/>
          <w:marRight w:val="0"/>
          <w:marTop w:val="0"/>
          <w:marBottom w:val="0"/>
          <w:divBdr>
            <w:top w:val="none" w:sz="0" w:space="0" w:color="auto"/>
            <w:left w:val="none" w:sz="0" w:space="0" w:color="auto"/>
            <w:bottom w:val="none" w:sz="0" w:space="0" w:color="auto"/>
            <w:right w:val="none" w:sz="0" w:space="0" w:color="auto"/>
          </w:divBdr>
        </w:div>
        <w:div w:id="470632556">
          <w:marLeft w:val="0"/>
          <w:marRight w:val="0"/>
          <w:marTop w:val="0"/>
          <w:marBottom w:val="0"/>
          <w:divBdr>
            <w:top w:val="none" w:sz="0" w:space="0" w:color="auto"/>
            <w:left w:val="none" w:sz="0" w:space="0" w:color="auto"/>
            <w:bottom w:val="none" w:sz="0" w:space="0" w:color="auto"/>
            <w:right w:val="none" w:sz="0" w:space="0" w:color="auto"/>
          </w:divBdr>
        </w:div>
        <w:div w:id="14499112">
          <w:marLeft w:val="0"/>
          <w:marRight w:val="0"/>
          <w:marTop w:val="0"/>
          <w:marBottom w:val="0"/>
          <w:divBdr>
            <w:top w:val="none" w:sz="0" w:space="0" w:color="auto"/>
            <w:left w:val="none" w:sz="0" w:space="0" w:color="auto"/>
            <w:bottom w:val="none" w:sz="0" w:space="0" w:color="auto"/>
            <w:right w:val="none" w:sz="0" w:space="0" w:color="auto"/>
          </w:divBdr>
        </w:div>
        <w:div w:id="973145911">
          <w:marLeft w:val="0"/>
          <w:marRight w:val="0"/>
          <w:marTop w:val="0"/>
          <w:marBottom w:val="0"/>
          <w:divBdr>
            <w:top w:val="none" w:sz="0" w:space="0" w:color="auto"/>
            <w:left w:val="none" w:sz="0" w:space="0" w:color="auto"/>
            <w:bottom w:val="none" w:sz="0" w:space="0" w:color="auto"/>
            <w:right w:val="none" w:sz="0" w:space="0" w:color="auto"/>
          </w:divBdr>
        </w:div>
        <w:div w:id="1107308716">
          <w:marLeft w:val="0"/>
          <w:marRight w:val="0"/>
          <w:marTop w:val="0"/>
          <w:marBottom w:val="0"/>
          <w:divBdr>
            <w:top w:val="none" w:sz="0" w:space="0" w:color="auto"/>
            <w:left w:val="none" w:sz="0" w:space="0" w:color="auto"/>
            <w:bottom w:val="none" w:sz="0" w:space="0" w:color="auto"/>
            <w:right w:val="none" w:sz="0" w:space="0" w:color="auto"/>
          </w:divBdr>
        </w:div>
        <w:div w:id="1281914441">
          <w:marLeft w:val="0"/>
          <w:marRight w:val="0"/>
          <w:marTop w:val="0"/>
          <w:marBottom w:val="0"/>
          <w:divBdr>
            <w:top w:val="none" w:sz="0" w:space="0" w:color="auto"/>
            <w:left w:val="none" w:sz="0" w:space="0" w:color="auto"/>
            <w:bottom w:val="none" w:sz="0" w:space="0" w:color="auto"/>
            <w:right w:val="none" w:sz="0" w:space="0" w:color="auto"/>
          </w:divBdr>
        </w:div>
        <w:div w:id="1999379852">
          <w:marLeft w:val="0"/>
          <w:marRight w:val="0"/>
          <w:marTop w:val="0"/>
          <w:marBottom w:val="0"/>
          <w:divBdr>
            <w:top w:val="none" w:sz="0" w:space="0" w:color="auto"/>
            <w:left w:val="none" w:sz="0" w:space="0" w:color="auto"/>
            <w:bottom w:val="none" w:sz="0" w:space="0" w:color="auto"/>
            <w:right w:val="none" w:sz="0" w:space="0" w:color="auto"/>
          </w:divBdr>
        </w:div>
        <w:div w:id="315961859">
          <w:marLeft w:val="0"/>
          <w:marRight w:val="0"/>
          <w:marTop w:val="0"/>
          <w:marBottom w:val="0"/>
          <w:divBdr>
            <w:top w:val="none" w:sz="0" w:space="0" w:color="auto"/>
            <w:left w:val="none" w:sz="0" w:space="0" w:color="auto"/>
            <w:bottom w:val="none" w:sz="0" w:space="0" w:color="auto"/>
            <w:right w:val="none" w:sz="0" w:space="0" w:color="auto"/>
          </w:divBdr>
        </w:div>
        <w:div w:id="1186091165">
          <w:marLeft w:val="0"/>
          <w:marRight w:val="0"/>
          <w:marTop w:val="0"/>
          <w:marBottom w:val="0"/>
          <w:divBdr>
            <w:top w:val="none" w:sz="0" w:space="0" w:color="auto"/>
            <w:left w:val="none" w:sz="0" w:space="0" w:color="auto"/>
            <w:bottom w:val="none" w:sz="0" w:space="0" w:color="auto"/>
            <w:right w:val="none" w:sz="0" w:space="0" w:color="auto"/>
          </w:divBdr>
        </w:div>
        <w:div w:id="1222598234">
          <w:marLeft w:val="0"/>
          <w:marRight w:val="0"/>
          <w:marTop w:val="0"/>
          <w:marBottom w:val="0"/>
          <w:divBdr>
            <w:top w:val="none" w:sz="0" w:space="0" w:color="auto"/>
            <w:left w:val="none" w:sz="0" w:space="0" w:color="auto"/>
            <w:bottom w:val="none" w:sz="0" w:space="0" w:color="auto"/>
            <w:right w:val="none" w:sz="0" w:space="0" w:color="auto"/>
          </w:divBdr>
        </w:div>
        <w:div w:id="1492525241">
          <w:marLeft w:val="0"/>
          <w:marRight w:val="0"/>
          <w:marTop w:val="0"/>
          <w:marBottom w:val="0"/>
          <w:divBdr>
            <w:top w:val="none" w:sz="0" w:space="0" w:color="auto"/>
            <w:left w:val="none" w:sz="0" w:space="0" w:color="auto"/>
            <w:bottom w:val="none" w:sz="0" w:space="0" w:color="auto"/>
            <w:right w:val="none" w:sz="0" w:space="0" w:color="auto"/>
          </w:divBdr>
        </w:div>
        <w:div w:id="2066440897">
          <w:marLeft w:val="0"/>
          <w:marRight w:val="0"/>
          <w:marTop w:val="0"/>
          <w:marBottom w:val="0"/>
          <w:divBdr>
            <w:top w:val="none" w:sz="0" w:space="0" w:color="auto"/>
            <w:left w:val="none" w:sz="0" w:space="0" w:color="auto"/>
            <w:bottom w:val="none" w:sz="0" w:space="0" w:color="auto"/>
            <w:right w:val="none" w:sz="0" w:space="0" w:color="auto"/>
          </w:divBdr>
        </w:div>
        <w:div w:id="600650314">
          <w:marLeft w:val="0"/>
          <w:marRight w:val="0"/>
          <w:marTop w:val="0"/>
          <w:marBottom w:val="0"/>
          <w:divBdr>
            <w:top w:val="none" w:sz="0" w:space="0" w:color="auto"/>
            <w:left w:val="none" w:sz="0" w:space="0" w:color="auto"/>
            <w:bottom w:val="none" w:sz="0" w:space="0" w:color="auto"/>
            <w:right w:val="none" w:sz="0" w:space="0" w:color="auto"/>
          </w:divBdr>
        </w:div>
        <w:div w:id="1398819564">
          <w:marLeft w:val="0"/>
          <w:marRight w:val="0"/>
          <w:marTop w:val="0"/>
          <w:marBottom w:val="0"/>
          <w:divBdr>
            <w:top w:val="none" w:sz="0" w:space="0" w:color="auto"/>
            <w:left w:val="none" w:sz="0" w:space="0" w:color="auto"/>
            <w:bottom w:val="none" w:sz="0" w:space="0" w:color="auto"/>
            <w:right w:val="none" w:sz="0" w:space="0" w:color="auto"/>
          </w:divBdr>
        </w:div>
        <w:div w:id="1721980775">
          <w:marLeft w:val="0"/>
          <w:marRight w:val="0"/>
          <w:marTop w:val="0"/>
          <w:marBottom w:val="0"/>
          <w:divBdr>
            <w:top w:val="none" w:sz="0" w:space="0" w:color="auto"/>
            <w:left w:val="none" w:sz="0" w:space="0" w:color="auto"/>
            <w:bottom w:val="none" w:sz="0" w:space="0" w:color="auto"/>
            <w:right w:val="none" w:sz="0" w:space="0" w:color="auto"/>
          </w:divBdr>
        </w:div>
        <w:div w:id="958414206">
          <w:marLeft w:val="0"/>
          <w:marRight w:val="0"/>
          <w:marTop w:val="0"/>
          <w:marBottom w:val="0"/>
          <w:divBdr>
            <w:top w:val="none" w:sz="0" w:space="0" w:color="auto"/>
            <w:left w:val="none" w:sz="0" w:space="0" w:color="auto"/>
            <w:bottom w:val="none" w:sz="0" w:space="0" w:color="auto"/>
            <w:right w:val="none" w:sz="0" w:space="0" w:color="auto"/>
          </w:divBdr>
        </w:div>
        <w:div w:id="720137550">
          <w:marLeft w:val="0"/>
          <w:marRight w:val="0"/>
          <w:marTop w:val="0"/>
          <w:marBottom w:val="0"/>
          <w:divBdr>
            <w:top w:val="none" w:sz="0" w:space="0" w:color="auto"/>
            <w:left w:val="none" w:sz="0" w:space="0" w:color="auto"/>
            <w:bottom w:val="none" w:sz="0" w:space="0" w:color="auto"/>
            <w:right w:val="none" w:sz="0" w:space="0" w:color="auto"/>
          </w:divBdr>
        </w:div>
        <w:div w:id="1630162161">
          <w:marLeft w:val="0"/>
          <w:marRight w:val="0"/>
          <w:marTop w:val="0"/>
          <w:marBottom w:val="0"/>
          <w:divBdr>
            <w:top w:val="none" w:sz="0" w:space="0" w:color="auto"/>
            <w:left w:val="none" w:sz="0" w:space="0" w:color="auto"/>
            <w:bottom w:val="none" w:sz="0" w:space="0" w:color="auto"/>
            <w:right w:val="none" w:sz="0" w:space="0" w:color="auto"/>
          </w:divBdr>
        </w:div>
        <w:div w:id="1700010566">
          <w:marLeft w:val="0"/>
          <w:marRight w:val="0"/>
          <w:marTop w:val="0"/>
          <w:marBottom w:val="0"/>
          <w:divBdr>
            <w:top w:val="none" w:sz="0" w:space="0" w:color="auto"/>
            <w:left w:val="none" w:sz="0" w:space="0" w:color="auto"/>
            <w:bottom w:val="none" w:sz="0" w:space="0" w:color="auto"/>
            <w:right w:val="none" w:sz="0" w:space="0" w:color="auto"/>
          </w:divBdr>
        </w:div>
        <w:div w:id="1853257651">
          <w:marLeft w:val="0"/>
          <w:marRight w:val="0"/>
          <w:marTop w:val="0"/>
          <w:marBottom w:val="0"/>
          <w:divBdr>
            <w:top w:val="none" w:sz="0" w:space="0" w:color="auto"/>
            <w:left w:val="none" w:sz="0" w:space="0" w:color="auto"/>
            <w:bottom w:val="none" w:sz="0" w:space="0" w:color="auto"/>
            <w:right w:val="none" w:sz="0" w:space="0" w:color="auto"/>
          </w:divBdr>
        </w:div>
        <w:div w:id="877470149">
          <w:marLeft w:val="0"/>
          <w:marRight w:val="0"/>
          <w:marTop w:val="0"/>
          <w:marBottom w:val="0"/>
          <w:divBdr>
            <w:top w:val="none" w:sz="0" w:space="0" w:color="auto"/>
            <w:left w:val="none" w:sz="0" w:space="0" w:color="auto"/>
            <w:bottom w:val="none" w:sz="0" w:space="0" w:color="auto"/>
            <w:right w:val="none" w:sz="0" w:space="0" w:color="auto"/>
          </w:divBdr>
        </w:div>
        <w:div w:id="474562783">
          <w:marLeft w:val="0"/>
          <w:marRight w:val="0"/>
          <w:marTop w:val="0"/>
          <w:marBottom w:val="0"/>
          <w:divBdr>
            <w:top w:val="none" w:sz="0" w:space="0" w:color="auto"/>
            <w:left w:val="none" w:sz="0" w:space="0" w:color="auto"/>
            <w:bottom w:val="none" w:sz="0" w:space="0" w:color="auto"/>
            <w:right w:val="none" w:sz="0" w:space="0" w:color="auto"/>
          </w:divBdr>
        </w:div>
        <w:div w:id="1261527866">
          <w:marLeft w:val="0"/>
          <w:marRight w:val="0"/>
          <w:marTop w:val="0"/>
          <w:marBottom w:val="0"/>
          <w:divBdr>
            <w:top w:val="none" w:sz="0" w:space="0" w:color="auto"/>
            <w:left w:val="none" w:sz="0" w:space="0" w:color="auto"/>
            <w:bottom w:val="none" w:sz="0" w:space="0" w:color="auto"/>
            <w:right w:val="none" w:sz="0" w:space="0" w:color="auto"/>
          </w:divBdr>
        </w:div>
        <w:div w:id="1309239465">
          <w:marLeft w:val="0"/>
          <w:marRight w:val="0"/>
          <w:marTop w:val="0"/>
          <w:marBottom w:val="0"/>
          <w:divBdr>
            <w:top w:val="none" w:sz="0" w:space="0" w:color="auto"/>
            <w:left w:val="none" w:sz="0" w:space="0" w:color="auto"/>
            <w:bottom w:val="none" w:sz="0" w:space="0" w:color="auto"/>
            <w:right w:val="none" w:sz="0" w:space="0" w:color="auto"/>
          </w:divBdr>
        </w:div>
        <w:div w:id="1358628383">
          <w:marLeft w:val="0"/>
          <w:marRight w:val="0"/>
          <w:marTop w:val="0"/>
          <w:marBottom w:val="0"/>
          <w:divBdr>
            <w:top w:val="none" w:sz="0" w:space="0" w:color="auto"/>
            <w:left w:val="none" w:sz="0" w:space="0" w:color="auto"/>
            <w:bottom w:val="none" w:sz="0" w:space="0" w:color="auto"/>
            <w:right w:val="none" w:sz="0" w:space="0" w:color="auto"/>
          </w:divBdr>
        </w:div>
        <w:div w:id="1701003646">
          <w:marLeft w:val="0"/>
          <w:marRight w:val="0"/>
          <w:marTop w:val="0"/>
          <w:marBottom w:val="0"/>
          <w:divBdr>
            <w:top w:val="none" w:sz="0" w:space="0" w:color="auto"/>
            <w:left w:val="none" w:sz="0" w:space="0" w:color="auto"/>
            <w:bottom w:val="none" w:sz="0" w:space="0" w:color="auto"/>
            <w:right w:val="none" w:sz="0" w:space="0" w:color="auto"/>
          </w:divBdr>
        </w:div>
        <w:div w:id="736325041">
          <w:marLeft w:val="0"/>
          <w:marRight w:val="0"/>
          <w:marTop w:val="0"/>
          <w:marBottom w:val="0"/>
          <w:divBdr>
            <w:top w:val="none" w:sz="0" w:space="0" w:color="auto"/>
            <w:left w:val="none" w:sz="0" w:space="0" w:color="auto"/>
            <w:bottom w:val="none" w:sz="0" w:space="0" w:color="auto"/>
            <w:right w:val="none" w:sz="0" w:space="0" w:color="auto"/>
          </w:divBdr>
        </w:div>
        <w:div w:id="1373457189">
          <w:marLeft w:val="0"/>
          <w:marRight w:val="0"/>
          <w:marTop w:val="0"/>
          <w:marBottom w:val="0"/>
          <w:divBdr>
            <w:top w:val="none" w:sz="0" w:space="0" w:color="auto"/>
            <w:left w:val="none" w:sz="0" w:space="0" w:color="auto"/>
            <w:bottom w:val="none" w:sz="0" w:space="0" w:color="auto"/>
            <w:right w:val="none" w:sz="0" w:space="0" w:color="auto"/>
          </w:divBdr>
        </w:div>
        <w:div w:id="1745181262">
          <w:marLeft w:val="0"/>
          <w:marRight w:val="0"/>
          <w:marTop w:val="0"/>
          <w:marBottom w:val="0"/>
          <w:divBdr>
            <w:top w:val="none" w:sz="0" w:space="0" w:color="auto"/>
            <w:left w:val="none" w:sz="0" w:space="0" w:color="auto"/>
            <w:bottom w:val="none" w:sz="0" w:space="0" w:color="auto"/>
            <w:right w:val="none" w:sz="0" w:space="0" w:color="auto"/>
          </w:divBdr>
        </w:div>
        <w:div w:id="2119517207">
          <w:marLeft w:val="0"/>
          <w:marRight w:val="0"/>
          <w:marTop w:val="0"/>
          <w:marBottom w:val="0"/>
          <w:divBdr>
            <w:top w:val="none" w:sz="0" w:space="0" w:color="auto"/>
            <w:left w:val="none" w:sz="0" w:space="0" w:color="auto"/>
            <w:bottom w:val="none" w:sz="0" w:space="0" w:color="auto"/>
            <w:right w:val="none" w:sz="0" w:space="0" w:color="auto"/>
          </w:divBdr>
        </w:div>
        <w:div w:id="827132067">
          <w:marLeft w:val="0"/>
          <w:marRight w:val="0"/>
          <w:marTop w:val="0"/>
          <w:marBottom w:val="0"/>
          <w:divBdr>
            <w:top w:val="none" w:sz="0" w:space="0" w:color="auto"/>
            <w:left w:val="none" w:sz="0" w:space="0" w:color="auto"/>
            <w:bottom w:val="none" w:sz="0" w:space="0" w:color="auto"/>
            <w:right w:val="none" w:sz="0" w:space="0" w:color="auto"/>
          </w:divBdr>
        </w:div>
        <w:div w:id="1802460254">
          <w:marLeft w:val="0"/>
          <w:marRight w:val="0"/>
          <w:marTop w:val="0"/>
          <w:marBottom w:val="0"/>
          <w:divBdr>
            <w:top w:val="none" w:sz="0" w:space="0" w:color="auto"/>
            <w:left w:val="none" w:sz="0" w:space="0" w:color="auto"/>
            <w:bottom w:val="none" w:sz="0" w:space="0" w:color="auto"/>
            <w:right w:val="none" w:sz="0" w:space="0" w:color="auto"/>
          </w:divBdr>
        </w:div>
        <w:div w:id="837382505">
          <w:marLeft w:val="0"/>
          <w:marRight w:val="0"/>
          <w:marTop w:val="0"/>
          <w:marBottom w:val="0"/>
          <w:divBdr>
            <w:top w:val="none" w:sz="0" w:space="0" w:color="auto"/>
            <w:left w:val="none" w:sz="0" w:space="0" w:color="auto"/>
            <w:bottom w:val="none" w:sz="0" w:space="0" w:color="auto"/>
            <w:right w:val="none" w:sz="0" w:space="0" w:color="auto"/>
          </w:divBdr>
        </w:div>
        <w:div w:id="2005160565">
          <w:marLeft w:val="0"/>
          <w:marRight w:val="0"/>
          <w:marTop w:val="0"/>
          <w:marBottom w:val="0"/>
          <w:divBdr>
            <w:top w:val="none" w:sz="0" w:space="0" w:color="auto"/>
            <w:left w:val="none" w:sz="0" w:space="0" w:color="auto"/>
            <w:bottom w:val="none" w:sz="0" w:space="0" w:color="auto"/>
            <w:right w:val="none" w:sz="0" w:space="0" w:color="auto"/>
          </w:divBdr>
        </w:div>
        <w:div w:id="1664505419">
          <w:marLeft w:val="0"/>
          <w:marRight w:val="0"/>
          <w:marTop w:val="0"/>
          <w:marBottom w:val="0"/>
          <w:divBdr>
            <w:top w:val="none" w:sz="0" w:space="0" w:color="auto"/>
            <w:left w:val="none" w:sz="0" w:space="0" w:color="auto"/>
            <w:bottom w:val="none" w:sz="0" w:space="0" w:color="auto"/>
            <w:right w:val="none" w:sz="0" w:space="0" w:color="auto"/>
          </w:divBdr>
        </w:div>
        <w:div w:id="561142809">
          <w:marLeft w:val="0"/>
          <w:marRight w:val="0"/>
          <w:marTop w:val="0"/>
          <w:marBottom w:val="0"/>
          <w:divBdr>
            <w:top w:val="none" w:sz="0" w:space="0" w:color="auto"/>
            <w:left w:val="none" w:sz="0" w:space="0" w:color="auto"/>
            <w:bottom w:val="none" w:sz="0" w:space="0" w:color="auto"/>
            <w:right w:val="none" w:sz="0" w:space="0" w:color="auto"/>
          </w:divBdr>
        </w:div>
        <w:div w:id="1513881754">
          <w:marLeft w:val="0"/>
          <w:marRight w:val="0"/>
          <w:marTop w:val="0"/>
          <w:marBottom w:val="0"/>
          <w:divBdr>
            <w:top w:val="none" w:sz="0" w:space="0" w:color="auto"/>
            <w:left w:val="none" w:sz="0" w:space="0" w:color="auto"/>
            <w:bottom w:val="none" w:sz="0" w:space="0" w:color="auto"/>
            <w:right w:val="none" w:sz="0" w:space="0" w:color="auto"/>
          </w:divBdr>
        </w:div>
        <w:div w:id="770779429">
          <w:marLeft w:val="0"/>
          <w:marRight w:val="0"/>
          <w:marTop w:val="0"/>
          <w:marBottom w:val="0"/>
          <w:divBdr>
            <w:top w:val="none" w:sz="0" w:space="0" w:color="auto"/>
            <w:left w:val="none" w:sz="0" w:space="0" w:color="auto"/>
            <w:bottom w:val="none" w:sz="0" w:space="0" w:color="auto"/>
            <w:right w:val="none" w:sz="0" w:space="0" w:color="auto"/>
          </w:divBdr>
        </w:div>
        <w:div w:id="239340376">
          <w:marLeft w:val="0"/>
          <w:marRight w:val="0"/>
          <w:marTop w:val="0"/>
          <w:marBottom w:val="0"/>
          <w:divBdr>
            <w:top w:val="none" w:sz="0" w:space="0" w:color="auto"/>
            <w:left w:val="none" w:sz="0" w:space="0" w:color="auto"/>
            <w:bottom w:val="none" w:sz="0" w:space="0" w:color="auto"/>
            <w:right w:val="none" w:sz="0" w:space="0" w:color="auto"/>
          </w:divBdr>
        </w:div>
        <w:div w:id="1143696501">
          <w:marLeft w:val="0"/>
          <w:marRight w:val="0"/>
          <w:marTop w:val="0"/>
          <w:marBottom w:val="0"/>
          <w:divBdr>
            <w:top w:val="none" w:sz="0" w:space="0" w:color="auto"/>
            <w:left w:val="none" w:sz="0" w:space="0" w:color="auto"/>
            <w:bottom w:val="none" w:sz="0" w:space="0" w:color="auto"/>
            <w:right w:val="none" w:sz="0" w:space="0" w:color="auto"/>
          </w:divBdr>
        </w:div>
        <w:div w:id="1600793527">
          <w:marLeft w:val="0"/>
          <w:marRight w:val="0"/>
          <w:marTop w:val="0"/>
          <w:marBottom w:val="0"/>
          <w:divBdr>
            <w:top w:val="none" w:sz="0" w:space="0" w:color="auto"/>
            <w:left w:val="none" w:sz="0" w:space="0" w:color="auto"/>
            <w:bottom w:val="none" w:sz="0" w:space="0" w:color="auto"/>
            <w:right w:val="none" w:sz="0" w:space="0" w:color="auto"/>
          </w:divBdr>
        </w:div>
        <w:div w:id="281377781">
          <w:marLeft w:val="0"/>
          <w:marRight w:val="0"/>
          <w:marTop w:val="0"/>
          <w:marBottom w:val="0"/>
          <w:divBdr>
            <w:top w:val="none" w:sz="0" w:space="0" w:color="auto"/>
            <w:left w:val="none" w:sz="0" w:space="0" w:color="auto"/>
            <w:bottom w:val="none" w:sz="0" w:space="0" w:color="auto"/>
            <w:right w:val="none" w:sz="0" w:space="0" w:color="auto"/>
          </w:divBdr>
        </w:div>
        <w:div w:id="498739790">
          <w:marLeft w:val="0"/>
          <w:marRight w:val="0"/>
          <w:marTop w:val="0"/>
          <w:marBottom w:val="0"/>
          <w:divBdr>
            <w:top w:val="none" w:sz="0" w:space="0" w:color="auto"/>
            <w:left w:val="none" w:sz="0" w:space="0" w:color="auto"/>
            <w:bottom w:val="none" w:sz="0" w:space="0" w:color="auto"/>
            <w:right w:val="none" w:sz="0" w:space="0" w:color="auto"/>
          </w:divBdr>
        </w:div>
        <w:div w:id="187178893">
          <w:marLeft w:val="0"/>
          <w:marRight w:val="0"/>
          <w:marTop w:val="0"/>
          <w:marBottom w:val="0"/>
          <w:divBdr>
            <w:top w:val="none" w:sz="0" w:space="0" w:color="auto"/>
            <w:left w:val="none" w:sz="0" w:space="0" w:color="auto"/>
            <w:bottom w:val="none" w:sz="0" w:space="0" w:color="auto"/>
            <w:right w:val="none" w:sz="0" w:space="0" w:color="auto"/>
          </w:divBdr>
        </w:div>
        <w:div w:id="1792701099">
          <w:marLeft w:val="0"/>
          <w:marRight w:val="0"/>
          <w:marTop w:val="0"/>
          <w:marBottom w:val="0"/>
          <w:divBdr>
            <w:top w:val="none" w:sz="0" w:space="0" w:color="auto"/>
            <w:left w:val="none" w:sz="0" w:space="0" w:color="auto"/>
            <w:bottom w:val="none" w:sz="0" w:space="0" w:color="auto"/>
            <w:right w:val="none" w:sz="0" w:space="0" w:color="auto"/>
          </w:divBdr>
        </w:div>
        <w:div w:id="998653275">
          <w:marLeft w:val="0"/>
          <w:marRight w:val="0"/>
          <w:marTop w:val="0"/>
          <w:marBottom w:val="0"/>
          <w:divBdr>
            <w:top w:val="none" w:sz="0" w:space="0" w:color="auto"/>
            <w:left w:val="none" w:sz="0" w:space="0" w:color="auto"/>
            <w:bottom w:val="none" w:sz="0" w:space="0" w:color="auto"/>
            <w:right w:val="none" w:sz="0" w:space="0" w:color="auto"/>
          </w:divBdr>
        </w:div>
        <w:div w:id="1787846051">
          <w:marLeft w:val="0"/>
          <w:marRight w:val="0"/>
          <w:marTop w:val="0"/>
          <w:marBottom w:val="0"/>
          <w:divBdr>
            <w:top w:val="none" w:sz="0" w:space="0" w:color="auto"/>
            <w:left w:val="none" w:sz="0" w:space="0" w:color="auto"/>
            <w:bottom w:val="none" w:sz="0" w:space="0" w:color="auto"/>
            <w:right w:val="none" w:sz="0" w:space="0" w:color="auto"/>
          </w:divBdr>
        </w:div>
        <w:div w:id="1341547672">
          <w:marLeft w:val="0"/>
          <w:marRight w:val="0"/>
          <w:marTop w:val="0"/>
          <w:marBottom w:val="0"/>
          <w:divBdr>
            <w:top w:val="none" w:sz="0" w:space="0" w:color="auto"/>
            <w:left w:val="none" w:sz="0" w:space="0" w:color="auto"/>
            <w:bottom w:val="none" w:sz="0" w:space="0" w:color="auto"/>
            <w:right w:val="none" w:sz="0" w:space="0" w:color="auto"/>
          </w:divBdr>
        </w:div>
        <w:div w:id="1166483941">
          <w:marLeft w:val="0"/>
          <w:marRight w:val="0"/>
          <w:marTop w:val="0"/>
          <w:marBottom w:val="0"/>
          <w:divBdr>
            <w:top w:val="none" w:sz="0" w:space="0" w:color="auto"/>
            <w:left w:val="none" w:sz="0" w:space="0" w:color="auto"/>
            <w:bottom w:val="none" w:sz="0" w:space="0" w:color="auto"/>
            <w:right w:val="none" w:sz="0" w:space="0" w:color="auto"/>
          </w:divBdr>
        </w:div>
        <w:div w:id="1672100373">
          <w:marLeft w:val="0"/>
          <w:marRight w:val="0"/>
          <w:marTop w:val="0"/>
          <w:marBottom w:val="0"/>
          <w:divBdr>
            <w:top w:val="none" w:sz="0" w:space="0" w:color="auto"/>
            <w:left w:val="none" w:sz="0" w:space="0" w:color="auto"/>
            <w:bottom w:val="none" w:sz="0" w:space="0" w:color="auto"/>
            <w:right w:val="none" w:sz="0" w:space="0" w:color="auto"/>
          </w:divBdr>
        </w:div>
        <w:div w:id="1147278916">
          <w:marLeft w:val="0"/>
          <w:marRight w:val="0"/>
          <w:marTop w:val="0"/>
          <w:marBottom w:val="0"/>
          <w:divBdr>
            <w:top w:val="none" w:sz="0" w:space="0" w:color="auto"/>
            <w:left w:val="none" w:sz="0" w:space="0" w:color="auto"/>
            <w:bottom w:val="none" w:sz="0" w:space="0" w:color="auto"/>
            <w:right w:val="none" w:sz="0" w:space="0" w:color="auto"/>
          </w:divBdr>
        </w:div>
        <w:div w:id="1120487573">
          <w:marLeft w:val="0"/>
          <w:marRight w:val="0"/>
          <w:marTop w:val="0"/>
          <w:marBottom w:val="0"/>
          <w:divBdr>
            <w:top w:val="none" w:sz="0" w:space="0" w:color="auto"/>
            <w:left w:val="none" w:sz="0" w:space="0" w:color="auto"/>
            <w:bottom w:val="none" w:sz="0" w:space="0" w:color="auto"/>
            <w:right w:val="none" w:sz="0" w:space="0" w:color="auto"/>
          </w:divBdr>
        </w:div>
        <w:div w:id="221990000">
          <w:marLeft w:val="0"/>
          <w:marRight w:val="0"/>
          <w:marTop w:val="0"/>
          <w:marBottom w:val="0"/>
          <w:divBdr>
            <w:top w:val="none" w:sz="0" w:space="0" w:color="auto"/>
            <w:left w:val="none" w:sz="0" w:space="0" w:color="auto"/>
            <w:bottom w:val="none" w:sz="0" w:space="0" w:color="auto"/>
            <w:right w:val="none" w:sz="0" w:space="0" w:color="auto"/>
          </w:divBdr>
        </w:div>
        <w:div w:id="2056419389">
          <w:marLeft w:val="0"/>
          <w:marRight w:val="0"/>
          <w:marTop w:val="0"/>
          <w:marBottom w:val="0"/>
          <w:divBdr>
            <w:top w:val="none" w:sz="0" w:space="0" w:color="auto"/>
            <w:left w:val="none" w:sz="0" w:space="0" w:color="auto"/>
            <w:bottom w:val="none" w:sz="0" w:space="0" w:color="auto"/>
            <w:right w:val="none" w:sz="0" w:space="0" w:color="auto"/>
          </w:divBdr>
        </w:div>
        <w:div w:id="1838499382">
          <w:marLeft w:val="0"/>
          <w:marRight w:val="0"/>
          <w:marTop w:val="0"/>
          <w:marBottom w:val="0"/>
          <w:divBdr>
            <w:top w:val="none" w:sz="0" w:space="0" w:color="auto"/>
            <w:left w:val="none" w:sz="0" w:space="0" w:color="auto"/>
            <w:bottom w:val="none" w:sz="0" w:space="0" w:color="auto"/>
            <w:right w:val="none" w:sz="0" w:space="0" w:color="auto"/>
          </w:divBdr>
        </w:div>
        <w:div w:id="578373132">
          <w:marLeft w:val="0"/>
          <w:marRight w:val="0"/>
          <w:marTop w:val="0"/>
          <w:marBottom w:val="0"/>
          <w:divBdr>
            <w:top w:val="none" w:sz="0" w:space="0" w:color="auto"/>
            <w:left w:val="none" w:sz="0" w:space="0" w:color="auto"/>
            <w:bottom w:val="none" w:sz="0" w:space="0" w:color="auto"/>
            <w:right w:val="none" w:sz="0" w:space="0" w:color="auto"/>
          </w:divBdr>
        </w:div>
        <w:div w:id="1488672866">
          <w:marLeft w:val="0"/>
          <w:marRight w:val="0"/>
          <w:marTop w:val="0"/>
          <w:marBottom w:val="0"/>
          <w:divBdr>
            <w:top w:val="none" w:sz="0" w:space="0" w:color="auto"/>
            <w:left w:val="none" w:sz="0" w:space="0" w:color="auto"/>
            <w:bottom w:val="none" w:sz="0" w:space="0" w:color="auto"/>
            <w:right w:val="none" w:sz="0" w:space="0" w:color="auto"/>
          </w:divBdr>
        </w:div>
        <w:div w:id="1384911978">
          <w:marLeft w:val="0"/>
          <w:marRight w:val="0"/>
          <w:marTop w:val="0"/>
          <w:marBottom w:val="0"/>
          <w:divBdr>
            <w:top w:val="none" w:sz="0" w:space="0" w:color="auto"/>
            <w:left w:val="none" w:sz="0" w:space="0" w:color="auto"/>
            <w:bottom w:val="none" w:sz="0" w:space="0" w:color="auto"/>
            <w:right w:val="none" w:sz="0" w:space="0" w:color="auto"/>
          </w:divBdr>
        </w:div>
        <w:div w:id="891160774">
          <w:marLeft w:val="0"/>
          <w:marRight w:val="0"/>
          <w:marTop w:val="0"/>
          <w:marBottom w:val="0"/>
          <w:divBdr>
            <w:top w:val="none" w:sz="0" w:space="0" w:color="auto"/>
            <w:left w:val="none" w:sz="0" w:space="0" w:color="auto"/>
            <w:bottom w:val="none" w:sz="0" w:space="0" w:color="auto"/>
            <w:right w:val="none" w:sz="0" w:space="0" w:color="auto"/>
          </w:divBdr>
        </w:div>
        <w:div w:id="206645679">
          <w:marLeft w:val="0"/>
          <w:marRight w:val="0"/>
          <w:marTop w:val="0"/>
          <w:marBottom w:val="0"/>
          <w:divBdr>
            <w:top w:val="none" w:sz="0" w:space="0" w:color="auto"/>
            <w:left w:val="none" w:sz="0" w:space="0" w:color="auto"/>
            <w:bottom w:val="none" w:sz="0" w:space="0" w:color="auto"/>
            <w:right w:val="none" w:sz="0" w:space="0" w:color="auto"/>
          </w:divBdr>
        </w:div>
        <w:div w:id="587812846">
          <w:marLeft w:val="0"/>
          <w:marRight w:val="0"/>
          <w:marTop w:val="0"/>
          <w:marBottom w:val="0"/>
          <w:divBdr>
            <w:top w:val="none" w:sz="0" w:space="0" w:color="auto"/>
            <w:left w:val="none" w:sz="0" w:space="0" w:color="auto"/>
            <w:bottom w:val="none" w:sz="0" w:space="0" w:color="auto"/>
            <w:right w:val="none" w:sz="0" w:space="0" w:color="auto"/>
          </w:divBdr>
        </w:div>
        <w:div w:id="2116172512">
          <w:marLeft w:val="0"/>
          <w:marRight w:val="0"/>
          <w:marTop w:val="0"/>
          <w:marBottom w:val="0"/>
          <w:divBdr>
            <w:top w:val="none" w:sz="0" w:space="0" w:color="auto"/>
            <w:left w:val="none" w:sz="0" w:space="0" w:color="auto"/>
            <w:bottom w:val="none" w:sz="0" w:space="0" w:color="auto"/>
            <w:right w:val="none" w:sz="0" w:space="0" w:color="auto"/>
          </w:divBdr>
        </w:div>
        <w:div w:id="699748417">
          <w:marLeft w:val="0"/>
          <w:marRight w:val="0"/>
          <w:marTop w:val="0"/>
          <w:marBottom w:val="0"/>
          <w:divBdr>
            <w:top w:val="none" w:sz="0" w:space="0" w:color="auto"/>
            <w:left w:val="none" w:sz="0" w:space="0" w:color="auto"/>
            <w:bottom w:val="none" w:sz="0" w:space="0" w:color="auto"/>
            <w:right w:val="none" w:sz="0" w:space="0" w:color="auto"/>
          </w:divBdr>
        </w:div>
        <w:div w:id="1828132162">
          <w:marLeft w:val="0"/>
          <w:marRight w:val="0"/>
          <w:marTop w:val="0"/>
          <w:marBottom w:val="0"/>
          <w:divBdr>
            <w:top w:val="none" w:sz="0" w:space="0" w:color="auto"/>
            <w:left w:val="none" w:sz="0" w:space="0" w:color="auto"/>
            <w:bottom w:val="none" w:sz="0" w:space="0" w:color="auto"/>
            <w:right w:val="none" w:sz="0" w:space="0" w:color="auto"/>
          </w:divBdr>
        </w:div>
        <w:div w:id="158353794">
          <w:marLeft w:val="0"/>
          <w:marRight w:val="0"/>
          <w:marTop w:val="0"/>
          <w:marBottom w:val="0"/>
          <w:divBdr>
            <w:top w:val="none" w:sz="0" w:space="0" w:color="auto"/>
            <w:left w:val="none" w:sz="0" w:space="0" w:color="auto"/>
            <w:bottom w:val="none" w:sz="0" w:space="0" w:color="auto"/>
            <w:right w:val="none" w:sz="0" w:space="0" w:color="auto"/>
          </w:divBdr>
        </w:div>
        <w:div w:id="502352623">
          <w:marLeft w:val="0"/>
          <w:marRight w:val="0"/>
          <w:marTop w:val="0"/>
          <w:marBottom w:val="0"/>
          <w:divBdr>
            <w:top w:val="none" w:sz="0" w:space="0" w:color="auto"/>
            <w:left w:val="none" w:sz="0" w:space="0" w:color="auto"/>
            <w:bottom w:val="none" w:sz="0" w:space="0" w:color="auto"/>
            <w:right w:val="none" w:sz="0" w:space="0" w:color="auto"/>
          </w:divBdr>
        </w:div>
        <w:div w:id="1508641017">
          <w:marLeft w:val="0"/>
          <w:marRight w:val="0"/>
          <w:marTop w:val="0"/>
          <w:marBottom w:val="0"/>
          <w:divBdr>
            <w:top w:val="none" w:sz="0" w:space="0" w:color="auto"/>
            <w:left w:val="none" w:sz="0" w:space="0" w:color="auto"/>
            <w:bottom w:val="none" w:sz="0" w:space="0" w:color="auto"/>
            <w:right w:val="none" w:sz="0" w:space="0" w:color="auto"/>
          </w:divBdr>
        </w:div>
        <w:div w:id="1388410666">
          <w:marLeft w:val="0"/>
          <w:marRight w:val="0"/>
          <w:marTop w:val="0"/>
          <w:marBottom w:val="0"/>
          <w:divBdr>
            <w:top w:val="none" w:sz="0" w:space="0" w:color="auto"/>
            <w:left w:val="none" w:sz="0" w:space="0" w:color="auto"/>
            <w:bottom w:val="none" w:sz="0" w:space="0" w:color="auto"/>
            <w:right w:val="none" w:sz="0" w:space="0" w:color="auto"/>
          </w:divBdr>
        </w:div>
        <w:div w:id="1054505309">
          <w:marLeft w:val="0"/>
          <w:marRight w:val="0"/>
          <w:marTop w:val="0"/>
          <w:marBottom w:val="0"/>
          <w:divBdr>
            <w:top w:val="none" w:sz="0" w:space="0" w:color="auto"/>
            <w:left w:val="none" w:sz="0" w:space="0" w:color="auto"/>
            <w:bottom w:val="none" w:sz="0" w:space="0" w:color="auto"/>
            <w:right w:val="none" w:sz="0" w:space="0" w:color="auto"/>
          </w:divBdr>
        </w:div>
        <w:div w:id="242226426">
          <w:marLeft w:val="0"/>
          <w:marRight w:val="0"/>
          <w:marTop w:val="0"/>
          <w:marBottom w:val="0"/>
          <w:divBdr>
            <w:top w:val="none" w:sz="0" w:space="0" w:color="auto"/>
            <w:left w:val="none" w:sz="0" w:space="0" w:color="auto"/>
            <w:bottom w:val="none" w:sz="0" w:space="0" w:color="auto"/>
            <w:right w:val="none" w:sz="0" w:space="0" w:color="auto"/>
          </w:divBdr>
        </w:div>
        <w:div w:id="953173780">
          <w:marLeft w:val="0"/>
          <w:marRight w:val="0"/>
          <w:marTop w:val="0"/>
          <w:marBottom w:val="0"/>
          <w:divBdr>
            <w:top w:val="none" w:sz="0" w:space="0" w:color="auto"/>
            <w:left w:val="none" w:sz="0" w:space="0" w:color="auto"/>
            <w:bottom w:val="none" w:sz="0" w:space="0" w:color="auto"/>
            <w:right w:val="none" w:sz="0" w:space="0" w:color="auto"/>
          </w:divBdr>
        </w:div>
        <w:div w:id="1440101158">
          <w:marLeft w:val="0"/>
          <w:marRight w:val="0"/>
          <w:marTop w:val="0"/>
          <w:marBottom w:val="0"/>
          <w:divBdr>
            <w:top w:val="none" w:sz="0" w:space="0" w:color="auto"/>
            <w:left w:val="none" w:sz="0" w:space="0" w:color="auto"/>
            <w:bottom w:val="none" w:sz="0" w:space="0" w:color="auto"/>
            <w:right w:val="none" w:sz="0" w:space="0" w:color="auto"/>
          </w:divBdr>
        </w:div>
        <w:div w:id="1359622098">
          <w:marLeft w:val="0"/>
          <w:marRight w:val="0"/>
          <w:marTop w:val="0"/>
          <w:marBottom w:val="0"/>
          <w:divBdr>
            <w:top w:val="none" w:sz="0" w:space="0" w:color="auto"/>
            <w:left w:val="none" w:sz="0" w:space="0" w:color="auto"/>
            <w:bottom w:val="none" w:sz="0" w:space="0" w:color="auto"/>
            <w:right w:val="none" w:sz="0" w:space="0" w:color="auto"/>
          </w:divBdr>
        </w:div>
        <w:div w:id="562568946">
          <w:marLeft w:val="0"/>
          <w:marRight w:val="0"/>
          <w:marTop w:val="0"/>
          <w:marBottom w:val="0"/>
          <w:divBdr>
            <w:top w:val="none" w:sz="0" w:space="0" w:color="auto"/>
            <w:left w:val="none" w:sz="0" w:space="0" w:color="auto"/>
            <w:bottom w:val="none" w:sz="0" w:space="0" w:color="auto"/>
            <w:right w:val="none" w:sz="0" w:space="0" w:color="auto"/>
          </w:divBdr>
        </w:div>
      </w:divsChild>
    </w:div>
    <w:div w:id="1163936264">
      <w:bodyDiv w:val="1"/>
      <w:marLeft w:val="0"/>
      <w:marRight w:val="0"/>
      <w:marTop w:val="0"/>
      <w:marBottom w:val="0"/>
      <w:divBdr>
        <w:top w:val="none" w:sz="0" w:space="0" w:color="auto"/>
        <w:left w:val="none" w:sz="0" w:space="0" w:color="auto"/>
        <w:bottom w:val="none" w:sz="0" w:space="0" w:color="auto"/>
        <w:right w:val="none" w:sz="0" w:space="0" w:color="auto"/>
      </w:divBdr>
    </w:div>
    <w:div w:id="1178034550">
      <w:bodyDiv w:val="1"/>
      <w:marLeft w:val="0"/>
      <w:marRight w:val="0"/>
      <w:marTop w:val="0"/>
      <w:marBottom w:val="0"/>
      <w:divBdr>
        <w:top w:val="none" w:sz="0" w:space="0" w:color="auto"/>
        <w:left w:val="none" w:sz="0" w:space="0" w:color="auto"/>
        <w:bottom w:val="none" w:sz="0" w:space="0" w:color="auto"/>
        <w:right w:val="none" w:sz="0" w:space="0" w:color="auto"/>
      </w:divBdr>
      <w:divsChild>
        <w:div w:id="183439993">
          <w:marLeft w:val="0"/>
          <w:marRight w:val="0"/>
          <w:marTop w:val="0"/>
          <w:marBottom w:val="0"/>
          <w:divBdr>
            <w:top w:val="none" w:sz="0" w:space="0" w:color="auto"/>
            <w:left w:val="none" w:sz="0" w:space="0" w:color="auto"/>
            <w:bottom w:val="none" w:sz="0" w:space="0" w:color="auto"/>
            <w:right w:val="none" w:sz="0" w:space="0" w:color="auto"/>
          </w:divBdr>
        </w:div>
        <w:div w:id="964432916">
          <w:marLeft w:val="0"/>
          <w:marRight w:val="0"/>
          <w:marTop w:val="0"/>
          <w:marBottom w:val="0"/>
          <w:divBdr>
            <w:top w:val="none" w:sz="0" w:space="0" w:color="auto"/>
            <w:left w:val="none" w:sz="0" w:space="0" w:color="auto"/>
            <w:bottom w:val="none" w:sz="0" w:space="0" w:color="auto"/>
            <w:right w:val="none" w:sz="0" w:space="0" w:color="auto"/>
          </w:divBdr>
        </w:div>
        <w:div w:id="1595166343">
          <w:marLeft w:val="0"/>
          <w:marRight w:val="0"/>
          <w:marTop w:val="0"/>
          <w:marBottom w:val="0"/>
          <w:divBdr>
            <w:top w:val="none" w:sz="0" w:space="0" w:color="auto"/>
            <w:left w:val="none" w:sz="0" w:space="0" w:color="auto"/>
            <w:bottom w:val="none" w:sz="0" w:space="0" w:color="auto"/>
            <w:right w:val="none" w:sz="0" w:space="0" w:color="auto"/>
          </w:divBdr>
        </w:div>
        <w:div w:id="549732838">
          <w:marLeft w:val="0"/>
          <w:marRight w:val="0"/>
          <w:marTop w:val="0"/>
          <w:marBottom w:val="0"/>
          <w:divBdr>
            <w:top w:val="none" w:sz="0" w:space="0" w:color="auto"/>
            <w:left w:val="none" w:sz="0" w:space="0" w:color="auto"/>
            <w:bottom w:val="none" w:sz="0" w:space="0" w:color="auto"/>
            <w:right w:val="none" w:sz="0" w:space="0" w:color="auto"/>
          </w:divBdr>
        </w:div>
        <w:div w:id="696153457">
          <w:marLeft w:val="0"/>
          <w:marRight w:val="0"/>
          <w:marTop w:val="0"/>
          <w:marBottom w:val="0"/>
          <w:divBdr>
            <w:top w:val="none" w:sz="0" w:space="0" w:color="auto"/>
            <w:left w:val="none" w:sz="0" w:space="0" w:color="auto"/>
            <w:bottom w:val="none" w:sz="0" w:space="0" w:color="auto"/>
            <w:right w:val="none" w:sz="0" w:space="0" w:color="auto"/>
          </w:divBdr>
        </w:div>
        <w:div w:id="371539481">
          <w:marLeft w:val="0"/>
          <w:marRight w:val="0"/>
          <w:marTop w:val="0"/>
          <w:marBottom w:val="0"/>
          <w:divBdr>
            <w:top w:val="none" w:sz="0" w:space="0" w:color="auto"/>
            <w:left w:val="none" w:sz="0" w:space="0" w:color="auto"/>
            <w:bottom w:val="none" w:sz="0" w:space="0" w:color="auto"/>
            <w:right w:val="none" w:sz="0" w:space="0" w:color="auto"/>
          </w:divBdr>
        </w:div>
        <w:div w:id="1739981010">
          <w:marLeft w:val="0"/>
          <w:marRight w:val="0"/>
          <w:marTop w:val="0"/>
          <w:marBottom w:val="0"/>
          <w:divBdr>
            <w:top w:val="none" w:sz="0" w:space="0" w:color="auto"/>
            <w:left w:val="none" w:sz="0" w:space="0" w:color="auto"/>
            <w:bottom w:val="none" w:sz="0" w:space="0" w:color="auto"/>
            <w:right w:val="none" w:sz="0" w:space="0" w:color="auto"/>
          </w:divBdr>
        </w:div>
        <w:div w:id="2110274480">
          <w:marLeft w:val="0"/>
          <w:marRight w:val="0"/>
          <w:marTop w:val="0"/>
          <w:marBottom w:val="0"/>
          <w:divBdr>
            <w:top w:val="none" w:sz="0" w:space="0" w:color="auto"/>
            <w:left w:val="none" w:sz="0" w:space="0" w:color="auto"/>
            <w:bottom w:val="none" w:sz="0" w:space="0" w:color="auto"/>
            <w:right w:val="none" w:sz="0" w:space="0" w:color="auto"/>
          </w:divBdr>
        </w:div>
        <w:div w:id="1728258604">
          <w:marLeft w:val="0"/>
          <w:marRight w:val="0"/>
          <w:marTop w:val="0"/>
          <w:marBottom w:val="0"/>
          <w:divBdr>
            <w:top w:val="none" w:sz="0" w:space="0" w:color="auto"/>
            <w:left w:val="none" w:sz="0" w:space="0" w:color="auto"/>
            <w:bottom w:val="none" w:sz="0" w:space="0" w:color="auto"/>
            <w:right w:val="none" w:sz="0" w:space="0" w:color="auto"/>
          </w:divBdr>
        </w:div>
        <w:div w:id="41907322">
          <w:marLeft w:val="0"/>
          <w:marRight w:val="0"/>
          <w:marTop w:val="0"/>
          <w:marBottom w:val="0"/>
          <w:divBdr>
            <w:top w:val="none" w:sz="0" w:space="0" w:color="auto"/>
            <w:left w:val="none" w:sz="0" w:space="0" w:color="auto"/>
            <w:bottom w:val="none" w:sz="0" w:space="0" w:color="auto"/>
            <w:right w:val="none" w:sz="0" w:space="0" w:color="auto"/>
          </w:divBdr>
        </w:div>
        <w:div w:id="638730470">
          <w:marLeft w:val="0"/>
          <w:marRight w:val="0"/>
          <w:marTop w:val="0"/>
          <w:marBottom w:val="0"/>
          <w:divBdr>
            <w:top w:val="none" w:sz="0" w:space="0" w:color="auto"/>
            <w:left w:val="none" w:sz="0" w:space="0" w:color="auto"/>
            <w:bottom w:val="none" w:sz="0" w:space="0" w:color="auto"/>
            <w:right w:val="none" w:sz="0" w:space="0" w:color="auto"/>
          </w:divBdr>
        </w:div>
      </w:divsChild>
    </w:div>
    <w:div w:id="1207450567">
      <w:bodyDiv w:val="1"/>
      <w:marLeft w:val="0"/>
      <w:marRight w:val="0"/>
      <w:marTop w:val="0"/>
      <w:marBottom w:val="0"/>
      <w:divBdr>
        <w:top w:val="none" w:sz="0" w:space="0" w:color="auto"/>
        <w:left w:val="none" w:sz="0" w:space="0" w:color="auto"/>
        <w:bottom w:val="none" w:sz="0" w:space="0" w:color="auto"/>
        <w:right w:val="none" w:sz="0" w:space="0" w:color="auto"/>
      </w:divBdr>
    </w:div>
    <w:div w:id="1218661712">
      <w:bodyDiv w:val="1"/>
      <w:marLeft w:val="0"/>
      <w:marRight w:val="0"/>
      <w:marTop w:val="0"/>
      <w:marBottom w:val="0"/>
      <w:divBdr>
        <w:top w:val="none" w:sz="0" w:space="0" w:color="auto"/>
        <w:left w:val="none" w:sz="0" w:space="0" w:color="auto"/>
        <w:bottom w:val="none" w:sz="0" w:space="0" w:color="auto"/>
        <w:right w:val="none" w:sz="0" w:space="0" w:color="auto"/>
      </w:divBdr>
      <w:divsChild>
        <w:div w:id="405961195">
          <w:marLeft w:val="0"/>
          <w:marRight w:val="0"/>
          <w:marTop w:val="0"/>
          <w:marBottom w:val="0"/>
          <w:divBdr>
            <w:top w:val="none" w:sz="0" w:space="0" w:color="auto"/>
            <w:left w:val="none" w:sz="0" w:space="0" w:color="auto"/>
            <w:bottom w:val="none" w:sz="0" w:space="0" w:color="auto"/>
            <w:right w:val="none" w:sz="0" w:space="0" w:color="auto"/>
          </w:divBdr>
        </w:div>
        <w:div w:id="1397896529">
          <w:marLeft w:val="0"/>
          <w:marRight w:val="0"/>
          <w:marTop w:val="0"/>
          <w:marBottom w:val="0"/>
          <w:divBdr>
            <w:top w:val="none" w:sz="0" w:space="0" w:color="auto"/>
            <w:left w:val="none" w:sz="0" w:space="0" w:color="auto"/>
            <w:bottom w:val="none" w:sz="0" w:space="0" w:color="auto"/>
            <w:right w:val="none" w:sz="0" w:space="0" w:color="auto"/>
          </w:divBdr>
        </w:div>
        <w:div w:id="226308252">
          <w:marLeft w:val="0"/>
          <w:marRight w:val="0"/>
          <w:marTop w:val="0"/>
          <w:marBottom w:val="0"/>
          <w:divBdr>
            <w:top w:val="none" w:sz="0" w:space="0" w:color="auto"/>
            <w:left w:val="none" w:sz="0" w:space="0" w:color="auto"/>
            <w:bottom w:val="none" w:sz="0" w:space="0" w:color="auto"/>
            <w:right w:val="none" w:sz="0" w:space="0" w:color="auto"/>
          </w:divBdr>
        </w:div>
        <w:div w:id="1872448146">
          <w:marLeft w:val="0"/>
          <w:marRight w:val="0"/>
          <w:marTop w:val="0"/>
          <w:marBottom w:val="0"/>
          <w:divBdr>
            <w:top w:val="none" w:sz="0" w:space="0" w:color="auto"/>
            <w:left w:val="none" w:sz="0" w:space="0" w:color="auto"/>
            <w:bottom w:val="none" w:sz="0" w:space="0" w:color="auto"/>
            <w:right w:val="none" w:sz="0" w:space="0" w:color="auto"/>
          </w:divBdr>
        </w:div>
        <w:div w:id="1777561562">
          <w:marLeft w:val="0"/>
          <w:marRight w:val="0"/>
          <w:marTop w:val="0"/>
          <w:marBottom w:val="0"/>
          <w:divBdr>
            <w:top w:val="none" w:sz="0" w:space="0" w:color="auto"/>
            <w:left w:val="none" w:sz="0" w:space="0" w:color="auto"/>
            <w:bottom w:val="none" w:sz="0" w:space="0" w:color="auto"/>
            <w:right w:val="none" w:sz="0" w:space="0" w:color="auto"/>
          </w:divBdr>
        </w:div>
        <w:div w:id="978997115">
          <w:marLeft w:val="0"/>
          <w:marRight w:val="0"/>
          <w:marTop w:val="0"/>
          <w:marBottom w:val="0"/>
          <w:divBdr>
            <w:top w:val="none" w:sz="0" w:space="0" w:color="auto"/>
            <w:left w:val="none" w:sz="0" w:space="0" w:color="auto"/>
            <w:bottom w:val="none" w:sz="0" w:space="0" w:color="auto"/>
            <w:right w:val="none" w:sz="0" w:space="0" w:color="auto"/>
          </w:divBdr>
        </w:div>
        <w:div w:id="1247492218">
          <w:marLeft w:val="0"/>
          <w:marRight w:val="0"/>
          <w:marTop w:val="0"/>
          <w:marBottom w:val="0"/>
          <w:divBdr>
            <w:top w:val="none" w:sz="0" w:space="0" w:color="auto"/>
            <w:left w:val="none" w:sz="0" w:space="0" w:color="auto"/>
            <w:bottom w:val="none" w:sz="0" w:space="0" w:color="auto"/>
            <w:right w:val="none" w:sz="0" w:space="0" w:color="auto"/>
          </w:divBdr>
        </w:div>
      </w:divsChild>
    </w:div>
    <w:div w:id="1227187685">
      <w:bodyDiv w:val="1"/>
      <w:marLeft w:val="0"/>
      <w:marRight w:val="0"/>
      <w:marTop w:val="0"/>
      <w:marBottom w:val="0"/>
      <w:divBdr>
        <w:top w:val="none" w:sz="0" w:space="0" w:color="auto"/>
        <w:left w:val="none" w:sz="0" w:space="0" w:color="auto"/>
        <w:bottom w:val="none" w:sz="0" w:space="0" w:color="auto"/>
        <w:right w:val="none" w:sz="0" w:space="0" w:color="auto"/>
      </w:divBdr>
      <w:divsChild>
        <w:div w:id="1190409987">
          <w:marLeft w:val="0"/>
          <w:marRight w:val="0"/>
          <w:marTop w:val="0"/>
          <w:marBottom w:val="0"/>
          <w:divBdr>
            <w:top w:val="none" w:sz="0" w:space="0" w:color="auto"/>
            <w:left w:val="none" w:sz="0" w:space="0" w:color="auto"/>
            <w:bottom w:val="none" w:sz="0" w:space="0" w:color="auto"/>
            <w:right w:val="none" w:sz="0" w:space="0" w:color="auto"/>
          </w:divBdr>
        </w:div>
        <w:div w:id="79375512">
          <w:marLeft w:val="0"/>
          <w:marRight w:val="0"/>
          <w:marTop w:val="0"/>
          <w:marBottom w:val="0"/>
          <w:divBdr>
            <w:top w:val="none" w:sz="0" w:space="0" w:color="auto"/>
            <w:left w:val="none" w:sz="0" w:space="0" w:color="auto"/>
            <w:bottom w:val="none" w:sz="0" w:space="0" w:color="auto"/>
            <w:right w:val="none" w:sz="0" w:space="0" w:color="auto"/>
          </w:divBdr>
        </w:div>
      </w:divsChild>
    </w:div>
    <w:div w:id="1235047978">
      <w:bodyDiv w:val="1"/>
      <w:marLeft w:val="0"/>
      <w:marRight w:val="0"/>
      <w:marTop w:val="0"/>
      <w:marBottom w:val="0"/>
      <w:divBdr>
        <w:top w:val="none" w:sz="0" w:space="0" w:color="auto"/>
        <w:left w:val="none" w:sz="0" w:space="0" w:color="auto"/>
        <w:bottom w:val="none" w:sz="0" w:space="0" w:color="auto"/>
        <w:right w:val="none" w:sz="0" w:space="0" w:color="auto"/>
      </w:divBdr>
      <w:divsChild>
        <w:div w:id="944191147">
          <w:marLeft w:val="0"/>
          <w:marRight w:val="0"/>
          <w:marTop w:val="0"/>
          <w:marBottom w:val="0"/>
          <w:divBdr>
            <w:top w:val="none" w:sz="0" w:space="0" w:color="auto"/>
            <w:left w:val="none" w:sz="0" w:space="0" w:color="auto"/>
            <w:bottom w:val="none" w:sz="0" w:space="0" w:color="auto"/>
            <w:right w:val="none" w:sz="0" w:space="0" w:color="auto"/>
          </w:divBdr>
        </w:div>
        <w:div w:id="1629121387">
          <w:marLeft w:val="0"/>
          <w:marRight w:val="0"/>
          <w:marTop w:val="0"/>
          <w:marBottom w:val="0"/>
          <w:divBdr>
            <w:top w:val="none" w:sz="0" w:space="0" w:color="auto"/>
            <w:left w:val="none" w:sz="0" w:space="0" w:color="auto"/>
            <w:bottom w:val="none" w:sz="0" w:space="0" w:color="auto"/>
            <w:right w:val="none" w:sz="0" w:space="0" w:color="auto"/>
          </w:divBdr>
        </w:div>
        <w:div w:id="387724010">
          <w:marLeft w:val="0"/>
          <w:marRight w:val="0"/>
          <w:marTop w:val="0"/>
          <w:marBottom w:val="0"/>
          <w:divBdr>
            <w:top w:val="none" w:sz="0" w:space="0" w:color="auto"/>
            <w:left w:val="none" w:sz="0" w:space="0" w:color="auto"/>
            <w:bottom w:val="none" w:sz="0" w:space="0" w:color="auto"/>
            <w:right w:val="none" w:sz="0" w:space="0" w:color="auto"/>
          </w:divBdr>
        </w:div>
        <w:div w:id="1243221185">
          <w:marLeft w:val="0"/>
          <w:marRight w:val="0"/>
          <w:marTop w:val="0"/>
          <w:marBottom w:val="0"/>
          <w:divBdr>
            <w:top w:val="none" w:sz="0" w:space="0" w:color="auto"/>
            <w:left w:val="none" w:sz="0" w:space="0" w:color="auto"/>
            <w:bottom w:val="none" w:sz="0" w:space="0" w:color="auto"/>
            <w:right w:val="none" w:sz="0" w:space="0" w:color="auto"/>
          </w:divBdr>
        </w:div>
        <w:div w:id="1411583136">
          <w:marLeft w:val="0"/>
          <w:marRight w:val="0"/>
          <w:marTop w:val="0"/>
          <w:marBottom w:val="0"/>
          <w:divBdr>
            <w:top w:val="none" w:sz="0" w:space="0" w:color="auto"/>
            <w:left w:val="none" w:sz="0" w:space="0" w:color="auto"/>
            <w:bottom w:val="none" w:sz="0" w:space="0" w:color="auto"/>
            <w:right w:val="none" w:sz="0" w:space="0" w:color="auto"/>
          </w:divBdr>
        </w:div>
        <w:div w:id="1759446414">
          <w:marLeft w:val="0"/>
          <w:marRight w:val="0"/>
          <w:marTop w:val="0"/>
          <w:marBottom w:val="0"/>
          <w:divBdr>
            <w:top w:val="none" w:sz="0" w:space="0" w:color="auto"/>
            <w:left w:val="none" w:sz="0" w:space="0" w:color="auto"/>
            <w:bottom w:val="none" w:sz="0" w:space="0" w:color="auto"/>
            <w:right w:val="none" w:sz="0" w:space="0" w:color="auto"/>
          </w:divBdr>
        </w:div>
        <w:div w:id="677927561">
          <w:marLeft w:val="0"/>
          <w:marRight w:val="0"/>
          <w:marTop w:val="0"/>
          <w:marBottom w:val="0"/>
          <w:divBdr>
            <w:top w:val="none" w:sz="0" w:space="0" w:color="auto"/>
            <w:left w:val="none" w:sz="0" w:space="0" w:color="auto"/>
            <w:bottom w:val="none" w:sz="0" w:space="0" w:color="auto"/>
            <w:right w:val="none" w:sz="0" w:space="0" w:color="auto"/>
          </w:divBdr>
        </w:div>
        <w:div w:id="1556893074">
          <w:marLeft w:val="0"/>
          <w:marRight w:val="0"/>
          <w:marTop w:val="0"/>
          <w:marBottom w:val="0"/>
          <w:divBdr>
            <w:top w:val="none" w:sz="0" w:space="0" w:color="auto"/>
            <w:left w:val="none" w:sz="0" w:space="0" w:color="auto"/>
            <w:bottom w:val="none" w:sz="0" w:space="0" w:color="auto"/>
            <w:right w:val="none" w:sz="0" w:space="0" w:color="auto"/>
          </w:divBdr>
        </w:div>
        <w:div w:id="72708661">
          <w:marLeft w:val="0"/>
          <w:marRight w:val="0"/>
          <w:marTop w:val="0"/>
          <w:marBottom w:val="0"/>
          <w:divBdr>
            <w:top w:val="none" w:sz="0" w:space="0" w:color="auto"/>
            <w:left w:val="none" w:sz="0" w:space="0" w:color="auto"/>
            <w:bottom w:val="none" w:sz="0" w:space="0" w:color="auto"/>
            <w:right w:val="none" w:sz="0" w:space="0" w:color="auto"/>
          </w:divBdr>
        </w:div>
        <w:div w:id="115369840">
          <w:marLeft w:val="0"/>
          <w:marRight w:val="0"/>
          <w:marTop w:val="0"/>
          <w:marBottom w:val="0"/>
          <w:divBdr>
            <w:top w:val="none" w:sz="0" w:space="0" w:color="auto"/>
            <w:left w:val="none" w:sz="0" w:space="0" w:color="auto"/>
            <w:bottom w:val="none" w:sz="0" w:space="0" w:color="auto"/>
            <w:right w:val="none" w:sz="0" w:space="0" w:color="auto"/>
          </w:divBdr>
        </w:div>
        <w:div w:id="1630434821">
          <w:marLeft w:val="0"/>
          <w:marRight w:val="0"/>
          <w:marTop w:val="0"/>
          <w:marBottom w:val="0"/>
          <w:divBdr>
            <w:top w:val="none" w:sz="0" w:space="0" w:color="auto"/>
            <w:left w:val="none" w:sz="0" w:space="0" w:color="auto"/>
            <w:bottom w:val="none" w:sz="0" w:space="0" w:color="auto"/>
            <w:right w:val="none" w:sz="0" w:space="0" w:color="auto"/>
          </w:divBdr>
        </w:div>
        <w:div w:id="1107121236">
          <w:marLeft w:val="0"/>
          <w:marRight w:val="0"/>
          <w:marTop w:val="0"/>
          <w:marBottom w:val="0"/>
          <w:divBdr>
            <w:top w:val="none" w:sz="0" w:space="0" w:color="auto"/>
            <w:left w:val="none" w:sz="0" w:space="0" w:color="auto"/>
            <w:bottom w:val="none" w:sz="0" w:space="0" w:color="auto"/>
            <w:right w:val="none" w:sz="0" w:space="0" w:color="auto"/>
          </w:divBdr>
        </w:div>
      </w:divsChild>
    </w:div>
    <w:div w:id="1247421465">
      <w:bodyDiv w:val="1"/>
      <w:marLeft w:val="0"/>
      <w:marRight w:val="0"/>
      <w:marTop w:val="0"/>
      <w:marBottom w:val="0"/>
      <w:divBdr>
        <w:top w:val="none" w:sz="0" w:space="0" w:color="auto"/>
        <w:left w:val="none" w:sz="0" w:space="0" w:color="auto"/>
        <w:bottom w:val="none" w:sz="0" w:space="0" w:color="auto"/>
        <w:right w:val="none" w:sz="0" w:space="0" w:color="auto"/>
      </w:divBdr>
      <w:divsChild>
        <w:div w:id="1258294560">
          <w:marLeft w:val="0"/>
          <w:marRight w:val="0"/>
          <w:marTop w:val="0"/>
          <w:marBottom w:val="0"/>
          <w:divBdr>
            <w:top w:val="none" w:sz="0" w:space="0" w:color="auto"/>
            <w:left w:val="none" w:sz="0" w:space="0" w:color="auto"/>
            <w:bottom w:val="none" w:sz="0" w:space="0" w:color="auto"/>
            <w:right w:val="none" w:sz="0" w:space="0" w:color="auto"/>
          </w:divBdr>
        </w:div>
        <w:div w:id="410083678">
          <w:marLeft w:val="0"/>
          <w:marRight w:val="0"/>
          <w:marTop w:val="0"/>
          <w:marBottom w:val="0"/>
          <w:divBdr>
            <w:top w:val="none" w:sz="0" w:space="0" w:color="auto"/>
            <w:left w:val="none" w:sz="0" w:space="0" w:color="auto"/>
            <w:bottom w:val="none" w:sz="0" w:space="0" w:color="auto"/>
            <w:right w:val="none" w:sz="0" w:space="0" w:color="auto"/>
          </w:divBdr>
        </w:div>
        <w:div w:id="1848446370">
          <w:marLeft w:val="0"/>
          <w:marRight w:val="0"/>
          <w:marTop w:val="0"/>
          <w:marBottom w:val="0"/>
          <w:divBdr>
            <w:top w:val="none" w:sz="0" w:space="0" w:color="auto"/>
            <w:left w:val="none" w:sz="0" w:space="0" w:color="auto"/>
            <w:bottom w:val="none" w:sz="0" w:space="0" w:color="auto"/>
            <w:right w:val="none" w:sz="0" w:space="0" w:color="auto"/>
          </w:divBdr>
        </w:div>
        <w:div w:id="2063938728">
          <w:marLeft w:val="0"/>
          <w:marRight w:val="0"/>
          <w:marTop w:val="0"/>
          <w:marBottom w:val="0"/>
          <w:divBdr>
            <w:top w:val="none" w:sz="0" w:space="0" w:color="auto"/>
            <w:left w:val="none" w:sz="0" w:space="0" w:color="auto"/>
            <w:bottom w:val="none" w:sz="0" w:space="0" w:color="auto"/>
            <w:right w:val="none" w:sz="0" w:space="0" w:color="auto"/>
          </w:divBdr>
        </w:div>
        <w:div w:id="586112202">
          <w:marLeft w:val="0"/>
          <w:marRight w:val="0"/>
          <w:marTop w:val="0"/>
          <w:marBottom w:val="0"/>
          <w:divBdr>
            <w:top w:val="none" w:sz="0" w:space="0" w:color="auto"/>
            <w:left w:val="none" w:sz="0" w:space="0" w:color="auto"/>
            <w:bottom w:val="none" w:sz="0" w:space="0" w:color="auto"/>
            <w:right w:val="none" w:sz="0" w:space="0" w:color="auto"/>
          </w:divBdr>
        </w:div>
        <w:div w:id="1194148491">
          <w:marLeft w:val="0"/>
          <w:marRight w:val="0"/>
          <w:marTop w:val="0"/>
          <w:marBottom w:val="0"/>
          <w:divBdr>
            <w:top w:val="none" w:sz="0" w:space="0" w:color="auto"/>
            <w:left w:val="none" w:sz="0" w:space="0" w:color="auto"/>
            <w:bottom w:val="none" w:sz="0" w:space="0" w:color="auto"/>
            <w:right w:val="none" w:sz="0" w:space="0" w:color="auto"/>
          </w:divBdr>
        </w:div>
        <w:div w:id="1897082063">
          <w:marLeft w:val="0"/>
          <w:marRight w:val="0"/>
          <w:marTop w:val="0"/>
          <w:marBottom w:val="0"/>
          <w:divBdr>
            <w:top w:val="none" w:sz="0" w:space="0" w:color="auto"/>
            <w:left w:val="none" w:sz="0" w:space="0" w:color="auto"/>
            <w:bottom w:val="none" w:sz="0" w:space="0" w:color="auto"/>
            <w:right w:val="none" w:sz="0" w:space="0" w:color="auto"/>
          </w:divBdr>
        </w:div>
        <w:div w:id="568421379">
          <w:marLeft w:val="0"/>
          <w:marRight w:val="0"/>
          <w:marTop w:val="0"/>
          <w:marBottom w:val="0"/>
          <w:divBdr>
            <w:top w:val="none" w:sz="0" w:space="0" w:color="auto"/>
            <w:left w:val="none" w:sz="0" w:space="0" w:color="auto"/>
            <w:bottom w:val="none" w:sz="0" w:space="0" w:color="auto"/>
            <w:right w:val="none" w:sz="0" w:space="0" w:color="auto"/>
          </w:divBdr>
        </w:div>
        <w:div w:id="1362130697">
          <w:marLeft w:val="0"/>
          <w:marRight w:val="0"/>
          <w:marTop w:val="0"/>
          <w:marBottom w:val="0"/>
          <w:divBdr>
            <w:top w:val="none" w:sz="0" w:space="0" w:color="auto"/>
            <w:left w:val="none" w:sz="0" w:space="0" w:color="auto"/>
            <w:bottom w:val="none" w:sz="0" w:space="0" w:color="auto"/>
            <w:right w:val="none" w:sz="0" w:space="0" w:color="auto"/>
          </w:divBdr>
        </w:div>
        <w:div w:id="1372076903">
          <w:marLeft w:val="0"/>
          <w:marRight w:val="0"/>
          <w:marTop w:val="0"/>
          <w:marBottom w:val="0"/>
          <w:divBdr>
            <w:top w:val="none" w:sz="0" w:space="0" w:color="auto"/>
            <w:left w:val="none" w:sz="0" w:space="0" w:color="auto"/>
            <w:bottom w:val="none" w:sz="0" w:space="0" w:color="auto"/>
            <w:right w:val="none" w:sz="0" w:space="0" w:color="auto"/>
          </w:divBdr>
        </w:div>
        <w:div w:id="2112777250">
          <w:marLeft w:val="0"/>
          <w:marRight w:val="0"/>
          <w:marTop w:val="0"/>
          <w:marBottom w:val="0"/>
          <w:divBdr>
            <w:top w:val="none" w:sz="0" w:space="0" w:color="auto"/>
            <w:left w:val="none" w:sz="0" w:space="0" w:color="auto"/>
            <w:bottom w:val="none" w:sz="0" w:space="0" w:color="auto"/>
            <w:right w:val="none" w:sz="0" w:space="0" w:color="auto"/>
          </w:divBdr>
        </w:div>
        <w:div w:id="2112772605">
          <w:marLeft w:val="0"/>
          <w:marRight w:val="0"/>
          <w:marTop w:val="0"/>
          <w:marBottom w:val="0"/>
          <w:divBdr>
            <w:top w:val="none" w:sz="0" w:space="0" w:color="auto"/>
            <w:left w:val="none" w:sz="0" w:space="0" w:color="auto"/>
            <w:bottom w:val="none" w:sz="0" w:space="0" w:color="auto"/>
            <w:right w:val="none" w:sz="0" w:space="0" w:color="auto"/>
          </w:divBdr>
        </w:div>
        <w:div w:id="1464541085">
          <w:marLeft w:val="0"/>
          <w:marRight w:val="0"/>
          <w:marTop w:val="0"/>
          <w:marBottom w:val="0"/>
          <w:divBdr>
            <w:top w:val="none" w:sz="0" w:space="0" w:color="auto"/>
            <w:left w:val="none" w:sz="0" w:space="0" w:color="auto"/>
            <w:bottom w:val="none" w:sz="0" w:space="0" w:color="auto"/>
            <w:right w:val="none" w:sz="0" w:space="0" w:color="auto"/>
          </w:divBdr>
        </w:div>
        <w:div w:id="1518158805">
          <w:marLeft w:val="0"/>
          <w:marRight w:val="0"/>
          <w:marTop w:val="0"/>
          <w:marBottom w:val="0"/>
          <w:divBdr>
            <w:top w:val="none" w:sz="0" w:space="0" w:color="auto"/>
            <w:left w:val="none" w:sz="0" w:space="0" w:color="auto"/>
            <w:bottom w:val="none" w:sz="0" w:space="0" w:color="auto"/>
            <w:right w:val="none" w:sz="0" w:space="0" w:color="auto"/>
          </w:divBdr>
        </w:div>
        <w:div w:id="1288783277">
          <w:marLeft w:val="0"/>
          <w:marRight w:val="0"/>
          <w:marTop w:val="0"/>
          <w:marBottom w:val="0"/>
          <w:divBdr>
            <w:top w:val="none" w:sz="0" w:space="0" w:color="auto"/>
            <w:left w:val="none" w:sz="0" w:space="0" w:color="auto"/>
            <w:bottom w:val="none" w:sz="0" w:space="0" w:color="auto"/>
            <w:right w:val="none" w:sz="0" w:space="0" w:color="auto"/>
          </w:divBdr>
        </w:div>
        <w:div w:id="604315308">
          <w:marLeft w:val="0"/>
          <w:marRight w:val="0"/>
          <w:marTop w:val="0"/>
          <w:marBottom w:val="0"/>
          <w:divBdr>
            <w:top w:val="none" w:sz="0" w:space="0" w:color="auto"/>
            <w:left w:val="none" w:sz="0" w:space="0" w:color="auto"/>
            <w:bottom w:val="none" w:sz="0" w:space="0" w:color="auto"/>
            <w:right w:val="none" w:sz="0" w:space="0" w:color="auto"/>
          </w:divBdr>
        </w:div>
        <w:div w:id="1234507592">
          <w:marLeft w:val="0"/>
          <w:marRight w:val="0"/>
          <w:marTop w:val="0"/>
          <w:marBottom w:val="0"/>
          <w:divBdr>
            <w:top w:val="none" w:sz="0" w:space="0" w:color="auto"/>
            <w:left w:val="none" w:sz="0" w:space="0" w:color="auto"/>
            <w:bottom w:val="none" w:sz="0" w:space="0" w:color="auto"/>
            <w:right w:val="none" w:sz="0" w:space="0" w:color="auto"/>
          </w:divBdr>
        </w:div>
        <w:div w:id="988438991">
          <w:marLeft w:val="0"/>
          <w:marRight w:val="0"/>
          <w:marTop w:val="0"/>
          <w:marBottom w:val="0"/>
          <w:divBdr>
            <w:top w:val="none" w:sz="0" w:space="0" w:color="auto"/>
            <w:left w:val="none" w:sz="0" w:space="0" w:color="auto"/>
            <w:bottom w:val="none" w:sz="0" w:space="0" w:color="auto"/>
            <w:right w:val="none" w:sz="0" w:space="0" w:color="auto"/>
          </w:divBdr>
        </w:div>
        <w:div w:id="2032953392">
          <w:marLeft w:val="0"/>
          <w:marRight w:val="0"/>
          <w:marTop w:val="0"/>
          <w:marBottom w:val="0"/>
          <w:divBdr>
            <w:top w:val="none" w:sz="0" w:space="0" w:color="auto"/>
            <w:left w:val="none" w:sz="0" w:space="0" w:color="auto"/>
            <w:bottom w:val="none" w:sz="0" w:space="0" w:color="auto"/>
            <w:right w:val="none" w:sz="0" w:space="0" w:color="auto"/>
          </w:divBdr>
        </w:div>
        <w:div w:id="383680173">
          <w:marLeft w:val="0"/>
          <w:marRight w:val="0"/>
          <w:marTop w:val="0"/>
          <w:marBottom w:val="0"/>
          <w:divBdr>
            <w:top w:val="none" w:sz="0" w:space="0" w:color="auto"/>
            <w:left w:val="none" w:sz="0" w:space="0" w:color="auto"/>
            <w:bottom w:val="none" w:sz="0" w:space="0" w:color="auto"/>
            <w:right w:val="none" w:sz="0" w:space="0" w:color="auto"/>
          </w:divBdr>
        </w:div>
        <w:div w:id="1627422567">
          <w:marLeft w:val="0"/>
          <w:marRight w:val="0"/>
          <w:marTop w:val="0"/>
          <w:marBottom w:val="0"/>
          <w:divBdr>
            <w:top w:val="none" w:sz="0" w:space="0" w:color="auto"/>
            <w:left w:val="none" w:sz="0" w:space="0" w:color="auto"/>
            <w:bottom w:val="none" w:sz="0" w:space="0" w:color="auto"/>
            <w:right w:val="none" w:sz="0" w:space="0" w:color="auto"/>
          </w:divBdr>
        </w:div>
        <w:div w:id="1390612473">
          <w:marLeft w:val="0"/>
          <w:marRight w:val="0"/>
          <w:marTop w:val="0"/>
          <w:marBottom w:val="0"/>
          <w:divBdr>
            <w:top w:val="none" w:sz="0" w:space="0" w:color="auto"/>
            <w:left w:val="none" w:sz="0" w:space="0" w:color="auto"/>
            <w:bottom w:val="none" w:sz="0" w:space="0" w:color="auto"/>
            <w:right w:val="none" w:sz="0" w:space="0" w:color="auto"/>
          </w:divBdr>
        </w:div>
        <w:div w:id="1552418380">
          <w:marLeft w:val="0"/>
          <w:marRight w:val="0"/>
          <w:marTop w:val="0"/>
          <w:marBottom w:val="0"/>
          <w:divBdr>
            <w:top w:val="none" w:sz="0" w:space="0" w:color="auto"/>
            <w:left w:val="none" w:sz="0" w:space="0" w:color="auto"/>
            <w:bottom w:val="none" w:sz="0" w:space="0" w:color="auto"/>
            <w:right w:val="none" w:sz="0" w:space="0" w:color="auto"/>
          </w:divBdr>
        </w:div>
        <w:div w:id="587732221">
          <w:marLeft w:val="0"/>
          <w:marRight w:val="0"/>
          <w:marTop w:val="0"/>
          <w:marBottom w:val="0"/>
          <w:divBdr>
            <w:top w:val="none" w:sz="0" w:space="0" w:color="auto"/>
            <w:left w:val="none" w:sz="0" w:space="0" w:color="auto"/>
            <w:bottom w:val="none" w:sz="0" w:space="0" w:color="auto"/>
            <w:right w:val="none" w:sz="0" w:space="0" w:color="auto"/>
          </w:divBdr>
        </w:div>
        <w:div w:id="802582544">
          <w:marLeft w:val="0"/>
          <w:marRight w:val="0"/>
          <w:marTop w:val="0"/>
          <w:marBottom w:val="0"/>
          <w:divBdr>
            <w:top w:val="none" w:sz="0" w:space="0" w:color="auto"/>
            <w:left w:val="none" w:sz="0" w:space="0" w:color="auto"/>
            <w:bottom w:val="none" w:sz="0" w:space="0" w:color="auto"/>
            <w:right w:val="none" w:sz="0" w:space="0" w:color="auto"/>
          </w:divBdr>
        </w:div>
        <w:div w:id="1249655745">
          <w:marLeft w:val="0"/>
          <w:marRight w:val="0"/>
          <w:marTop w:val="0"/>
          <w:marBottom w:val="0"/>
          <w:divBdr>
            <w:top w:val="none" w:sz="0" w:space="0" w:color="auto"/>
            <w:left w:val="none" w:sz="0" w:space="0" w:color="auto"/>
            <w:bottom w:val="none" w:sz="0" w:space="0" w:color="auto"/>
            <w:right w:val="none" w:sz="0" w:space="0" w:color="auto"/>
          </w:divBdr>
        </w:div>
        <w:div w:id="34741553">
          <w:marLeft w:val="0"/>
          <w:marRight w:val="0"/>
          <w:marTop w:val="0"/>
          <w:marBottom w:val="0"/>
          <w:divBdr>
            <w:top w:val="none" w:sz="0" w:space="0" w:color="auto"/>
            <w:left w:val="none" w:sz="0" w:space="0" w:color="auto"/>
            <w:bottom w:val="none" w:sz="0" w:space="0" w:color="auto"/>
            <w:right w:val="none" w:sz="0" w:space="0" w:color="auto"/>
          </w:divBdr>
        </w:div>
        <w:div w:id="2034259538">
          <w:marLeft w:val="0"/>
          <w:marRight w:val="0"/>
          <w:marTop w:val="0"/>
          <w:marBottom w:val="0"/>
          <w:divBdr>
            <w:top w:val="none" w:sz="0" w:space="0" w:color="auto"/>
            <w:left w:val="none" w:sz="0" w:space="0" w:color="auto"/>
            <w:bottom w:val="none" w:sz="0" w:space="0" w:color="auto"/>
            <w:right w:val="none" w:sz="0" w:space="0" w:color="auto"/>
          </w:divBdr>
        </w:div>
        <w:div w:id="568536772">
          <w:marLeft w:val="0"/>
          <w:marRight w:val="0"/>
          <w:marTop w:val="0"/>
          <w:marBottom w:val="0"/>
          <w:divBdr>
            <w:top w:val="none" w:sz="0" w:space="0" w:color="auto"/>
            <w:left w:val="none" w:sz="0" w:space="0" w:color="auto"/>
            <w:bottom w:val="none" w:sz="0" w:space="0" w:color="auto"/>
            <w:right w:val="none" w:sz="0" w:space="0" w:color="auto"/>
          </w:divBdr>
        </w:div>
        <w:div w:id="445737177">
          <w:marLeft w:val="0"/>
          <w:marRight w:val="0"/>
          <w:marTop w:val="0"/>
          <w:marBottom w:val="0"/>
          <w:divBdr>
            <w:top w:val="none" w:sz="0" w:space="0" w:color="auto"/>
            <w:left w:val="none" w:sz="0" w:space="0" w:color="auto"/>
            <w:bottom w:val="none" w:sz="0" w:space="0" w:color="auto"/>
            <w:right w:val="none" w:sz="0" w:space="0" w:color="auto"/>
          </w:divBdr>
        </w:div>
        <w:div w:id="1806315856">
          <w:marLeft w:val="0"/>
          <w:marRight w:val="0"/>
          <w:marTop w:val="0"/>
          <w:marBottom w:val="0"/>
          <w:divBdr>
            <w:top w:val="none" w:sz="0" w:space="0" w:color="auto"/>
            <w:left w:val="none" w:sz="0" w:space="0" w:color="auto"/>
            <w:bottom w:val="none" w:sz="0" w:space="0" w:color="auto"/>
            <w:right w:val="none" w:sz="0" w:space="0" w:color="auto"/>
          </w:divBdr>
        </w:div>
        <w:div w:id="1749304738">
          <w:marLeft w:val="0"/>
          <w:marRight w:val="0"/>
          <w:marTop w:val="0"/>
          <w:marBottom w:val="0"/>
          <w:divBdr>
            <w:top w:val="none" w:sz="0" w:space="0" w:color="auto"/>
            <w:left w:val="none" w:sz="0" w:space="0" w:color="auto"/>
            <w:bottom w:val="none" w:sz="0" w:space="0" w:color="auto"/>
            <w:right w:val="none" w:sz="0" w:space="0" w:color="auto"/>
          </w:divBdr>
        </w:div>
        <w:div w:id="1921599265">
          <w:marLeft w:val="0"/>
          <w:marRight w:val="0"/>
          <w:marTop w:val="0"/>
          <w:marBottom w:val="0"/>
          <w:divBdr>
            <w:top w:val="none" w:sz="0" w:space="0" w:color="auto"/>
            <w:left w:val="none" w:sz="0" w:space="0" w:color="auto"/>
            <w:bottom w:val="none" w:sz="0" w:space="0" w:color="auto"/>
            <w:right w:val="none" w:sz="0" w:space="0" w:color="auto"/>
          </w:divBdr>
        </w:div>
        <w:div w:id="1787851630">
          <w:marLeft w:val="0"/>
          <w:marRight w:val="0"/>
          <w:marTop w:val="0"/>
          <w:marBottom w:val="0"/>
          <w:divBdr>
            <w:top w:val="none" w:sz="0" w:space="0" w:color="auto"/>
            <w:left w:val="none" w:sz="0" w:space="0" w:color="auto"/>
            <w:bottom w:val="none" w:sz="0" w:space="0" w:color="auto"/>
            <w:right w:val="none" w:sz="0" w:space="0" w:color="auto"/>
          </w:divBdr>
        </w:div>
        <w:div w:id="1558323158">
          <w:marLeft w:val="0"/>
          <w:marRight w:val="0"/>
          <w:marTop w:val="0"/>
          <w:marBottom w:val="0"/>
          <w:divBdr>
            <w:top w:val="none" w:sz="0" w:space="0" w:color="auto"/>
            <w:left w:val="none" w:sz="0" w:space="0" w:color="auto"/>
            <w:bottom w:val="none" w:sz="0" w:space="0" w:color="auto"/>
            <w:right w:val="none" w:sz="0" w:space="0" w:color="auto"/>
          </w:divBdr>
        </w:div>
        <w:div w:id="1576665764">
          <w:marLeft w:val="0"/>
          <w:marRight w:val="0"/>
          <w:marTop w:val="0"/>
          <w:marBottom w:val="0"/>
          <w:divBdr>
            <w:top w:val="none" w:sz="0" w:space="0" w:color="auto"/>
            <w:left w:val="none" w:sz="0" w:space="0" w:color="auto"/>
            <w:bottom w:val="none" w:sz="0" w:space="0" w:color="auto"/>
            <w:right w:val="none" w:sz="0" w:space="0" w:color="auto"/>
          </w:divBdr>
        </w:div>
        <w:div w:id="1731688087">
          <w:marLeft w:val="0"/>
          <w:marRight w:val="0"/>
          <w:marTop w:val="0"/>
          <w:marBottom w:val="0"/>
          <w:divBdr>
            <w:top w:val="none" w:sz="0" w:space="0" w:color="auto"/>
            <w:left w:val="none" w:sz="0" w:space="0" w:color="auto"/>
            <w:bottom w:val="none" w:sz="0" w:space="0" w:color="auto"/>
            <w:right w:val="none" w:sz="0" w:space="0" w:color="auto"/>
          </w:divBdr>
        </w:div>
        <w:div w:id="932393717">
          <w:marLeft w:val="0"/>
          <w:marRight w:val="0"/>
          <w:marTop w:val="0"/>
          <w:marBottom w:val="0"/>
          <w:divBdr>
            <w:top w:val="none" w:sz="0" w:space="0" w:color="auto"/>
            <w:left w:val="none" w:sz="0" w:space="0" w:color="auto"/>
            <w:bottom w:val="none" w:sz="0" w:space="0" w:color="auto"/>
            <w:right w:val="none" w:sz="0" w:space="0" w:color="auto"/>
          </w:divBdr>
        </w:div>
        <w:div w:id="1895458944">
          <w:marLeft w:val="0"/>
          <w:marRight w:val="0"/>
          <w:marTop w:val="0"/>
          <w:marBottom w:val="0"/>
          <w:divBdr>
            <w:top w:val="none" w:sz="0" w:space="0" w:color="auto"/>
            <w:left w:val="none" w:sz="0" w:space="0" w:color="auto"/>
            <w:bottom w:val="none" w:sz="0" w:space="0" w:color="auto"/>
            <w:right w:val="none" w:sz="0" w:space="0" w:color="auto"/>
          </w:divBdr>
        </w:div>
        <w:div w:id="244653391">
          <w:marLeft w:val="0"/>
          <w:marRight w:val="0"/>
          <w:marTop w:val="0"/>
          <w:marBottom w:val="0"/>
          <w:divBdr>
            <w:top w:val="none" w:sz="0" w:space="0" w:color="auto"/>
            <w:left w:val="none" w:sz="0" w:space="0" w:color="auto"/>
            <w:bottom w:val="none" w:sz="0" w:space="0" w:color="auto"/>
            <w:right w:val="none" w:sz="0" w:space="0" w:color="auto"/>
          </w:divBdr>
        </w:div>
        <w:div w:id="2081054352">
          <w:marLeft w:val="0"/>
          <w:marRight w:val="0"/>
          <w:marTop w:val="0"/>
          <w:marBottom w:val="0"/>
          <w:divBdr>
            <w:top w:val="none" w:sz="0" w:space="0" w:color="auto"/>
            <w:left w:val="none" w:sz="0" w:space="0" w:color="auto"/>
            <w:bottom w:val="none" w:sz="0" w:space="0" w:color="auto"/>
            <w:right w:val="none" w:sz="0" w:space="0" w:color="auto"/>
          </w:divBdr>
        </w:div>
        <w:div w:id="1445228939">
          <w:marLeft w:val="0"/>
          <w:marRight w:val="0"/>
          <w:marTop w:val="0"/>
          <w:marBottom w:val="0"/>
          <w:divBdr>
            <w:top w:val="none" w:sz="0" w:space="0" w:color="auto"/>
            <w:left w:val="none" w:sz="0" w:space="0" w:color="auto"/>
            <w:bottom w:val="none" w:sz="0" w:space="0" w:color="auto"/>
            <w:right w:val="none" w:sz="0" w:space="0" w:color="auto"/>
          </w:divBdr>
        </w:div>
        <w:div w:id="474025645">
          <w:marLeft w:val="0"/>
          <w:marRight w:val="0"/>
          <w:marTop w:val="0"/>
          <w:marBottom w:val="0"/>
          <w:divBdr>
            <w:top w:val="none" w:sz="0" w:space="0" w:color="auto"/>
            <w:left w:val="none" w:sz="0" w:space="0" w:color="auto"/>
            <w:bottom w:val="none" w:sz="0" w:space="0" w:color="auto"/>
            <w:right w:val="none" w:sz="0" w:space="0" w:color="auto"/>
          </w:divBdr>
        </w:div>
        <w:div w:id="507184005">
          <w:marLeft w:val="0"/>
          <w:marRight w:val="0"/>
          <w:marTop w:val="0"/>
          <w:marBottom w:val="0"/>
          <w:divBdr>
            <w:top w:val="none" w:sz="0" w:space="0" w:color="auto"/>
            <w:left w:val="none" w:sz="0" w:space="0" w:color="auto"/>
            <w:bottom w:val="none" w:sz="0" w:space="0" w:color="auto"/>
            <w:right w:val="none" w:sz="0" w:space="0" w:color="auto"/>
          </w:divBdr>
        </w:div>
        <w:div w:id="441416339">
          <w:marLeft w:val="0"/>
          <w:marRight w:val="0"/>
          <w:marTop w:val="0"/>
          <w:marBottom w:val="0"/>
          <w:divBdr>
            <w:top w:val="none" w:sz="0" w:space="0" w:color="auto"/>
            <w:left w:val="none" w:sz="0" w:space="0" w:color="auto"/>
            <w:bottom w:val="none" w:sz="0" w:space="0" w:color="auto"/>
            <w:right w:val="none" w:sz="0" w:space="0" w:color="auto"/>
          </w:divBdr>
        </w:div>
        <w:div w:id="2101490643">
          <w:marLeft w:val="0"/>
          <w:marRight w:val="0"/>
          <w:marTop w:val="0"/>
          <w:marBottom w:val="0"/>
          <w:divBdr>
            <w:top w:val="none" w:sz="0" w:space="0" w:color="auto"/>
            <w:left w:val="none" w:sz="0" w:space="0" w:color="auto"/>
            <w:bottom w:val="none" w:sz="0" w:space="0" w:color="auto"/>
            <w:right w:val="none" w:sz="0" w:space="0" w:color="auto"/>
          </w:divBdr>
        </w:div>
        <w:div w:id="1204093427">
          <w:marLeft w:val="0"/>
          <w:marRight w:val="0"/>
          <w:marTop w:val="0"/>
          <w:marBottom w:val="0"/>
          <w:divBdr>
            <w:top w:val="none" w:sz="0" w:space="0" w:color="auto"/>
            <w:left w:val="none" w:sz="0" w:space="0" w:color="auto"/>
            <w:bottom w:val="none" w:sz="0" w:space="0" w:color="auto"/>
            <w:right w:val="none" w:sz="0" w:space="0" w:color="auto"/>
          </w:divBdr>
        </w:div>
        <w:div w:id="1187984154">
          <w:marLeft w:val="0"/>
          <w:marRight w:val="0"/>
          <w:marTop w:val="0"/>
          <w:marBottom w:val="0"/>
          <w:divBdr>
            <w:top w:val="none" w:sz="0" w:space="0" w:color="auto"/>
            <w:left w:val="none" w:sz="0" w:space="0" w:color="auto"/>
            <w:bottom w:val="none" w:sz="0" w:space="0" w:color="auto"/>
            <w:right w:val="none" w:sz="0" w:space="0" w:color="auto"/>
          </w:divBdr>
        </w:div>
        <w:div w:id="345788648">
          <w:marLeft w:val="0"/>
          <w:marRight w:val="0"/>
          <w:marTop w:val="0"/>
          <w:marBottom w:val="0"/>
          <w:divBdr>
            <w:top w:val="none" w:sz="0" w:space="0" w:color="auto"/>
            <w:left w:val="none" w:sz="0" w:space="0" w:color="auto"/>
            <w:bottom w:val="none" w:sz="0" w:space="0" w:color="auto"/>
            <w:right w:val="none" w:sz="0" w:space="0" w:color="auto"/>
          </w:divBdr>
        </w:div>
        <w:div w:id="1738092383">
          <w:marLeft w:val="0"/>
          <w:marRight w:val="0"/>
          <w:marTop w:val="0"/>
          <w:marBottom w:val="0"/>
          <w:divBdr>
            <w:top w:val="none" w:sz="0" w:space="0" w:color="auto"/>
            <w:left w:val="none" w:sz="0" w:space="0" w:color="auto"/>
            <w:bottom w:val="none" w:sz="0" w:space="0" w:color="auto"/>
            <w:right w:val="none" w:sz="0" w:space="0" w:color="auto"/>
          </w:divBdr>
        </w:div>
        <w:div w:id="1962107605">
          <w:marLeft w:val="0"/>
          <w:marRight w:val="0"/>
          <w:marTop w:val="0"/>
          <w:marBottom w:val="0"/>
          <w:divBdr>
            <w:top w:val="none" w:sz="0" w:space="0" w:color="auto"/>
            <w:left w:val="none" w:sz="0" w:space="0" w:color="auto"/>
            <w:bottom w:val="none" w:sz="0" w:space="0" w:color="auto"/>
            <w:right w:val="none" w:sz="0" w:space="0" w:color="auto"/>
          </w:divBdr>
        </w:div>
        <w:div w:id="691567373">
          <w:marLeft w:val="0"/>
          <w:marRight w:val="0"/>
          <w:marTop w:val="0"/>
          <w:marBottom w:val="0"/>
          <w:divBdr>
            <w:top w:val="none" w:sz="0" w:space="0" w:color="auto"/>
            <w:left w:val="none" w:sz="0" w:space="0" w:color="auto"/>
            <w:bottom w:val="none" w:sz="0" w:space="0" w:color="auto"/>
            <w:right w:val="none" w:sz="0" w:space="0" w:color="auto"/>
          </w:divBdr>
        </w:div>
      </w:divsChild>
    </w:div>
    <w:div w:id="12903530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777">
          <w:marLeft w:val="0"/>
          <w:marRight w:val="0"/>
          <w:marTop w:val="0"/>
          <w:marBottom w:val="0"/>
          <w:divBdr>
            <w:top w:val="none" w:sz="0" w:space="0" w:color="auto"/>
            <w:left w:val="none" w:sz="0" w:space="0" w:color="auto"/>
            <w:bottom w:val="none" w:sz="0" w:space="0" w:color="auto"/>
            <w:right w:val="none" w:sz="0" w:space="0" w:color="auto"/>
          </w:divBdr>
        </w:div>
        <w:div w:id="910851766">
          <w:marLeft w:val="0"/>
          <w:marRight w:val="0"/>
          <w:marTop w:val="0"/>
          <w:marBottom w:val="0"/>
          <w:divBdr>
            <w:top w:val="none" w:sz="0" w:space="0" w:color="auto"/>
            <w:left w:val="none" w:sz="0" w:space="0" w:color="auto"/>
            <w:bottom w:val="none" w:sz="0" w:space="0" w:color="auto"/>
            <w:right w:val="none" w:sz="0" w:space="0" w:color="auto"/>
          </w:divBdr>
        </w:div>
      </w:divsChild>
    </w:div>
    <w:div w:id="1305349500">
      <w:bodyDiv w:val="1"/>
      <w:marLeft w:val="0"/>
      <w:marRight w:val="0"/>
      <w:marTop w:val="0"/>
      <w:marBottom w:val="0"/>
      <w:divBdr>
        <w:top w:val="none" w:sz="0" w:space="0" w:color="auto"/>
        <w:left w:val="none" w:sz="0" w:space="0" w:color="auto"/>
        <w:bottom w:val="none" w:sz="0" w:space="0" w:color="auto"/>
        <w:right w:val="none" w:sz="0" w:space="0" w:color="auto"/>
      </w:divBdr>
      <w:divsChild>
        <w:div w:id="344476270">
          <w:marLeft w:val="0"/>
          <w:marRight w:val="0"/>
          <w:marTop w:val="0"/>
          <w:marBottom w:val="0"/>
          <w:divBdr>
            <w:top w:val="none" w:sz="0" w:space="0" w:color="auto"/>
            <w:left w:val="none" w:sz="0" w:space="0" w:color="auto"/>
            <w:bottom w:val="none" w:sz="0" w:space="0" w:color="auto"/>
            <w:right w:val="none" w:sz="0" w:space="0" w:color="auto"/>
          </w:divBdr>
        </w:div>
        <w:div w:id="2146771825">
          <w:marLeft w:val="0"/>
          <w:marRight w:val="0"/>
          <w:marTop w:val="0"/>
          <w:marBottom w:val="0"/>
          <w:divBdr>
            <w:top w:val="none" w:sz="0" w:space="0" w:color="auto"/>
            <w:left w:val="none" w:sz="0" w:space="0" w:color="auto"/>
            <w:bottom w:val="none" w:sz="0" w:space="0" w:color="auto"/>
            <w:right w:val="none" w:sz="0" w:space="0" w:color="auto"/>
          </w:divBdr>
        </w:div>
        <w:div w:id="1224874588">
          <w:marLeft w:val="0"/>
          <w:marRight w:val="0"/>
          <w:marTop w:val="0"/>
          <w:marBottom w:val="0"/>
          <w:divBdr>
            <w:top w:val="none" w:sz="0" w:space="0" w:color="auto"/>
            <w:left w:val="none" w:sz="0" w:space="0" w:color="auto"/>
            <w:bottom w:val="none" w:sz="0" w:space="0" w:color="auto"/>
            <w:right w:val="none" w:sz="0" w:space="0" w:color="auto"/>
          </w:divBdr>
        </w:div>
        <w:div w:id="1545677976">
          <w:marLeft w:val="0"/>
          <w:marRight w:val="0"/>
          <w:marTop w:val="0"/>
          <w:marBottom w:val="0"/>
          <w:divBdr>
            <w:top w:val="none" w:sz="0" w:space="0" w:color="auto"/>
            <w:left w:val="none" w:sz="0" w:space="0" w:color="auto"/>
            <w:bottom w:val="none" w:sz="0" w:space="0" w:color="auto"/>
            <w:right w:val="none" w:sz="0" w:space="0" w:color="auto"/>
          </w:divBdr>
        </w:div>
        <w:div w:id="1454179567">
          <w:marLeft w:val="0"/>
          <w:marRight w:val="0"/>
          <w:marTop w:val="0"/>
          <w:marBottom w:val="0"/>
          <w:divBdr>
            <w:top w:val="none" w:sz="0" w:space="0" w:color="auto"/>
            <w:left w:val="none" w:sz="0" w:space="0" w:color="auto"/>
            <w:bottom w:val="none" w:sz="0" w:space="0" w:color="auto"/>
            <w:right w:val="none" w:sz="0" w:space="0" w:color="auto"/>
          </w:divBdr>
        </w:div>
        <w:div w:id="1358655339">
          <w:marLeft w:val="0"/>
          <w:marRight w:val="0"/>
          <w:marTop w:val="0"/>
          <w:marBottom w:val="0"/>
          <w:divBdr>
            <w:top w:val="none" w:sz="0" w:space="0" w:color="auto"/>
            <w:left w:val="none" w:sz="0" w:space="0" w:color="auto"/>
            <w:bottom w:val="none" w:sz="0" w:space="0" w:color="auto"/>
            <w:right w:val="none" w:sz="0" w:space="0" w:color="auto"/>
          </w:divBdr>
        </w:div>
        <w:div w:id="53700827">
          <w:marLeft w:val="0"/>
          <w:marRight w:val="0"/>
          <w:marTop w:val="0"/>
          <w:marBottom w:val="0"/>
          <w:divBdr>
            <w:top w:val="none" w:sz="0" w:space="0" w:color="auto"/>
            <w:left w:val="none" w:sz="0" w:space="0" w:color="auto"/>
            <w:bottom w:val="none" w:sz="0" w:space="0" w:color="auto"/>
            <w:right w:val="none" w:sz="0" w:space="0" w:color="auto"/>
          </w:divBdr>
        </w:div>
        <w:div w:id="874585897">
          <w:marLeft w:val="0"/>
          <w:marRight w:val="0"/>
          <w:marTop w:val="0"/>
          <w:marBottom w:val="0"/>
          <w:divBdr>
            <w:top w:val="none" w:sz="0" w:space="0" w:color="auto"/>
            <w:left w:val="none" w:sz="0" w:space="0" w:color="auto"/>
            <w:bottom w:val="none" w:sz="0" w:space="0" w:color="auto"/>
            <w:right w:val="none" w:sz="0" w:space="0" w:color="auto"/>
          </w:divBdr>
        </w:div>
        <w:div w:id="81684926">
          <w:marLeft w:val="0"/>
          <w:marRight w:val="0"/>
          <w:marTop w:val="0"/>
          <w:marBottom w:val="0"/>
          <w:divBdr>
            <w:top w:val="none" w:sz="0" w:space="0" w:color="auto"/>
            <w:left w:val="none" w:sz="0" w:space="0" w:color="auto"/>
            <w:bottom w:val="none" w:sz="0" w:space="0" w:color="auto"/>
            <w:right w:val="none" w:sz="0" w:space="0" w:color="auto"/>
          </w:divBdr>
        </w:div>
        <w:div w:id="1235160764">
          <w:marLeft w:val="0"/>
          <w:marRight w:val="0"/>
          <w:marTop w:val="0"/>
          <w:marBottom w:val="0"/>
          <w:divBdr>
            <w:top w:val="none" w:sz="0" w:space="0" w:color="auto"/>
            <w:left w:val="none" w:sz="0" w:space="0" w:color="auto"/>
            <w:bottom w:val="none" w:sz="0" w:space="0" w:color="auto"/>
            <w:right w:val="none" w:sz="0" w:space="0" w:color="auto"/>
          </w:divBdr>
        </w:div>
        <w:div w:id="1460218531">
          <w:marLeft w:val="0"/>
          <w:marRight w:val="0"/>
          <w:marTop w:val="0"/>
          <w:marBottom w:val="0"/>
          <w:divBdr>
            <w:top w:val="none" w:sz="0" w:space="0" w:color="auto"/>
            <w:left w:val="none" w:sz="0" w:space="0" w:color="auto"/>
            <w:bottom w:val="none" w:sz="0" w:space="0" w:color="auto"/>
            <w:right w:val="none" w:sz="0" w:space="0" w:color="auto"/>
          </w:divBdr>
        </w:div>
      </w:divsChild>
    </w:div>
    <w:div w:id="1339768118">
      <w:bodyDiv w:val="1"/>
      <w:marLeft w:val="0"/>
      <w:marRight w:val="0"/>
      <w:marTop w:val="0"/>
      <w:marBottom w:val="0"/>
      <w:divBdr>
        <w:top w:val="none" w:sz="0" w:space="0" w:color="auto"/>
        <w:left w:val="none" w:sz="0" w:space="0" w:color="auto"/>
        <w:bottom w:val="none" w:sz="0" w:space="0" w:color="auto"/>
        <w:right w:val="none" w:sz="0" w:space="0" w:color="auto"/>
      </w:divBdr>
      <w:divsChild>
        <w:div w:id="128279314">
          <w:marLeft w:val="0"/>
          <w:marRight w:val="0"/>
          <w:marTop w:val="0"/>
          <w:marBottom w:val="0"/>
          <w:divBdr>
            <w:top w:val="none" w:sz="0" w:space="0" w:color="auto"/>
            <w:left w:val="none" w:sz="0" w:space="0" w:color="auto"/>
            <w:bottom w:val="none" w:sz="0" w:space="0" w:color="auto"/>
            <w:right w:val="none" w:sz="0" w:space="0" w:color="auto"/>
          </w:divBdr>
          <w:divsChild>
            <w:div w:id="318115407">
              <w:marLeft w:val="0"/>
              <w:marRight w:val="0"/>
              <w:marTop w:val="0"/>
              <w:marBottom w:val="0"/>
              <w:divBdr>
                <w:top w:val="none" w:sz="0" w:space="0" w:color="auto"/>
                <w:left w:val="none" w:sz="0" w:space="0" w:color="auto"/>
                <w:bottom w:val="none" w:sz="0" w:space="0" w:color="auto"/>
                <w:right w:val="none" w:sz="0" w:space="0" w:color="auto"/>
              </w:divBdr>
            </w:div>
            <w:div w:id="197474222">
              <w:marLeft w:val="0"/>
              <w:marRight w:val="0"/>
              <w:marTop w:val="0"/>
              <w:marBottom w:val="0"/>
              <w:divBdr>
                <w:top w:val="none" w:sz="0" w:space="0" w:color="auto"/>
                <w:left w:val="none" w:sz="0" w:space="0" w:color="auto"/>
                <w:bottom w:val="none" w:sz="0" w:space="0" w:color="auto"/>
                <w:right w:val="none" w:sz="0" w:space="0" w:color="auto"/>
              </w:divBdr>
            </w:div>
            <w:div w:id="519201907">
              <w:marLeft w:val="0"/>
              <w:marRight w:val="0"/>
              <w:marTop w:val="0"/>
              <w:marBottom w:val="0"/>
              <w:divBdr>
                <w:top w:val="none" w:sz="0" w:space="0" w:color="auto"/>
                <w:left w:val="none" w:sz="0" w:space="0" w:color="auto"/>
                <w:bottom w:val="none" w:sz="0" w:space="0" w:color="auto"/>
                <w:right w:val="none" w:sz="0" w:space="0" w:color="auto"/>
              </w:divBdr>
            </w:div>
            <w:div w:id="1072462128">
              <w:marLeft w:val="0"/>
              <w:marRight w:val="0"/>
              <w:marTop w:val="0"/>
              <w:marBottom w:val="0"/>
              <w:divBdr>
                <w:top w:val="none" w:sz="0" w:space="0" w:color="auto"/>
                <w:left w:val="none" w:sz="0" w:space="0" w:color="auto"/>
                <w:bottom w:val="none" w:sz="0" w:space="0" w:color="auto"/>
                <w:right w:val="none" w:sz="0" w:space="0" w:color="auto"/>
              </w:divBdr>
            </w:div>
            <w:div w:id="1526792512">
              <w:marLeft w:val="0"/>
              <w:marRight w:val="0"/>
              <w:marTop w:val="0"/>
              <w:marBottom w:val="0"/>
              <w:divBdr>
                <w:top w:val="none" w:sz="0" w:space="0" w:color="auto"/>
                <w:left w:val="none" w:sz="0" w:space="0" w:color="auto"/>
                <w:bottom w:val="none" w:sz="0" w:space="0" w:color="auto"/>
                <w:right w:val="none" w:sz="0" w:space="0" w:color="auto"/>
              </w:divBdr>
            </w:div>
            <w:div w:id="73017103">
              <w:marLeft w:val="0"/>
              <w:marRight w:val="0"/>
              <w:marTop w:val="0"/>
              <w:marBottom w:val="0"/>
              <w:divBdr>
                <w:top w:val="none" w:sz="0" w:space="0" w:color="auto"/>
                <w:left w:val="none" w:sz="0" w:space="0" w:color="auto"/>
                <w:bottom w:val="none" w:sz="0" w:space="0" w:color="auto"/>
                <w:right w:val="none" w:sz="0" w:space="0" w:color="auto"/>
              </w:divBdr>
            </w:div>
            <w:div w:id="75516111">
              <w:marLeft w:val="0"/>
              <w:marRight w:val="0"/>
              <w:marTop w:val="0"/>
              <w:marBottom w:val="0"/>
              <w:divBdr>
                <w:top w:val="none" w:sz="0" w:space="0" w:color="auto"/>
                <w:left w:val="none" w:sz="0" w:space="0" w:color="auto"/>
                <w:bottom w:val="none" w:sz="0" w:space="0" w:color="auto"/>
                <w:right w:val="none" w:sz="0" w:space="0" w:color="auto"/>
              </w:divBdr>
            </w:div>
            <w:div w:id="1513908594">
              <w:marLeft w:val="0"/>
              <w:marRight w:val="0"/>
              <w:marTop w:val="0"/>
              <w:marBottom w:val="0"/>
              <w:divBdr>
                <w:top w:val="none" w:sz="0" w:space="0" w:color="auto"/>
                <w:left w:val="none" w:sz="0" w:space="0" w:color="auto"/>
                <w:bottom w:val="none" w:sz="0" w:space="0" w:color="auto"/>
                <w:right w:val="none" w:sz="0" w:space="0" w:color="auto"/>
              </w:divBdr>
            </w:div>
            <w:div w:id="1717700815">
              <w:marLeft w:val="0"/>
              <w:marRight w:val="0"/>
              <w:marTop w:val="0"/>
              <w:marBottom w:val="0"/>
              <w:divBdr>
                <w:top w:val="none" w:sz="0" w:space="0" w:color="auto"/>
                <w:left w:val="none" w:sz="0" w:space="0" w:color="auto"/>
                <w:bottom w:val="none" w:sz="0" w:space="0" w:color="auto"/>
                <w:right w:val="none" w:sz="0" w:space="0" w:color="auto"/>
              </w:divBdr>
            </w:div>
            <w:div w:id="1906527311">
              <w:marLeft w:val="0"/>
              <w:marRight w:val="0"/>
              <w:marTop w:val="0"/>
              <w:marBottom w:val="0"/>
              <w:divBdr>
                <w:top w:val="none" w:sz="0" w:space="0" w:color="auto"/>
                <w:left w:val="none" w:sz="0" w:space="0" w:color="auto"/>
                <w:bottom w:val="none" w:sz="0" w:space="0" w:color="auto"/>
                <w:right w:val="none" w:sz="0" w:space="0" w:color="auto"/>
              </w:divBdr>
            </w:div>
            <w:div w:id="181358713">
              <w:marLeft w:val="0"/>
              <w:marRight w:val="0"/>
              <w:marTop w:val="0"/>
              <w:marBottom w:val="0"/>
              <w:divBdr>
                <w:top w:val="none" w:sz="0" w:space="0" w:color="auto"/>
                <w:left w:val="none" w:sz="0" w:space="0" w:color="auto"/>
                <w:bottom w:val="none" w:sz="0" w:space="0" w:color="auto"/>
                <w:right w:val="none" w:sz="0" w:space="0" w:color="auto"/>
              </w:divBdr>
            </w:div>
            <w:div w:id="1386832887">
              <w:marLeft w:val="0"/>
              <w:marRight w:val="0"/>
              <w:marTop w:val="0"/>
              <w:marBottom w:val="0"/>
              <w:divBdr>
                <w:top w:val="none" w:sz="0" w:space="0" w:color="auto"/>
                <w:left w:val="none" w:sz="0" w:space="0" w:color="auto"/>
                <w:bottom w:val="none" w:sz="0" w:space="0" w:color="auto"/>
                <w:right w:val="none" w:sz="0" w:space="0" w:color="auto"/>
              </w:divBdr>
            </w:div>
            <w:div w:id="616178141">
              <w:marLeft w:val="0"/>
              <w:marRight w:val="0"/>
              <w:marTop w:val="0"/>
              <w:marBottom w:val="0"/>
              <w:divBdr>
                <w:top w:val="none" w:sz="0" w:space="0" w:color="auto"/>
                <w:left w:val="none" w:sz="0" w:space="0" w:color="auto"/>
                <w:bottom w:val="none" w:sz="0" w:space="0" w:color="auto"/>
                <w:right w:val="none" w:sz="0" w:space="0" w:color="auto"/>
              </w:divBdr>
            </w:div>
            <w:div w:id="968897968">
              <w:marLeft w:val="0"/>
              <w:marRight w:val="0"/>
              <w:marTop w:val="0"/>
              <w:marBottom w:val="0"/>
              <w:divBdr>
                <w:top w:val="none" w:sz="0" w:space="0" w:color="auto"/>
                <w:left w:val="none" w:sz="0" w:space="0" w:color="auto"/>
                <w:bottom w:val="none" w:sz="0" w:space="0" w:color="auto"/>
                <w:right w:val="none" w:sz="0" w:space="0" w:color="auto"/>
              </w:divBdr>
            </w:div>
            <w:div w:id="1269194773">
              <w:marLeft w:val="0"/>
              <w:marRight w:val="0"/>
              <w:marTop w:val="0"/>
              <w:marBottom w:val="0"/>
              <w:divBdr>
                <w:top w:val="none" w:sz="0" w:space="0" w:color="auto"/>
                <w:left w:val="none" w:sz="0" w:space="0" w:color="auto"/>
                <w:bottom w:val="none" w:sz="0" w:space="0" w:color="auto"/>
                <w:right w:val="none" w:sz="0" w:space="0" w:color="auto"/>
              </w:divBdr>
            </w:div>
            <w:div w:id="484123159">
              <w:marLeft w:val="0"/>
              <w:marRight w:val="0"/>
              <w:marTop w:val="0"/>
              <w:marBottom w:val="0"/>
              <w:divBdr>
                <w:top w:val="none" w:sz="0" w:space="0" w:color="auto"/>
                <w:left w:val="none" w:sz="0" w:space="0" w:color="auto"/>
                <w:bottom w:val="none" w:sz="0" w:space="0" w:color="auto"/>
                <w:right w:val="none" w:sz="0" w:space="0" w:color="auto"/>
              </w:divBdr>
            </w:div>
            <w:div w:id="1854372156">
              <w:marLeft w:val="0"/>
              <w:marRight w:val="0"/>
              <w:marTop w:val="0"/>
              <w:marBottom w:val="0"/>
              <w:divBdr>
                <w:top w:val="none" w:sz="0" w:space="0" w:color="auto"/>
                <w:left w:val="none" w:sz="0" w:space="0" w:color="auto"/>
                <w:bottom w:val="none" w:sz="0" w:space="0" w:color="auto"/>
                <w:right w:val="none" w:sz="0" w:space="0" w:color="auto"/>
              </w:divBdr>
            </w:div>
            <w:div w:id="291863818">
              <w:marLeft w:val="0"/>
              <w:marRight w:val="0"/>
              <w:marTop w:val="0"/>
              <w:marBottom w:val="0"/>
              <w:divBdr>
                <w:top w:val="none" w:sz="0" w:space="0" w:color="auto"/>
                <w:left w:val="none" w:sz="0" w:space="0" w:color="auto"/>
                <w:bottom w:val="none" w:sz="0" w:space="0" w:color="auto"/>
                <w:right w:val="none" w:sz="0" w:space="0" w:color="auto"/>
              </w:divBdr>
            </w:div>
            <w:div w:id="117265808">
              <w:marLeft w:val="0"/>
              <w:marRight w:val="0"/>
              <w:marTop w:val="0"/>
              <w:marBottom w:val="0"/>
              <w:divBdr>
                <w:top w:val="none" w:sz="0" w:space="0" w:color="auto"/>
                <w:left w:val="none" w:sz="0" w:space="0" w:color="auto"/>
                <w:bottom w:val="none" w:sz="0" w:space="0" w:color="auto"/>
                <w:right w:val="none" w:sz="0" w:space="0" w:color="auto"/>
              </w:divBdr>
            </w:div>
            <w:div w:id="589655267">
              <w:marLeft w:val="0"/>
              <w:marRight w:val="0"/>
              <w:marTop w:val="0"/>
              <w:marBottom w:val="0"/>
              <w:divBdr>
                <w:top w:val="none" w:sz="0" w:space="0" w:color="auto"/>
                <w:left w:val="none" w:sz="0" w:space="0" w:color="auto"/>
                <w:bottom w:val="none" w:sz="0" w:space="0" w:color="auto"/>
                <w:right w:val="none" w:sz="0" w:space="0" w:color="auto"/>
              </w:divBdr>
            </w:div>
            <w:div w:id="1831209273">
              <w:marLeft w:val="0"/>
              <w:marRight w:val="0"/>
              <w:marTop w:val="0"/>
              <w:marBottom w:val="0"/>
              <w:divBdr>
                <w:top w:val="none" w:sz="0" w:space="0" w:color="auto"/>
                <w:left w:val="none" w:sz="0" w:space="0" w:color="auto"/>
                <w:bottom w:val="none" w:sz="0" w:space="0" w:color="auto"/>
                <w:right w:val="none" w:sz="0" w:space="0" w:color="auto"/>
              </w:divBdr>
            </w:div>
            <w:div w:id="1632663228">
              <w:marLeft w:val="0"/>
              <w:marRight w:val="0"/>
              <w:marTop w:val="0"/>
              <w:marBottom w:val="0"/>
              <w:divBdr>
                <w:top w:val="none" w:sz="0" w:space="0" w:color="auto"/>
                <w:left w:val="none" w:sz="0" w:space="0" w:color="auto"/>
                <w:bottom w:val="none" w:sz="0" w:space="0" w:color="auto"/>
                <w:right w:val="none" w:sz="0" w:space="0" w:color="auto"/>
              </w:divBdr>
            </w:div>
            <w:div w:id="663168865">
              <w:marLeft w:val="0"/>
              <w:marRight w:val="0"/>
              <w:marTop w:val="0"/>
              <w:marBottom w:val="0"/>
              <w:divBdr>
                <w:top w:val="none" w:sz="0" w:space="0" w:color="auto"/>
                <w:left w:val="none" w:sz="0" w:space="0" w:color="auto"/>
                <w:bottom w:val="none" w:sz="0" w:space="0" w:color="auto"/>
                <w:right w:val="none" w:sz="0" w:space="0" w:color="auto"/>
              </w:divBdr>
            </w:div>
            <w:div w:id="1352949288">
              <w:marLeft w:val="0"/>
              <w:marRight w:val="0"/>
              <w:marTop w:val="0"/>
              <w:marBottom w:val="0"/>
              <w:divBdr>
                <w:top w:val="none" w:sz="0" w:space="0" w:color="auto"/>
                <w:left w:val="none" w:sz="0" w:space="0" w:color="auto"/>
                <w:bottom w:val="none" w:sz="0" w:space="0" w:color="auto"/>
                <w:right w:val="none" w:sz="0" w:space="0" w:color="auto"/>
              </w:divBdr>
            </w:div>
            <w:div w:id="1308048515">
              <w:marLeft w:val="0"/>
              <w:marRight w:val="0"/>
              <w:marTop w:val="0"/>
              <w:marBottom w:val="0"/>
              <w:divBdr>
                <w:top w:val="none" w:sz="0" w:space="0" w:color="auto"/>
                <w:left w:val="none" w:sz="0" w:space="0" w:color="auto"/>
                <w:bottom w:val="none" w:sz="0" w:space="0" w:color="auto"/>
                <w:right w:val="none" w:sz="0" w:space="0" w:color="auto"/>
              </w:divBdr>
            </w:div>
            <w:div w:id="126047796">
              <w:marLeft w:val="0"/>
              <w:marRight w:val="0"/>
              <w:marTop w:val="0"/>
              <w:marBottom w:val="0"/>
              <w:divBdr>
                <w:top w:val="none" w:sz="0" w:space="0" w:color="auto"/>
                <w:left w:val="none" w:sz="0" w:space="0" w:color="auto"/>
                <w:bottom w:val="none" w:sz="0" w:space="0" w:color="auto"/>
                <w:right w:val="none" w:sz="0" w:space="0" w:color="auto"/>
              </w:divBdr>
            </w:div>
            <w:div w:id="1018237768">
              <w:marLeft w:val="0"/>
              <w:marRight w:val="0"/>
              <w:marTop w:val="0"/>
              <w:marBottom w:val="0"/>
              <w:divBdr>
                <w:top w:val="none" w:sz="0" w:space="0" w:color="auto"/>
                <w:left w:val="none" w:sz="0" w:space="0" w:color="auto"/>
                <w:bottom w:val="none" w:sz="0" w:space="0" w:color="auto"/>
                <w:right w:val="none" w:sz="0" w:space="0" w:color="auto"/>
              </w:divBdr>
            </w:div>
            <w:div w:id="1037269387">
              <w:marLeft w:val="0"/>
              <w:marRight w:val="0"/>
              <w:marTop w:val="0"/>
              <w:marBottom w:val="0"/>
              <w:divBdr>
                <w:top w:val="none" w:sz="0" w:space="0" w:color="auto"/>
                <w:left w:val="none" w:sz="0" w:space="0" w:color="auto"/>
                <w:bottom w:val="none" w:sz="0" w:space="0" w:color="auto"/>
                <w:right w:val="none" w:sz="0" w:space="0" w:color="auto"/>
              </w:divBdr>
            </w:div>
            <w:div w:id="1735155469">
              <w:marLeft w:val="0"/>
              <w:marRight w:val="0"/>
              <w:marTop w:val="0"/>
              <w:marBottom w:val="0"/>
              <w:divBdr>
                <w:top w:val="none" w:sz="0" w:space="0" w:color="auto"/>
                <w:left w:val="none" w:sz="0" w:space="0" w:color="auto"/>
                <w:bottom w:val="none" w:sz="0" w:space="0" w:color="auto"/>
                <w:right w:val="none" w:sz="0" w:space="0" w:color="auto"/>
              </w:divBdr>
            </w:div>
            <w:div w:id="620452381">
              <w:marLeft w:val="0"/>
              <w:marRight w:val="0"/>
              <w:marTop w:val="0"/>
              <w:marBottom w:val="0"/>
              <w:divBdr>
                <w:top w:val="none" w:sz="0" w:space="0" w:color="auto"/>
                <w:left w:val="none" w:sz="0" w:space="0" w:color="auto"/>
                <w:bottom w:val="none" w:sz="0" w:space="0" w:color="auto"/>
                <w:right w:val="none" w:sz="0" w:space="0" w:color="auto"/>
              </w:divBdr>
            </w:div>
            <w:div w:id="656110033">
              <w:marLeft w:val="0"/>
              <w:marRight w:val="0"/>
              <w:marTop w:val="0"/>
              <w:marBottom w:val="0"/>
              <w:divBdr>
                <w:top w:val="none" w:sz="0" w:space="0" w:color="auto"/>
                <w:left w:val="none" w:sz="0" w:space="0" w:color="auto"/>
                <w:bottom w:val="none" w:sz="0" w:space="0" w:color="auto"/>
                <w:right w:val="none" w:sz="0" w:space="0" w:color="auto"/>
              </w:divBdr>
            </w:div>
            <w:div w:id="2135097910">
              <w:marLeft w:val="0"/>
              <w:marRight w:val="0"/>
              <w:marTop w:val="0"/>
              <w:marBottom w:val="0"/>
              <w:divBdr>
                <w:top w:val="none" w:sz="0" w:space="0" w:color="auto"/>
                <w:left w:val="none" w:sz="0" w:space="0" w:color="auto"/>
                <w:bottom w:val="none" w:sz="0" w:space="0" w:color="auto"/>
                <w:right w:val="none" w:sz="0" w:space="0" w:color="auto"/>
              </w:divBdr>
            </w:div>
            <w:div w:id="1736471638">
              <w:marLeft w:val="0"/>
              <w:marRight w:val="0"/>
              <w:marTop w:val="0"/>
              <w:marBottom w:val="0"/>
              <w:divBdr>
                <w:top w:val="none" w:sz="0" w:space="0" w:color="auto"/>
                <w:left w:val="none" w:sz="0" w:space="0" w:color="auto"/>
                <w:bottom w:val="none" w:sz="0" w:space="0" w:color="auto"/>
                <w:right w:val="none" w:sz="0" w:space="0" w:color="auto"/>
              </w:divBdr>
            </w:div>
            <w:div w:id="1048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9218">
      <w:bodyDiv w:val="1"/>
      <w:marLeft w:val="0"/>
      <w:marRight w:val="0"/>
      <w:marTop w:val="0"/>
      <w:marBottom w:val="0"/>
      <w:divBdr>
        <w:top w:val="none" w:sz="0" w:space="0" w:color="auto"/>
        <w:left w:val="none" w:sz="0" w:space="0" w:color="auto"/>
        <w:bottom w:val="none" w:sz="0" w:space="0" w:color="auto"/>
        <w:right w:val="none" w:sz="0" w:space="0" w:color="auto"/>
      </w:divBdr>
      <w:divsChild>
        <w:div w:id="1822890159">
          <w:marLeft w:val="0"/>
          <w:marRight w:val="0"/>
          <w:marTop w:val="0"/>
          <w:marBottom w:val="0"/>
          <w:divBdr>
            <w:top w:val="none" w:sz="0" w:space="0" w:color="auto"/>
            <w:left w:val="none" w:sz="0" w:space="0" w:color="auto"/>
            <w:bottom w:val="none" w:sz="0" w:space="0" w:color="auto"/>
            <w:right w:val="none" w:sz="0" w:space="0" w:color="auto"/>
          </w:divBdr>
        </w:div>
        <w:div w:id="231083979">
          <w:marLeft w:val="0"/>
          <w:marRight w:val="0"/>
          <w:marTop w:val="0"/>
          <w:marBottom w:val="0"/>
          <w:divBdr>
            <w:top w:val="none" w:sz="0" w:space="0" w:color="auto"/>
            <w:left w:val="none" w:sz="0" w:space="0" w:color="auto"/>
            <w:bottom w:val="none" w:sz="0" w:space="0" w:color="auto"/>
            <w:right w:val="none" w:sz="0" w:space="0" w:color="auto"/>
          </w:divBdr>
        </w:div>
        <w:div w:id="1855993786">
          <w:marLeft w:val="0"/>
          <w:marRight w:val="0"/>
          <w:marTop w:val="0"/>
          <w:marBottom w:val="0"/>
          <w:divBdr>
            <w:top w:val="none" w:sz="0" w:space="0" w:color="auto"/>
            <w:left w:val="none" w:sz="0" w:space="0" w:color="auto"/>
            <w:bottom w:val="none" w:sz="0" w:space="0" w:color="auto"/>
            <w:right w:val="none" w:sz="0" w:space="0" w:color="auto"/>
          </w:divBdr>
        </w:div>
        <w:div w:id="1944413855">
          <w:marLeft w:val="0"/>
          <w:marRight w:val="0"/>
          <w:marTop w:val="0"/>
          <w:marBottom w:val="0"/>
          <w:divBdr>
            <w:top w:val="none" w:sz="0" w:space="0" w:color="auto"/>
            <w:left w:val="none" w:sz="0" w:space="0" w:color="auto"/>
            <w:bottom w:val="none" w:sz="0" w:space="0" w:color="auto"/>
            <w:right w:val="none" w:sz="0" w:space="0" w:color="auto"/>
          </w:divBdr>
        </w:div>
        <w:div w:id="391346817">
          <w:marLeft w:val="0"/>
          <w:marRight w:val="0"/>
          <w:marTop w:val="0"/>
          <w:marBottom w:val="0"/>
          <w:divBdr>
            <w:top w:val="none" w:sz="0" w:space="0" w:color="auto"/>
            <w:left w:val="none" w:sz="0" w:space="0" w:color="auto"/>
            <w:bottom w:val="none" w:sz="0" w:space="0" w:color="auto"/>
            <w:right w:val="none" w:sz="0" w:space="0" w:color="auto"/>
          </w:divBdr>
        </w:div>
      </w:divsChild>
    </w:div>
    <w:div w:id="1343708058">
      <w:bodyDiv w:val="1"/>
      <w:marLeft w:val="0"/>
      <w:marRight w:val="0"/>
      <w:marTop w:val="0"/>
      <w:marBottom w:val="0"/>
      <w:divBdr>
        <w:top w:val="none" w:sz="0" w:space="0" w:color="auto"/>
        <w:left w:val="none" w:sz="0" w:space="0" w:color="auto"/>
        <w:bottom w:val="none" w:sz="0" w:space="0" w:color="auto"/>
        <w:right w:val="none" w:sz="0" w:space="0" w:color="auto"/>
      </w:divBdr>
      <w:divsChild>
        <w:div w:id="1375077281">
          <w:marLeft w:val="0"/>
          <w:marRight w:val="0"/>
          <w:marTop w:val="0"/>
          <w:marBottom w:val="0"/>
          <w:divBdr>
            <w:top w:val="none" w:sz="0" w:space="0" w:color="auto"/>
            <w:left w:val="none" w:sz="0" w:space="0" w:color="auto"/>
            <w:bottom w:val="none" w:sz="0" w:space="0" w:color="auto"/>
            <w:right w:val="none" w:sz="0" w:space="0" w:color="auto"/>
          </w:divBdr>
        </w:div>
        <w:div w:id="1182670070">
          <w:marLeft w:val="0"/>
          <w:marRight w:val="0"/>
          <w:marTop w:val="0"/>
          <w:marBottom w:val="0"/>
          <w:divBdr>
            <w:top w:val="none" w:sz="0" w:space="0" w:color="auto"/>
            <w:left w:val="none" w:sz="0" w:space="0" w:color="auto"/>
            <w:bottom w:val="none" w:sz="0" w:space="0" w:color="auto"/>
            <w:right w:val="none" w:sz="0" w:space="0" w:color="auto"/>
          </w:divBdr>
        </w:div>
        <w:div w:id="579943192">
          <w:marLeft w:val="0"/>
          <w:marRight w:val="0"/>
          <w:marTop w:val="0"/>
          <w:marBottom w:val="0"/>
          <w:divBdr>
            <w:top w:val="none" w:sz="0" w:space="0" w:color="auto"/>
            <w:left w:val="none" w:sz="0" w:space="0" w:color="auto"/>
            <w:bottom w:val="none" w:sz="0" w:space="0" w:color="auto"/>
            <w:right w:val="none" w:sz="0" w:space="0" w:color="auto"/>
          </w:divBdr>
        </w:div>
        <w:div w:id="324817306">
          <w:marLeft w:val="0"/>
          <w:marRight w:val="0"/>
          <w:marTop w:val="0"/>
          <w:marBottom w:val="0"/>
          <w:divBdr>
            <w:top w:val="none" w:sz="0" w:space="0" w:color="auto"/>
            <w:left w:val="none" w:sz="0" w:space="0" w:color="auto"/>
            <w:bottom w:val="none" w:sz="0" w:space="0" w:color="auto"/>
            <w:right w:val="none" w:sz="0" w:space="0" w:color="auto"/>
          </w:divBdr>
        </w:div>
        <w:div w:id="800226521">
          <w:marLeft w:val="0"/>
          <w:marRight w:val="0"/>
          <w:marTop w:val="0"/>
          <w:marBottom w:val="0"/>
          <w:divBdr>
            <w:top w:val="none" w:sz="0" w:space="0" w:color="auto"/>
            <w:left w:val="none" w:sz="0" w:space="0" w:color="auto"/>
            <w:bottom w:val="none" w:sz="0" w:space="0" w:color="auto"/>
            <w:right w:val="none" w:sz="0" w:space="0" w:color="auto"/>
          </w:divBdr>
        </w:div>
        <w:div w:id="1223836348">
          <w:marLeft w:val="0"/>
          <w:marRight w:val="0"/>
          <w:marTop w:val="0"/>
          <w:marBottom w:val="0"/>
          <w:divBdr>
            <w:top w:val="none" w:sz="0" w:space="0" w:color="auto"/>
            <w:left w:val="none" w:sz="0" w:space="0" w:color="auto"/>
            <w:bottom w:val="none" w:sz="0" w:space="0" w:color="auto"/>
            <w:right w:val="none" w:sz="0" w:space="0" w:color="auto"/>
          </w:divBdr>
        </w:div>
        <w:div w:id="1189105793">
          <w:marLeft w:val="0"/>
          <w:marRight w:val="0"/>
          <w:marTop w:val="0"/>
          <w:marBottom w:val="0"/>
          <w:divBdr>
            <w:top w:val="none" w:sz="0" w:space="0" w:color="auto"/>
            <w:left w:val="none" w:sz="0" w:space="0" w:color="auto"/>
            <w:bottom w:val="none" w:sz="0" w:space="0" w:color="auto"/>
            <w:right w:val="none" w:sz="0" w:space="0" w:color="auto"/>
          </w:divBdr>
        </w:div>
        <w:div w:id="12415830">
          <w:marLeft w:val="0"/>
          <w:marRight w:val="0"/>
          <w:marTop w:val="0"/>
          <w:marBottom w:val="0"/>
          <w:divBdr>
            <w:top w:val="none" w:sz="0" w:space="0" w:color="auto"/>
            <w:left w:val="none" w:sz="0" w:space="0" w:color="auto"/>
            <w:bottom w:val="none" w:sz="0" w:space="0" w:color="auto"/>
            <w:right w:val="none" w:sz="0" w:space="0" w:color="auto"/>
          </w:divBdr>
        </w:div>
        <w:div w:id="1194538121">
          <w:marLeft w:val="0"/>
          <w:marRight w:val="0"/>
          <w:marTop w:val="0"/>
          <w:marBottom w:val="0"/>
          <w:divBdr>
            <w:top w:val="none" w:sz="0" w:space="0" w:color="auto"/>
            <w:left w:val="none" w:sz="0" w:space="0" w:color="auto"/>
            <w:bottom w:val="none" w:sz="0" w:space="0" w:color="auto"/>
            <w:right w:val="none" w:sz="0" w:space="0" w:color="auto"/>
          </w:divBdr>
        </w:div>
        <w:div w:id="184877195">
          <w:marLeft w:val="0"/>
          <w:marRight w:val="0"/>
          <w:marTop w:val="0"/>
          <w:marBottom w:val="0"/>
          <w:divBdr>
            <w:top w:val="none" w:sz="0" w:space="0" w:color="auto"/>
            <w:left w:val="none" w:sz="0" w:space="0" w:color="auto"/>
            <w:bottom w:val="none" w:sz="0" w:space="0" w:color="auto"/>
            <w:right w:val="none" w:sz="0" w:space="0" w:color="auto"/>
          </w:divBdr>
        </w:div>
        <w:div w:id="1583642887">
          <w:marLeft w:val="0"/>
          <w:marRight w:val="0"/>
          <w:marTop w:val="0"/>
          <w:marBottom w:val="0"/>
          <w:divBdr>
            <w:top w:val="none" w:sz="0" w:space="0" w:color="auto"/>
            <w:left w:val="none" w:sz="0" w:space="0" w:color="auto"/>
            <w:bottom w:val="none" w:sz="0" w:space="0" w:color="auto"/>
            <w:right w:val="none" w:sz="0" w:space="0" w:color="auto"/>
          </w:divBdr>
        </w:div>
        <w:div w:id="721445568">
          <w:marLeft w:val="0"/>
          <w:marRight w:val="0"/>
          <w:marTop w:val="0"/>
          <w:marBottom w:val="0"/>
          <w:divBdr>
            <w:top w:val="none" w:sz="0" w:space="0" w:color="auto"/>
            <w:left w:val="none" w:sz="0" w:space="0" w:color="auto"/>
            <w:bottom w:val="none" w:sz="0" w:space="0" w:color="auto"/>
            <w:right w:val="none" w:sz="0" w:space="0" w:color="auto"/>
          </w:divBdr>
        </w:div>
        <w:div w:id="1938756811">
          <w:marLeft w:val="0"/>
          <w:marRight w:val="0"/>
          <w:marTop w:val="0"/>
          <w:marBottom w:val="0"/>
          <w:divBdr>
            <w:top w:val="none" w:sz="0" w:space="0" w:color="auto"/>
            <w:left w:val="none" w:sz="0" w:space="0" w:color="auto"/>
            <w:bottom w:val="none" w:sz="0" w:space="0" w:color="auto"/>
            <w:right w:val="none" w:sz="0" w:space="0" w:color="auto"/>
          </w:divBdr>
        </w:div>
      </w:divsChild>
    </w:div>
    <w:div w:id="1358895396">
      <w:bodyDiv w:val="1"/>
      <w:marLeft w:val="0"/>
      <w:marRight w:val="0"/>
      <w:marTop w:val="0"/>
      <w:marBottom w:val="0"/>
      <w:divBdr>
        <w:top w:val="none" w:sz="0" w:space="0" w:color="auto"/>
        <w:left w:val="none" w:sz="0" w:space="0" w:color="auto"/>
        <w:bottom w:val="none" w:sz="0" w:space="0" w:color="auto"/>
        <w:right w:val="none" w:sz="0" w:space="0" w:color="auto"/>
      </w:divBdr>
      <w:divsChild>
        <w:div w:id="1320379108">
          <w:marLeft w:val="0"/>
          <w:marRight w:val="0"/>
          <w:marTop w:val="0"/>
          <w:marBottom w:val="0"/>
          <w:divBdr>
            <w:top w:val="none" w:sz="0" w:space="0" w:color="auto"/>
            <w:left w:val="none" w:sz="0" w:space="0" w:color="auto"/>
            <w:bottom w:val="none" w:sz="0" w:space="0" w:color="auto"/>
            <w:right w:val="none" w:sz="0" w:space="0" w:color="auto"/>
          </w:divBdr>
        </w:div>
        <w:div w:id="1850440672">
          <w:marLeft w:val="0"/>
          <w:marRight w:val="0"/>
          <w:marTop w:val="0"/>
          <w:marBottom w:val="0"/>
          <w:divBdr>
            <w:top w:val="none" w:sz="0" w:space="0" w:color="auto"/>
            <w:left w:val="none" w:sz="0" w:space="0" w:color="auto"/>
            <w:bottom w:val="none" w:sz="0" w:space="0" w:color="auto"/>
            <w:right w:val="none" w:sz="0" w:space="0" w:color="auto"/>
          </w:divBdr>
        </w:div>
        <w:div w:id="1945379213">
          <w:marLeft w:val="0"/>
          <w:marRight w:val="0"/>
          <w:marTop w:val="0"/>
          <w:marBottom w:val="0"/>
          <w:divBdr>
            <w:top w:val="none" w:sz="0" w:space="0" w:color="auto"/>
            <w:left w:val="none" w:sz="0" w:space="0" w:color="auto"/>
            <w:bottom w:val="none" w:sz="0" w:space="0" w:color="auto"/>
            <w:right w:val="none" w:sz="0" w:space="0" w:color="auto"/>
          </w:divBdr>
        </w:div>
        <w:div w:id="626468785">
          <w:marLeft w:val="0"/>
          <w:marRight w:val="0"/>
          <w:marTop w:val="0"/>
          <w:marBottom w:val="0"/>
          <w:divBdr>
            <w:top w:val="none" w:sz="0" w:space="0" w:color="auto"/>
            <w:left w:val="none" w:sz="0" w:space="0" w:color="auto"/>
            <w:bottom w:val="none" w:sz="0" w:space="0" w:color="auto"/>
            <w:right w:val="none" w:sz="0" w:space="0" w:color="auto"/>
          </w:divBdr>
        </w:div>
        <w:div w:id="1316715370">
          <w:marLeft w:val="0"/>
          <w:marRight w:val="0"/>
          <w:marTop w:val="0"/>
          <w:marBottom w:val="0"/>
          <w:divBdr>
            <w:top w:val="none" w:sz="0" w:space="0" w:color="auto"/>
            <w:left w:val="none" w:sz="0" w:space="0" w:color="auto"/>
            <w:bottom w:val="none" w:sz="0" w:space="0" w:color="auto"/>
            <w:right w:val="none" w:sz="0" w:space="0" w:color="auto"/>
          </w:divBdr>
        </w:div>
      </w:divsChild>
    </w:div>
    <w:div w:id="1375421658">
      <w:bodyDiv w:val="1"/>
      <w:marLeft w:val="0"/>
      <w:marRight w:val="0"/>
      <w:marTop w:val="0"/>
      <w:marBottom w:val="0"/>
      <w:divBdr>
        <w:top w:val="none" w:sz="0" w:space="0" w:color="auto"/>
        <w:left w:val="none" w:sz="0" w:space="0" w:color="auto"/>
        <w:bottom w:val="none" w:sz="0" w:space="0" w:color="auto"/>
        <w:right w:val="none" w:sz="0" w:space="0" w:color="auto"/>
      </w:divBdr>
    </w:div>
    <w:div w:id="1408503853">
      <w:bodyDiv w:val="1"/>
      <w:marLeft w:val="0"/>
      <w:marRight w:val="0"/>
      <w:marTop w:val="0"/>
      <w:marBottom w:val="0"/>
      <w:divBdr>
        <w:top w:val="none" w:sz="0" w:space="0" w:color="auto"/>
        <w:left w:val="none" w:sz="0" w:space="0" w:color="auto"/>
        <w:bottom w:val="none" w:sz="0" w:space="0" w:color="auto"/>
        <w:right w:val="none" w:sz="0" w:space="0" w:color="auto"/>
      </w:divBdr>
      <w:divsChild>
        <w:div w:id="684095534">
          <w:marLeft w:val="0"/>
          <w:marRight w:val="0"/>
          <w:marTop w:val="0"/>
          <w:marBottom w:val="0"/>
          <w:divBdr>
            <w:top w:val="none" w:sz="0" w:space="0" w:color="auto"/>
            <w:left w:val="none" w:sz="0" w:space="0" w:color="auto"/>
            <w:bottom w:val="none" w:sz="0" w:space="0" w:color="auto"/>
            <w:right w:val="none" w:sz="0" w:space="0" w:color="auto"/>
          </w:divBdr>
        </w:div>
        <w:div w:id="800802228">
          <w:marLeft w:val="0"/>
          <w:marRight w:val="0"/>
          <w:marTop w:val="0"/>
          <w:marBottom w:val="0"/>
          <w:divBdr>
            <w:top w:val="none" w:sz="0" w:space="0" w:color="auto"/>
            <w:left w:val="none" w:sz="0" w:space="0" w:color="auto"/>
            <w:bottom w:val="none" w:sz="0" w:space="0" w:color="auto"/>
            <w:right w:val="none" w:sz="0" w:space="0" w:color="auto"/>
          </w:divBdr>
        </w:div>
        <w:div w:id="456990656">
          <w:marLeft w:val="0"/>
          <w:marRight w:val="0"/>
          <w:marTop w:val="0"/>
          <w:marBottom w:val="0"/>
          <w:divBdr>
            <w:top w:val="none" w:sz="0" w:space="0" w:color="auto"/>
            <w:left w:val="none" w:sz="0" w:space="0" w:color="auto"/>
            <w:bottom w:val="none" w:sz="0" w:space="0" w:color="auto"/>
            <w:right w:val="none" w:sz="0" w:space="0" w:color="auto"/>
          </w:divBdr>
        </w:div>
        <w:div w:id="117067975">
          <w:marLeft w:val="0"/>
          <w:marRight w:val="0"/>
          <w:marTop w:val="0"/>
          <w:marBottom w:val="0"/>
          <w:divBdr>
            <w:top w:val="none" w:sz="0" w:space="0" w:color="auto"/>
            <w:left w:val="none" w:sz="0" w:space="0" w:color="auto"/>
            <w:bottom w:val="none" w:sz="0" w:space="0" w:color="auto"/>
            <w:right w:val="none" w:sz="0" w:space="0" w:color="auto"/>
          </w:divBdr>
        </w:div>
        <w:div w:id="2004165234">
          <w:marLeft w:val="0"/>
          <w:marRight w:val="0"/>
          <w:marTop w:val="0"/>
          <w:marBottom w:val="0"/>
          <w:divBdr>
            <w:top w:val="none" w:sz="0" w:space="0" w:color="auto"/>
            <w:left w:val="none" w:sz="0" w:space="0" w:color="auto"/>
            <w:bottom w:val="none" w:sz="0" w:space="0" w:color="auto"/>
            <w:right w:val="none" w:sz="0" w:space="0" w:color="auto"/>
          </w:divBdr>
        </w:div>
        <w:div w:id="341788283">
          <w:marLeft w:val="0"/>
          <w:marRight w:val="0"/>
          <w:marTop w:val="0"/>
          <w:marBottom w:val="0"/>
          <w:divBdr>
            <w:top w:val="none" w:sz="0" w:space="0" w:color="auto"/>
            <w:left w:val="none" w:sz="0" w:space="0" w:color="auto"/>
            <w:bottom w:val="none" w:sz="0" w:space="0" w:color="auto"/>
            <w:right w:val="none" w:sz="0" w:space="0" w:color="auto"/>
          </w:divBdr>
        </w:div>
        <w:div w:id="1885095600">
          <w:marLeft w:val="0"/>
          <w:marRight w:val="0"/>
          <w:marTop w:val="0"/>
          <w:marBottom w:val="0"/>
          <w:divBdr>
            <w:top w:val="none" w:sz="0" w:space="0" w:color="auto"/>
            <w:left w:val="none" w:sz="0" w:space="0" w:color="auto"/>
            <w:bottom w:val="none" w:sz="0" w:space="0" w:color="auto"/>
            <w:right w:val="none" w:sz="0" w:space="0" w:color="auto"/>
          </w:divBdr>
        </w:div>
        <w:div w:id="1782456725">
          <w:marLeft w:val="0"/>
          <w:marRight w:val="0"/>
          <w:marTop w:val="0"/>
          <w:marBottom w:val="0"/>
          <w:divBdr>
            <w:top w:val="none" w:sz="0" w:space="0" w:color="auto"/>
            <w:left w:val="none" w:sz="0" w:space="0" w:color="auto"/>
            <w:bottom w:val="none" w:sz="0" w:space="0" w:color="auto"/>
            <w:right w:val="none" w:sz="0" w:space="0" w:color="auto"/>
          </w:divBdr>
        </w:div>
        <w:div w:id="1466436305">
          <w:marLeft w:val="0"/>
          <w:marRight w:val="0"/>
          <w:marTop w:val="0"/>
          <w:marBottom w:val="0"/>
          <w:divBdr>
            <w:top w:val="none" w:sz="0" w:space="0" w:color="auto"/>
            <w:left w:val="none" w:sz="0" w:space="0" w:color="auto"/>
            <w:bottom w:val="none" w:sz="0" w:space="0" w:color="auto"/>
            <w:right w:val="none" w:sz="0" w:space="0" w:color="auto"/>
          </w:divBdr>
        </w:div>
        <w:div w:id="169030427">
          <w:marLeft w:val="0"/>
          <w:marRight w:val="0"/>
          <w:marTop w:val="0"/>
          <w:marBottom w:val="0"/>
          <w:divBdr>
            <w:top w:val="none" w:sz="0" w:space="0" w:color="auto"/>
            <w:left w:val="none" w:sz="0" w:space="0" w:color="auto"/>
            <w:bottom w:val="none" w:sz="0" w:space="0" w:color="auto"/>
            <w:right w:val="none" w:sz="0" w:space="0" w:color="auto"/>
          </w:divBdr>
        </w:div>
        <w:div w:id="399602480">
          <w:marLeft w:val="0"/>
          <w:marRight w:val="0"/>
          <w:marTop w:val="0"/>
          <w:marBottom w:val="0"/>
          <w:divBdr>
            <w:top w:val="none" w:sz="0" w:space="0" w:color="auto"/>
            <w:left w:val="none" w:sz="0" w:space="0" w:color="auto"/>
            <w:bottom w:val="none" w:sz="0" w:space="0" w:color="auto"/>
            <w:right w:val="none" w:sz="0" w:space="0" w:color="auto"/>
          </w:divBdr>
        </w:div>
        <w:div w:id="462310179">
          <w:marLeft w:val="0"/>
          <w:marRight w:val="0"/>
          <w:marTop w:val="0"/>
          <w:marBottom w:val="0"/>
          <w:divBdr>
            <w:top w:val="none" w:sz="0" w:space="0" w:color="auto"/>
            <w:left w:val="none" w:sz="0" w:space="0" w:color="auto"/>
            <w:bottom w:val="none" w:sz="0" w:space="0" w:color="auto"/>
            <w:right w:val="none" w:sz="0" w:space="0" w:color="auto"/>
          </w:divBdr>
        </w:div>
        <w:div w:id="277492603">
          <w:marLeft w:val="0"/>
          <w:marRight w:val="0"/>
          <w:marTop w:val="0"/>
          <w:marBottom w:val="0"/>
          <w:divBdr>
            <w:top w:val="none" w:sz="0" w:space="0" w:color="auto"/>
            <w:left w:val="none" w:sz="0" w:space="0" w:color="auto"/>
            <w:bottom w:val="none" w:sz="0" w:space="0" w:color="auto"/>
            <w:right w:val="none" w:sz="0" w:space="0" w:color="auto"/>
          </w:divBdr>
        </w:div>
        <w:div w:id="281308957">
          <w:marLeft w:val="0"/>
          <w:marRight w:val="0"/>
          <w:marTop w:val="0"/>
          <w:marBottom w:val="0"/>
          <w:divBdr>
            <w:top w:val="none" w:sz="0" w:space="0" w:color="auto"/>
            <w:left w:val="none" w:sz="0" w:space="0" w:color="auto"/>
            <w:bottom w:val="none" w:sz="0" w:space="0" w:color="auto"/>
            <w:right w:val="none" w:sz="0" w:space="0" w:color="auto"/>
          </w:divBdr>
        </w:div>
        <w:div w:id="1519847825">
          <w:marLeft w:val="0"/>
          <w:marRight w:val="0"/>
          <w:marTop w:val="0"/>
          <w:marBottom w:val="0"/>
          <w:divBdr>
            <w:top w:val="none" w:sz="0" w:space="0" w:color="auto"/>
            <w:left w:val="none" w:sz="0" w:space="0" w:color="auto"/>
            <w:bottom w:val="none" w:sz="0" w:space="0" w:color="auto"/>
            <w:right w:val="none" w:sz="0" w:space="0" w:color="auto"/>
          </w:divBdr>
        </w:div>
        <w:div w:id="237325330">
          <w:marLeft w:val="0"/>
          <w:marRight w:val="0"/>
          <w:marTop w:val="0"/>
          <w:marBottom w:val="0"/>
          <w:divBdr>
            <w:top w:val="none" w:sz="0" w:space="0" w:color="auto"/>
            <w:left w:val="none" w:sz="0" w:space="0" w:color="auto"/>
            <w:bottom w:val="none" w:sz="0" w:space="0" w:color="auto"/>
            <w:right w:val="none" w:sz="0" w:space="0" w:color="auto"/>
          </w:divBdr>
        </w:div>
        <w:div w:id="1750807088">
          <w:marLeft w:val="0"/>
          <w:marRight w:val="0"/>
          <w:marTop w:val="0"/>
          <w:marBottom w:val="0"/>
          <w:divBdr>
            <w:top w:val="none" w:sz="0" w:space="0" w:color="auto"/>
            <w:left w:val="none" w:sz="0" w:space="0" w:color="auto"/>
            <w:bottom w:val="none" w:sz="0" w:space="0" w:color="auto"/>
            <w:right w:val="none" w:sz="0" w:space="0" w:color="auto"/>
          </w:divBdr>
        </w:div>
        <w:div w:id="1614166121">
          <w:marLeft w:val="0"/>
          <w:marRight w:val="0"/>
          <w:marTop w:val="0"/>
          <w:marBottom w:val="0"/>
          <w:divBdr>
            <w:top w:val="none" w:sz="0" w:space="0" w:color="auto"/>
            <w:left w:val="none" w:sz="0" w:space="0" w:color="auto"/>
            <w:bottom w:val="none" w:sz="0" w:space="0" w:color="auto"/>
            <w:right w:val="none" w:sz="0" w:space="0" w:color="auto"/>
          </w:divBdr>
        </w:div>
        <w:div w:id="1043478284">
          <w:marLeft w:val="0"/>
          <w:marRight w:val="0"/>
          <w:marTop w:val="0"/>
          <w:marBottom w:val="0"/>
          <w:divBdr>
            <w:top w:val="none" w:sz="0" w:space="0" w:color="auto"/>
            <w:left w:val="none" w:sz="0" w:space="0" w:color="auto"/>
            <w:bottom w:val="none" w:sz="0" w:space="0" w:color="auto"/>
            <w:right w:val="none" w:sz="0" w:space="0" w:color="auto"/>
          </w:divBdr>
        </w:div>
        <w:div w:id="1389495384">
          <w:marLeft w:val="0"/>
          <w:marRight w:val="0"/>
          <w:marTop w:val="0"/>
          <w:marBottom w:val="0"/>
          <w:divBdr>
            <w:top w:val="none" w:sz="0" w:space="0" w:color="auto"/>
            <w:left w:val="none" w:sz="0" w:space="0" w:color="auto"/>
            <w:bottom w:val="none" w:sz="0" w:space="0" w:color="auto"/>
            <w:right w:val="none" w:sz="0" w:space="0" w:color="auto"/>
          </w:divBdr>
        </w:div>
        <w:div w:id="1012419965">
          <w:marLeft w:val="0"/>
          <w:marRight w:val="0"/>
          <w:marTop w:val="0"/>
          <w:marBottom w:val="0"/>
          <w:divBdr>
            <w:top w:val="none" w:sz="0" w:space="0" w:color="auto"/>
            <w:left w:val="none" w:sz="0" w:space="0" w:color="auto"/>
            <w:bottom w:val="none" w:sz="0" w:space="0" w:color="auto"/>
            <w:right w:val="none" w:sz="0" w:space="0" w:color="auto"/>
          </w:divBdr>
        </w:div>
        <w:div w:id="1232736946">
          <w:marLeft w:val="0"/>
          <w:marRight w:val="0"/>
          <w:marTop w:val="0"/>
          <w:marBottom w:val="0"/>
          <w:divBdr>
            <w:top w:val="none" w:sz="0" w:space="0" w:color="auto"/>
            <w:left w:val="none" w:sz="0" w:space="0" w:color="auto"/>
            <w:bottom w:val="none" w:sz="0" w:space="0" w:color="auto"/>
            <w:right w:val="none" w:sz="0" w:space="0" w:color="auto"/>
          </w:divBdr>
        </w:div>
      </w:divsChild>
    </w:div>
    <w:div w:id="1436947735">
      <w:bodyDiv w:val="1"/>
      <w:marLeft w:val="0"/>
      <w:marRight w:val="0"/>
      <w:marTop w:val="0"/>
      <w:marBottom w:val="0"/>
      <w:divBdr>
        <w:top w:val="none" w:sz="0" w:space="0" w:color="auto"/>
        <w:left w:val="none" w:sz="0" w:space="0" w:color="auto"/>
        <w:bottom w:val="none" w:sz="0" w:space="0" w:color="auto"/>
        <w:right w:val="none" w:sz="0" w:space="0" w:color="auto"/>
      </w:divBdr>
      <w:divsChild>
        <w:div w:id="1655256417">
          <w:marLeft w:val="0"/>
          <w:marRight w:val="0"/>
          <w:marTop w:val="0"/>
          <w:marBottom w:val="0"/>
          <w:divBdr>
            <w:top w:val="none" w:sz="0" w:space="0" w:color="auto"/>
            <w:left w:val="none" w:sz="0" w:space="0" w:color="auto"/>
            <w:bottom w:val="none" w:sz="0" w:space="0" w:color="auto"/>
            <w:right w:val="none" w:sz="0" w:space="0" w:color="auto"/>
          </w:divBdr>
        </w:div>
        <w:div w:id="1424958372">
          <w:marLeft w:val="0"/>
          <w:marRight w:val="0"/>
          <w:marTop w:val="0"/>
          <w:marBottom w:val="0"/>
          <w:divBdr>
            <w:top w:val="none" w:sz="0" w:space="0" w:color="auto"/>
            <w:left w:val="none" w:sz="0" w:space="0" w:color="auto"/>
            <w:bottom w:val="none" w:sz="0" w:space="0" w:color="auto"/>
            <w:right w:val="none" w:sz="0" w:space="0" w:color="auto"/>
          </w:divBdr>
        </w:div>
        <w:div w:id="1882783941">
          <w:marLeft w:val="0"/>
          <w:marRight w:val="0"/>
          <w:marTop w:val="0"/>
          <w:marBottom w:val="0"/>
          <w:divBdr>
            <w:top w:val="none" w:sz="0" w:space="0" w:color="auto"/>
            <w:left w:val="none" w:sz="0" w:space="0" w:color="auto"/>
            <w:bottom w:val="none" w:sz="0" w:space="0" w:color="auto"/>
            <w:right w:val="none" w:sz="0" w:space="0" w:color="auto"/>
          </w:divBdr>
        </w:div>
        <w:div w:id="404646983">
          <w:marLeft w:val="0"/>
          <w:marRight w:val="0"/>
          <w:marTop w:val="0"/>
          <w:marBottom w:val="0"/>
          <w:divBdr>
            <w:top w:val="none" w:sz="0" w:space="0" w:color="auto"/>
            <w:left w:val="none" w:sz="0" w:space="0" w:color="auto"/>
            <w:bottom w:val="none" w:sz="0" w:space="0" w:color="auto"/>
            <w:right w:val="none" w:sz="0" w:space="0" w:color="auto"/>
          </w:divBdr>
        </w:div>
        <w:div w:id="360203798">
          <w:marLeft w:val="0"/>
          <w:marRight w:val="0"/>
          <w:marTop w:val="0"/>
          <w:marBottom w:val="0"/>
          <w:divBdr>
            <w:top w:val="none" w:sz="0" w:space="0" w:color="auto"/>
            <w:left w:val="none" w:sz="0" w:space="0" w:color="auto"/>
            <w:bottom w:val="none" w:sz="0" w:space="0" w:color="auto"/>
            <w:right w:val="none" w:sz="0" w:space="0" w:color="auto"/>
          </w:divBdr>
        </w:div>
        <w:div w:id="1518084092">
          <w:marLeft w:val="0"/>
          <w:marRight w:val="0"/>
          <w:marTop w:val="0"/>
          <w:marBottom w:val="0"/>
          <w:divBdr>
            <w:top w:val="none" w:sz="0" w:space="0" w:color="auto"/>
            <w:left w:val="none" w:sz="0" w:space="0" w:color="auto"/>
            <w:bottom w:val="none" w:sz="0" w:space="0" w:color="auto"/>
            <w:right w:val="none" w:sz="0" w:space="0" w:color="auto"/>
          </w:divBdr>
        </w:div>
        <w:div w:id="172457061">
          <w:marLeft w:val="0"/>
          <w:marRight w:val="0"/>
          <w:marTop w:val="0"/>
          <w:marBottom w:val="0"/>
          <w:divBdr>
            <w:top w:val="none" w:sz="0" w:space="0" w:color="auto"/>
            <w:left w:val="none" w:sz="0" w:space="0" w:color="auto"/>
            <w:bottom w:val="none" w:sz="0" w:space="0" w:color="auto"/>
            <w:right w:val="none" w:sz="0" w:space="0" w:color="auto"/>
          </w:divBdr>
        </w:div>
        <w:div w:id="1359627432">
          <w:marLeft w:val="0"/>
          <w:marRight w:val="0"/>
          <w:marTop w:val="0"/>
          <w:marBottom w:val="0"/>
          <w:divBdr>
            <w:top w:val="none" w:sz="0" w:space="0" w:color="auto"/>
            <w:left w:val="none" w:sz="0" w:space="0" w:color="auto"/>
            <w:bottom w:val="none" w:sz="0" w:space="0" w:color="auto"/>
            <w:right w:val="none" w:sz="0" w:space="0" w:color="auto"/>
          </w:divBdr>
        </w:div>
        <w:div w:id="2136605648">
          <w:marLeft w:val="0"/>
          <w:marRight w:val="0"/>
          <w:marTop w:val="0"/>
          <w:marBottom w:val="0"/>
          <w:divBdr>
            <w:top w:val="none" w:sz="0" w:space="0" w:color="auto"/>
            <w:left w:val="none" w:sz="0" w:space="0" w:color="auto"/>
            <w:bottom w:val="none" w:sz="0" w:space="0" w:color="auto"/>
            <w:right w:val="none" w:sz="0" w:space="0" w:color="auto"/>
          </w:divBdr>
        </w:div>
      </w:divsChild>
    </w:div>
    <w:div w:id="1494564419">
      <w:bodyDiv w:val="1"/>
      <w:marLeft w:val="0"/>
      <w:marRight w:val="0"/>
      <w:marTop w:val="0"/>
      <w:marBottom w:val="0"/>
      <w:divBdr>
        <w:top w:val="none" w:sz="0" w:space="0" w:color="auto"/>
        <w:left w:val="none" w:sz="0" w:space="0" w:color="auto"/>
        <w:bottom w:val="none" w:sz="0" w:space="0" w:color="auto"/>
        <w:right w:val="none" w:sz="0" w:space="0" w:color="auto"/>
      </w:divBdr>
      <w:divsChild>
        <w:div w:id="1674338767">
          <w:marLeft w:val="0"/>
          <w:marRight w:val="0"/>
          <w:marTop w:val="0"/>
          <w:marBottom w:val="0"/>
          <w:divBdr>
            <w:top w:val="none" w:sz="0" w:space="0" w:color="auto"/>
            <w:left w:val="none" w:sz="0" w:space="0" w:color="auto"/>
            <w:bottom w:val="none" w:sz="0" w:space="0" w:color="auto"/>
            <w:right w:val="none" w:sz="0" w:space="0" w:color="auto"/>
          </w:divBdr>
        </w:div>
        <w:div w:id="1681198106">
          <w:marLeft w:val="0"/>
          <w:marRight w:val="0"/>
          <w:marTop w:val="0"/>
          <w:marBottom w:val="0"/>
          <w:divBdr>
            <w:top w:val="none" w:sz="0" w:space="0" w:color="auto"/>
            <w:left w:val="none" w:sz="0" w:space="0" w:color="auto"/>
            <w:bottom w:val="none" w:sz="0" w:space="0" w:color="auto"/>
            <w:right w:val="none" w:sz="0" w:space="0" w:color="auto"/>
          </w:divBdr>
        </w:div>
        <w:div w:id="1403603758">
          <w:marLeft w:val="0"/>
          <w:marRight w:val="0"/>
          <w:marTop w:val="0"/>
          <w:marBottom w:val="0"/>
          <w:divBdr>
            <w:top w:val="none" w:sz="0" w:space="0" w:color="auto"/>
            <w:left w:val="none" w:sz="0" w:space="0" w:color="auto"/>
            <w:bottom w:val="none" w:sz="0" w:space="0" w:color="auto"/>
            <w:right w:val="none" w:sz="0" w:space="0" w:color="auto"/>
          </w:divBdr>
        </w:div>
        <w:div w:id="1227765925">
          <w:marLeft w:val="0"/>
          <w:marRight w:val="0"/>
          <w:marTop w:val="0"/>
          <w:marBottom w:val="0"/>
          <w:divBdr>
            <w:top w:val="none" w:sz="0" w:space="0" w:color="auto"/>
            <w:left w:val="none" w:sz="0" w:space="0" w:color="auto"/>
            <w:bottom w:val="none" w:sz="0" w:space="0" w:color="auto"/>
            <w:right w:val="none" w:sz="0" w:space="0" w:color="auto"/>
          </w:divBdr>
        </w:div>
        <w:div w:id="545138336">
          <w:marLeft w:val="0"/>
          <w:marRight w:val="0"/>
          <w:marTop w:val="0"/>
          <w:marBottom w:val="0"/>
          <w:divBdr>
            <w:top w:val="none" w:sz="0" w:space="0" w:color="auto"/>
            <w:left w:val="none" w:sz="0" w:space="0" w:color="auto"/>
            <w:bottom w:val="none" w:sz="0" w:space="0" w:color="auto"/>
            <w:right w:val="none" w:sz="0" w:space="0" w:color="auto"/>
          </w:divBdr>
        </w:div>
        <w:div w:id="1491363400">
          <w:marLeft w:val="0"/>
          <w:marRight w:val="0"/>
          <w:marTop w:val="0"/>
          <w:marBottom w:val="0"/>
          <w:divBdr>
            <w:top w:val="none" w:sz="0" w:space="0" w:color="auto"/>
            <w:left w:val="none" w:sz="0" w:space="0" w:color="auto"/>
            <w:bottom w:val="none" w:sz="0" w:space="0" w:color="auto"/>
            <w:right w:val="none" w:sz="0" w:space="0" w:color="auto"/>
          </w:divBdr>
        </w:div>
        <w:div w:id="85149795">
          <w:marLeft w:val="0"/>
          <w:marRight w:val="0"/>
          <w:marTop w:val="0"/>
          <w:marBottom w:val="0"/>
          <w:divBdr>
            <w:top w:val="none" w:sz="0" w:space="0" w:color="auto"/>
            <w:left w:val="none" w:sz="0" w:space="0" w:color="auto"/>
            <w:bottom w:val="none" w:sz="0" w:space="0" w:color="auto"/>
            <w:right w:val="none" w:sz="0" w:space="0" w:color="auto"/>
          </w:divBdr>
        </w:div>
        <w:div w:id="182129267">
          <w:marLeft w:val="0"/>
          <w:marRight w:val="0"/>
          <w:marTop w:val="0"/>
          <w:marBottom w:val="0"/>
          <w:divBdr>
            <w:top w:val="none" w:sz="0" w:space="0" w:color="auto"/>
            <w:left w:val="none" w:sz="0" w:space="0" w:color="auto"/>
            <w:bottom w:val="none" w:sz="0" w:space="0" w:color="auto"/>
            <w:right w:val="none" w:sz="0" w:space="0" w:color="auto"/>
          </w:divBdr>
        </w:div>
      </w:divsChild>
    </w:div>
    <w:div w:id="1522356905">
      <w:bodyDiv w:val="1"/>
      <w:marLeft w:val="0"/>
      <w:marRight w:val="0"/>
      <w:marTop w:val="0"/>
      <w:marBottom w:val="0"/>
      <w:divBdr>
        <w:top w:val="none" w:sz="0" w:space="0" w:color="auto"/>
        <w:left w:val="none" w:sz="0" w:space="0" w:color="auto"/>
        <w:bottom w:val="none" w:sz="0" w:space="0" w:color="auto"/>
        <w:right w:val="none" w:sz="0" w:space="0" w:color="auto"/>
      </w:divBdr>
      <w:divsChild>
        <w:div w:id="1136147383">
          <w:marLeft w:val="0"/>
          <w:marRight w:val="0"/>
          <w:marTop w:val="0"/>
          <w:marBottom w:val="0"/>
          <w:divBdr>
            <w:top w:val="none" w:sz="0" w:space="0" w:color="auto"/>
            <w:left w:val="none" w:sz="0" w:space="0" w:color="auto"/>
            <w:bottom w:val="none" w:sz="0" w:space="0" w:color="auto"/>
            <w:right w:val="none" w:sz="0" w:space="0" w:color="auto"/>
          </w:divBdr>
        </w:div>
        <w:div w:id="69156407">
          <w:marLeft w:val="0"/>
          <w:marRight w:val="0"/>
          <w:marTop w:val="0"/>
          <w:marBottom w:val="0"/>
          <w:divBdr>
            <w:top w:val="none" w:sz="0" w:space="0" w:color="auto"/>
            <w:left w:val="none" w:sz="0" w:space="0" w:color="auto"/>
            <w:bottom w:val="none" w:sz="0" w:space="0" w:color="auto"/>
            <w:right w:val="none" w:sz="0" w:space="0" w:color="auto"/>
          </w:divBdr>
        </w:div>
        <w:div w:id="1870795626">
          <w:marLeft w:val="0"/>
          <w:marRight w:val="0"/>
          <w:marTop w:val="0"/>
          <w:marBottom w:val="0"/>
          <w:divBdr>
            <w:top w:val="none" w:sz="0" w:space="0" w:color="auto"/>
            <w:left w:val="none" w:sz="0" w:space="0" w:color="auto"/>
            <w:bottom w:val="none" w:sz="0" w:space="0" w:color="auto"/>
            <w:right w:val="none" w:sz="0" w:space="0" w:color="auto"/>
          </w:divBdr>
        </w:div>
        <w:div w:id="1184397201">
          <w:marLeft w:val="0"/>
          <w:marRight w:val="0"/>
          <w:marTop w:val="0"/>
          <w:marBottom w:val="0"/>
          <w:divBdr>
            <w:top w:val="none" w:sz="0" w:space="0" w:color="auto"/>
            <w:left w:val="none" w:sz="0" w:space="0" w:color="auto"/>
            <w:bottom w:val="none" w:sz="0" w:space="0" w:color="auto"/>
            <w:right w:val="none" w:sz="0" w:space="0" w:color="auto"/>
          </w:divBdr>
        </w:div>
        <w:div w:id="573391942">
          <w:marLeft w:val="0"/>
          <w:marRight w:val="0"/>
          <w:marTop w:val="0"/>
          <w:marBottom w:val="0"/>
          <w:divBdr>
            <w:top w:val="none" w:sz="0" w:space="0" w:color="auto"/>
            <w:left w:val="none" w:sz="0" w:space="0" w:color="auto"/>
            <w:bottom w:val="none" w:sz="0" w:space="0" w:color="auto"/>
            <w:right w:val="none" w:sz="0" w:space="0" w:color="auto"/>
          </w:divBdr>
        </w:div>
        <w:div w:id="1336417889">
          <w:marLeft w:val="0"/>
          <w:marRight w:val="0"/>
          <w:marTop w:val="0"/>
          <w:marBottom w:val="0"/>
          <w:divBdr>
            <w:top w:val="none" w:sz="0" w:space="0" w:color="auto"/>
            <w:left w:val="none" w:sz="0" w:space="0" w:color="auto"/>
            <w:bottom w:val="none" w:sz="0" w:space="0" w:color="auto"/>
            <w:right w:val="none" w:sz="0" w:space="0" w:color="auto"/>
          </w:divBdr>
        </w:div>
        <w:div w:id="279190211">
          <w:marLeft w:val="0"/>
          <w:marRight w:val="0"/>
          <w:marTop w:val="0"/>
          <w:marBottom w:val="0"/>
          <w:divBdr>
            <w:top w:val="none" w:sz="0" w:space="0" w:color="auto"/>
            <w:left w:val="none" w:sz="0" w:space="0" w:color="auto"/>
            <w:bottom w:val="none" w:sz="0" w:space="0" w:color="auto"/>
            <w:right w:val="none" w:sz="0" w:space="0" w:color="auto"/>
          </w:divBdr>
        </w:div>
        <w:div w:id="1174956916">
          <w:marLeft w:val="0"/>
          <w:marRight w:val="0"/>
          <w:marTop w:val="0"/>
          <w:marBottom w:val="0"/>
          <w:divBdr>
            <w:top w:val="none" w:sz="0" w:space="0" w:color="auto"/>
            <w:left w:val="none" w:sz="0" w:space="0" w:color="auto"/>
            <w:bottom w:val="none" w:sz="0" w:space="0" w:color="auto"/>
            <w:right w:val="none" w:sz="0" w:space="0" w:color="auto"/>
          </w:divBdr>
        </w:div>
        <w:div w:id="1685159748">
          <w:marLeft w:val="0"/>
          <w:marRight w:val="0"/>
          <w:marTop w:val="0"/>
          <w:marBottom w:val="0"/>
          <w:divBdr>
            <w:top w:val="none" w:sz="0" w:space="0" w:color="auto"/>
            <w:left w:val="none" w:sz="0" w:space="0" w:color="auto"/>
            <w:bottom w:val="none" w:sz="0" w:space="0" w:color="auto"/>
            <w:right w:val="none" w:sz="0" w:space="0" w:color="auto"/>
          </w:divBdr>
        </w:div>
        <w:div w:id="2143961748">
          <w:marLeft w:val="0"/>
          <w:marRight w:val="0"/>
          <w:marTop w:val="0"/>
          <w:marBottom w:val="0"/>
          <w:divBdr>
            <w:top w:val="none" w:sz="0" w:space="0" w:color="auto"/>
            <w:left w:val="none" w:sz="0" w:space="0" w:color="auto"/>
            <w:bottom w:val="none" w:sz="0" w:space="0" w:color="auto"/>
            <w:right w:val="none" w:sz="0" w:space="0" w:color="auto"/>
          </w:divBdr>
        </w:div>
        <w:div w:id="1012804303">
          <w:marLeft w:val="0"/>
          <w:marRight w:val="0"/>
          <w:marTop w:val="0"/>
          <w:marBottom w:val="0"/>
          <w:divBdr>
            <w:top w:val="none" w:sz="0" w:space="0" w:color="auto"/>
            <w:left w:val="none" w:sz="0" w:space="0" w:color="auto"/>
            <w:bottom w:val="none" w:sz="0" w:space="0" w:color="auto"/>
            <w:right w:val="none" w:sz="0" w:space="0" w:color="auto"/>
          </w:divBdr>
        </w:div>
        <w:div w:id="1441804155">
          <w:marLeft w:val="0"/>
          <w:marRight w:val="0"/>
          <w:marTop w:val="0"/>
          <w:marBottom w:val="0"/>
          <w:divBdr>
            <w:top w:val="none" w:sz="0" w:space="0" w:color="auto"/>
            <w:left w:val="none" w:sz="0" w:space="0" w:color="auto"/>
            <w:bottom w:val="none" w:sz="0" w:space="0" w:color="auto"/>
            <w:right w:val="none" w:sz="0" w:space="0" w:color="auto"/>
          </w:divBdr>
        </w:div>
        <w:div w:id="153693681">
          <w:marLeft w:val="0"/>
          <w:marRight w:val="0"/>
          <w:marTop w:val="0"/>
          <w:marBottom w:val="0"/>
          <w:divBdr>
            <w:top w:val="none" w:sz="0" w:space="0" w:color="auto"/>
            <w:left w:val="none" w:sz="0" w:space="0" w:color="auto"/>
            <w:bottom w:val="none" w:sz="0" w:space="0" w:color="auto"/>
            <w:right w:val="none" w:sz="0" w:space="0" w:color="auto"/>
          </w:divBdr>
        </w:div>
        <w:div w:id="122191573">
          <w:marLeft w:val="0"/>
          <w:marRight w:val="0"/>
          <w:marTop w:val="0"/>
          <w:marBottom w:val="0"/>
          <w:divBdr>
            <w:top w:val="none" w:sz="0" w:space="0" w:color="auto"/>
            <w:left w:val="none" w:sz="0" w:space="0" w:color="auto"/>
            <w:bottom w:val="none" w:sz="0" w:space="0" w:color="auto"/>
            <w:right w:val="none" w:sz="0" w:space="0" w:color="auto"/>
          </w:divBdr>
        </w:div>
        <w:div w:id="1787043543">
          <w:marLeft w:val="0"/>
          <w:marRight w:val="0"/>
          <w:marTop w:val="0"/>
          <w:marBottom w:val="0"/>
          <w:divBdr>
            <w:top w:val="none" w:sz="0" w:space="0" w:color="auto"/>
            <w:left w:val="none" w:sz="0" w:space="0" w:color="auto"/>
            <w:bottom w:val="none" w:sz="0" w:space="0" w:color="auto"/>
            <w:right w:val="none" w:sz="0" w:space="0" w:color="auto"/>
          </w:divBdr>
        </w:div>
        <w:div w:id="891424648">
          <w:marLeft w:val="0"/>
          <w:marRight w:val="0"/>
          <w:marTop w:val="0"/>
          <w:marBottom w:val="0"/>
          <w:divBdr>
            <w:top w:val="none" w:sz="0" w:space="0" w:color="auto"/>
            <w:left w:val="none" w:sz="0" w:space="0" w:color="auto"/>
            <w:bottom w:val="none" w:sz="0" w:space="0" w:color="auto"/>
            <w:right w:val="none" w:sz="0" w:space="0" w:color="auto"/>
          </w:divBdr>
        </w:div>
        <w:div w:id="1736321129">
          <w:marLeft w:val="0"/>
          <w:marRight w:val="0"/>
          <w:marTop w:val="0"/>
          <w:marBottom w:val="0"/>
          <w:divBdr>
            <w:top w:val="none" w:sz="0" w:space="0" w:color="auto"/>
            <w:left w:val="none" w:sz="0" w:space="0" w:color="auto"/>
            <w:bottom w:val="none" w:sz="0" w:space="0" w:color="auto"/>
            <w:right w:val="none" w:sz="0" w:space="0" w:color="auto"/>
          </w:divBdr>
        </w:div>
        <w:div w:id="1202353531">
          <w:marLeft w:val="0"/>
          <w:marRight w:val="0"/>
          <w:marTop w:val="0"/>
          <w:marBottom w:val="0"/>
          <w:divBdr>
            <w:top w:val="none" w:sz="0" w:space="0" w:color="auto"/>
            <w:left w:val="none" w:sz="0" w:space="0" w:color="auto"/>
            <w:bottom w:val="none" w:sz="0" w:space="0" w:color="auto"/>
            <w:right w:val="none" w:sz="0" w:space="0" w:color="auto"/>
          </w:divBdr>
        </w:div>
        <w:div w:id="282155624">
          <w:marLeft w:val="0"/>
          <w:marRight w:val="0"/>
          <w:marTop w:val="0"/>
          <w:marBottom w:val="0"/>
          <w:divBdr>
            <w:top w:val="none" w:sz="0" w:space="0" w:color="auto"/>
            <w:left w:val="none" w:sz="0" w:space="0" w:color="auto"/>
            <w:bottom w:val="none" w:sz="0" w:space="0" w:color="auto"/>
            <w:right w:val="none" w:sz="0" w:space="0" w:color="auto"/>
          </w:divBdr>
        </w:div>
      </w:divsChild>
    </w:div>
    <w:div w:id="1541745871">
      <w:bodyDiv w:val="1"/>
      <w:marLeft w:val="0"/>
      <w:marRight w:val="0"/>
      <w:marTop w:val="0"/>
      <w:marBottom w:val="0"/>
      <w:divBdr>
        <w:top w:val="none" w:sz="0" w:space="0" w:color="auto"/>
        <w:left w:val="none" w:sz="0" w:space="0" w:color="auto"/>
        <w:bottom w:val="none" w:sz="0" w:space="0" w:color="auto"/>
        <w:right w:val="none" w:sz="0" w:space="0" w:color="auto"/>
      </w:divBdr>
      <w:divsChild>
        <w:div w:id="1836918307">
          <w:marLeft w:val="0"/>
          <w:marRight w:val="0"/>
          <w:marTop w:val="0"/>
          <w:marBottom w:val="0"/>
          <w:divBdr>
            <w:top w:val="none" w:sz="0" w:space="0" w:color="auto"/>
            <w:left w:val="none" w:sz="0" w:space="0" w:color="auto"/>
            <w:bottom w:val="none" w:sz="0" w:space="0" w:color="auto"/>
            <w:right w:val="none" w:sz="0" w:space="0" w:color="auto"/>
          </w:divBdr>
        </w:div>
        <w:div w:id="417604924">
          <w:marLeft w:val="0"/>
          <w:marRight w:val="0"/>
          <w:marTop w:val="0"/>
          <w:marBottom w:val="0"/>
          <w:divBdr>
            <w:top w:val="none" w:sz="0" w:space="0" w:color="auto"/>
            <w:left w:val="none" w:sz="0" w:space="0" w:color="auto"/>
            <w:bottom w:val="none" w:sz="0" w:space="0" w:color="auto"/>
            <w:right w:val="none" w:sz="0" w:space="0" w:color="auto"/>
          </w:divBdr>
        </w:div>
        <w:div w:id="1947350836">
          <w:marLeft w:val="0"/>
          <w:marRight w:val="0"/>
          <w:marTop w:val="0"/>
          <w:marBottom w:val="0"/>
          <w:divBdr>
            <w:top w:val="none" w:sz="0" w:space="0" w:color="auto"/>
            <w:left w:val="none" w:sz="0" w:space="0" w:color="auto"/>
            <w:bottom w:val="none" w:sz="0" w:space="0" w:color="auto"/>
            <w:right w:val="none" w:sz="0" w:space="0" w:color="auto"/>
          </w:divBdr>
        </w:div>
        <w:div w:id="1404185831">
          <w:marLeft w:val="0"/>
          <w:marRight w:val="0"/>
          <w:marTop w:val="0"/>
          <w:marBottom w:val="0"/>
          <w:divBdr>
            <w:top w:val="none" w:sz="0" w:space="0" w:color="auto"/>
            <w:left w:val="none" w:sz="0" w:space="0" w:color="auto"/>
            <w:bottom w:val="none" w:sz="0" w:space="0" w:color="auto"/>
            <w:right w:val="none" w:sz="0" w:space="0" w:color="auto"/>
          </w:divBdr>
        </w:div>
        <w:div w:id="994913108">
          <w:marLeft w:val="0"/>
          <w:marRight w:val="0"/>
          <w:marTop w:val="0"/>
          <w:marBottom w:val="0"/>
          <w:divBdr>
            <w:top w:val="none" w:sz="0" w:space="0" w:color="auto"/>
            <w:left w:val="none" w:sz="0" w:space="0" w:color="auto"/>
            <w:bottom w:val="none" w:sz="0" w:space="0" w:color="auto"/>
            <w:right w:val="none" w:sz="0" w:space="0" w:color="auto"/>
          </w:divBdr>
        </w:div>
        <w:div w:id="1336152384">
          <w:marLeft w:val="0"/>
          <w:marRight w:val="0"/>
          <w:marTop w:val="0"/>
          <w:marBottom w:val="0"/>
          <w:divBdr>
            <w:top w:val="none" w:sz="0" w:space="0" w:color="auto"/>
            <w:left w:val="none" w:sz="0" w:space="0" w:color="auto"/>
            <w:bottom w:val="none" w:sz="0" w:space="0" w:color="auto"/>
            <w:right w:val="none" w:sz="0" w:space="0" w:color="auto"/>
          </w:divBdr>
        </w:div>
        <w:div w:id="1297182371">
          <w:marLeft w:val="0"/>
          <w:marRight w:val="0"/>
          <w:marTop w:val="0"/>
          <w:marBottom w:val="0"/>
          <w:divBdr>
            <w:top w:val="none" w:sz="0" w:space="0" w:color="auto"/>
            <w:left w:val="none" w:sz="0" w:space="0" w:color="auto"/>
            <w:bottom w:val="none" w:sz="0" w:space="0" w:color="auto"/>
            <w:right w:val="none" w:sz="0" w:space="0" w:color="auto"/>
          </w:divBdr>
        </w:div>
        <w:div w:id="204874993">
          <w:marLeft w:val="0"/>
          <w:marRight w:val="0"/>
          <w:marTop w:val="0"/>
          <w:marBottom w:val="0"/>
          <w:divBdr>
            <w:top w:val="none" w:sz="0" w:space="0" w:color="auto"/>
            <w:left w:val="none" w:sz="0" w:space="0" w:color="auto"/>
            <w:bottom w:val="none" w:sz="0" w:space="0" w:color="auto"/>
            <w:right w:val="none" w:sz="0" w:space="0" w:color="auto"/>
          </w:divBdr>
        </w:div>
        <w:div w:id="839663299">
          <w:marLeft w:val="0"/>
          <w:marRight w:val="0"/>
          <w:marTop w:val="0"/>
          <w:marBottom w:val="0"/>
          <w:divBdr>
            <w:top w:val="none" w:sz="0" w:space="0" w:color="auto"/>
            <w:left w:val="none" w:sz="0" w:space="0" w:color="auto"/>
            <w:bottom w:val="none" w:sz="0" w:space="0" w:color="auto"/>
            <w:right w:val="none" w:sz="0" w:space="0" w:color="auto"/>
          </w:divBdr>
        </w:div>
        <w:div w:id="1195078415">
          <w:marLeft w:val="0"/>
          <w:marRight w:val="0"/>
          <w:marTop w:val="0"/>
          <w:marBottom w:val="0"/>
          <w:divBdr>
            <w:top w:val="none" w:sz="0" w:space="0" w:color="auto"/>
            <w:left w:val="none" w:sz="0" w:space="0" w:color="auto"/>
            <w:bottom w:val="none" w:sz="0" w:space="0" w:color="auto"/>
            <w:right w:val="none" w:sz="0" w:space="0" w:color="auto"/>
          </w:divBdr>
        </w:div>
        <w:div w:id="984894209">
          <w:marLeft w:val="0"/>
          <w:marRight w:val="0"/>
          <w:marTop w:val="0"/>
          <w:marBottom w:val="0"/>
          <w:divBdr>
            <w:top w:val="none" w:sz="0" w:space="0" w:color="auto"/>
            <w:left w:val="none" w:sz="0" w:space="0" w:color="auto"/>
            <w:bottom w:val="none" w:sz="0" w:space="0" w:color="auto"/>
            <w:right w:val="none" w:sz="0" w:space="0" w:color="auto"/>
          </w:divBdr>
        </w:div>
        <w:div w:id="2136170962">
          <w:marLeft w:val="0"/>
          <w:marRight w:val="0"/>
          <w:marTop w:val="0"/>
          <w:marBottom w:val="0"/>
          <w:divBdr>
            <w:top w:val="none" w:sz="0" w:space="0" w:color="auto"/>
            <w:left w:val="none" w:sz="0" w:space="0" w:color="auto"/>
            <w:bottom w:val="none" w:sz="0" w:space="0" w:color="auto"/>
            <w:right w:val="none" w:sz="0" w:space="0" w:color="auto"/>
          </w:divBdr>
        </w:div>
        <w:div w:id="1649166522">
          <w:marLeft w:val="0"/>
          <w:marRight w:val="0"/>
          <w:marTop w:val="0"/>
          <w:marBottom w:val="0"/>
          <w:divBdr>
            <w:top w:val="none" w:sz="0" w:space="0" w:color="auto"/>
            <w:left w:val="none" w:sz="0" w:space="0" w:color="auto"/>
            <w:bottom w:val="none" w:sz="0" w:space="0" w:color="auto"/>
            <w:right w:val="none" w:sz="0" w:space="0" w:color="auto"/>
          </w:divBdr>
        </w:div>
        <w:div w:id="773786946">
          <w:marLeft w:val="0"/>
          <w:marRight w:val="0"/>
          <w:marTop w:val="0"/>
          <w:marBottom w:val="0"/>
          <w:divBdr>
            <w:top w:val="none" w:sz="0" w:space="0" w:color="auto"/>
            <w:left w:val="none" w:sz="0" w:space="0" w:color="auto"/>
            <w:bottom w:val="none" w:sz="0" w:space="0" w:color="auto"/>
            <w:right w:val="none" w:sz="0" w:space="0" w:color="auto"/>
          </w:divBdr>
        </w:div>
        <w:div w:id="457533651">
          <w:marLeft w:val="0"/>
          <w:marRight w:val="0"/>
          <w:marTop w:val="0"/>
          <w:marBottom w:val="0"/>
          <w:divBdr>
            <w:top w:val="none" w:sz="0" w:space="0" w:color="auto"/>
            <w:left w:val="none" w:sz="0" w:space="0" w:color="auto"/>
            <w:bottom w:val="none" w:sz="0" w:space="0" w:color="auto"/>
            <w:right w:val="none" w:sz="0" w:space="0" w:color="auto"/>
          </w:divBdr>
        </w:div>
        <w:div w:id="256330289">
          <w:marLeft w:val="0"/>
          <w:marRight w:val="0"/>
          <w:marTop w:val="0"/>
          <w:marBottom w:val="0"/>
          <w:divBdr>
            <w:top w:val="none" w:sz="0" w:space="0" w:color="auto"/>
            <w:left w:val="none" w:sz="0" w:space="0" w:color="auto"/>
            <w:bottom w:val="none" w:sz="0" w:space="0" w:color="auto"/>
            <w:right w:val="none" w:sz="0" w:space="0" w:color="auto"/>
          </w:divBdr>
        </w:div>
      </w:divsChild>
    </w:div>
    <w:div w:id="1568688610">
      <w:bodyDiv w:val="1"/>
      <w:marLeft w:val="0"/>
      <w:marRight w:val="0"/>
      <w:marTop w:val="0"/>
      <w:marBottom w:val="0"/>
      <w:divBdr>
        <w:top w:val="none" w:sz="0" w:space="0" w:color="auto"/>
        <w:left w:val="none" w:sz="0" w:space="0" w:color="auto"/>
        <w:bottom w:val="none" w:sz="0" w:space="0" w:color="auto"/>
        <w:right w:val="none" w:sz="0" w:space="0" w:color="auto"/>
      </w:divBdr>
      <w:divsChild>
        <w:div w:id="1516113187">
          <w:marLeft w:val="0"/>
          <w:marRight w:val="0"/>
          <w:marTop w:val="0"/>
          <w:marBottom w:val="0"/>
          <w:divBdr>
            <w:top w:val="none" w:sz="0" w:space="0" w:color="auto"/>
            <w:left w:val="none" w:sz="0" w:space="0" w:color="auto"/>
            <w:bottom w:val="none" w:sz="0" w:space="0" w:color="auto"/>
            <w:right w:val="none" w:sz="0" w:space="0" w:color="auto"/>
          </w:divBdr>
        </w:div>
        <w:div w:id="148908148">
          <w:marLeft w:val="0"/>
          <w:marRight w:val="0"/>
          <w:marTop w:val="0"/>
          <w:marBottom w:val="0"/>
          <w:divBdr>
            <w:top w:val="none" w:sz="0" w:space="0" w:color="auto"/>
            <w:left w:val="none" w:sz="0" w:space="0" w:color="auto"/>
            <w:bottom w:val="none" w:sz="0" w:space="0" w:color="auto"/>
            <w:right w:val="none" w:sz="0" w:space="0" w:color="auto"/>
          </w:divBdr>
        </w:div>
        <w:div w:id="284655186">
          <w:marLeft w:val="0"/>
          <w:marRight w:val="0"/>
          <w:marTop w:val="0"/>
          <w:marBottom w:val="0"/>
          <w:divBdr>
            <w:top w:val="none" w:sz="0" w:space="0" w:color="auto"/>
            <w:left w:val="none" w:sz="0" w:space="0" w:color="auto"/>
            <w:bottom w:val="none" w:sz="0" w:space="0" w:color="auto"/>
            <w:right w:val="none" w:sz="0" w:space="0" w:color="auto"/>
          </w:divBdr>
        </w:div>
        <w:div w:id="1290671139">
          <w:marLeft w:val="0"/>
          <w:marRight w:val="0"/>
          <w:marTop w:val="0"/>
          <w:marBottom w:val="0"/>
          <w:divBdr>
            <w:top w:val="none" w:sz="0" w:space="0" w:color="auto"/>
            <w:left w:val="none" w:sz="0" w:space="0" w:color="auto"/>
            <w:bottom w:val="none" w:sz="0" w:space="0" w:color="auto"/>
            <w:right w:val="none" w:sz="0" w:space="0" w:color="auto"/>
          </w:divBdr>
        </w:div>
        <w:div w:id="144860002">
          <w:marLeft w:val="0"/>
          <w:marRight w:val="0"/>
          <w:marTop w:val="0"/>
          <w:marBottom w:val="0"/>
          <w:divBdr>
            <w:top w:val="none" w:sz="0" w:space="0" w:color="auto"/>
            <w:left w:val="none" w:sz="0" w:space="0" w:color="auto"/>
            <w:bottom w:val="none" w:sz="0" w:space="0" w:color="auto"/>
            <w:right w:val="none" w:sz="0" w:space="0" w:color="auto"/>
          </w:divBdr>
        </w:div>
      </w:divsChild>
    </w:div>
    <w:div w:id="1568758936">
      <w:bodyDiv w:val="1"/>
      <w:marLeft w:val="0"/>
      <w:marRight w:val="0"/>
      <w:marTop w:val="0"/>
      <w:marBottom w:val="0"/>
      <w:divBdr>
        <w:top w:val="none" w:sz="0" w:space="0" w:color="auto"/>
        <w:left w:val="none" w:sz="0" w:space="0" w:color="auto"/>
        <w:bottom w:val="none" w:sz="0" w:space="0" w:color="auto"/>
        <w:right w:val="none" w:sz="0" w:space="0" w:color="auto"/>
      </w:divBdr>
      <w:divsChild>
        <w:div w:id="1796363599">
          <w:marLeft w:val="0"/>
          <w:marRight w:val="0"/>
          <w:marTop w:val="0"/>
          <w:marBottom w:val="0"/>
          <w:divBdr>
            <w:top w:val="none" w:sz="0" w:space="0" w:color="auto"/>
            <w:left w:val="none" w:sz="0" w:space="0" w:color="auto"/>
            <w:bottom w:val="none" w:sz="0" w:space="0" w:color="auto"/>
            <w:right w:val="none" w:sz="0" w:space="0" w:color="auto"/>
          </w:divBdr>
        </w:div>
        <w:div w:id="1226725710">
          <w:marLeft w:val="0"/>
          <w:marRight w:val="0"/>
          <w:marTop w:val="0"/>
          <w:marBottom w:val="0"/>
          <w:divBdr>
            <w:top w:val="none" w:sz="0" w:space="0" w:color="auto"/>
            <w:left w:val="none" w:sz="0" w:space="0" w:color="auto"/>
            <w:bottom w:val="none" w:sz="0" w:space="0" w:color="auto"/>
            <w:right w:val="none" w:sz="0" w:space="0" w:color="auto"/>
          </w:divBdr>
        </w:div>
        <w:div w:id="570307262">
          <w:marLeft w:val="0"/>
          <w:marRight w:val="0"/>
          <w:marTop w:val="0"/>
          <w:marBottom w:val="0"/>
          <w:divBdr>
            <w:top w:val="none" w:sz="0" w:space="0" w:color="auto"/>
            <w:left w:val="none" w:sz="0" w:space="0" w:color="auto"/>
            <w:bottom w:val="none" w:sz="0" w:space="0" w:color="auto"/>
            <w:right w:val="none" w:sz="0" w:space="0" w:color="auto"/>
          </w:divBdr>
        </w:div>
        <w:div w:id="1208760335">
          <w:marLeft w:val="0"/>
          <w:marRight w:val="0"/>
          <w:marTop w:val="0"/>
          <w:marBottom w:val="0"/>
          <w:divBdr>
            <w:top w:val="none" w:sz="0" w:space="0" w:color="auto"/>
            <w:left w:val="none" w:sz="0" w:space="0" w:color="auto"/>
            <w:bottom w:val="none" w:sz="0" w:space="0" w:color="auto"/>
            <w:right w:val="none" w:sz="0" w:space="0" w:color="auto"/>
          </w:divBdr>
        </w:div>
        <w:div w:id="569267889">
          <w:marLeft w:val="0"/>
          <w:marRight w:val="0"/>
          <w:marTop w:val="0"/>
          <w:marBottom w:val="0"/>
          <w:divBdr>
            <w:top w:val="none" w:sz="0" w:space="0" w:color="auto"/>
            <w:left w:val="none" w:sz="0" w:space="0" w:color="auto"/>
            <w:bottom w:val="none" w:sz="0" w:space="0" w:color="auto"/>
            <w:right w:val="none" w:sz="0" w:space="0" w:color="auto"/>
          </w:divBdr>
        </w:div>
        <w:div w:id="1842350498">
          <w:marLeft w:val="0"/>
          <w:marRight w:val="0"/>
          <w:marTop w:val="0"/>
          <w:marBottom w:val="0"/>
          <w:divBdr>
            <w:top w:val="none" w:sz="0" w:space="0" w:color="auto"/>
            <w:left w:val="none" w:sz="0" w:space="0" w:color="auto"/>
            <w:bottom w:val="none" w:sz="0" w:space="0" w:color="auto"/>
            <w:right w:val="none" w:sz="0" w:space="0" w:color="auto"/>
          </w:divBdr>
        </w:div>
        <w:div w:id="548226085">
          <w:marLeft w:val="0"/>
          <w:marRight w:val="0"/>
          <w:marTop w:val="0"/>
          <w:marBottom w:val="0"/>
          <w:divBdr>
            <w:top w:val="none" w:sz="0" w:space="0" w:color="auto"/>
            <w:left w:val="none" w:sz="0" w:space="0" w:color="auto"/>
            <w:bottom w:val="none" w:sz="0" w:space="0" w:color="auto"/>
            <w:right w:val="none" w:sz="0" w:space="0" w:color="auto"/>
          </w:divBdr>
        </w:div>
      </w:divsChild>
    </w:div>
    <w:div w:id="1573082081">
      <w:bodyDiv w:val="1"/>
      <w:marLeft w:val="0"/>
      <w:marRight w:val="0"/>
      <w:marTop w:val="0"/>
      <w:marBottom w:val="0"/>
      <w:divBdr>
        <w:top w:val="none" w:sz="0" w:space="0" w:color="auto"/>
        <w:left w:val="none" w:sz="0" w:space="0" w:color="auto"/>
        <w:bottom w:val="none" w:sz="0" w:space="0" w:color="auto"/>
        <w:right w:val="none" w:sz="0" w:space="0" w:color="auto"/>
      </w:divBdr>
      <w:divsChild>
        <w:div w:id="280381624">
          <w:marLeft w:val="0"/>
          <w:marRight w:val="0"/>
          <w:marTop w:val="0"/>
          <w:marBottom w:val="0"/>
          <w:divBdr>
            <w:top w:val="none" w:sz="0" w:space="0" w:color="auto"/>
            <w:left w:val="none" w:sz="0" w:space="0" w:color="auto"/>
            <w:bottom w:val="none" w:sz="0" w:space="0" w:color="auto"/>
            <w:right w:val="none" w:sz="0" w:space="0" w:color="auto"/>
          </w:divBdr>
        </w:div>
        <w:div w:id="1587225705">
          <w:marLeft w:val="0"/>
          <w:marRight w:val="0"/>
          <w:marTop w:val="0"/>
          <w:marBottom w:val="0"/>
          <w:divBdr>
            <w:top w:val="none" w:sz="0" w:space="0" w:color="auto"/>
            <w:left w:val="none" w:sz="0" w:space="0" w:color="auto"/>
            <w:bottom w:val="none" w:sz="0" w:space="0" w:color="auto"/>
            <w:right w:val="none" w:sz="0" w:space="0" w:color="auto"/>
          </w:divBdr>
        </w:div>
        <w:div w:id="1667394565">
          <w:marLeft w:val="0"/>
          <w:marRight w:val="0"/>
          <w:marTop w:val="0"/>
          <w:marBottom w:val="0"/>
          <w:divBdr>
            <w:top w:val="none" w:sz="0" w:space="0" w:color="auto"/>
            <w:left w:val="none" w:sz="0" w:space="0" w:color="auto"/>
            <w:bottom w:val="none" w:sz="0" w:space="0" w:color="auto"/>
            <w:right w:val="none" w:sz="0" w:space="0" w:color="auto"/>
          </w:divBdr>
        </w:div>
        <w:div w:id="671494734">
          <w:marLeft w:val="0"/>
          <w:marRight w:val="0"/>
          <w:marTop w:val="0"/>
          <w:marBottom w:val="0"/>
          <w:divBdr>
            <w:top w:val="none" w:sz="0" w:space="0" w:color="auto"/>
            <w:left w:val="none" w:sz="0" w:space="0" w:color="auto"/>
            <w:bottom w:val="none" w:sz="0" w:space="0" w:color="auto"/>
            <w:right w:val="none" w:sz="0" w:space="0" w:color="auto"/>
          </w:divBdr>
        </w:div>
        <w:div w:id="1772314409">
          <w:marLeft w:val="0"/>
          <w:marRight w:val="0"/>
          <w:marTop w:val="0"/>
          <w:marBottom w:val="0"/>
          <w:divBdr>
            <w:top w:val="none" w:sz="0" w:space="0" w:color="auto"/>
            <w:left w:val="none" w:sz="0" w:space="0" w:color="auto"/>
            <w:bottom w:val="none" w:sz="0" w:space="0" w:color="auto"/>
            <w:right w:val="none" w:sz="0" w:space="0" w:color="auto"/>
          </w:divBdr>
        </w:div>
        <w:div w:id="986083251">
          <w:marLeft w:val="0"/>
          <w:marRight w:val="0"/>
          <w:marTop w:val="0"/>
          <w:marBottom w:val="0"/>
          <w:divBdr>
            <w:top w:val="none" w:sz="0" w:space="0" w:color="auto"/>
            <w:left w:val="none" w:sz="0" w:space="0" w:color="auto"/>
            <w:bottom w:val="none" w:sz="0" w:space="0" w:color="auto"/>
            <w:right w:val="none" w:sz="0" w:space="0" w:color="auto"/>
          </w:divBdr>
        </w:div>
      </w:divsChild>
    </w:div>
    <w:div w:id="1577476338">
      <w:bodyDiv w:val="1"/>
      <w:marLeft w:val="0"/>
      <w:marRight w:val="0"/>
      <w:marTop w:val="0"/>
      <w:marBottom w:val="0"/>
      <w:divBdr>
        <w:top w:val="none" w:sz="0" w:space="0" w:color="auto"/>
        <w:left w:val="none" w:sz="0" w:space="0" w:color="auto"/>
        <w:bottom w:val="none" w:sz="0" w:space="0" w:color="auto"/>
        <w:right w:val="none" w:sz="0" w:space="0" w:color="auto"/>
      </w:divBdr>
      <w:divsChild>
        <w:div w:id="746458789">
          <w:marLeft w:val="0"/>
          <w:marRight w:val="0"/>
          <w:marTop w:val="0"/>
          <w:marBottom w:val="0"/>
          <w:divBdr>
            <w:top w:val="none" w:sz="0" w:space="0" w:color="auto"/>
            <w:left w:val="none" w:sz="0" w:space="0" w:color="auto"/>
            <w:bottom w:val="none" w:sz="0" w:space="0" w:color="auto"/>
            <w:right w:val="none" w:sz="0" w:space="0" w:color="auto"/>
          </w:divBdr>
        </w:div>
        <w:div w:id="1822690392">
          <w:marLeft w:val="0"/>
          <w:marRight w:val="0"/>
          <w:marTop w:val="0"/>
          <w:marBottom w:val="0"/>
          <w:divBdr>
            <w:top w:val="none" w:sz="0" w:space="0" w:color="auto"/>
            <w:left w:val="none" w:sz="0" w:space="0" w:color="auto"/>
            <w:bottom w:val="none" w:sz="0" w:space="0" w:color="auto"/>
            <w:right w:val="none" w:sz="0" w:space="0" w:color="auto"/>
          </w:divBdr>
        </w:div>
        <w:div w:id="76099021">
          <w:marLeft w:val="0"/>
          <w:marRight w:val="0"/>
          <w:marTop w:val="0"/>
          <w:marBottom w:val="0"/>
          <w:divBdr>
            <w:top w:val="none" w:sz="0" w:space="0" w:color="auto"/>
            <w:left w:val="none" w:sz="0" w:space="0" w:color="auto"/>
            <w:bottom w:val="none" w:sz="0" w:space="0" w:color="auto"/>
            <w:right w:val="none" w:sz="0" w:space="0" w:color="auto"/>
          </w:divBdr>
        </w:div>
        <w:div w:id="531769551">
          <w:marLeft w:val="0"/>
          <w:marRight w:val="0"/>
          <w:marTop w:val="0"/>
          <w:marBottom w:val="0"/>
          <w:divBdr>
            <w:top w:val="none" w:sz="0" w:space="0" w:color="auto"/>
            <w:left w:val="none" w:sz="0" w:space="0" w:color="auto"/>
            <w:bottom w:val="none" w:sz="0" w:space="0" w:color="auto"/>
            <w:right w:val="none" w:sz="0" w:space="0" w:color="auto"/>
          </w:divBdr>
        </w:div>
        <w:div w:id="789513482">
          <w:marLeft w:val="0"/>
          <w:marRight w:val="0"/>
          <w:marTop w:val="0"/>
          <w:marBottom w:val="0"/>
          <w:divBdr>
            <w:top w:val="none" w:sz="0" w:space="0" w:color="auto"/>
            <w:left w:val="none" w:sz="0" w:space="0" w:color="auto"/>
            <w:bottom w:val="none" w:sz="0" w:space="0" w:color="auto"/>
            <w:right w:val="none" w:sz="0" w:space="0" w:color="auto"/>
          </w:divBdr>
        </w:div>
      </w:divsChild>
    </w:div>
    <w:div w:id="1596472892">
      <w:bodyDiv w:val="1"/>
      <w:marLeft w:val="0"/>
      <w:marRight w:val="0"/>
      <w:marTop w:val="0"/>
      <w:marBottom w:val="0"/>
      <w:divBdr>
        <w:top w:val="none" w:sz="0" w:space="0" w:color="auto"/>
        <w:left w:val="none" w:sz="0" w:space="0" w:color="auto"/>
        <w:bottom w:val="none" w:sz="0" w:space="0" w:color="auto"/>
        <w:right w:val="none" w:sz="0" w:space="0" w:color="auto"/>
      </w:divBdr>
      <w:divsChild>
        <w:div w:id="1101411226">
          <w:marLeft w:val="0"/>
          <w:marRight w:val="0"/>
          <w:marTop w:val="0"/>
          <w:marBottom w:val="0"/>
          <w:divBdr>
            <w:top w:val="none" w:sz="0" w:space="0" w:color="auto"/>
            <w:left w:val="none" w:sz="0" w:space="0" w:color="auto"/>
            <w:bottom w:val="none" w:sz="0" w:space="0" w:color="auto"/>
            <w:right w:val="none" w:sz="0" w:space="0" w:color="auto"/>
          </w:divBdr>
        </w:div>
        <w:div w:id="721834414">
          <w:marLeft w:val="0"/>
          <w:marRight w:val="0"/>
          <w:marTop w:val="0"/>
          <w:marBottom w:val="0"/>
          <w:divBdr>
            <w:top w:val="none" w:sz="0" w:space="0" w:color="auto"/>
            <w:left w:val="none" w:sz="0" w:space="0" w:color="auto"/>
            <w:bottom w:val="none" w:sz="0" w:space="0" w:color="auto"/>
            <w:right w:val="none" w:sz="0" w:space="0" w:color="auto"/>
          </w:divBdr>
        </w:div>
        <w:div w:id="672294243">
          <w:marLeft w:val="0"/>
          <w:marRight w:val="0"/>
          <w:marTop w:val="0"/>
          <w:marBottom w:val="0"/>
          <w:divBdr>
            <w:top w:val="none" w:sz="0" w:space="0" w:color="auto"/>
            <w:left w:val="none" w:sz="0" w:space="0" w:color="auto"/>
            <w:bottom w:val="none" w:sz="0" w:space="0" w:color="auto"/>
            <w:right w:val="none" w:sz="0" w:space="0" w:color="auto"/>
          </w:divBdr>
        </w:div>
        <w:div w:id="1045908914">
          <w:marLeft w:val="0"/>
          <w:marRight w:val="0"/>
          <w:marTop w:val="0"/>
          <w:marBottom w:val="0"/>
          <w:divBdr>
            <w:top w:val="none" w:sz="0" w:space="0" w:color="auto"/>
            <w:left w:val="none" w:sz="0" w:space="0" w:color="auto"/>
            <w:bottom w:val="none" w:sz="0" w:space="0" w:color="auto"/>
            <w:right w:val="none" w:sz="0" w:space="0" w:color="auto"/>
          </w:divBdr>
        </w:div>
        <w:div w:id="1066027132">
          <w:marLeft w:val="0"/>
          <w:marRight w:val="0"/>
          <w:marTop w:val="0"/>
          <w:marBottom w:val="0"/>
          <w:divBdr>
            <w:top w:val="none" w:sz="0" w:space="0" w:color="auto"/>
            <w:left w:val="none" w:sz="0" w:space="0" w:color="auto"/>
            <w:bottom w:val="none" w:sz="0" w:space="0" w:color="auto"/>
            <w:right w:val="none" w:sz="0" w:space="0" w:color="auto"/>
          </w:divBdr>
        </w:div>
        <w:div w:id="1310134905">
          <w:marLeft w:val="0"/>
          <w:marRight w:val="0"/>
          <w:marTop w:val="0"/>
          <w:marBottom w:val="0"/>
          <w:divBdr>
            <w:top w:val="none" w:sz="0" w:space="0" w:color="auto"/>
            <w:left w:val="none" w:sz="0" w:space="0" w:color="auto"/>
            <w:bottom w:val="none" w:sz="0" w:space="0" w:color="auto"/>
            <w:right w:val="none" w:sz="0" w:space="0" w:color="auto"/>
          </w:divBdr>
        </w:div>
        <w:div w:id="1268729414">
          <w:marLeft w:val="0"/>
          <w:marRight w:val="0"/>
          <w:marTop w:val="0"/>
          <w:marBottom w:val="0"/>
          <w:divBdr>
            <w:top w:val="none" w:sz="0" w:space="0" w:color="auto"/>
            <w:left w:val="none" w:sz="0" w:space="0" w:color="auto"/>
            <w:bottom w:val="none" w:sz="0" w:space="0" w:color="auto"/>
            <w:right w:val="none" w:sz="0" w:space="0" w:color="auto"/>
          </w:divBdr>
        </w:div>
        <w:div w:id="421999113">
          <w:marLeft w:val="0"/>
          <w:marRight w:val="0"/>
          <w:marTop w:val="0"/>
          <w:marBottom w:val="0"/>
          <w:divBdr>
            <w:top w:val="none" w:sz="0" w:space="0" w:color="auto"/>
            <w:left w:val="none" w:sz="0" w:space="0" w:color="auto"/>
            <w:bottom w:val="none" w:sz="0" w:space="0" w:color="auto"/>
            <w:right w:val="none" w:sz="0" w:space="0" w:color="auto"/>
          </w:divBdr>
        </w:div>
        <w:div w:id="250552221">
          <w:marLeft w:val="0"/>
          <w:marRight w:val="0"/>
          <w:marTop w:val="0"/>
          <w:marBottom w:val="0"/>
          <w:divBdr>
            <w:top w:val="none" w:sz="0" w:space="0" w:color="auto"/>
            <w:left w:val="none" w:sz="0" w:space="0" w:color="auto"/>
            <w:bottom w:val="none" w:sz="0" w:space="0" w:color="auto"/>
            <w:right w:val="none" w:sz="0" w:space="0" w:color="auto"/>
          </w:divBdr>
        </w:div>
      </w:divsChild>
    </w:div>
    <w:div w:id="1611741565">
      <w:bodyDiv w:val="1"/>
      <w:marLeft w:val="0"/>
      <w:marRight w:val="0"/>
      <w:marTop w:val="0"/>
      <w:marBottom w:val="0"/>
      <w:divBdr>
        <w:top w:val="none" w:sz="0" w:space="0" w:color="auto"/>
        <w:left w:val="none" w:sz="0" w:space="0" w:color="auto"/>
        <w:bottom w:val="none" w:sz="0" w:space="0" w:color="auto"/>
        <w:right w:val="none" w:sz="0" w:space="0" w:color="auto"/>
      </w:divBdr>
      <w:divsChild>
        <w:div w:id="1483424526">
          <w:marLeft w:val="0"/>
          <w:marRight w:val="0"/>
          <w:marTop w:val="0"/>
          <w:marBottom w:val="0"/>
          <w:divBdr>
            <w:top w:val="none" w:sz="0" w:space="0" w:color="auto"/>
            <w:left w:val="none" w:sz="0" w:space="0" w:color="auto"/>
            <w:bottom w:val="none" w:sz="0" w:space="0" w:color="auto"/>
            <w:right w:val="none" w:sz="0" w:space="0" w:color="auto"/>
          </w:divBdr>
        </w:div>
        <w:div w:id="47464219">
          <w:marLeft w:val="0"/>
          <w:marRight w:val="0"/>
          <w:marTop w:val="0"/>
          <w:marBottom w:val="0"/>
          <w:divBdr>
            <w:top w:val="none" w:sz="0" w:space="0" w:color="auto"/>
            <w:left w:val="none" w:sz="0" w:space="0" w:color="auto"/>
            <w:bottom w:val="none" w:sz="0" w:space="0" w:color="auto"/>
            <w:right w:val="none" w:sz="0" w:space="0" w:color="auto"/>
          </w:divBdr>
        </w:div>
        <w:div w:id="13196278">
          <w:marLeft w:val="0"/>
          <w:marRight w:val="0"/>
          <w:marTop w:val="0"/>
          <w:marBottom w:val="0"/>
          <w:divBdr>
            <w:top w:val="none" w:sz="0" w:space="0" w:color="auto"/>
            <w:left w:val="none" w:sz="0" w:space="0" w:color="auto"/>
            <w:bottom w:val="none" w:sz="0" w:space="0" w:color="auto"/>
            <w:right w:val="none" w:sz="0" w:space="0" w:color="auto"/>
          </w:divBdr>
        </w:div>
        <w:div w:id="150222719">
          <w:marLeft w:val="0"/>
          <w:marRight w:val="0"/>
          <w:marTop w:val="0"/>
          <w:marBottom w:val="0"/>
          <w:divBdr>
            <w:top w:val="none" w:sz="0" w:space="0" w:color="auto"/>
            <w:left w:val="none" w:sz="0" w:space="0" w:color="auto"/>
            <w:bottom w:val="none" w:sz="0" w:space="0" w:color="auto"/>
            <w:right w:val="none" w:sz="0" w:space="0" w:color="auto"/>
          </w:divBdr>
        </w:div>
        <w:div w:id="493958789">
          <w:marLeft w:val="0"/>
          <w:marRight w:val="0"/>
          <w:marTop w:val="0"/>
          <w:marBottom w:val="0"/>
          <w:divBdr>
            <w:top w:val="none" w:sz="0" w:space="0" w:color="auto"/>
            <w:left w:val="none" w:sz="0" w:space="0" w:color="auto"/>
            <w:bottom w:val="none" w:sz="0" w:space="0" w:color="auto"/>
            <w:right w:val="none" w:sz="0" w:space="0" w:color="auto"/>
          </w:divBdr>
        </w:div>
        <w:div w:id="698773532">
          <w:marLeft w:val="0"/>
          <w:marRight w:val="0"/>
          <w:marTop w:val="0"/>
          <w:marBottom w:val="0"/>
          <w:divBdr>
            <w:top w:val="none" w:sz="0" w:space="0" w:color="auto"/>
            <w:left w:val="none" w:sz="0" w:space="0" w:color="auto"/>
            <w:bottom w:val="none" w:sz="0" w:space="0" w:color="auto"/>
            <w:right w:val="none" w:sz="0" w:space="0" w:color="auto"/>
          </w:divBdr>
        </w:div>
        <w:div w:id="2131588968">
          <w:marLeft w:val="0"/>
          <w:marRight w:val="0"/>
          <w:marTop w:val="0"/>
          <w:marBottom w:val="0"/>
          <w:divBdr>
            <w:top w:val="none" w:sz="0" w:space="0" w:color="auto"/>
            <w:left w:val="none" w:sz="0" w:space="0" w:color="auto"/>
            <w:bottom w:val="none" w:sz="0" w:space="0" w:color="auto"/>
            <w:right w:val="none" w:sz="0" w:space="0" w:color="auto"/>
          </w:divBdr>
        </w:div>
        <w:div w:id="11879296">
          <w:marLeft w:val="0"/>
          <w:marRight w:val="0"/>
          <w:marTop w:val="0"/>
          <w:marBottom w:val="0"/>
          <w:divBdr>
            <w:top w:val="none" w:sz="0" w:space="0" w:color="auto"/>
            <w:left w:val="none" w:sz="0" w:space="0" w:color="auto"/>
            <w:bottom w:val="none" w:sz="0" w:space="0" w:color="auto"/>
            <w:right w:val="none" w:sz="0" w:space="0" w:color="auto"/>
          </w:divBdr>
        </w:div>
        <w:div w:id="548030875">
          <w:marLeft w:val="0"/>
          <w:marRight w:val="0"/>
          <w:marTop w:val="0"/>
          <w:marBottom w:val="0"/>
          <w:divBdr>
            <w:top w:val="none" w:sz="0" w:space="0" w:color="auto"/>
            <w:left w:val="none" w:sz="0" w:space="0" w:color="auto"/>
            <w:bottom w:val="none" w:sz="0" w:space="0" w:color="auto"/>
            <w:right w:val="none" w:sz="0" w:space="0" w:color="auto"/>
          </w:divBdr>
        </w:div>
        <w:div w:id="1704555633">
          <w:marLeft w:val="0"/>
          <w:marRight w:val="0"/>
          <w:marTop w:val="0"/>
          <w:marBottom w:val="0"/>
          <w:divBdr>
            <w:top w:val="none" w:sz="0" w:space="0" w:color="auto"/>
            <w:left w:val="none" w:sz="0" w:space="0" w:color="auto"/>
            <w:bottom w:val="none" w:sz="0" w:space="0" w:color="auto"/>
            <w:right w:val="none" w:sz="0" w:space="0" w:color="auto"/>
          </w:divBdr>
        </w:div>
        <w:div w:id="791752513">
          <w:marLeft w:val="0"/>
          <w:marRight w:val="0"/>
          <w:marTop w:val="0"/>
          <w:marBottom w:val="0"/>
          <w:divBdr>
            <w:top w:val="none" w:sz="0" w:space="0" w:color="auto"/>
            <w:left w:val="none" w:sz="0" w:space="0" w:color="auto"/>
            <w:bottom w:val="none" w:sz="0" w:space="0" w:color="auto"/>
            <w:right w:val="none" w:sz="0" w:space="0" w:color="auto"/>
          </w:divBdr>
        </w:div>
      </w:divsChild>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sChild>
        <w:div w:id="1763331421">
          <w:marLeft w:val="0"/>
          <w:marRight w:val="0"/>
          <w:marTop w:val="0"/>
          <w:marBottom w:val="0"/>
          <w:divBdr>
            <w:top w:val="none" w:sz="0" w:space="0" w:color="auto"/>
            <w:left w:val="none" w:sz="0" w:space="0" w:color="auto"/>
            <w:bottom w:val="none" w:sz="0" w:space="0" w:color="auto"/>
            <w:right w:val="none" w:sz="0" w:space="0" w:color="auto"/>
          </w:divBdr>
        </w:div>
        <w:div w:id="1996370403">
          <w:marLeft w:val="0"/>
          <w:marRight w:val="0"/>
          <w:marTop w:val="0"/>
          <w:marBottom w:val="0"/>
          <w:divBdr>
            <w:top w:val="none" w:sz="0" w:space="0" w:color="auto"/>
            <w:left w:val="none" w:sz="0" w:space="0" w:color="auto"/>
            <w:bottom w:val="none" w:sz="0" w:space="0" w:color="auto"/>
            <w:right w:val="none" w:sz="0" w:space="0" w:color="auto"/>
          </w:divBdr>
        </w:div>
        <w:div w:id="2052533154">
          <w:marLeft w:val="0"/>
          <w:marRight w:val="0"/>
          <w:marTop w:val="0"/>
          <w:marBottom w:val="0"/>
          <w:divBdr>
            <w:top w:val="none" w:sz="0" w:space="0" w:color="auto"/>
            <w:left w:val="none" w:sz="0" w:space="0" w:color="auto"/>
            <w:bottom w:val="none" w:sz="0" w:space="0" w:color="auto"/>
            <w:right w:val="none" w:sz="0" w:space="0" w:color="auto"/>
          </w:divBdr>
        </w:div>
        <w:div w:id="2118790637">
          <w:marLeft w:val="0"/>
          <w:marRight w:val="0"/>
          <w:marTop w:val="0"/>
          <w:marBottom w:val="0"/>
          <w:divBdr>
            <w:top w:val="none" w:sz="0" w:space="0" w:color="auto"/>
            <w:left w:val="none" w:sz="0" w:space="0" w:color="auto"/>
            <w:bottom w:val="none" w:sz="0" w:space="0" w:color="auto"/>
            <w:right w:val="none" w:sz="0" w:space="0" w:color="auto"/>
          </w:divBdr>
        </w:div>
      </w:divsChild>
    </w:div>
    <w:div w:id="1619413344">
      <w:bodyDiv w:val="1"/>
      <w:marLeft w:val="0"/>
      <w:marRight w:val="0"/>
      <w:marTop w:val="0"/>
      <w:marBottom w:val="0"/>
      <w:divBdr>
        <w:top w:val="none" w:sz="0" w:space="0" w:color="auto"/>
        <w:left w:val="none" w:sz="0" w:space="0" w:color="auto"/>
        <w:bottom w:val="none" w:sz="0" w:space="0" w:color="auto"/>
        <w:right w:val="none" w:sz="0" w:space="0" w:color="auto"/>
      </w:divBdr>
      <w:divsChild>
        <w:div w:id="659424801">
          <w:marLeft w:val="0"/>
          <w:marRight w:val="0"/>
          <w:marTop w:val="0"/>
          <w:marBottom w:val="0"/>
          <w:divBdr>
            <w:top w:val="none" w:sz="0" w:space="0" w:color="auto"/>
            <w:left w:val="none" w:sz="0" w:space="0" w:color="auto"/>
            <w:bottom w:val="none" w:sz="0" w:space="0" w:color="auto"/>
            <w:right w:val="none" w:sz="0" w:space="0" w:color="auto"/>
          </w:divBdr>
        </w:div>
        <w:div w:id="884416693">
          <w:marLeft w:val="0"/>
          <w:marRight w:val="0"/>
          <w:marTop w:val="0"/>
          <w:marBottom w:val="0"/>
          <w:divBdr>
            <w:top w:val="none" w:sz="0" w:space="0" w:color="auto"/>
            <w:left w:val="none" w:sz="0" w:space="0" w:color="auto"/>
            <w:bottom w:val="none" w:sz="0" w:space="0" w:color="auto"/>
            <w:right w:val="none" w:sz="0" w:space="0" w:color="auto"/>
          </w:divBdr>
        </w:div>
        <w:div w:id="1189955571">
          <w:marLeft w:val="0"/>
          <w:marRight w:val="0"/>
          <w:marTop w:val="0"/>
          <w:marBottom w:val="0"/>
          <w:divBdr>
            <w:top w:val="none" w:sz="0" w:space="0" w:color="auto"/>
            <w:left w:val="none" w:sz="0" w:space="0" w:color="auto"/>
            <w:bottom w:val="none" w:sz="0" w:space="0" w:color="auto"/>
            <w:right w:val="none" w:sz="0" w:space="0" w:color="auto"/>
          </w:divBdr>
        </w:div>
        <w:div w:id="1465083170">
          <w:marLeft w:val="0"/>
          <w:marRight w:val="0"/>
          <w:marTop w:val="0"/>
          <w:marBottom w:val="0"/>
          <w:divBdr>
            <w:top w:val="none" w:sz="0" w:space="0" w:color="auto"/>
            <w:left w:val="none" w:sz="0" w:space="0" w:color="auto"/>
            <w:bottom w:val="none" w:sz="0" w:space="0" w:color="auto"/>
            <w:right w:val="none" w:sz="0" w:space="0" w:color="auto"/>
          </w:divBdr>
        </w:div>
      </w:divsChild>
    </w:div>
    <w:div w:id="1637417151">
      <w:bodyDiv w:val="1"/>
      <w:marLeft w:val="0"/>
      <w:marRight w:val="0"/>
      <w:marTop w:val="0"/>
      <w:marBottom w:val="0"/>
      <w:divBdr>
        <w:top w:val="none" w:sz="0" w:space="0" w:color="auto"/>
        <w:left w:val="none" w:sz="0" w:space="0" w:color="auto"/>
        <w:bottom w:val="none" w:sz="0" w:space="0" w:color="auto"/>
        <w:right w:val="none" w:sz="0" w:space="0" w:color="auto"/>
      </w:divBdr>
      <w:divsChild>
        <w:div w:id="1005788368">
          <w:marLeft w:val="0"/>
          <w:marRight w:val="0"/>
          <w:marTop w:val="0"/>
          <w:marBottom w:val="0"/>
          <w:divBdr>
            <w:top w:val="none" w:sz="0" w:space="0" w:color="auto"/>
            <w:left w:val="none" w:sz="0" w:space="0" w:color="auto"/>
            <w:bottom w:val="none" w:sz="0" w:space="0" w:color="auto"/>
            <w:right w:val="none" w:sz="0" w:space="0" w:color="auto"/>
          </w:divBdr>
        </w:div>
        <w:div w:id="1965502215">
          <w:marLeft w:val="0"/>
          <w:marRight w:val="0"/>
          <w:marTop w:val="0"/>
          <w:marBottom w:val="0"/>
          <w:divBdr>
            <w:top w:val="none" w:sz="0" w:space="0" w:color="auto"/>
            <w:left w:val="none" w:sz="0" w:space="0" w:color="auto"/>
            <w:bottom w:val="none" w:sz="0" w:space="0" w:color="auto"/>
            <w:right w:val="none" w:sz="0" w:space="0" w:color="auto"/>
          </w:divBdr>
        </w:div>
        <w:div w:id="947660966">
          <w:marLeft w:val="0"/>
          <w:marRight w:val="0"/>
          <w:marTop w:val="0"/>
          <w:marBottom w:val="0"/>
          <w:divBdr>
            <w:top w:val="none" w:sz="0" w:space="0" w:color="auto"/>
            <w:left w:val="none" w:sz="0" w:space="0" w:color="auto"/>
            <w:bottom w:val="none" w:sz="0" w:space="0" w:color="auto"/>
            <w:right w:val="none" w:sz="0" w:space="0" w:color="auto"/>
          </w:divBdr>
        </w:div>
        <w:div w:id="2001542121">
          <w:marLeft w:val="0"/>
          <w:marRight w:val="0"/>
          <w:marTop w:val="0"/>
          <w:marBottom w:val="0"/>
          <w:divBdr>
            <w:top w:val="none" w:sz="0" w:space="0" w:color="auto"/>
            <w:left w:val="none" w:sz="0" w:space="0" w:color="auto"/>
            <w:bottom w:val="none" w:sz="0" w:space="0" w:color="auto"/>
            <w:right w:val="none" w:sz="0" w:space="0" w:color="auto"/>
          </w:divBdr>
        </w:div>
        <w:div w:id="1157111300">
          <w:marLeft w:val="0"/>
          <w:marRight w:val="0"/>
          <w:marTop w:val="0"/>
          <w:marBottom w:val="0"/>
          <w:divBdr>
            <w:top w:val="none" w:sz="0" w:space="0" w:color="auto"/>
            <w:left w:val="none" w:sz="0" w:space="0" w:color="auto"/>
            <w:bottom w:val="none" w:sz="0" w:space="0" w:color="auto"/>
            <w:right w:val="none" w:sz="0" w:space="0" w:color="auto"/>
          </w:divBdr>
        </w:div>
        <w:div w:id="323094611">
          <w:marLeft w:val="0"/>
          <w:marRight w:val="0"/>
          <w:marTop w:val="0"/>
          <w:marBottom w:val="0"/>
          <w:divBdr>
            <w:top w:val="none" w:sz="0" w:space="0" w:color="auto"/>
            <w:left w:val="none" w:sz="0" w:space="0" w:color="auto"/>
            <w:bottom w:val="none" w:sz="0" w:space="0" w:color="auto"/>
            <w:right w:val="none" w:sz="0" w:space="0" w:color="auto"/>
          </w:divBdr>
        </w:div>
      </w:divsChild>
    </w:div>
    <w:div w:id="1640719832">
      <w:bodyDiv w:val="1"/>
      <w:marLeft w:val="0"/>
      <w:marRight w:val="0"/>
      <w:marTop w:val="0"/>
      <w:marBottom w:val="0"/>
      <w:divBdr>
        <w:top w:val="none" w:sz="0" w:space="0" w:color="auto"/>
        <w:left w:val="none" w:sz="0" w:space="0" w:color="auto"/>
        <w:bottom w:val="none" w:sz="0" w:space="0" w:color="auto"/>
        <w:right w:val="none" w:sz="0" w:space="0" w:color="auto"/>
      </w:divBdr>
      <w:divsChild>
        <w:div w:id="940601203">
          <w:marLeft w:val="0"/>
          <w:marRight w:val="0"/>
          <w:marTop w:val="0"/>
          <w:marBottom w:val="0"/>
          <w:divBdr>
            <w:top w:val="none" w:sz="0" w:space="0" w:color="auto"/>
            <w:left w:val="none" w:sz="0" w:space="0" w:color="auto"/>
            <w:bottom w:val="none" w:sz="0" w:space="0" w:color="auto"/>
            <w:right w:val="none" w:sz="0" w:space="0" w:color="auto"/>
          </w:divBdr>
        </w:div>
        <w:div w:id="794711009">
          <w:marLeft w:val="0"/>
          <w:marRight w:val="0"/>
          <w:marTop w:val="0"/>
          <w:marBottom w:val="0"/>
          <w:divBdr>
            <w:top w:val="none" w:sz="0" w:space="0" w:color="auto"/>
            <w:left w:val="none" w:sz="0" w:space="0" w:color="auto"/>
            <w:bottom w:val="none" w:sz="0" w:space="0" w:color="auto"/>
            <w:right w:val="none" w:sz="0" w:space="0" w:color="auto"/>
          </w:divBdr>
        </w:div>
        <w:div w:id="1928074177">
          <w:marLeft w:val="0"/>
          <w:marRight w:val="0"/>
          <w:marTop w:val="0"/>
          <w:marBottom w:val="0"/>
          <w:divBdr>
            <w:top w:val="none" w:sz="0" w:space="0" w:color="auto"/>
            <w:left w:val="none" w:sz="0" w:space="0" w:color="auto"/>
            <w:bottom w:val="none" w:sz="0" w:space="0" w:color="auto"/>
            <w:right w:val="none" w:sz="0" w:space="0" w:color="auto"/>
          </w:divBdr>
        </w:div>
        <w:div w:id="1741707960">
          <w:marLeft w:val="0"/>
          <w:marRight w:val="0"/>
          <w:marTop w:val="0"/>
          <w:marBottom w:val="0"/>
          <w:divBdr>
            <w:top w:val="none" w:sz="0" w:space="0" w:color="auto"/>
            <w:left w:val="none" w:sz="0" w:space="0" w:color="auto"/>
            <w:bottom w:val="none" w:sz="0" w:space="0" w:color="auto"/>
            <w:right w:val="none" w:sz="0" w:space="0" w:color="auto"/>
          </w:divBdr>
        </w:div>
        <w:div w:id="1597133002">
          <w:marLeft w:val="0"/>
          <w:marRight w:val="0"/>
          <w:marTop w:val="0"/>
          <w:marBottom w:val="0"/>
          <w:divBdr>
            <w:top w:val="none" w:sz="0" w:space="0" w:color="auto"/>
            <w:left w:val="none" w:sz="0" w:space="0" w:color="auto"/>
            <w:bottom w:val="none" w:sz="0" w:space="0" w:color="auto"/>
            <w:right w:val="none" w:sz="0" w:space="0" w:color="auto"/>
          </w:divBdr>
        </w:div>
        <w:div w:id="1693647589">
          <w:marLeft w:val="0"/>
          <w:marRight w:val="0"/>
          <w:marTop w:val="0"/>
          <w:marBottom w:val="0"/>
          <w:divBdr>
            <w:top w:val="none" w:sz="0" w:space="0" w:color="auto"/>
            <w:left w:val="none" w:sz="0" w:space="0" w:color="auto"/>
            <w:bottom w:val="none" w:sz="0" w:space="0" w:color="auto"/>
            <w:right w:val="none" w:sz="0" w:space="0" w:color="auto"/>
          </w:divBdr>
        </w:div>
        <w:div w:id="267733950">
          <w:marLeft w:val="0"/>
          <w:marRight w:val="0"/>
          <w:marTop w:val="0"/>
          <w:marBottom w:val="0"/>
          <w:divBdr>
            <w:top w:val="none" w:sz="0" w:space="0" w:color="auto"/>
            <w:left w:val="none" w:sz="0" w:space="0" w:color="auto"/>
            <w:bottom w:val="none" w:sz="0" w:space="0" w:color="auto"/>
            <w:right w:val="none" w:sz="0" w:space="0" w:color="auto"/>
          </w:divBdr>
        </w:div>
        <w:div w:id="1467893456">
          <w:marLeft w:val="0"/>
          <w:marRight w:val="0"/>
          <w:marTop w:val="0"/>
          <w:marBottom w:val="0"/>
          <w:divBdr>
            <w:top w:val="none" w:sz="0" w:space="0" w:color="auto"/>
            <w:left w:val="none" w:sz="0" w:space="0" w:color="auto"/>
            <w:bottom w:val="none" w:sz="0" w:space="0" w:color="auto"/>
            <w:right w:val="none" w:sz="0" w:space="0" w:color="auto"/>
          </w:divBdr>
        </w:div>
        <w:div w:id="736704546">
          <w:marLeft w:val="0"/>
          <w:marRight w:val="0"/>
          <w:marTop w:val="0"/>
          <w:marBottom w:val="0"/>
          <w:divBdr>
            <w:top w:val="none" w:sz="0" w:space="0" w:color="auto"/>
            <w:left w:val="none" w:sz="0" w:space="0" w:color="auto"/>
            <w:bottom w:val="none" w:sz="0" w:space="0" w:color="auto"/>
            <w:right w:val="none" w:sz="0" w:space="0" w:color="auto"/>
          </w:divBdr>
        </w:div>
        <w:div w:id="436410671">
          <w:marLeft w:val="0"/>
          <w:marRight w:val="0"/>
          <w:marTop w:val="0"/>
          <w:marBottom w:val="0"/>
          <w:divBdr>
            <w:top w:val="none" w:sz="0" w:space="0" w:color="auto"/>
            <w:left w:val="none" w:sz="0" w:space="0" w:color="auto"/>
            <w:bottom w:val="none" w:sz="0" w:space="0" w:color="auto"/>
            <w:right w:val="none" w:sz="0" w:space="0" w:color="auto"/>
          </w:divBdr>
        </w:div>
        <w:div w:id="1081176355">
          <w:marLeft w:val="0"/>
          <w:marRight w:val="0"/>
          <w:marTop w:val="0"/>
          <w:marBottom w:val="0"/>
          <w:divBdr>
            <w:top w:val="none" w:sz="0" w:space="0" w:color="auto"/>
            <w:left w:val="none" w:sz="0" w:space="0" w:color="auto"/>
            <w:bottom w:val="none" w:sz="0" w:space="0" w:color="auto"/>
            <w:right w:val="none" w:sz="0" w:space="0" w:color="auto"/>
          </w:divBdr>
        </w:div>
        <w:div w:id="1982735036">
          <w:marLeft w:val="0"/>
          <w:marRight w:val="0"/>
          <w:marTop w:val="0"/>
          <w:marBottom w:val="0"/>
          <w:divBdr>
            <w:top w:val="none" w:sz="0" w:space="0" w:color="auto"/>
            <w:left w:val="none" w:sz="0" w:space="0" w:color="auto"/>
            <w:bottom w:val="none" w:sz="0" w:space="0" w:color="auto"/>
            <w:right w:val="none" w:sz="0" w:space="0" w:color="auto"/>
          </w:divBdr>
        </w:div>
        <w:div w:id="628440070">
          <w:marLeft w:val="0"/>
          <w:marRight w:val="0"/>
          <w:marTop w:val="0"/>
          <w:marBottom w:val="0"/>
          <w:divBdr>
            <w:top w:val="none" w:sz="0" w:space="0" w:color="auto"/>
            <w:left w:val="none" w:sz="0" w:space="0" w:color="auto"/>
            <w:bottom w:val="none" w:sz="0" w:space="0" w:color="auto"/>
            <w:right w:val="none" w:sz="0" w:space="0" w:color="auto"/>
          </w:divBdr>
        </w:div>
        <w:div w:id="1353612449">
          <w:marLeft w:val="0"/>
          <w:marRight w:val="0"/>
          <w:marTop w:val="0"/>
          <w:marBottom w:val="0"/>
          <w:divBdr>
            <w:top w:val="none" w:sz="0" w:space="0" w:color="auto"/>
            <w:left w:val="none" w:sz="0" w:space="0" w:color="auto"/>
            <w:bottom w:val="none" w:sz="0" w:space="0" w:color="auto"/>
            <w:right w:val="none" w:sz="0" w:space="0" w:color="auto"/>
          </w:divBdr>
        </w:div>
        <w:div w:id="1523931682">
          <w:marLeft w:val="0"/>
          <w:marRight w:val="0"/>
          <w:marTop w:val="0"/>
          <w:marBottom w:val="0"/>
          <w:divBdr>
            <w:top w:val="none" w:sz="0" w:space="0" w:color="auto"/>
            <w:left w:val="none" w:sz="0" w:space="0" w:color="auto"/>
            <w:bottom w:val="none" w:sz="0" w:space="0" w:color="auto"/>
            <w:right w:val="none" w:sz="0" w:space="0" w:color="auto"/>
          </w:divBdr>
        </w:div>
      </w:divsChild>
    </w:div>
    <w:div w:id="1653873406">
      <w:bodyDiv w:val="1"/>
      <w:marLeft w:val="0"/>
      <w:marRight w:val="0"/>
      <w:marTop w:val="0"/>
      <w:marBottom w:val="0"/>
      <w:divBdr>
        <w:top w:val="none" w:sz="0" w:space="0" w:color="auto"/>
        <w:left w:val="none" w:sz="0" w:space="0" w:color="auto"/>
        <w:bottom w:val="none" w:sz="0" w:space="0" w:color="auto"/>
        <w:right w:val="none" w:sz="0" w:space="0" w:color="auto"/>
      </w:divBdr>
      <w:divsChild>
        <w:div w:id="472868550">
          <w:marLeft w:val="0"/>
          <w:marRight w:val="0"/>
          <w:marTop w:val="0"/>
          <w:marBottom w:val="0"/>
          <w:divBdr>
            <w:top w:val="none" w:sz="0" w:space="0" w:color="auto"/>
            <w:left w:val="none" w:sz="0" w:space="0" w:color="auto"/>
            <w:bottom w:val="none" w:sz="0" w:space="0" w:color="auto"/>
            <w:right w:val="none" w:sz="0" w:space="0" w:color="auto"/>
          </w:divBdr>
        </w:div>
        <w:div w:id="1549105774">
          <w:marLeft w:val="0"/>
          <w:marRight w:val="0"/>
          <w:marTop w:val="0"/>
          <w:marBottom w:val="0"/>
          <w:divBdr>
            <w:top w:val="none" w:sz="0" w:space="0" w:color="auto"/>
            <w:left w:val="none" w:sz="0" w:space="0" w:color="auto"/>
            <w:bottom w:val="none" w:sz="0" w:space="0" w:color="auto"/>
            <w:right w:val="none" w:sz="0" w:space="0" w:color="auto"/>
          </w:divBdr>
        </w:div>
        <w:div w:id="1898590966">
          <w:marLeft w:val="0"/>
          <w:marRight w:val="0"/>
          <w:marTop w:val="0"/>
          <w:marBottom w:val="0"/>
          <w:divBdr>
            <w:top w:val="none" w:sz="0" w:space="0" w:color="auto"/>
            <w:left w:val="none" w:sz="0" w:space="0" w:color="auto"/>
            <w:bottom w:val="none" w:sz="0" w:space="0" w:color="auto"/>
            <w:right w:val="none" w:sz="0" w:space="0" w:color="auto"/>
          </w:divBdr>
        </w:div>
        <w:div w:id="398795244">
          <w:marLeft w:val="0"/>
          <w:marRight w:val="0"/>
          <w:marTop w:val="0"/>
          <w:marBottom w:val="0"/>
          <w:divBdr>
            <w:top w:val="none" w:sz="0" w:space="0" w:color="auto"/>
            <w:left w:val="none" w:sz="0" w:space="0" w:color="auto"/>
            <w:bottom w:val="none" w:sz="0" w:space="0" w:color="auto"/>
            <w:right w:val="none" w:sz="0" w:space="0" w:color="auto"/>
          </w:divBdr>
        </w:div>
        <w:div w:id="1623882943">
          <w:marLeft w:val="0"/>
          <w:marRight w:val="0"/>
          <w:marTop w:val="0"/>
          <w:marBottom w:val="0"/>
          <w:divBdr>
            <w:top w:val="none" w:sz="0" w:space="0" w:color="auto"/>
            <w:left w:val="none" w:sz="0" w:space="0" w:color="auto"/>
            <w:bottom w:val="none" w:sz="0" w:space="0" w:color="auto"/>
            <w:right w:val="none" w:sz="0" w:space="0" w:color="auto"/>
          </w:divBdr>
        </w:div>
        <w:div w:id="1422489250">
          <w:marLeft w:val="0"/>
          <w:marRight w:val="0"/>
          <w:marTop w:val="0"/>
          <w:marBottom w:val="0"/>
          <w:divBdr>
            <w:top w:val="none" w:sz="0" w:space="0" w:color="auto"/>
            <w:left w:val="none" w:sz="0" w:space="0" w:color="auto"/>
            <w:bottom w:val="none" w:sz="0" w:space="0" w:color="auto"/>
            <w:right w:val="none" w:sz="0" w:space="0" w:color="auto"/>
          </w:divBdr>
        </w:div>
        <w:div w:id="1385830902">
          <w:marLeft w:val="0"/>
          <w:marRight w:val="0"/>
          <w:marTop w:val="0"/>
          <w:marBottom w:val="0"/>
          <w:divBdr>
            <w:top w:val="none" w:sz="0" w:space="0" w:color="auto"/>
            <w:left w:val="none" w:sz="0" w:space="0" w:color="auto"/>
            <w:bottom w:val="none" w:sz="0" w:space="0" w:color="auto"/>
            <w:right w:val="none" w:sz="0" w:space="0" w:color="auto"/>
          </w:divBdr>
        </w:div>
        <w:div w:id="170946995">
          <w:marLeft w:val="0"/>
          <w:marRight w:val="0"/>
          <w:marTop w:val="0"/>
          <w:marBottom w:val="0"/>
          <w:divBdr>
            <w:top w:val="none" w:sz="0" w:space="0" w:color="auto"/>
            <w:left w:val="none" w:sz="0" w:space="0" w:color="auto"/>
            <w:bottom w:val="none" w:sz="0" w:space="0" w:color="auto"/>
            <w:right w:val="none" w:sz="0" w:space="0" w:color="auto"/>
          </w:divBdr>
        </w:div>
        <w:div w:id="233708326">
          <w:marLeft w:val="0"/>
          <w:marRight w:val="0"/>
          <w:marTop w:val="0"/>
          <w:marBottom w:val="0"/>
          <w:divBdr>
            <w:top w:val="none" w:sz="0" w:space="0" w:color="auto"/>
            <w:left w:val="none" w:sz="0" w:space="0" w:color="auto"/>
            <w:bottom w:val="none" w:sz="0" w:space="0" w:color="auto"/>
            <w:right w:val="none" w:sz="0" w:space="0" w:color="auto"/>
          </w:divBdr>
        </w:div>
        <w:div w:id="496964873">
          <w:marLeft w:val="0"/>
          <w:marRight w:val="0"/>
          <w:marTop w:val="0"/>
          <w:marBottom w:val="0"/>
          <w:divBdr>
            <w:top w:val="none" w:sz="0" w:space="0" w:color="auto"/>
            <w:left w:val="none" w:sz="0" w:space="0" w:color="auto"/>
            <w:bottom w:val="none" w:sz="0" w:space="0" w:color="auto"/>
            <w:right w:val="none" w:sz="0" w:space="0" w:color="auto"/>
          </w:divBdr>
        </w:div>
        <w:div w:id="2037392230">
          <w:marLeft w:val="0"/>
          <w:marRight w:val="0"/>
          <w:marTop w:val="0"/>
          <w:marBottom w:val="0"/>
          <w:divBdr>
            <w:top w:val="none" w:sz="0" w:space="0" w:color="auto"/>
            <w:left w:val="none" w:sz="0" w:space="0" w:color="auto"/>
            <w:bottom w:val="none" w:sz="0" w:space="0" w:color="auto"/>
            <w:right w:val="none" w:sz="0" w:space="0" w:color="auto"/>
          </w:divBdr>
        </w:div>
        <w:div w:id="2140999175">
          <w:marLeft w:val="0"/>
          <w:marRight w:val="0"/>
          <w:marTop w:val="0"/>
          <w:marBottom w:val="0"/>
          <w:divBdr>
            <w:top w:val="none" w:sz="0" w:space="0" w:color="auto"/>
            <w:left w:val="none" w:sz="0" w:space="0" w:color="auto"/>
            <w:bottom w:val="none" w:sz="0" w:space="0" w:color="auto"/>
            <w:right w:val="none" w:sz="0" w:space="0" w:color="auto"/>
          </w:divBdr>
        </w:div>
        <w:div w:id="638346953">
          <w:marLeft w:val="0"/>
          <w:marRight w:val="0"/>
          <w:marTop w:val="0"/>
          <w:marBottom w:val="0"/>
          <w:divBdr>
            <w:top w:val="none" w:sz="0" w:space="0" w:color="auto"/>
            <w:left w:val="none" w:sz="0" w:space="0" w:color="auto"/>
            <w:bottom w:val="none" w:sz="0" w:space="0" w:color="auto"/>
            <w:right w:val="none" w:sz="0" w:space="0" w:color="auto"/>
          </w:divBdr>
        </w:div>
      </w:divsChild>
    </w:div>
    <w:div w:id="1661539475">
      <w:bodyDiv w:val="1"/>
      <w:marLeft w:val="0"/>
      <w:marRight w:val="0"/>
      <w:marTop w:val="0"/>
      <w:marBottom w:val="0"/>
      <w:divBdr>
        <w:top w:val="none" w:sz="0" w:space="0" w:color="auto"/>
        <w:left w:val="none" w:sz="0" w:space="0" w:color="auto"/>
        <w:bottom w:val="none" w:sz="0" w:space="0" w:color="auto"/>
        <w:right w:val="none" w:sz="0" w:space="0" w:color="auto"/>
      </w:divBdr>
      <w:divsChild>
        <w:div w:id="1125080588">
          <w:marLeft w:val="0"/>
          <w:marRight w:val="0"/>
          <w:marTop w:val="0"/>
          <w:marBottom w:val="0"/>
          <w:divBdr>
            <w:top w:val="none" w:sz="0" w:space="0" w:color="auto"/>
            <w:left w:val="none" w:sz="0" w:space="0" w:color="auto"/>
            <w:bottom w:val="none" w:sz="0" w:space="0" w:color="auto"/>
            <w:right w:val="none" w:sz="0" w:space="0" w:color="auto"/>
          </w:divBdr>
        </w:div>
        <w:div w:id="201672490">
          <w:marLeft w:val="0"/>
          <w:marRight w:val="0"/>
          <w:marTop w:val="0"/>
          <w:marBottom w:val="0"/>
          <w:divBdr>
            <w:top w:val="none" w:sz="0" w:space="0" w:color="auto"/>
            <w:left w:val="none" w:sz="0" w:space="0" w:color="auto"/>
            <w:bottom w:val="none" w:sz="0" w:space="0" w:color="auto"/>
            <w:right w:val="none" w:sz="0" w:space="0" w:color="auto"/>
          </w:divBdr>
        </w:div>
        <w:div w:id="800878756">
          <w:marLeft w:val="0"/>
          <w:marRight w:val="0"/>
          <w:marTop w:val="0"/>
          <w:marBottom w:val="0"/>
          <w:divBdr>
            <w:top w:val="none" w:sz="0" w:space="0" w:color="auto"/>
            <w:left w:val="none" w:sz="0" w:space="0" w:color="auto"/>
            <w:bottom w:val="none" w:sz="0" w:space="0" w:color="auto"/>
            <w:right w:val="none" w:sz="0" w:space="0" w:color="auto"/>
          </w:divBdr>
        </w:div>
        <w:div w:id="1948544157">
          <w:marLeft w:val="0"/>
          <w:marRight w:val="0"/>
          <w:marTop w:val="0"/>
          <w:marBottom w:val="0"/>
          <w:divBdr>
            <w:top w:val="none" w:sz="0" w:space="0" w:color="auto"/>
            <w:left w:val="none" w:sz="0" w:space="0" w:color="auto"/>
            <w:bottom w:val="none" w:sz="0" w:space="0" w:color="auto"/>
            <w:right w:val="none" w:sz="0" w:space="0" w:color="auto"/>
          </w:divBdr>
        </w:div>
        <w:div w:id="1849442659">
          <w:marLeft w:val="0"/>
          <w:marRight w:val="0"/>
          <w:marTop w:val="0"/>
          <w:marBottom w:val="0"/>
          <w:divBdr>
            <w:top w:val="none" w:sz="0" w:space="0" w:color="auto"/>
            <w:left w:val="none" w:sz="0" w:space="0" w:color="auto"/>
            <w:bottom w:val="none" w:sz="0" w:space="0" w:color="auto"/>
            <w:right w:val="none" w:sz="0" w:space="0" w:color="auto"/>
          </w:divBdr>
        </w:div>
        <w:div w:id="2108886411">
          <w:marLeft w:val="0"/>
          <w:marRight w:val="0"/>
          <w:marTop w:val="0"/>
          <w:marBottom w:val="0"/>
          <w:divBdr>
            <w:top w:val="none" w:sz="0" w:space="0" w:color="auto"/>
            <w:left w:val="none" w:sz="0" w:space="0" w:color="auto"/>
            <w:bottom w:val="none" w:sz="0" w:space="0" w:color="auto"/>
            <w:right w:val="none" w:sz="0" w:space="0" w:color="auto"/>
          </w:divBdr>
        </w:div>
        <w:div w:id="129982159">
          <w:marLeft w:val="0"/>
          <w:marRight w:val="0"/>
          <w:marTop w:val="0"/>
          <w:marBottom w:val="0"/>
          <w:divBdr>
            <w:top w:val="none" w:sz="0" w:space="0" w:color="auto"/>
            <w:left w:val="none" w:sz="0" w:space="0" w:color="auto"/>
            <w:bottom w:val="none" w:sz="0" w:space="0" w:color="auto"/>
            <w:right w:val="none" w:sz="0" w:space="0" w:color="auto"/>
          </w:divBdr>
        </w:div>
        <w:div w:id="1599479505">
          <w:marLeft w:val="0"/>
          <w:marRight w:val="0"/>
          <w:marTop w:val="0"/>
          <w:marBottom w:val="0"/>
          <w:divBdr>
            <w:top w:val="none" w:sz="0" w:space="0" w:color="auto"/>
            <w:left w:val="none" w:sz="0" w:space="0" w:color="auto"/>
            <w:bottom w:val="none" w:sz="0" w:space="0" w:color="auto"/>
            <w:right w:val="none" w:sz="0" w:space="0" w:color="auto"/>
          </w:divBdr>
        </w:div>
        <w:div w:id="1194272918">
          <w:marLeft w:val="0"/>
          <w:marRight w:val="0"/>
          <w:marTop w:val="0"/>
          <w:marBottom w:val="0"/>
          <w:divBdr>
            <w:top w:val="none" w:sz="0" w:space="0" w:color="auto"/>
            <w:left w:val="none" w:sz="0" w:space="0" w:color="auto"/>
            <w:bottom w:val="none" w:sz="0" w:space="0" w:color="auto"/>
            <w:right w:val="none" w:sz="0" w:space="0" w:color="auto"/>
          </w:divBdr>
        </w:div>
        <w:div w:id="107966223">
          <w:marLeft w:val="0"/>
          <w:marRight w:val="0"/>
          <w:marTop w:val="0"/>
          <w:marBottom w:val="0"/>
          <w:divBdr>
            <w:top w:val="none" w:sz="0" w:space="0" w:color="auto"/>
            <w:left w:val="none" w:sz="0" w:space="0" w:color="auto"/>
            <w:bottom w:val="none" w:sz="0" w:space="0" w:color="auto"/>
            <w:right w:val="none" w:sz="0" w:space="0" w:color="auto"/>
          </w:divBdr>
        </w:div>
        <w:div w:id="1204438517">
          <w:marLeft w:val="0"/>
          <w:marRight w:val="0"/>
          <w:marTop w:val="0"/>
          <w:marBottom w:val="0"/>
          <w:divBdr>
            <w:top w:val="none" w:sz="0" w:space="0" w:color="auto"/>
            <w:left w:val="none" w:sz="0" w:space="0" w:color="auto"/>
            <w:bottom w:val="none" w:sz="0" w:space="0" w:color="auto"/>
            <w:right w:val="none" w:sz="0" w:space="0" w:color="auto"/>
          </w:divBdr>
        </w:div>
        <w:div w:id="1965118145">
          <w:marLeft w:val="0"/>
          <w:marRight w:val="0"/>
          <w:marTop w:val="0"/>
          <w:marBottom w:val="0"/>
          <w:divBdr>
            <w:top w:val="none" w:sz="0" w:space="0" w:color="auto"/>
            <w:left w:val="none" w:sz="0" w:space="0" w:color="auto"/>
            <w:bottom w:val="none" w:sz="0" w:space="0" w:color="auto"/>
            <w:right w:val="none" w:sz="0" w:space="0" w:color="auto"/>
          </w:divBdr>
        </w:div>
      </w:divsChild>
    </w:div>
    <w:div w:id="1696153662">
      <w:bodyDiv w:val="1"/>
      <w:marLeft w:val="0"/>
      <w:marRight w:val="0"/>
      <w:marTop w:val="0"/>
      <w:marBottom w:val="0"/>
      <w:divBdr>
        <w:top w:val="none" w:sz="0" w:space="0" w:color="auto"/>
        <w:left w:val="none" w:sz="0" w:space="0" w:color="auto"/>
        <w:bottom w:val="none" w:sz="0" w:space="0" w:color="auto"/>
        <w:right w:val="none" w:sz="0" w:space="0" w:color="auto"/>
      </w:divBdr>
    </w:div>
    <w:div w:id="1701708218">
      <w:bodyDiv w:val="1"/>
      <w:marLeft w:val="0"/>
      <w:marRight w:val="0"/>
      <w:marTop w:val="0"/>
      <w:marBottom w:val="0"/>
      <w:divBdr>
        <w:top w:val="none" w:sz="0" w:space="0" w:color="auto"/>
        <w:left w:val="none" w:sz="0" w:space="0" w:color="auto"/>
        <w:bottom w:val="none" w:sz="0" w:space="0" w:color="auto"/>
        <w:right w:val="none" w:sz="0" w:space="0" w:color="auto"/>
      </w:divBdr>
    </w:div>
    <w:div w:id="1708917158">
      <w:bodyDiv w:val="1"/>
      <w:marLeft w:val="0"/>
      <w:marRight w:val="0"/>
      <w:marTop w:val="0"/>
      <w:marBottom w:val="0"/>
      <w:divBdr>
        <w:top w:val="none" w:sz="0" w:space="0" w:color="auto"/>
        <w:left w:val="none" w:sz="0" w:space="0" w:color="auto"/>
        <w:bottom w:val="none" w:sz="0" w:space="0" w:color="auto"/>
        <w:right w:val="none" w:sz="0" w:space="0" w:color="auto"/>
      </w:divBdr>
      <w:divsChild>
        <w:div w:id="1305814813">
          <w:marLeft w:val="0"/>
          <w:marRight w:val="0"/>
          <w:marTop w:val="0"/>
          <w:marBottom w:val="0"/>
          <w:divBdr>
            <w:top w:val="none" w:sz="0" w:space="0" w:color="auto"/>
            <w:left w:val="none" w:sz="0" w:space="0" w:color="auto"/>
            <w:bottom w:val="none" w:sz="0" w:space="0" w:color="auto"/>
            <w:right w:val="none" w:sz="0" w:space="0" w:color="auto"/>
          </w:divBdr>
        </w:div>
        <w:div w:id="491602564">
          <w:marLeft w:val="0"/>
          <w:marRight w:val="0"/>
          <w:marTop w:val="0"/>
          <w:marBottom w:val="0"/>
          <w:divBdr>
            <w:top w:val="none" w:sz="0" w:space="0" w:color="auto"/>
            <w:left w:val="none" w:sz="0" w:space="0" w:color="auto"/>
            <w:bottom w:val="none" w:sz="0" w:space="0" w:color="auto"/>
            <w:right w:val="none" w:sz="0" w:space="0" w:color="auto"/>
          </w:divBdr>
        </w:div>
        <w:div w:id="1829516039">
          <w:marLeft w:val="0"/>
          <w:marRight w:val="0"/>
          <w:marTop w:val="0"/>
          <w:marBottom w:val="0"/>
          <w:divBdr>
            <w:top w:val="none" w:sz="0" w:space="0" w:color="auto"/>
            <w:left w:val="none" w:sz="0" w:space="0" w:color="auto"/>
            <w:bottom w:val="none" w:sz="0" w:space="0" w:color="auto"/>
            <w:right w:val="none" w:sz="0" w:space="0" w:color="auto"/>
          </w:divBdr>
        </w:div>
        <w:div w:id="973297132">
          <w:marLeft w:val="0"/>
          <w:marRight w:val="0"/>
          <w:marTop w:val="0"/>
          <w:marBottom w:val="0"/>
          <w:divBdr>
            <w:top w:val="none" w:sz="0" w:space="0" w:color="auto"/>
            <w:left w:val="none" w:sz="0" w:space="0" w:color="auto"/>
            <w:bottom w:val="none" w:sz="0" w:space="0" w:color="auto"/>
            <w:right w:val="none" w:sz="0" w:space="0" w:color="auto"/>
          </w:divBdr>
        </w:div>
        <w:div w:id="1737241927">
          <w:marLeft w:val="0"/>
          <w:marRight w:val="0"/>
          <w:marTop w:val="0"/>
          <w:marBottom w:val="0"/>
          <w:divBdr>
            <w:top w:val="none" w:sz="0" w:space="0" w:color="auto"/>
            <w:left w:val="none" w:sz="0" w:space="0" w:color="auto"/>
            <w:bottom w:val="none" w:sz="0" w:space="0" w:color="auto"/>
            <w:right w:val="none" w:sz="0" w:space="0" w:color="auto"/>
          </w:divBdr>
        </w:div>
        <w:div w:id="1871528008">
          <w:marLeft w:val="0"/>
          <w:marRight w:val="0"/>
          <w:marTop w:val="0"/>
          <w:marBottom w:val="0"/>
          <w:divBdr>
            <w:top w:val="none" w:sz="0" w:space="0" w:color="auto"/>
            <w:left w:val="none" w:sz="0" w:space="0" w:color="auto"/>
            <w:bottom w:val="none" w:sz="0" w:space="0" w:color="auto"/>
            <w:right w:val="none" w:sz="0" w:space="0" w:color="auto"/>
          </w:divBdr>
        </w:div>
        <w:div w:id="807211029">
          <w:marLeft w:val="0"/>
          <w:marRight w:val="0"/>
          <w:marTop w:val="0"/>
          <w:marBottom w:val="0"/>
          <w:divBdr>
            <w:top w:val="none" w:sz="0" w:space="0" w:color="auto"/>
            <w:left w:val="none" w:sz="0" w:space="0" w:color="auto"/>
            <w:bottom w:val="none" w:sz="0" w:space="0" w:color="auto"/>
            <w:right w:val="none" w:sz="0" w:space="0" w:color="auto"/>
          </w:divBdr>
        </w:div>
        <w:div w:id="1868715071">
          <w:marLeft w:val="0"/>
          <w:marRight w:val="0"/>
          <w:marTop w:val="0"/>
          <w:marBottom w:val="0"/>
          <w:divBdr>
            <w:top w:val="none" w:sz="0" w:space="0" w:color="auto"/>
            <w:left w:val="none" w:sz="0" w:space="0" w:color="auto"/>
            <w:bottom w:val="none" w:sz="0" w:space="0" w:color="auto"/>
            <w:right w:val="none" w:sz="0" w:space="0" w:color="auto"/>
          </w:divBdr>
        </w:div>
        <w:div w:id="132717998">
          <w:marLeft w:val="0"/>
          <w:marRight w:val="0"/>
          <w:marTop w:val="0"/>
          <w:marBottom w:val="0"/>
          <w:divBdr>
            <w:top w:val="none" w:sz="0" w:space="0" w:color="auto"/>
            <w:left w:val="none" w:sz="0" w:space="0" w:color="auto"/>
            <w:bottom w:val="none" w:sz="0" w:space="0" w:color="auto"/>
            <w:right w:val="none" w:sz="0" w:space="0" w:color="auto"/>
          </w:divBdr>
        </w:div>
        <w:div w:id="894318400">
          <w:marLeft w:val="0"/>
          <w:marRight w:val="0"/>
          <w:marTop w:val="0"/>
          <w:marBottom w:val="0"/>
          <w:divBdr>
            <w:top w:val="none" w:sz="0" w:space="0" w:color="auto"/>
            <w:left w:val="none" w:sz="0" w:space="0" w:color="auto"/>
            <w:bottom w:val="none" w:sz="0" w:space="0" w:color="auto"/>
            <w:right w:val="none" w:sz="0" w:space="0" w:color="auto"/>
          </w:divBdr>
        </w:div>
        <w:div w:id="861675513">
          <w:marLeft w:val="0"/>
          <w:marRight w:val="0"/>
          <w:marTop w:val="0"/>
          <w:marBottom w:val="0"/>
          <w:divBdr>
            <w:top w:val="none" w:sz="0" w:space="0" w:color="auto"/>
            <w:left w:val="none" w:sz="0" w:space="0" w:color="auto"/>
            <w:bottom w:val="none" w:sz="0" w:space="0" w:color="auto"/>
            <w:right w:val="none" w:sz="0" w:space="0" w:color="auto"/>
          </w:divBdr>
        </w:div>
        <w:div w:id="607856144">
          <w:marLeft w:val="0"/>
          <w:marRight w:val="0"/>
          <w:marTop w:val="0"/>
          <w:marBottom w:val="0"/>
          <w:divBdr>
            <w:top w:val="none" w:sz="0" w:space="0" w:color="auto"/>
            <w:left w:val="none" w:sz="0" w:space="0" w:color="auto"/>
            <w:bottom w:val="none" w:sz="0" w:space="0" w:color="auto"/>
            <w:right w:val="none" w:sz="0" w:space="0" w:color="auto"/>
          </w:divBdr>
        </w:div>
        <w:div w:id="1024331942">
          <w:marLeft w:val="0"/>
          <w:marRight w:val="0"/>
          <w:marTop w:val="0"/>
          <w:marBottom w:val="0"/>
          <w:divBdr>
            <w:top w:val="none" w:sz="0" w:space="0" w:color="auto"/>
            <w:left w:val="none" w:sz="0" w:space="0" w:color="auto"/>
            <w:bottom w:val="none" w:sz="0" w:space="0" w:color="auto"/>
            <w:right w:val="none" w:sz="0" w:space="0" w:color="auto"/>
          </w:divBdr>
        </w:div>
        <w:div w:id="1333683114">
          <w:marLeft w:val="0"/>
          <w:marRight w:val="0"/>
          <w:marTop w:val="0"/>
          <w:marBottom w:val="0"/>
          <w:divBdr>
            <w:top w:val="none" w:sz="0" w:space="0" w:color="auto"/>
            <w:left w:val="none" w:sz="0" w:space="0" w:color="auto"/>
            <w:bottom w:val="none" w:sz="0" w:space="0" w:color="auto"/>
            <w:right w:val="none" w:sz="0" w:space="0" w:color="auto"/>
          </w:divBdr>
        </w:div>
        <w:div w:id="327757442">
          <w:marLeft w:val="0"/>
          <w:marRight w:val="0"/>
          <w:marTop w:val="0"/>
          <w:marBottom w:val="0"/>
          <w:divBdr>
            <w:top w:val="none" w:sz="0" w:space="0" w:color="auto"/>
            <w:left w:val="none" w:sz="0" w:space="0" w:color="auto"/>
            <w:bottom w:val="none" w:sz="0" w:space="0" w:color="auto"/>
            <w:right w:val="none" w:sz="0" w:space="0" w:color="auto"/>
          </w:divBdr>
        </w:div>
        <w:div w:id="921571235">
          <w:marLeft w:val="0"/>
          <w:marRight w:val="0"/>
          <w:marTop w:val="0"/>
          <w:marBottom w:val="0"/>
          <w:divBdr>
            <w:top w:val="none" w:sz="0" w:space="0" w:color="auto"/>
            <w:left w:val="none" w:sz="0" w:space="0" w:color="auto"/>
            <w:bottom w:val="none" w:sz="0" w:space="0" w:color="auto"/>
            <w:right w:val="none" w:sz="0" w:space="0" w:color="auto"/>
          </w:divBdr>
        </w:div>
      </w:divsChild>
    </w:div>
    <w:div w:id="1733042430">
      <w:bodyDiv w:val="1"/>
      <w:marLeft w:val="0"/>
      <w:marRight w:val="0"/>
      <w:marTop w:val="0"/>
      <w:marBottom w:val="0"/>
      <w:divBdr>
        <w:top w:val="none" w:sz="0" w:space="0" w:color="auto"/>
        <w:left w:val="none" w:sz="0" w:space="0" w:color="auto"/>
        <w:bottom w:val="none" w:sz="0" w:space="0" w:color="auto"/>
        <w:right w:val="none" w:sz="0" w:space="0" w:color="auto"/>
      </w:divBdr>
      <w:divsChild>
        <w:div w:id="756248493">
          <w:marLeft w:val="0"/>
          <w:marRight w:val="0"/>
          <w:marTop w:val="0"/>
          <w:marBottom w:val="0"/>
          <w:divBdr>
            <w:top w:val="none" w:sz="0" w:space="0" w:color="auto"/>
            <w:left w:val="none" w:sz="0" w:space="0" w:color="auto"/>
            <w:bottom w:val="none" w:sz="0" w:space="0" w:color="auto"/>
            <w:right w:val="none" w:sz="0" w:space="0" w:color="auto"/>
          </w:divBdr>
        </w:div>
        <w:div w:id="1856727498">
          <w:marLeft w:val="0"/>
          <w:marRight w:val="0"/>
          <w:marTop w:val="0"/>
          <w:marBottom w:val="0"/>
          <w:divBdr>
            <w:top w:val="none" w:sz="0" w:space="0" w:color="auto"/>
            <w:left w:val="none" w:sz="0" w:space="0" w:color="auto"/>
            <w:bottom w:val="none" w:sz="0" w:space="0" w:color="auto"/>
            <w:right w:val="none" w:sz="0" w:space="0" w:color="auto"/>
          </w:divBdr>
        </w:div>
        <w:div w:id="125664282">
          <w:marLeft w:val="0"/>
          <w:marRight w:val="0"/>
          <w:marTop w:val="0"/>
          <w:marBottom w:val="0"/>
          <w:divBdr>
            <w:top w:val="none" w:sz="0" w:space="0" w:color="auto"/>
            <w:left w:val="none" w:sz="0" w:space="0" w:color="auto"/>
            <w:bottom w:val="none" w:sz="0" w:space="0" w:color="auto"/>
            <w:right w:val="none" w:sz="0" w:space="0" w:color="auto"/>
          </w:divBdr>
        </w:div>
        <w:div w:id="718478271">
          <w:marLeft w:val="0"/>
          <w:marRight w:val="0"/>
          <w:marTop w:val="0"/>
          <w:marBottom w:val="0"/>
          <w:divBdr>
            <w:top w:val="none" w:sz="0" w:space="0" w:color="auto"/>
            <w:left w:val="none" w:sz="0" w:space="0" w:color="auto"/>
            <w:bottom w:val="none" w:sz="0" w:space="0" w:color="auto"/>
            <w:right w:val="none" w:sz="0" w:space="0" w:color="auto"/>
          </w:divBdr>
        </w:div>
        <w:div w:id="2012219674">
          <w:marLeft w:val="0"/>
          <w:marRight w:val="0"/>
          <w:marTop w:val="0"/>
          <w:marBottom w:val="0"/>
          <w:divBdr>
            <w:top w:val="none" w:sz="0" w:space="0" w:color="auto"/>
            <w:left w:val="none" w:sz="0" w:space="0" w:color="auto"/>
            <w:bottom w:val="none" w:sz="0" w:space="0" w:color="auto"/>
            <w:right w:val="none" w:sz="0" w:space="0" w:color="auto"/>
          </w:divBdr>
        </w:div>
        <w:div w:id="846481274">
          <w:marLeft w:val="0"/>
          <w:marRight w:val="0"/>
          <w:marTop w:val="0"/>
          <w:marBottom w:val="0"/>
          <w:divBdr>
            <w:top w:val="none" w:sz="0" w:space="0" w:color="auto"/>
            <w:left w:val="none" w:sz="0" w:space="0" w:color="auto"/>
            <w:bottom w:val="none" w:sz="0" w:space="0" w:color="auto"/>
            <w:right w:val="none" w:sz="0" w:space="0" w:color="auto"/>
          </w:divBdr>
        </w:div>
        <w:div w:id="866413391">
          <w:marLeft w:val="0"/>
          <w:marRight w:val="0"/>
          <w:marTop w:val="0"/>
          <w:marBottom w:val="0"/>
          <w:divBdr>
            <w:top w:val="none" w:sz="0" w:space="0" w:color="auto"/>
            <w:left w:val="none" w:sz="0" w:space="0" w:color="auto"/>
            <w:bottom w:val="none" w:sz="0" w:space="0" w:color="auto"/>
            <w:right w:val="none" w:sz="0" w:space="0" w:color="auto"/>
          </w:divBdr>
        </w:div>
        <w:div w:id="1567110383">
          <w:marLeft w:val="0"/>
          <w:marRight w:val="0"/>
          <w:marTop w:val="0"/>
          <w:marBottom w:val="0"/>
          <w:divBdr>
            <w:top w:val="none" w:sz="0" w:space="0" w:color="auto"/>
            <w:left w:val="none" w:sz="0" w:space="0" w:color="auto"/>
            <w:bottom w:val="none" w:sz="0" w:space="0" w:color="auto"/>
            <w:right w:val="none" w:sz="0" w:space="0" w:color="auto"/>
          </w:divBdr>
        </w:div>
        <w:div w:id="1326741276">
          <w:marLeft w:val="0"/>
          <w:marRight w:val="0"/>
          <w:marTop w:val="0"/>
          <w:marBottom w:val="0"/>
          <w:divBdr>
            <w:top w:val="none" w:sz="0" w:space="0" w:color="auto"/>
            <w:left w:val="none" w:sz="0" w:space="0" w:color="auto"/>
            <w:bottom w:val="none" w:sz="0" w:space="0" w:color="auto"/>
            <w:right w:val="none" w:sz="0" w:space="0" w:color="auto"/>
          </w:divBdr>
        </w:div>
        <w:div w:id="273482115">
          <w:marLeft w:val="0"/>
          <w:marRight w:val="0"/>
          <w:marTop w:val="0"/>
          <w:marBottom w:val="0"/>
          <w:divBdr>
            <w:top w:val="none" w:sz="0" w:space="0" w:color="auto"/>
            <w:left w:val="none" w:sz="0" w:space="0" w:color="auto"/>
            <w:bottom w:val="none" w:sz="0" w:space="0" w:color="auto"/>
            <w:right w:val="none" w:sz="0" w:space="0" w:color="auto"/>
          </w:divBdr>
        </w:div>
        <w:div w:id="313223281">
          <w:marLeft w:val="0"/>
          <w:marRight w:val="0"/>
          <w:marTop w:val="0"/>
          <w:marBottom w:val="0"/>
          <w:divBdr>
            <w:top w:val="none" w:sz="0" w:space="0" w:color="auto"/>
            <w:left w:val="none" w:sz="0" w:space="0" w:color="auto"/>
            <w:bottom w:val="none" w:sz="0" w:space="0" w:color="auto"/>
            <w:right w:val="none" w:sz="0" w:space="0" w:color="auto"/>
          </w:divBdr>
        </w:div>
      </w:divsChild>
    </w:div>
    <w:div w:id="1758819130">
      <w:bodyDiv w:val="1"/>
      <w:marLeft w:val="0"/>
      <w:marRight w:val="0"/>
      <w:marTop w:val="0"/>
      <w:marBottom w:val="0"/>
      <w:divBdr>
        <w:top w:val="none" w:sz="0" w:space="0" w:color="auto"/>
        <w:left w:val="none" w:sz="0" w:space="0" w:color="auto"/>
        <w:bottom w:val="none" w:sz="0" w:space="0" w:color="auto"/>
        <w:right w:val="none" w:sz="0" w:space="0" w:color="auto"/>
      </w:divBdr>
      <w:divsChild>
        <w:div w:id="1141774020">
          <w:marLeft w:val="0"/>
          <w:marRight w:val="0"/>
          <w:marTop w:val="0"/>
          <w:marBottom w:val="0"/>
          <w:divBdr>
            <w:top w:val="none" w:sz="0" w:space="0" w:color="auto"/>
            <w:left w:val="none" w:sz="0" w:space="0" w:color="auto"/>
            <w:bottom w:val="none" w:sz="0" w:space="0" w:color="auto"/>
            <w:right w:val="none" w:sz="0" w:space="0" w:color="auto"/>
          </w:divBdr>
        </w:div>
        <w:div w:id="1590431065">
          <w:marLeft w:val="0"/>
          <w:marRight w:val="0"/>
          <w:marTop w:val="0"/>
          <w:marBottom w:val="0"/>
          <w:divBdr>
            <w:top w:val="none" w:sz="0" w:space="0" w:color="auto"/>
            <w:left w:val="none" w:sz="0" w:space="0" w:color="auto"/>
            <w:bottom w:val="none" w:sz="0" w:space="0" w:color="auto"/>
            <w:right w:val="none" w:sz="0" w:space="0" w:color="auto"/>
          </w:divBdr>
        </w:div>
        <w:div w:id="666907718">
          <w:marLeft w:val="0"/>
          <w:marRight w:val="0"/>
          <w:marTop w:val="0"/>
          <w:marBottom w:val="0"/>
          <w:divBdr>
            <w:top w:val="none" w:sz="0" w:space="0" w:color="auto"/>
            <w:left w:val="none" w:sz="0" w:space="0" w:color="auto"/>
            <w:bottom w:val="none" w:sz="0" w:space="0" w:color="auto"/>
            <w:right w:val="none" w:sz="0" w:space="0" w:color="auto"/>
          </w:divBdr>
        </w:div>
      </w:divsChild>
    </w:div>
    <w:div w:id="1760059949">
      <w:bodyDiv w:val="1"/>
      <w:marLeft w:val="0"/>
      <w:marRight w:val="0"/>
      <w:marTop w:val="0"/>
      <w:marBottom w:val="0"/>
      <w:divBdr>
        <w:top w:val="none" w:sz="0" w:space="0" w:color="auto"/>
        <w:left w:val="none" w:sz="0" w:space="0" w:color="auto"/>
        <w:bottom w:val="none" w:sz="0" w:space="0" w:color="auto"/>
        <w:right w:val="none" w:sz="0" w:space="0" w:color="auto"/>
      </w:divBdr>
      <w:divsChild>
        <w:div w:id="791558021">
          <w:marLeft w:val="0"/>
          <w:marRight w:val="0"/>
          <w:marTop w:val="0"/>
          <w:marBottom w:val="0"/>
          <w:divBdr>
            <w:top w:val="none" w:sz="0" w:space="0" w:color="auto"/>
            <w:left w:val="none" w:sz="0" w:space="0" w:color="auto"/>
            <w:bottom w:val="none" w:sz="0" w:space="0" w:color="auto"/>
            <w:right w:val="none" w:sz="0" w:space="0" w:color="auto"/>
          </w:divBdr>
        </w:div>
        <w:div w:id="1936669044">
          <w:marLeft w:val="0"/>
          <w:marRight w:val="0"/>
          <w:marTop w:val="0"/>
          <w:marBottom w:val="0"/>
          <w:divBdr>
            <w:top w:val="none" w:sz="0" w:space="0" w:color="auto"/>
            <w:left w:val="none" w:sz="0" w:space="0" w:color="auto"/>
            <w:bottom w:val="none" w:sz="0" w:space="0" w:color="auto"/>
            <w:right w:val="none" w:sz="0" w:space="0" w:color="auto"/>
          </w:divBdr>
        </w:div>
        <w:div w:id="947929931">
          <w:marLeft w:val="0"/>
          <w:marRight w:val="0"/>
          <w:marTop w:val="0"/>
          <w:marBottom w:val="0"/>
          <w:divBdr>
            <w:top w:val="none" w:sz="0" w:space="0" w:color="auto"/>
            <w:left w:val="none" w:sz="0" w:space="0" w:color="auto"/>
            <w:bottom w:val="none" w:sz="0" w:space="0" w:color="auto"/>
            <w:right w:val="none" w:sz="0" w:space="0" w:color="auto"/>
          </w:divBdr>
        </w:div>
        <w:div w:id="865758097">
          <w:marLeft w:val="0"/>
          <w:marRight w:val="0"/>
          <w:marTop w:val="0"/>
          <w:marBottom w:val="0"/>
          <w:divBdr>
            <w:top w:val="none" w:sz="0" w:space="0" w:color="auto"/>
            <w:left w:val="none" w:sz="0" w:space="0" w:color="auto"/>
            <w:bottom w:val="none" w:sz="0" w:space="0" w:color="auto"/>
            <w:right w:val="none" w:sz="0" w:space="0" w:color="auto"/>
          </w:divBdr>
        </w:div>
        <w:div w:id="1145708290">
          <w:marLeft w:val="0"/>
          <w:marRight w:val="0"/>
          <w:marTop w:val="0"/>
          <w:marBottom w:val="0"/>
          <w:divBdr>
            <w:top w:val="none" w:sz="0" w:space="0" w:color="auto"/>
            <w:left w:val="none" w:sz="0" w:space="0" w:color="auto"/>
            <w:bottom w:val="none" w:sz="0" w:space="0" w:color="auto"/>
            <w:right w:val="none" w:sz="0" w:space="0" w:color="auto"/>
          </w:divBdr>
        </w:div>
        <w:div w:id="511728530">
          <w:marLeft w:val="0"/>
          <w:marRight w:val="0"/>
          <w:marTop w:val="0"/>
          <w:marBottom w:val="0"/>
          <w:divBdr>
            <w:top w:val="none" w:sz="0" w:space="0" w:color="auto"/>
            <w:left w:val="none" w:sz="0" w:space="0" w:color="auto"/>
            <w:bottom w:val="none" w:sz="0" w:space="0" w:color="auto"/>
            <w:right w:val="none" w:sz="0" w:space="0" w:color="auto"/>
          </w:divBdr>
        </w:div>
        <w:div w:id="546839389">
          <w:marLeft w:val="0"/>
          <w:marRight w:val="0"/>
          <w:marTop w:val="0"/>
          <w:marBottom w:val="0"/>
          <w:divBdr>
            <w:top w:val="none" w:sz="0" w:space="0" w:color="auto"/>
            <w:left w:val="none" w:sz="0" w:space="0" w:color="auto"/>
            <w:bottom w:val="none" w:sz="0" w:space="0" w:color="auto"/>
            <w:right w:val="none" w:sz="0" w:space="0" w:color="auto"/>
          </w:divBdr>
        </w:div>
        <w:div w:id="1349257714">
          <w:marLeft w:val="0"/>
          <w:marRight w:val="0"/>
          <w:marTop w:val="0"/>
          <w:marBottom w:val="0"/>
          <w:divBdr>
            <w:top w:val="none" w:sz="0" w:space="0" w:color="auto"/>
            <w:left w:val="none" w:sz="0" w:space="0" w:color="auto"/>
            <w:bottom w:val="none" w:sz="0" w:space="0" w:color="auto"/>
            <w:right w:val="none" w:sz="0" w:space="0" w:color="auto"/>
          </w:divBdr>
        </w:div>
        <w:div w:id="437530708">
          <w:marLeft w:val="0"/>
          <w:marRight w:val="0"/>
          <w:marTop w:val="0"/>
          <w:marBottom w:val="0"/>
          <w:divBdr>
            <w:top w:val="none" w:sz="0" w:space="0" w:color="auto"/>
            <w:left w:val="none" w:sz="0" w:space="0" w:color="auto"/>
            <w:bottom w:val="none" w:sz="0" w:space="0" w:color="auto"/>
            <w:right w:val="none" w:sz="0" w:space="0" w:color="auto"/>
          </w:divBdr>
        </w:div>
        <w:div w:id="474220319">
          <w:marLeft w:val="0"/>
          <w:marRight w:val="0"/>
          <w:marTop w:val="0"/>
          <w:marBottom w:val="0"/>
          <w:divBdr>
            <w:top w:val="none" w:sz="0" w:space="0" w:color="auto"/>
            <w:left w:val="none" w:sz="0" w:space="0" w:color="auto"/>
            <w:bottom w:val="none" w:sz="0" w:space="0" w:color="auto"/>
            <w:right w:val="none" w:sz="0" w:space="0" w:color="auto"/>
          </w:divBdr>
        </w:div>
        <w:div w:id="762921402">
          <w:marLeft w:val="0"/>
          <w:marRight w:val="0"/>
          <w:marTop w:val="0"/>
          <w:marBottom w:val="0"/>
          <w:divBdr>
            <w:top w:val="none" w:sz="0" w:space="0" w:color="auto"/>
            <w:left w:val="none" w:sz="0" w:space="0" w:color="auto"/>
            <w:bottom w:val="none" w:sz="0" w:space="0" w:color="auto"/>
            <w:right w:val="none" w:sz="0" w:space="0" w:color="auto"/>
          </w:divBdr>
        </w:div>
        <w:div w:id="653142511">
          <w:marLeft w:val="0"/>
          <w:marRight w:val="0"/>
          <w:marTop w:val="0"/>
          <w:marBottom w:val="0"/>
          <w:divBdr>
            <w:top w:val="none" w:sz="0" w:space="0" w:color="auto"/>
            <w:left w:val="none" w:sz="0" w:space="0" w:color="auto"/>
            <w:bottom w:val="none" w:sz="0" w:space="0" w:color="auto"/>
            <w:right w:val="none" w:sz="0" w:space="0" w:color="auto"/>
          </w:divBdr>
        </w:div>
        <w:div w:id="1391225690">
          <w:marLeft w:val="0"/>
          <w:marRight w:val="0"/>
          <w:marTop w:val="0"/>
          <w:marBottom w:val="0"/>
          <w:divBdr>
            <w:top w:val="none" w:sz="0" w:space="0" w:color="auto"/>
            <w:left w:val="none" w:sz="0" w:space="0" w:color="auto"/>
            <w:bottom w:val="none" w:sz="0" w:space="0" w:color="auto"/>
            <w:right w:val="none" w:sz="0" w:space="0" w:color="auto"/>
          </w:divBdr>
        </w:div>
        <w:div w:id="321736367">
          <w:marLeft w:val="0"/>
          <w:marRight w:val="0"/>
          <w:marTop w:val="0"/>
          <w:marBottom w:val="0"/>
          <w:divBdr>
            <w:top w:val="none" w:sz="0" w:space="0" w:color="auto"/>
            <w:left w:val="none" w:sz="0" w:space="0" w:color="auto"/>
            <w:bottom w:val="none" w:sz="0" w:space="0" w:color="auto"/>
            <w:right w:val="none" w:sz="0" w:space="0" w:color="auto"/>
          </w:divBdr>
        </w:div>
        <w:div w:id="909314258">
          <w:marLeft w:val="0"/>
          <w:marRight w:val="0"/>
          <w:marTop w:val="0"/>
          <w:marBottom w:val="0"/>
          <w:divBdr>
            <w:top w:val="none" w:sz="0" w:space="0" w:color="auto"/>
            <w:left w:val="none" w:sz="0" w:space="0" w:color="auto"/>
            <w:bottom w:val="none" w:sz="0" w:space="0" w:color="auto"/>
            <w:right w:val="none" w:sz="0" w:space="0" w:color="auto"/>
          </w:divBdr>
        </w:div>
        <w:div w:id="1534030820">
          <w:marLeft w:val="0"/>
          <w:marRight w:val="0"/>
          <w:marTop w:val="0"/>
          <w:marBottom w:val="0"/>
          <w:divBdr>
            <w:top w:val="none" w:sz="0" w:space="0" w:color="auto"/>
            <w:left w:val="none" w:sz="0" w:space="0" w:color="auto"/>
            <w:bottom w:val="none" w:sz="0" w:space="0" w:color="auto"/>
            <w:right w:val="none" w:sz="0" w:space="0" w:color="auto"/>
          </w:divBdr>
        </w:div>
        <w:div w:id="306013230">
          <w:marLeft w:val="0"/>
          <w:marRight w:val="0"/>
          <w:marTop w:val="0"/>
          <w:marBottom w:val="0"/>
          <w:divBdr>
            <w:top w:val="none" w:sz="0" w:space="0" w:color="auto"/>
            <w:left w:val="none" w:sz="0" w:space="0" w:color="auto"/>
            <w:bottom w:val="none" w:sz="0" w:space="0" w:color="auto"/>
            <w:right w:val="none" w:sz="0" w:space="0" w:color="auto"/>
          </w:divBdr>
        </w:div>
        <w:div w:id="1700935436">
          <w:marLeft w:val="0"/>
          <w:marRight w:val="0"/>
          <w:marTop w:val="0"/>
          <w:marBottom w:val="0"/>
          <w:divBdr>
            <w:top w:val="none" w:sz="0" w:space="0" w:color="auto"/>
            <w:left w:val="none" w:sz="0" w:space="0" w:color="auto"/>
            <w:bottom w:val="none" w:sz="0" w:space="0" w:color="auto"/>
            <w:right w:val="none" w:sz="0" w:space="0" w:color="auto"/>
          </w:divBdr>
        </w:div>
        <w:div w:id="1394084960">
          <w:marLeft w:val="0"/>
          <w:marRight w:val="0"/>
          <w:marTop w:val="0"/>
          <w:marBottom w:val="0"/>
          <w:divBdr>
            <w:top w:val="none" w:sz="0" w:space="0" w:color="auto"/>
            <w:left w:val="none" w:sz="0" w:space="0" w:color="auto"/>
            <w:bottom w:val="none" w:sz="0" w:space="0" w:color="auto"/>
            <w:right w:val="none" w:sz="0" w:space="0" w:color="auto"/>
          </w:divBdr>
        </w:div>
        <w:div w:id="1112089292">
          <w:marLeft w:val="0"/>
          <w:marRight w:val="0"/>
          <w:marTop w:val="0"/>
          <w:marBottom w:val="0"/>
          <w:divBdr>
            <w:top w:val="none" w:sz="0" w:space="0" w:color="auto"/>
            <w:left w:val="none" w:sz="0" w:space="0" w:color="auto"/>
            <w:bottom w:val="none" w:sz="0" w:space="0" w:color="auto"/>
            <w:right w:val="none" w:sz="0" w:space="0" w:color="auto"/>
          </w:divBdr>
        </w:div>
        <w:div w:id="214436623">
          <w:marLeft w:val="0"/>
          <w:marRight w:val="0"/>
          <w:marTop w:val="0"/>
          <w:marBottom w:val="0"/>
          <w:divBdr>
            <w:top w:val="none" w:sz="0" w:space="0" w:color="auto"/>
            <w:left w:val="none" w:sz="0" w:space="0" w:color="auto"/>
            <w:bottom w:val="none" w:sz="0" w:space="0" w:color="auto"/>
            <w:right w:val="none" w:sz="0" w:space="0" w:color="auto"/>
          </w:divBdr>
        </w:div>
        <w:div w:id="1211960430">
          <w:marLeft w:val="0"/>
          <w:marRight w:val="0"/>
          <w:marTop w:val="0"/>
          <w:marBottom w:val="0"/>
          <w:divBdr>
            <w:top w:val="none" w:sz="0" w:space="0" w:color="auto"/>
            <w:left w:val="none" w:sz="0" w:space="0" w:color="auto"/>
            <w:bottom w:val="none" w:sz="0" w:space="0" w:color="auto"/>
            <w:right w:val="none" w:sz="0" w:space="0" w:color="auto"/>
          </w:divBdr>
        </w:div>
      </w:divsChild>
    </w:div>
    <w:div w:id="1794057741">
      <w:bodyDiv w:val="1"/>
      <w:marLeft w:val="0"/>
      <w:marRight w:val="0"/>
      <w:marTop w:val="0"/>
      <w:marBottom w:val="0"/>
      <w:divBdr>
        <w:top w:val="none" w:sz="0" w:space="0" w:color="auto"/>
        <w:left w:val="none" w:sz="0" w:space="0" w:color="auto"/>
        <w:bottom w:val="none" w:sz="0" w:space="0" w:color="auto"/>
        <w:right w:val="none" w:sz="0" w:space="0" w:color="auto"/>
      </w:divBdr>
    </w:div>
    <w:div w:id="1794250457">
      <w:bodyDiv w:val="1"/>
      <w:marLeft w:val="0"/>
      <w:marRight w:val="0"/>
      <w:marTop w:val="0"/>
      <w:marBottom w:val="0"/>
      <w:divBdr>
        <w:top w:val="none" w:sz="0" w:space="0" w:color="auto"/>
        <w:left w:val="none" w:sz="0" w:space="0" w:color="auto"/>
        <w:bottom w:val="none" w:sz="0" w:space="0" w:color="auto"/>
        <w:right w:val="none" w:sz="0" w:space="0" w:color="auto"/>
      </w:divBdr>
      <w:divsChild>
        <w:div w:id="179511300">
          <w:marLeft w:val="0"/>
          <w:marRight w:val="0"/>
          <w:marTop w:val="0"/>
          <w:marBottom w:val="0"/>
          <w:divBdr>
            <w:top w:val="none" w:sz="0" w:space="0" w:color="auto"/>
            <w:left w:val="none" w:sz="0" w:space="0" w:color="auto"/>
            <w:bottom w:val="none" w:sz="0" w:space="0" w:color="auto"/>
            <w:right w:val="none" w:sz="0" w:space="0" w:color="auto"/>
          </w:divBdr>
        </w:div>
        <w:div w:id="1297370143">
          <w:marLeft w:val="0"/>
          <w:marRight w:val="0"/>
          <w:marTop w:val="0"/>
          <w:marBottom w:val="0"/>
          <w:divBdr>
            <w:top w:val="none" w:sz="0" w:space="0" w:color="auto"/>
            <w:left w:val="none" w:sz="0" w:space="0" w:color="auto"/>
            <w:bottom w:val="none" w:sz="0" w:space="0" w:color="auto"/>
            <w:right w:val="none" w:sz="0" w:space="0" w:color="auto"/>
          </w:divBdr>
        </w:div>
      </w:divsChild>
    </w:div>
    <w:div w:id="1803229029">
      <w:bodyDiv w:val="1"/>
      <w:marLeft w:val="0"/>
      <w:marRight w:val="0"/>
      <w:marTop w:val="0"/>
      <w:marBottom w:val="0"/>
      <w:divBdr>
        <w:top w:val="none" w:sz="0" w:space="0" w:color="auto"/>
        <w:left w:val="none" w:sz="0" w:space="0" w:color="auto"/>
        <w:bottom w:val="none" w:sz="0" w:space="0" w:color="auto"/>
        <w:right w:val="none" w:sz="0" w:space="0" w:color="auto"/>
      </w:divBdr>
      <w:divsChild>
        <w:div w:id="1918439793">
          <w:marLeft w:val="0"/>
          <w:marRight w:val="0"/>
          <w:marTop w:val="0"/>
          <w:marBottom w:val="0"/>
          <w:divBdr>
            <w:top w:val="none" w:sz="0" w:space="0" w:color="auto"/>
            <w:left w:val="none" w:sz="0" w:space="0" w:color="auto"/>
            <w:bottom w:val="none" w:sz="0" w:space="0" w:color="auto"/>
            <w:right w:val="none" w:sz="0" w:space="0" w:color="auto"/>
          </w:divBdr>
        </w:div>
        <w:div w:id="465782311">
          <w:marLeft w:val="0"/>
          <w:marRight w:val="0"/>
          <w:marTop w:val="0"/>
          <w:marBottom w:val="0"/>
          <w:divBdr>
            <w:top w:val="none" w:sz="0" w:space="0" w:color="auto"/>
            <w:left w:val="none" w:sz="0" w:space="0" w:color="auto"/>
            <w:bottom w:val="none" w:sz="0" w:space="0" w:color="auto"/>
            <w:right w:val="none" w:sz="0" w:space="0" w:color="auto"/>
          </w:divBdr>
        </w:div>
      </w:divsChild>
    </w:div>
    <w:div w:id="1809122901">
      <w:bodyDiv w:val="1"/>
      <w:marLeft w:val="0"/>
      <w:marRight w:val="0"/>
      <w:marTop w:val="0"/>
      <w:marBottom w:val="0"/>
      <w:divBdr>
        <w:top w:val="none" w:sz="0" w:space="0" w:color="auto"/>
        <w:left w:val="none" w:sz="0" w:space="0" w:color="auto"/>
        <w:bottom w:val="none" w:sz="0" w:space="0" w:color="auto"/>
        <w:right w:val="none" w:sz="0" w:space="0" w:color="auto"/>
      </w:divBdr>
      <w:divsChild>
        <w:div w:id="1078944729">
          <w:marLeft w:val="0"/>
          <w:marRight w:val="0"/>
          <w:marTop w:val="0"/>
          <w:marBottom w:val="0"/>
          <w:divBdr>
            <w:top w:val="none" w:sz="0" w:space="0" w:color="auto"/>
            <w:left w:val="none" w:sz="0" w:space="0" w:color="auto"/>
            <w:bottom w:val="none" w:sz="0" w:space="0" w:color="auto"/>
            <w:right w:val="none" w:sz="0" w:space="0" w:color="auto"/>
          </w:divBdr>
        </w:div>
        <w:div w:id="685519987">
          <w:marLeft w:val="0"/>
          <w:marRight w:val="0"/>
          <w:marTop w:val="0"/>
          <w:marBottom w:val="0"/>
          <w:divBdr>
            <w:top w:val="none" w:sz="0" w:space="0" w:color="auto"/>
            <w:left w:val="none" w:sz="0" w:space="0" w:color="auto"/>
            <w:bottom w:val="none" w:sz="0" w:space="0" w:color="auto"/>
            <w:right w:val="none" w:sz="0" w:space="0" w:color="auto"/>
          </w:divBdr>
        </w:div>
        <w:div w:id="865480606">
          <w:marLeft w:val="0"/>
          <w:marRight w:val="0"/>
          <w:marTop w:val="0"/>
          <w:marBottom w:val="0"/>
          <w:divBdr>
            <w:top w:val="none" w:sz="0" w:space="0" w:color="auto"/>
            <w:left w:val="none" w:sz="0" w:space="0" w:color="auto"/>
            <w:bottom w:val="none" w:sz="0" w:space="0" w:color="auto"/>
            <w:right w:val="none" w:sz="0" w:space="0" w:color="auto"/>
          </w:divBdr>
        </w:div>
        <w:div w:id="1453787072">
          <w:marLeft w:val="0"/>
          <w:marRight w:val="0"/>
          <w:marTop w:val="0"/>
          <w:marBottom w:val="0"/>
          <w:divBdr>
            <w:top w:val="none" w:sz="0" w:space="0" w:color="auto"/>
            <w:left w:val="none" w:sz="0" w:space="0" w:color="auto"/>
            <w:bottom w:val="none" w:sz="0" w:space="0" w:color="auto"/>
            <w:right w:val="none" w:sz="0" w:space="0" w:color="auto"/>
          </w:divBdr>
        </w:div>
        <w:div w:id="1299605613">
          <w:marLeft w:val="0"/>
          <w:marRight w:val="0"/>
          <w:marTop w:val="0"/>
          <w:marBottom w:val="0"/>
          <w:divBdr>
            <w:top w:val="none" w:sz="0" w:space="0" w:color="auto"/>
            <w:left w:val="none" w:sz="0" w:space="0" w:color="auto"/>
            <w:bottom w:val="none" w:sz="0" w:space="0" w:color="auto"/>
            <w:right w:val="none" w:sz="0" w:space="0" w:color="auto"/>
          </w:divBdr>
        </w:div>
        <w:div w:id="1179463544">
          <w:marLeft w:val="0"/>
          <w:marRight w:val="0"/>
          <w:marTop w:val="0"/>
          <w:marBottom w:val="0"/>
          <w:divBdr>
            <w:top w:val="none" w:sz="0" w:space="0" w:color="auto"/>
            <w:left w:val="none" w:sz="0" w:space="0" w:color="auto"/>
            <w:bottom w:val="none" w:sz="0" w:space="0" w:color="auto"/>
            <w:right w:val="none" w:sz="0" w:space="0" w:color="auto"/>
          </w:divBdr>
        </w:div>
        <w:div w:id="926767367">
          <w:marLeft w:val="0"/>
          <w:marRight w:val="0"/>
          <w:marTop w:val="0"/>
          <w:marBottom w:val="0"/>
          <w:divBdr>
            <w:top w:val="none" w:sz="0" w:space="0" w:color="auto"/>
            <w:left w:val="none" w:sz="0" w:space="0" w:color="auto"/>
            <w:bottom w:val="none" w:sz="0" w:space="0" w:color="auto"/>
            <w:right w:val="none" w:sz="0" w:space="0" w:color="auto"/>
          </w:divBdr>
        </w:div>
        <w:div w:id="2018000292">
          <w:marLeft w:val="0"/>
          <w:marRight w:val="0"/>
          <w:marTop w:val="0"/>
          <w:marBottom w:val="0"/>
          <w:divBdr>
            <w:top w:val="none" w:sz="0" w:space="0" w:color="auto"/>
            <w:left w:val="none" w:sz="0" w:space="0" w:color="auto"/>
            <w:bottom w:val="none" w:sz="0" w:space="0" w:color="auto"/>
            <w:right w:val="none" w:sz="0" w:space="0" w:color="auto"/>
          </w:divBdr>
        </w:div>
        <w:div w:id="1526598187">
          <w:marLeft w:val="0"/>
          <w:marRight w:val="0"/>
          <w:marTop w:val="0"/>
          <w:marBottom w:val="0"/>
          <w:divBdr>
            <w:top w:val="none" w:sz="0" w:space="0" w:color="auto"/>
            <w:left w:val="none" w:sz="0" w:space="0" w:color="auto"/>
            <w:bottom w:val="none" w:sz="0" w:space="0" w:color="auto"/>
            <w:right w:val="none" w:sz="0" w:space="0" w:color="auto"/>
          </w:divBdr>
        </w:div>
        <w:div w:id="791561266">
          <w:marLeft w:val="0"/>
          <w:marRight w:val="0"/>
          <w:marTop w:val="0"/>
          <w:marBottom w:val="0"/>
          <w:divBdr>
            <w:top w:val="none" w:sz="0" w:space="0" w:color="auto"/>
            <w:left w:val="none" w:sz="0" w:space="0" w:color="auto"/>
            <w:bottom w:val="none" w:sz="0" w:space="0" w:color="auto"/>
            <w:right w:val="none" w:sz="0" w:space="0" w:color="auto"/>
          </w:divBdr>
        </w:div>
        <w:div w:id="1462310696">
          <w:marLeft w:val="0"/>
          <w:marRight w:val="0"/>
          <w:marTop w:val="0"/>
          <w:marBottom w:val="0"/>
          <w:divBdr>
            <w:top w:val="none" w:sz="0" w:space="0" w:color="auto"/>
            <w:left w:val="none" w:sz="0" w:space="0" w:color="auto"/>
            <w:bottom w:val="none" w:sz="0" w:space="0" w:color="auto"/>
            <w:right w:val="none" w:sz="0" w:space="0" w:color="auto"/>
          </w:divBdr>
        </w:div>
        <w:div w:id="1646859867">
          <w:marLeft w:val="0"/>
          <w:marRight w:val="0"/>
          <w:marTop w:val="0"/>
          <w:marBottom w:val="0"/>
          <w:divBdr>
            <w:top w:val="none" w:sz="0" w:space="0" w:color="auto"/>
            <w:left w:val="none" w:sz="0" w:space="0" w:color="auto"/>
            <w:bottom w:val="none" w:sz="0" w:space="0" w:color="auto"/>
            <w:right w:val="none" w:sz="0" w:space="0" w:color="auto"/>
          </w:divBdr>
        </w:div>
        <w:div w:id="647394398">
          <w:marLeft w:val="0"/>
          <w:marRight w:val="0"/>
          <w:marTop w:val="0"/>
          <w:marBottom w:val="0"/>
          <w:divBdr>
            <w:top w:val="none" w:sz="0" w:space="0" w:color="auto"/>
            <w:left w:val="none" w:sz="0" w:space="0" w:color="auto"/>
            <w:bottom w:val="none" w:sz="0" w:space="0" w:color="auto"/>
            <w:right w:val="none" w:sz="0" w:space="0" w:color="auto"/>
          </w:divBdr>
        </w:div>
      </w:divsChild>
    </w:div>
    <w:div w:id="1816337846">
      <w:bodyDiv w:val="1"/>
      <w:marLeft w:val="0"/>
      <w:marRight w:val="0"/>
      <w:marTop w:val="0"/>
      <w:marBottom w:val="0"/>
      <w:divBdr>
        <w:top w:val="none" w:sz="0" w:space="0" w:color="auto"/>
        <w:left w:val="none" w:sz="0" w:space="0" w:color="auto"/>
        <w:bottom w:val="none" w:sz="0" w:space="0" w:color="auto"/>
        <w:right w:val="none" w:sz="0" w:space="0" w:color="auto"/>
      </w:divBdr>
      <w:divsChild>
        <w:div w:id="280193244">
          <w:marLeft w:val="0"/>
          <w:marRight w:val="0"/>
          <w:marTop w:val="0"/>
          <w:marBottom w:val="0"/>
          <w:divBdr>
            <w:top w:val="none" w:sz="0" w:space="0" w:color="auto"/>
            <w:left w:val="none" w:sz="0" w:space="0" w:color="auto"/>
            <w:bottom w:val="none" w:sz="0" w:space="0" w:color="auto"/>
            <w:right w:val="none" w:sz="0" w:space="0" w:color="auto"/>
          </w:divBdr>
        </w:div>
        <w:div w:id="1993486343">
          <w:marLeft w:val="0"/>
          <w:marRight w:val="0"/>
          <w:marTop w:val="0"/>
          <w:marBottom w:val="0"/>
          <w:divBdr>
            <w:top w:val="none" w:sz="0" w:space="0" w:color="auto"/>
            <w:left w:val="none" w:sz="0" w:space="0" w:color="auto"/>
            <w:bottom w:val="none" w:sz="0" w:space="0" w:color="auto"/>
            <w:right w:val="none" w:sz="0" w:space="0" w:color="auto"/>
          </w:divBdr>
        </w:div>
        <w:div w:id="184711981">
          <w:marLeft w:val="0"/>
          <w:marRight w:val="0"/>
          <w:marTop w:val="0"/>
          <w:marBottom w:val="0"/>
          <w:divBdr>
            <w:top w:val="none" w:sz="0" w:space="0" w:color="auto"/>
            <w:left w:val="none" w:sz="0" w:space="0" w:color="auto"/>
            <w:bottom w:val="none" w:sz="0" w:space="0" w:color="auto"/>
            <w:right w:val="none" w:sz="0" w:space="0" w:color="auto"/>
          </w:divBdr>
        </w:div>
        <w:div w:id="689182490">
          <w:marLeft w:val="0"/>
          <w:marRight w:val="0"/>
          <w:marTop w:val="0"/>
          <w:marBottom w:val="0"/>
          <w:divBdr>
            <w:top w:val="none" w:sz="0" w:space="0" w:color="auto"/>
            <w:left w:val="none" w:sz="0" w:space="0" w:color="auto"/>
            <w:bottom w:val="none" w:sz="0" w:space="0" w:color="auto"/>
            <w:right w:val="none" w:sz="0" w:space="0" w:color="auto"/>
          </w:divBdr>
        </w:div>
        <w:div w:id="1288046344">
          <w:marLeft w:val="0"/>
          <w:marRight w:val="0"/>
          <w:marTop w:val="0"/>
          <w:marBottom w:val="0"/>
          <w:divBdr>
            <w:top w:val="none" w:sz="0" w:space="0" w:color="auto"/>
            <w:left w:val="none" w:sz="0" w:space="0" w:color="auto"/>
            <w:bottom w:val="none" w:sz="0" w:space="0" w:color="auto"/>
            <w:right w:val="none" w:sz="0" w:space="0" w:color="auto"/>
          </w:divBdr>
        </w:div>
        <w:div w:id="940453372">
          <w:marLeft w:val="0"/>
          <w:marRight w:val="0"/>
          <w:marTop w:val="0"/>
          <w:marBottom w:val="0"/>
          <w:divBdr>
            <w:top w:val="none" w:sz="0" w:space="0" w:color="auto"/>
            <w:left w:val="none" w:sz="0" w:space="0" w:color="auto"/>
            <w:bottom w:val="none" w:sz="0" w:space="0" w:color="auto"/>
            <w:right w:val="none" w:sz="0" w:space="0" w:color="auto"/>
          </w:divBdr>
        </w:div>
        <w:div w:id="787046968">
          <w:marLeft w:val="0"/>
          <w:marRight w:val="0"/>
          <w:marTop w:val="0"/>
          <w:marBottom w:val="0"/>
          <w:divBdr>
            <w:top w:val="none" w:sz="0" w:space="0" w:color="auto"/>
            <w:left w:val="none" w:sz="0" w:space="0" w:color="auto"/>
            <w:bottom w:val="none" w:sz="0" w:space="0" w:color="auto"/>
            <w:right w:val="none" w:sz="0" w:space="0" w:color="auto"/>
          </w:divBdr>
        </w:div>
        <w:div w:id="341278385">
          <w:marLeft w:val="0"/>
          <w:marRight w:val="0"/>
          <w:marTop w:val="0"/>
          <w:marBottom w:val="0"/>
          <w:divBdr>
            <w:top w:val="none" w:sz="0" w:space="0" w:color="auto"/>
            <w:left w:val="none" w:sz="0" w:space="0" w:color="auto"/>
            <w:bottom w:val="none" w:sz="0" w:space="0" w:color="auto"/>
            <w:right w:val="none" w:sz="0" w:space="0" w:color="auto"/>
          </w:divBdr>
        </w:div>
        <w:div w:id="1852599939">
          <w:marLeft w:val="0"/>
          <w:marRight w:val="0"/>
          <w:marTop w:val="0"/>
          <w:marBottom w:val="0"/>
          <w:divBdr>
            <w:top w:val="none" w:sz="0" w:space="0" w:color="auto"/>
            <w:left w:val="none" w:sz="0" w:space="0" w:color="auto"/>
            <w:bottom w:val="none" w:sz="0" w:space="0" w:color="auto"/>
            <w:right w:val="none" w:sz="0" w:space="0" w:color="auto"/>
          </w:divBdr>
        </w:div>
        <w:div w:id="1079055441">
          <w:marLeft w:val="0"/>
          <w:marRight w:val="0"/>
          <w:marTop w:val="0"/>
          <w:marBottom w:val="0"/>
          <w:divBdr>
            <w:top w:val="none" w:sz="0" w:space="0" w:color="auto"/>
            <w:left w:val="none" w:sz="0" w:space="0" w:color="auto"/>
            <w:bottom w:val="none" w:sz="0" w:space="0" w:color="auto"/>
            <w:right w:val="none" w:sz="0" w:space="0" w:color="auto"/>
          </w:divBdr>
        </w:div>
      </w:divsChild>
    </w:div>
    <w:div w:id="1820076401">
      <w:bodyDiv w:val="1"/>
      <w:marLeft w:val="0"/>
      <w:marRight w:val="0"/>
      <w:marTop w:val="0"/>
      <w:marBottom w:val="0"/>
      <w:divBdr>
        <w:top w:val="none" w:sz="0" w:space="0" w:color="auto"/>
        <w:left w:val="none" w:sz="0" w:space="0" w:color="auto"/>
        <w:bottom w:val="none" w:sz="0" w:space="0" w:color="auto"/>
        <w:right w:val="none" w:sz="0" w:space="0" w:color="auto"/>
      </w:divBdr>
      <w:divsChild>
        <w:div w:id="771972238">
          <w:marLeft w:val="0"/>
          <w:marRight w:val="0"/>
          <w:marTop w:val="0"/>
          <w:marBottom w:val="0"/>
          <w:divBdr>
            <w:top w:val="none" w:sz="0" w:space="0" w:color="auto"/>
            <w:left w:val="none" w:sz="0" w:space="0" w:color="auto"/>
            <w:bottom w:val="none" w:sz="0" w:space="0" w:color="auto"/>
            <w:right w:val="none" w:sz="0" w:space="0" w:color="auto"/>
          </w:divBdr>
        </w:div>
        <w:div w:id="1282802254">
          <w:marLeft w:val="0"/>
          <w:marRight w:val="0"/>
          <w:marTop w:val="0"/>
          <w:marBottom w:val="0"/>
          <w:divBdr>
            <w:top w:val="none" w:sz="0" w:space="0" w:color="auto"/>
            <w:left w:val="none" w:sz="0" w:space="0" w:color="auto"/>
            <w:bottom w:val="none" w:sz="0" w:space="0" w:color="auto"/>
            <w:right w:val="none" w:sz="0" w:space="0" w:color="auto"/>
          </w:divBdr>
        </w:div>
        <w:div w:id="2134902875">
          <w:marLeft w:val="0"/>
          <w:marRight w:val="0"/>
          <w:marTop w:val="0"/>
          <w:marBottom w:val="0"/>
          <w:divBdr>
            <w:top w:val="none" w:sz="0" w:space="0" w:color="auto"/>
            <w:left w:val="none" w:sz="0" w:space="0" w:color="auto"/>
            <w:bottom w:val="none" w:sz="0" w:space="0" w:color="auto"/>
            <w:right w:val="none" w:sz="0" w:space="0" w:color="auto"/>
          </w:divBdr>
        </w:div>
        <w:div w:id="465315355">
          <w:marLeft w:val="0"/>
          <w:marRight w:val="0"/>
          <w:marTop w:val="0"/>
          <w:marBottom w:val="0"/>
          <w:divBdr>
            <w:top w:val="none" w:sz="0" w:space="0" w:color="auto"/>
            <w:left w:val="none" w:sz="0" w:space="0" w:color="auto"/>
            <w:bottom w:val="none" w:sz="0" w:space="0" w:color="auto"/>
            <w:right w:val="none" w:sz="0" w:space="0" w:color="auto"/>
          </w:divBdr>
        </w:div>
        <w:div w:id="1572807815">
          <w:marLeft w:val="0"/>
          <w:marRight w:val="0"/>
          <w:marTop w:val="0"/>
          <w:marBottom w:val="0"/>
          <w:divBdr>
            <w:top w:val="none" w:sz="0" w:space="0" w:color="auto"/>
            <w:left w:val="none" w:sz="0" w:space="0" w:color="auto"/>
            <w:bottom w:val="none" w:sz="0" w:space="0" w:color="auto"/>
            <w:right w:val="none" w:sz="0" w:space="0" w:color="auto"/>
          </w:divBdr>
        </w:div>
        <w:div w:id="1675917992">
          <w:marLeft w:val="0"/>
          <w:marRight w:val="0"/>
          <w:marTop w:val="0"/>
          <w:marBottom w:val="0"/>
          <w:divBdr>
            <w:top w:val="none" w:sz="0" w:space="0" w:color="auto"/>
            <w:left w:val="none" w:sz="0" w:space="0" w:color="auto"/>
            <w:bottom w:val="none" w:sz="0" w:space="0" w:color="auto"/>
            <w:right w:val="none" w:sz="0" w:space="0" w:color="auto"/>
          </w:divBdr>
        </w:div>
        <w:div w:id="736167860">
          <w:marLeft w:val="0"/>
          <w:marRight w:val="0"/>
          <w:marTop w:val="0"/>
          <w:marBottom w:val="0"/>
          <w:divBdr>
            <w:top w:val="none" w:sz="0" w:space="0" w:color="auto"/>
            <w:left w:val="none" w:sz="0" w:space="0" w:color="auto"/>
            <w:bottom w:val="none" w:sz="0" w:space="0" w:color="auto"/>
            <w:right w:val="none" w:sz="0" w:space="0" w:color="auto"/>
          </w:divBdr>
        </w:div>
        <w:div w:id="200944126">
          <w:marLeft w:val="0"/>
          <w:marRight w:val="0"/>
          <w:marTop w:val="0"/>
          <w:marBottom w:val="0"/>
          <w:divBdr>
            <w:top w:val="none" w:sz="0" w:space="0" w:color="auto"/>
            <w:left w:val="none" w:sz="0" w:space="0" w:color="auto"/>
            <w:bottom w:val="none" w:sz="0" w:space="0" w:color="auto"/>
            <w:right w:val="none" w:sz="0" w:space="0" w:color="auto"/>
          </w:divBdr>
        </w:div>
        <w:div w:id="108017019">
          <w:marLeft w:val="0"/>
          <w:marRight w:val="0"/>
          <w:marTop w:val="0"/>
          <w:marBottom w:val="0"/>
          <w:divBdr>
            <w:top w:val="none" w:sz="0" w:space="0" w:color="auto"/>
            <w:left w:val="none" w:sz="0" w:space="0" w:color="auto"/>
            <w:bottom w:val="none" w:sz="0" w:space="0" w:color="auto"/>
            <w:right w:val="none" w:sz="0" w:space="0" w:color="auto"/>
          </w:divBdr>
        </w:div>
        <w:div w:id="1172649411">
          <w:marLeft w:val="0"/>
          <w:marRight w:val="0"/>
          <w:marTop w:val="0"/>
          <w:marBottom w:val="0"/>
          <w:divBdr>
            <w:top w:val="none" w:sz="0" w:space="0" w:color="auto"/>
            <w:left w:val="none" w:sz="0" w:space="0" w:color="auto"/>
            <w:bottom w:val="none" w:sz="0" w:space="0" w:color="auto"/>
            <w:right w:val="none" w:sz="0" w:space="0" w:color="auto"/>
          </w:divBdr>
        </w:div>
        <w:div w:id="159471952">
          <w:marLeft w:val="0"/>
          <w:marRight w:val="0"/>
          <w:marTop w:val="0"/>
          <w:marBottom w:val="0"/>
          <w:divBdr>
            <w:top w:val="none" w:sz="0" w:space="0" w:color="auto"/>
            <w:left w:val="none" w:sz="0" w:space="0" w:color="auto"/>
            <w:bottom w:val="none" w:sz="0" w:space="0" w:color="auto"/>
            <w:right w:val="none" w:sz="0" w:space="0" w:color="auto"/>
          </w:divBdr>
        </w:div>
        <w:div w:id="1912039427">
          <w:marLeft w:val="0"/>
          <w:marRight w:val="0"/>
          <w:marTop w:val="0"/>
          <w:marBottom w:val="0"/>
          <w:divBdr>
            <w:top w:val="none" w:sz="0" w:space="0" w:color="auto"/>
            <w:left w:val="none" w:sz="0" w:space="0" w:color="auto"/>
            <w:bottom w:val="none" w:sz="0" w:space="0" w:color="auto"/>
            <w:right w:val="none" w:sz="0" w:space="0" w:color="auto"/>
          </w:divBdr>
        </w:div>
        <w:div w:id="1343362991">
          <w:marLeft w:val="0"/>
          <w:marRight w:val="0"/>
          <w:marTop w:val="0"/>
          <w:marBottom w:val="0"/>
          <w:divBdr>
            <w:top w:val="none" w:sz="0" w:space="0" w:color="auto"/>
            <w:left w:val="none" w:sz="0" w:space="0" w:color="auto"/>
            <w:bottom w:val="none" w:sz="0" w:space="0" w:color="auto"/>
            <w:right w:val="none" w:sz="0" w:space="0" w:color="auto"/>
          </w:divBdr>
        </w:div>
        <w:div w:id="442456706">
          <w:marLeft w:val="0"/>
          <w:marRight w:val="0"/>
          <w:marTop w:val="0"/>
          <w:marBottom w:val="0"/>
          <w:divBdr>
            <w:top w:val="none" w:sz="0" w:space="0" w:color="auto"/>
            <w:left w:val="none" w:sz="0" w:space="0" w:color="auto"/>
            <w:bottom w:val="none" w:sz="0" w:space="0" w:color="auto"/>
            <w:right w:val="none" w:sz="0" w:space="0" w:color="auto"/>
          </w:divBdr>
        </w:div>
        <w:div w:id="1206792830">
          <w:marLeft w:val="0"/>
          <w:marRight w:val="0"/>
          <w:marTop w:val="0"/>
          <w:marBottom w:val="0"/>
          <w:divBdr>
            <w:top w:val="none" w:sz="0" w:space="0" w:color="auto"/>
            <w:left w:val="none" w:sz="0" w:space="0" w:color="auto"/>
            <w:bottom w:val="none" w:sz="0" w:space="0" w:color="auto"/>
            <w:right w:val="none" w:sz="0" w:space="0" w:color="auto"/>
          </w:divBdr>
        </w:div>
        <w:div w:id="295913663">
          <w:marLeft w:val="0"/>
          <w:marRight w:val="0"/>
          <w:marTop w:val="0"/>
          <w:marBottom w:val="0"/>
          <w:divBdr>
            <w:top w:val="none" w:sz="0" w:space="0" w:color="auto"/>
            <w:left w:val="none" w:sz="0" w:space="0" w:color="auto"/>
            <w:bottom w:val="none" w:sz="0" w:space="0" w:color="auto"/>
            <w:right w:val="none" w:sz="0" w:space="0" w:color="auto"/>
          </w:divBdr>
        </w:div>
        <w:div w:id="1673990152">
          <w:marLeft w:val="0"/>
          <w:marRight w:val="0"/>
          <w:marTop w:val="0"/>
          <w:marBottom w:val="0"/>
          <w:divBdr>
            <w:top w:val="none" w:sz="0" w:space="0" w:color="auto"/>
            <w:left w:val="none" w:sz="0" w:space="0" w:color="auto"/>
            <w:bottom w:val="none" w:sz="0" w:space="0" w:color="auto"/>
            <w:right w:val="none" w:sz="0" w:space="0" w:color="auto"/>
          </w:divBdr>
        </w:div>
        <w:div w:id="425931413">
          <w:marLeft w:val="0"/>
          <w:marRight w:val="0"/>
          <w:marTop w:val="0"/>
          <w:marBottom w:val="0"/>
          <w:divBdr>
            <w:top w:val="none" w:sz="0" w:space="0" w:color="auto"/>
            <w:left w:val="none" w:sz="0" w:space="0" w:color="auto"/>
            <w:bottom w:val="none" w:sz="0" w:space="0" w:color="auto"/>
            <w:right w:val="none" w:sz="0" w:space="0" w:color="auto"/>
          </w:divBdr>
        </w:div>
        <w:div w:id="436826764">
          <w:marLeft w:val="0"/>
          <w:marRight w:val="0"/>
          <w:marTop w:val="0"/>
          <w:marBottom w:val="0"/>
          <w:divBdr>
            <w:top w:val="none" w:sz="0" w:space="0" w:color="auto"/>
            <w:left w:val="none" w:sz="0" w:space="0" w:color="auto"/>
            <w:bottom w:val="none" w:sz="0" w:space="0" w:color="auto"/>
            <w:right w:val="none" w:sz="0" w:space="0" w:color="auto"/>
          </w:divBdr>
        </w:div>
        <w:div w:id="525994261">
          <w:marLeft w:val="0"/>
          <w:marRight w:val="0"/>
          <w:marTop w:val="0"/>
          <w:marBottom w:val="0"/>
          <w:divBdr>
            <w:top w:val="none" w:sz="0" w:space="0" w:color="auto"/>
            <w:left w:val="none" w:sz="0" w:space="0" w:color="auto"/>
            <w:bottom w:val="none" w:sz="0" w:space="0" w:color="auto"/>
            <w:right w:val="none" w:sz="0" w:space="0" w:color="auto"/>
          </w:divBdr>
        </w:div>
        <w:div w:id="1915897264">
          <w:marLeft w:val="0"/>
          <w:marRight w:val="0"/>
          <w:marTop w:val="0"/>
          <w:marBottom w:val="0"/>
          <w:divBdr>
            <w:top w:val="none" w:sz="0" w:space="0" w:color="auto"/>
            <w:left w:val="none" w:sz="0" w:space="0" w:color="auto"/>
            <w:bottom w:val="none" w:sz="0" w:space="0" w:color="auto"/>
            <w:right w:val="none" w:sz="0" w:space="0" w:color="auto"/>
          </w:divBdr>
        </w:div>
        <w:div w:id="530463273">
          <w:marLeft w:val="0"/>
          <w:marRight w:val="0"/>
          <w:marTop w:val="0"/>
          <w:marBottom w:val="0"/>
          <w:divBdr>
            <w:top w:val="none" w:sz="0" w:space="0" w:color="auto"/>
            <w:left w:val="none" w:sz="0" w:space="0" w:color="auto"/>
            <w:bottom w:val="none" w:sz="0" w:space="0" w:color="auto"/>
            <w:right w:val="none" w:sz="0" w:space="0" w:color="auto"/>
          </w:divBdr>
        </w:div>
        <w:div w:id="1139802826">
          <w:marLeft w:val="0"/>
          <w:marRight w:val="0"/>
          <w:marTop w:val="0"/>
          <w:marBottom w:val="0"/>
          <w:divBdr>
            <w:top w:val="none" w:sz="0" w:space="0" w:color="auto"/>
            <w:left w:val="none" w:sz="0" w:space="0" w:color="auto"/>
            <w:bottom w:val="none" w:sz="0" w:space="0" w:color="auto"/>
            <w:right w:val="none" w:sz="0" w:space="0" w:color="auto"/>
          </w:divBdr>
        </w:div>
        <w:div w:id="367876916">
          <w:marLeft w:val="0"/>
          <w:marRight w:val="0"/>
          <w:marTop w:val="0"/>
          <w:marBottom w:val="0"/>
          <w:divBdr>
            <w:top w:val="none" w:sz="0" w:space="0" w:color="auto"/>
            <w:left w:val="none" w:sz="0" w:space="0" w:color="auto"/>
            <w:bottom w:val="none" w:sz="0" w:space="0" w:color="auto"/>
            <w:right w:val="none" w:sz="0" w:space="0" w:color="auto"/>
          </w:divBdr>
        </w:div>
        <w:div w:id="1926062391">
          <w:marLeft w:val="0"/>
          <w:marRight w:val="0"/>
          <w:marTop w:val="0"/>
          <w:marBottom w:val="0"/>
          <w:divBdr>
            <w:top w:val="none" w:sz="0" w:space="0" w:color="auto"/>
            <w:left w:val="none" w:sz="0" w:space="0" w:color="auto"/>
            <w:bottom w:val="none" w:sz="0" w:space="0" w:color="auto"/>
            <w:right w:val="none" w:sz="0" w:space="0" w:color="auto"/>
          </w:divBdr>
        </w:div>
        <w:div w:id="355156017">
          <w:marLeft w:val="0"/>
          <w:marRight w:val="0"/>
          <w:marTop w:val="0"/>
          <w:marBottom w:val="0"/>
          <w:divBdr>
            <w:top w:val="none" w:sz="0" w:space="0" w:color="auto"/>
            <w:left w:val="none" w:sz="0" w:space="0" w:color="auto"/>
            <w:bottom w:val="none" w:sz="0" w:space="0" w:color="auto"/>
            <w:right w:val="none" w:sz="0" w:space="0" w:color="auto"/>
          </w:divBdr>
        </w:div>
        <w:div w:id="836772649">
          <w:marLeft w:val="0"/>
          <w:marRight w:val="0"/>
          <w:marTop w:val="0"/>
          <w:marBottom w:val="0"/>
          <w:divBdr>
            <w:top w:val="none" w:sz="0" w:space="0" w:color="auto"/>
            <w:left w:val="none" w:sz="0" w:space="0" w:color="auto"/>
            <w:bottom w:val="none" w:sz="0" w:space="0" w:color="auto"/>
            <w:right w:val="none" w:sz="0" w:space="0" w:color="auto"/>
          </w:divBdr>
        </w:div>
        <w:div w:id="1824352641">
          <w:marLeft w:val="0"/>
          <w:marRight w:val="0"/>
          <w:marTop w:val="0"/>
          <w:marBottom w:val="0"/>
          <w:divBdr>
            <w:top w:val="none" w:sz="0" w:space="0" w:color="auto"/>
            <w:left w:val="none" w:sz="0" w:space="0" w:color="auto"/>
            <w:bottom w:val="none" w:sz="0" w:space="0" w:color="auto"/>
            <w:right w:val="none" w:sz="0" w:space="0" w:color="auto"/>
          </w:divBdr>
        </w:div>
        <w:div w:id="362823388">
          <w:marLeft w:val="0"/>
          <w:marRight w:val="0"/>
          <w:marTop w:val="0"/>
          <w:marBottom w:val="0"/>
          <w:divBdr>
            <w:top w:val="none" w:sz="0" w:space="0" w:color="auto"/>
            <w:left w:val="none" w:sz="0" w:space="0" w:color="auto"/>
            <w:bottom w:val="none" w:sz="0" w:space="0" w:color="auto"/>
            <w:right w:val="none" w:sz="0" w:space="0" w:color="auto"/>
          </w:divBdr>
        </w:div>
        <w:div w:id="477504433">
          <w:marLeft w:val="0"/>
          <w:marRight w:val="0"/>
          <w:marTop w:val="0"/>
          <w:marBottom w:val="0"/>
          <w:divBdr>
            <w:top w:val="none" w:sz="0" w:space="0" w:color="auto"/>
            <w:left w:val="none" w:sz="0" w:space="0" w:color="auto"/>
            <w:bottom w:val="none" w:sz="0" w:space="0" w:color="auto"/>
            <w:right w:val="none" w:sz="0" w:space="0" w:color="auto"/>
          </w:divBdr>
        </w:div>
        <w:div w:id="1475634457">
          <w:marLeft w:val="0"/>
          <w:marRight w:val="0"/>
          <w:marTop w:val="0"/>
          <w:marBottom w:val="0"/>
          <w:divBdr>
            <w:top w:val="none" w:sz="0" w:space="0" w:color="auto"/>
            <w:left w:val="none" w:sz="0" w:space="0" w:color="auto"/>
            <w:bottom w:val="none" w:sz="0" w:space="0" w:color="auto"/>
            <w:right w:val="none" w:sz="0" w:space="0" w:color="auto"/>
          </w:divBdr>
        </w:div>
        <w:div w:id="55713783">
          <w:marLeft w:val="0"/>
          <w:marRight w:val="0"/>
          <w:marTop w:val="0"/>
          <w:marBottom w:val="0"/>
          <w:divBdr>
            <w:top w:val="none" w:sz="0" w:space="0" w:color="auto"/>
            <w:left w:val="none" w:sz="0" w:space="0" w:color="auto"/>
            <w:bottom w:val="none" w:sz="0" w:space="0" w:color="auto"/>
            <w:right w:val="none" w:sz="0" w:space="0" w:color="auto"/>
          </w:divBdr>
        </w:div>
        <w:div w:id="1787308096">
          <w:marLeft w:val="0"/>
          <w:marRight w:val="0"/>
          <w:marTop w:val="0"/>
          <w:marBottom w:val="0"/>
          <w:divBdr>
            <w:top w:val="none" w:sz="0" w:space="0" w:color="auto"/>
            <w:left w:val="none" w:sz="0" w:space="0" w:color="auto"/>
            <w:bottom w:val="none" w:sz="0" w:space="0" w:color="auto"/>
            <w:right w:val="none" w:sz="0" w:space="0" w:color="auto"/>
          </w:divBdr>
        </w:div>
        <w:div w:id="716128874">
          <w:marLeft w:val="0"/>
          <w:marRight w:val="0"/>
          <w:marTop w:val="0"/>
          <w:marBottom w:val="0"/>
          <w:divBdr>
            <w:top w:val="none" w:sz="0" w:space="0" w:color="auto"/>
            <w:left w:val="none" w:sz="0" w:space="0" w:color="auto"/>
            <w:bottom w:val="none" w:sz="0" w:space="0" w:color="auto"/>
            <w:right w:val="none" w:sz="0" w:space="0" w:color="auto"/>
          </w:divBdr>
        </w:div>
        <w:div w:id="2036073626">
          <w:marLeft w:val="0"/>
          <w:marRight w:val="0"/>
          <w:marTop w:val="0"/>
          <w:marBottom w:val="0"/>
          <w:divBdr>
            <w:top w:val="none" w:sz="0" w:space="0" w:color="auto"/>
            <w:left w:val="none" w:sz="0" w:space="0" w:color="auto"/>
            <w:bottom w:val="none" w:sz="0" w:space="0" w:color="auto"/>
            <w:right w:val="none" w:sz="0" w:space="0" w:color="auto"/>
          </w:divBdr>
        </w:div>
        <w:div w:id="338504066">
          <w:marLeft w:val="0"/>
          <w:marRight w:val="0"/>
          <w:marTop w:val="0"/>
          <w:marBottom w:val="0"/>
          <w:divBdr>
            <w:top w:val="none" w:sz="0" w:space="0" w:color="auto"/>
            <w:left w:val="none" w:sz="0" w:space="0" w:color="auto"/>
            <w:bottom w:val="none" w:sz="0" w:space="0" w:color="auto"/>
            <w:right w:val="none" w:sz="0" w:space="0" w:color="auto"/>
          </w:divBdr>
        </w:div>
        <w:div w:id="1903636692">
          <w:marLeft w:val="0"/>
          <w:marRight w:val="0"/>
          <w:marTop w:val="0"/>
          <w:marBottom w:val="0"/>
          <w:divBdr>
            <w:top w:val="none" w:sz="0" w:space="0" w:color="auto"/>
            <w:left w:val="none" w:sz="0" w:space="0" w:color="auto"/>
            <w:bottom w:val="none" w:sz="0" w:space="0" w:color="auto"/>
            <w:right w:val="none" w:sz="0" w:space="0" w:color="auto"/>
          </w:divBdr>
        </w:div>
        <w:div w:id="1339383899">
          <w:marLeft w:val="0"/>
          <w:marRight w:val="0"/>
          <w:marTop w:val="0"/>
          <w:marBottom w:val="0"/>
          <w:divBdr>
            <w:top w:val="none" w:sz="0" w:space="0" w:color="auto"/>
            <w:left w:val="none" w:sz="0" w:space="0" w:color="auto"/>
            <w:bottom w:val="none" w:sz="0" w:space="0" w:color="auto"/>
            <w:right w:val="none" w:sz="0" w:space="0" w:color="auto"/>
          </w:divBdr>
        </w:div>
        <w:div w:id="454519060">
          <w:marLeft w:val="0"/>
          <w:marRight w:val="0"/>
          <w:marTop w:val="0"/>
          <w:marBottom w:val="0"/>
          <w:divBdr>
            <w:top w:val="none" w:sz="0" w:space="0" w:color="auto"/>
            <w:left w:val="none" w:sz="0" w:space="0" w:color="auto"/>
            <w:bottom w:val="none" w:sz="0" w:space="0" w:color="auto"/>
            <w:right w:val="none" w:sz="0" w:space="0" w:color="auto"/>
          </w:divBdr>
        </w:div>
        <w:div w:id="1375697136">
          <w:marLeft w:val="0"/>
          <w:marRight w:val="0"/>
          <w:marTop w:val="0"/>
          <w:marBottom w:val="0"/>
          <w:divBdr>
            <w:top w:val="none" w:sz="0" w:space="0" w:color="auto"/>
            <w:left w:val="none" w:sz="0" w:space="0" w:color="auto"/>
            <w:bottom w:val="none" w:sz="0" w:space="0" w:color="auto"/>
            <w:right w:val="none" w:sz="0" w:space="0" w:color="auto"/>
          </w:divBdr>
        </w:div>
        <w:div w:id="890458142">
          <w:marLeft w:val="0"/>
          <w:marRight w:val="0"/>
          <w:marTop w:val="0"/>
          <w:marBottom w:val="0"/>
          <w:divBdr>
            <w:top w:val="none" w:sz="0" w:space="0" w:color="auto"/>
            <w:left w:val="none" w:sz="0" w:space="0" w:color="auto"/>
            <w:bottom w:val="none" w:sz="0" w:space="0" w:color="auto"/>
            <w:right w:val="none" w:sz="0" w:space="0" w:color="auto"/>
          </w:divBdr>
        </w:div>
        <w:div w:id="851799278">
          <w:marLeft w:val="0"/>
          <w:marRight w:val="0"/>
          <w:marTop w:val="0"/>
          <w:marBottom w:val="0"/>
          <w:divBdr>
            <w:top w:val="none" w:sz="0" w:space="0" w:color="auto"/>
            <w:left w:val="none" w:sz="0" w:space="0" w:color="auto"/>
            <w:bottom w:val="none" w:sz="0" w:space="0" w:color="auto"/>
            <w:right w:val="none" w:sz="0" w:space="0" w:color="auto"/>
          </w:divBdr>
        </w:div>
        <w:div w:id="441531919">
          <w:marLeft w:val="0"/>
          <w:marRight w:val="0"/>
          <w:marTop w:val="0"/>
          <w:marBottom w:val="0"/>
          <w:divBdr>
            <w:top w:val="none" w:sz="0" w:space="0" w:color="auto"/>
            <w:left w:val="none" w:sz="0" w:space="0" w:color="auto"/>
            <w:bottom w:val="none" w:sz="0" w:space="0" w:color="auto"/>
            <w:right w:val="none" w:sz="0" w:space="0" w:color="auto"/>
          </w:divBdr>
        </w:div>
        <w:div w:id="1333921365">
          <w:marLeft w:val="0"/>
          <w:marRight w:val="0"/>
          <w:marTop w:val="0"/>
          <w:marBottom w:val="0"/>
          <w:divBdr>
            <w:top w:val="none" w:sz="0" w:space="0" w:color="auto"/>
            <w:left w:val="none" w:sz="0" w:space="0" w:color="auto"/>
            <w:bottom w:val="none" w:sz="0" w:space="0" w:color="auto"/>
            <w:right w:val="none" w:sz="0" w:space="0" w:color="auto"/>
          </w:divBdr>
        </w:div>
        <w:div w:id="1648821592">
          <w:marLeft w:val="0"/>
          <w:marRight w:val="0"/>
          <w:marTop w:val="0"/>
          <w:marBottom w:val="0"/>
          <w:divBdr>
            <w:top w:val="none" w:sz="0" w:space="0" w:color="auto"/>
            <w:left w:val="none" w:sz="0" w:space="0" w:color="auto"/>
            <w:bottom w:val="none" w:sz="0" w:space="0" w:color="auto"/>
            <w:right w:val="none" w:sz="0" w:space="0" w:color="auto"/>
          </w:divBdr>
        </w:div>
        <w:div w:id="241646289">
          <w:marLeft w:val="0"/>
          <w:marRight w:val="0"/>
          <w:marTop w:val="0"/>
          <w:marBottom w:val="0"/>
          <w:divBdr>
            <w:top w:val="none" w:sz="0" w:space="0" w:color="auto"/>
            <w:left w:val="none" w:sz="0" w:space="0" w:color="auto"/>
            <w:bottom w:val="none" w:sz="0" w:space="0" w:color="auto"/>
            <w:right w:val="none" w:sz="0" w:space="0" w:color="auto"/>
          </w:divBdr>
        </w:div>
        <w:div w:id="2047949869">
          <w:marLeft w:val="0"/>
          <w:marRight w:val="0"/>
          <w:marTop w:val="0"/>
          <w:marBottom w:val="0"/>
          <w:divBdr>
            <w:top w:val="none" w:sz="0" w:space="0" w:color="auto"/>
            <w:left w:val="none" w:sz="0" w:space="0" w:color="auto"/>
            <w:bottom w:val="none" w:sz="0" w:space="0" w:color="auto"/>
            <w:right w:val="none" w:sz="0" w:space="0" w:color="auto"/>
          </w:divBdr>
        </w:div>
        <w:div w:id="339048624">
          <w:marLeft w:val="0"/>
          <w:marRight w:val="0"/>
          <w:marTop w:val="0"/>
          <w:marBottom w:val="0"/>
          <w:divBdr>
            <w:top w:val="none" w:sz="0" w:space="0" w:color="auto"/>
            <w:left w:val="none" w:sz="0" w:space="0" w:color="auto"/>
            <w:bottom w:val="none" w:sz="0" w:space="0" w:color="auto"/>
            <w:right w:val="none" w:sz="0" w:space="0" w:color="auto"/>
          </w:divBdr>
        </w:div>
        <w:div w:id="898596227">
          <w:marLeft w:val="0"/>
          <w:marRight w:val="0"/>
          <w:marTop w:val="0"/>
          <w:marBottom w:val="0"/>
          <w:divBdr>
            <w:top w:val="none" w:sz="0" w:space="0" w:color="auto"/>
            <w:left w:val="none" w:sz="0" w:space="0" w:color="auto"/>
            <w:bottom w:val="none" w:sz="0" w:space="0" w:color="auto"/>
            <w:right w:val="none" w:sz="0" w:space="0" w:color="auto"/>
          </w:divBdr>
        </w:div>
        <w:div w:id="623124119">
          <w:marLeft w:val="0"/>
          <w:marRight w:val="0"/>
          <w:marTop w:val="0"/>
          <w:marBottom w:val="0"/>
          <w:divBdr>
            <w:top w:val="none" w:sz="0" w:space="0" w:color="auto"/>
            <w:left w:val="none" w:sz="0" w:space="0" w:color="auto"/>
            <w:bottom w:val="none" w:sz="0" w:space="0" w:color="auto"/>
            <w:right w:val="none" w:sz="0" w:space="0" w:color="auto"/>
          </w:divBdr>
        </w:div>
        <w:div w:id="163399795">
          <w:marLeft w:val="0"/>
          <w:marRight w:val="0"/>
          <w:marTop w:val="0"/>
          <w:marBottom w:val="0"/>
          <w:divBdr>
            <w:top w:val="none" w:sz="0" w:space="0" w:color="auto"/>
            <w:left w:val="none" w:sz="0" w:space="0" w:color="auto"/>
            <w:bottom w:val="none" w:sz="0" w:space="0" w:color="auto"/>
            <w:right w:val="none" w:sz="0" w:space="0" w:color="auto"/>
          </w:divBdr>
        </w:div>
        <w:div w:id="2123182270">
          <w:marLeft w:val="0"/>
          <w:marRight w:val="0"/>
          <w:marTop w:val="0"/>
          <w:marBottom w:val="0"/>
          <w:divBdr>
            <w:top w:val="none" w:sz="0" w:space="0" w:color="auto"/>
            <w:left w:val="none" w:sz="0" w:space="0" w:color="auto"/>
            <w:bottom w:val="none" w:sz="0" w:space="0" w:color="auto"/>
            <w:right w:val="none" w:sz="0" w:space="0" w:color="auto"/>
          </w:divBdr>
        </w:div>
        <w:div w:id="1857233607">
          <w:marLeft w:val="0"/>
          <w:marRight w:val="0"/>
          <w:marTop w:val="0"/>
          <w:marBottom w:val="0"/>
          <w:divBdr>
            <w:top w:val="none" w:sz="0" w:space="0" w:color="auto"/>
            <w:left w:val="none" w:sz="0" w:space="0" w:color="auto"/>
            <w:bottom w:val="none" w:sz="0" w:space="0" w:color="auto"/>
            <w:right w:val="none" w:sz="0" w:space="0" w:color="auto"/>
          </w:divBdr>
        </w:div>
        <w:div w:id="835463777">
          <w:marLeft w:val="0"/>
          <w:marRight w:val="0"/>
          <w:marTop w:val="0"/>
          <w:marBottom w:val="0"/>
          <w:divBdr>
            <w:top w:val="none" w:sz="0" w:space="0" w:color="auto"/>
            <w:left w:val="none" w:sz="0" w:space="0" w:color="auto"/>
            <w:bottom w:val="none" w:sz="0" w:space="0" w:color="auto"/>
            <w:right w:val="none" w:sz="0" w:space="0" w:color="auto"/>
          </w:divBdr>
        </w:div>
        <w:div w:id="1415973111">
          <w:marLeft w:val="0"/>
          <w:marRight w:val="0"/>
          <w:marTop w:val="0"/>
          <w:marBottom w:val="0"/>
          <w:divBdr>
            <w:top w:val="none" w:sz="0" w:space="0" w:color="auto"/>
            <w:left w:val="none" w:sz="0" w:space="0" w:color="auto"/>
            <w:bottom w:val="none" w:sz="0" w:space="0" w:color="auto"/>
            <w:right w:val="none" w:sz="0" w:space="0" w:color="auto"/>
          </w:divBdr>
        </w:div>
        <w:div w:id="1902788444">
          <w:marLeft w:val="0"/>
          <w:marRight w:val="0"/>
          <w:marTop w:val="0"/>
          <w:marBottom w:val="0"/>
          <w:divBdr>
            <w:top w:val="none" w:sz="0" w:space="0" w:color="auto"/>
            <w:left w:val="none" w:sz="0" w:space="0" w:color="auto"/>
            <w:bottom w:val="none" w:sz="0" w:space="0" w:color="auto"/>
            <w:right w:val="none" w:sz="0" w:space="0" w:color="auto"/>
          </w:divBdr>
        </w:div>
        <w:div w:id="1476873778">
          <w:marLeft w:val="0"/>
          <w:marRight w:val="0"/>
          <w:marTop w:val="0"/>
          <w:marBottom w:val="0"/>
          <w:divBdr>
            <w:top w:val="none" w:sz="0" w:space="0" w:color="auto"/>
            <w:left w:val="none" w:sz="0" w:space="0" w:color="auto"/>
            <w:bottom w:val="none" w:sz="0" w:space="0" w:color="auto"/>
            <w:right w:val="none" w:sz="0" w:space="0" w:color="auto"/>
          </w:divBdr>
        </w:div>
        <w:div w:id="2025472027">
          <w:marLeft w:val="0"/>
          <w:marRight w:val="0"/>
          <w:marTop w:val="0"/>
          <w:marBottom w:val="0"/>
          <w:divBdr>
            <w:top w:val="none" w:sz="0" w:space="0" w:color="auto"/>
            <w:left w:val="none" w:sz="0" w:space="0" w:color="auto"/>
            <w:bottom w:val="none" w:sz="0" w:space="0" w:color="auto"/>
            <w:right w:val="none" w:sz="0" w:space="0" w:color="auto"/>
          </w:divBdr>
        </w:div>
        <w:div w:id="1737195433">
          <w:marLeft w:val="0"/>
          <w:marRight w:val="0"/>
          <w:marTop w:val="0"/>
          <w:marBottom w:val="0"/>
          <w:divBdr>
            <w:top w:val="none" w:sz="0" w:space="0" w:color="auto"/>
            <w:left w:val="none" w:sz="0" w:space="0" w:color="auto"/>
            <w:bottom w:val="none" w:sz="0" w:space="0" w:color="auto"/>
            <w:right w:val="none" w:sz="0" w:space="0" w:color="auto"/>
          </w:divBdr>
        </w:div>
        <w:div w:id="867913439">
          <w:marLeft w:val="0"/>
          <w:marRight w:val="0"/>
          <w:marTop w:val="0"/>
          <w:marBottom w:val="0"/>
          <w:divBdr>
            <w:top w:val="none" w:sz="0" w:space="0" w:color="auto"/>
            <w:left w:val="none" w:sz="0" w:space="0" w:color="auto"/>
            <w:bottom w:val="none" w:sz="0" w:space="0" w:color="auto"/>
            <w:right w:val="none" w:sz="0" w:space="0" w:color="auto"/>
          </w:divBdr>
        </w:div>
        <w:div w:id="1900169828">
          <w:marLeft w:val="0"/>
          <w:marRight w:val="0"/>
          <w:marTop w:val="0"/>
          <w:marBottom w:val="0"/>
          <w:divBdr>
            <w:top w:val="none" w:sz="0" w:space="0" w:color="auto"/>
            <w:left w:val="none" w:sz="0" w:space="0" w:color="auto"/>
            <w:bottom w:val="none" w:sz="0" w:space="0" w:color="auto"/>
            <w:right w:val="none" w:sz="0" w:space="0" w:color="auto"/>
          </w:divBdr>
        </w:div>
        <w:div w:id="166598673">
          <w:marLeft w:val="0"/>
          <w:marRight w:val="0"/>
          <w:marTop w:val="0"/>
          <w:marBottom w:val="0"/>
          <w:divBdr>
            <w:top w:val="none" w:sz="0" w:space="0" w:color="auto"/>
            <w:left w:val="none" w:sz="0" w:space="0" w:color="auto"/>
            <w:bottom w:val="none" w:sz="0" w:space="0" w:color="auto"/>
            <w:right w:val="none" w:sz="0" w:space="0" w:color="auto"/>
          </w:divBdr>
        </w:div>
        <w:div w:id="1250625979">
          <w:marLeft w:val="0"/>
          <w:marRight w:val="0"/>
          <w:marTop w:val="0"/>
          <w:marBottom w:val="0"/>
          <w:divBdr>
            <w:top w:val="none" w:sz="0" w:space="0" w:color="auto"/>
            <w:left w:val="none" w:sz="0" w:space="0" w:color="auto"/>
            <w:bottom w:val="none" w:sz="0" w:space="0" w:color="auto"/>
            <w:right w:val="none" w:sz="0" w:space="0" w:color="auto"/>
          </w:divBdr>
        </w:div>
        <w:div w:id="1376544483">
          <w:marLeft w:val="0"/>
          <w:marRight w:val="0"/>
          <w:marTop w:val="0"/>
          <w:marBottom w:val="0"/>
          <w:divBdr>
            <w:top w:val="none" w:sz="0" w:space="0" w:color="auto"/>
            <w:left w:val="none" w:sz="0" w:space="0" w:color="auto"/>
            <w:bottom w:val="none" w:sz="0" w:space="0" w:color="auto"/>
            <w:right w:val="none" w:sz="0" w:space="0" w:color="auto"/>
          </w:divBdr>
        </w:div>
        <w:div w:id="1205678456">
          <w:marLeft w:val="0"/>
          <w:marRight w:val="0"/>
          <w:marTop w:val="0"/>
          <w:marBottom w:val="0"/>
          <w:divBdr>
            <w:top w:val="none" w:sz="0" w:space="0" w:color="auto"/>
            <w:left w:val="none" w:sz="0" w:space="0" w:color="auto"/>
            <w:bottom w:val="none" w:sz="0" w:space="0" w:color="auto"/>
            <w:right w:val="none" w:sz="0" w:space="0" w:color="auto"/>
          </w:divBdr>
        </w:div>
        <w:div w:id="1346051526">
          <w:marLeft w:val="0"/>
          <w:marRight w:val="0"/>
          <w:marTop w:val="0"/>
          <w:marBottom w:val="0"/>
          <w:divBdr>
            <w:top w:val="none" w:sz="0" w:space="0" w:color="auto"/>
            <w:left w:val="none" w:sz="0" w:space="0" w:color="auto"/>
            <w:bottom w:val="none" w:sz="0" w:space="0" w:color="auto"/>
            <w:right w:val="none" w:sz="0" w:space="0" w:color="auto"/>
          </w:divBdr>
        </w:div>
        <w:div w:id="1394499426">
          <w:marLeft w:val="0"/>
          <w:marRight w:val="0"/>
          <w:marTop w:val="0"/>
          <w:marBottom w:val="0"/>
          <w:divBdr>
            <w:top w:val="none" w:sz="0" w:space="0" w:color="auto"/>
            <w:left w:val="none" w:sz="0" w:space="0" w:color="auto"/>
            <w:bottom w:val="none" w:sz="0" w:space="0" w:color="auto"/>
            <w:right w:val="none" w:sz="0" w:space="0" w:color="auto"/>
          </w:divBdr>
        </w:div>
        <w:div w:id="1636986199">
          <w:marLeft w:val="0"/>
          <w:marRight w:val="0"/>
          <w:marTop w:val="0"/>
          <w:marBottom w:val="0"/>
          <w:divBdr>
            <w:top w:val="none" w:sz="0" w:space="0" w:color="auto"/>
            <w:left w:val="none" w:sz="0" w:space="0" w:color="auto"/>
            <w:bottom w:val="none" w:sz="0" w:space="0" w:color="auto"/>
            <w:right w:val="none" w:sz="0" w:space="0" w:color="auto"/>
          </w:divBdr>
        </w:div>
        <w:div w:id="1299526680">
          <w:marLeft w:val="0"/>
          <w:marRight w:val="0"/>
          <w:marTop w:val="0"/>
          <w:marBottom w:val="0"/>
          <w:divBdr>
            <w:top w:val="none" w:sz="0" w:space="0" w:color="auto"/>
            <w:left w:val="none" w:sz="0" w:space="0" w:color="auto"/>
            <w:bottom w:val="none" w:sz="0" w:space="0" w:color="auto"/>
            <w:right w:val="none" w:sz="0" w:space="0" w:color="auto"/>
          </w:divBdr>
        </w:div>
        <w:div w:id="175506295">
          <w:marLeft w:val="0"/>
          <w:marRight w:val="0"/>
          <w:marTop w:val="0"/>
          <w:marBottom w:val="0"/>
          <w:divBdr>
            <w:top w:val="none" w:sz="0" w:space="0" w:color="auto"/>
            <w:left w:val="none" w:sz="0" w:space="0" w:color="auto"/>
            <w:bottom w:val="none" w:sz="0" w:space="0" w:color="auto"/>
            <w:right w:val="none" w:sz="0" w:space="0" w:color="auto"/>
          </w:divBdr>
        </w:div>
        <w:div w:id="54280919">
          <w:marLeft w:val="0"/>
          <w:marRight w:val="0"/>
          <w:marTop w:val="0"/>
          <w:marBottom w:val="0"/>
          <w:divBdr>
            <w:top w:val="none" w:sz="0" w:space="0" w:color="auto"/>
            <w:left w:val="none" w:sz="0" w:space="0" w:color="auto"/>
            <w:bottom w:val="none" w:sz="0" w:space="0" w:color="auto"/>
            <w:right w:val="none" w:sz="0" w:space="0" w:color="auto"/>
          </w:divBdr>
        </w:div>
        <w:div w:id="1625505839">
          <w:marLeft w:val="0"/>
          <w:marRight w:val="0"/>
          <w:marTop w:val="0"/>
          <w:marBottom w:val="0"/>
          <w:divBdr>
            <w:top w:val="none" w:sz="0" w:space="0" w:color="auto"/>
            <w:left w:val="none" w:sz="0" w:space="0" w:color="auto"/>
            <w:bottom w:val="none" w:sz="0" w:space="0" w:color="auto"/>
            <w:right w:val="none" w:sz="0" w:space="0" w:color="auto"/>
          </w:divBdr>
        </w:div>
      </w:divsChild>
    </w:div>
    <w:div w:id="1826505984">
      <w:bodyDiv w:val="1"/>
      <w:marLeft w:val="0"/>
      <w:marRight w:val="0"/>
      <w:marTop w:val="0"/>
      <w:marBottom w:val="0"/>
      <w:divBdr>
        <w:top w:val="none" w:sz="0" w:space="0" w:color="auto"/>
        <w:left w:val="none" w:sz="0" w:space="0" w:color="auto"/>
        <w:bottom w:val="none" w:sz="0" w:space="0" w:color="auto"/>
        <w:right w:val="none" w:sz="0" w:space="0" w:color="auto"/>
      </w:divBdr>
      <w:divsChild>
        <w:div w:id="138114912">
          <w:marLeft w:val="0"/>
          <w:marRight w:val="0"/>
          <w:marTop w:val="0"/>
          <w:marBottom w:val="0"/>
          <w:divBdr>
            <w:top w:val="none" w:sz="0" w:space="0" w:color="auto"/>
            <w:left w:val="none" w:sz="0" w:space="0" w:color="auto"/>
            <w:bottom w:val="none" w:sz="0" w:space="0" w:color="auto"/>
            <w:right w:val="none" w:sz="0" w:space="0" w:color="auto"/>
          </w:divBdr>
        </w:div>
        <w:div w:id="1231428201">
          <w:marLeft w:val="0"/>
          <w:marRight w:val="0"/>
          <w:marTop w:val="0"/>
          <w:marBottom w:val="0"/>
          <w:divBdr>
            <w:top w:val="none" w:sz="0" w:space="0" w:color="auto"/>
            <w:left w:val="none" w:sz="0" w:space="0" w:color="auto"/>
            <w:bottom w:val="none" w:sz="0" w:space="0" w:color="auto"/>
            <w:right w:val="none" w:sz="0" w:space="0" w:color="auto"/>
          </w:divBdr>
        </w:div>
        <w:div w:id="1146045747">
          <w:marLeft w:val="0"/>
          <w:marRight w:val="0"/>
          <w:marTop w:val="0"/>
          <w:marBottom w:val="0"/>
          <w:divBdr>
            <w:top w:val="none" w:sz="0" w:space="0" w:color="auto"/>
            <w:left w:val="none" w:sz="0" w:space="0" w:color="auto"/>
            <w:bottom w:val="none" w:sz="0" w:space="0" w:color="auto"/>
            <w:right w:val="none" w:sz="0" w:space="0" w:color="auto"/>
          </w:divBdr>
        </w:div>
        <w:div w:id="1057819190">
          <w:marLeft w:val="0"/>
          <w:marRight w:val="0"/>
          <w:marTop w:val="0"/>
          <w:marBottom w:val="0"/>
          <w:divBdr>
            <w:top w:val="none" w:sz="0" w:space="0" w:color="auto"/>
            <w:left w:val="none" w:sz="0" w:space="0" w:color="auto"/>
            <w:bottom w:val="none" w:sz="0" w:space="0" w:color="auto"/>
            <w:right w:val="none" w:sz="0" w:space="0" w:color="auto"/>
          </w:divBdr>
        </w:div>
        <w:div w:id="1346055646">
          <w:marLeft w:val="0"/>
          <w:marRight w:val="0"/>
          <w:marTop w:val="0"/>
          <w:marBottom w:val="0"/>
          <w:divBdr>
            <w:top w:val="none" w:sz="0" w:space="0" w:color="auto"/>
            <w:left w:val="none" w:sz="0" w:space="0" w:color="auto"/>
            <w:bottom w:val="none" w:sz="0" w:space="0" w:color="auto"/>
            <w:right w:val="none" w:sz="0" w:space="0" w:color="auto"/>
          </w:divBdr>
        </w:div>
        <w:div w:id="961964583">
          <w:marLeft w:val="0"/>
          <w:marRight w:val="0"/>
          <w:marTop w:val="0"/>
          <w:marBottom w:val="0"/>
          <w:divBdr>
            <w:top w:val="none" w:sz="0" w:space="0" w:color="auto"/>
            <w:left w:val="none" w:sz="0" w:space="0" w:color="auto"/>
            <w:bottom w:val="none" w:sz="0" w:space="0" w:color="auto"/>
            <w:right w:val="none" w:sz="0" w:space="0" w:color="auto"/>
          </w:divBdr>
        </w:div>
        <w:div w:id="2083915857">
          <w:marLeft w:val="0"/>
          <w:marRight w:val="0"/>
          <w:marTop w:val="0"/>
          <w:marBottom w:val="0"/>
          <w:divBdr>
            <w:top w:val="none" w:sz="0" w:space="0" w:color="auto"/>
            <w:left w:val="none" w:sz="0" w:space="0" w:color="auto"/>
            <w:bottom w:val="none" w:sz="0" w:space="0" w:color="auto"/>
            <w:right w:val="none" w:sz="0" w:space="0" w:color="auto"/>
          </w:divBdr>
        </w:div>
        <w:div w:id="576481771">
          <w:marLeft w:val="0"/>
          <w:marRight w:val="0"/>
          <w:marTop w:val="0"/>
          <w:marBottom w:val="0"/>
          <w:divBdr>
            <w:top w:val="none" w:sz="0" w:space="0" w:color="auto"/>
            <w:left w:val="none" w:sz="0" w:space="0" w:color="auto"/>
            <w:bottom w:val="none" w:sz="0" w:space="0" w:color="auto"/>
            <w:right w:val="none" w:sz="0" w:space="0" w:color="auto"/>
          </w:divBdr>
        </w:div>
        <w:div w:id="246885796">
          <w:marLeft w:val="0"/>
          <w:marRight w:val="0"/>
          <w:marTop w:val="0"/>
          <w:marBottom w:val="0"/>
          <w:divBdr>
            <w:top w:val="none" w:sz="0" w:space="0" w:color="auto"/>
            <w:left w:val="none" w:sz="0" w:space="0" w:color="auto"/>
            <w:bottom w:val="none" w:sz="0" w:space="0" w:color="auto"/>
            <w:right w:val="none" w:sz="0" w:space="0" w:color="auto"/>
          </w:divBdr>
        </w:div>
        <w:div w:id="306932740">
          <w:marLeft w:val="0"/>
          <w:marRight w:val="0"/>
          <w:marTop w:val="0"/>
          <w:marBottom w:val="0"/>
          <w:divBdr>
            <w:top w:val="none" w:sz="0" w:space="0" w:color="auto"/>
            <w:left w:val="none" w:sz="0" w:space="0" w:color="auto"/>
            <w:bottom w:val="none" w:sz="0" w:space="0" w:color="auto"/>
            <w:right w:val="none" w:sz="0" w:space="0" w:color="auto"/>
          </w:divBdr>
        </w:div>
        <w:div w:id="35008812">
          <w:marLeft w:val="0"/>
          <w:marRight w:val="0"/>
          <w:marTop w:val="0"/>
          <w:marBottom w:val="0"/>
          <w:divBdr>
            <w:top w:val="none" w:sz="0" w:space="0" w:color="auto"/>
            <w:left w:val="none" w:sz="0" w:space="0" w:color="auto"/>
            <w:bottom w:val="none" w:sz="0" w:space="0" w:color="auto"/>
            <w:right w:val="none" w:sz="0" w:space="0" w:color="auto"/>
          </w:divBdr>
        </w:div>
        <w:div w:id="118107121">
          <w:marLeft w:val="0"/>
          <w:marRight w:val="0"/>
          <w:marTop w:val="0"/>
          <w:marBottom w:val="0"/>
          <w:divBdr>
            <w:top w:val="none" w:sz="0" w:space="0" w:color="auto"/>
            <w:left w:val="none" w:sz="0" w:space="0" w:color="auto"/>
            <w:bottom w:val="none" w:sz="0" w:space="0" w:color="auto"/>
            <w:right w:val="none" w:sz="0" w:space="0" w:color="auto"/>
          </w:divBdr>
        </w:div>
        <w:div w:id="1364549825">
          <w:marLeft w:val="0"/>
          <w:marRight w:val="0"/>
          <w:marTop w:val="0"/>
          <w:marBottom w:val="0"/>
          <w:divBdr>
            <w:top w:val="none" w:sz="0" w:space="0" w:color="auto"/>
            <w:left w:val="none" w:sz="0" w:space="0" w:color="auto"/>
            <w:bottom w:val="none" w:sz="0" w:space="0" w:color="auto"/>
            <w:right w:val="none" w:sz="0" w:space="0" w:color="auto"/>
          </w:divBdr>
        </w:div>
        <w:div w:id="2106228125">
          <w:marLeft w:val="0"/>
          <w:marRight w:val="0"/>
          <w:marTop w:val="0"/>
          <w:marBottom w:val="0"/>
          <w:divBdr>
            <w:top w:val="none" w:sz="0" w:space="0" w:color="auto"/>
            <w:left w:val="none" w:sz="0" w:space="0" w:color="auto"/>
            <w:bottom w:val="none" w:sz="0" w:space="0" w:color="auto"/>
            <w:right w:val="none" w:sz="0" w:space="0" w:color="auto"/>
          </w:divBdr>
        </w:div>
        <w:div w:id="487140291">
          <w:marLeft w:val="0"/>
          <w:marRight w:val="0"/>
          <w:marTop w:val="0"/>
          <w:marBottom w:val="0"/>
          <w:divBdr>
            <w:top w:val="none" w:sz="0" w:space="0" w:color="auto"/>
            <w:left w:val="none" w:sz="0" w:space="0" w:color="auto"/>
            <w:bottom w:val="none" w:sz="0" w:space="0" w:color="auto"/>
            <w:right w:val="none" w:sz="0" w:space="0" w:color="auto"/>
          </w:divBdr>
        </w:div>
        <w:div w:id="1975939872">
          <w:marLeft w:val="0"/>
          <w:marRight w:val="0"/>
          <w:marTop w:val="0"/>
          <w:marBottom w:val="0"/>
          <w:divBdr>
            <w:top w:val="none" w:sz="0" w:space="0" w:color="auto"/>
            <w:left w:val="none" w:sz="0" w:space="0" w:color="auto"/>
            <w:bottom w:val="none" w:sz="0" w:space="0" w:color="auto"/>
            <w:right w:val="none" w:sz="0" w:space="0" w:color="auto"/>
          </w:divBdr>
        </w:div>
        <w:div w:id="1095901919">
          <w:marLeft w:val="0"/>
          <w:marRight w:val="0"/>
          <w:marTop w:val="0"/>
          <w:marBottom w:val="0"/>
          <w:divBdr>
            <w:top w:val="none" w:sz="0" w:space="0" w:color="auto"/>
            <w:left w:val="none" w:sz="0" w:space="0" w:color="auto"/>
            <w:bottom w:val="none" w:sz="0" w:space="0" w:color="auto"/>
            <w:right w:val="none" w:sz="0" w:space="0" w:color="auto"/>
          </w:divBdr>
        </w:div>
        <w:div w:id="1191147580">
          <w:marLeft w:val="0"/>
          <w:marRight w:val="0"/>
          <w:marTop w:val="0"/>
          <w:marBottom w:val="0"/>
          <w:divBdr>
            <w:top w:val="none" w:sz="0" w:space="0" w:color="auto"/>
            <w:left w:val="none" w:sz="0" w:space="0" w:color="auto"/>
            <w:bottom w:val="none" w:sz="0" w:space="0" w:color="auto"/>
            <w:right w:val="none" w:sz="0" w:space="0" w:color="auto"/>
          </w:divBdr>
        </w:div>
        <w:div w:id="919682618">
          <w:marLeft w:val="0"/>
          <w:marRight w:val="0"/>
          <w:marTop w:val="0"/>
          <w:marBottom w:val="0"/>
          <w:divBdr>
            <w:top w:val="none" w:sz="0" w:space="0" w:color="auto"/>
            <w:left w:val="none" w:sz="0" w:space="0" w:color="auto"/>
            <w:bottom w:val="none" w:sz="0" w:space="0" w:color="auto"/>
            <w:right w:val="none" w:sz="0" w:space="0" w:color="auto"/>
          </w:divBdr>
        </w:div>
        <w:div w:id="1449665295">
          <w:marLeft w:val="0"/>
          <w:marRight w:val="0"/>
          <w:marTop w:val="0"/>
          <w:marBottom w:val="0"/>
          <w:divBdr>
            <w:top w:val="none" w:sz="0" w:space="0" w:color="auto"/>
            <w:left w:val="none" w:sz="0" w:space="0" w:color="auto"/>
            <w:bottom w:val="none" w:sz="0" w:space="0" w:color="auto"/>
            <w:right w:val="none" w:sz="0" w:space="0" w:color="auto"/>
          </w:divBdr>
        </w:div>
        <w:div w:id="2100757488">
          <w:marLeft w:val="0"/>
          <w:marRight w:val="0"/>
          <w:marTop w:val="0"/>
          <w:marBottom w:val="0"/>
          <w:divBdr>
            <w:top w:val="none" w:sz="0" w:space="0" w:color="auto"/>
            <w:left w:val="none" w:sz="0" w:space="0" w:color="auto"/>
            <w:bottom w:val="none" w:sz="0" w:space="0" w:color="auto"/>
            <w:right w:val="none" w:sz="0" w:space="0" w:color="auto"/>
          </w:divBdr>
        </w:div>
        <w:div w:id="123236036">
          <w:marLeft w:val="0"/>
          <w:marRight w:val="0"/>
          <w:marTop w:val="0"/>
          <w:marBottom w:val="0"/>
          <w:divBdr>
            <w:top w:val="none" w:sz="0" w:space="0" w:color="auto"/>
            <w:left w:val="none" w:sz="0" w:space="0" w:color="auto"/>
            <w:bottom w:val="none" w:sz="0" w:space="0" w:color="auto"/>
            <w:right w:val="none" w:sz="0" w:space="0" w:color="auto"/>
          </w:divBdr>
        </w:div>
        <w:div w:id="1858077174">
          <w:marLeft w:val="0"/>
          <w:marRight w:val="0"/>
          <w:marTop w:val="0"/>
          <w:marBottom w:val="0"/>
          <w:divBdr>
            <w:top w:val="none" w:sz="0" w:space="0" w:color="auto"/>
            <w:left w:val="none" w:sz="0" w:space="0" w:color="auto"/>
            <w:bottom w:val="none" w:sz="0" w:space="0" w:color="auto"/>
            <w:right w:val="none" w:sz="0" w:space="0" w:color="auto"/>
          </w:divBdr>
        </w:div>
        <w:div w:id="1387684678">
          <w:marLeft w:val="0"/>
          <w:marRight w:val="0"/>
          <w:marTop w:val="0"/>
          <w:marBottom w:val="0"/>
          <w:divBdr>
            <w:top w:val="none" w:sz="0" w:space="0" w:color="auto"/>
            <w:left w:val="none" w:sz="0" w:space="0" w:color="auto"/>
            <w:bottom w:val="none" w:sz="0" w:space="0" w:color="auto"/>
            <w:right w:val="none" w:sz="0" w:space="0" w:color="auto"/>
          </w:divBdr>
        </w:div>
        <w:div w:id="229733561">
          <w:marLeft w:val="0"/>
          <w:marRight w:val="0"/>
          <w:marTop w:val="0"/>
          <w:marBottom w:val="0"/>
          <w:divBdr>
            <w:top w:val="none" w:sz="0" w:space="0" w:color="auto"/>
            <w:left w:val="none" w:sz="0" w:space="0" w:color="auto"/>
            <w:bottom w:val="none" w:sz="0" w:space="0" w:color="auto"/>
            <w:right w:val="none" w:sz="0" w:space="0" w:color="auto"/>
          </w:divBdr>
        </w:div>
        <w:div w:id="2054382859">
          <w:marLeft w:val="0"/>
          <w:marRight w:val="0"/>
          <w:marTop w:val="0"/>
          <w:marBottom w:val="0"/>
          <w:divBdr>
            <w:top w:val="none" w:sz="0" w:space="0" w:color="auto"/>
            <w:left w:val="none" w:sz="0" w:space="0" w:color="auto"/>
            <w:bottom w:val="none" w:sz="0" w:space="0" w:color="auto"/>
            <w:right w:val="none" w:sz="0" w:space="0" w:color="auto"/>
          </w:divBdr>
        </w:div>
        <w:div w:id="84692261">
          <w:marLeft w:val="0"/>
          <w:marRight w:val="0"/>
          <w:marTop w:val="0"/>
          <w:marBottom w:val="0"/>
          <w:divBdr>
            <w:top w:val="none" w:sz="0" w:space="0" w:color="auto"/>
            <w:left w:val="none" w:sz="0" w:space="0" w:color="auto"/>
            <w:bottom w:val="none" w:sz="0" w:space="0" w:color="auto"/>
            <w:right w:val="none" w:sz="0" w:space="0" w:color="auto"/>
          </w:divBdr>
        </w:div>
        <w:div w:id="488978811">
          <w:marLeft w:val="0"/>
          <w:marRight w:val="0"/>
          <w:marTop w:val="0"/>
          <w:marBottom w:val="0"/>
          <w:divBdr>
            <w:top w:val="none" w:sz="0" w:space="0" w:color="auto"/>
            <w:left w:val="none" w:sz="0" w:space="0" w:color="auto"/>
            <w:bottom w:val="none" w:sz="0" w:space="0" w:color="auto"/>
            <w:right w:val="none" w:sz="0" w:space="0" w:color="auto"/>
          </w:divBdr>
        </w:div>
        <w:div w:id="883055579">
          <w:marLeft w:val="0"/>
          <w:marRight w:val="0"/>
          <w:marTop w:val="0"/>
          <w:marBottom w:val="0"/>
          <w:divBdr>
            <w:top w:val="none" w:sz="0" w:space="0" w:color="auto"/>
            <w:left w:val="none" w:sz="0" w:space="0" w:color="auto"/>
            <w:bottom w:val="none" w:sz="0" w:space="0" w:color="auto"/>
            <w:right w:val="none" w:sz="0" w:space="0" w:color="auto"/>
          </w:divBdr>
        </w:div>
        <w:div w:id="2105370651">
          <w:marLeft w:val="0"/>
          <w:marRight w:val="0"/>
          <w:marTop w:val="0"/>
          <w:marBottom w:val="0"/>
          <w:divBdr>
            <w:top w:val="none" w:sz="0" w:space="0" w:color="auto"/>
            <w:left w:val="none" w:sz="0" w:space="0" w:color="auto"/>
            <w:bottom w:val="none" w:sz="0" w:space="0" w:color="auto"/>
            <w:right w:val="none" w:sz="0" w:space="0" w:color="auto"/>
          </w:divBdr>
        </w:div>
        <w:div w:id="2072535694">
          <w:marLeft w:val="0"/>
          <w:marRight w:val="0"/>
          <w:marTop w:val="0"/>
          <w:marBottom w:val="0"/>
          <w:divBdr>
            <w:top w:val="none" w:sz="0" w:space="0" w:color="auto"/>
            <w:left w:val="none" w:sz="0" w:space="0" w:color="auto"/>
            <w:bottom w:val="none" w:sz="0" w:space="0" w:color="auto"/>
            <w:right w:val="none" w:sz="0" w:space="0" w:color="auto"/>
          </w:divBdr>
        </w:div>
        <w:div w:id="268663065">
          <w:marLeft w:val="0"/>
          <w:marRight w:val="0"/>
          <w:marTop w:val="0"/>
          <w:marBottom w:val="0"/>
          <w:divBdr>
            <w:top w:val="none" w:sz="0" w:space="0" w:color="auto"/>
            <w:left w:val="none" w:sz="0" w:space="0" w:color="auto"/>
            <w:bottom w:val="none" w:sz="0" w:space="0" w:color="auto"/>
            <w:right w:val="none" w:sz="0" w:space="0" w:color="auto"/>
          </w:divBdr>
        </w:div>
        <w:div w:id="1625695793">
          <w:marLeft w:val="0"/>
          <w:marRight w:val="0"/>
          <w:marTop w:val="0"/>
          <w:marBottom w:val="0"/>
          <w:divBdr>
            <w:top w:val="none" w:sz="0" w:space="0" w:color="auto"/>
            <w:left w:val="none" w:sz="0" w:space="0" w:color="auto"/>
            <w:bottom w:val="none" w:sz="0" w:space="0" w:color="auto"/>
            <w:right w:val="none" w:sz="0" w:space="0" w:color="auto"/>
          </w:divBdr>
        </w:div>
        <w:div w:id="1226720560">
          <w:marLeft w:val="0"/>
          <w:marRight w:val="0"/>
          <w:marTop w:val="0"/>
          <w:marBottom w:val="0"/>
          <w:divBdr>
            <w:top w:val="none" w:sz="0" w:space="0" w:color="auto"/>
            <w:left w:val="none" w:sz="0" w:space="0" w:color="auto"/>
            <w:bottom w:val="none" w:sz="0" w:space="0" w:color="auto"/>
            <w:right w:val="none" w:sz="0" w:space="0" w:color="auto"/>
          </w:divBdr>
        </w:div>
        <w:div w:id="1286227939">
          <w:marLeft w:val="0"/>
          <w:marRight w:val="0"/>
          <w:marTop w:val="0"/>
          <w:marBottom w:val="0"/>
          <w:divBdr>
            <w:top w:val="none" w:sz="0" w:space="0" w:color="auto"/>
            <w:left w:val="none" w:sz="0" w:space="0" w:color="auto"/>
            <w:bottom w:val="none" w:sz="0" w:space="0" w:color="auto"/>
            <w:right w:val="none" w:sz="0" w:space="0" w:color="auto"/>
          </w:divBdr>
        </w:div>
      </w:divsChild>
    </w:div>
    <w:div w:id="1858078832">
      <w:bodyDiv w:val="1"/>
      <w:marLeft w:val="0"/>
      <w:marRight w:val="0"/>
      <w:marTop w:val="0"/>
      <w:marBottom w:val="0"/>
      <w:divBdr>
        <w:top w:val="none" w:sz="0" w:space="0" w:color="auto"/>
        <w:left w:val="none" w:sz="0" w:space="0" w:color="auto"/>
        <w:bottom w:val="none" w:sz="0" w:space="0" w:color="auto"/>
        <w:right w:val="none" w:sz="0" w:space="0" w:color="auto"/>
      </w:divBdr>
      <w:divsChild>
        <w:div w:id="2127581578">
          <w:marLeft w:val="0"/>
          <w:marRight w:val="0"/>
          <w:marTop w:val="0"/>
          <w:marBottom w:val="0"/>
          <w:divBdr>
            <w:top w:val="none" w:sz="0" w:space="0" w:color="auto"/>
            <w:left w:val="none" w:sz="0" w:space="0" w:color="auto"/>
            <w:bottom w:val="none" w:sz="0" w:space="0" w:color="auto"/>
            <w:right w:val="none" w:sz="0" w:space="0" w:color="auto"/>
          </w:divBdr>
        </w:div>
        <w:div w:id="1138567837">
          <w:marLeft w:val="0"/>
          <w:marRight w:val="0"/>
          <w:marTop w:val="0"/>
          <w:marBottom w:val="0"/>
          <w:divBdr>
            <w:top w:val="none" w:sz="0" w:space="0" w:color="auto"/>
            <w:left w:val="none" w:sz="0" w:space="0" w:color="auto"/>
            <w:bottom w:val="none" w:sz="0" w:space="0" w:color="auto"/>
            <w:right w:val="none" w:sz="0" w:space="0" w:color="auto"/>
          </w:divBdr>
        </w:div>
        <w:div w:id="1675916672">
          <w:marLeft w:val="0"/>
          <w:marRight w:val="0"/>
          <w:marTop w:val="0"/>
          <w:marBottom w:val="0"/>
          <w:divBdr>
            <w:top w:val="none" w:sz="0" w:space="0" w:color="auto"/>
            <w:left w:val="none" w:sz="0" w:space="0" w:color="auto"/>
            <w:bottom w:val="none" w:sz="0" w:space="0" w:color="auto"/>
            <w:right w:val="none" w:sz="0" w:space="0" w:color="auto"/>
          </w:divBdr>
        </w:div>
        <w:div w:id="1324821971">
          <w:marLeft w:val="0"/>
          <w:marRight w:val="0"/>
          <w:marTop w:val="0"/>
          <w:marBottom w:val="0"/>
          <w:divBdr>
            <w:top w:val="none" w:sz="0" w:space="0" w:color="auto"/>
            <w:left w:val="none" w:sz="0" w:space="0" w:color="auto"/>
            <w:bottom w:val="none" w:sz="0" w:space="0" w:color="auto"/>
            <w:right w:val="none" w:sz="0" w:space="0" w:color="auto"/>
          </w:divBdr>
        </w:div>
        <w:div w:id="424497481">
          <w:marLeft w:val="0"/>
          <w:marRight w:val="0"/>
          <w:marTop w:val="0"/>
          <w:marBottom w:val="0"/>
          <w:divBdr>
            <w:top w:val="none" w:sz="0" w:space="0" w:color="auto"/>
            <w:left w:val="none" w:sz="0" w:space="0" w:color="auto"/>
            <w:bottom w:val="none" w:sz="0" w:space="0" w:color="auto"/>
            <w:right w:val="none" w:sz="0" w:space="0" w:color="auto"/>
          </w:divBdr>
        </w:div>
        <w:div w:id="2013289657">
          <w:marLeft w:val="0"/>
          <w:marRight w:val="0"/>
          <w:marTop w:val="0"/>
          <w:marBottom w:val="0"/>
          <w:divBdr>
            <w:top w:val="none" w:sz="0" w:space="0" w:color="auto"/>
            <w:left w:val="none" w:sz="0" w:space="0" w:color="auto"/>
            <w:bottom w:val="none" w:sz="0" w:space="0" w:color="auto"/>
            <w:right w:val="none" w:sz="0" w:space="0" w:color="auto"/>
          </w:divBdr>
        </w:div>
        <w:div w:id="1147744735">
          <w:marLeft w:val="0"/>
          <w:marRight w:val="0"/>
          <w:marTop w:val="0"/>
          <w:marBottom w:val="0"/>
          <w:divBdr>
            <w:top w:val="none" w:sz="0" w:space="0" w:color="auto"/>
            <w:left w:val="none" w:sz="0" w:space="0" w:color="auto"/>
            <w:bottom w:val="none" w:sz="0" w:space="0" w:color="auto"/>
            <w:right w:val="none" w:sz="0" w:space="0" w:color="auto"/>
          </w:divBdr>
        </w:div>
        <w:div w:id="1483498870">
          <w:marLeft w:val="0"/>
          <w:marRight w:val="0"/>
          <w:marTop w:val="0"/>
          <w:marBottom w:val="0"/>
          <w:divBdr>
            <w:top w:val="none" w:sz="0" w:space="0" w:color="auto"/>
            <w:left w:val="none" w:sz="0" w:space="0" w:color="auto"/>
            <w:bottom w:val="none" w:sz="0" w:space="0" w:color="auto"/>
            <w:right w:val="none" w:sz="0" w:space="0" w:color="auto"/>
          </w:divBdr>
        </w:div>
        <w:div w:id="374627411">
          <w:marLeft w:val="0"/>
          <w:marRight w:val="0"/>
          <w:marTop w:val="0"/>
          <w:marBottom w:val="0"/>
          <w:divBdr>
            <w:top w:val="none" w:sz="0" w:space="0" w:color="auto"/>
            <w:left w:val="none" w:sz="0" w:space="0" w:color="auto"/>
            <w:bottom w:val="none" w:sz="0" w:space="0" w:color="auto"/>
            <w:right w:val="none" w:sz="0" w:space="0" w:color="auto"/>
          </w:divBdr>
        </w:div>
        <w:div w:id="1864710306">
          <w:marLeft w:val="0"/>
          <w:marRight w:val="0"/>
          <w:marTop w:val="0"/>
          <w:marBottom w:val="0"/>
          <w:divBdr>
            <w:top w:val="none" w:sz="0" w:space="0" w:color="auto"/>
            <w:left w:val="none" w:sz="0" w:space="0" w:color="auto"/>
            <w:bottom w:val="none" w:sz="0" w:space="0" w:color="auto"/>
            <w:right w:val="none" w:sz="0" w:space="0" w:color="auto"/>
          </w:divBdr>
        </w:div>
        <w:div w:id="810829120">
          <w:marLeft w:val="0"/>
          <w:marRight w:val="0"/>
          <w:marTop w:val="0"/>
          <w:marBottom w:val="0"/>
          <w:divBdr>
            <w:top w:val="none" w:sz="0" w:space="0" w:color="auto"/>
            <w:left w:val="none" w:sz="0" w:space="0" w:color="auto"/>
            <w:bottom w:val="none" w:sz="0" w:space="0" w:color="auto"/>
            <w:right w:val="none" w:sz="0" w:space="0" w:color="auto"/>
          </w:divBdr>
        </w:div>
        <w:div w:id="1400597480">
          <w:marLeft w:val="0"/>
          <w:marRight w:val="0"/>
          <w:marTop w:val="0"/>
          <w:marBottom w:val="0"/>
          <w:divBdr>
            <w:top w:val="none" w:sz="0" w:space="0" w:color="auto"/>
            <w:left w:val="none" w:sz="0" w:space="0" w:color="auto"/>
            <w:bottom w:val="none" w:sz="0" w:space="0" w:color="auto"/>
            <w:right w:val="none" w:sz="0" w:space="0" w:color="auto"/>
          </w:divBdr>
        </w:div>
        <w:div w:id="1449860224">
          <w:marLeft w:val="0"/>
          <w:marRight w:val="0"/>
          <w:marTop w:val="0"/>
          <w:marBottom w:val="0"/>
          <w:divBdr>
            <w:top w:val="none" w:sz="0" w:space="0" w:color="auto"/>
            <w:left w:val="none" w:sz="0" w:space="0" w:color="auto"/>
            <w:bottom w:val="none" w:sz="0" w:space="0" w:color="auto"/>
            <w:right w:val="none" w:sz="0" w:space="0" w:color="auto"/>
          </w:divBdr>
        </w:div>
        <w:div w:id="1966040226">
          <w:marLeft w:val="0"/>
          <w:marRight w:val="0"/>
          <w:marTop w:val="0"/>
          <w:marBottom w:val="0"/>
          <w:divBdr>
            <w:top w:val="none" w:sz="0" w:space="0" w:color="auto"/>
            <w:left w:val="none" w:sz="0" w:space="0" w:color="auto"/>
            <w:bottom w:val="none" w:sz="0" w:space="0" w:color="auto"/>
            <w:right w:val="none" w:sz="0" w:space="0" w:color="auto"/>
          </w:divBdr>
        </w:div>
        <w:div w:id="1363827876">
          <w:marLeft w:val="0"/>
          <w:marRight w:val="0"/>
          <w:marTop w:val="0"/>
          <w:marBottom w:val="0"/>
          <w:divBdr>
            <w:top w:val="none" w:sz="0" w:space="0" w:color="auto"/>
            <w:left w:val="none" w:sz="0" w:space="0" w:color="auto"/>
            <w:bottom w:val="none" w:sz="0" w:space="0" w:color="auto"/>
            <w:right w:val="none" w:sz="0" w:space="0" w:color="auto"/>
          </w:divBdr>
        </w:div>
        <w:div w:id="532617385">
          <w:marLeft w:val="0"/>
          <w:marRight w:val="0"/>
          <w:marTop w:val="0"/>
          <w:marBottom w:val="0"/>
          <w:divBdr>
            <w:top w:val="none" w:sz="0" w:space="0" w:color="auto"/>
            <w:left w:val="none" w:sz="0" w:space="0" w:color="auto"/>
            <w:bottom w:val="none" w:sz="0" w:space="0" w:color="auto"/>
            <w:right w:val="none" w:sz="0" w:space="0" w:color="auto"/>
          </w:divBdr>
        </w:div>
        <w:div w:id="216555221">
          <w:marLeft w:val="0"/>
          <w:marRight w:val="0"/>
          <w:marTop w:val="0"/>
          <w:marBottom w:val="0"/>
          <w:divBdr>
            <w:top w:val="none" w:sz="0" w:space="0" w:color="auto"/>
            <w:left w:val="none" w:sz="0" w:space="0" w:color="auto"/>
            <w:bottom w:val="none" w:sz="0" w:space="0" w:color="auto"/>
            <w:right w:val="none" w:sz="0" w:space="0" w:color="auto"/>
          </w:divBdr>
        </w:div>
        <w:div w:id="953287112">
          <w:marLeft w:val="0"/>
          <w:marRight w:val="0"/>
          <w:marTop w:val="0"/>
          <w:marBottom w:val="0"/>
          <w:divBdr>
            <w:top w:val="none" w:sz="0" w:space="0" w:color="auto"/>
            <w:left w:val="none" w:sz="0" w:space="0" w:color="auto"/>
            <w:bottom w:val="none" w:sz="0" w:space="0" w:color="auto"/>
            <w:right w:val="none" w:sz="0" w:space="0" w:color="auto"/>
          </w:divBdr>
        </w:div>
        <w:div w:id="1405685490">
          <w:marLeft w:val="0"/>
          <w:marRight w:val="0"/>
          <w:marTop w:val="0"/>
          <w:marBottom w:val="0"/>
          <w:divBdr>
            <w:top w:val="none" w:sz="0" w:space="0" w:color="auto"/>
            <w:left w:val="none" w:sz="0" w:space="0" w:color="auto"/>
            <w:bottom w:val="none" w:sz="0" w:space="0" w:color="auto"/>
            <w:right w:val="none" w:sz="0" w:space="0" w:color="auto"/>
          </w:divBdr>
        </w:div>
        <w:div w:id="2006202473">
          <w:marLeft w:val="0"/>
          <w:marRight w:val="0"/>
          <w:marTop w:val="0"/>
          <w:marBottom w:val="0"/>
          <w:divBdr>
            <w:top w:val="none" w:sz="0" w:space="0" w:color="auto"/>
            <w:left w:val="none" w:sz="0" w:space="0" w:color="auto"/>
            <w:bottom w:val="none" w:sz="0" w:space="0" w:color="auto"/>
            <w:right w:val="none" w:sz="0" w:space="0" w:color="auto"/>
          </w:divBdr>
        </w:div>
        <w:div w:id="908080292">
          <w:marLeft w:val="0"/>
          <w:marRight w:val="0"/>
          <w:marTop w:val="0"/>
          <w:marBottom w:val="0"/>
          <w:divBdr>
            <w:top w:val="none" w:sz="0" w:space="0" w:color="auto"/>
            <w:left w:val="none" w:sz="0" w:space="0" w:color="auto"/>
            <w:bottom w:val="none" w:sz="0" w:space="0" w:color="auto"/>
            <w:right w:val="none" w:sz="0" w:space="0" w:color="auto"/>
          </w:divBdr>
        </w:div>
        <w:div w:id="176889644">
          <w:marLeft w:val="0"/>
          <w:marRight w:val="0"/>
          <w:marTop w:val="0"/>
          <w:marBottom w:val="0"/>
          <w:divBdr>
            <w:top w:val="none" w:sz="0" w:space="0" w:color="auto"/>
            <w:left w:val="none" w:sz="0" w:space="0" w:color="auto"/>
            <w:bottom w:val="none" w:sz="0" w:space="0" w:color="auto"/>
            <w:right w:val="none" w:sz="0" w:space="0" w:color="auto"/>
          </w:divBdr>
        </w:div>
      </w:divsChild>
    </w:div>
    <w:div w:id="1868447651">
      <w:bodyDiv w:val="1"/>
      <w:marLeft w:val="0"/>
      <w:marRight w:val="0"/>
      <w:marTop w:val="0"/>
      <w:marBottom w:val="0"/>
      <w:divBdr>
        <w:top w:val="none" w:sz="0" w:space="0" w:color="auto"/>
        <w:left w:val="none" w:sz="0" w:space="0" w:color="auto"/>
        <w:bottom w:val="none" w:sz="0" w:space="0" w:color="auto"/>
        <w:right w:val="none" w:sz="0" w:space="0" w:color="auto"/>
      </w:divBdr>
      <w:divsChild>
        <w:div w:id="1127511203">
          <w:marLeft w:val="0"/>
          <w:marRight w:val="0"/>
          <w:marTop w:val="0"/>
          <w:marBottom w:val="0"/>
          <w:divBdr>
            <w:top w:val="none" w:sz="0" w:space="0" w:color="auto"/>
            <w:left w:val="none" w:sz="0" w:space="0" w:color="auto"/>
            <w:bottom w:val="none" w:sz="0" w:space="0" w:color="auto"/>
            <w:right w:val="none" w:sz="0" w:space="0" w:color="auto"/>
          </w:divBdr>
        </w:div>
        <w:div w:id="1124427154">
          <w:marLeft w:val="0"/>
          <w:marRight w:val="0"/>
          <w:marTop w:val="0"/>
          <w:marBottom w:val="0"/>
          <w:divBdr>
            <w:top w:val="none" w:sz="0" w:space="0" w:color="auto"/>
            <w:left w:val="none" w:sz="0" w:space="0" w:color="auto"/>
            <w:bottom w:val="none" w:sz="0" w:space="0" w:color="auto"/>
            <w:right w:val="none" w:sz="0" w:space="0" w:color="auto"/>
          </w:divBdr>
        </w:div>
        <w:div w:id="749737948">
          <w:marLeft w:val="0"/>
          <w:marRight w:val="0"/>
          <w:marTop w:val="0"/>
          <w:marBottom w:val="0"/>
          <w:divBdr>
            <w:top w:val="none" w:sz="0" w:space="0" w:color="auto"/>
            <w:left w:val="none" w:sz="0" w:space="0" w:color="auto"/>
            <w:bottom w:val="none" w:sz="0" w:space="0" w:color="auto"/>
            <w:right w:val="none" w:sz="0" w:space="0" w:color="auto"/>
          </w:divBdr>
        </w:div>
      </w:divsChild>
    </w:div>
    <w:div w:id="1877809208">
      <w:bodyDiv w:val="1"/>
      <w:marLeft w:val="0"/>
      <w:marRight w:val="0"/>
      <w:marTop w:val="0"/>
      <w:marBottom w:val="0"/>
      <w:divBdr>
        <w:top w:val="none" w:sz="0" w:space="0" w:color="auto"/>
        <w:left w:val="none" w:sz="0" w:space="0" w:color="auto"/>
        <w:bottom w:val="none" w:sz="0" w:space="0" w:color="auto"/>
        <w:right w:val="none" w:sz="0" w:space="0" w:color="auto"/>
      </w:divBdr>
    </w:div>
    <w:div w:id="1884948172">
      <w:bodyDiv w:val="1"/>
      <w:marLeft w:val="0"/>
      <w:marRight w:val="0"/>
      <w:marTop w:val="0"/>
      <w:marBottom w:val="0"/>
      <w:divBdr>
        <w:top w:val="none" w:sz="0" w:space="0" w:color="auto"/>
        <w:left w:val="none" w:sz="0" w:space="0" w:color="auto"/>
        <w:bottom w:val="none" w:sz="0" w:space="0" w:color="auto"/>
        <w:right w:val="none" w:sz="0" w:space="0" w:color="auto"/>
      </w:divBdr>
      <w:divsChild>
        <w:div w:id="30812345">
          <w:marLeft w:val="0"/>
          <w:marRight w:val="0"/>
          <w:marTop w:val="0"/>
          <w:marBottom w:val="0"/>
          <w:divBdr>
            <w:top w:val="none" w:sz="0" w:space="0" w:color="auto"/>
            <w:left w:val="none" w:sz="0" w:space="0" w:color="auto"/>
            <w:bottom w:val="none" w:sz="0" w:space="0" w:color="auto"/>
            <w:right w:val="none" w:sz="0" w:space="0" w:color="auto"/>
          </w:divBdr>
        </w:div>
        <w:div w:id="1460026017">
          <w:marLeft w:val="0"/>
          <w:marRight w:val="0"/>
          <w:marTop w:val="0"/>
          <w:marBottom w:val="0"/>
          <w:divBdr>
            <w:top w:val="none" w:sz="0" w:space="0" w:color="auto"/>
            <w:left w:val="none" w:sz="0" w:space="0" w:color="auto"/>
            <w:bottom w:val="none" w:sz="0" w:space="0" w:color="auto"/>
            <w:right w:val="none" w:sz="0" w:space="0" w:color="auto"/>
          </w:divBdr>
        </w:div>
        <w:div w:id="1087731188">
          <w:marLeft w:val="0"/>
          <w:marRight w:val="0"/>
          <w:marTop w:val="0"/>
          <w:marBottom w:val="0"/>
          <w:divBdr>
            <w:top w:val="none" w:sz="0" w:space="0" w:color="auto"/>
            <w:left w:val="none" w:sz="0" w:space="0" w:color="auto"/>
            <w:bottom w:val="none" w:sz="0" w:space="0" w:color="auto"/>
            <w:right w:val="none" w:sz="0" w:space="0" w:color="auto"/>
          </w:divBdr>
        </w:div>
        <w:div w:id="1079594726">
          <w:marLeft w:val="0"/>
          <w:marRight w:val="0"/>
          <w:marTop w:val="0"/>
          <w:marBottom w:val="0"/>
          <w:divBdr>
            <w:top w:val="none" w:sz="0" w:space="0" w:color="auto"/>
            <w:left w:val="none" w:sz="0" w:space="0" w:color="auto"/>
            <w:bottom w:val="none" w:sz="0" w:space="0" w:color="auto"/>
            <w:right w:val="none" w:sz="0" w:space="0" w:color="auto"/>
          </w:divBdr>
        </w:div>
      </w:divsChild>
    </w:div>
    <w:div w:id="1914702721">
      <w:bodyDiv w:val="1"/>
      <w:marLeft w:val="0"/>
      <w:marRight w:val="0"/>
      <w:marTop w:val="0"/>
      <w:marBottom w:val="0"/>
      <w:divBdr>
        <w:top w:val="none" w:sz="0" w:space="0" w:color="auto"/>
        <w:left w:val="none" w:sz="0" w:space="0" w:color="auto"/>
        <w:bottom w:val="none" w:sz="0" w:space="0" w:color="auto"/>
        <w:right w:val="none" w:sz="0" w:space="0" w:color="auto"/>
      </w:divBdr>
      <w:divsChild>
        <w:div w:id="1703241428">
          <w:marLeft w:val="0"/>
          <w:marRight w:val="0"/>
          <w:marTop w:val="0"/>
          <w:marBottom w:val="0"/>
          <w:divBdr>
            <w:top w:val="none" w:sz="0" w:space="0" w:color="auto"/>
            <w:left w:val="none" w:sz="0" w:space="0" w:color="auto"/>
            <w:bottom w:val="none" w:sz="0" w:space="0" w:color="auto"/>
            <w:right w:val="none" w:sz="0" w:space="0" w:color="auto"/>
          </w:divBdr>
        </w:div>
        <w:div w:id="1866403860">
          <w:marLeft w:val="0"/>
          <w:marRight w:val="0"/>
          <w:marTop w:val="0"/>
          <w:marBottom w:val="0"/>
          <w:divBdr>
            <w:top w:val="none" w:sz="0" w:space="0" w:color="auto"/>
            <w:left w:val="none" w:sz="0" w:space="0" w:color="auto"/>
            <w:bottom w:val="none" w:sz="0" w:space="0" w:color="auto"/>
            <w:right w:val="none" w:sz="0" w:space="0" w:color="auto"/>
          </w:divBdr>
        </w:div>
        <w:div w:id="1639728803">
          <w:marLeft w:val="0"/>
          <w:marRight w:val="0"/>
          <w:marTop w:val="0"/>
          <w:marBottom w:val="0"/>
          <w:divBdr>
            <w:top w:val="none" w:sz="0" w:space="0" w:color="auto"/>
            <w:left w:val="none" w:sz="0" w:space="0" w:color="auto"/>
            <w:bottom w:val="none" w:sz="0" w:space="0" w:color="auto"/>
            <w:right w:val="none" w:sz="0" w:space="0" w:color="auto"/>
          </w:divBdr>
        </w:div>
      </w:divsChild>
    </w:div>
    <w:div w:id="1943415229">
      <w:bodyDiv w:val="1"/>
      <w:marLeft w:val="0"/>
      <w:marRight w:val="0"/>
      <w:marTop w:val="0"/>
      <w:marBottom w:val="0"/>
      <w:divBdr>
        <w:top w:val="none" w:sz="0" w:space="0" w:color="auto"/>
        <w:left w:val="none" w:sz="0" w:space="0" w:color="auto"/>
        <w:bottom w:val="none" w:sz="0" w:space="0" w:color="auto"/>
        <w:right w:val="none" w:sz="0" w:space="0" w:color="auto"/>
      </w:divBdr>
    </w:div>
    <w:div w:id="1949653027">
      <w:bodyDiv w:val="1"/>
      <w:marLeft w:val="0"/>
      <w:marRight w:val="0"/>
      <w:marTop w:val="0"/>
      <w:marBottom w:val="0"/>
      <w:divBdr>
        <w:top w:val="none" w:sz="0" w:space="0" w:color="auto"/>
        <w:left w:val="none" w:sz="0" w:space="0" w:color="auto"/>
        <w:bottom w:val="none" w:sz="0" w:space="0" w:color="auto"/>
        <w:right w:val="none" w:sz="0" w:space="0" w:color="auto"/>
      </w:divBdr>
      <w:divsChild>
        <w:div w:id="2094163517">
          <w:marLeft w:val="0"/>
          <w:marRight w:val="0"/>
          <w:marTop w:val="0"/>
          <w:marBottom w:val="0"/>
          <w:divBdr>
            <w:top w:val="none" w:sz="0" w:space="0" w:color="auto"/>
            <w:left w:val="none" w:sz="0" w:space="0" w:color="auto"/>
            <w:bottom w:val="none" w:sz="0" w:space="0" w:color="auto"/>
            <w:right w:val="none" w:sz="0" w:space="0" w:color="auto"/>
          </w:divBdr>
        </w:div>
        <w:div w:id="1558007628">
          <w:marLeft w:val="0"/>
          <w:marRight w:val="0"/>
          <w:marTop w:val="0"/>
          <w:marBottom w:val="0"/>
          <w:divBdr>
            <w:top w:val="none" w:sz="0" w:space="0" w:color="auto"/>
            <w:left w:val="none" w:sz="0" w:space="0" w:color="auto"/>
            <w:bottom w:val="none" w:sz="0" w:space="0" w:color="auto"/>
            <w:right w:val="none" w:sz="0" w:space="0" w:color="auto"/>
          </w:divBdr>
        </w:div>
        <w:div w:id="937251757">
          <w:marLeft w:val="0"/>
          <w:marRight w:val="0"/>
          <w:marTop w:val="0"/>
          <w:marBottom w:val="0"/>
          <w:divBdr>
            <w:top w:val="none" w:sz="0" w:space="0" w:color="auto"/>
            <w:left w:val="none" w:sz="0" w:space="0" w:color="auto"/>
            <w:bottom w:val="none" w:sz="0" w:space="0" w:color="auto"/>
            <w:right w:val="none" w:sz="0" w:space="0" w:color="auto"/>
          </w:divBdr>
        </w:div>
        <w:div w:id="1155101721">
          <w:marLeft w:val="0"/>
          <w:marRight w:val="0"/>
          <w:marTop w:val="0"/>
          <w:marBottom w:val="0"/>
          <w:divBdr>
            <w:top w:val="none" w:sz="0" w:space="0" w:color="auto"/>
            <w:left w:val="none" w:sz="0" w:space="0" w:color="auto"/>
            <w:bottom w:val="none" w:sz="0" w:space="0" w:color="auto"/>
            <w:right w:val="none" w:sz="0" w:space="0" w:color="auto"/>
          </w:divBdr>
        </w:div>
        <w:div w:id="480774753">
          <w:marLeft w:val="0"/>
          <w:marRight w:val="0"/>
          <w:marTop w:val="0"/>
          <w:marBottom w:val="0"/>
          <w:divBdr>
            <w:top w:val="none" w:sz="0" w:space="0" w:color="auto"/>
            <w:left w:val="none" w:sz="0" w:space="0" w:color="auto"/>
            <w:bottom w:val="none" w:sz="0" w:space="0" w:color="auto"/>
            <w:right w:val="none" w:sz="0" w:space="0" w:color="auto"/>
          </w:divBdr>
        </w:div>
        <w:div w:id="814104768">
          <w:marLeft w:val="0"/>
          <w:marRight w:val="0"/>
          <w:marTop w:val="0"/>
          <w:marBottom w:val="0"/>
          <w:divBdr>
            <w:top w:val="none" w:sz="0" w:space="0" w:color="auto"/>
            <w:left w:val="none" w:sz="0" w:space="0" w:color="auto"/>
            <w:bottom w:val="none" w:sz="0" w:space="0" w:color="auto"/>
            <w:right w:val="none" w:sz="0" w:space="0" w:color="auto"/>
          </w:divBdr>
        </w:div>
        <w:div w:id="710030366">
          <w:marLeft w:val="0"/>
          <w:marRight w:val="0"/>
          <w:marTop w:val="0"/>
          <w:marBottom w:val="0"/>
          <w:divBdr>
            <w:top w:val="none" w:sz="0" w:space="0" w:color="auto"/>
            <w:left w:val="none" w:sz="0" w:space="0" w:color="auto"/>
            <w:bottom w:val="none" w:sz="0" w:space="0" w:color="auto"/>
            <w:right w:val="none" w:sz="0" w:space="0" w:color="auto"/>
          </w:divBdr>
        </w:div>
        <w:div w:id="216480910">
          <w:marLeft w:val="0"/>
          <w:marRight w:val="0"/>
          <w:marTop w:val="0"/>
          <w:marBottom w:val="0"/>
          <w:divBdr>
            <w:top w:val="none" w:sz="0" w:space="0" w:color="auto"/>
            <w:left w:val="none" w:sz="0" w:space="0" w:color="auto"/>
            <w:bottom w:val="none" w:sz="0" w:space="0" w:color="auto"/>
            <w:right w:val="none" w:sz="0" w:space="0" w:color="auto"/>
          </w:divBdr>
        </w:div>
        <w:div w:id="844707480">
          <w:marLeft w:val="0"/>
          <w:marRight w:val="0"/>
          <w:marTop w:val="0"/>
          <w:marBottom w:val="0"/>
          <w:divBdr>
            <w:top w:val="none" w:sz="0" w:space="0" w:color="auto"/>
            <w:left w:val="none" w:sz="0" w:space="0" w:color="auto"/>
            <w:bottom w:val="none" w:sz="0" w:space="0" w:color="auto"/>
            <w:right w:val="none" w:sz="0" w:space="0" w:color="auto"/>
          </w:divBdr>
        </w:div>
        <w:div w:id="2034846005">
          <w:marLeft w:val="0"/>
          <w:marRight w:val="0"/>
          <w:marTop w:val="0"/>
          <w:marBottom w:val="0"/>
          <w:divBdr>
            <w:top w:val="none" w:sz="0" w:space="0" w:color="auto"/>
            <w:left w:val="none" w:sz="0" w:space="0" w:color="auto"/>
            <w:bottom w:val="none" w:sz="0" w:space="0" w:color="auto"/>
            <w:right w:val="none" w:sz="0" w:space="0" w:color="auto"/>
          </w:divBdr>
        </w:div>
        <w:div w:id="483015420">
          <w:marLeft w:val="0"/>
          <w:marRight w:val="0"/>
          <w:marTop w:val="0"/>
          <w:marBottom w:val="0"/>
          <w:divBdr>
            <w:top w:val="none" w:sz="0" w:space="0" w:color="auto"/>
            <w:left w:val="none" w:sz="0" w:space="0" w:color="auto"/>
            <w:bottom w:val="none" w:sz="0" w:space="0" w:color="auto"/>
            <w:right w:val="none" w:sz="0" w:space="0" w:color="auto"/>
          </w:divBdr>
        </w:div>
        <w:div w:id="1626623751">
          <w:marLeft w:val="0"/>
          <w:marRight w:val="0"/>
          <w:marTop w:val="0"/>
          <w:marBottom w:val="0"/>
          <w:divBdr>
            <w:top w:val="none" w:sz="0" w:space="0" w:color="auto"/>
            <w:left w:val="none" w:sz="0" w:space="0" w:color="auto"/>
            <w:bottom w:val="none" w:sz="0" w:space="0" w:color="auto"/>
            <w:right w:val="none" w:sz="0" w:space="0" w:color="auto"/>
          </w:divBdr>
        </w:div>
        <w:div w:id="1805998814">
          <w:marLeft w:val="0"/>
          <w:marRight w:val="0"/>
          <w:marTop w:val="0"/>
          <w:marBottom w:val="0"/>
          <w:divBdr>
            <w:top w:val="none" w:sz="0" w:space="0" w:color="auto"/>
            <w:left w:val="none" w:sz="0" w:space="0" w:color="auto"/>
            <w:bottom w:val="none" w:sz="0" w:space="0" w:color="auto"/>
            <w:right w:val="none" w:sz="0" w:space="0" w:color="auto"/>
          </w:divBdr>
        </w:div>
        <w:div w:id="228923928">
          <w:marLeft w:val="0"/>
          <w:marRight w:val="0"/>
          <w:marTop w:val="0"/>
          <w:marBottom w:val="0"/>
          <w:divBdr>
            <w:top w:val="none" w:sz="0" w:space="0" w:color="auto"/>
            <w:left w:val="none" w:sz="0" w:space="0" w:color="auto"/>
            <w:bottom w:val="none" w:sz="0" w:space="0" w:color="auto"/>
            <w:right w:val="none" w:sz="0" w:space="0" w:color="auto"/>
          </w:divBdr>
        </w:div>
        <w:div w:id="731192149">
          <w:marLeft w:val="0"/>
          <w:marRight w:val="0"/>
          <w:marTop w:val="0"/>
          <w:marBottom w:val="0"/>
          <w:divBdr>
            <w:top w:val="none" w:sz="0" w:space="0" w:color="auto"/>
            <w:left w:val="none" w:sz="0" w:space="0" w:color="auto"/>
            <w:bottom w:val="none" w:sz="0" w:space="0" w:color="auto"/>
            <w:right w:val="none" w:sz="0" w:space="0" w:color="auto"/>
          </w:divBdr>
        </w:div>
        <w:div w:id="646712651">
          <w:marLeft w:val="0"/>
          <w:marRight w:val="0"/>
          <w:marTop w:val="0"/>
          <w:marBottom w:val="0"/>
          <w:divBdr>
            <w:top w:val="none" w:sz="0" w:space="0" w:color="auto"/>
            <w:left w:val="none" w:sz="0" w:space="0" w:color="auto"/>
            <w:bottom w:val="none" w:sz="0" w:space="0" w:color="auto"/>
            <w:right w:val="none" w:sz="0" w:space="0" w:color="auto"/>
          </w:divBdr>
        </w:div>
        <w:div w:id="224948791">
          <w:marLeft w:val="0"/>
          <w:marRight w:val="0"/>
          <w:marTop w:val="0"/>
          <w:marBottom w:val="0"/>
          <w:divBdr>
            <w:top w:val="none" w:sz="0" w:space="0" w:color="auto"/>
            <w:left w:val="none" w:sz="0" w:space="0" w:color="auto"/>
            <w:bottom w:val="none" w:sz="0" w:space="0" w:color="auto"/>
            <w:right w:val="none" w:sz="0" w:space="0" w:color="auto"/>
          </w:divBdr>
        </w:div>
        <w:div w:id="1174147311">
          <w:marLeft w:val="0"/>
          <w:marRight w:val="0"/>
          <w:marTop w:val="0"/>
          <w:marBottom w:val="0"/>
          <w:divBdr>
            <w:top w:val="none" w:sz="0" w:space="0" w:color="auto"/>
            <w:left w:val="none" w:sz="0" w:space="0" w:color="auto"/>
            <w:bottom w:val="none" w:sz="0" w:space="0" w:color="auto"/>
            <w:right w:val="none" w:sz="0" w:space="0" w:color="auto"/>
          </w:divBdr>
        </w:div>
        <w:div w:id="850611475">
          <w:marLeft w:val="0"/>
          <w:marRight w:val="0"/>
          <w:marTop w:val="0"/>
          <w:marBottom w:val="0"/>
          <w:divBdr>
            <w:top w:val="none" w:sz="0" w:space="0" w:color="auto"/>
            <w:left w:val="none" w:sz="0" w:space="0" w:color="auto"/>
            <w:bottom w:val="none" w:sz="0" w:space="0" w:color="auto"/>
            <w:right w:val="none" w:sz="0" w:space="0" w:color="auto"/>
          </w:divBdr>
        </w:div>
        <w:div w:id="1967198153">
          <w:marLeft w:val="0"/>
          <w:marRight w:val="0"/>
          <w:marTop w:val="0"/>
          <w:marBottom w:val="0"/>
          <w:divBdr>
            <w:top w:val="none" w:sz="0" w:space="0" w:color="auto"/>
            <w:left w:val="none" w:sz="0" w:space="0" w:color="auto"/>
            <w:bottom w:val="none" w:sz="0" w:space="0" w:color="auto"/>
            <w:right w:val="none" w:sz="0" w:space="0" w:color="auto"/>
          </w:divBdr>
        </w:div>
        <w:div w:id="635720821">
          <w:marLeft w:val="0"/>
          <w:marRight w:val="0"/>
          <w:marTop w:val="0"/>
          <w:marBottom w:val="0"/>
          <w:divBdr>
            <w:top w:val="none" w:sz="0" w:space="0" w:color="auto"/>
            <w:left w:val="none" w:sz="0" w:space="0" w:color="auto"/>
            <w:bottom w:val="none" w:sz="0" w:space="0" w:color="auto"/>
            <w:right w:val="none" w:sz="0" w:space="0" w:color="auto"/>
          </w:divBdr>
        </w:div>
        <w:div w:id="445777037">
          <w:marLeft w:val="0"/>
          <w:marRight w:val="0"/>
          <w:marTop w:val="0"/>
          <w:marBottom w:val="0"/>
          <w:divBdr>
            <w:top w:val="none" w:sz="0" w:space="0" w:color="auto"/>
            <w:left w:val="none" w:sz="0" w:space="0" w:color="auto"/>
            <w:bottom w:val="none" w:sz="0" w:space="0" w:color="auto"/>
            <w:right w:val="none" w:sz="0" w:space="0" w:color="auto"/>
          </w:divBdr>
        </w:div>
        <w:div w:id="527253021">
          <w:marLeft w:val="0"/>
          <w:marRight w:val="0"/>
          <w:marTop w:val="0"/>
          <w:marBottom w:val="0"/>
          <w:divBdr>
            <w:top w:val="none" w:sz="0" w:space="0" w:color="auto"/>
            <w:left w:val="none" w:sz="0" w:space="0" w:color="auto"/>
            <w:bottom w:val="none" w:sz="0" w:space="0" w:color="auto"/>
            <w:right w:val="none" w:sz="0" w:space="0" w:color="auto"/>
          </w:divBdr>
        </w:div>
      </w:divsChild>
    </w:div>
    <w:div w:id="1965233268">
      <w:bodyDiv w:val="1"/>
      <w:marLeft w:val="0"/>
      <w:marRight w:val="0"/>
      <w:marTop w:val="0"/>
      <w:marBottom w:val="0"/>
      <w:divBdr>
        <w:top w:val="none" w:sz="0" w:space="0" w:color="auto"/>
        <w:left w:val="none" w:sz="0" w:space="0" w:color="auto"/>
        <w:bottom w:val="none" w:sz="0" w:space="0" w:color="auto"/>
        <w:right w:val="none" w:sz="0" w:space="0" w:color="auto"/>
      </w:divBdr>
      <w:divsChild>
        <w:div w:id="2013872787">
          <w:marLeft w:val="0"/>
          <w:marRight w:val="0"/>
          <w:marTop w:val="0"/>
          <w:marBottom w:val="0"/>
          <w:divBdr>
            <w:top w:val="none" w:sz="0" w:space="0" w:color="auto"/>
            <w:left w:val="none" w:sz="0" w:space="0" w:color="auto"/>
            <w:bottom w:val="none" w:sz="0" w:space="0" w:color="auto"/>
            <w:right w:val="none" w:sz="0" w:space="0" w:color="auto"/>
          </w:divBdr>
        </w:div>
        <w:div w:id="471404770">
          <w:marLeft w:val="0"/>
          <w:marRight w:val="0"/>
          <w:marTop w:val="0"/>
          <w:marBottom w:val="0"/>
          <w:divBdr>
            <w:top w:val="none" w:sz="0" w:space="0" w:color="auto"/>
            <w:left w:val="none" w:sz="0" w:space="0" w:color="auto"/>
            <w:bottom w:val="none" w:sz="0" w:space="0" w:color="auto"/>
            <w:right w:val="none" w:sz="0" w:space="0" w:color="auto"/>
          </w:divBdr>
        </w:div>
        <w:div w:id="1030841843">
          <w:marLeft w:val="0"/>
          <w:marRight w:val="0"/>
          <w:marTop w:val="0"/>
          <w:marBottom w:val="0"/>
          <w:divBdr>
            <w:top w:val="none" w:sz="0" w:space="0" w:color="auto"/>
            <w:left w:val="none" w:sz="0" w:space="0" w:color="auto"/>
            <w:bottom w:val="none" w:sz="0" w:space="0" w:color="auto"/>
            <w:right w:val="none" w:sz="0" w:space="0" w:color="auto"/>
          </w:divBdr>
        </w:div>
        <w:div w:id="981693878">
          <w:marLeft w:val="0"/>
          <w:marRight w:val="0"/>
          <w:marTop w:val="0"/>
          <w:marBottom w:val="0"/>
          <w:divBdr>
            <w:top w:val="none" w:sz="0" w:space="0" w:color="auto"/>
            <w:left w:val="none" w:sz="0" w:space="0" w:color="auto"/>
            <w:bottom w:val="none" w:sz="0" w:space="0" w:color="auto"/>
            <w:right w:val="none" w:sz="0" w:space="0" w:color="auto"/>
          </w:divBdr>
        </w:div>
        <w:div w:id="1849055791">
          <w:marLeft w:val="0"/>
          <w:marRight w:val="0"/>
          <w:marTop w:val="0"/>
          <w:marBottom w:val="0"/>
          <w:divBdr>
            <w:top w:val="none" w:sz="0" w:space="0" w:color="auto"/>
            <w:left w:val="none" w:sz="0" w:space="0" w:color="auto"/>
            <w:bottom w:val="none" w:sz="0" w:space="0" w:color="auto"/>
            <w:right w:val="none" w:sz="0" w:space="0" w:color="auto"/>
          </w:divBdr>
        </w:div>
        <w:div w:id="1408845223">
          <w:marLeft w:val="0"/>
          <w:marRight w:val="0"/>
          <w:marTop w:val="0"/>
          <w:marBottom w:val="0"/>
          <w:divBdr>
            <w:top w:val="none" w:sz="0" w:space="0" w:color="auto"/>
            <w:left w:val="none" w:sz="0" w:space="0" w:color="auto"/>
            <w:bottom w:val="none" w:sz="0" w:space="0" w:color="auto"/>
            <w:right w:val="none" w:sz="0" w:space="0" w:color="auto"/>
          </w:divBdr>
        </w:div>
        <w:div w:id="718865368">
          <w:marLeft w:val="0"/>
          <w:marRight w:val="0"/>
          <w:marTop w:val="0"/>
          <w:marBottom w:val="0"/>
          <w:divBdr>
            <w:top w:val="none" w:sz="0" w:space="0" w:color="auto"/>
            <w:left w:val="none" w:sz="0" w:space="0" w:color="auto"/>
            <w:bottom w:val="none" w:sz="0" w:space="0" w:color="auto"/>
            <w:right w:val="none" w:sz="0" w:space="0" w:color="auto"/>
          </w:divBdr>
        </w:div>
        <w:div w:id="2080596321">
          <w:marLeft w:val="0"/>
          <w:marRight w:val="0"/>
          <w:marTop w:val="0"/>
          <w:marBottom w:val="0"/>
          <w:divBdr>
            <w:top w:val="none" w:sz="0" w:space="0" w:color="auto"/>
            <w:left w:val="none" w:sz="0" w:space="0" w:color="auto"/>
            <w:bottom w:val="none" w:sz="0" w:space="0" w:color="auto"/>
            <w:right w:val="none" w:sz="0" w:space="0" w:color="auto"/>
          </w:divBdr>
        </w:div>
        <w:div w:id="1717927142">
          <w:marLeft w:val="0"/>
          <w:marRight w:val="0"/>
          <w:marTop w:val="0"/>
          <w:marBottom w:val="0"/>
          <w:divBdr>
            <w:top w:val="none" w:sz="0" w:space="0" w:color="auto"/>
            <w:left w:val="none" w:sz="0" w:space="0" w:color="auto"/>
            <w:bottom w:val="none" w:sz="0" w:space="0" w:color="auto"/>
            <w:right w:val="none" w:sz="0" w:space="0" w:color="auto"/>
          </w:divBdr>
        </w:div>
        <w:div w:id="851601179">
          <w:marLeft w:val="0"/>
          <w:marRight w:val="0"/>
          <w:marTop w:val="0"/>
          <w:marBottom w:val="0"/>
          <w:divBdr>
            <w:top w:val="none" w:sz="0" w:space="0" w:color="auto"/>
            <w:left w:val="none" w:sz="0" w:space="0" w:color="auto"/>
            <w:bottom w:val="none" w:sz="0" w:space="0" w:color="auto"/>
            <w:right w:val="none" w:sz="0" w:space="0" w:color="auto"/>
          </w:divBdr>
        </w:div>
        <w:div w:id="462046362">
          <w:marLeft w:val="0"/>
          <w:marRight w:val="0"/>
          <w:marTop w:val="0"/>
          <w:marBottom w:val="0"/>
          <w:divBdr>
            <w:top w:val="none" w:sz="0" w:space="0" w:color="auto"/>
            <w:left w:val="none" w:sz="0" w:space="0" w:color="auto"/>
            <w:bottom w:val="none" w:sz="0" w:space="0" w:color="auto"/>
            <w:right w:val="none" w:sz="0" w:space="0" w:color="auto"/>
          </w:divBdr>
        </w:div>
      </w:divsChild>
    </w:div>
    <w:div w:id="1970553607">
      <w:bodyDiv w:val="1"/>
      <w:marLeft w:val="0"/>
      <w:marRight w:val="0"/>
      <w:marTop w:val="0"/>
      <w:marBottom w:val="0"/>
      <w:divBdr>
        <w:top w:val="none" w:sz="0" w:space="0" w:color="auto"/>
        <w:left w:val="none" w:sz="0" w:space="0" w:color="auto"/>
        <w:bottom w:val="none" w:sz="0" w:space="0" w:color="auto"/>
        <w:right w:val="none" w:sz="0" w:space="0" w:color="auto"/>
      </w:divBdr>
      <w:divsChild>
        <w:div w:id="1649548751">
          <w:marLeft w:val="0"/>
          <w:marRight w:val="0"/>
          <w:marTop w:val="0"/>
          <w:marBottom w:val="0"/>
          <w:divBdr>
            <w:top w:val="none" w:sz="0" w:space="0" w:color="auto"/>
            <w:left w:val="none" w:sz="0" w:space="0" w:color="auto"/>
            <w:bottom w:val="none" w:sz="0" w:space="0" w:color="auto"/>
            <w:right w:val="none" w:sz="0" w:space="0" w:color="auto"/>
          </w:divBdr>
        </w:div>
        <w:div w:id="713122176">
          <w:marLeft w:val="0"/>
          <w:marRight w:val="0"/>
          <w:marTop w:val="0"/>
          <w:marBottom w:val="0"/>
          <w:divBdr>
            <w:top w:val="none" w:sz="0" w:space="0" w:color="auto"/>
            <w:left w:val="none" w:sz="0" w:space="0" w:color="auto"/>
            <w:bottom w:val="none" w:sz="0" w:space="0" w:color="auto"/>
            <w:right w:val="none" w:sz="0" w:space="0" w:color="auto"/>
          </w:divBdr>
        </w:div>
        <w:div w:id="63188861">
          <w:marLeft w:val="0"/>
          <w:marRight w:val="0"/>
          <w:marTop w:val="0"/>
          <w:marBottom w:val="0"/>
          <w:divBdr>
            <w:top w:val="none" w:sz="0" w:space="0" w:color="auto"/>
            <w:left w:val="none" w:sz="0" w:space="0" w:color="auto"/>
            <w:bottom w:val="none" w:sz="0" w:space="0" w:color="auto"/>
            <w:right w:val="none" w:sz="0" w:space="0" w:color="auto"/>
          </w:divBdr>
        </w:div>
        <w:div w:id="1857647214">
          <w:marLeft w:val="0"/>
          <w:marRight w:val="0"/>
          <w:marTop w:val="0"/>
          <w:marBottom w:val="0"/>
          <w:divBdr>
            <w:top w:val="none" w:sz="0" w:space="0" w:color="auto"/>
            <w:left w:val="none" w:sz="0" w:space="0" w:color="auto"/>
            <w:bottom w:val="none" w:sz="0" w:space="0" w:color="auto"/>
            <w:right w:val="none" w:sz="0" w:space="0" w:color="auto"/>
          </w:divBdr>
        </w:div>
        <w:div w:id="589581538">
          <w:marLeft w:val="0"/>
          <w:marRight w:val="0"/>
          <w:marTop w:val="0"/>
          <w:marBottom w:val="0"/>
          <w:divBdr>
            <w:top w:val="none" w:sz="0" w:space="0" w:color="auto"/>
            <w:left w:val="none" w:sz="0" w:space="0" w:color="auto"/>
            <w:bottom w:val="none" w:sz="0" w:space="0" w:color="auto"/>
            <w:right w:val="none" w:sz="0" w:space="0" w:color="auto"/>
          </w:divBdr>
        </w:div>
        <w:div w:id="427846643">
          <w:marLeft w:val="0"/>
          <w:marRight w:val="0"/>
          <w:marTop w:val="0"/>
          <w:marBottom w:val="0"/>
          <w:divBdr>
            <w:top w:val="none" w:sz="0" w:space="0" w:color="auto"/>
            <w:left w:val="none" w:sz="0" w:space="0" w:color="auto"/>
            <w:bottom w:val="none" w:sz="0" w:space="0" w:color="auto"/>
            <w:right w:val="none" w:sz="0" w:space="0" w:color="auto"/>
          </w:divBdr>
        </w:div>
        <w:div w:id="2070760482">
          <w:marLeft w:val="0"/>
          <w:marRight w:val="0"/>
          <w:marTop w:val="0"/>
          <w:marBottom w:val="0"/>
          <w:divBdr>
            <w:top w:val="none" w:sz="0" w:space="0" w:color="auto"/>
            <w:left w:val="none" w:sz="0" w:space="0" w:color="auto"/>
            <w:bottom w:val="none" w:sz="0" w:space="0" w:color="auto"/>
            <w:right w:val="none" w:sz="0" w:space="0" w:color="auto"/>
          </w:divBdr>
        </w:div>
        <w:div w:id="1445463204">
          <w:marLeft w:val="0"/>
          <w:marRight w:val="0"/>
          <w:marTop w:val="0"/>
          <w:marBottom w:val="0"/>
          <w:divBdr>
            <w:top w:val="none" w:sz="0" w:space="0" w:color="auto"/>
            <w:left w:val="none" w:sz="0" w:space="0" w:color="auto"/>
            <w:bottom w:val="none" w:sz="0" w:space="0" w:color="auto"/>
            <w:right w:val="none" w:sz="0" w:space="0" w:color="auto"/>
          </w:divBdr>
        </w:div>
        <w:div w:id="156045620">
          <w:marLeft w:val="0"/>
          <w:marRight w:val="0"/>
          <w:marTop w:val="0"/>
          <w:marBottom w:val="0"/>
          <w:divBdr>
            <w:top w:val="none" w:sz="0" w:space="0" w:color="auto"/>
            <w:left w:val="none" w:sz="0" w:space="0" w:color="auto"/>
            <w:bottom w:val="none" w:sz="0" w:space="0" w:color="auto"/>
            <w:right w:val="none" w:sz="0" w:space="0" w:color="auto"/>
          </w:divBdr>
        </w:div>
        <w:div w:id="288048770">
          <w:marLeft w:val="0"/>
          <w:marRight w:val="0"/>
          <w:marTop w:val="0"/>
          <w:marBottom w:val="0"/>
          <w:divBdr>
            <w:top w:val="none" w:sz="0" w:space="0" w:color="auto"/>
            <w:left w:val="none" w:sz="0" w:space="0" w:color="auto"/>
            <w:bottom w:val="none" w:sz="0" w:space="0" w:color="auto"/>
            <w:right w:val="none" w:sz="0" w:space="0" w:color="auto"/>
          </w:divBdr>
        </w:div>
        <w:div w:id="160051190">
          <w:marLeft w:val="0"/>
          <w:marRight w:val="0"/>
          <w:marTop w:val="0"/>
          <w:marBottom w:val="0"/>
          <w:divBdr>
            <w:top w:val="none" w:sz="0" w:space="0" w:color="auto"/>
            <w:left w:val="none" w:sz="0" w:space="0" w:color="auto"/>
            <w:bottom w:val="none" w:sz="0" w:space="0" w:color="auto"/>
            <w:right w:val="none" w:sz="0" w:space="0" w:color="auto"/>
          </w:divBdr>
        </w:div>
      </w:divsChild>
    </w:div>
    <w:div w:id="1986201535">
      <w:bodyDiv w:val="1"/>
      <w:marLeft w:val="0"/>
      <w:marRight w:val="0"/>
      <w:marTop w:val="0"/>
      <w:marBottom w:val="0"/>
      <w:divBdr>
        <w:top w:val="none" w:sz="0" w:space="0" w:color="auto"/>
        <w:left w:val="none" w:sz="0" w:space="0" w:color="auto"/>
        <w:bottom w:val="none" w:sz="0" w:space="0" w:color="auto"/>
        <w:right w:val="none" w:sz="0" w:space="0" w:color="auto"/>
      </w:divBdr>
    </w:div>
    <w:div w:id="2033796826">
      <w:bodyDiv w:val="1"/>
      <w:marLeft w:val="0"/>
      <w:marRight w:val="0"/>
      <w:marTop w:val="0"/>
      <w:marBottom w:val="0"/>
      <w:divBdr>
        <w:top w:val="none" w:sz="0" w:space="0" w:color="auto"/>
        <w:left w:val="none" w:sz="0" w:space="0" w:color="auto"/>
        <w:bottom w:val="none" w:sz="0" w:space="0" w:color="auto"/>
        <w:right w:val="none" w:sz="0" w:space="0" w:color="auto"/>
      </w:divBdr>
      <w:divsChild>
        <w:div w:id="1180897766">
          <w:marLeft w:val="0"/>
          <w:marRight w:val="0"/>
          <w:marTop w:val="0"/>
          <w:marBottom w:val="0"/>
          <w:divBdr>
            <w:top w:val="none" w:sz="0" w:space="0" w:color="auto"/>
            <w:left w:val="none" w:sz="0" w:space="0" w:color="auto"/>
            <w:bottom w:val="none" w:sz="0" w:space="0" w:color="auto"/>
            <w:right w:val="none" w:sz="0" w:space="0" w:color="auto"/>
          </w:divBdr>
        </w:div>
        <w:div w:id="761292043">
          <w:marLeft w:val="0"/>
          <w:marRight w:val="0"/>
          <w:marTop w:val="0"/>
          <w:marBottom w:val="0"/>
          <w:divBdr>
            <w:top w:val="none" w:sz="0" w:space="0" w:color="auto"/>
            <w:left w:val="none" w:sz="0" w:space="0" w:color="auto"/>
            <w:bottom w:val="none" w:sz="0" w:space="0" w:color="auto"/>
            <w:right w:val="none" w:sz="0" w:space="0" w:color="auto"/>
          </w:divBdr>
        </w:div>
        <w:div w:id="134566230">
          <w:marLeft w:val="0"/>
          <w:marRight w:val="0"/>
          <w:marTop w:val="0"/>
          <w:marBottom w:val="0"/>
          <w:divBdr>
            <w:top w:val="none" w:sz="0" w:space="0" w:color="auto"/>
            <w:left w:val="none" w:sz="0" w:space="0" w:color="auto"/>
            <w:bottom w:val="none" w:sz="0" w:space="0" w:color="auto"/>
            <w:right w:val="none" w:sz="0" w:space="0" w:color="auto"/>
          </w:divBdr>
        </w:div>
      </w:divsChild>
    </w:div>
    <w:div w:id="2053799662">
      <w:bodyDiv w:val="1"/>
      <w:marLeft w:val="0"/>
      <w:marRight w:val="0"/>
      <w:marTop w:val="0"/>
      <w:marBottom w:val="0"/>
      <w:divBdr>
        <w:top w:val="none" w:sz="0" w:space="0" w:color="auto"/>
        <w:left w:val="none" w:sz="0" w:space="0" w:color="auto"/>
        <w:bottom w:val="none" w:sz="0" w:space="0" w:color="auto"/>
        <w:right w:val="none" w:sz="0" w:space="0" w:color="auto"/>
      </w:divBdr>
    </w:div>
    <w:div w:id="2054890697">
      <w:bodyDiv w:val="1"/>
      <w:marLeft w:val="0"/>
      <w:marRight w:val="0"/>
      <w:marTop w:val="0"/>
      <w:marBottom w:val="0"/>
      <w:divBdr>
        <w:top w:val="none" w:sz="0" w:space="0" w:color="auto"/>
        <w:left w:val="none" w:sz="0" w:space="0" w:color="auto"/>
        <w:bottom w:val="none" w:sz="0" w:space="0" w:color="auto"/>
        <w:right w:val="none" w:sz="0" w:space="0" w:color="auto"/>
      </w:divBdr>
      <w:divsChild>
        <w:div w:id="685449735">
          <w:marLeft w:val="0"/>
          <w:marRight w:val="0"/>
          <w:marTop w:val="0"/>
          <w:marBottom w:val="0"/>
          <w:divBdr>
            <w:top w:val="none" w:sz="0" w:space="0" w:color="auto"/>
            <w:left w:val="none" w:sz="0" w:space="0" w:color="auto"/>
            <w:bottom w:val="none" w:sz="0" w:space="0" w:color="auto"/>
            <w:right w:val="none" w:sz="0" w:space="0" w:color="auto"/>
          </w:divBdr>
        </w:div>
        <w:div w:id="1959868640">
          <w:marLeft w:val="0"/>
          <w:marRight w:val="0"/>
          <w:marTop w:val="0"/>
          <w:marBottom w:val="0"/>
          <w:divBdr>
            <w:top w:val="none" w:sz="0" w:space="0" w:color="auto"/>
            <w:left w:val="none" w:sz="0" w:space="0" w:color="auto"/>
            <w:bottom w:val="none" w:sz="0" w:space="0" w:color="auto"/>
            <w:right w:val="none" w:sz="0" w:space="0" w:color="auto"/>
          </w:divBdr>
        </w:div>
        <w:div w:id="185873919">
          <w:marLeft w:val="0"/>
          <w:marRight w:val="0"/>
          <w:marTop w:val="0"/>
          <w:marBottom w:val="0"/>
          <w:divBdr>
            <w:top w:val="none" w:sz="0" w:space="0" w:color="auto"/>
            <w:left w:val="none" w:sz="0" w:space="0" w:color="auto"/>
            <w:bottom w:val="none" w:sz="0" w:space="0" w:color="auto"/>
            <w:right w:val="none" w:sz="0" w:space="0" w:color="auto"/>
          </w:divBdr>
        </w:div>
        <w:div w:id="443814139">
          <w:marLeft w:val="0"/>
          <w:marRight w:val="0"/>
          <w:marTop w:val="0"/>
          <w:marBottom w:val="0"/>
          <w:divBdr>
            <w:top w:val="none" w:sz="0" w:space="0" w:color="auto"/>
            <w:left w:val="none" w:sz="0" w:space="0" w:color="auto"/>
            <w:bottom w:val="none" w:sz="0" w:space="0" w:color="auto"/>
            <w:right w:val="none" w:sz="0" w:space="0" w:color="auto"/>
          </w:divBdr>
        </w:div>
        <w:div w:id="18436598">
          <w:marLeft w:val="0"/>
          <w:marRight w:val="0"/>
          <w:marTop w:val="0"/>
          <w:marBottom w:val="0"/>
          <w:divBdr>
            <w:top w:val="none" w:sz="0" w:space="0" w:color="auto"/>
            <w:left w:val="none" w:sz="0" w:space="0" w:color="auto"/>
            <w:bottom w:val="none" w:sz="0" w:space="0" w:color="auto"/>
            <w:right w:val="none" w:sz="0" w:space="0" w:color="auto"/>
          </w:divBdr>
        </w:div>
      </w:divsChild>
    </w:div>
    <w:div w:id="2060667439">
      <w:bodyDiv w:val="1"/>
      <w:marLeft w:val="0"/>
      <w:marRight w:val="0"/>
      <w:marTop w:val="0"/>
      <w:marBottom w:val="0"/>
      <w:divBdr>
        <w:top w:val="none" w:sz="0" w:space="0" w:color="auto"/>
        <w:left w:val="none" w:sz="0" w:space="0" w:color="auto"/>
        <w:bottom w:val="none" w:sz="0" w:space="0" w:color="auto"/>
        <w:right w:val="none" w:sz="0" w:space="0" w:color="auto"/>
      </w:divBdr>
      <w:divsChild>
        <w:div w:id="1440486384">
          <w:marLeft w:val="0"/>
          <w:marRight w:val="0"/>
          <w:marTop w:val="0"/>
          <w:marBottom w:val="0"/>
          <w:divBdr>
            <w:top w:val="none" w:sz="0" w:space="0" w:color="auto"/>
            <w:left w:val="none" w:sz="0" w:space="0" w:color="auto"/>
            <w:bottom w:val="none" w:sz="0" w:space="0" w:color="auto"/>
            <w:right w:val="none" w:sz="0" w:space="0" w:color="auto"/>
          </w:divBdr>
        </w:div>
        <w:div w:id="1662852100">
          <w:marLeft w:val="0"/>
          <w:marRight w:val="0"/>
          <w:marTop w:val="0"/>
          <w:marBottom w:val="0"/>
          <w:divBdr>
            <w:top w:val="none" w:sz="0" w:space="0" w:color="auto"/>
            <w:left w:val="none" w:sz="0" w:space="0" w:color="auto"/>
            <w:bottom w:val="none" w:sz="0" w:space="0" w:color="auto"/>
            <w:right w:val="none" w:sz="0" w:space="0" w:color="auto"/>
          </w:divBdr>
        </w:div>
        <w:div w:id="1330402275">
          <w:marLeft w:val="0"/>
          <w:marRight w:val="0"/>
          <w:marTop w:val="0"/>
          <w:marBottom w:val="0"/>
          <w:divBdr>
            <w:top w:val="none" w:sz="0" w:space="0" w:color="auto"/>
            <w:left w:val="none" w:sz="0" w:space="0" w:color="auto"/>
            <w:bottom w:val="none" w:sz="0" w:space="0" w:color="auto"/>
            <w:right w:val="none" w:sz="0" w:space="0" w:color="auto"/>
          </w:divBdr>
        </w:div>
        <w:div w:id="1155537553">
          <w:marLeft w:val="0"/>
          <w:marRight w:val="0"/>
          <w:marTop w:val="0"/>
          <w:marBottom w:val="0"/>
          <w:divBdr>
            <w:top w:val="none" w:sz="0" w:space="0" w:color="auto"/>
            <w:left w:val="none" w:sz="0" w:space="0" w:color="auto"/>
            <w:bottom w:val="none" w:sz="0" w:space="0" w:color="auto"/>
            <w:right w:val="none" w:sz="0" w:space="0" w:color="auto"/>
          </w:divBdr>
        </w:div>
        <w:div w:id="907417090">
          <w:marLeft w:val="0"/>
          <w:marRight w:val="0"/>
          <w:marTop w:val="0"/>
          <w:marBottom w:val="0"/>
          <w:divBdr>
            <w:top w:val="none" w:sz="0" w:space="0" w:color="auto"/>
            <w:left w:val="none" w:sz="0" w:space="0" w:color="auto"/>
            <w:bottom w:val="none" w:sz="0" w:space="0" w:color="auto"/>
            <w:right w:val="none" w:sz="0" w:space="0" w:color="auto"/>
          </w:divBdr>
        </w:div>
        <w:div w:id="1591311518">
          <w:marLeft w:val="0"/>
          <w:marRight w:val="0"/>
          <w:marTop w:val="0"/>
          <w:marBottom w:val="0"/>
          <w:divBdr>
            <w:top w:val="none" w:sz="0" w:space="0" w:color="auto"/>
            <w:left w:val="none" w:sz="0" w:space="0" w:color="auto"/>
            <w:bottom w:val="none" w:sz="0" w:space="0" w:color="auto"/>
            <w:right w:val="none" w:sz="0" w:space="0" w:color="auto"/>
          </w:divBdr>
        </w:div>
        <w:div w:id="1539733504">
          <w:marLeft w:val="0"/>
          <w:marRight w:val="0"/>
          <w:marTop w:val="0"/>
          <w:marBottom w:val="0"/>
          <w:divBdr>
            <w:top w:val="none" w:sz="0" w:space="0" w:color="auto"/>
            <w:left w:val="none" w:sz="0" w:space="0" w:color="auto"/>
            <w:bottom w:val="none" w:sz="0" w:space="0" w:color="auto"/>
            <w:right w:val="none" w:sz="0" w:space="0" w:color="auto"/>
          </w:divBdr>
        </w:div>
        <w:div w:id="1317294909">
          <w:marLeft w:val="0"/>
          <w:marRight w:val="0"/>
          <w:marTop w:val="0"/>
          <w:marBottom w:val="0"/>
          <w:divBdr>
            <w:top w:val="none" w:sz="0" w:space="0" w:color="auto"/>
            <w:left w:val="none" w:sz="0" w:space="0" w:color="auto"/>
            <w:bottom w:val="none" w:sz="0" w:space="0" w:color="auto"/>
            <w:right w:val="none" w:sz="0" w:space="0" w:color="auto"/>
          </w:divBdr>
        </w:div>
        <w:div w:id="2091268593">
          <w:marLeft w:val="0"/>
          <w:marRight w:val="0"/>
          <w:marTop w:val="0"/>
          <w:marBottom w:val="0"/>
          <w:divBdr>
            <w:top w:val="none" w:sz="0" w:space="0" w:color="auto"/>
            <w:left w:val="none" w:sz="0" w:space="0" w:color="auto"/>
            <w:bottom w:val="none" w:sz="0" w:space="0" w:color="auto"/>
            <w:right w:val="none" w:sz="0" w:space="0" w:color="auto"/>
          </w:divBdr>
        </w:div>
      </w:divsChild>
    </w:div>
    <w:div w:id="2062290762">
      <w:bodyDiv w:val="1"/>
      <w:marLeft w:val="0"/>
      <w:marRight w:val="0"/>
      <w:marTop w:val="0"/>
      <w:marBottom w:val="0"/>
      <w:divBdr>
        <w:top w:val="none" w:sz="0" w:space="0" w:color="auto"/>
        <w:left w:val="none" w:sz="0" w:space="0" w:color="auto"/>
        <w:bottom w:val="none" w:sz="0" w:space="0" w:color="auto"/>
        <w:right w:val="none" w:sz="0" w:space="0" w:color="auto"/>
      </w:divBdr>
      <w:divsChild>
        <w:div w:id="1581285133">
          <w:marLeft w:val="0"/>
          <w:marRight w:val="0"/>
          <w:marTop w:val="0"/>
          <w:marBottom w:val="0"/>
          <w:divBdr>
            <w:top w:val="none" w:sz="0" w:space="0" w:color="auto"/>
            <w:left w:val="none" w:sz="0" w:space="0" w:color="auto"/>
            <w:bottom w:val="none" w:sz="0" w:space="0" w:color="auto"/>
            <w:right w:val="none" w:sz="0" w:space="0" w:color="auto"/>
          </w:divBdr>
        </w:div>
        <w:div w:id="1152866058">
          <w:marLeft w:val="0"/>
          <w:marRight w:val="0"/>
          <w:marTop w:val="0"/>
          <w:marBottom w:val="0"/>
          <w:divBdr>
            <w:top w:val="none" w:sz="0" w:space="0" w:color="auto"/>
            <w:left w:val="none" w:sz="0" w:space="0" w:color="auto"/>
            <w:bottom w:val="none" w:sz="0" w:space="0" w:color="auto"/>
            <w:right w:val="none" w:sz="0" w:space="0" w:color="auto"/>
          </w:divBdr>
        </w:div>
        <w:div w:id="1009680381">
          <w:marLeft w:val="0"/>
          <w:marRight w:val="0"/>
          <w:marTop w:val="0"/>
          <w:marBottom w:val="0"/>
          <w:divBdr>
            <w:top w:val="none" w:sz="0" w:space="0" w:color="auto"/>
            <w:left w:val="none" w:sz="0" w:space="0" w:color="auto"/>
            <w:bottom w:val="none" w:sz="0" w:space="0" w:color="auto"/>
            <w:right w:val="none" w:sz="0" w:space="0" w:color="auto"/>
          </w:divBdr>
        </w:div>
        <w:div w:id="707686402">
          <w:marLeft w:val="0"/>
          <w:marRight w:val="0"/>
          <w:marTop w:val="0"/>
          <w:marBottom w:val="0"/>
          <w:divBdr>
            <w:top w:val="none" w:sz="0" w:space="0" w:color="auto"/>
            <w:left w:val="none" w:sz="0" w:space="0" w:color="auto"/>
            <w:bottom w:val="none" w:sz="0" w:space="0" w:color="auto"/>
            <w:right w:val="none" w:sz="0" w:space="0" w:color="auto"/>
          </w:divBdr>
        </w:div>
        <w:div w:id="425882149">
          <w:marLeft w:val="0"/>
          <w:marRight w:val="0"/>
          <w:marTop w:val="0"/>
          <w:marBottom w:val="0"/>
          <w:divBdr>
            <w:top w:val="none" w:sz="0" w:space="0" w:color="auto"/>
            <w:left w:val="none" w:sz="0" w:space="0" w:color="auto"/>
            <w:bottom w:val="none" w:sz="0" w:space="0" w:color="auto"/>
            <w:right w:val="none" w:sz="0" w:space="0" w:color="auto"/>
          </w:divBdr>
        </w:div>
        <w:div w:id="291130597">
          <w:marLeft w:val="0"/>
          <w:marRight w:val="0"/>
          <w:marTop w:val="0"/>
          <w:marBottom w:val="0"/>
          <w:divBdr>
            <w:top w:val="none" w:sz="0" w:space="0" w:color="auto"/>
            <w:left w:val="none" w:sz="0" w:space="0" w:color="auto"/>
            <w:bottom w:val="none" w:sz="0" w:space="0" w:color="auto"/>
            <w:right w:val="none" w:sz="0" w:space="0" w:color="auto"/>
          </w:divBdr>
        </w:div>
      </w:divsChild>
    </w:div>
    <w:div w:id="2067340197">
      <w:bodyDiv w:val="1"/>
      <w:marLeft w:val="0"/>
      <w:marRight w:val="0"/>
      <w:marTop w:val="0"/>
      <w:marBottom w:val="0"/>
      <w:divBdr>
        <w:top w:val="none" w:sz="0" w:space="0" w:color="auto"/>
        <w:left w:val="none" w:sz="0" w:space="0" w:color="auto"/>
        <w:bottom w:val="none" w:sz="0" w:space="0" w:color="auto"/>
        <w:right w:val="none" w:sz="0" w:space="0" w:color="auto"/>
      </w:divBdr>
      <w:divsChild>
        <w:div w:id="1521967962">
          <w:marLeft w:val="0"/>
          <w:marRight w:val="0"/>
          <w:marTop w:val="0"/>
          <w:marBottom w:val="0"/>
          <w:divBdr>
            <w:top w:val="none" w:sz="0" w:space="0" w:color="auto"/>
            <w:left w:val="none" w:sz="0" w:space="0" w:color="auto"/>
            <w:bottom w:val="none" w:sz="0" w:space="0" w:color="auto"/>
            <w:right w:val="none" w:sz="0" w:space="0" w:color="auto"/>
          </w:divBdr>
        </w:div>
        <w:div w:id="254244865">
          <w:marLeft w:val="0"/>
          <w:marRight w:val="0"/>
          <w:marTop w:val="0"/>
          <w:marBottom w:val="0"/>
          <w:divBdr>
            <w:top w:val="none" w:sz="0" w:space="0" w:color="auto"/>
            <w:left w:val="none" w:sz="0" w:space="0" w:color="auto"/>
            <w:bottom w:val="none" w:sz="0" w:space="0" w:color="auto"/>
            <w:right w:val="none" w:sz="0" w:space="0" w:color="auto"/>
          </w:divBdr>
        </w:div>
        <w:div w:id="2020741318">
          <w:marLeft w:val="0"/>
          <w:marRight w:val="0"/>
          <w:marTop w:val="0"/>
          <w:marBottom w:val="0"/>
          <w:divBdr>
            <w:top w:val="none" w:sz="0" w:space="0" w:color="auto"/>
            <w:left w:val="none" w:sz="0" w:space="0" w:color="auto"/>
            <w:bottom w:val="none" w:sz="0" w:space="0" w:color="auto"/>
            <w:right w:val="none" w:sz="0" w:space="0" w:color="auto"/>
          </w:divBdr>
        </w:div>
        <w:div w:id="2084526046">
          <w:marLeft w:val="0"/>
          <w:marRight w:val="0"/>
          <w:marTop w:val="0"/>
          <w:marBottom w:val="0"/>
          <w:divBdr>
            <w:top w:val="none" w:sz="0" w:space="0" w:color="auto"/>
            <w:left w:val="none" w:sz="0" w:space="0" w:color="auto"/>
            <w:bottom w:val="none" w:sz="0" w:space="0" w:color="auto"/>
            <w:right w:val="none" w:sz="0" w:space="0" w:color="auto"/>
          </w:divBdr>
        </w:div>
        <w:div w:id="1864514281">
          <w:marLeft w:val="0"/>
          <w:marRight w:val="0"/>
          <w:marTop w:val="0"/>
          <w:marBottom w:val="0"/>
          <w:divBdr>
            <w:top w:val="none" w:sz="0" w:space="0" w:color="auto"/>
            <w:left w:val="none" w:sz="0" w:space="0" w:color="auto"/>
            <w:bottom w:val="none" w:sz="0" w:space="0" w:color="auto"/>
            <w:right w:val="none" w:sz="0" w:space="0" w:color="auto"/>
          </w:divBdr>
        </w:div>
        <w:div w:id="347755379">
          <w:marLeft w:val="0"/>
          <w:marRight w:val="0"/>
          <w:marTop w:val="0"/>
          <w:marBottom w:val="0"/>
          <w:divBdr>
            <w:top w:val="none" w:sz="0" w:space="0" w:color="auto"/>
            <w:left w:val="none" w:sz="0" w:space="0" w:color="auto"/>
            <w:bottom w:val="none" w:sz="0" w:space="0" w:color="auto"/>
            <w:right w:val="none" w:sz="0" w:space="0" w:color="auto"/>
          </w:divBdr>
        </w:div>
      </w:divsChild>
    </w:div>
    <w:div w:id="2081321946">
      <w:bodyDiv w:val="1"/>
      <w:marLeft w:val="0"/>
      <w:marRight w:val="0"/>
      <w:marTop w:val="0"/>
      <w:marBottom w:val="0"/>
      <w:divBdr>
        <w:top w:val="none" w:sz="0" w:space="0" w:color="auto"/>
        <w:left w:val="none" w:sz="0" w:space="0" w:color="auto"/>
        <w:bottom w:val="none" w:sz="0" w:space="0" w:color="auto"/>
        <w:right w:val="none" w:sz="0" w:space="0" w:color="auto"/>
      </w:divBdr>
      <w:divsChild>
        <w:div w:id="255988566">
          <w:marLeft w:val="0"/>
          <w:marRight w:val="0"/>
          <w:marTop w:val="0"/>
          <w:marBottom w:val="0"/>
          <w:divBdr>
            <w:top w:val="none" w:sz="0" w:space="0" w:color="auto"/>
            <w:left w:val="none" w:sz="0" w:space="0" w:color="auto"/>
            <w:bottom w:val="none" w:sz="0" w:space="0" w:color="auto"/>
            <w:right w:val="none" w:sz="0" w:space="0" w:color="auto"/>
          </w:divBdr>
        </w:div>
        <w:div w:id="1291209202">
          <w:marLeft w:val="0"/>
          <w:marRight w:val="0"/>
          <w:marTop w:val="0"/>
          <w:marBottom w:val="0"/>
          <w:divBdr>
            <w:top w:val="none" w:sz="0" w:space="0" w:color="auto"/>
            <w:left w:val="none" w:sz="0" w:space="0" w:color="auto"/>
            <w:bottom w:val="none" w:sz="0" w:space="0" w:color="auto"/>
            <w:right w:val="none" w:sz="0" w:space="0" w:color="auto"/>
          </w:divBdr>
        </w:div>
        <w:div w:id="1872961359">
          <w:marLeft w:val="0"/>
          <w:marRight w:val="0"/>
          <w:marTop w:val="0"/>
          <w:marBottom w:val="0"/>
          <w:divBdr>
            <w:top w:val="none" w:sz="0" w:space="0" w:color="auto"/>
            <w:left w:val="none" w:sz="0" w:space="0" w:color="auto"/>
            <w:bottom w:val="none" w:sz="0" w:space="0" w:color="auto"/>
            <w:right w:val="none" w:sz="0" w:space="0" w:color="auto"/>
          </w:divBdr>
        </w:div>
        <w:div w:id="822307638">
          <w:marLeft w:val="0"/>
          <w:marRight w:val="0"/>
          <w:marTop w:val="0"/>
          <w:marBottom w:val="0"/>
          <w:divBdr>
            <w:top w:val="none" w:sz="0" w:space="0" w:color="auto"/>
            <w:left w:val="none" w:sz="0" w:space="0" w:color="auto"/>
            <w:bottom w:val="none" w:sz="0" w:space="0" w:color="auto"/>
            <w:right w:val="none" w:sz="0" w:space="0" w:color="auto"/>
          </w:divBdr>
        </w:div>
        <w:div w:id="243227434">
          <w:marLeft w:val="0"/>
          <w:marRight w:val="0"/>
          <w:marTop w:val="0"/>
          <w:marBottom w:val="0"/>
          <w:divBdr>
            <w:top w:val="none" w:sz="0" w:space="0" w:color="auto"/>
            <w:left w:val="none" w:sz="0" w:space="0" w:color="auto"/>
            <w:bottom w:val="none" w:sz="0" w:space="0" w:color="auto"/>
            <w:right w:val="none" w:sz="0" w:space="0" w:color="auto"/>
          </w:divBdr>
        </w:div>
        <w:div w:id="202058683">
          <w:marLeft w:val="0"/>
          <w:marRight w:val="0"/>
          <w:marTop w:val="0"/>
          <w:marBottom w:val="0"/>
          <w:divBdr>
            <w:top w:val="none" w:sz="0" w:space="0" w:color="auto"/>
            <w:left w:val="none" w:sz="0" w:space="0" w:color="auto"/>
            <w:bottom w:val="none" w:sz="0" w:space="0" w:color="auto"/>
            <w:right w:val="none" w:sz="0" w:space="0" w:color="auto"/>
          </w:divBdr>
        </w:div>
        <w:div w:id="934752581">
          <w:marLeft w:val="0"/>
          <w:marRight w:val="0"/>
          <w:marTop w:val="0"/>
          <w:marBottom w:val="0"/>
          <w:divBdr>
            <w:top w:val="none" w:sz="0" w:space="0" w:color="auto"/>
            <w:left w:val="none" w:sz="0" w:space="0" w:color="auto"/>
            <w:bottom w:val="none" w:sz="0" w:space="0" w:color="auto"/>
            <w:right w:val="none" w:sz="0" w:space="0" w:color="auto"/>
          </w:divBdr>
        </w:div>
        <w:div w:id="1262958746">
          <w:marLeft w:val="0"/>
          <w:marRight w:val="0"/>
          <w:marTop w:val="0"/>
          <w:marBottom w:val="0"/>
          <w:divBdr>
            <w:top w:val="none" w:sz="0" w:space="0" w:color="auto"/>
            <w:left w:val="none" w:sz="0" w:space="0" w:color="auto"/>
            <w:bottom w:val="none" w:sz="0" w:space="0" w:color="auto"/>
            <w:right w:val="none" w:sz="0" w:space="0" w:color="auto"/>
          </w:divBdr>
        </w:div>
        <w:div w:id="1988631290">
          <w:marLeft w:val="0"/>
          <w:marRight w:val="0"/>
          <w:marTop w:val="0"/>
          <w:marBottom w:val="0"/>
          <w:divBdr>
            <w:top w:val="none" w:sz="0" w:space="0" w:color="auto"/>
            <w:left w:val="none" w:sz="0" w:space="0" w:color="auto"/>
            <w:bottom w:val="none" w:sz="0" w:space="0" w:color="auto"/>
            <w:right w:val="none" w:sz="0" w:space="0" w:color="auto"/>
          </w:divBdr>
        </w:div>
        <w:div w:id="164903766">
          <w:marLeft w:val="0"/>
          <w:marRight w:val="0"/>
          <w:marTop w:val="0"/>
          <w:marBottom w:val="0"/>
          <w:divBdr>
            <w:top w:val="none" w:sz="0" w:space="0" w:color="auto"/>
            <w:left w:val="none" w:sz="0" w:space="0" w:color="auto"/>
            <w:bottom w:val="none" w:sz="0" w:space="0" w:color="auto"/>
            <w:right w:val="none" w:sz="0" w:space="0" w:color="auto"/>
          </w:divBdr>
        </w:div>
        <w:div w:id="1491290040">
          <w:marLeft w:val="0"/>
          <w:marRight w:val="0"/>
          <w:marTop w:val="0"/>
          <w:marBottom w:val="0"/>
          <w:divBdr>
            <w:top w:val="none" w:sz="0" w:space="0" w:color="auto"/>
            <w:left w:val="none" w:sz="0" w:space="0" w:color="auto"/>
            <w:bottom w:val="none" w:sz="0" w:space="0" w:color="auto"/>
            <w:right w:val="none" w:sz="0" w:space="0" w:color="auto"/>
          </w:divBdr>
        </w:div>
        <w:div w:id="1895464392">
          <w:marLeft w:val="0"/>
          <w:marRight w:val="0"/>
          <w:marTop w:val="0"/>
          <w:marBottom w:val="0"/>
          <w:divBdr>
            <w:top w:val="none" w:sz="0" w:space="0" w:color="auto"/>
            <w:left w:val="none" w:sz="0" w:space="0" w:color="auto"/>
            <w:bottom w:val="none" w:sz="0" w:space="0" w:color="auto"/>
            <w:right w:val="none" w:sz="0" w:space="0" w:color="auto"/>
          </w:divBdr>
        </w:div>
        <w:div w:id="2098625391">
          <w:marLeft w:val="0"/>
          <w:marRight w:val="0"/>
          <w:marTop w:val="0"/>
          <w:marBottom w:val="0"/>
          <w:divBdr>
            <w:top w:val="none" w:sz="0" w:space="0" w:color="auto"/>
            <w:left w:val="none" w:sz="0" w:space="0" w:color="auto"/>
            <w:bottom w:val="none" w:sz="0" w:space="0" w:color="auto"/>
            <w:right w:val="none" w:sz="0" w:space="0" w:color="auto"/>
          </w:divBdr>
        </w:div>
        <w:div w:id="1972246323">
          <w:marLeft w:val="0"/>
          <w:marRight w:val="0"/>
          <w:marTop w:val="0"/>
          <w:marBottom w:val="0"/>
          <w:divBdr>
            <w:top w:val="none" w:sz="0" w:space="0" w:color="auto"/>
            <w:left w:val="none" w:sz="0" w:space="0" w:color="auto"/>
            <w:bottom w:val="none" w:sz="0" w:space="0" w:color="auto"/>
            <w:right w:val="none" w:sz="0" w:space="0" w:color="auto"/>
          </w:divBdr>
        </w:div>
      </w:divsChild>
    </w:div>
    <w:div w:id="2114856060">
      <w:bodyDiv w:val="1"/>
      <w:marLeft w:val="0"/>
      <w:marRight w:val="0"/>
      <w:marTop w:val="0"/>
      <w:marBottom w:val="0"/>
      <w:divBdr>
        <w:top w:val="none" w:sz="0" w:space="0" w:color="auto"/>
        <w:left w:val="none" w:sz="0" w:space="0" w:color="auto"/>
        <w:bottom w:val="none" w:sz="0" w:space="0" w:color="auto"/>
        <w:right w:val="none" w:sz="0" w:space="0" w:color="auto"/>
      </w:divBdr>
      <w:divsChild>
        <w:div w:id="1390610311">
          <w:marLeft w:val="0"/>
          <w:marRight w:val="0"/>
          <w:marTop w:val="0"/>
          <w:marBottom w:val="0"/>
          <w:divBdr>
            <w:top w:val="none" w:sz="0" w:space="0" w:color="auto"/>
            <w:left w:val="none" w:sz="0" w:space="0" w:color="auto"/>
            <w:bottom w:val="none" w:sz="0" w:space="0" w:color="auto"/>
            <w:right w:val="none" w:sz="0" w:space="0" w:color="auto"/>
          </w:divBdr>
        </w:div>
        <w:div w:id="1089617930">
          <w:marLeft w:val="0"/>
          <w:marRight w:val="0"/>
          <w:marTop w:val="0"/>
          <w:marBottom w:val="0"/>
          <w:divBdr>
            <w:top w:val="none" w:sz="0" w:space="0" w:color="auto"/>
            <w:left w:val="none" w:sz="0" w:space="0" w:color="auto"/>
            <w:bottom w:val="none" w:sz="0" w:space="0" w:color="auto"/>
            <w:right w:val="none" w:sz="0" w:space="0" w:color="auto"/>
          </w:divBdr>
        </w:div>
        <w:div w:id="1403140831">
          <w:marLeft w:val="0"/>
          <w:marRight w:val="0"/>
          <w:marTop w:val="0"/>
          <w:marBottom w:val="0"/>
          <w:divBdr>
            <w:top w:val="none" w:sz="0" w:space="0" w:color="auto"/>
            <w:left w:val="none" w:sz="0" w:space="0" w:color="auto"/>
            <w:bottom w:val="none" w:sz="0" w:space="0" w:color="auto"/>
            <w:right w:val="none" w:sz="0" w:space="0" w:color="auto"/>
          </w:divBdr>
        </w:div>
        <w:div w:id="587924482">
          <w:marLeft w:val="0"/>
          <w:marRight w:val="0"/>
          <w:marTop w:val="0"/>
          <w:marBottom w:val="0"/>
          <w:divBdr>
            <w:top w:val="none" w:sz="0" w:space="0" w:color="auto"/>
            <w:left w:val="none" w:sz="0" w:space="0" w:color="auto"/>
            <w:bottom w:val="none" w:sz="0" w:space="0" w:color="auto"/>
            <w:right w:val="none" w:sz="0" w:space="0" w:color="auto"/>
          </w:divBdr>
        </w:div>
        <w:div w:id="1251354628">
          <w:marLeft w:val="0"/>
          <w:marRight w:val="0"/>
          <w:marTop w:val="0"/>
          <w:marBottom w:val="0"/>
          <w:divBdr>
            <w:top w:val="none" w:sz="0" w:space="0" w:color="auto"/>
            <w:left w:val="none" w:sz="0" w:space="0" w:color="auto"/>
            <w:bottom w:val="none" w:sz="0" w:space="0" w:color="auto"/>
            <w:right w:val="none" w:sz="0" w:space="0" w:color="auto"/>
          </w:divBdr>
        </w:div>
        <w:div w:id="717364234">
          <w:marLeft w:val="0"/>
          <w:marRight w:val="0"/>
          <w:marTop w:val="0"/>
          <w:marBottom w:val="0"/>
          <w:divBdr>
            <w:top w:val="none" w:sz="0" w:space="0" w:color="auto"/>
            <w:left w:val="none" w:sz="0" w:space="0" w:color="auto"/>
            <w:bottom w:val="none" w:sz="0" w:space="0" w:color="auto"/>
            <w:right w:val="none" w:sz="0" w:space="0" w:color="auto"/>
          </w:divBdr>
        </w:div>
        <w:div w:id="900752313">
          <w:marLeft w:val="0"/>
          <w:marRight w:val="0"/>
          <w:marTop w:val="0"/>
          <w:marBottom w:val="0"/>
          <w:divBdr>
            <w:top w:val="none" w:sz="0" w:space="0" w:color="auto"/>
            <w:left w:val="none" w:sz="0" w:space="0" w:color="auto"/>
            <w:bottom w:val="none" w:sz="0" w:space="0" w:color="auto"/>
            <w:right w:val="none" w:sz="0" w:space="0" w:color="auto"/>
          </w:divBdr>
        </w:div>
        <w:div w:id="1346781917">
          <w:marLeft w:val="0"/>
          <w:marRight w:val="0"/>
          <w:marTop w:val="0"/>
          <w:marBottom w:val="0"/>
          <w:divBdr>
            <w:top w:val="none" w:sz="0" w:space="0" w:color="auto"/>
            <w:left w:val="none" w:sz="0" w:space="0" w:color="auto"/>
            <w:bottom w:val="none" w:sz="0" w:space="0" w:color="auto"/>
            <w:right w:val="none" w:sz="0" w:space="0" w:color="auto"/>
          </w:divBdr>
        </w:div>
        <w:div w:id="1181627701">
          <w:marLeft w:val="0"/>
          <w:marRight w:val="0"/>
          <w:marTop w:val="0"/>
          <w:marBottom w:val="0"/>
          <w:divBdr>
            <w:top w:val="none" w:sz="0" w:space="0" w:color="auto"/>
            <w:left w:val="none" w:sz="0" w:space="0" w:color="auto"/>
            <w:bottom w:val="none" w:sz="0" w:space="0" w:color="auto"/>
            <w:right w:val="none" w:sz="0" w:space="0" w:color="auto"/>
          </w:divBdr>
        </w:div>
        <w:div w:id="1154955412">
          <w:marLeft w:val="0"/>
          <w:marRight w:val="0"/>
          <w:marTop w:val="0"/>
          <w:marBottom w:val="0"/>
          <w:divBdr>
            <w:top w:val="none" w:sz="0" w:space="0" w:color="auto"/>
            <w:left w:val="none" w:sz="0" w:space="0" w:color="auto"/>
            <w:bottom w:val="none" w:sz="0" w:space="0" w:color="auto"/>
            <w:right w:val="none" w:sz="0" w:space="0" w:color="auto"/>
          </w:divBdr>
        </w:div>
        <w:div w:id="789399867">
          <w:marLeft w:val="0"/>
          <w:marRight w:val="0"/>
          <w:marTop w:val="0"/>
          <w:marBottom w:val="0"/>
          <w:divBdr>
            <w:top w:val="none" w:sz="0" w:space="0" w:color="auto"/>
            <w:left w:val="none" w:sz="0" w:space="0" w:color="auto"/>
            <w:bottom w:val="none" w:sz="0" w:space="0" w:color="auto"/>
            <w:right w:val="none" w:sz="0" w:space="0" w:color="auto"/>
          </w:divBdr>
        </w:div>
        <w:div w:id="1853833186">
          <w:marLeft w:val="0"/>
          <w:marRight w:val="0"/>
          <w:marTop w:val="0"/>
          <w:marBottom w:val="0"/>
          <w:divBdr>
            <w:top w:val="none" w:sz="0" w:space="0" w:color="auto"/>
            <w:left w:val="none" w:sz="0" w:space="0" w:color="auto"/>
            <w:bottom w:val="none" w:sz="0" w:space="0" w:color="auto"/>
            <w:right w:val="none" w:sz="0" w:space="0" w:color="auto"/>
          </w:divBdr>
        </w:div>
        <w:div w:id="1312521820">
          <w:marLeft w:val="0"/>
          <w:marRight w:val="0"/>
          <w:marTop w:val="0"/>
          <w:marBottom w:val="0"/>
          <w:divBdr>
            <w:top w:val="none" w:sz="0" w:space="0" w:color="auto"/>
            <w:left w:val="none" w:sz="0" w:space="0" w:color="auto"/>
            <w:bottom w:val="none" w:sz="0" w:space="0" w:color="auto"/>
            <w:right w:val="none" w:sz="0" w:space="0" w:color="auto"/>
          </w:divBdr>
        </w:div>
        <w:div w:id="1121998064">
          <w:marLeft w:val="0"/>
          <w:marRight w:val="0"/>
          <w:marTop w:val="0"/>
          <w:marBottom w:val="0"/>
          <w:divBdr>
            <w:top w:val="none" w:sz="0" w:space="0" w:color="auto"/>
            <w:left w:val="none" w:sz="0" w:space="0" w:color="auto"/>
            <w:bottom w:val="none" w:sz="0" w:space="0" w:color="auto"/>
            <w:right w:val="none" w:sz="0" w:space="0" w:color="auto"/>
          </w:divBdr>
        </w:div>
        <w:div w:id="358818876">
          <w:marLeft w:val="0"/>
          <w:marRight w:val="0"/>
          <w:marTop w:val="0"/>
          <w:marBottom w:val="0"/>
          <w:divBdr>
            <w:top w:val="none" w:sz="0" w:space="0" w:color="auto"/>
            <w:left w:val="none" w:sz="0" w:space="0" w:color="auto"/>
            <w:bottom w:val="none" w:sz="0" w:space="0" w:color="auto"/>
            <w:right w:val="none" w:sz="0" w:space="0" w:color="auto"/>
          </w:divBdr>
        </w:div>
        <w:div w:id="710688937">
          <w:marLeft w:val="0"/>
          <w:marRight w:val="0"/>
          <w:marTop w:val="0"/>
          <w:marBottom w:val="0"/>
          <w:divBdr>
            <w:top w:val="none" w:sz="0" w:space="0" w:color="auto"/>
            <w:left w:val="none" w:sz="0" w:space="0" w:color="auto"/>
            <w:bottom w:val="none" w:sz="0" w:space="0" w:color="auto"/>
            <w:right w:val="none" w:sz="0" w:space="0" w:color="auto"/>
          </w:divBdr>
        </w:div>
        <w:div w:id="469447228">
          <w:marLeft w:val="0"/>
          <w:marRight w:val="0"/>
          <w:marTop w:val="0"/>
          <w:marBottom w:val="0"/>
          <w:divBdr>
            <w:top w:val="none" w:sz="0" w:space="0" w:color="auto"/>
            <w:left w:val="none" w:sz="0" w:space="0" w:color="auto"/>
            <w:bottom w:val="none" w:sz="0" w:space="0" w:color="auto"/>
            <w:right w:val="none" w:sz="0" w:space="0" w:color="auto"/>
          </w:divBdr>
        </w:div>
        <w:div w:id="1014109488">
          <w:marLeft w:val="0"/>
          <w:marRight w:val="0"/>
          <w:marTop w:val="0"/>
          <w:marBottom w:val="0"/>
          <w:divBdr>
            <w:top w:val="none" w:sz="0" w:space="0" w:color="auto"/>
            <w:left w:val="none" w:sz="0" w:space="0" w:color="auto"/>
            <w:bottom w:val="none" w:sz="0" w:space="0" w:color="auto"/>
            <w:right w:val="none" w:sz="0" w:space="0" w:color="auto"/>
          </w:divBdr>
        </w:div>
        <w:div w:id="1535650797">
          <w:marLeft w:val="0"/>
          <w:marRight w:val="0"/>
          <w:marTop w:val="0"/>
          <w:marBottom w:val="0"/>
          <w:divBdr>
            <w:top w:val="none" w:sz="0" w:space="0" w:color="auto"/>
            <w:left w:val="none" w:sz="0" w:space="0" w:color="auto"/>
            <w:bottom w:val="none" w:sz="0" w:space="0" w:color="auto"/>
            <w:right w:val="none" w:sz="0" w:space="0" w:color="auto"/>
          </w:divBdr>
        </w:div>
        <w:div w:id="674267071">
          <w:marLeft w:val="0"/>
          <w:marRight w:val="0"/>
          <w:marTop w:val="0"/>
          <w:marBottom w:val="0"/>
          <w:divBdr>
            <w:top w:val="none" w:sz="0" w:space="0" w:color="auto"/>
            <w:left w:val="none" w:sz="0" w:space="0" w:color="auto"/>
            <w:bottom w:val="none" w:sz="0" w:space="0" w:color="auto"/>
            <w:right w:val="none" w:sz="0" w:space="0" w:color="auto"/>
          </w:divBdr>
        </w:div>
        <w:div w:id="2106414352">
          <w:marLeft w:val="0"/>
          <w:marRight w:val="0"/>
          <w:marTop w:val="0"/>
          <w:marBottom w:val="0"/>
          <w:divBdr>
            <w:top w:val="none" w:sz="0" w:space="0" w:color="auto"/>
            <w:left w:val="none" w:sz="0" w:space="0" w:color="auto"/>
            <w:bottom w:val="none" w:sz="0" w:space="0" w:color="auto"/>
            <w:right w:val="none" w:sz="0" w:space="0" w:color="auto"/>
          </w:divBdr>
        </w:div>
        <w:div w:id="1918709776">
          <w:marLeft w:val="0"/>
          <w:marRight w:val="0"/>
          <w:marTop w:val="0"/>
          <w:marBottom w:val="0"/>
          <w:divBdr>
            <w:top w:val="none" w:sz="0" w:space="0" w:color="auto"/>
            <w:left w:val="none" w:sz="0" w:space="0" w:color="auto"/>
            <w:bottom w:val="none" w:sz="0" w:space="0" w:color="auto"/>
            <w:right w:val="none" w:sz="0" w:space="0" w:color="auto"/>
          </w:divBdr>
        </w:div>
      </w:divsChild>
    </w:div>
    <w:div w:id="2118521468">
      <w:bodyDiv w:val="1"/>
      <w:marLeft w:val="0"/>
      <w:marRight w:val="0"/>
      <w:marTop w:val="0"/>
      <w:marBottom w:val="0"/>
      <w:divBdr>
        <w:top w:val="none" w:sz="0" w:space="0" w:color="auto"/>
        <w:left w:val="none" w:sz="0" w:space="0" w:color="auto"/>
        <w:bottom w:val="none" w:sz="0" w:space="0" w:color="auto"/>
        <w:right w:val="none" w:sz="0" w:space="0" w:color="auto"/>
      </w:divBdr>
      <w:divsChild>
        <w:div w:id="1243491994">
          <w:marLeft w:val="0"/>
          <w:marRight w:val="0"/>
          <w:marTop w:val="0"/>
          <w:marBottom w:val="0"/>
          <w:divBdr>
            <w:top w:val="none" w:sz="0" w:space="0" w:color="auto"/>
            <w:left w:val="none" w:sz="0" w:space="0" w:color="auto"/>
            <w:bottom w:val="none" w:sz="0" w:space="0" w:color="auto"/>
            <w:right w:val="none" w:sz="0" w:space="0" w:color="auto"/>
          </w:divBdr>
        </w:div>
        <w:div w:id="1778527769">
          <w:marLeft w:val="0"/>
          <w:marRight w:val="0"/>
          <w:marTop w:val="0"/>
          <w:marBottom w:val="0"/>
          <w:divBdr>
            <w:top w:val="none" w:sz="0" w:space="0" w:color="auto"/>
            <w:left w:val="none" w:sz="0" w:space="0" w:color="auto"/>
            <w:bottom w:val="none" w:sz="0" w:space="0" w:color="auto"/>
            <w:right w:val="none" w:sz="0" w:space="0" w:color="auto"/>
          </w:divBdr>
        </w:div>
        <w:div w:id="4945585">
          <w:marLeft w:val="0"/>
          <w:marRight w:val="0"/>
          <w:marTop w:val="0"/>
          <w:marBottom w:val="0"/>
          <w:divBdr>
            <w:top w:val="none" w:sz="0" w:space="0" w:color="auto"/>
            <w:left w:val="none" w:sz="0" w:space="0" w:color="auto"/>
            <w:bottom w:val="none" w:sz="0" w:space="0" w:color="auto"/>
            <w:right w:val="none" w:sz="0" w:space="0" w:color="auto"/>
          </w:divBdr>
        </w:div>
        <w:div w:id="250627988">
          <w:marLeft w:val="0"/>
          <w:marRight w:val="0"/>
          <w:marTop w:val="0"/>
          <w:marBottom w:val="0"/>
          <w:divBdr>
            <w:top w:val="none" w:sz="0" w:space="0" w:color="auto"/>
            <w:left w:val="none" w:sz="0" w:space="0" w:color="auto"/>
            <w:bottom w:val="none" w:sz="0" w:space="0" w:color="auto"/>
            <w:right w:val="none" w:sz="0" w:space="0" w:color="auto"/>
          </w:divBdr>
        </w:div>
        <w:div w:id="678697291">
          <w:marLeft w:val="0"/>
          <w:marRight w:val="0"/>
          <w:marTop w:val="0"/>
          <w:marBottom w:val="0"/>
          <w:divBdr>
            <w:top w:val="none" w:sz="0" w:space="0" w:color="auto"/>
            <w:left w:val="none" w:sz="0" w:space="0" w:color="auto"/>
            <w:bottom w:val="none" w:sz="0" w:space="0" w:color="auto"/>
            <w:right w:val="none" w:sz="0" w:space="0" w:color="auto"/>
          </w:divBdr>
        </w:div>
        <w:div w:id="1447695221">
          <w:marLeft w:val="0"/>
          <w:marRight w:val="0"/>
          <w:marTop w:val="0"/>
          <w:marBottom w:val="0"/>
          <w:divBdr>
            <w:top w:val="none" w:sz="0" w:space="0" w:color="auto"/>
            <w:left w:val="none" w:sz="0" w:space="0" w:color="auto"/>
            <w:bottom w:val="none" w:sz="0" w:space="0" w:color="auto"/>
            <w:right w:val="none" w:sz="0" w:space="0" w:color="auto"/>
          </w:divBdr>
        </w:div>
        <w:div w:id="178393997">
          <w:marLeft w:val="0"/>
          <w:marRight w:val="0"/>
          <w:marTop w:val="0"/>
          <w:marBottom w:val="0"/>
          <w:divBdr>
            <w:top w:val="none" w:sz="0" w:space="0" w:color="auto"/>
            <w:left w:val="none" w:sz="0" w:space="0" w:color="auto"/>
            <w:bottom w:val="none" w:sz="0" w:space="0" w:color="auto"/>
            <w:right w:val="none" w:sz="0" w:space="0" w:color="auto"/>
          </w:divBdr>
        </w:div>
        <w:div w:id="600725327">
          <w:marLeft w:val="0"/>
          <w:marRight w:val="0"/>
          <w:marTop w:val="0"/>
          <w:marBottom w:val="0"/>
          <w:divBdr>
            <w:top w:val="none" w:sz="0" w:space="0" w:color="auto"/>
            <w:left w:val="none" w:sz="0" w:space="0" w:color="auto"/>
            <w:bottom w:val="none" w:sz="0" w:space="0" w:color="auto"/>
            <w:right w:val="none" w:sz="0" w:space="0" w:color="auto"/>
          </w:divBdr>
        </w:div>
        <w:div w:id="551036353">
          <w:marLeft w:val="0"/>
          <w:marRight w:val="0"/>
          <w:marTop w:val="0"/>
          <w:marBottom w:val="0"/>
          <w:divBdr>
            <w:top w:val="none" w:sz="0" w:space="0" w:color="auto"/>
            <w:left w:val="none" w:sz="0" w:space="0" w:color="auto"/>
            <w:bottom w:val="none" w:sz="0" w:space="0" w:color="auto"/>
            <w:right w:val="none" w:sz="0" w:space="0" w:color="auto"/>
          </w:divBdr>
        </w:div>
        <w:div w:id="1801997812">
          <w:marLeft w:val="0"/>
          <w:marRight w:val="0"/>
          <w:marTop w:val="0"/>
          <w:marBottom w:val="0"/>
          <w:divBdr>
            <w:top w:val="none" w:sz="0" w:space="0" w:color="auto"/>
            <w:left w:val="none" w:sz="0" w:space="0" w:color="auto"/>
            <w:bottom w:val="none" w:sz="0" w:space="0" w:color="auto"/>
            <w:right w:val="none" w:sz="0" w:space="0" w:color="auto"/>
          </w:divBdr>
        </w:div>
        <w:div w:id="482814773">
          <w:marLeft w:val="0"/>
          <w:marRight w:val="0"/>
          <w:marTop w:val="0"/>
          <w:marBottom w:val="0"/>
          <w:divBdr>
            <w:top w:val="none" w:sz="0" w:space="0" w:color="auto"/>
            <w:left w:val="none" w:sz="0" w:space="0" w:color="auto"/>
            <w:bottom w:val="none" w:sz="0" w:space="0" w:color="auto"/>
            <w:right w:val="none" w:sz="0" w:space="0" w:color="auto"/>
          </w:divBdr>
        </w:div>
        <w:div w:id="839613598">
          <w:marLeft w:val="0"/>
          <w:marRight w:val="0"/>
          <w:marTop w:val="0"/>
          <w:marBottom w:val="0"/>
          <w:divBdr>
            <w:top w:val="none" w:sz="0" w:space="0" w:color="auto"/>
            <w:left w:val="none" w:sz="0" w:space="0" w:color="auto"/>
            <w:bottom w:val="none" w:sz="0" w:space="0" w:color="auto"/>
            <w:right w:val="none" w:sz="0" w:space="0" w:color="auto"/>
          </w:divBdr>
        </w:div>
        <w:div w:id="1886796583">
          <w:marLeft w:val="0"/>
          <w:marRight w:val="0"/>
          <w:marTop w:val="0"/>
          <w:marBottom w:val="0"/>
          <w:divBdr>
            <w:top w:val="none" w:sz="0" w:space="0" w:color="auto"/>
            <w:left w:val="none" w:sz="0" w:space="0" w:color="auto"/>
            <w:bottom w:val="none" w:sz="0" w:space="0" w:color="auto"/>
            <w:right w:val="none" w:sz="0" w:space="0" w:color="auto"/>
          </w:divBdr>
        </w:div>
        <w:div w:id="1368406215">
          <w:marLeft w:val="0"/>
          <w:marRight w:val="0"/>
          <w:marTop w:val="0"/>
          <w:marBottom w:val="0"/>
          <w:divBdr>
            <w:top w:val="none" w:sz="0" w:space="0" w:color="auto"/>
            <w:left w:val="none" w:sz="0" w:space="0" w:color="auto"/>
            <w:bottom w:val="none" w:sz="0" w:space="0" w:color="auto"/>
            <w:right w:val="none" w:sz="0" w:space="0" w:color="auto"/>
          </w:divBdr>
        </w:div>
        <w:div w:id="1149520931">
          <w:marLeft w:val="0"/>
          <w:marRight w:val="0"/>
          <w:marTop w:val="0"/>
          <w:marBottom w:val="0"/>
          <w:divBdr>
            <w:top w:val="none" w:sz="0" w:space="0" w:color="auto"/>
            <w:left w:val="none" w:sz="0" w:space="0" w:color="auto"/>
            <w:bottom w:val="none" w:sz="0" w:space="0" w:color="auto"/>
            <w:right w:val="none" w:sz="0" w:space="0" w:color="auto"/>
          </w:divBdr>
        </w:div>
        <w:div w:id="1900702976">
          <w:marLeft w:val="0"/>
          <w:marRight w:val="0"/>
          <w:marTop w:val="0"/>
          <w:marBottom w:val="0"/>
          <w:divBdr>
            <w:top w:val="none" w:sz="0" w:space="0" w:color="auto"/>
            <w:left w:val="none" w:sz="0" w:space="0" w:color="auto"/>
            <w:bottom w:val="none" w:sz="0" w:space="0" w:color="auto"/>
            <w:right w:val="none" w:sz="0" w:space="0" w:color="auto"/>
          </w:divBdr>
        </w:div>
        <w:div w:id="893124881">
          <w:marLeft w:val="0"/>
          <w:marRight w:val="0"/>
          <w:marTop w:val="0"/>
          <w:marBottom w:val="0"/>
          <w:divBdr>
            <w:top w:val="none" w:sz="0" w:space="0" w:color="auto"/>
            <w:left w:val="none" w:sz="0" w:space="0" w:color="auto"/>
            <w:bottom w:val="none" w:sz="0" w:space="0" w:color="auto"/>
            <w:right w:val="none" w:sz="0" w:space="0" w:color="auto"/>
          </w:divBdr>
        </w:div>
        <w:div w:id="2136020200">
          <w:marLeft w:val="0"/>
          <w:marRight w:val="0"/>
          <w:marTop w:val="0"/>
          <w:marBottom w:val="0"/>
          <w:divBdr>
            <w:top w:val="none" w:sz="0" w:space="0" w:color="auto"/>
            <w:left w:val="none" w:sz="0" w:space="0" w:color="auto"/>
            <w:bottom w:val="none" w:sz="0" w:space="0" w:color="auto"/>
            <w:right w:val="none" w:sz="0" w:space="0" w:color="auto"/>
          </w:divBdr>
        </w:div>
        <w:div w:id="592856755">
          <w:marLeft w:val="0"/>
          <w:marRight w:val="0"/>
          <w:marTop w:val="0"/>
          <w:marBottom w:val="0"/>
          <w:divBdr>
            <w:top w:val="none" w:sz="0" w:space="0" w:color="auto"/>
            <w:left w:val="none" w:sz="0" w:space="0" w:color="auto"/>
            <w:bottom w:val="none" w:sz="0" w:space="0" w:color="auto"/>
            <w:right w:val="none" w:sz="0" w:space="0" w:color="auto"/>
          </w:divBdr>
        </w:div>
        <w:div w:id="1289780638">
          <w:marLeft w:val="0"/>
          <w:marRight w:val="0"/>
          <w:marTop w:val="0"/>
          <w:marBottom w:val="0"/>
          <w:divBdr>
            <w:top w:val="none" w:sz="0" w:space="0" w:color="auto"/>
            <w:left w:val="none" w:sz="0" w:space="0" w:color="auto"/>
            <w:bottom w:val="none" w:sz="0" w:space="0" w:color="auto"/>
            <w:right w:val="none" w:sz="0" w:space="0" w:color="auto"/>
          </w:divBdr>
        </w:div>
        <w:div w:id="857617781">
          <w:marLeft w:val="0"/>
          <w:marRight w:val="0"/>
          <w:marTop w:val="0"/>
          <w:marBottom w:val="0"/>
          <w:divBdr>
            <w:top w:val="none" w:sz="0" w:space="0" w:color="auto"/>
            <w:left w:val="none" w:sz="0" w:space="0" w:color="auto"/>
            <w:bottom w:val="none" w:sz="0" w:space="0" w:color="auto"/>
            <w:right w:val="none" w:sz="0" w:space="0" w:color="auto"/>
          </w:divBdr>
        </w:div>
        <w:div w:id="1487819573">
          <w:marLeft w:val="0"/>
          <w:marRight w:val="0"/>
          <w:marTop w:val="0"/>
          <w:marBottom w:val="0"/>
          <w:divBdr>
            <w:top w:val="none" w:sz="0" w:space="0" w:color="auto"/>
            <w:left w:val="none" w:sz="0" w:space="0" w:color="auto"/>
            <w:bottom w:val="none" w:sz="0" w:space="0" w:color="auto"/>
            <w:right w:val="none" w:sz="0" w:space="0" w:color="auto"/>
          </w:divBdr>
        </w:div>
        <w:div w:id="694385828">
          <w:marLeft w:val="0"/>
          <w:marRight w:val="0"/>
          <w:marTop w:val="0"/>
          <w:marBottom w:val="0"/>
          <w:divBdr>
            <w:top w:val="none" w:sz="0" w:space="0" w:color="auto"/>
            <w:left w:val="none" w:sz="0" w:space="0" w:color="auto"/>
            <w:bottom w:val="none" w:sz="0" w:space="0" w:color="auto"/>
            <w:right w:val="none" w:sz="0" w:space="0" w:color="auto"/>
          </w:divBdr>
        </w:div>
        <w:div w:id="1017194839">
          <w:marLeft w:val="0"/>
          <w:marRight w:val="0"/>
          <w:marTop w:val="0"/>
          <w:marBottom w:val="0"/>
          <w:divBdr>
            <w:top w:val="none" w:sz="0" w:space="0" w:color="auto"/>
            <w:left w:val="none" w:sz="0" w:space="0" w:color="auto"/>
            <w:bottom w:val="none" w:sz="0" w:space="0" w:color="auto"/>
            <w:right w:val="none" w:sz="0" w:space="0" w:color="auto"/>
          </w:divBdr>
        </w:div>
        <w:div w:id="167185536">
          <w:marLeft w:val="0"/>
          <w:marRight w:val="0"/>
          <w:marTop w:val="0"/>
          <w:marBottom w:val="0"/>
          <w:divBdr>
            <w:top w:val="none" w:sz="0" w:space="0" w:color="auto"/>
            <w:left w:val="none" w:sz="0" w:space="0" w:color="auto"/>
            <w:bottom w:val="none" w:sz="0" w:space="0" w:color="auto"/>
            <w:right w:val="none" w:sz="0" w:space="0" w:color="auto"/>
          </w:divBdr>
        </w:div>
        <w:div w:id="341861102">
          <w:marLeft w:val="0"/>
          <w:marRight w:val="0"/>
          <w:marTop w:val="0"/>
          <w:marBottom w:val="0"/>
          <w:divBdr>
            <w:top w:val="none" w:sz="0" w:space="0" w:color="auto"/>
            <w:left w:val="none" w:sz="0" w:space="0" w:color="auto"/>
            <w:bottom w:val="none" w:sz="0" w:space="0" w:color="auto"/>
            <w:right w:val="none" w:sz="0" w:space="0" w:color="auto"/>
          </w:divBdr>
        </w:div>
        <w:div w:id="1733889854">
          <w:marLeft w:val="0"/>
          <w:marRight w:val="0"/>
          <w:marTop w:val="0"/>
          <w:marBottom w:val="0"/>
          <w:divBdr>
            <w:top w:val="none" w:sz="0" w:space="0" w:color="auto"/>
            <w:left w:val="none" w:sz="0" w:space="0" w:color="auto"/>
            <w:bottom w:val="none" w:sz="0" w:space="0" w:color="auto"/>
            <w:right w:val="none" w:sz="0" w:space="0" w:color="auto"/>
          </w:divBdr>
        </w:div>
        <w:div w:id="1230572793">
          <w:marLeft w:val="0"/>
          <w:marRight w:val="0"/>
          <w:marTop w:val="0"/>
          <w:marBottom w:val="0"/>
          <w:divBdr>
            <w:top w:val="none" w:sz="0" w:space="0" w:color="auto"/>
            <w:left w:val="none" w:sz="0" w:space="0" w:color="auto"/>
            <w:bottom w:val="none" w:sz="0" w:space="0" w:color="auto"/>
            <w:right w:val="none" w:sz="0" w:space="0" w:color="auto"/>
          </w:divBdr>
        </w:div>
        <w:div w:id="1136141720">
          <w:marLeft w:val="0"/>
          <w:marRight w:val="0"/>
          <w:marTop w:val="0"/>
          <w:marBottom w:val="0"/>
          <w:divBdr>
            <w:top w:val="none" w:sz="0" w:space="0" w:color="auto"/>
            <w:left w:val="none" w:sz="0" w:space="0" w:color="auto"/>
            <w:bottom w:val="none" w:sz="0" w:space="0" w:color="auto"/>
            <w:right w:val="none" w:sz="0" w:space="0" w:color="auto"/>
          </w:divBdr>
        </w:div>
        <w:div w:id="1063724310">
          <w:marLeft w:val="0"/>
          <w:marRight w:val="0"/>
          <w:marTop w:val="0"/>
          <w:marBottom w:val="0"/>
          <w:divBdr>
            <w:top w:val="none" w:sz="0" w:space="0" w:color="auto"/>
            <w:left w:val="none" w:sz="0" w:space="0" w:color="auto"/>
            <w:bottom w:val="none" w:sz="0" w:space="0" w:color="auto"/>
            <w:right w:val="none" w:sz="0" w:space="0" w:color="auto"/>
          </w:divBdr>
        </w:div>
        <w:div w:id="1089543247">
          <w:marLeft w:val="0"/>
          <w:marRight w:val="0"/>
          <w:marTop w:val="0"/>
          <w:marBottom w:val="0"/>
          <w:divBdr>
            <w:top w:val="none" w:sz="0" w:space="0" w:color="auto"/>
            <w:left w:val="none" w:sz="0" w:space="0" w:color="auto"/>
            <w:bottom w:val="none" w:sz="0" w:space="0" w:color="auto"/>
            <w:right w:val="none" w:sz="0" w:space="0" w:color="auto"/>
          </w:divBdr>
        </w:div>
        <w:div w:id="607006860">
          <w:marLeft w:val="0"/>
          <w:marRight w:val="0"/>
          <w:marTop w:val="0"/>
          <w:marBottom w:val="0"/>
          <w:divBdr>
            <w:top w:val="none" w:sz="0" w:space="0" w:color="auto"/>
            <w:left w:val="none" w:sz="0" w:space="0" w:color="auto"/>
            <w:bottom w:val="none" w:sz="0" w:space="0" w:color="auto"/>
            <w:right w:val="none" w:sz="0" w:space="0" w:color="auto"/>
          </w:divBdr>
        </w:div>
        <w:div w:id="2056393149">
          <w:marLeft w:val="0"/>
          <w:marRight w:val="0"/>
          <w:marTop w:val="0"/>
          <w:marBottom w:val="0"/>
          <w:divBdr>
            <w:top w:val="none" w:sz="0" w:space="0" w:color="auto"/>
            <w:left w:val="none" w:sz="0" w:space="0" w:color="auto"/>
            <w:bottom w:val="none" w:sz="0" w:space="0" w:color="auto"/>
            <w:right w:val="none" w:sz="0" w:space="0" w:color="auto"/>
          </w:divBdr>
        </w:div>
      </w:divsChild>
    </w:div>
    <w:div w:id="212745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fox8.com/tag/cleveland-ems/" TargetMode="External"/><Relationship Id="rId1827" Type="http://schemas.openxmlformats.org/officeDocument/2006/relationships/hyperlink" Target="https://www.ohioauditor.gov/trainings/lgoc/2018/Fair%20Labor%20Standards%20Act%20for%20Firefighters.pdf" TargetMode="External"/><Relationship Id="rId21" Type="http://schemas.openxmlformats.org/officeDocument/2006/relationships/hyperlink" Target="https://ecf.ca8.uscourts.gov/opndir/26/04/242159P.pdf" TargetMode="External"/><Relationship Id="rId2089" Type="http://schemas.openxmlformats.org/officeDocument/2006/relationships/hyperlink" Target="https://cookcountyrecord.com/stories/641740005-labor-board-judge-chicago-trampled-union-bargaining-rights-by-firing-workers-who-refused-covid-vax" TargetMode="External"/><Relationship Id="rId170" Type="http://schemas.openxmlformats.org/officeDocument/2006/relationships/hyperlink" Target="https://casetext.com/case/people-v-smith-9160" TargetMode="External"/><Relationship Id="rId2296" Type="http://schemas.openxmlformats.org/officeDocument/2006/relationships/hyperlink" Target="https://www.supremecourt.ohio.gov/rod/docs/pdf/8/2018/2018-Ohio-4602.pdf" TargetMode="External"/><Relationship Id="rId268" Type="http://schemas.openxmlformats.org/officeDocument/2006/relationships/hyperlink" Target="https://www.ethics.ohio.gov/education/gifts.html" TargetMode="External"/><Relationship Id="rId475" Type="http://schemas.openxmlformats.org/officeDocument/2006/relationships/hyperlink" Target="https://molawyersmedia.com/2024/01/18/volunteer-firefighters-widow-wins-chance-for-higher-benefits/" TargetMode="External"/><Relationship Id="rId682" Type="http://schemas.openxmlformats.org/officeDocument/2006/relationships/hyperlink" Target="https://casetext.com/case/baarbe-v-the-syrian-arab-republic" TargetMode="External"/><Relationship Id="rId2156" Type="http://schemas.openxmlformats.org/officeDocument/2006/relationships/hyperlink" Target="https://www.courtlistener.com/opinion/5313531/gauis-horton-individually-and-on-behalf-of-mary-horton-v-st-tammany-fire/" TargetMode="External"/><Relationship Id="rId2363" Type="http://schemas.openxmlformats.org/officeDocument/2006/relationships/hyperlink" Target="https://www.lsc.ohio.gov/assets/organizations/legislative-service-commission/files/involuntary-treatment-for-mental-illness.pdf" TargetMode="External"/><Relationship Id="rId2570" Type="http://schemas.openxmlformats.org/officeDocument/2006/relationships/hyperlink" Target="https://www.supremecourt.ohio.gov/rod/docs/pdf/8/2022/2022-Ohio-824.pdf" TargetMode="External"/><Relationship Id="rId128" Type="http://schemas.openxmlformats.org/officeDocument/2006/relationships/hyperlink" Target="https://cases.justia.com/federal/district-courts/tennessee/tnedce/3:2023cv00220/110152/57/0.pdf?ts=1727268755" TargetMode="External"/><Relationship Id="rId335" Type="http://schemas.openxmlformats.org/officeDocument/2006/relationships/hyperlink" Target="https://mdcourts.gov/sites/default/files/unreported-opinions/2279s17.pdf" TargetMode="External"/><Relationship Id="rId542" Type="http://schemas.openxmlformats.org/officeDocument/2006/relationships/hyperlink" Target="http://www.leg.state.fl.us/statutes/index.cfm?App_mode=Display_Statute&amp;Search_String=&amp;URL=0100-0199/0112/Sections/0112.182.html" TargetMode="External"/><Relationship Id="rId987" Type="http://schemas.openxmlformats.org/officeDocument/2006/relationships/hyperlink" Target="https://cases.justia.com/new-york/other-courts/2026-2026-ny-slip-op-30695-u.pdf?ts=1773178122" TargetMode="External"/><Relationship Id="rId1172" Type="http://schemas.openxmlformats.org/officeDocument/2006/relationships/hyperlink" Target="http://app.leg.wa.gov/RCW/default.aspx?cite=41.26.030" TargetMode="External"/><Relationship Id="rId2016" Type="http://schemas.openxmlformats.org/officeDocument/2006/relationships/hyperlink" Target="https://cases.justia.com/federal/appellate-courts/ca9/21-15252/21-15252-2024-05-20.pdf?ts=1716226339" TargetMode="External"/><Relationship Id="rId2223" Type="http://schemas.openxmlformats.org/officeDocument/2006/relationships/hyperlink" Target="https://casetext.com/case/maude-v-city-of-phila" TargetMode="External"/><Relationship Id="rId2430" Type="http://schemas.openxmlformats.org/officeDocument/2006/relationships/hyperlink" Target="https://www.youtube.com/watch?v=5NXiLsCyQwc" TargetMode="External"/><Relationship Id="rId2668" Type="http://schemas.openxmlformats.org/officeDocument/2006/relationships/hyperlink" Target="http://www.tsc.state.tn.us/sites/default/files/mosspaulzacharyopn.pdf" TargetMode="External"/><Relationship Id="rId402" Type="http://schemas.openxmlformats.org/officeDocument/2006/relationships/hyperlink" Target="https://www.nbcnewyork.com/news/local/father-son-sentenced-to-probation-in-deadly-spring-valley-fire-that-killed-2/4696054/" TargetMode="External"/><Relationship Id="rId847" Type="http://schemas.openxmlformats.org/officeDocument/2006/relationships/hyperlink" Target="https://search.txcourts.gov/SearchMedia.aspx?MediaVersionID=0759d8f0-c4e1-4852-8390-4190cacb89f6&amp;coa=coa10&amp;DT=Opinion&amp;MediaID=dc9d0fad-acea-4603-a120-a6519744d885" TargetMode="External"/><Relationship Id="rId1032" Type="http://schemas.openxmlformats.org/officeDocument/2006/relationships/hyperlink" Target="https://www.nj.gov/treasury/pensions/documents/factsheets/fact15.pdf" TargetMode="External"/><Relationship Id="rId1477" Type="http://schemas.openxmlformats.org/officeDocument/2006/relationships/hyperlink" Target="https://cases.justia.com/federal/district-courts/mississippi/mssdce/3:2024cv00011/123477/12/0.pdf?ts=1706115384" TargetMode="External"/><Relationship Id="rId1684" Type="http://schemas.openxmlformats.org/officeDocument/2006/relationships/hyperlink" Target="https://cases.justia.com/federal/appellate-courts/ca11/25-10673/25-10673-2026-02-10.pdf?ts=1770737597" TargetMode="External"/><Relationship Id="rId1891" Type="http://schemas.openxmlformats.org/officeDocument/2006/relationships/hyperlink" Target="https://www.supremecourt.gov/opinions/20pdf/20-645_9p6b.pdf" TargetMode="External"/><Relationship Id="rId2528" Type="http://schemas.openxmlformats.org/officeDocument/2006/relationships/hyperlink" Target="https://www.dailymail.co.uk/news/article-12240293/Man-accused-stalking-local-Colorado-musician-stalking-conviction-tossed-Supreme-Court.html" TargetMode="External"/><Relationship Id="rId2735" Type="http://schemas.openxmlformats.org/officeDocument/2006/relationships/hyperlink" Target="https://law.justia.com/cases/texas/third-court-of-appeals/2022/03-21-00227-cv.html" TargetMode="External"/><Relationship Id="rId707" Type="http://schemas.openxmlformats.org/officeDocument/2006/relationships/hyperlink" Target="https://puenteaz.org/title42/" TargetMode="External"/><Relationship Id="rId914" Type="http://schemas.openxmlformats.org/officeDocument/2006/relationships/hyperlink" Target="https://cases.justia.com/colorado/court-of-appeals/2025-24ca1544.pdf?ts=1751643339" TargetMode="External"/><Relationship Id="rId1337" Type="http://schemas.openxmlformats.org/officeDocument/2006/relationships/hyperlink" Target="https://public.fastcase.com/ZZhmr5v9wN%2FXOe5IsQ%2FqD%2FNGb7gFooJuC7EPCkPbb8zYGJ%2BdPMtTRazA4SgxbA0Hq%2Bqtj6iK5eurCbJj4Cn6ySK1qzuHHpkHA9cN2Vx6eWo%3D?utm_medium=email&amp;_hsmi=226712652&amp;_hsenc=p2ANqtz-_M4ZQ75NqvFrlpX3gz1MCu7xTgTM0sg-yZbWDDZft-2cApXVRPMU-C3jBD2GmP4Ff9YuyLw19xTYwQuDOoCvQcSGp93w&amp;utm_content=226712652&amp;utm_source=hs_email" TargetMode="External"/><Relationship Id="rId1544" Type="http://schemas.openxmlformats.org/officeDocument/2006/relationships/hyperlink" Target="http://www.paed.uscourts.gov/documents/opinions/20D0393P.pdf" TargetMode="External"/><Relationship Id="rId1751" Type="http://schemas.openxmlformats.org/officeDocument/2006/relationships/hyperlink" Target="http://www.firefighterovertime.org/2022/12/12/ca-county-settles-flsa-suit/" TargetMode="External"/><Relationship Id="rId1989" Type="http://schemas.openxmlformats.org/officeDocument/2006/relationships/hyperlink" Target="https://www.supremecourt.gov/opinions/23pdf/22-451_7m58.pdf" TargetMode="External"/><Relationship Id="rId2802" Type="http://schemas.openxmlformats.org/officeDocument/2006/relationships/hyperlink" Target="https://www.courts.michigan.gov/4a7b7c/siteassets/case-documents/uploads/sct/public/orders/166885_47_01.pdf" TargetMode="External"/><Relationship Id="rId43" Type="http://schemas.openxmlformats.org/officeDocument/2006/relationships/hyperlink" Target="https://www.voltacharger.com/blogs/news/what-causes-phone-chargers-to-explode-and-how-to-avoid-it?srsltid=AfmBOor-D0Mt5iX7UDwb-r4sqdnXak-6s4LPkG62kZWVkLQCSPJSBjBB" TargetMode="External"/><Relationship Id="rId1404" Type="http://schemas.openxmlformats.org/officeDocument/2006/relationships/hyperlink" Target="https://www.firerescue1.com/lawsuit/articles/former-kan-fire-inspector-loses-discrimination-lawsuit-7znPnJr96hoozkWc/?utm_source=FireRescue1+Member+Newsletter&amp;utm_campaign=c8726896e1-EMAIL_CAMPAIGN_2020_01_21_07_39&amp;utm_medium=email&amp;utm_term=0_758bdbeffe-c8726896e1-41607823" TargetMode="External"/><Relationship Id="rId1611" Type="http://schemas.openxmlformats.org/officeDocument/2006/relationships/hyperlink" Target="https://www.supremecourt.gov/opinions/22pdf/22-174_k536.pdf" TargetMode="External"/><Relationship Id="rId1849" Type="http://schemas.openxmlformats.org/officeDocument/2006/relationships/hyperlink" Target="https://casetext.com/statute/montana-code/title-2-government-structure-and-administration/chapter-4-administrative-procedure-act/part-7-judicial-review-of-contested-cases/section-2-4-701-immediate-review-of-agency-action" TargetMode="External"/><Relationship Id="rId192" Type="http://schemas.openxmlformats.org/officeDocument/2006/relationships/hyperlink" Target="https://www.sccourts.org/opinions//unpublishedopinions/HTMLFiles/COA/2023-UP-014.pdf" TargetMode="External"/><Relationship Id="rId1709" Type="http://schemas.openxmlformats.org/officeDocument/2006/relationships/hyperlink" Target="https://www.law360.com/employment-authority/articles/1701446/okla-ems-dept-shorts-workers-on-ot-former-emt-says" TargetMode="External"/><Relationship Id="rId1916" Type="http://schemas.openxmlformats.org/officeDocument/2006/relationships/hyperlink" Target="https://www.studicata.com/summaries/court-of-appeals-of-ohio/holycross-v-state-board-of-emergency-med-2005-oor7s1/" TargetMode="External"/><Relationship Id="rId497" Type="http://schemas.openxmlformats.org/officeDocument/2006/relationships/hyperlink" Target="https://www.documentcloud.org/documents/23589006-firefighter-suit-terrance-jones-et-al-v-coj-order-finalizing-case011323" TargetMode="External"/><Relationship Id="rId2080" Type="http://schemas.openxmlformats.org/officeDocument/2006/relationships/hyperlink" Target="https://public.fastcase.com/ZZhmr5v9wN%2FXOe5IsQ%2FqD3dz3eOW5zFOFbDDQpgyn5N1g%2BDYcYq%2BQq5MnHYcUlJvjXUWh8aXMHicyBCjMoSMvWkOcK9%2F08vlf7VzRHHVD0g%3D?utm_medium=email&amp;_hsmi=226712652&amp;_hsenc=p2ANqtz-8FJSrnDbpE5SBLnbpgOtm8bsro6mydF1tKlBKSrXXB7U0G_KpVHeRpWqi1b6f_lyKuKYe1ibmLo31OO_-xt7H5dW8mOA&amp;utm_content=226712652&amp;utm_source=hs_email" TargetMode="External"/><Relationship Id="rId2178" Type="http://schemas.openxmlformats.org/officeDocument/2006/relationships/hyperlink" Target="https://www.leagle.com/decision/infdco20210811a71" TargetMode="External"/><Relationship Id="rId2385" Type="http://schemas.openxmlformats.org/officeDocument/2006/relationships/hyperlink" Target="https://ceas.uc.edu/academics/departments/aerospace-engineering-mechanics/fire-science/news.html" TargetMode="External"/><Relationship Id="rId357" Type="http://schemas.openxmlformats.org/officeDocument/2006/relationships/hyperlink" Target="http://blog.iaff.org/post/2018/06/05/preparing-for-the-janus-v-afscme-council-31-supreme-court-ruling" TargetMode="External"/><Relationship Id="rId1194" Type="http://schemas.openxmlformats.org/officeDocument/2006/relationships/hyperlink" Target="https://www.delawareonline.com/story/news/2019/04/26/former-wilmington-fire-chief-gets-prison-time-theft/3588123002/" TargetMode="External"/><Relationship Id="rId2038" Type="http://schemas.openxmlformats.org/officeDocument/2006/relationships/hyperlink" Target="https://public.fastcase.com/H1P9uiW3J20SFp%2BGCG%2BxLfXb%2FP0Zem%2FZVE%2B6Qs7i4IO1WpaqZWLhEbCf1wzASLCeHTBrNzAeMbTpuOI06nFKgtuOqPD57vVcxacgyHv1UJc%3D?utm_medium=email&amp;_hsmi=226712652&amp;_hsenc=p2ANqtz-8wnxBiWrzuFD2HrdDPkM1g9CGhbZuaZGzbWbXmLdA56OF31_PY2JQBf09BSmDMlHEKBQ_DWKjsPmFM9QlP1xX06T0eGA&amp;utm_content=226712652&amp;utm_source=hs_email" TargetMode="External"/><Relationship Id="rId2592" Type="http://schemas.openxmlformats.org/officeDocument/2006/relationships/hyperlink" Target="https://appellatecases.courtinfo.ca.gov/search/case/disposition.cfm?dist=0&amp;doc_id=2345572&amp;doc_no=S268086&amp;request_token=NiIwLSEmTkw5W1BRSSItTENJQEg0UDxTJSBeRzJSUCAgCg%3D%3D" TargetMode="External"/><Relationship Id="rId217" Type="http://schemas.openxmlformats.org/officeDocument/2006/relationships/hyperlink" Target="https://casetext.com/case/2095-stonington-llc-v-vill-of-hoffman-estates" TargetMode="External"/><Relationship Id="rId564" Type="http://schemas.openxmlformats.org/officeDocument/2006/relationships/hyperlink" Target="https://www.justice.gov/opa/pr/justice-department-announces-improvements-public-safety-officers-benefits-program" TargetMode="External"/><Relationship Id="rId771" Type="http://schemas.openxmlformats.org/officeDocument/2006/relationships/hyperlink" Target="https://www.securityindustry.org/2020/08/13/heres-what-ndaa-section-889-really-means-for-federal-grants/" TargetMode="External"/><Relationship Id="rId869" Type="http://schemas.openxmlformats.org/officeDocument/2006/relationships/hyperlink" Target="https://codes.ohio.gov/ohio-revised-code/section-2744.03" TargetMode="External"/><Relationship Id="rId1499" Type="http://schemas.openxmlformats.org/officeDocument/2006/relationships/hyperlink" Target="https://www.courtlistener.com/opinion/7859269/city-of-miami-v-david-rivera/" TargetMode="External"/><Relationship Id="rId2245" Type="http://schemas.openxmlformats.org/officeDocument/2006/relationships/hyperlink" Target="https://www.emsworld.com/press-release/1222611/immi-launches-per4max-restraint-ems-providers" TargetMode="External"/><Relationship Id="rId2452" Type="http://schemas.openxmlformats.org/officeDocument/2006/relationships/hyperlink" Target="https://cases.justia.com/louisiana/fourth-circuit-court-of-appeal/2025-2025-ca-0114.pdf?ts=1756426619" TargetMode="External"/><Relationship Id="rId424" Type="http://schemas.openxmlformats.org/officeDocument/2006/relationships/hyperlink" Target="https://www.firerescue1.com/legal/judge-tosses-out-lawsuit-from-families-of-baltimore-firefighters-killed-in-2022-blaze?utm_source=delivra&amp;utm_medium=email&amp;utm_campaign=FR1-Daily-12-27-24&amp;utm_id=8279434&amp;dlv-emuid=fed355b8-46a2-4fa4-b55c-4d602dde33c4&amp;dlv-mlid=8279434" TargetMode="External"/><Relationship Id="rId631" Type="http://schemas.openxmlformats.org/officeDocument/2006/relationships/hyperlink" Target="https://www2.ca3.uscourts.gov/opinarch/231900p.pdf" TargetMode="External"/><Relationship Id="rId729" Type="http://schemas.openxmlformats.org/officeDocument/2006/relationships/hyperlink" Target="https://www.washingtonpost.com/nation/interactive/2021/anti-gun-gun-owners/?itid=lk_inline_manual_4" TargetMode="External"/><Relationship Id="rId1054" Type="http://schemas.openxmlformats.org/officeDocument/2006/relationships/hyperlink" Target="https://www.ncbi.nlm.nih.gov/pmc/articles/PMC10455106/" TargetMode="External"/><Relationship Id="rId1261" Type="http://schemas.openxmlformats.org/officeDocument/2006/relationships/hyperlink" Target="https://caselaw.findlaw.com/us-9th-circuit/1864754.html" TargetMode="External"/><Relationship Id="rId1359" Type="http://schemas.openxmlformats.org/officeDocument/2006/relationships/hyperlink" Target="https://www.congress.gov/bill/117th-congress/house-bill/4445/text" TargetMode="External"/><Relationship Id="rId2105" Type="http://schemas.openxmlformats.org/officeDocument/2006/relationships/hyperlink" Target="https://public.fastcase.com/J%2FJP6pdidelsXxEE4k%2BLMmal3pmqwL2M3IcdBRYRq7H5oV2dmSosFOkL4d7k98jG9SuahbInE3n2tMql6kX0QUzRKtcMn83zHZ%2BG%2BG9ZYZQ%3D?utm_medium=email&amp;_hsmi=226712652&amp;_hsenc=p2ANqtz-9uf78hORTgLHe72Nq9qJz-C27iwk_m4r2mdnHF-ngJMSp_ULhMnmBHzq8bpBh7J7k34w9BngwpJd6Z97DDjhMn2bZMQA&amp;utm_content=226712652&amp;utm_source=hs_email" TargetMode="External"/><Relationship Id="rId2312" Type="http://schemas.openxmlformats.org/officeDocument/2006/relationships/hyperlink" Target="http://courtweb.pamd.uscourts.gov/courtwebsearch/ndoh/AlKFf0ZU_k.pdf" TargetMode="External"/><Relationship Id="rId2757" Type="http://schemas.openxmlformats.org/officeDocument/2006/relationships/hyperlink" Target="file:///C:/Users/lawre/AppData/Local/Temp/N00008009PUB.pdf" TargetMode="External"/><Relationship Id="rId936" Type="http://schemas.openxmlformats.org/officeDocument/2006/relationships/hyperlink" Target="https://search.txcourts.gov/SearchMedia.aspx?MediaVersionID=ce66bb80-60c8-4a68-9e10-0d461411b53e&amp;coa=coa14&amp;DT=Opinion&amp;MediaID=4a32394c-a506-4577-9679-e2747d0b06c4" TargetMode="External"/><Relationship Id="rId1121" Type="http://schemas.openxmlformats.org/officeDocument/2006/relationships/hyperlink" Target="https://codes.ohio.gov/ohio-revised-code/section-742.10" TargetMode="External"/><Relationship Id="rId1219" Type="http://schemas.openxmlformats.org/officeDocument/2006/relationships/hyperlink" Target="https://public.fastcase.com/Wl%2B2t%2BeVuI35%2FN70vAMFZmh5C6Al26quhK4NpqFpqP3dNIvTBMbQP47YmW18oezY" TargetMode="External"/><Relationship Id="rId1566" Type="http://schemas.openxmlformats.org/officeDocument/2006/relationships/hyperlink" Target="https://cases.justia.com/federal/district-courts/maryland/mddce/1:2024cv03580/573207/56/0.pdf?ts=1777474810" TargetMode="External"/><Relationship Id="rId1773" Type="http://schemas.openxmlformats.org/officeDocument/2006/relationships/hyperlink" Target="https://www.law.cornell.edu/cfr/text/29/778.215" TargetMode="External"/><Relationship Id="rId1980" Type="http://schemas.openxmlformats.org/officeDocument/2006/relationships/hyperlink" Target="https://caselaw.findlaw.com/court/ma-court-of-appeals/116890923.html" TargetMode="External"/><Relationship Id="rId2617" Type="http://schemas.openxmlformats.org/officeDocument/2006/relationships/hyperlink" Target="https://www.nj.com/news/2016/04/ex-nj_firefighter_convicted_of_stealing_disability.html" TargetMode="External"/><Relationship Id="rId2824" Type="http://schemas.openxmlformats.org/officeDocument/2006/relationships/hyperlink" Target="https://www.wkbn.com/news/coronavirus/dewine-signs-law-giving-covid-19-lawsuit-immunity/" TargetMode="External"/><Relationship Id="rId65" Type="http://schemas.openxmlformats.org/officeDocument/2006/relationships/hyperlink" Target="https://cases.justia.com/arizona/supreme-court/2025-cr-24-0264-pr.pdf?ts=1747242027" TargetMode="External"/><Relationship Id="rId1426" Type="http://schemas.openxmlformats.org/officeDocument/2006/relationships/hyperlink" Target="http://www.ca5.uscourts.gov/opinions/unpub/17/17-30574.0.pdf" TargetMode="External"/><Relationship Id="rId1633" Type="http://schemas.openxmlformats.org/officeDocument/2006/relationships/hyperlink" Target="https://www.nfpa.org/assets/files/AboutTheCodes/1582/1582_A2017_FIX_AAA_SD_SRStatements.pdf" TargetMode="External"/><Relationship Id="rId1840" Type="http://schemas.openxmlformats.org/officeDocument/2006/relationships/hyperlink" Target="https://cases.justia.com/louisiana/first-circuit-court-of-appeal/2025-2023ca0459.pdf?ts=1749828408" TargetMode="External"/><Relationship Id="rId1700" Type="http://schemas.openxmlformats.org/officeDocument/2006/relationships/hyperlink" Target="https://www.dol.gov/agencies/whd/fact-sheets/22-flsa-hours-worked" TargetMode="External"/><Relationship Id="rId1938" Type="http://schemas.openxmlformats.org/officeDocument/2006/relationships/hyperlink" Target="https://law.justia.com/cases/new-york/appellate-division-fourth-department/2025/816-1-ca-24-01193.html" TargetMode="External"/><Relationship Id="rId281" Type="http://schemas.openxmlformats.org/officeDocument/2006/relationships/hyperlink" Target="https://supreme.justia.com/cases/federal/us/468/897/" TargetMode="External"/><Relationship Id="rId141" Type="http://schemas.openxmlformats.org/officeDocument/2006/relationships/hyperlink" Target="https://cases.justia.com/michigan/court-of-appeals-published/2024-364264.pdf?ts=1708092018" TargetMode="External"/><Relationship Id="rId379" Type="http://schemas.openxmlformats.org/officeDocument/2006/relationships/hyperlink" Target="https://public.fastcase.com/Jhe1Qn%2BmJndQYQU6z%2FeNm3W8hWyjy%2F1qvTK0bYKmSBd7FCE1skWJo447G5Oh2b2vHFVB1fMS7gUR6rAKwE%2FNSCY%2BUXiquDJL%2FDOTOozOi%2FE%3D?utm_medium=email&amp;_hsenc=p2ANqtz--CwMJ1WgahfFouwurH1AvRaq-FpGCK4j_ZGMvVW2VvGo-JzLehL1L025aP9c9K1EJ-bt_z2jfpLFjtfV3Ucq7sQ0mkPQ&amp;_hsmi=226712652&amp;utm_content=226712652&amp;utm_source=hs_email" TargetMode="External"/><Relationship Id="rId586" Type="http://schemas.openxmlformats.org/officeDocument/2006/relationships/hyperlink" Target="http://www.caohc.org/updatearticles/2017/Update_v29-i1.pdf" TargetMode="External"/><Relationship Id="rId793" Type="http://schemas.openxmlformats.org/officeDocument/2006/relationships/hyperlink" Target="https://www.leagle.com/cite/557%20F.3d%201117" TargetMode="External"/><Relationship Id="rId2267" Type="http://schemas.openxmlformats.org/officeDocument/2006/relationships/hyperlink" Target="https://cases.justia.com/texas/first-court-of-appeals/2019-01-19-00450-cv.pdf?ts=1577798110" TargetMode="External"/><Relationship Id="rId2474" Type="http://schemas.openxmlformats.org/officeDocument/2006/relationships/hyperlink" Target="https://public.fastcase.com/jaEE2PXzRXmZ99jOLMt1Im1keUzBtfiIHvEUrgtpCe4tsCgV6NtJX3IH6wzppmaYdMf24%2B5puOWV6%2FBXnYGObJXUVli9SMl09cYxEMCDiBI%3D?utm_medium=email&amp;_hsenc=p2ANqtz-_d7OiIN91ZAk7Y1LfM1ALZw-U0OSyNxgKb6pVH2Z92AnZk8gKeX6P0Vdjf87FJH4FQPvAXMckV1s5VI4fjARMOTrnriQ&amp;_hsmi=226712652&amp;utm_content=226712652&amp;utm_source=hs_email" TargetMode="External"/><Relationship Id="rId2681" Type="http://schemas.openxmlformats.org/officeDocument/2006/relationships/hyperlink" Target="https://cases.justia.com/north-carolina/court-of-appeals/2026-25-761.pdf?ts=1772641555" TargetMode="External"/><Relationship Id="rId7" Type="http://schemas.openxmlformats.org/officeDocument/2006/relationships/endnotes" Target="endnotes.xml"/><Relationship Id="rId239" Type="http://schemas.openxmlformats.org/officeDocument/2006/relationships/hyperlink" Target="https://abc7ny.com/new-york-city-harlem-fire-edward-norton/3249411/" TargetMode="External"/><Relationship Id="rId446" Type="http://schemas.openxmlformats.org/officeDocument/2006/relationships/hyperlink" Target="https://www.osha.gov/ords/imis/establishment.inspection_detail?id=315378885" TargetMode="External"/><Relationship Id="rId653" Type="http://schemas.openxmlformats.org/officeDocument/2006/relationships/hyperlink" Target="https://krcrtv.com/news/local/long-awaited-settlement-conference-in-fawn-fire-arson-case-brings-hope-to-victims" TargetMode="External"/><Relationship Id="rId1076" Type="http://schemas.openxmlformats.org/officeDocument/2006/relationships/hyperlink" Target="https://casetext.com/case/the-providence-retired-police-firefighters-assn-v-city-of-providence" TargetMode="External"/><Relationship Id="rId1283" Type="http://schemas.openxmlformats.org/officeDocument/2006/relationships/hyperlink" Target="https://cases.justia.com/federal/district-courts/ohio/ohsdce/1:2023cv00273/279746/32/0.pdf?ts=1759344788" TargetMode="External"/><Relationship Id="rId1490" Type="http://schemas.openxmlformats.org/officeDocument/2006/relationships/hyperlink" Target="http://www.eeoc.gov/laws/statutes/titlevii.cfm" TargetMode="External"/><Relationship Id="rId2127" Type="http://schemas.openxmlformats.org/officeDocument/2006/relationships/hyperlink" Target="https://public.fastcase.com/J%2FJP6pdidelsXxEE4k%2BLMlzK3ypZvc0Gn%2FjuZDkyq8MI5%2FfINcqrUtBut3YiWnMm%2B6u%2FYbxznYZMXvWFYa2uilbMm7X%2Bw%2FMZe4%2FFjNyk13o%3D" TargetMode="External"/><Relationship Id="rId2334" Type="http://schemas.openxmlformats.org/officeDocument/2006/relationships/hyperlink" Target="https://www.firerescue1.com/legal/tenn-supreme-court-reinstates-denial-of-ptsd-benefits-for-former-firefighter?utm_source=delivra&amp;utm_medium=email&amp;utm_campaign=FR1-Daily-10-15-25&amp;utm_id=9641961&amp;dlv-emuid=fed355b8-46a2-4fa4-b55c-4d602dde33c4&amp;dlv-mlid=964196" TargetMode="External"/><Relationship Id="rId2779" Type="http://schemas.openxmlformats.org/officeDocument/2006/relationships/hyperlink" Target="https://www.youtube.com/watch?v=US5dFGLzqQo" TargetMode="External"/><Relationship Id="rId306" Type="http://schemas.openxmlformats.org/officeDocument/2006/relationships/hyperlink" Target="https://www.supremecourt.gov/opinions/19pdf/18-1059_e2p3.pdf" TargetMode="External"/><Relationship Id="rId860" Type="http://schemas.openxmlformats.org/officeDocument/2006/relationships/hyperlink" Target="https://www.eff.org/files/2022/07/11/2022-07-11_-_tenth_circuit_-_irizarry_v_yehia.pdf" TargetMode="External"/><Relationship Id="rId958" Type="http://schemas.openxmlformats.org/officeDocument/2006/relationships/hyperlink" Target="https://casetext.com/case/brown-v-ohio-valley-health-servs-educ-corp" TargetMode="External"/><Relationship Id="rId1143" Type="http://schemas.openxmlformats.org/officeDocument/2006/relationships/hyperlink" Target="https://www.alexdell.com/news/79/NEW-YORK-COURTS-CLARIFY-DEFINITION-OF-ACCIDENT-FOR-DISABILITY-RETIREMENT-PURPOSES/" TargetMode="External"/><Relationship Id="rId1588" Type="http://schemas.openxmlformats.org/officeDocument/2006/relationships/hyperlink" Target="https://casetext.com/case/fitzgerald-v-city-of-lawrence" TargetMode="External"/><Relationship Id="rId1795" Type="http://schemas.openxmlformats.org/officeDocument/2006/relationships/hyperlink" Target="https://www.leagle.com/decision/infco20170803124" TargetMode="External"/><Relationship Id="rId2541" Type="http://schemas.openxmlformats.org/officeDocument/2006/relationships/hyperlink" Target="https://www.njcourts.gov/sites/default/files/court-opinions/2023/a3688-20.pdf" TargetMode="External"/><Relationship Id="rId2639" Type="http://schemas.openxmlformats.org/officeDocument/2006/relationships/hyperlink" Target="https://www.in.gov/judiciary/opinions/pdf/03062003jsk.pdf" TargetMode="External"/><Relationship Id="rId87" Type="http://schemas.openxmlformats.org/officeDocument/2006/relationships/hyperlink" Target="https://casetext.com/case/united-states-v-gibson-453" TargetMode="External"/><Relationship Id="rId513" Type="http://schemas.openxmlformats.org/officeDocument/2006/relationships/hyperlink" Target="https://www.newyorker.com/news/our-columnists/american-racism-and-the-buffalo-massacre" TargetMode="External"/><Relationship Id="rId720" Type="http://schemas.openxmlformats.org/officeDocument/2006/relationships/hyperlink" Target="https://www.thestate.com/news/local/crime/article120075733.html" TargetMode="External"/><Relationship Id="rId818" Type="http://schemas.openxmlformats.org/officeDocument/2006/relationships/hyperlink" Target="https://www.fs.usda.gov/r06/willamette/fire/info/beachie-creek-fire" TargetMode="External"/><Relationship Id="rId1350" Type="http://schemas.openxmlformats.org/officeDocument/2006/relationships/hyperlink" Target="https://casetext.com/case/merrill-v-lane-fire-auth-1" TargetMode="External"/><Relationship Id="rId1448" Type="http://schemas.openxmlformats.org/officeDocument/2006/relationships/hyperlink" Target="https://public.fastcase.com/jaEE2PXzRXmZ99jOLMt1IpDp0JnVzptdty762p2WdacpKzYcIiQ8l1TBeuMep1jV?utm_medium=email&amp;_hsenc=p2ANqtz-9L1bPrfxst6esq_7Z5KFo1lHVisT0fYVrJpGE-zmUOoXZMhssxRXtfaqB6NAX5aJI_oGim2Kqhabp0MlaGnIdzwB2f4A&amp;_hsmi=226712652&amp;utm_content=226712652&amp;utm_source=hs_email" TargetMode="External"/><Relationship Id="rId1655" Type="http://schemas.openxmlformats.org/officeDocument/2006/relationships/hyperlink" Target="https://www.verywellmind.com/requirements-for-ptsd-diagnosis-2797637" TargetMode="External"/><Relationship Id="rId2401" Type="http://schemas.openxmlformats.org/officeDocument/2006/relationships/hyperlink" Target="https://public.fastcase.com/Wl%2B2t%2BeVuI35%2FN70vAMFZkkc03nKI8qkpSJ%2FzmzLggswfoR1RvbDETmM60pPGUhc" TargetMode="External"/><Relationship Id="rId2706" Type="http://schemas.openxmlformats.org/officeDocument/2006/relationships/hyperlink" Target="https://casetext.com/case/teague-v-travis-cnty-emergency-servs-dist" TargetMode="External"/><Relationship Id="rId1003" Type="http://schemas.openxmlformats.org/officeDocument/2006/relationships/hyperlink" Target="https://www.govinfo.gov/content/pkg/USCOURTS-ncwd-5_24-cv-00192/pdf/USCOURTS-ncwd-5_24-cv-00192-3.pdf" TargetMode="External"/><Relationship Id="rId1210" Type="http://schemas.openxmlformats.org/officeDocument/2006/relationships/hyperlink" Target="https://app.leg.wa.gov/rcw/default.aspx?cite=51.32.185" TargetMode="External"/><Relationship Id="rId1308" Type="http://schemas.openxmlformats.org/officeDocument/2006/relationships/hyperlink" Target="https://codes.ohio.gov/ohio-revised-code/section-4112.022" TargetMode="External"/><Relationship Id="rId1862" Type="http://schemas.openxmlformats.org/officeDocument/2006/relationships/hyperlink" Target="https://cases.justia.com/federal/appellate-courts/ca5/22-20380/22-20380-2023-07-24.pdf?ts=1690219861" TargetMode="External"/><Relationship Id="rId1515" Type="http://schemas.openxmlformats.org/officeDocument/2006/relationships/hyperlink" Target="https://public.fastcase.com/9SKwsfNqTc6OieYDhNMyM%2FTSgbZsxamnZMkEnGgxxe%2FrqLPFRApIhr2w3nhFxBI%2F%2BQAM0CcvCjVB30L3LI5a7qA0dv8E2KAwnqlsNAe5EaM%3D" TargetMode="External"/><Relationship Id="rId1722" Type="http://schemas.openxmlformats.org/officeDocument/2006/relationships/hyperlink" Target="https://www.ecfr.gov/current/title-29/subtitle-B/chapter-V/subchapter-B/part-785/subpart-C/subject-group-ECFR3d1222debcd8ec6/section-785.19" TargetMode="External"/><Relationship Id="rId14" Type="http://schemas.openxmlformats.org/officeDocument/2006/relationships/hyperlink" Target="mailto:Lawrence.bennett@uc.edu" TargetMode="External"/><Relationship Id="rId2191" Type="http://schemas.openxmlformats.org/officeDocument/2006/relationships/hyperlink" Target="http://lcapps.co.lucas.oh.us/Courts/Appeals/DecisionsPDF/9824.pdf" TargetMode="External"/><Relationship Id="rId163" Type="http://schemas.openxmlformats.org/officeDocument/2006/relationships/hyperlink" Target="https://www.ca4.uscourts.gov/opinions/224307.P.pdf" TargetMode="External"/><Relationship Id="rId370" Type="http://schemas.openxmlformats.org/officeDocument/2006/relationships/hyperlink" Target="https://public.fastcase.com/Jhe1Qn%2BmJndQYQU6z%2FeNm1Wc0BhwXqbgUcnfM0G%2F8LGBWKhbC8yUkIyVwLGd8HWj?utm_medium=email&amp;_hsenc=p2ANqtz-85mlG7bjjwBnXQBs8DYGyySvCPBDEvbYyrF7EMhR5VCH2hTuoCLWnOKD3mejXOTkKYawSsNFXD_QLidauQN_0-kPfmHA&amp;_hsmi=226712652&amp;utm_content=226712652&amp;utm_source=hs_email" TargetMode="External"/><Relationship Id="rId2051" Type="http://schemas.openxmlformats.org/officeDocument/2006/relationships/hyperlink" Target="https://bencrump.com/press/attorney-ben-crump-files-personal-injury-lawsuit-against-paramedics-who-refused-to-provide-emergency-care-to-disabled-teen/" TargetMode="External"/><Relationship Id="rId2289" Type="http://schemas.openxmlformats.org/officeDocument/2006/relationships/hyperlink" Target="http://www.pacourts.us/assets/opinions/Superior/out/memorandum%20%20affirmed%20%2010388943251531544.pdf" TargetMode="External"/><Relationship Id="rId2496" Type="http://schemas.openxmlformats.org/officeDocument/2006/relationships/hyperlink" Target="https://public.fastcase.com/H1P9uiW3J20SFp%2BGCG%2BxLf0QXfMdGqdqZlQXVQLOVSo%2BRVxC5joRx%2Bn0W0bwooepXLY2KUKQY%2FNa4DzAR11NEG8M8s0LDdmLgDmSoVIjHEI%3D?utm_medium=email&amp;_hsmi=226712652&amp;_hsenc=p2ANqtz--j20uR-GYo6WCSGz4uB5jXz0CJaW80ssMVqf4KPGqbFwk9_LUt6on4Dgf3xdmVustFIoMmyBcwEiGPMrkJq9j9MAGPKA&amp;utm_content=226712652&amp;utm_source=hs_email" TargetMode="External"/><Relationship Id="rId230" Type="http://schemas.openxmlformats.org/officeDocument/2006/relationships/hyperlink" Target="https://www.mainelegislature.org/legis/statutes/17/title17sec2851.html" TargetMode="External"/><Relationship Id="rId468" Type="http://schemas.openxmlformats.org/officeDocument/2006/relationships/hyperlink" Target="https://casetext.com/case/theodoreu-v-chester-fire-district" TargetMode="External"/><Relationship Id="rId675" Type="http://schemas.openxmlformats.org/officeDocument/2006/relationships/hyperlink" Target="https://www.cdcr.ca.gov/facility-locator/conservation-camps/camps/" TargetMode="External"/><Relationship Id="rId882" Type="http://schemas.openxmlformats.org/officeDocument/2006/relationships/hyperlink" Target="https://casetext.com/case/christopher-m-v-mineo" TargetMode="External"/><Relationship Id="rId1098" Type="http://schemas.openxmlformats.org/officeDocument/2006/relationships/hyperlink" Target="https://www.chicagotribune.com/news/breaking/chi-retiring-orland-fire-chief-i-didnt-do-anything-wrong-20110823-story.html" TargetMode="External"/><Relationship Id="rId2149" Type="http://schemas.openxmlformats.org/officeDocument/2006/relationships/hyperlink" Target="https://public.fastcase.com/waZtJvSA54UAurM2rmIZzwvOxdABv7XvwmmlDXNvdvn51CTV3NslG6Rw0yioxZXL%2BjJOhhNAJF%2FpIN8S52jcKAcJWCdsLYpOkU1PQ4W0%2BbA%3D" TargetMode="External"/><Relationship Id="rId2356" Type="http://schemas.openxmlformats.org/officeDocument/2006/relationships/hyperlink" Target="https://casetext.com/case/sotomayor-v-city-of-new-york" TargetMode="External"/><Relationship Id="rId2563" Type="http://schemas.openxmlformats.org/officeDocument/2006/relationships/hyperlink" Target="https://codes.ohio.gov/ohio-revised-code/section-2953.32/4-7-2021" TargetMode="External"/><Relationship Id="rId2770" Type="http://schemas.openxmlformats.org/officeDocument/2006/relationships/hyperlink" Target="https://www.wwnytv.com/story/39893183/watertown-firefighters-win-legal-victory" TargetMode="External"/><Relationship Id="rId328" Type="http://schemas.openxmlformats.org/officeDocument/2006/relationships/hyperlink" Target="https://cases.justia.com/illinois/court-of-appeals-fifth-appellate-district/2019-5-18-0064.pdf?ts=1553818548" TargetMode="External"/><Relationship Id="rId535" Type="http://schemas.openxmlformats.org/officeDocument/2006/relationships/hyperlink" Target="https://www.nbcphiladelphia.com/news/local/woman-gets-30-years-in-arson-that-killed-3-delaware-firefighters/2260369/" TargetMode="External"/><Relationship Id="rId742" Type="http://schemas.openxmlformats.org/officeDocument/2006/relationships/hyperlink" Target="https://www.supremecourt.gov/opinions/20pdf/19-863_6jgm.pdf" TargetMode="External"/><Relationship Id="rId1165" Type="http://schemas.openxmlformats.org/officeDocument/2006/relationships/hyperlink" Target="http://www.pacourts.us/assets/opinions/Commonwealth/out/141CD20_3-10-21.pdf?cb=1" TargetMode="External"/><Relationship Id="rId1372" Type="http://schemas.openxmlformats.org/officeDocument/2006/relationships/hyperlink" Target="https://journalstar.com/news/local/crime-and-courts/federal-judge-denies-request-for-injunction-independent-review-in-firefights-lawsuit/article_57be96fb-75f1-5b57-90b3-87e7c60cfb50.html" TargetMode="External"/><Relationship Id="rId2009" Type="http://schemas.openxmlformats.org/officeDocument/2006/relationships/hyperlink" Target="https://cases.justia.com/federal/appellate-courts/ca11/23-12759/23-12759-2024-07-23.pdf?ts=1721745066" TargetMode="External"/><Relationship Id="rId2216" Type="http://schemas.openxmlformats.org/officeDocument/2006/relationships/hyperlink" Target="https://public.fastcase.com/Wl%2B2t%2BeVuI35%2FN70vAMFZhgQRMSlTmc31zPzZvHhe6G3UFiDUpDiHM1BEG64P0h7" TargetMode="External"/><Relationship Id="rId2423" Type="http://schemas.openxmlformats.org/officeDocument/2006/relationships/hyperlink" Target="https://www.orangeobserver.com/news/2024/jun/15/breaking-former-orange-county-fire-rescue-battalion-chief-announces-candidacy-for-county-commission-district-1/" TargetMode="External"/><Relationship Id="rId2630" Type="http://schemas.openxmlformats.org/officeDocument/2006/relationships/hyperlink" Target="https://www.abc4.com/news/justice-files/the-justice-files-a-rape-in-rural-utah/" TargetMode="External"/><Relationship Id="rId602" Type="http://schemas.openxmlformats.org/officeDocument/2006/relationships/hyperlink" Target="https://www.law.cornell.edu/uscode/text/28/1605A" TargetMode="External"/><Relationship Id="rId1025" Type="http://schemas.openxmlformats.org/officeDocument/2006/relationships/hyperlink" Target="https://cases.justia.com/arizona/supreme-court/2025-cv-23-0211-pr.pdf?ts=1743008459" TargetMode="External"/><Relationship Id="rId1232" Type="http://schemas.openxmlformats.org/officeDocument/2006/relationships/hyperlink" Target="https://public.fastcase.com/Wl%2B2t%2BeVuI35%2FN70vAMFZqIZGQiBixrRs%2FhIZFdJSEICCexWSoup5Rgc2fSfyUDA" TargetMode="External"/><Relationship Id="rId1677" Type="http://schemas.openxmlformats.org/officeDocument/2006/relationships/hyperlink" Target="https://www.dol.gov/whd/opinion/FMLA/2018/2018_08_28_2A_FMLA.pdf" TargetMode="External"/><Relationship Id="rId1884" Type="http://schemas.openxmlformats.org/officeDocument/2006/relationships/hyperlink" Target="https://law.justia.com/cases/oklahoma/supreme-court/2021/118474.html" TargetMode="External"/><Relationship Id="rId2728" Type="http://schemas.openxmlformats.org/officeDocument/2006/relationships/hyperlink" Target="https://www.nlrb.gov/news-outreach/news-story/board-rules-that-employers-may-not-offer-severance-agreements-requiring" TargetMode="External"/><Relationship Id="rId907" Type="http://schemas.openxmlformats.org/officeDocument/2006/relationships/hyperlink" Target="https://cases.justia.com/texas/fourteenth-court-of-appeals/2025-14-24-00811-cv.pdf?ts=1765287556" TargetMode="External"/><Relationship Id="rId1537" Type="http://schemas.openxmlformats.org/officeDocument/2006/relationships/hyperlink" Target="https://www.law.georgetown.edu/icap/wp-content/uploads/sites/32/2020/07/Bey-2d-Cir.-Opening-Brief-FINAL-7-7-2020.pdf" TargetMode="External"/><Relationship Id="rId1744" Type="http://schemas.openxmlformats.org/officeDocument/2006/relationships/hyperlink" Target="https://ecf.ksd.uscourts.gov/cgi-bin/show_public_doc?2022cv4020-41" TargetMode="External"/><Relationship Id="rId1951" Type="http://schemas.openxmlformats.org/officeDocument/2006/relationships/hyperlink" Target="https://jpr.azcourts.gov/Portals/0/OpinionFiles/Div1/2025/1%20CA-CR%2024-0549%20Johnson.pdf" TargetMode="External"/><Relationship Id="rId36" Type="http://schemas.openxmlformats.org/officeDocument/2006/relationships/hyperlink" Target="https://www.cincinnati-oh.gov/fire/recruiting/requirements-to-apply/" TargetMode="External"/><Relationship Id="rId1604" Type="http://schemas.openxmlformats.org/officeDocument/2006/relationships/hyperlink" Target="https://www.justice.gov/opa/pr/justice-department-secures-agreement-city-blaine-minnesota-resolve-discrimination-claim" TargetMode="External"/><Relationship Id="rId185" Type="http://schemas.openxmlformats.org/officeDocument/2006/relationships/hyperlink" Target="https://www.legislature.ohio.gov/legislation/134/hb99" TargetMode="External"/><Relationship Id="rId1811" Type="http://schemas.openxmlformats.org/officeDocument/2006/relationships/hyperlink" Target="https://www.justice.gov/crt/case-document/file/1227366/download" TargetMode="External"/><Relationship Id="rId1909" Type="http://schemas.openxmlformats.org/officeDocument/2006/relationships/hyperlink" Target="https://www.law.com/thelegalintelligencer/search/?q=safe+injection+max+mitchell&amp;Submit=Search&amp;publication=The+Legal+Intelligencer&amp;source=falcon&amp;source=decisions&amp;startDate=&amp;endDate=" TargetMode="External"/><Relationship Id="rId392" Type="http://schemas.openxmlformats.org/officeDocument/2006/relationships/hyperlink" Target="https://www.muscalaw.com/blog/understanding-floridas-new-halo-law-and-its-impact-first-amendment-rights" TargetMode="External"/><Relationship Id="rId697" Type="http://schemas.openxmlformats.org/officeDocument/2006/relationships/hyperlink" Target="https://www.justice.gov/opa/speech/deputy-attorney-general-lisa-o-monaco-delivers-remarks-atf-academy-graduation" TargetMode="External"/><Relationship Id="rId2073" Type="http://schemas.openxmlformats.org/officeDocument/2006/relationships/hyperlink" Target="https://www.supremecourt.ohio.gov/rod/docs/pdf/3/2023/2023-Ohio-3429.pdf" TargetMode="External"/><Relationship Id="rId2280" Type="http://schemas.openxmlformats.org/officeDocument/2006/relationships/hyperlink" Target="https://www.plaintiffmagazine.com/recent-issues/item/ems-helicopter-crashes-raise-complex-liability-issues" TargetMode="External"/><Relationship Id="rId2378" Type="http://schemas.openxmlformats.org/officeDocument/2006/relationships/hyperlink" Target="https://casetext.com/case/abler-v-mayor-of-balt" TargetMode="External"/><Relationship Id="rId252" Type="http://schemas.openxmlformats.org/officeDocument/2006/relationships/hyperlink" Target="https://media.ca11.uscourts.gov/opinions/pub/files/201713526.pdf" TargetMode="External"/><Relationship Id="rId1187" Type="http://schemas.openxmlformats.org/officeDocument/2006/relationships/hyperlink" Target="http://masscases.com/cases/app/82/82massappct623.html" TargetMode="External"/><Relationship Id="rId2140" Type="http://schemas.openxmlformats.org/officeDocument/2006/relationships/hyperlink" Target="https://casetext.com/case/sutton-v-rockingham-cnty" TargetMode="External"/><Relationship Id="rId2585" Type="http://schemas.openxmlformats.org/officeDocument/2006/relationships/hyperlink" Target="https://www.dispatch.com/in-depth/news/2021/05/17/broken-pledge-fraternity-hazing-collin-wiant-death-ohio-university/5071265001/" TargetMode="External"/><Relationship Id="rId2792" Type="http://schemas.openxmlformats.org/officeDocument/2006/relationships/hyperlink" Target="https://www.law.cornell.edu/definitions/index.php?width=840&amp;height=800&amp;iframe=true&amp;def_id=9a9967765d66aa590fb1c23dca01a8bd&amp;term_occur=999&amp;term_src=Title:24:Subtitle:B:Chapter:II:Subchapter:I:Part:291:Subpart:F:291.530" TargetMode="External"/><Relationship Id="rId112" Type="http://schemas.openxmlformats.org/officeDocument/2006/relationships/hyperlink" Target="https://www.yahoo.com/news/ohio-county-cold-case-ends-102300006.html" TargetMode="External"/><Relationship Id="rId557" Type="http://schemas.openxmlformats.org/officeDocument/2006/relationships/hyperlink" Target="http://www.ca5.uscourts.gov/opinions/pub/17/17-30864-CV1.pdf" TargetMode="External"/><Relationship Id="rId764" Type="http://schemas.openxmlformats.org/officeDocument/2006/relationships/hyperlink" Target="https://www.npr.org/2021/03/04/973658292/supreme-court-makes-it-harder-for-undocumented-immigrants-to-fight-deportation" TargetMode="External"/><Relationship Id="rId971" Type="http://schemas.openxmlformats.org/officeDocument/2006/relationships/hyperlink" Target="https://cases.justia.com/texas/fourteenth-court-of-appeals/2019-14-17-00811-cv.pdf?ts=1572351542" TargetMode="External"/><Relationship Id="rId1394" Type="http://schemas.openxmlformats.org/officeDocument/2006/relationships/hyperlink" Target="https://public.fastcase.com/Wl%2B2t%2BeVuI35%2FN70vAMFZkY2nPlYZ3wtvIBy3YjdhH4Hysc14LIFQvAQrJXSfUWa" TargetMode="External"/><Relationship Id="rId1699" Type="http://schemas.openxmlformats.org/officeDocument/2006/relationships/hyperlink" Target="https://cases.justia.com/federal/district-courts/minnesota/mndce/0:2023cv01780/208467/146/0.pdf?ts=1750499803" TargetMode="External"/><Relationship Id="rId2000" Type="http://schemas.openxmlformats.org/officeDocument/2006/relationships/hyperlink" Target="https://cases.justia.com/missouri/court-of-appeals/2024-sd38313.pdf?ts=1724895006" TargetMode="External"/><Relationship Id="rId2238" Type="http://schemas.openxmlformats.org/officeDocument/2006/relationships/hyperlink" Target="https://www.hannah.com/ShowDocument.aspx?BTextID=219206" TargetMode="External"/><Relationship Id="rId2445" Type="http://schemas.openxmlformats.org/officeDocument/2006/relationships/hyperlink" Target="https://www.dispatch.com/story/news/crime/2025/05/22/columbus-firefighter-child-porn-charges-lancaster-ohio-carson-bigham/83795834007/" TargetMode="External"/><Relationship Id="rId2652" Type="http://schemas.openxmlformats.org/officeDocument/2006/relationships/hyperlink" Target="https://www.opn.ca6.uscourts.gov/opinions.pdf/19a0286p-06.pdf" TargetMode="External"/><Relationship Id="rId417" Type="http://schemas.openxmlformats.org/officeDocument/2006/relationships/hyperlink" Target="https://www.wjtv.com/news/local-news/court-upholds-mans-conviction-for-killing-jackson-firefighter/" TargetMode="External"/><Relationship Id="rId624" Type="http://schemas.openxmlformats.org/officeDocument/2006/relationships/hyperlink" Target="https://media.ca7.uscourts.gov/cgi-bin/OpinionsWeb/processWebInputExternal.pl?Submit=Display&amp;Path=Y2025/D10-16/C:25-2798:J:PerCuriam:aut:T:op:N:3439487:S:0" TargetMode="External"/><Relationship Id="rId831" Type="http://schemas.openxmlformats.org/officeDocument/2006/relationships/hyperlink" Target="https://www.wfaa.com/article/news/local/collin-county/supreme-court-declines-case-swat-team-mckinney-hostage-standoff/287-73f00e4e-b131-4285-b541-236c48ef79d0" TargetMode="External"/><Relationship Id="rId1047" Type="http://schemas.openxmlformats.org/officeDocument/2006/relationships/hyperlink" Target="https://ilcourtsaudio.blob.core.windows.net/antilles-resources/resources/b3c62d52-1215-4e2d-8145-22ad48aed626/Ceyer%20v.%20City%20of%20Berwyn,%202024%20IL%20App%20(1st)%20231538.pdf" TargetMode="External"/><Relationship Id="rId1254" Type="http://schemas.openxmlformats.org/officeDocument/2006/relationships/hyperlink" Target="http://publicdocs.courts.mi.gov/opinions/final/coa/20190226_c340579_35_340579.opn.pdf" TargetMode="External"/><Relationship Id="rId1461" Type="http://schemas.openxmlformats.org/officeDocument/2006/relationships/hyperlink" Target="https://casetext.com/case/dyer-v-city-of-new-orleans-2" TargetMode="External"/><Relationship Id="rId2305" Type="http://schemas.openxmlformats.org/officeDocument/2006/relationships/hyperlink" Target="https://cases.justia.com/federal/district-courts/kentucky/kyedce/5:2016cv00446/81785/59/0.pdf?ts=1529661227" TargetMode="External"/><Relationship Id="rId2512" Type="http://schemas.openxmlformats.org/officeDocument/2006/relationships/hyperlink" Target="https://midmichigannow.com/news/local/judge-rules-lawsuit-filed-by-former-fire-chief-against-flint-mayor-can-continue" TargetMode="External"/><Relationship Id="rId929" Type="http://schemas.openxmlformats.org/officeDocument/2006/relationships/hyperlink" Target="https://www.courts.mo.gov/file.jsp?id=205075" TargetMode="External"/><Relationship Id="rId1114" Type="http://schemas.openxmlformats.org/officeDocument/2006/relationships/hyperlink" Target="https://law.justia.com/cases/california/court-of-appeal/2022/a161575.html" TargetMode="External"/><Relationship Id="rId1321" Type="http://schemas.openxmlformats.org/officeDocument/2006/relationships/hyperlink" Target="https://caselaw.findlaw.com/court/fl-district-court-of-appeal/116085347.html" TargetMode="External"/><Relationship Id="rId1559" Type="http://schemas.openxmlformats.org/officeDocument/2006/relationships/hyperlink" Target="https://www.eeoc.gov/employees/timeliness.cfm" TargetMode="External"/><Relationship Id="rId1766" Type="http://schemas.openxmlformats.org/officeDocument/2006/relationships/hyperlink" Target="http://www.firefighterovertime.org/2021/11/08/va-beach-settles-flsa-lawsuit/" TargetMode="External"/><Relationship Id="rId1973" Type="http://schemas.openxmlformats.org/officeDocument/2006/relationships/hyperlink" Target="https://law.justia.com/cases/new-york/other-courts/2025/2025-ny-slip-op-25090.html" TargetMode="External"/><Relationship Id="rId2817" Type="http://schemas.openxmlformats.org/officeDocument/2006/relationships/hyperlink" Target="https://pascrell.house.gov/news/documentsingle.aspx?DocumentID=4933" TargetMode="External"/><Relationship Id="rId58" Type="http://schemas.openxmlformats.org/officeDocument/2006/relationships/hyperlink" Target="https://www.justice.gov/usao-mdla/pr/baton-rouge-man-indicted-use-fire-commit-felony-use-fire-maliciously-damage-property" TargetMode="External"/><Relationship Id="rId1419" Type="http://schemas.openxmlformats.org/officeDocument/2006/relationships/hyperlink" Target="https://www.law.com/nationallawjournal/2019/02/22/11th-circuit-pregnancy-bias-case-tests-2015-supreme-court-ruling/" TargetMode="External"/><Relationship Id="rId1626" Type="http://schemas.openxmlformats.org/officeDocument/2006/relationships/hyperlink" Target="https://public.fastcase.com/J%2FJP6pdidelsXxEE4k%2BLMiM7pwWb%2BJBiIrsmHTSQKCgTGoUCuPbfbRmZbIscWTRrl1YTX4iVhFAcHudcdl9kVeXDJy0GqMwEdaMu5Mx11Z8%3D" TargetMode="External"/><Relationship Id="rId1833" Type="http://schemas.openxmlformats.org/officeDocument/2006/relationships/hyperlink" Target="https://baltimorefishbowl.com/stories/howard-county-firefighters-medical-cannabis/" TargetMode="External"/><Relationship Id="rId1900" Type="http://schemas.openxmlformats.org/officeDocument/2006/relationships/hyperlink" Target="http://www.drugconsumptionroom-international.org/images/pdf/dcr_in_rotterdam_amsterdam.pdf" TargetMode="External"/><Relationship Id="rId2095" Type="http://schemas.openxmlformats.org/officeDocument/2006/relationships/hyperlink" Target="https://www.cbsnews.com/newyork/news/judge-strikes-down-pba-vaccine-mandate-orders-new-york-city-to-reinstate-unvaccinated-members/" TargetMode="External"/><Relationship Id="rId274" Type="http://schemas.openxmlformats.org/officeDocument/2006/relationships/hyperlink" Target="https://law.justia.com/cases/washington/court-of-appeals-division-ii/2021/53365-1.html" TargetMode="External"/><Relationship Id="rId481" Type="http://schemas.openxmlformats.org/officeDocument/2006/relationships/hyperlink" Target="https://casetext.com/statute/california-codes/california-civil-code/division-3-obligations/part-3-obligations-imposed-by-law/section-1714-responsibility-injury-occasioned-by-want-of-ordinary-care-or-skill-in-management-of-property-or-person-firearms-and-ammunition-not-exempted" TargetMode="External"/><Relationship Id="rId2162" Type="http://schemas.openxmlformats.org/officeDocument/2006/relationships/hyperlink" Target="https://nmonesource.com/nmos/nmsa/en/item/4422/index.do" TargetMode="External"/><Relationship Id="rId134" Type="http://schemas.openxmlformats.org/officeDocument/2006/relationships/hyperlink" Target="https://dronelife.com/2024/05/08/michigan-supreme-court-allows-drone-surveillance-evidence-in-civil-case/" TargetMode="External"/><Relationship Id="rId579" Type="http://schemas.openxmlformats.org/officeDocument/2006/relationships/hyperlink" Target="https://njcourts.gov/attorneys/assets/opinions/appellate/unpublished/a1346-17.pdf" TargetMode="External"/><Relationship Id="rId786" Type="http://schemas.openxmlformats.org/officeDocument/2006/relationships/hyperlink" Target="https://supreme.justia.com/cases/federal/us/444/507/" TargetMode="External"/><Relationship Id="rId993" Type="http://schemas.openxmlformats.org/officeDocument/2006/relationships/hyperlink" Target="https://cases.justia.com/delaware/supreme-court/2025-152-2025.pdf?ts=1764862317" TargetMode="External"/><Relationship Id="rId2467" Type="http://schemas.openxmlformats.org/officeDocument/2006/relationships/hyperlink" Target="https://www.courts.state.hi.us/wp-content/uploads/2025/06/CAAP-22-0000641sdo.pdf" TargetMode="External"/><Relationship Id="rId2674" Type="http://schemas.openxmlformats.org/officeDocument/2006/relationships/hyperlink" Target="https://d.docs.live.net/bd9b2eaf6053242e/AppData/Roaming/Microsoft/AppData/Local/Microsoft/Windows/INetCache/IE/7HZ56W7X/sweat.joseph.opn_.pdf" TargetMode="External"/><Relationship Id="rId341" Type="http://schemas.openxmlformats.org/officeDocument/2006/relationships/hyperlink" Target="https://cases.justia.com/pennsylvania/superior-court/2019-1121-mda-2017.pdf?ts=1547235373" TargetMode="External"/><Relationship Id="rId439" Type="http://schemas.openxmlformats.org/officeDocument/2006/relationships/hyperlink" Target="https://cases.justia.com/texas/eleventh-court-of-appeals/2024-11-22-00155-cr.pdf?ts=1726749633" TargetMode="External"/><Relationship Id="rId646" Type="http://schemas.openxmlformats.org/officeDocument/2006/relationships/hyperlink" Target="https://media.cadc.uscourts.gov/opinions/docs/2025/01/23-3074-2094718.pdf" TargetMode="External"/><Relationship Id="rId1069" Type="http://schemas.openxmlformats.org/officeDocument/2006/relationships/hyperlink" Target="https://caselaw.findlaw.com/court/fl-district-court-of-appeal/115346402.html" TargetMode="External"/><Relationship Id="rId1276" Type="http://schemas.openxmlformats.org/officeDocument/2006/relationships/hyperlink" Target="https://www.supremecourt.gov/opinions/17pdf/16-285_q8l1.pdf" TargetMode="External"/><Relationship Id="rId1483" Type="http://schemas.openxmlformats.org/officeDocument/2006/relationships/hyperlink" Target="https://cases.justia.com/federal/district-courts/kansas/ksdce/6:2022cv01032/140026/96/0.pdf?ts=1694273736" TargetMode="External"/><Relationship Id="rId2022" Type="http://schemas.openxmlformats.org/officeDocument/2006/relationships/hyperlink" Target="https://www.cnn.com/2003/US/Midwest/12/01/died.in.custody/index.html" TargetMode="External"/><Relationship Id="rId2327" Type="http://schemas.openxmlformats.org/officeDocument/2006/relationships/hyperlink" Target="https://www.courts.michigan.gov/494b62/siteassets/case-documents/uploads/opinions/final/coa/20260317_c372830_50_372830.opn.pdf" TargetMode="External"/><Relationship Id="rId201" Type="http://schemas.openxmlformats.org/officeDocument/2006/relationships/hyperlink" Target="https://www.supremecourt.ohio.gov/rod/docs/pdf/0/2022/2022-Ohio-2832.pdf" TargetMode="External"/><Relationship Id="rId506" Type="http://schemas.openxmlformats.org/officeDocument/2006/relationships/hyperlink" Target="https://www.firerescue1.com/fire-ems/articles/texas-firefighter-plunges-20-feet-off-overpass-at-crash-scene-lBARe4alhxd9zIr4/" TargetMode="External"/><Relationship Id="rId853" Type="http://schemas.openxmlformats.org/officeDocument/2006/relationships/hyperlink" Target="https://public.fastcase.com/J%2FJP6pdidelsXxEE4k%2BLMku%2FobbeA4O7XFFZreFgRQx%2BWZ7fzC1IhmGay6LSjTfKJi%2F0lJWfruI6T6uwjyLWcTFUlKk%2FJDuh9Eyt0JVbsGk%3D?utm_medium=email&amp;_hsmi=226712652&amp;_hsenc=p2ANqtz-8osvFL3X0gyhLaJKRyW92xrD2GPamYVB-ledl39OimVvrR3SDszthVFmIjtescLBDKIYLBKlOi8FN2nFy4wMQT_YiRlg&amp;utm_content=226712652&amp;utm_source=hs_email" TargetMode="External"/><Relationship Id="rId1136" Type="http://schemas.openxmlformats.org/officeDocument/2006/relationships/hyperlink" Target="https://casetext.com/case/clark-v-town-of-waterford" TargetMode="External"/><Relationship Id="rId1690" Type="http://schemas.openxmlformats.org/officeDocument/2006/relationships/hyperlink" Target="https://www.opn.ca6.uscourts.gov/opinions.pdf/19a0114p-06.pdf" TargetMode="External"/><Relationship Id="rId1788" Type="http://schemas.openxmlformats.org/officeDocument/2006/relationships/hyperlink" Target="https://public.fastcase.com/Wl%2B2t%2BeVuI35%2FN70vAMFZsSjCAViXICEJmEyj88%2Bo6FVmb%2F3MefopOCGEPTmoSc%2F" TargetMode="External"/><Relationship Id="rId1995" Type="http://schemas.openxmlformats.org/officeDocument/2006/relationships/hyperlink" Target="https://cases.justia.com/kentucky/court-of-appeals/2024-2023-ca-1033-mr.pdf?ts=1727446176" TargetMode="External"/><Relationship Id="rId2534" Type="http://schemas.openxmlformats.org/officeDocument/2006/relationships/hyperlink" Target="https://law.justia.com/cases/florida/third-district-court-of-appeal/2022/3d21-2413.html" TargetMode="External"/><Relationship Id="rId2741" Type="http://schemas.openxmlformats.org/officeDocument/2006/relationships/hyperlink" Target="https://www.supremecourt.ohio.gov/rod/docs/pdf/8/2022/2022-Ohio-2498.pdf" TargetMode="External"/><Relationship Id="rId713" Type="http://schemas.openxmlformats.org/officeDocument/2006/relationships/hyperlink" Target="https://www.supremecourt.gov/opinions/21pdf/21a477_1bo2.pdf" TargetMode="External"/><Relationship Id="rId920" Type="http://schemas.openxmlformats.org/officeDocument/2006/relationships/hyperlink" Target="https://abc7.com/orange-crash-fire-truck-motorcycle-and/5333918/" TargetMode="External"/><Relationship Id="rId1343" Type="http://schemas.openxmlformats.org/officeDocument/2006/relationships/hyperlink" Target="https://www.justice.gov/usao-sdny/pr/united-states-sues-townvillage-harrison-new-york-and-its-fire-department-discrimination" TargetMode="External"/><Relationship Id="rId1550" Type="http://schemas.openxmlformats.org/officeDocument/2006/relationships/hyperlink" Target="https://www.law.com/nationallawjournal/2020/03/23/why-ginsburg-joined-a-ruling-civil-rights-advocates-decry-as-terrible/" TargetMode="External"/><Relationship Id="rId1648" Type="http://schemas.openxmlformats.org/officeDocument/2006/relationships/hyperlink" Target="https://www.justice.gov/opa/blog/americans-disabilities-act-30th-anniversary-furthering-promise" TargetMode="External"/><Relationship Id="rId2601" Type="http://schemas.openxmlformats.org/officeDocument/2006/relationships/hyperlink" Target="http://masscases.com/cases/app/82/82massappct623.html" TargetMode="External"/><Relationship Id="rId1203" Type="http://schemas.openxmlformats.org/officeDocument/2006/relationships/hyperlink" Target="https://www.supremecourt.ohio.gov/rod/docs/pdf/0/2009/2009-Ohio-2597.pdf" TargetMode="External"/><Relationship Id="rId1410" Type="http://schemas.openxmlformats.org/officeDocument/2006/relationships/hyperlink" Target="https://www.eeoc.gov/laws/types/harassment.cfm" TargetMode="External"/><Relationship Id="rId1508" Type="http://schemas.openxmlformats.org/officeDocument/2006/relationships/hyperlink" Target="https://codes.ohio.gov/ohio-revised-code/section-9.481" TargetMode="External"/><Relationship Id="rId1855" Type="http://schemas.openxmlformats.org/officeDocument/2006/relationships/hyperlink" Target="https://cases.justia.com/federal/district-courts/california/candce/3:2024cv00614/424391/24/0.pdf" TargetMode="External"/><Relationship Id="rId1715" Type="http://schemas.openxmlformats.org/officeDocument/2006/relationships/hyperlink" Target="https://public.fastcase.com/H1P9uiW3J20SFp%2BGCG%2BxLZy365%2FN0MVDalUuZRIy4n4W%2BHhfv4X1Vzo9ca%2F3mj3k?utm_medium=email&amp;_hsenc=p2ANqtz-8KCYiZyhHUOjRg0MO9pgx_C58MSGHRNzoS8NOUFD5AstP_fG6MazYJg2nKApB1QIRI0-vQrIVEAwfGYCTHYw0GOi6xfA&amp;_hsmi=226712652&amp;utm_content=226712652&amp;utm_source=hs_email" TargetMode="External"/><Relationship Id="rId1922" Type="http://schemas.openxmlformats.org/officeDocument/2006/relationships/hyperlink" Target="https://www.youtube.com/watch?v=_LFgzOE_WU8" TargetMode="External"/><Relationship Id="rId296" Type="http://schemas.openxmlformats.org/officeDocument/2006/relationships/hyperlink" Target="http://www.firelawblog.com/wp-content/uploads/sites/19/2011/02/becker_final_ruling1.pdf" TargetMode="External"/><Relationship Id="rId2184" Type="http://schemas.openxmlformats.org/officeDocument/2006/relationships/hyperlink" Target="https://codes.ohio.gov/ohio-revised-code/section-4765.49" TargetMode="External"/><Relationship Id="rId2391" Type="http://schemas.openxmlformats.org/officeDocument/2006/relationships/hyperlink" Target="https://search-prod.lis.state.oh.us/solarapi/v1/general_assembly_133/bills/hb308/EN/06?format=pdf" TargetMode="External"/><Relationship Id="rId156" Type="http://schemas.openxmlformats.org/officeDocument/2006/relationships/hyperlink" Target="https://public.fastcase.com/ZZhmr5v9wN%2FXOe5IsQ%2FqDx2aoAq%2F1J3XMBw8WA8L1d7o8S2WtY%2BTDnBn3n2%2F0y8X6CyWkgilV2OmVPwbi%2FNntkvFVphnueZifNbADUBhdiU%3D?utm_medium=email&amp;_hsmi=226712652&amp;_hsenc=p2ANqtz--A7cSCsQiKnmkWIbrJV3BH1NDDsIsoOUsxX371tCp7kUULX-TDL4poIpgmi8VFxIZ6Go7w0Api1t7_UP6pxMUzbV5FWQ&amp;utm_content=226712652&amp;utm_source=hs_email" TargetMode="External"/><Relationship Id="rId363" Type="http://schemas.openxmlformats.org/officeDocument/2006/relationships/hyperlink" Target="https://caselaw.findlaw.com/sc-court-of-appeals/1893632.html" TargetMode="External"/><Relationship Id="rId570" Type="http://schemas.openxmlformats.org/officeDocument/2006/relationships/hyperlink" Target="https://cases.justia.com/kentucky/court-of-appeals/2019-2019-ca-000504-wc.pdf?ts=1562940239" TargetMode="External"/><Relationship Id="rId2044" Type="http://schemas.openxmlformats.org/officeDocument/2006/relationships/hyperlink" Target="https://casetext.com/case/louis-v-liberty-cnty-emergency-med-servs-3" TargetMode="External"/><Relationship Id="rId2251" Type="http://schemas.openxmlformats.org/officeDocument/2006/relationships/hyperlink" Target="http://www.leg.state.fl.us/statutes/index.cfm?App_mode=Display_Statute&amp;Search_String=&amp;URL=0100-0199/0112/Sections/0112.182.html" TargetMode="External"/><Relationship Id="rId2489" Type="http://schemas.openxmlformats.org/officeDocument/2006/relationships/hyperlink" Target="https://www.njcourts.gov/system/files/court-opinions/2024/a1537-22.pdf" TargetMode="External"/><Relationship Id="rId2696" Type="http://schemas.openxmlformats.org/officeDocument/2006/relationships/hyperlink" Target="https://caselaw.findlaw.com/court/ny-supreme-court-appellate-division/117059772.html" TargetMode="External"/><Relationship Id="rId223" Type="http://schemas.openxmlformats.org/officeDocument/2006/relationships/hyperlink" Target="https://www.aar.org/wp-content/uploads/2020/02/AAR-Occupied-Crossings-Fact-Sheet.pdf" TargetMode="External"/><Relationship Id="rId430" Type="http://schemas.openxmlformats.org/officeDocument/2006/relationships/hyperlink" Target="https://casetext.com/case/christensen-v-murphy" TargetMode="External"/><Relationship Id="rId668" Type="http://schemas.openxmlformats.org/officeDocument/2006/relationships/hyperlink" Target="https://casetext.com/case/quinn-v-the-bd-of-trs-of-fire-dept-of-city-of-ny-pension-fund" TargetMode="External"/><Relationship Id="rId875" Type="http://schemas.openxmlformats.org/officeDocument/2006/relationships/hyperlink" Target="https://casetext.com/case/county-of-sacramento-v-lewis" TargetMode="External"/><Relationship Id="rId1060" Type="http://schemas.openxmlformats.org/officeDocument/2006/relationships/hyperlink" Target="https://casetext.com/case/pastrana-v-nyc-fire-pension-fund" TargetMode="External"/><Relationship Id="rId1298" Type="http://schemas.openxmlformats.org/officeDocument/2006/relationships/hyperlink" Target="https://cases.justia.com/california/court-of-appeal/2025-b327196.pdf?ts=1748039442" TargetMode="External"/><Relationship Id="rId2111" Type="http://schemas.openxmlformats.org/officeDocument/2006/relationships/hyperlink" Target="https://www.law.cornell.edu/definitions/uscode.php?width=840&amp;height=800&amp;iframe=true&amp;def_id=42-USC-303628742-1009355614&amp;term_occur=999&amp;term_src=" TargetMode="External"/><Relationship Id="rId2349" Type="http://schemas.openxmlformats.org/officeDocument/2006/relationships/hyperlink" Target="https://casetext.com/case/shaw-v-kittitas-valley-fire-rescue" TargetMode="External"/><Relationship Id="rId2556" Type="http://schemas.openxmlformats.org/officeDocument/2006/relationships/hyperlink" Target="https://cases.justia.com/texas/eleventh-court-of-appeals/2022-11-21-00026-cv.pdf?ts=1659010960" TargetMode="External"/><Relationship Id="rId2763" Type="http://schemas.openxmlformats.org/officeDocument/2006/relationships/hyperlink" Target="https://public.fastcase.com/Wl%2B2t%2BeVuI35%2FN70vAMFZl7A1gE73iKGMMI%2FPLrMqXgHwn%2FVp9h90PlANd5CkjNU" TargetMode="External"/><Relationship Id="rId528" Type="http://schemas.openxmlformats.org/officeDocument/2006/relationships/hyperlink" Target="https://www.supremecourt.ohio.gov/rod/docs/pdf/0/2021/2021-Ohio-2067.pdf" TargetMode="External"/><Relationship Id="rId735" Type="http://schemas.openxmlformats.org/officeDocument/2006/relationships/hyperlink" Target="https://home.treasury.gov/policy-issues/financial-sanctions/specially-designated-nationals-and-blocked-persons-list-sdn-human-readable-lists" TargetMode="External"/><Relationship Id="rId942" Type="http://schemas.openxmlformats.org/officeDocument/2006/relationships/hyperlink" Target="https://codes.ohio.gov/ohio-administrative-code/rule-3335-21-12" TargetMode="External"/><Relationship Id="rId1158" Type="http://schemas.openxmlformats.org/officeDocument/2006/relationships/hyperlink" Target="https://www.monastlaw.com/library/scheduled-loss-compensation-after-amputation-or-loss-of-use.cfm" TargetMode="External"/><Relationship Id="rId1365" Type="http://schemas.openxmlformats.org/officeDocument/2006/relationships/hyperlink" Target="https://www.mass.gov/doc/blanchette-tracy-v-city-of-methuen-111821/download" TargetMode="External"/><Relationship Id="rId1572" Type="http://schemas.openxmlformats.org/officeDocument/2006/relationships/hyperlink" Target="https://cases.justia.com/federal/district-courts/ohio/ohsdce/2:2023cv02466/282351/63/0.pdf?ts=1771088328" TargetMode="External"/><Relationship Id="rId2209" Type="http://schemas.openxmlformats.org/officeDocument/2006/relationships/hyperlink" Target="https://law.justia.com/cases/delaware/superior-court/2021/n17c-10-149-alr.html" TargetMode="External"/><Relationship Id="rId2416" Type="http://schemas.openxmlformats.org/officeDocument/2006/relationships/hyperlink" Target="https://nola.gov/getattachment/a5d775b2-685d-43c3-a7ff-ae60a9dcf745/Murphy,-Michael-9697-9698/" TargetMode="External"/><Relationship Id="rId2623" Type="http://schemas.openxmlformats.org/officeDocument/2006/relationships/hyperlink" Target="https://www.dmlp.org/legal-guide/california-recording-law" TargetMode="External"/><Relationship Id="rId1018" Type="http://schemas.openxmlformats.org/officeDocument/2006/relationships/hyperlink" Target="https://cases.justia.com/louisiana/fourth-circuit-court-of-appeal/2025-2024-ca-0747.pdf?ts=1746576943" TargetMode="External"/><Relationship Id="rId1225" Type="http://schemas.openxmlformats.org/officeDocument/2006/relationships/hyperlink" Target="https://www.azcourts.gov/Portals/0/OpinionFiles/Div1/2020/1%20CA-IC%2019-0036%20-%20Forbach.pdf" TargetMode="External"/><Relationship Id="rId1432" Type="http://schemas.openxmlformats.org/officeDocument/2006/relationships/hyperlink" Target="https://www.mdcourts.gov/sites/default/files/unreported-opinions/1234s24.pdf" TargetMode="External"/><Relationship Id="rId1877" Type="http://schemas.openxmlformats.org/officeDocument/2006/relationships/hyperlink" Target="https://www.supremecourt.gov/docket/docketfiles/html/public/20-7934.html" TargetMode="External"/><Relationship Id="rId2830" Type="http://schemas.openxmlformats.org/officeDocument/2006/relationships/fontTable" Target="fontTable.xml"/><Relationship Id="rId71" Type="http://schemas.openxmlformats.org/officeDocument/2006/relationships/hyperlink" Target="https://cases.justia.com/indiana/court-of-appeals/2025-24a-cr-01673.pdf?ts=1746121391" TargetMode="External"/><Relationship Id="rId802" Type="http://schemas.openxmlformats.org/officeDocument/2006/relationships/hyperlink" Target="https://www2.ca3.uscourts.gov/opinarch/182648p.pdf" TargetMode="External"/><Relationship Id="rId1737" Type="http://schemas.openxmlformats.org/officeDocument/2006/relationships/hyperlink" Target="https://www.opb.org/article/2023/05/28/private-oregon-firefighting-company-fined-180000-dollars-after-us-labor-investigation/" TargetMode="External"/><Relationship Id="rId1944" Type="http://schemas.openxmlformats.org/officeDocument/2006/relationships/hyperlink" Target="https://cases.justia.com/illinois/court-of-appeals-fifth-appellate-district/2025-5-24-0729-0.pdf?ts=1764692248" TargetMode="External"/><Relationship Id="rId29" Type="http://schemas.openxmlformats.org/officeDocument/2006/relationships/hyperlink" Target="https://www.youtube.com/watch?v=lqmk210Y9sk" TargetMode="External"/><Relationship Id="rId178" Type="http://schemas.openxmlformats.org/officeDocument/2006/relationships/hyperlink" Target="https://www.leagle.com/decision/infdco20230413c44" TargetMode="External"/><Relationship Id="rId1804" Type="http://schemas.openxmlformats.org/officeDocument/2006/relationships/hyperlink" Target="https://www.law.cornell.edu/uscode/text/29/207" TargetMode="External"/><Relationship Id="rId385" Type="http://schemas.openxmlformats.org/officeDocument/2006/relationships/hyperlink" Target="https://www.hbsslaw.com/press/pfas-firefighter-turnout-gear/montana-court-denies-motions-to-dismiss-class-action-lawsuit-fighting-pfas-in-firefighter-turnout-gear" TargetMode="External"/><Relationship Id="rId592" Type="http://schemas.openxmlformats.org/officeDocument/2006/relationships/hyperlink" Target="https://www.ca10.uscourts.gov/opinions/14/14-3157.pdf" TargetMode="External"/><Relationship Id="rId2066" Type="http://schemas.openxmlformats.org/officeDocument/2006/relationships/hyperlink" Target="https://public.fastcase.com/ZZhmr5v9wN%2FXOe5IsQ%2FqD%2B1qjdbNtrbKnJG3uP2WWVmhlF8pu7dlSanIpJbUEtpE?utm_medium=email&amp;_hsmi=226712652&amp;_hsenc=p2ANqtz-_3swjkE_U3wk1h5U8jVat2QL8kZwPHoy86W6A4pHNVHtwV__0ZHK6m0x71w6miyP2O__WwBW9V-f993pnbFbogevKSBQ&amp;utm_content=226712652&amp;utm_source=hs_email" TargetMode="External"/><Relationship Id="rId2273" Type="http://schemas.openxmlformats.org/officeDocument/2006/relationships/hyperlink" Target="https://law.justia.com/cases/federal/appellate-courts/ca10/18-7036/18-7036-2019-09-06.html" TargetMode="External"/><Relationship Id="rId2480" Type="http://schemas.openxmlformats.org/officeDocument/2006/relationships/hyperlink" Target="https://public.fastcase.com/jaEE2PXzRXmZ99jOLMt1IvnyNWPww1WM4x9Gu%2FtN0VhNRAtIpNmmlJ0KM%2F7ZbO911LK6og3L2kiKY%2FASa5mScG8uOsEhAwFbnlzs62F6rSE%3D?utm_medium=email&amp;_hsenc=p2ANqtz-8WZqH_E7rdb_OeZm87WsAQDzZautt0uiTp2Bj7gwVxym265a6f7pCBzZ-RPNW5j-Z8_i7kqeL1it9h0mjMyyn0Q0mh5A&amp;_hsmi=226712652&amp;utm_content=226712652&amp;utm_source=hs_email" TargetMode="External"/><Relationship Id="rId245" Type="http://schemas.openxmlformats.org/officeDocument/2006/relationships/hyperlink" Target="https://casetext.com/case/ciempa-v-city-of-del-city" TargetMode="External"/><Relationship Id="rId452" Type="http://schemas.openxmlformats.org/officeDocument/2006/relationships/hyperlink" Target="https://casetext.com/statute/florida-statutes/title-x-public-officers-employees-and-records/chapter-112-public-officers-and-employees-general-provisions/part-i-conditions-of-employment-retirement-travel-expenses/section-112182-firefighter-rule-abolished" TargetMode="External"/><Relationship Id="rId897" Type="http://schemas.openxmlformats.org/officeDocument/2006/relationships/hyperlink" Target="https://public.fastcase.com/Wl%2B2t%2BeVuI35%2FN70vAMFZn8FExk2ons8UFiGzSPZ6Ig%2B2pF54RtCKp9IHiewQM23" TargetMode="External"/><Relationship Id="rId1082" Type="http://schemas.openxmlformats.org/officeDocument/2006/relationships/hyperlink" Target="https://casetext.com/case/lexington-fayette-urban-cnty-govt-v-gosper-1" TargetMode="External"/><Relationship Id="rId2133" Type="http://schemas.openxmlformats.org/officeDocument/2006/relationships/hyperlink" Target="https://www.dallasobserver.com/news/kyle-vess-court-rules-lawsuit-against-city-and-former-paramedic-can-move-forward-14303422" TargetMode="External"/><Relationship Id="rId2340" Type="http://schemas.openxmlformats.org/officeDocument/2006/relationships/hyperlink" Target="https://hr.cch.com/ELD/FisherLansing042925.pdf" TargetMode="External"/><Relationship Id="rId2578" Type="http://schemas.openxmlformats.org/officeDocument/2006/relationships/hyperlink" Target="https://public.fastcase.com/9SKwsfNqTc6OieYDhNMyM%2B9QVlF%2Fi0C7FBtpVDfGBEJTuxz2gLXEBOyZ2MTUN6p67t66EUS4%2BwzN2KZQmb95HSCpSxhJK4uvhgP9XZ8nBIo%3D" TargetMode="External"/><Relationship Id="rId2785" Type="http://schemas.openxmlformats.org/officeDocument/2006/relationships/hyperlink" Target="https://isc.idaho.gov/opinions/51312.pdf" TargetMode="External"/><Relationship Id="rId105" Type="http://schemas.openxmlformats.org/officeDocument/2006/relationships/hyperlink" Target="https://www.courthousenews.com/wp-content/uploads/2024/09/wholesale-fireworks-ruling.pdf" TargetMode="External"/><Relationship Id="rId312" Type="http://schemas.openxmlformats.org/officeDocument/2006/relationships/hyperlink" Target="https://drive.google.com/file/d/1VWwIseEl7gdzhv6UxgyZNZeTX7Y_8-m_/view" TargetMode="External"/><Relationship Id="rId757" Type="http://schemas.openxmlformats.org/officeDocument/2006/relationships/hyperlink" Target="https://www.law.cornell.edu/definitions/uscode.php?width=840&amp;height=800&amp;iframe=true&amp;def_id=8-USC-2124716147-1201680062&amp;term_occur=999&amp;term_src=title:8:chapter:12:subchapter:II:part:IV:section:1229b" TargetMode="External"/><Relationship Id="rId964" Type="http://schemas.openxmlformats.org/officeDocument/2006/relationships/hyperlink" Target="https://www.tremcopoliceproducts.com/" TargetMode="External"/><Relationship Id="rId1387" Type="http://schemas.openxmlformats.org/officeDocument/2006/relationships/hyperlink" Target="https://www.uticaod.com/news/20190925/ex-utica-firefighter-found-guilty-on-all-charges" TargetMode="External"/><Relationship Id="rId1594" Type="http://schemas.openxmlformats.org/officeDocument/2006/relationships/hyperlink" Target="https://www.supremecourt.gov/orders/courtorders/062424zor_e18f.pdf" TargetMode="External"/><Relationship Id="rId2200" Type="http://schemas.openxmlformats.org/officeDocument/2006/relationships/hyperlink" Target="https://codes.ohio.gov/ohio-revised-code/section-4765.49" TargetMode="External"/><Relationship Id="rId2438" Type="http://schemas.openxmlformats.org/officeDocument/2006/relationships/hyperlink" Target="https://www4.courts.ca.gov/opinions/nonpub/B333041.PDF" TargetMode="External"/><Relationship Id="rId2645" Type="http://schemas.openxmlformats.org/officeDocument/2006/relationships/hyperlink" Target="https://www.supremecourt.ohio.gov/rod/docs/pdf/11/2019/2019-Ohio-5062.pdf" TargetMode="External"/><Relationship Id="rId93" Type="http://schemas.openxmlformats.org/officeDocument/2006/relationships/hyperlink" Target="https://www.tncourts.gov/sites/default/files/OpinionsPDFVersion/Majority%20Opinion%20-%20M2023-01176-CCA-R3-CD.pdf" TargetMode="External"/><Relationship Id="rId617" Type="http://schemas.openxmlformats.org/officeDocument/2006/relationships/hyperlink" Target="https://www.hstoday.us/fema-dhs-federal-pages/column-federal-courts-block-dhs-and-fema-dei-grant-conditions/" TargetMode="External"/><Relationship Id="rId824" Type="http://schemas.openxmlformats.org/officeDocument/2006/relationships/hyperlink" Target="https://www.congress.gov/crs-product/R45732" TargetMode="External"/><Relationship Id="rId1247" Type="http://schemas.openxmlformats.org/officeDocument/2006/relationships/hyperlink" Target="http://www.pacourts.us/assets/opinions/Commonwealth/out/877CD18_3-25-19.pdf?cb=1" TargetMode="External"/><Relationship Id="rId1454" Type="http://schemas.openxmlformats.org/officeDocument/2006/relationships/hyperlink" Target="https://www.justice.gov/opa/pr/attorney-general-pam-bondi-dismisses-dei-lawsuits-involving-police-officers-and-firefighters" TargetMode="External"/><Relationship Id="rId1661" Type="http://schemas.openxmlformats.org/officeDocument/2006/relationships/hyperlink" Target="https://www.justice.gov/opa/pr/justice-department-reaches-agreement-city-and-county-denver-resolve-disability-discrimination" TargetMode="External"/><Relationship Id="rId1899" Type="http://schemas.openxmlformats.org/officeDocument/2006/relationships/hyperlink" Target="https://law.justia.com/cases/federal/appellate-courts/ca3/20-1422/20-1422-2021-01-12.html" TargetMode="External"/><Relationship Id="rId2505" Type="http://schemas.openxmlformats.org/officeDocument/2006/relationships/hyperlink" Target="https://www.courtswv.gov/sites/default/pubfilesmnt/2023-12/22-ICA-267_MD.pdf" TargetMode="External"/><Relationship Id="rId2712" Type="http://schemas.openxmlformats.org/officeDocument/2006/relationships/hyperlink" Target="https://jud.ct.gov/Superiorcourt/MOD/DocumentPreview.aspx?RandomKey=6CFC6C5D-9DDA-4D98-859D-8C6104A0B311" TargetMode="External"/><Relationship Id="rId1107" Type="http://schemas.openxmlformats.org/officeDocument/2006/relationships/hyperlink" Target="https://www.leagle.com/decision/inohco20220627386" TargetMode="External"/><Relationship Id="rId1314" Type="http://schemas.openxmlformats.org/officeDocument/2006/relationships/hyperlink" Target="https://www.opn.ca6.uscourts.gov/opinions.pdf/23a0264p-06.pdf" TargetMode="External"/><Relationship Id="rId1521" Type="http://schemas.openxmlformats.org/officeDocument/2006/relationships/hyperlink" Target="https://www.justice.gov/crt/case-document/file/1419071/download" TargetMode="External"/><Relationship Id="rId1759" Type="http://schemas.openxmlformats.org/officeDocument/2006/relationships/hyperlink" Target="https://www.law.cornell.edu/uscode/text/29/201" TargetMode="External"/><Relationship Id="rId1966" Type="http://schemas.openxmlformats.org/officeDocument/2006/relationships/hyperlink" Target="https://cases.justia.com/west-virginia/intermediate-court-of-appeals/2025-24-ica-364.pdf?ts=1749239242" TargetMode="External"/><Relationship Id="rId1619" Type="http://schemas.openxmlformats.org/officeDocument/2006/relationships/hyperlink" Target="https://public.fastcase.com/ZZhmr5v9wN%2FXOe5IsQ%2FqD5cOg4uDiWBiDgRVwEX7HkTgzpDy2YRC9dWsCSpL5q7NwLkYpJ%2BBy0X6CQVC4aXC0tZJlDrCMk2fa2%2Fy73T5jjU%3D?utm_medium=email&amp;_hsmi=226712652&amp;_hsenc=p2ANqtz-8FJorPS84jztogf_8o7olLe4m03Y-oUT6vKuzTkvf9gKaTxn2WPOeYqAoz6gwdnY0JMEeLDG0EyTmUqJkqtPPBYQ-lng&amp;utm_content=226712652&amp;utm_source=hs_email" TargetMode="External"/><Relationship Id="rId1826" Type="http://schemas.openxmlformats.org/officeDocument/2006/relationships/hyperlink" Target="https://www.dol.gov/whd/opinion/FLSA/2018/2018_01_05_16_FLSA.pdf" TargetMode="External"/><Relationship Id="rId20" Type="http://schemas.openxmlformats.org/officeDocument/2006/relationships/hyperlink" Target="http://www.waveland.com/browse.php?t=708" TargetMode="External"/><Relationship Id="rId2088" Type="http://schemas.openxmlformats.org/officeDocument/2006/relationships/hyperlink" Target="https://s3.amazonaws.com/jnswire/jns-media/e9/3e/12863006/unions_v_chicago_vax_ilrb_alj.pdf" TargetMode="External"/><Relationship Id="rId2295" Type="http://schemas.openxmlformats.org/officeDocument/2006/relationships/hyperlink" Target="https://www.bizjournals.com/columbus/news/2018/09/20/new-ohio-law-incentivizes-businesses-that-comply.html" TargetMode="External"/><Relationship Id="rId267" Type="http://schemas.openxmlformats.org/officeDocument/2006/relationships/hyperlink" Target="mailto:susan.willeke@ethics.ohio.gov" TargetMode="External"/><Relationship Id="rId474" Type="http://schemas.openxmlformats.org/officeDocument/2006/relationships/hyperlink" Target="https://www.firehero.org/fallen-firefighter/russell-h-hayes/" TargetMode="External"/><Relationship Id="rId2155" Type="http://schemas.openxmlformats.org/officeDocument/2006/relationships/hyperlink" Target="https://www.courts.ri.gov/Courts/SupremeCourt/SupremeOpinions/19-373.pdf?fbclid=IwAR381gBQH8M88N6_xqsP3bwAIxYvF38ngnKZywLKveA_XCbfEKJg9F5lDvI" TargetMode="External"/><Relationship Id="rId127" Type="http://schemas.openxmlformats.org/officeDocument/2006/relationships/hyperlink" Target="https://www.opn.ca6.uscourts.gov/opinions.pdf/24a0323n-06.pdf" TargetMode="External"/><Relationship Id="rId681" Type="http://schemas.openxmlformats.org/officeDocument/2006/relationships/hyperlink" Target="https://caselaw.findlaw.com/court/us-7th-circuit/114903686.html" TargetMode="External"/><Relationship Id="rId779" Type="http://schemas.openxmlformats.org/officeDocument/2006/relationships/hyperlink" Target="https://www.supremecourt.gov/opinions/19pdf/19-161_g314.pdf" TargetMode="External"/><Relationship Id="rId986" Type="http://schemas.openxmlformats.org/officeDocument/2006/relationships/hyperlink" Target="https://cases.justia.com/federal/appellate-courts/ca2/23-1218/23-1218-2026-04-30.pdf?ts=1777566611" TargetMode="External"/><Relationship Id="rId2362" Type="http://schemas.openxmlformats.org/officeDocument/2006/relationships/hyperlink" Target="https://codes.ohio.gov/ohio-revised-code/section-5122.10/9-17-2014" TargetMode="External"/><Relationship Id="rId2667" Type="http://schemas.openxmlformats.org/officeDocument/2006/relationships/hyperlink" Target="https://www.njcourts.gov/attorneys/assets/opinions/supreme/a_58_16.pdf" TargetMode="External"/><Relationship Id="rId334" Type="http://schemas.openxmlformats.org/officeDocument/2006/relationships/hyperlink" Target="https://cases.justia.com/federal/district-courts/colorado/codce/1:2017cv02034/173671/65/0.pdf?ts=1551517811" TargetMode="External"/><Relationship Id="rId541" Type="http://schemas.openxmlformats.org/officeDocument/2006/relationships/hyperlink" Target="https://codes.findlaw.com/ny/general-obligations-law/gob-sect-11-106.html" TargetMode="External"/><Relationship Id="rId639" Type="http://schemas.openxmlformats.org/officeDocument/2006/relationships/hyperlink" Target="https://d3i6fh83elv35t.cloudfront.net/static/2025/05/gov.uscourts.txsd_.2000771.58.0_1.pdf" TargetMode="External"/><Relationship Id="rId1171" Type="http://schemas.openxmlformats.org/officeDocument/2006/relationships/hyperlink" Target="https://apps.leg.wa.gov/rcw/default.aspx?cite=51.32.185" TargetMode="External"/><Relationship Id="rId1269" Type="http://schemas.openxmlformats.org/officeDocument/2006/relationships/hyperlink" Target="https://www.njcourts.gov/attorneys/assets/opinions/appellate/unpublished/a5206-15.pdf?cacheID=tO9Al6f" TargetMode="External"/><Relationship Id="rId1476" Type="http://schemas.openxmlformats.org/officeDocument/2006/relationships/hyperlink" Target="https://casetext.com/case/potter-v-district-of-columbia-2" TargetMode="External"/><Relationship Id="rId2015" Type="http://schemas.openxmlformats.org/officeDocument/2006/relationships/hyperlink" Target="https://www.law.cornell.edu/wex/excited_utterance" TargetMode="External"/><Relationship Id="rId2222" Type="http://schemas.openxmlformats.org/officeDocument/2006/relationships/hyperlink" Target="https://casetext.com/case/benny-v-concord-partners-46th-st-llc-2" TargetMode="External"/><Relationship Id="rId401" Type="http://schemas.openxmlformats.org/officeDocument/2006/relationships/hyperlink" Target="https://cases.justia.com/federal/district-courts/new-york/nysdce/7:2024cv04470/623029/85/0.pdf?ts=1756903853" TargetMode="External"/><Relationship Id="rId846" Type="http://schemas.openxmlformats.org/officeDocument/2006/relationships/hyperlink" Target="https://casetext.com/case/borel-v-city-of-murrieta" TargetMode="External"/><Relationship Id="rId1031" Type="http://schemas.openxmlformats.org/officeDocument/2006/relationships/hyperlink" Target="https://www.njcourts.gov/system/files/court-opinions/2025/a0585-22.pdf" TargetMode="External"/><Relationship Id="rId1129" Type="http://schemas.openxmlformats.org/officeDocument/2006/relationships/hyperlink" Target="https://casetext.com/case/bradley-v-city-of-olympia" TargetMode="External"/><Relationship Id="rId1683" Type="http://schemas.openxmlformats.org/officeDocument/2006/relationships/hyperlink" Target="https://public.fastcase.com/Jhe1Qn%2BmJndQYQU6z%2FeNm%2BPcmzEUVte9Pmbex8cM1KJhQVcQIKDJJA5UPuX3qlPH?utm_medium=email&amp;_hsenc=p2ANqtz-9n4bTEROfuVqHNVuq5wnBdHGUWCVVD7aN6VD7jCXCE8dULoI4uW2020fH1jBBreK2QqG5jL3hff-Wxt2LEWhDNRofrqw&amp;_hsmi=226712652&amp;utm_content=226712652&amp;utm_source=hs_email" TargetMode="External"/><Relationship Id="rId1890" Type="http://schemas.openxmlformats.org/officeDocument/2006/relationships/hyperlink" Target="https://law.justia.com/cases/louisiana/fourth-circuit-court-of-appeal/2021/2021-ca-0070.html" TargetMode="External"/><Relationship Id="rId1988" Type="http://schemas.openxmlformats.org/officeDocument/2006/relationships/hyperlink" Target="https://cafc.uscourts.gov/opinions-orders/24-1104.OPINION.12-9-2024_2432337.pdf" TargetMode="External"/><Relationship Id="rId2527" Type="http://schemas.openxmlformats.org/officeDocument/2006/relationships/hyperlink" Target="https://www.supremecourt.gov/opinions/22pdf/22-138_43j7.pdf" TargetMode="External"/><Relationship Id="rId2734" Type="http://schemas.openxmlformats.org/officeDocument/2006/relationships/hyperlink" Target="https://www.nycourts.gov/ctapps/Decisions/2022/Dec22/96opn22-Decision.pdf%20\" TargetMode="External"/><Relationship Id="rId706" Type="http://schemas.openxmlformats.org/officeDocument/2006/relationships/hyperlink" Target="https://www.politico.com/news/2022/06/30/white-house-immigration-supreme-court-win-00043667" TargetMode="External"/><Relationship Id="rId913" Type="http://schemas.openxmlformats.org/officeDocument/2006/relationships/hyperlink" Target="https://cases.justia.com/texas/fourteenth-court-of-appeals/2025-14-24-00312-cv.pdf?ts=1753189995" TargetMode="External"/><Relationship Id="rId1336" Type="http://schemas.openxmlformats.org/officeDocument/2006/relationships/hyperlink" Target="https://public.fastcase.com/" TargetMode="External"/><Relationship Id="rId1543" Type="http://schemas.openxmlformats.org/officeDocument/2006/relationships/hyperlink" Target="https://casetext.com/case/murray-v-city-of-warren-1" TargetMode="External"/><Relationship Id="rId1750" Type="http://schemas.openxmlformats.org/officeDocument/2006/relationships/hyperlink" Target="https://public.fastcase.com/J%2FJP6pdidelsXxEE4k%2BLMiCd6Oijia%2Fc6dpDEIpvDgGdBy7usCtPvTYolvlwqFI2OWdzcN0GLk8kd6eOjq%2BBgMFCfp0NjuKJ0H4Eu6Lk4a8%3D?utm_medium=email&amp;_hsmi=226712652&amp;_hsenc=p2ANqtz-_pRHETuUebeWpUr_lBMH_-KDZL8nDlWZhRdTrL-TINRZ0QEuK3FTmopjSHxO-qjinMuMJlbokRF3HYxxN6yYg5FnBUqg&amp;utm_content=226712652&amp;utm_source=hs_email" TargetMode="External"/><Relationship Id="rId2801" Type="http://schemas.openxmlformats.org/officeDocument/2006/relationships/hyperlink" Target="https://casetext.com/case/freres-timber-inc-v-the-united-states" TargetMode="External"/><Relationship Id="rId42" Type="http://schemas.openxmlformats.org/officeDocument/2006/relationships/hyperlink" Target="https://cases.justia.com/new-york/other-courts/2025-2025-ny-slip-op-33961-u.pdf?ts=1761686709" TargetMode="External"/><Relationship Id="rId1403" Type="http://schemas.openxmlformats.org/officeDocument/2006/relationships/hyperlink" Target="http://media.ca11.uscourts.gov/opinions/unpub/files/201810640.pdf" TargetMode="External"/><Relationship Id="rId1610" Type="http://schemas.openxmlformats.org/officeDocument/2006/relationships/hyperlink" Target="https://www.eeoc.gov/laws/guidance/enforcement-guidance-disability-related-inquiries-and-medical-examinations-employees" TargetMode="External"/><Relationship Id="rId1848" Type="http://schemas.openxmlformats.org/officeDocument/2006/relationships/hyperlink" Target="https://casetext.com/statute/montana-code/title-2-government-structure-and-administration/chapter-4-administrative-procedure-act/part-6-contested-cases/section-2-4-621-when-absent-members-render-decision-proposal-for-decision-and-opportunity-to-submit-findings-and-conclusions-modification-by-agency" TargetMode="External"/><Relationship Id="rId191" Type="http://schemas.openxmlformats.org/officeDocument/2006/relationships/hyperlink" Target="https://law.justia.com/cases/federal/appellate-courts/ca4/21-2059/21-2059-2023-01-19.html" TargetMode="External"/><Relationship Id="rId1708" Type="http://schemas.openxmlformats.org/officeDocument/2006/relationships/hyperlink" Target="https://cases.justia.com/federal/district-courts/oklahoma/okedce/6:2023cv00241/34830/33/0.pdf?ts=1732294058" TargetMode="External"/><Relationship Id="rId1915" Type="http://schemas.openxmlformats.org/officeDocument/2006/relationships/hyperlink" Target="https://www.nycourts.gov/reporter/current/3dseries/2026/2026_02494.shtml" TargetMode="External"/><Relationship Id="rId289" Type="http://schemas.openxmlformats.org/officeDocument/2006/relationships/hyperlink" Target="https://www.leagle.com/decision/inctco20171226041" TargetMode="External"/><Relationship Id="rId496" Type="http://schemas.openxmlformats.org/officeDocument/2006/relationships/hyperlink" Target="https://www.flmd.uscourts.gov/judges/harvey-schlesinger" TargetMode="External"/><Relationship Id="rId2177" Type="http://schemas.openxmlformats.org/officeDocument/2006/relationships/hyperlink" Target="https://public.fastcase.com/9SKwsfNqTc6OieYDhNMyMwbSkTth7KSxZerJ72xuPASz0hfrLKBLsSHZ5wSTH5hTHTRhpFz%2FSUPG8m6eckQDfkjqtfnRAdXjc9mLaHWodGM%3D" TargetMode="External"/><Relationship Id="rId2384" Type="http://schemas.openxmlformats.org/officeDocument/2006/relationships/hyperlink" Target="https://gemm.site/2022/02/25/an-off-duty-cop-murdered-his-ex-girlfriend-the-california-highway-patrol-ignored-the-red-flags/" TargetMode="External"/><Relationship Id="rId2591" Type="http://schemas.openxmlformats.org/officeDocument/2006/relationships/hyperlink" Target="https://boston.cbslocal.com/2021/08/05/wellesley-fire-chief-richard-delorie-conflict-of-interest/" TargetMode="External"/><Relationship Id="rId149" Type="http://schemas.openxmlformats.org/officeDocument/2006/relationships/hyperlink" Target="https://www.courts.state.co.us/userfiles/file/Court_Probation/Supreme_Court/Opinions/2023/23SA12.pdf?utm_source=substack&amp;utm_medium=email" TargetMode="External"/><Relationship Id="rId356" Type="http://schemas.openxmlformats.org/officeDocument/2006/relationships/hyperlink" Target="https://client.prod.iaff.org/" TargetMode="External"/><Relationship Id="rId563" Type="http://schemas.openxmlformats.org/officeDocument/2006/relationships/hyperlink" Target="https://www.courts.wa.gov/opinions/pdf/778315.pdf" TargetMode="External"/><Relationship Id="rId770" Type="http://schemas.openxmlformats.org/officeDocument/2006/relationships/hyperlink" Target="https://www.congress.gov/115/plaws/publ232/PLAW-115publ232.pdf" TargetMode="External"/><Relationship Id="rId1193" Type="http://schemas.openxmlformats.org/officeDocument/2006/relationships/hyperlink" Target="https://public.fastcase.com/Wl%2B2t%2BeVuI35%2FN70vAMFZvIVF%2BSpwi61gSoehD%2F89NWJSNvj394DBr50iS5GXrLH" TargetMode="External"/><Relationship Id="rId2037" Type="http://schemas.openxmlformats.org/officeDocument/2006/relationships/hyperlink" Target="https://www.ems1.com/ill-emts-charged-murder-patients-death/articles/2-ill-emts-charged-with-murder-appear-in-court-lMnB5h9BN09tUYGl/" TargetMode="External"/><Relationship Id="rId2244" Type="http://schemas.openxmlformats.org/officeDocument/2006/relationships/hyperlink" Target="https://www.txcourts.gov/media/1447243/181085f-1.pdf" TargetMode="External"/><Relationship Id="rId2451" Type="http://schemas.openxmlformats.org/officeDocument/2006/relationships/hyperlink" Target="https://www.youtube.com/watch?v=J9a7dzpchr4" TargetMode="External"/><Relationship Id="rId2689" Type="http://schemas.openxmlformats.org/officeDocument/2006/relationships/hyperlink" Target="https://public.fastcase.com/jaEE2PXzRXmZ99jOLMt1Ir%2Bgd4DeQSRcdUE7IJV4ZHQFjK4R6%2FaVKxoGJags6yJ8?utm_medium=email&amp;_hsenc=p2ANqtz-9_dtoT8MCHWol7MkpFQEKniJ3EcCAHTOONesHADifFFZppYBhmnp0t7X96SaR0z0JseLLFRZzCLhs4WSwU0MvvvFbR6g&amp;_hsmi=226712652&amp;utm_content=226712652&amp;utm_source=hs_email" TargetMode="External"/><Relationship Id="rId216" Type="http://schemas.openxmlformats.org/officeDocument/2006/relationships/hyperlink" Target="https://law.justia.com/cases/texas/supreme-court/2022/20-0366-0.html" TargetMode="External"/><Relationship Id="rId423" Type="http://schemas.openxmlformats.org/officeDocument/2006/relationships/hyperlink" Target="https://casetext.com/case/slaughter-v-mayor-city-council-of-balt" TargetMode="External"/><Relationship Id="rId868" Type="http://schemas.openxmlformats.org/officeDocument/2006/relationships/hyperlink" Target="https://casetext.com/case/dougherty-v-city-of-detroit" TargetMode="External"/><Relationship Id="rId1053" Type="http://schemas.openxmlformats.org/officeDocument/2006/relationships/hyperlink" Target="https://casetext.com/case/doe-v-city-of-philadelphia-5" TargetMode="External"/><Relationship Id="rId1260" Type="http://schemas.openxmlformats.org/officeDocument/2006/relationships/hyperlink" Target="https://www.ada.gov/filing_eeoc_complaint.htm" TargetMode="External"/><Relationship Id="rId1498" Type="http://schemas.openxmlformats.org/officeDocument/2006/relationships/hyperlink" Target="https://public.fastcase.com/J%2FJP6pdidelsXxEE4k%2BLMlZWglMtowNFAELJodU5Ey8OhOeImHtUqedyG3gviX1KHWia8kZp1W6BpRYSHWWuxJPhh3XCqhBA0xYwY8ImSqA%3D?utm_medium=email&amp;_hsmi=226712652&amp;_hsenc=p2ANqtz-8Opm8993SGrvNEYVYffjIdnWwQ_39Y6IGa88rGJPHsNdF2T_bOfK_XBqNF_9dQMkZM8ini867XF3tJMXcIH4Ec_0OJdg&amp;utm_content=226712652&amp;utm_source=hs_email" TargetMode="External"/><Relationship Id="rId2104" Type="http://schemas.openxmlformats.org/officeDocument/2006/relationships/hyperlink" Target="https://public.fastcase.com/J%2FJP6pdidelsXxEE4k%2BLMhEAWViZoZCNNVQqGGOJQe0x0uZjPj6basWGo2LdR7ZdZ7mXMibE%2B6q63t6QJEFPzY8xsgWYqrexPGowqeVKLtU%3D?utm_medium=email&amp;_hsmi=226712652&amp;_hsenc=p2ANqtz-_6354qi3IFHsOx1ZsytROIPRrzR7P7WEO-" TargetMode="External"/><Relationship Id="rId2549" Type="http://schemas.openxmlformats.org/officeDocument/2006/relationships/hyperlink" Target="https://burned.journalism.cuny.edu/the-diverse-minds-of-arsonists/" TargetMode="External"/><Relationship Id="rId2756" Type="http://schemas.openxmlformats.org/officeDocument/2006/relationships/hyperlink" Target="https://casetext.com/case/in-re-ryan-542034" TargetMode="External"/><Relationship Id="rId630" Type="http://schemas.openxmlformats.org/officeDocument/2006/relationships/hyperlink" Target="https://www2.ca3.uscourts.gov/opinarch/231900p.pdf" TargetMode="External"/><Relationship Id="rId728" Type="http://schemas.openxmlformats.org/officeDocument/2006/relationships/hyperlink" Target="https://www.cnn.com/2021/07/13/politics/handgun-appeals-court/index.html?utm_term=link&amp;utm_content=2021-07-13T19%3A12%3A10&amp;utm_source=twcnnbrk&amp;utm_medium=social" TargetMode="External"/><Relationship Id="rId935" Type="http://schemas.openxmlformats.org/officeDocument/2006/relationships/hyperlink" Target="https://codes.ohio.gov/ohio-administrative-code/rule-4123:1-3-06" TargetMode="External"/><Relationship Id="rId1358" Type="http://schemas.openxmlformats.org/officeDocument/2006/relationships/hyperlink" Target="https://www.congress.gov/bill/117th-congress/house-bill/4445/text" TargetMode="External"/><Relationship Id="rId1565" Type="http://schemas.openxmlformats.org/officeDocument/2006/relationships/hyperlink" Target="https://cases.justia.com/federal/district-courts/maryland/mddce/1:2024cv03580/573207/56/0.pdf?ts=1777474810" TargetMode="External"/><Relationship Id="rId1772" Type="http://schemas.openxmlformats.org/officeDocument/2006/relationships/hyperlink" Target="https://www.ecfr.gov/cgi-bin/retrieveECFR?gp=&amp;SID=10f50877082f08568d40dbfeaf119853&amp;mc=true&amp;r=PART&amp;n=pt29.3.778" TargetMode="External"/><Relationship Id="rId2311" Type="http://schemas.openxmlformats.org/officeDocument/2006/relationships/hyperlink" Target="https://scholar.google.com/scholar_case?case=10284773024569378667&amp;hl=en&amp;as_sdt=6&amp;as_vis=1&amp;oi=scholarr" TargetMode="External"/><Relationship Id="rId2409" Type="http://schemas.openxmlformats.org/officeDocument/2006/relationships/hyperlink" Target="https://www.workcompcentral.com/news/article/id/850f78207bb1c8ba2a379062de5cedbf763208fe" TargetMode="External"/><Relationship Id="rId2616" Type="http://schemas.openxmlformats.org/officeDocument/2006/relationships/hyperlink" Target="https://www.nbcphiladelphia.com/news/local/firefighter-fraudulently-collected-disability-pension/151491/" TargetMode="External"/><Relationship Id="rId64" Type="http://schemas.openxmlformats.org/officeDocument/2006/relationships/hyperlink" Target="https://www.usfa.fema.gov/prevention/home-fires/prepare-for-fire/smoke-alarms/" TargetMode="External"/><Relationship Id="rId1120" Type="http://schemas.openxmlformats.org/officeDocument/2006/relationships/hyperlink" Target="https://codes.ohio.gov/ohio-revised-code/section-742.38" TargetMode="External"/><Relationship Id="rId1218" Type="http://schemas.openxmlformats.org/officeDocument/2006/relationships/hyperlink" Target="https://mdcourts.gov/data/opinions/cosa/2020/3381s18.pdf" TargetMode="External"/><Relationship Id="rId1425" Type="http://schemas.openxmlformats.org/officeDocument/2006/relationships/hyperlink" Target="https://cases.justia.com/michigan/court-of-appeals-unpublished/2018-339016.pdf?ts=1535720483" TargetMode="External"/><Relationship Id="rId2823" Type="http://schemas.openxmlformats.org/officeDocument/2006/relationships/hyperlink" Target="https://project.wnyc.org/disciplinary-records/" TargetMode="External"/><Relationship Id="rId1632" Type="http://schemas.openxmlformats.org/officeDocument/2006/relationships/hyperlink" Target="https://www.iafc.org/docs/default-source/1vcos/vws_rrkit_nfpa-1582.pdf?sfvrsn=ca9b9f0d_2" TargetMode="External"/><Relationship Id="rId1937" Type="http://schemas.openxmlformats.org/officeDocument/2006/relationships/hyperlink" Target="https://law.justia.com/cases/new-york/appellate-division-fourth-department/2025/816-1-ca-24-01193.html" TargetMode="External"/><Relationship Id="rId2199" Type="http://schemas.openxmlformats.org/officeDocument/2006/relationships/hyperlink" Target="https://www.supremecourt.gov/opinions/11pdf/10-1018.pdf" TargetMode="External"/><Relationship Id="rId280" Type="http://schemas.openxmlformats.org/officeDocument/2006/relationships/hyperlink" Target="https://public.fastcase.com/Wl%2B2t%2BeVuI35%2FN70vAMFZn5gKg3cdbP6IN7E7ywDm7QNgGMGGIVm2eo9gH1WNWLv" TargetMode="External"/><Relationship Id="rId140" Type="http://schemas.openxmlformats.org/officeDocument/2006/relationships/hyperlink" Target="https://www.supremecourt.gov/opinions/23pdf/22-324_09m1.pdf" TargetMode="External"/><Relationship Id="rId378" Type="http://schemas.openxmlformats.org/officeDocument/2006/relationships/hyperlink" Target="https://www.pacourts.us/assets/opinions/Superior/out/J-S01044-26m%20-%20106707559350028927.pdf?cb=1" TargetMode="External"/><Relationship Id="rId585" Type="http://schemas.openxmlformats.org/officeDocument/2006/relationships/hyperlink" Target="https://www.nfpa.org/codes-and-standards/all-codes-and-standards/list-of-codes-and-standards/detail?code=1582" TargetMode="External"/><Relationship Id="rId792" Type="http://schemas.openxmlformats.org/officeDocument/2006/relationships/hyperlink" Target="https://www.leagle.com/decision/infdco20190919804" TargetMode="External"/><Relationship Id="rId2059" Type="http://schemas.openxmlformats.org/officeDocument/2006/relationships/hyperlink" Target="https://casetext.com/statute/united-states-code/title-42-the-public-health-and-welfare/chapter-7-social-security/subchapter-xi-general-provisions-peer-review-and-administrative-simplification/part-a-general-provisions/section-1320a-uniform-reporting-systems-for-health-services-facilities-and-organizations" TargetMode="External"/><Relationship Id="rId2266" Type="http://schemas.openxmlformats.org/officeDocument/2006/relationships/hyperlink" Target="https://ecf.flmd.uscourts.gov/cgi-bin/show_public_doc?2019-00439-60-2-cv" TargetMode="External"/><Relationship Id="rId2473" Type="http://schemas.openxmlformats.org/officeDocument/2006/relationships/hyperlink" Target="https://www.njcourts.gov/system/files/court-opinions/2025/a1587-23.pdf" TargetMode="External"/><Relationship Id="rId2680" Type="http://schemas.openxmlformats.org/officeDocument/2006/relationships/hyperlink" Target="https://supreme.justia.com/cases/federal/us/391/563/" TargetMode="External"/><Relationship Id="rId6" Type="http://schemas.openxmlformats.org/officeDocument/2006/relationships/footnotes" Target="footnotes.xml"/><Relationship Id="rId238" Type="http://schemas.openxmlformats.org/officeDocument/2006/relationships/hyperlink" Target="https://www.ca2.uscourts.gov/decisions/isysquery/024ad429-f3ca-4195-b401-1dbc5e6424a8/1/doc/20-4211_opn.pdf" TargetMode="External"/><Relationship Id="rId445" Type="http://schemas.openxmlformats.org/officeDocument/2006/relationships/hyperlink" Target="https://www.scribd.com/document/312245216/Career-Probationary-Firefighter-Runs-Out-of-Air-and-Dies-in-Commercial-Structure-Fire" TargetMode="External"/><Relationship Id="rId652" Type="http://schemas.openxmlformats.org/officeDocument/2006/relationships/hyperlink" Target="https://casetext.com/case/people-v-pacheco-286" TargetMode="External"/><Relationship Id="rId1075" Type="http://schemas.openxmlformats.org/officeDocument/2006/relationships/hyperlink" Target="https://www.njcourts.gov/system/files/court-opinions/2023/a3333-21.pdf" TargetMode="External"/><Relationship Id="rId1282" Type="http://schemas.openxmlformats.org/officeDocument/2006/relationships/hyperlink" Target="https://public.fastcase.com/Jhe1Qn%2BmJndQYQU6z%2FeNm28hiR351dlql3mVrX%2BsW%2FImhVx6LSAbrfZ7R6LP8TbVpSsTp59uwiaa1M%2BxYMu%2FQBeMVJpWoOyQUcFN4LagzoA%3D?utm_medium=email&amp;_hsenc=p2ANqtz-_AWahbnWxhCpMGQYhqfNcYdYivaiXkQGNq4hyWsJQjqDO6KUeS-ltttGyoOKYk2fjuNkb2NzSqvCRrJD1Iyf-ei7DoTw&amp;_hsmi=226712652&amp;utm_content=226712652&amp;utm_source=hs_email" TargetMode="External"/><Relationship Id="rId2126" Type="http://schemas.openxmlformats.org/officeDocument/2006/relationships/hyperlink" Target="https://www.ems.ohio.gov/trauma-system.aspx" TargetMode="External"/><Relationship Id="rId2333" Type="http://schemas.openxmlformats.org/officeDocument/2006/relationships/hyperlink" Target="https://www.tncourts.gov/sites/default/files/OpinionsPDFVersion/Majority%20Opinion%20-%20E2022-01151-SC-R11-CV.pdf" TargetMode="External"/><Relationship Id="rId2540" Type="http://schemas.openxmlformats.org/officeDocument/2006/relationships/hyperlink" Target="https://public.fastcase.com/J%2FJP6pdidelsXxEE4k%2BLMtME52xOaCaWV6UEDIP7bM8%2BFioZsbaXPEF4Uybj3YzCUfNXrAB4VqpO9mZPyOoJgEUGCgAECduXHqgYvcPti4I%3D?utm_medium=email&amp;_hsmi=226712652&amp;_hsenc=p2ANqtz--o5Z4w0RvL2X6ywspxSAhs9CG2i2QDJ7wcq_MEc7ECUlDYedCzwhXzcOpR3uJdZVvbiJhZF7E92unvtoIdalIehJ_GiA&amp;utm_content=226712652&amp;utm_source=hs_email" TargetMode="External"/><Relationship Id="rId2778" Type="http://schemas.openxmlformats.org/officeDocument/2006/relationships/hyperlink" Target="https://www.flhouse.gov/Sections/Documents/loaddoc.aspx?FileName=_s0184er.DOCX&amp;DocumentType=Bill&amp;BillNumber=184&amp;Session=2024" TargetMode="External"/><Relationship Id="rId305" Type="http://schemas.openxmlformats.org/officeDocument/2006/relationships/hyperlink" Target="https://www.iowacourts.gov/courtcases/9747/embed/SupremeCourtOpinion" TargetMode="External"/><Relationship Id="rId512" Type="http://schemas.openxmlformats.org/officeDocument/2006/relationships/hyperlink" Target="https://www.newyorker.com/news/our-local-correspondents/what-the-supreme-courts-gun-ruling-means-for-new-york" TargetMode="External"/><Relationship Id="rId957" Type="http://schemas.openxmlformats.org/officeDocument/2006/relationships/hyperlink" Target="https://codes.ohio.gov/ohio-revised-code/section-4511.03" TargetMode="External"/><Relationship Id="rId1142" Type="http://schemas.openxmlformats.org/officeDocument/2006/relationships/hyperlink" Target="https://law.justia.com/cases/new-york/appellate-division-third-department/2021/532333.html" TargetMode="External"/><Relationship Id="rId1587" Type="http://schemas.openxmlformats.org/officeDocument/2006/relationships/hyperlink" Target="https://www.njcourts.gov/system/files/court-opinions/2024/a0448-23.pdf" TargetMode="External"/><Relationship Id="rId1794" Type="http://schemas.openxmlformats.org/officeDocument/2006/relationships/hyperlink" Target="https://www.dol.gov/sites/dolgov/files/WHD/legacy/files/fab_2020_5.pdf" TargetMode="External"/><Relationship Id="rId2400" Type="http://schemas.openxmlformats.org/officeDocument/2006/relationships/hyperlink" Target="https://public.fastcase.com/Wl%2B2t%2BeVuI35%2FN70vAMFZhAr68AdbratCNmy2dcHSKg4lqOPhLPvbyL5oFysv%2FPr" TargetMode="External"/><Relationship Id="rId2638" Type="http://schemas.openxmlformats.org/officeDocument/2006/relationships/hyperlink" Target="http://www.tncourts.gov/sites/default/files/moss.paul_.opn_.pdf" TargetMode="External"/><Relationship Id="rId86" Type="http://schemas.openxmlformats.org/officeDocument/2006/relationships/hyperlink" Target="https://www.courts.wa.gov/opinions/pdf/855832.pdf" TargetMode="External"/><Relationship Id="rId817" Type="http://schemas.openxmlformats.org/officeDocument/2006/relationships/hyperlink" Target="https://www.fs.usda.gov/r06/willamette/fire/info/beachie-creek-fire" TargetMode="External"/><Relationship Id="rId1002" Type="http://schemas.openxmlformats.org/officeDocument/2006/relationships/hyperlink" Target="https://www.govinfo.gov/content/pkg/USCOURTS-ncwd-5_24-cv-00192/pdf/USCOURTS-ncwd-5_24-cv-00192-1.pdf" TargetMode="External"/><Relationship Id="rId1447" Type="http://schemas.openxmlformats.org/officeDocument/2006/relationships/hyperlink" Target="https://cases.justia.com/federal/appellate-courts/ca5/24-40626/24-40626-2025-05-01.pdf?ts=1746120629" TargetMode="External"/><Relationship Id="rId1654" Type="http://schemas.openxmlformats.org/officeDocument/2006/relationships/hyperlink" Target="https://law.resource.org/pub/us/case/reporter/F3/002/2.F3d.1112.92-8306.html" TargetMode="External"/><Relationship Id="rId1861" Type="http://schemas.openxmlformats.org/officeDocument/2006/relationships/hyperlink" Target="https://www.audacy.com/krld/news/local/former-dfr-firefighter-sent-to-prison-for-dwi-accident" TargetMode="External"/><Relationship Id="rId2705" Type="http://schemas.openxmlformats.org/officeDocument/2006/relationships/hyperlink" Target="https://www.supremecourt.ohio.gov/rod/docs/pdf/8/2024/2024-Ohio-3018.pdf" TargetMode="External"/><Relationship Id="rId1307" Type="http://schemas.openxmlformats.org/officeDocument/2006/relationships/hyperlink" Target="https://codes.ohio.gov/ohio-revised-code/section-4112.021" TargetMode="External"/><Relationship Id="rId1514" Type="http://schemas.openxmlformats.org/officeDocument/2006/relationships/hyperlink" Target="https://law.justia.com/cases/federal/district-courts/california/caedce/1:2018cv00824/337796/49/" TargetMode="External"/><Relationship Id="rId1721" Type="http://schemas.openxmlformats.org/officeDocument/2006/relationships/hyperlink" Target="https://public.fastcase.com/H1P9uiW3J20SFp%2BGCG%2BxLeHSDVXVzY4x%2FiI%2F4JAOmhXpvt%2FfNBAZjz4LKds0Mto6?utm_medium=email&amp;_hsmi=226712652&amp;_hsenc=p2ANqtz-_SyWNVWtV5-tteBsEO4doKNFedyWegAxLclup35D1iuddv31pPNK7Mxz83D6yx-CsHYOnImh2IAPqInLsAyxym-pCJTQ&amp;utm_content=226712652&amp;utm_source=hs_email" TargetMode="External"/><Relationship Id="rId1959" Type="http://schemas.openxmlformats.org/officeDocument/2006/relationships/hyperlink" Target="https://law.justia.com/cases/new-york/other-courts/2025/2025-ny-slip-op-51480-u.html" TargetMode="External"/><Relationship Id="rId13" Type="http://schemas.openxmlformats.org/officeDocument/2006/relationships/hyperlink" Target="http://www.waveland.com/browse.php?t=708" TargetMode="External"/><Relationship Id="rId1819" Type="http://schemas.openxmlformats.org/officeDocument/2006/relationships/hyperlink" Target="https://www.dol.gov/whd/opinion/FLSA/2005/2005_10_14_40_FLSA.pdf" TargetMode="External"/><Relationship Id="rId2190" Type="http://schemas.openxmlformats.org/officeDocument/2006/relationships/hyperlink" Target="https://law.justia.com/codes/west-virginia/2017/chapter-55/article-7b/section-55-7b-6/" TargetMode="External"/><Relationship Id="rId2288" Type="http://schemas.openxmlformats.org/officeDocument/2006/relationships/hyperlink" Target="https://oig.hhs.gov/fraud/docs/advisoryopinions/2019/AdvOpn19-03.pdf" TargetMode="External"/><Relationship Id="rId2495" Type="http://schemas.openxmlformats.org/officeDocument/2006/relationships/hyperlink" Target="https://ilcourtsaudio.blob.core.windows.net/antilles-resources/resources/3038c42d-d9bb-4837-b172-ba33498af3cf/Trapp%20v.%20City%20of%20Burbank%20Firefighters'%20Pension%20Fund,%202024%20IL%20App%20(1st)%20231311-U.pdf" TargetMode="External"/><Relationship Id="rId162" Type="http://schemas.openxmlformats.org/officeDocument/2006/relationships/hyperlink" Target="https://public.fastcase.com/ZZhmr5v9wN%2FXOe5IsQ%2FqD3QWuMgnFl%2B3o%2F4uUFiu6RUK1p7KFM%2BXOmaedKhzNCbabAKegQ7cA7QRQh6Aya7idRlRF78qeqCUoqW17wj1IUw%3D?utm_medium=email&amp;_hsmi=226712652&amp;_hsenc=p2ANqtz-87CRXhJMi7biUmbeSml1AgtAY_NVYdYjA00lD_OXsZo9fEN5Imr0EyPY0zfsM2_JyagzI4vAzpnYyJYIEoZ9qDDKxGPw&amp;utm_content=226712652&amp;utm_source=hs_email" TargetMode="External"/><Relationship Id="rId467" Type="http://schemas.openxmlformats.org/officeDocument/2006/relationships/hyperlink" Target="https://casetext.com/case/brady-v-village-of-malverne" TargetMode="External"/><Relationship Id="rId1097" Type="http://schemas.openxmlformats.org/officeDocument/2006/relationships/hyperlink" Target="https://ilcourtsaudio.blob.core.windows.net/antilles-resources/resources/aec16a44-b27a-4304-97c1-5c133043b2dd/Brucki%20v.%20Orland%20Fire%20Protection%20District,%202022%20IL%20App%20(1st)%20220288-U.pdf" TargetMode="External"/><Relationship Id="rId2050" Type="http://schemas.openxmlformats.org/officeDocument/2006/relationships/hyperlink" Target="https://www.ca5.uscourts.gov/opinions/unpub/23/23-20375.0.pdf" TargetMode="External"/><Relationship Id="rId2148" Type="http://schemas.openxmlformats.org/officeDocument/2006/relationships/hyperlink" Target="https://public.fastcase.com/waZtJvSA54UAurM2rmIZzwvOxdABv7XvwmmlDXNvdvn51CTV3NslG6Rw0yioxZXL%2BjJOhhNAJF%2FpIN8S52jcKAcJWCdsLYpOkU1PQ4W0%2BbA%3D" TargetMode="External"/><Relationship Id="rId674" Type="http://schemas.openxmlformats.org/officeDocument/2006/relationships/hyperlink" Target="https://www.cdcr.ca.gov/facility-locator/conservation-camps/" TargetMode="External"/><Relationship Id="rId881" Type="http://schemas.openxmlformats.org/officeDocument/2006/relationships/hyperlink" Target="https://public.fastcase.com/9SKwsfNqTc6OieYDhNMyM6VI9jzZ8Wjh0KgpobjMibbiOoRUyOE%2BZu2RC4EQbfMf" TargetMode="External"/><Relationship Id="rId979" Type="http://schemas.openxmlformats.org/officeDocument/2006/relationships/hyperlink" Target="http://codes.ohio.gov/orc/2744.07" TargetMode="External"/><Relationship Id="rId2355" Type="http://schemas.openxmlformats.org/officeDocument/2006/relationships/hyperlink" Target="https://cases.justia.com/arkansas/court-of-appeals/2024-cv-22-650.pdf?ts=1713971302" TargetMode="External"/><Relationship Id="rId2562" Type="http://schemas.openxmlformats.org/officeDocument/2006/relationships/hyperlink" Target="https://das.ohio.gov/Portals/0/DASDivisions/HumanResources/Policy/pdf/HR-29%20Implementation%20Guide%20.pdf" TargetMode="External"/><Relationship Id="rId327" Type="http://schemas.openxmlformats.org/officeDocument/2006/relationships/hyperlink" Target="https://www.iafc.org/topics-and-tools/resources/resource/iafc-position-drug-and-alcohol-free-awareness" TargetMode="External"/><Relationship Id="rId534" Type="http://schemas.openxmlformats.org/officeDocument/2006/relationships/hyperlink" Target="https://www.radio.com/kcbsradio/news/local/oakland-fire-stations-may-close-due-to-budget-deficit" TargetMode="External"/><Relationship Id="rId741" Type="http://schemas.openxmlformats.org/officeDocument/2006/relationships/hyperlink" Target="https://www.law.cornell.edu/definitions/uscode.php?width=840&amp;height=800&amp;iframe=true&amp;def_id=8-USC-2124716147-1201680062&amp;term_occur=999&amp;term_src=title:8:chapter:12:subchapter:II:part:IV:section:1229b" TargetMode="External"/><Relationship Id="rId839" Type="http://schemas.openxmlformats.org/officeDocument/2006/relationships/hyperlink" Target="https://caselaw.findlaw.com/court/us-5th-circuit/115838888.html" TargetMode="External"/><Relationship Id="rId1164" Type="http://schemas.openxmlformats.org/officeDocument/2006/relationships/hyperlink" Target="https://www.govexec.com/pay-benefits/2001/08/firefighter-retirement-age-rises-to-57/9846/" TargetMode="External"/><Relationship Id="rId1371" Type="http://schemas.openxmlformats.org/officeDocument/2006/relationships/hyperlink" Target="https://scholar.google.com/scholar_case?case=18355840808386135290&amp;hl=en&amp;as_sdt=6&amp;as_vis=1&amp;oi=scholarr" TargetMode="External"/><Relationship Id="rId1469" Type="http://schemas.openxmlformats.org/officeDocument/2006/relationships/hyperlink" Target="https://local2507.com/wp-content/uploads/2024/09/Decision-on-Class-Action.pdf" TargetMode="External"/><Relationship Id="rId2008" Type="http://schemas.openxmlformats.org/officeDocument/2006/relationships/hyperlink" Target="https://www.supremecourt.gov/opinions/23pdf/22-193_q86b.pdf" TargetMode="External"/><Relationship Id="rId2215" Type="http://schemas.openxmlformats.org/officeDocument/2006/relationships/hyperlink" Target="https://public.fastcase.com/Wl%2B2t%2BeVuI35%2FN70vAMFZswpqbyXpWGBMOIhfQ%2Fu%2FM0PzW3B3UkJbasWbumeQ3Ct" TargetMode="External"/><Relationship Id="rId2422" Type="http://schemas.openxmlformats.org/officeDocument/2006/relationships/hyperlink" Target="https://www.govinfo.gov/content/pkg/USCOURTS-ca11-25-11434/pdf/USCOURTS-ca11-25-11434-0.pdf" TargetMode="External"/><Relationship Id="rId601" Type="http://schemas.openxmlformats.org/officeDocument/2006/relationships/hyperlink" Target="https://www.supremecourt.gov/opinions/25pdf/24-924_3d9g.pdf" TargetMode="External"/><Relationship Id="rId1024" Type="http://schemas.openxmlformats.org/officeDocument/2006/relationships/hyperlink" Target="https://caselaw.findlaw.com/court/la-court-of-appeal/117104839.html" TargetMode="External"/><Relationship Id="rId1231" Type="http://schemas.openxmlformats.org/officeDocument/2006/relationships/hyperlink" Target="https://www.firstrespondercenter.org/cancer/toolsresources/presumptive-legislation-firefighter-cancer-state/" TargetMode="External"/><Relationship Id="rId1676" Type="http://schemas.openxmlformats.org/officeDocument/2006/relationships/hyperlink" Target="http://chicagoareafire.com/blog/tag/argonne-national-laboratory-fire-department/" TargetMode="External"/><Relationship Id="rId1883" Type="http://schemas.openxmlformats.org/officeDocument/2006/relationships/hyperlink" Target="https://law.justia.com/cases/louisiana/fourth-circuit-court-of-appeal/2021/2021-ca-0454.html" TargetMode="External"/><Relationship Id="rId2727" Type="http://schemas.openxmlformats.org/officeDocument/2006/relationships/hyperlink" Target="https://apps.nlrb.gov/link/document.aspx/09031d45839af64d" TargetMode="External"/><Relationship Id="rId906" Type="http://schemas.openxmlformats.org/officeDocument/2006/relationships/hyperlink" Target="https://cases.justia.com/louisiana/fourth-circuit-court-of-appeal/2025-2025-ca-0386.pdf?ts=1765847814" TargetMode="External"/><Relationship Id="rId1329" Type="http://schemas.openxmlformats.org/officeDocument/2006/relationships/hyperlink" Target="https://www.reviewjournal.com/local/sex-cover-up-at-las-vegas-fire-station-alleged-in-document/" TargetMode="External"/><Relationship Id="rId1536" Type="http://schemas.openxmlformats.org/officeDocument/2006/relationships/hyperlink" Target="https://www.jacksonville.com/story/news/courts/2020/11/25/jacksonville-lawsuit-cleanshaven-rule-unfair-black-firefighters/6406374002/" TargetMode="External"/><Relationship Id="rId1743" Type="http://schemas.openxmlformats.org/officeDocument/2006/relationships/hyperlink" Target="https://public.fastcase.com/ZZhmr5v9wN%2FXOe5IsQ%2FqD%2Bile%2Foxyp5Z8Q8kvhZNO7gH1c2Z5qHls9xhvmb3awOvR3bsCkmvAqMtioFMMuxMBzUhvRQhP83bmryZorCoTbI%3D?utm_medium=email&amp;_hsmi=226712652&amp;_hsenc=p2ANqtz--nFpNqY7MlHedt-bGY2IVgigc3ATGuPz0zM2ZOCoWHuze-qmefTR0632sWWVlZvaDJFdCD_Gl1V9HSDzdZa4P3MSrw7A&amp;utm_content=226712652&amp;utm_source=hs_email" TargetMode="External"/><Relationship Id="rId1950" Type="http://schemas.openxmlformats.org/officeDocument/2006/relationships/hyperlink" Target="https://www.njcourts.gov/system/files/court-opinions/2025/a0275-24.pdf" TargetMode="External"/><Relationship Id="rId35" Type="http://schemas.openxmlformats.org/officeDocument/2006/relationships/hyperlink" Target="https://codes.ohio.gov/ohio-revised-code/section-9.481" TargetMode="External"/><Relationship Id="rId1603" Type="http://schemas.openxmlformats.org/officeDocument/2006/relationships/hyperlink" Target="https://www.mass.gov/doc/grenier-pierre-v-springfield-fire-department-related-superior-court-decision-3823/download" TargetMode="External"/><Relationship Id="rId1810" Type="http://schemas.openxmlformats.org/officeDocument/2006/relationships/hyperlink" Target="https://www.justice.gov/opa/pr/justice-department-files-lawsuit-against-city-chicago-enforce-userra-rights-us-army-reservist" TargetMode="External"/><Relationship Id="rId184" Type="http://schemas.openxmlformats.org/officeDocument/2006/relationships/hyperlink" Target="https://codes.ohio.gov/ohio-revised-code/section-2925.11" TargetMode="External"/><Relationship Id="rId391" Type="http://schemas.openxmlformats.org/officeDocument/2006/relationships/hyperlink" Target="https://www.youtube.com/watch?v=US5dFGLzqQo" TargetMode="External"/><Relationship Id="rId1908" Type="http://schemas.openxmlformats.org/officeDocument/2006/relationships/hyperlink" Target="https://www.law.com/thelegalintelligencer/2019/10/02/proposed-safe-injection-site-in-philadelphia-clears-legal-hurdle/" TargetMode="External"/><Relationship Id="rId2072" Type="http://schemas.openxmlformats.org/officeDocument/2006/relationships/hyperlink" Target="https://cases.justia.com/kentucky/court-of-appeals/2023-2022-ca-1113-mr.pdf?ts=1697205894" TargetMode="External"/><Relationship Id="rId251" Type="http://schemas.openxmlformats.org/officeDocument/2006/relationships/hyperlink" Target="https://media.ca11.uscourts.gov/opinions/pub/files/201814682.pdf" TargetMode="External"/><Relationship Id="rId489" Type="http://schemas.openxmlformats.org/officeDocument/2006/relationships/hyperlink" Target="https://casetext.com/case/city-of-philadelphia-v-healey" TargetMode="External"/><Relationship Id="rId696" Type="http://schemas.openxmlformats.org/officeDocument/2006/relationships/hyperlink" Target="https://www.nbc4i.com/news/local-news/columbus/columbus-gun-laws-dodge-block-on-enforcement-going-into-effect-soon/" TargetMode="External"/><Relationship Id="rId2377" Type="http://schemas.openxmlformats.org/officeDocument/2006/relationships/hyperlink" Target="https://www.njcourts.gov/attorneys/assets/opinions/appellate/unpublished/a3633-19.pdf" TargetMode="External"/><Relationship Id="rId2584" Type="http://schemas.openxmlformats.org/officeDocument/2006/relationships/hyperlink" Target="https://codes.ohio.gov/ohio-revised-code/section-2903.31" TargetMode="External"/><Relationship Id="rId2791" Type="http://schemas.openxmlformats.org/officeDocument/2006/relationships/hyperlink" Target="https://www.law.cornell.edu/cfr/text/24/291.530" TargetMode="External"/><Relationship Id="rId349" Type="http://schemas.openxmlformats.org/officeDocument/2006/relationships/hyperlink" Target="https://www.supremecourt.ohio.gov/rod/docs/pdf/8/2018/2018-Ohio-4109.pdf" TargetMode="External"/><Relationship Id="rId556" Type="http://schemas.openxmlformats.org/officeDocument/2006/relationships/hyperlink" Target="https://www.newsday.com/long-island/crime/west-hempstead-man-menaced-fire-volunteer-with-gun-police-say-1.12068135" TargetMode="External"/><Relationship Id="rId763" Type="http://schemas.openxmlformats.org/officeDocument/2006/relationships/hyperlink" Target="https://www.supremecourt.gov/opinions/20pdf/19-438_j4el.pdf" TargetMode="External"/><Relationship Id="rId1186" Type="http://schemas.openxmlformats.org/officeDocument/2006/relationships/hyperlink" Target="https://www.massmunilaw.org/wp-content/uploads/2020/12/DIANE-LAWLESS-v.-CHERYL-ESTRELLA.pdf" TargetMode="External"/><Relationship Id="rId1393" Type="http://schemas.openxmlformats.org/officeDocument/2006/relationships/hyperlink" Target="https://www.justice.gov/opa/pr/justice-department-files-lawsuit-against-city-houston-sex-discrimination-and-retaliation" TargetMode="External"/><Relationship Id="rId2237" Type="http://schemas.openxmlformats.org/officeDocument/2006/relationships/hyperlink" Target="https://www.wkbn.com/news/coronavirus/dewine-signs-law-giving-covid-19-lawsuit-immunity/" TargetMode="External"/><Relationship Id="rId2444" Type="http://schemas.openxmlformats.org/officeDocument/2006/relationships/hyperlink" Target="https://public.fastcase.com/jaEE2PXzRXmZ99jOLMt1Io06bpL9%2FLcVXr53aaIUyQvAP5%2BtJH87Oz9onDjzcythnenHIV2f708%2FwR4gt4qkO1f7jeRt%2FKEtj1yUDHm75oU%3D?utm_medium=email&amp;_hsenc=p2ANqtz-_2UmH9uPWr2Na6-FEToPkSf6GcL7PU5KfrxYC2lQgS-z6zkFrF54nulArls3PhR-gkNqFrsBzQlt3BvLsHbxpWeUso_A&amp;_hsmi=226712652&amp;utm_content=226712652&amp;utm_source=hs_email" TargetMode="External"/><Relationship Id="rId111" Type="http://schemas.openxmlformats.org/officeDocument/2006/relationships/hyperlink" Target="https://casetext.com/case/lear-v-commonwealth-95" TargetMode="External"/><Relationship Id="rId209" Type="http://schemas.openxmlformats.org/officeDocument/2006/relationships/hyperlink" Target="https://www.law.cornell.edu/wex/federal_sentencing_guidelines" TargetMode="External"/><Relationship Id="rId416" Type="http://schemas.openxmlformats.org/officeDocument/2006/relationships/hyperlink" Target="https://www.courts.ms.gov/images/Opinions/CO182132.pdf" TargetMode="External"/><Relationship Id="rId970" Type="http://schemas.openxmlformats.org/officeDocument/2006/relationships/hyperlink" Target="https://cases.justia.com/louisiana/fourth-circuit-court-of-appeal/2020-2019-ca-0250.pdf?ts=1578564502" TargetMode="External"/><Relationship Id="rId1046" Type="http://schemas.openxmlformats.org/officeDocument/2006/relationships/hyperlink" Target="https://caselaw.findlaw.com/court/ma-court-of-appeals/116528710.html" TargetMode="External"/><Relationship Id="rId1253" Type="http://schemas.openxmlformats.org/officeDocument/2006/relationships/hyperlink" Target="http://www.pacourts.us/assets/opinions/Commonwealth/out/877CD18_3-25-19.pdf?cb=1" TargetMode="External"/><Relationship Id="rId1698" Type="http://schemas.openxmlformats.org/officeDocument/2006/relationships/hyperlink" Target="https://www.dol.gov/agencies/whd/fact-sheets/56a-regular-rate" TargetMode="External"/><Relationship Id="rId2651" Type="http://schemas.openxmlformats.org/officeDocument/2006/relationships/hyperlink" Target="https://law.justia.com/codes/louisiana/2012/rs/title33/rs33-2181/" TargetMode="External"/><Relationship Id="rId2749" Type="http://schemas.openxmlformats.org/officeDocument/2006/relationships/hyperlink" Target="https://law.justia.com/cases/federal/district-courts/indiana/inndce/2:2021cv00154/106960/76/" TargetMode="External"/><Relationship Id="rId623" Type="http://schemas.openxmlformats.org/officeDocument/2006/relationships/hyperlink" Target="https://edition.cnn.com/2025/11/22/politics/judges-block-trump-cutting-grants-cities-counties-hnk" TargetMode="External"/><Relationship Id="rId830" Type="http://schemas.openxmlformats.org/officeDocument/2006/relationships/hyperlink" Target="https://www.supremecourt.gov/opinions/24pdf/23-1363_d1o3.pdf" TargetMode="External"/><Relationship Id="rId928" Type="http://schemas.openxmlformats.org/officeDocument/2006/relationships/hyperlink" Target="https://law.justia.com/cases/oklahoma/supreme-court/2024/121510.html" TargetMode="External"/><Relationship Id="rId1460" Type="http://schemas.openxmlformats.org/officeDocument/2006/relationships/hyperlink" Target="https://cases.justia.com/federal/district-courts/alabama/alndce/2:2023cv01098/186589/44/0.pdf?ts=1737802006" TargetMode="External"/><Relationship Id="rId1558" Type="http://schemas.openxmlformats.org/officeDocument/2006/relationships/hyperlink" Target="https://www.leagle.com/cite/142%20F.3d%201082" TargetMode="External"/><Relationship Id="rId1765" Type="http://schemas.openxmlformats.org/officeDocument/2006/relationships/hyperlink" Target="http://www.firefighterovertime.org/wp-content/uploads/2021/11/US_DIS_VAED_2_20cv595_Memorandum_in_Support_re_41_Joint_MOTION_for_Settl.pdf" TargetMode="External"/><Relationship Id="rId2304" Type="http://schemas.openxmlformats.org/officeDocument/2006/relationships/hyperlink" Target="https://cases.justia.com/federal/district-courts/louisiana/lawdce/5:2018cv00034/160852/18/0.pdf?ts=1532079100" TargetMode="External"/><Relationship Id="rId2511" Type="http://schemas.openxmlformats.org/officeDocument/2006/relationships/hyperlink" Target="https://cases.justia.com/federal/district-courts/michigan/miedce/2:2023cv10051/366865/15/0.pdf?ts=1700584910" TargetMode="External"/><Relationship Id="rId2609" Type="http://schemas.openxmlformats.org/officeDocument/2006/relationships/hyperlink" Target="https://www.latimes.com/local/lanow/la-me-ln-ex-cal-fire-chief-convicted-stabbing-girlfriend-20150624-story.html" TargetMode="External"/><Relationship Id="rId57" Type="http://schemas.openxmlformats.org/officeDocument/2006/relationships/hyperlink" Target="https://www.ca5.uscourts.gov/opinions/unpub/24/24-30496.0.pdf" TargetMode="External"/><Relationship Id="rId1113" Type="http://schemas.openxmlformats.org/officeDocument/2006/relationships/hyperlink" Target="https://law.justia.com/cases/california/court-of-appeal/2022/a161575.html" TargetMode="External"/><Relationship Id="rId1320" Type="http://schemas.openxmlformats.org/officeDocument/2006/relationships/hyperlink" Target="https://www.supremecourt.gov/opinions/23pdf/22-193_q86b.pdf" TargetMode="External"/><Relationship Id="rId1418" Type="http://schemas.openxmlformats.org/officeDocument/2006/relationships/hyperlink" Target="https://assets.documentcloud.org/documents/5745040/Better-Balance.pdf" TargetMode="External"/><Relationship Id="rId1972" Type="http://schemas.openxmlformats.org/officeDocument/2006/relationships/hyperlink" Target="https://cdn.ca9.uscourts.gov/datastore/memoranda/2025/04/30/24-3195.pdf" TargetMode="External"/><Relationship Id="rId2816" Type="http://schemas.openxmlformats.org/officeDocument/2006/relationships/hyperlink" Target="https://www.natlawreview.com/article/congress-votes-to-end-mandatory-arbitration-sexual-assault-and-sexual-harassment" TargetMode="External"/><Relationship Id="rId1625" Type="http://schemas.openxmlformats.org/officeDocument/2006/relationships/hyperlink" Target="https://public.fastcase.com/J%2FJP6pdidelsXxEE4k%2BLMidRzLaU3lxo2K4zeZ9a%2B%2Fta152zlny6vY4eG3S7CjdliNR92Qo6%2FTtAP%2FPl4klE6l7lrfhMF2W%2BjlSvdCQeS50%3D?utm_medium=email&amp;_hsmi=226712652&amp;_hsenc=p2ANqtz-_s5_cAHUvs_hrwWV9wgyTdwJuYKaiZto7jMWtL6vDykRwEZ1Wuy9IDC9088xTRtPn7fskJqvzz7SBtC6Rp8cJAGJmTVA&amp;utm_content=226712652&amp;utm_source=hs_email" TargetMode="External"/><Relationship Id="rId1832" Type="http://schemas.openxmlformats.org/officeDocument/2006/relationships/hyperlink" Target="https://www.federalregister.gov/documents/2025/12/23/2025-23846/increasing-medical-marijuana-and-cannabidiol-research" TargetMode="External"/><Relationship Id="rId2094" Type="http://schemas.openxmlformats.org/officeDocument/2006/relationships/hyperlink" Target="https://www.advisory.com/daily-briefing/2022/10/26/vaccine-mandate" TargetMode="External"/><Relationship Id="rId273" Type="http://schemas.openxmlformats.org/officeDocument/2006/relationships/hyperlink" Target="https://www.ca4.uscourts.gov/opinions/191632.P.pdf" TargetMode="External"/><Relationship Id="rId480" Type="http://schemas.openxmlformats.org/officeDocument/2006/relationships/hyperlink" Target="https://casetext.com/case/gibb-v-stetson" TargetMode="External"/><Relationship Id="rId2161" Type="http://schemas.openxmlformats.org/officeDocument/2006/relationships/hyperlink" Target="https://www.supremecourt.gov/opinions/21pdf/21a145_gfbi.pdf" TargetMode="External"/><Relationship Id="rId2399" Type="http://schemas.openxmlformats.org/officeDocument/2006/relationships/hyperlink" Target="http://www.firefighters-exam.com/2019/06/24/tips-on-how-to-pass-your-firefighter-psychological-test/" TargetMode="External"/><Relationship Id="rId133" Type="http://schemas.openxmlformats.org/officeDocument/2006/relationships/hyperlink" Target="https://natlawreview.com/article/michigan-supreme-court-case-has-potential-guide-drone-and-air-rights-law-nation" TargetMode="External"/><Relationship Id="rId340" Type="http://schemas.openxmlformats.org/officeDocument/2006/relationships/hyperlink" Target="https://d279m997dpfwgl.cloudfront.net/wp/2019/02/EPSON520.pdf" TargetMode="External"/><Relationship Id="rId578" Type="http://schemas.openxmlformats.org/officeDocument/2006/relationships/hyperlink" Target="https://www.courts.ca.gov/opinions/nonpub/A150651.PD" TargetMode="External"/><Relationship Id="rId785" Type="http://schemas.openxmlformats.org/officeDocument/2006/relationships/hyperlink" Target="https://public.fastcase.com/Wl%2B2t%2BeVuI35%2FN70vAMFZkKd%2BuUeGYT9r22oA9ty28Exj1jRAAAURPUljfVU2169" TargetMode="External"/><Relationship Id="rId992" Type="http://schemas.openxmlformats.org/officeDocument/2006/relationships/hyperlink" Target="https://www.pacourts.us/assets/opinions/Commonwealth/out/1089CD24_2-2-26.pdf?cb=1" TargetMode="External"/><Relationship Id="rId2021" Type="http://schemas.openxmlformats.org/officeDocument/2006/relationships/hyperlink" Target="http://www.opn.ca6.uscourts.gov/opinions.pdf/08a0140p-06.pdf" TargetMode="External"/><Relationship Id="rId2259" Type="http://schemas.openxmlformats.org/officeDocument/2006/relationships/hyperlink" Target="http://www.ca5.uscourts.gov/opinions/pub/19/19-10280-CV0.pdf" TargetMode="External"/><Relationship Id="rId2466" Type="http://schemas.openxmlformats.org/officeDocument/2006/relationships/hyperlink" Target="https://public.fastcase.com/jaEE2PXzRXmZ99jOLMt1IqmI6%2FwIkVosxkHnLXFS%2Fh3vCPBsdexRYsXhu3dcS77RM93%2Fb%2FlmP%2FEht28r%2FEOUuz%2BdIsVF1KqStdKclsmvBXo%3D?utm_medium=email&amp;_hsenc=p2ANqtz-_Dn6dsk63fb2EPfPT1163Ju7zkOyiRsNHg_eV5kST7JoaZI-2AGCvSnryJrMriUeP5UHxNkfyzrDvNunm7WCvoOt678w&amp;_hsmi=226712652&amp;utm_content=226712652&amp;utm_source=hs_email" TargetMode="External"/><Relationship Id="rId2673" Type="http://schemas.openxmlformats.org/officeDocument/2006/relationships/hyperlink" Target="https://cases.justia.com/texas/fourteenth-court-of-appeals/2018-14-17-00156-cv.pdf?ts=1523970132" TargetMode="External"/><Relationship Id="rId200" Type="http://schemas.openxmlformats.org/officeDocument/2006/relationships/hyperlink" Target="https://caselaw.findlaw.com/mi-court-of-appeals/1912425.html" TargetMode="External"/><Relationship Id="rId438" Type="http://schemas.openxmlformats.org/officeDocument/2006/relationships/hyperlink" Target="https://www.firehero.org/fallen-firefighter/charles-e-morton/" TargetMode="External"/><Relationship Id="rId645" Type="http://schemas.openxmlformats.org/officeDocument/2006/relationships/hyperlink" Target="https://www.govinfo.gov/content/pkg/USCOURTS-cofc-1_23-cv-00383/pdf/USCOURTS-cofc-1_23-cv-00383-0.pdf" TargetMode="External"/><Relationship Id="rId852" Type="http://schemas.openxmlformats.org/officeDocument/2006/relationships/hyperlink" Target="https://public.fastcase.com/ZZhmr5v9wN%2FXOe5IsQ%2FqD1CdH2R29LNK8BT0hnz9oKtXR%2FoMxL2xC63e%2BHHuthpWCwncj7bfE4lB3MomO4uqm4E3oXBdMMZD2IWz0SNqHm0%3D?utm_medium=email&amp;_hsmi=226712652&amp;_hsenc=p2ANqtz-_2XBA_cBQDF2xes7gnarhZ-sbkcdxdJUtVuyLwtAqY2WUUI2XYCC6QqVwiuQaE3r8IP3AVZ-ZehQ2YYsnZUf5Qzx_SHw&amp;utm_content=226712652&amp;utm_source=hs_email" TargetMode="External"/><Relationship Id="rId1068" Type="http://schemas.openxmlformats.org/officeDocument/2006/relationships/hyperlink" Target="https://casetext.com/case/perez-v-city-of-denver-4" TargetMode="External"/><Relationship Id="rId1275" Type="http://schemas.openxmlformats.org/officeDocument/2006/relationships/hyperlink" Target="https://caselaw.findlaw.com/pa-commonwealth-court/1897108.html" TargetMode="External"/><Relationship Id="rId1482" Type="http://schemas.openxmlformats.org/officeDocument/2006/relationships/hyperlink" Target="https://www.casemine.com/judgement/us/6527768e0e33307ee3c25e6b" TargetMode="External"/><Relationship Id="rId2119" Type="http://schemas.openxmlformats.org/officeDocument/2006/relationships/hyperlink" Target="https://public.fastcase.com/J%2FJP6pdidelsXxEE4k%2BLMs47M8bX1jWCTU1t0SYWR19Iu9IUPatjWgRJl3RKX2DrLTQazC1ae%2FBWEsyi8L93eaS1AKPtR90SvCK0pYsfZI4%3D" TargetMode="External"/><Relationship Id="rId2326" Type="http://schemas.openxmlformats.org/officeDocument/2006/relationships/hyperlink" Target="https://cases.justia.com/texas/twelfth-court-of-appeals/2026-12-25-00273-cv.pdf?ts=1775749638" TargetMode="External"/><Relationship Id="rId2533" Type="http://schemas.openxmlformats.org/officeDocument/2006/relationships/hyperlink" Target="https://public.fastcase.com/ppbqSQpNDaJE%2F8PlIk0b8GrZRoSxZNSyZ1IPMsly8LQqd8zJpEjl6u9Blu91YAS9" TargetMode="External"/><Relationship Id="rId2740" Type="http://schemas.openxmlformats.org/officeDocument/2006/relationships/hyperlink" Target="https://public.fastcase.com/J%2FJP6pdidelsXxEE4k%2BLMgRuGoPztfGYl4rgyWIW4hR9R3ye4G%2Brlx4oNbvfkD7bo5Sl3SUFyCNYsXscEScOvl5B7KBk99Bt%2FA1OCEhfyl0%3D" TargetMode="External"/><Relationship Id="rId505" Type="http://schemas.openxmlformats.org/officeDocument/2006/relationships/hyperlink" Target="https://casetext.com/case/as-horner-inc-v-navarrette-4" TargetMode="External"/><Relationship Id="rId712" Type="http://schemas.openxmlformats.org/officeDocument/2006/relationships/hyperlink" Target="https://www.supremecourt.gov/opinions/20pdf/19-1108_8n5a.pdf" TargetMode="External"/><Relationship Id="rId1135" Type="http://schemas.openxmlformats.org/officeDocument/2006/relationships/hyperlink" Target="https://www.cleveland.com/metro/2013/08/cleveland_fire_chief_daryl_mcg.html" TargetMode="External"/><Relationship Id="rId1342" Type="http://schemas.openxmlformats.org/officeDocument/2006/relationships/hyperlink" Target="https://casetext.com/case/united-states-v-townvill-of-harrison" TargetMode="External"/><Relationship Id="rId1787" Type="http://schemas.openxmlformats.org/officeDocument/2006/relationships/hyperlink" Target="https://www.law.cornell.edu/uscode/text/29/260" TargetMode="External"/><Relationship Id="rId1994" Type="http://schemas.openxmlformats.org/officeDocument/2006/relationships/hyperlink" Target="https://law.justia.com/cases/new-york/appellate-division-second-department/2024/2019-11168.html" TargetMode="External"/><Relationship Id="rId79" Type="http://schemas.openxmlformats.org/officeDocument/2006/relationships/hyperlink" Target="https://www.garmin.com/en-US/c/outdoor-recreation/handheld-hiking-gps/?gad_source=1&amp;gclid=Cj0KCQiA_Yq-BhC9ARIsAA6fbAg8Hzg7tt3LxTDrvBKQ6Iq20PiW7TlBW7J0osrwHwlbOwcCFzY0rTcaAu65EALw_wcB" TargetMode="External"/><Relationship Id="rId1202" Type="http://schemas.openxmlformats.org/officeDocument/2006/relationships/hyperlink" Target="https://public.fastcase.com/Wl%2B2t%2BeVuI35%2FN70vAMFZt8kW6J16QTt9TZ%2FuwcLGfAQlmvmDCIs7SYJL9UeqqRt" TargetMode="External"/><Relationship Id="rId1647" Type="http://schemas.openxmlformats.org/officeDocument/2006/relationships/hyperlink" Target="https://public.fastcase.com/Wl%2B2t%2BeVuI35%2FN70vAMFZhmmbLojT%2FvpqyhULz0IXhVnEOLZ3Ga%2BMf6ctA4VMmca" TargetMode="External"/><Relationship Id="rId1854" Type="http://schemas.openxmlformats.org/officeDocument/2006/relationships/hyperlink" Target="https://caselaw.findlaw.com/court/in-court-of-appeals/116468399.html" TargetMode="External"/><Relationship Id="rId2600" Type="http://schemas.openxmlformats.org/officeDocument/2006/relationships/hyperlink" Target="https://www.massmunilaw.org/wp-content/uploads/2020/12/DIANE-LAWLESS-v.-CHERYL-ESTRELLA.pdf" TargetMode="External"/><Relationship Id="rId1507" Type="http://schemas.openxmlformats.org/officeDocument/2006/relationships/hyperlink" Target="https://www.supremecourt.ohio.gov/rod/docs/pdf/0/2009/2009-ohio-2597.pdf" TargetMode="External"/><Relationship Id="rId1714" Type="http://schemas.openxmlformats.org/officeDocument/2006/relationships/hyperlink" Target="https://www.firefighterovertime.org/wp-content/uploads/2024/07/US_DIS_SCD_9_21cv3964_d87991559e1450_ORDER_denying_40_Motion_for_Summary_Judgment_grant.pdf" TargetMode="External"/><Relationship Id="rId295" Type="http://schemas.openxmlformats.org/officeDocument/2006/relationships/hyperlink" Target="https://www.rcfp.org/resources/anti-slapp-laws/" TargetMode="External"/><Relationship Id="rId1921" Type="http://schemas.openxmlformats.org/officeDocument/2006/relationships/hyperlink" Target="https://public.fastcase.com/Jhe1Qn%2BmJndQYQU6z%2FeNm94x%2BjtPzHFQX2c8S%2Bx9Phdmrv4s2ioOEI%2FF1Ai%2FXC71?utm_medium=email&amp;_hsenc=p2ANqtz-9AeMkmBBV7ab-HOOGxYui1F4KaPFQMcLoSV_UpG8Q7nnWqxWkhxKerqRyhPDwCCdLiDrxj3K5C-zreoAE1nVCtmbRsSQ&amp;_hsmi=226712652&amp;utm_content=226712652&amp;utm_source=hs_email" TargetMode="External"/><Relationship Id="rId2183" Type="http://schemas.openxmlformats.org/officeDocument/2006/relationships/hyperlink" Target="https://public.fastcase.com/9SKwsfNqTc6OieYDhNMyM83%2FYLJrcCtVmui0iqpJLDORGkxVmnXPTmwbGH4uC0ci" TargetMode="External"/><Relationship Id="rId2390" Type="http://schemas.openxmlformats.org/officeDocument/2006/relationships/hyperlink" Target="https://law.justia.com/cases/new-york/appellate-division-third-department/2021/532779.html" TargetMode="External"/><Relationship Id="rId2488" Type="http://schemas.openxmlformats.org/officeDocument/2006/relationships/hyperlink" Target="https://www.opn.ca6.uscourts.gov/opinions.pdf/24a0201p-06.pdf" TargetMode="External"/><Relationship Id="rId155" Type="http://schemas.openxmlformats.org/officeDocument/2006/relationships/hyperlink" Target="https://cases.justia.com/tennessee/court-of-criminal-appeals/2023-m2022-00949-cca-r3-cd.pdf?ts=1695676978" TargetMode="External"/><Relationship Id="rId362" Type="http://schemas.openxmlformats.org/officeDocument/2006/relationships/hyperlink" Target="https://cases.justia.com/ohio/eighth-district-court-of-appeals/2018-105661.pdf?ts=1528147387" TargetMode="External"/><Relationship Id="rId1297" Type="http://schemas.openxmlformats.org/officeDocument/2006/relationships/hyperlink" Target="https://cases.justia.com/federal/district-courts/kansas/ksdce/2:2023cv02410/149154/93/0.pdf?ts=1748685326" TargetMode="External"/><Relationship Id="rId2043" Type="http://schemas.openxmlformats.org/officeDocument/2006/relationships/hyperlink" Target="https://public.fastcase.com/H1P9uiW3J20SFp%2BGCG%2BxLaemfayQbOUv%2BEh6FB5s8DQhIQ87YMziPJITlyqe%2FhSH?utm_medium=email&amp;_hsmi=226712652&amp;_hsenc=p2ANqtz-8exNZIeYxIQOzMK262tD3IHaMXGJDKKAxfpMPtjNaE7kcerp9c9vm-ypoKl8zd2ZG1HbM5kXW5cAGwdVsTDfl2ZJRdHw&amp;utm_content=226712652&amp;utm_source=hs_email" TargetMode="External"/><Relationship Id="rId2250" Type="http://schemas.openxmlformats.org/officeDocument/2006/relationships/hyperlink" Target="https://iapps.courts.state.ny.us/search/wicket/page?2-IResourceListener-pnlResultContainer-pnlResult-2-lnkDocument" TargetMode="External"/><Relationship Id="rId2695" Type="http://schemas.openxmlformats.org/officeDocument/2006/relationships/hyperlink" Target="https://cases.justia.com/new-hampshire/supreme-court/2025-2024-0097.pdf?ts=1742996506" TargetMode="External"/><Relationship Id="rId222" Type="http://schemas.openxmlformats.org/officeDocument/2006/relationships/hyperlink" Target="https://www.ca10.uscourts.gov/sites/ca10/files/opinions/010110630282.pdf" TargetMode="External"/><Relationship Id="rId667" Type="http://schemas.openxmlformats.org/officeDocument/2006/relationships/hyperlink" Target="https://www.newsandsentinel.com/news/local-news/2024/03/appeals-court-ruling-vacating-capitol-rioters-sentence-could-impact-dozens-of-jan-6-cases/" TargetMode="External"/><Relationship Id="rId874" Type="http://schemas.openxmlformats.org/officeDocument/2006/relationships/hyperlink" Target="https://casetext.com/case/doe-v-jackson-local-sch-dist-bd-of-educ" TargetMode="External"/><Relationship Id="rId2110" Type="http://schemas.openxmlformats.org/officeDocument/2006/relationships/hyperlink" Target="https://www.law.cornell.edu/definitions/uscode.php?width=840&amp;height=800&amp;iframe=true&amp;def_id=42-USC-543811625-140307164&amp;term_occur=999&amp;term_src=" TargetMode="External"/><Relationship Id="rId2348" Type="http://schemas.openxmlformats.org/officeDocument/2006/relationships/hyperlink" Target="https://caselaw.findlaw.com/court/us-1st-circuit/116442772.html" TargetMode="External"/><Relationship Id="rId2555" Type="http://schemas.openxmlformats.org/officeDocument/2006/relationships/hyperlink" Target="https://www.supremecourt.ohio.gov/rod/docs/pdf/5/2022/2022-Ohio-2757.pdf" TargetMode="External"/><Relationship Id="rId2762" Type="http://schemas.openxmlformats.org/officeDocument/2006/relationships/hyperlink" Target="file:///C:/Users/lawre/AppData/Local/Temp/%7BC42BFBAC-7840-4BDD-BFF7-18D383BA9C81%7D/19%20CH%2012662%20City%20of%20Chicago%20v.%20Chicago%20Fire%20Fighters%20Union%20Final%20Order%20(12.2.20).pdf" TargetMode="External"/><Relationship Id="rId527" Type="http://schemas.openxmlformats.org/officeDocument/2006/relationships/hyperlink" Target="https://casetext.com/case/taylor-v-bd-of-trs-of-firefighters-ret-plan-of-st-louis" TargetMode="External"/><Relationship Id="rId734" Type="http://schemas.openxmlformats.org/officeDocument/2006/relationships/hyperlink" Target="https://www.supremecourt.gov/opinions/20pdf/20-297_4g25.pdf" TargetMode="External"/><Relationship Id="rId941" Type="http://schemas.openxmlformats.org/officeDocument/2006/relationships/hyperlink" Target="https://codes.ohio.gov/ohio-revised-code/section-4511.03" TargetMode="External"/><Relationship Id="rId1157" Type="http://schemas.openxmlformats.org/officeDocument/2006/relationships/hyperlink" Target="https://www.monastlaw.com/blog/ohio-workers-compensation-for-hearing-loss.cfm" TargetMode="External"/><Relationship Id="rId1364" Type="http://schemas.openxmlformats.org/officeDocument/2006/relationships/hyperlink" Target="https://casetext.com/case/molchan-v-delmar-fire-dept-1" TargetMode="External"/><Relationship Id="rId1571" Type="http://schemas.openxmlformats.org/officeDocument/2006/relationships/hyperlink" Target="https://www.eeoc.gov/laws/guidance/ada-questions-and-answers" TargetMode="External"/><Relationship Id="rId2208" Type="http://schemas.openxmlformats.org/officeDocument/2006/relationships/hyperlink" Target="https://www.cdc.gov/niosh/fire/reports/face200709.html" TargetMode="External"/><Relationship Id="rId2415" Type="http://schemas.openxmlformats.org/officeDocument/2006/relationships/hyperlink" Target="https://nola.gov/getattachment/a5d775b2-685d-43c3-a7ff-ae60a9dcf745/Murphy,-Michael-9697-9698/" TargetMode="External"/><Relationship Id="rId2622" Type="http://schemas.openxmlformats.org/officeDocument/2006/relationships/hyperlink" Target="http://www.leginfo.ca.gov/cgi-bin/displaycode?section=pen&amp;group=00001-01000&amp;file=630-638" TargetMode="External"/><Relationship Id="rId70" Type="http://schemas.openxmlformats.org/officeDocument/2006/relationships/hyperlink" Target="https://www.aol.com/trial-delayed-man-accused-fatally-135028116.html" TargetMode="External"/><Relationship Id="rId801" Type="http://schemas.openxmlformats.org/officeDocument/2006/relationships/hyperlink" Target="https://d.docs.live.net/bd9b2eaf6053242e/AppData/Local/Microsoft/Windows/INetCache/Content.Outlook/YEHISW7P/331CR865.pdf" TargetMode="External"/><Relationship Id="rId1017" Type="http://schemas.openxmlformats.org/officeDocument/2006/relationships/hyperlink" Target="https://cases.justia.com/louisiana/fourth-circuit-court-of-appeal/2025-2024-ca-0747.pdf?ts=1746576943" TargetMode="External"/><Relationship Id="rId1224" Type="http://schemas.openxmlformats.org/officeDocument/2006/relationships/hyperlink" Target="https://www.opn.ca6.uscourts.gov/opinions.pdf/20a0123p-06.pdf" TargetMode="External"/><Relationship Id="rId1431" Type="http://schemas.openxmlformats.org/officeDocument/2006/relationships/hyperlink" Target="https://public.fastcase.com/Jhe1Qn%2BmJndQYQU6z%2FeNm77nYWugAlzsBoxNmmqkM3E6Q88Vkqy0VZ5SiNrQruK%2B?utm_medium=email&amp;_hsenc=p2ANqtz-9AvFND94NtmZ3W9IwgKnyu4_gZwqiYmIH5_4QpXW_NHE8WVWhb5SJK4Whyo4GFBslMpA9EnrqLvXRYy-" TargetMode="External"/><Relationship Id="rId1669" Type="http://schemas.openxmlformats.org/officeDocument/2006/relationships/hyperlink" Target="https://public.fastcase.com/waZtJvSA54UAurM2rmIZz88A4DX9zJiHVSCLlaywcCbO%2FsN6H35lRLqBQI5YlUXLkpfw%2B63lWcDnyRlZDlxVAe7N7ayvxJpVWQxxLxisTNc%3D" TargetMode="External"/><Relationship Id="rId1876" Type="http://schemas.openxmlformats.org/officeDocument/2006/relationships/hyperlink" Target="https://www.supremecourt.gov/opinions/21pdf/20-1410_1an2.pdf" TargetMode="External"/><Relationship Id="rId1529" Type="http://schemas.openxmlformats.org/officeDocument/2006/relationships/hyperlink" Target="https://casetext.com/case/alston-v-spiegel" TargetMode="External"/><Relationship Id="rId1736" Type="http://schemas.openxmlformats.org/officeDocument/2006/relationships/hyperlink" Target="https://www.dol.gov/agencies/whd/flsa/misclassification" TargetMode="External"/><Relationship Id="rId1943" Type="http://schemas.openxmlformats.org/officeDocument/2006/relationships/hyperlink" Target="https://media.ca11.uscourts.gov/opinions/unpub/files/202413197.pdf" TargetMode="External"/><Relationship Id="rId28" Type="http://schemas.openxmlformats.org/officeDocument/2006/relationships/hyperlink" Target="https://www.supremecourt.gov/opinions/25pdf/24-624_b07d.pdf" TargetMode="External"/><Relationship Id="rId1803" Type="http://schemas.openxmlformats.org/officeDocument/2006/relationships/hyperlink" Target="https://www.law.cornell.edu/definitions/uscode.php?width=840&amp;height=800&amp;iframe=true&amp;def_id=29-USC-1193469614-1597622566&amp;term_occur=999&amp;term_src=" TargetMode="External"/><Relationship Id="rId177" Type="http://schemas.openxmlformats.org/officeDocument/2006/relationships/hyperlink" Target="https://public.fastcase.com/ZZhmr5v9wN%2FXOe5IsQ%2FqDwpaI7JNx0yucAfBBTCYhVf6eRN0F6j2PHZ4Bf4v9PLOEuaobgTYEa8%2BzQGGWxAHAgvFhF3yj4k41BJEkNmdniM%3D?utm_medium=email&amp;_hsmi=226712652&amp;_hsenc=p2ANqtz-_dwT49KfhNPpDq3N3VwSjkZTEUiwZEDoqDlulVdR_yzkAg6581Fi_9SACtWrDkZJ_u8Xp6dukkkP4Lu33go_UmHv0HyQ&amp;utm_content=226712652&amp;utm_source=hs_email" TargetMode="External"/><Relationship Id="rId384" Type="http://schemas.openxmlformats.org/officeDocument/2006/relationships/hyperlink" Target="https://cases.justia.com/federal/district-courts/montana/mtdce/2:2025cv00036/80451/160/0.pdf?ts=1768305911" TargetMode="External"/><Relationship Id="rId591" Type="http://schemas.openxmlformats.org/officeDocument/2006/relationships/hyperlink" Target="http://www.ca4.uscourts.gov/Opinions/171419.U.pdf" TargetMode="External"/><Relationship Id="rId2065" Type="http://schemas.openxmlformats.org/officeDocument/2006/relationships/hyperlink" Target="https://casetext.com/case/baker-v-city-of-woodbury" TargetMode="External"/><Relationship Id="rId2272" Type="http://schemas.openxmlformats.org/officeDocument/2006/relationships/hyperlink" Target="https://www.leagle.com/decision/infdco20190624a02" TargetMode="External"/><Relationship Id="rId244" Type="http://schemas.openxmlformats.org/officeDocument/2006/relationships/hyperlink" Target="https://indianexpress.com/article/world/supreme-court-allows-revival-of-trump-era-remain-in-mexico-asylum-policy-7469812/" TargetMode="External"/><Relationship Id="rId689" Type="http://schemas.openxmlformats.org/officeDocument/2006/relationships/hyperlink" Target="https://www.supremecourt.gov/opinions/22pdf/21-1496_d18f.pdf" TargetMode="External"/><Relationship Id="rId896" Type="http://schemas.openxmlformats.org/officeDocument/2006/relationships/hyperlink" Target="https://www.courts.state.md.us/sites/default/files/unreported-opinions/0614s19.pdf" TargetMode="External"/><Relationship Id="rId1081" Type="http://schemas.openxmlformats.org/officeDocument/2006/relationships/hyperlink" Target="https://public.fastcase.com/ZZhmr5v9wN%2FXOe5IsQ%2FqD20iR7BWmLId4hSDI3nXqVWgPhPXw%2BQtkDECKs6HrcpaaA0bYVe7yei9SfZEfso10IPB%2B%2BM5XAOSsASvTO6V770%3D?utm_medium=email&amp;_hsmi=226712652&amp;_hsenc=p2ANqtz-8Ok8gGNpyLe8hTDi80EaJgVLaHo-pifPeTe8oohUIZEvo8GKO7wbe6cb01t7sw656xUcVdVRiPGkXPM8qU1b5G_smouQ&amp;utm_content=226712652&amp;utm_source=hs_email" TargetMode="External"/><Relationship Id="rId2577" Type="http://schemas.openxmlformats.org/officeDocument/2006/relationships/hyperlink" Target="https://www.firehouse.com/careers-education/article/12253067/altruism-and-the-fire-service-firefighter-education" TargetMode="External"/><Relationship Id="rId2784" Type="http://schemas.openxmlformats.org/officeDocument/2006/relationships/hyperlink" Target="https://cases.justia.com/federal/district-courts/connecticut/ctdce/3:2024cv00680/159059/264/0.pdf?ts=1747297635" TargetMode="External"/><Relationship Id="rId451" Type="http://schemas.openxmlformats.org/officeDocument/2006/relationships/hyperlink" Target="https://cases.justia.com/new-york/other-courts/2024-2024-ny-slip-op-31696-u.pdf?ts=1716238363" TargetMode="External"/><Relationship Id="rId549" Type="http://schemas.openxmlformats.org/officeDocument/2006/relationships/hyperlink" Target="http://publicdocs.courts.mi.gov/OPINIONS/FINAL/COA/20200416_C346057_26_346057OPNORDER.PDF" TargetMode="External"/><Relationship Id="rId756" Type="http://schemas.openxmlformats.org/officeDocument/2006/relationships/hyperlink" Target="https://www.law.cornell.edu/definitions/uscode.php?width=840&amp;height=800&amp;iframe=true&amp;def_id=8-USC-92903111-1485256781&amp;term_occur=999&amp;term_src=" TargetMode="External"/><Relationship Id="rId1179" Type="http://schemas.openxmlformats.org/officeDocument/2006/relationships/hyperlink" Target="https://law.justia.com/cases/new-york/other-courts/2020/2020-ny-slip-op-34353-u.html" TargetMode="External"/><Relationship Id="rId1386" Type="http://schemas.openxmlformats.org/officeDocument/2006/relationships/hyperlink" Target="https://www.uticaod.com/story/news/2020/07/21/court-former-utica-firefighter-not-entitled-to-payment/42260661/" TargetMode="External"/><Relationship Id="rId1593" Type="http://schemas.openxmlformats.org/officeDocument/2006/relationships/hyperlink" Target="https://www.scotusblog.com/case-files/cases/stanley-v-city-of-sanford-florida/" TargetMode="External"/><Relationship Id="rId2132" Type="http://schemas.openxmlformats.org/officeDocument/2006/relationships/hyperlink" Target="https://public.fastcase.com/waZtJvSA54UAurM2rmIZz2loI3SMK51lisNXjYZKph2xHHDuTcicSNaYOQdhESxu4yBG2%2FvlbYv%2BMp6LYbH6Xh9C0n%2BJCkyXjjUwyrGDKNg%3D" TargetMode="External"/><Relationship Id="rId2437" Type="http://schemas.openxmlformats.org/officeDocument/2006/relationships/hyperlink" Target="https://www.mass.gov/doc/bailey-casley-v-boston-fire-department-62724/download" TargetMode="External"/><Relationship Id="rId104" Type="http://schemas.openxmlformats.org/officeDocument/2006/relationships/hyperlink" Target="https://www.kfvs12.com/story/30947819/christopher-il-woman-arrested-on-arson-charges/" TargetMode="External"/><Relationship Id="rId311" Type="http://schemas.openxmlformats.org/officeDocument/2006/relationships/hyperlink" Target="https://www.ohioattorneygeneral.gov/Media/News-Releases/January-2020/Garfield-Heights-Recycling-Center-Held-in-Contempt" TargetMode="External"/><Relationship Id="rId409" Type="http://schemas.openxmlformats.org/officeDocument/2006/relationships/hyperlink" Target="https://www.supremecourt.gov/opinions/24pdf/23-1239_onjq.pdf" TargetMode="External"/><Relationship Id="rId963" Type="http://schemas.openxmlformats.org/officeDocument/2006/relationships/hyperlink" Target="https://law.justia.com/cases/michigan/court-of-appeals-unpublished/2020/351871.html" TargetMode="External"/><Relationship Id="rId1039" Type="http://schemas.openxmlformats.org/officeDocument/2006/relationships/hyperlink" Target="https://www.ca4.uscourts.gov/opinions/221081.U.pdf" TargetMode="External"/><Relationship Id="rId1246" Type="http://schemas.openxmlformats.org/officeDocument/2006/relationships/hyperlink" Target="https://courts.illinois.gov/R23_Orders/AppellateCourt/2019/1stDistrict/1181900_R23.pdf" TargetMode="External"/><Relationship Id="rId1898" Type="http://schemas.openxmlformats.org/officeDocument/2006/relationships/hyperlink" Target="http://futurefirefighters.org/firefighter-drinking-driving/" TargetMode="External"/><Relationship Id="rId2644" Type="http://schemas.openxmlformats.org/officeDocument/2006/relationships/hyperlink" Target="https://www.phoenix.gov/firesite/Documents/fire_mp_10518.pdf" TargetMode="External"/><Relationship Id="rId92" Type="http://schemas.openxmlformats.org/officeDocument/2006/relationships/hyperlink" Target="https://www.supremecourt.ohio.gov/rod/docs/pdf/8/2024/2024-Ohio-5601.pdf" TargetMode="External"/><Relationship Id="rId616" Type="http://schemas.openxmlformats.org/officeDocument/2006/relationships/hyperlink" Target="https://www.hstoday.us/us-national-guard/column-supreme-court-blocks-national-guard-deployment-to-chicago-restricts-presidential-power-under-title-10/" TargetMode="External"/><Relationship Id="rId823" Type="http://schemas.openxmlformats.org/officeDocument/2006/relationships/hyperlink" Target="https://www.supremecourt.gov/opinions/24pdf/24-362_mjn0.pdf" TargetMode="External"/><Relationship Id="rId1453" Type="http://schemas.openxmlformats.org/officeDocument/2006/relationships/hyperlink" Target="https://www.justsecurity.org/wp-content/uploads/2025/02/National-Association-of-Diversity-Officers-in-Higher-Education-v.-Trump-feb-21-2025.pdf" TargetMode="External"/><Relationship Id="rId1660" Type="http://schemas.openxmlformats.org/officeDocument/2006/relationships/hyperlink" Target="https://cases.justia.com/louisiana/fourth-circuit-court-of-appeal/2018-2018-ca-0507.pdf?ts=1542839104" TargetMode="External"/><Relationship Id="rId1758" Type="http://schemas.openxmlformats.org/officeDocument/2006/relationships/hyperlink" Target="https://www.law.cornell.edu/topn/black-connery_fair_labor_standards_act" TargetMode="External"/><Relationship Id="rId2504" Type="http://schemas.openxmlformats.org/officeDocument/2006/relationships/hyperlink" Target="https://cases.justia.com/federal/district-courts/illinois/ilndce/1:2021cv03620/405182/52/0.pdf?ts=1706027592" TargetMode="External"/><Relationship Id="rId2711" Type="http://schemas.openxmlformats.org/officeDocument/2006/relationships/hyperlink" Target="https://trellis.law/doc/60559021/complaint-filed" TargetMode="External"/><Relationship Id="rId2809" Type="http://schemas.openxmlformats.org/officeDocument/2006/relationships/hyperlink" Target="https://cases.justia.com/florida/fifth-district-court-of-appeal/2022-5d21-1620.pdf?ts=1666365198" TargetMode="External"/><Relationship Id="rId1106" Type="http://schemas.openxmlformats.org/officeDocument/2006/relationships/hyperlink" Target="https://www.supremecourt.gov/opinions/21pdf/20-603_o758.pdf" TargetMode="External"/><Relationship Id="rId1313" Type="http://schemas.openxmlformats.org/officeDocument/2006/relationships/hyperlink" Target="https://www.supremecourt.gov/DocketPDF/23/23-1039/335322/20241216192608136_23-1039_Ames_Amicus_Brief_iso_Vacatur.pdf" TargetMode="External"/><Relationship Id="rId1520" Type="http://schemas.openxmlformats.org/officeDocument/2006/relationships/hyperlink" Target="https://law.justia.com/cases/federal/appellate-courts/ca2/20-456/20-456-2021-06-09.html" TargetMode="External"/><Relationship Id="rId1965" Type="http://schemas.openxmlformats.org/officeDocument/2006/relationships/hyperlink" Target="https://cases.justia.com/missouri/court-of-appeals/2025-wd87298.pdf?ts=1750174248" TargetMode="External"/><Relationship Id="rId1618" Type="http://schemas.openxmlformats.org/officeDocument/2006/relationships/hyperlink" Target="https://www.justice.gov/crt/case-document/file/1583736/download" TargetMode="External"/><Relationship Id="rId1825" Type="http://schemas.openxmlformats.org/officeDocument/2006/relationships/hyperlink" Target="https://d.docs.live.net/bd9b2eaf6053242e/AppData/Roaming/Microsoft/AppData/Local/Microsoft/Windows/INetCache/IE/CTCRXJ99/whdfs23.pdf" TargetMode="External"/><Relationship Id="rId199" Type="http://schemas.openxmlformats.org/officeDocument/2006/relationships/hyperlink" Target="https://public.fastcase.com/J%2FJP6pdidelsXxEE4k%2BLMkioZ6zkCvVA2f7m8MUdZzFChRnZ9pflbw23TgjkZYaZMPShomsfddWFkLQb1Ctqwom4ggqunMxdJpiD327M8Vc%3D?utm_medium=email&amp;_hsmi=226712652&amp;_hsenc=p2ANqtz-90P1mb2f8SYEeO6UfPTx4asdEjFOhLhRS07BbmdC1-wrC8kVAiG6jT85m4y6VmZBAFGCFSBZmuZ2NfaZLtEQDLtFBeQ&amp;utm_content=226712652&amp;utm_source=hs_email" TargetMode="External"/><Relationship Id="rId2087" Type="http://schemas.openxmlformats.org/officeDocument/2006/relationships/hyperlink" Target="https://law.justia.com/cases/kentucky/supreme-court/2023/2021-sc-0479-mr.html" TargetMode="External"/><Relationship Id="rId2294" Type="http://schemas.openxmlformats.org/officeDocument/2006/relationships/hyperlink" Target="https://www.legislature.ohio.gov/legislation/legislation-summary?id=GA132-SB-220" TargetMode="External"/><Relationship Id="rId266" Type="http://schemas.openxmlformats.org/officeDocument/2006/relationships/hyperlink" Target="http://www.ethics.ohio.gov" TargetMode="External"/><Relationship Id="rId473" Type="http://schemas.openxmlformats.org/officeDocument/2006/relationships/hyperlink" Target="https://apps.usfa.fema.gov/firefighter-fatalities/fatalityData/detail?fatalityId=4784" TargetMode="External"/><Relationship Id="rId680" Type="http://schemas.openxmlformats.org/officeDocument/2006/relationships/hyperlink" Target="https://www.theguardian.com/us-news/2023/oct/27/lawsuit-dismissed-texas-greg-abbott-transport-immigration" TargetMode="External"/><Relationship Id="rId2154" Type="http://schemas.openxmlformats.org/officeDocument/2006/relationships/hyperlink" Target="https://cms7files1.revize.com/starkcountyoh/S21-57.pdf" TargetMode="External"/><Relationship Id="rId2361" Type="http://schemas.openxmlformats.org/officeDocument/2006/relationships/hyperlink" Target="https://casetext.com/case/wilson-v-gregory-4" TargetMode="External"/><Relationship Id="rId2599" Type="http://schemas.openxmlformats.org/officeDocument/2006/relationships/hyperlink" Target="https://public.fastcase.com/" TargetMode="External"/><Relationship Id="rId126" Type="http://schemas.openxmlformats.org/officeDocument/2006/relationships/hyperlink" Target="https://www.law.cornell.edu/rules/fre/rule_702" TargetMode="External"/><Relationship Id="rId333" Type="http://schemas.openxmlformats.org/officeDocument/2006/relationships/hyperlink" Target="https://law.justia.com/cases/illinois/court-of-appeals-fifth-appellate-district/2019/5-18-0064.html" TargetMode="External"/><Relationship Id="rId540" Type="http://schemas.openxmlformats.org/officeDocument/2006/relationships/hyperlink" Target="https://law.justia.com/cases/new-york/appellate-division-second-department/2020/2016-13412.html" TargetMode="External"/><Relationship Id="rId778" Type="http://schemas.openxmlformats.org/officeDocument/2006/relationships/hyperlink" Target="https://public.fastcase.com/Wl%2B2t%2BeVuI35%2FN70vAMFZjEZMJsNZYCv20xfss0VwbYGceb09nWBJue7evWvO5N%2B" TargetMode="External"/><Relationship Id="rId985" Type="http://schemas.openxmlformats.org/officeDocument/2006/relationships/hyperlink" Target="https://caselaw.findlaw.com/mi-court-of-appeals/1890718.html" TargetMode="External"/><Relationship Id="rId1170" Type="http://schemas.openxmlformats.org/officeDocument/2006/relationships/hyperlink" Target="https://codes.ohio.gov/orc/gp9.87" TargetMode="External"/><Relationship Id="rId2014" Type="http://schemas.openxmlformats.org/officeDocument/2006/relationships/hyperlink" Target="https://www.law.cornell.edu/wex/hearsay" TargetMode="External"/><Relationship Id="rId2221" Type="http://schemas.openxmlformats.org/officeDocument/2006/relationships/hyperlink" Target="https://beta.documentcloud.org/documents/20433223-covid-19-relief-bill" TargetMode="External"/><Relationship Id="rId2459" Type="http://schemas.openxmlformats.org/officeDocument/2006/relationships/hyperlink" Target="https://www.wtol.com/article/news/crime/port-clinton-fire-chief-kent-johnson-sentenced-to-jail-for-sexual-harassment-case/512-0facde5b-63e1-457e-9908-521ed4a422af" TargetMode="External"/><Relationship Id="rId2666" Type="http://schemas.openxmlformats.org/officeDocument/2006/relationships/hyperlink" Target="https://www.ethics.ohio.gov/education/factsheets/InfoSheet1-Nepotism.pdf" TargetMode="External"/><Relationship Id="rId638" Type="http://schemas.openxmlformats.org/officeDocument/2006/relationships/hyperlink" Target="file:///C:\Users\lawre\AppData\Local\Microsoft\Windows\INetCache\Content.Outlook\PSWGR3E2\state-of-illinois-et-al-v-federal-emergency-management-agency-et-al-complaint-2025.pdf" TargetMode="External"/><Relationship Id="rId845" Type="http://schemas.openxmlformats.org/officeDocument/2006/relationships/hyperlink" Target="https://www.courts.ca.gov/opinions/documents/D082048.PDF" TargetMode="External"/><Relationship Id="rId1030" Type="http://schemas.openxmlformats.org/officeDocument/2006/relationships/hyperlink" Target="https://cases.justia.com/arizona/court-of-appeals-division-two-unpublished/2025-2-ca-ic-2024-0003.pdf?ts=1738026580" TargetMode="External"/><Relationship Id="rId1268" Type="http://schemas.openxmlformats.org/officeDocument/2006/relationships/hyperlink" Target="https://services.courts.state.wy.us/Documents/Opinions/2018WY75.pdf" TargetMode="External"/><Relationship Id="rId1475" Type="http://schemas.openxmlformats.org/officeDocument/2006/relationships/hyperlink" Target="https://public.fastcase.com/H1P9uiW3J20SFp%2BGCG%2BxLZkQf01yoKKyjTHIQ3i58nX%2B%2FAIlJ7l43hvEF8qKhahXQJQ44fkPKDzD6joZ4LsI7iTOFXPdH5%2Fv%2FKD427ldKjE%3D?utm_medium=email&amp;_hsmi=226712652&amp;_hsenc=p2ANqtz-_U89LkNl4P4fsnOucPHRbeGtR2XeKR1phEbD7-UuIt_KCX3oxL0CAr1yX56v7BapUY4ITdG8_rGIJJyhgPBOVmvvkgdg&amp;utm_content=226712652&amp;utm_source=hs_email" TargetMode="External"/><Relationship Id="rId1682" Type="http://schemas.openxmlformats.org/officeDocument/2006/relationships/hyperlink" Target="https://www.courts.wa.gov/opinions/pdf/1031211.pdf" TargetMode="External"/><Relationship Id="rId2319" Type="http://schemas.openxmlformats.org/officeDocument/2006/relationships/hyperlink" Target="https://public.fastcase.com/J%2FJP6pdidelsXxEE4k%2BLMiptlpkB0gZD0zq9ZoOKNJuhacmaRfGRvhQDw8Dzjp093sUgUkI4CwYYkhqoix%2B0P6g4YOgoDnx2kMnRYwj%2FWdA%3D" TargetMode="External"/><Relationship Id="rId2526" Type="http://schemas.openxmlformats.org/officeDocument/2006/relationships/hyperlink" Target="https://caselaw.findlaw.com/court/us-7th-circuit/2204869.html" TargetMode="External"/><Relationship Id="rId2733" Type="http://schemas.openxmlformats.org/officeDocument/2006/relationships/hyperlink" Target="https://law.justia.com/cases/new-york/court-of-appeals/2022/95.html" TargetMode="External"/><Relationship Id="rId400" Type="http://schemas.openxmlformats.org/officeDocument/2006/relationships/hyperlink" Target="https://codes.findlaw.com/ny/general-municipal-law/gmu-sect-205-a/" TargetMode="External"/><Relationship Id="rId705" Type="http://schemas.openxmlformats.org/officeDocument/2006/relationships/hyperlink" Target="https://www.supremecourt.gov/opinions/21pdf/21-954_7l48.pdf" TargetMode="External"/><Relationship Id="rId1128" Type="http://schemas.openxmlformats.org/officeDocument/2006/relationships/hyperlink" Target="https://apps.leg.wa.gov/rcw/default.aspx?cite=51.32.185" TargetMode="External"/><Relationship Id="rId1335" Type="http://schemas.openxmlformats.org/officeDocument/2006/relationships/hyperlink" Target="https://public.fastcase.com/ZZhmr5v9wN%2FXOe5IsQ%2FqD9BUVBv1kUZp9ZGh4udwVOZOikyKuqCQ4FBlGwYEPhOQ?utm_medium=email&amp;_hsmi=226712652&amp;_hsenc=p2ANqtz-8T0ew8oNT-12TbgKrs2ORAj7WbRAGASG77xIYUvebbTcAbFOuK4r9xkTZLpSPqAw77_8KgP47FqlehaZADxsQlpR3k0g&amp;utm_content=226712652&amp;utm_source=hs_email" TargetMode="External"/><Relationship Id="rId1542" Type="http://schemas.openxmlformats.org/officeDocument/2006/relationships/hyperlink" Target="https://law.justia.com/cases/florida/third-district-court-of-appeal/2020/3d19-1144.html" TargetMode="External"/><Relationship Id="rId1987" Type="http://schemas.openxmlformats.org/officeDocument/2006/relationships/hyperlink" Target="https://casetext.com/case/kilpatrick-v-city-of-l-a" TargetMode="External"/><Relationship Id="rId912" Type="http://schemas.openxmlformats.org/officeDocument/2006/relationships/hyperlink" Target="https://cases.justia.com/virginia/court-of-appeals-unpublished/2025-0990-24-1.pdf?ts=1761062926" TargetMode="External"/><Relationship Id="rId1847" Type="http://schemas.openxmlformats.org/officeDocument/2006/relationships/hyperlink" Target="https://casetext.com/statute/montana-code/title-39-labor/chapter-31-collective-bargaining-for-public-employees/part-4-unfair-labor-practices/section-39-31-406-hearing-on-complaint-findings-order" TargetMode="External"/><Relationship Id="rId2800" Type="http://schemas.openxmlformats.org/officeDocument/2006/relationships/hyperlink" Target="https://casetext.com/statute/united-states-code/title-5-government-organization-and-employees/part-i-the-agencies-generally/chapter-7-judicial-review/section-706-scope-of-review" TargetMode="External"/><Relationship Id="rId41" Type="http://schemas.openxmlformats.org/officeDocument/2006/relationships/hyperlink" Target="https://www.justice.gov/usao-edwi/pr/former-restaurant-owner-indicted-arson-and-related-charges" TargetMode="External"/><Relationship Id="rId1402" Type="http://schemas.openxmlformats.org/officeDocument/2006/relationships/hyperlink" Target="https://www.law.cornell.edu/uscode/text/29/207" TargetMode="External"/><Relationship Id="rId1707" Type="http://schemas.openxmlformats.org/officeDocument/2006/relationships/hyperlink" Target="https://www.supremecourt.gov/DocketPDF/23/23-217/326778/20240924155125392_2024.09.24%20EMD%20v%20Carrera%20-%20Brief%20for%20Respondents.pdf" TargetMode="External"/><Relationship Id="rId190" Type="http://schemas.openxmlformats.org/officeDocument/2006/relationships/hyperlink" Target="https://www.npr.org/2022/06/13/1104570419/ohio-dewine-guns-teachers" TargetMode="External"/><Relationship Id="rId288" Type="http://schemas.openxmlformats.org/officeDocument/2006/relationships/hyperlink" Target="https://casetext.com/case/25-grant-st-llc-v-city-of-bridgeport" TargetMode="External"/><Relationship Id="rId1914" Type="http://schemas.openxmlformats.org/officeDocument/2006/relationships/hyperlink" Target="https://www.courts.state.md.us/sites/default/files/unreported-opinions/2605s16.pdf" TargetMode="External"/><Relationship Id="rId495" Type="http://schemas.openxmlformats.org/officeDocument/2006/relationships/hyperlink" Target="https://www.merckmanuals.com/professional/dermatologic-disorders/hair-disorders/pseudofolliculitis-barbae" TargetMode="External"/><Relationship Id="rId2176" Type="http://schemas.openxmlformats.org/officeDocument/2006/relationships/hyperlink" Target="https://public.fastcase.com/9SKwsfNqTc6OieYDhNMyMzpaZgjHFdPajpMUAUycVEOD1%2FIGYL0bkVi40opLVA3rHt12SE41wYoG8BLshtbo2LNVnd3RJLWIEJH0dBI9oDE%3D" TargetMode="External"/><Relationship Id="rId2383" Type="http://schemas.openxmlformats.org/officeDocument/2006/relationships/hyperlink" Target="https://www.sacbee.com/news/local/article257698263.html" TargetMode="External"/><Relationship Id="rId2590" Type="http://schemas.openxmlformats.org/officeDocument/2006/relationships/hyperlink" Target="https://www.mass.gov/news/wellesley-fire-chief-richard-delorie-pays-10000-civil-penalty-for-violating-conflict-of-interest-law" TargetMode="External"/><Relationship Id="rId148" Type="http://schemas.openxmlformats.org/officeDocument/2006/relationships/hyperlink" Target="https://www.supremecourt.ohio.gov/forms/all-forms/crime-victims-marsys-law-rights/112" TargetMode="External"/><Relationship Id="rId355" Type="http://schemas.openxmlformats.org/officeDocument/2006/relationships/hyperlink" Target="https://www.supremecourt.gov/opinions/17pdf/16-1466_2b3j.pdf" TargetMode="External"/><Relationship Id="rId562" Type="http://schemas.openxmlformats.org/officeDocument/2006/relationships/hyperlink" Target="https://www.leagle.com/decision/innvco20191115257" TargetMode="External"/><Relationship Id="rId1192" Type="http://schemas.openxmlformats.org/officeDocument/2006/relationships/hyperlink" Target="https://www.ncjrs.gov/pdffiles1/Digitization/103277NCJRS.pdf" TargetMode="External"/><Relationship Id="rId2036" Type="http://schemas.openxmlformats.org/officeDocument/2006/relationships/hyperlink" Target="https://www.woodtv.com/news/nexstar-media-wire/paramedics-charged-with-murder-after-patient-who-was-in-stretcher-face-down-dies/" TargetMode="External"/><Relationship Id="rId2243" Type="http://schemas.openxmlformats.org/officeDocument/2006/relationships/hyperlink" Target="https://www.courts.state.md.us/sites/default/files/unreported-opinions/0318s19.pdf" TargetMode="External"/><Relationship Id="rId2450" Type="http://schemas.openxmlformats.org/officeDocument/2006/relationships/hyperlink" Target="https://www.wtsp.com/article/news/local/ex-fire-chief-convicted-in-child-sex-abuse-trial/67-376283027" TargetMode="External"/><Relationship Id="rId2688" Type="http://schemas.openxmlformats.org/officeDocument/2006/relationships/hyperlink" Target="https://cases.justia.com/texas/fourteenth-court-of-appeals/2025-14-24-00613-cv.pdf?ts=1752594731" TargetMode="External"/><Relationship Id="rId215" Type="http://schemas.openxmlformats.org/officeDocument/2006/relationships/hyperlink" Target="https://law.justia.com/cases/virginia/court-of-appeals-unpublished/2022/0509-21-2.html" TargetMode="External"/><Relationship Id="rId422" Type="http://schemas.openxmlformats.org/officeDocument/2006/relationships/hyperlink" Target="https://casetext.com/case/waybright-v-frederick-county-2" TargetMode="External"/><Relationship Id="rId867" Type="http://schemas.openxmlformats.org/officeDocument/2006/relationships/hyperlink" Target="https://casetext.com/case/dougherty-v-city-of-detroit" TargetMode="External"/><Relationship Id="rId1052" Type="http://schemas.openxmlformats.org/officeDocument/2006/relationships/hyperlink" Target="https://www.iaff.org/presumptive-health/" TargetMode="External"/><Relationship Id="rId1497" Type="http://schemas.openxmlformats.org/officeDocument/2006/relationships/hyperlink" Target="https://www.fiercehealthcare.com/providers/hennepin-health-accused-deeply-rooted-racism-following-blackface-excited-delirium" TargetMode="External"/><Relationship Id="rId2103" Type="http://schemas.openxmlformats.org/officeDocument/2006/relationships/hyperlink" Target="https://caselaw.findlaw.com/ny-supreme-court/2147274.html" TargetMode="External"/><Relationship Id="rId2310" Type="http://schemas.openxmlformats.org/officeDocument/2006/relationships/hyperlink" Target="https://cases.justia.com/michigan/court-of-appeals-unpublished/2018-335366.pdf?ts=1524229247" TargetMode="External"/><Relationship Id="rId2548" Type="http://schemas.openxmlformats.org/officeDocument/2006/relationships/hyperlink" Target="https://www.cbc.ca/news/canada/edmonton/fires-set-by-firefighters-a-long-standing-problem-experts-say-1.3563183" TargetMode="External"/><Relationship Id="rId2755" Type="http://schemas.openxmlformats.org/officeDocument/2006/relationships/hyperlink" Target="https://www.vindy.com/news/local-news/2021/02/judge-rules-city-treated-fire-union-unfairly/" TargetMode="External"/><Relationship Id="rId727" Type="http://schemas.openxmlformats.org/officeDocument/2006/relationships/hyperlink" Target="https://www.ca4.uscourts.gov/opinions/192250.P.pdf" TargetMode="External"/><Relationship Id="rId934" Type="http://schemas.openxmlformats.org/officeDocument/2006/relationships/hyperlink" Target="https://casetext.com/case/wakefield-v-williamstown-volunteer-fire-co" TargetMode="External"/><Relationship Id="rId1357" Type="http://schemas.openxmlformats.org/officeDocument/2006/relationships/hyperlink" Target="https://www.firelawblog.com/2022/03/13/court-refuses-to-dismiss-state-law-claims-in-norfolk-retaliation-suit/" TargetMode="External"/><Relationship Id="rId1564" Type="http://schemas.openxmlformats.org/officeDocument/2006/relationships/hyperlink" Target="http://www.nydailynews.com/new-york/city-pay-98-million-fdny-discrimination-case-article-1.1725702" TargetMode="External"/><Relationship Id="rId1771" Type="http://schemas.openxmlformats.org/officeDocument/2006/relationships/hyperlink" Target="https://www.dol.gov/agencies/whd/fact-sheets/56a-regular-rate" TargetMode="External"/><Relationship Id="rId2408" Type="http://schemas.openxmlformats.org/officeDocument/2006/relationships/hyperlink" Target="https://www.minnesotacomp.com/blog/2018/11/post-traumatic-stress-disorder-may-become-a-presumptive-condition-for-first-responders/" TargetMode="External"/><Relationship Id="rId2615" Type="http://schemas.openxmlformats.org/officeDocument/2006/relationships/hyperlink" Target="https://njcourts.gov/attorneys/assets/opinions/appellate/unpublished/a1619-18.pdf?c=D1L" TargetMode="External"/><Relationship Id="rId2822" Type="http://schemas.openxmlformats.org/officeDocument/2006/relationships/hyperlink" Target="https://www.nytimes.com/2020/06/12/nyregion/50a-repeal-police-floyd.html" TargetMode="External"/><Relationship Id="rId63" Type="http://schemas.openxmlformats.org/officeDocument/2006/relationships/hyperlink" Target="https://www.youtube.com/watch?v=pYAlJLy1R8U" TargetMode="External"/><Relationship Id="rId1217" Type="http://schemas.openxmlformats.org/officeDocument/2006/relationships/hyperlink" Target="https://supreme.justia.com/cases/federal/us/436/658/" TargetMode="External"/><Relationship Id="rId1424" Type="http://schemas.openxmlformats.org/officeDocument/2006/relationships/hyperlink" Target="https://www.eeoc.gov/laws/guidance/pregnancy_guidance.cfm" TargetMode="External"/><Relationship Id="rId1631" Type="http://schemas.openxmlformats.org/officeDocument/2006/relationships/hyperlink" Target="https://www.eeoc.gov/time-limits-filing-charge" TargetMode="External"/><Relationship Id="rId1869" Type="http://schemas.openxmlformats.org/officeDocument/2006/relationships/hyperlink" Target="https://www.justice.gov/opa/pr/justice-department-announces-global-resolution-criminal-and-civil-investigations-opioid" TargetMode="External"/><Relationship Id="rId1729" Type="http://schemas.openxmlformats.org/officeDocument/2006/relationships/hyperlink" Target="https://cases.justia.com/federal/district-courts/mississippi/mssdce/1:2022cv00356/117172/19/0.pdf?ts=1706287990" TargetMode="External"/><Relationship Id="rId1936" Type="http://schemas.openxmlformats.org/officeDocument/2006/relationships/hyperlink" Target="https://ilcourtsaudio.blob.core.windows.net/" TargetMode="External"/><Relationship Id="rId2198" Type="http://schemas.openxmlformats.org/officeDocument/2006/relationships/hyperlink" Target="https://www.ca10.uscourts.gov/opinions/19/19-2166.pdf" TargetMode="External"/><Relationship Id="rId377" Type="http://schemas.openxmlformats.org/officeDocument/2006/relationships/hyperlink" Target="https://cases.justia.com/texas/thirteenth-court-of-appeals/2026-13-24-00335-cr.pdf?ts=1773937817" TargetMode="External"/><Relationship Id="rId584" Type="http://schemas.openxmlformats.org/officeDocument/2006/relationships/hyperlink" Target="http://www2.ca3.uscourts.gov/opinarch/172183p.pdf" TargetMode="External"/><Relationship Id="rId2058" Type="http://schemas.openxmlformats.org/officeDocument/2006/relationships/hyperlink" Target="https://www.lohud.com/story/news/local/rockland/2022/08/16/ramapo-valley-ambulance-corps-defunded/65406353007/" TargetMode="External"/><Relationship Id="rId2265" Type="http://schemas.openxmlformats.org/officeDocument/2006/relationships/hyperlink" Target="https://cases.justia.com/federal/appellate-courts/ca6/18-5480/18-5480-2020-01-21.pdf?ts=1579627818" TargetMode="External"/><Relationship Id="rId5" Type="http://schemas.openxmlformats.org/officeDocument/2006/relationships/webSettings" Target="webSettings.xml"/><Relationship Id="rId237" Type="http://schemas.openxmlformats.org/officeDocument/2006/relationships/hyperlink" Target="https://public.fastcase.com/9SKwsfNqTc6OieYDhNMyM6jgODeMvtNo11ZvDvT9dExI019FDNN4wp%2BIWQLSUMw%2BxfaNzZaXSMuB0brgu1SRuIg3s6kJiaNRSylEv%2FkVP98%3D" TargetMode="External"/><Relationship Id="rId791" Type="http://schemas.openxmlformats.org/officeDocument/2006/relationships/hyperlink" Target="https://cases.justia.com/federal/appellate-courts/ca9/17-35634/17-35634-2019-10-21.pdf?ts=1571677280" TargetMode="External"/><Relationship Id="rId889" Type="http://schemas.openxmlformats.org/officeDocument/2006/relationships/hyperlink" Target="https://www.nct911.org/how-location-works-for-911/" TargetMode="External"/><Relationship Id="rId1074" Type="http://schemas.openxmlformats.org/officeDocument/2006/relationships/hyperlink" Target="https://law.justia.com/cases/pennsylvania/commonwealth-court/2023/1040-c-d-2021.html" TargetMode="External"/><Relationship Id="rId2472" Type="http://schemas.openxmlformats.org/officeDocument/2006/relationships/hyperlink" Target="https://www.njcourts.gov/system/files/court-opinions/2025/a1587-23.pdf" TargetMode="External"/><Relationship Id="rId2777" Type="http://schemas.openxmlformats.org/officeDocument/2006/relationships/hyperlink" Target="https://www.flhouse.gov/Sections/Bills/billsdetail.aspx?BillId=78745" TargetMode="External"/><Relationship Id="rId444" Type="http://schemas.openxmlformats.org/officeDocument/2006/relationships/hyperlink" Target="https://www.hometownlife.com/story/news/local/westland/2016/04/15/report-released-westland-firefighter-death/83087498/" TargetMode="External"/><Relationship Id="rId651" Type="http://schemas.openxmlformats.org/officeDocument/2006/relationships/hyperlink" Target="https://casetext.com/case/assn-of-cal-ins-cos-v-jones-8" TargetMode="External"/><Relationship Id="rId749" Type="http://schemas.openxmlformats.org/officeDocument/2006/relationships/hyperlink" Target="https://www.law.cornell.edu/definitions/uscode.php?width=840&amp;height=800&amp;iframe=true&amp;def_id=8-USC-92903111-1485256781&amp;term_occur=999&amp;term_src=title:8:chapter:12:subchapter:II:part:IV:section:1229b" TargetMode="External"/><Relationship Id="rId1281" Type="http://schemas.openxmlformats.org/officeDocument/2006/relationships/hyperlink" Target="https://www.courts.ri.gov/Courts/SupremeCourt/SupremeOpinions/16-170.pdf" TargetMode="External"/><Relationship Id="rId1379" Type="http://schemas.openxmlformats.org/officeDocument/2006/relationships/hyperlink" Target="https://casetext.com/case/mendoza-v-rio-rico-med-1" TargetMode="External"/><Relationship Id="rId1586" Type="http://schemas.openxmlformats.org/officeDocument/2006/relationships/hyperlink" Target="https://casetext.com/case/hauptrief-v-telford-1" TargetMode="External"/><Relationship Id="rId2125" Type="http://schemas.openxmlformats.org/officeDocument/2006/relationships/hyperlink" Target="http://lcapps.co.lucas.oh.us/Courts/Appeals/DecisionsPDF/10196.pdf" TargetMode="External"/><Relationship Id="rId2332" Type="http://schemas.openxmlformats.org/officeDocument/2006/relationships/hyperlink" Target="https://www.pacourts.us/assets/opinions/Commonwealth/out/770CD24_10-22-25.pdf?cb=1" TargetMode="External"/><Relationship Id="rId304" Type="http://schemas.openxmlformats.org/officeDocument/2006/relationships/hyperlink" Target="https://cdm17027.contentdm.oclc.org/digital/collection/p17027coll5/id/26716/rec/1" TargetMode="External"/><Relationship Id="rId511" Type="http://schemas.openxmlformats.org/officeDocument/2006/relationships/hyperlink" Target="https://www.supremecourt.gov/opinions/21pdf/20-843_7j80.pdf" TargetMode="External"/><Relationship Id="rId609" Type="http://schemas.openxmlformats.org/officeDocument/2006/relationships/hyperlink" Target="https://www.google.com/patents/US6848366?dq=inventor+daniel+tanner" TargetMode="External"/><Relationship Id="rId956" Type="http://schemas.openxmlformats.org/officeDocument/2006/relationships/hyperlink" Target="https://public.fastcase.com/9SKwsfNqTc6OieYDhNMyMxYFAOB%2B8Exz96lCVjgKZ3LX4kIIj1F%2BwgWx84FRdD2XxPjZrEkhT3uMWAcBEArrI0vrm%2B5Vt5gbBlhQIZhqFuE%3D" TargetMode="External"/><Relationship Id="rId1141" Type="http://schemas.openxmlformats.org/officeDocument/2006/relationships/hyperlink" Target="https://www.youtube.com/watch?v=-Y6r01Pmcaw" TargetMode="External"/><Relationship Id="rId1239" Type="http://schemas.openxmlformats.org/officeDocument/2006/relationships/hyperlink" Target="https://courts.illinois.gov/R23_Orders/WorkersComp/2020/1190373WC_R23.pdf" TargetMode="External"/><Relationship Id="rId1793" Type="http://schemas.openxmlformats.org/officeDocument/2006/relationships/hyperlink" Target="https://www.chestertonin.org/145/Fire-Department" TargetMode="External"/><Relationship Id="rId2637" Type="http://schemas.openxmlformats.org/officeDocument/2006/relationships/hyperlink" Target="https://www.opn.ca6.uscourts.gov/opinions.pdf/19a0286p-06.pdf" TargetMode="External"/><Relationship Id="rId85" Type="http://schemas.openxmlformats.org/officeDocument/2006/relationships/hyperlink" Target="https://cases.justia.com/federal/appellate-courts/ca3/24-1567/24-1567-2024-12-17.pdf?ts=1734458412" TargetMode="External"/><Relationship Id="rId816" Type="http://schemas.openxmlformats.org/officeDocument/2006/relationships/hyperlink" Target="https://appellate.nccourts.org/opinions/?c=2&amp;pdf=44475" TargetMode="External"/><Relationship Id="rId1001" Type="http://schemas.openxmlformats.org/officeDocument/2006/relationships/hyperlink" Target="https://ecf.rid.uscourts.gov/cgi-bin/show_public_doc?2025cv0270-20" TargetMode="External"/><Relationship Id="rId1446" Type="http://schemas.openxmlformats.org/officeDocument/2006/relationships/hyperlink" Target="https://www.ca5.uscourts.gov/opinions/unpub/24/24-60532.0.pdf" TargetMode="External"/><Relationship Id="rId1653" Type="http://schemas.openxmlformats.org/officeDocument/2006/relationships/hyperlink" Target="https://www.courthousenews.com/firemans-beard-bias-claims-given-a-trim/" TargetMode="External"/><Relationship Id="rId1860" Type="http://schemas.openxmlformats.org/officeDocument/2006/relationships/hyperlink" Target="https://www.10tv.com/article/news/nation-world/firefighter-charged-killing-pregnant-teen-dui-crash/530-c59458ea-0d76-4ce2-8b1e-022640f424f8" TargetMode="External"/><Relationship Id="rId2704" Type="http://schemas.openxmlformats.org/officeDocument/2006/relationships/hyperlink" Target="https://casetext.com/case/intl-assn-of-fire-fighters-local-1366-v-city-of-cedar-falls" TargetMode="External"/><Relationship Id="rId1306" Type="http://schemas.openxmlformats.org/officeDocument/2006/relationships/hyperlink" Target="https://codes.ohio.gov/ohio-revised-code/section-4112.02" TargetMode="External"/><Relationship Id="rId1513" Type="http://schemas.openxmlformats.org/officeDocument/2006/relationships/hyperlink" Target="https://law.justia.com/cases/federal/district-courts/california/caedce/1:2018cv00824/337796/49/" TargetMode="External"/><Relationship Id="rId1720" Type="http://schemas.openxmlformats.org/officeDocument/2006/relationships/hyperlink" Target="https://webapps.dol.gov/elaws/otcalculator.htm" TargetMode="External"/><Relationship Id="rId1958" Type="http://schemas.openxmlformats.org/officeDocument/2006/relationships/hyperlink" Target="https://www.courts.wa.gov/opinions/pdf/862057.pdf" TargetMode="External"/><Relationship Id="rId12" Type="http://schemas.openxmlformats.org/officeDocument/2006/relationships/image" Target="media/image4.png"/><Relationship Id="rId1818" Type="http://schemas.openxmlformats.org/officeDocument/2006/relationships/hyperlink" Target="http://41af3k34gprx4f6bg12df75i.wpengine.netdna-cdn.com/wp-content/uploads/sites/19/2019/04/Spokane-Valley-Fire-Department-v-IAFF-Local-3701-RULING.pdf" TargetMode="External"/><Relationship Id="rId161" Type="http://schemas.openxmlformats.org/officeDocument/2006/relationships/hyperlink" Target="https://www.law.cornell.edu/rules/fre/rule_702" TargetMode="External"/><Relationship Id="rId399" Type="http://schemas.openxmlformats.org/officeDocument/2006/relationships/hyperlink" Target="https://law.justia.com/cases/new-york/appellate-division-second-department/2025/2024-09583.html" TargetMode="External"/><Relationship Id="rId2287" Type="http://schemas.openxmlformats.org/officeDocument/2006/relationships/hyperlink" Target="https://lrus.wolterskluwer.com/store/daily-reporting-suite/antitrust-law-daily/" TargetMode="External"/><Relationship Id="rId2494" Type="http://schemas.openxmlformats.org/officeDocument/2006/relationships/hyperlink" Target="https://www.rcfp.org/anti-slapp-legal-guide/" TargetMode="External"/><Relationship Id="rId259" Type="http://schemas.openxmlformats.org/officeDocument/2006/relationships/hyperlink" Target="https://www.wicourts.gov/ca/opinion/DisplayDocument.pdf?content=pdf&amp;seqNo=342440" TargetMode="External"/><Relationship Id="rId466" Type="http://schemas.openxmlformats.org/officeDocument/2006/relationships/hyperlink" Target="https://casetext.com/statute/consolidated-laws-of-new-york/chapter-volunteer-firefighters-benefit/article-2-coverage-and-benefits/section-19-exclusiveness-of-remedy" TargetMode="External"/><Relationship Id="rId673" Type="http://schemas.openxmlformats.org/officeDocument/2006/relationships/hyperlink" Target="https://www.cdcr.ca.gov/facility-locator/conservation-camps/" TargetMode="External"/><Relationship Id="rId880" Type="http://schemas.openxmlformats.org/officeDocument/2006/relationships/hyperlink" Target="https://www.npr.org/2021/10/18/1047085626/supreme-court-police-qualified-immunity-cases" TargetMode="External"/><Relationship Id="rId1096" Type="http://schemas.openxmlformats.org/officeDocument/2006/relationships/hyperlink" Target="https://law.justia.com/cases/south-carolina/court-of-appeals/2022/2022-up-437.html" TargetMode="External"/><Relationship Id="rId2147" Type="http://schemas.openxmlformats.org/officeDocument/2006/relationships/hyperlink" Target="https://casetext.com/case/brown-v-medscope-am-corp" TargetMode="External"/><Relationship Id="rId2354" Type="http://schemas.openxmlformats.org/officeDocument/2006/relationships/hyperlink" Target="https://app.leg.wa.gov/RCW/default.aspx?cite=18.73.030" TargetMode="External"/><Relationship Id="rId2561" Type="http://schemas.openxmlformats.org/officeDocument/2006/relationships/hyperlink" Target="https://iprospectcheck.com/the-adverse-action-process-and-how-it-applies-to-employment-background-checks/" TargetMode="External"/><Relationship Id="rId2799" Type="http://schemas.openxmlformats.org/officeDocument/2006/relationships/hyperlink" Target="https://casetext.com/statute/united-states-code/title-5-government-organization-and-employees/part-i-the-agencies-generally/chapter-7-judicial-review/section-706-scope-of-review" TargetMode="External"/><Relationship Id="rId119" Type="http://schemas.openxmlformats.org/officeDocument/2006/relationships/hyperlink" Target="https://www.law.cornell.edu/wex/hearsay" TargetMode="External"/><Relationship Id="rId326" Type="http://schemas.openxmlformats.org/officeDocument/2006/relationships/hyperlink" Target="https://law.justia.com/cases/federal/appellate-courts/ca7/17-3030/17-3030-2018-08-22.html" TargetMode="External"/><Relationship Id="rId533" Type="http://schemas.openxmlformats.org/officeDocument/2006/relationships/hyperlink" Target="https://law.justia.com/cases/michigan/court-of-appeals-unpublished/2021/350129.html" TargetMode="External"/><Relationship Id="rId978" Type="http://schemas.openxmlformats.org/officeDocument/2006/relationships/hyperlink" Target="https://www.post-gazette.com/local/west/2006/09/15/Jury-awards-5-million-to-families-in-fire-hose-accident/stories/200609150169" TargetMode="External"/><Relationship Id="rId1163" Type="http://schemas.openxmlformats.org/officeDocument/2006/relationships/hyperlink" Target="https://www.courant.com/news/connecticut/hc-xpm-2002-03-02-0203020027-story.html" TargetMode="External"/><Relationship Id="rId1370" Type="http://schemas.openxmlformats.org/officeDocument/2006/relationships/hyperlink" Target="https://www.firerescue1.com/lawsuit/articles/judge-dismisses-federal-gender-discrimination-suit-of-fdny-emt-who-posed-for-calendar-v4FDLqPObm3t3BSV/?utm_source=FireRescue1&amp;utm_campaign=dfa53e36a0-EMAIL_CAMPAIGN_2021_10_08_06_27&amp;utm_medium=email&amp;utm_term=0_1d76c7ca1b-dfa53e36a0-91025172" TargetMode="External"/><Relationship Id="rId2007" Type="http://schemas.openxmlformats.org/officeDocument/2006/relationships/hyperlink" Target="https://www.courts.ca.gov/opinions/nonpub/B322004.PDF" TargetMode="External"/><Relationship Id="rId2214" Type="http://schemas.openxmlformats.org/officeDocument/2006/relationships/hyperlink" Target="https://www.thecut.com/2020/08/the-killing-of-elijah-mcclain-everything-we-know.html" TargetMode="External"/><Relationship Id="rId2659" Type="http://schemas.openxmlformats.org/officeDocument/2006/relationships/hyperlink" Target="http://codes.ohio.gov/orc/gp9.481" TargetMode="External"/><Relationship Id="rId740" Type="http://schemas.openxmlformats.org/officeDocument/2006/relationships/hyperlink" Target="https://www.law.cornell.edu/definitions/uscode.php?width=840&amp;height=800&amp;iframe=true&amp;def_id=8-USC-92903111-1485256781&amp;term_occur=999&amp;term_src=" TargetMode="External"/><Relationship Id="rId838" Type="http://schemas.openxmlformats.org/officeDocument/2006/relationships/hyperlink" Target="https://cases.justia.com/kentucky/court-of-appeals/2024-2023-ca-1204-mr.pdf?ts=1722002681" TargetMode="External"/><Relationship Id="rId1023" Type="http://schemas.openxmlformats.org/officeDocument/2006/relationships/hyperlink" Target="https://cases.justia.com/pennsylvania/commonwealth-court/2025-92-c-d-2024.pdf?ts=1743522170" TargetMode="External"/><Relationship Id="rId1468" Type="http://schemas.openxmlformats.org/officeDocument/2006/relationships/hyperlink" Target="https://cases.justia.com/federal/district-courts/illinois/ilndce/1:2022cv04982/419212/136/0.pdf?ts=1728381206" TargetMode="External"/><Relationship Id="rId1675" Type="http://schemas.openxmlformats.org/officeDocument/2006/relationships/hyperlink" Target="https://cases.justia.com/federal/district-courts/illinois/ilndce/1:2018cv08500/359885/139/0.pdf?ts=1594372800" TargetMode="External"/><Relationship Id="rId1882" Type="http://schemas.openxmlformats.org/officeDocument/2006/relationships/hyperlink" Target="https://dreamcenterforrecovery.com/can-take-suboxone-still-go-work/" TargetMode="External"/><Relationship Id="rId2421" Type="http://schemas.openxmlformats.org/officeDocument/2006/relationships/hyperlink" Target="https://www.gao.gov/products/gao-24-107322" TargetMode="External"/><Relationship Id="rId2519" Type="http://schemas.openxmlformats.org/officeDocument/2006/relationships/hyperlink" Target="https://www.mspb.gov/decisions/nonprecedential/SANTOS_NICK_SF_0752_20_0114_I_1_FINAL_ORDER_2060932.pdf" TargetMode="External"/><Relationship Id="rId2726" Type="http://schemas.openxmlformats.org/officeDocument/2006/relationships/hyperlink" Target="file:///C:/Users/lawre/Downloads/Board%20Decision.pdf" TargetMode="External"/><Relationship Id="rId600" Type="http://schemas.openxmlformats.org/officeDocument/2006/relationships/hyperlink" Target="https://d.docs.live.net/bd9b2eaf6053242e/AppData/Roaming/Microsoft/AppData/Local/Microsoft/Windows/INetCache/IE/CTCRXJ99/Alvarez-v-American-LaFrance.pdf" TargetMode="External"/><Relationship Id="rId1230" Type="http://schemas.openxmlformats.org/officeDocument/2006/relationships/hyperlink" Target="http://www.search.txcourts.gov/SearchMedia.aspx?MediaVersionID=0d5f8f8d-dca0-42cf-9f3d-0b9f0ec4a868&amp;coa=coa12&amp;DT=Opinion&amp;MediaID=3cca35a6-dea2-4898-8844-a6d0a0f59f70" TargetMode="External"/><Relationship Id="rId1328" Type="http://schemas.openxmlformats.org/officeDocument/2006/relationships/hyperlink" Target="https://cases.justia.com/federal/district-courts/nevada/nvdce/2:2021cv01405/151510/46/0.pdf" TargetMode="External"/><Relationship Id="rId1535" Type="http://schemas.openxmlformats.org/officeDocument/2006/relationships/hyperlink" Target="https://www.stetson.edu/law/lawreview/media/the-civil-rights-act-of-1991-and-eeoc-enforcement.pdf" TargetMode="External"/><Relationship Id="rId905" Type="http://schemas.openxmlformats.org/officeDocument/2006/relationships/hyperlink" Target="https://cases.justia.com/texas/fifth-court-of-appeals/2026-05-24-01403-cv.pdf?ts=1769077961" TargetMode="External"/><Relationship Id="rId1742" Type="http://schemas.openxmlformats.org/officeDocument/2006/relationships/hyperlink" Target="https://public.fastcase.com/ZZhmr5v9wN%2FXOe5IsQ%2FqD6sjDusMj%2BpqHWJB3g3peOqB7r060z1DCjdHIpcn3tRLdaTmRHBEVoaEU7qCAearkbm3vxifIUs5cRZbbsNdVP8%3D?utm_medium=email&amp;_hsmi=226712652&amp;_hsenc=p2ANqtz-8gP-zHi-IOiqpnpXzunEXLHIYbdJXxowLQqk7bE6jqat0-j7JaN5Av0mj-PIwKwb5z_G2Wf06wKlilS-X5H1ndg63rYw&amp;utm_content=226712652&amp;utm_source=hs_email" TargetMode="External"/><Relationship Id="rId34" Type="http://schemas.openxmlformats.org/officeDocument/2006/relationships/hyperlink" Target="https://law.justia.com/cases/kentucky/supreme-court/2025/2023-sc-0395-dg.html" TargetMode="External"/><Relationship Id="rId1602" Type="http://schemas.openxmlformats.org/officeDocument/2006/relationships/hyperlink" Target="https://www.casemine.com/judgement/us/65a0c054bfe6241981ef91c8" TargetMode="External"/><Relationship Id="rId183" Type="http://schemas.openxmlformats.org/officeDocument/2006/relationships/hyperlink" Target="https://apps.legislature.ky.gov/law/statutes/statute.aspx?id=44007" TargetMode="External"/><Relationship Id="rId390" Type="http://schemas.openxmlformats.org/officeDocument/2006/relationships/hyperlink" Target="https://www.flhouse.gov/Sections/Documents/loaddoc.aspx?FileName=_s0184er.DOCX&amp;DocumentType=Bill&amp;BillNumber=184&amp;Session=2024" TargetMode="External"/><Relationship Id="rId1907" Type="http://schemas.openxmlformats.org/officeDocument/2006/relationships/hyperlink" Target="https://www.courthousenews.com/wp-content/uploads/2020/06/safehouse-pa.pdf" TargetMode="External"/><Relationship Id="rId2071" Type="http://schemas.openxmlformats.org/officeDocument/2006/relationships/hyperlink" Target="https://www.opn.ca6.uscourts.gov/opinions.pdf/23a0237p-06.pdf" TargetMode="External"/><Relationship Id="rId250" Type="http://schemas.openxmlformats.org/officeDocument/2006/relationships/hyperlink" Target="https://www.supremecourt.gov/opinions/20pdf/19-1414_8m58.pdf" TargetMode="External"/><Relationship Id="rId488" Type="http://schemas.openxmlformats.org/officeDocument/2006/relationships/hyperlink" Target="https://www.nytimes.com/1995/08/16/nyregion/storeowner-guilty-of-arson-where-fireman-died.html" TargetMode="External"/><Relationship Id="rId695" Type="http://schemas.openxmlformats.org/officeDocument/2006/relationships/hyperlink" Target="https://storage.courtlistener.com/recap/gov.uscourts.nynd.134829/gov.uscourts.nynd.134829.27.0_1.pdf" TargetMode="External"/><Relationship Id="rId2169" Type="http://schemas.openxmlformats.org/officeDocument/2006/relationships/hyperlink" Target="https://casetext.com/case/ramirez-v-talos-gulf-coast-offshore-llc" TargetMode="External"/><Relationship Id="rId2376" Type="http://schemas.openxmlformats.org/officeDocument/2006/relationships/hyperlink" Target="https://www.njcourts.gov/attorneys/assets/opinions/appellate/unpublished/a3633-19.pdf" TargetMode="External"/><Relationship Id="rId2583" Type="http://schemas.openxmlformats.org/officeDocument/2006/relationships/hyperlink" Target="https://www.nj.gov/csc/about/meetings/decisions/pdf/2020/4-15-20/A-004%204-15-20.pdf" TargetMode="External"/><Relationship Id="rId2790" Type="http://schemas.openxmlformats.org/officeDocument/2006/relationships/hyperlink" Target="https://www.law.cornell.edu/definitions/index.php?width=840&amp;height=800&amp;iframe=true&amp;def_id=977e8a5a6738f2296549dee03e70816a&amp;term_occur=999&amp;term_src=Title:24:Subtitle:B:Chapter:II:Subchapter:I:Part:291:Subpart:F:291.530" TargetMode="External"/><Relationship Id="rId110" Type="http://schemas.openxmlformats.org/officeDocument/2006/relationships/hyperlink" Target="https://www.indeonline.com/story/news/2013/01/30/massillon-woman-gets-7-years/65001393007/" TargetMode="External"/><Relationship Id="rId348" Type="http://schemas.openxmlformats.org/officeDocument/2006/relationships/hyperlink" Target="https://www.wicourts.gov/sc/opinion/DisplayDocument.pdf?content=pdf&amp;seqNo=224718" TargetMode="External"/><Relationship Id="rId555" Type="http://schemas.openxmlformats.org/officeDocument/2006/relationships/hyperlink" Target="https://www.fox29.com/news/woman-gets-30-year-sentence-in-arson-that-killed-3-wilmington-firefighters" TargetMode="External"/><Relationship Id="rId762" Type="http://schemas.openxmlformats.org/officeDocument/2006/relationships/hyperlink" Target="https://www.ca4.uscourts.gov/opinions/201119.P.pdf" TargetMode="External"/><Relationship Id="rId1185" Type="http://schemas.openxmlformats.org/officeDocument/2006/relationships/hyperlink" Target="https://casetext.com/case/heneghan-v-city-of-evanston" TargetMode="External"/><Relationship Id="rId1392" Type="http://schemas.openxmlformats.org/officeDocument/2006/relationships/hyperlink" Target="https://www.supremecourt.gov/opinions/19pdf/17-1618_hfci.pdf" TargetMode="External"/><Relationship Id="rId2029" Type="http://schemas.openxmlformats.org/officeDocument/2006/relationships/hyperlink" Target="https://www.cbsnews.com/colorado/news/former-colorado-paramedic-jeremy-cooper-sentenced-conviction-death-elijah-mcclain/" TargetMode="External"/><Relationship Id="rId2236" Type="http://schemas.openxmlformats.org/officeDocument/2006/relationships/hyperlink" Target="https://codes.ohio.gov/orc/4765.49v1" TargetMode="External"/><Relationship Id="rId2443" Type="http://schemas.openxmlformats.org/officeDocument/2006/relationships/hyperlink" Target="https://law.justia.com/cases/new-york/appellate-division-second-department/2025/2024-01225.html" TargetMode="External"/><Relationship Id="rId2650" Type="http://schemas.openxmlformats.org/officeDocument/2006/relationships/hyperlink" Target="http://www.fifthcircuit.org/dmzdocs/OI/PO/2019/D2D01276-0CAB-4C3C-8746-E6A5E19BC45A.pdf" TargetMode="External"/><Relationship Id="rId208" Type="http://schemas.openxmlformats.org/officeDocument/2006/relationships/hyperlink" Target="https://ecf.ca8.uscourts.gov/opndir/22/05/212146P.pdf" TargetMode="External"/><Relationship Id="rId415" Type="http://schemas.openxmlformats.org/officeDocument/2006/relationships/hyperlink" Target="https://www.ktmc.com/featured-case/norfolk-southern-corporation" TargetMode="External"/><Relationship Id="rId622" Type="http://schemas.openxmlformats.org/officeDocument/2006/relationships/hyperlink" Target="https://www.californiacountynews.org/news/2025/11/local-governments-win-injunction-against-trump-administration-restoring-access-dhs" TargetMode="External"/><Relationship Id="rId1045" Type="http://schemas.openxmlformats.org/officeDocument/2006/relationships/hyperlink" Target="https://www.jud.ct.gov/external/supapp/Cases/AROap/AP228/AP228.307.pdf" TargetMode="External"/><Relationship Id="rId1252" Type="http://schemas.openxmlformats.org/officeDocument/2006/relationships/hyperlink" Target="https://law.justia.com/cases/new-york/other-courts/2019/2019-ny-slip-op-50647-u.html" TargetMode="External"/><Relationship Id="rId1697" Type="http://schemas.openxmlformats.org/officeDocument/2006/relationships/hyperlink" Target="https://natlawreview.com/article/wage-and-hour-watch-regular-rate-pay-primer-employers" TargetMode="External"/><Relationship Id="rId2303" Type="http://schemas.openxmlformats.org/officeDocument/2006/relationships/hyperlink" Target="https://cases.justia.com/ohio/ninth-district-court-of-appeals/2018-28746.pdf?ts=1532525904" TargetMode="External"/><Relationship Id="rId2510" Type="http://schemas.openxmlformats.org/officeDocument/2006/relationships/hyperlink" Target="https://casetext.com/case/goodlett-v-town-of-clarksville" TargetMode="External"/><Relationship Id="rId2748" Type="http://schemas.openxmlformats.org/officeDocument/2006/relationships/hyperlink" Target="https://law.justia.com/cases/federal/district-courts/indiana/inndce/2:2021cv00154/106960/76/" TargetMode="External"/><Relationship Id="rId927" Type="http://schemas.openxmlformats.org/officeDocument/2006/relationships/hyperlink" Target="https://cases.justia.com/texas/fourteenth-court-of-appeals/2024-14-23-00087-cv.pdf?ts=1709819934" TargetMode="External"/><Relationship Id="rId1112" Type="http://schemas.openxmlformats.org/officeDocument/2006/relationships/hyperlink" Target="https://info.bwc.ohio.gov/for-employers/workers-compensation-claims/recreational-waiver" TargetMode="External"/><Relationship Id="rId1557" Type="http://schemas.openxmlformats.org/officeDocument/2006/relationships/hyperlink" Target="https://www.leagle.com/cite/223%20F.3d%20749" TargetMode="External"/><Relationship Id="rId1764" Type="http://schemas.openxmlformats.org/officeDocument/2006/relationships/hyperlink" Target="https://www.govinfo.gov/content/pkg/USCOURTS-mowd-4_19-cv-00093/pdf/USCOURTS-mowd-4_19-cv-00093-1.pdf" TargetMode="External"/><Relationship Id="rId1971" Type="http://schemas.openxmlformats.org/officeDocument/2006/relationships/hyperlink" Target="https://caselaw.findlaw.com/court/ak-supreme-court/117230404.html" TargetMode="External"/><Relationship Id="rId2608" Type="http://schemas.openxmlformats.org/officeDocument/2006/relationships/hyperlink" Target="https://www.sacbee.com/news/politics-government/the-state-worker/article23903194.html" TargetMode="External"/><Relationship Id="rId2815" Type="http://schemas.openxmlformats.org/officeDocument/2006/relationships/hyperlink" Target="https://www.kktv.com/2022/03/03/biden-sign-bill-ending-forced-arbitration-sexual-harassment-assault-cases/" TargetMode="External"/><Relationship Id="rId56" Type="http://schemas.openxmlformats.org/officeDocument/2006/relationships/hyperlink" Target="https://www.casemine.com/judgement/us/66cea7f23f1f7c7a89e60871" TargetMode="External"/><Relationship Id="rId1417" Type="http://schemas.openxmlformats.org/officeDocument/2006/relationships/hyperlink" Target="https://assets.documentcloud.org/documents/5745041/Eeoc.pdf" TargetMode="External"/><Relationship Id="rId1624" Type="http://schemas.openxmlformats.org/officeDocument/2006/relationships/hyperlink" Target="https://law.justia.com/cases/federal/district-courts/delaware/dedce/1:2021cv01726/77337/17/" TargetMode="External"/><Relationship Id="rId1831" Type="http://schemas.openxmlformats.org/officeDocument/2006/relationships/hyperlink" Target="https://cases.justia.com/federal/district-courts/florida/flmdce/2:2024cv00585/429227/35/0.pdf?ts=1768388107" TargetMode="External"/><Relationship Id="rId1929" Type="http://schemas.openxmlformats.org/officeDocument/2006/relationships/hyperlink" Target="https://law.justia.com/cases/new-york/appellate-division-third-department/2026/cv-24-1117-cv-25-0151.html" TargetMode="External"/><Relationship Id="rId2093" Type="http://schemas.openxmlformats.org/officeDocument/2006/relationships/hyperlink" Target="https://www.nyc.gov/assets/dcas/downloads/pdf/guidelines/faq-vaccine-mandate.pdf" TargetMode="External"/><Relationship Id="rId2398" Type="http://schemas.openxmlformats.org/officeDocument/2006/relationships/hyperlink" Target="https://images.law.com/contrib/content/uploads/documents/399/44956/psych.pdf" TargetMode="External"/><Relationship Id="rId272" Type="http://schemas.openxmlformats.org/officeDocument/2006/relationships/hyperlink" Target="https://www.law.cornell.edu/definitions/uscode.php?width=840&amp;height=800&amp;iframe=true&amp;def_id=18-USC-1230698398-816587252&amp;term_occur=999&amp;term_src=title:18:part:I:chapter:44:section:922" TargetMode="External"/><Relationship Id="rId577" Type="http://schemas.openxmlformats.org/officeDocument/2006/relationships/hyperlink" Target="http://www.illinoiscourts.gov/Opinions/AppellateCourt/2019/1stDistrict/1181163.pdf" TargetMode="External"/><Relationship Id="rId2160" Type="http://schemas.openxmlformats.org/officeDocument/2006/relationships/hyperlink" Target="https://www.opn.ca6.uscourts.gov/opinions.pdf/21a0287p-06.pdf" TargetMode="External"/><Relationship Id="rId2258" Type="http://schemas.openxmlformats.org/officeDocument/2006/relationships/hyperlink" Target="https://www.npr.org/sections/coronavirus-live-updates/2020/04/12/832644243/kansas-supreme-court-upholds-governors-order-limiting-the-size-of-easter-service" TargetMode="External"/><Relationship Id="rId132" Type="http://schemas.openxmlformats.org/officeDocument/2006/relationships/hyperlink" Target="https://www.courts.michigan.gov/49940f/siteassets/case-documents/uploads/opinions/final/sct/164948_142_01.pdf" TargetMode="External"/><Relationship Id="rId784" Type="http://schemas.openxmlformats.org/officeDocument/2006/relationships/hyperlink" Target="https://oig.justice.gov/special/s0601/final.pdf" TargetMode="External"/><Relationship Id="rId991" Type="http://schemas.openxmlformats.org/officeDocument/2006/relationships/hyperlink" Target="https://www.op-f.org/files/mgdrop.pdf" TargetMode="External"/><Relationship Id="rId1067" Type="http://schemas.openxmlformats.org/officeDocument/2006/relationships/hyperlink" Target="https://casetext.com/case/n-douglas-cnty-fire-ems-v-shannon-in-re-shannon" TargetMode="External"/><Relationship Id="rId2020" Type="http://schemas.openxmlformats.org/officeDocument/2006/relationships/hyperlink" Target="https://www.youtube.com/watch?v=o3-MrFOLXFs" TargetMode="External"/><Relationship Id="rId2465" Type="http://schemas.openxmlformats.org/officeDocument/2006/relationships/hyperlink" Target="https://www.youtube.com/watch?v=roZMeWZrCG4" TargetMode="External"/><Relationship Id="rId2672" Type="http://schemas.openxmlformats.org/officeDocument/2006/relationships/hyperlink" Target="http://www.pacourts.us/assets/opinions/Commonwealth/out/380md17_6-12-18.pdf" TargetMode="External"/><Relationship Id="rId437" Type="http://schemas.openxmlformats.org/officeDocument/2006/relationships/hyperlink" Target="https://www.courthousenews.com/wp-content/uploads/2024/09/wholesale-fireworks-ruling.pdf" TargetMode="External"/><Relationship Id="rId644" Type="http://schemas.openxmlformats.org/officeDocument/2006/relationships/hyperlink" Target="https://cdn.ca9.uscourts.gov/datastore/opinions/2025/03/20/23-55805.pdf" TargetMode="External"/><Relationship Id="rId851" Type="http://schemas.openxmlformats.org/officeDocument/2006/relationships/hyperlink" Target="https://casetext.com/case/whittaker-v-howard-cnty-md" TargetMode="External"/><Relationship Id="rId1274" Type="http://schemas.openxmlformats.org/officeDocument/2006/relationships/hyperlink" Target="https://www.firstrespondercenter.org/cancer/toolsresources/presumptive-legislation-firefighter-cancer-state/" TargetMode="External"/><Relationship Id="rId1481" Type="http://schemas.openxmlformats.org/officeDocument/2006/relationships/hyperlink" Target="https://storage.courtlistener.com/recap/gov.uscourts.ded.79218/gov.uscourts.ded.79218.29.0.pdf" TargetMode="External"/><Relationship Id="rId1579" Type="http://schemas.openxmlformats.org/officeDocument/2006/relationships/hyperlink" Target="https://sac.media/2023/05/09/former-west-covina-fire-chief-awarded-4-1-million-in-wrongful-termination-suit/" TargetMode="External"/><Relationship Id="rId2118" Type="http://schemas.openxmlformats.org/officeDocument/2006/relationships/hyperlink" Target="https://media.ca11.uscourts.gov/opinions/unpub/files/201914294.pdf" TargetMode="External"/><Relationship Id="rId2325" Type="http://schemas.openxmlformats.org/officeDocument/2006/relationships/hyperlink" Target="https://cases.justia.com/federal/district-courts/maryland/mddce/1:2024cv03580/573207/56/0.pdf?ts=1777474810" TargetMode="External"/><Relationship Id="rId2532" Type="http://schemas.openxmlformats.org/officeDocument/2006/relationships/hyperlink" Target="https://public.fastcase.com/ZZhmr5v9wN%2FXOe5IsQ%2FqD%2FbRI5yk0CTLrJ1wUlp23a2jtoF9iRGzOsDdRZIWd9GyXFY2izvgsnflzL0%2FFWSL%2FPpsQUa%2FiEphINoTWEFNJVE%3D?utm_medium=email&amp;_hsmi=226712652&amp;_hsenc=p2ANqtz-8tSxN7q872uN51HDKRs8bBT2KkYc5se6Y34IcB-qusszHk_1kcdMtqv3s-tJTiEGYg-zZ48WEGXoPe6gX9Sz_hnuHHnA&amp;utm_content=226712652&amp;utm_source=hs_email" TargetMode="External"/><Relationship Id="rId504" Type="http://schemas.openxmlformats.org/officeDocument/2006/relationships/hyperlink" Target="https://law.justia.com/cases/delaware/court-of-chancery/2022/c-a-no-2020-0226-sem.html" TargetMode="External"/><Relationship Id="rId711" Type="http://schemas.openxmlformats.org/officeDocument/2006/relationships/hyperlink" Target="https://www.lasc.org/opinions/2022/21-0929.CQ.OPN.pdf" TargetMode="External"/><Relationship Id="rId949" Type="http://schemas.openxmlformats.org/officeDocument/2006/relationships/hyperlink" Target="https://casetext.com/case/schultz-v-st-clair-cnty-2" TargetMode="External"/><Relationship Id="rId1134" Type="http://schemas.openxmlformats.org/officeDocument/2006/relationships/hyperlink" Target="https://www.cleveland.com/cityhall/2021/09/federal-appellate-court-upholds-first-amendment-case-brought-against-cleveland-by-retired-battalion-chief.html" TargetMode="External"/><Relationship Id="rId1341" Type="http://schemas.openxmlformats.org/officeDocument/2006/relationships/hyperlink" Target="https://www.dol.gov/sites/dolgov/files/WHD/flsa/PUMP-act_hr2617.pdf" TargetMode="External"/><Relationship Id="rId1786" Type="http://schemas.openxmlformats.org/officeDocument/2006/relationships/hyperlink" Target="https://casetext.com/case/miller-v-city-of-indianapolis" TargetMode="External"/><Relationship Id="rId1993" Type="http://schemas.openxmlformats.org/officeDocument/2006/relationships/hyperlink" Target="https://casetext.com/case/state-v-soliz-24" TargetMode="External"/><Relationship Id="rId78" Type="http://schemas.openxmlformats.org/officeDocument/2006/relationships/hyperlink" Target="https://cdn.ca9.uscourts.gov/datastore/opinions/2025/02/24/23-2218.pdf" TargetMode="External"/><Relationship Id="rId809" Type="http://schemas.openxmlformats.org/officeDocument/2006/relationships/hyperlink" Target="https://www.law.com/newyorklawjournal/2018/06/06/2nd-circuit-revives-911-workers-suit-against-battery-park-city-authority/" TargetMode="External"/><Relationship Id="rId1201" Type="http://schemas.openxmlformats.org/officeDocument/2006/relationships/hyperlink" Target="https://www.workplacefairness.org/whistleblower-retaliation-claim-OH" TargetMode="External"/><Relationship Id="rId1439" Type="http://schemas.openxmlformats.org/officeDocument/2006/relationships/hyperlink" Target="https://cases.justia.com/federal/appellate-courts/ca8/24-2646/24-2646-2025-07-08.pdf?ts=1751988624" TargetMode="External"/><Relationship Id="rId1646" Type="http://schemas.openxmlformats.org/officeDocument/2006/relationships/hyperlink" Target="https://www.eeoc.gov/facts/pandemic_flu.html?mc_cid=0f5c4e93d9&amp;mc_eid=3f2d24c371" TargetMode="External"/><Relationship Id="rId1853" Type="http://schemas.openxmlformats.org/officeDocument/2006/relationships/hyperlink" Target="https://casetext.com/statute/montana-code/title-2-government-structure-and-administration/chapter-4-administrative-procedure-act/part-7-judicial-review-of-contested-cases/section-2-4-701-immediate-review-of-agency-action" TargetMode="External"/><Relationship Id="rId1506" Type="http://schemas.openxmlformats.org/officeDocument/2006/relationships/hyperlink" Target="https://www.masslive.com/opinion/2018/05/time_is_now_to_approve_contrac.html" TargetMode="External"/><Relationship Id="rId1713" Type="http://schemas.openxmlformats.org/officeDocument/2006/relationships/hyperlink" Target="https://www.militaryonesource.mil/national-guard/employment-support/uniformed-services-employment-and-reemployment-rights-act/" TargetMode="External"/><Relationship Id="rId1920" Type="http://schemas.openxmlformats.org/officeDocument/2006/relationships/hyperlink" Target="https://public.fastcase.com/Jhe1Qn%2BmJndQYQU6z%2FeNm2IRLtoYkrU6PXL9o8jwzst%2FNdrzc21hLfx%2B7rIFE%2Fjg?utm_medium=email&amp;_hsenc=p2ANqtz--U5QylLiDrvLvgZPxLp1UD1XwB_7biW9lkq8qHdnYocPTAWXoAY4eWtL30hGAHlHHG6f150Lk3QwJZsSzIIPSSPKfBlQ&amp;_hsmi=226712652&amp;utm_content=226712652&amp;utm_source=hs_email" TargetMode="External"/><Relationship Id="rId294" Type="http://schemas.openxmlformats.org/officeDocument/2006/relationships/hyperlink" Target="https://www.ca2.uscourts.gov/decisions/isysquery/2a455a3a-04be-4845-88fb-6da61a7004cf/1/doc/19-3574_opn.pdf" TargetMode="External"/><Relationship Id="rId2182" Type="http://schemas.openxmlformats.org/officeDocument/2006/relationships/hyperlink" Target="https://public.fastcase.com/" TargetMode="External"/><Relationship Id="rId154" Type="http://schemas.openxmlformats.org/officeDocument/2006/relationships/hyperlink" Target="https://public.fastcase.com/ppbqSQpNDaJE%2F8PlIk0b8ECWv6%2F0KW8eOOGtTNlYs%2F2eCExN%2BikZLxSyxw9X8iC%2F" TargetMode="External"/><Relationship Id="rId361" Type="http://schemas.openxmlformats.org/officeDocument/2006/relationships/hyperlink" Target="http://buchanan-labs.com/statutory-damages-for-infringement-of-your-copyrights-and-trademarks/" TargetMode="External"/><Relationship Id="rId599" Type="http://schemas.openxmlformats.org/officeDocument/2006/relationships/hyperlink" Target="https://d.docs.live.net/bd9b2eaf6053242e/AppData/Roaming/Microsoft/AppData/Local/Microsoft/Windows/INetCache/IE/XO250S7T/memorandum%20%20affirmed%20%2010347948434547371.pdf" TargetMode="External"/><Relationship Id="rId2042" Type="http://schemas.openxmlformats.org/officeDocument/2006/relationships/hyperlink" Target="https://www.contracosta.ca.gov/DocumentCenter/View/79107/Final-LEIFI-Ivan-Gutzalenko--2021" TargetMode="External"/><Relationship Id="rId2487" Type="http://schemas.openxmlformats.org/officeDocument/2006/relationships/hyperlink" Target="https://www.courts.michigan.gov/siteassets/case-documents/uploads/OPINIONS/FINAL/COA/20240905_C364971_42_364971.OPN.PDF" TargetMode="External"/><Relationship Id="rId2694" Type="http://schemas.openxmlformats.org/officeDocument/2006/relationships/hyperlink" Target="https://www.universalhub.com/files/jpfirefighter-complaint.pdf" TargetMode="External"/><Relationship Id="rId459" Type="http://schemas.openxmlformats.org/officeDocument/2006/relationships/hyperlink" Target="https://public.fastcase.com/" TargetMode="External"/><Relationship Id="rId666" Type="http://schemas.openxmlformats.org/officeDocument/2006/relationships/hyperlink" Target="https://storage.courtlistener.com/recap/gov.uscourts.cadc.39605/gov.uscourts.cadc.39605.1208600933.0.pdf" TargetMode="External"/><Relationship Id="rId873" Type="http://schemas.openxmlformats.org/officeDocument/2006/relationships/hyperlink" Target="https://casetext.com/case/county-of-sacramento-v-lewis" TargetMode="External"/><Relationship Id="rId1089" Type="http://schemas.openxmlformats.org/officeDocument/2006/relationships/hyperlink" Target="https://codes.ohio.gov/ohio-revised-code/section-4123.68" TargetMode="External"/><Relationship Id="rId1296" Type="http://schemas.openxmlformats.org/officeDocument/2006/relationships/hyperlink" Target="https://ktul.com/resources/pdf/dc103f10-071a-4876-bf70-774bb3ddb220-HurtLynnv.COTSummaryJudgmentDecision.pdf" TargetMode="External"/><Relationship Id="rId2347" Type="http://schemas.openxmlformats.org/officeDocument/2006/relationships/hyperlink" Target="https://ilcourtsaudio.blob.core.windows.net/antilles-resources/resources/519d3cc5-abe9-4494-b624-73bca90ee228/Mayer%20v.%20%20Calumet%20Firefighters%20Pension%20Fund,%202024%20IL%20App%20(1st)%20232059-U.pdf" TargetMode="External"/><Relationship Id="rId2554" Type="http://schemas.openxmlformats.org/officeDocument/2006/relationships/hyperlink" Target="https://law.justia.com/cases/federal/appellate-courts/ca10/20-5113/20-5113-2022-08-19.html" TargetMode="External"/><Relationship Id="rId221" Type="http://schemas.openxmlformats.org/officeDocument/2006/relationships/hyperlink" Target="https://www.iafc.org/blogs/blog/iafc/2022/01/13/supreme-court-decision-on-vaccine-mandates-what-it-means-for-fire-departments" TargetMode="External"/><Relationship Id="rId319" Type="http://schemas.openxmlformats.org/officeDocument/2006/relationships/hyperlink" Target="https://catalog.nfpa.org/NFPA-921-Guide-for-Fire-and-Explosion-Investigations-C472.aspx?order_src=C900&amp;gclid=EAIaIQobChMI3pOKsKem5gIVJIVaBR1UwAkCEAAYASAAEgLHSvD_BwE" TargetMode="External"/><Relationship Id="rId526" Type="http://schemas.openxmlformats.org/officeDocument/2006/relationships/hyperlink" Target="https://public.fastcase.com/9SKwsfNqTc6OieYDhNMyM3m3eL%2Bu4x8bx%2FFPqQ706C1Bfi57%2Fsm8VTkLX0Q5d2JY3Hl0cE%2BCK3yDi%2BV1afLDAxYamaVWukse%2F0EpEJzWMdw%3D" TargetMode="External"/><Relationship Id="rId1156" Type="http://schemas.openxmlformats.org/officeDocument/2006/relationships/hyperlink" Target="https://codes.ohio.gov/ohio-revised-code/section-4123.57" TargetMode="External"/><Relationship Id="rId1363" Type="http://schemas.openxmlformats.org/officeDocument/2006/relationships/hyperlink" Target="https://casetext.com/case/molchan-v-delmar-fire-dept-1" TargetMode="External"/><Relationship Id="rId2207" Type="http://schemas.openxmlformats.org/officeDocument/2006/relationships/hyperlink" Target="https://caselaw.findlaw.com/us-4th-circuit/1602456.html" TargetMode="External"/><Relationship Id="rId2761" Type="http://schemas.openxmlformats.org/officeDocument/2006/relationships/hyperlink" Target="https://www.dailydispatch.com/StateNews/DE/2021/July/02/Wilmington.firefighters.union.wins.Chancery.Court.appeal.in.battle.over.shift.change.aspx" TargetMode="External"/><Relationship Id="rId733" Type="http://schemas.openxmlformats.org/officeDocument/2006/relationships/hyperlink" Target="https://www.cincinnati.com/story/news/2021/08/02/attorney-maker-double-drum-magazine-enabled-dayton-mass-shooting/5455812001/" TargetMode="External"/><Relationship Id="rId940" Type="http://schemas.openxmlformats.org/officeDocument/2006/relationships/hyperlink" Target="https://casetext.com/case/city-of-alvin-v-fields" TargetMode="External"/><Relationship Id="rId1016" Type="http://schemas.openxmlformats.org/officeDocument/2006/relationships/hyperlink" Target="https://www.jud.ct.gov/external/supapp/Cases/AROap/AP232/AP232.214.pdf" TargetMode="External"/><Relationship Id="rId1570" Type="http://schemas.openxmlformats.org/officeDocument/2006/relationships/hyperlink" Target="https://public.fastcase.com/Jhe1Qn%2BmJndQYQU6z%2FeNm07xnsMMe9XopEXpzbd8wBfIcwWisDZ8Xdk0vkVeza2z?utm_medium=email&amp;_hsenc=p2ANqtz-9GpH5Yl8KbaQKypiwjwBSc5ZewK71TROtHeH7A0Ky0SFDkHfwzpfrGRkv9wpK-L_sBVpNrip23D5GifO3TaI5YS4qT7w&amp;_hsmi=226712652&amp;utm_content=226712652&amp;utm_source=hs_email" TargetMode="External"/><Relationship Id="rId1668" Type="http://schemas.openxmlformats.org/officeDocument/2006/relationships/hyperlink" Target="https://www.dol.gov/sites/dolgov/files/WHD/opinion-letters/FMLA/2023_05_30_02_FMLA.pdf" TargetMode="External"/><Relationship Id="rId1875" Type="http://schemas.openxmlformats.org/officeDocument/2006/relationships/hyperlink" Target="https://patersontimes.com/2019/12/09/judge-orders-paterson-firefighter-terminated-for-failing-drug-test-reinstated/" TargetMode="External"/><Relationship Id="rId2414" Type="http://schemas.openxmlformats.org/officeDocument/2006/relationships/hyperlink" Target="https://www.la4th.org/opinion/2025/4959829_1.pdf" TargetMode="External"/><Relationship Id="rId2621" Type="http://schemas.openxmlformats.org/officeDocument/2006/relationships/hyperlink" Target="https://www.dmlp.org/legal-guide/recording-phone-calls-and-conversations" TargetMode="External"/><Relationship Id="rId2719" Type="http://schemas.openxmlformats.org/officeDocument/2006/relationships/hyperlink" Target="https://www.supremecourt.ohio.gov/rod/docs/pdf/0/2023/2023-Ohio-2264.pdf" TargetMode="External"/><Relationship Id="rId800" Type="http://schemas.openxmlformats.org/officeDocument/2006/relationships/hyperlink" Target="https://cases.justia.com/connecticut/supreme-court/2019-sc20009.pdf?ts=1554984045" TargetMode="External"/><Relationship Id="rId1223" Type="http://schemas.openxmlformats.org/officeDocument/2006/relationships/hyperlink" Target="http://www.pacourts.us/assets/opinions/Commonwealth/out/1156cd19_5-6-20.pdf" TargetMode="External"/><Relationship Id="rId1430" Type="http://schemas.openxmlformats.org/officeDocument/2006/relationships/hyperlink" Target="https://cases.justia.com/federal/district-courts/ohio/ohndce/5:2025cv00885/316724/27/0.pdf?ts=1767103886" TargetMode="External"/><Relationship Id="rId1528" Type="http://schemas.openxmlformats.org/officeDocument/2006/relationships/hyperlink" Target="https://www.charlotteobserver.com/sports/nascar-auto-racing/article241998186.html" TargetMode="External"/><Relationship Id="rId1735" Type="http://schemas.openxmlformats.org/officeDocument/2006/relationships/hyperlink" Target="https://www.dol.gov/newsroom/releases/whd/whd20230524-0" TargetMode="External"/><Relationship Id="rId1942" Type="http://schemas.openxmlformats.org/officeDocument/2006/relationships/hyperlink" Target="https://www.govinfo.gov/content/pkg/USCOURTS-mied-1_19-cr-20167/pdf/USCOURTS-mied-1_19-cr-20167-2.pdf" TargetMode="External"/><Relationship Id="rId27" Type="http://schemas.openxmlformats.org/officeDocument/2006/relationships/hyperlink" Target="https://www.casemine.com/judgement/us/6995c147d22bd43f3d89db5b" TargetMode="External"/><Relationship Id="rId1802" Type="http://schemas.openxmlformats.org/officeDocument/2006/relationships/hyperlink" Target="https://www.law.cornell.edu/definitions/uscode.php?width=840&amp;height=800&amp;iframe=true&amp;def_id=29-USC-1193469614-1597622566&amp;term_occur=999&amp;term_src=" TargetMode="External"/><Relationship Id="rId176" Type="http://schemas.openxmlformats.org/officeDocument/2006/relationships/hyperlink" Target="https://www.justice.gov/opa/pr/false-claims-act-settlements-and-judgments-exceed-2-billion-fiscal-year-2022" TargetMode="External"/><Relationship Id="rId383" Type="http://schemas.openxmlformats.org/officeDocument/2006/relationships/hyperlink" Target="https://cases.justia.com/federal/district-courts/new-york/nyndce/6:2024cv00956/144608/40/0.pdf?ts=1769171952" TargetMode="External"/><Relationship Id="rId590" Type="http://schemas.openxmlformats.org/officeDocument/2006/relationships/hyperlink" Target="https://cases.justia.com/kentucky/court-of-appeals/2018-2016-ca-001534-mr.pdf?ts=1527861797" TargetMode="External"/><Relationship Id="rId2064" Type="http://schemas.openxmlformats.org/officeDocument/2006/relationships/hyperlink" Target="https://cases.justia.com/pennsylvania/superior-court/2023-1846-eda-2021.pdf?ts=1703100172" TargetMode="External"/><Relationship Id="rId2271" Type="http://schemas.openxmlformats.org/officeDocument/2006/relationships/hyperlink" Target="https://scholar.google.com/scholar_case?case=2959279778538737103&amp;hl=en&amp;as_sdt=6,36" TargetMode="External"/><Relationship Id="rId243" Type="http://schemas.openxmlformats.org/officeDocument/2006/relationships/hyperlink" Target="https://storage.courtlistener.com/recap/gov.uscourts.txnd.346680/gov.uscourts.txnd.346680.94.0.pdf" TargetMode="External"/><Relationship Id="rId450" Type="http://schemas.openxmlformats.org/officeDocument/2006/relationships/hyperlink" Target="https://www.firehero.org/fallen-firefighter/thomas-e-royds/" TargetMode="External"/><Relationship Id="rId688" Type="http://schemas.openxmlformats.org/officeDocument/2006/relationships/hyperlink" Target="https://www.supremecourt.gov/opinions/22pdf/21-1496_d18f.pdf" TargetMode="External"/><Relationship Id="rId895" Type="http://schemas.openxmlformats.org/officeDocument/2006/relationships/hyperlink" Target="https://www.courts.state.md.us/sites/default/files/unreported-opinions/0614s19.pdf" TargetMode="External"/><Relationship Id="rId1080" Type="http://schemas.openxmlformats.org/officeDocument/2006/relationships/hyperlink" Target="https://casetext.com/case/dasilva-v-esper-1" TargetMode="External"/><Relationship Id="rId2131" Type="http://schemas.openxmlformats.org/officeDocument/2006/relationships/hyperlink" Target="https://law.justia.com/cases/federal/appellate-courts/ca2/20-4211/20-4211-2021-10-06.html" TargetMode="External"/><Relationship Id="rId2369" Type="http://schemas.openxmlformats.org/officeDocument/2006/relationships/hyperlink" Target="https://storage.courtlistener.com/recap/gov.uscourts.flmd.392068/gov.uscourts.flmd.392068.43.0.pdf" TargetMode="External"/><Relationship Id="rId2576" Type="http://schemas.openxmlformats.org/officeDocument/2006/relationships/hyperlink" Target="https://casetext.com/case/fitzgerald-v-botetourt-cnty" TargetMode="External"/><Relationship Id="rId2783" Type="http://schemas.openxmlformats.org/officeDocument/2006/relationships/hyperlink" Target="https://ethics.ohio.gov/education/newsletters/VOE_25Q3.pdf" TargetMode="External"/><Relationship Id="rId103" Type="http://schemas.openxmlformats.org/officeDocument/2006/relationships/hyperlink" Target="https://www.wmix94.com/2018/10/11/christopher-woman-found-guilty-of-setting-fire-at-mt-vernon-hotel/" TargetMode="External"/><Relationship Id="rId310" Type="http://schemas.openxmlformats.org/officeDocument/2006/relationships/hyperlink" Target="https://www.supremecourt.gov/opinions/19pdf/18-5924_n6io.pdf" TargetMode="External"/><Relationship Id="rId548" Type="http://schemas.openxmlformats.org/officeDocument/2006/relationships/hyperlink" Target="https://www.firerescue1.com/firefighter-training/articles/firefighters-death-highlights-municipal-storm-drain-dangers-VaH0e7nB3CMWpKRS/" TargetMode="External"/><Relationship Id="rId755" Type="http://schemas.openxmlformats.org/officeDocument/2006/relationships/hyperlink" Target="https://www.law.cornell.edu/definitions/uscode.php?width=840&amp;height=800&amp;iframe=true&amp;def_id=8-USC-2032517217-1201680101&amp;term_occur=999&amp;term_src=" TargetMode="External"/><Relationship Id="rId962" Type="http://schemas.openxmlformats.org/officeDocument/2006/relationships/hyperlink" Target="https://law.justia.com/cases/mississippi/court-of-appeals/2021/2019-ca-01406-coa.html" TargetMode="External"/><Relationship Id="rId1178" Type="http://schemas.openxmlformats.org/officeDocument/2006/relationships/hyperlink" Target="https://casetext.com/case/malone-v-workers-comp-appeal-bd" TargetMode="External"/><Relationship Id="rId1385" Type="http://schemas.openxmlformats.org/officeDocument/2006/relationships/hyperlink" Target="https://www.nbcnews.com/news/us-news/federal-judge-dismisses-discrimination-lawsuit-transgender-fire-chief-georgia-n1258452" TargetMode="External"/><Relationship Id="rId1592" Type="http://schemas.openxmlformats.org/officeDocument/2006/relationships/hyperlink" Target="https://caselaw.findlaw.com/court/us-11th-circuit/115273034.html" TargetMode="External"/><Relationship Id="rId2229" Type="http://schemas.openxmlformats.org/officeDocument/2006/relationships/hyperlink" Target="https://www.ems.ohio.gov/links/COVID-19/Legislated%20COVID-19%20Contingency%20Measures%20for%20Ohio%20EMS.pdf" TargetMode="External"/><Relationship Id="rId2436" Type="http://schemas.openxmlformats.org/officeDocument/2006/relationships/hyperlink" Target="https://www.mass.gov/doc/bailey-casley-v-boston-fire-department-2625/download" TargetMode="External"/><Relationship Id="rId2643" Type="http://schemas.openxmlformats.org/officeDocument/2006/relationships/hyperlink" Target="https://cases.justia.com/federal/district-courts/tennessee/tnmdce/3:2018cv00148/73469/36/0.pdf?ts=1576934308" TargetMode="External"/><Relationship Id="rId91" Type="http://schemas.openxmlformats.org/officeDocument/2006/relationships/hyperlink" Target="https://casetext.com/statute/united-states-code/title-18-crimes-and-criminal-procedure/part-i-crimes/chapter-40-importation-manufacture-distribution-and-storage-of-explosive-materials/section-844-penalties" TargetMode="External"/><Relationship Id="rId408" Type="http://schemas.openxmlformats.org/officeDocument/2006/relationships/hyperlink" Target="https://www.nj.com/atlantic/2025/06/jersey-shore-firefighter-wins-court-battle-over-growing-beard-on-religious-grounds.html?mc_cid=2cb6755cd5&amp;mc_eid=cbaa4ade01" TargetMode="External"/><Relationship Id="rId615" Type="http://schemas.openxmlformats.org/officeDocument/2006/relationships/hyperlink" Target="https://cases.justia.com/federal/appellate-courts/ca3/25-2635/25-2635-2025-12-01.pdf?ts=1764612050" TargetMode="External"/><Relationship Id="rId822" Type="http://schemas.openxmlformats.org/officeDocument/2006/relationships/hyperlink" Target="https://supreme.justia.com/cases/federal/us/464/287/" TargetMode="External"/><Relationship Id="rId1038" Type="http://schemas.openxmlformats.org/officeDocument/2006/relationships/hyperlink" Target="https://ilcourtsaudio.blob.core.windows.net/antilles-resources/resources/cb295fe3-77b3-494e-ba2f-aabcd601915c/Barz%20v.%20Village%20of%20Hazel%20Crest%20Firefighters%20Pension%20Fund,%202024%20IL%20App%20(1st)%20240137-U.pdf" TargetMode="External"/><Relationship Id="rId1245" Type="http://schemas.openxmlformats.org/officeDocument/2006/relationships/hyperlink" Target="https://patch.com/ohio/mayfield-hillcrest/mayfield-village-introduces-three-new-firefighters" TargetMode="External"/><Relationship Id="rId1452" Type="http://schemas.openxmlformats.org/officeDocument/2006/relationships/hyperlink" Target="https://public.fastcase.com/jaEE2PXzRXmZ99jOLMt1Ig73AWbHngoMRgpe4nLWTO53aGFBbi44KCyxbclUQNrRtdkO5InHzTjZEyqBZ0TTu4M3XLXcJtKtBwk6Y3SN%2BfM%3D?utm_medium=email&amp;_hsenc=p2ANqtz--YVrLxgHNVQCg2RIMQiS4XSu1REbqHDD3q7IV_og8sZIryoVLFG1HLWpJaCKB-X4Qy5JqtbBdGIwkTCURiibvlDX5J7A&amp;_hsmi=226712652&amp;utm_content=226712652&amp;utm_source=hs_email" TargetMode="External"/><Relationship Id="rId1897" Type="http://schemas.openxmlformats.org/officeDocument/2006/relationships/hyperlink" Target="https://www.firerescue1.com/dwi/articles/fire-dept-changes-rules-after-firefighter-dwi-arrests-rmaW6QcL6R9YmTqf/" TargetMode="External"/><Relationship Id="rId2503" Type="http://schemas.openxmlformats.org/officeDocument/2006/relationships/hyperlink" Target="https://www.cincinnati.com/story/news/politics/2024/02/08/court-former-fire-chief-michael-washington-can-sue-city/72523727007/" TargetMode="External"/><Relationship Id="rId1105" Type="http://schemas.openxmlformats.org/officeDocument/2006/relationships/hyperlink" Target="https://cases.justia.com/new-york/other-courts/2022-2022-ny-slip-op-32197-u.pdf?ts=1657833320" TargetMode="External"/><Relationship Id="rId1312" Type="http://schemas.openxmlformats.org/officeDocument/2006/relationships/hyperlink" Target="https://www.mdcourts.gov/sites/default/files/unreported-opinions/1316s22.pdf" TargetMode="External"/><Relationship Id="rId1757" Type="http://schemas.openxmlformats.org/officeDocument/2006/relationships/hyperlink" Target="https://www.law.cornell.edu/definitions/uscode.php?width=840&amp;height=800&amp;iframe=true&amp;def_id=29-USC-3641640-1968318500&amp;term_occur=999&amp;term_src=title:29:chapter:9:section:260" TargetMode="External"/><Relationship Id="rId1964" Type="http://schemas.openxmlformats.org/officeDocument/2006/relationships/hyperlink" Target="https://caselaw.findlaw.com/court/us-dis-crt-sd-new-yor/117411673.html" TargetMode="External"/><Relationship Id="rId2710" Type="http://schemas.openxmlformats.org/officeDocument/2006/relationships/hyperlink" Target="https://cases.justia.com/ohio/tenth-district-court-of-appeals/2023-23ap-37.pdf?ts=1703012831" TargetMode="External"/><Relationship Id="rId2808" Type="http://schemas.openxmlformats.org/officeDocument/2006/relationships/hyperlink" Target="https://www.supremecourt.ohio.gov/marsy-s-law-and-crime-victim-rights/" TargetMode="External"/><Relationship Id="rId49" Type="http://schemas.openxmlformats.org/officeDocument/2006/relationships/hyperlink" Target="https://cases.justia.com/ohio/tenth-district-court-of-appeals/2025-24ap-255.pdf?ts=1757620491" TargetMode="External"/><Relationship Id="rId1617" Type="http://schemas.openxmlformats.org/officeDocument/2006/relationships/hyperlink" Target="https://public.fastcase.com/ZZhmr5v9wN%2FXOe5IsQ%2FqD213NfZOkBOT9oUFU2NATn1Aebu4tmd%2Bdm4Fq8wJV%2BgJ%2FUz5tDo4rrQTf5JLsx7PM2RT%2BnNbiLW8av7Jbge%2Fzbw%3D?utm_medium=email&amp;_hsmi=226712652&amp;_hsenc=p2ANqtz-83LxoyDBgyJFjB5J1tvKo9--ehLEBCqV6koHeoTan0Qm4V8taXVkAh8h56UhoHEEE4y9wodFDrH_2nxx13nTAr7JOLdw&amp;utm_content=226712652&amp;utm_source=hs_email" TargetMode="External"/><Relationship Id="rId1824" Type="http://schemas.openxmlformats.org/officeDocument/2006/relationships/hyperlink" Target="https://law.justia.com/cases/federal/district-courts/new-york/nysdce/1:2013cv01015/407972/168/" TargetMode="External"/><Relationship Id="rId198" Type="http://schemas.openxmlformats.org/officeDocument/2006/relationships/hyperlink" Target="https://public.fastcase.com/J%2FJP6pdidelsXxEE4k%2BLMrejai%2Bw5%2BeDXQox0zGA5TAAjpgBNhW%2BTu8BKpGDyiMDLNszr4O4A0HJdAcQDg8WWefj18tLbckuVQCC3%2F5jGpg%3D?utm_medium=email&amp;_hsmi=226712652&amp;_hsenc=p2ANqtz-8ZmJA9o4nlUCIURyhETyHKM8lkOE8xo-FU4HGJipx6Boh4nCnx77GsOdK5dPH9YVtR5YzBPx6JahAT-_oeRPGcO0F8pg&amp;utm_content=226712652&amp;utm_source=hs_email" TargetMode="External"/><Relationship Id="rId2086" Type="http://schemas.openxmlformats.org/officeDocument/2006/relationships/hyperlink" Target="https://public.fastcase.com/ZZhmr5v9wN%2FXOe5IsQ%2FqD6Xk9Se1JBeTiY14mFqaZIC5zf3duAqu51qE94mXCojrTIXHUx6W2UZ5EsVNrKWWswbYRHUo1KFYOQ9M2ppF1oA%3D?utm_medium=email&amp;_hsmi=226712652&amp;_hsenc=p2ANqtz-9aFlMC5FDCM2U0K8x384sblH4I0CGG1sOM-rog5fs89w4bS-qizqdVKzMegY3x51ZczlJkgb2TT7R5d8mF-dWwXy7XkA&amp;utm_content=226712652&amp;utm_source=hs_email" TargetMode="External"/><Relationship Id="rId2293" Type="http://schemas.openxmlformats.org/officeDocument/2006/relationships/hyperlink" Target="http://www.pacourts.us/assets/opinions/Supreme/out/Majority%20Opinion%20%20VacatedRemanded%20%2010378165044604409.pdf?cb=1" TargetMode="External"/><Relationship Id="rId2598" Type="http://schemas.openxmlformats.org/officeDocument/2006/relationships/hyperlink" Target="https://www.wfmj.com/story/41405965/chief-working-under-last-chance-agreement-angers-youngstown-firefighters" TargetMode="External"/><Relationship Id="rId265" Type="http://schemas.openxmlformats.org/officeDocument/2006/relationships/hyperlink" Target="https://ethics.ohio.gov/education/newsletters/VOE_21Q1.pdf" TargetMode="External"/><Relationship Id="rId472" Type="http://schemas.openxmlformats.org/officeDocument/2006/relationships/hyperlink" Target="https://casetext.com/case/dependent-of-hayes-v-city-of-eldorado-springs" TargetMode="External"/><Relationship Id="rId2153" Type="http://schemas.openxmlformats.org/officeDocument/2006/relationships/hyperlink" Target="https://casetext.com/case/imhof-v-del-bd-of-med-licensure-discipline" TargetMode="External"/><Relationship Id="rId2360" Type="http://schemas.openxmlformats.org/officeDocument/2006/relationships/hyperlink" Target="https://www.opn.ca6.uscourts.gov/opinions.pdf/21a0151p-06.pdf" TargetMode="External"/><Relationship Id="rId125" Type="http://schemas.openxmlformats.org/officeDocument/2006/relationships/hyperlink" Target="https://caselaw.findlaw.com/court/in-court-of-appeals/116435959.html" TargetMode="External"/><Relationship Id="rId332" Type="http://schemas.openxmlformats.org/officeDocument/2006/relationships/hyperlink" Target="https://law.justia.com/cases/new-york/appellate-division-second-department/2019/2017-01910.html" TargetMode="External"/><Relationship Id="rId777" Type="http://schemas.openxmlformats.org/officeDocument/2006/relationships/hyperlink" Target="https://www.prnewswire.com/news-releases/over-95-of-plaintiffs-accept-world-trade-center-settlement-109252704.html" TargetMode="External"/><Relationship Id="rId984" Type="http://schemas.openxmlformats.org/officeDocument/2006/relationships/hyperlink" Target="http://www.courts.ca.gov/opinions/nonpub/A154587.PDF" TargetMode="External"/><Relationship Id="rId2013" Type="http://schemas.openxmlformats.org/officeDocument/2006/relationships/hyperlink" Target="https://www.law.cornell.edu/wex/declarant" TargetMode="External"/><Relationship Id="rId2220" Type="http://schemas.openxmlformats.org/officeDocument/2006/relationships/hyperlink" Target="https://cdn.ymaws.com/aams.site-ym.com/resource/resmgr/website_resources/aams_statements/aams_statementonbalancebilli.pdf" TargetMode="External"/><Relationship Id="rId2458" Type="http://schemas.openxmlformats.org/officeDocument/2006/relationships/hyperlink" Target="https://supreme.justia.com/cases/federal/us/376/254/" TargetMode="External"/><Relationship Id="rId2665" Type="http://schemas.openxmlformats.org/officeDocument/2006/relationships/hyperlink" Target="http://www.ncsl.org/research/ethics/50-state-table-nepotism-restrictions.aspx" TargetMode="External"/><Relationship Id="rId637" Type="http://schemas.openxmlformats.org/officeDocument/2006/relationships/hyperlink" Target="https://www.supremecourt.gov/opinions/24pdf/24-20_f2bh.pdf" TargetMode="External"/><Relationship Id="rId844" Type="http://schemas.openxmlformats.org/officeDocument/2006/relationships/hyperlink" Target="https://cases.justia.com/federal/district-courts/indiana/inndce/3:2023cv00744/115782/36/0.pdf?ts=1705163579" TargetMode="External"/><Relationship Id="rId1267" Type="http://schemas.openxmlformats.org/officeDocument/2006/relationships/hyperlink" Target="https://cases.justia.com/federal/district-courts/louisiana/lawdce/5:2018cv00034/160852/18/0.pdf?ts=1532079100" TargetMode="External"/><Relationship Id="rId1474" Type="http://schemas.openxmlformats.org/officeDocument/2006/relationships/hyperlink" Target="https://ww3.ca2.uscourts.gov/decisions/isysquery/16788bba-62d9-413f-95b7-7dccd6899f82/2/doc/23-482_so.pdf" TargetMode="External"/><Relationship Id="rId1681" Type="http://schemas.openxmlformats.org/officeDocument/2006/relationships/hyperlink" Target="https://www.dol.gov/agencies/vets/programs/userra/USERRA-Pocket-Guide" TargetMode="External"/><Relationship Id="rId2318" Type="http://schemas.openxmlformats.org/officeDocument/2006/relationships/hyperlink" Target="https://casetext.com/case/city-of-tucson-v-the-indus-commn-of-ariz" TargetMode="External"/><Relationship Id="rId2525" Type="http://schemas.openxmlformats.org/officeDocument/2006/relationships/hyperlink" Target="https://legislation.nysenate.gov/pdf/bills/2021/S8481" TargetMode="External"/><Relationship Id="rId2732" Type="http://schemas.openxmlformats.org/officeDocument/2006/relationships/hyperlink" Target="https://law.justia.com/cases/new-york/court-of-appeals/2022/95.html" TargetMode="External"/><Relationship Id="rId704" Type="http://schemas.openxmlformats.org/officeDocument/2006/relationships/hyperlink" Target="https://www.cadc.uscourts.gov/internet/opinions.nsf/55807FB471B60BB08525888E0051AEA6/$file/21-1087-1956978.pdf" TargetMode="External"/><Relationship Id="rId911" Type="http://schemas.openxmlformats.org/officeDocument/2006/relationships/hyperlink" Target="https://cases.justia.com/louisiana/third-circuit-court-of-appeal/2025-ca-0025-0267.pdf?ts=1761751417" TargetMode="External"/><Relationship Id="rId1127" Type="http://schemas.openxmlformats.org/officeDocument/2006/relationships/hyperlink" Target="http://app.leg.wa.gov/RCW/default.aspx?cite=51.08.140" TargetMode="External"/><Relationship Id="rId1334" Type="http://schemas.openxmlformats.org/officeDocument/2006/relationships/hyperlink" Target="https://public.fastcase.com/ZZhmr5v9wN%2FXOe5IsQ%2FqD6X8aBICmIyWVJScKPpCyRhR7mDWsTx8EU8Grq%2B%2B4ZtL7A%2BZetNPKoBujU7we%2BcNkmURNKpv4aGWRHQtd1T1moA%3D?utm_medium=email&amp;_hsmi=226712652&amp;_hsenc=p2ANqtz-9OBKIBZDi8r8oE28UFobupYGxopyoQah8HvX1c9zj34g5f00t_mZAGDNIEFbeFR3R6TbvecwhsL2yyD5Q92lFJJe2-2g&amp;utm_content=226712652&amp;utm_source=hs_email" TargetMode="External"/><Relationship Id="rId1541" Type="http://schemas.openxmlformats.org/officeDocument/2006/relationships/hyperlink" Target="https://casetext.com/case/threat-v-city-of-cleveland" TargetMode="External"/><Relationship Id="rId1779" Type="http://schemas.openxmlformats.org/officeDocument/2006/relationships/hyperlink" Target="https://www.justice.gov/servicemembers/other-resources" TargetMode="External"/><Relationship Id="rId1986" Type="http://schemas.openxmlformats.org/officeDocument/2006/relationships/hyperlink" Target="https://www4.courts.ca.gov/opinions/nonpub/B335656.PDF" TargetMode="External"/><Relationship Id="rId40" Type="http://schemas.openxmlformats.org/officeDocument/2006/relationships/hyperlink" Target="https://public.fastcase.com/jaEE2PXzRXmZ99jOLMt1Io7YtJZzhGRSpWTaEU5VEs33%2BTg9rUAoQurxZOT9gqkAJFaugLm9Mxx2CSeMl9vD0%2FrzAe6H5F%2F5zH2a3krjQxc%3D?utm_medium=email&amp;_hsenc=p2ANqtz--xi3xhqQTQTPjw8tThXPxla5fboNp_lyjnL-u37viXN8Zx1O-9U8osPNb7oBpn1RZ6w4oAGvXBZvBP5z9zhZ_Qvufy4w&amp;_hsmi=226712652&amp;utm_content=226712652&amp;utm_source=hs_email" TargetMode="External"/><Relationship Id="rId1401" Type="http://schemas.openxmlformats.org/officeDocument/2006/relationships/hyperlink" Target="https://public.fastcase.com/Wl%2B2t%2BeVuI35%2FN70vAMFZlbQ%2BrzY3OsVa9hMy3HWGsXkXncgvfLlObTaYTDVckkj" TargetMode="External"/><Relationship Id="rId1639" Type="http://schemas.openxmlformats.org/officeDocument/2006/relationships/hyperlink" Target="https://www.osha.gov/laws-regs/regulations/standardnumber/1910/1910.95AppF" TargetMode="External"/><Relationship Id="rId1846" Type="http://schemas.openxmlformats.org/officeDocument/2006/relationships/hyperlink" Target="https://casetext.com/statute/montana-code/title-2-government-structure-and-administration/chapter-4-administrative-procedure-act/part-7-judicial-review-of-contested-cases/section-2-4-702-effective-until-1012025-initiating-judicial-review-of-contested-cases" TargetMode="External"/><Relationship Id="rId1706" Type="http://schemas.openxmlformats.org/officeDocument/2006/relationships/hyperlink" Target="https://www.supremecourt.gov/opinions/24pdf/23-217_9o6b.pdf" TargetMode="External"/><Relationship Id="rId1913" Type="http://schemas.openxmlformats.org/officeDocument/2006/relationships/hyperlink" Target="https://law.justia.com/cases/new-york/other-courts/2019/2019-ny-slip-op-51419-u.html" TargetMode="External"/><Relationship Id="rId287" Type="http://schemas.openxmlformats.org/officeDocument/2006/relationships/hyperlink" Target="https://law.justia.com/cases/federal/appellate-courts/ca11/18-15033/18-15033-2020-08-24.html" TargetMode="External"/><Relationship Id="rId494" Type="http://schemas.openxmlformats.org/officeDocument/2006/relationships/hyperlink" Target="https://www.firstcoastnews.com/article/news/local/judge-jacksonville-has-mechanism-to-deviate-from-rule-making-black-firefighters-shave/77-7e962b25-bfed-4f9c-817e-ba6883a1f94b" TargetMode="External"/><Relationship Id="rId2175" Type="http://schemas.openxmlformats.org/officeDocument/2006/relationships/hyperlink" Target="https://www.whistleblowerllc.com/resources/whistleblower-laws/the-federal-false-claims-act/" TargetMode="External"/><Relationship Id="rId2382" Type="http://schemas.openxmlformats.org/officeDocument/2006/relationships/hyperlink" Target="https://public.fastcase.com/waZtJvSA54UAurM2rmIZz6DHvxBXKDNOBT4bWQ9B2C2XMExqnhPDmJ4RTlgjq%2FCO3g5z%2BjC1yjBDqKCmneuiR5bS8Q3ELHfgftRpjN8MXvk%3D" TargetMode="External"/><Relationship Id="rId147" Type="http://schemas.openxmlformats.org/officeDocument/2006/relationships/hyperlink" Target="https://www.anylaw.com/case/state-v-messer/ohio-court-of-appeals/12-04-2023/hMqWTIwBqcoRgE-I70tV" TargetMode="External"/><Relationship Id="rId354" Type="http://schemas.openxmlformats.org/officeDocument/2006/relationships/hyperlink" Target="https://cases.justia.com/federal/district-courts/michigan/miedce/2:2015cv13050/304138/9/0.pdf?ts=1532512098" TargetMode="External"/><Relationship Id="rId799" Type="http://schemas.openxmlformats.org/officeDocument/2006/relationships/hyperlink" Target="https://www.law.com/newyorklawjournal/2019/04/25/split-2nd-circuit-panel-finds-outrageous-ice-conduct-revives-activists-removal-suit/" TargetMode="External"/><Relationship Id="rId1191" Type="http://schemas.openxmlformats.org/officeDocument/2006/relationships/hyperlink" Target="https://public.fastcase.com/Wl%2B2t%2BeVuI35%2FN70vAMFZjoMXHbjadZDEq7kSjk%2BwtWPLJ9YZycRPzxEYilorv6v" TargetMode="External"/><Relationship Id="rId2035" Type="http://schemas.openxmlformats.org/officeDocument/2006/relationships/hyperlink" Target="https://cdn.ca9.uscourts.gov/datastore/opinions/2024/04/15/22-15546.pdf" TargetMode="External"/><Relationship Id="rId2687" Type="http://schemas.openxmlformats.org/officeDocument/2006/relationships/hyperlink" Target="https://cases.justia.com/georgia/court-of-appeals/2025-a25a0947.pdf?ts=1757355224" TargetMode="External"/><Relationship Id="rId561" Type="http://schemas.openxmlformats.org/officeDocument/2006/relationships/hyperlink" Target="https://law.justia.com/cases/new-york/appellate-division-second-department/2019/2016-10855.html" TargetMode="External"/><Relationship Id="rId659" Type="http://schemas.openxmlformats.org/officeDocument/2006/relationships/hyperlink" Target="https://www.courthousenews.com/wp-content/uploads/2024/07/LGBTQ-DNC-ordinance-block-denial.pdf" TargetMode="External"/><Relationship Id="rId866" Type="http://schemas.openxmlformats.org/officeDocument/2006/relationships/hyperlink" Target="https://public.fastcase.com/waZtJvSA54UAurM2rmIZz7W%2FsumOmHJRMxx6Xd%2FRMYm%2FGY4cQ9ojWggecoIy6%2FUeVcPjYVPSLOvPb0MEmsZAQF%2FZtsixbezDD9jmkmDKasM%3D" TargetMode="External"/><Relationship Id="rId1289" Type="http://schemas.openxmlformats.org/officeDocument/2006/relationships/hyperlink" Target="https://public.fastcase.com/jaEE2PXzRXmZ99jOLMt1Iuq7qc0gfVcydq4UksJKYaPvhnQoV2Tur9kW43Sd%2BCHWkw1LFd5eYMpsqupxEAJwLBiVNyDEOcfOyFpt494LsV4%3D?utm_medium=email&amp;_hsenc=p2ANqtz-9JDPujkqcb7TpRksmi2p_USQgVGerxf-hzLRNOYIOWKeqjT-lj5XLhttLuYWUDIXmtoE1M_nS89zbeKXXmbJi1pvu4VQ&amp;_hsmi=226712652&amp;utm_content=226712652&amp;utm_source=hs_email" TargetMode="External"/><Relationship Id="rId1496" Type="http://schemas.openxmlformats.org/officeDocument/2006/relationships/hyperlink" Target="https://casetext.com/case/brown-v-hennepin-healthcare-sys" TargetMode="External"/><Relationship Id="rId2242" Type="http://schemas.openxmlformats.org/officeDocument/2006/relationships/hyperlink" Target="https://www.courts.state.md.us/sites/default/files/unreported-opinions/0318s19.pdf" TargetMode="External"/><Relationship Id="rId2547" Type="http://schemas.openxmlformats.org/officeDocument/2006/relationships/hyperlink" Target="https://www.firerescue1.com/arson-investigation/articles/understanding-the-firefighter-arsonist-j06dtElH3OMZMwBS/" TargetMode="External"/><Relationship Id="rId214" Type="http://schemas.openxmlformats.org/officeDocument/2006/relationships/hyperlink" Target="https://www.supremecourt.gov/opinions/21pdf/20-1800_7lho.pdf" TargetMode="External"/><Relationship Id="rId421" Type="http://schemas.openxmlformats.org/officeDocument/2006/relationships/hyperlink" Target="https://supreme.justia.com/cases/federal/us/503/115/" TargetMode="External"/><Relationship Id="rId519" Type="http://schemas.openxmlformats.org/officeDocument/2006/relationships/hyperlink" Target="https://public.fastcase.com/9SKwsfNqTc6OieYDhNMyM3GFxg7E14LGt6irGiW6D0AdOSai6WztEAqO8TQbOt2UAfcs%2Ff2iM4MWcxpFzO0W88e5H95ADB2MkHVFfrY4yKc%3D" TargetMode="External"/><Relationship Id="rId1051" Type="http://schemas.openxmlformats.org/officeDocument/2006/relationships/hyperlink" Target="https://codes.ohio.gov/ohio-revised-code/section-4123.68" TargetMode="External"/><Relationship Id="rId1149" Type="http://schemas.openxmlformats.org/officeDocument/2006/relationships/hyperlink" Target="https://www.courts.state.md.us/data/opinions/coa/2021/36a20.pdf" TargetMode="External"/><Relationship Id="rId1356" Type="http://schemas.openxmlformats.org/officeDocument/2006/relationships/hyperlink" Target="https://www.wavy.com/news/local-news/norfolk/special-report-norfolk-under-fire-for-treatment-of-female-employees/" TargetMode="External"/><Relationship Id="rId2102" Type="http://schemas.openxmlformats.org/officeDocument/2006/relationships/hyperlink" Target="https://law.justia.com/cases/iowa/court-of-appeals/2023/22-0302.html" TargetMode="External"/><Relationship Id="rId2754" Type="http://schemas.openxmlformats.org/officeDocument/2006/relationships/hyperlink" Target="https://www.supremecourt.ohio.gov/rod/docs/pdf/7/2021/2021-Ohio-4552.pdf" TargetMode="External"/><Relationship Id="rId726" Type="http://schemas.openxmlformats.org/officeDocument/2006/relationships/hyperlink" Target="https://www.law.cornell.edu/uscode/text/18/249" TargetMode="External"/><Relationship Id="rId933" Type="http://schemas.openxmlformats.org/officeDocument/2006/relationships/hyperlink" Target="https://cases.justia.com/michigan/court-of-appeals-unpublished/2023-361624.pdf?ts=1700661618" TargetMode="External"/><Relationship Id="rId1009" Type="http://schemas.openxmlformats.org/officeDocument/2006/relationships/hyperlink" Target="https://cases.justia.com/washington/supreme-court/2025-103-121-1.pdf?ts=1750950890" TargetMode="External"/><Relationship Id="rId1563" Type="http://schemas.openxmlformats.org/officeDocument/2006/relationships/hyperlink" Target="https://d.docs.live.net/bd9b2eaf6053242e/AppData/Roaming/Microsoft/AppData/Local/Microsoft/Windows/INetCache/IE/XO250S7T/Phillips-FDNY.pdf" TargetMode="External"/><Relationship Id="rId1770" Type="http://schemas.openxmlformats.org/officeDocument/2006/relationships/hyperlink" Target="http://www.firefighterovertime.org/wp-content/uploads/2021/04/KC-MO-FF-FLSA-Complaint-1.pdf" TargetMode="External"/><Relationship Id="rId1868" Type="http://schemas.openxmlformats.org/officeDocument/2006/relationships/hyperlink" Target="https://www.nytimes.com/2019/09/19/health/purdue-sackler-opioid-settlement.html" TargetMode="External"/><Relationship Id="rId2407" Type="http://schemas.openxmlformats.org/officeDocument/2006/relationships/hyperlink" Target="https://www.wci360.com/update-workers-comp-coverage-for-firefighters/" TargetMode="External"/><Relationship Id="rId2614" Type="http://schemas.openxmlformats.org/officeDocument/2006/relationships/hyperlink" Target="https://casetext.com/case/united-states-v-fields-198" TargetMode="External"/><Relationship Id="rId2821" Type="http://schemas.openxmlformats.org/officeDocument/2006/relationships/hyperlink" Target="https://public.fastcase.com/Wl%2B2t%2BeVuI35%2FN70vAMFZlFt1LsN7FOv8IeLOLQpT2HmGMXcCWoYq2MigYjsxegu" TargetMode="External"/><Relationship Id="rId62" Type="http://schemas.openxmlformats.org/officeDocument/2006/relationships/hyperlink" Target="https://cases.justia.com/federal/district-courts/massachusetts/madce/1:2025mc91106/281992/17/0.pdf?ts=1747471889" TargetMode="External"/><Relationship Id="rId1216" Type="http://schemas.openxmlformats.org/officeDocument/2006/relationships/hyperlink" Target="https://public.fastcase.com/Wl%2B2t%2BeVuI35%2FN70vAMFZp5steAbFsjz8D5zs28wLVD2J2xhMYzUEH8PyP%2BVbQO%2B" TargetMode="External"/><Relationship Id="rId1423" Type="http://schemas.openxmlformats.org/officeDocument/2006/relationships/hyperlink" Target="https://law.justia.com/cases/federal/district-courts/alabama/alndce/4:2016cv01604/160190/55/" TargetMode="External"/><Relationship Id="rId1630" Type="http://schemas.openxmlformats.org/officeDocument/2006/relationships/hyperlink" Target="https://casetext.com/case/frost-v-provident-life-and-accident-insurance-co-1" TargetMode="External"/><Relationship Id="rId1728" Type="http://schemas.openxmlformats.org/officeDocument/2006/relationships/hyperlink" Target="http://flsa-optin.com/My%20Docs/2023/Consent%20to%20Sue%20-%20IAFF%20781.pdf" TargetMode="External"/><Relationship Id="rId1935" Type="http://schemas.openxmlformats.org/officeDocument/2006/relationships/hyperlink" Target="https://www.supremecourt.ohio.gov/rod/docs/pdf/11/2026/2026-Ohio-67.pdf" TargetMode="External"/><Relationship Id="rId2197" Type="http://schemas.openxmlformats.org/officeDocument/2006/relationships/hyperlink" Target="https://www.ca8.uscourts.gov/sites/ca8/files/opinions/191343P.pdf" TargetMode="External"/><Relationship Id="rId169" Type="http://schemas.openxmlformats.org/officeDocument/2006/relationships/hyperlink" Target="https://casetext.com/case/commonwealth-v-smith-1490" TargetMode="External"/><Relationship Id="rId376" Type="http://schemas.openxmlformats.org/officeDocument/2006/relationships/hyperlink" Target="https://cases.justia.com/federal/district-courts/new-hampshire/nhdce/1:2024cv00213/63777/56/0.pdf?ts=1775080109" TargetMode="External"/><Relationship Id="rId583" Type="http://schemas.openxmlformats.org/officeDocument/2006/relationships/hyperlink" Target="https://cases.justia.com/pennsylvania/superior-court/2018-1747-wda-2016.pdf?ts=1534790308" TargetMode="External"/><Relationship Id="rId790" Type="http://schemas.openxmlformats.org/officeDocument/2006/relationships/hyperlink" Target="http://www.ca2.uscourts.gov/decisions/isysquery/67a05b34-20ad-4c39-bc1a-260008502d15/1/doc/18-1604_complete_opn.pdf" TargetMode="External"/><Relationship Id="rId2057" Type="http://schemas.openxmlformats.org/officeDocument/2006/relationships/hyperlink" Target="https://cases.justia.com/federal/district-courts/new-york/nysdce/7:2022cv04047/580058/37/0.pdf?ts=1703868116" TargetMode="External"/><Relationship Id="rId2264" Type="http://schemas.openxmlformats.org/officeDocument/2006/relationships/hyperlink" Target="https://public.fastcase.com/Wl%2B2t%2BeVuI35%2FN70vAMFZiXFpIhEfmm%2F8CTY%2Fzzj67xZNFbM2CzcHQjFO%2Fg%2BhpjG" TargetMode="External"/><Relationship Id="rId2471" Type="http://schemas.openxmlformats.org/officeDocument/2006/relationships/hyperlink" Target="https://www.ca5.uscourts.gov/opinions/pub/23/23-10881-CV0.pdf" TargetMode="External"/><Relationship Id="rId4" Type="http://schemas.openxmlformats.org/officeDocument/2006/relationships/settings" Target="settings.xml"/><Relationship Id="rId236" Type="http://schemas.openxmlformats.org/officeDocument/2006/relationships/hyperlink" Target="https://public.fastcase.com/9SKwsfNqTc6OieYDhNMyMxCncQbdnZBHHYClkb%2F5rq5vAcucBX21mkOLoZWomgOrkfyB0T1fu8X9VBZqJtLwyHdQaAVKSMi9mGC9zU6KrUc%3D" TargetMode="External"/><Relationship Id="rId443" Type="http://schemas.openxmlformats.org/officeDocument/2006/relationships/hyperlink" Target="https://www.hometownlife.com/story/news/local/westland/2016/04/15/report-released-westland-firefighter-death/83087498/" TargetMode="External"/><Relationship Id="rId650" Type="http://schemas.openxmlformats.org/officeDocument/2006/relationships/hyperlink" Target="https://casetext.com/statute/california-codes/california-penal-code/part-2-of-criminal-procedure/title-6-pleadings-and-proceedings-before-trial/chapter-28a-diversion-of-individuals-with-mental-disorders/section-100136-pretrial-diversion-for-persons-with-mental-disorders" TargetMode="External"/><Relationship Id="rId888" Type="http://schemas.openxmlformats.org/officeDocument/2006/relationships/hyperlink" Target="https://www.nct911.org/how-location-works-for-911/" TargetMode="External"/><Relationship Id="rId1073" Type="http://schemas.openxmlformats.org/officeDocument/2006/relationships/hyperlink" Target="https://public.fastcase.com/ZZhmr5v9wN%2FXOe5IsQ%2FqD%2FaLdDTUZ9Bp4i3kiVRF7d97YDP9rIPdBi21RNkcNkR5tUpl7J0i2aSQMqXbficIjpy79lKVHToNjy22tiJ4vWE%3D?utm_medium=email&amp;_hsmi=226712652&amp;_hsenc=p2ANqtz-9MD5NcRenWzxZK3r0B0IWrLCE0j3XNAkXqR3ZxFb7wcv_xjopQQNgTmJWg80Fq-GGoAscEcs0qRLFtSd9eSgTH9vCqyg&amp;utm_content=226712652&amp;utm_source=hs_email" TargetMode="External"/><Relationship Id="rId1280" Type="http://schemas.openxmlformats.org/officeDocument/2006/relationships/hyperlink" Target="file:///C:/Users/lawre/AppData/Local/Microsoft/Windows/INetCache/IE/CTCRXJ99/0788s16.pdf" TargetMode="External"/><Relationship Id="rId2124" Type="http://schemas.openxmlformats.org/officeDocument/2006/relationships/hyperlink" Target="https://juddocumentservice.mt.gov/getDocByCTrackId?DocId=398159" TargetMode="External"/><Relationship Id="rId2331" Type="http://schemas.openxmlformats.org/officeDocument/2006/relationships/hyperlink" Target="https://public.fastcase.com/Jhe1Qn%2BmJndQYQU6z%2FeNm%2BcFVCy5tJw2gy1zfbpkLaze9U67QqLJTV5FE2cJQCoqnSyWDfbWSo3ic5o1p0zHzyDw8vgxY%2BBok5izm2ejH6U%3D?utm_medium=email&amp;_hsenc=p2ANqtz--bkYiy1pyPlPSsVe74xwULcEQroRrEa3UI3GrVMXxBGgBl78iSBqXQuZMV2NG07-VaF6HXpA1gGzG-xJKwbOenCq2wOg&amp;_hsmi=226712652&amp;utm_content=226712652&amp;utm_source=hs_email" TargetMode="External"/><Relationship Id="rId2569" Type="http://schemas.openxmlformats.org/officeDocument/2006/relationships/hyperlink" Target="https://www.supremecourt.ohio.gov/rod/docs/pdf/8/2022/2022-Ohio-824.pdf" TargetMode="External"/><Relationship Id="rId2776" Type="http://schemas.openxmlformats.org/officeDocument/2006/relationships/hyperlink" Target="https://www.op-f.org/files/mgdrop.pdf" TargetMode="External"/><Relationship Id="rId303" Type="http://schemas.openxmlformats.org/officeDocument/2006/relationships/hyperlink" Target="https://www.photoshopessentials.com/photo-effects/copyright/" TargetMode="External"/><Relationship Id="rId748" Type="http://schemas.openxmlformats.org/officeDocument/2006/relationships/hyperlink" Target="https://www.law.cornell.edu/definitions/uscode.php?width=840&amp;height=800&amp;iframe=true&amp;def_id=8-USC-2032517217-1201680101&amp;term_occur=999&amp;term_src=" TargetMode="External"/><Relationship Id="rId955" Type="http://schemas.openxmlformats.org/officeDocument/2006/relationships/hyperlink" Target="https://www.fireengineering.com/health-safety/tx-firefighter-dies-after-being-struck/" TargetMode="External"/><Relationship Id="rId1140" Type="http://schemas.openxmlformats.org/officeDocument/2006/relationships/hyperlink" Target="https://wcc.state.ct.us/law/rel-stat/2009/7-314a.htm" TargetMode="External"/><Relationship Id="rId1378" Type="http://schemas.openxmlformats.org/officeDocument/2006/relationships/hyperlink" Target="https://casetext.com/case/mendoza-v-rio-rico-med-1" TargetMode="External"/><Relationship Id="rId1585" Type="http://schemas.openxmlformats.org/officeDocument/2006/relationships/hyperlink" Target="https://www.eeoc.gov/laws/guidance/enforcement-guidance-reasonable-accommodation-and-undue-hardship-under-ada" TargetMode="External"/><Relationship Id="rId1792" Type="http://schemas.openxmlformats.org/officeDocument/2006/relationships/hyperlink" Target="https://public.fastcase.com/Wl%2B2t%2BeVuI35%2FN70vAMFZtsu4ffMdPWfOx%2BdxBXmfVAnwIw9ms7kbCEt1faHV%2BzM" TargetMode="External"/><Relationship Id="rId2429" Type="http://schemas.openxmlformats.org/officeDocument/2006/relationships/hyperlink" Target="https://www.2news.com/news/local/former-sparks-fire-chief-pleads-no-contest-to-drug-related-charge/article_484d699c-7023-11ed-b795-ff8664a2c2d9.html" TargetMode="External"/><Relationship Id="rId2636" Type="http://schemas.openxmlformats.org/officeDocument/2006/relationships/hyperlink" Target="https://supreme.justia.com/cases/federal/us/470/532/" TargetMode="External"/><Relationship Id="rId84" Type="http://schemas.openxmlformats.org/officeDocument/2006/relationships/hyperlink" Target="https://www.usatoday.com/story/tech/2025/01/22/tiktok-ban-download-app-stores-update/77872210007/" TargetMode="External"/><Relationship Id="rId510" Type="http://schemas.openxmlformats.org/officeDocument/2006/relationships/hyperlink" Target="https://law.justia.com/cases/ohio/twelfth-district-court-of-appeals/2022/ca2022-02-020.html" TargetMode="External"/><Relationship Id="rId608" Type="http://schemas.openxmlformats.org/officeDocument/2006/relationships/hyperlink" Target="https://pubs.acs.org/doi/10.1021/cen-09438-notw2" TargetMode="External"/><Relationship Id="rId815" Type="http://schemas.openxmlformats.org/officeDocument/2006/relationships/hyperlink" Target="https://in.reuters.com/article/usa-court-iran/u-s-top-court-forbids-seizure-of-ancient-persian-artifacts-idINKCN1G51ZY" TargetMode="External"/><Relationship Id="rId1238" Type="http://schemas.openxmlformats.org/officeDocument/2006/relationships/hyperlink" Target="https://courts.illinois.gov/R23_Orders/AppellateCourt/2020/3rdDistrict/3190055_R23.pdf" TargetMode="External"/><Relationship Id="rId1445" Type="http://schemas.openxmlformats.org/officeDocument/2006/relationships/hyperlink" Target="https://www.justice.gov/usao-edpa/pr/downingtown-man-convicted-exploiting-usdot-disadvantaged-business-program" TargetMode="External"/><Relationship Id="rId1652" Type="http://schemas.openxmlformats.org/officeDocument/2006/relationships/hyperlink" Target="https://www.law.com/thelegalintelligencer/2019/08/12/third-circuit-revives-beard-related-discrimination-claims-against-upenn/" TargetMode="External"/><Relationship Id="rId1000" Type="http://schemas.openxmlformats.org/officeDocument/2006/relationships/hyperlink" Target="https://cases.justia.com/west-virginia/intermediate-court-of-appeals/2025-25-ica-138.pdf?ts=1761335525" TargetMode="External"/><Relationship Id="rId1305" Type="http://schemas.openxmlformats.org/officeDocument/2006/relationships/hyperlink" Target="https://casetext.com/case/lundberg-v-delta-response-team-llc-1" TargetMode="External"/><Relationship Id="rId1957" Type="http://schemas.openxmlformats.org/officeDocument/2006/relationships/hyperlink" Target="https://cases.justia.com/alabama/supreme-court/2025-sc-2025-0055.pdf?ts=1756474207" TargetMode="External"/><Relationship Id="rId2703" Type="http://schemas.openxmlformats.org/officeDocument/2006/relationships/hyperlink" Target="https://casetext.com/statute/code-of-iowa/title-i-state-sovereignty-and-management/chapter-17a-iowa-administrative-procedure-act/section-17a19-judicial-review" TargetMode="External"/><Relationship Id="rId1512" Type="http://schemas.openxmlformats.org/officeDocument/2006/relationships/hyperlink" Target="https://casetext.com/case/rice-v-city-of-cincinnati" TargetMode="External"/><Relationship Id="rId1817" Type="http://schemas.openxmlformats.org/officeDocument/2006/relationships/hyperlink" Target="http://41af3k34gprx4f6bg12df75i.wpengine.netdna-cdn.com/wp-content/uploads/sites/19/2019/05/Ramirez-v.-City-of-Fort-Lauderdale-Fire-Rescue_-2019-U.pdf" TargetMode="External"/><Relationship Id="rId11" Type="http://schemas.openxmlformats.org/officeDocument/2006/relationships/image" Target="media/image3.jpeg"/><Relationship Id="rId398" Type="http://schemas.openxmlformats.org/officeDocument/2006/relationships/hyperlink" Target="https://cases.justia.com/new-york/other-courts/2025-2025-ny-slip-op-33918-u.pdf?ts=1761341322" TargetMode="External"/><Relationship Id="rId2079" Type="http://schemas.openxmlformats.org/officeDocument/2006/relationships/hyperlink" Target="https://public.fastcase.com/ZZhmr5v9wN%2FXOe5IsQ%2FqD7GCKb2IB3J54e7ItSmUYP%2BWMLglINdF7XSY%2Fk9VEPoTx4QWBItn6mQ9CDY1KKV2Qj7lzwy8FX40VrBADcTdOUs%3D?utm_medium=email&amp;_hsmi=226712652&amp;_hsenc=p2ANqtz-_DK7zem2LwgE_Zwv-o_RP9UByjQ85WHbLNpM1Ddz9HLFMrLo4_e5BuKmezeF9cnjUjmpRGuKlpbVs2F5114RUdRnDuAQ&amp;utm_content=226712652&amp;utm_source=hs_email" TargetMode="External"/><Relationship Id="rId160" Type="http://schemas.openxmlformats.org/officeDocument/2006/relationships/hyperlink" Target="https://www.law.cornell.edu/rules/fre/rule_702" TargetMode="External"/><Relationship Id="rId2286" Type="http://schemas.openxmlformats.org/officeDocument/2006/relationships/hyperlink" Target="http://business.cch.com/ald/saginawVstat03262019.pdf" TargetMode="External"/><Relationship Id="rId2493" Type="http://schemas.openxmlformats.org/officeDocument/2006/relationships/hyperlink" Target="https://casetext.com/case/medina-v-columbia-river-fire-rescue" TargetMode="External"/><Relationship Id="rId258" Type="http://schemas.openxmlformats.org/officeDocument/2006/relationships/hyperlink" Target="https://ktla.com/news/nationworld/supreme-court-sides-with-new-mexico-woman-shot-by-police-while-fleeing/" TargetMode="External"/><Relationship Id="rId465" Type="http://schemas.openxmlformats.org/officeDocument/2006/relationships/hyperlink" Target="https://casetext.com/statute/consolidated-laws-of-new-york/chapter-volunteer-firefighters-benefit/article-2-coverage-and-benefits/section-5-coverage" TargetMode="External"/><Relationship Id="rId672" Type="http://schemas.openxmlformats.org/officeDocument/2006/relationships/hyperlink" Target="https://www.smithsonianmag.com/history/the-history-of-californias-inmate-firefighter-program-180980662/" TargetMode="External"/><Relationship Id="rId1095" Type="http://schemas.openxmlformats.org/officeDocument/2006/relationships/hyperlink" Target="https://casetext.com/case/coaxum-v-bd-of-trs" TargetMode="External"/><Relationship Id="rId2146" Type="http://schemas.openxmlformats.org/officeDocument/2006/relationships/hyperlink" Target="https://casetext.com/case/brown-v-medscope-am-corp" TargetMode="External"/><Relationship Id="rId2353" Type="http://schemas.openxmlformats.org/officeDocument/2006/relationships/hyperlink" Target="https://app.leg.wa.gov/RCW/default.aspx?cite=18.73.030" TargetMode="External"/><Relationship Id="rId2560" Type="http://schemas.openxmlformats.org/officeDocument/2006/relationships/hyperlink" Target="https://iprospectcheck.com/background-checks-employment-guide/" TargetMode="External"/><Relationship Id="rId2798" Type="http://schemas.openxmlformats.org/officeDocument/2006/relationships/hyperlink" Target="https://casetext.com/case/perez-v-mortg-bankers-assn" TargetMode="External"/><Relationship Id="rId118" Type="http://schemas.openxmlformats.org/officeDocument/2006/relationships/hyperlink" Target="https://www.law.cornell.edu/wex/inadmissible" TargetMode="External"/><Relationship Id="rId325" Type="http://schemas.openxmlformats.org/officeDocument/2006/relationships/hyperlink" Target="https://www.supremecourt.gov/orders/courtorders/052819zor_2dq3.pdf" TargetMode="External"/><Relationship Id="rId532" Type="http://schemas.openxmlformats.org/officeDocument/2006/relationships/hyperlink" Target="https://casetext.com/case/state-v-zitney-1" TargetMode="External"/><Relationship Id="rId977" Type="http://schemas.openxmlformats.org/officeDocument/2006/relationships/hyperlink" Target="http://www.cnn.com/2010/US/01/29/massachusetts.fire.hose.deaths/index.html" TargetMode="External"/><Relationship Id="rId1162" Type="http://schemas.openxmlformats.org/officeDocument/2006/relationships/hyperlink" Target="https://cbcny.org/research/pension-reform-firefighters-will-not-be-running-burning-buildings-age-65" TargetMode="External"/><Relationship Id="rId2006" Type="http://schemas.openxmlformats.org/officeDocument/2006/relationships/hyperlink" Target="https://stlouiscriminaldefense.com/practice-areas/st-louis-murder-defense-attorney/" TargetMode="External"/><Relationship Id="rId2213" Type="http://schemas.openxmlformats.org/officeDocument/2006/relationships/hyperlink" Target="https://public.fastcase.com/Wl%2B2t%2BeVuI35%2FN70vAMFZhZJi56QhK5aeAu9BSRcXQy3N2tA%2FHS1iSBZTTlZLCgr" TargetMode="External"/><Relationship Id="rId2420" Type="http://schemas.openxmlformats.org/officeDocument/2006/relationships/hyperlink" Target="https://cases.justia.com/missouri/court-of-appeals/2026-wd88004.pdf?ts=1772555406" TargetMode="External"/><Relationship Id="rId2658" Type="http://schemas.openxmlformats.org/officeDocument/2006/relationships/hyperlink" Target="http://www.sconet.state.oh.us/rod/docs/pdf/0/2009/2009-Ohio-2597.pdf" TargetMode="External"/><Relationship Id="rId837" Type="http://schemas.openxmlformats.org/officeDocument/2006/relationships/hyperlink" Target="https://caselaw.findlaw.com/court/us-10th-circuit/116433351.html" TargetMode="External"/><Relationship Id="rId1022" Type="http://schemas.openxmlformats.org/officeDocument/2006/relationships/hyperlink" Target="https://www.iamresponding.com/" TargetMode="External"/><Relationship Id="rId1467" Type="http://schemas.openxmlformats.org/officeDocument/2006/relationships/hyperlink" Target="https://www.njcourts.gov/system/files/court-opinions/2024/a3173-22.pdf" TargetMode="External"/><Relationship Id="rId1674" Type="http://schemas.openxmlformats.org/officeDocument/2006/relationships/hyperlink" Target="https://public.fastcase.com/Wl%2B2t%2BeVuI35%2FN70vAMFZmLHUFluj8t0T%2BAyFM6B%2B2S9SNpejaiKBu7OSzXfoy%2FQ" TargetMode="External"/><Relationship Id="rId1881" Type="http://schemas.openxmlformats.org/officeDocument/2006/relationships/hyperlink" Target="https://casetext.com/case/dufrene-v-northshore-ems-llc" TargetMode="External"/><Relationship Id="rId2518" Type="http://schemas.openxmlformats.org/officeDocument/2006/relationships/hyperlink" Target="https://www.wxii12.com/article/former-ymca-counselor-volunteer-firefighter-pleads-guilty-to-sexually-assaulting-young-boys/28196918" TargetMode="External"/><Relationship Id="rId2725" Type="http://schemas.openxmlformats.org/officeDocument/2006/relationships/hyperlink" Target="https://casetext.com/case/murchison-v-city-of-waterbury" TargetMode="External"/><Relationship Id="rId904" Type="http://schemas.openxmlformats.org/officeDocument/2006/relationships/hyperlink" Target="https://cases.justia.com/texas/fourteenth-court-of-appeals/2026-14-25-00078-cv.pdf?ts=1770741693" TargetMode="External"/><Relationship Id="rId1327" Type="http://schemas.openxmlformats.org/officeDocument/2006/relationships/hyperlink" Target="https://www.supremecourt.gov/opinions/23pdf/22-193_q86b.pdf" TargetMode="External"/><Relationship Id="rId1534" Type="http://schemas.openxmlformats.org/officeDocument/2006/relationships/hyperlink" Target="https://casetext.com/statute/united-states-code/title-42-the-public-health-and-welfare/chapter-21-civil-rights/subchapter-vi-equal-employment-opportunities/section-2000e-2-unlawful-employment-practices" TargetMode="External"/><Relationship Id="rId1741" Type="http://schemas.openxmlformats.org/officeDocument/2006/relationships/hyperlink" Target="https://www.littler.com/publication-press/publication/sixth-circuit-establishes-stricter-standard-granting-notice-flsa" TargetMode="External"/><Relationship Id="rId1979" Type="http://schemas.openxmlformats.org/officeDocument/2006/relationships/hyperlink" Target="https://cases.justia.com/federal/district-courts/pennsylvania/paedce/2:2023cv00155/604825/106/0.pdf?ts=1739281859" TargetMode="External"/><Relationship Id="rId33" Type="http://schemas.openxmlformats.org/officeDocument/2006/relationships/hyperlink" Target="https://www.facebook.com/groups/336997465025309/posts/424479052943816/" TargetMode="External"/><Relationship Id="rId1601" Type="http://schemas.openxmlformats.org/officeDocument/2006/relationships/hyperlink" Target="https://casetext.com/case/bruno-v-wells-armstrong" TargetMode="External"/><Relationship Id="rId1839" Type="http://schemas.openxmlformats.org/officeDocument/2006/relationships/hyperlink" Target="https://www.fireengineering.com/firefighting/medical-marijuana-and-firefighters-creating-a-medical-marijuana-use-policy/" TargetMode="External"/><Relationship Id="rId182" Type="http://schemas.openxmlformats.org/officeDocument/2006/relationships/hyperlink" Target="https://law.justia.com/cases/kentucky/court-of-appeals/2023/2022-ca-0276-mr.html" TargetMode="External"/><Relationship Id="rId1906" Type="http://schemas.openxmlformats.org/officeDocument/2006/relationships/hyperlink" Target="https://www.networkforphl.org/_asset/qz5pvn/legal-interventions-to-reduce-overdose.pdf" TargetMode="External"/><Relationship Id="rId487" Type="http://schemas.openxmlformats.org/officeDocument/2006/relationships/hyperlink" Target="https://law.justia.com/cases/federal/appellate-courts/ca3/22-1892/22-1892-2023-06-30.html" TargetMode="External"/><Relationship Id="rId694" Type="http://schemas.openxmlformats.org/officeDocument/2006/relationships/hyperlink" Target="https://www.supremecourt.gov/opinions/21pdf/20-843_7j80.pdf" TargetMode="External"/><Relationship Id="rId2070" Type="http://schemas.openxmlformats.org/officeDocument/2006/relationships/hyperlink" Target="https://casetext.com/case/sutton-v-rockingham-cnty-1" TargetMode="External"/><Relationship Id="rId2168" Type="http://schemas.openxmlformats.org/officeDocument/2006/relationships/hyperlink" Target="https://www.ca4.uscourts.gov/Opinions/201906.U.pdf" TargetMode="External"/><Relationship Id="rId2375" Type="http://schemas.openxmlformats.org/officeDocument/2006/relationships/hyperlink" Target="https://public.fastcase.com/J%2FJP6pdidelsXxEE4k%2BLMmppr1xeX1%2Bm2bW38%2FPoc%2BjXR15UXAVR8dC2RoWWa4H5Xq9pVObZCpSmCaBhyWr74I1EN1To2hIbHKD6%2F8UayPI%3D" TargetMode="External"/><Relationship Id="rId347" Type="http://schemas.openxmlformats.org/officeDocument/2006/relationships/hyperlink" Target="http://client.prod.iaff.org/" TargetMode="External"/><Relationship Id="rId999" Type="http://schemas.openxmlformats.org/officeDocument/2006/relationships/hyperlink" Target="https://www.kvoa.com/news/arizona/arizona-supreme-court-rules-in-favor-of-firefighter-in-compensation-claim/article_63a696b0-5894-4bcc-94e3-966091411b00.html" TargetMode="External"/><Relationship Id="rId1184" Type="http://schemas.openxmlformats.org/officeDocument/2006/relationships/hyperlink" Target="https://courts.illinois.gov/opinions/SupremeCourt/2012/110012.pdf" TargetMode="External"/><Relationship Id="rId2028" Type="http://schemas.openxmlformats.org/officeDocument/2006/relationships/hyperlink" Target="https://casetext.com/statute/united-states-code/title-28-judiciary-and-judicial-procedure/part-v-procedure/chapter-123-fees-and-costs/section-1920-taxation-of-costs" TargetMode="External"/><Relationship Id="rId2582" Type="http://schemas.openxmlformats.org/officeDocument/2006/relationships/hyperlink" Target="https://public.fastcase.com/9SKwsfNqTc6OieYDhNMyMyDFWJKG68%2FxrxDgF%2ByOzsjPpcL4jvi7QzZ2AR2rzbKPcZbDkGArV5tenVtyFKk%2FX7II2Lot3PKpssqnJQodheI%253" TargetMode="External"/><Relationship Id="rId554" Type="http://schemas.openxmlformats.org/officeDocument/2006/relationships/hyperlink" Target="https://caselaw.findlaw.com/us-dc-circuit/1363158.html" TargetMode="External"/><Relationship Id="rId761" Type="http://schemas.openxmlformats.org/officeDocument/2006/relationships/hyperlink" Target="https://casetext.com/case/stahl-v-dept-of-justice" TargetMode="External"/><Relationship Id="rId859" Type="http://schemas.openxmlformats.org/officeDocument/2006/relationships/hyperlink" Target="https://firstamendmentwatch.org/10th-circuit-court-of-appeals-upholds-public-right-to-record-police/" TargetMode="External"/><Relationship Id="rId1391" Type="http://schemas.openxmlformats.org/officeDocument/2006/relationships/hyperlink" Target="https://casetext.com/case/united-states-v-fields-198" TargetMode="External"/><Relationship Id="rId1489" Type="http://schemas.openxmlformats.org/officeDocument/2006/relationships/hyperlink" Target="https://www.iafc.org/membership/iCHIEFS/iCHIEFS-article/department-of-justice-consent-decrees-and-the-fire-service" TargetMode="External"/><Relationship Id="rId1696" Type="http://schemas.openxmlformats.org/officeDocument/2006/relationships/hyperlink" Target="https://cases.justia.com/federal/district-courts/oklahoma/okedce/6:2023cv00241/34830/33/0.pdf?ts=1732294058" TargetMode="External"/><Relationship Id="rId2235" Type="http://schemas.openxmlformats.org/officeDocument/2006/relationships/hyperlink" Target="https://law.justia.com/cases/new-york/appellate-division-second-department/2020/2018-14386.html" TargetMode="External"/><Relationship Id="rId2442" Type="http://schemas.openxmlformats.org/officeDocument/2006/relationships/hyperlink" Target="https://cases.justia.com/illinois/court-of-appeals-second-appellate-district/2025-2-24-0565.pdf?ts=1765847849" TargetMode="External"/><Relationship Id="rId207" Type="http://schemas.openxmlformats.org/officeDocument/2006/relationships/hyperlink" Target="https://www.cunninghambounds.com/blogs/2022/june/state-immunity-state-agent-immunity-deputy-fire-/" TargetMode="External"/><Relationship Id="rId414" Type="http://schemas.openxmlformats.org/officeDocument/2006/relationships/hyperlink" Target="https://public.fastcase.com/jaEE2PXzRXmZ99jOLMt1IgoAeG7S%2FykfBuI6YcrwSiPTGWPBCOsZ9U9hhbKPvFCclEcN8%2BwauJ9ACloifFNsJP5SY607BhdVsV5o4yY4x1s%3D?utm_medium=email&amp;_hsenc=p2ANqtz-_cDTCyDUjf-GWGQHLWs90oLVQoI7WEBtlECxGBA_PvhPlM3MPPBeVtmuAidKContkLHE5q5E9gdRGYeBGS5gCqwJlBfg&amp;_hsmi=226712652&amp;utm_content=226712652&amp;utm_source=hs_email" TargetMode="External"/><Relationship Id="rId621" Type="http://schemas.openxmlformats.org/officeDocument/2006/relationships/hyperlink" Target="https://www.courthousenews.com/wp-content/uploads/2025/11/santa-clara-v-noem-preliminary-injunction.pdf" TargetMode="External"/><Relationship Id="rId1044" Type="http://schemas.openxmlformats.org/officeDocument/2006/relationships/hyperlink" Target="https://ilcourtsaudio.blob.core.windows.net/antilles-resources/resources/6872cb37-ae61-4b36-815c-de4cd8130990/Sobczyk%20v.%20Board%20of%20Trustees%20of%20the%20Rockford%20Firefighters%e2%80%99%20Pension%20Fund,%202024%20IL%20App%20(4th)%20240261-U.pdf" TargetMode="External"/><Relationship Id="rId1251" Type="http://schemas.openxmlformats.org/officeDocument/2006/relationships/hyperlink" Target="https://www.courierpostonline.com/story/news/2019/05/14/terremce-crowder-camden-fire-department-deputy-chief-loses-disability-benefits-dispute/1194598001/" TargetMode="External"/><Relationship Id="rId1349" Type="http://schemas.openxmlformats.org/officeDocument/2006/relationships/hyperlink" Target="https://public.fastcase.com/J%2FJP6pdidelsXxEE4k%2BLMhHGbq56VzoTk1JFKDMbyAsW64naZ9EKqTmGK9O1R3Wr9GeihMDs1Zh2VHQfJhn6l7jf8Y6MJiDUL4WQvVsRKlE%3D?utm_medium=email&amp;_hsmi=226712652&amp;_hsenc=p2ANqtz-8S41Im3p2bNEgWstI4h7IIgl63Egh37Z-OzcnjQev0mJue-BzqLfMZTGtGKB_KMNSyA32EmSFNwIWzkboUxTkEerO4Tg&amp;utm_content=226712652&amp;utm_source=hs_email" TargetMode="External"/><Relationship Id="rId2302" Type="http://schemas.openxmlformats.org/officeDocument/2006/relationships/hyperlink" Target="https://www.supremecourt.gov/opinions/18pdf/17-1660_5ifl.pdf" TargetMode="External"/><Relationship Id="rId2747" Type="http://schemas.openxmlformats.org/officeDocument/2006/relationships/hyperlink" Target="https://www.theledger.com/story/news/local/2022/05/20/lakeland-fire-department-leaders-retaliated-against-union-members-commission-says/9852984002/?mc_cid=a677467851&amp;mc_eid=3f2d24c371" TargetMode="External"/><Relationship Id="rId719" Type="http://schemas.openxmlformats.org/officeDocument/2006/relationships/hyperlink" Target="https://www.ca4.uscourts.gov/opinions/173.P.pdf" TargetMode="External"/><Relationship Id="rId926" Type="http://schemas.openxmlformats.org/officeDocument/2006/relationships/hyperlink" Target="https://public.fastcase.com/H1P9uiW3J20SFp%2BGCG%2BxLdY6%2FSfit7cxFyw3bnS%2FOidOFypRHxHWNwsmGqo4fSQEV9JpTw1bCRB2JkBf6VgjErq%2BbrT9DkyICOjdjgBVHFs%3D?utm_medium=email&amp;_hsmi=226712652&amp;_hsenc=p2ANqtz-82_plk0g72fbRvFB8NjbgL3Ik8GBcsuuIrmbdbiUiPbF7Kb8UwG6VvxYNyc-qobM2A00y-E3aXbEp-pYTE9TR3ELyYBQ&amp;utm_content=226712652&amp;utm_source=hs_email" TargetMode="External"/><Relationship Id="rId1111" Type="http://schemas.openxmlformats.org/officeDocument/2006/relationships/hyperlink" Target="https://casetext.com/case/city-of-henderson-v-law" TargetMode="External"/><Relationship Id="rId1556" Type="http://schemas.openxmlformats.org/officeDocument/2006/relationships/hyperlink" Target="https://www.leagle.com/decision/infdco20190624a02" TargetMode="External"/><Relationship Id="rId1763" Type="http://schemas.openxmlformats.org/officeDocument/2006/relationships/hyperlink" Target="https://supreme.justia.com/cases/federal/us/450/728/" TargetMode="External"/><Relationship Id="rId1970" Type="http://schemas.openxmlformats.org/officeDocument/2006/relationships/hyperlink" Target="https://law.justia.com/cases/new-york/other-courts/2025/2025-ny-slip-op-50759-u.html" TargetMode="External"/><Relationship Id="rId2607" Type="http://schemas.openxmlformats.org/officeDocument/2006/relationships/hyperlink" Target="https://www.courts.ca.gov/opinions/documents/A155107.PDF" TargetMode="External"/><Relationship Id="rId2814" Type="http://schemas.openxmlformats.org/officeDocument/2006/relationships/hyperlink" Target="https://fisheldowney.com/moving-away-mandatory-arbitration-sexual-assault-harassment-claims/" TargetMode="External"/><Relationship Id="rId55" Type="http://schemas.openxmlformats.org/officeDocument/2006/relationships/hyperlink" Target="https://cases.justia.com/federal/district-courts/texas/txsdce/3:2023cv00356/1939756/67/0.pdf?ts=1752929790" TargetMode="External"/><Relationship Id="rId1209" Type="http://schemas.openxmlformats.org/officeDocument/2006/relationships/hyperlink" Target="https://law.justia.com/cases/washington/court-of-appeals-division-ii/2020/52908-4.html" TargetMode="External"/><Relationship Id="rId1416" Type="http://schemas.openxmlformats.org/officeDocument/2006/relationships/hyperlink" Target="https://journalstar.com/news/local/crime-and-courts/female-firefighter-s-discrimination-case-against-the-city-of-lincoln/article_97cf8ac8-bb20-5343-8e10-3faf315b0dd8.html" TargetMode="External"/><Relationship Id="rId1623" Type="http://schemas.openxmlformats.org/officeDocument/2006/relationships/hyperlink" Target="https://law.justia.com/cases/federal/district-courts/illinois/ilndce/1:2021cv06211/409083/23/" TargetMode="External"/><Relationship Id="rId1830" Type="http://schemas.openxmlformats.org/officeDocument/2006/relationships/hyperlink" Target="https://ecf.flmd.uscourts.gov/cgi-bin/show_public_doc?2025-00120-37-8-cv" TargetMode="External"/><Relationship Id="rId1928" Type="http://schemas.openxmlformats.org/officeDocument/2006/relationships/hyperlink" Target="https://cases.justia.com/federal/district-courts/california/caedce/1:2025cv00789/467494/25/0.pdf?ts=1773524860" TargetMode="External"/><Relationship Id="rId2092" Type="http://schemas.openxmlformats.org/officeDocument/2006/relationships/hyperlink" Target="https://public.fastcase.com/J%2FJP6pdidelsXxEE4k%2BLMmkKAOu2og4RFw84MS%2B8ggk3sjpW8vutPxLex2RgGn%2Bt2Jik%2FeX8PJts3C%2F6Q%2Fo%2BG%2BiayCxJf82VEENSX79a%2FfU%3D?utm_medium=email&amp;_hsmi=226712652&amp;_hsenc=p2ANqtz-9IQANQQw8c4G50juoB1YOeI9PRU9K182hoTYcfz0uXjPfI5SdzNRjzRb60ER6nqwMSPaZSSyOzlxBsxtCZ7kFqJFFA4g&amp;utm_content=226712652&amp;utm_source=hs_email" TargetMode="External"/><Relationship Id="rId271" Type="http://schemas.openxmlformats.org/officeDocument/2006/relationships/hyperlink" Target="http://codes.ohio.gov/orc/2921.43" TargetMode="External"/><Relationship Id="rId2397" Type="http://schemas.openxmlformats.org/officeDocument/2006/relationships/hyperlink" Target="https://public.fastcase.com/Wl%2B2t%2BeVuI35%2FN70vAMFZkQk422sTW9%2BWIlpk%2BnE1B7e7DrNn16tDd9SfmLDmtL4" TargetMode="External"/><Relationship Id="rId131" Type="http://schemas.openxmlformats.org/officeDocument/2006/relationships/hyperlink" Target="https://www.supremecourt.gov/opinions/23pdf/22-982_bq7d.pdf" TargetMode="External"/><Relationship Id="rId369" Type="http://schemas.openxmlformats.org/officeDocument/2006/relationships/hyperlink" Target="https://ilcourtsaudio.blob.core.windows.net/antilles-resources/resources/865bbd6b-111a-42c0-93b7-0362e44b14c7/Carter%20v.%20Fox%20Lake%20Fire%20Protection%20District%202026%20IL%20App%20(2d)%20250374.pdf" TargetMode="External"/><Relationship Id="rId576" Type="http://schemas.openxmlformats.org/officeDocument/2006/relationships/hyperlink" Target="https://www.kansascity.com/news/politics-government/article231974862.html" TargetMode="External"/><Relationship Id="rId783" Type="http://schemas.openxmlformats.org/officeDocument/2006/relationships/hyperlink" Target="http://www.ca2.uscourts.gov/decisions/isysquery/d136f88b-cd40-4720-ac80-979ab5d9e37d/2/doc/18-943_opn.pdf" TargetMode="External"/><Relationship Id="rId990" Type="http://schemas.openxmlformats.org/officeDocument/2006/relationships/hyperlink" Target="https://ecf.ctd.uscourts.gov/cgi-bin/show_public_doc?2025cv0824-74" TargetMode="External"/><Relationship Id="rId2257" Type="http://schemas.openxmlformats.org/officeDocument/2006/relationships/hyperlink" Target="https://www.pennlive.com/news/2020/04/split-pa-supreme-court-rejects-latest-challenge-to-gov-wolfs-coronavirus-business-shutdown-order.html" TargetMode="External"/><Relationship Id="rId2464" Type="http://schemas.openxmlformats.org/officeDocument/2006/relationships/hyperlink" Target="https://cases.justia.com/indiana/court-of-appeals/2025-24a-pl-02646.pdf?ts=1752863306" TargetMode="External"/><Relationship Id="rId2671" Type="http://schemas.openxmlformats.org/officeDocument/2006/relationships/hyperlink" Target="https://www.usatoday.com/story/news/nation/2014/11/23/florida-deputy-ambush-killed-identified/19446091/" TargetMode="External"/><Relationship Id="rId229" Type="http://schemas.openxmlformats.org/officeDocument/2006/relationships/hyperlink" Target="https://www.mainelegislature.org/legis/statutes/17/title17sec2851.html" TargetMode="External"/><Relationship Id="rId436" Type="http://schemas.openxmlformats.org/officeDocument/2006/relationships/hyperlink" Target="https://cases.justia.com/kentucky/supreme-court/2024-2023-sc-0062-dg.pdf?ts=1729778750" TargetMode="External"/><Relationship Id="rId643" Type="http://schemas.openxmlformats.org/officeDocument/2006/relationships/hyperlink" Target="https://www.youtube.com/watch?v=DMC7Ntd4d4c" TargetMode="External"/><Relationship Id="rId1066" Type="http://schemas.openxmlformats.org/officeDocument/2006/relationships/hyperlink" Target="https://casetext.com/case/marion-cnty-fire-dist-1-v-smith-in-re-smith" TargetMode="External"/><Relationship Id="rId1273" Type="http://schemas.openxmlformats.org/officeDocument/2006/relationships/hyperlink" Target="http://tkolb.net/firereports/presumptionreport2009.pdf" TargetMode="External"/><Relationship Id="rId1480" Type="http://schemas.openxmlformats.org/officeDocument/2006/relationships/hyperlink" Target="https://fedsoc.org/commentary/fedsoc-blog/lawsuits-challenge-law-firm-diversity-programs-as-racially-discriminatory" TargetMode="External"/><Relationship Id="rId2117" Type="http://schemas.openxmlformats.org/officeDocument/2006/relationships/hyperlink" Target="https://law.justia.com/cases/california/court-of-appeal/2022/a162508.html" TargetMode="External"/><Relationship Id="rId2324" Type="http://schemas.openxmlformats.org/officeDocument/2006/relationships/hyperlink" Target="http://www.supremecourt.ohio.gov/rod/docs/pdf/2/2018/2018-ohio-512.pdf" TargetMode="External"/><Relationship Id="rId2769" Type="http://schemas.openxmlformats.org/officeDocument/2006/relationships/hyperlink" Target="https://www.watertowndailytimes.com/news03/lawyer-fees-for-watertown-fire-department-dispute-nearing-800000-20190207" TargetMode="External"/><Relationship Id="rId850" Type="http://schemas.openxmlformats.org/officeDocument/2006/relationships/hyperlink" Target="https://casetext.com/case/gross-v-fbl-fin-servs-inc-3" TargetMode="External"/><Relationship Id="rId948" Type="http://schemas.openxmlformats.org/officeDocument/2006/relationships/hyperlink" Target="https://codes.ohio.gov/ohio-revised-code/section-4511.991" TargetMode="External"/><Relationship Id="rId1133" Type="http://schemas.openxmlformats.org/officeDocument/2006/relationships/hyperlink" Target="https://www.opn.ca6.uscourts.gov/opinions.pdf/21a0204p-06.pdf" TargetMode="External"/><Relationship Id="rId1578" Type="http://schemas.openxmlformats.org/officeDocument/2006/relationships/hyperlink" Target="https://www4.courts.ca.gov/opinions/nonpub/B332558.PDF" TargetMode="External"/><Relationship Id="rId1785" Type="http://schemas.openxmlformats.org/officeDocument/2006/relationships/hyperlink" Target="https://cdn.ymaws.com/www.roa.org/resource/resmgr/LawReviews/2016/16065-LR.pdf" TargetMode="External"/><Relationship Id="rId1992" Type="http://schemas.openxmlformats.org/officeDocument/2006/relationships/hyperlink" Target="https://www.njcourts.gov/system/files/court-opinions/2024/a2968-22.pdf" TargetMode="External"/><Relationship Id="rId2531" Type="http://schemas.openxmlformats.org/officeDocument/2006/relationships/hyperlink" Target="https://public.fastcase.com/ZZhmr5v9wN%2FXOe5IsQ%2FqD%2FO0LT6Pz0KJcARt671qvqgQi3DbocRDtQ4betl84jRGTGzfHSJMEalmGTdX9780fy05zDa4clbi%2BS%2BLkJBZYf4%3D?utm_medium=email&amp;_hsmi=226712652&amp;_hsenc=p2ANqtz-9l-n7ipvtzcORFmZd03PYol8SHQvcVi0Z6evQ7ScfpqYiZ21zByukFjNZtNWzEIrK0lXEwA0RlErFoyPgnUEJbLhoGpw&amp;utm_content=226712652&amp;utm_source=hs_email" TargetMode="External"/><Relationship Id="rId2629" Type="http://schemas.openxmlformats.org/officeDocument/2006/relationships/hyperlink" Target="https://public.fastcase.com/Wl%2B2t%2BeVuI35%2FN70vAMFZp9w48IhR7rqnPPjn28%2FbaO7JZNoqz%2Fb8m3w7iUI6Fbj" TargetMode="External"/><Relationship Id="rId77" Type="http://schemas.openxmlformats.org/officeDocument/2006/relationships/hyperlink" Target="https://supreme.justia.com/cases/federal/us/360/264/" TargetMode="External"/><Relationship Id="rId503" Type="http://schemas.openxmlformats.org/officeDocument/2006/relationships/hyperlink" Target="https://www.delawareonline.com/story/news/local/2016/12/01/ardythe-hope-firefighter-injured-canby-park-blaze-dies/94758432/" TargetMode="External"/><Relationship Id="rId710" Type="http://schemas.openxmlformats.org/officeDocument/2006/relationships/hyperlink" Target="https://www.lasc.org/opinions/2022/21-0929.CQ.OPN.pdf" TargetMode="External"/><Relationship Id="rId808" Type="http://schemas.openxmlformats.org/officeDocument/2006/relationships/hyperlink" Target="http://www.ca2.uscourts.gov/decisions/isysquery/8c537d01-8133-4435-b4f6-e87aa585d8e4/1/doc/15-2181_opn_2.pdf" TargetMode="External"/><Relationship Id="rId1340" Type="http://schemas.openxmlformats.org/officeDocument/2006/relationships/hyperlink" Target="https://www.dol.gov/agencies/whd/fact-sheets/73-flsa-break-time-nursing-mothers" TargetMode="External"/><Relationship Id="rId1438" Type="http://schemas.openxmlformats.org/officeDocument/2006/relationships/hyperlink" Target="https://storage.courtlistener.com/recap/gov.uscourts.moed.198347/gov.uscourts.moed.198347.70.0.pdf" TargetMode="External"/><Relationship Id="rId1645" Type="http://schemas.openxmlformats.org/officeDocument/2006/relationships/hyperlink" Target="https://public.fastcase.com/Wl%2B2t%2BeVuI35%2FN70vAMFZkkc03nKI8qkpSJ%2FzmzLggswfoR1RvbDETmM60pPGUhc" TargetMode="External"/><Relationship Id="rId8" Type="http://schemas.openxmlformats.org/officeDocument/2006/relationships/hyperlink" Target="https://doi.org/10.7945/j6c2-q930" TargetMode="External"/><Relationship Id="rId142" Type="http://schemas.openxmlformats.org/officeDocument/2006/relationships/hyperlink" Target="https://cases.justia.com/federal/district-courts/illinois/ilndce/1:2020cv06720/393181/97/0.pdf?ts=1706261425" TargetMode="External"/><Relationship Id="rId447" Type="http://schemas.openxmlformats.org/officeDocument/2006/relationships/hyperlink" Target="https://cases.justia.com/kentucky/court-of-appeals/2024-2023-ca-0968-mr.pdf?ts=1724421865" TargetMode="External"/><Relationship Id="rId794" Type="http://schemas.openxmlformats.org/officeDocument/2006/relationships/hyperlink" Target="https://www.foxnews.com/politics/doj-asks-supreme-court-to-allow-enforcement-of-trumps-immigration-asylum-restrictions" TargetMode="External"/><Relationship Id="rId1077" Type="http://schemas.openxmlformats.org/officeDocument/2006/relationships/hyperlink" Target="https://rilawyersweekly.com/blog/2023/07/05/retired-providence-firefighters-not-barred-from-cancer-benefits/" TargetMode="External"/><Relationship Id="rId1200" Type="http://schemas.openxmlformats.org/officeDocument/2006/relationships/hyperlink" Target="http://codes.ohio.gov/orc/4113.52" TargetMode="External"/><Relationship Id="rId1852" Type="http://schemas.openxmlformats.org/officeDocument/2006/relationships/hyperlink" Target="https://casetext.com/statute/montana-code/title-2-government-structure-and-administration/chapter-4-administrative-procedure-act/part-6-contested-cases/section-2-4-621-when-absent-members-render-decision-proposal-for-decision-and-opportunity-to-submit-findings-and-conclusions-modification-by-agency" TargetMode="External"/><Relationship Id="rId2030" Type="http://schemas.openxmlformats.org/officeDocument/2006/relationships/hyperlink" Target="https://www.cbsnews.com/colorado/news/aurora-colorado-paramedic-peter-cichuniec-sentenced-elijah-mcclain/" TargetMode="External"/><Relationship Id="rId2128" Type="http://schemas.openxmlformats.org/officeDocument/2006/relationships/hyperlink" Target="https://codes.ohio.gov/ohio-revised-code/section-4765.49" TargetMode="External"/><Relationship Id="rId2475" Type="http://schemas.openxmlformats.org/officeDocument/2006/relationships/hyperlink" Target="https://timeero.com/resources-page/employee-gps-tracking-laws" TargetMode="External"/><Relationship Id="rId2682" Type="http://schemas.openxmlformats.org/officeDocument/2006/relationships/hyperlink" Target="https://www.qcnews.com/charlotte/court-sides-with-char-meck-fop-in-cmpd-employee-defamation-case/" TargetMode="External"/><Relationship Id="rId654" Type="http://schemas.openxmlformats.org/officeDocument/2006/relationships/hyperlink" Target="https://krcrtv.com/news/local/long-awaited-settlement-conference-in-fawn-fire-arson-case-brings-hope-to-victims" TargetMode="External"/><Relationship Id="rId861" Type="http://schemas.openxmlformats.org/officeDocument/2006/relationships/hyperlink" Target="http://apps.azleg.gov/BillStatus/BillOverview/76770?SessionId=125" TargetMode="External"/><Relationship Id="rId959" Type="http://schemas.openxmlformats.org/officeDocument/2006/relationships/hyperlink" Target="https://www.zanesvilletimesrecorder.com/story/news/local/2016/12/17/two-dead-after-ambulance-rollover/95557626/" TargetMode="External"/><Relationship Id="rId1284" Type="http://schemas.openxmlformats.org/officeDocument/2006/relationships/hyperlink" Target="https://cases.justia.com/federal/district-courts/connecticut/ctdce/3:2025cv00524/164327/45/0.pdf?ts=1773222843" TargetMode="External"/><Relationship Id="rId1491" Type="http://schemas.openxmlformats.org/officeDocument/2006/relationships/hyperlink" Target="https://public.fastcase.com/ZZhmr5v9wN%2FXOe5IsQ%2FqDz1M0c7XntbkBFAKdHDge9e%2F8CSFXEi88W%2FVfdIRS4Pi97nH6Fo0Jpcpv2L%2BsFvZPbsE0qA7KMgQlRndt4L6foA%3D?utm_medium=email&amp;_hsmi=226712652&amp;_hsenc=p2ANqtz--PxjvF13xKDxQ7J7F-ifitmDmVZpuVXf36_4emKUQzFhwmn1WPofSx1ry4m9mCDedrl6XMHnLVa4UU0oKcRVjso9raZQ&amp;utm_content=226712652&amp;utm_source=hs_email" TargetMode="External"/><Relationship Id="rId1505" Type="http://schemas.openxmlformats.org/officeDocument/2006/relationships/hyperlink" Target="https://www.masslive.com/news/2018/05/springfield_city_council_appro_79.html" TargetMode="External"/><Relationship Id="rId1589" Type="http://schemas.openxmlformats.org/officeDocument/2006/relationships/hyperlink" Target="https://www.mspb.gov/decisions/nonprecedential/Remillard_MauricePH-0752-20-0259-I-1_Final_Order.pdf" TargetMode="External"/><Relationship Id="rId1712" Type="http://schemas.openxmlformats.org/officeDocument/2006/relationships/hyperlink" Target="https://media.ca11.uscourts.gov/opinions/pub/files/202211322.pdf" TargetMode="External"/><Relationship Id="rId2335" Type="http://schemas.openxmlformats.org/officeDocument/2006/relationships/hyperlink" Target="https://cases.justia.com/new-york/other-courts/2025-2025-ny-slip-op-33910-u.pdf?ts=1761341305" TargetMode="External"/><Relationship Id="rId2542" Type="http://schemas.openxmlformats.org/officeDocument/2006/relationships/hyperlink" Target="https://abc7ny.com/newark-firefighters-firefighter-arrest-gunfire/1228031/" TargetMode="External"/><Relationship Id="rId293" Type="http://schemas.openxmlformats.org/officeDocument/2006/relationships/hyperlink" Target="https://www.courts.state.md.us/sites/default/files/unreported-opinions/0614s19.pdf" TargetMode="External"/><Relationship Id="rId307" Type="http://schemas.openxmlformats.org/officeDocument/2006/relationships/hyperlink" Target="https://www.courtlistener.com/opinion/4747432/cid-torrez-v-state-of-florida/" TargetMode="External"/><Relationship Id="rId514" Type="http://schemas.openxmlformats.org/officeDocument/2006/relationships/hyperlink" Target="https://law.justia.com/cases/indiana/court-of-appeals/2022/21a-dn-01379.html" TargetMode="External"/><Relationship Id="rId721" Type="http://schemas.openxmlformats.org/officeDocument/2006/relationships/hyperlink" Target="https://www.thestate.com/news/local/crime/article253733108.html" TargetMode="External"/><Relationship Id="rId1144" Type="http://schemas.openxmlformats.org/officeDocument/2006/relationships/hyperlink" Target="https://njcourts.gov/attorneys/assets/opinions/appellate/unpublished/a4070-18.pdf" TargetMode="External"/><Relationship Id="rId1351" Type="http://schemas.openxmlformats.org/officeDocument/2006/relationships/hyperlink" Target="https://public.fastcase.com/J%2FJP6pdidelsXxEE4k%2BLMiptlpkB0gZD0zq9ZoOKNJuhacmaRfGRvhQDw8Dzjp093sUgUkI4CwYYkhqoix%2B0P6g4YOgoDnx2kMnRYwj%2FWdA%3D" TargetMode="External"/><Relationship Id="rId1449" Type="http://schemas.openxmlformats.org/officeDocument/2006/relationships/hyperlink" Target="https://www.wlwt.com/article/cincinnati-childrens-investigation-scholarships-minorities/64180173" TargetMode="External"/><Relationship Id="rId1796" Type="http://schemas.openxmlformats.org/officeDocument/2006/relationships/hyperlink" Target="https://law.justia.com/cases/federal/appellate-courts/ca8/19-1414/19-1414-2020-08-17.html" TargetMode="External"/><Relationship Id="rId2181" Type="http://schemas.openxmlformats.org/officeDocument/2006/relationships/hyperlink" Target="https://www.supremecourt.gov/opinions/20pdf/20-18_cb7d.pdf" TargetMode="External"/><Relationship Id="rId2402" Type="http://schemas.openxmlformats.org/officeDocument/2006/relationships/hyperlink" Target="https://jgpr.net/wp-content/uploads/2020/04/433-MSJ-Order.pdf" TargetMode="External"/><Relationship Id="rId88" Type="http://schemas.openxmlformats.org/officeDocument/2006/relationships/hyperlink" Target="https://casetext.com/statute/united-states-code/title-18-crimes-and-criminal-procedure/part-i-crimes/chapter-40-importation-manufacture-distribution-and-storage-of-explosive-materials/section-844-penalties" TargetMode="External"/><Relationship Id="rId153" Type="http://schemas.openxmlformats.org/officeDocument/2006/relationships/hyperlink" Target="https://cases.justia.com/federal/appellate-courts/ca9/22-16236/22-16236-2023-09-29.pdf?ts=1696005037" TargetMode="External"/><Relationship Id="rId360" Type="http://schemas.openxmlformats.org/officeDocument/2006/relationships/hyperlink" Target="https://cases.justia.com/federal/district-courts/new-york/nyedce/2:2017cv03480/402865/37/0.pdf?ts=1528277681" TargetMode="External"/><Relationship Id="rId598" Type="http://schemas.openxmlformats.org/officeDocument/2006/relationships/hyperlink" Target="https://d.docs.live.net/bd9b2eaf6053242e/AppData/Roaming/Microsoft/AppData/Local/Microsoft/Windows/INetCache/IE/XO250S7T/15-70040-CV0.pdf" TargetMode="External"/><Relationship Id="rId819" Type="http://schemas.openxmlformats.org/officeDocument/2006/relationships/hyperlink" Target="https://app.midpage.ai/document/pierre-grenier-v-city-of-11209117?refG=true" TargetMode="External"/><Relationship Id="rId1004" Type="http://schemas.openxmlformats.org/officeDocument/2006/relationships/hyperlink" Target="https://www.courts.state.md.us/sites/default/files/unreported-opinions/1098s22.pdf" TargetMode="External"/><Relationship Id="rId1211" Type="http://schemas.openxmlformats.org/officeDocument/2006/relationships/hyperlink" Target="http://app.leg.wa.gov/RCW/default.aspx?cite=41.26.030" TargetMode="External"/><Relationship Id="rId1656" Type="http://schemas.openxmlformats.org/officeDocument/2006/relationships/hyperlink" Target="https://www.verywellmind.com/rates-of-ptsd-in-firefighters-2797428" TargetMode="External"/><Relationship Id="rId1863" Type="http://schemas.openxmlformats.org/officeDocument/2006/relationships/hyperlink" Target="https://www.ca2.uscourts.gov/decisions/isysquery/8c1d712c-7872-4b25-a064-fe1fbb801f2a/1/doc/22-110_complete_opn.pdf" TargetMode="External"/><Relationship Id="rId2041" Type="http://schemas.openxmlformats.org/officeDocument/2006/relationships/hyperlink" Target="https://casetext.com/case/gutzalenko-v-city-of-richmond" TargetMode="External"/><Relationship Id="rId2279" Type="http://schemas.openxmlformats.org/officeDocument/2006/relationships/hyperlink" Target="https://assets.documentcloud.org/documents/3933644/Order-Granting-Summary-Judgment.pdf" TargetMode="External"/><Relationship Id="rId2486" Type="http://schemas.openxmlformats.org/officeDocument/2006/relationships/hyperlink" Target="https://cases.justia.com/utah/court-of-appeals-published/2024-20220074-ca.pdf?ts=172806708" TargetMode="External"/><Relationship Id="rId2693" Type="http://schemas.openxmlformats.org/officeDocument/2006/relationships/hyperlink" Target="https://public.fastcase.com/jaEE2PXzRXmZ99jOLMt1IpPvzvvllZ7Rrt4VKwyGVntYyQb9IRuNiNqVshy4%2Bl2z%2BsY6VEZuB3eEVHjKlzOdk%2FP8W50g7Bl84BsJ%2BT14tOs%3D?utm_medium=email&amp;_hsenc=p2ANqtz-8_cjXUjI5LfLOi5ALG6MFLDFJJrn3rZsNciOMXnsNsHK54iflcoWeqPuq6ELEpSWLnjpVW4QqFeFKVqziKDzXrD-fT4Q&amp;_hsmi=226712652&amp;utm_content=226712652&amp;utm_source=hs_email" TargetMode="External"/><Relationship Id="rId2707" Type="http://schemas.openxmlformats.org/officeDocument/2006/relationships/hyperlink" Target="https://casetext.com/case/youngstown-profl-firefighters-iaff-local-312-v-city-of-youngstown" TargetMode="External"/><Relationship Id="rId220" Type="http://schemas.openxmlformats.org/officeDocument/2006/relationships/hyperlink" Target="https://www.supremecourt.gov/opinions/21pdf/21a244_hgci.pdf" TargetMode="External"/><Relationship Id="rId458" Type="http://schemas.openxmlformats.org/officeDocument/2006/relationships/hyperlink" Target="https://public.fastcase.com/H1P9uiW3J20SFp%2BGCG%2BxLYPdFYBU6rXmSQ%2By5I06IYNauAow%2BFD183wwpB9seHw0huG9jZnFzDNjvlfgYqLRMXl7VVMzVdIElYOfNiWEhG4%3D?utm_medium=email&amp;_hsmi=226712652&amp;_hsenc=p2ANqtz-9dIeusfdAjuYcHWZc-tZCt-VYwNMyt2XrZBQ64qnpV1yAnhv8veUFYKRs_yaW_VBF9gsQcut_JaRzapEXH-rHIPbxEPQ&amp;utm_content=226712652&amp;utm_source=hs_email" TargetMode="External"/><Relationship Id="rId665" Type="http://schemas.openxmlformats.org/officeDocument/2006/relationships/hyperlink" Target="https://www.supremecourt.gov/opinions/23pdf/22-1178_p8k0.pdf" TargetMode="External"/><Relationship Id="rId872" Type="http://schemas.openxmlformats.org/officeDocument/2006/relationships/hyperlink" Target="https://cdn.ca9.uscourts.gov/datastore/opinions/2021/12/17/20-35868.pdf" TargetMode="External"/><Relationship Id="rId1088" Type="http://schemas.openxmlformats.org/officeDocument/2006/relationships/hyperlink" Target="https://public.fastcase.com/J%2FJP6pdidelsXxEE4k%2BLMk0xZflerRl5zZ1fWOEI5mhvpVlhWjp%2F9QDqlOI9DDnF8Aa9%2BfFIJaxfznSW2LItCr2%2FIZnHCYIIWW3H5dl8900%3D?utm_medium=email&amp;_hsmi=226712652&amp;_hsenc=p2ANqtz-9FKeS83U96VoJDZ5OFHU1pICbtYjQvhKtRkoV1KLCJmMon6gHAySjMj0YQylycLU_jnNetJR4aMTbAa4E7Rm7YwE3nmg&amp;utm_content=226712652&amp;utm_source=hs_email" TargetMode="External"/><Relationship Id="rId1295" Type="http://schemas.openxmlformats.org/officeDocument/2006/relationships/hyperlink" Target="https://www.supremecourt.gov/opinions/24pdf/23-1039_c0n2.pdf" TargetMode="External"/><Relationship Id="rId1309" Type="http://schemas.openxmlformats.org/officeDocument/2006/relationships/hyperlink" Target="https://codes.ohio.gov/ohio-revised-code/section-4113.71" TargetMode="External"/><Relationship Id="rId1516" Type="http://schemas.openxmlformats.org/officeDocument/2006/relationships/hyperlink" Target="https://public.fastcase.com/9SKwsfNqTc6OieYDhNMyMxPWhQYM2NMtpEG66qqzAJJdyGEqs31WbWeslV8WX8U%2F%2BJtRUyjyQVulPfpekvhmAP57MQmPUZf7QhfjsZd5wHk%3D" TargetMode="External"/><Relationship Id="rId1723" Type="http://schemas.openxmlformats.org/officeDocument/2006/relationships/hyperlink" Target="https://www.dol.gov/whd/state/state.htm" TargetMode="External"/><Relationship Id="rId1930" Type="http://schemas.openxmlformats.org/officeDocument/2006/relationships/hyperlink" Target="https://cases.justia.com/texas/thirteenth-court-of-appeals/2026-13-25-00099-cv.pdf?ts=1772125541" TargetMode="External"/><Relationship Id="rId2139" Type="http://schemas.openxmlformats.org/officeDocument/2006/relationships/hyperlink" Target="https://casetext.com/case/sutton-v-rockingham-cnty" TargetMode="External"/><Relationship Id="rId2346" Type="http://schemas.openxmlformats.org/officeDocument/2006/relationships/hyperlink" Target="https://cases.justia.com/arizona/court-of-appeals-division-one-unpublished/2024-1-ca-ic-23-0013.pdf?ts=1727375455" TargetMode="External"/><Relationship Id="rId2553" Type="http://schemas.openxmlformats.org/officeDocument/2006/relationships/hyperlink" Target="https://public.fastcase.com/J%2FJP6pdidelsXxEE4k%2BLMjmPooMwsB33SF6fQbdKtm0G0C1GTVTWTSbOoR0BGdHWdmqT3nxx5N34mFb%2FQIY0wnFPK7Gz1IkNE53DDevS6vE%3D?utm_medium=email&amp;_hsmi=226712652&amp;_hsenc=p2ANqtz--MKBV4Y804r56tzWY_uVAuJIZ65L25irdtNU6ZdfUrAAPtscNAIDyxYykxQ2RxJby9_Fy5S6I1PNXJg84F7LwVp6Ejlw&amp;utm_content=226712652&amp;utm_source=hs_email" TargetMode="External"/><Relationship Id="rId2760" Type="http://schemas.openxmlformats.org/officeDocument/2006/relationships/hyperlink" Target="https://www.wdel.com/news/wilmington-firefighters-union-wins-chancery-court-appeal-in-battle-over-shift-change/article_9402edda-d9b1-11eb-909c-07bcb0bff090.html" TargetMode="External"/><Relationship Id="rId15" Type="http://schemas.openxmlformats.org/officeDocument/2006/relationships/hyperlink" Target="https://doi.org/10.7945/av8d-c920" TargetMode="External"/><Relationship Id="rId318" Type="http://schemas.openxmlformats.org/officeDocument/2006/relationships/hyperlink" Target="https://www.courts.wa.gov/opinions/pdf/953961.pdf" TargetMode="External"/><Relationship Id="rId525" Type="http://schemas.openxmlformats.org/officeDocument/2006/relationships/hyperlink" Target="https://www.953mnc.com/2021/07/19/iu-wins-court-case-can-proceed-with-covid-19-vaccine-requirement/" TargetMode="External"/><Relationship Id="rId732" Type="http://schemas.openxmlformats.org/officeDocument/2006/relationships/hyperlink" Target="https://www.cincinnati.com/story/news/2019/08/05/how-dayton-shooting-happened-maps-video-and-graphics/1923063001/" TargetMode="External"/><Relationship Id="rId1155" Type="http://schemas.openxmlformats.org/officeDocument/2006/relationships/hyperlink" Target="https://www.lasc.org/Opinions/2021/20-0693.C.OPN.pdf" TargetMode="External"/><Relationship Id="rId1362" Type="http://schemas.openxmlformats.org/officeDocument/2006/relationships/hyperlink" Target="https://www.natlawreview.com/article/congress-votes-to-end-mandatory-arbitration-sexual-assault-and-sexual-harassment" TargetMode="External"/><Relationship Id="rId2192" Type="http://schemas.openxmlformats.org/officeDocument/2006/relationships/hyperlink" Target="http://codes.ohio.gov/oac/4765-9-01" TargetMode="External"/><Relationship Id="rId2206" Type="http://schemas.openxmlformats.org/officeDocument/2006/relationships/hyperlink" Target="https://casetext.com/case/county-of-sacramento-v-lewis" TargetMode="External"/><Relationship Id="rId2413" Type="http://schemas.openxmlformats.org/officeDocument/2006/relationships/hyperlink" Target="https://cases.justia.com/louisiana/fourth-circuit-court-of-appeal/2026-2025-ca-0639-0.pdf?ts=1777519082" TargetMode="External"/><Relationship Id="rId2620" Type="http://schemas.openxmlformats.org/officeDocument/2006/relationships/hyperlink" Target="https://public.fastcase.com/Wl%2B2t%2BeVuI35%2FN70vAMFZoCDqhYmNsbFLjWVRK8omsgUzbu2OUiVNTenINejQyEj" TargetMode="External"/><Relationship Id="rId99" Type="http://schemas.openxmlformats.org/officeDocument/2006/relationships/hyperlink" Target="https://caselaw.findlaw.com/court/az-court-of-appeals/116575227.html" TargetMode="External"/><Relationship Id="rId164" Type="http://schemas.openxmlformats.org/officeDocument/2006/relationships/hyperlink" Target="https://www.carolinajournal.com/federal-appeals-court-throws-out-conviction-for-burning-of-federal-nantahala-forest/" TargetMode="External"/><Relationship Id="rId371" Type="http://schemas.openxmlformats.org/officeDocument/2006/relationships/hyperlink" Target="https://www.newsbreak.com/news-12-2283883/4553774051867-today-is-the-fifth-anniversary-of-a-rockland-county-fire-that-killed-two-including-a-local-firefighter" TargetMode="External"/><Relationship Id="rId1015" Type="http://schemas.openxmlformats.org/officeDocument/2006/relationships/hyperlink" Target="https://cases.justia.com/kentucky/court-of-appeals/2025-2024-ca-0152-mr.pdf?ts=1748009113" TargetMode="External"/><Relationship Id="rId1222" Type="http://schemas.openxmlformats.org/officeDocument/2006/relationships/hyperlink" Target="http://41af3k34gprx4f6bg12df75i.wpengine.netdna-cdn.com/wp-content/uploads/sites/19/2020/05/Hartman-v.-St.-Bernard-Parish-Fire-Dep_t_-2020-La.-App.pdf" TargetMode="External"/><Relationship Id="rId1667" Type="http://schemas.openxmlformats.org/officeDocument/2006/relationships/hyperlink" Target="https://www.dol.gov/agencies/whd/fmla" TargetMode="External"/><Relationship Id="rId1874" Type="http://schemas.openxmlformats.org/officeDocument/2006/relationships/hyperlink" Target="https://public.fastcase.com/J%2FJP6pdidelsXxEE4k%2BLMm7PttKNvW62%2BDA0%2BSJrBHAICFIaFusuxX5Jb%2BuxRPK6Bzlob%2BslGSm9QeXJwFgRUwDQqdPl09RLYbpqdskqtWk%3D" TargetMode="External"/><Relationship Id="rId2052" Type="http://schemas.openxmlformats.org/officeDocument/2006/relationships/hyperlink" Target="https://www.courts.maine.gov/courts/sjc/lawcourt/2024/24me012.pdf" TargetMode="External"/><Relationship Id="rId2497" Type="http://schemas.openxmlformats.org/officeDocument/2006/relationships/hyperlink" Target="https://www.courts.nh.gov/sites/g/files/ehbemt471/files/documents/2024-03/20230083stone.pdf" TargetMode="External"/><Relationship Id="rId2718" Type="http://schemas.openxmlformats.org/officeDocument/2006/relationships/hyperlink" Target="http://media.ca1.uscourts.gov/pdf.opinions/22-1320U-01A.pdf" TargetMode="External"/><Relationship Id="rId469" Type="http://schemas.openxmlformats.org/officeDocument/2006/relationships/hyperlink" Target="https://casetext.com/case/malone-v-jacobs" TargetMode="External"/><Relationship Id="rId676" Type="http://schemas.openxmlformats.org/officeDocument/2006/relationships/hyperlink" Target="https://www.kqed.org/news/11784042/inmates-saved-homes-in-the-kincade-fire-theyll-face-an-uphill-battle-getting-firefighting-jobs-after-release" TargetMode="External"/><Relationship Id="rId883" Type="http://schemas.openxmlformats.org/officeDocument/2006/relationships/hyperlink" Target="https://ad4.nycourts.gov/njs/term/argument/calendar?date=2021-05-27T00:00:00.000Z&amp;venue=1&amp;calnbr=633" TargetMode="External"/><Relationship Id="rId1099" Type="http://schemas.openxmlformats.org/officeDocument/2006/relationships/hyperlink" Target="https://ilcourtsaudio.blob.core.windows.net/antilles-resources/resources/afeb172a-b7f7-45e5-889d-a00b38f164df/City%20of%20East%20Peoria%20v.%20Melton,%202022%20IL%20App%20(4th)%20220281-U.pdf" TargetMode="External"/><Relationship Id="rId1527" Type="http://schemas.openxmlformats.org/officeDocument/2006/relationships/hyperlink" Target="https://patch.com/massachusetts/brookline/brookline-select-board-votes-appeal-gerald-alston-case" TargetMode="External"/><Relationship Id="rId1734" Type="http://schemas.openxmlformats.org/officeDocument/2006/relationships/hyperlink" Target="http://www.dol.gov/agencies/whd" TargetMode="External"/><Relationship Id="rId1941" Type="http://schemas.openxmlformats.org/officeDocument/2006/relationships/hyperlink" Target="https://cases.justia.com/federal/district-courts/utah/utdce/2:2025cv00111/154289/32/0.pdf?ts=1765634947" TargetMode="External"/><Relationship Id="rId2357" Type="http://schemas.openxmlformats.org/officeDocument/2006/relationships/hyperlink" Target="https://casetext.com/case/mendoza-v-the-city-of-new-york-3" TargetMode="External"/><Relationship Id="rId2564" Type="http://schemas.openxmlformats.org/officeDocument/2006/relationships/hyperlink" Target="https://iprospectcheck.com/ohio-background-check/" TargetMode="External"/><Relationship Id="rId26" Type="http://schemas.openxmlformats.org/officeDocument/2006/relationships/hyperlink" Target="https://public.fastcase.com/" TargetMode="External"/><Relationship Id="rId231" Type="http://schemas.openxmlformats.org/officeDocument/2006/relationships/hyperlink" Target="https://www.supremecourt.ohio.gov/rod/docs/pdf/1/2021/2021-Ohio-4003.pdf" TargetMode="External"/><Relationship Id="rId329" Type="http://schemas.openxmlformats.org/officeDocument/2006/relationships/hyperlink" Target="https://www.leagle.com/decision/iniaco20190517282" TargetMode="External"/><Relationship Id="rId536" Type="http://schemas.openxmlformats.org/officeDocument/2006/relationships/hyperlink" Target="https://www.leagle.com/decision/inmico20201120334" TargetMode="External"/><Relationship Id="rId1166" Type="http://schemas.openxmlformats.org/officeDocument/2006/relationships/hyperlink" Target="https://www.supremecourt.ohio.gov/rod/docs/pdf/0/2020/2020-Ohio-1047.pdf" TargetMode="External"/><Relationship Id="rId1373" Type="http://schemas.openxmlformats.org/officeDocument/2006/relationships/hyperlink" Target="https://www.leagle.com/decision/infdco20210812991" TargetMode="External"/><Relationship Id="rId2217" Type="http://schemas.openxmlformats.org/officeDocument/2006/relationships/hyperlink" Target="https://waysandmeans.house.gov/sites/democrats.waysandmeans.house.gov/files/documents/Ways%20and%20Means%20Surprise%20Billing%20Summary_02%2006%2020%20(final).pdf" TargetMode="External"/><Relationship Id="rId2771" Type="http://schemas.openxmlformats.org/officeDocument/2006/relationships/hyperlink" Target="https://www.supremecourt.gov/opinions/17pdf/16-285_q8l1.pdf" TargetMode="External"/><Relationship Id="rId175" Type="http://schemas.openxmlformats.org/officeDocument/2006/relationships/hyperlink" Target="https://www.supremecourt.gov/opinions/22pdf/21-1158_p8k0.pdf" TargetMode="External"/><Relationship Id="rId743" Type="http://schemas.openxmlformats.org/officeDocument/2006/relationships/hyperlink" Target="https://www.law.cornell.edu/uscode/text/8/1229b" TargetMode="External"/><Relationship Id="rId950" Type="http://schemas.openxmlformats.org/officeDocument/2006/relationships/hyperlink" Target="https://law.justia.com/cases/virginia/court-of-appeals-unpublished/2022/0124-21-3.html" TargetMode="External"/><Relationship Id="rId1026" Type="http://schemas.openxmlformats.org/officeDocument/2006/relationships/hyperlink" Target="https://cases.justia.com/arizona/supreme-court/2025-cv-23-0211-pr.pdf?ts=1743008459" TargetMode="External"/><Relationship Id="rId1580" Type="http://schemas.openxmlformats.org/officeDocument/2006/relationships/hyperlink" Target="https://cases.justia.com/federal/appellate-courts/ca11/24-12910/24-12910-2025-06-23.pdf?ts=1750690858" TargetMode="External"/><Relationship Id="rId1678" Type="http://schemas.openxmlformats.org/officeDocument/2006/relationships/hyperlink" Target="https://cases.justia.com/california/court-of-appeal/2026-f089576.pdf?ts=1776802194" TargetMode="External"/><Relationship Id="rId1801" Type="http://schemas.openxmlformats.org/officeDocument/2006/relationships/hyperlink" Target="https://www.law.cornell.edu/cfr/text/29/553.201" TargetMode="External"/><Relationship Id="rId1885" Type="http://schemas.openxmlformats.org/officeDocument/2006/relationships/hyperlink" Target="https://www.npr.org/2021/11/09/1054000996/oklahoma-supreme-court-465-million-opioid-ruling" TargetMode="External"/><Relationship Id="rId2424" Type="http://schemas.openxmlformats.org/officeDocument/2006/relationships/hyperlink" Target="https://cases.justia.com/texas/thirteenth-court-of-appeals/2026-13-24-00112-cv.pdf?ts=1770913029" TargetMode="External"/><Relationship Id="rId2631" Type="http://schemas.openxmlformats.org/officeDocument/2006/relationships/hyperlink" Target="https://cases.justia.com/utah/court-of-appeals-published/2017-20160099-ca.pdf?ts=1512166432" TargetMode="External"/><Relationship Id="rId2729" Type="http://schemas.openxmlformats.org/officeDocument/2006/relationships/hyperlink" Target="http://www.lanermuchin.com/assets/htmldocuments/Board%20Decision-%20Baylor.pdf" TargetMode="External"/><Relationship Id="rId382" Type="http://schemas.openxmlformats.org/officeDocument/2006/relationships/hyperlink" Target="https://cases.justia.com/federal/district-courts/georgia/gasdce/2:2024cv00049/96644/96/0.pdf?ts=1771001361" TargetMode="External"/><Relationship Id="rId603" Type="http://schemas.openxmlformats.org/officeDocument/2006/relationships/hyperlink" Target="https://public.fastcase.com/Jhe1Qn%2BmJndQYQU6z%2FeNm525CuDWbNdyVkYCPMsZ0T5YpmzSSkpneXijYslIbSF5OmudrAoxw3Ae8PMhEMNZsP67fNH%2FZ%2FwnrBtLVmm5SAU%3D?utm_medium=email&amp;_hsenc=p2ANqtz-9semzM2ZQJ5MEhp_UWNRAg9Ejc_wupFqaRucLy6fQyzUPCHHSZ-OwHACqIjxggJtdwV9jTjO8a6Rf4TL88Oco6y4mJgQ&amp;_hsmi=226712652&amp;utm_content=226712652&amp;utm_source=hs_email" TargetMode="External"/><Relationship Id="rId687" Type="http://schemas.openxmlformats.org/officeDocument/2006/relationships/hyperlink" Target="https://casetext.com/case/baarbe-v-the-syrian-arab-republic" TargetMode="External"/><Relationship Id="rId810" Type="http://schemas.openxmlformats.org/officeDocument/2006/relationships/hyperlink" Target="http://www.paed.uscourts.gov/documents/opinions/18D0391P.pdf" TargetMode="External"/><Relationship Id="rId908" Type="http://schemas.openxmlformats.org/officeDocument/2006/relationships/hyperlink" Target="https://caselaw.findlaw.com/court/tx-court-of-appeals/117928954.html" TargetMode="External"/><Relationship Id="rId1233" Type="http://schemas.openxmlformats.org/officeDocument/2006/relationships/hyperlink" Target="https://www.fabf.org/PDF/SummaryOfBenefits.pdf" TargetMode="External"/><Relationship Id="rId1440" Type="http://schemas.openxmlformats.org/officeDocument/2006/relationships/hyperlink" Target="https://www.cincinnati-oh.gov/hr/eligible-lists1/promotional/fire-lieutenant/" TargetMode="External"/><Relationship Id="rId1538" Type="http://schemas.openxmlformats.org/officeDocument/2006/relationships/hyperlink" Target="https://casetext.com/case/bey-v-city-of-ny-7" TargetMode="External"/><Relationship Id="rId2063" Type="http://schemas.openxmlformats.org/officeDocument/2006/relationships/hyperlink" Target="https://www.hhs.gov/hipaa/for-professionals/compliance-enforcement/examples/all-cases/index.html" TargetMode="External"/><Relationship Id="rId2270" Type="http://schemas.openxmlformats.org/officeDocument/2006/relationships/hyperlink" Target="https://oig.hhs.gov/fraud/strike-force/" TargetMode="External"/><Relationship Id="rId2368" Type="http://schemas.openxmlformats.org/officeDocument/2006/relationships/hyperlink" Target="https://law.justia.com/cases/louisiana/second-circuit-court-of-appeal/2023/54-841-ca.html" TargetMode="External"/><Relationship Id="rId242" Type="http://schemas.openxmlformats.org/officeDocument/2006/relationships/hyperlink" Target="https://www.usatoday.com/story/news/politics/2021/08/27/supreme-court-blocks-president-bidens-covid-19-eviction-moratorium/8243599002/" TargetMode="External"/><Relationship Id="rId894" Type="http://schemas.openxmlformats.org/officeDocument/2006/relationships/hyperlink" Target="http://www.westvalleyfire.com/default.asp?pageid=188&amp;deptid=1" TargetMode="External"/><Relationship Id="rId1177" Type="http://schemas.openxmlformats.org/officeDocument/2006/relationships/hyperlink" Target="https://www.ethics.ohio.gov/advice/opinions/91-002.pdf" TargetMode="External"/><Relationship Id="rId1300" Type="http://schemas.openxmlformats.org/officeDocument/2006/relationships/hyperlink" Target="https://cases.justia.com/delaware/superior-court/2025-n24c-08-154-ceb.pdf?ts=1741208566" TargetMode="External"/><Relationship Id="rId1745" Type="http://schemas.openxmlformats.org/officeDocument/2006/relationships/hyperlink" Target="https://law.justia.com/cases/federal/district-courts/california/casdce/3:2022cv00487/730899/28/" TargetMode="External"/><Relationship Id="rId1952" Type="http://schemas.openxmlformats.org/officeDocument/2006/relationships/hyperlink" Target="https://jpr.azcourts.gov/Portals/0/OpinionFiles/Div1/2025/1%20CA-CR%2024-0549%20Johnson.pdf" TargetMode="External"/><Relationship Id="rId2130" Type="http://schemas.openxmlformats.org/officeDocument/2006/relationships/hyperlink" Target="https://www.facebook.com/watch/?v=2586016544950280" TargetMode="External"/><Relationship Id="rId2575" Type="http://schemas.openxmlformats.org/officeDocument/2006/relationships/hyperlink" Target="https://codes.ohio.gov/ohio-revised-code/section-9.481" TargetMode="External"/><Relationship Id="rId2782" Type="http://schemas.openxmlformats.org/officeDocument/2006/relationships/hyperlink" Target="https://ethics.ohio.gov/advice/opinions/2025-02.pdf" TargetMode="External"/><Relationship Id="rId37" Type="http://schemas.openxmlformats.org/officeDocument/2006/relationships/hyperlink" Target="https://cases.justia.com/new-jersey/appellate-division-unpublished/2025-a-1179-23.pdf?ts=1765469961" TargetMode="External"/><Relationship Id="rId102" Type="http://schemas.openxmlformats.org/officeDocument/2006/relationships/hyperlink" Target="https://ilcourtsaudio.blob.core.windows.net/antilles-resources/resources/b35fd65d-f662-4e1a-abeb-4f9e1aa279eb/People%20v.%20Parke,%202024%20IL%20App%20(5th)%20220703-U.pdf" TargetMode="External"/><Relationship Id="rId547" Type="http://schemas.openxmlformats.org/officeDocument/2006/relationships/hyperlink" Target="https://www.oscn.net/applications/oscn/deliverdocument.asp?citeid=486529" TargetMode="External"/><Relationship Id="rId754" Type="http://schemas.openxmlformats.org/officeDocument/2006/relationships/hyperlink" Target="https://www.law.cornell.edu/definitions/uscode.php?width=840&amp;height=800&amp;iframe=true&amp;def_id=8-USC-92903111-1485256781&amp;term_occur=999&amp;term_src=" TargetMode="External"/><Relationship Id="rId961" Type="http://schemas.openxmlformats.org/officeDocument/2006/relationships/hyperlink" Target="https://public.fastcase.com/" TargetMode="External"/><Relationship Id="rId1384" Type="http://schemas.openxmlformats.org/officeDocument/2006/relationships/hyperlink" Target="https://www.firerescue1.com/discrimination/articles/judge-dismisses-discrimination-lawsuit-by-transgender-fire-chief-c9ZJzz1mhPH97dsL/?utm_source=FireRescue1+Daily&amp;utm_campaign=34323ded4f-EMAIL_CAMPAIGN_2021_02_19_07_52&amp;utm_medium=email&amp;utm_term=0_758bdbeffe-34323ded4f-41607823" TargetMode="External"/><Relationship Id="rId1591" Type="http://schemas.openxmlformats.org/officeDocument/2006/relationships/hyperlink" Target="https://www.scotusblog.com/case-files/cases/stanley-v-city-of-sanford-florida/" TargetMode="External"/><Relationship Id="rId1605" Type="http://schemas.openxmlformats.org/officeDocument/2006/relationships/hyperlink" Target="https://cases.justia.com/federal/appellate-courts/ca11/22-10002/22-10002-2023-10-11.pdf?ts=1697045568" TargetMode="External"/><Relationship Id="rId1689" Type="http://schemas.openxmlformats.org/officeDocument/2006/relationships/hyperlink" Target="https://www.firefighterovertime.org/2018/09/17/battalion/" TargetMode="External"/><Relationship Id="rId1812" Type="http://schemas.openxmlformats.org/officeDocument/2006/relationships/hyperlink" Target="https://cases.justia.com/georgia/court-of-appeals/2019-a19a1310.pdf?ts=1568657244" TargetMode="External"/><Relationship Id="rId2228" Type="http://schemas.openxmlformats.org/officeDocument/2006/relationships/hyperlink" Target="file:///C:/Users/lawre/AppData/Local/Temp/hb151_05_EN.pdf" TargetMode="External"/><Relationship Id="rId2435" Type="http://schemas.openxmlformats.org/officeDocument/2006/relationships/hyperlink" Target="file:///C:/Users/lawre/Downloads/25P0275.pdf" TargetMode="External"/><Relationship Id="rId2642" Type="http://schemas.openxmlformats.org/officeDocument/2006/relationships/hyperlink" Target="https://public.fastcase.com/Wl%2B2t%2BeVuI35%2FN70vAMFZlZAOd3Yf30gW5GUDA4he8qcwsisxdvBFlR%2Bm9b1UDwt" TargetMode="External"/><Relationship Id="rId90" Type="http://schemas.openxmlformats.org/officeDocument/2006/relationships/hyperlink" Target="https://casetext.com/case/jones-v-united-states-147" TargetMode="External"/><Relationship Id="rId186" Type="http://schemas.openxmlformats.org/officeDocument/2006/relationships/hyperlink" Target="https://www.supremecourt.ohio.gov/rod/docs/pdf/0/2021/2021-ohio-2067.pdf" TargetMode="External"/><Relationship Id="rId393" Type="http://schemas.openxmlformats.org/officeDocument/2006/relationships/hyperlink" Target="https://www.aclufl.org/legislation/hb-75sb-184-criminalizing-bystanders-exercising-first-amendment-rights/" TargetMode="External"/><Relationship Id="rId407" Type="http://schemas.openxmlformats.org/officeDocument/2006/relationships/hyperlink" Target="https://cases.justia.com/federal/appellate-courts/ca3/23-3265/23-3265-2025-05-30.pdf?ts=1748624416" TargetMode="External"/><Relationship Id="rId614" Type="http://schemas.openxmlformats.org/officeDocument/2006/relationships/hyperlink" Target="https://ecf.rid.uscourts.gov/cgi-bin/show_public_doc?2025cv0495-53" TargetMode="External"/><Relationship Id="rId821" Type="http://schemas.openxmlformats.org/officeDocument/2006/relationships/hyperlink" Target="https://public.fastcase.com/jaEE2PXzRXmZ99jOLMt1IjaUc7vARjVQ5RdI8he5wvr8CafQJWJ892rNp3h%2B5maD?utm_medium=email&amp;_hsenc=p2ANqtz-9yeYIX9OvUysaWxw5S4NvX23y7n2bM1DKt1TGid5472BDGnDkJHyEbdkJMIqnakyd6KQCi4nGEAs4FOkTAkAKzxnAO3A&amp;_hsmi=226712652&amp;utm_content=226712652&amp;utm_source=hs_email" TargetMode="External"/><Relationship Id="rId1037" Type="http://schemas.openxmlformats.org/officeDocument/2006/relationships/hyperlink" Target="https://cases.justia.com/pennsylvania/commonwealth-court/2024-739-c-d-2023.pdf?ts=1732034168" TargetMode="External"/><Relationship Id="rId1244" Type="http://schemas.openxmlformats.org/officeDocument/2006/relationships/hyperlink" Target="https://www.courtlistener.com/recap/gov.uscourts.ohnd.252466/gov.uscourts.ohnd.252466.26.0.pdf" TargetMode="External"/><Relationship Id="rId1451" Type="http://schemas.openxmlformats.org/officeDocument/2006/relationships/hyperlink" Target="https://public.fastcase.com/jaEE2PXzRXmZ99jOLMt1IvrAn%2Bvx0cgAdRJLFzEVE5rZOK58n0UQBGfcsDJAKHyq3V35FHlAbNqGcC8r8dPNnejcnyefccFrDQkDZXnULhU%3D?utm_medium=email&amp;_hsenc=p2ANqtz-8kewSXPlrcM1MOnAYiHvCPklkrBuM3zyFieXeXxpBY7QJCt7ROBRst2YRlv6uOnNoYQgLAyEZN4abHQWMttR1q6BIDag&amp;_hsmi=226712652&amp;utm_content=226712652&amp;utm_source=hs_email" TargetMode="External"/><Relationship Id="rId1896" Type="http://schemas.openxmlformats.org/officeDocument/2006/relationships/hyperlink" Target="https://casetext.com/case/coppage-v-city-of-raleigh-1" TargetMode="External"/><Relationship Id="rId2074" Type="http://schemas.openxmlformats.org/officeDocument/2006/relationships/hyperlink" Target="https://public.fastcase.com/ZZhmr5v9wN%2FXOe5IsQ%2FqDwASFNWp2rhZooTaAZ4JTmSP%2Ba577zfXOKFdhmxj2NNxZ%2BfUfh8HTXLnmAlto%2FfEgpJtIv6O1WLjBzQZiKVSV8A%3D?utm_medium=email&amp;_hsmi=226712652&amp;_hsenc=p2ANqtz-9KUYaeGFguXeYoSZu4M54zm4xcFhouQPplq1qZXjy7nqatE34VLjsx4SN3mygo2_n2CHhg7EjDYW1VqsMoJq110-zPJg&amp;utm_content=226712652&amp;utm_source=hs_email" TargetMode="External"/><Relationship Id="rId2281" Type="http://schemas.openxmlformats.org/officeDocument/2006/relationships/hyperlink" Target="http://www.opn.ca6.uscourts.gov/opinions.pdf/19a0272n-06.pdf" TargetMode="External"/><Relationship Id="rId2502" Type="http://schemas.openxmlformats.org/officeDocument/2006/relationships/hyperlink" Target="https://cases.justia.com/federal/district-courts/ohio/ohsdce/1:2023cv00230/279336/13/0.pdf?ts=1707452867" TargetMode="External"/><Relationship Id="rId253" Type="http://schemas.openxmlformats.org/officeDocument/2006/relationships/hyperlink" Target="https://casetext.com/case/smith-v-city-of-cumming" TargetMode="External"/><Relationship Id="rId460" Type="http://schemas.openxmlformats.org/officeDocument/2006/relationships/hyperlink" Target="https://casetext.com/case/hering-v-rural-mut-ins-co" TargetMode="External"/><Relationship Id="rId698" Type="http://schemas.openxmlformats.org/officeDocument/2006/relationships/hyperlink" Target="https://www.supremecourt.gov/opinions/22pdf/22a544_n758.pdf" TargetMode="External"/><Relationship Id="rId919" Type="http://schemas.openxmlformats.org/officeDocument/2006/relationships/hyperlink" Target="https://casetext.com/case/kneeshaw-v-the-superior-court-of-orange-cnty" TargetMode="External"/><Relationship Id="rId1090" Type="http://schemas.openxmlformats.org/officeDocument/2006/relationships/hyperlink" Target="https://www.fifthcircuit.org/dmzdocs/OI/PO/2023/E7D4F8B7-C22B-4814-BFD0-4E0FF0BBD0BE.pdf" TargetMode="External"/><Relationship Id="rId1104" Type="http://schemas.openxmlformats.org/officeDocument/2006/relationships/hyperlink" Target="https://www.ilga.gov/legislation/ilcs/ilcs3.asp?ActID=2431&amp;ChapterID=68" TargetMode="External"/><Relationship Id="rId1311" Type="http://schemas.openxmlformats.org/officeDocument/2006/relationships/hyperlink" Target="https://www.supremecourt.gov/opinions/19pdf/17-1618_hfci.pdf" TargetMode="External"/><Relationship Id="rId1549" Type="http://schemas.openxmlformats.org/officeDocument/2006/relationships/hyperlink" Target="https://www.5dca.org/content/download/632688/7189187/file/183494_DC13_03272020_081652_i.pdf" TargetMode="External"/><Relationship Id="rId1756" Type="http://schemas.openxmlformats.org/officeDocument/2006/relationships/hyperlink" Target="https://www.law.cornell.edu/uscode/text/29/260" TargetMode="External"/><Relationship Id="rId1963" Type="http://schemas.openxmlformats.org/officeDocument/2006/relationships/hyperlink" Target="https://public.fastcase.com/jaEE2PXzRXmZ99jOLMt1Ii3GHq1DqUk6JcIatDazVs2MT6qOPN%2BlSHCpyD6INecs?utm_medium=email&amp;_hsenc=p2ANqtz--mlDS8haOQgu8WvAgxTOdChC-L5bDfnY4D7GnlMH_0KI2lqvAqiMoF8QlUmIn8nD4qRtsgkZAeTqUVI7tJfHdW7459rg&amp;_hsmi=226712652&amp;utm_content=226712652&amp;utm_source=hs_email" TargetMode="External"/><Relationship Id="rId2141" Type="http://schemas.openxmlformats.org/officeDocument/2006/relationships/hyperlink" Target="https://casetext.com/case/cazares-v-rand" TargetMode="External"/><Relationship Id="rId2379" Type="http://schemas.openxmlformats.org/officeDocument/2006/relationships/hyperlink" Target="https://casetext.com/case/abler-v-mayor-of-balt" TargetMode="External"/><Relationship Id="rId2586" Type="http://schemas.openxmlformats.org/officeDocument/2006/relationships/hyperlink" Target="https://www.rittgers.com/blog/2021/07/what-does-ohios-new-anti-hazing-law-mean/" TargetMode="External"/><Relationship Id="rId2793" Type="http://schemas.openxmlformats.org/officeDocument/2006/relationships/hyperlink" Target="https://www.law.cornell.edu/rio/citation/81_FR_53003" TargetMode="External"/><Relationship Id="rId2807" Type="http://schemas.openxmlformats.org/officeDocument/2006/relationships/hyperlink" Target="https://www.legislature.ohio.gov/download?key=20348&amp;format=pdf" TargetMode="External"/><Relationship Id="rId48" Type="http://schemas.openxmlformats.org/officeDocument/2006/relationships/hyperlink" Target="https://legal.iml.org/file.cfm?key=29946" TargetMode="External"/><Relationship Id="rId113" Type="http://schemas.openxmlformats.org/officeDocument/2006/relationships/hyperlink" Target="http://kool.corrections.ky.gov/KOOL/Details/54918" TargetMode="External"/><Relationship Id="rId320" Type="http://schemas.openxmlformats.org/officeDocument/2006/relationships/hyperlink" Target="https://www.in.gov/judiciary/opinions/pdf/10241902eft.pdf" TargetMode="External"/><Relationship Id="rId558" Type="http://schemas.openxmlformats.org/officeDocument/2006/relationships/hyperlink" Target="http://www.ca5.uscourts.gov/opinions/pub/17/17-30864-CV2.pdf" TargetMode="External"/><Relationship Id="rId765" Type="http://schemas.openxmlformats.org/officeDocument/2006/relationships/hyperlink" Target="https://public.fastcase.com/Wl%2B2t%2BeVuI35%2FN70vAMFZt9ItawWnHyT6tQhkduyZ%2FXLPY%2FAAJ%2BlLBDJZfxklyiH" TargetMode="External"/><Relationship Id="rId972" Type="http://schemas.openxmlformats.org/officeDocument/2006/relationships/hyperlink" Target="http://codes.ohio.gov/orc/4511.03v1" TargetMode="External"/><Relationship Id="rId1188" Type="http://schemas.openxmlformats.org/officeDocument/2006/relationships/hyperlink" Target="https://www.courtlistener.com/opinion/4836452/terri-smith-v-kanawha-county-emergency-ambulance-authority/" TargetMode="External"/><Relationship Id="rId1395" Type="http://schemas.openxmlformats.org/officeDocument/2006/relationships/hyperlink" Target="http://media.ca11.uscourts.gov/opinions/pub/files/201814687.pdf" TargetMode="External"/><Relationship Id="rId1409" Type="http://schemas.openxmlformats.org/officeDocument/2006/relationships/hyperlink" Target="https://cases.justia.com/federal/district-courts/pennsylvania/paedce/2:2017cv05388/537208/50/0.pdf?ts=1562761562" TargetMode="External"/><Relationship Id="rId1616" Type="http://schemas.openxmlformats.org/officeDocument/2006/relationships/hyperlink" Target="https://www.justice.gov/crt/case-document/file/1583736/download" TargetMode="External"/><Relationship Id="rId1823" Type="http://schemas.openxmlformats.org/officeDocument/2006/relationships/hyperlink" Target="http://www.iaff.org/Legal/PDF/1996FLSAManual.pdf" TargetMode="External"/><Relationship Id="rId2001" Type="http://schemas.openxmlformats.org/officeDocument/2006/relationships/hyperlink" Target="https://stlouiscriminaldefense.com/missouri-good-samaritan-law/" TargetMode="External"/><Relationship Id="rId2239" Type="http://schemas.openxmlformats.org/officeDocument/2006/relationships/hyperlink" Target="https://www.legislature.ohio.gov/legislation/legislation-documents?id=GA133-HB-606" TargetMode="External"/><Relationship Id="rId2446" Type="http://schemas.openxmlformats.org/officeDocument/2006/relationships/hyperlink" Target="https://cases.justia.com/california/court-of-appeal/2025-b327744.pdf?ts=1764194477" TargetMode="External"/><Relationship Id="rId2653" Type="http://schemas.openxmlformats.org/officeDocument/2006/relationships/hyperlink" Target="http://www.search.txcourts.gov/SearchMedia.aspx?MediaVersionID=c3f113f2-1ba2-49ff-a2ab-1b5420c141ac&amp;coa=coa09&amp;DT=Opinion&amp;MediaID=ad82a5f3-c7c6-4b28-8fe8-0de313580d94" TargetMode="External"/><Relationship Id="rId197" Type="http://schemas.openxmlformats.org/officeDocument/2006/relationships/hyperlink" Target="https://law.justia.com/cases/kentucky/court-of-appeals/2022/2022-ca-0258-mr.html" TargetMode="External"/><Relationship Id="rId418" Type="http://schemas.openxmlformats.org/officeDocument/2006/relationships/hyperlink" Target="https://www.firerescue1.com/firefighter-death/articles/miss-fire-lieutenant-killed-in-gas-station-robbery-jMwIEdZ3rDnt54xe/" TargetMode="External"/><Relationship Id="rId625" Type="http://schemas.openxmlformats.org/officeDocument/2006/relationships/hyperlink" Target="https://news.wttw.com/2025/10/16/appeals-court-upholds-federal-judge-s-temporary-order-blocking-national-guard-deployment" TargetMode="External"/><Relationship Id="rId832" Type="http://schemas.openxmlformats.org/officeDocument/2006/relationships/hyperlink" Target="https://www.ca5.uscourts.gov/opinions/pub/22/22-40644-CV0.pdf" TargetMode="External"/><Relationship Id="rId1048" Type="http://schemas.openxmlformats.org/officeDocument/2006/relationships/hyperlink" Target="https://cases.justia.com/federal/district-courts/louisiana/laedce/2:2023cv00439/259406/50/0.pdf?ts=1721728516" TargetMode="External"/><Relationship Id="rId1255" Type="http://schemas.openxmlformats.org/officeDocument/2006/relationships/hyperlink" Target="https://www.courtlistener.com/pdf/2019/02/08/schneider_v._city_of_lawrence.pdf" TargetMode="External"/><Relationship Id="rId1462" Type="http://schemas.openxmlformats.org/officeDocument/2006/relationships/hyperlink" Target="https://nola.gov/getattachment/e3454bbc-a629-43a1-b296-8d99f21a3e04/Dyer,-Varrick-9485/" TargetMode="External"/><Relationship Id="rId2085" Type="http://schemas.openxmlformats.org/officeDocument/2006/relationships/hyperlink" Target="https://public.fastcase.com/ZZhmr5v9wN%2FXOe5IsQ%2FqD3yVZPtM4gE5qxUG0JmvBs4KZKL0kykfWRWAFzVzGOUSCymfVjFMg8ksTGDwIJSWELTF6XkccOjxJx4J8ta6mPQ%3D?utm_medium=email&amp;_hsmi=226712652&amp;_hsenc=p2ANqtz-91z17HDQg9Q71tjjdfZzo5M0dPvb4mrX2MWXe9g7uh0-gjm69ERrplNGPGusNDxTqNwPz_oB2Mm624G4BOe4pHJTgwVA&amp;utm_content=226712652&amp;utm_source=hs_email" TargetMode="External"/><Relationship Id="rId2292" Type="http://schemas.openxmlformats.org/officeDocument/2006/relationships/hyperlink" Target="https://scholar.google.com/scholar_case?case=16398402888190855228&amp;q=Dissell+v.+Cleveland&amp;hl=en&amp;as_sdt=6,36&amp;as_vis=1" TargetMode="External"/><Relationship Id="rId2306" Type="http://schemas.openxmlformats.org/officeDocument/2006/relationships/hyperlink" Target="https://www.justice.gov/opa/pr/justice-department-recovers-over-37-billion-false-claims-act-cases-fiscal-year-2017" TargetMode="External"/><Relationship Id="rId2513" Type="http://schemas.openxmlformats.org/officeDocument/2006/relationships/hyperlink" Target="https://casetext.com/case/holt-v-florissant-fire-prot-dist" TargetMode="External"/><Relationship Id="rId264" Type="http://schemas.openxmlformats.org/officeDocument/2006/relationships/hyperlink" Target="https://nam11.safelinks.protection.outlook.com/?url=https%3A%2F%2Fethics.ohio.gov%2Feducation%2Fnewsletters%2FVOE_21Q1.pdf&amp;data=04%7C01%7Cbennetlt%40ucmail.uc.edu%7C21c7cf1b1f7e4058bf7908d8d75e7ed7%7Cf5222e6c5fc648eb8f0373db18203b63%7C1%7C0%7C637496150547267494%7CUnknown%7CTWFpbGZsb3d8eyJWIjoiMC4wLjAwMDAiLCJQIjoiV2luMzIiLCJBTiI6Ik1haWwiLCJXVCI6Mn0%3D%7C1000&amp;sdata=UJS7I0zht0Zw8z4G6aqmFUVw3sZ90mRRc9wJuthINkk%3D&amp;reserved=0" TargetMode="External"/><Relationship Id="rId471" Type="http://schemas.openxmlformats.org/officeDocument/2006/relationships/hyperlink" Target="https://casetext.com/case/knipper-v-drill-team-of-lindenhurst-fire-dept" TargetMode="External"/><Relationship Id="rId1115" Type="http://schemas.openxmlformats.org/officeDocument/2006/relationships/hyperlink" Target="https://capeunion.org/contracts/meyers-milias-brown-act" TargetMode="External"/><Relationship Id="rId1322" Type="http://schemas.openxmlformats.org/officeDocument/2006/relationships/hyperlink" Target="https://casetext.com/case/lundberg-v-delta-response-team-llc" TargetMode="External"/><Relationship Id="rId1767" Type="http://schemas.openxmlformats.org/officeDocument/2006/relationships/hyperlink" Target="https://public.fastcase.com/9SKwsfNqTc6OieYDhNMyM%2Bd%2B2eK88WBpQndaMaa6S5BNLFOYsG1I8lL7zJutyS4p" TargetMode="External"/><Relationship Id="rId1974" Type="http://schemas.openxmlformats.org/officeDocument/2006/relationships/hyperlink" Targe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 TargetMode="External"/><Relationship Id="rId2152" Type="http://schemas.openxmlformats.org/officeDocument/2006/relationships/hyperlink" Target="https://hudsoncountyview.com/2-ex-north-bergen-ems-workers-file-wrongful-termination-suit-against-township-deputy-ems-chief/" TargetMode="External"/><Relationship Id="rId2597" Type="http://schemas.openxmlformats.org/officeDocument/2006/relationships/hyperlink" Target="https://public.fastcase.com/Wl%2B2t%2BeVuI35%2FN70vAMFZry7Wdfw%2FJOcYD0w2Kcl2Q1FxaIYO1NAtHxZOlhNOguL" TargetMode="External"/><Relationship Id="rId2720" Type="http://schemas.openxmlformats.org/officeDocument/2006/relationships/hyperlink" Target="https://casetext.com/case/state-v-state-empt-relations-bd-2" TargetMode="External"/><Relationship Id="rId2818" Type="http://schemas.openxmlformats.org/officeDocument/2006/relationships/hyperlink" Target="https://urldefense.com/v3/__https:/www.congress.gov/bill/117th-congress/house-bill/2936?r=5&amp;s=1__;!!Bg5easoyC-OII2vlEqY8mTBrtW-N4OJKAQ!emPJ4la1tXumEvgbQHWWkqIJXSqd8F6eECBBP8LY2twTexz4LKxtEOPGOo9tKXCW3_TJ6neddA$" TargetMode="External"/><Relationship Id="rId59" Type="http://schemas.openxmlformats.org/officeDocument/2006/relationships/hyperlink" Target="https://caselaw.findlaw.com/court/ga-court-of-appeals/117421566.html" TargetMode="External"/><Relationship Id="rId124" Type="http://schemas.openxmlformats.org/officeDocument/2006/relationships/hyperlink" Target="https://cases.justia.com/federal/district-courts/illinois/ilndce/1:2017cv02153/337913/236/0.pdf?ts=1723715563" TargetMode="External"/><Relationship Id="rId569" Type="http://schemas.openxmlformats.org/officeDocument/2006/relationships/hyperlink" Target="https://controller.phila.gov/philadelphia-audits/philadelphia-fire-department-department-needs-to-reconsider-its-brownout-rotation-policies/" TargetMode="External"/><Relationship Id="rId776" Type="http://schemas.openxmlformats.org/officeDocument/2006/relationships/hyperlink" Target="https://www.ca2.uscourts.gov/decisions/isysquery/d1288cae-9c73-4842-93cb-329cdd38edc3/3/doc/19-2934_so.pdf" TargetMode="External"/><Relationship Id="rId983" Type="http://schemas.openxmlformats.org/officeDocument/2006/relationships/hyperlink" Target="https://apps.fastcase.com/Research/Pages/Document.aspx?LTID=Xw8aOGbEV5h7mh6RjPEl9n63ZALwBpLWbymlVcyIbGaFEyS5AIee4aT6cgn2wg4uWWJVckzCvxLzei9%2b4Apj1XP1P42mrmnHytE1H7bv0g2rI4G%2bkqbz4sFzRUBCZSj0unPMTNwoqsGxjmJqgIPe%2fA%3d%3d&amp;ECF=(1999)+21+Cal.4th+226" TargetMode="External"/><Relationship Id="rId1199" Type="http://schemas.openxmlformats.org/officeDocument/2006/relationships/hyperlink" Target="https://law.justia.com/cases/federal/appellate-courts/ca6/19-1416/19-1416-2020-06-05.html" TargetMode="External"/><Relationship Id="rId1627" Type="http://schemas.openxmlformats.org/officeDocument/2006/relationships/hyperlink" Target="https://www.leagle.com/decision/infdco20211215796" TargetMode="External"/><Relationship Id="rId1834" Type="http://schemas.openxmlformats.org/officeDocument/2006/relationships/hyperlink" Target="https://www.youtube.com/watch?v=wVEUB8WSdp8" TargetMode="External"/><Relationship Id="rId2457" Type="http://schemas.openxmlformats.org/officeDocument/2006/relationships/hyperlink" Target="https://www.supremecourt.ohio.gov/rod/docs/pdf/6/2025/2025-Ohio-3100.pdf" TargetMode="External"/><Relationship Id="rId2664" Type="http://schemas.openxmlformats.org/officeDocument/2006/relationships/hyperlink" Target="https://www.courtlistener.com/recap/gov.uscourts.mad.185693/gov.uscourts.mad.185693.65.0.pdf" TargetMode="External"/><Relationship Id="rId331" Type="http://schemas.openxmlformats.org/officeDocument/2006/relationships/hyperlink" Target="https://cases.justia.com/texas/second-court-of-appeals/2019-02-18-00333-cr.pdf?ts=1558106104" TargetMode="External"/><Relationship Id="rId429" Type="http://schemas.openxmlformats.org/officeDocument/2006/relationships/hyperlink" Target="https://grsl.com/firefighters-rule-struck-down-by-new-jersey-supreme-court/" TargetMode="External"/><Relationship Id="rId636" Type="http://schemas.openxmlformats.org/officeDocument/2006/relationships/hyperlink" Target="https://www.supremecourt.gov/opinions/24pdf/24a884_8n59.pdf" TargetMode="External"/><Relationship Id="rId1059" Type="http://schemas.openxmlformats.org/officeDocument/2006/relationships/hyperlink" Target="https://public.fastcase.com/H1P9uiW3J20SFp%2BGCG%2BxLTokB0aoklJy6U6lHfy%2FfW4XgHUeDnfzCtV2IraSxfBK?utm_medium=email&amp;_hsmi=226712652&amp;_hsenc=p2ANqtz-_gim38WUKhev0Avzaj483M_b7fed8rsJvlzMdOQbFB_Jpk5Z-" TargetMode="External"/><Relationship Id="rId1266" Type="http://schemas.openxmlformats.org/officeDocument/2006/relationships/hyperlink" Target="https://www.courts.state.md.us/data/opinions/cosa/2018/0319s17.pdf" TargetMode="External"/><Relationship Id="rId1473" Type="http://schemas.openxmlformats.org/officeDocument/2006/relationships/hyperlink" Target="https://cases.justia.com/federal/district-courts/texas/txsdce/4:2023cv04777/1945442/28/0.pdf?ts=1723207973" TargetMode="External"/><Relationship Id="rId2012" Type="http://schemas.openxmlformats.org/officeDocument/2006/relationships/hyperlink" Target="https://www.law.cornell.edu/rules/fre/" TargetMode="External"/><Relationship Id="rId2096" Type="http://schemas.openxmlformats.org/officeDocument/2006/relationships/hyperlink" Target="https://casetext.com/case/pierre-v-fire-dept-of-the-city-of-ny" TargetMode="External"/><Relationship Id="rId2317" Type="http://schemas.openxmlformats.org/officeDocument/2006/relationships/hyperlink" Target="https://casetext.com/case/city-of-tucson-v-the-indus-commn-of-ariz" TargetMode="External"/><Relationship Id="rId843" Type="http://schemas.openxmlformats.org/officeDocument/2006/relationships/hyperlink" Target="https://cases.justia.com/federal/district-courts/california/caedce/2:2023cv01147/429644/22/0.pdf?ts=1706172863" TargetMode="External"/><Relationship Id="rId1126" Type="http://schemas.openxmlformats.org/officeDocument/2006/relationships/hyperlink" Target="http://app.leg.wa.gov/RCW/default.aspx?cite=41.26.030" TargetMode="External"/><Relationship Id="rId1680" Type="http://schemas.openxmlformats.org/officeDocument/2006/relationships/hyperlink" Target="https://public.fastcase.com/Jhe1Qn%2BmJndQYQU6z%2FeNm2MBH8jjZypB1KxY%2B3GJWtt3pU7LQ0HG1TD%2BuEAPjcSSqkB%2F2Yca8lDVABp6qaMHSj5ZnKz4h2BUwQ71QZi85m8%3D?utm_medium=email&amp;_hsenc=p2ANqtz-_R5GvzVgy1X05e_vCvuMC9Q5e35U1J1WERhCn0fZcvatolnFVOIwTcjgpntEVG0Zn0QYI5aNrPmOIXD_9eLdzthe8Iwg&amp;_hsmi=226712652&amp;utm_content=226712652&amp;utm_source=hs_email" TargetMode="External"/><Relationship Id="rId1778" Type="http://schemas.openxmlformats.org/officeDocument/2006/relationships/hyperlink" Target="https://public.fastcase.com/Wl%2B2t%2BeVuI35%2FN70vAMFZq7BNtl3UAn66ukthA6exr4OG2Q55i9ib96ohnNtBuMo" TargetMode="External"/><Relationship Id="rId1901" Type="http://schemas.openxmlformats.org/officeDocument/2006/relationships/hyperlink" Target="https://scholar.google.com/scholar_case?case=14934683326774120071&amp;q=Pennsylvania+%22overdose+response%22&amp;hl=en&amp;scisbd=2&amp;as_sdt=6,36&amp;as_ylo=2020" TargetMode="External"/><Relationship Id="rId1985" Type="http://schemas.openxmlformats.org/officeDocument/2006/relationships/hyperlink" Target="https://www4.courts.ca.gov/opinions/nonpub/B334048.PDF" TargetMode="External"/><Relationship Id="rId2524" Type="http://schemas.openxmlformats.org/officeDocument/2006/relationships/hyperlink" Target="https://law.justia.com/cases/new-york/appellate-division-third-department/2023/535052.html" TargetMode="External"/><Relationship Id="rId2731" Type="http://schemas.openxmlformats.org/officeDocument/2006/relationships/hyperlink" Target="https://caselaw.findlaw.com/us-7th-circuit/2104809.html" TargetMode="External"/><Relationship Id="rId2829" Type="http://schemas.openxmlformats.org/officeDocument/2006/relationships/hyperlink" Target="https://services.courts.state.wy.us/Documents/Opinions/2018WY75.pdf" TargetMode="External"/><Relationship Id="rId275" Type="http://schemas.openxmlformats.org/officeDocument/2006/relationships/hyperlink" Target="https://law.justia.com/cases/iowa/court-of-appeals/2021/18-1821.html" TargetMode="External"/><Relationship Id="rId482" Type="http://schemas.openxmlformats.org/officeDocument/2006/relationships/hyperlink" Target="https://casetext.com/case/boon-v-rivera" TargetMode="External"/><Relationship Id="rId703" Type="http://schemas.openxmlformats.org/officeDocument/2006/relationships/hyperlink" Target="https://www.cadc.uscourts.gov/internet/opinions.nsf/55807FB471B60BB08525888E0051AEA6/$file/21-1087-1956978.pdf" TargetMode="External"/><Relationship Id="rId910" Type="http://schemas.openxmlformats.org/officeDocument/2006/relationships/hyperlink" Target="https://codes.ohio.gov/ohio-revised-code/section-2744.02" TargetMode="External"/><Relationship Id="rId1333" Type="http://schemas.openxmlformats.org/officeDocument/2006/relationships/hyperlink" Target="https://corporate.findlaw.com/human-resources/title-vii-damage-caps-calculating-your-maximum-exposure.html" TargetMode="External"/><Relationship Id="rId1540" Type="http://schemas.openxmlformats.org/officeDocument/2006/relationships/hyperlink" Target="https://law.justia.com/cases/michigan/court-of-appeals-unpublished/2020/350474.html" TargetMode="External"/><Relationship Id="rId1638" Type="http://schemas.openxmlformats.org/officeDocument/2006/relationships/hyperlink" Target="https://www.mass.gov/files/documents/2020/09/29/q19P0676.pdf" TargetMode="External"/><Relationship Id="rId2163" Type="http://schemas.openxmlformats.org/officeDocument/2006/relationships/hyperlink" Target="https://nmonesource.com/nmos/nmsa/en/item/4422/index.do" TargetMode="External"/><Relationship Id="rId2370" Type="http://schemas.openxmlformats.org/officeDocument/2006/relationships/hyperlink" Target="https://www.eeoc.gov/disability-discrimination-and-employment-decisions" TargetMode="External"/><Relationship Id="rId135" Type="http://schemas.openxmlformats.org/officeDocument/2006/relationships/hyperlink" Target="https://apnews.com/article/michigan-drone-photos-constitution-3c30154b6f1af1b234c1cc8f64945237" TargetMode="External"/><Relationship Id="rId342" Type="http://schemas.openxmlformats.org/officeDocument/2006/relationships/hyperlink" Target="https://ceas.uc.edu/content/dam/refresh/ceas-62/documents/academics/departments/aerospace-engineering-&amp;-engineering-mechanics/fire-science/1Jan.%202019%20Newsletter%20ADA%200.pdf" TargetMode="External"/><Relationship Id="rId787" Type="http://schemas.openxmlformats.org/officeDocument/2006/relationships/hyperlink" Target="https://www.courthousenews.com/wp-content/uploads/2020/04/G4S.pdf" TargetMode="External"/><Relationship Id="rId994" Type="http://schemas.openxmlformats.org/officeDocument/2006/relationships/hyperlink" Target="https://www.courtswv.gov/sites/default/pubfilesmnt/2025-12/25-ICA-222_MD.pdf" TargetMode="External"/><Relationship Id="rId1400" Type="http://schemas.openxmlformats.org/officeDocument/2006/relationships/hyperlink" Target="https://public.fastcase.com/Wl%2B2t%2BeVuI35%2FN70vAMFZsLQ8Zjgb2jk542DjlxpVQs5PCG3jEwwTTQV0VgsrBHY" TargetMode="External"/><Relationship Id="rId1845" Type="http://schemas.openxmlformats.org/officeDocument/2006/relationships/hyperlink" Target="https://casetext.com/case/city-of-great-falls-v-intl-assn-of-fire-fighters-loca" TargetMode="External"/><Relationship Id="rId2023" Type="http://schemas.openxmlformats.org/officeDocument/2006/relationships/hyperlink" Target="http://www.opn.ca6.uscourts.gov/opinions.pdf/08a0140p-06.pdf" TargetMode="External"/><Relationship Id="rId2230" Type="http://schemas.openxmlformats.org/officeDocument/2006/relationships/hyperlink" Target="https://public.fastcase.com/Wl%2B2t%2BeVuI35%2FN70vAMFZkrYpDR4hQ33Ax6oS1aJkCwq%2BUGCyTcW0uJ1XV2sRjwT" TargetMode="External"/><Relationship Id="rId2468" Type="http://schemas.openxmlformats.org/officeDocument/2006/relationships/hyperlink" Target="https://courts.delaware.gov/Opinions/Download.aspx?id=381340" TargetMode="External"/><Relationship Id="rId2675" Type="http://schemas.openxmlformats.org/officeDocument/2006/relationships/hyperlink" Target="https://d.docs.live.net/bd9b2eaf6053242e/AppData/Roaming/Microsoft/AppData/Local/Microsoft/Windows/INetCache/IE/7HZ56W7X/16-170.pdf" TargetMode="External"/><Relationship Id="rId202" Type="http://schemas.openxmlformats.org/officeDocument/2006/relationships/hyperlink" Target="https://local12.com/news/local/blocked-railroad-crossings-ohio-supreme-court-ruling-no-more-fines-trains-safety-butler-county-lockland-emergencies-csx-transportation-anti-blocking-law-federal-railroad-administration-cincinnati-local-12-wkrc-tristate-ohio-kentucky-indiana-news" TargetMode="External"/><Relationship Id="rId647" Type="http://schemas.openxmlformats.org/officeDocument/2006/relationships/hyperlink" Target="https://www.courthousenews.com/dc-circuit-side-eyes-capitol-rioters-argument-that-pepper-spray-is-not-a-dangerous-weapon/" TargetMode="External"/><Relationship Id="rId854" Type="http://schemas.openxmlformats.org/officeDocument/2006/relationships/hyperlink" Target="http://www.courtswv.gov/supreme-court/memo-decisions/spring2023/21-0921%20md.pdf" TargetMode="External"/><Relationship Id="rId1277" Type="http://schemas.openxmlformats.org/officeDocument/2006/relationships/hyperlink" Target="https://www.sfgate.com/news/article/Supreme-Court-rules-that-companies-can-require-12931130.php" TargetMode="External"/><Relationship Id="rId1484" Type="http://schemas.openxmlformats.org/officeDocument/2006/relationships/hyperlink" Target="https://casetext.com/statute/ohio-revised-code/title-41-labor-and-industry/chapter-4113-miscellaneous-labor-provisions/section-411352-reporting-violation-of-law-by-employer-or-fellow-employee" TargetMode="External"/><Relationship Id="rId1691" Type="http://schemas.openxmlformats.org/officeDocument/2006/relationships/hyperlink" Target="https://www.iaff.org/wp-content/uploads/FLSA-Manual-2022-Edition_FINAL.22Aug01.pdf" TargetMode="External"/><Relationship Id="rId1705" Type="http://schemas.openxmlformats.org/officeDocument/2006/relationships/hyperlink" Target="https://www.reuters.com/legal/government/us-supreme-court-boosts-companies-defense-wage-lawsuits-2025-01-15/" TargetMode="External"/><Relationship Id="rId1912" Type="http://schemas.openxmlformats.org/officeDocument/2006/relationships/hyperlink" Target="http://www.diversionspecialists.com/wp-content/uploads/Considerations-When-Tampering-Occurs.pdf" TargetMode="External"/><Relationship Id="rId2328" Type="http://schemas.openxmlformats.org/officeDocument/2006/relationships/hyperlink" Target="https://cases.justia.com/texas/fifteenth-court-of-appeals/2026-15-25-00102-cv.pdf?ts=1771951104" TargetMode="External"/><Relationship Id="rId2535" Type="http://schemas.openxmlformats.org/officeDocument/2006/relationships/hyperlink" Target="https://www.cbsnews.com/miami/news/florida-supreme-court-turns-down-miami-firefighter-defamation-case/" TargetMode="External"/><Relationship Id="rId2742" Type="http://schemas.openxmlformats.org/officeDocument/2006/relationships/hyperlink" Target="https://www.leagle.com/decision/inohco20220627386" TargetMode="External"/><Relationship Id="rId286" Type="http://schemas.openxmlformats.org/officeDocument/2006/relationships/hyperlink" Target="http://codes.ohio.gov/oac/123:1-46-02" TargetMode="External"/><Relationship Id="rId493" Type="http://schemas.openxmlformats.org/officeDocument/2006/relationships/hyperlink" Target="https://www.documentcloud.org/documents/23589006-firefighter-suit-terrance-jones-et-al-v-coj-order-finalizing-case011323" TargetMode="External"/><Relationship Id="rId507" Type="http://schemas.openxmlformats.org/officeDocument/2006/relationships/hyperlink" Target="https://www.fireengineering.com/firefighting/el-paso-tx-firefighter-injured-while-rendering-care/" TargetMode="External"/><Relationship Id="rId714" Type="http://schemas.openxmlformats.org/officeDocument/2006/relationships/hyperlink" Target="https://www.supremecourt.gov/opinions/21pdf/21a477_1bo2.pdf" TargetMode="External"/><Relationship Id="rId921" Type="http://schemas.openxmlformats.org/officeDocument/2006/relationships/hyperlink" Target="https://www.youtube.com/watch?v=4rwA-whTxmQ" TargetMode="External"/><Relationship Id="rId1137" Type="http://schemas.openxmlformats.org/officeDocument/2006/relationships/hyperlink" Target="https://www.iaff.org/presumptive-health/" TargetMode="External"/><Relationship Id="rId1344" Type="http://schemas.openxmlformats.org/officeDocument/2006/relationships/hyperlink" Target="https://public.fastcase.com/ZZhmr5v9wN%2FXOe5IsQ%2FqD5GEiR8JSLFSN2NHQUjL%2BLjuVtwCOTZwj5nD2zQQ%2BwtpHt7pljoilZmodoPEUPL5r9NdmF5u2B1LY%2FXPhwSo6GU%3D?utm_medium=email&amp;_hsmi=226712652&amp;_hsenc=p2ANqtz-8SXYDP1HnWQE4kbMGe0V_9TllXrxMri8_HVcmLnhw39Rwsl622P5fZw6IGKcYm90xDZflJsj-2gnz1pneYjju0n1QAHw&amp;utm_content=226712652&amp;utm_source=hs_email" TargetMode="External"/><Relationship Id="rId1551" Type="http://schemas.openxmlformats.org/officeDocument/2006/relationships/hyperlink" Target="https://public.fastcase.com/Wl%2B2t%2BeVuI35%2FN70vAMFZtTeqjzzEnlP0E9gnOJzg5Beu%2B8e3Ta9mPaMkCNr0Gg4" TargetMode="External"/><Relationship Id="rId1789" Type="http://schemas.openxmlformats.org/officeDocument/2006/relationships/hyperlink" Target="http://www.firefighterovertime.org/wp-content/uploads/2018/03/DFW-FLSA-Complaint-2018.pdf" TargetMode="External"/><Relationship Id="rId1996" Type="http://schemas.openxmlformats.org/officeDocument/2006/relationships/image" Target="media/image5.png"/><Relationship Id="rId2174" Type="http://schemas.openxmlformats.org/officeDocument/2006/relationships/hyperlink" Target="https://public.fastcase.com/9SKwsfNqTc6OieYDhNMyMyh4iKdUdl33yaqybd0RVUT7BGA%2FcA7dSWVys7nK48GqCBRY0Irwv50JDrMJhhTjndqcgsIMADMauCadEl5HS9U%3D" TargetMode="External"/><Relationship Id="rId2381" Type="http://schemas.openxmlformats.org/officeDocument/2006/relationships/hyperlink" Target="https://www.ca5.uscourts.gov/opinions/pub/21/21-20085-CV0.pdf" TargetMode="External"/><Relationship Id="rId2602" Type="http://schemas.openxmlformats.org/officeDocument/2006/relationships/hyperlink" Target="https://www.supremecourt.ohio.gov/rod/docs/pdf/4/2020/2020-Ohio-5615.pdf" TargetMode="External"/><Relationship Id="rId50" Type="http://schemas.openxmlformats.org/officeDocument/2006/relationships/hyperlink" Target="https://cases.justia.com/wyoming/supreme-court/2025-s-24-0295.pdf?ts=1757689246" TargetMode="External"/><Relationship Id="rId146" Type="http://schemas.openxmlformats.org/officeDocument/2006/relationships/hyperlink" Target="https://caselaw.findlaw.com/court/ma-court-of-appeals/115598993.html" TargetMode="External"/><Relationship Id="rId353" Type="http://schemas.openxmlformats.org/officeDocument/2006/relationships/hyperlink" Target="https://cases.justia.com/ohio/ninth-district-court-of-appeals/2018-28746.pdf?ts=1532525904" TargetMode="External"/><Relationship Id="rId560" Type="http://schemas.openxmlformats.org/officeDocument/2006/relationships/hyperlink" Target="http://www.ca5.uscourts.gov/opinions/pub/18/18-51011-CV0.pdf" TargetMode="External"/><Relationship Id="rId798" Type="http://schemas.openxmlformats.org/officeDocument/2006/relationships/hyperlink" Target="https://cases.justia.com/federal/appellate-courts/ca2/18-1597/18-1597-2019-04-25.pdf?ts=1556202606" TargetMode="External"/><Relationship Id="rId1190" Type="http://schemas.openxmlformats.org/officeDocument/2006/relationships/hyperlink" Target="https://www.eeoc.gov/statutes/age-discrimination-employment-act-1967" TargetMode="External"/><Relationship Id="rId1204" Type="http://schemas.openxmlformats.org/officeDocument/2006/relationships/hyperlink" Target="http://codes.ohio.gov/orc/gp9.481" TargetMode="External"/><Relationship Id="rId1411" Type="http://schemas.openxmlformats.org/officeDocument/2006/relationships/hyperlink" Target="https://law.justia.com/cases/federal/district-courts/illinois/ilndce/1:2018cv03054/351942/211/" TargetMode="External"/><Relationship Id="rId1649" Type="http://schemas.openxmlformats.org/officeDocument/2006/relationships/hyperlink" Target="https://www.justice.gov/opa/pr/justice-department-settles-college-resolve-disability-discrimination-complaint" TargetMode="External"/><Relationship Id="rId1856" Type="http://schemas.openxmlformats.org/officeDocument/2006/relationships/hyperlink" Target="https://www.understandingtheada.com/blog/2015/02/03/addiction-ada-current-user-safe-harbor/" TargetMode="External"/><Relationship Id="rId2034" Type="http://schemas.openxmlformats.org/officeDocument/2006/relationships/hyperlink" Target="https://casetext.com/case/vaughn-v-klamath-cnty-fire-dist-no1-1" TargetMode="External"/><Relationship Id="rId2241" Type="http://schemas.openxmlformats.org/officeDocument/2006/relationships/hyperlink" Target="https://courts.illinois.gov/Opinions/SupremeCourt/2020/124610.pdf" TargetMode="External"/><Relationship Id="rId2479" Type="http://schemas.openxmlformats.org/officeDocument/2006/relationships/hyperlink" Target="https://www.govinfo.gov/content/pkg/USCOURTS-cod-1_23-cv-01798/pdf/USCOURTS-cod-1_23-cv-01798-0.pdf" TargetMode="External"/><Relationship Id="rId2686" Type="http://schemas.openxmlformats.org/officeDocument/2006/relationships/hyperlink" Target="https://www4.courts.ca.gov/opinions/nonpub/B342205.PDF" TargetMode="External"/><Relationship Id="rId213" Type="http://schemas.openxmlformats.org/officeDocument/2006/relationships/hyperlink" Target="https://ilcourtsaudio.blob.core.windows.net/antilles-resources/resources/d420bdc6-9c63-45de-9274-2f897cb58b7d/People%20v.%20Griffin,%202022%20IL%20App%20(4th)%20210360-U.pdf" TargetMode="External"/><Relationship Id="rId420" Type="http://schemas.openxmlformats.org/officeDocument/2006/relationships/hyperlink" Target="https://storage.courtlistener.com/recap/gov.uscourts.mdd.559142/gov.uscourts.mdd.559142.21.0.pdf" TargetMode="External"/><Relationship Id="rId658" Type="http://schemas.openxmlformats.org/officeDocument/2006/relationships/hyperlink" Target="https://ww3.ca2.uscourts.gov/decisions/isysquery/c68b6681-8ae3-446b-8305-2841de8ec224/1/doc/22-2745_opn.pdf" TargetMode="External"/><Relationship Id="rId865" Type="http://schemas.openxmlformats.org/officeDocument/2006/relationships/hyperlink" Target="https://www.newscentermaine.com/article/news/local/portland/judge-dismisses-wrongful-death-lawsuit-against-city-all-but-one-portland-police-officer-portland-mental-health/97-9cb6ef72-b53c-4614-9d60-2360cbcd1702" TargetMode="External"/><Relationship Id="rId1050" Type="http://schemas.openxmlformats.org/officeDocument/2006/relationships/hyperlink" Target="https://ilcourtsaudio.blob.core.windows.net/antilles-resources/resources/db67e7e2-0717-4638-8c31-3e01bcc193d9/Faruzzi%20v.%20Illinois%20Workers%27%20Compensation%20Comm%27n,%202024%20IL%20App%20(1st)%20231896WC-U.pdf" TargetMode="External"/><Relationship Id="rId1288" Type="http://schemas.openxmlformats.org/officeDocument/2006/relationships/hyperlink" Target="https://cases.justia.com/federal/district-courts/new-york/nysdce/7:2021cv00260/552036/95/0.pdf?ts=1758978240" TargetMode="External"/><Relationship Id="rId1495" Type="http://schemas.openxmlformats.org/officeDocument/2006/relationships/hyperlink" Target="https://public.fastcase.com/J%2FJP6pdidelsXxEE4k%2BLMrA34GsTt5B2s5lqbdzOSKO6ds2%2FFXzTZCAcVKPc5nYGkDv4uUicwcEOayTnLM9q%2BLkNSr7W2Myomwq976TWq68%3D?utm_medium=email&amp;_hsmi=226712652&amp;_hsenc=p2ANqtz--xrBYm_8SOoB1x8n_lzDvQY_7J4w6TZmgBXNCiTskMckRZL1pW5pA7jfVkIgH5lYseuktBIikSAYCDqwL7O8hlSm6fMw&amp;utm_content=226712652&amp;utm_source=hs_email" TargetMode="External"/><Relationship Id="rId1509" Type="http://schemas.openxmlformats.org/officeDocument/2006/relationships/hyperlink" Target="http://media.ca7.uscourts.gov/cgi-bin/rssExec.pl?Submit=Display&amp;Path=Y2022/D07-12/C:21-2784:J:PerCuriam:aut:T:npDp:N:2902357:S:0" TargetMode="External"/><Relationship Id="rId1716" Type="http://schemas.openxmlformats.org/officeDocument/2006/relationships/hyperlink" Target="https://www.ecfr.gov/current/title-29/subtitle-B/chapter-V/subchapter-B/part-778" TargetMode="External"/><Relationship Id="rId1923" Type="http://schemas.openxmlformats.org/officeDocument/2006/relationships/hyperlink" Target="https://www.ojp.gov/pdffiles/posasph.pdf" TargetMode="External"/><Relationship Id="rId2101" Type="http://schemas.openxmlformats.org/officeDocument/2006/relationships/hyperlink" Target="https://www.courts.wa.gov/opinions/pdf/1001002.pdf" TargetMode="External"/><Relationship Id="rId2339" Type="http://schemas.openxmlformats.org/officeDocument/2006/relationships/hyperlink" Target="https://cases.justia.com/arizona/court-of-appeals-division-one-published/2025-1-ca-ic-24-0009.pdf?ts=1745946035" TargetMode="External"/><Relationship Id="rId2546" Type="http://schemas.openxmlformats.org/officeDocument/2006/relationships/hyperlink" Target="https://www.nvfc.org/firefighter-arson/" TargetMode="External"/><Relationship Id="rId2753" Type="http://schemas.openxmlformats.org/officeDocument/2006/relationships/hyperlink" Target="https://casetext.com/case/in-re-arbitration-between-city-of-ogdensburg" TargetMode="External"/><Relationship Id="rId297" Type="http://schemas.openxmlformats.org/officeDocument/2006/relationships/hyperlink" Target="https://public.fastcase.com/Wl%2B2t%2BeVuI35%2FN70vAMFZsoxzsfdSpYQWUHzr4LGn9%2B%2B5efEeYPRxdC77jaiEbzw" TargetMode="External"/><Relationship Id="rId518" Type="http://schemas.openxmlformats.org/officeDocument/2006/relationships/hyperlink" Target="https://casetext.com/case/topper-v-thomas" TargetMode="External"/><Relationship Id="rId725" Type="http://schemas.openxmlformats.org/officeDocument/2006/relationships/hyperlink" Target="https://www.law.cornell.edu/definitions/uscode.php?width=840&amp;height=800&amp;iframe=true&amp;def_id=18-USC-64633832-909420282&amp;term_occur=999&amp;term_src=title:18:part:I:chapter:13:section:249" TargetMode="External"/><Relationship Id="rId932" Type="http://schemas.openxmlformats.org/officeDocument/2006/relationships/hyperlink" Target="https://www.supremecourt.ohio.gov/rod/docs/pdf/8/2023/2023-Ohio-4213.pdf" TargetMode="External"/><Relationship Id="rId1148" Type="http://schemas.openxmlformats.org/officeDocument/2006/relationships/hyperlink" Target="https://www.myarklamiss.com/news/local-news/bastrop-firefighters-fighting-for-their-pay-the-mayor-says-they-deserve-it/" TargetMode="External"/><Relationship Id="rId1355" Type="http://schemas.openxmlformats.org/officeDocument/2006/relationships/hyperlink" Target="https://public.fastcase.com/waZtJvSA54UAurM2rmIZzzCYJhAha3GGo3AEN0d5yD5AXzBU0GIzy8sJKIx0m%2BEEHwIyJuWgbxH4Xd2BL4DW9aTliyBT6bOFBbV5rp7%2BS3s%3D" TargetMode="External"/><Relationship Id="rId1562" Type="http://schemas.openxmlformats.org/officeDocument/2006/relationships/hyperlink" Target="https://scholar.google.com/scholar_case?case=9814524894618299702&amp;q=+Eric+Peeples,+et+al.+v.+City+of+Detroit,+et+al,+Civil+Action+No.+13-13858&amp;hl=en&amp;as_sdt=6,36" TargetMode="External"/><Relationship Id="rId2185" Type="http://schemas.openxmlformats.org/officeDocument/2006/relationships/hyperlink" Target="https://www.documentcloud.org/documents/20860669-houston-methodist-lawsuit-order-of-dismissal" TargetMode="External"/><Relationship Id="rId2392" Type="http://schemas.openxmlformats.org/officeDocument/2006/relationships/hyperlink" Target="https://casetext.com/case/commonwealth-v-purnell-10" TargetMode="External"/><Relationship Id="rId2406" Type="http://schemas.openxmlformats.org/officeDocument/2006/relationships/hyperlink" Target="https://www.postbulletin.com/news/public_safety/ptsd-now-an-occupational-disease-for-first-responders/article_27a2353c-15d3-11e9-a864-cb74a37ce7f1.html" TargetMode="External"/><Relationship Id="rId2613" Type="http://schemas.openxmlformats.org/officeDocument/2006/relationships/hyperlink" Target="https://public.fastcase.com/Wl%2B2t%2BeVuI35%2FN70vAMFZqQ7Gx1lZ4VLPzvmh59TfRHYGD4c0wvhFgn%2Bs0ncYh62" TargetMode="External"/><Relationship Id="rId157" Type="http://schemas.openxmlformats.org/officeDocument/2006/relationships/hyperlink" Target="https://public.fastcase.com/ZZhmr5v9wN%2FXOe5IsQ%2FqD2fzv3LeHoflue5q9psYL7ORT%2BZZIoU2RVo8o6kc8WH7t7R2fWOBL%2B6EWJeWP%2BK6nygdTJbos59lEHeljv9w%2F%2Bc%3D?utm_medium=email&amp;_hsmi=226712652&amp;_hsenc=p2ANqtz-9_BwSf3Cp56T9vKm_WV06wXpWhxnLFIP0rTKtRtiI7Ej-XlIsGIA-Piz3XwrAq08q95_o9LD6MRwwtLQfaW73VBnYSKQ&amp;utm_content=226712652&amp;utm_source=hs_email" TargetMode="External"/><Relationship Id="rId364" Type="http://schemas.openxmlformats.org/officeDocument/2006/relationships/hyperlink" Target="https://supreme.justia.com/cases/federal/us/584/17-467/" TargetMode="External"/><Relationship Id="rId1008" Type="http://schemas.openxmlformats.org/officeDocument/2006/relationships/hyperlink" Target="https://www.ilga.gov/legislation/BillStatus.asp?DocNum=3392&amp;GAID=17&amp;DocTypeID=HB&amp;LegId=148558&amp;SessionID=112&amp;GA=103" TargetMode="External"/><Relationship Id="rId1215" Type="http://schemas.openxmlformats.org/officeDocument/2006/relationships/hyperlink" Target="https://www.courts.ri.gov/Courts/SupremeCourt/SupremeOpinions/17-255,256,257,260.pdf" TargetMode="External"/><Relationship Id="rId1422" Type="http://schemas.openxmlformats.org/officeDocument/2006/relationships/hyperlink" Target="https://www.eeoc.gov/eeoc/newsroom/release/6-13-18.cfm" TargetMode="External"/><Relationship Id="rId1867" Type="http://schemas.openxmlformats.org/officeDocument/2006/relationships/hyperlink" Target="https://oag.ca.gov/system/files/attachments/press-docs/Mediator%27s%20Fourth%20Interim%20Report.pdf" TargetMode="External"/><Relationship Id="rId2045" Type="http://schemas.openxmlformats.org/officeDocument/2006/relationships/hyperlink" Target="https://public.fastcase.com/" TargetMode="External"/><Relationship Id="rId2697" Type="http://schemas.openxmlformats.org/officeDocument/2006/relationships/hyperlink" Target="https://ilcourtsaudio.blob.core.windows.net/antilles-resources/resources/7509d61b-3a3a-4986-bb3a-7cce5964f936/Village%20of%20Roselle%20v.%20Illinois%20Workers'%20Compensation%20Comm'n,%202025%20IL%20App%20(3rd)%20240306WC-U.pdf" TargetMode="External"/><Relationship Id="rId2820" Type="http://schemas.openxmlformats.org/officeDocument/2006/relationships/hyperlink" Target="https://pascrell.house.gov/news/documentsingle.aspx?DocumentID=4933" TargetMode="External"/><Relationship Id="rId61" Type="http://schemas.openxmlformats.org/officeDocument/2006/relationships/hyperlink" Target="https://www.supremecourt.ohio.gov/rod/docs/pdf/7/2025/2025-Ohio-1915.pdf" TargetMode="External"/><Relationship Id="rId571" Type="http://schemas.openxmlformats.org/officeDocument/2006/relationships/hyperlink" Target="https://comped.net/opinions_recentdisp.php?ID=7270" TargetMode="External"/><Relationship Id="rId669" Type="http://schemas.openxmlformats.org/officeDocument/2006/relationships/hyperlink" Target="https://casetext.com/case/coal-for-indep-tech-research-v-abbott" TargetMode="External"/><Relationship Id="rId876" Type="http://schemas.openxmlformats.org/officeDocument/2006/relationships/hyperlink" Target="https://casetext.com/case/reyes-v-monroe-cnty" TargetMode="External"/><Relationship Id="rId1299" Type="http://schemas.openxmlformats.org/officeDocument/2006/relationships/hyperlink" Target="https://public.fastcase.com/jaEE2PXzRXmZ99jOLMt1IsID3yHeWup657c7MnfFCGnetXQu%2F2QtQOpoVmwfdEc%2F?utm_medium=email&amp;_hsenc=p2ANqtz-_zTSxdS0F5WCwBxFxJfAdL2TYRGfHTDF8aVNcZ9gK5T6kDk6rrKhGST-fn4w1vDtBgvaoCFHlAWmUNSPCbepcJBy8zVw&amp;_hsmi=226712652&amp;utm_content=226712652&amp;utm_source=hs_email" TargetMode="External"/><Relationship Id="rId1727" Type="http://schemas.openxmlformats.org/officeDocument/2006/relationships/hyperlink" Target="http://www.flsa-optin.com/index.cfm?zone=/unionactive/form_page.cfm&amp;formID=108277" TargetMode="External"/><Relationship Id="rId1934" Type="http://schemas.openxmlformats.org/officeDocument/2006/relationships/hyperlink" Target="https://public.fastcase.com/Jhe1Qn%2BmJndQYQU6z%2FeNm1LICE259A5ulYHxnw3lcJtDWEaUq57rExGHQXd3hU8EgaPHTdGS%2FRk5aoRP0crRKmeZauTqc6nD5gh3xIKTEMg%3D?utm_medium=email&amp;_hsenc=p2ANqtz-9zYvhQr5QF-kHvOgqVEwwEjeDJW6aa7G89aGppWtTq6GnIfdSTK1neKuS-jEFNuUA2B3hULaVGvwBQIPV_0qoJel6h4w&amp;_hsmi=226712652&amp;utm_content=226712652&amp;utm_source=hs_email" TargetMode="External"/><Relationship Id="rId2252" Type="http://schemas.openxmlformats.org/officeDocument/2006/relationships/hyperlink" Target="https://courts.illinois.gov/R23_Orders/AppellateCourt/2020/1stDistrict/1172189_R23.pdf" TargetMode="External"/><Relationship Id="rId2557" Type="http://schemas.openxmlformats.org/officeDocument/2006/relationships/hyperlink" Target="file:///C:\Users\lawre\AppData\Local\Microsoft\Windows\INetCache\Content.Outlook\L4F26AG7\Case%20Title%20Butler%20v.%20City%20of%20Big%20Spring.pdf" TargetMode="External"/><Relationship Id="rId19" Type="http://schemas.openxmlformats.org/officeDocument/2006/relationships/hyperlink" Target="https://scholar.uc.edu/show/ks65hd707" TargetMode="External"/><Relationship Id="rId224" Type="http://schemas.openxmlformats.org/officeDocument/2006/relationships/hyperlink" Target="https://www.supremecourt.ohio.gov/rod/docs/pdf/11/2021/2021-Ohio-4568.pdf" TargetMode="External"/><Relationship Id="rId431" Type="http://schemas.openxmlformats.org/officeDocument/2006/relationships/hyperlink" Target="https://codes.findlaw.com/fl/title-x-public-officers-employees-and-records/fl-st-sect-112-182/" TargetMode="External"/><Relationship Id="rId529" Type="http://schemas.openxmlformats.org/officeDocument/2006/relationships/hyperlink" Target="https://www.firehouse.com/operations-training/article/21112973/fire-law-should-firefighters-be-armed" TargetMode="External"/><Relationship Id="rId736" Type="http://schemas.openxmlformats.org/officeDocument/2006/relationships/hyperlink" Target="https://home.treasury.gov/policy-issues/financial-sanctions" TargetMode="External"/><Relationship Id="rId1061" Type="http://schemas.openxmlformats.org/officeDocument/2006/relationships/hyperlink" Target="https://www.osc.ny.gov/retirement/publications/1512/accidental-disability" TargetMode="External"/><Relationship Id="rId1159" Type="http://schemas.openxmlformats.org/officeDocument/2006/relationships/hyperlink" Target="https://casetext.com/case/prospect-heights-fire-prot-dist-v-dept-of-empt-sec" TargetMode="External"/><Relationship Id="rId1366" Type="http://schemas.openxmlformats.org/officeDocument/2006/relationships/hyperlink" Target="https://www.firerescue1.com/discrimination/articles/civil-service-commission-sides-with-mass-female-ff-emt-passed-over-for-promotion-OvMbsXKeZfDYHswZ/?utm_source=twitter&amp;utm_medium=social&amp;utm_campaign=dlvrit" TargetMode="External"/><Relationship Id="rId2112" Type="http://schemas.openxmlformats.org/officeDocument/2006/relationships/hyperlink" Target="https://www.law.cornell.edu/definitions/uscode.php?width=840&amp;height=800&amp;iframe=true&amp;def_id=42-USC-638938755-1009355610&amp;term_occur=999&amp;term_src=" TargetMode="External"/><Relationship Id="rId2196" Type="http://schemas.openxmlformats.org/officeDocument/2006/relationships/hyperlink" Target="https://www.firehouse.com/ems/news/21025612/bellingham-wa-investigation-probe-firefighters-intubation-dead-body" TargetMode="External"/><Relationship Id="rId2417" Type="http://schemas.openxmlformats.org/officeDocument/2006/relationships/hyperlink" Target="https://public.fastcase.com/Jhe1Qn%2BmJndQYQU6z%2FeNm0JH5q8gWciAXAF9bixHugWdaYIct3CF769DEA6AolcFot0MADEgf34paIS5RxXYfLHjDYkVz561VNE3Py00FLo%3D?utm_medium=email&amp;_hsenc=p2ANqtz--lMiV9AKrZhOCKCU8G42zfsMnA0WduNXw5NGIFgBNIi3qKeq5uCBwN2k8_bjKsGZk1kObDueEzHePI446cTwvuol4Y2w&amp;_hsmi=226712652&amp;utm_content=226712652&amp;utm_source=hs_email" TargetMode="External"/><Relationship Id="rId2764" Type="http://schemas.openxmlformats.org/officeDocument/2006/relationships/hyperlink" Target="https://njcourts.gov/attorneys/assets/opinions/appellate/unpublished/a2277-18.pdf" TargetMode="External"/><Relationship Id="rId168" Type="http://schemas.openxmlformats.org/officeDocument/2006/relationships/hyperlink" Target="https://www.loc.gov/item/usrep509579/" TargetMode="External"/><Relationship Id="rId943" Type="http://schemas.openxmlformats.org/officeDocument/2006/relationships/hyperlink" Target="https://public.courts.in.gov/Decisions/api/Document/Opinion?Id=rJRDncpWPHQbq7P5uv2HFHli7-yY9NDpUsGFV_2xhbEFoKT6dBGW8VG2YJisX0M_0" TargetMode="External"/><Relationship Id="rId1019" Type="http://schemas.openxmlformats.org/officeDocument/2006/relationships/hyperlink" Target="https://cases.justia.com/west-virginia/intermediate-court-of-appeals/2025-24-ica-379.pdf?ts=1745964757" TargetMode="External"/><Relationship Id="rId1573" Type="http://schemas.openxmlformats.org/officeDocument/2006/relationships/hyperlink" Target="https://www.iafc.org/docs/default-source/1safehealthshs/vws_rrkit_nfpa-1582.pdf?sfvrsn=ca9b9f0d_4" TargetMode="External"/><Relationship Id="rId1780" Type="http://schemas.openxmlformats.org/officeDocument/2006/relationships/hyperlink" Target="https://www.justice.gov/crt/case-document/file/1227366/download" TargetMode="External"/><Relationship Id="rId1878" Type="http://schemas.openxmlformats.org/officeDocument/2006/relationships/hyperlink" Target="https://www.fox10tv.com/2022/06/27/mobile-doctors-supreme-court-win-could-impact-other-pill-mill-convictions/" TargetMode="External"/><Relationship Id="rId2624" Type="http://schemas.openxmlformats.org/officeDocument/2006/relationships/hyperlink" Target="https://www.dmlp.org/legal-guide/recording-phone-calls-and-conversations" TargetMode="External"/><Relationship Id="rId2831" Type="http://schemas.openxmlformats.org/officeDocument/2006/relationships/theme" Target="theme/theme1.xml"/><Relationship Id="rId72" Type="http://schemas.openxmlformats.org/officeDocument/2006/relationships/hyperlink" Target="https://www.14news.com/2024/06/17/convicted-killer-evansville-firefighter-set-be-sentenced-this-afternoon/" TargetMode="External"/><Relationship Id="rId375" Type="http://schemas.openxmlformats.org/officeDocument/2006/relationships/hyperlink" Target="https://supreme.justia.com/cases/federal/us/487/500/" TargetMode="External"/><Relationship Id="rId582" Type="http://schemas.openxmlformats.org/officeDocument/2006/relationships/hyperlink" Target="https://www.firstrespondercenter.org/cancer/toolsresources/presumptive-legislation-firefighter-cancer-state/" TargetMode="External"/><Relationship Id="rId803" Type="http://schemas.openxmlformats.org/officeDocument/2006/relationships/hyperlink" Target="https://ij.org/wp-content/uploads/2018/09/16-3480_complete_opn.pdf" TargetMode="External"/><Relationship Id="rId1226" Type="http://schemas.openxmlformats.org/officeDocument/2006/relationships/hyperlink" Target="https://appellate.nccourts.org/opinions/?c=2&amp;pdf=38946" TargetMode="External"/><Relationship Id="rId1433" Type="http://schemas.openxmlformats.org/officeDocument/2006/relationships/hyperlink" Target="https://www4.courts.ca.gov/opinions/nonpub/B332575.PDF" TargetMode="External"/><Relationship Id="rId1640" Type="http://schemas.openxmlformats.org/officeDocument/2006/relationships/hyperlink" Target="https://www.iafc.org/docs/default-source/1vcos/vws_rrkit_nfpa-1582.pdf?sfvrsn=ca9b9f0d_2" TargetMode="External"/><Relationship Id="rId1738" Type="http://schemas.openxmlformats.org/officeDocument/2006/relationships/hyperlink" Target="https://public.fastcase.com/ZZhmr5v9wN%2FXOe5IsQ%2FqDwe%2Bl2bMb8hsQzBhmq%2BKFWjfsnc%2Brn1NgeRpqQFDQ7VnnNgPvPdQabSyR0vz9Y1rYYCnr8USzlwvvvJ%2BE3sgG14%3D?utm_medium=email&amp;_hsmi=226712652&amp;_hsenc=p2ANqtz-9yLx0aoJRhvv2Vy8uTc7HU3fN6k1djWwCn0_TOB1MuUA7MVtIjTAZu2eDX0z4FTqDgKj_XXmkUdS-aKvCM9lVim5p6Eg&amp;utm_content=226712652&amp;utm_source=hs_email" TargetMode="External"/><Relationship Id="rId2056" Type="http://schemas.openxmlformats.org/officeDocument/2006/relationships/hyperlink" Target="https://codes.ohio.gov/ohio-revised-code/section-505.381" TargetMode="External"/><Relationship Id="rId2263" Type="http://schemas.openxmlformats.org/officeDocument/2006/relationships/hyperlink" Target="https://casetext.com/case/didonato-v-panatera" TargetMode="External"/><Relationship Id="rId2470" Type="http://schemas.openxmlformats.org/officeDocument/2006/relationships/hyperlink" Target="https://cases.justia.com/delaware/superior-court/2024-2301003924.pdf?ts=1718040749" TargetMode="External"/><Relationship Id="rId3" Type="http://schemas.openxmlformats.org/officeDocument/2006/relationships/styles" Target="styles.xml"/><Relationship Id="rId235" Type="http://schemas.openxmlformats.org/officeDocument/2006/relationships/hyperlink" Target="https://www.opn.ca6.uscourts.gov/opinions.pdf/21a0484n-06.pdf" TargetMode="External"/><Relationship Id="rId442" Type="http://schemas.openxmlformats.org/officeDocument/2006/relationships/hyperlink" Target="https://www.hometownlife.com/story/news/2023/05/27/westland-firefighters-brian-woehlke-arson-homicide-investigation/70244259007/" TargetMode="External"/><Relationship Id="rId887" Type="http://schemas.openxmlformats.org/officeDocument/2006/relationships/hyperlink" Target="https://www.hamiltoncountyohio.gov/UserFiles/Servers/Server_3788196/File/releases/2020/C-200030_12162020.pdf" TargetMode="External"/><Relationship Id="rId1072" Type="http://schemas.openxmlformats.org/officeDocument/2006/relationships/hyperlink" Target="https://www.pacourts.us/assets/opinions/Commonwealth/out/726CD22_10-3-23.pdf?cb=1" TargetMode="External"/><Relationship Id="rId1500" Type="http://schemas.openxmlformats.org/officeDocument/2006/relationships/hyperlink" Target="https://abcnews.go.com/US/miami-firefighters-fired-hanging-noose-black-colleagues-family/story?id=50884714" TargetMode="External"/><Relationship Id="rId1945" Type="http://schemas.openxmlformats.org/officeDocument/2006/relationships/hyperlink" Target="https://cases.justia.com/federal/district-courts/california/candce/3:2022cv02130/394009/131/0.pdf" TargetMode="External"/><Relationship Id="rId2123" Type="http://schemas.openxmlformats.org/officeDocument/2006/relationships/hyperlink" Target="https://public.fastcase.com/J%2FJP6pdidelsXxEE4k%2BLMlnZT9Hwtbb0RSX5AXtKQie%2FaJxcYuONay3v%2BauGycaLZPl2uZFZiVR3n7gLzEpChzWsXN2J3yktMkRz%2BOu%2BxAQ%3D" TargetMode="External"/><Relationship Id="rId2330" Type="http://schemas.openxmlformats.org/officeDocument/2006/relationships/hyperlink" Target="https://cases.justia.com/federal/district-courts/south-carolina/scdce/0:2024cv00826/288831/46/0.pdf" TargetMode="External"/><Relationship Id="rId2568" Type="http://schemas.openxmlformats.org/officeDocument/2006/relationships/hyperlink" Target="https://law.justia.com/cases/federal/appellate-courts/cafc/20-2147/20-2147-2022-04-18.html" TargetMode="External"/><Relationship Id="rId2775" Type="http://schemas.openxmlformats.org/officeDocument/2006/relationships/hyperlink" Target="https://ecf.ctd.uscourts.gov/cgi-bin/show_public_doc?2025cv0824-74" TargetMode="External"/><Relationship Id="rId302" Type="http://schemas.openxmlformats.org/officeDocument/2006/relationships/hyperlink" Target="https://public.fastcase.com/Wl%2B2t%2BeVuI35%2FN70vAMFZgQb9URzc30c5cCnjaV%2BywxWbGQAvCbjQKWk6ixjSD1I" TargetMode="External"/><Relationship Id="rId747" Type="http://schemas.openxmlformats.org/officeDocument/2006/relationships/hyperlink" Target="https://www.law.cornell.edu/definitions/uscode.php?width=840&amp;height=800&amp;iframe=true&amp;def_id=8-USC-92903111-1485256781&amp;term_occur=999&amp;term_src=" TargetMode="External"/><Relationship Id="rId954" Type="http://schemas.openxmlformats.org/officeDocument/2006/relationships/hyperlink" Target="https://law.justia.com/cases/texas/thirteenth-court-of-appeals/2022/13-20-00315-cv.html" TargetMode="External"/><Relationship Id="rId1377" Type="http://schemas.openxmlformats.org/officeDocument/2006/relationships/hyperlink" Target="https://casetext.com/case/as-v-ocean-cnty-fire-acad-2" TargetMode="External"/><Relationship Id="rId1584" Type="http://schemas.openxmlformats.org/officeDocument/2006/relationships/hyperlink" Target="https://abcnews.go.com/Health/1500-nyc-municipal-workers-fired-vaccinated-covid/story?id=82900617" TargetMode="External"/><Relationship Id="rId1791" Type="http://schemas.openxmlformats.org/officeDocument/2006/relationships/hyperlink" Target="https://www.knoe.com/content/news/Bastrop-mayor-proposes-3-mill-increase-to-repay-debt-from-fireman-lawsuit-513531241.html" TargetMode="External"/><Relationship Id="rId1805" Type="http://schemas.openxmlformats.org/officeDocument/2006/relationships/hyperlink" Target="https://www.justice.gov/opa/pr/covid-19-servicemembers-civil-rights-message-assistant-attorney-general" TargetMode="External"/><Relationship Id="rId2428" Type="http://schemas.openxmlformats.org/officeDocument/2006/relationships/hyperlink" Target="https://cases.justia.com/federal/district-courts/nevada/nvdce/3:2025cv00159/173760/49/0.pdf" TargetMode="External"/><Relationship Id="rId2635" Type="http://schemas.openxmlformats.org/officeDocument/2006/relationships/hyperlink" Target="https://public.fastcase.com/Wl%2B2t%2BeVuI35%2FN70vAMFZp5z3tSAREAgVcTB%2FIqZH8qtvSAHBObLTQiDe9yLc084" TargetMode="External"/><Relationship Id="rId83" Type="http://schemas.openxmlformats.org/officeDocument/2006/relationships/hyperlink" Target="https://www.justice.gov/opa/pr/justice-department-statements-supreme-courts-decision-tiktok-et-al-v-garland" TargetMode="External"/><Relationship Id="rId179" Type="http://schemas.openxmlformats.org/officeDocument/2006/relationships/hyperlink" Target="https://www.justice.gov/usao-edca/pr/siskiyou-county-man-sentenced-1-year-prison-major-fraud-against-united-states-taking" TargetMode="External"/><Relationship Id="rId386" Type="http://schemas.openxmlformats.org/officeDocument/2006/relationships/hyperlink" Target="https://www.hbsslaw.com/cases/pfas-firefighter-turnout-gear" TargetMode="External"/><Relationship Id="rId593" Type="http://schemas.openxmlformats.org/officeDocument/2006/relationships/hyperlink" Target="https://d.docs.live.net/bd9b2eaf6053242e/AppData/Roaming/Microsoft/AppData/Local/Temp/0182139.PDF" TargetMode="External"/><Relationship Id="rId607" Type="http://schemas.openxmlformats.org/officeDocument/2006/relationships/hyperlink" Target="https://www.pacourts.us/assets/opinions/Superior/out/J-S42019-25m%20-%20106685903347676413.pdf?cb=1" TargetMode="External"/><Relationship Id="rId814" Type="http://schemas.openxmlformats.org/officeDocument/2006/relationships/hyperlink" Target="https://d.docs.live.net/bd9b2eaf6053242e/AppData/Roaming/Microsoft/AppData/Local/Microsoft/Windows/INetCache/IE/XO250S7T/16-534_6jfm.pdf" TargetMode="External"/><Relationship Id="rId1237" Type="http://schemas.openxmlformats.org/officeDocument/2006/relationships/hyperlink" Target="https://www.leagle.com/decision/inohco20200205714" TargetMode="External"/><Relationship Id="rId1444" Type="http://schemas.openxmlformats.org/officeDocument/2006/relationships/hyperlink" Target="https://www.supremecourt.gov/opinions/24pdf/23-909_f2q3.pdf" TargetMode="External"/><Relationship Id="rId1651" Type="http://schemas.openxmlformats.org/officeDocument/2006/relationships/hyperlink" Target="https://cases.justia.com/federal/appellate-courts/ca3/18-2706/18-2706-2019-08-09.pdf?ts=1565368208" TargetMode="External"/><Relationship Id="rId1889" Type="http://schemas.openxmlformats.org/officeDocument/2006/relationships/hyperlink" Target="https://public.fastcase.com/9SKwsfNqTc6OieYDhNMyM8QDIumtbytcTIYRS7vEe0pQ3%2BAszz%2FAIWxBBPTdhGkJW%2FsZnkZT639gd%2FCKUheamGpg8tPb2WiD4LZsCmDtik8%3D" TargetMode="External"/><Relationship Id="rId2067" Type="http://schemas.openxmlformats.org/officeDocument/2006/relationships/hyperlink" Target="https://codes.ohio.gov/ohio-revised-code/section-4765.12" TargetMode="External"/><Relationship Id="rId2274" Type="http://schemas.openxmlformats.org/officeDocument/2006/relationships/hyperlink" Target="http://media.ca11.uscourts.gov/opinions/unpub/files/201814142.pdf" TargetMode="External"/><Relationship Id="rId2481" Type="http://schemas.openxmlformats.org/officeDocument/2006/relationships/hyperlink" Target="https://www.wvsd.uscourts.gov/sites/wvsd/files/opinions/MOO_20250102_5_22-cr-00182.pdf" TargetMode="External"/><Relationship Id="rId2702" Type="http://schemas.openxmlformats.org/officeDocument/2006/relationships/hyperlink" Target="https://www.supremecourt.ohio.gov/rod/docs/pdf/8/2024/2024-Ohio-4787.pdf" TargetMode="External"/><Relationship Id="rId246" Type="http://schemas.openxmlformats.org/officeDocument/2006/relationships/hyperlink" Target="https://cases.justia.com/california/court-of-appeal/2021-b295666.pdf?ts=1625180487" TargetMode="External"/><Relationship Id="rId453" Type="http://schemas.openxmlformats.org/officeDocument/2006/relationships/hyperlink" Target="https://www.revisor.mn.gov/statutes/cite/604.06" TargetMode="External"/><Relationship Id="rId660" Type="http://schemas.openxmlformats.org/officeDocument/2006/relationships/hyperlink" Target="https://www.ca5.uscourts.gov/opinions/pub/17/17-30864-CV4.pdf" TargetMode="External"/><Relationship Id="rId898" Type="http://schemas.openxmlformats.org/officeDocument/2006/relationships/hyperlink" Target="https://www.in.gov/judiciary/opinions/pdf/10241902eft.pdf" TargetMode="External"/><Relationship Id="rId1083" Type="http://schemas.openxmlformats.org/officeDocument/2006/relationships/hyperlink" Target="https://law.justia.com/cases/texas/fourth-court-of-appeals/2023/04-22-00347-cv.html" TargetMode="External"/><Relationship Id="rId1290" Type="http://schemas.openxmlformats.org/officeDocument/2006/relationships/hyperlink" Target="https://www.iaff.org/cpat/" TargetMode="External"/><Relationship Id="rId1304" Type="http://schemas.openxmlformats.org/officeDocument/2006/relationships/hyperlink" Target="https://cases.justia.com/federal/district-courts/new-york/nyedce/1:2023cv09066/507538/25/0.pdf?ts=1739862975%20https://media.cadc.uscourts.gov/orders/docs/2025/02/25-5028LDSD.pdf" TargetMode="External"/><Relationship Id="rId1511" Type="http://schemas.openxmlformats.org/officeDocument/2006/relationships/hyperlink" Target="https://law.justia.com/cases/texas/fourteenth-court-of-appeals/2022/14-20-00688-cv.html" TargetMode="External"/><Relationship Id="rId1749" Type="http://schemas.openxmlformats.org/officeDocument/2006/relationships/hyperlink" Target="https://public.fastcase.com/J%2FJP6pdidelsXxEE4k%2BLMlJvV4SJAfGPsaCb1kEJI4NiHVvOih0KoHLgsQ3SFDCtHhkE7RYPh6rKF3vfpYjTBRyXwDRXesvaMheieGfjP1w%3D?utm_medium=email&amp;_hsmi=226712652&amp;_hsenc=p2ANqtz--UObyDUMiaZSwq-4NoEzNR5o4eO8V_D5uKHJYL4ZZ256ZhZPYzbGLx-gR6MhxNsQvJKJXWqSitgcrGqHUpT5pkRHztzQ&amp;utm_content=226712652&amp;utm_source=hs_emai" TargetMode="External"/><Relationship Id="rId1956" Type="http://schemas.openxmlformats.org/officeDocument/2006/relationships/hyperlink" Target="https://cases.justia.com/alabama/supreme-court/2025-sc-2025-0055.pdf?ts=1756474207" TargetMode="External"/><Relationship Id="rId2134" Type="http://schemas.openxmlformats.org/officeDocument/2006/relationships/hyperlink" Target="https://www.dallasobserver.com/news/after-dpd-review-no-charges-filed-against-former-paramedic-who-kicked-mentally-ill-man-13536919" TargetMode="External"/><Relationship Id="rId2341" Type="http://schemas.openxmlformats.org/officeDocument/2006/relationships/hyperlink" Target="https://www.vitallaw.com/news/discrimination-disability-w-d-mich-firefighter-with-ptsd-fails-to-show-firehouse-dog-was-reasonable-accommodation/eld0112d25548de2942ffb5b58765cda11301" TargetMode="External"/><Relationship Id="rId2579" Type="http://schemas.openxmlformats.org/officeDocument/2006/relationships/hyperlink" Target="https://www.inquisitr.com/4286305/paramedic-and-firefighter-fondle-teen-having-seizures-jared-david-evans-told-intern-i-had-to/" TargetMode="External"/><Relationship Id="rId2786" Type="http://schemas.openxmlformats.org/officeDocument/2006/relationships/hyperlink" Target="https://www.hud.gov/program_offices/housing/sfh/reo/abtrevt" TargetMode="External"/><Relationship Id="rId106" Type="http://schemas.openxmlformats.org/officeDocument/2006/relationships/hyperlink" Target="https://www.firehero.org/fallen-firefighter/charles-e-morton/" TargetMode="External"/><Relationship Id="rId313" Type="http://schemas.openxmlformats.org/officeDocument/2006/relationships/hyperlink" Target="https://public.fastcase.com/Wl%2B2t%2BeVuI35%2FN70vAMFZiMSkjeFjM9WB95jitKYLwuiXut%2FEoidjwwdPtdsEj9z" TargetMode="External"/><Relationship Id="rId758" Type="http://schemas.openxmlformats.org/officeDocument/2006/relationships/hyperlink" Target="https://www.ohchr.org/en/professionalinterest/pages/cat.aspx" TargetMode="External"/><Relationship Id="rId965" Type="http://schemas.openxmlformats.org/officeDocument/2006/relationships/hyperlink" Target="https://public.fastcase.com/Wl%2B2t%2BeVuI35%2FN70vAMFZpcMKjA7NXtV8NizS7yUss6ITpHR1n8JduscQQ47RvF2" TargetMode="External"/><Relationship Id="rId1150" Type="http://schemas.openxmlformats.org/officeDocument/2006/relationships/hyperlink" Target="https://www.baltimoresun.com/maryland/baltimore-city/bs-md-ci-lawsuit-opinion-20210817-vlhba6nhe5dnfayycibxat2sli-story.html" TargetMode="External"/><Relationship Id="rId1388" Type="http://schemas.openxmlformats.org/officeDocument/2006/relationships/hyperlink" Target="https://www.uticaod.com/news/20190404/utica-firefighter-fired-after-sexual-harassment-claim" TargetMode="External"/><Relationship Id="rId1595" Type="http://schemas.openxmlformats.org/officeDocument/2006/relationships/hyperlink" Target="https://cases.justia.com/federal/appellate-courts/ca11/22-10002/22-10002-2023-10-11.pdf?ts=1697045568" TargetMode="External"/><Relationship Id="rId1609" Type="http://schemas.openxmlformats.org/officeDocument/2006/relationships/hyperlink" Target="https://public.fastcase.com/ZZhmr5v9wN%2FXOe5IsQ%2FqD3krOQsYv7d%2B2FRanieXHrmbYJPE10W29y6OT9Ia%2FWEvM783GCgc1J%2FsNiq8x9hdfsWhS9nPoC1uzPRzllCUOIc%3D?utm_medium=email&amp;_hsmi=226712652&amp;_hsenc=p2ANqtz-8spF1R7Tf8jpK24zY2dxus9kZGwVA1F9Ooj2BZLJ_FR6fOEX3itYzYoKF0bR9AZ1zkqCBHaC-K0F7fdoWy1HLEeYJb6g&amp;utm_content=226712652&amp;utm_source=hs_email" TargetMode="External"/><Relationship Id="rId1816" Type="http://schemas.openxmlformats.org/officeDocument/2006/relationships/hyperlink" Target="https://www.dol.gov/whd/opinion/search/index.htm?FLSA" TargetMode="External"/><Relationship Id="rId2439" Type="http://schemas.openxmlformats.org/officeDocument/2006/relationships/hyperlink" Target="https://codes.ohio.gov/ohio-revised-code/section-4113.52" TargetMode="External"/><Relationship Id="rId2646" Type="http://schemas.openxmlformats.org/officeDocument/2006/relationships/hyperlink" Target="https://apps.fastcase.com/Research/Pages/Document.aspx?LTID=ymjJQ%2bnA3gcD0uwW%2fXT8m74LrRSQo4n%2fvIMvSs06sm8gvhQE4Uja7b0PnhuF%2f4C2xuQogpx6q5d2KkmcmH7G9BxVUizxwq9%2bCSXj%2fVTkPcKayiYbCxXnu3qAsQnurF1%2fEGlhVwGun1DCyEjfhN2WDA%3d%3d" TargetMode="External"/><Relationship Id="rId10" Type="http://schemas.openxmlformats.org/officeDocument/2006/relationships/image" Target="media/image2.jpeg"/><Relationship Id="rId94" Type="http://schemas.openxmlformats.org/officeDocument/2006/relationships/hyperlink" Target="https://public.fastcase.com/H1P9uiW3J20SFp%2BGCG%2BxLdyLNTd%2BNZHrq5Wsvr6dKQeFEDZwgsQrm3TmKDWH2%2B1z?utm_medium=email&amp;_hsenc=p2ANqtz--qDncIsqCSeahqkjvoaWhQNyG1yg2f5tRQPi1w8DS9NFdMbI3pDOffIzG2fuU_g9WmDOo8NJeLM9bCUVMHJsMZyGOdjg&amp;_hsmi=226712652&amp;utm_content=226712652&amp;utm_source=hs_email" TargetMode="External"/><Relationship Id="rId397" Type="http://schemas.openxmlformats.org/officeDocument/2006/relationships/hyperlink" Target="https://www.supremecourt.ohio.gov/rod/docs/pdf/12/2025/2025-Ohio-4780.pdf" TargetMode="External"/><Relationship Id="rId520" Type="http://schemas.openxmlformats.org/officeDocument/2006/relationships/hyperlink" Target="https://casetext.com/case/oneal-v-city-of-hutchinson" TargetMode="External"/><Relationship Id="rId618" Type="http://schemas.openxmlformats.org/officeDocument/2006/relationships/hyperlink" Target="https://www.hstoday.us/perspective/eyes-on-preparedness-federal-courts-block-fema-dhs-immigration-grant-conditions-safeguarding-billions-in-emergency-preparedness-funds/" TargetMode="External"/><Relationship Id="rId825" Type="http://schemas.openxmlformats.org/officeDocument/2006/relationships/hyperlink" Target="https://cases.justia.com/federal/appellate-courts/ca5/24-50970/24-50970-2025-06-05.pdf?ts=1749144644" TargetMode="External"/><Relationship Id="rId1248" Type="http://schemas.openxmlformats.org/officeDocument/2006/relationships/hyperlink" Target="https://cases.justia.com/ohio/eighth-district-court-of-appeals/2019-108059.pdf?ts=1558624525" TargetMode="External"/><Relationship Id="rId1455" Type="http://schemas.openxmlformats.org/officeDocument/2006/relationships/hyperlink" Target="https://tracking.police1.com/t/8566464/200882223/6399312/0/1006865/?f5d63f87=RlIxLURhaWx5LTItMjctMjU&amp;b44ed14b=ZmVkMzU1YjgtNDZhMi00ZmE0LWI1NWMtNGQ2MDJkZGUzM2M0&amp;x=37c285e3" TargetMode="External"/><Relationship Id="rId1662" Type="http://schemas.openxmlformats.org/officeDocument/2006/relationships/hyperlink" Target="https://cases.justia.com/federal/district-courts/south-carolina/scdce/0:2024cv00826/288831/46/0.pdf" TargetMode="External"/><Relationship Id="rId2078" Type="http://schemas.openxmlformats.org/officeDocument/2006/relationships/hyperlink" Target="https://www.detroitnews.com/story/news/local/oakland-county/2020/12/10/paramedics-case-dead-woman-alive-can-regain-licenses/3883292001/" TargetMode="External"/><Relationship Id="rId2201" Type="http://schemas.openxmlformats.org/officeDocument/2006/relationships/hyperlink" Target="https://codes.ohio.gov/ohio-revised-code/section-4765.49" TargetMode="External"/><Relationship Id="rId2285" Type="http://schemas.openxmlformats.org/officeDocument/2006/relationships/hyperlink" Target="https://law.justia.com/cases/new-york/other-courts/2019/2019-ny-slip-op-30983-u.html" TargetMode="External"/><Relationship Id="rId2492" Type="http://schemas.openxmlformats.org/officeDocument/2006/relationships/hyperlink" Target="https://cdn.ca9.uscourts.gov/datastore/opinions/2023/08/04/22-15485.pdf" TargetMode="External"/><Relationship Id="rId2506" Type="http://schemas.openxmlformats.org/officeDocument/2006/relationships/hyperlink" Target="https://www.courts.ca.gov/opinions/nonpub/C096135.PDF" TargetMode="External"/><Relationship Id="rId257" Type="http://schemas.openxmlformats.org/officeDocument/2006/relationships/hyperlink" Target="https://www.usatoday.com/story/news/politics/2021/03/25/supreme-court-police-seizure-includes-shots-fired-fleeing-suspect/6995659002/" TargetMode="External"/><Relationship Id="rId464" Type="http://schemas.openxmlformats.org/officeDocument/2006/relationships/hyperlink" Target="https://casetext.com/case/maines-v-cronomer-val-fire" TargetMode="External"/><Relationship Id="rId1010" Type="http://schemas.openxmlformats.org/officeDocument/2006/relationships/hyperlink" Target="https://www.dol.gov/agencies/vets/programs/userra/USERRA-Pocket-Guide" TargetMode="External"/><Relationship Id="rId1094" Type="http://schemas.openxmlformats.org/officeDocument/2006/relationships/hyperlink" Target="https://casetext.com/case/bolling-v-city-of-montgomery" TargetMode="External"/><Relationship Id="rId1108" Type="http://schemas.openxmlformats.org/officeDocument/2006/relationships/hyperlink" Target="https://www.journal-news.com/news/local/fairfield-able-rehire-retired-fire-chief/JMPkJQCqJ2eIDqbu2eI8RK/" TargetMode="External"/><Relationship Id="rId1315" Type="http://schemas.openxmlformats.org/officeDocument/2006/relationships/hyperlink" Target="https://coa.nmcourts.gov/wp-content/uploads/sites/43/2024/09/September-30-2024-Eric-Tafoya-v.-City-of-Espanola-No.-A-1-CA-40276.pdf" TargetMode="External"/><Relationship Id="rId1967" Type="http://schemas.openxmlformats.org/officeDocument/2006/relationships/hyperlink" Target="https://code.wvlegislature.gov/email/24-6/" TargetMode="External"/><Relationship Id="rId2145" Type="http://schemas.openxmlformats.org/officeDocument/2006/relationships/hyperlink" Target="https://www.leagle.com/decision/infdco20220324d64" TargetMode="External"/><Relationship Id="rId2713" Type="http://schemas.openxmlformats.org/officeDocument/2006/relationships/hyperlink" Target="https://cases.justia.com/federal/district-courts/arizona/azdce/2:2023cv00612/1330978/17/0.pdf?ts=1697297155" TargetMode="External"/><Relationship Id="rId2797" Type="http://schemas.openxmlformats.org/officeDocument/2006/relationships/hyperlink" Target="https://www.supremecourt.gov/opinions/23pdf/22-451_7m58.pdf" TargetMode="External"/><Relationship Id="rId117" Type="http://schemas.openxmlformats.org/officeDocument/2006/relationships/hyperlink" Target="https://www.law.cornell.edu/wex/admit" TargetMode="External"/><Relationship Id="rId671" Type="http://schemas.openxmlformats.org/officeDocument/2006/relationships/hyperlink" Target="https://caselaw.findlaw.com/court/us-dis-crt-n-d-cal/115575640.html" TargetMode="External"/><Relationship Id="rId769" Type="http://schemas.openxmlformats.org/officeDocument/2006/relationships/hyperlink" Target="https://www.govinfo.gov/content/pkg/FR-2020-08-13/pdf/2020-17468.pdf" TargetMode="External"/><Relationship Id="rId976" Type="http://schemas.openxmlformats.org/officeDocument/2006/relationships/hyperlink" Target="https://www.fireapparatusmagazine.com/articles/print/volume-22/issue-3/features/hose-alert-a-firefighter-s-commonsense-solution-to-a-serious-problem.html" TargetMode="External"/><Relationship Id="rId1399" Type="http://schemas.openxmlformats.org/officeDocument/2006/relationships/hyperlink" Target="https://public.fastcase.com/Wl%2B2t%2BeVuI35%2FN70vAMFZpwObr9UCo7RpBGKfgPOWwVQBI%2BjVLV%2FylH6ScWLGBY%2F" TargetMode="External"/><Relationship Id="rId2352" Type="http://schemas.openxmlformats.org/officeDocument/2006/relationships/hyperlink" Target="https://app.leg.wa.gov/RCW/default.aspx?cite=18.71.200" TargetMode="External"/><Relationship Id="rId2657" Type="http://schemas.openxmlformats.org/officeDocument/2006/relationships/hyperlink" Target="https://www.cleveland.com/cityhall/2009/06/ohio_supreme_court_deals_a_leg.html" TargetMode="External"/><Relationship Id="rId324" Type="http://schemas.openxmlformats.org/officeDocument/2006/relationships/hyperlink" Target="https://www.supremecourt.gov/opinions/18pdf/18-6210_2co3.pdf" TargetMode="External"/><Relationship Id="rId531" Type="http://schemas.openxmlformats.org/officeDocument/2006/relationships/hyperlink" Target="https://www.firerescue1.com/arson-investigation/articles/court-rules-pa-man-can-be-re-tried-for-allegedly-setting-blaze-that-killed-3-firefighters-lLEkejoGfuP6GGk9/?utm_source=FireRescue1+Daily&amp;utm_campaign=f787a554cb-EMAIL_CAMPAIGN_2021_04_15_07_27&amp;utm_medium=email&amp;utm_term=0_758bdbeffe-f787a554cb-41607823" TargetMode="External"/><Relationship Id="rId629" Type="http://schemas.openxmlformats.org/officeDocument/2006/relationships/hyperlink" Target="https://cases.justia.com/pennsylvania/superior-court/2025-1252-eda-2024.pdf?ts=1758220361" TargetMode="External"/><Relationship Id="rId1161" Type="http://schemas.openxmlformats.org/officeDocument/2006/relationships/hyperlink" Target="https://www.doi.gov/sites/doi.gov/files/migrated/flert/training/upload/General-FF-LEO-Retirement-Information-Pamphlet.pdf" TargetMode="External"/><Relationship Id="rId1259" Type="http://schemas.openxmlformats.org/officeDocument/2006/relationships/hyperlink" Target="http://www.eeoc.gov/contact/index.cfm" TargetMode="External"/><Relationship Id="rId1466" Type="http://schemas.openxmlformats.org/officeDocument/2006/relationships/hyperlink" Target="https://casetext.com/case/page-v-clark-cnty-fire-dist-5" TargetMode="External"/><Relationship Id="rId2005" Type="http://schemas.openxmlformats.org/officeDocument/2006/relationships/hyperlink" Target="https://revisor.mo.gov/main/OneSection.aspx?section=579.020" TargetMode="External"/><Relationship Id="rId2212" Type="http://schemas.openxmlformats.org/officeDocument/2006/relationships/hyperlink" Target="https://www.aele.org/law/Digests/civil168b.html" TargetMode="External"/><Relationship Id="rId836" Type="http://schemas.openxmlformats.org/officeDocument/2006/relationships/hyperlink" Target="https://www.firelawblog.com/wp-content/uploads/sites/19/2024/10/Light-v.-Pub.-Utils.-Regul.-Auth._-2024-Conn.-Super.-LE.pdf" TargetMode="External"/><Relationship Id="rId1021" Type="http://schemas.openxmlformats.org/officeDocument/2006/relationships/hyperlink" Target="https://caselaw.findlaw.com/court/ny-supreme-court/117196656.html" TargetMode="External"/><Relationship Id="rId1119" Type="http://schemas.openxmlformats.org/officeDocument/2006/relationships/hyperlink" Target="https://casetext.com/case/dilaqua-v-city-of-philadelphia-fire-dept-workers-comp-appeal-board" TargetMode="External"/><Relationship Id="rId1673" Type="http://schemas.openxmlformats.org/officeDocument/2006/relationships/hyperlink" Target="https://public.fastcase.com/Wl%2B2t%2BeVuI35%2FN70vAMFZmLHUFluj8t0T%2BAyFM6B%2B2S9SNpejaiKBu7OSzXfoy%2FQ" TargetMode="External"/><Relationship Id="rId1880" Type="http://schemas.openxmlformats.org/officeDocument/2006/relationships/hyperlink" Target="https://casetext.com/case/dufrene-v-northshore-ems-llc" TargetMode="External"/><Relationship Id="rId1978" Type="http://schemas.openxmlformats.org/officeDocument/2006/relationships/hyperlink" Target="https://leginfo.legislature.ca.gov/faces/codes_displaySection.xhtml?sectionNum=1799.106.&amp;lawCode=HSC" TargetMode="External"/><Relationship Id="rId2517" Type="http://schemas.openxmlformats.org/officeDocument/2006/relationships/hyperlink" Target="https://cases.justia.com/north-carolina/court-of-appeals/2023-22-259.pdf?ts=1694553709" TargetMode="External"/><Relationship Id="rId2724" Type="http://schemas.openxmlformats.org/officeDocument/2006/relationships/hyperlink" Target="https://www.jud.ct.gov/external/supapp/Cases/AROap/AP218/218AP115.pdf" TargetMode="External"/><Relationship Id="rId903" Type="http://schemas.openxmlformats.org/officeDocument/2006/relationships/hyperlink" Target="https://cases.justia.com/federal/district-courts/new-york/nyndce/6:2022cv01157/135604/81/0.pdf?ts=1772211450" TargetMode="External"/><Relationship Id="rId1326" Type="http://schemas.openxmlformats.org/officeDocument/2006/relationships/hyperlink" Target="https://codes.ohio.gov/ohio-revised-code/section-4112.022" TargetMode="External"/><Relationship Id="rId1533" Type="http://schemas.openxmlformats.org/officeDocument/2006/relationships/hyperlink" Target="https://casetext.com/case/alexander-v-bahou/?PHONE_NUMBER_GROUP=P" TargetMode="External"/><Relationship Id="rId1740" Type="http://schemas.openxmlformats.org/officeDocument/2006/relationships/hyperlink" Target="https://cases.justia.com/federal/appellate-courts/ca5/19-60847/19-60847-2021-01-12.pdf?ts=1610476251" TargetMode="External"/><Relationship Id="rId32" Type="http://schemas.openxmlformats.org/officeDocument/2006/relationships/hyperlink" Target="https://cases.justia.com/utah/court-of-appeals-published/2025-20241334-ca.pdf?ts=1766864394" TargetMode="External"/><Relationship Id="rId1600" Type="http://schemas.openxmlformats.org/officeDocument/2006/relationships/hyperlink" Target="https://cases.justia.com/federal/appellate-courts/ca6/23-3459/23-3459-2024-03-18.pdf?ts=1710795630" TargetMode="External"/><Relationship Id="rId1838" Type="http://schemas.openxmlformats.org/officeDocument/2006/relationships/hyperlink" Targe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 TargetMode="External"/><Relationship Id="rId181" Type="http://schemas.openxmlformats.org/officeDocument/2006/relationships/hyperlink" Target="https://public.fastcase.com/J%2FJP6pdidelsXxEE4k%2BLMh%2BxgKCWLadJ0%2BOScffwypyz9KPkH6WwjXpW3uRa%2FlRTPk79L8Q2wc49Eb83uFrfiOwpLA5%2BzEeF6Sl%2BnZohK7o%3D?utm_medium=email&amp;_hsmi=226712652&amp;_hsenc=p2ANqtz--JRFw_odmHYH-3piiElV-hEg_p30YKZr85DqTYsa6cCP0cQTh9qrySQOzbjYsHMVm2otLm7TlEchGQvTofiaLZzRru3Q&amp;utm_content=226712652&amp;utm_source=hs_email" TargetMode="External"/><Relationship Id="rId1905" Type="http://schemas.openxmlformats.org/officeDocument/2006/relationships/hyperlink" Target="https://www.networkforphl.org/news-insights/overdose-good-samaritan-laws-should-protect-not-punish/" TargetMode="External"/><Relationship Id="rId279" Type="http://schemas.openxmlformats.org/officeDocument/2006/relationships/hyperlink" Target="https://law.justia.com/cases/massachusetts/court-of-appeals/2020/19-p-903.html" TargetMode="External"/><Relationship Id="rId486" Type="http://schemas.openxmlformats.org/officeDocument/2006/relationships/hyperlink" Target="https://www.courts.ca.gov/opinions/nonpub/C096220.PDF" TargetMode="External"/><Relationship Id="rId693" Type="http://schemas.openxmlformats.org/officeDocument/2006/relationships/hyperlink" Target="https://www.nyc.gov/assets/home/downloads/pdf/press-releases/2023/Antonyuk_Amicus_Brief.pdf" TargetMode="External"/><Relationship Id="rId2167" Type="http://schemas.openxmlformats.org/officeDocument/2006/relationships/hyperlink" Target="https://codes.ohio.gov/ohio-revised-code/section-4511.194" TargetMode="External"/><Relationship Id="rId2374" Type="http://schemas.openxmlformats.org/officeDocument/2006/relationships/hyperlink" Target="https://law.justia.com/cases/florida/first-district-court-of-appeal/2022/19-4601.html" TargetMode="External"/><Relationship Id="rId2581" Type="http://schemas.openxmlformats.org/officeDocument/2006/relationships/hyperlink" Target="https://public.fastcase.com/9SKwsfNqTc6OieYDhNMyMwLbquMieQJJAkWYEouDi7ix05WUlxmQyjrVFv7KR6XMi0MhNDFBQq54%2Fpuo4ib1qnZU%2F1hDs4fMcaW2pIa9a%2BY%3D" TargetMode="External"/><Relationship Id="rId139" Type="http://schemas.openxmlformats.org/officeDocument/2006/relationships/hyperlink" Target="https://www.supremecourt.gov/opinions/23pdf/22-324_09m1.pdf" TargetMode="External"/><Relationship Id="rId346" Type="http://schemas.openxmlformats.org/officeDocument/2006/relationships/hyperlink" Target="https://www.supremecourt.gov/opinions/17pdf/16-1466_2b3j.pdf" TargetMode="External"/><Relationship Id="rId553" Type="http://schemas.openxmlformats.org/officeDocument/2006/relationships/hyperlink" Target="https://www.bwc.ohio.gov/downloads/blankpdf/sviu.pdf" TargetMode="External"/><Relationship Id="rId760" Type="http://schemas.openxmlformats.org/officeDocument/2006/relationships/hyperlink" Target="https://immigrationequality.org/asylum/asylum-manual/immigration-basics-relief-under-cat/" TargetMode="External"/><Relationship Id="rId998" Type="http://schemas.openxmlformats.org/officeDocument/2006/relationships/hyperlink" Target="https://cases.justia.com/arizona/supreme-court/2025-cv-23-0211-pr.pdf?ts=1743008459" TargetMode="External"/><Relationship Id="rId1183" Type="http://schemas.openxmlformats.org/officeDocument/2006/relationships/hyperlink" Target="https://casetext.com/case/heneghan-v-city-of-evanston" TargetMode="External"/><Relationship Id="rId1390" Type="http://schemas.openxmlformats.org/officeDocument/2006/relationships/hyperlink" Target="https://public.fastcase.com/Wl%2B2t%2BeVuI35%2FN70vAMFZvXmXpQwu2GjLh16DzgzKzYNu%2FX9mokAK5AXod7BJ9cF" TargetMode="External"/><Relationship Id="rId2027" Type="http://schemas.openxmlformats.org/officeDocument/2006/relationships/hyperlink" Target="https://casetext.com/case/currie-v-aswegan-1" TargetMode="External"/><Relationship Id="rId2234" Type="http://schemas.openxmlformats.org/officeDocument/2006/relationships/hyperlink" Target="https://mdcourts.gov/data/opinions/cosa/2020/0318s19.pdf" TargetMode="External"/><Relationship Id="rId2441" Type="http://schemas.openxmlformats.org/officeDocument/2006/relationships/hyperlink" Target="https://cases.justia.com/federal/appellate-courts/ca7/24-1297/24-1297-2025-12-22.pdf?ts=1766437242" TargetMode="External"/><Relationship Id="rId2679" Type="http://schemas.openxmlformats.org/officeDocument/2006/relationships/hyperlink" Target="https://casetext.com/case/banske-v-city-of-calumet-city" TargetMode="External"/><Relationship Id="rId206" Type="http://schemas.openxmlformats.org/officeDocument/2006/relationships/hyperlink" Target="https://acis.alabama.gov/displaydocs.cfm?no=1126944&amp;event=6CD0OUEMB" TargetMode="External"/><Relationship Id="rId413" Type="http://schemas.openxmlformats.org/officeDocument/2006/relationships/hyperlink" Target="https://www.supremecourt.ohio.gov/rod/docs/pdf/0/2025/2025-Ohio-1296.pdf" TargetMode="External"/><Relationship Id="rId858" Type="http://schemas.openxmlformats.org/officeDocument/2006/relationships/hyperlink" Target="https://www.eff.org/files/2022/07/11/2022-07-11_-_tenth_circuit_-_irizarry_v_yehia.pdf" TargetMode="External"/><Relationship Id="rId1043" Type="http://schemas.openxmlformats.org/officeDocument/2006/relationships/hyperlink" Target="https://cases.justia.com/louisiana/fourth-circuit-court-of-appeal/2024-2024-ca-0114.pdf?ts=1727828103" TargetMode="External"/><Relationship Id="rId1488" Type="http://schemas.openxmlformats.org/officeDocument/2006/relationships/hyperlink" Target="https://www.wkbw.com/news/local-news/city-of-buffalo-updating-training-procedures-rolling-out-diversity-training-for-every-department" TargetMode="External"/><Relationship Id="rId1695" Type="http://schemas.openxmlformats.org/officeDocument/2006/relationships/hyperlink" Target="https://www.dol.gov/agencies/whd/fact-sheets/56c-bonuses" TargetMode="External"/><Relationship Id="rId2539" Type="http://schemas.openxmlformats.org/officeDocument/2006/relationships/hyperlink" Target="https://law.justia.com/cases/federal/appellate-courts/ca6/21-3832/21-3832-2023-01-25.html" TargetMode="External"/><Relationship Id="rId2746" Type="http://schemas.openxmlformats.org/officeDocument/2006/relationships/hyperlink" Target="http://perc.myflorida.com/download.aspx/Prefix=CA/CaseYr=21/CaseNo=012/File=CA21012_Ord10_05192022_163540.pdf" TargetMode="External"/><Relationship Id="rId620" Type="http://schemas.openxmlformats.org/officeDocument/2006/relationships/hyperlink" Target="https://cases.justia.com/federal/district-courts/illinois/ilndce/1:2025cv12765/488308/72/0.pdf?ts=1763809095" TargetMode="External"/><Relationship Id="rId718" Type="http://schemas.openxmlformats.org/officeDocument/2006/relationships/hyperlink" Target="https://casetext.com/case/elshinawy-v-united-states-1" TargetMode="External"/><Relationship Id="rId925" Type="http://schemas.openxmlformats.org/officeDocument/2006/relationships/hyperlink" Target="https://casetext.com/statute/texas-codes/civil-practice-and-remedies-code/title-5-governmental-liability/chapter-101-tort-claims/subchapter-b-tort-liability-of-governmental-units/section-101021-governmental-liability" TargetMode="External"/><Relationship Id="rId1250" Type="http://schemas.openxmlformats.org/officeDocument/2006/relationships/hyperlink" Target="http://inmanfitzgibbons.com/illinois-wc-alert-rebutting-the-6f-presumption/" TargetMode="External"/><Relationship Id="rId1348" Type="http://schemas.openxmlformats.org/officeDocument/2006/relationships/hyperlink" Target="https://supremecourt.nebraska.gov/sites/default/files/a21-954m.pdf" TargetMode="External"/><Relationship Id="rId1555" Type="http://schemas.openxmlformats.org/officeDocument/2006/relationships/hyperlink" Target="https://scholar.google.com/scholar_case?case=2959279778538737103&amp;hl=en&amp;as_sdt=6,36" TargetMode="External"/><Relationship Id="rId1762" Type="http://schemas.openxmlformats.org/officeDocument/2006/relationships/hyperlink" Target="https://www.law.cornell.edu/uscode/text/29/216" TargetMode="External"/><Relationship Id="rId2301" Type="http://schemas.openxmlformats.org/officeDocument/2006/relationships/hyperlink" Target="https://cases.justia.com/federal/appellate-courts/ca7/17-3060/17-3060-2018-08-14.pdf?ts=1534262420" TargetMode="External"/><Relationship Id="rId2606" Type="http://schemas.openxmlformats.org/officeDocument/2006/relationships/hyperlink" Target="https://www.lasc.org/Opinions/2020/20-0491.CC.OPN.pdf" TargetMode="External"/><Relationship Id="rId1110" Type="http://schemas.openxmlformats.org/officeDocument/2006/relationships/hyperlink" Target="https://isc.idaho.gov/opinions/49171.pdf" TargetMode="External"/><Relationship Id="rId1208" Type="http://schemas.openxmlformats.org/officeDocument/2006/relationships/hyperlink" Target="https://law.justia.com/cases/maryland/court-of-special-appeals/2020/2498-17.html" TargetMode="External"/><Relationship Id="rId1415" Type="http://schemas.openxmlformats.org/officeDocument/2006/relationships/hyperlink" Target="http://41af3k34gprx4f6bg12df75i.wpengine.netdna-cdn.com/wp-content/uploads/sites/19/2016/03/Hurd-v-Lincoln.pdf" TargetMode="External"/><Relationship Id="rId2813" Type="http://schemas.openxmlformats.org/officeDocument/2006/relationships/hyperlink" Target="https://www.congress.gov/bill/117th-congress/house-bill/4445/text" TargetMode="External"/><Relationship Id="rId54" Type="http://schemas.openxmlformats.org/officeDocument/2006/relationships/hyperlink" Target="https://cases.justia.com/federal/appellate-courts/ca7/24-3163/24-3163-2025-07-22.pdf?ts=1753214416" TargetMode="External"/><Relationship Id="rId1622" Type="http://schemas.openxmlformats.org/officeDocument/2006/relationships/hyperlink" Target="https://public.fastcase.com/J%2FJP6pdidelsXxEE4k%2BLMiteJGWvZUfwvvNNihi30%2B3WDxUCsaXKSaCpKvBtAgs2vLiA9OVuPhL49GE7aECM8IIU6kbJlailTpTCbBqx2w4%3D?utm_medium=email&amp;_hsmi=226712652&amp;_hsenc=p2ANqtz---SEadQ3HE9lUqxxQW5cr7Vybxx0tHPHEXMPHfSJcPHzXu-t4fnJYchJuK4CNgA9WWUPQ6Jxn6Xff3x8kPfGcAZk9K8A&amp;utm_content=226712652&amp;utm_source=hs_email" TargetMode="External"/><Relationship Id="rId1927" Type="http://schemas.openxmlformats.org/officeDocument/2006/relationships/hyperlink" Target="https://public.fastcase.com/Jhe1Qn%2BmJndQYQU6z%2FeNm%2BJGkZOBI%2FIR3xMI1hqgTrQGqCoob0t8sJ6Oq4%2B3vNWN?utm_medium=email&amp;_hsenc=p2ANqtz-9C5O8INd3-mOP0XdLpifj0NkMcgvHJMlYVXVlVDxFjxItyF7mxImlUcaWgD0DywBt6olIyvEknUS-SxKw_pSJ1xCMABg&amp;_hsmi=226712652&amp;utm_content=226712652&amp;utm_source=hs_email" TargetMode="External"/><Relationship Id="rId2091" Type="http://schemas.openxmlformats.org/officeDocument/2006/relationships/hyperlink" Target="https://law.justia.com/cases/new-york/other-courts/2023/2023-ny-slip-op-31298-u.html" TargetMode="External"/><Relationship Id="rId2189" Type="http://schemas.openxmlformats.org/officeDocument/2006/relationships/hyperlink" Target="https://www.zanesvilletimesrecorder.com/story/news/local/2016/12/17/two-dead-after-ambulance-rollover/95557626/" TargetMode="External"/><Relationship Id="rId270" Type="http://schemas.openxmlformats.org/officeDocument/2006/relationships/hyperlink" Target="http://codes.ohio.gov/orc/102.01" TargetMode="External"/><Relationship Id="rId2396" Type="http://schemas.openxmlformats.org/officeDocument/2006/relationships/hyperlink" Target="https://public.fastcase.com/Wl%2B2t%2BeVuI35%2FN70vAMFZlfrbL2Iv9t8X190JkA%2BKSgGR212V5tgaR0%2FcTyilOxc" TargetMode="External"/><Relationship Id="rId130" Type="http://schemas.openxmlformats.org/officeDocument/2006/relationships/hyperlink" Target="https://www.reformer.com/local-news/vermont-supreme-court-rejects-rv-housing-appeal-in-brattleboro/article_1aa8b844-48f7-11ef-b1d5-5784c0449d3d.html" TargetMode="External"/><Relationship Id="rId368" Type="http://schemas.openxmlformats.org/officeDocument/2006/relationships/hyperlink" Target="https://supreme.justia.com/cases/federal/us/391/563/" TargetMode="External"/><Relationship Id="rId575" Type="http://schemas.openxmlformats.org/officeDocument/2006/relationships/hyperlink" Target="https://www.firstrespondercenter.org/cancer/toolsresources/presumptive-legislation-firefighter-cancer-state/" TargetMode="External"/><Relationship Id="rId782" Type="http://schemas.openxmlformats.org/officeDocument/2006/relationships/hyperlink" Target="https://www.dhs.gov/news/2020/06/18/dhs-statement-supreme-court-decision-daca" TargetMode="External"/><Relationship Id="rId2049" Type="http://schemas.openxmlformats.org/officeDocument/2006/relationships/hyperlink" Target="https://cases.justia.com/kentucky/court-of-appeals/2024-2022-ca-1330-mr.pdf?ts=1709910288" TargetMode="External"/><Relationship Id="rId2256" Type="http://schemas.openxmlformats.org/officeDocument/2006/relationships/hyperlink" Target="http://www.pacourts.us/assets/opinions/Supreme/out/68MM2020mo%20-%2010439399799476700.pdf?cb=1" TargetMode="External"/><Relationship Id="rId2463" Type="http://schemas.openxmlformats.org/officeDocument/2006/relationships/hyperlink" Target="https://indianacapitalchronicle.com/2024/10/14/former-indiana-sheriff-jamey-noel-sentenced-to-15-years-in-prison-as-part-of-plea-deal/" TargetMode="External"/><Relationship Id="rId2670" Type="http://schemas.openxmlformats.org/officeDocument/2006/relationships/hyperlink" Target="http://media.ca11.uscourts.gov/opinions/unpub/files/201715398.pdf" TargetMode="External"/><Relationship Id="rId228" Type="http://schemas.openxmlformats.org/officeDocument/2006/relationships/hyperlink" Target="https://www.mainelegislature.org/legis/statutes/17/title17sec2857.html" TargetMode="External"/><Relationship Id="rId435" Type="http://schemas.openxmlformats.org/officeDocument/2006/relationships/hyperlink" Target="https://www.supremecourt.ohio.gov/rod/docs/pdf/10/2024/2024-Ohio-5181.pdf" TargetMode="External"/><Relationship Id="rId642" Type="http://schemas.openxmlformats.org/officeDocument/2006/relationships/hyperlink" Target="https://www.supremecourt.gov/opinions/24pdf/23-852_c07d.pdf" TargetMode="External"/><Relationship Id="rId1065" Type="http://schemas.openxmlformats.org/officeDocument/2006/relationships/hyperlink" Target="https://public.fastcase.com/ZZhmr5v9wN%2FXOe5IsQ%2FqD597Cj8vEFtFKU6dv%2BnWYID0RND2DGxx0gwPm3LnKjbN?utm_medium=email&amp;_hsmi=226712652&amp;_hsenc=p2ANqtz-9VqkDv3iEaCOhGJ0e7W649YKVFgXPPT1K4rwfEfIma89pOhcAxwCchfIpHNeRMlfH4gAwQhfXkNV3ClRJYpxBL670A4g&amp;utm_content=226712652&amp;utm_source=hs_email" TargetMode="External"/><Relationship Id="rId1272" Type="http://schemas.openxmlformats.org/officeDocument/2006/relationships/hyperlink" Target="https://legislature.vermont.gov/assets/Documents/2018/WorkGroups/House%20Commerce/Bills/H.197/H.197~Laura%20Backus%20Hall~NCCI%20White%20Paper%20on%20Firefighter%20Presumptive%20Coverage~3-16-2017.pdf" TargetMode="External"/><Relationship Id="rId2116" Type="http://schemas.openxmlformats.org/officeDocument/2006/relationships/hyperlink" Target="https://law.justia.com/cases/michigan/court-of-appeals-unpublished/2022/357887.html" TargetMode="External"/><Relationship Id="rId2323" Type="http://schemas.openxmlformats.org/officeDocument/2006/relationships/hyperlink" Target="https://codes.findlaw.com/ny/general-municipal-law/gmu-sect-205-a.html" TargetMode="External"/><Relationship Id="rId2530" Type="http://schemas.openxmlformats.org/officeDocument/2006/relationships/hyperlink" Target="https://www.justice.gov/opa/pr/former-deputy-us-marshal-sentenced-cyberstalking-perjury-and-obstruction" TargetMode="External"/><Relationship Id="rId2768" Type="http://schemas.openxmlformats.org/officeDocument/2006/relationships/hyperlink" Target="https://www.firehouse.com/careers-education/news/21056124/watertownofficials-wants-to-take-firefighters-union-to-new-york-supreme-court" TargetMode="External"/><Relationship Id="rId502" Type="http://schemas.openxmlformats.org/officeDocument/2006/relationships/hyperlink" Target="https://www.delawareonline.com/story/news/local/2016/10/12/injured-wilmington-firefighters-critical-condition/91951672/" TargetMode="External"/><Relationship Id="rId947" Type="http://schemas.openxmlformats.org/officeDocument/2006/relationships/hyperlink" Target="https://codes.ohio.gov/ohio-revised-code/section-4511.03" TargetMode="External"/><Relationship Id="rId1132" Type="http://schemas.openxmlformats.org/officeDocument/2006/relationships/hyperlink" Target="https://www.leagle.com/decision/inohco20211007389" TargetMode="External"/><Relationship Id="rId1577" Type="http://schemas.openxmlformats.org/officeDocument/2006/relationships/hyperlink" Target="https://www.govinfo.gov/content/pkg/USCOURTS-nhd-1_23-cv-00327/pdf/USCOURTS-nhd-1_23-cv-00327-0.pdf" TargetMode="External"/><Relationship Id="rId1784" Type="http://schemas.openxmlformats.org/officeDocument/2006/relationships/hyperlink" Target="https://www.nbcchicago.com/news/local/reservist-sues-civilian-employer-nbc-investigates/153292/" TargetMode="External"/><Relationship Id="rId1991" Type="http://schemas.openxmlformats.org/officeDocument/2006/relationships/hyperlink" Target="https://caselaw.findlaw.com/court/ca-court-of-appeal/116718051.html" TargetMode="External"/><Relationship Id="rId2628" Type="http://schemas.openxmlformats.org/officeDocument/2006/relationships/hyperlink" Target="https://www.courts.ca.gov/opinions/nonpub/D074721.PDF" TargetMode="External"/><Relationship Id="rId76" Type="http://schemas.openxmlformats.org/officeDocument/2006/relationships/hyperlink" Target="https://www.supremecourt.gov/opinions/24pdf/22-7466new_6479.pdf" TargetMode="External"/><Relationship Id="rId807" Type="http://schemas.openxmlformats.org/officeDocument/2006/relationships/hyperlink" Target="https://www.nytimes.com/2018/06/22/us/politics/supreme-court-warrants-cell-phone-privacy.html" TargetMode="External"/><Relationship Id="rId1437" Type="http://schemas.openxmlformats.org/officeDocument/2006/relationships/hyperlink" Target="https://public.fastcase.com/jaEE2PXzRXmZ99jOLMt1IuS%2F9HpBr5oZUxWDfnHZUAClV0FMS0FkyPj2D073HVCd?utm_medium=email&amp;_hsenc=p2ANqtz-8Af1EW_JVwBhx0UDxsfrXH8_2s6MlC6Pm7CWzCebAgUkWejdyZMRNp9kjbmr3YiOjRBOAIc4DZsyAhk1nZpl--uaoeAg&amp;_hsmi=226712652&amp;utm_content=226712652&amp;utm_source=hs_email" TargetMode="External"/><Relationship Id="rId1644" Type="http://schemas.openxmlformats.org/officeDocument/2006/relationships/hyperlink" Target="https://cases.justia.com/new-york/other-courts/2020-2020-ny-slip-op-31890-u.pdf?ts=1592946781" TargetMode="External"/><Relationship Id="rId1851" Type="http://schemas.openxmlformats.org/officeDocument/2006/relationships/hyperlink" Target="https://casetext.com/statute/montana-code/title-39-labor/chapter-31-collective-bargaining-for-public-employees/part-4-unfair-labor-practices/section-39-31-406-hearing-on-complaint-findings-order" TargetMode="External"/><Relationship Id="rId1504" Type="http://schemas.openxmlformats.org/officeDocument/2006/relationships/hyperlink" Target="https://public.fastcase.com/J%2FJP6pdidelsXxEE4k%2BLMkGcJRI5fEIWTRrrr5g307eiV2fonCWWxfQ8%2FgFOC0SXeLTzITpIpaPKGCBs2ZuJTAu1fIsNckzREaOIJEOyjuU%3D" TargetMode="External"/><Relationship Id="rId1711" Type="http://schemas.openxmlformats.org/officeDocument/2006/relationships/hyperlink" Target="https://www.firefighterovertime.org/2024/11/24/settlement-proposed-for-ma-firefighters-following-2023-flsa-lawsuit/" TargetMode="External"/><Relationship Id="rId1949" Type="http://schemas.openxmlformats.org/officeDocument/2006/relationships/hyperlink" Target="https://www.michbar.org/Portals/0/opinions/appeals/2025/102325/84576.pdf" TargetMode="External"/><Relationship Id="rId292" Type="http://schemas.openxmlformats.org/officeDocument/2006/relationships/hyperlink" Target="https://www.courts.state.md.us/sites/default/files/unreported-opinions/0614s19.pdf" TargetMode="External"/><Relationship Id="rId1809" Type="http://schemas.openxmlformats.org/officeDocument/2006/relationships/hyperlink" Target="https://www.dol.gov/agencies/vets/programs/userra" TargetMode="External"/><Relationship Id="rId597" Type="http://schemas.openxmlformats.org/officeDocument/2006/relationships/hyperlink" Target="https://www.nytimes.com/2018/04/02/us/politics/supreme-court-rules-for-police-officer-in-excessive-force-case.html" TargetMode="External"/><Relationship Id="rId2180" Type="http://schemas.openxmlformats.org/officeDocument/2006/relationships/hyperlink" Target="https://www.denverpost.com/2021/09/02/elijah-mclain-charges-manslaughter-negligent-homicide/" TargetMode="External"/><Relationship Id="rId2278" Type="http://schemas.openxmlformats.org/officeDocument/2006/relationships/hyperlink" Target="https://www.fresnobee.com/news/local/article167656267.html" TargetMode="External"/><Relationship Id="rId2485" Type="http://schemas.openxmlformats.org/officeDocument/2006/relationships/hyperlink" Target="https://law.justia.com/cases/new-york/appellate-division-third-department/2024/cv-23-1185.html" TargetMode="External"/><Relationship Id="rId152" Type="http://schemas.openxmlformats.org/officeDocument/2006/relationships/hyperlink" Target="https://casetext.com/case/people-v-hailey-43" TargetMode="External"/><Relationship Id="rId457" Type="http://schemas.openxmlformats.org/officeDocument/2006/relationships/hyperlink" Target="https://public.fastcase.com/H1P9uiW3J20SFp%2BGCG%2BxLbl0r%2FVDwzY9bFFJYqsh2zfJNVHn0JMcdFbkvIZSEaI0?utm_medium=email&amp;_hsmi=226712652&amp;_hsenc=p2ANqtz-8YA_f1AfCb15SVfFtIs0GBJg2UPhrOC0M_f0Fb9rbVagQyKLN71UFoiLhG6tJj5xQri87F989l3qtQXeXvmTCDhcNwWw&amp;utm_content=226712652&amp;utm_source=hs_email" TargetMode="External"/><Relationship Id="rId1087" Type="http://schemas.openxmlformats.org/officeDocument/2006/relationships/hyperlink" Target="https://public.fastcase.com/J%2FJP6pdidelsXxEE4k%2BLMqXEJeUJZsYN8XwYWOyUlC0GPh%2F%2Bwkq0xl5anyRaTE9QaHRZkEBmW2yHOKZORN4PlxYhmnon1IB%2FHyIvmx43UH0%3D?utm_medium=email&amp;_hsmi=226712652&amp;_hsenc=p2ANqtz-9rfqpJ9UH1QBxXvlnF05ow2K3pkk0BVnTTX6Sp6SY3f-pdahd0e2LayjJ1D5QImVRxXi3oa7lL84FVoA8yZRWqxdZ-pA&amp;utm_content=226712652&amp;utm_source=hs_email" TargetMode="External"/><Relationship Id="rId1294" Type="http://schemas.openxmlformats.org/officeDocument/2006/relationships/hyperlink" Target="https://media.ca7.uscourts.gov/cgi-bin/rssExec.pl?Submit=Display&amp;Path=Y2022/D07-12/C:21-2784:J:PerCuriam:aut:T:npDp:N:2902357:S:0" TargetMode="External"/><Relationship Id="rId2040" Type="http://schemas.openxmlformats.org/officeDocument/2006/relationships/hyperlink" Target="https://richmondside.org/2025/09/11/civil-rights-trial-forced-sedation-richmond-death/" TargetMode="External"/><Relationship Id="rId2138" Type="http://schemas.openxmlformats.org/officeDocument/2006/relationships/hyperlink" Target="https://law.justia.com/cases/new-york/other-courts/2022/2022-ny-slip-op-22137.html" TargetMode="External"/><Relationship Id="rId2692" Type="http://schemas.openxmlformats.org/officeDocument/2006/relationships/hyperlink" Target="https://insideinvestigator.org/court-upholds-finding-of-retaliation-against-suffield-firefighter/" TargetMode="External"/><Relationship Id="rId664" Type="http://schemas.openxmlformats.org/officeDocument/2006/relationships/hyperlink" Target="https://www.supremecourt.gov/opinions/23pdf/22-1178_p8k0.pdf" TargetMode="External"/><Relationship Id="rId871" Type="http://schemas.openxmlformats.org/officeDocument/2006/relationships/hyperlink" Target="https://codes.ohio.gov/ohio-revised-code/section-3746.24" TargetMode="External"/><Relationship Id="rId969" Type="http://schemas.openxmlformats.org/officeDocument/2006/relationships/hyperlink" Target="https://cases.justia.com/texas/seventh-court-of-appeals/2020-07-19-00027-cr.pdf?ts=1586952945" TargetMode="External"/><Relationship Id="rId1599" Type="http://schemas.openxmlformats.org/officeDocument/2006/relationships/hyperlink" Target="https://www.supremecourt.gov/DocketPDF/23/23-997/307313/20240411092101975_Amicus%20Brief.pdf" TargetMode="External"/><Relationship Id="rId2345" Type="http://schemas.openxmlformats.org/officeDocument/2006/relationships/hyperlink" Target="https://afcca.law.af.mil/afcca_opinions/cp/giles_-_40482_u_2091447.pdf" TargetMode="External"/><Relationship Id="rId2552" Type="http://schemas.openxmlformats.org/officeDocument/2006/relationships/hyperlink" Target="https://casetext.com/case/olguin-v-city-of-hollister" TargetMode="External"/><Relationship Id="rId317" Type="http://schemas.openxmlformats.org/officeDocument/2006/relationships/hyperlink" Target="https://cases.justia.com/ohio/eighth-district-court-of-appeals/2019-108224.pdf?ts=1576167401" TargetMode="External"/><Relationship Id="rId524" Type="http://schemas.openxmlformats.org/officeDocument/2006/relationships/hyperlink" Target="https://www.14news.com/2021/08/12/supreme-court-wont-stop-indiana-universitys-covid-vaccination-requirement/" TargetMode="External"/><Relationship Id="rId731" Type="http://schemas.openxmlformats.org/officeDocument/2006/relationships/hyperlink" Target="https://www.cincinnati.com/story/news/2020/08/01/dayton-shootings-oregon-district-year-later/5521896002/" TargetMode="External"/><Relationship Id="rId1154" Type="http://schemas.openxmlformats.org/officeDocument/2006/relationships/hyperlink" Target="https://codes.ohio.gov/ohio-revised-code/section-2745.01" TargetMode="External"/><Relationship Id="rId1361" Type="http://schemas.openxmlformats.org/officeDocument/2006/relationships/hyperlink" Target="https://www.kktv.com/2022/03/03/biden-sign-bill-ending-forced-arbitration-sexual-harassment-assault-cases/" TargetMode="External"/><Relationship Id="rId1459" Type="http://schemas.openxmlformats.org/officeDocument/2006/relationships/hyperlink" Target="https://www.firerescue1.com/legal/justice-department-drops-alleged-discriminatory-ff-hiring-cases-in-dei-rollback?utm_source=delivra&amp;utm_medium=email&amp;utm_campaign=FR1-Daily-2-27-25&amp;utm_id=8566464&amp;dlv-emuid=fed355b8-46a2-4fa4-b55c-4d602dde33c4&amp;dlv-mlid=8566464" TargetMode="External"/><Relationship Id="rId2205" Type="http://schemas.openxmlformats.org/officeDocument/2006/relationships/hyperlink" Target="https://casetext.com/case/county-of-sacramento-v-lewis" TargetMode="External"/><Relationship Id="rId2412" Type="http://schemas.openxmlformats.org/officeDocument/2006/relationships/hyperlink" Target="https://caselaw.findlaw.com/court/la-court-of-appeal/118312488.html" TargetMode="External"/><Relationship Id="rId98" Type="http://schemas.openxmlformats.org/officeDocument/2006/relationships/hyperlink" Target="https://cases.justia.com/pennsylvania/superior-court/2024-1034-mda-2023.pdf?ts=1729535164" TargetMode="External"/><Relationship Id="rId829" Type="http://schemas.openxmlformats.org/officeDocument/2006/relationships/hyperlink" Target="https://www.fireengineering.com/firefighting/lawsuit-against-mi-firefighters-who-issued-all-clear-at-fatal-fire-can-continue/?utm_source=fe_daily_newsletter&amp;utm_medium=email&amp;utm_campaign" TargetMode="External"/><Relationship Id="rId1014" Type="http://schemas.openxmlformats.org/officeDocument/2006/relationships/hyperlink" Target="https://cases.justia.com/kentucky/court-of-appeals/2025-2024-ca-0152-mr.pdf?ts=1748009113" TargetMode="External"/><Relationship Id="rId1221" Type="http://schemas.openxmlformats.org/officeDocument/2006/relationships/hyperlink" Target="https://ohsonline.com/articles/2010/01/04/expanded-cancer-presumption-law.aspx" TargetMode="External"/><Relationship Id="rId1666" Type="http://schemas.openxmlformats.org/officeDocument/2006/relationships/hyperlink" Target="https://caselaw.findlaw.com/court/us-dis-crt-d-con/115860244.html" TargetMode="External"/><Relationship Id="rId1873" Type="http://schemas.openxmlformats.org/officeDocument/2006/relationships/hyperlink" Target="https://www.2dca.org/content/download/849844/opinion/211477_DC13_09232022_081840_i.pdf" TargetMode="External"/><Relationship Id="rId2717" Type="http://schemas.openxmlformats.org/officeDocument/2006/relationships/hyperlink" Target="https://www.courtnewsohio.gov/cases/2023/SCO/0829/220988.asp" TargetMode="External"/><Relationship Id="rId1319" Type="http://schemas.openxmlformats.org/officeDocument/2006/relationships/hyperlink" Target="https://www.1011now.com/2024/02/05/city-lincoln-settles-lfr-sexual-discrimination-lawsuits-900000/" TargetMode="External"/><Relationship Id="rId1526" Type="http://schemas.openxmlformats.org/officeDocument/2006/relationships/hyperlink" Target="https://public.fastcase.com/9SKwsfNqTc6OieYDhNMyM6Hs9QyuQxgDWvshWHam%2BmmecJULtiEuwgF0cJ0eF8SA" TargetMode="External"/><Relationship Id="rId1733" Type="http://schemas.openxmlformats.org/officeDocument/2006/relationships/hyperlink" Target="https://www.ca2.uscourts.gov/decisions/isysquery/8e9e3763-33d2-40e3-8df3-c0e92234493d/2/doc/21-2095_opn.pdf" TargetMode="External"/><Relationship Id="rId1940" Type="http://schemas.openxmlformats.org/officeDocument/2006/relationships/hyperlink" Target="https://www4.courts.ca.gov/opinions/nonpub/D085716.PDF" TargetMode="External"/><Relationship Id="rId25" Type="http://schemas.openxmlformats.org/officeDocument/2006/relationships/hyperlink" Target="https://public.fastcase.com/Jhe1Qn%2BmJndQYQU6z%2FeNm57E189vmSMp%2BOS67ay8wFWitKPcCGY4GMdxJS93bY4IOZ1rR%2BpqLAwnmO1MhhKsFw8mOzyCAgo2oZ0ZZPsNViU%3D?utm_medium=email&amp;_hsenc=p2ANqtz-_RDDEsF8WYWrAIUyd_V4g0U3Z9WIVpc4wUXBmJG03XH_ukvjIDW01jf2KlbNNNJy_jYwJIbAOIzBm1vMJk5QjVjhiSog&amp;_hsmi=226712652&amp;utm_content=226712652&amp;utm_source=hs_email" TargetMode="External"/><Relationship Id="rId1800" Type="http://schemas.openxmlformats.org/officeDocument/2006/relationships/hyperlink" Target="https://public.fastcase.com/Wl%2B2t%2BeVuI35%2FN70vAMFZiOi%2BYkXYMCNnCyjC1oPHdpZa1VeLChap2kxy9UfPfNs" TargetMode="External"/><Relationship Id="rId174" Type="http://schemas.openxmlformats.org/officeDocument/2006/relationships/hyperlink" Target="https://www.justice.gov/opa/pr/false-claims-act-settlements-and-judgments-exceed-2-billion-fiscal-year-2022" TargetMode="External"/><Relationship Id="rId381" Type="http://schemas.openxmlformats.org/officeDocument/2006/relationships/hyperlink" Target="https://cases.justia.com/federal/district-courts/maryland/mddce/1:2025cv00796/578117/19/0.pdf?ts=1771692701" TargetMode="External"/><Relationship Id="rId2062" Type="http://schemas.openxmlformats.org/officeDocument/2006/relationships/hyperlink" Target="https://public3.pagefreezer.com/browse/HHS.gov/31-12-2020T08:51/https://www.hhs.gov/about/news/2019/12/30/ambulance-company-pays-65000-settle-allegations-longstanding-hipaa-noncompliance.html" TargetMode="External"/><Relationship Id="rId241" Type="http://schemas.openxmlformats.org/officeDocument/2006/relationships/hyperlink" Target="https://www.supremecourt.gov/DocketPDF/20/20A169/181359/20210610165940894_20A169%20Amicus%20Mot.pdf" TargetMode="External"/><Relationship Id="rId479" Type="http://schemas.openxmlformats.org/officeDocument/2006/relationships/hyperlink" Target="https://casetext.com/statute/california-codes/california-civil-code/division-3-obligations/part-3-obligations-imposed-by-law/section-17149-injury-to-peace-officer-firefighter-or-emergency-medical-personnel" TargetMode="External"/><Relationship Id="rId686" Type="http://schemas.openxmlformats.org/officeDocument/2006/relationships/hyperlink" Target="https://casetext.com/case/baarbe-v-the-syrian-arab-republic" TargetMode="External"/><Relationship Id="rId893" Type="http://schemas.openxmlformats.org/officeDocument/2006/relationships/hyperlink" Target="https://leginfo.legislature.ca.gov/faces/billTextClient.xhtml?bill_id=201920200AB2655" TargetMode="External"/><Relationship Id="rId2367" Type="http://schemas.openxmlformats.org/officeDocument/2006/relationships/hyperlink" Target="https://ilcourtsaudio.blob.core.windows.net/antilles-resources/resources/92cdfb54-2dda-4342-acee-d86ea11493ea/Szymala%20v.%20Romeoville%20Firefighters%27%20Pension%20Fund,%202023%20IL%20App%20(3d)%20220093-U.pdf" TargetMode="External"/><Relationship Id="rId2574" Type="http://schemas.openxmlformats.org/officeDocument/2006/relationships/hyperlink" Target="https://www.supremecourt.ohio.gov/rod/docs/pdf/0/2009/2009-ohio-2597.pdf" TargetMode="External"/><Relationship Id="rId2781" Type="http://schemas.openxmlformats.org/officeDocument/2006/relationships/hyperlink" Target="https://www.aclufl.org/legislation/hb-75sb-184-criminalizing-bystanders-exercising-first-amendment-rights/" TargetMode="External"/><Relationship Id="rId339" Type="http://schemas.openxmlformats.org/officeDocument/2006/relationships/hyperlink" Target="https://www.mass.gov/files/documents/2018/06/22/ASAB%2017-04%20%2044%20Mt.%20Vernon%20St.%2C%20Fitchburg.pdf?_ga=2.103697088.170248601.1551215432-2018690554.1551215432" TargetMode="External"/><Relationship Id="rId546" Type="http://schemas.openxmlformats.org/officeDocument/2006/relationships/hyperlink" Target="https://fox13now.com/2019/09/11/family-of-fallen-draper-firefighter-suing-state-of-california-for-wrongful-death/" TargetMode="External"/><Relationship Id="rId753" Type="http://schemas.openxmlformats.org/officeDocument/2006/relationships/hyperlink" Target="https://www.law.cornell.edu/uscode/text/8/1227" TargetMode="External"/><Relationship Id="rId1176" Type="http://schemas.openxmlformats.org/officeDocument/2006/relationships/hyperlink" Target="https://www.aclumaine.org/en/press-releases/yarmouth-residents-aclu-challenge-new-restrictions-who-can-run-town-council" TargetMode="External"/><Relationship Id="rId1383" Type="http://schemas.openxmlformats.org/officeDocument/2006/relationships/hyperlink" Target="https://scholar.google.com/scholar_case?case=1979118509333189928&amp;q=Rachel+MOSBY+v.+CITY+OF+BYRON,+GEORGIA,&amp;hl=en&amp;as_sdt=6,36" TargetMode="External"/><Relationship Id="rId2227" Type="http://schemas.openxmlformats.org/officeDocument/2006/relationships/hyperlink" Target="https://www.exploregeorgia.org/city/sapelo-island" TargetMode="External"/><Relationship Id="rId2434" Type="http://schemas.openxmlformats.org/officeDocument/2006/relationships/hyperlink" Target="https://www.wkyc.com/article/news/local/lorain-county/3news-investigates-avon-lake-terminates-fire-chief-investigation-into-workplace-conduct-leadership/95-a94cb6d7-c3ff-4355-be21-18103dc8f3f4" TargetMode="External"/><Relationship Id="rId101" Type="http://schemas.openxmlformats.org/officeDocument/2006/relationships/hyperlink" Target="https://cases.justia.com/minnesota/court-of-appeals/2024-a23-1836.pdf?ts=1726855674" TargetMode="External"/><Relationship Id="rId406" Type="http://schemas.openxmlformats.org/officeDocument/2006/relationships/hyperlink" Target="https://cases.justia.com/federal/district-courts/kentucky/kyedce/6:2024cv00173/106630/18/0.pdf?ts=1750154108" TargetMode="External"/><Relationship Id="rId960" Type="http://schemas.openxmlformats.org/officeDocument/2006/relationships/hyperlink" Target="https://law.justia.com/codes/west-virginia/2017/chapter-55/article-7b/section-55-7b-6/" TargetMode="External"/><Relationship Id="rId1036" Type="http://schemas.openxmlformats.org/officeDocument/2006/relationships/hyperlink" Target="https://ilcourtsaudio.blob.core.windows.net/antilles-resources/resources/19fc956b-c59f-4d15-932a-20de8f3f1feb/Mangiameli%20v.%20Illinois%20Workers%27%20Compensation%20Comm%27n,%202024%20IL%20App%20(1st)%20231397WC-U.pdf" TargetMode="External"/><Relationship Id="rId1243" Type="http://schemas.openxmlformats.org/officeDocument/2006/relationships/hyperlink" Target="https://cases.justia.com/washington/supreme-court/2019-96189-1.pdf?ts=1571325618" TargetMode="External"/><Relationship Id="rId1590" Type="http://schemas.openxmlformats.org/officeDocument/2006/relationships/hyperlink" Target="https://www.scotusblog.com/2024/06/court-adds-seven-cases-to-next-terms-docket/" TargetMode="External"/><Relationship Id="rId1688" Type="http://schemas.openxmlformats.org/officeDocument/2006/relationships/hyperlink" Target="https://www.firefighterovertime.org/2026/01/04/fourth-circuit-rules-against-battalion-chiefs-in-virginia-flsa-lawsuit/" TargetMode="External"/><Relationship Id="rId1895" Type="http://schemas.openxmlformats.org/officeDocument/2006/relationships/hyperlink" Target="https://www.fireengineering.com/leadership/marijuana-in-the-fire-service-up-in-smoke-part-ii/" TargetMode="External"/><Relationship Id="rId2641" Type="http://schemas.openxmlformats.org/officeDocument/2006/relationships/hyperlink" Target="https://public.fastcase.com/Wl%2B2t%2BeVuI35%2FN70vAMFZsbNGaY2qJ5U2CI4LnVCoihkt6wfuyNvOKbs8su8KP1J" TargetMode="External"/><Relationship Id="rId2739" Type="http://schemas.openxmlformats.org/officeDocument/2006/relationships/hyperlink" Target="https://casetext.com/case/reed-v-city-of-conway" TargetMode="External"/><Relationship Id="rId613" Type="http://schemas.openxmlformats.org/officeDocument/2006/relationships/hyperlink" Target="https://www.supremecourt.gov/opinions/24pdf/24a931_2c83.pdf" TargetMode="External"/><Relationship Id="rId820" Type="http://schemas.openxmlformats.org/officeDocument/2006/relationships/hyperlink" Target="https://cases.justia.com/federal/district-courts/federal-claims/cofce/1:2020cv00368/40658/107/0.pdf?ts=1757681305" TargetMode="External"/><Relationship Id="rId918" Type="http://schemas.openxmlformats.org/officeDocument/2006/relationships/hyperlink" Target="https://www.supremecourt.ohio.gov/rod/docs/pdf/7/2025/2025-Ohio-203.pdf" TargetMode="External"/><Relationship Id="rId1450" Type="http://schemas.openxmlformats.org/officeDocument/2006/relationships/hyperlink" Target="https://www.americanbar.org/groups/diversity/diversity_pipeline/projects_initiatives/legal_opportunity_scholarship/" TargetMode="External"/><Relationship Id="rId1548" Type="http://schemas.openxmlformats.org/officeDocument/2006/relationships/hyperlink" Target="http://www.ca2.uscourts.gov/decisions/isysquery/83382276-eb3d-4d56-b5fe-4596b6d0f64b/1/doc/19-1265_so.pdf" TargetMode="External"/><Relationship Id="rId1755" Type="http://schemas.openxmlformats.org/officeDocument/2006/relationships/hyperlink" Target="https://www.opn.ca6.uscourts.gov/opinions.pdf/21a0485n-06.pdf" TargetMode="External"/><Relationship Id="rId2501" Type="http://schemas.openxmlformats.org/officeDocument/2006/relationships/hyperlink" Target="https://public.fastcase.com/H1P9uiW3J20SFp%2BGCG%2BxLYnumIVIfsGACQtvjphi2XY03JuMe7fj8LYdA6mgqlK3BbmtQ%2FoJ5o3JnUu66xez4U0Yi6wQOqSsnYT7%2FU1%2BNuI%3D?utm_medium=email&amp;_hsmi=226712652&amp;_hsenc=p2ANqtz-_mOZCnm_LbXEmI1zB76drE4EDUF13YglxTvTeEnBHhjbPE-34_IMopnnbUF8mE8HxS5G0Ftb4dM_ZSxt2dhhqJsyxB9A&amp;utm_content=226712652&amp;utm_source=hs_email" TargetMode="External"/><Relationship Id="rId1103" Type="http://schemas.openxmlformats.org/officeDocument/2006/relationships/hyperlink" Target="https://ilcourtsaudio.blob.core.windows.net/antilles-resources/resources/eba608df-6fa9-4d1a-8a11-f48abce29596/City%20of%20Springfield%20v.%20Illinois%20Workers'%20Compensation%20Comm'n,%202022%20IL%20App%20(4th)%20210604WC-U.pdf" TargetMode="External"/><Relationship Id="rId1310" Type="http://schemas.openxmlformats.org/officeDocument/2006/relationships/hyperlink" Target="uch%20https://www.whitehouse.gov/presidential-actions/2025/01/defending-women-from-gender-ideology-extremism-and-restoring-biological-truth-to-the-federal-government/?utm_medium=email&amp;utm_source=web_app&amp;utm_campaign=digest" TargetMode="External"/><Relationship Id="rId1408" Type="http://schemas.openxmlformats.org/officeDocument/2006/relationships/hyperlink" Target="http://www.ca5.uscourts.gov/opinions/unpub/18/18-40561.1.pdf" TargetMode="External"/><Relationship Id="rId1962" Type="http://schemas.openxmlformats.org/officeDocument/2006/relationships/hyperlink" Target="https://public.fastcase.com/jaEE2PXzRXmZ99jOLMt1Iur66SqTUHCh2%2F6i5JSa4l6hU%2FvLi%2B5AObhTx2DvFKDq?utm_medium=email&amp;_hsenc=p2ANqtz--swmEKE2bBH1yxnsdN_yPFP1ssqGq5KgURTPyK4vIy-QrvDWKI9I9IkKVZfzKsNc7HzZR6NsXw-W4jNuqGESlXN6G9zw&amp;_hsmi=226712652&amp;utm_content=226712652&amp;utm_source=hs_email" TargetMode="External"/><Relationship Id="rId2806" Type="http://schemas.openxmlformats.org/officeDocument/2006/relationships/hyperlink" Target="https://cdn.ca9.uscourts.gov/datastore/opinions/2023/04/17/21-16278.pdf" TargetMode="External"/><Relationship Id="rId47" Type="http://schemas.openxmlformats.org/officeDocument/2006/relationships/hyperlink" Target="https://cases.justia.com/georgia/court-of-appeals/2025-a25a0954.pdf?ts=1758208974" TargetMode="External"/><Relationship Id="rId1615" Type="http://schemas.openxmlformats.org/officeDocument/2006/relationships/hyperlink" Target="https://casetext.com/case/mccrea-v-dist-of-columbia-3" TargetMode="External"/><Relationship Id="rId1822" Type="http://schemas.openxmlformats.org/officeDocument/2006/relationships/hyperlink" Target="https://www.dol.gov/whd/opinion/FLSA/2018/2018_11_08_24_FLSA.pdf" TargetMode="External"/><Relationship Id="rId196" Type="http://schemas.openxmlformats.org/officeDocument/2006/relationships/hyperlink" Target="https://law.justia.com/cases/federal/appellate-courts/ca3/22-1079/22-1079-2022-11-29.html" TargetMode="External"/><Relationship Id="rId2084" Type="http://schemas.openxmlformats.org/officeDocument/2006/relationships/hyperlink" Target="https://public.fastcase.com/ZZhmr5v9wN%2FXOe5IsQ%2FqD1tuyppLBnLrMmR86JNFVAlEsCewO4n%2BqmcnLV2ysm6tZCnkIxWDhw4CT9a2YbHZsY59KqRUUsvnj3oq0k4kZUY%3D?utm_medium=email&amp;_hsmi=226712652&amp;_hsenc=p2ANqtz-_TDFfv4pLQcLfqFCn8pFSxh77smp5fK7rovyeiHf7hqXQSyFbPSdIcgszVq5PNSPeSOT64f2E-JPGn2x6-fH_4dd4mvg&amp;utm_content=226712652&amp;utm_source=hs_email" TargetMode="External"/><Relationship Id="rId2291" Type="http://schemas.openxmlformats.org/officeDocument/2006/relationships/hyperlink" Target="https://docs.justia.com/cases/federal/district-courts/washington/wawdce/2:2017cv01133/248111/33" TargetMode="External"/><Relationship Id="rId263" Type="http://schemas.openxmlformats.org/officeDocument/2006/relationships/hyperlink" Target="https://ethics.ohio.gov/education/elearning/ecourses.html" TargetMode="External"/><Relationship Id="rId470" Type="http://schemas.openxmlformats.org/officeDocument/2006/relationships/hyperlink" Target="https://casetext.com/statute/consolidated-laws-of-new-york/chapter-civil-practice-law-and-rules/article-32-accelerated-judgment/section-r3211-motion-to-dismiss" TargetMode="External"/><Relationship Id="rId2151" Type="http://schemas.openxmlformats.org/officeDocument/2006/relationships/hyperlink" Target="https://public.fastcase.com/waZtJvSA54UAurM2rmIZzwN7i243%2F%2BStZpHYDBkc8sGpJscx%2FQQ27pdU9Jjrp4oC%2BDoaG82WuBlPphdis3f1N3UPtlVqun2jEuCWxYyqQWw%3D" TargetMode="External"/><Relationship Id="rId2389" Type="http://schemas.openxmlformats.org/officeDocument/2006/relationships/hyperlink" Target="https://public.fastcase.com/9SKwsfNqTc6OieYDhNMyM%2BsbSTu241pOZ38l1fL3GtOxRE1iLhH6RZm0FIyTdVeF1XRK6Ebg7B5equTDg4ZQiMxFMDQEZko4UYsaxrmOuYk%3D" TargetMode="External"/><Relationship Id="rId2596" Type="http://schemas.openxmlformats.org/officeDocument/2006/relationships/hyperlink" Target="https://www.leagle.com/decision/infdco20210518900" TargetMode="External"/><Relationship Id="rId123" Type="http://schemas.openxmlformats.org/officeDocument/2006/relationships/hyperlink" Target="https://law.justia.com/cases/new-york/other-courts/2024/2024-ny-slip-op-51092-u.html" TargetMode="External"/><Relationship Id="rId330" Type="http://schemas.openxmlformats.org/officeDocument/2006/relationships/hyperlink" Target="https://fisheldowney.com/union-dues-deductions-tips-public-employers/" TargetMode="External"/><Relationship Id="rId568" Type="http://schemas.openxmlformats.org/officeDocument/2006/relationships/hyperlink" Target="https://www.cdc.gov/niosh/fire/pdfs/face201618.pdf" TargetMode="External"/><Relationship Id="rId775" Type="http://schemas.openxmlformats.org/officeDocument/2006/relationships/hyperlink" Target="https://casetext.com/case/in-re-world-trade-ctr-lower-manhattan-disaster-site-litig-8" TargetMode="External"/><Relationship Id="rId982" Type="http://schemas.openxmlformats.org/officeDocument/2006/relationships/hyperlink" Target="http://www.cantonrep.com/news/20160713/massillon-family-awarded-362k-in-2008-firetruck-crash-settlement" TargetMode="External"/><Relationship Id="rId1198" Type="http://schemas.openxmlformats.org/officeDocument/2006/relationships/hyperlink" Target="https://www.opn.ca6.uscourts.gov/opinions.pdf/20a0579n-06.pdf" TargetMode="External"/><Relationship Id="rId2011" Type="http://schemas.openxmlformats.org/officeDocument/2006/relationships/hyperlink" Target="https://www.dccourts.gov/sites/default/files/2024-05/Austin%20v.%20US%2022-CF-0085.pdf" TargetMode="External"/><Relationship Id="rId2249" Type="http://schemas.openxmlformats.org/officeDocument/2006/relationships/hyperlink" Target="https://njcourts.gov/attorneys/assets/opinions/appellate/published/a0117-19.pdf?c=WwB" TargetMode="External"/><Relationship Id="rId2456" Type="http://schemas.openxmlformats.org/officeDocument/2006/relationships/hyperlink" Target="https://cases.justia.com/federal/appellate-courts/ca4/24-1782/24-1782-2025-06-05.pdf?ts=1749150038" TargetMode="External"/><Relationship Id="rId2663" Type="http://schemas.openxmlformats.org/officeDocument/2006/relationships/hyperlink" Target="https://ecf.ksd.uscourts.gov/cgi-bin/show_public_doc?2018cv2084-60" TargetMode="External"/><Relationship Id="rId428" Type="http://schemas.openxmlformats.org/officeDocument/2006/relationships/hyperlink" Target="https://cases.justia.com/new-york/other-courts/2024-2024-ny-slip-op-33987-u.pdf?ts=1731644847" TargetMode="External"/><Relationship Id="rId635" Type="http://schemas.openxmlformats.org/officeDocument/2006/relationships/hyperlink" Target="https://www.supremecourt.gov/opinions/24pdf/24a1153_l5gm.pdf" TargetMode="External"/><Relationship Id="rId842" Type="http://schemas.openxmlformats.org/officeDocument/2006/relationships/hyperlink" Target="https://www.supremecourt.gov/DocketPDF/23/23-1363/321368/20240801101848884_Baker%20v.%20City%20of%20McKinney_%20Texas%20-%20Amicus%20Brief%20in%20Support%20of%20Petitioner.pdf" TargetMode="External"/><Relationship Id="rId1058" Type="http://schemas.openxmlformats.org/officeDocument/2006/relationships/hyperlink" Target="https://public.fastcase.com/H1P9uiW3J20SFp%2BGCG%2BxLadhvM%2BTk6CyYLUbfEuOSnynNWxAhyJMu40rylJQnWa9?utm_medium=email&amp;_hsmi=226712652&amp;_hsenc=p2ANqtz-_Dihe0VmJESjxgjqn36kOhagQU45bmN7CEHRIuj2470_KUhcV7wrW-Y9ruG8-Hj5g_txVmqO_R_d6e-gS-IENa_oPFKQ&amp;utm_content=226712652&amp;utm_source=hs_email" TargetMode="External"/><Relationship Id="rId1265" Type="http://schemas.openxmlformats.org/officeDocument/2006/relationships/hyperlink" Target="http://decisions.courts.state.ny.us/ad3/Decisions/2018/526165.pdf" TargetMode="External"/><Relationship Id="rId1472" Type="http://schemas.openxmlformats.org/officeDocument/2006/relationships/hyperlink" Target="https://cases.justia.com/federal/district-courts/texas/txedce/4:2022cv00397/214410/28/0.pdf?ts=1692978420" TargetMode="External"/><Relationship Id="rId2109" Type="http://schemas.openxmlformats.org/officeDocument/2006/relationships/hyperlink" Target="https://www.law.cornell.edu/definitions/uscode.php?width=840&amp;height=800&amp;iframe=true&amp;def_id=42-USC-303628742-1009355614&amp;term_occur=999&amp;term_src=" TargetMode="External"/><Relationship Id="rId2316" Type="http://schemas.openxmlformats.org/officeDocument/2006/relationships/hyperlink" Target="https://cdn.ca9.uscourts.gov/datastore/memoranda/2025/04/30/24-3195.pdf" TargetMode="External"/><Relationship Id="rId2523" Type="http://schemas.openxmlformats.org/officeDocument/2006/relationships/hyperlink" Target="https://public.fastcase.com/ZZhmr5v9wN%2FXOe5IsQ%2FqD51KXiWhfZ5Tknms713VsyNiKeidGSjUYd5fLyeguf86yRHn46LHKSVIqu1aE%2FP%2F4wzm%2Bs9CN3Gxx%2Fta1hJ8xsU%3D?utm_medium=email&amp;_hsmi=226712652&amp;_hsenc=p2ANqtz--6hfqXp_6GwCwKFg5My80cUvTOTZgLDUuB3F-yLygp7svvTJd39SzNL3yXkJv1N0M6expfT3HAdh1FcYblCg0-pEKOfg&amp;utm_content=226712652&amp;utm_source=hs_email" TargetMode="External"/><Relationship Id="rId2730" Type="http://schemas.openxmlformats.org/officeDocument/2006/relationships/hyperlink" Target="https://www.jacksonlewis.com/sites/default/files/docs/IGTBoardDecision.pdf" TargetMode="External"/><Relationship Id="rId702" Type="http://schemas.openxmlformats.org/officeDocument/2006/relationships/hyperlink" Target="https://middlemarketgrowth.org/podcast-tyler-brennan-racedayquads/" TargetMode="External"/><Relationship Id="rId1125" Type="http://schemas.openxmlformats.org/officeDocument/2006/relationships/hyperlink" Target="https://law.justia.com/cases/washington/court-of-appeals-division-ii/2021/54914-0.html" TargetMode="External"/><Relationship Id="rId1332" Type="http://schemas.openxmlformats.org/officeDocument/2006/relationships/hyperlink" Target="https://cases.justia.com/federal/district-courts/illinois/ilndce/1:2016cv10156/332956/258/0.pdf?ts=1582820345" TargetMode="External"/><Relationship Id="rId1777" Type="http://schemas.openxmlformats.org/officeDocument/2006/relationships/hyperlink" Target="https://www.ca4.uscourts.gov/Opinions/191755.P.pdf" TargetMode="External"/><Relationship Id="rId1984" Type="http://schemas.openxmlformats.org/officeDocument/2006/relationships/hyperlink" Target="https://cases.justia.com/federal/district-courts/minnesota/mndce/0:2022cv00602/199430/91/0.pdf?ts=1737802391" TargetMode="External"/><Relationship Id="rId2828" Type="http://schemas.openxmlformats.org/officeDocument/2006/relationships/hyperlink" Target="https://cases.justia.com/texas/supreme-court/2020-18-0216-1.pdf?ts=1593180294" TargetMode="External"/><Relationship Id="rId69" Type="http://schemas.openxmlformats.org/officeDocument/2006/relationships/hyperlink" Target="https://www.cnn.com/2025/05/02/us/oregon-deschutes-national-forest-eviction-hnk" TargetMode="External"/><Relationship Id="rId1637" Type="http://schemas.openxmlformats.org/officeDocument/2006/relationships/hyperlink" Target="https://public.fastcase.com/Wl%2B2t%2BeVuI35%2FN70vAMFZtupy9a3EvXpG9ydLD29CKGnkdsXWzWbFQljc8xBD5GU" TargetMode="External"/><Relationship Id="rId1844" Type="http://schemas.openxmlformats.org/officeDocument/2006/relationships/hyperlink" Target="https://cases.justia.com/washington/court-of-appeals-division-i/2025-83853-9.pdf?ts=1737494121" TargetMode="External"/><Relationship Id="rId1704" Type="http://schemas.openxmlformats.org/officeDocument/2006/relationships/hyperlink" Target="https://www.supremecourt.gov/opinions/24pdf/23-217_9o6b.pdf" TargetMode="External"/><Relationship Id="rId285" Type="http://schemas.openxmlformats.org/officeDocument/2006/relationships/hyperlink" Target="http://codes.ohio.gov/orc/2921.43" TargetMode="External"/><Relationship Id="rId1911" Type="http://schemas.openxmlformats.org/officeDocument/2006/relationships/hyperlink" Target="https://www.la4th.org/opinion/2019/486077.pdf" TargetMode="External"/><Relationship Id="rId492" Type="http://schemas.openxmlformats.org/officeDocument/2006/relationships/hyperlink" Target="https://www.whsv.com/content/news/West-Virginia-firefighter-killed-in-crash-while-responding-to-fire-566946181.html" TargetMode="External"/><Relationship Id="rId797" Type="http://schemas.openxmlformats.org/officeDocument/2006/relationships/hyperlink" Target="https://www.law.com/thelegalintelligencer/2019/09/12/court-students-claim-to-want-to-beat-the-record-following-parkland-shooting-was-terroristic-threat/" TargetMode="External"/><Relationship Id="rId2173" Type="http://schemas.openxmlformats.org/officeDocument/2006/relationships/hyperlink" Target="https://media.ca11.uscourts.gov/opinions/unpub/files/201814119.pdf" TargetMode="External"/><Relationship Id="rId2380" Type="http://schemas.openxmlformats.org/officeDocument/2006/relationships/hyperlink" Target="https://www.ca5.uscourts.gov/opinions/pub/21/21-20085-CV0.pdf" TargetMode="External"/><Relationship Id="rId2478" Type="http://schemas.openxmlformats.org/officeDocument/2006/relationships/hyperlink" Target="https://www.coloradopolitics.com/courts/federal-judge-partially-dismisses-ex-florissant-fire-chiefs-wrongful-termination-claims/article_7d67c6be-898a-11ee-b97e-7732fa191308.html" TargetMode="External"/><Relationship Id="rId145" Type="http://schemas.openxmlformats.org/officeDocument/2006/relationships/hyperlink" Target="https://cases.justia.com/louisiana/fifth-circuit-court-of-appeal/2023-23-ka-234.pdf?ts=1703704652" TargetMode="External"/><Relationship Id="rId352" Type="http://schemas.openxmlformats.org/officeDocument/2006/relationships/hyperlink" Target="https://cases.justia.com/federal/appellate-courts/ca5/17-40754/17-40754-2018-08-31.pdf?ts=1535736678" TargetMode="External"/><Relationship Id="rId1287" Type="http://schemas.openxmlformats.org/officeDocument/2006/relationships/hyperlink" Target="https://cases.justia.com/montana/supreme-court/2025-da-24-0672.pdf?ts=1759872027" TargetMode="External"/><Relationship Id="rId2033" Type="http://schemas.openxmlformats.org/officeDocument/2006/relationships/hyperlink" Target="https://www.ems1.com/lawsuit/articles/suit-claims-utah-providers-fatally-injected-teen-with-large-ketamine-dose-after-car-crash-nkmBexayJBAx5TCo/" TargetMode="External"/><Relationship Id="rId2240" Type="http://schemas.openxmlformats.org/officeDocument/2006/relationships/hyperlink" Target="https://law.justia.com/cases/texas/first-court-of-appeals/2020/01-19-00255-cv.html" TargetMode="External"/><Relationship Id="rId2685" Type="http://schemas.openxmlformats.org/officeDocument/2006/relationships/hyperlink" Target="https://public.fastcase.com/Jhe1Qn%2BmJndQYQU6z%2FeNmxCPiZizVlc11JYA3odTB4IhzrCNgoXQd5cis%2BDwnvItMWVDGFMSfq0NQT9Gs0Nt1TNd1VW0h9sJNC6uT%2FjNAHc%3D?utm_medium=email&amp;_hsenc=p2ANqtz-8-aEXaYfaNma4DTW9HUN_1FUQQoclWpkG9e_9BTRsreHlU-cWJ1LgKYyHosOTXLG__w-panONGFSrnN_jSAOz_10UwNA&amp;_hsmi=226712652&amp;utm_content=226712652&amp;utm_source=hs_email" TargetMode="External"/><Relationship Id="rId212" Type="http://schemas.openxmlformats.org/officeDocument/2006/relationships/hyperlink" Target="https://www.law.cornell.edu/supct/html/06-5754.ZS.html" TargetMode="External"/><Relationship Id="rId657" Type="http://schemas.openxmlformats.org/officeDocument/2006/relationships/hyperlink" Target="https://www.supremecourt.gov/opinions/23pdf/22-915_8o6b.pdf" TargetMode="External"/><Relationship Id="rId864" Type="http://schemas.openxmlformats.org/officeDocument/2006/relationships/hyperlink" Target="https://public.fastcase.com/waZtJvSA54UAurM2rmIZzzd7nmMG05wthWSY4rh3YOX2SQqdjQ2bWm74KVsbZSPmzEoqJnKOxl0hCOa8LdPZAi50MjJV0MwcRqnMVHWnvKI%3D" TargetMode="External"/><Relationship Id="rId1494" Type="http://schemas.openxmlformats.org/officeDocument/2006/relationships/hyperlink" Target="https://public.fastcase.com/J%2FJP6pdidelsXxEE4k%2BLMgHzbJp7ohVf6eJnqqVRZsR3ljYGLWqzA%2BaNrEJEjuoSNSzJxXmSxLQZTPvgqQmcEiF1aE%2BspvM2CCoAx4ikJzY%3D?utm_medium=email&amp;_hsmi=226712652&amp;_hsenc=p2ANqtz-8P0uzvemqlc89p8NGs_MEabF92WO0Yw0J6IjilR3LUZDOGdMMkuiwHYzQhEyPy65nnWBVskQbx-uRxwGqC5jWNg9aYuA&amp;utm_content=226712652&amp;utm_source=hs_email" TargetMode="External"/><Relationship Id="rId1799" Type="http://schemas.openxmlformats.org/officeDocument/2006/relationships/hyperlink" Target="https://www.wtoc.com/2018/10/12/president-savannah-firefighters-association-arrested-incident-colorado/" TargetMode="External"/><Relationship Id="rId2100" Type="http://schemas.openxmlformats.org/officeDocument/2006/relationships/hyperlink" Target="https://codes.ohio.gov/ohio-revised-code/section-2745.01" TargetMode="External"/><Relationship Id="rId2338" Type="http://schemas.openxmlformats.org/officeDocument/2006/relationships/hyperlink" Target="https://www.courts.wa.gov/opinions/pdf/D2%2058295-3-II%20Unpublished%20Opinion.pdf" TargetMode="External"/><Relationship Id="rId2545" Type="http://schemas.openxmlformats.org/officeDocument/2006/relationships/hyperlink" Target="https://public.courts.in.gov/Decisions/api/Document/Opinion?Id=BlYPkLxVHgH9AX_il3izt1lEOiPnwm0plhkYRvgS1Eap1sEgbSi8um2d6l97LpRN0" TargetMode="External"/><Relationship Id="rId2752" Type="http://schemas.openxmlformats.org/officeDocument/2006/relationships/hyperlink" Target="https://www.supremecourt.ohio.gov/rod/docs/pdf/8/2022/2022-Ohio-824.pdf" TargetMode="External"/><Relationship Id="rId517" Type="http://schemas.openxmlformats.org/officeDocument/2006/relationships/hyperlink" Target="https://casetext.com/case/in-re-arbitration-between-city-of-ogdensburg" TargetMode="External"/><Relationship Id="rId724" Type="http://schemas.openxmlformats.org/officeDocument/2006/relationships/hyperlink" Target="https://www.law.cornell.edu/definitions/uscode.php?width=840&amp;height=800&amp;iframe=true&amp;def_id=18-USC-1846489032-909420281&amp;term_occur=999&amp;term_src=title:18:part:I:chapter:13:section:249" TargetMode="External"/><Relationship Id="rId931" Type="http://schemas.openxmlformats.org/officeDocument/2006/relationships/hyperlink" Target="https://www.supremecourt.ohio.gov/rod/docs/pdf/8/2023/2023-Ohio-4213.pdf" TargetMode="External"/><Relationship Id="rId1147" Type="http://schemas.openxmlformats.org/officeDocument/2006/relationships/hyperlink" Target="https://www.knoe.com/content/news/Bastrop-ordered-to-pay-more-than-16-million-to-firemen-after-lawsuit-509570521.html" TargetMode="External"/><Relationship Id="rId1354" Type="http://schemas.openxmlformats.org/officeDocument/2006/relationships/hyperlink" Target="https://public.fastcase.com/waZtJvSA54UAurM2rmIZzzCYJhAha3GGo3AEN0d5yD5AXzBU0GIzy8sJKIx0m%2BEEHwIyJuWgbxH4Xd2BL4DW9aTliyBT6bOFBbV5rp7%2BS3s%3D" TargetMode="External"/><Relationship Id="rId1561" Type="http://schemas.openxmlformats.org/officeDocument/2006/relationships/hyperlink" Target="https://apps.fastcase.com/Research/Pages/Document.aspx?LTID=nmuHYWyOr%2b3AQipzJYAFoxfLB3OO%2f59bKxwBTjI1BmfqRzjMCJEWOFBsNDL%2by45wqmfNJlXSpZLawvrJl9FKgwtB%2fUqEuGE56NZQIRJncdz5SsmQ19AY6YoAUqCXNuyg7WjzDpnasAs9GwevnZzP8A%3d%3d&amp;ECF=%2c+434+U.S.+412+(1978)" TargetMode="External"/><Relationship Id="rId2405" Type="http://schemas.openxmlformats.org/officeDocument/2006/relationships/hyperlink" Target="https://www.firerescue1.com/fallen-firefighters/articles/379994018-Study-More-firefighters-died-by-suicide-than-in-the-line-of-duty-in-2017/" TargetMode="External"/><Relationship Id="rId2612" Type="http://schemas.openxmlformats.org/officeDocument/2006/relationships/hyperlink" Target="https://www.opn.ca6.uscourts.gov/opinions.pdf/20a0268p-06.pdf" TargetMode="External"/><Relationship Id="rId60" Type="http://schemas.openxmlformats.org/officeDocument/2006/relationships/hyperlink" Target="https://cases.justia.com/florida/third-district-court-of-appeal/2025-3d23-1625.pdf?ts=1750259354" TargetMode="External"/><Relationship Id="rId1007" Type="http://schemas.openxmlformats.org/officeDocument/2006/relationships/hyperlink" Target="https://ilcourtsaudio.blob.core.windows.net/antilles-resources/resources/b97cd9d5-bd7a-4b80-8ae7-ba3200915f21/Village%20of%20Schaumburg%20v.%20VoS%20Firefighters%E2%80%99%20Pension%20Fund%202025%20IL%20App%20(1st)%20241764.pdf" TargetMode="External"/><Relationship Id="rId1214" Type="http://schemas.openxmlformats.org/officeDocument/2006/relationships/hyperlink" Target="http://www.nycourts.gov/courts/AD2/Handdowns/2020/Decisions/D63333.pdf" TargetMode="External"/><Relationship Id="rId1421" Type="http://schemas.openxmlformats.org/officeDocument/2006/relationships/hyperlink" Target="https://www.eeoc.gov/policy/docs/factemployment_procedures.html" TargetMode="External"/><Relationship Id="rId1659" Type="http://schemas.openxmlformats.org/officeDocument/2006/relationships/hyperlink" Target="http://www.startribune.com/former-mpls-firefighter-will-be-able-to-sue-for-disability-discrimination-high-court-rules/506468082/" TargetMode="External"/><Relationship Id="rId1866" Type="http://schemas.openxmlformats.org/officeDocument/2006/relationships/hyperlink" Target="https://www.nytimes.com/2022/03/03/health/sacklers-purdue-oxycontin-settlement.html" TargetMode="External"/><Relationship Id="rId1519" Type="http://schemas.openxmlformats.org/officeDocument/2006/relationships/hyperlink" Target="https://www.courts.mi.gov/4a7f39/siteassets/case-documents/uploads/opinions/final/coa/20210916_c353618_41_353618.opn.pdf" TargetMode="External"/><Relationship Id="rId1726" Type="http://schemas.openxmlformats.org/officeDocument/2006/relationships/hyperlink" Target="http://flsa-optin.com/" TargetMode="External"/><Relationship Id="rId1933" Type="http://schemas.openxmlformats.org/officeDocument/2006/relationships/hyperlink" Target="https://cases.justia.com/federal/district-courts/massachusetts/madce/1:2023cv12125/261357/75/0.pdf?ts=1770465752" TargetMode="External"/><Relationship Id="rId18" Type="http://schemas.openxmlformats.org/officeDocument/2006/relationships/hyperlink" Target="https://doi.org/10.7945/0dwx-fc52" TargetMode="External"/><Relationship Id="rId2195" Type="http://schemas.openxmlformats.org/officeDocument/2006/relationships/hyperlink" Target="https://www.emsworld.com/news/1223006/wash-fire-dept-faces-fourth-lawsuit-intubating-dead-patient" TargetMode="External"/><Relationship Id="rId167" Type="http://schemas.openxmlformats.org/officeDocument/2006/relationships/hyperlink" Target="https://public.fastcase.com/ZZhmr5v9wN%2FXOe5IsQ%2FqD2w3LkpuglI3nASy1X40hEavWq5Hg6BXuOMAb4Q%2F0qYvRQrnGJSyHTBcFYNZH%2FPWinF4W28EQi7cn4B0%2Besltk8%3D?utm_medium=email&amp;_hsmi=226712652&amp;_hsenc=p2ANqtz--58Ne7SxJ1hr6i-F8FakyHT8npVqzhLBvm91HO15BtcmmyFpQh4X3iW-xWGAEBSVd3N4PHQcOA9a0ODtOxMPf5jkgwuw&amp;utm_content=226712652&amp;utm_source=hs_email" TargetMode="External"/><Relationship Id="rId374" Type="http://schemas.openxmlformats.org/officeDocument/2006/relationships/hyperlink" Target="https://public.fastcase.com/Jhe1Qn%2BmJndQYQU6z%2FeNm2HEaeCCWkcBCeUCujqGNVlbyw33GV3OIPoGmz91llGj?utm_medium=email&amp;_hsenc=p2ANqtz--_2koWPJH8aNw9hArqKJahBiDeDbHde9hJY14uLqxi48R0NPU4q8g0_WpBiId9hecTh5LabDNFfk8DSpNZX48Jer-K6w&amp;_hsmi=226712652&amp;utm_content=226712652&amp;utm_source=hs_email" TargetMode="External"/><Relationship Id="rId581" Type="http://schemas.openxmlformats.org/officeDocument/2006/relationships/hyperlink" Target="http://www.pacourts.us/assets/opinions/Supreme/out/opinion%20announcing%20judgment%20of%20the%20court%20%20reversedremanded%20%2010373870143091493.pdf" TargetMode="External"/><Relationship Id="rId2055" Type="http://schemas.openxmlformats.org/officeDocument/2006/relationships/hyperlink" Target="https://casetext.com/case/kenn-v-eascare-llc-1" TargetMode="External"/><Relationship Id="rId2262" Type="http://schemas.openxmlformats.org/officeDocument/2006/relationships/hyperlink" Target="https://public.fastcase.com/Wl%2B2t%2BeVuI35%2FN70vAMFZqKFItzKKJAOGXNCbwUcRCkzx%2FKqq12PgRkvPC2fj024" TargetMode="External"/><Relationship Id="rId234" Type="http://schemas.openxmlformats.org/officeDocument/2006/relationships/hyperlink" Target="https://www.leagle.com/decision/infdco20211108549" TargetMode="External"/><Relationship Id="rId679" Type="http://schemas.openxmlformats.org/officeDocument/2006/relationships/hyperlink" Target="https://cases.justia.com/federal/appellate-courts/ca5/22-50212/22-50212-2023-10-27.pdf?ts=1698427826" TargetMode="External"/><Relationship Id="rId886" Type="http://schemas.openxmlformats.org/officeDocument/2006/relationships/hyperlink" Target="https://www.law.cornell.edu/rules/fre/rule_702" TargetMode="External"/><Relationship Id="rId2567" Type="http://schemas.openxmlformats.org/officeDocument/2006/relationships/hyperlink" Target="https://www.waltontribune.com/article_108b8906-f48f-11ea-baf7-07788894fc4c.html" TargetMode="External"/><Relationship Id="rId2774" Type="http://schemas.openxmlformats.org/officeDocument/2006/relationships/hyperlink" Target="https://www.scotusblog.com/case-files/cases/new-prime-inc-v-oliveira/" TargetMode="External"/><Relationship Id="rId2" Type="http://schemas.openxmlformats.org/officeDocument/2006/relationships/numbering" Target="numbering.xml"/><Relationship Id="rId441" Type="http://schemas.openxmlformats.org/officeDocument/2006/relationships/hyperlink" Target="https://www.osha.gov/ords/imis/establishment.inspection_detail?id=315378885" TargetMode="External"/><Relationship Id="rId539" Type="http://schemas.openxmlformats.org/officeDocument/2006/relationships/hyperlink" Target="https://www.opn.ca6.uscourts.gov/opinions.pdf/20a0203p-06.pdf" TargetMode="External"/><Relationship Id="rId746" Type="http://schemas.openxmlformats.org/officeDocument/2006/relationships/hyperlink" Target="https://www.law.cornell.edu/definitions/uscode.php?width=840&amp;height=800&amp;iframe=true&amp;def_id=8-USC-2124716147-1201680062&amp;term_occur=999&amp;term_src=title:8:chapter:12:subchapter:II:part:IV:section:1229b" TargetMode="External"/><Relationship Id="rId1071" Type="http://schemas.openxmlformats.org/officeDocument/2006/relationships/hyperlink" Target="https://casetext.com/case/state-ex-rel-city-of-cincinnati-v-indus-commn-of-ohio" TargetMode="External"/><Relationship Id="rId1169" Type="http://schemas.openxmlformats.org/officeDocument/2006/relationships/hyperlink" Target="http://codes.ohio.gov/orc/2744.07" TargetMode="External"/><Relationship Id="rId1376" Type="http://schemas.openxmlformats.org/officeDocument/2006/relationships/hyperlink" Target="https://public.fastcase.com/9SKwsfNqTc6OieYDhNMyMx8HeCj7%2FDJBNdWBqE3NyzJHPN6vSl1mv%2F8RhqlJqRKR" TargetMode="External"/><Relationship Id="rId1583" Type="http://schemas.openxmlformats.org/officeDocument/2006/relationships/hyperlink" Target="https://www.govinfo.gov/content/pkg/USCOURTS-nyed-1_22-cv-05068/pdf/USCOURTS-nyed-1_22-cv-05068-3.pdf" TargetMode="External"/><Relationship Id="rId2122" Type="http://schemas.openxmlformats.org/officeDocument/2006/relationships/hyperlink" Target="https://law.justia.com/cases/texas/first-court-of-appeals/2022/01-21-00422-cv.html" TargetMode="External"/><Relationship Id="rId2427" Type="http://schemas.openxmlformats.org/officeDocument/2006/relationships/hyperlink" Target="https://supreme.justia.com/cases/federal/us/578/14-1280/" TargetMode="External"/><Relationship Id="rId301" Type="http://schemas.openxmlformats.org/officeDocument/2006/relationships/hyperlink" Target="https://www.supremecourt.ohio.gov/rod/docs/pdf/9/2020/2020-Ohio-3158.pdf" TargetMode="External"/><Relationship Id="rId953" Type="http://schemas.openxmlformats.org/officeDocument/2006/relationships/hyperlink" Target="https://law.justia.com/cases/texas/thirteenth-court-of-appeals/2022/13-20-00315-cv.html" TargetMode="External"/><Relationship Id="rId1029" Type="http://schemas.openxmlformats.org/officeDocument/2006/relationships/hyperlink" Target="https://cases.justia.com/missouri/court-of-appeals/2025-wd87111.pdf?ts=1739982610" TargetMode="External"/><Relationship Id="rId1236" Type="http://schemas.openxmlformats.org/officeDocument/2006/relationships/hyperlink" Target="https://public.fastcase.com/Wl%2B2t%2BeVuI35%2FN70vAMFZnbY8dI3hkArUDoxTqO4WI%2Fa6TeM7CmZuz1%2Ftkv0oKJ0" TargetMode="External"/><Relationship Id="rId1790" Type="http://schemas.openxmlformats.org/officeDocument/2006/relationships/hyperlink" Target="https://www.federalregister.gov/documents/2019/12/16/2019-26447/regular-rate-under-the-fair-labor-standards-act" TargetMode="External"/><Relationship Id="rId1888" Type="http://schemas.openxmlformats.org/officeDocument/2006/relationships/hyperlink" Target="https://www.fox2detroit.com/news/detroit-fire-chief-investigated-for-taking-department-car-to-bar" TargetMode="External"/><Relationship Id="rId2634" Type="http://schemas.openxmlformats.org/officeDocument/2006/relationships/hyperlink" Target="https://www.courts.ca.gov/opinions/nonpub/D074758.PDF" TargetMode="External"/><Relationship Id="rId82" Type="http://schemas.openxmlformats.org/officeDocument/2006/relationships/hyperlink" Target="https://www.supremecourt.gov/opinions/24pdf/24-656_ca7d.pdf" TargetMode="External"/><Relationship Id="rId606" Type="http://schemas.openxmlformats.org/officeDocument/2006/relationships/hyperlink" Target="https://www.hstoday.us/subject-matter-areas/counterterrorism/9-11-litigation-is-building-a-new-legal-framework-for-foreign-terrorist-accountability/" TargetMode="External"/><Relationship Id="rId813" Type="http://schemas.openxmlformats.org/officeDocument/2006/relationships/hyperlink" Target="https://www.law.com/newyorklawjournal/2018/03/29/ny-high-court-allows-nypd-to-evade-giving-foil-requested-information-about-muslim-surveillance/" TargetMode="External"/><Relationship Id="rId1443" Type="http://schemas.openxmlformats.org/officeDocument/2006/relationships/hyperlink" Target="https://public.fastcase.com/jaEE2PXzRXmZ99jOLMt1Ih1bY1MIzDyw1U7nvkn0d%2B%2FaFhZR3Gd%2F7kjzaTYbL26VJTUSjJADCaSru%2Bl5NmbtQ7Cz5zh1NuQxuUkDcSWUI8U%3D?utm_medium=email&amp;_hsenc=p2ANqtz-_CCOzgPs_whfplvulLfr2w4HcJ6-0Ih3t3c1pVqqN-_dVSpVNg1X0G63L7_Ww7LMQiA0kuqw-PCcDfPecmXjX4Ld1uNw&amp;_hsmi=226712652&amp;utm_content=226712652&amp;utm_source=hs_email" TargetMode="External"/><Relationship Id="rId1650" Type="http://schemas.openxmlformats.org/officeDocument/2006/relationships/hyperlink" Target="http://media.ca11.uscourts.gov/opinions/unpub/files/201814488.pdf" TargetMode="External"/><Relationship Id="rId1748" Type="http://schemas.openxmlformats.org/officeDocument/2006/relationships/hyperlink" Target="https://www.shrm.org/resourcesandtools/legal-and-compliance/employment-law/pages/supreme-court-helix-flsa-exemption.aspx" TargetMode="External"/><Relationship Id="rId2701" Type="http://schemas.openxmlformats.org/officeDocument/2006/relationships/hyperlink" Target="https://law.justia.com/cases/new-york/appellate-division-fourth-department/2024/647-ca-23-01601.html" TargetMode="External"/><Relationship Id="rId1303" Type="http://schemas.openxmlformats.org/officeDocument/2006/relationships/hyperlink" Target="https://cases.justia.com/federal/district-courts/texas/txsdce/6:2022cv00002/1858056/21/0.pdf?ts=1664555743" TargetMode="External"/><Relationship Id="rId1510" Type="http://schemas.openxmlformats.org/officeDocument/2006/relationships/hyperlink" Target="http://media.ca7.uscourts.gov/sound/external/mm.21-2784.21-2784_07_07_2022.mp3" TargetMode="External"/><Relationship Id="rId1955" Type="http://schemas.openxmlformats.org/officeDocument/2006/relationships/hyperlink" Target="https://cdn.ca9.uscourts.gov/datastore/opinions/2025/09/02/24-1044.pdf" TargetMode="External"/><Relationship Id="rId1608" Type="http://schemas.openxmlformats.org/officeDocument/2006/relationships/hyperlink" Target="https://public.fastcase.com/ZZhmr5v9wN%2FXOe5IsQ%2FqD0vptgQgkTgOc2XpReLMSYnB1s%2FjY6uEmfEHbXjNZYzwjdaE47PHCuenuGKG11vJGyDk8SuwK4ZV%2BjmAhdBj8vo%3D?utm_medium=email&amp;_hsmi=226712652&amp;_hsenc=p2ANqtz-8f3GbrLnvkkmFwGTcrnfHBUbhSWsI9S9n17c5FNvxL__Rb5dkxAl0xkukh9Thg8SYUm21fgYbaYJ57SsEv3B3vwn_tCQ&amp;utm_content=226712652&amp;utm_source=hs_email" TargetMode="External"/><Relationship Id="rId1815" Type="http://schemas.openxmlformats.org/officeDocument/2006/relationships/hyperlink" Target="https://www.dol.gov/whd/opinion/FLSA/2019/2019_08_08_11_FLSA.pdf" TargetMode="External"/><Relationship Id="rId189" Type="http://schemas.openxmlformats.org/officeDocument/2006/relationships/hyperlink" Target="https://www.legislature.ohio.gov/legislation/legislation-summary?id=GA134-HB-99" TargetMode="External"/><Relationship Id="rId396" Type="http://schemas.openxmlformats.org/officeDocument/2006/relationships/hyperlink" Target="https://cases.justia.com/montana/supreme-court/2025-da-25-0100.pdf?ts=1761082851" TargetMode="External"/><Relationship Id="rId2077" Type="http://schemas.openxmlformats.org/officeDocument/2006/relationships/hyperlink" Target="https://www.foxnews.com/us/court-rules-first-responders-wrongfully-declared-michigan-woman-dead-cannot-be-sued" TargetMode="External"/><Relationship Id="rId2284" Type="http://schemas.openxmlformats.org/officeDocument/2006/relationships/hyperlink" Target="https://www.emsworld.com/article/12091816/language-translation-in-emergencies" TargetMode="External"/><Relationship Id="rId2491" Type="http://schemas.openxmlformats.org/officeDocument/2006/relationships/hyperlink" Target="https://cases.justia.com/federal/appellate-courts/ca9/22-15485/22-15485-2024-05-17.pdf?ts=1715961637" TargetMode="External"/><Relationship Id="rId256" Type="http://schemas.openxmlformats.org/officeDocument/2006/relationships/hyperlink" Target="https://www.npr.org/2021/03/25/981297231/supreme-court-dips-gingerly-into-roiling-police-misconduct-waters" TargetMode="External"/><Relationship Id="rId463" Type="http://schemas.openxmlformats.org/officeDocument/2006/relationships/hyperlink" Target="https://casetext.com/statute/consolidated-laws-of-new-york/chapter-volunteer-firefighters-benefit/article-2-coverage-and-benefits/section-19-exclusiveness-of-remedy" TargetMode="External"/><Relationship Id="rId670" Type="http://schemas.openxmlformats.org/officeDocument/2006/relationships/hyperlink" Target="https://research.wisc.edu/uncategorized/2023/07/13/federal-interim-rule-implements-tiktok-ban-on-devices-used-in-the-performance-of-federal-contracts/" TargetMode="External"/><Relationship Id="rId1093" Type="http://schemas.openxmlformats.org/officeDocument/2006/relationships/hyperlink" Target="https://public.fastcase.com/J%2FJP6pdidelsXxEE4k%2BLMqkdD5%2F9vomvqFlCkCXbHBZeshVe9dMO69n26VvOOGQ0AfFNIJdHHotvSTHs4WCcjg4h%2FMs%2B3ZGL0GmuYT%2B2kk4%3D?utm_medium=email&amp;_hsmi=226712652&amp;_hsenc=p2ANqtz-9blRBfGvWcvPfjP94U0OWp5xjRToJRFC1FgT4HNxkVt3pCFWJPlaIDL-9MMTlNfF1ZXM41l3Otj_VuO__ziHrFsLR4IQ&amp;utm_content=226712652&amp;utm_source=hs_email" TargetMode="External"/><Relationship Id="rId2144" Type="http://schemas.openxmlformats.org/officeDocument/2006/relationships/hyperlink" Target="https://www.leagle.com/decision/infdco20220324d64" TargetMode="External"/><Relationship Id="rId2351" Type="http://schemas.openxmlformats.org/officeDocument/2006/relationships/hyperlink" Target="https://app.leg.wa.gov/RCW/default.aspx?cite=41.26.030" TargetMode="External"/><Relationship Id="rId2589" Type="http://schemas.openxmlformats.org/officeDocument/2006/relationships/hyperlink" Target="https://public.fastcase.com/9SKwsfNqTc6OieYDhNMyM4E5bpqRXbc1vzIOBkY5d575kmIDNjPft14UGJ0ygjci" TargetMode="External"/><Relationship Id="rId2796" Type="http://schemas.openxmlformats.org/officeDocument/2006/relationships/hyperlink" Target="https://casetext.com/statute/united-states-code/title-5-government-organization-and-employees/part-i-the-agencies-generally/chapter-7-judicial-review/section-706-scope-of-review" TargetMode="External"/><Relationship Id="rId116" Type="http://schemas.openxmlformats.org/officeDocument/2006/relationships/hyperlink" Target="https://www.law.cornell.edu/wex/res_gestae" TargetMode="External"/><Relationship Id="rId323" Type="http://schemas.openxmlformats.org/officeDocument/2006/relationships/hyperlink" Target="https://cases.justia.com/federal/appellate-courts/ca7/18-2926/18-2926-2019-07-15.pdf?ts=1563219019" TargetMode="External"/><Relationship Id="rId530" Type="http://schemas.openxmlformats.org/officeDocument/2006/relationships/hyperlink" Target="https://www2.ca3.uscourts.gov/opinarch/201734p.pdf" TargetMode="External"/><Relationship Id="rId768" Type="http://schemas.openxmlformats.org/officeDocument/2006/relationships/hyperlink" Target="https://www.govinfo.gov/content/pkg/FR-2020-08-13/pdf/2020-17468.pdf" TargetMode="External"/><Relationship Id="rId975" Type="http://schemas.openxmlformats.org/officeDocument/2006/relationships/hyperlink" Target="https://cases.justia.com/illinois/court-of-appeals-first-appellate-district/2019-1-18-0696.pdf?ts=1549320383" TargetMode="External"/><Relationship Id="rId1160" Type="http://schemas.openxmlformats.org/officeDocument/2006/relationships/hyperlink" Target="http://www.aele.org/law/Digests/empl6.html" TargetMode="External"/><Relationship Id="rId1398" Type="http://schemas.openxmlformats.org/officeDocument/2006/relationships/hyperlink" Target="https://www.leagle.com/cite/951%20F.2d%20320" TargetMode="External"/><Relationship Id="rId2004" Type="http://schemas.openxmlformats.org/officeDocument/2006/relationships/hyperlink" Target="https://revisor.mo.gov/main/OneSection.aspx?section=579.015" TargetMode="External"/><Relationship Id="rId2211" Type="http://schemas.openxmlformats.org/officeDocument/2006/relationships/hyperlink" Target="https://flsenate.gov/Laws/Statutes/2011/112.182" TargetMode="External"/><Relationship Id="rId2449" Type="http://schemas.openxmlformats.org/officeDocument/2006/relationships/hyperlink" Target="https://app.midpage.ai/document/geer-v-secretary-department-of-11133637?refG=true" TargetMode="External"/><Relationship Id="rId2656" Type="http://schemas.openxmlformats.org/officeDocument/2006/relationships/hyperlink" Target="http://www.illinoiscourts.gov/R23_Orders/AppellateCourt/2019/1stDistrict/1181422_R23.pdf" TargetMode="External"/><Relationship Id="rId628" Type="http://schemas.openxmlformats.org/officeDocument/2006/relationships/hyperlink" Target="https://rhodeislandcurrent.com/wp-content/uploads/2025/09/IL-v.-FEMA-1.pdf" TargetMode="External"/><Relationship Id="rId835" Type="http://schemas.openxmlformats.org/officeDocument/2006/relationships/hyperlink" Target="https://casetext.com/case/portillo-v-madera-cnty" TargetMode="External"/><Relationship Id="rId1258" Type="http://schemas.openxmlformats.org/officeDocument/2006/relationships/hyperlink" Target="http://www.eeoc.gov/" TargetMode="External"/><Relationship Id="rId1465" Type="http://schemas.openxmlformats.org/officeDocument/2006/relationships/hyperlink" Target="https://news.bloomberglaw.com/us-law-week/black-ex-firefighter-barred-from-bringing-racial-bias-lawsuit" TargetMode="External"/><Relationship Id="rId1672" Type="http://schemas.openxmlformats.org/officeDocument/2006/relationships/hyperlink" Target="https://www.dol.gov/sites/dolgov/files/WHD/legacy/files/fab_2020_8.pdf" TargetMode="External"/><Relationship Id="rId2309" Type="http://schemas.openxmlformats.org/officeDocument/2006/relationships/hyperlink" Target="https://cases.justia.com/ohio/second-district-court-of-appeals/2018-27685.pdf?ts=1526679598" TargetMode="External"/><Relationship Id="rId2516" Type="http://schemas.openxmlformats.org/officeDocument/2006/relationships/hyperlink" Target="https://cases.justia.com/federal/district-courts/tennessee/tnmdce/3:2021cv00042/85053/46/0.pdf?ts=1695225093" TargetMode="External"/><Relationship Id="rId2723" Type="http://schemas.openxmlformats.org/officeDocument/2006/relationships/hyperlink" Target="https://abc13.com/prop-b-update-houston-firefighter-pay-parity-texas-supreme-court-proposition-struck-down/13057363/" TargetMode="External"/><Relationship Id="rId1020" Type="http://schemas.openxmlformats.org/officeDocument/2006/relationships/hyperlink" Target="https://caselaw.findlaw.com/court/ny-supreme-court/117196656.html" TargetMode="External"/><Relationship Id="rId1118" Type="http://schemas.openxmlformats.org/officeDocument/2006/relationships/hyperlink" Target="https://casetext.com/case/barry-v-the-city-of-chicago" TargetMode="External"/><Relationship Id="rId1325" Type="http://schemas.openxmlformats.org/officeDocument/2006/relationships/hyperlink" Target="https://codes.ohio.gov/ohio-revised-code/section-4112.021" TargetMode="External"/><Relationship Id="rId1532" Type="http://schemas.openxmlformats.org/officeDocument/2006/relationships/hyperlink" Target="https://casetext.com/case/saade-v-city-of-detroit-1" TargetMode="External"/><Relationship Id="rId1977" Type="http://schemas.openxmlformats.org/officeDocument/2006/relationships/hyperlink" Target="https://www4.courts.ca.gov/opinions/nonpub/B332479.PDF" TargetMode="External"/><Relationship Id="rId902" Type="http://schemas.openxmlformats.org/officeDocument/2006/relationships/hyperlink" Target="https://cases.justia.com/texas/first-court-of-appeals/2026-01-25-00359-cv.pdf?ts=1774367002" TargetMode="External"/><Relationship Id="rId1837" Type="http://schemas.openxmlformats.org/officeDocument/2006/relationships/hyperlink" Targe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 TargetMode="External"/><Relationship Id="rId31" Type="http://schemas.openxmlformats.org/officeDocument/2006/relationships/hyperlink" Target="https://www.njcourts.gov/system/files/court-opinions/2025/a_1_25.pdf" TargetMode="External"/><Relationship Id="rId2099" Type="http://schemas.openxmlformats.org/officeDocument/2006/relationships/hyperlink" Target="https://law.justia.com/cases/west-virginia/supreme-court/2023/21-0841.html" TargetMode="External"/><Relationship Id="rId180" Type="http://schemas.openxmlformats.org/officeDocument/2006/relationships/hyperlink" Target="https://www.cdc.gov/niosh/fire/pdfs/face201314.pdf" TargetMode="External"/><Relationship Id="rId278" Type="http://schemas.openxmlformats.org/officeDocument/2006/relationships/hyperlink" Target="http://decisions.courts.state.ny.us/ad3/Decisions/2020/530081.pdf" TargetMode="External"/><Relationship Id="rId1904" Type="http://schemas.openxmlformats.org/officeDocument/2006/relationships/hyperlink" Target="https://codes.ohio.gov/orc/2925.11" TargetMode="External"/><Relationship Id="rId485" Type="http://schemas.openxmlformats.org/officeDocument/2006/relationships/hyperlink" Target="https://www.supremecourt.ohio.gov/rod/docs/pdf/8/2023/2023-Ohio-3884.pdf" TargetMode="External"/><Relationship Id="rId692" Type="http://schemas.openxmlformats.org/officeDocument/2006/relationships/hyperlink" Target="https://www.supremecourt.gov/opinions/22pdf/22a557_0pm1.pdf" TargetMode="External"/><Relationship Id="rId2166" Type="http://schemas.openxmlformats.org/officeDocument/2006/relationships/hyperlink" Target="https://codes.ohio.gov/ohio-revised-code/section-4511.19" TargetMode="External"/><Relationship Id="rId2373" Type="http://schemas.openxmlformats.org/officeDocument/2006/relationships/hyperlink" Target="https://law.justia.com/cases/minnesota/court-of-appeals/2022/a22-0507.html" TargetMode="External"/><Relationship Id="rId2580" Type="http://schemas.openxmlformats.org/officeDocument/2006/relationships/hyperlink" Target="http://www.kcra.com/article/sacramento-firefighter-arrested-on-misdemeanor-sexual-battery-charge/9977725" TargetMode="External"/><Relationship Id="rId138" Type="http://schemas.openxmlformats.org/officeDocument/2006/relationships/hyperlink" Target="https://haderhvac.com/blog/rv-hvac-absorption-refrigeration/" TargetMode="External"/><Relationship Id="rId345" Type="http://schemas.openxmlformats.org/officeDocument/2006/relationships/hyperlink" Target="https://cases.justia.com/kentucky/supreme-court/2018-2018-sc-000097-tg.pdf?ts=1542294839" TargetMode="External"/><Relationship Id="rId552" Type="http://schemas.openxmlformats.org/officeDocument/2006/relationships/hyperlink" Target="http://codes.ohio.gov/oac/4123:1-21-04v1" TargetMode="External"/><Relationship Id="rId997" Type="http://schemas.openxmlformats.org/officeDocument/2006/relationships/hyperlink" Target="https://public.fastcase.com/jaEE2PXzRXmZ99jOLMt1IiCZZZpteOfluZOkYG3wMviTSniVMo5h4kc4WRTpe6V8Jg8IM7MTKJ5SfgRKhZGl2tVI6P4U%2BnkSaEwO2dzM8Rk%3D?utm_medium=email&amp;_hsenc=p2ANqtz--UPexxOwqhUZNftyKJhb3R-qXmsyD2qvqkoufxMeh6uEfEbZVRIKhd7hzivD-PUaEhi0YeikRdDbC9teuqS6ORoDRaLQ&amp;_hsmi=226712652&amp;utm_content=226712652&amp;utm_source=hs_email" TargetMode="External"/><Relationship Id="rId1182" Type="http://schemas.openxmlformats.org/officeDocument/2006/relationships/hyperlink" Target="https://www.chandralaw.com/blog/retired-cleveland-fire-division-battalion-chief-files-first-amendment-retaliation-suit-against-city-senior-public-safety-officials" TargetMode="External"/><Relationship Id="rId2026" Type="http://schemas.openxmlformats.org/officeDocument/2006/relationships/hyperlink" Target="https://casetext.com/case/newsome-v-inspira-health-network-inc" TargetMode="External"/><Relationship Id="rId2233" Type="http://schemas.openxmlformats.org/officeDocument/2006/relationships/hyperlink" Target="https://public.fastcase.com/Wl%2B2t%2BeVuI35%2FN70vAMFZoN7mlr4hHNtCTnayGEBC4RCM4jvijs5LLDyckRiAx%2Bw" TargetMode="External"/><Relationship Id="rId2440" Type="http://schemas.openxmlformats.org/officeDocument/2006/relationships/hyperlink" Target="https://codes.ohio.gov/ohio-revised-code/section-117.103" TargetMode="External"/><Relationship Id="rId2678" Type="http://schemas.openxmlformats.org/officeDocument/2006/relationships/hyperlink" Target="https://d.docs.live.net/bd9b2eaf6053242e/AppData/Roaming/Microsoft/AppData/Local/Microsoft/Windows/INetCache/IE/XO250S7T/01171801lmb.pdf" TargetMode="External"/><Relationship Id="rId205" Type="http://schemas.openxmlformats.org/officeDocument/2006/relationships/hyperlink" Target="https://casetext.com/case/the-vill-of-downers-grove-v-vill-square-iii-condo-assn" TargetMode="External"/><Relationship Id="rId412" Type="http://schemas.openxmlformats.org/officeDocument/2006/relationships/hyperlink" Target="https://www.supremecourt.ohio.gov/rod/docs/pdf/8/2024/2024-Ohio-5317.pdf" TargetMode="External"/><Relationship Id="rId857" Type="http://schemas.openxmlformats.org/officeDocument/2006/relationships/hyperlink" Target="https://public.fastcase.com/J%2FJP6pdidelsXxEE4k%2BLMn3rhSw89wni4akrGgclH4tY407nVvfTRwhYpyTytqAww5i%2BcjDR8DFfgYYxUNnhOrZ4pPx8rv87OEAaoYdIWaw%3D?utm_medium=email&amp;_hsmi=226712652&amp;_hsenc=p2ANqtz--lPKcQUZ00Y_ImXZh39HMz6UO0kEIbng7bmb6odI7o6fRRwj_-I6PCBlRwjLhuflNpZQs-1Wu84wEID-VmUx_pZGrr8w&amp;utm_content=226712652&amp;utm_source=hs_email" TargetMode="External"/><Relationship Id="rId1042" Type="http://schemas.openxmlformats.org/officeDocument/2006/relationships/hyperlink" Target="https://www.pacourts.us/assets/opinions/Commonwealth/out/1382CD22_10-10-24.pdf?cb=1" TargetMode="External"/><Relationship Id="rId1487" Type="http://schemas.openxmlformats.org/officeDocument/2006/relationships/hyperlink" Target="https://www.supremecourt.gov/opinions/22pdf/20-1199_hgdj.pdf" TargetMode="External"/><Relationship Id="rId1694" Type="http://schemas.openxmlformats.org/officeDocument/2006/relationships/hyperlink" Target="https://www.dol.gov/sites/dolgov/files/WHD/opinion-letters/FLSA/FLSA-2025-04.pdf" TargetMode="External"/><Relationship Id="rId2300" Type="http://schemas.openxmlformats.org/officeDocument/2006/relationships/hyperlink" Target="https://www.leagle.com/decision/infco20180831084" TargetMode="External"/><Relationship Id="rId2538" Type="http://schemas.openxmlformats.org/officeDocument/2006/relationships/hyperlink" Target="https://public.fastcase.com/J%2FJP6pdidelsXxEE4k%2BLMjaDEWROmrH16cfc6gra3ASxsA6ABb5gmKr7dgTVPZFAyucR%2F24MD4mhTmh6U3JDqNSXBmdIcjdrjArbqC4ueHA%3D?utm_medium=email&amp;_hsmi=226712652&amp;_hsenc=p2ANqtz-8djIG1sQ_3FyKMXC40KW2oDEllslyVj_QIL_DW9IJ-72SY8jUMapn9qVvf0Txy9Aeh2fYzSIF_AEMjkupRX651B5mjNw&amp;utm_content=226712652&amp;utm_source=hs_email" TargetMode="External"/><Relationship Id="rId2745" Type="http://schemas.openxmlformats.org/officeDocument/2006/relationships/hyperlink" Target="https://public.fastcase.com/waZtJvSA54UAurM2rmIZzyOaN7WzTWghSlgppuqvnsAjPkds9FfvjtUo5GbcF9G%2FNhiGhSGO5JepPmFj8bD%2B4C9gVbj%2FhO0NJpef3auh%2BAw%3D" TargetMode="External"/><Relationship Id="rId717" Type="http://schemas.openxmlformats.org/officeDocument/2006/relationships/hyperlink" Target="https://casetext.com/case/united-states-v-musaibli-1" TargetMode="External"/><Relationship Id="rId924" Type="http://schemas.openxmlformats.org/officeDocument/2006/relationships/hyperlink" Target="https://casetext.com/case/the-city-of-houston-v-stoffer" TargetMode="External"/><Relationship Id="rId1347" Type="http://schemas.openxmlformats.org/officeDocument/2006/relationships/hyperlink" Target="https://www.dol.gov/agencies/whd/nursing-mothers/faq" TargetMode="External"/><Relationship Id="rId1554" Type="http://schemas.openxmlformats.org/officeDocument/2006/relationships/hyperlink" Target="https://cases.justia.com/federal/appellate-courts/ca11/19-10138/19-10138-2019-10-04.pdf?ts=1570197627" TargetMode="External"/><Relationship Id="rId1761" Type="http://schemas.openxmlformats.org/officeDocument/2006/relationships/hyperlink" Target="https://www.law.cornell.edu/topn/black-connery_fair_labor_standards_act" TargetMode="External"/><Relationship Id="rId1999" Type="http://schemas.openxmlformats.org/officeDocument/2006/relationships/hyperlink" Target="https://cases.justia.com/ohio/second-district-court-of-appeals/2024-2024-ca-3-0.pdf?ts=1725029311" TargetMode="External"/><Relationship Id="rId2605" Type="http://schemas.openxmlformats.org/officeDocument/2006/relationships/hyperlink" Target="https://www.fireengineering.com/2020/11/02/495783/nj-firefighter-fired-three-hours-into-first-day-can-stay-on-job-court-rules/?utm_medium=email&amp;utm_campaign=2020-11-03&amp;utm_source=fe_daily_newsletter" TargetMode="External"/><Relationship Id="rId2812" Type="http://schemas.openxmlformats.org/officeDocument/2006/relationships/hyperlink" Target="https://www.congress.gov/bill/117th-congress/house-bill/4445/text" TargetMode="External"/><Relationship Id="rId53" Type="http://schemas.openxmlformats.org/officeDocument/2006/relationships/hyperlink" Target="https://supreme.justia.com/cases/federal/us/509/579/" TargetMode="External"/><Relationship Id="rId1207" Type="http://schemas.openxmlformats.org/officeDocument/2006/relationships/hyperlink" Target="https://scholar.google.com/scholar_case?case=5871380462060471996&amp;q=Association+of+Cleveland+Fire+Fighters+IAFF+Local+93+v.+City+of+Cleveland,&amp;hl=en&amp;as_sdt=6,36&amp;as_vis=1" TargetMode="External"/><Relationship Id="rId1414" Type="http://schemas.openxmlformats.org/officeDocument/2006/relationships/hyperlink" Target="https://casetext.com/case/benson-v-city-of-lincoln" TargetMode="External"/><Relationship Id="rId1621" Type="http://schemas.openxmlformats.org/officeDocument/2006/relationships/hyperlink" Target="https://public.fastcase.com/J%2FJP6pdidelsXxEE4k%2BLMkpx4Tc1lqsghN0FDa1gb3wMFLVhhLo5FWrnkmMj5%2F%2BBVQtdjf8pXYj06hYu%2BnGwGl7dOZtJUpPBXfNPjPwixAs%3D?utm_medium=email&amp;_hsmi=226712652&amp;_hsenc=p2ANqtz--C2h-0vhrKpmBZ-sfV5NXYWdtLuQagg3T7ZppydHXd8lRUQhheIKUZNhzvLNm0zeXmkYrDIZXEzHKpdEczURzqVa6roA&amp;utm_content=226712652&amp;utm_source=hs_email" TargetMode="External"/><Relationship Id="rId1859" Type="http://schemas.openxmlformats.org/officeDocument/2006/relationships/hyperlink" Target="https://cases.justia.com/texas/fifth-court-of-appeals/2024-05-22-01220-cr.pdf?ts=1708523726" TargetMode="External"/><Relationship Id="rId1719" Type="http://schemas.openxmlformats.org/officeDocument/2006/relationships/hyperlink" Target="https://www.ecfr.gov/current/title-29/section-778.224" TargetMode="External"/><Relationship Id="rId1926" Type="http://schemas.openxmlformats.org/officeDocument/2006/relationships/hyperlink" Target="https://flcourts-media.flcourts.gov/content/download/2486201/opinion/Opinion_2025-1955.pdf" TargetMode="External"/><Relationship Id="rId2090" Type="http://schemas.openxmlformats.org/officeDocument/2006/relationships/hyperlink" Target="https://ilcourtsaudio.blob.core.windows.net/antilles-resources/resources/d0a50835-8b8c-4e4e-96d4-c3b209eadd34/People%20v.%20Peters,%202023%20IL%20App%20(1st)%20211591-U.pdf" TargetMode="External"/><Relationship Id="rId2188" Type="http://schemas.openxmlformats.org/officeDocument/2006/relationships/hyperlink" Target="https://casetext.com/case/brown-v-ohio-valley-health-servs-educ-corp" TargetMode="External"/><Relationship Id="rId2395" Type="http://schemas.openxmlformats.org/officeDocument/2006/relationships/hyperlink" Target="https://www.gerberholderlaw.com/workers-comp-ptsd-by-state/" TargetMode="External"/><Relationship Id="rId367" Type="http://schemas.openxmlformats.org/officeDocument/2006/relationships/hyperlink" Target="https://casetext.com/case/banske-v-city-of-calumet-city" TargetMode="External"/><Relationship Id="rId574" Type="http://schemas.openxmlformats.org/officeDocument/2006/relationships/hyperlink" Target="https://cases.justia.com/missouri/court-of-appeals/2019-wd81939.pdf?ts=1559661108" TargetMode="External"/><Relationship Id="rId2048" Type="http://schemas.openxmlformats.org/officeDocument/2006/relationships/hyperlink" Target="https://cases.justia.com/federal/district-courts/minnesota/mndce/0:2022cv00839/199889/89/0.pdf?ts=1714059506" TargetMode="External"/><Relationship Id="rId2255" Type="http://schemas.openxmlformats.org/officeDocument/2006/relationships/hyperlink" Target="https://njcourts.gov/attorneys/assets/opinions/appellate/published/a3846-18.pdf?c=Npo" TargetMode="External"/><Relationship Id="rId227" Type="http://schemas.openxmlformats.org/officeDocument/2006/relationships/hyperlink" Target="https://www.mainelegislature.org/legis/statutes/17/title17sec2851.html" TargetMode="External"/><Relationship Id="rId781" Type="http://schemas.openxmlformats.org/officeDocument/2006/relationships/hyperlink" Target="https://www.supremecourt.gov/opinions/19pdf/18-587_5ifl.pdf" TargetMode="External"/><Relationship Id="rId879" Type="http://schemas.openxmlformats.org/officeDocument/2006/relationships/hyperlink" Target="https://www.supremecourt.gov/opinions/21pdf/20-1668_19m2.pdf" TargetMode="External"/><Relationship Id="rId2462" Type="http://schemas.openxmlformats.org/officeDocument/2006/relationships/hyperlink" Target="https://www.wvxu.org/politics/2025-08-27/michael-washington-wrongful-termination-lawsuit-trial" TargetMode="External"/><Relationship Id="rId2767" Type="http://schemas.openxmlformats.org/officeDocument/2006/relationships/hyperlink" Target="https://law.justia.com/cases/illinois/court-of-appeals-first-appellate-district/2000/1992647.html" TargetMode="External"/><Relationship Id="rId434" Type="http://schemas.openxmlformats.org/officeDocument/2006/relationships/hyperlink" Target="https://cases.justia.com/arizona/court-of-appeals-division-two-unpublished/2024-2-ca-cr-2024-0065.pdf?ts=1730333249" TargetMode="External"/><Relationship Id="rId641" Type="http://schemas.openxmlformats.org/officeDocument/2006/relationships/hyperlink" Target="https://www.supremecourt.gov/opinions/24pdf/24a949_lkhn.pdf" TargetMode="External"/><Relationship Id="rId739" Type="http://schemas.openxmlformats.org/officeDocument/2006/relationships/hyperlink" Target="https://www.law.cornell.edu/definitions/uscode.php?width=840&amp;height=800&amp;iframe=true&amp;def_id=8-USC-2032517217-1201680101&amp;term_occur=999&amp;term_src=" TargetMode="External"/><Relationship Id="rId1064" Type="http://schemas.openxmlformats.org/officeDocument/2006/relationships/hyperlink" Target="https://www.google.com/search?channel=frsc&amp;client=firefox-b-1-d&amp;q=MATTHEW+LONG+v.+CHATTANOOGA+FIRE+AND+POLICE+PENSION+FUND+No.+E2022-01151-COA-R3-CV+%7C+June+20%2C+2023+Session+%7C+" TargetMode="External"/><Relationship Id="rId1271" Type="http://schemas.openxmlformats.org/officeDocument/2006/relationships/hyperlink" Target="http://client.prod.iaff.org/" TargetMode="External"/><Relationship Id="rId1369" Type="http://schemas.openxmlformats.org/officeDocument/2006/relationships/hyperlink" Target="https://www.leagle.com/decision/infdco20210924575" TargetMode="External"/><Relationship Id="rId1576" Type="http://schemas.openxmlformats.org/officeDocument/2006/relationships/hyperlink" Target="https://cases.justia.com/federal/district-courts/south-carolina/scdce/0:2024cv00826/288831/46/0.pdf" TargetMode="External"/><Relationship Id="rId2115" Type="http://schemas.openxmlformats.org/officeDocument/2006/relationships/hyperlink" Target="https://public.fastcase.com/J%2FJP6pdidelsXxEE4k%2BLMv5wihlcRVj4L9YHbnV6MVAF3KBJWQtSNgsG4EjgakbdHjeAvtzGQxxiofGv8pQP2WzdDBJrvHehgIHwsEqWl4I%3D?utm_medium=email&amp;_hsmi=226712652&amp;_hsenc=p2ANqtz-8bxe8uEVUAEFxEuakn9lUGLQUwlcgKmV3pJL4LaqF4K3hrnG0m_YdcBfrpGQgthbsaGFQPAZbt-ltRFFMr5oynBxpKXA&amp;utm_content=226712652&amp;utm_source=hs_email" TargetMode="External"/><Relationship Id="rId2322" Type="http://schemas.openxmlformats.org/officeDocument/2006/relationships/hyperlink" Target="https://caselaw.findlaw.com/ny-supreme-court-appellate-division/1893546.html" TargetMode="External"/><Relationship Id="rId501" Type="http://schemas.openxmlformats.org/officeDocument/2006/relationships/hyperlink" Target="https://law.justia.com/cases/new-york/other-courts/2022/2022-ny-slip-op-34279-u.html" TargetMode="External"/><Relationship Id="rId946" Type="http://schemas.openxmlformats.org/officeDocument/2006/relationships/hyperlink" Target="https://www.courts.michigan.gov/4a237a/siteassets/case-documents/uploads/opinions/final/coa/20220728_c356829_27_356829.opn.pdf" TargetMode="External"/><Relationship Id="rId1131" Type="http://schemas.openxmlformats.org/officeDocument/2006/relationships/hyperlink" Target="https://cases.justia.com/montana/supreme-court/2021-da-20-0594.pdf?ts=1634679339" TargetMode="External"/><Relationship Id="rId1229" Type="http://schemas.openxmlformats.org/officeDocument/2006/relationships/hyperlink" Target="http://codes.ohio.gov/orc/gp9.481" TargetMode="External"/><Relationship Id="rId1783" Type="http://schemas.openxmlformats.org/officeDocument/2006/relationships/hyperlink" Target="https://public.fastcase.com/Wl%2B2t%2BeVuI35%2FN70vAMFZpdjKXDmRY5LJSAOUJ86zVs5waUL1YS3yBNtSKE8F5Gl" TargetMode="External"/><Relationship Id="rId1990" Type="http://schemas.openxmlformats.org/officeDocument/2006/relationships/hyperlink" Target="https://www.ems1.com/legal/federal-court-overturns-va-rule-reducing-ambulance-payments" TargetMode="External"/><Relationship Id="rId2627" Type="http://schemas.openxmlformats.org/officeDocument/2006/relationships/hyperlink" Target="https://public.fastcase.com/Wl%2B2t%2BeVuI35%2FN70vAMFZiqDSx6E0DPFzBbugd7jDu14ZTk4ABsQUj2F%2Fw3WIuoM" TargetMode="External"/><Relationship Id="rId75" Type="http://schemas.openxmlformats.org/officeDocument/2006/relationships/hyperlink" Target="https://public.fastcase.com/jaEE2PXzRXmZ99jOLMt1IvQQ%2FwWODLAEJBukBPNCALgft0sHziy1G1EiNPA2la2I%2Bz7mV9PFJnpwehw24IHtnmGvfRX%2FCWFczT3vlKR%2B0P0%3D?utm_medium=email&amp;_hsenc=p2ANqtz--SWSAGzwwNdnG_VMPYwGihlDivIcGecVdTRk_nr30XIo07pFHIeVloVzlVGarTG9brlCuLB39_kFjuWt_H_cWvO7FD4A&amp;_hsmi=226712652&amp;utm_content=226712652&amp;utm_source=hs_email" TargetMode="External"/><Relationship Id="rId806" Type="http://schemas.openxmlformats.org/officeDocument/2006/relationships/hyperlink" Target="https://www.supremecourt.gov/opinions/17pdf/16-402_h315.pdf" TargetMode="External"/><Relationship Id="rId1436" Type="http://schemas.openxmlformats.org/officeDocument/2006/relationships/hyperlink" Target="https://cases.justia.com/federal/district-courts/kansas/ksdce/2:2023cv02422/149254/113/0.pdf?ts=1756979784" TargetMode="External"/><Relationship Id="rId1643" Type="http://schemas.openxmlformats.org/officeDocument/2006/relationships/hyperlink" Target="https://law.justia.com/cases/louisiana/supreme-court/2015/2013-c-2878.html" TargetMode="External"/><Relationship Id="rId1850" Type="http://schemas.openxmlformats.org/officeDocument/2006/relationships/hyperlink" Target="https://casetext.com/statute/montana-code/title-2-government-structure-and-administration/chapter-4-administrative-procedure-act/part-7-judicial-review-of-contested-cases/section-2-4-702-effective-until-1012025-initiating-judicial-review-of-contested-cases" TargetMode="External"/><Relationship Id="rId1503" Type="http://schemas.openxmlformats.org/officeDocument/2006/relationships/hyperlink" Target="https://public.fastcase.com/J%2FJP6pdidelsXxEE4k%2BLMk9lGZyD2KG1SaKKnXCNSDrJ6FT2zCg0RErRpvbDUp%2FnT1MfNEdoSlzLl4b4xQ1JtBz9n9NoggrYwpv0z6IMwm8%3D" TargetMode="External"/><Relationship Id="rId1710" Type="http://schemas.openxmlformats.org/officeDocument/2006/relationships/hyperlink" Target="https://brookline.news/wp-content/uploads/2024/12/jointsettlementfiling.pdf" TargetMode="External"/><Relationship Id="rId1948" Type="http://schemas.openxmlformats.org/officeDocument/2006/relationships/hyperlink" Target="https://searchdro.kscourts.gov/documents/pdf/caseDecisions/d2d9aca8-0558-406d-9148-9139f4e8d305_125812.pdf" TargetMode="External"/><Relationship Id="rId291" Type="http://schemas.openxmlformats.org/officeDocument/2006/relationships/hyperlink" Target="https://www.myfloridacfo.com/division/agents/Industry/News/PubAdjRegs.htm" TargetMode="External"/><Relationship Id="rId1808" Type="http://schemas.openxmlformats.org/officeDocument/2006/relationships/hyperlink" Target="https://www.justice.gov/servicemembers" TargetMode="External"/><Relationship Id="rId151" Type="http://schemas.openxmlformats.org/officeDocument/2006/relationships/hyperlink" Target="https://www.denver7.com/news/local-news/colorado-supreme-court-ruled-in-favor-of-reverse-keyword-search-denver-police-used-to-track-arson-suspects" TargetMode="External"/><Relationship Id="rId389" Type="http://schemas.openxmlformats.org/officeDocument/2006/relationships/hyperlink" Target="https://www.flhouse.gov/Sections/Bills/billsdetail.aspx?BillId=78745" TargetMode="External"/><Relationship Id="rId596" Type="http://schemas.openxmlformats.org/officeDocument/2006/relationships/hyperlink" Target="https://d.docs.live.net/bd9b2eaf6053242e/AppData/Roaming/Microsoft/AppData/Local/Microsoft/Windows/INetCache/IE/CTCRXJ99/17-467_bqm1.pdf" TargetMode="External"/><Relationship Id="rId2277" Type="http://schemas.openxmlformats.org/officeDocument/2006/relationships/hyperlink" Target="https://www.courts.ca.gov/opinions/nonpub/F076225.PDF" TargetMode="External"/><Relationship Id="rId2484" Type="http://schemas.openxmlformats.org/officeDocument/2006/relationships/hyperlink" Target="https://cases.justia.com/michigan/court-of-appeals-unpublished/2024-365464.pdf?ts=1732024807" TargetMode="External"/><Relationship Id="rId2691" Type="http://schemas.openxmlformats.org/officeDocument/2006/relationships/hyperlink" Target="https://civilinquiry.jud.ct.gov/DocumentInquiry/DocumentInquiry.aspx?DocumentNo=29998787" TargetMode="External"/><Relationship Id="rId249" Type="http://schemas.openxmlformats.org/officeDocument/2006/relationships/hyperlink" Target="https://www.vulture.com/article/bill-cosby-overturned-sexual-assault-conviction-explained.html" TargetMode="External"/><Relationship Id="rId456" Type="http://schemas.openxmlformats.org/officeDocument/2006/relationships/hyperlink" Target="https://caselaw.findlaw.com/court/in-court-of-appeals/116108297.html" TargetMode="External"/><Relationship Id="rId663" Type="http://schemas.openxmlformats.org/officeDocument/2006/relationships/hyperlink" Target="https://caselaw.findlaw.com/court/us-1st-circuit/116020600.html" TargetMode="External"/><Relationship Id="rId870" Type="http://schemas.openxmlformats.org/officeDocument/2006/relationships/hyperlink" Target="https://codes.ohio.gov/ohio-revised-code/section-3314.07" TargetMode="External"/><Relationship Id="rId1086" Type="http://schemas.openxmlformats.org/officeDocument/2006/relationships/hyperlink" Target="https://casetext.com/case/barnabee-v-the-nyc-fire-pension-fund" TargetMode="External"/><Relationship Id="rId1293" Type="http://schemas.openxmlformats.org/officeDocument/2006/relationships/hyperlink" Target="https://www.supremecourt.gov/opinions/23pdf/22-193_q86b.pdf" TargetMode="External"/><Relationship Id="rId2137" Type="http://schemas.openxmlformats.org/officeDocument/2006/relationships/hyperlink" Target="https://www.supremecourt.ohio.gov/rod/docs/pdf/8/2022/2022-Ohio-1489.pdf" TargetMode="External"/><Relationship Id="rId2344" Type="http://schemas.openxmlformats.org/officeDocument/2006/relationships/hyperlink" Target="https://cases.justia.com/arizona/court-of-appeals-division-two-unpublished/2025-2-ca-ic-2024-0003.pdf?ts=1738026580" TargetMode="External"/><Relationship Id="rId2551" Type="http://schemas.openxmlformats.org/officeDocument/2006/relationships/hyperlink" Target="https://law.justia.com/cases/federal/appellate-courts/ca11/22-10132/22-10132-2022-11-22.html" TargetMode="External"/><Relationship Id="rId2789" Type="http://schemas.openxmlformats.org/officeDocument/2006/relationships/hyperlink" Target="https://www.law.cornell.edu/definitions/index.php?width=840&amp;height=800&amp;iframe=true&amp;def_id=a1910d2b023f8b0308e18d82edf940f8&amp;term_occur=999&amp;term_src=Title:24:Subtitle:B:Chapter:II:Subchapter:I:Part:291:Subpart:F:291.530" TargetMode="External"/><Relationship Id="rId109" Type="http://schemas.openxmlformats.org/officeDocument/2006/relationships/hyperlink" Target="https://www.peoplefor.org/biden-judge-writes-unanimous-opinion-letting-indigent-woman-challenge-her-conviction-unfairly-based" TargetMode="External"/><Relationship Id="rId316" Type="http://schemas.openxmlformats.org/officeDocument/2006/relationships/hyperlink" Target="https://cases.justia.com/federal/appellate-courts/ca11/19-11399/19-11399-2019-12-12.pdf?ts=1576184426" TargetMode="External"/><Relationship Id="rId523" Type="http://schemas.openxmlformats.org/officeDocument/2006/relationships/hyperlink" Target="https://public.fastcase.com/9SKwsfNqTc6OieYDhNMyM3Zf%2BPwzrkIbdAwXmhTtl8LsaOGFJIHcsZBv5iyM%2B426E1WD6poza6PbNV5FFspTPxqJQS%2BqrXpJYGMVjXOs9qA%3D" TargetMode="External"/><Relationship Id="rId968" Type="http://schemas.openxmlformats.org/officeDocument/2006/relationships/hyperlink" Target="https://acis.alabama.gov/displaydocs.cfm?no=1022968&amp;event=5S20LIXMT" TargetMode="External"/><Relationship Id="rId1153" Type="http://schemas.openxmlformats.org/officeDocument/2006/relationships/hyperlink" Target="https://law.justia.com/cases/missouri/court-of-appeals/2021/wd83430.html" TargetMode="External"/><Relationship Id="rId1598" Type="http://schemas.openxmlformats.org/officeDocument/2006/relationships/hyperlink" Target="https://www.supremecourt.gov/DocketPDF/23/23-997/311779/20240528141949268_23-997%20Stanley%20Reply%20In%20Support%20of%20Certiorari.pdf" TargetMode="External"/><Relationship Id="rId2204" Type="http://schemas.openxmlformats.org/officeDocument/2006/relationships/hyperlink" Target="https://casetext.com/case/waybright-v-frederick-county-2" TargetMode="External"/><Relationship Id="rId2649" Type="http://schemas.openxmlformats.org/officeDocument/2006/relationships/hyperlink" Target="https://www.oregonlaws.org/ors/243.672" TargetMode="External"/><Relationship Id="rId97" Type="http://schemas.openxmlformats.org/officeDocument/2006/relationships/hyperlink" Target="https://cases.justia.com/ohio/seventh-district-court-of-appeals/2024-24-be-0004.pdf?ts=1730297340" TargetMode="External"/><Relationship Id="rId730" Type="http://schemas.openxmlformats.org/officeDocument/2006/relationships/hyperlink" Target="https://www.washingtonpost.com/opinions/2021/07/18/federal-appeals-court-decisions-handguns-opens-door-more-violence/?utm_campaign=wp_todays_headlines&amp;utm_medium=email&amp;utm_source=newsletter&amp;wpisrc=nl_headlines&amp;carta-url=https%3A%2F%2Fs2.washingtonpost.com%2Fcar-ln-tr%2F342e6a3%2F60f54d379d2fda945a0c336b%2F59731235ade4e21a848a56ed%2F42%2F67%2F60f54d379d2fda945a0c336b" TargetMode="External"/><Relationship Id="rId828" Type="http://schemas.openxmlformats.org/officeDocument/2006/relationships/hyperlink" Target="https://cases.justia.com/michigan/court-of-appeals-unpublished/2025-368583.pdf?ts=1747314007" TargetMode="External"/><Relationship Id="rId1013" Type="http://schemas.openxmlformats.org/officeDocument/2006/relationships/hyperlink" Target="https://www.leg.state.nv.us/App/NELIS/REL/82nd2023/Bill/9844/Overview" TargetMode="External"/><Relationship Id="rId1360" Type="http://schemas.openxmlformats.org/officeDocument/2006/relationships/hyperlink" Target="https://fisheldowney.com/moving-away-mandatory-arbitration-sexual-assault-harassment-claims/" TargetMode="External"/><Relationship Id="rId1458" Type="http://schemas.openxmlformats.org/officeDocument/2006/relationships/hyperlink" Target="https://apnews.com/article/dei-trump-executive-order-diversity-834a241a60ee92722ef2443b62572540" TargetMode="External"/><Relationship Id="rId1665" Type="http://schemas.openxmlformats.org/officeDocument/2006/relationships/hyperlink" Target="https://caselaw.findlaw.com/court/us-dis-crt-d-con/115860244.html" TargetMode="External"/><Relationship Id="rId1872" Type="http://schemas.openxmlformats.org/officeDocument/2006/relationships/hyperlink" Target="https://www.jud.ct.gov/external/supapp/Cases/AROap/AP216/216AP25.pdf" TargetMode="External"/><Relationship Id="rId2411" Type="http://schemas.openxmlformats.org/officeDocument/2006/relationships/hyperlink" Target="https://law.justia.com/cases/new-jersey/supreme-court/2018/a-9-16.html" TargetMode="External"/><Relationship Id="rId2509" Type="http://schemas.openxmlformats.org/officeDocument/2006/relationships/hyperlink" Target="https://casetext.com/statute/indiana-code/title-36-local-government/article-8-public-safety/chapter-3-safety-boards-disciplinary-procedures/section-36-8-3-4-police-officers-and-firefighters-discipline-demotion-and-dismissal-hearings-appeals-administrative-leave" TargetMode="External"/><Relationship Id="rId2716" Type="http://schemas.openxmlformats.org/officeDocument/2006/relationships/hyperlink" Target="https://codes.ohio.gov/ohio-revised-code/section-124.48" TargetMode="External"/><Relationship Id="rId1220" Type="http://schemas.openxmlformats.org/officeDocument/2006/relationships/hyperlink" Target="https://www.firstrespondercenter.org/cancer/toolsresources/presumptive-legislation-firefighter-cancer-state/" TargetMode="External"/><Relationship Id="rId1318" Type="http://schemas.openxmlformats.org/officeDocument/2006/relationships/hyperlink" Target="https://public.fastcase.com/H1P9uiW3J20SFp%2BGCG%2BxLdAy%2Fo69TrR1K6MVQcVakXAVjkfoheCj%2FALYO7mhCcaM?utm_medium=email&amp;_hsenc=p2ANqtz-_QVKpYjRM7B2Q5-sqKd1q9ccEl8nSIxeJoGOvaUfjL9Y5LBcGC98GOiGM8SvSGdTXKNaMFLIGTEL-_cGBVPHnVUR_G4Q&amp;_hsmi=226712652&amp;utm_content=226712652&amp;utm_source=hs_email" TargetMode="External"/><Relationship Id="rId1525" Type="http://schemas.openxmlformats.org/officeDocument/2006/relationships/hyperlink" Target="https://news.bloomberglaw.com/daily-labor-report/doj-says-black-ems-captains-can-prove-bias-without-material-harm" TargetMode="External"/><Relationship Id="rId1732" Type="http://schemas.openxmlformats.org/officeDocument/2006/relationships/hyperlink" Target="https://public.fastcase.com/ZZhmr5v9wN%2FXOe5IsQ%2FqD6h7oDGGEaQcvjGxXhP3wdarcxH65lzIz0WHpJ1071%2Fz6z3xzTYinPsWmKTOA4ARnDbKp9ycJPmOcwYRqStxafA%3D?utm_medium=email&amp;_hsmi=226712652&amp;_hsenc=p2ANqtz-8kFbodM_yCEg50hGETq70Ew_rKe4r85tHeNoAUvaEorCUJWcIF_sSd3vzx7ykWUIs8vIjN-q4A8Aji78d1bSF2B0Xuvw&amp;utm_content=226712652&amp;utm_source=hs_email" TargetMode="External"/><Relationship Id="rId24" Type="http://schemas.openxmlformats.org/officeDocument/2006/relationships/hyperlink" Target="https://cases.justia.com/texas/fifteenth-court-of-appeals/2026-15-24-00010-cv.pdf?ts=1772815197" TargetMode="External"/><Relationship Id="rId2299" Type="http://schemas.openxmlformats.org/officeDocument/2006/relationships/hyperlink" Target="https://www.njcourts.gov/attorneys/assets/opinions/appellate/unpublished/a4258-16.pdf?cacheID=HAxjRbJ" TargetMode="External"/><Relationship Id="rId173" Type="http://schemas.openxmlformats.org/officeDocument/2006/relationships/hyperlink" Target="https://www.supremecourt.gov/opinions/22pdf/21-1326_6jfl.pdf" TargetMode="External"/><Relationship Id="rId380" Type="http://schemas.openxmlformats.org/officeDocument/2006/relationships/hyperlink" Target="https://cases.justia.com/federal/district-courts/maryland/mddce/1:2025cv00796/578117/19/0.pdf?ts=1771692701" TargetMode="External"/><Relationship Id="rId2061" Type="http://schemas.openxmlformats.org/officeDocument/2006/relationships/hyperlink" Target="https://www.hhs.gov/hipaa/for-professionals/compliance-enforcement/data/enforcement-highlights/index.html" TargetMode="External"/><Relationship Id="rId240" Type="http://schemas.openxmlformats.org/officeDocument/2006/relationships/hyperlink" Target="https://www.supremecourt.gov/opinions/20pdf/21a23_ap6c.pdf" TargetMode="External"/><Relationship Id="rId478" Type="http://schemas.openxmlformats.org/officeDocument/2006/relationships/hyperlink" Target="https://casetext.com/statute/california-codes/california-civil-code/division-3-obligations/part-3-obligations-imposed-by-law/section-17149-injury-to-peace-officer-firefighter-or-emergency-medical-personnel" TargetMode="External"/><Relationship Id="rId685" Type="http://schemas.openxmlformats.org/officeDocument/2006/relationships/hyperlink" Target="https://www.nytimes.com/2023/07/04/business/federal-judge-biden-social-media.html?campaign_id=60&amp;emc=edit_na_20230704&amp;instance_id=0&amp;nl=breaking-news&amp;ref=cta&amp;regi_id=215376166&amp;segment_id=138360&amp;user_id=c17b05e2b990d0f39049334bb5d3c889" TargetMode="External"/><Relationship Id="rId892" Type="http://schemas.openxmlformats.org/officeDocument/2006/relationships/hyperlink" Target="https://ktla.com/news/local-news/gov-newsom-signs-new-law-prompted-by-photo-scandal-in-crash-that-killed-kobe-bryant-8-others-in-calabasas/" TargetMode="External"/><Relationship Id="rId2159" Type="http://schemas.openxmlformats.org/officeDocument/2006/relationships/hyperlink" Target="https://public.fastcase.com/9SKwsfNqTc6OieYDhNMyMwDUrDTC81ScbwpTIsrYww9AFfazNo%2F2HwY6ziqtDhg0Y4a0WNWhiQuswT892BHbSQq1RuZX52VcSFrolfmFpsM%3D" TargetMode="External"/><Relationship Id="rId2366" Type="http://schemas.openxmlformats.org/officeDocument/2006/relationships/hyperlink" Target="https://cases.justia.com/washington/court-of-appeals-division-i/2023-84561-6-0.pdf?ts=1696273779" TargetMode="External"/><Relationship Id="rId2573" Type="http://schemas.openxmlformats.org/officeDocument/2006/relationships/hyperlink" Target="https://www.firehouse.com/careers-education/news/21251649/judge-springfield-ma-city-must-enforce-residency-rules" TargetMode="External"/><Relationship Id="rId2780" Type="http://schemas.openxmlformats.org/officeDocument/2006/relationships/hyperlink" Target="https://www.muscalaw.com/blog/understanding-floridas-new-halo-law-and-its-impact-first-amendment-rights" TargetMode="External"/><Relationship Id="rId100" Type="http://schemas.openxmlformats.org/officeDocument/2006/relationships/hyperlink" Target="https://caselaw.findlaw.com/court/az-court-of-appeals/116575227.html" TargetMode="External"/><Relationship Id="rId338" Type="http://schemas.openxmlformats.org/officeDocument/2006/relationships/hyperlink" Target="https://www.washingtonpost.com/politics/courts_law/abortion-death-penalty-religion-late-night-rulings-show-new-alliances-at-supreme-court/2019/02/08/681cc252-2bb9-11e9-b011-d8500644dc98_story.html?utm_term=.6e954895539e&amp;wpisrc=nl_evening&amp;wpmm=1" TargetMode="External"/><Relationship Id="rId545" Type="http://schemas.openxmlformats.org/officeDocument/2006/relationships/hyperlink" Target="https://www.leagle.com/decision/infdco20200526m70" TargetMode="External"/><Relationship Id="rId752" Type="http://schemas.openxmlformats.org/officeDocument/2006/relationships/hyperlink" Target="https://www.law.cornell.edu/uscode/text/8/1227" TargetMode="External"/><Relationship Id="rId1175" Type="http://schemas.openxmlformats.org/officeDocument/2006/relationships/hyperlink" Target="https://public.fastcase.com/Wl%2B2t%2BeVuI35%2FN70vAMFZiwHTxExttVvxvtro3%2Fx3JKRataF5Ade5ddShAB2khcY" TargetMode="External"/><Relationship Id="rId1382" Type="http://schemas.openxmlformats.org/officeDocument/2006/relationships/hyperlink" Target="https://scholar.google.com/scholar_case?case=10119606247499891126&amp;q=Rachel+MOSBY+v.+CITY+OF+BYRON,+GEORGIA,&amp;hl=en&amp;as_sdt=6,36" TargetMode="External"/><Relationship Id="rId2019" Type="http://schemas.openxmlformats.org/officeDocument/2006/relationships/hyperlink" Target="https://www.opn.ca6.uscourts.gov/opinions.pdf/24a0095p-06.pdf" TargetMode="External"/><Relationship Id="rId2226" Type="http://schemas.openxmlformats.org/officeDocument/2006/relationships/hyperlink" Target="https://public.fastcase.com/Wl%2B2t%2BeVuI35%2FN70vAMFZu2kCKVGtKJMtqi4A8YrO%2FA1C58cJM7PHa67poZD1rnP" TargetMode="External"/><Relationship Id="rId2433" Type="http://schemas.openxmlformats.org/officeDocument/2006/relationships/hyperlink" Target="https://www.youtube.com/watch?v=NQ_XX2qp684" TargetMode="External"/><Relationship Id="rId2640" Type="http://schemas.openxmlformats.org/officeDocument/2006/relationships/hyperlink" Target="https://cases.justia.com/federal/appellate-courts/ca9/18-16994/18-16994-2020-03-05.pdf?ts=1583442068" TargetMode="External"/><Relationship Id="rId405" Type="http://schemas.openxmlformats.org/officeDocument/2006/relationships/hyperlink" Target="https://indianacapitalchronicle.com/briefs/buffer-zone-clarification-heads-to-governors-desk/" TargetMode="External"/><Relationship Id="rId612" Type="http://schemas.openxmlformats.org/officeDocument/2006/relationships/hyperlink" Target="https://www.casemine.com/judgement/us/694a977ac92f54bb3c63226d" TargetMode="External"/><Relationship Id="rId1035" Type="http://schemas.openxmlformats.org/officeDocument/2006/relationships/hyperlink" Target="https://cases.justia.com/pennsylvania/commonwealth-court/2024-541-and-589-c-d-2022.pdf?ts=1735057731" TargetMode="External"/><Relationship Id="rId1242" Type="http://schemas.openxmlformats.org/officeDocument/2006/relationships/hyperlink" Target="https://law.justia.com/cases/new-york/other-courts/2019/2019-ny-slip-op-29363.html" TargetMode="External"/><Relationship Id="rId1687" Type="http://schemas.openxmlformats.org/officeDocument/2006/relationships/hyperlink" Target="https://www.ca4.uscourts.gov/opinions/231752.P.pdf" TargetMode="External"/><Relationship Id="rId1894" Type="http://schemas.openxmlformats.org/officeDocument/2006/relationships/hyperlink" Target="https://www.lexipol.com/resources/blog/can-fire-departments-prohibit-firefighter-off-duty-medical-marijuana-use/" TargetMode="External"/><Relationship Id="rId2500" Type="http://schemas.openxmlformats.org/officeDocument/2006/relationships/hyperlink" Target="https://indepthnh.org/2023/11/14/rep-jon-stones-records-as-a-cop-are-humiliating-lawyer-tells-nh-supreme-court/" TargetMode="External"/><Relationship Id="rId2738" Type="http://schemas.openxmlformats.org/officeDocument/2006/relationships/hyperlink" Target="https://public.fastcase.com/J%2FJP6pdidelsXxEE4k%2BLMpuDgtfUlpNK4l%2BfqZzcsS95ieNoHEqDlI1ajn81HayMXO5%2FuX2%2ByvyKSn9EyfaN7KpFENL2lTAAz2wo8HtdPeY%3D?utm_medium=email&amp;_hsmi=226712652&amp;_hsenc=p2ANqtz-9t2-miGpzcz6HjEKBpKrn-zhw54ySyRz_VGgy44f1dByScW7c1n8avO_4RXLWc5afGZGbJubbxw9DhHyQbca8WHl796A&amp;utm_content=226712652&amp;utm_source=hs_email" TargetMode="External"/><Relationship Id="rId917" Type="http://schemas.openxmlformats.org/officeDocument/2006/relationships/hyperlink" Target="https://cases.justia.com/north-carolina/court-of-appeals/2025-24-790.pdf?ts=1744808209" TargetMode="External"/><Relationship Id="rId1102" Type="http://schemas.openxmlformats.org/officeDocument/2006/relationships/hyperlink" Target="https://ilcourtsaudio.blob.core.windows.net/antilles-resources/resources/eba608df-6fa9-4d1a-8a11-f48abce29596/City%20of%20Springfield%20v.%20Illinois%20Workers'%20Compensation%20Comm'n,%202022%20IL%20App%20(4th)%20210604WC-U.pdf" TargetMode="External"/><Relationship Id="rId1547" Type="http://schemas.openxmlformats.org/officeDocument/2006/relationships/hyperlink" Target="http://www.ca5.uscourts.gov/opinions/pub/19/19-20294-CV0.pdf" TargetMode="External"/><Relationship Id="rId1754" Type="http://schemas.openxmlformats.org/officeDocument/2006/relationships/hyperlink" Target="https://public.fastcase.com/9SKwsfNqTc6OieYDhNMyM6wIjV%2FgrP6%2B9MDXlv1tVkNXweOaDt%2BbGPgPJ0OsLFYAPgMRGXfDo03cnu2EwM1JQQOl%2Bf0LG6cX5zSOobt1xqY%3D" TargetMode="External"/><Relationship Id="rId1961" Type="http://schemas.openxmlformats.org/officeDocument/2006/relationships/hyperlink" Target="https://cases.justia.com/texas/fifteenth-court-of-appeals/2025-15-24-00048-cv.pdf?ts=1753365777" TargetMode="External"/><Relationship Id="rId2805" Type="http://schemas.openxmlformats.org/officeDocument/2006/relationships/hyperlink" Target="https://www.dispatch.com/story/news/courts/2023/11/30/florida-supreme-court-rules-that-marsys-law-privacy-doesnt-apply-to-police-officers/71758347007/?utm_source=columbusdispatch-dailybriefing-strada&amp;utm_medium=email&amp;utm_campaign=dailybriefing-headline-stack&amp;utm_term=Content%20List%20-%20Stacking%20-%20optimized&amp;utm_content=ncod-columbus-nletter65" TargetMode="External"/><Relationship Id="rId46" Type="http://schemas.openxmlformats.org/officeDocument/2006/relationships/hyperlink" Target="https://public.fastcase.com/jaEE2PXzRXmZ99jOLMt1Ips4C6WkUGp0KzACPcngYbWmPTLfIWMstLJyRryzc8Dq?utm_medium=email&amp;_hsenc=p2ANqtz-94X9-jvo7aphxCTddVbMuFo0h95bmcaFpGEwlnAd6pPwVsx4xOyg-iR7W5WKYYvAnlQWrH3LVFVTBhWCeJd3O3dSBjuA&amp;_hsmi=226712652&amp;utm_content=226712652&amp;utm_source=hs_email" TargetMode="External"/><Relationship Id="rId1407" Type="http://schemas.openxmlformats.org/officeDocument/2006/relationships/hyperlink" Target="https://cases.justia.com/federal/appellate-courts/ca5/18-40561/18-40561-2019-07-10.pdf?ts=1562779857" TargetMode="External"/><Relationship Id="rId1614" Type="http://schemas.openxmlformats.org/officeDocument/2006/relationships/hyperlink" Target="https://cases.justia.com/federal/district-courts/tennessee/tnmdce/3:2021cv00807/88141/32/0.pdf" TargetMode="External"/><Relationship Id="rId1821" Type="http://schemas.openxmlformats.org/officeDocument/2006/relationships/hyperlink" Target="https://www.dol.gov/whd/opinion/FLSA/2018/2018_01_05_05_FLSA.pdf" TargetMode="External"/><Relationship Id="rId195" Type="http://schemas.openxmlformats.org/officeDocument/2006/relationships/hyperlink" Target="https://public.fastcase.com/J%2FJP6pdidelsXxEE4k%2BLMrfSCCaRdL8TI%2B5ioBWNQnh0kDz1GreH4%2B0yNBfnZOTE%2BnPBmU0h571R%2FJckMZe26svndIwXzFkT32fWB37fhjw%3D?utm_medium=email&amp;_hsmi=226712652&amp;_hsenc=p2ANqtz--GP8ZQooCAhfBpKdL9gU4tnEMPEYSQuJhpHC1xgU_R2XIHvEgQGIZy-l9drIqZUjYHZhAeqsmTG1Ww2RK_6TGoVdhMHQ&amp;utm_content=226712652&amp;utm_source=hs_email" TargetMode="External"/><Relationship Id="rId1919" Type="http://schemas.openxmlformats.org/officeDocument/2006/relationships/hyperlink" Target="https://www.hipaajournal.com/hipaa-violation-cases/" TargetMode="External"/><Relationship Id="rId2083" Type="http://schemas.openxmlformats.org/officeDocument/2006/relationships/hyperlink" Target="https://www.youtube.com/watch?v=GHO2Qjk4XIo" TargetMode="External"/><Relationship Id="rId2290" Type="http://schemas.openxmlformats.org/officeDocument/2006/relationships/hyperlink" Target="https://cases.justia.com/ohio/fourth-district-court-of-appeals/2019-18ca8-5.pdf?ts=1553894129" TargetMode="External"/><Relationship Id="rId2388" Type="http://schemas.openxmlformats.org/officeDocument/2006/relationships/hyperlink" Target="https://public.fastcase.com/9SKwsfNqTc6OieYDhNMyM%2BsbSTu241pOZ38l1fL3GtOxRE1iLhH6RZm0FIyTdVeF1XRK6Ebg7B5equTDg4ZQiMxFMDQEZko4UYsaxrmOuYk%3D" TargetMode="External"/><Relationship Id="rId2595" Type="http://schemas.openxmlformats.org/officeDocument/2006/relationships/hyperlink" Target="https://convention2018.iaff.org/general-counsels-report/" TargetMode="External"/><Relationship Id="rId262" Type="http://schemas.openxmlformats.org/officeDocument/2006/relationships/hyperlink" Target="https://supreme.justia.com/cases/federal/us/547/410/" TargetMode="External"/><Relationship Id="rId567" Type="http://schemas.openxmlformats.org/officeDocument/2006/relationships/hyperlink" Target="https://shawkeller.com/wp-content/uploads/opinions-pdf/18-1252-CMMPT.pdf" TargetMode="External"/><Relationship Id="rId1197" Type="http://schemas.openxmlformats.org/officeDocument/2006/relationships/hyperlink" Target="https://delcode.delaware.gov/title19/c017/index.shtml" TargetMode="External"/><Relationship Id="rId2150" Type="http://schemas.openxmlformats.org/officeDocument/2006/relationships/hyperlink" Target="https://public.fastcase.com/waZtJvSA54UAurM2rmIZzwN7i243%2F%2BStZpHYDBkc8sGpJscx%2FQQ27pdU9Jjrp4oC%2BDoaG82WuBlPphdis3f1N3UPtlVqun2jEuCWxYyqQWw%3D" TargetMode="External"/><Relationship Id="rId2248" Type="http://schemas.openxmlformats.org/officeDocument/2006/relationships/hyperlink" Target="https://www.phillyvoice.com/us-supreme-court-denies-overturn-pennsylvania-non-essential-businesses-coronavirus-gov-wolf/" TargetMode="External"/><Relationship Id="rId122" Type="http://schemas.openxmlformats.org/officeDocument/2006/relationships/hyperlink" Target="https://www.law.cornell.edu/rules/fre/rule_803" TargetMode="External"/><Relationship Id="rId774" Type="http://schemas.openxmlformats.org/officeDocument/2006/relationships/hyperlink" Target="https://www.casemine.com/judgement/us/5fa3a7514653d0732d5bedb1" TargetMode="External"/><Relationship Id="rId981" Type="http://schemas.openxmlformats.org/officeDocument/2006/relationships/hyperlink" Target="http://www.legallyspeakingohio.com/wordpress/wp-content/uploads/2013/03/anderson-v-massilon.pdf" TargetMode="External"/><Relationship Id="rId1057" Type="http://schemas.openxmlformats.org/officeDocument/2006/relationships/hyperlink" Target="https://www.njcourts.gov/system/files/court-opinions/2024/a3332-21.pdf" TargetMode="External"/><Relationship Id="rId2010" Type="http://schemas.openxmlformats.org/officeDocument/2006/relationships/hyperlink" Target="https://www.orangeobserver.com/news/2024/jun/15/breaking-former-orange-county-fire-rescue-battalion-chief-announces-candidacy-for-county-commission-district-1/" TargetMode="External"/><Relationship Id="rId2455" Type="http://schemas.openxmlformats.org/officeDocument/2006/relationships/hyperlink" Target="https://cases.justia.com/federal/appellate-courts/ca4/24-1782/24-1782-2025-06-05.pdf?ts=1749150038" TargetMode="External"/><Relationship Id="rId2662" Type="http://schemas.openxmlformats.org/officeDocument/2006/relationships/hyperlink" Target="http://www.iaff421.org/?zone=/unionactive/private_view_page.cfm&amp;page=Know20Your20Rights21" TargetMode="External"/><Relationship Id="rId427" Type="http://schemas.openxmlformats.org/officeDocument/2006/relationships/hyperlink" Target="https://www.youtube.com/watch?v=teM31tC2TMo" TargetMode="External"/><Relationship Id="rId634" Type="http://schemas.openxmlformats.org/officeDocument/2006/relationships/hyperlink" Target="https://storage.courtlistener.com/recap/gov.uscourts.mad.282404/gov.uscourts.mad.282404.119.0_1.pdf" TargetMode="External"/><Relationship Id="rId841" Type="http://schemas.openxmlformats.org/officeDocument/2006/relationships/hyperlink" Target="https://harvardlawreview.org/print/vol-137/baker-v-city-of-mckinney/" TargetMode="External"/><Relationship Id="rId1264" Type="http://schemas.openxmlformats.org/officeDocument/2006/relationships/hyperlink" Target="http://www.opn.ca6.uscourts.gov/opinions.pdf/18a0522n-06.pdf" TargetMode="External"/><Relationship Id="rId1471" Type="http://schemas.openxmlformats.org/officeDocument/2006/relationships/hyperlink" Target="https://www.tncourts.gov/sites/default/files/OpinionsPDFVersion/BoydTaurickOPN.pdf" TargetMode="External"/><Relationship Id="rId1569" Type="http://schemas.openxmlformats.org/officeDocument/2006/relationships/hyperlink" Target="https://cases.justia.com/federal/district-courts/arkansas/aredce/4:2024cv00350/143122/28/0.pdf?ts=1775058402" TargetMode="External"/><Relationship Id="rId2108" Type="http://schemas.openxmlformats.org/officeDocument/2006/relationships/hyperlink" Target="https://www.law.cornell.edu/definitions/uscode.php?width=840&amp;height=800&amp;iframe=true&amp;def_id=42-USC-303628742-1009355614&amp;term_occur=999&amp;term_src=" TargetMode="External"/><Relationship Id="rId2315" Type="http://schemas.openxmlformats.org/officeDocument/2006/relationships/hyperlink" Target="https://cases.justia.com/federal/district-courts/florida/flmdce/8:2025cv02787/448658/35/0.pdf" TargetMode="External"/><Relationship Id="rId2522" Type="http://schemas.openxmlformats.org/officeDocument/2006/relationships/hyperlink" Target="https://law.justia.com/cases/federal/appellate-courts/ca5/22-40438/22-40438-2023-08-15.html" TargetMode="External"/><Relationship Id="rId701" Type="http://schemas.openxmlformats.org/officeDocument/2006/relationships/hyperlink" Target="https://docs-cdn-prod.news-engineering.aws.wapo.pub/publish_document/5c87d9b8-631f-41c7-92e8-129f412d0e0f/published/5c87d9b8-631f-41c7-92e8-129f412d0e0f.pdf" TargetMode="External"/><Relationship Id="rId939" Type="http://schemas.openxmlformats.org/officeDocument/2006/relationships/hyperlink" Target="https://casetext.com/case/city-of-houston-v-wilson-1" TargetMode="External"/><Relationship Id="rId1124" Type="http://schemas.openxmlformats.org/officeDocument/2006/relationships/hyperlink" Target="https://codes.ohio.gov/ohio-revised-code/section-4123.68" TargetMode="External"/><Relationship Id="rId1331" Type="http://schemas.openxmlformats.org/officeDocument/2006/relationships/hyperlink" Target="https://wtop.com/news/2014/03/dc-firefighter-charged-with-filling-fake-prescriptions/" TargetMode="External"/><Relationship Id="rId1776" Type="http://schemas.openxmlformats.org/officeDocument/2006/relationships/hyperlink" Target="https://www.dol.gov/sites/dolgov/files/WHD/legacy/files/fab_2020_7.pdf" TargetMode="External"/><Relationship Id="rId1983" Type="http://schemas.openxmlformats.org/officeDocument/2006/relationships/hyperlink" Target="https://casetext.com/statute/general-laws-of-massachusetts/part-i-administration-of-the-government/title-xxi-labor-and-industries/chapter-149-labor-and-industries/section-149187-health-care-providers-protection-from-retaliatory-action-by-health-care-facilities" TargetMode="External"/><Relationship Id="rId2827" Type="http://schemas.openxmlformats.org/officeDocument/2006/relationships/hyperlink" Target="https://public.fastcase.com/Wl%2B2t%2BeVuI35%2FN70vAMFZk1fYI9cwrY3IkIgZcFpE1Hk%2FIolkI7JdZ%2BewTVypbzK" TargetMode="External"/><Relationship Id="rId68" Type="http://schemas.openxmlformats.org/officeDocument/2006/relationships/hyperlink" Target="https://ktvz.b-cdn.net/2025/05/TRO-ruling.pdf" TargetMode="External"/><Relationship Id="rId1429" Type="http://schemas.openxmlformats.org/officeDocument/2006/relationships/hyperlink" Target="https://www.supremecourt.gov/opinions/25pdf/24-109_21o3.pdf" TargetMode="External"/><Relationship Id="rId1636" Type="http://schemas.openxmlformats.org/officeDocument/2006/relationships/hyperlink" Target="https://casetext.com/case/bey-v-city-of-ny-7" TargetMode="External"/><Relationship Id="rId1843" Type="http://schemas.openxmlformats.org/officeDocument/2006/relationships/hyperlink" Target="https://public.fastcase.com/jaEE2PXzRXmZ99jOLMt1IkeXMb88bktridCVT2cNJQMzpCQ6GgqcAq9z2DsPb3SV?utm_medium=email&amp;_hsenc=p2ANqtz-85xVo1nyN3HdtXmyEBbnKz3steTpDAfhmpvG3xr6TrZ9DYf7Sn2b546JhEk92EHRSHghCxIzSuD7PvUX919GE5tGfx5g&amp;_hsmi=226712652&amp;utm_content=226712652&amp;utm_source=hs_email" TargetMode="External"/><Relationship Id="rId1703" Type="http://schemas.openxmlformats.org/officeDocument/2006/relationships/hyperlink" Target="https://www.carolinajournal.com/wp-content/uploads/2025/04/cleveland-ot-128-033125-courtorder.pdf" TargetMode="External"/><Relationship Id="rId1910" Type="http://schemas.openxmlformats.org/officeDocument/2006/relationships/hyperlink" Target="https://www.law.com/thelegalintelligencer/2020/06/25/judge-halts-opening-of-safe-injection-site-citing-covid-19-pandemic-and-protests/" TargetMode="External"/><Relationship Id="rId284" Type="http://schemas.openxmlformats.org/officeDocument/2006/relationships/hyperlink" Target="https://www.hamiltoncountyohio.gov/UserFiles/Servers/Server_3788196/File/Government/Departments/Human%20Resources/Ethics%20in%20Government/HamiltonCountyEthicsBooklet.pdf" TargetMode="External"/><Relationship Id="rId491" Type="http://schemas.openxmlformats.org/officeDocument/2006/relationships/hyperlink" Target="http://courtswv.gov/Intermediate-Court/memo-decisions/Spring2023/22-ICA-216%20md.pdf" TargetMode="External"/><Relationship Id="rId2172" Type="http://schemas.openxmlformats.org/officeDocument/2006/relationships/hyperlink" Target="https://casetext.com/case/warren-v-cnty-of-sacramento" TargetMode="External"/><Relationship Id="rId144" Type="http://schemas.openxmlformats.org/officeDocument/2006/relationships/hyperlink" Target="https://wsau.com/2022/03/02/wausau-man-sentenced-in-arson-case/" TargetMode="External"/><Relationship Id="rId589" Type="http://schemas.openxmlformats.org/officeDocument/2006/relationships/hyperlink" Target="https://www.justice.gov/opa/pr/justice-department-announces-improvements-public-safety-officers-benefits-program" TargetMode="External"/><Relationship Id="rId796" Type="http://schemas.openxmlformats.org/officeDocument/2006/relationships/hyperlink" Target="http://www.pacourts.us/assets/opinions/Superior/out/j-s12006-19o%20-%2010413599977313050.pdf" TargetMode="External"/><Relationship Id="rId2477" Type="http://schemas.openxmlformats.org/officeDocument/2006/relationships/hyperlink" Target="https://public.fastcase.com/jaEE2PXzRXmZ99jOLMt1IhQHA9AMm9CcSN%2BGfYyS2p0Y8T4gWwr35mn7gDgy%2FrLSk1%2BX3TZDVCgonvjR5kmTn9ieZn6lPYykAdycfBPhja8%3D?utm_medium=email&amp;_hsenc=p2ANqtz-96viAoOgtBhpN3k-FXu0IciBKBTpaPEffa5PyEi7FQVITmUz8Kiu79qOEJdxGOe1egzOzFwK07j5P1hSXOAN4VGdmpNA&amp;_hsmi=226712652&amp;utm_content=226712652&amp;utm_source=hs_email" TargetMode="External"/><Relationship Id="rId2684" Type="http://schemas.openxmlformats.org/officeDocument/2006/relationships/hyperlink" Target="https://cases.justia.com/federal/district-courts/illinois/ilndce/1:2024cv01517/455667/32/0.pdf?ts=1773244215" TargetMode="External"/><Relationship Id="rId351" Type="http://schemas.openxmlformats.org/officeDocument/2006/relationships/hyperlink" Target="https://www.cincinnati.com/story/news/crime/crime-and-courts/2018/11/13/pike-county-massacre-wagner-family-arrested-rhoden-family-homicides/1373456002/" TargetMode="External"/><Relationship Id="rId449" Type="http://schemas.openxmlformats.org/officeDocument/2006/relationships/hyperlink" Target="https://www.pacourts.us/assets/opinions/Superior/out/J-S40043-23m%20-%20105940494266483578.pdf?cb=1" TargetMode="External"/><Relationship Id="rId656" Type="http://schemas.openxmlformats.org/officeDocument/2006/relationships/hyperlink" Target="https://media.cadc.uscourts.gov/opinions/docs/2024/10/22-3042-2081254.pdf" TargetMode="External"/><Relationship Id="rId863" Type="http://schemas.openxmlformats.org/officeDocument/2006/relationships/hyperlink" Target="https://public.fastcase.com/waZtJvSA54UAurM2rmIZz%2BDBDza2Dcvrp2SE0zpDRm3uGB65hvSCPfK4VjLpx5do7UnCIAIPH2MB5FJFO94Wb3w6W7ePwbFST%2FncfNL0phQ%3D" TargetMode="External"/><Relationship Id="rId1079" Type="http://schemas.openxmlformats.org/officeDocument/2006/relationships/hyperlink" Target="https://www.insurancejournal.com/news/east/2023/06/26/727250.htm" TargetMode="External"/><Relationship Id="rId1286" Type="http://schemas.openxmlformats.org/officeDocument/2006/relationships/hyperlink" Target="https://cases.justia.com/delaware/superior-court/2025-n25c-08-098-ssa.pdf?ts=1764099129" TargetMode="External"/><Relationship Id="rId1493" Type="http://schemas.openxmlformats.org/officeDocument/2006/relationships/hyperlink" Target="https://casetext.com/case/crudup-v-city-of-omaha-4" TargetMode="External"/><Relationship Id="rId2032" Type="http://schemas.openxmlformats.org/officeDocument/2006/relationships/hyperlink" Target="https://www.postandcourier.com/news/charleston-county-ems-ketamine-lawsuit-settlement/article_682c754c-6d10-11ee-ac1b-ef7daf1ea208.html" TargetMode="External"/><Relationship Id="rId2337" Type="http://schemas.openxmlformats.org/officeDocument/2006/relationships/hyperlink" Target="https://cases.justia.com/federal/district-courts/illinois/ilndce/1:2021cv05327/407800/161/0.pdf?ts=1751450196" TargetMode="External"/><Relationship Id="rId2544" Type="http://schemas.openxmlformats.org/officeDocument/2006/relationships/hyperlink" Target="https://public.fastcase.com/J%2FJP6pdidelsXxEE4k%2BLMpGubXoiBI9N5c5PiCjiKje3s5hlj34tgYA4JUqhEnHu5%2B5A2YVGp5a5q0QWGlZ62xJPhOyoXNaYGEvkYwXaoTE%3D?utm_medium=email&amp;_hsmi=226712652&amp;_hsenc=p2ANqtz-8eQQAtjUmF0fegxTEoYBNzAO-SWgh5MKAZ8ooS_Vj6VgR_AfS9P2NoltKqIQKTjr9fMeFfYMtr9y658qMKNZJxq-ULqA&amp;utm_content=226712652&amp;utm_source=hs_email" TargetMode="External"/><Relationship Id="rId211" Type="http://schemas.openxmlformats.org/officeDocument/2006/relationships/hyperlink" Target="https://www.law.cornell.edu/supct-cgi/get-us-cite?543+70" TargetMode="External"/><Relationship Id="rId309" Type="http://schemas.openxmlformats.org/officeDocument/2006/relationships/hyperlink" Target="https://scholar.google.com/scholar_case?case=11404623739922196630&amp;q=Kumho+Tire+Co.+v.+Carmichael&amp;hl=en&amp;as_sdt=6,36&amp;as_vis=1" TargetMode="External"/><Relationship Id="rId516" Type="http://schemas.openxmlformats.org/officeDocument/2006/relationships/hyperlink" Target="https://public.fastcase.com/9SKwsfNqTc6OieYDhNMyM9xc2pxP%2FDu9FaHS39uIywoNWZfMpeo5x%2FagXmZgtb6udFSKN2SMusDFZQbDcDfWSogmOURw4QaQEmhtdPNd1MI%3D" TargetMode="External"/><Relationship Id="rId1146" Type="http://schemas.openxmlformats.org/officeDocument/2006/relationships/hyperlink" Target="https://www.knoe.com/2021/03/21/bastrop-passes-14-million-property-tax/" TargetMode="External"/><Relationship Id="rId1798" Type="http://schemas.openxmlformats.org/officeDocument/2006/relationships/hyperlink" Target="https://public.fastcase.com/Wl%2B2t%2BeVuI35%2FN70vAMFZqOCIluAWFXT7dyIbWSJtbA2tJbGDR%2F5EmjVBjMYm1QS" TargetMode="External"/><Relationship Id="rId2751" Type="http://schemas.openxmlformats.org/officeDocument/2006/relationships/hyperlink" Target="https://www.supremecourt.ohio.gov/rod/docs/pdf/8/2022/2022-Ohio-824.pdf" TargetMode="External"/><Relationship Id="rId723" Type="http://schemas.openxmlformats.org/officeDocument/2006/relationships/hyperlink" Target="https://www.law.cornell.edu/definitions/uscode.php?width=840&amp;height=800&amp;iframe=true&amp;def_id=18-USC-849457050-909420280&amp;term_occur=999&amp;term_src=title:18:part:I:chapter:13:section:249" TargetMode="External"/><Relationship Id="rId930" Type="http://schemas.openxmlformats.org/officeDocument/2006/relationships/hyperlink" Target="https://cases.justia.com/texas/first-court-of-appeals/2023-01-22-00496-cv.pdf?ts=1703769793" TargetMode="External"/><Relationship Id="rId1006" Type="http://schemas.openxmlformats.org/officeDocument/2006/relationships/hyperlink" Target="https://ilcourtsaudio.blob.core.windows.net/antilles-resources/resources/f07642b7-1e8b-438e-bd0d-cfbc858fbc9b/Witteman%20v.%20Brookfield%20Firefighters%20Pension%20Fund%202025%20IL%20App%20(1st)%20241278.pdf" TargetMode="External"/><Relationship Id="rId1353" Type="http://schemas.openxmlformats.org/officeDocument/2006/relationships/hyperlink" Target="https://apnews.com/article/savannah-discrimination-lawsuits-georgia-courts-181c735cb3d5f318ea6a76e14d237b4a" TargetMode="External"/><Relationship Id="rId1560" Type="http://schemas.openxmlformats.org/officeDocument/2006/relationships/hyperlink" Target="https://law.justia.com/cases/federal/appellate-courts/ca11/18-10631/18-10631-2019-03-01.html" TargetMode="External"/><Relationship Id="rId1658" Type="http://schemas.openxmlformats.org/officeDocument/2006/relationships/hyperlink" Target="https://cases.justia.com/minnesota/supreme-court/2019-a17-0141.pdf?ts=1551286256" TargetMode="External"/><Relationship Id="rId1865" Type="http://schemas.openxmlformats.org/officeDocument/2006/relationships/hyperlink" Target="https://portal.ct.gov/ag/press-releases/2022-press-releases/ag-tong-compels-purdue-and-sacklers-to-pay-six-billion-to-victims-survivors-and-states" TargetMode="External"/><Relationship Id="rId2404" Type="http://schemas.openxmlformats.org/officeDocument/2006/relationships/hyperlink" Target="https://law.justia.com/cases/illinois/court-of-appeals-first-appellate-district/2019/1-18-0388.html" TargetMode="External"/><Relationship Id="rId2611" Type="http://schemas.openxmlformats.org/officeDocument/2006/relationships/hyperlink" Target="https://public.fastcase.com/Wl%2B2t%2BeVuI35%2FN70vAMFZiys29g9i6WW2vOdml2B4dJUoMj0gy8QWoByD0pzloLe" TargetMode="External"/><Relationship Id="rId2709" Type="http://schemas.openxmlformats.org/officeDocument/2006/relationships/hyperlink" Target="https://www.cadc.uscourts.gov/internet/opinions.nsf/AF29B804749163DE85258AC500547458/$file/22-1261-2040755.pdf" TargetMode="External"/><Relationship Id="rId1213" Type="http://schemas.openxmlformats.org/officeDocument/2006/relationships/hyperlink" Target="http://lawfilesext.leg.wa.gov/biennium/2019-20/Pdf/Bills/Session%20Laws/House/1913.SL.pdf?cite=2019%20c%20133%20%C2%A7%201" TargetMode="External"/><Relationship Id="rId1420" Type="http://schemas.openxmlformats.org/officeDocument/2006/relationships/hyperlink" Target="https://cases.justia.com/federal/district-courts/illinois/ilndce/1:2016cv10156/332956/114/0.pdf?ts=1547630986" TargetMode="External"/><Relationship Id="rId1518" Type="http://schemas.openxmlformats.org/officeDocument/2006/relationships/hyperlink" Target="https://casetext.com/case/smith-v-city-of-toledo" TargetMode="External"/><Relationship Id="rId1725" Type="http://schemas.openxmlformats.org/officeDocument/2006/relationships/hyperlink" Target="https://www.firefighterovertime.org/2019/09/16/firefighter-meal-period/" TargetMode="External"/><Relationship Id="rId1932" Type="http://schemas.openxmlformats.org/officeDocument/2006/relationships/hyperlink" Target="https://www.orangeobserver.com/news/2024/jun/15/breaking-former-orange-county-fire-rescue-battalion-chief-announces-candidacy-for-county-commission-district-1/" TargetMode="External"/><Relationship Id="rId17" Type="http://schemas.openxmlformats.org/officeDocument/2006/relationships/hyperlink" Target="https://doi.org/10.7945/j6c2-q930" TargetMode="External"/><Relationship Id="rId2194" Type="http://schemas.openxmlformats.org/officeDocument/2006/relationships/hyperlink" Target="https://casetext.com/case/certification-from-us-dist-court-for-w-dist-of-wash-v-city-of-bellingham" TargetMode="External"/><Relationship Id="rId166" Type="http://schemas.openxmlformats.org/officeDocument/2006/relationships/hyperlink" Target="https://public.fastcase.com/ZZhmr5v9wN%2FXOe5IsQ%2FqD6Xx7tREqB5H6wemtf0NyhN8u4NUZnGSAantyLeysRAmLMoHIDaVROEStimemn37zFtbEUi2roRyzYg1DUQ2CNY%3D?utm_medium=email&amp;_hsmi=226712652&amp;_hsenc=p2ANqtz--Q_3moeDoiaeECqEOwyhE0ZXPhDkG4WMrF3I2hrcVk-DQ0PMStF7btAcv6bivJ44RNtnNn6LFTST6ermzb3easneInYg&amp;utm_content=226712652&amp;utm_source=hs_email" TargetMode="External"/><Relationship Id="rId373" Type="http://schemas.openxmlformats.org/officeDocument/2006/relationships/hyperlink" Target="https://www.firehero.org/fallen-firefighter/jared-c-lloyd/" TargetMode="External"/><Relationship Id="rId580" Type="http://schemas.openxmlformats.org/officeDocument/2006/relationships/hyperlink" Target="http://www.illinoiscourts.gov/R23_Orders/WorkersComp/2018/2170447WC_R23.pdf" TargetMode="External"/><Relationship Id="rId2054" Type="http://schemas.openxmlformats.org/officeDocument/2006/relationships/hyperlink" Target="https://casetext.com/case/currid-v-the-city-of-new-york" TargetMode="External"/><Relationship Id="rId2261" Type="http://schemas.openxmlformats.org/officeDocument/2006/relationships/hyperlink" Target="https://www.dailynews.com/2020/04/14/coronavirus-judge-upholds-l-a-city-order-to-close-gun-stores/" TargetMode="External"/><Relationship Id="rId2499" Type="http://schemas.openxmlformats.org/officeDocument/2006/relationships/hyperlink" Target="https://www.vnews.com/Jonathan-Stone-loses-his-appeal-to-state-supreme-court-to-keep-personnel-records-private-54453646" TargetMode="External"/><Relationship Id="rId1" Type="http://schemas.openxmlformats.org/officeDocument/2006/relationships/customXml" Target="../customXml/item1.xml"/><Relationship Id="rId233" Type="http://schemas.openxmlformats.org/officeDocument/2006/relationships/hyperlink" Target="https://law.justia.com/cases/federal/appellate-courts/ca6/13-3274/13-3274-2014-03-13.html" TargetMode="External"/><Relationship Id="rId440" Type="http://schemas.openxmlformats.org/officeDocument/2006/relationships/hyperlink" Target="https://www.opn.ca6.uscourts.gov/opinions.pdf/24a0367n-06.pdf" TargetMode="External"/><Relationship Id="rId678" Type="http://schemas.openxmlformats.org/officeDocument/2006/relationships/hyperlink" Target="https://www.motherjones.com/environment/2015/08/40-percent-californias-fires-are-fought-prison-inmates/" TargetMode="External"/><Relationship Id="rId885" Type="http://schemas.openxmlformats.org/officeDocument/2006/relationships/hyperlink" Target="https://casetext.com/case/schladetzky-v-doe-1" TargetMode="External"/><Relationship Id="rId1070" Type="http://schemas.openxmlformats.org/officeDocument/2006/relationships/hyperlink" Target="https://www.wftv.com/news/local/appeals-court-ruling-paves-way-orange-county-firefighters-widow-seek-workers-comp-payout/QFOHSP22XNHLXLGDFDZYKLTKMM/" TargetMode="External"/><Relationship Id="rId2121" Type="http://schemas.openxmlformats.org/officeDocument/2006/relationships/hyperlink" Target="https://law.justia.com/cases/wyoming/supreme-court/2022/s-21-0278.html" TargetMode="External"/><Relationship Id="rId2359" Type="http://schemas.openxmlformats.org/officeDocument/2006/relationships/hyperlink" Target="https://caselaw.findlaw.com/court/us-dis-crt-s-d-ohi-wes-div/2089388.html" TargetMode="External"/><Relationship Id="rId2566" Type="http://schemas.openxmlformats.org/officeDocument/2006/relationships/hyperlink" Target="https://casetext.com/case/owens-v-propes" TargetMode="External"/><Relationship Id="rId2773" Type="http://schemas.openxmlformats.org/officeDocument/2006/relationships/hyperlink" Target="https://casetext.com/case/new-prime-inc-v-oliveira-1?ref=Sb!ZpcU0M" TargetMode="External"/><Relationship Id="rId300" Type="http://schemas.openxmlformats.org/officeDocument/2006/relationships/hyperlink" Target="https://www.opn.ca6.uscourts.gov/opinions.pdf/20a0374n-06.pdf" TargetMode="External"/><Relationship Id="rId538" Type="http://schemas.openxmlformats.org/officeDocument/2006/relationships/hyperlink" Target="https://www2.ca3.uscourts.gov/opinarch/192938p.pdf" TargetMode="External"/><Relationship Id="rId745" Type="http://schemas.openxmlformats.org/officeDocument/2006/relationships/hyperlink" Target="https://www.law.cornell.edu/definitions/uscode.php?width=840&amp;height=800&amp;iframe=true&amp;def_id=8-USC-92903111-1485256781&amp;term_occur=999&amp;term_src=" TargetMode="External"/><Relationship Id="rId952" Type="http://schemas.openxmlformats.org/officeDocument/2006/relationships/hyperlink" Target="https://law.justia.com/cases/texas/fourteenth-court-of-appeals/2022/14-20-00566-cv.html" TargetMode="External"/><Relationship Id="rId1168" Type="http://schemas.openxmlformats.org/officeDocument/2006/relationships/hyperlink" Target="https://www.supremecourt.ohio.gov/rod/docs/pdf/0/2020/2020-Ohio-1047.pdf" TargetMode="External"/><Relationship Id="rId1375" Type="http://schemas.openxmlformats.org/officeDocument/2006/relationships/hyperlink" Target="https://www.wwlp.com/news/local-news/hampden-county/termination-of-3-westfield-firefighters-vacated-commission-orders-investigation-of-chief/" TargetMode="External"/><Relationship Id="rId1582" Type="http://schemas.openxmlformats.org/officeDocument/2006/relationships/hyperlink" Target="https://public.fastcase.com/jaEE2PXzRXmZ99jOLMt1Ipey3nn80Qzm5FjlczUETsDTuQT39ugB8joG6QHEs86OG3nGrKzxwZV4%2Fla6pLxdspdlDpATTrpmmFlVcXapI1M%3D?utm_medium=email&amp;_hsenc=p2ANqtz-8lwnqzIFsmVJzuahWcWVuNvva5eg1m46jktTnS1rNp1Tgpui8ycBPAblsV379ZnZFl8lWnb4zQm5QdddO-2g4KXoMSJQ&amp;_hsmi=226712652&amp;utm_content=226712652&amp;utm_source=hs_email" TargetMode="External"/><Relationship Id="rId2219" Type="http://schemas.openxmlformats.org/officeDocument/2006/relationships/hyperlink" Target="https://aams.org/aams-member-alert-negotiated-balance-billing-solution-included-in-legislation/" TargetMode="External"/><Relationship Id="rId2426" Type="http://schemas.openxmlformats.org/officeDocument/2006/relationships/hyperlink" Target="https://cases.justia.com/federal/district-courts/illinois/ilndce/1:2025cv10892/485962/24/0.pdf?ts=1769597667" TargetMode="External"/><Relationship Id="rId2633" Type="http://schemas.openxmlformats.org/officeDocument/2006/relationships/hyperlink" Target="https://www.heraldextra.com/news/local/crime-and-courts/millard-county-fire-chief-charged-with-raping-two-women-will/article_32fa3eae-85cc-5928-a493-88a75082f506.html" TargetMode="External"/><Relationship Id="rId81" Type="http://schemas.openxmlformats.org/officeDocument/2006/relationships/hyperlink" Target="https://www.rcfp.org/resources/anti-slapp-laws/" TargetMode="External"/><Relationship Id="rId605" Type="http://schemas.openxmlformats.org/officeDocument/2006/relationships/hyperlink" Target="https://www.firehero.org/fallen-firefighter/albert-a-filosa/" TargetMode="External"/><Relationship Id="rId812" Type="http://schemas.openxmlformats.org/officeDocument/2006/relationships/hyperlink" Target="https://d.docs.live.net/bd9b2eaf6053242e/AppData/Roaming/Microsoft/AppData/Local/Microsoft/Windows/INetCache/IE/XO250S7T/Glomar-decision.pdf" TargetMode="External"/><Relationship Id="rId1028" Type="http://schemas.openxmlformats.org/officeDocument/2006/relationships/hyperlink" Target="https://ilcourtsaudio.blob.core.windows.net/antilles-resources/resources/09ac8ced-f502-4e22-9f67-a03c9e14d801/Ford%20v.%20Village%20of%20Northbrook,%202025%20IL%20App%20(1st)%20231952-U.pdf" TargetMode="External"/><Relationship Id="rId1235" Type="http://schemas.openxmlformats.org/officeDocument/2006/relationships/hyperlink" Target="http://www.fifthcircuit.org/dmzdocs/OI/PO/2020/54FCDF86-AA62-4720-B56D-B5FDC85663B0.pdf" TargetMode="External"/><Relationship Id="rId1442" Type="http://schemas.openxmlformats.org/officeDocument/2006/relationships/hyperlink" Target="https://public.fastcase.com/jaEE2PXzRXmZ99jOLMt1Ijy4owdgN11%2FWJRcUJbHoDpxB70E2t6SZ0qkojT0B8Qp?utm_medium=email&amp;_hsenc=p2ANqtz-9VaXpB4njMDCq0a3A4ziHdpnkkhT3_X-uHzr6ZxpzUXb9np6U8cLB4p1ctiAJNyopvqJJhsHP0CMdXEdLkgd2zGecgDw&amp;_hsmi=226712652&amp;utm_content=226712652&amp;utm_source=hs_email" TargetMode="External"/><Relationship Id="rId1887" Type="http://schemas.openxmlformats.org/officeDocument/2006/relationships/hyperlink" Target="https://www.npr.org/2021/11/01/1051321580/california-judge-drug-companies-opioid-crisis-allergan-endo-johnson-teva" TargetMode="External"/><Relationship Id="rId1302" Type="http://schemas.openxmlformats.org/officeDocument/2006/relationships/hyperlink" Target="https://cases.justia.com/federal/district-courts/texas/txsdce/6:2022cv00002/1858056/21/0.pdf?ts=1664555743" TargetMode="External"/><Relationship Id="rId1747" Type="http://schemas.openxmlformats.org/officeDocument/2006/relationships/hyperlink" Target="http://www.firefighterovertime.org/2018/09/17/battalion/" TargetMode="External"/><Relationship Id="rId1954" Type="http://schemas.openxmlformats.org/officeDocument/2006/relationships/hyperlink" Target="https://www.mass.gov/doc/commonwealth-v-verrier-ac-g24p446/download" TargetMode="External"/><Relationship Id="rId2700" Type="http://schemas.openxmlformats.org/officeDocument/2006/relationships/hyperlink" Target="https://ilcourtsaudio.blob.core.windows.net/antilles-resources/resources/a7e1e4b9-d57b-4bd7-9b5d-a27198847cd7/City%20of%20Park%20Ridge%20v.%20IL%20Labor%20Relations%20Bd%202024%20IL%20App%20(1st)%20221924-U.pdf" TargetMode="External"/><Relationship Id="rId39" Type="http://schemas.openxmlformats.org/officeDocument/2006/relationships/hyperlink" Target="https://cases.justia.com/pennsylvania/supreme-court/2025-15-wap-2024-0.pdf?ts=1763559882" TargetMode="External"/><Relationship Id="rId1607" Type="http://schemas.openxmlformats.org/officeDocument/2006/relationships/hyperlink" Target="https://casetext.com/case/smith-v-city-of-sanford-2" TargetMode="External"/><Relationship Id="rId1814" Type="http://schemas.openxmlformats.org/officeDocument/2006/relationships/hyperlink" Target="http://codes.ohio.gov/orc/505.601" TargetMode="External"/><Relationship Id="rId188" Type="http://schemas.openxmlformats.org/officeDocument/2006/relationships/hyperlink" Target="https://news.wosu.org/politics-government/2022-06-13/ohio-governor-signs-bill-allowing-armed-school-employees" TargetMode="External"/><Relationship Id="rId395" Type="http://schemas.openxmlformats.org/officeDocument/2006/relationships/hyperlink" Target="https://public.fastcase.com/jaEE2PXzRXmZ99jOLMt1ItgJpO3cenZHWG8%2BVkmKxH1HTTAbABiD6rHSJp3pZ1gN%2FmUtcGj1MYmfK4vUiVXj%2F7KJALcf9RQ89nZBN4g9WoM%3D?utm_medium=email&amp;_hsenc=p2ANqtz-8GKw_r7YMLn5ao1TZxs4WqNRhri-535W3eCNA3JduD9CnJg4Ez99C9vjqiY3t5lfrKsWh0EQkMPqhDg1IfFNoFLO22ZQ&amp;_hsmi=226712652&amp;utm_content=226712652&amp;utm_source=hs_email" TargetMode="External"/><Relationship Id="rId2076" Type="http://schemas.openxmlformats.org/officeDocument/2006/relationships/hyperlink" Target="https://www.opn.ca6.uscourts.gov/opinions.pdf/23a0156p-06.pdf" TargetMode="External"/><Relationship Id="rId2283" Type="http://schemas.openxmlformats.org/officeDocument/2006/relationships/hyperlink" Target="https://www.courts.ca.gov/opinions/nonpub/B284099.PDF" TargetMode="External"/><Relationship Id="rId2490" Type="http://schemas.openxmlformats.org/officeDocument/2006/relationships/hyperlink" Target="https://www.nj.gov/csc/about/meetings/decisions/pdf/2023/01-18-23/A005%20TAYAG-KOSKY%20JOHN.pdf" TargetMode="External"/><Relationship Id="rId2588" Type="http://schemas.openxmlformats.org/officeDocument/2006/relationships/hyperlink" Target="https://www.cleveland19.com/2020/01/26/year-old-woman-loses-life-after-house-goes-up-flames-clevelands-west-side-adults-children-safely-out/" TargetMode="External"/><Relationship Id="rId255" Type="http://schemas.openxmlformats.org/officeDocument/2006/relationships/hyperlink" Target="https://www.supremecourt.gov/opinions/20pdf/19-292_21p3.pdf" TargetMode="External"/><Relationship Id="rId462" Type="http://schemas.openxmlformats.org/officeDocument/2006/relationships/hyperlink" Target="https://casetext.com/case/knipper-v-drill-team-of-lindenhurst-fire-dept" TargetMode="External"/><Relationship Id="rId1092" Type="http://schemas.openxmlformats.org/officeDocument/2006/relationships/hyperlink" Target="https://law.justia.com/cases/pennsylvania/commonwealth-court/2023/12-c-d-2022.html" TargetMode="External"/><Relationship Id="rId1397" Type="http://schemas.openxmlformats.org/officeDocument/2006/relationships/hyperlink" Target="https://www.leagle.com/cite/599%20F.2d%20707" TargetMode="External"/><Relationship Id="rId2143" Type="http://schemas.openxmlformats.org/officeDocument/2006/relationships/hyperlink" Target="https://www.leagle.com/decision/infdco20220324d64" TargetMode="External"/><Relationship Id="rId2350" Type="http://schemas.openxmlformats.org/officeDocument/2006/relationships/hyperlink" Target="https://www.firstresponderptsdclaims.com/faq/" TargetMode="External"/><Relationship Id="rId2795" Type="http://schemas.openxmlformats.org/officeDocument/2006/relationships/hyperlink" Target="https://casetext.com/case/dolan-v-fed-emergency-mgmt-agency" TargetMode="External"/><Relationship Id="rId115" Type="http://schemas.openxmlformats.org/officeDocument/2006/relationships/hyperlink" Target="https://cases.justia.com/texas/fourteenth-court-of-appeals/2024-14-23-00355-cr.pdf?ts=1724329963" TargetMode="External"/><Relationship Id="rId322" Type="http://schemas.openxmlformats.org/officeDocument/2006/relationships/hyperlink" Target="https://www.courts.ca.gov/opinions/nonpub/C087060.PDF" TargetMode="External"/><Relationship Id="rId767" Type="http://schemas.openxmlformats.org/officeDocument/2006/relationships/hyperlink" Target="https://www.govinfo.gov/content/pkg/FR-2020-08-13/pdf/2020-17468.pd" TargetMode="External"/><Relationship Id="rId974" Type="http://schemas.openxmlformats.org/officeDocument/2006/relationships/hyperlink" Target="http://www.la-fcca.org/opiniongrid/opinionpdf/2018%20CA%200905%20Decision%20Appeal.pdf" TargetMode="External"/><Relationship Id="rId2003" Type="http://schemas.openxmlformats.org/officeDocument/2006/relationships/hyperlink" Target="https://stlouiscriminaldefense.com/" TargetMode="External"/><Relationship Id="rId2210" Type="http://schemas.openxmlformats.org/officeDocument/2006/relationships/hyperlink" Target="https://www.supremecourt.ohio.gov/rod/docs/pdf/0/2009/2009-Ohio-1248.pdf" TargetMode="External"/><Relationship Id="rId2448" Type="http://schemas.openxmlformats.org/officeDocument/2006/relationships/hyperlink" Target="https://public.fastcase.com/jaEE2PXzRXmZ99jOLMt1Ilcjd44wj1gOUELzUZUXmDmbuUsOiVZitmDUzsj9wpOSz4ErC%2Bb83%2Bac%2Bxbf2Y5XWbaFtY83bMRM%2FnYjCn7PkRA%3D?utm_medium=email&amp;_hsenc=p2ANqtz-_fx1n9_ms4yphjYB4YK1tT4ojMXKWZyFtyDBkZEK1fupUD4WQ_rkXhMfyPQZmyXGwaNXHPYYCETcsN16Fd9R-eiG6PHw&amp;_hsmi=226712652&amp;utm_content=226712652&amp;utm_source=hs_email" TargetMode="External"/><Relationship Id="rId2655" Type="http://schemas.openxmlformats.org/officeDocument/2006/relationships/hyperlink" Target="https://cases.justia.com/texas/ninth-court-of-appeals/2019-09-18-00407-cv-0.pdf?ts=1570180546" TargetMode="External"/><Relationship Id="rId627" Type="http://schemas.openxmlformats.org/officeDocument/2006/relationships/hyperlink" Target="https://cdn.ca9.uscourts.gov/datastore/opinions/2025/10/30/25-6268.pdf" TargetMode="External"/><Relationship Id="rId834" Type="http://schemas.openxmlformats.org/officeDocument/2006/relationships/hyperlink" Target="https://cases.justia.com/federal/district-courts/federal-claims/cofce/1:2022cv01201/46126/27/0.pdf?ts=1728477951" TargetMode="External"/><Relationship Id="rId1257" Type="http://schemas.openxmlformats.org/officeDocument/2006/relationships/hyperlink" Target="https://cases.justia.com/federal/district-courts/ohio/ohndce/1:2018cv02242/247535/15/0.pdf?ts=1544190248" TargetMode="External"/><Relationship Id="rId1464" Type="http://schemas.openxmlformats.org/officeDocument/2006/relationships/hyperlink" Target="https://cases.justia.com/federal/district-courts/illinois/ilndce/1:2022cv01419/413396/37/0.pdf?ts=1732013718" TargetMode="External"/><Relationship Id="rId1671" Type="http://schemas.openxmlformats.org/officeDocument/2006/relationships/hyperlink" Target="https://www.dol.gov/sites/dolgov/files/WHD/legacy/files/fab_2020_7.pdf" TargetMode="External"/><Relationship Id="rId2308" Type="http://schemas.openxmlformats.org/officeDocument/2006/relationships/hyperlink" Target="https://www.law.cornell.edu/rules/frcp/rule_26" TargetMode="External"/><Relationship Id="rId2515" Type="http://schemas.openxmlformats.org/officeDocument/2006/relationships/hyperlink" Target="https://cases.justia.com/federal/district-courts/louisiana/lamdce/3:2021cv00287/59089/59/0.pdf?ts=1697816120" TargetMode="External"/><Relationship Id="rId2722" Type="http://schemas.openxmlformats.org/officeDocument/2006/relationships/hyperlink" Target="https://search.txcourts.gov/SearchMedia.aspx?MediaVersionID=b6a5eb11-d9ee-4713-9079-a7fc018a0d0c&amp;coa=cossup&amp;DT=OPINION&amp;MediaID=180a364b-e3a9-4c3b-bb68-7b88944c20ad" TargetMode="External"/><Relationship Id="rId901" Type="http://schemas.openxmlformats.org/officeDocument/2006/relationships/hyperlink" Target="http://www.supremecourt.ohio.gov/rod/docs/pdf/5/2018/2018-Ohio-3436.pdf" TargetMode="External"/><Relationship Id="rId1117" Type="http://schemas.openxmlformats.org/officeDocument/2006/relationships/hyperlink" Target="https://ilcourtsaudio.blob.core.windows.net/antilles-resources/resources/2cab1835-a4bd-4f15-be52-5bbea6ed2024/Roselle%20v.%20BOT%20of%20the%20Roselle%20Firefighters%20Pension%20Fund,%202021%20IL%20App%20(2d)%20200360.pdf" TargetMode="External"/><Relationship Id="rId1324" Type="http://schemas.openxmlformats.org/officeDocument/2006/relationships/hyperlink" Target="https://codes.ohio.gov/ohio-revised-code/section-4112.02" TargetMode="External"/><Relationship Id="rId1531" Type="http://schemas.openxmlformats.org/officeDocument/2006/relationships/hyperlink" Target="https://casetext.com/case/saade-v-city-of-detroit-1" TargetMode="External"/><Relationship Id="rId1769" Type="http://schemas.openxmlformats.org/officeDocument/2006/relationships/hyperlink" Target="https://casetext.com/case/adams-v-city-of-kan-city-1" TargetMode="External"/><Relationship Id="rId1976" Type="http://schemas.openxmlformats.org/officeDocument/2006/relationships/hyperlink" Target="https://storage.courtlistener.com/recap/gov.uscourts.cod.231472/gov.uscourts.cod.231472.63.0.pdf" TargetMode="External"/><Relationship Id="rId30" Type="http://schemas.openxmlformats.org/officeDocument/2006/relationships/hyperlink" Target="https://cases.justia.com/texas/first-court-of-appeals/2025-01-23-00905-cv.pdf?ts=1767189326" TargetMode="External"/><Relationship Id="rId1629" Type="http://schemas.openxmlformats.org/officeDocument/2006/relationships/hyperlink" Target="https://www.hmpgloballearningnetwork.com/site/emsworld/original-contribution/sworn-therapy-dog-supports-ohio-responders" TargetMode="External"/><Relationship Id="rId1836" Type="http://schemas.openxmlformats.org/officeDocument/2006/relationships/hyperlink" Target="https://www.youtube.com/watch?v=1jL6w0_sguI" TargetMode="External"/><Relationship Id="rId1903" Type="http://schemas.openxmlformats.org/officeDocument/2006/relationships/hyperlink" Target="https://scholar.google.com/scholar_case?case=1228128574784444684&amp;q=Pennsylvania+%22overdose+response%22&amp;hl=en&amp;scisbd=2&amp;as_sdt=6,36&amp;as_ylo=2020" TargetMode="External"/><Relationship Id="rId2098" Type="http://schemas.openxmlformats.org/officeDocument/2006/relationships/hyperlink" Target="http://www.ca5.uscourts.gov/opinions/unpub/22/22-60374.0.pdf" TargetMode="External"/><Relationship Id="rId277" Type="http://schemas.openxmlformats.org/officeDocument/2006/relationships/hyperlink" Target="https://public.fastcase.com/Wl%2B2t%2BeVuI35%2FN70vAMFZsWJ6AvEppVwuFRKTwz4M5aFuXQum0lUiq0Q02rKgFN1" TargetMode="External"/><Relationship Id="rId484" Type="http://schemas.openxmlformats.org/officeDocument/2006/relationships/hyperlink" Target="https://www.anylaw.com/case/smith-v-city-of-atlantic-city-et-al/d-new-jersey/11-28-2023/WMlWRYwBqcoRgE-ICuER" TargetMode="External"/><Relationship Id="rId2165" Type="http://schemas.openxmlformats.org/officeDocument/2006/relationships/hyperlink" Target="https://codes.ohio.gov/ohio-revised-code/section-4511.191" TargetMode="External"/><Relationship Id="rId137" Type="http://schemas.openxmlformats.org/officeDocument/2006/relationships/hyperlink" Target="https://public.fastcase.com/H1P9uiW3J20SFp%2BGCG%2BxLV1UD86YIpCG84PV7X%2BpnT1bSBvGb5%2F4r%2Bji24INAH28OEKlXyJ%2BAop5b2VZ9ytUlZZgkAmHpAE%2FiqsvJv8QoS0%3D?utm_medium=email&amp;_hsmi=226712652&amp;_hsenc=p2ANqtz--ZkRdN2zXdoxrl3owB4KoaH3odsucPmvtI49_VzIkvckm0OogBea4uvwy0e_nUnYms3ZfEOMqgWPnXMJBVQxzHG3rvjg&amp;utm_content=226712652&amp;utm_source=hs_email" TargetMode="External"/><Relationship Id="rId344" Type="http://schemas.openxmlformats.org/officeDocument/2006/relationships/hyperlink" Target="https://cases.justia.com/federal/appellate-courts/ca7/17-3060/17-3060-2018-08-14.pdf?ts=1534262420" TargetMode="External"/><Relationship Id="rId691" Type="http://schemas.openxmlformats.org/officeDocument/2006/relationships/hyperlink" Target="https://mdcourts.gov/data/opinions/cosa/2023/0021s22.pdf" TargetMode="External"/><Relationship Id="rId789" Type="http://schemas.openxmlformats.org/officeDocument/2006/relationships/hyperlink" Target="https://www.law.com/newyorklawjournal/2020/02/26/trump-administration-may-withhold-federal-grants-over-sanctuary-policies-2nd-circuit-rules/" TargetMode="External"/><Relationship Id="rId996" Type="http://schemas.openxmlformats.org/officeDocument/2006/relationships/hyperlink" Target="https://www4.courts.ca.gov/opinions/nonpub/B338919.PDF" TargetMode="External"/><Relationship Id="rId2025" Type="http://schemas.openxmlformats.org/officeDocument/2006/relationships/hyperlink" Target="https://www.courts.maine.gov/courts/sjc/lawcourt/2024/24me030.pdf" TargetMode="External"/><Relationship Id="rId2372" Type="http://schemas.openxmlformats.org/officeDocument/2006/relationships/hyperlink" Target="https://public.fastcase.com/J%2FJP6pdidelsXxEE4k%2BLMrxVcam7rKBSdRgmN0M2d%2BrW9J8HXjyMcs%2BCJsDK%2Fusk%2B2E9D%2F1BAqASOG07gYFsTW16dm6lb%2FBgwI52A7gDyzw%3D?utm_medium=email&amp;_hsmi=226712652&amp;_hsenc=p2ANqtz-9PBrRsgZ6dWHR_pYoIAB1lqWQVVefDA3UXzg06QZf9i4O0NAY5ywCEjL-xcfOhIm7moLGvuFP1IQS4Gks-qJ07TvkP3Q&amp;utm_content=226712652&amp;utm_source=hs_email" TargetMode="External"/><Relationship Id="rId2677" Type="http://schemas.openxmlformats.org/officeDocument/2006/relationships/hyperlink" Target="https://d.docs.live.net/bd9b2eaf6053242e/AppData/Roaming/Microsoft/AppData/Local/Microsoft/Windows/INetCache/IE/NZ9VF3P4/Christian-Firefighter.pdf" TargetMode="External"/><Relationship Id="rId551" Type="http://schemas.openxmlformats.org/officeDocument/2006/relationships/hyperlink" Target="https://www.courtlistener.com/pdf/2020/02/11/state_ex_rel._madison_fire_dist._v._indus._comm..pdf" TargetMode="External"/><Relationship Id="rId649" Type="http://schemas.openxmlformats.org/officeDocument/2006/relationships/hyperlink" Target="https://casetext.com/case/souverneva-v-the-superior-court" TargetMode="External"/><Relationship Id="rId856" Type="http://schemas.openxmlformats.org/officeDocument/2006/relationships/hyperlink" Target="https://casetext.com/case/carey-v-town-of-rumford" TargetMode="External"/><Relationship Id="rId1181" Type="http://schemas.openxmlformats.org/officeDocument/2006/relationships/hyperlink" Target="https://fox8.com/news/cleveland-fire-chief-to-retire-friday/" TargetMode="External"/><Relationship Id="rId1279" Type="http://schemas.openxmlformats.org/officeDocument/2006/relationships/hyperlink" Target="https://www.scotusblog.com/case-files/cases/new-prime-inc-v-oliveira/" TargetMode="External"/><Relationship Id="rId1486" Type="http://schemas.openxmlformats.org/officeDocument/2006/relationships/hyperlink" Target="https://www.cincinnati.com/story/news/2018/12/21/fire-captain-alleges-sexual-harassment-after-any-given-sunday-shown-station/2393196002/" TargetMode="External"/><Relationship Id="rId2232" Type="http://schemas.openxmlformats.org/officeDocument/2006/relationships/hyperlink" Target="https://public.fastcase.com/Wl%2B2t%2BeVuI35%2FN70vAMFZv50h%2Fykh7FShFoRYs3ZTa26w8rY%2BXvT1%2B6dqL4OkZlK" TargetMode="External"/><Relationship Id="rId2537" Type="http://schemas.openxmlformats.org/officeDocument/2006/relationships/hyperlink" Target="https://www.thefire.org/first-amendment-library/decision/pickering-v-board-of-education-of-township-high-school-district-205-will-county/" TargetMode="External"/><Relationship Id="rId204" Type="http://schemas.openxmlformats.org/officeDocument/2006/relationships/hyperlink" Target="https://casetext.com/case/commonwealth-v-wise-36" TargetMode="External"/><Relationship Id="rId411" Type="http://schemas.openxmlformats.org/officeDocument/2006/relationships/hyperlink" Target="https://law.justia.com/cases/new-york/appellate-division-second-department/2025/2023-00001.html" TargetMode="External"/><Relationship Id="rId509" Type="http://schemas.openxmlformats.org/officeDocument/2006/relationships/hyperlink" Target="https://www.ems.gov/newsletter/fall2021/dont_let_railroads_become_roadblocks.html" TargetMode="External"/><Relationship Id="rId1041" Type="http://schemas.openxmlformats.org/officeDocument/2006/relationships/hyperlink" Target="https://www.supremecourt.ohio.gov/rod/docs/pdf/10/2024/2024-Ohio-5010.pdf" TargetMode="External"/><Relationship Id="rId1139" Type="http://schemas.openxmlformats.org/officeDocument/2006/relationships/hyperlink" Target="https://www.schafer-and-schafer.com/workers-compensation/heart-and-hypertension/" TargetMode="External"/><Relationship Id="rId1346" Type="http://schemas.openxmlformats.org/officeDocument/2006/relationships/hyperlink" Target="https://www2.ca3.uscourts.gov/opinarch/213272np.pdf" TargetMode="External"/><Relationship Id="rId1693" Type="http://schemas.openxmlformats.org/officeDocument/2006/relationships/hyperlink" Target="https://osc.gov/Services/Pages/USERRA-Employee.aspx" TargetMode="External"/><Relationship Id="rId1998" Type="http://schemas.openxmlformats.org/officeDocument/2006/relationships/hyperlink" Target="https://casetext.com/case/kuhler-v-phi-health-llc" TargetMode="External"/><Relationship Id="rId2744" Type="http://schemas.openxmlformats.org/officeDocument/2006/relationships/hyperlink" Target="https://www.daytondailynews.com/news/west-carrollton-rehire-fire-chief-after-valentine-week-retirement/XSsYoJpSmxdkIIZtoGUpzJ/" TargetMode="External"/><Relationship Id="rId716" Type="http://schemas.openxmlformats.org/officeDocument/2006/relationships/hyperlink" Target="https://public.fastcase.com/9SKwsfNqTc6OieYDhNMyMwgnH2rEWQiRpx4SwB8tOsl9D8EiwJnekd530roHqTrENez3wWnOYZMVTxSfKTsOEtbG3zaICMf20ttzqQEEaDo" TargetMode="External"/><Relationship Id="rId923" Type="http://schemas.openxmlformats.org/officeDocument/2006/relationships/hyperlink" Target="https://cases.justia.com/michigan/court-of-appeals-unpublished/2024-367862.pdf?ts=1728738006" TargetMode="External"/><Relationship Id="rId1553" Type="http://schemas.openxmlformats.org/officeDocument/2006/relationships/hyperlink" Target="https://cases.justia.com/federal/district-courts/alabama/alsdce/2:2018cv00293/62967/26/0.pdf?ts=1571995051" TargetMode="External"/><Relationship Id="rId1760" Type="http://schemas.openxmlformats.org/officeDocument/2006/relationships/hyperlink" Target="https://www.law.cornell.edu/definitions/uscode.php?width=840&amp;height=800&amp;iframe=true&amp;def_id=29-USC-1193469627-1968318500&amp;term_occur=999&amp;term_src=title:29:chapter:9:section:260" TargetMode="External"/><Relationship Id="rId1858" Type="http://schemas.openxmlformats.org/officeDocument/2006/relationships/hyperlink" Target="https://public.fastcase.com/H1P9uiW3J20SFp%2BGCG%2BxLWxsjT87vgsYeUyD6XhJjN4sWvyHUDi1iD6eePPdFLtF?utm_medium=email&amp;_hsmi=226712652&amp;_hsenc=p2ANqtz-_iI2JExLit36jQEG92m9s-4sdtZgfob1tVRc-o7xFd5g7DvtyOGh3o-vGJ1z88YzXriHS74jMuVuWJoviL5aHAnGRzpg&amp;utm_content=226712652&amp;utm_source=hs_email" TargetMode="External"/><Relationship Id="rId2604" Type="http://schemas.openxmlformats.org/officeDocument/2006/relationships/hyperlink" Target="https://njcourts.gov/attorneys/assets/opinions/appellate/unpublished/a4576-18.pdf?c=len" TargetMode="External"/><Relationship Id="rId2811" Type="http://schemas.openxmlformats.org/officeDocument/2006/relationships/hyperlink" Target="https://fisheldowney.com/new-changes-ohios-public-records-law-new-changes-ohios-public-records-law/" TargetMode="External"/><Relationship Id="rId52" Type="http://schemas.openxmlformats.org/officeDocument/2006/relationships/hyperlink" Target="https://ecf.flmd.uscourts.gov/cgi-bin/show_public_doc?2023-01890-113-6-cv" TargetMode="External"/><Relationship Id="rId1206" Type="http://schemas.openxmlformats.org/officeDocument/2006/relationships/hyperlink" Target="https://law.justia.com/codes/ohio/2006/orc/jd_14943-4d7.html" TargetMode="External"/><Relationship Id="rId1413" Type="http://schemas.openxmlformats.org/officeDocument/2006/relationships/hyperlink" Target="https://cases.justia.com/federal/district-courts/illinois/ilndce/1:2018cv03054/351942/211/0.pdf?ts=1558430418" TargetMode="External"/><Relationship Id="rId1620" Type="http://schemas.openxmlformats.org/officeDocument/2006/relationships/hyperlink" Target="https://www.eeoc.gov/laws/guidance/questions-and-answers-final-rule-implementing-ada-amendments-act-2008" TargetMode="External"/><Relationship Id="rId1718" Type="http://schemas.openxmlformats.org/officeDocument/2006/relationships/hyperlink" Target="https://www.ecfr.gov/current/title-29/section-778.201" TargetMode="External"/><Relationship Id="rId1925" Type="http://schemas.openxmlformats.org/officeDocument/2006/relationships/hyperlink" Target="https://www.revisor.mn.gov/statutes/cite/595.02" TargetMode="External"/><Relationship Id="rId299" Type="http://schemas.openxmlformats.org/officeDocument/2006/relationships/hyperlink" Target="https://thehill.com/homenews/senate/503496-republican-rift-opens-up-over-qualified-immunity-for-police" TargetMode="External"/><Relationship Id="rId2187" Type="http://schemas.openxmlformats.org/officeDocument/2006/relationships/hyperlink" Target="https://fisheldowney.com/texas-federal-court-permits-employer-vaccine-mandates-mean-ohio-employers/" TargetMode="External"/><Relationship Id="rId2394" Type="http://schemas.openxmlformats.org/officeDocument/2006/relationships/hyperlink" Target="https://www.firerescue1.com/ptsd/articles/ohio-house-passes-bill-expanding-first-responders-workers-compensation-for-ptsd-QXXQPU6H47rb9Z8o/" TargetMode="External"/><Relationship Id="rId159" Type="http://schemas.openxmlformats.org/officeDocument/2006/relationships/hyperlink" Target="https://www.law.cornell.edu/rules/fre/rule_701" TargetMode="External"/><Relationship Id="rId366" Type="http://schemas.openxmlformats.org/officeDocument/2006/relationships/hyperlink" Target="https://d.docs.live.net/bd9b2eaf6053242e/AppData/Roaming/Microsoft/AppData/Local/Microsoft/Windows/INetCache/IE/XO250S7T/15-70040-CV0.pdf" TargetMode="External"/><Relationship Id="rId573" Type="http://schemas.openxmlformats.org/officeDocument/2006/relationships/hyperlink" Target="https://www.cdc.gov/niosh/fire/pdfs/face201314.pdf" TargetMode="External"/><Relationship Id="rId780" Type="http://schemas.openxmlformats.org/officeDocument/2006/relationships/hyperlink" Target="https://www.npr.org/2020/06/25/883312496/supreme-court-sides-with-trump-administration-in-deportation-case" TargetMode="External"/><Relationship Id="rId2047" Type="http://schemas.openxmlformats.org/officeDocument/2006/relationships/hyperlink" Target="https://cases.justia.com/minnesota/court-of-appeals/2024-a23-1210.pdf?ts=1710536669" TargetMode="External"/><Relationship Id="rId2254" Type="http://schemas.openxmlformats.org/officeDocument/2006/relationships/hyperlink" Target="https://firstliberty.org/media/breaking-church-louisville-ky-mayor-reach-agreement-in-dispute-over-drive-in-church-services/" TargetMode="External"/><Relationship Id="rId2461" Type="http://schemas.openxmlformats.org/officeDocument/2006/relationships/hyperlink" Target="https://supreme.justia.com/cases/federal/us/470/532/" TargetMode="External"/><Relationship Id="rId2699" Type="http://schemas.openxmlformats.org/officeDocument/2006/relationships/hyperlink" Target="https://www.supremecourt.ohio.gov/rod/docs/pdf/0/2024/2024-Ohio-5174.pdf" TargetMode="External"/><Relationship Id="rId226" Type="http://schemas.openxmlformats.org/officeDocument/2006/relationships/hyperlink" Target="https://public.fastcase.com/9SKwsfNqTc6OieYDhNMyM84JhiUntSQtUCBlgd6lzoL5y1g0gwdSndjfCHFHqJkk4vcRDuTZ3RRxLgM1%2Fyx%2BQdiK9wqe8J4wfwe4xg454y8%3D" TargetMode="External"/><Relationship Id="rId433" Type="http://schemas.openxmlformats.org/officeDocument/2006/relationships/hyperlink" Target="https://www.sullivangalleshaw.com/the-professional-rescuers-rule/" TargetMode="External"/><Relationship Id="rId878" Type="http://schemas.openxmlformats.org/officeDocument/2006/relationships/hyperlink" Target="https://www.supremecourt.gov/opinions/21pdf/20-1539_09m1.pdf" TargetMode="External"/><Relationship Id="rId1063" Type="http://schemas.openxmlformats.org/officeDocument/2006/relationships/hyperlink" Target="https://cases.justia.com/tennessee/court-of-appeals/2023-e2022-01151-coa-r3-cv.pdf?ts=1703121841" TargetMode="External"/><Relationship Id="rId1270" Type="http://schemas.openxmlformats.org/officeDocument/2006/relationships/hyperlink" Target="https://law.justia.com/codes/new-jersey/2013/title-40a/section-40a-14-178/" TargetMode="External"/><Relationship Id="rId2114" Type="http://schemas.openxmlformats.org/officeDocument/2006/relationships/hyperlink" Target="https://public.fastcase.com/J%2FJP6pdidelsXxEE4k%2BLMqK%2F7dEyjXc%2F7MSStJKYdkuUI2%2BsluBCAbCgNdX488UO%2BveqO8oLQ0RNBWqaiEFfWGkDgcs9M5oh9hj%2FtPj21RY%3D?utm_medium=email&amp;_hsmi=226712652&amp;_hsenc=p2ANqtz-9TZeiC7Qp2HA_ZU4GxpYYZhIBONOkNnO3yTlBCsoF00PWMECQ5punx4hjGs90LCim5ScH4TNtnDpd9JYQeMwpFQeZwiA&amp;utm_content=226712652&amp;utm_source=hs_email" TargetMode="External"/><Relationship Id="rId2559" Type="http://schemas.openxmlformats.org/officeDocument/2006/relationships/hyperlink" Target="https://public.fastcase.com/J%2FJP6pdidelsXxEE4k%2BLMrj3s4T1D9o6YeH1P6QHRjfPwtPh7UBJw6%2FlyLsxvHVQo4RL4odtX24b6W6EIP3%2BuhoyWwf2ZSyK36dgjdjOjEg%3D" TargetMode="External"/><Relationship Id="rId2766" Type="http://schemas.openxmlformats.org/officeDocument/2006/relationships/hyperlink" Target="http://www.illinoiscourts.gov/Opinions/AppellateCourt/2019/1stDistrict/1172907.pdf" TargetMode="External"/><Relationship Id="rId640" Type="http://schemas.openxmlformats.org/officeDocument/2006/relationships/hyperlink" Target="https://www.pbs.org/newshour/politics/what-is-the-legal-process-for-deporting-u-s-green-card-and-visa-holders" TargetMode="External"/><Relationship Id="rId738" Type="http://schemas.openxmlformats.org/officeDocument/2006/relationships/hyperlink" Target="https://www.law.cornell.edu/definitions/uscode.php?width=840&amp;height=800&amp;iframe=true&amp;def_id=8-USC-92903111-1485256781&amp;term_occur=999&amp;term_src=" TargetMode="External"/><Relationship Id="rId945" Type="http://schemas.openxmlformats.org/officeDocument/2006/relationships/hyperlink" Target="https://casetext.com/case/city-of-hous-v-vogel" TargetMode="External"/><Relationship Id="rId1368" Type="http://schemas.openxmlformats.org/officeDocument/2006/relationships/hyperlink" Target="https://public.fastcase.com/9SKwsfNqTc6OieYDhNMyM7EtuTmvkEcI7U0T89k%2BFJTh0eKfnpK7LfgjErs00V3IPt4y6nTMDAAfexS5sEGnBSDT8xghzv1Bl3HZnDYTQZc%3D" TargetMode="External"/><Relationship Id="rId1575" Type="http://schemas.openxmlformats.org/officeDocument/2006/relationships/hyperlink" Target="https://academicworks.cuny.edu/cgi/viewcontent.cgi?article=6894&amp;context=gc_etds" TargetMode="External"/><Relationship Id="rId1782" Type="http://schemas.openxmlformats.org/officeDocument/2006/relationships/hyperlink" Target="https://law.justia.com/cases/federal/district-courts/indiana/inndce/2:2019cv00065/97508/61/" TargetMode="External"/><Relationship Id="rId2321" Type="http://schemas.openxmlformats.org/officeDocument/2006/relationships/hyperlink" Target="http://media.ca11.uscourts.gov/opinions/pub/files/201814687.pdf" TargetMode="External"/><Relationship Id="rId2419" Type="http://schemas.openxmlformats.org/officeDocument/2006/relationships/hyperlink" Target="https://search.txcourts.gov/SearchMedia.aspx?MediaVersionID=2b0bcd7a-4ade-4d61-a274-df674ed3857f&amp;coa=coa14&amp;DT=Opinion&amp;MediaID=e76a99e8-4da0-48c8-9433-ea85e5f312cd" TargetMode="External"/><Relationship Id="rId2626" Type="http://schemas.openxmlformats.org/officeDocument/2006/relationships/hyperlink" Target="https://www.dmlp.org/legal-guide/ohio/ohio-recording-law" TargetMode="External"/><Relationship Id="rId74" Type="http://schemas.openxmlformats.org/officeDocument/2006/relationships/hyperlink" Target="https://cases.justia.com/pennsylvania/superior-court/2025-76-eda-2024.pdf?ts=1745952844" TargetMode="External"/><Relationship Id="rId500" Type="http://schemas.openxmlformats.org/officeDocument/2006/relationships/hyperlink" Target="https://www.njcourts.gov/sites/default/files/court-opinions/2023/a2431-20.pdf" TargetMode="External"/><Relationship Id="rId805" Type="http://schemas.openxmlformats.org/officeDocument/2006/relationships/hyperlink" Target="https://www.supremecourt.gov/opinions/17pdf/17-965_h315.pdf" TargetMode="External"/><Relationship Id="rId1130" Type="http://schemas.openxmlformats.org/officeDocument/2006/relationships/hyperlink" Target="https://public.fastcase.com/9SKwsfNqTc6OieYDhNMyM7K54qMUE6VagvA5ZeUquJVblXNtT5CMEmLb%2FOI9awGykkKYC2JU7RwfzsQEOAIcP6T5leBqhSKOtHvIUfiLV%2Fs%3D" TargetMode="External"/><Relationship Id="rId1228" Type="http://schemas.openxmlformats.org/officeDocument/2006/relationships/hyperlink" Target="https://courts.illinois.gov/R23_Orders/AppellateCourt/2020/1stDistrict/1181708_R23.pdf" TargetMode="External"/><Relationship Id="rId1435" Type="http://schemas.openxmlformats.org/officeDocument/2006/relationships/hyperlink" Target="https://www.casemine.com/judgement/us/6736ce6c5891a561b0d805aa" TargetMode="External"/><Relationship Id="rId1642" Type="http://schemas.openxmlformats.org/officeDocument/2006/relationships/hyperlink" Target="https://law.justia.com/cases/louisiana/fifth-circuit-court-of-appeal/2020/19-ca-613.html" TargetMode="External"/><Relationship Id="rId1947" Type="http://schemas.openxmlformats.org/officeDocument/2006/relationships/hyperlink" Target="https://www.pacourts.us/assets/opinions/Superior/out/J-A19045-25m%20-%20106549181332513446.pdf?cb=1" TargetMode="External"/><Relationship Id="rId1502" Type="http://schemas.openxmlformats.org/officeDocument/2006/relationships/hyperlink" Target="https://public.fastcase.com/J%2FJP6pdidelsXxEE4k%2BLMvlYUX0ZAhRbseqqFnL4gi3bRwNf0Z9RCieiQ7wPaXcpaaE7aExMc6ouwIyWJC8qizoR4DyeCOueQnsNxsVE1Ec%3D" TargetMode="External"/><Relationship Id="rId1807" Type="http://schemas.openxmlformats.org/officeDocument/2006/relationships/hyperlink" Target="https://www.justice.gov/crt-military/employment-rights-userra" TargetMode="External"/><Relationship Id="rId290" Type="http://schemas.openxmlformats.org/officeDocument/2006/relationships/hyperlink" Target="https://public.fastcase.com/Wl%2B2t%2BeVuI35%2FN70vAMFZuQf%2BCvER%2BbrYG4WrLB4YIQfdBBmlMCsuqEI%2FSqG9cxo" TargetMode="External"/><Relationship Id="rId388" Type="http://schemas.openxmlformats.org/officeDocument/2006/relationships/hyperlink" Target="https://www.casemine.com/judgement/us/6963a657827d4c0685d5653a" TargetMode="External"/><Relationship Id="rId2069" Type="http://schemas.openxmlformats.org/officeDocument/2006/relationships/hyperlink" Target="http://www.courtswv.gov/supreme-court/docs/fall2023/22-0202-wooton-p.pdf" TargetMode="External"/><Relationship Id="rId150" Type="http://schemas.openxmlformats.org/officeDocument/2006/relationships/hyperlink" Target="https://www.9news.com/article/news/local/denver-arson-google-data-fatal-house-fire-colorado-supreme-court-ruling/73-aca77fb3-30d9-4bac-b46c-6d4b4402af16" TargetMode="External"/><Relationship Id="rId595" Type="http://schemas.openxmlformats.org/officeDocument/2006/relationships/hyperlink" Target="https://codes.findlaw.com/ny/general-municipal-law/gmu-sect-205-a.html" TargetMode="External"/><Relationship Id="rId2276" Type="http://schemas.openxmlformats.org/officeDocument/2006/relationships/hyperlink" Target="https://www.in.gov/judiciary/opinions/pdf/07151902rra.pdf" TargetMode="External"/><Relationship Id="rId2483" Type="http://schemas.openxmlformats.org/officeDocument/2006/relationships/hyperlink" Target="https://www.pacourts.us/assets/opinions/Superior/out/J-A22023-23o%20-%20106151918288524284.pdf?cb=1" TargetMode="External"/><Relationship Id="rId2690" Type="http://schemas.openxmlformats.org/officeDocument/2006/relationships/hyperlink" Target="https://public.fastcase.com/jaEE2PXzRXmZ99jOLMt1IhwREi1fEuXa5IBCMUROo3DApdLLsb4vyoe8B%2BNXnfOO?utm_medium=email&amp;_hsenc=p2ANqtz-8ABWS4rvuUksFiiSiWwUxDOv17WyJKZy-5as8oPUYz_An6byDKPPy12elR6z5qE4TfB84ipL9se-rQu7mIzXpACN0LEw&amp;_hsmi=226712652&amp;utm_content=226712652&amp;utm_source=hs_email" TargetMode="External"/><Relationship Id="rId248" Type="http://schemas.openxmlformats.org/officeDocument/2006/relationships/hyperlink" Target="https://www.nolo.com/legal-encyclopedia/immunity-exchange-testimony.html" TargetMode="External"/><Relationship Id="rId455" Type="http://schemas.openxmlformats.org/officeDocument/2006/relationships/hyperlink" Target="https://livornoandarnett.com/ohios-firemans-rule/" TargetMode="External"/><Relationship Id="rId662" Type="http://schemas.openxmlformats.org/officeDocument/2006/relationships/hyperlink" Target="https://cases.justia.com/federal/appellate-courts/cadc/22-3064/22-3064-2024-05-28.pdf?ts=1716910338" TargetMode="External"/><Relationship Id="rId1085" Type="http://schemas.openxmlformats.org/officeDocument/2006/relationships/hyperlink" Target="https://casetext.com/case/city-of-wilkes-barre-v-snyder" TargetMode="External"/><Relationship Id="rId1292" Type="http://schemas.openxmlformats.org/officeDocument/2006/relationships/hyperlink" Target="https://www.courthousenews.com/wp-content/uploads/2025/07/illinois-court-allows-firefighter-emt-to-sue-over-sexually-hostile-environment.pdf" TargetMode="External"/><Relationship Id="rId2136" Type="http://schemas.openxmlformats.org/officeDocument/2006/relationships/hyperlink" Target="https://public.fastcase.com/waZtJvSA54UAurM2rmIZz3GImxM8vVu83JjC1hitqCF6J52x3NFj71FjQLuzCLQnmvBPUszpB78vzjnxu9to%2Fq0ClMx7mkWBtvY01d0uDxg%3D" TargetMode="External"/><Relationship Id="rId2343" Type="http://schemas.openxmlformats.org/officeDocument/2006/relationships/hyperlink" Target="https://storage.courtlistener.com/recap/gov.uscourts.cod.231472/gov.uscourts.cod.231472.63.0.pdf" TargetMode="External"/><Relationship Id="rId2550" Type="http://schemas.openxmlformats.org/officeDocument/2006/relationships/hyperlink" Target="https://edmontonjournal.com/news/crime/firefighters-who-start-fires-a-look-at-the-phenomenon-of-firefighter-arson" TargetMode="External"/><Relationship Id="rId2788" Type="http://schemas.openxmlformats.org/officeDocument/2006/relationships/hyperlink" Target="https://www.hud.gov/program_offices/housing/sfh/reo/goodn/gnndabot" TargetMode="External"/><Relationship Id="rId108" Type="http://schemas.openxmlformats.org/officeDocument/2006/relationships/hyperlink" Target="https://www.opn.ca6.uscourts.gov/opinions.pdf/24a0196p-06.pdf" TargetMode="External"/><Relationship Id="rId315" Type="http://schemas.openxmlformats.org/officeDocument/2006/relationships/hyperlink" Target="http://www.ca5.uscourts.gov/opinions/unpub/19/19-10878.0.pdf" TargetMode="External"/><Relationship Id="rId522" Type="http://schemas.openxmlformats.org/officeDocument/2006/relationships/hyperlink" Target="http://media.ca1.uscourts.gov/pdf.opinions/21-1826P-01A.pdf" TargetMode="External"/><Relationship Id="rId967" Type="http://schemas.openxmlformats.org/officeDocument/2006/relationships/hyperlink" Target="https://courts.illinois.gov/Opinions/SupremeCourt/2020/124610.pdf" TargetMode="External"/><Relationship Id="rId1152" Type="http://schemas.openxmlformats.org/officeDocument/2006/relationships/hyperlink" Target="https://law.justia.com/cases/ohio/first-district-court-of-appeals/2020/c-190708.html" TargetMode="External"/><Relationship Id="rId1597" Type="http://schemas.openxmlformats.org/officeDocument/2006/relationships/hyperlink" Target="https://www.supremecourt.gov/DocketPDF/23/23-997/309679/20240513145152474_23-997%20Brief%20in%20Opposition%20Final.pdf" TargetMode="External"/><Relationship Id="rId2203" Type="http://schemas.openxmlformats.org/officeDocument/2006/relationships/hyperlink" Target="https://casetext.com/case/county-of-sacramento-v-lewis" TargetMode="External"/><Relationship Id="rId2410" Type="http://schemas.openxmlformats.org/officeDocument/2006/relationships/hyperlink" Target="https://www.wwlp.com/news/massachusetts/critical-incident-intervention-for-first-responders-bill-signed-into-law/1706453191" TargetMode="External"/><Relationship Id="rId2648" Type="http://schemas.openxmlformats.org/officeDocument/2006/relationships/hyperlink" Target="https://www.oregonlaws.org/ors/243.782" TargetMode="External"/><Relationship Id="rId96" Type="http://schemas.openxmlformats.org/officeDocument/2006/relationships/hyperlink" Target="https://cases.justia.com/iowa/court-of-appeals/2024-23-0625.pdf?ts=1730301434" TargetMode="External"/><Relationship Id="rId827" Type="http://schemas.openxmlformats.org/officeDocument/2006/relationships/hyperlink" Target="https://caselaw.findlaw.com/court/crt-app-sec-dis-cal-div-fiv/117326152.html" TargetMode="External"/><Relationship Id="rId1012" Type="http://schemas.openxmlformats.org/officeDocument/2006/relationships/hyperlink" Target="file:///C:/Users/lawre/Downloads/25-26180-1.pdf" TargetMode="External"/><Relationship Id="rId1457" Type="http://schemas.openxmlformats.org/officeDocument/2006/relationships/hyperlink" Target="https://apnews.com/hub/diversity-equity-and-inclusion" TargetMode="External"/><Relationship Id="rId1664" Type="http://schemas.openxmlformats.org/officeDocument/2006/relationships/hyperlink" Target="https://casetext.com/case/kocsis-v-multi-care-management-inc" TargetMode="External"/><Relationship Id="rId1871" Type="http://schemas.openxmlformats.org/officeDocument/2006/relationships/hyperlink" Target="https://lawandcrime.com/lawsuit/racism-negligence-at-pennsylvania-emergency-call-center-led-to-deaths-lawsuit/" TargetMode="External"/><Relationship Id="rId2508" Type="http://schemas.openxmlformats.org/officeDocument/2006/relationships/hyperlink" Target="https://casetext.com/case/zahn-v-kenner-mun-fire-police-civil-serv-bd" TargetMode="External"/><Relationship Id="rId2715" Type="http://schemas.openxmlformats.org/officeDocument/2006/relationships/hyperlink" Target="https://www.supremecourt.ohio.gov/rod/docs/pdf/0/2023/2023-Ohio-2976.pdf" TargetMode="External"/><Relationship Id="rId1317" Type="http://schemas.openxmlformats.org/officeDocument/2006/relationships/hyperlink" Target="https://cdnsm5-hosted.civiclive.com/UserFiles/Servers/Server_12810747/File/Opinions/2024/st2020cv00154%2029U.pdf" TargetMode="External"/><Relationship Id="rId1524" Type="http://schemas.openxmlformats.org/officeDocument/2006/relationships/hyperlink" Target="https://www.cleveland19.com/2021/07/27/court-rules-favor-five-cleveland-ems-captains-who-claimed-discrimination-against-their-boss/" TargetMode="External"/><Relationship Id="rId1731" Type="http://schemas.openxmlformats.org/officeDocument/2006/relationships/hyperlink" Target="http://www.courtswv.gov/supreme-court/docs/fall2023/22-0185-hutchison-p.pdf" TargetMode="External"/><Relationship Id="rId1969" Type="http://schemas.openxmlformats.org/officeDocument/2006/relationships/hyperlink" Target="https://cases.justia.com/federal/district-courts/washington/wawdce/2:2023cv01558/327312/54/0.pdf?ts=1747918716" TargetMode="External"/><Relationship Id="rId23" Type="http://schemas.openxmlformats.org/officeDocument/2006/relationships/hyperlink" Target="https://caselaw.findlaw.com/court/tx-court-of-appeals/118277713.html" TargetMode="External"/><Relationship Id="rId1829" Type="http://schemas.openxmlformats.org/officeDocument/2006/relationships/hyperlink" Target="https://cases.justia.com/louisiana/first-circuit-court-of-appeal/2026-2025cw0332.pdf?ts=1776975731" TargetMode="External"/><Relationship Id="rId2298" Type="http://schemas.openxmlformats.org/officeDocument/2006/relationships/hyperlink" Target="http://decisions.courts.state.ny.us/ad3/Decisions/2018/526165.pdf" TargetMode="External"/><Relationship Id="rId172" Type="http://schemas.openxmlformats.org/officeDocument/2006/relationships/hyperlink" Target="https://public.fastcase.com/ZZhmr5v9wN%2FXOe5IsQ%2FqDyh9W7agvNTeMPH8d1RJsPvP%2Fg5ZmquK03Jneavd35tblyNJzoowc3pRVBJlbMB8OXwMF7nsK7TpaO1eghvi3n8%3D?utm_medium=email&amp;_hsmi=226712652&amp;_hsenc=p2ANqtz-8CWkqPTOXpr4VKRSXFO6n4aimmH3FbbAM7Ve_pkSBcowoTJe6gCXxXh8Df-qrWOoYs_EV26aJQZp9WCJOKGH6IdbP0yQ&amp;utm_content=226712652&amp;utm_source=hs_email" TargetMode="External"/><Relationship Id="rId477" Type="http://schemas.openxmlformats.org/officeDocument/2006/relationships/hyperlink" Target="https://casetext.com/statute/california-codes/california-civil-code/division-3-obligations/part-3-obligations-imposed-by-law/section-17149-injury-to-peace-officer-firefighter-or-emergency-medical-personnel" TargetMode="External"/><Relationship Id="rId684" Type="http://schemas.openxmlformats.org/officeDocument/2006/relationships/hyperlink" Target="https://www.washingtonpost.com/documents/738465b3-8221-4ba6-8a91-92171f73482b.pdf?itid=lk_interstitial_manual_10" TargetMode="External"/><Relationship Id="rId2060" Type="http://schemas.openxmlformats.org/officeDocument/2006/relationships/hyperlink" Target="https://casetext.com/case/reid-v-med-ctr-healthems" TargetMode="External"/><Relationship Id="rId2158" Type="http://schemas.openxmlformats.org/officeDocument/2006/relationships/hyperlink" Target="https://www.nbcnews.com/news/us-news/u-s-supreme-court-hear-challenges-biden-s-vaccine-mandates-n1286536" TargetMode="External"/><Relationship Id="rId2365" Type="http://schemas.openxmlformats.org/officeDocument/2006/relationships/hyperlink" Target="https://perma.cc/4EPP-E4TC" TargetMode="External"/><Relationship Id="rId337" Type="http://schemas.openxmlformats.org/officeDocument/2006/relationships/hyperlink" Target="https://www.apnews.com/50ced4152dc74df1975a925e4fa29038" TargetMode="External"/><Relationship Id="rId891" Type="http://schemas.openxmlformats.org/officeDocument/2006/relationships/hyperlink" Target="https://ktla.com/news/local-news/vanessa-bryant-sues-l-a-county-sheriff-over-kobe-bryant-crash-photos/" TargetMode="External"/><Relationship Id="rId989" Type="http://schemas.openxmlformats.org/officeDocument/2006/relationships/hyperlink" Target="https://public.fastcase.com/Jhe1Qn%2BmJndQYQU6z%2FeNm1SSbD0G3ZEWJh7YHZP1lKvwyFhreCu4Zs3UIv3EdnBK?utm_medium=email&amp;_hsenc=p2ANqtz-9nqm6pHuxrJA2eqp98a7_eI9fDSv0sKlRywY7jloQaZjhwJh8mlE2JmH7OUYiPvznSiiSBN3erALyoe2ilWNUf5RREvQ&amp;_hsmi=226712652&amp;utm_content=226712652&amp;utm_source=hs_email" TargetMode="External"/><Relationship Id="rId2018" Type="http://schemas.openxmlformats.org/officeDocument/2006/relationships/hyperlink" Target="https://webservices.courthousenews.com/sites/Data/AppellateOpinionUploads/2024-17-5--13-46-27-048b5eb5-2700-4a37-ac11-5deaa284f5ce.pdf" TargetMode="External"/><Relationship Id="rId2572" Type="http://schemas.openxmlformats.org/officeDocument/2006/relationships/hyperlink" Target="https://ilcourtsaudio.blob.core.windows.net/antilles-resources/resources/1d563ea4-a3fa-4fb5-af89-419baa2c8f0f/Cannici%20v.%20Dept%20of%20Employment%20Security%20Board%20of%20Review,%202021%20IL%20App%20(1st)%20181562.pdf" TargetMode="External"/><Relationship Id="rId544" Type="http://schemas.openxmlformats.org/officeDocument/2006/relationships/hyperlink" Target="https://www.utcourts.gov/opinions/supopin/Ipsen%20v.%20Diamond%20Tree%20Experts20200520_20181052_30.pdf" TargetMode="External"/><Relationship Id="rId751" Type="http://schemas.openxmlformats.org/officeDocument/2006/relationships/hyperlink" Target="https://www.law.cornell.edu/uscode/text/8/1182" TargetMode="External"/><Relationship Id="rId849" Type="http://schemas.openxmlformats.org/officeDocument/2006/relationships/hyperlink" Target="https://cases.justia.com/federal/district-courts/kansas/ksdce/6:2022cv01032/140026/96/0.pdf?ts=1694273736" TargetMode="External"/><Relationship Id="rId1174" Type="http://schemas.openxmlformats.org/officeDocument/2006/relationships/hyperlink" Target="https://public.fastcase.com/Wl%2B2t%2BeVuI35%2FN70vAMFZhBwSznuAn%2FrUV3euz1vpuZ8G42r7l80quvA5s5OcZyT" TargetMode="External"/><Relationship Id="rId1381" Type="http://schemas.openxmlformats.org/officeDocument/2006/relationships/hyperlink" Target="https://scholar.google.com/scholar_case?case=3751539261550257111&amp;q=Rachel+MOSBY+v.+CITY+OF+BYRON,+GEORGIA,&amp;hl=en&amp;as_sdt=6,36" TargetMode="External"/><Relationship Id="rId1479" Type="http://schemas.openxmlformats.org/officeDocument/2006/relationships/hyperlink" Target="https://www.usnews.com/news/us/articles/2024-01-14/as-legal-challenges-mount-some-companies-retool-diversity-and-inclusion-programs" TargetMode="External"/><Relationship Id="rId1686" Type="http://schemas.openxmlformats.org/officeDocument/2006/relationships/hyperlink" Target="https://www.cafc.uscourts.gov/opinions-orders/23-1823.OPINION.12-12-2025_2618923.pdf" TargetMode="External"/><Relationship Id="rId2225" Type="http://schemas.openxmlformats.org/officeDocument/2006/relationships/hyperlink" Target="https://www.supremecourt.gov/opinions/20pdf/20a87_4g15.pdf" TargetMode="External"/><Relationship Id="rId2432" Type="http://schemas.openxmlformats.org/officeDocument/2006/relationships/hyperlink" Target="https://public.fastcase.com/Jhe1Qn%2BmJndQYQU6z%2FeNmypmOFzJk4IjV67xdVBvH10%2BbioR%2BE7hDrSDKPa8oeXy4gUzK0dNFlYVAdtPS9qapAikGtcKVY%2BDC%2Fxrd0A1wWk%3D?utm_medium=email&amp;_hsenc=p2ANqtz--Rb3GwipZHtCJJMLiUWpVHk6Q4w73GSXOI_LD5Raf1axu72BnOP1L2YEQ80fNqXbpHCp329zbZOj3hD1ZT_BRNOO8R9w&amp;_hsmi=226712652&amp;utm_content=226712652&amp;utm_source=hs_email" TargetMode="External"/><Relationship Id="rId404" Type="http://schemas.openxmlformats.org/officeDocument/2006/relationships/hyperlink" Target="https://www.rcfp.org/indiana-buffer-zone-law-7th-circuit/" TargetMode="External"/><Relationship Id="rId611" Type="http://schemas.openxmlformats.org/officeDocument/2006/relationships/hyperlink" Target="https://storage.courtlistener.com/recap/gov.uscourts.cadc.42631/gov.uscourts.cadc.42631.1208806141.0.pdf" TargetMode="External"/><Relationship Id="rId1034" Type="http://schemas.openxmlformats.org/officeDocument/2006/relationships/hyperlink" Target="https://www.courtswv.gov/sites/default/pubfilesmnt/2024-03/23-ICA-446_MD.pdf" TargetMode="External"/><Relationship Id="rId1241" Type="http://schemas.openxmlformats.org/officeDocument/2006/relationships/hyperlink" Target="https://www.courts.ri.gov/Courts/SupremeCourt/SupremeOpinions/17-295.pdf" TargetMode="External"/><Relationship Id="rId1339" Type="http://schemas.openxmlformats.org/officeDocument/2006/relationships/hyperlink" Target="https://public.fastcase.com/ZZhmr5v9wN%2FXOe5IsQ%2FqDyz5rhb%2FyBrIG8Au%2Ft3V919eqRG814zcJAmxY3jo6zPUS7MBeKfAuG868JSXjuCSoaubFv3fklmg5wPl%2B%2FhuGG8%3D?utm_medium=email&amp;_hsmi=226712652&amp;_hsenc=p2ANqtz-_V_ICNjbd2RZxHYCrc4la9bLeUstsyddFe2y3dzHQoT8LejGxKFn7KSEl6HhmqEbKKnasxkhMyKJsJTXSn_Oay7PK5pg&amp;utm_content=226712652&amp;utm_source=hs_email" TargetMode="External"/><Relationship Id="rId1893" Type="http://schemas.openxmlformats.org/officeDocument/2006/relationships/hyperlink" Target="https://www.cnn.com/2021/06/29/americas/mexico-cannabis-decriminalization-intl/index.html?utm_content=2021-06-29T08%3A51%3A14&amp;utm_term=link&amp;utm_source=twcnnbrk&amp;utm_medium=social" TargetMode="External"/><Relationship Id="rId2737" Type="http://schemas.openxmlformats.org/officeDocument/2006/relationships/hyperlink" Target="https://public.fastcase.com/J%2FJP6pdidelsXxEE4k%2BLMtVWis%2BjrVT91gBFG4uyJWEPcpNLWXxLmz%2FQC7BVJHEFVVKmRnSKx2JFHo6ASClx4LYOJwrUPHRSA%2B3C21y5uNo%3D?utm_medium=email&amp;_hsmi=226712652&amp;_hsenc=p2ANqtz-_Z7uUMGtz89TwJ8h7fDGtfvV3sIYognKNnX4gprWQ41uEM6WKF6eTc5YmYCWiY12JCxBXlLKEbrm5nDUGgSrncCZSdVg&amp;utm_content=226712652&amp;utm_source=hs_email" TargetMode="External"/><Relationship Id="rId709" Type="http://schemas.openxmlformats.org/officeDocument/2006/relationships/hyperlink" Target="https://www.timesofisrael.com/january-6-defendant-denies-boyfriend-plotted-to-shoot-up-synagogue/" TargetMode="External"/><Relationship Id="rId916" Type="http://schemas.openxmlformats.org/officeDocument/2006/relationships/hyperlink" Target="https://ilcourtsaudio.blob.core.windows.net/antilles-resources/resources/95e9af0e-d4e6-4f14-9f68-6c313ea57cfa/Postula%20v.%20Blackard,%202025%20IL%20App%20(3d)%20240464-U.pdf" TargetMode="External"/><Relationship Id="rId1101" Type="http://schemas.openxmlformats.org/officeDocument/2006/relationships/hyperlink" Target="https://public.fastcase.com/J%2FJP6pdidelsXxEE4k%2BLMgZsxRPxIagHaOxK3V7dyuXFeFyB6fz1Dln4tTh4Jm%2FUrhr8rAmwFuGj0jKVlSZT92lB7laeHNqW0rDlXNrGxCk%3D?utm_medium=email&amp;_hsmi=226712652&amp;_hsenc=p2ANqtz-88sbIkrx-fKIJNKIHom0LKoVEBAjtP4sRnfpcv7MlL8ga8F7YTwpRtQY7XbucL3D6C1qELcyLUMrsKcjyI3sLUlue5QA&amp;utm_content=226712652&amp;utm_source=hs_email" TargetMode="External"/><Relationship Id="rId1546" Type="http://schemas.openxmlformats.org/officeDocument/2006/relationships/hyperlink" Target="https://public.fastcase.com/Wl%2B2t%2BeVuI35%2FN70vAMFZu9WSCqieY3u1gfnWEwDVajGcV1Qbmc97gDjPt%2BB6d9C" TargetMode="External"/><Relationship Id="rId1753" Type="http://schemas.openxmlformats.org/officeDocument/2006/relationships/hyperlink" Target="https://www.providencejournal.com/story/news/courts/2020/10/20/central-coventry-firefighters-say-district-stiffed-them-overtime/5990213002/" TargetMode="External"/><Relationship Id="rId1960" Type="http://schemas.openxmlformats.org/officeDocument/2006/relationships/hyperlink" Target="https://law.justia.com/cases/new-york/other-courts/2025/2025-ny-slip-op-51480-u.html" TargetMode="External"/><Relationship Id="rId2804" Type="http://schemas.openxmlformats.org/officeDocument/2006/relationships/hyperlink" Target="https://supremecourt.flcourts.gov/content/download/1172655/opinion/Opinion_SC2021-0651.pdf" TargetMode="External"/><Relationship Id="rId45" Type="http://schemas.openxmlformats.org/officeDocument/2006/relationships/hyperlink" Target="https://www.norriseditorial.com" TargetMode="External"/><Relationship Id="rId1406" Type="http://schemas.openxmlformats.org/officeDocument/2006/relationships/hyperlink" Target="https://www.eeoc.gov/federal/reports/upload/pspe.pdf" TargetMode="External"/><Relationship Id="rId1613" Type="http://schemas.openxmlformats.org/officeDocument/2006/relationships/hyperlink" Target="https://casetext.com/case/meyer-v-city-of-chehalis" TargetMode="External"/><Relationship Id="rId1820" Type="http://schemas.openxmlformats.org/officeDocument/2006/relationships/hyperlink" Target="https://www.dol.gov/whd/overtime/regularrate2019.htm" TargetMode="External"/><Relationship Id="rId194" Type="http://schemas.openxmlformats.org/officeDocument/2006/relationships/hyperlink" Target="https://law.justia.com/cases/new-jersey/appellate-division-published/2022/a-1868-21.html" TargetMode="External"/><Relationship Id="rId1918" Type="http://schemas.openxmlformats.org/officeDocument/2006/relationships/hyperlink" Target="https://www.ca4.uscourts.gov/opinions/244620.P.pd" TargetMode="External"/><Relationship Id="rId2082" Type="http://schemas.openxmlformats.org/officeDocument/2006/relationships/hyperlink" Target="https://casetext.com/case/people-v-finley-127" TargetMode="External"/><Relationship Id="rId261" Type="http://schemas.openxmlformats.org/officeDocument/2006/relationships/hyperlink" Target="https://public.fastcase.com/Wl%2B2t%2BeVuI35%2FN70vAMFZnSQz8BzpEWSl4qvcEU%2FNgbENUBBcIuF0iEqrodjguq8" TargetMode="External"/><Relationship Id="rId499" Type="http://schemas.openxmlformats.org/officeDocument/2006/relationships/hyperlink" Target="https://law.justia.com/cases/federal/appellate-courts/ca3/21-3019/21-3019-2023-01-25.html" TargetMode="External"/><Relationship Id="rId2387" Type="http://schemas.openxmlformats.org/officeDocument/2006/relationships/hyperlink" Target="mailto:Birkleea@ucmail.uc.edu" TargetMode="External"/><Relationship Id="rId2594" Type="http://schemas.openxmlformats.org/officeDocument/2006/relationships/hyperlink" Target="https://laborlawlosangeles.com/the-city-of-south-pasadena-illegally-dismissed-a-firefighter-supreme-court-denies-review-the-south-pasadenan/" TargetMode="External"/><Relationship Id="rId359" Type="http://schemas.openxmlformats.org/officeDocument/2006/relationships/hyperlink" Target="http://www.pacourts.us/assets/opinions/Commonwealth/out/380md17_6-12-18.pdf" TargetMode="External"/><Relationship Id="rId566" Type="http://schemas.openxmlformats.org/officeDocument/2006/relationships/hyperlink" Target="https://www.bwc.ohio.gov/downloads/blankpdf/C-265.pdf" TargetMode="External"/><Relationship Id="rId773" Type="http://schemas.openxmlformats.org/officeDocument/2006/relationships/hyperlink" Target="https://www.justice.gov/opa/pr/tampa-man-charged-attempting-provide-material-support-isis" TargetMode="External"/><Relationship Id="rId1196" Type="http://schemas.openxmlformats.org/officeDocument/2006/relationships/hyperlink" Target="https://www.natlawreview.com/article/department-justice-report-shows-whistleblowers-consistently-rewarded-through-qui-tam" TargetMode="External"/><Relationship Id="rId2247" Type="http://schemas.openxmlformats.org/officeDocument/2006/relationships/hyperlink" Target="https://www.supremecourt.gov/opinions/19pdf/19a1044_pok0.pdf" TargetMode="External"/><Relationship Id="rId2454" Type="http://schemas.openxmlformats.org/officeDocument/2006/relationships/hyperlink" Target="https://www.wtol.com/article/news/local/toledo-fire-lieutenant-fired-investigation-social-media-post-about-charlie-kirk/512-599961fb-9233-4ebc-8628-cfa2b96c7722" TargetMode="External"/><Relationship Id="rId121" Type="http://schemas.openxmlformats.org/officeDocument/2006/relationships/hyperlink" Target="https://www.law.cornell.edu/wex/federal_rules_of_evidence" TargetMode="External"/><Relationship Id="rId219" Type="http://schemas.openxmlformats.org/officeDocument/2006/relationships/hyperlink" Target="https://www.supremecourt.gov/opinions/21pdf/21a240_d18e.pdf" TargetMode="External"/><Relationship Id="rId426" Type="http://schemas.openxmlformats.org/officeDocument/2006/relationships/hyperlink" Target="https://www.youtube.com/watch?v=Y-qURehCp-0" TargetMode="External"/><Relationship Id="rId633" Type="http://schemas.openxmlformats.org/officeDocument/2006/relationships/hyperlink" Target="https://www.supremecourt.gov/opinions/24pdf/24a1153_l5gm.pdf" TargetMode="External"/><Relationship Id="rId980" Type="http://schemas.openxmlformats.org/officeDocument/2006/relationships/hyperlink" Target="https://www.youtube.com/watch?v=ga_vHeGYQ34" TargetMode="External"/><Relationship Id="rId1056" Type="http://schemas.openxmlformats.org/officeDocument/2006/relationships/hyperlink" Target="https://www.nj.gov/treasury/pensions/documents/factsheets/fact15.pdf" TargetMode="External"/><Relationship Id="rId1263" Type="http://schemas.openxmlformats.org/officeDocument/2006/relationships/hyperlink" Target="https://www.bizjournals.com/columbus/news/2018/09/20/new-ohio-law-incentivizes-businesses-that-comply.html" TargetMode="External"/><Relationship Id="rId2107" Type="http://schemas.openxmlformats.org/officeDocument/2006/relationships/hyperlink" Target="https://www.law.cornell.edu/definitions/uscode.php?width=840&amp;height=800&amp;iframe=true&amp;def_id=42-USC-303628742-1009355614&amp;term_occur=999&amp;term_src=" TargetMode="External"/><Relationship Id="rId2314" Type="http://schemas.openxmlformats.org/officeDocument/2006/relationships/hyperlink" Target="https://cases.justia.com/federal/district-courts/maryland/mddce/1:2024cv03580/573207/56/0.pdf?ts=1777474810" TargetMode="External"/><Relationship Id="rId2661" Type="http://schemas.openxmlformats.org/officeDocument/2006/relationships/hyperlink" Target="https://www.law.com/newyorklawjournal/2019/04/29/new-lactation-room-laws-what-employers-need-to-know/" TargetMode="External"/><Relationship Id="rId2759" Type="http://schemas.openxmlformats.org/officeDocument/2006/relationships/hyperlink" Target="https://perb.delaware.gov/wp-content/uploads/sites/127/2021/07/2020-0765-Order-of-reversal-and-remand-6-28-21-website.pdf" TargetMode="External"/><Relationship Id="rId840" Type="http://schemas.openxmlformats.org/officeDocument/2006/relationships/hyperlink" Target="https://cases.justia.com/federal/appellate-courts/ca5/22-40644/22-40644-2023-10-11.pdf?ts=1697067069" TargetMode="External"/><Relationship Id="rId938" Type="http://schemas.openxmlformats.org/officeDocument/2006/relationships/hyperlink" Target="https://cases.justia.com/georgia/court-of-appeals/2023-a23a1037.pdf?ts=1697652631" TargetMode="External"/><Relationship Id="rId1470" Type="http://schemas.openxmlformats.org/officeDocument/2006/relationships/hyperlink" Target="https://supreme.justia.com/cases/federal/us/564/338/" TargetMode="External"/><Relationship Id="rId1568" Type="http://schemas.openxmlformats.org/officeDocument/2006/relationships/hyperlink" Target="https://ecf.flmd.uscourts.gov/cgi-bin/show_public_doc?2025-02787-49-8-cv" TargetMode="External"/><Relationship Id="rId1775" Type="http://schemas.openxmlformats.org/officeDocument/2006/relationships/hyperlink" Target="https://law.justia.com/cases/federal/district-courts/new-york/nysdce/1:2019cv05773/517969/98/" TargetMode="External"/><Relationship Id="rId2521" Type="http://schemas.openxmlformats.org/officeDocument/2006/relationships/hyperlink" Target="https://supreme.justia.com/cases/federal/us/405/150/" TargetMode="External"/><Relationship Id="rId2619" Type="http://schemas.openxmlformats.org/officeDocument/2006/relationships/hyperlink" Target="https://www.courts.ca.gov/opinions/nonpub/H046246.PDF" TargetMode="External"/><Relationship Id="rId2826" Type="http://schemas.openxmlformats.org/officeDocument/2006/relationships/hyperlink" Target="https://www.legislature.ohio.gov/legislation/legislation-documents?id=GA133-HB-606" TargetMode="External"/><Relationship Id="rId67" Type="http://schemas.openxmlformats.org/officeDocument/2006/relationships/hyperlink" Target="https://www.cdcr.ca.gov/capital-punishment/" TargetMode="External"/><Relationship Id="rId700" Type="http://schemas.openxmlformats.org/officeDocument/2006/relationships/hyperlink" Target="https://ecf.dcd.uscourts.gov/cgi-bin/show_public_doc?2021cv0100-165" TargetMode="External"/><Relationship Id="rId1123" Type="http://schemas.openxmlformats.org/officeDocument/2006/relationships/hyperlink" Target="https://casetext.com/case/regan-v-city-of-philadelphia-workers-comp-appeal-board" TargetMode="External"/><Relationship Id="rId1330" Type="http://schemas.openxmlformats.org/officeDocument/2006/relationships/hyperlink" Target="https://public.fastcase.com/ZZhmr5v9wN%2FXOe5IsQ%2FqD6jMQR25voU2zetCo1HgS1zBk8tCI%2FmKZ0pb%2BYQBY4PYbj2YxbwIVSZ2pGprXwG4UQ35c6nwrJlu7u4tvaka%2BGk%3D?utm_medium=email&amp;_hsmi=226712652&amp;_hsenc=p2ANqtz-8k0z7Ow52c-ClX2b2IdaHNx0isoBG6vg98c6p6ibbt9CVV8mr3zs9YYXJjoYif24S7rYOdhr1XcCDTZ_K6Y2uCJJR3PQ&amp;utm_content=226712652&amp;utm_source=hs_email" TargetMode="External"/><Relationship Id="rId1428" Type="http://schemas.openxmlformats.org/officeDocument/2006/relationships/hyperlink" Target="https://www.supremecourt.gov/opinions/25pdf/24-109_21o3.pdf" TargetMode="External"/><Relationship Id="rId1635" Type="http://schemas.openxmlformats.org/officeDocument/2006/relationships/hyperlink" Target="https://www.law.georgetown.edu/icap/wp-content/uploads/sites/32/2020/07/Bey-2d-Cir.-Opening-Brief-FINAL-7-7-2020.pdf" TargetMode="External"/><Relationship Id="rId1982" Type="http://schemas.openxmlformats.org/officeDocument/2006/relationships/hyperlink" Target="https://casetext.com/statute/general-laws-of-massachusetts/part-i-administration-of-the-government/title-xxi-labor-and-industries/chapter-149-labor-and-industries/section-149187-health-care-providers-protection-from-retaliatory-action-by-health-care-facilities" TargetMode="External"/><Relationship Id="rId1842" Type="http://schemas.openxmlformats.org/officeDocument/2006/relationships/hyperlink" Target="https://public.fastcase.com/jaEE2PXzRXmZ99jOLMt1IkwLjDIafZivsAf6axO%2B3QZjm6x80NhvTxxrXJiS64do?utm_medium=email&amp;_hsenc=p2ANqtz-_ZLiMFX9yN1wO2MCWrhyQko1U4dUXhzxPQAtrBDBjCrjbe9Dh7_kNIbfrc-1zaAPZ0Y1FmrwNmXCeWeaeUVjh5p5R-nw&amp;_hsmi=226712652&amp;utm_content=226712652&amp;utm_source=hs_email" TargetMode="External"/><Relationship Id="rId1702" Type="http://schemas.openxmlformats.org/officeDocument/2006/relationships/hyperlink" Target="https://public.fastcase.com/jaEE2PXzRXmZ99jOLMt1IrF9wD4fG884AOwA%2B%2B8sYndkdlA95em2xjLqn6HHRdZo?utm_medium=email&amp;_hsenc=p2ANqtz-_k9MVaO09mpQi5ToQ_rMR2msPFl5QNhVfsnrFCoGgDXkRnW8gb34HMapH4044HXAEb1Ni6dZoKu1yFSWgbbZwBVX_IXQ&amp;_hsmi=226712652&amp;utm_content=226712652&amp;utm_source=hs_email" TargetMode="External"/><Relationship Id="rId283" Type="http://schemas.openxmlformats.org/officeDocument/2006/relationships/hyperlink" Target="https://public.fastcase.com/Wl%2B2t%2BeVuI35%2FN70vAMFZg2BMAXQvmThuD9oRUd4r3OTVcwOC01J7TzGKhK5Lojo" TargetMode="External"/><Relationship Id="rId490" Type="http://schemas.openxmlformats.org/officeDocument/2006/relationships/hyperlink" Target="https://public.fastcase.com/ZZhmr5v9wN%2FXOe5IsQ%2FqDy4piE023A%2FvmSBZ1OCyQDEvBrcypTxVYbDuh3sY1MRUTGEZ3quKqv94bkTO%2F3v9wUJnk5dj4IB3vpOq4w%2BY%2Blk%3D?utm_medium=email&amp;_hsmi=226712652&amp;_hsenc=p2ANqtz-8dDlTMCBDdR7Y6gBwCrwIFOUd7uQb6M2Q9eK5s_ERy0q0NLXHPkcRz9CocUT1WV-MgV98KLfaLWIoQPZBtf1lJjMQcjw&amp;utm_content=226712652&amp;utm_source=hs_email" TargetMode="External"/><Relationship Id="rId2171" Type="http://schemas.openxmlformats.org/officeDocument/2006/relationships/hyperlink" Target="https://www.cbsnews.com/news/los-angeles-settlement-families-photos-kobe-bryant-helicopter-crash/" TargetMode="External"/><Relationship Id="rId143" Type="http://schemas.openxmlformats.org/officeDocument/2006/relationships/hyperlink" Target="https://caselaw.findlaw.com/court/wi-court-of-appeals/115735506.html" TargetMode="External"/><Relationship Id="rId350" Type="http://schemas.openxmlformats.org/officeDocument/2006/relationships/hyperlink" Target="https://www.supremecourt.ohio.gov/rod/docs/pdf/0/2018/2018-Ohio-3721.pdf" TargetMode="External"/><Relationship Id="rId588" Type="http://schemas.openxmlformats.org/officeDocument/2006/relationships/hyperlink" Target="https://caselaw.findlaw.com/md-court-of-special-appeals/1897275.html" TargetMode="External"/><Relationship Id="rId795" Type="http://schemas.openxmlformats.org/officeDocument/2006/relationships/hyperlink" Target="https://www.foxnews.com/politics/supreme-court-green-lights-trumps-immigration-asylum-ban" TargetMode="External"/><Relationship Id="rId2031" Type="http://schemas.openxmlformats.org/officeDocument/2006/relationships/hyperlink" Target="https://www.vermontpublic.org/local-news/2024-01-31/burlington-sued-over-claims-of-excessive-force-and-inappropriate-ketamine-use-on-14-year-old" TargetMode="External"/><Relationship Id="rId2269" Type="http://schemas.openxmlformats.org/officeDocument/2006/relationships/hyperlink" Target="https://public.fastcase.com/Wl%2B2t%2BeVuI35%2FN70vAMFZmE2ukal8IvDC5BUTFBRpPNG0o0%2FGYOYjoFH9I91Iplb" TargetMode="External"/><Relationship Id="rId2476" Type="http://schemas.openxmlformats.org/officeDocument/2006/relationships/hyperlink" Target="https://cases.justia.com/michigan/court-of-appeals-unpublished/2025-368047.pdf?ts=1745586008" TargetMode="External"/><Relationship Id="rId2683" Type="http://schemas.openxmlformats.org/officeDocument/2006/relationships/hyperlink" Target="https://www.qcnews.com/shannon-park-shooting/one-year-later-a-timeline-of-the-tragic-april-29th-shootout-that-shook-charlotte/" TargetMode="External"/><Relationship Id="rId9" Type="http://schemas.openxmlformats.org/officeDocument/2006/relationships/image" Target="media/image1.jpeg"/><Relationship Id="rId210" Type="http://schemas.openxmlformats.org/officeDocument/2006/relationships/hyperlink" Target="https://www.law.cornell.edu/supct/html/90-5721.ZO.html" TargetMode="External"/><Relationship Id="rId448" Type="http://schemas.openxmlformats.org/officeDocument/2006/relationships/hyperlink" Target="https://cases.justia.com/indiana/court-of-appeals/2023-23a-ct-00945.pdf?ts=1698084643" TargetMode="External"/><Relationship Id="rId655" Type="http://schemas.openxmlformats.org/officeDocument/2006/relationships/hyperlink" Target="https://ilcourtsaudio.blob.core.windows.net/antilles-resources/resources/aa9ece1f-338b-4d77-9d21-fd7bfa316d8e/A.A.%20%20v.%20Board%20of%20Education%20of%20Summit%20School%20District%20No.%20104,%202024%20IL%20App%20(1st)%20232451.pdf" TargetMode="External"/><Relationship Id="rId862" Type="http://schemas.openxmlformats.org/officeDocument/2006/relationships/hyperlink" Target="https://firstamendmentwatch.org/arizona-governor-signs-bill-to-restrict-recording-of-police-in-public/" TargetMode="External"/><Relationship Id="rId1078" Type="http://schemas.openxmlformats.org/officeDocument/2006/relationships/hyperlink" Target="https://casetext.com/case/clark-v-town-of-waterford-1" TargetMode="External"/><Relationship Id="rId1285" Type="http://schemas.openxmlformats.org/officeDocument/2006/relationships/hyperlink" Target="https://cases.justia.com/federal/district-courts/virginia/vaedce/2:2025cv00255/573201/8/0.pdf?ts=1769187301" TargetMode="External"/><Relationship Id="rId1492" Type="http://schemas.openxmlformats.org/officeDocument/2006/relationships/hyperlink" Target="https://casetext.com/case/mendoza-v-the-city-of-new-york-3" TargetMode="External"/><Relationship Id="rId2129" Type="http://schemas.openxmlformats.org/officeDocument/2006/relationships/hyperlink" Target="https://law.justia.com/cases/federal/district-courts/new-york/nysdce/1:2020cv04452/538491/83/" TargetMode="External"/><Relationship Id="rId2336" Type="http://schemas.openxmlformats.org/officeDocument/2006/relationships/hyperlink" Target="file:///C:/Users/lawre/Downloads/US_DIS_NYSD_1_19cv11555_COMPLAINT_against_City_of_New_York_City_of_New_Yor.pdf" TargetMode="External"/><Relationship Id="rId2543" Type="http://schemas.openxmlformats.org/officeDocument/2006/relationships/hyperlink" Target="https://public.fastcase.com/J%2FJP6pdidelsXxEE4k%2BLMvAA4wdVAozHclcXP6KMfdj8CYqWYkZ5IhtTDMjNxRFWt37yGVInB8Zz%2FIGBMgeG32vITwI53h9KaHKQGHtOktA%3D?utm_medium=email&amp;_hsmi=226712652&amp;_hsenc=p2ANqtz-_Mw2AEs2jMeK8CMsm-FXL9B_q1HIVWLrxWyxNhgUshAzXtvMAG3R8e40Q3eYuBvp5AUcCDxAlMrpInvyyHAC9DF5hGYw&amp;utm_content=226712652&amp;utm_source=hs_email" TargetMode="External"/><Relationship Id="rId2750" Type="http://schemas.openxmlformats.org/officeDocument/2006/relationships/hyperlink" Target="https://www.nwitimes.com/news/local/lake/east-chicago/judge-orders-east-chicago-to-give-firefighters-back-their-old-work-shifts/article_0a0ebd36-f823-513f-a2fc-d1d6d95613d7.html" TargetMode="External"/><Relationship Id="rId308" Type="http://schemas.openxmlformats.org/officeDocument/2006/relationships/hyperlink" Target="https://www.law.cornell.edu/supct/html/92-102.ZO.html" TargetMode="External"/><Relationship Id="rId515" Type="http://schemas.openxmlformats.org/officeDocument/2006/relationships/hyperlink" Target="https://cafc.uscourts.gov/opinions-orders/21-1452.OPINION.4-15-2022_1936831.pdf" TargetMode="External"/><Relationship Id="rId722" Type="http://schemas.openxmlformats.org/officeDocument/2006/relationships/hyperlink" Target="https://www.law.cornell.edu/definitions/uscode.php?width=840&amp;height=800&amp;iframe=true&amp;def_id=18-USC-64633832-909420282&amp;term_occur=999&amp;term_src=title:18:part:I:chapter:13:section:249" TargetMode="External"/><Relationship Id="rId1145" Type="http://schemas.openxmlformats.org/officeDocument/2006/relationships/hyperlink" Target="https://www.lasc.org/Opinions/2021/20-1231.C.OPN.pdf" TargetMode="External"/><Relationship Id="rId1352" Type="http://schemas.openxmlformats.org/officeDocument/2006/relationships/hyperlink" Target="https://media.ca11.uscourts.gov/opinions/unpub/files/202110377.pdf" TargetMode="External"/><Relationship Id="rId1797" Type="http://schemas.openxmlformats.org/officeDocument/2006/relationships/hyperlink" Target="https://www.ems1.com/legal/articles/air-medical-company-agrees-to-78m-settlement-for-overtime-ExknCez8O1D6ZfI4/" TargetMode="External"/><Relationship Id="rId2403" Type="http://schemas.openxmlformats.org/officeDocument/2006/relationships/hyperlink" Target="https://law.justia.com/cases/new-york/appellate-division-third-department/2019/527240.html" TargetMode="External"/><Relationship Id="rId89" Type="http://schemas.openxmlformats.org/officeDocument/2006/relationships/hyperlink" Target="https://casetext.com/statute/united-states-code/title-18-crimes-and-criminal-procedure/part-i-crimes/chapter-40-importation-manufacture-distribution-and-storage-of-explosive-materials/section-844-penalties" TargetMode="External"/><Relationship Id="rId1005" Type="http://schemas.openxmlformats.org/officeDocument/2006/relationships/hyperlink" Target="https://cases.justia.com/new-york/other-courts/2025-2025-ny-slip-op-33207-u.pdf?ts=1757714614" TargetMode="External"/><Relationship Id="rId1212" Type="http://schemas.openxmlformats.org/officeDocument/2006/relationships/hyperlink" Target="http://app.leg.wa.gov/RCW/default.aspx?cite=51.08.140" TargetMode="External"/><Relationship Id="rId1657" Type="http://schemas.openxmlformats.org/officeDocument/2006/relationships/hyperlink" Target="https://www.leagle.com/decision/infdco20190708957" TargetMode="External"/><Relationship Id="rId1864" Type="http://schemas.openxmlformats.org/officeDocument/2006/relationships/hyperlink" Target="https://www.npr.org/2023/05/30/1178850879/sackler-family-purdue-pharma-immunity-lawsuits-oxycontin-opioid" TargetMode="External"/><Relationship Id="rId2610" Type="http://schemas.openxmlformats.org/officeDocument/2006/relationships/hyperlink" Target="http://www.ca5.uscourts.gov/opinions/unpub/20/20-20087.0.pdf" TargetMode="External"/><Relationship Id="rId2708" Type="http://schemas.openxmlformats.org/officeDocument/2006/relationships/hyperlink" Target="https://www.vindy.com/news/local-news/2024/03/citys-request-to-dismiss-fire-union-case-falters/" TargetMode="External"/><Relationship Id="rId1517" Type="http://schemas.openxmlformats.org/officeDocument/2006/relationships/hyperlink" Target="https://public.fastcase.com/9SKwsfNqTc6OieYDhNMyM2CFW33xyjvV9V9tDamXdBOoRSeaTiz5NEXWtNHJhMGDLmAvOr1CXJk0EV3MUdbM2l1WIYIXZemQzLeI%2BSSBPyk%3D" TargetMode="External"/><Relationship Id="rId1724" Type="http://schemas.openxmlformats.org/officeDocument/2006/relationships/hyperlink" Target="https://webapps.dol.gov/elaws/whd/flsa/hoursworked/screenEE4.asp" TargetMode="External"/><Relationship Id="rId16" Type="http://schemas.openxmlformats.org/officeDocument/2006/relationships/hyperlink" Target="https://scholar.uc.edu/concern/documents/ht24wm15r?locale=en" TargetMode="External"/><Relationship Id="rId1931" Type="http://schemas.openxmlformats.org/officeDocument/2006/relationships/hyperlink" Target="https://www.govinfo.gov/content/pkg/USCOURTS-ca11-25-11434/pdf/USCOURTS-ca11-25-11434-0.pdf" TargetMode="External"/><Relationship Id="rId2193" Type="http://schemas.openxmlformats.org/officeDocument/2006/relationships/hyperlink" Target="https://casetext.com/statute/revised-code-of-washington/title-68-cemeteries-morgues-and-human-remains/chapter-6850-human-remains/section-6850160-right-to-control-disposition-of-remains-liability-of-funeral-establishment-or-cemetery-authority-liability-for-cost" TargetMode="External"/><Relationship Id="rId2498" Type="http://schemas.openxmlformats.org/officeDocument/2006/relationships/hyperlink" Target="https://www.courts.nh.gov/sites/g/files/ehbemt471/files/documents/2024-03/20230083stone.pdf" TargetMode="External"/><Relationship Id="rId165" Type="http://schemas.openxmlformats.org/officeDocument/2006/relationships/hyperlink" Target="https://www.justice.gov/usao-wdnc/pr/asheville-jury-convicts-franklin-nc-man-starting-fire-burned-more-70-acres-federal-land" TargetMode="External"/><Relationship Id="rId372" Type="http://schemas.openxmlformats.org/officeDocument/2006/relationships/hyperlink" Target="https://www.dailymail.com/news/article-9746389/Fatal-assisted-living-fire-linked-cleaning-ritual.html" TargetMode="External"/><Relationship Id="rId677" Type="http://schemas.openxmlformats.org/officeDocument/2006/relationships/hyperlink" Target="https://www.theatlantic.com/politics/archive/2021/07/california-inmate-firefighters/619567/" TargetMode="External"/><Relationship Id="rId2053" Type="http://schemas.openxmlformats.org/officeDocument/2006/relationships/hyperlink" Target="https://public.fastcase.com/ZZhmr5v9wN%2FXOe5IsQ%2FqDx0vrICWCRjPwrPkFejRzcL5IKaE8Rtd1E1QUMzNRkuXg4QLEVUEQQe1JZ8q921vtt1B6ovVwHeC3EtpH3EMOZQ%3D?utm_medium=email&amp;_hsmi=226712652&amp;_hsenc=p2ANqtz-" TargetMode="External"/><Relationship Id="rId2260" Type="http://schemas.openxmlformats.org/officeDocument/2006/relationships/hyperlink" Target="https://brady-static.s3.amazonaws.com/2020-04-06-29-Order-Denying-TRO-App.pdf" TargetMode="External"/><Relationship Id="rId2358" Type="http://schemas.openxmlformats.org/officeDocument/2006/relationships/hyperlink" Target="https://cases.justia.com/ohio/twelfth-district-court-of-appeals/2023-ca2023-06-039.pdf?ts=1703791198" TargetMode="External"/><Relationship Id="rId232" Type="http://schemas.openxmlformats.org/officeDocument/2006/relationships/hyperlink" Target="https://ohiotimes.news/cincinnati-burglar-arm-fee-struck-down-a-giant-scam-says-lawyer/?doing_wp_cron=1637522583.8115420341491699218750" TargetMode="External"/><Relationship Id="rId884" Type="http://schemas.openxmlformats.org/officeDocument/2006/relationships/hyperlink" Target="https://casetext.com/case/long-lake-twp-v-maxon" TargetMode="External"/><Relationship Id="rId2120" Type="http://schemas.openxmlformats.org/officeDocument/2006/relationships/hyperlink" Target="https://mdcourts.gov/data/opinions/cosa/2022/1037s21.pdf" TargetMode="External"/><Relationship Id="rId2565" Type="http://schemas.openxmlformats.org/officeDocument/2006/relationships/hyperlink" Target="https://www.tncourts.gov/sites/default/files/pryebeverlyopn.pdf" TargetMode="External"/><Relationship Id="rId2772" Type="http://schemas.openxmlformats.org/officeDocument/2006/relationships/hyperlink" Target="https://www.sfgate.com/news/article/Supreme-Court-rules-that-companies-can-require-12931130.php" TargetMode="External"/><Relationship Id="rId537" Type="http://schemas.openxmlformats.org/officeDocument/2006/relationships/hyperlink" Target="http://www.legislature.mi.gov/(S(dodu2xg2ouu1vonwqhxqy4i2))/mileg.aspx?page=getObject&amp;objectName=mcl-750-411h" TargetMode="External"/><Relationship Id="rId744" Type="http://schemas.openxmlformats.org/officeDocument/2006/relationships/hyperlink" Target="https://www.law.cornell.edu/definitions/uscode.php?width=840&amp;height=800&amp;iframe=true&amp;def_id=8-USC-133271130-1485256779&amp;term_occur=999&amp;term_src=" TargetMode="External"/><Relationship Id="rId951" Type="http://schemas.openxmlformats.org/officeDocument/2006/relationships/hyperlink" Target="https://law.justia.com/cases/texas/fourteenth-court-of-appeals/2022/14-20-00566-cv.html" TargetMode="External"/><Relationship Id="rId1167" Type="http://schemas.openxmlformats.org/officeDocument/2006/relationships/hyperlink" Target="https://www.fox19.com/2020/12/16/kyle-plush-wrongful-death-lawsuit-can-proceed-against-cincinnati-employees-appeals-court-says/" TargetMode="External"/><Relationship Id="rId1374" Type="http://schemas.openxmlformats.org/officeDocument/2006/relationships/hyperlink" Target="https://www.mass.gov/doc/miltimore-boutin-and-kennedy-v-westfield-fire-commission-52121/download" TargetMode="External"/><Relationship Id="rId1581" Type="http://schemas.openxmlformats.org/officeDocument/2006/relationships/hyperlink" Target="https://www.supremecourt.gov/opinions/24pdf/23-997_6579.pdf" TargetMode="External"/><Relationship Id="rId1679" Type="http://schemas.openxmlformats.org/officeDocument/2006/relationships/hyperlink" Target="https://www.dol.gov/agencies/whd/fact-sheets/56c-bonuses" TargetMode="External"/><Relationship Id="rId2218" Type="http://schemas.openxmlformats.org/officeDocument/2006/relationships/hyperlink" Target="https://cdn.ymaws.com/aams.site-ym.com/resource/resmgr/website_resources/aams_statements/aams_statementonbalancebilli.pdf" TargetMode="External"/><Relationship Id="rId2425" Type="http://schemas.openxmlformats.org/officeDocument/2006/relationships/hyperlink" Target="https://cases.justia.com/federal/district-courts/florida/flmdce/8:2025cv02787/448658/35/0.pdf" TargetMode="External"/><Relationship Id="rId2632" Type="http://schemas.openxmlformats.org/officeDocument/2006/relationships/hyperlink" Target="https://public.fastcase.com/Wl%2B2t%2BeVuI35%2FN70vAMFZpe9nZQy4%2Fh5OlPwYBiXwZiKHRqMJ6M13sKp4yP4%2F%2BSx" TargetMode="External"/><Relationship Id="rId80" Type="http://schemas.openxmlformats.org/officeDocument/2006/relationships/hyperlink" Target="https://cases.justia.com/oregon/court-of-appeals/2025-a181038.pdf?ts=1738179139" TargetMode="External"/><Relationship Id="rId604" Type="http://schemas.openxmlformats.org/officeDocument/2006/relationships/hyperlink" Target="https://www.firehero.org/fallen-firefighter/albert-a-filosa/" TargetMode="External"/><Relationship Id="rId811" Type="http://schemas.openxmlformats.org/officeDocument/2006/relationships/hyperlink" Target="https://supreme.justia.com/cases/federal/us/584/17-2/" TargetMode="External"/><Relationship Id="rId1027" Type="http://schemas.openxmlformats.org/officeDocument/2006/relationships/hyperlink" Target="https://cases.justia.com/pennsylvania/commonwealth-court/2025-923-c-d-2021.pdf?ts=1742398374" TargetMode="External"/><Relationship Id="rId1234" Type="http://schemas.openxmlformats.org/officeDocument/2006/relationships/hyperlink" Target="https://www.jud.ct.gov/external/supapp/Cases/AROcr/CR334/334CR12.pdf" TargetMode="External"/><Relationship Id="rId1441" Type="http://schemas.openxmlformats.org/officeDocument/2006/relationships/hyperlink" Target="https://cases.justia.com/federal/district-courts/virginia/vaedce/3:2024cv00108/549376/71/0.pdf?ts=1749905770" TargetMode="External"/><Relationship Id="rId1886" Type="http://schemas.openxmlformats.org/officeDocument/2006/relationships/hyperlink" Target="https://www.npr.org/2021/11/23/1058539458/a-jury-in-ohio-says-americas-big-pharmacy-chains-are-liable-for-the-opioid-epide" TargetMode="External"/><Relationship Id="rId909" Type="http://schemas.openxmlformats.org/officeDocument/2006/relationships/hyperlink" Target="https://cases.justia.com/texas/first-court-of-appeals/2025-01-24-00936-cv.pdf?ts=1762265344" TargetMode="External"/><Relationship Id="rId1301" Type="http://schemas.openxmlformats.org/officeDocument/2006/relationships/hyperlink" Target="https://www.yahoo.com/news/tell-truth-now-girl-addresses-164857744.html" TargetMode="External"/><Relationship Id="rId1539" Type="http://schemas.openxmlformats.org/officeDocument/2006/relationships/hyperlink" Target="https://public.fastcase.com/Wl%2B2t%2BeVuI35%2FN70vAMFZkzhJOnk32e7%2BdWn1xTx2jApuUgRdcLBLFJLG9W4RHCQ" TargetMode="External"/><Relationship Id="rId1746" Type="http://schemas.openxmlformats.org/officeDocument/2006/relationships/hyperlink" Target="https://www.supremecourt.gov/opinions/22pdf/21-984_j426.pdf" TargetMode="External"/><Relationship Id="rId1953" Type="http://schemas.openxmlformats.org/officeDocument/2006/relationships/hyperlink" Target="https://www.pacourts.us/assets/opinions/Superior/out/J-S30019-25o%20-%20106515413327511102.pdf?cb=1" TargetMode="External"/><Relationship Id="rId38" Type="http://schemas.openxmlformats.org/officeDocument/2006/relationships/hyperlink" Target="https://cases.justia.com/pennsylvania/supreme-court/2025-15-wap-2024.pdf?ts=1763559881" TargetMode="External"/><Relationship Id="rId1606" Type="http://schemas.openxmlformats.org/officeDocument/2006/relationships/hyperlink" Target="https://www.govinfo.gov/content/pkg/USCOURTS-paed-2_23-cv-00155/pdf/USCOURTS-paed-2_23-cv-00155-0.pdf" TargetMode="External"/><Relationship Id="rId1813" Type="http://schemas.openxmlformats.org/officeDocument/2006/relationships/hyperlink" Target="http://codes.ohio.gov/orc/505.60" TargetMode="External"/><Relationship Id="rId187" Type="http://schemas.openxmlformats.org/officeDocument/2006/relationships/hyperlink" Target="https://www.legislature.ohio.gov/download?key=19460&amp;format=pdf" TargetMode="External"/><Relationship Id="rId394" Type="http://schemas.openxmlformats.org/officeDocument/2006/relationships/hyperlink" Target="https://cases.justia.com/connecticut/court-of-appeals/2025-ac46735.pdf?ts=1766582340" TargetMode="External"/><Relationship Id="rId2075" Type="http://schemas.openxmlformats.org/officeDocument/2006/relationships/hyperlink" Target="https://public.fastcase.com/ZZhmr5v9wN%2FXOe5IsQ%2FqD%2FMrsYybnhzToDs3pNIz1%2FKuVE%2FXrNjXuEwJjzIPMf50bv4pQ7cB9hbsaZ7iWrESGuHFIj%2FFdpWNLAaphAA7k6c%3D?utm_medium=email&amp;_hsmi=226712652&amp;_hsenc=p2ANqtz-_5oWIy3JVMzQhw9Nc4Op3ZwRC559261JhKrpKmwZ_i9sOC_6POwqnLW9vjaTKG4YfwH8U6J7L56i3T2Eyz1DW0ZK0ATw&amp;utm_content=226712652&amp;utm_source=hs_email" TargetMode="External"/><Relationship Id="rId2282" Type="http://schemas.openxmlformats.org/officeDocument/2006/relationships/hyperlink" Target="https://www.unitypoint.org/peoria/filesimages/Documents/EMS%20Documents/EMS%20Policies/PROCTOR%20Policy%20Dr.%20Huff%2032%20Patient%20Right%20of%20Refusal.pdf" TargetMode="External"/><Relationship Id="rId254" Type="http://schemas.openxmlformats.org/officeDocument/2006/relationships/hyperlink" Target="https://www.tcpalm.com/story/news/crime/st-lucie-county/2018/10/05/verdict-deputy-violated-martin-mans-civil-rights/1526605002/" TargetMode="External"/><Relationship Id="rId699" Type="http://schemas.openxmlformats.org/officeDocument/2006/relationships/hyperlink" Target="mailto:departmentofhomelandsecurity@messages.dhs.gov" TargetMode="External"/><Relationship Id="rId1091" Type="http://schemas.openxmlformats.org/officeDocument/2006/relationships/hyperlink" Target="https://www.socialaw.com/services/slip-opinions/slip-opinion-details/mark-tetreault-vs.-board-of-selectmen-of-lynnfield" TargetMode="External"/><Relationship Id="rId2587" Type="http://schemas.openxmlformats.org/officeDocument/2006/relationships/hyperlink" Target="https://www.leagle.com/decision/infdco20211006817" TargetMode="External"/><Relationship Id="rId2794" Type="http://schemas.openxmlformats.org/officeDocument/2006/relationships/hyperlink" Target="https://www.law.cornell.edu/cfr/text/24/291.530" TargetMode="External"/><Relationship Id="rId114" Type="http://schemas.openxmlformats.org/officeDocument/2006/relationships/hyperlink" Target="http://kool.corrections.ky.gov/KOOL/Details/61717" TargetMode="External"/><Relationship Id="rId461" Type="http://schemas.openxmlformats.org/officeDocument/2006/relationships/hyperlink" Target="https://law.justia.com/cases/wisconsin/supreme-court/1989/87-1094-9.html" TargetMode="External"/><Relationship Id="rId559" Type="http://schemas.openxmlformats.org/officeDocument/2006/relationships/hyperlink" Target="https://www.aclu.org/sites/default/files/field_document/mckesson_v_doe_cert_petn_and_appendix.pdf" TargetMode="External"/><Relationship Id="rId766" Type="http://schemas.openxmlformats.org/officeDocument/2006/relationships/hyperlink" Target="https://www.justice.gov/opa/pr/two-suburban-chicago-men-convicted-conspiring-provide-material-support-isis" TargetMode="External"/><Relationship Id="rId1189" Type="http://schemas.openxmlformats.org/officeDocument/2006/relationships/hyperlink" Target="https://wvrecord.com/stories/511075521-ambulance-service-worker-blames-multiple-defendants-for-injuries" TargetMode="External"/><Relationship Id="rId1396" Type="http://schemas.openxmlformats.org/officeDocument/2006/relationships/hyperlink" Target="https://www.leagle.com/cite/653%20F.2d%20180" TargetMode="External"/><Relationship Id="rId2142" Type="http://schemas.openxmlformats.org/officeDocument/2006/relationships/hyperlink" Target="https://casetext.com/case/cazares-v-rand" TargetMode="External"/><Relationship Id="rId2447" Type="http://schemas.openxmlformats.org/officeDocument/2006/relationships/hyperlink" Target="https://www.firerescue1.com/legal/l-a-county-pays-7-2m-to-family-of-firefighter-killed-in-firehouse-shooting" TargetMode="External"/><Relationship Id="rId321" Type="http://schemas.openxmlformats.org/officeDocument/2006/relationships/hyperlink" Target="https://cases.justia.com/federal/district-courts/pennsylvania/pawdce/3:2018cv00193/249675/37/0.pdf?ts=1571736238" TargetMode="External"/><Relationship Id="rId419" Type="http://schemas.openxmlformats.org/officeDocument/2006/relationships/hyperlink" Target="https://www.pacourts.us/assets/opinions/Superior/out/J-A11020-24m%20-%20106209941292398313.pdf?cb=1" TargetMode="External"/><Relationship Id="rId626" Type="http://schemas.openxmlformats.org/officeDocument/2006/relationships/hyperlink" Target="https://www.portland.gov/federal/documents/10-4-2025-state-city-v-trump-temporary-restraining-order-granted/download" TargetMode="External"/><Relationship Id="rId973" Type="http://schemas.openxmlformats.org/officeDocument/2006/relationships/hyperlink" Target="https://casetext.com/case/hicks-v-city-of-ofallon" TargetMode="External"/><Relationship Id="rId1049" Type="http://schemas.openxmlformats.org/officeDocument/2006/relationships/hyperlink" Target="https://www.360connect.com/product-blog/kronos-time-and-attendance-system-types-features-pricing/" TargetMode="External"/><Relationship Id="rId1256" Type="http://schemas.openxmlformats.org/officeDocument/2006/relationships/hyperlink" Target="http://www.kwgd.com/ohio-general-assembly-alters-statute-of-limitation-for-workers-compensation-claims" TargetMode="External"/><Relationship Id="rId2002" Type="http://schemas.openxmlformats.org/officeDocument/2006/relationships/hyperlink" Target="https://revisor.mo.gov/main/OneSection.aspx?section=195.205" TargetMode="External"/><Relationship Id="rId2307" Type="http://schemas.openxmlformats.org/officeDocument/2006/relationships/hyperlink" Target="https://cases.justia.com/federal/district-courts/virginia/vaedce/3:2017cv00167/360316/92/0.pdf?ts=1527856286" TargetMode="External"/><Relationship Id="rId2654" Type="http://schemas.openxmlformats.org/officeDocument/2006/relationships/hyperlink" Target="https://supreme.justia.com/cases/federal/us/391/563" TargetMode="External"/><Relationship Id="rId833" Type="http://schemas.openxmlformats.org/officeDocument/2006/relationships/hyperlink" Target="https://www.mass.gov/doc/grenier-pierre-v-springfield-fire-department-related-appeals-court-decision-101124/download" TargetMode="External"/><Relationship Id="rId1116" Type="http://schemas.openxmlformats.org/officeDocument/2006/relationships/hyperlink" Target="https://ilcourtsaudio.blob.core.windows.net/antilles-resources/resources/51e43aff-4d85-414d-b8bb-128a5f970896/Int%20Assn%20of%20Fire%20Fighters,%20Local%2050%20v.%20City%20of%20Peoria,%202021%20IL%20127040.pdf" TargetMode="External"/><Relationship Id="rId1463" Type="http://schemas.openxmlformats.org/officeDocument/2006/relationships/hyperlink" Target="https://casetext.com/case/corbin-v-black-jack-fire-prot-dist" TargetMode="External"/><Relationship Id="rId1670" Type="http://schemas.openxmlformats.org/officeDocument/2006/relationships/hyperlink" Target="https://public.fastcase.com/9SKwsfNqTc6OieYDhNMyM%2BsbSTu241pOZ38l1fL3GtOxRE1iLhH6RZm0FIyTdVeF1XRK6Ebg7B5equTDg4ZQiMxFMDQEZko4UYsaxrmOuYk%3D" TargetMode="External"/><Relationship Id="rId1768" Type="http://schemas.openxmlformats.org/officeDocument/2006/relationships/hyperlink" Target="https://www.leagle.com/decision/infdco20210518900" TargetMode="External"/><Relationship Id="rId2514" Type="http://schemas.openxmlformats.org/officeDocument/2006/relationships/hyperlink" Target="https://caselaw.findlaw.com/court/ma-court-of-appeals/115411600.html" TargetMode="External"/><Relationship Id="rId2721" Type="http://schemas.openxmlformats.org/officeDocument/2006/relationships/hyperlink" Target="https://law.justia.com/cases/federal/district-courts/virginia/vawdce/6:2021cv00025/122367/36/" TargetMode="External"/><Relationship Id="rId2819" Type="http://schemas.openxmlformats.org/officeDocument/2006/relationships/hyperlink" Target="https://urldefense.com/v3/__https:/www.congress.gov/bill/117th-congress/senate-bill/1511__;!!Bg5easoyC-OII2vlEqY8mTBrtW-N4OJKAQ!emPJ4la1tXumEvgbQHWWkqIJXSqd8F6eECBBP8LY2twTexz4LKxtEOPGOo9tKXCW3_TX13KqIA$" TargetMode="External"/><Relationship Id="rId900" Type="http://schemas.openxmlformats.org/officeDocument/2006/relationships/hyperlink" Target="https://law.justia.com/cases/california/supreme-court/2019/s242250.html" TargetMode="External"/><Relationship Id="rId1323" Type="http://schemas.openxmlformats.org/officeDocument/2006/relationships/hyperlink" Target="https://codes.ohio.gov/ohio-revised-code/section-4113.71" TargetMode="External"/><Relationship Id="rId1530" Type="http://schemas.openxmlformats.org/officeDocument/2006/relationships/hyperlink" Target="https://casetext.com/case/alamo-v-city-of-chi-2" TargetMode="External"/><Relationship Id="rId1628" Type="http://schemas.openxmlformats.org/officeDocument/2006/relationships/hyperlink" Target="https://public.fastcase.com/9SKwsfNqTc6OieYDhNMyM6vC7U3N6pFiGGudI%2FRRBa2RM8NFylVCIr30mZgiL1xCGi%2BB4TwUGi23U%2F4WBRTxtqosYxdtzzhHp1yF4K4Z7P8%3D" TargetMode="External"/><Relationship Id="rId1975" Type="http://schemas.openxmlformats.org/officeDocument/2006/relationships/hyperlink" Target="https://cases.justia.com/louisiana/fourth-circuit-court-of-appeal/2025-2024-ca-0437.pdf?ts=1741310103" TargetMode="External"/><Relationship Id="rId1835" Type="http://schemas.openxmlformats.org/officeDocument/2006/relationships/hyperlink" Target="https://www.firefighternation.com/fire-leadership/what-does-president-trumps-new-marijuana-directive-mean-for-you-as-a-fire-chief/" TargetMode="External"/><Relationship Id="rId1902" Type="http://schemas.openxmlformats.org/officeDocument/2006/relationships/hyperlink" Target="https://scholar.google.com/scholar_case?case=8759932085982657853&amp;q=Pennsylvania+%22overdose+response%22&amp;hl=en&amp;as_sdt=6,36&amp;as_ylo=2020" TargetMode="External"/><Relationship Id="rId2097" Type="http://schemas.openxmlformats.org/officeDocument/2006/relationships/hyperlink" Target="https://public.fastcase.com/J%2FJP6pdidelsXxEE4k%2BLMjJGU1N13mSM0FXq6MPMgI9LSFCmdWs1UmdxMrMk65JbGuZGkm2byIyaUDFttOOFNnpFfmnrOgyejNkkQ3Wd5bI%3D?utm_medium=email&amp;_hsmi=226712652&amp;_hsenc=p2ANqtz--0Qd6DUvdEJ2RTs9adtgmCzU05IEXqUBeE6HSsIcsSfVoNrdaOOcnlphoE_fH7sdYgnejI_LAktN6WZtOuiqSz8dg1eg&amp;utm_content=226712652&amp;utm_source=hs_email" TargetMode="External"/><Relationship Id="rId276" Type="http://schemas.openxmlformats.org/officeDocument/2006/relationships/hyperlink" Target="https://www.mwl-law.com/wp-content/uploads/2018/02/SPOLIATION-OF-EVIDENCE-CHART.pdf" TargetMode="External"/><Relationship Id="rId483" Type="http://schemas.openxmlformats.org/officeDocument/2006/relationships/hyperlink" Target="https://casetext.com/case/calatayud-iii-v-state" TargetMode="External"/><Relationship Id="rId690" Type="http://schemas.openxmlformats.org/officeDocument/2006/relationships/hyperlink" Target="https://casetext.com/case/chairnoff-v-islamic-republic-of-iran-in-re-terrorist-attacks" TargetMode="External"/><Relationship Id="rId2164" Type="http://schemas.openxmlformats.org/officeDocument/2006/relationships/hyperlink" Target="https://nmonesource.com/nmos/nmsc/en/item/517877/index.do" TargetMode="External"/><Relationship Id="rId2371" Type="http://schemas.openxmlformats.org/officeDocument/2006/relationships/hyperlink" Target="https://mn.gov/workcomp-stat/2021/Juntunen%20-%2012-28-21.html" TargetMode="External"/><Relationship Id="rId136" Type="http://schemas.openxmlformats.org/officeDocument/2006/relationships/hyperlink" Target="https://www.washingtonexaminer.com/opinion/beltway-confidential/2771350/little-known-michigan-court-case-could-have-massive-constitutional-effects-across-the-nation/" TargetMode="External"/><Relationship Id="rId343" Type="http://schemas.openxmlformats.org/officeDocument/2006/relationships/hyperlink" Target="https://www.supremecourt.gov/opinions/18pdf/17-1660_5ifl.pdf" TargetMode="External"/><Relationship Id="rId550" Type="http://schemas.openxmlformats.org/officeDocument/2006/relationships/hyperlink" Target="https://www.cdc.gov/niosh/fire/reports/face200837.html" TargetMode="External"/><Relationship Id="rId788" Type="http://schemas.openxmlformats.org/officeDocument/2006/relationships/hyperlink" Target="https://cdn.ca9.uscourts.gov/datastore/opinions/2020/02/28/19-15716.pdf" TargetMode="External"/><Relationship Id="rId995" Type="http://schemas.openxmlformats.org/officeDocument/2006/relationships/hyperlink" Target="https://thedailyrecord.com/files/2025/12/1167s24.pdf" TargetMode="External"/><Relationship Id="rId1180" Type="http://schemas.openxmlformats.org/officeDocument/2006/relationships/hyperlink" Target="https://www.leagle.com/decision/infdco20201228943" TargetMode="External"/><Relationship Id="rId2024" Type="http://schemas.openxmlformats.org/officeDocument/2006/relationships/hyperlink" Target="https://www.hmpgloballearningnetwork.com/site/emsworld/feature-story/body-cams-help-new-orleans-ems-protect-providers-while-prioritizing" TargetMode="External"/><Relationship Id="rId2231" Type="http://schemas.openxmlformats.org/officeDocument/2006/relationships/hyperlink" Target="file:///C:/Users/lawre/AppData/Local/Temp/19P0716.pdf" TargetMode="External"/><Relationship Id="rId2469" Type="http://schemas.openxmlformats.org/officeDocument/2006/relationships/hyperlink" Target="https://dsp.delaware.gov/2023/01/13/former-deputy-fire-chief-arrested-for-rape/" TargetMode="External"/><Relationship Id="rId2676" Type="http://schemas.openxmlformats.org/officeDocument/2006/relationships/hyperlink" Target="http://www.wpri.com/news/supreme-court-sides-with-providence-in-dispute-over-weightlifting-firefighters-disability-pension/1082484435" TargetMode="External"/><Relationship Id="rId203" Type="http://schemas.openxmlformats.org/officeDocument/2006/relationships/hyperlink" Target="https://codes.ohio.gov/ohio-revised-code/section-5589.21" TargetMode="External"/><Relationship Id="rId648" Type="http://schemas.openxmlformats.org/officeDocument/2006/relationships/hyperlink" Target="https://casetext.com/case/souverneva-v-the-superior-court" TargetMode="External"/><Relationship Id="rId855" Type="http://schemas.openxmlformats.org/officeDocument/2006/relationships/hyperlink" Target="https://public.fastcase.com/J%2FJP6pdidelsXxEE4k%2BLMunJfhe1gfK2oI8CQbirV8GXkmoWfCiXuebhhRyeFmnHeojCURMbUHUM%2FZVW6TuThcVt2kPCx5ANtZZIjUvq4TI%3D?utm_medium=email&amp;_hsmi=226712652&amp;_hsenc=p2ANqtz-_4xSG7CmaPWZQuwsNXY4RTJcvgg4B9LMx8R4vNTvpvb0PqojZFKwGqm6HPbOxappi5A6b2YgFEujAqOwM5oeHjK0AsxA&amp;utm_content=226712652&amp;utm_source=hs_email" TargetMode="External"/><Relationship Id="rId1040" Type="http://schemas.openxmlformats.org/officeDocument/2006/relationships/hyperlink" Target="https://cases.justia.com/ohio/tenth-district-court-of-appeals/2024-22ap-431.pdf?ts=1728583884" TargetMode="External"/><Relationship Id="rId1278" Type="http://schemas.openxmlformats.org/officeDocument/2006/relationships/hyperlink" Target="https://casetext.com/case/new-prime-inc-v-oliveira-1?ref=Sb!ZpcU0M" TargetMode="External"/><Relationship Id="rId1485" Type="http://schemas.openxmlformats.org/officeDocument/2006/relationships/hyperlink" Target="https://casetext.com/case/roper-v-city-of-cincinnati" TargetMode="External"/><Relationship Id="rId1692" Type="http://schemas.openxmlformats.org/officeDocument/2006/relationships/hyperlink" Target="https://www.mass.gov/doc/driscoll-v-city-of-melrose-ac-s24p1114/download" TargetMode="External"/><Relationship Id="rId2329" Type="http://schemas.openxmlformats.org/officeDocument/2006/relationships/hyperlink" Target="https://www.casemine.com/judgement/us/698dd4328a508cf645e20167" TargetMode="External"/><Relationship Id="rId2536" Type="http://schemas.openxmlformats.org/officeDocument/2006/relationships/hyperlink" Target="https://www.tncourts.gov/sites/default/files/OpinionsPDFVersion/MOSS%20-%20Majority%20Opinion.pdf" TargetMode="External"/><Relationship Id="rId2743" Type="http://schemas.openxmlformats.org/officeDocument/2006/relationships/hyperlink" Target="https://www.journal-news.com/news/local/fairfield-able-rehire-retired-fire-chief/JMPkJQCqJ2eIDqbu2eI8RK/" TargetMode="External"/><Relationship Id="rId410" Type="http://schemas.openxmlformats.org/officeDocument/2006/relationships/hyperlink" Target="https://cases.justia.com/arkansas/court-of-appeals/2025-cv-22-305.pdf?ts=1746026138" TargetMode="External"/><Relationship Id="rId508" Type="http://schemas.openxmlformats.org/officeDocument/2006/relationships/hyperlink" Target="http://www.ca5.uscourts.gov/opinions/unpub/22/22-30100.0.pdf" TargetMode="External"/><Relationship Id="rId715" Type="http://schemas.openxmlformats.org/officeDocument/2006/relationships/hyperlink" Target="https://www.ca5.uscourts.gov/opinions/pub/22/22-10077-CV0.pdf" TargetMode="External"/><Relationship Id="rId922" Type="http://schemas.openxmlformats.org/officeDocument/2006/relationships/hyperlink" Target="https://cases.justia.com/pennsylvania/commonwealth-court/2024-1232-c-d-2023.pdf?ts=1729783758" TargetMode="External"/><Relationship Id="rId1138" Type="http://schemas.openxmlformats.org/officeDocument/2006/relationships/hyperlink" Target="https://www.schafer-and-schafer.com/workers-compensation/" TargetMode="External"/><Relationship Id="rId1345" Type="http://schemas.openxmlformats.org/officeDocument/2006/relationships/hyperlink" Target="https://public.fastcase.com/ZZhmr5v9wN%2FXOe5IsQ%2FqD%2Bhqb5sNCIqd5RJe%2FxM2hjFRyaJ31hb16ZTOa0HcnlDHTYd64r6bH4XUHVSC8TORCsm2%2BcMn7uR9MfnM7VfyK9g%3D?utm_medium=email&amp;_hsmi=226712652&amp;_hsenc=p2ANqtz-9j81kRsw27tcbjTzGhgoW98dbte_kRv0VGtzskzMbh4aiP0Af373qngGXkbsJh41xl15DsBfvJ97QkgeVHOPx0003AwA&amp;utm_content=226712652&amp;utm_source=hs_email" TargetMode="External"/><Relationship Id="rId1552" Type="http://schemas.openxmlformats.org/officeDocument/2006/relationships/hyperlink" Target="https://ecf.gamd.uscourts.gov/cgi-bin/show_public_doc?2018-00132-29-7-cv" TargetMode="External"/><Relationship Id="rId1997" Type="http://schemas.openxmlformats.org/officeDocument/2006/relationships/hyperlink" Target="https://www.njcourts.gov/system/files/court-opinions/2024/a1893-22.pdf" TargetMode="External"/><Relationship Id="rId2603" Type="http://schemas.openxmlformats.org/officeDocument/2006/relationships/hyperlink" Target="https://casetext.com/case/parmenter-v-city-of-nowata" TargetMode="External"/><Relationship Id="rId1205" Type="http://schemas.openxmlformats.org/officeDocument/2006/relationships/hyperlink" Target="http://codes.ohio.gov/orc/2743.75" TargetMode="External"/><Relationship Id="rId1857" Type="http://schemas.openxmlformats.org/officeDocument/2006/relationships/hyperlink" Target="http://www.law.cornell.edu/uscode/text/42/12114" TargetMode="External"/><Relationship Id="rId2810" Type="http://schemas.openxmlformats.org/officeDocument/2006/relationships/hyperlink" Target="https://codes.ohio.gov/ohio-revised-code/section-149.43" TargetMode="External"/><Relationship Id="rId51" Type="http://schemas.openxmlformats.org/officeDocument/2006/relationships/hyperlink" Target="https://cases.justia.com/federal/district-courts/south-carolina/scdce/2:2024cv02173/290787/65/0.pdf?ts=1756990440" TargetMode="External"/><Relationship Id="rId1412" Type="http://schemas.openxmlformats.org/officeDocument/2006/relationships/hyperlink" Target="https://caselaw.findlaw.com/us-supreme-court/436/658.html" TargetMode="External"/><Relationship Id="rId1717" Type="http://schemas.openxmlformats.org/officeDocument/2006/relationships/hyperlink" Target="https://www.ecfr.gov/current/title-29/section-778.200" TargetMode="External"/><Relationship Id="rId1924" Type="http://schemas.openxmlformats.org/officeDocument/2006/relationships/hyperlink" Target="https://cases.justia.com/minnesota/supreme-court/2026-a23-0516.pdf?ts=1773911973" TargetMode="External"/><Relationship Id="rId298" Type="http://schemas.openxmlformats.org/officeDocument/2006/relationships/hyperlink" Target="https://www.ca2.uscourts.gov/decisions/isysquery/93d429af-6bc3-4a16-b287-422f5179acac/1/doc/18-3775_opn.pdf" TargetMode="External"/><Relationship Id="rId158" Type="http://schemas.openxmlformats.org/officeDocument/2006/relationships/hyperlink" Target="https://casetext.com/case/united-states-v-weathington-3" TargetMode="External"/><Relationship Id="rId2186" Type="http://schemas.openxmlformats.org/officeDocument/2006/relationships/hyperlink" Target="https://www.natlawreview.com/article/mandatory-vaccination-policy-lawsuit-update-nurses-take-shot-against-hospital-judge" TargetMode="External"/><Relationship Id="rId2393" Type="http://schemas.openxmlformats.org/officeDocument/2006/relationships/hyperlink" Target="https://dailyvoice.com/pennsylvania/chester/news/comfort-dogs-allowed-for-some-during-criminal-trials-pa-supreme-court-rules/816798/" TargetMode="External"/><Relationship Id="rId2698" Type="http://schemas.openxmlformats.org/officeDocument/2006/relationships/hyperlink" Target="https://www.supremecourt.ohio.gov/rod/docs/pdf/11/2024/2024-Ohio-6002.pdf" TargetMode="External"/><Relationship Id="rId365" Type="http://schemas.openxmlformats.org/officeDocument/2006/relationships/hyperlink" Target="https://www.nytimes.com/2018/04/02/us/politics/supreme-court-rules-for-police-officer-in-excessive-force-case.html" TargetMode="External"/><Relationship Id="rId572" Type="http://schemas.openxmlformats.org/officeDocument/2006/relationships/hyperlink" Target="http://41af3k34gprx4f6bg12df75i.wpengine.netdna-cdn.com/wp-content/uploads/sites/19/2019/07/Marvaso-v.-Adams_-2019-U.S.-Dist.-LEXIS-114276.pdf" TargetMode="External"/><Relationship Id="rId2046" Type="http://schemas.openxmlformats.org/officeDocument/2006/relationships/hyperlink" Target="https://public.fastcase.com/H1P9uiW3J20SFp%2BGCG%2BxLWaE5rZYr2H4Ujam%2BycZ4mpAt0doHRie9oUlcl2qsPlk?utm_medium=email&amp;_hsmi=226712652&amp;_hsenc=p2ANqtz-_AW42DW2ZKsbYvGhsf40qi8tEpXVEeEydLzmuxudQnQi0lg_TvDjKAtr1z0dXm_j1xtTRfnovBA_RTcYhjFA_6sdUkCw&amp;utm_content=226712652&amp;utm_source=hs_email" TargetMode="External"/><Relationship Id="rId2253" Type="http://schemas.openxmlformats.org/officeDocument/2006/relationships/hyperlink" Target="https://public.fastcase.com/Wl%2B2t%2BeVuI35%2FN70vAMFZmo%2BcULZ%2FcXakIqGXvRrcFYkKri8LBojVsP%2FOvCVPfk0" TargetMode="External"/><Relationship Id="rId2460" Type="http://schemas.openxmlformats.org/officeDocument/2006/relationships/hyperlink" Target="https://cases.justia.com/federal/district-courts/ohio/ohsdce/1:2023cv00230/279336/47/0.pdf?ts=1756299215" TargetMode="External"/><Relationship Id="rId225" Type="http://schemas.openxmlformats.org/officeDocument/2006/relationships/hyperlink" Target="https://public.fastcase.com/9SKwsfNqTc6OieYDhNMyM7D5VS5NTHGa%2BVbO5LbgTVCol88giq6gEwqG77t7xxlVdoZinV7rGr3Vonxjs0f%2FBj%2FzJq07gNCdlFI%2FOtwWHGw%3D" TargetMode="External"/><Relationship Id="rId432" Type="http://schemas.openxmlformats.org/officeDocument/2006/relationships/hyperlink" Target="https://casetext.com/case/armstrong-v-mailand" TargetMode="External"/><Relationship Id="rId877" Type="http://schemas.openxmlformats.org/officeDocument/2006/relationships/hyperlink" Target="https://www.supremecourt.gov/opinions/21pdf/20-1668_19m2.pdf" TargetMode="External"/><Relationship Id="rId1062" Type="http://schemas.openxmlformats.org/officeDocument/2006/relationships/hyperlink" Target="https://cases.justia.com/virginia/court-of-appeals-published/2024-0344-23-1.pdf?ts=1706633278" TargetMode="External"/><Relationship Id="rId2113" Type="http://schemas.openxmlformats.org/officeDocument/2006/relationships/hyperlink" Target="https://law.justia.com/cases/michigan/court-of-appeals-unpublished/2022/359110.html" TargetMode="External"/><Relationship Id="rId2320" Type="http://schemas.openxmlformats.org/officeDocument/2006/relationships/hyperlink" Target="https://www.ca4.uscourts.gov/Opinions/201342.P.pdf" TargetMode="External"/><Relationship Id="rId2558" Type="http://schemas.openxmlformats.org/officeDocument/2006/relationships/hyperlink" Target="https://public.fastcase.com/J%2FJP6pdidelsXxEE4k%2BLMrj3s4T1D9o6YeH1P6QHRjfPwtPh7UBJw6%2FlyLsxvHVQo4RL4odtX24b6W6EIP3%2BuhoyWwf2ZSyK36dgjdjOjEg%3D" TargetMode="External"/><Relationship Id="rId2765" Type="http://schemas.openxmlformats.org/officeDocument/2006/relationships/hyperlink" Target="https://law.justia.com/cases/new-york/appellate-division-second-department/2019/2016-10658.html" TargetMode="External"/><Relationship Id="rId737" Type="http://schemas.openxmlformats.org/officeDocument/2006/relationships/hyperlink" Target="https://www.ftc.gov/enforcement/statutes/fair-credit-reporting-act" TargetMode="External"/><Relationship Id="rId944" Type="http://schemas.openxmlformats.org/officeDocument/2006/relationships/hyperlink" Target="https://cms7files1.revize.com/starkcountyoh/f22-16.wbh.sl.pdf" TargetMode="External"/><Relationship Id="rId1367" Type="http://schemas.openxmlformats.org/officeDocument/2006/relationships/hyperlink" Target="https://www.firerescue1.com/lawsuit/articles/mass-ff-emt-files-gender-discrimination-lawsuit-says-she-was-passed-over-for-promotion-k1Q0mMWcivLWcHoy/" TargetMode="External"/><Relationship Id="rId1574" Type="http://schemas.openxmlformats.org/officeDocument/2006/relationships/hyperlink" Target="https://acuityinternational.com/blog/nfpa-1582-medication-disqualifications/" TargetMode="External"/><Relationship Id="rId1781" Type="http://schemas.openxmlformats.org/officeDocument/2006/relationships/hyperlink" Target="https://public.fastcase.com/Wl%2B2t%2BeVuI35%2FN70vAMFZjQ0yk8eNGgy%2FibI6B2NDAJYgZ2PRe3I9j%2FKWgfFbNa7" TargetMode="External"/><Relationship Id="rId2418" Type="http://schemas.openxmlformats.org/officeDocument/2006/relationships/hyperlink" Target="https://public.fastcase.com/" TargetMode="External"/><Relationship Id="rId2625" Type="http://schemas.openxmlformats.org/officeDocument/2006/relationships/hyperlink" Target="http://codes.ohio.gov/orc/2933.52" TargetMode="External"/><Relationship Id="rId73" Type="http://schemas.openxmlformats.org/officeDocument/2006/relationships/hyperlink" Target="https://www.14news.com/2022/08/18/wife-convicted-murderer-both-charged-death-evansville-firefighter/" TargetMode="External"/><Relationship Id="rId804" Type="http://schemas.openxmlformats.org/officeDocument/2006/relationships/hyperlink" Target="https://www.theguardian.com/world/2014/apr/17/mohammad-hassan-khalid-sentence-five-years-jail-jihad-jane-plot" TargetMode="External"/><Relationship Id="rId1227" Type="http://schemas.openxmlformats.org/officeDocument/2006/relationships/hyperlink" Target="https://public.fastcase.com/Wl%2B2t%2BeVuI35%2FN70vAMFZv4uc1sCbMG5dFxJ8lan7QREifr4yKlj8U3C7mB5N4Yr" TargetMode="External"/><Relationship Id="rId1434" Type="http://schemas.openxmlformats.org/officeDocument/2006/relationships/hyperlink" Target="https://www.ca5.uscourts.gov/opinions/pub/24/24-30777-CV0.pdf" TargetMode="External"/><Relationship Id="rId1641" Type="http://schemas.openxmlformats.org/officeDocument/2006/relationships/hyperlink" Target="https://www.eeoc.gov/laws/guidance/deafness-and-hearing-impairments-workplace-and-americans-disabilities-act" TargetMode="External"/><Relationship Id="rId1879" Type="http://schemas.openxmlformats.org/officeDocument/2006/relationships/hyperlink" Target="https://k2radio.com/federal-appellate-court-upholds-former-casper-doctors-drug-conspiracy-verdict/" TargetMode="External"/><Relationship Id="rId1501" Type="http://schemas.openxmlformats.org/officeDocument/2006/relationships/hyperlink" Target="https://boingboing.net/2017/11/06/city-of-miami-demands-media-st.html" TargetMode="External"/><Relationship Id="rId1739" Type="http://schemas.openxmlformats.org/officeDocument/2006/relationships/hyperlink" Target="https://cases.justia.com/federal/appellate-courts/ca6/22-3101/22-3101-2023-05-19.pdf?ts=1684526463" TargetMode="External"/><Relationship Id="rId1946" Type="http://schemas.openxmlformats.org/officeDocument/2006/relationships/hyperlink" Target="https://cases.justia.com/georgia/court-of-appeals/2025-a25a1173.pdf?ts=1761847932" TargetMode="External"/><Relationship Id="rId1806" Type="http://schemas.openxmlformats.org/officeDocument/2006/relationships/hyperlink" Target="https://public.fastcase.com/Wl%2B2t%2BeVuI35%2FN70vAMFZpr47IXL%2FNqq46QG15nW3r0g0xInlPjrGPn7upgPO%2BUR" TargetMode="External"/><Relationship Id="rId387" Type="http://schemas.openxmlformats.org/officeDocument/2006/relationships/hyperlink" Target="https://www.hbsslaw.com/press/pfas-firefighter-turnout-gear/butte-montana-files-class-action-lawsuit-fighting-pfas-in-firefighter-turnout-gear-to-aid-those-facing-costly-replacements" TargetMode="External"/><Relationship Id="rId594" Type="http://schemas.openxmlformats.org/officeDocument/2006/relationships/hyperlink" Target="https://caselaw.findlaw.com/ny-supreme-court-appellate-division/1893546.html" TargetMode="External"/><Relationship Id="rId2068" Type="http://schemas.openxmlformats.org/officeDocument/2006/relationships/hyperlink" Target="https://codes.ohio.gov/ohio-revised-code/section-149.43" TargetMode="External"/><Relationship Id="rId2275" Type="http://schemas.openxmlformats.org/officeDocument/2006/relationships/hyperlink" Target="https://cases.justia.com/federal/district-courts/illinois/ilcdce/1:2017cv01212/69571/44/0.pdf?ts=1567070402" TargetMode="External"/><Relationship Id="rId247" Type="http://schemas.openxmlformats.org/officeDocument/2006/relationships/hyperlink" Target="http://www.pacourts.us/assets/opinions/Supreme/out/j-100-2020mo%20-%20104821740139246918.pdf" TargetMode="External"/><Relationship Id="rId899" Type="http://schemas.openxmlformats.org/officeDocument/2006/relationships/hyperlink" Target="https://law.justia.com/cases/california/supreme-court/2019/s242250.html" TargetMode="External"/><Relationship Id="rId1084" Type="http://schemas.openxmlformats.org/officeDocument/2006/relationships/hyperlink" Target="https://ilcourtsaudio.blob.core.windows.net/antilles-%20resources/resources/467a406e-7cd0-4d26-a9c9-2d169ea7237c/Ivetic%20v.%20Bensenville%20Fire%20Protection%20District%20No.3,%202023%20IL%20App%20(1st)%20220879-U.pdf" TargetMode="External"/><Relationship Id="rId2482" Type="http://schemas.openxmlformats.org/officeDocument/2006/relationships/hyperlink" Target="https://cases.justia.com/michigan/court-of-appeals-unpublished/2024-368783.pdf?ts=1734703212" TargetMode="External"/><Relationship Id="rId2787" Type="http://schemas.openxmlformats.org/officeDocument/2006/relationships/hyperlink" Target="https://public.fastcase.com/jaEE2PXzRXmZ99jOLMt1InNcYbqVaI0RKJVNmSUWwC4uBfhrqEaMCXW4t6jftSIgD4%2FHoHLdH48y39slr7kZWrEMnvLTwJnn0bFKh%2B9XZVQ%3D?utm_medium=email&amp;_hsenc=p2ANqtz-9jIRW7ECQxdsfZzinN3lzy-N6WwmOPS0xWaDDWCvHvPAgLyigDSOvaGk0u5IT3PeW4EZ19aOxVZon74RIrJmMQwWSuhw&amp;_hsmi=226712652&amp;utm_content=226712652&amp;utm_source=hs_email" TargetMode="External"/><Relationship Id="rId107" Type="http://schemas.openxmlformats.org/officeDocument/2006/relationships/hyperlink" Target="https://law.justia.com/cases/new-york/other-courts/2024/2024-ny-slip-op-51294-u.html" TargetMode="External"/><Relationship Id="rId454" Type="http://schemas.openxmlformats.org/officeDocument/2006/relationships/hyperlink" Target="https://www.pralaw.com/articles/the-supreme-court-of-new-jersey-rules-that-the-firefighters-rule-has-been-abolished" TargetMode="External"/><Relationship Id="rId661" Type="http://schemas.openxmlformats.org/officeDocument/2006/relationships/hyperlink" Target="https://www.supremecourt.gov/opinions/23pdf/22-842_6kg7.pdf" TargetMode="External"/><Relationship Id="rId759" Type="http://schemas.openxmlformats.org/officeDocument/2006/relationships/hyperlink" Target="https://fas.org/sgp/crs/intel/RL32276.pdf" TargetMode="External"/><Relationship Id="rId966" Type="http://schemas.openxmlformats.org/officeDocument/2006/relationships/hyperlink" Target="http://www.nycourts.gov/courts/AD2/Handdowns/2020/Decisions/D63290.pdf" TargetMode="External"/><Relationship Id="rId1291" Type="http://schemas.openxmlformats.org/officeDocument/2006/relationships/hyperlink" Target="https://public.fastcase.com/jaEE2PXzRXmZ99jOLMt1Ith2qIaSeggCoLDpY1bED9tguFhWPV6Zo6qPtk3o63Z4?utm_medium=email&amp;_hsenc=p2ANqtz-_k3-Q52FXjJQN9NeOgWdHNDXhdU7FtsE1Qhtjng3_RTOztkpkvOWiDZxLNU-kndNaS-F1RaBe3KZirW8vwSyzK6BF9eQ&amp;_hsmi=226712652&amp;utm_content=226712652&amp;utm_source=hs_email" TargetMode="External"/><Relationship Id="rId1389" Type="http://schemas.openxmlformats.org/officeDocument/2006/relationships/hyperlink" Target="https://public.fastcase.com/Wl%2B2t%2BeVuI35%2FN70vAMFZs1o8oz3pWgS38oNkfNQDzkHmIv0WM8cJL2w%2BtvmrMCm" TargetMode="External"/><Relationship Id="rId1596" Type="http://schemas.openxmlformats.org/officeDocument/2006/relationships/hyperlink" Target="https://cases.justia.com/federal/appellate-courts/ca11/22-10002/22-10002-2023-10-11.pdf?ts=1697045568" TargetMode="External"/><Relationship Id="rId2135" Type="http://schemas.openxmlformats.org/officeDocument/2006/relationships/hyperlink" Target="https://www.dallasobserver.com/news/watch-dallas-paramedic-kicks-mentally-ill-man-several-times-before-police-arrive-on-scene-12638001" TargetMode="External"/><Relationship Id="rId2342" Type="http://schemas.openxmlformats.org/officeDocument/2006/relationships/hyperlink" Target="https://public.fastcase.com/jaEE2PXzRXmZ99jOLMt1IgF1yYEhvQDwrp3nUQiGNB%2BGSciFeLM%2FmBTuULLxAVc6AJd7N%2FBSzM%2BwBsHVa7Iixu%2BNwJWRs9nDd4Lbk0%2BZyEc%3D?utm_medium=email&amp;_hsenc=p2ANqtz-_AJp8PZettrdOWllyvjduuYkYNLjKGvTo7FG_iUypW4feeCV7HNQpd9yy59szCksxig4Y61bV5hSQSKDqcsmFU4r11KQ&amp;_hsmi=226712652&amp;utm_content=226712652&amp;utm_source=hs_email" TargetMode="External"/><Relationship Id="rId2647" Type="http://schemas.openxmlformats.org/officeDocument/2006/relationships/hyperlink" Target="https://www.oregonlaws.org/ors/243.650" TargetMode="External"/><Relationship Id="rId314" Type="http://schemas.openxmlformats.org/officeDocument/2006/relationships/hyperlink" Target="https://public.fastcase.com/Wl%2B2t%2BeVuI35%2FN70vAMFZj1n7kcpr8halXGGcU2zGib4k7w6DLSXX7%2BQNj%2B4S4J7" TargetMode="External"/><Relationship Id="rId521" Type="http://schemas.openxmlformats.org/officeDocument/2006/relationships/hyperlink" Target="https://public.fastcase.com/9SKwsfNqTc6OieYDhNMyMw%2FXypC%2BGCgzOI8YVtEGVa9n7jEOxoaSK8egV%2FDY7vKxD%2FnkzijiMqV0cvRDHM3YNZxTynpkQChMaJvb9tBM2DY%3D" TargetMode="External"/><Relationship Id="rId619" Type="http://schemas.openxmlformats.org/officeDocument/2006/relationships/hyperlink" Target="https://www.hstoday.us/subject-matter-areas/unmanned-vehicles/eyes-in-the-sky-do-cities-need-warrants-for-drones/" TargetMode="External"/><Relationship Id="rId1151" Type="http://schemas.openxmlformats.org/officeDocument/2006/relationships/hyperlink" Target="https://www.hamiltoncountyohio.gov/UserFiles/Servers/Server_3788196/File/releases/2021/C-200202_04142021.pdf" TargetMode="External"/><Relationship Id="rId1249" Type="http://schemas.openxmlformats.org/officeDocument/2006/relationships/hyperlink" Target="http://www.illinoiscourts.gov/R23_Orders/WorkersComp/2019/3180397WC_R23.pdf" TargetMode="External"/><Relationship Id="rId2202" Type="http://schemas.openxmlformats.org/officeDocument/2006/relationships/hyperlink" Target="https://law.justia.com/cases/maryland/court-of-special-appeals/2021/2349-19.html" TargetMode="External"/><Relationship Id="rId95" Type="http://schemas.openxmlformats.org/officeDocument/2006/relationships/hyperlink" Target="https://www.cityofsebastopol.gov/city-of-sebastopol-prevails-in-challenge-to-rv-ordinance/" TargetMode="External"/><Relationship Id="rId826" Type="http://schemas.openxmlformats.org/officeDocument/2006/relationships/hyperlink" Target="https://www.justice.gov/usao-wdtx/pr/san-antonio-woman-sentenced-prison-endangering-sapd-helicopter-laser" TargetMode="External"/><Relationship Id="rId1011" Type="http://schemas.openxmlformats.org/officeDocument/2006/relationships/hyperlink" Target="https://www.socialaw.com/services/slip-opinions/slip-opinion-details/michael-cannata-vs.-town-of-mashpee" TargetMode="External"/><Relationship Id="rId1109" Type="http://schemas.openxmlformats.org/officeDocument/2006/relationships/hyperlink" Target="https://www.daytondailynews.com/news/west-carrollton-rehire-fire-chief-after-valentine-week-retirement/XSsYoJpSmxdkIIZtoGUpzJ/" TargetMode="External"/><Relationship Id="rId1456" Type="http://schemas.openxmlformats.org/officeDocument/2006/relationships/hyperlink" Target="https://apnews.com/article/police-discrimination-race-and-ethnicity-racial-injustice-f2c6b37bb79c744582a54652cb86b9d7" TargetMode="External"/><Relationship Id="rId1663" Type="http://schemas.openxmlformats.org/officeDocument/2006/relationships/hyperlink" Target="https://casetext.com/case/gilbert-v-city-of-newport" TargetMode="External"/><Relationship Id="rId1870" Type="http://schemas.openxmlformats.org/officeDocument/2006/relationships/hyperlink" Target="https://public.fastcase.com/J%2FJP6pdidelsXxEE4k%2BLMjguDlksD8dKELdpfFWP9cYBmH83FdbmlTzl%2FYR%2FGHKVJmTrfPX2dR0kqVK5JcTrQwWj0Xyj7G2BHa1wkLBWvR8%3D?utm_medium=email&amp;_hsmi=226712652&amp;_hsenc=p2ANqtz-8X8hd1OyKx9xBVWTYyyRcKWZqDrqGklavKHA9oFy03k-3f0cMxPP9GwSn13jNQOldot2axaAKjxlo1irLgFnquT2grYg&amp;utm_content=226712652&amp;utm_source=hs_email" TargetMode="External"/><Relationship Id="rId1968" Type="http://schemas.openxmlformats.org/officeDocument/2006/relationships/hyperlink" Target="https://www.supremecourt.ohio.gov/rod/docs/pdf/5/2025/2025-Ohio-1961.pdf" TargetMode="External"/><Relationship Id="rId2507" Type="http://schemas.openxmlformats.org/officeDocument/2006/relationships/hyperlink" Target="https://casetext.com/case/zahn-v-kenner-mun-fire-police-civil-serv-bd" TargetMode="External"/><Relationship Id="rId2714" Type="http://schemas.openxmlformats.org/officeDocument/2006/relationships/hyperlink" Target="https://cases.justia.com/new-jersey/appellate-division-unpublished/2023-a-1747-21.pdf?ts=1696950933" TargetMode="External"/><Relationship Id="rId1316" Type="http://schemas.openxmlformats.org/officeDocument/2006/relationships/hyperlink" Target="https://www.ca5.uscourts.gov/opinions/unpub/23/23-30810.0.pdf" TargetMode="External"/><Relationship Id="rId1523" Type="http://schemas.openxmlformats.org/officeDocument/2006/relationships/hyperlink" Target="https://fox8.com/news/i-team-race-and-sex-used-to-schedule-ems-bosses/" TargetMode="External"/><Relationship Id="rId1730" Type="http://schemas.openxmlformats.org/officeDocument/2006/relationships/hyperlink" Target="https://cdn.ca9.uscourts.gov/datastore/opinions/2023/11/30/22-55663.pdf" TargetMode="External"/><Relationship Id="rId22" Type="http://schemas.openxmlformats.org/officeDocument/2006/relationships/hyperlink" Target="https://www.courtswv.gov/sites/default/pubfilesmnt/2026-04/24-79%20Memorandum%20Decision.pdf" TargetMode="External"/><Relationship Id="rId1828" Type="http://schemas.openxmlformats.org/officeDocument/2006/relationships/hyperlink" Target="https://cases.justia.com/federal/appellate-courts/ca6/14-5053/14-5053-2014-11-14.pdf?ts=1415984433" TargetMode="External"/><Relationship Id="rId171" Type="http://schemas.openxmlformats.org/officeDocument/2006/relationships/hyperlink" Target="https://casetext.com/case/two-bridges-llc-v-city-of-youngstown" TargetMode="External"/><Relationship Id="rId2297" Type="http://schemas.openxmlformats.org/officeDocument/2006/relationships/hyperlink" Target="http://www.opn.ca6.uscourts.gov/opinions.pdf/18a0499n-06.pdf" TargetMode="External"/><Relationship Id="rId269" Type="http://schemas.openxmlformats.org/officeDocument/2006/relationships/hyperlink" Target="https://www.ethics.ohio.gov/advice/formaltopics.html" TargetMode="External"/><Relationship Id="rId476" Type="http://schemas.openxmlformats.org/officeDocument/2006/relationships/hyperlink" Target="https://casetext.com/case/vann-v-city-of-san-francisco" TargetMode="External"/><Relationship Id="rId683" Type="http://schemas.openxmlformats.org/officeDocument/2006/relationships/hyperlink" Target="https://ago.mo.gov/docs/default-source/press-releases/missouri-v-biden-ruling.pdf" TargetMode="External"/><Relationship Id="rId890" Type="http://schemas.openxmlformats.org/officeDocument/2006/relationships/hyperlink" Target="https://docs.justia.com/cases/federal/district-courts/new-york/nyedce/1:2019cv02400/432390/46" TargetMode="External"/><Relationship Id="rId2157" Type="http://schemas.openxmlformats.org/officeDocument/2006/relationships/hyperlink" Target="https://law.justia.com/cases/federal/district-courts/illinois/ilndce/1:2021cv05039/407354/52/" TargetMode="External"/><Relationship Id="rId2364" Type="http://schemas.openxmlformats.org/officeDocument/2006/relationships/hyperlink" Target="https://public.fastcase.com/ZZhmr5v9wN%2FXOe5IsQ%2FqD7d2ApzwrZCQvAZQlM%2B4VVcvgALpNi2VKyyjI%2Bz22f3P?utm_medium=email&amp;_hsmi=226712652&amp;_hsenc=p2ANqtz-9QV0nznODHw4_m_j0AE4K8p0b7Wes2e9d7AzOOyb86IGbeyJ8jbpovdpcqHFVtvrmWyxti44YX_ZuNCNTYmJshWS7Dxw&amp;utm_content=226712652&amp;utm_source=hs_email" TargetMode="External"/><Relationship Id="rId2571" Type="http://schemas.openxmlformats.org/officeDocument/2006/relationships/hyperlink" Target="https://casetext.com/case/imhof-v-del-bd-of-med-licensure-discipline" TargetMode="External"/><Relationship Id="rId129" Type="http://schemas.openxmlformats.org/officeDocument/2006/relationships/hyperlink" Target="https://casetext.com/case/in-re-daims" TargetMode="External"/><Relationship Id="rId336" Type="http://schemas.openxmlformats.org/officeDocument/2006/relationships/hyperlink" Target="https://www.supremecourt.gov/opinions/18pdf/18a815_3d9g.pdf" TargetMode="External"/><Relationship Id="rId543" Type="http://schemas.openxmlformats.org/officeDocument/2006/relationships/hyperlink" Target="https://mdcourts.gov/data/opinions/coa/2020/49a19.pdf" TargetMode="External"/><Relationship Id="rId988" Type="http://schemas.openxmlformats.org/officeDocument/2006/relationships/hyperlink" Target="https://www.courtswv.gov/sites/default/pubfilesmnt/2026-02/25-ICA-338_MD.pdf" TargetMode="External"/><Relationship Id="rId1173" Type="http://schemas.openxmlformats.org/officeDocument/2006/relationships/hyperlink" Target="http://app.leg.wa.gov/RCW/default.aspx?cite=51.08.140" TargetMode="External"/><Relationship Id="rId1380" Type="http://schemas.openxmlformats.org/officeDocument/2006/relationships/hyperlink" Target="https://scholar.google.com/scholar_case?case=10119606247499891126&amp;q=Rachel+MOSBY+v.+CITY+OF+BYRON,+GEORGIA,&amp;hl=en&amp;as_sdt=6,36" TargetMode="External"/><Relationship Id="rId2017" Type="http://schemas.openxmlformats.org/officeDocument/2006/relationships/hyperlink" Target="https://cases.justia.com/north-carolina/court-of-appeals/2024-23-881.pdf?ts=1716294565" TargetMode="External"/><Relationship Id="rId2224" Type="http://schemas.openxmlformats.org/officeDocument/2006/relationships/hyperlink" Target="https://njcourts.gov/attorneys/assets/opinions/appellate/unpublished/a0530-19.pdf" TargetMode="External"/><Relationship Id="rId2669" Type="http://schemas.openxmlformats.org/officeDocument/2006/relationships/hyperlink" Target="https://cases.justia.com/federal/appellate-courts/ca5/17-40754/17-40754-2018-08-31.pdf?ts=1535736678" TargetMode="External"/><Relationship Id="rId403" Type="http://schemas.openxmlformats.org/officeDocument/2006/relationships/hyperlink" Target="https://www.rcfp.org/wp-content/uploads/2025/08/2025-08-05-RCFP-v.-Rokita-Seventh-Circuit-opinion.pdf" TargetMode="External"/><Relationship Id="rId750" Type="http://schemas.openxmlformats.org/officeDocument/2006/relationships/hyperlink" Target="https://www.law.cornell.edu/definitions/uscode.php?width=840&amp;height=800&amp;iframe=true&amp;def_id=8-USC-2032517217-1201680101&amp;term_occur=999&amp;term_src=" TargetMode="External"/><Relationship Id="rId848" Type="http://schemas.openxmlformats.org/officeDocument/2006/relationships/hyperlink" Target="https://search.txcourts.gov/SearchMedia.aspx?MediaVersionID=0759d8f0-c4e1-4852-8390-4190cacb89f6&amp;coa=coa10&amp;DT=Opinion&amp;MediaID=dc9d0fad-acea-4603-a120-a6519744d885" TargetMode="External"/><Relationship Id="rId1033" Type="http://schemas.openxmlformats.org/officeDocument/2006/relationships/hyperlink" Target="https://cases.justia.com/west-virginia/supreme-court/2025-24-266.pdf?ts=1736880091" TargetMode="External"/><Relationship Id="rId1478" Type="http://schemas.openxmlformats.org/officeDocument/2006/relationships/hyperlink" Target="https://www.supremecourt.gov/opinions/22pdf/600us1r53_4g15.pdf" TargetMode="External"/><Relationship Id="rId1685" Type="http://schemas.openxmlformats.org/officeDocument/2006/relationships/hyperlink" Target="https://www.dol.gov/agencies/whd/fact-sheets/17c-overtime-administrative" TargetMode="External"/><Relationship Id="rId1892" Type="http://schemas.openxmlformats.org/officeDocument/2006/relationships/hyperlink" Target="https://cases.justia.com/federal/appellate-courts/ca10/19-1049/19-1049-2020-04-07.pdf?ts=1586277066" TargetMode="External"/><Relationship Id="rId2431" Type="http://schemas.openxmlformats.org/officeDocument/2006/relationships/hyperlink" Target="https://www.youtube.com/watch?v=RmdIuKRFVuU" TargetMode="External"/><Relationship Id="rId2529" Type="http://schemas.openxmlformats.org/officeDocument/2006/relationships/hyperlink" Target="https://www.supremecourt.gov/opinions/22pdf/21-476_c185.pdf" TargetMode="External"/><Relationship Id="rId2736" Type="http://schemas.openxmlformats.org/officeDocument/2006/relationships/hyperlink" Target="https://law.justia.com/cases/pennsylvania/commonwealth-court/2022/242-c-d-2022.html" TargetMode="External"/><Relationship Id="rId610" Type="http://schemas.openxmlformats.org/officeDocument/2006/relationships/hyperlink" Target="https://www.supremecourt.gov/opinions/25pdf/25a443_ba7d.pdf" TargetMode="External"/><Relationship Id="rId708" Type="http://schemas.openxmlformats.org/officeDocument/2006/relationships/hyperlink" Target="https://casetext.com/case/united-states-v-williams-3941" TargetMode="External"/><Relationship Id="rId915" Type="http://schemas.openxmlformats.org/officeDocument/2006/relationships/hyperlink" Target="https://cases.justia.com/texas/fourteenth-court-of-appeals/2025-14-24-00251-cv.pdf?ts=1745499568" TargetMode="External"/><Relationship Id="rId1240" Type="http://schemas.openxmlformats.org/officeDocument/2006/relationships/hyperlink" Target="https://public.fastcase.com/Wl%2B2t%2BeVuI35%2FN70vAMFZi2NtCwkTvdiKyrWKXTmtjwARSxGp50rXf7QoqUpwr%2BO" TargetMode="External"/><Relationship Id="rId1338" Type="http://schemas.openxmlformats.org/officeDocument/2006/relationships/hyperlink" Target="https://public.fastcase.com/ZZhmr5v9wN%2FXOe5IsQ%2FqD4teBhUqY7wvbGAswNzyBMaksiAAx9CoK%2F0glr7LeyIGy7%2BIvTMMfnsD4C1w01llLSbg%2FSmkDMg22UrZNbleClI%3D?utm_medium=email&amp;_hsmi=226712652&amp;_hsenc=p2ANqtz--0kKIYBqY11A1vHL3K3LnOM9OT3ZDxvHId5EPEJRai0C-xgNPiCQqUNedXVxiPbPjxDggmQ5V534mtY9qGSRF7_b-8gg&amp;utm_content=226712652&amp;utm_source=hs_email" TargetMode="External"/><Relationship Id="rId1545" Type="http://schemas.openxmlformats.org/officeDocument/2006/relationships/hyperlink" Target="https://public.fastcase.com/Wl%2B2t%2BeVuI35%2FN70vAMFZjxlcnGgF4KmxTbsHmdpUnhrKX1xZ8%2F1BaT4X1Cm7%2Fji" TargetMode="External"/><Relationship Id="rId1100" Type="http://schemas.openxmlformats.org/officeDocument/2006/relationships/hyperlink" Target="https://caselaw.findlaw.com/ny-supreme-court/1972528.html" TargetMode="External"/><Relationship Id="rId1405" Type="http://schemas.openxmlformats.org/officeDocument/2006/relationships/hyperlink" Target="https://cases.justia.com/federal/district-courts/illinois/ilndce/1:2016cv10156/332956/114/0.pdf?ts=1547636381" TargetMode="External"/><Relationship Id="rId1752" Type="http://schemas.openxmlformats.org/officeDocument/2006/relationships/hyperlink" Target="https://public.fastcase.com/J%2FJP6pdidelsXxEE4k%2BLMr0y9kFOAzIUnYfOqh5rzor5PqJTkzf5B1o34%2FZmTTqCNP3Iy4k13qLiNXQ3dhjTd98I5NdjhvTfnAcaeUtmaKs%3D" TargetMode="External"/><Relationship Id="rId2803" Type="http://schemas.openxmlformats.org/officeDocument/2006/relationships/hyperlink" Target="https://www.supremecourt.ohio.gov/rod/docs/pdf/0/2023/2023-Ohio-4593.pdf" TargetMode="External"/><Relationship Id="rId44" Type="http://schemas.openxmlformats.org/officeDocument/2006/relationships/hyperlink" Target="https://www.hstoday.us/subject-matter-areas/unmanned-vehicles/eyes-in-the-sky-do-cities-need-warrants-for-drones/" TargetMode="External"/><Relationship Id="rId1612" Type="http://schemas.openxmlformats.org/officeDocument/2006/relationships/hyperlink" Target="https://www.eeoc.gov/publications/ada-your-responsibilities-employer" TargetMode="External"/><Relationship Id="rId1917" Type="http://schemas.openxmlformats.org/officeDocument/2006/relationships/hyperlink" Target="https://www.pacourts.us/assets/opinions/Commonwealth/out/196CD25_4-23-26.pdf?cb=1" TargetMode="External"/><Relationship Id="rId193" Type="http://schemas.openxmlformats.org/officeDocument/2006/relationships/hyperlink" Target="https://casetext.com/case/united-states-v-raposo-6" TargetMode="External"/><Relationship Id="rId498" Type="http://schemas.openxmlformats.org/officeDocument/2006/relationships/hyperlink" Target="https://www.jacksonville.com/story/news/crime/2016/01/16/city-black-firefighters-group-disagree-over-ban-beards/15696316007/" TargetMode="External"/><Relationship Id="rId2081" Type="http://schemas.openxmlformats.org/officeDocument/2006/relationships/hyperlink" Target="https://public.fastcase.com/ZZhmr5v9wN%2FXOe5IsQ%2FqD48qScyjnns4BvOFYThqD1VKn2oC3YL9HIinTf%2Fp30r2wBlFtUUFvRMyBphGDo8K28IC4vVctJZhhayY6V%2Bfn28%3D?utm_medium=email&amp;_hsmi=226712652&amp;_hsenc=p2ANqtz--TIjwUVFjOo5damiP3K6KiM86Ts0N1olRqZ_ArClgxTthTEvnZAd5hvf4I6P2KEFN6nH9cQVmvAvnMp9eheEIqoLW5ew&amp;utm_content=226712652&amp;utm_source=hs_email" TargetMode="External"/><Relationship Id="rId2179" Type="http://schemas.openxmlformats.org/officeDocument/2006/relationships/hyperlink" Target="https://www.youtube.com/watch?v=DDCANExSv1Q" TargetMode="External"/><Relationship Id="rId260" Type="http://schemas.openxmlformats.org/officeDocument/2006/relationships/hyperlink" Target="https://www.wicourts.gov/ca/opinion/DisplayDocument.pdf?content=pdf&amp;seqNo=342440" TargetMode="External"/><Relationship Id="rId2386" Type="http://schemas.openxmlformats.org/officeDocument/2006/relationships/hyperlink" Target="file:///C:\Users\lawre\AppData\Local\Microsoft\Windows\INetCache\Content.Outlook\L4F26AG7\Mayer%20%5E0%20Corey%202016%20Current%20Issues%20in%20FFD%20evaluations%20of%20LEOs.pdf" TargetMode="External"/><Relationship Id="rId2593" Type="http://schemas.openxmlformats.org/officeDocument/2006/relationships/hyperlink" Target="https://appellatecases.courtinfo.ca.gov/search/case/disposition.cfm?dist=0&amp;doc_id=2345572&amp;doc_no=S268086&amp;request_token=NiIwLSEmTkw5W1BRSSItTENJQEg0UDxTJSBeRzJSUCAgCg%3D%3D" TargetMode="External"/><Relationship Id="rId120" Type="http://schemas.openxmlformats.org/officeDocument/2006/relationships/hyperlink" Target="https://www.law.cornell.edu/wex/evidence" TargetMode="External"/><Relationship Id="rId358" Type="http://schemas.openxmlformats.org/officeDocument/2006/relationships/hyperlink" Target="https://www.supremecourt.gov/opinions/17pdf/16-402_h315.pdf" TargetMode="External"/><Relationship Id="rId565" Type="http://schemas.openxmlformats.org/officeDocument/2006/relationships/hyperlink" Target="https://law.justia.com/cases/new-york/other-courts/2019/2019-ny-slip-op-51525-u.html" TargetMode="External"/><Relationship Id="rId772" Type="http://schemas.openxmlformats.org/officeDocument/2006/relationships/hyperlink" Target="https://casetext.com/case/united-states-v-al-azhari-2" TargetMode="External"/><Relationship Id="rId1195" Type="http://schemas.openxmlformats.org/officeDocument/2006/relationships/hyperlink" Target="https://casetext.com/case/hayman-v-city-of-wilmington" TargetMode="External"/><Relationship Id="rId2039" Type="http://schemas.openxmlformats.org/officeDocument/2006/relationships/hyperlink" Target="https://cases.justia.com/federal/appellate-courts/ca10/24-7035/24-7035-2025-08-22.pdf?ts=1755880380" TargetMode="External"/><Relationship Id="rId2246" Type="http://schemas.openxmlformats.org/officeDocument/2006/relationships/hyperlink" Target="https://public.fastcase.com/Wl%2B2t%2BeVuI35%2FN70vAMFZpHUgoz3hp5Nx0V5b99AFirO%2BO19k2h0p4CgWny%2Fxn0a" TargetMode="External"/><Relationship Id="rId2453" Type="http://schemas.openxmlformats.org/officeDocument/2006/relationships/hyperlink" Target="https://cases.justia.com/federal/appellate-courts/ca8/23-3398/23-3398-2025-08-13.pdf?ts=1755099027" TargetMode="External"/><Relationship Id="rId2660" Type="http://schemas.openxmlformats.org/officeDocument/2006/relationships/hyperlink" Target="http://codes.ohio.gov/orc/gp9.61" TargetMode="External"/><Relationship Id="rId218" Type="http://schemas.openxmlformats.org/officeDocument/2006/relationships/hyperlink" Target="https://casetext.com/case/2095-stonington-llc-v-vill-of-hoffman-estates" TargetMode="External"/><Relationship Id="rId425" Type="http://schemas.openxmlformats.org/officeDocument/2006/relationships/hyperlink" Target="https://www.supremecourt.ohio.gov/rod/docs/pdf/8/2024/2024-Ohio-5317.pdf" TargetMode="External"/><Relationship Id="rId632" Type="http://schemas.openxmlformats.org/officeDocument/2006/relationships/hyperlink" Target="https://cdn.ca9.uscourts.gov/datastore/opinions/2025/07/24/24-542.pdf" TargetMode="External"/><Relationship Id="rId1055" Type="http://schemas.openxmlformats.org/officeDocument/2006/relationships/hyperlink" Target="https://media.ca11.uscourts.gov/opinions/pub/files/202213626.pdf" TargetMode="External"/><Relationship Id="rId1262" Type="http://schemas.openxmlformats.org/officeDocument/2006/relationships/hyperlink" Target="https://www.legislature.ohio.gov/legislation/legislation-summary?id=GA132-SB-220" TargetMode="External"/><Relationship Id="rId2106" Type="http://schemas.openxmlformats.org/officeDocument/2006/relationships/hyperlink" Target="https://www.law.cornell.edu/uscode/text/42/1395dd" TargetMode="External"/><Relationship Id="rId2313" Type="http://schemas.openxmlformats.org/officeDocument/2006/relationships/hyperlink" Target="https://www.supremecourt.ohio.gov/rod/docs/pdf/4/2018/2018-Ohio-31.pdf" TargetMode="External"/><Relationship Id="rId2520" Type="http://schemas.openxmlformats.org/officeDocument/2006/relationships/hyperlink" Target="https://supreme.justia.com/cases/federal/us/405/150/" TargetMode="External"/><Relationship Id="rId2758" Type="http://schemas.openxmlformats.org/officeDocument/2006/relationships/hyperlink" Target="https://www.ketv.com/article/nebraska-supreme-court-sides-with-omaha-fire-union-chief-in-dispute-with-city/37244601" TargetMode="External"/><Relationship Id="rId937" Type="http://schemas.openxmlformats.org/officeDocument/2006/relationships/hyperlink" Target="https://www.njcourts.gov/system/files/court-opinions/2023/a0009-22.pdf" TargetMode="External"/><Relationship Id="rId1122" Type="http://schemas.openxmlformats.org/officeDocument/2006/relationships/hyperlink" Target="https://codes.ohio.gov/ohio-revised-code/section-742.10" TargetMode="External"/><Relationship Id="rId1567" Type="http://schemas.openxmlformats.org/officeDocument/2006/relationships/hyperlink" Target="https://cases.justia.com/texas/twelfth-court-of-appeals/2026-12-25-00273-cv.pdf?ts=1775749638" TargetMode="External"/><Relationship Id="rId1774" Type="http://schemas.openxmlformats.org/officeDocument/2006/relationships/hyperlink" Target="https://www.lcwlegal.com/news/cash-in-lieu-must-be-included-in-the-regular-rate-for-overtime-purposes-under-the-flsa-4" TargetMode="External"/><Relationship Id="rId1981" Type="http://schemas.openxmlformats.org/officeDocument/2006/relationships/hyperlink" Target="https://casetext.com/statute/general-laws-of-massachusetts/part-i-administration-of-the-government/title-xxi-labor-and-industries/chapter-149-labor-and-industries/section-149187-health-care-providers-protection-from-retaliatory-action-by-health-care-facilities" TargetMode="External"/><Relationship Id="rId2618" Type="http://schemas.openxmlformats.org/officeDocument/2006/relationships/hyperlink" Target="http://www.tncourts.gov/sites/default/files/ronald_ledford_et_al._v._john_ben_sneed_et_al..pdf" TargetMode="External"/><Relationship Id="rId2825" Type="http://schemas.openxmlformats.org/officeDocument/2006/relationships/hyperlink" Target="https://www.hannah.com/ShowDocument.aspx?BTextID=219206" TargetMode="External"/><Relationship Id="rId66" Type="http://schemas.openxmlformats.org/officeDocument/2006/relationships/hyperlink" Target="https://cases.justia.com/california/supreme-court/2025-s173784.pdf?ts=1746464481" TargetMode="External"/><Relationship Id="rId1427" Type="http://schemas.openxmlformats.org/officeDocument/2006/relationships/hyperlink" Target="http://www.5dca.org/Opinions/Opin2018/011518/5D17-1183.op.pdf" TargetMode="External"/><Relationship Id="rId1634" Type="http://schemas.openxmlformats.org/officeDocument/2006/relationships/hyperlink" Target="https://www.jacksonville.com/story/news/courts/2020/11/25/jacksonville-lawsuit-cleanshaven-rule-unfair-black-firefighters/6406374002/" TargetMode="External"/><Relationship Id="rId1841" Type="http://schemas.openxmlformats.org/officeDocument/2006/relationships/hyperlink" Target="https://caselaw.findlaw.com/court/al-supreme-court/117080306.html" TargetMode="External"/><Relationship Id="rId1939" Type="http://schemas.openxmlformats.org/officeDocument/2006/relationships/hyperlink" Target="https://law.justia.com/cases/new-york/appellate-division-first-department/2025/index-no-153104-18-appeal-no-5428-case-no-2024-01885.html" TargetMode="External"/><Relationship Id="rId1701" Type="http://schemas.openxmlformats.org/officeDocument/2006/relationships/hyperlink" Target="https://www.dol.gov/sites/dolgov/files/WHD/legacy/files/2008_05_23_08NA_FLSA.pdf" TargetMode="External"/><Relationship Id="rId282" Type="http://schemas.openxmlformats.org/officeDocument/2006/relationships/hyperlink" Target="https://law.justia.com/cases/california/court-of-appeal/2019/h045524.html" TargetMode="External"/><Relationship Id="rId587" Type="http://schemas.openxmlformats.org/officeDocument/2006/relationships/hyperlink" Target="https://www.audiology.org/sites/default/files/audiologytoday/AT%2024.6%20-%20LOW.pdf" TargetMode="External"/><Relationship Id="rId2170" Type="http://schemas.openxmlformats.org/officeDocument/2006/relationships/hyperlink" Target="https://casetext.com/case/ortiz-v-renteria" TargetMode="External"/><Relationship Id="rId2268" Type="http://schemas.openxmlformats.org/officeDocument/2006/relationships/hyperlink" Target="https://cases.justia.com/federal/appellate-courts/ca5/18-30932/18-30932-2019-12-17.pdf?ts=15766290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2C58-E3D9-4450-945B-3C981AE1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1258</Pages>
  <Words>603420</Words>
  <Characters>3439495</Characters>
  <Application>Microsoft Office Word</Application>
  <DocSecurity>0</DocSecurity>
  <Lines>28662</Lines>
  <Paragraphs>8069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Note:  </vt:lpstr>
      <vt:lpstr>Rule 701. Opinion Testimony by Lay Witnesses; https://www.law.cornell.edu/rules/</vt:lpstr>
      <vt:lpstr>Rule 702. Testimony by Expert Witnesses; https://www.law.cornell.edu/rules/fre/r</vt:lpstr>
      <vt:lpstr>Note: See July 25, 2023 article, “Federal Appeals Court throws out conviction fo</vt:lpstr>
      <vt:lpstr>See Jan. 6, 2022 DoJ Press Release: “Asheville Jury Convicts Franklin, N.C. Man </vt:lpstr>
      <vt:lpstr>Note: See Feb. 7, 2023, the U.S. Department of Justice press release: “False Cla</vt:lpstr>
      <vt:lpstr>Note: See Feb. 7, 2023, the U.S. Department of Justice press release: “False Cla</vt:lpstr>
      <vt:lpstr>    OH: TEACHERS CAN HAVE FIREARMS – WITH SCHOOL PERMISSION - 24 HRS TRAINING – REQU</vt:lpstr>
      <vt:lpstr>See also Ohio Revised Code: Section 5589.21 | Obstruction of roads by railroads.</vt:lpstr>
      <vt:lpstr>IL: ANNUAL TESTING FIRE ALARMS REQ. EACH 48 UNITS – CONDO ASSOC. MUST GET OWNERS</vt:lpstr>
      <vt:lpstr>On June 21, 2022, in The Village of Downers Grove v. Village Square III Condomin</vt:lpstr>
    </vt:vector>
  </TitlesOfParts>
  <Company>University of Cincinnati</Company>
  <LinksUpToDate>false</LinksUpToDate>
  <CharactersWithSpaces>4034846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Lawrence Bennett</dc:creator>
  <cp:lastModifiedBy>Lawrence Bennett</cp:lastModifiedBy>
  <cp:revision>1764</cp:revision>
  <cp:lastPrinted>2020-10-31T11:04:00Z</cp:lastPrinted>
  <dcterms:created xsi:type="dcterms:W3CDTF">2024-06-22T16:03:00Z</dcterms:created>
  <dcterms:modified xsi:type="dcterms:W3CDTF">2026-05-05T11:06:00Z</dcterms:modified>
</cp:coreProperties>
</file>